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F83FC" w14:textId="20244823" w:rsidR="00267F02" w:rsidRPr="00E31D97" w:rsidRDefault="00E31D97" w:rsidP="00D206AB">
      <w:pPr>
        <w:jc w:val="right"/>
        <w:rPr>
          <w:rFonts w:ascii="宋体" w:hAnsi="宋体"/>
        </w:rPr>
      </w:pPr>
      <w:r w:rsidRPr="00E31D97">
        <w:rPr>
          <w:rFonts w:ascii="宋体" w:hAnsi="宋体" w:hint="eastAsia"/>
        </w:rPr>
        <w:t xml:space="preserve"> </w:t>
      </w:r>
      <w:r w:rsidRPr="00E31D97">
        <w:rPr>
          <w:rFonts w:ascii="宋体" w:hAnsi="宋体"/>
        </w:rPr>
        <w:t xml:space="preserve">               </w:t>
      </w:r>
      <w:r>
        <w:rPr>
          <w:rFonts w:ascii="宋体" w:hAnsi="宋体"/>
        </w:rPr>
        <w:t xml:space="preserve">                    </w:t>
      </w:r>
      <w:r w:rsidRPr="00E31D97">
        <w:rPr>
          <w:rFonts w:ascii="宋体" w:hAnsi="宋体"/>
        </w:rPr>
        <w:t xml:space="preserve">     </w:t>
      </w:r>
      <w:r w:rsidRPr="00E31D97">
        <w:rPr>
          <w:rFonts w:ascii="宋体" w:hAnsi="宋体" w:cs="宋体"/>
          <w:noProof/>
          <w:kern w:val="0"/>
          <w:sz w:val="18"/>
          <w:lang w:val="zh-CN" w:bidi="zh-CN"/>
        </w:rPr>
        <mc:AlternateContent>
          <mc:Choice Requires="wps">
            <w:drawing>
              <wp:inline distT="0" distB="0" distL="0" distR="0" wp14:anchorId="599D87F3" wp14:editId="3ED776E4">
                <wp:extent cx="1428750" cy="552450"/>
                <wp:effectExtent l="0" t="0" r="19050" b="1905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52450"/>
                        </a:xfrm>
                        <a:prstGeom prst="rect">
                          <a:avLst/>
                        </a:prstGeom>
                        <a:solidFill>
                          <a:srgbClr val="FFFFFF"/>
                        </a:solidFill>
                        <a:ln w="12700">
                          <a:solidFill>
                            <a:srgbClr val="000000"/>
                          </a:solidFill>
                          <a:prstDash val="dash"/>
                          <a:miter lim="800000"/>
                        </a:ln>
                      </wps:spPr>
                      <wps:txbx>
                        <w:txbxContent>
                          <w:p w14:paraId="6362C5A2" w14:textId="77777777" w:rsidR="00E31D97" w:rsidRDefault="00E31D97" w:rsidP="00E31D97">
                            <w:pPr>
                              <w:spacing w:line="360" w:lineRule="exact"/>
                              <w:jc w:val="center"/>
                              <w:rPr>
                                <w:b/>
                                <w:bCs/>
                                <w:spacing w:val="80"/>
                                <w:sz w:val="28"/>
                                <w:szCs w:val="28"/>
                              </w:rPr>
                            </w:pPr>
                            <w:r>
                              <w:rPr>
                                <w:rFonts w:hint="eastAsia"/>
                                <w:b/>
                                <w:bCs/>
                                <w:spacing w:val="80"/>
                                <w:sz w:val="28"/>
                                <w:szCs w:val="28"/>
                              </w:rPr>
                              <w:t>内部资料</w:t>
                            </w:r>
                          </w:p>
                          <w:p w14:paraId="5F44B28E" w14:textId="77777777" w:rsidR="00E31D97" w:rsidRDefault="00E31D97" w:rsidP="00E31D97">
                            <w:pPr>
                              <w:spacing w:line="360" w:lineRule="exact"/>
                              <w:jc w:val="center"/>
                              <w:rPr>
                                <w:b/>
                                <w:bCs/>
                                <w:spacing w:val="80"/>
                                <w:sz w:val="28"/>
                                <w:szCs w:val="28"/>
                              </w:rPr>
                            </w:pPr>
                            <w:r>
                              <w:rPr>
                                <w:rFonts w:hint="eastAsia"/>
                                <w:b/>
                                <w:bCs/>
                                <w:spacing w:val="80"/>
                                <w:sz w:val="28"/>
                                <w:szCs w:val="28"/>
                              </w:rPr>
                              <w:t>注意保密</w:t>
                            </w:r>
                          </w:p>
                        </w:txbxContent>
                      </wps:txbx>
                      <wps:bodyPr rot="0" vert="horz" wrap="square" lIns="91440" tIns="45720" rIns="91440" bIns="45720" anchor="t" anchorCtr="0">
                        <a:noAutofit/>
                      </wps:bodyPr>
                    </wps:wsp>
                  </a:graphicData>
                </a:graphic>
              </wp:inline>
            </w:drawing>
          </mc:Choice>
          <mc:Fallback>
            <w:pict>
              <v:shapetype w14:anchorId="599D87F3" id="_x0000_t202" coordsize="21600,21600" o:spt="202" path="m,l,21600r21600,l21600,xe">
                <v:stroke joinstyle="miter"/>
                <v:path gradientshapeok="t" o:connecttype="rect"/>
              </v:shapetype>
              <v:shape id="文本框 2" o:spid="_x0000_s1026" type="#_x0000_t202" style="width:11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" strokeweight="1pt">
                <v:stroke dashstyle="dash"/>
                <v:textbox>
                  <w:txbxContent>
                    <w:p w14:paraId="6362C5A2" w14:textId="77777777" w:rsidR="00E31D97" w:rsidRDefault="00E31D97" w:rsidP="00E31D97">
                      <w:pPr>
                        <w:spacing w:line="360" w:lineRule="exact"/>
                        <w:jc w:val="center"/>
                        <w:rPr>
                          <w:b/>
                          <w:bCs/>
                          <w:spacing w:val="80"/>
                          <w:sz w:val="28"/>
                          <w:szCs w:val="28"/>
                        </w:rPr>
                      </w:pPr>
                      <w:r>
                        <w:rPr>
                          <w:rFonts w:hint="eastAsia"/>
                          <w:b/>
                          <w:bCs/>
                          <w:spacing w:val="80"/>
                          <w:sz w:val="28"/>
                          <w:szCs w:val="28"/>
                        </w:rPr>
                        <w:t>内部资料</w:t>
                      </w:r>
                    </w:p>
                    <w:p w14:paraId="5F44B28E" w14:textId="77777777" w:rsidR="00E31D97" w:rsidRDefault="00E31D97" w:rsidP="00E31D97">
                      <w:pPr>
                        <w:spacing w:line="360" w:lineRule="exact"/>
                        <w:jc w:val="center"/>
                        <w:rPr>
                          <w:b/>
                          <w:bCs/>
                          <w:spacing w:val="80"/>
                          <w:sz w:val="28"/>
                          <w:szCs w:val="28"/>
                        </w:rPr>
                      </w:pPr>
                      <w:r>
                        <w:rPr>
                          <w:rFonts w:hint="eastAsia"/>
                          <w:b/>
                          <w:bCs/>
                          <w:spacing w:val="80"/>
                          <w:sz w:val="28"/>
                          <w:szCs w:val="28"/>
                        </w:rPr>
                        <w:t>注意保密</w:t>
                      </w:r>
                    </w:p>
                  </w:txbxContent>
                </v:textbox>
                <w10:anchorlock/>
              </v:shape>
            </w:pict>
          </mc:Fallback>
        </mc:AlternateContent>
      </w:r>
    </w:p>
    <w:p w14:paraId="3F7FC17B" w14:textId="232E6394" w:rsidR="00413981" w:rsidRDefault="00413981"/>
    <w:p w14:paraId="45AEDAB7" w14:textId="60096FED" w:rsidR="00413981" w:rsidRPr="00D206AB" w:rsidRDefault="00413981"/>
    <w:p w14:paraId="6517C1F2" w14:textId="5B783B80" w:rsidR="00413981" w:rsidRDefault="00413981"/>
    <w:p w14:paraId="2E8F8E7E" w14:textId="545A4E51" w:rsidR="00413981" w:rsidRDefault="00413981"/>
    <w:p w14:paraId="61F075CA" w14:textId="77777777" w:rsidR="00E31D97" w:rsidRDefault="00E31D97" w:rsidP="00E31D97">
      <w:pPr>
        <w:pStyle w:val="a7"/>
        <w:ind w:left="0"/>
        <w:jc w:val="center"/>
        <w:rPr>
          <w:rFonts w:ascii="黑体" w:eastAsia="黑体" w:hAnsi="黑体"/>
          <w:sz w:val="72"/>
          <w:szCs w:val="72"/>
        </w:rPr>
      </w:pPr>
      <w:r>
        <w:rPr>
          <w:rFonts w:ascii="黑体" w:eastAsia="黑体" w:hAnsi="黑体" w:hint="eastAsia"/>
          <w:sz w:val="72"/>
          <w:szCs w:val="72"/>
        </w:rPr>
        <w:t>资产评估</w:t>
      </w:r>
    </w:p>
    <w:p w14:paraId="60E3A970" w14:textId="77777777" w:rsidR="00E31D97" w:rsidRDefault="00E31D97" w:rsidP="00E31D97">
      <w:pPr>
        <w:pStyle w:val="a7"/>
        <w:ind w:left="0"/>
        <w:jc w:val="center"/>
        <w:rPr>
          <w:rFonts w:ascii="黑体" w:eastAsia="黑体" w:hAnsi="黑体"/>
          <w:sz w:val="72"/>
          <w:szCs w:val="72"/>
        </w:rPr>
      </w:pPr>
      <w:r>
        <w:rPr>
          <w:rFonts w:ascii="黑体" w:eastAsia="黑体" w:hAnsi="黑体" w:hint="eastAsia"/>
          <w:sz w:val="72"/>
          <w:szCs w:val="72"/>
        </w:rPr>
        <w:t>相关法律法规汇编</w:t>
      </w:r>
    </w:p>
    <w:p w14:paraId="18E80C79" w14:textId="58719CE7" w:rsidR="00E31D97" w:rsidRPr="00E31D97" w:rsidRDefault="00E31D97" w:rsidP="00E31D97">
      <w:pPr>
        <w:pStyle w:val="a7"/>
        <w:ind w:left="0"/>
        <w:jc w:val="center"/>
        <w:rPr>
          <w:rFonts w:ascii="黑体" w:eastAsia="黑体" w:hAnsi="黑体"/>
          <w:b/>
          <w:bCs/>
          <w:sz w:val="72"/>
          <w:szCs w:val="72"/>
        </w:rPr>
      </w:pPr>
      <w:r w:rsidRPr="00E31D97">
        <w:rPr>
          <w:rFonts w:ascii="黑体" w:eastAsia="黑体" w:hAnsi="黑体"/>
          <w:b/>
          <w:bCs/>
          <w:sz w:val="72"/>
          <w:szCs w:val="72"/>
        </w:rPr>
        <w:t>2021</w:t>
      </w:r>
    </w:p>
    <w:p w14:paraId="277B4B66" w14:textId="683AB856" w:rsidR="00413981" w:rsidRDefault="00413981"/>
    <w:p w14:paraId="2FBEBB85" w14:textId="432CB5F5" w:rsidR="00E31D97" w:rsidRDefault="00E31D97"/>
    <w:p w14:paraId="254D4D46" w14:textId="219A4508" w:rsidR="00E31D97" w:rsidRDefault="00E31D97"/>
    <w:p w14:paraId="23ED760C" w14:textId="77777777" w:rsidR="001D12FB" w:rsidRDefault="001D12FB" w:rsidP="001D12FB">
      <w:pPr>
        <w:jc w:val="center"/>
        <w:rPr>
          <w:rFonts w:ascii="黑体" w:eastAsia="黑体" w:hAnsi="黑体"/>
          <w:sz w:val="44"/>
          <w:szCs w:val="24"/>
        </w:rPr>
      </w:pPr>
    </w:p>
    <w:p w14:paraId="030EB689" w14:textId="7AE73C92" w:rsidR="00E31D97" w:rsidRDefault="00E31D97">
      <w:pPr>
        <w:rPr>
          <w:rFonts w:ascii="黑体" w:eastAsia="黑体" w:hAnsi="黑体"/>
          <w:sz w:val="44"/>
          <w:szCs w:val="24"/>
        </w:rPr>
      </w:pPr>
    </w:p>
    <w:p w14:paraId="140BB4D0" w14:textId="77777777" w:rsidR="00D206AB" w:rsidRDefault="00D206AB"/>
    <w:p w14:paraId="3D772F61" w14:textId="20617E3F" w:rsidR="00E31D97" w:rsidRDefault="00E31D97"/>
    <w:p w14:paraId="573500D7" w14:textId="276E1CA9" w:rsidR="00E31D97" w:rsidRDefault="00E31D97"/>
    <w:p w14:paraId="464E5018" w14:textId="4563743F" w:rsidR="00E31D97" w:rsidRDefault="00E31D97"/>
    <w:p w14:paraId="136F7253" w14:textId="3581A109" w:rsidR="00E31D97" w:rsidRDefault="00E31D97"/>
    <w:p w14:paraId="490BA9AA" w14:textId="5F78BEF7" w:rsidR="00E31D97" w:rsidRDefault="00E31D97"/>
    <w:p w14:paraId="3642EC43" w14:textId="406E9AB6" w:rsidR="00E31D97" w:rsidRPr="00CC19DA" w:rsidRDefault="00E31D97"/>
    <w:p w14:paraId="6E31FFD2" w14:textId="0F3014FA" w:rsidR="00E31D97" w:rsidRDefault="00E31D97"/>
    <w:p w14:paraId="42A16DB2" w14:textId="45FA2C51" w:rsidR="00E31D97" w:rsidRDefault="00E31D97"/>
    <w:p w14:paraId="38432FD1" w14:textId="77777777" w:rsidR="00A160B9" w:rsidRDefault="00A160B9" w:rsidP="00E31D97">
      <w:pPr>
        <w:spacing w:line="280" w:lineRule="auto"/>
        <w:jc w:val="center"/>
        <w:rPr>
          <w:spacing w:val="30"/>
          <w:sz w:val="32"/>
          <w:szCs w:val="32"/>
        </w:rPr>
      </w:pPr>
    </w:p>
    <w:p w14:paraId="1FC64CCB" w14:textId="77777777" w:rsidR="00A160B9" w:rsidRDefault="00A160B9" w:rsidP="00E31D97">
      <w:pPr>
        <w:spacing w:line="280" w:lineRule="auto"/>
        <w:jc w:val="center"/>
        <w:rPr>
          <w:spacing w:val="30"/>
          <w:sz w:val="32"/>
          <w:szCs w:val="32"/>
        </w:rPr>
      </w:pPr>
    </w:p>
    <w:p w14:paraId="0E5DE1D0" w14:textId="77777777" w:rsidR="00CC19DA" w:rsidRDefault="00CC19DA">
      <w:pPr>
        <w:widowControl/>
        <w:jc w:val="left"/>
        <w:rPr>
          <w:sz w:val="24"/>
          <w:szCs w:val="16"/>
        </w:rPr>
      </w:pPr>
      <w:r>
        <w:rPr>
          <w:sz w:val="24"/>
          <w:szCs w:val="16"/>
        </w:rPr>
        <w:br w:type="page"/>
      </w:r>
    </w:p>
    <w:p w14:paraId="65EC8FEC" w14:textId="77777777" w:rsidR="00E31D97" w:rsidRPr="00E31D97" w:rsidRDefault="00E31D97" w:rsidP="00E31D97">
      <w:pPr>
        <w:jc w:val="center"/>
        <w:rPr>
          <w:rFonts w:ascii="黑体" w:eastAsia="黑体" w:hAnsi="黑体" w:cs="Times New Roman"/>
          <w:sz w:val="44"/>
          <w:szCs w:val="44"/>
        </w:rPr>
      </w:pPr>
      <w:r w:rsidRPr="00E31D97">
        <w:rPr>
          <w:rFonts w:ascii="黑体" w:eastAsia="黑体" w:hAnsi="黑体" w:cs="Times New Roman" w:hint="eastAsia"/>
          <w:sz w:val="44"/>
          <w:szCs w:val="44"/>
        </w:rPr>
        <w:lastRenderedPageBreak/>
        <w:t xml:space="preserve">前 </w:t>
      </w:r>
      <w:r w:rsidRPr="00E31D97">
        <w:rPr>
          <w:rFonts w:ascii="黑体" w:eastAsia="黑体" w:hAnsi="黑体" w:cs="Times New Roman"/>
          <w:sz w:val="44"/>
          <w:szCs w:val="44"/>
        </w:rPr>
        <w:t xml:space="preserve"> </w:t>
      </w:r>
      <w:r w:rsidRPr="00E31D97">
        <w:rPr>
          <w:rFonts w:ascii="黑体" w:eastAsia="黑体" w:hAnsi="黑体" w:cs="Times New Roman" w:hint="eastAsia"/>
          <w:sz w:val="44"/>
          <w:szCs w:val="44"/>
        </w:rPr>
        <w:t>言</w:t>
      </w:r>
    </w:p>
    <w:p w14:paraId="3F5A3178" w14:textId="77777777" w:rsidR="00E31D97" w:rsidRPr="00E31D97" w:rsidRDefault="00E31D97" w:rsidP="00E31D97">
      <w:pPr>
        <w:jc w:val="center"/>
        <w:rPr>
          <w:rFonts w:ascii="黑体" w:eastAsia="黑体" w:hAnsi="黑体" w:cs="Times New Roman"/>
          <w:sz w:val="44"/>
          <w:szCs w:val="44"/>
        </w:rPr>
      </w:pPr>
    </w:p>
    <w:p w14:paraId="464233B0" w14:textId="77777777" w:rsidR="00055F75" w:rsidRDefault="00055F75" w:rsidP="00055F75">
      <w:pPr>
        <w:spacing w:line="360" w:lineRule="auto"/>
        <w:ind w:firstLineChars="200" w:firstLine="600"/>
        <w:rPr>
          <w:rFonts w:ascii="仿宋" w:eastAsia="仿宋" w:hAnsi="仿宋" w:cs="Times New Roman"/>
          <w:sz w:val="30"/>
          <w:szCs w:val="30"/>
        </w:rPr>
      </w:pPr>
      <w:r>
        <w:rPr>
          <w:rFonts w:ascii="仿宋" w:eastAsia="仿宋" w:hAnsi="仿宋" w:cs="Times New Roman" w:hint="eastAsia"/>
          <w:sz w:val="30"/>
          <w:szCs w:val="30"/>
        </w:rPr>
        <w:t>资产评估是市场经济不可或缺的专业服务行业，是现代专业服务行业的重要组成部分，是我国经济体制改革逐步深化的重要专业支撑力量。资产评估相关法律法规主要依据国务院、财政部、证监会、国务院国有资产监督管理委员会、中国资产评估协会等部门针对资产评估行业需求制定、颁布的法律、通知及部分规章制度</w:t>
      </w:r>
      <w:r>
        <w:rPr>
          <w:rFonts w:ascii="仿宋" w:eastAsia="仿宋" w:hAnsi="仿宋" w:cs="Times New Roman"/>
          <w:sz w:val="30"/>
          <w:szCs w:val="30"/>
        </w:rPr>
        <w:t>，</w:t>
      </w:r>
      <w:r>
        <w:rPr>
          <w:rFonts w:ascii="仿宋" w:eastAsia="仿宋" w:hAnsi="仿宋" w:cs="Times New Roman" w:hint="eastAsia"/>
          <w:sz w:val="30"/>
          <w:szCs w:val="30"/>
        </w:rPr>
        <w:t>对于促进行业长远稳定发展、维护社会经济秩序有十分重要且深远的意义。</w:t>
      </w:r>
    </w:p>
    <w:p w14:paraId="74C5CAE4" w14:textId="6CC153C3" w:rsidR="00055F75" w:rsidRDefault="00055F75" w:rsidP="00055F75">
      <w:pPr>
        <w:spacing w:line="360" w:lineRule="auto"/>
        <w:ind w:firstLineChars="200" w:firstLine="600"/>
        <w:rPr>
          <w:rFonts w:ascii="仿宋" w:eastAsia="仿宋" w:hAnsi="仿宋" w:cs="Times New Roman"/>
          <w:sz w:val="30"/>
          <w:szCs w:val="30"/>
        </w:rPr>
      </w:pPr>
      <w:r>
        <w:rPr>
          <w:rFonts w:ascii="仿宋" w:eastAsia="仿宋" w:hAnsi="仿宋" w:cs="Times New Roman" w:hint="eastAsia"/>
          <w:sz w:val="30"/>
          <w:szCs w:val="30"/>
        </w:rPr>
        <w:t>本书全面梳理</w:t>
      </w:r>
      <w:r>
        <w:rPr>
          <w:rFonts w:ascii="仿宋" w:eastAsia="仿宋" w:hAnsi="仿宋" w:cs="Times New Roman" w:hint="eastAsia"/>
          <w:sz w:val="30"/>
          <w:szCs w:val="30"/>
          <w:lang w:eastAsia="zh-Hans"/>
        </w:rPr>
        <w:t>截至</w:t>
      </w:r>
      <w:r>
        <w:rPr>
          <w:rFonts w:ascii="仿宋" w:eastAsia="仿宋" w:hAnsi="仿宋" w:cs="Times New Roman"/>
          <w:sz w:val="30"/>
          <w:szCs w:val="30"/>
          <w:lang w:eastAsia="zh-Hans"/>
        </w:rPr>
        <w:t>202</w:t>
      </w:r>
      <w:r>
        <w:rPr>
          <w:rFonts w:ascii="仿宋" w:eastAsia="仿宋" w:hAnsi="仿宋" w:cs="Times New Roman"/>
          <w:sz w:val="30"/>
          <w:szCs w:val="30"/>
          <w:lang w:eastAsia="zh-Hans"/>
        </w:rPr>
        <w:t>1</w:t>
      </w:r>
      <w:r>
        <w:rPr>
          <w:rFonts w:ascii="仿宋" w:eastAsia="仿宋" w:hAnsi="仿宋" w:cs="Times New Roman" w:hint="eastAsia"/>
          <w:sz w:val="30"/>
          <w:szCs w:val="30"/>
          <w:lang w:eastAsia="zh-Hans"/>
        </w:rPr>
        <w:t>年</w:t>
      </w:r>
      <w:r>
        <w:rPr>
          <w:rFonts w:ascii="仿宋" w:eastAsia="仿宋" w:hAnsi="仿宋" w:cs="Times New Roman"/>
          <w:sz w:val="30"/>
          <w:szCs w:val="30"/>
          <w:lang w:eastAsia="zh-Hans"/>
        </w:rPr>
        <w:t>7</w:t>
      </w:r>
      <w:r>
        <w:rPr>
          <w:rFonts w:ascii="仿宋" w:eastAsia="仿宋" w:hAnsi="仿宋" w:cs="Times New Roman" w:hint="eastAsia"/>
          <w:sz w:val="30"/>
          <w:szCs w:val="30"/>
          <w:lang w:eastAsia="zh-Hans"/>
        </w:rPr>
        <w:t>月</w:t>
      </w:r>
      <w:r>
        <w:rPr>
          <w:rFonts w:ascii="仿宋" w:eastAsia="仿宋" w:hAnsi="仿宋" w:cs="Times New Roman" w:hint="eastAsia"/>
          <w:sz w:val="30"/>
          <w:szCs w:val="30"/>
        </w:rPr>
        <w:t>与资产评估相关的法律法规，力求</w:t>
      </w:r>
      <w:r>
        <w:rPr>
          <w:rFonts w:ascii="仿宋" w:eastAsia="仿宋" w:hAnsi="仿宋" w:cs="Times New Roman" w:hint="eastAsia"/>
          <w:sz w:val="30"/>
          <w:szCs w:val="30"/>
          <w:lang w:eastAsia="zh-Hans"/>
        </w:rPr>
        <w:t>促进执业规范化</w:t>
      </w:r>
      <w:r>
        <w:rPr>
          <w:rFonts w:ascii="仿宋" w:eastAsia="仿宋" w:hAnsi="仿宋" w:cs="Times New Roman"/>
          <w:sz w:val="30"/>
          <w:szCs w:val="30"/>
          <w:lang w:eastAsia="zh-Hans"/>
        </w:rPr>
        <w:t>，</w:t>
      </w:r>
      <w:r>
        <w:rPr>
          <w:rFonts w:ascii="仿宋" w:eastAsia="仿宋" w:hAnsi="仿宋" w:cs="Times New Roman" w:hint="eastAsia"/>
          <w:sz w:val="30"/>
          <w:szCs w:val="30"/>
          <w:lang w:eastAsia="zh-Hans"/>
        </w:rPr>
        <w:t>提高</w:t>
      </w:r>
      <w:r>
        <w:rPr>
          <w:rFonts w:ascii="仿宋" w:eastAsia="仿宋" w:hAnsi="仿宋" w:cs="Times New Roman" w:hint="eastAsia"/>
          <w:sz w:val="30"/>
          <w:szCs w:val="30"/>
        </w:rPr>
        <w:t>执业</w:t>
      </w:r>
      <w:r>
        <w:rPr>
          <w:rFonts w:ascii="仿宋" w:eastAsia="仿宋" w:hAnsi="仿宋" w:cs="Times New Roman" w:hint="eastAsia"/>
          <w:sz w:val="30"/>
          <w:szCs w:val="30"/>
          <w:lang w:eastAsia="zh-Hans"/>
        </w:rPr>
        <w:t>质量</w:t>
      </w:r>
      <w:r>
        <w:rPr>
          <w:rFonts w:ascii="仿宋" w:eastAsia="仿宋" w:hAnsi="仿宋" w:cs="Times New Roman" w:hint="eastAsia"/>
          <w:sz w:val="30"/>
          <w:szCs w:val="30"/>
        </w:rPr>
        <w:t>，实现服务对象与评估业务的多元化发展。后期将</w:t>
      </w:r>
      <w:r>
        <w:rPr>
          <w:rFonts w:ascii="仿宋" w:eastAsia="仿宋" w:hAnsi="仿宋" w:cs="Times New Roman" w:hint="eastAsia"/>
          <w:sz w:val="30"/>
          <w:szCs w:val="30"/>
          <w:lang w:eastAsia="zh-Hans"/>
        </w:rPr>
        <w:t>继续</w:t>
      </w:r>
      <w:r>
        <w:rPr>
          <w:rFonts w:ascii="仿宋" w:eastAsia="仿宋" w:hAnsi="仿宋" w:cs="Times New Roman" w:hint="eastAsia"/>
          <w:sz w:val="30"/>
          <w:szCs w:val="30"/>
        </w:rPr>
        <w:t>根据法律法规和评估理论的变化及时进行完善。</w:t>
      </w:r>
    </w:p>
    <w:p w14:paraId="63057281" w14:textId="77777777" w:rsidR="00055F75" w:rsidRDefault="00055F75" w:rsidP="00055F75">
      <w:pPr>
        <w:ind w:firstLineChars="200" w:firstLine="600"/>
        <w:rPr>
          <w:rFonts w:ascii="仿宋" w:eastAsia="仿宋" w:hAnsi="仿宋" w:cs="Times New Roman"/>
          <w:sz w:val="30"/>
          <w:szCs w:val="30"/>
        </w:rPr>
      </w:pPr>
      <w:r w:rsidRPr="0095000A">
        <w:rPr>
          <w:rFonts w:ascii="仿宋" w:eastAsia="仿宋" w:hAnsi="仿宋" w:cs="Times New Roman" w:hint="eastAsia"/>
          <w:sz w:val="30"/>
          <w:szCs w:val="30"/>
        </w:rPr>
        <w:t>本书是由山东省资产评估协会</w:t>
      </w:r>
      <w:r>
        <w:rPr>
          <w:rFonts w:ascii="仿宋" w:eastAsia="仿宋" w:hAnsi="仿宋" w:cs="Times New Roman" w:hint="eastAsia"/>
          <w:sz w:val="30"/>
          <w:szCs w:val="30"/>
        </w:rPr>
        <w:t>组织</w:t>
      </w:r>
      <w:r w:rsidRPr="0095000A">
        <w:rPr>
          <w:rFonts w:ascii="仿宋" w:eastAsia="仿宋" w:hAnsi="仿宋" w:cs="Times New Roman" w:hint="eastAsia"/>
          <w:sz w:val="30"/>
          <w:szCs w:val="30"/>
        </w:rPr>
        <w:t>，山东中新土地房地产资产评估有限公司汇编而成。涉及资料来源于公开网络，仅供内部使用，严禁用于商业用途。</w:t>
      </w:r>
    </w:p>
    <w:p w14:paraId="65BFB2A8" w14:textId="32EEA42C" w:rsidR="00E31D97" w:rsidRPr="00055F75" w:rsidRDefault="00E31D97" w:rsidP="00E31D97">
      <w:pPr>
        <w:ind w:firstLineChars="200" w:firstLine="600"/>
        <w:rPr>
          <w:rFonts w:ascii="仿宋" w:eastAsia="仿宋" w:hAnsi="仿宋" w:cs="Times New Roman"/>
          <w:sz w:val="30"/>
          <w:szCs w:val="30"/>
        </w:rPr>
      </w:pPr>
    </w:p>
    <w:p w14:paraId="599D1E78" w14:textId="0DEE0785" w:rsidR="00E31D97" w:rsidRPr="00E31D97" w:rsidRDefault="00E31D97" w:rsidP="001D12FB">
      <w:pPr>
        <w:ind w:firstLineChars="200" w:firstLine="600"/>
        <w:jc w:val="center"/>
        <w:rPr>
          <w:rFonts w:ascii="仿宋" w:eastAsia="仿宋" w:hAnsi="仿宋" w:cs="Times New Roman"/>
          <w:sz w:val="28"/>
          <w:szCs w:val="28"/>
        </w:rPr>
      </w:pPr>
      <w:r w:rsidRPr="00E31D97">
        <w:rPr>
          <w:rFonts w:ascii="仿宋" w:eastAsia="仿宋" w:hAnsi="仿宋" w:cs="Times New Roman" w:hint="eastAsia"/>
          <w:sz w:val="30"/>
          <w:szCs w:val="30"/>
        </w:rPr>
        <w:t xml:space="preserve"> </w:t>
      </w:r>
      <w:r w:rsidRPr="00E31D97">
        <w:rPr>
          <w:rFonts w:ascii="仿宋" w:eastAsia="仿宋" w:hAnsi="仿宋" w:cs="Times New Roman"/>
          <w:sz w:val="30"/>
          <w:szCs w:val="30"/>
        </w:rPr>
        <w:t xml:space="preserve">         </w:t>
      </w:r>
      <w:r w:rsidRPr="00E31D97">
        <w:rPr>
          <w:rFonts w:ascii="仿宋" w:eastAsia="仿宋" w:hAnsi="仿宋" w:cs="Times New Roman"/>
          <w:b/>
          <w:bCs/>
          <w:sz w:val="30"/>
          <w:szCs w:val="30"/>
        </w:rPr>
        <w:t xml:space="preserve">     </w:t>
      </w:r>
    </w:p>
    <w:p w14:paraId="301D0EE3" w14:textId="77777777" w:rsidR="001D12FB" w:rsidRDefault="00E31D97" w:rsidP="00E31D97">
      <w:pPr>
        <w:ind w:firstLineChars="200" w:firstLine="600"/>
        <w:jc w:val="center"/>
        <w:rPr>
          <w:rFonts w:ascii="仿宋" w:eastAsia="仿宋" w:hAnsi="仿宋" w:cs="Times New Roman"/>
          <w:sz w:val="30"/>
          <w:szCs w:val="30"/>
        </w:rPr>
      </w:pPr>
      <w:r w:rsidRPr="00E31D97">
        <w:rPr>
          <w:rFonts w:ascii="仿宋" w:eastAsia="仿宋" w:hAnsi="仿宋" w:cs="Times New Roman"/>
          <w:sz w:val="30"/>
          <w:szCs w:val="30"/>
        </w:rPr>
        <w:t xml:space="preserve">                 </w:t>
      </w:r>
    </w:p>
    <w:p w14:paraId="5D6A43DB" w14:textId="4BB8915D" w:rsidR="00E31D97" w:rsidRDefault="001D12FB" w:rsidP="00E31D97">
      <w:pPr>
        <w:ind w:firstLineChars="200" w:firstLine="600"/>
        <w:jc w:val="center"/>
        <w:rPr>
          <w:rFonts w:ascii="仿宋" w:eastAsia="仿宋" w:hAnsi="仿宋" w:cs="Times New Roman"/>
          <w:sz w:val="30"/>
          <w:szCs w:val="30"/>
        </w:rPr>
      </w:pPr>
      <w:r>
        <w:rPr>
          <w:rFonts w:ascii="仿宋" w:eastAsia="仿宋" w:hAnsi="仿宋" w:cs="Times New Roman"/>
          <w:sz w:val="30"/>
          <w:szCs w:val="30"/>
        </w:rPr>
        <w:t xml:space="preserve">                    </w:t>
      </w:r>
      <w:r w:rsidR="00E31D97" w:rsidRPr="00E31D97">
        <w:rPr>
          <w:rFonts w:ascii="仿宋" w:eastAsia="仿宋" w:hAnsi="仿宋" w:cs="Times New Roman"/>
          <w:sz w:val="30"/>
          <w:szCs w:val="30"/>
        </w:rPr>
        <w:t xml:space="preserve"> 2021</w:t>
      </w:r>
      <w:r w:rsidR="00E31D97" w:rsidRPr="00E31D97">
        <w:rPr>
          <w:rFonts w:ascii="仿宋" w:eastAsia="仿宋" w:hAnsi="仿宋" w:cs="Times New Roman" w:hint="eastAsia"/>
          <w:sz w:val="30"/>
          <w:szCs w:val="30"/>
        </w:rPr>
        <w:t>年7月1日</w:t>
      </w:r>
    </w:p>
    <w:p w14:paraId="0B59B076" w14:textId="77777777" w:rsidR="002B5F6B" w:rsidRDefault="002B5F6B" w:rsidP="00E31D97">
      <w:pPr>
        <w:ind w:firstLineChars="200" w:firstLine="600"/>
        <w:jc w:val="center"/>
        <w:rPr>
          <w:rFonts w:ascii="仿宋" w:eastAsia="仿宋" w:hAnsi="仿宋" w:cs="Times New Roman"/>
          <w:sz w:val="30"/>
          <w:szCs w:val="30"/>
        </w:rPr>
      </w:pPr>
    </w:p>
    <w:p w14:paraId="67F65E5B" w14:textId="22B38E63" w:rsidR="002B5F6B" w:rsidRDefault="002B5F6B" w:rsidP="00E31D97">
      <w:pPr>
        <w:ind w:firstLineChars="200" w:firstLine="600"/>
        <w:jc w:val="center"/>
        <w:rPr>
          <w:rFonts w:ascii="仿宋" w:eastAsia="仿宋" w:hAnsi="仿宋" w:cs="Times New Roman"/>
          <w:sz w:val="30"/>
          <w:szCs w:val="30"/>
        </w:rPr>
        <w:sectPr w:rsidR="002B5F6B">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sdt>
      <w:sdtPr>
        <w:rPr>
          <w:rFonts w:asciiTheme="minorHAnsi" w:eastAsia="宋体" w:hAnsiTheme="minorHAnsi" w:cstheme="minorBidi"/>
          <w:b w:val="0"/>
          <w:bCs w:val="0"/>
          <w:color w:val="auto"/>
          <w:kern w:val="2"/>
          <w:sz w:val="21"/>
          <w:szCs w:val="22"/>
          <w:lang w:val="zh-CN"/>
        </w:rPr>
        <w:id w:val="-158921671"/>
        <w:docPartObj>
          <w:docPartGallery w:val="Table of Contents"/>
          <w:docPartUnique/>
        </w:docPartObj>
      </w:sdtPr>
      <w:sdtContent>
        <w:p w14:paraId="4817EF1B" w14:textId="62FC4ADC" w:rsidR="001677E3" w:rsidRPr="00A160B9" w:rsidRDefault="001677E3" w:rsidP="00567A59">
          <w:pPr>
            <w:pStyle w:val="TOC"/>
            <w:spacing w:before="0" w:line="240" w:lineRule="auto"/>
            <w:jc w:val="center"/>
            <w:rPr>
              <w:rFonts w:ascii="Times New Roman" w:eastAsia="宋体" w:hAnsi="Times New Roman" w:cs="Times New Roman"/>
              <w:color w:val="auto"/>
              <w:sz w:val="44"/>
              <w:szCs w:val="44"/>
              <w:lang w:val="zh-CN"/>
            </w:rPr>
          </w:pPr>
          <w:r w:rsidRPr="00A160B9">
            <w:rPr>
              <w:rFonts w:ascii="Times New Roman" w:eastAsia="宋体" w:hAnsi="Times New Roman" w:cs="Times New Roman"/>
              <w:color w:val="auto"/>
              <w:sz w:val="44"/>
              <w:szCs w:val="44"/>
              <w:lang w:val="zh-CN"/>
            </w:rPr>
            <w:t>目</w:t>
          </w:r>
          <w:r w:rsidR="000857BB" w:rsidRPr="00A160B9">
            <w:rPr>
              <w:rFonts w:ascii="Times New Roman" w:eastAsia="宋体" w:hAnsi="Times New Roman" w:cs="Times New Roman"/>
              <w:color w:val="auto"/>
              <w:sz w:val="44"/>
              <w:szCs w:val="44"/>
              <w:lang w:val="zh-CN"/>
            </w:rPr>
            <w:t xml:space="preserve">  </w:t>
          </w:r>
          <w:r w:rsidRPr="00A160B9">
            <w:rPr>
              <w:rFonts w:ascii="Times New Roman" w:eastAsia="宋体" w:hAnsi="Times New Roman" w:cs="Times New Roman"/>
              <w:color w:val="auto"/>
              <w:sz w:val="44"/>
              <w:szCs w:val="44"/>
              <w:lang w:val="zh-CN"/>
            </w:rPr>
            <w:t>录</w:t>
          </w:r>
        </w:p>
        <w:p w14:paraId="03D0D602" w14:textId="7639D88E" w:rsidR="00532A44" w:rsidRPr="00A160B9" w:rsidRDefault="00532A44" w:rsidP="00567A59">
          <w:pPr>
            <w:jc w:val="center"/>
            <w:rPr>
              <w:rFonts w:ascii="Times New Roman" w:hAnsi="Times New Roman" w:cs="Times New Roman"/>
              <w:b/>
              <w:bCs/>
              <w:sz w:val="36"/>
              <w:szCs w:val="40"/>
              <w:lang w:val="zh-CN"/>
            </w:rPr>
          </w:pPr>
          <w:r w:rsidRPr="00A160B9">
            <w:rPr>
              <w:rFonts w:ascii="Times New Roman" w:hAnsi="Times New Roman" w:cs="Times New Roman"/>
              <w:b/>
              <w:bCs/>
              <w:sz w:val="36"/>
              <w:szCs w:val="40"/>
              <w:lang w:val="zh-CN"/>
            </w:rPr>
            <w:t>（上册）</w:t>
          </w:r>
        </w:p>
        <w:p w14:paraId="4B3541C6" w14:textId="17EE4006" w:rsidR="002B5F6B" w:rsidRPr="00A160B9" w:rsidRDefault="001677E3" w:rsidP="002B5F6B">
          <w:pPr>
            <w:pStyle w:val="TOC10"/>
            <w:tabs>
              <w:tab w:val="right" w:leader="dot" w:pos="8296"/>
            </w:tabs>
            <w:spacing w:line="312" w:lineRule="auto"/>
            <w:rPr>
              <w:rStyle w:val="aff0"/>
              <w:b/>
              <w:bCs/>
              <w:sz w:val="28"/>
              <w:szCs w:val="28"/>
            </w:rPr>
          </w:pPr>
          <w:r w:rsidRPr="00A160B9">
            <w:fldChar w:fldCharType="begin"/>
          </w:r>
          <w:r w:rsidRPr="00A160B9">
            <w:instrText xml:space="preserve"> TOC \o "1-3" \h \z \u </w:instrText>
          </w:r>
          <w:r w:rsidRPr="00A160B9">
            <w:fldChar w:fldCharType="separate"/>
          </w:r>
          <w:hyperlink w:anchor="_Toc81833280" w:history="1">
            <w:r w:rsidR="002B5F6B" w:rsidRPr="00A160B9">
              <w:rPr>
                <w:rStyle w:val="aff0"/>
                <w:b/>
                <w:bCs/>
                <w:noProof/>
                <w:sz w:val="28"/>
                <w:szCs w:val="28"/>
              </w:rPr>
              <w:t>资产评估法</w:t>
            </w:r>
            <w:r w:rsidR="002B5F6B" w:rsidRPr="00A160B9">
              <w:rPr>
                <w:rStyle w:val="aff0"/>
                <w:b/>
                <w:bCs/>
                <w:webHidden/>
                <w:sz w:val="28"/>
                <w:szCs w:val="28"/>
              </w:rPr>
              <w:tab/>
            </w:r>
            <w:r w:rsidR="002B5F6B" w:rsidRPr="00A160B9">
              <w:rPr>
                <w:rStyle w:val="aff0"/>
                <w:b/>
                <w:bCs/>
                <w:webHidden/>
                <w:sz w:val="28"/>
                <w:szCs w:val="28"/>
              </w:rPr>
              <w:fldChar w:fldCharType="begin"/>
            </w:r>
            <w:r w:rsidR="002B5F6B" w:rsidRPr="00A160B9">
              <w:rPr>
                <w:rStyle w:val="aff0"/>
                <w:b/>
                <w:bCs/>
                <w:webHidden/>
                <w:sz w:val="28"/>
                <w:szCs w:val="28"/>
              </w:rPr>
              <w:instrText xml:space="preserve"> PAGEREF _Toc81833280 \h </w:instrText>
            </w:r>
            <w:r w:rsidR="002B5F6B" w:rsidRPr="00A160B9">
              <w:rPr>
                <w:rStyle w:val="aff0"/>
                <w:b/>
                <w:bCs/>
                <w:webHidden/>
                <w:sz w:val="28"/>
                <w:szCs w:val="28"/>
              </w:rPr>
            </w:r>
            <w:r w:rsidR="002B5F6B" w:rsidRPr="00A160B9">
              <w:rPr>
                <w:rStyle w:val="aff0"/>
                <w:b/>
                <w:bCs/>
                <w:webHidden/>
                <w:sz w:val="28"/>
                <w:szCs w:val="28"/>
              </w:rPr>
              <w:fldChar w:fldCharType="separate"/>
            </w:r>
            <w:r w:rsidR="00CC19DA" w:rsidRPr="00A160B9">
              <w:rPr>
                <w:rStyle w:val="aff0"/>
                <w:b/>
                <w:bCs/>
                <w:noProof/>
                <w:webHidden/>
                <w:sz w:val="28"/>
                <w:szCs w:val="28"/>
              </w:rPr>
              <w:t>1</w:t>
            </w:r>
            <w:r w:rsidR="002B5F6B" w:rsidRPr="00A160B9">
              <w:rPr>
                <w:rStyle w:val="aff0"/>
                <w:b/>
                <w:bCs/>
                <w:webHidden/>
                <w:sz w:val="28"/>
                <w:szCs w:val="28"/>
              </w:rPr>
              <w:fldChar w:fldCharType="end"/>
            </w:r>
          </w:hyperlink>
        </w:p>
        <w:p w14:paraId="5529185A" w14:textId="2F17244D" w:rsidR="002B5F6B" w:rsidRPr="00A160B9" w:rsidRDefault="00000000" w:rsidP="002B5F6B">
          <w:pPr>
            <w:pStyle w:val="TOC2"/>
            <w:tabs>
              <w:tab w:val="right" w:leader="dot" w:pos="8296"/>
            </w:tabs>
            <w:spacing w:line="312" w:lineRule="auto"/>
            <w:ind w:leftChars="100" w:left="210"/>
            <w:rPr>
              <w:rStyle w:val="aff0"/>
              <w:b/>
              <w:bCs/>
              <w:sz w:val="24"/>
            </w:rPr>
          </w:pPr>
          <w:hyperlink w:anchor="_Toc81833281" w:history="1">
            <w:r w:rsidR="002B5F6B" w:rsidRPr="00A160B9">
              <w:rPr>
                <w:rStyle w:val="aff0"/>
                <w:b/>
                <w:bCs/>
                <w:noProof/>
                <w:sz w:val="24"/>
              </w:rPr>
              <w:t>《中华人民共和国资产评估法》</w:t>
            </w:r>
            <w:r w:rsidR="002B5F6B" w:rsidRPr="00A160B9">
              <w:rPr>
                <w:rStyle w:val="aff0"/>
                <w:b/>
                <w:bCs/>
                <w:webHidden/>
                <w:sz w:val="24"/>
              </w:rPr>
              <w:tab/>
            </w:r>
            <w:r w:rsidR="002B5F6B" w:rsidRPr="00A160B9">
              <w:rPr>
                <w:rStyle w:val="aff0"/>
                <w:b/>
                <w:bCs/>
                <w:webHidden/>
                <w:sz w:val="24"/>
              </w:rPr>
              <w:fldChar w:fldCharType="begin"/>
            </w:r>
            <w:r w:rsidR="002B5F6B" w:rsidRPr="00A160B9">
              <w:rPr>
                <w:rStyle w:val="aff0"/>
                <w:b/>
                <w:bCs/>
                <w:webHidden/>
                <w:sz w:val="24"/>
              </w:rPr>
              <w:instrText xml:space="preserve"> PAGEREF _Toc81833281 \h </w:instrText>
            </w:r>
            <w:r w:rsidR="002B5F6B" w:rsidRPr="00A160B9">
              <w:rPr>
                <w:rStyle w:val="aff0"/>
                <w:b/>
                <w:bCs/>
                <w:webHidden/>
                <w:sz w:val="24"/>
              </w:rPr>
            </w:r>
            <w:r w:rsidR="002B5F6B" w:rsidRPr="00A160B9">
              <w:rPr>
                <w:rStyle w:val="aff0"/>
                <w:b/>
                <w:bCs/>
                <w:webHidden/>
                <w:sz w:val="24"/>
              </w:rPr>
              <w:fldChar w:fldCharType="separate"/>
            </w:r>
            <w:r w:rsidR="00CC19DA" w:rsidRPr="00A160B9">
              <w:rPr>
                <w:rStyle w:val="aff0"/>
                <w:b/>
                <w:bCs/>
                <w:noProof/>
                <w:webHidden/>
                <w:sz w:val="24"/>
              </w:rPr>
              <w:t>1</w:t>
            </w:r>
            <w:r w:rsidR="002B5F6B" w:rsidRPr="00A160B9">
              <w:rPr>
                <w:rStyle w:val="aff0"/>
                <w:b/>
                <w:bCs/>
                <w:webHidden/>
                <w:sz w:val="24"/>
              </w:rPr>
              <w:fldChar w:fldCharType="end"/>
            </w:r>
          </w:hyperlink>
        </w:p>
        <w:p w14:paraId="24982337" w14:textId="7D3CAF70" w:rsidR="002B5F6B" w:rsidRPr="00A160B9" w:rsidRDefault="00000000" w:rsidP="002B5F6B">
          <w:pPr>
            <w:pStyle w:val="TOC2"/>
            <w:tabs>
              <w:tab w:val="right" w:leader="dot" w:pos="8296"/>
            </w:tabs>
            <w:spacing w:line="312" w:lineRule="auto"/>
            <w:ind w:leftChars="100" w:left="210"/>
            <w:rPr>
              <w:rStyle w:val="aff0"/>
              <w:b/>
              <w:bCs/>
              <w:sz w:val="24"/>
            </w:rPr>
          </w:pPr>
          <w:hyperlink w:anchor="_Toc81833282" w:history="1">
            <w:r w:rsidR="002B5F6B" w:rsidRPr="00A160B9">
              <w:rPr>
                <w:rStyle w:val="aff0"/>
                <w:b/>
                <w:bCs/>
                <w:noProof/>
                <w:sz w:val="24"/>
              </w:rPr>
              <w:t>全国人大常委会办公厅就《资产评估法》的相关问题答记者问</w:t>
            </w:r>
            <w:r w:rsidR="002B5F6B" w:rsidRPr="00A160B9">
              <w:rPr>
                <w:rStyle w:val="aff0"/>
                <w:b/>
                <w:bCs/>
                <w:webHidden/>
                <w:sz w:val="24"/>
              </w:rPr>
              <w:tab/>
            </w:r>
            <w:r w:rsidR="002B5F6B" w:rsidRPr="00A160B9">
              <w:rPr>
                <w:rStyle w:val="aff0"/>
                <w:b/>
                <w:bCs/>
                <w:webHidden/>
                <w:sz w:val="24"/>
              </w:rPr>
              <w:fldChar w:fldCharType="begin"/>
            </w:r>
            <w:r w:rsidR="002B5F6B" w:rsidRPr="00A160B9">
              <w:rPr>
                <w:rStyle w:val="aff0"/>
                <w:b/>
                <w:bCs/>
                <w:webHidden/>
                <w:sz w:val="24"/>
              </w:rPr>
              <w:instrText xml:space="preserve"> PAGEREF _Toc81833282 \h </w:instrText>
            </w:r>
            <w:r w:rsidR="002B5F6B" w:rsidRPr="00A160B9">
              <w:rPr>
                <w:rStyle w:val="aff0"/>
                <w:b/>
                <w:bCs/>
                <w:webHidden/>
                <w:sz w:val="24"/>
              </w:rPr>
            </w:r>
            <w:r w:rsidR="002B5F6B" w:rsidRPr="00A160B9">
              <w:rPr>
                <w:rStyle w:val="aff0"/>
                <w:b/>
                <w:bCs/>
                <w:webHidden/>
                <w:sz w:val="24"/>
              </w:rPr>
              <w:fldChar w:fldCharType="separate"/>
            </w:r>
            <w:r w:rsidR="00CC19DA" w:rsidRPr="00A160B9">
              <w:rPr>
                <w:rStyle w:val="aff0"/>
                <w:b/>
                <w:bCs/>
                <w:noProof/>
                <w:webHidden/>
                <w:sz w:val="24"/>
              </w:rPr>
              <w:t>8</w:t>
            </w:r>
            <w:r w:rsidR="002B5F6B" w:rsidRPr="00A160B9">
              <w:rPr>
                <w:rStyle w:val="aff0"/>
                <w:b/>
                <w:bCs/>
                <w:webHidden/>
                <w:sz w:val="24"/>
              </w:rPr>
              <w:fldChar w:fldCharType="end"/>
            </w:r>
          </w:hyperlink>
        </w:p>
        <w:p w14:paraId="7B8BCBBE" w14:textId="11B76087" w:rsidR="002B5F6B" w:rsidRPr="00A160B9" w:rsidRDefault="00000000" w:rsidP="002B5F6B">
          <w:pPr>
            <w:pStyle w:val="TOC2"/>
            <w:tabs>
              <w:tab w:val="right" w:leader="dot" w:pos="8296"/>
            </w:tabs>
            <w:spacing w:line="312" w:lineRule="auto"/>
            <w:ind w:leftChars="100" w:left="210"/>
            <w:rPr>
              <w:rStyle w:val="aff0"/>
              <w:b/>
              <w:bCs/>
              <w:sz w:val="24"/>
            </w:rPr>
          </w:pPr>
          <w:hyperlink w:anchor="_Toc81833283" w:history="1">
            <w:r w:rsidR="002B5F6B" w:rsidRPr="00A160B9">
              <w:rPr>
                <w:rStyle w:val="aff0"/>
                <w:b/>
                <w:bCs/>
                <w:noProof/>
                <w:sz w:val="24"/>
              </w:rPr>
              <w:t>贯彻实施《中华人民共和国资产评估法》的通知</w:t>
            </w:r>
            <w:r w:rsidR="002B5F6B" w:rsidRPr="00A160B9">
              <w:rPr>
                <w:rStyle w:val="aff0"/>
                <w:b/>
                <w:bCs/>
                <w:webHidden/>
                <w:sz w:val="24"/>
              </w:rPr>
              <w:tab/>
            </w:r>
            <w:r w:rsidR="002B5F6B" w:rsidRPr="00A160B9">
              <w:rPr>
                <w:rStyle w:val="aff0"/>
                <w:b/>
                <w:bCs/>
                <w:webHidden/>
                <w:sz w:val="24"/>
              </w:rPr>
              <w:fldChar w:fldCharType="begin"/>
            </w:r>
            <w:r w:rsidR="002B5F6B" w:rsidRPr="00A160B9">
              <w:rPr>
                <w:rStyle w:val="aff0"/>
                <w:b/>
                <w:bCs/>
                <w:webHidden/>
                <w:sz w:val="24"/>
              </w:rPr>
              <w:instrText xml:space="preserve"> PAGEREF _Toc81833283 \h </w:instrText>
            </w:r>
            <w:r w:rsidR="002B5F6B" w:rsidRPr="00A160B9">
              <w:rPr>
                <w:rStyle w:val="aff0"/>
                <w:b/>
                <w:bCs/>
                <w:webHidden/>
                <w:sz w:val="24"/>
              </w:rPr>
            </w:r>
            <w:r w:rsidR="002B5F6B" w:rsidRPr="00A160B9">
              <w:rPr>
                <w:rStyle w:val="aff0"/>
                <w:b/>
                <w:bCs/>
                <w:webHidden/>
                <w:sz w:val="24"/>
              </w:rPr>
              <w:fldChar w:fldCharType="separate"/>
            </w:r>
            <w:r w:rsidR="00CC19DA" w:rsidRPr="00A160B9">
              <w:rPr>
                <w:rStyle w:val="aff0"/>
                <w:b/>
                <w:bCs/>
                <w:noProof/>
                <w:webHidden/>
                <w:sz w:val="24"/>
              </w:rPr>
              <w:t>12</w:t>
            </w:r>
            <w:r w:rsidR="002B5F6B" w:rsidRPr="00A160B9">
              <w:rPr>
                <w:rStyle w:val="aff0"/>
                <w:b/>
                <w:bCs/>
                <w:webHidden/>
                <w:sz w:val="24"/>
              </w:rPr>
              <w:fldChar w:fldCharType="end"/>
            </w:r>
          </w:hyperlink>
        </w:p>
        <w:p w14:paraId="3D144544" w14:textId="478FD01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284" w:history="1">
            <w:r w:rsidR="002B5F6B" w:rsidRPr="00A160B9">
              <w:rPr>
                <w:rStyle w:val="aff0"/>
                <w:rFonts w:ascii="Times New Roman" w:hAnsi="Times New Roman"/>
                <w:noProof/>
                <w:sz w:val="22"/>
                <w:szCs w:val="24"/>
              </w:rPr>
              <w:t>财政部关于贯彻实施《中华人民共和国资产评估法》的通知</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（财资﹝</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93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_Toc81833284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w:t>
            </w:r>
            <w:r w:rsidR="002B5F6B" w:rsidRPr="00A160B9">
              <w:rPr>
                <w:rStyle w:val="aff0"/>
                <w:rFonts w:ascii="Times New Roman" w:hAnsi="Times New Roman"/>
                <w:webHidden/>
                <w:sz w:val="22"/>
                <w:szCs w:val="24"/>
              </w:rPr>
              <w:fldChar w:fldCharType="end"/>
            </w:r>
          </w:hyperlink>
        </w:p>
        <w:p w14:paraId="4DB20450" w14:textId="7075F79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285" w:history="1">
            <w:r w:rsidR="002B5F6B" w:rsidRPr="00A160B9">
              <w:rPr>
                <w:rStyle w:val="aff0"/>
                <w:rFonts w:ascii="Times New Roman" w:hAnsi="Times New Roman"/>
                <w:noProof/>
                <w:sz w:val="22"/>
                <w:szCs w:val="24"/>
              </w:rPr>
              <w:t>住房城乡建设部关于贯彻落实资产评估法规范房地产估价行业管理</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有关问题的通知（建房﹝</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275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_Toc81833285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w:t>
            </w:r>
            <w:r w:rsidR="002B5F6B" w:rsidRPr="00A160B9">
              <w:rPr>
                <w:rStyle w:val="aff0"/>
                <w:rFonts w:ascii="Times New Roman" w:hAnsi="Times New Roman"/>
                <w:webHidden/>
                <w:sz w:val="22"/>
                <w:szCs w:val="24"/>
              </w:rPr>
              <w:fldChar w:fldCharType="end"/>
            </w:r>
          </w:hyperlink>
        </w:p>
        <w:p w14:paraId="415C5D42" w14:textId="035E45AC" w:rsidR="002B5F6B" w:rsidRPr="00A160B9" w:rsidRDefault="00000000" w:rsidP="002B5F6B">
          <w:pPr>
            <w:pStyle w:val="TOC3"/>
            <w:tabs>
              <w:tab w:val="right" w:leader="dot" w:pos="8296"/>
            </w:tabs>
            <w:spacing w:line="312" w:lineRule="auto"/>
            <w:ind w:leftChars="200" w:left="420"/>
            <w:rPr>
              <w:rFonts w:ascii="Times New Roman" w:eastAsiaTheme="minorEastAsia" w:hAnsi="Times New Roman"/>
              <w:noProof/>
            </w:rPr>
          </w:pPr>
          <w:hyperlink w:anchor="_Toc81833286" w:history="1">
            <w:r w:rsidR="002B5F6B" w:rsidRPr="00A160B9">
              <w:rPr>
                <w:rStyle w:val="aff0"/>
                <w:rFonts w:ascii="Times New Roman" w:hAnsi="Times New Roman"/>
                <w:noProof/>
                <w:sz w:val="22"/>
                <w:szCs w:val="24"/>
              </w:rPr>
              <w:t>国土资源部关于贯彻实施《中华人民共和国资产评估法》的通知</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（国土资发﹝</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181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_Toc81833286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w:t>
            </w:r>
            <w:r w:rsidR="002B5F6B" w:rsidRPr="00A160B9">
              <w:rPr>
                <w:rStyle w:val="aff0"/>
                <w:rFonts w:ascii="Times New Roman" w:hAnsi="Times New Roman"/>
                <w:webHidden/>
                <w:sz w:val="22"/>
                <w:szCs w:val="24"/>
              </w:rPr>
              <w:fldChar w:fldCharType="end"/>
            </w:r>
          </w:hyperlink>
        </w:p>
        <w:p w14:paraId="0F7291E9" w14:textId="6498ADBF"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287" w:history="1">
            <w:r w:rsidR="002B5F6B" w:rsidRPr="00A160B9">
              <w:rPr>
                <w:rStyle w:val="aff0"/>
                <w:b/>
                <w:bCs/>
                <w:noProof/>
                <w:sz w:val="24"/>
              </w:rPr>
              <w:t>资产评估行业财政监督管理办法（财政部令第</w:t>
            </w:r>
            <w:r w:rsidR="002B5F6B" w:rsidRPr="00A160B9">
              <w:rPr>
                <w:rStyle w:val="aff0"/>
                <w:b/>
                <w:bCs/>
                <w:noProof/>
                <w:sz w:val="24"/>
              </w:rPr>
              <w:t>86</w:t>
            </w:r>
            <w:r w:rsidR="002B5F6B" w:rsidRPr="00A160B9">
              <w:rPr>
                <w:rStyle w:val="aff0"/>
                <w:b/>
                <w:bCs/>
                <w:noProof/>
                <w:sz w:val="24"/>
              </w:rPr>
              <w:t>号</w:t>
            </w:r>
            <w:r w:rsidR="002B5F6B" w:rsidRPr="00A160B9">
              <w:rPr>
                <w:rStyle w:val="aff0"/>
                <w:b/>
                <w:bCs/>
                <w:noProof/>
                <w:sz w:val="24"/>
              </w:rPr>
              <w:t>2019</w:t>
            </w:r>
            <w:r w:rsidR="002B5F6B" w:rsidRPr="00A160B9">
              <w:rPr>
                <w:rStyle w:val="aff0"/>
                <w:b/>
                <w:bCs/>
                <w:noProof/>
                <w:sz w:val="24"/>
              </w:rPr>
              <w:t>年修改）</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_Toc81833287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19</w:t>
            </w:r>
            <w:r w:rsidR="002B5F6B" w:rsidRPr="00A160B9">
              <w:rPr>
                <w:rStyle w:val="aff0"/>
                <w:b/>
                <w:bCs/>
                <w:noProof/>
                <w:webHidden/>
                <w:sz w:val="24"/>
              </w:rPr>
              <w:fldChar w:fldCharType="end"/>
            </w:r>
          </w:hyperlink>
        </w:p>
        <w:p w14:paraId="39543E75" w14:textId="6C839563" w:rsidR="002B5F6B" w:rsidRPr="00A160B9" w:rsidRDefault="00000000" w:rsidP="002B5F6B">
          <w:pPr>
            <w:pStyle w:val="TOC10"/>
            <w:tabs>
              <w:tab w:val="right" w:leader="dot" w:pos="8296"/>
            </w:tabs>
            <w:spacing w:line="312" w:lineRule="auto"/>
            <w:rPr>
              <w:rStyle w:val="aff0"/>
              <w:b/>
              <w:bCs/>
              <w:sz w:val="28"/>
              <w:szCs w:val="28"/>
            </w:rPr>
          </w:pPr>
          <w:hyperlink w:anchor="_Toc81833288" w:history="1">
            <w:r w:rsidR="002B5F6B" w:rsidRPr="00A160B9">
              <w:rPr>
                <w:rStyle w:val="aff0"/>
                <w:b/>
                <w:bCs/>
                <w:noProof/>
                <w:sz w:val="28"/>
                <w:szCs w:val="28"/>
              </w:rPr>
              <w:t>资产评估执业规范类</w:t>
            </w:r>
            <w:r w:rsidR="002B5F6B" w:rsidRPr="00A160B9">
              <w:rPr>
                <w:rStyle w:val="aff0"/>
                <w:b/>
                <w:bCs/>
                <w:webHidden/>
                <w:sz w:val="28"/>
                <w:szCs w:val="28"/>
              </w:rPr>
              <w:tab/>
            </w:r>
            <w:r w:rsidR="002B5F6B" w:rsidRPr="00A160B9">
              <w:rPr>
                <w:rStyle w:val="aff0"/>
                <w:b/>
                <w:bCs/>
                <w:webHidden/>
                <w:sz w:val="28"/>
                <w:szCs w:val="28"/>
              </w:rPr>
              <w:fldChar w:fldCharType="begin"/>
            </w:r>
            <w:r w:rsidR="002B5F6B" w:rsidRPr="00A160B9">
              <w:rPr>
                <w:rStyle w:val="aff0"/>
                <w:b/>
                <w:bCs/>
                <w:webHidden/>
                <w:sz w:val="28"/>
                <w:szCs w:val="28"/>
              </w:rPr>
              <w:instrText xml:space="preserve"> PAGEREF _Toc81833288 \h </w:instrText>
            </w:r>
            <w:r w:rsidR="002B5F6B" w:rsidRPr="00A160B9">
              <w:rPr>
                <w:rStyle w:val="aff0"/>
                <w:b/>
                <w:bCs/>
                <w:webHidden/>
                <w:sz w:val="28"/>
                <w:szCs w:val="28"/>
              </w:rPr>
            </w:r>
            <w:r w:rsidR="002B5F6B" w:rsidRPr="00A160B9">
              <w:rPr>
                <w:rStyle w:val="aff0"/>
                <w:b/>
                <w:bCs/>
                <w:webHidden/>
                <w:sz w:val="28"/>
                <w:szCs w:val="28"/>
              </w:rPr>
              <w:fldChar w:fldCharType="separate"/>
            </w:r>
            <w:r w:rsidR="00CC19DA" w:rsidRPr="00A160B9">
              <w:rPr>
                <w:rStyle w:val="aff0"/>
                <w:b/>
                <w:bCs/>
                <w:noProof/>
                <w:webHidden/>
                <w:sz w:val="28"/>
                <w:szCs w:val="28"/>
              </w:rPr>
              <w:t>29</w:t>
            </w:r>
            <w:r w:rsidR="002B5F6B" w:rsidRPr="00A160B9">
              <w:rPr>
                <w:rStyle w:val="aff0"/>
                <w:b/>
                <w:bCs/>
                <w:webHidden/>
                <w:sz w:val="28"/>
                <w:szCs w:val="28"/>
              </w:rPr>
              <w:fldChar w:fldCharType="end"/>
            </w:r>
          </w:hyperlink>
        </w:p>
        <w:p w14:paraId="6FECEBC9" w14:textId="19563D98"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289" w:history="1">
            <w:r w:rsidR="002B5F6B" w:rsidRPr="00A160B9">
              <w:rPr>
                <w:rStyle w:val="aff0"/>
                <w:b/>
                <w:bCs/>
                <w:noProof/>
                <w:sz w:val="24"/>
              </w:rPr>
              <w:t>中国资产评估准则体系</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_Toc81833289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29</w:t>
            </w:r>
            <w:r w:rsidR="002B5F6B" w:rsidRPr="00A160B9">
              <w:rPr>
                <w:rStyle w:val="aff0"/>
                <w:b/>
                <w:bCs/>
                <w:noProof/>
                <w:webHidden/>
                <w:sz w:val="24"/>
              </w:rPr>
              <w:fldChar w:fldCharType="end"/>
            </w:r>
          </w:hyperlink>
        </w:p>
        <w:p w14:paraId="6F1E83B0" w14:textId="50EAF28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290" w:history="1">
            <w:r w:rsidR="002B5F6B" w:rsidRPr="00A160B9">
              <w:rPr>
                <w:rStyle w:val="aff0"/>
                <w:rFonts w:ascii="Times New Roman" w:hAnsi="Times New Roman"/>
                <w:noProof/>
                <w:sz w:val="22"/>
                <w:szCs w:val="24"/>
              </w:rPr>
              <w:t>中国资产评估准则体系说明</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_Toc81833290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29</w:t>
            </w:r>
            <w:r w:rsidR="002B5F6B" w:rsidRPr="00A160B9">
              <w:rPr>
                <w:rStyle w:val="aff0"/>
                <w:rFonts w:ascii="Times New Roman" w:hAnsi="Times New Roman"/>
                <w:webHidden/>
                <w:sz w:val="22"/>
                <w:szCs w:val="24"/>
              </w:rPr>
              <w:fldChar w:fldCharType="end"/>
            </w:r>
          </w:hyperlink>
        </w:p>
        <w:p w14:paraId="00AEF8F1" w14:textId="0792C4A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291" w:history="1">
            <w:r w:rsidR="002B5F6B" w:rsidRPr="00A160B9">
              <w:rPr>
                <w:rStyle w:val="aff0"/>
                <w:rFonts w:ascii="Times New Roman" w:hAnsi="Times New Roman"/>
                <w:noProof/>
                <w:sz w:val="22"/>
                <w:szCs w:val="24"/>
              </w:rPr>
              <w:t>创新执业准则体系</w:t>
            </w:r>
            <w:r w:rsidR="002B5F6B" w:rsidRPr="00A160B9">
              <w:rPr>
                <w:rStyle w:val="aff0"/>
                <w:rFonts w:ascii="Times New Roman" w:hAnsi="Times New Roman"/>
                <w:noProof/>
                <w:sz w:val="22"/>
                <w:szCs w:val="24"/>
              </w:rPr>
              <w:t xml:space="preserve"> </w:t>
            </w:r>
            <w:r w:rsidR="002B5F6B" w:rsidRPr="00A160B9">
              <w:rPr>
                <w:rStyle w:val="aff0"/>
                <w:rFonts w:ascii="Times New Roman" w:hAnsi="Times New Roman"/>
                <w:noProof/>
                <w:sz w:val="22"/>
                <w:szCs w:val="24"/>
              </w:rPr>
              <w:t>支撑评估专业服务</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_Toc81833291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31</w:t>
            </w:r>
            <w:r w:rsidR="002B5F6B" w:rsidRPr="00A160B9">
              <w:rPr>
                <w:rStyle w:val="aff0"/>
                <w:rFonts w:ascii="Times New Roman" w:hAnsi="Times New Roman"/>
                <w:webHidden/>
                <w:sz w:val="22"/>
                <w:szCs w:val="24"/>
              </w:rPr>
              <w:fldChar w:fldCharType="end"/>
            </w:r>
          </w:hyperlink>
        </w:p>
        <w:p w14:paraId="5390EEB8" w14:textId="71BB86A0"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292" w:history="1">
            <w:r w:rsidR="002B5F6B" w:rsidRPr="00A160B9">
              <w:rPr>
                <w:rStyle w:val="aff0"/>
                <w:b/>
                <w:bCs/>
                <w:noProof/>
                <w:sz w:val="24"/>
              </w:rPr>
              <w:t>基本准则</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_Toc81833292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34</w:t>
            </w:r>
            <w:r w:rsidR="002B5F6B" w:rsidRPr="00A160B9">
              <w:rPr>
                <w:rStyle w:val="aff0"/>
                <w:b/>
                <w:bCs/>
                <w:noProof/>
                <w:webHidden/>
                <w:sz w:val="24"/>
              </w:rPr>
              <w:fldChar w:fldCharType="end"/>
            </w:r>
          </w:hyperlink>
        </w:p>
        <w:p w14:paraId="7A22F962" w14:textId="28E33D7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293" w:history="1">
            <w:r w:rsidR="002B5F6B" w:rsidRPr="00A160B9">
              <w:rPr>
                <w:rStyle w:val="aff0"/>
                <w:rFonts w:ascii="Times New Roman" w:hAnsi="Times New Roman"/>
                <w:noProof/>
                <w:sz w:val="22"/>
                <w:szCs w:val="24"/>
              </w:rPr>
              <w:t>资产评估基本准则（财资〔</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_Toc81833293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34</w:t>
            </w:r>
            <w:r w:rsidR="002B5F6B" w:rsidRPr="00A160B9">
              <w:rPr>
                <w:rStyle w:val="aff0"/>
                <w:rFonts w:ascii="Times New Roman" w:hAnsi="Times New Roman"/>
                <w:webHidden/>
                <w:sz w:val="22"/>
                <w:szCs w:val="24"/>
              </w:rPr>
              <w:fldChar w:fldCharType="end"/>
            </w:r>
          </w:hyperlink>
        </w:p>
        <w:p w14:paraId="2AC62987" w14:textId="6F39A241"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294" w:history="1">
            <w:r w:rsidR="002B5F6B" w:rsidRPr="00A160B9">
              <w:rPr>
                <w:rStyle w:val="aff0"/>
                <w:b/>
                <w:bCs/>
                <w:noProof/>
                <w:sz w:val="24"/>
              </w:rPr>
              <w:t>资产评估职业道德准则</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_Toc81833294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38</w:t>
            </w:r>
            <w:r w:rsidR="002B5F6B" w:rsidRPr="00A160B9">
              <w:rPr>
                <w:rStyle w:val="aff0"/>
                <w:b/>
                <w:bCs/>
                <w:noProof/>
                <w:webHidden/>
                <w:sz w:val="24"/>
              </w:rPr>
              <w:fldChar w:fldCharType="end"/>
            </w:r>
          </w:hyperlink>
        </w:p>
        <w:p w14:paraId="0F33DC83" w14:textId="0F8DF32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295" w:history="1">
            <w:r w:rsidR="002B5F6B" w:rsidRPr="00A160B9">
              <w:rPr>
                <w:rStyle w:val="aff0"/>
                <w:rFonts w:ascii="Times New Roman" w:hAnsi="Times New Roman"/>
                <w:noProof/>
                <w:sz w:val="22"/>
                <w:szCs w:val="24"/>
              </w:rPr>
              <w:t>资产评估职业道德准则（中评协〔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_Toc81833295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38</w:t>
            </w:r>
            <w:r w:rsidR="002B5F6B" w:rsidRPr="00A160B9">
              <w:rPr>
                <w:rStyle w:val="aff0"/>
                <w:rFonts w:ascii="Times New Roman" w:hAnsi="Times New Roman"/>
                <w:webHidden/>
                <w:sz w:val="22"/>
                <w:szCs w:val="24"/>
              </w:rPr>
              <w:fldChar w:fldCharType="end"/>
            </w:r>
          </w:hyperlink>
        </w:p>
        <w:p w14:paraId="539F5778" w14:textId="1302AA72"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296" w:history="1">
            <w:r w:rsidR="002B5F6B" w:rsidRPr="00A160B9">
              <w:rPr>
                <w:rStyle w:val="aff0"/>
                <w:b/>
                <w:bCs/>
                <w:noProof/>
                <w:sz w:val="24"/>
              </w:rPr>
              <w:t>程序性具体准则</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_Toc81833296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41</w:t>
            </w:r>
            <w:r w:rsidR="002B5F6B" w:rsidRPr="00A160B9">
              <w:rPr>
                <w:rStyle w:val="aff0"/>
                <w:b/>
                <w:bCs/>
                <w:noProof/>
                <w:webHidden/>
                <w:sz w:val="24"/>
              </w:rPr>
              <w:fldChar w:fldCharType="end"/>
            </w:r>
          </w:hyperlink>
        </w:p>
        <w:p w14:paraId="22EB742E" w14:textId="1C9A6F5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297"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资产评估委托合同（中评协〔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_Toc81833297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41</w:t>
            </w:r>
            <w:r w:rsidR="002B5F6B" w:rsidRPr="00A160B9">
              <w:rPr>
                <w:rStyle w:val="aff0"/>
                <w:rFonts w:ascii="Times New Roman" w:hAnsi="Times New Roman"/>
                <w:webHidden/>
                <w:sz w:val="22"/>
                <w:szCs w:val="24"/>
              </w:rPr>
              <w:fldChar w:fldCharType="end"/>
            </w:r>
          </w:hyperlink>
        </w:p>
        <w:p w14:paraId="3DD4DD88" w14:textId="4013B9C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298"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利用专家工作及相关报告（中评协〔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_Toc81833298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44</w:t>
            </w:r>
            <w:r w:rsidR="002B5F6B" w:rsidRPr="00A160B9">
              <w:rPr>
                <w:rStyle w:val="aff0"/>
                <w:rFonts w:ascii="Times New Roman" w:hAnsi="Times New Roman"/>
                <w:webHidden/>
                <w:sz w:val="22"/>
                <w:szCs w:val="24"/>
              </w:rPr>
              <w:fldChar w:fldCharType="end"/>
            </w:r>
          </w:hyperlink>
        </w:p>
        <w:p w14:paraId="2A437590" w14:textId="34906E0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299"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资产评估报告（中评协〔</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_Toc81833299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48</w:t>
            </w:r>
            <w:r w:rsidR="002B5F6B" w:rsidRPr="00A160B9">
              <w:rPr>
                <w:rStyle w:val="aff0"/>
                <w:rFonts w:ascii="Times New Roman" w:hAnsi="Times New Roman"/>
                <w:webHidden/>
                <w:sz w:val="22"/>
                <w:szCs w:val="24"/>
              </w:rPr>
              <w:fldChar w:fldCharType="end"/>
            </w:r>
          </w:hyperlink>
        </w:p>
        <w:p w14:paraId="7901CFE7" w14:textId="59F3465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00"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资产评估程序（中评协〔</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_Toc81833300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56</w:t>
            </w:r>
            <w:r w:rsidR="002B5F6B" w:rsidRPr="00A160B9">
              <w:rPr>
                <w:rStyle w:val="aff0"/>
                <w:rFonts w:ascii="Times New Roman" w:hAnsi="Times New Roman"/>
                <w:webHidden/>
                <w:sz w:val="22"/>
                <w:szCs w:val="24"/>
              </w:rPr>
              <w:fldChar w:fldCharType="end"/>
            </w:r>
          </w:hyperlink>
        </w:p>
        <w:p w14:paraId="5591D2C5" w14:textId="1B0D3C8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01"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资产评估档案（中评协〔</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_Toc81833301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59</w:t>
            </w:r>
            <w:r w:rsidR="002B5F6B" w:rsidRPr="00A160B9">
              <w:rPr>
                <w:rStyle w:val="aff0"/>
                <w:rFonts w:ascii="Times New Roman" w:hAnsi="Times New Roman"/>
                <w:webHidden/>
                <w:sz w:val="22"/>
                <w:szCs w:val="24"/>
              </w:rPr>
              <w:fldChar w:fldCharType="end"/>
            </w:r>
          </w:hyperlink>
        </w:p>
        <w:p w14:paraId="564FA12A" w14:textId="2EBFA95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02"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资产评估方法（中评协〔</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_Toc81833302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61</w:t>
            </w:r>
            <w:r w:rsidR="002B5F6B" w:rsidRPr="00A160B9">
              <w:rPr>
                <w:rStyle w:val="aff0"/>
                <w:rFonts w:ascii="Times New Roman" w:hAnsi="Times New Roman"/>
                <w:webHidden/>
                <w:sz w:val="22"/>
                <w:szCs w:val="24"/>
              </w:rPr>
              <w:fldChar w:fldCharType="end"/>
            </w:r>
          </w:hyperlink>
        </w:p>
        <w:p w14:paraId="47E69AAE" w14:textId="2173509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03" w:history="1">
            <w:r w:rsidR="002B5F6B" w:rsidRPr="00A160B9">
              <w:rPr>
                <w:rStyle w:val="aff0"/>
                <w:rFonts w:ascii="Times New Roman" w:hAnsi="Times New Roman"/>
                <w:noProof/>
                <w:sz w:val="22"/>
                <w:szCs w:val="24"/>
              </w:rPr>
              <w:t>资产评估准则术语</w:t>
            </w:r>
            <w:r w:rsidR="002B5F6B" w:rsidRPr="00A160B9">
              <w:rPr>
                <w:rStyle w:val="aff0"/>
                <w:rFonts w:ascii="Times New Roman" w:hAnsi="Times New Roman"/>
                <w:noProof/>
                <w:sz w:val="22"/>
                <w:szCs w:val="24"/>
              </w:rPr>
              <w:t>2020</w:t>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2020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_Toc81833303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65</w:t>
            </w:r>
            <w:r w:rsidR="002B5F6B" w:rsidRPr="00A160B9">
              <w:rPr>
                <w:rStyle w:val="aff0"/>
                <w:rFonts w:ascii="Times New Roman" w:hAnsi="Times New Roman"/>
                <w:webHidden/>
                <w:sz w:val="22"/>
                <w:szCs w:val="24"/>
              </w:rPr>
              <w:fldChar w:fldCharType="end"/>
            </w:r>
          </w:hyperlink>
        </w:p>
        <w:p w14:paraId="74C8D78E" w14:textId="67581C21"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04" w:history="1">
            <w:r w:rsidR="002B5F6B" w:rsidRPr="00A160B9">
              <w:rPr>
                <w:rStyle w:val="aff0"/>
                <w:b/>
                <w:bCs/>
                <w:noProof/>
                <w:sz w:val="24"/>
              </w:rPr>
              <w:t>实体性具体准则</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_Toc81833304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73</w:t>
            </w:r>
            <w:r w:rsidR="002B5F6B" w:rsidRPr="00A160B9">
              <w:rPr>
                <w:rStyle w:val="aff0"/>
                <w:b/>
                <w:bCs/>
                <w:noProof/>
                <w:webHidden/>
                <w:sz w:val="24"/>
              </w:rPr>
              <w:fldChar w:fldCharType="end"/>
            </w:r>
          </w:hyperlink>
        </w:p>
        <w:p w14:paraId="58025453" w14:textId="2E8A590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05"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无形资产（中评协〔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_Toc81833305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73</w:t>
            </w:r>
            <w:r w:rsidR="002B5F6B" w:rsidRPr="00A160B9">
              <w:rPr>
                <w:rStyle w:val="aff0"/>
                <w:rFonts w:ascii="Times New Roman" w:hAnsi="Times New Roman"/>
                <w:webHidden/>
                <w:sz w:val="22"/>
                <w:szCs w:val="24"/>
              </w:rPr>
              <w:fldChar w:fldCharType="end"/>
            </w:r>
          </w:hyperlink>
        </w:p>
        <w:p w14:paraId="6C69EA29" w14:textId="2B43EB8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06"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不动产（中评协〔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_Toc81833306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77</w:t>
            </w:r>
            <w:r w:rsidR="002B5F6B" w:rsidRPr="00A160B9">
              <w:rPr>
                <w:rStyle w:val="aff0"/>
                <w:rFonts w:ascii="Times New Roman" w:hAnsi="Times New Roman"/>
                <w:webHidden/>
                <w:sz w:val="22"/>
                <w:szCs w:val="24"/>
              </w:rPr>
              <w:fldChar w:fldCharType="end"/>
            </w:r>
          </w:hyperlink>
        </w:p>
        <w:p w14:paraId="36492A52" w14:textId="75EE8D4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07"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机器设备（中评协〔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_Toc81833307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82</w:t>
            </w:r>
            <w:r w:rsidR="002B5F6B" w:rsidRPr="00A160B9">
              <w:rPr>
                <w:rStyle w:val="aff0"/>
                <w:rFonts w:ascii="Times New Roman" w:hAnsi="Times New Roman"/>
                <w:webHidden/>
                <w:sz w:val="22"/>
                <w:szCs w:val="24"/>
              </w:rPr>
              <w:fldChar w:fldCharType="end"/>
            </w:r>
          </w:hyperlink>
        </w:p>
        <w:p w14:paraId="2FE95658" w14:textId="6D27CA3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08"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珠宝首饰（中评协〔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_Toc81833308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85</w:t>
            </w:r>
            <w:r w:rsidR="002B5F6B" w:rsidRPr="00A160B9">
              <w:rPr>
                <w:rStyle w:val="aff0"/>
                <w:rFonts w:ascii="Times New Roman" w:hAnsi="Times New Roman"/>
                <w:webHidden/>
                <w:sz w:val="22"/>
                <w:szCs w:val="24"/>
              </w:rPr>
              <w:fldChar w:fldCharType="end"/>
            </w:r>
          </w:hyperlink>
        </w:p>
        <w:p w14:paraId="25A23D8B" w14:textId="39FE797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09"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森林资源资产（中评协〔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_Toc81833309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88</w:t>
            </w:r>
            <w:r w:rsidR="002B5F6B" w:rsidRPr="00A160B9">
              <w:rPr>
                <w:rStyle w:val="aff0"/>
                <w:rFonts w:ascii="Times New Roman" w:hAnsi="Times New Roman"/>
                <w:webHidden/>
                <w:sz w:val="22"/>
                <w:szCs w:val="24"/>
              </w:rPr>
              <w:fldChar w:fldCharType="end"/>
            </w:r>
          </w:hyperlink>
        </w:p>
        <w:p w14:paraId="5C1FD396" w14:textId="2DB96D1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10" w:history="1">
            <w:r w:rsidR="002B5F6B" w:rsidRPr="00A160B9">
              <w:rPr>
                <w:rStyle w:val="aff0"/>
                <w:rFonts w:ascii="Times New Roman" w:hAnsi="Times New Roman"/>
                <w:noProof/>
                <w:sz w:val="22"/>
                <w:szCs w:val="24"/>
              </w:rPr>
              <w:t>资产评估执业准则</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企业价值（中评协〔</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_Toc81833310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92</w:t>
            </w:r>
            <w:r w:rsidR="002B5F6B" w:rsidRPr="00A160B9">
              <w:rPr>
                <w:rStyle w:val="aff0"/>
                <w:rFonts w:ascii="Times New Roman" w:hAnsi="Times New Roman"/>
                <w:webHidden/>
                <w:sz w:val="22"/>
                <w:szCs w:val="24"/>
              </w:rPr>
              <w:fldChar w:fldCharType="end"/>
            </w:r>
          </w:hyperlink>
        </w:p>
        <w:p w14:paraId="4C051661" w14:textId="10E93CE5"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11" w:history="1">
            <w:r w:rsidR="002B5F6B" w:rsidRPr="00A160B9">
              <w:rPr>
                <w:rStyle w:val="aff0"/>
                <w:b/>
                <w:bCs/>
                <w:noProof/>
                <w:sz w:val="24"/>
              </w:rPr>
              <w:t>评估指南</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_Toc81833311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99</w:t>
            </w:r>
            <w:r w:rsidR="002B5F6B" w:rsidRPr="00A160B9">
              <w:rPr>
                <w:rStyle w:val="aff0"/>
                <w:b/>
                <w:bCs/>
                <w:noProof/>
                <w:webHidden/>
                <w:sz w:val="24"/>
              </w:rPr>
              <w:fldChar w:fldCharType="end"/>
            </w:r>
          </w:hyperlink>
        </w:p>
        <w:p w14:paraId="7A386EDC" w14:textId="32A67D2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12" w:history="1">
            <w:r w:rsidR="002B5F6B" w:rsidRPr="00A160B9">
              <w:rPr>
                <w:rStyle w:val="aff0"/>
                <w:rFonts w:ascii="Times New Roman" w:hAnsi="Times New Roman"/>
                <w:noProof/>
                <w:sz w:val="22"/>
                <w:szCs w:val="24"/>
              </w:rPr>
              <w:t>企业国有资产评估报告指南（中评协〔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_Toc81833312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99</w:t>
            </w:r>
            <w:r w:rsidR="002B5F6B" w:rsidRPr="00A160B9">
              <w:rPr>
                <w:rStyle w:val="aff0"/>
                <w:rFonts w:ascii="Times New Roman" w:hAnsi="Times New Roman"/>
                <w:webHidden/>
                <w:sz w:val="22"/>
                <w:szCs w:val="24"/>
              </w:rPr>
              <w:fldChar w:fldCharType="end"/>
            </w:r>
          </w:hyperlink>
        </w:p>
        <w:p w14:paraId="6201F624" w14:textId="12F82E3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13" w:history="1">
            <w:r w:rsidR="002B5F6B" w:rsidRPr="00A160B9">
              <w:rPr>
                <w:rStyle w:val="aff0"/>
                <w:rFonts w:ascii="Times New Roman" w:hAnsi="Times New Roman"/>
                <w:noProof/>
                <w:sz w:val="22"/>
                <w:szCs w:val="24"/>
              </w:rPr>
              <w:t>金融企业国有资产评估报告指南（中评协〔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_Toc81833313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130</w:t>
            </w:r>
            <w:r w:rsidR="002B5F6B" w:rsidRPr="00A160B9">
              <w:rPr>
                <w:rStyle w:val="aff0"/>
                <w:rFonts w:ascii="Times New Roman" w:hAnsi="Times New Roman"/>
                <w:webHidden/>
                <w:sz w:val="22"/>
                <w:szCs w:val="24"/>
              </w:rPr>
              <w:fldChar w:fldCharType="end"/>
            </w:r>
          </w:hyperlink>
        </w:p>
        <w:p w14:paraId="004CA59D" w14:textId="28731FF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14" w:history="1">
            <w:r w:rsidR="002B5F6B" w:rsidRPr="00A160B9">
              <w:rPr>
                <w:rStyle w:val="aff0"/>
                <w:rFonts w:ascii="Times New Roman" w:hAnsi="Times New Roman"/>
                <w:noProof/>
                <w:sz w:val="22"/>
                <w:szCs w:val="24"/>
              </w:rPr>
              <w:t>知识产权资产评估指南（中评协〔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_Toc81833314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163</w:t>
            </w:r>
            <w:r w:rsidR="002B5F6B" w:rsidRPr="00A160B9">
              <w:rPr>
                <w:rStyle w:val="aff0"/>
                <w:rFonts w:ascii="Times New Roman" w:hAnsi="Times New Roman"/>
                <w:webHidden/>
                <w:sz w:val="22"/>
                <w:szCs w:val="24"/>
              </w:rPr>
              <w:fldChar w:fldCharType="end"/>
            </w:r>
          </w:hyperlink>
        </w:p>
        <w:p w14:paraId="177A260B" w14:textId="273F61A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15" w:history="1">
            <w:r w:rsidR="002B5F6B" w:rsidRPr="00A160B9">
              <w:rPr>
                <w:rStyle w:val="aff0"/>
                <w:rFonts w:ascii="Times New Roman" w:hAnsi="Times New Roman"/>
                <w:noProof/>
                <w:sz w:val="22"/>
                <w:szCs w:val="24"/>
              </w:rPr>
              <w:t>以财务报告为目的的评估指南（中评协〔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_Toc81833315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171</w:t>
            </w:r>
            <w:r w:rsidR="002B5F6B" w:rsidRPr="00A160B9">
              <w:rPr>
                <w:rStyle w:val="aff0"/>
                <w:rFonts w:ascii="Times New Roman" w:hAnsi="Times New Roman"/>
                <w:webHidden/>
                <w:sz w:val="22"/>
                <w:szCs w:val="24"/>
              </w:rPr>
              <w:fldChar w:fldCharType="end"/>
            </w:r>
          </w:hyperlink>
        </w:p>
        <w:p w14:paraId="44123BB4" w14:textId="23F8814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16" w:history="1">
            <w:r w:rsidR="002B5F6B" w:rsidRPr="00A160B9">
              <w:rPr>
                <w:rStyle w:val="aff0"/>
                <w:rFonts w:ascii="Times New Roman" w:hAnsi="Times New Roman"/>
                <w:noProof/>
                <w:sz w:val="22"/>
                <w:szCs w:val="24"/>
              </w:rPr>
              <w:t>资产评估机构业务质量控制指南（中评协〔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_Toc81833316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176</w:t>
            </w:r>
            <w:r w:rsidR="002B5F6B" w:rsidRPr="00A160B9">
              <w:rPr>
                <w:rStyle w:val="aff0"/>
                <w:rFonts w:ascii="Times New Roman" w:hAnsi="Times New Roman"/>
                <w:webHidden/>
                <w:sz w:val="22"/>
                <w:szCs w:val="24"/>
              </w:rPr>
              <w:fldChar w:fldCharType="end"/>
            </w:r>
          </w:hyperlink>
        </w:p>
        <w:p w14:paraId="0A894A15" w14:textId="714E6C7C"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17" w:history="1">
            <w:r w:rsidR="002B5F6B" w:rsidRPr="00A160B9">
              <w:rPr>
                <w:rStyle w:val="aff0"/>
                <w:b/>
                <w:bCs/>
                <w:noProof/>
                <w:sz w:val="24"/>
              </w:rPr>
              <w:t>资产评估指导意见</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_Toc81833317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184</w:t>
            </w:r>
            <w:r w:rsidR="002B5F6B" w:rsidRPr="00A160B9">
              <w:rPr>
                <w:rStyle w:val="aff0"/>
                <w:b/>
                <w:bCs/>
                <w:noProof/>
                <w:webHidden/>
                <w:sz w:val="24"/>
              </w:rPr>
              <w:fldChar w:fldCharType="end"/>
            </w:r>
          </w:hyperlink>
        </w:p>
        <w:p w14:paraId="4FEBBD94" w14:textId="145E689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18" w:history="1">
            <w:r w:rsidR="002B5F6B" w:rsidRPr="00A160B9">
              <w:rPr>
                <w:rStyle w:val="aff0"/>
                <w:rFonts w:ascii="Times New Roman" w:hAnsi="Times New Roman"/>
                <w:noProof/>
                <w:sz w:val="22"/>
                <w:szCs w:val="24"/>
              </w:rPr>
              <w:t>文化企业无形资产评估指导意见（中评协〔</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_Toc81833318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184</w:t>
            </w:r>
            <w:r w:rsidR="002B5F6B" w:rsidRPr="00A160B9">
              <w:rPr>
                <w:rStyle w:val="aff0"/>
                <w:rFonts w:ascii="Times New Roman" w:hAnsi="Times New Roman"/>
                <w:webHidden/>
                <w:sz w:val="22"/>
                <w:szCs w:val="24"/>
              </w:rPr>
              <w:fldChar w:fldCharType="end"/>
            </w:r>
          </w:hyperlink>
        </w:p>
        <w:p w14:paraId="21D4A837" w14:textId="2FF89E8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19" w:history="1">
            <w:r w:rsidR="002B5F6B" w:rsidRPr="00A160B9">
              <w:rPr>
                <w:rStyle w:val="aff0"/>
                <w:rFonts w:ascii="Times New Roman" w:hAnsi="Times New Roman"/>
                <w:noProof/>
                <w:sz w:val="22"/>
                <w:szCs w:val="24"/>
              </w:rPr>
              <w:t>资产评估价值类型指导意见（中评协〔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_Toc81833319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196</w:t>
            </w:r>
            <w:r w:rsidR="002B5F6B" w:rsidRPr="00A160B9">
              <w:rPr>
                <w:rStyle w:val="aff0"/>
                <w:rFonts w:ascii="Times New Roman" w:hAnsi="Times New Roman"/>
                <w:webHidden/>
                <w:sz w:val="22"/>
                <w:szCs w:val="24"/>
              </w:rPr>
              <w:fldChar w:fldCharType="end"/>
            </w:r>
          </w:hyperlink>
        </w:p>
        <w:p w14:paraId="76460A76" w14:textId="0E37E21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20" w:history="1">
            <w:r w:rsidR="002B5F6B" w:rsidRPr="00A160B9">
              <w:rPr>
                <w:rStyle w:val="aff0"/>
                <w:rFonts w:ascii="Times New Roman" w:hAnsi="Times New Roman"/>
                <w:noProof/>
                <w:sz w:val="22"/>
                <w:szCs w:val="24"/>
              </w:rPr>
              <w:t>资产评估对象法律权属指导意见（中评协〔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_Toc81833320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199</w:t>
            </w:r>
            <w:r w:rsidR="002B5F6B" w:rsidRPr="00A160B9">
              <w:rPr>
                <w:rStyle w:val="aff0"/>
                <w:rFonts w:ascii="Times New Roman" w:hAnsi="Times New Roman"/>
                <w:webHidden/>
                <w:sz w:val="22"/>
                <w:szCs w:val="24"/>
              </w:rPr>
              <w:fldChar w:fldCharType="end"/>
            </w:r>
          </w:hyperlink>
        </w:p>
        <w:p w14:paraId="780C51D1" w14:textId="6E4E72C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21" w:history="1">
            <w:r w:rsidR="002B5F6B" w:rsidRPr="00A160B9">
              <w:rPr>
                <w:rStyle w:val="aff0"/>
                <w:rFonts w:ascii="Times New Roman" w:hAnsi="Times New Roman"/>
                <w:noProof/>
                <w:sz w:val="22"/>
                <w:szCs w:val="24"/>
              </w:rPr>
              <w:t>专利资产评估指导意见（中评协〔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_Toc81833321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200</w:t>
            </w:r>
            <w:r w:rsidR="002B5F6B" w:rsidRPr="00A160B9">
              <w:rPr>
                <w:rStyle w:val="aff0"/>
                <w:rFonts w:ascii="Times New Roman" w:hAnsi="Times New Roman"/>
                <w:webHidden/>
                <w:sz w:val="22"/>
                <w:szCs w:val="24"/>
              </w:rPr>
              <w:fldChar w:fldCharType="end"/>
            </w:r>
          </w:hyperlink>
        </w:p>
        <w:p w14:paraId="0BABAFFF" w14:textId="409CB28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22" w:history="1">
            <w:r w:rsidR="002B5F6B" w:rsidRPr="00A160B9">
              <w:rPr>
                <w:rStyle w:val="aff0"/>
                <w:rFonts w:ascii="Times New Roman" w:hAnsi="Times New Roman"/>
                <w:noProof/>
                <w:sz w:val="22"/>
                <w:szCs w:val="24"/>
              </w:rPr>
              <w:t>著作权资产评估指导意见（中评协〔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_Toc81833322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205</w:t>
            </w:r>
            <w:r w:rsidR="002B5F6B" w:rsidRPr="00A160B9">
              <w:rPr>
                <w:rStyle w:val="aff0"/>
                <w:rFonts w:ascii="Times New Roman" w:hAnsi="Times New Roman"/>
                <w:webHidden/>
                <w:sz w:val="22"/>
                <w:szCs w:val="24"/>
              </w:rPr>
              <w:fldChar w:fldCharType="end"/>
            </w:r>
          </w:hyperlink>
        </w:p>
        <w:p w14:paraId="548B80DC" w14:textId="2D7F19B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23" w:history="1">
            <w:r w:rsidR="002B5F6B" w:rsidRPr="00A160B9">
              <w:rPr>
                <w:rStyle w:val="aff0"/>
                <w:rFonts w:ascii="Times New Roman" w:hAnsi="Times New Roman"/>
                <w:noProof/>
                <w:sz w:val="22"/>
                <w:szCs w:val="24"/>
              </w:rPr>
              <w:t>商标资产评估指导意见（中评协〔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_Toc81833323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210</w:t>
            </w:r>
            <w:r w:rsidR="002B5F6B" w:rsidRPr="00A160B9">
              <w:rPr>
                <w:rStyle w:val="aff0"/>
                <w:rFonts w:ascii="Times New Roman" w:hAnsi="Times New Roman"/>
                <w:webHidden/>
                <w:sz w:val="22"/>
                <w:szCs w:val="24"/>
              </w:rPr>
              <w:fldChar w:fldCharType="end"/>
            </w:r>
          </w:hyperlink>
        </w:p>
        <w:p w14:paraId="06DB4CBF" w14:textId="2BF3213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24" w:history="1">
            <w:r w:rsidR="002B5F6B" w:rsidRPr="00A160B9">
              <w:rPr>
                <w:rStyle w:val="aff0"/>
                <w:rFonts w:ascii="Times New Roman" w:hAnsi="Times New Roman"/>
                <w:noProof/>
                <w:sz w:val="22"/>
                <w:szCs w:val="24"/>
              </w:rPr>
              <w:t>金融不良资产评估指导意见（中评协〔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_Toc81833324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214</w:t>
            </w:r>
            <w:r w:rsidR="002B5F6B" w:rsidRPr="00A160B9">
              <w:rPr>
                <w:rStyle w:val="aff0"/>
                <w:rFonts w:ascii="Times New Roman" w:hAnsi="Times New Roman"/>
                <w:webHidden/>
                <w:sz w:val="22"/>
                <w:szCs w:val="24"/>
              </w:rPr>
              <w:fldChar w:fldCharType="end"/>
            </w:r>
          </w:hyperlink>
        </w:p>
        <w:p w14:paraId="261BE02E" w14:textId="2667128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25" w:history="1">
            <w:r w:rsidR="002B5F6B" w:rsidRPr="00A160B9">
              <w:rPr>
                <w:rStyle w:val="aff0"/>
                <w:rFonts w:ascii="Times New Roman" w:hAnsi="Times New Roman"/>
                <w:noProof/>
                <w:sz w:val="22"/>
                <w:szCs w:val="24"/>
              </w:rPr>
              <w:t>投资性房地产评估指导意见（中评协〔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_Toc81833325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217</w:t>
            </w:r>
            <w:r w:rsidR="002B5F6B" w:rsidRPr="00A160B9">
              <w:rPr>
                <w:rStyle w:val="aff0"/>
                <w:rFonts w:ascii="Times New Roman" w:hAnsi="Times New Roman"/>
                <w:webHidden/>
                <w:sz w:val="22"/>
                <w:szCs w:val="24"/>
              </w:rPr>
              <w:fldChar w:fldCharType="end"/>
            </w:r>
          </w:hyperlink>
        </w:p>
        <w:p w14:paraId="1673FF4F" w14:textId="033B5F2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26" w:history="1">
            <w:r w:rsidR="002B5F6B" w:rsidRPr="00A160B9">
              <w:rPr>
                <w:rStyle w:val="aff0"/>
                <w:rFonts w:ascii="Times New Roman" w:hAnsi="Times New Roman"/>
                <w:noProof/>
                <w:sz w:val="22"/>
                <w:szCs w:val="24"/>
              </w:rPr>
              <w:t>实物期权评估指导意见（中评协〔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_Toc81833326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221</w:t>
            </w:r>
            <w:r w:rsidR="002B5F6B" w:rsidRPr="00A160B9">
              <w:rPr>
                <w:rStyle w:val="aff0"/>
                <w:rFonts w:ascii="Times New Roman" w:hAnsi="Times New Roman"/>
                <w:webHidden/>
                <w:sz w:val="22"/>
                <w:szCs w:val="24"/>
              </w:rPr>
              <w:fldChar w:fldCharType="end"/>
            </w:r>
          </w:hyperlink>
        </w:p>
        <w:p w14:paraId="7B162ED2" w14:textId="16D990C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27" w:history="1">
            <w:r w:rsidR="002B5F6B" w:rsidRPr="00A160B9">
              <w:rPr>
                <w:rStyle w:val="aff0"/>
                <w:rFonts w:ascii="Times New Roman" w:hAnsi="Times New Roman"/>
                <w:noProof/>
                <w:sz w:val="22"/>
                <w:szCs w:val="24"/>
              </w:rPr>
              <w:t>珠宝首饰评估程序指导意见（中评协〔</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_Toc81833327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228</w:t>
            </w:r>
            <w:r w:rsidR="002B5F6B" w:rsidRPr="00A160B9">
              <w:rPr>
                <w:rStyle w:val="aff0"/>
                <w:rFonts w:ascii="Times New Roman" w:hAnsi="Times New Roman"/>
                <w:webHidden/>
                <w:sz w:val="22"/>
                <w:szCs w:val="24"/>
              </w:rPr>
              <w:fldChar w:fldCharType="end"/>
            </w:r>
          </w:hyperlink>
        </w:p>
        <w:p w14:paraId="1D0F262D" w14:textId="38827BC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28" w:history="1">
            <w:r w:rsidR="002B5F6B" w:rsidRPr="00A160B9">
              <w:rPr>
                <w:rStyle w:val="aff0"/>
                <w:rFonts w:ascii="Times New Roman" w:hAnsi="Times New Roman"/>
                <w:noProof/>
                <w:sz w:val="22"/>
                <w:szCs w:val="24"/>
              </w:rPr>
              <w:t>企业并购投资价值评估指导意见（中评协〔</w:t>
            </w:r>
            <w:r w:rsidR="002B5F6B" w:rsidRPr="00A160B9">
              <w:rPr>
                <w:rStyle w:val="aff0"/>
                <w:rFonts w:ascii="Times New Roman" w:hAnsi="Times New Roman"/>
                <w:noProof/>
                <w:sz w:val="22"/>
                <w:szCs w:val="24"/>
              </w:rPr>
              <w:t>2020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_Toc81833328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233</w:t>
            </w:r>
            <w:r w:rsidR="002B5F6B" w:rsidRPr="00A160B9">
              <w:rPr>
                <w:rStyle w:val="aff0"/>
                <w:rFonts w:ascii="Times New Roman" w:hAnsi="Times New Roman"/>
                <w:webHidden/>
                <w:sz w:val="22"/>
                <w:szCs w:val="24"/>
              </w:rPr>
              <w:fldChar w:fldCharType="end"/>
            </w:r>
          </w:hyperlink>
        </w:p>
        <w:p w14:paraId="693857CC" w14:textId="49B79DDD"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29" w:history="1">
            <w:r w:rsidR="002B5F6B" w:rsidRPr="00A160B9">
              <w:rPr>
                <w:rStyle w:val="aff0"/>
                <w:b/>
                <w:bCs/>
                <w:noProof/>
                <w:sz w:val="24"/>
              </w:rPr>
              <w:t>资产评估操作专家指引</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_Toc81833329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240</w:t>
            </w:r>
            <w:r w:rsidR="002B5F6B" w:rsidRPr="00A160B9">
              <w:rPr>
                <w:rStyle w:val="aff0"/>
                <w:b/>
                <w:bCs/>
                <w:noProof/>
                <w:webHidden/>
                <w:sz w:val="24"/>
              </w:rPr>
              <w:fldChar w:fldCharType="end"/>
            </w:r>
          </w:hyperlink>
        </w:p>
        <w:p w14:paraId="318D29F1" w14:textId="6320694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0"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1</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金融企业评估中应关注的金融监管指标</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240</w:t>
            </w:r>
            <w:r w:rsidR="002B5F6B" w:rsidRPr="00A160B9">
              <w:rPr>
                <w:rStyle w:val="aff0"/>
                <w:rFonts w:ascii="Times New Roman" w:hAnsi="Times New Roman"/>
                <w:webHidden/>
                <w:sz w:val="22"/>
                <w:szCs w:val="24"/>
              </w:rPr>
              <w:fldChar w:fldCharType="end"/>
            </w:r>
          </w:hyperlink>
        </w:p>
        <w:p w14:paraId="0F8ECD8F" w14:textId="3708771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1"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2</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金融企业首次公开发行上市资产评估方法选用</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263</w:t>
            </w:r>
            <w:r w:rsidR="002B5F6B" w:rsidRPr="00A160B9">
              <w:rPr>
                <w:rStyle w:val="aff0"/>
                <w:rFonts w:ascii="Times New Roman" w:hAnsi="Times New Roman"/>
                <w:webHidden/>
                <w:sz w:val="22"/>
                <w:szCs w:val="24"/>
              </w:rPr>
              <w:fldChar w:fldCharType="end"/>
            </w:r>
          </w:hyperlink>
        </w:p>
        <w:p w14:paraId="7470939B" w14:textId="3065966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2"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3</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金融企业收益法评估模型与参数确定</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274</w:t>
            </w:r>
            <w:r w:rsidR="002B5F6B" w:rsidRPr="00A160B9">
              <w:rPr>
                <w:rStyle w:val="aff0"/>
                <w:rFonts w:ascii="Times New Roman" w:hAnsi="Times New Roman"/>
                <w:webHidden/>
                <w:sz w:val="22"/>
                <w:szCs w:val="24"/>
              </w:rPr>
              <w:fldChar w:fldCharType="end"/>
            </w:r>
          </w:hyperlink>
        </w:p>
        <w:p w14:paraId="1DDB850A" w14:textId="6664E7F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3"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4</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金融企业市场法评估模型与参数确定</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298</w:t>
            </w:r>
            <w:r w:rsidR="002B5F6B" w:rsidRPr="00A160B9">
              <w:rPr>
                <w:rStyle w:val="aff0"/>
                <w:rFonts w:ascii="Times New Roman" w:hAnsi="Times New Roman"/>
                <w:webHidden/>
                <w:sz w:val="22"/>
                <w:szCs w:val="24"/>
              </w:rPr>
              <w:fldChar w:fldCharType="end"/>
            </w:r>
          </w:hyperlink>
        </w:p>
        <w:p w14:paraId="098BA17C" w14:textId="076933D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4"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5</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寿险公司内部精算报告及价值评估中的利用</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306</w:t>
            </w:r>
            <w:r w:rsidR="002B5F6B" w:rsidRPr="00A160B9">
              <w:rPr>
                <w:rStyle w:val="aff0"/>
                <w:rFonts w:ascii="Times New Roman" w:hAnsi="Times New Roman"/>
                <w:webHidden/>
                <w:sz w:val="22"/>
                <w:szCs w:val="24"/>
              </w:rPr>
              <w:fldChar w:fldCharType="end"/>
            </w:r>
          </w:hyperlink>
        </w:p>
        <w:p w14:paraId="3BE96BEA" w14:textId="77777777" w:rsidR="00567A59" w:rsidRPr="00A160B9" w:rsidRDefault="00567A59" w:rsidP="00567A59">
          <w:pPr>
            <w:rPr>
              <w:rFonts w:ascii="Times New Roman" w:hAnsi="Times New Roman" w:cs="Times New Roman"/>
            </w:rPr>
          </w:pPr>
        </w:p>
        <w:p w14:paraId="4CBEC526" w14:textId="59D71DA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5"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6</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上市公司重大资产重组评估报告披露</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326</w:t>
            </w:r>
            <w:r w:rsidR="002B5F6B" w:rsidRPr="00A160B9">
              <w:rPr>
                <w:rStyle w:val="aff0"/>
                <w:rFonts w:ascii="Times New Roman" w:hAnsi="Times New Roman"/>
                <w:webHidden/>
                <w:sz w:val="22"/>
                <w:szCs w:val="24"/>
              </w:rPr>
              <w:fldChar w:fldCharType="end"/>
            </w:r>
          </w:hyperlink>
        </w:p>
        <w:p w14:paraId="4D9E17FF" w14:textId="7E97AD9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6"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7</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中小评估机构业务质量控制</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330</w:t>
            </w:r>
            <w:r w:rsidR="002B5F6B" w:rsidRPr="00A160B9">
              <w:rPr>
                <w:rStyle w:val="aff0"/>
                <w:rFonts w:ascii="Times New Roman" w:hAnsi="Times New Roman"/>
                <w:webHidden/>
                <w:sz w:val="22"/>
                <w:szCs w:val="24"/>
              </w:rPr>
              <w:fldChar w:fldCharType="end"/>
            </w:r>
          </w:hyperlink>
        </w:p>
        <w:p w14:paraId="450B7FA2" w14:textId="0BA630A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7"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8</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资产评估中的核查验证</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340</w:t>
            </w:r>
            <w:r w:rsidR="002B5F6B" w:rsidRPr="00A160B9">
              <w:rPr>
                <w:rStyle w:val="aff0"/>
                <w:rFonts w:ascii="Times New Roman" w:hAnsi="Times New Roman"/>
                <w:webHidden/>
                <w:sz w:val="22"/>
                <w:szCs w:val="24"/>
              </w:rPr>
              <w:fldChar w:fldCharType="end"/>
            </w:r>
          </w:hyperlink>
        </w:p>
        <w:p w14:paraId="652C3634" w14:textId="1E27EC51"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8"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9</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数据资产评估</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347</w:t>
            </w:r>
            <w:r w:rsidR="002B5F6B" w:rsidRPr="00A160B9">
              <w:rPr>
                <w:rStyle w:val="aff0"/>
                <w:rFonts w:ascii="Times New Roman" w:hAnsi="Times New Roman"/>
                <w:webHidden/>
                <w:sz w:val="22"/>
                <w:szCs w:val="24"/>
              </w:rPr>
              <w:fldChar w:fldCharType="end"/>
            </w:r>
          </w:hyperlink>
        </w:p>
        <w:p w14:paraId="6C284640" w14:textId="5E8D599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39"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10</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在新冠肺炎疫情期间合理履行资产评估程序</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2020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_Toc81833339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356</w:t>
            </w:r>
            <w:r w:rsidR="002B5F6B" w:rsidRPr="00A160B9">
              <w:rPr>
                <w:rStyle w:val="aff0"/>
                <w:rFonts w:ascii="Times New Roman" w:hAnsi="Times New Roman"/>
                <w:webHidden/>
                <w:sz w:val="22"/>
                <w:szCs w:val="24"/>
              </w:rPr>
              <w:fldChar w:fldCharType="end"/>
            </w:r>
          </w:hyperlink>
        </w:p>
        <w:p w14:paraId="601BEB87" w14:textId="2D43422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40"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11</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商誉减值测试评估</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2020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_Toc81833340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359</w:t>
            </w:r>
            <w:r w:rsidR="002B5F6B" w:rsidRPr="00A160B9">
              <w:rPr>
                <w:rStyle w:val="aff0"/>
                <w:rFonts w:ascii="Times New Roman" w:hAnsi="Times New Roman"/>
                <w:webHidden/>
                <w:sz w:val="22"/>
                <w:szCs w:val="24"/>
              </w:rPr>
              <w:fldChar w:fldCharType="end"/>
            </w:r>
          </w:hyperlink>
        </w:p>
        <w:p w14:paraId="2A2771A3" w14:textId="50CB36B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41" w:history="1">
            <w:r w:rsidR="002B5F6B" w:rsidRPr="00A160B9">
              <w:rPr>
                <w:rStyle w:val="aff0"/>
                <w:rFonts w:ascii="Times New Roman" w:hAnsi="Times New Roman"/>
                <w:noProof/>
                <w:sz w:val="22"/>
                <w:szCs w:val="24"/>
              </w:rPr>
              <w:t>资产评估专家指引第</w:t>
            </w:r>
            <w:r w:rsidR="002B5F6B" w:rsidRPr="00A160B9">
              <w:rPr>
                <w:rStyle w:val="aff0"/>
                <w:rFonts w:ascii="Times New Roman" w:hAnsi="Times New Roman"/>
                <w:noProof/>
                <w:sz w:val="22"/>
                <w:szCs w:val="24"/>
              </w:rPr>
              <w:t>12</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收益法评估企业价值中折现率的测算</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2020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_Toc81833341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365</w:t>
            </w:r>
            <w:r w:rsidR="002B5F6B" w:rsidRPr="00A160B9">
              <w:rPr>
                <w:rStyle w:val="aff0"/>
                <w:rFonts w:ascii="Times New Roman" w:hAnsi="Times New Roman"/>
                <w:webHidden/>
                <w:sz w:val="22"/>
                <w:szCs w:val="24"/>
              </w:rPr>
              <w:fldChar w:fldCharType="end"/>
            </w:r>
          </w:hyperlink>
        </w:p>
        <w:p w14:paraId="463F3AA7" w14:textId="3A9CDDFC"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42" w:history="1">
            <w:r w:rsidR="002B5F6B" w:rsidRPr="00A160B9">
              <w:rPr>
                <w:rStyle w:val="aff0"/>
                <w:b/>
                <w:bCs/>
                <w:noProof/>
                <w:sz w:val="24"/>
              </w:rPr>
              <w:t>资产评估操作专家提示</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_Toc81833342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369</w:t>
            </w:r>
            <w:r w:rsidR="002B5F6B" w:rsidRPr="00A160B9">
              <w:rPr>
                <w:rStyle w:val="aff0"/>
                <w:b/>
                <w:bCs/>
                <w:noProof/>
                <w:webHidden/>
                <w:sz w:val="24"/>
              </w:rPr>
              <w:fldChar w:fldCharType="end"/>
            </w:r>
          </w:hyperlink>
        </w:p>
        <w:p w14:paraId="02B9FA9A" w14:textId="38EB20F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43" w:history="1">
            <w:r w:rsidR="002B5F6B" w:rsidRPr="00A160B9">
              <w:rPr>
                <w:rStyle w:val="aff0"/>
                <w:rFonts w:ascii="Times New Roman" w:hAnsi="Times New Roman"/>
                <w:noProof/>
                <w:sz w:val="22"/>
                <w:szCs w:val="24"/>
              </w:rPr>
              <w:t>资产评估操作专家提示</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收益法中的敏感性分析（征求意见稿）</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2013</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172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_Toc81833343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369</w:t>
            </w:r>
            <w:r w:rsidR="002B5F6B" w:rsidRPr="00A160B9">
              <w:rPr>
                <w:rStyle w:val="aff0"/>
                <w:rFonts w:ascii="Times New Roman" w:hAnsi="Times New Roman"/>
                <w:webHidden/>
                <w:sz w:val="22"/>
                <w:szCs w:val="24"/>
              </w:rPr>
              <w:fldChar w:fldCharType="end"/>
            </w:r>
          </w:hyperlink>
        </w:p>
        <w:p w14:paraId="33CFA8EF" w14:textId="6C6633F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44" w:history="1">
            <w:r w:rsidR="002B5F6B" w:rsidRPr="00A160B9">
              <w:rPr>
                <w:rStyle w:val="aff0"/>
                <w:rFonts w:ascii="Times New Roman" w:hAnsi="Times New Roman"/>
                <w:noProof/>
                <w:sz w:val="22"/>
                <w:szCs w:val="24"/>
              </w:rPr>
              <w:t>资产评估操作专家提示</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采掘业企业评估（征求意见稿）</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2013</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172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_Toc81833344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380</w:t>
            </w:r>
            <w:r w:rsidR="002B5F6B" w:rsidRPr="00A160B9">
              <w:rPr>
                <w:rStyle w:val="aff0"/>
                <w:rFonts w:ascii="Times New Roman" w:hAnsi="Times New Roman"/>
                <w:webHidden/>
                <w:sz w:val="22"/>
                <w:szCs w:val="24"/>
              </w:rPr>
              <w:fldChar w:fldCharType="end"/>
            </w:r>
          </w:hyperlink>
        </w:p>
        <w:p w14:paraId="40909B23" w14:textId="10E1C3C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45" w:history="1">
            <w:r w:rsidR="002B5F6B" w:rsidRPr="00A160B9">
              <w:rPr>
                <w:rStyle w:val="aff0"/>
                <w:rFonts w:ascii="Times New Roman" w:hAnsi="Times New Roman"/>
                <w:noProof/>
                <w:sz w:val="22"/>
                <w:szCs w:val="24"/>
              </w:rPr>
              <w:t>资产评估操作专家提示</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抵（质）押品评估（征求意见稿）</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[2014]209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_Toc81833345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386</w:t>
            </w:r>
            <w:r w:rsidR="002B5F6B" w:rsidRPr="00A160B9">
              <w:rPr>
                <w:rStyle w:val="aff0"/>
                <w:rFonts w:ascii="Times New Roman" w:hAnsi="Times New Roman"/>
                <w:webHidden/>
                <w:sz w:val="22"/>
                <w:szCs w:val="24"/>
              </w:rPr>
              <w:fldChar w:fldCharType="end"/>
            </w:r>
          </w:hyperlink>
        </w:p>
        <w:p w14:paraId="069C750B" w14:textId="245A1E1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46" w:history="1">
            <w:r w:rsidR="002B5F6B" w:rsidRPr="00A160B9">
              <w:rPr>
                <w:rStyle w:val="aff0"/>
                <w:rFonts w:ascii="Times New Roman" w:hAnsi="Times New Roman"/>
                <w:noProof/>
                <w:sz w:val="22"/>
                <w:szCs w:val="24"/>
              </w:rPr>
              <w:t>资产评估操作专家提示</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评估假设的使用与披露（征求意见稿）</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2014</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209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_Toc81833346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395</w:t>
            </w:r>
            <w:r w:rsidR="002B5F6B" w:rsidRPr="00A160B9">
              <w:rPr>
                <w:rStyle w:val="aff0"/>
                <w:rFonts w:ascii="Times New Roman" w:hAnsi="Times New Roman"/>
                <w:webHidden/>
                <w:sz w:val="22"/>
                <w:szCs w:val="24"/>
              </w:rPr>
              <w:fldChar w:fldCharType="end"/>
            </w:r>
          </w:hyperlink>
        </w:p>
        <w:p w14:paraId="3B42ECFB" w14:textId="73E73E7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47" w:history="1">
            <w:r w:rsidR="002B5F6B" w:rsidRPr="00A160B9">
              <w:rPr>
                <w:rStyle w:val="aff0"/>
                <w:rFonts w:ascii="Times New Roman" w:hAnsi="Times New Roman"/>
                <w:noProof/>
                <w:sz w:val="22"/>
                <w:szCs w:val="24"/>
              </w:rPr>
              <w:t>资产评估操作专家提示</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司法涉案目的评估（征求意见稿）</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[2014]209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_Toc81833347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405</w:t>
            </w:r>
            <w:r w:rsidR="002B5F6B" w:rsidRPr="00A160B9">
              <w:rPr>
                <w:rStyle w:val="aff0"/>
                <w:rFonts w:ascii="Times New Roman" w:hAnsi="Times New Roman"/>
                <w:webHidden/>
                <w:sz w:val="22"/>
                <w:szCs w:val="24"/>
              </w:rPr>
              <w:fldChar w:fldCharType="end"/>
            </w:r>
          </w:hyperlink>
        </w:p>
        <w:p w14:paraId="118A25B0" w14:textId="6920DBB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48" w:history="1">
            <w:r w:rsidR="002B5F6B" w:rsidRPr="00A160B9">
              <w:rPr>
                <w:rStyle w:val="aff0"/>
                <w:rFonts w:ascii="Times New Roman" w:hAnsi="Times New Roman"/>
                <w:noProof/>
                <w:sz w:val="22"/>
                <w:szCs w:val="24"/>
              </w:rPr>
              <w:t>资产评估操作专家提示</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以并购为目的的投资价值（征求意见稿）</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（中评协</w:t>
            </w:r>
            <w:r w:rsidR="002B5F6B" w:rsidRPr="00A160B9">
              <w:rPr>
                <w:rStyle w:val="aff0"/>
                <w:rFonts w:ascii="Times New Roman" w:hAnsi="Times New Roman"/>
                <w:noProof/>
                <w:sz w:val="22"/>
                <w:szCs w:val="24"/>
              </w:rPr>
              <w:t>[2014]209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_Toc81833348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411</w:t>
            </w:r>
            <w:r w:rsidR="002B5F6B" w:rsidRPr="00A160B9">
              <w:rPr>
                <w:rStyle w:val="aff0"/>
                <w:rFonts w:ascii="Times New Roman" w:hAnsi="Times New Roman"/>
                <w:webHidden/>
                <w:sz w:val="22"/>
                <w:szCs w:val="24"/>
              </w:rPr>
              <w:fldChar w:fldCharType="end"/>
            </w:r>
          </w:hyperlink>
        </w:p>
        <w:p w14:paraId="7BD495DE" w14:textId="35CA5677"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49" w:history="1">
            <w:r w:rsidR="002B5F6B" w:rsidRPr="00A160B9">
              <w:rPr>
                <w:rStyle w:val="aff0"/>
                <w:b/>
                <w:bCs/>
                <w:noProof/>
                <w:sz w:val="24"/>
              </w:rPr>
              <w:t>监管机构</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_Toc81833349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416</w:t>
            </w:r>
            <w:r w:rsidR="002B5F6B" w:rsidRPr="00A160B9">
              <w:rPr>
                <w:rStyle w:val="aff0"/>
                <w:b/>
                <w:bCs/>
                <w:noProof/>
                <w:webHidden/>
                <w:sz w:val="24"/>
              </w:rPr>
              <w:fldChar w:fldCharType="end"/>
            </w:r>
          </w:hyperlink>
        </w:p>
        <w:p w14:paraId="25866A0C" w14:textId="47D01CA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0" w:history="1">
            <w:r w:rsidR="002B5F6B" w:rsidRPr="00A160B9">
              <w:rPr>
                <w:rStyle w:val="aff0"/>
                <w:rFonts w:ascii="Times New Roman" w:hAnsi="Times New Roman"/>
                <w:noProof/>
                <w:sz w:val="22"/>
                <w:szCs w:val="24"/>
              </w:rPr>
              <w:t>会计监管风险提示第</w:t>
            </w:r>
            <w:r w:rsidR="002B5F6B" w:rsidRPr="00A160B9">
              <w:rPr>
                <w:rStyle w:val="aff0"/>
                <w:rFonts w:ascii="Times New Roman" w:hAnsi="Times New Roman"/>
                <w:noProof/>
                <w:sz w:val="22"/>
                <w:szCs w:val="24"/>
              </w:rPr>
              <w:t>1</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政府补助</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416</w:t>
            </w:r>
            <w:r w:rsidR="002B5F6B" w:rsidRPr="00A160B9">
              <w:rPr>
                <w:rStyle w:val="aff0"/>
                <w:rFonts w:ascii="Times New Roman" w:hAnsi="Times New Roman"/>
                <w:webHidden/>
                <w:sz w:val="22"/>
                <w:szCs w:val="24"/>
              </w:rPr>
              <w:fldChar w:fldCharType="end"/>
            </w:r>
          </w:hyperlink>
        </w:p>
        <w:p w14:paraId="309F26B3" w14:textId="6BBCCBA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1" w:history="1">
            <w:r w:rsidR="002B5F6B" w:rsidRPr="00A160B9">
              <w:rPr>
                <w:rStyle w:val="aff0"/>
                <w:rFonts w:ascii="Times New Roman" w:hAnsi="Times New Roman"/>
                <w:noProof/>
                <w:sz w:val="22"/>
                <w:szCs w:val="24"/>
              </w:rPr>
              <w:t>会计监管风险提示第</w:t>
            </w:r>
            <w:r w:rsidR="002B5F6B" w:rsidRPr="00A160B9">
              <w:rPr>
                <w:rStyle w:val="aff0"/>
                <w:rFonts w:ascii="Times New Roman" w:hAnsi="Times New Roman"/>
                <w:noProof/>
                <w:sz w:val="22"/>
                <w:szCs w:val="24"/>
              </w:rPr>
              <w:t>2</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通过未披露关联方实施的舞弊风险</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418</w:t>
            </w:r>
            <w:r w:rsidR="002B5F6B" w:rsidRPr="00A160B9">
              <w:rPr>
                <w:rStyle w:val="aff0"/>
                <w:rFonts w:ascii="Times New Roman" w:hAnsi="Times New Roman"/>
                <w:webHidden/>
                <w:sz w:val="22"/>
                <w:szCs w:val="24"/>
              </w:rPr>
              <w:fldChar w:fldCharType="end"/>
            </w:r>
          </w:hyperlink>
        </w:p>
        <w:p w14:paraId="649C80C9" w14:textId="2D22246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2" w:history="1">
            <w:r w:rsidR="002B5F6B" w:rsidRPr="00A160B9">
              <w:rPr>
                <w:rStyle w:val="aff0"/>
                <w:rFonts w:ascii="Times New Roman" w:hAnsi="Times New Roman"/>
                <w:noProof/>
                <w:sz w:val="22"/>
                <w:szCs w:val="24"/>
              </w:rPr>
              <w:t>会计监管风险提示第</w:t>
            </w:r>
            <w:r w:rsidR="002B5F6B" w:rsidRPr="00A160B9">
              <w:rPr>
                <w:rStyle w:val="aff0"/>
                <w:rFonts w:ascii="Times New Roman" w:hAnsi="Times New Roman"/>
                <w:noProof/>
                <w:sz w:val="22"/>
                <w:szCs w:val="24"/>
              </w:rPr>
              <w:t>3</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审计项目复核</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421</w:t>
            </w:r>
            <w:r w:rsidR="002B5F6B" w:rsidRPr="00A160B9">
              <w:rPr>
                <w:rStyle w:val="aff0"/>
                <w:rFonts w:ascii="Times New Roman" w:hAnsi="Times New Roman"/>
                <w:webHidden/>
                <w:sz w:val="22"/>
                <w:szCs w:val="24"/>
              </w:rPr>
              <w:fldChar w:fldCharType="end"/>
            </w:r>
          </w:hyperlink>
        </w:p>
        <w:p w14:paraId="63057E1A" w14:textId="296A099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3" w:history="1">
            <w:r w:rsidR="002B5F6B" w:rsidRPr="00A160B9">
              <w:rPr>
                <w:rStyle w:val="aff0"/>
                <w:rFonts w:ascii="Times New Roman" w:hAnsi="Times New Roman"/>
                <w:noProof/>
                <w:sz w:val="22"/>
                <w:szCs w:val="24"/>
              </w:rPr>
              <w:t>会计监管风险提示第</w:t>
            </w:r>
            <w:r w:rsidR="002B5F6B" w:rsidRPr="00A160B9">
              <w:rPr>
                <w:rStyle w:val="aff0"/>
                <w:rFonts w:ascii="Times New Roman" w:hAnsi="Times New Roman"/>
                <w:noProof/>
                <w:sz w:val="22"/>
                <w:szCs w:val="24"/>
              </w:rPr>
              <w:t>4</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首次公开发行股票公司审计</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423</w:t>
            </w:r>
            <w:r w:rsidR="002B5F6B" w:rsidRPr="00A160B9">
              <w:rPr>
                <w:rStyle w:val="aff0"/>
                <w:rFonts w:ascii="Times New Roman" w:hAnsi="Times New Roman"/>
                <w:webHidden/>
                <w:sz w:val="22"/>
                <w:szCs w:val="24"/>
              </w:rPr>
              <w:fldChar w:fldCharType="end"/>
            </w:r>
          </w:hyperlink>
        </w:p>
        <w:p w14:paraId="64C3988A" w14:textId="1F4EAEF1"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4" w:history="1">
            <w:r w:rsidR="002B5F6B" w:rsidRPr="00A160B9">
              <w:rPr>
                <w:rStyle w:val="aff0"/>
                <w:rFonts w:ascii="Times New Roman" w:hAnsi="Times New Roman"/>
                <w:noProof/>
                <w:sz w:val="22"/>
                <w:szCs w:val="24"/>
              </w:rPr>
              <w:t>会计监管风险提示第</w:t>
            </w:r>
            <w:r w:rsidR="002B5F6B" w:rsidRPr="00A160B9">
              <w:rPr>
                <w:rStyle w:val="aff0"/>
                <w:rFonts w:ascii="Times New Roman" w:hAnsi="Times New Roman"/>
                <w:noProof/>
                <w:sz w:val="22"/>
                <w:szCs w:val="24"/>
              </w:rPr>
              <w:t>5</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上市公司股权交易资产评估</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433</w:t>
            </w:r>
            <w:r w:rsidR="002B5F6B" w:rsidRPr="00A160B9">
              <w:rPr>
                <w:rStyle w:val="aff0"/>
                <w:rFonts w:ascii="Times New Roman" w:hAnsi="Times New Roman"/>
                <w:webHidden/>
                <w:sz w:val="22"/>
                <w:szCs w:val="24"/>
              </w:rPr>
              <w:fldChar w:fldCharType="end"/>
            </w:r>
          </w:hyperlink>
        </w:p>
        <w:p w14:paraId="3EBFD1F4" w14:textId="3BE65CD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5" w:history="1">
            <w:r w:rsidR="002B5F6B" w:rsidRPr="00A160B9">
              <w:rPr>
                <w:rStyle w:val="aff0"/>
                <w:rFonts w:ascii="Times New Roman" w:hAnsi="Times New Roman"/>
                <w:noProof/>
                <w:sz w:val="22"/>
                <w:szCs w:val="24"/>
              </w:rPr>
              <w:t>会计监管风险提示第</w:t>
            </w:r>
            <w:r w:rsidR="002B5F6B" w:rsidRPr="00A160B9">
              <w:rPr>
                <w:rStyle w:val="aff0"/>
                <w:rFonts w:ascii="Times New Roman" w:hAnsi="Times New Roman"/>
                <w:noProof/>
                <w:sz w:val="22"/>
                <w:szCs w:val="24"/>
              </w:rPr>
              <w:t>6</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新三板挂牌公司审计</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443</w:t>
            </w:r>
            <w:r w:rsidR="002B5F6B" w:rsidRPr="00A160B9">
              <w:rPr>
                <w:rStyle w:val="aff0"/>
                <w:rFonts w:ascii="Times New Roman" w:hAnsi="Times New Roman"/>
                <w:webHidden/>
                <w:sz w:val="22"/>
                <w:szCs w:val="24"/>
              </w:rPr>
              <w:fldChar w:fldCharType="end"/>
            </w:r>
          </w:hyperlink>
        </w:p>
        <w:p w14:paraId="5FE66617" w14:textId="00B14C4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6" w:history="1">
            <w:r w:rsidR="002B5F6B" w:rsidRPr="00A160B9">
              <w:rPr>
                <w:rStyle w:val="aff0"/>
                <w:rFonts w:ascii="Times New Roman" w:hAnsi="Times New Roman"/>
                <w:noProof/>
                <w:sz w:val="22"/>
                <w:szCs w:val="24"/>
              </w:rPr>
              <w:t>会计监管风险提示第</w:t>
            </w:r>
            <w:r w:rsidR="002B5F6B" w:rsidRPr="00A160B9">
              <w:rPr>
                <w:rStyle w:val="aff0"/>
                <w:rFonts w:ascii="Times New Roman" w:hAnsi="Times New Roman"/>
                <w:noProof/>
                <w:sz w:val="22"/>
                <w:szCs w:val="24"/>
              </w:rPr>
              <w:t>7</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轻资产类公司收益法评估</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452</w:t>
            </w:r>
            <w:r w:rsidR="002B5F6B" w:rsidRPr="00A160B9">
              <w:rPr>
                <w:rStyle w:val="aff0"/>
                <w:rFonts w:ascii="Times New Roman" w:hAnsi="Times New Roman"/>
                <w:webHidden/>
                <w:sz w:val="22"/>
                <w:szCs w:val="24"/>
              </w:rPr>
              <w:fldChar w:fldCharType="end"/>
            </w:r>
          </w:hyperlink>
        </w:p>
        <w:p w14:paraId="24E76224" w14:textId="1FE33F6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7" w:history="1">
            <w:r w:rsidR="002B5F6B" w:rsidRPr="00A160B9">
              <w:rPr>
                <w:rStyle w:val="aff0"/>
                <w:rFonts w:ascii="Times New Roman" w:hAnsi="Times New Roman"/>
                <w:noProof/>
                <w:sz w:val="22"/>
                <w:szCs w:val="24"/>
              </w:rPr>
              <w:t>会计监管风险提示第</w:t>
            </w:r>
            <w:r w:rsidR="002B5F6B" w:rsidRPr="00A160B9">
              <w:rPr>
                <w:rStyle w:val="aff0"/>
                <w:rFonts w:ascii="Times New Roman" w:hAnsi="Times New Roman"/>
                <w:noProof/>
                <w:sz w:val="22"/>
                <w:szCs w:val="24"/>
              </w:rPr>
              <w:t>8</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商誉减值</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461</w:t>
            </w:r>
            <w:r w:rsidR="002B5F6B" w:rsidRPr="00A160B9">
              <w:rPr>
                <w:rStyle w:val="aff0"/>
                <w:rFonts w:ascii="Times New Roman" w:hAnsi="Times New Roman"/>
                <w:webHidden/>
                <w:sz w:val="22"/>
                <w:szCs w:val="24"/>
              </w:rPr>
              <w:fldChar w:fldCharType="end"/>
            </w:r>
          </w:hyperlink>
        </w:p>
        <w:p w14:paraId="5BACB420" w14:textId="6CF7D6C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8" w:history="1">
            <w:r w:rsidR="002B5F6B" w:rsidRPr="00A160B9">
              <w:rPr>
                <w:rStyle w:val="aff0"/>
                <w:rFonts w:ascii="Times New Roman" w:hAnsi="Times New Roman"/>
                <w:noProof/>
                <w:sz w:val="22"/>
                <w:szCs w:val="24"/>
              </w:rPr>
              <w:t>会计监管风险提示第</w:t>
            </w:r>
            <w:r w:rsidR="002B5F6B" w:rsidRPr="00A160B9">
              <w:rPr>
                <w:rStyle w:val="aff0"/>
                <w:rFonts w:ascii="Times New Roman" w:hAnsi="Times New Roman"/>
                <w:noProof/>
                <w:sz w:val="22"/>
                <w:szCs w:val="24"/>
              </w:rPr>
              <w:t>9</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上市公司控股股东资金占用及其审计</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471</w:t>
            </w:r>
            <w:r w:rsidR="002B5F6B" w:rsidRPr="00A160B9">
              <w:rPr>
                <w:rStyle w:val="aff0"/>
                <w:rFonts w:ascii="Times New Roman" w:hAnsi="Times New Roman"/>
                <w:webHidden/>
                <w:sz w:val="22"/>
                <w:szCs w:val="24"/>
              </w:rPr>
              <w:fldChar w:fldCharType="end"/>
            </w:r>
          </w:hyperlink>
        </w:p>
        <w:p w14:paraId="0B87208C" w14:textId="5CD2492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59" w:history="1">
            <w:r w:rsidR="002B5F6B" w:rsidRPr="00A160B9">
              <w:rPr>
                <w:rStyle w:val="aff0"/>
                <w:rFonts w:ascii="Times New Roman" w:hAnsi="Times New Roman"/>
                <w:noProof/>
                <w:sz w:val="22"/>
                <w:szCs w:val="24"/>
              </w:rPr>
              <w:t>上海证监局会计监管通讯二〇一九年第二期（总第</w:t>
            </w:r>
            <w:r w:rsidR="002B5F6B" w:rsidRPr="00A160B9">
              <w:rPr>
                <w:rStyle w:val="aff0"/>
                <w:rFonts w:ascii="Times New Roman" w:hAnsi="Times New Roman"/>
                <w:noProof/>
                <w:sz w:val="22"/>
                <w:szCs w:val="24"/>
              </w:rPr>
              <w:t>9</w:t>
            </w:r>
            <w:r w:rsidR="002B5F6B" w:rsidRPr="00A160B9">
              <w:rPr>
                <w:rStyle w:val="aff0"/>
                <w:rFonts w:ascii="Times New Roman" w:hAnsi="Times New Roman"/>
                <w:noProof/>
                <w:sz w:val="22"/>
                <w:szCs w:val="24"/>
              </w:rPr>
              <w:t>期）</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商誉减值审计评估专题</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_Toc81833359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483</w:t>
            </w:r>
            <w:r w:rsidR="002B5F6B" w:rsidRPr="00A160B9">
              <w:rPr>
                <w:rStyle w:val="aff0"/>
                <w:rFonts w:ascii="Times New Roman" w:hAnsi="Times New Roman"/>
                <w:webHidden/>
                <w:sz w:val="22"/>
                <w:szCs w:val="24"/>
              </w:rPr>
              <w:fldChar w:fldCharType="end"/>
            </w:r>
          </w:hyperlink>
        </w:p>
        <w:p w14:paraId="59F84412" w14:textId="621B806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60" w:history="1">
            <w:r w:rsidR="002B5F6B" w:rsidRPr="00A160B9">
              <w:rPr>
                <w:rStyle w:val="aff0"/>
                <w:rFonts w:ascii="Times New Roman" w:hAnsi="Times New Roman"/>
                <w:noProof/>
                <w:sz w:val="22"/>
                <w:szCs w:val="24"/>
              </w:rPr>
              <w:t>深圳证监局会计监管工作通讯</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年第</w:t>
            </w:r>
            <w:r w:rsidR="002B5F6B" w:rsidRPr="00A160B9">
              <w:rPr>
                <w:rStyle w:val="aff0"/>
                <w:rFonts w:ascii="Times New Roman" w:hAnsi="Times New Roman"/>
                <w:noProof/>
                <w:sz w:val="22"/>
                <w:szCs w:val="24"/>
              </w:rPr>
              <w:t>5</w:t>
            </w:r>
            <w:r w:rsidR="002B5F6B" w:rsidRPr="00A160B9">
              <w:rPr>
                <w:rStyle w:val="aff0"/>
                <w:rFonts w:ascii="Times New Roman" w:hAnsi="Times New Roman"/>
                <w:noProof/>
                <w:sz w:val="22"/>
                <w:szCs w:val="24"/>
              </w:rPr>
              <w:t>期（总第</w:t>
            </w:r>
            <w:r w:rsidR="002B5F6B" w:rsidRPr="00A160B9">
              <w:rPr>
                <w:rStyle w:val="aff0"/>
                <w:rFonts w:ascii="Times New Roman" w:hAnsi="Times New Roman"/>
                <w:noProof/>
                <w:sz w:val="22"/>
                <w:szCs w:val="24"/>
              </w:rPr>
              <w:t>45</w:t>
            </w:r>
            <w:r w:rsidR="002B5F6B" w:rsidRPr="00A160B9">
              <w:rPr>
                <w:rStyle w:val="aff0"/>
                <w:rFonts w:ascii="Times New Roman" w:hAnsi="Times New Roman"/>
                <w:noProof/>
                <w:sz w:val="22"/>
                <w:szCs w:val="24"/>
              </w:rPr>
              <w:t>期）</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_Toc81833360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485</w:t>
            </w:r>
            <w:r w:rsidR="002B5F6B" w:rsidRPr="00A160B9">
              <w:rPr>
                <w:rStyle w:val="aff0"/>
                <w:rFonts w:ascii="Times New Roman" w:hAnsi="Times New Roman"/>
                <w:webHidden/>
                <w:sz w:val="22"/>
                <w:szCs w:val="24"/>
              </w:rPr>
              <w:fldChar w:fldCharType="end"/>
            </w:r>
          </w:hyperlink>
        </w:p>
        <w:p w14:paraId="24583CA2" w14:textId="698492E1"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61" w:history="1">
            <w:r w:rsidR="002B5F6B" w:rsidRPr="00A160B9">
              <w:rPr>
                <w:rStyle w:val="aff0"/>
                <w:b/>
                <w:bCs/>
                <w:noProof/>
                <w:sz w:val="24"/>
              </w:rPr>
              <w:t>操作指引</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_Toc81833361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487</w:t>
            </w:r>
            <w:r w:rsidR="002B5F6B" w:rsidRPr="00A160B9">
              <w:rPr>
                <w:rStyle w:val="aff0"/>
                <w:b/>
                <w:bCs/>
                <w:noProof/>
                <w:webHidden/>
                <w:sz w:val="24"/>
              </w:rPr>
              <w:fldChar w:fldCharType="end"/>
            </w:r>
          </w:hyperlink>
        </w:p>
        <w:p w14:paraId="681AE160" w14:textId="0EE3E6D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62" w:history="1">
            <w:r w:rsidR="002B5F6B" w:rsidRPr="00A160B9">
              <w:rPr>
                <w:rStyle w:val="aff0"/>
                <w:rFonts w:ascii="Times New Roman" w:hAnsi="Times New Roman"/>
                <w:noProof/>
                <w:sz w:val="22"/>
                <w:szCs w:val="24"/>
              </w:rPr>
              <w:t>财政支出（项目支出）绩效评价操作指引（试行）（中评协</w:t>
            </w:r>
            <w:r w:rsidR="002B5F6B" w:rsidRPr="00A160B9">
              <w:rPr>
                <w:rStyle w:val="aff0"/>
                <w:rFonts w:ascii="Times New Roman" w:hAnsi="Times New Roman"/>
                <w:noProof/>
                <w:sz w:val="22"/>
                <w:szCs w:val="24"/>
              </w:rPr>
              <w:t>[2014]70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_Toc81833362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487</w:t>
            </w:r>
            <w:r w:rsidR="002B5F6B" w:rsidRPr="00A160B9">
              <w:rPr>
                <w:rStyle w:val="aff0"/>
                <w:rFonts w:ascii="Times New Roman" w:hAnsi="Times New Roman"/>
                <w:webHidden/>
                <w:sz w:val="22"/>
                <w:szCs w:val="24"/>
              </w:rPr>
              <w:fldChar w:fldCharType="end"/>
            </w:r>
          </w:hyperlink>
        </w:p>
        <w:p w14:paraId="6A450780" w14:textId="59FEC38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63" w:history="1">
            <w:r w:rsidR="002B5F6B" w:rsidRPr="00A160B9">
              <w:rPr>
                <w:rStyle w:val="aff0"/>
                <w:rFonts w:ascii="Times New Roman" w:hAnsi="Times New Roman"/>
                <w:noProof/>
                <w:sz w:val="22"/>
                <w:szCs w:val="24"/>
              </w:rPr>
              <w:t>PPP</w:t>
            </w:r>
            <w:r w:rsidR="002B5F6B" w:rsidRPr="00A160B9">
              <w:rPr>
                <w:rStyle w:val="aff0"/>
                <w:rFonts w:ascii="Times New Roman" w:hAnsi="Times New Roman"/>
                <w:noProof/>
                <w:sz w:val="22"/>
                <w:szCs w:val="24"/>
              </w:rPr>
              <w:t>项目资产评估及相关咨询业务操作指引（中评协〔</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_Toc81833363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504</w:t>
            </w:r>
            <w:r w:rsidR="002B5F6B" w:rsidRPr="00A160B9">
              <w:rPr>
                <w:rStyle w:val="aff0"/>
                <w:rFonts w:ascii="Times New Roman" w:hAnsi="Times New Roman"/>
                <w:webHidden/>
                <w:sz w:val="22"/>
                <w:szCs w:val="24"/>
              </w:rPr>
              <w:fldChar w:fldCharType="end"/>
            </w:r>
          </w:hyperlink>
        </w:p>
        <w:p w14:paraId="753D9B5A" w14:textId="29C7A66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64" w:history="1">
            <w:r w:rsidR="002B5F6B" w:rsidRPr="00A160B9">
              <w:rPr>
                <w:rStyle w:val="aff0"/>
                <w:rFonts w:ascii="Times New Roman" w:hAnsi="Times New Roman"/>
                <w:noProof/>
                <w:sz w:val="22"/>
                <w:szCs w:val="24"/>
              </w:rPr>
              <w:t>私募投资基金非上市股权投资估值指引</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试行</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（中基协发〔</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_Toc81833364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611</w:t>
            </w:r>
            <w:r w:rsidR="002B5F6B" w:rsidRPr="00A160B9">
              <w:rPr>
                <w:rStyle w:val="aff0"/>
                <w:rFonts w:ascii="Times New Roman" w:hAnsi="Times New Roman"/>
                <w:webHidden/>
                <w:sz w:val="22"/>
                <w:szCs w:val="24"/>
              </w:rPr>
              <w:fldChar w:fldCharType="end"/>
            </w:r>
          </w:hyperlink>
        </w:p>
        <w:p w14:paraId="577DD470" w14:textId="23FB4F05"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8"/>
              <w:sz w:val="22"/>
              <w:szCs w:val="24"/>
            </w:rPr>
          </w:pPr>
          <w:hyperlink w:anchor="_Toc81833365" w:history="1">
            <w:r w:rsidR="002B5F6B" w:rsidRPr="00A160B9">
              <w:rPr>
                <w:rStyle w:val="aff0"/>
                <w:rFonts w:ascii="Times New Roman" w:hAnsi="Times New Roman"/>
                <w:noProof/>
                <w:spacing w:val="-8"/>
                <w:sz w:val="22"/>
                <w:szCs w:val="24"/>
              </w:rPr>
              <w:t>道路运输物流企业授信额度评估咨询操作指引（试行）（中评协〔</w:t>
            </w:r>
            <w:r w:rsidR="002B5F6B" w:rsidRPr="00A160B9">
              <w:rPr>
                <w:rStyle w:val="aff0"/>
                <w:rFonts w:ascii="Times New Roman" w:hAnsi="Times New Roman"/>
                <w:noProof/>
                <w:spacing w:val="-8"/>
                <w:sz w:val="22"/>
                <w:szCs w:val="24"/>
              </w:rPr>
              <w:t>2019</w:t>
            </w:r>
            <w:r w:rsidR="002B5F6B" w:rsidRPr="00A160B9">
              <w:rPr>
                <w:rStyle w:val="aff0"/>
                <w:rFonts w:ascii="Times New Roman" w:hAnsi="Times New Roman"/>
                <w:noProof/>
                <w:spacing w:val="-8"/>
                <w:sz w:val="22"/>
                <w:szCs w:val="24"/>
              </w:rPr>
              <w:t>〕</w:t>
            </w:r>
            <w:r w:rsidR="002B5F6B" w:rsidRPr="00A160B9">
              <w:rPr>
                <w:rStyle w:val="aff0"/>
                <w:rFonts w:ascii="Times New Roman" w:hAnsi="Times New Roman"/>
                <w:noProof/>
                <w:spacing w:val="-8"/>
                <w:sz w:val="22"/>
                <w:szCs w:val="24"/>
              </w:rPr>
              <w:t>37</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webHidden/>
                <w:spacing w:val="-8"/>
                <w:sz w:val="22"/>
                <w:szCs w:val="24"/>
              </w:rPr>
              <w:tab/>
            </w:r>
            <w:r w:rsidR="002B5F6B" w:rsidRPr="00A160B9">
              <w:rPr>
                <w:rStyle w:val="aff0"/>
                <w:rFonts w:ascii="Times New Roman" w:hAnsi="Times New Roman"/>
                <w:webHidden/>
                <w:spacing w:val="-8"/>
                <w:sz w:val="22"/>
                <w:szCs w:val="24"/>
              </w:rPr>
              <w:fldChar w:fldCharType="begin"/>
            </w:r>
            <w:r w:rsidR="002B5F6B" w:rsidRPr="00A160B9">
              <w:rPr>
                <w:rStyle w:val="aff0"/>
                <w:rFonts w:ascii="Times New Roman" w:hAnsi="Times New Roman"/>
                <w:webHidden/>
                <w:spacing w:val="-8"/>
                <w:sz w:val="22"/>
                <w:szCs w:val="24"/>
              </w:rPr>
              <w:instrText xml:space="preserve"> PAGEREF _Toc81833365 \h </w:instrText>
            </w:r>
            <w:r w:rsidR="002B5F6B" w:rsidRPr="00A160B9">
              <w:rPr>
                <w:rStyle w:val="aff0"/>
                <w:rFonts w:ascii="Times New Roman" w:hAnsi="Times New Roman"/>
                <w:webHidden/>
                <w:spacing w:val="-8"/>
                <w:sz w:val="22"/>
                <w:szCs w:val="24"/>
              </w:rPr>
            </w:r>
            <w:r w:rsidR="002B5F6B" w:rsidRPr="00A160B9">
              <w:rPr>
                <w:rStyle w:val="aff0"/>
                <w:rFonts w:ascii="Times New Roman" w:hAnsi="Times New Roman"/>
                <w:webHidden/>
                <w:spacing w:val="-8"/>
                <w:sz w:val="22"/>
                <w:szCs w:val="24"/>
              </w:rPr>
              <w:fldChar w:fldCharType="separate"/>
            </w:r>
            <w:r w:rsidR="00CC19DA" w:rsidRPr="00A160B9">
              <w:rPr>
                <w:rStyle w:val="aff0"/>
                <w:rFonts w:ascii="Times New Roman" w:hAnsi="Times New Roman"/>
                <w:noProof/>
                <w:webHidden/>
                <w:spacing w:val="-8"/>
                <w:sz w:val="22"/>
                <w:szCs w:val="24"/>
              </w:rPr>
              <w:t>619</w:t>
            </w:r>
            <w:r w:rsidR="002B5F6B" w:rsidRPr="00A160B9">
              <w:rPr>
                <w:rStyle w:val="aff0"/>
                <w:rFonts w:ascii="Times New Roman" w:hAnsi="Times New Roman"/>
                <w:webHidden/>
                <w:spacing w:val="-8"/>
                <w:sz w:val="22"/>
                <w:szCs w:val="24"/>
              </w:rPr>
              <w:fldChar w:fldCharType="end"/>
            </w:r>
          </w:hyperlink>
        </w:p>
        <w:p w14:paraId="114BB990" w14:textId="295D552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66" w:history="1">
            <w:r w:rsidR="002B5F6B" w:rsidRPr="00A160B9">
              <w:rPr>
                <w:rStyle w:val="aff0"/>
                <w:rFonts w:ascii="Times New Roman" w:hAnsi="Times New Roman"/>
                <w:noProof/>
                <w:sz w:val="22"/>
                <w:szCs w:val="24"/>
              </w:rPr>
              <w:t>政府和社会资本合作（</w:t>
            </w:r>
            <w:r w:rsidR="002B5F6B" w:rsidRPr="00A160B9">
              <w:rPr>
                <w:rStyle w:val="aff0"/>
                <w:rFonts w:ascii="Times New Roman" w:hAnsi="Times New Roman"/>
                <w:noProof/>
                <w:sz w:val="22"/>
                <w:szCs w:val="24"/>
              </w:rPr>
              <w:t>PPP</w:t>
            </w:r>
            <w:r w:rsidR="002B5F6B" w:rsidRPr="00A160B9">
              <w:rPr>
                <w:rStyle w:val="aff0"/>
                <w:rFonts w:ascii="Times New Roman" w:hAnsi="Times New Roman"/>
                <w:noProof/>
                <w:sz w:val="22"/>
                <w:szCs w:val="24"/>
              </w:rPr>
              <w:t>）项目绩效管理操作指引（财金〔</w:t>
            </w:r>
            <w:r w:rsidR="002B5F6B" w:rsidRPr="00A160B9">
              <w:rPr>
                <w:rStyle w:val="aff0"/>
                <w:rFonts w:ascii="Times New Roman" w:hAnsi="Times New Roman"/>
                <w:noProof/>
                <w:sz w:val="22"/>
                <w:szCs w:val="24"/>
              </w:rPr>
              <w:t>2020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_Toc81833366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626</w:t>
            </w:r>
            <w:r w:rsidR="002B5F6B" w:rsidRPr="00A160B9">
              <w:rPr>
                <w:rStyle w:val="aff0"/>
                <w:rFonts w:ascii="Times New Roman" w:hAnsi="Times New Roman"/>
                <w:webHidden/>
                <w:sz w:val="22"/>
                <w:szCs w:val="24"/>
              </w:rPr>
              <w:fldChar w:fldCharType="end"/>
            </w:r>
          </w:hyperlink>
        </w:p>
        <w:p w14:paraId="3A457A00" w14:textId="65EC6876" w:rsidR="00532A44" w:rsidRPr="00A160B9" w:rsidRDefault="00532A44" w:rsidP="00532A44">
          <w:pPr>
            <w:jc w:val="center"/>
            <w:rPr>
              <w:rFonts w:ascii="Times New Roman" w:hAnsi="Times New Roman" w:cs="Times New Roman"/>
              <w:b/>
              <w:bCs/>
              <w:sz w:val="36"/>
              <w:szCs w:val="40"/>
              <w:lang w:val="zh-CN"/>
            </w:rPr>
          </w:pPr>
          <w:r w:rsidRPr="00A160B9">
            <w:rPr>
              <w:rFonts w:ascii="Times New Roman" w:hAnsi="Times New Roman" w:cs="Times New Roman"/>
              <w:b/>
              <w:bCs/>
              <w:sz w:val="36"/>
              <w:szCs w:val="40"/>
              <w:lang w:val="zh-CN"/>
            </w:rPr>
            <w:t>（中册）</w:t>
          </w:r>
        </w:p>
        <w:p w14:paraId="211A79DE" w14:textId="0D311EFA"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67" w:history="1">
            <w:r w:rsidR="002B5F6B" w:rsidRPr="00A160B9">
              <w:rPr>
                <w:rStyle w:val="aff0"/>
                <w:b/>
                <w:bCs/>
                <w:noProof/>
                <w:sz w:val="24"/>
              </w:rPr>
              <w:t>地方协会发布文件</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_Toc81833367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639</w:t>
            </w:r>
            <w:r w:rsidR="002B5F6B" w:rsidRPr="00A160B9">
              <w:rPr>
                <w:rStyle w:val="aff0"/>
                <w:b/>
                <w:bCs/>
                <w:noProof/>
                <w:webHidden/>
                <w:sz w:val="24"/>
              </w:rPr>
              <w:fldChar w:fldCharType="end"/>
            </w:r>
          </w:hyperlink>
        </w:p>
        <w:p w14:paraId="0FC2081A" w14:textId="6EC58AF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68" w:history="1">
            <w:r w:rsidR="002B5F6B" w:rsidRPr="00A160B9">
              <w:rPr>
                <w:rStyle w:val="aff0"/>
                <w:rFonts w:ascii="Times New Roman" w:hAnsi="Times New Roman"/>
                <w:noProof/>
                <w:sz w:val="22"/>
                <w:szCs w:val="24"/>
              </w:rPr>
              <w:t>北京资产评估协会中小评估机构技术援助专家委员会专家提示第</w:t>
            </w:r>
            <w:r w:rsidR="002B5F6B" w:rsidRPr="00A160B9">
              <w:rPr>
                <w:rStyle w:val="aff0"/>
                <w:rFonts w:ascii="Times New Roman" w:hAnsi="Times New Roman"/>
                <w:noProof/>
                <w:sz w:val="22"/>
                <w:szCs w:val="24"/>
              </w:rPr>
              <w:t>1</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法院委托评估项目</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_Toc81833368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639</w:t>
            </w:r>
            <w:r w:rsidR="002B5F6B" w:rsidRPr="00A160B9">
              <w:rPr>
                <w:rStyle w:val="aff0"/>
                <w:rFonts w:ascii="Times New Roman" w:hAnsi="Times New Roman"/>
                <w:webHidden/>
                <w:sz w:val="22"/>
                <w:szCs w:val="24"/>
              </w:rPr>
              <w:fldChar w:fldCharType="end"/>
            </w:r>
          </w:hyperlink>
        </w:p>
        <w:p w14:paraId="21BD87BE" w14:textId="32E5243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69" w:history="1">
            <w:r w:rsidR="002B5F6B" w:rsidRPr="00A160B9">
              <w:rPr>
                <w:rStyle w:val="aff0"/>
                <w:rFonts w:ascii="Times New Roman" w:hAnsi="Times New Roman"/>
                <w:noProof/>
                <w:sz w:val="22"/>
                <w:szCs w:val="24"/>
              </w:rPr>
              <w:t>北京资产评估协会中小评估机构技术援助专家委员会专家提示第</w:t>
            </w:r>
            <w:r w:rsidR="002B5F6B" w:rsidRPr="00A160B9">
              <w:rPr>
                <w:rStyle w:val="aff0"/>
                <w:rFonts w:ascii="Times New Roman" w:hAnsi="Times New Roman"/>
                <w:noProof/>
                <w:sz w:val="22"/>
                <w:szCs w:val="24"/>
              </w:rPr>
              <w:t>2</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折现率选取</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_Toc81833369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641</w:t>
            </w:r>
            <w:r w:rsidR="002B5F6B" w:rsidRPr="00A160B9">
              <w:rPr>
                <w:rStyle w:val="aff0"/>
                <w:rFonts w:ascii="Times New Roman" w:hAnsi="Times New Roman"/>
                <w:webHidden/>
                <w:sz w:val="22"/>
                <w:szCs w:val="24"/>
              </w:rPr>
              <w:fldChar w:fldCharType="end"/>
            </w:r>
          </w:hyperlink>
        </w:p>
        <w:p w14:paraId="7F0D43A2" w14:textId="3263C55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0" w:history="1">
            <w:r w:rsidR="002B5F6B" w:rsidRPr="00A160B9">
              <w:rPr>
                <w:rStyle w:val="aff0"/>
                <w:rFonts w:ascii="Times New Roman" w:hAnsi="Times New Roman"/>
                <w:noProof/>
                <w:sz w:val="22"/>
                <w:szCs w:val="24"/>
              </w:rPr>
              <w:t>北京资产评估协会中小评估机构技术援助专家委员会专家提示第</w:t>
            </w:r>
            <w:r w:rsidR="002B5F6B" w:rsidRPr="00A160B9">
              <w:rPr>
                <w:rStyle w:val="aff0"/>
                <w:rFonts w:ascii="Times New Roman" w:hAnsi="Times New Roman"/>
                <w:noProof/>
                <w:sz w:val="22"/>
                <w:szCs w:val="24"/>
              </w:rPr>
              <w:t>3</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发电企业相关评估项目</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643</w:t>
            </w:r>
            <w:r w:rsidR="002B5F6B" w:rsidRPr="00A160B9">
              <w:rPr>
                <w:rStyle w:val="aff0"/>
                <w:rFonts w:ascii="Times New Roman" w:hAnsi="Times New Roman"/>
                <w:webHidden/>
                <w:sz w:val="22"/>
                <w:szCs w:val="24"/>
              </w:rPr>
              <w:fldChar w:fldCharType="end"/>
            </w:r>
          </w:hyperlink>
        </w:p>
        <w:p w14:paraId="3AE8A639" w14:textId="2D3E166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1" w:history="1">
            <w:r w:rsidR="002B5F6B" w:rsidRPr="00A160B9">
              <w:rPr>
                <w:rStyle w:val="aff0"/>
                <w:rFonts w:ascii="Times New Roman" w:hAnsi="Times New Roman"/>
                <w:noProof/>
                <w:sz w:val="22"/>
                <w:szCs w:val="24"/>
              </w:rPr>
              <w:t>北京资产评估协会中小评估机构技术援助专家委员会专家提示第</w:t>
            </w:r>
            <w:r w:rsidR="002B5F6B" w:rsidRPr="00A160B9">
              <w:rPr>
                <w:rStyle w:val="aff0"/>
                <w:rFonts w:ascii="Times New Roman" w:hAnsi="Times New Roman"/>
                <w:noProof/>
                <w:sz w:val="22"/>
                <w:szCs w:val="24"/>
              </w:rPr>
              <w:t>4</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无形资产评估</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648</w:t>
            </w:r>
            <w:r w:rsidR="002B5F6B" w:rsidRPr="00A160B9">
              <w:rPr>
                <w:rStyle w:val="aff0"/>
                <w:rFonts w:ascii="Times New Roman" w:hAnsi="Times New Roman"/>
                <w:webHidden/>
                <w:sz w:val="22"/>
                <w:szCs w:val="24"/>
              </w:rPr>
              <w:fldChar w:fldCharType="end"/>
            </w:r>
          </w:hyperlink>
        </w:p>
        <w:p w14:paraId="0A3DA2AA" w14:textId="5EEB050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2" w:history="1">
            <w:r w:rsidR="002B5F6B" w:rsidRPr="00A160B9">
              <w:rPr>
                <w:rStyle w:val="aff0"/>
                <w:rFonts w:ascii="Times New Roman" w:hAnsi="Times New Roman"/>
                <w:noProof/>
                <w:sz w:val="22"/>
                <w:szCs w:val="24"/>
              </w:rPr>
              <w:t>北京资产评估协会专业技术委员会执业问题解答（</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年第一期）</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654</w:t>
            </w:r>
            <w:r w:rsidR="002B5F6B" w:rsidRPr="00A160B9">
              <w:rPr>
                <w:rStyle w:val="aff0"/>
                <w:rFonts w:ascii="Times New Roman" w:hAnsi="Times New Roman"/>
                <w:webHidden/>
                <w:sz w:val="22"/>
                <w:szCs w:val="24"/>
              </w:rPr>
              <w:fldChar w:fldCharType="end"/>
            </w:r>
          </w:hyperlink>
        </w:p>
        <w:p w14:paraId="799611F2" w14:textId="3B03FE2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3" w:history="1">
            <w:r w:rsidR="002B5F6B" w:rsidRPr="00A160B9">
              <w:rPr>
                <w:rStyle w:val="aff0"/>
                <w:rFonts w:ascii="Times New Roman" w:hAnsi="Times New Roman"/>
                <w:noProof/>
                <w:sz w:val="22"/>
                <w:szCs w:val="24"/>
              </w:rPr>
              <w:t>北京资产评估协会专业技术委员会执业问题解答（</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年第二期）</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665</w:t>
            </w:r>
            <w:r w:rsidR="002B5F6B" w:rsidRPr="00A160B9">
              <w:rPr>
                <w:rStyle w:val="aff0"/>
                <w:rFonts w:ascii="Times New Roman" w:hAnsi="Times New Roman"/>
                <w:webHidden/>
                <w:sz w:val="22"/>
                <w:szCs w:val="24"/>
              </w:rPr>
              <w:fldChar w:fldCharType="end"/>
            </w:r>
          </w:hyperlink>
        </w:p>
        <w:p w14:paraId="0D3B67FB" w14:textId="207116E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4" w:history="1">
            <w:r w:rsidR="002B5F6B" w:rsidRPr="00A160B9">
              <w:rPr>
                <w:rStyle w:val="aff0"/>
                <w:rFonts w:ascii="Times New Roman" w:hAnsi="Times New Roman"/>
                <w:noProof/>
                <w:sz w:val="22"/>
                <w:szCs w:val="24"/>
              </w:rPr>
              <w:t>北京资产评估协会专业技术委员会执业问题解答（</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年第三期）</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674</w:t>
            </w:r>
            <w:r w:rsidR="002B5F6B" w:rsidRPr="00A160B9">
              <w:rPr>
                <w:rStyle w:val="aff0"/>
                <w:rFonts w:ascii="Times New Roman" w:hAnsi="Times New Roman"/>
                <w:webHidden/>
                <w:sz w:val="22"/>
                <w:szCs w:val="24"/>
              </w:rPr>
              <w:fldChar w:fldCharType="end"/>
            </w:r>
          </w:hyperlink>
        </w:p>
        <w:p w14:paraId="3B10AD6C" w14:textId="55F22AC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5" w:history="1">
            <w:r w:rsidR="002B5F6B" w:rsidRPr="00A160B9">
              <w:rPr>
                <w:rStyle w:val="aff0"/>
                <w:rFonts w:ascii="Times New Roman" w:hAnsi="Times New Roman"/>
                <w:noProof/>
                <w:sz w:val="22"/>
                <w:szCs w:val="24"/>
              </w:rPr>
              <w:t>北京资产评估协会专业技术委员会关于执行法院拟处置京牌小客车</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资产评估业务的特别提示</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684</w:t>
            </w:r>
            <w:r w:rsidR="002B5F6B" w:rsidRPr="00A160B9">
              <w:rPr>
                <w:rStyle w:val="aff0"/>
                <w:rFonts w:ascii="Times New Roman" w:hAnsi="Times New Roman"/>
                <w:webHidden/>
                <w:sz w:val="22"/>
                <w:szCs w:val="24"/>
              </w:rPr>
              <w:fldChar w:fldCharType="end"/>
            </w:r>
          </w:hyperlink>
        </w:p>
        <w:p w14:paraId="09D9ECA4" w14:textId="4D3E629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6" w:history="1">
            <w:r w:rsidR="002B5F6B" w:rsidRPr="00A160B9">
              <w:rPr>
                <w:rStyle w:val="aff0"/>
                <w:rFonts w:ascii="Times New Roman" w:hAnsi="Times New Roman"/>
                <w:noProof/>
                <w:sz w:val="22"/>
                <w:szCs w:val="24"/>
              </w:rPr>
              <w:t>北京资产评估协会资产评估专业技术委员会执业问题解答〔</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〕年第</w:t>
            </w:r>
            <w:r w:rsidR="002B5F6B" w:rsidRPr="00A160B9">
              <w:rPr>
                <w:rStyle w:val="aff0"/>
                <w:rFonts w:ascii="Times New Roman" w:hAnsi="Times New Roman"/>
                <w:noProof/>
                <w:sz w:val="22"/>
                <w:szCs w:val="24"/>
              </w:rPr>
              <w:t>1</w:t>
            </w:r>
            <w:r w:rsidR="002B5F6B" w:rsidRPr="00A160B9">
              <w:rPr>
                <w:rStyle w:val="aff0"/>
                <w:rFonts w:ascii="Times New Roman" w:hAnsi="Times New Roman"/>
                <w:noProof/>
                <w:sz w:val="22"/>
                <w:szCs w:val="24"/>
              </w:rPr>
              <w:t>期</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关于权属资料的核查验证</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686</w:t>
            </w:r>
            <w:r w:rsidR="002B5F6B" w:rsidRPr="00A160B9">
              <w:rPr>
                <w:rStyle w:val="aff0"/>
                <w:rFonts w:ascii="Times New Roman" w:hAnsi="Times New Roman"/>
                <w:webHidden/>
                <w:sz w:val="22"/>
                <w:szCs w:val="24"/>
              </w:rPr>
              <w:fldChar w:fldCharType="end"/>
            </w:r>
          </w:hyperlink>
        </w:p>
        <w:p w14:paraId="08581258" w14:textId="64A8189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7" w:history="1">
            <w:r w:rsidR="002B5F6B" w:rsidRPr="00A160B9">
              <w:rPr>
                <w:rStyle w:val="aff0"/>
                <w:rFonts w:ascii="Times New Roman" w:hAnsi="Times New Roman"/>
                <w:noProof/>
                <w:sz w:val="22"/>
                <w:szCs w:val="24"/>
              </w:rPr>
              <w:t>北京资产评估协会风险管理委员会风险研究报告</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年第</w:t>
            </w:r>
            <w:r w:rsidR="002B5F6B" w:rsidRPr="00A160B9">
              <w:rPr>
                <w:rStyle w:val="aff0"/>
                <w:rFonts w:ascii="Times New Roman" w:hAnsi="Times New Roman"/>
                <w:noProof/>
                <w:sz w:val="22"/>
                <w:szCs w:val="24"/>
              </w:rPr>
              <w:t>1</w:t>
            </w:r>
            <w:r w:rsidR="002B5F6B" w:rsidRPr="00A160B9">
              <w:rPr>
                <w:rStyle w:val="aff0"/>
                <w:rFonts w:ascii="Times New Roman" w:hAnsi="Times New Roman"/>
                <w:noProof/>
                <w:sz w:val="22"/>
                <w:szCs w:val="24"/>
              </w:rPr>
              <w:t>期</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企业价值评估</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698</w:t>
            </w:r>
            <w:r w:rsidR="002B5F6B" w:rsidRPr="00A160B9">
              <w:rPr>
                <w:rStyle w:val="aff0"/>
                <w:rFonts w:ascii="Times New Roman" w:hAnsi="Times New Roman"/>
                <w:webHidden/>
                <w:sz w:val="22"/>
                <w:szCs w:val="24"/>
              </w:rPr>
              <w:fldChar w:fldCharType="end"/>
            </w:r>
          </w:hyperlink>
        </w:p>
        <w:p w14:paraId="35C46760" w14:textId="1FEE519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8" w:history="1">
            <w:r w:rsidR="002B5F6B" w:rsidRPr="00A160B9">
              <w:rPr>
                <w:rStyle w:val="aff0"/>
                <w:rFonts w:ascii="Times New Roman" w:hAnsi="Times New Roman"/>
                <w:noProof/>
                <w:sz w:val="22"/>
                <w:szCs w:val="24"/>
              </w:rPr>
              <w:t>北京资产评估协会风险管理委员会风险研究报告</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年第</w:t>
            </w:r>
            <w:r w:rsidR="002B5F6B" w:rsidRPr="00A160B9">
              <w:rPr>
                <w:rStyle w:val="aff0"/>
                <w:rFonts w:ascii="Times New Roman" w:hAnsi="Times New Roman"/>
                <w:noProof/>
                <w:sz w:val="22"/>
                <w:szCs w:val="24"/>
              </w:rPr>
              <w:t>2</w:t>
            </w:r>
            <w:r w:rsidR="002B5F6B" w:rsidRPr="00A160B9">
              <w:rPr>
                <w:rStyle w:val="aff0"/>
                <w:rFonts w:ascii="Times New Roman" w:hAnsi="Times New Roman"/>
                <w:noProof/>
                <w:sz w:val="22"/>
                <w:szCs w:val="24"/>
              </w:rPr>
              <w:t>期</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商誉减值测试评估</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702</w:t>
            </w:r>
            <w:r w:rsidR="002B5F6B" w:rsidRPr="00A160B9">
              <w:rPr>
                <w:rStyle w:val="aff0"/>
                <w:rFonts w:ascii="Times New Roman" w:hAnsi="Times New Roman"/>
                <w:webHidden/>
                <w:sz w:val="22"/>
                <w:szCs w:val="24"/>
              </w:rPr>
              <w:fldChar w:fldCharType="end"/>
            </w:r>
          </w:hyperlink>
        </w:p>
        <w:p w14:paraId="4BEE777F" w14:textId="77777777" w:rsidR="00567A59" w:rsidRPr="00A160B9" w:rsidRDefault="00567A59" w:rsidP="00567A59">
          <w:pPr>
            <w:rPr>
              <w:rFonts w:ascii="Times New Roman" w:hAnsi="Times New Roman" w:cs="Times New Roman"/>
            </w:rPr>
          </w:pPr>
        </w:p>
        <w:p w14:paraId="4ABEAA90" w14:textId="012D2E6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79" w:history="1">
            <w:r w:rsidR="002B5F6B" w:rsidRPr="00A160B9">
              <w:rPr>
                <w:rStyle w:val="aff0"/>
                <w:rFonts w:ascii="Times New Roman" w:hAnsi="Times New Roman"/>
                <w:noProof/>
                <w:sz w:val="22"/>
                <w:szCs w:val="24"/>
              </w:rPr>
              <w:t>北京资产评估协会维权委员会专家提示〔</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〕年第</w:t>
            </w:r>
            <w:r w:rsidR="002B5F6B" w:rsidRPr="00A160B9">
              <w:rPr>
                <w:rStyle w:val="aff0"/>
                <w:rFonts w:ascii="Times New Roman" w:hAnsi="Times New Roman"/>
                <w:noProof/>
                <w:sz w:val="22"/>
                <w:szCs w:val="24"/>
              </w:rPr>
              <w:t>1</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资产评估委托合同风险提示</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_Toc81833379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708</w:t>
            </w:r>
            <w:r w:rsidR="002B5F6B" w:rsidRPr="00A160B9">
              <w:rPr>
                <w:rStyle w:val="aff0"/>
                <w:rFonts w:ascii="Times New Roman" w:hAnsi="Times New Roman"/>
                <w:webHidden/>
                <w:sz w:val="22"/>
                <w:szCs w:val="24"/>
              </w:rPr>
              <w:fldChar w:fldCharType="end"/>
            </w:r>
          </w:hyperlink>
        </w:p>
        <w:p w14:paraId="0FA2243E" w14:textId="20CA476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80" w:history="1">
            <w:r w:rsidR="002B5F6B" w:rsidRPr="00A160B9">
              <w:rPr>
                <w:rStyle w:val="aff0"/>
                <w:rFonts w:ascii="Times New Roman" w:hAnsi="Times New Roman"/>
                <w:noProof/>
                <w:sz w:val="22"/>
                <w:szCs w:val="24"/>
              </w:rPr>
              <w:t>浙江省注册会计师协会专业技术委员会专家提示（第</w:t>
            </w:r>
            <w:r w:rsidR="002B5F6B" w:rsidRPr="00A160B9">
              <w:rPr>
                <w:rStyle w:val="aff0"/>
                <w:rFonts w:ascii="Times New Roman" w:hAnsi="Times New Roman"/>
                <w:noProof/>
                <w:sz w:val="22"/>
                <w:szCs w:val="24"/>
              </w:rPr>
              <w:t>1</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商誉减值测试相关问题的关注</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_Toc81833380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718</w:t>
            </w:r>
            <w:r w:rsidR="002B5F6B" w:rsidRPr="00A160B9">
              <w:rPr>
                <w:rStyle w:val="aff0"/>
                <w:rFonts w:ascii="Times New Roman" w:hAnsi="Times New Roman"/>
                <w:webHidden/>
                <w:sz w:val="22"/>
                <w:szCs w:val="24"/>
              </w:rPr>
              <w:fldChar w:fldCharType="end"/>
            </w:r>
          </w:hyperlink>
        </w:p>
        <w:p w14:paraId="5A550E67" w14:textId="4C10150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81" w:history="1">
            <w:r w:rsidR="002B5F6B" w:rsidRPr="00A160B9">
              <w:rPr>
                <w:rStyle w:val="aff0"/>
                <w:rFonts w:ascii="Times New Roman" w:hAnsi="Times New Roman"/>
                <w:noProof/>
                <w:sz w:val="22"/>
                <w:szCs w:val="24"/>
              </w:rPr>
              <w:t>深圳市注册会计师协会专业技术委员会第十次研讨会会议纪要</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_Toc81833381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729</w:t>
            </w:r>
            <w:r w:rsidR="002B5F6B" w:rsidRPr="00A160B9">
              <w:rPr>
                <w:rStyle w:val="aff0"/>
                <w:rFonts w:ascii="Times New Roman" w:hAnsi="Times New Roman"/>
                <w:webHidden/>
                <w:sz w:val="22"/>
                <w:szCs w:val="24"/>
              </w:rPr>
              <w:fldChar w:fldCharType="end"/>
            </w:r>
          </w:hyperlink>
        </w:p>
        <w:p w14:paraId="0C1661E2" w14:textId="6DBC7976" w:rsidR="002B5F6B" w:rsidRPr="00A160B9" w:rsidRDefault="00000000" w:rsidP="002B5F6B">
          <w:pPr>
            <w:pStyle w:val="TOC10"/>
            <w:tabs>
              <w:tab w:val="right" w:leader="dot" w:pos="8296"/>
            </w:tabs>
            <w:spacing w:line="312" w:lineRule="auto"/>
            <w:rPr>
              <w:rStyle w:val="aff0"/>
              <w:b/>
              <w:bCs/>
              <w:sz w:val="28"/>
              <w:szCs w:val="28"/>
            </w:rPr>
          </w:pPr>
          <w:hyperlink w:anchor="_Toc81833382" w:history="1">
            <w:r w:rsidR="002B5F6B" w:rsidRPr="00A160B9">
              <w:rPr>
                <w:rStyle w:val="aff0"/>
                <w:b/>
                <w:bCs/>
                <w:noProof/>
                <w:sz w:val="28"/>
                <w:szCs w:val="28"/>
              </w:rPr>
              <w:t>房地产估价规范</w:t>
            </w:r>
            <w:r w:rsidR="002B5F6B" w:rsidRPr="00A160B9">
              <w:rPr>
                <w:rStyle w:val="aff0"/>
                <w:b/>
                <w:bCs/>
                <w:webHidden/>
                <w:sz w:val="28"/>
                <w:szCs w:val="28"/>
              </w:rPr>
              <w:tab/>
            </w:r>
            <w:r w:rsidR="002B5F6B" w:rsidRPr="00A160B9">
              <w:rPr>
                <w:rStyle w:val="aff0"/>
                <w:b/>
                <w:bCs/>
                <w:webHidden/>
                <w:sz w:val="28"/>
                <w:szCs w:val="28"/>
              </w:rPr>
              <w:fldChar w:fldCharType="begin"/>
            </w:r>
            <w:r w:rsidR="002B5F6B" w:rsidRPr="00A160B9">
              <w:rPr>
                <w:rStyle w:val="aff0"/>
                <w:b/>
                <w:bCs/>
                <w:webHidden/>
                <w:sz w:val="28"/>
                <w:szCs w:val="28"/>
              </w:rPr>
              <w:instrText xml:space="preserve"> PAGEREF _Toc81833382 \h </w:instrText>
            </w:r>
            <w:r w:rsidR="002B5F6B" w:rsidRPr="00A160B9">
              <w:rPr>
                <w:rStyle w:val="aff0"/>
                <w:b/>
                <w:bCs/>
                <w:webHidden/>
                <w:sz w:val="28"/>
                <w:szCs w:val="28"/>
              </w:rPr>
            </w:r>
            <w:r w:rsidR="002B5F6B" w:rsidRPr="00A160B9">
              <w:rPr>
                <w:rStyle w:val="aff0"/>
                <w:b/>
                <w:bCs/>
                <w:webHidden/>
                <w:sz w:val="28"/>
                <w:szCs w:val="28"/>
              </w:rPr>
              <w:fldChar w:fldCharType="separate"/>
            </w:r>
            <w:r w:rsidR="00CC19DA" w:rsidRPr="00A160B9">
              <w:rPr>
                <w:rStyle w:val="aff0"/>
                <w:b/>
                <w:bCs/>
                <w:noProof/>
                <w:webHidden/>
                <w:sz w:val="28"/>
                <w:szCs w:val="28"/>
              </w:rPr>
              <w:t>733</w:t>
            </w:r>
            <w:r w:rsidR="002B5F6B" w:rsidRPr="00A160B9">
              <w:rPr>
                <w:rStyle w:val="aff0"/>
                <w:b/>
                <w:bCs/>
                <w:webHidden/>
                <w:sz w:val="28"/>
                <w:szCs w:val="28"/>
              </w:rPr>
              <w:fldChar w:fldCharType="end"/>
            </w:r>
          </w:hyperlink>
        </w:p>
        <w:p w14:paraId="51B5D41F" w14:textId="168DCEBD"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83" w:history="1">
            <w:r w:rsidR="002B5F6B" w:rsidRPr="00A160B9">
              <w:rPr>
                <w:rStyle w:val="aff0"/>
                <w:b/>
                <w:bCs/>
                <w:noProof/>
                <w:sz w:val="24"/>
              </w:rPr>
              <w:t>国家标准</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_Toc81833383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733</w:t>
            </w:r>
            <w:r w:rsidR="002B5F6B" w:rsidRPr="00A160B9">
              <w:rPr>
                <w:rStyle w:val="aff0"/>
                <w:b/>
                <w:bCs/>
                <w:noProof/>
                <w:webHidden/>
                <w:sz w:val="24"/>
              </w:rPr>
              <w:fldChar w:fldCharType="end"/>
            </w:r>
          </w:hyperlink>
        </w:p>
        <w:p w14:paraId="47978BDE" w14:textId="27EE008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84" w:history="1">
            <w:r w:rsidR="002B5F6B" w:rsidRPr="00A160B9">
              <w:rPr>
                <w:rStyle w:val="aff0"/>
                <w:rFonts w:ascii="Times New Roman" w:hAnsi="Times New Roman"/>
                <w:noProof/>
                <w:sz w:val="22"/>
                <w:szCs w:val="24"/>
              </w:rPr>
              <w:t>房地产估价规范（</w:t>
            </w:r>
            <w:r w:rsidR="002B5F6B" w:rsidRPr="00A160B9">
              <w:rPr>
                <w:rStyle w:val="aff0"/>
                <w:rFonts w:ascii="Times New Roman" w:hAnsi="Times New Roman"/>
                <w:noProof/>
                <w:sz w:val="22"/>
                <w:szCs w:val="24"/>
              </w:rPr>
              <w:t>GB/T50291-2015</w:t>
            </w:r>
            <w:r w:rsidR="002B5F6B" w:rsidRPr="00A160B9">
              <w:rPr>
                <w:rStyle w:val="aff0"/>
                <w:rFonts w:ascii="Times New Roman" w:hAnsi="Times New Roman"/>
                <w:noProof/>
                <w:sz w:val="22"/>
                <w:szCs w:val="24"/>
              </w:rPr>
              <w:t>）（住建部第</w:t>
            </w:r>
            <w:r w:rsidR="002B5F6B" w:rsidRPr="00A160B9">
              <w:rPr>
                <w:rStyle w:val="aff0"/>
                <w:rFonts w:ascii="Times New Roman" w:hAnsi="Times New Roman"/>
                <w:noProof/>
                <w:sz w:val="22"/>
                <w:szCs w:val="24"/>
              </w:rPr>
              <w:t>797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_Toc81833384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733</w:t>
            </w:r>
            <w:r w:rsidR="002B5F6B" w:rsidRPr="00A160B9">
              <w:rPr>
                <w:rStyle w:val="aff0"/>
                <w:rFonts w:ascii="Times New Roman" w:hAnsi="Times New Roman"/>
                <w:webHidden/>
                <w:sz w:val="22"/>
                <w:szCs w:val="24"/>
              </w:rPr>
              <w:fldChar w:fldCharType="end"/>
            </w:r>
          </w:hyperlink>
        </w:p>
        <w:p w14:paraId="1BDD9EFD" w14:textId="6BBBD9C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85" w:history="1">
            <w:r w:rsidR="002B5F6B" w:rsidRPr="00A160B9">
              <w:rPr>
                <w:rStyle w:val="aff0"/>
                <w:rFonts w:ascii="Times New Roman" w:hAnsi="Times New Roman"/>
                <w:noProof/>
                <w:sz w:val="22"/>
                <w:szCs w:val="24"/>
              </w:rPr>
              <w:t>房地产估价规范条文说明</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_Toc81833385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767</w:t>
            </w:r>
            <w:r w:rsidR="002B5F6B" w:rsidRPr="00A160B9">
              <w:rPr>
                <w:rStyle w:val="aff0"/>
                <w:rFonts w:ascii="Times New Roman" w:hAnsi="Times New Roman"/>
                <w:webHidden/>
                <w:sz w:val="22"/>
                <w:szCs w:val="24"/>
              </w:rPr>
              <w:fldChar w:fldCharType="end"/>
            </w:r>
          </w:hyperlink>
        </w:p>
        <w:p w14:paraId="2029137F" w14:textId="1613187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86" w:history="1">
            <w:r w:rsidR="002B5F6B" w:rsidRPr="00A160B9">
              <w:rPr>
                <w:rStyle w:val="aff0"/>
                <w:rFonts w:ascii="Times New Roman" w:hAnsi="Times New Roman"/>
                <w:noProof/>
                <w:sz w:val="22"/>
                <w:szCs w:val="24"/>
              </w:rPr>
              <w:t>房地产估价基本术语标准（</w:t>
            </w:r>
            <w:r w:rsidR="002B5F6B" w:rsidRPr="00A160B9">
              <w:rPr>
                <w:rStyle w:val="aff0"/>
                <w:rFonts w:ascii="Times New Roman" w:hAnsi="Times New Roman"/>
                <w:noProof/>
                <w:sz w:val="22"/>
                <w:szCs w:val="24"/>
              </w:rPr>
              <w:t>GB/T 50899-2013</w:t>
            </w:r>
            <w:r w:rsidR="002B5F6B" w:rsidRPr="00A160B9">
              <w:rPr>
                <w:rStyle w:val="aff0"/>
                <w:rFonts w:ascii="Times New Roman" w:hAnsi="Times New Roman"/>
                <w:noProof/>
                <w:sz w:val="22"/>
                <w:szCs w:val="24"/>
              </w:rPr>
              <w:t>）（住建部公告第</w:t>
            </w:r>
            <w:r w:rsidR="002B5F6B" w:rsidRPr="00A160B9">
              <w:rPr>
                <w:rStyle w:val="aff0"/>
                <w:rFonts w:ascii="Times New Roman" w:hAnsi="Times New Roman"/>
                <w:noProof/>
                <w:sz w:val="22"/>
                <w:szCs w:val="24"/>
              </w:rPr>
              <w:t>84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_Toc81833386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794</w:t>
            </w:r>
            <w:r w:rsidR="002B5F6B" w:rsidRPr="00A160B9">
              <w:rPr>
                <w:rStyle w:val="aff0"/>
                <w:rFonts w:ascii="Times New Roman" w:hAnsi="Times New Roman"/>
                <w:webHidden/>
                <w:sz w:val="22"/>
                <w:szCs w:val="24"/>
              </w:rPr>
              <w:fldChar w:fldCharType="end"/>
            </w:r>
          </w:hyperlink>
        </w:p>
        <w:p w14:paraId="62DDC2D4" w14:textId="6901D5A0"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87" w:history="1">
            <w:r w:rsidR="002B5F6B" w:rsidRPr="00A160B9">
              <w:rPr>
                <w:rStyle w:val="aff0"/>
                <w:b/>
                <w:bCs/>
                <w:noProof/>
                <w:sz w:val="24"/>
              </w:rPr>
              <w:t>建设部及中房学规范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_Toc81833387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808</w:t>
            </w:r>
            <w:r w:rsidR="002B5F6B" w:rsidRPr="00A160B9">
              <w:rPr>
                <w:rStyle w:val="aff0"/>
                <w:b/>
                <w:bCs/>
                <w:noProof/>
                <w:webHidden/>
                <w:sz w:val="24"/>
              </w:rPr>
              <w:fldChar w:fldCharType="end"/>
            </w:r>
          </w:hyperlink>
        </w:p>
        <w:p w14:paraId="70883B18" w14:textId="2B69C1C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88" w:history="1">
            <w:r w:rsidR="002B5F6B" w:rsidRPr="00A160B9">
              <w:rPr>
                <w:rStyle w:val="aff0"/>
                <w:rFonts w:ascii="Times New Roman" w:hAnsi="Times New Roman"/>
                <w:noProof/>
                <w:sz w:val="22"/>
                <w:szCs w:val="24"/>
              </w:rPr>
              <w:t>房地产抵押估价指导意见（建住房〔</w:t>
            </w:r>
            <w:r w:rsidR="002B5F6B" w:rsidRPr="00A160B9">
              <w:rPr>
                <w:rStyle w:val="aff0"/>
                <w:rFonts w:ascii="Times New Roman" w:hAnsi="Times New Roman"/>
                <w:noProof/>
                <w:sz w:val="22"/>
                <w:szCs w:val="24"/>
              </w:rPr>
              <w:t>2006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_Toc81833388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808</w:t>
            </w:r>
            <w:r w:rsidR="002B5F6B" w:rsidRPr="00A160B9">
              <w:rPr>
                <w:rStyle w:val="aff0"/>
                <w:rFonts w:ascii="Times New Roman" w:hAnsi="Times New Roman"/>
                <w:webHidden/>
                <w:sz w:val="22"/>
                <w:szCs w:val="24"/>
              </w:rPr>
              <w:fldChar w:fldCharType="end"/>
            </w:r>
          </w:hyperlink>
        </w:p>
        <w:p w14:paraId="35500021" w14:textId="0D73F39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89" w:history="1">
            <w:r w:rsidR="002B5F6B" w:rsidRPr="00A160B9">
              <w:rPr>
                <w:rStyle w:val="aff0"/>
                <w:rFonts w:ascii="Times New Roman" w:hAnsi="Times New Roman"/>
                <w:noProof/>
                <w:sz w:val="22"/>
                <w:szCs w:val="24"/>
              </w:rPr>
              <w:t>房地产投资信托基金物业评估指引（试行）（中房学〔</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_Toc81833389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813</w:t>
            </w:r>
            <w:r w:rsidR="002B5F6B" w:rsidRPr="00A160B9">
              <w:rPr>
                <w:rStyle w:val="aff0"/>
                <w:rFonts w:ascii="Times New Roman" w:hAnsi="Times New Roman"/>
                <w:webHidden/>
                <w:sz w:val="22"/>
                <w:szCs w:val="24"/>
              </w:rPr>
              <w:fldChar w:fldCharType="end"/>
            </w:r>
          </w:hyperlink>
        </w:p>
        <w:p w14:paraId="5921C7EE" w14:textId="5601C371"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90" w:history="1">
            <w:r w:rsidR="002B5F6B" w:rsidRPr="00A160B9">
              <w:rPr>
                <w:rStyle w:val="aff0"/>
                <w:rFonts w:ascii="Times New Roman" w:hAnsi="Times New Roman"/>
                <w:noProof/>
                <w:sz w:val="22"/>
                <w:szCs w:val="24"/>
              </w:rPr>
              <w:t>涉执房地产处置司法评估指导意见（试行）（中房学〔</w:t>
            </w:r>
            <w:r w:rsidR="002B5F6B" w:rsidRPr="00A160B9">
              <w:rPr>
                <w:rStyle w:val="aff0"/>
                <w:rFonts w:ascii="Times New Roman" w:hAnsi="Times New Roman"/>
                <w:noProof/>
                <w:sz w:val="22"/>
                <w:szCs w:val="24"/>
              </w:rPr>
              <w:t>2021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_Toc81833390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823</w:t>
            </w:r>
            <w:r w:rsidR="002B5F6B" w:rsidRPr="00A160B9">
              <w:rPr>
                <w:rStyle w:val="aff0"/>
                <w:rFonts w:ascii="Times New Roman" w:hAnsi="Times New Roman"/>
                <w:webHidden/>
                <w:sz w:val="22"/>
                <w:szCs w:val="24"/>
              </w:rPr>
              <w:fldChar w:fldCharType="end"/>
            </w:r>
          </w:hyperlink>
        </w:p>
        <w:p w14:paraId="7FFFDC69" w14:textId="3312339A"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91" w:history="1">
            <w:r w:rsidR="002B5F6B" w:rsidRPr="00A160B9">
              <w:rPr>
                <w:rStyle w:val="aff0"/>
                <w:b/>
                <w:bCs/>
                <w:noProof/>
                <w:sz w:val="24"/>
              </w:rPr>
              <w:t>房屋征收</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_Toc81833391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829</w:t>
            </w:r>
            <w:r w:rsidR="002B5F6B" w:rsidRPr="00A160B9">
              <w:rPr>
                <w:rStyle w:val="aff0"/>
                <w:b/>
                <w:bCs/>
                <w:noProof/>
                <w:webHidden/>
                <w:sz w:val="24"/>
              </w:rPr>
              <w:fldChar w:fldCharType="end"/>
            </w:r>
          </w:hyperlink>
        </w:p>
        <w:p w14:paraId="15B79804" w14:textId="62F24DB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92" w:history="1">
            <w:r w:rsidR="002B5F6B" w:rsidRPr="00A160B9">
              <w:rPr>
                <w:rStyle w:val="aff0"/>
                <w:rFonts w:ascii="Times New Roman" w:hAnsi="Times New Roman"/>
                <w:noProof/>
                <w:sz w:val="22"/>
                <w:szCs w:val="24"/>
              </w:rPr>
              <w:t>国有土地上房屋征收评估办法（建房〔</w:t>
            </w:r>
            <w:r w:rsidR="002B5F6B" w:rsidRPr="00A160B9">
              <w:rPr>
                <w:rStyle w:val="aff0"/>
                <w:rFonts w:ascii="Times New Roman" w:hAnsi="Times New Roman"/>
                <w:noProof/>
                <w:sz w:val="22"/>
                <w:szCs w:val="24"/>
              </w:rPr>
              <w:t>2011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77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_Toc81833392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829</w:t>
            </w:r>
            <w:r w:rsidR="002B5F6B" w:rsidRPr="00A160B9">
              <w:rPr>
                <w:rStyle w:val="aff0"/>
                <w:rFonts w:ascii="Times New Roman" w:hAnsi="Times New Roman"/>
                <w:webHidden/>
                <w:sz w:val="22"/>
                <w:szCs w:val="24"/>
              </w:rPr>
              <w:fldChar w:fldCharType="end"/>
            </w:r>
          </w:hyperlink>
        </w:p>
        <w:p w14:paraId="3F4F8C46" w14:textId="6ECA7679"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93" w:history="1">
            <w:r w:rsidR="002B5F6B" w:rsidRPr="00A160B9">
              <w:rPr>
                <w:rStyle w:val="aff0"/>
                <w:b/>
                <w:bCs/>
                <w:noProof/>
                <w:sz w:val="24"/>
              </w:rPr>
              <w:t>山东规范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_Toc81833393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834</w:t>
            </w:r>
            <w:r w:rsidR="002B5F6B" w:rsidRPr="00A160B9">
              <w:rPr>
                <w:rStyle w:val="aff0"/>
                <w:b/>
                <w:bCs/>
                <w:noProof/>
                <w:webHidden/>
                <w:sz w:val="24"/>
              </w:rPr>
              <w:fldChar w:fldCharType="end"/>
            </w:r>
          </w:hyperlink>
        </w:p>
        <w:p w14:paraId="69C52375" w14:textId="12A5CC1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94" w:history="1">
            <w:r w:rsidR="002B5F6B" w:rsidRPr="00A160B9">
              <w:rPr>
                <w:rStyle w:val="aff0"/>
                <w:rFonts w:ascii="Times New Roman" w:hAnsi="Times New Roman"/>
                <w:noProof/>
                <w:sz w:val="22"/>
                <w:szCs w:val="24"/>
              </w:rPr>
              <w:t>山东省城市房屋拆迁评估管理办法</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_Toc81833394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834</w:t>
            </w:r>
            <w:r w:rsidR="002B5F6B" w:rsidRPr="00A160B9">
              <w:rPr>
                <w:rStyle w:val="aff0"/>
                <w:rFonts w:ascii="Times New Roman" w:hAnsi="Times New Roman"/>
                <w:webHidden/>
                <w:sz w:val="22"/>
                <w:szCs w:val="24"/>
              </w:rPr>
              <w:fldChar w:fldCharType="end"/>
            </w:r>
          </w:hyperlink>
        </w:p>
        <w:p w14:paraId="4AEE2B07" w14:textId="37D2ACA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95" w:history="1">
            <w:r w:rsidR="002B5F6B" w:rsidRPr="00A160B9">
              <w:rPr>
                <w:rStyle w:val="aff0"/>
                <w:rFonts w:ascii="Times New Roman" w:hAnsi="Times New Roman"/>
                <w:noProof/>
                <w:sz w:val="22"/>
                <w:szCs w:val="24"/>
              </w:rPr>
              <w:t>山东省国有土地上房屋征收与补偿条例</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_Toc81833395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839</w:t>
            </w:r>
            <w:r w:rsidR="002B5F6B" w:rsidRPr="00A160B9">
              <w:rPr>
                <w:rStyle w:val="aff0"/>
                <w:rFonts w:ascii="Times New Roman" w:hAnsi="Times New Roman"/>
                <w:webHidden/>
                <w:sz w:val="22"/>
                <w:szCs w:val="24"/>
              </w:rPr>
              <w:fldChar w:fldCharType="end"/>
            </w:r>
          </w:hyperlink>
        </w:p>
        <w:p w14:paraId="2DF5781F" w14:textId="2B1C8BB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96" w:history="1">
            <w:r w:rsidR="002B5F6B" w:rsidRPr="00A160B9">
              <w:rPr>
                <w:rStyle w:val="aff0"/>
                <w:rFonts w:ascii="Times New Roman" w:hAnsi="Times New Roman"/>
                <w:noProof/>
                <w:sz w:val="22"/>
                <w:szCs w:val="24"/>
              </w:rPr>
              <w:t>济南市国有土地上房屋征收评估技术规范（济建发〔</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_Toc81833396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846</w:t>
            </w:r>
            <w:r w:rsidR="002B5F6B" w:rsidRPr="00A160B9">
              <w:rPr>
                <w:rStyle w:val="aff0"/>
                <w:rFonts w:ascii="Times New Roman" w:hAnsi="Times New Roman"/>
                <w:webHidden/>
                <w:sz w:val="22"/>
                <w:szCs w:val="24"/>
              </w:rPr>
              <w:fldChar w:fldCharType="end"/>
            </w:r>
          </w:hyperlink>
        </w:p>
        <w:p w14:paraId="3D0E092A" w14:textId="2DA3C6E5"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397" w:history="1">
            <w:r w:rsidR="002B5F6B" w:rsidRPr="00A160B9">
              <w:rPr>
                <w:rStyle w:val="aff0"/>
                <w:b/>
                <w:bCs/>
                <w:noProof/>
                <w:sz w:val="24"/>
              </w:rPr>
              <w:t>北京规范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_Toc81833397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859</w:t>
            </w:r>
            <w:r w:rsidR="002B5F6B" w:rsidRPr="00A160B9">
              <w:rPr>
                <w:rStyle w:val="aff0"/>
                <w:b/>
                <w:bCs/>
                <w:noProof/>
                <w:webHidden/>
                <w:sz w:val="24"/>
              </w:rPr>
              <w:fldChar w:fldCharType="end"/>
            </w:r>
          </w:hyperlink>
        </w:p>
        <w:p w14:paraId="5E826A2C" w14:textId="6F665DF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98" w:history="1">
            <w:r w:rsidR="002B5F6B" w:rsidRPr="00A160B9">
              <w:rPr>
                <w:rStyle w:val="aff0"/>
                <w:rFonts w:ascii="Times New Roman" w:hAnsi="Times New Roman"/>
                <w:noProof/>
                <w:sz w:val="22"/>
                <w:szCs w:val="24"/>
              </w:rPr>
              <w:t>北京市土地增值税扣除项目评估技术指引（旧房及建筑物评估）</w:t>
            </w:r>
            <w:r w:rsidR="002B5F6B" w:rsidRPr="00A160B9">
              <w:rPr>
                <w:rStyle w:val="aff0"/>
                <w:rFonts w:ascii="Times New Roman" w:hAnsi="Times New Roman"/>
                <w:noProof/>
                <w:sz w:val="22"/>
                <w:szCs w:val="24"/>
              </w:rPr>
              <w:br/>
              <w:t>(</w:t>
            </w:r>
            <w:r w:rsidR="002B5F6B" w:rsidRPr="00A160B9">
              <w:rPr>
                <w:rStyle w:val="aff0"/>
                <w:rFonts w:ascii="Times New Roman" w:hAnsi="Times New Roman"/>
                <w:noProof/>
                <w:sz w:val="22"/>
                <w:szCs w:val="24"/>
              </w:rPr>
              <w:t>京地税财行</w:t>
            </w:r>
            <w:r w:rsidR="002B5F6B" w:rsidRPr="00A160B9">
              <w:rPr>
                <w:rStyle w:val="aff0"/>
                <w:rFonts w:ascii="Times New Roman" w:hAnsi="Times New Roman"/>
                <w:noProof/>
                <w:sz w:val="22"/>
                <w:szCs w:val="24"/>
              </w:rPr>
              <w:t>[2016]40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_Toc81833398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859</w:t>
            </w:r>
            <w:r w:rsidR="002B5F6B" w:rsidRPr="00A160B9">
              <w:rPr>
                <w:rStyle w:val="aff0"/>
                <w:rFonts w:ascii="Times New Roman" w:hAnsi="Times New Roman"/>
                <w:webHidden/>
                <w:sz w:val="22"/>
                <w:szCs w:val="24"/>
              </w:rPr>
              <w:fldChar w:fldCharType="end"/>
            </w:r>
          </w:hyperlink>
        </w:p>
        <w:p w14:paraId="4C2FF2A0" w14:textId="6ABE0DC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399" w:history="1">
            <w:r w:rsidR="002B5F6B" w:rsidRPr="00A160B9">
              <w:rPr>
                <w:rStyle w:val="aff0"/>
                <w:rFonts w:ascii="Times New Roman" w:hAnsi="Times New Roman"/>
                <w:noProof/>
                <w:sz w:val="22"/>
                <w:szCs w:val="24"/>
              </w:rPr>
              <w:t>北京市企业国有建设用地使用权收购补偿价格评估技术指引</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（北估秘〔</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010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_Toc81833399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867</w:t>
            </w:r>
            <w:r w:rsidR="002B5F6B" w:rsidRPr="00A160B9">
              <w:rPr>
                <w:rStyle w:val="aff0"/>
                <w:rFonts w:ascii="Times New Roman" w:hAnsi="Times New Roman"/>
                <w:webHidden/>
                <w:sz w:val="22"/>
                <w:szCs w:val="24"/>
              </w:rPr>
              <w:fldChar w:fldCharType="end"/>
            </w:r>
          </w:hyperlink>
        </w:p>
        <w:p w14:paraId="667BB964" w14:textId="1089B7B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00" w:history="1">
            <w:r w:rsidR="002B5F6B" w:rsidRPr="00A160B9">
              <w:rPr>
                <w:rStyle w:val="aff0"/>
                <w:rFonts w:ascii="Times New Roman" w:hAnsi="Times New Roman"/>
                <w:noProof/>
                <w:sz w:val="22"/>
                <w:szCs w:val="24"/>
              </w:rPr>
              <w:t>北京市共有产权住房价格评估技术指引（试行）（北估秘〔</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012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_Toc81833400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870</w:t>
            </w:r>
            <w:r w:rsidR="002B5F6B" w:rsidRPr="00A160B9">
              <w:rPr>
                <w:rStyle w:val="aff0"/>
                <w:rFonts w:ascii="Times New Roman" w:hAnsi="Times New Roman"/>
                <w:webHidden/>
                <w:sz w:val="22"/>
                <w:szCs w:val="24"/>
              </w:rPr>
              <w:fldChar w:fldCharType="end"/>
            </w:r>
          </w:hyperlink>
        </w:p>
        <w:p w14:paraId="3384264B" w14:textId="1CF9AD6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01" w:history="1">
            <w:r w:rsidR="002B5F6B" w:rsidRPr="00A160B9">
              <w:rPr>
                <w:rStyle w:val="aff0"/>
                <w:rFonts w:ascii="Times New Roman" w:hAnsi="Times New Roman"/>
                <w:noProof/>
                <w:sz w:val="22"/>
                <w:szCs w:val="24"/>
              </w:rPr>
              <w:t>社会单位利用自用国有土地集中建设的公共租赁住房项目投资者权益价值</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评估指引（试行）（北估秘〔</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018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_Toc81833401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874</w:t>
            </w:r>
            <w:r w:rsidR="002B5F6B" w:rsidRPr="00A160B9">
              <w:rPr>
                <w:rStyle w:val="aff0"/>
                <w:rFonts w:ascii="Times New Roman" w:hAnsi="Times New Roman"/>
                <w:webHidden/>
                <w:sz w:val="22"/>
                <w:szCs w:val="24"/>
              </w:rPr>
              <w:fldChar w:fldCharType="end"/>
            </w:r>
          </w:hyperlink>
        </w:p>
        <w:p w14:paraId="6FBDD379" w14:textId="74B23CF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02" w:history="1">
            <w:r w:rsidR="002B5F6B" w:rsidRPr="00A160B9">
              <w:rPr>
                <w:rStyle w:val="aff0"/>
                <w:rFonts w:ascii="Times New Roman" w:hAnsi="Times New Roman"/>
                <w:noProof/>
                <w:sz w:val="22"/>
                <w:szCs w:val="24"/>
              </w:rPr>
              <w:t>北京市</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平房四合院</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协议出让地价评估技术有关问题的说明</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（北估秘〔</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001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_Toc81833402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877</w:t>
            </w:r>
            <w:r w:rsidR="002B5F6B" w:rsidRPr="00A160B9">
              <w:rPr>
                <w:rStyle w:val="aff0"/>
                <w:rFonts w:ascii="Times New Roman" w:hAnsi="Times New Roman"/>
                <w:webHidden/>
                <w:sz w:val="22"/>
                <w:szCs w:val="24"/>
              </w:rPr>
              <w:fldChar w:fldCharType="end"/>
            </w:r>
          </w:hyperlink>
        </w:p>
        <w:p w14:paraId="244C6B20" w14:textId="79B67089" w:rsidR="00567A59" w:rsidRPr="00A160B9" w:rsidRDefault="00000000" w:rsidP="00567A59">
          <w:pPr>
            <w:pStyle w:val="TOC3"/>
            <w:tabs>
              <w:tab w:val="right" w:leader="dot" w:pos="8296"/>
            </w:tabs>
            <w:spacing w:line="312" w:lineRule="auto"/>
            <w:ind w:leftChars="200" w:left="420"/>
            <w:rPr>
              <w:rFonts w:ascii="Times New Roman" w:hAnsi="Times New Roman"/>
              <w:color w:val="0563C1" w:themeColor="hyperlink"/>
              <w:sz w:val="22"/>
              <w:szCs w:val="24"/>
              <w:u w:val="single"/>
            </w:rPr>
          </w:pPr>
          <w:hyperlink w:anchor="_Toc81833403" w:history="1">
            <w:r w:rsidR="002B5F6B" w:rsidRPr="00A160B9">
              <w:rPr>
                <w:rStyle w:val="aff0"/>
                <w:rFonts w:ascii="Times New Roman" w:hAnsi="Times New Roman"/>
                <w:noProof/>
                <w:sz w:val="22"/>
                <w:szCs w:val="24"/>
              </w:rPr>
              <w:t>北京市</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地下空间</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使用权协议出让地价评估技术更新的说明</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（北估秘〔</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002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_Toc81833403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878</w:t>
            </w:r>
            <w:r w:rsidR="002B5F6B" w:rsidRPr="00A160B9">
              <w:rPr>
                <w:rStyle w:val="aff0"/>
                <w:rFonts w:ascii="Times New Roman" w:hAnsi="Times New Roman"/>
                <w:webHidden/>
                <w:sz w:val="22"/>
                <w:szCs w:val="24"/>
              </w:rPr>
              <w:fldChar w:fldCharType="end"/>
            </w:r>
          </w:hyperlink>
        </w:p>
        <w:p w14:paraId="62D574EA" w14:textId="3E4A406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04" w:history="1">
            <w:r w:rsidR="002B5F6B" w:rsidRPr="00A160B9">
              <w:rPr>
                <w:rStyle w:val="aff0"/>
                <w:rFonts w:ascii="Times New Roman" w:hAnsi="Times New Roman"/>
                <w:noProof/>
                <w:sz w:val="22"/>
                <w:szCs w:val="24"/>
              </w:rPr>
              <w:t>核心区历史文化街区平房直管公房申请式退租补偿价值评估技术指引</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（北估秘〔</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019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_Toc81833404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879</w:t>
            </w:r>
            <w:r w:rsidR="002B5F6B" w:rsidRPr="00A160B9">
              <w:rPr>
                <w:rStyle w:val="aff0"/>
                <w:rFonts w:ascii="Times New Roman" w:hAnsi="Times New Roman"/>
                <w:webHidden/>
                <w:sz w:val="22"/>
                <w:szCs w:val="24"/>
              </w:rPr>
              <w:fldChar w:fldCharType="end"/>
            </w:r>
          </w:hyperlink>
        </w:p>
        <w:p w14:paraId="31F32540" w14:textId="007D0E3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05" w:history="1">
            <w:r w:rsidR="002B5F6B" w:rsidRPr="00A160B9">
              <w:rPr>
                <w:rStyle w:val="aff0"/>
                <w:rFonts w:ascii="Times New Roman" w:hAnsi="Times New Roman"/>
                <w:noProof/>
                <w:sz w:val="22"/>
                <w:szCs w:val="24"/>
              </w:rPr>
              <w:t>北京市公共租赁住房项目市场租金评估技术指引</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（北估秘〔</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020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_Toc81833405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882</w:t>
            </w:r>
            <w:r w:rsidR="002B5F6B" w:rsidRPr="00A160B9">
              <w:rPr>
                <w:rStyle w:val="aff0"/>
                <w:rFonts w:ascii="Times New Roman" w:hAnsi="Times New Roman"/>
                <w:webHidden/>
                <w:sz w:val="22"/>
                <w:szCs w:val="24"/>
              </w:rPr>
              <w:fldChar w:fldCharType="end"/>
            </w:r>
          </w:hyperlink>
        </w:p>
        <w:p w14:paraId="57E8E5D6" w14:textId="274A635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06" w:history="1">
            <w:r w:rsidR="002B5F6B" w:rsidRPr="00A160B9">
              <w:rPr>
                <w:rStyle w:val="aff0"/>
                <w:rFonts w:ascii="Times New Roman" w:hAnsi="Times New Roman"/>
                <w:noProof/>
                <w:sz w:val="22"/>
                <w:szCs w:val="24"/>
              </w:rPr>
              <w:t>关于发布《北京市房地产估价报告评审标准》的通知（</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w:t>
            </w:r>
            <w:r w:rsidR="002B5F6B" w:rsidRPr="00A160B9">
              <w:rPr>
                <w:rStyle w:val="aff0"/>
                <w:rFonts w:ascii="Times New Roman" w:hAnsi="Times New Roman"/>
                <w:noProof/>
                <w:sz w:val="22"/>
                <w:szCs w:val="24"/>
              </w:rPr>
              <w:t>5</w:t>
            </w:r>
            <w:r w:rsidR="002B5F6B" w:rsidRPr="00A160B9">
              <w:rPr>
                <w:rStyle w:val="aff0"/>
                <w:rFonts w:ascii="Times New Roman" w:hAnsi="Times New Roman"/>
                <w:noProof/>
                <w:sz w:val="22"/>
                <w:szCs w:val="24"/>
              </w:rPr>
              <w:t>月</w:t>
            </w:r>
            <w:r w:rsidR="002B5F6B" w:rsidRPr="00A160B9">
              <w:rPr>
                <w:rStyle w:val="aff0"/>
                <w:rFonts w:ascii="Times New Roman" w:hAnsi="Times New Roman"/>
                <w:noProof/>
                <w:sz w:val="22"/>
                <w:szCs w:val="24"/>
              </w:rPr>
              <w:t>31</w:t>
            </w:r>
            <w:r w:rsidR="002B5F6B" w:rsidRPr="00A160B9">
              <w:rPr>
                <w:rStyle w:val="aff0"/>
                <w:rFonts w:ascii="Times New Roman" w:hAnsi="Times New Roman"/>
                <w:noProof/>
                <w:sz w:val="22"/>
                <w:szCs w:val="24"/>
              </w:rPr>
              <w:t>日）</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_Toc81833406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886</w:t>
            </w:r>
            <w:r w:rsidR="002B5F6B" w:rsidRPr="00A160B9">
              <w:rPr>
                <w:rStyle w:val="aff0"/>
                <w:rFonts w:ascii="Times New Roman" w:hAnsi="Times New Roman"/>
                <w:webHidden/>
                <w:sz w:val="22"/>
                <w:szCs w:val="24"/>
              </w:rPr>
              <w:fldChar w:fldCharType="end"/>
            </w:r>
          </w:hyperlink>
        </w:p>
        <w:p w14:paraId="1CC61790" w14:textId="70876D1D"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07" w:history="1">
            <w:r w:rsidR="002B5F6B" w:rsidRPr="00A160B9">
              <w:rPr>
                <w:rStyle w:val="aff0"/>
                <w:b/>
                <w:bCs/>
                <w:noProof/>
                <w:sz w:val="24"/>
              </w:rPr>
              <w:t>浙江规范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_Toc81833407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886</w:t>
            </w:r>
            <w:r w:rsidR="002B5F6B" w:rsidRPr="00A160B9">
              <w:rPr>
                <w:rStyle w:val="aff0"/>
                <w:b/>
                <w:bCs/>
                <w:noProof/>
                <w:webHidden/>
                <w:sz w:val="24"/>
              </w:rPr>
              <w:fldChar w:fldCharType="end"/>
            </w:r>
          </w:hyperlink>
        </w:p>
        <w:p w14:paraId="7682BA76" w14:textId="2945D49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08" w:history="1">
            <w:r w:rsidR="002B5F6B" w:rsidRPr="00A160B9">
              <w:rPr>
                <w:rStyle w:val="aff0"/>
                <w:rFonts w:ascii="Times New Roman" w:hAnsi="Times New Roman"/>
                <w:noProof/>
                <w:sz w:val="22"/>
                <w:szCs w:val="24"/>
              </w:rPr>
              <w:t>浙江省房地产估价技术指引第</w:t>
            </w:r>
            <w:r w:rsidR="002B5F6B" w:rsidRPr="00A160B9">
              <w:rPr>
                <w:rStyle w:val="aff0"/>
                <w:rFonts w:ascii="Times New Roman" w:hAnsi="Times New Roman"/>
                <w:noProof/>
                <w:sz w:val="22"/>
                <w:szCs w:val="24"/>
              </w:rPr>
              <w:t>1</w:t>
            </w:r>
            <w:r w:rsidR="002B5F6B" w:rsidRPr="00A160B9">
              <w:rPr>
                <w:rStyle w:val="aff0"/>
                <w:rFonts w:ascii="Times New Roman" w:hAnsi="Times New Roman"/>
                <w:noProof/>
                <w:sz w:val="22"/>
                <w:szCs w:val="24"/>
              </w:rPr>
              <w:t>号（浙估协〔</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_Toc81833408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886</w:t>
            </w:r>
            <w:r w:rsidR="002B5F6B" w:rsidRPr="00A160B9">
              <w:rPr>
                <w:rStyle w:val="aff0"/>
                <w:rFonts w:ascii="Times New Roman" w:hAnsi="Times New Roman"/>
                <w:webHidden/>
                <w:sz w:val="22"/>
                <w:szCs w:val="24"/>
              </w:rPr>
              <w:fldChar w:fldCharType="end"/>
            </w:r>
          </w:hyperlink>
        </w:p>
        <w:p w14:paraId="10384831" w14:textId="533ACF0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09" w:history="1">
            <w:r w:rsidR="002B5F6B" w:rsidRPr="00A160B9">
              <w:rPr>
                <w:rStyle w:val="aff0"/>
                <w:rFonts w:ascii="Times New Roman" w:hAnsi="Times New Roman"/>
                <w:noProof/>
                <w:sz w:val="22"/>
                <w:szCs w:val="24"/>
              </w:rPr>
              <w:t>浙江省房地产司法评估指导意见（试行）（浙估协〔</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_Toc81833409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888</w:t>
            </w:r>
            <w:r w:rsidR="002B5F6B" w:rsidRPr="00A160B9">
              <w:rPr>
                <w:rStyle w:val="aff0"/>
                <w:rFonts w:ascii="Times New Roman" w:hAnsi="Times New Roman"/>
                <w:webHidden/>
                <w:sz w:val="22"/>
                <w:szCs w:val="24"/>
              </w:rPr>
              <w:fldChar w:fldCharType="end"/>
            </w:r>
          </w:hyperlink>
        </w:p>
        <w:p w14:paraId="5A363513" w14:textId="37D22DA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10" w:history="1">
            <w:r w:rsidR="002B5F6B" w:rsidRPr="00A160B9">
              <w:rPr>
                <w:rStyle w:val="aff0"/>
                <w:rFonts w:ascii="Times New Roman" w:hAnsi="Times New Roman"/>
                <w:noProof/>
                <w:sz w:val="22"/>
                <w:szCs w:val="24"/>
              </w:rPr>
              <w:t>浙江省地下空间估价技术指引（试行）（浙估协〔</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_Toc81833410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894</w:t>
            </w:r>
            <w:r w:rsidR="002B5F6B" w:rsidRPr="00A160B9">
              <w:rPr>
                <w:rStyle w:val="aff0"/>
                <w:rFonts w:ascii="Times New Roman" w:hAnsi="Times New Roman"/>
                <w:webHidden/>
                <w:sz w:val="22"/>
                <w:szCs w:val="24"/>
              </w:rPr>
              <w:fldChar w:fldCharType="end"/>
            </w:r>
          </w:hyperlink>
        </w:p>
        <w:p w14:paraId="6C9EF95C" w14:textId="3C1BAA2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11" w:history="1">
            <w:r w:rsidR="002B5F6B" w:rsidRPr="00A160B9">
              <w:rPr>
                <w:rStyle w:val="aff0"/>
                <w:rFonts w:ascii="Times New Roman" w:hAnsi="Times New Roman"/>
                <w:noProof/>
                <w:sz w:val="22"/>
                <w:szCs w:val="24"/>
              </w:rPr>
              <w:t>浙江省工业房地产估价技术指引（试行）（浙估协〔</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_Toc81833411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900</w:t>
            </w:r>
            <w:r w:rsidR="002B5F6B" w:rsidRPr="00A160B9">
              <w:rPr>
                <w:rStyle w:val="aff0"/>
                <w:rFonts w:ascii="Times New Roman" w:hAnsi="Times New Roman"/>
                <w:webHidden/>
                <w:sz w:val="22"/>
                <w:szCs w:val="24"/>
              </w:rPr>
              <w:fldChar w:fldCharType="end"/>
            </w:r>
          </w:hyperlink>
        </w:p>
        <w:p w14:paraId="29D127FF" w14:textId="58627D5A"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12" w:history="1">
            <w:r w:rsidR="002B5F6B" w:rsidRPr="00A160B9">
              <w:rPr>
                <w:rStyle w:val="aff0"/>
                <w:b/>
                <w:bCs/>
                <w:noProof/>
                <w:sz w:val="24"/>
              </w:rPr>
              <w:t>湖南规范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_Toc81833412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911</w:t>
            </w:r>
            <w:r w:rsidR="002B5F6B" w:rsidRPr="00A160B9">
              <w:rPr>
                <w:rStyle w:val="aff0"/>
                <w:b/>
                <w:bCs/>
                <w:noProof/>
                <w:webHidden/>
                <w:sz w:val="24"/>
              </w:rPr>
              <w:fldChar w:fldCharType="end"/>
            </w:r>
          </w:hyperlink>
        </w:p>
        <w:p w14:paraId="57F838ED" w14:textId="3E0A9A4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13" w:history="1">
            <w:r w:rsidR="002B5F6B" w:rsidRPr="00A160B9">
              <w:rPr>
                <w:rStyle w:val="aff0"/>
                <w:rFonts w:ascii="Times New Roman" w:hAnsi="Times New Roman"/>
                <w:noProof/>
                <w:sz w:val="22"/>
                <w:szCs w:val="24"/>
              </w:rPr>
              <w:t>湖南省房地产估价技术指引</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估价方法选用（试行）（湘房协〔</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_Toc81833413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911</w:t>
            </w:r>
            <w:r w:rsidR="002B5F6B" w:rsidRPr="00A160B9">
              <w:rPr>
                <w:rStyle w:val="aff0"/>
                <w:rFonts w:ascii="Times New Roman" w:hAnsi="Times New Roman"/>
                <w:webHidden/>
                <w:sz w:val="22"/>
                <w:szCs w:val="24"/>
              </w:rPr>
              <w:fldChar w:fldCharType="end"/>
            </w:r>
          </w:hyperlink>
        </w:p>
        <w:p w14:paraId="68ACCD63" w14:textId="7F9CB6CD"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14" w:history="1">
            <w:r w:rsidR="002B5F6B" w:rsidRPr="00A160B9">
              <w:rPr>
                <w:rStyle w:val="aff0"/>
                <w:b/>
                <w:bCs/>
                <w:noProof/>
                <w:sz w:val="24"/>
              </w:rPr>
              <w:t>四川规范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_Toc81833414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913</w:t>
            </w:r>
            <w:r w:rsidR="002B5F6B" w:rsidRPr="00A160B9">
              <w:rPr>
                <w:rStyle w:val="aff0"/>
                <w:b/>
                <w:bCs/>
                <w:noProof/>
                <w:webHidden/>
                <w:sz w:val="24"/>
              </w:rPr>
              <w:fldChar w:fldCharType="end"/>
            </w:r>
          </w:hyperlink>
        </w:p>
        <w:p w14:paraId="48504161" w14:textId="280BE237"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4"/>
              <w:sz w:val="22"/>
              <w:szCs w:val="24"/>
            </w:rPr>
          </w:pPr>
          <w:hyperlink w:anchor="_Toc81833415" w:history="1">
            <w:r w:rsidR="002B5F6B" w:rsidRPr="00A160B9">
              <w:rPr>
                <w:rStyle w:val="aff0"/>
                <w:rFonts w:ascii="Times New Roman" w:hAnsi="Times New Roman"/>
                <w:noProof/>
                <w:spacing w:val="-4"/>
                <w:sz w:val="22"/>
                <w:szCs w:val="24"/>
              </w:rPr>
              <w:t>《房地产司法鉴定评估指导意见》（（试行）的通知（川建房发〔</w:t>
            </w:r>
            <w:r w:rsidR="002B5F6B" w:rsidRPr="00A160B9">
              <w:rPr>
                <w:rStyle w:val="aff0"/>
                <w:rFonts w:ascii="Times New Roman" w:hAnsi="Times New Roman"/>
                <w:noProof/>
                <w:spacing w:val="-4"/>
                <w:sz w:val="22"/>
                <w:szCs w:val="24"/>
              </w:rPr>
              <w:t>2011</w:t>
            </w:r>
            <w:r w:rsidR="002B5F6B" w:rsidRPr="00A160B9">
              <w:rPr>
                <w:rStyle w:val="aff0"/>
                <w:rFonts w:ascii="Times New Roman" w:hAnsi="Times New Roman"/>
                <w:noProof/>
                <w:spacing w:val="-4"/>
                <w:sz w:val="22"/>
                <w:szCs w:val="24"/>
              </w:rPr>
              <w:t>〕</w:t>
            </w:r>
            <w:r w:rsidR="002B5F6B" w:rsidRPr="00A160B9">
              <w:rPr>
                <w:rStyle w:val="aff0"/>
                <w:rFonts w:ascii="Times New Roman" w:hAnsi="Times New Roman"/>
                <w:noProof/>
                <w:spacing w:val="-4"/>
                <w:sz w:val="22"/>
                <w:szCs w:val="24"/>
              </w:rPr>
              <w:t>89</w:t>
            </w:r>
            <w:r w:rsidR="002B5F6B" w:rsidRPr="00A160B9">
              <w:rPr>
                <w:rStyle w:val="aff0"/>
                <w:rFonts w:ascii="Times New Roman" w:hAnsi="Times New Roman"/>
                <w:noProof/>
                <w:spacing w:val="-4"/>
                <w:sz w:val="22"/>
                <w:szCs w:val="24"/>
              </w:rPr>
              <w:t>号）</w:t>
            </w:r>
            <w:r w:rsidR="002B5F6B" w:rsidRPr="00A160B9">
              <w:rPr>
                <w:rStyle w:val="aff0"/>
                <w:rFonts w:ascii="Times New Roman" w:hAnsi="Times New Roman"/>
                <w:webHidden/>
                <w:spacing w:val="-4"/>
                <w:sz w:val="22"/>
                <w:szCs w:val="24"/>
              </w:rPr>
              <w:tab/>
            </w:r>
            <w:r w:rsidR="002B5F6B" w:rsidRPr="00A160B9">
              <w:rPr>
                <w:rStyle w:val="aff0"/>
                <w:rFonts w:ascii="Times New Roman" w:hAnsi="Times New Roman"/>
                <w:webHidden/>
                <w:spacing w:val="-4"/>
                <w:sz w:val="22"/>
                <w:szCs w:val="24"/>
              </w:rPr>
              <w:fldChar w:fldCharType="begin"/>
            </w:r>
            <w:r w:rsidR="002B5F6B" w:rsidRPr="00A160B9">
              <w:rPr>
                <w:rStyle w:val="aff0"/>
                <w:rFonts w:ascii="Times New Roman" w:hAnsi="Times New Roman"/>
                <w:webHidden/>
                <w:spacing w:val="-4"/>
                <w:sz w:val="22"/>
                <w:szCs w:val="24"/>
              </w:rPr>
              <w:instrText xml:space="preserve"> PAGEREF _Toc81833415 \h </w:instrText>
            </w:r>
            <w:r w:rsidR="002B5F6B" w:rsidRPr="00A160B9">
              <w:rPr>
                <w:rStyle w:val="aff0"/>
                <w:rFonts w:ascii="Times New Roman" w:hAnsi="Times New Roman"/>
                <w:webHidden/>
                <w:spacing w:val="-4"/>
                <w:sz w:val="22"/>
                <w:szCs w:val="24"/>
              </w:rPr>
            </w:r>
            <w:r w:rsidR="002B5F6B" w:rsidRPr="00A160B9">
              <w:rPr>
                <w:rStyle w:val="aff0"/>
                <w:rFonts w:ascii="Times New Roman" w:hAnsi="Times New Roman"/>
                <w:webHidden/>
                <w:spacing w:val="-4"/>
                <w:sz w:val="22"/>
                <w:szCs w:val="24"/>
              </w:rPr>
              <w:fldChar w:fldCharType="separate"/>
            </w:r>
            <w:r w:rsidR="00CC19DA" w:rsidRPr="00A160B9">
              <w:rPr>
                <w:rStyle w:val="aff0"/>
                <w:rFonts w:ascii="Times New Roman" w:hAnsi="Times New Roman"/>
                <w:noProof/>
                <w:webHidden/>
                <w:spacing w:val="-4"/>
                <w:sz w:val="22"/>
                <w:szCs w:val="24"/>
              </w:rPr>
              <w:t>913</w:t>
            </w:r>
            <w:r w:rsidR="002B5F6B" w:rsidRPr="00A160B9">
              <w:rPr>
                <w:rStyle w:val="aff0"/>
                <w:rFonts w:ascii="Times New Roman" w:hAnsi="Times New Roman"/>
                <w:webHidden/>
                <w:spacing w:val="-4"/>
                <w:sz w:val="22"/>
                <w:szCs w:val="24"/>
              </w:rPr>
              <w:fldChar w:fldCharType="end"/>
            </w:r>
          </w:hyperlink>
        </w:p>
        <w:p w14:paraId="49E90E17" w14:textId="6426E83B"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16" w:history="1">
            <w:r w:rsidR="002B5F6B" w:rsidRPr="00A160B9">
              <w:rPr>
                <w:rStyle w:val="aff0"/>
                <w:b/>
                <w:bCs/>
                <w:noProof/>
                <w:sz w:val="24"/>
              </w:rPr>
              <w:t>河南规范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_Toc81833416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928</w:t>
            </w:r>
            <w:r w:rsidR="002B5F6B" w:rsidRPr="00A160B9">
              <w:rPr>
                <w:rStyle w:val="aff0"/>
                <w:b/>
                <w:bCs/>
                <w:noProof/>
                <w:webHidden/>
                <w:sz w:val="24"/>
              </w:rPr>
              <w:fldChar w:fldCharType="end"/>
            </w:r>
          </w:hyperlink>
        </w:p>
        <w:p w14:paraId="0CCE58C2" w14:textId="2359C75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17" w:history="1">
            <w:r w:rsidR="002B5F6B" w:rsidRPr="00A160B9">
              <w:rPr>
                <w:rStyle w:val="aff0"/>
                <w:rFonts w:ascii="Times New Roman" w:hAnsi="Times New Roman"/>
                <w:noProof/>
                <w:sz w:val="22"/>
                <w:szCs w:val="24"/>
              </w:rPr>
              <w:t>河南省房地产司法鉴定估价指导意见（试行）</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_Toc81833417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928</w:t>
            </w:r>
            <w:r w:rsidR="002B5F6B" w:rsidRPr="00A160B9">
              <w:rPr>
                <w:rStyle w:val="aff0"/>
                <w:rFonts w:ascii="Times New Roman" w:hAnsi="Times New Roman"/>
                <w:webHidden/>
                <w:sz w:val="22"/>
                <w:szCs w:val="24"/>
              </w:rPr>
              <w:fldChar w:fldCharType="end"/>
            </w:r>
          </w:hyperlink>
        </w:p>
        <w:p w14:paraId="632FBA21" w14:textId="2E01094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18" w:history="1">
            <w:r w:rsidR="002B5F6B" w:rsidRPr="00A160B9">
              <w:rPr>
                <w:rStyle w:val="aff0"/>
                <w:rFonts w:ascii="Times New Roman" w:hAnsi="Times New Roman"/>
                <w:noProof/>
                <w:sz w:val="22"/>
                <w:szCs w:val="24"/>
              </w:rPr>
              <w:t>河南省房地产估价技术指引之一</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报酬率或资本化率求取（修订）</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（豫房估协〔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_Toc81833418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943</w:t>
            </w:r>
            <w:r w:rsidR="002B5F6B" w:rsidRPr="00A160B9">
              <w:rPr>
                <w:rStyle w:val="aff0"/>
                <w:rFonts w:ascii="Times New Roman" w:hAnsi="Times New Roman"/>
                <w:webHidden/>
                <w:sz w:val="22"/>
                <w:szCs w:val="24"/>
              </w:rPr>
              <w:fldChar w:fldCharType="end"/>
            </w:r>
          </w:hyperlink>
        </w:p>
        <w:p w14:paraId="390471E9" w14:textId="7A3FF8D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19" w:history="1">
            <w:r w:rsidR="002B5F6B" w:rsidRPr="00A160B9">
              <w:rPr>
                <w:rStyle w:val="aff0"/>
                <w:rFonts w:ascii="Times New Roman" w:hAnsi="Times New Roman"/>
                <w:noProof/>
                <w:sz w:val="22"/>
                <w:szCs w:val="24"/>
              </w:rPr>
              <w:t>河南省房地产估价技术指引之二</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比较法中市场状况调整（修订）</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（豫房估协〔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_Toc81833419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944</w:t>
            </w:r>
            <w:r w:rsidR="002B5F6B" w:rsidRPr="00A160B9">
              <w:rPr>
                <w:rStyle w:val="aff0"/>
                <w:rFonts w:ascii="Times New Roman" w:hAnsi="Times New Roman"/>
                <w:webHidden/>
                <w:sz w:val="22"/>
                <w:szCs w:val="24"/>
              </w:rPr>
              <w:fldChar w:fldCharType="end"/>
            </w:r>
          </w:hyperlink>
        </w:p>
        <w:p w14:paraId="7A92BD06" w14:textId="646BB41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20" w:history="1">
            <w:r w:rsidR="002B5F6B" w:rsidRPr="00A160B9">
              <w:rPr>
                <w:rStyle w:val="aff0"/>
                <w:rFonts w:ascii="Times New Roman" w:hAnsi="Times New Roman"/>
                <w:noProof/>
                <w:sz w:val="22"/>
                <w:szCs w:val="24"/>
              </w:rPr>
              <w:t>河南省房地产估价技术指引之三</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估价假设和限制条件运用（修订）</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（豫房估协〔</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_Toc81833420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946</w:t>
            </w:r>
            <w:r w:rsidR="002B5F6B" w:rsidRPr="00A160B9">
              <w:rPr>
                <w:rStyle w:val="aff0"/>
                <w:rFonts w:ascii="Times New Roman" w:hAnsi="Times New Roman"/>
                <w:webHidden/>
                <w:sz w:val="22"/>
                <w:szCs w:val="24"/>
              </w:rPr>
              <w:fldChar w:fldCharType="end"/>
            </w:r>
          </w:hyperlink>
        </w:p>
        <w:p w14:paraId="6A6A9706" w14:textId="7776843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21" w:history="1">
            <w:r w:rsidR="002B5F6B" w:rsidRPr="00A160B9">
              <w:rPr>
                <w:rStyle w:val="aff0"/>
                <w:rFonts w:ascii="Times New Roman" w:hAnsi="Times New Roman"/>
                <w:noProof/>
                <w:sz w:val="22"/>
                <w:szCs w:val="24"/>
              </w:rPr>
              <w:t>河南省房地产估价技术指引之四（试行）</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营业税改征增值税后房地产估价</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中应注意的问题（豫房估协〔</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_Toc81833421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950</w:t>
            </w:r>
            <w:r w:rsidR="002B5F6B" w:rsidRPr="00A160B9">
              <w:rPr>
                <w:rStyle w:val="aff0"/>
                <w:rFonts w:ascii="Times New Roman" w:hAnsi="Times New Roman"/>
                <w:webHidden/>
                <w:sz w:val="22"/>
                <w:szCs w:val="24"/>
              </w:rPr>
              <w:fldChar w:fldCharType="end"/>
            </w:r>
          </w:hyperlink>
        </w:p>
        <w:p w14:paraId="1630A729" w14:textId="39344B7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22" w:history="1">
            <w:r w:rsidR="002B5F6B" w:rsidRPr="00A160B9">
              <w:rPr>
                <w:rStyle w:val="aff0"/>
                <w:rFonts w:ascii="Times New Roman" w:hAnsi="Times New Roman"/>
                <w:noProof/>
                <w:sz w:val="22"/>
                <w:szCs w:val="24"/>
              </w:rPr>
              <w:t>河南省房地产估价技术指引之五</w:t>
            </w:r>
            <w:r w:rsidR="002B5F6B" w:rsidRPr="00A160B9">
              <w:rPr>
                <w:rStyle w:val="aff0"/>
                <w:rFonts w:ascii="Times New Roman" w:hAnsi="Times New Roman"/>
                <w:noProof/>
                <w:sz w:val="22"/>
                <w:szCs w:val="24"/>
              </w:rPr>
              <w:t xml:space="preserve"> —</w:t>
            </w:r>
            <w:r w:rsidR="002B5F6B" w:rsidRPr="00A160B9">
              <w:rPr>
                <w:rStyle w:val="aff0"/>
                <w:rFonts w:ascii="Times New Roman" w:hAnsi="Times New Roman"/>
                <w:noProof/>
                <w:sz w:val="22"/>
                <w:szCs w:val="24"/>
              </w:rPr>
              <w:t>估价方法选用及估价结果确定</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（豫房估协〔</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_Toc81833422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953</w:t>
            </w:r>
            <w:r w:rsidR="002B5F6B" w:rsidRPr="00A160B9">
              <w:rPr>
                <w:rStyle w:val="aff0"/>
                <w:rFonts w:ascii="Times New Roman" w:hAnsi="Times New Roman"/>
                <w:webHidden/>
                <w:sz w:val="22"/>
                <w:szCs w:val="24"/>
              </w:rPr>
              <w:fldChar w:fldCharType="end"/>
            </w:r>
          </w:hyperlink>
        </w:p>
        <w:p w14:paraId="63898B89" w14:textId="78B4D2B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23" w:history="1">
            <w:r w:rsidR="002B5F6B" w:rsidRPr="00A160B9">
              <w:rPr>
                <w:rStyle w:val="aff0"/>
                <w:rFonts w:ascii="Times New Roman" w:hAnsi="Times New Roman"/>
                <w:noProof/>
                <w:sz w:val="22"/>
                <w:szCs w:val="24"/>
              </w:rPr>
              <w:t>河南省房地产估价技术指引之六</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收益法中直接资本化法运用应注意的问题</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_Toc81833423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955</w:t>
            </w:r>
            <w:r w:rsidR="002B5F6B" w:rsidRPr="00A160B9">
              <w:rPr>
                <w:rStyle w:val="aff0"/>
                <w:rFonts w:ascii="Times New Roman" w:hAnsi="Times New Roman"/>
                <w:webHidden/>
                <w:sz w:val="22"/>
                <w:szCs w:val="24"/>
              </w:rPr>
              <w:fldChar w:fldCharType="end"/>
            </w:r>
          </w:hyperlink>
        </w:p>
        <w:p w14:paraId="2EBAF717" w14:textId="76FC0957"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24" w:history="1">
            <w:r w:rsidR="002B5F6B" w:rsidRPr="00A160B9">
              <w:rPr>
                <w:rStyle w:val="aff0"/>
                <w:b/>
                <w:bCs/>
                <w:noProof/>
                <w:sz w:val="24"/>
              </w:rPr>
              <w:t>新疆规范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_Toc81833424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958</w:t>
            </w:r>
            <w:r w:rsidR="002B5F6B" w:rsidRPr="00A160B9">
              <w:rPr>
                <w:rStyle w:val="aff0"/>
                <w:b/>
                <w:bCs/>
                <w:noProof/>
                <w:webHidden/>
                <w:sz w:val="24"/>
              </w:rPr>
              <w:fldChar w:fldCharType="end"/>
            </w:r>
          </w:hyperlink>
        </w:p>
        <w:p w14:paraId="55A5EB8C" w14:textId="050C5DB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25" w:history="1">
            <w:r w:rsidR="002B5F6B" w:rsidRPr="00A160B9">
              <w:rPr>
                <w:rStyle w:val="aff0"/>
                <w:rFonts w:ascii="Times New Roman" w:hAnsi="Times New Roman"/>
                <w:noProof/>
                <w:sz w:val="22"/>
                <w:szCs w:val="24"/>
              </w:rPr>
              <w:t>房地产估价实务中增值税计算技术指引的通知（新房协〔</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04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_Toc81833425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958</w:t>
            </w:r>
            <w:r w:rsidR="002B5F6B" w:rsidRPr="00A160B9">
              <w:rPr>
                <w:rStyle w:val="aff0"/>
                <w:rFonts w:ascii="Times New Roman" w:hAnsi="Times New Roman"/>
                <w:webHidden/>
                <w:sz w:val="22"/>
                <w:szCs w:val="24"/>
              </w:rPr>
              <w:fldChar w:fldCharType="end"/>
            </w:r>
          </w:hyperlink>
        </w:p>
        <w:p w14:paraId="594A2A8E" w14:textId="5D70E744" w:rsidR="002B5F6B" w:rsidRPr="00A160B9" w:rsidRDefault="00000000" w:rsidP="002B5F6B">
          <w:pPr>
            <w:pStyle w:val="TOC10"/>
            <w:tabs>
              <w:tab w:val="right" w:leader="dot" w:pos="8296"/>
            </w:tabs>
            <w:spacing w:line="312" w:lineRule="auto"/>
            <w:rPr>
              <w:rStyle w:val="aff0"/>
              <w:b/>
              <w:bCs/>
              <w:sz w:val="28"/>
              <w:szCs w:val="28"/>
            </w:rPr>
          </w:pPr>
          <w:hyperlink w:anchor="_Toc81833426" w:history="1">
            <w:r w:rsidR="002B5F6B" w:rsidRPr="00A160B9">
              <w:rPr>
                <w:rStyle w:val="aff0"/>
                <w:b/>
                <w:bCs/>
                <w:noProof/>
                <w:sz w:val="28"/>
                <w:szCs w:val="28"/>
              </w:rPr>
              <w:t>土地估价规范</w:t>
            </w:r>
            <w:r w:rsidR="002B5F6B" w:rsidRPr="00A160B9">
              <w:rPr>
                <w:rStyle w:val="aff0"/>
                <w:b/>
                <w:bCs/>
                <w:webHidden/>
                <w:sz w:val="28"/>
                <w:szCs w:val="28"/>
              </w:rPr>
              <w:tab/>
            </w:r>
            <w:r w:rsidR="002B5F6B" w:rsidRPr="00A160B9">
              <w:rPr>
                <w:rStyle w:val="aff0"/>
                <w:b/>
                <w:bCs/>
                <w:webHidden/>
                <w:sz w:val="28"/>
                <w:szCs w:val="28"/>
              </w:rPr>
              <w:fldChar w:fldCharType="begin"/>
            </w:r>
            <w:r w:rsidR="002B5F6B" w:rsidRPr="00A160B9">
              <w:rPr>
                <w:rStyle w:val="aff0"/>
                <w:b/>
                <w:bCs/>
                <w:webHidden/>
                <w:sz w:val="28"/>
                <w:szCs w:val="28"/>
              </w:rPr>
              <w:instrText xml:space="preserve"> PAGEREF _Toc81833426 \h </w:instrText>
            </w:r>
            <w:r w:rsidR="002B5F6B" w:rsidRPr="00A160B9">
              <w:rPr>
                <w:rStyle w:val="aff0"/>
                <w:b/>
                <w:bCs/>
                <w:webHidden/>
                <w:sz w:val="28"/>
                <w:szCs w:val="28"/>
              </w:rPr>
            </w:r>
            <w:r w:rsidR="002B5F6B" w:rsidRPr="00A160B9">
              <w:rPr>
                <w:rStyle w:val="aff0"/>
                <w:b/>
                <w:bCs/>
                <w:webHidden/>
                <w:sz w:val="28"/>
                <w:szCs w:val="28"/>
              </w:rPr>
              <w:fldChar w:fldCharType="separate"/>
            </w:r>
            <w:r w:rsidR="00CC19DA" w:rsidRPr="00A160B9">
              <w:rPr>
                <w:rStyle w:val="aff0"/>
                <w:b/>
                <w:bCs/>
                <w:noProof/>
                <w:webHidden/>
                <w:sz w:val="28"/>
                <w:szCs w:val="28"/>
              </w:rPr>
              <w:t>967</w:t>
            </w:r>
            <w:r w:rsidR="002B5F6B" w:rsidRPr="00A160B9">
              <w:rPr>
                <w:rStyle w:val="aff0"/>
                <w:b/>
                <w:bCs/>
                <w:webHidden/>
                <w:sz w:val="28"/>
                <w:szCs w:val="28"/>
              </w:rPr>
              <w:fldChar w:fldCharType="end"/>
            </w:r>
          </w:hyperlink>
        </w:p>
        <w:p w14:paraId="0D4F7B7B" w14:textId="7203E672"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27" w:history="1">
            <w:r w:rsidR="002B5F6B" w:rsidRPr="00A160B9">
              <w:rPr>
                <w:rStyle w:val="aff0"/>
                <w:b/>
                <w:bCs/>
                <w:noProof/>
                <w:sz w:val="24"/>
              </w:rPr>
              <w:t>国家标准</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_Toc81833427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967</w:t>
            </w:r>
            <w:r w:rsidR="002B5F6B" w:rsidRPr="00A160B9">
              <w:rPr>
                <w:rStyle w:val="aff0"/>
                <w:b/>
                <w:bCs/>
                <w:noProof/>
                <w:webHidden/>
                <w:sz w:val="24"/>
              </w:rPr>
              <w:fldChar w:fldCharType="end"/>
            </w:r>
          </w:hyperlink>
        </w:p>
        <w:p w14:paraId="3D40D4C2" w14:textId="6AF6E2C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28" w:history="1">
            <w:r w:rsidR="002B5F6B" w:rsidRPr="00A160B9">
              <w:rPr>
                <w:rStyle w:val="aff0"/>
                <w:rFonts w:ascii="Times New Roman" w:hAnsi="Times New Roman"/>
                <w:noProof/>
                <w:sz w:val="22"/>
                <w:szCs w:val="24"/>
              </w:rPr>
              <w:t>关于实施《城镇土地分等定级规程》和《城镇土地估价规程》有关问题的通知</w:t>
            </w:r>
            <w:r w:rsidR="002B5F6B"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（国土资厅发〔</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_Toc81833428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967</w:t>
            </w:r>
            <w:r w:rsidR="002B5F6B" w:rsidRPr="00A160B9">
              <w:rPr>
                <w:rStyle w:val="aff0"/>
                <w:rFonts w:ascii="Times New Roman" w:hAnsi="Times New Roman"/>
                <w:webHidden/>
                <w:sz w:val="22"/>
                <w:szCs w:val="24"/>
              </w:rPr>
              <w:fldChar w:fldCharType="end"/>
            </w:r>
          </w:hyperlink>
        </w:p>
        <w:p w14:paraId="7B2EDD5B" w14:textId="1B3C4DF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29" w:history="1">
            <w:r w:rsidR="002B5F6B" w:rsidRPr="00A160B9">
              <w:rPr>
                <w:rStyle w:val="aff0"/>
                <w:rFonts w:ascii="Times New Roman" w:hAnsi="Times New Roman"/>
                <w:noProof/>
                <w:sz w:val="22"/>
                <w:szCs w:val="24"/>
              </w:rPr>
              <w:t>城镇土地估价规程（</w:t>
            </w:r>
            <w:r w:rsidR="002B5F6B" w:rsidRPr="00A160B9">
              <w:rPr>
                <w:rStyle w:val="aff0"/>
                <w:rFonts w:ascii="Times New Roman" w:hAnsi="Times New Roman"/>
                <w:noProof/>
                <w:sz w:val="22"/>
                <w:szCs w:val="24"/>
              </w:rPr>
              <w:t>GB/T18508-2014</w:t>
            </w:r>
            <w:r w:rsidR="002B5F6B" w:rsidRPr="00A160B9">
              <w:rPr>
                <w:rStyle w:val="aff0"/>
                <w:rFonts w:ascii="Times New Roman" w:hAnsi="Times New Roman"/>
                <w:noProof/>
                <w:sz w:val="22"/>
                <w:szCs w:val="24"/>
              </w:rPr>
              <w:t>）</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_Toc81833429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968</w:t>
            </w:r>
            <w:r w:rsidR="002B5F6B" w:rsidRPr="00A160B9">
              <w:rPr>
                <w:rStyle w:val="aff0"/>
                <w:rFonts w:ascii="Times New Roman" w:hAnsi="Times New Roman"/>
                <w:webHidden/>
                <w:sz w:val="22"/>
                <w:szCs w:val="24"/>
              </w:rPr>
              <w:fldChar w:fldCharType="end"/>
            </w:r>
          </w:hyperlink>
        </w:p>
        <w:p w14:paraId="4FEEE5D1" w14:textId="25CA9EE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30" w:history="1">
            <w:r w:rsidR="002B5F6B" w:rsidRPr="00A160B9">
              <w:rPr>
                <w:rStyle w:val="aff0"/>
                <w:rFonts w:ascii="Times New Roman" w:hAnsi="Times New Roman"/>
                <w:noProof/>
                <w:sz w:val="22"/>
                <w:szCs w:val="24"/>
              </w:rPr>
              <w:t>农用地估价规程（</w:t>
            </w:r>
            <w:r w:rsidR="002B5F6B" w:rsidRPr="00A160B9">
              <w:rPr>
                <w:rStyle w:val="aff0"/>
                <w:rFonts w:ascii="Times New Roman" w:hAnsi="Times New Roman"/>
                <w:noProof/>
                <w:sz w:val="22"/>
                <w:szCs w:val="24"/>
              </w:rPr>
              <w:t>GB/T 28406-2012</w:t>
            </w:r>
            <w:r w:rsidR="002B5F6B" w:rsidRPr="00A160B9">
              <w:rPr>
                <w:rStyle w:val="aff0"/>
                <w:rFonts w:ascii="Times New Roman" w:hAnsi="Times New Roman"/>
                <w:noProof/>
                <w:sz w:val="22"/>
                <w:szCs w:val="24"/>
              </w:rPr>
              <w:t>）</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_Toc81833430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1023</w:t>
            </w:r>
            <w:r w:rsidR="002B5F6B" w:rsidRPr="00A160B9">
              <w:rPr>
                <w:rStyle w:val="aff0"/>
                <w:rFonts w:ascii="Times New Roman" w:hAnsi="Times New Roman"/>
                <w:webHidden/>
                <w:sz w:val="22"/>
                <w:szCs w:val="24"/>
              </w:rPr>
              <w:fldChar w:fldCharType="end"/>
            </w:r>
          </w:hyperlink>
        </w:p>
        <w:p w14:paraId="1AF36336" w14:textId="0014E4BF"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31" w:history="1">
            <w:r w:rsidR="002B5F6B" w:rsidRPr="00A160B9">
              <w:rPr>
                <w:rStyle w:val="aff0"/>
                <w:b/>
                <w:bCs/>
                <w:noProof/>
                <w:sz w:val="24"/>
              </w:rPr>
              <w:t>其他规范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_Toc81833431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1060</w:t>
            </w:r>
            <w:r w:rsidR="002B5F6B" w:rsidRPr="00A160B9">
              <w:rPr>
                <w:rStyle w:val="aff0"/>
                <w:b/>
                <w:bCs/>
                <w:noProof/>
                <w:webHidden/>
                <w:sz w:val="24"/>
              </w:rPr>
              <w:fldChar w:fldCharType="end"/>
            </w:r>
          </w:hyperlink>
        </w:p>
        <w:p w14:paraId="0631D1C2" w14:textId="35C12AD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32" w:history="1">
            <w:r w:rsidR="002B5F6B" w:rsidRPr="00A160B9">
              <w:rPr>
                <w:rStyle w:val="aff0"/>
                <w:rFonts w:ascii="Times New Roman" w:hAnsi="Times New Roman"/>
                <w:noProof/>
                <w:sz w:val="22"/>
                <w:szCs w:val="24"/>
              </w:rPr>
              <w:t>国有建设用地使用权出让地价评估技术规范（国土资厅发〔</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_Toc81833432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1060</w:t>
            </w:r>
            <w:r w:rsidR="002B5F6B" w:rsidRPr="00A160B9">
              <w:rPr>
                <w:rStyle w:val="aff0"/>
                <w:rFonts w:ascii="Times New Roman" w:hAnsi="Times New Roman"/>
                <w:webHidden/>
                <w:sz w:val="22"/>
                <w:szCs w:val="24"/>
              </w:rPr>
              <w:fldChar w:fldCharType="end"/>
            </w:r>
          </w:hyperlink>
        </w:p>
        <w:p w14:paraId="4048A95D" w14:textId="31D32C64"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8"/>
              <w:sz w:val="22"/>
              <w:szCs w:val="24"/>
            </w:rPr>
          </w:pPr>
          <w:hyperlink w:anchor="_Toc81833433" w:history="1">
            <w:r w:rsidR="002B5F6B" w:rsidRPr="00A160B9">
              <w:rPr>
                <w:rStyle w:val="aff0"/>
                <w:rFonts w:ascii="Times New Roman" w:hAnsi="Times New Roman"/>
                <w:noProof/>
                <w:spacing w:val="-8"/>
                <w:sz w:val="22"/>
                <w:szCs w:val="24"/>
              </w:rPr>
              <w:t>划拨国有建设用地使用权地价评估指导意见（试行）（自然资办函〔</w:t>
            </w:r>
            <w:r w:rsidR="002B5F6B" w:rsidRPr="00A160B9">
              <w:rPr>
                <w:rStyle w:val="aff0"/>
                <w:rFonts w:ascii="Times New Roman" w:hAnsi="Times New Roman"/>
                <w:noProof/>
                <w:spacing w:val="-8"/>
                <w:sz w:val="22"/>
                <w:szCs w:val="24"/>
              </w:rPr>
              <w:t>2019</w:t>
            </w:r>
            <w:r w:rsidR="002B5F6B" w:rsidRPr="00A160B9">
              <w:rPr>
                <w:rStyle w:val="aff0"/>
                <w:rFonts w:ascii="Times New Roman" w:hAnsi="Times New Roman"/>
                <w:noProof/>
                <w:spacing w:val="-8"/>
                <w:sz w:val="22"/>
                <w:szCs w:val="24"/>
              </w:rPr>
              <w:t>〕</w:t>
            </w:r>
            <w:r w:rsidR="002B5F6B" w:rsidRPr="00A160B9">
              <w:rPr>
                <w:rStyle w:val="aff0"/>
                <w:rFonts w:ascii="Times New Roman" w:hAnsi="Times New Roman"/>
                <w:noProof/>
                <w:spacing w:val="-8"/>
                <w:sz w:val="22"/>
                <w:szCs w:val="24"/>
              </w:rPr>
              <w:t>922</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webHidden/>
                <w:spacing w:val="-8"/>
                <w:sz w:val="22"/>
                <w:szCs w:val="24"/>
              </w:rPr>
              <w:tab/>
            </w:r>
            <w:r w:rsidR="002B5F6B" w:rsidRPr="00A160B9">
              <w:rPr>
                <w:rStyle w:val="aff0"/>
                <w:rFonts w:ascii="Times New Roman" w:hAnsi="Times New Roman"/>
                <w:webHidden/>
                <w:spacing w:val="-8"/>
                <w:sz w:val="22"/>
                <w:szCs w:val="24"/>
              </w:rPr>
              <w:fldChar w:fldCharType="begin"/>
            </w:r>
            <w:r w:rsidR="002B5F6B" w:rsidRPr="00A160B9">
              <w:rPr>
                <w:rStyle w:val="aff0"/>
                <w:rFonts w:ascii="Times New Roman" w:hAnsi="Times New Roman"/>
                <w:webHidden/>
                <w:spacing w:val="-8"/>
                <w:sz w:val="22"/>
                <w:szCs w:val="24"/>
              </w:rPr>
              <w:instrText xml:space="preserve"> PAGEREF _Toc81833433 \h </w:instrText>
            </w:r>
            <w:r w:rsidR="002B5F6B" w:rsidRPr="00A160B9">
              <w:rPr>
                <w:rStyle w:val="aff0"/>
                <w:rFonts w:ascii="Times New Roman" w:hAnsi="Times New Roman"/>
                <w:webHidden/>
                <w:spacing w:val="-8"/>
                <w:sz w:val="22"/>
                <w:szCs w:val="24"/>
              </w:rPr>
            </w:r>
            <w:r w:rsidR="002B5F6B" w:rsidRPr="00A160B9">
              <w:rPr>
                <w:rStyle w:val="aff0"/>
                <w:rFonts w:ascii="Times New Roman" w:hAnsi="Times New Roman"/>
                <w:webHidden/>
                <w:spacing w:val="-8"/>
                <w:sz w:val="22"/>
                <w:szCs w:val="24"/>
              </w:rPr>
              <w:fldChar w:fldCharType="separate"/>
            </w:r>
            <w:r w:rsidR="00CC19DA" w:rsidRPr="00A160B9">
              <w:rPr>
                <w:rStyle w:val="aff0"/>
                <w:rFonts w:ascii="Times New Roman" w:hAnsi="Times New Roman"/>
                <w:noProof/>
                <w:webHidden/>
                <w:spacing w:val="-8"/>
                <w:sz w:val="22"/>
                <w:szCs w:val="24"/>
              </w:rPr>
              <w:t>1067</w:t>
            </w:r>
            <w:r w:rsidR="002B5F6B" w:rsidRPr="00A160B9">
              <w:rPr>
                <w:rStyle w:val="aff0"/>
                <w:rFonts w:ascii="Times New Roman" w:hAnsi="Times New Roman"/>
                <w:webHidden/>
                <w:spacing w:val="-8"/>
                <w:sz w:val="22"/>
                <w:szCs w:val="24"/>
              </w:rPr>
              <w:fldChar w:fldCharType="end"/>
            </w:r>
          </w:hyperlink>
        </w:p>
        <w:p w14:paraId="3E961CDE" w14:textId="6D57EEA8" w:rsidR="002B5F6B" w:rsidRPr="00A160B9" w:rsidRDefault="00000000" w:rsidP="002B5F6B">
          <w:pPr>
            <w:pStyle w:val="TOC3"/>
            <w:tabs>
              <w:tab w:val="right" w:leader="dot" w:pos="8296"/>
            </w:tabs>
            <w:spacing w:line="312" w:lineRule="auto"/>
            <w:ind w:leftChars="200" w:left="420"/>
            <w:rPr>
              <w:rStyle w:val="aff0"/>
              <w:rFonts w:ascii="Times New Roman" w:hAnsi="Times New Roman"/>
              <w:noProof/>
              <w:spacing w:val="-8"/>
              <w:sz w:val="22"/>
              <w:szCs w:val="24"/>
            </w:rPr>
          </w:pPr>
          <w:hyperlink w:anchor="_Toc81833434" w:history="1">
            <w:r w:rsidR="002B5F6B" w:rsidRPr="00A160B9">
              <w:rPr>
                <w:rStyle w:val="aff0"/>
                <w:rFonts w:ascii="Times New Roman" w:hAnsi="Times New Roman"/>
                <w:noProof/>
                <w:spacing w:val="-8"/>
                <w:sz w:val="22"/>
                <w:szCs w:val="24"/>
              </w:rPr>
              <w:t>集体土地使用权地价评估技术指引（征求意见稿）（中估协发〔</w:t>
            </w:r>
            <w:r w:rsidR="002B5F6B" w:rsidRPr="00A160B9">
              <w:rPr>
                <w:rStyle w:val="aff0"/>
                <w:rFonts w:ascii="Times New Roman" w:hAnsi="Times New Roman"/>
                <w:noProof/>
                <w:spacing w:val="-8"/>
                <w:sz w:val="22"/>
                <w:szCs w:val="24"/>
              </w:rPr>
              <w:t>2016</w:t>
            </w:r>
            <w:r w:rsidR="002B5F6B" w:rsidRPr="00A160B9">
              <w:rPr>
                <w:rStyle w:val="aff0"/>
                <w:rFonts w:ascii="Times New Roman" w:hAnsi="Times New Roman"/>
                <w:noProof/>
                <w:spacing w:val="-8"/>
                <w:sz w:val="22"/>
                <w:szCs w:val="24"/>
              </w:rPr>
              <w:t>〕</w:t>
            </w:r>
            <w:r w:rsidR="002B5F6B" w:rsidRPr="00A160B9">
              <w:rPr>
                <w:rStyle w:val="aff0"/>
                <w:rFonts w:ascii="Times New Roman" w:hAnsi="Times New Roman"/>
                <w:noProof/>
                <w:spacing w:val="-8"/>
                <w:sz w:val="22"/>
                <w:szCs w:val="24"/>
              </w:rPr>
              <w:t>18</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noProof/>
                <w:webHidden/>
                <w:spacing w:val="-8"/>
                <w:sz w:val="22"/>
                <w:szCs w:val="24"/>
              </w:rPr>
              <w:tab/>
            </w:r>
            <w:r w:rsidR="002B5F6B" w:rsidRPr="00A160B9">
              <w:rPr>
                <w:rStyle w:val="aff0"/>
                <w:rFonts w:ascii="Times New Roman" w:hAnsi="Times New Roman"/>
                <w:noProof/>
                <w:webHidden/>
                <w:spacing w:val="-8"/>
                <w:sz w:val="22"/>
                <w:szCs w:val="24"/>
              </w:rPr>
              <w:fldChar w:fldCharType="begin"/>
            </w:r>
            <w:r w:rsidR="002B5F6B" w:rsidRPr="00A160B9">
              <w:rPr>
                <w:rStyle w:val="aff0"/>
                <w:rFonts w:ascii="Times New Roman" w:hAnsi="Times New Roman"/>
                <w:noProof/>
                <w:webHidden/>
                <w:spacing w:val="-8"/>
                <w:sz w:val="22"/>
                <w:szCs w:val="24"/>
              </w:rPr>
              <w:instrText xml:space="preserve"> PAGEREF _Toc81833434 \h </w:instrText>
            </w:r>
            <w:r w:rsidR="002B5F6B" w:rsidRPr="00A160B9">
              <w:rPr>
                <w:rStyle w:val="aff0"/>
                <w:rFonts w:ascii="Times New Roman" w:hAnsi="Times New Roman"/>
                <w:noProof/>
                <w:webHidden/>
                <w:spacing w:val="-8"/>
                <w:sz w:val="22"/>
                <w:szCs w:val="24"/>
              </w:rPr>
            </w:r>
            <w:r w:rsidR="002B5F6B" w:rsidRPr="00A160B9">
              <w:rPr>
                <w:rStyle w:val="aff0"/>
                <w:rFonts w:ascii="Times New Roman" w:hAnsi="Times New Roman"/>
                <w:noProof/>
                <w:webHidden/>
                <w:spacing w:val="-8"/>
                <w:sz w:val="22"/>
                <w:szCs w:val="24"/>
              </w:rPr>
              <w:fldChar w:fldCharType="separate"/>
            </w:r>
            <w:r w:rsidR="00CC19DA" w:rsidRPr="00A160B9">
              <w:rPr>
                <w:rStyle w:val="aff0"/>
                <w:rFonts w:ascii="Times New Roman" w:hAnsi="Times New Roman"/>
                <w:noProof/>
                <w:webHidden/>
                <w:spacing w:val="-8"/>
                <w:sz w:val="22"/>
                <w:szCs w:val="24"/>
              </w:rPr>
              <w:t>1069</w:t>
            </w:r>
            <w:r w:rsidR="002B5F6B" w:rsidRPr="00A160B9">
              <w:rPr>
                <w:rStyle w:val="aff0"/>
                <w:rFonts w:ascii="Times New Roman" w:hAnsi="Times New Roman"/>
                <w:noProof/>
                <w:webHidden/>
                <w:spacing w:val="-8"/>
                <w:sz w:val="22"/>
                <w:szCs w:val="24"/>
              </w:rPr>
              <w:fldChar w:fldCharType="end"/>
            </w:r>
          </w:hyperlink>
        </w:p>
        <w:p w14:paraId="1FDE4073" w14:textId="77AD1A33" w:rsidR="002B5F6B" w:rsidRPr="00A160B9" w:rsidRDefault="00000000" w:rsidP="002B5F6B">
          <w:pPr>
            <w:pStyle w:val="TOC3"/>
            <w:tabs>
              <w:tab w:val="right" w:leader="dot" w:pos="8296"/>
            </w:tabs>
            <w:spacing w:line="312" w:lineRule="auto"/>
            <w:ind w:leftChars="200" w:left="420"/>
            <w:rPr>
              <w:rStyle w:val="aff0"/>
              <w:rFonts w:ascii="Times New Roman" w:hAnsi="Times New Roman"/>
              <w:noProof/>
              <w:spacing w:val="-8"/>
              <w:sz w:val="22"/>
              <w:szCs w:val="24"/>
            </w:rPr>
          </w:pPr>
          <w:hyperlink w:anchor="_Toc81833435" w:history="1">
            <w:r w:rsidR="002B5F6B" w:rsidRPr="00A160B9">
              <w:rPr>
                <w:rStyle w:val="aff0"/>
                <w:rFonts w:ascii="Times New Roman" w:hAnsi="Times New Roman"/>
                <w:noProof/>
                <w:spacing w:val="-8"/>
                <w:sz w:val="22"/>
                <w:szCs w:val="24"/>
              </w:rPr>
              <w:t>北京市企业国有建设用地使用权收购补偿价格评估技术指引（北估秘</w:t>
            </w:r>
            <w:r w:rsidR="002B5F6B" w:rsidRPr="00A160B9">
              <w:rPr>
                <w:rStyle w:val="aff0"/>
                <w:rFonts w:ascii="Times New Roman" w:hAnsi="Times New Roman"/>
                <w:noProof/>
                <w:spacing w:val="-8"/>
                <w:sz w:val="22"/>
                <w:szCs w:val="24"/>
              </w:rPr>
              <w:t>004</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noProof/>
                <w:webHidden/>
                <w:spacing w:val="-8"/>
                <w:sz w:val="22"/>
                <w:szCs w:val="24"/>
              </w:rPr>
              <w:tab/>
            </w:r>
            <w:r w:rsidR="002B5F6B" w:rsidRPr="00A160B9">
              <w:rPr>
                <w:rStyle w:val="aff0"/>
                <w:rFonts w:ascii="Times New Roman" w:hAnsi="Times New Roman"/>
                <w:noProof/>
                <w:webHidden/>
                <w:spacing w:val="-8"/>
                <w:sz w:val="22"/>
                <w:szCs w:val="24"/>
              </w:rPr>
              <w:fldChar w:fldCharType="begin"/>
            </w:r>
            <w:r w:rsidR="002B5F6B" w:rsidRPr="00A160B9">
              <w:rPr>
                <w:rStyle w:val="aff0"/>
                <w:rFonts w:ascii="Times New Roman" w:hAnsi="Times New Roman"/>
                <w:noProof/>
                <w:webHidden/>
                <w:spacing w:val="-8"/>
                <w:sz w:val="22"/>
                <w:szCs w:val="24"/>
              </w:rPr>
              <w:instrText xml:space="preserve"> PAGEREF _Toc81833435 \h </w:instrText>
            </w:r>
            <w:r w:rsidR="002B5F6B" w:rsidRPr="00A160B9">
              <w:rPr>
                <w:rStyle w:val="aff0"/>
                <w:rFonts w:ascii="Times New Roman" w:hAnsi="Times New Roman"/>
                <w:noProof/>
                <w:webHidden/>
                <w:spacing w:val="-8"/>
                <w:sz w:val="22"/>
                <w:szCs w:val="24"/>
              </w:rPr>
            </w:r>
            <w:r w:rsidR="002B5F6B" w:rsidRPr="00A160B9">
              <w:rPr>
                <w:rStyle w:val="aff0"/>
                <w:rFonts w:ascii="Times New Roman" w:hAnsi="Times New Roman"/>
                <w:noProof/>
                <w:webHidden/>
                <w:spacing w:val="-8"/>
                <w:sz w:val="22"/>
                <w:szCs w:val="24"/>
              </w:rPr>
              <w:fldChar w:fldCharType="separate"/>
            </w:r>
            <w:r w:rsidR="00CC19DA" w:rsidRPr="00A160B9">
              <w:rPr>
                <w:rStyle w:val="aff0"/>
                <w:rFonts w:ascii="Times New Roman" w:hAnsi="Times New Roman"/>
                <w:noProof/>
                <w:webHidden/>
                <w:spacing w:val="-8"/>
                <w:sz w:val="22"/>
                <w:szCs w:val="24"/>
              </w:rPr>
              <w:t>1077</w:t>
            </w:r>
            <w:r w:rsidR="002B5F6B" w:rsidRPr="00A160B9">
              <w:rPr>
                <w:rStyle w:val="aff0"/>
                <w:rFonts w:ascii="Times New Roman" w:hAnsi="Times New Roman"/>
                <w:noProof/>
                <w:webHidden/>
                <w:spacing w:val="-8"/>
                <w:sz w:val="22"/>
                <w:szCs w:val="24"/>
              </w:rPr>
              <w:fldChar w:fldCharType="end"/>
            </w:r>
          </w:hyperlink>
        </w:p>
        <w:p w14:paraId="2C5B406A" w14:textId="283916FE" w:rsidR="002B5F6B" w:rsidRPr="00A160B9" w:rsidRDefault="00000000" w:rsidP="002B5F6B">
          <w:pPr>
            <w:pStyle w:val="TOC3"/>
            <w:tabs>
              <w:tab w:val="right" w:leader="dot" w:pos="8296"/>
            </w:tabs>
            <w:spacing w:line="312" w:lineRule="auto"/>
            <w:ind w:leftChars="200" w:left="420"/>
            <w:rPr>
              <w:rStyle w:val="aff0"/>
              <w:rFonts w:ascii="Times New Roman" w:hAnsi="Times New Roman"/>
              <w:noProof/>
              <w:spacing w:val="-8"/>
              <w:sz w:val="22"/>
              <w:szCs w:val="24"/>
            </w:rPr>
          </w:pPr>
          <w:hyperlink w:anchor="_Toc81833436" w:history="1">
            <w:r w:rsidR="002B5F6B" w:rsidRPr="00A160B9">
              <w:rPr>
                <w:rStyle w:val="aff0"/>
                <w:rFonts w:ascii="Times New Roman" w:hAnsi="Times New Roman"/>
                <w:noProof/>
                <w:spacing w:val="-8"/>
                <w:sz w:val="22"/>
                <w:szCs w:val="24"/>
              </w:rPr>
              <w:t>北京市国土资源局关于出让国有建设用地使用权基准地价应用有关问题的公告</w:t>
            </w:r>
            <w:r w:rsidR="002B5F6B" w:rsidRPr="00A160B9">
              <w:rPr>
                <w:rStyle w:val="aff0"/>
                <w:rFonts w:ascii="Times New Roman" w:hAnsi="Times New Roman"/>
                <w:noProof/>
                <w:webHidden/>
                <w:spacing w:val="-8"/>
                <w:sz w:val="22"/>
                <w:szCs w:val="24"/>
              </w:rPr>
              <w:tab/>
            </w:r>
            <w:r w:rsidR="002B5F6B" w:rsidRPr="00A160B9">
              <w:rPr>
                <w:rStyle w:val="aff0"/>
                <w:rFonts w:ascii="Times New Roman" w:hAnsi="Times New Roman"/>
                <w:noProof/>
                <w:webHidden/>
                <w:spacing w:val="-8"/>
                <w:sz w:val="22"/>
                <w:szCs w:val="24"/>
              </w:rPr>
              <w:fldChar w:fldCharType="begin"/>
            </w:r>
            <w:r w:rsidR="002B5F6B" w:rsidRPr="00A160B9">
              <w:rPr>
                <w:rStyle w:val="aff0"/>
                <w:rFonts w:ascii="Times New Roman" w:hAnsi="Times New Roman"/>
                <w:noProof/>
                <w:webHidden/>
                <w:spacing w:val="-8"/>
                <w:sz w:val="22"/>
                <w:szCs w:val="24"/>
              </w:rPr>
              <w:instrText xml:space="preserve"> PAGEREF _Toc81833436 \h </w:instrText>
            </w:r>
            <w:r w:rsidR="002B5F6B" w:rsidRPr="00A160B9">
              <w:rPr>
                <w:rStyle w:val="aff0"/>
                <w:rFonts w:ascii="Times New Roman" w:hAnsi="Times New Roman"/>
                <w:noProof/>
                <w:webHidden/>
                <w:spacing w:val="-8"/>
                <w:sz w:val="22"/>
                <w:szCs w:val="24"/>
              </w:rPr>
            </w:r>
            <w:r w:rsidR="002B5F6B" w:rsidRPr="00A160B9">
              <w:rPr>
                <w:rStyle w:val="aff0"/>
                <w:rFonts w:ascii="Times New Roman" w:hAnsi="Times New Roman"/>
                <w:noProof/>
                <w:webHidden/>
                <w:spacing w:val="-8"/>
                <w:sz w:val="22"/>
                <w:szCs w:val="24"/>
              </w:rPr>
              <w:fldChar w:fldCharType="separate"/>
            </w:r>
            <w:r w:rsidR="00CC19DA" w:rsidRPr="00A160B9">
              <w:rPr>
                <w:rStyle w:val="aff0"/>
                <w:rFonts w:ascii="Times New Roman" w:hAnsi="Times New Roman"/>
                <w:noProof/>
                <w:webHidden/>
                <w:spacing w:val="-8"/>
                <w:sz w:val="22"/>
                <w:szCs w:val="24"/>
              </w:rPr>
              <w:t>1080</w:t>
            </w:r>
            <w:r w:rsidR="002B5F6B" w:rsidRPr="00A160B9">
              <w:rPr>
                <w:rStyle w:val="aff0"/>
                <w:rFonts w:ascii="Times New Roman" w:hAnsi="Times New Roman"/>
                <w:noProof/>
                <w:webHidden/>
                <w:spacing w:val="-8"/>
                <w:sz w:val="22"/>
                <w:szCs w:val="24"/>
              </w:rPr>
              <w:fldChar w:fldCharType="end"/>
            </w:r>
          </w:hyperlink>
        </w:p>
        <w:p w14:paraId="43C2E4AB" w14:textId="2F2014ED" w:rsidR="002B5F6B" w:rsidRPr="00A160B9" w:rsidRDefault="00000000" w:rsidP="002B5F6B">
          <w:pPr>
            <w:pStyle w:val="TOC10"/>
            <w:tabs>
              <w:tab w:val="right" w:leader="dot" w:pos="8296"/>
            </w:tabs>
            <w:spacing w:line="312" w:lineRule="auto"/>
            <w:rPr>
              <w:rStyle w:val="aff0"/>
              <w:b/>
              <w:bCs/>
              <w:sz w:val="28"/>
              <w:szCs w:val="28"/>
            </w:rPr>
          </w:pPr>
          <w:hyperlink w:anchor="_Toc81833437" w:history="1">
            <w:r w:rsidR="002B5F6B" w:rsidRPr="00A160B9">
              <w:rPr>
                <w:rStyle w:val="aff0"/>
                <w:b/>
                <w:bCs/>
                <w:noProof/>
                <w:sz w:val="28"/>
                <w:szCs w:val="28"/>
              </w:rPr>
              <w:t>海域使用权</w:t>
            </w:r>
            <w:r w:rsidR="002B5F6B" w:rsidRPr="00A160B9">
              <w:rPr>
                <w:rStyle w:val="aff0"/>
                <w:b/>
                <w:bCs/>
                <w:webHidden/>
                <w:sz w:val="28"/>
                <w:szCs w:val="28"/>
              </w:rPr>
              <w:tab/>
            </w:r>
            <w:r w:rsidR="002B5F6B" w:rsidRPr="00A160B9">
              <w:rPr>
                <w:rStyle w:val="aff0"/>
                <w:b/>
                <w:bCs/>
                <w:webHidden/>
                <w:sz w:val="28"/>
                <w:szCs w:val="28"/>
              </w:rPr>
              <w:fldChar w:fldCharType="begin"/>
            </w:r>
            <w:r w:rsidR="002B5F6B" w:rsidRPr="00A160B9">
              <w:rPr>
                <w:rStyle w:val="aff0"/>
                <w:b/>
                <w:bCs/>
                <w:webHidden/>
                <w:sz w:val="28"/>
                <w:szCs w:val="28"/>
              </w:rPr>
              <w:instrText xml:space="preserve"> PAGEREF _Toc81833437 \h </w:instrText>
            </w:r>
            <w:r w:rsidR="002B5F6B" w:rsidRPr="00A160B9">
              <w:rPr>
                <w:rStyle w:val="aff0"/>
                <w:b/>
                <w:bCs/>
                <w:webHidden/>
                <w:sz w:val="28"/>
                <w:szCs w:val="28"/>
              </w:rPr>
            </w:r>
            <w:r w:rsidR="002B5F6B" w:rsidRPr="00A160B9">
              <w:rPr>
                <w:rStyle w:val="aff0"/>
                <w:b/>
                <w:bCs/>
                <w:webHidden/>
                <w:sz w:val="28"/>
                <w:szCs w:val="28"/>
              </w:rPr>
              <w:fldChar w:fldCharType="separate"/>
            </w:r>
            <w:r w:rsidR="00CC19DA" w:rsidRPr="00A160B9">
              <w:rPr>
                <w:rStyle w:val="aff0"/>
                <w:b/>
                <w:bCs/>
                <w:noProof/>
                <w:webHidden/>
                <w:sz w:val="28"/>
                <w:szCs w:val="28"/>
              </w:rPr>
              <w:t>1084</w:t>
            </w:r>
            <w:r w:rsidR="002B5F6B" w:rsidRPr="00A160B9">
              <w:rPr>
                <w:rStyle w:val="aff0"/>
                <w:b/>
                <w:bCs/>
                <w:webHidden/>
                <w:sz w:val="28"/>
                <w:szCs w:val="28"/>
              </w:rPr>
              <w:fldChar w:fldCharType="end"/>
            </w:r>
          </w:hyperlink>
        </w:p>
        <w:p w14:paraId="26CB5CDF" w14:textId="402BD7E9"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38" w:history="1">
            <w:r w:rsidR="002B5F6B" w:rsidRPr="00A160B9">
              <w:rPr>
                <w:rStyle w:val="aff0"/>
                <w:b/>
                <w:bCs/>
                <w:noProof/>
                <w:sz w:val="24"/>
              </w:rPr>
              <w:t>国家标准</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_Toc81833438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1084</w:t>
            </w:r>
            <w:r w:rsidR="002B5F6B" w:rsidRPr="00A160B9">
              <w:rPr>
                <w:rStyle w:val="aff0"/>
                <w:b/>
                <w:bCs/>
                <w:noProof/>
                <w:webHidden/>
                <w:sz w:val="24"/>
              </w:rPr>
              <w:fldChar w:fldCharType="end"/>
            </w:r>
          </w:hyperlink>
        </w:p>
        <w:p w14:paraId="62B6AE4D" w14:textId="393486B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39" w:history="1">
            <w:r w:rsidR="002B5F6B" w:rsidRPr="00A160B9">
              <w:rPr>
                <w:rStyle w:val="aff0"/>
                <w:rFonts w:ascii="Times New Roman" w:hAnsi="Times New Roman"/>
                <w:noProof/>
                <w:sz w:val="22"/>
                <w:szCs w:val="24"/>
              </w:rPr>
              <w:t>海域评估技术指引（国海管字〔</w:t>
            </w:r>
            <w:r w:rsidR="002B5F6B" w:rsidRPr="00A160B9">
              <w:rPr>
                <w:rStyle w:val="aff0"/>
                <w:rFonts w:ascii="Times New Roman" w:hAnsi="Times New Roman"/>
                <w:noProof/>
                <w:sz w:val="22"/>
                <w:szCs w:val="24"/>
              </w:rPr>
              <w:t>2013</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708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_Toc81833439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1084</w:t>
            </w:r>
            <w:r w:rsidR="002B5F6B" w:rsidRPr="00A160B9">
              <w:rPr>
                <w:rStyle w:val="aff0"/>
                <w:rFonts w:ascii="Times New Roman" w:hAnsi="Times New Roman"/>
                <w:webHidden/>
                <w:sz w:val="22"/>
                <w:szCs w:val="24"/>
              </w:rPr>
              <w:fldChar w:fldCharType="end"/>
            </w:r>
          </w:hyperlink>
        </w:p>
        <w:p w14:paraId="1549B144" w14:textId="765C0B57"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40" w:history="1">
            <w:r w:rsidR="002B5F6B" w:rsidRPr="00A160B9">
              <w:rPr>
                <w:rStyle w:val="aff0"/>
                <w:b/>
                <w:bCs/>
                <w:noProof/>
                <w:sz w:val="24"/>
              </w:rPr>
              <w:t>浙江规范</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_Toc81833440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1097</w:t>
            </w:r>
            <w:r w:rsidR="002B5F6B" w:rsidRPr="00A160B9">
              <w:rPr>
                <w:rStyle w:val="aff0"/>
                <w:b/>
                <w:bCs/>
                <w:noProof/>
                <w:webHidden/>
                <w:sz w:val="24"/>
              </w:rPr>
              <w:fldChar w:fldCharType="end"/>
            </w:r>
          </w:hyperlink>
        </w:p>
        <w:p w14:paraId="472249C1" w14:textId="683E003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41" w:history="1">
            <w:r w:rsidR="002B5F6B" w:rsidRPr="00A160B9">
              <w:rPr>
                <w:rStyle w:val="aff0"/>
                <w:rFonts w:ascii="Times New Roman" w:hAnsi="Times New Roman"/>
                <w:noProof/>
                <w:sz w:val="22"/>
                <w:szCs w:val="24"/>
              </w:rPr>
              <w:t>海域价格评估规范（</w:t>
            </w:r>
            <w:r w:rsidR="002B5F6B" w:rsidRPr="00A160B9">
              <w:rPr>
                <w:rStyle w:val="aff0"/>
                <w:rFonts w:ascii="Times New Roman" w:hAnsi="Times New Roman"/>
                <w:noProof/>
                <w:sz w:val="22"/>
                <w:szCs w:val="24"/>
              </w:rPr>
              <w:t>DB33T 2029-2017</w:t>
            </w:r>
            <w:r w:rsidR="002B5F6B" w:rsidRPr="00A160B9">
              <w:rPr>
                <w:rStyle w:val="aff0"/>
                <w:rFonts w:ascii="Times New Roman" w:hAnsi="Times New Roman"/>
                <w:noProof/>
                <w:sz w:val="22"/>
                <w:szCs w:val="24"/>
              </w:rPr>
              <w:t>）</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_Toc81833441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1097</w:t>
            </w:r>
            <w:r w:rsidR="002B5F6B" w:rsidRPr="00A160B9">
              <w:rPr>
                <w:rStyle w:val="aff0"/>
                <w:rFonts w:ascii="Times New Roman" w:hAnsi="Times New Roman"/>
                <w:webHidden/>
                <w:sz w:val="22"/>
                <w:szCs w:val="24"/>
              </w:rPr>
              <w:fldChar w:fldCharType="end"/>
            </w:r>
          </w:hyperlink>
        </w:p>
        <w:p w14:paraId="3BD37CD2" w14:textId="2F431A67" w:rsidR="00532A44" w:rsidRPr="00A160B9" w:rsidRDefault="00532A44" w:rsidP="00532A44">
          <w:pPr>
            <w:jc w:val="center"/>
            <w:rPr>
              <w:rFonts w:ascii="Times New Roman" w:hAnsi="Times New Roman" w:cs="Times New Roman"/>
              <w:b/>
              <w:bCs/>
              <w:sz w:val="36"/>
              <w:szCs w:val="40"/>
              <w:lang w:val="zh-CN"/>
            </w:rPr>
          </w:pPr>
          <w:r w:rsidRPr="00A160B9">
            <w:rPr>
              <w:rFonts w:ascii="Times New Roman" w:hAnsi="Times New Roman" w:cs="Times New Roman"/>
              <w:b/>
              <w:bCs/>
              <w:sz w:val="36"/>
              <w:szCs w:val="40"/>
              <w:lang w:val="zh-CN"/>
            </w:rPr>
            <w:t>（下册）</w:t>
          </w:r>
        </w:p>
        <w:p w14:paraId="097458F8" w14:textId="55D36781" w:rsidR="002B5F6B" w:rsidRPr="00A160B9" w:rsidRDefault="00000000" w:rsidP="002B5F6B">
          <w:pPr>
            <w:pStyle w:val="TOC10"/>
            <w:tabs>
              <w:tab w:val="right" w:leader="dot" w:pos="8296"/>
            </w:tabs>
            <w:spacing w:line="312" w:lineRule="auto"/>
            <w:rPr>
              <w:rStyle w:val="aff0"/>
              <w:b/>
              <w:bCs/>
              <w:sz w:val="28"/>
              <w:szCs w:val="28"/>
            </w:rPr>
          </w:pPr>
          <w:hyperlink w:anchor="_Toc81833442" w:history="1">
            <w:r w:rsidR="002B5F6B" w:rsidRPr="00A160B9">
              <w:rPr>
                <w:rStyle w:val="aff0"/>
                <w:b/>
                <w:bCs/>
                <w:noProof/>
                <w:sz w:val="28"/>
                <w:szCs w:val="28"/>
              </w:rPr>
              <w:t>资产评估业务相关法律法规</w:t>
            </w:r>
            <w:r w:rsidR="002B5F6B" w:rsidRPr="00A160B9">
              <w:rPr>
                <w:rStyle w:val="aff0"/>
                <w:b/>
                <w:bCs/>
                <w:webHidden/>
                <w:sz w:val="28"/>
                <w:szCs w:val="28"/>
              </w:rPr>
              <w:tab/>
            </w:r>
            <w:r w:rsidR="002B5F6B" w:rsidRPr="00A160B9">
              <w:rPr>
                <w:rStyle w:val="aff0"/>
                <w:b/>
                <w:bCs/>
                <w:webHidden/>
                <w:sz w:val="28"/>
                <w:szCs w:val="28"/>
              </w:rPr>
              <w:fldChar w:fldCharType="begin"/>
            </w:r>
            <w:r w:rsidR="002B5F6B" w:rsidRPr="00A160B9">
              <w:rPr>
                <w:rStyle w:val="aff0"/>
                <w:b/>
                <w:bCs/>
                <w:webHidden/>
                <w:sz w:val="28"/>
                <w:szCs w:val="28"/>
              </w:rPr>
              <w:instrText xml:space="preserve"> PAGEREF _Toc81833442 \h </w:instrText>
            </w:r>
            <w:r w:rsidR="002B5F6B" w:rsidRPr="00A160B9">
              <w:rPr>
                <w:rStyle w:val="aff0"/>
                <w:b/>
                <w:bCs/>
                <w:webHidden/>
                <w:sz w:val="28"/>
                <w:szCs w:val="28"/>
              </w:rPr>
            </w:r>
            <w:r w:rsidR="002B5F6B" w:rsidRPr="00A160B9">
              <w:rPr>
                <w:rStyle w:val="aff0"/>
                <w:b/>
                <w:bCs/>
                <w:webHidden/>
                <w:sz w:val="28"/>
                <w:szCs w:val="28"/>
              </w:rPr>
              <w:fldChar w:fldCharType="separate"/>
            </w:r>
            <w:r w:rsidR="00CC19DA" w:rsidRPr="00A160B9">
              <w:rPr>
                <w:rStyle w:val="aff0"/>
                <w:b/>
                <w:bCs/>
                <w:noProof/>
                <w:webHidden/>
                <w:sz w:val="28"/>
                <w:szCs w:val="28"/>
              </w:rPr>
              <w:t>1113</w:t>
            </w:r>
            <w:r w:rsidR="002B5F6B" w:rsidRPr="00A160B9">
              <w:rPr>
                <w:rStyle w:val="aff0"/>
                <w:b/>
                <w:bCs/>
                <w:webHidden/>
                <w:sz w:val="28"/>
                <w:szCs w:val="28"/>
              </w:rPr>
              <w:fldChar w:fldCharType="end"/>
            </w:r>
          </w:hyperlink>
        </w:p>
        <w:p w14:paraId="4F85CC21" w14:textId="0EEC5AF3"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43" w:history="1">
            <w:r w:rsidR="002B5F6B" w:rsidRPr="00A160B9">
              <w:rPr>
                <w:rStyle w:val="aff0"/>
                <w:b/>
                <w:bCs/>
                <w:noProof/>
                <w:sz w:val="24"/>
              </w:rPr>
              <w:t>资产评估行业市场开拓路线指引</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_Toc81833443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1113</w:t>
            </w:r>
            <w:r w:rsidR="002B5F6B" w:rsidRPr="00A160B9">
              <w:rPr>
                <w:rStyle w:val="aff0"/>
                <w:b/>
                <w:bCs/>
                <w:noProof/>
                <w:webHidden/>
                <w:sz w:val="24"/>
              </w:rPr>
              <w:fldChar w:fldCharType="end"/>
            </w:r>
          </w:hyperlink>
        </w:p>
        <w:p w14:paraId="5AF4E401" w14:textId="233CC65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44" w:history="1">
            <w:r w:rsidR="002B5F6B" w:rsidRPr="00A160B9">
              <w:rPr>
                <w:rStyle w:val="aff0"/>
                <w:rFonts w:ascii="Times New Roman" w:hAnsi="Times New Roman"/>
                <w:noProof/>
                <w:sz w:val="22"/>
                <w:szCs w:val="24"/>
              </w:rPr>
              <w:t>《资产评估行业市场开拓路线指引（</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年）》（中评协办〔</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_Toc81833444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1113</w:t>
            </w:r>
            <w:r w:rsidR="002B5F6B" w:rsidRPr="00A160B9">
              <w:rPr>
                <w:rStyle w:val="aff0"/>
                <w:rFonts w:ascii="Times New Roman" w:hAnsi="Times New Roman"/>
                <w:webHidden/>
                <w:sz w:val="22"/>
                <w:szCs w:val="24"/>
              </w:rPr>
              <w:fldChar w:fldCharType="end"/>
            </w:r>
          </w:hyperlink>
        </w:p>
        <w:p w14:paraId="7FDBE848" w14:textId="61C572CB"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45" w:history="1">
            <w:r w:rsidR="002B5F6B" w:rsidRPr="00A160B9">
              <w:rPr>
                <w:rStyle w:val="aff0"/>
                <w:b/>
                <w:bCs/>
                <w:noProof/>
                <w:sz w:val="24"/>
              </w:rPr>
              <w:t>国有企业资产评估管理</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_Toc81833445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1139</w:t>
            </w:r>
            <w:r w:rsidR="002B5F6B" w:rsidRPr="00A160B9">
              <w:rPr>
                <w:rStyle w:val="aff0"/>
                <w:b/>
                <w:bCs/>
                <w:noProof/>
                <w:webHidden/>
                <w:sz w:val="24"/>
              </w:rPr>
              <w:fldChar w:fldCharType="end"/>
            </w:r>
          </w:hyperlink>
        </w:p>
        <w:p w14:paraId="326AFDE8" w14:textId="7E6F11F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46" w:history="1">
            <w:r w:rsidR="002B5F6B" w:rsidRPr="00A160B9">
              <w:rPr>
                <w:rStyle w:val="aff0"/>
                <w:rFonts w:ascii="Times New Roman" w:hAnsi="Times New Roman"/>
                <w:noProof/>
                <w:sz w:val="22"/>
                <w:szCs w:val="24"/>
              </w:rPr>
              <w:t>《中华人民共和国企业国有资产法》（主席令第五号）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_Toc81833446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1139</w:t>
            </w:r>
            <w:r w:rsidR="002B5F6B" w:rsidRPr="00A160B9">
              <w:rPr>
                <w:rStyle w:val="aff0"/>
                <w:rFonts w:ascii="Times New Roman" w:hAnsi="Times New Roman"/>
                <w:webHidden/>
                <w:sz w:val="22"/>
                <w:szCs w:val="24"/>
              </w:rPr>
              <w:fldChar w:fldCharType="end"/>
            </w:r>
          </w:hyperlink>
        </w:p>
        <w:p w14:paraId="4D9B688D" w14:textId="627CCE4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47" w:history="1">
            <w:r w:rsidR="002B5F6B" w:rsidRPr="00A160B9">
              <w:rPr>
                <w:rStyle w:val="aff0"/>
                <w:rFonts w:ascii="Times New Roman" w:hAnsi="Times New Roman"/>
                <w:noProof/>
                <w:sz w:val="22"/>
                <w:szCs w:val="24"/>
              </w:rPr>
              <w:t>《国有资产评估管理办法》（国务院令第</w:t>
            </w:r>
            <w:r w:rsidR="002B5F6B" w:rsidRPr="00A160B9">
              <w:rPr>
                <w:rStyle w:val="aff0"/>
                <w:rFonts w:ascii="Times New Roman" w:hAnsi="Times New Roman"/>
                <w:noProof/>
                <w:sz w:val="22"/>
                <w:szCs w:val="24"/>
              </w:rPr>
              <w:t>91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_Toc81833447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1148</w:t>
            </w:r>
            <w:r w:rsidR="002B5F6B" w:rsidRPr="00A160B9">
              <w:rPr>
                <w:rStyle w:val="aff0"/>
                <w:rFonts w:ascii="Times New Roman" w:hAnsi="Times New Roman"/>
                <w:webHidden/>
                <w:sz w:val="22"/>
                <w:szCs w:val="24"/>
              </w:rPr>
              <w:fldChar w:fldCharType="end"/>
            </w:r>
          </w:hyperlink>
        </w:p>
        <w:p w14:paraId="5E06B6B2" w14:textId="2766BD3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48" w:history="1">
            <w:r w:rsidR="002B5F6B" w:rsidRPr="00A160B9">
              <w:rPr>
                <w:rStyle w:val="aff0"/>
                <w:rFonts w:ascii="Times New Roman" w:hAnsi="Times New Roman"/>
                <w:noProof/>
                <w:sz w:val="22"/>
                <w:szCs w:val="24"/>
              </w:rPr>
              <w:t>《国有资产评估管理若干问题的规定》（财政部第</w:t>
            </w:r>
            <w:r w:rsidR="002B5F6B" w:rsidRPr="00A160B9">
              <w:rPr>
                <w:rStyle w:val="aff0"/>
                <w:rFonts w:ascii="Times New Roman" w:hAnsi="Times New Roman"/>
                <w:noProof/>
                <w:sz w:val="22"/>
                <w:szCs w:val="24"/>
              </w:rPr>
              <w:t xml:space="preserve"> 14</w:t>
            </w:r>
            <w:r w:rsidR="002B5F6B" w:rsidRPr="00A160B9">
              <w:rPr>
                <w:rStyle w:val="aff0"/>
                <w:rFonts w:ascii="Times New Roman" w:hAnsi="Times New Roman"/>
                <w:noProof/>
                <w:sz w:val="22"/>
                <w:szCs w:val="24"/>
              </w:rPr>
              <w:t>号令）</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_Toc81833448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1152</w:t>
            </w:r>
            <w:r w:rsidR="002B5F6B" w:rsidRPr="00A160B9">
              <w:rPr>
                <w:rStyle w:val="aff0"/>
                <w:rFonts w:ascii="Times New Roman" w:hAnsi="Times New Roman"/>
                <w:webHidden/>
                <w:sz w:val="22"/>
                <w:szCs w:val="24"/>
              </w:rPr>
              <w:fldChar w:fldCharType="end"/>
            </w:r>
          </w:hyperlink>
        </w:p>
        <w:p w14:paraId="429BC3D3" w14:textId="66329C3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49" w:history="1">
            <w:r w:rsidR="002B5F6B" w:rsidRPr="00A160B9">
              <w:rPr>
                <w:rStyle w:val="aff0"/>
                <w:rFonts w:ascii="Times New Roman" w:hAnsi="Times New Roman"/>
                <w:noProof/>
                <w:sz w:val="22"/>
                <w:szCs w:val="24"/>
              </w:rPr>
              <w:t>《企业国有资产评估管理暂行办法》（国资委令第</w:t>
            </w:r>
            <w:r w:rsidR="002B5F6B" w:rsidRPr="00A160B9">
              <w:rPr>
                <w:rStyle w:val="aff0"/>
                <w:rFonts w:ascii="Times New Roman" w:hAnsi="Times New Roman"/>
                <w:noProof/>
                <w:sz w:val="22"/>
                <w:szCs w:val="24"/>
              </w:rPr>
              <w:t>12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_Toc81833449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1154</w:t>
            </w:r>
            <w:r w:rsidR="002B5F6B" w:rsidRPr="00A160B9">
              <w:rPr>
                <w:rStyle w:val="aff0"/>
                <w:rFonts w:ascii="Times New Roman" w:hAnsi="Times New Roman"/>
                <w:webHidden/>
                <w:sz w:val="22"/>
                <w:szCs w:val="24"/>
              </w:rPr>
              <w:fldChar w:fldCharType="end"/>
            </w:r>
          </w:hyperlink>
        </w:p>
        <w:p w14:paraId="6CB44479" w14:textId="315C5991"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50" w:history="1">
            <w:r w:rsidR="002B5F6B" w:rsidRPr="00A160B9">
              <w:rPr>
                <w:rStyle w:val="aff0"/>
                <w:rFonts w:ascii="Times New Roman" w:hAnsi="Times New Roman"/>
                <w:noProof/>
                <w:sz w:val="22"/>
                <w:szCs w:val="24"/>
              </w:rPr>
              <w:t>《中央企业境外国有资产监督管理暂行办法》（国资委令第</w:t>
            </w:r>
            <w:r w:rsidR="002B5F6B" w:rsidRPr="00A160B9">
              <w:rPr>
                <w:rStyle w:val="aff0"/>
                <w:rFonts w:ascii="Times New Roman" w:hAnsi="Times New Roman"/>
                <w:noProof/>
                <w:sz w:val="22"/>
                <w:szCs w:val="24"/>
              </w:rPr>
              <w:t>26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_Toc81833450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1160</w:t>
            </w:r>
            <w:r w:rsidR="002B5F6B" w:rsidRPr="00A160B9">
              <w:rPr>
                <w:rStyle w:val="aff0"/>
                <w:rFonts w:ascii="Times New Roman" w:hAnsi="Times New Roman"/>
                <w:webHidden/>
                <w:sz w:val="22"/>
                <w:szCs w:val="24"/>
              </w:rPr>
              <w:fldChar w:fldCharType="end"/>
            </w:r>
          </w:hyperlink>
        </w:p>
        <w:p w14:paraId="5AB3D974" w14:textId="6BC8C23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51" w:history="1">
            <w:r w:rsidR="002B5F6B" w:rsidRPr="00A160B9">
              <w:rPr>
                <w:rStyle w:val="aff0"/>
                <w:rFonts w:ascii="Times New Roman" w:hAnsi="Times New Roman"/>
                <w:noProof/>
                <w:sz w:val="22"/>
                <w:szCs w:val="24"/>
              </w:rPr>
              <w:t>《中央企业境外国有产权管理暂行办法》（国资委令第</w:t>
            </w:r>
            <w:r w:rsidR="002B5F6B" w:rsidRPr="00A160B9">
              <w:rPr>
                <w:rStyle w:val="aff0"/>
                <w:rFonts w:ascii="Times New Roman" w:hAnsi="Times New Roman"/>
                <w:noProof/>
                <w:sz w:val="22"/>
                <w:szCs w:val="24"/>
              </w:rPr>
              <w:t>27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_Toc81833451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1165</w:t>
            </w:r>
            <w:r w:rsidR="002B5F6B" w:rsidRPr="00A160B9">
              <w:rPr>
                <w:rStyle w:val="aff0"/>
                <w:rFonts w:ascii="Times New Roman" w:hAnsi="Times New Roman"/>
                <w:webHidden/>
                <w:sz w:val="22"/>
                <w:szCs w:val="24"/>
              </w:rPr>
              <w:fldChar w:fldCharType="end"/>
            </w:r>
          </w:hyperlink>
        </w:p>
        <w:p w14:paraId="40AA2EF4" w14:textId="03E6C39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52" w:history="1">
            <w:r w:rsidR="002B5F6B" w:rsidRPr="00A160B9">
              <w:rPr>
                <w:rStyle w:val="aff0"/>
                <w:rFonts w:ascii="Times New Roman" w:hAnsi="Times New Roman"/>
                <w:noProof/>
                <w:sz w:val="22"/>
                <w:szCs w:val="24"/>
              </w:rPr>
              <w:t>《企业国有资产交易监督管理办法》（国务院国资委</w:t>
            </w:r>
            <w:r w:rsidR="002B5F6B" w:rsidRPr="00A160B9">
              <w:rPr>
                <w:rStyle w:val="aff0"/>
                <w:rFonts w:ascii="Times New Roman" w:hAnsi="Times New Roman"/>
                <w:noProof/>
                <w:sz w:val="22"/>
                <w:szCs w:val="24"/>
              </w:rPr>
              <w:t xml:space="preserve"> </w:t>
            </w:r>
            <w:r w:rsidR="002B5F6B" w:rsidRPr="00A160B9">
              <w:rPr>
                <w:rStyle w:val="aff0"/>
                <w:rFonts w:ascii="Times New Roman" w:hAnsi="Times New Roman"/>
                <w:noProof/>
                <w:sz w:val="22"/>
                <w:szCs w:val="24"/>
              </w:rPr>
              <w:t>财政部令第</w:t>
            </w:r>
            <w:r w:rsidR="002B5F6B" w:rsidRPr="00A160B9">
              <w:rPr>
                <w:rStyle w:val="aff0"/>
                <w:rFonts w:ascii="Times New Roman" w:hAnsi="Times New Roman"/>
                <w:noProof/>
                <w:sz w:val="22"/>
                <w:szCs w:val="24"/>
              </w:rPr>
              <w:t>32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_Toc81833452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1167</w:t>
            </w:r>
            <w:r w:rsidR="002B5F6B" w:rsidRPr="00A160B9">
              <w:rPr>
                <w:rStyle w:val="aff0"/>
                <w:rFonts w:ascii="Times New Roman" w:hAnsi="Times New Roman"/>
                <w:webHidden/>
                <w:sz w:val="22"/>
                <w:szCs w:val="24"/>
              </w:rPr>
              <w:fldChar w:fldCharType="end"/>
            </w:r>
          </w:hyperlink>
        </w:p>
        <w:p w14:paraId="5BD80B20" w14:textId="053008B9"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8"/>
              <w:sz w:val="22"/>
              <w:szCs w:val="24"/>
            </w:rPr>
          </w:pPr>
          <w:hyperlink w:anchor="_Toc81833453" w:history="1">
            <w:r w:rsidR="002B5F6B" w:rsidRPr="00A160B9">
              <w:rPr>
                <w:rStyle w:val="aff0"/>
                <w:rFonts w:ascii="Times New Roman" w:hAnsi="Times New Roman"/>
                <w:noProof/>
                <w:spacing w:val="-8"/>
                <w:sz w:val="22"/>
                <w:szCs w:val="24"/>
              </w:rPr>
              <w:t>《上市公司国有股权监督管理办法》（国务院国资委、财政部、证监会令第</w:t>
            </w:r>
            <w:r w:rsidR="002B5F6B" w:rsidRPr="00A160B9">
              <w:rPr>
                <w:rStyle w:val="aff0"/>
                <w:rFonts w:ascii="Times New Roman" w:hAnsi="Times New Roman"/>
                <w:noProof/>
                <w:spacing w:val="-8"/>
                <w:sz w:val="22"/>
                <w:szCs w:val="24"/>
              </w:rPr>
              <w:t>36</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webHidden/>
                <w:spacing w:val="-8"/>
                <w:sz w:val="22"/>
                <w:szCs w:val="24"/>
              </w:rPr>
              <w:tab/>
            </w:r>
            <w:r w:rsidR="002B5F6B" w:rsidRPr="00A160B9">
              <w:rPr>
                <w:rStyle w:val="aff0"/>
                <w:rFonts w:ascii="Times New Roman" w:hAnsi="Times New Roman"/>
                <w:webHidden/>
                <w:spacing w:val="-8"/>
                <w:sz w:val="22"/>
                <w:szCs w:val="24"/>
              </w:rPr>
              <w:fldChar w:fldCharType="begin"/>
            </w:r>
            <w:r w:rsidR="002B5F6B" w:rsidRPr="00A160B9">
              <w:rPr>
                <w:rStyle w:val="aff0"/>
                <w:rFonts w:ascii="Times New Roman" w:hAnsi="Times New Roman"/>
                <w:webHidden/>
                <w:spacing w:val="-8"/>
                <w:sz w:val="22"/>
                <w:szCs w:val="24"/>
              </w:rPr>
              <w:instrText xml:space="preserve"> PAGEREF _Toc81833453 \h </w:instrText>
            </w:r>
            <w:r w:rsidR="002B5F6B" w:rsidRPr="00A160B9">
              <w:rPr>
                <w:rStyle w:val="aff0"/>
                <w:rFonts w:ascii="Times New Roman" w:hAnsi="Times New Roman"/>
                <w:webHidden/>
                <w:spacing w:val="-8"/>
                <w:sz w:val="22"/>
                <w:szCs w:val="24"/>
              </w:rPr>
            </w:r>
            <w:r w:rsidR="002B5F6B" w:rsidRPr="00A160B9">
              <w:rPr>
                <w:rStyle w:val="aff0"/>
                <w:rFonts w:ascii="Times New Roman" w:hAnsi="Times New Roman"/>
                <w:webHidden/>
                <w:spacing w:val="-8"/>
                <w:sz w:val="22"/>
                <w:szCs w:val="24"/>
              </w:rPr>
              <w:fldChar w:fldCharType="separate"/>
            </w:r>
            <w:r w:rsidR="00CC19DA" w:rsidRPr="00A160B9">
              <w:rPr>
                <w:rStyle w:val="aff0"/>
                <w:rFonts w:ascii="Times New Roman" w:hAnsi="Times New Roman"/>
                <w:noProof/>
                <w:webHidden/>
                <w:spacing w:val="-8"/>
                <w:sz w:val="22"/>
                <w:szCs w:val="24"/>
              </w:rPr>
              <w:t>1176</w:t>
            </w:r>
            <w:r w:rsidR="002B5F6B" w:rsidRPr="00A160B9">
              <w:rPr>
                <w:rStyle w:val="aff0"/>
                <w:rFonts w:ascii="Times New Roman" w:hAnsi="Times New Roman"/>
                <w:webHidden/>
                <w:spacing w:val="-8"/>
                <w:sz w:val="22"/>
                <w:szCs w:val="24"/>
              </w:rPr>
              <w:fldChar w:fldCharType="end"/>
            </w:r>
          </w:hyperlink>
        </w:p>
        <w:p w14:paraId="0A2FA538" w14:textId="7831FE1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54" w:history="1">
            <w:r w:rsidR="002B5F6B" w:rsidRPr="00A160B9">
              <w:rPr>
                <w:rStyle w:val="aff0"/>
                <w:rFonts w:ascii="Times New Roman" w:hAnsi="Times New Roman"/>
                <w:noProof/>
                <w:sz w:val="22"/>
                <w:szCs w:val="24"/>
              </w:rPr>
              <w:t>《国有资产评估违法行为处罚办法》（财政部令〔</w:t>
            </w:r>
            <w:r w:rsidR="002B5F6B" w:rsidRPr="00A160B9">
              <w:rPr>
                <w:rStyle w:val="aff0"/>
                <w:rFonts w:ascii="Times New Roman" w:hAnsi="Times New Roman"/>
                <w:noProof/>
                <w:sz w:val="22"/>
                <w:szCs w:val="24"/>
              </w:rPr>
              <w:t>2001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_Toc81833454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1188</w:t>
            </w:r>
            <w:r w:rsidR="002B5F6B" w:rsidRPr="00A160B9">
              <w:rPr>
                <w:rStyle w:val="aff0"/>
                <w:rFonts w:ascii="Times New Roman" w:hAnsi="Times New Roman"/>
                <w:webHidden/>
                <w:sz w:val="22"/>
                <w:szCs w:val="24"/>
              </w:rPr>
              <w:fldChar w:fldCharType="end"/>
            </w:r>
          </w:hyperlink>
        </w:p>
        <w:p w14:paraId="60E1F99B" w14:textId="4F4393D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55" w:history="1">
            <w:r w:rsidR="002B5F6B" w:rsidRPr="00A160B9">
              <w:rPr>
                <w:rStyle w:val="aff0"/>
                <w:rFonts w:ascii="Times New Roman" w:hAnsi="Times New Roman"/>
                <w:noProof/>
                <w:sz w:val="22"/>
                <w:szCs w:val="24"/>
              </w:rPr>
              <w:t>《关于改革国有资产评估行政管理方式加强资产评估监督管理工作的意见》</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（国办发〔</w:t>
            </w:r>
            <w:r w:rsidR="002B5F6B" w:rsidRPr="00A160B9">
              <w:rPr>
                <w:rStyle w:val="aff0"/>
                <w:rFonts w:ascii="Times New Roman" w:hAnsi="Times New Roman"/>
                <w:noProof/>
                <w:sz w:val="22"/>
                <w:szCs w:val="24"/>
              </w:rPr>
              <w:t>2001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102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_Toc81833455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1190</w:t>
            </w:r>
            <w:r w:rsidR="002B5F6B" w:rsidRPr="00A160B9">
              <w:rPr>
                <w:rStyle w:val="aff0"/>
                <w:rFonts w:ascii="Times New Roman" w:hAnsi="Times New Roman"/>
                <w:webHidden/>
                <w:sz w:val="22"/>
                <w:szCs w:val="24"/>
              </w:rPr>
              <w:fldChar w:fldCharType="end"/>
            </w:r>
          </w:hyperlink>
        </w:p>
        <w:p w14:paraId="5831AC37" w14:textId="0658A49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56" w:history="1">
            <w:r w:rsidR="002B5F6B" w:rsidRPr="00A160B9">
              <w:rPr>
                <w:rStyle w:val="aff0"/>
                <w:rFonts w:ascii="Times New Roman" w:hAnsi="Times New Roman"/>
                <w:noProof/>
                <w:sz w:val="22"/>
                <w:szCs w:val="24"/>
              </w:rPr>
              <w:t>《国务院办公厅转发财政部关于改革国有资产评估行政管理方式加强</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资产评估监督管理工作意见的通知》（财企〔</w:t>
            </w:r>
            <w:r w:rsidR="002B5F6B" w:rsidRPr="00A160B9">
              <w:rPr>
                <w:rStyle w:val="aff0"/>
                <w:rFonts w:ascii="Times New Roman" w:hAnsi="Times New Roman"/>
                <w:noProof/>
                <w:sz w:val="22"/>
                <w:szCs w:val="24"/>
              </w:rPr>
              <w:t>2002</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_Toc81833456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1192</w:t>
            </w:r>
            <w:r w:rsidR="002B5F6B" w:rsidRPr="00A160B9">
              <w:rPr>
                <w:rStyle w:val="aff0"/>
                <w:rFonts w:ascii="Times New Roman" w:hAnsi="Times New Roman"/>
                <w:webHidden/>
                <w:sz w:val="22"/>
                <w:szCs w:val="24"/>
              </w:rPr>
              <w:fldChar w:fldCharType="end"/>
            </w:r>
          </w:hyperlink>
        </w:p>
        <w:p w14:paraId="04A88BF5" w14:textId="537A013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57" w:history="1">
            <w:r w:rsidR="002B5F6B" w:rsidRPr="00A160B9">
              <w:rPr>
                <w:rStyle w:val="aff0"/>
                <w:rFonts w:ascii="Times New Roman" w:hAnsi="Times New Roman"/>
                <w:noProof/>
                <w:sz w:val="22"/>
                <w:szCs w:val="24"/>
              </w:rPr>
              <w:t>《关于规范国有企业改制工作的意见》（国办发〔</w:t>
            </w:r>
            <w:r w:rsidR="002B5F6B" w:rsidRPr="00A160B9">
              <w:rPr>
                <w:rStyle w:val="aff0"/>
                <w:rFonts w:ascii="Times New Roman" w:hAnsi="Times New Roman"/>
                <w:noProof/>
                <w:sz w:val="22"/>
                <w:szCs w:val="24"/>
              </w:rPr>
              <w:t>2003</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96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_Toc81833457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1192</w:t>
            </w:r>
            <w:r w:rsidR="002B5F6B" w:rsidRPr="00A160B9">
              <w:rPr>
                <w:rStyle w:val="aff0"/>
                <w:rFonts w:ascii="Times New Roman" w:hAnsi="Times New Roman"/>
                <w:webHidden/>
                <w:sz w:val="22"/>
                <w:szCs w:val="24"/>
              </w:rPr>
              <w:fldChar w:fldCharType="end"/>
            </w:r>
          </w:hyperlink>
        </w:p>
        <w:p w14:paraId="510DDE8A" w14:textId="6D2C8BF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58" w:history="1">
            <w:r w:rsidR="002B5F6B" w:rsidRPr="00A160B9">
              <w:rPr>
                <w:rStyle w:val="aff0"/>
                <w:rFonts w:ascii="Times New Roman" w:hAnsi="Times New Roman"/>
                <w:noProof/>
                <w:sz w:val="22"/>
                <w:szCs w:val="24"/>
              </w:rPr>
              <w:t>《关于加强企业国有资产评估管理工作有关问题的通知》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（国资委产权〔</w:t>
            </w:r>
            <w:r w:rsidR="002B5F6B" w:rsidRPr="00A160B9">
              <w:rPr>
                <w:rStyle w:val="aff0"/>
                <w:rFonts w:ascii="Times New Roman" w:hAnsi="Times New Roman"/>
                <w:noProof/>
                <w:sz w:val="22"/>
                <w:szCs w:val="24"/>
              </w:rPr>
              <w:t>2006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274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_Toc81833458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1196</w:t>
            </w:r>
            <w:r w:rsidR="002B5F6B" w:rsidRPr="00A160B9">
              <w:rPr>
                <w:rStyle w:val="aff0"/>
                <w:rFonts w:ascii="Times New Roman" w:hAnsi="Times New Roman"/>
                <w:webHidden/>
                <w:sz w:val="22"/>
                <w:szCs w:val="24"/>
              </w:rPr>
              <w:fldChar w:fldCharType="end"/>
            </w:r>
          </w:hyperlink>
        </w:p>
        <w:p w14:paraId="1C1F383D" w14:textId="3221E4B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59" w:history="1">
            <w:r w:rsidR="002B5F6B" w:rsidRPr="00A160B9">
              <w:rPr>
                <w:rStyle w:val="aff0"/>
                <w:rFonts w:ascii="Times New Roman" w:hAnsi="Times New Roman"/>
                <w:noProof/>
                <w:sz w:val="22"/>
                <w:szCs w:val="24"/>
              </w:rPr>
              <w:t>《森林资源资产评估管理暂行规定》（财企〔</w:t>
            </w:r>
            <w:r w:rsidR="002B5F6B" w:rsidRPr="00A160B9">
              <w:rPr>
                <w:rStyle w:val="aff0"/>
                <w:rFonts w:ascii="Times New Roman" w:hAnsi="Times New Roman"/>
                <w:noProof/>
                <w:sz w:val="22"/>
                <w:szCs w:val="24"/>
              </w:rPr>
              <w:t>2006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529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_Toc81833459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1197</w:t>
            </w:r>
            <w:r w:rsidR="002B5F6B" w:rsidRPr="00A160B9">
              <w:rPr>
                <w:rStyle w:val="aff0"/>
                <w:rFonts w:ascii="Times New Roman" w:hAnsi="Times New Roman"/>
                <w:webHidden/>
                <w:sz w:val="22"/>
                <w:szCs w:val="24"/>
              </w:rPr>
              <w:fldChar w:fldCharType="end"/>
            </w:r>
          </w:hyperlink>
        </w:p>
        <w:p w14:paraId="74BD4969" w14:textId="0E711B0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60" w:history="1">
            <w:r w:rsidR="002B5F6B" w:rsidRPr="00A160B9">
              <w:rPr>
                <w:rStyle w:val="aff0"/>
                <w:rFonts w:ascii="Times New Roman" w:hAnsi="Times New Roman"/>
                <w:noProof/>
                <w:sz w:val="22"/>
                <w:szCs w:val="24"/>
              </w:rPr>
              <w:t>《关于规范中央企业选聘评估机构工作的指导意见》</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（国资发产权〔</w:t>
            </w:r>
            <w:r w:rsidR="002B5F6B" w:rsidRPr="00A160B9">
              <w:rPr>
                <w:rStyle w:val="aff0"/>
                <w:rFonts w:ascii="Times New Roman" w:hAnsi="Times New Roman"/>
                <w:noProof/>
                <w:sz w:val="22"/>
                <w:szCs w:val="24"/>
              </w:rPr>
              <w:t>2011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_Toc81833460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1203</w:t>
            </w:r>
            <w:r w:rsidR="002B5F6B" w:rsidRPr="00A160B9">
              <w:rPr>
                <w:rStyle w:val="aff0"/>
                <w:rFonts w:ascii="Times New Roman" w:hAnsi="Times New Roman"/>
                <w:webHidden/>
                <w:sz w:val="22"/>
                <w:szCs w:val="24"/>
              </w:rPr>
              <w:fldChar w:fldCharType="end"/>
            </w:r>
          </w:hyperlink>
        </w:p>
        <w:p w14:paraId="1CB62567" w14:textId="6A03B1D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61" w:history="1">
            <w:r w:rsidR="002B5F6B" w:rsidRPr="00A160B9">
              <w:rPr>
                <w:rStyle w:val="aff0"/>
                <w:rFonts w:ascii="Times New Roman" w:hAnsi="Times New Roman"/>
                <w:noProof/>
                <w:sz w:val="22"/>
                <w:szCs w:val="24"/>
              </w:rPr>
              <w:t>《国务院关于国有企业发展混合所有制经济的意见》（国发〔</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_Toc81833461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1204</w:t>
            </w:r>
            <w:r w:rsidR="002B5F6B" w:rsidRPr="00A160B9">
              <w:rPr>
                <w:rStyle w:val="aff0"/>
                <w:rFonts w:ascii="Times New Roman" w:hAnsi="Times New Roman"/>
                <w:webHidden/>
                <w:sz w:val="22"/>
                <w:szCs w:val="24"/>
              </w:rPr>
              <w:fldChar w:fldCharType="end"/>
            </w:r>
          </w:hyperlink>
        </w:p>
        <w:p w14:paraId="12C59565" w14:textId="32F6811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62" w:history="1">
            <w:r w:rsidR="002B5F6B" w:rsidRPr="00A160B9">
              <w:rPr>
                <w:rStyle w:val="aff0"/>
                <w:rFonts w:ascii="Times New Roman" w:hAnsi="Times New Roman"/>
                <w:noProof/>
                <w:sz w:val="22"/>
                <w:szCs w:val="24"/>
              </w:rPr>
              <w:t>《国务院办公厅关于建立国有企业违规经营投资责任追究制度的意见》</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（国办发〔</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_Toc81833462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1210</w:t>
            </w:r>
            <w:r w:rsidR="002B5F6B" w:rsidRPr="00A160B9">
              <w:rPr>
                <w:rStyle w:val="aff0"/>
                <w:rFonts w:ascii="Times New Roman" w:hAnsi="Times New Roman"/>
                <w:webHidden/>
                <w:sz w:val="22"/>
                <w:szCs w:val="24"/>
              </w:rPr>
              <w:fldChar w:fldCharType="end"/>
            </w:r>
          </w:hyperlink>
        </w:p>
        <w:p w14:paraId="41010747" w14:textId="03E05FE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63" w:history="1">
            <w:r w:rsidR="002B5F6B" w:rsidRPr="00A160B9">
              <w:rPr>
                <w:rStyle w:val="aff0"/>
                <w:rFonts w:ascii="Times New Roman" w:hAnsi="Times New Roman"/>
                <w:noProof/>
                <w:sz w:val="22"/>
                <w:szCs w:val="24"/>
              </w:rPr>
              <w:t>《企业国有资产监督管理暂行条例》（</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w:t>
            </w:r>
            <w:r w:rsidR="002B5F6B" w:rsidRPr="00A160B9">
              <w:rPr>
                <w:rStyle w:val="aff0"/>
                <w:rFonts w:ascii="Times New Roman" w:hAnsi="Times New Roman"/>
                <w:noProof/>
                <w:sz w:val="22"/>
                <w:szCs w:val="24"/>
              </w:rPr>
              <w:t>3</w:t>
            </w:r>
            <w:r w:rsidR="002B5F6B" w:rsidRPr="00A160B9">
              <w:rPr>
                <w:rStyle w:val="aff0"/>
                <w:rFonts w:ascii="Times New Roman" w:hAnsi="Times New Roman"/>
                <w:noProof/>
                <w:sz w:val="22"/>
                <w:szCs w:val="24"/>
              </w:rPr>
              <w:t>月</w:t>
            </w:r>
            <w:r w:rsidR="002B5F6B" w:rsidRPr="00A160B9">
              <w:rPr>
                <w:rStyle w:val="aff0"/>
                <w:rFonts w:ascii="Times New Roman" w:hAnsi="Times New Roman"/>
                <w:noProof/>
                <w:sz w:val="22"/>
                <w:szCs w:val="24"/>
              </w:rPr>
              <w:t>2</w:t>
            </w:r>
            <w:r w:rsidR="002B5F6B" w:rsidRPr="00A160B9">
              <w:rPr>
                <w:rStyle w:val="aff0"/>
                <w:rFonts w:ascii="Times New Roman" w:hAnsi="Times New Roman"/>
                <w:noProof/>
                <w:sz w:val="22"/>
                <w:szCs w:val="24"/>
              </w:rPr>
              <w:t>日修订）</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_Toc81833463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1217</w:t>
            </w:r>
            <w:r w:rsidR="002B5F6B" w:rsidRPr="00A160B9">
              <w:rPr>
                <w:rStyle w:val="aff0"/>
                <w:rFonts w:ascii="Times New Roman" w:hAnsi="Times New Roman"/>
                <w:webHidden/>
                <w:sz w:val="22"/>
                <w:szCs w:val="24"/>
              </w:rPr>
              <w:fldChar w:fldCharType="end"/>
            </w:r>
          </w:hyperlink>
        </w:p>
        <w:p w14:paraId="5F81027C" w14:textId="0CCF26D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64" w:history="1">
            <w:r w:rsidR="002B5F6B" w:rsidRPr="00A160B9">
              <w:rPr>
                <w:rStyle w:val="aff0"/>
                <w:rFonts w:ascii="Times New Roman" w:hAnsi="Times New Roman"/>
                <w:noProof/>
                <w:sz w:val="22"/>
                <w:szCs w:val="24"/>
              </w:rPr>
              <w:t>《中央企业混合所有制改革操作指引》（国资产权〔</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653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_Toc81833464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1222</w:t>
            </w:r>
            <w:r w:rsidR="002B5F6B" w:rsidRPr="00A160B9">
              <w:rPr>
                <w:rStyle w:val="aff0"/>
                <w:rFonts w:ascii="Times New Roman" w:hAnsi="Times New Roman"/>
                <w:webHidden/>
                <w:sz w:val="22"/>
                <w:szCs w:val="24"/>
              </w:rPr>
              <w:fldChar w:fldCharType="end"/>
            </w:r>
          </w:hyperlink>
        </w:p>
        <w:p w14:paraId="73494B20" w14:textId="26641E7F"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65" w:history="1">
            <w:r w:rsidR="002B5F6B" w:rsidRPr="00A160B9">
              <w:rPr>
                <w:rStyle w:val="aff0"/>
                <w:b/>
                <w:bCs/>
                <w:noProof/>
                <w:sz w:val="24"/>
              </w:rPr>
              <w:t>金融国有企业资产评估管理</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_Toc81833465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1231</w:t>
            </w:r>
            <w:r w:rsidR="002B5F6B" w:rsidRPr="00A160B9">
              <w:rPr>
                <w:rStyle w:val="aff0"/>
                <w:b/>
                <w:bCs/>
                <w:noProof/>
                <w:webHidden/>
                <w:sz w:val="24"/>
              </w:rPr>
              <w:fldChar w:fldCharType="end"/>
            </w:r>
          </w:hyperlink>
        </w:p>
        <w:p w14:paraId="5DD40309" w14:textId="1E37354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66" w:history="1">
            <w:r w:rsidR="002B5F6B" w:rsidRPr="00A160B9">
              <w:rPr>
                <w:rStyle w:val="aff0"/>
                <w:rFonts w:ascii="Times New Roman" w:hAnsi="Times New Roman"/>
                <w:noProof/>
                <w:sz w:val="22"/>
                <w:szCs w:val="24"/>
              </w:rPr>
              <w:t>《金融企业国有资产评估监督管理暂行办法》（财政部第</w:t>
            </w:r>
            <w:r w:rsidR="002B5F6B" w:rsidRPr="00A160B9">
              <w:rPr>
                <w:rStyle w:val="aff0"/>
                <w:rFonts w:ascii="Times New Roman" w:hAnsi="Times New Roman"/>
                <w:noProof/>
                <w:sz w:val="22"/>
                <w:szCs w:val="24"/>
              </w:rPr>
              <w:t>47</w:t>
            </w:r>
            <w:r w:rsidR="002B5F6B" w:rsidRPr="00A160B9">
              <w:rPr>
                <w:rStyle w:val="aff0"/>
                <w:rFonts w:ascii="Times New Roman" w:hAnsi="Times New Roman"/>
                <w:noProof/>
                <w:sz w:val="22"/>
                <w:szCs w:val="24"/>
              </w:rPr>
              <w:t>号令）</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_Toc81833466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1231</w:t>
            </w:r>
            <w:r w:rsidR="002B5F6B" w:rsidRPr="00A160B9">
              <w:rPr>
                <w:rStyle w:val="aff0"/>
                <w:rFonts w:ascii="Times New Roman" w:hAnsi="Times New Roman"/>
                <w:webHidden/>
                <w:sz w:val="22"/>
                <w:szCs w:val="24"/>
              </w:rPr>
              <w:fldChar w:fldCharType="end"/>
            </w:r>
          </w:hyperlink>
        </w:p>
        <w:p w14:paraId="29854637" w14:textId="19F9BCC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67" w:history="1">
            <w:r w:rsidR="002B5F6B" w:rsidRPr="00A160B9">
              <w:rPr>
                <w:rStyle w:val="aff0"/>
                <w:rFonts w:ascii="Times New Roman" w:hAnsi="Times New Roman"/>
                <w:noProof/>
                <w:sz w:val="22"/>
                <w:szCs w:val="24"/>
              </w:rPr>
              <w:t>《金融企业国有资产转让管理办法》（财政部第</w:t>
            </w:r>
            <w:r w:rsidR="002B5F6B" w:rsidRPr="00A160B9">
              <w:rPr>
                <w:rStyle w:val="aff0"/>
                <w:rFonts w:ascii="Times New Roman" w:hAnsi="Times New Roman"/>
                <w:noProof/>
                <w:sz w:val="22"/>
                <w:szCs w:val="24"/>
              </w:rPr>
              <w:t xml:space="preserve"> 54</w:t>
            </w:r>
            <w:r w:rsidR="002B5F6B" w:rsidRPr="00A160B9">
              <w:rPr>
                <w:rStyle w:val="aff0"/>
                <w:rFonts w:ascii="Times New Roman" w:hAnsi="Times New Roman"/>
                <w:noProof/>
                <w:sz w:val="22"/>
                <w:szCs w:val="24"/>
              </w:rPr>
              <w:t>号令）</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_Toc81833467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1236</w:t>
            </w:r>
            <w:r w:rsidR="002B5F6B" w:rsidRPr="00A160B9">
              <w:rPr>
                <w:rStyle w:val="aff0"/>
                <w:rFonts w:ascii="Times New Roman" w:hAnsi="Times New Roman"/>
                <w:webHidden/>
                <w:sz w:val="22"/>
                <w:szCs w:val="24"/>
              </w:rPr>
              <w:fldChar w:fldCharType="end"/>
            </w:r>
          </w:hyperlink>
        </w:p>
        <w:p w14:paraId="78E36C91" w14:textId="7A9073B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68" w:history="1">
            <w:r w:rsidR="002B5F6B" w:rsidRPr="00A160B9">
              <w:rPr>
                <w:rStyle w:val="aff0"/>
                <w:rFonts w:ascii="Times New Roman" w:hAnsi="Times New Roman"/>
                <w:noProof/>
                <w:sz w:val="22"/>
                <w:szCs w:val="24"/>
              </w:rPr>
              <w:t>《关于贯彻落实</w:t>
            </w:r>
            <w:r w:rsidR="002B5F6B" w:rsidRPr="00A160B9">
              <w:rPr>
                <w:rStyle w:val="aff0"/>
                <w:rFonts w:ascii="Times New Roman" w:hAnsi="Times New Roman"/>
                <w:noProof/>
                <w:sz w:val="22"/>
                <w:szCs w:val="24"/>
              </w:rPr>
              <w:t>&lt;</w:t>
            </w:r>
            <w:r w:rsidR="002B5F6B" w:rsidRPr="00A160B9">
              <w:rPr>
                <w:rStyle w:val="aff0"/>
                <w:rFonts w:ascii="Times New Roman" w:hAnsi="Times New Roman"/>
                <w:noProof/>
                <w:sz w:val="22"/>
                <w:szCs w:val="24"/>
              </w:rPr>
              <w:t>金融企业国有资产转让管理办法</w:t>
            </w:r>
            <w:r w:rsidR="002B5F6B" w:rsidRPr="00A160B9">
              <w:rPr>
                <w:rStyle w:val="aff0"/>
                <w:rFonts w:ascii="Times New Roman" w:hAnsi="Times New Roman"/>
                <w:noProof/>
                <w:sz w:val="22"/>
                <w:szCs w:val="24"/>
              </w:rPr>
              <w:t>&gt;</w:t>
            </w:r>
            <w:r w:rsidR="002B5F6B" w:rsidRPr="00A160B9">
              <w:rPr>
                <w:rStyle w:val="aff0"/>
                <w:rFonts w:ascii="Times New Roman" w:hAnsi="Times New Roman"/>
                <w:noProof/>
                <w:sz w:val="22"/>
                <w:szCs w:val="24"/>
              </w:rPr>
              <w:t>有关事项的通知》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（财金〔</w:t>
            </w:r>
            <w:r w:rsidR="002B5F6B" w:rsidRPr="00A160B9">
              <w:rPr>
                <w:rStyle w:val="aff0"/>
                <w:rFonts w:ascii="Times New Roman" w:hAnsi="Times New Roman"/>
                <w:noProof/>
                <w:sz w:val="22"/>
                <w:szCs w:val="24"/>
              </w:rPr>
              <w:t>2009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178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_Toc81833468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1246</w:t>
            </w:r>
            <w:r w:rsidR="002B5F6B" w:rsidRPr="00A160B9">
              <w:rPr>
                <w:rStyle w:val="aff0"/>
                <w:rFonts w:ascii="Times New Roman" w:hAnsi="Times New Roman"/>
                <w:webHidden/>
                <w:sz w:val="22"/>
                <w:szCs w:val="24"/>
              </w:rPr>
              <w:fldChar w:fldCharType="end"/>
            </w:r>
          </w:hyperlink>
        </w:p>
        <w:p w14:paraId="47C8E68B" w14:textId="0A2E94D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69" w:history="1">
            <w:r w:rsidR="002B5F6B" w:rsidRPr="00A160B9">
              <w:rPr>
                <w:rStyle w:val="aff0"/>
                <w:rFonts w:ascii="Times New Roman" w:hAnsi="Times New Roman"/>
                <w:noProof/>
                <w:sz w:val="22"/>
                <w:szCs w:val="24"/>
              </w:rPr>
              <w:t>《关于金融企业国有资产评估监督管理有关问题的通知》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（财金〔</w:t>
            </w:r>
            <w:r w:rsidR="002B5F6B" w:rsidRPr="00A160B9">
              <w:rPr>
                <w:rStyle w:val="aff0"/>
                <w:rFonts w:ascii="Times New Roman" w:hAnsi="Times New Roman"/>
                <w:noProof/>
                <w:sz w:val="22"/>
                <w:szCs w:val="24"/>
              </w:rPr>
              <w:t>2011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_Toc81833469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1248</w:t>
            </w:r>
            <w:r w:rsidR="002B5F6B" w:rsidRPr="00A160B9">
              <w:rPr>
                <w:rStyle w:val="aff0"/>
                <w:rFonts w:ascii="Times New Roman" w:hAnsi="Times New Roman"/>
                <w:webHidden/>
                <w:sz w:val="22"/>
                <w:szCs w:val="24"/>
              </w:rPr>
              <w:fldChar w:fldCharType="end"/>
            </w:r>
          </w:hyperlink>
        </w:p>
        <w:p w14:paraId="014143AF" w14:textId="16210636"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70" w:history="1">
            <w:r w:rsidR="002B5F6B" w:rsidRPr="00A160B9">
              <w:rPr>
                <w:rStyle w:val="aff0"/>
                <w:b/>
                <w:bCs/>
                <w:noProof/>
                <w:sz w:val="24"/>
              </w:rPr>
              <w:t>文化国有企业资产评估管理</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_Toc81833470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1252</w:t>
            </w:r>
            <w:r w:rsidR="002B5F6B" w:rsidRPr="00A160B9">
              <w:rPr>
                <w:rStyle w:val="aff0"/>
                <w:b/>
                <w:bCs/>
                <w:noProof/>
                <w:webHidden/>
                <w:sz w:val="24"/>
              </w:rPr>
              <w:fldChar w:fldCharType="end"/>
            </w:r>
          </w:hyperlink>
        </w:p>
        <w:p w14:paraId="3FCE343E" w14:textId="467758B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71" w:history="1">
            <w:r w:rsidR="002B5F6B" w:rsidRPr="00A160B9">
              <w:rPr>
                <w:rStyle w:val="aff0"/>
                <w:rFonts w:ascii="Times New Roman" w:hAnsi="Times New Roman"/>
                <w:noProof/>
                <w:sz w:val="22"/>
                <w:szCs w:val="24"/>
              </w:rPr>
              <w:t>《中央文化企业国有资产评估管理暂行办法》（财文资〔</w:t>
            </w:r>
            <w:r w:rsidR="002B5F6B" w:rsidRPr="00A160B9">
              <w:rPr>
                <w:rStyle w:val="aff0"/>
                <w:rFonts w:ascii="Times New Roman" w:hAnsi="Times New Roman"/>
                <w:noProof/>
                <w:sz w:val="22"/>
                <w:szCs w:val="24"/>
              </w:rPr>
              <w:t>2012</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_Toc81833471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1252</w:t>
            </w:r>
            <w:r w:rsidR="002B5F6B" w:rsidRPr="00A160B9">
              <w:rPr>
                <w:rStyle w:val="aff0"/>
                <w:rFonts w:ascii="Times New Roman" w:hAnsi="Times New Roman"/>
                <w:webHidden/>
                <w:sz w:val="22"/>
                <w:szCs w:val="24"/>
              </w:rPr>
              <w:fldChar w:fldCharType="end"/>
            </w:r>
          </w:hyperlink>
        </w:p>
        <w:p w14:paraId="64B6F3AE" w14:textId="158985B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72" w:history="1">
            <w:r w:rsidR="002B5F6B" w:rsidRPr="00A160B9">
              <w:rPr>
                <w:rStyle w:val="aff0"/>
                <w:rFonts w:ascii="Times New Roman" w:hAnsi="Times New Roman"/>
                <w:noProof/>
                <w:sz w:val="22"/>
                <w:szCs w:val="24"/>
              </w:rPr>
              <w:t>《关于中央文化企业国有资产评估管理的补充通知》（财文〔</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93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_Toc81833472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1257</w:t>
            </w:r>
            <w:r w:rsidR="002B5F6B" w:rsidRPr="00A160B9">
              <w:rPr>
                <w:rStyle w:val="aff0"/>
                <w:rFonts w:ascii="Times New Roman" w:hAnsi="Times New Roman"/>
                <w:webHidden/>
                <w:sz w:val="22"/>
                <w:szCs w:val="24"/>
              </w:rPr>
              <w:fldChar w:fldCharType="end"/>
            </w:r>
          </w:hyperlink>
        </w:p>
        <w:p w14:paraId="59AF589D" w14:textId="029E3520"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73" w:history="1">
            <w:r w:rsidR="002B5F6B" w:rsidRPr="00A160B9">
              <w:rPr>
                <w:rStyle w:val="aff0"/>
                <w:b/>
                <w:bCs/>
                <w:noProof/>
                <w:sz w:val="24"/>
              </w:rPr>
              <w:t>事业行政国有资产评估管理</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_Toc81833473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1258</w:t>
            </w:r>
            <w:r w:rsidR="002B5F6B" w:rsidRPr="00A160B9">
              <w:rPr>
                <w:rStyle w:val="aff0"/>
                <w:b/>
                <w:bCs/>
                <w:noProof/>
                <w:webHidden/>
                <w:sz w:val="24"/>
              </w:rPr>
              <w:fldChar w:fldCharType="end"/>
            </w:r>
          </w:hyperlink>
        </w:p>
        <w:p w14:paraId="36E76949" w14:textId="6DC14C9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74" w:history="1">
            <w:r w:rsidR="002B5F6B" w:rsidRPr="00A160B9">
              <w:rPr>
                <w:rStyle w:val="aff0"/>
                <w:rFonts w:ascii="Times New Roman" w:hAnsi="Times New Roman"/>
                <w:noProof/>
                <w:sz w:val="22"/>
                <w:szCs w:val="24"/>
              </w:rPr>
              <w:t>《行政单位国有资产管理暂行办法》（财政部第</w:t>
            </w:r>
            <w:r w:rsidR="002B5F6B" w:rsidRPr="00A160B9">
              <w:rPr>
                <w:rStyle w:val="aff0"/>
                <w:rFonts w:ascii="Times New Roman" w:hAnsi="Times New Roman"/>
                <w:noProof/>
                <w:sz w:val="22"/>
                <w:szCs w:val="24"/>
              </w:rPr>
              <w:t>35</w:t>
            </w:r>
            <w:r w:rsidR="002B5F6B" w:rsidRPr="00A160B9">
              <w:rPr>
                <w:rStyle w:val="aff0"/>
                <w:rFonts w:ascii="Times New Roman" w:hAnsi="Times New Roman"/>
                <w:noProof/>
                <w:sz w:val="22"/>
                <w:szCs w:val="24"/>
              </w:rPr>
              <w:t>号令）</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_Toc81833474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1258</w:t>
            </w:r>
            <w:r w:rsidR="002B5F6B" w:rsidRPr="00A160B9">
              <w:rPr>
                <w:rStyle w:val="aff0"/>
                <w:rFonts w:ascii="Times New Roman" w:hAnsi="Times New Roman"/>
                <w:webHidden/>
                <w:sz w:val="22"/>
                <w:szCs w:val="24"/>
              </w:rPr>
              <w:fldChar w:fldCharType="end"/>
            </w:r>
          </w:hyperlink>
        </w:p>
        <w:p w14:paraId="66BEDEB9" w14:textId="4DB166E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75" w:history="1">
            <w:r w:rsidR="002B5F6B" w:rsidRPr="00A160B9">
              <w:rPr>
                <w:rStyle w:val="aff0"/>
                <w:rFonts w:ascii="Times New Roman" w:hAnsi="Times New Roman"/>
                <w:noProof/>
                <w:sz w:val="22"/>
                <w:szCs w:val="24"/>
              </w:rPr>
              <w:t>《事业单位国有资产管理暂行办法》（财政部令第</w:t>
            </w:r>
            <w:r w:rsidR="002B5F6B" w:rsidRPr="00A160B9">
              <w:rPr>
                <w:rStyle w:val="aff0"/>
                <w:rFonts w:ascii="Times New Roman" w:hAnsi="Times New Roman"/>
                <w:noProof/>
                <w:sz w:val="22"/>
                <w:szCs w:val="24"/>
              </w:rPr>
              <w:t>100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_Toc81833475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1264</w:t>
            </w:r>
            <w:r w:rsidR="002B5F6B" w:rsidRPr="00A160B9">
              <w:rPr>
                <w:rStyle w:val="aff0"/>
                <w:rFonts w:ascii="Times New Roman" w:hAnsi="Times New Roman"/>
                <w:webHidden/>
                <w:sz w:val="22"/>
                <w:szCs w:val="24"/>
              </w:rPr>
              <w:fldChar w:fldCharType="end"/>
            </w:r>
          </w:hyperlink>
        </w:p>
        <w:p w14:paraId="43734ACE" w14:textId="7E1292E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76" w:history="1">
            <w:r w:rsidR="002B5F6B" w:rsidRPr="00A160B9">
              <w:rPr>
                <w:rStyle w:val="aff0"/>
                <w:rFonts w:ascii="Times New Roman" w:hAnsi="Times New Roman"/>
                <w:noProof/>
                <w:sz w:val="22"/>
                <w:szCs w:val="24"/>
              </w:rPr>
              <w:t>《地方行政单位国有资产处置管理暂行办法》（财行〔</w:t>
            </w:r>
            <w:r w:rsidR="002B5F6B" w:rsidRPr="00A160B9">
              <w:rPr>
                <w:rStyle w:val="aff0"/>
                <w:rFonts w:ascii="Times New Roman" w:hAnsi="Times New Roman"/>
                <w:noProof/>
                <w:sz w:val="22"/>
                <w:szCs w:val="24"/>
              </w:rPr>
              <w:t>2014</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228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_Toc81833476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1273</w:t>
            </w:r>
            <w:r w:rsidR="002B5F6B" w:rsidRPr="00A160B9">
              <w:rPr>
                <w:rStyle w:val="aff0"/>
                <w:rFonts w:ascii="Times New Roman" w:hAnsi="Times New Roman"/>
                <w:webHidden/>
                <w:sz w:val="22"/>
                <w:szCs w:val="24"/>
              </w:rPr>
              <w:fldChar w:fldCharType="end"/>
            </w:r>
          </w:hyperlink>
        </w:p>
        <w:p w14:paraId="39099462" w14:textId="2700A632"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8"/>
              <w:sz w:val="22"/>
              <w:szCs w:val="24"/>
            </w:rPr>
          </w:pPr>
          <w:hyperlink w:anchor="_Toc81833477" w:history="1">
            <w:r w:rsidR="002B5F6B" w:rsidRPr="00A160B9">
              <w:rPr>
                <w:rStyle w:val="aff0"/>
                <w:rFonts w:ascii="Times New Roman" w:hAnsi="Times New Roman"/>
                <w:noProof/>
                <w:spacing w:val="-8"/>
                <w:sz w:val="22"/>
                <w:szCs w:val="24"/>
              </w:rPr>
              <w:t>《教育部关于规范和加强直属高校国有资产管理的若干意见》（教财〔</w:t>
            </w:r>
            <w:r w:rsidR="002B5F6B" w:rsidRPr="00A160B9">
              <w:rPr>
                <w:rStyle w:val="aff0"/>
                <w:rFonts w:ascii="Times New Roman" w:hAnsi="Times New Roman"/>
                <w:noProof/>
                <w:spacing w:val="-8"/>
                <w:sz w:val="22"/>
                <w:szCs w:val="24"/>
              </w:rPr>
              <w:t>2017</w:t>
            </w:r>
            <w:r w:rsidR="002B5F6B" w:rsidRPr="00A160B9">
              <w:rPr>
                <w:rStyle w:val="aff0"/>
                <w:rFonts w:ascii="Times New Roman" w:hAnsi="Times New Roman"/>
                <w:noProof/>
                <w:spacing w:val="-8"/>
                <w:sz w:val="22"/>
                <w:szCs w:val="24"/>
              </w:rPr>
              <w:t>〕</w:t>
            </w:r>
            <w:r w:rsidR="002B5F6B" w:rsidRPr="00A160B9">
              <w:rPr>
                <w:rStyle w:val="aff0"/>
                <w:rFonts w:ascii="Times New Roman" w:hAnsi="Times New Roman"/>
                <w:noProof/>
                <w:spacing w:val="-8"/>
                <w:sz w:val="22"/>
                <w:szCs w:val="24"/>
              </w:rPr>
              <w:t>9</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webHidden/>
                <w:spacing w:val="-8"/>
                <w:sz w:val="22"/>
                <w:szCs w:val="24"/>
              </w:rPr>
              <w:tab/>
            </w:r>
            <w:r w:rsidR="002B5F6B" w:rsidRPr="00A160B9">
              <w:rPr>
                <w:rStyle w:val="aff0"/>
                <w:rFonts w:ascii="Times New Roman" w:hAnsi="Times New Roman"/>
                <w:webHidden/>
                <w:spacing w:val="-8"/>
                <w:sz w:val="22"/>
                <w:szCs w:val="24"/>
              </w:rPr>
              <w:fldChar w:fldCharType="begin"/>
            </w:r>
            <w:r w:rsidR="002B5F6B" w:rsidRPr="00A160B9">
              <w:rPr>
                <w:rStyle w:val="aff0"/>
                <w:rFonts w:ascii="Times New Roman" w:hAnsi="Times New Roman"/>
                <w:webHidden/>
                <w:spacing w:val="-8"/>
                <w:sz w:val="22"/>
                <w:szCs w:val="24"/>
              </w:rPr>
              <w:instrText xml:space="preserve"> PAGEREF _Toc81833477 \h </w:instrText>
            </w:r>
            <w:r w:rsidR="002B5F6B" w:rsidRPr="00A160B9">
              <w:rPr>
                <w:rStyle w:val="aff0"/>
                <w:rFonts w:ascii="Times New Roman" w:hAnsi="Times New Roman"/>
                <w:webHidden/>
                <w:spacing w:val="-8"/>
                <w:sz w:val="22"/>
                <w:szCs w:val="24"/>
              </w:rPr>
            </w:r>
            <w:r w:rsidR="002B5F6B" w:rsidRPr="00A160B9">
              <w:rPr>
                <w:rStyle w:val="aff0"/>
                <w:rFonts w:ascii="Times New Roman" w:hAnsi="Times New Roman"/>
                <w:webHidden/>
                <w:spacing w:val="-8"/>
                <w:sz w:val="22"/>
                <w:szCs w:val="24"/>
              </w:rPr>
              <w:fldChar w:fldCharType="separate"/>
            </w:r>
            <w:r w:rsidR="00CC19DA" w:rsidRPr="00A160B9">
              <w:rPr>
                <w:rStyle w:val="aff0"/>
                <w:rFonts w:ascii="Times New Roman" w:hAnsi="Times New Roman"/>
                <w:noProof/>
                <w:webHidden/>
                <w:spacing w:val="-8"/>
                <w:sz w:val="22"/>
                <w:szCs w:val="24"/>
              </w:rPr>
              <w:t>1278</w:t>
            </w:r>
            <w:r w:rsidR="002B5F6B" w:rsidRPr="00A160B9">
              <w:rPr>
                <w:rStyle w:val="aff0"/>
                <w:rFonts w:ascii="Times New Roman" w:hAnsi="Times New Roman"/>
                <w:webHidden/>
                <w:spacing w:val="-8"/>
                <w:sz w:val="22"/>
                <w:szCs w:val="24"/>
              </w:rPr>
              <w:fldChar w:fldCharType="end"/>
            </w:r>
          </w:hyperlink>
        </w:p>
        <w:p w14:paraId="3F8E3B62" w14:textId="65D71C7B"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78" w:history="1">
            <w:r w:rsidR="002B5F6B" w:rsidRPr="00A160B9">
              <w:rPr>
                <w:rStyle w:val="aff0"/>
                <w:b/>
                <w:bCs/>
                <w:noProof/>
                <w:sz w:val="24"/>
              </w:rPr>
              <w:t>国有资产评估报告核准及备案</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_Toc81833478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1283</w:t>
            </w:r>
            <w:r w:rsidR="002B5F6B" w:rsidRPr="00A160B9">
              <w:rPr>
                <w:rStyle w:val="aff0"/>
                <w:b/>
                <w:bCs/>
                <w:noProof/>
                <w:webHidden/>
                <w:sz w:val="24"/>
              </w:rPr>
              <w:fldChar w:fldCharType="end"/>
            </w:r>
          </w:hyperlink>
        </w:p>
        <w:p w14:paraId="4E88F8E4" w14:textId="44F85C41"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79" w:history="1">
            <w:r w:rsidR="002B5F6B" w:rsidRPr="00A160B9">
              <w:rPr>
                <w:rStyle w:val="aff0"/>
                <w:rFonts w:ascii="Times New Roman" w:hAnsi="Times New Roman"/>
                <w:noProof/>
                <w:sz w:val="22"/>
                <w:szCs w:val="24"/>
              </w:rPr>
              <w:t>《关于企业国有资产评估报告审核工作有关事项的通知》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（国资产权〔</w:t>
            </w:r>
            <w:r w:rsidR="002B5F6B" w:rsidRPr="00A160B9">
              <w:rPr>
                <w:rStyle w:val="aff0"/>
                <w:rFonts w:ascii="Times New Roman" w:hAnsi="Times New Roman"/>
                <w:noProof/>
                <w:sz w:val="22"/>
                <w:szCs w:val="24"/>
              </w:rPr>
              <w:t>2009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941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_Toc81833479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1283</w:t>
            </w:r>
            <w:r w:rsidR="002B5F6B" w:rsidRPr="00A160B9">
              <w:rPr>
                <w:rStyle w:val="aff0"/>
                <w:rFonts w:ascii="Times New Roman" w:hAnsi="Times New Roman"/>
                <w:webHidden/>
                <w:sz w:val="22"/>
                <w:szCs w:val="24"/>
              </w:rPr>
              <w:fldChar w:fldCharType="end"/>
            </w:r>
          </w:hyperlink>
        </w:p>
        <w:p w14:paraId="77C117F2" w14:textId="75445851"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80" w:history="1">
            <w:r w:rsidR="002B5F6B" w:rsidRPr="00A160B9">
              <w:rPr>
                <w:rStyle w:val="aff0"/>
                <w:rFonts w:ascii="Times New Roman" w:hAnsi="Times New Roman"/>
                <w:noProof/>
                <w:sz w:val="22"/>
                <w:szCs w:val="24"/>
              </w:rPr>
              <w:t>《中央企业资产评估项目核准工作指引》（国资发产权〔</w:t>
            </w:r>
            <w:r w:rsidR="002B5F6B" w:rsidRPr="00A160B9">
              <w:rPr>
                <w:rStyle w:val="aff0"/>
                <w:rFonts w:ascii="Times New Roman" w:hAnsi="Times New Roman"/>
                <w:noProof/>
                <w:sz w:val="22"/>
                <w:szCs w:val="24"/>
              </w:rPr>
              <w:t>2010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71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_Toc81833480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1284</w:t>
            </w:r>
            <w:r w:rsidR="002B5F6B" w:rsidRPr="00A160B9">
              <w:rPr>
                <w:rStyle w:val="aff0"/>
                <w:rFonts w:ascii="Times New Roman" w:hAnsi="Times New Roman"/>
                <w:webHidden/>
                <w:sz w:val="22"/>
                <w:szCs w:val="24"/>
              </w:rPr>
              <w:fldChar w:fldCharType="end"/>
            </w:r>
          </w:hyperlink>
        </w:p>
        <w:p w14:paraId="45C085F1" w14:textId="5BF4B9D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81" w:history="1">
            <w:r w:rsidR="002B5F6B" w:rsidRPr="00A160B9">
              <w:rPr>
                <w:rStyle w:val="aff0"/>
                <w:rFonts w:ascii="Times New Roman" w:hAnsi="Times New Roman"/>
                <w:noProof/>
                <w:sz w:val="22"/>
                <w:szCs w:val="24"/>
              </w:rPr>
              <w:t>《企业国有资产评估项目备案工作指引》（国资发产权〔</w:t>
            </w:r>
            <w:r w:rsidR="002B5F6B" w:rsidRPr="00A160B9">
              <w:rPr>
                <w:rStyle w:val="aff0"/>
                <w:rFonts w:ascii="Times New Roman" w:hAnsi="Times New Roman"/>
                <w:noProof/>
                <w:sz w:val="22"/>
                <w:szCs w:val="24"/>
              </w:rPr>
              <w:t>2013</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_Toc81833481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1288</w:t>
            </w:r>
            <w:r w:rsidR="002B5F6B" w:rsidRPr="00A160B9">
              <w:rPr>
                <w:rStyle w:val="aff0"/>
                <w:rFonts w:ascii="Times New Roman" w:hAnsi="Times New Roman"/>
                <w:webHidden/>
                <w:sz w:val="22"/>
                <w:szCs w:val="24"/>
              </w:rPr>
              <w:fldChar w:fldCharType="end"/>
            </w:r>
          </w:hyperlink>
        </w:p>
        <w:p w14:paraId="05DF3F1A" w14:textId="3177B70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82" w:history="1">
            <w:r w:rsidR="002B5F6B" w:rsidRPr="00A160B9">
              <w:rPr>
                <w:rStyle w:val="aff0"/>
                <w:rFonts w:ascii="Times New Roman" w:hAnsi="Times New Roman"/>
                <w:noProof/>
                <w:sz w:val="22"/>
                <w:szCs w:val="24"/>
              </w:rPr>
              <w:t>《上海市企业国有资产评估报告审核手册》沪国资委评估〔</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353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_Toc81833482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1295</w:t>
            </w:r>
            <w:r w:rsidR="002B5F6B" w:rsidRPr="00A160B9">
              <w:rPr>
                <w:rStyle w:val="aff0"/>
                <w:rFonts w:ascii="Times New Roman" w:hAnsi="Times New Roman"/>
                <w:webHidden/>
                <w:sz w:val="22"/>
                <w:szCs w:val="24"/>
              </w:rPr>
              <w:fldChar w:fldCharType="end"/>
            </w:r>
          </w:hyperlink>
        </w:p>
        <w:p w14:paraId="60848609" w14:textId="311AD9E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83" w:history="1">
            <w:r w:rsidR="002B5F6B" w:rsidRPr="00A160B9">
              <w:rPr>
                <w:rStyle w:val="aff0"/>
                <w:rFonts w:ascii="Times New Roman" w:hAnsi="Times New Roman"/>
                <w:noProof/>
                <w:sz w:val="22"/>
                <w:szCs w:val="24"/>
              </w:rPr>
              <w:t>《上海市企业国有资产评估报告专家评审工作指引》</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（沪国资委评估〔</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104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_Toc81833483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1311</w:t>
            </w:r>
            <w:r w:rsidR="002B5F6B" w:rsidRPr="00A160B9">
              <w:rPr>
                <w:rStyle w:val="aff0"/>
                <w:rFonts w:ascii="Times New Roman" w:hAnsi="Times New Roman"/>
                <w:webHidden/>
                <w:sz w:val="22"/>
                <w:szCs w:val="24"/>
              </w:rPr>
              <w:fldChar w:fldCharType="end"/>
            </w:r>
          </w:hyperlink>
        </w:p>
        <w:p w14:paraId="5716ECF2" w14:textId="70081C4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84" w:history="1">
            <w:r w:rsidR="002B5F6B" w:rsidRPr="00A160B9">
              <w:rPr>
                <w:rStyle w:val="aff0"/>
                <w:rFonts w:ascii="Times New Roman" w:hAnsi="Times New Roman"/>
                <w:noProof/>
                <w:sz w:val="22"/>
                <w:szCs w:val="24"/>
              </w:rPr>
              <w:t>《上海市企业国有资产评估核准备案操作手册》</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（沪国资委评估〔</w:t>
            </w:r>
            <w:r w:rsidR="002B5F6B" w:rsidRPr="00A160B9">
              <w:rPr>
                <w:rStyle w:val="aff0"/>
                <w:rFonts w:ascii="Times New Roman" w:hAnsi="Times New Roman"/>
                <w:noProof/>
                <w:sz w:val="22"/>
                <w:szCs w:val="24"/>
              </w:rPr>
              <w:t>2020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100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_Toc81833484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1320</w:t>
            </w:r>
            <w:r w:rsidR="002B5F6B" w:rsidRPr="00A160B9">
              <w:rPr>
                <w:rStyle w:val="aff0"/>
                <w:rFonts w:ascii="Times New Roman" w:hAnsi="Times New Roman"/>
                <w:webHidden/>
                <w:sz w:val="22"/>
                <w:szCs w:val="24"/>
              </w:rPr>
              <w:fldChar w:fldCharType="end"/>
            </w:r>
          </w:hyperlink>
        </w:p>
        <w:p w14:paraId="24F1346C" w14:textId="77777777" w:rsidR="00567A59" w:rsidRPr="00A160B9" w:rsidRDefault="00567A59" w:rsidP="00567A59">
          <w:pPr>
            <w:rPr>
              <w:rFonts w:ascii="Times New Roman" w:hAnsi="Times New Roman" w:cs="Times New Roman"/>
            </w:rPr>
          </w:pPr>
        </w:p>
        <w:p w14:paraId="258CEC6A" w14:textId="67CCBB6E"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85" w:history="1">
            <w:r w:rsidR="002B5F6B" w:rsidRPr="00A160B9">
              <w:rPr>
                <w:rStyle w:val="aff0"/>
                <w:b/>
                <w:bCs/>
                <w:noProof/>
                <w:sz w:val="24"/>
              </w:rPr>
              <w:t>山东省国资委</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_Toc81833485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1331</w:t>
            </w:r>
            <w:r w:rsidR="002B5F6B" w:rsidRPr="00A160B9">
              <w:rPr>
                <w:rStyle w:val="aff0"/>
                <w:b/>
                <w:bCs/>
                <w:noProof/>
                <w:webHidden/>
                <w:sz w:val="24"/>
              </w:rPr>
              <w:fldChar w:fldCharType="end"/>
            </w:r>
          </w:hyperlink>
        </w:p>
        <w:p w14:paraId="2A565296" w14:textId="7C981A1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86" w:history="1">
            <w:r w:rsidR="002B5F6B" w:rsidRPr="00A160B9">
              <w:rPr>
                <w:rStyle w:val="aff0"/>
                <w:rFonts w:ascii="Times New Roman" w:hAnsi="Times New Roman"/>
                <w:noProof/>
                <w:sz w:val="22"/>
                <w:szCs w:val="24"/>
              </w:rPr>
              <w:t>《关于对企业资产评估报告有异议另行委托中介机构复查的意见》</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（鲁国资产权〔</w:t>
            </w:r>
            <w:r w:rsidR="002B5F6B" w:rsidRPr="00A160B9">
              <w:rPr>
                <w:rStyle w:val="aff0"/>
                <w:rFonts w:ascii="Times New Roman" w:hAnsi="Times New Roman"/>
                <w:noProof/>
                <w:sz w:val="22"/>
                <w:szCs w:val="24"/>
              </w:rPr>
              <w:t>2004</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_Toc81833486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1331</w:t>
            </w:r>
            <w:r w:rsidR="002B5F6B" w:rsidRPr="00A160B9">
              <w:rPr>
                <w:rStyle w:val="aff0"/>
                <w:rFonts w:ascii="Times New Roman" w:hAnsi="Times New Roman"/>
                <w:webHidden/>
                <w:sz w:val="22"/>
                <w:szCs w:val="24"/>
              </w:rPr>
              <w:fldChar w:fldCharType="end"/>
            </w:r>
          </w:hyperlink>
        </w:p>
        <w:p w14:paraId="4CAB012F" w14:textId="09DF327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87" w:history="1">
            <w:r w:rsidR="002B5F6B" w:rsidRPr="00A160B9">
              <w:rPr>
                <w:rStyle w:val="aff0"/>
                <w:rFonts w:ascii="Times New Roman" w:hAnsi="Times New Roman"/>
                <w:noProof/>
                <w:sz w:val="22"/>
                <w:szCs w:val="24"/>
              </w:rPr>
              <w:t>《山东省国有产权交易管理办法》</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（根据</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年</w:t>
            </w:r>
            <w:r w:rsidR="002B5F6B" w:rsidRPr="00A160B9">
              <w:rPr>
                <w:rStyle w:val="aff0"/>
                <w:rFonts w:ascii="Times New Roman" w:hAnsi="Times New Roman"/>
                <w:noProof/>
                <w:sz w:val="22"/>
                <w:szCs w:val="24"/>
              </w:rPr>
              <w:t>7</w:t>
            </w:r>
            <w:r w:rsidR="002B5F6B" w:rsidRPr="00A160B9">
              <w:rPr>
                <w:rStyle w:val="aff0"/>
                <w:rFonts w:ascii="Times New Roman" w:hAnsi="Times New Roman"/>
                <w:noProof/>
                <w:sz w:val="22"/>
                <w:szCs w:val="24"/>
              </w:rPr>
              <w:t>月</w:t>
            </w:r>
            <w:r w:rsidR="002B5F6B" w:rsidRPr="00A160B9">
              <w:rPr>
                <w:rStyle w:val="aff0"/>
                <w:rFonts w:ascii="Times New Roman" w:hAnsi="Times New Roman"/>
                <w:noProof/>
                <w:sz w:val="22"/>
                <w:szCs w:val="24"/>
              </w:rPr>
              <w:t>20</w:t>
            </w:r>
            <w:r w:rsidR="002B5F6B" w:rsidRPr="00A160B9">
              <w:rPr>
                <w:rStyle w:val="aff0"/>
                <w:rFonts w:ascii="Times New Roman" w:hAnsi="Times New Roman"/>
                <w:noProof/>
                <w:sz w:val="22"/>
                <w:szCs w:val="24"/>
              </w:rPr>
              <w:t>日山东省人民政府令第</w:t>
            </w:r>
            <w:r w:rsidR="002B5F6B" w:rsidRPr="00A160B9">
              <w:rPr>
                <w:rStyle w:val="aff0"/>
                <w:rFonts w:ascii="Times New Roman" w:hAnsi="Times New Roman"/>
                <w:noProof/>
                <w:sz w:val="22"/>
                <w:szCs w:val="24"/>
              </w:rPr>
              <w:t>290</w:t>
            </w:r>
            <w:r w:rsidR="002B5F6B" w:rsidRPr="00A160B9">
              <w:rPr>
                <w:rStyle w:val="aff0"/>
                <w:rFonts w:ascii="Times New Roman" w:hAnsi="Times New Roman"/>
                <w:noProof/>
                <w:sz w:val="22"/>
                <w:szCs w:val="24"/>
              </w:rPr>
              <w:t>号修订）</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_Toc81833487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1333</w:t>
            </w:r>
            <w:r w:rsidR="002B5F6B" w:rsidRPr="00A160B9">
              <w:rPr>
                <w:rStyle w:val="aff0"/>
                <w:rFonts w:ascii="Times New Roman" w:hAnsi="Times New Roman"/>
                <w:webHidden/>
                <w:sz w:val="22"/>
                <w:szCs w:val="24"/>
              </w:rPr>
              <w:fldChar w:fldCharType="end"/>
            </w:r>
          </w:hyperlink>
        </w:p>
        <w:p w14:paraId="575946DB" w14:textId="7F73624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88" w:history="1">
            <w:r w:rsidR="002B5F6B" w:rsidRPr="00A160B9">
              <w:rPr>
                <w:rStyle w:val="aff0"/>
                <w:rFonts w:ascii="Times New Roman" w:hAnsi="Times New Roman"/>
                <w:noProof/>
                <w:sz w:val="22"/>
                <w:szCs w:val="24"/>
              </w:rPr>
              <w:t>《山东省国资委关于印发省属企业资产评估项目专家评审办法的通知》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（鲁国资产权〔</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_Toc81833488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1338</w:t>
            </w:r>
            <w:r w:rsidR="002B5F6B" w:rsidRPr="00A160B9">
              <w:rPr>
                <w:rStyle w:val="aff0"/>
                <w:rFonts w:ascii="Times New Roman" w:hAnsi="Times New Roman"/>
                <w:webHidden/>
                <w:sz w:val="22"/>
                <w:szCs w:val="24"/>
              </w:rPr>
              <w:fldChar w:fldCharType="end"/>
            </w:r>
          </w:hyperlink>
        </w:p>
        <w:p w14:paraId="17003726" w14:textId="5077D93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89" w:history="1">
            <w:r w:rsidR="002B5F6B" w:rsidRPr="00A160B9">
              <w:rPr>
                <w:rStyle w:val="aff0"/>
                <w:rFonts w:ascii="Times New Roman" w:hAnsi="Times New Roman"/>
                <w:noProof/>
                <w:sz w:val="22"/>
                <w:szCs w:val="24"/>
              </w:rPr>
              <w:t>《山东省国资委关于印发省属企业资产评估报告质量评价规则的通知》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（鲁国资产权字〔</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_Toc81833489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1341</w:t>
            </w:r>
            <w:r w:rsidR="002B5F6B" w:rsidRPr="00A160B9">
              <w:rPr>
                <w:rStyle w:val="aff0"/>
                <w:rFonts w:ascii="Times New Roman" w:hAnsi="Times New Roman"/>
                <w:webHidden/>
                <w:sz w:val="22"/>
                <w:szCs w:val="24"/>
              </w:rPr>
              <w:fldChar w:fldCharType="end"/>
            </w:r>
          </w:hyperlink>
        </w:p>
        <w:p w14:paraId="7E505C61" w14:textId="2506950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90" w:history="1">
            <w:r w:rsidR="002B5F6B" w:rsidRPr="00A160B9">
              <w:rPr>
                <w:rStyle w:val="aff0"/>
                <w:rFonts w:ascii="Times New Roman" w:hAnsi="Times New Roman"/>
                <w:noProof/>
                <w:sz w:val="22"/>
                <w:szCs w:val="24"/>
              </w:rPr>
              <w:t>《山东省省属企业资产评估管理工作指引》（鲁国资产权</w:t>
            </w:r>
            <w:r w:rsidR="002B5F6B" w:rsidRPr="00A160B9">
              <w:rPr>
                <w:rStyle w:val="aff0"/>
                <w:rFonts w:ascii="Times New Roman" w:hAnsi="Times New Roman"/>
                <w:noProof/>
                <w:sz w:val="22"/>
                <w:szCs w:val="24"/>
              </w:rPr>
              <w:t>[2018]1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_Toc81833490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1343</w:t>
            </w:r>
            <w:r w:rsidR="002B5F6B" w:rsidRPr="00A160B9">
              <w:rPr>
                <w:rStyle w:val="aff0"/>
                <w:rFonts w:ascii="Times New Roman" w:hAnsi="Times New Roman"/>
                <w:webHidden/>
                <w:sz w:val="22"/>
                <w:szCs w:val="24"/>
              </w:rPr>
              <w:fldChar w:fldCharType="end"/>
            </w:r>
          </w:hyperlink>
        </w:p>
        <w:p w14:paraId="6BF5028D" w14:textId="0C7CF64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91" w:history="1">
            <w:r w:rsidR="002B5F6B" w:rsidRPr="00A160B9">
              <w:rPr>
                <w:rStyle w:val="aff0"/>
                <w:rFonts w:ascii="Times New Roman" w:hAnsi="Times New Roman"/>
                <w:noProof/>
                <w:sz w:val="22"/>
                <w:szCs w:val="24"/>
              </w:rPr>
              <w:t>《济南市市属国有企业实物资产出租管理办法》（济国资发〔</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_Toc81833491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1368</w:t>
            </w:r>
            <w:r w:rsidR="002B5F6B" w:rsidRPr="00A160B9">
              <w:rPr>
                <w:rStyle w:val="aff0"/>
                <w:rFonts w:ascii="Times New Roman" w:hAnsi="Times New Roman"/>
                <w:webHidden/>
                <w:sz w:val="22"/>
                <w:szCs w:val="24"/>
              </w:rPr>
              <w:fldChar w:fldCharType="end"/>
            </w:r>
          </w:hyperlink>
        </w:p>
        <w:p w14:paraId="316FCB3E" w14:textId="7575A829"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492" w:history="1">
            <w:r w:rsidR="002B5F6B" w:rsidRPr="00A160B9">
              <w:rPr>
                <w:rStyle w:val="aff0"/>
                <w:b/>
                <w:bCs/>
                <w:noProof/>
                <w:sz w:val="24"/>
              </w:rPr>
              <w:t>浙江省国资委</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_Toc81833492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1372</w:t>
            </w:r>
            <w:r w:rsidR="002B5F6B" w:rsidRPr="00A160B9">
              <w:rPr>
                <w:rStyle w:val="aff0"/>
                <w:b/>
                <w:bCs/>
                <w:noProof/>
                <w:webHidden/>
                <w:sz w:val="24"/>
              </w:rPr>
              <w:fldChar w:fldCharType="end"/>
            </w:r>
          </w:hyperlink>
        </w:p>
        <w:p w14:paraId="28D4D248" w14:textId="3481E58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93" w:history="1">
            <w:r w:rsidR="002B5F6B" w:rsidRPr="00A160B9">
              <w:rPr>
                <w:rStyle w:val="aff0"/>
                <w:rFonts w:ascii="Times New Roman" w:hAnsi="Times New Roman"/>
                <w:noProof/>
                <w:sz w:val="22"/>
                <w:szCs w:val="24"/>
              </w:rPr>
              <w:t>《浙江省企业国有资产监督管理办法》（浙江省人民政府令第</w:t>
            </w:r>
            <w:r w:rsidR="002B5F6B" w:rsidRPr="00A160B9">
              <w:rPr>
                <w:rStyle w:val="aff0"/>
                <w:rFonts w:ascii="Times New Roman" w:hAnsi="Times New Roman"/>
                <w:noProof/>
                <w:sz w:val="22"/>
                <w:szCs w:val="24"/>
              </w:rPr>
              <w:t>311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_Toc81833493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1372</w:t>
            </w:r>
            <w:r w:rsidR="002B5F6B" w:rsidRPr="00A160B9">
              <w:rPr>
                <w:rStyle w:val="aff0"/>
                <w:rFonts w:ascii="Times New Roman" w:hAnsi="Times New Roman"/>
                <w:webHidden/>
                <w:sz w:val="22"/>
                <w:szCs w:val="24"/>
              </w:rPr>
              <w:fldChar w:fldCharType="end"/>
            </w:r>
          </w:hyperlink>
        </w:p>
        <w:p w14:paraId="0793D5F2" w14:textId="08B2497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94" w:history="1">
            <w:r w:rsidR="002B5F6B" w:rsidRPr="00A160B9">
              <w:rPr>
                <w:rStyle w:val="aff0"/>
                <w:rFonts w:ascii="Times New Roman" w:hAnsi="Times New Roman"/>
                <w:noProof/>
                <w:sz w:val="22"/>
                <w:szCs w:val="24"/>
              </w:rPr>
              <w:t>《浙江省省属国有企业投资监督管理暂行办法》</w:t>
            </w:r>
            <w:r w:rsidR="002B5F6B" w:rsidRPr="00A160B9">
              <w:rPr>
                <w:rStyle w:val="aff0"/>
                <w:rFonts w:ascii="Times New Roman" w:hAnsi="Times New Roman"/>
                <w:noProof/>
                <w:sz w:val="22"/>
                <w:szCs w:val="24"/>
              </w:rPr>
              <w:t xml:space="preserve"> </w:t>
            </w:r>
            <w:r w:rsidR="002B5F6B" w:rsidRPr="00A160B9">
              <w:rPr>
                <w:rStyle w:val="aff0"/>
                <w:rFonts w:ascii="Times New Roman" w:hAnsi="Times New Roman"/>
                <w:noProof/>
                <w:sz w:val="22"/>
                <w:szCs w:val="24"/>
              </w:rPr>
              <w:t>（浙国资发〔</w:t>
            </w:r>
            <w:r w:rsidR="002B5F6B" w:rsidRPr="00A160B9">
              <w:rPr>
                <w:rStyle w:val="aff0"/>
                <w:rFonts w:ascii="Times New Roman" w:hAnsi="Times New Roman"/>
                <w:noProof/>
                <w:sz w:val="22"/>
                <w:szCs w:val="24"/>
              </w:rPr>
              <w:t>2010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_Toc81833494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1378</w:t>
            </w:r>
            <w:r w:rsidR="002B5F6B" w:rsidRPr="00A160B9">
              <w:rPr>
                <w:rStyle w:val="aff0"/>
                <w:rFonts w:ascii="Times New Roman" w:hAnsi="Times New Roman"/>
                <w:webHidden/>
                <w:sz w:val="22"/>
                <w:szCs w:val="24"/>
              </w:rPr>
              <w:fldChar w:fldCharType="end"/>
            </w:r>
          </w:hyperlink>
        </w:p>
        <w:p w14:paraId="4D836AD2" w14:textId="186FC02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95" w:history="1">
            <w:r w:rsidR="002B5F6B" w:rsidRPr="00A160B9">
              <w:rPr>
                <w:rStyle w:val="aff0"/>
                <w:rFonts w:ascii="Times New Roman" w:hAnsi="Times New Roman"/>
                <w:noProof/>
                <w:sz w:val="22"/>
                <w:szCs w:val="24"/>
              </w:rPr>
              <w:t>《浙江省国资委委托资产评估管理办法》（浙国资发〔</w:t>
            </w:r>
            <w:r w:rsidR="002B5F6B" w:rsidRPr="00A160B9">
              <w:rPr>
                <w:rStyle w:val="aff0"/>
                <w:rFonts w:ascii="Times New Roman" w:hAnsi="Times New Roman"/>
                <w:noProof/>
                <w:sz w:val="22"/>
                <w:szCs w:val="24"/>
              </w:rPr>
              <w:t>2011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_Toc81833495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1384</w:t>
            </w:r>
            <w:r w:rsidR="002B5F6B" w:rsidRPr="00A160B9">
              <w:rPr>
                <w:rStyle w:val="aff0"/>
                <w:rFonts w:ascii="Times New Roman" w:hAnsi="Times New Roman"/>
                <w:webHidden/>
                <w:sz w:val="22"/>
                <w:szCs w:val="24"/>
              </w:rPr>
              <w:fldChar w:fldCharType="end"/>
            </w:r>
          </w:hyperlink>
        </w:p>
        <w:p w14:paraId="45A5E630" w14:textId="0E55AD3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96" w:history="1">
            <w:r w:rsidR="002B5F6B" w:rsidRPr="00A160B9">
              <w:rPr>
                <w:rStyle w:val="aff0"/>
                <w:rFonts w:ascii="Times New Roman" w:hAnsi="Times New Roman"/>
                <w:noProof/>
                <w:sz w:val="22"/>
                <w:szCs w:val="24"/>
              </w:rPr>
              <w:t>《浙江省省属企业国有资产评估管理暂行办法》（浙国资发〔</w:t>
            </w:r>
            <w:r w:rsidR="002B5F6B" w:rsidRPr="00A160B9">
              <w:rPr>
                <w:rStyle w:val="aff0"/>
                <w:rFonts w:ascii="Times New Roman" w:hAnsi="Times New Roman"/>
                <w:noProof/>
                <w:sz w:val="22"/>
                <w:szCs w:val="24"/>
              </w:rPr>
              <w:t>2011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_Toc81833496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1388</w:t>
            </w:r>
            <w:r w:rsidR="002B5F6B" w:rsidRPr="00A160B9">
              <w:rPr>
                <w:rStyle w:val="aff0"/>
                <w:rFonts w:ascii="Times New Roman" w:hAnsi="Times New Roman"/>
                <w:webHidden/>
                <w:sz w:val="22"/>
                <w:szCs w:val="24"/>
              </w:rPr>
              <w:fldChar w:fldCharType="end"/>
            </w:r>
          </w:hyperlink>
        </w:p>
        <w:p w14:paraId="087C887F" w14:textId="06D8BA9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97" w:history="1">
            <w:r w:rsidR="002B5F6B" w:rsidRPr="00A160B9">
              <w:rPr>
                <w:rStyle w:val="aff0"/>
                <w:rFonts w:ascii="Times New Roman" w:hAnsi="Times New Roman"/>
                <w:noProof/>
                <w:sz w:val="22"/>
                <w:szCs w:val="24"/>
              </w:rPr>
              <w:t>《浙江省省属企业重大国有资产评估项目专家评审试行办法》</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（浙国资发〔</w:t>
            </w:r>
            <w:r w:rsidR="002B5F6B" w:rsidRPr="00A160B9">
              <w:rPr>
                <w:rStyle w:val="aff0"/>
                <w:rFonts w:ascii="Times New Roman" w:hAnsi="Times New Roman"/>
                <w:noProof/>
                <w:sz w:val="22"/>
                <w:szCs w:val="24"/>
              </w:rPr>
              <w:t>2011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_Toc81833497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1396</w:t>
            </w:r>
            <w:r w:rsidR="002B5F6B" w:rsidRPr="00A160B9">
              <w:rPr>
                <w:rStyle w:val="aff0"/>
                <w:rFonts w:ascii="Times New Roman" w:hAnsi="Times New Roman"/>
                <w:webHidden/>
                <w:sz w:val="22"/>
                <w:szCs w:val="24"/>
              </w:rPr>
              <w:fldChar w:fldCharType="end"/>
            </w:r>
          </w:hyperlink>
        </w:p>
        <w:p w14:paraId="2C8D276F" w14:textId="4E4A44A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98" w:history="1">
            <w:r w:rsidR="002B5F6B" w:rsidRPr="00A160B9">
              <w:rPr>
                <w:rStyle w:val="aff0"/>
                <w:rFonts w:ascii="Times New Roman" w:hAnsi="Times New Roman"/>
                <w:noProof/>
                <w:sz w:val="22"/>
                <w:szCs w:val="24"/>
              </w:rPr>
              <w:t>《浙江省省属国有企业并购监督管理暂行办法》（浙国资发〔</w:t>
            </w:r>
            <w:r w:rsidR="002B5F6B" w:rsidRPr="00A160B9">
              <w:rPr>
                <w:rStyle w:val="aff0"/>
                <w:rFonts w:ascii="Times New Roman" w:hAnsi="Times New Roman"/>
                <w:noProof/>
                <w:sz w:val="22"/>
                <w:szCs w:val="24"/>
              </w:rPr>
              <w:t>2012</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_Toc81833498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1399</w:t>
            </w:r>
            <w:r w:rsidR="002B5F6B" w:rsidRPr="00A160B9">
              <w:rPr>
                <w:rStyle w:val="aff0"/>
                <w:rFonts w:ascii="Times New Roman" w:hAnsi="Times New Roman"/>
                <w:webHidden/>
                <w:sz w:val="22"/>
                <w:szCs w:val="24"/>
              </w:rPr>
              <w:fldChar w:fldCharType="end"/>
            </w:r>
          </w:hyperlink>
        </w:p>
        <w:p w14:paraId="3E2EA91D" w14:textId="400DDBA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499" w:history="1">
            <w:r w:rsidR="002B5F6B" w:rsidRPr="00A160B9">
              <w:rPr>
                <w:rStyle w:val="aff0"/>
                <w:rFonts w:ascii="Times New Roman" w:hAnsi="Times New Roman"/>
                <w:noProof/>
                <w:sz w:val="22"/>
                <w:szCs w:val="24"/>
              </w:rPr>
              <w:t>《浙江省省属国有企业重大资产处置监督管理暂行办法》</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（浙国资发〔</w:t>
            </w:r>
            <w:r w:rsidR="002B5F6B" w:rsidRPr="00A160B9">
              <w:rPr>
                <w:rStyle w:val="aff0"/>
                <w:rFonts w:ascii="Times New Roman" w:hAnsi="Times New Roman"/>
                <w:noProof/>
                <w:sz w:val="22"/>
                <w:szCs w:val="24"/>
              </w:rPr>
              <w:t>2013</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_Toc81833499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1405</w:t>
            </w:r>
            <w:r w:rsidR="002B5F6B" w:rsidRPr="00A160B9">
              <w:rPr>
                <w:rStyle w:val="aff0"/>
                <w:rFonts w:ascii="Times New Roman" w:hAnsi="Times New Roman"/>
                <w:webHidden/>
                <w:sz w:val="22"/>
                <w:szCs w:val="24"/>
              </w:rPr>
              <w:fldChar w:fldCharType="end"/>
            </w:r>
          </w:hyperlink>
        </w:p>
        <w:p w14:paraId="1F1A8492" w14:textId="12C3DB5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00" w:history="1">
            <w:r w:rsidR="002B5F6B" w:rsidRPr="00A160B9">
              <w:rPr>
                <w:rStyle w:val="aff0"/>
                <w:rFonts w:ascii="Times New Roman" w:hAnsi="Times New Roman"/>
                <w:noProof/>
                <w:sz w:val="22"/>
                <w:szCs w:val="24"/>
              </w:rPr>
              <w:t>《浙江省国资委关于规范省属企业上市工作中介机构选择与管理的意见》</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（浙国资发（</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_Toc81833500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1409</w:t>
            </w:r>
            <w:r w:rsidR="002B5F6B" w:rsidRPr="00A160B9">
              <w:rPr>
                <w:rStyle w:val="aff0"/>
                <w:rFonts w:ascii="Times New Roman" w:hAnsi="Times New Roman"/>
                <w:webHidden/>
                <w:sz w:val="22"/>
                <w:szCs w:val="24"/>
              </w:rPr>
              <w:fldChar w:fldCharType="end"/>
            </w:r>
          </w:hyperlink>
        </w:p>
        <w:p w14:paraId="575C9002" w14:textId="6C04ED1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01" w:history="1">
            <w:r w:rsidR="002B5F6B" w:rsidRPr="00A160B9">
              <w:rPr>
                <w:rStyle w:val="aff0"/>
                <w:rFonts w:ascii="Times New Roman" w:hAnsi="Times New Roman"/>
                <w:noProof/>
                <w:sz w:val="22"/>
                <w:szCs w:val="24"/>
              </w:rPr>
              <w:t>《浙江省国资委关于加强省属企业上市公司管理有关事项的通知》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（浙国资产权〔</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_Toc81833501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1411</w:t>
            </w:r>
            <w:r w:rsidR="002B5F6B" w:rsidRPr="00A160B9">
              <w:rPr>
                <w:rStyle w:val="aff0"/>
                <w:rFonts w:ascii="Times New Roman" w:hAnsi="Times New Roman"/>
                <w:webHidden/>
                <w:sz w:val="22"/>
                <w:szCs w:val="24"/>
              </w:rPr>
              <w:fldChar w:fldCharType="end"/>
            </w:r>
          </w:hyperlink>
        </w:p>
        <w:p w14:paraId="150D74B2" w14:textId="1ABE4A5F"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02" w:history="1">
            <w:r w:rsidR="002B5F6B" w:rsidRPr="00A160B9">
              <w:rPr>
                <w:rStyle w:val="aff0"/>
                <w:b/>
                <w:bCs/>
                <w:noProof/>
                <w:sz w:val="24"/>
              </w:rPr>
              <w:t>证券类业务</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_Toc81833502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1413</w:t>
            </w:r>
            <w:r w:rsidR="002B5F6B" w:rsidRPr="00A160B9">
              <w:rPr>
                <w:rStyle w:val="aff0"/>
                <w:b/>
                <w:bCs/>
                <w:noProof/>
                <w:webHidden/>
                <w:sz w:val="24"/>
              </w:rPr>
              <w:fldChar w:fldCharType="end"/>
            </w:r>
          </w:hyperlink>
        </w:p>
        <w:p w14:paraId="40428D95" w14:textId="2690BC4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03" w:history="1">
            <w:r w:rsidR="002B5F6B" w:rsidRPr="00A160B9">
              <w:rPr>
                <w:rStyle w:val="aff0"/>
                <w:rFonts w:ascii="Times New Roman" w:hAnsi="Times New Roman"/>
                <w:noProof/>
                <w:sz w:val="22"/>
                <w:szCs w:val="24"/>
              </w:rPr>
              <w:t>《上市公司证券发行管理办法》（证监会令第</w:t>
            </w:r>
            <w:r w:rsidR="002B5F6B" w:rsidRPr="00A160B9">
              <w:rPr>
                <w:rStyle w:val="aff0"/>
                <w:rFonts w:ascii="Times New Roman" w:hAnsi="Times New Roman"/>
                <w:noProof/>
                <w:sz w:val="22"/>
                <w:szCs w:val="24"/>
              </w:rPr>
              <w:t>30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_Toc81833503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1413</w:t>
            </w:r>
            <w:r w:rsidR="002B5F6B" w:rsidRPr="00A160B9">
              <w:rPr>
                <w:rStyle w:val="aff0"/>
                <w:rFonts w:ascii="Times New Roman" w:hAnsi="Times New Roman"/>
                <w:webHidden/>
                <w:sz w:val="22"/>
                <w:szCs w:val="24"/>
              </w:rPr>
              <w:fldChar w:fldCharType="end"/>
            </w:r>
          </w:hyperlink>
        </w:p>
        <w:p w14:paraId="543E5A74" w14:textId="712AC0C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04" w:history="1">
            <w:r w:rsidR="002B5F6B" w:rsidRPr="00A160B9">
              <w:rPr>
                <w:rStyle w:val="aff0"/>
                <w:rFonts w:ascii="Times New Roman" w:hAnsi="Times New Roman"/>
                <w:noProof/>
                <w:sz w:val="22"/>
                <w:szCs w:val="24"/>
              </w:rPr>
              <w:t>《首次公开发行股票并上市管理办法》（证监会令第</w:t>
            </w:r>
            <w:r w:rsidR="002B5F6B" w:rsidRPr="00A160B9">
              <w:rPr>
                <w:rStyle w:val="aff0"/>
                <w:rFonts w:ascii="Times New Roman" w:hAnsi="Times New Roman"/>
                <w:noProof/>
                <w:sz w:val="22"/>
                <w:szCs w:val="24"/>
              </w:rPr>
              <w:t>32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_Toc81833504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1413</w:t>
            </w:r>
            <w:r w:rsidR="002B5F6B" w:rsidRPr="00A160B9">
              <w:rPr>
                <w:rStyle w:val="aff0"/>
                <w:rFonts w:ascii="Times New Roman" w:hAnsi="Times New Roman"/>
                <w:webHidden/>
                <w:sz w:val="22"/>
                <w:szCs w:val="24"/>
              </w:rPr>
              <w:fldChar w:fldCharType="end"/>
            </w:r>
          </w:hyperlink>
        </w:p>
        <w:p w14:paraId="7720FF5C" w14:textId="2127FC7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05" w:history="1">
            <w:r w:rsidR="002B5F6B" w:rsidRPr="00A160B9">
              <w:rPr>
                <w:rStyle w:val="aff0"/>
                <w:rFonts w:ascii="Times New Roman" w:hAnsi="Times New Roman"/>
                <w:noProof/>
                <w:sz w:val="22"/>
                <w:szCs w:val="24"/>
              </w:rPr>
              <w:t>《关于从事证券期货相关业务的资产评估机构有关管理问题的通知》</w:t>
            </w:r>
            <w:r w:rsidR="0052367A" w:rsidRPr="00A160B9">
              <w:rPr>
                <w:rStyle w:val="aff0"/>
                <w:rFonts w:ascii="Times New Roman" w:hAnsi="Times New Roman"/>
                <w:noProof/>
                <w:sz w:val="22"/>
                <w:szCs w:val="24"/>
              </w:rPr>
              <w:br/>
            </w:r>
            <w:r w:rsidR="0052367A" w:rsidRPr="00A160B9">
              <w:rPr>
                <w:rStyle w:val="aff0"/>
                <w:rFonts w:ascii="Times New Roman" w:hAnsi="Times New Roman"/>
                <w:noProof/>
                <w:sz w:val="22"/>
                <w:szCs w:val="24"/>
              </w:rPr>
              <w:t>（财企〔</w:t>
            </w:r>
            <w:r w:rsidR="0052367A" w:rsidRPr="00A160B9">
              <w:rPr>
                <w:rStyle w:val="aff0"/>
                <w:rFonts w:ascii="Times New Roman" w:hAnsi="Times New Roman"/>
                <w:noProof/>
                <w:sz w:val="22"/>
                <w:szCs w:val="24"/>
              </w:rPr>
              <w:t>2008</w:t>
            </w:r>
            <w:r w:rsidR="0052367A" w:rsidRPr="00A160B9">
              <w:rPr>
                <w:rStyle w:val="aff0"/>
                <w:rFonts w:ascii="Times New Roman" w:hAnsi="Times New Roman"/>
                <w:noProof/>
                <w:sz w:val="22"/>
                <w:szCs w:val="24"/>
              </w:rPr>
              <w:t>〕</w:t>
            </w:r>
            <w:r w:rsidR="0052367A" w:rsidRPr="00A160B9">
              <w:rPr>
                <w:rStyle w:val="aff0"/>
                <w:rFonts w:ascii="Times New Roman" w:hAnsi="Times New Roman"/>
                <w:noProof/>
                <w:sz w:val="22"/>
                <w:szCs w:val="24"/>
              </w:rPr>
              <w:t>81</w:t>
            </w:r>
            <w:r w:rsidR="0052367A"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_Toc81833505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1414</w:t>
            </w:r>
            <w:r w:rsidR="002B5F6B" w:rsidRPr="00A160B9">
              <w:rPr>
                <w:rStyle w:val="aff0"/>
                <w:rFonts w:ascii="Times New Roman" w:hAnsi="Times New Roman"/>
                <w:webHidden/>
                <w:sz w:val="22"/>
                <w:szCs w:val="24"/>
              </w:rPr>
              <w:fldChar w:fldCharType="end"/>
            </w:r>
          </w:hyperlink>
        </w:p>
        <w:p w14:paraId="47F169DA" w14:textId="382F79A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06" w:history="1">
            <w:r w:rsidR="002B5F6B" w:rsidRPr="00A160B9">
              <w:rPr>
                <w:rStyle w:val="aff0"/>
                <w:rFonts w:ascii="Times New Roman" w:hAnsi="Times New Roman"/>
                <w:noProof/>
                <w:sz w:val="22"/>
                <w:szCs w:val="24"/>
              </w:rPr>
              <w:t>《关于加强证券评估机构后续管理有关问题的通知》（财企〔</w:t>
            </w:r>
            <w:r w:rsidR="002B5F6B" w:rsidRPr="00A160B9">
              <w:rPr>
                <w:rStyle w:val="aff0"/>
                <w:rFonts w:ascii="Times New Roman" w:hAnsi="Times New Roman"/>
                <w:noProof/>
                <w:sz w:val="22"/>
                <w:szCs w:val="24"/>
              </w:rPr>
              <w:t>2009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235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_Toc81833506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1419</w:t>
            </w:r>
            <w:r w:rsidR="002B5F6B" w:rsidRPr="00A160B9">
              <w:rPr>
                <w:rStyle w:val="aff0"/>
                <w:rFonts w:ascii="Times New Roman" w:hAnsi="Times New Roman"/>
                <w:webHidden/>
                <w:sz w:val="22"/>
                <w:szCs w:val="24"/>
              </w:rPr>
              <w:fldChar w:fldCharType="end"/>
            </w:r>
          </w:hyperlink>
        </w:p>
        <w:p w14:paraId="1376ACBC" w14:textId="6F7FA51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07" w:history="1">
            <w:r w:rsidR="002B5F6B" w:rsidRPr="00A160B9">
              <w:rPr>
                <w:rStyle w:val="aff0"/>
                <w:rFonts w:ascii="Times New Roman" w:hAnsi="Times New Roman"/>
                <w:noProof/>
                <w:sz w:val="22"/>
                <w:szCs w:val="24"/>
              </w:rPr>
              <w:t>《证券法（</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年修订）》有关资产评估的规定</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_Toc81833507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1423</w:t>
            </w:r>
            <w:r w:rsidR="002B5F6B" w:rsidRPr="00A160B9">
              <w:rPr>
                <w:rStyle w:val="aff0"/>
                <w:rFonts w:ascii="Times New Roman" w:hAnsi="Times New Roman"/>
                <w:webHidden/>
                <w:sz w:val="22"/>
                <w:szCs w:val="24"/>
              </w:rPr>
              <w:fldChar w:fldCharType="end"/>
            </w:r>
          </w:hyperlink>
        </w:p>
        <w:p w14:paraId="4ACD6849" w14:textId="604E9184"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08" w:history="1">
            <w:r w:rsidR="002B5F6B" w:rsidRPr="00A160B9">
              <w:rPr>
                <w:rStyle w:val="aff0"/>
                <w:b/>
                <w:bCs/>
                <w:noProof/>
                <w:sz w:val="24"/>
              </w:rPr>
              <w:t>重大资产重组</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_Toc81833508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1429</w:t>
            </w:r>
            <w:r w:rsidR="002B5F6B" w:rsidRPr="00A160B9">
              <w:rPr>
                <w:rStyle w:val="aff0"/>
                <w:b/>
                <w:bCs/>
                <w:noProof/>
                <w:webHidden/>
                <w:sz w:val="24"/>
              </w:rPr>
              <w:fldChar w:fldCharType="end"/>
            </w:r>
          </w:hyperlink>
        </w:p>
        <w:p w14:paraId="45269701" w14:textId="1CB9A72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09" w:history="1">
            <w:r w:rsidR="002B5F6B" w:rsidRPr="00A160B9">
              <w:rPr>
                <w:rStyle w:val="aff0"/>
                <w:rFonts w:ascii="Times New Roman" w:hAnsi="Times New Roman"/>
                <w:noProof/>
                <w:sz w:val="22"/>
                <w:szCs w:val="24"/>
              </w:rPr>
              <w:t>《上市公司并购重组财务顾问业务管理办法》（证监会令第</w:t>
            </w:r>
            <w:r w:rsidR="002B5F6B" w:rsidRPr="00A160B9">
              <w:rPr>
                <w:rStyle w:val="aff0"/>
                <w:rFonts w:ascii="Times New Roman" w:hAnsi="Times New Roman"/>
                <w:noProof/>
                <w:sz w:val="22"/>
                <w:szCs w:val="24"/>
              </w:rPr>
              <w:t>54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_Toc81833509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1429</w:t>
            </w:r>
            <w:r w:rsidR="002B5F6B" w:rsidRPr="00A160B9">
              <w:rPr>
                <w:rStyle w:val="aff0"/>
                <w:rFonts w:ascii="Times New Roman" w:hAnsi="Times New Roman"/>
                <w:webHidden/>
                <w:sz w:val="22"/>
                <w:szCs w:val="24"/>
              </w:rPr>
              <w:fldChar w:fldCharType="end"/>
            </w:r>
          </w:hyperlink>
        </w:p>
        <w:p w14:paraId="747BDD13" w14:textId="505520D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0" w:history="1">
            <w:r w:rsidR="002B5F6B" w:rsidRPr="00A160B9">
              <w:rPr>
                <w:rStyle w:val="aff0"/>
                <w:rFonts w:ascii="Times New Roman" w:hAnsi="Times New Roman"/>
                <w:noProof/>
                <w:sz w:val="22"/>
                <w:szCs w:val="24"/>
              </w:rPr>
              <w:t>上市公司重大资产重组房地产业务评估审核要点指引</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1429</w:t>
            </w:r>
            <w:r w:rsidR="002B5F6B" w:rsidRPr="00A160B9">
              <w:rPr>
                <w:rStyle w:val="aff0"/>
                <w:rFonts w:ascii="Times New Roman" w:hAnsi="Times New Roman"/>
                <w:webHidden/>
                <w:sz w:val="22"/>
                <w:szCs w:val="24"/>
              </w:rPr>
              <w:fldChar w:fldCharType="end"/>
            </w:r>
          </w:hyperlink>
        </w:p>
        <w:p w14:paraId="4EDD0854" w14:textId="64CBCF0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1" w:history="1">
            <w:r w:rsidR="002B5F6B" w:rsidRPr="00A160B9">
              <w:rPr>
                <w:rStyle w:val="aff0"/>
                <w:rFonts w:ascii="Times New Roman" w:hAnsi="Times New Roman"/>
                <w:noProof/>
                <w:sz w:val="22"/>
                <w:szCs w:val="24"/>
              </w:rPr>
              <w:t>中小企业板信息披露业务备忘录第</w:t>
            </w:r>
            <w:r w:rsidR="002B5F6B" w:rsidRPr="00A160B9">
              <w:rPr>
                <w:rStyle w:val="aff0"/>
                <w:rFonts w:ascii="Times New Roman" w:hAnsi="Times New Roman"/>
                <w:noProof/>
                <w:sz w:val="22"/>
                <w:szCs w:val="24"/>
              </w:rPr>
              <w:t>22</w:t>
            </w:r>
            <w:r w:rsidR="002B5F6B" w:rsidRPr="00A160B9">
              <w:rPr>
                <w:rStyle w:val="aff0"/>
                <w:rFonts w:ascii="Times New Roman" w:hAnsi="Times New Roman"/>
                <w:noProof/>
                <w:sz w:val="22"/>
                <w:szCs w:val="24"/>
              </w:rPr>
              <w:t>号：重大资产重组（五）</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资产评估相关信息披露</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1432</w:t>
            </w:r>
            <w:r w:rsidR="002B5F6B" w:rsidRPr="00A160B9">
              <w:rPr>
                <w:rStyle w:val="aff0"/>
                <w:rFonts w:ascii="Times New Roman" w:hAnsi="Times New Roman"/>
                <w:webHidden/>
                <w:sz w:val="22"/>
                <w:szCs w:val="24"/>
              </w:rPr>
              <w:fldChar w:fldCharType="end"/>
            </w:r>
          </w:hyperlink>
        </w:p>
        <w:p w14:paraId="1095640C" w14:textId="2DA054A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2" w:history="1">
            <w:r w:rsidR="002B5F6B" w:rsidRPr="00A160B9">
              <w:rPr>
                <w:rStyle w:val="aff0"/>
                <w:rFonts w:ascii="Times New Roman" w:hAnsi="Times New Roman"/>
                <w:noProof/>
                <w:sz w:val="22"/>
                <w:szCs w:val="24"/>
              </w:rPr>
              <w:t>重大资产重组的关注要点（证监会）</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1435</w:t>
            </w:r>
            <w:r w:rsidR="002B5F6B" w:rsidRPr="00A160B9">
              <w:rPr>
                <w:rStyle w:val="aff0"/>
                <w:rFonts w:ascii="Times New Roman" w:hAnsi="Times New Roman"/>
                <w:webHidden/>
                <w:sz w:val="22"/>
                <w:szCs w:val="24"/>
              </w:rPr>
              <w:fldChar w:fldCharType="end"/>
            </w:r>
          </w:hyperlink>
        </w:p>
        <w:p w14:paraId="4E2BD88E" w14:textId="49D0872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3" w:history="1">
            <w:r w:rsidR="002B5F6B" w:rsidRPr="00A160B9">
              <w:rPr>
                <w:rStyle w:val="aff0"/>
                <w:rFonts w:ascii="Times New Roman" w:hAnsi="Times New Roman"/>
                <w:noProof/>
                <w:sz w:val="22"/>
                <w:szCs w:val="24"/>
              </w:rPr>
              <w:t>证监会关于收购和重大资产重组常见问题解答（摘编）</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1446</w:t>
            </w:r>
            <w:r w:rsidR="002B5F6B" w:rsidRPr="00A160B9">
              <w:rPr>
                <w:rStyle w:val="aff0"/>
                <w:rFonts w:ascii="Times New Roman" w:hAnsi="Times New Roman"/>
                <w:webHidden/>
                <w:sz w:val="22"/>
                <w:szCs w:val="24"/>
              </w:rPr>
              <w:fldChar w:fldCharType="end"/>
            </w:r>
          </w:hyperlink>
        </w:p>
        <w:p w14:paraId="031FA245" w14:textId="6952877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4" w:history="1">
            <w:r w:rsidR="002B5F6B" w:rsidRPr="00A160B9">
              <w:rPr>
                <w:rStyle w:val="aff0"/>
                <w:rFonts w:ascii="Times New Roman" w:hAnsi="Times New Roman"/>
                <w:noProof/>
                <w:sz w:val="22"/>
                <w:szCs w:val="24"/>
              </w:rPr>
              <w:t>《关于企业重组有关职工安置费用财务管理问题的通知》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（财企〔</w:t>
            </w:r>
            <w:r w:rsidR="002B5F6B" w:rsidRPr="00A160B9">
              <w:rPr>
                <w:rStyle w:val="aff0"/>
                <w:rFonts w:ascii="Times New Roman" w:hAnsi="Times New Roman"/>
                <w:noProof/>
                <w:sz w:val="22"/>
                <w:szCs w:val="24"/>
              </w:rPr>
              <w:t>2009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117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1451</w:t>
            </w:r>
            <w:r w:rsidR="002B5F6B" w:rsidRPr="00A160B9">
              <w:rPr>
                <w:rStyle w:val="aff0"/>
                <w:rFonts w:ascii="Times New Roman" w:hAnsi="Times New Roman"/>
                <w:webHidden/>
                <w:sz w:val="22"/>
                <w:szCs w:val="24"/>
              </w:rPr>
              <w:fldChar w:fldCharType="end"/>
            </w:r>
          </w:hyperlink>
        </w:p>
        <w:p w14:paraId="6FA0ED02" w14:textId="7032698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5" w:history="1">
            <w:r w:rsidR="002B5F6B" w:rsidRPr="00A160B9">
              <w:rPr>
                <w:rStyle w:val="aff0"/>
                <w:rFonts w:ascii="Times New Roman" w:hAnsi="Times New Roman"/>
                <w:noProof/>
                <w:sz w:val="22"/>
                <w:szCs w:val="24"/>
              </w:rPr>
              <w:t>《国务院关于促进企业兼并重组的意见》（国发〔</w:t>
            </w:r>
            <w:r w:rsidR="002B5F6B" w:rsidRPr="00A160B9">
              <w:rPr>
                <w:rStyle w:val="aff0"/>
                <w:rFonts w:ascii="Times New Roman" w:hAnsi="Times New Roman"/>
                <w:noProof/>
                <w:sz w:val="22"/>
                <w:szCs w:val="24"/>
              </w:rPr>
              <w:t>2010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1451</w:t>
            </w:r>
            <w:r w:rsidR="002B5F6B" w:rsidRPr="00A160B9">
              <w:rPr>
                <w:rStyle w:val="aff0"/>
                <w:rFonts w:ascii="Times New Roman" w:hAnsi="Times New Roman"/>
                <w:webHidden/>
                <w:sz w:val="22"/>
                <w:szCs w:val="24"/>
              </w:rPr>
              <w:fldChar w:fldCharType="end"/>
            </w:r>
          </w:hyperlink>
        </w:p>
        <w:p w14:paraId="0BB14B8F" w14:textId="1E99411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6" w:history="1">
            <w:r w:rsidR="002B5F6B" w:rsidRPr="00A160B9">
              <w:rPr>
                <w:rStyle w:val="aff0"/>
                <w:rFonts w:ascii="Times New Roman" w:hAnsi="Times New Roman"/>
                <w:noProof/>
                <w:sz w:val="22"/>
                <w:szCs w:val="24"/>
              </w:rPr>
              <w:t>上交所：上市公司重大资产重组信息披露工作备忘录（第六号）：</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资产评估相关信息披露（</w:t>
            </w:r>
            <w:r w:rsidR="002B5F6B" w:rsidRPr="00A160B9">
              <w:rPr>
                <w:rStyle w:val="aff0"/>
                <w:rFonts w:ascii="Times New Roman" w:hAnsi="Times New Roman"/>
                <w:noProof/>
                <w:sz w:val="22"/>
                <w:szCs w:val="24"/>
              </w:rPr>
              <w:t>2012</w:t>
            </w:r>
            <w:r w:rsidR="002B5F6B" w:rsidRPr="00A160B9">
              <w:rPr>
                <w:rStyle w:val="aff0"/>
                <w:rFonts w:ascii="Times New Roman" w:hAnsi="Times New Roman"/>
                <w:noProof/>
                <w:sz w:val="22"/>
                <w:szCs w:val="24"/>
              </w:rPr>
              <w:t>年</w:t>
            </w:r>
            <w:r w:rsidR="002B5F6B" w:rsidRPr="00A160B9">
              <w:rPr>
                <w:rStyle w:val="aff0"/>
                <w:rFonts w:ascii="Times New Roman" w:hAnsi="Times New Roman"/>
                <w:noProof/>
                <w:sz w:val="22"/>
                <w:szCs w:val="24"/>
              </w:rPr>
              <w:t>8</w:t>
            </w:r>
            <w:r w:rsidR="002B5F6B" w:rsidRPr="00A160B9">
              <w:rPr>
                <w:rStyle w:val="aff0"/>
                <w:rFonts w:ascii="Times New Roman" w:hAnsi="Times New Roman"/>
                <w:noProof/>
                <w:sz w:val="22"/>
                <w:szCs w:val="24"/>
              </w:rPr>
              <w:t>月修订）</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1452</w:t>
            </w:r>
            <w:r w:rsidR="002B5F6B" w:rsidRPr="00A160B9">
              <w:rPr>
                <w:rStyle w:val="aff0"/>
                <w:rFonts w:ascii="Times New Roman" w:hAnsi="Times New Roman"/>
                <w:webHidden/>
                <w:sz w:val="22"/>
                <w:szCs w:val="24"/>
              </w:rPr>
              <w:fldChar w:fldCharType="end"/>
            </w:r>
          </w:hyperlink>
        </w:p>
        <w:p w14:paraId="2BAC71A9" w14:textId="0499205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7" w:history="1">
            <w:r w:rsidR="002B5F6B" w:rsidRPr="00A160B9">
              <w:rPr>
                <w:rStyle w:val="aff0"/>
                <w:rFonts w:ascii="Times New Roman" w:hAnsi="Times New Roman"/>
                <w:noProof/>
                <w:sz w:val="22"/>
                <w:szCs w:val="24"/>
              </w:rPr>
              <w:t>《上市公司收购管理办法》（证监会令第</w:t>
            </w:r>
            <w:r w:rsidR="002B5F6B" w:rsidRPr="00A160B9">
              <w:rPr>
                <w:rStyle w:val="aff0"/>
                <w:rFonts w:ascii="Times New Roman" w:hAnsi="Times New Roman"/>
                <w:noProof/>
                <w:sz w:val="22"/>
                <w:szCs w:val="24"/>
              </w:rPr>
              <w:t>108</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2014</w:t>
            </w:r>
            <w:r w:rsidR="002B5F6B" w:rsidRPr="00A160B9">
              <w:rPr>
                <w:rStyle w:val="aff0"/>
                <w:rFonts w:ascii="Times New Roman" w:hAnsi="Times New Roman"/>
                <w:noProof/>
                <w:sz w:val="22"/>
                <w:szCs w:val="24"/>
              </w:rPr>
              <w:t>年修订）</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1454</w:t>
            </w:r>
            <w:r w:rsidR="002B5F6B" w:rsidRPr="00A160B9">
              <w:rPr>
                <w:rStyle w:val="aff0"/>
                <w:rFonts w:ascii="Times New Roman" w:hAnsi="Times New Roman"/>
                <w:webHidden/>
                <w:sz w:val="22"/>
                <w:szCs w:val="24"/>
              </w:rPr>
              <w:fldChar w:fldCharType="end"/>
            </w:r>
          </w:hyperlink>
        </w:p>
        <w:p w14:paraId="11912987" w14:textId="5CFBD76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8" w:history="1">
            <w:r w:rsidR="002B5F6B" w:rsidRPr="00A160B9">
              <w:rPr>
                <w:rStyle w:val="aff0"/>
                <w:rFonts w:ascii="Times New Roman" w:hAnsi="Times New Roman"/>
                <w:noProof/>
                <w:sz w:val="22"/>
                <w:szCs w:val="24"/>
              </w:rPr>
              <w:t>《公开发行证券的公司信息披露内容与格式准则第</w:t>
            </w:r>
            <w:r w:rsidR="002B5F6B" w:rsidRPr="00A160B9">
              <w:rPr>
                <w:rStyle w:val="aff0"/>
                <w:rFonts w:ascii="Times New Roman" w:hAnsi="Times New Roman"/>
                <w:noProof/>
                <w:sz w:val="22"/>
                <w:szCs w:val="24"/>
              </w:rPr>
              <w:t>26</w:t>
            </w:r>
            <w:r w:rsidR="002B5F6B" w:rsidRPr="00A160B9">
              <w:rPr>
                <w:rStyle w:val="aff0"/>
                <w:rFonts w:ascii="Times New Roman" w:hAnsi="Times New Roman"/>
                <w:noProof/>
                <w:sz w:val="22"/>
                <w:szCs w:val="24"/>
              </w:rPr>
              <w:t>号</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上市公司重大资产重组申请文件》（证监会公告〔</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1454</w:t>
            </w:r>
            <w:r w:rsidR="002B5F6B" w:rsidRPr="00A160B9">
              <w:rPr>
                <w:rStyle w:val="aff0"/>
                <w:rFonts w:ascii="Times New Roman" w:hAnsi="Times New Roman"/>
                <w:webHidden/>
                <w:sz w:val="22"/>
                <w:szCs w:val="24"/>
              </w:rPr>
              <w:fldChar w:fldCharType="end"/>
            </w:r>
          </w:hyperlink>
        </w:p>
        <w:p w14:paraId="08F2DE50" w14:textId="7DE9A94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19" w:history="1">
            <w:r w:rsidR="002B5F6B" w:rsidRPr="00A160B9">
              <w:rPr>
                <w:rStyle w:val="aff0"/>
                <w:rFonts w:ascii="Times New Roman" w:hAnsi="Times New Roman"/>
                <w:noProof/>
                <w:sz w:val="22"/>
                <w:szCs w:val="24"/>
              </w:rPr>
              <w:t>《上市公司重大资产重组管理办法》（证监会令第</w:t>
            </w:r>
            <w:r w:rsidR="002B5F6B" w:rsidRPr="00A160B9">
              <w:rPr>
                <w:rStyle w:val="aff0"/>
                <w:rFonts w:ascii="Times New Roman" w:hAnsi="Times New Roman"/>
                <w:noProof/>
                <w:sz w:val="22"/>
                <w:szCs w:val="24"/>
              </w:rPr>
              <w:t>127</w:t>
            </w:r>
            <w:r w:rsidR="002B5F6B" w:rsidRPr="00A160B9">
              <w:rPr>
                <w:rStyle w:val="aff0"/>
                <w:rFonts w:ascii="Times New Roman" w:hAnsi="Times New Roman"/>
                <w:noProof/>
                <w:sz w:val="22"/>
                <w:szCs w:val="24"/>
              </w:rPr>
              <w:t>号</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年修订）</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_Toc81833519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1457</w:t>
            </w:r>
            <w:r w:rsidR="002B5F6B" w:rsidRPr="00A160B9">
              <w:rPr>
                <w:rStyle w:val="aff0"/>
                <w:rFonts w:ascii="Times New Roman" w:hAnsi="Times New Roman"/>
                <w:webHidden/>
                <w:sz w:val="22"/>
                <w:szCs w:val="24"/>
              </w:rPr>
              <w:fldChar w:fldCharType="end"/>
            </w:r>
          </w:hyperlink>
        </w:p>
        <w:p w14:paraId="6847545D" w14:textId="730C2AAD"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20" w:history="1">
            <w:r w:rsidR="002B5F6B" w:rsidRPr="00A160B9">
              <w:rPr>
                <w:rStyle w:val="aff0"/>
                <w:b/>
                <w:bCs/>
                <w:noProof/>
                <w:sz w:val="24"/>
              </w:rPr>
              <w:t>不良资产业务</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_Toc81833520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1459</w:t>
            </w:r>
            <w:r w:rsidR="002B5F6B" w:rsidRPr="00A160B9">
              <w:rPr>
                <w:rStyle w:val="aff0"/>
                <w:b/>
                <w:bCs/>
                <w:noProof/>
                <w:webHidden/>
                <w:sz w:val="24"/>
              </w:rPr>
              <w:fldChar w:fldCharType="end"/>
            </w:r>
          </w:hyperlink>
        </w:p>
        <w:p w14:paraId="137C618F" w14:textId="63D9041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21" w:history="1">
            <w:r w:rsidR="002B5F6B" w:rsidRPr="00A160B9">
              <w:rPr>
                <w:rStyle w:val="aff0"/>
                <w:rFonts w:ascii="Times New Roman" w:hAnsi="Times New Roman"/>
                <w:noProof/>
                <w:sz w:val="22"/>
                <w:szCs w:val="24"/>
              </w:rPr>
              <w:t>《财政部关于不良资产评估有关问题的函》（财金函〔</w:t>
            </w:r>
            <w:r w:rsidR="002B5F6B" w:rsidRPr="00A160B9">
              <w:rPr>
                <w:rStyle w:val="aff0"/>
                <w:rFonts w:ascii="Times New Roman" w:hAnsi="Times New Roman"/>
                <w:noProof/>
                <w:sz w:val="22"/>
                <w:szCs w:val="24"/>
              </w:rPr>
              <w:t>2002</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_Toc81833521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1459</w:t>
            </w:r>
            <w:r w:rsidR="002B5F6B" w:rsidRPr="00A160B9">
              <w:rPr>
                <w:rStyle w:val="aff0"/>
                <w:rFonts w:ascii="Times New Roman" w:hAnsi="Times New Roman"/>
                <w:webHidden/>
                <w:sz w:val="22"/>
                <w:szCs w:val="24"/>
              </w:rPr>
              <w:fldChar w:fldCharType="end"/>
            </w:r>
          </w:hyperlink>
        </w:p>
        <w:p w14:paraId="25B76266" w14:textId="734FBEF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22" w:history="1">
            <w:r w:rsidR="002B5F6B" w:rsidRPr="00A160B9">
              <w:rPr>
                <w:rStyle w:val="aff0"/>
                <w:rFonts w:ascii="Times New Roman" w:hAnsi="Times New Roman"/>
                <w:noProof/>
                <w:sz w:val="22"/>
                <w:szCs w:val="24"/>
              </w:rPr>
              <w:t>《关于规范资产管理公司不良资产处置中资产评估工作的通知》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（财企〔</w:t>
            </w:r>
            <w:r w:rsidR="002B5F6B" w:rsidRPr="00A160B9">
              <w:rPr>
                <w:rStyle w:val="aff0"/>
                <w:rFonts w:ascii="Times New Roman" w:hAnsi="Times New Roman"/>
                <w:noProof/>
                <w:sz w:val="22"/>
                <w:szCs w:val="24"/>
              </w:rPr>
              <w:t>2005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89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_Toc81833522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1460</w:t>
            </w:r>
            <w:r w:rsidR="002B5F6B" w:rsidRPr="00A160B9">
              <w:rPr>
                <w:rStyle w:val="aff0"/>
                <w:rFonts w:ascii="Times New Roman" w:hAnsi="Times New Roman"/>
                <w:webHidden/>
                <w:sz w:val="22"/>
                <w:szCs w:val="24"/>
              </w:rPr>
              <w:fldChar w:fldCharType="end"/>
            </w:r>
          </w:hyperlink>
        </w:p>
        <w:p w14:paraId="0746A66B" w14:textId="112364D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23" w:history="1">
            <w:r w:rsidR="002B5F6B" w:rsidRPr="00A160B9">
              <w:rPr>
                <w:rStyle w:val="aff0"/>
                <w:rFonts w:ascii="Times New Roman" w:hAnsi="Times New Roman"/>
                <w:noProof/>
                <w:sz w:val="22"/>
                <w:szCs w:val="24"/>
              </w:rPr>
              <w:t>《金融资产管理公司资产处置管理办法（修订）》（财金〔</w:t>
            </w:r>
            <w:r w:rsidR="002B5F6B" w:rsidRPr="00A160B9">
              <w:rPr>
                <w:rStyle w:val="aff0"/>
                <w:rFonts w:ascii="Times New Roman" w:hAnsi="Times New Roman"/>
                <w:noProof/>
                <w:sz w:val="22"/>
                <w:szCs w:val="24"/>
              </w:rPr>
              <w:t>2008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85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_Toc81833523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1461</w:t>
            </w:r>
            <w:r w:rsidR="002B5F6B" w:rsidRPr="00A160B9">
              <w:rPr>
                <w:rStyle w:val="aff0"/>
                <w:rFonts w:ascii="Times New Roman" w:hAnsi="Times New Roman"/>
                <w:webHidden/>
                <w:sz w:val="22"/>
                <w:szCs w:val="24"/>
              </w:rPr>
              <w:fldChar w:fldCharType="end"/>
            </w:r>
          </w:hyperlink>
        </w:p>
        <w:p w14:paraId="3C6B15A9" w14:textId="7018073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24" w:history="1">
            <w:r w:rsidR="002B5F6B" w:rsidRPr="00A160B9">
              <w:rPr>
                <w:rStyle w:val="aff0"/>
                <w:rFonts w:ascii="Times New Roman" w:hAnsi="Times New Roman"/>
                <w:noProof/>
                <w:sz w:val="22"/>
                <w:szCs w:val="24"/>
              </w:rPr>
              <w:t>《关于在民事审判和执行工作中依法保护金融债权防止国有资产流失问题的通知》（法〔</w:t>
            </w:r>
            <w:r w:rsidR="002B5F6B" w:rsidRPr="00A160B9">
              <w:rPr>
                <w:rStyle w:val="aff0"/>
                <w:rFonts w:ascii="Times New Roman" w:hAnsi="Times New Roman"/>
                <w:noProof/>
                <w:sz w:val="22"/>
                <w:szCs w:val="24"/>
              </w:rPr>
              <w:t>2005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_Toc81833524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1462</w:t>
            </w:r>
            <w:r w:rsidR="002B5F6B" w:rsidRPr="00A160B9">
              <w:rPr>
                <w:rStyle w:val="aff0"/>
                <w:rFonts w:ascii="Times New Roman" w:hAnsi="Times New Roman"/>
                <w:webHidden/>
                <w:sz w:val="22"/>
                <w:szCs w:val="24"/>
              </w:rPr>
              <w:fldChar w:fldCharType="end"/>
            </w:r>
          </w:hyperlink>
        </w:p>
        <w:p w14:paraId="732AD679" w14:textId="317B5781"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8"/>
              <w:sz w:val="22"/>
              <w:szCs w:val="24"/>
            </w:rPr>
          </w:pPr>
          <w:hyperlink w:anchor="_Toc81833525" w:history="1">
            <w:r w:rsidR="002B5F6B" w:rsidRPr="00A160B9">
              <w:rPr>
                <w:rStyle w:val="aff0"/>
                <w:rFonts w:ascii="Times New Roman" w:hAnsi="Times New Roman"/>
                <w:noProof/>
                <w:spacing w:val="-8"/>
                <w:sz w:val="22"/>
                <w:szCs w:val="24"/>
              </w:rPr>
              <w:t>《关于审理涉及金融不良债权转让案件工作座谈会纪要》（法发〔</w:t>
            </w:r>
            <w:r w:rsidR="002B5F6B" w:rsidRPr="00A160B9">
              <w:rPr>
                <w:rStyle w:val="aff0"/>
                <w:rFonts w:ascii="Times New Roman" w:hAnsi="Times New Roman"/>
                <w:noProof/>
                <w:spacing w:val="-8"/>
                <w:sz w:val="22"/>
                <w:szCs w:val="24"/>
              </w:rPr>
              <w:t>2009</w:t>
            </w:r>
            <w:r w:rsidR="002B5F6B" w:rsidRPr="00A160B9">
              <w:rPr>
                <w:rStyle w:val="aff0"/>
                <w:rFonts w:ascii="Times New Roman" w:hAnsi="Times New Roman"/>
                <w:noProof/>
                <w:spacing w:val="-8"/>
                <w:sz w:val="22"/>
                <w:szCs w:val="24"/>
              </w:rPr>
              <w:t>〕</w:t>
            </w:r>
            <w:r w:rsidR="002B5F6B" w:rsidRPr="00A160B9">
              <w:rPr>
                <w:rStyle w:val="aff0"/>
                <w:rFonts w:ascii="Times New Roman" w:hAnsi="Times New Roman"/>
                <w:noProof/>
                <w:spacing w:val="-8"/>
                <w:sz w:val="22"/>
                <w:szCs w:val="24"/>
              </w:rPr>
              <w:t>19</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webHidden/>
                <w:spacing w:val="-8"/>
                <w:sz w:val="22"/>
                <w:szCs w:val="24"/>
              </w:rPr>
              <w:tab/>
            </w:r>
            <w:r w:rsidR="002B5F6B" w:rsidRPr="00A160B9">
              <w:rPr>
                <w:rStyle w:val="aff0"/>
                <w:rFonts w:ascii="Times New Roman" w:hAnsi="Times New Roman"/>
                <w:webHidden/>
                <w:spacing w:val="-8"/>
                <w:sz w:val="22"/>
                <w:szCs w:val="24"/>
              </w:rPr>
              <w:fldChar w:fldCharType="begin"/>
            </w:r>
            <w:r w:rsidR="002B5F6B" w:rsidRPr="00A160B9">
              <w:rPr>
                <w:rStyle w:val="aff0"/>
                <w:rFonts w:ascii="Times New Roman" w:hAnsi="Times New Roman"/>
                <w:webHidden/>
                <w:spacing w:val="-8"/>
                <w:sz w:val="22"/>
                <w:szCs w:val="24"/>
              </w:rPr>
              <w:instrText xml:space="preserve"> PAGEREF _Toc81833525 \h </w:instrText>
            </w:r>
            <w:r w:rsidR="002B5F6B" w:rsidRPr="00A160B9">
              <w:rPr>
                <w:rStyle w:val="aff0"/>
                <w:rFonts w:ascii="Times New Roman" w:hAnsi="Times New Roman"/>
                <w:webHidden/>
                <w:spacing w:val="-8"/>
                <w:sz w:val="22"/>
                <w:szCs w:val="24"/>
              </w:rPr>
            </w:r>
            <w:r w:rsidR="002B5F6B" w:rsidRPr="00A160B9">
              <w:rPr>
                <w:rStyle w:val="aff0"/>
                <w:rFonts w:ascii="Times New Roman" w:hAnsi="Times New Roman"/>
                <w:webHidden/>
                <w:spacing w:val="-8"/>
                <w:sz w:val="22"/>
                <w:szCs w:val="24"/>
              </w:rPr>
              <w:fldChar w:fldCharType="separate"/>
            </w:r>
            <w:r w:rsidR="00CC19DA" w:rsidRPr="00A160B9">
              <w:rPr>
                <w:rStyle w:val="aff0"/>
                <w:rFonts w:ascii="Times New Roman" w:hAnsi="Times New Roman"/>
                <w:noProof/>
                <w:webHidden/>
                <w:spacing w:val="-8"/>
                <w:sz w:val="22"/>
                <w:szCs w:val="24"/>
              </w:rPr>
              <w:t>1463</w:t>
            </w:r>
            <w:r w:rsidR="002B5F6B" w:rsidRPr="00A160B9">
              <w:rPr>
                <w:rStyle w:val="aff0"/>
                <w:rFonts w:ascii="Times New Roman" w:hAnsi="Times New Roman"/>
                <w:webHidden/>
                <w:spacing w:val="-8"/>
                <w:sz w:val="22"/>
                <w:szCs w:val="24"/>
              </w:rPr>
              <w:fldChar w:fldCharType="end"/>
            </w:r>
          </w:hyperlink>
        </w:p>
        <w:p w14:paraId="4D72D73E" w14:textId="0F51697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26" w:history="1">
            <w:r w:rsidR="002B5F6B" w:rsidRPr="00A160B9">
              <w:rPr>
                <w:rStyle w:val="aff0"/>
                <w:rFonts w:ascii="Times New Roman" w:hAnsi="Times New Roman"/>
                <w:noProof/>
                <w:sz w:val="22"/>
                <w:szCs w:val="24"/>
              </w:rPr>
              <w:t>《全国法院破产审判工作会议纪要》（法〔</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_Toc81833526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1463</w:t>
            </w:r>
            <w:r w:rsidR="002B5F6B" w:rsidRPr="00A160B9">
              <w:rPr>
                <w:rStyle w:val="aff0"/>
                <w:rFonts w:ascii="Times New Roman" w:hAnsi="Times New Roman"/>
                <w:webHidden/>
                <w:sz w:val="22"/>
                <w:szCs w:val="24"/>
              </w:rPr>
              <w:fldChar w:fldCharType="end"/>
            </w:r>
          </w:hyperlink>
        </w:p>
        <w:p w14:paraId="49B845F5" w14:textId="7E8DC674"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27" w:history="1">
            <w:r w:rsidR="002B5F6B" w:rsidRPr="00A160B9">
              <w:rPr>
                <w:rStyle w:val="aff0"/>
                <w:b/>
                <w:bCs/>
                <w:noProof/>
                <w:sz w:val="24"/>
              </w:rPr>
              <w:t>法拍业务</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_Toc81833527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1464</w:t>
            </w:r>
            <w:r w:rsidR="002B5F6B" w:rsidRPr="00A160B9">
              <w:rPr>
                <w:rStyle w:val="aff0"/>
                <w:b/>
                <w:bCs/>
                <w:noProof/>
                <w:webHidden/>
                <w:sz w:val="24"/>
              </w:rPr>
              <w:fldChar w:fldCharType="end"/>
            </w:r>
          </w:hyperlink>
        </w:p>
        <w:p w14:paraId="3D609914" w14:textId="39E6350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28" w:history="1">
            <w:r w:rsidR="002B5F6B" w:rsidRPr="00A160B9">
              <w:rPr>
                <w:rStyle w:val="aff0"/>
                <w:rFonts w:ascii="Times New Roman" w:hAnsi="Times New Roman"/>
                <w:noProof/>
                <w:sz w:val="22"/>
                <w:szCs w:val="24"/>
              </w:rPr>
              <w:t>《人民法院委托评估工作规范》（法办〔</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273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_Toc81833528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1464</w:t>
            </w:r>
            <w:r w:rsidR="002B5F6B" w:rsidRPr="00A160B9">
              <w:rPr>
                <w:rStyle w:val="aff0"/>
                <w:rFonts w:ascii="Times New Roman" w:hAnsi="Times New Roman"/>
                <w:webHidden/>
                <w:sz w:val="22"/>
                <w:szCs w:val="24"/>
              </w:rPr>
              <w:fldChar w:fldCharType="end"/>
            </w:r>
          </w:hyperlink>
        </w:p>
        <w:p w14:paraId="3DDD5C46" w14:textId="6FA38C07"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8"/>
              <w:sz w:val="22"/>
              <w:szCs w:val="24"/>
            </w:rPr>
          </w:pPr>
          <w:hyperlink w:anchor="_Toc81833529" w:history="1">
            <w:r w:rsidR="002B5F6B" w:rsidRPr="00A160B9">
              <w:rPr>
                <w:rStyle w:val="aff0"/>
                <w:rFonts w:ascii="Times New Roman" w:hAnsi="Times New Roman"/>
                <w:noProof/>
                <w:spacing w:val="-8"/>
                <w:sz w:val="22"/>
                <w:szCs w:val="24"/>
              </w:rPr>
              <w:t>《人民法院委托司法执行财产处置资产评估指导意见》（中评协〔</w:t>
            </w:r>
            <w:r w:rsidR="002B5F6B" w:rsidRPr="00A160B9">
              <w:rPr>
                <w:rStyle w:val="aff0"/>
                <w:rFonts w:ascii="Times New Roman" w:hAnsi="Times New Roman"/>
                <w:noProof/>
                <w:spacing w:val="-8"/>
                <w:sz w:val="22"/>
                <w:szCs w:val="24"/>
              </w:rPr>
              <w:t>2019</w:t>
            </w:r>
            <w:r w:rsidR="002B5F6B" w:rsidRPr="00A160B9">
              <w:rPr>
                <w:rStyle w:val="aff0"/>
                <w:rFonts w:ascii="Times New Roman" w:hAnsi="Times New Roman"/>
                <w:noProof/>
                <w:spacing w:val="-8"/>
                <w:sz w:val="22"/>
                <w:szCs w:val="24"/>
              </w:rPr>
              <w:t>〕</w:t>
            </w:r>
            <w:r w:rsidR="002B5F6B" w:rsidRPr="00A160B9">
              <w:rPr>
                <w:rStyle w:val="aff0"/>
                <w:rFonts w:ascii="Times New Roman" w:hAnsi="Times New Roman"/>
                <w:noProof/>
                <w:spacing w:val="-8"/>
                <w:sz w:val="22"/>
                <w:szCs w:val="24"/>
              </w:rPr>
              <w:t>14</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webHidden/>
                <w:spacing w:val="-8"/>
                <w:sz w:val="22"/>
                <w:szCs w:val="24"/>
              </w:rPr>
              <w:tab/>
            </w:r>
            <w:r w:rsidR="002B5F6B" w:rsidRPr="00A160B9">
              <w:rPr>
                <w:rStyle w:val="aff0"/>
                <w:rFonts w:ascii="Times New Roman" w:hAnsi="Times New Roman"/>
                <w:webHidden/>
                <w:spacing w:val="-8"/>
                <w:sz w:val="22"/>
                <w:szCs w:val="24"/>
              </w:rPr>
              <w:fldChar w:fldCharType="begin"/>
            </w:r>
            <w:r w:rsidR="002B5F6B" w:rsidRPr="00A160B9">
              <w:rPr>
                <w:rStyle w:val="aff0"/>
                <w:rFonts w:ascii="Times New Roman" w:hAnsi="Times New Roman"/>
                <w:webHidden/>
                <w:spacing w:val="-8"/>
                <w:sz w:val="22"/>
                <w:szCs w:val="24"/>
              </w:rPr>
              <w:instrText xml:space="preserve"> PAGEREF _Toc81833529 \h </w:instrText>
            </w:r>
            <w:r w:rsidR="002B5F6B" w:rsidRPr="00A160B9">
              <w:rPr>
                <w:rStyle w:val="aff0"/>
                <w:rFonts w:ascii="Times New Roman" w:hAnsi="Times New Roman"/>
                <w:webHidden/>
                <w:spacing w:val="-8"/>
                <w:sz w:val="22"/>
                <w:szCs w:val="24"/>
              </w:rPr>
            </w:r>
            <w:r w:rsidR="002B5F6B" w:rsidRPr="00A160B9">
              <w:rPr>
                <w:rStyle w:val="aff0"/>
                <w:rFonts w:ascii="Times New Roman" w:hAnsi="Times New Roman"/>
                <w:webHidden/>
                <w:spacing w:val="-8"/>
                <w:sz w:val="22"/>
                <w:szCs w:val="24"/>
              </w:rPr>
              <w:fldChar w:fldCharType="separate"/>
            </w:r>
            <w:r w:rsidR="00CC19DA" w:rsidRPr="00A160B9">
              <w:rPr>
                <w:rStyle w:val="aff0"/>
                <w:rFonts w:ascii="Times New Roman" w:hAnsi="Times New Roman"/>
                <w:noProof/>
                <w:webHidden/>
                <w:spacing w:val="-8"/>
                <w:sz w:val="22"/>
                <w:szCs w:val="24"/>
              </w:rPr>
              <w:t>1475</w:t>
            </w:r>
            <w:r w:rsidR="002B5F6B" w:rsidRPr="00A160B9">
              <w:rPr>
                <w:rStyle w:val="aff0"/>
                <w:rFonts w:ascii="Times New Roman" w:hAnsi="Times New Roman"/>
                <w:webHidden/>
                <w:spacing w:val="-8"/>
                <w:sz w:val="22"/>
                <w:szCs w:val="24"/>
              </w:rPr>
              <w:fldChar w:fldCharType="end"/>
            </w:r>
          </w:hyperlink>
        </w:p>
        <w:p w14:paraId="7029B242" w14:textId="5E831C8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30" w:history="1">
            <w:r w:rsidR="002B5F6B" w:rsidRPr="00A160B9">
              <w:rPr>
                <w:rStyle w:val="aff0"/>
                <w:rFonts w:ascii="Times New Roman" w:hAnsi="Times New Roman"/>
                <w:noProof/>
                <w:sz w:val="22"/>
                <w:szCs w:val="24"/>
              </w:rPr>
              <w:t>《关于民事、行政诉讼中司法赔偿若干问题的解释》（法释〔</w:t>
            </w:r>
            <w:r w:rsidR="002B5F6B" w:rsidRPr="00A160B9">
              <w:rPr>
                <w:rStyle w:val="aff0"/>
                <w:rFonts w:ascii="Times New Roman" w:hAnsi="Times New Roman"/>
                <w:noProof/>
                <w:sz w:val="22"/>
                <w:szCs w:val="24"/>
              </w:rPr>
              <w:t>2000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_Toc81833530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1481</w:t>
            </w:r>
            <w:r w:rsidR="002B5F6B" w:rsidRPr="00A160B9">
              <w:rPr>
                <w:rStyle w:val="aff0"/>
                <w:rFonts w:ascii="Times New Roman" w:hAnsi="Times New Roman"/>
                <w:webHidden/>
                <w:sz w:val="22"/>
                <w:szCs w:val="24"/>
              </w:rPr>
              <w:fldChar w:fldCharType="end"/>
            </w:r>
          </w:hyperlink>
        </w:p>
        <w:p w14:paraId="0AA87D19" w14:textId="65A569B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31" w:history="1">
            <w:r w:rsidR="002B5F6B" w:rsidRPr="00A160B9">
              <w:rPr>
                <w:rStyle w:val="aff0"/>
                <w:rFonts w:ascii="Times New Roman" w:hAnsi="Times New Roman"/>
                <w:noProof/>
                <w:sz w:val="22"/>
                <w:szCs w:val="24"/>
              </w:rPr>
              <w:t>《关于冻结、拍卖上市公司国有股和社会法人股若干问题的规定》</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（法释〔</w:t>
            </w:r>
            <w:r w:rsidR="002B5F6B" w:rsidRPr="00A160B9">
              <w:rPr>
                <w:rStyle w:val="aff0"/>
                <w:rFonts w:ascii="Times New Roman" w:hAnsi="Times New Roman"/>
                <w:noProof/>
                <w:sz w:val="22"/>
                <w:szCs w:val="24"/>
              </w:rPr>
              <w:t>2001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_Toc81833531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1481</w:t>
            </w:r>
            <w:r w:rsidR="002B5F6B" w:rsidRPr="00A160B9">
              <w:rPr>
                <w:rStyle w:val="aff0"/>
                <w:rFonts w:ascii="Times New Roman" w:hAnsi="Times New Roman"/>
                <w:webHidden/>
                <w:sz w:val="22"/>
                <w:szCs w:val="24"/>
              </w:rPr>
              <w:fldChar w:fldCharType="end"/>
            </w:r>
          </w:hyperlink>
        </w:p>
        <w:p w14:paraId="7CD3E9F1" w14:textId="48C7F38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32" w:history="1">
            <w:r w:rsidR="002B5F6B" w:rsidRPr="00A160B9">
              <w:rPr>
                <w:rStyle w:val="aff0"/>
                <w:rFonts w:ascii="Times New Roman" w:hAnsi="Times New Roman"/>
                <w:noProof/>
                <w:sz w:val="22"/>
                <w:szCs w:val="24"/>
              </w:rPr>
              <w:t>《关于人民法院民事执行中拍卖、变卖财产的规定》（法释〔</w:t>
            </w:r>
            <w:r w:rsidR="002B5F6B" w:rsidRPr="00A160B9">
              <w:rPr>
                <w:rStyle w:val="aff0"/>
                <w:rFonts w:ascii="Times New Roman" w:hAnsi="Times New Roman"/>
                <w:noProof/>
                <w:sz w:val="22"/>
                <w:szCs w:val="24"/>
              </w:rPr>
              <w:t>2004</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_Toc81833532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1482</w:t>
            </w:r>
            <w:r w:rsidR="002B5F6B" w:rsidRPr="00A160B9">
              <w:rPr>
                <w:rStyle w:val="aff0"/>
                <w:rFonts w:ascii="Times New Roman" w:hAnsi="Times New Roman"/>
                <w:webHidden/>
                <w:sz w:val="22"/>
                <w:szCs w:val="24"/>
              </w:rPr>
              <w:fldChar w:fldCharType="end"/>
            </w:r>
          </w:hyperlink>
        </w:p>
        <w:p w14:paraId="68C2B5CA" w14:textId="1C403C0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33" w:history="1">
            <w:r w:rsidR="002B5F6B" w:rsidRPr="00A160B9">
              <w:rPr>
                <w:rStyle w:val="aff0"/>
                <w:rFonts w:ascii="Times New Roman" w:hAnsi="Times New Roman"/>
                <w:noProof/>
                <w:sz w:val="22"/>
                <w:szCs w:val="24"/>
              </w:rPr>
              <w:t>《关于人民法院委托评估、拍卖工作的若干规定》（法释〔</w:t>
            </w:r>
            <w:r w:rsidR="002B5F6B" w:rsidRPr="00A160B9">
              <w:rPr>
                <w:rStyle w:val="aff0"/>
                <w:rFonts w:ascii="Times New Roman" w:hAnsi="Times New Roman"/>
                <w:noProof/>
                <w:sz w:val="22"/>
                <w:szCs w:val="24"/>
              </w:rPr>
              <w:t>2011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_Toc81833533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1483</w:t>
            </w:r>
            <w:r w:rsidR="002B5F6B" w:rsidRPr="00A160B9">
              <w:rPr>
                <w:rStyle w:val="aff0"/>
                <w:rFonts w:ascii="Times New Roman" w:hAnsi="Times New Roman"/>
                <w:webHidden/>
                <w:sz w:val="22"/>
                <w:szCs w:val="24"/>
              </w:rPr>
              <w:fldChar w:fldCharType="end"/>
            </w:r>
          </w:hyperlink>
        </w:p>
        <w:p w14:paraId="10C4EE50" w14:textId="08DA7E0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34" w:history="1">
            <w:r w:rsidR="002B5F6B" w:rsidRPr="00A160B9">
              <w:rPr>
                <w:rStyle w:val="aff0"/>
                <w:rFonts w:ascii="Times New Roman" w:hAnsi="Times New Roman"/>
                <w:noProof/>
                <w:sz w:val="22"/>
                <w:szCs w:val="24"/>
              </w:rPr>
              <w:t>《关于人民法院网络司法拍卖若干问题的规定》（法释〔</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18</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_Toc81833534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1484</w:t>
            </w:r>
            <w:r w:rsidR="002B5F6B" w:rsidRPr="00A160B9">
              <w:rPr>
                <w:rStyle w:val="aff0"/>
                <w:rFonts w:ascii="Times New Roman" w:hAnsi="Times New Roman"/>
                <w:webHidden/>
                <w:sz w:val="22"/>
                <w:szCs w:val="24"/>
              </w:rPr>
              <w:fldChar w:fldCharType="end"/>
            </w:r>
          </w:hyperlink>
        </w:p>
        <w:p w14:paraId="6DF72410" w14:textId="3FBD2CD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35" w:history="1">
            <w:r w:rsidR="002B5F6B" w:rsidRPr="00A160B9">
              <w:rPr>
                <w:rStyle w:val="aff0"/>
                <w:rFonts w:ascii="Times New Roman" w:hAnsi="Times New Roman"/>
                <w:noProof/>
                <w:sz w:val="22"/>
                <w:szCs w:val="24"/>
              </w:rPr>
              <w:t>《关于审理民事、行政诉讼中司法赔偿案件适用法律若干问题的解释》</w:t>
            </w:r>
            <w:r w:rsidR="002B5F6B" w:rsidRPr="00A160B9">
              <w:rPr>
                <w:rStyle w:val="aff0"/>
                <w:rFonts w:ascii="Times New Roman" w:hAnsi="Times New Roman"/>
                <w:noProof/>
                <w:sz w:val="22"/>
                <w:szCs w:val="24"/>
              </w:rPr>
              <w:t xml:space="preserve"> </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（法释〔</w:t>
            </w:r>
            <w:r w:rsidR="002B5F6B" w:rsidRPr="00A160B9">
              <w:rPr>
                <w:rStyle w:val="aff0"/>
                <w:rFonts w:ascii="Times New Roman" w:hAnsi="Times New Roman"/>
                <w:noProof/>
                <w:sz w:val="22"/>
                <w:szCs w:val="24"/>
              </w:rPr>
              <w:t>2016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_Toc81833535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1490</w:t>
            </w:r>
            <w:r w:rsidR="002B5F6B" w:rsidRPr="00A160B9">
              <w:rPr>
                <w:rStyle w:val="aff0"/>
                <w:rFonts w:ascii="Times New Roman" w:hAnsi="Times New Roman"/>
                <w:webHidden/>
                <w:sz w:val="22"/>
                <w:szCs w:val="24"/>
              </w:rPr>
              <w:fldChar w:fldCharType="end"/>
            </w:r>
          </w:hyperlink>
        </w:p>
        <w:p w14:paraId="3D2F7213" w14:textId="5994DEE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36" w:history="1">
            <w:r w:rsidR="002B5F6B" w:rsidRPr="00A160B9">
              <w:rPr>
                <w:rStyle w:val="aff0"/>
                <w:rFonts w:ascii="Times New Roman" w:hAnsi="Times New Roman"/>
                <w:noProof/>
                <w:sz w:val="22"/>
                <w:szCs w:val="24"/>
              </w:rPr>
              <w:t>《关于人民法院确定财产处置参考价若干问题的规定》（法释〔</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_Toc81833536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1491</w:t>
            </w:r>
            <w:r w:rsidR="002B5F6B" w:rsidRPr="00A160B9">
              <w:rPr>
                <w:rStyle w:val="aff0"/>
                <w:rFonts w:ascii="Times New Roman" w:hAnsi="Times New Roman"/>
                <w:webHidden/>
                <w:sz w:val="22"/>
                <w:szCs w:val="24"/>
              </w:rPr>
              <w:fldChar w:fldCharType="end"/>
            </w:r>
          </w:hyperlink>
        </w:p>
        <w:p w14:paraId="60380AE8" w14:textId="5DBC562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37" w:history="1">
            <w:r w:rsidR="002B5F6B" w:rsidRPr="00A160B9">
              <w:rPr>
                <w:rStyle w:val="aff0"/>
                <w:rFonts w:ascii="Times New Roman" w:hAnsi="Times New Roman"/>
                <w:noProof/>
                <w:sz w:val="22"/>
                <w:szCs w:val="24"/>
              </w:rPr>
              <w:t>《人民法院委托评估专业技术评审工作规范》（法办〔</w:t>
            </w:r>
            <w:r w:rsidR="002B5F6B" w:rsidRPr="00A160B9">
              <w:rPr>
                <w:rStyle w:val="aff0"/>
                <w:rFonts w:ascii="Times New Roman" w:hAnsi="Times New Roman"/>
                <w:noProof/>
                <w:sz w:val="22"/>
                <w:szCs w:val="24"/>
              </w:rPr>
              <w:t>2019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364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_Toc81833537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1497</w:t>
            </w:r>
            <w:r w:rsidR="002B5F6B" w:rsidRPr="00A160B9">
              <w:rPr>
                <w:rStyle w:val="aff0"/>
                <w:rFonts w:ascii="Times New Roman" w:hAnsi="Times New Roman"/>
                <w:webHidden/>
                <w:sz w:val="22"/>
                <w:szCs w:val="24"/>
              </w:rPr>
              <w:fldChar w:fldCharType="end"/>
            </w:r>
          </w:hyperlink>
        </w:p>
        <w:p w14:paraId="61075579" w14:textId="125CFBBF"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38" w:history="1">
            <w:r w:rsidR="002B5F6B" w:rsidRPr="00A160B9">
              <w:rPr>
                <w:rStyle w:val="aff0"/>
                <w:b/>
                <w:bCs/>
                <w:noProof/>
                <w:sz w:val="24"/>
              </w:rPr>
              <w:t>破产业务</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_Toc81833538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1501</w:t>
            </w:r>
            <w:r w:rsidR="002B5F6B" w:rsidRPr="00A160B9">
              <w:rPr>
                <w:rStyle w:val="aff0"/>
                <w:b/>
                <w:bCs/>
                <w:noProof/>
                <w:webHidden/>
                <w:sz w:val="24"/>
              </w:rPr>
              <w:fldChar w:fldCharType="end"/>
            </w:r>
          </w:hyperlink>
        </w:p>
        <w:p w14:paraId="7166F213" w14:textId="71A9C19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39" w:history="1">
            <w:r w:rsidR="002B5F6B" w:rsidRPr="00A160B9">
              <w:rPr>
                <w:rStyle w:val="aff0"/>
                <w:rFonts w:ascii="Times New Roman" w:hAnsi="Times New Roman"/>
                <w:noProof/>
                <w:sz w:val="22"/>
                <w:szCs w:val="24"/>
              </w:rPr>
              <w:t>《关于审理企业破产案件若干问题的规定》（法释〔</w:t>
            </w:r>
            <w:r w:rsidR="002B5F6B" w:rsidRPr="00A160B9">
              <w:rPr>
                <w:rStyle w:val="aff0"/>
                <w:rFonts w:ascii="Times New Roman" w:hAnsi="Times New Roman"/>
                <w:noProof/>
                <w:sz w:val="22"/>
                <w:szCs w:val="24"/>
              </w:rPr>
              <w:t>2002</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_Toc81833539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1501</w:t>
            </w:r>
            <w:r w:rsidR="002B5F6B" w:rsidRPr="00A160B9">
              <w:rPr>
                <w:rStyle w:val="aff0"/>
                <w:rFonts w:ascii="Times New Roman" w:hAnsi="Times New Roman"/>
                <w:webHidden/>
                <w:sz w:val="22"/>
                <w:szCs w:val="24"/>
              </w:rPr>
              <w:fldChar w:fldCharType="end"/>
            </w:r>
          </w:hyperlink>
        </w:p>
        <w:p w14:paraId="1561AB0E" w14:textId="3800FED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40" w:history="1">
            <w:r w:rsidR="002B5F6B" w:rsidRPr="00A160B9">
              <w:rPr>
                <w:rStyle w:val="aff0"/>
                <w:rFonts w:ascii="Times New Roman" w:hAnsi="Times New Roman"/>
                <w:noProof/>
                <w:sz w:val="22"/>
                <w:szCs w:val="24"/>
              </w:rPr>
              <w:t>《关于适用《中华人民共和国企业破产法》若干问题的规定（一）》</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（法释〔</w:t>
            </w:r>
            <w:r w:rsidR="002B5F6B" w:rsidRPr="00A160B9">
              <w:rPr>
                <w:rStyle w:val="aff0"/>
                <w:rFonts w:ascii="Times New Roman" w:hAnsi="Times New Roman"/>
                <w:noProof/>
                <w:sz w:val="22"/>
                <w:szCs w:val="24"/>
              </w:rPr>
              <w:t>2011</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_Toc81833540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1502</w:t>
            </w:r>
            <w:r w:rsidR="002B5F6B" w:rsidRPr="00A160B9">
              <w:rPr>
                <w:rStyle w:val="aff0"/>
                <w:rFonts w:ascii="Times New Roman" w:hAnsi="Times New Roman"/>
                <w:webHidden/>
                <w:sz w:val="22"/>
                <w:szCs w:val="24"/>
              </w:rPr>
              <w:fldChar w:fldCharType="end"/>
            </w:r>
          </w:hyperlink>
        </w:p>
        <w:p w14:paraId="5EEBFE24" w14:textId="5A1FE442"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41" w:history="1">
            <w:r w:rsidR="002B5F6B" w:rsidRPr="00A160B9">
              <w:rPr>
                <w:rStyle w:val="aff0"/>
                <w:b/>
                <w:bCs/>
                <w:noProof/>
                <w:sz w:val="24"/>
              </w:rPr>
              <w:t>涉税业务</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_Toc81833541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1503</w:t>
            </w:r>
            <w:r w:rsidR="002B5F6B" w:rsidRPr="00A160B9">
              <w:rPr>
                <w:rStyle w:val="aff0"/>
                <w:b/>
                <w:bCs/>
                <w:noProof/>
                <w:webHidden/>
                <w:sz w:val="24"/>
              </w:rPr>
              <w:fldChar w:fldCharType="end"/>
            </w:r>
          </w:hyperlink>
        </w:p>
        <w:p w14:paraId="1E81A4EA" w14:textId="3FAC502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42" w:history="1">
            <w:r w:rsidR="002B5F6B" w:rsidRPr="00A160B9">
              <w:rPr>
                <w:rStyle w:val="aff0"/>
                <w:rFonts w:ascii="Times New Roman" w:hAnsi="Times New Roman"/>
                <w:noProof/>
                <w:sz w:val="22"/>
                <w:szCs w:val="24"/>
              </w:rPr>
              <w:t>《企业财产损失所得税前扣除管理办法》（国家税务总局令〔</w:t>
            </w:r>
            <w:r w:rsidR="002B5F6B" w:rsidRPr="00A160B9">
              <w:rPr>
                <w:rStyle w:val="aff0"/>
                <w:rFonts w:ascii="Times New Roman" w:hAnsi="Times New Roman"/>
                <w:noProof/>
                <w:sz w:val="22"/>
                <w:szCs w:val="24"/>
              </w:rPr>
              <w:t>2005</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13</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_Toc81833542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1503</w:t>
            </w:r>
            <w:r w:rsidR="002B5F6B" w:rsidRPr="00A160B9">
              <w:rPr>
                <w:rStyle w:val="aff0"/>
                <w:rFonts w:ascii="Times New Roman" w:hAnsi="Times New Roman"/>
                <w:webHidden/>
                <w:sz w:val="22"/>
                <w:szCs w:val="24"/>
              </w:rPr>
              <w:fldChar w:fldCharType="end"/>
            </w:r>
          </w:hyperlink>
        </w:p>
        <w:p w14:paraId="6EA065D1" w14:textId="05C4FF9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43" w:history="1">
            <w:r w:rsidR="002B5F6B" w:rsidRPr="00A160B9">
              <w:rPr>
                <w:rStyle w:val="aff0"/>
                <w:rFonts w:ascii="Times New Roman" w:hAnsi="Times New Roman"/>
                <w:noProof/>
                <w:sz w:val="22"/>
                <w:szCs w:val="24"/>
              </w:rPr>
              <w:t>《财政部国家税务总局关于企业重组业务企业所得税处理若干问题的通知》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（财税〔</w:t>
            </w:r>
            <w:r w:rsidR="002B5F6B" w:rsidRPr="00A160B9">
              <w:rPr>
                <w:rStyle w:val="aff0"/>
                <w:rFonts w:ascii="Times New Roman" w:hAnsi="Times New Roman"/>
                <w:noProof/>
                <w:sz w:val="22"/>
                <w:szCs w:val="24"/>
              </w:rPr>
              <w:t>2009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59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_Toc81833543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1503</w:t>
            </w:r>
            <w:r w:rsidR="002B5F6B" w:rsidRPr="00A160B9">
              <w:rPr>
                <w:rStyle w:val="aff0"/>
                <w:rFonts w:ascii="Times New Roman" w:hAnsi="Times New Roman"/>
                <w:webHidden/>
                <w:sz w:val="22"/>
                <w:szCs w:val="24"/>
              </w:rPr>
              <w:fldChar w:fldCharType="end"/>
            </w:r>
          </w:hyperlink>
        </w:p>
        <w:p w14:paraId="1A6F07B4" w14:textId="607E090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44" w:history="1">
            <w:r w:rsidR="002B5F6B" w:rsidRPr="00A160B9">
              <w:rPr>
                <w:rStyle w:val="aff0"/>
                <w:rFonts w:ascii="Times New Roman" w:hAnsi="Times New Roman"/>
                <w:noProof/>
                <w:sz w:val="22"/>
                <w:szCs w:val="24"/>
              </w:rPr>
              <w:t>《关于企业清算业务企业所得税处理若干问题的通知》（财税〔</w:t>
            </w:r>
            <w:r w:rsidR="002B5F6B" w:rsidRPr="00A160B9">
              <w:rPr>
                <w:rStyle w:val="aff0"/>
                <w:rFonts w:ascii="Times New Roman" w:hAnsi="Times New Roman"/>
                <w:noProof/>
                <w:sz w:val="22"/>
                <w:szCs w:val="24"/>
              </w:rPr>
              <w:t>2009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_Toc81833544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1508</w:t>
            </w:r>
            <w:r w:rsidR="002B5F6B" w:rsidRPr="00A160B9">
              <w:rPr>
                <w:rStyle w:val="aff0"/>
                <w:rFonts w:ascii="Times New Roman" w:hAnsi="Times New Roman"/>
                <w:webHidden/>
                <w:sz w:val="22"/>
                <w:szCs w:val="24"/>
              </w:rPr>
              <w:fldChar w:fldCharType="end"/>
            </w:r>
          </w:hyperlink>
        </w:p>
        <w:p w14:paraId="308732C6" w14:textId="6BB10E1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45" w:history="1">
            <w:r w:rsidR="002B5F6B" w:rsidRPr="00A160B9">
              <w:rPr>
                <w:rStyle w:val="aff0"/>
                <w:rFonts w:ascii="Times New Roman" w:hAnsi="Times New Roman"/>
                <w:noProof/>
                <w:sz w:val="22"/>
                <w:szCs w:val="24"/>
              </w:rPr>
              <w:t>《企业重组业务企业所得税管理办法》（国家税务总局公告</w:t>
            </w:r>
            <w:r w:rsidR="002B5F6B" w:rsidRPr="00A160B9">
              <w:rPr>
                <w:rStyle w:val="aff0"/>
                <w:rFonts w:ascii="Times New Roman" w:hAnsi="Times New Roman"/>
                <w:noProof/>
                <w:sz w:val="22"/>
                <w:szCs w:val="24"/>
              </w:rPr>
              <w:t>2010</w:t>
            </w:r>
            <w:r w:rsidR="002B5F6B" w:rsidRPr="00A160B9">
              <w:rPr>
                <w:rStyle w:val="aff0"/>
                <w:rFonts w:ascii="Times New Roman" w:hAnsi="Times New Roman"/>
                <w:noProof/>
                <w:sz w:val="22"/>
                <w:szCs w:val="24"/>
              </w:rPr>
              <w:t>年第</w:t>
            </w:r>
            <w:r w:rsidR="002B5F6B" w:rsidRPr="00A160B9">
              <w:rPr>
                <w:rStyle w:val="aff0"/>
                <w:rFonts w:ascii="Times New Roman" w:hAnsi="Times New Roman"/>
                <w:noProof/>
                <w:sz w:val="22"/>
                <w:szCs w:val="24"/>
              </w:rPr>
              <w:t>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_Toc81833545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1509</w:t>
            </w:r>
            <w:r w:rsidR="002B5F6B" w:rsidRPr="00A160B9">
              <w:rPr>
                <w:rStyle w:val="aff0"/>
                <w:rFonts w:ascii="Times New Roman" w:hAnsi="Times New Roman"/>
                <w:webHidden/>
                <w:sz w:val="22"/>
                <w:szCs w:val="24"/>
              </w:rPr>
              <w:fldChar w:fldCharType="end"/>
            </w:r>
          </w:hyperlink>
        </w:p>
        <w:p w14:paraId="4DB39A1D" w14:textId="3EF66B5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46" w:history="1">
            <w:r w:rsidR="002B5F6B" w:rsidRPr="00A160B9">
              <w:rPr>
                <w:rStyle w:val="aff0"/>
                <w:rFonts w:ascii="Times New Roman" w:hAnsi="Times New Roman"/>
                <w:noProof/>
                <w:sz w:val="22"/>
                <w:szCs w:val="24"/>
              </w:rPr>
              <w:t>《青岛国税股权转让业务企业所得税政策指南》（企业版）</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_Toc81833546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1516</w:t>
            </w:r>
            <w:r w:rsidR="002B5F6B" w:rsidRPr="00A160B9">
              <w:rPr>
                <w:rStyle w:val="aff0"/>
                <w:rFonts w:ascii="Times New Roman" w:hAnsi="Times New Roman"/>
                <w:webHidden/>
                <w:sz w:val="22"/>
                <w:szCs w:val="24"/>
              </w:rPr>
              <w:fldChar w:fldCharType="end"/>
            </w:r>
          </w:hyperlink>
        </w:p>
        <w:p w14:paraId="7E2C2F9C" w14:textId="719597FD"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8"/>
              <w:sz w:val="22"/>
              <w:szCs w:val="24"/>
            </w:rPr>
          </w:pPr>
          <w:hyperlink w:anchor="_Toc81833547" w:history="1">
            <w:r w:rsidR="002B5F6B" w:rsidRPr="00A160B9">
              <w:rPr>
                <w:rStyle w:val="aff0"/>
                <w:rFonts w:ascii="Times New Roman" w:hAnsi="Times New Roman"/>
                <w:noProof/>
                <w:spacing w:val="-8"/>
                <w:sz w:val="22"/>
                <w:szCs w:val="24"/>
              </w:rPr>
              <w:t>《丽水市地方税务局关于加强市本级自然人股权转让所得个人所得税管理的通知》</w:t>
            </w:r>
            <w:r w:rsidR="002B5F6B" w:rsidRPr="00A160B9">
              <w:rPr>
                <w:rStyle w:val="aff0"/>
                <w:rFonts w:ascii="Times New Roman" w:hAnsi="Times New Roman"/>
                <w:webHidden/>
                <w:spacing w:val="-8"/>
                <w:sz w:val="22"/>
                <w:szCs w:val="24"/>
              </w:rPr>
              <w:tab/>
            </w:r>
            <w:r w:rsidR="002B5F6B" w:rsidRPr="00A160B9">
              <w:rPr>
                <w:rStyle w:val="aff0"/>
                <w:rFonts w:ascii="Times New Roman" w:hAnsi="Times New Roman"/>
                <w:webHidden/>
                <w:spacing w:val="-8"/>
                <w:sz w:val="22"/>
                <w:szCs w:val="24"/>
              </w:rPr>
              <w:fldChar w:fldCharType="begin"/>
            </w:r>
            <w:r w:rsidR="002B5F6B" w:rsidRPr="00A160B9">
              <w:rPr>
                <w:rStyle w:val="aff0"/>
                <w:rFonts w:ascii="Times New Roman" w:hAnsi="Times New Roman"/>
                <w:webHidden/>
                <w:spacing w:val="-8"/>
                <w:sz w:val="22"/>
                <w:szCs w:val="24"/>
              </w:rPr>
              <w:instrText xml:space="preserve"> PAGEREF _Toc81833547 \h </w:instrText>
            </w:r>
            <w:r w:rsidR="002B5F6B" w:rsidRPr="00A160B9">
              <w:rPr>
                <w:rStyle w:val="aff0"/>
                <w:rFonts w:ascii="Times New Roman" w:hAnsi="Times New Roman"/>
                <w:webHidden/>
                <w:spacing w:val="-8"/>
                <w:sz w:val="22"/>
                <w:szCs w:val="24"/>
              </w:rPr>
            </w:r>
            <w:r w:rsidR="002B5F6B" w:rsidRPr="00A160B9">
              <w:rPr>
                <w:rStyle w:val="aff0"/>
                <w:rFonts w:ascii="Times New Roman" w:hAnsi="Times New Roman"/>
                <w:webHidden/>
                <w:spacing w:val="-8"/>
                <w:sz w:val="22"/>
                <w:szCs w:val="24"/>
              </w:rPr>
              <w:fldChar w:fldCharType="separate"/>
            </w:r>
            <w:r w:rsidR="00CC19DA" w:rsidRPr="00A160B9">
              <w:rPr>
                <w:rStyle w:val="aff0"/>
                <w:rFonts w:ascii="Times New Roman" w:hAnsi="Times New Roman"/>
                <w:noProof/>
                <w:webHidden/>
                <w:spacing w:val="-8"/>
                <w:sz w:val="22"/>
                <w:szCs w:val="24"/>
              </w:rPr>
              <w:t>1516</w:t>
            </w:r>
            <w:r w:rsidR="002B5F6B" w:rsidRPr="00A160B9">
              <w:rPr>
                <w:rStyle w:val="aff0"/>
                <w:rFonts w:ascii="Times New Roman" w:hAnsi="Times New Roman"/>
                <w:webHidden/>
                <w:spacing w:val="-8"/>
                <w:sz w:val="22"/>
                <w:szCs w:val="24"/>
              </w:rPr>
              <w:fldChar w:fldCharType="end"/>
            </w:r>
          </w:hyperlink>
        </w:p>
        <w:p w14:paraId="002B7527" w14:textId="532F3BC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48" w:history="1">
            <w:r w:rsidR="002B5F6B" w:rsidRPr="00A160B9">
              <w:rPr>
                <w:rStyle w:val="aff0"/>
                <w:rFonts w:ascii="Times New Roman" w:hAnsi="Times New Roman"/>
                <w:noProof/>
                <w:sz w:val="22"/>
                <w:szCs w:val="24"/>
              </w:rPr>
              <w:t>《关于股权转让所得个人所得税计税依据核定问题的公告》</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（国家税务总局公告</w:t>
            </w:r>
            <w:r w:rsidR="002B5F6B" w:rsidRPr="00A160B9">
              <w:rPr>
                <w:rStyle w:val="aff0"/>
                <w:rFonts w:ascii="Times New Roman" w:hAnsi="Times New Roman"/>
                <w:noProof/>
                <w:sz w:val="22"/>
                <w:szCs w:val="24"/>
              </w:rPr>
              <w:t>2010</w:t>
            </w:r>
            <w:r w:rsidR="002B5F6B" w:rsidRPr="00A160B9">
              <w:rPr>
                <w:rStyle w:val="aff0"/>
                <w:rFonts w:ascii="Times New Roman" w:hAnsi="Times New Roman"/>
                <w:noProof/>
                <w:sz w:val="22"/>
                <w:szCs w:val="24"/>
              </w:rPr>
              <w:t>年第</w:t>
            </w:r>
            <w:r w:rsidR="002B5F6B" w:rsidRPr="00A160B9">
              <w:rPr>
                <w:rStyle w:val="aff0"/>
                <w:rFonts w:ascii="Times New Roman" w:hAnsi="Times New Roman"/>
                <w:noProof/>
                <w:sz w:val="22"/>
                <w:szCs w:val="24"/>
              </w:rPr>
              <w:t>27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_Toc81833548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1517</w:t>
            </w:r>
            <w:r w:rsidR="002B5F6B" w:rsidRPr="00A160B9">
              <w:rPr>
                <w:rStyle w:val="aff0"/>
                <w:rFonts w:ascii="Times New Roman" w:hAnsi="Times New Roman"/>
                <w:webHidden/>
                <w:sz w:val="22"/>
                <w:szCs w:val="24"/>
              </w:rPr>
              <w:fldChar w:fldCharType="end"/>
            </w:r>
          </w:hyperlink>
        </w:p>
        <w:p w14:paraId="1E3A07DA" w14:textId="22EFE640"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49" w:history="1">
            <w:r w:rsidR="002B5F6B" w:rsidRPr="00A160B9">
              <w:rPr>
                <w:rStyle w:val="aff0"/>
                <w:b/>
                <w:bCs/>
                <w:noProof/>
                <w:sz w:val="24"/>
              </w:rPr>
              <w:t>出资业务</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_Toc81833549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1518</w:t>
            </w:r>
            <w:r w:rsidR="002B5F6B" w:rsidRPr="00A160B9">
              <w:rPr>
                <w:rStyle w:val="aff0"/>
                <w:b/>
                <w:bCs/>
                <w:noProof/>
                <w:webHidden/>
                <w:sz w:val="24"/>
              </w:rPr>
              <w:fldChar w:fldCharType="end"/>
            </w:r>
          </w:hyperlink>
        </w:p>
        <w:p w14:paraId="334BEFE5" w14:textId="6675889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50" w:history="1">
            <w:r w:rsidR="002B5F6B" w:rsidRPr="00A160B9">
              <w:rPr>
                <w:rStyle w:val="aff0"/>
                <w:rFonts w:ascii="Times New Roman" w:hAnsi="Times New Roman"/>
                <w:noProof/>
                <w:sz w:val="22"/>
                <w:szCs w:val="24"/>
              </w:rPr>
              <w:t>《公司法》（主席令第</w:t>
            </w:r>
            <w:r w:rsidR="002B5F6B" w:rsidRPr="00A160B9">
              <w:rPr>
                <w:rStyle w:val="aff0"/>
                <w:rFonts w:ascii="Times New Roman" w:hAnsi="Times New Roman"/>
                <w:noProof/>
                <w:sz w:val="22"/>
                <w:szCs w:val="24"/>
              </w:rPr>
              <w:t>15</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_Toc81833550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1518</w:t>
            </w:r>
            <w:r w:rsidR="002B5F6B" w:rsidRPr="00A160B9">
              <w:rPr>
                <w:rStyle w:val="aff0"/>
                <w:rFonts w:ascii="Times New Roman" w:hAnsi="Times New Roman"/>
                <w:webHidden/>
                <w:sz w:val="22"/>
                <w:szCs w:val="24"/>
              </w:rPr>
              <w:fldChar w:fldCharType="end"/>
            </w:r>
          </w:hyperlink>
        </w:p>
        <w:p w14:paraId="033EE0D0" w14:textId="732E583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51" w:history="1">
            <w:r w:rsidR="002B5F6B" w:rsidRPr="00A160B9">
              <w:rPr>
                <w:rStyle w:val="aff0"/>
                <w:rFonts w:ascii="Times New Roman" w:hAnsi="Times New Roman"/>
                <w:noProof/>
                <w:sz w:val="22"/>
                <w:szCs w:val="24"/>
              </w:rPr>
              <w:t>《中华人民共和国合伙企业法》（中华人民共和国主席令第五十五号）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_Toc81833551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1519</w:t>
            </w:r>
            <w:r w:rsidR="002B5F6B" w:rsidRPr="00A160B9">
              <w:rPr>
                <w:rStyle w:val="aff0"/>
                <w:rFonts w:ascii="Times New Roman" w:hAnsi="Times New Roman"/>
                <w:webHidden/>
                <w:sz w:val="22"/>
                <w:szCs w:val="24"/>
              </w:rPr>
              <w:fldChar w:fldCharType="end"/>
            </w:r>
          </w:hyperlink>
        </w:p>
        <w:p w14:paraId="1E433D04" w14:textId="10987FB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52" w:history="1">
            <w:r w:rsidR="002B5F6B" w:rsidRPr="00A160B9">
              <w:rPr>
                <w:rStyle w:val="aff0"/>
                <w:rFonts w:ascii="Times New Roman" w:hAnsi="Times New Roman"/>
                <w:noProof/>
                <w:sz w:val="22"/>
                <w:szCs w:val="24"/>
              </w:rPr>
              <w:t>《中华人民共和国中外合资经营企业法实施条例》（国务院令第</w:t>
            </w:r>
            <w:r w:rsidR="002B5F6B" w:rsidRPr="00A160B9">
              <w:rPr>
                <w:rStyle w:val="aff0"/>
                <w:rFonts w:ascii="Times New Roman" w:hAnsi="Times New Roman"/>
                <w:noProof/>
                <w:sz w:val="22"/>
                <w:szCs w:val="24"/>
              </w:rPr>
              <w:t>311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_Toc81833552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1519</w:t>
            </w:r>
            <w:r w:rsidR="002B5F6B" w:rsidRPr="00A160B9">
              <w:rPr>
                <w:rStyle w:val="aff0"/>
                <w:rFonts w:ascii="Times New Roman" w:hAnsi="Times New Roman"/>
                <w:webHidden/>
                <w:sz w:val="22"/>
                <w:szCs w:val="24"/>
              </w:rPr>
              <w:fldChar w:fldCharType="end"/>
            </w:r>
          </w:hyperlink>
        </w:p>
        <w:p w14:paraId="148897CD" w14:textId="6B11BB4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53" w:history="1">
            <w:r w:rsidR="002B5F6B" w:rsidRPr="00A160B9">
              <w:rPr>
                <w:rStyle w:val="aff0"/>
                <w:rFonts w:ascii="Times New Roman" w:hAnsi="Times New Roman"/>
                <w:noProof/>
                <w:sz w:val="22"/>
                <w:szCs w:val="24"/>
              </w:rPr>
              <w:t>《公司注册资本登记管理规定》（国家工商行政管理总局令第</w:t>
            </w:r>
            <w:r w:rsidR="002B5F6B" w:rsidRPr="00A160B9">
              <w:rPr>
                <w:rStyle w:val="aff0"/>
                <w:rFonts w:ascii="Times New Roman" w:hAnsi="Times New Roman"/>
                <w:noProof/>
                <w:sz w:val="22"/>
                <w:szCs w:val="24"/>
              </w:rPr>
              <w:t>64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_Toc81833553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1519</w:t>
            </w:r>
            <w:r w:rsidR="002B5F6B" w:rsidRPr="00A160B9">
              <w:rPr>
                <w:rStyle w:val="aff0"/>
                <w:rFonts w:ascii="Times New Roman" w:hAnsi="Times New Roman"/>
                <w:webHidden/>
                <w:sz w:val="22"/>
                <w:szCs w:val="24"/>
              </w:rPr>
              <w:fldChar w:fldCharType="end"/>
            </w:r>
          </w:hyperlink>
        </w:p>
        <w:p w14:paraId="573459AE" w14:textId="1EDF95E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54" w:history="1">
            <w:r w:rsidR="002B5F6B" w:rsidRPr="00A160B9">
              <w:rPr>
                <w:rStyle w:val="aff0"/>
                <w:rFonts w:ascii="Times New Roman" w:hAnsi="Times New Roman"/>
                <w:noProof/>
                <w:sz w:val="22"/>
                <w:szCs w:val="24"/>
              </w:rPr>
              <w:t>《股权出资登记管理办法》（国家工商行政管理总局令第</w:t>
            </w:r>
            <w:r w:rsidR="002B5F6B" w:rsidRPr="00A160B9">
              <w:rPr>
                <w:rStyle w:val="aff0"/>
                <w:rFonts w:ascii="Times New Roman" w:hAnsi="Times New Roman"/>
                <w:noProof/>
                <w:sz w:val="22"/>
                <w:szCs w:val="24"/>
              </w:rPr>
              <w:t>39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_Toc81833554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1520</w:t>
            </w:r>
            <w:r w:rsidR="002B5F6B" w:rsidRPr="00A160B9">
              <w:rPr>
                <w:rStyle w:val="aff0"/>
                <w:rFonts w:ascii="Times New Roman" w:hAnsi="Times New Roman"/>
                <w:webHidden/>
                <w:sz w:val="22"/>
                <w:szCs w:val="24"/>
              </w:rPr>
              <w:fldChar w:fldCharType="end"/>
            </w:r>
          </w:hyperlink>
        </w:p>
        <w:p w14:paraId="0E61499F" w14:textId="55AC2AD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55" w:history="1">
            <w:r w:rsidR="002B5F6B" w:rsidRPr="00A160B9">
              <w:rPr>
                <w:rStyle w:val="aff0"/>
                <w:rFonts w:ascii="Times New Roman" w:hAnsi="Times New Roman"/>
                <w:noProof/>
                <w:sz w:val="22"/>
                <w:szCs w:val="24"/>
              </w:rPr>
              <w:t>《公司债权转股权登记管理办法》（工商总局令第</w:t>
            </w:r>
            <w:r w:rsidR="002B5F6B" w:rsidRPr="00A160B9">
              <w:rPr>
                <w:rStyle w:val="aff0"/>
                <w:rFonts w:ascii="Times New Roman" w:hAnsi="Times New Roman"/>
                <w:noProof/>
                <w:sz w:val="22"/>
                <w:szCs w:val="24"/>
              </w:rPr>
              <w:t>57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_Toc81833555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1520</w:t>
            </w:r>
            <w:r w:rsidR="002B5F6B" w:rsidRPr="00A160B9">
              <w:rPr>
                <w:rStyle w:val="aff0"/>
                <w:rFonts w:ascii="Times New Roman" w:hAnsi="Times New Roman"/>
                <w:webHidden/>
                <w:sz w:val="22"/>
                <w:szCs w:val="24"/>
              </w:rPr>
              <w:fldChar w:fldCharType="end"/>
            </w:r>
          </w:hyperlink>
        </w:p>
        <w:p w14:paraId="45521155" w14:textId="42D186D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56" w:history="1">
            <w:r w:rsidR="002B5F6B" w:rsidRPr="00A160B9">
              <w:rPr>
                <w:rStyle w:val="aff0"/>
                <w:rFonts w:ascii="Times New Roman" w:hAnsi="Times New Roman"/>
                <w:noProof/>
                <w:sz w:val="22"/>
                <w:szCs w:val="24"/>
              </w:rPr>
              <w:t>《关于进一步做好债转股企业资产评估工作的通知》（财企〔</w:t>
            </w:r>
            <w:r w:rsidR="002B5F6B" w:rsidRPr="00A160B9">
              <w:rPr>
                <w:rStyle w:val="aff0"/>
                <w:rFonts w:ascii="Times New Roman" w:hAnsi="Times New Roman"/>
                <w:noProof/>
                <w:sz w:val="22"/>
                <w:szCs w:val="24"/>
              </w:rPr>
              <w:t>2000</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734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_Toc81833556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1522</w:t>
            </w:r>
            <w:r w:rsidR="002B5F6B" w:rsidRPr="00A160B9">
              <w:rPr>
                <w:rStyle w:val="aff0"/>
                <w:rFonts w:ascii="Times New Roman" w:hAnsi="Times New Roman"/>
                <w:webHidden/>
                <w:sz w:val="22"/>
                <w:szCs w:val="24"/>
              </w:rPr>
              <w:fldChar w:fldCharType="end"/>
            </w:r>
          </w:hyperlink>
        </w:p>
        <w:p w14:paraId="786FC909" w14:textId="208527E8"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8"/>
              <w:sz w:val="22"/>
              <w:szCs w:val="24"/>
            </w:rPr>
          </w:pPr>
          <w:hyperlink w:anchor="_Toc81833557" w:history="1">
            <w:r w:rsidR="002B5F6B" w:rsidRPr="00A160B9">
              <w:rPr>
                <w:rStyle w:val="aff0"/>
                <w:rFonts w:ascii="Times New Roman" w:hAnsi="Times New Roman"/>
                <w:noProof/>
                <w:spacing w:val="-8"/>
                <w:sz w:val="22"/>
                <w:szCs w:val="24"/>
              </w:rPr>
              <w:t>《关于规范本市内资公司股权出资登记的试行意见》（沪工商注〔</w:t>
            </w:r>
            <w:r w:rsidR="002B5F6B" w:rsidRPr="00A160B9">
              <w:rPr>
                <w:rStyle w:val="aff0"/>
                <w:rFonts w:ascii="Times New Roman" w:hAnsi="Times New Roman"/>
                <w:noProof/>
                <w:spacing w:val="-8"/>
                <w:sz w:val="22"/>
                <w:szCs w:val="24"/>
              </w:rPr>
              <w:t>2007</w:t>
            </w:r>
            <w:r w:rsidR="002B5F6B" w:rsidRPr="00A160B9">
              <w:rPr>
                <w:rStyle w:val="aff0"/>
                <w:rFonts w:ascii="Times New Roman" w:hAnsi="Times New Roman"/>
                <w:noProof/>
                <w:spacing w:val="-8"/>
                <w:sz w:val="22"/>
                <w:szCs w:val="24"/>
              </w:rPr>
              <w:t>〕</w:t>
            </w:r>
            <w:r w:rsidR="002B5F6B" w:rsidRPr="00A160B9">
              <w:rPr>
                <w:rStyle w:val="aff0"/>
                <w:rFonts w:ascii="Times New Roman" w:hAnsi="Times New Roman"/>
                <w:noProof/>
                <w:spacing w:val="-8"/>
                <w:sz w:val="22"/>
                <w:szCs w:val="24"/>
              </w:rPr>
              <w:t>217</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webHidden/>
                <w:spacing w:val="-8"/>
                <w:sz w:val="22"/>
                <w:szCs w:val="24"/>
              </w:rPr>
              <w:tab/>
            </w:r>
            <w:r w:rsidR="002B5F6B" w:rsidRPr="00A160B9">
              <w:rPr>
                <w:rStyle w:val="aff0"/>
                <w:rFonts w:ascii="Times New Roman" w:hAnsi="Times New Roman"/>
                <w:webHidden/>
                <w:spacing w:val="-8"/>
                <w:sz w:val="22"/>
                <w:szCs w:val="24"/>
              </w:rPr>
              <w:fldChar w:fldCharType="begin"/>
            </w:r>
            <w:r w:rsidR="002B5F6B" w:rsidRPr="00A160B9">
              <w:rPr>
                <w:rStyle w:val="aff0"/>
                <w:rFonts w:ascii="Times New Roman" w:hAnsi="Times New Roman"/>
                <w:webHidden/>
                <w:spacing w:val="-8"/>
                <w:sz w:val="22"/>
                <w:szCs w:val="24"/>
              </w:rPr>
              <w:instrText xml:space="preserve"> PAGEREF _Toc81833557 \h </w:instrText>
            </w:r>
            <w:r w:rsidR="002B5F6B" w:rsidRPr="00A160B9">
              <w:rPr>
                <w:rStyle w:val="aff0"/>
                <w:rFonts w:ascii="Times New Roman" w:hAnsi="Times New Roman"/>
                <w:webHidden/>
                <w:spacing w:val="-8"/>
                <w:sz w:val="22"/>
                <w:szCs w:val="24"/>
              </w:rPr>
            </w:r>
            <w:r w:rsidR="002B5F6B" w:rsidRPr="00A160B9">
              <w:rPr>
                <w:rStyle w:val="aff0"/>
                <w:rFonts w:ascii="Times New Roman" w:hAnsi="Times New Roman"/>
                <w:webHidden/>
                <w:spacing w:val="-8"/>
                <w:sz w:val="22"/>
                <w:szCs w:val="24"/>
              </w:rPr>
              <w:fldChar w:fldCharType="separate"/>
            </w:r>
            <w:r w:rsidR="00CC19DA" w:rsidRPr="00A160B9">
              <w:rPr>
                <w:rStyle w:val="aff0"/>
                <w:rFonts w:ascii="Times New Roman" w:hAnsi="Times New Roman"/>
                <w:noProof/>
                <w:webHidden/>
                <w:spacing w:val="-8"/>
                <w:sz w:val="22"/>
                <w:szCs w:val="24"/>
              </w:rPr>
              <w:t>1524</w:t>
            </w:r>
            <w:r w:rsidR="002B5F6B" w:rsidRPr="00A160B9">
              <w:rPr>
                <w:rStyle w:val="aff0"/>
                <w:rFonts w:ascii="Times New Roman" w:hAnsi="Times New Roman"/>
                <w:webHidden/>
                <w:spacing w:val="-8"/>
                <w:sz w:val="22"/>
                <w:szCs w:val="24"/>
              </w:rPr>
              <w:fldChar w:fldCharType="end"/>
            </w:r>
          </w:hyperlink>
        </w:p>
        <w:p w14:paraId="73805255" w14:textId="78CA22BA" w:rsidR="002B5F6B" w:rsidRPr="00A160B9" w:rsidRDefault="00000000" w:rsidP="002B5F6B">
          <w:pPr>
            <w:pStyle w:val="TOC3"/>
            <w:tabs>
              <w:tab w:val="right" w:leader="dot" w:pos="8296"/>
            </w:tabs>
            <w:spacing w:line="312" w:lineRule="auto"/>
            <w:ind w:leftChars="200" w:left="420"/>
            <w:rPr>
              <w:rStyle w:val="aff0"/>
              <w:rFonts w:ascii="Times New Roman" w:hAnsi="Times New Roman"/>
              <w:noProof/>
              <w:spacing w:val="-8"/>
              <w:sz w:val="22"/>
              <w:szCs w:val="24"/>
            </w:rPr>
          </w:pPr>
          <w:hyperlink w:anchor="_Toc81833558" w:history="1">
            <w:r w:rsidR="002B5F6B" w:rsidRPr="00A160B9">
              <w:rPr>
                <w:rStyle w:val="aff0"/>
                <w:rFonts w:ascii="Times New Roman" w:hAnsi="Times New Roman"/>
                <w:noProof/>
                <w:spacing w:val="-8"/>
                <w:sz w:val="22"/>
                <w:szCs w:val="24"/>
              </w:rPr>
              <w:t>《关于加强以非货币财产出资的评估管理若干问题的通知》（财企〔</w:t>
            </w:r>
            <w:r w:rsidR="002B5F6B" w:rsidRPr="00A160B9">
              <w:rPr>
                <w:rStyle w:val="aff0"/>
                <w:rFonts w:ascii="Times New Roman" w:hAnsi="Times New Roman"/>
                <w:noProof/>
                <w:spacing w:val="-8"/>
                <w:sz w:val="22"/>
                <w:szCs w:val="24"/>
              </w:rPr>
              <w:t>2009</w:t>
            </w:r>
            <w:r w:rsidR="002B5F6B" w:rsidRPr="00A160B9">
              <w:rPr>
                <w:rStyle w:val="aff0"/>
                <w:rFonts w:ascii="Times New Roman" w:hAnsi="Times New Roman"/>
                <w:noProof/>
                <w:spacing w:val="-8"/>
                <w:sz w:val="22"/>
                <w:szCs w:val="24"/>
              </w:rPr>
              <w:t>〕</w:t>
            </w:r>
            <w:r w:rsidR="002B5F6B" w:rsidRPr="00A160B9">
              <w:rPr>
                <w:rStyle w:val="aff0"/>
                <w:rFonts w:ascii="Times New Roman" w:hAnsi="Times New Roman"/>
                <w:noProof/>
                <w:spacing w:val="-8"/>
                <w:sz w:val="22"/>
                <w:szCs w:val="24"/>
              </w:rPr>
              <w:t>46</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noProof/>
                <w:webHidden/>
                <w:spacing w:val="-8"/>
                <w:sz w:val="22"/>
                <w:szCs w:val="24"/>
              </w:rPr>
              <w:tab/>
            </w:r>
            <w:r w:rsidR="002B5F6B" w:rsidRPr="00A160B9">
              <w:rPr>
                <w:rStyle w:val="aff0"/>
                <w:rFonts w:ascii="Times New Roman" w:hAnsi="Times New Roman"/>
                <w:noProof/>
                <w:webHidden/>
                <w:spacing w:val="-8"/>
                <w:sz w:val="22"/>
                <w:szCs w:val="24"/>
              </w:rPr>
              <w:fldChar w:fldCharType="begin"/>
            </w:r>
            <w:r w:rsidR="002B5F6B" w:rsidRPr="00A160B9">
              <w:rPr>
                <w:rStyle w:val="aff0"/>
                <w:rFonts w:ascii="Times New Roman" w:hAnsi="Times New Roman"/>
                <w:noProof/>
                <w:webHidden/>
                <w:spacing w:val="-8"/>
                <w:sz w:val="22"/>
                <w:szCs w:val="24"/>
              </w:rPr>
              <w:instrText xml:space="preserve"> PAGEREF _Toc81833558 \h </w:instrText>
            </w:r>
            <w:r w:rsidR="002B5F6B" w:rsidRPr="00A160B9">
              <w:rPr>
                <w:rStyle w:val="aff0"/>
                <w:rFonts w:ascii="Times New Roman" w:hAnsi="Times New Roman"/>
                <w:noProof/>
                <w:webHidden/>
                <w:spacing w:val="-8"/>
                <w:sz w:val="22"/>
                <w:szCs w:val="24"/>
              </w:rPr>
            </w:r>
            <w:r w:rsidR="002B5F6B" w:rsidRPr="00A160B9">
              <w:rPr>
                <w:rStyle w:val="aff0"/>
                <w:rFonts w:ascii="Times New Roman" w:hAnsi="Times New Roman"/>
                <w:noProof/>
                <w:webHidden/>
                <w:spacing w:val="-8"/>
                <w:sz w:val="22"/>
                <w:szCs w:val="24"/>
              </w:rPr>
              <w:fldChar w:fldCharType="separate"/>
            </w:r>
            <w:r w:rsidR="00CC19DA" w:rsidRPr="00A160B9">
              <w:rPr>
                <w:rStyle w:val="aff0"/>
                <w:rFonts w:ascii="Times New Roman" w:hAnsi="Times New Roman"/>
                <w:noProof/>
                <w:webHidden/>
                <w:spacing w:val="-8"/>
                <w:sz w:val="22"/>
                <w:szCs w:val="24"/>
              </w:rPr>
              <w:t>1524</w:t>
            </w:r>
            <w:r w:rsidR="002B5F6B" w:rsidRPr="00A160B9">
              <w:rPr>
                <w:rStyle w:val="aff0"/>
                <w:rFonts w:ascii="Times New Roman" w:hAnsi="Times New Roman"/>
                <w:noProof/>
                <w:webHidden/>
                <w:spacing w:val="-8"/>
                <w:sz w:val="22"/>
                <w:szCs w:val="24"/>
              </w:rPr>
              <w:fldChar w:fldCharType="end"/>
            </w:r>
          </w:hyperlink>
        </w:p>
        <w:p w14:paraId="1CE36EA8" w14:textId="7B286473"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59" w:history="1">
            <w:r w:rsidR="002B5F6B" w:rsidRPr="00A160B9">
              <w:rPr>
                <w:rStyle w:val="aff0"/>
                <w:rFonts w:ascii="Times New Roman" w:hAnsi="Times New Roman"/>
                <w:noProof/>
                <w:sz w:val="22"/>
                <w:szCs w:val="24"/>
              </w:rPr>
              <w:t>《证券公司监督管理条例》（</w:t>
            </w:r>
            <w:r w:rsidR="002B5F6B" w:rsidRPr="00A160B9">
              <w:rPr>
                <w:rStyle w:val="aff0"/>
                <w:rFonts w:ascii="Times New Roman" w:hAnsi="Times New Roman"/>
                <w:noProof/>
                <w:sz w:val="22"/>
                <w:szCs w:val="24"/>
              </w:rPr>
              <w:t>2014</w:t>
            </w:r>
            <w:r w:rsidR="002B5F6B" w:rsidRPr="00A160B9">
              <w:rPr>
                <w:rStyle w:val="aff0"/>
                <w:rFonts w:ascii="Times New Roman" w:hAnsi="Times New Roman"/>
                <w:noProof/>
                <w:sz w:val="22"/>
                <w:szCs w:val="24"/>
              </w:rPr>
              <w:t>修订）</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_Toc81833559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1525</w:t>
            </w:r>
            <w:r w:rsidR="002B5F6B" w:rsidRPr="00A160B9">
              <w:rPr>
                <w:rStyle w:val="aff0"/>
                <w:rFonts w:ascii="Times New Roman" w:hAnsi="Times New Roman"/>
                <w:webHidden/>
                <w:sz w:val="22"/>
                <w:szCs w:val="24"/>
              </w:rPr>
              <w:fldChar w:fldCharType="end"/>
            </w:r>
          </w:hyperlink>
        </w:p>
        <w:p w14:paraId="5C18EC89" w14:textId="0EC5CC9C" w:rsidR="002B5F6B" w:rsidRPr="00A160B9" w:rsidRDefault="00000000" w:rsidP="002B5F6B">
          <w:pPr>
            <w:pStyle w:val="TOC3"/>
            <w:tabs>
              <w:tab w:val="right" w:leader="dot" w:pos="8296"/>
            </w:tabs>
            <w:spacing w:line="312" w:lineRule="auto"/>
            <w:ind w:leftChars="200" w:left="420"/>
            <w:rPr>
              <w:rStyle w:val="aff0"/>
              <w:rFonts w:ascii="Times New Roman" w:hAnsi="Times New Roman"/>
              <w:noProof/>
              <w:spacing w:val="-8"/>
              <w:sz w:val="22"/>
              <w:szCs w:val="24"/>
            </w:rPr>
          </w:pPr>
          <w:hyperlink w:anchor="_Toc81833560" w:history="1">
            <w:r w:rsidR="002B5F6B" w:rsidRPr="00A160B9">
              <w:rPr>
                <w:rStyle w:val="aff0"/>
                <w:rFonts w:ascii="Times New Roman" w:hAnsi="Times New Roman"/>
                <w:noProof/>
                <w:spacing w:val="-8"/>
                <w:sz w:val="22"/>
                <w:szCs w:val="24"/>
              </w:rPr>
              <w:t>《商务部关于涉及外商投资企业股权出资的暂行规定》（商务部令</w:t>
            </w:r>
            <w:r w:rsidR="002B5F6B" w:rsidRPr="00A160B9">
              <w:rPr>
                <w:rStyle w:val="aff0"/>
                <w:rFonts w:ascii="Times New Roman" w:hAnsi="Times New Roman"/>
                <w:noProof/>
                <w:spacing w:val="-8"/>
                <w:sz w:val="22"/>
                <w:szCs w:val="24"/>
              </w:rPr>
              <w:t>2015</w:t>
            </w:r>
            <w:r w:rsidR="002B5F6B" w:rsidRPr="00A160B9">
              <w:rPr>
                <w:rStyle w:val="aff0"/>
                <w:rFonts w:ascii="Times New Roman" w:hAnsi="Times New Roman"/>
                <w:noProof/>
                <w:spacing w:val="-8"/>
                <w:sz w:val="22"/>
                <w:szCs w:val="24"/>
              </w:rPr>
              <w:t>年第</w:t>
            </w:r>
            <w:r w:rsidR="002B5F6B" w:rsidRPr="00A160B9">
              <w:rPr>
                <w:rStyle w:val="aff0"/>
                <w:rFonts w:ascii="Times New Roman" w:hAnsi="Times New Roman"/>
                <w:noProof/>
                <w:spacing w:val="-8"/>
                <w:sz w:val="22"/>
                <w:szCs w:val="24"/>
              </w:rPr>
              <w:t>2</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noProof/>
                <w:webHidden/>
                <w:spacing w:val="-8"/>
                <w:sz w:val="22"/>
                <w:szCs w:val="24"/>
              </w:rPr>
              <w:tab/>
            </w:r>
            <w:r w:rsidR="002B5F6B" w:rsidRPr="00A160B9">
              <w:rPr>
                <w:rStyle w:val="aff0"/>
                <w:rFonts w:ascii="Times New Roman" w:hAnsi="Times New Roman"/>
                <w:noProof/>
                <w:webHidden/>
                <w:spacing w:val="-8"/>
                <w:sz w:val="22"/>
                <w:szCs w:val="24"/>
              </w:rPr>
              <w:fldChar w:fldCharType="begin"/>
            </w:r>
            <w:r w:rsidR="002B5F6B" w:rsidRPr="00A160B9">
              <w:rPr>
                <w:rStyle w:val="aff0"/>
                <w:rFonts w:ascii="Times New Roman" w:hAnsi="Times New Roman"/>
                <w:noProof/>
                <w:webHidden/>
                <w:spacing w:val="-8"/>
                <w:sz w:val="22"/>
                <w:szCs w:val="24"/>
              </w:rPr>
              <w:instrText xml:space="preserve"> PAGEREF _Toc81833560 \h </w:instrText>
            </w:r>
            <w:r w:rsidR="002B5F6B" w:rsidRPr="00A160B9">
              <w:rPr>
                <w:rStyle w:val="aff0"/>
                <w:rFonts w:ascii="Times New Roman" w:hAnsi="Times New Roman"/>
                <w:noProof/>
                <w:webHidden/>
                <w:spacing w:val="-8"/>
                <w:sz w:val="22"/>
                <w:szCs w:val="24"/>
              </w:rPr>
            </w:r>
            <w:r w:rsidR="002B5F6B" w:rsidRPr="00A160B9">
              <w:rPr>
                <w:rStyle w:val="aff0"/>
                <w:rFonts w:ascii="Times New Roman" w:hAnsi="Times New Roman"/>
                <w:noProof/>
                <w:webHidden/>
                <w:spacing w:val="-8"/>
                <w:sz w:val="22"/>
                <w:szCs w:val="24"/>
              </w:rPr>
              <w:fldChar w:fldCharType="separate"/>
            </w:r>
            <w:r w:rsidR="00CC19DA" w:rsidRPr="00A160B9">
              <w:rPr>
                <w:rStyle w:val="aff0"/>
                <w:rFonts w:ascii="Times New Roman" w:hAnsi="Times New Roman"/>
                <w:noProof/>
                <w:webHidden/>
                <w:spacing w:val="-8"/>
                <w:sz w:val="22"/>
                <w:szCs w:val="24"/>
              </w:rPr>
              <w:t>1525</w:t>
            </w:r>
            <w:r w:rsidR="002B5F6B" w:rsidRPr="00A160B9">
              <w:rPr>
                <w:rStyle w:val="aff0"/>
                <w:rFonts w:ascii="Times New Roman" w:hAnsi="Times New Roman"/>
                <w:noProof/>
                <w:webHidden/>
                <w:spacing w:val="-8"/>
                <w:sz w:val="22"/>
                <w:szCs w:val="24"/>
              </w:rPr>
              <w:fldChar w:fldCharType="end"/>
            </w:r>
          </w:hyperlink>
        </w:p>
        <w:p w14:paraId="433724E0" w14:textId="2A9E2A7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61" w:history="1">
            <w:r w:rsidR="002B5F6B" w:rsidRPr="00A160B9">
              <w:rPr>
                <w:rStyle w:val="aff0"/>
                <w:rFonts w:ascii="Times New Roman" w:hAnsi="Times New Roman"/>
                <w:noProof/>
                <w:sz w:val="22"/>
                <w:szCs w:val="24"/>
              </w:rPr>
              <w:t>《中华人民共和国中外合作经营企业法实施细则》（</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年修订）</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_Toc81833561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1526</w:t>
            </w:r>
            <w:r w:rsidR="002B5F6B" w:rsidRPr="00A160B9">
              <w:rPr>
                <w:rStyle w:val="aff0"/>
                <w:rFonts w:ascii="Times New Roman" w:hAnsi="Times New Roman"/>
                <w:webHidden/>
                <w:sz w:val="22"/>
                <w:szCs w:val="24"/>
              </w:rPr>
              <w:fldChar w:fldCharType="end"/>
            </w:r>
          </w:hyperlink>
        </w:p>
        <w:p w14:paraId="358E8ECD" w14:textId="2B002C9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62" w:history="1">
            <w:r w:rsidR="002B5F6B" w:rsidRPr="00A160B9">
              <w:rPr>
                <w:rStyle w:val="aff0"/>
                <w:rFonts w:ascii="Times New Roman" w:hAnsi="Times New Roman"/>
                <w:noProof/>
                <w:sz w:val="22"/>
                <w:szCs w:val="24"/>
              </w:rPr>
              <w:t>《中央企业公司制改制工作实施方案》（国办发〔</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69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_Toc81833562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1526</w:t>
            </w:r>
            <w:r w:rsidR="002B5F6B" w:rsidRPr="00A160B9">
              <w:rPr>
                <w:rStyle w:val="aff0"/>
                <w:rFonts w:ascii="Times New Roman" w:hAnsi="Times New Roman"/>
                <w:webHidden/>
                <w:sz w:val="22"/>
                <w:szCs w:val="24"/>
              </w:rPr>
              <w:fldChar w:fldCharType="end"/>
            </w:r>
          </w:hyperlink>
        </w:p>
        <w:p w14:paraId="390917C1" w14:textId="1E144987"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63" w:history="1">
            <w:r w:rsidR="002B5F6B" w:rsidRPr="00A160B9">
              <w:rPr>
                <w:rStyle w:val="aff0"/>
                <w:rFonts w:ascii="Times New Roman" w:hAnsi="Times New Roman"/>
                <w:noProof/>
                <w:sz w:val="22"/>
                <w:szCs w:val="24"/>
              </w:rPr>
              <w:t>无形资产出资问题总结</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_Toc81833563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1529</w:t>
            </w:r>
            <w:r w:rsidR="002B5F6B" w:rsidRPr="00A160B9">
              <w:rPr>
                <w:rStyle w:val="aff0"/>
                <w:rFonts w:ascii="Times New Roman" w:hAnsi="Times New Roman"/>
                <w:webHidden/>
                <w:sz w:val="22"/>
                <w:szCs w:val="24"/>
              </w:rPr>
              <w:fldChar w:fldCharType="end"/>
            </w:r>
          </w:hyperlink>
        </w:p>
        <w:p w14:paraId="2CE11351" w14:textId="6C0BFB25"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64" w:history="1">
            <w:r w:rsidR="002B5F6B" w:rsidRPr="00A160B9">
              <w:rPr>
                <w:rStyle w:val="aff0"/>
                <w:b/>
                <w:bCs/>
                <w:noProof/>
                <w:sz w:val="24"/>
              </w:rPr>
              <w:t>涉外资业务</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_Toc81833564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1532</w:t>
            </w:r>
            <w:r w:rsidR="002B5F6B" w:rsidRPr="00A160B9">
              <w:rPr>
                <w:rStyle w:val="aff0"/>
                <w:b/>
                <w:bCs/>
                <w:noProof/>
                <w:webHidden/>
                <w:sz w:val="24"/>
              </w:rPr>
              <w:fldChar w:fldCharType="end"/>
            </w:r>
          </w:hyperlink>
        </w:p>
        <w:p w14:paraId="51AED9D9" w14:textId="21C599F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65" w:history="1">
            <w:r w:rsidR="002B5F6B" w:rsidRPr="00A160B9">
              <w:rPr>
                <w:rStyle w:val="aff0"/>
                <w:rFonts w:ascii="Times New Roman" w:hAnsi="Times New Roman"/>
                <w:noProof/>
                <w:sz w:val="22"/>
                <w:szCs w:val="24"/>
              </w:rPr>
              <w:t>《国家外汇管理局关于授权分局办理外商投资企业转股、清算外汇业务的通知》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（汇发〔</w:t>
            </w:r>
            <w:r w:rsidR="002B5F6B" w:rsidRPr="00A160B9">
              <w:rPr>
                <w:rStyle w:val="aff0"/>
                <w:rFonts w:ascii="Times New Roman" w:hAnsi="Times New Roman"/>
                <w:noProof/>
                <w:sz w:val="22"/>
                <w:szCs w:val="24"/>
              </w:rPr>
              <w:t>1999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397</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_Toc81833565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1532</w:t>
            </w:r>
            <w:r w:rsidR="002B5F6B" w:rsidRPr="00A160B9">
              <w:rPr>
                <w:rStyle w:val="aff0"/>
                <w:rFonts w:ascii="Times New Roman" w:hAnsi="Times New Roman"/>
                <w:webHidden/>
                <w:sz w:val="22"/>
                <w:szCs w:val="24"/>
              </w:rPr>
              <w:fldChar w:fldCharType="end"/>
            </w:r>
          </w:hyperlink>
        </w:p>
        <w:p w14:paraId="3BE8485A" w14:textId="451E2C6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66" w:history="1">
            <w:r w:rsidR="002B5F6B" w:rsidRPr="00A160B9">
              <w:rPr>
                <w:rStyle w:val="aff0"/>
                <w:rFonts w:ascii="Times New Roman" w:hAnsi="Times New Roman"/>
                <w:noProof/>
                <w:sz w:val="22"/>
                <w:szCs w:val="24"/>
              </w:rPr>
              <w:t>《关于外商投资企业对外投资资产评估增减值财务处理问题的通知》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（财企〔</w:t>
            </w:r>
            <w:r w:rsidR="002B5F6B" w:rsidRPr="00A160B9">
              <w:rPr>
                <w:rStyle w:val="aff0"/>
                <w:rFonts w:ascii="Times New Roman" w:hAnsi="Times New Roman"/>
                <w:noProof/>
                <w:sz w:val="22"/>
                <w:szCs w:val="24"/>
              </w:rPr>
              <w:t>2003</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181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_Toc81833566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1533</w:t>
            </w:r>
            <w:r w:rsidR="002B5F6B" w:rsidRPr="00A160B9">
              <w:rPr>
                <w:rStyle w:val="aff0"/>
                <w:rFonts w:ascii="Times New Roman" w:hAnsi="Times New Roman"/>
                <w:webHidden/>
                <w:sz w:val="22"/>
                <w:szCs w:val="24"/>
              </w:rPr>
              <w:fldChar w:fldCharType="end"/>
            </w:r>
          </w:hyperlink>
        </w:p>
        <w:p w14:paraId="592C7B76" w14:textId="1BDAAF4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67" w:history="1">
            <w:r w:rsidR="002B5F6B" w:rsidRPr="00A160B9">
              <w:rPr>
                <w:rStyle w:val="aff0"/>
                <w:rFonts w:ascii="Times New Roman" w:hAnsi="Times New Roman"/>
                <w:noProof/>
                <w:sz w:val="22"/>
                <w:szCs w:val="24"/>
              </w:rPr>
              <w:t>《关于外商投资企业对外投资资产评估增减值财务处理问题的补充通知》</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（财企〔</w:t>
            </w:r>
            <w:r w:rsidR="002B5F6B" w:rsidRPr="00A160B9">
              <w:rPr>
                <w:rStyle w:val="aff0"/>
                <w:rFonts w:ascii="Times New Roman" w:hAnsi="Times New Roman"/>
                <w:noProof/>
                <w:sz w:val="22"/>
                <w:szCs w:val="24"/>
              </w:rPr>
              <w:t>2004</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134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_Toc81833567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1534</w:t>
            </w:r>
            <w:r w:rsidR="002B5F6B" w:rsidRPr="00A160B9">
              <w:rPr>
                <w:rStyle w:val="aff0"/>
                <w:rFonts w:ascii="Times New Roman" w:hAnsi="Times New Roman"/>
                <w:webHidden/>
                <w:sz w:val="22"/>
                <w:szCs w:val="24"/>
              </w:rPr>
              <w:fldChar w:fldCharType="end"/>
            </w:r>
          </w:hyperlink>
        </w:p>
        <w:p w14:paraId="1A8944BF" w14:textId="26F579C9"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68" w:history="1">
            <w:r w:rsidR="002B5F6B" w:rsidRPr="00A160B9">
              <w:rPr>
                <w:rStyle w:val="aff0"/>
                <w:rFonts w:ascii="Times New Roman" w:hAnsi="Times New Roman"/>
                <w:noProof/>
                <w:sz w:val="22"/>
                <w:szCs w:val="24"/>
              </w:rPr>
              <w:t>《外商投资公司审批登记管理法律适用若干问题的执行意见》</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（工商外企字〔</w:t>
            </w:r>
            <w:r w:rsidR="002B5F6B" w:rsidRPr="00A160B9">
              <w:rPr>
                <w:rStyle w:val="aff0"/>
                <w:rFonts w:ascii="Times New Roman" w:hAnsi="Times New Roman"/>
                <w:noProof/>
                <w:sz w:val="22"/>
                <w:szCs w:val="24"/>
              </w:rPr>
              <w:t>2006</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81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_Toc81833568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1534</w:t>
            </w:r>
            <w:r w:rsidR="002B5F6B" w:rsidRPr="00A160B9">
              <w:rPr>
                <w:rStyle w:val="aff0"/>
                <w:rFonts w:ascii="Times New Roman" w:hAnsi="Times New Roman"/>
                <w:webHidden/>
                <w:sz w:val="22"/>
                <w:szCs w:val="24"/>
              </w:rPr>
              <w:fldChar w:fldCharType="end"/>
            </w:r>
          </w:hyperlink>
        </w:p>
        <w:p w14:paraId="1F1F15ED" w14:textId="6D10832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69" w:history="1">
            <w:r w:rsidR="002B5F6B" w:rsidRPr="00A160B9">
              <w:rPr>
                <w:rStyle w:val="aff0"/>
                <w:rFonts w:ascii="Times New Roman" w:hAnsi="Times New Roman"/>
                <w:noProof/>
                <w:sz w:val="22"/>
                <w:szCs w:val="24"/>
              </w:rPr>
              <w:t>《关于外国投资者并购境内企业的规定》（商务部令〔</w:t>
            </w:r>
            <w:r w:rsidR="002B5F6B" w:rsidRPr="00A160B9">
              <w:rPr>
                <w:rStyle w:val="aff0"/>
                <w:rFonts w:ascii="Times New Roman" w:hAnsi="Times New Roman"/>
                <w:noProof/>
                <w:sz w:val="22"/>
                <w:szCs w:val="24"/>
              </w:rPr>
              <w:t>2009</w:t>
            </w:r>
            <w:r w:rsidR="002B5F6B" w:rsidRPr="00A160B9">
              <w:rPr>
                <w:rStyle w:val="aff0"/>
                <w:rFonts w:ascii="Times New Roman" w:hAnsi="Times New Roman"/>
                <w:noProof/>
                <w:sz w:val="22"/>
                <w:szCs w:val="24"/>
              </w:rPr>
              <w:t>年〕第</w:t>
            </w:r>
            <w:r w:rsidR="002B5F6B" w:rsidRPr="00A160B9">
              <w:rPr>
                <w:rStyle w:val="aff0"/>
                <w:rFonts w:ascii="Times New Roman" w:hAnsi="Times New Roman"/>
                <w:noProof/>
                <w:sz w:val="22"/>
                <w:szCs w:val="24"/>
              </w:rPr>
              <w:t>6</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_Toc81833569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1535</w:t>
            </w:r>
            <w:r w:rsidR="002B5F6B" w:rsidRPr="00A160B9">
              <w:rPr>
                <w:rStyle w:val="aff0"/>
                <w:rFonts w:ascii="Times New Roman" w:hAnsi="Times New Roman"/>
                <w:webHidden/>
                <w:sz w:val="22"/>
                <w:szCs w:val="24"/>
              </w:rPr>
              <w:fldChar w:fldCharType="end"/>
            </w:r>
          </w:hyperlink>
        </w:p>
        <w:p w14:paraId="0698E3F7" w14:textId="221A6BD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70" w:history="1">
            <w:r w:rsidR="002B5F6B" w:rsidRPr="00A160B9">
              <w:rPr>
                <w:rStyle w:val="aff0"/>
                <w:rFonts w:ascii="Times New Roman" w:hAnsi="Times New Roman"/>
                <w:noProof/>
                <w:sz w:val="22"/>
                <w:szCs w:val="24"/>
              </w:rPr>
              <w:t>《外商投资股份有限公司设立及变更许可办事指南（试行）》</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_Toc81833570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1535</w:t>
            </w:r>
            <w:r w:rsidR="002B5F6B" w:rsidRPr="00A160B9">
              <w:rPr>
                <w:rStyle w:val="aff0"/>
                <w:rFonts w:ascii="Times New Roman" w:hAnsi="Times New Roman"/>
                <w:webHidden/>
                <w:sz w:val="22"/>
                <w:szCs w:val="24"/>
              </w:rPr>
              <w:fldChar w:fldCharType="end"/>
            </w:r>
          </w:hyperlink>
        </w:p>
        <w:p w14:paraId="326E3D6B" w14:textId="6EEF2324"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71" w:history="1">
            <w:r w:rsidR="002B5F6B" w:rsidRPr="00A160B9">
              <w:rPr>
                <w:rStyle w:val="aff0"/>
                <w:b/>
                <w:bCs/>
                <w:noProof/>
                <w:sz w:val="24"/>
              </w:rPr>
              <w:t>发债业务</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_Toc81833571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1535</w:t>
            </w:r>
            <w:r w:rsidR="002B5F6B" w:rsidRPr="00A160B9">
              <w:rPr>
                <w:rStyle w:val="aff0"/>
                <w:b/>
                <w:bCs/>
                <w:noProof/>
                <w:webHidden/>
                <w:sz w:val="24"/>
              </w:rPr>
              <w:fldChar w:fldCharType="end"/>
            </w:r>
          </w:hyperlink>
        </w:p>
        <w:p w14:paraId="4A36FEAC" w14:textId="6E6F328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72" w:history="1">
            <w:r w:rsidR="002B5F6B" w:rsidRPr="00A160B9">
              <w:rPr>
                <w:rStyle w:val="aff0"/>
                <w:rFonts w:ascii="Times New Roman" w:hAnsi="Times New Roman"/>
                <w:noProof/>
                <w:sz w:val="22"/>
                <w:szCs w:val="24"/>
              </w:rPr>
              <w:t>《证券法》（</w:t>
            </w:r>
            <w:r w:rsidR="002B5F6B" w:rsidRPr="00A160B9">
              <w:rPr>
                <w:rStyle w:val="aff0"/>
                <w:rFonts w:ascii="Times New Roman" w:hAnsi="Times New Roman"/>
                <w:noProof/>
                <w:sz w:val="22"/>
                <w:szCs w:val="24"/>
              </w:rPr>
              <w:t>2014</w:t>
            </w:r>
            <w:r w:rsidR="002B5F6B" w:rsidRPr="00A160B9">
              <w:rPr>
                <w:rStyle w:val="aff0"/>
                <w:rFonts w:ascii="Times New Roman" w:hAnsi="Times New Roman"/>
                <w:noProof/>
                <w:sz w:val="22"/>
                <w:szCs w:val="24"/>
              </w:rPr>
              <w:t>修正）</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_Toc81833572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1535</w:t>
            </w:r>
            <w:r w:rsidR="002B5F6B" w:rsidRPr="00A160B9">
              <w:rPr>
                <w:rStyle w:val="aff0"/>
                <w:rFonts w:ascii="Times New Roman" w:hAnsi="Times New Roman"/>
                <w:webHidden/>
                <w:sz w:val="22"/>
                <w:szCs w:val="24"/>
              </w:rPr>
              <w:fldChar w:fldCharType="end"/>
            </w:r>
          </w:hyperlink>
        </w:p>
        <w:p w14:paraId="3AD4ED4B" w14:textId="2D94085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73" w:history="1">
            <w:r w:rsidR="002B5F6B" w:rsidRPr="00A160B9">
              <w:rPr>
                <w:rStyle w:val="aff0"/>
                <w:rFonts w:ascii="Times New Roman" w:hAnsi="Times New Roman"/>
                <w:noProof/>
                <w:sz w:val="22"/>
                <w:szCs w:val="24"/>
              </w:rPr>
              <w:t>《国家发展改革委办公厅关于进一步强化企业债券风险防范管理有关问题的通知》（发改办财金〔</w:t>
            </w:r>
            <w:r w:rsidR="002B5F6B" w:rsidRPr="00A160B9">
              <w:rPr>
                <w:rStyle w:val="aff0"/>
                <w:rFonts w:ascii="Times New Roman" w:hAnsi="Times New Roman"/>
                <w:noProof/>
                <w:sz w:val="22"/>
                <w:szCs w:val="24"/>
              </w:rPr>
              <w:t>2012</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3451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_Toc81833573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1536</w:t>
            </w:r>
            <w:r w:rsidR="002B5F6B" w:rsidRPr="00A160B9">
              <w:rPr>
                <w:rStyle w:val="aff0"/>
                <w:rFonts w:ascii="Times New Roman" w:hAnsi="Times New Roman"/>
                <w:webHidden/>
                <w:sz w:val="22"/>
                <w:szCs w:val="24"/>
              </w:rPr>
              <w:fldChar w:fldCharType="end"/>
            </w:r>
          </w:hyperlink>
        </w:p>
        <w:p w14:paraId="15A023CD" w14:textId="42E42635"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74" w:history="1">
            <w:r w:rsidR="002B5F6B" w:rsidRPr="00A160B9">
              <w:rPr>
                <w:rStyle w:val="aff0"/>
                <w:b/>
                <w:bCs/>
                <w:noProof/>
                <w:sz w:val="24"/>
              </w:rPr>
              <w:t>资产证券化业务</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_Toc81833574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1536</w:t>
            </w:r>
            <w:r w:rsidR="002B5F6B" w:rsidRPr="00A160B9">
              <w:rPr>
                <w:rStyle w:val="aff0"/>
                <w:b/>
                <w:bCs/>
                <w:noProof/>
                <w:webHidden/>
                <w:sz w:val="24"/>
              </w:rPr>
              <w:fldChar w:fldCharType="end"/>
            </w:r>
          </w:hyperlink>
        </w:p>
        <w:p w14:paraId="3B8A22E0" w14:textId="57CD556E"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75" w:history="1">
            <w:r w:rsidR="002B5F6B" w:rsidRPr="00A160B9">
              <w:rPr>
                <w:rStyle w:val="aff0"/>
                <w:rFonts w:ascii="Times New Roman" w:hAnsi="Times New Roman"/>
                <w:noProof/>
                <w:sz w:val="22"/>
                <w:szCs w:val="24"/>
              </w:rPr>
              <w:t>《资产证券化业务风险控制指引》</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_Toc81833575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1536</w:t>
            </w:r>
            <w:r w:rsidR="002B5F6B" w:rsidRPr="00A160B9">
              <w:rPr>
                <w:rStyle w:val="aff0"/>
                <w:rFonts w:ascii="Times New Roman" w:hAnsi="Times New Roman"/>
                <w:webHidden/>
                <w:sz w:val="22"/>
                <w:szCs w:val="24"/>
              </w:rPr>
              <w:fldChar w:fldCharType="end"/>
            </w:r>
          </w:hyperlink>
        </w:p>
        <w:p w14:paraId="3D68B614" w14:textId="468918AF"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76" w:history="1">
            <w:r w:rsidR="002B5F6B" w:rsidRPr="00A160B9">
              <w:rPr>
                <w:rStyle w:val="aff0"/>
                <w:rFonts w:ascii="Times New Roman" w:hAnsi="Times New Roman"/>
                <w:noProof/>
                <w:sz w:val="22"/>
                <w:szCs w:val="24"/>
              </w:rPr>
              <w:t>《上海证券交易所资产证券化业务指引》（上证发〔</w:t>
            </w:r>
            <w:r w:rsidR="002B5F6B" w:rsidRPr="00A160B9">
              <w:rPr>
                <w:rStyle w:val="aff0"/>
                <w:rFonts w:ascii="Times New Roman" w:hAnsi="Times New Roman"/>
                <w:noProof/>
                <w:sz w:val="22"/>
                <w:szCs w:val="24"/>
              </w:rPr>
              <w:t>2014</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80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_Toc81833576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1537</w:t>
            </w:r>
            <w:r w:rsidR="002B5F6B" w:rsidRPr="00A160B9">
              <w:rPr>
                <w:rStyle w:val="aff0"/>
                <w:rFonts w:ascii="Times New Roman" w:hAnsi="Times New Roman"/>
                <w:webHidden/>
                <w:sz w:val="22"/>
                <w:szCs w:val="24"/>
              </w:rPr>
              <w:fldChar w:fldCharType="end"/>
            </w:r>
          </w:hyperlink>
        </w:p>
        <w:p w14:paraId="751DFAC6" w14:textId="42FE4FE4"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77" w:history="1">
            <w:r w:rsidR="002B5F6B" w:rsidRPr="00A160B9">
              <w:rPr>
                <w:rStyle w:val="aff0"/>
                <w:rFonts w:ascii="Times New Roman" w:hAnsi="Times New Roman"/>
                <w:noProof/>
                <w:sz w:val="22"/>
                <w:szCs w:val="24"/>
              </w:rPr>
              <w:t>《关于推进住房租赁资产证券化相关工作的通知》（证监发〔</w:t>
            </w:r>
            <w:r w:rsidR="002B5F6B" w:rsidRPr="00A160B9">
              <w:rPr>
                <w:rStyle w:val="aff0"/>
                <w:rFonts w:ascii="Times New Roman" w:hAnsi="Times New Roman"/>
                <w:noProof/>
                <w:sz w:val="22"/>
                <w:szCs w:val="24"/>
              </w:rPr>
              <w:t>2018</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30</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_Toc81833577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1537</w:t>
            </w:r>
            <w:r w:rsidR="002B5F6B" w:rsidRPr="00A160B9">
              <w:rPr>
                <w:rStyle w:val="aff0"/>
                <w:rFonts w:ascii="Times New Roman" w:hAnsi="Times New Roman"/>
                <w:webHidden/>
                <w:sz w:val="22"/>
                <w:szCs w:val="24"/>
              </w:rPr>
              <w:fldChar w:fldCharType="end"/>
            </w:r>
          </w:hyperlink>
        </w:p>
        <w:p w14:paraId="1A2A7225" w14:textId="3FE077A8"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78" w:history="1">
            <w:r w:rsidR="002B5F6B" w:rsidRPr="00A160B9">
              <w:rPr>
                <w:rStyle w:val="aff0"/>
                <w:b/>
                <w:bCs/>
                <w:noProof/>
                <w:sz w:val="24"/>
              </w:rPr>
              <w:t>其他</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_Toc81833578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1537</w:t>
            </w:r>
            <w:r w:rsidR="002B5F6B" w:rsidRPr="00A160B9">
              <w:rPr>
                <w:rStyle w:val="aff0"/>
                <w:b/>
                <w:bCs/>
                <w:noProof/>
                <w:webHidden/>
                <w:sz w:val="24"/>
              </w:rPr>
              <w:fldChar w:fldCharType="end"/>
            </w:r>
          </w:hyperlink>
        </w:p>
        <w:p w14:paraId="6969C4CA" w14:textId="450C18E8" w:rsidR="002B5F6B" w:rsidRPr="00A160B9" w:rsidRDefault="00000000" w:rsidP="002B5F6B">
          <w:pPr>
            <w:pStyle w:val="TOC3"/>
            <w:tabs>
              <w:tab w:val="right" w:leader="dot" w:pos="8296"/>
            </w:tabs>
            <w:spacing w:line="312" w:lineRule="auto"/>
            <w:ind w:leftChars="200" w:left="420"/>
            <w:rPr>
              <w:rStyle w:val="aff0"/>
              <w:rFonts w:ascii="Times New Roman" w:hAnsi="Times New Roman"/>
              <w:spacing w:val="-8"/>
              <w:sz w:val="22"/>
              <w:szCs w:val="24"/>
            </w:rPr>
          </w:pPr>
          <w:hyperlink w:anchor="_Toc81833579" w:history="1">
            <w:r w:rsidR="002B5F6B" w:rsidRPr="00A160B9">
              <w:rPr>
                <w:rStyle w:val="aff0"/>
                <w:rFonts w:ascii="Times New Roman" w:hAnsi="Times New Roman"/>
                <w:noProof/>
                <w:spacing w:val="-8"/>
                <w:sz w:val="22"/>
                <w:szCs w:val="24"/>
              </w:rPr>
              <w:t>《关于加强知识产权资产评估管理工作若干问题的通知》（财企〔</w:t>
            </w:r>
            <w:r w:rsidR="002B5F6B" w:rsidRPr="00A160B9">
              <w:rPr>
                <w:rStyle w:val="aff0"/>
                <w:rFonts w:ascii="Times New Roman" w:hAnsi="Times New Roman"/>
                <w:noProof/>
                <w:spacing w:val="-8"/>
                <w:sz w:val="22"/>
                <w:szCs w:val="24"/>
              </w:rPr>
              <w:t>2006</w:t>
            </w:r>
            <w:r w:rsidR="002B5F6B" w:rsidRPr="00A160B9">
              <w:rPr>
                <w:rStyle w:val="aff0"/>
                <w:rFonts w:ascii="Times New Roman" w:hAnsi="Times New Roman"/>
                <w:noProof/>
                <w:spacing w:val="-8"/>
                <w:sz w:val="22"/>
                <w:szCs w:val="24"/>
              </w:rPr>
              <w:t>〕</w:t>
            </w:r>
            <w:r w:rsidR="002B5F6B" w:rsidRPr="00A160B9">
              <w:rPr>
                <w:rStyle w:val="aff0"/>
                <w:rFonts w:ascii="Times New Roman" w:hAnsi="Times New Roman"/>
                <w:noProof/>
                <w:spacing w:val="-8"/>
                <w:sz w:val="22"/>
                <w:szCs w:val="24"/>
              </w:rPr>
              <w:t>109</w:t>
            </w:r>
            <w:r w:rsidR="002B5F6B" w:rsidRPr="00A160B9">
              <w:rPr>
                <w:rStyle w:val="aff0"/>
                <w:rFonts w:ascii="Times New Roman" w:hAnsi="Times New Roman"/>
                <w:noProof/>
                <w:spacing w:val="-8"/>
                <w:sz w:val="22"/>
                <w:szCs w:val="24"/>
              </w:rPr>
              <w:t>号）</w:t>
            </w:r>
            <w:r w:rsidR="002B5F6B" w:rsidRPr="00A160B9">
              <w:rPr>
                <w:rStyle w:val="aff0"/>
                <w:rFonts w:ascii="Times New Roman" w:hAnsi="Times New Roman"/>
                <w:webHidden/>
                <w:spacing w:val="-8"/>
                <w:sz w:val="22"/>
                <w:szCs w:val="24"/>
              </w:rPr>
              <w:tab/>
            </w:r>
            <w:r w:rsidR="002B5F6B" w:rsidRPr="00A160B9">
              <w:rPr>
                <w:rStyle w:val="aff0"/>
                <w:rFonts w:ascii="Times New Roman" w:hAnsi="Times New Roman"/>
                <w:webHidden/>
                <w:spacing w:val="-8"/>
                <w:sz w:val="22"/>
                <w:szCs w:val="24"/>
              </w:rPr>
              <w:fldChar w:fldCharType="begin"/>
            </w:r>
            <w:r w:rsidR="002B5F6B" w:rsidRPr="00A160B9">
              <w:rPr>
                <w:rStyle w:val="aff0"/>
                <w:rFonts w:ascii="Times New Roman" w:hAnsi="Times New Roman"/>
                <w:webHidden/>
                <w:spacing w:val="-8"/>
                <w:sz w:val="22"/>
                <w:szCs w:val="24"/>
              </w:rPr>
              <w:instrText xml:space="preserve"> PAGEREF _Toc81833579 \h </w:instrText>
            </w:r>
            <w:r w:rsidR="002B5F6B" w:rsidRPr="00A160B9">
              <w:rPr>
                <w:rStyle w:val="aff0"/>
                <w:rFonts w:ascii="Times New Roman" w:hAnsi="Times New Roman"/>
                <w:webHidden/>
                <w:spacing w:val="-8"/>
                <w:sz w:val="22"/>
                <w:szCs w:val="24"/>
              </w:rPr>
            </w:r>
            <w:r w:rsidR="002B5F6B" w:rsidRPr="00A160B9">
              <w:rPr>
                <w:rStyle w:val="aff0"/>
                <w:rFonts w:ascii="Times New Roman" w:hAnsi="Times New Roman"/>
                <w:webHidden/>
                <w:spacing w:val="-8"/>
                <w:sz w:val="22"/>
                <w:szCs w:val="24"/>
              </w:rPr>
              <w:fldChar w:fldCharType="separate"/>
            </w:r>
            <w:r w:rsidR="00CC19DA" w:rsidRPr="00A160B9">
              <w:rPr>
                <w:rStyle w:val="aff0"/>
                <w:rFonts w:ascii="Times New Roman" w:hAnsi="Times New Roman"/>
                <w:noProof/>
                <w:webHidden/>
                <w:spacing w:val="-8"/>
                <w:sz w:val="22"/>
                <w:szCs w:val="24"/>
              </w:rPr>
              <w:t>1537</w:t>
            </w:r>
            <w:r w:rsidR="002B5F6B" w:rsidRPr="00A160B9">
              <w:rPr>
                <w:rStyle w:val="aff0"/>
                <w:rFonts w:ascii="Times New Roman" w:hAnsi="Times New Roman"/>
                <w:webHidden/>
                <w:spacing w:val="-8"/>
                <w:sz w:val="22"/>
                <w:szCs w:val="24"/>
              </w:rPr>
              <w:fldChar w:fldCharType="end"/>
            </w:r>
          </w:hyperlink>
        </w:p>
        <w:p w14:paraId="19AF60F0" w14:textId="1B029E2D"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80" w:history="1">
            <w:r w:rsidR="002B5F6B" w:rsidRPr="00A160B9">
              <w:rPr>
                <w:rStyle w:val="aff0"/>
                <w:rFonts w:ascii="Times New Roman" w:hAnsi="Times New Roman"/>
                <w:noProof/>
                <w:sz w:val="22"/>
                <w:szCs w:val="24"/>
              </w:rPr>
              <w:t>《收费公路权益转让办法》（中华人民共和国交通运输部、</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国家发展和改革委员会、中华人民共和国财政部令</w:t>
            </w:r>
            <w:r w:rsidR="002B5F6B" w:rsidRPr="00A160B9">
              <w:rPr>
                <w:rStyle w:val="aff0"/>
                <w:rFonts w:ascii="Times New Roman" w:hAnsi="Times New Roman"/>
                <w:noProof/>
                <w:sz w:val="22"/>
                <w:szCs w:val="24"/>
              </w:rPr>
              <w:t>2008</w:t>
            </w:r>
            <w:r w:rsidR="002B5F6B" w:rsidRPr="00A160B9">
              <w:rPr>
                <w:rStyle w:val="aff0"/>
                <w:rFonts w:ascii="Times New Roman" w:hAnsi="Times New Roman"/>
                <w:noProof/>
                <w:sz w:val="22"/>
                <w:szCs w:val="24"/>
              </w:rPr>
              <w:t>年第</w:t>
            </w:r>
            <w:r w:rsidR="002B5F6B" w:rsidRPr="00A160B9">
              <w:rPr>
                <w:rStyle w:val="aff0"/>
                <w:rFonts w:ascii="Times New Roman" w:hAnsi="Times New Roman"/>
                <w:noProof/>
                <w:sz w:val="22"/>
                <w:szCs w:val="24"/>
              </w:rPr>
              <w:t>11</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_Toc81833580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1538</w:t>
            </w:r>
            <w:r w:rsidR="002B5F6B" w:rsidRPr="00A160B9">
              <w:rPr>
                <w:rStyle w:val="aff0"/>
                <w:rFonts w:ascii="Times New Roman" w:hAnsi="Times New Roman"/>
                <w:webHidden/>
                <w:sz w:val="22"/>
                <w:szCs w:val="24"/>
              </w:rPr>
              <w:fldChar w:fldCharType="end"/>
            </w:r>
          </w:hyperlink>
        </w:p>
        <w:p w14:paraId="78268BB6" w14:textId="5A3505A2"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81" w:history="1">
            <w:r w:rsidR="002B5F6B" w:rsidRPr="00A160B9">
              <w:rPr>
                <w:rStyle w:val="aff0"/>
                <w:rFonts w:ascii="Times New Roman" w:hAnsi="Times New Roman"/>
                <w:noProof/>
                <w:sz w:val="22"/>
                <w:szCs w:val="24"/>
              </w:rPr>
              <w:t>《保险法》（</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年修正）</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_Toc81833581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1540</w:t>
            </w:r>
            <w:r w:rsidR="002B5F6B" w:rsidRPr="00A160B9">
              <w:rPr>
                <w:rStyle w:val="aff0"/>
                <w:rFonts w:ascii="Times New Roman" w:hAnsi="Times New Roman"/>
                <w:webHidden/>
                <w:sz w:val="22"/>
                <w:szCs w:val="24"/>
              </w:rPr>
              <w:fldChar w:fldCharType="end"/>
            </w:r>
          </w:hyperlink>
        </w:p>
        <w:p w14:paraId="79CAAB9E" w14:textId="2F3713A5"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82" w:history="1">
            <w:r w:rsidR="002B5F6B" w:rsidRPr="00A160B9">
              <w:rPr>
                <w:rStyle w:val="aff0"/>
                <w:rFonts w:ascii="Times New Roman" w:hAnsi="Times New Roman"/>
                <w:noProof/>
                <w:sz w:val="22"/>
                <w:szCs w:val="24"/>
              </w:rPr>
              <w:t>《中华人民共和国证券投资基金法》（</w:t>
            </w:r>
            <w:r w:rsidR="002B5F6B" w:rsidRPr="00A160B9">
              <w:rPr>
                <w:rStyle w:val="aff0"/>
                <w:rFonts w:ascii="Times New Roman" w:hAnsi="Times New Roman"/>
                <w:noProof/>
                <w:sz w:val="22"/>
                <w:szCs w:val="24"/>
              </w:rPr>
              <w:t>2015</w:t>
            </w:r>
            <w:r w:rsidR="002B5F6B" w:rsidRPr="00A160B9">
              <w:rPr>
                <w:rStyle w:val="aff0"/>
                <w:rFonts w:ascii="Times New Roman" w:hAnsi="Times New Roman"/>
                <w:noProof/>
                <w:sz w:val="22"/>
                <w:szCs w:val="24"/>
              </w:rPr>
              <w:t>修正）</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_Toc81833582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1540</w:t>
            </w:r>
            <w:r w:rsidR="002B5F6B" w:rsidRPr="00A160B9">
              <w:rPr>
                <w:rStyle w:val="aff0"/>
                <w:rFonts w:ascii="Times New Roman" w:hAnsi="Times New Roman"/>
                <w:webHidden/>
                <w:sz w:val="22"/>
                <w:szCs w:val="24"/>
              </w:rPr>
              <w:fldChar w:fldCharType="end"/>
            </w:r>
          </w:hyperlink>
        </w:p>
        <w:p w14:paraId="6F26B8D1" w14:textId="7192373A"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83" w:history="1">
            <w:r w:rsidR="002B5F6B" w:rsidRPr="00A160B9">
              <w:rPr>
                <w:rStyle w:val="aff0"/>
                <w:rFonts w:ascii="Times New Roman" w:hAnsi="Times New Roman"/>
                <w:noProof/>
                <w:sz w:val="22"/>
                <w:szCs w:val="24"/>
              </w:rPr>
              <w:t>《拍卖法》（中华人民共和国主席令第二十三号）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_Toc81833583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1540</w:t>
            </w:r>
            <w:r w:rsidR="002B5F6B" w:rsidRPr="00A160B9">
              <w:rPr>
                <w:rStyle w:val="aff0"/>
                <w:rFonts w:ascii="Times New Roman" w:hAnsi="Times New Roman"/>
                <w:webHidden/>
                <w:sz w:val="22"/>
                <w:szCs w:val="24"/>
              </w:rPr>
              <w:fldChar w:fldCharType="end"/>
            </w:r>
          </w:hyperlink>
        </w:p>
        <w:p w14:paraId="3B8D23D6" w14:textId="4DD57726"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84" w:history="1">
            <w:r w:rsidR="002B5F6B" w:rsidRPr="00A160B9">
              <w:rPr>
                <w:rStyle w:val="aff0"/>
                <w:rFonts w:ascii="Times New Roman" w:hAnsi="Times New Roman"/>
                <w:noProof/>
                <w:sz w:val="22"/>
                <w:szCs w:val="24"/>
              </w:rPr>
              <w:t>《公路法》（</w:t>
            </w:r>
            <w:r w:rsidR="002B5F6B" w:rsidRPr="00A160B9">
              <w:rPr>
                <w:rStyle w:val="aff0"/>
                <w:rFonts w:ascii="Times New Roman" w:hAnsi="Times New Roman"/>
                <w:noProof/>
                <w:sz w:val="22"/>
                <w:szCs w:val="24"/>
              </w:rPr>
              <w:t>2017</w:t>
            </w:r>
            <w:r w:rsidR="002B5F6B" w:rsidRPr="00A160B9">
              <w:rPr>
                <w:rStyle w:val="aff0"/>
                <w:rFonts w:ascii="Times New Roman" w:hAnsi="Times New Roman"/>
                <w:noProof/>
                <w:sz w:val="22"/>
                <w:szCs w:val="24"/>
              </w:rPr>
              <w:t>年修订）</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_Toc81833584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1540</w:t>
            </w:r>
            <w:r w:rsidR="002B5F6B" w:rsidRPr="00A160B9">
              <w:rPr>
                <w:rStyle w:val="aff0"/>
                <w:rFonts w:ascii="Times New Roman" w:hAnsi="Times New Roman"/>
                <w:webHidden/>
                <w:sz w:val="22"/>
                <w:szCs w:val="24"/>
              </w:rPr>
              <w:fldChar w:fldCharType="end"/>
            </w:r>
          </w:hyperlink>
        </w:p>
        <w:p w14:paraId="30A4909A" w14:textId="2E362DE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85" w:history="1">
            <w:r w:rsidR="002B5F6B" w:rsidRPr="00A160B9">
              <w:rPr>
                <w:rStyle w:val="aff0"/>
                <w:rFonts w:ascii="Times New Roman" w:hAnsi="Times New Roman"/>
                <w:noProof/>
                <w:sz w:val="22"/>
                <w:szCs w:val="24"/>
              </w:rPr>
              <w:t>《金融机构撤销条例》（中华人民共和国国务院令第</w:t>
            </w:r>
            <w:r w:rsidR="002B5F6B" w:rsidRPr="00A160B9">
              <w:rPr>
                <w:rStyle w:val="aff0"/>
                <w:rFonts w:ascii="Times New Roman" w:hAnsi="Times New Roman"/>
                <w:noProof/>
                <w:sz w:val="22"/>
                <w:szCs w:val="24"/>
              </w:rPr>
              <w:t>324</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_Toc81833585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1541</w:t>
            </w:r>
            <w:r w:rsidR="002B5F6B" w:rsidRPr="00A160B9">
              <w:rPr>
                <w:rStyle w:val="aff0"/>
                <w:rFonts w:ascii="Times New Roman" w:hAnsi="Times New Roman"/>
                <w:webHidden/>
                <w:sz w:val="22"/>
                <w:szCs w:val="24"/>
              </w:rPr>
              <w:fldChar w:fldCharType="end"/>
            </w:r>
          </w:hyperlink>
        </w:p>
        <w:p w14:paraId="344C1ED7" w14:textId="77FBD4FC"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86" w:history="1">
            <w:r w:rsidR="002B5F6B" w:rsidRPr="00A160B9">
              <w:rPr>
                <w:rStyle w:val="aff0"/>
                <w:rFonts w:ascii="Times New Roman" w:hAnsi="Times New Roman"/>
                <w:noProof/>
                <w:sz w:val="22"/>
                <w:szCs w:val="24"/>
              </w:rPr>
              <w:t>关于评估、验资复核问题的小结</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_Toc81833586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1541</w:t>
            </w:r>
            <w:r w:rsidR="002B5F6B" w:rsidRPr="00A160B9">
              <w:rPr>
                <w:rStyle w:val="aff0"/>
                <w:rFonts w:ascii="Times New Roman" w:hAnsi="Times New Roman"/>
                <w:webHidden/>
                <w:sz w:val="22"/>
                <w:szCs w:val="24"/>
              </w:rPr>
              <w:fldChar w:fldCharType="end"/>
            </w:r>
          </w:hyperlink>
        </w:p>
        <w:p w14:paraId="6747EF1A" w14:textId="520EDF64" w:rsidR="002B5F6B" w:rsidRPr="00A160B9" w:rsidRDefault="00000000" w:rsidP="002B5F6B">
          <w:pPr>
            <w:pStyle w:val="TOC2"/>
            <w:tabs>
              <w:tab w:val="right" w:leader="dot" w:pos="8296"/>
            </w:tabs>
            <w:spacing w:line="312" w:lineRule="auto"/>
            <w:ind w:leftChars="100" w:left="210"/>
            <w:rPr>
              <w:rStyle w:val="aff0"/>
              <w:b/>
              <w:bCs/>
              <w:noProof/>
              <w:sz w:val="24"/>
            </w:rPr>
          </w:pPr>
          <w:hyperlink w:anchor="_Toc81833587" w:history="1">
            <w:r w:rsidR="002B5F6B" w:rsidRPr="00A160B9">
              <w:rPr>
                <w:rStyle w:val="aff0"/>
                <w:b/>
                <w:bCs/>
                <w:noProof/>
                <w:sz w:val="24"/>
              </w:rPr>
              <w:t>司法解释中有关资产评估的规定</w:t>
            </w:r>
            <w:r w:rsidR="002B5F6B" w:rsidRPr="00A160B9">
              <w:rPr>
                <w:rStyle w:val="aff0"/>
                <w:b/>
                <w:bCs/>
                <w:noProof/>
                <w:webHidden/>
                <w:sz w:val="24"/>
              </w:rPr>
              <w:tab/>
            </w:r>
            <w:r w:rsidR="002B5F6B" w:rsidRPr="00A160B9">
              <w:rPr>
                <w:rStyle w:val="aff0"/>
                <w:b/>
                <w:bCs/>
                <w:noProof/>
                <w:webHidden/>
                <w:sz w:val="24"/>
              </w:rPr>
              <w:fldChar w:fldCharType="begin"/>
            </w:r>
            <w:r w:rsidR="002B5F6B" w:rsidRPr="00A160B9">
              <w:rPr>
                <w:rStyle w:val="aff0"/>
                <w:b/>
                <w:bCs/>
                <w:noProof/>
                <w:webHidden/>
                <w:sz w:val="24"/>
              </w:rPr>
              <w:instrText xml:space="preserve"> PAGEREF _Toc81833587 \h </w:instrText>
            </w:r>
            <w:r w:rsidR="002B5F6B" w:rsidRPr="00A160B9">
              <w:rPr>
                <w:rStyle w:val="aff0"/>
                <w:b/>
                <w:bCs/>
                <w:noProof/>
                <w:webHidden/>
                <w:sz w:val="24"/>
              </w:rPr>
            </w:r>
            <w:r w:rsidR="002B5F6B" w:rsidRPr="00A160B9">
              <w:rPr>
                <w:rStyle w:val="aff0"/>
                <w:b/>
                <w:bCs/>
                <w:noProof/>
                <w:webHidden/>
                <w:sz w:val="24"/>
              </w:rPr>
              <w:fldChar w:fldCharType="separate"/>
            </w:r>
            <w:r w:rsidR="00CC19DA" w:rsidRPr="00A160B9">
              <w:rPr>
                <w:rStyle w:val="aff0"/>
                <w:b/>
                <w:bCs/>
                <w:noProof/>
                <w:webHidden/>
                <w:sz w:val="24"/>
              </w:rPr>
              <w:t>1543</w:t>
            </w:r>
            <w:r w:rsidR="002B5F6B" w:rsidRPr="00A160B9">
              <w:rPr>
                <w:rStyle w:val="aff0"/>
                <w:b/>
                <w:bCs/>
                <w:noProof/>
                <w:webHidden/>
                <w:sz w:val="24"/>
              </w:rPr>
              <w:fldChar w:fldCharType="end"/>
            </w:r>
          </w:hyperlink>
        </w:p>
        <w:p w14:paraId="4DAC9FD9" w14:textId="62AB111B"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88" w:history="1">
            <w:r w:rsidR="002B5F6B" w:rsidRPr="00A160B9">
              <w:rPr>
                <w:rStyle w:val="aff0"/>
                <w:rFonts w:ascii="Times New Roman" w:hAnsi="Times New Roman"/>
                <w:noProof/>
                <w:sz w:val="22"/>
                <w:szCs w:val="24"/>
              </w:rPr>
              <w:t>《关于审理证券市场因虚假陈述引发的民事赔偿案件的若干规定》</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（法释〔</w:t>
            </w:r>
            <w:r w:rsidR="002B5F6B" w:rsidRPr="00A160B9">
              <w:rPr>
                <w:rStyle w:val="aff0"/>
                <w:rFonts w:ascii="Times New Roman" w:hAnsi="Times New Roman"/>
                <w:noProof/>
                <w:sz w:val="22"/>
                <w:szCs w:val="24"/>
              </w:rPr>
              <w:t>2003</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2</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_Toc81833588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1543</w:t>
            </w:r>
            <w:r w:rsidR="002B5F6B" w:rsidRPr="00A160B9">
              <w:rPr>
                <w:rStyle w:val="aff0"/>
                <w:rFonts w:ascii="Times New Roman" w:hAnsi="Times New Roman"/>
                <w:webHidden/>
                <w:sz w:val="22"/>
                <w:szCs w:val="24"/>
              </w:rPr>
              <w:fldChar w:fldCharType="end"/>
            </w:r>
          </w:hyperlink>
        </w:p>
        <w:p w14:paraId="727D14C8" w14:textId="67AAFEE0"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89" w:history="1">
            <w:r w:rsidR="002B5F6B" w:rsidRPr="00A160B9">
              <w:rPr>
                <w:rStyle w:val="aff0"/>
                <w:rFonts w:ascii="Times New Roman" w:hAnsi="Times New Roman"/>
                <w:noProof/>
                <w:sz w:val="22"/>
                <w:szCs w:val="24"/>
              </w:rPr>
              <w:t>《关于适用</w:t>
            </w:r>
            <w:r w:rsidR="002B5F6B" w:rsidRPr="00A160B9">
              <w:rPr>
                <w:rStyle w:val="aff0"/>
                <w:rFonts w:ascii="Times New Roman" w:hAnsi="Times New Roman"/>
                <w:noProof/>
                <w:sz w:val="22"/>
                <w:szCs w:val="24"/>
              </w:rPr>
              <w:t>&lt;</w:t>
            </w:r>
            <w:r w:rsidR="002B5F6B" w:rsidRPr="00A160B9">
              <w:rPr>
                <w:rStyle w:val="aff0"/>
                <w:rFonts w:ascii="Times New Roman" w:hAnsi="Times New Roman"/>
                <w:noProof/>
                <w:sz w:val="22"/>
                <w:szCs w:val="24"/>
              </w:rPr>
              <w:t>中华人民共和国婚姻法</w:t>
            </w:r>
            <w:r w:rsidR="002B5F6B" w:rsidRPr="00A160B9">
              <w:rPr>
                <w:rStyle w:val="aff0"/>
                <w:rFonts w:ascii="Times New Roman" w:hAnsi="Times New Roman"/>
                <w:noProof/>
                <w:sz w:val="22"/>
                <w:szCs w:val="24"/>
              </w:rPr>
              <w:t>&gt;</w:t>
            </w:r>
            <w:r w:rsidR="002B5F6B" w:rsidRPr="00A160B9">
              <w:rPr>
                <w:rStyle w:val="aff0"/>
                <w:rFonts w:ascii="Times New Roman" w:hAnsi="Times New Roman"/>
                <w:noProof/>
                <w:sz w:val="22"/>
                <w:szCs w:val="24"/>
              </w:rPr>
              <w:t>若干问题的解释（二）》</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（法释〔</w:t>
            </w:r>
            <w:r w:rsidR="002B5F6B" w:rsidRPr="00A160B9">
              <w:rPr>
                <w:rStyle w:val="aff0"/>
                <w:rFonts w:ascii="Times New Roman" w:hAnsi="Times New Roman"/>
                <w:noProof/>
                <w:sz w:val="22"/>
                <w:szCs w:val="24"/>
              </w:rPr>
              <w:t>2003</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_Toc81833589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1544</w:t>
            </w:r>
            <w:r w:rsidR="002B5F6B" w:rsidRPr="00A160B9">
              <w:rPr>
                <w:rStyle w:val="aff0"/>
                <w:rFonts w:ascii="Times New Roman" w:hAnsi="Times New Roman"/>
                <w:webHidden/>
                <w:sz w:val="22"/>
                <w:szCs w:val="24"/>
              </w:rPr>
              <w:fldChar w:fldCharType="end"/>
            </w:r>
          </w:hyperlink>
        </w:p>
        <w:p w14:paraId="43932B66" w14:textId="084FC678" w:rsidR="002B5F6B" w:rsidRPr="00A160B9" w:rsidRDefault="00000000" w:rsidP="002B5F6B">
          <w:pPr>
            <w:pStyle w:val="TOC3"/>
            <w:tabs>
              <w:tab w:val="right" w:leader="dot" w:pos="8296"/>
            </w:tabs>
            <w:spacing w:line="312" w:lineRule="auto"/>
            <w:ind w:leftChars="200" w:left="420"/>
            <w:rPr>
              <w:rStyle w:val="aff0"/>
              <w:rFonts w:ascii="Times New Roman" w:hAnsi="Times New Roman"/>
              <w:sz w:val="22"/>
              <w:szCs w:val="24"/>
            </w:rPr>
          </w:pPr>
          <w:hyperlink w:anchor="_Toc81833590" w:history="1">
            <w:r w:rsidR="002B5F6B" w:rsidRPr="00A160B9">
              <w:rPr>
                <w:rStyle w:val="aff0"/>
                <w:rFonts w:ascii="Times New Roman" w:hAnsi="Times New Roman"/>
                <w:noProof/>
                <w:sz w:val="22"/>
                <w:szCs w:val="24"/>
              </w:rPr>
              <w:t>《关于办理妨害信用卡管理刑事案件具体应用法律若干问题的解释》</w:t>
            </w:r>
            <w:r w:rsidR="0052367A" w:rsidRPr="00A160B9">
              <w:rPr>
                <w:rStyle w:val="aff0"/>
                <w:rFonts w:ascii="Times New Roman" w:hAnsi="Times New Roman"/>
                <w:noProof/>
                <w:sz w:val="22"/>
                <w:szCs w:val="24"/>
              </w:rPr>
              <w:br/>
            </w:r>
            <w:r w:rsidR="002B5F6B" w:rsidRPr="00A160B9">
              <w:rPr>
                <w:rStyle w:val="aff0"/>
                <w:rFonts w:ascii="Times New Roman" w:hAnsi="Times New Roman"/>
                <w:noProof/>
                <w:sz w:val="22"/>
                <w:szCs w:val="24"/>
              </w:rPr>
              <w:t>（法释〔</w:t>
            </w:r>
            <w:r w:rsidR="002B5F6B" w:rsidRPr="00A160B9">
              <w:rPr>
                <w:rStyle w:val="aff0"/>
                <w:rFonts w:ascii="Times New Roman" w:hAnsi="Times New Roman"/>
                <w:noProof/>
                <w:sz w:val="22"/>
                <w:szCs w:val="24"/>
              </w:rPr>
              <w:t>2009</w:t>
            </w:r>
            <w:r w:rsidR="002B5F6B" w:rsidRPr="00A160B9">
              <w:rPr>
                <w:rStyle w:val="aff0"/>
                <w:rFonts w:ascii="Times New Roman" w:hAnsi="Times New Roman"/>
                <w:noProof/>
                <w:sz w:val="22"/>
                <w:szCs w:val="24"/>
              </w:rPr>
              <w:t>〕</w:t>
            </w:r>
            <w:r w:rsidR="002B5F6B" w:rsidRPr="00A160B9">
              <w:rPr>
                <w:rStyle w:val="aff0"/>
                <w:rFonts w:ascii="Times New Roman" w:hAnsi="Times New Roman"/>
                <w:noProof/>
                <w:sz w:val="22"/>
                <w:szCs w:val="24"/>
              </w:rPr>
              <w:t>19</w:t>
            </w:r>
            <w:r w:rsidR="002B5F6B" w:rsidRPr="00A160B9">
              <w:rPr>
                <w:rStyle w:val="aff0"/>
                <w:rFonts w:ascii="Times New Roman" w:hAnsi="Times New Roman"/>
                <w:noProof/>
                <w:sz w:val="22"/>
                <w:szCs w:val="24"/>
              </w:rPr>
              <w:t>号）</w:t>
            </w:r>
            <w:r w:rsidR="002B5F6B" w:rsidRPr="00A160B9">
              <w:rPr>
                <w:rStyle w:val="aff0"/>
                <w:rFonts w:ascii="Times New Roman" w:hAnsi="Times New Roman"/>
                <w:webHidden/>
                <w:sz w:val="22"/>
                <w:szCs w:val="24"/>
              </w:rPr>
              <w:tab/>
            </w:r>
            <w:r w:rsidR="002B5F6B" w:rsidRPr="00A160B9">
              <w:rPr>
                <w:rStyle w:val="aff0"/>
                <w:rFonts w:ascii="Times New Roman" w:hAnsi="Times New Roman"/>
                <w:webHidden/>
                <w:sz w:val="22"/>
                <w:szCs w:val="24"/>
              </w:rPr>
              <w:fldChar w:fldCharType="begin"/>
            </w:r>
            <w:r w:rsidR="002B5F6B" w:rsidRPr="00A160B9">
              <w:rPr>
                <w:rStyle w:val="aff0"/>
                <w:rFonts w:ascii="Times New Roman" w:hAnsi="Times New Roman"/>
                <w:webHidden/>
                <w:sz w:val="22"/>
                <w:szCs w:val="24"/>
              </w:rPr>
              <w:instrText xml:space="preserve"> PAGEREF _Toc81833590 \h </w:instrText>
            </w:r>
            <w:r w:rsidR="002B5F6B" w:rsidRPr="00A160B9">
              <w:rPr>
                <w:rStyle w:val="aff0"/>
                <w:rFonts w:ascii="Times New Roman" w:hAnsi="Times New Roman"/>
                <w:webHidden/>
                <w:sz w:val="22"/>
                <w:szCs w:val="24"/>
              </w:rPr>
            </w:r>
            <w:r w:rsidR="002B5F6B" w:rsidRPr="00A160B9">
              <w:rPr>
                <w:rStyle w:val="aff0"/>
                <w:rFonts w:ascii="Times New Roman" w:hAnsi="Times New Roman"/>
                <w:webHidden/>
                <w:sz w:val="22"/>
                <w:szCs w:val="24"/>
              </w:rPr>
              <w:fldChar w:fldCharType="separate"/>
            </w:r>
            <w:r w:rsidR="00CC19DA" w:rsidRPr="00A160B9">
              <w:rPr>
                <w:rStyle w:val="aff0"/>
                <w:rFonts w:ascii="Times New Roman" w:hAnsi="Times New Roman"/>
                <w:noProof/>
                <w:webHidden/>
                <w:sz w:val="22"/>
                <w:szCs w:val="24"/>
              </w:rPr>
              <w:t>1544</w:t>
            </w:r>
            <w:r w:rsidR="002B5F6B" w:rsidRPr="00A160B9">
              <w:rPr>
                <w:rStyle w:val="aff0"/>
                <w:rFonts w:ascii="Times New Roman" w:hAnsi="Times New Roman"/>
                <w:webHidden/>
                <w:sz w:val="22"/>
                <w:szCs w:val="24"/>
              </w:rPr>
              <w:fldChar w:fldCharType="end"/>
            </w:r>
          </w:hyperlink>
        </w:p>
        <w:p w14:paraId="2F7F3BB9" w14:textId="7FF4D3DF" w:rsidR="00E31D97" w:rsidRPr="00777D43" w:rsidRDefault="001677E3">
          <w:r w:rsidRPr="00A160B9">
            <w:rPr>
              <w:rFonts w:ascii="Times New Roman" w:hAnsi="Times New Roman" w:cs="Times New Roman"/>
              <w:b/>
              <w:bCs/>
              <w:lang w:val="zh-CN"/>
            </w:rPr>
            <w:fldChar w:fldCharType="end"/>
          </w:r>
        </w:p>
      </w:sdtContent>
    </w:sdt>
    <w:p w14:paraId="6FDE951C" w14:textId="77777777" w:rsidR="00E31D97" w:rsidRDefault="00E31D97">
      <w:pPr>
        <w:rPr>
          <w:rFonts w:ascii="宋体" w:hAnsi="宋体"/>
        </w:rPr>
        <w:sectPr w:rsidR="00E31D97" w:rsidSect="00FD3BB1">
          <w:headerReference w:type="even" r:id="rId14"/>
          <w:headerReference w:type="default" r:id="rId15"/>
          <w:footerReference w:type="even" r:id="rId16"/>
          <w:footerReference w:type="default" r:id="rId17"/>
          <w:headerReference w:type="first" r:id="rId18"/>
          <w:pgSz w:w="11906" w:h="16838"/>
          <w:pgMar w:top="1440" w:right="1800" w:bottom="1440" w:left="1800" w:header="851" w:footer="992" w:gutter="0"/>
          <w:pgNumType w:fmt="upperRoman" w:start="1"/>
          <w:cols w:space="425"/>
          <w:docGrid w:type="lines" w:linePitch="312"/>
        </w:sectPr>
      </w:pPr>
    </w:p>
    <w:p w14:paraId="7425BCEB" w14:textId="50649C9A" w:rsidR="00E31D97" w:rsidRPr="00D03C74" w:rsidRDefault="00D03C74" w:rsidP="005564C9">
      <w:pPr>
        <w:pStyle w:val="11"/>
      </w:pPr>
      <w:bookmarkStart w:id="0" w:name="_Toc81833280"/>
      <w:r w:rsidRPr="00D03C74">
        <w:rPr>
          <w:rFonts w:hint="eastAsia"/>
        </w:rPr>
        <w:lastRenderedPageBreak/>
        <w:t>资产评估法</w:t>
      </w:r>
      <w:bookmarkEnd w:id="0"/>
    </w:p>
    <w:p w14:paraId="7221340B" w14:textId="6572574A" w:rsidR="00E31D97" w:rsidRPr="00D03C74" w:rsidRDefault="002B5F6B" w:rsidP="005564C9">
      <w:pPr>
        <w:pStyle w:val="21"/>
        <w:spacing w:before="156" w:after="93"/>
      </w:pPr>
      <w:bookmarkStart w:id="1" w:name="_Toc81833281"/>
      <w:r>
        <w:rPr>
          <w:rFonts w:hint="eastAsia"/>
        </w:rPr>
        <w:t>《</w:t>
      </w:r>
      <w:r w:rsidRPr="00D03C74">
        <w:rPr>
          <w:rFonts w:hint="eastAsia"/>
        </w:rPr>
        <w:t>中华人民共和国资产评估法</w:t>
      </w:r>
      <w:r>
        <w:rPr>
          <w:rFonts w:hint="eastAsia"/>
        </w:rPr>
        <w:t>》</w:t>
      </w:r>
      <w:bookmarkEnd w:id="1"/>
    </w:p>
    <w:p w14:paraId="222C0C87" w14:textId="30AF8422" w:rsidR="00D03C74" w:rsidRPr="00D03C74" w:rsidRDefault="00D03C74" w:rsidP="001131ED">
      <w:pPr>
        <w:pStyle w:val="13"/>
        <w:jc w:val="center"/>
      </w:pPr>
      <w:r w:rsidRPr="00D03C74">
        <w:rPr>
          <w:rFonts w:hint="eastAsia"/>
        </w:rPr>
        <w:t>中华人民共和国主席令</w:t>
      </w:r>
    </w:p>
    <w:p w14:paraId="0EE96C04" w14:textId="77777777" w:rsidR="00D03C74" w:rsidRPr="00D03C74" w:rsidRDefault="00D03C74" w:rsidP="001131ED">
      <w:pPr>
        <w:pStyle w:val="13"/>
        <w:jc w:val="center"/>
      </w:pPr>
      <w:r w:rsidRPr="00D03C74">
        <w:rPr>
          <w:rFonts w:hint="eastAsia"/>
        </w:rPr>
        <w:t>第四十六号</w:t>
      </w:r>
    </w:p>
    <w:p w14:paraId="0632256E" w14:textId="4CED9C5E" w:rsidR="00D03C74" w:rsidRPr="00D03C74" w:rsidRDefault="00D03C74" w:rsidP="001131ED">
      <w:pPr>
        <w:pStyle w:val="13"/>
      </w:pPr>
      <w:r w:rsidRPr="00D03C74">
        <w:rPr>
          <w:rFonts w:hint="eastAsia"/>
        </w:rPr>
        <w:t>《中华人民共和国资产评估法》已由中华人民共和国第十二届全国人民代表大会常务委员会第二十一次会议于</w:t>
      </w:r>
      <w:r w:rsidRPr="00D03C74">
        <w:t>2016年7月2日通过，现予公布，自2016年12月1日起施行。</w:t>
      </w:r>
    </w:p>
    <w:p w14:paraId="47BDB639" w14:textId="77777777" w:rsidR="00D03C74" w:rsidRPr="00D03C74" w:rsidRDefault="00D03C74" w:rsidP="001131ED">
      <w:pPr>
        <w:pStyle w:val="13"/>
        <w:jc w:val="right"/>
      </w:pPr>
      <w:r w:rsidRPr="00D03C74">
        <w:rPr>
          <w:rFonts w:hint="eastAsia"/>
        </w:rPr>
        <w:t>中华人民共和国主席</w:t>
      </w:r>
      <w:r w:rsidRPr="00D03C74">
        <w:t xml:space="preserve"> 习近平</w:t>
      </w:r>
    </w:p>
    <w:p w14:paraId="0A4549A0" w14:textId="0C99F28B" w:rsidR="00E31D97" w:rsidRPr="00D03C74" w:rsidRDefault="00D03C74" w:rsidP="001131ED">
      <w:pPr>
        <w:pStyle w:val="13"/>
        <w:jc w:val="right"/>
      </w:pPr>
      <w:r w:rsidRPr="00D03C74">
        <w:t>2016年7月2日</w:t>
      </w:r>
    </w:p>
    <w:p w14:paraId="69DFCB5A" w14:textId="53872215" w:rsidR="00D03C74" w:rsidRPr="00D03C74" w:rsidRDefault="00D03C74" w:rsidP="00AF7342">
      <w:pPr>
        <w:pStyle w:val="a9"/>
        <w:spacing w:before="62" w:after="62"/>
      </w:pPr>
      <w:r w:rsidRPr="00D03C74">
        <w:rPr>
          <w:rFonts w:hint="eastAsia"/>
        </w:rPr>
        <w:t>中华人民共和国资产评估法</w:t>
      </w:r>
    </w:p>
    <w:p w14:paraId="2DFA38B0" w14:textId="3F91B60C" w:rsidR="00D03C74" w:rsidRPr="000A4228" w:rsidRDefault="00D03C74" w:rsidP="00AF7342">
      <w:pPr>
        <w:pStyle w:val="a9"/>
        <w:spacing w:before="62" w:after="62"/>
      </w:pPr>
      <w:r w:rsidRPr="000A4228">
        <w:rPr>
          <w:rFonts w:hint="eastAsia"/>
        </w:rPr>
        <w:t>第一章 总则</w:t>
      </w:r>
    </w:p>
    <w:p w14:paraId="5E47AF9B" w14:textId="7823BB53" w:rsidR="00D03C74" w:rsidRPr="00D03C74" w:rsidRDefault="004E3EBB" w:rsidP="001131ED">
      <w:pPr>
        <w:pStyle w:val="13"/>
        <w:ind w:firstLine="482"/>
      </w:pPr>
      <w:r w:rsidRPr="004E3EBB">
        <w:rPr>
          <w:rFonts w:hint="eastAsia"/>
          <w:b/>
          <w:bCs/>
        </w:rPr>
        <w:t xml:space="preserve">第一条 </w:t>
      </w:r>
      <w:r w:rsidR="00D03C74" w:rsidRPr="00D03C74">
        <w:t>为了规范资产评估行为，保护资产评估当事人合法权益和公共利益</w:t>
      </w:r>
      <w:r w:rsidR="00CC4D74">
        <w:t>，</w:t>
      </w:r>
      <w:r w:rsidR="00D03C74" w:rsidRPr="00D03C74">
        <w:t>促进资产评估行业健康发展，维护社会主义市场经济秩序，制定本法。</w:t>
      </w:r>
    </w:p>
    <w:p w14:paraId="7F28A7E5" w14:textId="0E730DE2" w:rsidR="00D03C74" w:rsidRPr="00D03C74" w:rsidRDefault="004E3EBB" w:rsidP="001131ED">
      <w:pPr>
        <w:pStyle w:val="13"/>
        <w:ind w:firstLine="482"/>
      </w:pPr>
      <w:r w:rsidRPr="004E3EBB">
        <w:rPr>
          <w:rFonts w:hint="eastAsia"/>
          <w:b/>
          <w:bCs/>
        </w:rPr>
        <w:t xml:space="preserve">第二条 </w:t>
      </w:r>
      <w:r w:rsidR="00D03C74" w:rsidRPr="00D03C74">
        <w:t>本法所称资产评估（以下称评估），是指评估机构及其评估专业人员根据委托对不动产、动产、无形资产、企业价值、资产损失或者其他经济权益进行评定、估算，并出具评估报告的专业服务行为。</w:t>
      </w:r>
    </w:p>
    <w:p w14:paraId="55BDED2F" w14:textId="0E2596D1" w:rsidR="00D03C74" w:rsidRPr="00D03C74" w:rsidRDefault="004E3EBB" w:rsidP="001131ED">
      <w:pPr>
        <w:pStyle w:val="13"/>
        <w:ind w:firstLine="482"/>
      </w:pPr>
      <w:r w:rsidRPr="004E3EBB">
        <w:rPr>
          <w:rFonts w:hint="eastAsia"/>
          <w:b/>
          <w:bCs/>
        </w:rPr>
        <w:t xml:space="preserve">第三条 </w:t>
      </w:r>
      <w:r w:rsidR="00D03C74" w:rsidRPr="00D03C74">
        <w:t>自然人、法人或者其他组织需要确定评估对象价值的，可以自愿委托评估机构评估。</w:t>
      </w:r>
    </w:p>
    <w:p w14:paraId="7240FA9D" w14:textId="77777777" w:rsidR="00D03C74" w:rsidRPr="00D03C74" w:rsidRDefault="00D03C74" w:rsidP="001131ED">
      <w:pPr>
        <w:pStyle w:val="13"/>
      </w:pPr>
      <w:r w:rsidRPr="00D03C74">
        <w:rPr>
          <w:rFonts w:hint="eastAsia"/>
        </w:rPr>
        <w:t>涉及国有资产或者公共利益等事项，法律、行政法规规定需要评估的（以下称法定评估），应当依法委托评估机构评估。</w:t>
      </w:r>
    </w:p>
    <w:p w14:paraId="41DB515F" w14:textId="4BBF5C26" w:rsidR="00D03C74" w:rsidRPr="00D03C74" w:rsidRDefault="004E3EBB" w:rsidP="001131ED">
      <w:pPr>
        <w:pStyle w:val="13"/>
        <w:ind w:firstLine="482"/>
      </w:pPr>
      <w:r w:rsidRPr="004E3EBB">
        <w:rPr>
          <w:rFonts w:hint="eastAsia"/>
          <w:b/>
          <w:bCs/>
        </w:rPr>
        <w:t xml:space="preserve">第四条 </w:t>
      </w:r>
      <w:r w:rsidR="00D03C74" w:rsidRPr="00D03C74">
        <w:t>评估机构及其评估专业人员开展业务应当遵守法律、行政法规和评估准则，遵循独立、客观、公正的原则。</w:t>
      </w:r>
    </w:p>
    <w:p w14:paraId="15CD7890" w14:textId="77777777" w:rsidR="00D03C74" w:rsidRPr="00D03C74" w:rsidRDefault="00D03C74" w:rsidP="001131ED">
      <w:pPr>
        <w:pStyle w:val="13"/>
      </w:pPr>
      <w:r w:rsidRPr="00D03C74">
        <w:rPr>
          <w:rFonts w:hint="eastAsia"/>
        </w:rPr>
        <w:t>评估机构及其评估专业人员依法开展业务，受法律保护。</w:t>
      </w:r>
    </w:p>
    <w:p w14:paraId="07695D5B" w14:textId="017BADF4" w:rsidR="00D03C74" w:rsidRDefault="004E3EBB" w:rsidP="001131ED">
      <w:pPr>
        <w:pStyle w:val="13"/>
        <w:ind w:firstLine="482"/>
      </w:pPr>
      <w:r w:rsidRPr="004E3EBB">
        <w:rPr>
          <w:rFonts w:hint="eastAsia"/>
          <w:b/>
          <w:bCs/>
        </w:rPr>
        <w:t xml:space="preserve">第五条 </w:t>
      </w:r>
      <w:r w:rsidR="00D03C74" w:rsidRPr="00D03C74">
        <w:t>评估专业人员从事评估业务，应当加入评估机构，并且只能在一个评估机构从事业务。</w:t>
      </w:r>
    </w:p>
    <w:p w14:paraId="1377B00D" w14:textId="5A110049" w:rsidR="00D03C74" w:rsidRPr="00D03C74" w:rsidRDefault="004E3EBB" w:rsidP="001131ED">
      <w:pPr>
        <w:pStyle w:val="13"/>
        <w:ind w:firstLine="482"/>
      </w:pPr>
      <w:r w:rsidRPr="004E3EBB">
        <w:rPr>
          <w:rFonts w:hint="eastAsia"/>
          <w:b/>
          <w:bCs/>
        </w:rPr>
        <w:t xml:space="preserve">第六条 </w:t>
      </w:r>
      <w:r w:rsidR="00D03C74" w:rsidRPr="00D03C74">
        <w:rPr>
          <w:rFonts w:hint="eastAsia"/>
        </w:rPr>
        <w:t>评估行业可以按照专业领域依法设立行业协会，实行自律管理，并接受有关评估行政管理部门的监督和社会监督。</w:t>
      </w:r>
    </w:p>
    <w:p w14:paraId="71A9ABB3" w14:textId="1C1CA988" w:rsidR="00D03C74" w:rsidRPr="00D03C74" w:rsidRDefault="004E3EBB" w:rsidP="001131ED">
      <w:pPr>
        <w:pStyle w:val="13"/>
        <w:ind w:firstLine="482"/>
      </w:pPr>
      <w:r w:rsidRPr="004E3EBB">
        <w:rPr>
          <w:rFonts w:hint="eastAsia"/>
          <w:b/>
          <w:bCs/>
        </w:rPr>
        <w:t xml:space="preserve">第七条 </w:t>
      </w:r>
      <w:r w:rsidR="00D03C74" w:rsidRPr="00D03C74">
        <w:rPr>
          <w:rFonts w:hint="eastAsia"/>
        </w:rPr>
        <w:t>国务院有关评估行政管理部门按照各自职责分工，对评估行业进行监督管理。</w:t>
      </w:r>
    </w:p>
    <w:p w14:paraId="152CEF16" w14:textId="262A4FD8" w:rsidR="00D03C74" w:rsidRPr="00D03C74" w:rsidRDefault="00D03C74" w:rsidP="001131ED">
      <w:pPr>
        <w:pStyle w:val="13"/>
      </w:pPr>
      <w:r w:rsidRPr="00D03C74">
        <w:rPr>
          <w:rFonts w:hint="eastAsia"/>
        </w:rPr>
        <w:t>设区的市级以上地方人民政府有关评估行政管理部门按照各自职责分工，对本行政区域内的评估行业进行监督管理。</w:t>
      </w:r>
    </w:p>
    <w:p w14:paraId="77DCD89C" w14:textId="77777777" w:rsidR="00D03C74" w:rsidRPr="005564C9" w:rsidRDefault="00D03C74" w:rsidP="00AF7342">
      <w:pPr>
        <w:pStyle w:val="a9"/>
        <w:spacing w:before="62" w:after="62"/>
      </w:pPr>
      <w:r w:rsidRPr="005564C9">
        <w:rPr>
          <w:rFonts w:hint="eastAsia"/>
        </w:rPr>
        <w:lastRenderedPageBreak/>
        <w:t>第二章</w:t>
      </w:r>
      <w:r w:rsidRPr="005564C9">
        <w:t xml:space="preserve"> 评估专业人员</w:t>
      </w:r>
    </w:p>
    <w:p w14:paraId="6E6ECCA9" w14:textId="1787547C" w:rsidR="00D03C74" w:rsidRPr="00D03C74" w:rsidRDefault="004E3EBB" w:rsidP="001131ED">
      <w:pPr>
        <w:pStyle w:val="13"/>
        <w:ind w:firstLine="482"/>
      </w:pPr>
      <w:r w:rsidRPr="004E3EBB">
        <w:rPr>
          <w:rFonts w:hint="eastAsia"/>
          <w:b/>
          <w:bCs/>
        </w:rPr>
        <w:t xml:space="preserve">第八条 </w:t>
      </w:r>
      <w:r w:rsidR="00D03C74" w:rsidRPr="00D03C74">
        <w:rPr>
          <w:rFonts w:hint="eastAsia"/>
        </w:rPr>
        <w:t>评估专业人员包括评估师和其他具有评估专业知识及实践经验的评估从业人员。</w:t>
      </w:r>
    </w:p>
    <w:p w14:paraId="2BAE5021" w14:textId="77777777" w:rsidR="00D03C74" w:rsidRPr="00D03C74" w:rsidRDefault="00D03C74" w:rsidP="001131ED">
      <w:pPr>
        <w:pStyle w:val="13"/>
      </w:pPr>
      <w:r w:rsidRPr="00D03C74">
        <w:rPr>
          <w:rFonts w:hint="eastAsia"/>
        </w:rPr>
        <w:t>评估师是指通过评估师资格考试的评估专业人员。国家根据经济社会发展需要确定评估师专业类别。</w:t>
      </w:r>
    </w:p>
    <w:p w14:paraId="5944C8A5" w14:textId="55652A61" w:rsidR="00D03C74" w:rsidRPr="00D03C74" w:rsidRDefault="00E05BDA" w:rsidP="001131ED">
      <w:pPr>
        <w:pStyle w:val="13"/>
        <w:ind w:firstLine="482"/>
      </w:pPr>
      <w:r w:rsidRPr="00E05BDA">
        <w:rPr>
          <w:rFonts w:hint="eastAsia"/>
          <w:b/>
          <w:bCs/>
        </w:rPr>
        <w:t xml:space="preserve">第九条 </w:t>
      </w:r>
      <w:r w:rsidR="00D03C74" w:rsidRPr="00D03C74">
        <w:rPr>
          <w:rFonts w:hint="eastAsia"/>
        </w:rPr>
        <w:t>有关全国性评估行业协会按照国家规定组织实施评估师资格全国统一考试。</w:t>
      </w:r>
    </w:p>
    <w:p w14:paraId="3ED246CC" w14:textId="77777777" w:rsidR="00D03C74" w:rsidRPr="00D03C74" w:rsidRDefault="00D03C74" w:rsidP="001131ED">
      <w:pPr>
        <w:pStyle w:val="13"/>
      </w:pPr>
      <w:r w:rsidRPr="00D03C74">
        <w:rPr>
          <w:rFonts w:hint="eastAsia"/>
        </w:rPr>
        <w:t>具有高等院校专科以上学历的公民，可以参加评估师资格全国统一考试。</w:t>
      </w:r>
    </w:p>
    <w:p w14:paraId="23F2C652" w14:textId="56DDFACA" w:rsidR="00D03C74" w:rsidRPr="00D03C74" w:rsidRDefault="00E05BDA" w:rsidP="001131ED">
      <w:pPr>
        <w:pStyle w:val="13"/>
        <w:ind w:firstLine="482"/>
      </w:pPr>
      <w:r w:rsidRPr="00E05BDA">
        <w:rPr>
          <w:rFonts w:hint="eastAsia"/>
          <w:b/>
          <w:bCs/>
        </w:rPr>
        <w:t xml:space="preserve">第十条 </w:t>
      </w:r>
      <w:r w:rsidR="00D03C74" w:rsidRPr="00D03C74">
        <w:rPr>
          <w:rFonts w:hint="eastAsia"/>
        </w:rPr>
        <w:t>有关全国性评估行业协会应当在其网站上公布评估师名单，并实时更新。</w:t>
      </w:r>
    </w:p>
    <w:p w14:paraId="33AEF2D5" w14:textId="651DFE5A" w:rsidR="00D03C74" w:rsidRPr="00D03C74" w:rsidRDefault="00E05BDA" w:rsidP="001131ED">
      <w:pPr>
        <w:pStyle w:val="13"/>
        <w:ind w:firstLine="482"/>
      </w:pPr>
      <w:r w:rsidRPr="00E05BDA">
        <w:rPr>
          <w:rFonts w:hint="eastAsia"/>
          <w:b/>
          <w:bCs/>
        </w:rPr>
        <w:t xml:space="preserve">第十一条 </w:t>
      </w:r>
      <w:r w:rsidR="00D03C74" w:rsidRPr="00D03C74">
        <w:rPr>
          <w:rFonts w:hint="eastAsia"/>
        </w:rPr>
        <w:t>因故意犯罪或者在从事评估、财务、会计、审计活动中因过失犯罪而受刑事处罚，自刑罚执行完毕之日起不满五年的人员，不得从事评估业务。</w:t>
      </w:r>
    </w:p>
    <w:p w14:paraId="59A6B450" w14:textId="3297592A" w:rsidR="00D03C74" w:rsidRPr="00D03C74" w:rsidRDefault="00E05BDA" w:rsidP="001131ED">
      <w:pPr>
        <w:pStyle w:val="13"/>
        <w:ind w:firstLine="482"/>
      </w:pPr>
      <w:r w:rsidRPr="00E05BDA">
        <w:rPr>
          <w:rFonts w:hint="eastAsia"/>
          <w:b/>
          <w:bCs/>
        </w:rPr>
        <w:t xml:space="preserve">第十二条 </w:t>
      </w:r>
      <w:r w:rsidR="00D03C74" w:rsidRPr="00D03C74">
        <w:rPr>
          <w:rFonts w:hint="eastAsia"/>
        </w:rPr>
        <w:t>评估专业人员享有下列权利：</w:t>
      </w:r>
    </w:p>
    <w:p w14:paraId="6B604038" w14:textId="77777777" w:rsidR="00D03C74" w:rsidRPr="00D03C74" w:rsidRDefault="00D03C74" w:rsidP="001131ED">
      <w:pPr>
        <w:pStyle w:val="13"/>
      </w:pPr>
      <w:r w:rsidRPr="00D03C74">
        <w:rPr>
          <w:rFonts w:hint="eastAsia"/>
        </w:rPr>
        <w:t>（一）要求委托人提供相关的权属证明、财务会计信息和其他资料，以及为执行公允的评估程序所需的必要协助；</w:t>
      </w:r>
    </w:p>
    <w:p w14:paraId="668C9868" w14:textId="77777777" w:rsidR="00D03C74" w:rsidRPr="00D03C74" w:rsidRDefault="00D03C74" w:rsidP="001131ED">
      <w:pPr>
        <w:pStyle w:val="13"/>
      </w:pPr>
      <w:r w:rsidRPr="00D03C74">
        <w:rPr>
          <w:rFonts w:hint="eastAsia"/>
        </w:rPr>
        <w:t>（二）依法向有关国家机关或者其他组织查阅从事业务所需的文件、证明和资料；</w:t>
      </w:r>
    </w:p>
    <w:p w14:paraId="3ABFB58F" w14:textId="77777777" w:rsidR="00D03C74" w:rsidRPr="00D03C74" w:rsidRDefault="00D03C74" w:rsidP="001131ED">
      <w:pPr>
        <w:pStyle w:val="13"/>
      </w:pPr>
      <w:r w:rsidRPr="00D03C74">
        <w:rPr>
          <w:rFonts w:hint="eastAsia"/>
        </w:rPr>
        <w:t>（三）拒绝委托人或者其他组织、个人对评估行为和评估结果的非法干预；</w:t>
      </w:r>
    </w:p>
    <w:p w14:paraId="67A4F860" w14:textId="77777777" w:rsidR="00D03C74" w:rsidRPr="00D03C74" w:rsidRDefault="00D03C74" w:rsidP="001131ED">
      <w:pPr>
        <w:pStyle w:val="13"/>
      </w:pPr>
      <w:r w:rsidRPr="00D03C74">
        <w:rPr>
          <w:rFonts w:hint="eastAsia"/>
        </w:rPr>
        <w:t>（四）依法签署评估报告；</w:t>
      </w:r>
    </w:p>
    <w:p w14:paraId="3ED97B61" w14:textId="77777777" w:rsidR="00D03C74" w:rsidRPr="00D03C74" w:rsidRDefault="00D03C74" w:rsidP="001131ED">
      <w:pPr>
        <w:pStyle w:val="13"/>
      </w:pPr>
      <w:r w:rsidRPr="00D03C74">
        <w:rPr>
          <w:rFonts w:hint="eastAsia"/>
        </w:rPr>
        <w:t>（五）法律、行政法规规定的其他权利。</w:t>
      </w:r>
    </w:p>
    <w:p w14:paraId="385EFF6C" w14:textId="03D67F0B" w:rsidR="00D03C74" w:rsidRPr="00D03C74" w:rsidRDefault="00E05BDA" w:rsidP="001131ED">
      <w:pPr>
        <w:pStyle w:val="13"/>
        <w:ind w:firstLine="482"/>
      </w:pPr>
      <w:r w:rsidRPr="00E05BDA">
        <w:rPr>
          <w:rFonts w:hint="eastAsia"/>
          <w:b/>
          <w:bCs/>
        </w:rPr>
        <w:t xml:space="preserve">第十三条 </w:t>
      </w:r>
      <w:r w:rsidR="00D03C74" w:rsidRPr="00D03C74">
        <w:rPr>
          <w:rFonts w:hint="eastAsia"/>
        </w:rPr>
        <w:t>评估专业人员应当履行下列义务：</w:t>
      </w:r>
    </w:p>
    <w:p w14:paraId="2F799B24" w14:textId="77777777" w:rsidR="00D03C74" w:rsidRPr="00D03C74" w:rsidRDefault="00D03C74" w:rsidP="001131ED">
      <w:pPr>
        <w:pStyle w:val="13"/>
      </w:pPr>
      <w:r w:rsidRPr="00D03C74">
        <w:rPr>
          <w:rFonts w:hint="eastAsia"/>
        </w:rPr>
        <w:t>（一）诚实守信，依法独立、客观、公正从事业务；</w:t>
      </w:r>
    </w:p>
    <w:p w14:paraId="674183CD" w14:textId="77777777" w:rsidR="00D03C74" w:rsidRPr="00D03C74" w:rsidRDefault="00D03C74" w:rsidP="001131ED">
      <w:pPr>
        <w:pStyle w:val="13"/>
      </w:pPr>
      <w:r w:rsidRPr="00D03C74">
        <w:rPr>
          <w:rFonts w:hint="eastAsia"/>
        </w:rPr>
        <w:t>（二）遵守评估准则，履行调查职责，独立分析估算，勤勉谨慎从事业务；</w:t>
      </w:r>
    </w:p>
    <w:p w14:paraId="576A3380" w14:textId="77777777" w:rsidR="00D03C74" w:rsidRPr="00D03C74" w:rsidRDefault="00D03C74" w:rsidP="001131ED">
      <w:pPr>
        <w:pStyle w:val="13"/>
      </w:pPr>
      <w:r w:rsidRPr="00D03C74">
        <w:rPr>
          <w:rFonts w:hint="eastAsia"/>
        </w:rPr>
        <w:t>（三）完成规定的继续教育，保持和提高专业能力；</w:t>
      </w:r>
    </w:p>
    <w:p w14:paraId="2046A226" w14:textId="77777777" w:rsidR="00D03C74" w:rsidRPr="00D03C74" w:rsidRDefault="00D03C74" w:rsidP="001131ED">
      <w:pPr>
        <w:pStyle w:val="13"/>
      </w:pPr>
      <w:r w:rsidRPr="00D03C74">
        <w:rPr>
          <w:rFonts w:hint="eastAsia"/>
        </w:rPr>
        <w:t>（四）对评估活动中使用的有关文件、证明和资料的真实性、准确性、完整性进行核查和验证；</w:t>
      </w:r>
    </w:p>
    <w:p w14:paraId="50C74DD1" w14:textId="77777777" w:rsidR="00D03C74" w:rsidRPr="00D03C74" w:rsidRDefault="00D03C74" w:rsidP="001131ED">
      <w:pPr>
        <w:pStyle w:val="13"/>
      </w:pPr>
      <w:r w:rsidRPr="00D03C74">
        <w:rPr>
          <w:rFonts w:hint="eastAsia"/>
        </w:rPr>
        <w:t>（五）对评估活动中知悉的国家秘密、商业秘密和个人隐私予以保密；</w:t>
      </w:r>
    </w:p>
    <w:p w14:paraId="090125BE" w14:textId="77777777" w:rsidR="00D03C74" w:rsidRPr="00D03C74" w:rsidRDefault="00D03C74" w:rsidP="001131ED">
      <w:pPr>
        <w:pStyle w:val="13"/>
      </w:pPr>
      <w:r w:rsidRPr="00D03C74">
        <w:rPr>
          <w:rFonts w:hint="eastAsia"/>
        </w:rPr>
        <w:t>（六）与委托人或者其他相关当事人及评估对象有利害关系的，应当回避；</w:t>
      </w:r>
    </w:p>
    <w:p w14:paraId="0C11A332" w14:textId="77777777" w:rsidR="00D03C74" w:rsidRPr="00D03C74" w:rsidRDefault="00D03C74" w:rsidP="001131ED">
      <w:pPr>
        <w:pStyle w:val="13"/>
      </w:pPr>
      <w:r w:rsidRPr="00D03C74">
        <w:rPr>
          <w:rFonts w:hint="eastAsia"/>
        </w:rPr>
        <w:t>（七）接受行业协会的自律管理，履行行业协会章程规定的义务；</w:t>
      </w:r>
    </w:p>
    <w:p w14:paraId="1BAE7F58" w14:textId="77777777" w:rsidR="00D03C74" w:rsidRPr="00D03C74" w:rsidRDefault="00D03C74" w:rsidP="001131ED">
      <w:pPr>
        <w:pStyle w:val="13"/>
      </w:pPr>
      <w:r w:rsidRPr="00D03C74">
        <w:rPr>
          <w:rFonts w:hint="eastAsia"/>
        </w:rPr>
        <w:t>（八）法律、行政法规规定的其他义务。</w:t>
      </w:r>
    </w:p>
    <w:p w14:paraId="10582611" w14:textId="2E6F2657" w:rsidR="00D03C74" w:rsidRPr="00D03C74" w:rsidRDefault="00E05BDA" w:rsidP="001131ED">
      <w:pPr>
        <w:pStyle w:val="13"/>
        <w:ind w:firstLine="482"/>
      </w:pPr>
      <w:r w:rsidRPr="00E05BDA">
        <w:rPr>
          <w:rFonts w:hint="eastAsia"/>
          <w:b/>
          <w:bCs/>
        </w:rPr>
        <w:t xml:space="preserve">第十四条 </w:t>
      </w:r>
      <w:r w:rsidR="00D03C74" w:rsidRPr="00D03C74">
        <w:rPr>
          <w:rFonts w:hint="eastAsia"/>
        </w:rPr>
        <w:t>评估专业人员不得有下列行为：</w:t>
      </w:r>
    </w:p>
    <w:p w14:paraId="20B91E83" w14:textId="77777777" w:rsidR="00D03C74" w:rsidRPr="00D03C74" w:rsidRDefault="00D03C74" w:rsidP="001131ED">
      <w:pPr>
        <w:pStyle w:val="13"/>
      </w:pPr>
      <w:r w:rsidRPr="00D03C74">
        <w:rPr>
          <w:rFonts w:hint="eastAsia"/>
        </w:rPr>
        <w:t>（一）私自接受委托从事业务、收取费用；</w:t>
      </w:r>
    </w:p>
    <w:p w14:paraId="78D4543D" w14:textId="77777777" w:rsidR="00D03C74" w:rsidRPr="00D03C74" w:rsidRDefault="00D03C74" w:rsidP="001131ED">
      <w:pPr>
        <w:pStyle w:val="13"/>
      </w:pPr>
      <w:r w:rsidRPr="00D03C74">
        <w:rPr>
          <w:rFonts w:hint="eastAsia"/>
        </w:rPr>
        <w:t>（二）同时在两个以上评估机构从事业务；</w:t>
      </w:r>
    </w:p>
    <w:p w14:paraId="04B0A166" w14:textId="77777777" w:rsidR="00D03C74" w:rsidRPr="00D03C74" w:rsidRDefault="00D03C74" w:rsidP="001131ED">
      <w:pPr>
        <w:pStyle w:val="13"/>
      </w:pPr>
      <w:r w:rsidRPr="00D03C74">
        <w:rPr>
          <w:rFonts w:hint="eastAsia"/>
        </w:rPr>
        <w:t>（三）采用欺骗、利诱、胁迫，或者贬损、诋毁其他评估专业人员等不正当手段招揽业务；</w:t>
      </w:r>
    </w:p>
    <w:p w14:paraId="072C75A3" w14:textId="77777777" w:rsidR="00D03C74" w:rsidRPr="00D03C74" w:rsidRDefault="00D03C74" w:rsidP="001131ED">
      <w:pPr>
        <w:pStyle w:val="13"/>
      </w:pPr>
      <w:r w:rsidRPr="00D03C74">
        <w:rPr>
          <w:rFonts w:hint="eastAsia"/>
        </w:rPr>
        <w:lastRenderedPageBreak/>
        <w:t>（四）允许他人以本人名义从事业务，或者冒用他人名义从事业务；</w:t>
      </w:r>
    </w:p>
    <w:p w14:paraId="4FA9AECD" w14:textId="77777777" w:rsidR="00D03C74" w:rsidRPr="00D03C74" w:rsidRDefault="00D03C74" w:rsidP="001131ED">
      <w:pPr>
        <w:pStyle w:val="13"/>
      </w:pPr>
      <w:r w:rsidRPr="00D03C74">
        <w:rPr>
          <w:rFonts w:hint="eastAsia"/>
        </w:rPr>
        <w:t>（五）签署本人未承办业务的评估报告；</w:t>
      </w:r>
    </w:p>
    <w:p w14:paraId="3BA3DE57" w14:textId="77777777" w:rsidR="00D03C74" w:rsidRPr="00D03C74" w:rsidRDefault="00D03C74" w:rsidP="001131ED">
      <w:pPr>
        <w:pStyle w:val="13"/>
      </w:pPr>
      <w:r w:rsidRPr="00D03C74">
        <w:rPr>
          <w:rFonts w:hint="eastAsia"/>
        </w:rPr>
        <w:t>（六）索要、收受或者变相索要、收受合同约定以外的酬金、财物，或者谋取其他不正当利益；</w:t>
      </w:r>
    </w:p>
    <w:p w14:paraId="189590B7" w14:textId="77777777" w:rsidR="00D03C74" w:rsidRPr="00D03C74" w:rsidRDefault="00D03C74" w:rsidP="001131ED">
      <w:pPr>
        <w:pStyle w:val="13"/>
      </w:pPr>
      <w:r w:rsidRPr="00D03C74">
        <w:rPr>
          <w:rFonts w:hint="eastAsia"/>
        </w:rPr>
        <w:t>（七）签署虚假评估报告或者有重大遗漏的评估报告；</w:t>
      </w:r>
    </w:p>
    <w:p w14:paraId="3CDD7F8B" w14:textId="028AE971" w:rsidR="00D03C74" w:rsidRPr="00D03C74" w:rsidRDefault="00D03C74" w:rsidP="001131ED">
      <w:pPr>
        <w:pStyle w:val="13"/>
      </w:pPr>
      <w:r w:rsidRPr="00D03C74">
        <w:rPr>
          <w:rFonts w:hint="eastAsia"/>
        </w:rPr>
        <w:t>（八）违反法律、行政法规的其他行为。</w:t>
      </w:r>
    </w:p>
    <w:p w14:paraId="1872C0C7" w14:textId="77777777" w:rsidR="00D03C74" w:rsidRPr="005564C9" w:rsidRDefault="00D03C74" w:rsidP="00AF7342">
      <w:pPr>
        <w:pStyle w:val="a9"/>
        <w:spacing w:before="62" w:after="62"/>
      </w:pPr>
      <w:r w:rsidRPr="005564C9">
        <w:rPr>
          <w:rFonts w:hint="eastAsia"/>
        </w:rPr>
        <w:t>第三章</w:t>
      </w:r>
      <w:r w:rsidRPr="005564C9">
        <w:t xml:space="preserve"> 评估机构</w:t>
      </w:r>
    </w:p>
    <w:p w14:paraId="055A5E80" w14:textId="5C0B0B6D" w:rsidR="00D03C74" w:rsidRPr="00D03C74" w:rsidRDefault="00E05BDA" w:rsidP="001131ED">
      <w:pPr>
        <w:pStyle w:val="13"/>
        <w:ind w:firstLine="482"/>
      </w:pPr>
      <w:r w:rsidRPr="00E05BDA">
        <w:rPr>
          <w:rFonts w:hint="eastAsia"/>
          <w:b/>
          <w:bCs/>
        </w:rPr>
        <w:t xml:space="preserve">第十五条 </w:t>
      </w:r>
      <w:r w:rsidR="00D03C74" w:rsidRPr="00D03C74">
        <w:rPr>
          <w:rFonts w:hint="eastAsia"/>
        </w:rPr>
        <w:t>评估机构应当依法采用合伙或者公司形式，聘用评估专业人员开展评估业务。</w:t>
      </w:r>
    </w:p>
    <w:p w14:paraId="76E7FD8F" w14:textId="77777777" w:rsidR="00D03C74" w:rsidRPr="00D03C74" w:rsidRDefault="00D03C74" w:rsidP="001131ED">
      <w:pPr>
        <w:pStyle w:val="13"/>
      </w:pPr>
      <w:r w:rsidRPr="00D03C74">
        <w:rPr>
          <w:rFonts w:hint="eastAsia"/>
        </w:rPr>
        <w:t>合伙形式的评估机构，应当有两名以上评估师；其合伙人三分之二以上应当是具有三年以上从业经历且最近三年内未受停止从业处罚的评估师。</w:t>
      </w:r>
    </w:p>
    <w:p w14:paraId="3CF74578" w14:textId="77777777" w:rsidR="00D03C74" w:rsidRPr="00D03C74" w:rsidRDefault="00D03C74" w:rsidP="001131ED">
      <w:pPr>
        <w:pStyle w:val="13"/>
      </w:pPr>
      <w:r w:rsidRPr="00D03C74">
        <w:rPr>
          <w:rFonts w:hint="eastAsia"/>
        </w:rPr>
        <w:t>公司形式的评估机构，应当有八名以上评估师和两名以上股东，其中三分之二以上股东应当是具有三年以上从业经历且最近三年内未受停止从业处罚的评估师。</w:t>
      </w:r>
    </w:p>
    <w:p w14:paraId="7530E36F" w14:textId="77777777" w:rsidR="00D03C74" w:rsidRPr="00D03C74" w:rsidRDefault="00D03C74" w:rsidP="001131ED">
      <w:pPr>
        <w:pStyle w:val="13"/>
      </w:pPr>
      <w:r w:rsidRPr="00D03C74">
        <w:rPr>
          <w:rFonts w:hint="eastAsia"/>
        </w:rPr>
        <w:t>评估机构的合伙人或者股东为两名的，两名合伙人或者股东都应当是具有三年以上从业经历且最近三年内未受停止从业处罚的评估师。</w:t>
      </w:r>
    </w:p>
    <w:p w14:paraId="6F92072B" w14:textId="416873DC" w:rsidR="00D03C74" w:rsidRPr="00D03C74" w:rsidRDefault="00E05BDA" w:rsidP="001131ED">
      <w:pPr>
        <w:pStyle w:val="13"/>
        <w:ind w:firstLine="482"/>
      </w:pPr>
      <w:r w:rsidRPr="00E05BDA">
        <w:rPr>
          <w:rFonts w:hint="eastAsia"/>
          <w:b/>
          <w:bCs/>
        </w:rPr>
        <w:t xml:space="preserve">第十六条 </w:t>
      </w:r>
      <w:r w:rsidR="00D03C74" w:rsidRPr="00D03C74">
        <w:rPr>
          <w:rFonts w:hint="eastAsia"/>
        </w:rPr>
        <w:t>设立评估机构，应当向工商行政管理部门申请办理登记。评估机构应当自领取营业执照之日起三十日内向有关评估行政管理部门备案。评估行政管理部门应当及时将评估机构备案情况向社会公告。</w:t>
      </w:r>
    </w:p>
    <w:p w14:paraId="5029E18D" w14:textId="35AAB6D9" w:rsidR="00D03C74" w:rsidRPr="00D03C74" w:rsidRDefault="00E05BDA" w:rsidP="001131ED">
      <w:pPr>
        <w:pStyle w:val="13"/>
        <w:ind w:firstLine="482"/>
      </w:pPr>
      <w:r w:rsidRPr="00E05BDA">
        <w:rPr>
          <w:rFonts w:hint="eastAsia"/>
          <w:b/>
          <w:bCs/>
        </w:rPr>
        <w:t xml:space="preserve">第十七条 </w:t>
      </w:r>
      <w:r w:rsidR="00D03C74" w:rsidRPr="00D03C74">
        <w:rPr>
          <w:rFonts w:hint="eastAsia"/>
        </w:rPr>
        <w:t>评估机构应当依法独立、客观、公正开展业务，建立健全质量控制制度，保证评估报告的客观、真实、合理。</w:t>
      </w:r>
    </w:p>
    <w:p w14:paraId="71BEAB79" w14:textId="77777777" w:rsidR="00D03C74" w:rsidRPr="00D03C74" w:rsidRDefault="00D03C74" w:rsidP="001131ED">
      <w:pPr>
        <w:pStyle w:val="13"/>
      </w:pPr>
      <w:r w:rsidRPr="00D03C74">
        <w:rPr>
          <w:rFonts w:hint="eastAsia"/>
        </w:rPr>
        <w:t>评估机构应当建立健全内部管理制度，对本机构的评估专业人员遵守法律、行政法规和评估准则的情况进行监督，并对其从业行为负责。</w:t>
      </w:r>
    </w:p>
    <w:p w14:paraId="3AC52536" w14:textId="77777777" w:rsidR="00D03C74" w:rsidRPr="00D03C74" w:rsidRDefault="00D03C74" w:rsidP="001131ED">
      <w:pPr>
        <w:pStyle w:val="13"/>
      </w:pPr>
      <w:r w:rsidRPr="00D03C74">
        <w:rPr>
          <w:rFonts w:hint="eastAsia"/>
        </w:rPr>
        <w:t>评估机构应当依法接受监督检查，如实提供评估档案以及相关情况。</w:t>
      </w:r>
    </w:p>
    <w:p w14:paraId="383163F5" w14:textId="1DF52CD7" w:rsidR="00D03C74" w:rsidRPr="00D03C74" w:rsidRDefault="00E05BDA" w:rsidP="001131ED">
      <w:pPr>
        <w:pStyle w:val="13"/>
        <w:ind w:firstLine="482"/>
      </w:pPr>
      <w:r w:rsidRPr="00E05BDA">
        <w:rPr>
          <w:rFonts w:hint="eastAsia"/>
          <w:b/>
          <w:bCs/>
        </w:rPr>
        <w:t xml:space="preserve">第十八条 </w:t>
      </w:r>
      <w:r w:rsidR="00D03C74" w:rsidRPr="00D03C74">
        <w:rPr>
          <w:rFonts w:hint="eastAsia"/>
        </w:rPr>
        <w:t>委托人拒绝提供或者</w:t>
      </w:r>
      <w:proofErr w:type="gramStart"/>
      <w:r w:rsidR="00D03C74" w:rsidRPr="00D03C74">
        <w:rPr>
          <w:rFonts w:hint="eastAsia"/>
        </w:rPr>
        <w:t>不</w:t>
      </w:r>
      <w:proofErr w:type="gramEnd"/>
      <w:r w:rsidR="00D03C74" w:rsidRPr="00D03C74">
        <w:rPr>
          <w:rFonts w:hint="eastAsia"/>
        </w:rPr>
        <w:t>如实提供执行评估业务所需的权属证明、财务会计信息和其他资料的，评估机构有权依法拒绝其履行合同的要求。</w:t>
      </w:r>
    </w:p>
    <w:p w14:paraId="59D47197" w14:textId="09FD15AF" w:rsidR="00D03C74" w:rsidRPr="00D03C74" w:rsidRDefault="00E05BDA" w:rsidP="001131ED">
      <w:pPr>
        <w:pStyle w:val="13"/>
        <w:ind w:firstLine="482"/>
      </w:pPr>
      <w:r w:rsidRPr="00E05BDA">
        <w:rPr>
          <w:rFonts w:hint="eastAsia"/>
          <w:b/>
          <w:bCs/>
        </w:rPr>
        <w:t xml:space="preserve">第十九条 </w:t>
      </w:r>
      <w:r w:rsidR="00D03C74" w:rsidRPr="00D03C74">
        <w:rPr>
          <w:rFonts w:hint="eastAsia"/>
        </w:rPr>
        <w:t>委托人要求出具虚假评估报告或者有其他非法干预评估结果情形的，评估机构有权解除合同。</w:t>
      </w:r>
    </w:p>
    <w:p w14:paraId="4616818D" w14:textId="3CF7422B" w:rsidR="00D03C74" w:rsidRPr="00D03C74" w:rsidRDefault="00E05BDA" w:rsidP="001131ED">
      <w:pPr>
        <w:pStyle w:val="13"/>
        <w:ind w:firstLine="482"/>
      </w:pPr>
      <w:r w:rsidRPr="00E05BDA">
        <w:rPr>
          <w:rFonts w:hint="eastAsia"/>
          <w:b/>
          <w:bCs/>
        </w:rPr>
        <w:t xml:space="preserve">第二十条 </w:t>
      </w:r>
      <w:r w:rsidR="00D03C74" w:rsidRPr="00D03C74">
        <w:rPr>
          <w:rFonts w:hint="eastAsia"/>
        </w:rPr>
        <w:t>评估机构不得有下列行为：</w:t>
      </w:r>
    </w:p>
    <w:p w14:paraId="6874D3F0" w14:textId="77777777" w:rsidR="00D03C74" w:rsidRPr="00D03C74" w:rsidRDefault="00D03C74" w:rsidP="001131ED">
      <w:pPr>
        <w:pStyle w:val="13"/>
      </w:pPr>
      <w:r w:rsidRPr="00D03C74">
        <w:rPr>
          <w:rFonts w:hint="eastAsia"/>
        </w:rPr>
        <w:t>（一）利用开展业务之便，谋取不正当利益；</w:t>
      </w:r>
    </w:p>
    <w:p w14:paraId="64F39698" w14:textId="77777777" w:rsidR="00D03C74" w:rsidRPr="00D03C74" w:rsidRDefault="00D03C74" w:rsidP="001131ED">
      <w:pPr>
        <w:pStyle w:val="13"/>
      </w:pPr>
      <w:r w:rsidRPr="00D03C74">
        <w:rPr>
          <w:rFonts w:hint="eastAsia"/>
        </w:rPr>
        <w:t>（二）允许其他机构以本机构名义开展业务，或者冒用其他机构名义开展业务；</w:t>
      </w:r>
    </w:p>
    <w:p w14:paraId="6FE54172" w14:textId="77777777" w:rsidR="00D03C74" w:rsidRPr="00D03C74" w:rsidRDefault="00D03C74" w:rsidP="001131ED">
      <w:pPr>
        <w:pStyle w:val="13"/>
      </w:pPr>
      <w:r w:rsidRPr="00D03C74">
        <w:rPr>
          <w:rFonts w:hint="eastAsia"/>
        </w:rPr>
        <w:t>（三）以恶性压价、支付回扣、虚假宣传，或者贬损、诋毁其他评估机构等不正当手段招揽业务；</w:t>
      </w:r>
    </w:p>
    <w:p w14:paraId="490CB8C3" w14:textId="77777777" w:rsidR="00D03C74" w:rsidRPr="00D03C74" w:rsidRDefault="00D03C74" w:rsidP="001131ED">
      <w:pPr>
        <w:pStyle w:val="13"/>
      </w:pPr>
      <w:r w:rsidRPr="00D03C74">
        <w:rPr>
          <w:rFonts w:hint="eastAsia"/>
        </w:rPr>
        <w:t>（四）受理与自身有利害关系的业务；</w:t>
      </w:r>
    </w:p>
    <w:p w14:paraId="0818DE8B" w14:textId="77777777" w:rsidR="00D03C74" w:rsidRPr="00D03C74" w:rsidRDefault="00D03C74" w:rsidP="001131ED">
      <w:pPr>
        <w:pStyle w:val="13"/>
      </w:pPr>
      <w:r w:rsidRPr="00D03C74">
        <w:rPr>
          <w:rFonts w:hint="eastAsia"/>
        </w:rPr>
        <w:t>（五）分别接受利益冲突双方的委托，对同一评估对象进行评估；</w:t>
      </w:r>
    </w:p>
    <w:p w14:paraId="3D1E3BD6" w14:textId="77777777" w:rsidR="00D03C74" w:rsidRPr="00D03C74" w:rsidRDefault="00D03C74" w:rsidP="001131ED">
      <w:pPr>
        <w:pStyle w:val="13"/>
      </w:pPr>
      <w:r w:rsidRPr="00D03C74">
        <w:rPr>
          <w:rFonts w:hint="eastAsia"/>
        </w:rPr>
        <w:lastRenderedPageBreak/>
        <w:t>（六）出具虚假评估报告或者有重大遗漏的评估报告；</w:t>
      </w:r>
    </w:p>
    <w:p w14:paraId="4BEA4334" w14:textId="77777777" w:rsidR="00D03C74" w:rsidRPr="00D03C74" w:rsidRDefault="00D03C74" w:rsidP="001131ED">
      <w:pPr>
        <w:pStyle w:val="13"/>
      </w:pPr>
      <w:r w:rsidRPr="00D03C74">
        <w:rPr>
          <w:rFonts w:hint="eastAsia"/>
        </w:rPr>
        <w:t>（七）聘用或者指定不符合本法规定的人员从事评估业务；</w:t>
      </w:r>
    </w:p>
    <w:p w14:paraId="75210026" w14:textId="77777777" w:rsidR="00D03C74" w:rsidRPr="00D03C74" w:rsidRDefault="00D03C74" w:rsidP="001131ED">
      <w:pPr>
        <w:pStyle w:val="13"/>
      </w:pPr>
      <w:r w:rsidRPr="00D03C74">
        <w:rPr>
          <w:rFonts w:hint="eastAsia"/>
        </w:rPr>
        <w:t>（八）违反法律、行政法规的其他行为。</w:t>
      </w:r>
    </w:p>
    <w:p w14:paraId="0E0F9EFB" w14:textId="49AC91F2" w:rsidR="00D03C74" w:rsidRPr="00D03C74" w:rsidRDefault="00E05BDA" w:rsidP="001131ED">
      <w:pPr>
        <w:pStyle w:val="13"/>
        <w:ind w:firstLine="482"/>
      </w:pPr>
      <w:r w:rsidRPr="00E05BDA">
        <w:rPr>
          <w:rFonts w:hint="eastAsia"/>
          <w:b/>
          <w:bCs/>
        </w:rPr>
        <w:t xml:space="preserve">第二十一条 </w:t>
      </w:r>
      <w:r w:rsidR="00D03C74" w:rsidRPr="00D03C74">
        <w:rPr>
          <w:rFonts w:hint="eastAsia"/>
        </w:rPr>
        <w:t>评估机构根据业务需要建立职业风险基金，或者自愿办理职业责任保险，完善风险防范机制。</w:t>
      </w:r>
      <w:r w:rsidR="00D03C74" w:rsidRPr="00D03C74">
        <w:t xml:space="preserve"> </w:t>
      </w:r>
    </w:p>
    <w:p w14:paraId="0852A953" w14:textId="77777777" w:rsidR="00D03C74" w:rsidRPr="005564C9" w:rsidRDefault="00D03C74" w:rsidP="00AF7342">
      <w:pPr>
        <w:pStyle w:val="a9"/>
        <w:spacing w:before="62" w:after="62"/>
      </w:pPr>
      <w:r w:rsidRPr="005564C9">
        <w:rPr>
          <w:rFonts w:hint="eastAsia"/>
        </w:rPr>
        <w:t>第四章</w:t>
      </w:r>
      <w:r w:rsidRPr="005564C9">
        <w:t xml:space="preserve"> 评估程序</w:t>
      </w:r>
    </w:p>
    <w:p w14:paraId="66369A16" w14:textId="4836A8FD" w:rsidR="00D03C74" w:rsidRPr="00D03C74" w:rsidRDefault="00E05BDA" w:rsidP="001131ED">
      <w:pPr>
        <w:pStyle w:val="13"/>
        <w:ind w:firstLine="482"/>
      </w:pPr>
      <w:r w:rsidRPr="00E05BDA">
        <w:rPr>
          <w:rFonts w:hint="eastAsia"/>
          <w:b/>
          <w:bCs/>
        </w:rPr>
        <w:t xml:space="preserve">第二十二条 </w:t>
      </w:r>
      <w:r w:rsidR="00D03C74" w:rsidRPr="00D03C74">
        <w:rPr>
          <w:rFonts w:hint="eastAsia"/>
        </w:rPr>
        <w:t>委托人有权自主选择符合本法规定的评估机构，任何组织或者个人不得非法限制或者干预。</w:t>
      </w:r>
    </w:p>
    <w:p w14:paraId="57C21C07" w14:textId="77777777" w:rsidR="00D03C74" w:rsidRPr="00D03C74" w:rsidRDefault="00D03C74" w:rsidP="001131ED">
      <w:pPr>
        <w:pStyle w:val="13"/>
      </w:pPr>
      <w:r w:rsidRPr="00D03C74">
        <w:rPr>
          <w:rFonts w:hint="eastAsia"/>
        </w:rPr>
        <w:t>评估事项涉及两个以上当事人的，由全体当事人协商委托评估机构。</w:t>
      </w:r>
    </w:p>
    <w:p w14:paraId="4CBA10CF" w14:textId="77777777" w:rsidR="00D03C74" w:rsidRPr="00D03C74" w:rsidRDefault="00D03C74" w:rsidP="001131ED">
      <w:pPr>
        <w:pStyle w:val="13"/>
      </w:pPr>
      <w:r w:rsidRPr="00D03C74">
        <w:rPr>
          <w:rFonts w:hint="eastAsia"/>
        </w:rPr>
        <w:t>委托开展法定评估业务，应当依法选择评估机构。</w:t>
      </w:r>
    </w:p>
    <w:p w14:paraId="1923ADFE" w14:textId="0AFC7363" w:rsidR="00D03C74" w:rsidRPr="00D03C74" w:rsidRDefault="00E05BDA" w:rsidP="001131ED">
      <w:pPr>
        <w:pStyle w:val="13"/>
        <w:ind w:firstLine="482"/>
      </w:pPr>
      <w:r w:rsidRPr="00E05BDA">
        <w:rPr>
          <w:rFonts w:hint="eastAsia"/>
          <w:b/>
          <w:bCs/>
        </w:rPr>
        <w:t xml:space="preserve">第二十三条 </w:t>
      </w:r>
      <w:r w:rsidR="00D03C74" w:rsidRPr="00D03C74">
        <w:rPr>
          <w:rFonts w:hint="eastAsia"/>
        </w:rPr>
        <w:t>委托人应当与评估机构订立委托合同，约定双方的权利和义务。</w:t>
      </w:r>
    </w:p>
    <w:p w14:paraId="08D6A61E" w14:textId="77777777" w:rsidR="00D03C74" w:rsidRPr="00D03C74" w:rsidRDefault="00D03C74" w:rsidP="001131ED">
      <w:pPr>
        <w:pStyle w:val="13"/>
      </w:pPr>
      <w:r w:rsidRPr="00D03C74">
        <w:rPr>
          <w:rFonts w:hint="eastAsia"/>
        </w:rPr>
        <w:t>委托人应当按照合同约定向评估机构支付费用，不得索要、收受或者变相索要、收受回扣。</w:t>
      </w:r>
    </w:p>
    <w:p w14:paraId="2DAF9342" w14:textId="77777777" w:rsidR="00D03C74" w:rsidRPr="00D03C74" w:rsidRDefault="00D03C74" w:rsidP="001131ED">
      <w:pPr>
        <w:pStyle w:val="13"/>
      </w:pPr>
      <w:r w:rsidRPr="00D03C74">
        <w:rPr>
          <w:rFonts w:hint="eastAsia"/>
        </w:rPr>
        <w:t>委托人应当对其提供的权属证明、财务会计信息和其他资料的真实性、完整性和合法性负责。</w:t>
      </w:r>
    </w:p>
    <w:p w14:paraId="43B113F5" w14:textId="45B68536" w:rsidR="00D03C74" w:rsidRPr="00D03C74" w:rsidRDefault="00E05BDA" w:rsidP="001131ED">
      <w:pPr>
        <w:pStyle w:val="13"/>
        <w:ind w:firstLine="482"/>
      </w:pPr>
      <w:r w:rsidRPr="00E05BDA">
        <w:rPr>
          <w:rFonts w:hint="eastAsia"/>
          <w:b/>
          <w:bCs/>
        </w:rPr>
        <w:t xml:space="preserve">第二十四条 </w:t>
      </w:r>
      <w:r w:rsidR="00D03C74" w:rsidRPr="00D03C74">
        <w:rPr>
          <w:rFonts w:hint="eastAsia"/>
        </w:rPr>
        <w:t>对受理的评估业务，评估机构应当指定至少两名评估专业人员承办。</w:t>
      </w:r>
    </w:p>
    <w:p w14:paraId="7B5774B1" w14:textId="77777777" w:rsidR="00D03C74" w:rsidRPr="00D03C74" w:rsidRDefault="00D03C74" w:rsidP="001131ED">
      <w:pPr>
        <w:pStyle w:val="13"/>
      </w:pPr>
      <w:r w:rsidRPr="00D03C74">
        <w:rPr>
          <w:rFonts w:hint="eastAsia"/>
        </w:rPr>
        <w:t>委托人有权要求与相关当事人及评估对象有利害关系的评估专业人员回避。</w:t>
      </w:r>
    </w:p>
    <w:p w14:paraId="6524B092" w14:textId="6BE90D80" w:rsidR="00D03C74" w:rsidRPr="00D03C74" w:rsidRDefault="00E05BDA" w:rsidP="001131ED">
      <w:pPr>
        <w:pStyle w:val="13"/>
        <w:ind w:firstLine="482"/>
      </w:pPr>
      <w:r w:rsidRPr="00E05BDA">
        <w:rPr>
          <w:rFonts w:hint="eastAsia"/>
          <w:b/>
          <w:bCs/>
        </w:rPr>
        <w:t xml:space="preserve">第二十五条 </w:t>
      </w:r>
      <w:r w:rsidR="00D03C74" w:rsidRPr="00D03C74">
        <w:rPr>
          <w:rFonts w:hint="eastAsia"/>
        </w:rPr>
        <w:t>评估专业人员应当根据评估业务具体情况，对评估对象进行现场调查，收集权属证明、财务会计信息和其他资料并进行核查验证、分析整理，作为评估的依据。</w:t>
      </w:r>
    </w:p>
    <w:p w14:paraId="4B96BE0F" w14:textId="53856D2F" w:rsidR="00D03C74" w:rsidRPr="00D03C74" w:rsidRDefault="00E05BDA" w:rsidP="001131ED">
      <w:pPr>
        <w:pStyle w:val="13"/>
        <w:ind w:firstLine="482"/>
      </w:pPr>
      <w:r w:rsidRPr="00E05BDA">
        <w:rPr>
          <w:rFonts w:hint="eastAsia"/>
          <w:b/>
          <w:bCs/>
        </w:rPr>
        <w:t xml:space="preserve">第二十六条 </w:t>
      </w:r>
      <w:r w:rsidR="00D03C74" w:rsidRPr="00D03C74">
        <w:rPr>
          <w:rFonts w:hint="eastAsia"/>
        </w:rPr>
        <w:t>评估专业人员应当恰当选择评估方法，除依据评估执业准则只能选择一种评估方法的外，应当选择两种以上评估方法，经综合分析，形成评估结论，编制评估报告。</w:t>
      </w:r>
    </w:p>
    <w:p w14:paraId="71062A4D" w14:textId="77777777" w:rsidR="00D03C74" w:rsidRPr="00D03C74" w:rsidRDefault="00D03C74" w:rsidP="001131ED">
      <w:pPr>
        <w:pStyle w:val="13"/>
      </w:pPr>
      <w:r w:rsidRPr="00D03C74">
        <w:rPr>
          <w:rFonts w:hint="eastAsia"/>
        </w:rPr>
        <w:t>评估机构应当对评估报告进行内部审核。</w:t>
      </w:r>
    </w:p>
    <w:p w14:paraId="1491B88C" w14:textId="7EEEA906" w:rsidR="00D03C74" w:rsidRPr="00D03C74" w:rsidRDefault="00E05BDA" w:rsidP="001131ED">
      <w:pPr>
        <w:pStyle w:val="13"/>
        <w:ind w:firstLine="482"/>
      </w:pPr>
      <w:r w:rsidRPr="00E05BDA">
        <w:rPr>
          <w:rFonts w:hint="eastAsia"/>
          <w:b/>
          <w:bCs/>
        </w:rPr>
        <w:t xml:space="preserve">第二十七条 </w:t>
      </w:r>
      <w:r w:rsidR="00D03C74" w:rsidRPr="00D03C74">
        <w:rPr>
          <w:rFonts w:hint="eastAsia"/>
        </w:rPr>
        <w:t>评估报告应当由至少两名承办该项业务的评估专业人员签名并加盖评估机构印章。</w:t>
      </w:r>
    </w:p>
    <w:p w14:paraId="35618DFB" w14:textId="77777777" w:rsidR="00D03C74" w:rsidRPr="00D03C74" w:rsidRDefault="00D03C74" w:rsidP="001131ED">
      <w:pPr>
        <w:pStyle w:val="13"/>
      </w:pPr>
      <w:r w:rsidRPr="00D03C74">
        <w:rPr>
          <w:rFonts w:hint="eastAsia"/>
        </w:rPr>
        <w:t>评估机构及其评估专业人员对其出具的评估报告依法承担责任。</w:t>
      </w:r>
    </w:p>
    <w:p w14:paraId="7A9095B8" w14:textId="77777777" w:rsidR="00D03C74" w:rsidRPr="00D03C74" w:rsidRDefault="00D03C74" w:rsidP="001131ED">
      <w:pPr>
        <w:pStyle w:val="13"/>
      </w:pPr>
      <w:r w:rsidRPr="00D03C74">
        <w:rPr>
          <w:rFonts w:hint="eastAsia"/>
        </w:rPr>
        <w:t>委托人不得串通、唆使评估机构或者评估专业人员出具虚假评估报告。</w:t>
      </w:r>
    </w:p>
    <w:p w14:paraId="17CCB53F" w14:textId="0AE3E35F" w:rsidR="00D03C74" w:rsidRPr="00D03C74" w:rsidRDefault="00E05BDA" w:rsidP="001131ED">
      <w:pPr>
        <w:pStyle w:val="13"/>
        <w:ind w:firstLine="482"/>
      </w:pPr>
      <w:r w:rsidRPr="00E05BDA">
        <w:rPr>
          <w:rFonts w:hint="eastAsia"/>
          <w:b/>
          <w:bCs/>
        </w:rPr>
        <w:t xml:space="preserve">第二十八条 </w:t>
      </w:r>
      <w:r w:rsidR="00D03C74" w:rsidRPr="00D03C74">
        <w:rPr>
          <w:rFonts w:hint="eastAsia"/>
        </w:rPr>
        <w:t>评估机构开展法定评估业务，应当指定至少两名相应专业类别的评估师承办，评估报告应当由至少两名承办该项业务的评估师签名并加盖评估机构印章。</w:t>
      </w:r>
    </w:p>
    <w:p w14:paraId="2352000A" w14:textId="329C52B6" w:rsidR="00D03C74" w:rsidRPr="00D03C74" w:rsidRDefault="00E05BDA" w:rsidP="001131ED">
      <w:pPr>
        <w:pStyle w:val="13"/>
        <w:ind w:firstLine="482"/>
      </w:pPr>
      <w:r w:rsidRPr="00E05BDA">
        <w:rPr>
          <w:rFonts w:hint="eastAsia"/>
          <w:b/>
          <w:bCs/>
        </w:rPr>
        <w:t xml:space="preserve">第二十九条 </w:t>
      </w:r>
      <w:r w:rsidR="00D03C74" w:rsidRPr="00D03C74">
        <w:rPr>
          <w:rFonts w:hint="eastAsia"/>
        </w:rPr>
        <w:t>评估档案的保存期限不少于十五年，属于法定评估业务的，保存期限不少于三十年。</w:t>
      </w:r>
    </w:p>
    <w:p w14:paraId="1BD8446B" w14:textId="295A9A5A" w:rsidR="00D03C74" w:rsidRPr="00D03C74" w:rsidRDefault="00E05BDA" w:rsidP="001131ED">
      <w:pPr>
        <w:pStyle w:val="13"/>
        <w:ind w:firstLine="482"/>
      </w:pPr>
      <w:r w:rsidRPr="00E05BDA">
        <w:rPr>
          <w:rFonts w:hint="eastAsia"/>
          <w:b/>
          <w:bCs/>
        </w:rPr>
        <w:t xml:space="preserve">第三十条 </w:t>
      </w:r>
      <w:r w:rsidR="00D03C74" w:rsidRPr="00D03C74">
        <w:rPr>
          <w:rFonts w:hint="eastAsia"/>
        </w:rPr>
        <w:t>委托人对评估报告有异议的，可以要求评估机构解释。</w:t>
      </w:r>
    </w:p>
    <w:p w14:paraId="52C58CF8" w14:textId="0C062139" w:rsidR="00D03C74" w:rsidRPr="00D03C74" w:rsidRDefault="003B2FB1" w:rsidP="001131ED">
      <w:pPr>
        <w:pStyle w:val="13"/>
        <w:ind w:firstLine="482"/>
      </w:pPr>
      <w:r w:rsidRPr="003B2FB1">
        <w:rPr>
          <w:rFonts w:hint="eastAsia"/>
          <w:b/>
          <w:bCs/>
        </w:rPr>
        <w:lastRenderedPageBreak/>
        <w:t xml:space="preserve">第三十一条 </w:t>
      </w:r>
      <w:r w:rsidR="00D03C74" w:rsidRPr="00D03C74">
        <w:t>委托人认为评估机构或者评估专业人员违法开展业务的，可以向有关评估行政管理部门或者行业协会投诉、举报，有关评估行政管理部门或者行业协会应当及时调查处理，并答复委托人。</w:t>
      </w:r>
    </w:p>
    <w:p w14:paraId="7FBDE699" w14:textId="023813CE" w:rsidR="00D03C74" w:rsidRPr="00D03C74" w:rsidRDefault="003B2FB1" w:rsidP="001131ED">
      <w:pPr>
        <w:pStyle w:val="13"/>
        <w:ind w:firstLine="482"/>
      </w:pPr>
      <w:r w:rsidRPr="003B2FB1">
        <w:rPr>
          <w:rFonts w:hint="eastAsia"/>
          <w:b/>
          <w:bCs/>
        </w:rPr>
        <w:t xml:space="preserve">第三十二条 </w:t>
      </w:r>
      <w:r w:rsidR="00D03C74" w:rsidRPr="00D03C74">
        <w:rPr>
          <w:rFonts w:hint="eastAsia"/>
        </w:rPr>
        <w:t>委托人或者评估报告使用人应当按照法律规定和评估报告载明的使用范围使用评估报告。</w:t>
      </w:r>
    </w:p>
    <w:p w14:paraId="334479FD" w14:textId="6D977CEA" w:rsidR="00D03C74" w:rsidRPr="00D03C74" w:rsidRDefault="00D03C74" w:rsidP="001131ED">
      <w:pPr>
        <w:pStyle w:val="13"/>
      </w:pPr>
      <w:r w:rsidRPr="00D03C74">
        <w:rPr>
          <w:rFonts w:hint="eastAsia"/>
        </w:rPr>
        <w:t>委托人或者评估报告使用人违反前款规定使用评估报告的，评估机构和评估专业人员不承担责任。</w:t>
      </w:r>
    </w:p>
    <w:p w14:paraId="6508A2DE" w14:textId="77777777" w:rsidR="00D03C74" w:rsidRPr="005564C9" w:rsidRDefault="00D03C74" w:rsidP="00AF7342">
      <w:pPr>
        <w:pStyle w:val="a9"/>
        <w:spacing w:before="62" w:after="62"/>
      </w:pPr>
      <w:r w:rsidRPr="005564C9">
        <w:rPr>
          <w:rFonts w:hint="eastAsia"/>
        </w:rPr>
        <w:t>第五章</w:t>
      </w:r>
      <w:r w:rsidRPr="005564C9">
        <w:t xml:space="preserve"> 行业协会</w:t>
      </w:r>
    </w:p>
    <w:p w14:paraId="175D1530" w14:textId="2539416B" w:rsidR="00D03C74" w:rsidRPr="00D03C74" w:rsidRDefault="003B2FB1" w:rsidP="001131ED">
      <w:pPr>
        <w:pStyle w:val="13"/>
        <w:ind w:firstLine="482"/>
      </w:pPr>
      <w:r w:rsidRPr="003B2FB1">
        <w:rPr>
          <w:rFonts w:hint="eastAsia"/>
          <w:b/>
          <w:bCs/>
        </w:rPr>
        <w:t xml:space="preserve">第三十三条 </w:t>
      </w:r>
      <w:r w:rsidR="00D03C74" w:rsidRPr="00D03C74">
        <w:rPr>
          <w:rFonts w:hint="eastAsia"/>
        </w:rPr>
        <w:t>评估行业协会是评估机构和评估专业人员的自律性组织，依照法律、行政法规和章程实行自律管理。</w:t>
      </w:r>
    </w:p>
    <w:p w14:paraId="6902938C" w14:textId="77777777" w:rsidR="00D03C74" w:rsidRPr="00D03C74" w:rsidRDefault="00D03C74" w:rsidP="001131ED">
      <w:pPr>
        <w:pStyle w:val="13"/>
      </w:pPr>
      <w:r w:rsidRPr="00D03C74">
        <w:rPr>
          <w:rFonts w:hint="eastAsia"/>
        </w:rPr>
        <w:t>评估行业按照专业领域设立全国性评估行业协会，根据需要设立地方性评估行业协会。</w:t>
      </w:r>
    </w:p>
    <w:p w14:paraId="22E35C25" w14:textId="036AB63C" w:rsidR="00D03C74" w:rsidRPr="00D03C74" w:rsidRDefault="003B2FB1" w:rsidP="001131ED">
      <w:pPr>
        <w:pStyle w:val="13"/>
        <w:ind w:firstLine="482"/>
      </w:pPr>
      <w:r w:rsidRPr="003B2FB1">
        <w:rPr>
          <w:rFonts w:hint="eastAsia"/>
          <w:b/>
          <w:bCs/>
        </w:rPr>
        <w:t xml:space="preserve">第三十四条 </w:t>
      </w:r>
      <w:r w:rsidR="00D03C74" w:rsidRPr="00D03C74">
        <w:rPr>
          <w:rFonts w:hint="eastAsia"/>
        </w:rPr>
        <w:t>评估行业协会的章程由会员代表大会制定，报登记管理机关核准，并报有关评估行政管理部门备案。</w:t>
      </w:r>
    </w:p>
    <w:p w14:paraId="0752BBB4" w14:textId="070AAEDD" w:rsidR="00D03C74" w:rsidRPr="00D03C74" w:rsidRDefault="003B2FB1" w:rsidP="001131ED">
      <w:pPr>
        <w:pStyle w:val="13"/>
        <w:ind w:firstLine="482"/>
      </w:pPr>
      <w:r w:rsidRPr="003B2FB1">
        <w:rPr>
          <w:rFonts w:hint="eastAsia"/>
          <w:b/>
          <w:bCs/>
        </w:rPr>
        <w:t xml:space="preserve">第三十五条 </w:t>
      </w:r>
      <w:r w:rsidR="00D03C74" w:rsidRPr="00D03C74">
        <w:rPr>
          <w:rFonts w:hint="eastAsia"/>
        </w:rPr>
        <w:t>评估机构、评估专业人员加入有关评估行业协会，平等享有章程规定的权利，履行章程规定的义务。有关评估行业协会公布加入本协会的评估机构、评估专业人员名单。</w:t>
      </w:r>
    </w:p>
    <w:p w14:paraId="0BF7AE14" w14:textId="65DE8104" w:rsidR="00D03C74" w:rsidRPr="00D03C74" w:rsidRDefault="003B2FB1" w:rsidP="001131ED">
      <w:pPr>
        <w:pStyle w:val="13"/>
        <w:ind w:firstLine="482"/>
      </w:pPr>
      <w:r w:rsidRPr="003B2FB1">
        <w:rPr>
          <w:rFonts w:hint="eastAsia"/>
          <w:b/>
          <w:bCs/>
        </w:rPr>
        <w:t xml:space="preserve">第三十六条 </w:t>
      </w:r>
      <w:r w:rsidR="00D03C74" w:rsidRPr="00D03C74">
        <w:rPr>
          <w:rFonts w:hint="eastAsia"/>
        </w:rPr>
        <w:t>评估行业协会履行下列职责：</w:t>
      </w:r>
    </w:p>
    <w:p w14:paraId="37DDE5E5" w14:textId="77777777" w:rsidR="00D03C74" w:rsidRPr="00D03C74" w:rsidRDefault="00D03C74" w:rsidP="001131ED">
      <w:pPr>
        <w:pStyle w:val="13"/>
      </w:pPr>
      <w:r w:rsidRPr="00D03C74">
        <w:rPr>
          <w:rFonts w:hint="eastAsia"/>
        </w:rPr>
        <w:t>（一）制定会员自律管理办法，对会员实行自律管理；</w:t>
      </w:r>
    </w:p>
    <w:p w14:paraId="56C9579C" w14:textId="77777777" w:rsidR="00D03C74" w:rsidRPr="00D03C74" w:rsidRDefault="00D03C74" w:rsidP="001131ED">
      <w:pPr>
        <w:pStyle w:val="13"/>
      </w:pPr>
      <w:r w:rsidRPr="00D03C74">
        <w:rPr>
          <w:rFonts w:hint="eastAsia"/>
        </w:rPr>
        <w:t>（二）依据评估基本准则制定评估执业准则和职业道德准则；</w:t>
      </w:r>
    </w:p>
    <w:p w14:paraId="0532D836" w14:textId="77777777" w:rsidR="00D03C74" w:rsidRPr="00D03C74" w:rsidRDefault="00D03C74" w:rsidP="001131ED">
      <w:pPr>
        <w:pStyle w:val="13"/>
      </w:pPr>
      <w:r w:rsidRPr="00D03C74">
        <w:rPr>
          <w:rFonts w:hint="eastAsia"/>
        </w:rPr>
        <w:t>（三）组织开展会员继续教育；</w:t>
      </w:r>
    </w:p>
    <w:p w14:paraId="0A9D4F9C" w14:textId="77777777" w:rsidR="00D03C74" w:rsidRPr="00D03C74" w:rsidRDefault="00D03C74" w:rsidP="001131ED">
      <w:pPr>
        <w:pStyle w:val="13"/>
      </w:pPr>
      <w:r w:rsidRPr="00D03C74">
        <w:rPr>
          <w:rFonts w:hint="eastAsia"/>
        </w:rPr>
        <w:t>（四）建立会员信用档案，将会员遵守法律、行政法规和评估准则的情况记入信用档案，并向社会公开；</w:t>
      </w:r>
    </w:p>
    <w:p w14:paraId="5003CBCB" w14:textId="77777777" w:rsidR="00D03C74" w:rsidRPr="00D03C74" w:rsidRDefault="00D03C74" w:rsidP="001131ED">
      <w:pPr>
        <w:pStyle w:val="13"/>
      </w:pPr>
      <w:r w:rsidRPr="00D03C74">
        <w:rPr>
          <w:rFonts w:hint="eastAsia"/>
        </w:rPr>
        <w:t>（五）检查会员建立风险防范机制的情况；</w:t>
      </w:r>
    </w:p>
    <w:p w14:paraId="3CAE0675" w14:textId="77777777" w:rsidR="00D03C74" w:rsidRPr="00D03C74" w:rsidRDefault="00D03C74" w:rsidP="001131ED">
      <w:pPr>
        <w:pStyle w:val="13"/>
      </w:pPr>
      <w:r w:rsidRPr="00D03C74">
        <w:rPr>
          <w:rFonts w:hint="eastAsia"/>
        </w:rPr>
        <w:t>（六）受理对会员的投诉、举报，受理会员的申诉，调解会员执业纠纷；</w:t>
      </w:r>
    </w:p>
    <w:p w14:paraId="7B3A9CED" w14:textId="77777777" w:rsidR="00D03C74" w:rsidRPr="00D03C74" w:rsidRDefault="00D03C74" w:rsidP="001131ED">
      <w:pPr>
        <w:pStyle w:val="13"/>
      </w:pPr>
      <w:r w:rsidRPr="00D03C74">
        <w:rPr>
          <w:rFonts w:hint="eastAsia"/>
        </w:rPr>
        <w:t>（七）规范会员从业行为，定期对会员出具的评估报告进行检查，按照章程规定对会员给予奖惩，并将奖惩情况及时报告有关评估行政管理部门；</w:t>
      </w:r>
    </w:p>
    <w:p w14:paraId="12A33BEB" w14:textId="77777777" w:rsidR="00D03C74" w:rsidRPr="00D03C74" w:rsidRDefault="00D03C74" w:rsidP="001131ED">
      <w:pPr>
        <w:pStyle w:val="13"/>
      </w:pPr>
      <w:r w:rsidRPr="00D03C74">
        <w:rPr>
          <w:rFonts w:hint="eastAsia"/>
        </w:rPr>
        <w:t>（八）保障会员依法开展业务，维护会员合法权益；</w:t>
      </w:r>
    </w:p>
    <w:p w14:paraId="1B3E57C0" w14:textId="77777777" w:rsidR="00D03C74" w:rsidRPr="00D03C74" w:rsidRDefault="00D03C74" w:rsidP="001131ED">
      <w:pPr>
        <w:pStyle w:val="13"/>
      </w:pPr>
      <w:r w:rsidRPr="00D03C74">
        <w:rPr>
          <w:rFonts w:hint="eastAsia"/>
        </w:rPr>
        <w:t>（九）法律、行政法规和章程规定的其他职责。</w:t>
      </w:r>
    </w:p>
    <w:p w14:paraId="41B92F20" w14:textId="19B91698" w:rsidR="00D03C74" w:rsidRPr="00D03C74" w:rsidRDefault="003B2FB1" w:rsidP="001131ED">
      <w:pPr>
        <w:pStyle w:val="13"/>
        <w:ind w:firstLine="482"/>
      </w:pPr>
      <w:r w:rsidRPr="003B2FB1">
        <w:rPr>
          <w:rFonts w:hint="eastAsia"/>
          <w:b/>
          <w:bCs/>
        </w:rPr>
        <w:t xml:space="preserve">第三十七条 </w:t>
      </w:r>
      <w:r w:rsidR="00D03C74" w:rsidRPr="00D03C74">
        <w:rPr>
          <w:rFonts w:hint="eastAsia"/>
        </w:rPr>
        <w:t>有关评估行业协会应当建立沟通协作和信息共享机制，根据需要制定共同的行为规范，促进评估行业健康有序发展。</w:t>
      </w:r>
    </w:p>
    <w:p w14:paraId="7851B850" w14:textId="61089849" w:rsidR="00D03C74" w:rsidRPr="00D03C74" w:rsidRDefault="003B2FB1" w:rsidP="001131ED">
      <w:pPr>
        <w:pStyle w:val="13"/>
        <w:ind w:firstLine="482"/>
      </w:pPr>
      <w:r w:rsidRPr="003B2FB1">
        <w:rPr>
          <w:rFonts w:hint="eastAsia"/>
          <w:b/>
          <w:bCs/>
        </w:rPr>
        <w:t xml:space="preserve">第三十八条 </w:t>
      </w:r>
      <w:r w:rsidR="00D03C74" w:rsidRPr="00D03C74">
        <w:rPr>
          <w:rFonts w:hint="eastAsia"/>
        </w:rPr>
        <w:t>评估行业协会收取会员会费的标准，由会员代表大会通过，并向社会公开。不得以会员交纳会费数额作为其在行业协会中担任职务的条件。</w:t>
      </w:r>
    </w:p>
    <w:p w14:paraId="7218BF29" w14:textId="390879D3" w:rsidR="00D03C74" w:rsidRPr="00D03C74" w:rsidRDefault="00D03C74" w:rsidP="001131ED">
      <w:pPr>
        <w:pStyle w:val="13"/>
      </w:pPr>
      <w:r w:rsidRPr="00D03C74">
        <w:rPr>
          <w:rFonts w:hint="eastAsia"/>
        </w:rPr>
        <w:t>会费的收取、使用接受会员代表大会和有关部门的监督，任何组织或者个人不得</w:t>
      </w:r>
      <w:r w:rsidRPr="00D03C74">
        <w:rPr>
          <w:rFonts w:hint="eastAsia"/>
        </w:rPr>
        <w:lastRenderedPageBreak/>
        <w:t>侵占、私分和挪用。</w:t>
      </w:r>
    </w:p>
    <w:p w14:paraId="3A6A6987" w14:textId="77777777" w:rsidR="00D03C74" w:rsidRPr="005564C9" w:rsidRDefault="00D03C74" w:rsidP="00AF7342">
      <w:pPr>
        <w:pStyle w:val="a9"/>
        <w:spacing w:before="62" w:after="62"/>
      </w:pPr>
      <w:r w:rsidRPr="005564C9">
        <w:rPr>
          <w:rFonts w:hint="eastAsia"/>
        </w:rPr>
        <w:t>第六章</w:t>
      </w:r>
      <w:r w:rsidRPr="005564C9">
        <w:t xml:space="preserve"> 监督管理</w:t>
      </w:r>
    </w:p>
    <w:p w14:paraId="1F5F2D99" w14:textId="490C4FFC" w:rsidR="00D03C74" w:rsidRPr="00D03C74" w:rsidRDefault="003B2FB1" w:rsidP="001131ED">
      <w:pPr>
        <w:pStyle w:val="13"/>
        <w:ind w:firstLine="482"/>
      </w:pPr>
      <w:r w:rsidRPr="003B2FB1">
        <w:rPr>
          <w:rFonts w:hint="eastAsia"/>
          <w:b/>
          <w:bCs/>
        </w:rPr>
        <w:t xml:space="preserve">第三十九条 </w:t>
      </w:r>
      <w:r w:rsidR="00D03C74" w:rsidRPr="00D03C74">
        <w:rPr>
          <w:rFonts w:hint="eastAsia"/>
        </w:rPr>
        <w:t>国务院有关评估行政管理部门组织制定评估基本准则和评估行业监督管理办法。</w:t>
      </w:r>
    </w:p>
    <w:p w14:paraId="2164F9FC" w14:textId="3C9CF857" w:rsidR="00D03C74" w:rsidRPr="00D03C74" w:rsidRDefault="003B2FB1" w:rsidP="001131ED">
      <w:pPr>
        <w:pStyle w:val="13"/>
        <w:ind w:firstLine="482"/>
      </w:pPr>
      <w:r w:rsidRPr="003B2FB1">
        <w:rPr>
          <w:rFonts w:hint="eastAsia"/>
          <w:b/>
          <w:bCs/>
        </w:rPr>
        <w:t xml:space="preserve">第四十条 </w:t>
      </w:r>
      <w:r w:rsidR="00D03C74" w:rsidRPr="00D03C74">
        <w:rPr>
          <w:rFonts w:hint="eastAsia"/>
        </w:rPr>
        <w:t>设区的市级以上人民政府有关评估行政管理部门依据各自职责，负责监督管理评估行业，对评估机构和评估专业人员的违法行为依法实施行政处罚，将处罚情况及时通报有关评估行业协会，并依法向社会公开。</w:t>
      </w:r>
    </w:p>
    <w:p w14:paraId="39D70340" w14:textId="71666011" w:rsidR="00D03C74" w:rsidRPr="00D03C74" w:rsidRDefault="003B2FB1" w:rsidP="001131ED">
      <w:pPr>
        <w:pStyle w:val="13"/>
        <w:ind w:firstLine="482"/>
      </w:pPr>
      <w:r w:rsidRPr="003B2FB1">
        <w:rPr>
          <w:rFonts w:hint="eastAsia"/>
          <w:b/>
          <w:bCs/>
        </w:rPr>
        <w:t xml:space="preserve">第四十一条 </w:t>
      </w:r>
      <w:r w:rsidR="00D03C74" w:rsidRPr="00D03C74">
        <w:rPr>
          <w:rFonts w:hint="eastAsia"/>
        </w:rPr>
        <w:t>评估行政管理部门对有关评估行业协会实施监督检查，对检查发现的问题和针对协会的投诉、举报，应当及时调查处理。</w:t>
      </w:r>
    </w:p>
    <w:p w14:paraId="08A48BC4" w14:textId="1CBD5957" w:rsidR="00D03C74" w:rsidRPr="00D03C74" w:rsidRDefault="003B2FB1" w:rsidP="001131ED">
      <w:pPr>
        <w:pStyle w:val="13"/>
        <w:ind w:firstLine="482"/>
      </w:pPr>
      <w:r w:rsidRPr="003B2FB1">
        <w:rPr>
          <w:rFonts w:hint="eastAsia"/>
          <w:b/>
          <w:bCs/>
        </w:rPr>
        <w:t xml:space="preserve">第四十二条 </w:t>
      </w:r>
      <w:r w:rsidR="00D03C74" w:rsidRPr="00D03C74">
        <w:rPr>
          <w:rFonts w:hint="eastAsia"/>
        </w:rPr>
        <w:t>评估行政管理部门不得违反本法规定，对评估机构依法开展业务进行限制。</w:t>
      </w:r>
    </w:p>
    <w:p w14:paraId="2B9285B1" w14:textId="4A0A7C74" w:rsidR="00D03C74" w:rsidRPr="00D03C74" w:rsidRDefault="003B2FB1" w:rsidP="001131ED">
      <w:pPr>
        <w:pStyle w:val="13"/>
        <w:ind w:firstLine="482"/>
      </w:pPr>
      <w:r w:rsidRPr="003B2FB1">
        <w:rPr>
          <w:rFonts w:hint="eastAsia"/>
          <w:b/>
          <w:bCs/>
        </w:rPr>
        <w:t xml:space="preserve">第四十三条 </w:t>
      </w:r>
      <w:r w:rsidR="00D03C74" w:rsidRPr="00D03C74">
        <w:rPr>
          <w:rFonts w:hint="eastAsia"/>
        </w:rPr>
        <w:t>评估行政管理部门不得与评估行业协会、评估机构存在人员或者资金关联，不得利用职权为评估机构招揽业务。</w:t>
      </w:r>
    </w:p>
    <w:p w14:paraId="2F1FA694" w14:textId="77777777" w:rsidR="00D03C74" w:rsidRPr="005564C9" w:rsidRDefault="00D03C74" w:rsidP="00AF7342">
      <w:pPr>
        <w:pStyle w:val="a9"/>
        <w:spacing w:before="62" w:after="62"/>
      </w:pPr>
      <w:r w:rsidRPr="005564C9">
        <w:rPr>
          <w:rFonts w:hint="eastAsia"/>
        </w:rPr>
        <w:t>第七章</w:t>
      </w:r>
      <w:r w:rsidRPr="005564C9">
        <w:t xml:space="preserve"> 法律责任</w:t>
      </w:r>
    </w:p>
    <w:p w14:paraId="6C4635FC" w14:textId="23B1C935" w:rsidR="00D03C74" w:rsidRPr="00D03C74" w:rsidRDefault="003B2FB1" w:rsidP="001131ED">
      <w:pPr>
        <w:pStyle w:val="13"/>
        <w:ind w:firstLine="482"/>
      </w:pPr>
      <w:r w:rsidRPr="003B2FB1">
        <w:rPr>
          <w:rFonts w:hint="eastAsia"/>
          <w:b/>
          <w:bCs/>
        </w:rPr>
        <w:t xml:space="preserve">第四十四条 </w:t>
      </w:r>
      <w:r w:rsidR="00D03C74" w:rsidRPr="00D03C74">
        <w:rPr>
          <w:rFonts w:hint="eastAsia"/>
        </w:rPr>
        <w:t>评估专业人员违反本法规定，有下列情形之一的，由有关评估行政管理部门予以警告，可以责令停止从业六个月以上一年以下；有违法所得的，没收违法所得；情节严重的，责令停止从业一年以上五年以下；构成犯罪的，依法追究刑事责任：</w:t>
      </w:r>
    </w:p>
    <w:p w14:paraId="5C91E38E" w14:textId="77777777" w:rsidR="00D03C74" w:rsidRPr="00D03C74" w:rsidRDefault="00D03C74" w:rsidP="001131ED">
      <w:pPr>
        <w:pStyle w:val="13"/>
      </w:pPr>
      <w:r w:rsidRPr="00D03C74">
        <w:rPr>
          <w:rFonts w:hint="eastAsia"/>
        </w:rPr>
        <w:t>（一）私自接受委托从事业务、收取费用的；</w:t>
      </w:r>
    </w:p>
    <w:p w14:paraId="63D3A4B6" w14:textId="77777777" w:rsidR="00D03C74" w:rsidRPr="00D03C74" w:rsidRDefault="00D03C74" w:rsidP="001131ED">
      <w:pPr>
        <w:pStyle w:val="13"/>
      </w:pPr>
      <w:r w:rsidRPr="00D03C74">
        <w:rPr>
          <w:rFonts w:hint="eastAsia"/>
        </w:rPr>
        <w:t>（二）同时在两个以上评估机构从事业务的；</w:t>
      </w:r>
    </w:p>
    <w:p w14:paraId="4962CA0F" w14:textId="77777777" w:rsidR="00D03C74" w:rsidRPr="00D03C74" w:rsidRDefault="00D03C74" w:rsidP="001131ED">
      <w:pPr>
        <w:pStyle w:val="13"/>
      </w:pPr>
      <w:r w:rsidRPr="00D03C74">
        <w:rPr>
          <w:rFonts w:hint="eastAsia"/>
        </w:rPr>
        <w:t>（三）采用欺骗、利诱、胁迫，或者贬损、诋毁其他评估专业人员等不正当手段招揽业务的；</w:t>
      </w:r>
    </w:p>
    <w:p w14:paraId="6DEE8986" w14:textId="77777777" w:rsidR="00D03C74" w:rsidRPr="00D03C74" w:rsidRDefault="00D03C74" w:rsidP="001131ED">
      <w:pPr>
        <w:pStyle w:val="13"/>
      </w:pPr>
      <w:r w:rsidRPr="00D03C74">
        <w:rPr>
          <w:rFonts w:hint="eastAsia"/>
        </w:rPr>
        <w:t>（四）允许他人以本人名义从事业务，或者冒用他人名义从事业务的；</w:t>
      </w:r>
    </w:p>
    <w:p w14:paraId="731EBEFB" w14:textId="77777777" w:rsidR="00D03C74" w:rsidRPr="00D03C74" w:rsidRDefault="00D03C74" w:rsidP="001131ED">
      <w:pPr>
        <w:pStyle w:val="13"/>
      </w:pPr>
      <w:r w:rsidRPr="00D03C74">
        <w:rPr>
          <w:rFonts w:hint="eastAsia"/>
        </w:rPr>
        <w:t>（五）签署本人未承办业务的评估报告或者有重大遗漏的评估报告的；</w:t>
      </w:r>
    </w:p>
    <w:p w14:paraId="7D919333" w14:textId="77777777" w:rsidR="00D03C74" w:rsidRPr="00D03C74" w:rsidRDefault="00D03C74" w:rsidP="001131ED">
      <w:pPr>
        <w:pStyle w:val="13"/>
      </w:pPr>
      <w:r w:rsidRPr="00D03C74">
        <w:rPr>
          <w:rFonts w:hint="eastAsia"/>
        </w:rPr>
        <w:t>（六）索要、收受或者变相索要、收受合同约定以外的酬金、财物，或者谋取其他不正当利益的。</w:t>
      </w:r>
    </w:p>
    <w:p w14:paraId="54C8FAA5" w14:textId="3C01DAA5" w:rsidR="00D03C74" w:rsidRPr="00D03C74" w:rsidRDefault="003B2FB1" w:rsidP="001131ED">
      <w:pPr>
        <w:pStyle w:val="13"/>
        <w:ind w:firstLine="482"/>
      </w:pPr>
      <w:r w:rsidRPr="003B2FB1">
        <w:rPr>
          <w:rFonts w:hint="eastAsia"/>
          <w:b/>
          <w:bCs/>
        </w:rPr>
        <w:t xml:space="preserve">第四十五条 </w:t>
      </w:r>
      <w:r w:rsidR="00D03C74" w:rsidRPr="00D03C74">
        <w:rPr>
          <w:rFonts w:hint="eastAsia"/>
        </w:rPr>
        <w:t>评估专业人员违反本法规定，签署虚假评估报告的，由有关评估行政管理部门责令停止从业两年以上五年以下；有违法所得的，没收违法所得；情节严重的，责令停止从业五年以上十年以下；构成犯罪的，依法追究刑事责任，终身不得从事评估业务。</w:t>
      </w:r>
    </w:p>
    <w:p w14:paraId="3D44742B" w14:textId="54E2A4D5" w:rsidR="00D03C74" w:rsidRPr="00D03C74" w:rsidRDefault="003B2FB1" w:rsidP="001131ED">
      <w:pPr>
        <w:pStyle w:val="13"/>
        <w:ind w:firstLine="482"/>
      </w:pPr>
      <w:r w:rsidRPr="003B2FB1">
        <w:rPr>
          <w:rFonts w:hint="eastAsia"/>
          <w:b/>
          <w:bCs/>
        </w:rPr>
        <w:t xml:space="preserve">第四十六条 </w:t>
      </w:r>
      <w:r w:rsidR="00D03C74" w:rsidRPr="00D03C74">
        <w:rPr>
          <w:rFonts w:hint="eastAsia"/>
        </w:rPr>
        <w:t>违反本法规定，未经工商登记以评估机构名义从事评估业务的，由工商行政管理部门责令停止违法活动；有违法所得的，没收违法所得，并处违法所得一倍以上五倍以下罚款。</w:t>
      </w:r>
    </w:p>
    <w:p w14:paraId="06296280" w14:textId="40AB1485" w:rsidR="00D03C74" w:rsidRPr="00D03C74" w:rsidRDefault="003B2FB1" w:rsidP="001131ED">
      <w:pPr>
        <w:pStyle w:val="13"/>
        <w:ind w:firstLine="482"/>
      </w:pPr>
      <w:r w:rsidRPr="003B2FB1">
        <w:rPr>
          <w:rFonts w:hint="eastAsia"/>
          <w:b/>
          <w:bCs/>
        </w:rPr>
        <w:lastRenderedPageBreak/>
        <w:t xml:space="preserve">第四十七条 </w:t>
      </w:r>
      <w:r w:rsidR="00D03C74" w:rsidRPr="00D03C74">
        <w:rPr>
          <w:rFonts w:hint="eastAsia"/>
        </w:rPr>
        <w:t>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14:paraId="7CB489E9" w14:textId="77777777" w:rsidR="00D03C74" w:rsidRPr="00D03C74" w:rsidRDefault="00D03C74" w:rsidP="001131ED">
      <w:pPr>
        <w:pStyle w:val="13"/>
      </w:pPr>
      <w:r w:rsidRPr="00D03C74">
        <w:rPr>
          <w:rFonts w:hint="eastAsia"/>
        </w:rPr>
        <w:t>（一）利用开展业务之便，谋取不正当利益的；</w:t>
      </w:r>
    </w:p>
    <w:p w14:paraId="351B9F70" w14:textId="77777777" w:rsidR="00D03C74" w:rsidRPr="00D03C74" w:rsidRDefault="00D03C74" w:rsidP="001131ED">
      <w:pPr>
        <w:pStyle w:val="13"/>
      </w:pPr>
      <w:r w:rsidRPr="00D03C74">
        <w:rPr>
          <w:rFonts w:hint="eastAsia"/>
        </w:rPr>
        <w:t>（二）允许其他机构以本机构名义开展业务，或者冒用其他机构名义开展业务的；</w:t>
      </w:r>
    </w:p>
    <w:p w14:paraId="7FC065D3" w14:textId="77777777" w:rsidR="00D03C74" w:rsidRPr="00D03C74" w:rsidRDefault="00D03C74" w:rsidP="001131ED">
      <w:pPr>
        <w:pStyle w:val="13"/>
      </w:pPr>
      <w:r w:rsidRPr="00D03C74">
        <w:rPr>
          <w:rFonts w:hint="eastAsia"/>
        </w:rPr>
        <w:t>（三）以恶性压价、支付回扣、虚假宣传，或者贬损、诋毁其他评估机构等不正当手段招揽业务的；</w:t>
      </w:r>
    </w:p>
    <w:p w14:paraId="130F3D33" w14:textId="77777777" w:rsidR="00D03C74" w:rsidRPr="00D03C74" w:rsidRDefault="00D03C74" w:rsidP="001131ED">
      <w:pPr>
        <w:pStyle w:val="13"/>
      </w:pPr>
      <w:r w:rsidRPr="00D03C74">
        <w:rPr>
          <w:rFonts w:hint="eastAsia"/>
        </w:rPr>
        <w:t>（四）受理与自身有利害关系的业务的；</w:t>
      </w:r>
    </w:p>
    <w:p w14:paraId="4AAB9695" w14:textId="77777777" w:rsidR="00D03C74" w:rsidRPr="00D03C74" w:rsidRDefault="00D03C74" w:rsidP="001131ED">
      <w:pPr>
        <w:pStyle w:val="13"/>
      </w:pPr>
      <w:r w:rsidRPr="00D03C74">
        <w:rPr>
          <w:rFonts w:hint="eastAsia"/>
        </w:rPr>
        <w:t>（五）分别接受利益冲突双方的委托，对同一评估对象进行评估的；</w:t>
      </w:r>
    </w:p>
    <w:p w14:paraId="33BCAFCA" w14:textId="77777777" w:rsidR="00D03C74" w:rsidRPr="00D03C74" w:rsidRDefault="00D03C74" w:rsidP="001131ED">
      <w:pPr>
        <w:pStyle w:val="13"/>
      </w:pPr>
      <w:r w:rsidRPr="00D03C74">
        <w:rPr>
          <w:rFonts w:hint="eastAsia"/>
        </w:rPr>
        <w:t>（六）出具有重大遗漏的评估报告的；</w:t>
      </w:r>
    </w:p>
    <w:p w14:paraId="68B0B42B" w14:textId="77777777" w:rsidR="00D03C74" w:rsidRPr="00D03C74" w:rsidRDefault="00D03C74" w:rsidP="001131ED">
      <w:pPr>
        <w:pStyle w:val="13"/>
      </w:pPr>
      <w:r w:rsidRPr="00D03C74">
        <w:rPr>
          <w:rFonts w:hint="eastAsia"/>
        </w:rPr>
        <w:t>（七）未按本法规定的期限保存评估档案的；</w:t>
      </w:r>
    </w:p>
    <w:p w14:paraId="5DFCC304" w14:textId="77777777" w:rsidR="00D03C74" w:rsidRPr="00D03C74" w:rsidRDefault="00D03C74" w:rsidP="001131ED">
      <w:pPr>
        <w:pStyle w:val="13"/>
      </w:pPr>
      <w:r w:rsidRPr="00D03C74">
        <w:rPr>
          <w:rFonts w:hint="eastAsia"/>
        </w:rPr>
        <w:t>（八）聘用或者指定不符合本法规定的人员从事评估业务的；</w:t>
      </w:r>
    </w:p>
    <w:p w14:paraId="44D251C9" w14:textId="77777777" w:rsidR="00D03C74" w:rsidRPr="00D03C74" w:rsidRDefault="00D03C74" w:rsidP="001131ED">
      <w:pPr>
        <w:pStyle w:val="13"/>
      </w:pPr>
      <w:r w:rsidRPr="00D03C74">
        <w:rPr>
          <w:rFonts w:hint="eastAsia"/>
        </w:rPr>
        <w:t>（九）对本机构的评估专业人员疏于管理，造成不良后果的。</w:t>
      </w:r>
    </w:p>
    <w:p w14:paraId="539863FC" w14:textId="77777777" w:rsidR="00D03C74" w:rsidRPr="00D03C74" w:rsidRDefault="00D03C74" w:rsidP="001131ED">
      <w:pPr>
        <w:pStyle w:val="13"/>
      </w:pPr>
      <w:r w:rsidRPr="00D03C74">
        <w:rPr>
          <w:rFonts w:hint="eastAsia"/>
        </w:rPr>
        <w:t>评估机构未按本法规定备案或者不符合本法第十五条规定的条件的，由有关评估行政管理部门责令改正；拒不改正的，责令停业，可以并处一万元以上五万元以下罚款。</w:t>
      </w:r>
    </w:p>
    <w:p w14:paraId="18409DD4" w14:textId="56DA40EF" w:rsidR="00D03C74" w:rsidRPr="00D03C74" w:rsidRDefault="00D03C74" w:rsidP="001131ED">
      <w:pPr>
        <w:pStyle w:val="13"/>
        <w:ind w:firstLine="482"/>
      </w:pPr>
      <w:r w:rsidRPr="00184D45">
        <w:rPr>
          <w:rFonts w:hint="eastAsia"/>
          <w:b/>
          <w:bCs/>
        </w:rPr>
        <w:t>第四十八</w:t>
      </w:r>
      <w:r w:rsidR="00793E5D">
        <w:rPr>
          <w:rFonts w:hint="eastAsia"/>
          <w:b/>
          <w:bCs/>
        </w:rPr>
        <w:t xml:space="preserve">条 </w:t>
      </w:r>
      <w:r w:rsidRPr="00D03C74">
        <w:rPr>
          <w:rFonts w:hint="eastAsia"/>
        </w:rPr>
        <w:t>评估机构违反本法规定，出具虚假评估报告的，由有关评估行政管理部门责令停业六个月以上一年以下；有违法所得的，没收违法所得，并处违法所得一倍以上五倍以下罚款；情节严重的，由工商行政管理部门吊销营业执照；构成犯罪的，依法追究刑事责任。</w:t>
      </w:r>
    </w:p>
    <w:p w14:paraId="01F39B59" w14:textId="485BA58A" w:rsidR="00D03C74" w:rsidRPr="00D03C74" w:rsidRDefault="00D03C74" w:rsidP="001131ED">
      <w:pPr>
        <w:pStyle w:val="13"/>
        <w:ind w:firstLine="482"/>
      </w:pPr>
      <w:r w:rsidRPr="00184D45">
        <w:rPr>
          <w:rFonts w:hint="eastAsia"/>
          <w:b/>
          <w:bCs/>
        </w:rPr>
        <w:t>第四十九</w:t>
      </w:r>
      <w:r w:rsidR="00793E5D">
        <w:rPr>
          <w:rFonts w:hint="eastAsia"/>
          <w:b/>
          <w:bCs/>
        </w:rPr>
        <w:t xml:space="preserve">条 </w:t>
      </w:r>
      <w:r w:rsidRPr="00D03C74">
        <w:rPr>
          <w:rFonts w:hint="eastAsia"/>
        </w:rPr>
        <w:t>评估机构、评估专业人员在一年内累计三次因违反本法规定受到责令停业、责令停止从业以外处罚的，有关评估行政管理部门可以责令其停业或者停止从业一年以上五年以下。</w:t>
      </w:r>
    </w:p>
    <w:p w14:paraId="799B43D3" w14:textId="06B0BD4B" w:rsidR="00D03C74" w:rsidRPr="00D03C74" w:rsidRDefault="00D03C74" w:rsidP="001131ED">
      <w:pPr>
        <w:pStyle w:val="13"/>
        <w:ind w:firstLine="482"/>
      </w:pPr>
      <w:r w:rsidRPr="00184D45">
        <w:rPr>
          <w:rFonts w:hint="eastAsia"/>
          <w:b/>
          <w:bCs/>
        </w:rPr>
        <w:t>第五十</w:t>
      </w:r>
      <w:r w:rsidR="00793E5D">
        <w:rPr>
          <w:rFonts w:hint="eastAsia"/>
          <w:b/>
          <w:bCs/>
        </w:rPr>
        <w:t xml:space="preserve">条 </w:t>
      </w:r>
      <w:r w:rsidRPr="00D03C74">
        <w:rPr>
          <w:rFonts w:hint="eastAsia"/>
        </w:rPr>
        <w:t>评估专业人员违反本法规定，给委托人或者其他相关当事人造成损失的，由其所在的评估机构依法承担赔偿责任。评估机构履行赔偿责任后，可以向有故意或者重大过失行为的评估专业人员追偿。</w:t>
      </w:r>
    </w:p>
    <w:p w14:paraId="5485F315" w14:textId="3FFBDD8D" w:rsidR="00D03C74" w:rsidRPr="00D03C74" w:rsidRDefault="00D03C74" w:rsidP="001131ED">
      <w:pPr>
        <w:pStyle w:val="13"/>
        <w:ind w:firstLine="482"/>
      </w:pPr>
      <w:r w:rsidRPr="00184D45">
        <w:rPr>
          <w:rFonts w:hint="eastAsia"/>
          <w:b/>
          <w:bCs/>
        </w:rPr>
        <w:t>第五十一</w:t>
      </w:r>
      <w:r w:rsidR="00793E5D">
        <w:rPr>
          <w:rFonts w:hint="eastAsia"/>
          <w:b/>
          <w:bCs/>
        </w:rPr>
        <w:t xml:space="preserve">条 </w:t>
      </w:r>
      <w:r w:rsidRPr="00D03C74">
        <w:rPr>
          <w:rFonts w:hint="eastAsia"/>
        </w:rPr>
        <w:t>违反本法规定，应当委托评估机构进行法定评估而未委托的，由有关部门责令改正；拒不改正的，处十万元以上五十万元以下罚款；情节严重的，对直接负责的主管人员和其他直接责任人员依法给予处分；造成损失的，依法承担赔偿责任；构成犯罪的，依法追究刑事责任。</w:t>
      </w:r>
    </w:p>
    <w:p w14:paraId="31CB6018" w14:textId="13E367DE" w:rsidR="00D03C74" w:rsidRPr="00D03C74" w:rsidRDefault="00D03C74" w:rsidP="001131ED">
      <w:pPr>
        <w:pStyle w:val="13"/>
        <w:ind w:firstLine="482"/>
      </w:pPr>
      <w:r w:rsidRPr="00184D45">
        <w:rPr>
          <w:rFonts w:hint="eastAsia"/>
          <w:b/>
          <w:bCs/>
        </w:rPr>
        <w:t>第五十二</w:t>
      </w:r>
      <w:r w:rsidR="00793E5D">
        <w:rPr>
          <w:rFonts w:hint="eastAsia"/>
          <w:b/>
          <w:bCs/>
        </w:rPr>
        <w:t xml:space="preserve">条 </w:t>
      </w:r>
      <w:r w:rsidRPr="00D03C74">
        <w:rPr>
          <w:rFonts w:hint="eastAsia"/>
        </w:rPr>
        <w:t>违反本法规定，委托人在法定评估中有下列情形之一的，由有关评估行政管理部门会同有关部门责令改正；拒不改正的，处十万元以上五十万元以下罚</w:t>
      </w:r>
      <w:r w:rsidRPr="00D03C74">
        <w:rPr>
          <w:rFonts w:hint="eastAsia"/>
        </w:rPr>
        <w:lastRenderedPageBreak/>
        <w:t>款；有违法所得的，没收违法所得；情节严重的，对直接负责的主管人员和其他直接责任人员依法给予处分；造成损失的，依法承担赔偿责任；构成犯罪的，依法追究刑事责任：</w:t>
      </w:r>
    </w:p>
    <w:p w14:paraId="62324F09" w14:textId="77777777" w:rsidR="00D03C74" w:rsidRPr="00D03C74" w:rsidRDefault="00D03C74" w:rsidP="001131ED">
      <w:pPr>
        <w:pStyle w:val="13"/>
      </w:pPr>
      <w:r w:rsidRPr="00D03C74">
        <w:rPr>
          <w:rFonts w:hint="eastAsia"/>
        </w:rPr>
        <w:t>（一）未依法选择评估机构的；</w:t>
      </w:r>
    </w:p>
    <w:p w14:paraId="3F0EEFB3" w14:textId="77777777" w:rsidR="00D03C74" w:rsidRPr="00D03C74" w:rsidRDefault="00D03C74" w:rsidP="001131ED">
      <w:pPr>
        <w:pStyle w:val="13"/>
      </w:pPr>
      <w:r w:rsidRPr="00D03C74">
        <w:rPr>
          <w:rFonts w:hint="eastAsia"/>
        </w:rPr>
        <w:t>（二）索要、收受或者变相索要、收受回扣的；</w:t>
      </w:r>
    </w:p>
    <w:p w14:paraId="3B0E814A" w14:textId="77777777" w:rsidR="00D03C74" w:rsidRPr="00D03C74" w:rsidRDefault="00D03C74" w:rsidP="001131ED">
      <w:pPr>
        <w:pStyle w:val="13"/>
      </w:pPr>
      <w:r w:rsidRPr="00D03C74">
        <w:rPr>
          <w:rFonts w:hint="eastAsia"/>
        </w:rPr>
        <w:t>（三）串通、唆使评估机构或者评估师出具虚假评估报告的；</w:t>
      </w:r>
    </w:p>
    <w:p w14:paraId="3682D6DD" w14:textId="77777777" w:rsidR="00D03C74" w:rsidRPr="00D03C74" w:rsidRDefault="00D03C74" w:rsidP="001131ED">
      <w:pPr>
        <w:pStyle w:val="13"/>
      </w:pPr>
      <w:r w:rsidRPr="00D03C74">
        <w:rPr>
          <w:rFonts w:hint="eastAsia"/>
        </w:rPr>
        <w:t>（四）</w:t>
      </w:r>
      <w:proofErr w:type="gramStart"/>
      <w:r w:rsidRPr="00D03C74">
        <w:rPr>
          <w:rFonts w:hint="eastAsia"/>
        </w:rPr>
        <w:t>不</w:t>
      </w:r>
      <w:proofErr w:type="gramEnd"/>
      <w:r w:rsidRPr="00D03C74">
        <w:rPr>
          <w:rFonts w:hint="eastAsia"/>
        </w:rPr>
        <w:t>如实向评估机构提供权属证明、财务会计信息和其他资料的；</w:t>
      </w:r>
    </w:p>
    <w:p w14:paraId="5479B41A" w14:textId="77777777" w:rsidR="00D03C74" w:rsidRPr="00D03C74" w:rsidRDefault="00D03C74" w:rsidP="001131ED">
      <w:pPr>
        <w:pStyle w:val="13"/>
      </w:pPr>
      <w:r w:rsidRPr="00D03C74">
        <w:rPr>
          <w:rFonts w:hint="eastAsia"/>
        </w:rPr>
        <w:t>（五）未按照法律规定和评估报告载明的使用范围使用评估报告的。</w:t>
      </w:r>
    </w:p>
    <w:p w14:paraId="5BFF1ECA" w14:textId="77777777" w:rsidR="00D03C74" w:rsidRPr="00D03C74" w:rsidRDefault="00D03C74" w:rsidP="001131ED">
      <w:pPr>
        <w:pStyle w:val="13"/>
      </w:pPr>
      <w:r w:rsidRPr="00D03C74">
        <w:rPr>
          <w:rFonts w:hint="eastAsia"/>
        </w:rPr>
        <w:t>前款规定以外的委托人违反本法规定，给他人造成损失的，依法承担赔偿责任。</w:t>
      </w:r>
    </w:p>
    <w:p w14:paraId="654D00F3" w14:textId="270ED598" w:rsidR="00D03C74" w:rsidRPr="00D03C74" w:rsidRDefault="00D03C74" w:rsidP="001131ED">
      <w:pPr>
        <w:pStyle w:val="13"/>
        <w:ind w:firstLine="482"/>
      </w:pPr>
      <w:r w:rsidRPr="007B2B1A">
        <w:rPr>
          <w:rFonts w:hint="eastAsia"/>
          <w:b/>
          <w:bCs/>
        </w:rPr>
        <w:t>第五十三</w:t>
      </w:r>
      <w:r w:rsidR="00793E5D">
        <w:rPr>
          <w:rFonts w:hint="eastAsia"/>
          <w:b/>
          <w:bCs/>
        </w:rPr>
        <w:t xml:space="preserve">条 </w:t>
      </w:r>
      <w:r w:rsidRPr="00D03C74">
        <w:rPr>
          <w:rFonts w:hint="eastAsia"/>
        </w:rPr>
        <w:t>评估行业协会违反本法规定的，由有关评估行政管理部门给予警告，责令改正；拒不改正的，可以通报登记管理机关，由其依法给予处罚。</w:t>
      </w:r>
    </w:p>
    <w:p w14:paraId="562A54C0" w14:textId="44690933" w:rsidR="00D03C74" w:rsidRPr="00D03C74" w:rsidRDefault="00D03C74" w:rsidP="001131ED">
      <w:pPr>
        <w:pStyle w:val="13"/>
        <w:ind w:firstLine="482"/>
      </w:pPr>
      <w:r w:rsidRPr="007B2B1A">
        <w:rPr>
          <w:rFonts w:hint="eastAsia"/>
          <w:b/>
          <w:bCs/>
        </w:rPr>
        <w:t>第五十四</w:t>
      </w:r>
      <w:r w:rsidR="00793E5D">
        <w:rPr>
          <w:rFonts w:hint="eastAsia"/>
          <w:b/>
          <w:bCs/>
        </w:rPr>
        <w:t xml:space="preserve">条 </w:t>
      </w:r>
      <w:r w:rsidRPr="00D03C74">
        <w:rPr>
          <w:rFonts w:hint="eastAsia"/>
        </w:rPr>
        <w:t>有关行政管理部门、评估行业协会工作人员违反本法规定，滥用职权、玩忽职守或者徇私舞弊的，依法给予处分；构成犯罪的，依法追究刑事责任。</w:t>
      </w:r>
    </w:p>
    <w:p w14:paraId="310227DC" w14:textId="77777777" w:rsidR="00D03C74" w:rsidRPr="005564C9" w:rsidRDefault="00D03C74" w:rsidP="00AF7342">
      <w:pPr>
        <w:pStyle w:val="a9"/>
        <w:spacing w:before="62" w:after="62"/>
      </w:pPr>
      <w:r w:rsidRPr="005564C9">
        <w:rPr>
          <w:rFonts w:hint="eastAsia"/>
        </w:rPr>
        <w:t>第八章</w:t>
      </w:r>
      <w:r w:rsidRPr="005564C9">
        <w:t xml:space="preserve"> 附则</w:t>
      </w:r>
    </w:p>
    <w:p w14:paraId="6ABC9C09" w14:textId="72CE5C4E" w:rsidR="005564C9" w:rsidRDefault="00D03C74" w:rsidP="00D03C74">
      <w:pPr>
        <w:spacing w:line="312" w:lineRule="auto"/>
        <w:ind w:firstLineChars="200" w:firstLine="482"/>
        <w:rPr>
          <w:rFonts w:ascii="宋体" w:hAnsi="宋体"/>
          <w:sz w:val="24"/>
          <w:szCs w:val="24"/>
        </w:rPr>
      </w:pPr>
      <w:r w:rsidRPr="007B2B1A">
        <w:rPr>
          <w:rFonts w:ascii="宋体" w:hAnsi="宋体" w:hint="eastAsia"/>
          <w:b/>
          <w:bCs/>
          <w:sz w:val="24"/>
          <w:szCs w:val="24"/>
        </w:rPr>
        <w:t>第五十五</w:t>
      </w:r>
      <w:r w:rsidR="00793E5D">
        <w:rPr>
          <w:rFonts w:ascii="宋体" w:hAnsi="宋体" w:hint="eastAsia"/>
          <w:b/>
          <w:bCs/>
          <w:sz w:val="24"/>
          <w:szCs w:val="24"/>
        </w:rPr>
        <w:t xml:space="preserve">条 </w:t>
      </w:r>
      <w:r w:rsidRPr="00D03C74">
        <w:rPr>
          <w:rFonts w:ascii="宋体" w:hAnsi="宋体" w:hint="eastAsia"/>
          <w:sz w:val="24"/>
          <w:szCs w:val="24"/>
        </w:rPr>
        <w:t>本法自</w:t>
      </w:r>
      <w:r w:rsidRPr="00D03C74">
        <w:rPr>
          <w:rFonts w:ascii="宋体" w:hAnsi="宋体"/>
          <w:sz w:val="24"/>
          <w:szCs w:val="24"/>
        </w:rPr>
        <w:t>2016年12月1日起施行。</w:t>
      </w:r>
    </w:p>
    <w:p w14:paraId="4415D950" w14:textId="3C12FE76" w:rsidR="00D03C74" w:rsidRDefault="005564C9" w:rsidP="007B2B1A">
      <w:pPr>
        <w:pStyle w:val="21"/>
        <w:spacing w:before="156" w:after="93"/>
      </w:pPr>
      <w:bookmarkStart w:id="2" w:name="_Toc81833282"/>
      <w:r w:rsidRPr="005564C9">
        <w:rPr>
          <w:rFonts w:hint="eastAsia"/>
        </w:rPr>
        <w:t>全国人大常委会办公厅就《资产评估法》的相关问题答记者问</w:t>
      </w:r>
      <w:bookmarkEnd w:id="2"/>
    </w:p>
    <w:p w14:paraId="1F3808C8" w14:textId="1C22B2E1" w:rsidR="007B2B1A" w:rsidRPr="007B2B1A" w:rsidRDefault="007B2B1A" w:rsidP="001131ED">
      <w:pPr>
        <w:pStyle w:val="13"/>
      </w:pPr>
      <w:r w:rsidRPr="007B2B1A">
        <w:t>2016</w:t>
      </w:r>
      <w:r w:rsidR="003068F8">
        <w:t>年</w:t>
      </w:r>
      <w:r w:rsidRPr="007B2B1A">
        <w:t>7</w:t>
      </w:r>
      <w:r w:rsidR="003068F8">
        <w:t>月</w:t>
      </w:r>
      <w:r w:rsidRPr="007B2B1A">
        <w:t>2</w:t>
      </w:r>
      <w:r w:rsidR="003068F8">
        <w:t>日</w:t>
      </w:r>
      <w:r w:rsidRPr="007B2B1A">
        <w:t>（星期六）下午 4 时，十二届全国人大常委会第二十一次会议闭幕后，全国人大常委会办公厅召开新闻发布会，有关方面负责人就本次会议表决通过的法律（资产评估法）等有关问题回答记者提问。</w:t>
      </w:r>
    </w:p>
    <w:p w14:paraId="43B5AE82" w14:textId="77777777" w:rsidR="007B2B1A" w:rsidRPr="007B2B1A" w:rsidRDefault="007B2B1A" w:rsidP="001131ED">
      <w:pPr>
        <w:pStyle w:val="13"/>
      </w:pPr>
      <w:r w:rsidRPr="007B2B1A">
        <w:rPr>
          <w:rFonts w:hint="eastAsia"/>
        </w:rPr>
        <w:t>〔法制日报记者〕：</w:t>
      </w:r>
    </w:p>
    <w:p w14:paraId="2BF48081" w14:textId="77777777" w:rsidR="007B2B1A" w:rsidRPr="007B2B1A" w:rsidRDefault="007B2B1A" w:rsidP="001131ED">
      <w:pPr>
        <w:pStyle w:val="13"/>
      </w:pPr>
      <w:r w:rsidRPr="007B2B1A">
        <w:rPr>
          <w:rFonts w:hint="eastAsia"/>
        </w:rPr>
        <w:t>我们关注到，资产评估法正式表决通过了，这部法律已经历经了四</w:t>
      </w:r>
      <w:proofErr w:type="gramStart"/>
      <w:r w:rsidRPr="007B2B1A">
        <w:rPr>
          <w:rFonts w:hint="eastAsia"/>
        </w:rPr>
        <w:t>审最终</w:t>
      </w:r>
      <w:proofErr w:type="gramEnd"/>
      <w:r w:rsidRPr="007B2B1A">
        <w:rPr>
          <w:rFonts w:hint="eastAsia"/>
        </w:rPr>
        <w:t>得以通过。我们想了解一下，现在</w:t>
      </w:r>
      <w:proofErr w:type="gramStart"/>
      <w:r w:rsidRPr="007B2B1A">
        <w:rPr>
          <w:rFonts w:hint="eastAsia"/>
        </w:rPr>
        <w:t>在</w:t>
      </w:r>
      <w:proofErr w:type="gramEnd"/>
      <w:r w:rsidRPr="007B2B1A">
        <w:rPr>
          <w:rFonts w:hint="eastAsia"/>
        </w:rPr>
        <w:t>深化行政体制改革，还有着力解决简政放权、放管结合、优化服务的形势下，行政审批，还有行业准入，还有发挥行业协会的作用都在不断探索中，我们</w:t>
      </w:r>
      <w:proofErr w:type="gramStart"/>
      <w:r w:rsidRPr="007B2B1A">
        <w:rPr>
          <w:rFonts w:hint="eastAsia"/>
        </w:rPr>
        <w:t>想关注</w:t>
      </w:r>
      <w:proofErr w:type="gramEnd"/>
      <w:r w:rsidRPr="007B2B1A">
        <w:rPr>
          <w:rFonts w:hint="eastAsia"/>
        </w:rPr>
        <w:t>资产评估立法方面的立法必要性体现在哪些方面，以及具有哪些重要的意义？谢谢。</w:t>
      </w:r>
    </w:p>
    <w:p w14:paraId="5DF28F15" w14:textId="77777777" w:rsidR="007B2B1A" w:rsidRPr="007B2B1A" w:rsidRDefault="007B2B1A" w:rsidP="001131ED">
      <w:pPr>
        <w:pStyle w:val="13"/>
      </w:pPr>
      <w:r w:rsidRPr="007B2B1A">
        <w:rPr>
          <w:rFonts w:hint="eastAsia"/>
        </w:rPr>
        <w:t>〔龚繁荣〕：</w:t>
      </w:r>
    </w:p>
    <w:p w14:paraId="3D67F7A3" w14:textId="3E26A207" w:rsidR="007B2B1A" w:rsidRPr="007B2B1A" w:rsidRDefault="007B2B1A" w:rsidP="001131ED">
      <w:pPr>
        <w:pStyle w:val="13"/>
      </w:pPr>
      <w:r w:rsidRPr="007B2B1A">
        <w:rPr>
          <w:rFonts w:hint="eastAsia"/>
        </w:rPr>
        <w:t>我来回答这个问题。大家知道，资产评估是促进资产交易公平合理进行的市场中介服务，由于缺乏法律规范，虚假评估影响交易的公平合理，甚至损害资产所有者合法权益的行为时有发生，为规范这个行业的发展，根据常委会的立法规划，第十届全国人大财经委员会牵头组织起草资产评估法草案。正像刚才讲的</w:t>
      </w:r>
      <w:r w:rsidR="00CC4D74">
        <w:rPr>
          <w:rFonts w:hint="eastAsia"/>
        </w:rPr>
        <w:t>，</w:t>
      </w:r>
      <w:r w:rsidRPr="007B2B1A">
        <w:t>历经三届人大，经过常委会四次审议通过，在立法过程中，我们充分发扬民主</w:t>
      </w:r>
      <w:r w:rsidR="00CC4D74">
        <w:t>，</w:t>
      </w:r>
      <w:r w:rsidRPr="007B2B1A">
        <w:t>坚持科学立法、广泛听取各方面意见和建议，深度研究论证，反复协调沟通，不断引起共识，对评估机构、评估师及从业人员行为规范，以及行业监管、行业协会等方面的作用做出的规</w:t>
      </w:r>
      <w:r w:rsidRPr="007B2B1A">
        <w:rPr>
          <w:rFonts w:hint="eastAsia"/>
        </w:rPr>
        <w:t>定，应</w:t>
      </w:r>
      <w:r w:rsidRPr="007B2B1A">
        <w:rPr>
          <w:rFonts w:hint="eastAsia"/>
        </w:rPr>
        <w:lastRenderedPageBreak/>
        <w:t>当说是在现有条件下最大公约数。从立法过程中大家讨论的情况看，制定资产评估法的重要性以及重要意义，我个人觉得有以下几条：</w:t>
      </w:r>
    </w:p>
    <w:p w14:paraId="1B1C55F0" w14:textId="77777777" w:rsidR="007B2B1A" w:rsidRPr="007B2B1A" w:rsidRDefault="007B2B1A" w:rsidP="001131ED">
      <w:pPr>
        <w:pStyle w:val="13"/>
      </w:pPr>
      <w:r w:rsidRPr="007B2B1A">
        <w:rPr>
          <w:rFonts w:hint="eastAsia"/>
        </w:rPr>
        <w:t>一、完善市场经济体制的需要。资产评估是通过资产的价值优化资源配置的重要工具，是维护社会秩序，促进市场公平竞争不可或缺的，通过立法尽快建立以现代市场体系相适应的资产评估法律制度是完善市场经济体制，促进市场经济健康发展的迫切需要。</w:t>
      </w:r>
    </w:p>
    <w:p w14:paraId="29199721" w14:textId="2DCB51D4" w:rsidR="007B2B1A" w:rsidRPr="007B2B1A" w:rsidRDefault="007B2B1A" w:rsidP="001131ED">
      <w:pPr>
        <w:pStyle w:val="13"/>
      </w:pPr>
      <w:r w:rsidRPr="007B2B1A">
        <w:rPr>
          <w:rFonts w:hint="eastAsia"/>
        </w:rPr>
        <w:t>二、是维护我们国家基本经济制度的需要。大家都知道，我国是以公有制为主体，多种所有制经济共同发展，为基本经济制度的社会主义国家，国有资产占有相当大的比重，随着国有企业改革的深化和其他所有制经济混合所有制经济的发展，国有企业和非公有制企业之间的资产转让、并购、重组、股权交易比较频繁，为了防止国有资产的流失，维护公共利益，保护各种所有制资本的合法权益</w:t>
      </w:r>
      <w:r w:rsidR="00CC4D74">
        <w:rPr>
          <w:rFonts w:hint="eastAsia"/>
        </w:rPr>
        <w:t>，</w:t>
      </w:r>
      <w:r w:rsidRPr="007B2B1A">
        <w:t>我们需要依法有序、客观公正的资产评估。</w:t>
      </w:r>
    </w:p>
    <w:p w14:paraId="64EB009F" w14:textId="450E87C8" w:rsidR="007B2B1A" w:rsidRPr="007B2B1A" w:rsidRDefault="007B2B1A" w:rsidP="00443F84">
      <w:pPr>
        <w:pStyle w:val="13"/>
      </w:pPr>
      <w:r w:rsidRPr="007B2B1A">
        <w:rPr>
          <w:rFonts w:hint="eastAsia"/>
        </w:rPr>
        <w:t>三、主要是行业自我发展规范评估行业行为的需要。据我们目前了解到的情况，资产评估现有评估师</w:t>
      </w:r>
      <w:r w:rsidRPr="007B2B1A">
        <w:t xml:space="preserve"> 13 万多人，评估人员大约 60 多万，评估机构 1.4 万多</w:t>
      </w:r>
      <w:r w:rsidRPr="007B2B1A">
        <w:rPr>
          <w:rFonts w:hint="eastAsia"/>
        </w:rPr>
        <w:t>家，涉及到</w:t>
      </w:r>
      <w:r w:rsidRPr="007B2B1A">
        <w:t>6个专业，归属5部门管理。刚才有不少同志都反映目前评估行业行为不规范，相关当事人权责不清晰，甚至还有恶性竞争、虚假评估等等情况，大家迫切需要立法给予规范。总之，我们希望资产评估法出台之后，从业人员依法开展业务，政府部门依法加强监管，行业协会积极发挥作用，从而遏制目前有些资产评估的乱象。谢谢。</w:t>
      </w:r>
    </w:p>
    <w:p w14:paraId="2683B4F2" w14:textId="77777777" w:rsidR="007B2B1A" w:rsidRPr="007B2B1A" w:rsidRDefault="007B2B1A" w:rsidP="001131ED">
      <w:pPr>
        <w:pStyle w:val="13"/>
      </w:pPr>
      <w:r w:rsidRPr="007B2B1A">
        <w:rPr>
          <w:rFonts w:hint="eastAsia"/>
        </w:rPr>
        <w:t>〔中国国际广播电台记者〕：</w:t>
      </w:r>
    </w:p>
    <w:p w14:paraId="25C171F2" w14:textId="77777777" w:rsidR="007B2B1A" w:rsidRPr="007B2B1A" w:rsidRDefault="007B2B1A" w:rsidP="001131ED">
      <w:pPr>
        <w:pStyle w:val="13"/>
      </w:pPr>
      <w:r w:rsidRPr="007B2B1A">
        <w:rPr>
          <w:rFonts w:hint="eastAsia"/>
        </w:rPr>
        <w:t>我的问题也是关于资产评估法。我们了解到，在立法过程中有意见提出资产评估目前特指是财政部门管理的评估领域，建议修改资产评估法的名称，以避免引起误解。我们今天通过的这部法律名称没有修改，想请问立法机关是如何考虑的。谢谢。</w:t>
      </w:r>
    </w:p>
    <w:p w14:paraId="093D1614" w14:textId="77777777" w:rsidR="007B2B1A" w:rsidRPr="007B2B1A" w:rsidRDefault="007B2B1A" w:rsidP="001131ED">
      <w:pPr>
        <w:pStyle w:val="13"/>
      </w:pPr>
      <w:r w:rsidRPr="007B2B1A">
        <w:rPr>
          <w:rFonts w:hint="eastAsia"/>
        </w:rPr>
        <w:t>〔黄薇〕：</w:t>
      </w:r>
    </w:p>
    <w:p w14:paraId="72AFAB6B" w14:textId="3C2F0E48" w:rsidR="007B2B1A" w:rsidRPr="007B2B1A" w:rsidRDefault="007B2B1A" w:rsidP="001131ED">
      <w:pPr>
        <w:pStyle w:val="13"/>
      </w:pPr>
      <w:r w:rsidRPr="007B2B1A">
        <w:rPr>
          <w:rFonts w:hint="eastAsia"/>
        </w:rPr>
        <w:t>谢谢你的问题，我来回答。关于资产评估法法律名称，确实在立法过程中也是有过一些不同意见，我们也进行了认真而反复的研究，最后之所以还是确定使用“资产评估法”这样一个法律名称，主要还是考虑法律之间的衔接统一。目前我们国家有七部法律已经用了“资产评估”这样的表述，包括刑法、公司法、保险法、证券投资基金法、证券法、公路法、企业国有资产法。在这些法律中，资产评估这样的概念的内涵是广义的概念，不仅仅是指财政部门所管的资产评估类</w:t>
      </w:r>
      <w:r w:rsidRPr="007B2B1A">
        <w:t xml:space="preserve"> 别，而是包括现在有五个部门分别管的六大评估领域，像房地产、土地、矿业权 等等，是个广义的概念。我这里也举一个例子。比如</w:t>
      </w:r>
      <w:proofErr w:type="gramStart"/>
      <w:r w:rsidRPr="007B2B1A">
        <w:t>刑法第</w:t>
      </w:r>
      <w:proofErr w:type="gramEnd"/>
      <w:r w:rsidRPr="007B2B1A">
        <w:t xml:space="preserve"> 229 条规定“承担资产评估、验资验证、会计、审计、法律服务等职责的中介服务的人员故意提供虚 假证明文件，情节严重的处五年以下有期徒刑或者拘役，并处罚金”，这样一</w:t>
      </w:r>
      <w:r w:rsidR="00793E5D">
        <w:t xml:space="preserve">条 </w:t>
      </w:r>
      <w:r w:rsidRPr="007B2B1A">
        <w:t>刑事责任的规定，显然是针对所有</w:t>
      </w:r>
      <w:r w:rsidRPr="007B2B1A">
        <w:lastRenderedPageBreak/>
        <w:t>的从事评估业务的评估专业人员而规定的法律 责任，不是仅仅针对财政部门所管的资产评估类别的评估人员的法律责任。考虑 到法</w:t>
      </w:r>
      <w:r w:rsidRPr="007B2B1A">
        <w:rPr>
          <w:rFonts w:hint="eastAsia"/>
        </w:rPr>
        <w:t>律之间的衔接、统一，所以我们这部法也是用了“资产评估”这样法的名称</w:t>
      </w:r>
      <w:r w:rsidR="00CC4D74">
        <w:rPr>
          <w:rFonts w:hint="eastAsia"/>
        </w:rPr>
        <w:t>，</w:t>
      </w:r>
      <w:r w:rsidRPr="007B2B1A">
        <w:t>以确保法律之间的衔接统一，避免法律适用的混乱，这是我们采用“资产评估法” 名称的考虑。还要说一句话，在立法过程中也有意见建议把法名改为评估法，或 者评估师法、估价师法等等，我们也对这些名称都做过研究。比如评估法，评估 显然是更广义的概念，除了资产评估以外其他很多领域也有评估，有立法前评估、后评估等等，如果用评估法这样的名称，指向就不是非常的清晰，究竟是指资产 评估还是其他领域的评估，不能很准确地表明我们这部法律调整的范围。至于评 估师法、</w:t>
      </w:r>
      <w:r w:rsidRPr="007B2B1A">
        <w:rPr>
          <w:rFonts w:hint="eastAsia"/>
        </w:rPr>
        <w:t>估价师法，我们这部法已经放开了评估从业人员的执业资格准入，除了</w:t>
      </w:r>
      <w:r w:rsidRPr="007B2B1A">
        <w:t xml:space="preserve"> 评估师以外，其他的专业人员也可以从事评估业务，所以用评估师法、估价师法 的名称也不合适。综合考虑，这部法用了“资产评估法”这样一个法律名称。谢 谢。</w:t>
      </w:r>
    </w:p>
    <w:p w14:paraId="58502380" w14:textId="77777777" w:rsidR="007B2B1A" w:rsidRPr="007B2B1A" w:rsidRDefault="007B2B1A" w:rsidP="001131ED">
      <w:pPr>
        <w:pStyle w:val="13"/>
      </w:pPr>
      <w:r w:rsidRPr="007B2B1A">
        <w:rPr>
          <w:rFonts w:hint="eastAsia"/>
        </w:rPr>
        <w:t>〔中新社记者〕：</w:t>
      </w:r>
    </w:p>
    <w:p w14:paraId="156EDA9E" w14:textId="77777777" w:rsidR="007B2B1A" w:rsidRPr="007B2B1A" w:rsidRDefault="007B2B1A" w:rsidP="001131ED">
      <w:pPr>
        <w:pStyle w:val="13"/>
      </w:pPr>
      <w:r w:rsidRPr="007B2B1A">
        <w:rPr>
          <w:rFonts w:hint="eastAsia"/>
        </w:rPr>
        <w:t>我们都知道中国正在加紧实施“一带一路”</w:t>
      </w:r>
      <w:proofErr w:type="gramStart"/>
      <w:r w:rsidRPr="007B2B1A">
        <w:rPr>
          <w:rFonts w:hint="eastAsia"/>
        </w:rPr>
        <w:t>等走出</w:t>
      </w:r>
      <w:proofErr w:type="gramEnd"/>
      <w:r w:rsidRPr="007B2B1A">
        <w:rPr>
          <w:rFonts w:hint="eastAsia"/>
        </w:rPr>
        <w:t>去战略，也就带来了中国的资产评估行业对外开放的问题，但是我们注意到，在新出台的法律中并没有对外国人以及外国机构在中国能否从事资产评估行业进行规定，所以我们想请问如何对待将来外国人中国资产评估行业对外开放的问题。谢谢。</w:t>
      </w:r>
    </w:p>
    <w:p w14:paraId="58C58F34" w14:textId="77777777" w:rsidR="007B2B1A" w:rsidRPr="007B2B1A" w:rsidRDefault="007B2B1A" w:rsidP="001131ED">
      <w:pPr>
        <w:pStyle w:val="13"/>
      </w:pPr>
      <w:r w:rsidRPr="007B2B1A">
        <w:rPr>
          <w:rFonts w:hint="eastAsia"/>
        </w:rPr>
        <w:t>〔赖永添〕：</w:t>
      </w:r>
    </w:p>
    <w:p w14:paraId="2E139363" w14:textId="77777777" w:rsidR="007B2B1A" w:rsidRPr="007B2B1A" w:rsidRDefault="007B2B1A" w:rsidP="001131ED">
      <w:pPr>
        <w:pStyle w:val="13"/>
      </w:pPr>
      <w:r w:rsidRPr="007B2B1A">
        <w:rPr>
          <w:rFonts w:hint="eastAsia"/>
        </w:rPr>
        <w:t>资产评估法规定了具有高等院校专科以上学历的公民可以参加评估师资格的全国统一考试，由此看，外籍人士不能够通过考试成为中国评估师，但是可以以从业人员的身份在中国从事资产评估业务。同时资产评估法没有规定外国机构不能在中国开展资产评估业务，从我国实际情况看，评估机构的业务涉及各个领</w:t>
      </w:r>
    </w:p>
    <w:p w14:paraId="1EF01E7F" w14:textId="09E8F3DB" w:rsidR="007B2B1A" w:rsidRPr="007B2B1A" w:rsidRDefault="007B2B1A" w:rsidP="001131ED">
      <w:pPr>
        <w:pStyle w:val="13"/>
      </w:pPr>
      <w:r w:rsidRPr="007B2B1A">
        <w:rPr>
          <w:rFonts w:hint="eastAsia"/>
        </w:rPr>
        <w:t>域，有一些业务对我国经济社会的信息安全将构成影响。因此，为了保障国家经济信息安全，有必要依法采取适当的方式对资产评估涉及国家经济安全的领域进行规范管理。怎么样规范管理呢？依据在哪里？我们根据现行的国家安全法的规定，国家要建立国家安全审查和监管的制度、机制，对影响或可能影响国家安全的外商投资进行国家安全审查，中央国家机关各部门依照法律、行政法规行使国家安全审查职责，依法做出国家安全审查决定，或者提出安全审查意见，并监督执行。资产评估行政主管部门应当依照各自的职权，结合评估行业的发展实际</w:t>
      </w:r>
      <w:r w:rsidR="00CC4D74">
        <w:rPr>
          <w:rFonts w:hint="eastAsia"/>
        </w:rPr>
        <w:t>，</w:t>
      </w:r>
      <w:r w:rsidRPr="007B2B1A">
        <w:t>特别是要借鉴市场经济</w:t>
      </w:r>
      <w:r w:rsidRPr="007B2B1A">
        <w:rPr>
          <w:rFonts w:hint="eastAsia"/>
        </w:rPr>
        <w:t>国家的通行做法，对外籍人士、外国机构在中国设立评估机构，以及外资评估机构从事涉及国家经济安全领域的评估业务进行必要的安全审查。资产评估法出台以后，有关部门还要依法进一步制定完善相关的措施和办法。谢谢。</w:t>
      </w:r>
    </w:p>
    <w:p w14:paraId="7CCE9FF6" w14:textId="77777777" w:rsidR="007B2B1A" w:rsidRPr="007B2B1A" w:rsidRDefault="007B2B1A" w:rsidP="001131ED">
      <w:pPr>
        <w:pStyle w:val="13"/>
      </w:pPr>
      <w:r w:rsidRPr="007B2B1A">
        <w:rPr>
          <w:rFonts w:hint="eastAsia"/>
        </w:rPr>
        <w:t>〔香港中评社记者〕：</w:t>
      </w:r>
    </w:p>
    <w:p w14:paraId="1DDB988E" w14:textId="77777777" w:rsidR="007B2B1A" w:rsidRPr="007B2B1A" w:rsidRDefault="007B2B1A" w:rsidP="001131ED">
      <w:pPr>
        <w:pStyle w:val="13"/>
      </w:pPr>
      <w:r w:rsidRPr="007B2B1A">
        <w:rPr>
          <w:rFonts w:hint="eastAsia"/>
        </w:rPr>
        <w:t>我的问题也是有关资产评估法的。我们知道在立法过程中许多人都希望能够解</w:t>
      </w:r>
      <w:r w:rsidRPr="007B2B1A">
        <w:rPr>
          <w:rFonts w:hint="eastAsia"/>
        </w:rPr>
        <w:lastRenderedPageBreak/>
        <w:t>决资产评估中多头管理的问题，请问现在这个问题的情况如何。另外，法案是如何考虑来划分政府和市场在行业中的力量，以保证行业健康发展的。谢谢。</w:t>
      </w:r>
    </w:p>
    <w:p w14:paraId="0C78408D" w14:textId="77777777" w:rsidR="007B2B1A" w:rsidRPr="007B2B1A" w:rsidRDefault="007B2B1A" w:rsidP="001131ED">
      <w:pPr>
        <w:pStyle w:val="13"/>
      </w:pPr>
      <w:r w:rsidRPr="007B2B1A">
        <w:rPr>
          <w:rFonts w:hint="eastAsia"/>
        </w:rPr>
        <w:t>〔龚繁荣〕：</w:t>
      </w:r>
    </w:p>
    <w:p w14:paraId="3E1BBD0D" w14:textId="00587ED7" w:rsidR="007B2B1A" w:rsidRPr="007B2B1A" w:rsidRDefault="007B2B1A" w:rsidP="001131ED">
      <w:pPr>
        <w:pStyle w:val="13"/>
      </w:pPr>
      <w:r w:rsidRPr="007B2B1A">
        <w:rPr>
          <w:rFonts w:hint="eastAsia"/>
        </w:rPr>
        <w:t>你问了一个在立法过程中一直反复论证、反复研究的问题。大家都知道，按照国务院现行的有关规定，评估行业经过了几次的清理整顿之后，划分了资产评估，土地评估，房地产评估、估价，矿业权评估，保险</w:t>
      </w:r>
      <w:proofErr w:type="gramStart"/>
      <w:r w:rsidRPr="007B2B1A">
        <w:rPr>
          <w:rFonts w:hint="eastAsia"/>
        </w:rPr>
        <w:t>公估和旧</w:t>
      </w:r>
      <w:proofErr w:type="gramEnd"/>
      <w:r w:rsidRPr="007B2B1A">
        <w:rPr>
          <w:rFonts w:hint="eastAsia"/>
        </w:rPr>
        <w:t>机动车评估等六种专业类别，分别由财政部、国土资源部、住房和城乡建设部、商务部、保监会五个部门管理。由于各种评估专业类别虽然同属资产评估行业，但是各专业有其自身的专业特点，专业性是比较强的，资产评估法是按照我们现行的管理体制做出的规定，由各部门分别管理，为了便于更好的发挥各专业类别评估的作用，通过立法将不同专业评估管理统一在一部法律框架之下，有利于评估行政管理部门统一监管尺度，有利于各评估行业协会统一制定规则，有利于各评估专业机构统一执业标准，也有利于统一落实评估当事人各方的法定责任，更有利于评估机构实现多种专业综合发展。因此我们资产评估法应该是凝聚了行业共识，目的就是发挥各部门分别管理的优势，以及各专业评估协会自律管理的作用，从而规范评估行业的管理。谢谢。</w:t>
      </w:r>
    </w:p>
    <w:p w14:paraId="49306FDE" w14:textId="77777777" w:rsidR="007B2B1A" w:rsidRPr="007B2B1A" w:rsidRDefault="007B2B1A" w:rsidP="001131ED">
      <w:pPr>
        <w:pStyle w:val="13"/>
      </w:pPr>
      <w:r w:rsidRPr="007B2B1A">
        <w:rPr>
          <w:rFonts w:hint="eastAsia"/>
        </w:rPr>
        <w:t>〔中国会计报记者〕：</w:t>
      </w:r>
    </w:p>
    <w:p w14:paraId="624070D0" w14:textId="597BDE65" w:rsidR="007B2B1A" w:rsidRPr="007B2B1A" w:rsidRDefault="00443F84" w:rsidP="001131ED">
      <w:pPr>
        <w:pStyle w:val="13"/>
      </w:pPr>
      <w:r>
        <w:rPr>
          <w:rFonts w:hint="eastAsia"/>
        </w:rPr>
        <w:t>有</w:t>
      </w:r>
      <w:r w:rsidR="007B2B1A" w:rsidRPr="007B2B1A">
        <w:rPr>
          <w:rFonts w:hint="eastAsia"/>
        </w:rPr>
        <w:t>关资产评估法的问题。资产评估法第</w:t>
      </w:r>
      <w:r w:rsidR="007B2B1A" w:rsidRPr="007B2B1A">
        <w:t xml:space="preserve"> 37 条规定有关评估行业协会应该建立沟通协作和信息共享机制，根据需要制定共同的行为规范，促进评估行业健康有序发展。这是否意味着接下来会有相关配套措施或者规定出台，促进相关协会的协调机制，促进行业共同发展。</w:t>
      </w:r>
    </w:p>
    <w:p w14:paraId="5D34BB3F" w14:textId="77777777" w:rsidR="007B2B1A" w:rsidRPr="007B2B1A" w:rsidRDefault="007B2B1A" w:rsidP="001131ED">
      <w:pPr>
        <w:pStyle w:val="13"/>
      </w:pPr>
      <w:r w:rsidRPr="007B2B1A">
        <w:rPr>
          <w:rFonts w:hint="eastAsia"/>
        </w:rPr>
        <w:t>〔黄薇〕：</w:t>
      </w:r>
    </w:p>
    <w:p w14:paraId="12591405" w14:textId="390C1756" w:rsidR="005564C9" w:rsidRDefault="007B2B1A" w:rsidP="001131ED">
      <w:pPr>
        <w:pStyle w:val="13"/>
      </w:pPr>
      <w:r w:rsidRPr="007B2B1A">
        <w:rPr>
          <w:rFonts w:hint="eastAsia"/>
        </w:rPr>
        <w:t>关于行业协会，现在我国有六大评估领域都有自己的行业协会，比如财政系统有资产评估协会，房地产评估方面也有房地产评估方面的协会，土地评估也有土地评估行业协会，都有自己的评估协会，大家按照自律管理的原则，对加入本协会的评估机构、评估专业人员进行自律管理，第</w:t>
      </w:r>
      <w:r w:rsidRPr="007B2B1A">
        <w:t xml:space="preserve"> 37 条之所以写上各个协会之间建立一个沟通协作，信息共享机制，主要是考虑现在协会不是一个统一的协会</w:t>
      </w:r>
      <w:r w:rsidR="00CC4D74">
        <w:t>，</w:t>
      </w:r>
      <w:r w:rsidRPr="007B2B1A">
        <w:t>大家分别进行管理。但是评估行业作为一个行业，各个协会如果在日常的自律管理中加强沟通协作，共同制定行为规则，因为评估行业是专业行业，虽然每个领域有自己的特点，但</w:t>
      </w:r>
      <w:r w:rsidRPr="007B2B1A">
        <w:rPr>
          <w:rFonts w:hint="eastAsia"/>
        </w:rPr>
        <w:t>是总体来说行业有一些共性的东西，可以制定共性的规则</w:t>
      </w:r>
      <w:r w:rsidR="00CC4D74">
        <w:rPr>
          <w:rFonts w:hint="eastAsia"/>
        </w:rPr>
        <w:t>，</w:t>
      </w:r>
      <w:r w:rsidRPr="007B2B1A">
        <w:t>所以立法要求有关行业协会建立沟通协作和信息共享机制，根据需要制定共同行为规范，促进行业健康发展。下一步法律实行以后，我</w:t>
      </w:r>
      <w:proofErr w:type="gramStart"/>
      <w:r w:rsidRPr="007B2B1A">
        <w:t>想各个</w:t>
      </w:r>
      <w:proofErr w:type="gramEnd"/>
      <w:r w:rsidRPr="007B2B1A">
        <w:t>协会应该是贯彻这样一个法律规定，通过相互之间的沟通协调来落实法律的具体要求。</w:t>
      </w:r>
    </w:p>
    <w:p w14:paraId="1B37E0A9" w14:textId="77777777" w:rsidR="000661A0" w:rsidRDefault="000661A0" w:rsidP="007B2B1A">
      <w:pPr>
        <w:spacing w:line="312" w:lineRule="auto"/>
        <w:ind w:firstLineChars="200" w:firstLine="480"/>
        <w:rPr>
          <w:rFonts w:ascii="宋体" w:hAnsi="宋体"/>
          <w:sz w:val="24"/>
          <w:szCs w:val="24"/>
        </w:rPr>
      </w:pPr>
    </w:p>
    <w:p w14:paraId="427C2488" w14:textId="77777777" w:rsidR="00184D45" w:rsidRPr="00184D45" w:rsidRDefault="00184D45" w:rsidP="00184D45">
      <w:pPr>
        <w:pStyle w:val="21"/>
        <w:spacing w:before="156" w:after="93"/>
      </w:pPr>
      <w:bookmarkStart w:id="3" w:name="_Toc81833283"/>
      <w:r w:rsidRPr="00184D45">
        <w:rPr>
          <w:rFonts w:hint="eastAsia"/>
        </w:rPr>
        <w:lastRenderedPageBreak/>
        <w:t>贯彻实施《中华人民共和国资产评估法》的通知</w:t>
      </w:r>
      <w:bookmarkEnd w:id="3"/>
    </w:p>
    <w:p w14:paraId="2F9254B7" w14:textId="77777777" w:rsidR="00184D45" w:rsidRPr="000661A0" w:rsidRDefault="00184D45" w:rsidP="000661A0">
      <w:pPr>
        <w:pStyle w:val="31"/>
        <w:spacing w:before="156" w:after="62"/>
        <w:rPr>
          <w:spacing w:val="-6"/>
        </w:rPr>
      </w:pPr>
      <w:bookmarkStart w:id="4" w:name="_Toc81833284"/>
      <w:r w:rsidRPr="000661A0">
        <w:rPr>
          <w:rFonts w:hint="eastAsia"/>
          <w:spacing w:val="-6"/>
        </w:rPr>
        <w:t>财政部关于贯彻实施《中华人民共和国资产评估法》的通知（财资﹝</w:t>
      </w:r>
      <w:r w:rsidRPr="000661A0">
        <w:rPr>
          <w:spacing w:val="-6"/>
        </w:rPr>
        <w:t>2016﹞93号）</w:t>
      </w:r>
      <w:bookmarkEnd w:id="4"/>
    </w:p>
    <w:p w14:paraId="1BC8CC1F" w14:textId="77777777" w:rsidR="00184D45" w:rsidRPr="00184D45" w:rsidRDefault="00184D45" w:rsidP="001131ED">
      <w:pPr>
        <w:pStyle w:val="13"/>
        <w:ind w:firstLineChars="0" w:firstLine="0"/>
      </w:pPr>
      <w:r w:rsidRPr="00184D45">
        <w:rPr>
          <w:rFonts w:hint="eastAsia"/>
        </w:rPr>
        <w:t>各省、自治区、直辖市、计划单列市财政厅（局），新疆生产建设兵团财务局：</w:t>
      </w:r>
    </w:p>
    <w:p w14:paraId="47A1DEA2" w14:textId="43399491" w:rsidR="00184D45" w:rsidRPr="00184D45" w:rsidRDefault="00184D45" w:rsidP="001131ED">
      <w:pPr>
        <w:pStyle w:val="13"/>
      </w:pPr>
      <w:r w:rsidRPr="00184D45">
        <w:t>2016</w:t>
      </w:r>
      <w:r w:rsidR="003068F8">
        <w:t>年</w:t>
      </w:r>
      <w:r w:rsidRPr="00184D45">
        <w:t>7</w:t>
      </w:r>
      <w:r w:rsidR="003068F8">
        <w:t>月</w:t>
      </w:r>
      <w:r w:rsidRPr="00184D45">
        <w:t>2</w:t>
      </w:r>
      <w:r w:rsidR="003068F8">
        <w:t>日</w:t>
      </w:r>
      <w:r w:rsidRPr="00184D45">
        <w:t>，十二届全国人大常委会第二十一次会议审议通过了《中</w:t>
      </w:r>
      <w:r w:rsidRPr="00184D45">
        <w:rPr>
          <w:rFonts w:hint="eastAsia"/>
        </w:rPr>
        <w:t>华人民共和国资产评估法》（以下简称资产评估法），自</w:t>
      </w:r>
      <w:r w:rsidRPr="00184D45">
        <w:t xml:space="preserve"> 2016</w:t>
      </w:r>
      <w:r w:rsidR="003068F8">
        <w:t>年</w:t>
      </w:r>
      <w:r w:rsidRPr="00184D45">
        <w:t>12</w:t>
      </w:r>
      <w:r w:rsidR="003068F8">
        <w:t>月</w:t>
      </w:r>
      <w:r w:rsidRPr="00184D45">
        <w:t>1</w:t>
      </w:r>
      <w:r w:rsidR="003068F8">
        <w:t>日</w:t>
      </w:r>
      <w:r w:rsidRPr="00184D45">
        <w:t>起施行。各级财政部门和资产评估协会要高度重视并切实做好资产评估法的贯彻实施工作，要以贯彻实施资产评估法为契机，进一步加强和完善资产评估行业管理</w:t>
      </w:r>
      <w:r w:rsidR="00CC4D74">
        <w:t>，</w:t>
      </w:r>
      <w:r w:rsidRPr="00184D45">
        <w:t>不断提升资产评估行业服务水平，努力开创资产评估管理工作的新局面。现就贯彻实施资产评估法有关工作通知如下：</w:t>
      </w:r>
    </w:p>
    <w:p w14:paraId="2BDD8CE3" w14:textId="77777777" w:rsidR="00184D45" w:rsidRPr="000661A0" w:rsidRDefault="00184D45" w:rsidP="000661A0">
      <w:pPr>
        <w:pStyle w:val="ab"/>
        <w:spacing w:before="62" w:after="62"/>
        <w:ind w:firstLine="482"/>
      </w:pPr>
      <w:r w:rsidRPr="000661A0">
        <w:rPr>
          <w:rFonts w:hint="eastAsia"/>
        </w:rPr>
        <w:t>一、充分认识贯彻落实资产评估法的重要意义</w:t>
      </w:r>
    </w:p>
    <w:p w14:paraId="6D72B73B" w14:textId="72AA2F46" w:rsidR="00184D45" w:rsidRPr="00184D45" w:rsidRDefault="00184D45" w:rsidP="001131ED">
      <w:pPr>
        <w:pStyle w:val="13"/>
      </w:pPr>
      <w:r w:rsidRPr="00184D45">
        <w:rPr>
          <w:rFonts w:hint="eastAsia"/>
        </w:rPr>
        <w:t>资产评估法以党的十八大和十八届三中、四中、五中全会精神为指导，充分</w:t>
      </w:r>
      <w:r w:rsidRPr="00184D45">
        <w:t>反映和体现了近年来我国经济体制改革和市场经济建设、国家行政体制改革和简政放权、资产评估行业发展和管理方式改革等多方面的经验和成果，对资产评估 机构和资产评估人员开展资产评估业务、资产评估行业行政监管和行业自律管理、资产评估相关各方的权利义务责任等一系列重大问题做出了明确规定，全面确立 了资产评估行业的法律地位，对促进资产评估行业发展具有重大历史和现实意义。各级财政部门和资产评估协会应深刻认识贯彻实施资产评估法对维护社会主义 市场经济秩序、</w:t>
      </w:r>
      <w:r w:rsidRPr="00184D45">
        <w:rPr>
          <w:rFonts w:hint="eastAsia"/>
        </w:rPr>
        <w:t>维护国有资本权益、防范国有资产流失、规范资本市场运作、防</w:t>
      </w:r>
      <w:r w:rsidRPr="00184D45">
        <w:t xml:space="preserve"> 范金融系统风险、保障社会公众利益和国家经济安全、促进资产评估行业规范健 康发展的重要作用，将贯彻落实资产评估法作为当前和今后一段时期内资产评估 行业管理的重要工作来抓，充分发挥作用，切实取得成效。</w:t>
      </w:r>
    </w:p>
    <w:p w14:paraId="64EC394F" w14:textId="77777777" w:rsidR="00184D45" w:rsidRPr="00184D45" w:rsidRDefault="00184D45" w:rsidP="000661A0">
      <w:pPr>
        <w:pStyle w:val="ab"/>
        <w:spacing w:before="62" w:after="62"/>
        <w:ind w:firstLine="482"/>
      </w:pPr>
      <w:r w:rsidRPr="00184D45">
        <w:rPr>
          <w:rFonts w:hint="eastAsia"/>
        </w:rPr>
        <w:t>二、深入开展资产评估法学习宣传活动</w:t>
      </w:r>
    </w:p>
    <w:p w14:paraId="555F74AC" w14:textId="3089C613" w:rsidR="00184D45" w:rsidRPr="00184D45" w:rsidRDefault="00184D45" w:rsidP="001131ED">
      <w:pPr>
        <w:pStyle w:val="13"/>
      </w:pPr>
      <w:r w:rsidRPr="00184D45">
        <w:rPr>
          <w:rFonts w:hint="eastAsia"/>
        </w:rPr>
        <w:t>各级财政部门、资产评估协会和资产评估机构要切实提高对资产评估法学习宣传工作重要性的认识，形成学法、知法、尊法、守法的浓厚氛围。要统一思想</w:t>
      </w:r>
      <w:r w:rsidR="00CC4D74">
        <w:rPr>
          <w:rFonts w:hint="eastAsia"/>
        </w:rPr>
        <w:t>，</w:t>
      </w:r>
      <w:r w:rsidRPr="00184D45">
        <w:t>提高认识，持续</w:t>
      </w:r>
      <w:proofErr w:type="gramStart"/>
      <w:r w:rsidRPr="00184D45">
        <w:t>全面引导</w:t>
      </w:r>
      <w:proofErr w:type="gramEnd"/>
      <w:r w:rsidRPr="00184D45">
        <w:t>全行业认真学习、深刻领会资产评估法。要有重点、有步骤、有秩序地组织开展资产评估法学习和培训工作，确保所有资产评估专业人员都能准确掌握资产评估法的精神实质和有关规定，并在工作中认真遵守执行。要积极通过多种渠道和形式，向社会广泛宣传和普及资产评估法知识，特别是要使资产评估委托方和资产评估报告使用方等各相关主体，全面了解和熟悉资产评估法，确保资产评估法顺</w:t>
      </w:r>
      <w:r w:rsidRPr="00184D45">
        <w:rPr>
          <w:rFonts w:hint="eastAsia"/>
        </w:rPr>
        <w:t>利实施。</w:t>
      </w:r>
    </w:p>
    <w:p w14:paraId="4A0BD6AE" w14:textId="77777777" w:rsidR="00184D45" w:rsidRPr="00184D45" w:rsidRDefault="00184D45" w:rsidP="000661A0">
      <w:pPr>
        <w:pStyle w:val="ab"/>
        <w:spacing w:before="62" w:after="62"/>
        <w:ind w:firstLine="482"/>
      </w:pPr>
      <w:r w:rsidRPr="00184D45">
        <w:rPr>
          <w:rFonts w:hint="eastAsia"/>
        </w:rPr>
        <w:t>三、建立健全资产评估相关配套制度</w:t>
      </w:r>
    </w:p>
    <w:p w14:paraId="4337B624" w14:textId="77777777" w:rsidR="00184D45" w:rsidRPr="00184D45" w:rsidRDefault="00184D45" w:rsidP="001131ED">
      <w:pPr>
        <w:pStyle w:val="13"/>
      </w:pPr>
      <w:r w:rsidRPr="00184D45">
        <w:rPr>
          <w:rFonts w:hint="eastAsia"/>
        </w:rPr>
        <w:t>根据资产评估法要求，财政部将加快出台《资产评估行业财政监督管理办法》和</w:t>
      </w:r>
      <w:r w:rsidRPr="00184D45">
        <w:rPr>
          <w:rFonts w:hint="eastAsia"/>
        </w:rPr>
        <w:lastRenderedPageBreak/>
        <w:t>《资产评估基本准则》等相关管理制度，确保资产评估法落到实处。各级财政部门和资产评估协会要抓紧清理和修订与资产评估法不一致的规定，并按照资产评估法要求，建立新的管理规范和工作流程。中国资产评估协会要按照资产评估法要求，制定并不断完善资产评估执业具体准则和职业道德具体准则，指导和监督会员执业行为。</w:t>
      </w:r>
    </w:p>
    <w:p w14:paraId="23BB18DE" w14:textId="77777777" w:rsidR="00184D45" w:rsidRPr="00184D45" w:rsidRDefault="00184D45" w:rsidP="000661A0">
      <w:pPr>
        <w:pStyle w:val="ab"/>
        <w:spacing w:before="62" w:after="62"/>
        <w:ind w:firstLine="482"/>
      </w:pPr>
      <w:r w:rsidRPr="00184D45">
        <w:rPr>
          <w:rFonts w:hint="eastAsia"/>
        </w:rPr>
        <w:t>四、加强资产评估机构的监督管理</w:t>
      </w:r>
    </w:p>
    <w:p w14:paraId="5BB5B1EC" w14:textId="77777777" w:rsidR="00184D45" w:rsidRPr="00184D45" w:rsidRDefault="00184D45" w:rsidP="001131ED">
      <w:pPr>
        <w:pStyle w:val="13"/>
      </w:pPr>
      <w:r w:rsidRPr="00184D45">
        <w:rPr>
          <w:rFonts w:hint="eastAsia"/>
        </w:rPr>
        <w:t>各级财政部门要贯彻简政放权、放管结合、优化服务的改革思路，按照依法行政的总体要求，规范和加强资产评估机构的行政监管。按照财政部的统一部署和要求，做好资产评估机构备案相关工作。要实行对资产评估机构的事前事中事后全过程监管，重点检查资产评估机构遵守法律、行政法规和资产评估准则情况以及资产评估机构开展法定资产评估业务情况，及时处理委托人针对有关评估机构或者评估专业人员违法开展业务的投诉、举报。要指导督促资产评估机构建立健全公司治理结构、质量控制、内部管理、风险防控等制度，建立健全责任追究机制，强化资产评估机构的责任意识，提高行政监管的主动性和有效性。</w:t>
      </w:r>
    </w:p>
    <w:p w14:paraId="64778A31" w14:textId="77777777" w:rsidR="00184D45" w:rsidRPr="00184D45" w:rsidRDefault="00184D45" w:rsidP="000661A0">
      <w:pPr>
        <w:pStyle w:val="ab"/>
        <w:spacing w:before="62" w:after="62"/>
        <w:ind w:firstLine="482"/>
      </w:pPr>
      <w:r w:rsidRPr="00184D45">
        <w:rPr>
          <w:rFonts w:hint="eastAsia"/>
        </w:rPr>
        <w:t>五、规范资产评估专业人员执业管理</w:t>
      </w:r>
    </w:p>
    <w:p w14:paraId="58FD6360" w14:textId="51EE2755" w:rsidR="00184D45" w:rsidRPr="00184D45" w:rsidRDefault="00184D45" w:rsidP="001131ED">
      <w:pPr>
        <w:pStyle w:val="13"/>
      </w:pPr>
      <w:r w:rsidRPr="00184D45">
        <w:rPr>
          <w:rFonts w:hint="eastAsia"/>
        </w:rPr>
        <w:t>各级财政部门、资产评估协会和资产评估机构要依法保障资产评估专业人员所享有的各项权利，保障资产评估专业人员依法独立、客观、公正执业。资产评估专业人员要按照资产评估法要求，认真履行法律规定的责任和义务，严格按照相关法律法规和资产评估准则的规定，开展业务活动；要严格履行资产评估程序</w:t>
      </w:r>
      <w:r w:rsidR="00CC4D74">
        <w:rPr>
          <w:rFonts w:hint="eastAsia"/>
        </w:rPr>
        <w:t>，</w:t>
      </w:r>
      <w:r w:rsidRPr="00184D45">
        <w:t>勤勉尽责，诚实守信，不得签署和出具虚假资产评估报告；要自觉接受资产评估协会自律管理和所在资产评估机构的内部管理，完成规定的继续教育，保持和提高专业胜任能力。</w:t>
      </w:r>
    </w:p>
    <w:p w14:paraId="0BDA3118" w14:textId="77777777" w:rsidR="00184D45" w:rsidRPr="00184D45" w:rsidRDefault="00184D45" w:rsidP="000661A0">
      <w:pPr>
        <w:pStyle w:val="ab"/>
        <w:spacing w:before="62" w:after="62"/>
        <w:ind w:firstLine="482"/>
      </w:pPr>
      <w:r w:rsidRPr="00184D45">
        <w:rPr>
          <w:rFonts w:hint="eastAsia"/>
        </w:rPr>
        <w:t>六、强化资产评估协会自律监管</w:t>
      </w:r>
    </w:p>
    <w:p w14:paraId="4C9A29AE" w14:textId="77777777" w:rsidR="00184D45" w:rsidRPr="00184D45" w:rsidRDefault="00184D45" w:rsidP="001131ED">
      <w:pPr>
        <w:pStyle w:val="13"/>
      </w:pPr>
      <w:r w:rsidRPr="00184D45">
        <w:rPr>
          <w:rFonts w:hint="eastAsia"/>
        </w:rPr>
        <w:t>各级财政部门要按照资产评估法的规定，指导和监督资产评估协会依法履行职责，充分发挥资产评估协会的自律管理作用。资产评估协会要按照资产评估法要求，加强资产评估准则建设，完善会员管理体制，组织做好资产评估师资格考试和登记工作，建立会员信用档案和诚信信息公开制度，组织做好资产评估行业执业质量监督检查，加大自律惩戒力度。要切实加强对资产评估机构及资产评估专业人员的职业道德教育和服务能力培养，全面提升资产评估行业的服务水平和社会公信力。</w:t>
      </w:r>
    </w:p>
    <w:p w14:paraId="4BBF13B2" w14:textId="54A9DAE3" w:rsidR="00184D45" w:rsidRPr="00184D45" w:rsidRDefault="00184D45" w:rsidP="001131ED">
      <w:pPr>
        <w:pStyle w:val="13"/>
      </w:pPr>
      <w:r w:rsidRPr="00184D45">
        <w:rPr>
          <w:rFonts w:hint="eastAsia"/>
        </w:rPr>
        <w:t>各级财政部门和资产评估协会要及时跟踪掌握资产评估法贯彻实施情况，有效应对资产评估管理工作中出现的新情况、新问题，确保资产评估法得到有效贯彻落实。省级财政部门和中国资产评估协会要及时汇总分析资产评估法贯彻落实情况，并将有关情况和问题，及时报告财政部。</w:t>
      </w:r>
    </w:p>
    <w:p w14:paraId="1027401D" w14:textId="77777777" w:rsidR="00184D45" w:rsidRPr="00184D45" w:rsidRDefault="00184D45" w:rsidP="000661A0">
      <w:pPr>
        <w:spacing w:line="312" w:lineRule="auto"/>
        <w:ind w:firstLineChars="200" w:firstLine="480"/>
        <w:jc w:val="right"/>
        <w:rPr>
          <w:rFonts w:ascii="宋体" w:hAnsi="宋体"/>
          <w:sz w:val="24"/>
          <w:szCs w:val="24"/>
        </w:rPr>
      </w:pPr>
      <w:r w:rsidRPr="00184D45">
        <w:rPr>
          <w:rFonts w:ascii="宋体" w:hAnsi="宋体" w:hint="eastAsia"/>
          <w:sz w:val="24"/>
          <w:szCs w:val="24"/>
        </w:rPr>
        <w:t>财政部</w:t>
      </w:r>
    </w:p>
    <w:p w14:paraId="4CD347AA" w14:textId="51B6B3E1" w:rsidR="00184D45" w:rsidRPr="00184D45" w:rsidRDefault="00184D45" w:rsidP="000661A0">
      <w:pPr>
        <w:spacing w:line="312" w:lineRule="auto"/>
        <w:ind w:firstLineChars="200" w:firstLine="480"/>
        <w:jc w:val="right"/>
        <w:rPr>
          <w:rFonts w:ascii="宋体" w:hAnsi="宋体"/>
          <w:sz w:val="24"/>
          <w:szCs w:val="24"/>
        </w:rPr>
      </w:pPr>
      <w:r w:rsidRPr="00184D45">
        <w:rPr>
          <w:rFonts w:ascii="宋体" w:hAnsi="宋体"/>
          <w:sz w:val="24"/>
          <w:szCs w:val="24"/>
        </w:rPr>
        <w:t>2016</w:t>
      </w:r>
      <w:r w:rsidR="003068F8">
        <w:rPr>
          <w:rFonts w:ascii="宋体" w:hAnsi="宋体"/>
          <w:sz w:val="24"/>
          <w:szCs w:val="24"/>
        </w:rPr>
        <w:t>年</w:t>
      </w:r>
      <w:r w:rsidRPr="00184D45">
        <w:rPr>
          <w:rFonts w:ascii="宋体" w:hAnsi="宋体"/>
          <w:sz w:val="24"/>
          <w:szCs w:val="24"/>
        </w:rPr>
        <w:t>12</w:t>
      </w:r>
      <w:r w:rsidR="003068F8">
        <w:rPr>
          <w:rFonts w:ascii="宋体" w:hAnsi="宋体"/>
          <w:sz w:val="24"/>
          <w:szCs w:val="24"/>
        </w:rPr>
        <w:t>月</w:t>
      </w:r>
      <w:r w:rsidRPr="00184D45">
        <w:rPr>
          <w:rFonts w:ascii="宋体" w:hAnsi="宋体"/>
          <w:sz w:val="24"/>
          <w:szCs w:val="24"/>
        </w:rPr>
        <w:t>7</w:t>
      </w:r>
      <w:r w:rsidR="003068F8">
        <w:rPr>
          <w:rFonts w:ascii="宋体" w:hAnsi="宋体"/>
          <w:sz w:val="24"/>
          <w:szCs w:val="24"/>
        </w:rPr>
        <w:t>日</w:t>
      </w:r>
    </w:p>
    <w:p w14:paraId="2021E302" w14:textId="2FF41636" w:rsidR="000661A0" w:rsidRPr="000661A0" w:rsidRDefault="000661A0" w:rsidP="000661A0">
      <w:pPr>
        <w:pStyle w:val="31"/>
        <w:spacing w:before="156" w:after="62"/>
      </w:pPr>
      <w:bookmarkStart w:id="5" w:name="_Toc81833285"/>
      <w:r w:rsidRPr="000661A0">
        <w:rPr>
          <w:rFonts w:hint="eastAsia"/>
        </w:rPr>
        <w:lastRenderedPageBreak/>
        <w:t>住房城乡建设部关于贯彻落实资产评估法规范房地产估价行业管理有关问题的</w:t>
      </w:r>
      <w:r w:rsidRPr="000661A0">
        <w:t>通知（建房﹝2016﹞275号）</w:t>
      </w:r>
      <w:bookmarkEnd w:id="5"/>
    </w:p>
    <w:p w14:paraId="4F0E964C" w14:textId="77777777" w:rsidR="000661A0" w:rsidRPr="000661A0" w:rsidRDefault="000661A0" w:rsidP="001131ED">
      <w:pPr>
        <w:pStyle w:val="13"/>
        <w:ind w:firstLineChars="0" w:firstLine="0"/>
      </w:pPr>
      <w:r w:rsidRPr="000661A0">
        <w:rPr>
          <w:rFonts w:hint="eastAsia"/>
        </w:rPr>
        <w:t>各省、自治区住房城乡建设厅，北京市住房城乡建设委，上海市住房城乡建设管委，天津市、重庆市国土资源房屋管理局：</w:t>
      </w:r>
    </w:p>
    <w:p w14:paraId="7DA8C1E4" w14:textId="77777777" w:rsidR="000661A0" w:rsidRPr="000661A0" w:rsidRDefault="000661A0" w:rsidP="001131ED">
      <w:pPr>
        <w:pStyle w:val="13"/>
      </w:pPr>
      <w:r w:rsidRPr="000661A0">
        <w:rPr>
          <w:rFonts w:hint="eastAsia"/>
        </w:rPr>
        <w:t>为贯彻落实资产评估法，规范房地产估价行业管理，促进房地产估价行业健康发展，现就有关事项通知如下：</w:t>
      </w:r>
    </w:p>
    <w:p w14:paraId="4E233154" w14:textId="77777777" w:rsidR="000661A0" w:rsidRPr="000661A0" w:rsidRDefault="000661A0" w:rsidP="000661A0">
      <w:pPr>
        <w:pStyle w:val="ab"/>
        <w:spacing w:before="62" w:after="62"/>
        <w:ind w:firstLine="482"/>
      </w:pPr>
      <w:r w:rsidRPr="000661A0">
        <w:rPr>
          <w:rFonts w:hint="eastAsia"/>
        </w:rPr>
        <w:t>一、充分认识贯彻落实资产评估法的重要意义</w:t>
      </w:r>
    </w:p>
    <w:p w14:paraId="372833C4" w14:textId="77777777" w:rsidR="000661A0" w:rsidRPr="000661A0" w:rsidRDefault="000661A0" w:rsidP="001131ED">
      <w:pPr>
        <w:pStyle w:val="13"/>
      </w:pPr>
      <w:r w:rsidRPr="000661A0">
        <w:rPr>
          <w:rFonts w:hint="eastAsia"/>
        </w:rPr>
        <w:t>资产评估法是规范评估行业的一部重要法律。资产评估法的颁布施行，对于规范房地产估价行为，保护当事人合法权益和公共利益，促进房地产估价行业健康发展，维护房地产市场秩序具有十分重要的意义。各级住房城乡建设（房地产）</w:t>
      </w:r>
      <w:r w:rsidRPr="000661A0">
        <w:t xml:space="preserve"> 主管部门、房地产估价行业组织要充分认识贯彻落实资产评估法的重要性和紧迫性，并以贯彻落实资产评估法为契机，进一步规范房地产估价行业管理，有序做好制度衔接工作，全面提升房地产估价行业管理水平。</w:t>
      </w:r>
    </w:p>
    <w:p w14:paraId="1C56AE49" w14:textId="77777777" w:rsidR="000661A0" w:rsidRPr="000661A0" w:rsidRDefault="000661A0" w:rsidP="000661A0">
      <w:pPr>
        <w:pStyle w:val="ab"/>
        <w:spacing w:before="62" w:after="62"/>
        <w:ind w:firstLine="482"/>
      </w:pPr>
      <w:r w:rsidRPr="000661A0">
        <w:rPr>
          <w:rFonts w:hint="eastAsia"/>
        </w:rPr>
        <w:t>二、实行房地产估价机构备案管理制度</w:t>
      </w:r>
    </w:p>
    <w:p w14:paraId="4468F651" w14:textId="7DCB24D0" w:rsidR="000661A0" w:rsidRPr="000661A0" w:rsidRDefault="000661A0" w:rsidP="001131ED">
      <w:pPr>
        <w:pStyle w:val="13"/>
      </w:pPr>
      <w:r w:rsidRPr="000661A0">
        <w:rPr>
          <w:rFonts w:hint="eastAsia"/>
        </w:rPr>
        <w:t>自</w:t>
      </w:r>
      <w:r w:rsidRPr="000661A0">
        <w:t xml:space="preserve"> 2016</w:t>
      </w:r>
      <w:r w:rsidR="003068F8">
        <w:t>年</w:t>
      </w:r>
      <w:r w:rsidRPr="000661A0">
        <w:t>12</w:t>
      </w:r>
      <w:r w:rsidR="003068F8">
        <w:t>月</w:t>
      </w:r>
      <w:r w:rsidRPr="000661A0">
        <w:t>1</w:t>
      </w:r>
      <w:r w:rsidR="003068F8">
        <w:t>日</w:t>
      </w:r>
      <w:r w:rsidRPr="000661A0">
        <w:t>起，对房地产估价机构实行备案管理制度，不再实行资质核准。设立房地产评估机构，应当符合资产评估法第十五条、二十七条、二十八条规定。对符合规定的，省级住房城乡建设（房地产）主管部门应当予以备案</w:t>
      </w:r>
      <w:r w:rsidR="00CC4D74">
        <w:t>，</w:t>
      </w:r>
      <w:r w:rsidRPr="000661A0">
        <w:t>核发统一格式的备案证明（证书样式另发）；符合《房地产估价机构管理办法》中相应等级标准的，在备案证明中予以标注。</w:t>
      </w:r>
    </w:p>
    <w:p w14:paraId="09BE6C6D" w14:textId="77777777" w:rsidR="000661A0" w:rsidRPr="000661A0" w:rsidRDefault="000661A0" w:rsidP="000661A0">
      <w:pPr>
        <w:pStyle w:val="ab"/>
        <w:spacing w:before="62" w:after="62"/>
        <w:ind w:firstLine="482"/>
      </w:pPr>
      <w:r w:rsidRPr="000661A0">
        <w:rPr>
          <w:rFonts w:hint="eastAsia"/>
        </w:rPr>
        <w:t>三、做好房地产估价机构资质核准与备案制度衔接</w:t>
      </w:r>
    </w:p>
    <w:p w14:paraId="03D5D4B8" w14:textId="5DED6857" w:rsidR="000661A0" w:rsidRPr="000661A0" w:rsidRDefault="000661A0" w:rsidP="001131ED">
      <w:pPr>
        <w:pStyle w:val="13"/>
      </w:pPr>
      <w:r w:rsidRPr="000661A0">
        <w:rPr>
          <w:rFonts w:hint="eastAsia"/>
        </w:rPr>
        <w:t>对于已取得资质等级的房地产估价机构，在资质有效期内，原资质继续有效</w:t>
      </w:r>
      <w:r w:rsidR="003068F8">
        <w:rPr>
          <w:rFonts w:hint="eastAsia"/>
        </w:rPr>
        <w:t>；</w:t>
      </w:r>
      <w:r w:rsidRPr="000661A0">
        <w:t>资质有效期满 30</w:t>
      </w:r>
      <w:r w:rsidR="003068F8">
        <w:t>日</w:t>
      </w:r>
      <w:r w:rsidRPr="000661A0">
        <w:t>前，应向省级住房城乡建设（房地产）主管部门提出备案申请。符合备案条件的，省级住房城乡建设（房地产）主管部门核发备案证明，标注相应等级，原有资质证书收回。逾期未申请的，不得开展房地产估价活动。对</w:t>
      </w:r>
      <w:r w:rsidRPr="000661A0">
        <w:rPr>
          <w:rFonts w:hint="eastAsia"/>
        </w:rPr>
        <w:t>于已取得资质等级的房地产估价机构的名称、法定代表人或者执行合伙人、组织形式、住所等事项发生变更的，申请办理变更事项时，不再颁发资质证书，改核发备案证明。</w:t>
      </w:r>
    </w:p>
    <w:p w14:paraId="3D4E3C88" w14:textId="77777777" w:rsidR="000661A0" w:rsidRPr="000661A0" w:rsidRDefault="000661A0" w:rsidP="001131ED">
      <w:pPr>
        <w:pStyle w:val="13"/>
      </w:pPr>
      <w:r w:rsidRPr="000661A0">
        <w:rPr>
          <w:rFonts w:hint="eastAsia"/>
        </w:rPr>
        <w:t>对于现有三级资质房地产估价机构，资质有效期满后未达到资产评估法规定条件的，不予备案，不得开展房地产估价活动。</w:t>
      </w:r>
    </w:p>
    <w:p w14:paraId="7D751541" w14:textId="77777777" w:rsidR="000661A0" w:rsidRPr="000661A0" w:rsidRDefault="000661A0" w:rsidP="000661A0">
      <w:pPr>
        <w:pStyle w:val="ab"/>
        <w:spacing w:before="62" w:after="62"/>
        <w:ind w:firstLine="482"/>
      </w:pPr>
      <w:r w:rsidRPr="000661A0">
        <w:rPr>
          <w:rFonts w:hint="eastAsia"/>
        </w:rPr>
        <w:t>四、房地产估价人员继续实行准入类管理制度</w:t>
      </w:r>
    </w:p>
    <w:p w14:paraId="0FBD5561" w14:textId="77777777" w:rsidR="000661A0" w:rsidRPr="000661A0" w:rsidRDefault="000661A0" w:rsidP="001131ED">
      <w:pPr>
        <w:pStyle w:val="13"/>
      </w:pPr>
      <w:r w:rsidRPr="000661A0">
        <w:rPr>
          <w:rFonts w:hint="eastAsia"/>
        </w:rPr>
        <w:t>根据城市房地产管理法的规定，房地产估价人员继续实行准入类职业资格管理，管理机构、管理办法保持不变，取得房地产估价师职业资格并经注册后方可从事房地产估价活动。各类房地产估价业务都应当由</w:t>
      </w:r>
      <w:r w:rsidRPr="000661A0">
        <w:t xml:space="preserve"> 2 </w:t>
      </w:r>
      <w:proofErr w:type="gramStart"/>
      <w:r w:rsidRPr="000661A0">
        <w:t>名以上</w:t>
      </w:r>
      <w:proofErr w:type="gramEnd"/>
      <w:r w:rsidRPr="000661A0">
        <w:t>注册房地产估价师承办和签署房地产估价报告。对于违反上述规定的，有关住房城乡建设（房地产） 主管部门依</w:t>
      </w:r>
      <w:r w:rsidRPr="000661A0">
        <w:lastRenderedPageBreak/>
        <w:t>据城市房地产管理法、资产评估法和《注册房地产估价师管理办法》进行处罚。</w:t>
      </w:r>
    </w:p>
    <w:p w14:paraId="6D8119F7" w14:textId="77777777" w:rsidR="000661A0" w:rsidRPr="000661A0" w:rsidRDefault="000661A0" w:rsidP="000661A0">
      <w:pPr>
        <w:pStyle w:val="13"/>
      </w:pPr>
      <w:r w:rsidRPr="000661A0">
        <w:rPr>
          <w:rFonts w:hint="eastAsia"/>
        </w:rPr>
        <w:t>我部将根据城市房地产管理法和资产评估法制定房地产估价行业监督管理办法，对房地产估价基本准则（国家标准《房地产估价规范》</w:t>
      </w:r>
      <w:r w:rsidRPr="000661A0">
        <w:t>GB/T 50291-2015） 适时进行修订。在房地产估价行业监督管理办法出台前，房地产估价机构备案管理等事项暂按本通知执行。各地在执行本通知过程中如遇有问题，请及时向我部房地产市场监管司反映。</w:t>
      </w:r>
    </w:p>
    <w:p w14:paraId="57ED4E06" w14:textId="77777777" w:rsidR="000661A0" w:rsidRPr="000661A0" w:rsidRDefault="000661A0" w:rsidP="000661A0">
      <w:pPr>
        <w:pStyle w:val="13"/>
        <w:jc w:val="right"/>
      </w:pPr>
      <w:r w:rsidRPr="000661A0">
        <w:rPr>
          <w:rFonts w:hint="eastAsia"/>
        </w:rPr>
        <w:t>中华人民共和国住房和城乡建设部</w:t>
      </w:r>
    </w:p>
    <w:p w14:paraId="14C0DB9E" w14:textId="540FD24F" w:rsidR="000661A0" w:rsidRPr="000661A0" w:rsidRDefault="000661A0" w:rsidP="000661A0">
      <w:pPr>
        <w:pStyle w:val="13"/>
        <w:jc w:val="right"/>
      </w:pPr>
      <w:r w:rsidRPr="000661A0">
        <w:t>2016</w:t>
      </w:r>
      <w:r w:rsidR="003068F8">
        <w:t>年</w:t>
      </w:r>
      <w:r w:rsidRPr="000661A0">
        <w:t>12</w:t>
      </w:r>
      <w:r w:rsidR="003068F8">
        <w:t>月</w:t>
      </w:r>
      <w:r w:rsidRPr="000661A0">
        <w:t>6</w:t>
      </w:r>
      <w:r w:rsidR="003068F8">
        <w:t>日</w:t>
      </w:r>
    </w:p>
    <w:p w14:paraId="7F991764" w14:textId="05E48985" w:rsidR="000661A0" w:rsidRPr="000661A0" w:rsidRDefault="000661A0" w:rsidP="000661A0">
      <w:pPr>
        <w:pStyle w:val="31"/>
        <w:spacing w:before="156" w:after="62"/>
      </w:pPr>
      <w:bookmarkStart w:id="6" w:name="_Toc81833286"/>
      <w:r w:rsidRPr="000661A0">
        <w:rPr>
          <w:rFonts w:hint="eastAsia"/>
        </w:rPr>
        <w:t>国土资源部关于贯彻实施《中华人民共和国资产评估法》的通知</w:t>
      </w:r>
      <w:r w:rsidR="00443F84">
        <w:br/>
      </w:r>
      <w:r w:rsidRPr="000661A0">
        <w:rPr>
          <w:rFonts w:hint="eastAsia"/>
        </w:rPr>
        <w:t>（</w:t>
      </w:r>
      <w:proofErr w:type="gramStart"/>
      <w:r w:rsidRPr="000661A0">
        <w:rPr>
          <w:rFonts w:hint="eastAsia"/>
        </w:rPr>
        <w:t>国土资发</w:t>
      </w:r>
      <w:proofErr w:type="gramEnd"/>
      <w:r w:rsidRPr="000661A0">
        <w:rPr>
          <w:rFonts w:hint="eastAsia"/>
        </w:rPr>
        <w:t>﹝</w:t>
      </w:r>
      <w:r w:rsidRPr="000661A0">
        <w:t>2016﹞181号）</w:t>
      </w:r>
      <w:bookmarkEnd w:id="6"/>
    </w:p>
    <w:p w14:paraId="2F235044" w14:textId="1403187A" w:rsidR="000661A0" w:rsidRPr="000661A0" w:rsidRDefault="000661A0" w:rsidP="000661A0">
      <w:pPr>
        <w:pStyle w:val="13"/>
        <w:ind w:firstLineChars="0" w:firstLine="0"/>
      </w:pPr>
      <w:r w:rsidRPr="000661A0">
        <w:rPr>
          <w:rFonts w:hint="eastAsia"/>
        </w:rPr>
        <w:t>各省、自治区、直辖市及副省级城市国土资源主管部门，新疆生产建设兵团国土资源局，国家海洋局、国家测绘地理信息局，中国地质调查局及部其他直属单位</w:t>
      </w:r>
      <w:r w:rsidR="00CC4D74">
        <w:rPr>
          <w:rFonts w:hint="eastAsia"/>
        </w:rPr>
        <w:t>，</w:t>
      </w:r>
      <w:r w:rsidRPr="000661A0">
        <w:t>各派驻地方的国家土地督察局，部机关各司局，中国土地估价师与土地登记代理人协会，中国矿业权评估师协会：</w:t>
      </w:r>
    </w:p>
    <w:p w14:paraId="4D134215" w14:textId="7A5BCA0B" w:rsidR="000661A0" w:rsidRPr="000661A0" w:rsidRDefault="000661A0" w:rsidP="000661A0">
      <w:pPr>
        <w:pStyle w:val="13"/>
      </w:pPr>
      <w:r w:rsidRPr="000661A0">
        <w:rPr>
          <w:rFonts w:hint="eastAsia"/>
        </w:rPr>
        <w:t>《中华人民共和国资产评估法》（以下简称《资产评估法》）已经十二届全国人大常委会第二十一次会议审议通过，将于</w:t>
      </w:r>
      <w:r w:rsidRPr="000661A0">
        <w:t xml:space="preserve"> 2016</w:t>
      </w:r>
      <w:r w:rsidR="003068F8">
        <w:t>年</w:t>
      </w:r>
      <w:r w:rsidRPr="000661A0">
        <w:t>12</w:t>
      </w:r>
      <w:r w:rsidR="003068F8">
        <w:t>月</w:t>
      </w:r>
      <w:r w:rsidRPr="000661A0">
        <w:t>1</w:t>
      </w:r>
      <w:r w:rsidR="003068F8">
        <w:t>日</w:t>
      </w:r>
      <w:r w:rsidRPr="000661A0">
        <w:t>起施行。这是我国资产评估行业出台的第一部基本法，对资产评估行业发展具有里程碑式的重要意义。为切实做好《资产评估法》的贯彻实施工作，现就有关事项通知如下。</w:t>
      </w:r>
    </w:p>
    <w:p w14:paraId="76DB06A7" w14:textId="77777777" w:rsidR="000661A0" w:rsidRPr="000661A0" w:rsidRDefault="000661A0" w:rsidP="000661A0">
      <w:pPr>
        <w:pStyle w:val="ab"/>
        <w:spacing w:before="62" w:after="62"/>
        <w:ind w:firstLine="482"/>
      </w:pPr>
      <w:r w:rsidRPr="000661A0">
        <w:rPr>
          <w:rFonts w:hint="eastAsia"/>
        </w:rPr>
        <w:t>一、充分认识《资产评估法》施行的重要意义</w:t>
      </w:r>
    </w:p>
    <w:p w14:paraId="4B9B2B81" w14:textId="77777777" w:rsidR="000661A0" w:rsidRPr="000661A0" w:rsidRDefault="000661A0" w:rsidP="000661A0">
      <w:pPr>
        <w:pStyle w:val="13"/>
      </w:pPr>
      <w:r w:rsidRPr="000661A0">
        <w:rPr>
          <w:rFonts w:hint="eastAsia"/>
        </w:rPr>
        <w:t>资产评估行业是重要的现代服务业，经过多年发展逐步形成了包括土地估价和矿业权评估在内的六大专业类别，为我国经济社会发展做出了重要贡献。《资产评估法》的出台，对于规范资产评估行为，保护评估当事人合法权益和公共利益，理顺评估行业管理体制，促进评估行业健康发展具有积极的历史和现实意义。土地估价和矿业权评估是资产评估的重要组成部分，受《资产评估法》调整，在促进资源市场化配置、维护土地权利人和矿业权人合法权益等方面发挥了重要作用，已经成为我国经济社会发展不可或缺的重要中介行业。各级国土资源主管部门要从全面依法治国、维护社会主义市场经济秩序、加快转变政府职能、推进法治国土建设的高度，充分认识贯彻实施《资产评估法》的重大意义，增强责任感、使命感和紧迫感，采取切实有效的措施，扎实做好《资产评估法》的贯彻实施工作。</w:t>
      </w:r>
    </w:p>
    <w:p w14:paraId="1AE0D100" w14:textId="77777777" w:rsidR="000661A0" w:rsidRPr="000661A0" w:rsidRDefault="000661A0" w:rsidP="000661A0">
      <w:pPr>
        <w:pStyle w:val="13"/>
      </w:pPr>
      <w:r w:rsidRPr="000661A0">
        <w:rPr>
          <w:rFonts w:hint="eastAsia"/>
        </w:rPr>
        <w:t>中国土地估价师与土地登记代理人协会和各省级协会、中国矿业权评估师协会（以下简称</w:t>
      </w:r>
      <w:proofErr w:type="gramStart"/>
      <w:r w:rsidRPr="000661A0">
        <w:rPr>
          <w:rFonts w:hint="eastAsia"/>
        </w:rPr>
        <w:t>各土地</w:t>
      </w:r>
      <w:proofErr w:type="gramEnd"/>
      <w:r w:rsidRPr="000661A0">
        <w:rPr>
          <w:rFonts w:hint="eastAsia"/>
        </w:rPr>
        <w:t>估价和矿业权评估行业协会），要从维护社会主义市场经济秩序、推动评估行业持续健康发展的高度，充分认识贯彻落实《资产评估法》的重大意义，要与会员继续教育相结合，积极开展专题宣传教育活动，组织评估机构、评估专业人</w:t>
      </w:r>
      <w:r w:rsidRPr="000661A0">
        <w:rPr>
          <w:rFonts w:hint="eastAsia"/>
        </w:rPr>
        <w:lastRenderedPageBreak/>
        <w:t>员认真学习，明确法定的权利和义务，严格执行评估程序，进一步规范专业服务行为。</w:t>
      </w:r>
    </w:p>
    <w:p w14:paraId="3DBEBE5F" w14:textId="77777777" w:rsidR="000661A0" w:rsidRPr="000661A0" w:rsidRDefault="000661A0" w:rsidP="000661A0">
      <w:pPr>
        <w:pStyle w:val="ab"/>
        <w:spacing w:before="62" w:after="62"/>
        <w:ind w:firstLine="482"/>
      </w:pPr>
      <w:r w:rsidRPr="000661A0">
        <w:rPr>
          <w:rFonts w:hint="eastAsia"/>
        </w:rPr>
        <w:t>二、准确把握《资产评估法》的新要求</w:t>
      </w:r>
    </w:p>
    <w:p w14:paraId="599A2664" w14:textId="746A3B13" w:rsidR="000661A0" w:rsidRPr="000661A0" w:rsidRDefault="000661A0" w:rsidP="000661A0">
      <w:pPr>
        <w:pStyle w:val="13"/>
      </w:pPr>
      <w:r w:rsidRPr="000661A0">
        <w:rPr>
          <w:rFonts w:hint="eastAsia"/>
        </w:rPr>
        <w:t>《资产评估法》确立了分专业管理的行业管理体制，统一了评估专业人员、评估机构、评估程序、行业协会、监督管理和法律责任等核心内容，充分体现了简政放权、放管结合、优化服务的改革要求，特别是在机构人员准入等诸多方面</w:t>
      </w:r>
      <w:r w:rsidR="00CC4D74">
        <w:rPr>
          <w:rFonts w:hint="eastAsia"/>
        </w:rPr>
        <w:t>，</w:t>
      </w:r>
      <w:r w:rsidRPr="000661A0">
        <w:t>充分体现了改革创新的立法精神。各级国土资源主管部门和行业协会要全面理解</w:t>
      </w:r>
    </w:p>
    <w:p w14:paraId="09BFA90B" w14:textId="77777777" w:rsidR="000661A0" w:rsidRPr="000661A0" w:rsidRDefault="000661A0" w:rsidP="000661A0">
      <w:pPr>
        <w:pStyle w:val="13"/>
      </w:pPr>
      <w:r w:rsidRPr="000661A0">
        <w:rPr>
          <w:rFonts w:hint="eastAsia"/>
        </w:rPr>
        <w:t>《资产评估法》的立法精神、基本原则和主要内容，准确把握《资产评估法》构建的评估行业运行和监管模式，促进评估行业健康发展。</w:t>
      </w:r>
    </w:p>
    <w:p w14:paraId="68FE659E" w14:textId="77777777" w:rsidR="000661A0" w:rsidRPr="000661A0" w:rsidRDefault="000661A0" w:rsidP="000661A0">
      <w:pPr>
        <w:pStyle w:val="13"/>
      </w:pPr>
      <w:r w:rsidRPr="000661A0">
        <w:rPr>
          <w:rFonts w:hint="eastAsia"/>
        </w:rPr>
        <w:t>（一）《资产评估法》确认了分专业管理的行业管理体制。</w:t>
      </w:r>
    </w:p>
    <w:p w14:paraId="028D51CB" w14:textId="2142A51D" w:rsidR="000661A0" w:rsidRPr="000661A0" w:rsidRDefault="000661A0" w:rsidP="000661A0">
      <w:pPr>
        <w:pStyle w:val="13"/>
      </w:pPr>
      <w:r w:rsidRPr="000661A0">
        <w:rPr>
          <w:rFonts w:hint="eastAsia"/>
        </w:rPr>
        <w:t>《资产评估法》对现行评估行业按专业类别管理的体制予以法律认可，明确规定“国务院有关评估行政管理部门按照各自职责分工，对评估行业进行监督管理。”从而首次在法律层面上明确了国土资源主管部门是土地估价和矿业权评估的监督管理部门，同时通过立法将不同专业评估管理统一到一部法律框架之下</w:t>
      </w:r>
      <w:r w:rsidR="00CC4D74">
        <w:rPr>
          <w:rFonts w:hint="eastAsia"/>
        </w:rPr>
        <w:t>，</w:t>
      </w:r>
      <w:r w:rsidRPr="000661A0">
        <w:t>既有利于统一标准和尺度，又有利于充分发挥各专业类别评估的作用。</w:t>
      </w:r>
    </w:p>
    <w:p w14:paraId="028781BC" w14:textId="77777777" w:rsidR="000661A0" w:rsidRPr="000661A0" w:rsidRDefault="000661A0" w:rsidP="000661A0">
      <w:pPr>
        <w:pStyle w:val="13"/>
      </w:pPr>
      <w:r w:rsidRPr="000661A0">
        <w:rPr>
          <w:rFonts w:hint="eastAsia"/>
        </w:rPr>
        <w:t>（二）《资产评估法》放宽了从业人员准入门槛。</w:t>
      </w:r>
    </w:p>
    <w:p w14:paraId="2388CA7D" w14:textId="77777777" w:rsidR="000661A0" w:rsidRPr="000661A0" w:rsidRDefault="000661A0" w:rsidP="000661A0">
      <w:pPr>
        <w:pStyle w:val="13"/>
      </w:pPr>
      <w:r w:rsidRPr="000661A0">
        <w:rPr>
          <w:rFonts w:hint="eastAsia"/>
        </w:rPr>
        <w:t>《资产评估法》规定，评估专业人员既包括评估师也包括其他具有评估专业知识及实践经验的评估从业人员，明确具有高等院校专科以上学历的公民可以参加评估师资格考试，规定了除评估师外，其他具有评估专业知识及实践经验的评估从业人员可以承担一般评估业务，这将极大地激发市场主体和行业发展活力。</w:t>
      </w:r>
    </w:p>
    <w:p w14:paraId="51CCE8EF" w14:textId="77777777" w:rsidR="000661A0" w:rsidRPr="000661A0" w:rsidRDefault="000661A0" w:rsidP="000661A0">
      <w:pPr>
        <w:pStyle w:val="13"/>
      </w:pPr>
      <w:r w:rsidRPr="000661A0">
        <w:rPr>
          <w:rFonts w:hint="eastAsia"/>
        </w:rPr>
        <w:t>（三）《资产评估法》强调了法定评估业务的特殊要求。</w:t>
      </w:r>
    </w:p>
    <w:p w14:paraId="3D10EE9E" w14:textId="77777777" w:rsidR="000661A0" w:rsidRPr="000661A0" w:rsidRDefault="000661A0" w:rsidP="000661A0">
      <w:pPr>
        <w:pStyle w:val="13"/>
      </w:pPr>
      <w:r w:rsidRPr="000661A0">
        <w:rPr>
          <w:rFonts w:hint="eastAsia"/>
        </w:rPr>
        <w:t>《资产评估法》将评估业务分为一般评估和法定评估。法定评估即涉及国有资产或者公共利益等，法律、行政法规规定需要评估的事项，并对法定评估在评估机构选择、具体承办人员指定、评估业务档案保存期限以及委托人可能承担的法律责任等方面做了严于一般评估的规定，体现了对国有资产和公共利益的特殊保护。</w:t>
      </w:r>
    </w:p>
    <w:p w14:paraId="4D9EFC6A" w14:textId="77777777" w:rsidR="000661A0" w:rsidRPr="000661A0" w:rsidRDefault="000661A0" w:rsidP="000661A0">
      <w:pPr>
        <w:pStyle w:val="13"/>
      </w:pPr>
      <w:r w:rsidRPr="000661A0">
        <w:rPr>
          <w:rFonts w:hint="eastAsia"/>
        </w:rPr>
        <w:t>（四）《资产评估法》明确了行业协会的法律地位。</w:t>
      </w:r>
    </w:p>
    <w:p w14:paraId="67464041" w14:textId="77777777" w:rsidR="000661A0" w:rsidRPr="000661A0" w:rsidRDefault="000661A0" w:rsidP="000661A0">
      <w:pPr>
        <w:pStyle w:val="13"/>
      </w:pPr>
      <w:r w:rsidRPr="000661A0">
        <w:rPr>
          <w:rFonts w:hint="eastAsia"/>
        </w:rPr>
        <w:t>《资产评估法》按照改革精神，着力加强评估行业协会职责，提升行业服务功能，按照行业协会与行政管理部门脱钩的精神，强调评估行业协会是自律性组织，依法施行自律管理，从法律层面构建了行业协会自律管理评估机构和评估专业人员，评估行政管理部门监管行业协会的制度架构，并明确有关全国性评估行业协会按照国家规定组织实施评估师资格全国统一考试，确立了行业协会与政府管理部门在考试管理中的关系，为今后进一步理顺资产评估行业管理体制，促进行业长远发展奠定了法律基础。</w:t>
      </w:r>
    </w:p>
    <w:p w14:paraId="0D1BDDF9" w14:textId="77777777" w:rsidR="000661A0" w:rsidRPr="000661A0" w:rsidRDefault="000661A0" w:rsidP="000661A0">
      <w:pPr>
        <w:pStyle w:val="13"/>
      </w:pPr>
      <w:r w:rsidRPr="000661A0">
        <w:rPr>
          <w:rFonts w:hint="eastAsia"/>
        </w:rPr>
        <w:t>（五）《资产评估法》强化了行政主管部门的监管职责。</w:t>
      </w:r>
    </w:p>
    <w:p w14:paraId="50E81D01" w14:textId="212C6FE6" w:rsidR="000661A0" w:rsidRPr="000661A0" w:rsidRDefault="000661A0" w:rsidP="000661A0">
      <w:pPr>
        <w:pStyle w:val="13"/>
      </w:pPr>
      <w:r w:rsidRPr="000661A0">
        <w:rPr>
          <w:rFonts w:hint="eastAsia"/>
        </w:rPr>
        <w:t>《资产评估法》规定，设区的市级以上人民政府有关评估行政管理部门依据各自</w:t>
      </w:r>
      <w:r w:rsidRPr="000661A0">
        <w:rPr>
          <w:rFonts w:hint="eastAsia"/>
        </w:rPr>
        <w:lastRenderedPageBreak/>
        <w:t>职责，负责监督管理评估行业，对评估机构和评估专业人员的违法行为依法实施行政处罚，包括警告、责令改正、责令停止从业（经营）、没收违法所得、罚款、吊销营业执照等。构成犯罪的，还要依法追究刑事责任，对人员实行终身禁入。这些规定弥补了评估行业诞生至今二十余年来行政部门难以依法追责的短板。</w:t>
      </w:r>
    </w:p>
    <w:p w14:paraId="73AD9470" w14:textId="77777777" w:rsidR="000661A0" w:rsidRPr="000661A0" w:rsidRDefault="000661A0" w:rsidP="000661A0">
      <w:pPr>
        <w:pStyle w:val="ab"/>
        <w:spacing w:before="62" w:after="62"/>
        <w:ind w:firstLine="482"/>
      </w:pPr>
      <w:r w:rsidRPr="000661A0">
        <w:rPr>
          <w:rFonts w:hint="eastAsia"/>
        </w:rPr>
        <w:t>三、大力促进土地估价和矿业权评估行业健康发展</w:t>
      </w:r>
    </w:p>
    <w:p w14:paraId="65248E29" w14:textId="77777777" w:rsidR="000661A0" w:rsidRPr="000661A0" w:rsidRDefault="000661A0" w:rsidP="000661A0">
      <w:pPr>
        <w:pStyle w:val="13"/>
      </w:pPr>
      <w:r w:rsidRPr="000661A0">
        <w:rPr>
          <w:rFonts w:hint="eastAsia"/>
        </w:rPr>
        <w:t>（一）加强土地估价和矿业权评估行业监督管理。</w:t>
      </w:r>
    </w:p>
    <w:p w14:paraId="466EB64D" w14:textId="665BB48B" w:rsidR="000661A0" w:rsidRPr="000661A0" w:rsidRDefault="000661A0" w:rsidP="000661A0">
      <w:pPr>
        <w:pStyle w:val="13"/>
      </w:pPr>
      <w:r w:rsidRPr="000661A0">
        <w:rPr>
          <w:rFonts w:hint="eastAsia"/>
        </w:rPr>
        <w:t>《资产评估法》明确了国土资源主管部门对土地估价和矿业权评估行业进行监督管理的法定职责。各级国土资源主管部门要认真履行法定职责，依法加强对评估行业的监督管理。一是要加强《资产评估法》配套规章制度建设。在《城镇土地估价规程》、《固体矿产地质勘查规范总则》等现行基本准则、规程、技术标准的基础上，研究修改完善土地估价和矿业权评估基本准则，对土地估价和矿业权评估专业人员和机构的职业道德、评估程序、评估方法运用、评估信息披露等进行规范。二是要抓紧制定土地估价和矿业权评估监督管理办法，依法对评估机构、评估专业人员、评估行业协会遵守法律法规、评估基本准则等情形开展监督管理。三是要加强对土地估价和矿业权评估行为的监管。设区的市级以上国土资源主管部门要对评估机构和评估专业人员违反《资产评估法》的行为依法查处</w:t>
      </w:r>
      <w:r w:rsidR="00CC4D74">
        <w:rPr>
          <w:rFonts w:hint="eastAsia"/>
        </w:rPr>
        <w:t>，</w:t>
      </w:r>
      <w:r w:rsidRPr="000661A0">
        <w:t>并及时将处罚情况通报有关行业协会。部和省级国土资源主管部门要加强对</w:t>
      </w:r>
      <w:proofErr w:type="gramStart"/>
      <w:r w:rsidRPr="000661A0">
        <w:t>各土地</w:t>
      </w:r>
      <w:proofErr w:type="gramEnd"/>
      <w:r w:rsidRPr="000661A0">
        <w:t>估价和矿业权评估行业协会监管，及时调查处理针对</w:t>
      </w:r>
      <w:proofErr w:type="gramStart"/>
      <w:r w:rsidRPr="000661A0">
        <w:t>各土地</w:t>
      </w:r>
      <w:proofErr w:type="gramEnd"/>
      <w:r w:rsidRPr="000661A0">
        <w:t>估价和矿业权评估行业协会的投诉和举报，促进行业协会正确履行自律监管职责。四是要规范国土资源主管部门监督管理行为。各级国土资源主管部门要牢固树立边界意识，充分发挥市场配置资源的决定性作用和社会力量在管理</w:t>
      </w:r>
      <w:r w:rsidRPr="000661A0">
        <w:rPr>
          <w:rFonts w:hint="eastAsia"/>
        </w:rPr>
        <w:t>社会事务中的作用，严禁对评估机构依法开展业务进行限制，杜绝与评估行业协会、评估机构存在人员或者资金关联，禁止利用职权为评估机构招揽业务。</w:t>
      </w:r>
    </w:p>
    <w:p w14:paraId="20548808" w14:textId="77777777" w:rsidR="000661A0" w:rsidRPr="000661A0" w:rsidRDefault="000661A0" w:rsidP="000661A0">
      <w:pPr>
        <w:pStyle w:val="13"/>
      </w:pPr>
      <w:r w:rsidRPr="000661A0">
        <w:rPr>
          <w:rFonts w:hint="eastAsia"/>
        </w:rPr>
        <w:t>（二）强化评估机构和评估专业人员管理。</w:t>
      </w:r>
    </w:p>
    <w:p w14:paraId="4DB2CD23" w14:textId="79ADAE6B" w:rsidR="000661A0" w:rsidRPr="000661A0" w:rsidRDefault="000661A0" w:rsidP="000661A0">
      <w:pPr>
        <w:pStyle w:val="13"/>
      </w:pPr>
      <w:r w:rsidRPr="000661A0">
        <w:rPr>
          <w:rFonts w:hint="eastAsia"/>
        </w:rPr>
        <w:t>要依法保障法律赋予评估专业人员所享有的各项权利及合法权益。各级国土资源主管部门、</w:t>
      </w:r>
      <w:proofErr w:type="gramStart"/>
      <w:r w:rsidRPr="000661A0">
        <w:rPr>
          <w:rFonts w:hint="eastAsia"/>
        </w:rPr>
        <w:t>各土地</w:t>
      </w:r>
      <w:proofErr w:type="gramEnd"/>
      <w:r w:rsidRPr="000661A0">
        <w:rPr>
          <w:rFonts w:hint="eastAsia"/>
        </w:rPr>
        <w:t>估价和矿业权评估行业协会不得阻碍、限制评估专业人员依法进行评估活动。评估专业人员应当恪守职业道德，自觉履行法定义务，开展评估业务必须加入评估机构，并且只能在一个评估机构开展业务，坚决杜绝“挂证”行为的发生。各评估机构和评估专业人员不得采取欺骗、利诱、胁迫、恶性压价、支付回扣或者贬损、诋毁等不正当手段招揽业务，不得签署和出具虚假评估报告等。评估专业人员要完成规定的继续教育，提升专业能力和业务水平。</w:t>
      </w:r>
    </w:p>
    <w:p w14:paraId="5F7493CD" w14:textId="544A9C33" w:rsidR="000661A0" w:rsidRPr="000661A0" w:rsidRDefault="000661A0" w:rsidP="000661A0">
      <w:pPr>
        <w:pStyle w:val="13"/>
      </w:pPr>
      <w:r w:rsidRPr="000661A0">
        <w:rPr>
          <w:rFonts w:hint="eastAsia"/>
        </w:rPr>
        <w:t>评估机构要独立、客观、公正开展业务，建立健全质量控制制度，保证评估报告的客观、真实、合理。评估机构要依法接受监督检查，如实提供评估档案以及相关情况，要建立健全内部管理制度，对本机构的评估专业人员遵守法律、行政法规和评估准则的情况进行监督，维护评估行业健康发展。严格落实《资产评估法》规定的评估</w:t>
      </w:r>
      <w:r w:rsidRPr="000661A0">
        <w:rPr>
          <w:rFonts w:hint="eastAsia"/>
        </w:rPr>
        <w:lastRenderedPageBreak/>
        <w:t>机构备案制度。从事土地估价、矿业权评估业务的评估机构</w:t>
      </w:r>
      <w:r w:rsidR="00CC4D74">
        <w:rPr>
          <w:rFonts w:hint="eastAsia"/>
        </w:rPr>
        <w:t>，</w:t>
      </w:r>
      <w:r w:rsidRPr="000661A0">
        <w:t>应当依法及时向国土资源主管部门备案。国土资源主管部门及时将机构备案情况向社会公告。</w:t>
      </w:r>
    </w:p>
    <w:p w14:paraId="16570262" w14:textId="77777777" w:rsidR="000661A0" w:rsidRPr="000661A0" w:rsidRDefault="000661A0" w:rsidP="000661A0">
      <w:pPr>
        <w:pStyle w:val="13"/>
      </w:pPr>
      <w:r w:rsidRPr="000661A0">
        <w:rPr>
          <w:rFonts w:hint="eastAsia"/>
        </w:rPr>
        <w:t>加强国土资源领域法定评估业务管理。各级国土资源主管部门要尽快梳理和明确国土资源领域法定评估的事项范围。对于涉及国有资产或者公共利益以及依据法律法规规定应当进行土地估价或者矿业权评估的，要依法委托评估机构进行评估，由取得土地估价或者矿业权评估资质的人员具体承办，确保评估质量和公信力。</w:t>
      </w:r>
    </w:p>
    <w:p w14:paraId="23031417" w14:textId="77777777" w:rsidR="000661A0" w:rsidRPr="000661A0" w:rsidRDefault="000661A0" w:rsidP="000661A0">
      <w:pPr>
        <w:pStyle w:val="13"/>
      </w:pPr>
      <w:r w:rsidRPr="000661A0">
        <w:rPr>
          <w:rFonts w:hint="eastAsia"/>
        </w:rPr>
        <w:t>（三）提升行业自律管理水平。</w:t>
      </w:r>
    </w:p>
    <w:p w14:paraId="48266975" w14:textId="22775B8A" w:rsidR="000661A0" w:rsidRPr="000661A0" w:rsidRDefault="000661A0" w:rsidP="000661A0">
      <w:pPr>
        <w:pStyle w:val="13"/>
      </w:pPr>
      <w:proofErr w:type="gramStart"/>
      <w:r w:rsidRPr="000661A0">
        <w:rPr>
          <w:rFonts w:hint="eastAsia"/>
        </w:rPr>
        <w:t>各土地</w:t>
      </w:r>
      <w:proofErr w:type="gramEnd"/>
      <w:r w:rsidRPr="000661A0">
        <w:rPr>
          <w:rFonts w:hint="eastAsia"/>
        </w:rPr>
        <w:t>估价和矿业权评估行业协会要充分发挥行业自律和专业服务功能，发</w:t>
      </w:r>
      <w:r w:rsidRPr="000661A0">
        <w:t xml:space="preserve"> </w:t>
      </w:r>
      <w:proofErr w:type="gramStart"/>
      <w:r w:rsidRPr="000661A0">
        <w:t>挥社会</w:t>
      </w:r>
      <w:proofErr w:type="gramEnd"/>
      <w:r w:rsidRPr="000661A0">
        <w:t>组织对其成员的行为引导、规则约束、权益维护作用。要建立健全完善的 考试培训、执业准则、监督检查和会员管理等制度规范，及时修改清理与《资产 评估法》不一致的准则、细则，落实好法律赋予的新职责。要根据《资产评估法》 相关规定，尽快修改完善章程，相应报部和省级国土资源主管部门备案。要定期 向社会公布加入本协会的评估机构、评估专业人员名单，完善会员信用档案，提 升为评估机构和评估专业人员服务水平。要充分发挥行业协会作为政府与行业的 桥梁纽带作</w:t>
      </w:r>
      <w:r w:rsidRPr="000661A0">
        <w:rPr>
          <w:rFonts w:hint="eastAsia"/>
        </w:rPr>
        <w:t>用，及时向有关国土资源主管部门通报评估机构和人员执业相关情况。要切实履行行业协会自律监管职责，定期抽查评估报告，依章程对会员进行奖惩。要与其他评估协会建立沟通协作和信息共享机制，根据需要制定共同的行为规范</w:t>
      </w:r>
      <w:r w:rsidR="00CC4D74">
        <w:rPr>
          <w:rFonts w:hint="eastAsia"/>
        </w:rPr>
        <w:t>，</w:t>
      </w:r>
      <w:r w:rsidRPr="000661A0">
        <w:t>促进评估行业健康有序发展。</w:t>
      </w:r>
    </w:p>
    <w:p w14:paraId="04A882B4" w14:textId="77777777" w:rsidR="000661A0" w:rsidRPr="000661A0" w:rsidRDefault="000661A0" w:rsidP="000661A0">
      <w:pPr>
        <w:pStyle w:val="ab"/>
        <w:spacing w:before="62" w:after="62"/>
        <w:ind w:firstLine="482"/>
      </w:pPr>
      <w:r w:rsidRPr="000661A0">
        <w:rPr>
          <w:rFonts w:hint="eastAsia"/>
        </w:rPr>
        <w:t>四、切实加强《资产评估法》实施的组织领导和宣传工作</w:t>
      </w:r>
    </w:p>
    <w:p w14:paraId="784133BF" w14:textId="77777777" w:rsidR="000661A0" w:rsidRPr="000661A0" w:rsidRDefault="000661A0" w:rsidP="000661A0">
      <w:pPr>
        <w:pStyle w:val="13"/>
      </w:pPr>
      <w:r w:rsidRPr="000661A0">
        <w:rPr>
          <w:rFonts w:hint="eastAsia"/>
        </w:rPr>
        <w:t>各级国土资源主管部门要充分认识《资产评估法》颁布实施的重要意义，把学习贯彻《资产评估法》与切实转变国土资源管理职能相结合，加强领导，明确责任。要采取切实有效的措施，认真做好《资产评估法》的学习、宣传和培训工作。要正确认识《资产评估法》创造的重大历史机遇，深刻学习领会《资产评估法》，大力营造尊法学法守法用法的良好氛围。要认真落实“谁执法，谁普法”</w:t>
      </w:r>
      <w:r w:rsidRPr="000661A0">
        <w:t xml:space="preserve"> 的责任机制，把学习宣传《资产评估法》作为国土资源管理系统“七五”普法的重要内容。要以《资产评估法》的实施为契机，结合即将到来的“国土资源法治宣教月”活动，集中开展《</w:t>
      </w:r>
      <w:r w:rsidRPr="000661A0">
        <w:rPr>
          <w:rFonts w:hint="eastAsia"/>
        </w:rPr>
        <w:t>资产评估法》的宣传培训活动，确保各级国土资源主管部门、行业协会、各评估机构和评估专业人员能够全面掌握、准确把握《资产评估法》的核心要义和主要内容。中国土地估价师与土地登记代理人协会和中国矿业权评估师协会要依据《资产评估法》的规定，加强行业协会自身建设，切实履行行业监管职责。土地估价和矿业权评估机构及评估从业人员要坚持依法依规从业，依法诚信从业，依法行使权利义务，接受行业协会自律管理和国土资源主管部门的行政监管，不断提升土地估价和矿业权评估的服务质量和水平。</w:t>
      </w:r>
    </w:p>
    <w:p w14:paraId="055A0E94" w14:textId="6AEDF1D8" w:rsidR="005564C9" w:rsidRPr="000661A0" w:rsidRDefault="005564C9" w:rsidP="000661A0">
      <w:pPr>
        <w:pStyle w:val="13"/>
      </w:pPr>
    </w:p>
    <w:p w14:paraId="56A75CAF" w14:textId="59F5A56A" w:rsidR="00B61DD6" w:rsidRDefault="00B61DD6" w:rsidP="00B61DD6">
      <w:pPr>
        <w:pStyle w:val="21"/>
        <w:spacing w:before="156" w:after="93"/>
      </w:pPr>
      <w:bookmarkStart w:id="7" w:name="_Toc81833287"/>
      <w:r>
        <w:rPr>
          <w:rFonts w:hint="eastAsia"/>
        </w:rPr>
        <w:lastRenderedPageBreak/>
        <w:t>资产评估行业财政监督管理办法（财政部令第</w:t>
      </w:r>
      <w:r>
        <w:t>86号2019年修改）</w:t>
      </w:r>
      <w:bookmarkEnd w:id="7"/>
    </w:p>
    <w:p w14:paraId="6D9B89AD" w14:textId="77777777" w:rsidR="00B61DD6" w:rsidRDefault="00B61DD6" w:rsidP="00AF7342">
      <w:pPr>
        <w:pStyle w:val="a9"/>
        <w:spacing w:before="62" w:after="62"/>
      </w:pPr>
      <w:r>
        <w:rPr>
          <w:rFonts w:hint="eastAsia"/>
        </w:rPr>
        <w:t>第一章</w:t>
      </w:r>
      <w:r>
        <w:t xml:space="preserve"> 总 则</w:t>
      </w:r>
    </w:p>
    <w:p w14:paraId="02FDA577" w14:textId="72AAC819" w:rsidR="00B61DD6" w:rsidRPr="00B61DD6" w:rsidRDefault="004E3EBB" w:rsidP="00B61DD6">
      <w:pPr>
        <w:pStyle w:val="13"/>
        <w:ind w:firstLine="482"/>
      </w:pPr>
      <w:r w:rsidRPr="004E3EBB">
        <w:rPr>
          <w:rFonts w:hint="eastAsia"/>
          <w:b/>
          <w:bCs/>
        </w:rPr>
        <w:t xml:space="preserve">第一条 </w:t>
      </w:r>
      <w:r w:rsidR="00B61DD6" w:rsidRPr="00B61DD6">
        <w:t>为了加强资产评估行业财政监督管理，促进资产评估行业健康发展</w:t>
      </w:r>
      <w:r w:rsidR="00CC4D74">
        <w:t>，</w:t>
      </w:r>
      <w:r w:rsidR="00B61DD6" w:rsidRPr="00B61DD6">
        <w:t>根据《中华人民共和国资产评估法》（以下简称资产评估法）等法律、行政法规和国务院的有关规定，制定本办法。</w:t>
      </w:r>
    </w:p>
    <w:p w14:paraId="57C18432" w14:textId="641F77CB" w:rsidR="00B61DD6" w:rsidRPr="00B61DD6" w:rsidRDefault="004E3EBB" w:rsidP="00B61DD6">
      <w:pPr>
        <w:pStyle w:val="13"/>
        <w:ind w:firstLine="482"/>
      </w:pPr>
      <w:r w:rsidRPr="004E3EBB">
        <w:rPr>
          <w:rFonts w:hint="eastAsia"/>
          <w:b/>
          <w:bCs/>
        </w:rPr>
        <w:t xml:space="preserve">第二条 </w:t>
      </w:r>
      <w:r w:rsidR="00B61DD6" w:rsidRPr="00B61DD6">
        <w:t>资产评估机构及其资产评估专业人员根据委托对单项资产、资产组合、企业价值、金融权益、资产损失或者其他经济权益进行评定、估算，并出具资产评估报告的专业服务行为和财政部门对资产评估行业实施监督管理，适用本办法。</w:t>
      </w:r>
    </w:p>
    <w:p w14:paraId="35F95453" w14:textId="77777777" w:rsidR="00B61DD6" w:rsidRPr="00B61DD6" w:rsidRDefault="00B61DD6" w:rsidP="00B61DD6">
      <w:pPr>
        <w:pStyle w:val="13"/>
      </w:pPr>
      <w:r w:rsidRPr="00B61DD6">
        <w:rPr>
          <w:rFonts w:hint="eastAsia"/>
        </w:rPr>
        <w:t>资产评估机构及其资产评估专业人员从事前款规定业务，涉及法律、行政法规和国务院规定由其他评估行政管理部门管理的，按照其他有关规定执行。</w:t>
      </w:r>
    </w:p>
    <w:p w14:paraId="6B5152B8" w14:textId="47A2FD64" w:rsidR="00B61DD6" w:rsidRDefault="004E3EBB" w:rsidP="00B61DD6">
      <w:pPr>
        <w:pStyle w:val="13"/>
        <w:ind w:firstLine="482"/>
      </w:pPr>
      <w:r w:rsidRPr="004E3EBB">
        <w:rPr>
          <w:rFonts w:hint="eastAsia"/>
          <w:b/>
          <w:bCs/>
        </w:rPr>
        <w:t xml:space="preserve">第三条 </w:t>
      </w:r>
      <w:r w:rsidR="00B61DD6" w:rsidRPr="00B61DD6">
        <w:t>涉及国有资产或者公共利益等事项，属于本办法第二条规定范围有法律、行政法规规定需要评估的法定资产评估业务（以下简称“法定资产评估业</w:t>
      </w:r>
      <w:r w:rsidR="00B61DD6">
        <w:rPr>
          <w:rFonts w:hint="eastAsia"/>
        </w:rPr>
        <w:t>务”），委托人应当按照资产评估法和有关法律、行政法规的规定，委托资产评估机构进行评估。</w:t>
      </w:r>
    </w:p>
    <w:p w14:paraId="29DF56D4" w14:textId="17F3EC7E" w:rsidR="00B61DD6" w:rsidRDefault="004E3EBB" w:rsidP="00B61DD6">
      <w:pPr>
        <w:pStyle w:val="13"/>
        <w:ind w:firstLine="482"/>
      </w:pPr>
      <w:r w:rsidRPr="004E3EBB">
        <w:rPr>
          <w:rFonts w:hint="eastAsia"/>
          <w:b/>
          <w:bCs/>
        </w:rPr>
        <w:t xml:space="preserve">第四条 </w:t>
      </w:r>
      <w:r w:rsidR="00B61DD6">
        <w:t>财政部门对资产评估行业的监督管理，实行行政监管、行业自律与机构自主管理相结合的原则。</w:t>
      </w:r>
    </w:p>
    <w:p w14:paraId="7812D1C3" w14:textId="582D9635" w:rsidR="00B61DD6" w:rsidRDefault="004E3EBB" w:rsidP="00B61DD6">
      <w:pPr>
        <w:pStyle w:val="13"/>
        <w:ind w:firstLine="482"/>
      </w:pPr>
      <w:r w:rsidRPr="004E3EBB">
        <w:rPr>
          <w:rFonts w:hint="eastAsia"/>
          <w:b/>
          <w:bCs/>
        </w:rPr>
        <w:t xml:space="preserve">第五条 </w:t>
      </w:r>
      <w:r w:rsidR="00B61DD6">
        <w:t>财政部负责统筹财政部门对全国资产评估行业的监督管理，制定有关监督管理办法和资产评估基本准则，指导和督促地方财政部门实施监督管理。</w:t>
      </w:r>
    </w:p>
    <w:p w14:paraId="05062260" w14:textId="655567D8" w:rsidR="00B61DD6" w:rsidRDefault="00B61DD6" w:rsidP="00B61DD6">
      <w:pPr>
        <w:pStyle w:val="13"/>
      </w:pPr>
      <w:r>
        <w:rPr>
          <w:rFonts w:hint="eastAsia"/>
        </w:rPr>
        <w:t>财政部门对资产评估机构从事证券期货相关资产评估业务实施的监督管理</w:t>
      </w:r>
      <w:r w:rsidR="00CC4D74">
        <w:rPr>
          <w:rFonts w:hint="eastAsia"/>
        </w:rPr>
        <w:t>，</w:t>
      </w:r>
      <w:r>
        <w:t>由财政部负责。</w:t>
      </w:r>
    </w:p>
    <w:p w14:paraId="57616C27" w14:textId="4083EC8A" w:rsidR="00B61DD6" w:rsidRDefault="004E3EBB" w:rsidP="00B61DD6">
      <w:pPr>
        <w:pStyle w:val="13"/>
        <w:ind w:firstLine="482"/>
      </w:pPr>
      <w:r w:rsidRPr="004E3EBB">
        <w:rPr>
          <w:rFonts w:hint="eastAsia"/>
          <w:b/>
          <w:bCs/>
        </w:rPr>
        <w:t xml:space="preserve">第六条 </w:t>
      </w:r>
      <w:r w:rsidR="00B61DD6">
        <w:t>各省、自治区、直辖市、计划单列市财政厅（局）（以下简称省级财政部门）负责对本行政区域内资产评估行业实施监督管理。</w:t>
      </w:r>
    </w:p>
    <w:p w14:paraId="4F7F059C" w14:textId="35059B85" w:rsidR="00B61DD6" w:rsidRDefault="004E3EBB" w:rsidP="00B61DD6">
      <w:pPr>
        <w:pStyle w:val="13"/>
        <w:ind w:firstLine="482"/>
      </w:pPr>
      <w:r w:rsidRPr="004E3EBB">
        <w:rPr>
          <w:rFonts w:hint="eastAsia"/>
          <w:b/>
          <w:bCs/>
        </w:rPr>
        <w:t xml:space="preserve">第七条 </w:t>
      </w:r>
      <w:r w:rsidR="00B61DD6">
        <w:t>中国资产评估协会依照法律、行政法规、本办法和</w:t>
      </w:r>
      <w:proofErr w:type="gramStart"/>
      <w:r w:rsidR="00B61DD6">
        <w:t>其协会</w:t>
      </w:r>
      <w:proofErr w:type="gramEnd"/>
      <w:r w:rsidR="00B61DD6">
        <w:t>章程的规定，负责全国资产评估行业的自律管理。</w:t>
      </w:r>
    </w:p>
    <w:p w14:paraId="57070BA9" w14:textId="77777777" w:rsidR="00B61DD6" w:rsidRDefault="00B61DD6" w:rsidP="00B61DD6">
      <w:pPr>
        <w:pStyle w:val="13"/>
      </w:pPr>
      <w:r>
        <w:rPr>
          <w:rFonts w:hint="eastAsia"/>
        </w:rPr>
        <w:t>地方资产评估协会依照法律、法规、本办法和</w:t>
      </w:r>
      <w:proofErr w:type="gramStart"/>
      <w:r>
        <w:rPr>
          <w:rFonts w:hint="eastAsia"/>
        </w:rPr>
        <w:t>其协会</w:t>
      </w:r>
      <w:proofErr w:type="gramEnd"/>
      <w:r>
        <w:rPr>
          <w:rFonts w:hint="eastAsia"/>
        </w:rPr>
        <w:t>章程的规定，负责本地区资产评估行业的自律管理。</w:t>
      </w:r>
    </w:p>
    <w:p w14:paraId="44573201" w14:textId="2A08501E" w:rsidR="00B61DD6" w:rsidRDefault="004E3EBB" w:rsidP="00B61DD6">
      <w:pPr>
        <w:pStyle w:val="13"/>
        <w:ind w:firstLine="482"/>
      </w:pPr>
      <w:r w:rsidRPr="004E3EBB">
        <w:rPr>
          <w:rFonts w:hint="eastAsia"/>
          <w:b/>
          <w:bCs/>
        </w:rPr>
        <w:t xml:space="preserve">第八条 </w:t>
      </w:r>
      <w:r w:rsidR="00B61DD6">
        <w:t>资产评估机构从事资产评估业务，除本办法第十六条规定外，依法不受行政区域、行业限制，任何组织或者个人不得非法干预。</w:t>
      </w:r>
    </w:p>
    <w:p w14:paraId="60262182" w14:textId="77777777" w:rsidR="00B61DD6" w:rsidRDefault="00B61DD6" w:rsidP="00AF7342">
      <w:pPr>
        <w:pStyle w:val="a9"/>
        <w:spacing w:before="62" w:after="62"/>
      </w:pPr>
      <w:r>
        <w:rPr>
          <w:rFonts w:hint="eastAsia"/>
        </w:rPr>
        <w:t>第二章</w:t>
      </w:r>
      <w:r>
        <w:t xml:space="preserve"> 资产评估专业人员</w:t>
      </w:r>
    </w:p>
    <w:p w14:paraId="31E06D91" w14:textId="161C4DD7" w:rsidR="00B61DD6" w:rsidRDefault="00E05BDA" w:rsidP="00B61DD6">
      <w:pPr>
        <w:pStyle w:val="13"/>
        <w:ind w:firstLine="482"/>
      </w:pPr>
      <w:r w:rsidRPr="00E05BDA">
        <w:rPr>
          <w:rFonts w:hint="eastAsia"/>
          <w:b/>
          <w:bCs/>
        </w:rPr>
        <w:t xml:space="preserve">第九条 </w:t>
      </w:r>
      <w:r w:rsidR="00B61DD6">
        <w:t>资产评估专业人员包括资产评估师（含珠宝评估专业，下同）和具有资产评估专业知识及实践经验的其他资产评估从业人员。</w:t>
      </w:r>
    </w:p>
    <w:p w14:paraId="09D81863" w14:textId="77777777" w:rsidR="00B61DD6" w:rsidRDefault="00B61DD6" w:rsidP="00B61DD6">
      <w:pPr>
        <w:pStyle w:val="13"/>
      </w:pPr>
      <w:r>
        <w:rPr>
          <w:rFonts w:hint="eastAsia"/>
        </w:rPr>
        <w:t>资产评估师是指通过中国资产评估协会组织实施的资产评估师资格全国统一考试的资产评估专业人员。</w:t>
      </w:r>
    </w:p>
    <w:p w14:paraId="422C5718" w14:textId="77777777" w:rsidR="00B61DD6" w:rsidRDefault="00B61DD6" w:rsidP="00B61DD6">
      <w:pPr>
        <w:pStyle w:val="13"/>
      </w:pPr>
      <w:r>
        <w:rPr>
          <w:rFonts w:hint="eastAsia"/>
        </w:rPr>
        <w:t>其他资产评估从业人员从事本办法第二条规定的资产评估业务，应当接受财政</w:t>
      </w:r>
      <w:r>
        <w:rPr>
          <w:rFonts w:hint="eastAsia"/>
        </w:rPr>
        <w:lastRenderedPageBreak/>
        <w:t>部门的监管。除从事法定资产评估业务外，其所需的资产评估专业知识及实践经验，由资产评估机构自主评价认定。</w:t>
      </w:r>
    </w:p>
    <w:p w14:paraId="3A161859" w14:textId="77777777" w:rsidR="00B61DD6" w:rsidRDefault="00B61DD6" w:rsidP="00B61DD6">
      <w:pPr>
        <w:pStyle w:val="13"/>
      </w:pPr>
      <w:r>
        <w:rPr>
          <w:rFonts w:hint="eastAsia"/>
        </w:rPr>
        <w:t>由其他评估行政管理部门管理的其他专业领域评估师从事本办法第二条规定的资产评估业务，按照本条第三款规定执行。</w:t>
      </w:r>
    </w:p>
    <w:p w14:paraId="7CB0E5FF" w14:textId="7F7C439D" w:rsidR="00B61DD6" w:rsidRDefault="00E05BDA" w:rsidP="00B61DD6">
      <w:pPr>
        <w:pStyle w:val="13"/>
        <w:ind w:firstLine="482"/>
      </w:pPr>
      <w:r w:rsidRPr="00E05BDA">
        <w:rPr>
          <w:rFonts w:hint="eastAsia"/>
          <w:b/>
          <w:bCs/>
        </w:rPr>
        <w:t xml:space="preserve">第十条 </w:t>
      </w:r>
      <w:r w:rsidR="00B61DD6">
        <w:t>资产评估专业人员从事资产评估业务，应当加入资产评估机构，并且只能在一个资产评估机构从事业务。</w:t>
      </w:r>
    </w:p>
    <w:p w14:paraId="07A5EE74" w14:textId="77777777" w:rsidR="00B61DD6" w:rsidRDefault="00B61DD6" w:rsidP="00B61DD6">
      <w:pPr>
        <w:pStyle w:val="13"/>
      </w:pPr>
      <w:r>
        <w:rPr>
          <w:rFonts w:hint="eastAsia"/>
        </w:rPr>
        <w:t>资产评估专业人员应当与资产评估机构签订劳动合同，建立社会保险缴纳关系，按照国家有关规定办理人事档案存放手续。</w:t>
      </w:r>
    </w:p>
    <w:p w14:paraId="03B992D0" w14:textId="6CAD8A35" w:rsidR="00B61DD6" w:rsidRDefault="00E05BDA" w:rsidP="00B61DD6">
      <w:pPr>
        <w:pStyle w:val="13"/>
        <w:ind w:firstLine="482"/>
      </w:pPr>
      <w:r w:rsidRPr="00E05BDA">
        <w:rPr>
          <w:rFonts w:hint="eastAsia"/>
          <w:b/>
          <w:bCs/>
        </w:rPr>
        <w:t xml:space="preserve">第十一条 </w:t>
      </w:r>
      <w:r w:rsidR="00B61DD6">
        <w:t>资产评估专业人员从事资产评估业务，应当遵守法律、行政法规和本办法的规定，执行资产评估准则及资产评估机构的各项规章制度，依法签署资产评估报告，不得签署本人未承办业务的资产评估报告或者有重大遗漏的资产评估报告。</w:t>
      </w:r>
    </w:p>
    <w:p w14:paraId="0141F1A9" w14:textId="2B7F5AC4" w:rsidR="00B61DD6" w:rsidRDefault="00B61DD6" w:rsidP="00B61DD6">
      <w:pPr>
        <w:pStyle w:val="13"/>
      </w:pPr>
      <w:r>
        <w:rPr>
          <w:rFonts w:hint="eastAsia"/>
        </w:rPr>
        <w:t>未取得资产评估师资格的人员，不得签署法定资产评估业务资产评估报告</w:t>
      </w:r>
      <w:r w:rsidR="00CC4D74">
        <w:rPr>
          <w:rFonts w:hint="eastAsia"/>
        </w:rPr>
        <w:t>，</w:t>
      </w:r>
      <w:r>
        <w:t>其签署的法定资产评估业务资产评估报告无效。</w:t>
      </w:r>
    </w:p>
    <w:p w14:paraId="59E0876E" w14:textId="24F5E3CA" w:rsidR="00B61DD6" w:rsidRDefault="00E05BDA" w:rsidP="00B61DD6">
      <w:pPr>
        <w:pStyle w:val="13"/>
        <w:ind w:firstLine="482"/>
      </w:pPr>
      <w:r w:rsidRPr="00E05BDA">
        <w:rPr>
          <w:rFonts w:hint="eastAsia"/>
          <w:b/>
          <w:bCs/>
        </w:rPr>
        <w:t xml:space="preserve">第十二条 </w:t>
      </w:r>
      <w:r w:rsidR="00B61DD6">
        <w:t>资产评估专业人员应当接受资产评估协会的自律管理和所在资产评估机构的自主管理，不得从事损害资产评估机构合法利益的活动。</w:t>
      </w:r>
    </w:p>
    <w:p w14:paraId="15B87928" w14:textId="77777777" w:rsidR="00B61DD6" w:rsidRDefault="00B61DD6" w:rsidP="00B61DD6">
      <w:pPr>
        <w:pStyle w:val="13"/>
      </w:pPr>
      <w:r>
        <w:rPr>
          <w:rFonts w:hint="eastAsia"/>
        </w:rPr>
        <w:t>加入资产评估协会的资产评估专业人员，平等享有章程规定的权利，履行章程规定的义务。</w:t>
      </w:r>
    </w:p>
    <w:p w14:paraId="46DE95EA" w14:textId="77777777" w:rsidR="00B61DD6" w:rsidRDefault="00B61DD6" w:rsidP="00AF7342">
      <w:pPr>
        <w:pStyle w:val="a9"/>
        <w:spacing w:before="62" w:after="62"/>
      </w:pPr>
      <w:r>
        <w:rPr>
          <w:rFonts w:hint="eastAsia"/>
        </w:rPr>
        <w:t>第三章</w:t>
      </w:r>
      <w:r>
        <w:t xml:space="preserve"> 资产评估机构</w:t>
      </w:r>
    </w:p>
    <w:p w14:paraId="610CAB93" w14:textId="23106425" w:rsidR="00B61DD6" w:rsidRPr="00B61DD6" w:rsidRDefault="00B61DD6" w:rsidP="00B61DD6">
      <w:pPr>
        <w:pStyle w:val="13"/>
        <w:ind w:firstLine="482"/>
        <w:jc w:val="center"/>
        <w:rPr>
          <w:b/>
          <w:bCs/>
        </w:rPr>
      </w:pPr>
      <w:r w:rsidRPr="00B61DD6">
        <w:rPr>
          <w:b/>
          <w:bCs/>
        </w:rPr>
        <w:t>第一节 机构自主管理</w:t>
      </w:r>
    </w:p>
    <w:p w14:paraId="3E1F2183" w14:textId="2F05F329" w:rsidR="00B61DD6" w:rsidRDefault="00E05BDA" w:rsidP="00B61DD6">
      <w:pPr>
        <w:pStyle w:val="13"/>
        <w:ind w:firstLine="482"/>
      </w:pPr>
      <w:r w:rsidRPr="00E05BDA">
        <w:rPr>
          <w:rFonts w:hint="eastAsia"/>
          <w:b/>
          <w:bCs/>
        </w:rPr>
        <w:t xml:space="preserve">第十三条 </w:t>
      </w:r>
      <w:r w:rsidR="00B61DD6">
        <w:t>资产评估机构应当依法采用合伙或者公司形式，并符合资产评估法第十五条规定的条件。</w:t>
      </w:r>
    </w:p>
    <w:p w14:paraId="4B5562C6" w14:textId="77777777" w:rsidR="00B61DD6" w:rsidRDefault="00B61DD6" w:rsidP="00B61DD6">
      <w:pPr>
        <w:pStyle w:val="13"/>
      </w:pPr>
      <w:r>
        <w:rPr>
          <w:rFonts w:hint="eastAsia"/>
        </w:rPr>
        <w:t>不符合资产评估法第十五条规定条件的资产评估机构不得承接资产评估业务。</w:t>
      </w:r>
    </w:p>
    <w:p w14:paraId="25BB2B03" w14:textId="265F988F" w:rsidR="00B61DD6" w:rsidRDefault="00E05BDA" w:rsidP="00B61DD6">
      <w:pPr>
        <w:pStyle w:val="13"/>
        <w:ind w:firstLine="482"/>
      </w:pPr>
      <w:r w:rsidRPr="00E05BDA">
        <w:rPr>
          <w:rFonts w:hint="eastAsia"/>
          <w:b/>
          <w:bCs/>
        </w:rPr>
        <w:t xml:space="preserve">第十四条 </w:t>
      </w:r>
      <w:r w:rsidR="00B61DD6">
        <w:t>资产评估机构从事资产评估业务，应当遵守资产评估准则，履行资产评估程序，加强内部审核，严格控制执业风险。</w:t>
      </w:r>
    </w:p>
    <w:p w14:paraId="186DC6D8" w14:textId="77777777" w:rsidR="00B61DD6" w:rsidRDefault="00B61DD6" w:rsidP="00B61DD6">
      <w:pPr>
        <w:pStyle w:val="13"/>
      </w:pPr>
      <w:r>
        <w:rPr>
          <w:rFonts w:hint="eastAsia"/>
        </w:rPr>
        <w:t>资产评估机构开展法定资产评估业务，应当指定至少两名资产评估师承办。不具备两名以上资产评估</w:t>
      </w:r>
      <w:proofErr w:type="gramStart"/>
      <w:r>
        <w:rPr>
          <w:rFonts w:hint="eastAsia"/>
        </w:rPr>
        <w:t>师条件</w:t>
      </w:r>
      <w:proofErr w:type="gramEnd"/>
      <w:r>
        <w:rPr>
          <w:rFonts w:hint="eastAsia"/>
        </w:rPr>
        <w:t>的资产评估机构，不得开展法定资产评估业务。</w:t>
      </w:r>
    </w:p>
    <w:p w14:paraId="4671FB26" w14:textId="6E5923DE" w:rsidR="00B61DD6" w:rsidRDefault="00E05BDA" w:rsidP="00B61DD6">
      <w:pPr>
        <w:pStyle w:val="13"/>
        <w:ind w:firstLine="482"/>
      </w:pPr>
      <w:r w:rsidRPr="00E05BDA">
        <w:rPr>
          <w:rFonts w:hint="eastAsia"/>
          <w:b/>
          <w:bCs/>
        </w:rPr>
        <w:t xml:space="preserve">第十五条 </w:t>
      </w:r>
      <w:r w:rsidR="00B61DD6">
        <w:t>法定资产评估业务资产评估报告应当由两名以上承办业务的资产评估师签署，并履行内部程序后加盖资产评估机构印章，资产评估机构及签字资产评估</w:t>
      </w:r>
      <w:proofErr w:type="gramStart"/>
      <w:r w:rsidR="00B61DD6">
        <w:t>师依法</w:t>
      </w:r>
      <w:proofErr w:type="gramEnd"/>
      <w:r w:rsidR="00B61DD6">
        <w:t>承担责任。</w:t>
      </w:r>
    </w:p>
    <w:p w14:paraId="1DBCC0DD" w14:textId="09C484C9" w:rsidR="00B61DD6" w:rsidRDefault="00E05BDA" w:rsidP="00B61DD6">
      <w:pPr>
        <w:pStyle w:val="13"/>
        <w:ind w:firstLine="482"/>
      </w:pPr>
      <w:r w:rsidRPr="00E05BDA">
        <w:rPr>
          <w:rFonts w:hint="eastAsia"/>
          <w:b/>
          <w:bCs/>
        </w:rPr>
        <w:t xml:space="preserve">第十六条 </w:t>
      </w:r>
      <w:r w:rsidR="00B61DD6">
        <w:t>资产评估机构应当遵守独立性原则和资产评估准则规定的资产评估业务回避要求，不得受理与其合伙人或者股东存在利害关系的业务。</w:t>
      </w:r>
    </w:p>
    <w:p w14:paraId="1BC6E609" w14:textId="2C4760CC" w:rsidR="00B61DD6" w:rsidRDefault="00E05BDA" w:rsidP="00B61DD6">
      <w:pPr>
        <w:pStyle w:val="13"/>
        <w:ind w:firstLine="482"/>
      </w:pPr>
      <w:r w:rsidRPr="00E05BDA">
        <w:rPr>
          <w:rFonts w:hint="eastAsia"/>
          <w:b/>
          <w:bCs/>
        </w:rPr>
        <w:t xml:space="preserve">第十七条 </w:t>
      </w:r>
      <w:r w:rsidR="00B61DD6">
        <w:t>资产评估机构应当建立健全质量控制制度和内部管理制度。其中，</w:t>
      </w:r>
      <w:r w:rsidR="00B61DD6">
        <w:rPr>
          <w:rFonts w:hint="eastAsia"/>
        </w:rPr>
        <w:t>内部管理制度包括资产评估业务管理制度、业务档案管理制度、人事管理制度、继续教育制度、财务管理制度等。</w:t>
      </w:r>
    </w:p>
    <w:p w14:paraId="38739CFF" w14:textId="04D2BCF2" w:rsidR="00B61DD6" w:rsidRDefault="00E05BDA" w:rsidP="00B61DD6">
      <w:pPr>
        <w:pStyle w:val="13"/>
        <w:ind w:firstLine="482"/>
      </w:pPr>
      <w:r w:rsidRPr="00E05BDA">
        <w:rPr>
          <w:rFonts w:hint="eastAsia"/>
          <w:b/>
          <w:bCs/>
        </w:rPr>
        <w:lastRenderedPageBreak/>
        <w:t xml:space="preserve">第十八条 </w:t>
      </w:r>
      <w:r w:rsidR="00B61DD6">
        <w:t>资产评估机构应当指定一名取得资产评估师资格的本机构合伙人或者股东专门负责执业质量控制。</w:t>
      </w:r>
    </w:p>
    <w:p w14:paraId="465AAAAE" w14:textId="1CB0E237" w:rsidR="00B61DD6" w:rsidRDefault="00E05BDA" w:rsidP="00B61DD6">
      <w:pPr>
        <w:pStyle w:val="13"/>
        <w:ind w:firstLine="482"/>
      </w:pPr>
      <w:r w:rsidRPr="00E05BDA">
        <w:rPr>
          <w:rFonts w:hint="eastAsia"/>
          <w:b/>
          <w:bCs/>
        </w:rPr>
        <w:t xml:space="preserve">第十九条 </w:t>
      </w:r>
      <w:r w:rsidR="00B61DD6">
        <w:t>资产评估机构根据业务需要建立职业风险基金管理制度，或者自愿购买职业责任保险，完善职业风险防范机制。</w:t>
      </w:r>
    </w:p>
    <w:p w14:paraId="1F52B4AC" w14:textId="77777777" w:rsidR="00B61DD6" w:rsidRDefault="00B61DD6" w:rsidP="00B61DD6">
      <w:pPr>
        <w:pStyle w:val="13"/>
      </w:pPr>
      <w:r>
        <w:rPr>
          <w:rFonts w:hint="eastAsia"/>
        </w:rPr>
        <w:t>资产评估机构建立职业风险基金管理制度的，按照财政部的具体规定提取、管理和使用职业风险基金。</w:t>
      </w:r>
    </w:p>
    <w:p w14:paraId="42E9EDB2" w14:textId="775043D4" w:rsidR="00B61DD6" w:rsidRDefault="00E05BDA" w:rsidP="00B61DD6">
      <w:pPr>
        <w:pStyle w:val="13"/>
        <w:ind w:firstLine="482"/>
      </w:pPr>
      <w:r w:rsidRPr="00E05BDA">
        <w:rPr>
          <w:rFonts w:hint="eastAsia"/>
          <w:b/>
          <w:bCs/>
        </w:rPr>
        <w:t xml:space="preserve">第二十条 </w:t>
      </w:r>
      <w:r w:rsidR="00B61DD6">
        <w:t>实行集团化发展的资产评估机构，应当在质量控制、内部管理、客户服务、企业形象、信息化等方面，对设立的分支机构实行统一管理，或者对集团成员实行统一政策。</w:t>
      </w:r>
    </w:p>
    <w:p w14:paraId="23509CE2" w14:textId="77777777" w:rsidR="00B61DD6" w:rsidRDefault="00B61DD6" w:rsidP="00B61DD6">
      <w:pPr>
        <w:pStyle w:val="13"/>
      </w:pPr>
      <w:r>
        <w:rPr>
          <w:rFonts w:hint="eastAsia"/>
        </w:rPr>
        <w:t>分支机构应当在资产评估机构授权范围内，依法从事资产评估业务，并以资产评估机构的名义出具资产评估报告。</w:t>
      </w:r>
    </w:p>
    <w:p w14:paraId="669F4E0F" w14:textId="3797803B" w:rsidR="00B61DD6" w:rsidRDefault="00E05BDA" w:rsidP="00B61DD6">
      <w:pPr>
        <w:pStyle w:val="13"/>
        <w:ind w:firstLine="482"/>
      </w:pPr>
      <w:r w:rsidRPr="00E05BDA">
        <w:rPr>
          <w:rFonts w:hint="eastAsia"/>
          <w:b/>
          <w:bCs/>
        </w:rPr>
        <w:t xml:space="preserve">第二十一条 </w:t>
      </w:r>
      <w:r w:rsidR="00B61DD6">
        <w:t>资产评估机构和分支机构加入资产评估协会，平等享有章程规定的权利，履行章程规定的义务。</w:t>
      </w:r>
    </w:p>
    <w:p w14:paraId="08828BFD" w14:textId="25A37C48" w:rsidR="00B61DD6" w:rsidRDefault="00E05BDA" w:rsidP="00B61DD6">
      <w:pPr>
        <w:pStyle w:val="13"/>
        <w:ind w:firstLine="482"/>
      </w:pPr>
      <w:r w:rsidRPr="00E05BDA">
        <w:rPr>
          <w:rFonts w:hint="eastAsia"/>
          <w:b/>
          <w:bCs/>
        </w:rPr>
        <w:t xml:space="preserve">第二十二条 </w:t>
      </w:r>
      <w:r w:rsidR="00B61DD6">
        <w:t>资产评估机构和分支机构应当在每年 3</w:t>
      </w:r>
      <w:r w:rsidR="003068F8">
        <w:t>月</w:t>
      </w:r>
      <w:r w:rsidR="00B61DD6">
        <w:t>31</w:t>
      </w:r>
      <w:r w:rsidR="003068F8">
        <w:t>日</w:t>
      </w:r>
      <w:r w:rsidR="00B61DD6">
        <w:t>之前，分别向所加入的资产评估协会报送下列材料：</w:t>
      </w:r>
    </w:p>
    <w:p w14:paraId="13412A07" w14:textId="77777777" w:rsidR="00B61DD6" w:rsidRDefault="00B61DD6" w:rsidP="00B61DD6">
      <w:pPr>
        <w:pStyle w:val="13"/>
      </w:pPr>
      <w:r>
        <w:rPr>
          <w:rFonts w:hint="eastAsia"/>
        </w:rPr>
        <w:t>（一）资产评估机构或分支机构基本情况；</w:t>
      </w:r>
    </w:p>
    <w:p w14:paraId="45F5FC19" w14:textId="77777777" w:rsidR="00B61DD6" w:rsidRDefault="00B61DD6" w:rsidP="00B61DD6">
      <w:pPr>
        <w:pStyle w:val="13"/>
      </w:pPr>
      <w:r>
        <w:rPr>
          <w:rFonts w:hint="eastAsia"/>
        </w:rPr>
        <w:t>（二）上年度资产评估项目重要信息；</w:t>
      </w:r>
    </w:p>
    <w:p w14:paraId="08D535B5" w14:textId="77777777" w:rsidR="00B61DD6" w:rsidRDefault="00B61DD6" w:rsidP="00B61DD6">
      <w:pPr>
        <w:pStyle w:val="13"/>
      </w:pPr>
      <w:r>
        <w:rPr>
          <w:rFonts w:hint="eastAsia"/>
        </w:rPr>
        <w:t>（三）资产评估机构建立职业风险基金或者购买职业责任保险情况。购买职业责任保险的，应当提供职业责任保险保单信息。</w:t>
      </w:r>
    </w:p>
    <w:p w14:paraId="767A266F" w14:textId="77777777" w:rsidR="00B61DD6" w:rsidRPr="00B61DD6" w:rsidRDefault="00B61DD6" w:rsidP="00B61DD6">
      <w:pPr>
        <w:pStyle w:val="13"/>
        <w:ind w:firstLine="482"/>
        <w:jc w:val="center"/>
        <w:rPr>
          <w:b/>
          <w:bCs/>
        </w:rPr>
      </w:pPr>
      <w:r w:rsidRPr="00B61DD6">
        <w:rPr>
          <w:rFonts w:hint="eastAsia"/>
          <w:b/>
          <w:bCs/>
        </w:rPr>
        <w:t>第二节</w:t>
      </w:r>
      <w:r w:rsidRPr="00B61DD6">
        <w:rPr>
          <w:b/>
          <w:bCs/>
        </w:rPr>
        <w:t xml:space="preserve"> 机构备案管理</w:t>
      </w:r>
    </w:p>
    <w:p w14:paraId="3AEB3A4D" w14:textId="5830151E" w:rsidR="00B61DD6" w:rsidRDefault="00E05BDA" w:rsidP="00B61DD6">
      <w:pPr>
        <w:pStyle w:val="13"/>
        <w:ind w:firstLine="482"/>
      </w:pPr>
      <w:r w:rsidRPr="00E05BDA">
        <w:rPr>
          <w:rFonts w:hint="eastAsia"/>
          <w:b/>
          <w:bCs/>
        </w:rPr>
        <w:t xml:space="preserve">第二十三条 </w:t>
      </w:r>
      <w:r w:rsidR="00B61DD6">
        <w:t>省级财政部门负责本地区资产评估机构和分支机构的备案管理。</w:t>
      </w:r>
    </w:p>
    <w:p w14:paraId="687981B4" w14:textId="33AAF772" w:rsidR="00B61DD6" w:rsidRDefault="00E05BDA" w:rsidP="00B61DD6">
      <w:pPr>
        <w:pStyle w:val="13"/>
        <w:ind w:firstLine="482"/>
      </w:pPr>
      <w:r w:rsidRPr="00E05BDA">
        <w:rPr>
          <w:b/>
          <w:bCs/>
        </w:rPr>
        <w:t xml:space="preserve">第二十四条 </w:t>
      </w:r>
      <w:r w:rsidR="00B61DD6">
        <w:t>资产评估机构应当自领取营业执照之日起 30</w:t>
      </w:r>
      <w:r w:rsidR="003068F8">
        <w:t>日</w:t>
      </w:r>
      <w:r w:rsidR="00B61DD6">
        <w:t>内，通过备案信</w:t>
      </w:r>
      <w:r w:rsidR="00B61DD6">
        <w:rPr>
          <w:rFonts w:hint="eastAsia"/>
        </w:rPr>
        <w:t>息管理系统向所在地省级财政部门备案，提交下列材料：</w:t>
      </w:r>
    </w:p>
    <w:p w14:paraId="1871B9E6" w14:textId="77777777" w:rsidR="00B61DD6" w:rsidRDefault="00B61DD6" w:rsidP="00B61DD6">
      <w:pPr>
        <w:pStyle w:val="13"/>
      </w:pPr>
      <w:r>
        <w:rPr>
          <w:rFonts w:hint="eastAsia"/>
        </w:rPr>
        <w:t>（一）资产评估机构备案表；</w:t>
      </w:r>
    </w:p>
    <w:p w14:paraId="5DF5686C" w14:textId="77777777" w:rsidR="00B61DD6" w:rsidRDefault="00B61DD6" w:rsidP="00B61DD6">
      <w:pPr>
        <w:pStyle w:val="13"/>
      </w:pPr>
      <w:r>
        <w:rPr>
          <w:rFonts w:hint="eastAsia"/>
        </w:rPr>
        <w:t>（二）统一社会信用代码；</w:t>
      </w:r>
    </w:p>
    <w:p w14:paraId="3AA9268F" w14:textId="642A0DDE" w:rsidR="00B61DD6" w:rsidRDefault="00B61DD6" w:rsidP="00B61DD6">
      <w:pPr>
        <w:pStyle w:val="13"/>
      </w:pPr>
      <w:r>
        <w:rPr>
          <w:rFonts w:hint="eastAsia"/>
        </w:rPr>
        <w:t>（三）资产评估机构合伙人或者股东以及执行合伙事务的合伙人或者法定代表人三年以上从业经历、最近三年接受处罚信息等基本情况；</w:t>
      </w:r>
    </w:p>
    <w:p w14:paraId="063901F0" w14:textId="77777777" w:rsidR="00B61DD6" w:rsidRDefault="00B61DD6" w:rsidP="00B61DD6">
      <w:pPr>
        <w:pStyle w:val="13"/>
      </w:pPr>
      <w:r>
        <w:rPr>
          <w:rFonts w:hint="eastAsia"/>
        </w:rPr>
        <w:t>（四）在该机构从业的资产评估师、其他专业领域的评估师和其他资产评估从业人员情况；</w:t>
      </w:r>
    </w:p>
    <w:p w14:paraId="540BFA53" w14:textId="77777777" w:rsidR="00B61DD6" w:rsidRDefault="00B61DD6" w:rsidP="00B61DD6">
      <w:pPr>
        <w:pStyle w:val="13"/>
      </w:pPr>
      <w:r>
        <w:rPr>
          <w:rFonts w:hint="eastAsia"/>
        </w:rPr>
        <w:t>（五）资产评估机构质量控制制度和内部管理制度。</w:t>
      </w:r>
    </w:p>
    <w:p w14:paraId="6A8F2D73" w14:textId="376BFFB5" w:rsidR="00B61DD6" w:rsidRDefault="00E05BDA" w:rsidP="00B61DD6">
      <w:pPr>
        <w:pStyle w:val="13"/>
        <w:ind w:firstLine="482"/>
      </w:pPr>
      <w:r w:rsidRPr="00E05BDA">
        <w:rPr>
          <w:rFonts w:hint="eastAsia"/>
          <w:b/>
          <w:bCs/>
        </w:rPr>
        <w:t xml:space="preserve">第二十五条 </w:t>
      </w:r>
      <w:r w:rsidR="00B61DD6">
        <w:t>资产评估机构的备案信息不齐全或者备案材料不符合要求的</w:t>
      </w:r>
      <w:r w:rsidR="00CC4D74">
        <w:t>，</w:t>
      </w:r>
      <w:r w:rsidR="00B61DD6">
        <w:t xml:space="preserve">省级财政部门应当在接到备案材料 5 </w:t>
      </w:r>
      <w:proofErr w:type="gramStart"/>
      <w:r w:rsidR="00B61DD6">
        <w:t>个</w:t>
      </w:r>
      <w:proofErr w:type="gramEnd"/>
      <w:r w:rsidR="00B61DD6">
        <w:t>工作日内一次性告知需要补正的全部内</w:t>
      </w:r>
    </w:p>
    <w:p w14:paraId="11CF72D1" w14:textId="77777777" w:rsidR="00B61DD6" w:rsidRDefault="00B61DD6" w:rsidP="00B61DD6">
      <w:pPr>
        <w:pStyle w:val="13"/>
      </w:pPr>
      <w:r>
        <w:rPr>
          <w:rFonts w:hint="eastAsia"/>
        </w:rPr>
        <w:t>容，并给予指导。资产评估机构应当根据要求，在</w:t>
      </w:r>
      <w:r>
        <w:t xml:space="preserve"> 15 </w:t>
      </w:r>
      <w:proofErr w:type="gramStart"/>
      <w:r>
        <w:t>个</w:t>
      </w:r>
      <w:proofErr w:type="gramEnd"/>
      <w:r>
        <w:t>工作日内补正。逾期</w:t>
      </w:r>
      <w:proofErr w:type="gramStart"/>
      <w:r>
        <w:t>不</w:t>
      </w:r>
      <w:proofErr w:type="gramEnd"/>
      <w:r>
        <w:t>补正的，视同未备案。</w:t>
      </w:r>
    </w:p>
    <w:p w14:paraId="5E746DD4" w14:textId="4E99DEE0" w:rsidR="00B61DD6" w:rsidRDefault="00E05BDA" w:rsidP="00B61DD6">
      <w:pPr>
        <w:pStyle w:val="13"/>
        <w:ind w:firstLine="482"/>
      </w:pPr>
      <w:r w:rsidRPr="00E05BDA">
        <w:rPr>
          <w:rFonts w:hint="eastAsia"/>
          <w:b/>
          <w:bCs/>
        </w:rPr>
        <w:lastRenderedPageBreak/>
        <w:t xml:space="preserve">第二十六条 </w:t>
      </w:r>
      <w:r w:rsidR="00B61DD6">
        <w:t xml:space="preserve">备案材料完备且符合要求的，省级财政部门收齐备案材料即完成备案，并在 20 </w:t>
      </w:r>
      <w:proofErr w:type="gramStart"/>
      <w:r w:rsidR="00B61DD6">
        <w:t>个</w:t>
      </w:r>
      <w:proofErr w:type="gramEnd"/>
      <w:r w:rsidR="00B61DD6">
        <w:t>工作日内将下列信息以公函编号向社会公开：</w:t>
      </w:r>
    </w:p>
    <w:p w14:paraId="33A636CF" w14:textId="77777777" w:rsidR="00B61DD6" w:rsidRDefault="00B61DD6" w:rsidP="00B61DD6">
      <w:pPr>
        <w:pStyle w:val="13"/>
      </w:pPr>
      <w:r>
        <w:rPr>
          <w:rFonts w:hint="eastAsia"/>
        </w:rPr>
        <w:t>（一）资产评估机构名称及组织形式；</w:t>
      </w:r>
    </w:p>
    <w:p w14:paraId="0A91600B" w14:textId="77777777" w:rsidR="00B61DD6" w:rsidRDefault="00B61DD6" w:rsidP="00B61DD6">
      <w:pPr>
        <w:pStyle w:val="13"/>
      </w:pPr>
      <w:r>
        <w:rPr>
          <w:rFonts w:hint="eastAsia"/>
        </w:rPr>
        <w:t>（二）资产评估机构的合伙人或者股东的基本情况；</w:t>
      </w:r>
    </w:p>
    <w:p w14:paraId="061E4C5C" w14:textId="77777777" w:rsidR="00B61DD6" w:rsidRDefault="00B61DD6" w:rsidP="00B61DD6">
      <w:pPr>
        <w:pStyle w:val="13"/>
      </w:pPr>
      <w:r>
        <w:rPr>
          <w:rFonts w:hint="eastAsia"/>
        </w:rPr>
        <w:t>（三）资产评估机构执行合伙事务的合伙人或者法定代表人；</w:t>
      </w:r>
    </w:p>
    <w:p w14:paraId="5364080A" w14:textId="77777777" w:rsidR="00B61DD6" w:rsidRDefault="00B61DD6" w:rsidP="00B61DD6">
      <w:pPr>
        <w:pStyle w:val="13"/>
      </w:pPr>
      <w:r>
        <w:rPr>
          <w:rFonts w:hint="eastAsia"/>
        </w:rPr>
        <w:t>（四）申报的资产评估专业人员基本情况。</w:t>
      </w:r>
    </w:p>
    <w:p w14:paraId="3F953E53" w14:textId="77777777" w:rsidR="00B61DD6" w:rsidRDefault="00B61DD6" w:rsidP="00B61DD6">
      <w:pPr>
        <w:pStyle w:val="13"/>
      </w:pPr>
      <w:r>
        <w:rPr>
          <w:rFonts w:hint="eastAsia"/>
        </w:rPr>
        <w:t>对于资产评估机构申报的资产评估师信息，省级财政部门应当在公开前向有关资产评估协会核实。</w:t>
      </w:r>
    </w:p>
    <w:p w14:paraId="5B84D60F" w14:textId="6EFE682E" w:rsidR="00B61DD6" w:rsidRDefault="00E05BDA" w:rsidP="00B61DD6">
      <w:pPr>
        <w:pStyle w:val="13"/>
        <w:ind w:firstLine="482"/>
      </w:pPr>
      <w:r w:rsidRPr="00E05BDA">
        <w:rPr>
          <w:rFonts w:hint="eastAsia"/>
          <w:b/>
          <w:bCs/>
        </w:rPr>
        <w:t xml:space="preserve">第二十七条 </w:t>
      </w:r>
      <w:r w:rsidR="00B61DD6">
        <w:t>资产评估机构设立分支机构的，应当比照本办法第二十四条至第二十六条的规定，由资产评估机构向其分支机构所在地省级财政部门备案，提交下列材料：</w:t>
      </w:r>
    </w:p>
    <w:p w14:paraId="1214EA79" w14:textId="77777777" w:rsidR="00B61DD6" w:rsidRDefault="00B61DD6" w:rsidP="00B61DD6">
      <w:pPr>
        <w:pStyle w:val="13"/>
      </w:pPr>
      <w:r>
        <w:rPr>
          <w:rFonts w:hint="eastAsia"/>
        </w:rPr>
        <w:t>（一）资产评估机构设立分支机构备案表；</w:t>
      </w:r>
    </w:p>
    <w:p w14:paraId="4773E272" w14:textId="77777777" w:rsidR="00B61DD6" w:rsidRDefault="00B61DD6" w:rsidP="00B61DD6">
      <w:pPr>
        <w:pStyle w:val="13"/>
      </w:pPr>
      <w:r>
        <w:rPr>
          <w:rFonts w:hint="eastAsia"/>
        </w:rPr>
        <w:t>（二）分支机构统一社会信用代码；</w:t>
      </w:r>
    </w:p>
    <w:p w14:paraId="43C31BFC" w14:textId="77777777" w:rsidR="00B61DD6" w:rsidRDefault="00B61DD6" w:rsidP="00B61DD6">
      <w:pPr>
        <w:pStyle w:val="13"/>
      </w:pPr>
      <w:r>
        <w:rPr>
          <w:rFonts w:hint="eastAsia"/>
        </w:rPr>
        <w:t>（三）资产评估机构授权分支机构的业务范围；</w:t>
      </w:r>
    </w:p>
    <w:p w14:paraId="2F1573F4" w14:textId="77777777" w:rsidR="00B61DD6" w:rsidRDefault="00B61DD6" w:rsidP="00B61DD6">
      <w:pPr>
        <w:pStyle w:val="13"/>
      </w:pPr>
      <w:r>
        <w:rPr>
          <w:rFonts w:hint="eastAsia"/>
        </w:rPr>
        <w:t>（四）分支机构负责人三年以上从业经历、最近三年接受处罚信息等基本情况；</w:t>
      </w:r>
    </w:p>
    <w:p w14:paraId="650E3693" w14:textId="77777777" w:rsidR="00B61DD6" w:rsidRDefault="00B61DD6" w:rsidP="00B61DD6">
      <w:pPr>
        <w:pStyle w:val="13"/>
      </w:pPr>
      <w:r>
        <w:rPr>
          <w:rFonts w:hint="eastAsia"/>
        </w:rPr>
        <w:t>（五）在该分支机构从业的资产评估师、其他专业领域评估师和其他资产评估从业人员情况。</w:t>
      </w:r>
    </w:p>
    <w:p w14:paraId="6D50848F" w14:textId="77777777" w:rsidR="00B61DD6" w:rsidRDefault="00B61DD6" w:rsidP="00B61DD6">
      <w:pPr>
        <w:pStyle w:val="13"/>
      </w:pPr>
      <w:r>
        <w:rPr>
          <w:rFonts w:hint="eastAsia"/>
        </w:rPr>
        <w:t>完成分支机构备案的省级财政部门应当将分支机构备案情况向社会公开，同时告知资产评估机构所在地省级财政部门。</w:t>
      </w:r>
    </w:p>
    <w:p w14:paraId="0E6F4615" w14:textId="1A619BF3" w:rsidR="00B61DD6" w:rsidRDefault="00E05BDA" w:rsidP="00B61DD6">
      <w:pPr>
        <w:pStyle w:val="13"/>
        <w:ind w:firstLine="482"/>
      </w:pPr>
      <w:r w:rsidRPr="00E05BDA">
        <w:rPr>
          <w:rFonts w:hint="eastAsia"/>
          <w:b/>
          <w:bCs/>
        </w:rPr>
        <w:t xml:space="preserve">第二十八条 </w:t>
      </w:r>
      <w:r w:rsidR="00B61DD6">
        <w:t xml:space="preserve">资产评估机构的名称、执行合伙事务的合伙人或者法定代表人、合伙人或者股东、分支机构的名称或者负责人发生变更，以及发生机构分立、合并、转制、撤销等重大事项，应当自变更之日起 15 </w:t>
      </w:r>
      <w:proofErr w:type="gramStart"/>
      <w:r w:rsidR="00B61DD6">
        <w:t>个</w:t>
      </w:r>
      <w:proofErr w:type="gramEnd"/>
      <w:r w:rsidR="00B61DD6">
        <w:t xml:space="preserve">工作日内，比照本办法第二十四条至第二十六条的规定，向有关省级财政部门办理变更手续。需要变更工商登记的，自工商变更登记完成之日起 15 </w:t>
      </w:r>
      <w:proofErr w:type="gramStart"/>
      <w:r w:rsidR="00B61DD6">
        <w:t>个</w:t>
      </w:r>
      <w:proofErr w:type="gramEnd"/>
      <w:r w:rsidR="00B61DD6">
        <w:t>工作日内向有关省级财政部门办理变更手续。</w:t>
      </w:r>
    </w:p>
    <w:p w14:paraId="5DE04767" w14:textId="3E9173FD" w:rsidR="00B61DD6" w:rsidRDefault="00E05BDA" w:rsidP="00B61DD6">
      <w:pPr>
        <w:pStyle w:val="13"/>
        <w:ind w:firstLine="482"/>
      </w:pPr>
      <w:r w:rsidRPr="00E05BDA">
        <w:rPr>
          <w:rFonts w:hint="eastAsia"/>
          <w:b/>
          <w:bCs/>
        </w:rPr>
        <w:t xml:space="preserve">第二十九条 </w:t>
      </w:r>
      <w:r w:rsidR="00B61DD6">
        <w:t>资产评估机构办理合并或者分立变更手续的，应当提供合并或者分立协议。合并或者分立协议应当包括以下事项：</w:t>
      </w:r>
    </w:p>
    <w:p w14:paraId="002027F8" w14:textId="77777777" w:rsidR="00B61DD6" w:rsidRDefault="00B61DD6" w:rsidP="00B61DD6">
      <w:pPr>
        <w:pStyle w:val="13"/>
      </w:pPr>
      <w:r>
        <w:rPr>
          <w:rFonts w:hint="eastAsia"/>
        </w:rPr>
        <w:t>（一）合并或者分立前资产评估机构评估业务档案保管方案；</w:t>
      </w:r>
    </w:p>
    <w:p w14:paraId="6CA9F7A2" w14:textId="77777777" w:rsidR="00B61DD6" w:rsidRDefault="00B61DD6" w:rsidP="00B61DD6">
      <w:pPr>
        <w:pStyle w:val="13"/>
      </w:pPr>
      <w:r>
        <w:rPr>
          <w:rFonts w:hint="eastAsia"/>
        </w:rPr>
        <w:t>（二）合并或者分立前资产评估机构职业风险基金或者执业责任保险的处理方案；</w:t>
      </w:r>
    </w:p>
    <w:p w14:paraId="42435786" w14:textId="77777777" w:rsidR="00B61DD6" w:rsidRDefault="00B61DD6" w:rsidP="00B61DD6">
      <w:pPr>
        <w:pStyle w:val="13"/>
      </w:pPr>
      <w:r>
        <w:rPr>
          <w:rFonts w:hint="eastAsia"/>
        </w:rPr>
        <w:t>（三）合并或者分立前资产评估机构资产评估业务、执业责任的承继关系。</w:t>
      </w:r>
    </w:p>
    <w:p w14:paraId="4D508FCC" w14:textId="1DDB667D" w:rsidR="00B61DD6" w:rsidRDefault="00E05BDA" w:rsidP="00B61DD6">
      <w:pPr>
        <w:pStyle w:val="13"/>
        <w:ind w:firstLine="482"/>
      </w:pPr>
      <w:r w:rsidRPr="00E05BDA">
        <w:rPr>
          <w:rFonts w:hint="eastAsia"/>
          <w:b/>
          <w:bCs/>
        </w:rPr>
        <w:t xml:space="preserve">第三十条 </w:t>
      </w:r>
      <w:r w:rsidR="00B61DD6">
        <w:t>合伙</w:t>
      </w:r>
      <w:proofErr w:type="gramStart"/>
      <w:r w:rsidR="00B61DD6">
        <w:t>制资产</w:t>
      </w:r>
      <w:proofErr w:type="gramEnd"/>
      <w:r w:rsidR="00B61DD6">
        <w:t>评估机构转为公司</w:t>
      </w:r>
      <w:proofErr w:type="gramStart"/>
      <w:r w:rsidR="00B61DD6">
        <w:t>制资产</w:t>
      </w:r>
      <w:proofErr w:type="gramEnd"/>
      <w:r w:rsidR="00B61DD6">
        <w:t>评估机构，或者公司</w:t>
      </w:r>
      <w:proofErr w:type="gramStart"/>
      <w:r w:rsidR="00B61DD6">
        <w:t>制资产</w:t>
      </w:r>
      <w:proofErr w:type="gramEnd"/>
      <w:r w:rsidR="00B61DD6">
        <w:rPr>
          <w:rFonts w:hint="eastAsia"/>
        </w:rPr>
        <w:t>评估机构转为合伙</w:t>
      </w:r>
      <w:proofErr w:type="gramStart"/>
      <w:r w:rsidR="00B61DD6">
        <w:rPr>
          <w:rFonts w:hint="eastAsia"/>
        </w:rPr>
        <w:t>制资产</w:t>
      </w:r>
      <w:proofErr w:type="gramEnd"/>
      <w:r w:rsidR="00B61DD6">
        <w:rPr>
          <w:rFonts w:hint="eastAsia"/>
        </w:rPr>
        <w:t>评估机构，办理变更手续应当提供合伙人会议或股东（大）会审议通过的转制决议。</w:t>
      </w:r>
    </w:p>
    <w:p w14:paraId="26A95582" w14:textId="77777777" w:rsidR="00B61DD6" w:rsidRDefault="00B61DD6" w:rsidP="00B61DD6">
      <w:pPr>
        <w:pStyle w:val="13"/>
      </w:pPr>
      <w:proofErr w:type="gramStart"/>
      <w:r>
        <w:rPr>
          <w:rFonts w:hint="eastAsia"/>
        </w:rPr>
        <w:t>转制决议</w:t>
      </w:r>
      <w:proofErr w:type="gramEnd"/>
      <w:r>
        <w:rPr>
          <w:rFonts w:hint="eastAsia"/>
        </w:rPr>
        <w:t>应当载明转制后机构与转制</w:t>
      </w:r>
      <w:proofErr w:type="gramStart"/>
      <w:r>
        <w:rPr>
          <w:rFonts w:hint="eastAsia"/>
        </w:rPr>
        <w:t>前机构</w:t>
      </w:r>
      <w:proofErr w:type="gramEnd"/>
      <w:r>
        <w:rPr>
          <w:rFonts w:hint="eastAsia"/>
        </w:rPr>
        <w:t>的债权债务、档案保管、资产评估业</w:t>
      </w:r>
      <w:r>
        <w:rPr>
          <w:rFonts w:hint="eastAsia"/>
        </w:rPr>
        <w:lastRenderedPageBreak/>
        <w:t>务、执业责任等承继关系。</w:t>
      </w:r>
    </w:p>
    <w:p w14:paraId="4942323E" w14:textId="2E5D550F" w:rsidR="00B61DD6" w:rsidRDefault="003B2FB1" w:rsidP="00B61DD6">
      <w:pPr>
        <w:pStyle w:val="13"/>
        <w:ind w:firstLine="482"/>
      </w:pPr>
      <w:r w:rsidRPr="003B2FB1">
        <w:rPr>
          <w:rFonts w:hint="eastAsia"/>
          <w:b/>
          <w:bCs/>
        </w:rPr>
        <w:t xml:space="preserve">第三十一条 </w:t>
      </w:r>
      <w:r w:rsidR="00B61DD6">
        <w:t>资产评估机构跨省级行政区划迁移经营场所，应当书面告知迁出地省级财政部门。</w:t>
      </w:r>
    </w:p>
    <w:p w14:paraId="0B8E6272" w14:textId="77777777" w:rsidR="00B61DD6" w:rsidRDefault="00B61DD6" w:rsidP="00B61DD6">
      <w:pPr>
        <w:pStyle w:val="13"/>
      </w:pPr>
      <w:r>
        <w:rPr>
          <w:rFonts w:hint="eastAsia"/>
        </w:rPr>
        <w:t>资产评估机构在办理完迁入地工商登记手续后</w:t>
      </w:r>
      <w:r>
        <w:t xml:space="preserve"> 15 </w:t>
      </w:r>
      <w:proofErr w:type="gramStart"/>
      <w:r>
        <w:t>个</w:t>
      </w:r>
      <w:proofErr w:type="gramEnd"/>
      <w:r>
        <w:t>工作日内，比照本办法第二十四条至第二十六条的规定，向迁入地省级财政部门办理迁入备案手续。</w:t>
      </w:r>
    </w:p>
    <w:p w14:paraId="706374CC" w14:textId="77777777" w:rsidR="00B61DD6" w:rsidRDefault="00B61DD6" w:rsidP="00B61DD6">
      <w:pPr>
        <w:pStyle w:val="13"/>
      </w:pPr>
      <w:r>
        <w:rPr>
          <w:rFonts w:hint="eastAsia"/>
        </w:rPr>
        <w:t>迁入地省级财政部门办理迁入备案手续后通知迁出地的省级财政部门，迁出地的省级财政部门应同时予以公告。</w:t>
      </w:r>
    </w:p>
    <w:p w14:paraId="32849798" w14:textId="40A9FAA1" w:rsidR="00B61DD6" w:rsidRDefault="003B2FB1" w:rsidP="00B61DD6">
      <w:pPr>
        <w:pStyle w:val="13"/>
        <w:ind w:firstLine="482"/>
      </w:pPr>
      <w:r w:rsidRPr="003B2FB1">
        <w:rPr>
          <w:rFonts w:hint="eastAsia"/>
          <w:b/>
          <w:bCs/>
        </w:rPr>
        <w:t xml:space="preserve">第三十二条 </w:t>
      </w:r>
      <w:r w:rsidR="00B61DD6">
        <w:t>已完成备案的资产评估机构或者分支机构有下列行为之一的</w:t>
      </w:r>
      <w:r w:rsidR="00CC4D74">
        <w:t>，</w:t>
      </w:r>
      <w:r w:rsidR="00B61DD6">
        <w:t>省级财政部门予以注销备案，并向社会公开：</w:t>
      </w:r>
    </w:p>
    <w:p w14:paraId="23B861D6" w14:textId="77777777" w:rsidR="00B61DD6" w:rsidRDefault="00B61DD6" w:rsidP="00B61DD6">
      <w:pPr>
        <w:pStyle w:val="13"/>
      </w:pPr>
      <w:r>
        <w:rPr>
          <w:rFonts w:hint="eastAsia"/>
        </w:rPr>
        <w:t>（一）注销工商登记的；</w:t>
      </w:r>
    </w:p>
    <w:p w14:paraId="738E0A62" w14:textId="77777777" w:rsidR="00B61DD6" w:rsidRDefault="00B61DD6" w:rsidP="00B61DD6">
      <w:pPr>
        <w:pStyle w:val="13"/>
      </w:pPr>
      <w:r>
        <w:rPr>
          <w:rFonts w:hint="eastAsia"/>
        </w:rPr>
        <w:t>（二）被工商行政管理机关吊销营业执照的；</w:t>
      </w:r>
    </w:p>
    <w:p w14:paraId="2B3141EC" w14:textId="77777777" w:rsidR="00B61DD6" w:rsidRDefault="00B61DD6" w:rsidP="00B61DD6">
      <w:pPr>
        <w:pStyle w:val="13"/>
      </w:pPr>
      <w:r>
        <w:rPr>
          <w:rFonts w:hint="eastAsia"/>
        </w:rPr>
        <w:t>（三）主动要求注销备案的。</w:t>
      </w:r>
    </w:p>
    <w:p w14:paraId="7DEAC386" w14:textId="3BEF7D1E" w:rsidR="00B61DD6" w:rsidRDefault="003B2FB1" w:rsidP="00B61DD6">
      <w:pPr>
        <w:pStyle w:val="13"/>
        <w:ind w:firstLine="482"/>
      </w:pPr>
      <w:r w:rsidRPr="003B2FB1">
        <w:rPr>
          <w:rFonts w:hint="eastAsia"/>
          <w:b/>
          <w:bCs/>
        </w:rPr>
        <w:t xml:space="preserve">第三十三条 </w:t>
      </w:r>
      <w:r w:rsidR="00B61DD6">
        <w:t>注销备案的资产评估机构及其分支机构的资产评估业务档案</w:t>
      </w:r>
      <w:r w:rsidR="00CC4D74">
        <w:t>，</w:t>
      </w:r>
      <w:r w:rsidR="00B61DD6">
        <w:t>应当按照《中华人民共和国档案法》和资产评估档案管理的有关规定予以妥善保存。</w:t>
      </w:r>
    </w:p>
    <w:p w14:paraId="325BEFDB" w14:textId="688E42D2" w:rsidR="00B61DD6" w:rsidRDefault="003B2FB1" w:rsidP="00B61DD6">
      <w:pPr>
        <w:pStyle w:val="13"/>
        <w:ind w:firstLine="482"/>
      </w:pPr>
      <w:r w:rsidRPr="003B2FB1">
        <w:rPr>
          <w:rFonts w:hint="eastAsia"/>
          <w:b/>
          <w:bCs/>
        </w:rPr>
        <w:t xml:space="preserve">第三十四条 </w:t>
      </w:r>
      <w:r w:rsidR="00B61DD6">
        <w:t>财政部建立统一的备案信息管理系统。备案信息管理系统实行全国联网，并与其他相关行政管理部门实行信息共享。</w:t>
      </w:r>
    </w:p>
    <w:p w14:paraId="0C0D67EC" w14:textId="0670B5B4" w:rsidR="00B61DD6" w:rsidRDefault="003B2FB1" w:rsidP="00B61DD6">
      <w:pPr>
        <w:pStyle w:val="13"/>
        <w:ind w:firstLine="482"/>
      </w:pPr>
      <w:r w:rsidRPr="003B2FB1">
        <w:rPr>
          <w:rFonts w:hint="eastAsia"/>
          <w:b/>
          <w:bCs/>
        </w:rPr>
        <w:t xml:space="preserve">第三十五条 </w:t>
      </w:r>
      <w:r w:rsidR="00B61DD6">
        <w:t>资产评估机构未按本办法规定备案的，依法承担法律责任。</w:t>
      </w:r>
    </w:p>
    <w:p w14:paraId="79588785" w14:textId="77777777" w:rsidR="00B61DD6" w:rsidRPr="000857BB" w:rsidRDefault="00B61DD6" w:rsidP="000857BB">
      <w:pPr>
        <w:pStyle w:val="13"/>
        <w:ind w:firstLine="482"/>
        <w:jc w:val="center"/>
        <w:rPr>
          <w:b/>
          <w:bCs/>
        </w:rPr>
      </w:pPr>
      <w:r w:rsidRPr="000857BB">
        <w:rPr>
          <w:rFonts w:hint="eastAsia"/>
          <w:b/>
          <w:bCs/>
        </w:rPr>
        <w:t>第四章</w:t>
      </w:r>
      <w:r w:rsidRPr="000857BB">
        <w:rPr>
          <w:b/>
          <w:bCs/>
        </w:rPr>
        <w:t xml:space="preserve"> 资产评估协会</w:t>
      </w:r>
    </w:p>
    <w:p w14:paraId="545401C3" w14:textId="71F6B122" w:rsidR="00B61DD6" w:rsidRDefault="003B2FB1" w:rsidP="00B61DD6">
      <w:pPr>
        <w:pStyle w:val="13"/>
        <w:ind w:firstLine="482"/>
      </w:pPr>
      <w:r w:rsidRPr="003B2FB1">
        <w:rPr>
          <w:rFonts w:hint="eastAsia"/>
          <w:b/>
          <w:bCs/>
        </w:rPr>
        <w:t xml:space="preserve">第三十六条 </w:t>
      </w:r>
      <w:r w:rsidR="00B61DD6">
        <w:t>资产评估协会是资产评估机构和资产评估专业人员的自律性组织，接受有关财政部门的监督，不得损害国家利益和社会公共利益，不得损害会员的合法权益。</w:t>
      </w:r>
    </w:p>
    <w:p w14:paraId="35D466D7" w14:textId="7C46FB60" w:rsidR="00B61DD6" w:rsidRDefault="003B2FB1" w:rsidP="00B61DD6">
      <w:pPr>
        <w:pStyle w:val="13"/>
        <w:ind w:firstLine="482"/>
      </w:pPr>
      <w:r w:rsidRPr="003B2FB1">
        <w:rPr>
          <w:rFonts w:hint="eastAsia"/>
          <w:b/>
          <w:bCs/>
        </w:rPr>
        <w:t xml:space="preserve">第三十七条 </w:t>
      </w:r>
      <w:r w:rsidR="00B61DD6">
        <w:t>资产评估协会通过制定章程规范协会内部管理和活动。协会章程应当由会员代表大会制定，经登记管理机关核准后，报有关财政部门备案。</w:t>
      </w:r>
    </w:p>
    <w:p w14:paraId="307A0725" w14:textId="6B396F03" w:rsidR="00B61DD6" w:rsidRDefault="003B2FB1" w:rsidP="00B61DD6">
      <w:pPr>
        <w:pStyle w:val="13"/>
        <w:ind w:firstLine="482"/>
      </w:pPr>
      <w:r w:rsidRPr="003B2FB1">
        <w:rPr>
          <w:rFonts w:hint="eastAsia"/>
          <w:b/>
          <w:bCs/>
        </w:rPr>
        <w:t xml:space="preserve">第三十八条 </w:t>
      </w:r>
      <w:r w:rsidR="00B61DD6">
        <w:t>资产评估协会应当依法履行职责，向有关财政部门提供资产评估师信息，及时向有关财政部门报告会员信用档案、会员自律检查情况及奖惩情况。</w:t>
      </w:r>
    </w:p>
    <w:p w14:paraId="5470E364" w14:textId="63F7758C" w:rsidR="00B61DD6" w:rsidRDefault="003B2FB1" w:rsidP="00B61DD6">
      <w:pPr>
        <w:pStyle w:val="13"/>
        <w:ind w:firstLine="482"/>
      </w:pPr>
      <w:r w:rsidRPr="003B2FB1">
        <w:rPr>
          <w:rFonts w:hint="eastAsia"/>
          <w:b/>
          <w:bCs/>
        </w:rPr>
        <w:t xml:space="preserve">第三十九条 </w:t>
      </w:r>
      <w:r w:rsidR="00B61DD6">
        <w:t>资产评估协会对资产评估机构及其资产评估专业人员进行自律检查。资产评估机构及其资产评估专业人员应当配合资产评估协会组织实施的自律检查。</w:t>
      </w:r>
    </w:p>
    <w:p w14:paraId="09D06213" w14:textId="77777777" w:rsidR="00B61DD6" w:rsidRDefault="00B61DD6" w:rsidP="00B61DD6">
      <w:pPr>
        <w:pStyle w:val="13"/>
      </w:pPr>
      <w:r>
        <w:rPr>
          <w:rFonts w:hint="eastAsia"/>
        </w:rPr>
        <w:t>资产评估协会应当重点检查资产评估机构及其资产评估专业人员的执业质量和职业风险防范机制。</w:t>
      </w:r>
    </w:p>
    <w:p w14:paraId="1A4F3837" w14:textId="4C7182E4" w:rsidR="00B61DD6" w:rsidRDefault="003B2FB1" w:rsidP="00B61DD6">
      <w:pPr>
        <w:pStyle w:val="13"/>
        <w:ind w:firstLine="482"/>
      </w:pPr>
      <w:r w:rsidRPr="003B2FB1">
        <w:rPr>
          <w:rFonts w:hint="eastAsia"/>
          <w:b/>
          <w:bCs/>
        </w:rPr>
        <w:t xml:space="preserve">第四十条 </w:t>
      </w:r>
      <w:r w:rsidR="00B61DD6">
        <w:t>资产评估协会应当结合自律检查工作，对资产评估机构及其分支机构按照本办法第二十二条规定报送的材料进行分析，发现不符合法律、行政法规和本办法规定的情况，及时向有关财政部门报告。</w:t>
      </w:r>
    </w:p>
    <w:p w14:paraId="6C2C4A21" w14:textId="7D06F431" w:rsidR="00B61DD6" w:rsidRDefault="003B2FB1" w:rsidP="00B61DD6">
      <w:pPr>
        <w:pStyle w:val="13"/>
        <w:ind w:firstLine="482"/>
      </w:pPr>
      <w:r w:rsidRPr="003B2FB1">
        <w:rPr>
          <w:rFonts w:hint="eastAsia"/>
          <w:b/>
          <w:bCs/>
        </w:rPr>
        <w:t xml:space="preserve">第四十一条 </w:t>
      </w:r>
      <w:r w:rsidR="00B61DD6">
        <w:t>资产评估协会应当与其他评估专业领域行业协会加强沟通协作</w:t>
      </w:r>
      <w:r w:rsidR="00CC4D74">
        <w:t>，</w:t>
      </w:r>
      <w:r w:rsidR="00B61DD6">
        <w:t>建</w:t>
      </w:r>
      <w:r w:rsidR="00B61DD6">
        <w:lastRenderedPageBreak/>
        <w:t>立会员、执业、惩戒等相关信息的共享机制。</w:t>
      </w:r>
    </w:p>
    <w:p w14:paraId="7A24BE02" w14:textId="77777777" w:rsidR="00B61DD6" w:rsidRDefault="00B61DD6" w:rsidP="00B61DD6">
      <w:pPr>
        <w:pStyle w:val="13"/>
      </w:pPr>
      <w:r>
        <w:rPr>
          <w:rFonts w:hint="eastAsia"/>
        </w:rPr>
        <w:t>中国资产评估协会应当会同其他评估专业领域行业协会根据需要制定共同的行为规范，促进评估行业健康有序发展。</w:t>
      </w:r>
    </w:p>
    <w:p w14:paraId="6E9A53D3" w14:textId="77777777" w:rsidR="00B61DD6" w:rsidRDefault="00B61DD6" w:rsidP="00AF7342">
      <w:pPr>
        <w:pStyle w:val="a9"/>
        <w:spacing w:before="62" w:after="62"/>
      </w:pPr>
      <w:r>
        <w:rPr>
          <w:rFonts w:hint="eastAsia"/>
        </w:rPr>
        <w:t>第五章</w:t>
      </w:r>
      <w:r>
        <w:t xml:space="preserve"> 监督检查</w:t>
      </w:r>
    </w:p>
    <w:p w14:paraId="2801D672" w14:textId="0A5E4435" w:rsidR="00B61DD6" w:rsidRDefault="003B2FB1" w:rsidP="00B61DD6">
      <w:pPr>
        <w:pStyle w:val="13"/>
        <w:ind w:firstLine="482"/>
      </w:pPr>
      <w:r w:rsidRPr="003B2FB1">
        <w:rPr>
          <w:rFonts w:hint="eastAsia"/>
          <w:b/>
          <w:bCs/>
        </w:rPr>
        <w:t xml:space="preserve">第四十二条 </w:t>
      </w:r>
      <w:r w:rsidR="00B61DD6">
        <w:t>财政部统一部署对资产评估行业的监督检查，主要负责以下工作：</w:t>
      </w:r>
    </w:p>
    <w:p w14:paraId="698C9786" w14:textId="77777777" w:rsidR="00B61DD6" w:rsidRDefault="00B61DD6" w:rsidP="00B61DD6">
      <w:pPr>
        <w:pStyle w:val="13"/>
      </w:pPr>
      <w:r>
        <w:rPr>
          <w:rFonts w:hint="eastAsia"/>
        </w:rPr>
        <w:t>（一）制定资产评估专业人员、资产评估机构、资产评估协会和相关资产评估业务监督检查的具体办法；</w:t>
      </w:r>
    </w:p>
    <w:p w14:paraId="519DCDCA" w14:textId="77777777" w:rsidR="00B61DD6" w:rsidRDefault="00B61DD6" w:rsidP="00B61DD6">
      <w:pPr>
        <w:pStyle w:val="13"/>
      </w:pPr>
      <w:r>
        <w:rPr>
          <w:rFonts w:hint="eastAsia"/>
        </w:rPr>
        <w:t>（二）组织开展资产评估执业质量专项检查；</w:t>
      </w:r>
    </w:p>
    <w:p w14:paraId="2DEC9D9E" w14:textId="77777777" w:rsidR="00B61DD6" w:rsidRDefault="00B61DD6" w:rsidP="00B61DD6">
      <w:pPr>
        <w:pStyle w:val="13"/>
      </w:pPr>
      <w:r>
        <w:rPr>
          <w:rFonts w:hint="eastAsia"/>
        </w:rPr>
        <w:t>（三）监督检查资产评估机构从事证券期货相关资产评估业务情况；</w:t>
      </w:r>
    </w:p>
    <w:p w14:paraId="69678B11" w14:textId="2BBAAD8E" w:rsidR="00B61DD6" w:rsidRDefault="00B61DD6" w:rsidP="00B61DD6">
      <w:pPr>
        <w:pStyle w:val="13"/>
      </w:pPr>
      <w:r>
        <w:rPr>
          <w:rFonts w:hint="eastAsia"/>
        </w:rPr>
        <w:t>（四）检查中国资产评估协会履行资产评估法第三十六条规定的职责情况</w:t>
      </w:r>
      <w:r w:rsidR="00CC4D74">
        <w:rPr>
          <w:rFonts w:hint="eastAsia"/>
        </w:rPr>
        <w:t>，</w:t>
      </w:r>
      <w:r>
        <w:t>并根据工作需要，对地方资产评估协会履行职责情况进行抽查；</w:t>
      </w:r>
    </w:p>
    <w:p w14:paraId="444EEEC1" w14:textId="77777777" w:rsidR="00B61DD6" w:rsidRDefault="00B61DD6" w:rsidP="00B61DD6">
      <w:pPr>
        <w:pStyle w:val="13"/>
      </w:pPr>
      <w:r>
        <w:rPr>
          <w:rFonts w:hint="eastAsia"/>
        </w:rPr>
        <w:t>（五）指导和督促地方财政部门对资产评估行业的监督检查，并对其检查情况予以抽查。</w:t>
      </w:r>
    </w:p>
    <w:p w14:paraId="232A4B51" w14:textId="77777777" w:rsidR="00B61DD6" w:rsidRDefault="00B61DD6" w:rsidP="00B61DD6">
      <w:pPr>
        <w:pStyle w:val="13"/>
      </w:pPr>
      <w:r>
        <w:rPr>
          <w:rFonts w:hint="eastAsia"/>
        </w:rPr>
        <w:t>对本条第一款第三项进行监督检查，必要时，财政部可以会同其他有关部门进行。</w:t>
      </w:r>
    </w:p>
    <w:p w14:paraId="289816CD" w14:textId="57F3401E" w:rsidR="00B61DD6" w:rsidRDefault="003B2FB1" w:rsidP="00B61DD6">
      <w:pPr>
        <w:pStyle w:val="13"/>
        <w:ind w:firstLine="482"/>
      </w:pPr>
      <w:r w:rsidRPr="003B2FB1">
        <w:rPr>
          <w:rFonts w:hint="eastAsia"/>
          <w:b/>
          <w:bCs/>
        </w:rPr>
        <w:t xml:space="preserve">第四十三条 </w:t>
      </w:r>
      <w:r w:rsidR="00B61DD6">
        <w:t>省级财政部门开展监督检查，包括年度检查和必要的专项检查</w:t>
      </w:r>
      <w:r w:rsidR="00CC4D74">
        <w:t>，</w:t>
      </w:r>
      <w:r w:rsidR="00B61DD6">
        <w:t>对本行政区域内资产评估机构包括分支机构下列内容进行重点检查，并将检查结果予以公开，同时向财政部报告：</w:t>
      </w:r>
    </w:p>
    <w:p w14:paraId="6DAF8F09" w14:textId="77777777" w:rsidR="00B61DD6" w:rsidRDefault="00B61DD6" w:rsidP="00B61DD6">
      <w:pPr>
        <w:pStyle w:val="13"/>
      </w:pPr>
      <w:r>
        <w:rPr>
          <w:rFonts w:hint="eastAsia"/>
        </w:rPr>
        <w:t>（一）资产评估机构持续符合资产评估法第十五条规定条件的情况；</w:t>
      </w:r>
    </w:p>
    <w:p w14:paraId="030F40F0" w14:textId="77777777" w:rsidR="00B61DD6" w:rsidRDefault="00B61DD6" w:rsidP="00B61DD6">
      <w:pPr>
        <w:pStyle w:val="13"/>
      </w:pPr>
      <w:r>
        <w:rPr>
          <w:rFonts w:hint="eastAsia"/>
        </w:rPr>
        <w:t>（二）办理备案情况；</w:t>
      </w:r>
    </w:p>
    <w:p w14:paraId="7B3AE39E" w14:textId="77777777" w:rsidR="00B61DD6" w:rsidRDefault="00B61DD6" w:rsidP="00B61DD6">
      <w:pPr>
        <w:pStyle w:val="13"/>
      </w:pPr>
      <w:r>
        <w:rPr>
          <w:rFonts w:hint="eastAsia"/>
        </w:rPr>
        <w:t>（三）资产评估执业质量情况。</w:t>
      </w:r>
    </w:p>
    <w:p w14:paraId="1D3B1997" w14:textId="77777777" w:rsidR="00B61DD6" w:rsidRDefault="00B61DD6" w:rsidP="00B61DD6">
      <w:pPr>
        <w:pStyle w:val="13"/>
      </w:pPr>
      <w:r>
        <w:rPr>
          <w:rFonts w:hint="eastAsia"/>
        </w:rPr>
        <w:t>对本条第一款第一项进行检查，必要时，有关财政部门可以会同其他相关评估行政管理部门进行。</w:t>
      </w:r>
    </w:p>
    <w:p w14:paraId="7F5183B4" w14:textId="447D1441" w:rsidR="00B61DD6" w:rsidRDefault="003B2FB1" w:rsidP="00B61DD6">
      <w:pPr>
        <w:pStyle w:val="13"/>
        <w:ind w:firstLine="482"/>
      </w:pPr>
      <w:r w:rsidRPr="003B2FB1">
        <w:rPr>
          <w:rFonts w:hint="eastAsia"/>
          <w:b/>
          <w:bCs/>
        </w:rPr>
        <w:t xml:space="preserve">第四十四条 </w:t>
      </w:r>
      <w:r w:rsidR="00B61DD6">
        <w:t>省级财政部门对地方资产评估协会实施监督检查，并将检查情况向财政部汇报，重点检查资产评估协会履行以下职责情况：</w:t>
      </w:r>
    </w:p>
    <w:p w14:paraId="75368606" w14:textId="77777777" w:rsidR="00B61DD6" w:rsidRDefault="00B61DD6" w:rsidP="00B61DD6">
      <w:pPr>
        <w:pStyle w:val="13"/>
      </w:pPr>
      <w:r>
        <w:rPr>
          <w:rFonts w:hint="eastAsia"/>
        </w:rPr>
        <w:t>（一）地方资产评估协会章程的制定、修改情况；</w:t>
      </w:r>
    </w:p>
    <w:p w14:paraId="47C09B46" w14:textId="77777777" w:rsidR="00B61DD6" w:rsidRDefault="00B61DD6" w:rsidP="00B61DD6">
      <w:pPr>
        <w:pStyle w:val="13"/>
      </w:pPr>
      <w:r>
        <w:rPr>
          <w:rFonts w:hint="eastAsia"/>
        </w:rPr>
        <w:t>（二）指导会员落实准则情况；</w:t>
      </w:r>
    </w:p>
    <w:p w14:paraId="4311B973" w14:textId="77777777" w:rsidR="00B61DD6" w:rsidRDefault="00B61DD6" w:rsidP="00B61DD6">
      <w:pPr>
        <w:pStyle w:val="13"/>
      </w:pPr>
      <w:r>
        <w:rPr>
          <w:rFonts w:hint="eastAsia"/>
        </w:rPr>
        <w:t>（三）检查会员执业质量情况；</w:t>
      </w:r>
    </w:p>
    <w:p w14:paraId="1A0455A2" w14:textId="77777777" w:rsidR="00B61DD6" w:rsidRDefault="00B61DD6" w:rsidP="00B61DD6">
      <w:pPr>
        <w:pStyle w:val="13"/>
      </w:pPr>
      <w:r>
        <w:rPr>
          <w:rFonts w:hint="eastAsia"/>
        </w:rPr>
        <w:t>（四）开展会员继续教育、信用档案、风险防范等情况；</w:t>
      </w:r>
    </w:p>
    <w:p w14:paraId="3355EE0F" w14:textId="77777777" w:rsidR="00B61DD6" w:rsidRDefault="00B61DD6" w:rsidP="00B61DD6">
      <w:pPr>
        <w:pStyle w:val="13"/>
      </w:pPr>
      <w:r>
        <w:rPr>
          <w:rFonts w:hint="eastAsia"/>
        </w:rPr>
        <w:t>（五）机构会员年度信息管理情况。</w:t>
      </w:r>
    </w:p>
    <w:p w14:paraId="023D939B" w14:textId="2BBBEA55" w:rsidR="00B61DD6" w:rsidRDefault="003B2FB1" w:rsidP="00B61DD6">
      <w:pPr>
        <w:pStyle w:val="13"/>
        <w:ind w:firstLine="482"/>
      </w:pPr>
      <w:r w:rsidRPr="003B2FB1">
        <w:rPr>
          <w:rFonts w:hint="eastAsia"/>
          <w:b/>
          <w:bCs/>
        </w:rPr>
        <w:t xml:space="preserve">第四十五条 </w:t>
      </w:r>
      <w:r w:rsidR="00B61DD6">
        <w:t>财政部门开展资产评估行业监督检查，应当由本部门两名以上</w:t>
      </w:r>
      <w:r w:rsidR="00B61DD6">
        <w:rPr>
          <w:rFonts w:hint="eastAsia"/>
        </w:rPr>
        <w:t>执法人员组成检查组。具体按照财政检查工作的有关规定执行。</w:t>
      </w:r>
    </w:p>
    <w:p w14:paraId="0F54608D" w14:textId="766F3610" w:rsidR="00B61DD6" w:rsidRDefault="003B2FB1" w:rsidP="00B61DD6">
      <w:pPr>
        <w:pStyle w:val="13"/>
        <w:ind w:firstLine="482"/>
      </w:pPr>
      <w:r w:rsidRPr="003B2FB1">
        <w:rPr>
          <w:rFonts w:hint="eastAsia"/>
          <w:b/>
          <w:bCs/>
        </w:rPr>
        <w:t xml:space="preserve">第四十六条 </w:t>
      </w:r>
      <w:r w:rsidR="00B61DD6">
        <w:t>检查时，财政部门认定虚假资产评估报告和重大遗漏资产评估报告，应当以资产评估准则为依据，组织相关专家进行专业技术论证，也可以委托资产评估</w:t>
      </w:r>
      <w:r w:rsidR="00B61DD6">
        <w:lastRenderedPageBreak/>
        <w:t>协会组织专家提供专业技术支持。</w:t>
      </w:r>
    </w:p>
    <w:p w14:paraId="3308C064" w14:textId="53942E45" w:rsidR="00B61DD6" w:rsidRDefault="003B2FB1" w:rsidP="00B61DD6">
      <w:pPr>
        <w:pStyle w:val="13"/>
        <w:ind w:firstLine="482"/>
      </w:pPr>
      <w:r w:rsidRPr="003B2FB1">
        <w:rPr>
          <w:rFonts w:hint="eastAsia"/>
          <w:b/>
          <w:bCs/>
        </w:rPr>
        <w:t xml:space="preserve">第四十七条 </w:t>
      </w:r>
      <w:r w:rsidR="00B61DD6">
        <w:t>检查过程中，财政部和省级财政部门发现资产评估专业人员、资产评估机构和资产评估协会存在违法情形的，应当依照资产评估法等法律、行政法规和本办法的规定处理、处罚。涉嫌犯罪的，移送司法机关处理。</w:t>
      </w:r>
    </w:p>
    <w:p w14:paraId="71C98B86" w14:textId="77777777" w:rsidR="00B61DD6" w:rsidRDefault="00B61DD6" w:rsidP="00B61DD6">
      <w:pPr>
        <w:pStyle w:val="13"/>
      </w:pPr>
      <w:r>
        <w:rPr>
          <w:rFonts w:hint="eastAsia"/>
        </w:rPr>
        <w:t>当事人对行政处理、行政处罚决定不服的，可以依法申请行政复议或者提起行政诉讼。</w:t>
      </w:r>
    </w:p>
    <w:p w14:paraId="5BFA93A8" w14:textId="77777777" w:rsidR="00B61DD6" w:rsidRDefault="00B61DD6" w:rsidP="00AF7342">
      <w:pPr>
        <w:pStyle w:val="a9"/>
        <w:spacing w:before="62" w:after="62"/>
      </w:pPr>
      <w:r>
        <w:rPr>
          <w:rFonts w:hint="eastAsia"/>
        </w:rPr>
        <w:t>第六章</w:t>
      </w:r>
      <w:r>
        <w:t xml:space="preserve"> 调查处理</w:t>
      </w:r>
    </w:p>
    <w:p w14:paraId="36FF772A" w14:textId="104805F5" w:rsidR="00B61DD6" w:rsidRDefault="00B61DD6" w:rsidP="00B61DD6">
      <w:pPr>
        <w:pStyle w:val="13"/>
        <w:ind w:firstLine="482"/>
      </w:pPr>
      <w:r w:rsidRPr="00B61DD6">
        <w:rPr>
          <w:rFonts w:hint="eastAsia"/>
          <w:b/>
          <w:bCs/>
        </w:rPr>
        <w:t>第四十八</w:t>
      </w:r>
      <w:r w:rsidR="00793E5D">
        <w:rPr>
          <w:rFonts w:hint="eastAsia"/>
          <w:b/>
          <w:bCs/>
        </w:rPr>
        <w:t xml:space="preserve">条 </w:t>
      </w:r>
      <w:r>
        <w:t>资产评估委托人或资产评估报告使用人对资产评估机构或资产评估专业人员的下列行为，可以向对该资产评估机构备案的省级财政部门进行投诉、举报，其他公民、法人或其他组织可以向对该资产评估机构备案的省级财政部门举报：</w:t>
      </w:r>
    </w:p>
    <w:p w14:paraId="018B45A7" w14:textId="77777777" w:rsidR="00B61DD6" w:rsidRDefault="00B61DD6" w:rsidP="00B61DD6">
      <w:pPr>
        <w:pStyle w:val="13"/>
      </w:pPr>
      <w:r>
        <w:rPr>
          <w:rFonts w:hint="eastAsia"/>
        </w:rPr>
        <w:t>（一）违法开展法定资产评估业务的；</w:t>
      </w:r>
    </w:p>
    <w:p w14:paraId="56FBBE68" w14:textId="77777777" w:rsidR="00B61DD6" w:rsidRDefault="00B61DD6" w:rsidP="00B61DD6">
      <w:pPr>
        <w:pStyle w:val="13"/>
      </w:pPr>
      <w:r>
        <w:rPr>
          <w:rFonts w:hint="eastAsia"/>
        </w:rPr>
        <w:t>（二）资产评估专业人员违反资产评估法第十四条规定的；</w:t>
      </w:r>
    </w:p>
    <w:p w14:paraId="12C4721A" w14:textId="77777777" w:rsidR="00B61DD6" w:rsidRDefault="00B61DD6" w:rsidP="00B61DD6">
      <w:pPr>
        <w:pStyle w:val="13"/>
      </w:pPr>
      <w:r>
        <w:rPr>
          <w:rFonts w:hint="eastAsia"/>
        </w:rPr>
        <w:t>（三）资产评估机构未按照本办法规定备案或备案后未持续符合资产评估法第十五条规定条件的；</w:t>
      </w:r>
    </w:p>
    <w:p w14:paraId="155A17FB" w14:textId="77777777" w:rsidR="00B61DD6" w:rsidRDefault="00B61DD6" w:rsidP="00B61DD6">
      <w:pPr>
        <w:pStyle w:val="13"/>
      </w:pPr>
      <w:r>
        <w:rPr>
          <w:rFonts w:hint="eastAsia"/>
        </w:rPr>
        <w:t>（四）资产评估机构违反资产评估法第二十条规定的；</w:t>
      </w:r>
    </w:p>
    <w:p w14:paraId="3C56A511" w14:textId="77777777" w:rsidR="00B61DD6" w:rsidRDefault="00B61DD6" w:rsidP="00B61DD6">
      <w:pPr>
        <w:pStyle w:val="13"/>
      </w:pPr>
      <w:r>
        <w:rPr>
          <w:rFonts w:hint="eastAsia"/>
        </w:rPr>
        <w:t>（五）资产评估机构违反本办法第十六条规定的；</w:t>
      </w:r>
    </w:p>
    <w:p w14:paraId="63074F72" w14:textId="77777777" w:rsidR="00B61DD6" w:rsidRDefault="00B61DD6" w:rsidP="00B61DD6">
      <w:pPr>
        <w:pStyle w:val="13"/>
      </w:pPr>
      <w:r>
        <w:rPr>
          <w:rFonts w:hint="eastAsia"/>
        </w:rPr>
        <w:t>（六）资产评估机构违反本办法第二十条第二款规定的。</w:t>
      </w:r>
    </w:p>
    <w:p w14:paraId="2A7FB330" w14:textId="77777777" w:rsidR="00B61DD6" w:rsidRDefault="00B61DD6" w:rsidP="00B61DD6">
      <w:pPr>
        <w:pStyle w:val="13"/>
      </w:pPr>
      <w:r>
        <w:rPr>
          <w:rFonts w:hint="eastAsia"/>
        </w:rPr>
        <w:t>资产评估委托人或资产评估报告使用人投诉、举报资产评估机构出具虚假资产评估报告或者重大遗漏的资产评估报告的，可以先与资产评估机构进行沟通。</w:t>
      </w:r>
    </w:p>
    <w:p w14:paraId="000A0C10" w14:textId="010326C0" w:rsidR="00B61DD6" w:rsidRDefault="00B61DD6" w:rsidP="00B61DD6">
      <w:pPr>
        <w:pStyle w:val="13"/>
        <w:ind w:firstLine="482"/>
      </w:pPr>
      <w:r w:rsidRPr="00B61DD6">
        <w:rPr>
          <w:rFonts w:hint="eastAsia"/>
          <w:b/>
          <w:bCs/>
        </w:rPr>
        <w:t>第四十九</w:t>
      </w:r>
      <w:r w:rsidR="00793E5D">
        <w:rPr>
          <w:rFonts w:hint="eastAsia"/>
          <w:b/>
          <w:bCs/>
        </w:rPr>
        <w:t xml:space="preserve">条 </w:t>
      </w:r>
      <w:r>
        <w:t>在法定资产评估业务中，委托人或被评估单位有资产评估法第五十二条规定行为的，资产评估的相关当事人可以向委托人或被评估单位所在地省级财政部门进行投诉、举报，其他公民、法人或其他组织可以向委托人或被评估单位所在地省级财政部门举报。</w:t>
      </w:r>
    </w:p>
    <w:p w14:paraId="262D2080" w14:textId="3AB1DB81" w:rsidR="00B61DD6" w:rsidRDefault="00B61DD6" w:rsidP="00B61DD6">
      <w:pPr>
        <w:pStyle w:val="13"/>
      </w:pPr>
      <w:r>
        <w:rPr>
          <w:rFonts w:hint="eastAsia"/>
        </w:rPr>
        <w:t>由于委托人或被评估单位的行政管理层级不匹配或存在其他原因超出省级财政部门处理权限的，省级财政部门可以申请由财政部受理。</w:t>
      </w:r>
    </w:p>
    <w:p w14:paraId="2C449B9A" w14:textId="77777777" w:rsidR="00B61DD6" w:rsidRDefault="00B61DD6" w:rsidP="00B61DD6">
      <w:pPr>
        <w:pStyle w:val="13"/>
      </w:pPr>
      <w:r>
        <w:rPr>
          <w:rFonts w:hint="eastAsia"/>
        </w:rPr>
        <w:t>向财政部门投诉、举报事项涉及资产评估机构从事证券期货相关资产评估业务的，由财政部受理。</w:t>
      </w:r>
    </w:p>
    <w:p w14:paraId="5F123943" w14:textId="1A1088D5" w:rsidR="00B61DD6" w:rsidRDefault="00B61DD6" w:rsidP="00B61DD6">
      <w:pPr>
        <w:pStyle w:val="13"/>
        <w:ind w:firstLine="482"/>
      </w:pPr>
      <w:r w:rsidRPr="00B61DD6">
        <w:rPr>
          <w:rFonts w:hint="eastAsia"/>
          <w:b/>
          <w:bCs/>
        </w:rPr>
        <w:t>第五十</w:t>
      </w:r>
      <w:r w:rsidR="00793E5D">
        <w:rPr>
          <w:rFonts w:hint="eastAsia"/>
          <w:b/>
          <w:bCs/>
        </w:rPr>
        <w:t xml:space="preserve">条 </w:t>
      </w:r>
      <w:r>
        <w:t>投诉、举报应当通过书面形式实名进行，并如实反映情况，提供相关证明材料。</w:t>
      </w:r>
    </w:p>
    <w:p w14:paraId="592BA2C5" w14:textId="3E6A8386" w:rsidR="00B61DD6" w:rsidRDefault="00B61DD6" w:rsidP="00B61DD6">
      <w:pPr>
        <w:pStyle w:val="13"/>
        <w:ind w:firstLine="482"/>
      </w:pPr>
      <w:r w:rsidRPr="00B61DD6">
        <w:rPr>
          <w:rFonts w:hint="eastAsia"/>
          <w:b/>
          <w:bCs/>
        </w:rPr>
        <w:t>第五十一</w:t>
      </w:r>
      <w:r w:rsidR="00793E5D">
        <w:rPr>
          <w:rFonts w:hint="eastAsia"/>
          <w:b/>
          <w:bCs/>
        </w:rPr>
        <w:t xml:space="preserve">条 </w:t>
      </w:r>
      <w:r>
        <w:t xml:space="preserve">财政部门接到投诉、举报的事项，应当在 15 </w:t>
      </w:r>
      <w:proofErr w:type="gramStart"/>
      <w:r>
        <w:t>个</w:t>
      </w:r>
      <w:proofErr w:type="gramEnd"/>
      <w:r>
        <w:t>工作日内</w:t>
      </w:r>
      <w:proofErr w:type="gramStart"/>
      <w:r>
        <w:t>作出</w:t>
      </w:r>
      <w:proofErr w:type="gramEnd"/>
      <w:r>
        <w:t>是否受理的书面决定。投诉、举报事项属于财政部门职责的，财政部门应当予以受理。不予受理的，应当说明理由，及时告知实名投诉人、举报人。</w:t>
      </w:r>
    </w:p>
    <w:p w14:paraId="7A103AD3" w14:textId="3878AB5F" w:rsidR="00B61DD6" w:rsidRDefault="00B61DD6" w:rsidP="00B61DD6">
      <w:pPr>
        <w:pStyle w:val="13"/>
        <w:ind w:firstLine="482"/>
      </w:pPr>
      <w:r w:rsidRPr="00B61DD6">
        <w:rPr>
          <w:rFonts w:hint="eastAsia"/>
          <w:b/>
          <w:bCs/>
        </w:rPr>
        <w:t>第五十二</w:t>
      </w:r>
      <w:r w:rsidR="00793E5D">
        <w:rPr>
          <w:rFonts w:hint="eastAsia"/>
          <w:b/>
          <w:bCs/>
        </w:rPr>
        <w:t xml:space="preserve">条 </w:t>
      </w:r>
      <w:r>
        <w:t>投诉、举报事项属于下列情形的，财政部门不予受理：</w:t>
      </w:r>
    </w:p>
    <w:p w14:paraId="5BADB9FF" w14:textId="77777777" w:rsidR="00B61DD6" w:rsidRDefault="00B61DD6" w:rsidP="00B61DD6">
      <w:pPr>
        <w:pStyle w:val="13"/>
      </w:pPr>
      <w:r>
        <w:rPr>
          <w:rFonts w:hint="eastAsia"/>
        </w:rPr>
        <w:t>（一）投诉、举报事项不属于财政部门职责的；</w:t>
      </w:r>
    </w:p>
    <w:p w14:paraId="32C54387" w14:textId="77777777" w:rsidR="00B61DD6" w:rsidRDefault="00B61DD6" w:rsidP="00B61DD6">
      <w:pPr>
        <w:pStyle w:val="13"/>
      </w:pPr>
      <w:r>
        <w:rPr>
          <w:rFonts w:hint="eastAsia"/>
        </w:rPr>
        <w:lastRenderedPageBreak/>
        <w:t>（二）已由公安机关、检察机关立案调查或者进入司法程序的；</w:t>
      </w:r>
    </w:p>
    <w:p w14:paraId="54BC6E5B" w14:textId="77777777" w:rsidR="00B61DD6" w:rsidRDefault="00B61DD6" w:rsidP="00B61DD6">
      <w:pPr>
        <w:pStyle w:val="13"/>
      </w:pPr>
      <w:r>
        <w:rPr>
          <w:rFonts w:hint="eastAsia"/>
        </w:rPr>
        <w:t>（三）属于资产评估协会自律管理的。</w:t>
      </w:r>
    </w:p>
    <w:p w14:paraId="5BE26A81" w14:textId="77777777" w:rsidR="00B61DD6" w:rsidRDefault="00B61DD6" w:rsidP="00B61DD6">
      <w:pPr>
        <w:pStyle w:val="13"/>
      </w:pPr>
      <w:r>
        <w:rPr>
          <w:rFonts w:hint="eastAsia"/>
        </w:rPr>
        <w:t>投诉人、举报人就同一事项向财政部门和资产评估协会投诉、举报的，财政部门按照本办法第五十一条和本条第一款的规定处理。</w:t>
      </w:r>
    </w:p>
    <w:p w14:paraId="181CC1B7" w14:textId="7AA2D5D5" w:rsidR="00B61DD6" w:rsidRDefault="00B61DD6" w:rsidP="00B61DD6">
      <w:pPr>
        <w:pStyle w:val="13"/>
        <w:ind w:firstLine="482"/>
      </w:pPr>
      <w:r w:rsidRPr="00B61DD6">
        <w:rPr>
          <w:rFonts w:hint="eastAsia"/>
          <w:b/>
          <w:bCs/>
        </w:rPr>
        <w:t>第五十三</w:t>
      </w:r>
      <w:r w:rsidR="00793E5D">
        <w:rPr>
          <w:rFonts w:hint="eastAsia"/>
          <w:b/>
          <w:bCs/>
        </w:rPr>
        <w:t xml:space="preserve">条 </w:t>
      </w:r>
      <w:r>
        <w:t>财政部门受理投诉、举报，应当采用书面审查的方式及时进行处理，必要时可以成立由本部门两名以上执法人员和聘用的专家组成的调查组</w:t>
      </w:r>
      <w:r w:rsidR="00CC4D74">
        <w:t>，</w:t>
      </w:r>
      <w:r>
        <w:t>进行调查取证。有关当事人应当如实反映情况，提供相关材料。</w:t>
      </w:r>
    </w:p>
    <w:p w14:paraId="22403DB5" w14:textId="77777777" w:rsidR="00B61DD6" w:rsidRDefault="00B61DD6" w:rsidP="00B61DD6">
      <w:pPr>
        <w:pStyle w:val="13"/>
      </w:pPr>
      <w:r>
        <w:rPr>
          <w:rFonts w:hint="eastAsia"/>
        </w:rPr>
        <w:t>调查组成员与当事人有直接利害关系的，应当回避；对调查工作中知悉的国家秘密和商业秘密，应当保密。</w:t>
      </w:r>
    </w:p>
    <w:p w14:paraId="158C1363" w14:textId="77777777" w:rsidR="00B61DD6" w:rsidRDefault="00B61DD6" w:rsidP="00B61DD6">
      <w:pPr>
        <w:pStyle w:val="13"/>
      </w:pPr>
      <w:r>
        <w:rPr>
          <w:rFonts w:hint="eastAsia"/>
        </w:rPr>
        <w:t>受理的投诉、举报事项同时涉及其他行政管理部门职责的，应当会同其他行政管理部门进行处理。</w:t>
      </w:r>
    </w:p>
    <w:p w14:paraId="39D06D25" w14:textId="0DC1EC4C" w:rsidR="00B61DD6" w:rsidRDefault="00B61DD6" w:rsidP="00B61DD6">
      <w:pPr>
        <w:pStyle w:val="13"/>
        <w:ind w:firstLine="482"/>
      </w:pPr>
      <w:r w:rsidRPr="00B61DD6">
        <w:rPr>
          <w:rFonts w:hint="eastAsia"/>
          <w:b/>
          <w:bCs/>
        </w:rPr>
        <w:t>第五十四</w:t>
      </w:r>
      <w:r w:rsidR="00793E5D">
        <w:rPr>
          <w:rFonts w:hint="eastAsia"/>
          <w:b/>
          <w:bCs/>
        </w:rPr>
        <w:t xml:space="preserve">条 </w:t>
      </w:r>
      <w:r>
        <w:t>对投诉、举报的调查，调查组有权进入被投诉举报单位现场调查，查阅、复印有关凭证、文件等资料，询问被投诉举报单位有关人员，必要时按照资产评估业务延伸调查，并将调查内容与事项予以记录和摘录，编制调查工作底稿。</w:t>
      </w:r>
    </w:p>
    <w:p w14:paraId="0BF7F66B" w14:textId="77777777" w:rsidR="00B61DD6" w:rsidRDefault="00B61DD6" w:rsidP="00B61DD6">
      <w:pPr>
        <w:pStyle w:val="13"/>
      </w:pPr>
      <w:r>
        <w:rPr>
          <w:rFonts w:hint="eastAsia"/>
        </w:rPr>
        <w:t>调查组在调查中取得的证据、材料以及工作底稿，应当有提供者或者被调查人的签名或者盖章。未取得提供者或者被调查人签名或者盖章的材料，调查组应当注明原因。</w:t>
      </w:r>
    </w:p>
    <w:p w14:paraId="6BB88DB7" w14:textId="150BC9E6" w:rsidR="00B61DD6" w:rsidRDefault="00B61DD6" w:rsidP="00B61DD6">
      <w:pPr>
        <w:pStyle w:val="13"/>
        <w:ind w:firstLine="482"/>
      </w:pPr>
      <w:r w:rsidRPr="00B61DD6">
        <w:rPr>
          <w:rFonts w:hint="eastAsia"/>
          <w:b/>
          <w:bCs/>
        </w:rPr>
        <w:t>第五十五</w:t>
      </w:r>
      <w:r w:rsidR="00793E5D">
        <w:rPr>
          <w:rFonts w:hint="eastAsia"/>
          <w:b/>
          <w:bCs/>
        </w:rPr>
        <w:t xml:space="preserve">条 </w:t>
      </w:r>
      <w:r>
        <w:t xml:space="preserve">在有关证据可能灭失或者以后难以取得的情况下，经财政部门负责人批准，调查组可以先行登记保存，并应当在 7 </w:t>
      </w:r>
      <w:proofErr w:type="gramStart"/>
      <w:r>
        <w:t>个</w:t>
      </w:r>
      <w:proofErr w:type="gramEnd"/>
      <w:r>
        <w:t>工作日内及时</w:t>
      </w:r>
      <w:proofErr w:type="gramStart"/>
      <w:r>
        <w:t>作出</w:t>
      </w:r>
      <w:proofErr w:type="gramEnd"/>
      <w:r>
        <w:t>处理决定。被调查人或者有关人员不得销毁或者转移证据。</w:t>
      </w:r>
    </w:p>
    <w:p w14:paraId="222189BD" w14:textId="2ACB6501" w:rsidR="00B61DD6" w:rsidRDefault="00B61DD6" w:rsidP="00B61DD6">
      <w:pPr>
        <w:pStyle w:val="13"/>
        <w:ind w:firstLine="482"/>
      </w:pPr>
      <w:r w:rsidRPr="00B61DD6">
        <w:rPr>
          <w:rFonts w:hint="eastAsia"/>
          <w:b/>
          <w:bCs/>
        </w:rPr>
        <w:t>第五十六</w:t>
      </w:r>
      <w:r w:rsidR="00793E5D">
        <w:rPr>
          <w:rFonts w:hint="eastAsia"/>
          <w:b/>
          <w:bCs/>
        </w:rPr>
        <w:t xml:space="preserve">条 </w:t>
      </w:r>
      <w:r>
        <w:t>针对资产评估协会的投诉、举报，财政部和省级财政部门应当及时调查处理。</w:t>
      </w:r>
    </w:p>
    <w:p w14:paraId="7BADCCA2" w14:textId="78F1B063" w:rsidR="00B61DD6" w:rsidRDefault="00B61DD6" w:rsidP="00B61DD6">
      <w:pPr>
        <w:pStyle w:val="13"/>
        <w:ind w:firstLine="482"/>
      </w:pPr>
      <w:r w:rsidRPr="00B61DD6">
        <w:rPr>
          <w:rFonts w:hint="eastAsia"/>
          <w:b/>
          <w:bCs/>
        </w:rPr>
        <w:t>第五十七</w:t>
      </w:r>
      <w:r w:rsidR="00793E5D">
        <w:rPr>
          <w:rFonts w:hint="eastAsia"/>
          <w:b/>
          <w:bCs/>
        </w:rPr>
        <w:t xml:space="preserve">条 </w:t>
      </w:r>
      <w:r>
        <w:t>调查时，财政部门认定虚假资产评估报告和重大遗漏资产评估报告，按照本办法第四十六条规定执行。</w:t>
      </w:r>
    </w:p>
    <w:p w14:paraId="55904CCD" w14:textId="4B9B864D" w:rsidR="00B61DD6" w:rsidRDefault="00B61DD6" w:rsidP="00B61DD6">
      <w:pPr>
        <w:pStyle w:val="13"/>
        <w:ind w:firstLine="482"/>
      </w:pPr>
      <w:r w:rsidRPr="00B61DD6">
        <w:rPr>
          <w:rFonts w:hint="eastAsia"/>
          <w:b/>
          <w:bCs/>
        </w:rPr>
        <w:t>第五十八</w:t>
      </w:r>
      <w:r w:rsidR="00793E5D">
        <w:rPr>
          <w:rFonts w:hint="eastAsia"/>
          <w:b/>
          <w:bCs/>
        </w:rPr>
        <w:t xml:space="preserve">条 </w:t>
      </w:r>
      <w:r>
        <w:t>经调查发现资产评估专业人员、资产评估机构和资产评估协会存在违法情形的，财政部和省级财政部门按照本办法第四十七条规定予以处理。</w:t>
      </w:r>
    </w:p>
    <w:p w14:paraId="1BDF2852" w14:textId="39F5338C" w:rsidR="00B61DD6" w:rsidRDefault="00B61DD6" w:rsidP="00B61DD6">
      <w:pPr>
        <w:pStyle w:val="13"/>
        <w:ind w:firstLine="482"/>
      </w:pPr>
      <w:r w:rsidRPr="00B61DD6">
        <w:rPr>
          <w:rFonts w:hint="eastAsia"/>
          <w:b/>
          <w:bCs/>
        </w:rPr>
        <w:t>第五十九</w:t>
      </w:r>
      <w:r w:rsidR="00793E5D">
        <w:rPr>
          <w:rFonts w:hint="eastAsia"/>
          <w:b/>
          <w:bCs/>
        </w:rPr>
        <w:t xml:space="preserve">条 </w:t>
      </w:r>
      <w:r>
        <w:t>财政部门根据调查处理具体情况，应当采取书面形式答复实名投诉人、举报人。</w:t>
      </w:r>
    </w:p>
    <w:p w14:paraId="5B1A8F14" w14:textId="0F7D8611" w:rsidR="00B61DD6" w:rsidRDefault="00B61DD6" w:rsidP="00B61DD6">
      <w:pPr>
        <w:pStyle w:val="13"/>
        <w:ind w:firstLine="482"/>
      </w:pPr>
      <w:r w:rsidRPr="00B61DD6">
        <w:rPr>
          <w:rFonts w:hint="eastAsia"/>
          <w:b/>
          <w:bCs/>
        </w:rPr>
        <w:t>第六十</w:t>
      </w:r>
      <w:r w:rsidR="00793E5D">
        <w:rPr>
          <w:rFonts w:hint="eastAsia"/>
          <w:b/>
          <w:bCs/>
        </w:rPr>
        <w:t xml:space="preserve">条 </w:t>
      </w:r>
      <w:r>
        <w:t>对其他有关部门移送的资产评估违法线索或案件，或者资产评估协会按照本办法第四十条规定报告的情况，有关财政部门应当比照本办法第五十二条至第五十八条的规定依法调查处理，并将处理结果告知移送部门或者资产评估协会。</w:t>
      </w:r>
    </w:p>
    <w:p w14:paraId="24EFE26F" w14:textId="77777777" w:rsidR="00B61DD6" w:rsidRDefault="00B61DD6" w:rsidP="00AF7342">
      <w:pPr>
        <w:pStyle w:val="a9"/>
        <w:spacing w:before="62" w:after="62"/>
      </w:pPr>
      <w:r>
        <w:rPr>
          <w:rFonts w:hint="eastAsia"/>
        </w:rPr>
        <w:t>第七章</w:t>
      </w:r>
      <w:r>
        <w:t xml:space="preserve"> 法律责任</w:t>
      </w:r>
    </w:p>
    <w:p w14:paraId="21CE92F2" w14:textId="6B3A657E" w:rsidR="00B61DD6" w:rsidRDefault="00B61DD6" w:rsidP="00B61DD6">
      <w:pPr>
        <w:pStyle w:val="13"/>
        <w:ind w:firstLine="482"/>
      </w:pPr>
      <w:r w:rsidRPr="00B61DD6">
        <w:rPr>
          <w:rFonts w:hint="eastAsia"/>
          <w:b/>
          <w:bCs/>
        </w:rPr>
        <w:t>第六十一</w:t>
      </w:r>
      <w:r w:rsidR="00793E5D">
        <w:rPr>
          <w:rFonts w:hint="eastAsia"/>
          <w:b/>
          <w:bCs/>
        </w:rPr>
        <w:t xml:space="preserve">条 </w:t>
      </w:r>
      <w:r>
        <w:t>资产评估专业人员有下列行为之一的，由有关省级财政部门予以警告，可以责令停止从业六个月以上一年以下；有违法所得的，没收违法所得</w:t>
      </w:r>
      <w:r w:rsidR="003068F8">
        <w:t>；</w:t>
      </w:r>
      <w:r>
        <w:t>情节严</w:t>
      </w:r>
      <w:r>
        <w:lastRenderedPageBreak/>
        <w:t>重的，责令停止从业一年以上五年以下；构成犯罪的，移送司法机关处理：</w:t>
      </w:r>
    </w:p>
    <w:p w14:paraId="0CE8007E" w14:textId="77777777" w:rsidR="00B61DD6" w:rsidRDefault="00B61DD6" w:rsidP="00B61DD6">
      <w:pPr>
        <w:pStyle w:val="13"/>
      </w:pPr>
      <w:r>
        <w:rPr>
          <w:rFonts w:hint="eastAsia"/>
        </w:rPr>
        <w:t>（一）违反本办法第十条第一款的规定，同时在两个以上资产评估机构从事业务的；</w:t>
      </w:r>
    </w:p>
    <w:p w14:paraId="3B67AC8D" w14:textId="77777777" w:rsidR="00B61DD6" w:rsidRDefault="00B61DD6" w:rsidP="00B61DD6">
      <w:pPr>
        <w:pStyle w:val="13"/>
      </w:pPr>
      <w:r>
        <w:rPr>
          <w:rFonts w:hint="eastAsia"/>
        </w:rPr>
        <w:t>（二）违反本办法第十一条第一款的规定，签署本人未承办业务的资产评估报告或者有重大遗漏的资产评估报告的。</w:t>
      </w:r>
    </w:p>
    <w:p w14:paraId="135381B4" w14:textId="129CC4AE" w:rsidR="00B61DD6" w:rsidRDefault="00B61DD6" w:rsidP="00B61DD6">
      <w:pPr>
        <w:pStyle w:val="13"/>
      </w:pPr>
      <w:r>
        <w:rPr>
          <w:rFonts w:hint="eastAsia"/>
        </w:rPr>
        <w:t>资产评估专业人员违反本办法第十二条第一款、第三十九条第一款规定，不接受行业自律管理的，由资产评估协会予以惩戒，记入信用档案；情节严重的</w:t>
      </w:r>
      <w:r w:rsidR="00CC4D74">
        <w:rPr>
          <w:rFonts w:hint="eastAsia"/>
        </w:rPr>
        <w:t>，</w:t>
      </w:r>
      <w:r>
        <w:t>由资产评估协会按照规定取消会员资格，并予以公告。</w:t>
      </w:r>
    </w:p>
    <w:p w14:paraId="13976950" w14:textId="11343102" w:rsidR="00B61DD6" w:rsidRDefault="00B61DD6" w:rsidP="00B61DD6">
      <w:pPr>
        <w:pStyle w:val="13"/>
        <w:ind w:firstLine="482"/>
      </w:pPr>
      <w:r w:rsidRPr="00B61DD6">
        <w:rPr>
          <w:rFonts w:hint="eastAsia"/>
          <w:b/>
          <w:bCs/>
        </w:rPr>
        <w:t>第六十二</w:t>
      </w:r>
      <w:r w:rsidR="00793E5D">
        <w:rPr>
          <w:rFonts w:hint="eastAsia"/>
          <w:b/>
          <w:bCs/>
        </w:rPr>
        <w:t xml:space="preserve">条 </w:t>
      </w:r>
      <w:r>
        <w:t>有下列行为之一的，由对其备案的省级财政部门对资产评估机构予以警告，可以责令停业一个月以上六个月以下；有违法所得的，没收违法所</w:t>
      </w:r>
      <w:r>
        <w:rPr>
          <w:rFonts w:hint="eastAsia"/>
        </w:rPr>
        <w:t>得，并处违法所得一倍以上五倍以下罚款；情节严重的，通知工商行政管理部门依法处理；构成犯罪的，移送司法机关处理：</w:t>
      </w:r>
    </w:p>
    <w:p w14:paraId="32AFCB46" w14:textId="77777777" w:rsidR="00B61DD6" w:rsidRDefault="00B61DD6" w:rsidP="00B61DD6">
      <w:pPr>
        <w:pStyle w:val="13"/>
      </w:pPr>
      <w:r>
        <w:rPr>
          <w:rFonts w:hint="eastAsia"/>
        </w:rPr>
        <w:t>（一）违反本办法第十一条第二款规定，未取得资产评估师资格的人员签署法定资产评估业务资产评估报告的；</w:t>
      </w:r>
    </w:p>
    <w:p w14:paraId="1D161286" w14:textId="77777777" w:rsidR="00B61DD6" w:rsidRDefault="00B61DD6" w:rsidP="00B61DD6">
      <w:pPr>
        <w:pStyle w:val="13"/>
      </w:pPr>
      <w:r>
        <w:rPr>
          <w:rFonts w:hint="eastAsia"/>
        </w:rPr>
        <w:t>（二）违反本办法第十五条规定，承办并出具法定资产评估业务资产评估报告的资产评估师人数不符合法律规定的；</w:t>
      </w:r>
    </w:p>
    <w:p w14:paraId="72D16D34" w14:textId="77777777" w:rsidR="00B61DD6" w:rsidRDefault="00B61DD6" w:rsidP="00B61DD6">
      <w:pPr>
        <w:pStyle w:val="13"/>
      </w:pPr>
      <w:r>
        <w:rPr>
          <w:rFonts w:hint="eastAsia"/>
        </w:rPr>
        <w:t>（三）违反本办法第十六条规定，受理与其合伙人或者股东存在利害关系业务的。</w:t>
      </w:r>
    </w:p>
    <w:p w14:paraId="67574B84" w14:textId="77650501" w:rsidR="00B61DD6" w:rsidRDefault="00B61DD6" w:rsidP="00B61DD6">
      <w:pPr>
        <w:pStyle w:val="13"/>
        <w:ind w:firstLine="482"/>
      </w:pPr>
      <w:r w:rsidRPr="00B61DD6">
        <w:rPr>
          <w:rFonts w:hint="eastAsia"/>
          <w:b/>
          <w:bCs/>
        </w:rPr>
        <w:t>第六十三</w:t>
      </w:r>
      <w:r w:rsidR="00793E5D">
        <w:rPr>
          <w:rFonts w:hint="eastAsia"/>
          <w:b/>
          <w:bCs/>
        </w:rPr>
        <w:t xml:space="preserve">条 </w:t>
      </w:r>
      <w:r>
        <w:t>资产评估机构违反本办法第十七条、第十八条、第十九条、第二十条第一款、第二十八条、第三十一条第一款和第二款规定的，由资产评估机构所在地省级财政部门责令改正，并予以警告。</w:t>
      </w:r>
    </w:p>
    <w:p w14:paraId="1AF8E8E3" w14:textId="71EDF7A4" w:rsidR="00B61DD6" w:rsidRDefault="00B61DD6" w:rsidP="00B61DD6">
      <w:pPr>
        <w:pStyle w:val="13"/>
        <w:ind w:firstLine="482"/>
      </w:pPr>
      <w:r w:rsidRPr="00B61DD6">
        <w:rPr>
          <w:rFonts w:hint="eastAsia"/>
          <w:b/>
          <w:bCs/>
        </w:rPr>
        <w:t>第六十四</w:t>
      </w:r>
      <w:r w:rsidR="00793E5D">
        <w:rPr>
          <w:rFonts w:hint="eastAsia"/>
          <w:b/>
          <w:bCs/>
        </w:rPr>
        <w:t xml:space="preserve">条 </w:t>
      </w:r>
      <w:r>
        <w:t>资产评估机构违反本办法第二十条第二款规定造成不良后果的</w:t>
      </w:r>
      <w:r w:rsidR="00CC4D74">
        <w:t>，</w:t>
      </w:r>
      <w:r>
        <w:t>由其分支机构所在地的省级财政部门责令改正，对资产评估机构及其法定代表人 或执行合伙事务的合伙人分别予以警告；没有违法所得的，可以并</w:t>
      </w:r>
      <w:proofErr w:type="gramStart"/>
      <w:r>
        <w:t>处资产评估机</w:t>
      </w:r>
      <w:proofErr w:type="gramEnd"/>
      <w:r>
        <w:t xml:space="preserve"> 构一万元以下罚款；有违法所得的，可以并</w:t>
      </w:r>
      <w:proofErr w:type="gramStart"/>
      <w:r>
        <w:t>处资产</w:t>
      </w:r>
      <w:proofErr w:type="gramEnd"/>
      <w:r>
        <w:t xml:space="preserve">评估机构违法所得一倍以上三 </w:t>
      </w:r>
      <w:proofErr w:type="gramStart"/>
      <w:r>
        <w:t>倍</w:t>
      </w:r>
      <w:proofErr w:type="gramEnd"/>
      <w:r>
        <w:t>以下、最高不超过三万元的罚款；同时通知资产评估机构所在地省级财政部门。</w:t>
      </w:r>
    </w:p>
    <w:p w14:paraId="5A0B0F73" w14:textId="7836DC01" w:rsidR="00B61DD6" w:rsidRDefault="00B61DD6" w:rsidP="00B61DD6">
      <w:pPr>
        <w:pStyle w:val="13"/>
        <w:ind w:firstLine="482"/>
      </w:pPr>
      <w:r w:rsidRPr="00B61DD6">
        <w:rPr>
          <w:rFonts w:hint="eastAsia"/>
          <w:b/>
          <w:bCs/>
        </w:rPr>
        <w:t>第六十五</w:t>
      </w:r>
      <w:r w:rsidR="00793E5D">
        <w:rPr>
          <w:rFonts w:hint="eastAsia"/>
          <w:b/>
          <w:bCs/>
        </w:rPr>
        <w:t xml:space="preserve">条 </w:t>
      </w:r>
      <w:r>
        <w:t>资产评估机构未按照本办法第二十四条规定备案或者备案后不符合资产评估法第十五条规定条件的，由资产评估机构所在地省级财政部门责令改正；拒不改正的，责令停业，可以并处一万元以上五万元以下罚款，并通报工商行政管理部门。</w:t>
      </w:r>
    </w:p>
    <w:p w14:paraId="755C9773" w14:textId="77777777" w:rsidR="00B61DD6" w:rsidRDefault="00B61DD6" w:rsidP="00B61DD6">
      <w:pPr>
        <w:pStyle w:val="13"/>
      </w:pPr>
      <w:r>
        <w:rPr>
          <w:rFonts w:hint="eastAsia"/>
        </w:rPr>
        <w:t>资产评估机构未按照本办法第二十七条第一款规定办理分支机构备案的，由其分支机构所在地的省级财政部门责令改正，并对资产评估机构及其法定代表人或者执行合伙事务的合伙人分别予以警告，同时通知资产评估机构所在地的省级财政部门。</w:t>
      </w:r>
    </w:p>
    <w:p w14:paraId="7C2B0D76" w14:textId="6746164A" w:rsidR="00B61DD6" w:rsidRDefault="00B61DD6" w:rsidP="00B61DD6">
      <w:pPr>
        <w:pStyle w:val="13"/>
        <w:ind w:firstLine="482"/>
      </w:pPr>
      <w:r w:rsidRPr="00B61DD6">
        <w:rPr>
          <w:rFonts w:hint="eastAsia"/>
          <w:b/>
          <w:bCs/>
        </w:rPr>
        <w:lastRenderedPageBreak/>
        <w:t>第六十六</w:t>
      </w:r>
      <w:r w:rsidR="00793E5D">
        <w:rPr>
          <w:rFonts w:hint="eastAsia"/>
          <w:b/>
          <w:bCs/>
        </w:rPr>
        <w:t xml:space="preserve">条 </w:t>
      </w:r>
      <w:r>
        <w:t>资产评估协会有下列行为之一的，由有关财政部门予以警告</w:t>
      </w:r>
      <w:r w:rsidR="00CC4D74">
        <w:t>，</w:t>
      </w:r>
      <w:r>
        <w:t>责令改正；拒不改正的，可以通报登记管理机关依法处理：</w:t>
      </w:r>
    </w:p>
    <w:p w14:paraId="1AB05D48" w14:textId="77777777" w:rsidR="00B61DD6" w:rsidRDefault="00B61DD6" w:rsidP="00B61DD6">
      <w:pPr>
        <w:pStyle w:val="13"/>
      </w:pPr>
      <w:r>
        <w:rPr>
          <w:rFonts w:hint="eastAsia"/>
        </w:rPr>
        <w:t>（一）章程不符合资产评估法和本办法规定的；</w:t>
      </w:r>
    </w:p>
    <w:p w14:paraId="7AF75EE8" w14:textId="77777777" w:rsidR="00B61DD6" w:rsidRDefault="00B61DD6" w:rsidP="00B61DD6">
      <w:pPr>
        <w:pStyle w:val="13"/>
      </w:pPr>
      <w:r>
        <w:rPr>
          <w:rFonts w:hint="eastAsia"/>
        </w:rPr>
        <w:t>（二）资产评估协会未依照资产评估法、本办法和其章程的规定履行职责的。</w:t>
      </w:r>
    </w:p>
    <w:p w14:paraId="68516E46" w14:textId="41C25E38" w:rsidR="00B61DD6" w:rsidRDefault="00B61DD6" w:rsidP="00B61DD6">
      <w:pPr>
        <w:pStyle w:val="13"/>
        <w:ind w:firstLine="482"/>
      </w:pPr>
      <w:r w:rsidRPr="00B61DD6">
        <w:rPr>
          <w:rFonts w:hint="eastAsia"/>
          <w:b/>
          <w:bCs/>
        </w:rPr>
        <w:t>第六十七</w:t>
      </w:r>
      <w:r w:rsidR="00793E5D">
        <w:rPr>
          <w:rFonts w:hint="eastAsia"/>
          <w:b/>
          <w:bCs/>
        </w:rPr>
        <w:t xml:space="preserve">条 </w:t>
      </w:r>
      <w:r>
        <w:t xml:space="preserve">有关财政部门对资产评估机构、资产评估专业人员和资产评估协会的财政处理、处罚情况，应当在 15 </w:t>
      </w:r>
      <w:proofErr w:type="gramStart"/>
      <w:r>
        <w:t>个</w:t>
      </w:r>
      <w:proofErr w:type="gramEnd"/>
      <w:r>
        <w:t>工作日内向社会公开。</w:t>
      </w:r>
    </w:p>
    <w:p w14:paraId="17006E2A" w14:textId="5D26638E" w:rsidR="00B61DD6" w:rsidRDefault="00B61DD6" w:rsidP="00B61DD6">
      <w:pPr>
        <w:pStyle w:val="13"/>
        <w:ind w:firstLine="482"/>
      </w:pPr>
      <w:r w:rsidRPr="00B61DD6">
        <w:rPr>
          <w:rFonts w:hint="eastAsia"/>
          <w:b/>
          <w:bCs/>
        </w:rPr>
        <w:t>第六十八</w:t>
      </w:r>
      <w:r w:rsidR="00793E5D">
        <w:rPr>
          <w:rFonts w:hint="eastAsia"/>
          <w:b/>
          <w:bCs/>
        </w:rPr>
        <w:t xml:space="preserve">条 </w:t>
      </w:r>
      <w:r>
        <w:t>财政部门工作人员在资产评估行业监督管理工作中滥用职权、玩忽职守、徇私舞弊的，按照《中华人民共和国公务员法》、《中华人民共和国行政监察法》等国家有关规定追究相应责任；涉嫌犯罪的，移送司法机关处理。</w:t>
      </w:r>
    </w:p>
    <w:p w14:paraId="068F08F8" w14:textId="77777777" w:rsidR="00B61DD6" w:rsidRPr="000857BB" w:rsidRDefault="00B61DD6" w:rsidP="000857BB">
      <w:pPr>
        <w:pStyle w:val="13"/>
        <w:ind w:firstLine="482"/>
        <w:jc w:val="center"/>
        <w:rPr>
          <w:b/>
          <w:bCs/>
        </w:rPr>
      </w:pPr>
      <w:r w:rsidRPr="000857BB">
        <w:rPr>
          <w:rFonts w:hint="eastAsia"/>
          <w:b/>
          <w:bCs/>
        </w:rPr>
        <w:t>第八章</w:t>
      </w:r>
      <w:r w:rsidRPr="000857BB">
        <w:rPr>
          <w:b/>
          <w:bCs/>
        </w:rPr>
        <w:t xml:space="preserve"> 附 则</w:t>
      </w:r>
    </w:p>
    <w:p w14:paraId="3857BF0D" w14:textId="5ED1DD33" w:rsidR="00B61DD6" w:rsidRDefault="00B61DD6" w:rsidP="00B61DD6">
      <w:pPr>
        <w:pStyle w:val="13"/>
        <w:ind w:firstLine="482"/>
      </w:pPr>
      <w:r w:rsidRPr="00B61DD6">
        <w:rPr>
          <w:rFonts w:hint="eastAsia"/>
          <w:b/>
          <w:bCs/>
        </w:rPr>
        <w:t>第六十九</w:t>
      </w:r>
      <w:r w:rsidR="00793E5D">
        <w:rPr>
          <w:rFonts w:hint="eastAsia"/>
          <w:b/>
          <w:bCs/>
        </w:rPr>
        <w:t xml:space="preserve">条 </w:t>
      </w:r>
      <w:r>
        <w:t>本办法所称资产评估行业、资产评估专业人员、资产评估机构和资产评估协会是指根据资产评估法和国务院规定，按照职责分工由财政部门监管的资产评估行业、资产评估专业人员、资产评估机构和资产评估协会。</w:t>
      </w:r>
    </w:p>
    <w:p w14:paraId="19492EF7" w14:textId="43BCE0F9" w:rsidR="00B61DD6" w:rsidRDefault="00B61DD6" w:rsidP="00B61DD6">
      <w:pPr>
        <w:pStyle w:val="13"/>
        <w:ind w:firstLine="482"/>
      </w:pPr>
      <w:r w:rsidRPr="00B61DD6">
        <w:rPr>
          <w:rFonts w:hint="eastAsia"/>
          <w:b/>
          <w:bCs/>
        </w:rPr>
        <w:t>第七十</w:t>
      </w:r>
      <w:r w:rsidR="00793E5D">
        <w:rPr>
          <w:rFonts w:hint="eastAsia"/>
          <w:b/>
          <w:bCs/>
        </w:rPr>
        <w:t xml:space="preserve">条 </w:t>
      </w:r>
      <w:r>
        <w:t>外商投资者在中华人民共和国境内设立、参股、入伙资产评估机构或者开展法定资产评估业务，应当依法履行国家安全审查程序。</w:t>
      </w:r>
    </w:p>
    <w:p w14:paraId="279B7A05" w14:textId="302ACC6B" w:rsidR="00B61DD6" w:rsidRDefault="00B61DD6" w:rsidP="00B61DD6">
      <w:pPr>
        <w:pStyle w:val="13"/>
        <w:ind w:firstLine="482"/>
      </w:pPr>
      <w:r w:rsidRPr="00B61DD6">
        <w:rPr>
          <w:rFonts w:hint="eastAsia"/>
          <w:b/>
          <w:bCs/>
        </w:rPr>
        <w:t>第七十一</w:t>
      </w:r>
      <w:r w:rsidR="00793E5D">
        <w:rPr>
          <w:rFonts w:hint="eastAsia"/>
          <w:b/>
          <w:bCs/>
        </w:rPr>
        <w:t xml:space="preserve">条 </w:t>
      </w:r>
      <w:r>
        <w:t>省级财政部门可结合实际制定具体的实施办法。设区的市级财政部门可以对本行政区域内资产评估行业实施监督管理，具体由省级财政部门根据当地资产评估行业发展状况和设区的市级财政部</w:t>
      </w:r>
      <w:proofErr w:type="gramStart"/>
      <w:r>
        <w:t>门具备</w:t>
      </w:r>
      <w:proofErr w:type="gramEnd"/>
      <w:r>
        <w:t>的监管条件确定。</w:t>
      </w:r>
    </w:p>
    <w:p w14:paraId="4563E082" w14:textId="70F7A0BB" w:rsidR="005564C9" w:rsidRDefault="00B61DD6" w:rsidP="00B61DD6">
      <w:pPr>
        <w:pStyle w:val="13"/>
        <w:ind w:firstLine="482"/>
      </w:pPr>
      <w:r w:rsidRPr="00B61DD6">
        <w:rPr>
          <w:rFonts w:hint="eastAsia"/>
          <w:b/>
          <w:bCs/>
        </w:rPr>
        <w:t>第七十二</w:t>
      </w:r>
      <w:r w:rsidR="00793E5D">
        <w:rPr>
          <w:rFonts w:hint="eastAsia"/>
          <w:b/>
          <w:bCs/>
        </w:rPr>
        <w:t xml:space="preserve">条 </w:t>
      </w:r>
      <w:r>
        <w:t>本办法自 2017</w:t>
      </w:r>
      <w:r w:rsidR="003068F8">
        <w:t>年</w:t>
      </w:r>
      <w:r>
        <w:t>6</w:t>
      </w:r>
      <w:r w:rsidR="003068F8">
        <w:t>月</w:t>
      </w:r>
      <w:r>
        <w:t>1</w:t>
      </w:r>
      <w:r w:rsidR="003068F8">
        <w:t>日</w:t>
      </w:r>
      <w:r>
        <w:t>起施行。财政部 2011</w:t>
      </w:r>
      <w:r w:rsidR="003068F8">
        <w:t>年</w:t>
      </w:r>
      <w:r>
        <w:t>8</w:t>
      </w:r>
      <w:r w:rsidR="003068F8">
        <w:t>月</w:t>
      </w:r>
      <w:r>
        <w:t>11</w:t>
      </w:r>
      <w:r w:rsidR="003068F8">
        <w:t>日</w:t>
      </w:r>
      <w:r>
        <w:t>发</w:t>
      </w:r>
      <w:r>
        <w:rPr>
          <w:rFonts w:hint="eastAsia"/>
        </w:rPr>
        <w:t>布的《资产评估机构审批和监督管理办法》（</w:t>
      </w:r>
      <w:proofErr w:type="gramStart"/>
      <w:r>
        <w:rPr>
          <w:rFonts w:hint="eastAsia"/>
        </w:rPr>
        <w:t>财政部令第</w:t>
      </w:r>
      <w:proofErr w:type="gramEnd"/>
      <w:r>
        <w:t xml:space="preserve"> 64号）同时废止。</w:t>
      </w:r>
    </w:p>
    <w:p w14:paraId="5D3102B4" w14:textId="543EC665" w:rsidR="00B61DD6" w:rsidRDefault="00B61DD6">
      <w:pPr>
        <w:widowControl/>
        <w:jc w:val="left"/>
        <w:rPr>
          <w:rFonts w:ascii="宋体" w:hAnsi="宋体"/>
          <w:sz w:val="24"/>
          <w:szCs w:val="24"/>
        </w:rPr>
      </w:pPr>
      <w:r>
        <w:br w:type="page"/>
      </w:r>
    </w:p>
    <w:p w14:paraId="0C6AD0CE" w14:textId="77777777" w:rsidR="00427B9B" w:rsidRDefault="00427B9B" w:rsidP="00EF350A">
      <w:pPr>
        <w:pStyle w:val="11"/>
      </w:pPr>
      <w:bookmarkStart w:id="8" w:name="_Toc81833288"/>
      <w:r>
        <w:rPr>
          <w:rFonts w:hint="eastAsia"/>
        </w:rPr>
        <w:lastRenderedPageBreak/>
        <w:t>资产评估执业规范类</w:t>
      </w:r>
      <w:bookmarkEnd w:id="8"/>
    </w:p>
    <w:p w14:paraId="3E7BD7EC" w14:textId="77777777" w:rsidR="00427B9B" w:rsidRDefault="00427B9B" w:rsidP="00EF350A">
      <w:pPr>
        <w:pStyle w:val="21"/>
        <w:spacing w:before="156" w:after="93"/>
      </w:pPr>
      <w:bookmarkStart w:id="9" w:name="_Toc81833289"/>
      <w:r>
        <w:rPr>
          <w:rFonts w:hint="eastAsia"/>
        </w:rPr>
        <w:t>中国资产评估准则体系</w:t>
      </w:r>
      <w:bookmarkEnd w:id="9"/>
    </w:p>
    <w:p w14:paraId="30175379" w14:textId="77777777" w:rsidR="00427B9B" w:rsidRDefault="00427B9B" w:rsidP="00EF350A">
      <w:pPr>
        <w:pStyle w:val="31"/>
        <w:spacing w:before="156" w:after="62"/>
      </w:pPr>
      <w:bookmarkStart w:id="10" w:name="_Toc81833290"/>
      <w:r>
        <w:rPr>
          <w:rFonts w:hint="eastAsia"/>
        </w:rPr>
        <w:t>中国资产评估准则体系说明</w:t>
      </w:r>
      <w:bookmarkEnd w:id="10"/>
    </w:p>
    <w:p w14:paraId="09EA2187" w14:textId="77777777" w:rsidR="00427B9B" w:rsidRDefault="00427B9B" w:rsidP="00427B9B">
      <w:pPr>
        <w:pStyle w:val="13"/>
      </w:pPr>
      <w:r>
        <w:rPr>
          <w:rFonts w:hint="eastAsia"/>
        </w:rPr>
        <w:t>中国资产评估准则体系包括职业道德准则和业务准则两部分。职业道德准则分为基本准则和具体准则两个层次。</w:t>
      </w:r>
    </w:p>
    <w:p w14:paraId="7614DFFA" w14:textId="77777777" w:rsidR="00427B9B" w:rsidRDefault="00427B9B" w:rsidP="00427B9B">
      <w:pPr>
        <w:pStyle w:val="13"/>
      </w:pPr>
      <w:r>
        <w:rPr>
          <w:rFonts w:hint="eastAsia"/>
        </w:rPr>
        <w:t>业务准则分为基本准则、具体准则、评估指南、指导意见四个层次。</w:t>
      </w:r>
    </w:p>
    <w:p w14:paraId="19E172E8" w14:textId="77777777" w:rsidR="00427B9B" w:rsidRDefault="00427B9B" w:rsidP="00427B9B">
      <w:pPr>
        <w:pStyle w:val="13"/>
      </w:pPr>
      <w:r>
        <w:rPr>
          <w:rFonts w:hint="eastAsia"/>
        </w:rPr>
        <w:t>基本准则是评估</w:t>
      </w:r>
      <w:proofErr w:type="gramStart"/>
      <w:r>
        <w:rPr>
          <w:rFonts w:hint="eastAsia"/>
        </w:rPr>
        <w:t>师执行</w:t>
      </w:r>
      <w:proofErr w:type="gramEnd"/>
      <w:r>
        <w:rPr>
          <w:rFonts w:hint="eastAsia"/>
        </w:rPr>
        <w:t>各种资产类型、各种评估目的评估业务的基本规范。</w:t>
      </w:r>
    </w:p>
    <w:p w14:paraId="7901F622" w14:textId="77777777" w:rsidR="00427B9B" w:rsidRDefault="00427B9B" w:rsidP="00427B9B">
      <w:pPr>
        <w:pStyle w:val="13"/>
      </w:pPr>
      <w:r>
        <w:rPr>
          <w:rFonts w:hint="eastAsia"/>
        </w:rPr>
        <w:t>具体准则包括规范评估业务流程的程序性准则和规范各种资产类型评估业务的实体性准则。</w:t>
      </w:r>
    </w:p>
    <w:p w14:paraId="5B4C7DF8" w14:textId="77777777" w:rsidR="00427B9B" w:rsidRDefault="00427B9B" w:rsidP="00427B9B">
      <w:pPr>
        <w:pStyle w:val="13"/>
      </w:pPr>
      <w:r>
        <w:rPr>
          <w:rFonts w:hint="eastAsia"/>
        </w:rPr>
        <w:t>评估指南是对特定评估目的和评估业务中某些重要事项的规范。指导意见是针对评估业务中的某些具体问题的指导性文件。</w:t>
      </w:r>
    </w:p>
    <w:p w14:paraId="20898A9B" w14:textId="77777777" w:rsidR="00427B9B" w:rsidRDefault="00427B9B" w:rsidP="00427B9B">
      <w:pPr>
        <w:pStyle w:val="13"/>
      </w:pPr>
      <w:r>
        <w:rPr>
          <w:rFonts w:hint="eastAsia"/>
        </w:rPr>
        <w:t>准则体系设计。四个层次从内涵看，依次递进、结构严谨、不同层次、不同目的。基本准则具有统驭性，其他准则各有其规范范围。准则层次的设计既满足了不同类型评估规范的需要，又能体现出不同发展阶段评估业务的要求；既规范评估师行为，又对委托方和监管部门产生积极影响；既突出对评估师职业道德规范，又对评估师权益进行合理保护。从外延看，准则体系具有开放灵活的特点，为评估实践中新的评估领域的规范留有空间。随着中国评估理论和实践的发展，可以将最新的研究成果、实践经验纳入到准则体系中来。</w:t>
      </w:r>
    </w:p>
    <w:p w14:paraId="074DE510" w14:textId="57972B48" w:rsidR="00B61DD6" w:rsidRDefault="00427B9B" w:rsidP="00427B9B">
      <w:pPr>
        <w:pStyle w:val="13"/>
      </w:pPr>
      <w:r>
        <w:rPr>
          <w:rFonts w:hint="eastAsia"/>
        </w:rPr>
        <w:t>准则发布方式。基本准则由财政部以规范性文件形式发布，基本准则中授权中国资产评估协会制定其他评估准则项目。这样的制度安排是要由政府发布基本准则，体现政府从公共管理角度对评估执业的要求，通过政府的要求实现评估准则保护社会公共利益的宗旨。其他准则项目由行业协会发布，一方面传达政府意志，另一方面又体现专业特点。</w:t>
      </w:r>
    </w:p>
    <w:p w14:paraId="6B8CC080" w14:textId="77777777" w:rsidR="00EF350A" w:rsidRDefault="00EF350A" w:rsidP="00EF350A">
      <w:pPr>
        <w:pStyle w:val="13"/>
        <w:ind w:firstLineChars="0" w:firstLine="0"/>
      </w:pPr>
    </w:p>
    <w:p w14:paraId="56E9ACD4" w14:textId="77777777" w:rsidR="00EF350A" w:rsidRDefault="00EF350A" w:rsidP="00EF350A">
      <w:pPr>
        <w:pStyle w:val="13"/>
        <w:ind w:firstLineChars="0" w:firstLine="0"/>
      </w:pPr>
    </w:p>
    <w:p w14:paraId="33AF02AA" w14:textId="77777777" w:rsidR="00EF350A" w:rsidRDefault="00EF350A" w:rsidP="00EF350A">
      <w:pPr>
        <w:pStyle w:val="13"/>
        <w:ind w:firstLineChars="0" w:firstLine="0"/>
      </w:pPr>
    </w:p>
    <w:p w14:paraId="6F305928" w14:textId="77777777" w:rsidR="00EF350A" w:rsidRDefault="00EF350A" w:rsidP="00EF350A">
      <w:pPr>
        <w:pStyle w:val="13"/>
        <w:ind w:firstLineChars="0" w:firstLine="0"/>
      </w:pPr>
    </w:p>
    <w:p w14:paraId="26EFD652" w14:textId="77777777" w:rsidR="00EF350A" w:rsidRDefault="00EF350A" w:rsidP="00EF350A">
      <w:pPr>
        <w:pStyle w:val="13"/>
        <w:ind w:firstLineChars="0" w:firstLine="0"/>
      </w:pPr>
    </w:p>
    <w:p w14:paraId="79B1E715" w14:textId="77777777" w:rsidR="00EF350A" w:rsidRDefault="00EF350A" w:rsidP="00EF350A">
      <w:pPr>
        <w:pStyle w:val="13"/>
        <w:ind w:firstLineChars="0" w:firstLine="0"/>
      </w:pPr>
    </w:p>
    <w:p w14:paraId="11F5763C" w14:textId="77777777" w:rsidR="00EF350A" w:rsidRDefault="00EF350A" w:rsidP="00EF350A">
      <w:pPr>
        <w:pStyle w:val="13"/>
        <w:ind w:firstLineChars="0" w:firstLine="0"/>
      </w:pPr>
    </w:p>
    <w:p w14:paraId="099FB95E" w14:textId="77777777" w:rsidR="00EF350A" w:rsidRDefault="00EF350A" w:rsidP="00EF350A">
      <w:pPr>
        <w:pStyle w:val="13"/>
        <w:ind w:firstLineChars="0" w:firstLine="0"/>
      </w:pPr>
    </w:p>
    <w:p w14:paraId="6F9067D6" w14:textId="77777777" w:rsidR="00EF350A" w:rsidRDefault="00EF350A" w:rsidP="00EF350A">
      <w:pPr>
        <w:pStyle w:val="13"/>
        <w:ind w:firstLineChars="0" w:firstLine="0"/>
      </w:pPr>
    </w:p>
    <w:p w14:paraId="36E1547D" w14:textId="2ECB1BAD" w:rsidR="00EF350A" w:rsidRPr="00190083" w:rsidRDefault="00EF350A" w:rsidP="00AF7342">
      <w:pPr>
        <w:pStyle w:val="a9"/>
        <w:spacing w:before="62" w:after="62"/>
      </w:pPr>
      <w:r w:rsidRPr="00190083">
        <w:rPr>
          <w:rFonts w:hint="eastAsia"/>
        </w:rPr>
        <w:lastRenderedPageBreak/>
        <w:t>资产评估准则体系图</w:t>
      </w:r>
    </w:p>
    <w:p w14:paraId="498BE7A3" w14:textId="4DDBEA1D" w:rsidR="00B61DD6" w:rsidRDefault="00EF350A" w:rsidP="00EF350A">
      <w:pPr>
        <w:pStyle w:val="13"/>
        <w:ind w:firstLineChars="0" w:firstLine="0"/>
      </w:pPr>
      <w:r>
        <w:rPr>
          <w:noProof/>
        </w:rPr>
        <mc:AlternateContent>
          <mc:Choice Requires="wpg">
            <w:drawing>
              <wp:inline distT="0" distB="0" distL="0" distR="0" wp14:anchorId="1DE34FA2" wp14:editId="11E630A9">
                <wp:extent cx="5543550" cy="6831693"/>
                <wp:effectExtent l="0" t="0" r="0" b="7620"/>
                <wp:docPr id="4284" name="Group 1127"/>
                <wp:cNvGraphicFramePr/>
                <a:graphic xmlns:a="http://schemas.openxmlformats.org/drawingml/2006/main">
                  <a:graphicData uri="http://schemas.microsoft.com/office/word/2010/wordprocessingGroup">
                    <wpg:wgp>
                      <wpg:cNvGrpSpPr/>
                      <wpg:grpSpPr>
                        <a:xfrm>
                          <a:off x="0" y="0"/>
                          <a:ext cx="5543550" cy="6831693"/>
                          <a:chOff x="0" y="0"/>
                          <a:chExt cx="9046" cy="11148"/>
                        </a:xfrm>
                      </wpg:grpSpPr>
                      <pic:pic xmlns:pic="http://schemas.openxmlformats.org/drawingml/2006/picture">
                        <pic:nvPicPr>
                          <pic:cNvPr id="4285" name="Picture 11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17" y="1327"/>
                            <a:ext cx="9028" cy="9821"/>
                          </a:xfrm>
                          <a:prstGeom prst="rect">
                            <a:avLst/>
                          </a:prstGeom>
                          <a:noFill/>
                        </pic:spPr>
                      </pic:pic>
                      <pic:pic xmlns:pic="http://schemas.openxmlformats.org/drawingml/2006/picture">
                        <pic:nvPicPr>
                          <pic:cNvPr id="4286" name="Picture 1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520" cy="11040"/>
                          </a:xfrm>
                          <a:prstGeom prst="rect">
                            <a:avLst/>
                          </a:prstGeom>
                          <a:noFill/>
                        </pic:spPr>
                      </pic:pic>
                    </wpg:wgp>
                  </a:graphicData>
                </a:graphic>
              </wp:inline>
            </w:drawing>
          </mc:Choice>
          <mc:Fallback>
            <w:pict>
              <v:group w14:anchorId="0B7F27F9" id="Group 1127" o:spid="_x0000_s1026" style="width:436.5pt;height:537.95pt;mso-position-horizontal-relative:char;mso-position-vertical-relative:line" coordsize="9046,1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Oaw+++kGchQAPyro65a+Ym8nz/AHz/ADrr&#10;w695s8fM5WpJeZBRRRXoHzQUUUUAFFFFABRRRQAUUUUAFFFFABRRRQAUUUUAFSW9u91KI4xkn9Kf&#10;aWkl3JtQYHduwrorS0js4tiDk8lj1Jrnq1VDRbno4XByxDu9IjbKxjskwvLn7zetWaKK81tyd2fU&#10;whGnFRirJBRRRS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W9/4+5/+uh/nXVVzOqRiO+mHqc/nzXXhn7zR42aJ+zi/&#10;Mq0UUV6B82FFFFABRRRQAUUUUAFFFFABRRRQAUUUAEkAdTxQAAVdsNOkvG3HKRDq39BVqw0Yttku&#10;BgDonf8AGtgKFAAAAHAArjqV7aRPawuAc/fq7dhkECW8YSNdqjtUlFFcLd9z6JJRVkFFFFI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i69CQ8co6EbT9e1bVQ3duLq3eM9xwfQ1pTlySTOXE0vbUnBbnK0U6WNonKO&#10;MMpwc02vW3PjWmnZhRRRTEFFFFABRRRQAUUUUAFFOjjaVwqqWY9gK1bPRDkNcHH+wp/mazlOMNzo&#10;o0Kld2gjOtbSW7fEa59WPQVvWOmR2YDffk/vHt9KtRxrEoVFCqOwp1cFSs56LRH0eGwMKHvS1kFF&#10;FFc56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R1HTReDenyyj8mHpWBJE0TFXUow6g8V1tQ&#10;3FrFdLiVA2Oh7iumnWcNHseVisCqz54aP8zlaK2J9A7wyfg/+Iqq+jXSnARWHsw/rXYqsH1PDng6&#10;8HZxfy1KNGKuf2VdE/6k/iR/jTl0e6Y8oF9yw/pVe0h3M1h6z2g/uKNFa0egOf8AWSqPZRmrkOj2&#10;0JyVMh/2j/Ss5V4LY6oZfXnurepgRW8k7bURnPsK07bQ2bBnbaP7i9a2VUIoVQFUdABilrmliJP4&#10;dD1KWW04azd/yIoLaK2XEaBffufxqWiiuZtvVnrKKirJaBRR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9" o:spid="_x0000_s1027" type="#_x0000_t75" style="position:absolute;left:17;top:1327;width:9028;height:9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">
                  <v:imagedata r:id="rId21" o:title=""/>
                </v:shape>
                <v:shape id="Picture 1128" o:spid="_x0000_s1028" type="#_x0000_t75" style="position:absolute;width:8520;height:1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">
                  <v:imagedata r:id="rId22" o:title=""/>
                </v:shape>
                <w10:anchorlock/>
              </v:group>
            </w:pict>
          </mc:Fallback>
        </mc:AlternateContent>
      </w:r>
    </w:p>
    <w:p w14:paraId="08B12ED5" w14:textId="105E621F" w:rsidR="00190083" w:rsidRDefault="00190083">
      <w:pPr>
        <w:widowControl/>
        <w:jc w:val="left"/>
        <w:rPr>
          <w:rFonts w:ascii="宋体" w:hAnsi="宋体"/>
          <w:sz w:val="24"/>
          <w:szCs w:val="24"/>
        </w:rPr>
      </w:pPr>
      <w:r>
        <w:br w:type="page"/>
      </w:r>
    </w:p>
    <w:p w14:paraId="64AB306D" w14:textId="77777777" w:rsidR="00EF350A" w:rsidRDefault="00EF350A" w:rsidP="00EF350A">
      <w:pPr>
        <w:pStyle w:val="31"/>
        <w:spacing w:before="156" w:after="62"/>
      </w:pPr>
      <w:bookmarkStart w:id="11" w:name="_Toc81833291"/>
      <w:r>
        <w:rPr>
          <w:rFonts w:hint="eastAsia"/>
        </w:rPr>
        <w:lastRenderedPageBreak/>
        <w:t>创新执业准则体系</w:t>
      </w:r>
      <w:r>
        <w:t xml:space="preserve"> 支撑评估专业服务</w:t>
      </w:r>
      <w:bookmarkEnd w:id="11"/>
    </w:p>
    <w:p w14:paraId="53A20BB6" w14:textId="42660D72" w:rsidR="00EF350A" w:rsidRDefault="00190083" w:rsidP="00EF350A">
      <w:pPr>
        <w:pStyle w:val="13"/>
        <w:jc w:val="center"/>
      </w:pPr>
      <w:r>
        <w:rPr>
          <w:rFonts w:hint="eastAsia"/>
        </w:rPr>
        <w:t>（</w:t>
      </w:r>
      <w:r>
        <w:t>刘萍</w:t>
      </w:r>
      <w:r>
        <w:rPr>
          <w:rFonts w:hint="eastAsia"/>
        </w:rPr>
        <w:t>）</w:t>
      </w:r>
    </w:p>
    <w:p w14:paraId="0460EEA4" w14:textId="601EB105" w:rsidR="00EF350A" w:rsidRDefault="00EF350A" w:rsidP="00EF350A">
      <w:pPr>
        <w:pStyle w:val="13"/>
      </w:pPr>
      <w:r>
        <w:t>2013年是全面贯彻落实“十八大”精神的开局之年，也是《服务业发展“十二五”</w:t>
      </w:r>
      <w:r>
        <w:rPr>
          <w:rFonts w:hint="eastAsia"/>
        </w:rPr>
        <w:t>规划》和资产评估行业发展规划发布之后的第一年。面对新的政策环境，资产评估行业将发挥自身专业优势，一如既往地积极服务于经济社会发展。执业准则是支撑资产评估专业服务，引领行业规范发展，赢得市场信赖的专业基础。为适应新形势下行业业务创新的需要，评估行业根据评估业务发展需求，将执业准则体系的规范范围由现有的仅规范价值估算类评估业务，扩展到同时规范</w:t>
      </w:r>
      <w:proofErr w:type="gramStart"/>
      <w:r>
        <w:rPr>
          <w:rFonts w:hint="eastAsia"/>
        </w:rPr>
        <w:t>非价值</w:t>
      </w:r>
      <w:proofErr w:type="gramEnd"/>
      <w:r>
        <w:rPr>
          <w:rFonts w:hint="eastAsia"/>
        </w:rPr>
        <w:t>估算类业务。创新地将资产评估执业准则体系分为资产评估准则和操作指引两大体系。其中，评估准则体系仍然对价值估算类评估业务进行指导与规范，操作指引体系将对</w:t>
      </w:r>
      <w:proofErr w:type="gramStart"/>
      <w:r>
        <w:rPr>
          <w:rFonts w:hint="eastAsia"/>
        </w:rPr>
        <w:t>非价值</w:t>
      </w:r>
      <w:proofErr w:type="gramEnd"/>
      <w:r>
        <w:rPr>
          <w:rFonts w:hint="eastAsia"/>
        </w:rPr>
        <w:t>估算类的业务进行指导与规范。</w:t>
      </w:r>
    </w:p>
    <w:p w14:paraId="15AFBB69" w14:textId="77777777" w:rsidR="00EF350A" w:rsidRDefault="00EF350A" w:rsidP="00EF350A">
      <w:pPr>
        <w:pStyle w:val="ab"/>
        <w:spacing w:before="62" w:after="62"/>
        <w:ind w:firstLine="482"/>
      </w:pPr>
      <w:r>
        <w:rPr>
          <w:rFonts w:hint="eastAsia"/>
        </w:rPr>
        <w:t>一、创新执业准则体系的必要性</w:t>
      </w:r>
    </w:p>
    <w:p w14:paraId="11B5569B" w14:textId="77777777" w:rsidR="00EF350A" w:rsidRDefault="00EF350A" w:rsidP="00EF350A">
      <w:pPr>
        <w:pStyle w:val="13"/>
      </w:pPr>
      <w:r>
        <w:rPr>
          <w:rFonts w:hint="eastAsia"/>
        </w:rPr>
        <w:t>国家服务业发展规划与评估行业发展规划要求资产评估行业在发挥资产估值优势的同时积极服务于各种评审、评价等</w:t>
      </w:r>
      <w:proofErr w:type="gramStart"/>
      <w:r>
        <w:rPr>
          <w:rFonts w:hint="eastAsia"/>
        </w:rPr>
        <w:t>非价值</w:t>
      </w:r>
      <w:proofErr w:type="gramEnd"/>
      <w:r>
        <w:rPr>
          <w:rFonts w:hint="eastAsia"/>
        </w:rPr>
        <w:t>估算业务。面对难得的市场机遇，为满足行业发展新阶段的执业需求，评估行业必须创新资产评估执业准则体系。</w:t>
      </w:r>
    </w:p>
    <w:p w14:paraId="74C83945" w14:textId="77777777" w:rsidR="00EF350A" w:rsidRDefault="00EF350A" w:rsidP="00EF350A">
      <w:pPr>
        <w:pStyle w:val="13"/>
      </w:pPr>
      <w:r>
        <w:rPr>
          <w:rFonts w:hint="eastAsia"/>
        </w:rPr>
        <w:t>（一）服务业发展的政策要求</w:t>
      </w:r>
    </w:p>
    <w:p w14:paraId="4049F86A" w14:textId="77777777" w:rsidR="00EF350A" w:rsidRDefault="00EF350A" w:rsidP="00EF350A">
      <w:pPr>
        <w:pStyle w:val="13"/>
      </w:pPr>
      <w:r>
        <w:rPr>
          <w:rFonts w:hint="eastAsia"/>
        </w:rPr>
        <w:t>《服务业发展“十二五”规划》对服务业发展重点进行了布局，提出要加快发展生</w:t>
      </w:r>
      <w:r>
        <w:t xml:space="preserve"> 产性服务业，其中包括资产评估等商务服务业。规划提出在“十二五”时期商务服务业 的标准体系和法律法规要进一步完善的要求。国家在规划中专门强调要进一步完善商务 服务业的执业标准，体现了国家对资产评估等商务服务业向规范化和专业化发展的要求。资产评估准则建设需要围绕经济转型和政府职能转变，进一步创新思路，加快推进，做 到国家指向哪里，我们就奋进到哪里。</w:t>
      </w:r>
    </w:p>
    <w:p w14:paraId="70CBC728" w14:textId="77777777" w:rsidR="00EF350A" w:rsidRDefault="00EF350A" w:rsidP="00EF350A">
      <w:pPr>
        <w:pStyle w:val="13"/>
      </w:pPr>
      <w:r>
        <w:rPr>
          <w:rFonts w:hint="eastAsia"/>
        </w:rPr>
        <w:t>（二）行业发展规划的迫切要求</w:t>
      </w:r>
    </w:p>
    <w:p w14:paraId="54A442C4" w14:textId="77777777" w:rsidR="00EF350A" w:rsidRDefault="00EF350A" w:rsidP="00EF350A">
      <w:pPr>
        <w:pStyle w:val="13"/>
      </w:pPr>
      <w:r>
        <w:rPr>
          <w:rFonts w:hint="eastAsia"/>
        </w:rPr>
        <w:t>财政部发布的《中国资产评估行业发展规划》提出，资产评估行业的执业范围和服务领域不断拓展，力争实现资产评估行业传统业务收入年递增</w:t>
      </w:r>
      <w:r>
        <w:t xml:space="preserve"> 20%以上，全部收入 300 亿元。为此，资产评估行业在巩固和发展传统业务领域的基础上，需要大力开拓高端服务，延伸服务链条，促进专业服务的转型升级。各种业务中的</w:t>
      </w:r>
      <w:proofErr w:type="gramStart"/>
      <w:r>
        <w:t>非价值</w:t>
      </w:r>
      <w:proofErr w:type="gramEnd"/>
      <w:r>
        <w:t>估算业务是评估业务的增量，如：财政资金绩效评价、资产调查、企业财务管理能力评价、企业价值管理咨询等。而原有的评估准则体系仅适用于专属的价值估算类业务，对</w:t>
      </w:r>
      <w:proofErr w:type="gramStart"/>
      <w:r>
        <w:t>非价值</w:t>
      </w:r>
      <w:proofErr w:type="gramEnd"/>
      <w:r>
        <w:t>估算业务并不完全适用。因此，迫切需要针对各类</w:t>
      </w:r>
      <w:proofErr w:type="gramStart"/>
      <w:r>
        <w:t>非价值</w:t>
      </w:r>
      <w:proofErr w:type="gramEnd"/>
      <w:r>
        <w:t>估算业务创</w:t>
      </w:r>
      <w:r>
        <w:rPr>
          <w:rFonts w:hint="eastAsia"/>
        </w:rPr>
        <w:t>新准则，根据政策要求，结合服务对象、服务内容的特点对执业行为进行规范，做到市场在哪里，规范就到哪里。</w:t>
      </w:r>
    </w:p>
    <w:p w14:paraId="3CA22F25" w14:textId="77777777" w:rsidR="00EF350A" w:rsidRDefault="00EF350A" w:rsidP="00EF350A">
      <w:pPr>
        <w:pStyle w:val="13"/>
      </w:pPr>
      <w:r>
        <w:rPr>
          <w:rFonts w:hint="eastAsia"/>
        </w:rPr>
        <w:t>（三）评估实践的迫切要求</w:t>
      </w:r>
    </w:p>
    <w:p w14:paraId="797DA87D" w14:textId="3AA20C44" w:rsidR="00EF350A" w:rsidRDefault="00EF350A" w:rsidP="00EF350A">
      <w:pPr>
        <w:pStyle w:val="13"/>
      </w:pPr>
      <w:r>
        <w:rPr>
          <w:rFonts w:hint="eastAsia"/>
        </w:rPr>
        <w:t>社会经济不断发展，评估实践也不断变化。第一类新业务是传统资产评估概念下</w:t>
      </w:r>
      <w:r>
        <w:rPr>
          <w:rFonts w:hint="eastAsia"/>
        </w:rPr>
        <w:lastRenderedPageBreak/>
        <w:t>的新的资产类型和新的经济行为的价值估算，如：新的资产类型有碳资产、金融工具等各种权益；新的经济行为有境外企业并购、资产减值测试、企业合并对价分摊、生态价值补偿等；第二类新业务是非价值估算业务，如：财政资金绩效评价、资产调查、企业财务管理能力评价、企业价值管理咨询等。面对新的业务，评估机构已经开始不断探索</w:t>
      </w:r>
      <w:r w:rsidR="00CC4D74">
        <w:rPr>
          <w:rFonts w:hint="eastAsia"/>
        </w:rPr>
        <w:t>，</w:t>
      </w:r>
      <w:r>
        <w:t>加大创新能力。为保证业务质量，评估行业需要及时提出准则制定新蓝图，创新开展执业准则建设。</w:t>
      </w:r>
    </w:p>
    <w:p w14:paraId="64B5B30D" w14:textId="77777777" w:rsidR="00EF350A" w:rsidRDefault="00EF350A" w:rsidP="00EF350A">
      <w:pPr>
        <w:pStyle w:val="ab"/>
        <w:spacing w:before="62" w:after="62"/>
        <w:ind w:firstLine="482"/>
      </w:pPr>
      <w:r>
        <w:rPr>
          <w:rFonts w:hint="eastAsia"/>
        </w:rPr>
        <w:t>二、执业准则体系的基本结构</w:t>
      </w:r>
    </w:p>
    <w:p w14:paraId="6A55620C" w14:textId="2804067F" w:rsidR="00EF350A" w:rsidRDefault="00EF350A" w:rsidP="00EF350A">
      <w:pPr>
        <w:pStyle w:val="13"/>
      </w:pPr>
      <w:r>
        <w:rPr>
          <w:rFonts w:hint="eastAsia"/>
        </w:rPr>
        <w:t>执业准则体系建设要以政策和市场为导向，以服务国家建设为宗旨，以规范行业执业行为为落脚点，注重顶层设计，充分体现价值估算类业务与</w:t>
      </w:r>
      <w:proofErr w:type="gramStart"/>
      <w:r>
        <w:rPr>
          <w:rFonts w:hint="eastAsia"/>
        </w:rPr>
        <w:t>非价值</w:t>
      </w:r>
      <w:proofErr w:type="gramEnd"/>
      <w:r>
        <w:rPr>
          <w:rFonts w:hint="eastAsia"/>
        </w:rPr>
        <w:t>估算业务的专业特点。</w:t>
      </w:r>
    </w:p>
    <w:p w14:paraId="689F4CA2" w14:textId="77777777" w:rsidR="00EF350A" w:rsidRDefault="00EF350A" w:rsidP="00EF350A">
      <w:pPr>
        <w:pStyle w:val="13"/>
      </w:pPr>
      <w:r>
        <w:t>1、评估准则体系</w:t>
      </w:r>
    </w:p>
    <w:p w14:paraId="3CF65642" w14:textId="3D7A0A48" w:rsidR="00EF350A" w:rsidRDefault="00EF350A" w:rsidP="00EF350A">
      <w:pPr>
        <w:pStyle w:val="13"/>
      </w:pPr>
      <w:r>
        <w:rPr>
          <w:rFonts w:hint="eastAsia"/>
        </w:rPr>
        <w:t>现行资产评估准则体系，在框架上较为科学合理，具有开放性、综合性和前瞻性，很好地满足了资产评估实践需要。评估准则体系适用于价值估算类业务，规范对象为评估机构和注册资产评估师，体现维护公共利益和规范执业行为的双重目的，具有强制性。</w:t>
      </w:r>
    </w:p>
    <w:p w14:paraId="5157E4BD" w14:textId="77777777" w:rsidR="00EF350A" w:rsidRDefault="00EF350A" w:rsidP="00EF350A">
      <w:pPr>
        <w:pStyle w:val="13"/>
      </w:pPr>
      <w:r>
        <w:rPr>
          <w:rFonts w:hint="eastAsia"/>
        </w:rPr>
        <w:t>现行资产评估准则体系中各项目保持合理结构，包含职业道德准则和业务准则两部分，职业道德准则分为基本准则和具体准则两个层次；业务准则分为基本准则、具体准则、评估指南、指导意见四个层次。准则体系作为一个整体发挥作用。</w:t>
      </w:r>
    </w:p>
    <w:p w14:paraId="33EEFA6E" w14:textId="77777777" w:rsidR="00EF350A" w:rsidRDefault="00EF350A" w:rsidP="00EF350A">
      <w:pPr>
        <w:pStyle w:val="13"/>
      </w:pPr>
      <w:r>
        <w:rPr>
          <w:rFonts w:hint="eastAsia"/>
        </w:rPr>
        <w:t>对新出现的价值估算类业务的准则，可以纳入现行资产评估准则体系框架。可针对评估实践中的新兴业务、重点环节，通过具体准则项目的制定来丰富完善评估准则体系。</w:t>
      </w:r>
    </w:p>
    <w:p w14:paraId="720A2AA5" w14:textId="7DEE55D9" w:rsidR="00EF350A" w:rsidRDefault="00EF350A" w:rsidP="00EF350A">
      <w:pPr>
        <w:pStyle w:val="13"/>
      </w:pPr>
      <w:r>
        <w:rPr>
          <w:rFonts w:hint="eastAsia"/>
        </w:rPr>
        <w:t>为了促进资产评估准则体系有效实施，在更大范围、更深层次上为评估机构和注册资产评估</w:t>
      </w:r>
      <w:proofErr w:type="gramStart"/>
      <w:r>
        <w:rPr>
          <w:rFonts w:hint="eastAsia"/>
        </w:rPr>
        <w:t>师提供</w:t>
      </w:r>
      <w:proofErr w:type="gramEnd"/>
      <w:r>
        <w:rPr>
          <w:rFonts w:hint="eastAsia"/>
        </w:rPr>
        <w:t>指导，</w:t>
      </w:r>
      <w:proofErr w:type="gramStart"/>
      <w:r>
        <w:rPr>
          <w:rFonts w:hint="eastAsia"/>
        </w:rPr>
        <w:t>中评协</w:t>
      </w:r>
      <w:proofErr w:type="gramEnd"/>
      <w:r>
        <w:rPr>
          <w:rFonts w:hint="eastAsia"/>
        </w:rPr>
        <w:t>将根据评估实践需求或监管部门要求，针对评估业务特定事项或难点，陆续发布资产评估操作专家提示，供评估机构和注册资产评估师遵守评估准则时参考。专家提示由</w:t>
      </w:r>
      <w:proofErr w:type="gramStart"/>
      <w:r>
        <w:rPr>
          <w:rFonts w:hint="eastAsia"/>
        </w:rPr>
        <w:t>中评协</w:t>
      </w:r>
      <w:proofErr w:type="gramEnd"/>
      <w:r>
        <w:rPr>
          <w:rFonts w:hint="eastAsia"/>
        </w:rPr>
        <w:t>组织具有丰富理论和实践经验的专家进行起草。专家提示来自于专家自身经验和以往案例，是优秀评估实践的具体体现。但由于评估业务因不同经济行为、交易目的存在多样复杂的情况，专家提示可能会具有一定的局限性。因此</w:t>
      </w:r>
      <w:r w:rsidR="00CC4D74">
        <w:rPr>
          <w:rFonts w:hint="eastAsia"/>
        </w:rPr>
        <w:t>，</w:t>
      </w:r>
      <w:r>
        <w:t>专家提示不作为执业的强制性标准。</w:t>
      </w:r>
    </w:p>
    <w:p w14:paraId="0B12F03C" w14:textId="77777777" w:rsidR="00EF350A" w:rsidRDefault="00EF350A" w:rsidP="00EF350A">
      <w:pPr>
        <w:pStyle w:val="13"/>
      </w:pPr>
      <w:r>
        <w:t>2、操作指引体系</w:t>
      </w:r>
    </w:p>
    <w:p w14:paraId="3F8707FA" w14:textId="78B0A19F" w:rsidR="00EF350A" w:rsidRDefault="00EF350A" w:rsidP="00EF350A">
      <w:pPr>
        <w:pStyle w:val="13"/>
      </w:pPr>
      <w:r>
        <w:rPr>
          <w:rFonts w:hint="eastAsia"/>
        </w:rPr>
        <w:t>操作指引体系适用于评价、调查、管理咨询等</w:t>
      </w:r>
      <w:proofErr w:type="gramStart"/>
      <w:r>
        <w:rPr>
          <w:rFonts w:hint="eastAsia"/>
        </w:rPr>
        <w:t>非价值</w:t>
      </w:r>
      <w:proofErr w:type="gramEnd"/>
      <w:r>
        <w:rPr>
          <w:rFonts w:hint="eastAsia"/>
        </w:rPr>
        <w:t>估算类业务。将根据执业需求随时制定新的项目。体系内各项目可以相互独立，也可以相互联系，暂不分层级和类别</w:t>
      </w:r>
      <w:r w:rsidR="00CC4D74">
        <w:rPr>
          <w:rFonts w:hint="eastAsia"/>
        </w:rPr>
        <w:t>，</w:t>
      </w:r>
      <w:r>
        <w:t>将根据新业务发展情况统一规划。</w:t>
      </w:r>
    </w:p>
    <w:p w14:paraId="3A49D4EB" w14:textId="36DD4C00" w:rsidR="00EF350A" w:rsidRDefault="00EF350A" w:rsidP="00EF350A">
      <w:pPr>
        <w:pStyle w:val="13"/>
      </w:pPr>
      <w:r>
        <w:rPr>
          <w:rFonts w:hint="eastAsia"/>
        </w:rPr>
        <w:t>操作指引的制定遵循灵活、创新的原则。一是针对</w:t>
      </w:r>
      <w:proofErr w:type="gramStart"/>
      <w:r>
        <w:rPr>
          <w:rFonts w:hint="eastAsia"/>
        </w:rPr>
        <w:t>非价值</w:t>
      </w:r>
      <w:proofErr w:type="gramEnd"/>
      <w:r>
        <w:rPr>
          <w:rFonts w:hint="eastAsia"/>
        </w:rPr>
        <w:t>估算类业务执业实践不够丰富、探索性强的特点，操作指引主要体现指导目的。二是规范对象不仅仅是评估</w:t>
      </w:r>
      <w:r>
        <w:rPr>
          <w:rFonts w:hint="eastAsia"/>
        </w:rPr>
        <w:lastRenderedPageBreak/>
        <w:t>机构、注册资产评估师，也可以是其他专业服务机构或专业服务人员。三是对</w:t>
      </w:r>
      <w:proofErr w:type="gramStart"/>
      <w:r>
        <w:rPr>
          <w:rFonts w:hint="eastAsia"/>
        </w:rPr>
        <w:t>不</w:t>
      </w:r>
      <w:proofErr w:type="gramEnd"/>
      <w:r>
        <w:rPr>
          <w:rFonts w:hint="eastAsia"/>
        </w:rPr>
        <w:t>同类的业务</w:t>
      </w:r>
      <w:r w:rsidR="00CC4D74">
        <w:rPr>
          <w:rFonts w:hint="eastAsia"/>
        </w:rPr>
        <w:t>，</w:t>
      </w:r>
      <w:r>
        <w:t>对其成果的形式不强求统一，可根据不同的业务采取适当形式。四是为突出操作指引对新业务指导的及时性，在参照评估准则的制定和发布程序的基础上，操作指引的制定和发布程序可以适度调整。</w:t>
      </w:r>
    </w:p>
    <w:p w14:paraId="3D79FFB5" w14:textId="77777777" w:rsidR="00EF350A" w:rsidRDefault="00EF350A" w:rsidP="00EF350A">
      <w:pPr>
        <w:pStyle w:val="ab"/>
        <w:spacing w:before="62" w:after="62"/>
        <w:ind w:firstLine="482"/>
      </w:pPr>
      <w:r>
        <w:rPr>
          <w:rFonts w:hint="eastAsia"/>
        </w:rPr>
        <w:t>三、执业准则体系的特点</w:t>
      </w:r>
    </w:p>
    <w:p w14:paraId="0C538F69" w14:textId="77777777" w:rsidR="00EF350A" w:rsidRDefault="00EF350A" w:rsidP="00EF350A">
      <w:pPr>
        <w:pStyle w:val="13"/>
      </w:pPr>
      <w:r>
        <w:rPr>
          <w:rFonts w:hint="eastAsia"/>
        </w:rPr>
        <w:t>新的执业准则体系具有以下特点：</w:t>
      </w:r>
    </w:p>
    <w:p w14:paraId="7CB15BA6" w14:textId="77777777" w:rsidR="00EF350A" w:rsidRDefault="00EF350A" w:rsidP="00EF350A">
      <w:pPr>
        <w:pStyle w:val="13"/>
      </w:pPr>
      <w:r>
        <w:t>1、沿</w:t>
      </w:r>
      <w:proofErr w:type="gramStart"/>
      <w:r>
        <w:t>承价值</w:t>
      </w:r>
      <w:proofErr w:type="gramEnd"/>
      <w:r>
        <w:t>估算类业务</w:t>
      </w:r>
    </w:p>
    <w:p w14:paraId="3B15EB76" w14:textId="7CD9CE14" w:rsidR="00EF350A" w:rsidRDefault="00EF350A" w:rsidP="00EF350A">
      <w:pPr>
        <w:pStyle w:val="13"/>
      </w:pPr>
      <w:r>
        <w:rPr>
          <w:rFonts w:hint="eastAsia"/>
        </w:rPr>
        <w:t>评估机构提供的价值估算类业务是注册资产评估师的专属业务，是行业安身立命的基础，并且将在较长时期仍是行业核心业务。现行的资产评估准则体系，科学合理，很好地满足了资产评估实践需要，对于价值估算类的新业务可以通过制定新的准则项目来满足执业需求。因此，在新的执业准则体系中，应单独设立资产评估准则体系。此外</w:t>
      </w:r>
      <w:r w:rsidR="00CC4D74">
        <w:rPr>
          <w:rFonts w:hint="eastAsia"/>
        </w:rPr>
        <w:t>，</w:t>
      </w:r>
      <w:r>
        <w:t>从评估行业的国际交流与合作方面来看，主要是针对价值估算类的评估准则的探讨与交流，单独设立评估准则体系，也有助于国际交流。</w:t>
      </w:r>
    </w:p>
    <w:p w14:paraId="52F6E6F5" w14:textId="77777777" w:rsidR="00EF350A" w:rsidRDefault="00EF350A" w:rsidP="00EF350A">
      <w:pPr>
        <w:pStyle w:val="13"/>
      </w:pPr>
      <w:r>
        <w:t>2、兼顾</w:t>
      </w:r>
      <w:proofErr w:type="gramStart"/>
      <w:r>
        <w:t>非价值</w:t>
      </w:r>
      <w:proofErr w:type="gramEnd"/>
      <w:r>
        <w:t>估算类业务</w:t>
      </w:r>
    </w:p>
    <w:p w14:paraId="65071DB8" w14:textId="57AFF971" w:rsidR="00EF350A" w:rsidRDefault="00EF350A" w:rsidP="00EF350A">
      <w:pPr>
        <w:pStyle w:val="13"/>
      </w:pPr>
      <w:r>
        <w:rPr>
          <w:rFonts w:hint="eastAsia"/>
        </w:rPr>
        <w:t>新业务中的</w:t>
      </w:r>
      <w:proofErr w:type="gramStart"/>
      <w:r>
        <w:rPr>
          <w:rFonts w:hint="eastAsia"/>
        </w:rPr>
        <w:t>非价值</w:t>
      </w:r>
      <w:proofErr w:type="gramEnd"/>
      <w:r>
        <w:rPr>
          <w:rFonts w:hint="eastAsia"/>
        </w:rPr>
        <w:t>估算类业务，内容多样，差异较大，成熟案例较少，探索性较强</w:t>
      </w:r>
      <w:r w:rsidR="00CC4D74">
        <w:rPr>
          <w:rFonts w:hint="eastAsia"/>
        </w:rPr>
        <w:t>，</w:t>
      </w:r>
      <w:r>
        <w:t>按传统评估业务执业准则的制定程序和内容要求，可能不能及时满足业务实践的需要。对于该类业务，应“另起炉灶”，设计操作指引体系。而且该类业务中许多业务属于市场化强的业务，并非评估行业的特有业务。因此，单独设立操作指引体系，根据非估算价值业务具体特点，委托方及相关当事方特定需求，评估机构和注册资产评估师的执业实践，制定具有针对性、适用性更强的操作指引，可以较好适应新兴市场的服务特点。</w:t>
      </w:r>
    </w:p>
    <w:p w14:paraId="5D0BF814" w14:textId="77777777" w:rsidR="00EF350A" w:rsidRDefault="00EF350A" w:rsidP="00EF350A">
      <w:pPr>
        <w:pStyle w:val="13"/>
      </w:pPr>
      <w:r>
        <w:t>3、符合评估执业准则国际发展趋势</w:t>
      </w:r>
    </w:p>
    <w:p w14:paraId="2F39081C" w14:textId="77777777" w:rsidR="00EF350A" w:rsidRDefault="00EF350A" w:rsidP="00EF350A">
      <w:pPr>
        <w:pStyle w:val="13"/>
      </w:pPr>
      <w:r>
        <w:rPr>
          <w:rFonts w:hint="eastAsia"/>
        </w:rPr>
        <w:t>我国的执业准则体系中，根据评估机构、执业人员和监管部门的特定需求制定了专家提示，这符合评估理论和实践的规律。一是准则原则性与专家提示的操作性互为补充。</w:t>
      </w:r>
    </w:p>
    <w:p w14:paraId="42954906" w14:textId="13BC7906" w:rsidR="00EF350A" w:rsidRDefault="00EF350A" w:rsidP="00EF350A">
      <w:pPr>
        <w:pStyle w:val="13"/>
      </w:pPr>
      <w:r>
        <w:rPr>
          <w:rFonts w:hint="eastAsia"/>
        </w:rPr>
        <w:t>准则是应遵循的执业标准，具有较强的原则性，</w:t>
      </w:r>
      <w:proofErr w:type="gramStart"/>
      <w:r>
        <w:rPr>
          <w:rFonts w:hint="eastAsia"/>
        </w:rPr>
        <w:t>其虽然</w:t>
      </w:r>
      <w:proofErr w:type="gramEnd"/>
      <w:r>
        <w:rPr>
          <w:rFonts w:hint="eastAsia"/>
        </w:rPr>
        <w:t>包括以原则为基础的一些规则</w:t>
      </w:r>
      <w:r w:rsidR="00CC4D74">
        <w:rPr>
          <w:rFonts w:hint="eastAsia"/>
        </w:rPr>
        <w:t>，</w:t>
      </w:r>
      <w:r>
        <w:t>但不可能对每种执业情况均提供详细的操作指导。而专家提示来自于专家对执业中解决特定问题的实践经验，具有较强的操作性。二是准则的普适性与提示的具体性互为补充。准则作为执业的根本规范，具有较强的普适性的特点。对中小评估机构执业人员、一些执业经验较少的新执业的注册资产评估师需要予以更具体的指导。提示具有较强的具体性，可以针对具体的情况、具体的案例进行讲解说明，作为准则的补充。三是准则的强制性与提示的参考性互为补充。准则是指导与规范执业的依</w:t>
      </w:r>
      <w:r>
        <w:rPr>
          <w:rFonts w:hint="eastAsia"/>
        </w:rPr>
        <w:t>据，其执行具有强制性。准则历来作为自律检查和惩戒的依据，同时也是监管部门审核评估报告和行政处罚的重要依据。提示的本质为执业的参考建议，因此不具有强制性。</w:t>
      </w:r>
      <w:r>
        <w:rPr>
          <w:rFonts w:hint="eastAsia"/>
        </w:rPr>
        <w:lastRenderedPageBreak/>
        <w:t>近年，国际评估准则理事会、美国评估促进会等评估组织为促进准则实施，根据执业需要提供了技术性文件或解释</w:t>
      </w:r>
      <w:r w:rsidR="00CC4D74">
        <w:rPr>
          <w:rFonts w:hint="eastAsia"/>
        </w:rPr>
        <w:t>，</w:t>
      </w:r>
      <w:r>
        <w:t>对准则进行细致的说明和案例指导，已经逐渐形成趋势。我国评估行业制定专家提示</w:t>
      </w:r>
      <w:r w:rsidR="00CC4D74">
        <w:t>，</w:t>
      </w:r>
      <w:r>
        <w:t>符合这一发展趋势。</w:t>
      </w:r>
    </w:p>
    <w:p w14:paraId="741F3B46" w14:textId="77777777" w:rsidR="00EF350A" w:rsidRDefault="00EF350A" w:rsidP="00EF350A">
      <w:pPr>
        <w:pStyle w:val="13"/>
      </w:pPr>
      <w:r>
        <w:rPr>
          <w:rFonts w:hint="eastAsia"/>
        </w:rPr>
        <w:t>为进一步完善执业准则体系，</w:t>
      </w:r>
      <w:proofErr w:type="gramStart"/>
      <w:r>
        <w:rPr>
          <w:rFonts w:hint="eastAsia"/>
        </w:rPr>
        <w:t>中评协</w:t>
      </w:r>
      <w:proofErr w:type="gramEnd"/>
      <w:r>
        <w:rPr>
          <w:rFonts w:hint="eastAsia"/>
        </w:rPr>
        <w:t>将密切关注市场的需求，积极研究相关部门和行业新的政策动向，及时掌握执业中出现的新变化。在价值估算类业务方面，通过具体准则项目的制定来丰富完善准则体系。在非价值估算类业务方面，将积极研究操作指引的结构与表述，及时研究、出台具体指引，对政府部门有文件明确规定的相关业务进行指导。</w:t>
      </w:r>
    </w:p>
    <w:p w14:paraId="617015CA" w14:textId="6D31F34C" w:rsidR="00B61DD6" w:rsidRDefault="00EF350A" w:rsidP="00EF350A">
      <w:pPr>
        <w:pStyle w:val="13"/>
      </w:pPr>
      <w:r>
        <w:rPr>
          <w:rFonts w:hint="eastAsia"/>
        </w:rPr>
        <w:t>在中国经济腾飞和民族复兴的大背景下，资产评估行业有着巨大的市场需求，我们应抓住机遇，总结经验，面向未来，汇聚各方力量，做好发展资产评估执业准则体系的相关工作，为资产评估行业的发展奠定坚实的专业基础，为党和国家的各项事业贡献专业力量。</w:t>
      </w:r>
    </w:p>
    <w:p w14:paraId="44F53E16" w14:textId="77777777" w:rsidR="00EF0BC2" w:rsidRDefault="00EF0BC2" w:rsidP="00EF0BC2">
      <w:pPr>
        <w:pStyle w:val="21"/>
        <w:spacing w:before="156" w:after="93"/>
      </w:pPr>
      <w:bookmarkStart w:id="12" w:name="_Toc81833292"/>
      <w:r>
        <w:rPr>
          <w:rFonts w:hint="eastAsia"/>
        </w:rPr>
        <w:t>基本准则</w:t>
      </w:r>
      <w:bookmarkEnd w:id="12"/>
    </w:p>
    <w:p w14:paraId="0F5BAF35" w14:textId="77777777" w:rsidR="00EF0BC2" w:rsidRDefault="00EF0BC2" w:rsidP="00EF0BC2">
      <w:pPr>
        <w:pStyle w:val="31"/>
        <w:spacing w:before="156" w:after="62"/>
      </w:pPr>
      <w:bookmarkStart w:id="13" w:name="_Toc81833293"/>
      <w:r>
        <w:rPr>
          <w:rFonts w:hint="eastAsia"/>
        </w:rPr>
        <w:t>资产评估基本准则（财资〔</w:t>
      </w:r>
      <w:r>
        <w:t>2017〕43号）</w:t>
      </w:r>
      <w:bookmarkEnd w:id="13"/>
    </w:p>
    <w:p w14:paraId="4B5D363B" w14:textId="77777777" w:rsidR="00EF0BC2" w:rsidRDefault="00EF0BC2" w:rsidP="00EF0BC2">
      <w:pPr>
        <w:pStyle w:val="13"/>
        <w:ind w:firstLineChars="0" w:firstLine="0"/>
      </w:pPr>
      <w:r>
        <w:rPr>
          <w:rFonts w:hint="eastAsia"/>
        </w:rPr>
        <w:t>党中央有关部门，国务院各部委、各直属机构，全国人大常委会办公厅，全国政协办公厅，高法院，高检院，各民主党派中央，有关人民团体，各省、自治区、直辖市、计划单列市财政厅（局），新疆生产建设兵团财务局，有关单位：</w:t>
      </w:r>
    </w:p>
    <w:p w14:paraId="51F65531" w14:textId="72810902" w:rsidR="00EF0BC2" w:rsidRDefault="00EF0BC2" w:rsidP="00EF0BC2">
      <w:pPr>
        <w:pStyle w:val="13"/>
      </w:pPr>
      <w:r>
        <w:rPr>
          <w:rFonts w:hint="eastAsia"/>
        </w:rPr>
        <w:t>为规范资产评估执业行为，保护资产评估当事人合法权益和公共利益，维护社会主义市场经济秩序，根据《中华人民共和国资产评估法》等有关规定，财政部制定了《资产评估基本准则》，现予印发，自</w:t>
      </w:r>
      <w:r>
        <w:t xml:space="preserve"> 2017</w:t>
      </w:r>
      <w:r w:rsidR="003068F8">
        <w:t>年</w:t>
      </w:r>
      <w:r>
        <w:t>10</w:t>
      </w:r>
      <w:r w:rsidR="003068F8">
        <w:t>月</w:t>
      </w:r>
      <w:r>
        <w:t>1</w:t>
      </w:r>
      <w:r w:rsidR="003068F8">
        <w:t>日</w:t>
      </w:r>
      <w:r>
        <w:t>起施行。</w:t>
      </w:r>
    </w:p>
    <w:p w14:paraId="722F17E2" w14:textId="77777777" w:rsidR="00EF0BC2" w:rsidRDefault="00EF0BC2" w:rsidP="00EF0BC2">
      <w:pPr>
        <w:pStyle w:val="13"/>
      </w:pPr>
      <w:r>
        <w:rPr>
          <w:rFonts w:hint="eastAsia"/>
        </w:rPr>
        <w:t>附件：资产评估基本准则</w:t>
      </w:r>
    </w:p>
    <w:p w14:paraId="13B42633" w14:textId="77777777" w:rsidR="00EF0BC2" w:rsidRDefault="00EF0BC2" w:rsidP="00EF0BC2">
      <w:pPr>
        <w:pStyle w:val="13"/>
        <w:jc w:val="right"/>
      </w:pPr>
      <w:r>
        <w:rPr>
          <w:rFonts w:hint="eastAsia"/>
        </w:rPr>
        <w:t>财政部</w:t>
      </w:r>
    </w:p>
    <w:p w14:paraId="012A37FD" w14:textId="4A8FC5CA" w:rsidR="00EF0BC2" w:rsidRDefault="00EF0BC2" w:rsidP="00EF0BC2">
      <w:pPr>
        <w:pStyle w:val="13"/>
        <w:jc w:val="right"/>
      </w:pPr>
      <w:r>
        <w:t>2017</w:t>
      </w:r>
      <w:r w:rsidR="003068F8">
        <w:t>年</w:t>
      </w:r>
      <w:r>
        <w:t>8</w:t>
      </w:r>
      <w:r w:rsidR="003068F8">
        <w:t>月</w:t>
      </w:r>
      <w:r>
        <w:t>23</w:t>
      </w:r>
      <w:r w:rsidR="003068F8">
        <w:t>日</w:t>
      </w:r>
    </w:p>
    <w:p w14:paraId="4BB2A6FF" w14:textId="77777777" w:rsidR="00EF0BC2" w:rsidRDefault="00EF0BC2" w:rsidP="00AF7342">
      <w:pPr>
        <w:pStyle w:val="a9"/>
        <w:spacing w:before="62" w:after="62"/>
      </w:pPr>
      <w:r>
        <w:rPr>
          <w:rFonts w:hint="eastAsia"/>
        </w:rPr>
        <w:t>资产评估基本准则</w:t>
      </w:r>
    </w:p>
    <w:p w14:paraId="1FBD666C" w14:textId="77777777" w:rsidR="00EF0BC2" w:rsidRDefault="00EF0BC2" w:rsidP="00AF7342">
      <w:pPr>
        <w:pStyle w:val="a9"/>
        <w:spacing w:before="62" w:after="62"/>
      </w:pPr>
      <w:r>
        <w:rPr>
          <w:rFonts w:hint="eastAsia"/>
        </w:rPr>
        <w:t>第一章</w:t>
      </w:r>
      <w:r>
        <w:t xml:space="preserve"> 总则</w:t>
      </w:r>
    </w:p>
    <w:p w14:paraId="400EFDBF" w14:textId="409420B8" w:rsidR="00EF0BC2" w:rsidRDefault="004E3EBB" w:rsidP="00EF0BC2">
      <w:pPr>
        <w:pStyle w:val="13"/>
        <w:ind w:firstLine="482"/>
      </w:pPr>
      <w:r w:rsidRPr="004E3EBB">
        <w:rPr>
          <w:rFonts w:hint="eastAsia"/>
          <w:b/>
          <w:bCs/>
        </w:rPr>
        <w:t xml:space="preserve">第一条 </w:t>
      </w:r>
      <w:r w:rsidR="00EF0BC2">
        <w:t>为规范资产评估行为，保证执业质量，明确执业责任，保护资产评估当事人合法权益和公共利益，根据《中华人民共和国资产评估法》《资产评估行业财政监督管理办法》等制定本准则。</w:t>
      </w:r>
    </w:p>
    <w:p w14:paraId="1A29714A" w14:textId="08F331C9" w:rsidR="00EF0BC2" w:rsidRDefault="004E3EBB" w:rsidP="00EF0BC2">
      <w:pPr>
        <w:pStyle w:val="13"/>
        <w:ind w:firstLine="482"/>
      </w:pPr>
      <w:r w:rsidRPr="004E3EBB">
        <w:rPr>
          <w:rFonts w:hint="eastAsia"/>
          <w:b/>
          <w:bCs/>
        </w:rPr>
        <w:t xml:space="preserve">第二条 </w:t>
      </w:r>
      <w:r w:rsidR="00EF0BC2">
        <w:t>资产评估机构及其资产评估专业人员开展资产评估业务应当遵守本准则。法律、行政法规和国务院规定由其他评估行政管理部门管理，应当执行其他准则的，从其规定。</w:t>
      </w:r>
    </w:p>
    <w:p w14:paraId="42EBE2BF" w14:textId="6EF76C4C" w:rsidR="00EF0BC2" w:rsidRDefault="004E3EBB" w:rsidP="00EF0BC2">
      <w:pPr>
        <w:pStyle w:val="13"/>
        <w:ind w:firstLine="482"/>
      </w:pPr>
      <w:r w:rsidRPr="004E3EBB">
        <w:rPr>
          <w:rFonts w:hint="eastAsia"/>
          <w:b/>
          <w:bCs/>
        </w:rPr>
        <w:t xml:space="preserve">第三条 </w:t>
      </w:r>
      <w:r w:rsidR="00EF0BC2">
        <w:t>本准则所称资产评估机构及其资产评估专业人员是指根据资产评估法</w:t>
      </w:r>
      <w:r w:rsidR="00EF0BC2">
        <w:lastRenderedPageBreak/>
        <w:t>和国务院规定，按照职责分工由财政部门监管的资产评估机构及其资产评估专业人员。</w:t>
      </w:r>
    </w:p>
    <w:p w14:paraId="6E66A26F" w14:textId="77777777" w:rsidR="00EF0BC2" w:rsidRDefault="00EF0BC2" w:rsidP="00AF7342">
      <w:pPr>
        <w:pStyle w:val="a9"/>
        <w:spacing w:before="62" w:after="62"/>
      </w:pPr>
      <w:r>
        <w:rPr>
          <w:rFonts w:hint="eastAsia"/>
        </w:rPr>
        <w:t>第二章</w:t>
      </w:r>
      <w:r>
        <w:t xml:space="preserve"> 基本遵循</w:t>
      </w:r>
    </w:p>
    <w:p w14:paraId="4F87E4D7" w14:textId="1F1742C9" w:rsidR="00EF0BC2" w:rsidRDefault="004E3EBB" w:rsidP="00EF0BC2">
      <w:pPr>
        <w:pStyle w:val="13"/>
        <w:ind w:firstLine="482"/>
      </w:pPr>
      <w:r w:rsidRPr="004E3EBB">
        <w:rPr>
          <w:rFonts w:hint="eastAsia"/>
          <w:b/>
          <w:bCs/>
        </w:rPr>
        <w:t xml:space="preserve">第四条 </w:t>
      </w:r>
      <w:r w:rsidR="00EF0BC2">
        <w:t>资产评估机构及其资产评估专业人员开展资产评估业务应当遵守法律、行</w:t>
      </w:r>
      <w:r w:rsidR="00EF0BC2">
        <w:rPr>
          <w:rFonts w:hint="eastAsia"/>
        </w:rPr>
        <w:t>政法规的规定，坚持独立、客观、公正的原则。</w:t>
      </w:r>
    </w:p>
    <w:p w14:paraId="2B62E8B8" w14:textId="582187A4" w:rsidR="00EF0BC2" w:rsidRDefault="004E3EBB" w:rsidP="00EF0BC2">
      <w:pPr>
        <w:pStyle w:val="13"/>
        <w:ind w:firstLine="482"/>
      </w:pPr>
      <w:r w:rsidRPr="004E3EBB">
        <w:rPr>
          <w:rFonts w:hint="eastAsia"/>
          <w:b/>
          <w:bCs/>
        </w:rPr>
        <w:t xml:space="preserve">第五条 </w:t>
      </w:r>
      <w:r w:rsidR="00EF0BC2">
        <w:t>资产评估机构及其资产评估专业人员应当诚实守信，勤勉尽责，谨慎从业</w:t>
      </w:r>
      <w:r w:rsidR="00CC4D74">
        <w:t>，</w:t>
      </w:r>
      <w:r w:rsidR="00EF0BC2">
        <w:t>遵守职业道德规范，自觉维护职业形象，不得从事损害职业形象的活动。</w:t>
      </w:r>
    </w:p>
    <w:p w14:paraId="0C86A1CE" w14:textId="1299295B" w:rsidR="00EF0BC2" w:rsidRDefault="004E3EBB" w:rsidP="00EF0BC2">
      <w:pPr>
        <w:pStyle w:val="13"/>
        <w:ind w:firstLine="482"/>
      </w:pPr>
      <w:r w:rsidRPr="004E3EBB">
        <w:rPr>
          <w:rFonts w:hint="eastAsia"/>
          <w:b/>
          <w:bCs/>
        </w:rPr>
        <w:t xml:space="preserve">第六条 </w:t>
      </w:r>
      <w:r w:rsidR="00EF0BC2">
        <w:t>资产评估机构及其资产评估专业人员开展资产评估业务，应当独立进行分析和估算并形成专业意见，拒绝委托人或者其他相关当事人的干预，不得直接以预先设定的价值作为评估结论。</w:t>
      </w:r>
    </w:p>
    <w:p w14:paraId="23FA0FD7" w14:textId="3BE61DB2" w:rsidR="00EF0BC2" w:rsidRDefault="004E3EBB" w:rsidP="00EF0BC2">
      <w:pPr>
        <w:pStyle w:val="13"/>
        <w:ind w:firstLine="482"/>
      </w:pPr>
      <w:r w:rsidRPr="004E3EBB">
        <w:rPr>
          <w:rFonts w:hint="eastAsia"/>
          <w:b/>
          <w:bCs/>
        </w:rPr>
        <w:t xml:space="preserve">第七条 </w:t>
      </w:r>
      <w:r w:rsidR="00EF0BC2">
        <w:t>资产评估专业人员应当具备相应的资产评估专业知识和实践经验，能够胜任所执行的资产评估业务，保持和提高专业能力。</w:t>
      </w:r>
    </w:p>
    <w:p w14:paraId="4B3E60D4" w14:textId="77777777" w:rsidR="00EF0BC2" w:rsidRDefault="00EF0BC2" w:rsidP="00AF7342">
      <w:pPr>
        <w:pStyle w:val="a9"/>
        <w:spacing w:before="62" w:after="62"/>
      </w:pPr>
      <w:r>
        <w:rPr>
          <w:rFonts w:hint="eastAsia"/>
        </w:rPr>
        <w:t>第三章</w:t>
      </w:r>
      <w:r>
        <w:t xml:space="preserve"> 资产评估程序</w:t>
      </w:r>
    </w:p>
    <w:p w14:paraId="331587EC" w14:textId="563416CE" w:rsidR="00EF0BC2" w:rsidRDefault="004E3EBB" w:rsidP="00EF0BC2">
      <w:pPr>
        <w:pStyle w:val="13"/>
        <w:ind w:firstLine="482"/>
      </w:pPr>
      <w:r w:rsidRPr="004E3EBB">
        <w:rPr>
          <w:rFonts w:hint="eastAsia"/>
          <w:b/>
          <w:bCs/>
        </w:rPr>
        <w:t xml:space="preserve">第八条 </w:t>
      </w:r>
      <w:r w:rsidR="00EF0BC2">
        <w:t>资产评估机构及其资产评估专业人员开展资产评估业务，履行下列基本程序：明确业务基本事项、订立业务委托合同、编制资产评估计划、进行评估现场调查、收集整理评估资料、评定估算形成结论、编制出具评估报告、整理归集评估档案。</w:t>
      </w:r>
    </w:p>
    <w:p w14:paraId="5C0C3995" w14:textId="77777777" w:rsidR="00EF0BC2" w:rsidRDefault="00EF0BC2" w:rsidP="00EF0BC2">
      <w:pPr>
        <w:pStyle w:val="13"/>
      </w:pPr>
      <w:r>
        <w:rPr>
          <w:rFonts w:hint="eastAsia"/>
        </w:rPr>
        <w:t>资产评估机构及其资产评估专业人员不得随意减少资产评估基本程序。</w:t>
      </w:r>
    </w:p>
    <w:p w14:paraId="5C09E298" w14:textId="58AA4256" w:rsidR="00EF0BC2" w:rsidRDefault="00E05BDA" w:rsidP="00EF0BC2">
      <w:pPr>
        <w:pStyle w:val="13"/>
        <w:ind w:firstLine="482"/>
      </w:pPr>
      <w:r w:rsidRPr="00E05BDA">
        <w:rPr>
          <w:rFonts w:hint="eastAsia"/>
          <w:b/>
          <w:bCs/>
        </w:rPr>
        <w:t xml:space="preserve">第九条 </w:t>
      </w:r>
      <w:r w:rsidR="00EF0BC2">
        <w:t>资产评估机构受理资产评估业务前，应当明确下列资产评估业务基本事项：</w:t>
      </w:r>
    </w:p>
    <w:p w14:paraId="0246B66B" w14:textId="77777777" w:rsidR="00EF0BC2" w:rsidRDefault="00EF0BC2" w:rsidP="00EF0BC2">
      <w:pPr>
        <w:pStyle w:val="13"/>
      </w:pPr>
      <w:r>
        <w:rPr>
          <w:rFonts w:hint="eastAsia"/>
        </w:rPr>
        <w:t>（一）委托人、产权持有人和委托人以外的其他资产评估报告使用人；</w:t>
      </w:r>
    </w:p>
    <w:p w14:paraId="6DD0C823" w14:textId="77777777" w:rsidR="00EF0BC2" w:rsidRDefault="00EF0BC2" w:rsidP="00EF0BC2">
      <w:pPr>
        <w:pStyle w:val="13"/>
      </w:pPr>
      <w:r>
        <w:rPr>
          <w:rFonts w:hint="eastAsia"/>
        </w:rPr>
        <w:t>（二）评估目的；</w:t>
      </w:r>
    </w:p>
    <w:p w14:paraId="7D9AD96E" w14:textId="77777777" w:rsidR="00EF0BC2" w:rsidRDefault="00EF0BC2" w:rsidP="00EF0BC2">
      <w:pPr>
        <w:pStyle w:val="13"/>
      </w:pPr>
      <w:r>
        <w:rPr>
          <w:rFonts w:hint="eastAsia"/>
        </w:rPr>
        <w:t>（三）评估对象和评估范围；</w:t>
      </w:r>
    </w:p>
    <w:p w14:paraId="38944553" w14:textId="77777777" w:rsidR="00EF0BC2" w:rsidRDefault="00EF0BC2" w:rsidP="00EF0BC2">
      <w:pPr>
        <w:pStyle w:val="13"/>
      </w:pPr>
      <w:r>
        <w:rPr>
          <w:rFonts w:hint="eastAsia"/>
        </w:rPr>
        <w:t>（四）价值类型；</w:t>
      </w:r>
    </w:p>
    <w:p w14:paraId="2B345E71" w14:textId="77777777" w:rsidR="00EF0BC2" w:rsidRDefault="00EF0BC2" w:rsidP="00EF0BC2">
      <w:pPr>
        <w:pStyle w:val="13"/>
      </w:pPr>
      <w:r>
        <w:rPr>
          <w:rFonts w:hint="eastAsia"/>
        </w:rPr>
        <w:t>（五）评估基准日；</w:t>
      </w:r>
    </w:p>
    <w:p w14:paraId="1317CE00" w14:textId="77777777" w:rsidR="00EF0BC2" w:rsidRDefault="00EF0BC2" w:rsidP="00EF0BC2">
      <w:pPr>
        <w:pStyle w:val="13"/>
      </w:pPr>
      <w:r>
        <w:rPr>
          <w:rFonts w:hint="eastAsia"/>
        </w:rPr>
        <w:t>（六）资产评估报告使用范围；</w:t>
      </w:r>
    </w:p>
    <w:p w14:paraId="13468B47" w14:textId="77777777" w:rsidR="00EF0BC2" w:rsidRDefault="00EF0BC2" w:rsidP="00EF0BC2">
      <w:pPr>
        <w:pStyle w:val="13"/>
      </w:pPr>
      <w:r>
        <w:rPr>
          <w:rFonts w:hint="eastAsia"/>
        </w:rPr>
        <w:t>（七）资产评估报告提交期限及方式；</w:t>
      </w:r>
    </w:p>
    <w:p w14:paraId="1459DBE4" w14:textId="77777777" w:rsidR="00EF0BC2" w:rsidRDefault="00EF0BC2" w:rsidP="00EF0BC2">
      <w:pPr>
        <w:pStyle w:val="13"/>
      </w:pPr>
      <w:r>
        <w:rPr>
          <w:rFonts w:hint="eastAsia"/>
        </w:rPr>
        <w:t>（八）评估服务费及支付方式；</w:t>
      </w:r>
    </w:p>
    <w:p w14:paraId="56557D0A" w14:textId="77777777" w:rsidR="00EF0BC2" w:rsidRDefault="00EF0BC2" w:rsidP="00EF0BC2">
      <w:pPr>
        <w:pStyle w:val="13"/>
      </w:pPr>
      <w:r>
        <w:rPr>
          <w:rFonts w:hint="eastAsia"/>
        </w:rPr>
        <w:t>（九）委托人、其他相关当事人与资产评估机构及其资产评估专业人员工作配合和协助等需要明确的重要事项。</w:t>
      </w:r>
    </w:p>
    <w:p w14:paraId="28AABFDA" w14:textId="77777777" w:rsidR="00EF0BC2" w:rsidRDefault="00EF0BC2" w:rsidP="00EF0BC2">
      <w:pPr>
        <w:pStyle w:val="13"/>
      </w:pPr>
      <w:r>
        <w:rPr>
          <w:rFonts w:hint="eastAsia"/>
        </w:rPr>
        <w:t>资产评估机构应当对专业能力、独立性和业务风险进行综合分析和评价。受理资产评估业务应当满足专业能力、独立性和业务风险控制要求，否则不得受理。</w:t>
      </w:r>
    </w:p>
    <w:p w14:paraId="398ED228" w14:textId="343EF4FF" w:rsidR="00EF0BC2" w:rsidRDefault="00E05BDA" w:rsidP="00EF0BC2">
      <w:pPr>
        <w:pStyle w:val="13"/>
        <w:ind w:firstLine="482"/>
      </w:pPr>
      <w:r w:rsidRPr="00E05BDA">
        <w:rPr>
          <w:rFonts w:hint="eastAsia"/>
          <w:b/>
          <w:bCs/>
        </w:rPr>
        <w:t xml:space="preserve">第十条 </w:t>
      </w:r>
      <w:r w:rsidR="00EF0BC2">
        <w:t>资产评估机构执行某项特定业务缺乏特定的专业知识和经验时，应当采取弥补措施，包括利用专家工作等。</w:t>
      </w:r>
    </w:p>
    <w:p w14:paraId="372118B5" w14:textId="756CCF37" w:rsidR="00EF0BC2" w:rsidRDefault="00E05BDA" w:rsidP="00EF0BC2">
      <w:pPr>
        <w:pStyle w:val="13"/>
        <w:ind w:firstLine="482"/>
      </w:pPr>
      <w:r w:rsidRPr="00E05BDA">
        <w:rPr>
          <w:rFonts w:hint="eastAsia"/>
          <w:b/>
          <w:bCs/>
        </w:rPr>
        <w:lastRenderedPageBreak/>
        <w:t xml:space="preserve">第十一条 </w:t>
      </w:r>
      <w:r w:rsidR="00EF0BC2">
        <w:t>资产评估机构受理资产评估业务应当与委托人依法订立资产评估委托合同，约定资产评估机构和委托人权利、义务、违约责任和争议解决等内容。</w:t>
      </w:r>
    </w:p>
    <w:p w14:paraId="6B85B54C" w14:textId="4A256435" w:rsidR="00EF0BC2" w:rsidRDefault="00E05BDA" w:rsidP="00EF0BC2">
      <w:pPr>
        <w:pStyle w:val="13"/>
        <w:ind w:firstLine="482"/>
      </w:pPr>
      <w:r w:rsidRPr="00E05BDA">
        <w:rPr>
          <w:rFonts w:hint="eastAsia"/>
          <w:b/>
          <w:bCs/>
        </w:rPr>
        <w:t xml:space="preserve">第十二条 </w:t>
      </w:r>
      <w:r w:rsidR="00EF0BC2">
        <w:t>资产评估专业人员应当根据资产评估业务具体情况编制资产评估计划，</w:t>
      </w:r>
      <w:r w:rsidR="00EF0BC2">
        <w:rPr>
          <w:rFonts w:hint="eastAsia"/>
        </w:rPr>
        <w:t>包括资产评估业务实施的主要过程及时间进度、人员安排等。</w:t>
      </w:r>
    </w:p>
    <w:p w14:paraId="038910A9" w14:textId="5B49E358" w:rsidR="00EF0BC2" w:rsidRDefault="00E05BDA" w:rsidP="00EF0BC2">
      <w:pPr>
        <w:pStyle w:val="13"/>
        <w:ind w:firstLine="482"/>
      </w:pPr>
      <w:r w:rsidRPr="00E05BDA">
        <w:rPr>
          <w:rFonts w:hint="eastAsia"/>
          <w:b/>
          <w:bCs/>
        </w:rPr>
        <w:t xml:space="preserve">第十三条 </w:t>
      </w:r>
      <w:r w:rsidR="00EF0BC2">
        <w:t>执行资产评估业务，应当对评估对象进行现场调查，获取资产评估业务需要的资料，了解评估对象现状，关注评估对象法律权属。</w:t>
      </w:r>
    </w:p>
    <w:p w14:paraId="3C50D42C" w14:textId="592457BD" w:rsidR="00EF0BC2" w:rsidRDefault="00E05BDA" w:rsidP="00EF0BC2">
      <w:pPr>
        <w:pStyle w:val="13"/>
        <w:ind w:firstLine="482"/>
      </w:pPr>
      <w:r w:rsidRPr="00E05BDA">
        <w:rPr>
          <w:rFonts w:hint="eastAsia"/>
          <w:b/>
          <w:bCs/>
        </w:rPr>
        <w:t xml:space="preserve">第十四条 </w:t>
      </w:r>
      <w:r w:rsidR="00EF0BC2">
        <w:t>资产评估专业人员应当根据资产评估业务具体情况收集资产评估业务需要的资料。包括：委托人或者其他相关当事人提供的涉及评估对象和评估范围等资料</w:t>
      </w:r>
      <w:r w:rsidR="003068F8">
        <w:t>；</w:t>
      </w:r>
      <w:r w:rsidR="00EF0BC2">
        <w:t>从政府部门、各类专业机构以及市场等渠道获取的其他资料。</w:t>
      </w:r>
    </w:p>
    <w:p w14:paraId="03E87F58" w14:textId="77777777" w:rsidR="00EF0BC2" w:rsidRDefault="00EF0BC2" w:rsidP="00EF0BC2">
      <w:pPr>
        <w:pStyle w:val="13"/>
      </w:pPr>
      <w:r>
        <w:rPr>
          <w:rFonts w:hint="eastAsia"/>
        </w:rPr>
        <w:t>委托人和其他相关当事人依法提供并保证资料的真实性、完整性、合法性。</w:t>
      </w:r>
    </w:p>
    <w:p w14:paraId="096A00E7" w14:textId="691B699D" w:rsidR="00EF0BC2" w:rsidRDefault="00E05BDA" w:rsidP="00EF0BC2">
      <w:pPr>
        <w:pStyle w:val="13"/>
        <w:ind w:firstLine="482"/>
      </w:pPr>
      <w:r w:rsidRPr="00E05BDA">
        <w:rPr>
          <w:rFonts w:hint="eastAsia"/>
          <w:b/>
          <w:bCs/>
        </w:rPr>
        <w:t xml:space="preserve">第十五条 </w:t>
      </w:r>
      <w:r w:rsidR="00EF0BC2">
        <w:t>资产评估专业人员应当依法对资产评估活动中使用的资料进行核查和验证。</w:t>
      </w:r>
    </w:p>
    <w:p w14:paraId="42B15EA8" w14:textId="143789AE" w:rsidR="00EF0BC2" w:rsidRDefault="00E05BDA" w:rsidP="00EF0BC2">
      <w:pPr>
        <w:pStyle w:val="13"/>
        <w:ind w:firstLine="482"/>
      </w:pPr>
      <w:r w:rsidRPr="00E05BDA">
        <w:rPr>
          <w:rFonts w:hint="eastAsia"/>
          <w:b/>
          <w:bCs/>
        </w:rPr>
        <w:t xml:space="preserve">第十六条 </w:t>
      </w:r>
      <w:r w:rsidR="00EF0BC2">
        <w:t>确定资产价值的评估方法包括市场法、收益法和成本法三种基本方法及其衍生方法。</w:t>
      </w:r>
    </w:p>
    <w:p w14:paraId="29892A79" w14:textId="77777777" w:rsidR="00EF0BC2" w:rsidRDefault="00EF0BC2" w:rsidP="00EF0BC2">
      <w:pPr>
        <w:pStyle w:val="13"/>
      </w:pPr>
      <w:r>
        <w:rPr>
          <w:rFonts w:hint="eastAsia"/>
        </w:rPr>
        <w:t>资产评估专业人员应当根据评估目的、评估对象、价值类型、资料收集等情况，分析上述三种基本方法的适用性，依法选择评估方法。</w:t>
      </w:r>
    </w:p>
    <w:p w14:paraId="0E2F3CD3" w14:textId="7D23303A" w:rsidR="00EF0BC2" w:rsidRDefault="00E05BDA" w:rsidP="00EF0BC2">
      <w:pPr>
        <w:pStyle w:val="13"/>
        <w:ind w:firstLine="482"/>
      </w:pPr>
      <w:r w:rsidRPr="00E05BDA">
        <w:rPr>
          <w:rFonts w:hint="eastAsia"/>
          <w:b/>
          <w:bCs/>
        </w:rPr>
        <w:t xml:space="preserve">第十七条 </w:t>
      </w:r>
      <w:r w:rsidR="00EF0BC2">
        <w:t>资产评估专业人员应当在评定、估算形成评估结论后，编制初步资产评估报告。</w:t>
      </w:r>
    </w:p>
    <w:p w14:paraId="453D2E76" w14:textId="624FCAD1" w:rsidR="00EF0BC2" w:rsidRDefault="00E05BDA" w:rsidP="00EF0BC2">
      <w:pPr>
        <w:pStyle w:val="13"/>
        <w:ind w:firstLine="482"/>
      </w:pPr>
      <w:r w:rsidRPr="00E05BDA">
        <w:rPr>
          <w:rFonts w:hint="eastAsia"/>
          <w:b/>
          <w:bCs/>
        </w:rPr>
        <w:t xml:space="preserve">第十八条 </w:t>
      </w:r>
      <w:r w:rsidR="00EF0BC2">
        <w:t>资产评估机构应当对初步资产评估报告进行内部审核后出具资产评估报</w:t>
      </w:r>
    </w:p>
    <w:p w14:paraId="572C4D77" w14:textId="77777777" w:rsidR="00EF0BC2" w:rsidRDefault="00EF0BC2" w:rsidP="00EF0BC2">
      <w:pPr>
        <w:pStyle w:val="13"/>
      </w:pPr>
      <w:r>
        <w:rPr>
          <w:rFonts w:hint="eastAsia"/>
        </w:rPr>
        <w:t>告。</w:t>
      </w:r>
    </w:p>
    <w:p w14:paraId="59A4BDF3" w14:textId="48A8BFC5" w:rsidR="00EF0BC2" w:rsidRDefault="00E05BDA" w:rsidP="00EF0BC2">
      <w:pPr>
        <w:pStyle w:val="13"/>
        <w:ind w:firstLine="482"/>
      </w:pPr>
      <w:r w:rsidRPr="00E05BDA">
        <w:rPr>
          <w:rFonts w:hint="eastAsia"/>
          <w:b/>
          <w:bCs/>
        </w:rPr>
        <w:t xml:space="preserve">第十九条 </w:t>
      </w:r>
      <w:r w:rsidR="00EF0BC2">
        <w:t>资产评估机构应当对工作底稿、资产评估报告及其他相关资料进行整理</w:t>
      </w:r>
      <w:r w:rsidR="00CC4D74">
        <w:t>，</w:t>
      </w:r>
      <w:r w:rsidR="00EF0BC2">
        <w:t>形成资产评估档案。</w:t>
      </w:r>
    </w:p>
    <w:p w14:paraId="2017E673" w14:textId="77777777" w:rsidR="00EF0BC2" w:rsidRDefault="00EF0BC2" w:rsidP="00AF7342">
      <w:pPr>
        <w:pStyle w:val="a9"/>
        <w:spacing w:before="62" w:after="62"/>
      </w:pPr>
      <w:r>
        <w:rPr>
          <w:rFonts w:hint="eastAsia"/>
        </w:rPr>
        <w:t>第四章</w:t>
      </w:r>
      <w:r>
        <w:t xml:space="preserve"> 资产评估报告</w:t>
      </w:r>
    </w:p>
    <w:p w14:paraId="4FF09514" w14:textId="09C7FC7A" w:rsidR="00EF0BC2" w:rsidRDefault="00E05BDA" w:rsidP="00EF0BC2">
      <w:pPr>
        <w:pStyle w:val="13"/>
        <w:ind w:firstLine="482"/>
      </w:pPr>
      <w:r w:rsidRPr="00E05BDA">
        <w:rPr>
          <w:rFonts w:hint="eastAsia"/>
          <w:b/>
          <w:bCs/>
        </w:rPr>
        <w:t xml:space="preserve">第二十条 </w:t>
      </w:r>
      <w:r w:rsidR="00EF0BC2">
        <w:t>资产评估机构及其资产评估专业人员出具的资产评估报告应当符合法律、行政法规等相关规定。</w:t>
      </w:r>
    </w:p>
    <w:p w14:paraId="5B940F28" w14:textId="28702A96" w:rsidR="00EF0BC2" w:rsidRDefault="00E05BDA" w:rsidP="00EF0BC2">
      <w:pPr>
        <w:pStyle w:val="13"/>
        <w:ind w:firstLine="482"/>
      </w:pPr>
      <w:r w:rsidRPr="00E05BDA">
        <w:rPr>
          <w:rFonts w:hint="eastAsia"/>
          <w:b/>
          <w:bCs/>
        </w:rPr>
        <w:t xml:space="preserve">第二十一条 </w:t>
      </w:r>
      <w:r w:rsidR="00EF0BC2">
        <w:t>资产评估报告的内容包括：标题及文号、目录、声明、摘要、正文、附件。</w:t>
      </w:r>
    </w:p>
    <w:p w14:paraId="5A166B23" w14:textId="016E713B" w:rsidR="00EF0BC2" w:rsidRDefault="00E05BDA" w:rsidP="00EF0BC2">
      <w:pPr>
        <w:pStyle w:val="13"/>
        <w:ind w:firstLine="482"/>
      </w:pPr>
      <w:r w:rsidRPr="00E05BDA">
        <w:rPr>
          <w:rFonts w:hint="eastAsia"/>
          <w:b/>
          <w:bCs/>
        </w:rPr>
        <w:t xml:space="preserve">第二十二条 </w:t>
      </w:r>
      <w:r w:rsidR="00EF0BC2">
        <w:t>资产评估报告正文应当包括下列内容：</w:t>
      </w:r>
    </w:p>
    <w:p w14:paraId="2919165A" w14:textId="77777777" w:rsidR="00EF0BC2" w:rsidRDefault="00EF0BC2" w:rsidP="00EF0BC2">
      <w:pPr>
        <w:pStyle w:val="13"/>
      </w:pPr>
      <w:r>
        <w:rPr>
          <w:rFonts w:hint="eastAsia"/>
        </w:rPr>
        <w:t>（一）委托人及其他资产评估报告使用人；</w:t>
      </w:r>
    </w:p>
    <w:p w14:paraId="427B3F1B" w14:textId="77777777" w:rsidR="00EF0BC2" w:rsidRDefault="00EF0BC2" w:rsidP="00EF0BC2">
      <w:pPr>
        <w:pStyle w:val="13"/>
      </w:pPr>
      <w:r>
        <w:rPr>
          <w:rFonts w:hint="eastAsia"/>
        </w:rPr>
        <w:t>（二）评估目的；</w:t>
      </w:r>
    </w:p>
    <w:p w14:paraId="0D30C26F" w14:textId="77777777" w:rsidR="00EF0BC2" w:rsidRDefault="00EF0BC2" w:rsidP="00EF0BC2">
      <w:pPr>
        <w:pStyle w:val="13"/>
      </w:pPr>
      <w:r>
        <w:rPr>
          <w:rFonts w:hint="eastAsia"/>
        </w:rPr>
        <w:t>（三）评估对象和评估范围；</w:t>
      </w:r>
    </w:p>
    <w:p w14:paraId="229FC4B6" w14:textId="77777777" w:rsidR="00EF0BC2" w:rsidRDefault="00EF0BC2" w:rsidP="00EF0BC2">
      <w:pPr>
        <w:pStyle w:val="13"/>
      </w:pPr>
      <w:r>
        <w:rPr>
          <w:rFonts w:hint="eastAsia"/>
        </w:rPr>
        <w:t>（四）价值类型；</w:t>
      </w:r>
    </w:p>
    <w:p w14:paraId="664A5048" w14:textId="77777777" w:rsidR="00EF0BC2" w:rsidRDefault="00EF0BC2" w:rsidP="00EF0BC2">
      <w:pPr>
        <w:pStyle w:val="13"/>
      </w:pPr>
      <w:r>
        <w:rPr>
          <w:rFonts w:hint="eastAsia"/>
        </w:rPr>
        <w:t>（五）评估基准日；</w:t>
      </w:r>
    </w:p>
    <w:p w14:paraId="4BF6D603" w14:textId="77777777" w:rsidR="00EF0BC2" w:rsidRDefault="00EF0BC2" w:rsidP="00EF0BC2">
      <w:pPr>
        <w:pStyle w:val="13"/>
      </w:pPr>
      <w:r>
        <w:rPr>
          <w:rFonts w:hint="eastAsia"/>
        </w:rPr>
        <w:lastRenderedPageBreak/>
        <w:t>（六）评估依据；</w:t>
      </w:r>
    </w:p>
    <w:p w14:paraId="577D1498" w14:textId="77777777" w:rsidR="00EF0BC2" w:rsidRDefault="00EF0BC2" w:rsidP="00EF0BC2">
      <w:pPr>
        <w:pStyle w:val="13"/>
      </w:pPr>
      <w:r>
        <w:rPr>
          <w:rFonts w:hint="eastAsia"/>
        </w:rPr>
        <w:t>（七）评估方法；</w:t>
      </w:r>
    </w:p>
    <w:p w14:paraId="748BED72" w14:textId="77777777" w:rsidR="00EF0BC2" w:rsidRDefault="00EF0BC2" w:rsidP="00EF0BC2">
      <w:pPr>
        <w:pStyle w:val="13"/>
      </w:pPr>
      <w:r>
        <w:rPr>
          <w:rFonts w:hint="eastAsia"/>
        </w:rPr>
        <w:t>（八）评估程序实施过程和情况；</w:t>
      </w:r>
    </w:p>
    <w:p w14:paraId="372133A3" w14:textId="77777777" w:rsidR="00EF0BC2" w:rsidRDefault="00EF0BC2" w:rsidP="00EF0BC2">
      <w:pPr>
        <w:pStyle w:val="13"/>
      </w:pPr>
      <w:r>
        <w:rPr>
          <w:rFonts w:hint="eastAsia"/>
        </w:rPr>
        <w:t>（九）评估假设；</w:t>
      </w:r>
    </w:p>
    <w:p w14:paraId="319DEDD2" w14:textId="77777777" w:rsidR="00EF0BC2" w:rsidRDefault="00EF0BC2" w:rsidP="00EF0BC2">
      <w:pPr>
        <w:pStyle w:val="13"/>
      </w:pPr>
      <w:r>
        <w:rPr>
          <w:rFonts w:hint="eastAsia"/>
        </w:rPr>
        <w:t>（十）评估结论；</w:t>
      </w:r>
    </w:p>
    <w:p w14:paraId="12B956C0" w14:textId="77777777" w:rsidR="00EF0BC2" w:rsidRDefault="00EF0BC2" w:rsidP="00EF0BC2">
      <w:pPr>
        <w:pStyle w:val="13"/>
      </w:pPr>
      <w:r>
        <w:rPr>
          <w:rFonts w:hint="eastAsia"/>
        </w:rPr>
        <w:t>（十一）特别事项说明；</w:t>
      </w:r>
    </w:p>
    <w:p w14:paraId="6B41C5D6" w14:textId="77777777" w:rsidR="00EF0BC2" w:rsidRDefault="00EF0BC2" w:rsidP="00EF0BC2">
      <w:pPr>
        <w:pStyle w:val="13"/>
      </w:pPr>
      <w:r>
        <w:rPr>
          <w:rFonts w:hint="eastAsia"/>
        </w:rPr>
        <w:t>（十二）资产评估报告使用限制说明；</w:t>
      </w:r>
    </w:p>
    <w:p w14:paraId="554F8486" w14:textId="77777777" w:rsidR="00EF0BC2" w:rsidRDefault="00EF0BC2" w:rsidP="00EF0BC2">
      <w:pPr>
        <w:pStyle w:val="13"/>
      </w:pPr>
      <w:r>
        <w:rPr>
          <w:rFonts w:hint="eastAsia"/>
        </w:rPr>
        <w:t>（十三）资产评估报告日；</w:t>
      </w:r>
    </w:p>
    <w:p w14:paraId="23CC0A1E" w14:textId="77777777" w:rsidR="00190083" w:rsidRDefault="00EF0BC2" w:rsidP="00EF0BC2">
      <w:pPr>
        <w:pStyle w:val="13"/>
      </w:pPr>
      <w:r>
        <w:rPr>
          <w:rFonts w:hint="eastAsia"/>
        </w:rPr>
        <w:t>（十四）资产评估专业人员签名和资产评估机构印章。</w:t>
      </w:r>
    </w:p>
    <w:p w14:paraId="669BE42A" w14:textId="1479E828" w:rsidR="00EF0BC2" w:rsidRDefault="00E05BDA" w:rsidP="00EF0BC2">
      <w:pPr>
        <w:pStyle w:val="13"/>
        <w:ind w:firstLine="482"/>
      </w:pPr>
      <w:r w:rsidRPr="00E05BDA">
        <w:rPr>
          <w:rFonts w:hint="eastAsia"/>
          <w:b/>
        </w:rPr>
        <w:t xml:space="preserve">第二十三条 </w:t>
      </w:r>
      <w:r w:rsidR="00EF0BC2">
        <w:t>资产评估报告载明的评估目的应当唯一。</w:t>
      </w:r>
    </w:p>
    <w:p w14:paraId="058D1726" w14:textId="430B48FE" w:rsidR="00EF0BC2" w:rsidRDefault="00E05BDA" w:rsidP="00EF0BC2">
      <w:pPr>
        <w:pStyle w:val="13"/>
        <w:ind w:firstLine="482"/>
      </w:pPr>
      <w:r w:rsidRPr="00E05BDA">
        <w:rPr>
          <w:rFonts w:hint="eastAsia"/>
          <w:b/>
          <w:bCs/>
        </w:rPr>
        <w:t xml:space="preserve">第二十四条 </w:t>
      </w:r>
      <w:r w:rsidR="00EF0BC2">
        <w:t>资产评估报告应当说明选择价值类型的理由，并明确其定义。</w:t>
      </w:r>
    </w:p>
    <w:p w14:paraId="10BDB1E6" w14:textId="685C9D00" w:rsidR="00EF0BC2" w:rsidRDefault="00E05BDA" w:rsidP="00EF0BC2">
      <w:pPr>
        <w:pStyle w:val="13"/>
        <w:ind w:firstLine="482"/>
      </w:pPr>
      <w:r w:rsidRPr="00E05BDA">
        <w:rPr>
          <w:rFonts w:hint="eastAsia"/>
          <w:b/>
          <w:bCs/>
        </w:rPr>
        <w:t xml:space="preserve">第二十五条 </w:t>
      </w:r>
      <w:r w:rsidR="00EF0BC2">
        <w:t>资产评估报告载明的评估基准</w:t>
      </w:r>
      <w:proofErr w:type="gramStart"/>
      <w:r w:rsidR="00EF0BC2">
        <w:t>日应当</w:t>
      </w:r>
      <w:proofErr w:type="gramEnd"/>
      <w:r w:rsidR="00EF0BC2">
        <w:t>与资产评估委托合同约定的评估基准日一致，可以是过去、现在或者未来的时点。</w:t>
      </w:r>
    </w:p>
    <w:p w14:paraId="585E74A8" w14:textId="5291853E" w:rsidR="00EF0BC2" w:rsidRDefault="00E05BDA" w:rsidP="00EF0BC2">
      <w:pPr>
        <w:pStyle w:val="13"/>
        <w:ind w:firstLine="482"/>
      </w:pPr>
      <w:r w:rsidRPr="00E05BDA">
        <w:rPr>
          <w:rFonts w:hint="eastAsia"/>
          <w:b/>
          <w:bCs/>
        </w:rPr>
        <w:t xml:space="preserve">第二十六条 </w:t>
      </w:r>
      <w:r w:rsidR="00EF0BC2">
        <w:t>资产评估报告应当以文字和数字形式表述评估结论，并明确评估结论的使用有效期。</w:t>
      </w:r>
    </w:p>
    <w:p w14:paraId="3AAE4266" w14:textId="7182301A" w:rsidR="00EF0BC2" w:rsidRDefault="00E05BDA" w:rsidP="00EF0BC2">
      <w:pPr>
        <w:pStyle w:val="13"/>
        <w:ind w:firstLine="482"/>
      </w:pPr>
      <w:r w:rsidRPr="00E05BDA">
        <w:rPr>
          <w:rFonts w:hint="eastAsia"/>
          <w:b/>
          <w:bCs/>
        </w:rPr>
        <w:t xml:space="preserve">第二十七条 </w:t>
      </w:r>
      <w:r w:rsidR="00EF0BC2">
        <w:t>资产评估报告的特别事项说明包括：</w:t>
      </w:r>
    </w:p>
    <w:p w14:paraId="4A361613" w14:textId="77777777" w:rsidR="00EF0BC2" w:rsidRDefault="00EF0BC2" w:rsidP="00EF0BC2">
      <w:pPr>
        <w:pStyle w:val="13"/>
      </w:pPr>
      <w:r>
        <w:rPr>
          <w:rFonts w:hint="eastAsia"/>
        </w:rPr>
        <w:t>（一）权属等主要资料不完整或者存在瑕疵的情形；</w:t>
      </w:r>
    </w:p>
    <w:p w14:paraId="17F9BAA2" w14:textId="77777777" w:rsidR="00EF0BC2" w:rsidRDefault="00EF0BC2" w:rsidP="00EF0BC2">
      <w:pPr>
        <w:pStyle w:val="13"/>
      </w:pPr>
      <w:r>
        <w:rPr>
          <w:rFonts w:hint="eastAsia"/>
        </w:rPr>
        <w:t>（二）未决事项、法律纠纷等不确定因素；</w:t>
      </w:r>
    </w:p>
    <w:p w14:paraId="6279A99F" w14:textId="77777777" w:rsidR="00EF0BC2" w:rsidRDefault="00EF0BC2" w:rsidP="00EF0BC2">
      <w:pPr>
        <w:pStyle w:val="13"/>
      </w:pPr>
      <w:r>
        <w:rPr>
          <w:rFonts w:hint="eastAsia"/>
        </w:rPr>
        <w:t>（三）重要的利用专家工作情况；</w:t>
      </w:r>
    </w:p>
    <w:p w14:paraId="706D319E" w14:textId="77777777" w:rsidR="00EF0BC2" w:rsidRDefault="00EF0BC2" w:rsidP="00EF0BC2">
      <w:pPr>
        <w:pStyle w:val="13"/>
      </w:pPr>
      <w:r>
        <w:rPr>
          <w:rFonts w:hint="eastAsia"/>
        </w:rPr>
        <w:t>（四）重大期后事项。</w:t>
      </w:r>
    </w:p>
    <w:p w14:paraId="28157A14" w14:textId="32C569C0" w:rsidR="00EF0BC2" w:rsidRDefault="00E05BDA" w:rsidP="00EF0BC2">
      <w:pPr>
        <w:pStyle w:val="13"/>
        <w:ind w:firstLine="482"/>
      </w:pPr>
      <w:r w:rsidRPr="00E05BDA">
        <w:rPr>
          <w:rFonts w:hint="eastAsia"/>
          <w:b/>
          <w:bCs/>
        </w:rPr>
        <w:t xml:space="preserve">第二十八条 </w:t>
      </w:r>
      <w:r w:rsidR="00EF0BC2">
        <w:t>资产评估报告使用限制说明应当载明：</w:t>
      </w:r>
    </w:p>
    <w:p w14:paraId="5AF91885" w14:textId="77777777" w:rsidR="00EF0BC2" w:rsidRDefault="00EF0BC2" w:rsidP="00EF0BC2">
      <w:pPr>
        <w:pStyle w:val="13"/>
      </w:pPr>
      <w:r>
        <w:rPr>
          <w:rFonts w:hint="eastAsia"/>
        </w:rPr>
        <w:t>（一）使用范围；</w:t>
      </w:r>
    </w:p>
    <w:p w14:paraId="212E9C8E" w14:textId="77777777" w:rsidR="00EF0BC2" w:rsidRDefault="00EF0BC2" w:rsidP="00EF0BC2">
      <w:pPr>
        <w:pStyle w:val="13"/>
      </w:pPr>
      <w:r>
        <w:rPr>
          <w:rFonts w:hint="eastAsia"/>
        </w:rPr>
        <w:t>（二）委托人或者其他资产评估报告使用人未按照法律、行政法规规定和资产评估报告载明的使用范围使用资产评估报告的，资产评估机构及其资产评估专业人员不承担责任；</w:t>
      </w:r>
    </w:p>
    <w:p w14:paraId="1438BF31" w14:textId="77777777" w:rsidR="00EF0BC2" w:rsidRDefault="00EF0BC2" w:rsidP="00EF0BC2">
      <w:pPr>
        <w:pStyle w:val="13"/>
      </w:pPr>
      <w:r>
        <w:rPr>
          <w:rFonts w:hint="eastAsia"/>
        </w:rPr>
        <w:t>（三）除委托人、资产评估委托合同中约定的其他资产评估报告使用人和法律、行政法规规定的资产评估报告使用人之外，其他任何机构和个人不能成为资产评估报告的使用人；</w:t>
      </w:r>
    </w:p>
    <w:p w14:paraId="600B78D7" w14:textId="77777777" w:rsidR="00EF0BC2" w:rsidRDefault="00EF0BC2" w:rsidP="00EF0BC2">
      <w:pPr>
        <w:pStyle w:val="13"/>
      </w:pPr>
      <w:r>
        <w:rPr>
          <w:rFonts w:hint="eastAsia"/>
        </w:rPr>
        <w:t>（四）资产评估报告使用人应当正确理解评估结论。评估结论不等同于评估对象可实现价格，评估结论不应当被认为是对评估对象可实现价格的保证。</w:t>
      </w:r>
    </w:p>
    <w:p w14:paraId="3327B93B" w14:textId="5322AAE1" w:rsidR="00EF0BC2" w:rsidRDefault="00E05BDA" w:rsidP="00EF0BC2">
      <w:pPr>
        <w:pStyle w:val="13"/>
        <w:ind w:firstLine="482"/>
      </w:pPr>
      <w:r w:rsidRPr="00E05BDA">
        <w:rPr>
          <w:rFonts w:hint="eastAsia"/>
          <w:b/>
          <w:bCs/>
        </w:rPr>
        <w:t xml:space="preserve">第二十九条 </w:t>
      </w:r>
      <w:r w:rsidR="00EF0BC2">
        <w:t>资产评估报告应当履行内部审核程序，由至少两名承办该项资产评估业务的资产评估专业人员签名并加盖资产评估机构印章。</w:t>
      </w:r>
    </w:p>
    <w:p w14:paraId="08820A8C" w14:textId="77777777" w:rsidR="00EF0BC2" w:rsidRDefault="00EF0BC2" w:rsidP="00EF0BC2">
      <w:pPr>
        <w:pStyle w:val="13"/>
      </w:pPr>
      <w:r>
        <w:rPr>
          <w:rFonts w:hint="eastAsia"/>
        </w:rPr>
        <w:t>法定评估业务资产评估报告应当履行内部审核程序，由至少两名承办该项资产评估业务的资产评估师签名并加盖资产评估机构印章。</w:t>
      </w:r>
    </w:p>
    <w:p w14:paraId="7FDB52F4" w14:textId="77777777" w:rsidR="00EF0BC2" w:rsidRDefault="00EF0BC2" w:rsidP="00AF7342">
      <w:pPr>
        <w:pStyle w:val="a9"/>
        <w:spacing w:before="62" w:after="62"/>
      </w:pPr>
      <w:r>
        <w:rPr>
          <w:rFonts w:hint="eastAsia"/>
        </w:rPr>
        <w:lastRenderedPageBreak/>
        <w:t>第五章</w:t>
      </w:r>
      <w:r>
        <w:t xml:space="preserve"> 资产评估档案</w:t>
      </w:r>
    </w:p>
    <w:p w14:paraId="1C0A6064" w14:textId="2684765F" w:rsidR="00EF0BC2" w:rsidRDefault="00E05BDA" w:rsidP="00EF0BC2">
      <w:pPr>
        <w:pStyle w:val="13"/>
        <w:ind w:firstLine="482"/>
      </w:pPr>
      <w:r w:rsidRPr="00E05BDA">
        <w:rPr>
          <w:rFonts w:hint="eastAsia"/>
          <w:b/>
          <w:bCs/>
        </w:rPr>
        <w:t xml:space="preserve">第三十条 </w:t>
      </w:r>
      <w:r w:rsidR="00EF0BC2">
        <w:t>资产评估档案包括工作底稿、资产评估报告以及其他相关资料。资产评估档案应当由资产评估机构妥善管理。</w:t>
      </w:r>
    </w:p>
    <w:p w14:paraId="552098A5" w14:textId="65BA8CEB" w:rsidR="00EF0BC2" w:rsidRDefault="003B2FB1" w:rsidP="00EF0BC2">
      <w:pPr>
        <w:pStyle w:val="13"/>
        <w:ind w:firstLine="482"/>
      </w:pPr>
      <w:r w:rsidRPr="003B2FB1">
        <w:rPr>
          <w:rFonts w:hint="eastAsia"/>
          <w:b/>
          <w:bCs/>
        </w:rPr>
        <w:t xml:space="preserve">第三十一条 </w:t>
      </w:r>
      <w:r w:rsidR="00EF0BC2">
        <w:t>工作底稿应当真实完整、重点突出、记录清晰，能够反映资产评估程序实施情况、支持评估结论。工作底稿分为管理类工作底稿和操作类工作底稿。</w:t>
      </w:r>
    </w:p>
    <w:p w14:paraId="5E8CD43F" w14:textId="77777777" w:rsidR="00EF0BC2" w:rsidRDefault="00EF0BC2" w:rsidP="00EF0BC2">
      <w:pPr>
        <w:pStyle w:val="13"/>
      </w:pPr>
      <w:r>
        <w:rPr>
          <w:rFonts w:hint="eastAsia"/>
        </w:rPr>
        <w:t>管理类工作底稿是指在执行资产评估业务过程中，为受理、计划、控制和管理资产评估业务所形成的工作记录及相关资料。</w:t>
      </w:r>
    </w:p>
    <w:p w14:paraId="5BB75AB7" w14:textId="77777777" w:rsidR="00EF0BC2" w:rsidRDefault="00EF0BC2" w:rsidP="00EF0BC2">
      <w:pPr>
        <w:pStyle w:val="13"/>
      </w:pPr>
      <w:r>
        <w:rPr>
          <w:rFonts w:hint="eastAsia"/>
        </w:rPr>
        <w:t>操作类工作底稿是指在履行现场调查、收集资产评估资料和评定估算程序时所形成的工作记录及相关资料。</w:t>
      </w:r>
    </w:p>
    <w:p w14:paraId="241FF28D" w14:textId="3B611E92" w:rsidR="00EF0BC2" w:rsidRDefault="003B2FB1" w:rsidP="00EF0BC2">
      <w:pPr>
        <w:pStyle w:val="13"/>
        <w:ind w:firstLine="482"/>
      </w:pPr>
      <w:r w:rsidRPr="003B2FB1">
        <w:rPr>
          <w:rFonts w:hint="eastAsia"/>
          <w:b/>
          <w:bCs/>
        </w:rPr>
        <w:t xml:space="preserve">第三十二条 </w:t>
      </w:r>
      <w:r w:rsidR="00EF0BC2">
        <w:t>资产评估档案保存期限不少于十五年。属于法定资产评估业务的，不少于三十年。</w:t>
      </w:r>
    </w:p>
    <w:p w14:paraId="78A8DD6A" w14:textId="24654682" w:rsidR="00EF0BC2" w:rsidRDefault="003B2FB1" w:rsidP="00EF0BC2">
      <w:pPr>
        <w:pStyle w:val="13"/>
        <w:ind w:firstLine="482"/>
      </w:pPr>
      <w:r w:rsidRPr="003B2FB1">
        <w:rPr>
          <w:rFonts w:hint="eastAsia"/>
          <w:b/>
          <w:bCs/>
        </w:rPr>
        <w:t xml:space="preserve">第三十三条 </w:t>
      </w:r>
      <w:r w:rsidR="00EF0BC2">
        <w:t>资产评估档案的管理应当严格执行保密制度。除下列情形外，资产评估档案不得对外提供：</w:t>
      </w:r>
    </w:p>
    <w:p w14:paraId="014335AE" w14:textId="77777777" w:rsidR="00EF0BC2" w:rsidRDefault="00EF0BC2" w:rsidP="00EF0BC2">
      <w:pPr>
        <w:pStyle w:val="13"/>
      </w:pPr>
      <w:r>
        <w:rPr>
          <w:rFonts w:hint="eastAsia"/>
        </w:rPr>
        <w:t>（一）财政部门依法调阅的；</w:t>
      </w:r>
    </w:p>
    <w:p w14:paraId="0A6F0598" w14:textId="77777777" w:rsidR="00EF0BC2" w:rsidRDefault="00EF0BC2" w:rsidP="00EF0BC2">
      <w:pPr>
        <w:pStyle w:val="13"/>
      </w:pPr>
      <w:r>
        <w:rPr>
          <w:rFonts w:hint="eastAsia"/>
        </w:rPr>
        <w:t>（二）资产评估协会依法依规调阅的；</w:t>
      </w:r>
    </w:p>
    <w:p w14:paraId="6036403B" w14:textId="77777777" w:rsidR="00EF0BC2" w:rsidRDefault="00EF0BC2" w:rsidP="00EF0BC2">
      <w:pPr>
        <w:pStyle w:val="13"/>
      </w:pPr>
      <w:r>
        <w:rPr>
          <w:rFonts w:hint="eastAsia"/>
        </w:rPr>
        <w:t>（三）其他依法依规查阅的。</w:t>
      </w:r>
    </w:p>
    <w:p w14:paraId="1C4AFCA0" w14:textId="77777777" w:rsidR="00EF0BC2" w:rsidRDefault="00EF0BC2" w:rsidP="00AF7342">
      <w:pPr>
        <w:pStyle w:val="a9"/>
        <w:spacing w:before="62" w:after="62"/>
      </w:pPr>
      <w:r>
        <w:rPr>
          <w:rFonts w:hint="eastAsia"/>
        </w:rPr>
        <w:t>第六章</w:t>
      </w:r>
      <w:r>
        <w:t xml:space="preserve"> 附则</w:t>
      </w:r>
    </w:p>
    <w:p w14:paraId="03CA588D" w14:textId="6BB7B4AA" w:rsidR="00EF0BC2" w:rsidRDefault="003B2FB1" w:rsidP="00EF0BC2">
      <w:pPr>
        <w:pStyle w:val="13"/>
        <w:ind w:firstLine="482"/>
      </w:pPr>
      <w:r w:rsidRPr="003B2FB1">
        <w:rPr>
          <w:rFonts w:hint="eastAsia"/>
          <w:b/>
          <w:bCs/>
        </w:rPr>
        <w:t xml:space="preserve">第三十四条 </w:t>
      </w:r>
      <w:r w:rsidR="00EF0BC2">
        <w:t>中国资产评估协会根据本准则制定资产评估执业准则和职业道德准则。资产评估执业准则包括各项具体准则、指南和指导意见。</w:t>
      </w:r>
    </w:p>
    <w:p w14:paraId="3994A4F4" w14:textId="47E3938D" w:rsidR="00B61DD6" w:rsidRDefault="003B2FB1" w:rsidP="00EF0BC2">
      <w:pPr>
        <w:pStyle w:val="13"/>
        <w:ind w:firstLine="482"/>
      </w:pPr>
      <w:r w:rsidRPr="003B2FB1">
        <w:rPr>
          <w:rFonts w:hint="eastAsia"/>
          <w:b/>
          <w:bCs/>
        </w:rPr>
        <w:t xml:space="preserve">第三十五条 </w:t>
      </w:r>
      <w:r w:rsidR="00EF0BC2">
        <w:t>本准则自 2017</w:t>
      </w:r>
      <w:r w:rsidR="003068F8">
        <w:t>年</w:t>
      </w:r>
      <w:r w:rsidR="00EF0BC2">
        <w:t>10</w:t>
      </w:r>
      <w:r w:rsidR="003068F8">
        <w:t>月</w:t>
      </w:r>
      <w:r w:rsidR="00EF0BC2">
        <w:t>1</w:t>
      </w:r>
      <w:r w:rsidR="003068F8">
        <w:t>日</w:t>
      </w:r>
      <w:r w:rsidR="00EF0BC2">
        <w:t>起施行。2004</w:t>
      </w:r>
      <w:r w:rsidR="003068F8">
        <w:t>年</w:t>
      </w:r>
      <w:r w:rsidR="00EF0BC2">
        <w:t>2</w:t>
      </w:r>
      <w:r w:rsidR="003068F8">
        <w:t>月</w:t>
      </w:r>
      <w:r w:rsidR="00EF0BC2">
        <w:t>25</w:t>
      </w:r>
      <w:r w:rsidR="003068F8">
        <w:t>日</w:t>
      </w:r>
      <w:r w:rsidR="00EF0BC2">
        <w:t>财政部发布的</w:t>
      </w:r>
      <w:r w:rsidR="00EF0BC2">
        <w:rPr>
          <w:rFonts w:hint="eastAsia"/>
        </w:rPr>
        <w:t>《关于印发〈资产评估准则—基本准则〉和〈资产评估职业道德准则—基本准则〉的通知》（财企〔</w:t>
      </w:r>
      <w:r w:rsidR="00EF0BC2">
        <w:t>2004〕20号）同时废止。</w:t>
      </w:r>
    </w:p>
    <w:p w14:paraId="5E8CCBAD" w14:textId="77777777" w:rsidR="00EF0BC2" w:rsidRDefault="00EF0BC2" w:rsidP="00EF0BC2">
      <w:pPr>
        <w:pStyle w:val="21"/>
        <w:spacing w:before="156" w:after="93"/>
      </w:pPr>
      <w:bookmarkStart w:id="14" w:name="_Toc81833294"/>
      <w:r>
        <w:rPr>
          <w:rFonts w:hint="eastAsia"/>
        </w:rPr>
        <w:t>资产评估职业道德准则</w:t>
      </w:r>
      <w:bookmarkEnd w:id="14"/>
    </w:p>
    <w:p w14:paraId="5A6E8F0D" w14:textId="77777777" w:rsidR="00EF0BC2" w:rsidRDefault="00EF0BC2" w:rsidP="00EF0BC2">
      <w:pPr>
        <w:pStyle w:val="31"/>
        <w:spacing w:before="156" w:after="62"/>
      </w:pPr>
      <w:bookmarkStart w:id="15" w:name="_Toc81833295"/>
      <w:r>
        <w:rPr>
          <w:rFonts w:hint="eastAsia"/>
        </w:rPr>
        <w:t>资产评估职业道德准则（</w:t>
      </w:r>
      <w:proofErr w:type="gramStart"/>
      <w:r>
        <w:rPr>
          <w:rFonts w:hint="eastAsia"/>
        </w:rPr>
        <w:t>中评协</w:t>
      </w:r>
      <w:proofErr w:type="gramEnd"/>
      <w:r>
        <w:rPr>
          <w:rFonts w:hint="eastAsia"/>
        </w:rPr>
        <w:t>〔</w:t>
      </w:r>
      <w:r>
        <w:t>2017〕30号）</w:t>
      </w:r>
      <w:bookmarkEnd w:id="15"/>
    </w:p>
    <w:p w14:paraId="5E72D271" w14:textId="77777777" w:rsidR="00EF0BC2" w:rsidRDefault="00EF0BC2" w:rsidP="00EF0BC2">
      <w:pPr>
        <w:pStyle w:val="13"/>
        <w:ind w:firstLineChars="0" w:firstLine="0"/>
      </w:pPr>
      <w:r>
        <w:rPr>
          <w:rFonts w:hint="eastAsia"/>
        </w:rPr>
        <w:t>各省、自治区、直辖市、计划单列市资产评估协会（注册会计师协会）：</w:t>
      </w:r>
    </w:p>
    <w:p w14:paraId="276C8432" w14:textId="2654552A" w:rsidR="00EF0BC2" w:rsidRDefault="00EF0BC2" w:rsidP="00EF0BC2">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制定了《资产评估职业道德准则》，现予印发，自</w:t>
      </w:r>
      <w:r>
        <w:t xml:space="preserve"> 2017</w:t>
      </w:r>
      <w:r w:rsidR="003068F8">
        <w:t>年</w:t>
      </w:r>
      <w:r>
        <w:t>10</w:t>
      </w:r>
      <w:r w:rsidR="003068F8">
        <w:t>月</w:t>
      </w:r>
      <w:r>
        <w:t>1</w:t>
      </w:r>
      <w:r w:rsidR="003068F8">
        <w:t>日</w:t>
      </w:r>
      <w:r>
        <w:t>起施行。</w:t>
      </w:r>
    </w:p>
    <w:p w14:paraId="09183381" w14:textId="77777777" w:rsidR="00EF0BC2" w:rsidRDefault="00EF0BC2" w:rsidP="00EF0BC2">
      <w:pPr>
        <w:pStyle w:val="13"/>
      </w:pPr>
      <w:r>
        <w:rPr>
          <w:rFonts w:hint="eastAsia"/>
        </w:rPr>
        <w:t>请各地</w:t>
      </w:r>
      <w:proofErr w:type="gramStart"/>
      <w:r>
        <w:rPr>
          <w:rFonts w:hint="eastAsia"/>
        </w:rPr>
        <w:t>方协会</w:t>
      </w:r>
      <w:proofErr w:type="gramEnd"/>
      <w:r>
        <w:rPr>
          <w:rFonts w:hint="eastAsia"/>
        </w:rPr>
        <w:t>将《资产评估职业道德准则》及时转发资产评估机构，组织资产评估机构和资产评估专业人员进行学习和培训，并将执行过程中发现的问题及时上报中国资产评估协会。</w:t>
      </w:r>
    </w:p>
    <w:p w14:paraId="007C9E54" w14:textId="77777777" w:rsidR="00EF0BC2" w:rsidRDefault="00EF0BC2" w:rsidP="00EF0BC2">
      <w:pPr>
        <w:pStyle w:val="13"/>
      </w:pPr>
      <w:r>
        <w:rPr>
          <w:rFonts w:hint="eastAsia"/>
        </w:rPr>
        <w:lastRenderedPageBreak/>
        <w:t>附件：《资产评估职业道德准则》</w:t>
      </w:r>
    </w:p>
    <w:p w14:paraId="47D2B469" w14:textId="77777777" w:rsidR="00EF0BC2" w:rsidRDefault="00EF0BC2" w:rsidP="00EF0BC2">
      <w:pPr>
        <w:pStyle w:val="13"/>
        <w:jc w:val="right"/>
      </w:pPr>
      <w:r>
        <w:rPr>
          <w:rFonts w:hint="eastAsia"/>
        </w:rPr>
        <w:t>中国资产评估协会</w:t>
      </w:r>
    </w:p>
    <w:p w14:paraId="79600D50" w14:textId="0B644DD3" w:rsidR="00EF0BC2" w:rsidRDefault="00EF0BC2" w:rsidP="00EF0BC2">
      <w:pPr>
        <w:pStyle w:val="13"/>
        <w:jc w:val="right"/>
      </w:pPr>
      <w:r>
        <w:t>2017</w:t>
      </w:r>
      <w:r w:rsidR="003068F8">
        <w:t>年</w:t>
      </w:r>
      <w:r>
        <w:t>9</w:t>
      </w:r>
      <w:r w:rsidR="003068F8">
        <w:t>月</w:t>
      </w:r>
      <w:r>
        <w:t>8</w:t>
      </w:r>
      <w:r w:rsidR="003068F8">
        <w:t>日</w:t>
      </w:r>
    </w:p>
    <w:p w14:paraId="18B82F65" w14:textId="77777777" w:rsidR="00EF0BC2" w:rsidRDefault="00EF0BC2" w:rsidP="00AF7342">
      <w:pPr>
        <w:pStyle w:val="a9"/>
        <w:spacing w:before="62" w:after="62"/>
      </w:pPr>
      <w:r>
        <w:rPr>
          <w:rFonts w:hint="eastAsia"/>
        </w:rPr>
        <w:t>资产评估职业道德准则</w:t>
      </w:r>
    </w:p>
    <w:p w14:paraId="460EFB0E" w14:textId="4534E168" w:rsidR="00EF0BC2" w:rsidRDefault="00EF0BC2" w:rsidP="00AF7342">
      <w:pPr>
        <w:pStyle w:val="a9"/>
        <w:spacing w:before="62" w:after="62"/>
      </w:pPr>
      <w:r>
        <w:rPr>
          <w:rFonts w:hint="eastAsia"/>
        </w:rPr>
        <w:t>第一章</w:t>
      </w:r>
      <w:r>
        <w:t xml:space="preserve"> 总则</w:t>
      </w:r>
    </w:p>
    <w:p w14:paraId="47C20F6B" w14:textId="69FEF968" w:rsidR="00EF0BC2" w:rsidRDefault="004E3EBB" w:rsidP="00EF0BC2">
      <w:pPr>
        <w:pStyle w:val="13"/>
        <w:ind w:firstLine="482"/>
      </w:pPr>
      <w:r w:rsidRPr="004E3EBB">
        <w:rPr>
          <w:rFonts w:hint="eastAsia"/>
          <w:b/>
          <w:bCs/>
        </w:rPr>
        <w:t xml:space="preserve">第一条 </w:t>
      </w:r>
      <w:r w:rsidR="00EF0BC2">
        <w:t>为规范资产评估机构及其资产评估专业人员职业道德行为，提高职业素质</w:t>
      </w:r>
      <w:r w:rsidR="00CC4D74">
        <w:t>，</w:t>
      </w:r>
      <w:r w:rsidR="00EF0BC2">
        <w:t>维护职业形象，根据《资产评估基本准则》制定本准则。</w:t>
      </w:r>
    </w:p>
    <w:p w14:paraId="7AD652B6" w14:textId="7665D7E4" w:rsidR="00EF0BC2" w:rsidRDefault="004E3EBB" w:rsidP="00EF0BC2">
      <w:pPr>
        <w:pStyle w:val="13"/>
        <w:ind w:firstLine="482"/>
      </w:pPr>
      <w:r w:rsidRPr="004E3EBB">
        <w:rPr>
          <w:rFonts w:hint="eastAsia"/>
          <w:b/>
          <w:bCs/>
        </w:rPr>
        <w:t xml:space="preserve">第二条 </w:t>
      </w:r>
      <w:r w:rsidR="00EF0BC2">
        <w:t>本准则所称职业道德是指资产评估机构及其资产评估专业人员开展资产评估业务应当具备的道德品质和体现的道德行为。</w:t>
      </w:r>
    </w:p>
    <w:p w14:paraId="0B2FFDF7" w14:textId="6D418858" w:rsidR="00EF0BC2" w:rsidRDefault="004E3EBB" w:rsidP="00EF0BC2">
      <w:pPr>
        <w:pStyle w:val="13"/>
        <w:ind w:firstLine="482"/>
      </w:pPr>
      <w:r w:rsidRPr="004E3EBB">
        <w:rPr>
          <w:rFonts w:hint="eastAsia"/>
          <w:b/>
          <w:bCs/>
        </w:rPr>
        <w:t xml:space="preserve">第三条 </w:t>
      </w:r>
      <w:r w:rsidR="00EF0BC2">
        <w:t>资产评估机构及其资产评估专业人员开展资产评估业务，应当遵守本准则。</w:t>
      </w:r>
    </w:p>
    <w:p w14:paraId="4B2EAB4C" w14:textId="77777777" w:rsidR="00EF0BC2" w:rsidRDefault="00EF0BC2" w:rsidP="00AF7342">
      <w:pPr>
        <w:pStyle w:val="a9"/>
        <w:spacing w:before="62" w:after="62"/>
      </w:pPr>
      <w:r>
        <w:rPr>
          <w:rFonts w:hint="eastAsia"/>
        </w:rPr>
        <w:t>第二章</w:t>
      </w:r>
      <w:r>
        <w:t xml:space="preserve"> 基本遵循</w:t>
      </w:r>
    </w:p>
    <w:p w14:paraId="586E4FC9" w14:textId="285B2FDD" w:rsidR="00EF0BC2" w:rsidRDefault="004E3EBB" w:rsidP="00EF0BC2">
      <w:pPr>
        <w:pStyle w:val="13"/>
        <w:ind w:firstLine="482"/>
      </w:pPr>
      <w:r w:rsidRPr="004E3EBB">
        <w:rPr>
          <w:rFonts w:hint="eastAsia"/>
          <w:b/>
          <w:bCs/>
        </w:rPr>
        <w:t xml:space="preserve">第四条 </w:t>
      </w:r>
      <w:r w:rsidR="00EF0BC2">
        <w:t>资产评估机构及其资产评估专业人员应当诚实守信，勤勉尽责，谨慎从业</w:t>
      </w:r>
      <w:r w:rsidR="00CC4D74">
        <w:t>，</w:t>
      </w:r>
      <w:r w:rsidR="00EF0BC2">
        <w:t>坚持独立、客观、公正的原则，不得出具或者签署虚假资产评估报告或者有重大遗漏的资产评估报告。</w:t>
      </w:r>
    </w:p>
    <w:p w14:paraId="1AF7AF4F" w14:textId="325D0CFC" w:rsidR="00EF0BC2" w:rsidRDefault="004E3EBB" w:rsidP="00EF0BC2">
      <w:pPr>
        <w:pStyle w:val="13"/>
        <w:ind w:firstLine="482"/>
      </w:pPr>
      <w:r w:rsidRPr="004E3EBB">
        <w:rPr>
          <w:rFonts w:hint="eastAsia"/>
          <w:b/>
          <w:bCs/>
        </w:rPr>
        <w:t xml:space="preserve">第五条 </w:t>
      </w:r>
      <w:r w:rsidR="00EF0BC2">
        <w:t>资产评估机构及其资产评估专业人员开展资产评估业务，应当遵守法律、行政法规和资产评估准则，履行资产评估委托合同规定的义务。</w:t>
      </w:r>
    </w:p>
    <w:p w14:paraId="2B0D22A5" w14:textId="77777777" w:rsidR="00EF0BC2" w:rsidRDefault="00EF0BC2" w:rsidP="00EF0BC2">
      <w:pPr>
        <w:pStyle w:val="13"/>
      </w:pPr>
      <w:r>
        <w:rPr>
          <w:rFonts w:hint="eastAsia"/>
        </w:rPr>
        <w:t>资产评估机构应当对本机构的资产评估专业人员遵守法律、行政法规和资产评估准则的情况进行监督。</w:t>
      </w:r>
    </w:p>
    <w:p w14:paraId="31F6EF94" w14:textId="20505034" w:rsidR="00EF0BC2" w:rsidRDefault="004E3EBB" w:rsidP="00EF0BC2">
      <w:pPr>
        <w:pStyle w:val="13"/>
        <w:ind w:firstLine="482"/>
      </w:pPr>
      <w:r w:rsidRPr="004E3EBB">
        <w:rPr>
          <w:rFonts w:hint="eastAsia"/>
          <w:b/>
          <w:bCs/>
        </w:rPr>
        <w:t xml:space="preserve">第六条 </w:t>
      </w:r>
      <w:r w:rsidR="00EF0BC2">
        <w:t>资产评估机构及其资产评估专业人员应当自觉维护职业形象，不得从事损害职业形象的活动。</w:t>
      </w:r>
    </w:p>
    <w:p w14:paraId="40AC17D6" w14:textId="77777777" w:rsidR="00EF0BC2" w:rsidRDefault="00EF0BC2" w:rsidP="00AF7342">
      <w:pPr>
        <w:pStyle w:val="a9"/>
        <w:spacing w:before="62" w:after="62"/>
      </w:pPr>
      <w:r>
        <w:rPr>
          <w:rFonts w:hint="eastAsia"/>
        </w:rPr>
        <w:t>第三章</w:t>
      </w:r>
      <w:r>
        <w:t xml:space="preserve"> 专业能力</w:t>
      </w:r>
    </w:p>
    <w:p w14:paraId="251B3CEB" w14:textId="66782262" w:rsidR="00EF0BC2" w:rsidRDefault="004E3EBB" w:rsidP="00EF0BC2">
      <w:pPr>
        <w:pStyle w:val="13"/>
        <w:ind w:firstLine="482"/>
      </w:pPr>
      <w:r w:rsidRPr="004E3EBB">
        <w:rPr>
          <w:rFonts w:hint="eastAsia"/>
          <w:b/>
          <w:bCs/>
        </w:rPr>
        <w:t xml:space="preserve">第七条 </w:t>
      </w:r>
      <w:r w:rsidR="00EF0BC2">
        <w:t>资产评估专业人员应当具备相应的评估专业知识和实践经验，能够胜任所执行的资产评估业务。</w:t>
      </w:r>
    </w:p>
    <w:p w14:paraId="20FCC47C" w14:textId="08728EDF" w:rsidR="00EF0BC2" w:rsidRDefault="004E3EBB" w:rsidP="00EF0BC2">
      <w:pPr>
        <w:pStyle w:val="13"/>
        <w:ind w:firstLine="482"/>
      </w:pPr>
      <w:r w:rsidRPr="004E3EBB">
        <w:rPr>
          <w:rFonts w:hint="eastAsia"/>
          <w:b/>
          <w:bCs/>
        </w:rPr>
        <w:t xml:space="preserve">第八条 </w:t>
      </w:r>
      <w:r w:rsidR="00EF0BC2">
        <w:t>资产评估专业人员应当完成规定的继续教育，保持和提高专业能力。</w:t>
      </w:r>
    </w:p>
    <w:p w14:paraId="1C0A9CF8" w14:textId="54526D20" w:rsidR="00EF0BC2" w:rsidRDefault="00E05BDA" w:rsidP="00EF0BC2">
      <w:pPr>
        <w:pStyle w:val="13"/>
        <w:ind w:firstLine="482"/>
      </w:pPr>
      <w:r w:rsidRPr="00E05BDA">
        <w:rPr>
          <w:rFonts w:hint="eastAsia"/>
          <w:b/>
          <w:bCs/>
        </w:rPr>
        <w:t xml:space="preserve">第九条 </w:t>
      </w:r>
      <w:r w:rsidR="00EF0BC2">
        <w:t>资产评估机构及其资产评估专业人员应当如实声明其具有的专业能力和执业经验，不得对其专业能力和执业经验进行夸张、虚假和误导性宣传。</w:t>
      </w:r>
    </w:p>
    <w:p w14:paraId="5E349A5A" w14:textId="1CABDD59" w:rsidR="00EF0BC2" w:rsidRDefault="00E05BDA" w:rsidP="00EF0BC2">
      <w:pPr>
        <w:pStyle w:val="13"/>
        <w:ind w:firstLine="482"/>
      </w:pPr>
      <w:r w:rsidRPr="00E05BDA">
        <w:rPr>
          <w:rFonts w:hint="eastAsia"/>
          <w:b/>
          <w:bCs/>
        </w:rPr>
        <w:t xml:space="preserve">第十条 </w:t>
      </w:r>
      <w:r w:rsidR="00EF0BC2">
        <w:t>资产评估机构执行某项特定业务缺乏特定的专业知识和经验时，应当采取弥补措施，包括利用专家工作及相关报告等。</w:t>
      </w:r>
    </w:p>
    <w:p w14:paraId="23125ABE" w14:textId="77777777" w:rsidR="00EF0BC2" w:rsidRDefault="00EF0BC2" w:rsidP="00AF7342">
      <w:pPr>
        <w:pStyle w:val="a9"/>
        <w:spacing w:before="62" w:after="62"/>
      </w:pPr>
      <w:r>
        <w:rPr>
          <w:rFonts w:hint="eastAsia"/>
        </w:rPr>
        <w:t>第四章</w:t>
      </w:r>
      <w:r>
        <w:t xml:space="preserve"> 独立性</w:t>
      </w:r>
    </w:p>
    <w:p w14:paraId="12300205" w14:textId="0FF09908" w:rsidR="00EF0BC2" w:rsidRDefault="00E05BDA" w:rsidP="00EF0BC2">
      <w:pPr>
        <w:pStyle w:val="13"/>
        <w:ind w:firstLine="482"/>
      </w:pPr>
      <w:r w:rsidRPr="00E05BDA">
        <w:rPr>
          <w:rFonts w:hint="eastAsia"/>
          <w:b/>
          <w:bCs/>
        </w:rPr>
        <w:t xml:space="preserve">第十一条 </w:t>
      </w:r>
      <w:r w:rsidR="00EF0BC2">
        <w:t>资产评估机构及其资产评估专业人员开展资产评估业务，应当采取恰当措施保持独立性。</w:t>
      </w:r>
    </w:p>
    <w:p w14:paraId="56CA28DF" w14:textId="77777777" w:rsidR="00EF0BC2" w:rsidRDefault="00EF0BC2" w:rsidP="00EF0BC2">
      <w:pPr>
        <w:pStyle w:val="13"/>
      </w:pPr>
      <w:r>
        <w:rPr>
          <w:rFonts w:hint="eastAsia"/>
        </w:rPr>
        <w:t>资产评估机构不得受理与自身有利害关系的资产评估业务。</w:t>
      </w:r>
    </w:p>
    <w:p w14:paraId="19B853D7" w14:textId="77777777" w:rsidR="00EF0BC2" w:rsidRDefault="00EF0BC2" w:rsidP="00EF0BC2">
      <w:pPr>
        <w:pStyle w:val="13"/>
      </w:pPr>
      <w:r>
        <w:rPr>
          <w:rFonts w:hint="eastAsia"/>
        </w:rPr>
        <w:lastRenderedPageBreak/>
        <w:t>资产评估专业人员与委托人、其他相关当事人和评估对象有利害关系的，应当回避。</w:t>
      </w:r>
    </w:p>
    <w:p w14:paraId="15BD1437" w14:textId="76CFE34D" w:rsidR="00EF0BC2" w:rsidRDefault="00E05BDA" w:rsidP="00EF0BC2">
      <w:pPr>
        <w:pStyle w:val="13"/>
        <w:ind w:firstLine="482"/>
      </w:pPr>
      <w:r w:rsidRPr="00E05BDA">
        <w:rPr>
          <w:rFonts w:hint="eastAsia"/>
          <w:b/>
          <w:bCs/>
        </w:rPr>
        <w:t xml:space="preserve">第十二条 </w:t>
      </w:r>
      <w:r w:rsidR="00EF0BC2">
        <w:t>资产评估机构及其资产评估专业人员开展资产评估业务，应当识别可能</w:t>
      </w:r>
      <w:r w:rsidR="00EF0BC2">
        <w:rPr>
          <w:rFonts w:hint="eastAsia"/>
        </w:rPr>
        <w:t>影响独立性的情形，合理判断其对独立性的影响。</w:t>
      </w:r>
    </w:p>
    <w:p w14:paraId="11BD3A1B" w14:textId="77777777" w:rsidR="00EF0BC2" w:rsidRDefault="00EF0BC2" w:rsidP="00EF0BC2">
      <w:pPr>
        <w:pStyle w:val="13"/>
      </w:pPr>
      <w:r>
        <w:rPr>
          <w:rFonts w:hint="eastAsia"/>
        </w:rPr>
        <w:t>可能影响独立性的情形通常包括资产评估机构及其资产评估专业人员或者其亲属与委托人或者其他相关当事人之间存在经济利益关联、人员关联或者业务关联。</w:t>
      </w:r>
    </w:p>
    <w:p w14:paraId="236AD329" w14:textId="77777777" w:rsidR="00EF0BC2" w:rsidRDefault="00EF0BC2" w:rsidP="00EF0BC2">
      <w:pPr>
        <w:pStyle w:val="13"/>
      </w:pPr>
      <w:r>
        <w:rPr>
          <w:rFonts w:hint="eastAsia"/>
        </w:rPr>
        <w:t>（一）亲属是指配偶、父母、子女及其配偶。</w:t>
      </w:r>
    </w:p>
    <w:p w14:paraId="54338BF5" w14:textId="77777777" w:rsidR="00EF0BC2" w:rsidRDefault="00EF0BC2" w:rsidP="00EF0BC2">
      <w:pPr>
        <w:pStyle w:val="13"/>
      </w:pPr>
      <w:r>
        <w:rPr>
          <w:rFonts w:hint="eastAsia"/>
        </w:rPr>
        <w:t>（二）经济利益关联是指资产评估机构及其资产评估专业人员或者其亲属拥有委托人或者其他相关当事人的股权、债权、有价证券、债务，或者存在担保等可能影响独立性的经济利益关系。</w:t>
      </w:r>
    </w:p>
    <w:p w14:paraId="588D1B75" w14:textId="77777777" w:rsidR="00EF0BC2" w:rsidRDefault="00EF0BC2" w:rsidP="00EF0BC2">
      <w:pPr>
        <w:pStyle w:val="13"/>
      </w:pPr>
      <w:r>
        <w:rPr>
          <w:rFonts w:hint="eastAsia"/>
        </w:rPr>
        <w:t>（三）人员关联是指资产评估专业人员或者其亲属在委托人或者其他相关当事人担任董事、监事、高级管理人员或者其他可能对评估结论施加重大影响的特定职务。</w:t>
      </w:r>
    </w:p>
    <w:p w14:paraId="38632F19" w14:textId="77777777" w:rsidR="00EF0BC2" w:rsidRDefault="00EF0BC2" w:rsidP="00EF0BC2">
      <w:pPr>
        <w:pStyle w:val="13"/>
      </w:pPr>
      <w:r>
        <w:rPr>
          <w:rFonts w:hint="eastAsia"/>
        </w:rPr>
        <w:t>（四）业务关联是指资产评估机构从事的不同业务之间可能存在利益输送或者利益冲突关系。</w:t>
      </w:r>
    </w:p>
    <w:p w14:paraId="50129285" w14:textId="6A689626" w:rsidR="00EF0BC2" w:rsidRDefault="00E05BDA" w:rsidP="00EF0BC2">
      <w:pPr>
        <w:pStyle w:val="13"/>
        <w:ind w:firstLine="482"/>
      </w:pPr>
      <w:r w:rsidRPr="00E05BDA">
        <w:rPr>
          <w:rFonts w:hint="eastAsia"/>
          <w:b/>
          <w:bCs/>
        </w:rPr>
        <w:t xml:space="preserve">第十三条 </w:t>
      </w:r>
      <w:r w:rsidR="00EF0BC2">
        <w:t>资产评估机构不得分别接受利益冲突双方的委托，对同一评估对象进行评估。</w:t>
      </w:r>
    </w:p>
    <w:p w14:paraId="738BDA3F" w14:textId="77777777" w:rsidR="00EF0BC2" w:rsidRDefault="00EF0BC2" w:rsidP="00AF7342">
      <w:pPr>
        <w:pStyle w:val="a9"/>
        <w:spacing w:before="62" w:after="62"/>
      </w:pPr>
      <w:r>
        <w:rPr>
          <w:rFonts w:hint="eastAsia"/>
        </w:rPr>
        <w:t>第五章</w:t>
      </w:r>
      <w:r>
        <w:t xml:space="preserve"> 与委托人和其他相关当事人的关系</w:t>
      </w:r>
    </w:p>
    <w:p w14:paraId="7870A8FC" w14:textId="55EC3FED" w:rsidR="00EF0BC2" w:rsidRDefault="00E05BDA" w:rsidP="00EF0BC2">
      <w:pPr>
        <w:pStyle w:val="13"/>
        <w:ind w:firstLine="482"/>
      </w:pPr>
      <w:r w:rsidRPr="00E05BDA">
        <w:rPr>
          <w:rFonts w:hint="eastAsia"/>
          <w:b/>
          <w:bCs/>
        </w:rPr>
        <w:t xml:space="preserve">第十四条 </w:t>
      </w:r>
      <w:r w:rsidR="00EF0BC2">
        <w:t>资产评估机构及其资产评估专业人员不得以恶性压价、支付回扣、虚假宣传，或者采用欺骗、利诱、胁迫等不正当手段招揽业务。</w:t>
      </w:r>
    </w:p>
    <w:p w14:paraId="150FBE57" w14:textId="77777777" w:rsidR="00EF0BC2" w:rsidRDefault="00EF0BC2" w:rsidP="00EF0BC2">
      <w:pPr>
        <w:pStyle w:val="13"/>
      </w:pPr>
      <w:r>
        <w:rPr>
          <w:rFonts w:hint="eastAsia"/>
        </w:rPr>
        <w:t>资产评估专业人员不得私自接受委托从事资产评估业务并收取费用。</w:t>
      </w:r>
    </w:p>
    <w:p w14:paraId="1805CD93" w14:textId="790E6444" w:rsidR="00EF0BC2" w:rsidRDefault="00E05BDA" w:rsidP="00EF0BC2">
      <w:pPr>
        <w:pStyle w:val="13"/>
        <w:ind w:firstLine="482"/>
      </w:pPr>
      <w:r w:rsidRPr="00E05BDA">
        <w:rPr>
          <w:rFonts w:hint="eastAsia"/>
          <w:b/>
          <w:bCs/>
        </w:rPr>
        <w:t xml:space="preserve">第十五条 </w:t>
      </w:r>
      <w:r w:rsidR="00EF0BC2">
        <w:t>资产评估机构及其资产评估专业人员不得利用开展业务之便，为自己或者他人谋取不正当利益，不得向委托人或者其他相关当事人索要、收受或者变相索要、收受资产评估委托合同约定以外的酬金、财物等。</w:t>
      </w:r>
    </w:p>
    <w:p w14:paraId="31AC3C32" w14:textId="50245353" w:rsidR="00EF0BC2" w:rsidRDefault="00E05BDA" w:rsidP="00EF0BC2">
      <w:pPr>
        <w:pStyle w:val="13"/>
        <w:ind w:firstLine="482"/>
      </w:pPr>
      <w:r w:rsidRPr="00E05BDA">
        <w:rPr>
          <w:rFonts w:hint="eastAsia"/>
          <w:b/>
          <w:bCs/>
        </w:rPr>
        <w:t xml:space="preserve">第十六条 </w:t>
      </w:r>
      <w:r w:rsidR="00EF0BC2">
        <w:t>资产评估机构及其资产评估专业人员执行资产评估业务，应当保持公正的态度，以客观事实为依据，实事求是地进行分析和判断，拒绝委托人或者其他相关当事人的非法干预，不得直接以预先设定的价值作为评估结论。</w:t>
      </w:r>
    </w:p>
    <w:p w14:paraId="378E220E" w14:textId="36B97BE2" w:rsidR="00EF0BC2" w:rsidRDefault="00E05BDA" w:rsidP="00EF0BC2">
      <w:pPr>
        <w:pStyle w:val="13"/>
        <w:ind w:firstLine="482"/>
      </w:pPr>
      <w:r w:rsidRPr="00E05BDA">
        <w:rPr>
          <w:rFonts w:hint="eastAsia"/>
          <w:b/>
          <w:bCs/>
        </w:rPr>
        <w:t xml:space="preserve">第十七条 </w:t>
      </w:r>
      <w:r w:rsidR="00EF0BC2">
        <w:t>资产评估机构及其资产评估专业人员执行资产评估业务，应当与委托人进行必要沟通，提醒资产评估报告使用人正确理解评估结论。</w:t>
      </w:r>
    </w:p>
    <w:p w14:paraId="62BD4F65" w14:textId="5C19936D" w:rsidR="00EF0BC2" w:rsidRDefault="00E05BDA" w:rsidP="00EF0BC2">
      <w:pPr>
        <w:pStyle w:val="13"/>
        <w:ind w:firstLine="482"/>
      </w:pPr>
      <w:r w:rsidRPr="00E05BDA">
        <w:rPr>
          <w:rFonts w:hint="eastAsia"/>
          <w:b/>
          <w:bCs/>
        </w:rPr>
        <w:t xml:space="preserve">第十八条 </w:t>
      </w:r>
      <w:r w:rsidR="00EF0BC2">
        <w:t>资产评估机构及其资产评估专业人员应当遵守保密原则，对评估活动中知悉的国家秘密、商业秘密和个人隐私予以保密，不得在保密期限内向委托人以外的第三方提供保密信息，除非得到委托人的同意或者属于法律、行政法规允许的范围。</w:t>
      </w:r>
    </w:p>
    <w:p w14:paraId="139BCD81" w14:textId="77777777" w:rsidR="00EF0BC2" w:rsidRDefault="00EF0BC2" w:rsidP="00AF7342">
      <w:pPr>
        <w:pStyle w:val="a9"/>
        <w:spacing w:before="62" w:after="62"/>
      </w:pPr>
      <w:r>
        <w:rPr>
          <w:rFonts w:hint="eastAsia"/>
        </w:rPr>
        <w:lastRenderedPageBreak/>
        <w:t>第六章</w:t>
      </w:r>
      <w:r>
        <w:t xml:space="preserve"> 与其他资产评估机构及资产评估专业人员的关系</w:t>
      </w:r>
    </w:p>
    <w:p w14:paraId="5B279259" w14:textId="68CAE28B" w:rsidR="00EF0BC2" w:rsidRDefault="00E05BDA" w:rsidP="00EF0BC2">
      <w:pPr>
        <w:pStyle w:val="13"/>
        <w:ind w:firstLine="482"/>
      </w:pPr>
      <w:r w:rsidRPr="00E05BDA">
        <w:rPr>
          <w:rFonts w:hint="eastAsia"/>
          <w:b/>
          <w:bCs/>
        </w:rPr>
        <w:t xml:space="preserve">第十九条 </w:t>
      </w:r>
      <w:r w:rsidR="00EF0BC2">
        <w:t>资产评估机构不得允许其他资产评估机构以本机构名义开展资产评估业务，或者冒用其他资产评估机构名义开展资产评估业务。</w:t>
      </w:r>
    </w:p>
    <w:p w14:paraId="18263AEC" w14:textId="77777777" w:rsidR="00EF0BC2" w:rsidRDefault="00EF0BC2" w:rsidP="00EF0BC2">
      <w:pPr>
        <w:pStyle w:val="13"/>
      </w:pPr>
      <w:r>
        <w:rPr>
          <w:rFonts w:hint="eastAsia"/>
        </w:rPr>
        <w:t>资产评估专业人员不得签署本人未承办业务的资产评估报告，也不得允许他人以本人名义从事资产评估业务，或者冒用他人名义从事资产评估业务。</w:t>
      </w:r>
    </w:p>
    <w:p w14:paraId="0DAF3A5E" w14:textId="663B0938" w:rsidR="00EF0BC2" w:rsidRDefault="00E05BDA" w:rsidP="00EF0BC2">
      <w:pPr>
        <w:pStyle w:val="13"/>
        <w:ind w:firstLine="482"/>
      </w:pPr>
      <w:r w:rsidRPr="00E05BDA">
        <w:rPr>
          <w:rFonts w:hint="eastAsia"/>
          <w:b/>
          <w:bCs/>
        </w:rPr>
        <w:t xml:space="preserve">第二十条 </w:t>
      </w:r>
      <w:r w:rsidR="00EF0BC2">
        <w:t>资产评估机构及其资产评估专业人员在开展资产评估业务过程中，应当与其他资产评估专业人员保持良好的工作关系。</w:t>
      </w:r>
    </w:p>
    <w:p w14:paraId="165ED855" w14:textId="1A96CB43" w:rsidR="00EF0BC2" w:rsidRDefault="00E05BDA" w:rsidP="00EF0BC2">
      <w:pPr>
        <w:pStyle w:val="13"/>
        <w:ind w:firstLine="482"/>
      </w:pPr>
      <w:r w:rsidRPr="00E05BDA">
        <w:rPr>
          <w:rFonts w:hint="eastAsia"/>
          <w:b/>
          <w:bCs/>
        </w:rPr>
        <w:t xml:space="preserve">第二十一条 </w:t>
      </w:r>
      <w:r w:rsidR="00EF0BC2">
        <w:t>资产评估机构及其资产评估专业人员不得贬损或者诋毁其他资产评估机构及资产评估专业人员。</w:t>
      </w:r>
    </w:p>
    <w:p w14:paraId="4F9DE07D" w14:textId="77777777" w:rsidR="00EF0BC2" w:rsidRDefault="00EF0BC2" w:rsidP="00AF7342">
      <w:pPr>
        <w:pStyle w:val="a9"/>
        <w:spacing w:before="62" w:after="62"/>
      </w:pPr>
      <w:r>
        <w:rPr>
          <w:rFonts w:hint="eastAsia"/>
        </w:rPr>
        <w:t>第七章</w:t>
      </w:r>
      <w:r>
        <w:t xml:space="preserve"> 附则</w:t>
      </w:r>
    </w:p>
    <w:p w14:paraId="76B9EA4E" w14:textId="1A74F069" w:rsidR="00EF0BC2" w:rsidRDefault="00E05BDA" w:rsidP="00EF0BC2">
      <w:pPr>
        <w:pStyle w:val="13"/>
        <w:ind w:firstLine="482"/>
      </w:pPr>
      <w:r w:rsidRPr="00E05BDA">
        <w:rPr>
          <w:rFonts w:hint="eastAsia"/>
          <w:b/>
          <w:bCs/>
        </w:rPr>
        <w:t xml:space="preserve">第二十二条 </w:t>
      </w:r>
      <w:r w:rsidR="00EF0BC2">
        <w:t>资产评估机构及其资产评估专业人员在执行资产评估业务过程中，应当指导专家和相关业务助理人员遵守本准则相关条款。</w:t>
      </w:r>
    </w:p>
    <w:p w14:paraId="13AA64F3" w14:textId="2D353A0F" w:rsidR="00EF0BC2" w:rsidRDefault="00E05BDA" w:rsidP="00EF0BC2">
      <w:pPr>
        <w:pStyle w:val="13"/>
        <w:ind w:firstLine="482"/>
      </w:pPr>
      <w:r w:rsidRPr="00E05BDA">
        <w:rPr>
          <w:rFonts w:hint="eastAsia"/>
          <w:b/>
          <w:bCs/>
        </w:rPr>
        <w:t xml:space="preserve">第二十三条 </w:t>
      </w:r>
      <w:r w:rsidR="00EF0BC2">
        <w:t>本准则自 2017</w:t>
      </w:r>
      <w:r w:rsidR="003068F8">
        <w:t>年</w:t>
      </w:r>
      <w:r w:rsidR="00EF0BC2">
        <w:t>10</w:t>
      </w:r>
      <w:r w:rsidR="003068F8">
        <w:t>月</w:t>
      </w:r>
      <w:r w:rsidR="00EF0BC2">
        <w:t>1</w:t>
      </w:r>
      <w:r w:rsidR="003068F8">
        <w:t>日</w:t>
      </w:r>
      <w:r w:rsidR="00EF0BC2">
        <w:t>起施行。中国资产评估协会于 2012</w:t>
      </w:r>
      <w:r w:rsidR="003068F8">
        <w:t>年</w:t>
      </w:r>
      <w:r w:rsidR="00EF0BC2">
        <w:t>12</w:t>
      </w:r>
      <w:r w:rsidR="00EF0BC2">
        <w:rPr>
          <w:rFonts w:hint="eastAsia"/>
        </w:rPr>
        <w:t>月</w:t>
      </w:r>
      <w:r w:rsidR="00EF0BC2">
        <w:t xml:space="preserve"> 28</w:t>
      </w:r>
      <w:r w:rsidR="003068F8">
        <w:t>日</w:t>
      </w:r>
      <w:r w:rsidR="00EF0BC2">
        <w:t>发布的《关于印发〈资产评估职业道德准则—独立性〉的通知》（</w:t>
      </w:r>
      <w:proofErr w:type="gramStart"/>
      <w:r w:rsidR="00EF0BC2">
        <w:t>中评协</w:t>
      </w:r>
      <w:proofErr w:type="gramEnd"/>
      <w:r w:rsidR="00EF0BC2">
        <w:t>〔2012〕248号）同时废止。</w:t>
      </w:r>
    </w:p>
    <w:p w14:paraId="58FF0BF0" w14:textId="77777777" w:rsidR="00EF0BC2" w:rsidRDefault="00EF0BC2" w:rsidP="00EF0BC2">
      <w:pPr>
        <w:pStyle w:val="21"/>
        <w:spacing w:before="156" w:after="93"/>
      </w:pPr>
      <w:bookmarkStart w:id="16" w:name="_Toc81833296"/>
      <w:r>
        <w:rPr>
          <w:rFonts w:hint="eastAsia"/>
        </w:rPr>
        <w:t>程序</w:t>
      </w:r>
      <w:proofErr w:type="gramStart"/>
      <w:r>
        <w:rPr>
          <w:rFonts w:hint="eastAsia"/>
        </w:rPr>
        <w:t>性具体</w:t>
      </w:r>
      <w:proofErr w:type="gramEnd"/>
      <w:r>
        <w:rPr>
          <w:rFonts w:hint="eastAsia"/>
        </w:rPr>
        <w:t>准则</w:t>
      </w:r>
      <w:bookmarkEnd w:id="16"/>
    </w:p>
    <w:p w14:paraId="3B4BD25C" w14:textId="77777777" w:rsidR="006833EE" w:rsidRDefault="006833EE" w:rsidP="006833EE">
      <w:pPr>
        <w:pStyle w:val="31"/>
        <w:spacing w:before="156" w:after="62"/>
      </w:pPr>
      <w:bookmarkStart w:id="17" w:name="_Toc81833297"/>
      <w:r>
        <w:rPr>
          <w:rFonts w:hint="eastAsia"/>
        </w:rPr>
        <w:t>资产评估执业准则—资产评估委托合同（</w:t>
      </w:r>
      <w:proofErr w:type="gramStart"/>
      <w:r>
        <w:rPr>
          <w:rFonts w:hint="eastAsia"/>
        </w:rPr>
        <w:t>中评协</w:t>
      </w:r>
      <w:proofErr w:type="gramEnd"/>
      <w:r>
        <w:rPr>
          <w:rFonts w:hint="eastAsia"/>
        </w:rPr>
        <w:t>〔</w:t>
      </w:r>
      <w:r>
        <w:t>2017〕33号）</w:t>
      </w:r>
      <w:bookmarkEnd w:id="17"/>
    </w:p>
    <w:p w14:paraId="66D1E6BD" w14:textId="77777777" w:rsidR="006833EE" w:rsidRDefault="006833EE" w:rsidP="006833EE">
      <w:pPr>
        <w:pStyle w:val="13"/>
        <w:ind w:firstLineChars="0" w:firstLine="0"/>
      </w:pPr>
      <w:r>
        <w:rPr>
          <w:rFonts w:hint="eastAsia"/>
        </w:rPr>
        <w:t>各省、自治区、直辖市、计划单列市资产评估协会（注册会计师协会）：</w:t>
      </w:r>
    </w:p>
    <w:p w14:paraId="1D8DE044" w14:textId="77777777" w:rsidR="006833EE" w:rsidRDefault="006833EE" w:rsidP="006833EE">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资产评估准则—业务约定书》进行了修订，制定了《资产评估执业准则—资产评估委托合同》，现予印发，自</w:t>
      </w:r>
      <w:r>
        <w:t xml:space="preserve"> 2017年10月1日起施行。</w:t>
      </w:r>
    </w:p>
    <w:p w14:paraId="66E150FD" w14:textId="77777777" w:rsidR="006833EE" w:rsidRDefault="006833EE" w:rsidP="006833EE">
      <w:pPr>
        <w:pStyle w:val="13"/>
      </w:pPr>
      <w:r>
        <w:rPr>
          <w:rFonts w:hint="eastAsia"/>
        </w:rPr>
        <w:t>请各地</w:t>
      </w:r>
      <w:proofErr w:type="gramStart"/>
      <w:r>
        <w:rPr>
          <w:rFonts w:hint="eastAsia"/>
        </w:rPr>
        <w:t>方协会</w:t>
      </w:r>
      <w:proofErr w:type="gramEnd"/>
      <w:r>
        <w:rPr>
          <w:rFonts w:hint="eastAsia"/>
        </w:rPr>
        <w:t>将《资产评估执业准则—资产评估委托合同》及时转发资产评估机构，组织资产评估机构和资产评估专业人员进行学习和培训，并将执行过程中发现的问题及时上报中国资产评估协会。</w:t>
      </w:r>
    </w:p>
    <w:p w14:paraId="6CECF444" w14:textId="77777777" w:rsidR="006833EE" w:rsidRDefault="006833EE" w:rsidP="006833EE">
      <w:pPr>
        <w:pStyle w:val="13"/>
      </w:pPr>
      <w:r>
        <w:rPr>
          <w:rFonts w:hint="eastAsia"/>
        </w:rPr>
        <w:t>附件：《资产评估执业准则—资产评估委托合同》</w:t>
      </w:r>
    </w:p>
    <w:p w14:paraId="5963C64B" w14:textId="77777777" w:rsidR="006833EE" w:rsidRDefault="006833EE" w:rsidP="006833EE">
      <w:pPr>
        <w:pStyle w:val="13"/>
        <w:jc w:val="right"/>
      </w:pPr>
      <w:r>
        <w:rPr>
          <w:rFonts w:hint="eastAsia"/>
        </w:rPr>
        <w:t>中国资产评估协会</w:t>
      </w:r>
    </w:p>
    <w:p w14:paraId="63BB132B" w14:textId="77777777" w:rsidR="006833EE" w:rsidRDefault="006833EE" w:rsidP="006833EE">
      <w:pPr>
        <w:pStyle w:val="13"/>
        <w:jc w:val="right"/>
      </w:pPr>
      <w:r>
        <w:t>2017年9月8日</w:t>
      </w:r>
    </w:p>
    <w:p w14:paraId="1ADB565A" w14:textId="77777777" w:rsidR="006833EE" w:rsidRDefault="006833EE" w:rsidP="00AF7342">
      <w:pPr>
        <w:pStyle w:val="a9"/>
        <w:spacing w:before="62" w:after="62"/>
      </w:pPr>
      <w:r>
        <w:rPr>
          <w:rFonts w:hint="eastAsia"/>
        </w:rPr>
        <w:t>资产评估执业准则—资产评估委托合同</w:t>
      </w:r>
    </w:p>
    <w:p w14:paraId="6B8C8C97" w14:textId="77777777" w:rsidR="006833EE" w:rsidRDefault="006833EE" w:rsidP="00AF7342">
      <w:pPr>
        <w:pStyle w:val="a9"/>
        <w:spacing w:before="62" w:after="62"/>
      </w:pPr>
      <w:r>
        <w:rPr>
          <w:rFonts w:hint="eastAsia"/>
        </w:rPr>
        <w:t>第一章</w:t>
      </w:r>
      <w:r>
        <w:t xml:space="preserve"> 总则</w:t>
      </w:r>
    </w:p>
    <w:p w14:paraId="09FA6B27" w14:textId="77777777" w:rsidR="006833EE" w:rsidRDefault="006833EE" w:rsidP="006833EE">
      <w:pPr>
        <w:pStyle w:val="13"/>
        <w:ind w:firstLine="482"/>
      </w:pPr>
      <w:r w:rsidRPr="004E3EBB">
        <w:rPr>
          <w:rFonts w:hint="eastAsia"/>
          <w:b/>
          <w:bCs/>
        </w:rPr>
        <w:t xml:space="preserve">第一条 </w:t>
      </w:r>
      <w:r>
        <w:t>为规范资产评估委托合同的订立、履行等行为，保护资产评估当事人合法权益和公共利益，根据《资产评估基本准则》制定本准则。</w:t>
      </w:r>
    </w:p>
    <w:p w14:paraId="66ED7907" w14:textId="77777777" w:rsidR="006833EE" w:rsidRDefault="006833EE" w:rsidP="006833EE">
      <w:pPr>
        <w:pStyle w:val="13"/>
        <w:ind w:firstLine="482"/>
      </w:pPr>
      <w:r w:rsidRPr="004E3EBB">
        <w:rPr>
          <w:rFonts w:hint="eastAsia"/>
          <w:b/>
          <w:bCs/>
        </w:rPr>
        <w:lastRenderedPageBreak/>
        <w:t xml:space="preserve">第二条 </w:t>
      </w:r>
      <w:r>
        <w:t>本准则所称资产评估委托合同，是指资产评估机构与委托人订立的，明确资产评估业务基本事项，约定资产评估机构和委托人权利、义务、违约责任和争议解决等内容的书面合同。</w:t>
      </w:r>
    </w:p>
    <w:p w14:paraId="3F48F4C8" w14:textId="77777777" w:rsidR="006833EE" w:rsidRDefault="006833EE" w:rsidP="006833EE">
      <w:pPr>
        <w:pStyle w:val="13"/>
      </w:pPr>
      <w:r>
        <w:rPr>
          <w:rFonts w:hint="eastAsia"/>
        </w:rPr>
        <w:t>资产评估机构开展资产评估业务应当与委托人订立资产评估委托合同。</w:t>
      </w:r>
    </w:p>
    <w:p w14:paraId="6CE3846E" w14:textId="77777777" w:rsidR="006833EE" w:rsidRDefault="006833EE" w:rsidP="006833EE">
      <w:pPr>
        <w:pStyle w:val="13"/>
        <w:ind w:firstLine="482"/>
      </w:pPr>
      <w:r w:rsidRPr="004E3EBB">
        <w:rPr>
          <w:rFonts w:hint="eastAsia"/>
          <w:b/>
          <w:bCs/>
        </w:rPr>
        <w:t xml:space="preserve">第三条 </w:t>
      </w:r>
      <w:r>
        <w:t>执行资产评估业务，应当遵守本准则。</w:t>
      </w:r>
    </w:p>
    <w:p w14:paraId="6F5C5FC0" w14:textId="77777777" w:rsidR="006833EE" w:rsidRDefault="006833EE" w:rsidP="00AF7342">
      <w:pPr>
        <w:pStyle w:val="a9"/>
        <w:spacing w:before="62" w:after="62"/>
      </w:pPr>
      <w:r>
        <w:rPr>
          <w:rFonts w:hint="eastAsia"/>
        </w:rPr>
        <w:t>第二章</w:t>
      </w:r>
      <w:r>
        <w:t xml:space="preserve"> 资产评估委托合同的订立</w:t>
      </w:r>
    </w:p>
    <w:p w14:paraId="45D24941" w14:textId="77777777" w:rsidR="006833EE" w:rsidRDefault="006833EE" w:rsidP="006833EE">
      <w:pPr>
        <w:pStyle w:val="13"/>
        <w:ind w:firstLine="482"/>
      </w:pPr>
      <w:r w:rsidRPr="004E3EBB">
        <w:rPr>
          <w:rFonts w:hint="eastAsia"/>
          <w:b/>
          <w:bCs/>
        </w:rPr>
        <w:t xml:space="preserve">第四条 </w:t>
      </w:r>
      <w:r>
        <w:t>资产评估机构受理资产评估业务应当要求委托人依法订立资产评估委托合</w:t>
      </w:r>
      <w:r>
        <w:rPr>
          <w:rFonts w:hint="eastAsia"/>
        </w:rPr>
        <w:t>同。</w:t>
      </w:r>
    </w:p>
    <w:p w14:paraId="2F5109DF" w14:textId="77777777" w:rsidR="006833EE" w:rsidRDefault="006833EE" w:rsidP="006833EE">
      <w:pPr>
        <w:pStyle w:val="13"/>
      </w:pPr>
      <w:r>
        <w:rPr>
          <w:rFonts w:hint="eastAsia"/>
        </w:rPr>
        <w:t>资产评估委托合同应当由资产评估机构的法定代表人（或者执行合伙事务合伙人）</w:t>
      </w:r>
      <w:r>
        <w:t>签字并加盖资产评估机构印章。</w:t>
      </w:r>
    </w:p>
    <w:p w14:paraId="52F47FE2" w14:textId="77777777" w:rsidR="006833EE" w:rsidRDefault="006833EE" w:rsidP="006833EE">
      <w:pPr>
        <w:pStyle w:val="13"/>
        <w:ind w:firstLine="482"/>
      </w:pPr>
      <w:r w:rsidRPr="004E3EBB">
        <w:rPr>
          <w:rFonts w:hint="eastAsia"/>
          <w:b/>
          <w:bCs/>
        </w:rPr>
        <w:t xml:space="preserve">第五条 </w:t>
      </w:r>
      <w:r>
        <w:t>资产评估机构及其资产评估专业人员应当关注未及时订立资产评估委托合同开展资产评估业务可能产生的风险。如果因委托人等原因导致无法及时订立资产评估委托合同，资产评估机构及其资产评估专业人员应当采取措施保护自身的合法权益。</w:t>
      </w:r>
    </w:p>
    <w:p w14:paraId="08DAF312" w14:textId="77777777" w:rsidR="006833EE" w:rsidRDefault="006833EE" w:rsidP="00AF7342">
      <w:pPr>
        <w:pStyle w:val="a9"/>
        <w:spacing w:before="62" w:after="62"/>
      </w:pPr>
      <w:r>
        <w:rPr>
          <w:rFonts w:hint="eastAsia"/>
        </w:rPr>
        <w:t>第三章</w:t>
      </w:r>
      <w:r>
        <w:t xml:space="preserve"> 资产评估委托合同的内容</w:t>
      </w:r>
    </w:p>
    <w:p w14:paraId="52ABB794" w14:textId="77777777" w:rsidR="006833EE" w:rsidRDefault="006833EE" w:rsidP="006833EE">
      <w:pPr>
        <w:pStyle w:val="13"/>
        <w:ind w:firstLine="482"/>
      </w:pPr>
      <w:r w:rsidRPr="004E3EBB">
        <w:rPr>
          <w:b/>
          <w:bCs/>
        </w:rPr>
        <w:t xml:space="preserve">第六条 </w:t>
      </w:r>
      <w:r>
        <w:t>资产评估委托合同通常包括下列内容：</w:t>
      </w:r>
    </w:p>
    <w:p w14:paraId="20AE91E4" w14:textId="77777777" w:rsidR="006833EE" w:rsidRDefault="006833EE" w:rsidP="006833EE">
      <w:pPr>
        <w:pStyle w:val="13"/>
      </w:pPr>
      <w:r>
        <w:rPr>
          <w:rFonts w:hint="eastAsia"/>
        </w:rPr>
        <w:t>（一）资产评估机构和委托人的名称、住所、联系人及联系方式；</w:t>
      </w:r>
    </w:p>
    <w:p w14:paraId="641FAB99" w14:textId="77777777" w:rsidR="006833EE" w:rsidRDefault="006833EE" w:rsidP="006833EE">
      <w:pPr>
        <w:pStyle w:val="13"/>
      </w:pPr>
      <w:r>
        <w:rPr>
          <w:rFonts w:hint="eastAsia"/>
        </w:rPr>
        <w:t>（二）评估目的；</w:t>
      </w:r>
    </w:p>
    <w:p w14:paraId="2E06E945" w14:textId="77777777" w:rsidR="006833EE" w:rsidRDefault="006833EE" w:rsidP="006833EE">
      <w:pPr>
        <w:pStyle w:val="13"/>
      </w:pPr>
      <w:r>
        <w:rPr>
          <w:rFonts w:hint="eastAsia"/>
        </w:rPr>
        <w:t>（三）评估对象和评估范围；</w:t>
      </w:r>
    </w:p>
    <w:p w14:paraId="5A2FC9FE" w14:textId="77777777" w:rsidR="006833EE" w:rsidRDefault="006833EE" w:rsidP="006833EE">
      <w:pPr>
        <w:pStyle w:val="13"/>
      </w:pPr>
      <w:r>
        <w:rPr>
          <w:rFonts w:hint="eastAsia"/>
        </w:rPr>
        <w:t>（四）评估基准日；</w:t>
      </w:r>
    </w:p>
    <w:p w14:paraId="7664EB83" w14:textId="77777777" w:rsidR="006833EE" w:rsidRDefault="006833EE" w:rsidP="006833EE">
      <w:pPr>
        <w:pStyle w:val="13"/>
      </w:pPr>
      <w:r>
        <w:rPr>
          <w:rFonts w:hint="eastAsia"/>
        </w:rPr>
        <w:t>（五）评估报告使用范围；</w:t>
      </w:r>
    </w:p>
    <w:p w14:paraId="18AC036B" w14:textId="77777777" w:rsidR="006833EE" w:rsidRDefault="006833EE" w:rsidP="006833EE">
      <w:pPr>
        <w:pStyle w:val="13"/>
      </w:pPr>
      <w:r>
        <w:rPr>
          <w:rFonts w:hint="eastAsia"/>
        </w:rPr>
        <w:t>（六）评估报告提交期限和方式；</w:t>
      </w:r>
    </w:p>
    <w:p w14:paraId="1A0BD90B" w14:textId="77777777" w:rsidR="006833EE" w:rsidRDefault="006833EE" w:rsidP="006833EE">
      <w:pPr>
        <w:pStyle w:val="13"/>
      </w:pPr>
      <w:r>
        <w:rPr>
          <w:rFonts w:hint="eastAsia"/>
        </w:rPr>
        <w:t>（七）评估服务费总额或者支付标准、支付时间及支付方式；</w:t>
      </w:r>
    </w:p>
    <w:p w14:paraId="5392452D" w14:textId="77777777" w:rsidR="006833EE" w:rsidRDefault="006833EE" w:rsidP="006833EE">
      <w:pPr>
        <w:pStyle w:val="13"/>
      </w:pPr>
      <w:r>
        <w:rPr>
          <w:rFonts w:hint="eastAsia"/>
        </w:rPr>
        <w:t>（八）资产评估机构和委托人的其他权利和义务；</w:t>
      </w:r>
    </w:p>
    <w:p w14:paraId="2D74A272" w14:textId="77777777" w:rsidR="006833EE" w:rsidRDefault="006833EE" w:rsidP="006833EE">
      <w:pPr>
        <w:pStyle w:val="13"/>
      </w:pPr>
      <w:r>
        <w:rPr>
          <w:rFonts w:hint="eastAsia"/>
        </w:rPr>
        <w:t>（九）违约责任和争议解决；</w:t>
      </w:r>
    </w:p>
    <w:p w14:paraId="6E88B3BF" w14:textId="77777777" w:rsidR="006833EE" w:rsidRDefault="006833EE" w:rsidP="006833EE">
      <w:pPr>
        <w:pStyle w:val="13"/>
      </w:pPr>
      <w:r>
        <w:rPr>
          <w:rFonts w:hint="eastAsia"/>
        </w:rPr>
        <w:t>（十）合同当事人签字或者盖章的时间；</w:t>
      </w:r>
    </w:p>
    <w:p w14:paraId="0D649968" w14:textId="77777777" w:rsidR="006833EE" w:rsidRDefault="006833EE" w:rsidP="006833EE">
      <w:pPr>
        <w:pStyle w:val="13"/>
      </w:pPr>
      <w:r>
        <w:rPr>
          <w:rFonts w:hint="eastAsia"/>
        </w:rPr>
        <w:t>（十一）合同当事人签字或者盖章的地点。</w:t>
      </w:r>
    </w:p>
    <w:p w14:paraId="675DD75D" w14:textId="77777777" w:rsidR="006833EE" w:rsidRDefault="006833EE" w:rsidP="006833EE">
      <w:pPr>
        <w:pStyle w:val="13"/>
      </w:pPr>
      <w:r>
        <w:rPr>
          <w:rFonts w:hint="eastAsia"/>
        </w:rPr>
        <w:t>订立资产评估委托合同时未明确的内容，资产评估委托合同当事人可以采取订立补充合同或者法律允许的其他形式做出后续约定。</w:t>
      </w:r>
    </w:p>
    <w:p w14:paraId="161BE78D" w14:textId="77777777" w:rsidR="006833EE" w:rsidRDefault="006833EE" w:rsidP="006833EE">
      <w:pPr>
        <w:pStyle w:val="13"/>
        <w:ind w:firstLine="482"/>
      </w:pPr>
      <w:r w:rsidRPr="004E3EBB">
        <w:rPr>
          <w:rFonts w:hint="eastAsia"/>
          <w:b/>
          <w:bCs/>
        </w:rPr>
        <w:t xml:space="preserve">第七条 </w:t>
      </w:r>
      <w:r>
        <w:t>资产评估委托合同载明的评估目的应当表述明确、清晰。</w:t>
      </w:r>
    </w:p>
    <w:p w14:paraId="478EBAC1" w14:textId="77777777" w:rsidR="006833EE" w:rsidRDefault="006833EE" w:rsidP="006833EE">
      <w:pPr>
        <w:pStyle w:val="13"/>
        <w:ind w:firstLine="482"/>
      </w:pPr>
      <w:r w:rsidRPr="004E3EBB">
        <w:rPr>
          <w:rFonts w:hint="eastAsia"/>
          <w:b/>
          <w:bCs/>
        </w:rPr>
        <w:t xml:space="preserve">第八条 </w:t>
      </w:r>
      <w:r>
        <w:t>资产评估机构应当与委托人进行沟通，根据资产评估业务的要求和特点，在资产评估委托合同中表述评估对象和评估范围。</w:t>
      </w:r>
    </w:p>
    <w:p w14:paraId="499F503C" w14:textId="77777777" w:rsidR="006833EE" w:rsidRDefault="006833EE" w:rsidP="006833EE">
      <w:pPr>
        <w:pStyle w:val="13"/>
        <w:ind w:firstLine="482"/>
      </w:pPr>
      <w:r w:rsidRPr="00E05BDA">
        <w:rPr>
          <w:rFonts w:hint="eastAsia"/>
          <w:b/>
          <w:bCs/>
        </w:rPr>
        <w:t xml:space="preserve">第九条 </w:t>
      </w:r>
      <w:r>
        <w:t>资产评估委托合同应当明确资产评估基准日。</w:t>
      </w:r>
    </w:p>
    <w:p w14:paraId="7FD5EAA1" w14:textId="77777777" w:rsidR="006833EE" w:rsidRDefault="006833EE" w:rsidP="006833EE">
      <w:pPr>
        <w:pStyle w:val="13"/>
        <w:ind w:firstLine="482"/>
      </w:pPr>
      <w:r w:rsidRPr="00E05BDA">
        <w:rPr>
          <w:rFonts w:hint="eastAsia"/>
          <w:b/>
          <w:bCs/>
        </w:rPr>
        <w:lastRenderedPageBreak/>
        <w:t xml:space="preserve">第十条 </w:t>
      </w:r>
      <w:r>
        <w:t>资产评估委托合同应当明确资产评估报告的使用范围。使用范围包括资产评估报告使用人、用途、评估结论的使用有效期及资产评估报告的摘抄、引用或者披露。</w:t>
      </w:r>
    </w:p>
    <w:p w14:paraId="4C9724B7" w14:textId="77777777" w:rsidR="006833EE" w:rsidRDefault="006833EE" w:rsidP="006833EE">
      <w:pPr>
        <w:pStyle w:val="13"/>
      </w:pPr>
      <w:r>
        <w:rPr>
          <w:rFonts w:hint="eastAsia"/>
        </w:rPr>
        <w:t>（一）资产评估委托合同应当明确资产评估报告使用人。如果存在委托人以外的其他使用人，资产评估委托合同应当明确约定。</w:t>
      </w:r>
    </w:p>
    <w:p w14:paraId="5D684EA1" w14:textId="77777777" w:rsidR="006833EE" w:rsidRDefault="006833EE" w:rsidP="006833EE">
      <w:pPr>
        <w:pStyle w:val="13"/>
      </w:pPr>
      <w:r>
        <w:rPr>
          <w:rFonts w:hint="eastAsia"/>
        </w:rPr>
        <w:t>资产评估委托合同应当约定，资产评估报告仅</w:t>
      </w:r>
      <w:proofErr w:type="gramStart"/>
      <w:r>
        <w:rPr>
          <w:rFonts w:hint="eastAsia"/>
        </w:rPr>
        <w:t>供资产</w:t>
      </w:r>
      <w:proofErr w:type="gramEnd"/>
      <w:r>
        <w:rPr>
          <w:rFonts w:hint="eastAsia"/>
        </w:rPr>
        <w:t>评估委托合同约定的和法律、行政法规规定的使用人使用，其他任何机构和个人不能成为资产评估报告的使用人。</w:t>
      </w:r>
    </w:p>
    <w:p w14:paraId="059D61A4" w14:textId="77777777" w:rsidR="006833EE" w:rsidRDefault="006833EE" w:rsidP="006833EE">
      <w:pPr>
        <w:pStyle w:val="13"/>
      </w:pPr>
      <w:r>
        <w:rPr>
          <w:rFonts w:hint="eastAsia"/>
        </w:rPr>
        <w:t>（二）资产评估委托合同应当约定，委托人或者其他资产评估报告使用人应当按照法律、行政法规规定和资产评估报告载明的使用目的及用途使用资产评估报告。</w:t>
      </w:r>
    </w:p>
    <w:p w14:paraId="01B77A51" w14:textId="77777777" w:rsidR="006833EE" w:rsidRDefault="006833EE" w:rsidP="006833EE">
      <w:pPr>
        <w:pStyle w:val="13"/>
      </w:pPr>
      <w:r>
        <w:rPr>
          <w:rFonts w:hint="eastAsia"/>
        </w:rPr>
        <w:t>委托人或者其他资产评估报告使用人违反前述约定使用资产评估报告的，资产评估机构及其资产评估专业人员不承担责任。</w:t>
      </w:r>
    </w:p>
    <w:p w14:paraId="76DC2F91" w14:textId="77777777" w:rsidR="006833EE" w:rsidRDefault="006833EE" w:rsidP="006833EE">
      <w:pPr>
        <w:pStyle w:val="13"/>
      </w:pPr>
      <w:r>
        <w:rPr>
          <w:rFonts w:hint="eastAsia"/>
        </w:rPr>
        <w:t>（三）资产评估委托合同应当约定在载明的评估结论使用有效期内使用资产评估报告。</w:t>
      </w:r>
    </w:p>
    <w:p w14:paraId="7819CC14" w14:textId="77777777" w:rsidR="006833EE" w:rsidRDefault="006833EE" w:rsidP="006833EE">
      <w:pPr>
        <w:pStyle w:val="13"/>
      </w:pPr>
      <w:r>
        <w:rPr>
          <w:rFonts w:hint="eastAsia"/>
        </w:rPr>
        <w:t>（四）资产评估委托合同应当约定，未经委托人书面许可，资产评估机构及其资产评估专业人员不得将资产评估报告的内容向第三方提供或者公开，法律、行政法规另有规定的除外。</w:t>
      </w:r>
    </w:p>
    <w:p w14:paraId="10B71C85" w14:textId="77777777" w:rsidR="006833EE" w:rsidRDefault="006833EE" w:rsidP="006833EE">
      <w:pPr>
        <w:pStyle w:val="13"/>
      </w:pPr>
      <w:r>
        <w:rPr>
          <w:rFonts w:hint="eastAsia"/>
        </w:rPr>
        <w:t>（五）资产评估委托合同应当约定，未征得资产评估机构同意，资产评估报告的内容不得被摘抄、引用或者披露于公开媒体，法律、行政法规规定以及相关当事人另有约定的除外。</w:t>
      </w:r>
    </w:p>
    <w:p w14:paraId="5BCDDA87" w14:textId="77777777" w:rsidR="006833EE" w:rsidRDefault="006833EE" w:rsidP="006833EE">
      <w:pPr>
        <w:pStyle w:val="13"/>
        <w:ind w:firstLine="482"/>
      </w:pPr>
      <w:r w:rsidRPr="00E05BDA">
        <w:rPr>
          <w:rFonts w:hint="eastAsia"/>
          <w:b/>
          <w:bCs/>
        </w:rPr>
        <w:t xml:space="preserve">第十一条 </w:t>
      </w:r>
      <w:r>
        <w:t>资产评估委托合同应当约定完成资产评估业务并提交资产评估报告的期限和方式。</w:t>
      </w:r>
    </w:p>
    <w:p w14:paraId="03456070" w14:textId="77777777" w:rsidR="006833EE" w:rsidRDefault="006833EE" w:rsidP="006833EE">
      <w:pPr>
        <w:pStyle w:val="13"/>
        <w:ind w:firstLine="482"/>
      </w:pPr>
      <w:r w:rsidRPr="00E05BDA">
        <w:rPr>
          <w:rFonts w:hint="eastAsia"/>
          <w:b/>
          <w:bCs/>
        </w:rPr>
        <w:t xml:space="preserve">第十二条 </w:t>
      </w:r>
      <w:r>
        <w:t>资产评估委托合同应当明确资产评估服务费总额或者支付标准、计价货币种类、支付时间及支付方式，并明确资产评估服务费未包括的与资产评估服务相关的其他费用的内容及承担方式。</w:t>
      </w:r>
    </w:p>
    <w:p w14:paraId="179151AD" w14:textId="77777777" w:rsidR="006833EE" w:rsidRDefault="006833EE" w:rsidP="006833EE">
      <w:pPr>
        <w:pStyle w:val="13"/>
        <w:ind w:firstLine="482"/>
      </w:pPr>
      <w:r w:rsidRPr="00E05BDA">
        <w:rPr>
          <w:rFonts w:hint="eastAsia"/>
          <w:b/>
          <w:bCs/>
        </w:rPr>
        <w:t xml:space="preserve">第十三条 </w:t>
      </w:r>
      <w:r>
        <w:t>资产评估委托合同应当约定，委托人应当为资产评估机构及其资产评估专业人员开展资产评估业务提供必要的工作条件和协助；委托人应当根据资产评估业务需要，负责资产评估机构及其资产评估专业人员与其他相关当事人之间的协调。</w:t>
      </w:r>
    </w:p>
    <w:p w14:paraId="3CF71B0A" w14:textId="77777777" w:rsidR="006833EE" w:rsidRDefault="006833EE" w:rsidP="006833EE">
      <w:pPr>
        <w:pStyle w:val="13"/>
        <w:ind w:firstLine="482"/>
      </w:pPr>
      <w:r w:rsidRPr="00E05BDA">
        <w:rPr>
          <w:rFonts w:hint="eastAsia"/>
          <w:b/>
          <w:bCs/>
        </w:rPr>
        <w:t xml:space="preserve">第十四条 </w:t>
      </w:r>
      <w:r>
        <w:t>资产评估委托合同应当约定，遵守相关法律、行政法规和资产评估准则，对评估对象在评估基准日特定目的下的价值进行分析和估算并出具资产评估报告，是资产评估机构及其资产评估专业人员的责任。</w:t>
      </w:r>
    </w:p>
    <w:p w14:paraId="6ED51A28" w14:textId="77777777" w:rsidR="006833EE" w:rsidRDefault="006833EE" w:rsidP="006833EE">
      <w:pPr>
        <w:pStyle w:val="13"/>
        <w:ind w:firstLine="482"/>
      </w:pPr>
      <w:r w:rsidRPr="00E05BDA">
        <w:rPr>
          <w:rFonts w:hint="eastAsia"/>
          <w:b/>
          <w:bCs/>
        </w:rPr>
        <w:t xml:space="preserve">第十五条 </w:t>
      </w:r>
      <w:r>
        <w:t>资产评估委托合同应当约定，依法提供资产评估业务需要的资料并保证</w:t>
      </w:r>
      <w:r>
        <w:rPr>
          <w:rFonts w:hint="eastAsia"/>
        </w:rPr>
        <w:t>资料的真实性、完整性、合法性，恰当使用资产评估报告是委托人和其他相关当事</w:t>
      </w:r>
      <w:r>
        <w:rPr>
          <w:rFonts w:hint="eastAsia"/>
        </w:rPr>
        <w:lastRenderedPageBreak/>
        <w:t>人的责任；委托人或者其他相关当事人应当对其提供的资产评估明细表及其他重要资料的真实性、完整性、合法性进行确认，确认方式包括签字、盖章或者法律允许的其他方式；</w:t>
      </w:r>
      <w:r>
        <w:t>委托人和其他相关当事人如果拒绝提供或者</w:t>
      </w:r>
      <w:proofErr w:type="gramStart"/>
      <w:r>
        <w:t>不</w:t>
      </w:r>
      <w:proofErr w:type="gramEnd"/>
      <w:r>
        <w:t>如实提供开展资产评估业务所需的权属证明、财务会计信息或者其他相关资料的，资产评估机构有权拒绝履行资产评估委托合同。</w:t>
      </w:r>
    </w:p>
    <w:p w14:paraId="00597456" w14:textId="77777777" w:rsidR="006833EE" w:rsidRDefault="006833EE" w:rsidP="006833EE">
      <w:pPr>
        <w:pStyle w:val="13"/>
        <w:ind w:firstLine="482"/>
      </w:pPr>
      <w:r w:rsidRPr="00E05BDA">
        <w:rPr>
          <w:rFonts w:hint="eastAsia"/>
          <w:b/>
          <w:bCs/>
        </w:rPr>
        <w:t xml:space="preserve">第十六条 </w:t>
      </w:r>
      <w:r>
        <w:t>资产评估委托合同应当约定，委托人提前终止资产评估业务、解除资产评估委托合同的，委托人应当按照已经开展资产评估业务的时间、进度，或者已经完成的工作量支付相应的评估服务费。</w:t>
      </w:r>
    </w:p>
    <w:p w14:paraId="02D0A7D7" w14:textId="77777777" w:rsidR="006833EE" w:rsidRDefault="006833EE" w:rsidP="006833EE">
      <w:pPr>
        <w:pStyle w:val="13"/>
      </w:pPr>
      <w:r>
        <w:rPr>
          <w:rFonts w:hint="eastAsia"/>
        </w:rPr>
        <w:t>委托人要求出具虚假资产评估报告或者有其他非法干预评估结论情形的，资产评估机构有权单方解除资产评估委托合同。资产评估委托合同当事人可以约定由委托人按照已经开展资产评估业务的时间、进度，或者已经完成的工作量支付相应的评估服务费。</w:t>
      </w:r>
    </w:p>
    <w:p w14:paraId="19C3971C" w14:textId="77777777" w:rsidR="006833EE" w:rsidRDefault="006833EE" w:rsidP="006833EE">
      <w:pPr>
        <w:pStyle w:val="13"/>
      </w:pPr>
      <w:r>
        <w:rPr>
          <w:rFonts w:hint="eastAsia"/>
        </w:rPr>
        <w:t>因委托人或者其他相关当事人原因导致资产评估程序受限，资产评估机构无法履行资产评估委托合同，资产评估机构可以单方解除资产评估委托合同；当事人可以在资产评估委托合同中约定由委托人按照已经开展资产评估业务的时间、进度，或者已经完成的工作量支付相应的评估服务费。</w:t>
      </w:r>
    </w:p>
    <w:p w14:paraId="7F88D144" w14:textId="77777777" w:rsidR="006833EE" w:rsidRDefault="006833EE" w:rsidP="006833EE">
      <w:pPr>
        <w:pStyle w:val="13"/>
        <w:ind w:firstLine="482"/>
      </w:pPr>
      <w:r w:rsidRPr="00E05BDA">
        <w:rPr>
          <w:rFonts w:hint="eastAsia"/>
          <w:b/>
          <w:bCs/>
        </w:rPr>
        <w:t xml:space="preserve">第十七条 </w:t>
      </w:r>
      <w:r>
        <w:t>资产评估委托合同应当约定当事人的违约责任。资产评估委托合同当事人因不可抗力无法履行资产评估委托合同的，根据不可抗力的影响，部分或者全部免除责任，法律另有规定的除外。</w:t>
      </w:r>
    </w:p>
    <w:p w14:paraId="3ED1224A" w14:textId="77777777" w:rsidR="006833EE" w:rsidRDefault="006833EE" w:rsidP="006833EE">
      <w:pPr>
        <w:pStyle w:val="13"/>
        <w:ind w:firstLine="482"/>
      </w:pPr>
      <w:r w:rsidRPr="00E05BDA">
        <w:rPr>
          <w:rFonts w:hint="eastAsia"/>
          <w:b/>
          <w:bCs/>
        </w:rPr>
        <w:t xml:space="preserve">第十八条 </w:t>
      </w:r>
      <w:r>
        <w:t>资产评估委托合同应当约定资产评估委托合同履行过程中产生争议时争议解决的方式和地点。</w:t>
      </w:r>
    </w:p>
    <w:p w14:paraId="781D476C" w14:textId="77777777" w:rsidR="006833EE" w:rsidRDefault="006833EE" w:rsidP="006833EE">
      <w:pPr>
        <w:pStyle w:val="13"/>
        <w:ind w:firstLine="482"/>
      </w:pPr>
      <w:r w:rsidRPr="00E05BDA">
        <w:rPr>
          <w:rFonts w:hint="eastAsia"/>
          <w:b/>
          <w:bCs/>
        </w:rPr>
        <w:t xml:space="preserve">第十九条 </w:t>
      </w:r>
      <w:r>
        <w:t>资产评估委托合同订立后发现相关事项存在遗漏、约定不明确，或者在合同履行中约定内容发生变化的，资产评估机构可以要求与委托人订立补充合同或者重新订立资产评估委托合同，或者以法律允许的其他方式对资产评估委托合同的相关条款进行变更。</w:t>
      </w:r>
    </w:p>
    <w:p w14:paraId="1649F292" w14:textId="77777777" w:rsidR="006833EE" w:rsidRDefault="006833EE" w:rsidP="00AF7342">
      <w:pPr>
        <w:pStyle w:val="a9"/>
        <w:spacing w:before="62" w:after="62"/>
      </w:pPr>
      <w:r>
        <w:rPr>
          <w:rFonts w:hint="eastAsia"/>
        </w:rPr>
        <w:t>第四章</w:t>
      </w:r>
      <w:r>
        <w:t xml:space="preserve"> 附则</w:t>
      </w:r>
    </w:p>
    <w:p w14:paraId="2DEB9A17" w14:textId="77777777" w:rsidR="006833EE" w:rsidRDefault="006833EE" w:rsidP="006833EE">
      <w:pPr>
        <w:pStyle w:val="13"/>
        <w:ind w:firstLine="482"/>
      </w:pPr>
      <w:r w:rsidRPr="00E05BDA">
        <w:rPr>
          <w:rFonts w:hint="eastAsia"/>
          <w:b/>
          <w:bCs/>
        </w:rPr>
        <w:t xml:space="preserve">第二十条 </w:t>
      </w:r>
      <w:r>
        <w:t>以其他形式建立委托关系的，应当符合法律的要求。</w:t>
      </w:r>
    </w:p>
    <w:p w14:paraId="42833009" w14:textId="77777777" w:rsidR="006833EE" w:rsidRPr="00EF0BC2" w:rsidRDefault="006833EE" w:rsidP="006833EE">
      <w:pPr>
        <w:pStyle w:val="13"/>
        <w:ind w:firstLine="482"/>
      </w:pPr>
      <w:r w:rsidRPr="00E05BDA">
        <w:rPr>
          <w:rFonts w:hint="eastAsia"/>
          <w:b/>
          <w:bCs/>
        </w:rPr>
        <w:t xml:space="preserve">第二十一条 </w:t>
      </w:r>
      <w:r>
        <w:t>本准则自 2017年10月1日起施行。中国资产评估协会于2011年12</w:t>
      </w:r>
      <w:r>
        <w:rPr>
          <w:rFonts w:hint="eastAsia"/>
        </w:rPr>
        <w:t>月</w:t>
      </w:r>
      <w:r>
        <w:t>30日发布的《关于修改评估报告等准则中有关签章条款的通知》（</w:t>
      </w:r>
      <w:proofErr w:type="gramStart"/>
      <w:r>
        <w:t>中评协</w:t>
      </w:r>
      <w:proofErr w:type="gramEnd"/>
      <w:r>
        <w:t>〔2011〕230号）中的《资产评估准则—业务约定书》同时废止。</w:t>
      </w:r>
    </w:p>
    <w:p w14:paraId="258B8954" w14:textId="77777777" w:rsidR="006833EE" w:rsidRDefault="006833EE" w:rsidP="006833EE">
      <w:pPr>
        <w:pStyle w:val="31"/>
        <w:spacing w:before="156" w:after="62"/>
      </w:pPr>
      <w:bookmarkStart w:id="18" w:name="_Toc81833298"/>
      <w:r>
        <w:rPr>
          <w:rFonts w:hint="eastAsia"/>
        </w:rPr>
        <w:t>资产评估执业准则—利用专家工作及相关报告（</w:t>
      </w:r>
      <w:proofErr w:type="gramStart"/>
      <w:r>
        <w:rPr>
          <w:rFonts w:hint="eastAsia"/>
        </w:rPr>
        <w:t>中评协</w:t>
      </w:r>
      <w:proofErr w:type="gramEnd"/>
      <w:r>
        <w:rPr>
          <w:rFonts w:hint="eastAsia"/>
        </w:rPr>
        <w:t>〔</w:t>
      </w:r>
      <w:r>
        <w:t>2017〕35号）</w:t>
      </w:r>
      <w:bookmarkEnd w:id="18"/>
    </w:p>
    <w:p w14:paraId="75202D69" w14:textId="77777777" w:rsidR="006833EE" w:rsidRDefault="006833EE" w:rsidP="006833EE">
      <w:pPr>
        <w:pStyle w:val="13"/>
        <w:ind w:firstLineChars="0" w:firstLine="0"/>
      </w:pPr>
      <w:r>
        <w:rPr>
          <w:rFonts w:hint="eastAsia"/>
        </w:rPr>
        <w:t>各省、自治区、直辖市、计划单列市资产评估协会（注册会计师协会）：</w:t>
      </w:r>
    </w:p>
    <w:p w14:paraId="6E7B0370" w14:textId="77777777" w:rsidR="006833EE" w:rsidRDefault="006833EE" w:rsidP="006833EE">
      <w:pPr>
        <w:pStyle w:val="13"/>
      </w:pPr>
      <w:r>
        <w:rPr>
          <w:rFonts w:hint="eastAsia"/>
        </w:rPr>
        <w:t>为贯彻落实《资产评估法》，规范资产评估执业行为，保证资产评估执业质量，</w:t>
      </w:r>
      <w:r>
        <w:rPr>
          <w:rFonts w:hint="eastAsia"/>
        </w:rPr>
        <w:lastRenderedPageBreak/>
        <w:t>保护资产评估当事人合法权益和公共利益，在财政部指导下，中国资产评估协会根据《资产评估基本准则》，对《资产评估准则—利用专家工作》进行了修订，制定了《资产评估执业准则—利用专家工作及相关报告》，现予印发，自</w:t>
      </w:r>
      <w:r>
        <w:t xml:space="preserve"> 2017年10月1日起施行。</w:t>
      </w:r>
    </w:p>
    <w:p w14:paraId="003FC7EB" w14:textId="77777777" w:rsidR="006833EE" w:rsidRDefault="006833EE" w:rsidP="006833EE">
      <w:pPr>
        <w:pStyle w:val="13"/>
      </w:pPr>
      <w:r>
        <w:rPr>
          <w:rFonts w:hint="eastAsia"/>
        </w:rPr>
        <w:t>请各地</w:t>
      </w:r>
      <w:proofErr w:type="gramStart"/>
      <w:r>
        <w:rPr>
          <w:rFonts w:hint="eastAsia"/>
        </w:rPr>
        <w:t>方协会</w:t>
      </w:r>
      <w:proofErr w:type="gramEnd"/>
      <w:r>
        <w:rPr>
          <w:rFonts w:hint="eastAsia"/>
        </w:rPr>
        <w:t>将《资产评估执业准则—利用专家工作及相关报告》及时转发资产评估机构，组织资产评估机构和资产评估专业人员进行学习和培训，并将执行过程中发现的问题及时上报中国资产评估协会。</w:t>
      </w:r>
    </w:p>
    <w:p w14:paraId="29E528F6" w14:textId="77777777" w:rsidR="006833EE" w:rsidRDefault="006833EE" w:rsidP="006833EE">
      <w:pPr>
        <w:pStyle w:val="13"/>
      </w:pPr>
      <w:r>
        <w:rPr>
          <w:rFonts w:hint="eastAsia"/>
        </w:rPr>
        <w:t>附件：《资产评估执业准则—利用专家工作及相关报告》</w:t>
      </w:r>
    </w:p>
    <w:p w14:paraId="57612DC0" w14:textId="77777777" w:rsidR="006833EE" w:rsidRDefault="006833EE" w:rsidP="006833EE">
      <w:pPr>
        <w:pStyle w:val="13"/>
        <w:jc w:val="right"/>
      </w:pPr>
      <w:r>
        <w:rPr>
          <w:rFonts w:hint="eastAsia"/>
        </w:rPr>
        <w:t>中国资产评估协会</w:t>
      </w:r>
    </w:p>
    <w:p w14:paraId="4624F272" w14:textId="77777777" w:rsidR="006833EE" w:rsidRDefault="006833EE" w:rsidP="006833EE">
      <w:pPr>
        <w:pStyle w:val="13"/>
        <w:jc w:val="right"/>
      </w:pPr>
      <w:r>
        <w:t>2017年9月8日</w:t>
      </w:r>
    </w:p>
    <w:p w14:paraId="1275D523" w14:textId="77777777" w:rsidR="006833EE" w:rsidRDefault="006833EE" w:rsidP="00AF7342">
      <w:pPr>
        <w:pStyle w:val="a9"/>
        <w:spacing w:before="62" w:after="62"/>
      </w:pPr>
      <w:r>
        <w:rPr>
          <w:rFonts w:hint="eastAsia"/>
        </w:rPr>
        <w:t>资产评估执业准则—利用专家工作及相关报告</w:t>
      </w:r>
      <w:r>
        <w:t xml:space="preserve"> </w:t>
      </w:r>
    </w:p>
    <w:p w14:paraId="4D7E4B66" w14:textId="77777777" w:rsidR="006833EE" w:rsidRDefault="006833EE" w:rsidP="00AF7342">
      <w:pPr>
        <w:pStyle w:val="a9"/>
        <w:spacing w:before="62" w:after="62"/>
      </w:pPr>
      <w:r>
        <w:rPr>
          <w:rFonts w:hint="eastAsia"/>
        </w:rPr>
        <w:t>第一章</w:t>
      </w:r>
      <w:r>
        <w:t xml:space="preserve"> 总则</w:t>
      </w:r>
    </w:p>
    <w:p w14:paraId="011F5DED" w14:textId="77777777" w:rsidR="006833EE" w:rsidRDefault="006833EE" w:rsidP="006833EE">
      <w:pPr>
        <w:pStyle w:val="13"/>
        <w:ind w:firstLine="482"/>
      </w:pPr>
      <w:r w:rsidRPr="004E3EBB">
        <w:rPr>
          <w:rFonts w:hint="eastAsia"/>
          <w:b/>
          <w:bCs/>
        </w:rPr>
        <w:t xml:space="preserve">第一条 </w:t>
      </w:r>
      <w:r>
        <w:t>为规范资产评估机构及其资产评估专业人员利用专家工作及相关报告行为，保护资产评估当事人的合法权益和公共利益，根据《资产评估基本准则》制定本准则。</w:t>
      </w:r>
    </w:p>
    <w:p w14:paraId="2B6306B8" w14:textId="77777777" w:rsidR="006833EE" w:rsidRDefault="006833EE" w:rsidP="006833EE">
      <w:pPr>
        <w:pStyle w:val="13"/>
        <w:ind w:firstLine="482"/>
      </w:pPr>
      <w:r w:rsidRPr="004E3EBB">
        <w:rPr>
          <w:rFonts w:hint="eastAsia"/>
          <w:b/>
          <w:bCs/>
        </w:rPr>
        <w:t xml:space="preserve">第二条 </w:t>
      </w:r>
      <w:r>
        <w:t>本准则所称利用专家工作及相关报告，是指资产评估机构在执行资产评估业务过程中，聘请专家个人协助工作、利用专业报告和引用单项资产评估报告的行为。</w:t>
      </w:r>
    </w:p>
    <w:p w14:paraId="11058E79" w14:textId="77777777" w:rsidR="006833EE" w:rsidRDefault="006833EE" w:rsidP="006833EE">
      <w:pPr>
        <w:pStyle w:val="13"/>
      </w:pPr>
      <w:r>
        <w:rPr>
          <w:rFonts w:hint="eastAsia"/>
        </w:rPr>
        <w:t>聘请专家个人协助工作是指因涉及特殊专业知识和经验，聘请某一领域中具有专门知识、技能和经验的个人协助工作，作为资产评估专业支持。</w:t>
      </w:r>
    </w:p>
    <w:p w14:paraId="1D377DD5" w14:textId="77777777" w:rsidR="006833EE" w:rsidRDefault="006833EE" w:rsidP="006833EE">
      <w:pPr>
        <w:pStyle w:val="13"/>
      </w:pPr>
      <w:r>
        <w:rPr>
          <w:rFonts w:hint="eastAsia"/>
        </w:rPr>
        <w:t>利用专业报告是指因涉及特殊专业知识和经验，利用某一领域中具有专门资质或者相关经验的机构所出具的专业报告，作为资产评估依据。</w:t>
      </w:r>
    </w:p>
    <w:p w14:paraId="74E3033E" w14:textId="77777777" w:rsidR="006833EE" w:rsidRDefault="006833EE" w:rsidP="006833EE">
      <w:pPr>
        <w:pStyle w:val="13"/>
      </w:pPr>
      <w:r>
        <w:rPr>
          <w:rFonts w:hint="eastAsia"/>
        </w:rPr>
        <w:t>引用单项资产评估报告是指资产评估机构根据法律、行政法规等要求，引用其他评估机构出具的单项资产评估报告，作为资产评估报告的组成部分。</w:t>
      </w:r>
    </w:p>
    <w:p w14:paraId="4400662F" w14:textId="77777777" w:rsidR="006833EE" w:rsidRDefault="006833EE" w:rsidP="006833EE">
      <w:pPr>
        <w:pStyle w:val="13"/>
        <w:ind w:firstLine="482"/>
      </w:pPr>
      <w:r w:rsidRPr="004E3EBB">
        <w:rPr>
          <w:rFonts w:hint="eastAsia"/>
          <w:b/>
          <w:bCs/>
        </w:rPr>
        <w:t xml:space="preserve">第三条 </w:t>
      </w:r>
      <w:r>
        <w:t>执行资产评估业务过程中利用专家工作及相关报告，应当遵守本准则。</w:t>
      </w:r>
    </w:p>
    <w:p w14:paraId="5E5CF6A8" w14:textId="77777777" w:rsidR="006833EE" w:rsidRDefault="006833EE" w:rsidP="00AF7342">
      <w:pPr>
        <w:pStyle w:val="a9"/>
        <w:spacing w:before="62" w:after="62"/>
      </w:pPr>
      <w:r>
        <w:rPr>
          <w:rFonts w:hint="eastAsia"/>
        </w:rPr>
        <w:t>第二章</w:t>
      </w:r>
      <w:r>
        <w:t xml:space="preserve"> 聘请专家个人协助工作</w:t>
      </w:r>
    </w:p>
    <w:p w14:paraId="2F6F8637" w14:textId="77777777" w:rsidR="006833EE" w:rsidRDefault="006833EE" w:rsidP="006833EE">
      <w:pPr>
        <w:pStyle w:val="13"/>
        <w:ind w:firstLine="482"/>
      </w:pPr>
      <w:r w:rsidRPr="004E3EBB">
        <w:rPr>
          <w:rFonts w:hint="eastAsia"/>
          <w:b/>
          <w:bCs/>
        </w:rPr>
        <w:t xml:space="preserve">第四条 </w:t>
      </w:r>
      <w:r>
        <w:t>资产评估机构执行资产评估业务，需要特殊专业知识和经验的专家个人提供协助时，可以聘请其协助工作。</w:t>
      </w:r>
    </w:p>
    <w:p w14:paraId="647CB722" w14:textId="77777777" w:rsidR="006833EE" w:rsidRDefault="006833EE" w:rsidP="006833EE">
      <w:pPr>
        <w:pStyle w:val="13"/>
        <w:ind w:firstLine="482"/>
      </w:pPr>
      <w:r w:rsidRPr="004E3EBB">
        <w:rPr>
          <w:rFonts w:hint="eastAsia"/>
          <w:b/>
          <w:bCs/>
        </w:rPr>
        <w:t xml:space="preserve">第五条 </w:t>
      </w:r>
      <w:r>
        <w:t>资产评估机构聘请相关专家协助工作的内容通常包括：</w:t>
      </w:r>
    </w:p>
    <w:p w14:paraId="1F8A7450" w14:textId="77777777" w:rsidR="006833EE" w:rsidRDefault="006833EE" w:rsidP="006833EE">
      <w:pPr>
        <w:pStyle w:val="13"/>
      </w:pPr>
      <w:r>
        <w:rPr>
          <w:rFonts w:hint="eastAsia"/>
        </w:rPr>
        <w:t>（一）对资产性能、先进性等的专业判断；</w:t>
      </w:r>
    </w:p>
    <w:p w14:paraId="1D9CD630" w14:textId="77777777" w:rsidR="006833EE" w:rsidRDefault="006833EE" w:rsidP="006833EE">
      <w:pPr>
        <w:pStyle w:val="13"/>
      </w:pPr>
      <w:r>
        <w:rPr>
          <w:rFonts w:hint="eastAsia"/>
        </w:rPr>
        <w:t>（二）对特殊资产实物状况、技术状况和使用状况的判断；</w:t>
      </w:r>
    </w:p>
    <w:p w14:paraId="24D1C0F6" w14:textId="77777777" w:rsidR="006833EE" w:rsidRDefault="006833EE" w:rsidP="006833EE">
      <w:pPr>
        <w:pStyle w:val="13"/>
      </w:pPr>
      <w:r>
        <w:rPr>
          <w:rFonts w:hint="eastAsia"/>
        </w:rPr>
        <w:t>（三）对特殊行业企业运营、市场状况等的判断；</w:t>
      </w:r>
    </w:p>
    <w:p w14:paraId="1DE468D3" w14:textId="77777777" w:rsidR="006833EE" w:rsidRDefault="006833EE" w:rsidP="006833EE">
      <w:pPr>
        <w:pStyle w:val="13"/>
      </w:pPr>
      <w:r>
        <w:rPr>
          <w:rFonts w:hint="eastAsia"/>
        </w:rPr>
        <w:t>（四）资产评估过程中可能利用专家协助的其他工作。</w:t>
      </w:r>
    </w:p>
    <w:p w14:paraId="5E9616C1" w14:textId="77777777" w:rsidR="006833EE" w:rsidRDefault="006833EE" w:rsidP="006833EE">
      <w:pPr>
        <w:pStyle w:val="13"/>
        <w:ind w:firstLine="482"/>
      </w:pPr>
      <w:r w:rsidRPr="004E3EBB">
        <w:rPr>
          <w:rFonts w:hint="eastAsia"/>
          <w:b/>
          <w:bCs/>
        </w:rPr>
        <w:lastRenderedPageBreak/>
        <w:t xml:space="preserve">第六条 </w:t>
      </w:r>
      <w:r>
        <w:t>资产评估机构在聘请专家时，应当：</w:t>
      </w:r>
    </w:p>
    <w:p w14:paraId="3EF3DB7B" w14:textId="77777777" w:rsidR="006833EE" w:rsidRDefault="006833EE" w:rsidP="006833EE">
      <w:pPr>
        <w:pStyle w:val="13"/>
      </w:pPr>
      <w:r>
        <w:rPr>
          <w:rFonts w:hint="eastAsia"/>
        </w:rPr>
        <w:t>（一）综合考虑拟聘专家的专业特长、职称、专业资格、声望等因素，综合分析评判专家的专业能力；</w:t>
      </w:r>
    </w:p>
    <w:p w14:paraId="2C37D0B5" w14:textId="77777777" w:rsidR="006833EE" w:rsidRDefault="006833EE" w:rsidP="006833EE">
      <w:pPr>
        <w:pStyle w:val="13"/>
      </w:pPr>
      <w:r>
        <w:rPr>
          <w:rFonts w:hint="eastAsia"/>
        </w:rPr>
        <w:t>（二）关注专家的独立性。通常，专家与委托人或者其他相关当事人存在关联关系，</w:t>
      </w:r>
      <w:r>
        <w:t>专家工作的独立性可能受到影响。</w:t>
      </w:r>
    </w:p>
    <w:p w14:paraId="744E6D1E" w14:textId="77777777" w:rsidR="006833EE" w:rsidRDefault="006833EE" w:rsidP="006833EE">
      <w:pPr>
        <w:pStyle w:val="13"/>
        <w:ind w:firstLine="482"/>
      </w:pPr>
      <w:r w:rsidRPr="004E3EBB">
        <w:rPr>
          <w:rFonts w:hint="eastAsia"/>
          <w:b/>
          <w:bCs/>
        </w:rPr>
        <w:t xml:space="preserve">第七条 </w:t>
      </w:r>
      <w:r>
        <w:t>资产评估机构聘请相关专家协助工作，必要时应当征得委托人同意，并由资产评估机构与专家明确下列基本事项：</w:t>
      </w:r>
    </w:p>
    <w:p w14:paraId="7FBD0F08" w14:textId="77777777" w:rsidR="006833EE" w:rsidRDefault="006833EE" w:rsidP="006833EE">
      <w:pPr>
        <w:pStyle w:val="13"/>
      </w:pPr>
      <w:r>
        <w:rPr>
          <w:rFonts w:hint="eastAsia"/>
        </w:rPr>
        <w:t>（一）工作的目标、范围和成果；</w:t>
      </w:r>
    </w:p>
    <w:p w14:paraId="12F69EEB" w14:textId="77777777" w:rsidR="006833EE" w:rsidRDefault="006833EE" w:rsidP="006833EE">
      <w:pPr>
        <w:pStyle w:val="13"/>
      </w:pPr>
      <w:r>
        <w:rPr>
          <w:rFonts w:hint="eastAsia"/>
        </w:rPr>
        <w:t>（二）工作成果的归属及预定用途；</w:t>
      </w:r>
    </w:p>
    <w:p w14:paraId="1A3B5E56" w14:textId="77777777" w:rsidR="006833EE" w:rsidRDefault="006833EE" w:rsidP="006833EE">
      <w:pPr>
        <w:pStyle w:val="13"/>
      </w:pPr>
      <w:r>
        <w:rPr>
          <w:rFonts w:hint="eastAsia"/>
        </w:rPr>
        <w:t>（三）对信息保密的要求。</w:t>
      </w:r>
    </w:p>
    <w:p w14:paraId="729ECF39" w14:textId="77777777" w:rsidR="006833EE" w:rsidRDefault="006833EE" w:rsidP="006833EE">
      <w:pPr>
        <w:pStyle w:val="13"/>
        <w:ind w:firstLine="482"/>
      </w:pPr>
      <w:r w:rsidRPr="004E3EBB">
        <w:rPr>
          <w:rFonts w:hint="eastAsia"/>
          <w:b/>
          <w:bCs/>
        </w:rPr>
        <w:t xml:space="preserve">第八条 </w:t>
      </w:r>
      <w:r>
        <w:t>资产评估机构聘请专家协助工作时，应当向专家介绍资产评估相关规定和评估业务相关情况，提出具体工作要求。</w:t>
      </w:r>
    </w:p>
    <w:p w14:paraId="5180B092" w14:textId="77777777" w:rsidR="006833EE" w:rsidRDefault="006833EE" w:rsidP="006833EE">
      <w:pPr>
        <w:pStyle w:val="13"/>
        <w:ind w:firstLine="482"/>
      </w:pPr>
      <w:r w:rsidRPr="00E05BDA">
        <w:rPr>
          <w:rFonts w:hint="eastAsia"/>
          <w:b/>
          <w:bCs/>
        </w:rPr>
        <w:t xml:space="preserve">第九条 </w:t>
      </w:r>
      <w:r>
        <w:t>资产评估专业人员应当在工作底稿中记录聘请专家协助工作的情况以及专家工作成果。</w:t>
      </w:r>
    </w:p>
    <w:p w14:paraId="5102BC69" w14:textId="77777777" w:rsidR="006833EE" w:rsidRDefault="006833EE" w:rsidP="006833EE">
      <w:pPr>
        <w:pStyle w:val="13"/>
        <w:ind w:firstLine="482"/>
      </w:pPr>
      <w:r w:rsidRPr="00E05BDA">
        <w:rPr>
          <w:rFonts w:hint="eastAsia"/>
          <w:b/>
          <w:bCs/>
        </w:rPr>
        <w:t xml:space="preserve">第十条 </w:t>
      </w:r>
      <w:r>
        <w:t>资产评估机构和资产评估专业人员不因聘请专家协助工作而减轻或者免除</w:t>
      </w:r>
      <w:r>
        <w:rPr>
          <w:rFonts w:hint="eastAsia"/>
        </w:rPr>
        <w:t>法律责任。</w:t>
      </w:r>
    </w:p>
    <w:p w14:paraId="7102ED25" w14:textId="77777777" w:rsidR="006833EE" w:rsidRDefault="006833EE" w:rsidP="00AF7342">
      <w:pPr>
        <w:pStyle w:val="a9"/>
        <w:spacing w:before="62" w:after="62"/>
      </w:pPr>
      <w:r>
        <w:rPr>
          <w:rFonts w:hint="eastAsia"/>
        </w:rPr>
        <w:t>第三章</w:t>
      </w:r>
      <w:r>
        <w:t xml:space="preserve"> 利用专业报告</w:t>
      </w:r>
    </w:p>
    <w:p w14:paraId="18509EF4" w14:textId="77777777" w:rsidR="006833EE" w:rsidRDefault="006833EE" w:rsidP="006833EE">
      <w:pPr>
        <w:pStyle w:val="13"/>
        <w:ind w:firstLine="482"/>
      </w:pPr>
      <w:r w:rsidRPr="00E05BDA">
        <w:rPr>
          <w:rFonts w:hint="eastAsia"/>
          <w:b/>
          <w:bCs/>
        </w:rPr>
        <w:t xml:space="preserve">第十一条 </w:t>
      </w:r>
      <w:r>
        <w:t>执行资产评估业务，涉及特殊专业知识和经验时，可以利用专业机构出具的专业报告作为评估依据。</w:t>
      </w:r>
    </w:p>
    <w:p w14:paraId="67EEA984" w14:textId="77777777" w:rsidR="006833EE" w:rsidRDefault="006833EE" w:rsidP="006833EE">
      <w:pPr>
        <w:pStyle w:val="13"/>
        <w:ind w:firstLine="482"/>
      </w:pPr>
      <w:r w:rsidRPr="00E05BDA">
        <w:rPr>
          <w:rFonts w:hint="eastAsia"/>
          <w:b/>
          <w:bCs/>
        </w:rPr>
        <w:t xml:space="preserve">第十二条 </w:t>
      </w:r>
      <w:r>
        <w:t>资产评估机构及其资产评估专业人员利用的专业报告，应当通过合法途径获得，通常包括：</w:t>
      </w:r>
    </w:p>
    <w:p w14:paraId="49EA139B" w14:textId="77777777" w:rsidR="006833EE" w:rsidRDefault="006833EE" w:rsidP="006833EE">
      <w:pPr>
        <w:pStyle w:val="13"/>
      </w:pPr>
      <w:r>
        <w:rPr>
          <w:rFonts w:hint="eastAsia"/>
        </w:rPr>
        <w:t>（一）公开发表的相关专业报告；</w:t>
      </w:r>
    </w:p>
    <w:p w14:paraId="33FEF54E" w14:textId="77777777" w:rsidR="006833EE" w:rsidRDefault="006833EE" w:rsidP="006833EE">
      <w:pPr>
        <w:pStyle w:val="13"/>
      </w:pPr>
      <w:r>
        <w:rPr>
          <w:rFonts w:hint="eastAsia"/>
        </w:rPr>
        <w:t>（二）已经正式出具的相关专业报告；</w:t>
      </w:r>
    </w:p>
    <w:p w14:paraId="57157C90" w14:textId="77777777" w:rsidR="006833EE" w:rsidRDefault="006833EE" w:rsidP="006833EE">
      <w:pPr>
        <w:pStyle w:val="13"/>
      </w:pPr>
      <w:r>
        <w:rPr>
          <w:rFonts w:hint="eastAsia"/>
        </w:rPr>
        <w:t>（三）专门聘请专业机构完成相关工作，并出具的相应专业报告。</w:t>
      </w:r>
    </w:p>
    <w:p w14:paraId="6E58883C" w14:textId="77777777" w:rsidR="006833EE" w:rsidRDefault="006833EE" w:rsidP="006833EE">
      <w:pPr>
        <w:pStyle w:val="13"/>
        <w:ind w:firstLine="482"/>
      </w:pPr>
      <w:r w:rsidRPr="00E05BDA">
        <w:rPr>
          <w:rFonts w:hint="eastAsia"/>
          <w:b/>
          <w:bCs/>
        </w:rPr>
        <w:t xml:space="preserve">第十三条 </w:t>
      </w:r>
      <w:r>
        <w:t>资产评估专业人员利用的专业报告类型通常包括：</w:t>
      </w:r>
    </w:p>
    <w:p w14:paraId="556F6387" w14:textId="77777777" w:rsidR="006833EE" w:rsidRDefault="006833EE" w:rsidP="006833EE">
      <w:pPr>
        <w:pStyle w:val="13"/>
      </w:pPr>
      <w:r>
        <w:rPr>
          <w:rFonts w:hint="eastAsia"/>
        </w:rPr>
        <w:t>（一）对资产数量和实物状况的测定报告；</w:t>
      </w:r>
    </w:p>
    <w:p w14:paraId="2D4A0417" w14:textId="77777777" w:rsidR="006833EE" w:rsidRDefault="006833EE" w:rsidP="006833EE">
      <w:pPr>
        <w:pStyle w:val="13"/>
      </w:pPr>
      <w:r>
        <w:rPr>
          <w:rFonts w:hint="eastAsia"/>
        </w:rPr>
        <w:t>（二）需用特殊技术或者方法的相关测算报告；</w:t>
      </w:r>
    </w:p>
    <w:p w14:paraId="0B8BBC3A" w14:textId="77777777" w:rsidR="006833EE" w:rsidRDefault="006833EE" w:rsidP="006833EE">
      <w:pPr>
        <w:pStyle w:val="13"/>
      </w:pPr>
      <w:r>
        <w:rPr>
          <w:rFonts w:hint="eastAsia"/>
        </w:rPr>
        <w:t>（三）特殊资产清查，必要的技术鉴定或者检测报告；</w:t>
      </w:r>
    </w:p>
    <w:p w14:paraId="0AC0B6B2" w14:textId="77777777" w:rsidR="006833EE" w:rsidRDefault="006833EE" w:rsidP="006833EE">
      <w:pPr>
        <w:pStyle w:val="13"/>
      </w:pPr>
      <w:r>
        <w:rPr>
          <w:rFonts w:hint="eastAsia"/>
        </w:rPr>
        <w:t>（四）相关行业或者业务的分析判断报告；</w:t>
      </w:r>
    </w:p>
    <w:p w14:paraId="1E2D71EE" w14:textId="77777777" w:rsidR="006833EE" w:rsidRDefault="006833EE" w:rsidP="006833EE">
      <w:pPr>
        <w:pStyle w:val="13"/>
      </w:pPr>
      <w:r>
        <w:rPr>
          <w:rFonts w:hint="eastAsia"/>
        </w:rPr>
        <w:t>（五）审计报告；</w:t>
      </w:r>
    </w:p>
    <w:p w14:paraId="507871D4" w14:textId="77777777" w:rsidR="006833EE" w:rsidRDefault="006833EE" w:rsidP="006833EE">
      <w:pPr>
        <w:pStyle w:val="13"/>
      </w:pPr>
      <w:r>
        <w:rPr>
          <w:rFonts w:hint="eastAsia"/>
        </w:rPr>
        <w:t>（六）针对预测性财务信息的审核报告；</w:t>
      </w:r>
    </w:p>
    <w:p w14:paraId="37B3BEF6" w14:textId="77777777" w:rsidR="006833EE" w:rsidRDefault="006833EE" w:rsidP="006833EE">
      <w:pPr>
        <w:pStyle w:val="13"/>
      </w:pPr>
      <w:r>
        <w:rPr>
          <w:rFonts w:hint="eastAsia"/>
        </w:rPr>
        <w:t>（七）对资产权属、相关文件和合同等的法律意见；</w:t>
      </w:r>
    </w:p>
    <w:p w14:paraId="05B1C142" w14:textId="77777777" w:rsidR="006833EE" w:rsidRDefault="006833EE" w:rsidP="006833EE">
      <w:pPr>
        <w:pStyle w:val="13"/>
      </w:pPr>
      <w:r>
        <w:rPr>
          <w:rFonts w:hint="eastAsia"/>
        </w:rPr>
        <w:t>（八）评估过程中可能利用的其他专业资料。</w:t>
      </w:r>
    </w:p>
    <w:p w14:paraId="0F4FA4F2" w14:textId="77777777" w:rsidR="006833EE" w:rsidRDefault="006833EE" w:rsidP="006833EE">
      <w:pPr>
        <w:pStyle w:val="13"/>
        <w:ind w:firstLine="482"/>
      </w:pPr>
      <w:r w:rsidRPr="00E05BDA">
        <w:rPr>
          <w:rFonts w:hint="eastAsia"/>
          <w:b/>
          <w:bCs/>
        </w:rPr>
        <w:t xml:space="preserve">第十四条 </w:t>
      </w:r>
      <w:r>
        <w:t>资产评估机构聘请专业机构出具专业报告时，应当：</w:t>
      </w:r>
    </w:p>
    <w:p w14:paraId="7D779294" w14:textId="77777777" w:rsidR="006833EE" w:rsidRDefault="006833EE" w:rsidP="006833EE">
      <w:pPr>
        <w:pStyle w:val="13"/>
      </w:pPr>
      <w:r>
        <w:rPr>
          <w:rFonts w:hint="eastAsia"/>
        </w:rPr>
        <w:lastRenderedPageBreak/>
        <w:t>（一）综合考虑专业机构的业务范围、执业资质、业绩、地位等因素，判断其所出具的专业报告作为评估依据的可靠性；</w:t>
      </w:r>
    </w:p>
    <w:p w14:paraId="6F3F4095" w14:textId="77777777" w:rsidR="006833EE" w:rsidRDefault="006833EE" w:rsidP="006833EE">
      <w:pPr>
        <w:pStyle w:val="13"/>
      </w:pPr>
      <w:r>
        <w:rPr>
          <w:rFonts w:hint="eastAsia"/>
        </w:rPr>
        <w:t>（二）关注专业机构的独立性。</w:t>
      </w:r>
    </w:p>
    <w:p w14:paraId="689D880A" w14:textId="77777777" w:rsidR="006833EE" w:rsidRDefault="006833EE" w:rsidP="006833EE">
      <w:pPr>
        <w:pStyle w:val="13"/>
        <w:ind w:firstLine="482"/>
      </w:pPr>
      <w:r w:rsidRPr="00E05BDA">
        <w:rPr>
          <w:rFonts w:hint="eastAsia"/>
          <w:b/>
          <w:bCs/>
        </w:rPr>
        <w:t xml:space="preserve">第十五条 </w:t>
      </w:r>
      <w:r>
        <w:t>资产评估机构聘请专业机构出具专业报告，应当由资产评估机构与专业机构签署约定文件，明确下列基本事项：</w:t>
      </w:r>
    </w:p>
    <w:p w14:paraId="7E78E7D5" w14:textId="77777777" w:rsidR="006833EE" w:rsidRDefault="006833EE" w:rsidP="006833EE">
      <w:pPr>
        <w:pStyle w:val="13"/>
      </w:pPr>
      <w:r>
        <w:rPr>
          <w:rFonts w:hint="eastAsia"/>
        </w:rPr>
        <w:t>（一）工作的目标、范围和成果；</w:t>
      </w:r>
    </w:p>
    <w:p w14:paraId="7F62CE69" w14:textId="77777777" w:rsidR="006833EE" w:rsidRDefault="006833EE" w:rsidP="006833EE">
      <w:pPr>
        <w:pStyle w:val="13"/>
      </w:pPr>
      <w:r>
        <w:rPr>
          <w:rFonts w:hint="eastAsia"/>
        </w:rPr>
        <w:t>（二）工作成果的归属及预定用途；</w:t>
      </w:r>
    </w:p>
    <w:p w14:paraId="0C95920D" w14:textId="77777777" w:rsidR="006833EE" w:rsidRDefault="006833EE" w:rsidP="006833EE">
      <w:pPr>
        <w:pStyle w:val="13"/>
      </w:pPr>
      <w:r>
        <w:rPr>
          <w:rFonts w:hint="eastAsia"/>
        </w:rPr>
        <w:t>（三）对信息保密的要求。</w:t>
      </w:r>
    </w:p>
    <w:p w14:paraId="6110B298" w14:textId="77777777" w:rsidR="006833EE" w:rsidRDefault="006833EE" w:rsidP="006833EE">
      <w:pPr>
        <w:pStyle w:val="13"/>
        <w:ind w:firstLine="482"/>
      </w:pPr>
      <w:r w:rsidRPr="00E05BDA">
        <w:rPr>
          <w:rFonts w:hint="eastAsia"/>
          <w:b/>
          <w:bCs/>
        </w:rPr>
        <w:t xml:space="preserve">第十六条 </w:t>
      </w:r>
      <w:r>
        <w:t>资产评估机构聘请专业机构出具专业报告，必要时应当征得委托人同意。</w:t>
      </w:r>
    </w:p>
    <w:p w14:paraId="58A0620F" w14:textId="77777777" w:rsidR="006833EE" w:rsidRDefault="006833EE" w:rsidP="006833EE">
      <w:pPr>
        <w:pStyle w:val="13"/>
      </w:pPr>
      <w:r>
        <w:rPr>
          <w:rFonts w:hint="eastAsia"/>
        </w:rPr>
        <w:t>资产评估机构可以要求委托人聘请专业机构出具专业报告，并要求所出具的专业报告满足资产评估业务的需要。</w:t>
      </w:r>
    </w:p>
    <w:p w14:paraId="1BDEC86C" w14:textId="77777777" w:rsidR="006833EE" w:rsidRDefault="006833EE" w:rsidP="006833EE">
      <w:pPr>
        <w:pStyle w:val="13"/>
        <w:ind w:firstLine="482"/>
      </w:pPr>
      <w:r w:rsidRPr="00E05BDA">
        <w:rPr>
          <w:rFonts w:hint="eastAsia"/>
          <w:b/>
          <w:bCs/>
        </w:rPr>
        <w:t xml:space="preserve">第十七条 </w:t>
      </w:r>
      <w:r>
        <w:t>资产评估专业人员利用专业报告，通常应当关注以下事项：</w:t>
      </w:r>
    </w:p>
    <w:p w14:paraId="4CBB8B16" w14:textId="77777777" w:rsidR="006833EE" w:rsidRDefault="006833EE" w:rsidP="006833EE">
      <w:pPr>
        <w:pStyle w:val="13"/>
      </w:pPr>
      <w:r>
        <w:rPr>
          <w:rFonts w:hint="eastAsia"/>
        </w:rPr>
        <w:t>（一）利用与资产评估同时开展相关工作的专业机构出具的专业报告作为评估依据时，应当考虑其与资产评估的专业衔接关系；</w:t>
      </w:r>
    </w:p>
    <w:p w14:paraId="51D39924" w14:textId="77777777" w:rsidR="006833EE" w:rsidRDefault="006833EE" w:rsidP="006833EE">
      <w:pPr>
        <w:pStyle w:val="13"/>
      </w:pPr>
      <w:r>
        <w:rPr>
          <w:rFonts w:hint="eastAsia"/>
        </w:rPr>
        <w:t>（二）利用委托人提供的、资产评估前已经正式出具的专业报告作为评估依据时，</w:t>
      </w:r>
      <w:r>
        <w:t>应当判断其作为评估依据的时效性和可靠性；</w:t>
      </w:r>
    </w:p>
    <w:p w14:paraId="3DA6E53A" w14:textId="77777777" w:rsidR="006833EE" w:rsidRDefault="006833EE" w:rsidP="006833EE">
      <w:pPr>
        <w:pStyle w:val="13"/>
      </w:pPr>
      <w:r>
        <w:rPr>
          <w:rFonts w:hint="eastAsia"/>
        </w:rPr>
        <w:t>（三）向专业机构介绍资产评估相关规定和资产评估业务相关情况，提出出具专业报告的具体要求。</w:t>
      </w:r>
    </w:p>
    <w:p w14:paraId="46B4B22B" w14:textId="77777777" w:rsidR="006833EE" w:rsidRDefault="006833EE" w:rsidP="006833EE">
      <w:pPr>
        <w:pStyle w:val="13"/>
        <w:ind w:firstLine="482"/>
      </w:pPr>
      <w:r w:rsidRPr="00E05BDA">
        <w:rPr>
          <w:rFonts w:hint="eastAsia"/>
          <w:b/>
          <w:bCs/>
        </w:rPr>
        <w:t xml:space="preserve">第十八条 </w:t>
      </w:r>
      <w:r>
        <w:t>资产评估专业人员利用专业机构出具的专业报告，应当关注其披露的、对专业报告结论存在重大影响的事项。</w:t>
      </w:r>
    </w:p>
    <w:p w14:paraId="1D23FC22" w14:textId="77777777" w:rsidR="006833EE" w:rsidRDefault="006833EE" w:rsidP="006833EE">
      <w:pPr>
        <w:pStyle w:val="13"/>
        <w:ind w:firstLine="482"/>
      </w:pPr>
      <w:r w:rsidRPr="00E05BDA">
        <w:rPr>
          <w:rFonts w:hint="eastAsia"/>
          <w:b/>
          <w:bCs/>
        </w:rPr>
        <w:t xml:space="preserve">第十九条 </w:t>
      </w:r>
      <w:r>
        <w:t>资产评估专业人员应当将利用的专业报告作为工作底稿，必要时作为资产评估报告附件。</w:t>
      </w:r>
    </w:p>
    <w:p w14:paraId="088C5608" w14:textId="77777777" w:rsidR="006833EE" w:rsidRDefault="006833EE" w:rsidP="00AF7342">
      <w:pPr>
        <w:pStyle w:val="a9"/>
        <w:spacing w:before="62" w:after="62"/>
      </w:pPr>
      <w:r>
        <w:rPr>
          <w:rFonts w:hint="eastAsia"/>
        </w:rPr>
        <w:t>第四章</w:t>
      </w:r>
      <w:r>
        <w:t xml:space="preserve"> 引用单项资产评估报告</w:t>
      </w:r>
    </w:p>
    <w:p w14:paraId="0ACD34CB" w14:textId="77777777" w:rsidR="006833EE" w:rsidRDefault="006833EE" w:rsidP="006833EE">
      <w:pPr>
        <w:pStyle w:val="13"/>
        <w:ind w:firstLine="482"/>
      </w:pPr>
      <w:r w:rsidRPr="00E05BDA">
        <w:rPr>
          <w:rFonts w:hint="eastAsia"/>
          <w:b/>
          <w:bCs/>
        </w:rPr>
        <w:t xml:space="preserve">第二十条 </w:t>
      </w:r>
      <w:r>
        <w:t>资产评估机构应当根据法律、行政法规等要求，确定是否引用以及如何引用相关单项资产评估报告。引用单项资产评估报告应当与委托人事先约定。</w:t>
      </w:r>
    </w:p>
    <w:p w14:paraId="7D6F18F3" w14:textId="77777777" w:rsidR="006833EE" w:rsidRDefault="006833EE" w:rsidP="006833EE">
      <w:pPr>
        <w:pStyle w:val="13"/>
        <w:ind w:firstLine="482"/>
      </w:pPr>
      <w:r w:rsidRPr="00E05BDA">
        <w:rPr>
          <w:rFonts w:hint="eastAsia"/>
          <w:b/>
          <w:bCs/>
        </w:rPr>
        <w:t xml:space="preserve">第二十一条 </w:t>
      </w:r>
      <w:r>
        <w:t>资产评估专业人员应当获取正式出具的单项资产评估报告，并全面理解单项资产评估报告以及相关附件。</w:t>
      </w:r>
    </w:p>
    <w:p w14:paraId="2A1D0DE0" w14:textId="77777777" w:rsidR="006833EE" w:rsidRDefault="006833EE" w:rsidP="006833EE">
      <w:pPr>
        <w:pStyle w:val="13"/>
        <w:ind w:firstLine="482"/>
      </w:pPr>
      <w:r w:rsidRPr="00E05BDA">
        <w:rPr>
          <w:rFonts w:hint="eastAsia"/>
          <w:b/>
          <w:bCs/>
        </w:rPr>
        <w:t xml:space="preserve">第二十二条 </w:t>
      </w:r>
      <w:r>
        <w:t>资产评估专业人员应当关注拟引用单项资产评估报告的性质、评估目的、评估基准日、评估对象、评估依据、参数选取、假设前提、使用限制等是否满足资产评估报告的引用要求；不满足资产评估报告引用要求的，不得引用。</w:t>
      </w:r>
    </w:p>
    <w:p w14:paraId="37AA1DEC" w14:textId="77777777" w:rsidR="006833EE" w:rsidRDefault="006833EE" w:rsidP="006833EE">
      <w:pPr>
        <w:pStyle w:val="13"/>
        <w:ind w:firstLine="482"/>
      </w:pPr>
      <w:r w:rsidRPr="00E05BDA">
        <w:rPr>
          <w:rFonts w:hint="eastAsia"/>
          <w:b/>
          <w:bCs/>
        </w:rPr>
        <w:t xml:space="preserve">第二十三条 </w:t>
      </w:r>
      <w:r>
        <w:t>资产评估专业人员应当分析拟引用单项资产评估报告载明的评估结论，判断其对应的资产类型与资产评估的资产类型的一致性；分析是否存在相关负债，并予以恰当处理。</w:t>
      </w:r>
    </w:p>
    <w:p w14:paraId="144AAE85" w14:textId="77777777" w:rsidR="006833EE" w:rsidRDefault="006833EE" w:rsidP="006833EE">
      <w:pPr>
        <w:pStyle w:val="13"/>
      </w:pPr>
      <w:r>
        <w:rPr>
          <w:rFonts w:hint="eastAsia"/>
        </w:rPr>
        <w:lastRenderedPageBreak/>
        <w:t>对于账面无记录的单项资产，应当考虑引用或者确认的资产类型是否符合相关规定；</w:t>
      </w:r>
      <w:r>
        <w:t>分析是否存在相关负债，并予以恰当处理。</w:t>
      </w:r>
    </w:p>
    <w:p w14:paraId="1015D83F" w14:textId="77777777" w:rsidR="006833EE" w:rsidRDefault="006833EE" w:rsidP="006833EE">
      <w:pPr>
        <w:pStyle w:val="13"/>
        <w:ind w:firstLine="482"/>
      </w:pPr>
      <w:r w:rsidRPr="00E05BDA">
        <w:rPr>
          <w:rFonts w:hint="eastAsia"/>
          <w:b/>
          <w:bCs/>
        </w:rPr>
        <w:t xml:space="preserve">第二十四条 </w:t>
      </w:r>
      <w:r>
        <w:t>资产评估专业人员应当关注拟引用单项资产评估报告的相关备案审核文件资料，分析其可能对拟引用单项资产评估报告评估结论产生的影响。</w:t>
      </w:r>
    </w:p>
    <w:p w14:paraId="311597A5" w14:textId="77777777" w:rsidR="006833EE" w:rsidRDefault="006833EE" w:rsidP="006833EE">
      <w:pPr>
        <w:pStyle w:val="13"/>
        <w:ind w:firstLine="482"/>
      </w:pPr>
      <w:r w:rsidRPr="00E05BDA">
        <w:rPr>
          <w:rFonts w:hint="eastAsia"/>
          <w:b/>
          <w:bCs/>
        </w:rPr>
        <w:t xml:space="preserve">第二十五条 </w:t>
      </w:r>
      <w:r>
        <w:t>资产评估专业人员应当对所引用单项资产评估报告的评估结论与账面价值的变动情况进行客观分析，不得发表超出自身执业能力和范围的评论意见。</w:t>
      </w:r>
    </w:p>
    <w:p w14:paraId="2467559B" w14:textId="77777777" w:rsidR="006833EE" w:rsidRDefault="006833EE" w:rsidP="006833EE">
      <w:pPr>
        <w:pStyle w:val="13"/>
        <w:ind w:firstLine="482"/>
      </w:pPr>
      <w:r w:rsidRPr="00E05BDA">
        <w:rPr>
          <w:rFonts w:hint="eastAsia"/>
          <w:b/>
          <w:bCs/>
        </w:rPr>
        <w:t xml:space="preserve">第二十六条 </w:t>
      </w:r>
      <w:r>
        <w:t>资产评估专业人员应当关注所引用单项资产评估报告披露的特殊事项说明，判断其是否可以引用及其对资产评估结论的影响。</w:t>
      </w:r>
    </w:p>
    <w:p w14:paraId="2B4BEBC8" w14:textId="77777777" w:rsidR="006833EE" w:rsidRDefault="006833EE" w:rsidP="006833EE">
      <w:pPr>
        <w:pStyle w:val="13"/>
        <w:ind w:firstLine="482"/>
      </w:pPr>
      <w:r w:rsidRPr="00E05BDA">
        <w:rPr>
          <w:rFonts w:hint="eastAsia"/>
          <w:b/>
          <w:bCs/>
        </w:rPr>
        <w:t xml:space="preserve">第二十七条 </w:t>
      </w:r>
      <w:r>
        <w:t>资产评估专业人员应当将所引用单项资产评估报告作为工作底稿。</w:t>
      </w:r>
    </w:p>
    <w:p w14:paraId="1AA134A5" w14:textId="77777777" w:rsidR="006833EE" w:rsidRPr="00B975FD" w:rsidRDefault="006833EE" w:rsidP="00AF7342">
      <w:pPr>
        <w:pStyle w:val="a9"/>
        <w:spacing w:before="62" w:after="62"/>
      </w:pPr>
      <w:r w:rsidRPr="00B975FD">
        <w:rPr>
          <w:rStyle w:val="aa"/>
          <w:b/>
          <w:bCs/>
        </w:rPr>
        <w:t>第五章 披露要求</w:t>
      </w:r>
    </w:p>
    <w:p w14:paraId="356D6161" w14:textId="77777777" w:rsidR="006833EE" w:rsidRDefault="006833EE" w:rsidP="006833EE">
      <w:pPr>
        <w:pStyle w:val="13"/>
        <w:ind w:firstLine="482"/>
      </w:pPr>
      <w:r w:rsidRPr="00E05BDA">
        <w:rPr>
          <w:rFonts w:hint="eastAsia"/>
          <w:b/>
          <w:bCs/>
        </w:rPr>
        <w:t xml:space="preserve">第二十八条 </w:t>
      </w:r>
      <w:r>
        <w:t>聘请专家个人协助工作作为资产评估专业支持，应当在资产评估报告中说明聘请专家工作的内容。</w:t>
      </w:r>
    </w:p>
    <w:p w14:paraId="403D8BFF" w14:textId="77777777" w:rsidR="006833EE" w:rsidRDefault="006833EE" w:rsidP="006833EE">
      <w:pPr>
        <w:pStyle w:val="13"/>
        <w:ind w:firstLine="482"/>
      </w:pPr>
      <w:r w:rsidRPr="00E05BDA">
        <w:rPr>
          <w:rFonts w:hint="eastAsia"/>
          <w:b/>
          <w:bCs/>
        </w:rPr>
        <w:t xml:space="preserve">第二十九条 </w:t>
      </w:r>
      <w:r>
        <w:t>利用相关专业机构出具的专业报告作为资产评估依据，应当在资产评估报告中披露以下内容：</w:t>
      </w:r>
    </w:p>
    <w:p w14:paraId="1430939A" w14:textId="77777777" w:rsidR="006833EE" w:rsidRDefault="006833EE" w:rsidP="006833EE">
      <w:pPr>
        <w:pStyle w:val="13"/>
      </w:pPr>
      <w:r>
        <w:rPr>
          <w:rFonts w:hint="eastAsia"/>
        </w:rPr>
        <w:t>（一）专业机构名称、专业报告名称、专业报告编号以及出具日期；</w:t>
      </w:r>
    </w:p>
    <w:p w14:paraId="269B25E2" w14:textId="77777777" w:rsidR="006833EE" w:rsidRDefault="006833EE" w:rsidP="006833EE">
      <w:pPr>
        <w:pStyle w:val="13"/>
      </w:pPr>
      <w:r>
        <w:rPr>
          <w:rFonts w:hint="eastAsia"/>
        </w:rPr>
        <w:t>（二）专业报告结论及其相关补充性或者解释性说明；</w:t>
      </w:r>
    </w:p>
    <w:p w14:paraId="290905A7" w14:textId="77777777" w:rsidR="006833EE" w:rsidRDefault="006833EE" w:rsidP="006833EE">
      <w:pPr>
        <w:pStyle w:val="13"/>
      </w:pPr>
      <w:r>
        <w:rPr>
          <w:rFonts w:hint="eastAsia"/>
        </w:rPr>
        <w:t>（三）其他需要披露的重要事项。</w:t>
      </w:r>
    </w:p>
    <w:p w14:paraId="5A2A9422" w14:textId="77777777" w:rsidR="006833EE" w:rsidRDefault="006833EE" w:rsidP="006833EE">
      <w:pPr>
        <w:pStyle w:val="13"/>
        <w:ind w:firstLine="482"/>
      </w:pPr>
      <w:r w:rsidRPr="00E05BDA">
        <w:rPr>
          <w:rFonts w:hint="eastAsia"/>
          <w:b/>
          <w:bCs/>
        </w:rPr>
        <w:t xml:space="preserve">第三十条 </w:t>
      </w:r>
      <w:r>
        <w:t>引用单项资产评估报告作为资产评估报告的组成部分，应当在资产评估报告中披露以下内容：</w:t>
      </w:r>
    </w:p>
    <w:p w14:paraId="2E81CC98" w14:textId="77777777" w:rsidR="006833EE" w:rsidRDefault="006833EE" w:rsidP="006833EE">
      <w:pPr>
        <w:pStyle w:val="13"/>
      </w:pPr>
      <w:r>
        <w:rPr>
          <w:rFonts w:hint="eastAsia"/>
        </w:rPr>
        <w:t>（一）引用单项资产评估报告的评估机构名称、报告名称、报告编号、出具日期等；</w:t>
      </w:r>
    </w:p>
    <w:p w14:paraId="4492C0CE" w14:textId="77777777" w:rsidR="006833EE" w:rsidRDefault="006833EE" w:rsidP="006833EE">
      <w:pPr>
        <w:pStyle w:val="13"/>
      </w:pPr>
      <w:r>
        <w:rPr>
          <w:rFonts w:hint="eastAsia"/>
        </w:rPr>
        <w:t>（二）引用单项资产评估报告的资产、数量、产权权属等；</w:t>
      </w:r>
    </w:p>
    <w:p w14:paraId="4CFB73A8" w14:textId="77777777" w:rsidR="006833EE" w:rsidRDefault="006833EE" w:rsidP="006833EE">
      <w:pPr>
        <w:pStyle w:val="13"/>
      </w:pPr>
      <w:r>
        <w:rPr>
          <w:rFonts w:hint="eastAsia"/>
        </w:rPr>
        <w:t>（三）引用单项资产评估报告的评估方法、假设前提、使用限制以及相关事项；</w:t>
      </w:r>
    </w:p>
    <w:p w14:paraId="6590BF2F" w14:textId="77777777" w:rsidR="006833EE" w:rsidRDefault="006833EE" w:rsidP="006833EE">
      <w:pPr>
        <w:pStyle w:val="13"/>
      </w:pPr>
      <w:r>
        <w:rPr>
          <w:rFonts w:hint="eastAsia"/>
        </w:rPr>
        <w:t>（四）引用单项资产评估报告的评估结论；</w:t>
      </w:r>
    </w:p>
    <w:p w14:paraId="7D034F07" w14:textId="77777777" w:rsidR="006833EE" w:rsidRDefault="006833EE" w:rsidP="006833EE">
      <w:pPr>
        <w:pStyle w:val="13"/>
      </w:pPr>
      <w:r>
        <w:rPr>
          <w:rFonts w:hint="eastAsia"/>
        </w:rPr>
        <w:t>（五）其他需要披露的重要事项。</w:t>
      </w:r>
    </w:p>
    <w:p w14:paraId="02FBC166" w14:textId="77777777" w:rsidR="006833EE" w:rsidRDefault="006833EE" w:rsidP="00AF7342">
      <w:pPr>
        <w:pStyle w:val="a9"/>
        <w:spacing w:before="62" w:after="62"/>
      </w:pPr>
      <w:r>
        <w:rPr>
          <w:rFonts w:hint="eastAsia"/>
        </w:rPr>
        <w:t>第六章</w:t>
      </w:r>
      <w:r>
        <w:t xml:space="preserve"> 附则</w:t>
      </w:r>
    </w:p>
    <w:p w14:paraId="0F37114B" w14:textId="77777777" w:rsidR="006833EE" w:rsidRDefault="006833EE" w:rsidP="006833EE">
      <w:pPr>
        <w:pStyle w:val="13"/>
        <w:ind w:firstLine="482"/>
      </w:pPr>
      <w:r w:rsidRPr="003B2FB1">
        <w:rPr>
          <w:rFonts w:hint="eastAsia"/>
          <w:b/>
          <w:bCs/>
        </w:rPr>
        <w:t xml:space="preserve">第三十一条 </w:t>
      </w:r>
      <w:r>
        <w:t>本准则自 2017年10月1日起施行。中国资产评估协会于 2012年12</w:t>
      </w:r>
      <w:r>
        <w:rPr>
          <w:rFonts w:hint="eastAsia"/>
        </w:rPr>
        <w:t>月</w:t>
      </w:r>
      <w:r>
        <w:t>28日发布的《关于印发〈资产评估准则—利用专家工作〉的通知》（</w:t>
      </w:r>
      <w:proofErr w:type="gramStart"/>
      <w:r>
        <w:t>中评协</w:t>
      </w:r>
      <w:proofErr w:type="gramEnd"/>
      <w:r>
        <w:t>〔2012〕244号）同时废止。</w:t>
      </w:r>
    </w:p>
    <w:p w14:paraId="189A2D5E" w14:textId="77777777" w:rsidR="006833EE" w:rsidRDefault="006833EE" w:rsidP="006833EE">
      <w:pPr>
        <w:pStyle w:val="31"/>
        <w:spacing w:before="156" w:after="62"/>
      </w:pPr>
      <w:bookmarkStart w:id="19" w:name="_Toc81833299"/>
      <w:r>
        <w:rPr>
          <w:rFonts w:hint="eastAsia"/>
        </w:rPr>
        <w:t>资产评估执业准则—资产评估报告（</w:t>
      </w:r>
      <w:proofErr w:type="gramStart"/>
      <w:r>
        <w:rPr>
          <w:rFonts w:hint="eastAsia"/>
        </w:rPr>
        <w:t>中评协</w:t>
      </w:r>
      <w:proofErr w:type="gramEnd"/>
      <w:r>
        <w:rPr>
          <w:rFonts w:hint="eastAsia"/>
        </w:rPr>
        <w:t>〔</w:t>
      </w:r>
      <w:r>
        <w:t>2018〕35号）</w:t>
      </w:r>
      <w:bookmarkEnd w:id="19"/>
    </w:p>
    <w:p w14:paraId="6DCB276B" w14:textId="77777777" w:rsidR="006833EE" w:rsidRDefault="006833EE" w:rsidP="006833EE">
      <w:pPr>
        <w:pStyle w:val="13"/>
        <w:ind w:firstLineChars="0" w:firstLine="0"/>
      </w:pPr>
      <w:r>
        <w:rPr>
          <w:rFonts w:hint="eastAsia"/>
        </w:rPr>
        <w:t>各省、自治区、直辖市、计划单列市资产评估协会（注册会计师协会）：</w:t>
      </w:r>
    </w:p>
    <w:p w14:paraId="25B41D86" w14:textId="77777777" w:rsidR="006833EE" w:rsidRDefault="006833EE" w:rsidP="006833EE">
      <w:pPr>
        <w:pStyle w:val="13"/>
      </w:pPr>
      <w:r>
        <w:rPr>
          <w:rFonts w:hint="eastAsia"/>
        </w:rPr>
        <w:t>为贯彻落实《资产评估法》，规范资产评估执业行为，保证资产评估执业质量，保护资产评估当事人合法权益和公共利益，在财政部指导下，中国资产评估协会根据</w:t>
      </w:r>
      <w:r>
        <w:rPr>
          <w:rFonts w:hint="eastAsia"/>
        </w:rPr>
        <w:lastRenderedPageBreak/>
        <w:t>《资产评估基本准则》，对《资产评估执业准则—资产评估报告》进行了修订，现予印发，自</w:t>
      </w:r>
      <w:r>
        <w:t xml:space="preserve"> 2019年1月1日起施行。</w:t>
      </w:r>
    </w:p>
    <w:p w14:paraId="09DD55A8" w14:textId="77777777" w:rsidR="006833EE" w:rsidRDefault="006833EE" w:rsidP="006833EE">
      <w:pPr>
        <w:pStyle w:val="13"/>
      </w:pPr>
      <w:r>
        <w:rPr>
          <w:rFonts w:hint="eastAsia"/>
        </w:rPr>
        <w:t>请各地</w:t>
      </w:r>
      <w:proofErr w:type="gramStart"/>
      <w:r>
        <w:rPr>
          <w:rFonts w:hint="eastAsia"/>
        </w:rPr>
        <w:t>方协会</w:t>
      </w:r>
      <w:proofErr w:type="gramEnd"/>
      <w:r>
        <w:rPr>
          <w:rFonts w:hint="eastAsia"/>
        </w:rPr>
        <w:t>将《资产评估执业准则—资产评估报告》及时转发资产</w:t>
      </w:r>
      <w:proofErr w:type="gramStart"/>
      <w:r>
        <w:rPr>
          <w:rFonts w:hint="eastAsia"/>
        </w:rPr>
        <w:t>评估机</w:t>
      </w:r>
      <w:proofErr w:type="gramEnd"/>
      <w:r>
        <w:t xml:space="preserve"> 构，组织资产评估机构和资产评估专业人员进行学习和培训，并将执行过程中发现的</w:t>
      </w:r>
      <w:r>
        <w:rPr>
          <w:rFonts w:hint="eastAsia"/>
        </w:rPr>
        <w:t>问题及时上报中国资产评估协会。</w:t>
      </w:r>
    </w:p>
    <w:p w14:paraId="0B2BB572" w14:textId="77777777" w:rsidR="006833EE" w:rsidRDefault="006833EE" w:rsidP="006833EE">
      <w:pPr>
        <w:pStyle w:val="13"/>
      </w:pPr>
      <w:r>
        <w:rPr>
          <w:rFonts w:hint="eastAsia"/>
        </w:rPr>
        <w:t>附件：《资产评估执业准则—资产评估报告》</w:t>
      </w:r>
    </w:p>
    <w:p w14:paraId="26DC9EB9" w14:textId="77777777" w:rsidR="006833EE" w:rsidRDefault="006833EE" w:rsidP="006833EE">
      <w:pPr>
        <w:pStyle w:val="13"/>
        <w:jc w:val="right"/>
      </w:pPr>
      <w:r>
        <w:rPr>
          <w:rFonts w:hint="eastAsia"/>
        </w:rPr>
        <w:t>中国资产评估协会</w:t>
      </w:r>
    </w:p>
    <w:p w14:paraId="78C1DD8B" w14:textId="77777777" w:rsidR="006833EE" w:rsidRDefault="006833EE" w:rsidP="006833EE">
      <w:pPr>
        <w:pStyle w:val="13"/>
        <w:jc w:val="right"/>
      </w:pPr>
      <w:r>
        <w:t>2018年10月29日</w:t>
      </w:r>
    </w:p>
    <w:p w14:paraId="405D227E" w14:textId="77777777" w:rsidR="006833EE" w:rsidRDefault="006833EE" w:rsidP="00AF7342">
      <w:pPr>
        <w:pStyle w:val="a9"/>
        <w:spacing w:before="62" w:after="62"/>
      </w:pPr>
      <w:r>
        <w:rPr>
          <w:rFonts w:hint="eastAsia"/>
        </w:rPr>
        <w:t>资产评估执业准则—资产评估报告</w:t>
      </w:r>
    </w:p>
    <w:p w14:paraId="5001257F" w14:textId="77777777" w:rsidR="006833EE" w:rsidRDefault="006833EE" w:rsidP="00AF7342">
      <w:pPr>
        <w:pStyle w:val="a9"/>
        <w:spacing w:before="62" w:after="62"/>
      </w:pPr>
      <w:r>
        <w:rPr>
          <w:rFonts w:hint="eastAsia"/>
        </w:rPr>
        <w:t>第一章</w:t>
      </w:r>
      <w:r>
        <w:t xml:space="preserve"> 总则</w:t>
      </w:r>
    </w:p>
    <w:p w14:paraId="57085E4A" w14:textId="77777777" w:rsidR="006833EE" w:rsidRDefault="006833EE" w:rsidP="006833EE">
      <w:pPr>
        <w:pStyle w:val="13"/>
        <w:ind w:firstLine="482"/>
      </w:pPr>
      <w:r w:rsidRPr="004E3EBB">
        <w:rPr>
          <w:rFonts w:hint="eastAsia"/>
          <w:b/>
          <w:bCs/>
        </w:rPr>
        <w:t xml:space="preserve">第一条 </w:t>
      </w:r>
      <w:r>
        <w:t>为规范资产评估报告编制和出具行为，保护资产评估当事人合法权益和公共利益，根据《资产评估基本准则》制定本准则。</w:t>
      </w:r>
    </w:p>
    <w:p w14:paraId="77161EF6" w14:textId="77777777" w:rsidR="006833EE" w:rsidRDefault="006833EE" w:rsidP="006833EE">
      <w:pPr>
        <w:pStyle w:val="13"/>
        <w:ind w:firstLine="482"/>
      </w:pPr>
      <w:r w:rsidRPr="004E3EBB">
        <w:rPr>
          <w:rFonts w:hint="eastAsia"/>
          <w:b/>
          <w:bCs/>
        </w:rPr>
        <w:t xml:space="preserve">第二条 </w:t>
      </w:r>
      <w:r>
        <w:t>本准则所称资产评估报告是指资产评估机构及其资产评估专业人员遵守法律、行政法规和资产评估准则，根据委托履行必要的资产评估程序后，由资产评估机构对评估对象在评估基准日特定目的下的价值出具的专业报告。</w:t>
      </w:r>
    </w:p>
    <w:p w14:paraId="26AEBAA8" w14:textId="77777777" w:rsidR="006833EE" w:rsidRDefault="006833EE" w:rsidP="006833EE">
      <w:pPr>
        <w:pStyle w:val="13"/>
        <w:ind w:firstLine="482"/>
      </w:pPr>
      <w:r w:rsidRPr="004E3EBB">
        <w:rPr>
          <w:rFonts w:hint="eastAsia"/>
          <w:b/>
          <w:bCs/>
        </w:rPr>
        <w:t xml:space="preserve">第三条 </w:t>
      </w:r>
      <w:r>
        <w:t>资产评估机构及其资产评估专业人员以“资产评估报告”名义出具书面专业报告，应当遵守本准则。</w:t>
      </w:r>
    </w:p>
    <w:p w14:paraId="183B791A" w14:textId="77777777" w:rsidR="006833EE" w:rsidRDefault="006833EE" w:rsidP="00AF7342">
      <w:pPr>
        <w:pStyle w:val="a9"/>
        <w:spacing w:before="62" w:after="62"/>
      </w:pPr>
      <w:r>
        <w:rPr>
          <w:rFonts w:hint="eastAsia"/>
        </w:rPr>
        <w:t>第二章</w:t>
      </w:r>
      <w:r>
        <w:t xml:space="preserve"> 基本遵循</w:t>
      </w:r>
    </w:p>
    <w:p w14:paraId="3CA1AB85" w14:textId="77777777" w:rsidR="006833EE" w:rsidRDefault="006833EE" w:rsidP="006833EE">
      <w:pPr>
        <w:pStyle w:val="13"/>
        <w:ind w:firstLine="482"/>
      </w:pPr>
      <w:r w:rsidRPr="004E3EBB">
        <w:rPr>
          <w:rFonts w:hint="eastAsia"/>
          <w:b/>
          <w:bCs/>
        </w:rPr>
        <w:t xml:space="preserve">第四条 </w:t>
      </w:r>
      <w:r>
        <w:t>资产评估报告陈述的内容应当清晰、准确，不得有误导性的表述。</w:t>
      </w:r>
    </w:p>
    <w:p w14:paraId="213DD553" w14:textId="77777777" w:rsidR="006833EE" w:rsidRDefault="006833EE" w:rsidP="006833EE">
      <w:pPr>
        <w:pStyle w:val="13"/>
        <w:ind w:firstLine="482"/>
      </w:pPr>
      <w:r w:rsidRPr="004E3EBB">
        <w:rPr>
          <w:rFonts w:hint="eastAsia"/>
          <w:b/>
          <w:bCs/>
        </w:rPr>
        <w:t xml:space="preserve">第五条 </w:t>
      </w:r>
      <w:r>
        <w:t>资产评估报告应当提供必要信息，使资产评估报告使用人能够正确理解评估结论。</w:t>
      </w:r>
    </w:p>
    <w:p w14:paraId="5C2D99FB" w14:textId="77777777" w:rsidR="006833EE" w:rsidRDefault="006833EE" w:rsidP="006833EE">
      <w:pPr>
        <w:pStyle w:val="13"/>
        <w:ind w:firstLine="482"/>
      </w:pPr>
      <w:r w:rsidRPr="004E3EBB">
        <w:rPr>
          <w:rFonts w:hint="eastAsia"/>
          <w:b/>
          <w:bCs/>
        </w:rPr>
        <w:t xml:space="preserve">第六条 </w:t>
      </w:r>
      <w:r>
        <w:t>资产评估报告的详略程度可以根据评估对象的复杂程度、委托人要求合理确定。</w:t>
      </w:r>
    </w:p>
    <w:p w14:paraId="5C79214D" w14:textId="77777777" w:rsidR="006833EE" w:rsidRDefault="006833EE" w:rsidP="006833EE">
      <w:pPr>
        <w:pStyle w:val="13"/>
        <w:ind w:firstLine="482"/>
      </w:pPr>
      <w:r w:rsidRPr="004E3EBB">
        <w:rPr>
          <w:rFonts w:hint="eastAsia"/>
          <w:b/>
          <w:bCs/>
        </w:rPr>
        <w:t xml:space="preserve">第七条 </w:t>
      </w:r>
      <w:r>
        <w:t>执行资产评估业务，因法律法规规定、客观条件限制，无法或者不能完全履行资产评估基本程序，经采取措施弥补程序缺失，且未对评估结论产生重大影响的，可以出具资产评估报告，但应当在资产评估报告中说明资产评估程序受限情况、处理方式及其对评估结论的影响。如果程序受限对评估结论产生重大影响或者无法判断其影响程度的，不得出具资产评估报告。</w:t>
      </w:r>
    </w:p>
    <w:p w14:paraId="2DFF6F20" w14:textId="77777777" w:rsidR="006833EE" w:rsidRDefault="006833EE" w:rsidP="006833EE">
      <w:pPr>
        <w:pStyle w:val="13"/>
        <w:ind w:firstLine="482"/>
      </w:pPr>
      <w:r w:rsidRPr="004E3EBB">
        <w:rPr>
          <w:rFonts w:hint="eastAsia"/>
          <w:b/>
          <w:bCs/>
        </w:rPr>
        <w:t xml:space="preserve">第八条 </w:t>
      </w:r>
      <w:r>
        <w:t>资产评估报告应当由至少两名承办该项业务的资产评估专业人员签名并加盖资产评估机构印章。</w:t>
      </w:r>
    </w:p>
    <w:p w14:paraId="3B56E489" w14:textId="77777777" w:rsidR="006833EE" w:rsidRDefault="006833EE" w:rsidP="006833EE">
      <w:pPr>
        <w:pStyle w:val="13"/>
      </w:pPr>
      <w:r>
        <w:rPr>
          <w:rFonts w:hint="eastAsia"/>
        </w:rPr>
        <w:t>法定资产评估业务的资产评估报告应当由至少两名承办该项业务的资产评估师签名并加盖资产评估机构印章。</w:t>
      </w:r>
    </w:p>
    <w:p w14:paraId="0F8A214E" w14:textId="77777777" w:rsidR="006833EE" w:rsidRDefault="006833EE" w:rsidP="006833EE">
      <w:pPr>
        <w:pStyle w:val="13"/>
        <w:ind w:firstLine="482"/>
      </w:pPr>
      <w:r w:rsidRPr="00E05BDA">
        <w:rPr>
          <w:rFonts w:hint="eastAsia"/>
          <w:b/>
          <w:bCs/>
        </w:rPr>
        <w:t xml:space="preserve">第九条 </w:t>
      </w:r>
      <w:r>
        <w:t>资产评估报告应当使用中文撰写。同时出具中外文资产评估报告的，中</w:t>
      </w:r>
      <w:r>
        <w:lastRenderedPageBreak/>
        <w:t>外文资产评估报告存在不一致的，以中文资产评估报告为准。</w:t>
      </w:r>
    </w:p>
    <w:p w14:paraId="412C7664" w14:textId="77777777" w:rsidR="006833EE" w:rsidRDefault="006833EE" w:rsidP="006833EE">
      <w:pPr>
        <w:pStyle w:val="13"/>
      </w:pPr>
      <w:r>
        <w:rPr>
          <w:rFonts w:hint="eastAsia"/>
        </w:rPr>
        <w:t>资产评估报告一般以人民币为计量币种，使用其他币种计量的，应当注明该币种在评估基准日与人民币的汇率。</w:t>
      </w:r>
    </w:p>
    <w:p w14:paraId="61C6B7FD" w14:textId="77777777" w:rsidR="006833EE" w:rsidRDefault="006833EE" w:rsidP="006833EE">
      <w:pPr>
        <w:pStyle w:val="13"/>
        <w:ind w:firstLine="482"/>
      </w:pPr>
      <w:r w:rsidRPr="00E05BDA">
        <w:rPr>
          <w:rFonts w:hint="eastAsia"/>
          <w:b/>
          <w:bCs/>
        </w:rPr>
        <w:t xml:space="preserve">第十条 </w:t>
      </w:r>
      <w:r>
        <w:t>资产评估报告应当明确评估结论的使用有效期。通常，只有当评估基准日与经济行为实现日相距不超过一年时，才可以使用资产评估报告。</w:t>
      </w:r>
    </w:p>
    <w:p w14:paraId="1F8D40B3" w14:textId="77777777" w:rsidR="006833EE" w:rsidRDefault="006833EE" w:rsidP="006833EE">
      <w:pPr>
        <w:pStyle w:val="13"/>
      </w:pPr>
      <w:r>
        <w:rPr>
          <w:rFonts w:hint="eastAsia"/>
        </w:rPr>
        <w:t>第三章</w:t>
      </w:r>
      <w:r>
        <w:t xml:space="preserve"> 资产评估报告的内容</w:t>
      </w:r>
    </w:p>
    <w:p w14:paraId="08F7DA10" w14:textId="77777777" w:rsidR="006833EE" w:rsidRDefault="006833EE" w:rsidP="006833EE">
      <w:pPr>
        <w:pStyle w:val="13"/>
        <w:ind w:firstLine="482"/>
      </w:pPr>
      <w:r w:rsidRPr="00E05BDA">
        <w:rPr>
          <w:rFonts w:hint="eastAsia"/>
          <w:b/>
          <w:bCs/>
        </w:rPr>
        <w:t xml:space="preserve">第十一条 </w:t>
      </w:r>
      <w:r>
        <w:t>资产评估报告的内容包括：标题及文号、目录、声明、摘要、正文、附件。</w:t>
      </w:r>
    </w:p>
    <w:p w14:paraId="277552C8" w14:textId="77777777" w:rsidR="006833EE" w:rsidRDefault="006833EE" w:rsidP="006833EE">
      <w:pPr>
        <w:pStyle w:val="13"/>
        <w:ind w:firstLine="482"/>
      </w:pPr>
      <w:r w:rsidRPr="00E05BDA">
        <w:rPr>
          <w:b/>
          <w:bCs/>
        </w:rPr>
        <w:t xml:space="preserve">第十二条 </w:t>
      </w:r>
      <w:r>
        <w:t>资产评估报告的声明通常包括以下内容：</w:t>
      </w:r>
    </w:p>
    <w:p w14:paraId="5AF59A9F" w14:textId="77777777" w:rsidR="006833EE" w:rsidRDefault="006833EE" w:rsidP="006833EE">
      <w:pPr>
        <w:pStyle w:val="13"/>
      </w:pPr>
      <w:r>
        <w:rPr>
          <w:rFonts w:hint="eastAsia"/>
        </w:rPr>
        <w:t>（一）</w:t>
      </w:r>
      <w:proofErr w:type="gramStart"/>
      <w:r>
        <w:rPr>
          <w:rFonts w:hint="eastAsia"/>
        </w:rPr>
        <w:t>本资产</w:t>
      </w:r>
      <w:proofErr w:type="gramEnd"/>
      <w:r>
        <w:rPr>
          <w:rFonts w:hint="eastAsia"/>
        </w:rPr>
        <w:t>评估报告依据财政部发布的资产评估基本准则和中国资产评估协会发布的资产评估执业准则和职业道德准则编制。</w:t>
      </w:r>
    </w:p>
    <w:p w14:paraId="1B39A90B" w14:textId="77777777" w:rsidR="006833EE" w:rsidRDefault="006833EE" w:rsidP="006833EE">
      <w:pPr>
        <w:pStyle w:val="13"/>
      </w:pPr>
      <w:r>
        <w:rPr>
          <w:rFonts w:hint="eastAsia"/>
        </w:rPr>
        <w:t>（二）委托人或者其他资产评估报告使用人应当按照法律、行政法规规定和资产评估报告载明的使用范围使用资产评估报告；委托人或者其他资产评估报告使用人违反前述规定使用资产评估报告的，资产评估机构及其资产评估专业人员不承担责任。</w:t>
      </w:r>
    </w:p>
    <w:p w14:paraId="0E16D853" w14:textId="77777777" w:rsidR="006833EE" w:rsidRDefault="006833EE" w:rsidP="006833EE">
      <w:pPr>
        <w:pStyle w:val="13"/>
      </w:pPr>
      <w:r>
        <w:rPr>
          <w:rFonts w:hint="eastAsia"/>
        </w:rPr>
        <w:t>（三）资产评估报告仅供委托人、资产评估委托合同中约定的其他资产评估报告使用人和法律、行政法规规定的资产评估报告使用人使用；除此之外，其他任何机构和个人不能成为资产评估报告的使用人。</w:t>
      </w:r>
    </w:p>
    <w:p w14:paraId="1D75AD04" w14:textId="77777777" w:rsidR="006833EE" w:rsidRDefault="006833EE" w:rsidP="006833EE">
      <w:pPr>
        <w:pStyle w:val="13"/>
      </w:pPr>
      <w:r>
        <w:rPr>
          <w:rFonts w:hint="eastAsia"/>
        </w:rPr>
        <w:t>（四）资产评估报告使用人应当正确理解和使用评估结论，评估结论不等同于评估对象可实现价格，评估结论不应当被认为是对评估对象可实现价格的保证。</w:t>
      </w:r>
    </w:p>
    <w:p w14:paraId="467B2328" w14:textId="77777777" w:rsidR="006833EE" w:rsidRDefault="006833EE" w:rsidP="006833EE">
      <w:pPr>
        <w:pStyle w:val="13"/>
      </w:pPr>
      <w:r>
        <w:rPr>
          <w:rFonts w:hint="eastAsia"/>
        </w:rPr>
        <w:t>（五）资产评估报告使用人应当关注评估结论成立的假设前提、资产评估报告特别事项说明和使用限制。</w:t>
      </w:r>
    </w:p>
    <w:p w14:paraId="7D0091EA" w14:textId="77777777" w:rsidR="006833EE" w:rsidRDefault="006833EE" w:rsidP="006833EE">
      <w:pPr>
        <w:pStyle w:val="13"/>
      </w:pPr>
      <w:r>
        <w:rPr>
          <w:rFonts w:hint="eastAsia"/>
        </w:rPr>
        <w:t>（六）资产评估机构及其资产评估专业人员遵守法律、行政法规和资产评估准则，</w:t>
      </w:r>
      <w:r>
        <w:t>坚持独立、客观、公正的原则，并对所出具的资产评估报告依法承担责任。</w:t>
      </w:r>
    </w:p>
    <w:p w14:paraId="19EABCCA" w14:textId="77777777" w:rsidR="006833EE" w:rsidRDefault="006833EE" w:rsidP="006833EE">
      <w:pPr>
        <w:pStyle w:val="13"/>
      </w:pPr>
      <w:r>
        <w:rPr>
          <w:rFonts w:hint="eastAsia"/>
        </w:rPr>
        <w:t>（七）其他需要声明的内容。</w:t>
      </w:r>
    </w:p>
    <w:p w14:paraId="5D5951BF" w14:textId="77777777" w:rsidR="006833EE" w:rsidRDefault="006833EE" w:rsidP="006833EE">
      <w:pPr>
        <w:pStyle w:val="13"/>
        <w:ind w:firstLine="482"/>
      </w:pPr>
      <w:r w:rsidRPr="00E05BDA">
        <w:rPr>
          <w:rFonts w:hint="eastAsia"/>
          <w:b/>
          <w:bCs/>
        </w:rPr>
        <w:t xml:space="preserve">第十三条 </w:t>
      </w:r>
      <w:r>
        <w:t>资产评估报告摘要通常提供资产评估业务的主要信息及评估结论。</w:t>
      </w:r>
    </w:p>
    <w:p w14:paraId="46A1E759" w14:textId="77777777" w:rsidR="006833EE" w:rsidRDefault="006833EE" w:rsidP="006833EE">
      <w:pPr>
        <w:pStyle w:val="13"/>
        <w:ind w:firstLine="482"/>
      </w:pPr>
      <w:r w:rsidRPr="00E05BDA">
        <w:rPr>
          <w:b/>
          <w:bCs/>
        </w:rPr>
        <w:t xml:space="preserve">第十四条 </w:t>
      </w:r>
      <w:r>
        <w:t>资产评估报告正文应当包括下列内容：</w:t>
      </w:r>
    </w:p>
    <w:p w14:paraId="4C352ECD" w14:textId="77777777" w:rsidR="006833EE" w:rsidRDefault="006833EE" w:rsidP="006833EE">
      <w:pPr>
        <w:pStyle w:val="13"/>
      </w:pPr>
      <w:r>
        <w:rPr>
          <w:rFonts w:hint="eastAsia"/>
        </w:rPr>
        <w:t>（一）委托人及其他资产评估报告使用人；</w:t>
      </w:r>
    </w:p>
    <w:p w14:paraId="2F5156C6" w14:textId="77777777" w:rsidR="006833EE" w:rsidRDefault="006833EE" w:rsidP="006833EE">
      <w:pPr>
        <w:pStyle w:val="13"/>
      </w:pPr>
      <w:r>
        <w:rPr>
          <w:rFonts w:hint="eastAsia"/>
        </w:rPr>
        <w:t>（二）评估目的；</w:t>
      </w:r>
    </w:p>
    <w:p w14:paraId="5E7ABDC6" w14:textId="77777777" w:rsidR="006833EE" w:rsidRDefault="006833EE" w:rsidP="006833EE">
      <w:pPr>
        <w:pStyle w:val="13"/>
      </w:pPr>
      <w:r>
        <w:rPr>
          <w:rFonts w:hint="eastAsia"/>
        </w:rPr>
        <w:t>（三）评估对象和评估范围；</w:t>
      </w:r>
    </w:p>
    <w:p w14:paraId="25CF3896" w14:textId="77777777" w:rsidR="006833EE" w:rsidRDefault="006833EE" w:rsidP="006833EE">
      <w:pPr>
        <w:pStyle w:val="13"/>
      </w:pPr>
      <w:r>
        <w:rPr>
          <w:rFonts w:hint="eastAsia"/>
        </w:rPr>
        <w:t>（四）价值类型；</w:t>
      </w:r>
    </w:p>
    <w:p w14:paraId="19BA9C4D" w14:textId="77777777" w:rsidR="006833EE" w:rsidRDefault="006833EE" w:rsidP="006833EE">
      <w:pPr>
        <w:pStyle w:val="13"/>
      </w:pPr>
      <w:r>
        <w:rPr>
          <w:rFonts w:hint="eastAsia"/>
        </w:rPr>
        <w:t>（五）评估基准日；</w:t>
      </w:r>
    </w:p>
    <w:p w14:paraId="270AE63A" w14:textId="77777777" w:rsidR="006833EE" w:rsidRDefault="006833EE" w:rsidP="006833EE">
      <w:pPr>
        <w:pStyle w:val="13"/>
      </w:pPr>
      <w:r>
        <w:rPr>
          <w:rFonts w:hint="eastAsia"/>
        </w:rPr>
        <w:t>（六）评估依据；</w:t>
      </w:r>
    </w:p>
    <w:p w14:paraId="682F1802" w14:textId="77777777" w:rsidR="006833EE" w:rsidRDefault="006833EE" w:rsidP="006833EE">
      <w:pPr>
        <w:pStyle w:val="13"/>
      </w:pPr>
      <w:r>
        <w:rPr>
          <w:rFonts w:hint="eastAsia"/>
        </w:rPr>
        <w:t>（七）评估方法；</w:t>
      </w:r>
    </w:p>
    <w:p w14:paraId="71B8F5DE" w14:textId="77777777" w:rsidR="006833EE" w:rsidRDefault="006833EE" w:rsidP="006833EE">
      <w:pPr>
        <w:pStyle w:val="13"/>
      </w:pPr>
      <w:r>
        <w:rPr>
          <w:rFonts w:hint="eastAsia"/>
        </w:rPr>
        <w:lastRenderedPageBreak/>
        <w:t>（八）评估程序实施过程和情况；</w:t>
      </w:r>
    </w:p>
    <w:p w14:paraId="5FBD2A20" w14:textId="77777777" w:rsidR="006833EE" w:rsidRDefault="006833EE" w:rsidP="006833EE">
      <w:pPr>
        <w:pStyle w:val="13"/>
      </w:pPr>
      <w:r>
        <w:rPr>
          <w:rFonts w:hint="eastAsia"/>
        </w:rPr>
        <w:t>（九）评估假设；</w:t>
      </w:r>
    </w:p>
    <w:p w14:paraId="7705FDCA" w14:textId="77777777" w:rsidR="006833EE" w:rsidRDefault="006833EE" w:rsidP="006833EE">
      <w:pPr>
        <w:pStyle w:val="13"/>
      </w:pPr>
      <w:r>
        <w:rPr>
          <w:rFonts w:hint="eastAsia"/>
        </w:rPr>
        <w:t>（十）评估结论；</w:t>
      </w:r>
    </w:p>
    <w:p w14:paraId="3BE62B5D" w14:textId="77777777" w:rsidR="006833EE" w:rsidRDefault="006833EE" w:rsidP="006833EE">
      <w:pPr>
        <w:pStyle w:val="13"/>
      </w:pPr>
      <w:r>
        <w:rPr>
          <w:rFonts w:hint="eastAsia"/>
        </w:rPr>
        <w:t>（十一）特别事项说明；</w:t>
      </w:r>
    </w:p>
    <w:p w14:paraId="081A67BB" w14:textId="77777777" w:rsidR="006833EE" w:rsidRDefault="006833EE" w:rsidP="006833EE">
      <w:pPr>
        <w:pStyle w:val="13"/>
      </w:pPr>
      <w:r>
        <w:rPr>
          <w:rFonts w:hint="eastAsia"/>
        </w:rPr>
        <w:t>（十二）资产评估报告使用限制说明；</w:t>
      </w:r>
    </w:p>
    <w:p w14:paraId="780A1558" w14:textId="77777777" w:rsidR="006833EE" w:rsidRDefault="006833EE" w:rsidP="006833EE">
      <w:pPr>
        <w:pStyle w:val="13"/>
      </w:pPr>
      <w:r>
        <w:rPr>
          <w:rFonts w:hint="eastAsia"/>
        </w:rPr>
        <w:t>（十三）资产评估报告日；</w:t>
      </w:r>
    </w:p>
    <w:p w14:paraId="35E1DBD0" w14:textId="77777777" w:rsidR="006833EE" w:rsidRDefault="006833EE" w:rsidP="006833EE">
      <w:pPr>
        <w:pStyle w:val="13"/>
      </w:pPr>
      <w:r>
        <w:rPr>
          <w:rFonts w:hint="eastAsia"/>
        </w:rPr>
        <w:t>（十四）资产评估专业人员签名和资产评估机构印章。</w:t>
      </w:r>
    </w:p>
    <w:p w14:paraId="34BA845E" w14:textId="77777777" w:rsidR="006833EE" w:rsidRDefault="006833EE" w:rsidP="006833EE">
      <w:pPr>
        <w:pStyle w:val="13"/>
        <w:ind w:firstLine="482"/>
      </w:pPr>
      <w:r w:rsidRPr="00E05BDA">
        <w:rPr>
          <w:rFonts w:hint="eastAsia"/>
          <w:b/>
          <w:bCs/>
        </w:rPr>
        <w:t xml:space="preserve">第十五条 </w:t>
      </w:r>
      <w:r>
        <w:t>资产评估报告使用人包括委托人、资产评估委托合同中约定的其他资产评估报告使用人和法律、行政法规规定的资产评估报告使用人。</w:t>
      </w:r>
    </w:p>
    <w:p w14:paraId="7274E0C3" w14:textId="77777777" w:rsidR="006833EE" w:rsidRDefault="006833EE" w:rsidP="006833EE">
      <w:pPr>
        <w:pStyle w:val="13"/>
        <w:ind w:firstLine="482"/>
      </w:pPr>
      <w:r w:rsidRPr="00E05BDA">
        <w:rPr>
          <w:rFonts w:hint="eastAsia"/>
          <w:b/>
          <w:bCs/>
        </w:rPr>
        <w:t xml:space="preserve">第十六条 </w:t>
      </w:r>
      <w:r>
        <w:t>资产评估报告载明的评估目的应当唯一。</w:t>
      </w:r>
    </w:p>
    <w:p w14:paraId="08DF9826" w14:textId="77777777" w:rsidR="006833EE" w:rsidRDefault="006833EE" w:rsidP="006833EE">
      <w:pPr>
        <w:pStyle w:val="13"/>
        <w:ind w:firstLine="482"/>
      </w:pPr>
      <w:r w:rsidRPr="00E05BDA">
        <w:rPr>
          <w:rFonts w:hint="eastAsia"/>
          <w:b/>
          <w:bCs/>
        </w:rPr>
        <w:t xml:space="preserve">第十七条 </w:t>
      </w:r>
      <w:r>
        <w:t>资产评估报告中应当载明评估对象和评估范围，并描述评估对象的基本情况。</w:t>
      </w:r>
    </w:p>
    <w:p w14:paraId="04DC8E4C" w14:textId="77777777" w:rsidR="006833EE" w:rsidRDefault="006833EE" w:rsidP="006833EE">
      <w:pPr>
        <w:pStyle w:val="13"/>
        <w:ind w:firstLine="482"/>
      </w:pPr>
      <w:r w:rsidRPr="00E05BDA">
        <w:rPr>
          <w:rFonts w:hint="eastAsia"/>
          <w:b/>
          <w:bCs/>
        </w:rPr>
        <w:t xml:space="preserve">第十八条 </w:t>
      </w:r>
      <w:r>
        <w:t>资产评估报告应当说明选择价值类型的理由，并明确其定义。</w:t>
      </w:r>
    </w:p>
    <w:p w14:paraId="1C4BBEB2" w14:textId="77777777" w:rsidR="006833EE" w:rsidRDefault="006833EE" w:rsidP="006833EE">
      <w:pPr>
        <w:pStyle w:val="13"/>
        <w:ind w:firstLine="482"/>
      </w:pPr>
      <w:r w:rsidRPr="00E05BDA">
        <w:rPr>
          <w:rFonts w:hint="eastAsia"/>
          <w:b/>
          <w:bCs/>
        </w:rPr>
        <w:t xml:space="preserve">第十九条 </w:t>
      </w:r>
      <w:r>
        <w:t>资产评估报告载明的评估基准</w:t>
      </w:r>
      <w:proofErr w:type="gramStart"/>
      <w:r>
        <w:t>日应当</w:t>
      </w:r>
      <w:proofErr w:type="gramEnd"/>
      <w:r>
        <w:t>与资产评估委托合同约定的评估基准日保持一致，可以是过去、现在或者未来的时点。</w:t>
      </w:r>
    </w:p>
    <w:p w14:paraId="20DF7846" w14:textId="77777777" w:rsidR="006833EE" w:rsidRDefault="006833EE" w:rsidP="006833EE">
      <w:pPr>
        <w:pStyle w:val="13"/>
        <w:ind w:firstLine="482"/>
      </w:pPr>
      <w:r w:rsidRPr="00E05BDA">
        <w:rPr>
          <w:rFonts w:hint="eastAsia"/>
          <w:b/>
          <w:bCs/>
        </w:rPr>
        <w:t xml:space="preserve">第二十条 </w:t>
      </w:r>
      <w:r>
        <w:t>资产评估报告应当说明资产评估采用的法律法规依据、准则依据、权属依据及取</w:t>
      </w:r>
      <w:proofErr w:type="gramStart"/>
      <w:r>
        <w:t>价依据</w:t>
      </w:r>
      <w:proofErr w:type="gramEnd"/>
      <w:r>
        <w:t>等。</w:t>
      </w:r>
    </w:p>
    <w:p w14:paraId="3815E574" w14:textId="77777777" w:rsidR="006833EE" w:rsidRDefault="006833EE" w:rsidP="006833EE">
      <w:pPr>
        <w:pStyle w:val="13"/>
        <w:ind w:firstLine="482"/>
      </w:pPr>
      <w:r w:rsidRPr="00E05BDA">
        <w:rPr>
          <w:rFonts w:hint="eastAsia"/>
          <w:b/>
          <w:bCs/>
        </w:rPr>
        <w:t xml:space="preserve">第二十一条 </w:t>
      </w:r>
      <w:r>
        <w:t>资产评估报告应当说明所选用的评估方法及其理由，因适用性受限或者操作条件受限等原因而选择一种评估方法的，应当在资产评估报告中披露并说明原因。</w:t>
      </w:r>
    </w:p>
    <w:p w14:paraId="3B106CAE" w14:textId="77777777" w:rsidR="006833EE" w:rsidRDefault="006833EE" w:rsidP="006833EE">
      <w:pPr>
        <w:pStyle w:val="13"/>
        <w:ind w:firstLine="482"/>
      </w:pPr>
      <w:r w:rsidRPr="00E05BDA">
        <w:rPr>
          <w:rFonts w:hint="eastAsia"/>
          <w:b/>
          <w:bCs/>
        </w:rPr>
        <w:t xml:space="preserve">第二十二条 </w:t>
      </w:r>
      <w:r>
        <w:t>资产评估报告应当说明资产评估程序实施过程中现场调查、收集整理评估资料、评定估算等主要内容。</w:t>
      </w:r>
    </w:p>
    <w:p w14:paraId="00262B61" w14:textId="77777777" w:rsidR="006833EE" w:rsidRDefault="006833EE" w:rsidP="006833EE">
      <w:pPr>
        <w:pStyle w:val="13"/>
        <w:ind w:firstLine="482"/>
      </w:pPr>
      <w:r w:rsidRPr="00E05BDA">
        <w:rPr>
          <w:rFonts w:hint="eastAsia"/>
          <w:b/>
          <w:bCs/>
        </w:rPr>
        <w:t xml:space="preserve">第二十三条 </w:t>
      </w:r>
      <w:r>
        <w:t>资产评估报告应当披露所使用的资产评估假设。</w:t>
      </w:r>
    </w:p>
    <w:p w14:paraId="535AC562" w14:textId="77777777" w:rsidR="006833EE" w:rsidRDefault="006833EE" w:rsidP="006833EE">
      <w:pPr>
        <w:pStyle w:val="13"/>
        <w:ind w:firstLine="482"/>
      </w:pPr>
      <w:r w:rsidRPr="00E05BDA">
        <w:rPr>
          <w:rFonts w:hint="eastAsia"/>
          <w:b/>
          <w:bCs/>
        </w:rPr>
        <w:t xml:space="preserve">第二十四条 </w:t>
      </w:r>
      <w:r>
        <w:t>资产评估报告应当以文字和数字形式表述评估结论，并明确评估结论的使用有效期。</w:t>
      </w:r>
    </w:p>
    <w:p w14:paraId="5C5333B1" w14:textId="77777777" w:rsidR="006833EE" w:rsidRDefault="006833EE" w:rsidP="006833EE">
      <w:pPr>
        <w:pStyle w:val="13"/>
      </w:pPr>
      <w:r>
        <w:rPr>
          <w:rFonts w:hint="eastAsia"/>
        </w:rPr>
        <w:t>评估结论通常是确定的数值。经与委托人沟通，评估结论可以是区间</w:t>
      </w:r>
      <w:proofErr w:type="gramStart"/>
      <w:r>
        <w:rPr>
          <w:rFonts w:hint="eastAsia"/>
        </w:rPr>
        <w:t>值或者</w:t>
      </w:r>
      <w:proofErr w:type="gramEnd"/>
      <w:r>
        <w:rPr>
          <w:rFonts w:hint="eastAsia"/>
        </w:rPr>
        <w:t>其他形式的专业意见。</w:t>
      </w:r>
    </w:p>
    <w:p w14:paraId="7EF2F586" w14:textId="77777777" w:rsidR="006833EE" w:rsidRDefault="006833EE" w:rsidP="006833EE">
      <w:pPr>
        <w:pStyle w:val="13"/>
        <w:ind w:firstLine="482"/>
      </w:pPr>
      <w:r w:rsidRPr="00E05BDA">
        <w:rPr>
          <w:rFonts w:hint="eastAsia"/>
          <w:b/>
          <w:bCs/>
        </w:rPr>
        <w:t xml:space="preserve">第二十五条 </w:t>
      </w:r>
      <w:r>
        <w:t>资产评估报告的特别事项说明包括：</w:t>
      </w:r>
    </w:p>
    <w:p w14:paraId="49C208EB" w14:textId="77777777" w:rsidR="006833EE" w:rsidRDefault="006833EE" w:rsidP="006833EE">
      <w:pPr>
        <w:pStyle w:val="13"/>
      </w:pPr>
      <w:r>
        <w:rPr>
          <w:rFonts w:hint="eastAsia"/>
        </w:rPr>
        <w:t>（一）权属等主要资料不完整或者存在瑕疵的情形；</w:t>
      </w:r>
    </w:p>
    <w:p w14:paraId="33DD074C" w14:textId="77777777" w:rsidR="006833EE" w:rsidRDefault="006833EE" w:rsidP="006833EE">
      <w:pPr>
        <w:pStyle w:val="13"/>
      </w:pPr>
      <w:r>
        <w:rPr>
          <w:rFonts w:hint="eastAsia"/>
        </w:rPr>
        <w:t>（二）委托人未提供的其他关键资料情况；</w:t>
      </w:r>
    </w:p>
    <w:p w14:paraId="416DC5FA" w14:textId="77777777" w:rsidR="006833EE" w:rsidRDefault="006833EE" w:rsidP="006833EE">
      <w:pPr>
        <w:pStyle w:val="13"/>
      </w:pPr>
      <w:r>
        <w:rPr>
          <w:rFonts w:hint="eastAsia"/>
        </w:rPr>
        <w:t>（三）未决事项、法律纠纷等不确定因素；</w:t>
      </w:r>
    </w:p>
    <w:p w14:paraId="2B50D9B8" w14:textId="77777777" w:rsidR="006833EE" w:rsidRDefault="006833EE" w:rsidP="006833EE">
      <w:pPr>
        <w:pStyle w:val="13"/>
      </w:pPr>
      <w:r>
        <w:rPr>
          <w:rFonts w:hint="eastAsia"/>
        </w:rPr>
        <w:t>（四）重要的利用专家工作及相关报告情况；</w:t>
      </w:r>
    </w:p>
    <w:p w14:paraId="57BD2FC6" w14:textId="77777777" w:rsidR="006833EE" w:rsidRDefault="006833EE" w:rsidP="006833EE">
      <w:pPr>
        <w:pStyle w:val="13"/>
      </w:pPr>
      <w:r>
        <w:rPr>
          <w:rFonts w:hint="eastAsia"/>
        </w:rPr>
        <w:t>（五）重大期后事项；</w:t>
      </w:r>
    </w:p>
    <w:p w14:paraId="0FDEA729" w14:textId="77777777" w:rsidR="006833EE" w:rsidRDefault="006833EE" w:rsidP="006833EE">
      <w:pPr>
        <w:pStyle w:val="13"/>
      </w:pPr>
      <w:r>
        <w:rPr>
          <w:rFonts w:hint="eastAsia"/>
        </w:rPr>
        <w:t>（六）评估程序受限的有关情况、评估机构采取的弥补措施及对评估结论影响的</w:t>
      </w:r>
      <w:r>
        <w:rPr>
          <w:rFonts w:hint="eastAsia"/>
        </w:rPr>
        <w:lastRenderedPageBreak/>
        <w:t>情况；</w:t>
      </w:r>
    </w:p>
    <w:p w14:paraId="6BBF7668" w14:textId="77777777" w:rsidR="006833EE" w:rsidRDefault="006833EE" w:rsidP="006833EE">
      <w:pPr>
        <w:pStyle w:val="13"/>
      </w:pPr>
      <w:r>
        <w:rPr>
          <w:rFonts w:hint="eastAsia"/>
        </w:rPr>
        <w:t>（七）其他需要说明的事项。</w:t>
      </w:r>
    </w:p>
    <w:p w14:paraId="2B2E5B8F" w14:textId="77777777" w:rsidR="006833EE" w:rsidRDefault="006833EE" w:rsidP="006833EE">
      <w:pPr>
        <w:pStyle w:val="13"/>
      </w:pPr>
      <w:r>
        <w:rPr>
          <w:rFonts w:hint="eastAsia"/>
        </w:rPr>
        <w:t>资产评估报告应当重点提示资产评估报告使用人对特别事项予以关注。</w:t>
      </w:r>
    </w:p>
    <w:p w14:paraId="2C7B4675" w14:textId="77777777" w:rsidR="006833EE" w:rsidRDefault="006833EE" w:rsidP="006833EE">
      <w:pPr>
        <w:pStyle w:val="13"/>
        <w:ind w:firstLine="482"/>
      </w:pPr>
      <w:r w:rsidRPr="00E05BDA">
        <w:rPr>
          <w:rFonts w:hint="eastAsia"/>
          <w:b/>
          <w:bCs/>
        </w:rPr>
        <w:t xml:space="preserve">第二十六条 </w:t>
      </w:r>
      <w:r>
        <w:t>资产评估报告的使用限制说明应当载明：</w:t>
      </w:r>
    </w:p>
    <w:p w14:paraId="104AB140" w14:textId="77777777" w:rsidR="006833EE" w:rsidRDefault="006833EE" w:rsidP="006833EE">
      <w:pPr>
        <w:pStyle w:val="13"/>
      </w:pPr>
      <w:r>
        <w:rPr>
          <w:rFonts w:hint="eastAsia"/>
        </w:rPr>
        <w:t>（一）使用范围；</w:t>
      </w:r>
    </w:p>
    <w:p w14:paraId="1C7EA750" w14:textId="77777777" w:rsidR="006833EE" w:rsidRDefault="006833EE" w:rsidP="006833EE">
      <w:pPr>
        <w:pStyle w:val="13"/>
      </w:pPr>
      <w:r>
        <w:rPr>
          <w:rFonts w:hint="eastAsia"/>
        </w:rPr>
        <w:t>（二）委托人或者其他资产评估报告使用人未按照法律、行政法规规定和资产评估报告载明的使用范围使用资产评估报告的，资产评估机构及其资产评估专业人员不承担责任；</w:t>
      </w:r>
    </w:p>
    <w:p w14:paraId="41E57158" w14:textId="77777777" w:rsidR="006833EE" w:rsidRDefault="006833EE" w:rsidP="006833EE">
      <w:pPr>
        <w:pStyle w:val="13"/>
      </w:pPr>
      <w:r>
        <w:rPr>
          <w:rFonts w:hint="eastAsia"/>
        </w:rPr>
        <w:t>（三）除委托人、资产评估委托合同中约定的其他资产评估报告使用人和法律、行政法规规定的资产评估报告使用人之外，其他任何机构和个人不能成为资产评估报告的使用人；</w:t>
      </w:r>
    </w:p>
    <w:p w14:paraId="1A3A092C" w14:textId="77777777" w:rsidR="006833EE" w:rsidRDefault="006833EE" w:rsidP="006833EE">
      <w:pPr>
        <w:pStyle w:val="13"/>
      </w:pPr>
      <w:r>
        <w:rPr>
          <w:rFonts w:hint="eastAsia"/>
        </w:rPr>
        <w:t>（四）资产评估报告使用人应当正确理解和使用评估结论。评估结论不等同于评估对象可实现价格，评估结论不应当被认为是对评估对象可实现价格的保证。</w:t>
      </w:r>
    </w:p>
    <w:p w14:paraId="3F7EAC69" w14:textId="77777777" w:rsidR="006833EE" w:rsidRDefault="006833EE" w:rsidP="006833EE">
      <w:pPr>
        <w:pStyle w:val="13"/>
        <w:ind w:firstLine="482"/>
      </w:pPr>
      <w:r w:rsidRPr="00E05BDA">
        <w:rPr>
          <w:rFonts w:hint="eastAsia"/>
          <w:b/>
          <w:bCs/>
        </w:rPr>
        <w:t xml:space="preserve">第二十七条 </w:t>
      </w:r>
      <w:r>
        <w:t>资产评估报告载明的资产评估报告日通常为评估结论形成的日期，可以不同于资产评估报告的签署日。</w:t>
      </w:r>
    </w:p>
    <w:p w14:paraId="79A9004C" w14:textId="77777777" w:rsidR="006833EE" w:rsidRDefault="006833EE" w:rsidP="006833EE">
      <w:pPr>
        <w:pStyle w:val="13"/>
        <w:ind w:firstLine="482"/>
      </w:pPr>
      <w:r w:rsidRPr="00E05BDA">
        <w:rPr>
          <w:rFonts w:hint="eastAsia"/>
          <w:b/>
          <w:bCs/>
        </w:rPr>
        <w:t xml:space="preserve">第二十八条 </w:t>
      </w:r>
      <w:r>
        <w:t>资产评估报告附件通常包括：</w:t>
      </w:r>
    </w:p>
    <w:p w14:paraId="637D60BD" w14:textId="77777777" w:rsidR="006833EE" w:rsidRDefault="006833EE" w:rsidP="006833EE">
      <w:pPr>
        <w:pStyle w:val="13"/>
      </w:pPr>
      <w:r>
        <w:rPr>
          <w:rFonts w:hint="eastAsia"/>
        </w:rPr>
        <w:t>（一）评估对象所涉及的主要权属证明资料；</w:t>
      </w:r>
    </w:p>
    <w:p w14:paraId="5BF519AF" w14:textId="77777777" w:rsidR="006833EE" w:rsidRDefault="006833EE" w:rsidP="006833EE">
      <w:pPr>
        <w:pStyle w:val="13"/>
      </w:pPr>
      <w:r>
        <w:rPr>
          <w:rFonts w:hint="eastAsia"/>
        </w:rPr>
        <w:t>（二）委托人和其他相关当事人的承诺函；</w:t>
      </w:r>
    </w:p>
    <w:p w14:paraId="64E74569" w14:textId="77777777" w:rsidR="006833EE" w:rsidRDefault="006833EE" w:rsidP="006833EE">
      <w:pPr>
        <w:pStyle w:val="13"/>
      </w:pPr>
      <w:r>
        <w:rPr>
          <w:rFonts w:hint="eastAsia"/>
        </w:rPr>
        <w:t>（三）资产评估机构及签名资产评估专业人员的备案文件或者资格证明文件；</w:t>
      </w:r>
    </w:p>
    <w:p w14:paraId="175EAA22" w14:textId="77777777" w:rsidR="006833EE" w:rsidRDefault="006833EE" w:rsidP="006833EE">
      <w:pPr>
        <w:pStyle w:val="13"/>
      </w:pPr>
      <w:r>
        <w:rPr>
          <w:rFonts w:hint="eastAsia"/>
        </w:rPr>
        <w:t>（四）资产评估汇总表或者明细表；</w:t>
      </w:r>
    </w:p>
    <w:p w14:paraId="25B19DCA" w14:textId="77777777" w:rsidR="006833EE" w:rsidRDefault="006833EE" w:rsidP="006833EE">
      <w:pPr>
        <w:pStyle w:val="13"/>
      </w:pPr>
      <w:r>
        <w:rPr>
          <w:rFonts w:hint="eastAsia"/>
        </w:rPr>
        <w:t>（五）资产账面价值与评估结论存在较大差异的说明。</w:t>
      </w:r>
    </w:p>
    <w:p w14:paraId="29FF1425" w14:textId="77777777" w:rsidR="006833EE" w:rsidRDefault="006833EE" w:rsidP="00AF7342">
      <w:pPr>
        <w:pStyle w:val="a9"/>
        <w:spacing w:before="62" w:after="62"/>
      </w:pPr>
      <w:r>
        <w:rPr>
          <w:rFonts w:hint="eastAsia"/>
        </w:rPr>
        <w:t>第四章</w:t>
      </w:r>
      <w:r>
        <w:t xml:space="preserve"> 附则</w:t>
      </w:r>
    </w:p>
    <w:p w14:paraId="39B4870A" w14:textId="77777777" w:rsidR="006833EE" w:rsidRDefault="006833EE" w:rsidP="006833EE">
      <w:pPr>
        <w:pStyle w:val="13"/>
        <w:ind w:firstLine="482"/>
      </w:pPr>
      <w:r w:rsidRPr="00E05BDA">
        <w:rPr>
          <w:rFonts w:hint="eastAsia"/>
          <w:b/>
          <w:bCs/>
        </w:rPr>
        <w:t xml:space="preserve">第二十九条 </w:t>
      </w:r>
      <w:r>
        <w:t>本准则自 2019年1月1日起施行。中国资产评估协会于 2017年9月8日发布的《关于印发&lt;资产评估执业准则—资产评估报告&gt;的通知》（</w:t>
      </w:r>
      <w:proofErr w:type="gramStart"/>
      <w:r>
        <w:t>中评协</w:t>
      </w:r>
      <w:proofErr w:type="gramEnd"/>
      <w:r>
        <w:t>〔2017〕32号）中的《资产评估执业准则—资产评估报告》同时废止。</w:t>
      </w:r>
    </w:p>
    <w:p w14:paraId="5DAD5BEE" w14:textId="77777777" w:rsidR="006833EE" w:rsidRDefault="006833EE" w:rsidP="006833EE">
      <w:pPr>
        <w:pStyle w:val="13"/>
      </w:pPr>
      <w:r>
        <w:rPr>
          <w:rFonts w:hint="eastAsia"/>
        </w:rPr>
        <w:t>附：</w:t>
      </w:r>
      <w:r>
        <w:t>1.资产评估报告封面参考样式</w:t>
      </w:r>
    </w:p>
    <w:p w14:paraId="5EAC965F" w14:textId="77777777" w:rsidR="006833EE" w:rsidRDefault="006833EE" w:rsidP="006833EE">
      <w:pPr>
        <w:pStyle w:val="13"/>
        <w:ind w:firstLineChars="400" w:firstLine="960"/>
      </w:pPr>
      <w:r>
        <w:t>2.资产评估报告封面参考样式说明</w:t>
      </w:r>
    </w:p>
    <w:p w14:paraId="1E119D58" w14:textId="77777777" w:rsidR="006833EE" w:rsidRDefault="006833EE" w:rsidP="006833EE">
      <w:pPr>
        <w:pStyle w:val="13"/>
        <w:ind w:firstLineChars="400" w:firstLine="960"/>
      </w:pPr>
      <w:r>
        <w:t>3.资产评估报告声明参考样式</w:t>
      </w:r>
    </w:p>
    <w:p w14:paraId="24CE02DA" w14:textId="77777777" w:rsidR="006833EE" w:rsidRDefault="006833EE" w:rsidP="006833EE">
      <w:pPr>
        <w:widowControl/>
        <w:jc w:val="left"/>
        <w:rPr>
          <w:rFonts w:ascii="宋体" w:hAnsi="宋体"/>
          <w:sz w:val="24"/>
          <w:szCs w:val="24"/>
        </w:rPr>
      </w:pPr>
      <w:r>
        <w:br w:type="page"/>
      </w:r>
    </w:p>
    <w:p w14:paraId="0E501C6C" w14:textId="77777777" w:rsidR="006833EE" w:rsidRPr="00190083" w:rsidRDefault="006833EE" w:rsidP="006833EE">
      <w:pPr>
        <w:pStyle w:val="13"/>
        <w:ind w:firstLine="562"/>
        <w:rPr>
          <w:b/>
          <w:bCs/>
          <w:sz w:val="28"/>
          <w:szCs w:val="28"/>
        </w:rPr>
      </w:pPr>
      <w:r w:rsidRPr="00190083">
        <w:rPr>
          <w:rFonts w:hint="eastAsia"/>
          <w:b/>
          <w:bCs/>
          <w:sz w:val="28"/>
          <w:szCs w:val="28"/>
        </w:rPr>
        <w:lastRenderedPageBreak/>
        <w:t>附</w:t>
      </w:r>
      <w:r w:rsidRPr="00190083">
        <w:rPr>
          <w:b/>
          <w:bCs/>
          <w:sz w:val="28"/>
          <w:szCs w:val="28"/>
        </w:rPr>
        <w:t xml:space="preserve"> 1</w:t>
      </w:r>
    </w:p>
    <w:p w14:paraId="325F09B1" w14:textId="77777777" w:rsidR="006833EE" w:rsidRPr="00190083" w:rsidRDefault="006833EE" w:rsidP="006833EE">
      <w:pPr>
        <w:pStyle w:val="13"/>
        <w:ind w:firstLine="562"/>
        <w:rPr>
          <w:b/>
          <w:bCs/>
          <w:sz w:val="28"/>
          <w:szCs w:val="28"/>
        </w:rPr>
      </w:pPr>
      <w:r w:rsidRPr="00190083">
        <w:rPr>
          <w:rFonts w:hint="eastAsia"/>
          <w:b/>
          <w:bCs/>
          <w:sz w:val="28"/>
          <w:szCs w:val="28"/>
        </w:rPr>
        <w:t>本报告依据中国资产评估准则编制</w:t>
      </w:r>
    </w:p>
    <w:p w14:paraId="03039675" w14:textId="77777777" w:rsidR="006833EE" w:rsidRDefault="006833EE" w:rsidP="006833EE">
      <w:pPr>
        <w:pStyle w:val="13"/>
        <w:ind w:firstLineChars="400" w:firstLine="960"/>
      </w:pPr>
    </w:p>
    <w:p w14:paraId="3BAFC119" w14:textId="77777777" w:rsidR="006833EE" w:rsidRDefault="006833EE" w:rsidP="006833EE">
      <w:pPr>
        <w:pStyle w:val="13"/>
        <w:ind w:firstLineChars="400" w:firstLine="960"/>
      </w:pPr>
    </w:p>
    <w:p w14:paraId="608FB792" w14:textId="77777777" w:rsidR="006833EE" w:rsidRDefault="006833EE" w:rsidP="006833EE">
      <w:pPr>
        <w:pStyle w:val="13"/>
        <w:ind w:firstLineChars="400" w:firstLine="1120"/>
        <w:jc w:val="center"/>
        <w:rPr>
          <w:sz w:val="28"/>
          <w:szCs w:val="28"/>
        </w:rPr>
      </w:pPr>
      <w:r w:rsidRPr="00190083">
        <w:rPr>
          <w:sz w:val="28"/>
          <w:szCs w:val="28"/>
        </w:rPr>
        <w:t>A 公司拟XX涉及的B有限公司YY</w:t>
      </w:r>
    </w:p>
    <w:p w14:paraId="04824491" w14:textId="77777777" w:rsidR="006833EE" w:rsidRPr="00190083" w:rsidRDefault="006833EE" w:rsidP="006833EE">
      <w:pPr>
        <w:pStyle w:val="13"/>
        <w:ind w:firstLineChars="400" w:firstLine="960"/>
      </w:pPr>
    </w:p>
    <w:p w14:paraId="148D3111" w14:textId="77777777" w:rsidR="006833EE" w:rsidRDefault="006833EE" w:rsidP="006833EE">
      <w:pPr>
        <w:pStyle w:val="13"/>
        <w:ind w:firstLineChars="400" w:firstLine="1120"/>
        <w:jc w:val="center"/>
        <w:rPr>
          <w:sz w:val="28"/>
          <w:szCs w:val="28"/>
        </w:rPr>
      </w:pPr>
      <w:r w:rsidRPr="00190083">
        <w:rPr>
          <w:rFonts w:hint="eastAsia"/>
          <w:sz w:val="28"/>
          <w:szCs w:val="28"/>
        </w:rPr>
        <w:t>资产评估报告</w:t>
      </w:r>
    </w:p>
    <w:p w14:paraId="07A00A1C" w14:textId="77777777" w:rsidR="006833EE" w:rsidRPr="00190083" w:rsidRDefault="006833EE" w:rsidP="006833EE">
      <w:pPr>
        <w:pStyle w:val="13"/>
        <w:ind w:firstLineChars="400" w:firstLine="960"/>
      </w:pPr>
    </w:p>
    <w:p w14:paraId="21B078BD" w14:textId="77777777" w:rsidR="006833EE" w:rsidRPr="00190083" w:rsidRDefault="006833EE" w:rsidP="006833EE">
      <w:pPr>
        <w:pStyle w:val="13"/>
        <w:ind w:firstLineChars="400" w:firstLine="1120"/>
        <w:jc w:val="center"/>
        <w:rPr>
          <w:sz w:val="28"/>
          <w:szCs w:val="28"/>
        </w:rPr>
      </w:pPr>
      <w:r w:rsidRPr="00190083">
        <w:rPr>
          <w:sz w:val="28"/>
          <w:szCs w:val="28"/>
        </w:rPr>
        <w:t>XX 评报字（201X）第XXXX号</w:t>
      </w:r>
    </w:p>
    <w:p w14:paraId="0A14B6B7" w14:textId="77777777" w:rsidR="006833EE" w:rsidRPr="00190083" w:rsidRDefault="006833EE" w:rsidP="006833EE">
      <w:pPr>
        <w:pStyle w:val="13"/>
        <w:ind w:firstLineChars="400" w:firstLine="1120"/>
        <w:jc w:val="center"/>
        <w:rPr>
          <w:sz w:val="28"/>
          <w:szCs w:val="28"/>
        </w:rPr>
      </w:pPr>
      <w:r w:rsidRPr="00190083">
        <w:rPr>
          <w:rFonts w:hint="eastAsia"/>
          <w:sz w:val="28"/>
          <w:szCs w:val="28"/>
        </w:rPr>
        <w:t>（共</w:t>
      </w:r>
      <w:r w:rsidRPr="00190083">
        <w:rPr>
          <w:sz w:val="28"/>
          <w:szCs w:val="28"/>
        </w:rPr>
        <w:t>X册，第1册）</w:t>
      </w:r>
    </w:p>
    <w:p w14:paraId="57B24BF7" w14:textId="77777777" w:rsidR="006833EE" w:rsidRPr="00190083" w:rsidRDefault="006833EE" w:rsidP="006833EE">
      <w:pPr>
        <w:pStyle w:val="13"/>
        <w:ind w:firstLineChars="400" w:firstLine="1120"/>
        <w:jc w:val="center"/>
        <w:rPr>
          <w:sz w:val="28"/>
          <w:szCs w:val="28"/>
        </w:rPr>
      </w:pPr>
    </w:p>
    <w:p w14:paraId="6E19397D" w14:textId="77777777" w:rsidR="006833EE" w:rsidRPr="00190083" w:rsidRDefault="006833EE" w:rsidP="006833EE">
      <w:pPr>
        <w:pStyle w:val="13"/>
        <w:ind w:firstLineChars="400" w:firstLine="1120"/>
        <w:jc w:val="center"/>
        <w:rPr>
          <w:sz w:val="28"/>
          <w:szCs w:val="28"/>
        </w:rPr>
      </w:pPr>
    </w:p>
    <w:p w14:paraId="58BF6CCA" w14:textId="77777777" w:rsidR="006833EE" w:rsidRPr="00190083" w:rsidRDefault="006833EE" w:rsidP="006833EE">
      <w:pPr>
        <w:pStyle w:val="13"/>
        <w:ind w:firstLineChars="400" w:firstLine="1120"/>
        <w:jc w:val="center"/>
        <w:rPr>
          <w:sz w:val="28"/>
          <w:szCs w:val="28"/>
        </w:rPr>
      </w:pPr>
    </w:p>
    <w:p w14:paraId="42BD6F4E" w14:textId="77777777" w:rsidR="006833EE" w:rsidRDefault="006833EE" w:rsidP="006833EE">
      <w:pPr>
        <w:pStyle w:val="13"/>
        <w:ind w:firstLineChars="400" w:firstLine="1120"/>
        <w:jc w:val="center"/>
        <w:rPr>
          <w:sz w:val="28"/>
          <w:szCs w:val="28"/>
        </w:rPr>
      </w:pPr>
    </w:p>
    <w:p w14:paraId="7863C8B7" w14:textId="77777777" w:rsidR="006833EE" w:rsidRDefault="006833EE" w:rsidP="006833EE">
      <w:pPr>
        <w:pStyle w:val="13"/>
        <w:ind w:firstLineChars="400" w:firstLine="1120"/>
        <w:jc w:val="center"/>
        <w:rPr>
          <w:sz w:val="28"/>
          <w:szCs w:val="28"/>
        </w:rPr>
      </w:pPr>
    </w:p>
    <w:p w14:paraId="27181C54" w14:textId="77777777" w:rsidR="006833EE" w:rsidRDefault="006833EE" w:rsidP="006833EE">
      <w:pPr>
        <w:pStyle w:val="13"/>
        <w:ind w:firstLineChars="400" w:firstLine="1120"/>
        <w:jc w:val="center"/>
        <w:rPr>
          <w:sz w:val="28"/>
          <w:szCs w:val="28"/>
        </w:rPr>
      </w:pPr>
    </w:p>
    <w:p w14:paraId="63038221" w14:textId="77777777" w:rsidR="006833EE" w:rsidRPr="00190083" w:rsidRDefault="006833EE" w:rsidP="006833EE">
      <w:pPr>
        <w:pStyle w:val="13"/>
        <w:ind w:firstLineChars="400" w:firstLine="1120"/>
        <w:jc w:val="center"/>
        <w:rPr>
          <w:sz w:val="28"/>
          <w:szCs w:val="28"/>
        </w:rPr>
      </w:pPr>
    </w:p>
    <w:p w14:paraId="18A40DFF" w14:textId="77777777" w:rsidR="006833EE" w:rsidRPr="00190083" w:rsidRDefault="006833EE" w:rsidP="006833EE">
      <w:pPr>
        <w:pStyle w:val="13"/>
        <w:ind w:firstLineChars="400" w:firstLine="1120"/>
        <w:jc w:val="center"/>
        <w:rPr>
          <w:sz w:val="28"/>
          <w:szCs w:val="28"/>
        </w:rPr>
      </w:pPr>
    </w:p>
    <w:p w14:paraId="68B9B997" w14:textId="77777777" w:rsidR="006833EE" w:rsidRPr="00190083" w:rsidRDefault="006833EE" w:rsidP="006833EE">
      <w:pPr>
        <w:pStyle w:val="13"/>
        <w:ind w:firstLineChars="400" w:firstLine="1120"/>
        <w:jc w:val="center"/>
        <w:rPr>
          <w:sz w:val="28"/>
          <w:szCs w:val="28"/>
        </w:rPr>
      </w:pPr>
    </w:p>
    <w:p w14:paraId="3811BA69" w14:textId="77777777" w:rsidR="006833EE" w:rsidRPr="00190083" w:rsidRDefault="006833EE" w:rsidP="006833EE">
      <w:pPr>
        <w:pStyle w:val="13"/>
        <w:ind w:firstLineChars="400" w:firstLine="1120"/>
        <w:jc w:val="center"/>
        <w:rPr>
          <w:sz w:val="28"/>
          <w:szCs w:val="28"/>
        </w:rPr>
      </w:pPr>
      <w:r w:rsidRPr="00190083">
        <w:rPr>
          <w:sz w:val="28"/>
          <w:szCs w:val="28"/>
        </w:rPr>
        <w:t>XXXX 资产评估有限公司</w:t>
      </w:r>
    </w:p>
    <w:p w14:paraId="1B291ED8" w14:textId="77777777" w:rsidR="006833EE" w:rsidRPr="00190083" w:rsidRDefault="006833EE" w:rsidP="006833EE">
      <w:pPr>
        <w:pStyle w:val="13"/>
        <w:ind w:firstLineChars="400" w:firstLine="1120"/>
        <w:jc w:val="center"/>
        <w:rPr>
          <w:sz w:val="28"/>
          <w:szCs w:val="28"/>
        </w:rPr>
      </w:pPr>
      <w:r w:rsidRPr="00190083">
        <w:rPr>
          <w:sz w:val="28"/>
          <w:szCs w:val="28"/>
        </w:rPr>
        <w:t>201X年X月X日</w:t>
      </w:r>
    </w:p>
    <w:p w14:paraId="13911000" w14:textId="77777777" w:rsidR="006833EE" w:rsidRDefault="006833EE" w:rsidP="006833EE">
      <w:pPr>
        <w:widowControl/>
        <w:jc w:val="left"/>
        <w:rPr>
          <w:rFonts w:ascii="宋体" w:hAnsi="宋体"/>
          <w:sz w:val="24"/>
          <w:szCs w:val="24"/>
        </w:rPr>
      </w:pPr>
      <w:r>
        <w:br w:type="page"/>
      </w:r>
    </w:p>
    <w:p w14:paraId="3F1F8713" w14:textId="77777777" w:rsidR="006833EE" w:rsidRPr="00190083" w:rsidRDefault="006833EE" w:rsidP="006833EE">
      <w:pPr>
        <w:pStyle w:val="13"/>
        <w:ind w:firstLine="562"/>
        <w:rPr>
          <w:b/>
          <w:bCs/>
          <w:sz w:val="28"/>
          <w:szCs w:val="28"/>
        </w:rPr>
      </w:pPr>
      <w:r w:rsidRPr="00190083">
        <w:rPr>
          <w:rFonts w:hint="eastAsia"/>
          <w:b/>
          <w:bCs/>
          <w:sz w:val="28"/>
          <w:szCs w:val="28"/>
        </w:rPr>
        <w:lastRenderedPageBreak/>
        <w:t>附2</w:t>
      </w:r>
    </w:p>
    <w:p w14:paraId="378DAAC9" w14:textId="77777777" w:rsidR="006833EE" w:rsidRPr="00190083" w:rsidRDefault="006833EE" w:rsidP="006833EE">
      <w:pPr>
        <w:pStyle w:val="13"/>
        <w:ind w:firstLine="562"/>
        <w:rPr>
          <w:b/>
          <w:bCs/>
          <w:sz w:val="28"/>
          <w:szCs w:val="28"/>
        </w:rPr>
      </w:pPr>
      <w:r w:rsidRPr="00190083">
        <w:rPr>
          <w:rFonts w:hint="eastAsia"/>
          <w:b/>
          <w:bCs/>
          <w:sz w:val="28"/>
          <w:szCs w:val="28"/>
        </w:rPr>
        <w:t>编制依据</w:t>
      </w:r>
    </w:p>
    <w:p w14:paraId="50DDB46A" w14:textId="77777777" w:rsidR="006833EE" w:rsidRPr="00190083" w:rsidRDefault="006833EE" w:rsidP="006833EE">
      <w:pPr>
        <w:pStyle w:val="13"/>
        <w:ind w:firstLineChars="0" w:firstLine="0"/>
        <w:rPr>
          <w:sz w:val="28"/>
          <w:szCs w:val="28"/>
        </w:rPr>
      </w:pPr>
      <w:r w:rsidRPr="00190083">
        <w:rPr>
          <w:rFonts w:hint="eastAsia"/>
          <w:sz w:val="28"/>
          <w:szCs w:val="28"/>
        </w:rPr>
        <w:t>（参考格式，如：本报告依据中国资产评估准则编制）</w:t>
      </w:r>
    </w:p>
    <w:p w14:paraId="645F26B7" w14:textId="77777777" w:rsidR="006833EE" w:rsidRPr="00190083" w:rsidRDefault="006833EE" w:rsidP="006833EE">
      <w:pPr>
        <w:pStyle w:val="13"/>
        <w:ind w:firstLineChars="400" w:firstLine="1120"/>
        <w:jc w:val="center"/>
        <w:rPr>
          <w:sz w:val="28"/>
          <w:szCs w:val="28"/>
        </w:rPr>
      </w:pPr>
    </w:p>
    <w:p w14:paraId="315D1D03" w14:textId="77777777" w:rsidR="006833EE" w:rsidRPr="00190083" w:rsidRDefault="006833EE" w:rsidP="006833EE">
      <w:pPr>
        <w:pStyle w:val="13"/>
        <w:ind w:firstLineChars="171" w:firstLine="481"/>
        <w:jc w:val="center"/>
        <w:rPr>
          <w:b/>
          <w:bCs/>
          <w:sz w:val="28"/>
          <w:szCs w:val="28"/>
        </w:rPr>
      </w:pPr>
      <w:r w:rsidRPr="00190083">
        <w:rPr>
          <w:rFonts w:hint="eastAsia"/>
          <w:b/>
          <w:bCs/>
          <w:sz w:val="28"/>
          <w:szCs w:val="28"/>
        </w:rPr>
        <w:t>资产评估报告标题</w:t>
      </w:r>
    </w:p>
    <w:p w14:paraId="5C2ED075" w14:textId="77777777" w:rsidR="006833EE" w:rsidRPr="00190083" w:rsidRDefault="006833EE" w:rsidP="006833EE">
      <w:pPr>
        <w:pStyle w:val="13"/>
        <w:ind w:firstLineChars="0" w:firstLine="0"/>
        <w:jc w:val="center"/>
        <w:rPr>
          <w:sz w:val="28"/>
          <w:szCs w:val="28"/>
        </w:rPr>
      </w:pPr>
      <w:r w:rsidRPr="00190083">
        <w:rPr>
          <w:rFonts w:hint="eastAsia"/>
          <w:sz w:val="28"/>
          <w:szCs w:val="28"/>
        </w:rPr>
        <w:t>（格式要求：“企业名称</w:t>
      </w:r>
      <w:r w:rsidRPr="00190083">
        <w:rPr>
          <w:sz w:val="28"/>
          <w:szCs w:val="28"/>
        </w:rPr>
        <w:t>+经济行为关键词+评估对象+资产评估</w:t>
      </w:r>
      <w:r w:rsidRPr="00190083">
        <w:rPr>
          <w:rFonts w:hint="eastAsia"/>
          <w:sz w:val="28"/>
          <w:szCs w:val="28"/>
        </w:rPr>
        <w:t>报告”</w:t>
      </w:r>
    </w:p>
    <w:p w14:paraId="0B000694" w14:textId="77777777" w:rsidR="006833EE" w:rsidRPr="00D25125" w:rsidRDefault="006833EE" w:rsidP="006833EE">
      <w:pPr>
        <w:pStyle w:val="13"/>
        <w:ind w:firstLineChars="400" w:firstLine="960"/>
      </w:pPr>
    </w:p>
    <w:p w14:paraId="1B0908BA" w14:textId="77777777" w:rsidR="006833EE" w:rsidRDefault="006833EE" w:rsidP="006833EE">
      <w:pPr>
        <w:pStyle w:val="13"/>
        <w:ind w:firstLineChars="0" w:firstLine="0"/>
        <w:jc w:val="center"/>
        <w:rPr>
          <w:sz w:val="28"/>
          <w:szCs w:val="28"/>
        </w:rPr>
      </w:pPr>
      <w:r w:rsidRPr="00190083">
        <w:rPr>
          <w:rFonts w:hint="eastAsia"/>
          <w:sz w:val="28"/>
          <w:szCs w:val="28"/>
        </w:rPr>
        <w:t>参考格式，如：</w:t>
      </w:r>
      <w:r w:rsidRPr="00190083">
        <w:rPr>
          <w:sz w:val="28"/>
          <w:szCs w:val="28"/>
        </w:rPr>
        <w:t xml:space="preserve"> A 公司拟 XX 涉及的 B 公司 YY 资产评估报</w:t>
      </w:r>
      <w:r w:rsidRPr="00190083">
        <w:rPr>
          <w:rFonts w:hint="eastAsia"/>
          <w:sz w:val="28"/>
          <w:szCs w:val="28"/>
        </w:rPr>
        <w:t>告）</w:t>
      </w:r>
    </w:p>
    <w:p w14:paraId="44A07A72" w14:textId="77777777" w:rsidR="006833EE" w:rsidRPr="00D25125" w:rsidRDefault="006833EE" w:rsidP="006833EE">
      <w:pPr>
        <w:pStyle w:val="13"/>
        <w:ind w:firstLineChars="400" w:firstLine="960"/>
      </w:pPr>
    </w:p>
    <w:p w14:paraId="5B864E11" w14:textId="77777777" w:rsidR="006833EE" w:rsidRDefault="006833EE" w:rsidP="006833EE">
      <w:pPr>
        <w:pStyle w:val="13"/>
        <w:ind w:firstLineChars="171" w:firstLine="481"/>
        <w:jc w:val="center"/>
        <w:rPr>
          <w:b/>
          <w:bCs/>
          <w:sz w:val="28"/>
          <w:szCs w:val="28"/>
        </w:rPr>
      </w:pPr>
      <w:r w:rsidRPr="00190083">
        <w:rPr>
          <w:rFonts w:hint="eastAsia"/>
          <w:b/>
          <w:bCs/>
          <w:sz w:val="28"/>
          <w:szCs w:val="28"/>
        </w:rPr>
        <w:t>资产评估报告文号</w:t>
      </w:r>
    </w:p>
    <w:p w14:paraId="4A6DB62C" w14:textId="77777777" w:rsidR="006833EE" w:rsidRPr="00D25125" w:rsidRDefault="006833EE" w:rsidP="006833EE">
      <w:pPr>
        <w:pStyle w:val="13"/>
        <w:ind w:firstLineChars="400" w:firstLine="960"/>
      </w:pPr>
    </w:p>
    <w:p w14:paraId="6DF28136" w14:textId="77777777" w:rsidR="006833EE" w:rsidRDefault="006833EE" w:rsidP="006833EE">
      <w:pPr>
        <w:pStyle w:val="13"/>
        <w:ind w:firstLineChars="171" w:firstLine="479"/>
        <w:jc w:val="center"/>
        <w:rPr>
          <w:sz w:val="28"/>
          <w:szCs w:val="28"/>
        </w:rPr>
      </w:pPr>
      <w:r w:rsidRPr="00190083">
        <w:rPr>
          <w:rFonts w:hint="eastAsia"/>
          <w:sz w:val="28"/>
          <w:szCs w:val="28"/>
        </w:rPr>
        <w:t>（格式要求：包括资产评估机构特征字、种类特征字、年份、报告序号）</w:t>
      </w:r>
    </w:p>
    <w:p w14:paraId="0B53DC8C" w14:textId="77777777" w:rsidR="006833EE" w:rsidRPr="00D25125" w:rsidRDefault="006833EE" w:rsidP="006833EE">
      <w:pPr>
        <w:pStyle w:val="13"/>
        <w:ind w:firstLineChars="400" w:firstLine="960"/>
      </w:pPr>
    </w:p>
    <w:p w14:paraId="2B4097F0" w14:textId="77777777" w:rsidR="006833EE" w:rsidRDefault="006833EE" w:rsidP="006833EE">
      <w:pPr>
        <w:pStyle w:val="13"/>
        <w:ind w:firstLineChars="171" w:firstLine="479"/>
        <w:jc w:val="center"/>
        <w:rPr>
          <w:sz w:val="28"/>
          <w:szCs w:val="28"/>
        </w:rPr>
      </w:pPr>
      <w:r w:rsidRPr="00190083">
        <w:rPr>
          <w:rFonts w:hint="eastAsia"/>
          <w:sz w:val="28"/>
          <w:szCs w:val="28"/>
        </w:rPr>
        <w:t>参考格式，如：</w:t>
      </w:r>
      <w:r w:rsidRPr="00190083">
        <w:rPr>
          <w:sz w:val="28"/>
          <w:szCs w:val="28"/>
        </w:rPr>
        <w:t>XX评报字（201X）第 XXXX 号</w:t>
      </w:r>
    </w:p>
    <w:p w14:paraId="6811AB0D" w14:textId="77777777" w:rsidR="006833EE" w:rsidRPr="00D25125" w:rsidRDefault="006833EE" w:rsidP="006833EE">
      <w:pPr>
        <w:pStyle w:val="13"/>
        <w:ind w:firstLineChars="400" w:firstLine="960"/>
      </w:pPr>
    </w:p>
    <w:p w14:paraId="08DBFBE6" w14:textId="77777777" w:rsidR="006833EE" w:rsidRDefault="006833EE" w:rsidP="006833EE">
      <w:pPr>
        <w:pStyle w:val="13"/>
        <w:ind w:firstLineChars="171" w:firstLine="481"/>
        <w:jc w:val="center"/>
        <w:rPr>
          <w:b/>
          <w:bCs/>
          <w:sz w:val="28"/>
          <w:szCs w:val="28"/>
        </w:rPr>
      </w:pPr>
      <w:r w:rsidRPr="00190083">
        <w:rPr>
          <w:rFonts w:hint="eastAsia"/>
          <w:b/>
          <w:bCs/>
          <w:sz w:val="28"/>
          <w:szCs w:val="28"/>
        </w:rPr>
        <w:t>资产评估报告册数</w:t>
      </w:r>
    </w:p>
    <w:p w14:paraId="7A5B68CA" w14:textId="77777777" w:rsidR="006833EE" w:rsidRPr="00D25125" w:rsidRDefault="006833EE" w:rsidP="006833EE">
      <w:pPr>
        <w:pStyle w:val="13"/>
        <w:ind w:firstLineChars="400" w:firstLine="960"/>
      </w:pPr>
    </w:p>
    <w:p w14:paraId="1FCFFD1A" w14:textId="77777777" w:rsidR="006833EE" w:rsidRPr="00190083" w:rsidRDefault="006833EE" w:rsidP="006833EE">
      <w:pPr>
        <w:pStyle w:val="13"/>
        <w:ind w:firstLineChars="171" w:firstLine="479"/>
        <w:jc w:val="center"/>
        <w:rPr>
          <w:sz w:val="28"/>
          <w:szCs w:val="28"/>
        </w:rPr>
      </w:pPr>
      <w:r w:rsidRPr="00190083">
        <w:rPr>
          <w:rFonts w:hint="eastAsia"/>
          <w:sz w:val="28"/>
          <w:szCs w:val="28"/>
        </w:rPr>
        <w:t>（格式要求：包括装订总册数、装订序号</w:t>
      </w:r>
    </w:p>
    <w:p w14:paraId="092DA1B2" w14:textId="77777777" w:rsidR="006833EE" w:rsidRPr="00190083" w:rsidRDefault="006833EE" w:rsidP="006833EE">
      <w:pPr>
        <w:pStyle w:val="13"/>
        <w:ind w:firstLineChars="171" w:firstLine="479"/>
        <w:jc w:val="center"/>
        <w:rPr>
          <w:sz w:val="28"/>
          <w:szCs w:val="28"/>
        </w:rPr>
      </w:pPr>
      <w:r w:rsidRPr="00190083">
        <w:rPr>
          <w:rFonts w:hint="eastAsia"/>
          <w:sz w:val="28"/>
          <w:szCs w:val="28"/>
        </w:rPr>
        <w:t>参考格式，如：共</w:t>
      </w:r>
      <w:r w:rsidRPr="00190083">
        <w:rPr>
          <w:sz w:val="28"/>
          <w:szCs w:val="28"/>
        </w:rPr>
        <w:t>X册，第1册）</w:t>
      </w:r>
    </w:p>
    <w:p w14:paraId="36A0D593" w14:textId="77777777" w:rsidR="006833EE" w:rsidRDefault="006833EE" w:rsidP="006833EE">
      <w:pPr>
        <w:widowControl/>
        <w:jc w:val="left"/>
        <w:rPr>
          <w:rFonts w:ascii="宋体" w:hAnsi="宋体"/>
          <w:sz w:val="24"/>
          <w:szCs w:val="24"/>
        </w:rPr>
      </w:pPr>
      <w:r>
        <w:br w:type="page"/>
      </w:r>
    </w:p>
    <w:p w14:paraId="532E2CD0" w14:textId="77777777" w:rsidR="006833EE" w:rsidRPr="00D25125" w:rsidRDefault="006833EE" w:rsidP="006833EE">
      <w:pPr>
        <w:pStyle w:val="13"/>
        <w:ind w:firstLine="562"/>
        <w:jc w:val="left"/>
        <w:rPr>
          <w:b/>
          <w:bCs/>
          <w:sz w:val="28"/>
          <w:szCs w:val="28"/>
        </w:rPr>
      </w:pPr>
      <w:r w:rsidRPr="00D25125">
        <w:rPr>
          <w:rFonts w:hint="eastAsia"/>
          <w:b/>
          <w:bCs/>
          <w:sz w:val="28"/>
          <w:szCs w:val="28"/>
        </w:rPr>
        <w:lastRenderedPageBreak/>
        <w:t>附</w:t>
      </w:r>
      <w:r w:rsidRPr="00D25125">
        <w:rPr>
          <w:b/>
          <w:bCs/>
          <w:sz w:val="28"/>
          <w:szCs w:val="28"/>
        </w:rPr>
        <w:t xml:space="preserve"> 3</w:t>
      </w:r>
    </w:p>
    <w:p w14:paraId="2D79FB2F" w14:textId="77777777" w:rsidR="006833EE" w:rsidRPr="00D25125" w:rsidRDefault="006833EE" w:rsidP="006833EE">
      <w:pPr>
        <w:pStyle w:val="13"/>
        <w:ind w:firstLineChars="0" w:firstLine="0"/>
        <w:jc w:val="center"/>
        <w:rPr>
          <w:b/>
          <w:bCs/>
          <w:sz w:val="28"/>
          <w:szCs w:val="28"/>
        </w:rPr>
      </w:pPr>
      <w:r w:rsidRPr="00D25125">
        <w:rPr>
          <w:rFonts w:hint="eastAsia"/>
          <w:b/>
          <w:bCs/>
          <w:sz w:val="28"/>
          <w:szCs w:val="28"/>
        </w:rPr>
        <w:t>声明</w:t>
      </w:r>
    </w:p>
    <w:p w14:paraId="3BA608D3" w14:textId="77777777" w:rsidR="006833EE" w:rsidRPr="00D25125" w:rsidRDefault="006833EE" w:rsidP="006833EE">
      <w:pPr>
        <w:pStyle w:val="13"/>
        <w:ind w:firstLine="560"/>
        <w:jc w:val="left"/>
        <w:rPr>
          <w:sz w:val="28"/>
          <w:szCs w:val="28"/>
        </w:rPr>
      </w:pPr>
      <w:r w:rsidRPr="00D25125">
        <w:rPr>
          <w:sz w:val="28"/>
          <w:szCs w:val="28"/>
        </w:rPr>
        <w:t>1.委托人或者其他资产评估报告使用人应当按照法律、行</w:t>
      </w:r>
      <w:r w:rsidRPr="00D25125">
        <w:rPr>
          <w:rFonts w:hint="eastAsia"/>
          <w:sz w:val="28"/>
          <w:szCs w:val="28"/>
        </w:rPr>
        <w:t>政法规规定和</w:t>
      </w:r>
      <w:proofErr w:type="gramStart"/>
      <w:r w:rsidRPr="00D25125">
        <w:rPr>
          <w:rFonts w:hint="eastAsia"/>
          <w:sz w:val="28"/>
          <w:szCs w:val="28"/>
        </w:rPr>
        <w:t>本资产</w:t>
      </w:r>
      <w:proofErr w:type="gramEnd"/>
      <w:r w:rsidRPr="00D25125">
        <w:rPr>
          <w:rFonts w:hint="eastAsia"/>
          <w:sz w:val="28"/>
          <w:szCs w:val="28"/>
        </w:rPr>
        <w:t>评估报告载明的使用范围使用</w:t>
      </w:r>
      <w:proofErr w:type="gramStart"/>
      <w:r w:rsidRPr="00D25125">
        <w:rPr>
          <w:rFonts w:hint="eastAsia"/>
          <w:sz w:val="28"/>
          <w:szCs w:val="28"/>
        </w:rPr>
        <w:t>本资产</w:t>
      </w:r>
      <w:proofErr w:type="gramEnd"/>
      <w:r w:rsidRPr="00D25125">
        <w:rPr>
          <w:rFonts w:hint="eastAsia"/>
          <w:sz w:val="28"/>
          <w:szCs w:val="28"/>
        </w:rPr>
        <w:t>评估报告；委托人或者其他资产评估报告使用人违反前述规定使用</w:t>
      </w:r>
      <w:proofErr w:type="gramStart"/>
      <w:r w:rsidRPr="00D25125">
        <w:rPr>
          <w:rFonts w:hint="eastAsia"/>
          <w:sz w:val="28"/>
          <w:szCs w:val="28"/>
        </w:rPr>
        <w:t>本资产</w:t>
      </w:r>
      <w:proofErr w:type="gramEnd"/>
      <w:r w:rsidRPr="00D25125">
        <w:rPr>
          <w:rFonts w:hint="eastAsia"/>
          <w:sz w:val="28"/>
          <w:szCs w:val="28"/>
        </w:rPr>
        <w:t>评估报告的，</w:t>
      </w:r>
      <w:proofErr w:type="gramStart"/>
      <w:r w:rsidRPr="00D25125">
        <w:rPr>
          <w:rFonts w:hint="eastAsia"/>
          <w:sz w:val="28"/>
          <w:szCs w:val="28"/>
        </w:rPr>
        <w:t>本资产</w:t>
      </w:r>
      <w:proofErr w:type="gramEnd"/>
      <w:r w:rsidRPr="00D25125">
        <w:rPr>
          <w:rFonts w:hint="eastAsia"/>
          <w:sz w:val="28"/>
          <w:szCs w:val="28"/>
        </w:rPr>
        <w:t>评估机构及资产评估专业人员不承担责任。</w:t>
      </w:r>
    </w:p>
    <w:p w14:paraId="6BAD5CD1" w14:textId="77777777" w:rsidR="006833EE" w:rsidRPr="00D25125" w:rsidRDefault="006833EE" w:rsidP="006833EE">
      <w:pPr>
        <w:pStyle w:val="13"/>
        <w:ind w:firstLine="560"/>
        <w:jc w:val="left"/>
        <w:rPr>
          <w:sz w:val="28"/>
          <w:szCs w:val="28"/>
        </w:rPr>
      </w:pPr>
      <w:r w:rsidRPr="00D25125">
        <w:rPr>
          <w:sz w:val="28"/>
          <w:szCs w:val="28"/>
        </w:rPr>
        <w:t>2.</w:t>
      </w:r>
      <w:proofErr w:type="gramStart"/>
      <w:r w:rsidRPr="00D25125">
        <w:rPr>
          <w:sz w:val="28"/>
          <w:szCs w:val="28"/>
        </w:rPr>
        <w:t>本资产</w:t>
      </w:r>
      <w:proofErr w:type="gramEnd"/>
      <w:r w:rsidRPr="00D25125">
        <w:rPr>
          <w:sz w:val="28"/>
          <w:szCs w:val="28"/>
        </w:rPr>
        <w:t>评估报告仅供委托人、资产评估委托合同中约定</w:t>
      </w:r>
      <w:r w:rsidRPr="00D25125">
        <w:rPr>
          <w:rFonts w:hint="eastAsia"/>
          <w:sz w:val="28"/>
          <w:szCs w:val="28"/>
        </w:rPr>
        <w:t>的其他资产评估报告使用人和法律、行政法规规定的资产评估报告使用人使用；除此之外，其他任何机构和个人不能成为</w:t>
      </w:r>
      <w:proofErr w:type="gramStart"/>
      <w:r w:rsidRPr="00D25125">
        <w:rPr>
          <w:rFonts w:hint="eastAsia"/>
          <w:sz w:val="28"/>
          <w:szCs w:val="28"/>
        </w:rPr>
        <w:t>本资产</w:t>
      </w:r>
      <w:proofErr w:type="gramEnd"/>
      <w:r w:rsidRPr="00D25125">
        <w:rPr>
          <w:rFonts w:hint="eastAsia"/>
          <w:sz w:val="28"/>
          <w:szCs w:val="28"/>
        </w:rPr>
        <w:t>评估报告的使用人。</w:t>
      </w:r>
    </w:p>
    <w:p w14:paraId="74CEB9C8" w14:textId="77777777" w:rsidR="006833EE" w:rsidRPr="00D25125" w:rsidRDefault="006833EE" w:rsidP="006833EE">
      <w:pPr>
        <w:pStyle w:val="13"/>
        <w:ind w:firstLine="560"/>
        <w:jc w:val="left"/>
        <w:rPr>
          <w:sz w:val="28"/>
          <w:szCs w:val="28"/>
        </w:rPr>
      </w:pPr>
      <w:r w:rsidRPr="00D25125">
        <w:rPr>
          <w:sz w:val="28"/>
          <w:szCs w:val="28"/>
        </w:rPr>
        <w:t>3.</w:t>
      </w:r>
      <w:proofErr w:type="gramStart"/>
      <w:r w:rsidRPr="00D25125">
        <w:rPr>
          <w:sz w:val="28"/>
          <w:szCs w:val="28"/>
        </w:rPr>
        <w:t>本资产</w:t>
      </w:r>
      <w:proofErr w:type="gramEnd"/>
      <w:r w:rsidRPr="00D25125">
        <w:rPr>
          <w:sz w:val="28"/>
          <w:szCs w:val="28"/>
        </w:rPr>
        <w:t>评估机构及资产评估专业人员提示资产评估报告</w:t>
      </w:r>
      <w:r w:rsidRPr="00D25125">
        <w:rPr>
          <w:rFonts w:hint="eastAsia"/>
          <w:sz w:val="28"/>
          <w:szCs w:val="28"/>
        </w:rPr>
        <w:t>使用人应当正确理解评估结论，评估结论不等同于评估对象可实现价格，评估结论不应当被认为是对评估对象可实现价格的保证。</w:t>
      </w:r>
    </w:p>
    <w:p w14:paraId="39BA113D" w14:textId="77777777" w:rsidR="006833EE" w:rsidRPr="00D25125" w:rsidRDefault="006833EE" w:rsidP="006833EE">
      <w:pPr>
        <w:pStyle w:val="13"/>
        <w:ind w:firstLine="560"/>
        <w:jc w:val="left"/>
        <w:rPr>
          <w:sz w:val="28"/>
          <w:szCs w:val="28"/>
        </w:rPr>
      </w:pPr>
      <w:r w:rsidRPr="00D25125">
        <w:rPr>
          <w:rFonts w:hint="eastAsia"/>
          <w:sz w:val="28"/>
          <w:szCs w:val="28"/>
        </w:rPr>
        <w:t>（其他需要声明的内容此参考样式略）</w:t>
      </w:r>
    </w:p>
    <w:p w14:paraId="32341413" w14:textId="77777777" w:rsidR="006833EE" w:rsidRDefault="006833EE" w:rsidP="006833EE">
      <w:pPr>
        <w:widowControl/>
        <w:jc w:val="left"/>
        <w:rPr>
          <w:rFonts w:ascii="宋体" w:hAnsi="宋体"/>
          <w:sz w:val="24"/>
          <w:szCs w:val="24"/>
        </w:rPr>
      </w:pPr>
      <w:r>
        <w:br w:type="page"/>
      </w:r>
    </w:p>
    <w:p w14:paraId="4B79E156" w14:textId="16159F95" w:rsidR="00EF0BC2" w:rsidRDefault="00EF0BC2" w:rsidP="00EF0BC2">
      <w:pPr>
        <w:pStyle w:val="31"/>
        <w:spacing w:before="156" w:after="62"/>
      </w:pPr>
      <w:bookmarkStart w:id="20" w:name="_Toc81833300"/>
      <w:r>
        <w:rPr>
          <w:rFonts w:hint="eastAsia"/>
        </w:rPr>
        <w:lastRenderedPageBreak/>
        <w:t>资产评估执业准则—资产评估程序（</w:t>
      </w:r>
      <w:proofErr w:type="gramStart"/>
      <w:r>
        <w:rPr>
          <w:rFonts w:hint="eastAsia"/>
        </w:rPr>
        <w:t>中评协</w:t>
      </w:r>
      <w:proofErr w:type="gramEnd"/>
      <w:r>
        <w:rPr>
          <w:rFonts w:hint="eastAsia"/>
        </w:rPr>
        <w:t>〔</w:t>
      </w:r>
      <w:r>
        <w:t>2018〕36号）</w:t>
      </w:r>
      <w:bookmarkEnd w:id="20"/>
    </w:p>
    <w:p w14:paraId="1DC67058" w14:textId="77777777" w:rsidR="00EF0BC2" w:rsidRDefault="00EF0BC2" w:rsidP="00EF0BC2">
      <w:pPr>
        <w:pStyle w:val="13"/>
        <w:ind w:firstLineChars="0" w:firstLine="0"/>
      </w:pPr>
      <w:r>
        <w:rPr>
          <w:rFonts w:hint="eastAsia"/>
        </w:rPr>
        <w:t>各省、自治区、直辖市、计划单列市资产评估协会（注册会计师协会）：</w:t>
      </w:r>
    </w:p>
    <w:p w14:paraId="60D09A1D" w14:textId="3A740F42" w:rsidR="00EF0BC2" w:rsidRDefault="00EF0BC2" w:rsidP="00EF0BC2">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资产评估执业准则—资产评估程序》进行了修订，现予印发，自</w:t>
      </w:r>
      <w:r>
        <w:t>2019</w:t>
      </w:r>
      <w:r w:rsidR="003068F8">
        <w:t>年</w:t>
      </w:r>
      <w:r>
        <w:t>1</w:t>
      </w:r>
      <w:r w:rsidR="003068F8">
        <w:t>月</w:t>
      </w:r>
      <w:r>
        <w:t>1</w:t>
      </w:r>
      <w:r w:rsidR="003068F8">
        <w:t>日</w:t>
      </w:r>
      <w:r>
        <w:t>起施行。</w:t>
      </w:r>
    </w:p>
    <w:p w14:paraId="3DB52294" w14:textId="02FF03B6" w:rsidR="00EF0BC2" w:rsidRDefault="00EF0BC2" w:rsidP="00EF0BC2">
      <w:pPr>
        <w:pStyle w:val="13"/>
      </w:pPr>
      <w:r>
        <w:rPr>
          <w:rFonts w:hint="eastAsia"/>
        </w:rPr>
        <w:t>请各地</w:t>
      </w:r>
      <w:proofErr w:type="gramStart"/>
      <w:r>
        <w:rPr>
          <w:rFonts w:hint="eastAsia"/>
        </w:rPr>
        <w:t>方协会</w:t>
      </w:r>
      <w:proofErr w:type="gramEnd"/>
      <w:r>
        <w:rPr>
          <w:rFonts w:hint="eastAsia"/>
        </w:rPr>
        <w:t>将《资产评估执业准则—资产评估程序》及时转发资产评估机构</w:t>
      </w:r>
      <w:r w:rsidR="00CC4D74">
        <w:rPr>
          <w:rFonts w:hint="eastAsia"/>
        </w:rPr>
        <w:t>，</w:t>
      </w:r>
      <w:r>
        <w:t>组织资产评估机构和资产评估专业人员进行学习和培训，并将执行过程中发现的问题及时上报中国资产评估协会。</w:t>
      </w:r>
    </w:p>
    <w:p w14:paraId="68FC4BA6" w14:textId="77777777" w:rsidR="00EF0BC2" w:rsidRDefault="00EF0BC2" w:rsidP="00EF0BC2">
      <w:pPr>
        <w:pStyle w:val="13"/>
      </w:pPr>
      <w:r>
        <w:rPr>
          <w:rFonts w:hint="eastAsia"/>
        </w:rPr>
        <w:t>附件：《资产评估执业准则—资产评估程序》</w:t>
      </w:r>
    </w:p>
    <w:p w14:paraId="31EF0EE0" w14:textId="77777777" w:rsidR="00EF0BC2" w:rsidRDefault="00EF0BC2" w:rsidP="00EF0BC2">
      <w:pPr>
        <w:pStyle w:val="13"/>
        <w:jc w:val="right"/>
      </w:pPr>
      <w:r>
        <w:rPr>
          <w:rFonts w:hint="eastAsia"/>
        </w:rPr>
        <w:t>中国资产评估协会</w:t>
      </w:r>
    </w:p>
    <w:p w14:paraId="3B1A6C9C" w14:textId="178195AB" w:rsidR="00EF0BC2" w:rsidRDefault="00EF0BC2" w:rsidP="00EF0BC2">
      <w:pPr>
        <w:pStyle w:val="13"/>
        <w:jc w:val="right"/>
      </w:pPr>
      <w:r>
        <w:t>2018</w:t>
      </w:r>
      <w:r w:rsidR="003068F8">
        <w:t>年</w:t>
      </w:r>
      <w:r>
        <w:t>10</w:t>
      </w:r>
      <w:r w:rsidR="003068F8">
        <w:t>月</w:t>
      </w:r>
      <w:r>
        <w:t>29</w:t>
      </w:r>
      <w:r w:rsidR="003068F8">
        <w:t>日</w:t>
      </w:r>
    </w:p>
    <w:p w14:paraId="3BFF9210" w14:textId="77777777" w:rsidR="00EF0BC2" w:rsidRDefault="00EF0BC2" w:rsidP="00AF7342">
      <w:pPr>
        <w:pStyle w:val="a9"/>
        <w:spacing w:before="62" w:after="62"/>
      </w:pPr>
      <w:r>
        <w:rPr>
          <w:rFonts w:hint="eastAsia"/>
        </w:rPr>
        <w:t>资产评估执业准则—资产评估程序</w:t>
      </w:r>
    </w:p>
    <w:p w14:paraId="569352DE" w14:textId="77777777" w:rsidR="00EF0BC2" w:rsidRDefault="00EF0BC2" w:rsidP="00AF7342">
      <w:pPr>
        <w:pStyle w:val="a9"/>
        <w:spacing w:before="62" w:after="62"/>
      </w:pPr>
      <w:r>
        <w:rPr>
          <w:rFonts w:hint="eastAsia"/>
        </w:rPr>
        <w:t>第一章</w:t>
      </w:r>
      <w:r>
        <w:t xml:space="preserve"> 总则</w:t>
      </w:r>
    </w:p>
    <w:p w14:paraId="6CDEED6E" w14:textId="6DD0B8B6" w:rsidR="00EF0BC2" w:rsidRDefault="004E3EBB" w:rsidP="00EF0BC2">
      <w:pPr>
        <w:pStyle w:val="13"/>
        <w:ind w:firstLine="482"/>
      </w:pPr>
      <w:r w:rsidRPr="004E3EBB">
        <w:rPr>
          <w:rFonts w:hint="eastAsia"/>
          <w:b/>
          <w:bCs/>
        </w:rPr>
        <w:t xml:space="preserve">第一条 </w:t>
      </w:r>
      <w:r w:rsidR="00EF0BC2">
        <w:t>为规范资产评估机构及其资产评估专业人员履行资产评估程序行为，保护资产评估当事人合法权益和公共利益，根据《资产评估基本准则》制定本准则。</w:t>
      </w:r>
    </w:p>
    <w:p w14:paraId="36E7ACCE" w14:textId="09B978DD" w:rsidR="00EF0BC2" w:rsidRDefault="004E3EBB" w:rsidP="00EF0BC2">
      <w:pPr>
        <w:pStyle w:val="13"/>
        <w:ind w:firstLine="482"/>
      </w:pPr>
      <w:r w:rsidRPr="004E3EBB">
        <w:rPr>
          <w:rFonts w:hint="eastAsia"/>
          <w:b/>
          <w:bCs/>
        </w:rPr>
        <w:t xml:space="preserve">第二条 </w:t>
      </w:r>
      <w:r w:rsidR="00EF0BC2">
        <w:t>本准则所称资产评估程序，是</w:t>
      </w:r>
      <w:proofErr w:type="gramStart"/>
      <w:r w:rsidR="00EF0BC2">
        <w:t>指执行</w:t>
      </w:r>
      <w:proofErr w:type="gramEnd"/>
      <w:r w:rsidR="00EF0BC2">
        <w:t>资产评估业务所履行的系统性工作步</w:t>
      </w:r>
      <w:r w:rsidR="00EF0BC2">
        <w:rPr>
          <w:rFonts w:hint="eastAsia"/>
        </w:rPr>
        <w:t>骤。</w:t>
      </w:r>
    </w:p>
    <w:p w14:paraId="70DD1B6C" w14:textId="75F4DFF0" w:rsidR="00EF0BC2" w:rsidRDefault="004E3EBB" w:rsidP="00EF0BC2">
      <w:pPr>
        <w:pStyle w:val="13"/>
        <w:ind w:firstLine="482"/>
      </w:pPr>
      <w:r w:rsidRPr="004E3EBB">
        <w:rPr>
          <w:rFonts w:hint="eastAsia"/>
          <w:b/>
          <w:bCs/>
        </w:rPr>
        <w:t xml:space="preserve">第三条 </w:t>
      </w:r>
      <w:r w:rsidR="00EF0BC2">
        <w:t>执行资产评估业务，应当遵守本准则。</w:t>
      </w:r>
    </w:p>
    <w:p w14:paraId="6D71EE1A" w14:textId="77777777" w:rsidR="00EF0BC2" w:rsidRDefault="00EF0BC2" w:rsidP="00AF7342">
      <w:pPr>
        <w:pStyle w:val="a9"/>
        <w:spacing w:before="62" w:after="62"/>
      </w:pPr>
      <w:r w:rsidRPr="00EF0BC2">
        <w:rPr>
          <w:rFonts w:hint="eastAsia"/>
        </w:rPr>
        <w:t>第二章</w:t>
      </w:r>
      <w:r>
        <w:t xml:space="preserve"> 基本遵循</w:t>
      </w:r>
    </w:p>
    <w:p w14:paraId="46C83CA1" w14:textId="5A64DB68" w:rsidR="00EF0BC2" w:rsidRDefault="004E3EBB" w:rsidP="00EF0BC2">
      <w:pPr>
        <w:pStyle w:val="13"/>
        <w:ind w:firstLine="482"/>
      </w:pPr>
      <w:r w:rsidRPr="004E3EBB">
        <w:rPr>
          <w:rFonts w:hint="eastAsia"/>
          <w:b/>
          <w:bCs/>
        </w:rPr>
        <w:t xml:space="preserve">第四条 </w:t>
      </w:r>
      <w:r w:rsidR="00EF0BC2">
        <w:t>执行资产评估业务，应当遵守法律、行政法规和资产评估准则，坚持独立、客观、公正的原则，履行适当的资产评估程序。</w:t>
      </w:r>
    </w:p>
    <w:p w14:paraId="6A3B59C9" w14:textId="2D16A669" w:rsidR="00EF0BC2" w:rsidRDefault="004E3EBB" w:rsidP="005A514D">
      <w:pPr>
        <w:pStyle w:val="13"/>
        <w:ind w:firstLine="482"/>
      </w:pPr>
      <w:r w:rsidRPr="004E3EBB">
        <w:rPr>
          <w:rFonts w:hint="eastAsia"/>
          <w:b/>
          <w:bCs/>
        </w:rPr>
        <w:t xml:space="preserve">第五条 </w:t>
      </w:r>
      <w:r w:rsidR="00EF0BC2">
        <w:t>资产评估基本程序包括：明确业务基本事项；订立业务委托合同；编制资产评估计划；进行评估现场调查；收集整理评估资料；评定估算形成结论；编制出具评估</w:t>
      </w:r>
      <w:r w:rsidR="00EF0BC2">
        <w:rPr>
          <w:rFonts w:hint="eastAsia"/>
        </w:rPr>
        <w:t>报告；整理归集评估档案。</w:t>
      </w:r>
    </w:p>
    <w:p w14:paraId="01F05E6C" w14:textId="77777777" w:rsidR="00EF0BC2" w:rsidRDefault="00EF0BC2" w:rsidP="00EF0BC2">
      <w:pPr>
        <w:pStyle w:val="13"/>
      </w:pPr>
      <w:r>
        <w:rPr>
          <w:rFonts w:hint="eastAsia"/>
        </w:rPr>
        <w:t>资产评估机构及其资产评估专业人员应当根据资产评估业务的具体情况以及重要性原则确定所履行各基本程序的繁简程度。</w:t>
      </w:r>
    </w:p>
    <w:p w14:paraId="7D630602" w14:textId="77777777" w:rsidR="00EF0BC2" w:rsidRDefault="00EF0BC2" w:rsidP="00EF0BC2">
      <w:pPr>
        <w:pStyle w:val="13"/>
      </w:pPr>
      <w:r>
        <w:rPr>
          <w:rFonts w:hint="eastAsia"/>
        </w:rPr>
        <w:t>资产评估机构及其资产评估专业人员不得随意减少资产评估基本程序。</w:t>
      </w:r>
    </w:p>
    <w:p w14:paraId="5AEA8472" w14:textId="58DDA11C" w:rsidR="00EF0BC2" w:rsidRDefault="004E3EBB" w:rsidP="00EF0BC2">
      <w:pPr>
        <w:pStyle w:val="13"/>
        <w:ind w:firstLine="482"/>
      </w:pPr>
      <w:r w:rsidRPr="004E3EBB">
        <w:rPr>
          <w:rFonts w:hint="eastAsia"/>
          <w:b/>
          <w:bCs/>
        </w:rPr>
        <w:t xml:space="preserve">第六条 </w:t>
      </w:r>
      <w:r w:rsidR="00EF0BC2">
        <w:t>执行资产评估业务，因法律法规规定、客观条件限制，无法或者不能完全履行资产评估基本程序，经采取措施弥补程序缺失，且未对评估结论产生重大影响时，资产评估机构及其资产评估专业人员可以继续开展业务，对评估结论产生重大影响或者无法判断其影响程度的，不得出具资产评估报告。</w:t>
      </w:r>
    </w:p>
    <w:p w14:paraId="71E7F4C9" w14:textId="123F656B" w:rsidR="00EF0BC2" w:rsidRDefault="004E3EBB" w:rsidP="00EF0BC2">
      <w:pPr>
        <w:pStyle w:val="13"/>
        <w:ind w:firstLine="482"/>
      </w:pPr>
      <w:r w:rsidRPr="004E3EBB">
        <w:rPr>
          <w:rFonts w:hint="eastAsia"/>
          <w:b/>
          <w:bCs/>
        </w:rPr>
        <w:t xml:space="preserve">第七条 </w:t>
      </w:r>
      <w:r w:rsidR="00EF0BC2">
        <w:t>资产评估专业人员应当记录评估程序履行情况，形成工作底稿。</w:t>
      </w:r>
    </w:p>
    <w:p w14:paraId="6AA6A805" w14:textId="77777777" w:rsidR="00EF0BC2" w:rsidRDefault="00EF0BC2" w:rsidP="00AF7342">
      <w:pPr>
        <w:pStyle w:val="a9"/>
        <w:spacing w:before="62" w:after="62"/>
      </w:pPr>
      <w:r>
        <w:rPr>
          <w:rFonts w:hint="eastAsia"/>
        </w:rPr>
        <w:lastRenderedPageBreak/>
        <w:t>第三章</w:t>
      </w:r>
      <w:r>
        <w:t xml:space="preserve"> 实施要求</w:t>
      </w:r>
    </w:p>
    <w:p w14:paraId="1688C254" w14:textId="7A808C8D" w:rsidR="00EF0BC2" w:rsidRDefault="004E3EBB" w:rsidP="00EF0BC2">
      <w:pPr>
        <w:pStyle w:val="13"/>
        <w:ind w:firstLine="482"/>
      </w:pPr>
      <w:r w:rsidRPr="004E3EBB">
        <w:rPr>
          <w:rFonts w:hint="eastAsia"/>
          <w:b/>
          <w:bCs/>
        </w:rPr>
        <w:t xml:space="preserve">第八条 </w:t>
      </w:r>
      <w:r w:rsidR="00EF0BC2">
        <w:t>资产评估机构受理资产评估业务前，应当明确下列资产评估业务基本事项：</w:t>
      </w:r>
    </w:p>
    <w:p w14:paraId="1793C352" w14:textId="77777777" w:rsidR="00EF0BC2" w:rsidRDefault="00EF0BC2" w:rsidP="00EF0BC2">
      <w:pPr>
        <w:pStyle w:val="13"/>
      </w:pPr>
      <w:r>
        <w:rPr>
          <w:rFonts w:hint="eastAsia"/>
        </w:rPr>
        <w:t>（一）委托人、产权持有人和委托人以外的其他资产评估报告使用人；</w:t>
      </w:r>
    </w:p>
    <w:p w14:paraId="1AB8DA1D" w14:textId="77777777" w:rsidR="00EF0BC2" w:rsidRDefault="00EF0BC2" w:rsidP="00EF0BC2">
      <w:pPr>
        <w:pStyle w:val="13"/>
      </w:pPr>
      <w:r>
        <w:rPr>
          <w:rFonts w:hint="eastAsia"/>
        </w:rPr>
        <w:t>（二）评估目的；</w:t>
      </w:r>
    </w:p>
    <w:p w14:paraId="40943C4A" w14:textId="77777777" w:rsidR="00EF0BC2" w:rsidRDefault="00EF0BC2" w:rsidP="00EF0BC2">
      <w:pPr>
        <w:pStyle w:val="13"/>
      </w:pPr>
      <w:r>
        <w:rPr>
          <w:rFonts w:hint="eastAsia"/>
        </w:rPr>
        <w:t>（三）评估对象和评估范围；</w:t>
      </w:r>
    </w:p>
    <w:p w14:paraId="11D9ADBD" w14:textId="77777777" w:rsidR="00EF0BC2" w:rsidRDefault="00EF0BC2" w:rsidP="00EF0BC2">
      <w:pPr>
        <w:pStyle w:val="13"/>
      </w:pPr>
      <w:r>
        <w:rPr>
          <w:rFonts w:hint="eastAsia"/>
        </w:rPr>
        <w:t>（四）价值类型；</w:t>
      </w:r>
    </w:p>
    <w:p w14:paraId="66EAF0BE" w14:textId="77777777" w:rsidR="00EF0BC2" w:rsidRDefault="00EF0BC2" w:rsidP="00EF0BC2">
      <w:pPr>
        <w:pStyle w:val="13"/>
      </w:pPr>
      <w:r>
        <w:rPr>
          <w:rFonts w:hint="eastAsia"/>
        </w:rPr>
        <w:t>（五）评估基准日；</w:t>
      </w:r>
    </w:p>
    <w:p w14:paraId="5E2294FE" w14:textId="77777777" w:rsidR="00EF0BC2" w:rsidRDefault="00EF0BC2" w:rsidP="00EF0BC2">
      <w:pPr>
        <w:pStyle w:val="13"/>
      </w:pPr>
      <w:r>
        <w:rPr>
          <w:rFonts w:hint="eastAsia"/>
        </w:rPr>
        <w:t>（六）资产评估项目所涉及的需要批准的经济行为的审批情况；</w:t>
      </w:r>
    </w:p>
    <w:p w14:paraId="6FBACAA8" w14:textId="77777777" w:rsidR="00EF0BC2" w:rsidRDefault="00EF0BC2" w:rsidP="00EF0BC2">
      <w:pPr>
        <w:pStyle w:val="13"/>
      </w:pPr>
      <w:r>
        <w:rPr>
          <w:rFonts w:hint="eastAsia"/>
        </w:rPr>
        <w:t>（七）资产评估报告使用范围；</w:t>
      </w:r>
    </w:p>
    <w:p w14:paraId="6BFD8EEE" w14:textId="77777777" w:rsidR="00EF0BC2" w:rsidRDefault="00EF0BC2" w:rsidP="00EF0BC2">
      <w:pPr>
        <w:pStyle w:val="13"/>
      </w:pPr>
      <w:r>
        <w:rPr>
          <w:rFonts w:hint="eastAsia"/>
        </w:rPr>
        <w:t>（八）资产评估报告提交期限及方式；</w:t>
      </w:r>
    </w:p>
    <w:p w14:paraId="7961430F" w14:textId="77777777" w:rsidR="00EF0BC2" w:rsidRDefault="00EF0BC2" w:rsidP="00EF0BC2">
      <w:pPr>
        <w:pStyle w:val="13"/>
      </w:pPr>
      <w:r>
        <w:rPr>
          <w:rFonts w:hint="eastAsia"/>
        </w:rPr>
        <w:t>（九）评估服务费及支付方式；</w:t>
      </w:r>
    </w:p>
    <w:p w14:paraId="2356875E" w14:textId="77777777" w:rsidR="00EF0BC2" w:rsidRDefault="00EF0BC2" w:rsidP="00EF0BC2">
      <w:pPr>
        <w:pStyle w:val="13"/>
      </w:pPr>
      <w:r>
        <w:rPr>
          <w:rFonts w:hint="eastAsia"/>
        </w:rPr>
        <w:t>（十）委托人、其他相关当事人与资产评估机构及其资产评估专业人员工作配合和协助等需要明确的重要事项。</w:t>
      </w:r>
    </w:p>
    <w:p w14:paraId="4993F0CC" w14:textId="752FBF1E" w:rsidR="00EF0BC2" w:rsidRDefault="00E05BDA" w:rsidP="00EF0BC2">
      <w:pPr>
        <w:pStyle w:val="13"/>
        <w:ind w:firstLine="482"/>
      </w:pPr>
      <w:r w:rsidRPr="00E05BDA">
        <w:rPr>
          <w:rFonts w:hint="eastAsia"/>
          <w:b/>
          <w:bCs/>
        </w:rPr>
        <w:t xml:space="preserve">第九条 </w:t>
      </w:r>
      <w:r w:rsidR="00EF0BC2">
        <w:t>资产评估机构应当对专业能力、独立性和业务风险进行综合分析和评价。受理资产评估业务应当满足专业能力、独立性和业务风险控制要求，否则不得受理。</w:t>
      </w:r>
    </w:p>
    <w:p w14:paraId="4B899F2C" w14:textId="1BAB82DF" w:rsidR="00EF0BC2" w:rsidRDefault="00E05BDA" w:rsidP="00EF0BC2">
      <w:pPr>
        <w:pStyle w:val="13"/>
        <w:ind w:firstLine="482"/>
      </w:pPr>
      <w:r w:rsidRPr="00E05BDA">
        <w:rPr>
          <w:rFonts w:hint="eastAsia"/>
          <w:b/>
          <w:bCs/>
        </w:rPr>
        <w:t xml:space="preserve">第十条 </w:t>
      </w:r>
      <w:r w:rsidR="00EF0BC2">
        <w:t>资产评估机构受理资产评估业务应当与委托人依法订立资产评估委托合同</w:t>
      </w:r>
      <w:r w:rsidR="00CC4D74">
        <w:t>，</w:t>
      </w:r>
      <w:r w:rsidR="00EF0BC2">
        <w:t>约定资产评估机构和委托人权利、义务、违约责任和争议解决等内容。</w:t>
      </w:r>
    </w:p>
    <w:p w14:paraId="359F05F3" w14:textId="4AB35593" w:rsidR="00EF0BC2" w:rsidRDefault="00E05BDA" w:rsidP="005A514D">
      <w:pPr>
        <w:pStyle w:val="13"/>
        <w:ind w:firstLine="482"/>
      </w:pPr>
      <w:r w:rsidRPr="00E05BDA">
        <w:rPr>
          <w:rFonts w:hint="eastAsia"/>
          <w:b/>
          <w:bCs/>
        </w:rPr>
        <w:t xml:space="preserve">第十一条 </w:t>
      </w:r>
      <w:r w:rsidR="00EF0BC2">
        <w:t>资产评估专业人员应当根据资产评估业务具体情况编制资产评估计划</w:t>
      </w:r>
      <w:r w:rsidR="00CC4D74">
        <w:t>，</w:t>
      </w:r>
      <w:r w:rsidR="00EF0BC2">
        <w:t>并合理确定资产评估计划的繁简程度。资产评估计划包括资产评估业务实施的主要过程</w:t>
      </w:r>
      <w:r w:rsidR="00EF0BC2">
        <w:rPr>
          <w:rFonts w:hint="eastAsia"/>
        </w:rPr>
        <w:t>及时间进度、人员安排等。</w:t>
      </w:r>
    </w:p>
    <w:p w14:paraId="30B3F99E" w14:textId="360B06F6" w:rsidR="00EF0BC2" w:rsidRDefault="00E05BDA" w:rsidP="00EF0BC2">
      <w:pPr>
        <w:pStyle w:val="13"/>
        <w:ind w:firstLine="482"/>
      </w:pPr>
      <w:r w:rsidRPr="00E05BDA">
        <w:rPr>
          <w:rFonts w:hint="eastAsia"/>
          <w:b/>
          <w:bCs/>
        </w:rPr>
        <w:t xml:space="preserve">第十二条 </w:t>
      </w:r>
      <w:r w:rsidR="00EF0BC2">
        <w:t>执行资产评估业务，应当对评估对象进行现场调查，获取评估业务需要的资料，了解评估对象现状，关注评估对象法律权属。</w:t>
      </w:r>
    </w:p>
    <w:p w14:paraId="037C0109" w14:textId="77777777" w:rsidR="00EF0BC2" w:rsidRDefault="00EF0BC2" w:rsidP="00EF0BC2">
      <w:pPr>
        <w:pStyle w:val="13"/>
      </w:pPr>
      <w:r>
        <w:rPr>
          <w:rFonts w:hint="eastAsia"/>
        </w:rPr>
        <w:t>现场调查手段通常包括询问、访谈、核对、监盘、勘查等。</w:t>
      </w:r>
    </w:p>
    <w:p w14:paraId="7B41BD37" w14:textId="77777777" w:rsidR="005A514D" w:rsidRDefault="00EF0BC2" w:rsidP="00EF0BC2">
      <w:pPr>
        <w:pStyle w:val="13"/>
      </w:pPr>
      <w:r>
        <w:rPr>
          <w:rFonts w:hint="eastAsia"/>
        </w:rPr>
        <w:t>资产评估专业人员可以根据重要性原则采用逐项或者抽样的方式进行现场调查。</w:t>
      </w:r>
    </w:p>
    <w:p w14:paraId="4740798E" w14:textId="6308BAF1" w:rsidR="00EF0BC2" w:rsidRDefault="00E05BDA" w:rsidP="00EF0BC2">
      <w:pPr>
        <w:pStyle w:val="13"/>
        <w:ind w:firstLine="482"/>
      </w:pPr>
      <w:r w:rsidRPr="00E05BDA">
        <w:rPr>
          <w:rFonts w:hint="eastAsia"/>
          <w:b/>
          <w:bCs/>
        </w:rPr>
        <w:t xml:space="preserve">第十三条 </w:t>
      </w:r>
      <w:r w:rsidR="00EF0BC2">
        <w:t>资产评估专业人员应当根据资产评估业务具体情况收集资产评估业务需</w:t>
      </w:r>
    </w:p>
    <w:p w14:paraId="0F841AC6" w14:textId="530F4C43" w:rsidR="00EF0BC2" w:rsidRDefault="00EF0BC2" w:rsidP="00EF0BC2">
      <w:pPr>
        <w:pStyle w:val="13"/>
      </w:pPr>
      <w:r>
        <w:rPr>
          <w:rFonts w:hint="eastAsia"/>
        </w:rPr>
        <w:t>要的资料。包括：委托人或者其他相关当事人提供的涉及评估对象和评估范围等资料</w:t>
      </w:r>
      <w:r w:rsidR="003068F8">
        <w:rPr>
          <w:rFonts w:hint="eastAsia"/>
        </w:rPr>
        <w:t>；</w:t>
      </w:r>
      <w:r>
        <w:t>从政府部门、各类专业机构以及市场等渠道获取的其他资料。</w:t>
      </w:r>
    </w:p>
    <w:p w14:paraId="5A03DDC4" w14:textId="0DF26D72" w:rsidR="00EF0BC2" w:rsidRDefault="00E05BDA" w:rsidP="00EF0BC2">
      <w:pPr>
        <w:pStyle w:val="13"/>
        <w:ind w:firstLine="482"/>
      </w:pPr>
      <w:r w:rsidRPr="00E05BDA">
        <w:rPr>
          <w:rFonts w:hint="eastAsia"/>
          <w:b/>
          <w:bCs/>
        </w:rPr>
        <w:t xml:space="preserve">第十四条 </w:t>
      </w:r>
      <w:r w:rsidR="00EF0BC2">
        <w:t>资产评估专业人员应当要求委托人或者其他相关当事人提供涉及评估对象和评估范围的必要资料。</w:t>
      </w:r>
    </w:p>
    <w:p w14:paraId="615F9F1D" w14:textId="77777777" w:rsidR="00EF0BC2" w:rsidRDefault="00EF0BC2" w:rsidP="00EF0BC2">
      <w:pPr>
        <w:pStyle w:val="13"/>
      </w:pPr>
      <w:r>
        <w:rPr>
          <w:rFonts w:hint="eastAsia"/>
        </w:rPr>
        <w:t>资产评估专业人员应当要求委托人或者其他相关当事人对其提供的资产评估明细表及其他重要资料进行确认，确认方式包括签字、盖章及法律允许的其他方式。</w:t>
      </w:r>
    </w:p>
    <w:p w14:paraId="2C67FF7E" w14:textId="2B3011CA" w:rsidR="00EF0BC2" w:rsidRDefault="00E05BDA" w:rsidP="00EF0BC2">
      <w:pPr>
        <w:pStyle w:val="13"/>
        <w:ind w:firstLine="482"/>
      </w:pPr>
      <w:r w:rsidRPr="00E05BDA">
        <w:rPr>
          <w:rFonts w:hint="eastAsia"/>
          <w:b/>
          <w:bCs/>
        </w:rPr>
        <w:t xml:space="preserve">第十五条 </w:t>
      </w:r>
      <w:r w:rsidR="00EF0BC2">
        <w:t>资产评估专业人员应当依法对资产评估活动中使用的资料进行核查</w:t>
      </w:r>
      <w:r w:rsidR="00EF0BC2">
        <w:lastRenderedPageBreak/>
        <w:t>验证。核查验证的方式通常包括观察、询问、书面审查、实地调查、查询、函证、复核等。</w:t>
      </w:r>
    </w:p>
    <w:p w14:paraId="2CC14417" w14:textId="606BE1C7" w:rsidR="00EF0BC2" w:rsidRDefault="00E05BDA" w:rsidP="00EF0BC2">
      <w:pPr>
        <w:pStyle w:val="13"/>
        <w:ind w:firstLine="482"/>
      </w:pPr>
      <w:r w:rsidRPr="00E05BDA">
        <w:rPr>
          <w:rFonts w:hint="eastAsia"/>
          <w:b/>
          <w:bCs/>
        </w:rPr>
        <w:t xml:space="preserve">第十六条 </w:t>
      </w:r>
      <w:r w:rsidR="00EF0BC2">
        <w:t>超出资产评估专业人员专业能力范畴的核查验证事项，资产评估机构应当委托或者要求委托人委托其他专业机构或者专家出具意见。</w:t>
      </w:r>
    </w:p>
    <w:p w14:paraId="0D5DEC7E" w14:textId="77777777" w:rsidR="00EF0BC2" w:rsidRDefault="00EF0BC2" w:rsidP="00EF0BC2">
      <w:pPr>
        <w:pStyle w:val="13"/>
      </w:pPr>
      <w:r>
        <w:rPr>
          <w:rFonts w:hint="eastAsia"/>
        </w:rPr>
        <w:t>因法律法规规定、客观条件限制无法实施核查验证的事项，资产评估专业人员应当在工作底稿中予以说明，分析其对评估结论的影响程度，并在资产评估报告中予以披露。如果上述事项对评估结论产生重大影响或者无法判断其影响程度，资产评估机构不得出具资产评估报告。</w:t>
      </w:r>
    </w:p>
    <w:p w14:paraId="674651D9" w14:textId="14AA7569" w:rsidR="00EF0BC2" w:rsidRDefault="00E05BDA" w:rsidP="00EF0BC2">
      <w:pPr>
        <w:pStyle w:val="13"/>
        <w:ind w:firstLine="482"/>
      </w:pPr>
      <w:r w:rsidRPr="00E05BDA">
        <w:rPr>
          <w:rFonts w:hint="eastAsia"/>
          <w:b/>
          <w:bCs/>
        </w:rPr>
        <w:t xml:space="preserve">第十七条 </w:t>
      </w:r>
      <w:r w:rsidR="00EF0BC2">
        <w:t>资产评估专业人员应当根据资产评估业务具体情况对收集的评估资料进行分析、归纳和整理，形成评定估算和编制资产评估报告的依据。</w:t>
      </w:r>
    </w:p>
    <w:p w14:paraId="0FBED4E4" w14:textId="2CB105CB" w:rsidR="00EF0BC2" w:rsidRDefault="00E05BDA" w:rsidP="00EF0BC2">
      <w:pPr>
        <w:pStyle w:val="13"/>
        <w:ind w:firstLine="482"/>
      </w:pPr>
      <w:r w:rsidRPr="00E05BDA">
        <w:rPr>
          <w:rFonts w:hint="eastAsia"/>
          <w:b/>
          <w:bCs/>
        </w:rPr>
        <w:t xml:space="preserve">第十八条 </w:t>
      </w:r>
      <w:r w:rsidR="00EF0BC2">
        <w:t>资产评估专业人员应当根据评估目的、评估对象、价值类型、资料收集等情况，分析市场法、收益法和成本法三种资产评估基本方法的适用性，选择评估方法。</w:t>
      </w:r>
    </w:p>
    <w:p w14:paraId="26F9E740" w14:textId="261E2818" w:rsidR="00EF0BC2" w:rsidRDefault="00E05BDA" w:rsidP="00EF0BC2">
      <w:pPr>
        <w:pStyle w:val="13"/>
        <w:ind w:firstLine="482"/>
      </w:pPr>
      <w:r w:rsidRPr="00E05BDA">
        <w:rPr>
          <w:rFonts w:hint="eastAsia"/>
          <w:b/>
          <w:bCs/>
        </w:rPr>
        <w:t xml:space="preserve">第十九条 </w:t>
      </w:r>
      <w:r w:rsidR="00EF0BC2">
        <w:t>资产评估专业人员应当根据所采用的评估方法，选取相应的公式和参数进行分析、计算和判断，形成测算结果。</w:t>
      </w:r>
    </w:p>
    <w:p w14:paraId="5C295379" w14:textId="2C1DBB4E" w:rsidR="00EF0BC2" w:rsidRDefault="00E05BDA" w:rsidP="00EF0BC2">
      <w:pPr>
        <w:pStyle w:val="13"/>
        <w:ind w:firstLine="482"/>
      </w:pPr>
      <w:r w:rsidRPr="00E05BDA">
        <w:rPr>
          <w:rFonts w:hint="eastAsia"/>
          <w:b/>
          <w:bCs/>
        </w:rPr>
        <w:t xml:space="preserve">第二十条 </w:t>
      </w:r>
      <w:r w:rsidR="00EF0BC2">
        <w:t>资产评估专业人员执行资产评估业务，应当合理使用评估假设，并在资产评估报告中披露评估假设。</w:t>
      </w:r>
    </w:p>
    <w:p w14:paraId="3E44FF0B" w14:textId="7B42B549" w:rsidR="00EF0BC2" w:rsidRDefault="00E05BDA" w:rsidP="00EF0BC2">
      <w:pPr>
        <w:pStyle w:val="13"/>
        <w:ind w:firstLine="482"/>
      </w:pPr>
      <w:r w:rsidRPr="00E05BDA">
        <w:rPr>
          <w:rFonts w:hint="eastAsia"/>
          <w:b/>
          <w:bCs/>
        </w:rPr>
        <w:t xml:space="preserve">第二十一条 </w:t>
      </w:r>
      <w:r w:rsidR="00EF0BC2">
        <w:t>资产评估专业人员应当对形成的测算结果进行综合分析，形成合理评估结论。</w:t>
      </w:r>
    </w:p>
    <w:p w14:paraId="77F90C0E" w14:textId="77777777" w:rsidR="00EF0BC2" w:rsidRDefault="00EF0BC2" w:rsidP="00EF0BC2">
      <w:pPr>
        <w:pStyle w:val="13"/>
      </w:pPr>
      <w:r>
        <w:rPr>
          <w:rFonts w:hint="eastAsia"/>
        </w:rPr>
        <w:t>对同一评估对象采用多种评估方法时，应当对采用各种方法评估形成的测算结果进行分析比较，形成合理评估结论。</w:t>
      </w:r>
    </w:p>
    <w:p w14:paraId="285064BB" w14:textId="58AF81F9" w:rsidR="00EF0BC2" w:rsidRDefault="00E05BDA" w:rsidP="00EF0BC2">
      <w:pPr>
        <w:pStyle w:val="13"/>
        <w:ind w:firstLine="482"/>
      </w:pPr>
      <w:r w:rsidRPr="00E05BDA">
        <w:rPr>
          <w:rFonts w:hint="eastAsia"/>
          <w:b/>
          <w:bCs/>
        </w:rPr>
        <w:t xml:space="preserve">第二十二条 </w:t>
      </w:r>
      <w:r w:rsidR="00EF0BC2">
        <w:t>资产评估专业人员应当在评定、估算形成评估结论后，编制初步资产评估报告。</w:t>
      </w:r>
    </w:p>
    <w:p w14:paraId="2F352649" w14:textId="3F1A182E" w:rsidR="00EF0BC2" w:rsidRDefault="00E05BDA" w:rsidP="00EF0BC2">
      <w:pPr>
        <w:pStyle w:val="13"/>
        <w:ind w:firstLine="482"/>
      </w:pPr>
      <w:r w:rsidRPr="00E05BDA">
        <w:rPr>
          <w:rFonts w:hint="eastAsia"/>
          <w:b/>
          <w:bCs/>
        </w:rPr>
        <w:t xml:space="preserve">第二十三条 </w:t>
      </w:r>
      <w:r w:rsidR="00EF0BC2">
        <w:t>资产评估机构应当按照法律、行政法规、资产评估准则和资产评估机构内部质量控制制度，对初步资产评估报告进行内部审核。</w:t>
      </w:r>
    </w:p>
    <w:p w14:paraId="250A9BE2" w14:textId="39EB443E" w:rsidR="00EF0BC2" w:rsidRDefault="00E05BDA" w:rsidP="00EF0BC2">
      <w:pPr>
        <w:pStyle w:val="13"/>
        <w:ind w:firstLine="482"/>
      </w:pPr>
      <w:r w:rsidRPr="00E05BDA">
        <w:rPr>
          <w:rFonts w:hint="eastAsia"/>
          <w:b/>
          <w:bCs/>
        </w:rPr>
        <w:t xml:space="preserve">第二十四条 </w:t>
      </w:r>
      <w:r w:rsidR="00EF0BC2">
        <w:t>资产评估机构出具资产评估报告前，在不影响对评估结论进行独立判断的前提下，可以与委托人或者委托人同意的其他相关当事人就资产评估报告有关内容进行沟通，对沟通情况进行独立分析，并决定是否对资产评估报告进行调整。</w:t>
      </w:r>
    </w:p>
    <w:p w14:paraId="230AED04" w14:textId="4D2F26F0" w:rsidR="00EF0BC2" w:rsidRDefault="00E05BDA" w:rsidP="00EF0BC2">
      <w:pPr>
        <w:pStyle w:val="13"/>
        <w:ind w:firstLine="482"/>
      </w:pPr>
      <w:r w:rsidRPr="00E05BDA">
        <w:rPr>
          <w:rFonts w:hint="eastAsia"/>
          <w:b/>
          <w:bCs/>
        </w:rPr>
        <w:t xml:space="preserve">第二十五条 </w:t>
      </w:r>
      <w:r w:rsidR="00EF0BC2">
        <w:t>资产评估机构及其资产评估专业人员完成上述资产评估程序后，由资产评估机构出具并提交正式资产评估报告。</w:t>
      </w:r>
    </w:p>
    <w:p w14:paraId="753389F7" w14:textId="3D124C03" w:rsidR="00EF0BC2" w:rsidRDefault="00E05BDA" w:rsidP="00EF0BC2">
      <w:pPr>
        <w:pStyle w:val="13"/>
        <w:ind w:firstLine="482"/>
      </w:pPr>
      <w:r w:rsidRPr="00E05BDA">
        <w:rPr>
          <w:rFonts w:hint="eastAsia"/>
          <w:b/>
          <w:bCs/>
        </w:rPr>
        <w:t xml:space="preserve">第二十六条 </w:t>
      </w:r>
      <w:r w:rsidR="00EF0BC2">
        <w:t>资产评估机构应当对工作底稿、资产评估报告及其他相关资料进行整理，形成资产评估档案。</w:t>
      </w:r>
    </w:p>
    <w:p w14:paraId="5540CEED" w14:textId="77777777" w:rsidR="00EF0BC2" w:rsidRDefault="00EF0BC2" w:rsidP="00AF7342">
      <w:pPr>
        <w:pStyle w:val="a9"/>
        <w:spacing w:before="62" w:after="62"/>
      </w:pPr>
      <w:r>
        <w:rPr>
          <w:rFonts w:hint="eastAsia"/>
        </w:rPr>
        <w:t>第四章</w:t>
      </w:r>
      <w:r>
        <w:t xml:space="preserve"> 附则</w:t>
      </w:r>
    </w:p>
    <w:p w14:paraId="64885A61" w14:textId="7FFE7410" w:rsidR="00EF0BC2" w:rsidRDefault="00E05BDA" w:rsidP="005A514D">
      <w:pPr>
        <w:pStyle w:val="13"/>
        <w:ind w:firstLine="482"/>
      </w:pPr>
      <w:r w:rsidRPr="00E05BDA">
        <w:rPr>
          <w:rFonts w:hint="eastAsia"/>
          <w:b/>
          <w:bCs/>
        </w:rPr>
        <w:t xml:space="preserve">第二十七条 </w:t>
      </w:r>
      <w:r w:rsidR="00EF0BC2">
        <w:t>本准则自 2019</w:t>
      </w:r>
      <w:r w:rsidR="003068F8">
        <w:t>年</w:t>
      </w:r>
      <w:r w:rsidR="00EF0BC2">
        <w:t>1</w:t>
      </w:r>
      <w:r w:rsidR="003068F8">
        <w:t>月</w:t>
      </w:r>
      <w:r w:rsidR="00EF0BC2">
        <w:t>1</w:t>
      </w:r>
      <w:r w:rsidR="003068F8">
        <w:t>日</w:t>
      </w:r>
      <w:r w:rsidR="00EF0BC2">
        <w:t>起施行。中国资产评估协会于 2017</w:t>
      </w:r>
      <w:r w:rsidR="003068F8">
        <w:t>年</w:t>
      </w:r>
      <w:r w:rsidR="00EF0BC2">
        <w:lastRenderedPageBreak/>
        <w:t>9</w:t>
      </w:r>
      <w:r w:rsidR="003068F8">
        <w:t>月</w:t>
      </w:r>
      <w:r w:rsidR="00EF0BC2">
        <w:t>8</w:t>
      </w:r>
      <w:r w:rsidR="003068F8">
        <w:t>日</w:t>
      </w:r>
      <w:r w:rsidR="00EF0BC2">
        <w:t>发布的《关于印发&lt;资产评估执业准则—资产评估程序&gt;的通知》（</w:t>
      </w:r>
      <w:proofErr w:type="gramStart"/>
      <w:r w:rsidR="00EF0BC2">
        <w:t>中评协</w:t>
      </w:r>
      <w:proofErr w:type="gramEnd"/>
      <w:r w:rsidR="00EF0BC2">
        <w:t>〔2017〕31号）中的《资产评估执业准则—资产评估程序》同时废止。</w:t>
      </w:r>
    </w:p>
    <w:p w14:paraId="54C00CF0" w14:textId="77777777" w:rsidR="00B8049A" w:rsidRDefault="00B8049A" w:rsidP="00B975FD">
      <w:pPr>
        <w:pStyle w:val="31"/>
        <w:spacing w:before="156" w:after="62"/>
      </w:pPr>
      <w:bookmarkStart w:id="21" w:name="_Toc81833301"/>
      <w:r>
        <w:rPr>
          <w:rFonts w:hint="eastAsia"/>
        </w:rPr>
        <w:t>资产评估执业准则—资产评估档案（</w:t>
      </w:r>
      <w:proofErr w:type="gramStart"/>
      <w:r>
        <w:rPr>
          <w:rFonts w:hint="eastAsia"/>
        </w:rPr>
        <w:t>中评协</w:t>
      </w:r>
      <w:proofErr w:type="gramEnd"/>
      <w:r>
        <w:rPr>
          <w:rFonts w:hint="eastAsia"/>
        </w:rPr>
        <w:t>〔</w:t>
      </w:r>
      <w:r>
        <w:t>2018〕37号）</w:t>
      </w:r>
      <w:bookmarkEnd w:id="21"/>
    </w:p>
    <w:p w14:paraId="66BD2F46" w14:textId="77777777" w:rsidR="00B8049A" w:rsidRDefault="00B8049A" w:rsidP="00B975FD">
      <w:pPr>
        <w:pStyle w:val="13"/>
        <w:ind w:firstLineChars="0" w:firstLine="0"/>
      </w:pPr>
      <w:r>
        <w:rPr>
          <w:rFonts w:hint="eastAsia"/>
        </w:rPr>
        <w:t>各省、自治区、直辖市、计划单列市资产评估协会（注册会计师协会）：</w:t>
      </w:r>
    </w:p>
    <w:p w14:paraId="02CB7357" w14:textId="4589D866" w:rsidR="00B8049A" w:rsidRDefault="00B8049A" w:rsidP="00B8049A">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资产评估执业准则—资产评估档案》进行了修订，现予印发，自</w:t>
      </w:r>
      <w:r>
        <w:t>2019</w:t>
      </w:r>
      <w:r w:rsidR="003068F8">
        <w:t>年</w:t>
      </w:r>
      <w:r>
        <w:t>1</w:t>
      </w:r>
      <w:r w:rsidR="003068F8">
        <w:t>月</w:t>
      </w:r>
      <w:r>
        <w:t>1</w:t>
      </w:r>
      <w:r w:rsidR="003068F8">
        <w:t>日</w:t>
      </w:r>
      <w:r>
        <w:t>起施行。</w:t>
      </w:r>
    </w:p>
    <w:p w14:paraId="52147B17" w14:textId="24B43396" w:rsidR="00B8049A" w:rsidRDefault="00B8049A" w:rsidP="00B8049A">
      <w:pPr>
        <w:pStyle w:val="13"/>
      </w:pPr>
      <w:r>
        <w:rPr>
          <w:rFonts w:hint="eastAsia"/>
        </w:rPr>
        <w:t>请各地</w:t>
      </w:r>
      <w:proofErr w:type="gramStart"/>
      <w:r>
        <w:rPr>
          <w:rFonts w:hint="eastAsia"/>
        </w:rPr>
        <w:t>方协会</w:t>
      </w:r>
      <w:proofErr w:type="gramEnd"/>
      <w:r>
        <w:rPr>
          <w:rFonts w:hint="eastAsia"/>
        </w:rPr>
        <w:t>将《资产评估执业准则—资产评估档案》及时转发资产评估机构</w:t>
      </w:r>
      <w:r w:rsidR="00CC4D74">
        <w:rPr>
          <w:rFonts w:hint="eastAsia"/>
        </w:rPr>
        <w:t>，</w:t>
      </w:r>
      <w:r>
        <w:t>组织资产评估机构和资产评估专业人员进行学习和培训，并将执行过程中发现的问题及时上报中国资产评估协会。</w:t>
      </w:r>
    </w:p>
    <w:p w14:paraId="76C2FAD2" w14:textId="77777777" w:rsidR="00B8049A" w:rsidRDefault="00B8049A" w:rsidP="00B8049A">
      <w:pPr>
        <w:pStyle w:val="13"/>
      </w:pPr>
      <w:r>
        <w:rPr>
          <w:rFonts w:hint="eastAsia"/>
        </w:rPr>
        <w:t>附件：《资产评估执业准则—资产评估档案》</w:t>
      </w:r>
    </w:p>
    <w:p w14:paraId="311D367D" w14:textId="77777777" w:rsidR="00B8049A" w:rsidRDefault="00B8049A" w:rsidP="00B975FD">
      <w:pPr>
        <w:pStyle w:val="13"/>
        <w:jc w:val="right"/>
      </w:pPr>
      <w:r>
        <w:rPr>
          <w:rFonts w:hint="eastAsia"/>
        </w:rPr>
        <w:t>中国资产评估协会</w:t>
      </w:r>
    </w:p>
    <w:p w14:paraId="48C017FA" w14:textId="25E4235A" w:rsidR="00B8049A" w:rsidRDefault="00B8049A" w:rsidP="00B975FD">
      <w:pPr>
        <w:pStyle w:val="13"/>
        <w:jc w:val="right"/>
      </w:pPr>
      <w:r>
        <w:t>2017</w:t>
      </w:r>
      <w:r w:rsidR="003068F8">
        <w:t>年</w:t>
      </w:r>
      <w:r>
        <w:t>10</w:t>
      </w:r>
      <w:r w:rsidR="003068F8">
        <w:t>月</w:t>
      </w:r>
      <w:r>
        <w:t>29</w:t>
      </w:r>
      <w:r w:rsidR="003068F8">
        <w:t>日</w:t>
      </w:r>
    </w:p>
    <w:p w14:paraId="7736320A" w14:textId="77777777" w:rsidR="00B8049A" w:rsidRDefault="00B8049A" w:rsidP="00AF7342">
      <w:pPr>
        <w:pStyle w:val="a9"/>
        <w:spacing w:before="62" w:after="62"/>
      </w:pPr>
      <w:r>
        <w:rPr>
          <w:rFonts w:hint="eastAsia"/>
        </w:rPr>
        <w:t>资产评估执业准则—资产评估档案</w:t>
      </w:r>
    </w:p>
    <w:p w14:paraId="752AABA1" w14:textId="77777777" w:rsidR="00B8049A" w:rsidRDefault="00B8049A" w:rsidP="00AF7342">
      <w:pPr>
        <w:pStyle w:val="a9"/>
        <w:spacing w:before="62" w:after="62"/>
      </w:pPr>
      <w:r>
        <w:rPr>
          <w:rFonts w:hint="eastAsia"/>
        </w:rPr>
        <w:t>第一章</w:t>
      </w:r>
      <w:r>
        <w:t xml:space="preserve"> 总则</w:t>
      </w:r>
    </w:p>
    <w:p w14:paraId="01074564" w14:textId="7D810F49" w:rsidR="00B8049A" w:rsidRDefault="004E3EBB" w:rsidP="00B8049A">
      <w:pPr>
        <w:pStyle w:val="13"/>
        <w:ind w:firstLine="482"/>
      </w:pPr>
      <w:r w:rsidRPr="004E3EBB">
        <w:rPr>
          <w:rFonts w:hint="eastAsia"/>
          <w:b/>
          <w:bCs/>
        </w:rPr>
        <w:t xml:space="preserve">第一条 </w:t>
      </w:r>
      <w:r w:rsidR="00B8049A">
        <w:t>为规范资产评估档案的形成及管理行为，保护资产评估当事人合法权益和公共利益，根据《资产评估基本准则》制定本准则。</w:t>
      </w:r>
    </w:p>
    <w:p w14:paraId="0EFDB139" w14:textId="79AEB7E8" w:rsidR="00B8049A" w:rsidRDefault="004E3EBB" w:rsidP="00B8049A">
      <w:pPr>
        <w:pStyle w:val="13"/>
        <w:ind w:firstLine="482"/>
      </w:pPr>
      <w:r w:rsidRPr="004E3EBB">
        <w:rPr>
          <w:rFonts w:hint="eastAsia"/>
          <w:b/>
          <w:bCs/>
        </w:rPr>
        <w:t xml:space="preserve">第二条 </w:t>
      </w:r>
      <w:r w:rsidR="00B8049A">
        <w:t>本准则所称资产评估档案，是指资产评估机构开展资产评估业务形成的</w:t>
      </w:r>
      <w:r w:rsidR="00CC4D74">
        <w:t>，</w:t>
      </w:r>
      <w:r w:rsidR="00B8049A">
        <w:t>反映资产评估程序实施情况、支持评估 结论的工作底稿、资产评估报告及其他相关资料。</w:t>
      </w:r>
    </w:p>
    <w:p w14:paraId="38E506DC" w14:textId="3AA84BE8" w:rsidR="00B8049A" w:rsidRDefault="00B8049A" w:rsidP="00B975FD">
      <w:pPr>
        <w:pStyle w:val="13"/>
      </w:pPr>
      <w:r>
        <w:rPr>
          <w:rFonts w:hint="eastAsia"/>
        </w:rPr>
        <w:t>纳入资产评估档案的资产评估报告应当包括初步资产评估</w:t>
      </w:r>
      <w:r>
        <w:t xml:space="preserve"> 报告和正式资产评估报</w:t>
      </w:r>
      <w:r>
        <w:rPr>
          <w:rFonts w:hint="eastAsia"/>
        </w:rPr>
        <w:t>告。</w:t>
      </w:r>
    </w:p>
    <w:p w14:paraId="454501A2" w14:textId="451108FB" w:rsidR="00B8049A" w:rsidRDefault="004E3EBB" w:rsidP="00B8049A">
      <w:pPr>
        <w:pStyle w:val="13"/>
        <w:ind w:firstLine="482"/>
      </w:pPr>
      <w:r w:rsidRPr="004E3EBB">
        <w:rPr>
          <w:rFonts w:hint="eastAsia"/>
          <w:b/>
          <w:bCs/>
        </w:rPr>
        <w:t xml:space="preserve">第三条 </w:t>
      </w:r>
      <w:r w:rsidR="00B8049A">
        <w:t>资产评估机构应当按照法律、行政法规和本准则的规定建立健全资产评估档案管理制度并妥善管理资产评估档案。</w:t>
      </w:r>
    </w:p>
    <w:p w14:paraId="035C8A48" w14:textId="09D870FF" w:rsidR="00B8049A" w:rsidRDefault="004E3EBB" w:rsidP="00B8049A">
      <w:pPr>
        <w:pStyle w:val="13"/>
        <w:ind w:firstLine="482"/>
      </w:pPr>
      <w:r w:rsidRPr="004E3EBB">
        <w:rPr>
          <w:rFonts w:hint="eastAsia"/>
          <w:b/>
          <w:bCs/>
        </w:rPr>
        <w:t xml:space="preserve">第四条 </w:t>
      </w:r>
      <w:r w:rsidR="00B8049A">
        <w:t>执行资产评估业务，应当遵守本准则。</w:t>
      </w:r>
    </w:p>
    <w:p w14:paraId="15967932" w14:textId="77777777" w:rsidR="00B8049A" w:rsidRDefault="00B8049A" w:rsidP="00AF7342">
      <w:pPr>
        <w:pStyle w:val="a9"/>
        <w:spacing w:before="62" w:after="62"/>
      </w:pPr>
      <w:r>
        <w:rPr>
          <w:rFonts w:hint="eastAsia"/>
        </w:rPr>
        <w:t>第二章</w:t>
      </w:r>
      <w:r>
        <w:t xml:space="preserve"> 工作底稿的编制</w:t>
      </w:r>
    </w:p>
    <w:p w14:paraId="1F199702" w14:textId="6606015D" w:rsidR="00B8049A" w:rsidRDefault="004E3EBB" w:rsidP="00B975FD">
      <w:pPr>
        <w:pStyle w:val="13"/>
        <w:ind w:firstLine="482"/>
      </w:pPr>
      <w:r w:rsidRPr="004E3EBB">
        <w:rPr>
          <w:rFonts w:hint="eastAsia"/>
          <w:b/>
          <w:bCs/>
        </w:rPr>
        <w:t xml:space="preserve">第五条 </w:t>
      </w:r>
      <w:r w:rsidR="00B8049A">
        <w:t>执行资产评估业务，应当遵守法律、行政法规和资产评估准则，编制工作底</w:t>
      </w:r>
      <w:r w:rsidR="00B8049A">
        <w:rPr>
          <w:rFonts w:hint="eastAsia"/>
        </w:rPr>
        <w:t>稿。</w:t>
      </w:r>
    </w:p>
    <w:p w14:paraId="5981FBF8" w14:textId="0E7E3BF1" w:rsidR="00B8049A" w:rsidRDefault="004E3EBB" w:rsidP="00B8049A">
      <w:pPr>
        <w:pStyle w:val="13"/>
        <w:ind w:firstLine="482"/>
      </w:pPr>
      <w:r w:rsidRPr="004E3EBB">
        <w:rPr>
          <w:rFonts w:hint="eastAsia"/>
          <w:b/>
          <w:bCs/>
        </w:rPr>
        <w:t xml:space="preserve">第六条 </w:t>
      </w:r>
      <w:r w:rsidR="00B8049A">
        <w:t>工作底稿应当反映资产评估程序实施情况，支持评估结论。</w:t>
      </w:r>
    </w:p>
    <w:p w14:paraId="6AAC4477" w14:textId="132B77C4" w:rsidR="00B8049A" w:rsidRDefault="004E3EBB" w:rsidP="00B8049A">
      <w:pPr>
        <w:pStyle w:val="13"/>
        <w:ind w:firstLine="482"/>
      </w:pPr>
      <w:r w:rsidRPr="004E3EBB">
        <w:rPr>
          <w:rFonts w:hint="eastAsia"/>
          <w:b/>
          <w:bCs/>
        </w:rPr>
        <w:t xml:space="preserve">第七条 </w:t>
      </w:r>
      <w:r w:rsidR="00B8049A">
        <w:t>工作底稿应当真实完整、重点突出、记录清晰。资产评估机构及其资产评估专业人员可以根据资产评估业务具体情况，合理确定工作底稿的繁简程度。</w:t>
      </w:r>
    </w:p>
    <w:p w14:paraId="6DCB6E3B" w14:textId="2CA132F8" w:rsidR="00B8049A" w:rsidRDefault="004E3EBB" w:rsidP="00B8049A">
      <w:pPr>
        <w:pStyle w:val="13"/>
        <w:ind w:firstLine="482"/>
      </w:pPr>
      <w:r w:rsidRPr="004E3EBB">
        <w:rPr>
          <w:rFonts w:hint="eastAsia"/>
          <w:b/>
          <w:bCs/>
        </w:rPr>
        <w:t xml:space="preserve">第八条 </w:t>
      </w:r>
      <w:r w:rsidR="00B8049A">
        <w:t>工作底稿可以是纸质文档、电子文档或者其他介质形式的文档，资产评</w:t>
      </w:r>
      <w:r w:rsidR="00B8049A">
        <w:lastRenderedPageBreak/>
        <w:t>估机构及其资产评估专业人员应当根据资 产评估业务具体情况和工作底稿介质的理化特性谨慎选择工作 底稿的介质形式。</w:t>
      </w:r>
    </w:p>
    <w:p w14:paraId="3050C7F1" w14:textId="1A0EFC51" w:rsidR="00B8049A" w:rsidRDefault="00E05BDA" w:rsidP="00B8049A">
      <w:pPr>
        <w:pStyle w:val="13"/>
        <w:ind w:firstLine="482"/>
      </w:pPr>
      <w:r w:rsidRPr="00E05BDA">
        <w:rPr>
          <w:rFonts w:hint="eastAsia"/>
          <w:b/>
          <w:bCs/>
        </w:rPr>
        <w:t xml:space="preserve">第九条 </w:t>
      </w:r>
      <w:r w:rsidR="00B8049A">
        <w:t>工作底稿通常分为管理类工作底稿和操作类工作底稿。</w:t>
      </w:r>
    </w:p>
    <w:p w14:paraId="261341CB" w14:textId="6FFA0C33" w:rsidR="00B8049A" w:rsidRDefault="00B8049A" w:rsidP="00B8049A">
      <w:pPr>
        <w:pStyle w:val="13"/>
      </w:pPr>
      <w:r>
        <w:rPr>
          <w:rFonts w:hint="eastAsia"/>
        </w:rPr>
        <w:t>管理类工作底稿是指在执行资产评估业务过程中，为受理</w:t>
      </w:r>
      <w:r w:rsidR="00B25A16">
        <w:rPr>
          <w:rFonts w:hint="eastAsia"/>
        </w:rPr>
        <w:t>、</w:t>
      </w:r>
      <w:r>
        <w:t>计划、控制和管理资产评估业务所形成的工作记录及相关资料。</w:t>
      </w:r>
    </w:p>
    <w:p w14:paraId="4BCFC909" w14:textId="77777777" w:rsidR="00B8049A" w:rsidRDefault="00B8049A" w:rsidP="00B8049A">
      <w:pPr>
        <w:pStyle w:val="13"/>
      </w:pPr>
      <w:r>
        <w:rPr>
          <w:rFonts w:hint="eastAsia"/>
        </w:rPr>
        <w:t>操作类工作底稿是指在履行现场调查、收集评估资料和评</w:t>
      </w:r>
      <w:r>
        <w:t xml:space="preserve"> 定估算程序时所形成的工作记录及相关资料。</w:t>
      </w:r>
    </w:p>
    <w:p w14:paraId="7D603243" w14:textId="105C8F8D" w:rsidR="00B8049A" w:rsidRDefault="00E05BDA" w:rsidP="00B8049A">
      <w:pPr>
        <w:pStyle w:val="13"/>
        <w:ind w:firstLine="482"/>
      </w:pPr>
      <w:r w:rsidRPr="00E05BDA">
        <w:rPr>
          <w:rFonts w:hint="eastAsia"/>
          <w:b/>
          <w:bCs/>
        </w:rPr>
        <w:t xml:space="preserve">第十条 </w:t>
      </w:r>
      <w:r w:rsidR="00B8049A">
        <w:t>管理类工作底稿通常包括以下内容：</w:t>
      </w:r>
    </w:p>
    <w:p w14:paraId="6E7525EE" w14:textId="77777777" w:rsidR="00B8049A" w:rsidRDefault="00B8049A" w:rsidP="00B8049A">
      <w:pPr>
        <w:pStyle w:val="13"/>
      </w:pPr>
      <w:r>
        <w:rPr>
          <w:rFonts w:hint="eastAsia"/>
        </w:rPr>
        <w:t>（一）资产评估业务基本事项的记录；</w:t>
      </w:r>
    </w:p>
    <w:p w14:paraId="1F3D0364" w14:textId="77777777" w:rsidR="00B8049A" w:rsidRDefault="00B8049A" w:rsidP="00B8049A">
      <w:pPr>
        <w:pStyle w:val="13"/>
      </w:pPr>
      <w:r>
        <w:rPr>
          <w:rFonts w:hint="eastAsia"/>
        </w:rPr>
        <w:t>（二）资产评估委托合同；</w:t>
      </w:r>
    </w:p>
    <w:p w14:paraId="02B7C469" w14:textId="77777777" w:rsidR="00B8049A" w:rsidRDefault="00B8049A" w:rsidP="00B8049A">
      <w:pPr>
        <w:pStyle w:val="13"/>
      </w:pPr>
      <w:r>
        <w:rPr>
          <w:rFonts w:hint="eastAsia"/>
        </w:rPr>
        <w:t>（三）资产评估计划；</w:t>
      </w:r>
    </w:p>
    <w:p w14:paraId="5EF6A2A5" w14:textId="77777777" w:rsidR="00B8049A" w:rsidRDefault="00B8049A" w:rsidP="00B8049A">
      <w:pPr>
        <w:pStyle w:val="13"/>
      </w:pPr>
      <w:r>
        <w:rPr>
          <w:rFonts w:hint="eastAsia"/>
        </w:rPr>
        <w:t>（四）资产评估业务执行过程中重大问题处理记录；</w:t>
      </w:r>
    </w:p>
    <w:p w14:paraId="36CA7E1E" w14:textId="77777777" w:rsidR="00B8049A" w:rsidRDefault="00B8049A" w:rsidP="00B8049A">
      <w:pPr>
        <w:pStyle w:val="13"/>
      </w:pPr>
      <w:r>
        <w:rPr>
          <w:rFonts w:hint="eastAsia"/>
        </w:rPr>
        <w:t>（五）资产评估报告的审核意见。</w:t>
      </w:r>
    </w:p>
    <w:p w14:paraId="11551E24" w14:textId="7211D898" w:rsidR="00B8049A" w:rsidRDefault="00E05BDA" w:rsidP="00B8049A">
      <w:pPr>
        <w:pStyle w:val="13"/>
        <w:ind w:firstLine="482"/>
      </w:pPr>
      <w:r w:rsidRPr="00E05BDA">
        <w:rPr>
          <w:rFonts w:hint="eastAsia"/>
          <w:b/>
          <w:bCs/>
        </w:rPr>
        <w:t xml:space="preserve">第十一条 </w:t>
      </w:r>
      <w:r w:rsidR="00B8049A">
        <w:t>操作类工作底稿的内容因评估目的、评估对象和评估方法等不同而有所差异，通常包括以下内容：</w:t>
      </w:r>
    </w:p>
    <w:p w14:paraId="09720B5F" w14:textId="77777777" w:rsidR="00B8049A" w:rsidRDefault="00B8049A" w:rsidP="00B8049A">
      <w:pPr>
        <w:pStyle w:val="13"/>
      </w:pPr>
      <w:r>
        <w:rPr>
          <w:rFonts w:hint="eastAsia"/>
        </w:rPr>
        <w:t>（一）现场调查记录与相关资料，通常包括：</w:t>
      </w:r>
    </w:p>
    <w:p w14:paraId="772AE924" w14:textId="77777777" w:rsidR="00B8049A" w:rsidRDefault="00B8049A" w:rsidP="00B8049A">
      <w:pPr>
        <w:pStyle w:val="13"/>
      </w:pPr>
      <w:r>
        <w:t>1、委托人或者其他相关当事人提供的资料，如：资产评估明细表，评估对象的权属证明资料，与评估业务相关的历史、预测、财务、审计等资料，以及相关说明、证明和承诺等；</w:t>
      </w:r>
    </w:p>
    <w:p w14:paraId="443EFBAB" w14:textId="77777777" w:rsidR="00B8049A" w:rsidRDefault="00B8049A" w:rsidP="00B8049A">
      <w:pPr>
        <w:pStyle w:val="13"/>
      </w:pPr>
      <w:r>
        <w:t>2、现场勘查记录、书面询问记录、</w:t>
      </w:r>
      <w:proofErr w:type="gramStart"/>
      <w:r>
        <w:t>函证记录</w:t>
      </w:r>
      <w:proofErr w:type="gramEnd"/>
      <w:r>
        <w:t>等；</w:t>
      </w:r>
    </w:p>
    <w:p w14:paraId="3F49B70C" w14:textId="77777777" w:rsidR="00B8049A" w:rsidRDefault="00B8049A" w:rsidP="00B8049A">
      <w:pPr>
        <w:pStyle w:val="13"/>
      </w:pPr>
      <w:r>
        <w:t>3、其他相关资料。</w:t>
      </w:r>
    </w:p>
    <w:p w14:paraId="765062E7" w14:textId="77777777" w:rsidR="00B8049A" w:rsidRDefault="00B8049A" w:rsidP="00B8049A">
      <w:pPr>
        <w:pStyle w:val="13"/>
      </w:pPr>
      <w:r>
        <w:rPr>
          <w:rFonts w:hint="eastAsia"/>
        </w:rPr>
        <w:t>（二）收集的评估资料，通常包括：市场调查及数据分析</w:t>
      </w:r>
      <w:r>
        <w:t xml:space="preserve"> 资料，询价记录，其他专家鉴定及专业人士报告，其他相关资料。</w:t>
      </w:r>
    </w:p>
    <w:p w14:paraId="04EF2B29" w14:textId="77777777" w:rsidR="00B8049A" w:rsidRDefault="00B8049A" w:rsidP="00B8049A">
      <w:pPr>
        <w:pStyle w:val="13"/>
      </w:pPr>
      <w:r>
        <w:rPr>
          <w:rFonts w:hint="eastAsia"/>
        </w:rPr>
        <w:t>（三）评定估算过程记录，通常包括：重要参数的选取和</w:t>
      </w:r>
      <w:r>
        <w:t xml:space="preserve"> 形成过程记录，价值分析、计算、判断过程记录，评估结论形成过程记录，与委托人或者其他相关当事人的沟通记录，其他相关资料。</w:t>
      </w:r>
    </w:p>
    <w:p w14:paraId="66578574" w14:textId="5335B080" w:rsidR="00B8049A" w:rsidRDefault="00E05BDA" w:rsidP="00B8049A">
      <w:pPr>
        <w:pStyle w:val="13"/>
        <w:ind w:firstLine="482"/>
      </w:pPr>
      <w:r w:rsidRPr="00E05BDA">
        <w:rPr>
          <w:rFonts w:hint="eastAsia"/>
          <w:b/>
          <w:bCs/>
        </w:rPr>
        <w:t xml:space="preserve">第十二条 </w:t>
      </w:r>
      <w:r w:rsidR="00B8049A">
        <w:t>资产评估专业人员收集委托人或者其他相关当事人提供的资产评估明细表及其他重要资料作为工作底稿，应当由提供方对相关资料进行确认，确认方式包括签字、盖章或者法律允许的其他方式。</w:t>
      </w:r>
    </w:p>
    <w:p w14:paraId="007826EF" w14:textId="77777777" w:rsidR="00B975FD" w:rsidRDefault="00B8049A" w:rsidP="00B8049A">
      <w:pPr>
        <w:pStyle w:val="13"/>
      </w:pPr>
      <w:r>
        <w:rPr>
          <w:rFonts w:hint="eastAsia"/>
        </w:rPr>
        <w:t>资产评估项目所涉及的经济行为需要批准的，应当将批准</w:t>
      </w:r>
      <w:r>
        <w:t xml:space="preserve"> 文件归档。</w:t>
      </w:r>
    </w:p>
    <w:p w14:paraId="46A7B0DF" w14:textId="09D015E7" w:rsidR="00B8049A" w:rsidRDefault="00E05BDA" w:rsidP="00B8049A">
      <w:pPr>
        <w:pStyle w:val="13"/>
        <w:ind w:firstLine="482"/>
      </w:pPr>
      <w:r w:rsidRPr="00E05BDA">
        <w:rPr>
          <w:b/>
          <w:bCs/>
        </w:rPr>
        <w:t xml:space="preserve">第十三条 </w:t>
      </w:r>
      <w:r w:rsidR="00B8049A">
        <w:t>工作底稿中应当反映内部审核过程。</w:t>
      </w:r>
    </w:p>
    <w:p w14:paraId="2A392CE9" w14:textId="589BC4CA" w:rsidR="00B8049A" w:rsidRDefault="00E05BDA" w:rsidP="00B8049A">
      <w:pPr>
        <w:pStyle w:val="13"/>
        <w:ind w:firstLine="482"/>
      </w:pPr>
      <w:r w:rsidRPr="00E05BDA">
        <w:rPr>
          <w:rFonts w:hint="eastAsia"/>
          <w:b/>
          <w:bCs/>
        </w:rPr>
        <w:t xml:space="preserve">第十四条 </w:t>
      </w:r>
      <w:r w:rsidR="00B8049A">
        <w:t>资产评估专业人员应当根据资产评估业务特点和工作底稿类别，编制工作底稿目录，建立必要的索引号，以反映工作底稿间的勾</w:t>
      </w:r>
      <w:proofErr w:type="gramStart"/>
      <w:r w:rsidR="00B8049A">
        <w:t>稽</w:t>
      </w:r>
      <w:proofErr w:type="gramEnd"/>
      <w:r w:rsidR="00B8049A">
        <w:t>关系。</w:t>
      </w:r>
    </w:p>
    <w:p w14:paraId="6E7CAE93" w14:textId="77777777" w:rsidR="00B8049A" w:rsidRDefault="00B8049A" w:rsidP="00AF7342">
      <w:pPr>
        <w:pStyle w:val="a9"/>
        <w:spacing w:before="62" w:after="62"/>
      </w:pPr>
      <w:r>
        <w:rPr>
          <w:rFonts w:hint="eastAsia"/>
        </w:rPr>
        <w:lastRenderedPageBreak/>
        <w:t>第三章</w:t>
      </w:r>
      <w:r>
        <w:t xml:space="preserve"> 资产评估档案的归集和管理</w:t>
      </w:r>
    </w:p>
    <w:p w14:paraId="404225A1" w14:textId="51E7417D" w:rsidR="00B8049A" w:rsidRDefault="00E05BDA" w:rsidP="00B8049A">
      <w:pPr>
        <w:pStyle w:val="13"/>
        <w:ind w:firstLine="482"/>
      </w:pPr>
      <w:r w:rsidRPr="00E05BDA">
        <w:rPr>
          <w:rFonts w:hint="eastAsia"/>
          <w:b/>
          <w:bCs/>
        </w:rPr>
        <w:t xml:space="preserve">第十五条 </w:t>
      </w:r>
      <w:r w:rsidR="00B8049A">
        <w:t>资产评估专业人员通常应当在资产评估报告日后 90</w:t>
      </w:r>
      <w:r w:rsidR="003068F8">
        <w:t>日</w:t>
      </w:r>
      <w:r w:rsidR="00B8049A">
        <w:t>内将工作底稿、资 产评估报告及其他相关资料归集形成资产评估档案，并在归档目录中注明文档介质形式。重大或者 特殊项目的归档时限为评估结论使用有效期届满后 30</w:t>
      </w:r>
      <w:r w:rsidR="003068F8">
        <w:t>日</w:t>
      </w:r>
      <w:r w:rsidR="00B8049A">
        <w:t>内。</w:t>
      </w:r>
    </w:p>
    <w:p w14:paraId="44AA5E71" w14:textId="1C604F22" w:rsidR="00B8049A" w:rsidRDefault="00E05BDA" w:rsidP="00B8049A">
      <w:pPr>
        <w:pStyle w:val="13"/>
        <w:ind w:firstLine="482"/>
      </w:pPr>
      <w:r w:rsidRPr="00E05BDA">
        <w:rPr>
          <w:rFonts w:hint="eastAsia"/>
          <w:b/>
          <w:bCs/>
        </w:rPr>
        <w:t xml:space="preserve">第十六条 </w:t>
      </w:r>
      <w:r w:rsidR="00B8049A">
        <w:t>资产评估委托合同、资产评估报告应当形成纸质文档。评估明细表、评估说明可以是纸质文档、电子文档或者 其他介质形式的文档。</w:t>
      </w:r>
    </w:p>
    <w:p w14:paraId="56F5DD6E" w14:textId="77777777" w:rsidR="00B8049A" w:rsidRDefault="00B8049A" w:rsidP="00B8049A">
      <w:pPr>
        <w:pStyle w:val="13"/>
      </w:pPr>
      <w:r>
        <w:rPr>
          <w:rFonts w:hint="eastAsia"/>
        </w:rPr>
        <w:t>同时以纸质和其他介质形式保存的文档，其内容应当相互匹配，不一致的以纸质文档为准。</w:t>
      </w:r>
    </w:p>
    <w:p w14:paraId="313CB0A2" w14:textId="03DD1D26" w:rsidR="00B8049A" w:rsidRDefault="00E05BDA" w:rsidP="00B8049A">
      <w:pPr>
        <w:pStyle w:val="13"/>
        <w:ind w:firstLine="482"/>
      </w:pPr>
      <w:r w:rsidRPr="00E05BDA">
        <w:rPr>
          <w:rFonts w:hint="eastAsia"/>
          <w:b/>
          <w:bCs/>
        </w:rPr>
        <w:t xml:space="preserve">第十七条 </w:t>
      </w:r>
      <w:r w:rsidR="00B8049A">
        <w:t>资产评估机构应当在法定保存期内妥善保存资产评估档案，保证资产评估档案安全和持续使用。资产评估档 案</w:t>
      </w:r>
      <w:proofErr w:type="gramStart"/>
      <w:r w:rsidR="00B8049A">
        <w:t>自资产</w:t>
      </w:r>
      <w:proofErr w:type="gramEnd"/>
      <w:r w:rsidR="00B8049A">
        <w:t>评估报告日起保存期限不少于十五年</w:t>
      </w:r>
      <w:r w:rsidR="003068F8">
        <w:t>；</w:t>
      </w:r>
      <w:r w:rsidR="00B8049A">
        <w:t>属于法定资产评估业务的，不少于三十年。资产评估档案应当由资产评估机构集中统一管理，不得由原制作人单独分散保存。</w:t>
      </w:r>
    </w:p>
    <w:p w14:paraId="7D2DD898" w14:textId="7D073186" w:rsidR="00B975FD" w:rsidRDefault="00E05BDA" w:rsidP="00B975FD">
      <w:pPr>
        <w:pStyle w:val="13"/>
        <w:ind w:firstLine="482"/>
      </w:pPr>
      <w:r w:rsidRPr="00E05BDA">
        <w:rPr>
          <w:rFonts w:hint="eastAsia"/>
          <w:b/>
          <w:bCs/>
        </w:rPr>
        <w:t xml:space="preserve">第十八条 </w:t>
      </w:r>
      <w:r w:rsidR="00B8049A">
        <w:t>资产评估机构不得对在法定保存期内的资产评估档案非法删改或者销毁。</w:t>
      </w:r>
    </w:p>
    <w:p w14:paraId="411406CF" w14:textId="49F03748" w:rsidR="00B8049A" w:rsidRDefault="00E05BDA" w:rsidP="00B975FD">
      <w:pPr>
        <w:pStyle w:val="13"/>
        <w:ind w:firstLine="482"/>
      </w:pPr>
      <w:r w:rsidRPr="00E05BDA">
        <w:rPr>
          <w:b/>
          <w:bCs/>
        </w:rPr>
        <w:t xml:space="preserve">第十九条 </w:t>
      </w:r>
      <w:r w:rsidR="00B8049A">
        <w:t>资产评估档案的管理应当严格执行保密制度。除下列情形外，资产评估</w:t>
      </w:r>
      <w:r w:rsidR="00B8049A">
        <w:rPr>
          <w:rFonts w:hint="eastAsia"/>
        </w:rPr>
        <w:t>档案不得对外提供：</w:t>
      </w:r>
    </w:p>
    <w:p w14:paraId="38560DDD" w14:textId="77777777" w:rsidR="00B8049A" w:rsidRDefault="00B8049A" w:rsidP="00B8049A">
      <w:pPr>
        <w:pStyle w:val="13"/>
      </w:pPr>
      <w:r>
        <w:rPr>
          <w:rFonts w:hint="eastAsia"/>
        </w:rPr>
        <w:t>（一）国家机关依法调阅的；</w:t>
      </w:r>
    </w:p>
    <w:p w14:paraId="163961DB" w14:textId="77777777" w:rsidR="00B8049A" w:rsidRDefault="00B8049A" w:rsidP="00B8049A">
      <w:pPr>
        <w:pStyle w:val="13"/>
      </w:pPr>
      <w:r>
        <w:rPr>
          <w:rFonts w:hint="eastAsia"/>
        </w:rPr>
        <w:t>（二）资产评估协会依法依规调阅的；</w:t>
      </w:r>
    </w:p>
    <w:p w14:paraId="326BC615" w14:textId="77777777" w:rsidR="00B8049A" w:rsidRDefault="00B8049A" w:rsidP="00B8049A">
      <w:pPr>
        <w:pStyle w:val="13"/>
      </w:pPr>
      <w:r>
        <w:rPr>
          <w:rFonts w:hint="eastAsia"/>
        </w:rPr>
        <w:t>（三）其他依法依规查阅的。</w:t>
      </w:r>
    </w:p>
    <w:p w14:paraId="6B9ADDF5" w14:textId="77777777" w:rsidR="00B8049A" w:rsidRDefault="00B8049A" w:rsidP="00AF7342">
      <w:pPr>
        <w:pStyle w:val="a9"/>
        <w:spacing w:beforeLines="0" w:before="0" w:afterLines="0" w:after="0"/>
      </w:pPr>
      <w:r>
        <w:rPr>
          <w:rFonts w:hint="eastAsia"/>
        </w:rPr>
        <w:t>第四章</w:t>
      </w:r>
      <w:r>
        <w:t xml:space="preserve"> 附则</w:t>
      </w:r>
    </w:p>
    <w:p w14:paraId="2F41E10A" w14:textId="1095CDD0" w:rsidR="00B8049A" w:rsidRDefault="00E05BDA" w:rsidP="00B8049A">
      <w:pPr>
        <w:pStyle w:val="13"/>
        <w:ind w:firstLine="482"/>
      </w:pPr>
      <w:r w:rsidRPr="00E05BDA">
        <w:rPr>
          <w:rFonts w:hint="eastAsia"/>
          <w:b/>
          <w:bCs/>
        </w:rPr>
        <w:t xml:space="preserve">第二十条 </w:t>
      </w:r>
      <w:r w:rsidR="00B8049A">
        <w:t>本准则自 2019</w:t>
      </w:r>
      <w:r w:rsidR="003068F8">
        <w:t>年</w:t>
      </w:r>
      <w:r w:rsidR="00B8049A">
        <w:t>1</w:t>
      </w:r>
      <w:r w:rsidR="003068F8">
        <w:t>月</w:t>
      </w:r>
      <w:r w:rsidR="00B8049A">
        <w:t>1</w:t>
      </w:r>
      <w:r w:rsidR="003068F8">
        <w:t>日</w:t>
      </w:r>
      <w:r w:rsidR="00B8049A">
        <w:t>起施行。中国资产评估协会于 2017</w:t>
      </w:r>
      <w:r w:rsidR="003068F8">
        <w:t>年</w:t>
      </w:r>
      <w:r w:rsidR="00B8049A">
        <w:t>9</w:t>
      </w:r>
      <w:r w:rsidR="003068F8">
        <w:t>月</w:t>
      </w:r>
      <w:r w:rsidR="00B8049A">
        <w:t>8</w:t>
      </w:r>
      <w:r w:rsidR="003068F8">
        <w:t>日</w:t>
      </w:r>
      <w:r w:rsidR="00B8049A">
        <w:t>发布的《关于印发的通知》（</w:t>
      </w:r>
      <w:proofErr w:type="gramStart"/>
      <w:r w:rsidR="00B8049A">
        <w:t>中评协</w:t>
      </w:r>
      <w:proofErr w:type="gramEnd"/>
      <w:r w:rsidR="00B8049A">
        <w:t>〔2017〕34号）中的《资产评估执业准则—资产评估档案》同时废止。</w:t>
      </w:r>
    </w:p>
    <w:p w14:paraId="0A249BB7" w14:textId="77777777" w:rsidR="00B8049A" w:rsidRDefault="00B8049A" w:rsidP="00B975FD">
      <w:pPr>
        <w:pStyle w:val="31"/>
        <w:spacing w:before="156" w:after="62"/>
      </w:pPr>
      <w:bookmarkStart w:id="22" w:name="_Toc81833302"/>
      <w:r>
        <w:rPr>
          <w:rFonts w:hint="eastAsia"/>
        </w:rPr>
        <w:t>资产评估执业准则—资产评估方法（</w:t>
      </w:r>
      <w:proofErr w:type="gramStart"/>
      <w:r>
        <w:rPr>
          <w:rFonts w:hint="eastAsia"/>
        </w:rPr>
        <w:t>中评协</w:t>
      </w:r>
      <w:proofErr w:type="gramEnd"/>
      <w:r>
        <w:rPr>
          <w:rFonts w:hint="eastAsia"/>
        </w:rPr>
        <w:t>〔</w:t>
      </w:r>
      <w:r>
        <w:t>2019〕35号）</w:t>
      </w:r>
      <w:bookmarkEnd w:id="22"/>
    </w:p>
    <w:p w14:paraId="39766C1C" w14:textId="77777777" w:rsidR="00B8049A" w:rsidRDefault="00B8049A" w:rsidP="00B975FD">
      <w:pPr>
        <w:pStyle w:val="13"/>
        <w:ind w:firstLineChars="0" w:firstLine="0"/>
      </w:pPr>
      <w:r>
        <w:rPr>
          <w:rFonts w:hint="eastAsia"/>
        </w:rPr>
        <w:t>各省、自治区、直辖市、计划单列市资产评估协会（注册会计师协会）：</w:t>
      </w:r>
    </w:p>
    <w:p w14:paraId="1EC2482D" w14:textId="3EC879FE" w:rsidR="00B8049A" w:rsidRDefault="00B8049A" w:rsidP="00B975FD">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制定了《资产评估执业准则—资产评估方法》，现予印发，自</w:t>
      </w:r>
      <w:r>
        <w:t xml:space="preserve"> 2020</w:t>
      </w:r>
      <w:r w:rsidR="003068F8">
        <w:t>年</w:t>
      </w:r>
      <w:r>
        <w:t>3</w:t>
      </w:r>
      <w:r w:rsidR="003068F8">
        <w:t>月</w:t>
      </w:r>
      <w:r>
        <w:t>1</w:t>
      </w:r>
      <w:r w:rsidR="003068F8">
        <w:t>日</w:t>
      </w:r>
      <w:r>
        <w:t>起施行。</w:t>
      </w:r>
    </w:p>
    <w:p w14:paraId="1E57A152" w14:textId="39DC2581" w:rsidR="00B8049A" w:rsidRDefault="00B8049A" w:rsidP="00B8049A">
      <w:pPr>
        <w:pStyle w:val="13"/>
      </w:pPr>
      <w:r>
        <w:rPr>
          <w:rFonts w:hint="eastAsia"/>
        </w:rPr>
        <w:t>请各地</w:t>
      </w:r>
      <w:proofErr w:type="gramStart"/>
      <w:r>
        <w:rPr>
          <w:rFonts w:hint="eastAsia"/>
        </w:rPr>
        <w:t>方协会</w:t>
      </w:r>
      <w:proofErr w:type="gramEnd"/>
      <w:r>
        <w:rPr>
          <w:rFonts w:hint="eastAsia"/>
        </w:rPr>
        <w:t>将《资产评估执业准则—资产评估方法》及时转发资产评估机构，</w:t>
      </w:r>
      <w:r>
        <w:t>组织学习和培训，并将执行过程中发现的问题及时上报中国资产评估协会。</w:t>
      </w:r>
    </w:p>
    <w:p w14:paraId="22D47865" w14:textId="77777777" w:rsidR="00B8049A" w:rsidRDefault="00B8049A" w:rsidP="00B8049A">
      <w:pPr>
        <w:pStyle w:val="13"/>
      </w:pPr>
      <w:r>
        <w:rPr>
          <w:rFonts w:hint="eastAsia"/>
        </w:rPr>
        <w:t>附件：资产评估执业准则—资产评估方法</w:t>
      </w:r>
    </w:p>
    <w:p w14:paraId="4C1B779C" w14:textId="77777777" w:rsidR="00B8049A" w:rsidRDefault="00B8049A" w:rsidP="006833EE">
      <w:pPr>
        <w:pStyle w:val="13"/>
        <w:spacing w:line="240" w:lineRule="auto"/>
        <w:jc w:val="right"/>
      </w:pPr>
      <w:r>
        <w:rPr>
          <w:rFonts w:hint="eastAsia"/>
        </w:rPr>
        <w:t>中国资产评估协会</w:t>
      </w:r>
    </w:p>
    <w:p w14:paraId="54C868FF" w14:textId="1EB7B0D5" w:rsidR="00B8049A" w:rsidRDefault="00B8049A" w:rsidP="006833EE">
      <w:pPr>
        <w:pStyle w:val="13"/>
        <w:spacing w:line="240" w:lineRule="auto"/>
        <w:jc w:val="right"/>
      </w:pPr>
      <w:r>
        <w:t>2019</w:t>
      </w:r>
      <w:r w:rsidR="003068F8">
        <w:t>年</w:t>
      </w:r>
      <w:r>
        <w:t>12</w:t>
      </w:r>
      <w:r w:rsidR="003068F8">
        <w:t>月</w:t>
      </w:r>
      <w:r>
        <w:t>4</w:t>
      </w:r>
      <w:r w:rsidR="003068F8">
        <w:t>日</w:t>
      </w:r>
    </w:p>
    <w:p w14:paraId="6FF117A7" w14:textId="77777777" w:rsidR="00B975FD" w:rsidRDefault="00B975FD" w:rsidP="00AF7342">
      <w:pPr>
        <w:pStyle w:val="a9"/>
        <w:spacing w:before="62" w:after="62"/>
      </w:pPr>
      <w:r>
        <w:rPr>
          <w:rFonts w:hint="eastAsia"/>
        </w:rPr>
        <w:lastRenderedPageBreak/>
        <w:t>资产评估执业准则—资产评估方法</w:t>
      </w:r>
    </w:p>
    <w:p w14:paraId="0F255237" w14:textId="77777777" w:rsidR="00B975FD" w:rsidRDefault="00B975FD" w:rsidP="00AF7342">
      <w:pPr>
        <w:pStyle w:val="a9"/>
        <w:spacing w:before="62" w:after="62"/>
      </w:pPr>
      <w:r>
        <w:rPr>
          <w:rFonts w:hint="eastAsia"/>
        </w:rPr>
        <w:t>第一章</w:t>
      </w:r>
      <w:r>
        <w:t xml:space="preserve"> 总则</w:t>
      </w:r>
    </w:p>
    <w:p w14:paraId="25CFB4DD" w14:textId="2DCCE8C3" w:rsidR="00B975FD" w:rsidRDefault="004E3EBB" w:rsidP="00B975FD">
      <w:pPr>
        <w:pStyle w:val="13"/>
        <w:ind w:firstLine="482"/>
      </w:pPr>
      <w:r w:rsidRPr="004E3EBB">
        <w:rPr>
          <w:rFonts w:hint="eastAsia"/>
          <w:b/>
          <w:bCs/>
        </w:rPr>
        <w:t xml:space="preserve">第一条 </w:t>
      </w:r>
      <w:r w:rsidR="00B975FD">
        <w:t>为规范资产评估机构及其资产评估专业人员在执行资产评估业务时使用资产评估方法的行为，根据《资产评估基本准则》制定本准则。</w:t>
      </w:r>
    </w:p>
    <w:p w14:paraId="2C5A548F" w14:textId="17072449" w:rsidR="00B975FD" w:rsidRDefault="004E3EBB" w:rsidP="00B975FD">
      <w:pPr>
        <w:pStyle w:val="13"/>
        <w:ind w:firstLine="482"/>
      </w:pPr>
      <w:r w:rsidRPr="004E3EBB">
        <w:rPr>
          <w:rFonts w:hint="eastAsia"/>
          <w:b/>
          <w:bCs/>
        </w:rPr>
        <w:t xml:space="preserve">第二条 </w:t>
      </w:r>
      <w:r w:rsidR="00B975FD">
        <w:t>本准则所称资产评估方法，是指评定估算资产价值的途径和手段。资产评估方法主要包括市场法、收益法和成本法三种基本方法及其衍生方法。</w:t>
      </w:r>
    </w:p>
    <w:p w14:paraId="206AB65C" w14:textId="7E2CE098" w:rsidR="00B975FD" w:rsidRDefault="004E3EBB" w:rsidP="00B975FD">
      <w:pPr>
        <w:pStyle w:val="13"/>
        <w:ind w:firstLine="482"/>
      </w:pPr>
      <w:r w:rsidRPr="004E3EBB">
        <w:rPr>
          <w:rFonts w:hint="eastAsia"/>
          <w:b/>
          <w:bCs/>
        </w:rPr>
        <w:t xml:space="preserve">第三条 </w:t>
      </w:r>
      <w:r w:rsidR="00B975FD">
        <w:t>执行资产评估业务，应当遵守本准则。</w:t>
      </w:r>
    </w:p>
    <w:p w14:paraId="38E2BB0B" w14:textId="77777777" w:rsidR="00B975FD" w:rsidRDefault="00B975FD" w:rsidP="00AF7342">
      <w:pPr>
        <w:pStyle w:val="a9"/>
        <w:spacing w:before="62" w:after="62"/>
      </w:pPr>
      <w:r>
        <w:rPr>
          <w:rFonts w:hint="eastAsia"/>
        </w:rPr>
        <w:t>第二章</w:t>
      </w:r>
      <w:r>
        <w:t xml:space="preserve"> 市场法</w:t>
      </w:r>
    </w:p>
    <w:p w14:paraId="6D2E63BE" w14:textId="0D439E0A" w:rsidR="00B975FD" w:rsidRDefault="004E3EBB" w:rsidP="00B975FD">
      <w:pPr>
        <w:pStyle w:val="13"/>
        <w:ind w:firstLine="482"/>
      </w:pPr>
      <w:r w:rsidRPr="004E3EBB">
        <w:rPr>
          <w:rFonts w:hint="eastAsia"/>
          <w:b/>
          <w:bCs/>
        </w:rPr>
        <w:t xml:space="preserve">第四条 </w:t>
      </w:r>
      <w:r w:rsidR="00B975FD">
        <w:t>市场法也称比较法、市场比较法，是指通过将评估对象与可比参照物进行比较，以可比参照物的市场价格为基础确定评估对象价值的评估方法的总称。市场法包括多种具体方法。例如，企业价值评估中的交易案例比较法和上市公司比较法，单项资产评估中的直接比较法和间接比较法等。</w:t>
      </w:r>
    </w:p>
    <w:p w14:paraId="27B56C8E" w14:textId="6F95AE2E" w:rsidR="00B975FD" w:rsidRDefault="004E3EBB" w:rsidP="00B975FD">
      <w:pPr>
        <w:pStyle w:val="13"/>
        <w:ind w:firstLine="482"/>
      </w:pPr>
      <w:r w:rsidRPr="004E3EBB">
        <w:rPr>
          <w:rFonts w:hint="eastAsia"/>
          <w:b/>
          <w:bCs/>
        </w:rPr>
        <w:t xml:space="preserve">第五条 </w:t>
      </w:r>
      <w:r w:rsidR="00B975FD">
        <w:t>资产评估专业人员选择和使用市场法时应当考虑市场法应用的前提条件：</w:t>
      </w:r>
    </w:p>
    <w:p w14:paraId="7612593A" w14:textId="77777777" w:rsidR="00B975FD" w:rsidRDefault="00B975FD" w:rsidP="00B975FD">
      <w:pPr>
        <w:pStyle w:val="13"/>
      </w:pPr>
      <w:r>
        <w:rPr>
          <w:rFonts w:hint="eastAsia"/>
        </w:rPr>
        <w:t>（一）评估对象的可比参照物具有公开的市场，以及活跃的交易；</w:t>
      </w:r>
    </w:p>
    <w:p w14:paraId="38F5F783" w14:textId="77777777" w:rsidR="00B975FD" w:rsidRDefault="00B975FD" w:rsidP="00B975FD">
      <w:pPr>
        <w:pStyle w:val="13"/>
      </w:pPr>
      <w:r>
        <w:rPr>
          <w:rFonts w:hint="eastAsia"/>
        </w:rPr>
        <w:t>（二）有关交易的必要信息可以获得。</w:t>
      </w:r>
    </w:p>
    <w:p w14:paraId="4F2536BA" w14:textId="31944587" w:rsidR="00B975FD" w:rsidRDefault="004E3EBB" w:rsidP="00B975FD">
      <w:pPr>
        <w:pStyle w:val="13"/>
        <w:ind w:firstLine="482"/>
      </w:pPr>
      <w:r w:rsidRPr="004E3EBB">
        <w:rPr>
          <w:rFonts w:hint="eastAsia"/>
          <w:b/>
          <w:bCs/>
        </w:rPr>
        <w:t xml:space="preserve">第六条 </w:t>
      </w:r>
      <w:r w:rsidR="00B975FD">
        <w:t>资产评估专业人员应当根据评估对象特点,基于以下原则选择可比参照物：</w:t>
      </w:r>
    </w:p>
    <w:p w14:paraId="61B16B1D" w14:textId="77777777" w:rsidR="00B975FD" w:rsidRDefault="00B975FD" w:rsidP="00B975FD">
      <w:pPr>
        <w:pStyle w:val="13"/>
      </w:pPr>
      <w:r>
        <w:rPr>
          <w:rFonts w:hint="eastAsia"/>
        </w:rPr>
        <w:t>（一）选择在交易市场方面与评估对象相同或者可比的参照物；</w:t>
      </w:r>
    </w:p>
    <w:p w14:paraId="6E6726CD" w14:textId="77777777" w:rsidR="00B975FD" w:rsidRDefault="00B975FD" w:rsidP="00B975FD">
      <w:pPr>
        <w:pStyle w:val="13"/>
      </w:pPr>
      <w:r>
        <w:rPr>
          <w:rFonts w:hint="eastAsia"/>
        </w:rPr>
        <w:t>（二）选择适当数量的与评估对象相同或者可比的参照物；</w:t>
      </w:r>
    </w:p>
    <w:p w14:paraId="06487C90" w14:textId="77777777" w:rsidR="00B975FD" w:rsidRDefault="00B975FD" w:rsidP="00B975FD">
      <w:pPr>
        <w:pStyle w:val="13"/>
      </w:pPr>
      <w:r>
        <w:rPr>
          <w:rFonts w:hint="eastAsia"/>
        </w:rPr>
        <w:t>（三）选择与评估对象在价值影响因素方面相同或者相似的参照物；</w:t>
      </w:r>
    </w:p>
    <w:p w14:paraId="55084A1F" w14:textId="77777777" w:rsidR="00B975FD" w:rsidRDefault="00B975FD" w:rsidP="00B975FD">
      <w:pPr>
        <w:pStyle w:val="13"/>
      </w:pPr>
      <w:r>
        <w:rPr>
          <w:rFonts w:hint="eastAsia"/>
        </w:rPr>
        <w:t>（四）选择交易时间与评估基准日接近的参照物；</w:t>
      </w:r>
    </w:p>
    <w:p w14:paraId="3A1066CC" w14:textId="77777777" w:rsidR="00B975FD" w:rsidRDefault="00B975FD" w:rsidP="00B975FD">
      <w:pPr>
        <w:pStyle w:val="13"/>
      </w:pPr>
      <w:r>
        <w:rPr>
          <w:rFonts w:hint="eastAsia"/>
        </w:rPr>
        <w:t>（五）选择交易类型与评估目的相适合的参照物；</w:t>
      </w:r>
    </w:p>
    <w:p w14:paraId="22446A4A" w14:textId="77777777" w:rsidR="00B975FD" w:rsidRDefault="00B975FD" w:rsidP="00B975FD">
      <w:pPr>
        <w:pStyle w:val="13"/>
      </w:pPr>
      <w:r>
        <w:rPr>
          <w:rFonts w:hint="eastAsia"/>
        </w:rPr>
        <w:t>（六）选择正常或者可以修正为正常交易价格的参照物。</w:t>
      </w:r>
    </w:p>
    <w:p w14:paraId="35AE6BFB" w14:textId="77777777" w:rsidR="00B975FD" w:rsidRDefault="00B975FD" w:rsidP="00B975FD">
      <w:pPr>
        <w:pStyle w:val="13"/>
      </w:pPr>
      <w:r>
        <w:rPr>
          <w:rFonts w:hint="eastAsia"/>
        </w:rPr>
        <w:t>市场法的比较基准通常因评估对象的资产类型、所处行业等差异有所区别，可以表现为价值比率、交易单价等形式。</w:t>
      </w:r>
    </w:p>
    <w:p w14:paraId="7F714084" w14:textId="34DCD61A" w:rsidR="00B975FD" w:rsidRDefault="004E3EBB" w:rsidP="00B975FD">
      <w:pPr>
        <w:pStyle w:val="13"/>
        <w:ind w:firstLine="482"/>
      </w:pPr>
      <w:r w:rsidRPr="004E3EBB">
        <w:rPr>
          <w:rFonts w:hint="eastAsia"/>
          <w:b/>
          <w:bCs/>
        </w:rPr>
        <w:t xml:space="preserve">第七条 </w:t>
      </w:r>
      <w:r w:rsidR="00B975FD">
        <w:t>资产评估专业人员在运用市场法时应当对评估对象与可比参照物进行比较分析，并对价值影响因素和交易条件存在的差异做出合理修正。</w:t>
      </w:r>
    </w:p>
    <w:p w14:paraId="36C4FAF8" w14:textId="3F223E86" w:rsidR="00B975FD" w:rsidRDefault="004E3EBB" w:rsidP="00B975FD">
      <w:pPr>
        <w:pStyle w:val="13"/>
        <w:ind w:firstLine="482"/>
      </w:pPr>
      <w:r w:rsidRPr="004E3EBB">
        <w:rPr>
          <w:rFonts w:hint="eastAsia"/>
          <w:b/>
          <w:bCs/>
        </w:rPr>
        <w:t xml:space="preserve">第八条 </w:t>
      </w:r>
      <w:r w:rsidR="00B975FD">
        <w:t>运用市场法时，应当关注以下影响评估测算结果可靠性的因素：</w:t>
      </w:r>
    </w:p>
    <w:p w14:paraId="3DDCCF0A" w14:textId="77777777" w:rsidR="00B975FD" w:rsidRDefault="00B975FD" w:rsidP="00B975FD">
      <w:pPr>
        <w:pStyle w:val="13"/>
      </w:pPr>
      <w:r>
        <w:rPr>
          <w:rFonts w:hint="eastAsia"/>
        </w:rPr>
        <w:t>（一）市场的活跃程度；</w:t>
      </w:r>
    </w:p>
    <w:p w14:paraId="5AFF8F65" w14:textId="77777777" w:rsidR="00B975FD" w:rsidRDefault="00B975FD" w:rsidP="00B975FD">
      <w:pPr>
        <w:pStyle w:val="13"/>
      </w:pPr>
      <w:r>
        <w:rPr>
          <w:rFonts w:hint="eastAsia"/>
        </w:rPr>
        <w:t>（二）参照物的相似程度；</w:t>
      </w:r>
    </w:p>
    <w:p w14:paraId="192CEA96" w14:textId="77777777" w:rsidR="00B975FD" w:rsidRDefault="00B975FD" w:rsidP="00B975FD">
      <w:pPr>
        <w:pStyle w:val="13"/>
      </w:pPr>
      <w:r>
        <w:rPr>
          <w:rFonts w:hint="eastAsia"/>
        </w:rPr>
        <w:t>（三）参照物的交易时间与评估基准日的接近程度；</w:t>
      </w:r>
    </w:p>
    <w:p w14:paraId="6B304E9C" w14:textId="77777777" w:rsidR="00B975FD" w:rsidRDefault="00B975FD" w:rsidP="00B975FD">
      <w:pPr>
        <w:pStyle w:val="13"/>
      </w:pPr>
      <w:r>
        <w:rPr>
          <w:rFonts w:hint="eastAsia"/>
        </w:rPr>
        <w:t>（四）参照物的交易目的及条件的可比程度；</w:t>
      </w:r>
    </w:p>
    <w:p w14:paraId="3744B9DF" w14:textId="77777777" w:rsidR="00B975FD" w:rsidRDefault="00B975FD" w:rsidP="00B975FD">
      <w:pPr>
        <w:pStyle w:val="13"/>
      </w:pPr>
      <w:r>
        <w:rPr>
          <w:rFonts w:hint="eastAsia"/>
        </w:rPr>
        <w:lastRenderedPageBreak/>
        <w:t>（五）参照物信息资料的充分程度。</w:t>
      </w:r>
    </w:p>
    <w:p w14:paraId="629B7BF2" w14:textId="77777777" w:rsidR="00B975FD" w:rsidRDefault="00B975FD" w:rsidP="00AF7342">
      <w:pPr>
        <w:pStyle w:val="a9"/>
        <w:spacing w:before="62" w:after="62"/>
      </w:pPr>
      <w:r>
        <w:rPr>
          <w:rFonts w:hint="eastAsia"/>
        </w:rPr>
        <w:t>第三章</w:t>
      </w:r>
      <w:r>
        <w:t xml:space="preserve"> 收益法</w:t>
      </w:r>
    </w:p>
    <w:p w14:paraId="01EEEE40" w14:textId="31431418" w:rsidR="00B975FD" w:rsidRDefault="00E05BDA" w:rsidP="00B975FD">
      <w:pPr>
        <w:pStyle w:val="13"/>
        <w:ind w:firstLine="482"/>
      </w:pPr>
      <w:r w:rsidRPr="00E05BDA">
        <w:rPr>
          <w:rFonts w:hint="eastAsia"/>
          <w:b/>
          <w:bCs/>
        </w:rPr>
        <w:t xml:space="preserve">第九条 </w:t>
      </w:r>
      <w:r w:rsidR="00B975FD">
        <w:t>收益法是指通过将评估对象的预期收益资本</w:t>
      </w:r>
      <w:proofErr w:type="gramStart"/>
      <w:r w:rsidR="00B975FD">
        <w:t>化或者</w:t>
      </w:r>
      <w:proofErr w:type="gramEnd"/>
      <w:r w:rsidR="00B975FD">
        <w:t>折现，来确定其价值的各种评估方法的总称。收益法包括多种具体方法。例如，企业价值评估中的现金流量折现法、股利折现法等；无形资产评估中的增量收益法、超额收益法、节省许可费法、收益分成法等。</w:t>
      </w:r>
    </w:p>
    <w:p w14:paraId="4636BFFA" w14:textId="70CBE9DF" w:rsidR="00B975FD" w:rsidRDefault="00E05BDA" w:rsidP="00B975FD">
      <w:pPr>
        <w:pStyle w:val="13"/>
        <w:ind w:firstLine="482"/>
      </w:pPr>
      <w:r w:rsidRPr="00E05BDA">
        <w:rPr>
          <w:rFonts w:hint="eastAsia"/>
          <w:b/>
          <w:bCs/>
        </w:rPr>
        <w:t xml:space="preserve">第十条 </w:t>
      </w:r>
      <w:r w:rsidR="00B975FD">
        <w:t>资产评估专业人员选择和使用收益法时应当考虑收益法应用的前提条件：</w:t>
      </w:r>
    </w:p>
    <w:p w14:paraId="3D6FB28A" w14:textId="77777777" w:rsidR="00B975FD" w:rsidRDefault="00B975FD" w:rsidP="00B975FD">
      <w:pPr>
        <w:pStyle w:val="13"/>
      </w:pPr>
      <w:r>
        <w:rPr>
          <w:rFonts w:hint="eastAsia"/>
        </w:rPr>
        <w:t>（一）评估对象的未来收益可以合理预期并用货币计量；</w:t>
      </w:r>
    </w:p>
    <w:p w14:paraId="01212503" w14:textId="77777777" w:rsidR="00B975FD" w:rsidRDefault="00B975FD" w:rsidP="00B975FD">
      <w:pPr>
        <w:pStyle w:val="13"/>
      </w:pPr>
      <w:r>
        <w:rPr>
          <w:rFonts w:hint="eastAsia"/>
        </w:rPr>
        <w:t>（二）预期收益所对应的风险能够度量；</w:t>
      </w:r>
    </w:p>
    <w:p w14:paraId="6F95A580" w14:textId="77777777" w:rsidR="00B975FD" w:rsidRDefault="00B975FD" w:rsidP="00B975FD">
      <w:pPr>
        <w:pStyle w:val="13"/>
      </w:pPr>
      <w:r>
        <w:rPr>
          <w:rFonts w:hint="eastAsia"/>
        </w:rPr>
        <w:t>（三）收益期限能够确定或者合理预期。</w:t>
      </w:r>
    </w:p>
    <w:p w14:paraId="5AFB0F4B" w14:textId="676A5C49" w:rsidR="00B975FD" w:rsidRDefault="00E05BDA" w:rsidP="00B975FD">
      <w:pPr>
        <w:pStyle w:val="13"/>
        <w:ind w:firstLine="482"/>
      </w:pPr>
      <w:r w:rsidRPr="00E05BDA">
        <w:rPr>
          <w:rFonts w:hint="eastAsia"/>
          <w:b/>
          <w:bCs/>
        </w:rPr>
        <w:t xml:space="preserve">第十一条 </w:t>
      </w:r>
      <w:r w:rsidR="00B975FD">
        <w:t>资产评估专业人员在确定预期收益时应当重点关注：</w:t>
      </w:r>
    </w:p>
    <w:p w14:paraId="6C8695EC" w14:textId="77777777" w:rsidR="00B975FD" w:rsidRDefault="00B975FD" w:rsidP="00B975FD">
      <w:pPr>
        <w:pStyle w:val="13"/>
      </w:pPr>
      <w:r>
        <w:rPr>
          <w:rFonts w:hint="eastAsia"/>
        </w:rPr>
        <w:t>（一）预期收益类型与口径。例如，收入、利润、股利或者现金流量，以及整体资产或者部分权益的收益、税前或者税后收益、名义或者实际收益等。名义收益包括预期的通货膨胀水平，实际收益则会剔除通货膨胀的影响。</w:t>
      </w:r>
    </w:p>
    <w:p w14:paraId="46D5B6E3" w14:textId="45F4C773" w:rsidR="00B975FD" w:rsidRDefault="00B975FD" w:rsidP="00C52F64">
      <w:pPr>
        <w:pStyle w:val="13"/>
      </w:pPr>
      <w:r>
        <w:rPr>
          <w:rFonts w:hint="eastAsia"/>
        </w:rPr>
        <w:t>（二）收益预测应当根据资产的性质、可以获取的信息和所要求的价值类型等</w:t>
      </w:r>
      <w:proofErr w:type="gramStart"/>
      <w:r>
        <w:rPr>
          <w:rFonts w:hint="eastAsia"/>
        </w:rPr>
        <w:t>作出</w:t>
      </w:r>
      <w:proofErr w:type="gramEnd"/>
      <w:r>
        <w:rPr>
          <w:rFonts w:hint="eastAsia"/>
        </w:rPr>
        <w:t>。资产评估专业人员应当对收益预测所利用的财务信息以及其他相关信息、假设及其对评估目的的恰当性进行分析评价。</w:t>
      </w:r>
    </w:p>
    <w:p w14:paraId="0FD5F93C" w14:textId="43713AB8" w:rsidR="00B975FD" w:rsidRDefault="00E05BDA" w:rsidP="00B975FD">
      <w:pPr>
        <w:pStyle w:val="13"/>
        <w:ind w:firstLine="482"/>
      </w:pPr>
      <w:r w:rsidRPr="00E05BDA">
        <w:rPr>
          <w:rFonts w:hint="eastAsia"/>
          <w:b/>
          <w:bCs/>
        </w:rPr>
        <w:t xml:space="preserve">第十二条 </w:t>
      </w:r>
      <w:r w:rsidR="00B975FD">
        <w:t>资产评估专业人员在确定收益期时应当考虑评估对象的预期寿命、法律法规和相关合同等限制，详细预测期的选择应当考虑使评估对象达到稳定收益的期限、周期性等因素。</w:t>
      </w:r>
    </w:p>
    <w:p w14:paraId="1EC73350" w14:textId="5E30FCC6" w:rsidR="00B975FD" w:rsidRDefault="00E05BDA" w:rsidP="00B975FD">
      <w:pPr>
        <w:pStyle w:val="13"/>
        <w:ind w:firstLine="482"/>
      </w:pPr>
      <w:r w:rsidRPr="00E05BDA">
        <w:rPr>
          <w:rFonts w:hint="eastAsia"/>
          <w:b/>
          <w:bCs/>
        </w:rPr>
        <w:t xml:space="preserve">第十三条 </w:t>
      </w:r>
      <w:r w:rsidR="00B975FD">
        <w:t>收益法评估所采用的折现率不仅要反映资金的时间价值，还应当体现与收益类型和评估对象未来经营相关的风险，与所选择的收益类型与口径相匹配。</w:t>
      </w:r>
    </w:p>
    <w:p w14:paraId="5B084699" w14:textId="221A1D0B" w:rsidR="00B975FD" w:rsidRDefault="00E05BDA" w:rsidP="00B975FD">
      <w:pPr>
        <w:pStyle w:val="13"/>
        <w:ind w:firstLine="482"/>
      </w:pPr>
      <w:r w:rsidRPr="00E05BDA">
        <w:rPr>
          <w:rFonts w:hint="eastAsia"/>
          <w:b/>
          <w:bCs/>
        </w:rPr>
        <w:t xml:space="preserve">第十四条 </w:t>
      </w:r>
      <w:r w:rsidR="00B975FD">
        <w:t>运用收益法时，应当关注以下影响评估测算结果可靠性的因素：</w:t>
      </w:r>
    </w:p>
    <w:p w14:paraId="678940CF" w14:textId="77777777" w:rsidR="00B975FD" w:rsidRDefault="00B975FD" w:rsidP="00B975FD">
      <w:pPr>
        <w:pStyle w:val="13"/>
      </w:pPr>
      <w:r>
        <w:rPr>
          <w:rFonts w:hint="eastAsia"/>
        </w:rPr>
        <w:t>（一）无法获得支持专业判断的必要信息；</w:t>
      </w:r>
    </w:p>
    <w:p w14:paraId="5E631A0D" w14:textId="5A9457A0" w:rsidR="00B975FD" w:rsidRDefault="00B975FD" w:rsidP="00C52F64">
      <w:pPr>
        <w:pStyle w:val="13"/>
      </w:pPr>
      <w:r>
        <w:rPr>
          <w:rFonts w:hint="eastAsia"/>
        </w:rPr>
        <w:t>（二）评估对象没有历史收益记录或者尚未开始产生收益，对收益的预测仅基于预期；</w:t>
      </w:r>
    </w:p>
    <w:p w14:paraId="1AEB4588" w14:textId="77777777" w:rsidR="00B975FD" w:rsidRDefault="00B975FD" w:rsidP="00B975FD">
      <w:pPr>
        <w:pStyle w:val="13"/>
      </w:pPr>
      <w:r>
        <w:rPr>
          <w:rFonts w:hint="eastAsia"/>
        </w:rPr>
        <w:t>（三）未来的经营模式或者盈利模式发生重大变化。</w:t>
      </w:r>
    </w:p>
    <w:p w14:paraId="4ED73FF5" w14:textId="77777777" w:rsidR="00B975FD" w:rsidRDefault="00B975FD" w:rsidP="00AF7342">
      <w:pPr>
        <w:pStyle w:val="a9"/>
        <w:spacing w:before="62" w:after="62"/>
      </w:pPr>
      <w:r>
        <w:rPr>
          <w:rFonts w:hint="eastAsia"/>
        </w:rPr>
        <w:t>第四章</w:t>
      </w:r>
      <w:r>
        <w:t xml:space="preserve"> 成本法</w:t>
      </w:r>
    </w:p>
    <w:p w14:paraId="290F1746" w14:textId="6529BAD6" w:rsidR="00B975FD" w:rsidRDefault="00E05BDA" w:rsidP="00C52F64">
      <w:pPr>
        <w:pStyle w:val="13"/>
        <w:ind w:firstLine="482"/>
      </w:pPr>
      <w:r w:rsidRPr="00E05BDA">
        <w:rPr>
          <w:rFonts w:hint="eastAsia"/>
          <w:b/>
          <w:bCs/>
        </w:rPr>
        <w:t xml:space="preserve">第十五条 </w:t>
      </w:r>
      <w:r w:rsidR="00B975FD">
        <w:t>成本法是指按照重建或者重置被评估对象的思路，将重建或者重置成本作为确定评估对象价值的基础，扣除相关贬值，以此确定评估对象价值的评估方法的总称。成本法包括多种具体方法。例如，复原重置成本法、更新重置成本法、成本加和法</w:t>
      </w:r>
      <w:r w:rsidR="00B975FD">
        <w:rPr>
          <w:rFonts w:hint="eastAsia"/>
        </w:rPr>
        <w:t>（也称资产基础法）等。</w:t>
      </w:r>
    </w:p>
    <w:p w14:paraId="42FC8F94" w14:textId="10CDA9F3" w:rsidR="00B975FD" w:rsidRDefault="00E05BDA" w:rsidP="00B975FD">
      <w:pPr>
        <w:pStyle w:val="13"/>
        <w:ind w:firstLine="482"/>
      </w:pPr>
      <w:r w:rsidRPr="00E05BDA">
        <w:rPr>
          <w:rFonts w:hint="eastAsia"/>
          <w:b/>
          <w:bCs/>
        </w:rPr>
        <w:lastRenderedPageBreak/>
        <w:t xml:space="preserve">第十六条 </w:t>
      </w:r>
      <w:r w:rsidR="00B975FD">
        <w:t>资产评估专业人员选择和使用成本法时应当考虑成本法应用的前提条件：</w:t>
      </w:r>
    </w:p>
    <w:p w14:paraId="6E1CEE9D" w14:textId="77777777" w:rsidR="00B975FD" w:rsidRDefault="00B975FD" w:rsidP="00B975FD">
      <w:pPr>
        <w:pStyle w:val="13"/>
      </w:pPr>
      <w:r>
        <w:rPr>
          <w:rFonts w:hint="eastAsia"/>
        </w:rPr>
        <w:t>（一）评估对象能正常使用或者在用；</w:t>
      </w:r>
    </w:p>
    <w:p w14:paraId="66FAF2AC" w14:textId="77777777" w:rsidR="00B975FD" w:rsidRDefault="00B975FD" w:rsidP="00B975FD">
      <w:pPr>
        <w:pStyle w:val="13"/>
      </w:pPr>
      <w:r>
        <w:rPr>
          <w:rFonts w:hint="eastAsia"/>
        </w:rPr>
        <w:t>（二）评估对象能够通过重置途径获得；</w:t>
      </w:r>
    </w:p>
    <w:p w14:paraId="7E3178D9" w14:textId="77777777" w:rsidR="00C52F64" w:rsidRDefault="00B975FD" w:rsidP="00B975FD">
      <w:pPr>
        <w:pStyle w:val="13"/>
      </w:pPr>
      <w:r>
        <w:rPr>
          <w:rFonts w:hint="eastAsia"/>
        </w:rPr>
        <w:t>（三）评估对象的重置成本以及相关贬值能够合理估算。</w:t>
      </w:r>
    </w:p>
    <w:p w14:paraId="443C9138" w14:textId="6CD160DA" w:rsidR="00B975FD" w:rsidRDefault="00E05BDA" w:rsidP="00B975FD">
      <w:pPr>
        <w:pStyle w:val="13"/>
        <w:ind w:firstLine="482"/>
      </w:pPr>
      <w:r w:rsidRPr="00E05BDA">
        <w:rPr>
          <w:rFonts w:hint="eastAsia"/>
          <w:b/>
          <w:bCs/>
        </w:rPr>
        <w:t xml:space="preserve">第十七条 </w:t>
      </w:r>
      <w:r w:rsidR="00B975FD">
        <w:t>当出现下列情况，一般不适用成本法：</w:t>
      </w:r>
    </w:p>
    <w:p w14:paraId="629BD7ED" w14:textId="77777777" w:rsidR="00B975FD" w:rsidRDefault="00B975FD" w:rsidP="00B975FD">
      <w:pPr>
        <w:pStyle w:val="13"/>
      </w:pPr>
      <w:r>
        <w:rPr>
          <w:rFonts w:hint="eastAsia"/>
        </w:rPr>
        <w:t>（一）因法律、行政法规或者产业政策的限制使重置评估对象的前提不存在；</w:t>
      </w:r>
    </w:p>
    <w:p w14:paraId="0FB77CFC" w14:textId="77777777" w:rsidR="00B975FD" w:rsidRDefault="00B975FD" w:rsidP="00B975FD">
      <w:pPr>
        <w:pStyle w:val="13"/>
      </w:pPr>
      <w:r>
        <w:rPr>
          <w:rFonts w:hint="eastAsia"/>
        </w:rPr>
        <w:t>（二）不可以用重置途径获取的评估对象。</w:t>
      </w:r>
    </w:p>
    <w:p w14:paraId="0D4299E1" w14:textId="6D66A85E" w:rsidR="00B975FD" w:rsidRDefault="00E05BDA" w:rsidP="00B975FD">
      <w:pPr>
        <w:pStyle w:val="13"/>
        <w:ind w:firstLine="482"/>
      </w:pPr>
      <w:r w:rsidRPr="00E05BDA">
        <w:rPr>
          <w:rFonts w:hint="eastAsia"/>
          <w:b/>
          <w:bCs/>
        </w:rPr>
        <w:t xml:space="preserve">第十八条 </w:t>
      </w:r>
      <w:r w:rsidR="00B975FD">
        <w:t>重置成本可区分为复原重置成本和更新重置成本。更新重置成本通常适用于使用当前条件所重置的资产可以提供与评估对象相似或者相同的功能，并且更新重置成本低于其复原重置成本。复原重置成本适用于评估对象的效用只能通过按原条件重新复制评估对象的方式提供。</w:t>
      </w:r>
    </w:p>
    <w:p w14:paraId="52116006" w14:textId="2729DAC9" w:rsidR="00B975FD" w:rsidRDefault="00E05BDA" w:rsidP="00C52F64">
      <w:pPr>
        <w:pStyle w:val="13"/>
        <w:ind w:firstLine="482"/>
      </w:pPr>
      <w:r w:rsidRPr="00E05BDA">
        <w:rPr>
          <w:rFonts w:hint="eastAsia"/>
          <w:b/>
          <w:bCs/>
        </w:rPr>
        <w:t xml:space="preserve">第十九条 </w:t>
      </w:r>
      <w:r w:rsidR="00B975FD">
        <w:t>资产评估专业人员应当根据评估目的、评估对象和评估假设合理确定重</w:t>
      </w:r>
      <w:r w:rsidR="00B975FD">
        <w:rPr>
          <w:rFonts w:hint="eastAsia"/>
        </w:rPr>
        <w:t>置成本的构成要素。重置成本的构成要素一般包括建造或者购置评估对象的直接成本、间接成本、资金成本、税费及合理的利润。重置成本应当是社会一般生产力水平的客观必要成本，而不是个别成本。</w:t>
      </w:r>
    </w:p>
    <w:p w14:paraId="7F9DA2F0" w14:textId="14B2330B" w:rsidR="00B975FD" w:rsidRDefault="00E05BDA" w:rsidP="00B975FD">
      <w:pPr>
        <w:pStyle w:val="13"/>
        <w:ind w:firstLine="482"/>
      </w:pPr>
      <w:r w:rsidRPr="00E05BDA">
        <w:rPr>
          <w:rFonts w:hint="eastAsia"/>
          <w:b/>
          <w:bCs/>
        </w:rPr>
        <w:t xml:space="preserve">第二十条 </w:t>
      </w:r>
      <w:r w:rsidR="00B975FD">
        <w:t>资产评估专业人员应当结合评估对象的实际情况以及影响其价值变化的条件，充分考虑可能影响资产贬值的因素，合理确定各项贬值。以实体形式存在的评估对象的主要贬值形式有实体性贬值、功能性贬值和经济性贬值。实体性贬值，也称有形损耗，是指由于使用和自然力的作用导致资产的物理性能损耗或者下降引起的资产价值损失。功能性贬值是指由于技术进步引起资产功能相对落后造成的资产价值损失。经济性贬值是指由于外部条件变化引起资产闲置、收益下降等造成的资产价值损失。</w:t>
      </w:r>
    </w:p>
    <w:p w14:paraId="5D80CC71" w14:textId="77777777" w:rsidR="00B975FD" w:rsidRDefault="00B975FD" w:rsidP="00AF7342">
      <w:pPr>
        <w:pStyle w:val="a9"/>
        <w:spacing w:before="62" w:after="62"/>
      </w:pPr>
      <w:r>
        <w:rPr>
          <w:rFonts w:hint="eastAsia"/>
        </w:rPr>
        <w:t>第五章</w:t>
      </w:r>
      <w:r>
        <w:t xml:space="preserve"> 评估方法的选择</w:t>
      </w:r>
    </w:p>
    <w:p w14:paraId="3130039D" w14:textId="5A7FF9F6" w:rsidR="00B975FD" w:rsidRDefault="00E05BDA" w:rsidP="00B975FD">
      <w:pPr>
        <w:pStyle w:val="13"/>
        <w:ind w:firstLine="482"/>
      </w:pPr>
      <w:r w:rsidRPr="00E05BDA">
        <w:rPr>
          <w:rFonts w:hint="eastAsia"/>
          <w:b/>
          <w:bCs/>
        </w:rPr>
        <w:t xml:space="preserve">第二十一条 </w:t>
      </w:r>
      <w:r w:rsidR="00B975FD">
        <w:t>资产评估专业人员应当熟知、理解并恰当选择评估方法。资产评估专业人员在选择评估方法时，应当充分考虑影响评估方法选择的因素。</w:t>
      </w:r>
    </w:p>
    <w:p w14:paraId="1A075B7B" w14:textId="77777777" w:rsidR="00B975FD" w:rsidRDefault="00B975FD" w:rsidP="00B975FD">
      <w:pPr>
        <w:pStyle w:val="13"/>
      </w:pPr>
      <w:r>
        <w:rPr>
          <w:rFonts w:hint="eastAsia"/>
        </w:rPr>
        <w:t>选择评估方法所考虑的因素包括：</w:t>
      </w:r>
    </w:p>
    <w:p w14:paraId="274D2F10" w14:textId="77777777" w:rsidR="00B975FD" w:rsidRDefault="00B975FD" w:rsidP="00B975FD">
      <w:pPr>
        <w:pStyle w:val="13"/>
      </w:pPr>
      <w:r>
        <w:rPr>
          <w:rFonts w:hint="eastAsia"/>
        </w:rPr>
        <w:t>（一）评估目的和价值类型；</w:t>
      </w:r>
    </w:p>
    <w:p w14:paraId="57134730" w14:textId="77777777" w:rsidR="00B975FD" w:rsidRDefault="00B975FD" w:rsidP="00B975FD">
      <w:pPr>
        <w:pStyle w:val="13"/>
      </w:pPr>
      <w:r>
        <w:rPr>
          <w:rFonts w:hint="eastAsia"/>
        </w:rPr>
        <w:t>（二）评估对象；</w:t>
      </w:r>
    </w:p>
    <w:p w14:paraId="199ED621" w14:textId="77777777" w:rsidR="00B975FD" w:rsidRDefault="00B975FD" w:rsidP="00B975FD">
      <w:pPr>
        <w:pStyle w:val="13"/>
      </w:pPr>
      <w:r>
        <w:rPr>
          <w:rFonts w:hint="eastAsia"/>
        </w:rPr>
        <w:t>（三）评估方法的适用条件；</w:t>
      </w:r>
    </w:p>
    <w:p w14:paraId="7D8973B8" w14:textId="77777777" w:rsidR="00B975FD" w:rsidRDefault="00B975FD" w:rsidP="00B975FD">
      <w:pPr>
        <w:pStyle w:val="13"/>
      </w:pPr>
      <w:r>
        <w:rPr>
          <w:rFonts w:hint="eastAsia"/>
        </w:rPr>
        <w:t>（四）评估方法应用所依据数据的质量和数量；</w:t>
      </w:r>
    </w:p>
    <w:p w14:paraId="1D2961D7" w14:textId="77777777" w:rsidR="00B975FD" w:rsidRDefault="00B975FD" w:rsidP="00B975FD">
      <w:pPr>
        <w:pStyle w:val="13"/>
      </w:pPr>
      <w:r>
        <w:rPr>
          <w:rFonts w:hint="eastAsia"/>
        </w:rPr>
        <w:t>（五）影响评估方法选择的其他因素。</w:t>
      </w:r>
    </w:p>
    <w:p w14:paraId="579B42A8" w14:textId="7F6D9BF4" w:rsidR="00B975FD" w:rsidRDefault="00E05BDA" w:rsidP="00B975FD">
      <w:pPr>
        <w:pStyle w:val="13"/>
        <w:ind w:firstLine="482"/>
      </w:pPr>
      <w:r w:rsidRPr="00E05BDA">
        <w:rPr>
          <w:rFonts w:hint="eastAsia"/>
          <w:b/>
          <w:bCs/>
        </w:rPr>
        <w:t xml:space="preserve">第二十二条 </w:t>
      </w:r>
      <w:r w:rsidR="00B975FD">
        <w:t>当满足采用不同评估方法的条件时，资产评估专业人员应当选择两种或者两种以上评估方法，通过综合分析形成合理评估结论。</w:t>
      </w:r>
    </w:p>
    <w:p w14:paraId="7A5900CB" w14:textId="57333887" w:rsidR="00B975FD" w:rsidRDefault="00E05BDA" w:rsidP="00B975FD">
      <w:pPr>
        <w:pStyle w:val="13"/>
        <w:ind w:firstLine="482"/>
      </w:pPr>
      <w:r w:rsidRPr="00E05BDA">
        <w:rPr>
          <w:rFonts w:hint="eastAsia"/>
          <w:b/>
          <w:bCs/>
        </w:rPr>
        <w:lastRenderedPageBreak/>
        <w:t xml:space="preserve">第二十三条 </w:t>
      </w:r>
      <w:r w:rsidR="00B975FD">
        <w:t>当存在下列情形时，资产评估专业人员可以采用一种评估方法：</w:t>
      </w:r>
    </w:p>
    <w:p w14:paraId="43805CD0" w14:textId="77777777" w:rsidR="00B975FD" w:rsidRDefault="00B975FD" w:rsidP="00B975FD">
      <w:pPr>
        <w:pStyle w:val="13"/>
      </w:pPr>
      <w:r>
        <w:rPr>
          <w:rFonts w:hint="eastAsia"/>
        </w:rPr>
        <w:t>（一）基于相关法律、行政法规和财政部部门规章的规定可以采用一种评估方法；</w:t>
      </w:r>
    </w:p>
    <w:p w14:paraId="2E757526" w14:textId="77777777" w:rsidR="00B975FD" w:rsidRDefault="00B975FD" w:rsidP="00B975FD">
      <w:pPr>
        <w:pStyle w:val="13"/>
      </w:pPr>
      <w:r>
        <w:rPr>
          <w:rFonts w:hint="eastAsia"/>
        </w:rPr>
        <w:t>（二）由于评估对象仅满足一种评估方法的适用条件而采用一种评估方法；</w:t>
      </w:r>
    </w:p>
    <w:p w14:paraId="6B1C079F" w14:textId="77777777" w:rsidR="00B975FD" w:rsidRDefault="00B975FD" w:rsidP="00B975FD">
      <w:pPr>
        <w:pStyle w:val="13"/>
      </w:pPr>
      <w:r>
        <w:rPr>
          <w:rFonts w:hint="eastAsia"/>
        </w:rPr>
        <w:t>（三）因操作条件限制而采用一种评估方法。操作条件限制应当是资产评估行业通常的执业方式普遍无法排除的，而不得以个别资产评估机构或者个别资产评估专业人员的操作能力和条件作为判断标准。</w:t>
      </w:r>
    </w:p>
    <w:p w14:paraId="2D5162F9" w14:textId="5A229A23" w:rsidR="00B975FD" w:rsidRDefault="00E05BDA" w:rsidP="00C52F64">
      <w:pPr>
        <w:pStyle w:val="13"/>
        <w:ind w:firstLine="482"/>
      </w:pPr>
      <w:r w:rsidRPr="00E05BDA">
        <w:rPr>
          <w:rFonts w:hint="eastAsia"/>
          <w:b/>
          <w:bCs/>
        </w:rPr>
        <w:t xml:space="preserve">第二十四条 </w:t>
      </w:r>
      <w:r w:rsidR="00B975FD">
        <w:t>资产评估报告应当对评估方法的选择及其理由进行披露。因适用性受限而选择一种评估方法的，应当在资产评估报告中披露其他基本评估方法不适用的原因；</w:t>
      </w:r>
      <w:r w:rsidR="00B975FD">
        <w:rPr>
          <w:rFonts w:hint="eastAsia"/>
        </w:rPr>
        <w:t>因操作条件受限而选择一种评估方法的，应当对所受的操作条件限制进行分析、说明和披露。</w:t>
      </w:r>
    </w:p>
    <w:p w14:paraId="264EB550" w14:textId="77777777" w:rsidR="00B975FD" w:rsidRDefault="00B975FD" w:rsidP="00AF7342">
      <w:pPr>
        <w:pStyle w:val="a9"/>
        <w:spacing w:before="62" w:after="62"/>
      </w:pPr>
      <w:r>
        <w:rPr>
          <w:rFonts w:hint="eastAsia"/>
        </w:rPr>
        <w:t>第六章</w:t>
      </w:r>
      <w:r>
        <w:t xml:space="preserve"> 附则</w:t>
      </w:r>
    </w:p>
    <w:p w14:paraId="6E629784" w14:textId="24FA797E" w:rsidR="00EF0BC2" w:rsidRDefault="00E05BDA" w:rsidP="00B975FD">
      <w:pPr>
        <w:pStyle w:val="13"/>
        <w:ind w:firstLine="482"/>
      </w:pPr>
      <w:r w:rsidRPr="00E05BDA">
        <w:rPr>
          <w:rFonts w:hint="eastAsia"/>
          <w:b/>
          <w:bCs/>
        </w:rPr>
        <w:t xml:space="preserve">第二十五条 </w:t>
      </w:r>
      <w:r w:rsidR="00B975FD">
        <w:t>本准则自 2020</w:t>
      </w:r>
      <w:r w:rsidR="003068F8">
        <w:t>年</w:t>
      </w:r>
      <w:r w:rsidR="00B975FD">
        <w:t>3</w:t>
      </w:r>
      <w:r w:rsidR="003068F8">
        <w:t>月</w:t>
      </w:r>
      <w:r w:rsidR="00B975FD">
        <w:t>1</w:t>
      </w:r>
      <w:r w:rsidR="003068F8">
        <w:t>日</w:t>
      </w:r>
      <w:r w:rsidR="00B975FD">
        <w:t>起施行。</w:t>
      </w:r>
    </w:p>
    <w:p w14:paraId="44A77326" w14:textId="27B78A9A" w:rsidR="00EE367F" w:rsidRDefault="00EE367F" w:rsidP="00EE367F">
      <w:pPr>
        <w:pStyle w:val="31"/>
        <w:spacing w:before="156" w:after="62"/>
      </w:pPr>
      <w:bookmarkStart w:id="23" w:name="_Toc81833303"/>
      <w:r>
        <w:rPr>
          <w:rFonts w:hint="eastAsia"/>
        </w:rPr>
        <w:t>资产评估准则术语</w:t>
      </w:r>
      <w:r>
        <w:t>2020（</w:t>
      </w:r>
      <w:proofErr w:type="gramStart"/>
      <w:r>
        <w:t>中评协</w:t>
      </w:r>
      <w:proofErr w:type="gramEnd"/>
      <w:r>
        <w:t>〔2020〕31号）</w:t>
      </w:r>
      <w:bookmarkEnd w:id="23"/>
    </w:p>
    <w:p w14:paraId="00FAC27E" w14:textId="77777777" w:rsidR="00EE367F" w:rsidRDefault="00EE367F" w:rsidP="00EE367F">
      <w:pPr>
        <w:pStyle w:val="13"/>
        <w:ind w:firstLineChars="0" w:firstLine="0"/>
      </w:pPr>
      <w:r>
        <w:rPr>
          <w:rFonts w:hint="eastAsia"/>
        </w:rPr>
        <w:t>各省、自治区、直辖市、计划单列市资产评估协会（注册会计师协会）：</w:t>
      </w:r>
    </w:p>
    <w:p w14:paraId="46D8BDCE" w14:textId="77777777" w:rsidR="00EE367F" w:rsidRDefault="00EE367F" w:rsidP="00EE367F">
      <w:pPr>
        <w:pStyle w:val="13"/>
      </w:pPr>
      <w:r>
        <w:rPr>
          <w:rFonts w:hint="eastAsia"/>
        </w:rPr>
        <w:t>为规范资产评估准则术语使用，促进资产评估准则的理解和执行，在财政部指导下，中国资产评估协会组织研究形成了《资产评估准则术语</w:t>
      </w:r>
      <w:r>
        <w:t>2020》，现予印发。</w:t>
      </w:r>
    </w:p>
    <w:p w14:paraId="208AAEEA" w14:textId="77777777" w:rsidR="00EE367F" w:rsidRDefault="00EE367F" w:rsidP="00EE367F">
      <w:pPr>
        <w:pStyle w:val="13"/>
      </w:pPr>
      <w:r>
        <w:rPr>
          <w:rFonts w:hint="eastAsia"/>
        </w:rPr>
        <w:t>请各地</w:t>
      </w:r>
      <w:proofErr w:type="gramStart"/>
      <w:r>
        <w:rPr>
          <w:rFonts w:hint="eastAsia"/>
        </w:rPr>
        <w:t>方协会</w:t>
      </w:r>
      <w:proofErr w:type="gramEnd"/>
      <w:r>
        <w:rPr>
          <w:rFonts w:hint="eastAsia"/>
        </w:rPr>
        <w:t>将《资产评估准则术语</w:t>
      </w:r>
      <w:r>
        <w:t>2020》及时转发资产评估机构。</w:t>
      </w:r>
    </w:p>
    <w:p w14:paraId="7090BDA0" w14:textId="77777777" w:rsidR="00EE367F" w:rsidRDefault="00EE367F" w:rsidP="00EE367F">
      <w:pPr>
        <w:pStyle w:val="13"/>
      </w:pPr>
      <w:r>
        <w:rPr>
          <w:rFonts w:hint="eastAsia"/>
        </w:rPr>
        <w:t>附件：资产评估准则术语</w:t>
      </w:r>
      <w:r>
        <w:t>2020</w:t>
      </w:r>
    </w:p>
    <w:p w14:paraId="21BEE61D" w14:textId="77777777" w:rsidR="00EE367F" w:rsidRDefault="00EE367F" w:rsidP="00EE367F">
      <w:pPr>
        <w:pStyle w:val="13"/>
        <w:jc w:val="right"/>
      </w:pPr>
      <w:r>
        <w:rPr>
          <w:rFonts w:hint="eastAsia"/>
        </w:rPr>
        <w:t>中国资产评估协会</w:t>
      </w:r>
    </w:p>
    <w:p w14:paraId="474CFDCD" w14:textId="70F9247B" w:rsidR="00EE367F" w:rsidRDefault="00EE367F" w:rsidP="00EE367F">
      <w:pPr>
        <w:pStyle w:val="13"/>
        <w:jc w:val="right"/>
      </w:pPr>
      <w:r>
        <w:t>2020年11月25日</w:t>
      </w:r>
    </w:p>
    <w:p w14:paraId="20F98450" w14:textId="77777777" w:rsidR="00EE367F" w:rsidRDefault="00EE367F" w:rsidP="00EE367F">
      <w:pPr>
        <w:pStyle w:val="13"/>
        <w:jc w:val="right"/>
      </w:pPr>
    </w:p>
    <w:p w14:paraId="66F948AD" w14:textId="77777777" w:rsidR="00EE367F" w:rsidRPr="00EE367F" w:rsidRDefault="00EE367F" w:rsidP="00EE367F">
      <w:pPr>
        <w:pStyle w:val="13"/>
        <w:ind w:firstLine="482"/>
        <w:rPr>
          <w:b/>
          <w:bCs/>
        </w:rPr>
      </w:pPr>
      <w:r w:rsidRPr="00EE367F">
        <w:rPr>
          <w:b/>
          <w:bCs/>
        </w:rPr>
        <w:t>1.成本法</w:t>
      </w:r>
    </w:p>
    <w:p w14:paraId="046606D1" w14:textId="77777777" w:rsidR="00EE367F" w:rsidRDefault="00EE367F" w:rsidP="00EE367F">
      <w:pPr>
        <w:pStyle w:val="13"/>
      </w:pPr>
      <w:r>
        <w:rPr>
          <w:rFonts w:hint="eastAsia"/>
        </w:rPr>
        <w:t>成本法是指按照重建或者重置评估对象的思路，将评估对象的重建或者重置成本作为确定资产价值的基础，扣除相关贬值，以确定资产价值的评估方法的总称。</w:t>
      </w:r>
    </w:p>
    <w:p w14:paraId="59203DF7" w14:textId="77777777" w:rsidR="00EE367F" w:rsidRPr="00EE367F" w:rsidRDefault="00EE367F" w:rsidP="00EE367F">
      <w:pPr>
        <w:pStyle w:val="13"/>
        <w:ind w:firstLine="482"/>
        <w:rPr>
          <w:b/>
          <w:bCs/>
        </w:rPr>
      </w:pPr>
      <w:r w:rsidRPr="00EE367F">
        <w:rPr>
          <w:b/>
          <w:bCs/>
        </w:rPr>
        <w:t>2.重置成本</w:t>
      </w:r>
    </w:p>
    <w:p w14:paraId="44F615DB" w14:textId="77777777" w:rsidR="00EE367F" w:rsidRDefault="00EE367F" w:rsidP="00EE367F">
      <w:pPr>
        <w:pStyle w:val="13"/>
      </w:pPr>
      <w:r>
        <w:rPr>
          <w:rFonts w:hint="eastAsia"/>
        </w:rPr>
        <w:t>重置成本是指以现时价格水平重新购置或者重新建造与评估对象相同或者具有同等功能的全新资产所发生的全部成本。重置成本分为复原重置成本和更新重置成本。</w:t>
      </w:r>
    </w:p>
    <w:p w14:paraId="2FB14654" w14:textId="77777777" w:rsidR="00EE367F" w:rsidRPr="00EE367F" w:rsidRDefault="00EE367F" w:rsidP="00EE367F">
      <w:pPr>
        <w:pStyle w:val="13"/>
        <w:ind w:firstLine="482"/>
        <w:rPr>
          <w:b/>
          <w:bCs/>
        </w:rPr>
      </w:pPr>
      <w:r w:rsidRPr="00EE367F">
        <w:rPr>
          <w:b/>
          <w:bCs/>
        </w:rPr>
        <w:t>3.多期超额收益折现法</w:t>
      </w:r>
    </w:p>
    <w:p w14:paraId="3EE3E134" w14:textId="77777777" w:rsidR="00EE367F" w:rsidRDefault="00EE367F" w:rsidP="00EE367F">
      <w:pPr>
        <w:pStyle w:val="13"/>
      </w:pPr>
      <w:r>
        <w:rPr>
          <w:rFonts w:hint="eastAsia"/>
        </w:rPr>
        <w:t>多期超额收益折现法是指将企业或者资产组未来预期收益中归属于无形资产等评估对象的各期预期超额收益进行折现累加以确定评估对象价值的一种评估方法。多期超额收益通常是指从无形资产等评估对象与其他资产共同创造的各期整体收益</w:t>
      </w:r>
      <w:r>
        <w:rPr>
          <w:rFonts w:hint="eastAsia"/>
        </w:rPr>
        <w:lastRenderedPageBreak/>
        <w:t>中扣减其他资产贡献的收益后的余额。</w:t>
      </w:r>
    </w:p>
    <w:p w14:paraId="474355D1" w14:textId="77777777" w:rsidR="00EE367F" w:rsidRDefault="00EE367F" w:rsidP="00EE367F">
      <w:pPr>
        <w:pStyle w:val="13"/>
      </w:pPr>
      <w:r>
        <w:rPr>
          <w:rFonts w:hint="eastAsia"/>
        </w:rPr>
        <w:t>多期超额收益折现法也称多期超额收益法。</w:t>
      </w:r>
    </w:p>
    <w:p w14:paraId="7D40092A" w14:textId="77777777" w:rsidR="00EE367F" w:rsidRPr="00EE367F" w:rsidRDefault="00EE367F" w:rsidP="00EE367F">
      <w:pPr>
        <w:pStyle w:val="13"/>
        <w:ind w:firstLine="482"/>
        <w:rPr>
          <w:b/>
          <w:bCs/>
        </w:rPr>
      </w:pPr>
      <w:r w:rsidRPr="00EE367F">
        <w:rPr>
          <w:b/>
          <w:bCs/>
        </w:rPr>
        <w:t>4.法定资产评估业务</w:t>
      </w:r>
    </w:p>
    <w:p w14:paraId="1CAC9316" w14:textId="77777777" w:rsidR="00EE367F" w:rsidRDefault="00EE367F" w:rsidP="00EE367F">
      <w:pPr>
        <w:pStyle w:val="13"/>
      </w:pPr>
      <w:r>
        <w:rPr>
          <w:rFonts w:hint="eastAsia"/>
        </w:rPr>
        <w:t>法定资产评估业务是指涉及国有资产或者公共利益等事项，依照法律、行政法规的相关规定需要评估的资产评估业务。</w:t>
      </w:r>
    </w:p>
    <w:p w14:paraId="23936C2A" w14:textId="77777777" w:rsidR="00EE367F" w:rsidRPr="00EE367F" w:rsidRDefault="00EE367F" w:rsidP="00EE367F">
      <w:pPr>
        <w:pStyle w:val="13"/>
        <w:ind w:firstLine="482"/>
        <w:rPr>
          <w:b/>
          <w:bCs/>
        </w:rPr>
      </w:pPr>
      <w:r w:rsidRPr="00EE367F">
        <w:rPr>
          <w:b/>
          <w:bCs/>
        </w:rPr>
        <w:t>5.复原重置成本</w:t>
      </w:r>
    </w:p>
    <w:p w14:paraId="69A9516F" w14:textId="77777777" w:rsidR="00EE367F" w:rsidRDefault="00EE367F" w:rsidP="00EE367F">
      <w:pPr>
        <w:pStyle w:val="13"/>
      </w:pPr>
      <w:r>
        <w:rPr>
          <w:rFonts w:hint="eastAsia"/>
        </w:rPr>
        <w:t>复原重置成本是指以现时价格水平重新购置或者重新建造与评估对象相同的全新资产所发生的全部成本。其中的相同，不仅包括在整体功能上相同，也包括在材料、建筑或者制造标准、设计、规格和技术等方面与评估对象相同或者基本相同。</w:t>
      </w:r>
    </w:p>
    <w:p w14:paraId="1FA608C9" w14:textId="77777777" w:rsidR="00EE367F" w:rsidRPr="00EE367F" w:rsidRDefault="00EE367F" w:rsidP="00EE367F">
      <w:pPr>
        <w:pStyle w:val="13"/>
        <w:ind w:firstLine="482"/>
        <w:rPr>
          <w:b/>
          <w:bCs/>
        </w:rPr>
      </w:pPr>
      <w:r w:rsidRPr="00EE367F">
        <w:rPr>
          <w:b/>
          <w:bCs/>
        </w:rPr>
        <w:t>6.改变用途假设</w:t>
      </w:r>
    </w:p>
    <w:p w14:paraId="3FABCB5B" w14:textId="77777777" w:rsidR="00EE367F" w:rsidRDefault="00EE367F" w:rsidP="00EE367F">
      <w:pPr>
        <w:pStyle w:val="13"/>
      </w:pPr>
      <w:r>
        <w:rPr>
          <w:rFonts w:hint="eastAsia"/>
        </w:rPr>
        <w:t>改变用途假设是指假设资产将不再按当前用途使用，而是改变为其他用途持续使用。</w:t>
      </w:r>
    </w:p>
    <w:p w14:paraId="3CA52EB6" w14:textId="77777777" w:rsidR="00EE367F" w:rsidRPr="00EE367F" w:rsidRDefault="00EE367F" w:rsidP="00EE367F">
      <w:pPr>
        <w:pStyle w:val="13"/>
        <w:ind w:firstLine="482"/>
        <w:rPr>
          <w:b/>
          <w:bCs/>
        </w:rPr>
      </w:pPr>
      <w:r w:rsidRPr="00EE367F">
        <w:rPr>
          <w:b/>
          <w:bCs/>
        </w:rPr>
        <w:t>7.更新重置成本</w:t>
      </w:r>
    </w:p>
    <w:p w14:paraId="27FDCEFD" w14:textId="77777777" w:rsidR="00EE367F" w:rsidRDefault="00EE367F" w:rsidP="00EE367F">
      <w:pPr>
        <w:pStyle w:val="13"/>
      </w:pPr>
      <w:r>
        <w:rPr>
          <w:rFonts w:hint="eastAsia"/>
        </w:rPr>
        <w:t>更新重置成本是指以现时价格水平重新购置或者重新建造与评估对象具有同等功能的全新资产所发生的全部成本。</w:t>
      </w:r>
    </w:p>
    <w:p w14:paraId="4EFA95B4" w14:textId="77777777" w:rsidR="00EE367F" w:rsidRPr="00EE367F" w:rsidRDefault="00EE367F" w:rsidP="00EE367F">
      <w:pPr>
        <w:pStyle w:val="13"/>
        <w:ind w:firstLine="482"/>
        <w:rPr>
          <w:b/>
          <w:bCs/>
        </w:rPr>
      </w:pPr>
      <w:r w:rsidRPr="00EE367F">
        <w:rPr>
          <w:b/>
          <w:bCs/>
        </w:rPr>
        <w:t>8.工作底稿</w:t>
      </w:r>
    </w:p>
    <w:p w14:paraId="7E4DF367" w14:textId="77777777" w:rsidR="00EE367F" w:rsidRDefault="00EE367F" w:rsidP="00EE367F">
      <w:pPr>
        <w:pStyle w:val="13"/>
      </w:pPr>
      <w:r>
        <w:rPr>
          <w:rFonts w:hint="eastAsia"/>
        </w:rPr>
        <w:t>工作底稿是</w:t>
      </w:r>
      <w:proofErr w:type="gramStart"/>
      <w:r>
        <w:rPr>
          <w:rFonts w:hint="eastAsia"/>
        </w:rPr>
        <w:t>指执行</w:t>
      </w:r>
      <w:proofErr w:type="gramEnd"/>
      <w:r>
        <w:rPr>
          <w:rFonts w:hint="eastAsia"/>
        </w:rPr>
        <w:t>资产评估业务过程中形成的，反映资产评估程序实施情况、支持评估结论的工作记录及相关资料。工作底稿包括操作类工作底稿和管理类工作底稿。</w:t>
      </w:r>
    </w:p>
    <w:p w14:paraId="0F7FAE88" w14:textId="77777777" w:rsidR="00EE367F" w:rsidRDefault="00EE367F" w:rsidP="00EE367F">
      <w:pPr>
        <w:pStyle w:val="13"/>
      </w:pPr>
      <w:r>
        <w:rPr>
          <w:rFonts w:hint="eastAsia"/>
        </w:rPr>
        <w:t>操作类工作底稿是指在执行资产评估业务过程中，履行现场调查、收集评估资料和评定估算程序时所形成的工作记录及相关资料。</w:t>
      </w:r>
    </w:p>
    <w:p w14:paraId="3057517A" w14:textId="77777777" w:rsidR="00EE367F" w:rsidRDefault="00EE367F" w:rsidP="00EE367F">
      <w:pPr>
        <w:pStyle w:val="13"/>
      </w:pPr>
      <w:r>
        <w:rPr>
          <w:rFonts w:hint="eastAsia"/>
        </w:rPr>
        <w:t>管理类工作底稿是指在执行资产评估业务过程中，为受理、计划、控制和管理资产评估业务所形成的工作记录及相关资料。</w:t>
      </w:r>
    </w:p>
    <w:p w14:paraId="20DD8665" w14:textId="77777777" w:rsidR="00EE367F" w:rsidRPr="00EE367F" w:rsidRDefault="00EE367F" w:rsidP="00EE367F">
      <w:pPr>
        <w:pStyle w:val="13"/>
        <w:ind w:firstLine="482"/>
        <w:rPr>
          <w:b/>
          <w:bCs/>
        </w:rPr>
      </w:pPr>
      <w:r w:rsidRPr="00EE367F">
        <w:rPr>
          <w:b/>
          <w:bCs/>
        </w:rPr>
        <w:t>9.功能性贬值</w:t>
      </w:r>
    </w:p>
    <w:p w14:paraId="6D7998B2" w14:textId="77777777" w:rsidR="00EE367F" w:rsidRDefault="00EE367F" w:rsidP="00EE367F">
      <w:pPr>
        <w:pStyle w:val="13"/>
      </w:pPr>
      <w:r>
        <w:rPr>
          <w:rFonts w:hint="eastAsia"/>
        </w:rPr>
        <w:t>功能性贬值是指由于技术进步引起的资产功能相对落后而造成的资产价值损失。功能性贬值主要体现在由于采用新工艺、新材料和新技术等，而使被评估资产在原有方式下的建造成本超过现行建造成本，或者被评估资产继续运营会出现超过现有技术进步的同类资产的运营成本等方面。</w:t>
      </w:r>
    </w:p>
    <w:p w14:paraId="6CE3D3DB" w14:textId="77777777" w:rsidR="00EE367F" w:rsidRPr="00EE367F" w:rsidRDefault="00EE367F" w:rsidP="00EE367F">
      <w:pPr>
        <w:pStyle w:val="13"/>
        <w:ind w:firstLine="482"/>
        <w:rPr>
          <w:b/>
          <w:bCs/>
        </w:rPr>
      </w:pPr>
      <w:r w:rsidRPr="00EE367F">
        <w:rPr>
          <w:b/>
          <w:bCs/>
        </w:rPr>
        <w:t>10.股东部分权益价值</w:t>
      </w:r>
    </w:p>
    <w:p w14:paraId="7B4367AD" w14:textId="77777777" w:rsidR="00EE367F" w:rsidRDefault="00EE367F" w:rsidP="00EE367F">
      <w:pPr>
        <w:pStyle w:val="13"/>
      </w:pPr>
      <w:r>
        <w:rPr>
          <w:rFonts w:hint="eastAsia"/>
        </w:rPr>
        <w:t>股东部分权益价值是指在企业全体股东的股东全部权益价值中归属于部分股东的权益价值或者企业全体股东的全部权益价值中的某一比例或者部分的权益价值。</w:t>
      </w:r>
    </w:p>
    <w:p w14:paraId="63ED4012" w14:textId="77777777" w:rsidR="00EE367F" w:rsidRPr="00EE367F" w:rsidRDefault="00EE367F" w:rsidP="00EE367F">
      <w:pPr>
        <w:pStyle w:val="13"/>
        <w:ind w:firstLine="482"/>
        <w:rPr>
          <w:b/>
          <w:bCs/>
        </w:rPr>
      </w:pPr>
      <w:r w:rsidRPr="00EE367F">
        <w:rPr>
          <w:b/>
          <w:bCs/>
        </w:rPr>
        <w:t>11.股东全部权益价值</w:t>
      </w:r>
    </w:p>
    <w:p w14:paraId="1FBFE5DB" w14:textId="77777777" w:rsidR="00EE367F" w:rsidRDefault="00EE367F" w:rsidP="00EE367F">
      <w:pPr>
        <w:pStyle w:val="13"/>
      </w:pPr>
      <w:r>
        <w:rPr>
          <w:rFonts w:hint="eastAsia"/>
        </w:rPr>
        <w:t>股东全部权益价值是指归属于企业全体股东享有的权益价值，通常表现为企业总资产扣除企业各项债务后的剩余经济利益的价值。</w:t>
      </w:r>
    </w:p>
    <w:p w14:paraId="1FE1CAF1" w14:textId="77777777" w:rsidR="00EE367F" w:rsidRPr="00EE367F" w:rsidRDefault="00EE367F" w:rsidP="00EE367F">
      <w:pPr>
        <w:pStyle w:val="13"/>
        <w:ind w:firstLine="482"/>
        <w:rPr>
          <w:b/>
          <w:bCs/>
        </w:rPr>
      </w:pPr>
      <w:r w:rsidRPr="00EE367F">
        <w:rPr>
          <w:b/>
          <w:bCs/>
        </w:rPr>
        <w:lastRenderedPageBreak/>
        <w:t>12.股利折现法</w:t>
      </w:r>
    </w:p>
    <w:p w14:paraId="343344DC" w14:textId="77777777" w:rsidR="00EE367F" w:rsidRDefault="00EE367F" w:rsidP="00EE367F">
      <w:pPr>
        <w:pStyle w:val="13"/>
      </w:pPr>
      <w:r>
        <w:rPr>
          <w:rFonts w:hint="eastAsia"/>
        </w:rPr>
        <w:t>股利折现法是将预期股利进行折现以确定评估对象价值的具体方法，通常适用于缺乏控制权的股东部分权益价值评估。</w:t>
      </w:r>
    </w:p>
    <w:p w14:paraId="2DE58670" w14:textId="77777777" w:rsidR="00EE367F" w:rsidRPr="00EE367F" w:rsidRDefault="00EE367F" w:rsidP="00EE367F">
      <w:pPr>
        <w:pStyle w:val="13"/>
        <w:ind w:firstLine="482"/>
        <w:rPr>
          <w:b/>
          <w:bCs/>
        </w:rPr>
      </w:pPr>
      <w:r w:rsidRPr="00EE367F">
        <w:rPr>
          <w:b/>
          <w:bCs/>
        </w:rPr>
        <w:t>13.股权自由现金流</w:t>
      </w:r>
    </w:p>
    <w:p w14:paraId="59633A59" w14:textId="77777777" w:rsidR="00EE367F" w:rsidRDefault="00EE367F" w:rsidP="00EE367F">
      <w:pPr>
        <w:pStyle w:val="13"/>
      </w:pPr>
      <w:r>
        <w:rPr>
          <w:rFonts w:hint="eastAsia"/>
        </w:rPr>
        <w:t>股权自由现金流是指股东或者投资者从所投资企业（经营体）可以获得的扣除所有经营费用、税收、付息债务本息偿还以及为保障预计现金流持续或者增长要求所需要的营运资金净增加和全部资本性支出后的可自由分配给企业股东或者投资者的剩余净现金流量。</w:t>
      </w:r>
    </w:p>
    <w:p w14:paraId="4EC242FF" w14:textId="77777777" w:rsidR="00EE367F" w:rsidRPr="00EE367F" w:rsidRDefault="00EE367F" w:rsidP="00EE367F">
      <w:pPr>
        <w:pStyle w:val="13"/>
        <w:ind w:firstLine="482"/>
        <w:rPr>
          <w:b/>
          <w:bCs/>
        </w:rPr>
      </w:pPr>
      <w:r w:rsidRPr="00EE367F">
        <w:rPr>
          <w:b/>
          <w:bCs/>
        </w:rPr>
        <w:t>14.基准地价修正法</w:t>
      </w:r>
    </w:p>
    <w:p w14:paraId="0D91023D" w14:textId="77777777" w:rsidR="00EE367F" w:rsidRDefault="00EE367F" w:rsidP="00EE367F">
      <w:pPr>
        <w:pStyle w:val="13"/>
      </w:pPr>
      <w:r>
        <w:rPr>
          <w:rFonts w:hint="eastAsia"/>
        </w:rPr>
        <w:t>基准地价修正法是指利用基准地价和基准地价修正体系等信息，按照替代原理，将</w:t>
      </w:r>
      <w:proofErr w:type="gramStart"/>
      <w:r>
        <w:rPr>
          <w:rFonts w:hint="eastAsia"/>
        </w:rPr>
        <w:t>待估宗</w:t>
      </w:r>
      <w:proofErr w:type="gramEnd"/>
      <w:r>
        <w:rPr>
          <w:rFonts w:hint="eastAsia"/>
        </w:rPr>
        <w:t>地的区域条件和个别条件等与其所处区域的平均条件相比较，并对照基准地价修正体系选取相应的修正系数对基准地价进行修正，从而求取评估对象在评估基准</w:t>
      </w:r>
      <w:proofErr w:type="gramStart"/>
      <w:r>
        <w:rPr>
          <w:rFonts w:hint="eastAsia"/>
        </w:rPr>
        <w:t>日价值</w:t>
      </w:r>
      <w:proofErr w:type="gramEnd"/>
      <w:r>
        <w:rPr>
          <w:rFonts w:hint="eastAsia"/>
        </w:rPr>
        <w:t>的评估方法。</w:t>
      </w:r>
    </w:p>
    <w:p w14:paraId="0F0F8A39" w14:textId="77777777" w:rsidR="00EE367F" w:rsidRDefault="00EE367F" w:rsidP="00EE367F">
      <w:pPr>
        <w:pStyle w:val="13"/>
      </w:pPr>
      <w:r>
        <w:rPr>
          <w:rFonts w:hint="eastAsia"/>
        </w:rPr>
        <w:t>基准地价修正法也称基准地价系数修正法。</w:t>
      </w:r>
    </w:p>
    <w:p w14:paraId="623658B0" w14:textId="77777777" w:rsidR="00EE367F" w:rsidRPr="00EE367F" w:rsidRDefault="00EE367F" w:rsidP="00EE367F">
      <w:pPr>
        <w:pStyle w:val="13"/>
        <w:ind w:firstLine="482"/>
        <w:rPr>
          <w:b/>
          <w:bCs/>
        </w:rPr>
      </w:pPr>
      <w:r w:rsidRPr="00EE367F">
        <w:rPr>
          <w:b/>
          <w:bCs/>
        </w:rPr>
        <w:t>15.继续使用假设</w:t>
      </w:r>
    </w:p>
    <w:p w14:paraId="59F549AD" w14:textId="77777777" w:rsidR="00EE367F" w:rsidRDefault="00EE367F" w:rsidP="00EE367F">
      <w:pPr>
        <w:pStyle w:val="13"/>
      </w:pPr>
      <w:r>
        <w:rPr>
          <w:rFonts w:hint="eastAsia"/>
        </w:rPr>
        <w:t>继续使用假设是指资产在一定市场条件、工作环境和利用方式下继续使用，包括按现行用途继续使用或者转换用途继续使用，原地继续使用或者移地继续使用。</w:t>
      </w:r>
    </w:p>
    <w:p w14:paraId="321867B6" w14:textId="77777777" w:rsidR="00EE367F" w:rsidRPr="00EE367F" w:rsidRDefault="00EE367F" w:rsidP="00EE367F">
      <w:pPr>
        <w:pStyle w:val="13"/>
        <w:ind w:firstLine="482"/>
        <w:rPr>
          <w:b/>
          <w:bCs/>
        </w:rPr>
      </w:pPr>
      <w:r w:rsidRPr="00EE367F">
        <w:rPr>
          <w:b/>
          <w:bCs/>
        </w:rPr>
        <w:t>16.假设开发法</w:t>
      </w:r>
    </w:p>
    <w:p w14:paraId="6D4F803D" w14:textId="77777777" w:rsidR="00EE367F" w:rsidRDefault="00EE367F" w:rsidP="00EE367F">
      <w:pPr>
        <w:pStyle w:val="13"/>
      </w:pPr>
      <w:r>
        <w:rPr>
          <w:rFonts w:hint="eastAsia"/>
        </w:rPr>
        <w:t>假设开发法是指将开发完成后的不动产价值减去后续开发的必要支出及应得利润从而得到评估对象价值的方法。假设开发法本质是以不动产的预期开发后的价值为导向求取评估对象的价值。</w:t>
      </w:r>
    </w:p>
    <w:p w14:paraId="1DF79D2C" w14:textId="77777777" w:rsidR="00EE367F" w:rsidRDefault="00EE367F" w:rsidP="00EE367F">
      <w:pPr>
        <w:pStyle w:val="13"/>
      </w:pPr>
      <w:r>
        <w:rPr>
          <w:rFonts w:hint="eastAsia"/>
        </w:rPr>
        <w:t>假设开发法，也称剩余法、倒算</w:t>
      </w:r>
      <w:proofErr w:type="gramStart"/>
      <w:r>
        <w:rPr>
          <w:rFonts w:hint="eastAsia"/>
        </w:rPr>
        <w:t>法或者</w:t>
      </w:r>
      <w:proofErr w:type="gramEnd"/>
      <w:r>
        <w:rPr>
          <w:rFonts w:hint="eastAsia"/>
        </w:rPr>
        <w:t>预期开发法。</w:t>
      </w:r>
    </w:p>
    <w:p w14:paraId="3F5561F3" w14:textId="77777777" w:rsidR="00EE367F" w:rsidRPr="00EE367F" w:rsidRDefault="00EE367F" w:rsidP="00EE367F">
      <w:pPr>
        <w:pStyle w:val="13"/>
        <w:ind w:firstLine="482"/>
        <w:rPr>
          <w:b/>
          <w:bCs/>
        </w:rPr>
      </w:pPr>
      <w:r w:rsidRPr="00EE367F">
        <w:rPr>
          <w:b/>
          <w:bCs/>
        </w:rPr>
        <w:t>17.价值比率</w:t>
      </w:r>
    </w:p>
    <w:p w14:paraId="499B6D43" w14:textId="77777777" w:rsidR="00EE367F" w:rsidRDefault="00EE367F" w:rsidP="00EE367F">
      <w:pPr>
        <w:pStyle w:val="13"/>
      </w:pPr>
      <w:r>
        <w:rPr>
          <w:rFonts w:hint="eastAsia"/>
        </w:rPr>
        <w:t>价值比率是指在资产价值和与其具有关联关系的财务或者非财务等指标之间所建立的比值关系，并以此作为评估资产价值的一种价值倍数。</w:t>
      </w:r>
    </w:p>
    <w:p w14:paraId="6ABB6FD7" w14:textId="77777777" w:rsidR="00EE367F" w:rsidRPr="00EE367F" w:rsidRDefault="00EE367F" w:rsidP="00EE367F">
      <w:pPr>
        <w:pStyle w:val="13"/>
        <w:ind w:firstLine="482"/>
        <w:rPr>
          <w:b/>
          <w:bCs/>
        </w:rPr>
      </w:pPr>
      <w:r w:rsidRPr="00EE367F">
        <w:rPr>
          <w:b/>
          <w:bCs/>
        </w:rPr>
        <w:t>18.价值类型</w:t>
      </w:r>
    </w:p>
    <w:p w14:paraId="33BE7667" w14:textId="77777777" w:rsidR="00EE367F" w:rsidRDefault="00EE367F" w:rsidP="00EE367F">
      <w:pPr>
        <w:pStyle w:val="13"/>
      </w:pPr>
      <w:r>
        <w:rPr>
          <w:rFonts w:hint="eastAsia"/>
        </w:rPr>
        <w:t>价值类型是指反映评估对象特定价值内涵、属性和合理性指向的各种价值定义的统称，包括市场价值和市场价值以外的价值类型。市场价值以外的价值类型包括投资价值、在用价值、清算价值、残余价值等。</w:t>
      </w:r>
    </w:p>
    <w:p w14:paraId="2CD12B74" w14:textId="77777777" w:rsidR="00EE367F" w:rsidRDefault="00EE367F" w:rsidP="00EE367F">
      <w:pPr>
        <w:pStyle w:val="13"/>
      </w:pPr>
      <w:r>
        <w:rPr>
          <w:rFonts w:hint="eastAsia"/>
        </w:rPr>
        <w:t>投资价值是指评估对象对于具有明确投资目标的特定投资者或者某一类投资者所具有的价值估计数额，亦称特定投资者价值。</w:t>
      </w:r>
    </w:p>
    <w:p w14:paraId="6F7CD967" w14:textId="77777777" w:rsidR="00EE367F" w:rsidRDefault="00EE367F" w:rsidP="00EE367F">
      <w:pPr>
        <w:pStyle w:val="13"/>
      </w:pPr>
      <w:r>
        <w:rPr>
          <w:rFonts w:hint="eastAsia"/>
        </w:rPr>
        <w:t>在用价值是指将评估对象作为企业、资产组组成部分或者要素资产，按其正在使用方式和程度及其对所属企业或者资产组的贡献的价值估计数额。</w:t>
      </w:r>
    </w:p>
    <w:p w14:paraId="23AD4393" w14:textId="77777777" w:rsidR="00EE367F" w:rsidRDefault="00EE367F" w:rsidP="00EE367F">
      <w:pPr>
        <w:pStyle w:val="13"/>
      </w:pPr>
      <w:r>
        <w:rPr>
          <w:rFonts w:hint="eastAsia"/>
        </w:rPr>
        <w:t>清算价值是指评估对象处于被迫出售、快速变现等非正常市场条件下的价值估</w:t>
      </w:r>
      <w:r>
        <w:rPr>
          <w:rFonts w:hint="eastAsia"/>
        </w:rPr>
        <w:lastRenderedPageBreak/>
        <w:t>计数额。</w:t>
      </w:r>
    </w:p>
    <w:p w14:paraId="49061B52" w14:textId="77777777" w:rsidR="00EE367F" w:rsidRDefault="00EE367F" w:rsidP="00EE367F">
      <w:pPr>
        <w:pStyle w:val="13"/>
      </w:pPr>
      <w:r>
        <w:rPr>
          <w:rFonts w:hint="eastAsia"/>
        </w:rPr>
        <w:t>残余价值是指机器设备、房屋建筑物或者其他有形资产等的</w:t>
      </w:r>
      <w:proofErr w:type="gramStart"/>
      <w:r>
        <w:rPr>
          <w:rFonts w:hint="eastAsia"/>
        </w:rPr>
        <w:t>拆零变</w:t>
      </w:r>
      <w:proofErr w:type="gramEnd"/>
      <w:r>
        <w:rPr>
          <w:rFonts w:hint="eastAsia"/>
        </w:rPr>
        <w:t>现价值估计数额。</w:t>
      </w:r>
    </w:p>
    <w:p w14:paraId="0A52E61E" w14:textId="77777777" w:rsidR="00EE367F" w:rsidRPr="00EE367F" w:rsidRDefault="00EE367F" w:rsidP="00EE367F">
      <w:pPr>
        <w:pStyle w:val="13"/>
        <w:ind w:firstLine="482"/>
        <w:rPr>
          <w:b/>
          <w:bCs/>
        </w:rPr>
      </w:pPr>
      <w:r w:rsidRPr="00EE367F">
        <w:rPr>
          <w:b/>
          <w:bCs/>
        </w:rPr>
        <w:t>19.交易案例比较法</w:t>
      </w:r>
    </w:p>
    <w:p w14:paraId="2952D1C2" w14:textId="77777777" w:rsidR="00EE367F" w:rsidRDefault="00EE367F" w:rsidP="00EE367F">
      <w:pPr>
        <w:pStyle w:val="13"/>
      </w:pPr>
      <w:r>
        <w:rPr>
          <w:rFonts w:hint="eastAsia"/>
        </w:rPr>
        <w:t>交易案例比较法是指获取并分析可比的企业交易案例资料，计算价值比率，在与被评估企业比较分析的基础上，确定被评估企业价值的评估方法。</w:t>
      </w:r>
    </w:p>
    <w:p w14:paraId="6945D68B" w14:textId="77777777" w:rsidR="00EE367F" w:rsidRPr="00EE367F" w:rsidRDefault="00EE367F" w:rsidP="00EE367F">
      <w:pPr>
        <w:pStyle w:val="13"/>
        <w:ind w:firstLine="482"/>
        <w:rPr>
          <w:b/>
          <w:bCs/>
        </w:rPr>
      </w:pPr>
      <w:r w:rsidRPr="00EE367F">
        <w:rPr>
          <w:b/>
          <w:bCs/>
        </w:rPr>
        <w:t>20.节省许可费折现法</w:t>
      </w:r>
    </w:p>
    <w:p w14:paraId="37446EE2" w14:textId="77777777" w:rsidR="00EE367F" w:rsidRDefault="00EE367F" w:rsidP="00EE367F">
      <w:pPr>
        <w:pStyle w:val="13"/>
      </w:pPr>
      <w:r>
        <w:rPr>
          <w:rFonts w:hint="eastAsia"/>
        </w:rPr>
        <w:t>节省许可费折现法是指基于拥有无形资产等评估对象可以产生未来节省许可费的预期，并对所节省许可费采用适当的折现率折现后累加从而确定评估对象价值的一种评估方法。节省许可费通常是由与无形资产等评估对象类似或者相近的无形资产的平均许可</w:t>
      </w:r>
      <w:proofErr w:type="gramStart"/>
      <w:r>
        <w:rPr>
          <w:rFonts w:hint="eastAsia"/>
        </w:rPr>
        <w:t>费水平</w:t>
      </w:r>
      <w:proofErr w:type="gramEnd"/>
      <w:r>
        <w:rPr>
          <w:rFonts w:hint="eastAsia"/>
        </w:rPr>
        <w:t>或者一般</w:t>
      </w:r>
      <w:proofErr w:type="gramStart"/>
      <w:r>
        <w:rPr>
          <w:rFonts w:hint="eastAsia"/>
        </w:rPr>
        <w:t>许可费取费率</w:t>
      </w:r>
      <w:proofErr w:type="gramEnd"/>
      <w:r>
        <w:rPr>
          <w:rFonts w:hint="eastAsia"/>
        </w:rPr>
        <w:t>水平决定。</w:t>
      </w:r>
    </w:p>
    <w:p w14:paraId="575EAC84" w14:textId="77777777" w:rsidR="00EE367F" w:rsidRPr="00EE367F" w:rsidRDefault="00EE367F" w:rsidP="00EE367F">
      <w:pPr>
        <w:pStyle w:val="13"/>
        <w:ind w:firstLine="482"/>
        <w:rPr>
          <w:b/>
          <w:bCs/>
        </w:rPr>
      </w:pPr>
      <w:r w:rsidRPr="00EE367F">
        <w:rPr>
          <w:b/>
          <w:bCs/>
        </w:rPr>
        <w:t>21.经济性贬值</w:t>
      </w:r>
    </w:p>
    <w:p w14:paraId="660D2AAE" w14:textId="77777777" w:rsidR="00EE367F" w:rsidRDefault="00EE367F" w:rsidP="00EE367F">
      <w:pPr>
        <w:pStyle w:val="13"/>
      </w:pPr>
      <w:r>
        <w:rPr>
          <w:rFonts w:hint="eastAsia"/>
        </w:rPr>
        <w:t>经济性贬值是指由于外部条件的变化引起资产收益、资产利用率发生具有持续性的减少、下降或者闲置等而造成的资产价值损失。</w:t>
      </w:r>
    </w:p>
    <w:p w14:paraId="222B302D" w14:textId="77777777" w:rsidR="00EE367F" w:rsidRPr="00EE367F" w:rsidRDefault="00EE367F" w:rsidP="00EE367F">
      <w:pPr>
        <w:pStyle w:val="13"/>
        <w:ind w:firstLine="482"/>
        <w:rPr>
          <w:b/>
          <w:bCs/>
        </w:rPr>
      </w:pPr>
      <w:r w:rsidRPr="00EE367F">
        <w:rPr>
          <w:b/>
          <w:bCs/>
        </w:rPr>
        <w:t>22.可辨认和不可辨认无形资产</w:t>
      </w:r>
    </w:p>
    <w:p w14:paraId="6DE3F574" w14:textId="77777777" w:rsidR="00EE367F" w:rsidRDefault="00EE367F" w:rsidP="00EE367F">
      <w:pPr>
        <w:pStyle w:val="13"/>
      </w:pPr>
      <w:r>
        <w:rPr>
          <w:rFonts w:hint="eastAsia"/>
        </w:rPr>
        <w:t>可辨认无形资产是指能够独立存在，并可以单独对外出租、出售、授予许可、交换的无形资产。例如专利权、非专利技术、商标权、著作权等。</w:t>
      </w:r>
    </w:p>
    <w:p w14:paraId="5D4C4B70" w14:textId="77777777" w:rsidR="00EE367F" w:rsidRDefault="00EE367F" w:rsidP="00EE367F">
      <w:pPr>
        <w:pStyle w:val="13"/>
      </w:pPr>
      <w:r>
        <w:rPr>
          <w:rFonts w:hint="eastAsia"/>
        </w:rPr>
        <w:t>不可辨认无形资产即商誉，是指不能独立存在，且与企业整体或者经营实体不可分割的无形资产。</w:t>
      </w:r>
    </w:p>
    <w:p w14:paraId="52F701E5" w14:textId="77777777" w:rsidR="00EE367F" w:rsidRPr="00EE367F" w:rsidRDefault="00EE367F" w:rsidP="00EE367F">
      <w:pPr>
        <w:pStyle w:val="13"/>
        <w:ind w:firstLine="482"/>
        <w:rPr>
          <w:b/>
          <w:bCs/>
        </w:rPr>
      </w:pPr>
      <w:r w:rsidRPr="00EE367F">
        <w:rPr>
          <w:b/>
          <w:bCs/>
        </w:rPr>
        <w:t>23.类似房地产</w:t>
      </w:r>
    </w:p>
    <w:p w14:paraId="691091D8" w14:textId="77777777" w:rsidR="00EE367F" w:rsidRDefault="00EE367F" w:rsidP="00EE367F">
      <w:pPr>
        <w:pStyle w:val="13"/>
      </w:pPr>
      <w:r>
        <w:rPr>
          <w:rFonts w:hint="eastAsia"/>
        </w:rPr>
        <w:t>类似房地产是指在同一供需圈内，与被评估房地产的区位、用途、权利性质、档次、规模、建筑结构、新旧程度等相同或者相似的房地产。同一供需圈是指与被评估房地产具有替代性且对其价格形成的影响具有相似性的区域。</w:t>
      </w:r>
    </w:p>
    <w:p w14:paraId="3BB7FBA3" w14:textId="77777777" w:rsidR="00EE367F" w:rsidRPr="00EE367F" w:rsidRDefault="00EE367F" w:rsidP="00EE367F">
      <w:pPr>
        <w:pStyle w:val="13"/>
        <w:ind w:firstLine="482"/>
        <w:rPr>
          <w:b/>
          <w:bCs/>
        </w:rPr>
      </w:pPr>
      <w:r w:rsidRPr="00EE367F">
        <w:rPr>
          <w:b/>
          <w:bCs/>
        </w:rPr>
        <w:t>24.类似无形资产</w:t>
      </w:r>
    </w:p>
    <w:p w14:paraId="1C3D72D6" w14:textId="77777777" w:rsidR="00EE367F" w:rsidRDefault="00EE367F" w:rsidP="00EE367F">
      <w:pPr>
        <w:pStyle w:val="13"/>
      </w:pPr>
      <w:r>
        <w:rPr>
          <w:rFonts w:hint="eastAsia"/>
        </w:rPr>
        <w:t>类似无形资产是指与评估标的无形资产同类且功能相近的无形资产。</w:t>
      </w:r>
    </w:p>
    <w:p w14:paraId="7C6B2E51" w14:textId="77777777" w:rsidR="00EE367F" w:rsidRPr="00EE367F" w:rsidRDefault="00EE367F" w:rsidP="00EE367F">
      <w:pPr>
        <w:pStyle w:val="13"/>
        <w:ind w:firstLine="482"/>
        <w:rPr>
          <w:b/>
          <w:bCs/>
        </w:rPr>
      </w:pPr>
      <w:r w:rsidRPr="00EE367F">
        <w:rPr>
          <w:b/>
          <w:bCs/>
        </w:rPr>
        <w:t>25.利用专家工作及相关报告</w:t>
      </w:r>
    </w:p>
    <w:p w14:paraId="36DCCA92" w14:textId="77777777" w:rsidR="00EE367F" w:rsidRDefault="00EE367F" w:rsidP="00EE367F">
      <w:pPr>
        <w:pStyle w:val="13"/>
      </w:pPr>
      <w:r>
        <w:rPr>
          <w:rFonts w:hint="eastAsia"/>
        </w:rPr>
        <w:t>利用专家工作及相关报告是指资产评估机构在执行资产评估业务过程中，聘请专家个人协助工作、利用专业报告和引用单项资产评估报告等行为。</w:t>
      </w:r>
    </w:p>
    <w:p w14:paraId="4F54014E" w14:textId="77777777" w:rsidR="00EE367F" w:rsidRPr="00EE367F" w:rsidRDefault="00EE367F" w:rsidP="00EE367F">
      <w:pPr>
        <w:pStyle w:val="13"/>
        <w:ind w:firstLine="482"/>
        <w:rPr>
          <w:b/>
          <w:bCs/>
        </w:rPr>
      </w:pPr>
      <w:r w:rsidRPr="00EE367F">
        <w:rPr>
          <w:b/>
          <w:bCs/>
        </w:rPr>
        <w:t>26.评估对象</w:t>
      </w:r>
    </w:p>
    <w:p w14:paraId="64C2E500" w14:textId="77777777" w:rsidR="00EE367F" w:rsidRDefault="00EE367F" w:rsidP="00EE367F">
      <w:pPr>
        <w:pStyle w:val="13"/>
      </w:pPr>
      <w:r>
        <w:rPr>
          <w:rFonts w:hint="eastAsia"/>
        </w:rPr>
        <w:t>评估对象是指被评估的具体标的或者被评估的资产，即资产评估的具体对象。评估对象可以是不动产、动产、无形资产、企业价值、资产损失、其他经济权益或者负债等可以量化的标的。</w:t>
      </w:r>
    </w:p>
    <w:p w14:paraId="23D81EC6" w14:textId="77777777" w:rsidR="00EE367F" w:rsidRPr="00EE367F" w:rsidRDefault="00EE367F" w:rsidP="00EE367F">
      <w:pPr>
        <w:pStyle w:val="13"/>
        <w:ind w:firstLine="482"/>
        <w:rPr>
          <w:b/>
          <w:bCs/>
        </w:rPr>
      </w:pPr>
      <w:r w:rsidRPr="00EE367F">
        <w:rPr>
          <w:b/>
          <w:bCs/>
        </w:rPr>
        <w:t>27.评估范围</w:t>
      </w:r>
    </w:p>
    <w:p w14:paraId="35214961" w14:textId="77777777" w:rsidR="00EE367F" w:rsidRDefault="00EE367F" w:rsidP="00EE367F">
      <w:pPr>
        <w:pStyle w:val="13"/>
      </w:pPr>
      <w:r>
        <w:rPr>
          <w:rFonts w:hint="eastAsia"/>
        </w:rPr>
        <w:t>评估范围是指评估对象的具体表现形态及其权利边界和数量边界。</w:t>
      </w:r>
    </w:p>
    <w:p w14:paraId="5908D199" w14:textId="77777777" w:rsidR="00EE367F" w:rsidRPr="00EE367F" w:rsidRDefault="00EE367F" w:rsidP="00EE367F">
      <w:pPr>
        <w:pStyle w:val="13"/>
        <w:ind w:firstLine="482"/>
        <w:rPr>
          <w:b/>
          <w:bCs/>
        </w:rPr>
      </w:pPr>
      <w:r w:rsidRPr="00EE367F">
        <w:rPr>
          <w:b/>
          <w:bCs/>
        </w:rPr>
        <w:lastRenderedPageBreak/>
        <w:t>28.评估基准日</w:t>
      </w:r>
    </w:p>
    <w:p w14:paraId="425DBFBC" w14:textId="77777777" w:rsidR="00EE367F" w:rsidRDefault="00EE367F" w:rsidP="00EE367F">
      <w:pPr>
        <w:pStyle w:val="13"/>
      </w:pPr>
      <w:r>
        <w:rPr>
          <w:rFonts w:hint="eastAsia"/>
        </w:rPr>
        <w:t>评估基准日是指为量化和表达资产价值数额所选定的具体时间点，即为确定特定条件下资产评估价值所选定的具体体现资产时间价值属性的时间基准点。</w:t>
      </w:r>
    </w:p>
    <w:p w14:paraId="21917161" w14:textId="77777777" w:rsidR="00EE367F" w:rsidRPr="00EE367F" w:rsidRDefault="00EE367F" w:rsidP="00EE367F">
      <w:pPr>
        <w:pStyle w:val="13"/>
        <w:ind w:firstLine="482"/>
        <w:rPr>
          <w:b/>
          <w:bCs/>
        </w:rPr>
      </w:pPr>
      <w:r w:rsidRPr="00EE367F">
        <w:rPr>
          <w:b/>
          <w:bCs/>
        </w:rPr>
        <w:t>29.评估假设</w:t>
      </w:r>
    </w:p>
    <w:p w14:paraId="63B76729" w14:textId="77777777" w:rsidR="00EE367F" w:rsidRDefault="00EE367F" w:rsidP="00EE367F">
      <w:pPr>
        <w:pStyle w:val="13"/>
      </w:pPr>
      <w:r>
        <w:rPr>
          <w:rFonts w:hint="eastAsia"/>
        </w:rPr>
        <w:t>评估假设是指资产评估专业人员在现实普遍认知的基础上，依据客观事实及事物发展的规律与趋势，通过逻辑推理，对评估结论的成立所依托的前提条件或者未来可能的发展状况</w:t>
      </w:r>
      <w:proofErr w:type="gramStart"/>
      <w:r>
        <w:rPr>
          <w:rFonts w:hint="eastAsia"/>
        </w:rPr>
        <w:t>作出</w:t>
      </w:r>
      <w:proofErr w:type="gramEnd"/>
      <w:r>
        <w:rPr>
          <w:rFonts w:hint="eastAsia"/>
        </w:rPr>
        <w:t>的合理的推断或者假定。</w:t>
      </w:r>
    </w:p>
    <w:p w14:paraId="0DFD7055" w14:textId="77777777" w:rsidR="00EE367F" w:rsidRPr="00EE367F" w:rsidRDefault="00EE367F" w:rsidP="00EE367F">
      <w:pPr>
        <w:pStyle w:val="13"/>
        <w:ind w:firstLine="482"/>
        <w:rPr>
          <w:b/>
          <w:bCs/>
        </w:rPr>
      </w:pPr>
      <w:r w:rsidRPr="00EE367F">
        <w:rPr>
          <w:b/>
          <w:bCs/>
        </w:rPr>
        <w:t>30.评估结论</w:t>
      </w:r>
    </w:p>
    <w:p w14:paraId="4ECB1796" w14:textId="77777777" w:rsidR="00EE367F" w:rsidRDefault="00EE367F" w:rsidP="00EE367F">
      <w:pPr>
        <w:pStyle w:val="13"/>
      </w:pPr>
      <w:r>
        <w:rPr>
          <w:rFonts w:hint="eastAsia"/>
        </w:rPr>
        <w:t>评估结论是指资产评估机构及其资产评估专业人员通过履行必要的评估程序，给出的评估对象在评估基准日某种特定价值类型下价值的专业意见。</w:t>
      </w:r>
    </w:p>
    <w:p w14:paraId="6054C3DC" w14:textId="77777777" w:rsidR="00EE367F" w:rsidRPr="00EE367F" w:rsidRDefault="00EE367F" w:rsidP="00EE367F">
      <w:pPr>
        <w:pStyle w:val="13"/>
        <w:ind w:firstLine="482"/>
        <w:rPr>
          <w:b/>
          <w:bCs/>
        </w:rPr>
      </w:pPr>
      <w:r w:rsidRPr="00EE367F">
        <w:rPr>
          <w:b/>
          <w:bCs/>
        </w:rPr>
        <w:t>31.评估目的</w:t>
      </w:r>
    </w:p>
    <w:p w14:paraId="2EEABE1E" w14:textId="77777777" w:rsidR="00EE367F" w:rsidRDefault="00EE367F" w:rsidP="00EE367F">
      <w:pPr>
        <w:pStyle w:val="13"/>
      </w:pPr>
      <w:r>
        <w:rPr>
          <w:rFonts w:hint="eastAsia"/>
        </w:rPr>
        <w:t>评估目的通常是指资产评估报告和评估结论的预期用途。</w:t>
      </w:r>
    </w:p>
    <w:p w14:paraId="7E8C4DA6" w14:textId="77777777" w:rsidR="00EE367F" w:rsidRPr="00EE367F" w:rsidRDefault="00EE367F" w:rsidP="00EE367F">
      <w:pPr>
        <w:pStyle w:val="13"/>
        <w:ind w:firstLine="482"/>
        <w:rPr>
          <w:b/>
          <w:bCs/>
        </w:rPr>
      </w:pPr>
      <w:r w:rsidRPr="00EE367F">
        <w:rPr>
          <w:b/>
          <w:bCs/>
        </w:rPr>
        <w:t>32.评估依据</w:t>
      </w:r>
    </w:p>
    <w:p w14:paraId="678BE7D1" w14:textId="77777777" w:rsidR="00EE367F" w:rsidRDefault="00EE367F" w:rsidP="00EE367F">
      <w:pPr>
        <w:pStyle w:val="13"/>
      </w:pPr>
      <w:r>
        <w:rPr>
          <w:rFonts w:hint="eastAsia"/>
        </w:rPr>
        <w:t>评估依据是指资产评估工作中所依托的规范、标准以及依赖的信息基础，包括法律依据、准则依据、权属依据及取</w:t>
      </w:r>
      <w:proofErr w:type="gramStart"/>
      <w:r>
        <w:rPr>
          <w:rFonts w:hint="eastAsia"/>
        </w:rPr>
        <w:t>价依据</w:t>
      </w:r>
      <w:proofErr w:type="gramEnd"/>
      <w:r>
        <w:rPr>
          <w:rFonts w:hint="eastAsia"/>
        </w:rPr>
        <w:t>等。</w:t>
      </w:r>
    </w:p>
    <w:p w14:paraId="7D492958" w14:textId="77777777" w:rsidR="00EE367F" w:rsidRPr="00EE367F" w:rsidRDefault="00EE367F" w:rsidP="00EE367F">
      <w:pPr>
        <w:pStyle w:val="13"/>
        <w:ind w:firstLine="482"/>
        <w:rPr>
          <w:b/>
          <w:bCs/>
        </w:rPr>
      </w:pPr>
      <w:r w:rsidRPr="00EE367F">
        <w:rPr>
          <w:b/>
          <w:bCs/>
        </w:rPr>
        <w:t>33.企业整体价值</w:t>
      </w:r>
    </w:p>
    <w:p w14:paraId="7AC40ECD" w14:textId="77777777" w:rsidR="00EE367F" w:rsidRDefault="00EE367F" w:rsidP="00EE367F">
      <w:pPr>
        <w:pStyle w:val="13"/>
      </w:pPr>
      <w:r>
        <w:rPr>
          <w:rFonts w:hint="eastAsia"/>
        </w:rPr>
        <w:t>企业整体价值是指在假设将从企业获取资金回报（利息）的债权人等同为投资者的全投资口径下，归属于含企业股东和获取资金回报（利息）的债权人在内的投资者的企业价值，包括企业股东全部权益价值和付息债务价值。</w:t>
      </w:r>
    </w:p>
    <w:p w14:paraId="4E78B5CC" w14:textId="77777777" w:rsidR="00EE367F" w:rsidRPr="00EE367F" w:rsidRDefault="00EE367F" w:rsidP="00EE367F">
      <w:pPr>
        <w:pStyle w:val="13"/>
        <w:ind w:firstLine="482"/>
        <w:rPr>
          <w:b/>
          <w:bCs/>
        </w:rPr>
      </w:pPr>
      <w:r w:rsidRPr="00EE367F">
        <w:rPr>
          <w:b/>
          <w:bCs/>
        </w:rPr>
        <w:t>34.权属瑕疵</w:t>
      </w:r>
    </w:p>
    <w:p w14:paraId="07E33F89" w14:textId="77777777" w:rsidR="00EE367F" w:rsidRDefault="00EE367F" w:rsidP="00EE367F">
      <w:pPr>
        <w:pStyle w:val="13"/>
      </w:pPr>
      <w:r>
        <w:rPr>
          <w:rFonts w:hint="eastAsia"/>
        </w:rPr>
        <w:t>权属瑕疵是指在资产权属关系基本明确的基础上，权属证明文件存在不完整、文件内容不一致，或者权利受到限制等造成资产权属不规范、不完整的情形。</w:t>
      </w:r>
    </w:p>
    <w:p w14:paraId="340917E1" w14:textId="77777777" w:rsidR="00EE367F" w:rsidRPr="00EE367F" w:rsidRDefault="00EE367F" w:rsidP="00EE367F">
      <w:pPr>
        <w:pStyle w:val="13"/>
        <w:ind w:firstLine="482"/>
        <w:rPr>
          <w:b/>
          <w:bCs/>
        </w:rPr>
      </w:pPr>
      <w:r w:rsidRPr="00EE367F">
        <w:rPr>
          <w:b/>
          <w:bCs/>
        </w:rPr>
        <w:t>35.上市公司比较法</w:t>
      </w:r>
    </w:p>
    <w:p w14:paraId="5BE5D38D" w14:textId="77777777" w:rsidR="00EE367F" w:rsidRDefault="00EE367F" w:rsidP="00EE367F">
      <w:pPr>
        <w:pStyle w:val="13"/>
      </w:pPr>
      <w:r>
        <w:rPr>
          <w:rFonts w:hint="eastAsia"/>
        </w:rPr>
        <w:t>上市公司比较法是指获取并分析可比上市公司的经营和财务数据，计算价值比率，在与被评估企业比较分析的基础上，确定被评估企业价值的评估方法。</w:t>
      </w:r>
    </w:p>
    <w:p w14:paraId="1AF1A6A3" w14:textId="77777777" w:rsidR="00EE367F" w:rsidRPr="00EE367F" w:rsidRDefault="00EE367F" w:rsidP="00EE367F">
      <w:pPr>
        <w:pStyle w:val="13"/>
        <w:ind w:firstLine="482"/>
        <w:rPr>
          <w:b/>
          <w:bCs/>
        </w:rPr>
      </w:pPr>
      <w:r w:rsidRPr="00EE367F">
        <w:rPr>
          <w:b/>
          <w:bCs/>
        </w:rPr>
        <w:t>36.设定产权</w:t>
      </w:r>
    </w:p>
    <w:p w14:paraId="43926998" w14:textId="77777777" w:rsidR="00EE367F" w:rsidRDefault="00EE367F" w:rsidP="00EE367F">
      <w:pPr>
        <w:pStyle w:val="13"/>
      </w:pPr>
      <w:r>
        <w:rPr>
          <w:rFonts w:hint="eastAsia"/>
        </w:rPr>
        <w:t>设定产权是指由委托人、产权持有人或者资产评估专业人员针对评估对象法律权属状况所作的必要、合理且有依据的假定。</w:t>
      </w:r>
    </w:p>
    <w:p w14:paraId="62E9D6C4" w14:textId="77777777" w:rsidR="00EE367F" w:rsidRPr="00EE367F" w:rsidRDefault="00EE367F" w:rsidP="00EE367F">
      <w:pPr>
        <w:pStyle w:val="13"/>
        <w:ind w:firstLine="482"/>
        <w:rPr>
          <w:b/>
          <w:bCs/>
        </w:rPr>
      </w:pPr>
      <w:r w:rsidRPr="00EE367F">
        <w:rPr>
          <w:b/>
          <w:bCs/>
        </w:rPr>
        <w:t>37.实体性贬值</w:t>
      </w:r>
    </w:p>
    <w:p w14:paraId="3FE10248" w14:textId="77777777" w:rsidR="00EE367F" w:rsidRDefault="00EE367F" w:rsidP="00EE367F">
      <w:pPr>
        <w:pStyle w:val="13"/>
      </w:pPr>
      <w:r>
        <w:rPr>
          <w:rFonts w:hint="eastAsia"/>
        </w:rPr>
        <w:t>实体性贬值，亦称有形损耗，是指资产由于使用及自然力作</w:t>
      </w:r>
      <w:proofErr w:type="gramStart"/>
      <w:r>
        <w:rPr>
          <w:rFonts w:hint="eastAsia"/>
        </w:rPr>
        <w:t>用导致</w:t>
      </w:r>
      <w:proofErr w:type="gramEnd"/>
      <w:r>
        <w:rPr>
          <w:rFonts w:hint="eastAsia"/>
        </w:rPr>
        <w:t>资产物理性能损耗或者下降而引起的资产价值损失。</w:t>
      </w:r>
    </w:p>
    <w:p w14:paraId="36215F45" w14:textId="77777777" w:rsidR="00EE367F" w:rsidRPr="00EE367F" w:rsidRDefault="00EE367F" w:rsidP="00EE367F">
      <w:pPr>
        <w:pStyle w:val="13"/>
        <w:ind w:firstLine="482"/>
        <w:rPr>
          <w:b/>
          <w:bCs/>
        </w:rPr>
      </w:pPr>
      <w:r w:rsidRPr="00EE367F">
        <w:rPr>
          <w:b/>
          <w:bCs/>
        </w:rPr>
        <w:t>38.实物期权评估</w:t>
      </w:r>
    </w:p>
    <w:p w14:paraId="3950AF1C" w14:textId="77777777" w:rsidR="00EE367F" w:rsidRDefault="00EE367F" w:rsidP="00EE367F">
      <w:pPr>
        <w:pStyle w:val="13"/>
      </w:pPr>
      <w:r>
        <w:rPr>
          <w:rFonts w:hint="eastAsia"/>
        </w:rPr>
        <w:t>实物期权评估，是指资产评估机构及其资产评估专业人员遵守法律、行政法规和资产评估准则，根据委托对评估基准日特定目的下附着于企业整体资产或者单项资</w:t>
      </w:r>
      <w:r>
        <w:rPr>
          <w:rFonts w:hint="eastAsia"/>
        </w:rPr>
        <w:lastRenderedPageBreak/>
        <w:t>产上的实物期权进行识别、评定、价值估算，并出具资产评估报告的专业服务行为。</w:t>
      </w:r>
    </w:p>
    <w:p w14:paraId="675AA53A" w14:textId="77777777" w:rsidR="00EE367F" w:rsidRPr="00EE367F" w:rsidRDefault="00EE367F" w:rsidP="00EE367F">
      <w:pPr>
        <w:pStyle w:val="13"/>
        <w:ind w:firstLine="482"/>
        <w:rPr>
          <w:b/>
          <w:bCs/>
        </w:rPr>
      </w:pPr>
      <w:r w:rsidRPr="00EE367F">
        <w:rPr>
          <w:b/>
          <w:bCs/>
        </w:rPr>
        <w:t>39.市场法</w:t>
      </w:r>
    </w:p>
    <w:p w14:paraId="1B819D08" w14:textId="77777777" w:rsidR="00EE367F" w:rsidRDefault="00EE367F" w:rsidP="00EE367F">
      <w:pPr>
        <w:pStyle w:val="13"/>
      </w:pPr>
      <w:r>
        <w:rPr>
          <w:rFonts w:hint="eastAsia"/>
        </w:rPr>
        <w:t>市场法是指通过将评估对象与可比参照物进行比较，以可比参照物的市场价格为基础确定评估对象价值的评估方法的总称。</w:t>
      </w:r>
    </w:p>
    <w:p w14:paraId="5671F227" w14:textId="77777777" w:rsidR="00EE367F" w:rsidRPr="00EE367F" w:rsidRDefault="00EE367F" w:rsidP="00EE367F">
      <w:pPr>
        <w:pStyle w:val="13"/>
        <w:ind w:firstLine="482"/>
        <w:rPr>
          <w:b/>
          <w:bCs/>
        </w:rPr>
      </w:pPr>
      <w:r w:rsidRPr="00EE367F">
        <w:rPr>
          <w:b/>
          <w:bCs/>
        </w:rPr>
        <w:t>40.市场价值</w:t>
      </w:r>
    </w:p>
    <w:p w14:paraId="6C63AF7C" w14:textId="77777777" w:rsidR="00EE367F" w:rsidRDefault="00EE367F" w:rsidP="00EE367F">
      <w:pPr>
        <w:pStyle w:val="13"/>
      </w:pPr>
      <w:r>
        <w:rPr>
          <w:rFonts w:hint="eastAsia"/>
        </w:rPr>
        <w:t>市场价值是指自愿买方和自愿卖方在各自理性行事且未受任何强迫的情况下，评估对象在评估基准日进行正常公平交易的价值估计数额。</w:t>
      </w:r>
    </w:p>
    <w:p w14:paraId="475028C6" w14:textId="77777777" w:rsidR="00EE367F" w:rsidRPr="00EE367F" w:rsidRDefault="00EE367F" w:rsidP="00EE367F">
      <w:pPr>
        <w:pStyle w:val="13"/>
        <w:ind w:firstLine="482"/>
        <w:rPr>
          <w:b/>
          <w:bCs/>
        </w:rPr>
      </w:pPr>
      <w:r w:rsidRPr="00EE367F">
        <w:rPr>
          <w:b/>
          <w:bCs/>
        </w:rPr>
        <w:t>41.收益法</w:t>
      </w:r>
    </w:p>
    <w:p w14:paraId="6939102A" w14:textId="77777777" w:rsidR="00EE367F" w:rsidRDefault="00EE367F" w:rsidP="00EE367F">
      <w:pPr>
        <w:pStyle w:val="13"/>
      </w:pPr>
      <w:r>
        <w:rPr>
          <w:rFonts w:hint="eastAsia"/>
        </w:rPr>
        <w:t>收益法是指将评估对象的预期收益资本</w:t>
      </w:r>
      <w:proofErr w:type="gramStart"/>
      <w:r>
        <w:rPr>
          <w:rFonts w:hint="eastAsia"/>
        </w:rPr>
        <w:t>化或者</w:t>
      </w:r>
      <w:proofErr w:type="gramEnd"/>
      <w:r>
        <w:rPr>
          <w:rFonts w:hint="eastAsia"/>
        </w:rPr>
        <w:t>折现，以确定其价值的各种评估方法的总称。</w:t>
      </w:r>
    </w:p>
    <w:p w14:paraId="4D2E0C19" w14:textId="77777777" w:rsidR="00EE367F" w:rsidRPr="00EE367F" w:rsidRDefault="00EE367F" w:rsidP="00EE367F">
      <w:pPr>
        <w:pStyle w:val="13"/>
        <w:ind w:firstLine="482"/>
        <w:rPr>
          <w:b/>
          <w:bCs/>
        </w:rPr>
      </w:pPr>
      <w:r w:rsidRPr="00EE367F">
        <w:rPr>
          <w:b/>
          <w:bCs/>
        </w:rPr>
        <w:t>42.委托人</w:t>
      </w:r>
    </w:p>
    <w:p w14:paraId="7A930A0C" w14:textId="77777777" w:rsidR="00EE367F" w:rsidRDefault="00EE367F" w:rsidP="00EE367F">
      <w:pPr>
        <w:pStyle w:val="13"/>
      </w:pPr>
      <w:r>
        <w:rPr>
          <w:rFonts w:hint="eastAsia"/>
        </w:rPr>
        <w:t>委托人是指委托资产评估机构为其提供评估服务的当事人，包括：法人组织、非法人组织、政府部门或者自然人等。</w:t>
      </w:r>
    </w:p>
    <w:p w14:paraId="75F56EEF" w14:textId="77777777" w:rsidR="00EE367F" w:rsidRPr="00EE367F" w:rsidRDefault="00EE367F" w:rsidP="00EE367F">
      <w:pPr>
        <w:pStyle w:val="13"/>
        <w:ind w:firstLine="482"/>
        <w:rPr>
          <w:b/>
          <w:bCs/>
        </w:rPr>
      </w:pPr>
      <w:r w:rsidRPr="00EE367F">
        <w:rPr>
          <w:b/>
          <w:bCs/>
        </w:rPr>
        <w:t>43.无形资产组合</w:t>
      </w:r>
    </w:p>
    <w:p w14:paraId="63ADBB56" w14:textId="77777777" w:rsidR="00EE367F" w:rsidRDefault="00EE367F" w:rsidP="00EE367F">
      <w:pPr>
        <w:pStyle w:val="13"/>
      </w:pPr>
      <w:r>
        <w:rPr>
          <w:rFonts w:hint="eastAsia"/>
        </w:rPr>
        <w:t>无形资产组合是指一系列具有互补作用或者能够共同发挥作用的无形资产，按照特定目的或者要求组成的能实现某种特定功能或者满足某业务单元要求的集合。</w:t>
      </w:r>
    </w:p>
    <w:p w14:paraId="1AF8BD78" w14:textId="77777777" w:rsidR="00EE367F" w:rsidRPr="00EE367F" w:rsidRDefault="00EE367F" w:rsidP="00EE367F">
      <w:pPr>
        <w:pStyle w:val="13"/>
        <w:ind w:firstLine="482"/>
        <w:rPr>
          <w:b/>
          <w:bCs/>
        </w:rPr>
      </w:pPr>
      <w:r w:rsidRPr="00EE367F">
        <w:rPr>
          <w:b/>
          <w:bCs/>
        </w:rPr>
        <w:t>44.现金流量折现法</w:t>
      </w:r>
    </w:p>
    <w:p w14:paraId="5389554C" w14:textId="77777777" w:rsidR="00EE367F" w:rsidRDefault="00EE367F" w:rsidP="00EE367F">
      <w:pPr>
        <w:pStyle w:val="13"/>
      </w:pPr>
      <w:r>
        <w:rPr>
          <w:rFonts w:hint="eastAsia"/>
        </w:rPr>
        <w:t>现金流量折现法是指对企业或者某一产生收益的单元预计未来现金流量及其风险进行预测，选择与之匹配的折现率，将未来的现金流量折现求和的评估方法。</w:t>
      </w:r>
    </w:p>
    <w:p w14:paraId="569A20FF" w14:textId="77777777" w:rsidR="00EE367F" w:rsidRPr="00EE367F" w:rsidRDefault="00EE367F" w:rsidP="00EE367F">
      <w:pPr>
        <w:pStyle w:val="13"/>
        <w:ind w:firstLine="482"/>
        <w:rPr>
          <w:b/>
          <w:bCs/>
        </w:rPr>
      </w:pPr>
      <w:r w:rsidRPr="00EE367F">
        <w:rPr>
          <w:b/>
          <w:bCs/>
        </w:rPr>
        <w:t>45.现有用途假设</w:t>
      </w:r>
    </w:p>
    <w:p w14:paraId="71F0AF0D" w14:textId="77777777" w:rsidR="00EE367F" w:rsidRDefault="00EE367F" w:rsidP="00EE367F">
      <w:pPr>
        <w:pStyle w:val="13"/>
      </w:pPr>
      <w:r>
        <w:rPr>
          <w:rFonts w:hint="eastAsia"/>
        </w:rPr>
        <w:t>现有用途假设是指假设资产将按当前的使用用途持续使用。</w:t>
      </w:r>
    </w:p>
    <w:p w14:paraId="39786C73" w14:textId="77777777" w:rsidR="00EE367F" w:rsidRPr="00EE367F" w:rsidRDefault="00EE367F" w:rsidP="00EE367F">
      <w:pPr>
        <w:pStyle w:val="13"/>
        <w:ind w:firstLine="482"/>
        <w:rPr>
          <w:b/>
          <w:bCs/>
        </w:rPr>
      </w:pPr>
      <w:r w:rsidRPr="00EE367F">
        <w:rPr>
          <w:b/>
          <w:bCs/>
        </w:rPr>
        <w:t>46.移地使用假设</w:t>
      </w:r>
    </w:p>
    <w:p w14:paraId="5BE552D0" w14:textId="77777777" w:rsidR="00EE367F" w:rsidRDefault="00EE367F" w:rsidP="00EE367F">
      <w:pPr>
        <w:pStyle w:val="13"/>
      </w:pPr>
      <w:r>
        <w:rPr>
          <w:rFonts w:hint="eastAsia"/>
        </w:rPr>
        <w:t>移地使用假设是指假设资产不在原所在地或者原安装地继续使用，而是改变使用地点在其他地方继续使用。</w:t>
      </w:r>
    </w:p>
    <w:p w14:paraId="07A6EA01" w14:textId="3943608D" w:rsidR="00EE367F" w:rsidRPr="00EE367F" w:rsidRDefault="00EE367F" w:rsidP="00EE367F">
      <w:pPr>
        <w:pStyle w:val="13"/>
        <w:ind w:firstLine="482"/>
        <w:rPr>
          <w:b/>
          <w:bCs/>
        </w:rPr>
      </w:pPr>
      <w:r w:rsidRPr="00EE367F">
        <w:rPr>
          <w:b/>
          <w:bCs/>
        </w:rPr>
        <w:t>47.以财务报告为目的的评估</w:t>
      </w:r>
    </w:p>
    <w:p w14:paraId="296BE62E" w14:textId="77777777" w:rsidR="00EE367F" w:rsidRDefault="00EE367F" w:rsidP="00EE367F">
      <w:pPr>
        <w:pStyle w:val="13"/>
      </w:pPr>
      <w:r>
        <w:rPr>
          <w:rFonts w:hint="eastAsia"/>
        </w:rPr>
        <w:t>以财务报告为目的的评估是指资产评估机构及其资产评估专业人员遵守法律、行政法规、资产评估准则和企业会计准则及会计核算、披露的有关要求，根据委托对评估基准日以财务报告为目的所涉及的各类资产和负债的公允价值或者特定价值进行评定和估算，并出具资产评估报告的专业服务行为。</w:t>
      </w:r>
    </w:p>
    <w:p w14:paraId="2B6A46EF" w14:textId="77777777" w:rsidR="00EE367F" w:rsidRPr="00EE367F" w:rsidRDefault="00EE367F" w:rsidP="00EE367F">
      <w:pPr>
        <w:pStyle w:val="13"/>
        <w:ind w:firstLine="482"/>
        <w:rPr>
          <w:b/>
          <w:bCs/>
        </w:rPr>
      </w:pPr>
      <w:r w:rsidRPr="00EE367F">
        <w:rPr>
          <w:b/>
          <w:bCs/>
        </w:rPr>
        <w:t>48.原地使用假设</w:t>
      </w:r>
    </w:p>
    <w:p w14:paraId="272FF899" w14:textId="77777777" w:rsidR="00EE367F" w:rsidRDefault="00EE367F" w:rsidP="00EE367F">
      <w:pPr>
        <w:pStyle w:val="13"/>
      </w:pPr>
      <w:r>
        <w:rPr>
          <w:rFonts w:hint="eastAsia"/>
        </w:rPr>
        <w:t>原地使用假设是指假设资产将保持在原所在地或者原安装地持续使用。</w:t>
      </w:r>
    </w:p>
    <w:p w14:paraId="7660BAC7" w14:textId="77777777" w:rsidR="00EE367F" w:rsidRPr="00EE367F" w:rsidRDefault="00EE367F" w:rsidP="00EE367F">
      <w:pPr>
        <w:pStyle w:val="13"/>
        <w:ind w:firstLine="482"/>
        <w:rPr>
          <w:b/>
          <w:bCs/>
        </w:rPr>
      </w:pPr>
      <w:r w:rsidRPr="00EE367F">
        <w:rPr>
          <w:b/>
          <w:bCs/>
        </w:rPr>
        <w:t>49.增量收益折现法</w:t>
      </w:r>
    </w:p>
    <w:p w14:paraId="77EA6325" w14:textId="77777777" w:rsidR="00EE367F" w:rsidRDefault="00EE367F" w:rsidP="00EE367F">
      <w:pPr>
        <w:pStyle w:val="13"/>
      </w:pPr>
      <w:r>
        <w:rPr>
          <w:rFonts w:hint="eastAsia"/>
        </w:rPr>
        <w:t>增量收益折现法是指基于对使用无形资产等评估对象所获得未来增量收益的预期并对增量收益采用适当的折现率折现后确定评估对象价值的一种评估方法。增量</w:t>
      </w:r>
      <w:r>
        <w:rPr>
          <w:rFonts w:hint="eastAsia"/>
        </w:rPr>
        <w:lastRenderedPageBreak/>
        <w:t>收益通常是指使用无形资产等评估对象比不使用该评估对象而增加的收益。</w:t>
      </w:r>
    </w:p>
    <w:p w14:paraId="75EA7035" w14:textId="77777777" w:rsidR="00EE367F" w:rsidRPr="00EE367F" w:rsidRDefault="00EE367F" w:rsidP="00EE367F">
      <w:pPr>
        <w:pStyle w:val="13"/>
        <w:ind w:firstLine="482"/>
        <w:rPr>
          <w:b/>
          <w:bCs/>
        </w:rPr>
      </w:pPr>
      <w:r w:rsidRPr="00EE367F">
        <w:rPr>
          <w:b/>
          <w:bCs/>
        </w:rPr>
        <w:t>50.折现率</w:t>
      </w:r>
    </w:p>
    <w:p w14:paraId="3DDFA581" w14:textId="77777777" w:rsidR="00EE367F" w:rsidRDefault="00EE367F" w:rsidP="00EE367F">
      <w:pPr>
        <w:pStyle w:val="13"/>
      </w:pPr>
      <w:r>
        <w:rPr>
          <w:rFonts w:hint="eastAsia"/>
        </w:rPr>
        <w:t>折现率是一种期望投资报酬率，是投资者在投资风险一定的情形下，对投资所期望的回报率。</w:t>
      </w:r>
    </w:p>
    <w:p w14:paraId="47DD1044" w14:textId="77777777" w:rsidR="00EE367F" w:rsidRPr="00EE367F" w:rsidRDefault="00EE367F" w:rsidP="00EE367F">
      <w:pPr>
        <w:pStyle w:val="13"/>
        <w:ind w:firstLine="482"/>
        <w:rPr>
          <w:b/>
          <w:bCs/>
        </w:rPr>
      </w:pPr>
      <w:r w:rsidRPr="00EE367F">
        <w:rPr>
          <w:b/>
          <w:bCs/>
        </w:rPr>
        <w:t>51.职业道德</w:t>
      </w:r>
    </w:p>
    <w:p w14:paraId="06C5E8B5" w14:textId="77777777" w:rsidR="00EE367F" w:rsidRDefault="00EE367F" w:rsidP="00EE367F">
      <w:pPr>
        <w:pStyle w:val="13"/>
      </w:pPr>
      <w:r>
        <w:rPr>
          <w:rFonts w:hint="eastAsia"/>
        </w:rPr>
        <w:t>资产评估准则中的职业道德是指资产评估机构及其资产评估专业人员执行资产评估业务应当具备的道德品质和体现的道德行为。</w:t>
      </w:r>
    </w:p>
    <w:p w14:paraId="717D1FB9" w14:textId="68DBC22F" w:rsidR="00EE367F" w:rsidRPr="00EE367F" w:rsidRDefault="00EE367F" w:rsidP="00EE367F">
      <w:pPr>
        <w:pStyle w:val="13"/>
        <w:ind w:firstLine="482"/>
        <w:rPr>
          <w:b/>
          <w:bCs/>
        </w:rPr>
      </w:pPr>
      <w:r w:rsidRPr="00EE367F">
        <w:rPr>
          <w:b/>
          <w:bCs/>
        </w:rPr>
        <w:t>52.专业能力</w:t>
      </w:r>
    </w:p>
    <w:p w14:paraId="6836F058" w14:textId="77777777" w:rsidR="00EE367F" w:rsidRDefault="00EE367F" w:rsidP="00EE367F">
      <w:pPr>
        <w:pStyle w:val="13"/>
      </w:pPr>
      <w:r>
        <w:rPr>
          <w:rFonts w:hint="eastAsia"/>
        </w:rPr>
        <w:t>专业能力是指资产评估机构及其资产评估专业人员具备的执行资产评估业务所需的评估专业知识和实践经验。</w:t>
      </w:r>
    </w:p>
    <w:p w14:paraId="1EAF4ECA" w14:textId="77777777" w:rsidR="00EE367F" w:rsidRPr="00EE367F" w:rsidRDefault="00EE367F" w:rsidP="00EE367F">
      <w:pPr>
        <w:pStyle w:val="13"/>
        <w:ind w:firstLine="482"/>
        <w:rPr>
          <w:b/>
          <w:bCs/>
        </w:rPr>
      </w:pPr>
      <w:r w:rsidRPr="00EE367F">
        <w:rPr>
          <w:b/>
          <w:bCs/>
        </w:rPr>
        <w:t>53.资产基础法</w:t>
      </w:r>
    </w:p>
    <w:p w14:paraId="466E67A9" w14:textId="77777777" w:rsidR="00EE367F" w:rsidRDefault="00EE367F" w:rsidP="00EE367F">
      <w:pPr>
        <w:pStyle w:val="13"/>
      </w:pPr>
      <w:r>
        <w:rPr>
          <w:rFonts w:hint="eastAsia"/>
        </w:rPr>
        <w:t>资产基础法是指以被评估单位或经营体评估基准日的资产负债表为基础，评估表内及表外可识别的各项资产、负债价值，确定评估对象价值的评估方法。</w:t>
      </w:r>
    </w:p>
    <w:p w14:paraId="148B94CA" w14:textId="77777777" w:rsidR="00EE367F" w:rsidRPr="00EE367F" w:rsidRDefault="00EE367F" w:rsidP="00EE367F">
      <w:pPr>
        <w:pStyle w:val="13"/>
        <w:ind w:firstLine="482"/>
        <w:rPr>
          <w:b/>
          <w:bCs/>
        </w:rPr>
      </w:pPr>
      <w:r w:rsidRPr="00EE367F">
        <w:rPr>
          <w:b/>
          <w:bCs/>
        </w:rPr>
        <w:t>54.资产评估</w:t>
      </w:r>
    </w:p>
    <w:p w14:paraId="49D7CD6B" w14:textId="77777777" w:rsidR="00EE367F" w:rsidRDefault="00EE367F" w:rsidP="00EE367F">
      <w:pPr>
        <w:pStyle w:val="13"/>
      </w:pPr>
      <w:r>
        <w:rPr>
          <w:rFonts w:hint="eastAsia"/>
        </w:rPr>
        <w:t>资产评估是指资产评估机构及其资产评估专业人员根据委托及特定的评估目的，按照法律、行政法规和资产评估准则要求，依照规定程序，选择适当的价值类型，运用科学的评估方法，对评估基准日的资产价值进行评定、估算，并出具资产评估报告的专业服务行为。</w:t>
      </w:r>
    </w:p>
    <w:p w14:paraId="76F05902" w14:textId="77777777" w:rsidR="00EE367F" w:rsidRDefault="00EE367F" w:rsidP="00EE367F">
      <w:pPr>
        <w:pStyle w:val="13"/>
      </w:pPr>
      <w:r>
        <w:rPr>
          <w:rFonts w:hint="eastAsia"/>
        </w:rPr>
        <w:t>估价、估值、价值评估在本质上都属于资产评估活动。</w:t>
      </w:r>
    </w:p>
    <w:p w14:paraId="7D93AB71" w14:textId="77777777" w:rsidR="00EE367F" w:rsidRPr="00EE367F" w:rsidRDefault="00EE367F" w:rsidP="00EE367F">
      <w:pPr>
        <w:pStyle w:val="13"/>
        <w:ind w:firstLine="482"/>
        <w:rPr>
          <w:b/>
          <w:bCs/>
        </w:rPr>
      </w:pPr>
      <w:r w:rsidRPr="00EE367F">
        <w:rPr>
          <w:b/>
          <w:bCs/>
        </w:rPr>
        <w:t>55.资产评估报告</w:t>
      </w:r>
    </w:p>
    <w:p w14:paraId="252508DC" w14:textId="77777777" w:rsidR="00EE367F" w:rsidRDefault="00EE367F" w:rsidP="00EE367F">
      <w:pPr>
        <w:pStyle w:val="13"/>
      </w:pPr>
      <w:r>
        <w:rPr>
          <w:rFonts w:hint="eastAsia"/>
        </w:rPr>
        <w:t>资产评估报告是指资产评估机构及其资产评估专业人员遵守法律、行政法规和资产评估准则要求，根据委托履行必要的评估程序后，由资产评估机构对评估对象在评估基准日特定目的下的价值出具的专业报告。</w:t>
      </w:r>
    </w:p>
    <w:p w14:paraId="18D1AEAD" w14:textId="77777777" w:rsidR="00EE367F" w:rsidRPr="00EE367F" w:rsidRDefault="00EE367F" w:rsidP="00EE367F">
      <w:pPr>
        <w:pStyle w:val="13"/>
        <w:ind w:firstLine="482"/>
        <w:rPr>
          <w:b/>
          <w:bCs/>
        </w:rPr>
      </w:pPr>
      <w:r w:rsidRPr="00EE367F">
        <w:rPr>
          <w:b/>
          <w:bCs/>
        </w:rPr>
        <w:t>56.资产评估报告日</w:t>
      </w:r>
    </w:p>
    <w:p w14:paraId="3F26D2A7" w14:textId="77777777" w:rsidR="00EE367F" w:rsidRDefault="00EE367F" w:rsidP="00EE367F">
      <w:pPr>
        <w:pStyle w:val="13"/>
      </w:pPr>
      <w:r>
        <w:rPr>
          <w:rFonts w:hint="eastAsia"/>
        </w:rPr>
        <w:t>资产评估报告日是指由资产评估报告载明的、评估结论形成的日期，可以不同于资产评估报告的签发日。</w:t>
      </w:r>
    </w:p>
    <w:p w14:paraId="4F6C2629" w14:textId="77777777" w:rsidR="00EE367F" w:rsidRPr="00EE367F" w:rsidRDefault="00EE367F" w:rsidP="00EE367F">
      <w:pPr>
        <w:pStyle w:val="13"/>
        <w:ind w:firstLine="482"/>
        <w:rPr>
          <w:b/>
          <w:bCs/>
        </w:rPr>
      </w:pPr>
      <w:r w:rsidRPr="00EE367F">
        <w:rPr>
          <w:b/>
          <w:bCs/>
        </w:rPr>
        <w:t>57.资产评估报告使用范围</w:t>
      </w:r>
    </w:p>
    <w:p w14:paraId="0300D667" w14:textId="77777777" w:rsidR="00EE367F" w:rsidRDefault="00EE367F" w:rsidP="00EE367F">
      <w:pPr>
        <w:pStyle w:val="13"/>
      </w:pPr>
      <w:r>
        <w:rPr>
          <w:rFonts w:hint="eastAsia"/>
        </w:rPr>
        <w:t>资产评估报告使用范围是指资产评估机构与委托人在评估委托合同中约定的资产评估报告使用人、使用用途、评估结论的使用有效期及资产评估报告的摘抄、引用或者披露要求等。</w:t>
      </w:r>
    </w:p>
    <w:p w14:paraId="522DE949" w14:textId="77777777" w:rsidR="00EE367F" w:rsidRPr="00EE367F" w:rsidRDefault="00EE367F" w:rsidP="00EE367F">
      <w:pPr>
        <w:pStyle w:val="13"/>
        <w:ind w:firstLine="482"/>
        <w:rPr>
          <w:b/>
          <w:bCs/>
        </w:rPr>
      </w:pPr>
      <w:r w:rsidRPr="00EE367F">
        <w:rPr>
          <w:b/>
          <w:bCs/>
        </w:rPr>
        <w:t>58.资产评估报告使用人</w:t>
      </w:r>
    </w:p>
    <w:p w14:paraId="465B7462" w14:textId="77777777" w:rsidR="00EE367F" w:rsidRDefault="00EE367F" w:rsidP="00EE367F">
      <w:pPr>
        <w:pStyle w:val="13"/>
      </w:pPr>
      <w:r>
        <w:rPr>
          <w:rFonts w:hint="eastAsia"/>
        </w:rPr>
        <w:t>资产评估报告使用人是指资产评估报告的合法使用主体。一般包括委托人、资产评估委托合同中约定的其他资产评估报告使用人，以及国家法律、行政法规规定可以使用资产评估报告的主体。</w:t>
      </w:r>
    </w:p>
    <w:p w14:paraId="3D8C9C6F" w14:textId="77777777" w:rsidR="00EE367F" w:rsidRPr="00EE367F" w:rsidRDefault="00EE367F" w:rsidP="00EE367F">
      <w:pPr>
        <w:pStyle w:val="13"/>
        <w:ind w:firstLine="482"/>
        <w:rPr>
          <w:b/>
          <w:bCs/>
        </w:rPr>
      </w:pPr>
      <w:r w:rsidRPr="00EE367F">
        <w:rPr>
          <w:b/>
          <w:bCs/>
        </w:rPr>
        <w:lastRenderedPageBreak/>
        <w:t>59.资产评估程序</w:t>
      </w:r>
    </w:p>
    <w:p w14:paraId="565A1714" w14:textId="77777777" w:rsidR="00EE367F" w:rsidRDefault="00EE367F" w:rsidP="00EE367F">
      <w:pPr>
        <w:pStyle w:val="13"/>
      </w:pPr>
      <w:r>
        <w:rPr>
          <w:rFonts w:hint="eastAsia"/>
        </w:rPr>
        <w:t>资产评估程序是指由资产评估准则规定的，要求资产评估机构及其资产评估专业人员在执行资产评估业务过程中履行的系统性工作步骤。</w:t>
      </w:r>
    </w:p>
    <w:p w14:paraId="5934426A" w14:textId="77777777" w:rsidR="00EE367F" w:rsidRPr="00EE367F" w:rsidRDefault="00EE367F" w:rsidP="00EE367F">
      <w:pPr>
        <w:pStyle w:val="13"/>
        <w:ind w:firstLine="482"/>
        <w:rPr>
          <w:b/>
          <w:bCs/>
        </w:rPr>
      </w:pPr>
      <w:r w:rsidRPr="00EE367F">
        <w:rPr>
          <w:b/>
          <w:bCs/>
        </w:rPr>
        <w:t>60.资产评估档案</w:t>
      </w:r>
    </w:p>
    <w:p w14:paraId="44E4C8C7" w14:textId="77777777" w:rsidR="00EE367F" w:rsidRDefault="00EE367F" w:rsidP="00EE367F">
      <w:pPr>
        <w:pStyle w:val="13"/>
      </w:pPr>
      <w:r>
        <w:rPr>
          <w:rFonts w:hint="eastAsia"/>
        </w:rPr>
        <w:t>资产评估档案是指资产评估机构执行资产评估业务形成的，反映资产评估程序实施情况、支持评估结论的工作底稿、资产评估报告及其他相关资料。</w:t>
      </w:r>
    </w:p>
    <w:p w14:paraId="17F76631" w14:textId="77777777" w:rsidR="00EE367F" w:rsidRPr="00EE367F" w:rsidRDefault="00EE367F" w:rsidP="00EE367F">
      <w:pPr>
        <w:pStyle w:val="13"/>
        <w:ind w:firstLine="482"/>
        <w:rPr>
          <w:b/>
          <w:bCs/>
        </w:rPr>
      </w:pPr>
      <w:r w:rsidRPr="00EE367F">
        <w:rPr>
          <w:b/>
          <w:bCs/>
        </w:rPr>
        <w:t>61.资产评估方法</w:t>
      </w:r>
    </w:p>
    <w:p w14:paraId="09182EDC" w14:textId="77777777" w:rsidR="00EE367F" w:rsidRDefault="00EE367F" w:rsidP="00EE367F">
      <w:pPr>
        <w:pStyle w:val="13"/>
      </w:pPr>
      <w:r>
        <w:rPr>
          <w:rFonts w:hint="eastAsia"/>
        </w:rPr>
        <w:t>资产评估方法是指评定估算资产价值所采用的途径和技术手段的总和，主要包括市场法、收益法和成本法三种基本方法及其衍生方法。</w:t>
      </w:r>
    </w:p>
    <w:p w14:paraId="7FCA6537" w14:textId="77777777" w:rsidR="00EE367F" w:rsidRPr="00EE367F" w:rsidRDefault="00EE367F" w:rsidP="00EE367F">
      <w:pPr>
        <w:pStyle w:val="13"/>
        <w:ind w:firstLine="482"/>
        <w:rPr>
          <w:b/>
          <w:bCs/>
        </w:rPr>
      </w:pPr>
      <w:r w:rsidRPr="00EE367F">
        <w:rPr>
          <w:b/>
          <w:bCs/>
        </w:rPr>
        <w:t>62.资产评估机构</w:t>
      </w:r>
    </w:p>
    <w:p w14:paraId="1299F122" w14:textId="77777777" w:rsidR="00EE367F" w:rsidRDefault="00EE367F" w:rsidP="00EE367F">
      <w:pPr>
        <w:pStyle w:val="13"/>
      </w:pPr>
      <w:r>
        <w:rPr>
          <w:rFonts w:hint="eastAsia"/>
        </w:rPr>
        <w:t>资产评估机构是在市场监管部门登记，在财政部门备案、接受委托执行资产评估业务并独立承担民事责任的合伙形式或公司形式的法人。</w:t>
      </w:r>
    </w:p>
    <w:p w14:paraId="36C46C76" w14:textId="77777777" w:rsidR="00EE367F" w:rsidRPr="00EE367F" w:rsidRDefault="00EE367F" w:rsidP="00EE367F">
      <w:pPr>
        <w:pStyle w:val="13"/>
        <w:ind w:firstLine="482"/>
        <w:rPr>
          <w:b/>
          <w:bCs/>
        </w:rPr>
      </w:pPr>
      <w:r w:rsidRPr="00EE367F">
        <w:rPr>
          <w:b/>
          <w:bCs/>
        </w:rPr>
        <w:t>63.资产评估基本准则</w:t>
      </w:r>
    </w:p>
    <w:p w14:paraId="2881ACCE" w14:textId="77777777" w:rsidR="00EE367F" w:rsidRDefault="00EE367F" w:rsidP="00EE367F">
      <w:pPr>
        <w:pStyle w:val="13"/>
      </w:pPr>
      <w:r>
        <w:rPr>
          <w:rFonts w:hint="eastAsia"/>
        </w:rPr>
        <w:t>资产评估基本准则是财政部对资产评估机构及其资产评估专业人员执行资产评估业务应当遵循的基本理念、基本要求和基本程序等方面所制定的基本规范，是中国资产评估协会制定资产评估执业准则和资产评估职业道德准则的依据和遵循。</w:t>
      </w:r>
    </w:p>
    <w:p w14:paraId="11CF2EAF" w14:textId="77777777" w:rsidR="00EE367F" w:rsidRPr="00EE367F" w:rsidRDefault="00EE367F" w:rsidP="00EE367F">
      <w:pPr>
        <w:pStyle w:val="13"/>
        <w:ind w:firstLine="482"/>
        <w:rPr>
          <w:b/>
          <w:bCs/>
        </w:rPr>
      </w:pPr>
      <w:r w:rsidRPr="00EE367F">
        <w:rPr>
          <w:b/>
          <w:bCs/>
        </w:rPr>
        <w:t>64.资产评估师</w:t>
      </w:r>
    </w:p>
    <w:p w14:paraId="543EACDD" w14:textId="77777777" w:rsidR="00EE367F" w:rsidRDefault="00EE367F" w:rsidP="00EE367F">
      <w:pPr>
        <w:pStyle w:val="13"/>
      </w:pPr>
      <w:r>
        <w:rPr>
          <w:rFonts w:hint="eastAsia"/>
        </w:rPr>
        <w:t>资产评估师是指通过中国资产评估协会组织实施的资产评估师职业资格全国统一考试，取得《资产评估师职业资格证书》的资产评估专业人员。经中国资产评估协会登记的资产评估师可以成为执业会员或者非执业会员。</w:t>
      </w:r>
    </w:p>
    <w:p w14:paraId="037A8A75" w14:textId="77777777" w:rsidR="00EE367F" w:rsidRPr="00EE367F" w:rsidRDefault="00EE367F" w:rsidP="00EE367F">
      <w:pPr>
        <w:pStyle w:val="13"/>
        <w:ind w:firstLine="482"/>
        <w:rPr>
          <w:b/>
          <w:bCs/>
        </w:rPr>
      </w:pPr>
      <w:r w:rsidRPr="00EE367F">
        <w:rPr>
          <w:b/>
          <w:bCs/>
        </w:rPr>
        <w:t>65.资产评估委托合同</w:t>
      </w:r>
    </w:p>
    <w:p w14:paraId="0F1E5AC3" w14:textId="77777777" w:rsidR="00EE367F" w:rsidRDefault="00EE367F" w:rsidP="00EE367F">
      <w:pPr>
        <w:pStyle w:val="13"/>
      </w:pPr>
      <w:r>
        <w:rPr>
          <w:rFonts w:hint="eastAsia"/>
        </w:rPr>
        <w:t>资产评估委托合同是指资产评估机构与委托人订立的，明确资产评估业务基本事项，约定资产评估机构和委托人权利、义务、违约责任和争议解决等内容的书面合同。</w:t>
      </w:r>
    </w:p>
    <w:p w14:paraId="1A8C9D6B" w14:textId="77777777" w:rsidR="00EE367F" w:rsidRPr="00EE367F" w:rsidRDefault="00EE367F" w:rsidP="00EE367F">
      <w:pPr>
        <w:pStyle w:val="13"/>
        <w:ind w:firstLine="482"/>
        <w:rPr>
          <w:b/>
          <w:bCs/>
        </w:rPr>
      </w:pPr>
      <w:r w:rsidRPr="00EE367F">
        <w:rPr>
          <w:b/>
          <w:bCs/>
        </w:rPr>
        <w:t>66.资产评估业务基本事项</w:t>
      </w:r>
    </w:p>
    <w:p w14:paraId="1F7FDCA7" w14:textId="77777777" w:rsidR="00EE367F" w:rsidRDefault="00EE367F" w:rsidP="00EE367F">
      <w:pPr>
        <w:pStyle w:val="13"/>
      </w:pPr>
      <w:r>
        <w:rPr>
          <w:rFonts w:hint="eastAsia"/>
        </w:rPr>
        <w:t>资产评估业务基本事项是委托人与资产评估机构在依法订立资产评估委托合同之前需要明确的资产评估业务基本要素和相关信息。通常包括委托人和相关当事人基本状况、评估目的、评估对象及其基本状况、评估范围、价值类型、评估基准日、评估限制条件和报告使用人以及其他需要明确的重要事项。</w:t>
      </w:r>
    </w:p>
    <w:p w14:paraId="0740B0CA" w14:textId="77777777" w:rsidR="00EE367F" w:rsidRPr="00EE367F" w:rsidRDefault="00EE367F" w:rsidP="00EE367F">
      <w:pPr>
        <w:pStyle w:val="13"/>
        <w:ind w:firstLine="482"/>
        <w:rPr>
          <w:b/>
          <w:bCs/>
        </w:rPr>
      </w:pPr>
      <w:r w:rsidRPr="00EE367F">
        <w:rPr>
          <w:b/>
          <w:bCs/>
        </w:rPr>
        <w:t>67.资产评估执业准则</w:t>
      </w:r>
    </w:p>
    <w:p w14:paraId="57CAD8BF" w14:textId="77777777" w:rsidR="00EE367F" w:rsidRDefault="00EE367F" w:rsidP="00EE367F">
      <w:pPr>
        <w:pStyle w:val="13"/>
      </w:pPr>
      <w:r>
        <w:rPr>
          <w:rFonts w:hint="eastAsia"/>
        </w:rPr>
        <w:t>资产评估执业准则是指依据资产评估基本准则制定的，要求资产评估机构及其资产评估专业人员在执行资产评估业务过程中应当遵循的程序规范和技术规范。资产评估执业准则包括各项具体准则、指南和指导意见。</w:t>
      </w:r>
    </w:p>
    <w:p w14:paraId="1BEA0D67" w14:textId="77777777" w:rsidR="00EE367F" w:rsidRPr="00EE367F" w:rsidRDefault="00EE367F" w:rsidP="00EE367F">
      <w:pPr>
        <w:pStyle w:val="13"/>
        <w:ind w:firstLine="482"/>
        <w:rPr>
          <w:b/>
          <w:bCs/>
        </w:rPr>
      </w:pPr>
      <w:r w:rsidRPr="00EE367F">
        <w:rPr>
          <w:b/>
          <w:bCs/>
        </w:rPr>
        <w:t>68.资产评估职业道德准则</w:t>
      </w:r>
    </w:p>
    <w:p w14:paraId="7D10DF1D" w14:textId="77777777" w:rsidR="00EE367F" w:rsidRDefault="00EE367F" w:rsidP="00EE367F">
      <w:pPr>
        <w:pStyle w:val="13"/>
      </w:pPr>
      <w:r>
        <w:rPr>
          <w:rFonts w:hint="eastAsia"/>
        </w:rPr>
        <w:lastRenderedPageBreak/>
        <w:t>资产评估职业道德准则是指依据资产评估基本准则制定的，要求资产评估机构及其资产评估专业人员在执行资产评估业务过程中应当遵循的道德品质规范和道德行为规范。</w:t>
      </w:r>
    </w:p>
    <w:p w14:paraId="0B4C4C4E" w14:textId="77777777" w:rsidR="00EE367F" w:rsidRPr="00EE367F" w:rsidRDefault="00EE367F" w:rsidP="00EE367F">
      <w:pPr>
        <w:pStyle w:val="13"/>
        <w:ind w:firstLine="482"/>
        <w:rPr>
          <w:b/>
          <w:bCs/>
        </w:rPr>
      </w:pPr>
      <w:r w:rsidRPr="00EE367F">
        <w:rPr>
          <w:b/>
          <w:bCs/>
        </w:rPr>
        <w:t>69.资产评估专业人员</w:t>
      </w:r>
    </w:p>
    <w:p w14:paraId="09180E0D" w14:textId="77777777" w:rsidR="00EE367F" w:rsidRDefault="00EE367F" w:rsidP="00EE367F">
      <w:pPr>
        <w:pStyle w:val="13"/>
      </w:pPr>
      <w:r>
        <w:rPr>
          <w:rFonts w:hint="eastAsia"/>
        </w:rPr>
        <w:t>资产评估专业人员是指具备相应的资产评估专业知识和实践经验，能够依法执行资产评估业务的从业人员。通常包括资产评估师和其他具有评估专业知识及实践经验的评估从业人员。</w:t>
      </w:r>
    </w:p>
    <w:p w14:paraId="7ADFC7A9" w14:textId="77777777" w:rsidR="00EE367F" w:rsidRPr="00EE367F" w:rsidRDefault="00EE367F" w:rsidP="00EE367F">
      <w:pPr>
        <w:pStyle w:val="13"/>
        <w:ind w:firstLine="482"/>
        <w:rPr>
          <w:b/>
          <w:bCs/>
        </w:rPr>
      </w:pPr>
      <w:r w:rsidRPr="00EE367F">
        <w:rPr>
          <w:b/>
          <w:bCs/>
        </w:rPr>
        <w:t>70.资产评估准则</w:t>
      </w:r>
    </w:p>
    <w:p w14:paraId="75FB8E69" w14:textId="77777777" w:rsidR="00EE367F" w:rsidRDefault="00EE367F" w:rsidP="00EE367F">
      <w:pPr>
        <w:pStyle w:val="13"/>
      </w:pPr>
      <w:r>
        <w:rPr>
          <w:rFonts w:hint="eastAsia"/>
        </w:rPr>
        <w:t>资产评估准则是指为规范资产评估行为，保证执业质量，明确执业责任，保护资产评估当事人合法权益和公共利益，根据《中华人民共和国资产评估法》和《资产评估行业财政监督管理办法》等制定的资产评估机构及其资产评估专业人员从事资产评估工作应当遵循的专业标准和行为规范。包括财政部制定的资产评估基本准则、中国资产评估协会制定的资产评估职业道德准则和资产评估执业准则。</w:t>
      </w:r>
    </w:p>
    <w:p w14:paraId="4E934143" w14:textId="77777777" w:rsidR="00EE367F" w:rsidRPr="00EE367F" w:rsidRDefault="00EE367F" w:rsidP="00EE367F">
      <w:pPr>
        <w:pStyle w:val="13"/>
        <w:ind w:firstLine="482"/>
        <w:rPr>
          <w:b/>
          <w:bCs/>
        </w:rPr>
      </w:pPr>
      <w:r w:rsidRPr="00EE367F">
        <w:rPr>
          <w:b/>
          <w:bCs/>
        </w:rPr>
        <w:t>71.资产组合</w:t>
      </w:r>
    </w:p>
    <w:p w14:paraId="023B8F92" w14:textId="77777777" w:rsidR="00EE367F" w:rsidRDefault="00EE367F" w:rsidP="00EE367F">
      <w:pPr>
        <w:pStyle w:val="13"/>
      </w:pPr>
      <w:r>
        <w:rPr>
          <w:rFonts w:hint="eastAsia"/>
        </w:rPr>
        <w:t>资产组合通常是指由两项以上资产或者资产与负债按照特定的目的组成的实现特定功能且能独立产生现金流量的资产（净资产）存在形式。</w:t>
      </w:r>
    </w:p>
    <w:p w14:paraId="41FF7A8D" w14:textId="77777777" w:rsidR="00EE367F" w:rsidRPr="00EE367F" w:rsidRDefault="00EE367F" w:rsidP="00EE367F">
      <w:pPr>
        <w:pStyle w:val="13"/>
        <w:ind w:firstLine="482"/>
        <w:rPr>
          <w:b/>
          <w:bCs/>
        </w:rPr>
      </w:pPr>
      <w:r w:rsidRPr="00EE367F">
        <w:rPr>
          <w:b/>
          <w:bCs/>
        </w:rPr>
        <w:t>72.最优利用方式</w:t>
      </w:r>
    </w:p>
    <w:p w14:paraId="010D5B01" w14:textId="77777777" w:rsidR="00EE367F" w:rsidRDefault="00EE367F" w:rsidP="00EE367F">
      <w:pPr>
        <w:pStyle w:val="13"/>
      </w:pPr>
      <w:r>
        <w:rPr>
          <w:rFonts w:hint="eastAsia"/>
        </w:rPr>
        <w:t>不动产的最优利用方式，也称最佳使用方式，是指在法律上允许、技术上可能、经济上可行的前提条件下，能够使评估对象产生最高收益的利用方式，包括最佳的用途、规模、档次等。</w:t>
      </w:r>
    </w:p>
    <w:p w14:paraId="01BD19A0" w14:textId="77777777" w:rsidR="00C52F64" w:rsidRDefault="00C52F64" w:rsidP="00C52F64">
      <w:pPr>
        <w:pStyle w:val="21"/>
        <w:spacing w:before="156" w:after="93"/>
      </w:pPr>
      <w:bookmarkStart w:id="24" w:name="_Toc81833304"/>
      <w:r>
        <w:rPr>
          <w:rFonts w:hint="eastAsia"/>
        </w:rPr>
        <w:t>实体</w:t>
      </w:r>
      <w:proofErr w:type="gramStart"/>
      <w:r>
        <w:rPr>
          <w:rFonts w:hint="eastAsia"/>
        </w:rPr>
        <w:t>性具体</w:t>
      </w:r>
      <w:proofErr w:type="gramEnd"/>
      <w:r>
        <w:rPr>
          <w:rFonts w:hint="eastAsia"/>
        </w:rPr>
        <w:t>准则</w:t>
      </w:r>
      <w:bookmarkEnd w:id="24"/>
    </w:p>
    <w:p w14:paraId="40976141" w14:textId="77777777" w:rsidR="00C52F64" w:rsidRDefault="00C52F64" w:rsidP="004962A7">
      <w:pPr>
        <w:pStyle w:val="31"/>
        <w:spacing w:before="156" w:after="62"/>
      </w:pPr>
      <w:bookmarkStart w:id="25" w:name="_Toc81833305"/>
      <w:r>
        <w:rPr>
          <w:rFonts w:hint="eastAsia"/>
        </w:rPr>
        <w:t>资产评估执业准则—无形资产（</w:t>
      </w:r>
      <w:proofErr w:type="gramStart"/>
      <w:r>
        <w:rPr>
          <w:rFonts w:hint="eastAsia"/>
        </w:rPr>
        <w:t>中评协</w:t>
      </w:r>
      <w:proofErr w:type="gramEnd"/>
      <w:r>
        <w:rPr>
          <w:rFonts w:hint="eastAsia"/>
        </w:rPr>
        <w:t>〔</w:t>
      </w:r>
      <w:r>
        <w:t>2017〕37号）</w:t>
      </w:r>
      <w:bookmarkEnd w:id="25"/>
    </w:p>
    <w:p w14:paraId="0A7AE218" w14:textId="77777777" w:rsidR="00C52F64" w:rsidRDefault="00C52F64" w:rsidP="004962A7">
      <w:pPr>
        <w:pStyle w:val="13"/>
        <w:ind w:firstLineChars="0" w:firstLine="0"/>
      </w:pPr>
      <w:r>
        <w:rPr>
          <w:rFonts w:hint="eastAsia"/>
        </w:rPr>
        <w:t>各省、自治区、直辖市、计划单列市资产评估协会（注册会计师协会）：</w:t>
      </w:r>
    </w:p>
    <w:p w14:paraId="27406047" w14:textId="226ABEBD" w:rsidR="00C52F64" w:rsidRDefault="00C52F64" w:rsidP="00C52F64">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资产评估准则—无形资产》进行了修订，制定了《资产评估执业准则—无形资产》，现予发布，自</w:t>
      </w:r>
      <w:r>
        <w:t xml:space="preserve"> 2017</w:t>
      </w:r>
      <w:r w:rsidR="003068F8">
        <w:t>年</w:t>
      </w:r>
      <w:r>
        <w:t>10</w:t>
      </w:r>
      <w:r w:rsidR="003068F8">
        <w:t>月</w:t>
      </w:r>
      <w:r>
        <w:t>1</w:t>
      </w:r>
      <w:r w:rsidR="003068F8">
        <w:t>日</w:t>
      </w:r>
      <w:r>
        <w:t>起施行。</w:t>
      </w:r>
    </w:p>
    <w:p w14:paraId="78EF8AB4" w14:textId="60411E56" w:rsidR="00C52F64" w:rsidRDefault="00C52F64" w:rsidP="004962A7">
      <w:pPr>
        <w:pStyle w:val="13"/>
      </w:pPr>
      <w:r>
        <w:rPr>
          <w:rFonts w:hint="eastAsia"/>
        </w:rPr>
        <w:t>请各地</w:t>
      </w:r>
      <w:proofErr w:type="gramStart"/>
      <w:r>
        <w:rPr>
          <w:rFonts w:hint="eastAsia"/>
        </w:rPr>
        <w:t>方协会</w:t>
      </w:r>
      <w:proofErr w:type="gramEnd"/>
      <w:r>
        <w:rPr>
          <w:rFonts w:hint="eastAsia"/>
        </w:rPr>
        <w:t>将《资产评估执业准则—无形资产》及时转发资产评估机构，组织资产评估机构和资产评估专业人员进行学习和培训，并将执行过程中发现的问题及时上报中国资产评估协会。</w:t>
      </w:r>
    </w:p>
    <w:p w14:paraId="18A9251D" w14:textId="77777777" w:rsidR="00C52F64" w:rsidRDefault="00C52F64" w:rsidP="00C52F64">
      <w:pPr>
        <w:pStyle w:val="13"/>
      </w:pPr>
      <w:r>
        <w:rPr>
          <w:rFonts w:hint="eastAsia"/>
        </w:rPr>
        <w:t>附件：《资产评估执业准则—无形资产》</w:t>
      </w:r>
    </w:p>
    <w:p w14:paraId="337B0095" w14:textId="77777777" w:rsidR="00C52F64" w:rsidRDefault="00C52F64" w:rsidP="004962A7">
      <w:pPr>
        <w:pStyle w:val="13"/>
        <w:jc w:val="right"/>
      </w:pPr>
      <w:r>
        <w:rPr>
          <w:rFonts w:hint="eastAsia"/>
        </w:rPr>
        <w:t>中国资产评估协会</w:t>
      </w:r>
    </w:p>
    <w:p w14:paraId="10D21385" w14:textId="2A8457C1" w:rsidR="00C52F64" w:rsidRDefault="00C52F64" w:rsidP="004962A7">
      <w:pPr>
        <w:pStyle w:val="13"/>
        <w:jc w:val="right"/>
      </w:pPr>
      <w:r>
        <w:t>2017</w:t>
      </w:r>
      <w:r w:rsidR="003068F8">
        <w:t>年</w:t>
      </w:r>
      <w:r>
        <w:t>9</w:t>
      </w:r>
      <w:r w:rsidR="003068F8">
        <w:t>月</w:t>
      </w:r>
      <w:r>
        <w:t>8</w:t>
      </w:r>
      <w:r w:rsidR="003068F8">
        <w:t>日</w:t>
      </w:r>
    </w:p>
    <w:p w14:paraId="43A1A4E9" w14:textId="77777777" w:rsidR="00C52F64" w:rsidRDefault="00C52F64" w:rsidP="00AF7342">
      <w:pPr>
        <w:pStyle w:val="a9"/>
        <w:spacing w:before="62" w:after="62"/>
      </w:pPr>
      <w:r>
        <w:rPr>
          <w:rFonts w:hint="eastAsia"/>
        </w:rPr>
        <w:lastRenderedPageBreak/>
        <w:t>资产评估执业准则—无形资产</w:t>
      </w:r>
    </w:p>
    <w:p w14:paraId="2B4061A0" w14:textId="77777777" w:rsidR="00C52F64" w:rsidRDefault="00C52F64" w:rsidP="00AF7342">
      <w:pPr>
        <w:pStyle w:val="a9"/>
        <w:spacing w:before="62" w:after="62"/>
      </w:pPr>
      <w:r>
        <w:rPr>
          <w:rFonts w:hint="eastAsia"/>
        </w:rPr>
        <w:t>第一章</w:t>
      </w:r>
      <w:r>
        <w:t xml:space="preserve"> 总则</w:t>
      </w:r>
    </w:p>
    <w:p w14:paraId="5FEE0EF0" w14:textId="395AF9E3" w:rsidR="00C52F64" w:rsidRDefault="004E3EBB" w:rsidP="00C52F64">
      <w:pPr>
        <w:pStyle w:val="13"/>
        <w:ind w:firstLine="482"/>
      </w:pPr>
      <w:r w:rsidRPr="004E3EBB">
        <w:rPr>
          <w:rFonts w:hint="eastAsia"/>
          <w:b/>
          <w:bCs/>
        </w:rPr>
        <w:t xml:space="preserve">第一条 </w:t>
      </w:r>
      <w:r w:rsidR="00C52F64">
        <w:t>为规范无形资产评估行为，保护资产评估当事人合法权益和公共利益，根据《资产评估基本准则》制定本准则。</w:t>
      </w:r>
    </w:p>
    <w:p w14:paraId="4AC008E5" w14:textId="1704A9A6" w:rsidR="00C52F64" w:rsidRDefault="004E3EBB" w:rsidP="00C52F64">
      <w:pPr>
        <w:pStyle w:val="13"/>
        <w:ind w:firstLine="482"/>
      </w:pPr>
      <w:r w:rsidRPr="004E3EBB">
        <w:rPr>
          <w:rFonts w:hint="eastAsia"/>
          <w:b/>
          <w:bCs/>
        </w:rPr>
        <w:t xml:space="preserve">第二条 </w:t>
      </w:r>
      <w:r w:rsidR="00C52F64">
        <w:t>本准则所称无形资产，是指特定主体拥有或者控制的，不具有实物形态，能持续发挥作用并且能带来经济利益的资源。</w:t>
      </w:r>
    </w:p>
    <w:p w14:paraId="44220EC2" w14:textId="06083F40" w:rsidR="00C52F64" w:rsidRDefault="004E3EBB" w:rsidP="00C52F64">
      <w:pPr>
        <w:pStyle w:val="13"/>
        <w:ind w:firstLine="482"/>
      </w:pPr>
      <w:r w:rsidRPr="004E3EBB">
        <w:rPr>
          <w:rFonts w:hint="eastAsia"/>
          <w:b/>
          <w:bCs/>
        </w:rPr>
        <w:t xml:space="preserve">第三条 </w:t>
      </w:r>
      <w:r w:rsidR="00C52F64">
        <w:t>本准则所称无形资产评估，是指资产评估机构及其资产评估专业人员遵守法律、行政法规和资产评估准则，根据委托对评估基准日特定目的下的无形资产价值进行评定和估算，并出具资产评估报告的专业服务行为。</w:t>
      </w:r>
    </w:p>
    <w:p w14:paraId="305DA4BE" w14:textId="5A3442CE" w:rsidR="008325B2" w:rsidRDefault="004E3EBB" w:rsidP="00C52F64">
      <w:pPr>
        <w:pStyle w:val="13"/>
        <w:ind w:firstLine="482"/>
      </w:pPr>
      <w:r w:rsidRPr="004E3EBB">
        <w:rPr>
          <w:rFonts w:hint="eastAsia"/>
          <w:b/>
          <w:bCs/>
        </w:rPr>
        <w:t xml:space="preserve">第四条 </w:t>
      </w:r>
      <w:r w:rsidR="00C52F64">
        <w:t>涉及土地使用权、矿业权、水域使用权等的评估另行规范。</w:t>
      </w:r>
    </w:p>
    <w:p w14:paraId="699D12F3" w14:textId="3C142CD8" w:rsidR="00C52F64" w:rsidRDefault="004E3EBB" w:rsidP="00C52F64">
      <w:pPr>
        <w:pStyle w:val="13"/>
        <w:ind w:firstLine="482"/>
      </w:pPr>
      <w:r w:rsidRPr="004E3EBB">
        <w:rPr>
          <w:b/>
          <w:bCs/>
        </w:rPr>
        <w:t xml:space="preserve">第五条 </w:t>
      </w:r>
      <w:r w:rsidR="00C52F64">
        <w:t>执行无形资产评估业务，应当遵守本准则。</w:t>
      </w:r>
    </w:p>
    <w:p w14:paraId="49ECD263" w14:textId="77777777" w:rsidR="00C52F64" w:rsidRDefault="00C52F64" w:rsidP="00AF7342">
      <w:pPr>
        <w:pStyle w:val="a9"/>
        <w:spacing w:before="62" w:after="62"/>
      </w:pPr>
      <w:r>
        <w:rPr>
          <w:rFonts w:hint="eastAsia"/>
        </w:rPr>
        <w:t>第二章</w:t>
      </w:r>
      <w:r>
        <w:t xml:space="preserve"> 基本遵循</w:t>
      </w:r>
    </w:p>
    <w:p w14:paraId="5E269B39" w14:textId="39FDF170" w:rsidR="00C52F64" w:rsidRDefault="004E3EBB" w:rsidP="00C52F64">
      <w:pPr>
        <w:pStyle w:val="13"/>
        <w:ind w:firstLine="482"/>
      </w:pPr>
      <w:r w:rsidRPr="004E3EBB">
        <w:rPr>
          <w:rFonts w:hint="eastAsia"/>
          <w:b/>
          <w:bCs/>
        </w:rPr>
        <w:t xml:space="preserve">第六条 </w:t>
      </w:r>
      <w:r w:rsidR="00C52F64">
        <w:t>资产评估机构及其资产评估专业人员开展无形资产评估业务，应当遵守法律、行政法规的规定，坚持独立、客观、公正的原则，诚实守信，勤勉尽责，谨慎从业</w:t>
      </w:r>
      <w:r w:rsidR="00CC4D74">
        <w:t>，</w:t>
      </w:r>
      <w:r w:rsidR="00C52F64">
        <w:t>遵守职业道德规范，自觉维护职业形象，不得从事损害职业形象的活动。</w:t>
      </w:r>
    </w:p>
    <w:p w14:paraId="0A1DB473" w14:textId="57DE2F80" w:rsidR="00C52F64" w:rsidRDefault="004E3EBB" w:rsidP="00C52F64">
      <w:pPr>
        <w:pStyle w:val="13"/>
        <w:ind w:firstLine="482"/>
      </w:pPr>
      <w:r w:rsidRPr="004E3EBB">
        <w:rPr>
          <w:rFonts w:hint="eastAsia"/>
          <w:b/>
          <w:bCs/>
        </w:rPr>
        <w:t xml:space="preserve">第七条 </w:t>
      </w:r>
      <w:r w:rsidR="00C52F64">
        <w:t>资产评估机构及其资产评估专业人员开展无形资产评估业务，应当独立进行分析和估算并形成专业意见，拒绝委托人或者其他相关当事人的干预，不得直接以预先设定的价值作为评估结论。</w:t>
      </w:r>
    </w:p>
    <w:p w14:paraId="30A051FB" w14:textId="2E12E617" w:rsidR="00C52F64" w:rsidRDefault="004E3EBB" w:rsidP="00C52F64">
      <w:pPr>
        <w:pStyle w:val="13"/>
        <w:ind w:firstLine="482"/>
      </w:pPr>
      <w:r w:rsidRPr="004E3EBB">
        <w:rPr>
          <w:rFonts w:hint="eastAsia"/>
          <w:b/>
          <w:bCs/>
        </w:rPr>
        <w:t xml:space="preserve">第八条 </w:t>
      </w:r>
      <w:r w:rsidR="00C52F64">
        <w:t>执行无形资产评估业务，应当具备无形资产评估的专业知识和实践经验</w:t>
      </w:r>
      <w:r w:rsidR="00CC4D74">
        <w:t>，</w:t>
      </w:r>
      <w:r w:rsidR="00C52F64">
        <w:t>能够胜任所执行的无形资产评估业务。</w:t>
      </w:r>
    </w:p>
    <w:p w14:paraId="1175D87D" w14:textId="77777777" w:rsidR="00C52F64" w:rsidRDefault="00C52F64" w:rsidP="00C52F64">
      <w:pPr>
        <w:pStyle w:val="13"/>
      </w:pPr>
      <w:r>
        <w:rPr>
          <w:rFonts w:hint="eastAsia"/>
        </w:rPr>
        <w:t>执行某项特定业务缺乏特定的专业知识和经验时，应当采取弥补措施，包括利用专家工作及相关报告等。</w:t>
      </w:r>
    </w:p>
    <w:p w14:paraId="70FEDFC4" w14:textId="0659138D" w:rsidR="00C52F64" w:rsidRDefault="00E05BDA" w:rsidP="00C52F64">
      <w:pPr>
        <w:pStyle w:val="13"/>
        <w:ind w:firstLine="482"/>
      </w:pPr>
      <w:r w:rsidRPr="00E05BDA">
        <w:rPr>
          <w:rFonts w:hint="eastAsia"/>
          <w:b/>
          <w:bCs/>
        </w:rPr>
        <w:t xml:space="preserve">第九条 </w:t>
      </w:r>
      <w:r w:rsidR="00C52F64">
        <w:t>执行企业价值评估中的无形资产评估业务，应当了解在对持续经营前提下的企业价值进行评估时，无形资产作为企业资产组成部分的价值可能有别于作为单项资产的价值，其价值取决于它对企业价值的贡献程度。</w:t>
      </w:r>
    </w:p>
    <w:p w14:paraId="7CDB506B" w14:textId="1C182C22" w:rsidR="00C52F64" w:rsidRDefault="00E05BDA" w:rsidP="00C52F64">
      <w:pPr>
        <w:pStyle w:val="13"/>
        <w:ind w:firstLine="482"/>
      </w:pPr>
      <w:r w:rsidRPr="00E05BDA">
        <w:rPr>
          <w:rFonts w:hint="eastAsia"/>
          <w:b/>
          <w:bCs/>
        </w:rPr>
        <w:t xml:space="preserve">第十条 </w:t>
      </w:r>
      <w:r w:rsidR="00C52F64">
        <w:t>执行无形资产评估业务，应当根据评估业务具体情况，对评估对象进行现场调查，收集权属证明、财务会计信息和其他资料并进行核查验证、分析整理。</w:t>
      </w:r>
    </w:p>
    <w:p w14:paraId="04A92092" w14:textId="2EFF6886" w:rsidR="00C52F64" w:rsidRDefault="00E05BDA" w:rsidP="00C52F64">
      <w:pPr>
        <w:pStyle w:val="13"/>
        <w:ind w:firstLine="482"/>
      </w:pPr>
      <w:r w:rsidRPr="00E05BDA">
        <w:rPr>
          <w:rFonts w:hint="eastAsia"/>
          <w:b/>
          <w:bCs/>
        </w:rPr>
        <w:t xml:space="preserve">第十一条 </w:t>
      </w:r>
      <w:r w:rsidR="00C52F64">
        <w:t>执行无形资产评估业务，应当合理使用评估假设和限制条件。</w:t>
      </w:r>
    </w:p>
    <w:p w14:paraId="675332B7" w14:textId="77777777" w:rsidR="00C52F64" w:rsidRDefault="00C52F64" w:rsidP="00AF7342">
      <w:pPr>
        <w:pStyle w:val="a9"/>
        <w:spacing w:before="62" w:after="62"/>
      </w:pPr>
      <w:r>
        <w:rPr>
          <w:rFonts w:hint="eastAsia"/>
        </w:rPr>
        <w:t>第三章</w:t>
      </w:r>
      <w:r>
        <w:t xml:space="preserve"> 评估对象</w:t>
      </w:r>
    </w:p>
    <w:p w14:paraId="7DCD80BA" w14:textId="083AA358" w:rsidR="00C52F64" w:rsidRDefault="00E05BDA" w:rsidP="00C52F64">
      <w:pPr>
        <w:pStyle w:val="13"/>
        <w:ind w:firstLine="482"/>
      </w:pPr>
      <w:r w:rsidRPr="00E05BDA">
        <w:rPr>
          <w:rFonts w:hint="eastAsia"/>
          <w:b/>
          <w:bCs/>
        </w:rPr>
        <w:t xml:space="preserve">第十二条 </w:t>
      </w:r>
      <w:r w:rsidR="00C52F64">
        <w:t>执行无形资产评估业务，应当要求委托人明确评估对象，关注评估对象的权利状况及法律、经济、技术等具体特征。</w:t>
      </w:r>
    </w:p>
    <w:p w14:paraId="4FD04F23" w14:textId="465AADDE" w:rsidR="00C52F64" w:rsidRDefault="00E05BDA" w:rsidP="00C52F64">
      <w:pPr>
        <w:pStyle w:val="13"/>
        <w:ind w:firstLine="482"/>
      </w:pPr>
      <w:r w:rsidRPr="00E05BDA">
        <w:rPr>
          <w:rFonts w:hint="eastAsia"/>
          <w:b/>
          <w:bCs/>
        </w:rPr>
        <w:t xml:space="preserve">第十三条 </w:t>
      </w:r>
      <w:r w:rsidR="00C52F64">
        <w:t>执行无形资产评估业务，应当根据具体经济行为，谨慎区分可辨认无形资产和不可辨认无形资产，单项无形资产和无形资产组合。</w:t>
      </w:r>
    </w:p>
    <w:p w14:paraId="0578DD64" w14:textId="4222F40E" w:rsidR="00C52F64" w:rsidRDefault="00E05BDA" w:rsidP="00C52F64">
      <w:pPr>
        <w:pStyle w:val="13"/>
        <w:ind w:firstLine="482"/>
      </w:pPr>
      <w:r w:rsidRPr="00E05BDA">
        <w:rPr>
          <w:rFonts w:hint="eastAsia"/>
          <w:b/>
          <w:bCs/>
        </w:rPr>
        <w:lastRenderedPageBreak/>
        <w:t xml:space="preserve">第十四条 </w:t>
      </w:r>
      <w:r w:rsidR="00C52F64">
        <w:t>可辨认无形资产包括专利权、商标权、著作权、专有技术、销售网络、客户关系、特许经营权、合同权益、域名等。不可辨认无形资产是指商誉。</w:t>
      </w:r>
    </w:p>
    <w:p w14:paraId="08D1F97B" w14:textId="4C015852" w:rsidR="00C52F64" w:rsidRDefault="00E05BDA" w:rsidP="00C52F64">
      <w:pPr>
        <w:pStyle w:val="13"/>
        <w:ind w:firstLine="482"/>
      </w:pPr>
      <w:r w:rsidRPr="00E05BDA">
        <w:rPr>
          <w:rFonts w:hint="eastAsia"/>
          <w:b/>
          <w:bCs/>
        </w:rPr>
        <w:t xml:space="preserve">第十五条 </w:t>
      </w:r>
      <w:r w:rsidR="00C52F64">
        <w:t>执行无形资产评估业务，应当要求委托人根据评估对象的具体情况与评估目的，对无形资产进行合理的分离或者合并，恰当进行单项无形资产或者无形资产组合的评估。</w:t>
      </w:r>
    </w:p>
    <w:p w14:paraId="7A5CA757" w14:textId="61A298B0" w:rsidR="00C52F64" w:rsidRDefault="00E05BDA" w:rsidP="00C52F64">
      <w:pPr>
        <w:pStyle w:val="13"/>
        <w:ind w:firstLine="482"/>
      </w:pPr>
      <w:r w:rsidRPr="00E05BDA">
        <w:rPr>
          <w:rFonts w:hint="eastAsia"/>
          <w:b/>
          <w:bCs/>
        </w:rPr>
        <w:t xml:space="preserve">第十六条 </w:t>
      </w:r>
      <w:r w:rsidR="00C52F64">
        <w:t>执行无形资产评估业务，通常关注评估对象的产权因素、获利能力、成本因素、市场因素、有效期限、法律保护、风险因素等相关因素。</w:t>
      </w:r>
    </w:p>
    <w:p w14:paraId="0C9FC1A9" w14:textId="77777777" w:rsidR="00C52F64" w:rsidRDefault="00C52F64" w:rsidP="00AF7342">
      <w:pPr>
        <w:pStyle w:val="a9"/>
        <w:spacing w:before="62" w:after="62"/>
      </w:pPr>
      <w:r>
        <w:rPr>
          <w:rFonts w:hint="eastAsia"/>
        </w:rPr>
        <w:t>第四章</w:t>
      </w:r>
      <w:r>
        <w:t xml:space="preserve"> 操作要求</w:t>
      </w:r>
    </w:p>
    <w:p w14:paraId="67D51628" w14:textId="6496C0E3" w:rsidR="00C52F64" w:rsidRDefault="00E05BDA" w:rsidP="00C52F64">
      <w:pPr>
        <w:pStyle w:val="13"/>
        <w:ind w:firstLine="482"/>
      </w:pPr>
      <w:r w:rsidRPr="00E05BDA">
        <w:rPr>
          <w:rFonts w:hint="eastAsia"/>
          <w:b/>
          <w:bCs/>
        </w:rPr>
        <w:t xml:space="preserve">第十七条 </w:t>
      </w:r>
      <w:r w:rsidR="00C52F64">
        <w:t>执行无形资产评估业务，应当明确评估对象、评估目的、评估基准日、评估范围、价值类型和资产评估报告使用人。</w:t>
      </w:r>
    </w:p>
    <w:p w14:paraId="74BFEB59" w14:textId="5E2A3C7B" w:rsidR="00C52F64" w:rsidRDefault="00E05BDA" w:rsidP="00C52F64">
      <w:pPr>
        <w:pStyle w:val="13"/>
        <w:ind w:firstLine="482"/>
      </w:pPr>
      <w:r w:rsidRPr="00E05BDA">
        <w:rPr>
          <w:rFonts w:hint="eastAsia"/>
          <w:b/>
          <w:bCs/>
        </w:rPr>
        <w:t xml:space="preserve">第十八条 </w:t>
      </w:r>
      <w:r w:rsidR="00C52F64">
        <w:t>执行无形资产评估业务，通常关注以下事项：</w:t>
      </w:r>
    </w:p>
    <w:p w14:paraId="01B4A7FA" w14:textId="77777777" w:rsidR="00C52F64" w:rsidRDefault="00C52F64" w:rsidP="00C52F64">
      <w:pPr>
        <w:pStyle w:val="13"/>
      </w:pPr>
      <w:r>
        <w:rPr>
          <w:rFonts w:hint="eastAsia"/>
        </w:rPr>
        <w:t>（一）无形资产权利的法律文件、权属有效性文件或者其他证明资料；</w:t>
      </w:r>
    </w:p>
    <w:p w14:paraId="0A9CD201" w14:textId="77777777" w:rsidR="00C52F64" w:rsidRDefault="00C52F64" w:rsidP="00C52F64">
      <w:pPr>
        <w:pStyle w:val="13"/>
      </w:pPr>
      <w:r>
        <w:rPr>
          <w:rFonts w:hint="eastAsia"/>
        </w:rPr>
        <w:t>（二）无形资产持续的可辨识经济利益；</w:t>
      </w:r>
    </w:p>
    <w:p w14:paraId="3D311BF9" w14:textId="77777777" w:rsidR="00C52F64" w:rsidRDefault="00C52F64" w:rsidP="00C52F64">
      <w:pPr>
        <w:pStyle w:val="13"/>
      </w:pPr>
      <w:r>
        <w:rPr>
          <w:rFonts w:hint="eastAsia"/>
        </w:rPr>
        <w:t>（三）无形资产的性质和特点，历史取得和目前的使用状况；</w:t>
      </w:r>
    </w:p>
    <w:p w14:paraId="200B055A" w14:textId="77777777" w:rsidR="00C52F64" w:rsidRDefault="00C52F64" w:rsidP="00C52F64">
      <w:pPr>
        <w:pStyle w:val="13"/>
      </w:pPr>
      <w:r>
        <w:rPr>
          <w:rFonts w:hint="eastAsia"/>
        </w:rPr>
        <w:t>（四）无形资产的剩余经济寿命和法定寿命，无形资产的保护措施；</w:t>
      </w:r>
    </w:p>
    <w:p w14:paraId="61D91972" w14:textId="77777777" w:rsidR="00C52F64" w:rsidRDefault="00C52F64" w:rsidP="00C52F64">
      <w:pPr>
        <w:pStyle w:val="13"/>
      </w:pPr>
      <w:r>
        <w:rPr>
          <w:rFonts w:hint="eastAsia"/>
        </w:rPr>
        <w:t>（五）无形资产实施的地域范围、领域范围与获利方式；</w:t>
      </w:r>
    </w:p>
    <w:p w14:paraId="60B21CC1" w14:textId="77777777" w:rsidR="00C52F64" w:rsidRDefault="00C52F64" w:rsidP="00C52F64">
      <w:pPr>
        <w:pStyle w:val="13"/>
      </w:pPr>
      <w:r>
        <w:rPr>
          <w:rFonts w:hint="eastAsia"/>
        </w:rPr>
        <w:t>（六）无形资产以往的交易、质押、出资情况；</w:t>
      </w:r>
    </w:p>
    <w:p w14:paraId="2C05F8FF" w14:textId="77777777" w:rsidR="00C52F64" w:rsidRDefault="00C52F64" w:rsidP="00C52F64">
      <w:pPr>
        <w:pStyle w:val="13"/>
      </w:pPr>
      <w:r>
        <w:rPr>
          <w:rFonts w:hint="eastAsia"/>
        </w:rPr>
        <w:t>（七）无形资产实施过程中所受到的法律、行政法规或者其他限制；</w:t>
      </w:r>
    </w:p>
    <w:p w14:paraId="7C2E2327" w14:textId="77777777" w:rsidR="00C52F64" w:rsidRDefault="00C52F64" w:rsidP="00C52F64">
      <w:pPr>
        <w:pStyle w:val="13"/>
      </w:pPr>
      <w:r>
        <w:rPr>
          <w:rFonts w:hint="eastAsia"/>
        </w:rPr>
        <w:t>（八）类似无形资产的市场价格信息；</w:t>
      </w:r>
    </w:p>
    <w:p w14:paraId="11078B2D" w14:textId="77777777" w:rsidR="00C52F64" w:rsidRDefault="00C52F64" w:rsidP="00C52F64">
      <w:pPr>
        <w:pStyle w:val="13"/>
      </w:pPr>
      <w:r>
        <w:rPr>
          <w:rFonts w:hint="eastAsia"/>
        </w:rPr>
        <w:t>（九）宏观经济环境；</w:t>
      </w:r>
    </w:p>
    <w:p w14:paraId="69730880" w14:textId="77777777" w:rsidR="00C52F64" w:rsidRDefault="00C52F64" w:rsidP="00C52F64">
      <w:pPr>
        <w:pStyle w:val="13"/>
      </w:pPr>
      <w:r>
        <w:rPr>
          <w:rFonts w:hint="eastAsia"/>
        </w:rPr>
        <w:t>（十）行业状况及发展前景；</w:t>
      </w:r>
    </w:p>
    <w:p w14:paraId="7D19F774" w14:textId="77777777" w:rsidR="00C52F64" w:rsidRDefault="00C52F64" w:rsidP="00C52F64">
      <w:pPr>
        <w:pStyle w:val="13"/>
      </w:pPr>
      <w:r>
        <w:rPr>
          <w:rFonts w:hint="eastAsia"/>
        </w:rPr>
        <w:t>（十一）企业状况及发展前景；</w:t>
      </w:r>
    </w:p>
    <w:p w14:paraId="68371EFD" w14:textId="77777777" w:rsidR="00C52F64" w:rsidRDefault="00C52F64" w:rsidP="00C52F64">
      <w:pPr>
        <w:pStyle w:val="13"/>
      </w:pPr>
      <w:r>
        <w:rPr>
          <w:rFonts w:hint="eastAsia"/>
        </w:rPr>
        <w:t>（十二）其他相关信息。</w:t>
      </w:r>
    </w:p>
    <w:p w14:paraId="25ACC7DF" w14:textId="6DD02A8F" w:rsidR="00C52F64" w:rsidRDefault="00E05BDA" w:rsidP="00C52F64">
      <w:pPr>
        <w:pStyle w:val="13"/>
        <w:ind w:firstLine="482"/>
      </w:pPr>
      <w:r w:rsidRPr="00E05BDA">
        <w:rPr>
          <w:rFonts w:hint="eastAsia"/>
          <w:b/>
          <w:bCs/>
        </w:rPr>
        <w:t xml:space="preserve">第十九条 </w:t>
      </w:r>
      <w:r w:rsidR="00C52F64">
        <w:t>无形资产与其他资产共同发挥作用时，应当分析这些资产对无形资产价值的影响。</w:t>
      </w:r>
    </w:p>
    <w:p w14:paraId="707C886E" w14:textId="58DD5375" w:rsidR="00C52F64" w:rsidRDefault="00E05BDA" w:rsidP="00C52F64">
      <w:pPr>
        <w:pStyle w:val="13"/>
        <w:ind w:firstLine="482"/>
      </w:pPr>
      <w:r w:rsidRPr="00E05BDA">
        <w:rPr>
          <w:rFonts w:hint="eastAsia"/>
          <w:b/>
          <w:bCs/>
        </w:rPr>
        <w:t xml:space="preserve">第二十条 </w:t>
      </w:r>
      <w:r w:rsidR="00C52F64">
        <w:t>执行无形资产评估业务，通常关注宏观经济政策、行业政策、经营条件、生产能力、市场状况等各项因素对无形资产效能发挥的制约，关注其对无形资产价值产生的影响。</w:t>
      </w:r>
    </w:p>
    <w:p w14:paraId="748ADCAB" w14:textId="77777777" w:rsidR="00C52F64" w:rsidRDefault="00C52F64" w:rsidP="00AF7342">
      <w:pPr>
        <w:pStyle w:val="a9"/>
        <w:spacing w:before="62" w:after="62"/>
      </w:pPr>
      <w:r>
        <w:rPr>
          <w:rFonts w:hint="eastAsia"/>
        </w:rPr>
        <w:t>第五章</w:t>
      </w:r>
      <w:r>
        <w:t xml:space="preserve"> 评估方法</w:t>
      </w:r>
    </w:p>
    <w:p w14:paraId="0E407DF1" w14:textId="223A06A6" w:rsidR="00C52F64" w:rsidRDefault="00E05BDA" w:rsidP="00C52F64">
      <w:pPr>
        <w:pStyle w:val="13"/>
        <w:ind w:firstLine="482"/>
      </w:pPr>
      <w:r w:rsidRPr="00E05BDA">
        <w:rPr>
          <w:rFonts w:hint="eastAsia"/>
          <w:b/>
          <w:bCs/>
        </w:rPr>
        <w:t xml:space="preserve">第二十一条 </w:t>
      </w:r>
      <w:r w:rsidR="00C52F64">
        <w:t>确定无形资产价值的评估方法包括市场法、收益法和成本法三种基本方法及其衍生方法。</w:t>
      </w:r>
    </w:p>
    <w:p w14:paraId="5B2C36BA" w14:textId="77777777" w:rsidR="00C52F64" w:rsidRDefault="00C52F64" w:rsidP="00C52F64">
      <w:pPr>
        <w:pStyle w:val="13"/>
      </w:pPr>
      <w:r>
        <w:rPr>
          <w:rFonts w:hint="eastAsia"/>
        </w:rPr>
        <w:t>执行无形资产评估业务，资产评估专业人员应当根据评估目的、评估对象、价值类型、资料收集等情况，分析上述三种基本方法的适用性，选择评估方法。</w:t>
      </w:r>
    </w:p>
    <w:p w14:paraId="4A3C75E8" w14:textId="3FA57095" w:rsidR="00C52F64" w:rsidRDefault="00E05BDA" w:rsidP="00C52F64">
      <w:pPr>
        <w:pStyle w:val="13"/>
        <w:ind w:firstLine="482"/>
      </w:pPr>
      <w:r w:rsidRPr="00E05BDA">
        <w:rPr>
          <w:rFonts w:hint="eastAsia"/>
          <w:b/>
          <w:bCs/>
        </w:rPr>
        <w:lastRenderedPageBreak/>
        <w:t xml:space="preserve">第二十二条 </w:t>
      </w:r>
      <w:r w:rsidR="00C52F64">
        <w:t>采用收益法评估无形资产时应当：</w:t>
      </w:r>
    </w:p>
    <w:p w14:paraId="145C5C23" w14:textId="6C16797D" w:rsidR="00C52F64" w:rsidRDefault="00C52F64" w:rsidP="004962A7">
      <w:pPr>
        <w:pStyle w:val="13"/>
      </w:pPr>
      <w:r>
        <w:rPr>
          <w:rFonts w:hint="eastAsia"/>
        </w:rPr>
        <w:t>（一）在获取无形资产相关信息的基础上，根据该无形资产或者类似无形资产的历史实施情况及未来应用前景，结合无形资产实施或者拟实施企业经营状况，重点分析无形资产经济收益的可预测性，考虑收益法的适用性；</w:t>
      </w:r>
    </w:p>
    <w:p w14:paraId="3647605D" w14:textId="77777777" w:rsidR="00C52F64" w:rsidRDefault="00C52F64" w:rsidP="00C52F64">
      <w:pPr>
        <w:pStyle w:val="13"/>
      </w:pPr>
      <w:r>
        <w:rPr>
          <w:rFonts w:hint="eastAsia"/>
        </w:rPr>
        <w:t>（二）估算无形资产带来的预期收益，区分评估对象无形资产和其他无形资产与其他资产所获得的收益，分析与之有关的预期变动、收益期限，与收益有关的成本费用、配套资产、现金流量、风险因素；</w:t>
      </w:r>
    </w:p>
    <w:p w14:paraId="6B48ABB8" w14:textId="77777777" w:rsidR="00C52F64" w:rsidRDefault="00C52F64" w:rsidP="00C52F64">
      <w:pPr>
        <w:pStyle w:val="13"/>
      </w:pPr>
      <w:r>
        <w:rPr>
          <w:rFonts w:hint="eastAsia"/>
        </w:rPr>
        <w:t>（三）保持预期收益口径与折现率口径一致；</w:t>
      </w:r>
    </w:p>
    <w:p w14:paraId="5DF0AD2D" w14:textId="77777777" w:rsidR="00C52F64" w:rsidRDefault="00C52F64" w:rsidP="00C52F64">
      <w:pPr>
        <w:pStyle w:val="13"/>
      </w:pPr>
      <w:r>
        <w:rPr>
          <w:rFonts w:hint="eastAsia"/>
        </w:rPr>
        <w:t>（四）根据无形资产实施过程中的风险因素及货币时间价值等因素估算折现率；</w:t>
      </w:r>
    </w:p>
    <w:p w14:paraId="5E5C1124" w14:textId="353FAD51" w:rsidR="00C52F64" w:rsidRDefault="00C52F64" w:rsidP="004962A7">
      <w:pPr>
        <w:pStyle w:val="13"/>
      </w:pPr>
      <w:r>
        <w:rPr>
          <w:rFonts w:hint="eastAsia"/>
        </w:rPr>
        <w:t>（五）综合分析无形资产的剩余经济寿命、法定寿命及其他相关因素，确定收益期限。</w:t>
      </w:r>
    </w:p>
    <w:p w14:paraId="0D0A8C97" w14:textId="020F668C" w:rsidR="00C52F64" w:rsidRDefault="00E05BDA" w:rsidP="00C52F64">
      <w:pPr>
        <w:pStyle w:val="13"/>
        <w:ind w:firstLine="482"/>
      </w:pPr>
      <w:r w:rsidRPr="00E05BDA">
        <w:rPr>
          <w:rFonts w:hint="eastAsia"/>
          <w:b/>
          <w:bCs/>
        </w:rPr>
        <w:t xml:space="preserve">第二十三条 </w:t>
      </w:r>
      <w:r w:rsidR="00C52F64">
        <w:t>采用市场法评估无形资产时应当：</w:t>
      </w:r>
    </w:p>
    <w:p w14:paraId="2FF11FB7" w14:textId="66E8CE78" w:rsidR="00C52F64" w:rsidRDefault="00C52F64" w:rsidP="004962A7">
      <w:pPr>
        <w:pStyle w:val="13"/>
      </w:pPr>
      <w:r>
        <w:rPr>
          <w:rFonts w:hint="eastAsia"/>
        </w:rPr>
        <w:t>（一）考虑该无形资产或者类似无形资产是否存在活跃的市场，考虑市场法的适用性；</w:t>
      </w:r>
    </w:p>
    <w:p w14:paraId="3C10C370" w14:textId="0C45CDD4" w:rsidR="00C52F64" w:rsidRDefault="00C52F64" w:rsidP="004962A7">
      <w:pPr>
        <w:pStyle w:val="13"/>
      </w:pPr>
      <w:r>
        <w:rPr>
          <w:rFonts w:hint="eastAsia"/>
        </w:rPr>
        <w:t>（二）收集类似无形资产交易案例的市场交易价格、交易时间及交易条件等交易信息；</w:t>
      </w:r>
    </w:p>
    <w:p w14:paraId="6A2664C5" w14:textId="77777777" w:rsidR="00C52F64" w:rsidRDefault="00C52F64" w:rsidP="00C52F64">
      <w:pPr>
        <w:pStyle w:val="13"/>
      </w:pPr>
      <w:r>
        <w:rPr>
          <w:rFonts w:hint="eastAsia"/>
        </w:rPr>
        <w:t>（三）选择具有比较基础的可比无形资产交易案例；</w:t>
      </w:r>
    </w:p>
    <w:p w14:paraId="5DF4C589" w14:textId="77777777" w:rsidR="00C52F64" w:rsidRDefault="00C52F64" w:rsidP="00C52F64">
      <w:pPr>
        <w:pStyle w:val="13"/>
      </w:pPr>
      <w:r>
        <w:rPr>
          <w:rFonts w:hint="eastAsia"/>
        </w:rPr>
        <w:t>（四）收集评估对象近期的交易信息；</w:t>
      </w:r>
    </w:p>
    <w:p w14:paraId="2C1A6E2E" w14:textId="77777777" w:rsidR="008325B2" w:rsidRDefault="00C52F64" w:rsidP="00C52F64">
      <w:pPr>
        <w:pStyle w:val="13"/>
      </w:pPr>
      <w:r>
        <w:rPr>
          <w:rFonts w:hint="eastAsia"/>
        </w:rPr>
        <w:t>（五）对可比交易案例和评估对象近期交易信息进行必要调整。</w:t>
      </w:r>
    </w:p>
    <w:p w14:paraId="124B0F29" w14:textId="4467A241" w:rsidR="00C52F64" w:rsidRDefault="00E05BDA" w:rsidP="00C52F64">
      <w:pPr>
        <w:pStyle w:val="13"/>
        <w:ind w:firstLine="482"/>
      </w:pPr>
      <w:r w:rsidRPr="00E05BDA">
        <w:rPr>
          <w:rFonts w:hint="eastAsia"/>
          <w:b/>
          <w:bCs/>
        </w:rPr>
        <w:t xml:space="preserve">第二十四条 </w:t>
      </w:r>
      <w:r w:rsidR="00C52F64">
        <w:t>采用成本法评估无形资产时应当：</w:t>
      </w:r>
    </w:p>
    <w:p w14:paraId="64914B12" w14:textId="77777777" w:rsidR="00C52F64" w:rsidRDefault="00C52F64" w:rsidP="00C52F64">
      <w:pPr>
        <w:pStyle w:val="13"/>
      </w:pPr>
      <w:r>
        <w:rPr>
          <w:rFonts w:hint="eastAsia"/>
        </w:rPr>
        <w:t>（一）根据无形资产形成的全部投入，考虑无形资产价值与成本的相关程度，考虑成本法的适用性；</w:t>
      </w:r>
    </w:p>
    <w:p w14:paraId="34F9CDB4" w14:textId="77777777" w:rsidR="00C52F64" w:rsidRDefault="00C52F64" w:rsidP="00C52F64">
      <w:pPr>
        <w:pStyle w:val="13"/>
      </w:pPr>
      <w:r>
        <w:rPr>
          <w:rFonts w:hint="eastAsia"/>
        </w:rPr>
        <w:t>（二）确定无形资产的重置成本，无形资产的重置成本包括合理的成本、利润和相关税费；</w:t>
      </w:r>
    </w:p>
    <w:p w14:paraId="6E5535E6" w14:textId="77777777" w:rsidR="00C52F64" w:rsidRDefault="00C52F64" w:rsidP="00C52F64">
      <w:pPr>
        <w:pStyle w:val="13"/>
      </w:pPr>
      <w:r>
        <w:rPr>
          <w:rFonts w:hint="eastAsia"/>
        </w:rPr>
        <w:t>（三）确定无形资产贬值。</w:t>
      </w:r>
    </w:p>
    <w:p w14:paraId="5601ABA5" w14:textId="11C8377D" w:rsidR="00C52F64" w:rsidRDefault="00E05BDA" w:rsidP="00C52F64">
      <w:pPr>
        <w:pStyle w:val="13"/>
        <w:ind w:firstLine="482"/>
      </w:pPr>
      <w:r w:rsidRPr="00E05BDA">
        <w:rPr>
          <w:rFonts w:hint="eastAsia"/>
          <w:b/>
          <w:bCs/>
        </w:rPr>
        <w:t xml:space="preserve">第二十五条 </w:t>
      </w:r>
      <w:r w:rsidR="00C52F64">
        <w:t>对同一无形资产采用多种评估方法时，应当对所获得的各种测算结果进行分析，形成评估结论。</w:t>
      </w:r>
    </w:p>
    <w:p w14:paraId="1922B2C8" w14:textId="77777777" w:rsidR="00C52F64" w:rsidRDefault="00C52F64" w:rsidP="00AF7342">
      <w:pPr>
        <w:pStyle w:val="a9"/>
        <w:spacing w:before="62" w:after="62"/>
      </w:pPr>
      <w:r>
        <w:rPr>
          <w:rFonts w:hint="eastAsia"/>
        </w:rPr>
        <w:t>第六章</w:t>
      </w:r>
      <w:r>
        <w:t xml:space="preserve"> 披露要求</w:t>
      </w:r>
    </w:p>
    <w:p w14:paraId="69B65829" w14:textId="68AC5949" w:rsidR="00C52F64" w:rsidRDefault="00E05BDA" w:rsidP="004962A7">
      <w:pPr>
        <w:pStyle w:val="13"/>
        <w:ind w:firstLine="482"/>
      </w:pPr>
      <w:r w:rsidRPr="00E05BDA">
        <w:rPr>
          <w:rFonts w:hint="eastAsia"/>
          <w:b/>
          <w:bCs/>
        </w:rPr>
        <w:t xml:space="preserve">第二十六条 </w:t>
      </w:r>
      <w:r w:rsidR="00C52F64">
        <w:t>无论单独出具无形资产评估报告，还是将无形资产评估作为资产评估报告的组成部分，都应当在资产评估报告中披露必要信息，使资产评估报告使用人能够</w:t>
      </w:r>
      <w:r w:rsidR="00C52F64">
        <w:rPr>
          <w:rFonts w:hint="eastAsia"/>
        </w:rPr>
        <w:t>正确理解评估结论。</w:t>
      </w:r>
    </w:p>
    <w:p w14:paraId="1360FDC8" w14:textId="1762475C" w:rsidR="00C52F64" w:rsidRDefault="00E05BDA" w:rsidP="00C52F64">
      <w:pPr>
        <w:pStyle w:val="13"/>
        <w:ind w:firstLine="482"/>
      </w:pPr>
      <w:r w:rsidRPr="00E05BDA">
        <w:rPr>
          <w:rFonts w:hint="eastAsia"/>
          <w:b/>
          <w:bCs/>
        </w:rPr>
        <w:t xml:space="preserve">第二十七条 </w:t>
      </w:r>
      <w:r w:rsidR="00C52F64">
        <w:t>无形资产评估报告应当说明下列内容：</w:t>
      </w:r>
    </w:p>
    <w:p w14:paraId="0AF48FD1" w14:textId="77777777" w:rsidR="00C52F64" w:rsidRDefault="00C52F64" w:rsidP="00C52F64">
      <w:pPr>
        <w:pStyle w:val="13"/>
      </w:pPr>
      <w:r>
        <w:rPr>
          <w:rFonts w:hint="eastAsia"/>
        </w:rPr>
        <w:t>（一）无形资产的性质、权利状况及限制条件；</w:t>
      </w:r>
    </w:p>
    <w:p w14:paraId="633DF434" w14:textId="77777777" w:rsidR="00C52F64" w:rsidRDefault="00C52F64" w:rsidP="00C52F64">
      <w:pPr>
        <w:pStyle w:val="13"/>
      </w:pPr>
      <w:r>
        <w:rPr>
          <w:rFonts w:hint="eastAsia"/>
        </w:rPr>
        <w:t>（二）无形资产实施的地域限制、领域限制及法律法规限制条件；</w:t>
      </w:r>
    </w:p>
    <w:p w14:paraId="5ACE6055" w14:textId="77777777" w:rsidR="00C52F64" w:rsidRDefault="00C52F64" w:rsidP="00C52F64">
      <w:pPr>
        <w:pStyle w:val="13"/>
      </w:pPr>
      <w:r>
        <w:rPr>
          <w:rFonts w:hint="eastAsia"/>
        </w:rPr>
        <w:lastRenderedPageBreak/>
        <w:t>（三）与无形资产相关的宏观经济和行业的前景；</w:t>
      </w:r>
    </w:p>
    <w:p w14:paraId="3A5276DE" w14:textId="77777777" w:rsidR="00C52F64" w:rsidRDefault="00C52F64" w:rsidP="00C52F64">
      <w:pPr>
        <w:pStyle w:val="13"/>
      </w:pPr>
      <w:r>
        <w:rPr>
          <w:rFonts w:hint="eastAsia"/>
        </w:rPr>
        <w:t>（四）无形资产的历史、现实状况与发展前景；</w:t>
      </w:r>
    </w:p>
    <w:p w14:paraId="08A70243" w14:textId="77777777" w:rsidR="00C52F64" w:rsidRDefault="00C52F64" w:rsidP="00C52F64">
      <w:pPr>
        <w:pStyle w:val="13"/>
      </w:pPr>
      <w:r>
        <w:rPr>
          <w:rFonts w:hint="eastAsia"/>
        </w:rPr>
        <w:t>（五）评估依据的信息来源；</w:t>
      </w:r>
    </w:p>
    <w:p w14:paraId="0A0E6F21" w14:textId="77777777" w:rsidR="00C52F64" w:rsidRDefault="00C52F64" w:rsidP="00C52F64">
      <w:pPr>
        <w:pStyle w:val="13"/>
      </w:pPr>
      <w:r>
        <w:rPr>
          <w:rFonts w:hint="eastAsia"/>
        </w:rPr>
        <w:t>（六）其他必要信息。</w:t>
      </w:r>
    </w:p>
    <w:p w14:paraId="66C9ED99" w14:textId="1508B246" w:rsidR="00C52F64" w:rsidRDefault="00E05BDA" w:rsidP="00C52F64">
      <w:pPr>
        <w:pStyle w:val="13"/>
        <w:ind w:firstLine="482"/>
      </w:pPr>
      <w:r w:rsidRPr="00E05BDA">
        <w:rPr>
          <w:rFonts w:hint="eastAsia"/>
          <w:b/>
          <w:bCs/>
        </w:rPr>
        <w:t xml:space="preserve">第二十八条 </w:t>
      </w:r>
      <w:r w:rsidR="00C52F64">
        <w:t>无形资产评估报告应当说明有关评估方法的下列内容：</w:t>
      </w:r>
    </w:p>
    <w:p w14:paraId="6BACF1A7" w14:textId="77777777" w:rsidR="00C52F64" w:rsidRDefault="00C52F64" w:rsidP="00C52F64">
      <w:pPr>
        <w:pStyle w:val="13"/>
      </w:pPr>
      <w:r>
        <w:rPr>
          <w:rFonts w:hint="eastAsia"/>
        </w:rPr>
        <w:t>（一）评估方法的选择及其理由；</w:t>
      </w:r>
    </w:p>
    <w:p w14:paraId="64BF8329" w14:textId="77777777" w:rsidR="00C52F64" w:rsidRDefault="00C52F64" w:rsidP="00C52F64">
      <w:pPr>
        <w:pStyle w:val="13"/>
      </w:pPr>
      <w:r>
        <w:rPr>
          <w:rFonts w:hint="eastAsia"/>
        </w:rPr>
        <w:t>（二）各重要参数的来源、分析、比较与测算过程；</w:t>
      </w:r>
    </w:p>
    <w:p w14:paraId="2217A086" w14:textId="77777777" w:rsidR="00C52F64" w:rsidRDefault="00C52F64" w:rsidP="00C52F64">
      <w:pPr>
        <w:pStyle w:val="13"/>
      </w:pPr>
      <w:r>
        <w:rPr>
          <w:rFonts w:hint="eastAsia"/>
        </w:rPr>
        <w:t>（三）对测算结果进行分析，形成评估结论的过程；</w:t>
      </w:r>
    </w:p>
    <w:p w14:paraId="7F760C58" w14:textId="77777777" w:rsidR="00C52F64" w:rsidRDefault="00C52F64" w:rsidP="00C52F64">
      <w:pPr>
        <w:pStyle w:val="13"/>
      </w:pPr>
      <w:r>
        <w:rPr>
          <w:rFonts w:hint="eastAsia"/>
        </w:rPr>
        <w:t>（四）评估结论成立的假设前提和限制条件。</w:t>
      </w:r>
    </w:p>
    <w:p w14:paraId="6EC479BC" w14:textId="77777777" w:rsidR="00C52F64" w:rsidRDefault="00C52F64" w:rsidP="00AF7342">
      <w:pPr>
        <w:pStyle w:val="a9"/>
        <w:spacing w:before="62" w:after="62"/>
      </w:pPr>
      <w:r>
        <w:rPr>
          <w:rFonts w:hint="eastAsia"/>
        </w:rPr>
        <w:t>第七章</w:t>
      </w:r>
      <w:r>
        <w:t xml:space="preserve"> 附则</w:t>
      </w:r>
    </w:p>
    <w:p w14:paraId="62D03643" w14:textId="1C4F9489" w:rsidR="00C52F64" w:rsidRDefault="00E05BDA" w:rsidP="004962A7">
      <w:pPr>
        <w:pStyle w:val="13"/>
        <w:ind w:firstLine="482"/>
      </w:pPr>
      <w:r w:rsidRPr="00E05BDA">
        <w:rPr>
          <w:rFonts w:hint="eastAsia"/>
          <w:b/>
          <w:bCs/>
        </w:rPr>
        <w:t xml:space="preserve">第二十九条 </w:t>
      </w:r>
      <w:r w:rsidR="00C52F64">
        <w:t>本准则自 2017</w:t>
      </w:r>
      <w:r w:rsidR="003068F8">
        <w:t>年</w:t>
      </w:r>
      <w:r w:rsidR="00C52F64">
        <w:t>10</w:t>
      </w:r>
      <w:r w:rsidR="003068F8">
        <w:t>月</w:t>
      </w:r>
      <w:r w:rsidR="00C52F64">
        <w:t>1</w:t>
      </w:r>
      <w:r w:rsidR="003068F8">
        <w:t>日</w:t>
      </w:r>
      <w:r w:rsidR="00C52F64">
        <w:t>起施行。中国资产评估协会于 2008</w:t>
      </w:r>
      <w:r w:rsidR="003068F8">
        <w:t>年</w:t>
      </w:r>
      <w:r w:rsidR="00C52F64">
        <w:t>11</w:t>
      </w:r>
      <w:r w:rsidR="003068F8">
        <w:rPr>
          <w:rFonts w:hint="eastAsia"/>
        </w:rPr>
        <w:t>月</w:t>
      </w:r>
      <w:r w:rsidR="00C52F64">
        <w:t>28</w:t>
      </w:r>
      <w:r w:rsidR="003068F8">
        <w:t>日</w:t>
      </w:r>
      <w:r w:rsidR="00C52F64">
        <w:t>发布的《关于印发〈资产评估准则—无形资产〉和〈专利资产评估指导意见〉的通知》（</w:t>
      </w:r>
      <w:proofErr w:type="gramStart"/>
      <w:r w:rsidR="00C52F64">
        <w:t>中评协</w:t>
      </w:r>
      <w:proofErr w:type="gramEnd"/>
      <w:r w:rsidR="00C52F64">
        <w:t>〔2008〕217号）中的《资产评估准则—无形资产》同时废止。</w:t>
      </w:r>
    </w:p>
    <w:p w14:paraId="71B44EF1" w14:textId="77777777" w:rsidR="00C52F64" w:rsidRDefault="00C52F64" w:rsidP="004962A7">
      <w:pPr>
        <w:pStyle w:val="31"/>
        <w:spacing w:before="156" w:after="62"/>
      </w:pPr>
      <w:bookmarkStart w:id="26" w:name="_Toc81833306"/>
      <w:r>
        <w:rPr>
          <w:rFonts w:hint="eastAsia"/>
        </w:rPr>
        <w:t>资产评估执业准则—不动产（</w:t>
      </w:r>
      <w:proofErr w:type="gramStart"/>
      <w:r>
        <w:rPr>
          <w:rFonts w:hint="eastAsia"/>
        </w:rPr>
        <w:t>中评协</w:t>
      </w:r>
      <w:proofErr w:type="gramEnd"/>
      <w:r>
        <w:rPr>
          <w:rFonts w:hint="eastAsia"/>
        </w:rPr>
        <w:t>〔</w:t>
      </w:r>
      <w:r>
        <w:t>2017〕38号）</w:t>
      </w:r>
      <w:bookmarkEnd w:id="26"/>
    </w:p>
    <w:p w14:paraId="2D455EA0" w14:textId="77777777" w:rsidR="00C52F64" w:rsidRDefault="00C52F64" w:rsidP="004962A7">
      <w:pPr>
        <w:pStyle w:val="13"/>
        <w:ind w:firstLineChars="0" w:firstLine="0"/>
      </w:pPr>
      <w:r>
        <w:rPr>
          <w:rFonts w:hint="eastAsia"/>
        </w:rPr>
        <w:t>各省、自治区、直辖市、计划单列市资产评估协会（注册会计师协会）：</w:t>
      </w:r>
    </w:p>
    <w:p w14:paraId="594BE954" w14:textId="4B7627E3" w:rsidR="00C52F64" w:rsidRDefault="00C52F64" w:rsidP="00C52F64">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资产评估准则—不动产》进行了修订，制定了《资产评估执业准则—不动产》，现予发布，自</w:t>
      </w:r>
      <w:r>
        <w:t xml:space="preserve"> 2017</w:t>
      </w:r>
      <w:r w:rsidR="003068F8">
        <w:t>年</w:t>
      </w:r>
      <w:r>
        <w:t>10</w:t>
      </w:r>
      <w:r w:rsidR="003068F8">
        <w:t>月</w:t>
      </w:r>
      <w:r>
        <w:t>1</w:t>
      </w:r>
      <w:r w:rsidR="003068F8">
        <w:t>日</w:t>
      </w:r>
      <w:r>
        <w:t>起施行。</w:t>
      </w:r>
    </w:p>
    <w:p w14:paraId="5043271D" w14:textId="77777777" w:rsidR="00C52F64" w:rsidRDefault="00C52F64" w:rsidP="00C52F64">
      <w:pPr>
        <w:pStyle w:val="13"/>
      </w:pPr>
      <w:r>
        <w:rPr>
          <w:rFonts w:hint="eastAsia"/>
        </w:rPr>
        <w:t>请各地</w:t>
      </w:r>
      <w:proofErr w:type="gramStart"/>
      <w:r>
        <w:rPr>
          <w:rFonts w:hint="eastAsia"/>
        </w:rPr>
        <w:t>方协会</w:t>
      </w:r>
      <w:proofErr w:type="gramEnd"/>
      <w:r>
        <w:rPr>
          <w:rFonts w:hint="eastAsia"/>
        </w:rPr>
        <w:t>将《资产评估执业准则—不动产》及时转发资产评估机构，组织资产评估机构和资产评估专业人员进行学习和培训，并将执行过程中发现的问题及时上报中国资产评估协会。</w:t>
      </w:r>
    </w:p>
    <w:p w14:paraId="3B405715" w14:textId="77777777" w:rsidR="00C52F64" w:rsidRDefault="00C52F64" w:rsidP="00C52F64">
      <w:pPr>
        <w:pStyle w:val="13"/>
      </w:pPr>
      <w:r>
        <w:rPr>
          <w:rFonts w:hint="eastAsia"/>
        </w:rPr>
        <w:t>附件：《资产评估执业准则—不动产》</w:t>
      </w:r>
    </w:p>
    <w:p w14:paraId="14AB7F15" w14:textId="77777777" w:rsidR="00C52F64" w:rsidRDefault="00C52F64" w:rsidP="004962A7">
      <w:pPr>
        <w:pStyle w:val="13"/>
        <w:jc w:val="right"/>
      </w:pPr>
      <w:r>
        <w:rPr>
          <w:rFonts w:hint="eastAsia"/>
        </w:rPr>
        <w:t>中国资产评估协会</w:t>
      </w:r>
    </w:p>
    <w:p w14:paraId="1236F2BE" w14:textId="032FCC2F" w:rsidR="00C52F64" w:rsidRDefault="00C52F64" w:rsidP="004962A7">
      <w:pPr>
        <w:pStyle w:val="13"/>
        <w:jc w:val="right"/>
      </w:pPr>
      <w:r>
        <w:t>2017</w:t>
      </w:r>
      <w:r w:rsidR="003068F8">
        <w:t>年</w:t>
      </w:r>
      <w:r>
        <w:t>9</w:t>
      </w:r>
      <w:r w:rsidR="003068F8">
        <w:t>月</w:t>
      </w:r>
      <w:r>
        <w:t>8</w:t>
      </w:r>
      <w:r w:rsidR="003068F8">
        <w:t>日</w:t>
      </w:r>
    </w:p>
    <w:p w14:paraId="183316C9" w14:textId="77777777" w:rsidR="00C52F64" w:rsidRDefault="00C52F64" w:rsidP="00AF7342">
      <w:pPr>
        <w:pStyle w:val="a9"/>
        <w:spacing w:before="62" w:after="62"/>
      </w:pPr>
      <w:r>
        <w:rPr>
          <w:rFonts w:hint="eastAsia"/>
        </w:rPr>
        <w:t>资产评估执业准则—不动产</w:t>
      </w:r>
    </w:p>
    <w:p w14:paraId="7AFDD49E" w14:textId="77777777" w:rsidR="00C52F64" w:rsidRDefault="00C52F64" w:rsidP="00AF7342">
      <w:pPr>
        <w:pStyle w:val="a9"/>
        <w:spacing w:before="62" w:after="62"/>
      </w:pPr>
      <w:r>
        <w:rPr>
          <w:rFonts w:hint="eastAsia"/>
        </w:rPr>
        <w:t>第一章</w:t>
      </w:r>
      <w:r>
        <w:t xml:space="preserve"> 总则</w:t>
      </w:r>
    </w:p>
    <w:p w14:paraId="085F3BE0" w14:textId="69C5C3F6" w:rsidR="00C52F64" w:rsidRDefault="004E3EBB" w:rsidP="004962A7">
      <w:pPr>
        <w:pStyle w:val="13"/>
        <w:ind w:firstLine="482"/>
      </w:pPr>
      <w:r w:rsidRPr="004E3EBB">
        <w:rPr>
          <w:rFonts w:hint="eastAsia"/>
          <w:b/>
          <w:bCs/>
        </w:rPr>
        <w:t xml:space="preserve">第一条 </w:t>
      </w:r>
      <w:r w:rsidR="00C52F64">
        <w:t>为规范不动产评估行为，保护资产评估当事人合法权益和公共利益，根据</w:t>
      </w:r>
      <w:r w:rsidR="00C52F64">
        <w:rPr>
          <w:rFonts w:hint="eastAsia"/>
        </w:rPr>
        <w:t>《资产评估基本准则》制定本准则。</w:t>
      </w:r>
    </w:p>
    <w:p w14:paraId="4888BDBE" w14:textId="27C00EEE" w:rsidR="00C52F64" w:rsidRDefault="004E3EBB" w:rsidP="00C52F64">
      <w:pPr>
        <w:pStyle w:val="13"/>
        <w:ind w:firstLine="482"/>
      </w:pPr>
      <w:r w:rsidRPr="004E3EBB">
        <w:rPr>
          <w:rFonts w:hint="eastAsia"/>
          <w:b/>
          <w:bCs/>
        </w:rPr>
        <w:t xml:space="preserve">第二条 </w:t>
      </w:r>
      <w:r w:rsidR="00C52F64">
        <w:t>本准则所称不动产是指土地、建筑物及其他附着于土地上的定着物，包括物质实体及其相关权益。</w:t>
      </w:r>
    </w:p>
    <w:p w14:paraId="40E3F2CC" w14:textId="77777777" w:rsidR="00C52F64" w:rsidRDefault="00C52F64" w:rsidP="00C52F64">
      <w:pPr>
        <w:pStyle w:val="13"/>
      </w:pPr>
      <w:r>
        <w:rPr>
          <w:rFonts w:hint="eastAsia"/>
        </w:rPr>
        <w:t>本准则所称不动产不包含海域、林木等。</w:t>
      </w:r>
    </w:p>
    <w:p w14:paraId="03E64E9C" w14:textId="13FDD879" w:rsidR="00C52F64" w:rsidRDefault="004E3EBB" w:rsidP="00C52F64">
      <w:pPr>
        <w:pStyle w:val="13"/>
        <w:ind w:firstLine="482"/>
      </w:pPr>
      <w:r w:rsidRPr="004E3EBB">
        <w:rPr>
          <w:rFonts w:hint="eastAsia"/>
          <w:b/>
          <w:bCs/>
        </w:rPr>
        <w:t xml:space="preserve">第三条 </w:t>
      </w:r>
      <w:r w:rsidR="00C52F64">
        <w:t>本准则所称不动产评估是指资产评估机构及其资产评估专业人员遵守</w:t>
      </w:r>
      <w:r w:rsidR="00C52F64">
        <w:lastRenderedPageBreak/>
        <w:t>法律、行政法规和资产评估准则，根据委托对评估基准日特定目的下的不动产价值进行评定和估算，并出具资产评估报告的专业服务行为。</w:t>
      </w:r>
    </w:p>
    <w:p w14:paraId="356269A0" w14:textId="77777777" w:rsidR="00C52F64" w:rsidRDefault="00C52F64" w:rsidP="00C52F64">
      <w:pPr>
        <w:pStyle w:val="13"/>
      </w:pPr>
      <w:r>
        <w:rPr>
          <w:rFonts w:hint="eastAsia"/>
        </w:rPr>
        <w:t>不动产评估包括单独的不动产评估和企业价值评估中的不动产评估。</w:t>
      </w:r>
    </w:p>
    <w:p w14:paraId="1B7AE662" w14:textId="1F311078" w:rsidR="00C52F64" w:rsidRDefault="004E3EBB" w:rsidP="00C52F64">
      <w:pPr>
        <w:pStyle w:val="13"/>
        <w:ind w:firstLine="482"/>
      </w:pPr>
      <w:r w:rsidRPr="004E3EBB">
        <w:rPr>
          <w:rFonts w:hint="eastAsia"/>
          <w:b/>
          <w:bCs/>
        </w:rPr>
        <w:t xml:space="preserve">第四条 </w:t>
      </w:r>
      <w:r w:rsidR="00C52F64">
        <w:t>执行不动产评估业务，应当遵守本准则，但法律、行政法规规定应当执行其他准则的，从其规定。</w:t>
      </w:r>
    </w:p>
    <w:p w14:paraId="54E50D79" w14:textId="77777777" w:rsidR="00C52F64" w:rsidRDefault="00C52F64" w:rsidP="00AF7342">
      <w:pPr>
        <w:pStyle w:val="a9"/>
        <w:spacing w:before="62" w:after="62"/>
      </w:pPr>
      <w:r>
        <w:rPr>
          <w:rFonts w:hint="eastAsia"/>
        </w:rPr>
        <w:t>第二章</w:t>
      </w:r>
      <w:r>
        <w:t xml:space="preserve"> 基本遵循</w:t>
      </w:r>
    </w:p>
    <w:p w14:paraId="7242CCEC" w14:textId="13DDFB3F" w:rsidR="00C52F64" w:rsidRDefault="004E3EBB" w:rsidP="00C52F64">
      <w:pPr>
        <w:pStyle w:val="13"/>
        <w:ind w:firstLine="482"/>
      </w:pPr>
      <w:r w:rsidRPr="004E3EBB">
        <w:rPr>
          <w:rFonts w:hint="eastAsia"/>
          <w:b/>
          <w:bCs/>
        </w:rPr>
        <w:t xml:space="preserve">第五条 </w:t>
      </w:r>
      <w:r w:rsidR="00C52F64">
        <w:t>执行不动产评估业务，应当具备不动产评估的专业知识和实践经验，能够胜任所执行的不动产评估业务。</w:t>
      </w:r>
    </w:p>
    <w:p w14:paraId="07BC5E24" w14:textId="77777777" w:rsidR="00C52F64" w:rsidRDefault="00C52F64" w:rsidP="00C52F64">
      <w:pPr>
        <w:pStyle w:val="13"/>
      </w:pPr>
      <w:r>
        <w:rPr>
          <w:rFonts w:hint="eastAsia"/>
        </w:rPr>
        <w:t>当执行某项特定业务缺乏特定的专业知识和经验时，应当采取弥补措施，包括利用专家工作及相关报告等。</w:t>
      </w:r>
    </w:p>
    <w:p w14:paraId="60744DD6" w14:textId="2D76BD42" w:rsidR="00C52F64" w:rsidRDefault="004E3EBB" w:rsidP="00C52F64">
      <w:pPr>
        <w:pStyle w:val="13"/>
        <w:ind w:firstLine="482"/>
      </w:pPr>
      <w:r w:rsidRPr="004E3EBB">
        <w:rPr>
          <w:rFonts w:hint="eastAsia"/>
          <w:b/>
          <w:bCs/>
        </w:rPr>
        <w:t xml:space="preserve">第六条 </w:t>
      </w:r>
      <w:r w:rsidR="00C52F64">
        <w:t>资产评估专业人员应当关注不动产的权属，收集相关的权属证明文件，对于没有权属证明文件的不动产应当要求委托人或者其他相关当事人对其权属做出承诺或说明。</w:t>
      </w:r>
    </w:p>
    <w:p w14:paraId="68DB04E0" w14:textId="4E7FE55D" w:rsidR="00C52F64" w:rsidRDefault="004E3EBB" w:rsidP="00C52F64">
      <w:pPr>
        <w:pStyle w:val="13"/>
        <w:ind w:firstLine="482"/>
      </w:pPr>
      <w:r w:rsidRPr="004E3EBB">
        <w:rPr>
          <w:rFonts w:hint="eastAsia"/>
          <w:b/>
          <w:bCs/>
        </w:rPr>
        <w:t xml:space="preserve">第七条 </w:t>
      </w:r>
      <w:r w:rsidR="00C52F64">
        <w:t>不动产评估应当在评估对象符合用途管制要求的情况下进行。对于不动产使用的限制条件，应当以有关部门依法规定的用途、面积、高度、建筑密度、容积率、年限等技术指标为依据。</w:t>
      </w:r>
    </w:p>
    <w:p w14:paraId="464FA39F" w14:textId="1177552E" w:rsidR="00C52F64" w:rsidRDefault="004E3EBB" w:rsidP="004962A7">
      <w:pPr>
        <w:pStyle w:val="13"/>
        <w:ind w:firstLine="482"/>
      </w:pPr>
      <w:r w:rsidRPr="004E3EBB">
        <w:rPr>
          <w:rFonts w:hint="eastAsia"/>
          <w:b/>
          <w:bCs/>
        </w:rPr>
        <w:t xml:space="preserve">第八条 </w:t>
      </w:r>
      <w:r w:rsidR="00C52F64">
        <w:t>当不动产存在多种利用方式时，应当在合法的前提下，结合经济行为、评估</w:t>
      </w:r>
      <w:r w:rsidR="00C52F64">
        <w:rPr>
          <w:rFonts w:hint="eastAsia"/>
        </w:rPr>
        <w:t>目的、价值类型等情况，选择和使用最优利用方式进行评估。</w:t>
      </w:r>
    </w:p>
    <w:p w14:paraId="7844ED5D" w14:textId="77777777" w:rsidR="00C52F64" w:rsidRDefault="00C52F64" w:rsidP="00AF7342">
      <w:pPr>
        <w:pStyle w:val="a9"/>
        <w:spacing w:before="62" w:after="62"/>
      </w:pPr>
      <w:r>
        <w:rPr>
          <w:rFonts w:hint="eastAsia"/>
        </w:rPr>
        <w:t>第三章</w:t>
      </w:r>
      <w:r>
        <w:t xml:space="preserve"> 操作要求</w:t>
      </w:r>
    </w:p>
    <w:p w14:paraId="07530A7D" w14:textId="6663B4D5" w:rsidR="00C52F64" w:rsidRDefault="00E05BDA" w:rsidP="00C52F64">
      <w:pPr>
        <w:pStyle w:val="13"/>
        <w:ind w:firstLine="482"/>
      </w:pPr>
      <w:r w:rsidRPr="00E05BDA">
        <w:rPr>
          <w:rFonts w:hint="eastAsia"/>
          <w:b/>
          <w:bCs/>
        </w:rPr>
        <w:t xml:space="preserve">第九条 </w:t>
      </w:r>
      <w:r w:rsidR="00C52F64">
        <w:t>执行不动产评估业务，应当要求委托人明确资产评估报告的用途、评估对象、范围和评估目的。不动产评估对象，可以是不动产对应的全部权益，也可以是不动产对应的部分权益。</w:t>
      </w:r>
    </w:p>
    <w:p w14:paraId="17C62113" w14:textId="5483106A" w:rsidR="00C52F64" w:rsidRDefault="00E05BDA" w:rsidP="00C52F64">
      <w:pPr>
        <w:pStyle w:val="13"/>
        <w:ind w:firstLine="482"/>
      </w:pPr>
      <w:r w:rsidRPr="00E05BDA">
        <w:rPr>
          <w:rFonts w:hint="eastAsia"/>
          <w:b/>
          <w:bCs/>
        </w:rPr>
        <w:t xml:space="preserve">第十条 </w:t>
      </w:r>
      <w:r w:rsidR="00C52F64">
        <w:t>执行不动产评估业务，应当全面了解不动产的实物状况、权益状况和区位状况，掌握评估对象的主要特征。</w:t>
      </w:r>
    </w:p>
    <w:p w14:paraId="26EF8A34" w14:textId="6526D2BC" w:rsidR="00C52F64" w:rsidRDefault="00E05BDA" w:rsidP="00C52F64">
      <w:pPr>
        <w:pStyle w:val="13"/>
        <w:ind w:firstLine="482"/>
      </w:pPr>
      <w:r w:rsidRPr="00E05BDA">
        <w:rPr>
          <w:rFonts w:hint="eastAsia"/>
          <w:b/>
          <w:bCs/>
        </w:rPr>
        <w:t xml:space="preserve">第十一条 </w:t>
      </w:r>
      <w:r w:rsidR="00C52F64">
        <w:t>执行不动产评估业务，应当根据评估目的和不动产具体情况进行合理假设，并在资产评估报告中予以披露。</w:t>
      </w:r>
    </w:p>
    <w:p w14:paraId="4E95BE7D" w14:textId="2A3931D6" w:rsidR="00C52F64" w:rsidRDefault="00E05BDA" w:rsidP="00C52F64">
      <w:pPr>
        <w:pStyle w:val="13"/>
        <w:ind w:firstLine="482"/>
      </w:pPr>
      <w:r w:rsidRPr="00E05BDA">
        <w:rPr>
          <w:rFonts w:hint="eastAsia"/>
          <w:b/>
          <w:bCs/>
        </w:rPr>
        <w:t xml:space="preserve">第十二条 </w:t>
      </w:r>
      <w:r w:rsidR="00C52F64">
        <w:t>不动产组成部分的价值存在相互影响关系。建筑物对于其所占有的土地使用权存在价值减损的可能。如果建筑物对于其所占有的土地使用权存在价值减损情形</w:t>
      </w:r>
      <w:r w:rsidR="00CC4D74">
        <w:t>，</w:t>
      </w:r>
      <w:r w:rsidR="00C52F64">
        <w:t>评估土地使用权价值时应当计算该损失金额并加以扣除。</w:t>
      </w:r>
    </w:p>
    <w:p w14:paraId="61B993D4" w14:textId="77777777" w:rsidR="00C52F64" w:rsidRDefault="00C52F64" w:rsidP="00C52F64">
      <w:pPr>
        <w:pStyle w:val="13"/>
      </w:pPr>
      <w:r>
        <w:rPr>
          <w:rFonts w:hint="eastAsia"/>
        </w:rPr>
        <w:t>对于土建工程与机器设备安装为一体或者形成紧密关联的不动产，应当关注机器设备与不动产的关系，合理进行区分，并考虑机器设备等资产对不动产价值的影响。</w:t>
      </w:r>
    </w:p>
    <w:p w14:paraId="276924BA" w14:textId="1530E8BB" w:rsidR="00C52F64" w:rsidRDefault="00E05BDA" w:rsidP="00C52F64">
      <w:pPr>
        <w:pStyle w:val="13"/>
        <w:ind w:firstLine="482"/>
      </w:pPr>
      <w:r w:rsidRPr="00E05BDA">
        <w:rPr>
          <w:rFonts w:hint="eastAsia"/>
          <w:b/>
          <w:bCs/>
        </w:rPr>
        <w:t xml:space="preserve">第十三条 </w:t>
      </w:r>
      <w:r w:rsidR="00C52F64">
        <w:t>执行不动产评估业务，一般情况下，应当对所评估的不动产进行现场</w:t>
      </w:r>
      <w:r w:rsidR="00C52F64">
        <w:lastRenderedPageBreak/>
        <w:t>调查，明确不动产存在状态并关注其权属状况。特殊情况下，如需采用抽样等方法对不动产进行现场调查，应当充分考虑抽样风险。</w:t>
      </w:r>
    </w:p>
    <w:p w14:paraId="07B2BEF4" w14:textId="77777777" w:rsidR="00C52F64" w:rsidRDefault="00C52F64" w:rsidP="00C52F64">
      <w:pPr>
        <w:pStyle w:val="13"/>
      </w:pPr>
      <w:r>
        <w:rPr>
          <w:rFonts w:hint="eastAsia"/>
        </w:rPr>
        <w:t>对于不动产处于隐蔽状况或者因客观原因无法进行实地查看的部分，应当采取适当措施加以判断并予以披露。</w:t>
      </w:r>
    </w:p>
    <w:p w14:paraId="4D7EEDFE" w14:textId="70D4C01C" w:rsidR="008325B2" w:rsidRDefault="00E05BDA" w:rsidP="004962A7">
      <w:pPr>
        <w:pStyle w:val="13"/>
        <w:ind w:firstLine="482"/>
      </w:pPr>
      <w:r w:rsidRPr="00E05BDA">
        <w:rPr>
          <w:rFonts w:hint="eastAsia"/>
          <w:b/>
          <w:bCs/>
        </w:rPr>
        <w:t xml:space="preserve">第十四条 </w:t>
      </w:r>
      <w:r w:rsidR="00C52F64">
        <w:t>对于水利工程、码头、桥涵、道路等不动产，应当根据不动产的价值特性和资产特点，通过设计概算、工程图纸、竣工决算、定额标准等技术资料，结合对不动产的现场查看，了解不动产的结构、工程量、工程费用分摊、建设周期以及收益等情况。</w:t>
      </w:r>
    </w:p>
    <w:p w14:paraId="0E1F846C" w14:textId="0305AF93" w:rsidR="00C52F64" w:rsidRDefault="00E05BDA" w:rsidP="004962A7">
      <w:pPr>
        <w:pStyle w:val="13"/>
        <w:ind w:firstLine="482"/>
      </w:pPr>
      <w:r w:rsidRPr="00E05BDA">
        <w:rPr>
          <w:b/>
          <w:bCs/>
        </w:rPr>
        <w:t xml:space="preserve">第十五条 </w:t>
      </w:r>
      <w:r w:rsidR="00C52F64">
        <w:t>执行不动产评估业务，应当关注不动产的相邻关系、租约限制和动产对</w:t>
      </w:r>
      <w:r w:rsidR="00C52F64">
        <w:rPr>
          <w:rFonts w:hint="eastAsia"/>
        </w:rPr>
        <w:t>不动产价值的影响。</w:t>
      </w:r>
    </w:p>
    <w:p w14:paraId="6A27CF84" w14:textId="77777777" w:rsidR="00C52F64" w:rsidRDefault="00C52F64" w:rsidP="00AF7342">
      <w:pPr>
        <w:pStyle w:val="a9"/>
        <w:spacing w:before="62" w:after="62"/>
      </w:pPr>
      <w:r>
        <w:rPr>
          <w:rFonts w:hint="eastAsia"/>
        </w:rPr>
        <w:t>第四章</w:t>
      </w:r>
      <w:r>
        <w:t xml:space="preserve"> 评估方法</w:t>
      </w:r>
    </w:p>
    <w:p w14:paraId="1450E235" w14:textId="6631CBEB" w:rsidR="00C52F64" w:rsidRDefault="00E05BDA" w:rsidP="00C52F64">
      <w:pPr>
        <w:pStyle w:val="13"/>
        <w:ind w:firstLine="482"/>
      </w:pPr>
      <w:r w:rsidRPr="00E05BDA">
        <w:rPr>
          <w:rFonts w:hint="eastAsia"/>
          <w:b/>
          <w:bCs/>
        </w:rPr>
        <w:t xml:space="preserve">第十六条 </w:t>
      </w:r>
      <w:r w:rsidR="00C52F64">
        <w:t>执行不动产评估业务，应当根据评估目的、评估对象、价值类型、资料收集等情况，分析市场法、收益法和成本法三种资产评估基本方法以及假设开发法、基准地价修正法等衍生方法的适用性，选择评估方法。</w:t>
      </w:r>
    </w:p>
    <w:p w14:paraId="65464C7A" w14:textId="766C454A" w:rsidR="00C52F64" w:rsidRDefault="00E05BDA" w:rsidP="00C52F64">
      <w:pPr>
        <w:pStyle w:val="13"/>
        <w:ind w:firstLine="482"/>
      </w:pPr>
      <w:r w:rsidRPr="00E05BDA">
        <w:rPr>
          <w:rFonts w:hint="eastAsia"/>
          <w:b/>
          <w:bCs/>
        </w:rPr>
        <w:t xml:space="preserve">第十七条 </w:t>
      </w:r>
      <w:r w:rsidR="00C52F64">
        <w:t>采用市场法评估不动产时，应当收集足够的交易实例。收集交易实例的信息包括：</w:t>
      </w:r>
    </w:p>
    <w:p w14:paraId="54F0D131" w14:textId="77777777" w:rsidR="00C52F64" w:rsidRDefault="00C52F64" w:rsidP="00C52F64">
      <w:pPr>
        <w:pStyle w:val="13"/>
      </w:pPr>
      <w:r>
        <w:rPr>
          <w:rFonts w:hint="eastAsia"/>
        </w:rPr>
        <w:t>（一）交易实例的基本状况，主要包括：名称、坐落、四至、面积、用途、产权状况、土地形状、土地使用期限、建筑物建成日期、建筑结构、周围环境等；</w:t>
      </w:r>
    </w:p>
    <w:p w14:paraId="35961BB8" w14:textId="77777777" w:rsidR="00C52F64" w:rsidRDefault="00C52F64" w:rsidP="00C52F64">
      <w:pPr>
        <w:pStyle w:val="13"/>
      </w:pPr>
      <w:r>
        <w:rPr>
          <w:rFonts w:hint="eastAsia"/>
        </w:rPr>
        <w:t>（二）成交日期；</w:t>
      </w:r>
    </w:p>
    <w:p w14:paraId="5AB2304B" w14:textId="77777777" w:rsidR="00C52F64" w:rsidRDefault="00C52F64" w:rsidP="00C52F64">
      <w:pPr>
        <w:pStyle w:val="13"/>
      </w:pPr>
      <w:r>
        <w:rPr>
          <w:rFonts w:hint="eastAsia"/>
        </w:rPr>
        <w:t>（三）成交价格，包括总价、单价及计价方式；</w:t>
      </w:r>
    </w:p>
    <w:p w14:paraId="00F38DE8" w14:textId="77777777" w:rsidR="00C52F64" w:rsidRDefault="00C52F64" w:rsidP="00C52F64">
      <w:pPr>
        <w:pStyle w:val="13"/>
      </w:pPr>
      <w:r>
        <w:rPr>
          <w:rFonts w:hint="eastAsia"/>
        </w:rPr>
        <w:t>（四）付款方式；</w:t>
      </w:r>
    </w:p>
    <w:p w14:paraId="1A97BCE6" w14:textId="77777777" w:rsidR="00C52F64" w:rsidRDefault="00C52F64" w:rsidP="00C52F64">
      <w:pPr>
        <w:pStyle w:val="13"/>
      </w:pPr>
      <w:r>
        <w:rPr>
          <w:rFonts w:hint="eastAsia"/>
        </w:rPr>
        <w:t>（五）交易情况，主要有交易目的、交易方式、交易税费负担方式、交易人之间的特殊利害关系、特殊交易动机等。</w:t>
      </w:r>
    </w:p>
    <w:p w14:paraId="4A367F33" w14:textId="003DB555" w:rsidR="00C52F64" w:rsidRDefault="00E05BDA" w:rsidP="00C52F64">
      <w:pPr>
        <w:pStyle w:val="13"/>
        <w:ind w:firstLine="482"/>
      </w:pPr>
      <w:r w:rsidRPr="00E05BDA">
        <w:rPr>
          <w:rFonts w:hint="eastAsia"/>
          <w:b/>
          <w:bCs/>
        </w:rPr>
        <w:t xml:space="preserve">第十八条 </w:t>
      </w:r>
      <w:r w:rsidR="00C52F64">
        <w:t>用作参照物的交易实例应当具备下列条件：</w:t>
      </w:r>
    </w:p>
    <w:p w14:paraId="27BA9CFC" w14:textId="77777777" w:rsidR="00C52F64" w:rsidRDefault="00C52F64" w:rsidP="00C52F64">
      <w:pPr>
        <w:pStyle w:val="13"/>
      </w:pPr>
      <w:r>
        <w:rPr>
          <w:rFonts w:hint="eastAsia"/>
        </w:rPr>
        <w:t>（一）在区位、用途、规模、建筑结构、档次、权利性质等方面与评估对象类似；</w:t>
      </w:r>
    </w:p>
    <w:p w14:paraId="3D253C6C" w14:textId="77777777" w:rsidR="00C52F64" w:rsidRDefault="00C52F64" w:rsidP="00C52F64">
      <w:pPr>
        <w:pStyle w:val="13"/>
      </w:pPr>
      <w:r>
        <w:rPr>
          <w:rFonts w:hint="eastAsia"/>
        </w:rPr>
        <w:t>（二）成交日期与评估基准日接近；</w:t>
      </w:r>
    </w:p>
    <w:p w14:paraId="588BE302" w14:textId="77777777" w:rsidR="00C52F64" w:rsidRDefault="00C52F64" w:rsidP="00C52F64">
      <w:pPr>
        <w:pStyle w:val="13"/>
      </w:pPr>
      <w:r>
        <w:rPr>
          <w:rFonts w:hint="eastAsia"/>
        </w:rPr>
        <w:t>（三）交易类型与评估目的相适合；</w:t>
      </w:r>
    </w:p>
    <w:p w14:paraId="0990B386" w14:textId="77777777" w:rsidR="00C52F64" w:rsidRDefault="00C52F64" w:rsidP="00C52F64">
      <w:pPr>
        <w:pStyle w:val="13"/>
      </w:pPr>
      <w:r>
        <w:rPr>
          <w:rFonts w:hint="eastAsia"/>
        </w:rPr>
        <w:t>（四）成交价格为正常价格或者可以修正为正常价格。</w:t>
      </w:r>
    </w:p>
    <w:p w14:paraId="0F43CF75" w14:textId="4D2B3EA5" w:rsidR="00C52F64" w:rsidRDefault="00E05BDA" w:rsidP="00C52F64">
      <w:pPr>
        <w:pStyle w:val="13"/>
        <w:ind w:firstLine="482"/>
      </w:pPr>
      <w:r w:rsidRPr="00E05BDA">
        <w:rPr>
          <w:rFonts w:hint="eastAsia"/>
          <w:b/>
          <w:bCs/>
        </w:rPr>
        <w:t xml:space="preserve">第十九条 </w:t>
      </w:r>
      <w:r w:rsidR="00C52F64">
        <w:t>采用市场法评估不动产时，应当进行交易情况修正、交易日期修正和不动产状况修正。</w:t>
      </w:r>
    </w:p>
    <w:p w14:paraId="377A82B0" w14:textId="77777777" w:rsidR="00C52F64" w:rsidRDefault="00C52F64" w:rsidP="00C52F64">
      <w:pPr>
        <w:pStyle w:val="13"/>
      </w:pPr>
      <w:r>
        <w:rPr>
          <w:rFonts w:hint="eastAsia"/>
        </w:rPr>
        <w:t>交易情况修正是将参照物实际交易情况下的价格修正为正常交易情况下的价值。交易日期修正是将参照物成交日期的价格修正为评估基准日的价值。不动产状况修正是将参照物状况下的价格修正为评估对象状况下的价值，可以分为区位状况修正、权益状况修正和实物状况修正。</w:t>
      </w:r>
    </w:p>
    <w:p w14:paraId="71F462D7" w14:textId="123275D5" w:rsidR="00C52F64" w:rsidRDefault="00E05BDA" w:rsidP="00C52F64">
      <w:pPr>
        <w:pStyle w:val="13"/>
        <w:ind w:firstLine="482"/>
      </w:pPr>
      <w:r w:rsidRPr="00E05BDA">
        <w:rPr>
          <w:rFonts w:hint="eastAsia"/>
          <w:b/>
          <w:bCs/>
        </w:rPr>
        <w:lastRenderedPageBreak/>
        <w:t xml:space="preserve">第二十条 </w:t>
      </w:r>
      <w:r w:rsidR="00C52F64">
        <w:t>采用收益法评估不动产时，应当了解：</w:t>
      </w:r>
    </w:p>
    <w:p w14:paraId="4780C831" w14:textId="77777777" w:rsidR="00C52F64" w:rsidRDefault="00C52F64" w:rsidP="00C52F64">
      <w:pPr>
        <w:pStyle w:val="13"/>
      </w:pPr>
      <w:r>
        <w:rPr>
          <w:rFonts w:hint="eastAsia"/>
        </w:rPr>
        <w:t>（一）不动产应当具有经济收益或者潜在经济收益；</w:t>
      </w:r>
    </w:p>
    <w:p w14:paraId="328CE3D5" w14:textId="77777777" w:rsidR="00C52F64" w:rsidRDefault="00C52F64" w:rsidP="00C52F64">
      <w:pPr>
        <w:pStyle w:val="13"/>
      </w:pPr>
      <w:r>
        <w:rPr>
          <w:rFonts w:hint="eastAsia"/>
        </w:rPr>
        <w:t>（二）不动产未来收益及风险能够较准确地预测与量化；</w:t>
      </w:r>
    </w:p>
    <w:p w14:paraId="620D28A9" w14:textId="77777777" w:rsidR="00C52F64" w:rsidRDefault="00C52F64" w:rsidP="00C52F64">
      <w:pPr>
        <w:pStyle w:val="13"/>
      </w:pPr>
      <w:r>
        <w:rPr>
          <w:rFonts w:hint="eastAsia"/>
        </w:rPr>
        <w:t>（三）不动产未来收益应当是不动产本身带来的收益；</w:t>
      </w:r>
    </w:p>
    <w:p w14:paraId="2DDDC3C5" w14:textId="77777777" w:rsidR="00C52F64" w:rsidRDefault="00C52F64" w:rsidP="00C52F64">
      <w:pPr>
        <w:pStyle w:val="13"/>
      </w:pPr>
      <w:r>
        <w:rPr>
          <w:rFonts w:hint="eastAsia"/>
        </w:rPr>
        <w:t>（四）不动产未来收益包含有形收益和无形收益。</w:t>
      </w:r>
    </w:p>
    <w:p w14:paraId="2FAC3761" w14:textId="3BB6E64B" w:rsidR="00C52F64" w:rsidRDefault="00E05BDA" w:rsidP="00C52F64">
      <w:pPr>
        <w:pStyle w:val="13"/>
        <w:ind w:firstLine="482"/>
      </w:pPr>
      <w:r w:rsidRPr="00E05BDA">
        <w:rPr>
          <w:rFonts w:hint="eastAsia"/>
          <w:b/>
          <w:bCs/>
        </w:rPr>
        <w:t xml:space="preserve">第二十一条 </w:t>
      </w:r>
      <w:r w:rsidR="00C52F64">
        <w:t>采用收益法评估不动产时，应当合理确定收益期限、净收益与折现率：</w:t>
      </w:r>
    </w:p>
    <w:p w14:paraId="7CD563C5" w14:textId="77777777" w:rsidR="00C52F64" w:rsidRDefault="00C52F64" w:rsidP="00C52F64">
      <w:pPr>
        <w:pStyle w:val="13"/>
      </w:pPr>
      <w:r>
        <w:rPr>
          <w:rFonts w:hint="eastAsia"/>
        </w:rPr>
        <w:t>（一）收益期限应当根据建筑物剩余经济寿命年限与土地使用权剩余使用年限等参数，并根据法律、行政法规的规定确定；</w:t>
      </w:r>
    </w:p>
    <w:p w14:paraId="642CECD9" w14:textId="77777777" w:rsidR="00C52F64" w:rsidRDefault="00C52F64" w:rsidP="00C52F64">
      <w:pPr>
        <w:pStyle w:val="13"/>
      </w:pPr>
      <w:r>
        <w:rPr>
          <w:rFonts w:hint="eastAsia"/>
        </w:rPr>
        <w:t>（二）确定净收益时应当考虑未来收益和风险的合理预期；</w:t>
      </w:r>
    </w:p>
    <w:p w14:paraId="2A873AE4" w14:textId="77777777" w:rsidR="00C52F64" w:rsidRDefault="00C52F64" w:rsidP="00C52F64">
      <w:pPr>
        <w:pStyle w:val="13"/>
      </w:pPr>
      <w:r>
        <w:rPr>
          <w:rFonts w:hint="eastAsia"/>
        </w:rPr>
        <w:t>（三）折现率与不动产的收益方式、收益预测方法、风险状况有关，也因不动产的组成部分不同而存在差异。折现率的口径应当与预期收益口径保持一致。</w:t>
      </w:r>
    </w:p>
    <w:p w14:paraId="20EB128C" w14:textId="5D4D587A" w:rsidR="00C52F64" w:rsidRDefault="00E05BDA" w:rsidP="00C52F64">
      <w:pPr>
        <w:pStyle w:val="13"/>
        <w:ind w:firstLine="482"/>
      </w:pPr>
      <w:r w:rsidRPr="00E05BDA">
        <w:rPr>
          <w:rFonts w:hint="eastAsia"/>
          <w:b/>
          <w:bCs/>
        </w:rPr>
        <w:t xml:space="preserve">第二十二条 </w:t>
      </w:r>
      <w:r w:rsidR="00C52F64">
        <w:t>采用收益法评估不动产时，有租约限制的，租约期内的租金宜采用租约所确定的租金，租约期外的租金应当采用正常客观的租金，并在资产评估报告中披露租约情况。</w:t>
      </w:r>
    </w:p>
    <w:p w14:paraId="753356E7" w14:textId="0B7B0D56" w:rsidR="00C52F64" w:rsidRDefault="00E05BDA" w:rsidP="00C52F64">
      <w:pPr>
        <w:pStyle w:val="13"/>
        <w:ind w:firstLine="482"/>
      </w:pPr>
      <w:r w:rsidRPr="00E05BDA">
        <w:rPr>
          <w:rFonts w:hint="eastAsia"/>
          <w:b/>
          <w:bCs/>
        </w:rPr>
        <w:t xml:space="preserve">第二十三条 </w:t>
      </w:r>
      <w:r w:rsidR="00C52F64">
        <w:t>采用成本法评估不动产，估算重置成本时，应当了解：</w:t>
      </w:r>
    </w:p>
    <w:p w14:paraId="4D99D826" w14:textId="77777777" w:rsidR="00C52F64" w:rsidRDefault="00C52F64" w:rsidP="00C52F64">
      <w:pPr>
        <w:pStyle w:val="13"/>
      </w:pPr>
      <w:r>
        <w:rPr>
          <w:rFonts w:hint="eastAsia"/>
        </w:rPr>
        <w:t>（一）重置成本采用客观成本；</w:t>
      </w:r>
    </w:p>
    <w:p w14:paraId="220609F1" w14:textId="0F4F9E12" w:rsidR="00C52F64" w:rsidRDefault="00C52F64" w:rsidP="00C52F64">
      <w:pPr>
        <w:pStyle w:val="13"/>
      </w:pPr>
      <w:r>
        <w:rPr>
          <w:rFonts w:hint="eastAsia"/>
        </w:rPr>
        <w:t>（二）不动产重置成本采取土地使用权与建筑物分别估算、然后加总的评估方式时，</w:t>
      </w:r>
      <w:r>
        <w:t>重置成本的相关成本构成应当在两者之间合理划分或者分摊，避免重复计算或者漏算；</w:t>
      </w:r>
    </w:p>
    <w:p w14:paraId="5CB817C0" w14:textId="77777777" w:rsidR="00C52F64" w:rsidRDefault="00C52F64" w:rsidP="00C52F64">
      <w:pPr>
        <w:pStyle w:val="13"/>
      </w:pPr>
      <w:r>
        <w:rPr>
          <w:rFonts w:hint="eastAsia"/>
        </w:rPr>
        <w:t>（三）不动产的重置成本通常采用更新重置成本。当评估对象为具有特定历史文化价值的不动产时，应当尽量采用复原重置成本。</w:t>
      </w:r>
    </w:p>
    <w:p w14:paraId="1D73F93E" w14:textId="61E64A1F" w:rsidR="00C52F64" w:rsidRDefault="00E05BDA" w:rsidP="00C52F64">
      <w:pPr>
        <w:pStyle w:val="13"/>
        <w:ind w:firstLine="482"/>
      </w:pPr>
      <w:r w:rsidRPr="00E05BDA">
        <w:rPr>
          <w:rFonts w:hint="eastAsia"/>
          <w:b/>
          <w:bCs/>
        </w:rPr>
        <w:t xml:space="preserve">第二十四条 </w:t>
      </w:r>
      <w:r w:rsidR="00C52F64">
        <w:t>资产评估专业人员应当对不动产所涉及的土地使用权剩余年限、建筑物经济寿命年限及设施设备的经济寿命年限进行分析判断，确定不动产的经济寿命年限。</w:t>
      </w:r>
    </w:p>
    <w:p w14:paraId="052D86DC" w14:textId="70265659" w:rsidR="00C52F64" w:rsidRDefault="00E05BDA" w:rsidP="00C52F64">
      <w:pPr>
        <w:pStyle w:val="13"/>
        <w:ind w:firstLine="482"/>
      </w:pPr>
      <w:r w:rsidRPr="00E05BDA">
        <w:rPr>
          <w:rFonts w:hint="eastAsia"/>
          <w:b/>
          <w:bCs/>
        </w:rPr>
        <w:t xml:space="preserve">第二十五条 </w:t>
      </w:r>
      <w:r w:rsidR="00C52F64">
        <w:t>资产评估专业人员应当综合考虑可能引起不动产贬值的主要因素，估算各种贬值。建筑物的贬值包括实体性贬值、功能性贬值和经济性贬值。确定建筑物的实体性贬值时，通常综合考虑建筑物已使用年限、经济寿命年限和土地使用权剩余年限的影响。</w:t>
      </w:r>
    </w:p>
    <w:p w14:paraId="3E9B5667" w14:textId="77777777" w:rsidR="00C52F64" w:rsidRDefault="00C52F64" w:rsidP="00C52F64">
      <w:pPr>
        <w:pStyle w:val="13"/>
      </w:pPr>
      <w:r>
        <w:rPr>
          <w:rFonts w:hint="eastAsia"/>
        </w:rPr>
        <w:t>确定住宅用途建筑物实体性贬值时，需要考虑土地使用权自动续期的影响。当土地使用权自动续期时，可以根据建筑物的经济寿命年限确定其贬值额。</w:t>
      </w:r>
    </w:p>
    <w:p w14:paraId="684E74E6" w14:textId="514E60BC" w:rsidR="00C52F64" w:rsidRDefault="00E05BDA" w:rsidP="00C52F64">
      <w:pPr>
        <w:pStyle w:val="13"/>
        <w:ind w:firstLine="482"/>
      </w:pPr>
      <w:r w:rsidRPr="00E05BDA">
        <w:rPr>
          <w:rFonts w:hint="eastAsia"/>
          <w:b/>
          <w:bCs/>
        </w:rPr>
        <w:t xml:space="preserve">第二十六条 </w:t>
      </w:r>
      <w:r w:rsidR="00C52F64">
        <w:t>采用假设开发法评估不动产时，应当了解：</w:t>
      </w:r>
    </w:p>
    <w:p w14:paraId="24E78056" w14:textId="77777777" w:rsidR="00C52F64" w:rsidRDefault="00C52F64" w:rsidP="00C52F64">
      <w:pPr>
        <w:pStyle w:val="13"/>
      </w:pPr>
      <w:r>
        <w:rPr>
          <w:rFonts w:hint="eastAsia"/>
        </w:rPr>
        <w:t>（一）假设开发法适用于具有开发和再开发潜力，并且其开发完成后的价值可以确定的不动产；</w:t>
      </w:r>
    </w:p>
    <w:p w14:paraId="6033227B" w14:textId="77777777" w:rsidR="00C52F64" w:rsidRDefault="00C52F64" w:rsidP="00C52F64">
      <w:pPr>
        <w:pStyle w:val="13"/>
      </w:pPr>
      <w:r>
        <w:rPr>
          <w:rFonts w:hint="eastAsia"/>
        </w:rPr>
        <w:lastRenderedPageBreak/>
        <w:t>（二）开发完成后的不动产价值是开发完成后不动产状况所对应的价值；</w:t>
      </w:r>
    </w:p>
    <w:p w14:paraId="24BEAE37" w14:textId="77777777" w:rsidR="00C52F64" w:rsidRDefault="00C52F64" w:rsidP="00C52F64">
      <w:pPr>
        <w:pStyle w:val="13"/>
      </w:pPr>
      <w:r>
        <w:rPr>
          <w:rFonts w:hint="eastAsia"/>
        </w:rPr>
        <w:t>（三）后续开发建设的必要支出和应得利润包括：后续开发成本、管理费用、销售费用、投资利息、销售税费、开发利润和取得待开发不动产的税费等；</w:t>
      </w:r>
    </w:p>
    <w:p w14:paraId="422E2C2D" w14:textId="77777777" w:rsidR="00C52F64" w:rsidRDefault="00C52F64" w:rsidP="00C52F64">
      <w:pPr>
        <w:pStyle w:val="13"/>
      </w:pPr>
      <w:r>
        <w:rPr>
          <w:rFonts w:hint="eastAsia"/>
        </w:rPr>
        <w:t>（四）假设开发方式通常是满足规划条件下的最佳开发利用方式。</w:t>
      </w:r>
    </w:p>
    <w:p w14:paraId="60E8C699" w14:textId="4A31E188" w:rsidR="00C52F64" w:rsidRDefault="00E05BDA" w:rsidP="00316A01">
      <w:pPr>
        <w:pStyle w:val="13"/>
        <w:ind w:firstLine="482"/>
      </w:pPr>
      <w:r w:rsidRPr="00E05BDA">
        <w:rPr>
          <w:rFonts w:hint="eastAsia"/>
          <w:b/>
          <w:bCs/>
        </w:rPr>
        <w:t xml:space="preserve">第二十七条 </w:t>
      </w:r>
      <w:r w:rsidR="00C52F64">
        <w:t>采用基准地价修正法评估土地使用权价值时，应当根据评估对象的价</w:t>
      </w:r>
      <w:r w:rsidR="00C52F64">
        <w:rPr>
          <w:rFonts w:hint="eastAsia"/>
        </w:rPr>
        <w:t>值内涵与基准地价内涵的差异，确定调整内容。在土地级别、用途、权益性质等要素一致的情况下，调整内容包括交易日期修正、区域因素修正、个别因素修正、使用年期修正和开发程度修正等。</w:t>
      </w:r>
    </w:p>
    <w:p w14:paraId="5D17B306" w14:textId="77777777" w:rsidR="00C52F64" w:rsidRDefault="00C52F64" w:rsidP="00AF7342">
      <w:pPr>
        <w:pStyle w:val="a9"/>
        <w:spacing w:before="62" w:after="62"/>
      </w:pPr>
      <w:r>
        <w:rPr>
          <w:rFonts w:hint="eastAsia"/>
        </w:rPr>
        <w:t>第五章</w:t>
      </w:r>
      <w:r>
        <w:t xml:space="preserve"> 企业价值评估中的不动产评估</w:t>
      </w:r>
    </w:p>
    <w:p w14:paraId="713BC60B" w14:textId="2269B767" w:rsidR="00C52F64" w:rsidRDefault="00E05BDA" w:rsidP="00C52F64">
      <w:pPr>
        <w:pStyle w:val="13"/>
        <w:ind w:firstLine="482"/>
      </w:pPr>
      <w:r w:rsidRPr="00E05BDA">
        <w:rPr>
          <w:rFonts w:hint="eastAsia"/>
          <w:b/>
          <w:bCs/>
        </w:rPr>
        <w:t xml:space="preserve">第二十八条 </w:t>
      </w:r>
      <w:r w:rsidR="00C52F64">
        <w:t>企业所拥有的不动产通常在存货、投资性房地产、固定资产、在建工程以及无形资产等科目中核算，且可能存在同一不动产账面价值由多笔余额构成的情形。作为存货的房地产、投资性房地产和自用房地产等，其价值影响因素存在差异。</w:t>
      </w:r>
    </w:p>
    <w:p w14:paraId="1D297E2C" w14:textId="692702C5" w:rsidR="00C52F64" w:rsidRDefault="00E05BDA" w:rsidP="00C52F64">
      <w:pPr>
        <w:pStyle w:val="13"/>
        <w:ind w:firstLine="482"/>
      </w:pPr>
      <w:r w:rsidRPr="00E05BDA">
        <w:rPr>
          <w:rFonts w:hint="eastAsia"/>
          <w:b/>
          <w:bCs/>
        </w:rPr>
        <w:t xml:space="preserve">第二十九条 </w:t>
      </w:r>
      <w:r w:rsidR="00C52F64">
        <w:t>在企业价值评估中，应当关注企业经营方式及不动产实际使用方式对不动产价值的影响。</w:t>
      </w:r>
    </w:p>
    <w:p w14:paraId="5BDA204B" w14:textId="1CDCD0FA" w:rsidR="00C52F64" w:rsidRDefault="00E05BDA" w:rsidP="00C52F64">
      <w:pPr>
        <w:pStyle w:val="13"/>
        <w:ind w:firstLine="482"/>
      </w:pPr>
      <w:r w:rsidRPr="00E05BDA">
        <w:rPr>
          <w:rFonts w:hint="eastAsia"/>
          <w:b/>
          <w:bCs/>
        </w:rPr>
        <w:t xml:space="preserve">第三十条 </w:t>
      </w:r>
      <w:r w:rsidR="00C52F64">
        <w:t>在企业价值评估中，应当结合企业价值评估的价值类型合理设定不动产评估的假设前提和限制条件。</w:t>
      </w:r>
    </w:p>
    <w:p w14:paraId="5A15D3EE" w14:textId="0CB3A066" w:rsidR="00C52F64" w:rsidRDefault="003B2FB1" w:rsidP="00C52F64">
      <w:pPr>
        <w:pStyle w:val="13"/>
        <w:ind w:firstLine="482"/>
      </w:pPr>
      <w:r w:rsidRPr="003B2FB1">
        <w:rPr>
          <w:rFonts w:hint="eastAsia"/>
          <w:b/>
          <w:bCs/>
        </w:rPr>
        <w:t xml:space="preserve">第三十一条 </w:t>
      </w:r>
      <w:r w:rsidR="00C52F64">
        <w:t>在企业价值评估中，应当分析不动产的财务核算方式以及是否存在不动产未结合同和尚未支付款项，明确不动产的评估价值内涵与实际已发生支出、尚未发生支出之间的关系，避免重复计算或者漏算。</w:t>
      </w:r>
    </w:p>
    <w:p w14:paraId="127046E0" w14:textId="3BC17DDB" w:rsidR="00C52F64" w:rsidRDefault="003B2FB1" w:rsidP="00C52F64">
      <w:pPr>
        <w:pStyle w:val="13"/>
        <w:ind w:firstLine="482"/>
      </w:pPr>
      <w:r w:rsidRPr="003B2FB1">
        <w:rPr>
          <w:rFonts w:hint="eastAsia"/>
          <w:b/>
          <w:bCs/>
        </w:rPr>
        <w:t xml:space="preserve">第三十二条 </w:t>
      </w:r>
      <w:r w:rsidR="00C52F64">
        <w:t>在企业价值评估中，不动产作为企业资产的组成部分，评估价值受其对企业贡献程度的影响。</w:t>
      </w:r>
    </w:p>
    <w:p w14:paraId="785BCB0D" w14:textId="0E9D4921" w:rsidR="00C52F64" w:rsidRDefault="003B2FB1" w:rsidP="00C52F64">
      <w:pPr>
        <w:pStyle w:val="13"/>
        <w:ind w:firstLine="482"/>
      </w:pPr>
      <w:r w:rsidRPr="003B2FB1">
        <w:rPr>
          <w:rFonts w:hint="eastAsia"/>
          <w:b/>
          <w:bCs/>
        </w:rPr>
        <w:t xml:space="preserve">第三十三条 </w:t>
      </w:r>
      <w:r w:rsidR="00C52F64">
        <w:t>在企业价值评估中，对于溢余不动产，应当考虑不动产的持有目的、收益状况和实现交易的可能性，采用恰当的评估方法确定其评估价值。</w:t>
      </w:r>
    </w:p>
    <w:p w14:paraId="74899D18" w14:textId="77777777" w:rsidR="00C52F64" w:rsidRDefault="00C52F64" w:rsidP="00AF7342">
      <w:pPr>
        <w:pStyle w:val="a9"/>
        <w:spacing w:before="62" w:after="62"/>
      </w:pPr>
      <w:r>
        <w:rPr>
          <w:rFonts w:hint="eastAsia"/>
        </w:rPr>
        <w:t>第六章</w:t>
      </w:r>
      <w:r>
        <w:t xml:space="preserve"> 披露要求</w:t>
      </w:r>
    </w:p>
    <w:p w14:paraId="5E5C86CC" w14:textId="4127C1E3" w:rsidR="00C52F64" w:rsidRDefault="003B2FB1" w:rsidP="00C52F64">
      <w:pPr>
        <w:pStyle w:val="13"/>
        <w:ind w:firstLine="482"/>
      </w:pPr>
      <w:r w:rsidRPr="003B2FB1">
        <w:rPr>
          <w:rFonts w:hint="eastAsia"/>
          <w:b/>
          <w:bCs/>
        </w:rPr>
        <w:t xml:space="preserve">第三十四条 </w:t>
      </w:r>
      <w:r w:rsidR="00C52F64">
        <w:t>无论单独出具不动产评估报告，还是将不动产评估作为资产评估报告的组成部分，都应当在资产评估报告中披露必要信息，使资产评估报告使用人能够正确理解评估结论。</w:t>
      </w:r>
    </w:p>
    <w:p w14:paraId="1EAC1B4D" w14:textId="6485287C" w:rsidR="00C52F64" w:rsidRDefault="003B2FB1" w:rsidP="00C52F64">
      <w:pPr>
        <w:pStyle w:val="13"/>
        <w:ind w:firstLine="482"/>
      </w:pPr>
      <w:r w:rsidRPr="003B2FB1">
        <w:rPr>
          <w:rFonts w:hint="eastAsia"/>
          <w:b/>
          <w:bCs/>
        </w:rPr>
        <w:t xml:space="preserve">第三十五条 </w:t>
      </w:r>
      <w:r w:rsidR="00C52F64">
        <w:t>执行不动产评估业务，在编制资产评估报告时应当对不动产的总体情况、主要特点和权属状况进行披露。</w:t>
      </w:r>
    </w:p>
    <w:p w14:paraId="4BA00E9F" w14:textId="77777777" w:rsidR="00C52F64" w:rsidRDefault="00C52F64" w:rsidP="00AF7342">
      <w:pPr>
        <w:pStyle w:val="a9"/>
        <w:spacing w:before="62" w:after="62"/>
      </w:pPr>
      <w:r>
        <w:rPr>
          <w:rFonts w:hint="eastAsia"/>
        </w:rPr>
        <w:t>第七章</w:t>
      </w:r>
      <w:r>
        <w:t xml:space="preserve"> 附则</w:t>
      </w:r>
    </w:p>
    <w:p w14:paraId="607567BA" w14:textId="2EB6DE42" w:rsidR="00C52F64" w:rsidRDefault="003B2FB1" w:rsidP="008325B2">
      <w:pPr>
        <w:pStyle w:val="13"/>
        <w:ind w:firstLine="482"/>
      </w:pPr>
      <w:r w:rsidRPr="003B2FB1">
        <w:rPr>
          <w:rFonts w:hint="eastAsia"/>
          <w:b/>
          <w:bCs/>
        </w:rPr>
        <w:t xml:space="preserve">第三十六条 </w:t>
      </w:r>
      <w:r w:rsidR="00C52F64">
        <w:t>本准则自 2017</w:t>
      </w:r>
      <w:r w:rsidR="003068F8">
        <w:t>年</w:t>
      </w:r>
      <w:r w:rsidR="00C52F64">
        <w:t>10</w:t>
      </w:r>
      <w:r w:rsidR="003068F8">
        <w:t>月</w:t>
      </w:r>
      <w:r w:rsidR="00C52F64">
        <w:t>1</w:t>
      </w:r>
      <w:r w:rsidR="003068F8">
        <w:t>日</w:t>
      </w:r>
      <w:r w:rsidR="00C52F64">
        <w:t>起施行。中国资产评估协会于 2007</w:t>
      </w:r>
      <w:r w:rsidR="003068F8">
        <w:t>年</w:t>
      </w:r>
      <w:r w:rsidR="00C52F64">
        <w:t>11</w:t>
      </w:r>
      <w:r w:rsidR="003068F8">
        <w:t>月</w:t>
      </w:r>
      <w:r w:rsidR="00C52F64">
        <w:t>28</w:t>
      </w:r>
      <w:r w:rsidR="003068F8">
        <w:t>日</w:t>
      </w:r>
      <w:r w:rsidR="00C52F64">
        <w:t>发布的《关于印发〈资产评估准则—评估报告〉等 7 项资产评估准则的</w:t>
      </w:r>
      <w:r w:rsidR="00C52F64">
        <w:lastRenderedPageBreak/>
        <w:t>通知》</w:t>
      </w:r>
      <w:r w:rsidR="00C52F64">
        <w:rPr>
          <w:rFonts w:hint="eastAsia"/>
        </w:rPr>
        <w:t>（</w:t>
      </w:r>
      <w:proofErr w:type="gramStart"/>
      <w:r w:rsidR="00C52F64">
        <w:rPr>
          <w:rFonts w:hint="eastAsia"/>
        </w:rPr>
        <w:t>中评协</w:t>
      </w:r>
      <w:proofErr w:type="gramEnd"/>
      <w:r w:rsidR="00C52F64">
        <w:rPr>
          <w:rFonts w:hint="eastAsia"/>
        </w:rPr>
        <w:t>〔</w:t>
      </w:r>
      <w:r w:rsidR="00C52F64">
        <w:t>2007〕189号）中的《资产评估准则—不动产》同时废止。</w:t>
      </w:r>
    </w:p>
    <w:p w14:paraId="2CBFDA9E" w14:textId="77777777" w:rsidR="00C52F64" w:rsidRDefault="00C52F64" w:rsidP="008325B2">
      <w:pPr>
        <w:pStyle w:val="31"/>
        <w:spacing w:before="156" w:after="62"/>
      </w:pPr>
      <w:bookmarkStart w:id="27" w:name="_Toc81833307"/>
      <w:r>
        <w:rPr>
          <w:rFonts w:hint="eastAsia"/>
        </w:rPr>
        <w:t>资产评估执业准则—机器设备（</w:t>
      </w:r>
      <w:proofErr w:type="gramStart"/>
      <w:r>
        <w:rPr>
          <w:rFonts w:hint="eastAsia"/>
        </w:rPr>
        <w:t>中评协</w:t>
      </w:r>
      <w:proofErr w:type="gramEnd"/>
      <w:r>
        <w:rPr>
          <w:rFonts w:hint="eastAsia"/>
        </w:rPr>
        <w:t>〔</w:t>
      </w:r>
      <w:r>
        <w:t>2017〕39号）</w:t>
      </w:r>
      <w:bookmarkEnd w:id="27"/>
    </w:p>
    <w:p w14:paraId="5732A42E" w14:textId="77777777" w:rsidR="00C52F64" w:rsidRDefault="00C52F64" w:rsidP="008325B2">
      <w:pPr>
        <w:pStyle w:val="13"/>
        <w:ind w:firstLineChars="0" w:firstLine="0"/>
      </w:pPr>
      <w:r>
        <w:rPr>
          <w:rFonts w:hint="eastAsia"/>
        </w:rPr>
        <w:t>各省、自治区、直辖市、计划单列市资产评估协会（注册会计师协会）：</w:t>
      </w:r>
    </w:p>
    <w:p w14:paraId="4CD16F2C" w14:textId="1FAA2C22" w:rsidR="00C52F64" w:rsidRDefault="00C52F64" w:rsidP="00C52F64">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资产评估准则—机器设备》进行了修订，制定了《资产评估执业准则—机器设备》，现予发布，自</w:t>
      </w:r>
      <w:r>
        <w:t xml:space="preserve"> 2017</w:t>
      </w:r>
      <w:r w:rsidR="003068F8">
        <w:t>年</w:t>
      </w:r>
      <w:r>
        <w:t>10</w:t>
      </w:r>
      <w:r w:rsidR="003068F8">
        <w:t>月</w:t>
      </w:r>
      <w:r>
        <w:t>1</w:t>
      </w:r>
      <w:r w:rsidR="003068F8">
        <w:t>日</w:t>
      </w:r>
      <w:r>
        <w:t>起施行。</w:t>
      </w:r>
    </w:p>
    <w:p w14:paraId="70D8ADCF" w14:textId="29D359C4" w:rsidR="00C52F64" w:rsidRDefault="00C52F64" w:rsidP="008325B2">
      <w:pPr>
        <w:pStyle w:val="13"/>
      </w:pPr>
      <w:r>
        <w:rPr>
          <w:rFonts w:hint="eastAsia"/>
        </w:rPr>
        <w:t>请各地</w:t>
      </w:r>
      <w:proofErr w:type="gramStart"/>
      <w:r>
        <w:rPr>
          <w:rFonts w:hint="eastAsia"/>
        </w:rPr>
        <w:t>方协会</w:t>
      </w:r>
      <w:proofErr w:type="gramEnd"/>
      <w:r>
        <w:rPr>
          <w:rFonts w:hint="eastAsia"/>
        </w:rPr>
        <w:t>将《资产评估执业准则—机器设备》及时转发资产评估机构，组织资产评估机构和资产评估专业人员进行学习和培训，并将执行过程中发现的问题及时上报中国资产评估协会。</w:t>
      </w:r>
    </w:p>
    <w:p w14:paraId="4390CDC4" w14:textId="77777777" w:rsidR="00C52F64" w:rsidRDefault="00C52F64" w:rsidP="00C52F64">
      <w:pPr>
        <w:pStyle w:val="13"/>
      </w:pPr>
      <w:r>
        <w:rPr>
          <w:rFonts w:hint="eastAsia"/>
        </w:rPr>
        <w:t>附件：《资产评估执业准则—机器设备》</w:t>
      </w:r>
    </w:p>
    <w:p w14:paraId="5CC2507F" w14:textId="77777777" w:rsidR="00C52F64" w:rsidRDefault="00C52F64" w:rsidP="008325B2">
      <w:pPr>
        <w:pStyle w:val="13"/>
        <w:jc w:val="right"/>
      </w:pPr>
      <w:r>
        <w:rPr>
          <w:rFonts w:hint="eastAsia"/>
        </w:rPr>
        <w:t>中国资产评估协会</w:t>
      </w:r>
    </w:p>
    <w:p w14:paraId="259710FF" w14:textId="689E7905" w:rsidR="00C52F64" w:rsidRDefault="00C52F64" w:rsidP="008325B2">
      <w:pPr>
        <w:pStyle w:val="13"/>
        <w:jc w:val="right"/>
      </w:pPr>
      <w:r>
        <w:t>2017</w:t>
      </w:r>
      <w:r w:rsidR="003068F8">
        <w:t>年</w:t>
      </w:r>
      <w:r>
        <w:t>9</w:t>
      </w:r>
      <w:r w:rsidR="003068F8">
        <w:t>月</w:t>
      </w:r>
      <w:r>
        <w:t>8</w:t>
      </w:r>
      <w:r w:rsidR="003068F8">
        <w:t>日</w:t>
      </w:r>
    </w:p>
    <w:p w14:paraId="7047BC90" w14:textId="77777777" w:rsidR="00C52F64" w:rsidRDefault="00C52F64" w:rsidP="00AF7342">
      <w:pPr>
        <w:pStyle w:val="a9"/>
        <w:spacing w:before="62" w:after="62"/>
      </w:pPr>
      <w:r>
        <w:rPr>
          <w:rFonts w:hint="eastAsia"/>
        </w:rPr>
        <w:t>资产评估执业准则—机器设备</w:t>
      </w:r>
    </w:p>
    <w:p w14:paraId="0B19C4CB" w14:textId="77777777" w:rsidR="00C52F64" w:rsidRDefault="00C52F64" w:rsidP="00AF7342">
      <w:pPr>
        <w:pStyle w:val="a9"/>
        <w:spacing w:before="62" w:after="62"/>
      </w:pPr>
      <w:r>
        <w:rPr>
          <w:rFonts w:hint="eastAsia"/>
        </w:rPr>
        <w:t>第一章</w:t>
      </w:r>
      <w:r>
        <w:t xml:space="preserve"> 总则</w:t>
      </w:r>
    </w:p>
    <w:p w14:paraId="769F698C" w14:textId="6C25E3E6" w:rsidR="00C52F64" w:rsidRDefault="004E3EBB" w:rsidP="00C52F64">
      <w:pPr>
        <w:pStyle w:val="13"/>
        <w:ind w:firstLine="482"/>
      </w:pPr>
      <w:r w:rsidRPr="004E3EBB">
        <w:rPr>
          <w:rFonts w:hint="eastAsia"/>
          <w:b/>
          <w:bCs/>
        </w:rPr>
        <w:t xml:space="preserve">第一条 </w:t>
      </w:r>
      <w:r w:rsidR="00C52F64">
        <w:t>为规范机器设备评估行为，保护资产评估当事人合法权益和公共利益，根据《资产评估基本准则》制定本准则。</w:t>
      </w:r>
    </w:p>
    <w:p w14:paraId="5CA11CD7" w14:textId="20B955EC" w:rsidR="00C52F64" w:rsidRDefault="004E3EBB" w:rsidP="00C52F64">
      <w:pPr>
        <w:pStyle w:val="13"/>
        <w:ind w:firstLine="482"/>
      </w:pPr>
      <w:r w:rsidRPr="004E3EBB">
        <w:rPr>
          <w:rFonts w:hint="eastAsia"/>
          <w:b/>
          <w:bCs/>
        </w:rPr>
        <w:t xml:space="preserve">第二条 </w:t>
      </w:r>
      <w:r w:rsidR="00C52F64">
        <w:t>本准则所称机器设备，是指人类利用机械原理以及其他科学原理制造的、特定主体拥有或者控制的有形资产，包括机器、仪器、器械、装置、附属的特殊建筑物等。</w:t>
      </w:r>
    </w:p>
    <w:p w14:paraId="2BDC3D0C" w14:textId="4A95F9EE" w:rsidR="00C52F64" w:rsidRDefault="004E3EBB" w:rsidP="00C52F64">
      <w:pPr>
        <w:pStyle w:val="13"/>
        <w:ind w:firstLine="482"/>
      </w:pPr>
      <w:r w:rsidRPr="004E3EBB">
        <w:rPr>
          <w:rFonts w:hint="eastAsia"/>
          <w:b/>
          <w:bCs/>
        </w:rPr>
        <w:t xml:space="preserve">第三条 </w:t>
      </w:r>
      <w:r w:rsidR="00C52F64">
        <w:t>本准则所称机器设备评估，是指资产评估机构及其资产评估专业人员遵守法律、行政法规和资产评估准则，根据委托对评估基准日特定目的下单独的机器设备、资产组合或者作为企业资产组成部分的机器设备价值进行评定和估算，并出具资产评估报告的专业服务行为。</w:t>
      </w:r>
    </w:p>
    <w:p w14:paraId="3B1EC023" w14:textId="299026B2" w:rsidR="00C52F64" w:rsidRDefault="004E3EBB" w:rsidP="00C52F64">
      <w:pPr>
        <w:pStyle w:val="13"/>
        <w:ind w:firstLine="482"/>
      </w:pPr>
      <w:r w:rsidRPr="004E3EBB">
        <w:rPr>
          <w:rFonts w:hint="eastAsia"/>
          <w:b/>
          <w:bCs/>
        </w:rPr>
        <w:t xml:space="preserve">第四条 </w:t>
      </w:r>
      <w:r w:rsidR="00C52F64">
        <w:t>执行机器设备评估业务，应当遵守本准则。</w:t>
      </w:r>
    </w:p>
    <w:p w14:paraId="25BDE332" w14:textId="77777777" w:rsidR="00C52F64" w:rsidRDefault="00C52F64" w:rsidP="00AF7342">
      <w:pPr>
        <w:pStyle w:val="a9"/>
        <w:spacing w:before="62" w:after="62"/>
      </w:pPr>
      <w:r>
        <w:rPr>
          <w:rFonts w:hint="eastAsia"/>
        </w:rPr>
        <w:t>第二章</w:t>
      </w:r>
      <w:r>
        <w:t xml:space="preserve"> 基本遵循</w:t>
      </w:r>
    </w:p>
    <w:p w14:paraId="221C115E" w14:textId="7E10D1B1" w:rsidR="00C52F64" w:rsidRDefault="004E3EBB" w:rsidP="008325B2">
      <w:pPr>
        <w:pStyle w:val="13"/>
        <w:ind w:firstLine="482"/>
      </w:pPr>
      <w:r w:rsidRPr="004E3EBB">
        <w:rPr>
          <w:rFonts w:hint="eastAsia"/>
          <w:b/>
          <w:bCs/>
        </w:rPr>
        <w:t xml:space="preserve">第五条 </w:t>
      </w:r>
      <w:r w:rsidR="00C52F64">
        <w:t>执行机器设备评估业务，应当具备机器设备评估的专业知识和实践经验，</w:t>
      </w:r>
      <w:r w:rsidR="00C52F64">
        <w:rPr>
          <w:rFonts w:hint="eastAsia"/>
        </w:rPr>
        <w:t>能够胜任所执行的机器设备评估业务。</w:t>
      </w:r>
    </w:p>
    <w:p w14:paraId="29D31233" w14:textId="77777777" w:rsidR="00C52F64" w:rsidRDefault="00C52F64" w:rsidP="00C52F64">
      <w:pPr>
        <w:pStyle w:val="13"/>
      </w:pPr>
      <w:r>
        <w:rPr>
          <w:rFonts w:hint="eastAsia"/>
        </w:rPr>
        <w:t>当执行某项特定业务缺乏特定的专业知识和经验时，应当采取弥补措施，包括利用专家工作及相关报告等。</w:t>
      </w:r>
    </w:p>
    <w:p w14:paraId="216DFA35" w14:textId="30F29517" w:rsidR="00C52F64" w:rsidRDefault="004E3EBB" w:rsidP="00C52F64">
      <w:pPr>
        <w:pStyle w:val="13"/>
        <w:ind w:firstLine="482"/>
      </w:pPr>
      <w:r w:rsidRPr="004E3EBB">
        <w:rPr>
          <w:rFonts w:hint="eastAsia"/>
          <w:b/>
          <w:bCs/>
        </w:rPr>
        <w:t xml:space="preserve">第六条 </w:t>
      </w:r>
      <w:r w:rsidR="00C52F64">
        <w:t>资产评估专业人员应当了解，机器设备的评估对象分为单台机器设备和机器设备组合对应的全部或者部分权益。单台机器设备是指以独立形态存在、可以单独发挥作用或者以单台的形式进行销售的机器设备。机器设备组合是指为了实现特</w:t>
      </w:r>
      <w:r w:rsidR="00C52F64">
        <w:lastRenderedPageBreak/>
        <w:t>定功能</w:t>
      </w:r>
      <w:r w:rsidR="00CC4D74">
        <w:t>，</w:t>
      </w:r>
      <w:r w:rsidR="00C52F64">
        <w:t>由若干机器设备组成的有机整体。机器设备组合的价值</w:t>
      </w:r>
      <w:proofErr w:type="gramStart"/>
      <w:r w:rsidR="00C52F64">
        <w:t>不</w:t>
      </w:r>
      <w:proofErr w:type="gramEnd"/>
      <w:r w:rsidR="00C52F64">
        <w:t>必然等于单台机器设备价值的简单相加。</w:t>
      </w:r>
    </w:p>
    <w:p w14:paraId="13248844" w14:textId="56A7BB02" w:rsidR="00C52F64" w:rsidRDefault="004E3EBB" w:rsidP="00C52F64">
      <w:pPr>
        <w:pStyle w:val="13"/>
        <w:ind w:firstLine="482"/>
      </w:pPr>
      <w:r w:rsidRPr="004E3EBB">
        <w:rPr>
          <w:rFonts w:hint="eastAsia"/>
          <w:b/>
          <w:bCs/>
        </w:rPr>
        <w:t xml:space="preserve">第七条 </w:t>
      </w:r>
      <w:r w:rsidR="00C52F64">
        <w:t>在对持续经营前提下的企业价值进行评估时，机器设备作为企业资产组成部分的价值可能有别于作为单项资产的价值，其价值取决于它对企业价值的贡献程度。</w:t>
      </w:r>
    </w:p>
    <w:p w14:paraId="7B8C5757" w14:textId="18DB2E15" w:rsidR="00C52F64" w:rsidRDefault="004E3EBB" w:rsidP="00C52F64">
      <w:pPr>
        <w:pStyle w:val="13"/>
        <w:ind w:firstLine="482"/>
      </w:pPr>
      <w:r w:rsidRPr="004E3EBB">
        <w:rPr>
          <w:rFonts w:hint="eastAsia"/>
          <w:b/>
          <w:bCs/>
        </w:rPr>
        <w:t xml:space="preserve">第八条 </w:t>
      </w:r>
      <w:r w:rsidR="00C52F64">
        <w:t>执行机器设备评估业务，应当关注机器设备所依存资源的有限性、所生产产品的市场寿命、所依附土地和房屋建筑物的使用期限、法律、行政法规以及环境保护、能源等产业政策对机器设备价值的影响。</w:t>
      </w:r>
    </w:p>
    <w:p w14:paraId="51FF9F1D" w14:textId="77777777" w:rsidR="00C52F64" w:rsidRDefault="00C52F64" w:rsidP="00AF7342">
      <w:pPr>
        <w:pStyle w:val="a9"/>
        <w:spacing w:before="62" w:after="62"/>
      </w:pPr>
      <w:r>
        <w:rPr>
          <w:rFonts w:hint="eastAsia"/>
        </w:rPr>
        <w:t>第三章</w:t>
      </w:r>
      <w:r>
        <w:t xml:space="preserve"> 操作要求</w:t>
      </w:r>
    </w:p>
    <w:p w14:paraId="5687F4C6" w14:textId="6FE93B44" w:rsidR="00C52F64" w:rsidRDefault="00E05BDA" w:rsidP="00C52F64">
      <w:pPr>
        <w:pStyle w:val="13"/>
        <w:ind w:firstLine="482"/>
      </w:pPr>
      <w:r w:rsidRPr="00E05BDA">
        <w:rPr>
          <w:rFonts w:hint="eastAsia"/>
          <w:b/>
          <w:bCs/>
        </w:rPr>
        <w:t xml:space="preserve">第九条 </w:t>
      </w:r>
      <w:r w:rsidR="00C52F64">
        <w:t>执行机器设备评估业务，应当了解评估结论的用途，明确评估目的。</w:t>
      </w:r>
    </w:p>
    <w:p w14:paraId="38C63695" w14:textId="46831FFF" w:rsidR="00C52F64" w:rsidRDefault="00E05BDA" w:rsidP="00C52F64">
      <w:pPr>
        <w:pStyle w:val="13"/>
        <w:ind w:firstLine="482"/>
      </w:pPr>
      <w:r w:rsidRPr="00E05BDA">
        <w:rPr>
          <w:rFonts w:hint="eastAsia"/>
          <w:b/>
          <w:bCs/>
        </w:rPr>
        <w:t xml:space="preserve">第十条 </w:t>
      </w:r>
      <w:r w:rsidR="00C52F64">
        <w:t>执行机器设备评估业务，应当根据评估目的等相关条件，选择恰当的价值类型。</w:t>
      </w:r>
    </w:p>
    <w:p w14:paraId="2728C620" w14:textId="5505A1FF" w:rsidR="00C52F64" w:rsidRDefault="00E05BDA" w:rsidP="00C52F64">
      <w:pPr>
        <w:pStyle w:val="13"/>
        <w:ind w:firstLine="482"/>
      </w:pPr>
      <w:r w:rsidRPr="00E05BDA">
        <w:rPr>
          <w:rFonts w:hint="eastAsia"/>
          <w:b/>
          <w:bCs/>
        </w:rPr>
        <w:t xml:space="preserve">第十一条 </w:t>
      </w:r>
      <w:r w:rsidR="00C52F64">
        <w:t>资产评估专业人员应当根据机器设备的预期用途和评估目的，明确评估假设。包括：</w:t>
      </w:r>
    </w:p>
    <w:p w14:paraId="624584DA" w14:textId="77777777" w:rsidR="00C52F64" w:rsidRDefault="00C52F64" w:rsidP="00C52F64">
      <w:pPr>
        <w:pStyle w:val="13"/>
      </w:pPr>
      <w:r>
        <w:rPr>
          <w:rFonts w:hint="eastAsia"/>
        </w:rPr>
        <w:t>（一）继续使用或者变现；</w:t>
      </w:r>
    </w:p>
    <w:p w14:paraId="20068720" w14:textId="77777777" w:rsidR="00C52F64" w:rsidRDefault="00C52F64" w:rsidP="00C52F64">
      <w:pPr>
        <w:pStyle w:val="13"/>
      </w:pPr>
      <w:r>
        <w:rPr>
          <w:rFonts w:hint="eastAsia"/>
        </w:rPr>
        <w:t>（二）原地使用或者移地使用；</w:t>
      </w:r>
    </w:p>
    <w:p w14:paraId="357A87A1" w14:textId="77777777" w:rsidR="00C52F64" w:rsidRDefault="00C52F64" w:rsidP="00C52F64">
      <w:pPr>
        <w:pStyle w:val="13"/>
      </w:pPr>
      <w:r>
        <w:rPr>
          <w:rFonts w:hint="eastAsia"/>
        </w:rPr>
        <w:t>（三）现行用途使用或者改变用途使用。</w:t>
      </w:r>
    </w:p>
    <w:p w14:paraId="38B1FD63" w14:textId="133D2B62" w:rsidR="00C52F64" w:rsidRDefault="00E05BDA" w:rsidP="00C52F64">
      <w:pPr>
        <w:pStyle w:val="13"/>
        <w:ind w:firstLine="482"/>
      </w:pPr>
      <w:r w:rsidRPr="00E05BDA">
        <w:rPr>
          <w:rFonts w:hint="eastAsia"/>
          <w:b/>
          <w:bCs/>
        </w:rPr>
        <w:t xml:space="preserve">第十二条 </w:t>
      </w:r>
      <w:r w:rsidR="00C52F64">
        <w:t>对需要改变使用地点，按原来的用途继续使用，或者改变用途继续使用的机器设备进行评估时，应当考虑机器设备移位或者改变用途对其价值产生的影响。</w:t>
      </w:r>
    </w:p>
    <w:p w14:paraId="1F5286E6" w14:textId="5E112807" w:rsidR="00C52F64" w:rsidRDefault="00E05BDA" w:rsidP="00C52F64">
      <w:pPr>
        <w:pStyle w:val="13"/>
        <w:ind w:firstLine="482"/>
      </w:pPr>
      <w:r w:rsidRPr="00E05BDA">
        <w:rPr>
          <w:rFonts w:hint="eastAsia"/>
          <w:b/>
          <w:bCs/>
        </w:rPr>
        <w:t xml:space="preserve">第十三条 </w:t>
      </w:r>
      <w:r w:rsidR="00C52F64">
        <w:t>执行机器设备评估业务，应当根据评估目的、评估假设等条件，明确评估范围是否包括设备的安装、基础、附属设施，是否包括软件、技术服务、技术资料等无形资产。对于附属于不动产的机器设备，应当划分不动产与机器设备的评估范围，避免重复或者遗漏。</w:t>
      </w:r>
    </w:p>
    <w:p w14:paraId="0ED4DFC4" w14:textId="649CF51F" w:rsidR="00C52F64" w:rsidRDefault="00E05BDA" w:rsidP="00C52F64">
      <w:pPr>
        <w:pStyle w:val="13"/>
        <w:ind w:firstLine="482"/>
      </w:pPr>
      <w:r w:rsidRPr="00E05BDA">
        <w:rPr>
          <w:rFonts w:hint="eastAsia"/>
          <w:b/>
          <w:bCs/>
        </w:rPr>
        <w:t xml:space="preserve">第十四条 </w:t>
      </w:r>
      <w:r w:rsidR="00C52F64">
        <w:t>执行机器设备评估业务，应当对机器设备进行现场逐项调查或者抽样调查，确定机器设备是否存在、明确机器设备存在状态并关注其权属。如果采用抽样的方法进行现场调查，应当充分考虑抽样风险。因客观原因等因素限制，无法实施现场调查的，应当采取措施加以判断，并予以披露。</w:t>
      </w:r>
    </w:p>
    <w:p w14:paraId="67FB3935" w14:textId="433F2953" w:rsidR="00C52F64" w:rsidRDefault="00E05BDA" w:rsidP="008325B2">
      <w:pPr>
        <w:pStyle w:val="13"/>
        <w:ind w:firstLine="482"/>
      </w:pPr>
      <w:r w:rsidRPr="00E05BDA">
        <w:rPr>
          <w:rFonts w:hint="eastAsia"/>
          <w:b/>
          <w:bCs/>
        </w:rPr>
        <w:t xml:space="preserve">第十五条 </w:t>
      </w:r>
      <w:r w:rsidR="00C52F64">
        <w:t>执行机器设备评估业务应当根据评估对象的具体情况，确定现场调查内</w:t>
      </w:r>
      <w:r w:rsidR="00C52F64">
        <w:rPr>
          <w:rFonts w:hint="eastAsia"/>
        </w:rPr>
        <w:t>容。</w:t>
      </w:r>
    </w:p>
    <w:p w14:paraId="2BCE91C7" w14:textId="17A02466" w:rsidR="00C52F64" w:rsidRDefault="00E05BDA" w:rsidP="00C52F64">
      <w:pPr>
        <w:pStyle w:val="13"/>
        <w:ind w:firstLine="482"/>
      </w:pPr>
      <w:r w:rsidRPr="00E05BDA">
        <w:rPr>
          <w:rFonts w:hint="eastAsia"/>
          <w:b/>
          <w:bCs/>
        </w:rPr>
        <w:t xml:space="preserve">第十六条 </w:t>
      </w:r>
      <w:r w:rsidR="00C52F64">
        <w:t>资产评估专业人员通常可以通过现场观察，利用机器设备使用单位所提供的技术档案、检测报告、运行记录等历史资料，利用专业机构的检测结果，对机器设备的技术状态做出判断。必要时可以聘请专业机构对机器设备进行技术鉴定。</w:t>
      </w:r>
    </w:p>
    <w:p w14:paraId="2EBB4BDF" w14:textId="69A3D788" w:rsidR="00C52F64" w:rsidRDefault="00E05BDA" w:rsidP="00C52F64">
      <w:pPr>
        <w:pStyle w:val="13"/>
        <w:ind w:firstLine="482"/>
      </w:pPr>
      <w:r w:rsidRPr="00E05BDA">
        <w:rPr>
          <w:rFonts w:hint="eastAsia"/>
          <w:b/>
          <w:bCs/>
        </w:rPr>
        <w:t xml:space="preserve">第十七条 </w:t>
      </w:r>
      <w:r w:rsidR="00C52F64">
        <w:t>资产评估专业人员应当关注机器设备的权属，收集相关的权属证明文</w:t>
      </w:r>
      <w:r w:rsidR="00C52F64">
        <w:lastRenderedPageBreak/>
        <w:t>件</w:t>
      </w:r>
      <w:r w:rsidR="00CC4D74">
        <w:t>，</w:t>
      </w:r>
      <w:r w:rsidR="00C52F64">
        <w:t>对于没有权属证明文件的机器设备应当要求委托人或者其他相关当事人对其权属做出承诺或者说明，并对相关资料进行核查验证。</w:t>
      </w:r>
    </w:p>
    <w:p w14:paraId="625A75EA" w14:textId="03BBC55B" w:rsidR="00C52F64" w:rsidRDefault="00E05BDA" w:rsidP="00C52F64">
      <w:pPr>
        <w:pStyle w:val="13"/>
        <w:ind w:firstLine="482"/>
      </w:pPr>
      <w:r w:rsidRPr="00E05BDA">
        <w:rPr>
          <w:rFonts w:hint="eastAsia"/>
          <w:b/>
          <w:bCs/>
        </w:rPr>
        <w:t xml:space="preserve">第十八条 </w:t>
      </w:r>
      <w:r w:rsidR="00C52F64">
        <w:t>资产评估专业人员应当获得真实、可靠的机器设备的市场信息。</w:t>
      </w:r>
    </w:p>
    <w:p w14:paraId="436A6BEC" w14:textId="77777777" w:rsidR="00C52F64" w:rsidRDefault="00C52F64" w:rsidP="00AF7342">
      <w:pPr>
        <w:pStyle w:val="a9"/>
        <w:spacing w:before="62" w:after="62"/>
      </w:pPr>
      <w:r>
        <w:rPr>
          <w:rFonts w:hint="eastAsia"/>
        </w:rPr>
        <w:t>第四章</w:t>
      </w:r>
      <w:r>
        <w:t xml:space="preserve"> 评估方法</w:t>
      </w:r>
    </w:p>
    <w:p w14:paraId="64BB155F" w14:textId="4F8294AB" w:rsidR="00C52F64" w:rsidRDefault="00E05BDA" w:rsidP="00C52F64">
      <w:pPr>
        <w:pStyle w:val="13"/>
        <w:ind w:firstLine="482"/>
      </w:pPr>
      <w:r w:rsidRPr="00E05BDA">
        <w:rPr>
          <w:rFonts w:hint="eastAsia"/>
          <w:b/>
          <w:bCs/>
        </w:rPr>
        <w:t xml:space="preserve">第十九条 </w:t>
      </w:r>
      <w:r w:rsidR="00C52F64">
        <w:t>执行机器设备评估业务，应当根据评估目的、评估对象、价值类型、资料收集等情况，分析成本法、市场法和收益法三种资产评估基本方法的适用性，选择评估方法。</w:t>
      </w:r>
    </w:p>
    <w:p w14:paraId="782FD924" w14:textId="6EF864AD" w:rsidR="00C52F64" w:rsidRDefault="00E05BDA" w:rsidP="00C52F64">
      <w:pPr>
        <w:pStyle w:val="13"/>
        <w:ind w:firstLine="482"/>
      </w:pPr>
      <w:r w:rsidRPr="00E05BDA">
        <w:rPr>
          <w:rFonts w:hint="eastAsia"/>
          <w:b/>
          <w:bCs/>
        </w:rPr>
        <w:t xml:space="preserve">第二十条 </w:t>
      </w:r>
      <w:r w:rsidR="00C52F64">
        <w:t>采用成本法评估机器设备时，应当：</w:t>
      </w:r>
    </w:p>
    <w:p w14:paraId="5EAA2F0A" w14:textId="77777777" w:rsidR="00C52F64" w:rsidRDefault="00C52F64" w:rsidP="00C52F64">
      <w:pPr>
        <w:pStyle w:val="13"/>
      </w:pPr>
      <w:r>
        <w:rPr>
          <w:rFonts w:hint="eastAsia"/>
        </w:rPr>
        <w:t>（一）明确机器设备的重置成本包括购置或者购</w:t>
      </w:r>
      <w:proofErr w:type="gramStart"/>
      <w:r>
        <w:rPr>
          <w:rFonts w:hint="eastAsia"/>
        </w:rPr>
        <w:t>建设备</w:t>
      </w:r>
      <w:proofErr w:type="gramEnd"/>
      <w:r>
        <w:rPr>
          <w:rFonts w:hint="eastAsia"/>
        </w:rPr>
        <w:t>所发生的必要的、合理的成本、利润和相关税费等，确定重置成本的构成要素；</w:t>
      </w:r>
    </w:p>
    <w:p w14:paraId="41DB814D" w14:textId="77777777" w:rsidR="00C52F64" w:rsidRDefault="00C52F64" w:rsidP="00C52F64">
      <w:pPr>
        <w:pStyle w:val="13"/>
      </w:pPr>
      <w:r>
        <w:rPr>
          <w:rFonts w:hint="eastAsia"/>
        </w:rPr>
        <w:t>（二）明确重置成本可以划分为更新重置成本与复原重置成本；</w:t>
      </w:r>
    </w:p>
    <w:p w14:paraId="1CFC4BAE" w14:textId="77777777" w:rsidR="00C52F64" w:rsidRDefault="00C52F64" w:rsidP="00C52F64">
      <w:pPr>
        <w:pStyle w:val="13"/>
      </w:pPr>
      <w:r>
        <w:rPr>
          <w:rFonts w:hint="eastAsia"/>
        </w:rPr>
        <w:t>（三）了解机器设备的实体性贬值、功能性贬值和经济性贬值，以及可能引起机器设备贬值的各种因素，采用科学的方法，估算各种贬值；</w:t>
      </w:r>
    </w:p>
    <w:p w14:paraId="15F00A7C" w14:textId="77777777" w:rsidR="00C52F64" w:rsidRDefault="00C52F64" w:rsidP="00C52F64">
      <w:pPr>
        <w:pStyle w:val="13"/>
      </w:pPr>
      <w:r>
        <w:rPr>
          <w:rFonts w:hint="eastAsia"/>
        </w:rPr>
        <w:t>（四）了解对具有独立运营能力或者独立获利能力的机器设备组合进行评估时，成本法一般不应当作为唯一使用的评估方法。</w:t>
      </w:r>
    </w:p>
    <w:p w14:paraId="34CEFA55" w14:textId="0B60C622" w:rsidR="00C52F64" w:rsidRDefault="00E05BDA" w:rsidP="00C52F64">
      <w:pPr>
        <w:pStyle w:val="13"/>
        <w:ind w:firstLine="482"/>
      </w:pPr>
      <w:r w:rsidRPr="00E05BDA">
        <w:rPr>
          <w:rFonts w:hint="eastAsia"/>
          <w:b/>
          <w:bCs/>
        </w:rPr>
        <w:t xml:space="preserve">第二十一条 </w:t>
      </w:r>
      <w:r w:rsidR="00C52F64">
        <w:t>采用市场法评估机器设备时，应当：</w:t>
      </w:r>
    </w:p>
    <w:p w14:paraId="03666D11" w14:textId="77777777" w:rsidR="00C52F64" w:rsidRDefault="00C52F64" w:rsidP="00C52F64">
      <w:pPr>
        <w:pStyle w:val="13"/>
      </w:pPr>
      <w:r>
        <w:rPr>
          <w:rFonts w:hint="eastAsia"/>
        </w:rPr>
        <w:t>（一）明确活跃的市场是采用市场法评估机器设备的前提条件，应当考虑市场是否能够提供足够数量的可比资产的交易数据、以及数据的可靠性；</w:t>
      </w:r>
    </w:p>
    <w:p w14:paraId="4E82A051" w14:textId="77777777" w:rsidR="00C52F64" w:rsidRDefault="00C52F64" w:rsidP="00C52F64">
      <w:pPr>
        <w:pStyle w:val="13"/>
      </w:pPr>
      <w:r>
        <w:rPr>
          <w:rFonts w:hint="eastAsia"/>
        </w:rPr>
        <w:t>（二）明确参照物与评估对象具有相似性和可比性是采用市场法的基础，应当对参照物与评估对象的差异进行调整；</w:t>
      </w:r>
    </w:p>
    <w:p w14:paraId="044D2FED" w14:textId="77777777" w:rsidR="00C52F64" w:rsidRDefault="00C52F64" w:rsidP="00C52F64">
      <w:pPr>
        <w:pStyle w:val="13"/>
      </w:pPr>
      <w:r>
        <w:rPr>
          <w:rFonts w:hint="eastAsia"/>
        </w:rPr>
        <w:t>（三）了解不同交易市场的价格水平可能存在差异，应当根据评估目的和评估对象的具体情况，确定可以作为评估依据的合适的交易市场，或者对市场差异</w:t>
      </w:r>
      <w:proofErr w:type="gramStart"/>
      <w:r>
        <w:rPr>
          <w:rFonts w:hint="eastAsia"/>
        </w:rPr>
        <w:t>作出</w:t>
      </w:r>
      <w:proofErr w:type="gramEnd"/>
      <w:r>
        <w:rPr>
          <w:rFonts w:hint="eastAsia"/>
        </w:rPr>
        <w:t>调整；</w:t>
      </w:r>
    </w:p>
    <w:p w14:paraId="05679AEE" w14:textId="77777777" w:rsidR="00F1741A" w:rsidRDefault="00C52F64" w:rsidP="00C52F64">
      <w:pPr>
        <w:pStyle w:val="13"/>
      </w:pPr>
      <w:r>
        <w:rPr>
          <w:rFonts w:hint="eastAsia"/>
        </w:rPr>
        <w:t>（四）明确拆除、运输、安装、调试等因素对评估结论的影响。</w:t>
      </w:r>
    </w:p>
    <w:p w14:paraId="20344B2D" w14:textId="1CA114B6" w:rsidR="00C52F64" w:rsidRDefault="00E05BDA" w:rsidP="00C52F64">
      <w:pPr>
        <w:pStyle w:val="13"/>
        <w:ind w:firstLine="482"/>
      </w:pPr>
      <w:r w:rsidRPr="00E05BDA">
        <w:rPr>
          <w:rFonts w:hint="eastAsia"/>
          <w:b/>
          <w:bCs/>
        </w:rPr>
        <w:t xml:space="preserve">第二十二条 </w:t>
      </w:r>
      <w:r w:rsidR="00C52F64">
        <w:rPr>
          <w:rFonts w:hint="eastAsia"/>
        </w:rPr>
        <w:t>采用收益法评估机器设备时，应当：</w:t>
      </w:r>
    </w:p>
    <w:p w14:paraId="1134BA0B" w14:textId="77777777" w:rsidR="00C52F64" w:rsidRDefault="00C52F64" w:rsidP="00C52F64">
      <w:pPr>
        <w:pStyle w:val="13"/>
      </w:pPr>
      <w:r>
        <w:rPr>
          <w:rFonts w:hint="eastAsia"/>
        </w:rPr>
        <w:t>（一）明确收益法一般适用于具有独立获利能力或者获利能力可以量化的机器设备；</w:t>
      </w:r>
    </w:p>
    <w:p w14:paraId="2ED1F06B" w14:textId="77777777" w:rsidR="00C52F64" w:rsidRDefault="00C52F64" w:rsidP="00C52F64">
      <w:pPr>
        <w:pStyle w:val="13"/>
      </w:pPr>
      <w:r>
        <w:rPr>
          <w:rFonts w:hint="eastAsia"/>
        </w:rPr>
        <w:t>（二）合理确定收益期限、合理量化机器设备的未来收益；</w:t>
      </w:r>
    </w:p>
    <w:p w14:paraId="47010A18" w14:textId="77777777" w:rsidR="00C52F64" w:rsidRDefault="00C52F64" w:rsidP="00C52F64">
      <w:pPr>
        <w:pStyle w:val="13"/>
      </w:pPr>
      <w:r>
        <w:rPr>
          <w:rFonts w:hint="eastAsia"/>
        </w:rPr>
        <w:t>（三）合理确定折现率。</w:t>
      </w:r>
    </w:p>
    <w:p w14:paraId="0DED10AA" w14:textId="77777777" w:rsidR="00C52F64" w:rsidRDefault="00C52F64" w:rsidP="00AF7342">
      <w:pPr>
        <w:pStyle w:val="a9"/>
        <w:spacing w:before="62" w:after="62"/>
      </w:pPr>
      <w:r>
        <w:rPr>
          <w:rFonts w:hint="eastAsia"/>
        </w:rPr>
        <w:t>第五章</w:t>
      </w:r>
      <w:r>
        <w:t xml:space="preserve"> 披露要求</w:t>
      </w:r>
    </w:p>
    <w:p w14:paraId="5AA50A58" w14:textId="4E5B7E1C" w:rsidR="00C52F64" w:rsidRDefault="00E05BDA" w:rsidP="00C52F64">
      <w:pPr>
        <w:pStyle w:val="13"/>
        <w:ind w:firstLine="482"/>
      </w:pPr>
      <w:r w:rsidRPr="00E05BDA">
        <w:rPr>
          <w:rFonts w:hint="eastAsia"/>
          <w:b/>
          <w:bCs/>
        </w:rPr>
        <w:t xml:space="preserve">第二十三条 </w:t>
      </w:r>
      <w:r w:rsidR="00C52F64">
        <w:t>无论单独出具机器设备评估报告，还是将机器设备的评估作为资产评估报告的组成部分，都应当在资产评估报告中披露必要信息，使资产评估报告使用人能够正确理解评估结论。</w:t>
      </w:r>
    </w:p>
    <w:p w14:paraId="088AC1D7" w14:textId="25DF8445" w:rsidR="00C52F64" w:rsidRDefault="00E05BDA" w:rsidP="00C52F64">
      <w:pPr>
        <w:pStyle w:val="13"/>
        <w:ind w:firstLine="482"/>
      </w:pPr>
      <w:r w:rsidRPr="00E05BDA">
        <w:rPr>
          <w:rFonts w:hint="eastAsia"/>
          <w:b/>
          <w:bCs/>
        </w:rPr>
        <w:lastRenderedPageBreak/>
        <w:t xml:space="preserve">第二十四条 </w:t>
      </w:r>
      <w:r w:rsidR="00C52F64">
        <w:t>编制机器设备评估报告应当反映机器设备的相关特点：</w:t>
      </w:r>
    </w:p>
    <w:p w14:paraId="4E3B0FD9" w14:textId="77777777" w:rsidR="00C52F64" w:rsidRDefault="00C52F64" w:rsidP="00C52F64">
      <w:pPr>
        <w:pStyle w:val="13"/>
      </w:pPr>
      <w:r>
        <w:rPr>
          <w:rFonts w:hint="eastAsia"/>
        </w:rPr>
        <w:t>（一）对机器设备的描述一般包括物理特征、技术特征和经济特征，应当根据具体情况确定需要描述的内容；</w:t>
      </w:r>
    </w:p>
    <w:p w14:paraId="4ADBE141" w14:textId="77777777" w:rsidR="00C52F64" w:rsidRDefault="00C52F64" w:rsidP="00C52F64">
      <w:pPr>
        <w:pStyle w:val="13"/>
      </w:pPr>
      <w:r>
        <w:rPr>
          <w:rFonts w:hint="eastAsia"/>
        </w:rPr>
        <w:t>（二）除了机器设备评估明细表，在机器设备评估报告中应当对评估对象的概况进行描述；</w:t>
      </w:r>
    </w:p>
    <w:p w14:paraId="705D6A41" w14:textId="77777777" w:rsidR="00C52F64" w:rsidRDefault="00C52F64" w:rsidP="00C52F64">
      <w:pPr>
        <w:pStyle w:val="13"/>
      </w:pPr>
      <w:r>
        <w:rPr>
          <w:rFonts w:hint="eastAsia"/>
        </w:rPr>
        <w:t>（三）对机器设备评估程序实施过程的描述，应当反映对设备的现场及市场调查、评定估算过程；说明设备的使用情况、维护保养情况、贬值情况等；</w:t>
      </w:r>
    </w:p>
    <w:p w14:paraId="4AC2322E" w14:textId="77777777" w:rsidR="00C52F64" w:rsidRDefault="00C52F64" w:rsidP="00C52F64">
      <w:pPr>
        <w:pStyle w:val="13"/>
      </w:pPr>
      <w:r>
        <w:rPr>
          <w:rFonts w:hint="eastAsia"/>
        </w:rPr>
        <w:t>（四）在评估假设中明确机器设备是否改变用途、改变使用地点等；</w:t>
      </w:r>
    </w:p>
    <w:p w14:paraId="170BDE36" w14:textId="77777777" w:rsidR="00C52F64" w:rsidRDefault="00C52F64" w:rsidP="00C52F64">
      <w:pPr>
        <w:pStyle w:val="13"/>
      </w:pPr>
      <w:r>
        <w:rPr>
          <w:rFonts w:hint="eastAsia"/>
        </w:rPr>
        <w:t>（五）机器设备抵（质）</w:t>
      </w:r>
      <w:proofErr w:type="gramStart"/>
      <w:r>
        <w:rPr>
          <w:rFonts w:hint="eastAsia"/>
        </w:rPr>
        <w:t>押及其</w:t>
      </w:r>
      <w:proofErr w:type="gramEnd"/>
      <w:r>
        <w:rPr>
          <w:rFonts w:hint="eastAsia"/>
        </w:rPr>
        <w:t>他限制情况。</w:t>
      </w:r>
    </w:p>
    <w:p w14:paraId="3D588CBE" w14:textId="77777777" w:rsidR="00C52F64" w:rsidRDefault="00C52F64" w:rsidP="00AF7342">
      <w:pPr>
        <w:pStyle w:val="a9"/>
        <w:spacing w:before="62" w:after="62"/>
      </w:pPr>
      <w:r>
        <w:rPr>
          <w:rFonts w:hint="eastAsia"/>
        </w:rPr>
        <w:t>第六章</w:t>
      </w:r>
      <w:r>
        <w:t xml:space="preserve"> 附则</w:t>
      </w:r>
    </w:p>
    <w:p w14:paraId="71D6E3F8" w14:textId="06BF2701" w:rsidR="00EF0BC2" w:rsidRDefault="00E05BDA" w:rsidP="008325B2">
      <w:pPr>
        <w:pStyle w:val="13"/>
        <w:ind w:firstLine="482"/>
      </w:pPr>
      <w:r w:rsidRPr="00E05BDA">
        <w:rPr>
          <w:rFonts w:hint="eastAsia"/>
          <w:b/>
          <w:bCs/>
        </w:rPr>
        <w:t xml:space="preserve">第二十五条 </w:t>
      </w:r>
      <w:r w:rsidR="00C52F64">
        <w:t>本准则自 2017</w:t>
      </w:r>
      <w:r w:rsidR="003068F8">
        <w:t>年</w:t>
      </w:r>
      <w:r w:rsidR="00C52F64">
        <w:t>10</w:t>
      </w:r>
      <w:r w:rsidR="003068F8">
        <w:t>月</w:t>
      </w:r>
      <w:r w:rsidR="00C52F64">
        <w:t>1</w:t>
      </w:r>
      <w:r w:rsidR="003068F8">
        <w:t>日</w:t>
      </w:r>
      <w:r w:rsidR="00C52F64">
        <w:t>起施行。中国资产评估协会于 2007</w:t>
      </w:r>
      <w:r w:rsidR="003068F8">
        <w:t>年</w:t>
      </w:r>
      <w:r w:rsidR="00C52F64">
        <w:t>11</w:t>
      </w:r>
      <w:r w:rsidR="003068F8">
        <w:rPr>
          <w:rFonts w:hint="eastAsia"/>
        </w:rPr>
        <w:t>月</w:t>
      </w:r>
      <w:r w:rsidR="00C52F64">
        <w:t>28</w:t>
      </w:r>
      <w:r w:rsidR="003068F8">
        <w:t>日</w:t>
      </w:r>
      <w:r w:rsidR="00C52F64">
        <w:t>发布的《关于印发〈资产评估准则—评估报告〉等 7 项资产评估准则的通知》</w:t>
      </w:r>
      <w:r w:rsidR="00C52F64">
        <w:rPr>
          <w:rFonts w:hint="eastAsia"/>
        </w:rPr>
        <w:t>（</w:t>
      </w:r>
      <w:proofErr w:type="gramStart"/>
      <w:r w:rsidR="00C52F64">
        <w:rPr>
          <w:rFonts w:hint="eastAsia"/>
        </w:rPr>
        <w:t>中评协</w:t>
      </w:r>
      <w:proofErr w:type="gramEnd"/>
      <w:r w:rsidR="00C52F64">
        <w:rPr>
          <w:rFonts w:hint="eastAsia"/>
        </w:rPr>
        <w:t>〔</w:t>
      </w:r>
      <w:r w:rsidR="00C52F64">
        <w:t>2007〕189号）中的《资产评估准则—机器设备》同时废止。</w:t>
      </w:r>
    </w:p>
    <w:p w14:paraId="25718458" w14:textId="77777777" w:rsidR="00F1741A" w:rsidRDefault="00F1741A" w:rsidP="00F1741A">
      <w:pPr>
        <w:pStyle w:val="31"/>
        <w:spacing w:before="156" w:after="62"/>
      </w:pPr>
      <w:bookmarkStart w:id="28" w:name="_Toc81833308"/>
      <w:r>
        <w:rPr>
          <w:rFonts w:hint="eastAsia"/>
        </w:rPr>
        <w:t>资产评估执业准则—珠宝首饰（</w:t>
      </w:r>
      <w:proofErr w:type="gramStart"/>
      <w:r>
        <w:rPr>
          <w:rFonts w:hint="eastAsia"/>
        </w:rPr>
        <w:t>中评协</w:t>
      </w:r>
      <w:proofErr w:type="gramEnd"/>
      <w:r>
        <w:rPr>
          <w:rFonts w:hint="eastAsia"/>
        </w:rPr>
        <w:t>〔</w:t>
      </w:r>
      <w:r>
        <w:t>2017〕40号）</w:t>
      </w:r>
      <w:bookmarkEnd w:id="28"/>
    </w:p>
    <w:p w14:paraId="0EEEF412" w14:textId="77777777" w:rsidR="00F1741A" w:rsidRDefault="00F1741A" w:rsidP="00F1741A">
      <w:pPr>
        <w:pStyle w:val="13"/>
        <w:ind w:firstLineChars="0" w:firstLine="0"/>
      </w:pPr>
      <w:r>
        <w:rPr>
          <w:rFonts w:hint="eastAsia"/>
        </w:rPr>
        <w:t>各省、自治区、直辖市、计划单列市资产评估协会（注册会计师协会）：</w:t>
      </w:r>
    </w:p>
    <w:p w14:paraId="001610B0" w14:textId="5E8C3FA5" w:rsidR="00F1741A" w:rsidRDefault="00F1741A" w:rsidP="00F1741A">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资产评估准则—珠宝首饰》进行了修订，制定了《资产评估执业准则—珠宝首饰》，现予发布，自</w:t>
      </w:r>
      <w:r>
        <w:t xml:space="preserve"> 2017</w:t>
      </w:r>
      <w:r w:rsidR="003068F8">
        <w:t>年</w:t>
      </w:r>
      <w:r>
        <w:t>10</w:t>
      </w:r>
      <w:r w:rsidR="003068F8">
        <w:t>月</w:t>
      </w:r>
      <w:r>
        <w:t>1</w:t>
      </w:r>
      <w:r w:rsidR="003068F8">
        <w:t>日</w:t>
      </w:r>
      <w:r>
        <w:t>起施行。</w:t>
      </w:r>
    </w:p>
    <w:p w14:paraId="25427D5D" w14:textId="020B1D34" w:rsidR="00F1741A" w:rsidRDefault="00F1741A" w:rsidP="00F1741A">
      <w:pPr>
        <w:pStyle w:val="13"/>
      </w:pPr>
      <w:r>
        <w:rPr>
          <w:rFonts w:hint="eastAsia"/>
        </w:rPr>
        <w:t>请各地</w:t>
      </w:r>
      <w:proofErr w:type="gramStart"/>
      <w:r>
        <w:rPr>
          <w:rFonts w:hint="eastAsia"/>
        </w:rPr>
        <w:t>方协会</w:t>
      </w:r>
      <w:proofErr w:type="gramEnd"/>
      <w:r>
        <w:rPr>
          <w:rFonts w:hint="eastAsia"/>
        </w:rPr>
        <w:t>将《资产评估执业准则—珠宝首饰》及时转发资产评估机构，组织资产评估机构和资产评估专业人员进行学习和培训，并将执行过程中发现的问题及时上报中国资产评估协会。</w:t>
      </w:r>
    </w:p>
    <w:p w14:paraId="02D02045" w14:textId="77777777" w:rsidR="00F1741A" w:rsidRDefault="00F1741A" w:rsidP="00F1741A">
      <w:pPr>
        <w:pStyle w:val="13"/>
      </w:pPr>
      <w:r>
        <w:rPr>
          <w:rFonts w:hint="eastAsia"/>
        </w:rPr>
        <w:t>附件：《资产评估执业准则—珠宝首饰》</w:t>
      </w:r>
    </w:p>
    <w:p w14:paraId="4CD2D63B" w14:textId="77777777" w:rsidR="00F1741A" w:rsidRDefault="00F1741A" w:rsidP="00F1741A">
      <w:pPr>
        <w:pStyle w:val="13"/>
        <w:jc w:val="right"/>
      </w:pPr>
      <w:r>
        <w:rPr>
          <w:rFonts w:hint="eastAsia"/>
        </w:rPr>
        <w:t>中国资产评估协会</w:t>
      </w:r>
    </w:p>
    <w:p w14:paraId="4F71857D" w14:textId="530A2AEA" w:rsidR="00F1741A" w:rsidRDefault="00F1741A" w:rsidP="00F1741A">
      <w:pPr>
        <w:pStyle w:val="13"/>
        <w:jc w:val="right"/>
      </w:pPr>
      <w:r>
        <w:t>2017</w:t>
      </w:r>
      <w:r w:rsidR="003068F8">
        <w:t>年</w:t>
      </w:r>
      <w:r>
        <w:t>9</w:t>
      </w:r>
      <w:r w:rsidR="003068F8">
        <w:t>月</w:t>
      </w:r>
      <w:r>
        <w:t>8</w:t>
      </w:r>
      <w:r w:rsidR="003068F8">
        <w:t>日</w:t>
      </w:r>
    </w:p>
    <w:p w14:paraId="2054C096" w14:textId="77777777" w:rsidR="00F1741A" w:rsidRDefault="00F1741A" w:rsidP="00AF7342">
      <w:pPr>
        <w:pStyle w:val="a9"/>
        <w:spacing w:before="62" w:after="62"/>
      </w:pPr>
      <w:r>
        <w:rPr>
          <w:rFonts w:hint="eastAsia"/>
        </w:rPr>
        <w:t>资产评估执业准则—珠宝首饰</w:t>
      </w:r>
    </w:p>
    <w:p w14:paraId="6E6CF9BB" w14:textId="77777777" w:rsidR="00F1741A" w:rsidRDefault="00F1741A" w:rsidP="00AF7342">
      <w:pPr>
        <w:pStyle w:val="a9"/>
        <w:spacing w:before="62" w:after="62"/>
      </w:pPr>
      <w:r>
        <w:rPr>
          <w:rFonts w:hint="eastAsia"/>
        </w:rPr>
        <w:t>第一章</w:t>
      </w:r>
      <w:r>
        <w:t xml:space="preserve"> 总则</w:t>
      </w:r>
    </w:p>
    <w:p w14:paraId="65B56076" w14:textId="4617DDD8" w:rsidR="00F1741A" w:rsidRDefault="004E3EBB" w:rsidP="00F1741A">
      <w:pPr>
        <w:pStyle w:val="13"/>
        <w:ind w:firstLine="482"/>
      </w:pPr>
      <w:r w:rsidRPr="004E3EBB">
        <w:rPr>
          <w:rFonts w:hint="eastAsia"/>
          <w:b/>
          <w:bCs/>
        </w:rPr>
        <w:t xml:space="preserve">第一条 </w:t>
      </w:r>
      <w:r w:rsidR="00F1741A">
        <w:t>为规范珠宝首饰评估行为，保护资产评估当事人合法权益和公共利益，根据《资产评估基本准则》制定本准则。</w:t>
      </w:r>
    </w:p>
    <w:p w14:paraId="7A426D80" w14:textId="134C5A21" w:rsidR="00F1741A" w:rsidRDefault="004E3EBB" w:rsidP="00F1741A">
      <w:pPr>
        <w:pStyle w:val="13"/>
        <w:ind w:firstLine="482"/>
      </w:pPr>
      <w:r w:rsidRPr="004E3EBB">
        <w:rPr>
          <w:rFonts w:hint="eastAsia"/>
          <w:b/>
          <w:bCs/>
        </w:rPr>
        <w:t xml:space="preserve">第二条 </w:t>
      </w:r>
      <w:r w:rsidR="00F1741A">
        <w:t>本准则所称珠宝首饰，是指珠宝玉石和用于饰品制作的贵金属的原料、半成品及其制成品。</w:t>
      </w:r>
    </w:p>
    <w:p w14:paraId="616FB126" w14:textId="3D59227E" w:rsidR="00F1741A" w:rsidRDefault="004E3EBB" w:rsidP="00F1741A">
      <w:pPr>
        <w:pStyle w:val="13"/>
        <w:ind w:firstLine="482"/>
      </w:pPr>
      <w:r w:rsidRPr="004E3EBB">
        <w:rPr>
          <w:rFonts w:hint="eastAsia"/>
          <w:b/>
          <w:bCs/>
        </w:rPr>
        <w:t xml:space="preserve">第三条 </w:t>
      </w:r>
      <w:r w:rsidR="00F1741A">
        <w:t>本准则所称珠宝首饰评估，是指资产评估机构、资产评估师（珠宝）及其他珠宝评估专业人员遵守法律、行政法规和资产评估准则，按照有关珠宝首饰的国</w:t>
      </w:r>
      <w:r w:rsidR="00F1741A">
        <w:lastRenderedPageBreak/>
        <w:t>家标准，在对珠宝首饰进行鉴定分级分析的基础上，根据委托对评估基准日特定目的下的珠宝首饰价值进行评定和估算，并出具资产评估报告的专业服务行为。</w:t>
      </w:r>
    </w:p>
    <w:p w14:paraId="073C02CB" w14:textId="77777777" w:rsidR="006833EE" w:rsidRDefault="00F1741A" w:rsidP="00F1741A">
      <w:pPr>
        <w:pStyle w:val="13"/>
      </w:pPr>
      <w:r>
        <w:rPr>
          <w:rFonts w:hint="eastAsia"/>
        </w:rPr>
        <w:t>涉及珠宝首饰的著作权等无形资产价值评估，需要按照相关准则要求执行。</w:t>
      </w:r>
    </w:p>
    <w:p w14:paraId="14EBDD24" w14:textId="2D49E752" w:rsidR="00F1741A" w:rsidRDefault="004E3EBB" w:rsidP="00F1741A">
      <w:pPr>
        <w:pStyle w:val="13"/>
        <w:ind w:firstLine="482"/>
      </w:pPr>
      <w:r w:rsidRPr="004E3EBB">
        <w:rPr>
          <w:rFonts w:hint="eastAsia"/>
          <w:b/>
          <w:bCs/>
        </w:rPr>
        <w:t xml:space="preserve">第四条 </w:t>
      </w:r>
      <w:r w:rsidR="00F1741A">
        <w:t>执行珠宝首饰评估业务，应当遵守本准则。</w:t>
      </w:r>
    </w:p>
    <w:p w14:paraId="378F7BDB" w14:textId="77777777" w:rsidR="00F1741A" w:rsidRDefault="00F1741A" w:rsidP="00AF7342">
      <w:pPr>
        <w:pStyle w:val="a9"/>
        <w:spacing w:before="62" w:after="62"/>
      </w:pPr>
      <w:r>
        <w:rPr>
          <w:rFonts w:hint="eastAsia"/>
        </w:rPr>
        <w:t>第二章</w:t>
      </w:r>
      <w:r>
        <w:t xml:space="preserve"> 基本遵循</w:t>
      </w:r>
    </w:p>
    <w:p w14:paraId="168F48DE" w14:textId="2B59A82E" w:rsidR="00F1741A" w:rsidRDefault="004E3EBB" w:rsidP="00F1741A">
      <w:pPr>
        <w:pStyle w:val="13"/>
        <w:ind w:firstLine="482"/>
      </w:pPr>
      <w:r w:rsidRPr="004E3EBB">
        <w:rPr>
          <w:rFonts w:hint="eastAsia"/>
          <w:b/>
          <w:bCs/>
        </w:rPr>
        <w:t xml:space="preserve">第五条 </w:t>
      </w:r>
      <w:r w:rsidR="00F1741A">
        <w:t>珠宝首饰资产评估报告应当由至少两名承办该项业务的资产评估师（珠宝）或者其他珠宝评估专业人员签名并加盖资产评估机构印章。</w:t>
      </w:r>
    </w:p>
    <w:p w14:paraId="397749A1" w14:textId="77777777" w:rsidR="00F1741A" w:rsidRDefault="00F1741A" w:rsidP="00F1741A">
      <w:pPr>
        <w:pStyle w:val="13"/>
      </w:pPr>
      <w:r>
        <w:rPr>
          <w:rFonts w:hint="eastAsia"/>
        </w:rPr>
        <w:t>法定评估业务的资产评估报告应当由至少两名承办该项业务的资产评估师（珠宝）</w:t>
      </w:r>
      <w:r>
        <w:t xml:space="preserve"> 签名并加盖资产评估机构印章。</w:t>
      </w:r>
    </w:p>
    <w:p w14:paraId="30506554" w14:textId="0C1C1036" w:rsidR="00F1741A" w:rsidRDefault="004E3EBB" w:rsidP="00F1741A">
      <w:pPr>
        <w:pStyle w:val="13"/>
        <w:ind w:firstLine="482"/>
      </w:pPr>
      <w:r w:rsidRPr="004E3EBB">
        <w:rPr>
          <w:rFonts w:hint="eastAsia"/>
          <w:b/>
          <w:bCs/>
        </w:rPr>
        <w:t xml:space="preserve">第六条 </w:t>
      </w:r>
      <w:r w:rsidR="00F1741A">
        <w:t>执行珠宝首饰评估业务，应当具备珠宝首饰评估的专业知识和实践经验</w:t>
      </w:r>
      <w:r w:rsidR="00CC4D74">
        <w:t>，</w:t>
      </w:r>
      <w:r w:rsidR="00F1741A">
        <w:t>能够胜任所执行的珠宝首饰评估业务。</w:t>
      </w:r>
    </w:p>
    <w:p w14:paraId="174C1811" w14:textId="77777777" w:rsidR="00F1741A" w:rsidRDefault="00F1741A" w:rsidP="00F1741A">
      <w:pPr>
        <w:pStyle w:val="13"/>
      </w:pPr>
      <w:r>
        <w:rPr>
          <w:rFonts w:hint="eastAsia"/>
        </w:rPr>
        <w:t>当缺乏执行某项特定业务所需的相关专业知识和经验时，应当采取弥补措施，包括利用专家工作及相关报告等。</w:t>
      </w:r>
    </w:p>
    <w:p w14:paraId="5D4401C4" w14:textId="45C7136D" w:rsidR="00F1741A" w:rsidRDefault="004E3EBB" w:rsidP="00F1741A">
      <w:pPr>
        <w:pStyle w:val="13"/>
        <w:ind w:firstLine="482"/>
      </w:pPr>
      <w:r w:rsidRPr="004E3EBB">
        <w:rPr>
          <w:rFonts w:hint="eastAsia"/>
          <w:b/>
          <w:bCs/>
        </w:rPr>
        <w:t xml:space="preserve">第七条 </w:t>
      </w:r>
      <w:r w:rsidR="00F1741A">
        <w:t>执行珠宝首饰评估业务，应当坚持独立、客观、公正的原则，勤勉尽责，保持应有的职业谨慎，独立进行分析和估算并形成专业意见。</w:t>
      </w:r>
    </w:p>
    <w:p w14:paraId="1504A1E2" w14:textId="77777777" w:rsidR="00F1741A" w:rsidRDefault="00F1741A" w:rsidP="00AF7342">
      <w:pPr>
        <w:pStyle w:val="a9"/>
        <w:spacing w:before="62" w:after="62"/>
      </w:pPr>
      <w:r>
        <w:rPr>
          <w:rFonts w:hint="eastAsia"/>
        </w:rPr>
        <w:t>第三章</w:t>
      </w:r>
      <w:r>
        <w:t xml:space="preserve"> 操作要求</w:t>
      </w:r>
    </w:p>
    <w:p w14:paraId="6DC3213B" w14:textId="7185EB6F" w:rsidR="00F1741A" w:rsidRDefault="004E3EBB" w:rsidP="00F1741A">
      <w:pPr>
        <w:pStyle w:val="13"/>
        <w:ind w:firstLine="482"/>
      </w:pPr>
      <w:r w:rsidRPr="004E3EBB">
        <w:rPr>
          <w:rFonts w:hint="eastAsia"/>
          <w:b/>
          <w:bCs/>
        </w:rPr>
        <w:t xml:space="preserve">第八条 </w:t>
      </w:r>
      <w:r w:rsidR="00F1741A">
        <w:t>执行珠宝首饰评估业务，应当明确评估对象、评估范围、评估目的、评估基准日、价值类型和资产评估报告使用人。</w:t>
      </w:r>
    </w:p>
    <w:p w14:paraId="71DED53C" w14:textId="73E3C1A2" w:rsidR="00F1741A" w:rsidRDefault="00E05BDA" w:rsidP="00F1741A">
      <w:pPr>
        <w:pStyle w:val="13"/>
        <w:ind w:firstLine="482"/>
      </w:pPr>
      <w:r w:rsidRPr="00E05BDA">
        <w:rPr>
          <w:rFonts w:hint="eastAsia"/>
          <w:b/>
          <w:bCs/>
        </w:rPr>
        <w:t xml:space="preserve">第九条 </w:t>
      </w:r>
      <w:r w:rsidR="00F1741A">
        <w:t>执行珠宝首饰评估业务，应当依据《资产评估执业准则—资产评估程序》</w:t>
      </w:r>
      <w:r w:rsidR="00CC4D74">
        <w:t>，</w:t>
      </w:r>
      <w:r w:rsidR="00F1741A">
        <w:t>履行资产评估基本程序，结合珠宝首饰评估业务的具体情况，制定并实施适当的具体评估步骤。</w:t>
      </w:r>
    </w:p>
    <w:p w14:paraId="0CA741EE" w14:textId="5AEB379F" w:rsidR="00F1741A" w:rsidRDefault="00E05BDA" w:rsidP="00F1741A">
      <w:pPr>
        <w:pStyle w:val="13"/>
        <w:ind w:firstLine="482"/>
      </w:pPr>
      <w:r w:rsidRPr="00E05BDA">
        <w:rPr>
          <w:rFonts w:hint="eastAsia"/>
          <w:b/>
          <w:bCs/>
        </w:rPr>
        <w:t xml:space="preserve">第十条 </w:t>
      </w:r>
      <w:r w:rsidR="00F1741A">
        <w:t>执行珠宝首饰评估业务，应当对珠宝首饰进行实物确认，明确珠宝首饰的存在状态。</w:t>
      </w:r>
    </w:p>
    <w:p w14:paraId="079906EE" w14:textId="17DBC3F0" w:rsidR="00F1741A" w:rsidRDefault="00E05BDA" w:rsidP="00F1741A">
      <w:pPr>
        <w:pStyle w:val="13"/>
        <w:ind w:firstLine="482"/>
      </w:pPr>
      <w:r w:rsidRPr="00E05BDA">
        <w:rPr>
          <w:rFonts w:hint="eastAsia"/>
          <w:b/>
          <w:bCs/>
        </w:rPr>
        <w:t xml:space="preserve">第十一条 </w:t>
      </w:r>
      <w:r w:rsidR="00F1741A">
        <w:t>执行珠宝首饰评估业务，应当关注评估对象的权属，要求委托人或者其他相关当事人对珠宝首饰的权属做出承诺，并应当对珠宝首饰的权属相关资料进行必要查验。</w:t>
      </w:r>
    </w:p>
    <w:p w14:paraId="14AB862C" w14:textId="5F073917" w:rsidR="00F1741A" w:rsidRDefault="00E05BDA" w:rsidP="00F1741A">
      <w:pPr>
        <w:pStyle w:val="13"/>
        <w:ind w:firstLine="482"/>
      </w:pPr>
      <w:r w:rsidRPr="00E05BDA">
        <w:rPr>
          <w:rFonts w:hint="eastAsia"/>
          <w:b/>
          <w:bCs/>
        </w:rPr>
        <w:t xml:space="preserve">第十二条 </w:t>
      </w:r>
      <w:r w:rsidR="00F1741A">
        <w:t>执行珠宝首饰评估业务，应当对珠宝首饰进行鉴定和品质分级。在对评估对象进行鉴定分级时，应当采用相应的国家标准及行业标准。如果没有相应的国家及行业分级标准，可以采用国内外珠宝业通用的分级体系，并在资产评估报告中明确说明。</w:t>
      </w:r>
    </w:p>
    <w:p w14:paraId="1346F1D2" w14:textId="05A82C3D" w:rsidR="00F1741A" w:rsidRDefault="00F1741A" w:rsidP="00F1741A">
      <w:pPr>
        <w:pStyle w:val="13"/>
      </w:pPr>
      <w:r>
        <w:rPr>
          <w:rFonts w:hint="eastAsia"/>
        </w:rPr>
        <w:t>执行珠宝首饰评估业务，可以采用具有资质的珠宝质检机构出具的鉴定分级结论，</w:t>
      </w:r>
      <w:r>
        <w:t>并按照资产评估准则要求执行。</w:t>
      </w:r>
    </w:p>
    <w:p w14:paraId="23B7C2BB" w14:textId="5DD39132" w:rsidR="00F1741A" w:rsidRDefault="00E05BDA" w:rsidP="00F1741A">
      <w:pPr>
        <w:pStyle w:val="13"/>
        <w:ind w:firstLine="482"/>
      </w:pPr>
      <w:r w:rsidRPr="00E05BDA">
        <w:rPr>
          <w:rFonts w:hint="eastAsia"/>
          <w:b/>
          <w:bCs/>
        </w:rPr>
        <w:t xml:space="preserve">第十三条 </w:t>
      </w:r>
      <w:r w:rsidR="00F1741A">
        <w:t>执行珠宝首饰评估业务，应当知晓同一珠宝首饰在不同市场的价值可</w:t>
      </w:r>
      <w:r w:rsidR="00F1741A">
        <w:lastRenderedPageBreak/>
        <w:t>能存在差异，并根据评估对象的具体情况确定适当的市场级别。</w:t>
      </w:r>
    </w:p>
    <w:p w14:paraId="5BB657AC" w14:textId="3956DE16" w:rsidR="00F1741A" w:rsidRDefault="00E05BDA" w:rsidP="00F1741A">
      <w:pPr>
        <w:pStyle w:val="13"/>
        <w:ind w:firstLine="482"/>
      </w:pPr>
      <w:r w:rsidRPr="00E05BDA">
        <w:rPr>
          <w:rFonts w:hint="eastAsia"/>
          <w:b/>
          <w:bCs/>
        </w:rPr>
        <w:t xml:space="preserve">第十四条 </w:t>
      </w:r>
      <w:r w:rsidR="00F1741A">
        <w:t>执行珠宝首饰评估业务，应当获得真实、可靠的珠宝首饰的市场信息及其他相关信息。</w:t>
      </w:r>
    </w:p>
    <w:p w14:paraId="507D94E2" w14:textId="37A16C9E" w:rsidR="00F1741A" w:rsidRDefault="00E05BDA" w:rsidP="00F1741A">
      <w:pPr>
        <w:pStyle w:val="13"/>
        <w:ind w:firstLine="482"/>
      </w:pPr>
      <w:r w:rsidRPr="00E05BDA">
        <w:rPr>
          <w:rFonts w:hint="eastAsia"/>
          <w:b/>
          <w:bCs/>
        </w:rPr>
        <w:t xml:space="preserve">第十五条 </w:t>
      </w:r>
      <w:r w:rsidR="00F1741A">
        <w:t>执行珠宝首饰评估业务，应当根据评估对象的具体情况，合理选择收集信息的内容。通常关注以下方面：</w:t>
      </w:r>
    </w:p>
    <w:p w14:paraId="7CC591D1" w14:textId="77777777" w:rsidR="00F1741A" w:rsidRDefault="00F1741A" w:rsidP="00F1741A">
      <w:pPr>
        <w:pStyle w:val="13"/>
      </w:pPr>
      <w:r>
        <w:rPr>
          <w:rFonts w:hint="eastAsia"/>
        </w:rPr>
        <w:t>（一）评估对象的历史、现状及相关证明资料；</w:t>
      </w:r>
    </w:p>
    <w:p w14:paraId="427803EC" w14:textId="77777777" w:rsidR="00F1741A" w:rsidRDefault="00F1741A" w:rsidP="00F1741A">
      <w:pPr>
        <w:pStyle w:val="13"/>
      </w:pPr>
      <w:r>
        <w:rPr>
          <w:rFonts w:hint="eastAsia"/>
        </w:rPr>
        <w:t>（二）评估对象以往的评估及交易情况；</w:t>
      </w:r>
    </w:p>
    <w:p w14:paraId="113B5E76" w14:textId="77777777" w:rsidR="00F1741A" w:rsidRDefault="00F1741A" w:rsidP="00F1741A">
      <w:pPr>
        <w:pStyle w:val="13"/>
      </w:pPr>
      <w:r>
        <w:rPr>
          <w:rFonts w:hint="eastAsia"/>
        </w:rPr>
        <w:t>（三）相同或者类似珠宝首饰的市场价格信息及交易情况；</w:t>
      </w:r>
    </w:p>
    <w:p w14:paraId="2DA393A9" w14:textId="77777777" w:rsidR="00F1741A" w:rsidRDefault="00F1741A" w:rsidP="00F1741A">
      <w:pPr>
        <w:pStyle w:val="13"/>
      </w:pPr>
      <w:r>
        <w:rPr>
          <w:rFonts w:hint="eastAsia"/>
        </w:rPr>
        <w:t>（四）评估对象的市场供求关系、稀缺程度及市场前景等；</w:t>
      </w:r>
    </w:p>
    <w:p w14:paraId="7764761C" w14:textId="77777777" w:rsidR="00F1741A" w:rsidRDefault="00F1741A" w:rsidP="00F1741A">
      <w:pPr>
        <w:pStyle w:val="13"/>
      </w:pPr>
      <w:r>
        <w:rPr>
          <w:rFonts w:hint="eastAsia"/>
        </w:rPr>
        <w:t>（五）可能影响珠宝首饰价值的宏观经济状况；</w:t>
      </w:r>
    </w:p>
    <w:p w14:paraId="64140775" w14:textId="77777777" w:rsidR="00F1741A" w:rsidRDefault="00F1741A" w:rsidP="00F1741A">
      <w:pPr>
        <w:pStyle w:val="13"/>
      </w:pPr>
      <w:r>
        <w:rPr>
          <w:rFonts w:hint="eastAsia"/>
        </w:rPr>
        <w:t>（六）其他相关信息资料。</w:t>
      </w:r>
    </w:p>
    <w:p w14:paraId="6F6EF3EF" w14:textId="3F519F96" w:rsidR="00F1741A" w:rsidRDefault="00E05BDA" w:rsidP="00F1741A">
      <w:pPr>
        <w:pStyle w:val="13"/>
        <w:ind w:firstLine="482"/>
      </w:pPr>
      <w:r w:rsidRPr="00E05BDA">
        <w:rPr>
          <w:rFonts w:hint="eastAsia"/>
          <w:b/>
          <w:bCs/>
        </w:rPr>
        <w:t xml:space="preserve">第十六条 </w:t>
      </w:r>
      <w:r w:rsidR="00F1741A">
        <w:t>执行珠宝首饰评估业务，应当考虑珠宝首饰的品质因素及其他因素对评估对象价值的影响，如来源（出处）、历史、名人拥有、名师设计制作、品牌、稀缺程度等。</w:t>
      </w:r>
    </w:p>
    <w:p w14:paraId="0E910F43" w14:textId="35AE1C08" w:rsidR="00F1741A" w:rsidRDefault="00E05BDA" w:rsidP="00F1741A">
      <w:pPr>
        <w:pStyle w:val="13"/>
        <w:ind w:firstLine="482"/>
      </w:pPr>
      <w:r w:rsidRPr="00E05BDA">
        <w:rPr>
          <w:rFonts w:hint="eastAsia"/>
          <w:b/>
          <w:bCs/>
        </w:rPr>
        <w:t xml:space="preserve">第十七条 </w:t>
      </w:r>
      <w:r w:rsidR="00F1741A">
        <w:t>执行珠宝首饰评估业务，可以根据评估目的和珠宝首饰具体情况合理确定评估假设，并在资产评估报告中予以披露。</w:t>
      </w:r>
    </w:p>
    <w:p w14:paraId="6E03457E" w14:textId="77777777" w:rsidR="00F1741A" w:rsidRDefault="00F1741A" w:rsidP="00AF7342">
      <w:pPr>
        <w:pStyle w:val="a9"/>
        <w:spacing w:before="62" w:after="62"/>
      </w:pPr>
      <w:r>
        <w:rPr>
          <w:rFonts w:hint="eastAsia"/>
        </w:rPr>
        <w:t>第四章</w:t>
      </w:r>
      <w:r>
        <w:t xml:space="preserve"> 评估方法</w:t>
      </w:r>
    </w:p>
    <w:p w14:paraId="0E8DEFE8" w14:textId="68776BDE" w:rsidR="00F1741A" w:rsidRDefault="00E05BDA" w:rsidP="00F1741A">
      <w:pPr>
        <w:pStyle w:val="13"/>
        <w:ind w:firstLine="482"/>
      </w:pPr>
      <w:r w:rsidRPr="00E05BDA">
        <w:rPr>
          <w:rFonts w:hint="eastAsia"/>
          <w:b/>
          <w:bCs/>
        </w:rPr>
        <w:t xml:space="preserve">第十八条 </w:t>
      </w:r>
      <w:r w:rsidR="00F1741A">
        <w:t>执行珠宝首饰评估业务，应当根据评估目的、评估对象、价值类型、资料收集等情况，分析市场法、成本法和收益法三种资产评估基本方法的适用性，选择评估方法。</w:t>
      </w:r>
    </w:p>
    <w:p w14:paraId="763957F1" w14:textId="6D454B0C" w:rsidR="00F1741A" w:rsidRDefault="00E05BDA" w:rsidP="00F1741A">
      <w:pPr>
        <w:pStyle w:val="13"/>
        <w:ind w:firstLine="482"/>
      </w:pPr>
      <w:r w:rsidRPr="00E05BDA">
        <w:rPr>
          <w:rFonts w:hint="eastAsia"/>
          <w:b/>
          <w:bCs/>
        </w:rPr>
        <w:t xml:space="preserve">第十九条 </w:t>
      </w:r>
      <w:r w:rsidR="00F1741A">
        <w:t>执行珠宝首饰评估业务采用市场法时，应当：</w:t>
      </w:r>
    </w:p>
    <w:p w14:paraId="10EFAF64" w14:textId="77777777" w:rsidR="00F1741A" w:rsidRDefault="00F1741A" w:rsidP="00F1741A">
      <w:pPr>
        <w:pStyle w:val="13"/>
      </w:pPr>
      <w:r>
        <w:rPr>
          <w:rFonts w:hint="eastAsia"/>
        </w:rPr>
        <w:t>（一）明确是否存在公开、活跃的交易市场，是否能够获取足够数量的可比参照物或者案例，并关注数据的可靠性；</w:t>
      </w:r>
    </w:p>
    <w:p w14:paraId="5628461A" w14:textId="77777777" w:rsidR="00F1741A" w:rsidRDefault="00F1741A" w:rsidP="00F1741A">
      <w:pPr>
        <w:pStyle w:val="13"/>
      </w:pPr>
      <w:r>
        <w:rPr>
          <w:rFonts w:hint="eastAsia"/>
        </w:rPr>
        <w:t>（二）收集评估对象以往的交易信息、相同或者类似珠宝首饰交易的市场信息；</w:t>
      </w:r>
    </w:p>
    <w:p w14:paraId="068F49CF" w14:textId="1FB5DEBA" w:rsidR="00F1741A" w:rsidRDefault="00F1741A" w:rsidP="00F1741A">
      <w:pPr>
        <w:pStyle w:val="13"/>
      </w:pPr>
      <w:r>
        <w:rPr>
          <w:rFonts w:hint="eastAsia"/>
        </w:rPr>
        <w:t>（三）确定若干相同或者类似的珠宝首饰作为参照物，充分考虑其价值因素的可比性；</w:t>
      </w:r>
    </w:p>
    <w:p w14:paraId="420F428C" w14:textId="77777777" w:rsidR="00F1741A" w:rsidRDefault="00F1741A" w:rsidP="00F1741A">
      <w:pPr>
        <w:pStyle w:val="13"/>
      </w:pPr>
      <w:r>
        <w:rPr>
          <w:rFonts w:hint="eastAsia"/>
        </w:rPr>
        <w:t>（四）根据评估对象的具体情况，确定可以作为评估依据的合适的交易市场；</w:t>
      </w:r>
    </w:p>
    <w:p w14:paraId="5E78BF1D" w14:textId="77777777" w:rsidR="00F1741A" w:rsidRDefault="00F1741A" w:rsidP="00F1741A">
      <w:pPr>
        <w:pStyle w:val="13"/>
      </w:pPr>
      <w:r>
        <w:rPr>
          <w:rFonts w:hint="eastAsia"/>
        </w:rPr>
        <w:t>（五）根据评估对象与参照物之间的区别，以及市场级别、市场交易条件等因素的差异，对相同或者类似珠宝首饰交易信息及相关资料进行分析调整。</w:t>
      </w:r>
    </w:p>
    <w:p w14:paraId="59489599" w14:textId="5C80B562" w:rsidR="00F1741A" w:rsidRDefault="00E05BDA" w:rsidP="00F1741A">
      <w:pPr>
        <w:pStyle w:val="13"/>
        <w:ind w:firstLine="482"/>
      </w:pPr>
      <w:r w:rsidRPr="00E05BDA">
        <w:rPr>
          <w:rFonts w:hint="eastAsia"/>
          <w:b/>
          <w:bCs/>
        </w:rPr>
        <w:t xml:space="preserve">第二十条 </w:t>
      </w:r>
      <w:r w:rsidR="00F1741A">
        <w:t>执行珠宝首饰评估业务采用成本法时，应当：</w:t>
      </w:r>
    </w:p>
    <w:p w14:paraId="509FF528" w14:textId="77777777" w:rsidR="00F1741A" w:rsidRDefault="00F1741A" w:rsidP="00F1741A">
      <w:pPr>
        <w:pStyle w:val="13"/>
      </w:pPr>
      <w:r>
        <w:rPr>
          <w:rFonts w:hint="eastAsia"/>
        </w:rPr>
        <w:t>（一）分析评估对象是否可以复制、可以再生产等因素，考虑成本法的适用性；</w:t>
      </w:r>
    </w:p>
    <w:p w14:paraId="13B387C0" w14:textId="77777777" w:rsidR="00F1741A" w:rsidRDefault="00F1741A" w:rsidP="00F1741A">
      <w:pPr>
        <w:pStyle w:val="13"/>
      </w:pPr>
      <w:r>
        <w:rPr>
          <w:rFonts w:hint="eastAsia"/>
        </w:rPr>
        <w:t>（二）合理确定重置成本的构成要素，明确珠宝首饰的重置成本包括材料成本、制作成本、相关税费、合理利润及其他费用；</w:t>
      </w:r>
    </w:p>
    <w:p w14:paraId="696B9ED3" w14:textId="77777777" w:rsidR="00F1741A" w:rsidRDefault="00F1741A" w:rsidP="00F1741A">
      <w:pPr>
        <w:pStyle w:val="13"/>
      </w:pPr>
      <w:r>
        <w:rPr>
          <w:rFonts w:hint="eastAsia"/>
        </w:rPr>
        <w:t>（三）恰当选择重置成本的类型，即复原重置成本和更新重置成本；</w:t>
      </w:r>
    </w:p>
    <w:p w14:paraId="0D1E2879" w14:textId="77777777" w:rsidR="00D25125" w:rsidRDefault="00F1741A" w:rsidP="00F1741A">
      <w:pPr>
        <w:pStyle w:val="13"/>
      </w:pPr>
      <w:r>
        <w:rPr>
          <w:rFonts w:hint="eastAsia"/>
        </w:rPr>
        <w:lastRenderedPageBreak/>
        <w:t>（四）合理确定实体性贬值、经济性贬值和功能性贬值。</w:t>
      </w:r>
    </w:p>
    <w:p w14:paraId="60B8E8D4" w14:textId="2797FEFE" w:rsidR="00F1741A" w:rsidRDefault="00E05BDA" w:rsidP="00F1741A">
      <w:pPr>
        <w:pStyle w:val="13"/>
        <w:ind w:firstLine="482"/>
      </w:pPr>
      <w:r w:rsidRPr="00E05BDA">
        <w:rPr>
          <w:rFonts w:hint="eastAsia"/>
          <w:b/>
        </w:rPr>
        <w:t xml:space="preserve">第二十一条 </w:t>
      </w:r>
      <w:r w:rsidR="00F1741A">
        <w:t>执行珠宝首饰评估业务采用收益法时，应当：</w:t>
      </w:r>
    </w:p>
    <w:p w14:paraId="30C90799" w14:textId="77777777" w:rsidR="00F1741A" w:rsidRDefault="00F1741A" w:rsidP="00F1741A">
      <w:pPr>
        <w:pStyle w:val="13"/>
      </w:pPr>
      <w:r>
        <w:rPr>
          <w:rFonts w:hint="eastAsia"/>
        </w:rPr>
        <w:t>（一）明确珠宝首饰较少采用收益法进行评估。收益法通常只适用于租赁、展览等</w:t>
      </w:r>
      <w:r>
        <w:t xml:space="preserve"> 持续经营活动中，具有独立获利能力或者获利能力可以量化的珠宝首饰的资产评估业务。</w:t>
      </w:r>
    </w:p>
    <w:p w14:paraId="2B3558B7" w14:textId="77777777" w:rsidR="00F1741A" w:rsidRDefault="00F1741A" w:rsidP="00F1741A">
      <w:pPr>
        <w:pStyle w:val="13"/>
      </w:pPr>
      <w:r>
        <w:rPr>
          <w:rFonts w:hint="eastAsia"/>
        </w:rPr>
        <w:t>（二）合理确定收益期限，合理预测未来收益。</w:t>
      </w:r>
    </w:p>
    <w:p w14:paraId="3899400B" w14:textId="77777777" w:rsidR="00F1741A" w:rsidRDefault="00F1741A" w:rsidP="00F1741A">
      <w:pPr>
        <w:pStyle w:val="13"/>
      </w:pPr>
      <w:r>
        <w:rPr>
          <w:rFonts w:hint="eastAsia"/>
        </w:rPr>
        <w:t>（三）合理确定折现率。</w:t>
      </w:r>
    </w:p>
    <w:p w14:paraId="6A3ABE7C" w14:textId="77777777" w:rsidR="00F1741A" w:rsidRDefault="00F1741A" w:rsidP="00F1741A">
      <w:pPr>
        <w:pStyle w:val="13"/>
      </w:pPr>
      <w:r>
        <w:rPr>
          <w:rFonts w:hint="eastAsia"/>
        </w:rPr>
        <w:t>（四）分析租约等法律文件内容对评估对象价值可能具有的影响。</w:t>
      </w:r>
    </w:p>
    <w:p w14:paraId="6AAA88BD" w14:textId="395D4795" w:rsidR="00F1741A" w:rsidRDefault="00E05BDA" w:rsidP="00F1741A">
      <w:pPr>
        <w:pStyle w:val="13"/>
        <w:ind w:firstLine="482"/>
      </w:pPr>
      <w:r w:rsidRPr="00E05BDA">
        <w:rPr>
          <w:rFonts w:hint="eastAsia"/>
          <w:b/>
          <w:bCs/>
        </w:rPr>
        <w:t xml:space="preserve">第二十二条 </w:t>
      </w:r>
      <w:r w:rsidR="00F1741A">
        <w:t>对同一珠宝首饰采用多种评估方法时，应当对所获得的各种测算结果进行分析，合理形成评估结论。</w:t>
      </w:r>
    </w:p>
    <w:p w14:paraId="2B4CB7DE" w14:textId="77777777" w:rsidR="00F1741A" w:rsidRDefault="00F1741A" w:rsidP="00AF7342">
      <w:pPr>
        <w:pStyle w:val="a9"/>
        <w:spacing w:before="62" w:after="62"/>
      </w:pPr>
      <w:r>
        <w:rPr>
          <w:rFonts w:hint="eastAsia"/>
        </w:rPr>
        <w:t>第五章</w:t>
      </w:r>
      <w:r>
        <w:t xml:space="preserve"> 披露要求</w:t>
      </w:r>
    </w:p>
    <w:p w14:paraId="39368721" w14:textId="0E918FDB" w:rsidR="00F1741A" w:rsidRDefault="00E05BDA" w:rsidP="00F1741A">
      <w:pPr>
        <w:pStyle w:val="13"/>
        <w:ind w:firstLine="482"/>
      </w:pPr>
      <w:r w:rsidRPr="00E05BDA">
        <w:rPr>
          <w:rFonts w:hint="eastAsia"/>
          <w:b/>
          <w:bCs/>
        </w:rPr>
        <w:t xml:space="preserve">第二十三条 </w:t>
      </w:r>
      <w:r w:rsidR="00F1741A">
        <w:t>无论单独出具珠宝首饰资产评估报告，还是将珠宝首饰评估作为资产评估报告的组成部分，都应当在资产评估报告中披露必要信息，使资产评估报告使用人能够正确理解评估结论。</w:t>
      </w:r>
    </w:p>
    <w:p w14:paraId="7BEAE1C3" w14:textId="1C535C22" w:rsidR="00F1741A" w:rsidRDefault="00E05BDA" w:rsidP="00F1741A">
      <w:pPr>
        <w:pStyle w:val="13"/>
        <w:ind w:firstLine="482"/>
      </w:pPr>
      <w:r w:rsidRPr="00E05BDA">
        <w:rPr>
          <w:rFonts w:hint="eastAsia"/>
          <w:b/>
          <w:bCs/>
        </w:rPr>
        <w:t xml:space="preserve">第二十四条 </w:t>
      </w:r>
      <w:r w:rsidR="00F1741A">
        <w:t>编制珠宝首饰资产评估报告应当反映珠宝首饰评估的特点。通常包括以下内容：</w:t>
      </w:r>
    </w:p>
    <w:p w14:paraId="7CE401CD" w14:textId="77777777" w:rsidR="00F1741A" w:rsidRDefault="00F1741A" w:rsidP="00F1741A">
      <w:pPr>
        <w:pStyle w:val="13"/>
      </w:pPr>
      <w:r>
        <w:rPr>
          <w:rFonts w:hint="eastAsia"/>
        </w:rPr>
        <w:t>（一）对评估对象的恰当描述，包括珠宝首饰的客观辨别特征和价值贡献特征。应当根据评估对象的特点和评估业务的具体情况，确定需要描述的内容，并突出描述影响价值结论的关键性特征。</w:t>
      </w:r>
    </w:p>
    <w:p w14:paraId="5226215D" w14:textId="77777777" w:rsidR="00F1741A" w:rsidRDefault="00F1741A" w:rsidP="00F1741A">
      <w:pPr>
        <w:pStyle w:val="13"/>
      </w:pPr>
      <w:r>
        <w:rPr>
          <w:rFonts w:hint="eastAsia"/>
        </w:rPr>
        <w:t>（二）珠宝首饰评估的价值类型及其定义。</w:t>
      </w:r>
    </w:p>
    <w:p w14:paraId="1BDACB6C" w14:textId="77777777" w:rsidR="00F1741A" w:rsidRDefault="00F1741A" w:rsidP="00F1741A">
      <w:pPr>
        <w:pStyle w:val="13"/>
      </w:pPr>
      <w:r>
        <w:rPr>
          <w:rFonts w:hint="eastAsia"/>
        </w:rPr>
        <w:t>（三）评估程序实施过程描述，应当反映对珠宝首饰的实物调查、市场调查、鉴定分级、评定估算等过程。</w:t>
      </w:r>
    </w:p>
    <w:p w14:paraId="33BAB185" w14:textId="77777777" w:rsidR="00F1741A" w:rsidRDefault="00F1741A" w:rsidP="00F1741A">
      <w:pPr>
        <w:pStyle w:val="13"/>
      </w:pPr>
      <w:r>
        <w:rPr>
          <w:rFonts w:hint="eastAsia"/>
        </w:rPr>
        <w:t>（四）珠宝首饰质押及其他限制情况。</w:t>
      </w:r>
    </w:p>
    <w:p w14:paraId="1C391981" w14:textId="5FC02F7A" w:rsidR="00F1741A" w:rsidRDefault="00E05BDA" w:rsidP="00F1741A">
      <w:pPr>
        <w:pStyle w:val="13"/>
        <w:ind w:firstLine="482"/>
      </w:pPr>
      <w:r w:rsidRPr="00E05BDA">
        <w:rPr>
          <w:rFonts w:hint="eastAsia"/>
          <w:b/>
          <w:bCs/>
        </w:rPr>
        <w:t xml:space="preserve">第二十五条 </w:t>
      </w:r>
      <w:r w:rsidR="00F1741A">
        <w:t>编制珠宝首饰资产评估报告时，可以根据评估业务的性质合理确定资产评估报告的详略程度。</w:t>
      </w:r>
    </w:p>
    <w:p w14:paraId="559429B4" w14:textId="77777777" w:rsidR="00F1741A" w:rsidRDefault="00F1741A" w:rsidP="00AF7342">
      <w:pPr>
        <w:pStyle w:val="a9"/>
        <w:spacing w:before="62" w:after="62"/>
      </w:pPr>
      <w:r>
        <w:rPr>
          <w:rFonts w:hint="eastAsia"/>
        </w:rPr>
        <w:t>第六章</w:t>
      </w:r>
      <w:r>
        <w:t xml:space="preserve"> 附则</w:t>
      </w:r>
    </w:p>
    <w:p w14:paraId="45B36F3A" w14:textId="13819209" w:rsidR="00F1741A" w:rsidRDefault="00E05BDA" w:rsidP="00F1741A">
      <w:pPr>
        <w:pStyle w:val="13"/>
        <w:ind w:firstLine="482"/>
      </w:pPr>
      <w:r w:rsidRPr="00E05BDA">
        <w:rPr>
          <w:rFonts w:hint="eastAsia"/>
          <w:b/>
          <w:bCs/>
        </w:rPr>
        <w:t xml:space="preserve">第二十六条 </w:t>
      </w:r>
      <w:r w:rsidR="00F1741A">
        <w:t>本准则自 2017</w:t>
      </w:r>
      <w:r w:rsidR="003068F8">
        <w:t>年</w:t>
      </w:r>
      <w:r w:rsidR="00F1741A">
        <w:t>10</w:t>
      </w:r>
      <w:r w:rsidR="003068F8">
        <w:t>月</w:t>
      </w:r>
      <w:r w:rsidR="00F1741A">
        <w:t>1</w:t>
      </w:r>
      <w:r w:rsidR="003068F8">
        <w:t>日</w:t>
      </w:r>
      <w:r w:rsidR="00F1741A">
        <w:t>起施行。中国资产评估协会于 2009</w:t>
      </w:r>
      <w:r w:rsidR="003068F8">
        <w:t>年</w:t>
      </w:r>
      <w:r w:rsidR="00F1741A">
        <w:t>12</w:t>
      </w:r>
      <w:r w:rsidR="003068F8">
        <w:rPr>
          <w:rFonts w:hint="eastAsia"/>
        </w:rPr>
        <w:t>月</w:t>
      </w:r>
      <w:r w:rsidR="00F1741A">
        <w:t>18</w:t>
      </w:r>
      <w:r w:rsidR="003068F8">
        <w:t>日</w:t>
      </w:r>
      <w:r w:rsidR="00F1741A">
        <w:t>发布的《关于印发〈投资性房地产评估指导意见（试行）〉和〈资产评估准则—</w:t>
      </w:r>
      <w:r w:rsidR="00F1741A">
        <w:rPr>
          <w:rFonts w:hint="eastAsia"/>
        </w:rPr>
        <w:t>珠宝首饰〉的通知》（</w:t>
      </w:r>
      <w:proofErr w:type="gramStart"/>
      <w:r w:rsidR="00F1741A">
        <w:rPr>
          <w:rFonts w:hint="eastAsia"/>
        </w:rPr>
        <w:t>中评协</w:t>
      </w:r>
      <w:proofErr w:type="gramEnd"/>
      <w:r w:rsidR="00F1741A">
        <w:rPr>
          <w:rFonts w:hint="eastAsia"/>
        </w:rPr>
        <w:t>〔</w:t>
      </w:r>
      <w:r w:rsidR="00F1741A">
        <w:t>2009〕211号）中的《资产评估准则—珠宝首饰》同时废止。</w:t>
      </w:r>
    </w:p>
    <w:p w14:paraId="2911BCC8" w14:textId="77777777" w:rsidR="00F1741A" w:rsidRDefault="00F1741A" w:rsidP="00F1741A">
      <w:pPr>
        <w:pStyle w:val="31"/>
        <w:spacing w:before="156" w:after="62"/>
      </w:pPr>
      <w:bookmarkStart w:id="29" w:name="_Toc81833309"/>
      <w:r>
        <w:rPr>
          <w:rFonts w:hint="eastAsia"/>
        </w:rPr>
        <w:t>资产评估执业准则—森林资源资产（</w:t>
      </w:r>
      <w:proofErr w:type="gramStart"/>
      <w:r>
        <w:rPr>
          <w:rFonts w:hint="eastAsia"/>
        </w:rPr>
        <w:t>中评协</w:t>
      </w:r>
      <w:proofErr w:type="gramEnd"/>
      <w:r>
        <w:rPr>
          <w:rFonts w:hint="eastAsia"/>
        </w:rPr>
        <w:t>〔</w:t>
      </w:r>
      <w:r>
        <w:t>2017〕41号）</w:t>
      </w:r>
      <w:bookmarkEnd w:id="29"/>
    </w:p>
    <w:p w14:paraId="28841A9A" w14:textId="77777777" w:rsidR="00F1741A" w:rsidRDefault="00F1741A" w:rsidP="00F1741A">
      <w:pPr>
        <w:pStyle w:val="13"/>
        <w:ind w:firstLineChars="0" w:firstLine="0"/>
      </w:pPr>
      <w:r>
        <w:rPr>
          <w:rFonts w:hint="eastAsia"/>
        </w:rPr>
        <w:t>各省、自治区、直辖市、计划单列市资产评估协会（注册会计师协会）：</w:t>
      </w:r>
    </w:p>
    <w:p w14:paraId="6EFD4688" w14:textId="6DC22159" w:rsidR="00F1741A" w:rsidRDefault="00F1741A" w:rsidP="00F1741A">
      <w:pPr>
        <w:pStyle w:val="13"/>
      </w:pPr>
      <w:r>
        <w:rPr>
          <w:rFonts w:hint="eastAsia"/>
        </w:rPr>
        <w:t>为贯彻落实《资产评估法》，规范资产评估执业行为，保证资产评估执业质量，</w:t>
      </w:r>
      <w:r>
        <w:rPr>
          <w:rFonts w:hint="eastAsia"/>
        </w:rPr>
        <w:lastRenderedPageBreak/>
        <w:t>保护资产评估当事人合法权益和公共利益，在财政部指导下，中国资产评估协会根据《资产评估基本准则》，对《资产评估准则—森林资源资产》进行了修订，制定了《资产评估执业准则—森林资源资产》，现予发布，自</w:t>
      </w:r>
      <w:r>
        <w:t xml:space="preserve"> 2017</w:t>
      </w:r>
      <w:r w:rsidR="003068F8">
        <w:t>年</w:t>
      </w:r>
      <w:r>
        <w:t>10</w:t>
      </w:r>
      <w:r w:rsidR="003068F8">
        <w:t>月</w:t>
      </w:r>
      <w:r>
        <w:t>1</w:t>
      </w:r>
      <w:r w:rsidR="003068F8">
        <w:t>日</w:t>
      </w:r>
      <w:r>
        <w:t>起施行。</w:t>
      </w:r>
    </w:p>
    <w:p w14:paraId="7B2D6E10" w14:textId="63B9AA79" w:rsidR="00F1741A" w:rsidRDefault="00F1741A" w:rsidP="00F1741A">
      <w:pPr>
        <w:pStyle w:val="13"/>
      </w:pPr>
      <w:r>
        <w:rPr>
          <w:rFonts w:hint="eastAsia"/>
        </w:rPr>
        <w:t>请各地</w:t>
      </w:r>
      <w:proofErr w:type="gramStart"/>
      <w:r>
        <w:rPr>
          <w:rFonts w:hint="eastAsia"/>
        </w:rPr>
        <w:t>方协会</w:t>
      </w:r>
      <w:proofErr w:type="gramEnd"/>
      <w:r>
        <w:rPr>
          <w:rFonts w:hint="eastAsia"/>
        </w:rPr>
        <w:t>将《资产评估执业准则—森林资源资产》及时转发资产评估机构</w:t>
      </w:r>
      <w:r w:rsidR="00CC4D74">
        <w:rPr>
          <w:rFonts w:hint="eastAsia"/>
        </w:rPr>
        <w:t>，</w:t>
      </w:r>
      <w:r>
        <w:t>组织资产评估机构和资产评估专业人员进行学习和培训，并将执行过程中发现的问题及</w:t>
      </w:r>
      <w:r>
        <w:rPr>
          <w:rFonts w:hint="eastAsia"/>
        </w:rPr>
        <w:t>时上报中国资产评估协会。</w:t>
      </w:r>
    </w:p>
    <w:p w14:paraId="142D2854" w14:textId="33A29038" w:rsidR="00F1741A" w:rsidRDefault="00F1741A" w:rsidP="00F1741A">
      <w:pPr>
        <w:pStyle w:val="13"/>
      </w:pPr>
      <w:r>
        <w:rPr>
          <w:rFonts w:hint="eastAsia"/>
        </w:rPr>
        <w:t>附件：《资产评估执业准则—森林资源资产》</w:t>
      </w:r>
    </w:p>
    <w:p w14:paraId="2370C9E7" w14:textId="77777777" w:rsidR="00F1741A" w:rsidRDefault="00F1741A" w:rsidP="00F1741A">
      <w:pPr>
        <w:pStyle w:val="13"/>
        <w:jc w:val="right"/>
      </w:pPr>
      <w:r>
        <w:rPr>
          <w:rFonts w:hint="eastAsia"/>
        </w:rPr>
        <w:t>中国资产评估协会</w:t>
      </w:r>
    </w:p>
    <w:p w14:paraId="38FE5CEA" w14:textId="78F51AE5" w:rsidR="00F1741A" w:rsidRDefault="00F1741A" w:rsidP="00F1741A">
      <w:pPr>
        <w:pStyle w:val="13"/>
        <w:jc w:val="right"/>
      </w:pPr>
      <w:r>
        <w:t>2017</w:t>
      </w:r>
      <w:r w:rsidR="003068F8">
        <w:t>年</w:t>
      </w:r>
      <w:r>
        <w:t>9</w:t>
      </w:r>
      <w:r w:rsidR="003068F8">
        <w:t>月</w:t>
      </w:r>
      <w:r>
        <w:t>8</w:t>
      </w:r>
      <w:r w:rsidR="003068F8">
        <w:t>日</w:t>
      </w:r>
    </w:p>
    <w:p w14:paraId="3484AB42" w14:textId="77777777" w:rsidR="00F1741A" w:rsidRDefault="00F1741A" w:rsidP="00AF7342">
      <w:pPr>
        <w:pStyle w:val="a9"/>
        <w:spacing w:before="62" w:after="62"/>
      </w:pPr>
      <w:r>
        <w:rPr>
          <w:rFonts w:hint="eastAsia"/>
        </w:rPr>
        <w:t>资产评估执业准则—森林资源资产</w:t>
      </w:r>
    </w:p>
    <w:p w14:paraId="60AAD95E" w14:textId="77777777" w:rsidR="00F1741A" w:rsidRDefault="00F1741A" w:rsidP="00AF7342">
      <w:pPr>
        <w:pStyle w:val="a9"/>
        <w:spacing w:before="62" w:after="62"/>
      </w:pPr>
      <w:r>
        <w:rPr>
          <w:rFonts w:hint="eastAsia"/>
        </w:rPr>
        <w:t>第一章</w:t>
      </w:r>
      <w:r>
        <w:t xml:space="preserve"> 总则</w:t>
      </w:r>
    </w:p>
    <w:p w14:paraId="1561D58D" w14:textId="3BC1199A" w:rsidR="00F1741A" w:rsidRDefault="004E3EBB" w:rsidP="00F1741A">
      <w:pPr>
        <w:pStyle w:val="13"/>
        <w:ind w:firstLine="482"/>
      </w:pPr>
      <w:r w:rsidRPr="004E3EBB">
        <w:rPr>
          <w:rFonts w:hint="eastAsia"/>
          <w:b/>
          <w:bCs/>
        </w:rPr>
        <w:t xml:space="preserve">第一条 </w:t>
      </w:r>
      <w:r w:rsidR="00F1741A">
        <w:t>为规范森林资源资产评估行为，保护资产评估当事人合法权益和公共利益</w:t>
      </w:r>
      <w:r w:rsidR="00CC4D74">
        <w:t>，</w:t>
      </w:r>
      <w:r w:rsidR="00F1741A">
        <w:t>根据《资产评估基本准则》制定本准则。</w:t>
      </w:r>
    </w:p>
    <w:p w14:paraId="654A3300" w14:textId="3D55ABC8" w:rsidR="00F1741A" w:rsidRDefault="004E3EBB" w:rsidP="00F1741A">
      <w:pPr>
        <w:pStyle w:val="13"/>
        <w:ind w:firstLine="482"/>
      </w:pPr>
      <w:r w:rsidRPr="004E3EBB">
        <w:rPr>
          <w:rFonts w:hint="eastAsia"/>
          <w:b/>
          <w:bCs/>
        </w:rPr>
        <w:t xml:space="preserve">第二条 </w:t>
      </w:r>
      <w:r w:rsidR="00F1741A">
        <w:t>本准则所称森林资源资产，是指由特定主体拥有或者控制并能带来经济利益的，用于生产、提供商品和生态服务的森林资源，包括森林、林木、林地、森林景观、森林生态等。</w:t>
      </w:r>
    </w:p>
    <w:p w14:paraId="6A936A5A" w14:textId="016F0620" w:rsidR="00F1741A" w:rsidRDefault="004E3EBB" w:rsidP="00F1741A">
      <w:pPr>
        <w:pStyle w:val="13"/>
        <w:ind w:firstLine="482"/>
      </w:pPr>
      <w:r w:rsidRPr="004E3EBB">
        <w:rPr>
          <w:rFonts w:hint="eastAsia"/>
          <w:b/>
          <w:bCs/>
        </w:rPr>
        <w:t xml:space="preserve">第三条 </w:t>
      </w:r>
      <w:r w:rsidR="00F1741A">
        <w:t>本准则所称森林资源资产评估，是指资产评估机构及其资产评估专业人员遵守法律、行政法规和资产评估准则，根据委托对评估基准日特定目的下的森林资源资产价值进行评定和估算，并出具资产评估报告的专业服务行为。</w:t>
      </w:r>
    </w:p>
    <w:p w14:paraId="66C7B729" w14:textId="6BF4DC4B" w:rsidR="00F1741A" w:rsidRDefault="004E3EBB" w:rsidP="00F1741A">
      <w:pPr>
        <w:pStyle w:val="13"/>
        <w:ind w:firstLine="482"/>
      </w:pPr>
      <w:r w:rsidRPr="004E3EBB">
        <w:rPr>
          <w:rFonts w:hint="eastAsia"/>
          <w:b/>
          <w:bCs/>
        </w:rPr>
        <w:t xml:space="preserve">第四条 </w:t>
      </w:r>
      <w:r w:rsidR="00F1741A">
        <w:t>执行森林资源资产评估业务，应当遵守本准则。</w:t>
      </w:r>
    </w:p>
    <w:p w14:paraId="16CA910A" w14:textId="77777777" w:rsidR="00F1741A" w:rsidRDefault="00F1741A" w:rsidP="00AF7342">
      <w:pPr>
        <w:pStyle w:val="a9"/>
        <w:spacing w:before="62" w:after="62"/>
      </w:pPr>
      <w:r>
        <w:rPr>
          <w:rFonts w:hint="eastAsia"/>
        </w:rPr>
        <w:t>第二章</w:t>
      </w:r>
      <w:r>
        <w:t xml:space="preserve"> 基本遵循</w:t>
      </w:r>
    </w:p>
    <w:p w14:paraId="742AEABF" w14:textId="6FF7D786" w:rsidR="00F1741A" w:rsidRDefault="004E3EBB" w:rsidP="00F1741A">
      <w:pPr>
        <w:pStyle w:val="13"/>
        <w:ind w:firstLine="482"/>
      </w:pPr>
      <w:r w:rsidRPr="004E3EBB">
        <w:rPr>
          <w:rFonts w:hint="eastAsia"/>
          <w:b/>
          <w:bCs/>
        </w:rPr>
        <w:t xml:space="preserve">第五条 </w:t>
      </w:r>
      <w:r w:rsidR="00F1741A">
        <w:t>执行森林资源资产评估业务，应当具备森林资源资产评估的专业知识和实践经验，能够胜任所执行的森林资源资产评估业务。</w:t>
      </w:r>
    </w:p>
    <w:p w14:paraId="2D7C917B" w14:textId="77777777" w:rsidR="00F1741A" w:rsidRDefault="00F1741A" w:rsidP="00F1741A">
      <w:pPr>
        <w:pStyle w:val="13"/>
      </w:pPr>
      <w:r>
        <w:rPr>
          <w:rFonts w:hint="eastAsia"/>
        </w:rPr>
        <w:t>当执行某项特定业务缺乏相关的专业知识和经验时，应当采取弥补措施，包括聘请林业专业技术人员或者相关专业机构协助工作等。</w:t>
      </w:r>
    </w:p>
    <w:p w14:paraId="1EE5EB56" w14:textId="323C9205" w:rsidR="00F1741A" w:rsidRDefault="004E3EBB" w:rsidP="00F1741A">
      <w:pPr>
        <w:pStyle w:val="13"/>
        <w:ind w:firstLine="482"/>
      </w:pPr>
      <w:r w:rsidRPr="004E3EBB">
        <w:rPr>
          <w:rFonts w:hint="eastAsia"/>
          <w:b/>
          <w:bCs/>
        </w:rPr>
        <w:t xml:space="preserve">第六条 </w:t>
      </w:r>
      <w:r w:rsidR="00F1741A">
        <w:t>在对持续经营前提下的经济组织价值进行评估时，作为经济组织资产的组成部分，森林资源资产价值通常受其对经济组织贡献程度的影响。</w:t>
      </w:r>
    </w:p>
    <w:p w14:paraId="7581F8F0" w14:textId="394015C6" w:rsidR="00F1741A" w:rsidRDefault="004E3EBB" w:rsidP="00F1741A">
      <w:pPr>
        <w:pStyle w:val="13"/>
        <w:ind w:firstLine="482"/>
      </w:pPr>
      <w:r w:rsidRPr="004E3EBB">
        <w:rPr>
          <w:rFonts w:hint="eastAsia"/>
          <w:b/>
          <w:bCs/>
        </w:rPr>
        <w:t xml:space="preserve">第七条 </w:t>
      </w:r>
      <w:r w:rsidR="00F1741A">
        <w:t>执行森林资源资产评估业务，应当根据评估目的等相关条件，选择恰当的价值类型。</w:t>
      </w:r>
    </w:p>
    <w:p w14:paraId="1637FFF5" w14:textId="2F6D5709" w:rsidR="00F1741A" w:rsidRDefault="004E3EBB" w:rsidP="00F1741A">
      <w:pPr>
        <w:pStyle w:val="13"/>
        <w:ind w:firstLine="482"/>
      </w:pPr>
      <w:r w:rsidRPr="004E3EBB">
        <w:rPr>
          <w:rFonts w:hint="eastAsia"/>
          <w:b/>
          <w:bCs/>
        </w:rPr>
        <w:t xml:space="preserve">第八条 </w:t>
      </w:r>
      <w:r w:rsidR="00F1741A">
        <w:t>执行森林资源资产评估业务，应当考虑国家相关林业法规和政策，以及森林资源的自然属性、经营特性、使用期限、用途等因素对森林资源资产价值的影响。</w:t>
      </w:r>
    </w:p>
    <w:p w14:paraId="7D631BB6" w14:textId="02393F9D" w:rsidR="00F1741A" w:rsidRDefault="00F1741A" w:rsidP="00F1741A">
      <w:pPr>
        <w:pStyle w:val="13"/>
      </w:pPr>
      <w:r>
        <w:rPr>
          <w:rFonts w:hint="eastAsia"/>
        </w:rPr>
        <w:t>执行涉及生态公益林等特殊用途的森林资源资产评估业务，除评估其经济价值外</w:t>
      </w:r>
      <w:r w:rsidR="00CC4D74">
        <w:rPr>
          <w:rFonts w:hint="eastAsia"/>
        </w:rPr>
        <w:t>，</w:t>
      </w:r>
      <w:r>
        <w:t>还应当结合评估目的考虑是否评估其生态服务价值。</w:t>
      </w:r>
    </w:p>
    <w:p w14:paraId="5E2B20C8" w14:textId="21E0A55B" w:rsidR="00F1741A" w:rsidRDefault="00E05BDA" w:rsidP="00F1741A">
      <w:pPr>
        <w:pStyle w:val="13"/>
        <w:ind w:firstLine="482"/>
      </w:pPr>
      <w:r w:rsidRPr="00E05BDA">
        <w:rPr>
          <w:rFonts w:hint="eastAsia"/>
          <w:b/>
          <w:bCs/>
        </w:rPr>
        <w:lastRenderedPageBreak/>
        <w:t xml:space="preserve">第九条 </w:t>
      </w:r>
      <w:r w:rsidR="00F1741A">
        <w:t>资产评估专业人员应当履行适当的评估程序，核实森林资源资产实物量及相关信息，分析经营管理的合理性，选择恰当的评估参数进行评定估算，编制和提交资产评估报告。</w:t>
      </w:r>
    </w:p>
    <w:p w14:paraId="379588AD" w14:textId="77777777" w:rsidR="00F1741A" w:rsidRDefault="00F1741A" w:rsidP="00AF7342">
      <w:pPr>
        <w:pStyle w:val="a9"/>
        <w:spacing w:before="62" w:after="62"/>
      </w:pPr>
      <w:r>
        <w:rPr>
          <w:rFonts w:hint="eastAsia"/>
        </w:rPr>
        <w:t>第三章</w:t>
      </w:r>
      <w:r>
        <w:t xml:space="preserve"> 操作要求</w:t>
      </w:r>
    </w:p>
    <w:p w14:paraId="7EA91D86" w14:textId="00F45981" w:rsidR="00F1741A" w:rsidRDefault="00E05BDA" w:rsidP="00F1741A">
      <w:pPr>
        <w:pStyle w:val="13"/>
        <w:ind w:firstLine="482"/>
      </w:pPr>
      <w:r w:rsidRPr="00E05BDA">
        <w:rPr>
          <w:rFonts w:hint="eastAsia"/>
          <w:b/>
          <w:bCs/>
        </w:rPr>
        <w:t xml:space="preserve">第十条 </w:t>
      </w:r>
      <w:r w:rsidR="00F1741A">
        <w:t>执行森林资源资产评估业务，应当要求委托人明确森林资源资产评估目的、评估对象和范围。</w:t>
      </w:r>
    </w:p>
    <w:p w14:paraId="38DEA53A" w14:textId="2CEC446C" w:rsidR="00F1741A" w:rsidRDefault="00E05BDA" w:rsidP="00F1741A">
      <w:pPr>
        <w:pStyle w:val="13"/>
        <w:ind w:firstLine="482"/>
      </w:pPr>
      <w:r w:rsidRPr="00E05BDA">
        <w:rPr>
          <w:rFonts w:hint="eastAsia"/>
          <w:b/>
          <w:bCs/>
        </w:rPr>
        <w:t xml:space="preserve">第十一条 </w:t>
      </w:r>
      <w:r w:rsidR="00F1741A">
        <w:t>执行森林资源资产评估业务，应当根据评估目的和具体情况进行合理假设，并在资产评估报告中予以披露。</w:t>
      </w:r>
    </w:p>
    <w:p w14:paraId="50756C2C" w14:textId="54FA21F9" w:rsidR="00F1741A" w:rsidRDefault="00E05BDA" w:rsidP="00F1741A">
      <w:pPr>
        <w:pStyle w:val="13"/>
        <w:ind w:firstLine="482"/>
      </w:pPr>
      <w:r w:rsidRPr="00E05BDA">
        <w:rPr>
          <w:rFonts w:hint="eastAsia"/>
          <w:b/>
          <w:bCs/>
        </w:rPr>
        <w:t xml:space="preserve">第十二条 </w:t>
      </w:r>
      <w:r w:rsidR="00F1741A">
        <w:t>资产评估专业人员应当要求委托人或者其他相关当事人明确森林资源资产的权属，出具林权证或者相关权属证明文件，并对其真实性、完整性、合法性做出承诺。资产评估专业人员应当对森林资源资产的权属资料进行核查验证。</w:t>
      </w:r>
    </w:p>
    <w:p w14:paraId="43C3C67A" w14:textId="0251AD0C" w:rsidR="00F1741A" w:rsidRDefault="00E05BDA" w:rsidP="00F1741A">
      <w:pPr>
        <w:pStyle w:val="13"/>
        <w:ind w:firstLine="482"/>
      </w:pPr>
      <w:r w:rsidRPr="00E05BDA">
        <w:rPr>
          <w:rFonts w:hint="eastAsia"/>
          <w:b/>
          <w:bCs/>
        </w:rPr>
        <w:t xml:space="preserve">第十三条 </w:t>
      </w:r>
      <w:r w:rsidR="00F1741A">
        <w:t>执行森林资源资产评估业务，应当要求委托人或者其他相关当事人提供森林资源资产实物量清单。</w:t>
      </w:r>
    </w:p>
    <w:p w14:paraId="1100D191" w14:textId="1C6F1567" w:rsidR="00F1741A" w:rsidRDefault="00E05BDA" w:rsidP="00EE367F">
      <w:pPr>
        <w:pStyle w:val="13"/>
        <w:ind w:firstLine="482"/>
      </w:pPr>
      <w:r w:rsidRPr="00E05BDA">
        <w:rPr>
          <w:rFonts w:hint="eastAsia"/>
          <w:b/>
          <w:bCs/>
        </w:rPr>
        <w:t xml:space="preserve">第十四条 </w:t>
      </w:r>
      <w:r w:rsidR="00F1741A">
        <w:t>森林资源资产实物量是价值评估的基础。资产评估专业人员在进行森林</w:t>
      </w:r>
      <w:r w:rsidR="00F1741A">
        <w:rPr>
          <w:rFonts w:hint="eastAsia"/>
        </w:rPr>
        <w:t>资源资产价值评定估算前，可以委托相关专业机构对委托人或者其他相关当事人提供的森林资源资产实物量清单进行现场核查，由核查机构出具核查报告。</w:t>
      </w:r>
    </w:p>
    <w:p w14:paraId="677464AA" w14:textId="50AB3AAB" w:rsidR="00F1741A" w:rsidRDefault="00E05BDA" w:rsidP="00F1741A">
      <w:pPr>
        <w:pStyle w:val="13"/>
        <w:ind w:firstLine="482"/>
      </w:pPr>
      <w:r w:rsidRPr="00E05BDA">
        <w:rPr>
          <w:rFonts w:hint="eastAsia"/>
          <w:b/>
          <w:bCs/>
        </w:rPr>
        <w:t xml:space="preserve">第十五条 </w:t>
      </w:r>
      <w:r w:rsidR="00F1741A">
        <w:t>当森林资源资产实物量清单由相关专业机构为满足所进行的资产评估需求，通过开展调查工作，以出具调查报告方式确定时，资产评估专业人员可以对调查工作进行现场核查。</w:t>
      </w:r>
    </w:p>
    <w:p w14:paraId="7746C86A" w14:textId="5064239A" w:rsidR="00F1741A" w:rsidRDefault="00E05BDA" w:rsidP="00F1741A">
      <w:pPr>
        <w:pStyle w:val="13"/>
        <w:ind w:firstLine="482"/>
      </w:pPr>
      <w:r w:rsidRPr="00E05BDA">
        <w:rPr>
          <w:rFonts w:hint="eastAsia"/>
          <w:b/>
          <w:bCs/>
        </w:rPr>
        <w:t xml:space="preserve">第十六条 </w:t>
      </w:r>
      <w:r w:rsidR="00F1741A">
        <w:t>资产评估专业人员应当依法对森林资源资产评估活动中使用的资料进行核查验证。</w:t>
      </w:r>
    </w:p>
    <w:p w14:paraId="7183719B" w14:textId="77777777" w:rsidR="00F1741A" w:rsidRDefault="00F1741A" w:rsidP="00AF7342">
      <w:pPr>
        <w:pStyle w:val="a9"/>
        <w:spacing w:before="62" w:after="62"/>
      </w:pPr>
      <w:r>
        <w:rPr>
          <w:rFonts w:hint="eastAsia"/>
        </w:rPr>
        <w:t>第四章</w:t>
      </w:r>
      <w:r>
        <w:t xml:space="preserve"> 评估方法</w:t>
      </w:r>
    </w:p>
    <w:p w14:paraId="5AAA451D" w14:textId="1ABC19EE" w:rsidR="00F1741A" w:rsidRDefault="00E05BDA" w:rsidP="00F1741A">
      <w:pPr>
        <w:pStyle w:val="13"/>
        <w:ind w:firstLine="482"/>
      </w:pPr>
      <w:r w:rsidRPr="00E05BDA">
        <w:rPr>
          <w:rFonts w:hint="eastAsia"/>
          <w:b/>
          <w:bCs/>
        </w:rPr>
        <w:t xml:space="preserve">第十七条 </w:t>
      </w:r>
      <w:r w:rsidR="00F1741A">
        <w:t>执行森林资源资产评估业务，应当根据评估对象、评估目的、价值类型、资料收集等情况，分析市场法、收益法和成本法三种资产评估基本方法的适用性，选择评估方法。</w:t>
      </w:r>
    </w:p>
    <w:p w14:paraId="512A4279" w14:textId="5B694FCD" w:rsidR="00F1741A" w:rsidRDefault="00E05BDA" w:rsidP="00F1741A">
      <w:pPr>
        <w:pStyle w:val="13"/>
        <w:ind w:firstLine="482"/>
      </w:pPr>
      <w:r w:rsidRPr="00E05BDA">
        <w:rPr>
          <w:rFonts w:hint="eastAsia"/>
          <w:b/>
          <w:bCs/>
        </w:rPr>
        <w:t xml:space="preserve">第十八条 </w:t>
      </w:r>
      <w:r w:rsidR="00F1741A">
        <w:t>采用市场法评估森林资源资产时，应当考虑：</w:t>
      </w:r>
    </w:p>
    <w:p w14:paraId="5D450D19" w14:textId="77777777" w:rsidR="00F1741A" w:rsidRDefault="00F1741A" w:rsidP="00F1741A">
      <w:pPr>
        <w:pStyle w:val="13"/>
      </w:pPr>
      <w:r>
        <w:rPr>
          <w:rFonts w:hint="eastAsia"/>
        </w:rPr>
        <w:t>（一）森林资源资产市场的活跃程度，市场提供足够数量可比森林资源资产交易数据的可能性及其可靠性；</w:t>
      </w:r>
    </w:p>
    <w:p w14:paraId="3D145C90" w14:textId="77777777" w:rsidR="00F1741A" w:rsidRDefault="00F1741A" w:rsidP="00F1741A">
      <w:pPr>
        <w:pStyle w:val="13"/>
      </w:pPr>
      <w:r>
        <w:rPr>
          <w:rFonts w:hint="eastAsia"/>
        </w:rPr>
        <w:t>（二）森林资源所在地域的差异性对森林资源资产交易价格的影响；</w:t>
      </w:r>
    </w:p>
    <w:p w14:paraId="512FCA0B" w14:textId="77777777" w:rsidR="00F1741A" w:rsidRDefault="00F1741A" w:rsidP="00F1741A">
      <w:pPr>
        <w:pStyle w:val="13"/>
      </w:pPr>
      <w:r>
        <w:rPr>
          <w:rFonts w:hint="eastAsia"/>
        </w:rPr>
        <w:t>（三）森林资源资产的用途和功能对交易价格的影响；</w:t>
      </w:r>
    </w:p>
    <w:p w14:paraId="3166D7A5" w14:textId="77777777" w:rsidR="00F1741A" w:rsidRDefault="00F1741A" w:rsidP="00F1741A">
      <w:pPr>
        <w:pStyle w:val="13"/>
      </w:pPr>
      <w:r>
        <w:rPr>
          <w:rFonts w:hint="eastAsia"/>
        </w:rPr>
        <w:t>（四）不同林分质量、立地等级、地利条件、交易情况等因素对森林资源资产价值的影响。</w:t>
      </w:r>
    </w:p>
    <w:p w14:paraId="516BB200" w14:textId="094C93C0" w:rsidR="00F1741A" w:rsidRDefault="00E05BDA" w:rsidP="00F1741A">
      <w:pPr>
        <w:pStyle w:val="13"/>
        <w:ind w:firstLine="482"/>
      </w:pPr>
      <w:r w:rsidRPr="00E05BDA">
        <w:rPr>
          <w:rFonts w:hint="eastAsia"/>
          <w:b/>
          <w:bCs/>
        </w:rPr>
        <w:t xml:space="preserve">第十九条 </w:t>
      </w:r>
      <w:r w:rsidR="00F1741A">
        <w:t>采用收益法评估森林资源资产时，应当考虑：</w:t>
      </w:r>
    </w:p>
    <w:p w14:paraId="2B989AC5" w14:textId="77777777" w:rsidR="00F1741A" w:rsidRDefault="00F1741A" w:rsidP="00F1741A">
      <w:pPr>
        <w:pStyle w:val="13"/>
      </w:pPr>
      <w:r>
        <w:rPr>
          <w:rFonts w:hint="eastAsia"/>
        </w:rPr>
        <w:lastRenderedPageBreak/>
        <w:t>（一）森林资源结构、功能、质量、自然生长力等对收益的影响；</w:t>
      </w:r>
    </w:p>
    <w:p w14:paraId="0A7D5E3B" w14:textId="1BEA9F97" w:rsidR="00F1741A" w:rsidRDefault="00F1741A" w:rsidP="00EE367F">
      <w:pPr>
        <w:pStyle w:val="13"/>
      </w:pPr>
      <w:r>
        <w:rPr>
          <w:rFonts w:hint="eastAsia"/>
        </w:rPr>
        <w:t>（二）森林资源管理相关法律、行政法规、财政补贴政策、采伐制度等对收益的影响；</w:t>
      </w:r>
    </w:p>
    <w:p w14:paraId="0694A4DA" w14:textId="77777777" w:rsidR="00F1741A" w:rsidRDefault="00F1741A" w:rsidP="00F1741A">
      <w:pPr>
        <w:pStyle w:val="13"/>
      </w:pPr>
      <w:r>
        <w:rPr>
          <w:rFonts w:hint="eastAsia"/>
        </w:rPr>
        <w:t>（三）根据森林资源资产的特点、经营类型、风险因素等相关条件合理确定折现率；</w:t>
      </w:r>
    </w:p>
    <w:p w14:paraId="0F84E124" w14:textId="77777777" w:rsidR="00F1741A" w:rsidRDefault="00F1741A" w:rsidP="00F1741A">
      <w:pPr>
        <w:pStyle w:val="13"/>
      </w:pPr>
      <w:r>
        <w:rPr>
          <w:rFonts w:hint="eastAsia"/>
        </w:rPr>
        <w:t>（四）森林资源采伐方式和采伐周期对收益的影响。</w:t>
      </w:r>
    </w:p>
    <w:p w14:paraId="77BDE06A" w14:textId="403CD385" w:rsidR="00F1741A" w:rsidRDefault="00E05BDA" w:rsidP="00F1741A">
      <w:pPr>
        <w:pStyle w:val="13"/>
        <w:ind w:firstLine="482"/>
      </w:pPr>
      <w:r w:rsidRPr="00E05BDA">
        <w:rPr>
          <w:rFonts w:hint="eastAsia"/>
          <w:b/>
          <w:bCs/>
        </w:rPr>
        <w:t xml:space="preserve">第二十条 </w:t>
      </w:r>
      <w:r w:rsidR="00F1741A">
        <w:t>采用成本法评估森林资源资产时，应当考虑：</w:t>
      </w:r>
    </w:p>
    <w:p w14:paraId="4A574781" w14:textId="77777777" w:rsidR="00F1741A" w:rsidRDefault="00F1741A" w:rsidP="00F1741A">
      <w:pPr>
        <w:pStyle w:val="13"/>
      </w:pPr>
      <w:r>
        <w:rPr>
          <w:rFonts w:hint="eastAsia"/>
        </w:rPr>
        <w:t>（一）森林资源培育过程的复杂性对成本的影响；</w:t>
      </w:r>
    </w:p>
    <w:p w14:paraId="115F0997" w14:textId="77777777" w:rsidR="00F1741A" w:rsidRDefault="00F1741A" w:rsidP="00F1741A">
      <w:pPr>
        <w:pStyle w:val="13"/>
      </w:pPr>
      <w:r>
        <w:rPr>
          <w:rFonts w:hint="eastAsia"/>
        </w:rPr>
        <w:t>（二）森林资源经营的长期性对价值的影响；</w:t>
      </w:r>
    </w:p>
    <w:p w14:paraId="05FFA4A6" w14:textId="77777777" w:rsidR="00F1741A" w:rsidRDefault="00F1741A" w:rsidP="00F1741A">
      <w:pPr>
        <w:pStyle w:val="13"/>
      </w:pPr>
      <w:r>
        <w:rPr>
          <w:rFonts w:hint="eastAsia"/>
        </w:rPr>
        <w:t>（三）森林资源质量对价值的影响；</w:t>
      </w:r>
    </w:p>
    <w:p w14:paraId="12B0B8D0" w14:textId="77777777" w:rsidR="00F1741A" w:rsidRDefault="00F1741A" w:rsidP="00F1741A">
      <w:pPr>
        <w:pStyle w:val="13"/>
      </w:pPr>
      <w:r>
        <w:rPr>
          <w:rFonts w:hint="eastAsia"/>
        </w:rPr>
        <w:t>（四）森林资源培育技术、林地利用方式等造成的影响。</w:t>
      </w:r>
    </w:p>
    <w:p w14:paraId="20AECBB8" w14:textId="02AB3233" w:rsidR="00F1741A" w:rsidRDefault="00E05BDA" w:rsidP="00F1741A">
      <w:pPr>
        <w:pStyle w:val="13"/>
        <w:ind w:firstLine="482"/>
      </w:pPr>
      <w:r w:rsidRPr="00E05BDA">
        <w:rPr>
          <w:rFonts w:hint="eastAsia"/>
          <w:b/>
          <w:bCs/>
        </w:rPr>
        <w:t xml:space="preserve">第二十一条 </w:t>
      </w:r>
      <w:r w:rsidR="00F1741A">
        <w:t>执行森林资源资产评估业务，应当关注各龄组之间计算结果的合理性。</w:t>
      </w:r>
    </w:p>
    <w:p w14:paraId="6CCA289C" w14:textId="77777777" w:rsidR="00F1741A" w:rsidRDefault="00F1741A" w:rsidP="00AF7342">
      <w:pPr>
        <w:pStyle w:val="a9"/>
        <w:spacing w:before="62" w:after="62"/>
      </w:pPr>
      <w:r>
        <w:rPr>
          <w:rFonts w:hint="eastAsia"/>
        </w:rPr>
        <w:t>第五章</w:t>
      </w:r>
      <w:r>
        <w:t xml:space="preserve"> 披露要求</w:t>
      </w:r>
    </w:p>
    <w:p w14:paraId="2284CF8D" w14:textId="0EAB66A7" w:rsidR="00F1741A" w:rsidRDefault="00E05BDA" w:rsidP="00F1741A">
      <w:pPr>
        <w:pStyle w:val="13"/>
        <w:ind w:firstLine="482"/>
      </w:pPr>
      <w:r w:rsidRPr="00E05BDA">
        <w:rPr>
          <w:rFonts w:hint="eastAsia"/>
          <w:b/>
          <w:bCs/>
        </w:rPr>
        <w:t xml:space="preserve">第二十二条 </w:t>
      </w:r>
      <w:r w:rsidR="00F1741A">
        <w:t>无论单独出具森林资源资产评估报告，还是将森林资源资产评估作为资产评估报告的组成部分，都应当在资产评估报告中披露必要信息，使资产评估报告的使用人能够正确理解评估结论。</w:t>
      </w:r>
    </w:p>
    <w:p w14:paraId="5C1B16D5" w14:textId="56008E1E" w:rsidR="00F1741A" w:rsidRDefault="00E05BDA" w:rsidP="00F1741A">
      <w:pPr>
        <w:pStyle w:val="13"/>
        <w:ind w:firstLine="482"/>
      </w:pPr>
      <w:r w:rsidRPr="00E05BDA">
        <w:rPr>
          <w:rFonts w:hint="eastAsia"/>
          <w:b/>
          <w:bCs/>
        </w:rPr>
        <w:t xml:space="preserve">第二十三条 </w:t>
      </w:r>
      <w:r w:rsidR="00F1741A">
        <w:t>资产评估专业人员应当在资产评估报告中对森林资源资产的权属状况、自然条件、地理分布、生产经营情况进行恰当描述。对评估范围内具有典型代表性或者 经济价值高的森林资源资产，应当进行重点描述。</w:t>
      </w:r>
    </w:p>
    <w:p w14:paraId="1647D594" w14:textId="04FBA576" w:rsidR="00F1741A" w:rsidRDefault="00E05BDA" w:rsidP="00F1741A">
      <w:pPr>
        <w:pStyle w:val="13"/>
        <w:ind w:firstLine="482"/>
      </w:pPr>
      <w:r w:rsidRPr="00E05BDA">
        <w:rPr>
          <w:rFonts w:hint="eastAsia"/>
          <w:b/>
          <w:bCs/>
        </w:rPr>
        <w:t xml:space="preserve">第二十四条 </w:t>
      </w:r>
      <w:r w:rsidR="00F1741A">
        <w:t>资产评估专业人员应当在资产评估报告中披露利用森林资源资产核查报告的情况。</w:t>
      </w:r>
    </w:p>
    <w:p w14:paraId="5CD94D54" w14:textId="361496EC" w:rsidR="00F1741A" w:rsidRDefault="00E05BDA" w:rsidP="00F1741A">
      <w:pPr>
        <w:pStyle w:val="13"/>
        <w:ind w:firstLine="482"/>
      </w:pPr>
      <w:r w:rsidRPr="00E05BDA">
        <w:rPr>
          <w:rFonts w:hint="eastAsia"/>
          <w:b/>
          <w:bCs/>
        </w:rPr>
        <w:t xml:space="preserve">第二十五条 </w:t>
      </w:r>
      <w:r w:rsidR="00F1741A">
        <w:t>资产评估专业人员应当在资产评估报告中披露重大事项对评估结论可能产生的影响，包括林地使用费用支付方式的影响等。</w:t>
      </w:r>
    </w:p>
    <w:p w14:paraId="1778830F" w14:textId="0257E0F1" w:rsidR="00F1741A" w:rsidRDefault="00E05BDA" w:rsidP="00F1741A">
      <w:pPr>
        <w:pStyle w:val="13"/>
        <w:ind w:firstLine="482"/>
      </w:pPr>
      <w:r w:rsidRPr="00E05BDA">
        <w:rPr>
          <w:rFonts w:hint="eastAsia"/>
          <w:b/>
          <w:bCs/>
        </w:rPr>
        <w:t xml:space="preserve">第二十六条 </w:t>
      </w:r>
      <w:r w:rsidR="00F1741A">
        <w:t>资产评估专业人员应当在资产评估报告中披露森林资源资产存在的抵押及其他权利受限情形。</w:t>
      </w:r>
    </w:p>
    <w:p w14:paraId="05488D60" w14:textId="577F2293" w:rsidR="00F1741A" w:rsidRDefault="00E05BDA" w:rsidP="00F1741A">
      <w:pPr>
        <w:pStyle w:val="13"/>
        <w:ind w:firstLine="482"/>
      </w:pPr>
      <w:r w:rsidRPr="00E05BDA">
        <w:rPr>
          <w:rFonts w:hint="eastAsia"/>
          <w:b/>
          <w:bCs/>
        </w:rPr>
        <w:t xml:space="preserve">第二十七条 </w:t>
      </w:r>
      <w:r w:rsidR="00F1741A">
        <w:t>资产评估专业人员应当将森林资源资产的权属证明、图面材料等资料作为资产评估报告的附件。法律、行政法规另有规定的从其规定。</w:t>
      </w:r>
    </w:p>
    <w:p w14:paraId="4B6454D2" w14:textId="77777777" w:rsidR="00F1741A" w:rsidRDefault="00F1741A" w:rsidP="00AF7342">
      <w:pPr>
        <w:pStyle w:val="a9"/>
        <w:spacing w:before="62" w:after="62"/>
      </w:pPr>
      <w:r>
        <w:rPr>
          <w:rFonts w:hint="eastAsia"/>
        </w:rPr>
        <w:t>第六章</w:t>
      </w:r>
      <w:r>
        <w:t xml:space="preserve"> 附则</w:t>
      </w:r>
    </w:p>
    <w:p w14:paraId="4EDA809A" w14:textId="6A94A94D" w:rsidR="00EF0BC2" w:rsidRDefault="00E05BDA" w:rsidP="00EE367F">
      <w:pPr>
        <w:pStyle w:val="13"/>
        <w:ind w:firstLine="482"/>
      </w:pPr>
      <w:r w:rsidRPr="00E05BDA">
        <w:rPr>
          <w:rFonts w:hint="eastAsia"/>
          <w:b/>
          <w:bCs/>
        </w:rPr>
        <w:t xml:space="preserve">第二十八条 </w:t>
      </w:r>
      <w:r w:rsidR="00F1741A">
        <w:t>本准则自 2017</w:t>
      </w:r>
      <w:r w:rsidR="003068F8">
        <w:t>年</w:t>
      </w:r>
      <w:r w:rsidR="00F1741A">
        <w:t>10</w:t>
      </w:r>
      <w:r w:rsidR="003068F8">
        <w:t>月</w:t>
      </w:r>
      <w:r w:rsidR="00F1741A">
        <w:t>1</w:t>
      </w:r>
      <w:r w:rsidR="003068F8">
        <w:t>日</w:t>
      </w:r>
      <w:r w:rsidR="00F1741A">
        <w:t>起施行。中国资产评估协会于 2012</w:t>
      </w:r>
      <w:r w:rsidR="003068F8">
        <w:t>年</w:t>
      </w:r>
      <w:r w:rsidR="00F1741A">
        <w:t>12</w:t>
      </w:r>
      <w:r w:rsidR="003068F8">
        <w:rPr>
          <w:rFonts w:hint="eastAsia"/>
        </w:rPr>
        <w:t>月</w:t>
      </w:r>
      <w:r w:rsidR="00F1741A">
        <w:t>28</w:t>
      </w:r>
      <w:r w:rsidR="003068F8">
        <w:t>日</w:t>
      </w:r>
      <w:r w:rsidR="00F1741A">
        <w:t>发布的《关于印发〈资产评估准则—森林资源资产〉的通知》（</w:t>
      </w:r>
      <w:proofErr w:type="gramStart"/>
      <w:r w:rsidR="00F1741A">
        <w:t>中评协</w:t>
      </w:r>
      <w:proofErr w:type="gramEnd"/>
      <w:r w:rsidR="00F1741A">
        <w:t>〔2012〕245号）同时废止。</w:t>
      </w:r>
    </w:p>
    <w:p w14:paraId="23590B55" w14:textId="77777777" w:rsidR="006833EE" w:rsidRDefault="006833EE" w:rsidP="006833EE">
      <w:pPr>
        <w:pStyle w:val="31"/>
        <w:spacing w:before="156" w:after="62"/>
      </w:pPr>
      <w:bookmarkStart w:id="30" w:name="_Toc81833310"/>
      <w:r>
        <w:rPr>
          <w:rFonts w:hint="eastAsia"/>
        </w:rPr>
        <w:lastRenderedPageBreak/>
        <w:t>资产评估执业准则—企业价值（</w:t>
      </w:r>
      <w:proofErr w:type="gramStart"/>
      <w:r>
        <w:rPr>
          <w:rFonts w:hint="eastAsia"/>
        </w:rPr>
        <w:t>中评协</w:t>
      </w:r>
      <w:proofErr w:type="gramEnd"/>
      <w:r>
        <w:rPr>
          <w:rFonts w:hint="eastAsia"/>
        </w:rPr>
        <w:t>〔</w:t>
      </w:r>
      <w:r>
        <w:t>2018〕38号）</w:t>
      </w:r>
      <w:bookmarkEnd w:id="30"/>
    </w:p>
    <w:p w14:paraId="2A148B61" w14:textId="77777777" w:rsidR="006833EE" w:rsidRDefault="006833EE" w:rsidP="006833EE">
      <w:pPr>
        <w:pStyle w:val="13"/>
        <w:ind w:firstLineChars="0" w:firstLine="0"/>
      </w:pPr>
      <w:r>
        <w:rPr>
          <w:rFonts w:hint="eastAsia"/>
        </w:rPr>
        <w:t>各省、自治区、直辖市、计划单列市资产评估协会（注册会计师协会）：</w:t>
      </w:r>
    </w:p>
    <w:p w14:paraId="7133D75C" w14:textId="77777777" w:rsidR="006833EE" w:rsidRDefault="006833EE" w:rsidP="006833EE">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资产评估执业准则—企业价值》进行了修订，现予印发，自</w:t>
      </w:r>
      <w:r>
        <w:t xml:space="preserve"> 2019</w:t>
      </w:r>
      <w:r>
        <w:rPr>
          <w:rFonts w:hint="eastAsia"/>
        </w:rPr>
        <w:t>年</w:t>
      </w:r>
      <w:r>
        <w:t>1月1日起施行。</w:t>
      </w:r>
    </w:p>
    <w:p w14:paraId="6CD9DD6E" w14:textId="77777777" w:rsidR="006833EE" w:rsidRDefault="006833EE" w:rsidP="006833EE">
      <w:pPr>
        <w:pStyle w:val="13"/>
      </w:pPr>
      <w:r>
        <w:rPr>
          <w:rFonts w:hint="eastAsia"/>
        </w:rPr>
        <w:t>请各地</w:t>
      </w:r>
      <w:proofErr w:type="gramStart"/>
      <w:r>
        <w:rPr>
          <w:rFonts w:hint="eastAsia"/>
        </w:rPr>
        <w:t>方协会</w:t>
      </w:r>
      <w:proofErr w:type="gramEnd"/>
      <w:r>
        <w:rPr>
          <w:rFonts w:hint="eastAsia"/>
        </w:rPr>
        <w:t>将《资产评估执业准则—企业价值》及时转发资产评估机构，组织资产评估机构和资产评估专业人员进行学习和培训，并将执行过程中发现的问题及时上报中国资产评估协会。</w:t>
      </w:r>
    </w:p>
    <w:p w14:paraId="7D10AC49" w14:textId="77777777" w:rsidR="006833EE" w:rsidRDefault="006833EE" w:rsidP="006833EE">
      <w:pPr>
        <w:pStyle w:val="13"/>
      </w:pPr>
      <w:r>
        <w:rPr>
          <w:rFonts w:hint="eastAsia"/>
        </w:rPr>
        <w:t>附件：《资产评估执业准则—企业价值》</w:t>
      </w:r>
    </w:p>
    <w:p w14:paraId="03AE58F2" w14:textId="77777777" w:rsidR="006833EE" w:rsidRDefault="006833EE" w:rsidP="006833EE">
      <w:pPr>
        <w:pStyle w:val="13"/>
        <w:jc w:val="right"/>
      </w:pPr>
      <w:r>
        <w:rPr>
          <w:rFonts w:hint="eastAsia"/>
        </w:rPr>
        <w:t>中国资产评估协会</w:t>
      </w:r>
    </w:p>
    <w:p w14:paraId="5296E918" w14:textId="77777777" w:rsidR="006833EE" w:rsidRDefault="006833EE" w:rsidP="006833EE">
      <w:pPr>
        <w:pStyle w:val="13"/>
        <w:jc w:val="right"/>
      </w:pPr>
      <w:r>
        <w:t>2017年10月29日</w:t>
      </w:r>
    </w:p>
    <w:p w14:paraId="02792BDE" w14:textId="77777777" w:rsidR="006833EE" w:rsidRDefault="006833EE" w:rsidP="00AF7342">
      <w:pPr>
        <w:pStyle w:val="a9"/>
        <w:spacing w:before="62" w:after="62"/>
      </w:pPr>
      <w:r>
        <w:rPr>
          <w:rFonts w:hint="eastAsia"/>
        </w:rPr>
        <w:t>资产评估执业准则—企业价值</w:t>
      </w:r>
    </w:p>
    <w:p w14:paraId="7D949792" w14:textId="77777777" w:rsidR="006833EE" w:rsidRDefault="006833EE" w:rsidP="00AF7342">
      <w:pPr>
        <w:pStyle w:val="a9"/>
        <w:spacing w:before="62" w:after="62"/>
      </w:pPr>
      <w:r>
        <w:rPr>
          <w:rFonts w:hint="eastAsia"/>
        </w:rPr>
        <w:t>第一章</w:t>
      </w:r>
      <w:r>
        <w:t xml:space="preserve"> 总则</w:t>
      </w:r>
    </w:p>
    <w:p w14:paraId="4887B786" w14:textId="77777777" w:rsidR="006833EE" w:rsidRDefault="006833EE" w:rsidP="006833EE">
      <w:pPr>
        <w:pStyle w:val="13"/>
        <w:ind w:firstLine="482"/>
      </w:pPr>
      <w:r w:rsidRPr="004E3EBB">
        <w:rPr>
          <w:rFonts w:hint="eastAsia"/>
          <w:b/>
          <w:bCs/>
        </w:rPr>
        <w:t xml:space="preserve">第一条 </w:t>
      </w:r>
      <w:r>
        <w:t>为规范企业价值评估行为，保护资产评估当事人合法权益和公共利益，根据《资产评估基本准则》制定本准则。</w:t>
      </w:r>
    </w:p>
    <w:p w14:paraId="1998676C" w14:textId="77777777" w:rsidR="006833EE" w:rsidRDefault="006833EE" w:rsidP="006833EE">
      <w:pPr>
        <w:pStyle w:val="13"/>
        <w:ind w:firstLine="482"/>
      </w:pPr>
      <w:r w:rsidRPr="004E3EBB">
        <w:rPr>
          <w:rFonts w:hint="eastAsia"/>
          <w:b/>
          <w:bCs/>
        </w:rPr>
        <w:t xml:space="preserve">第二条 </w:t>
      </w:r>
      <w:r>
        <w:t>本准则所称企业价值评估，是指资产评估机构及其资产评估专业人员遵守法律、行政法规和资产评估准则，根据委托对评估基准日特定目的下的企业整体价值、股东全部权益价值或者股东部分权益价值等进行评定和估算，并出具资产评估报告的专业服务行为。</w:t>
      </w:r>
    </w:p>
    <w:p w14:paraId="06C4689D" w14:textId="77777777" w:rsidR="006833EE" w:rsidRDefault="006833EE" w:rsidP="006833EE">
      <w:pPr>
        <w:pStyle w:val="13"/>
        <w:ind w:firstLine="482"/>
      </w:pPr>
      <w:r w:rsidRPr="004E3EBB">
        <w:rPr>
          <w:rFonts w:hint="eastAsia"/>
          <w:b/>
          <w:bCs/>
        </w:rPr>
        <w:t xml:space="preserve">第三条 </w:t>
      </w:r>
      <w:r>
        <w:t>执行企业价值评估业务，应当遵守本准则。</w:t>
      </w:r>
    </w:p>
    <w:p w14:paraId="37EE025D" w14:textId="77777777" w:rsidR="006833EE" w:rsidRDefault="006833EE" w:rsidP="00AF7342">
      <w:pPr>
        <w:pStyle w:val="a9"/>
        <w:spacing w:before="62" w:after="62"/>
      </w:pPr>
      <w:r>
        <w:rPr>
          <w:rFonts w:hint="eastAsia"/>
        </w:rPr>
        <w:t>第二章</w:t>
      </w:r>
      <w:r>
        <w:t xml:space="preserve"> 基本遵循</w:t>
      </w:r>
    </w:p>
    <w:p w14:paraId="40DD6D85" w14:textId="77777777" w:rsidR="006833EE" w:rsidRDefault="006833EE" w:rsidP="006833EE">
      <w:pPr>
        <w:pStyle w:val="13"/>
        <w:ind w:firstLine="482"/>
      </w:pPr>
      <w:r w:rsidRPr="004E3EBB">
        <w:rPr>
          <w:rFonts w:hint="eastAsia"/>
          <w:b/>
          <w:bCs/>
        </w:rPr>
        <w:t xml:space="preserve">第四条 </w:t>
      </w:r>
      <w:r>
        <w:t>执行企业价值评估业务，应当具备企业价值评估的专业知识和实践经验，能够胜任所执行的企业价值评估业务。</w:t>
      </w:r>
    </w:p>
    <w:p w14:paraId="09BF68F4" w14:textId="77777777" w:rsidR="006833EE" w:rsidRDefault="006833EE" w:rsidP="006833EE">
      <w:pPr>
        <w:pStyle w:val="13"/>
      </w:pPr>
      <w:r>
        <w:rPr>
          <w:rFonts w:hint="eastAsia"/>
        </w:rPr>
        <w:t>执行某项特定业务缺乏特定的专业知识和经验时，应当采取弥补措施，包括利用专家工作及相关报告等。</w:t>
      </w:r>
    </w:p>
    <w:p w14:paraId="0F29FFC2" w14:textId="77777777" w:rsidR="006833EE" w:rsidRDefault="006833EE" w:rsidP="006833EE">
      <w:pPr>
        <w:pStyle w:val="13"/>
        <w:ind w:firstLine="482"/>
      </w:pPr>
      <w:r w:rsidRPr="004E3EBB">
        <w:rPr>
          <w:rFonts w:hint="eastAsia"/>
          <w:b/>
          <w:bCs/>
        </w:rPr>
        <w:t xml:space="preserve">第五条 </w:t>
      </w:r>
      <w:r>
        <w:t>执行企业价值评估业务，应当坚持独立、客观、公正的原则，勤勉尽责，保持应有的职业谨慎，独立进行分析和估算并形成专业意见。</w:t>
      </w:r>
    </w:p>
    <w:p w14:paraId="594561E8" w14:textId="77777777" w:rsidR="006833EE" w:rsidRDefault="006833EE" w:rsidP="006833EE">
      <w:pPr>
        <w:pStyle w:val="13"/>
        <w:ind w:firstLine="482"/>
      </w:pPr>
      <w:r w:rsidRPr="004E3EBB">
        <w:rPr>
          <w:rFonts w:hint="eastAsia"/>
          <w:b/>
          <w:bCs/>
        </w:rPr>
        <w:t xml:space="preserve">第六条 </w:t>
      </w:r>
      <w:r>
        <w:t>执行企业价值评估业务，应当根据评估目的，明确</w:t>
      </w:r>
      <w:r>
        <w:rPr>
          <w:rFonts w:hint="eastAsia"/>
        </w:rPr>
        <w:t>评估对象，合理使用评估假设，选择适当的价值类型，恰当运用评估方法，履行必要评估程序，形成评估结论。</w:t>
      </w:r>
    </w:p>
    <w:p w14:paraId="55C9F678" w14:textId="77777777" w:rsidR="006833EE" w:rsidRDefault="006833EE" w:rsidP="006833EE">
      <w:pPr>
        <w:pStyle w:val="13"/>
        <w:ind w:firstLine="482"/>
      </w:pPr>
      <w:r w:rsidRPr="004E3EBB">
        <w:rPr>
          <w:rFonts w:hint="eastAsia"/>
          <w:b/>
          <w:bCs/>
        </w:rPr>
        <w:t xml:space="preserve">第七条 </w:t>
      </w:r>
      <w:r>
        <w:t>资产评估专业人员应当依法对企业价值评估活动中使用的资料进行核查验</w:t>
      </w:r>
      <w:r>
        <w:rPr>
          <w:rFonts w:hint="eastAsia"/>
        </w:rPr>
        <w:t>证。</w:t>
      </w:r>
    </w:p>
    <w:p w14:paraId="400136BB" w14:textId="77777777" w:rsidR="006833EE" w:rsidRDefault="006833EE" w:rsidP="006833EE">
      <w:pPr>
        <w:pStyle w:val="13"/>
      </w:pPr>
      <w:r>
        <w:rPr>
          <w:rFonts w:hint="eastAsia"/>
        </w:rPr>
        <w:lastRenderedPageBreak/>
        <w:t>因法律法规规定、客观条件限制无法实施核查验证的事项，资产评估专业人员应当在工作底稿中予以说明，分析其对评估结论的影响程度，并在资产评估报告中予以披露。如果上述事项对评估结论产生重大影响或者无法判断其影响程度，资产评估机构不得出具资产评估报告。</w:t>
      </w:r>
    </w:p>
    <w:p w14:paraId="099D754F" w14:textId="77777777" w:rsidR="006833EE" w:rsidRDefault="006833EE" w:rsidP="00AF7342">
      <w:pPr>
        <w:pStyle w:val="a9"/>
        <w:spacing w:before="62" w:after="62"/>
      </w:pPr>
      <w:r>
        <w:rPr>
          <w:rFonts w:hint="eastAsia"/>
        </w:rPr>
        <w:t>第三章</w:t>
      </w:r>
      <w:r>
        <w:t xml:space="preserve"> 操作要求</w:t>
      </w:r>
    </w:p>
    <w:p w14:paraId="78AA1536" w14:textId="77777777" w:rsidR="006833EE" w:rsidRDefault="006833EE" w:rsidP="006833EE">
      <w:pPr>
        <w:pStyle w:val="13"/>
        <w:ind w:firstLine="482"/>
      </w:pPr>
      <w:r w:rsidRPr="004E3EBB">
        <w:rPr>
          <w:rFonts w:hint="eastAsia"/>
          <w:b/>
          <w:bCs/>
        </w:rPr>
        <w:t xml:space="preserve">第八条 </w:t>
      </w:r>
      <w:r>
        <w:t>资产评估机构受理企业价值评估业务前，应当明确下列基本事项：</w:t>
      </w:r>
    </w:p>
    <w:p w14:paraId="2FFCBDB1" w14:textId="77777777" w:rsidR="006833EE" w:rsidRDefault="006833EE" w:rsidP="006833EE">
      <w:pPr>
        <w:pStyle w:val="13"/>
      </w:pPr>
      <w:r>
        <w:rPr>
          <w:rFonts w:hint="eastAsia"/>
        </w:rPr>
        <w:t>（一）委托人的基本情况；</w:t>
      </w:r>
    </w:p>
    <w:p w14:paraId="0E05F98F" w14:textId="77777777" w:rsidR="006833EE" w:rsidRDefault="006833EE" w:rsidP="006833EE">
      <w:pPr>
        <w:pStyle w:val="13"/>
      </w:pPr>
      <w:r>
        <w:rPr>
          <w:rFonts w:hint="eastAsia"/>
        </w:rPr>
        <w:t>（二）被评估单位的基本情况；</w:t>
      </w:r>
    </w:p>
    <w:p w14:paraId="164396A7" w14:textId="77777777" w:rsidR="006833EE" w:rsidRDefault="006833EE" w:rsidP="006833EE">
      <w:pPr>
        <w:pStyle w:val="13"/>
      </w:pPr>
      <w:r>
        <w:rPr>
          <w:rFonts w:hint="eastAsia"/>
        </w:rPr>
        <w:t>（三）评估目的；</w:t>
      </w:r>
    </w:p>
    <w:p w14:paraId="39F744E2" w14:textId="77777777" w:rsidR="006833EE" w:rsidRDefault="006833EE" w:rsidP="006833EE">
      <w:pPr>
        <w:pStyle w:val="13"/>
      </w:pPr>
      <w:r>
        <w:rPr>
          <w:rFonts w:hint="eastAsia"/>
        </w:rPr>
        <w:t>（四）评估对象和评估范围；</w:t>
      </w:r>
    </w:p>
    <w:p w14:paraId="5E1A5F20" w14:textId="77777777" w:rsidR="006833EE" w:rsidRDefault="006833EE" w:rsidP="006833EE">
      <w:pPr>
        <w:pStyle w:val="13"/>
      </w:pPr>
      <w:r>
        <w:rPr>
          <w:rFonts w:hint="eastAsia"/>
        </w:rPr>
        <w:t>（五）价值类型；</w:t>
      </w:r>
    </w:p>
    <w:p w14:paraId="34C04457" w14:textId="77777777" w:rsidR="006833EE" w:rsidRDefault="006833EE" w:rsidP="006833EE">
      <w:pPr>
        <w:pStyle w:val="13"/>
      </w:pPr>
      <w:r>
        <w:rPr>
          <w:rFonts w:hint="eastAsia"/>
        </w:rPr>
        <w:t>（六）评估基准日；</w:t>
      </w:r>
    </w:p>
    <w:p w14:paraId="4F0A7ECB" w14:textId="77777777" w:rsidR="006833EE" w:rsidRDefault="006833EE" w:rsidP="006833EE">
      <w:pPr>
        <w:pStyle w:val="13"/>
      </w:pPr>
      <w:r>
        <w:rPr>
          <w:rFonts w:hint="eastAsia"/>
        </w:rPr>
        <w:t>（七）资产评估报告使用范围；</w:t>
      </w:r>
    </w:p>
    <w:p w14:paraId="60AF0CA2" w14:textId="77777777" w:rsidR="006833EE" w:rsidRDefault="006833EE" w:rsidP="006833EE">
      <w:pPr>
        <w:pStyle w:val="13"/>
      </w:pPr>
      <w:r>
        <w:rPr>
          <w:rFonts w:hint="eastAsia"/>
        </w:rPr>
        <w:t>（八）评估假设；</w:t>
      </w:r>
    </w:p>
    <w:p w14:paraId="3684895B" w14:textId="77777777" w:rsidR="006833EE" w:rsidRDefault="006833EE" w:rsidP="006833EE">
      <w:pPr>
        <w:pStyle w:val="13"/>
      </w:pPr>
      <w:r>
        <w:rPr>
          <w:rFonts w:hint="eastAsia"/>
        </w:rPr>
        <w:t>（九）需要明确的其他事项。</w:t>
      </w:r>
    </w:p>
    <w:p w14:paraId="15962E1F" w14:textId="77777777" w:rsidR="006833EE" w:rsidRDefault="006833EE" w:rsidP="006833EE">
      <w:pPr>
        <w:pStyle w:val="13"/>
        <w:ind w:firstLine="482"/>
      </w:pPr>
      <w:r w:rsidRPr="00E05BDA">
        <w:rPr>
          <w:rFonts w:hint="eastAsia"/>
          <w:b/>
          <w:bCs/>
        </w:rPr>
        <w:t xml:space="preserve">第九条 </w:t>
      </w:r>
      <w:r>
        <w:t>资产评估专业人员应当根据委托事项和评估目的，与委托人协商明确评估</w:t>
      </w:r>
      <w:r>
        <w:rPr>
          <w:rFonts w:hint="eastAsia"/>
        </w:rPr>
        <w:t>对象。企业价值评估中的评估对象包括企业整体价值、股东全部权益价值和股东部分权益价值等。</w:t>
      </w:r>
    </w:p>
    <w:p w14:paraId="3D74085E" w14:textId="77777777" w:rsidR="006833EE" w:rsidRDefault="006833EE" w:rsidP="006833EE">
      <w:pPr>
        <w:pStyle w:val="13"/>
        <w:ind w:firstLine="482"/>
      </w:pPr>
      <w:r w:rsidRPr="00E05BDA">
        <w:rPr>
          <w:rFonts w:hint="eastAsia"/>
          <w:b/>
          <w:bCs/>
        </w:rPr>
        <w:t xml:space="preserve">第十条 </w:t>
      </w:r>
      <w:r>
        <w:t>执行企业价值评估业务，应当充分考虑评估目的、市场条件、评估对象自身条件等因素，恰当选择价值类型。企业价值评估中常见的价值类型有市场价值和投资价值。</w:t>
      </w:r>
    </w:p>
    <w:p w14:paraId="2771E554" w14:textId="77777777" w:rsidR="006833EE" w:rsidRDefault="006833EE" w:rsidP="006833EE">
      <w:pPr>
        <w:pStyle w:val="13"/>
        <w:ind w:firstLine="482"/>
      </w:pPr>
      <w:r w:rsidRPr="00E05BDA">
        <w:rPr>
          <w:rFonts w:hint="eastAsia"/>
          <w:b/>
          <w:bCs/>
        </w:rPr>
        <w:t xml:space="preserve">第十一条 </w:t>
      </w:r>
      <w:r>
        <w:t>执行企业价值评估业务，应当根据评估业务的具体情况，确定所需资料的清单并收集相关资料，通常包括：</w:t>
      </w:r>
    </w:p>
    <w:p w14:paraId="57777F90" w14:textId="77777777" w:rsidR="006833EE" w:rsidRDefault="006833EE" w:rsidP="006833EE">
      <w:pPr>
        <w:pStyle w:val="13"/>
      </w:pPr>
      <w:r>
        <w:rPr>
          <w:rFonts w:hint="eastAsia"/>
        </w:rPr>
        <w:t>（一）评估对象权益状况相关的协议、章程、股权证明等有关法律文件、评估对象涉及的主要资产权属证明资料；</w:t>
      </w:r>
    </w:p>
    <w:p w14:paraId="1E658C0F" w14:textId="77777777" w:rsidR="006833EE" w:rsidRDefault="006833EE" w:rsidP="006833EE">
      <w:pPr>
        <w:pStyle w:val="13"/>
      </w:pPr>
      <w:r>
        <w:rPr>
          <w:rFonts w:hint="eastAsia"/>
        </w:rPr>
        <w:t>（二）被评估单位历史沿革、控股股东及股东持股比例、经营管理结构和产权架构资料；</w:t>
      </w:r>
    </w:p>
    <w:p w14:paraId="38BADFA2" w14:textId="77777777" w:rsidR="006833EE" w:rsidRDefault="006833EE" w:rsidP="006833EE">
      <w:pPr>
        <w:pStyle w:val="13"/>
      </w:pPr>
      <w:r>
        <w:rPr>
          <w:rFonts w:hint="eastAsia"/>
        </w:rPr>
        <w:t>（三）被评估单位的业务、资产、财务、人员及经营状况资料；</w:t>
      </w:r>
    </w:p>
    <w:p w14:paraId="74222EED" w14:textId="77777777" w:rsidR="006833EE" w:rsidRDefault="006833EE" w:rsidP="006833EE">
      <w:pPr>
        <w:pStyle w:val="13"/>
      </w:pPr>
      <w:r>
        <w:rPr>
          <w:rFonts w:hint="eastAsia"/>
        </w:rPr>
        <w:t>（四）被评估单位经营计划、发展规划和收益预测资料；</w:t>
      </w:r>
    </w:p>
    <w:p w14:paraId="5E6F3B92" w14:textId="77777777" w:rsidR="006833EE" w:rsidRDefault="006833EE" w:rsidP="006833EE">
      <w:pPr>
        <w:pStyle w:val="13"/>
      </w:pPr>
      <w:r>
        <w:rPr>
          <w:rFonts w:hint="eastAsia"/>
        </w:rPr>
        <w:t>（五）评估对象、被评估单位以往的评估及交易资料；</w:t>
      </w:r>
    </w:p>
    <w:p w14:paraId="6C4D4B72" w14:textId="77777777" w:rsidR="006833EE" w:rsidRDefault="006833EE" w:rsidP="006833EE">
      <w:pPr>
        <w:pStyle w:val="13"/>
      </w:pPr>
      <w:r>
        <w:rPr>
          <w:rFonts w:hint="eastAsia"/>
        </w:rPr>
        <w:t>（六）影响被评估单位经营的宏观、区域经济因素资料；</w:t>
      </w:r>
    </w:p>
    <w:p w14:paraId="6C543478" w14:textId="77777777" w:rsidR="006833EE" w:rsidRDefault="006833EE" w:rsidP="006833EE">
      <w:pPr>
        <w:pStyle w:val="13"/>
      </w:pPr>
      <w:r>
        <w:rPr>
          <w:rFonts w:hint="eastAsia"/>
        </w:rPr>
        <w:t>（七）被评估单位所在行业现状与发展前景资料；</w:t>
      </w:r>
    </w:p>
    <w:p w14:paraId="756DDAB3" w14:textId="77777777" w:rsidR="006833EE" w:rsidRDefault="006833EE" w:rsidP="006833EE">
      <w:pPr>
        <w:pStyle w:val="13"/>
      </w:pPr>
      <w:r>
        <w:rPr>
          <w:rFonts w:hint="eastAsia"/>
        </w:rPr>
        <w:t>（八）证券市场、产权交易市场等市场的有关资料；</w:t>
      </w:r>
    </w:p>
    <w:p w14:paraId="126BEFA7" w14:textId="77777777" w:rsidR="006833EE" w:rsidRDefault="006833EE" w:rsidP="006833EE">
      <w:pPr>
        <w:pStyle w:val="13"/>
      </w:pPr>
      <w:r>
        <w:rPr>
          <w:rFonts w:hint="eastAsia"/>
        </w:rPr>
        <w:t>（九）可比企业的经营情况、财务信息、股票价格或者股权交易价格等资料。</w:t>
      </w:r>
    </w:p>
    <w:p w14:paraId="51D59F6D" w14:textId="77777777" w:rsidR="006833EE" w:rsidRDefault="006833EE" w:rsidP="006833EE">
      <w:pPr>
        <w:pStyle w:val="13"/>
        <w:ind w:firstLine="482"/>
      </w:pPr>
      <w:r w:rsidRPr="00E05BDA">
        <w:rPr>
          <w:rFonts w:hint="eastAsia"/>
          <w:b/>
          <w:bCs/>
        </w:rPr>
        <w:lastRenderedPageBreak/>
        <w:t xml:space="preserve">第十二条 </w:t>
      </w:r>
      <w:r>
        <w:t>资产评估专业人员应当尽可能获取被评估单位</w:t>
      </w:r>
      <w:r>
        <w:rPr>
          <w:rFonts w:hint="eastAsia"/>
        </w:rPr>
        <w:t>和可比企业经审计后的财务报表或者公开财务资料，无论财务报表是否经过审计，</w:t>
      </w:r>
      <w:r>
        <w:t>资产评估专业人员都应当根据所采用评估方法对财务报表的使用要求对其进行分析和判断，但对相关财务报表是否公允反映评估基准日的财务状况和当期经营成果、现金流量发表专业意见并非资产评估专业人员的责任。</w:t>
      </w:r>
    </w:p>
    <w:p w14:paraId="0B51F690" w14:textId="77777777" w:rsidR="006833EE" w:rsidRDefault="006833EE" w:rsidP="006833EE">
      <w:pPr>
        <w:pStyle w:val="13"/>
      </w:pPr>
      <w:r>
        <w:rPr>
          <w:rFonts w:hint="eastAsia"/>
        </w:rPr>
        <w:t>采用资产基础法评估，应当对所采用的被评估单位于评估基准日的资产及负债账面值的真实性进行分析和判断；采用收益</w:t>
      </w:r>
      <w:proofErr w:type="gramStart"/>
      <w:r>
        <w:rPr>
          <w:rFonts w:hint="eastAsia"/>
        </w:rPr>
        <w:t>法或者</w:t>
      </w:r>
      <w:proofErr w:type="gramEnd"/>
      <w:r>
        <w:rPr>
          <w:rFonts w:hint="eastAsia"/>
        </w:rPr>
        <w:t>市场法评估，应当对所采用的被评估单位和可比企业财务指标的合理性进行分析和判断。</w:t>
      </w:r>
    </w:p>
    <w:p w14:paraId="626C9D3F" w14:textId="77777777" w:rsidR="006833EE" w:rsidRDefault="006833EE" w:rsidP="006833EE">
      <w:pPr>
        <w:pStyle w:val="13"/>
        <w:ind w:firstLine="482"/>
      </w:pPr>
      <w:r w:rsidRPr="00E05BDA">
        <w:rPr>
          <w:rFonts w:hint="eastAsia"/>
          <w:b/>
          <w:bCs/>
        </w:rPr>
        <w:t xml:space="preserve">第十三条 </w:t>
      </w:r>
      <w:r>
        <w:t>采用收益</w:t>
      </w:r>
      <w:proofErr w:type="gramStart"/>
      <w:r>
        <w:t>法或者</w:t>
      </w:r>
      <w:proofErr w:type="gramEnd"/>
      <w:r>
        <w:t>市场法进行企业价值评估时，可以根据评估对象、评估假设、价值类型等相关条件，在与委托人和其他相关当事人协商并获得有关信息的基础</w:t>
      </w:r>
      <w:r>
        <w:rPr>
          <w:rFonts w:hint="eastAsia"/>
        </w:rPr>
        <w:t>上，对被评估单位和可比企业财务报表进行分析和必要的调整，以使评估中采用的财务数据以及相关参数适用、可比。根据评估业务的具体情况，分析和调整事项通常包括：</w:t>
      </w:r>
    </w:p>
    <w:p w14:paraId="7BD956CB" w14:textId="77777777" w:rsidR="006833EE" w:rsidRDefault="006833EE" w:rsidP="006833EE">
      <w:pPr>
        <w:pStyle w:val="13"/>
      </w:pPr>
      <w:r>
        <w:rPr>
          <w:rFonts w:hint="eastAsia"/>
        </w:rPr>
        <w:t>（一）财务报表编制基础；</w:t>
      </w:r>
    </w:p>
    <w:p w14:paraId="5BE3B2F0" w14:textId="77777777" w:rsidR="006833EE" w:rsidRDefault="006833EE" w:rsidP="006833EE">
      <w:pPr>
        <w:pStyle w:val="13"/>
      </w:pPr>
      <w:r>
        <w:rPr>
          <w:rFonts w:hint="eastAsia"/>
        </w:rPr>
        <w:t>（二）非经常性收入和支出；</w:t>
      </w:r>
    </w:p>
    <w:p w14:paraId="49549181" w14:textId="77777777" w:rsidR="006833EE" w:rsidRDefault="006833EE" w:rsidP="006833EE">
      <w:pPr>
        <w:pStyle w:val="13"/>
      </w:pPr>
      <w:r>
        <w:rPr>
          <w:rFonts w:hint="eastAsia"/>
        </w:rPr>
        <w:t>（三）非经营性资产、负债和</w:t>
      </w:r>
      <w:proofErr w:type="gramStart"/>
      <w:r>
        <w:rPr>
          <w:rFonts w:hint="eastAsia"/>
        </w:rPr>
        <w:t>溢余</w:t>
      </w:r>
      <w:proofErr w:type="gramEnd"/>
      <w:r>
        <w:rPr>
          <w:rFonts w:hint="eastAsia"/>
        </w:rPr>
        <w:t>资产及其相关的收入和支出。</w:t>
      </w:r>
    </w:p>
    <w:p w14:paraId="4C5EE66B" w14:textId="77777777" w:rsidR="006833EE" w:rsidRDefault="006833EE" w:rsidP="006833EE">
      <w:pPr>
        <w:pStyle w:val="13"/>
        <w:ind w:firstLine="482"/>
      </w:pPr>
      <w:r w:rsidRPr="00E05BDA">
        <w:rPr>
          <w:rFonts w:hint="eastAsia"/>
          <w:b/>
          <w:bCs/>
        </w:rPr>
        <w:t xml:space="preserve">第十四条 </w:t>
      </w:r>
      <w:r>
        <w:t>采用收益</w:t>
      </w:r>
      <w:proofErr w:type="gramStart"/>
      <w:r>
        <w:t>法或者</w:t>
      </w:r>
      <w:proofErr w:type="gramEnd"/>
      <w:r>
        <w:t>市场法进行企业价值评估，应当与委托人和其他相关当事人进行沟通，了解被评估单位资产配置和使用情况，谨慎识别非经营性资产、负债和</w:t>
      </w:r>
      <w:proofErr w:type="gramStart"/>
      <w:r>
        <w:t>溢余</w:t>
      </w:r>
      <w:proofErr w:type="gramEnd"/>
      <w:r>
        <w:t>资产，并</w:t>
      </w:r>
      <w:r>
        <w:rPr>
          <w:rFonts w:hint="eastAsia"/>
        </w:rPr>
        <w:t>根据相关信息获得情况以及对评估结论的影响程度，确定是否单独评估。</w:t>
      </w:r>
    </w:p>
    <w:p w14:paraId="6FBA6791" w14:textId="77777777" w:rsidR="006833EE" w:rsidRDefault="006833EE" w:rsidP="006833EE">
      <w:pPr>
        <w:pStyle w:val="13"/>
        <w:ind w:firstLine="482"/>
      </w:pPr>
      <w:r w:rsidRPr="00E05BDA">
        <w:rPr>
          <w:rFonts w:hint="eastAsia"/>
          <w:b/>
          <w:bCs/>
        </w:rPr>
        <w:t xml:space="preserve">第十五条 </w:t>
      </w:r>
      <w:r>
        <w:t>资产评估专业人员应当知晓评估对象在持续经营前提下的价值并不必然大于在清算前提下的价值。</w:t>
      </w:r>
    </w:p>
    <w:p w14:paraId="5D241791" w14:textId="77777777" w:rsidR="006833EE" w:rsidRDefault="006833EE" w:rsidP="006833EE">
      <w:pPr>
        <w:pStyle w:val="13"/>
      </w:pPr>
      <w:r>
        <w:rPr>
          <w:rFonts w:hint="eastAsia"/>
        </w:rPr>
        <w:t>如果相关当事人有权启动清算程序，资产评估专业人员应当根据委托评估事项，分析评估对象在清算前提下价值大于在持续经营前提下价值的可能性。</w:t>
      </w:r>
    </w:p>
    <w:p w14:paraId="4CA8F31C" w14:textId="77777777" w:rsidR="006833EE" w:rsidRDefault="006833EE" w:rsidP="006833EE">
      <w:pPr>
        <w:pStyle w:val="13"/>
        <w:ind w:firstLine="482"/>
      </w:pPr>
      <w:r w:rsidRPr="00E05BDA">
        <w:rPr>
          <w:rFonts w:hint="eastAsia"/>
          <w:b/>
          <w:bCs/>
        </w:rPr>
        <w:t xml:space="preserve">第十六条 </w:t>
      </w:r>
      <w:r>
        <w:t>在对具有多种业务类型、涉及多种行业的企业进行企业价值评估时，应当根据业务关联性界定业务单元，并根据被评估单位和业务单元的具体情况，采用适宜的财务数据口径进行评估。</w:t>
      </w:r>
    </w:p>
    <w:p w14:paraId="0883666C" w14:textId="77777777" w:rsidR="006833EE" w:rsidRDefault="006833EE" w:rsidP="00AF7342">
      <w:pPr>
        <w:pStyle w:val="a9"/>
        <w:spacing w:before="62" w:after="62"/>
      </w:pPr>
      <w:r>
        <w:rPr>
          <w:rFonts w:hint="eastAsia"/>
        </w:rPr>
        <w:t>第四章</w:t>
      </w:r>
      <w:r>
        <w:t xml:space="preserve"> 评估方法</w:t>
      </w:r>
    </w:p>
    <w:p w14:paraId="33FCEA44" w14:textId="77777777" w:rsidR="006833EE" w:rsidRDefault="006833EE" w:rsidP="006833EE">
      <w:pPr>
        <w:pStyle w:val="13"/>
        <w:ind w:firstLine="482"/>
      </w:pPr>
      <w:r w:rsidRPr="00E05BDA">
        <w:rPr>
          <w:rFonts w:hint="eastAsia"/>
          <w:b/>
          <w:bCs/>
        </w:rPr>
        <w:t xml:space="preserve">第十七条 </w:t>
      </w:r>
      <w:r>
        <w:t>执行企业价值评估业务，应当根据评估目的、评估对象、价值类型、资料收集等情况，分析收益法、市场法、成本法（资产基础法）三种基本方法的适用性，选择评估方法。</w:t>
      </w:r>
    </w:p>
    <w:p w14:paraId="08B412EA" w14:textId="77777777" w:rsidR="006833EE" w:rsidRDefault="006833EE" w:rsidP="006833EE">
      <w:pPr>
        <w:pStyle w:val="13"/>
        <w:ind w:firstLine="482"/>
      </w:pPr>
      <w:r w:rsidRPr="00E05BDA">
        <w:rPr>
          <w:rFonts w:hint="eastAsia"/>
          <w:b/>
          <w:bCs/>
        </w:rPr>
        <w:t xml:space="preserve">第十八条 </w:t>
      </w:r>
      <w:r>
        <w:t>对于适合采用不同评估方法进行企业价值评估的，资产评估专业人员应当采用两种以上评估方法进行评估。</w:t>
      </w:r>
    </w:p>
    <w:p w14:paraId="7F46572C" w14:textId="77777777" w:rsidR="006833EE" w:rsidRDefault="006833EE" w:rsidP="006833EE">
      <w:pPr>
        <w:pStyle w:val="13"/>
        <w:ind w:firstLine="482"/>
      </w:pPr>
      <w:r w:rsidRPr="00E05BDA">
        <w:rPr>
          <w:rFonts w:hint="eastAsia"/>
          <w:b/>
          <w:bCs/>
        </w:rPr>
        <w:t xml:space="preserve">第十九条 </w:t>
      </w:r>
      <w:r>
        <w:t>企业价值评估中的收益法，是指将预期收益资本</w:t>
      </w:r>
      <w:proofErr w:type="gramStart"/>
      <w:r>
        <w:t>化或者</w:t>
      </w:r>
      <w:proofErr w:type="gramEnd"/>
      <w:r>
        <w:t>折现，确定评</w:t>
      </w:r>
      <w:r>
        <w:lastRenderedPageBreak/>
        <w:t>估对象价值的评估方法。</w:t>
      </w:r>
    </w:p>
    <w:p w14:paraId="488B2DB7" w14:textId="77777777" w:rsidR="006833EE" w:rsidRDefault="006833EE" w:rsidP="006833EE">
      <w:pPr>
        <w:pStyle w:val="13"/>
      </w:pPr>
      <w:r>
        <w:rPr>
          <w:rFonts w:hint="eastAsia"/>
        </w:rPr>
        <w:t>资产评估专业人员应当结合被评估单位的企业性质、资产规模、历史经营情况、未来收益可预测情况、所获取评估资料</w:t>
      </w:r>
    </w:p>
    <w:p w14:paraId="1E65B3B4" w14:textId="77777777" w:rsidR="006833EE" w:rsidRDefault="006833EE" w:rsidP="006833EE">
      <w:pPr>
        <w:pStyle w:val="13"/>
      </w:pPr>
      <w:r>
        <w:rPr>
          <w:rFonts w:hint="eastAsia"/>
        </w:rPr>
        <w:t>的充分性，恰当考虑收益法的适用性。</w:t>
      </w:r>
    </w:p>
    <w:p w14:paraId="3EABBB49" w14:textId="77777777" w:rsidR="006833EE" w:rsidRDefault="006833EE" w:rsidP="006833EE">
      <w:pPr>
        <w:pStyle w:val="13"/>
        <w:ind w:firstLine="482"/>
      </w:pPr>
      <w:r w:rsidRPr="00E05BDA">
        <w:rPr>
          <w:rFonts w:hint="eastAsia"/>
          <w:b/>
          <w:bCs/>
        </w:rPr>
        <w:t xml:space="preserve">第二十条 </w:t>
      </w:r>
      <w:r>
        <w:t>收益法常用的具体方法包括股利折现法和现金流量折现法。</w:t>
      </w:r>
    </w:p>
    <w:p w14:paraId="5D3CB084" w14:textId="77777777" w:rsidR="006833EE" w:rsidRDefault="006833EE" w:rsidP="006833EE">
      <w:pPr>
        <w:pStyle w:val="13"/>
        <w:ind w:firstLine="482"/>
      </w:pPr>
      <w:r w:rsidRPr="00E05BDA">
        <w:rPr>
          <w:rFonts w:hint="eastAsia"/>
          <w:b/>
          <w:bCs/>
        </w:rPr>
        <w:t xml:space="preserve">第二十一条 </w:t>
      </w:r>
      <w:r>
        <w:t>股利折现法是将预期股利进行折现以确定评估对象价值的具体方法，通常适用于缺乏控制权的股东部分权益价值评估。</w:t>
      </w:r>
    </w:p>
    <w:p w14:paraId="7C4C9F5A" w14:textId="77777777" w:rsidR="006833EE" w:rsidRDefault="006833EE" w:rsidP="006833EE">
      <w:pPr>
        <w:pStyle w:val="13"/>
      </w:pPr>
      <w:r>
        <w:rPr>
          <w:rFonts w:hint="eastAsia"/>
        </w:rPr>
        <w:t>股利折现法的预期股利一般应当体现市场参与者的通常预期，适用的价值类型通常为市场价值。</w:t>
      </w:r>
    </w:p>
    <w:p w14:paraId="228A3303" w14:textId="77777777" w:rsidR="006833EE" w:rsidRDefault="006833EE" w:rsidP="006833EE">
      <w:pPr>
        <w:pStyle w:val="13"/>
        <w:ind w:firstLine="482"/>
      </w:pPr>
      <w:r w:rsidRPr="00E05BDA">
        <w:rPr>
          <w:rFonts w:hint="eastAsia"/>
          <w:b/>
          <w:bCs/>
        </w:rPr>
        <w:t xml:space="preserve">第二十二条 </w:t>
      </w:r>
      <w:r>
        <w:t>现金流量折现法通常包括企业自由现金流折现模型和股权自由现金流折现模型。资产评估专业人员应当根据被评估单位所处行业、经营模式、资本结构、发展趋势等，恰当选择现金流折现模型。</w:t>
      </w:r>
    </w:p>
    <w:p w14:paraId="2AD3C28C" w14:textId="77777777" w:rsidR="006833EE" w:rsidRDefault="006833EE" w:rsidP="006833EE">
      <w:pPr>
        <w:pStyle w:val="13"/>
      </w:pPr>
      <w:r>
        <w:rPr>
          <w:rFonts w:hint="eastAsia"/>
        </w:rPr>
        <w:t>预测现金流量，既可以从市场参与者角度进行，也可以选择特定投资者的角度。从特定投资者的角度预测现金流量时，适用的价值类型通常为投资价值。</w:t>
      </w:r>
    </w:p>
    <w:p w14:paraId="18DB4124" w14:textId="77777777" w:rsidR="006833EE" w:rsidRDefault="006833EE" w:rsidP="006833EE">
      <w:pPr>
        <w:pStyle w:val="13"/>
        <w:ind w:firstLine="482"/>
      </w:pPr>
      <w:r w:rsidRPr="00E05BDA">
        <w:rPr>
          <w:rFonts w:hint="eastAsia"/>
          <w:b/>
          <w:bCs/>
        </w:rPr>
        <w:t xml:space="preserve">第二十三条 </w:t>
      </w:r>
      <w:r>
        <w:t>资产评估专业人员应当对委托人和其他相关当事人提供的企业未来收益资料进行必要的分析、判断和调整，结合被评估单位的人力资源、技术水平、资本结构、经营状况、历史业绩、发展趋势，考虑宏观经济因素、所在行业现状与发展前景，合理确定评估假设，形成未来收益预测。</w:t>
      </w:r>
    </w:p>
    <w:p w14:paraId="2E5EB21C" w14:textId="77777777" w:rsidR="006833EE" w:rsidRDefault="006833EE" w:rsidP="006833EE">
      <w:pPr>
        <w:pStyle w:val="13"/>
      </w:pPr>
      <w:r>
        <w:rPr>
          <w:rFonts w:hint="eastAsia"/>
        </w:rPr>
        <w:t>当委托人和其他相关当事人未提供收益预测，资产评估专业人员应当收集和利用形成未来收益预测的相关资料，并履行核查验证程序，在具备预测条件的情况下编制收益预测表。</w:t>
      </w:r>
    </w:p>
    <w:p w14:paraId="01E3A036" w14:textId="77777777" w:rsidR="006833EE" w:rsidRDefault="006833EE" w:rsidP="006833EE">
      <w:pPr>
        <w:pStyle w:val="13"/>
      </w:pPr>
      <w:r>
        <w:rPr>
          <w:rFonts w:hint="eastAsia"/>
        </w:rPr>
        <w:t>资产评估专业人员应当关注未来收益预测中经营管理、业务架构、主营业务收入、毛利率、营运资金、资本性支出、资本结构等主要参数与评估假设、价值类型的一致性。当预测趋势与历史业绩和现实经营状况存在重大差异时，资产评估专业人员应当在资产评估报告中予以披露，并对产生差异的原因及其合理性进行说明。</w:t>
      </w:r>
    </w:p>
    <w:p w14:paraId="1485E866" w14:textId="77777777" w:rsidR="006833EE" w:rsidRDefault="006833EE" w:rsidP="006833EE">
      <w:pPr>
        <w:pStyle w:val="13"/>
        <w:ind w:firstLine="482"/>
      </w:pPr>
      <w:r w:rsidRPr="00E05BDA">
        <w:rPr>
          <w:rFonts w:hint="eastAsia"/>
          <w:b/>
          <w:bCs/>
        </w:rPr>
        <w:t xml:space="preserve">第二十四条 </w:t>
      </w:r>
      <w:r>
        <w:t>资产评估专业人员应当按照法律、行政法规规定，以及被评估单位企业性质、企业类型、所在行业现状与发展前景、协议与章程约定、经营状况、资产特点和资源条件等，恰当确定收益期。</w:t>
      </w:r>
    </w:p>
    <w:p w14:paraId="70314E0C" w14:textId="77777777" w:rsidR="006833EE" w:rsidRDefault="006833EE" w:rsidP="006833EE">
      <w:pPr>
        <w:pStyle w:val="13"/>
        <w:ind w:firstLine="482"/>
      </w:pPr>
      <w:r w:rsidRPr="00E05BDA">
        <w:rPr>
          <w:rFonts w:hint="eastAsia"/>
          <w:b/>
          <w:bCs/>
        </w:rPr>
        <w:t xml:space="preserve">第二十五条 </w:t>
      </w:r>
      <w:r>
        <w:t>企业经营达到相对稳定前的时间区间是确定详细预测期的主要因素。</w:t>
      </w:r>
    </w:p>
    <w:p w14:paraId="2E8C0DA8" w14:textId="77777777" w:rsidR="006833EE" w:rsidRDefault="006833EE" w:rsidP="006833EE">
      <w:pPr>
        <w:pStyle w:val="13"/>
      </w:pPr>
      <w:r>
        <w:t>资产评估专业人员应当在对企业产品或者服务的剩余经济寿命以及替代产品或者</w:t>
      </w:r>
      <w:r>
        <w:rPr>
          <w:rFonts w:hint="eastAsia"/>
        </w:rPr>
        <w:t>服务的研发情况、收入结构、成本结构、资本结构、资本性支出、营运资金、投资收益和风险水平等综合分析的基础上，结合宏观政策、行业周期及其他影响企业进入稳定期的因素合理确定详细预测期。</w:t>
      </w:r>
    </w:p>
    <w:p w14:paraId="4DF4C411" w14:textId="77777777" w:rsidR="006833EE" w:rsidRDefault="006833EE" w:rsidP="006833EE">
      <w:pPr>
        <w:pStyle w:val="13"/>
        <w:ind w:firstLine="482"/>
      </w:pPr>
      <w:r w:rsidRPr="00E05BDA">
        <w:rPr>
          <w:rFonts w:hint="eastAsia"/>
          <w:b/>
          <w:bCs/>
        </w:rPr>
        <w:lastRenderedPageBreak/>
        <w:t xml:space="preserve">第二十六条 </w:t>
      </w:r>
      <w:r>
        <w:t>资产评估专业人员确定折现率，应当综合考虑评估基准日的利率水平、市场投资收益率等资本市场相关信息和所在行业、被评估单位的特定风险等相关因素。</w:t>
      </w:r>
    </w:p>
    <w:p w14:paraId="42129871" w14:textId="77777777" w:rsidR="006833EE" w:rsidRDefault="006833EE" w:rsidP="006833EE">
      <w:pPr>
        <w:pStyle w:val="13"/>
        <w:ind w:firstLine="482"/>
      </w:pPr>
      <w:r w:rsidRPr="00E05BDA">
        <w:rPr>
          <w:rFonts w:hint="eastAsia"/>
          <w:b/>
          <w:bCs/>
        </w:rPr>
        <w:t xml:space="preserve">第二十七条 </w:t>
      </w:r>
      <w:r>
        <w:t>资产评估专业人员应当根据企业提供产品或</w:t>
      </w:r>
      <w:r>
        <w:rPr>
          <w:rFonts w:hint="eastAsia"/>
        </w:rPr>
        <w:t>者服务的剩余经济寿命期情况、进入稳定期的因素分析详细预测期后的收益趋势、终止经营后的处置方式等，选择恰当的方法估算详细预测期后的价值。</w:t>
      </w:r>
    </w:p>
    <w:p w14:paraId="5E6EFFD7" w14:textId="77777777" w:rsidR="006833EE" w:rsidRDefault="006833EE" w:rsidP="006833EE">
      <w:pPr>
        <w:pStyle w:val="13"/>
        <w:ind w:firstLine="482"/>
      </w:pPr>
      <w:r w:rsidRPr="00E05BDA">
        <w:rPr>
          <w:rFonts w:hint="eastAsia"/>
          <w:b/>
          <w:bCs/>
        </w:rPr>
        <w:t xml:space="preserve">第二十八条 </w:t>
      </w:r>
      <w:r>
        <w:t>执行企业价值评估业务可以根据评估对象特点选择收益法的不同具体方法进行评估。资产评估专业人员应当根据被评估单位的具体情况选择恰当的预期收益口径，并确信折现率与预期收益的口径保持一致。</w:t>
      </w:r>
    </w:p>
    <w:p w14:paraId="6359BE4F" w14:textId="77777777" w:rsidR="006833EE" w:rsidRDefault="006833EE" w:rsidP="006833EE">
      <w:pPr>
        <w:pStyle w:val="13"/>
        <w:ind w:firstLine="482"/>
      </w:pPr>
      <w:r w:rsidRPr="00E05BDA">
        <w:rPr>
          <w:rFonts w:hint="eastAsia"/>
          <w:b/>
          <w:bCs/>
        </w:rPr>
        <w:t xml:space="preserve">第二十九条 </w:t>
      </w:r>
      <w:r>
        <w:t>企业价值评估中的市场法，是指将评估对象与可比上市公司或者可比交易案例进行比较，确定评估对象价值的评估方法。</w:t>
      </w:r>
    </w:p>
    <w:p w14:paraId="04E6C96D" w14:textId="77777777" w:rsidR="006833EE" w:rsidRDefault="006833EE" w:rsidP="006833EE">
      <w:pPr>
        <w:pStyle w:val="13"/>
      </w:pPr>
      <w:r>
        <w:rPr>
          <w:rFonts w:hint="eastAsia"/>
        </w:rPr>
        <w:t>资产评估专业人员应当根据所获取可比企业经营和财务数据的充分性和可靠性、可收集到的可比企业数量，考虑市场法的适用性。</w:t>
      </w:r>
    </w:p>
    <w:p w14:paraId="24C9FD37" w14:textId="77777777" w:rsidR="006833EE" w:rsidRDefault="006833EE" w:rsidP="006833EE">
      <w:pPr>
        <w:pStyle w:val="13"/>
        <w:ind w:firstLine="482"/>
      </w:pPr>
      <w:r w:rsidRPr="00E05BDA">
        <w:rPr>
          <w:rFonts w:hint="eastAsia"/>
          <w:b/>
          <w:bCs/>
        </w:rPr>
        <w:t xml:space="preserve">第三十条 </w:t>
      </w:r>
      <w:r>
        <w:t>市场法常用的两种具体方法是上市公司比较法和交易案例比较法。</w:t>
      </w:r>
    </w:p>
    <w:p w14:paraId="7403FDAB" w14:textId="77777777" w:rsidR="006833EE" w:rsidRDefault="006833EE" w:rsidP="006833EE">
      <w:pPr>
        <w:pStyle w:val="13"/>
        <w:ind w:firstLine="482"/>
      </w:pPr>
      <w:r w:rsidRPr="003B2FB1">
        <w:rPr>
          <w:rFonts w:hint="eastAsia"/>
          <w:b/>
          <w:bCs/>
        </w:rPr>
        <w:t xml:space="preserve">第三十一条 </w:t>
      </w:r>
      <w:r>
        <w:t>上市公司比较法是指获取并分析可比上市公司的经营和财务数据，计算价值比率，在与被评估单位比较分析的基础上，确定评估对象价值的具体方法。</w:t>
      </w:r>
    </w:p>
    <w:p w14:paraId="58278F64" w14:textId="77777777" w:rsidR="006833EE" w:rsidRDefault="006833EE" w:rsidP="006833EE">
      <w:pPr>
        <w:pStyle w:val="13"/>
      </w:pPr>
      <w:r>
        <w:rPr>
          <w:rFonts w:hint="eastAsia"/>
        </w:rPr>
        <w:t>上市公司比较法中的可比企业应当是公开市场上正常交易的上市公司。在切实可行的情况下，评估结论应当考虑控制权和流动性对评估对象价值的影响。</w:t>
      </w:r>
    </w:p>
    <w:p w14:paraId="00B4DC5A" w14:textId="77777777" w:rsidR="006833EE" w:rsidRDefault="006833EE" w:rsidP="006833EE">
      <w:pPr>
        <w:pStyle w:val="13"/>
        <w:ind w:firstLine="482"/>
      </w:pPr>
      <w:r w:rsidRPr="003B2FB1">
        <w:rPr>
          <w:rFonts w:hint="eastAsia"/>
          <w:b/>
          <w:bCs/>
        </w:rPr>
        <w:t xml:space="preserve">第三十二条 </w:t>
      </w:r>
      <w:r>
        <w:t>交易案例比较法是指获取并分析可比企业的</w:t>
      </w:r>
      <w:r>
        <w:rPr>
          <w:rFonts w:hint="eastAsia"/>
        </w:rPr>
        <w:t>买卖、收购及合并案例资料，计算价值比率，在与被评估单位比较分析的基础上，</w:t>
      </w:r>
      <w:r>
        <w:t>确定评估对象价值的具体方法。</w:t>
      </w:r>
    </w:p>
    <w:p w14:paraId="35762730" w14:textId="77777777" w:rsidR="006833EE" w:rsidRDefault="006833EE" w:rsidP="006833EE">
      <w:pPr>
        <w:pStyle w:val="13"/>
      </w:pPr>
      <w:r>
        <w:rPr>
          <w:rFonts w:hint="eastAsia"/>
        </w:rPr>
        <w:t>控制权以及交易数量可能影响交易案例比较法中的可比企业交易价格。在切实可行的情况下，应当考虑评估对象与交易案例在控制权和流动性方面的差异及其对评估对象价值的影响。</w:t>
      </w:r>
    </w:p>
    <w:p w14:paraId="10CA22A6" w14:textId="77777777" w:rsidR="006833EE" w:rsidRDefault="006833EE" w:rsidP="006833EE">
      <w:pPr>
        <w:pStyle w:val="13"/>
      </w:pPr>
      <w:r>
        <w:rPr>
          <w:rFonts w:hint="eastAsia"/>
        </w:rPr>
        <w:t>如因客观条件限制无法考虑控制权和流动性对评估对象价值的影响，应当在资产评估报告中披露其原因以及可能造成的影响。</w:t>
      </w:r>
    </w:p>
    <w:p w14:paraId="35A000D0" w14:textId="77777777" w:rsidR="006833EE" w:rsidRDefault="006833EE" w:rsidP="006833EE">
      <w:pPr>
        <w:pStyle w:val="13"/>
        <w:ind w:firstLine="482"/>
      </w:pPr>
      <w:r w:rsidRPr="003B2FB1">
        <w:rPr>
          <w:rFonts w:hint="eastAsia"/>
          <w:b/>
          <w:bCs/>
        </w:rPr>
        <w:t xml:space="preserve">第三十三条 </w:t>
      </w:r>
      <w:r>
        <w:t>资产评估专业人员应当关注业务结构、经营模式、企业规模、资产配置和使用情况、企业所处经营阶段、成长性、经营风险、财务风险等因素，恰当选择与被评估单位进行比较分析的可比企业。</w:t>
      </w:r>
    </w:p>
    <w:p w14:paraId="564C027A" w14:textId="77777777" w:rsidR="006833EE" w:rsidRDefault="006833EE" w:rsidP="006833EE">
      <w:pPr>
        <w:pStyle w:val="13"/>
      </w:pPr>
      <w:r>
        <w:rPr>
          <w:rFonts w:hint="eastAsia"/>
        </w:rPr>
        <w:t>资产评估专业人员所选择的可比企业与被评估单位应当具有可比性。可比企业应当与被评估单位属于同一行业，或者受相同经济因素的影响。</w:t>
      </w:r>
    </w:p>
    <w:p w14:paraId="3D07F722" w14:textId="77777777" w:rsidR="006833EE" w:rsidRDefault="006833EE" w:rsidP="006833EE">
      <w:pPr>
        <w:pStyle w:val="13"/>
        <w:ind w:firstLine="482"/>
      </w:pPr>
      <w:r w:rsidRPr="003B2FB1">
        <w:rPr>
          <w:rFonts w:hint="eastAsia"/>
          <w:b/>
          <w:bCs/>
        </w:rPr>
        <w:t xml:space="preserve">第三十四条 </w:t>
      </w:r>
      <w:r>
        <w:t>价值比率通常包括盈利比率、资产比率、收入比率和其他特定比率。</w:t>
      </w:r>
    </w:p>
    <w:p w14:paraId="75A0B402" w14:textId="77777777" w:rsidR="006833EE" w:rsidRDefault="006833EE" w:rsidP="006833EE">
      <w:pPr>
        <w:pStyle w:val="13"/>
      </w:pPr>
      <w:r>
        <w:t>在选择、计算、应用价值比率时，应当考虑：</w:t>
      </w:r>
    </w:p>
    <w:p w14:paraId="312696B5" w14:textId="77777777" w:rsidR="006833EE" w:rsidRDefault="006833EE" w:rsidP="006833EE">
      <w:pPr>
        <w:pStyle w:val="13"/>
      </w:pPr>
      <w:r>
        <w:rPr>
          <w:rFonts w:hint="eastAsia"/>
        </w:rPr>
        <w:t>（一）选择的价值比率有利于合理确定评估对象的价值；</w:t>
      </w:r>
    </w:p>
    <w:p w14:paraId="30705979" w14:textId="77777777" w:rsidR="006833EE" w:rsidRDefault="006833EE" w:rsidP="006833EE">
      <w:pPr>
        <w:pStyle w:val="13"/>
      </w:pPr>
      <w:r>
        <w:rPr>
          <w:rFonts w:hint="eastAsia"/>
        </w:rPr>
        <w:lastRenderedPageBreak/>
        <w:t>（二）计算价值比率的数据口径及计算方式一致；</w:t>
      </w:r>
    </w:p>
    <w:p w14:paraId="612547E1" w14:textId="77777777" w:rsidR="006833EE" w:rsidRDefault="006833EE" w:rsidP="006833EE">
      <w:pPr>
        <w:pStyle w:val="13"/>
      </w:pPr>
      <w:r>
        <w:rPr>
          <w:rFonts w:hint="eastAsia"/>
        </w:rPr>
        <w:t>（三）对可比企业和被评估单位间的差异进行合理调整。</w:t>
      </w:r>
    </w:p>
    <w:p w14:paraId="6E43632B" w14:textId="77777777" w:rsidR="006833EE" w:rsidRDefault="006833EE" w:rsidP="006833EE">
      <w:pPr>
        <w:pStyle w:val="13"/>
        <w:ind w:firstLine="482"/>
      </w:pPr>
      <w:r w:rsidRPr="003B2FB1">
        <w:rPr>
          <w:rFonts w:hint="eastAsia"/>
          <w:b/>
          <w:bCs/>
        </w:rPr>
        <w:t xml:space="preserve">第三十五条 </w:t>
      </w:r>
      <w:r>
        <w:t>企业价值评估中的资产基础法，是指以被评估</w:t>
      </w:r>
      <w:r>
        <w:rPr>
          <w:rFonts w:hint="eastAsia"/>
        </w:rPr>
        <w:t>单位评估基准日的资产负债表为基础，合理评估企业表内及可识别的表外各项资产、负债价值，确定评估对象价值的评估方法。</w:t>
      </w:r>
    </w:p>
    <w:p w14:paraId="2A40600F" w14:textId="77777777" w:rsidR="006833EE" w:rsidRDefault="006833EE" w:rsidP="006833EE">
      <w:pPr>
        <w:pStyle w:val="13"/>
        <w:ind w:firstLine="482"/>
      </w:pPr>
      <w:r w:rsidRPr="003B2FB1">
        <w:rPr>
          <w:rFonts w:hint="eastAsia"/>
          <w:b/>
          <w:bCs/>
        </w:rPr>
        <w:t xml:space="preserve">第三十六条 </w:t>
      </w:r>
      <w:r>
        <w:t>资产评估专业人员应当根据会计政策、企业经营等情况，要求被评估单位对资产负债表表内及表外的各项资产、负债进行识别。</w:t>
      </w:r>
    </w:p>
    <w:p w14:paraId="02B1E79C" w14:textId="77777777" w:rsidR="006833EE" w:rsidRDefault="006833EE" w:rsidP="006833EE">
      <w:pPr>
        <w:pStyle w:val="13"/>
      </w:pPr>
      <w:r>
        <w:rPr>
          <w:rFonts w:hint="eastAsia"/>
        </w:rPr>
        <w:t>资产评估专业人员应当知晓并非每项资产和负债都可以被识别并单独评估。识别出的表外资产与负债应当纳入评估申报文件，并要求委托人或者其指定的相关当事方确认评估范围。当存在对评估对象价值有重大影响且难以识别和评估的资产或者负债时，应当考虑不同评估方法的适用性。</w:t>
      </w:r>
    </w:p>
    <w:p w14:paraId="7E0EFC12" w14:textId="77777777" w:rsidR="006833EE" w:rsidRDefault="006833EE" w:rsidP="006833EE">
      <w:pPr>
        <w:pStyle w:val="13"/>
        <w:ind w:firstLine="482"/>
      </w:pPr>
      <w:r w:rsidRPr="003B2FB1">
        <w:rPr>
          <w:rFonts w:hint="eastAsia"/>
          <w:b/>
          <w:bCs/>
        </w:rPr>
        <w:t xml:space="preserve">第三十七条 </w:t>
      </w:r>
      <w:r>
        <w:t>采用资产基础法进行企业价值评估，各项资产的价值应当根据其具体情况选用适当的具体评估方法得出，所选评估方法可能有别于其作为单项资产评估对象时的具体评估方法，应当考虑其对企业价值的贡献。</w:t>
      </w:r>
    </w:p>
    <w:p w14:paraId="1FE94BC9" w14:textId="77777777" w:rsidR="006833EE" w:rsidRDefault="006833EE" w:rsidP="006833EE">
      <w:pPr>
        <w:pStyle w:val="13"/>
      </w:pPr>
      <w:r>
        <w:rPr>
          <w:rFonts w:hint="eastAsia"/>
        </w:rPr>
        <w:t>资产评估专业人员应当知晓，在对持续经营前提下的企业价值进行评估时，单项资产或者资产组合作为企业资产的组成部分，其价值通常受其对企业贡献程度的影响。</w:t>
      </w:r>
    </w:p>
    <w:p w14:paraId="540D1132" w14:textId="77777777" w:rsidR="006833EE" w:rsidRDefault="006833EE" w:rsidP="006833EE">
      <w:pPr>
        <w:pStyle w:val="13"/>
        <w:ind w:firstLine="482"/>
      </w:pPr>
      <w:r w:rsidRPr="003B2FB1">
        <w:rPr>
          <w:rFonts w:hint="eastAsia"/>
          <w:b/>
          <w:bCs/>
        </w:rPr>
        <w:t xml:space="preserve">第三十八条 </w:t>
      </w:r>
      <w:r>
        <w:t>采用资产基础法进行企业价值评估，应当对长期股权投资项目进行分析，根据被评估单位对长期股权投资项目的实际控制情况以及对评估对象价值的影响程度等因素，确定是否将其单独评估。</w:t>
      </w:r>
    </w:p>
    <w:p w14:paraId="14598754" w14:textId="77777777" w:rsidR="006833EE" w:rsidRDefault="006833EE" w:rsidP="006833EE">
      <w:pPr>
        <w:pStyle w:val="13"/>
      </w:pPr>
      <w:r>
        <w:rPr>
          <w:rFonts w:hint="eastAsia"/>
        </w:rPr>
        <w:t>对专门从长期股权投资获取收益的控股型企业进行评估时，应当考虑控股型企业总部的成本和效益对企业价值的影响。对专门从长期股权投资获取收益的控股型企业的子公司单独进行评估时，应当考虑控股型企业管理机构分摊管理费对企业价值的影响。</w:t>
      </w:r>
    </w:p>
    <w:p w14:paraId="49A96507" w14:textId="77777777" w:rsidR="006833EE" w:rsidRDefault="006833EE" w:rsidP="006833EE">
      <w:pPr>
        <w:pStyle w:val="13"/>
        <w:ind w:firstLine="482"/>
      </w:pPr>
      <w:r w:rsidRPr="003B2FB1">
        <w:rPr>
          <w:rFonts w:hint="eastAsia"/>
          <w:b/>
          <w:bCs/>
        </w:rPr>
        <w:t xml:space="preserve">第三十九条 </w:t>
      </w:r>
      <w:r>
        <w:t>对同一评估对象采用多种评估方法时，应当结合评估目的、不同评估</w:t>
      </w:r>
      <w:r>
        <w:rPr>
          <w:rFonts w:hint="eastAsia"/>
        </w:rPr>
        <w:t>方法使用数据的质量和数量，采用定性或者定量分析方式形成评估结论。</w:t>
      </w:r>
    </w:p>
    <w:p w14:paraId="02958A46" w14:textId="77777777" w:rsidR="006833EE" w:rsidRDefault="006833EE" w:rsidP="00AF7342">
      <w:pPr>
        <w:pStyle w:val="a9"/>
        <w:spacing w:before="62" w:after="62"/>
      </w:pPr>
      <w:r>
        <w:rPr>
          <w:rFonts w:hint="eastAsia"/>
        </w:rPr>
        <w:t>第五章</w:t>
      </w:r>
      <w:r>
        <w:t xml:space="preserve"> 披露要求</w:t>
      </w:r>
    </w:p>
    <w:p w14:paraId="3DE652E8" w14:textId="77777777" w:rsidR="006833EE" w:rsidRDefault="006833EE" w:rsidP="006833EE">
      <w:pPr>
        <w:pStyle w:val="13"/>
        <w:ind w:firstLine="482"/>
      </w:pPr>
      <w:r w:rsidRPr="003B2FB1">
        <w:rPr>
          <w:rFonts w:hint="eastAsia"/>
          <w:b/>
          <w:bCs/>
        </w:rPr>
        <w:t xml:space="preserve">第四十条 </w:t>
      </w:r>
      <w:r>
        <w:t>采用收益</w:t>
      </w:r>
      <w:proofErr w:type="gramStart"/>
      <w:r>
        <w:t>法或者</w:t>
      </w:r>
      <w:proofErr w:type="gramEnd"/>
      <w:r>
        <w:t>市场法进行企业价值评估，通常在资产评估报告中重点披露下列内容：</w:t>
      </w:r>
    </w:p>
    <w:p w14:paraId="48075FF5" w14:textId="77777777" w:rsidR="006833EE" w:rsidRDefault="006833EE" w:rsidP="006833EE">
      <w:pPr>
        <w:pStyle w:val="13"/>
      </w:pPr>
      <w:r>
        <w:rPr>
          <w:rFonts w:hint="eastAsia"/>
        </w:rPr>
        <w:t>（一）影响企业经营的宏观、区域经济因素；</w:t>
      </w:r>
    </w:p>
    <w:p w14:paraId="5DF90408" w14:textId="77777777" w:rsidR="006833EE" w:rsidRDefault="006833EE" w:rsidP="006833EE">
      <w:pPr>
        <w:pStyle w:val="13"/>
      </w:pPr>
      <w:r>
        <w:rPr>
          <w:rFonts w:hint="eastAsia"/>
        </w:rPr>
        <w:t>（二）所在行业现状与发展前景；</w:t>
      </w:r>
    </w:p>
    <w:p w14:paraId="351C926E" w14:textId="77777777" w:rsidR="006833EE" w:rsidRDefault="006833EE" w:rsidP="006833EE">
      <w:pPr>
        <w:pStyle w:val="13"/>
      </w:pPr>
      <w:r>
        <w:rPr>
          <w:rFonts w:hint="eastAsia"/>
        </w:rPr>
        <w:t>（三）企业的业务分析情况；</w:t>
      </w:r>
    </w:p>
    <w:p w14:paraId="242A528A" w14:textId="77777777" w:rsidR="006833EE" w:rsidRDefault="006833EE" w:rsidP="006833EE">
      <w:pPr>
        <w:pStyle w:val="13"/>
      </w:pPr>
      <w:r>
        <w:rPr>
          <w:rFonts w:hint="eastAsia"/>
        </w:rPr>
        <w:t>（四）企业主要产品或者服务的经济寿命情况以及预期替代产品或者服务的情况；</w:t>
      </w:r>
    </w:p>
    <w:p w14:paraId="06AD440A" w14:textId="77777777" w:rsidR="006833EE" w:rsidRDefault="006833EE" w:rsidP="006833EE">
      <w:pPr>
        <w:pStyle w:val="13"/>
      </w:pPr>
      <w:r>
        <w:rPr>
          <w:rFonts w:hint="eastAsia"/>
        </w:rPr>
        <w:lastRenderedPageBreak/>
        <w:t>（五）企业的资产、财务分析和调整情况；</w:t>
      </w:r>
    </w:p>
    <w:p w14:paraId="4017E72F" w14:textId="77777777" w:rsidR="006833EE" w:rsidRDefault="006833EE" w:rsidP="006833EE">
      <w:pPr>
        <w:pStyle w:val="13"/>
      </w:pPr>
      <w:r>
        <w:rPr>
          <w:rFonts w:hint="eastAsia"/>
        </w:rPr>
        <w:t>（六）评估方法的运用过程。</w:t>
      </w:r>
    </w:p>
    <w:p w14:paraId="700CCEB6" w14:textId="77777777" w:rsidR="006833EE" w:rsidRDefault="006833EE" w:rsidP="006833EE">
      <w:pPr>
        <w:pStyle w:val="13"/>
        <w:ind w:firstLine="482"/>
      </w:pPr>
      <w:r w:rsidRPr="003B2FB1">
        <w:rPr>
          <w:rFonts w:hint="eastAsia"/>
          <w:b/>
          <w:bCs/>
        </w:rPr>
        <w:t xml:space="preserve">第四十一条 </w:t>
      </w:r>
      <w:r>
        <w:t>在资产评估报告中披露影响企业经营的宏观、区域经济因素时，通常包括下列内容：</w:t>
      </w:r>
    </w:p>
    <w:p w14:paraId="366317C0" w14:textId="77777777" w:rsidR="006833EE" w:rsidRDefault="006833EE" w:rsidP="006833EE">
      <w:pPr>
        <w:pStyle w:val="13"/>
      </w:pPr>
      <w:r>
        <w:rPr>
          <w:rFonts w:hint="eastAsia"/>
        </w:rPr>
        <w:t>（一）国家、地区有关企业经营的法律、行政法规和其他相关文件；</w:t>
      </w:r>
    </w:p>
    <w:p w14:paraId="1292EF81" w14:textId="77777777" w:rsidR="006833EE" w:rsidRDefault="006833EE" w:rsidP="006833EE">
      <w:pPr>
        <w:pStyle w:val="13"/>
      </w:pPr>
      <w:r>
        <w:rPr>
          <w:rFonts w:hint="eastAsia"/>
        </w:rPr>
        <w:t>（二）国家、地区经济形势及未来发展趋势；</w:t>
      </w:r>
    </w:p>
    <w:p w14:paraId="29FAD7AB" w14:textId="77777777" w:rsidR="006833EE" w:rsidRDefault="006833EE" w:rsidP="006833EE">
      <w:pPr>
        <w:pStyle w:val="13"/>
      </w:pPr>
      <w:r>
        <w:rPr>
          <w:rFonts w:hint="eastAsia"/>
        </w:rPr>
        <w:t>（三）有关财政、货币政策等。</w:t>
      </w:r>
    </w:p>
    <w:p w14:paraId="1730909E" w14:textId="77777777" w:rsidR="006833EE" w:rsidRDefault="006833EE" w:rsidP="006833EE">
      <w:pPr>
        <w:pStyle w:val="13"/>
        <w:ind w:firstLine="482"/>
      </w:pPr>
      <w:r w:rsidRPr="003B2FB1">
        <w:rPr>
          <w:rFonts w:hint="eastAsia"/>
          <w:b/>
          <w:bCs/>
        </w:rPr>
        <w:t xml:space="preserve">第四十二条 </w:t>
      </w:r>
      <w:r>
        <w:t>在资产评估报告中披露所在行业现状与发展前景时，通常包括下列内</w:t>
      </w:r>
      <w:r>
        <w:rPr>
          <w:rFonts w:hint="eastAsia"/>
        </w:rPr>
        <w:t>容：</w:t>
      </w:r>
    </w:p>
    <w:p w14:paraId="3D28BA8A" w14:textId="77777777" w:rsidR="006833EE" w:rsidRDefault="006833EE" w:rsidP="006833EE">
      <w:pPr>
        <w:pStyle w:val="13"/>
      </w:pPr>
      <w:r>
        <w:rPr>
          <w:rFonts w:hint="eastAsia"/>
        </w:rPr>
        <w:t>（一）行业主要政策规定；</w:t>
      </w:r>
    </w:p>
    <w:p w14:paraId="5E89225D" w14:textId="77777777" w:rsidR="006833EE" w:rsidRDefault="006833EE" w:rsidP="006833EE">
      <w:pPr>
        <w:pStyle w:val="13"/>
      </w:pPr>
      <w:r>
        <w:rPr>
          <w:rFonts w:hint="eastAsia"/>
        </w:rPr>
        <w:t>（二）行业竞争情况；</w:t>
      </w:r>
    </w:p>
    <w:p w14:paraId="4DF828A5" w14:textId="77777777" w:rsidR="006833EE" w:rsidRDefault="006833EE" w:rsidP="006833EE">
      <w:pPr>
        <w:pStyle w:val="13"/>
      </w:pPr>
      <w:r>
        <w:rPr>
          <w:rFonts w:hint="eastAsia"/>
        </w:rPr>
        <w:t>（三）行业发展的有利和不利因素；</w:t>
      </w:r>
    </w:p>
    <w:p w14:paraId="443C1A22" w14:textId="77777777" w:rsidR="006833EE" w:rsidRDefault="006833EE" w:rsidP="006833EE">
      <w:pPr>
        <w:pStyle w:val="13"/>
      </w:pPr>
      <w:r>
        <w:rPr>
          <w:rFonts w:hint="eastAsia"/>
        </w:rPr>
        <w:t>（四）行业特有的经营模式，行业的周期性、区域性和季节性特征等；</w:t>
      </w:r>
    </w:p>
    <w:p w14:paraId="50C35C2C" w14:textId="77777777" w:rsidR="006833EE" w:rsidRDefault="006833EE" w:rsidP="006833EE">
      <w:pPr>
        <w:pStyle w:val="13"/>
      </w:pPr>
      <w:r>
        <w:rPr>
          <w:rFonts w:hint="eastAsia"/>
        </w:rPr>
        <w:t>（五）企业所在行业与上下游行业之间的关联性，上下游行业发展对本行业发展的有利和不利影响。</w:t>
      </w:r>
    </w:p>
    <w:p w14:paraId="71B3EB4F" w14:textId="77777777" w:rsidR="006833EE" w:rsidRDefault="006833EE" w:rsidP="006833EE">
      <w:pPr>
        <w:pStyle w:val="13"/>
        <w:ind w:firstLine="482"/>
      </w:pPr>
      <w:r w:rsidRPr="003B2FB1">
        <w:rPr>
          <w:rFonts w:hint="eastAsia"/>
          <w:b/>
          <w:bCs/>
        </w:rPr>
        <w:t xml:space="preserve">第四十三条 </w:t>
      </w:r>
      <w:r>
        <w:t>在资产评估报告中披露企业的业务分析情况时，通常包括下列内容：</w:t>
      </w:r>
    </w:p>
    <w:p w14:paraId="1E57220C" w14:textId="77777777" w:rsidR="006833EE" w:rsidRDefault="006833EE" w:rsidP="006833EE">
      <w:pPr>
        <w:pStyle w:val="13"/>
      </w:pPr>
      <w:r>
        <w:rPr>
          <w:rFonts w:hint="eastAsia"/>
        </w:rPr>
        <w:t>（一）主要产品或者服务的用途；</w:t>
      </w:r>
    </w:p>
    <w:p w14:paraId="0FC1F304" w14:textId="77777777" w:rsidR="006833EE" w:rsidRDefault="006833EE" w:rsidP="006833EE">
      <w:pPr>
        <w:pStyle w:val="13"/>
      </w:pPr>
      <w:r>
        <w:rPr>
          <w:rFonts w:hint="eastAsia"/>
        </w:rPr>
        <w:t>（二）经营模式；</w:t>
      </w:r>
    </w:p>
    <w:p w14:paraId="1E948CF7" w14:textId="77777777" w:rsidR="006833EE" w:rsidRDefault="006833EE" w:rsidP="006833EE">
      <w:pPr>
        <w:pStyle w:val="13"/>
      </w:pPr>
      <w:r>
        <w:rPr>
          <w:rFonts w:hint="eastAsia"/>
        </w:rPr>
        <w:t>（三）经营管理状况；</w:t>
      </w:r>
    </w:p>
    <w:p w14:paraId="43F08F29" w14:textId="77777777" w:rsidR="006833EE" w:rsidRDefault="006833EE" w:rsidP="006833EE">
      <w:pPr>
        <w:pStyle w:val="13"/>
      </w:pPr>
      <w:r>
        <w:rPr>
          <w:rFonts w:hint="eastAsia"/>
        </w:rPr>
        <w:t>（四）企业在行业中的地位、竞争优势及劣势；</w:t>
      </w:r>
    </w:p>
    <w:p w14:paraId="7EB0F0E8" w14:textId="77777777" w:rsidR="006833EE" w:rsidRDefault="006833EE" w:rsidP="006833EE">
      <w:pPr>
        <w:pStyle w:val="13"/>
      </w:pPr>
      <w:r>
        <w:rPr>
          <w:rFonts w:hint="eastAsia"/>
        </w:rPr>
        <w:t>（五）企业的发展战略及经营策略等。</w:t>
      </w:r>
    </w:p>
    <w:p w14:paraId="6516EC64" w14:textId="77777777" w:rsidR="006833EE" w:rsidRDefault="006833EE" w:rsidP="006833EE">
      <w:pPr>
        <w:pStyle w:val="13"/>
        <w:ind w:firstLine="482"/>
      </w:pPr>
      <w:r w:rsidRPr="003B2FB1">
        <w:rPr>
          <w:rFonts w:hint="eastAsia"/>
          <w:b/>
          <w:bCs/>
        </w:rPr>
        <w:t xml:space="preserve">第四十四条 </w:t>
      </w:r>
      <w:r>
        <w:t>在资产评估报告中披露企业的资产、财务分析和调整情况时，通常包括下列内容：</w:t>
      </w:r>
    </w:p>
    <w:p w14:paraId="3B7798C3" w14:textId="77777777" w:rsidR="006833EE" w:rsidRDefault="006833EE" w:rsidP="006833EE">
      <w:pPr>
        <w:pStyle w:val="13"/>
      </w:pPr>
      <w:r>
        <w:rPr>
          <w:rFonts w:hint="eastAsia"/>
        </w:rPr>
        <w:t>（一）资产配置和使用的情况；</w:t>
      </w:r>
    </w:p>
    <w:p w14:paraId="762C41E9" w14:textId="77777777" w:rsidR="006833EE" w:rsidRDefault="006833EE" w:rsidP="006833EE">
      <w:pPr>
        <w:pStyle w:val="13"/>
      </w:pPr>
      <w:r>
        <w:rPr>
          <w:rFonts w:hint="eastAsia"/>
        </w:rPr>
        <w:t>（二）历史财务资料的分析总结，一般包括历史年度财务分析、与所在行业或者可比企业的财务比较分析等；</w:t>
      </w:r>
    </w:p>
    <w:p w14:paraId="1AE97604" w14:textId="77777777" w:rsidR="006833EE" w:rsidRDefault="006833EE" w:rsidP="006833EE">
      <w:pPr>
        <w:pStyle w:val="13"/>
      </w:pPr>
      <w:r>
        <w:rPr>
          <w:rFonts w:hint="eastAsia"/>
        </w:rPr>
        <w:t>（三）对财务报表及评估中使用的资料的重大或者实质性调整。</w:t>
      </w:r>
    </w:p>
    <w:p w14:paraId="0961405D" w14:textId="77777777" w:rsidR="006833EE" w:rsidRDefault="006833EE" w:rsidP="006833EE">
      <w:pPr>
        <w:pStyle w:val="13"/>
        <w:ind w:firstLine="482"/>
      </w:pPr>
      <w:r w:rsidRPr="003B2FB1">
        <w:rPr>
          <w:rFonts w:hint="eastAsia"/>
          <w:b/>
          <w:bCs/>
        </w:rPr>
        <w:t xml:space="preserve">第四十五条 </w:t>
      </w:r>
      <w:r>
        <w:t>在资产评估报告中披露评估方法的运用过程时，通常包括下列内容：</w:t>
      </w:r>
    </w:p>
    <w:p w14:paraId="72EED925" w14:textId="77777777" w:rsidR="006833EE" w:rsidRDefault="006833EE" w:rsidP="006833EE">
      <w:pPr>
        <w:pStyle w:val="13"/>
      </w:pPr>
      <w:r>
        <w:rPr>
          <w:rFonts w:hint="eastAsia"/>
        </w:rPr>
        <w:t>（一）评估方法的选择及其理由；</w:t>
      </w:r>
    </w:p>
    <w:p w14:paraId="500D4478" w14:textId="77777777" w:rsidR="006833EE" w:rsidRDefault="006833EE" w:rsidP="006833EE">
      <w:pPr>
        <w:pStyle w:val="13"/>
      </w:pPr>
      <w:r>
        <w:rPr>
          <w:rFonts w:hint="eastAsia"/>
        </w:rPr>
        <w:t>（二）评估方法的运用和逻辑推理过程；</w:t>
      </w:r>
    </w:p>
    <w:p w14:paraId="28089C51" w14:textId="77777777" w:rsidR="006833EE" w:rsidRDefault="006833EE" w:rsidP="006833EE">
      <w:pPr>
        <w:pStyle w:val="13"/>
      </w:pPr>
      <w:r>
        <w:rPr>
          <w:rFonts w:hint="eastAsia"/>
        </w:rPr>
        <w:t>（三）主要参数的来源、分析、比较和测算过程；</w:t>
      </w:r>
    </w:p>
    <w:p w14:paraId="6D619867" w14:textId="77777777" w:rsidR="006833EE" w:rsidRDefault="006833EE" w:rsidP="006833EE">
      <w:pPr>
        <w:pStyle w:val="13"/>
      </w:pPr>
      <w:r>
        <w:rPr>
          <w:rFonts w:hint="eastAsia"/>
        </w:rPr>
        <w:t>（四）考虑的控制权和流动性影响；</w:t>
      </w:r>
    </w:p>
    <w:p w14:paraId="5420A479" w14:textId="77777777" w:rsidR="006833EE" w:rsidRDefault="006833EE" w:rsidP="006833EE">
      <w:pPr>
        <w:pStyle w:val="13"/>
      </w:pPr>
      <w:r>
        <w:rPr>
          <w:rFonts w:hint="eastAsia"/>
        </w:rPr>
        <w:t>（五）对测算结果进行分析，形成最终评估结论的过程。</w:t>
      </w:r>
    </w:p>
    <w:p w14:paraId="035295F2" w14:textId="77777777" w:rsidR="006833EE" w:rsidRDefault="006833EE" w:rsidP="006833EE">
      <w:pPr>
        <w:pStyle w:val="13"/>
        <w:ind w:firstLine="482"/>
      </w:pPr>
      <w:r w:rsidRPr="003B2FB1">
        <w:rPr>
          <w:rFonts w:hint="eastAsia"/>
          <w:b/>
          <w:bCs/>
        </w:rPr>
        <w:t xml:space="preserve">第四十六条 </w:t>
      </w:r>
      <w:r>
        <w:t>资产评估专业人员应当在资产评估报告中披露无法核查验证的事</w:t>
      </w:r>
      <w:r>
        <w:lastRenderedPageBreak/>
        <w:t>项及其对评估结论的影响。</w:t>
      </w:r>
    </w:p>
    <w:p w14:paraId="124F0C2E" w14:textId="77777777" w:rsidR="006833EE" w:rsidRDefault="006833EE" w:rsidP="006833EE">
      <w:pPr>
        <w:pStyle w:val="13"/>
        <w:ind w:firstLine="482"/>
      </w:pPr>
      <w:r w:rsidRPr="003B2FB1">
        <w:rPr>
          <w:rFonts w:hint="eastAsia"/>
          <w:b/>
          <w:bCs/>
        </w:rPr>
        <w:t xml:space="preserve">第四十七条 </w:t>
      </w:r>
      <w:r>
        <w:t>资产评估报告应当载明：委托人或者其他资产评估报告使用人未按照法律、行政法规规定和资产评估报告载明的使用范围使用资产评估报告的，资产评估机构及其资产评估专业人员不承担责任；除委托人、资产评估委托合同中约定的其他资产评估报告使用人和法律、行政法规规定的资产评估报告使用人之外，其他任何机构和个人不能成为资产评估报告的使用人。</w:t>
      </w:r>
    </w:p>
    <w:p w14:paraId="7D92FB14" w14:textId="77777777" w:rsidR="006833EE" w:rsidRDefault="006833EE" w:rsidP="006833EE">
      <w:pPr>
        <w:pStyle w:val="13"/>
        <w:ind w:firstLine="482"/>
      </w:pPr>
      <w:r w:rsidRPr="004962A7">
        <w:rPr>
          <w:rFonts w:hint="eastAsia"/>
          <w:b/>
          <w:bCs/>
        </w:rPr>
        <w:t>第四十八</w:t>
      </w:r>
      <w:r>
        <w:rPr>
          <w:rFonts w:hint="eastAsia"/>
          <w:b/>
          <w:bCs/>
        </w:rPr>
        <w:t xml:space="preserve">条 </w:t>
      </w:r>
      <w:r>
        <w:t>资产评估专业人员应当在资产评估报告中提醒资产评估报告使用人正确理解评估结论，评估结论不等同于</w:t>
      </w:r>
    </w:p>
    <w:p w14:paraId="0AB73238" w14:textId="77777777" w:rsidR="006833EE" w:rsidRDefault="006833EE" w:rsidP="006833EE">
      <w:pPr>
        <w:pStyle w:val="13"/>
      </w:pPr>
      <w:r>
        <w:rPr>
          <w:rFonts w:hint="eastAsia"/>
        </w:rPr>
        <w:t>评估对象可实现价格，评估结论不应当被认为是对评估对象可实现价格的保证。</w:t>
      </w:r>
    </w:p>
    <w:p w14:paraId="310E3CE0" w14:textId="77777777" w:rsidR="006833EE" w:rsidRDefault="006833EE" w:rsidP="006833EE">
      <w:pPr>
        <w:pStyle w:val="13"/>
        <w:ind w:firstLine="482"/>
      </w:pPr>
      <w:r w:rsidRPr="004962A7">
        <w:rPr>
          <w:rFonts w:hint="eastAsia"/>
          <w:b/>
          <w:bCs/>
        </w:rPr>
        <w:t>第四十九</w:t>
      </w:r>
      <w:r>
        <w:rPr>
          <w:rFonts w:hint="eastAsia"/>
          <w:b/>
          <w:bCs/>
        </w:rPr>
        <w:t xml:space="preserve">条 </w:t>
      </w:r>
      <w:r>
        <w:t>资产评估专业人员可以根据评估对象的复杂程度、委托人要求，确定</w:t>
      </w:r>
      <w:r>
        <w:rPr>
          <w:rFonts w:hint="eastAsia"/>
        </w:rPr>
        <w:t>资产评估报告的详略程度。</w:t>
      </w:r>
    </w:p>
    <w:p w14:paraId="0A422F80" w14:textId="77777777" w:rsidR="006833EE" w:rsidRDefault="006833EE" w:rsidP="00AF7342">
      <w:pPr>
        <w:pStyle w:val="a9"/>
        <w:spacing w:before="62" w:after="62"/>
      </w:pPr>
      <w:r>
        <w:rPr>
          <w:rFonts w:hint="eastAsia"/>
        </w:rPr>
        <w:t>第六章</w:t>
      </w:r>
      <w:r>
        <w:t xml:space="preserve"> 附则</w:t>
      </w:r>
    </w:p>
    <w:p w14:paraId="2824F7FA" w14:textId="77777777" w:rsidR="006833EE" w:rsidRDefault="006833EE" w:rsidP="006833EE">
      <w:pPr>
        <w:pStyle w:val="13"/>
        <w:ind w:firstLine="482"/>
      </w:pPr>
      <w:r w:rsidRPr="004962A7">
        <w:rPr>
          <w:rFonts w:hint="eastAsia"/>
          <w:b/>
          <w:bCs/>
        </w:rPr>
        <w:t>第五十</w:t>
      </w:r>
      <w:r>
        <w:rPr>
          <w:rFonts w:hint="eastAsia"/>
          <w:b/>
          <w:bCs/>
        </w:rPr>
        <w:t xml:space="preserve">条 </w:t>
      </w:r>
      <w:r>
        <w:t>本准则自 2019年1月1日起施行。中国资产评估协会于 2017年9月8日</w:t>
      </w:r>
      <w:r>
        <w:rPr>
          <w:rFonts w:hint="eastAsia"/>
        </w:rPr>
        <w:t>发布的《关于印发</w:t>
      </w:r>
      <w:r>
        <w:t>&lt;资产评估执业准则—企业价值&gt;的通知》（</w:t>
      </w:r>
      <w:proofErr w:type="gramStart"/>
      <w:r>
        <w:t>中评协</w:t>
      </w:r>
      <w:proofErr w:type="gramEnd"/>
      <w:r>
        <w:t>〔2017〕36号）中的《资产评估执业准则—企业价值》同时废止。</w:t>
      </w:r>
    </w:p>
    <w:p w14:paraId="31075C8E" w14:textId="77777777" w:rsidR="007E4B49" w:rsidRDefault="007E4B49" w:rsidP="007E4B49">
      <w:pPr>
        <w:pStyle w:val="21"/>
        <w:spacing w:before="156" w:after="93"/>
      </w:pPr>
      <w:bookmarkStart w:id="31" w:name="_Toc81833311"/>
      <w:r>
        <w:rPr>
          <w:rFonts w:hint="eastAsia"/>
        </w:rPr>
        <w:t>评估指南</w:t>
      </w:r>
      <w:bookmarkEnd w:id="31"/>
    </w:p>
    <w:p w14:paraId="167BBE89" w14:textId="77777777" w:rsidR="007E4B49" w:rsidRDefault="007E4B49" w:rsidP="00BA0482">
      <w:pPr>
        <w:pStyle w:val="31"/>
        <w:spacing w:before="156" w:after="62"/>
      </w:pPr>
      <w:bookmarkStart w:id="32" w:name="_Toc81833312"/>
      <w:r>
        <w:rPr>
          <w:rFonts w:hint="eastAsia"/>
        </w:rPr>
        <w:t>企业国有资产评估报告指南（</w:t>
      </w:r>
      <w:proofErr w:type="gramStart"/>
      <w:r>
        <w:rPr>
          <w:rFonts w:hint="eastAsia"/>
        </w:rPr>
        <w:t>中评协</w:t>
      </w:r>
      <w:proofErr w:type="gramEnd"/>
      <w:r>
        <w:rPr>
          <w:rFonts w:hint="eastAsia"/>
        </w:rPr>
        <w:t>〔</w:t>
      </w:r>
      <w:r>
        <w:t>2017〕42号）</w:t>
      </w:r>
      <w:bookmarkEnd w:id="32"/>
    </w:p>
    <w:p w14:paraId="2449460C" w14:textId="77777777" w:rsidR="007E4B49" w:rsidRDefault="007E4B49" w:rsidP="007E4B49">
      <w:pPr>
        <w:pStyle w:val="13"/>
        <w:ind w:firstLineChars="0" w:firstLine="0"/>
      </w:pPr>
      <w:r>
        <w:rPr>
          <w:rFonts w:hint="eastAsia"/>
        </w:rPr>
        <w:t>各省、自治区、直辖市、计划单列市资产评估协会（注册会计师协会）：</w:t>
      </w:r>
    </w:p>
    <w:p w14:paraId="255CA0A0" w14:textId="7061416C" w:rsidR="007E4B49" w:rsidRDefault="007E4B49" w:rsidP="007E4B49">
      <w:pPr>
        <w:pStyle w:val="13"/>
      </w:pPr>
      <w:r>
        <w:rPr>
          <w:rFonts w:hint="eastAsia"/>
        </w:rPr>
        <w:t xml:space="preserve">为贯彻落实《资产评估法》，规范资产评估执业行为，保证资产评估执业质量，保护资产评估当事人合法权益和公共利益，在财政部和国资委指导下，中国资产评估协会根据《资产评估基本准则》，对《企业国有资产评估报告指南》进行了修订，现予印发，自 </w:t>
      </w:r>
      <w:r>
        <w:t>2017</w:t>
      </w:r>
      <w:r w:rsidR="003068F8">
        <w:t>年</w:t>
      </w:r>
      <w:r>
        <w:t>10</w:t>
      </w:r>
      <w:r w:rsidR="003068F8">
        <w:t>月</w:t>
      </w:r>
      <w:r>
        <w:t>1</w:t>
      </w:r>
      <w:r w:rsidR="003068F8">
        <w:t>日</w:t>
      </w:r>
      <w:r>
        <w:t>起施行。</w:t>
      </w:r>
    </w:p>
    <w:p w14:paraId="6D8ADD8F" w14:textId="77777777" w:rsidR="007E4B49" w:rsidRDefault="007E4B49" w:rsidP="007E4B49">
      <w:pPr>
        <w:pStyle w:val="13"/>
      </w:pPr>
      <w:r>
        <w:rPr>
          <w:rFonts w:hint="eastAsia"/>
        </w:rPr>
        <w:t>请各地</w:t>
      </w:r>
      <w:proofErr w:type="gramStart"/>
      <w:r>
        <w:rPr>
          <w:rFonts w:hint="eastAsia"/>
        </w:rPr>
        <w:t>方协会</w:t>
      </w:r>
      <w:proofErr w:type="gramEnd"/>
      <w:r>
        <w:rPr>
          <w:rFonts w:hint="eastAsia"/>
        </w:rPr>
        <w:t>将《企业国有资产评估报告指南》及时转发资产评估机构，组织资产评估机构和资产评估专业人员进行学习和培训，并将执行过程中发现的问题及时上报中国资产评估协会。</w:t>
      </w:r>
    </w:p>
    <w:p w14:paraId="0362A313" w14:textId="77777777" w:rsidR="007E4B49" w:rsidRDefault="007E4B49" w:rsidP="007E4B49">
      <w:pPr>
        <w:pStyle w:val="13"/>
      </w:pPr>
      <w:r>
        <w:rPr>
          <w:rFonts w:hint="eastAsia"/>
        </w:rPr>
        <w:t>附件：《企业国有资产评估报告指南》</w:t>
      </w:r>
    </w:p>
    <w:p w14:paraId="7A16C792" w14:textId="77777777" w:rsidR="007E4B49" w:rsidRDefault="007E4B49" w:rsidP="007E4B49">
      <w:pPr>
        <w:pStyle w:val="13"/>
        <w:jc w:val="right"/>
      </w:pPr>
      <w:r>
        <w:rPr>
          <w:rFonts w:hint="eastAsia"/>
        </w:rPr>
        <w:t>中国资产评估协会</w:t>
      </w:r>
    </w:p>
    <w:p w14:paraId="56F32AAB" w14:textId="52B72EAD" w:rsidR="007E4B49" w:rsidRDefault="007E4B49" w:rsidP="007E4B49">
      <w:pPr>
        <w:pStyle w:val="13"/>
        <w:jc w:val="right"/>
      </w:pPr>
      <w:r>
        <w:t>2017</w:t>
      </w:r>
      <w:r w:rsidR="003068F8">
        <w:t>年</w:t>
      </w:r>
      <w:r>
        <w:t>9</w:t>
      </w:r>
      <w:r w:rsidR="003068F8">
        <w:t>月</w:t>
      </w:r>
      <w:r>
        <w:t>8</w:t>
      </w:r>
      <w:r w:rsidR="003068F8">
        <w:t>日</w:t>
      </w:r>
    </w:p>
    <w:p w14:paraId="79E1C855" w14:textId="77777777" w:rsidR="007E4B49" w:rsidRDefault="007E4B49" w:rsidP="00AF7342">
      <w:pPr>
        <w:pStyle w:val="a9"/>
        <w:spacing w:before="62" w:after="62"/>
      </w:pPr>
      <w:r>
        <w:rPr>
          <w:rFonts w:hint="eastAsia"/>
        </w:rPr>
        <w:t>企业国有资产评估报告指南</w:t>
      </w:r>
    </w:p>
    <w:p w14:paraId="65CF54F8" w14:textId="77777777" w:rsidR="007E4B49" w:rsidRDefault="007E4B49" w:rsidP="00AF7342">
      <w:pPr>
        <w:pStyle w:val="a9"/>
        <w:spacing w:before="62" w:after="62"/>
      </w:pPr>
      <w:r>
        <w:rPr>
          <w:rFonts w:hint="eastAsia"/>
        </w:rPr>
        <w:t>第一章</w:t>
      </w:r>
      <w:r>
        <w:t xml:space="preserve"> 总则</w:t>
      </w:r>
    </w:p>
    <w:p w14:paraId="5DFBA41B" w14:textId="6EB0FC98" w:rsidR="007E4B49" w:rsidRDefault="004E3EBB" w:rsidP="007E4B49">
      <w:pPr>
        <w:pStyle w:val="13"/>
        <w:ind w:firstLine="482"/>
      </w:pPr>
      <w:r w:rsidRPr="004E3EBB">
        <w:rPr>
          <w:rFonts w:hint="eastAsia"/>
          <w:b/>
          <w:bCs/>
        </w:rPr>
        <w:t xml:space="preserve">第一条 </w:t>
      </w:r>
      <w:r w:rsidR="007E4B49">
        <w:t>为规范企业国有资产评估报告编制和出具行为，保护资产评估当事人合法权益和公共利益，根据国有资产评估管理有关规定和《资产评估执业准则—资产评</w:t>
      </w:r>
      <w:r w:rsidR="007E4B49">
        <w:lastRenderedPageBreak/>
        <w:t>估报告》制定本指南。</w:t>
      </w:r>
    </w:p>
    <w:p w14:paraId="19D37CDF" w14:textId="4E264BCC" w:rsidR="007E4B49" w:rsidRDefault="004E3EBB" w:rsidP="007E4B49">
      <w:pPr>
        <w:pStyle w:val="13"/>
        <w:ind w:firstLine="482"/>
      </w:pPr>
      <w:r w:rsidRPr="004E3EBB">
        <w:rPr>
          <w:rFonts w:hint="eastAsia"/>
          <w:b/>
          <w:bCs/>
        </w:rPr>
        <w:t xml:space="preserve">第二条 </w:t>
      </w:r>
      <w:r w:rsidR="007E4B49">
        <w:t>资产评估机构及其资产评估师根据企业国有资产评估管理的有关规定开展资产评估业务，编制和出具企业国有资产评估报告，应当遵守本指南。</w:t>
      </w:r>
    </w:p>
    <w:p w14:paraId="616A416A" w14:textId="77777777" w:rsidR="007E4B49" w:rsidRDefault="007E4B49" w:rsidP="007E4B49">
      <w:pPr>
        <w:pStyle w:val="13"/>
      </w:pPr>
      <w:r>
        <w:rPr>
          <w:rFonts w:hint="eastAsia"/>
        </w:rPr>
        <w:t>金融企业和行政事业单位国有资产评估报告另行规范。</w:t>
      </w:r>
    </w:p>
    <w:p w14:paraId="445C6782" w14:textId="1C9A3C34" w:rsidR="007E4B49" w:rsidRDefault="004E3EBB" w:rsidP="007E4B49">
      <w:pPr>
        <w:pStyle w:val="13"/>
        <w:ind w:firstLine="482"/>
      </w:pPr>
      <w:r w:rsidRPr="004E3EBB">
        <w:rPr>
          <w:rFonts w:hint="eastAsia"/>
          <w:b/>
          <w:bCs/>
        </w:rPr>
        <w:t xml:space="preserve">第三条 </w:t>
      </w:r>
      <w:r w:rsidR="007E4B49">
        <w:t>本指南所指企业国有资产评估报告（以下简称资产评估报告），由标题及文号、目录、声明、摘要、正文、附件、评估明细表和评估说明构成。</w:t>
      </w:r>
    </w:p>
    <w:p w14:paraId="27FBC490" w14:textId="3614DBA7" w:rsidR="007E4B49" w:rsidRDefault="004E3EBB" w:rsidP="007E4B49">
      <w:pPr>
        <w:pStyle w:val="13"/>
        <w:ind w:firstLine="482"/>
      </w:pPr>
      <w:r w:rsidRPr="004E3EBB">
        <w:rPr>
          <w:rFonts w:hint="eastAsia"/>
          <w:b/>
          <w:bCs/>
        </w:rPr>
        <w:t xml:space="preserve">第四条 </w:t>
      </w:r>
      <w:r w:rsidR="007E4B49">
        <w:t>资产评估机构及其资产评估</w:t>
      </w:r>
      <w:proofErr w:type="gramStart"/>
      <w:r w:rsidR="007E4B49">
        <w:t>师应当</w:t>
      </w:r>
      <w:proofErr w:type="gramEnd"/>
      <w:r w:rsidR="007E4B49">
        <w:t>清晰、准确陈述资产评估报告内容，不得使用误导性的表述。</w:t>
      </w:r>
    </w:p>
    <w:p w14:paraId="00B09618" w14:textId="2A447105" w:rsidR="007E4B49" w:rsidRDefault="004E3EBB" w:rsidP="007E4B49">
      <w:pPr>
        <w:pStyle w:val="13"/>
        <w:ind w:firstLine="482"/>
      </w:pPr>
      <w:r w:rsidRPr="004E3EBB">
        <w:rPr>
          <w:rFonts w:hint="eastAsia"/>
          <w:b/>
          <w:bCs/>
        </w:rPr>
        <w:t xml:space="preserve">第五条 </w:t>
      </w:r>
      <w:r w:rsidR="007E4B49">
        <w:t>资产评估报告提供的信息，应当使企业国有资产监督管理机构和相关机构能够全面了解资产评估情况，使资产评估报告使用人正确理解评估结论。</w:t>
      </w:r>
    </w:p>
    <w:p w14:paraId="117AB8AA" w14:textId="0A5EDEA1" w:rsidR="007E4B49" w:rsidRDefault="004E3EBB" w:rsidP="007E4B49">
      <w:pPr>
        <w:pStyle w:val="13"/>
        <w:ind w:firstLine="482"/>
      </w:pPr>
      <w:r w:rsidRPr="004E3EBB">
        <w:rPr>
          <w:rFonts w:hint="eastAsia"/>
          <w:b/>
          <w:bCs/>
        </w:rPr>
        <w:t xml:space="preserve">第六条 </w:t>
      </w:r>
      <w:r w:rsidR="007E4B49">
        <w:t>资产评估报告内容应当完整，符合本指南的要求。</w:t>
      </w:r>
    </w:p>
    <w:p w14:paraId="2C0B101A" w14:textId="77777777" w:rsidR="007E4B49" w:rsidRDefault="007E4B49" w:rsidP="00AF7342">
      <w:pPr>
        <w:pStyle w:val="a9"/>
        <w:spacing w:before="62" w:after="62"/>
      </w:pPr>
      <w:r>
        <w:rPr>
          <w:rFonts w:hint="eastAsia"/>
        </w:rPr>
        <w:t>第二章</w:t>
      </w:r>
      <w:r>
        <w:t xml:space="preserve"> 标题及文号、目录、声明和摘要</w:t>
      </w:r>
    </w:p>
    <w:p w14:paraId="3F757938" w14:textId="36407B4F" w:rsidR="007E4B49" w:rsidRDefault="004E3EBB" w:rsidP="007E4B49">
      <w:pPr>
        <w:pStyle w:val="13"/>
        <w:ind w:firstLine="482"/>
      </w:pPr>
      <w:r w:rsidRPr="004E3EBB">
        <w:rPr>
          <w:rFonts w:hint="eastAsia"/>
          <w:b/>
          <w:bCs/>
        </w:rPr>
        <w:t xml:space="preserve">第七条 </w:t>
      </w:r>
      <w:r w:rsidR="007E4B49">
        <w:t>资产评估报告标题应当简明清晰，一般采用“企业名称+经济行为关键词+ 评估对象+资产评估报告”的形式。</w:t>
      </w:r>
    </w:p>
    <w:p w14:paraId="7522F647" w14:textId="77777777" w:rsidR="007E4B49" w:rsidRDefault="007E4B49" w:rsidP="007E4B49">
      <w:pPr>
        <w:pStyle w:val="13"/>
      </w:pPr>
      <w:r>
        <w:rPr>
          <w:rFonts w:hint="eastAsia"/>
        </w:rPr>
        <w:t>资产评估报告文</w:t>
      </w:r>
      <w:proofErr w:type="gramStart"/>
      <w:r>
        <w:rPr>
          <w:rFonts w:hint="eastAsia"/>
        </w:rPr>
        <w:t>号包括</w:t>
      </w:r>
      <w:proofErr w:type="gramEnd"/>
      <w:r>
        <w:rPr>
          <w:rFonts w:hint="eastAsia"/>
        </w:rPr>
        <w:t>资产评估机构特征字、种类特征字、年份、报告序号。</w:t>
      </w:r>
    </w:p>
    <w:p w14:paraId="18B82B48" w14:textId="6A2D765A" w:rsidR="007E4B49" w:rsidRDefault="004E3EBB" w:rsidP="007E4B49">
      <w:pPr>
        <w:pStyle w:val="13"/>
        <w:ind w:firstLine="482"/>
      </w:pPr>
      <w:r w:rsidRPr="004E3EBB">
        <w:rPr>
          <w:rFonts w:hint="eastAsia"/>
          <w:b/>
          <w:bCs/>
        </w:rPr>
        <w:t xml:space="preserve">第八条 </w:t>
      </w:r>
      <w:r w:rsidR="007E4B49">
        <w:t>目录应当包括每一部分的标题和相应页码。</w:t>
      </w:r>
    </w:p>
    <w:p w14:paraId="53C1F769" w14:textId="6D582588" w:rsidR="007E4B49" w:rsidRDefault="00E05BDA" w:rsidP="007E4B49">
      <w:pPr>
        <w:pStyle w:val="13"/>
        <w:ind w:firstLine="482"/>
      </w:pPr>
      <w:r w:rsidRPr="00E05BDA">
        <w:rPr>
          <w:rFonts w:hint="eastAsia"/>
          <w:b/>
          <w:bCs/>
        </w:rPr>
        <w:t xml:space="preserve">第九条 </w:t>
      </w:r>
      <w:r w:rsidR="007E4B49">
        <w:t>资产评估报告声明通常包括以下内容：</w:t>
      </w:r>
    </w:p>
    <w:p w14:paraId="533D4718" w14:textId="77777777" w:rsidR="007E4B49" w:rsidRDefault="007E4B49" w:rsidP="007E4B49">
      <w:pPr>
        <w:pStyle w:val="13"/>
      </w:pPr>
      <w:r>
        <w:rPr>
          <w:rFonts w:hint="eastAsia"/>
        </w:rPr>
        <w:t>（一）</w:t>
      </w:r>
      <w:proofErr w:type="gramStart"/>
      <w:r>
        <w:rPr>
          <w:rFonts w:hint="eastAsia"/>
        </w:rPr>
        <w:t>本资产</w:t>
      </w:r>
      <w:proofErr w:type="gramEnd"/>
      <w:r>
        <w:rPr>
          <w:rFonts w:hint="eastAsia"/>
        </w:rPr>
        <w:t>评估报告依据财政部发布的资产评估基本准则和中国资产评估协会发布的资产评估执业准则和职业道德准则编制。</w:t>
      </w:r>
    </w:p>
    <w:p w14:paraId="70DD3649" w14:textId="77777777" w:rsidR="007E4B49" w:rsidRDefault="007E4B49" w:rsidP="007E4B49">
      <w:pPr>
        <w:pStyle w:val="13"/>
      </w:pPr>
      <w:r>
        <w:rPr>
          <w:rFonts w:hint="eastAsia"/>
        </w:rPr>
        <w:t>（二）委托人或者其他资产评估报告使用人应当按照法律、行政法规规定和资产评估报告载明的使用范围使用资产评估报告；委托人或者其他资产评估报告使用人违反前述规定使用资产评估报告的，资产评估机构及其资产评估师不承担责任。</w:t>
      </w:r>
    </w:p>
    <w:p w14:paraId="7178952A" w14:textId="77777777" w:rsidR="007E4B49" w:rsidRDefault="007E4B49" w:rsidP="007E4B49">
      <w:pPr>
        <w:pStyle w:val="13"/>
      </w:pPr>
      <w:r>
        <w:rPr>
          <w:rFonts w:hint="eastAsia"/>
        </w:rPr>
        <w:t>（三）资产评估报告仅供委托人、资产评估委托合同中约定的其他资产评估报告使用人和法律、行政法规规定的资产评估报告使用人使用；除此之外，其他任何机构和个人不能成为资产评估报告的使用人。</w:t>
      </w:r>
    </w:p>
    <w:p w14:paraId="39FF55D5" w14:textId="77777777" w:rsidR="007E4B49" w:rsidRDefault="007E4B49" w:rsidP="007E4B49">
      <w:pPr>
        <w:pStyle w:val="13"/>
      </w:pPr>
      <w:r>
        <w:rPr>
          <w:rFonts w:hint="eastAsia"/>
        </w:rPr>
        <w:t>（四）资产评估报告使用人应当正确理解评估结论，评估结论不等同于评估对象可实现价格，评估结论不应当被认为是对评估对象可实现价格的保证。</w:t>
      </w:r>
    </w:p>
    <w:p w14:paraId="138CA3AC" w14:textId="77777777" w:rsidR="007E4B49" w:rsidRDefault="007E4B49" w:rsidP="007E4B49">
      <w:pPr>
        <w:pStyle w:val="13"/>
      </w:pPr>
      <w:r>
        <w:rPr>
          <w:rFonts w:hint="eastAsia"/>
        </w:rPr>
        <w:t>（五）资产评估机构及其资产评估师遵守法律、行政法规和资产评估准则，坚持独立、客观、公正的原则，并对所出具的资产评估报告依法承担责任。</w:t>
      </w:r>
    </w:p>
    <w:p w14:paraId="156FC86A" w14:textId="77777777" w:rsidR="007E4B49" w:rsidRDefault="007E4B49" w:rsidP="007E4B49">
      <w:pPr>
        <w:pStyle w:val="13"/>
      </w:pPr>
      <w:r>
        <w:rPr>
          <w:rFonts w:hint="eastAsia"/>
        </w:rPr>
        <w:t>（六）资产评估报告使用人应当关注评估结论成立的假设前提、资产评估报告特别事项说明和使用限制。</w:t>
      </w:r>
    </w:p>
    <w:p w14:paraId="7C68568F" w14:textId="77777777" w:rsidR="007E4B49" w:rsidRDefault="007E4B49" w:rsidP="007E4B49">
      <w:pPr>
        <w:pStyle w:val="13"/>
      </w:pPr>
      <w:r>
        <w:rPr>
          <w:rFonts w:hint="eastAsia"/>
        </w:rPr>
        <w:t>（七）其他需要声明的内容。</w:t>
      </w:r>
    </w:p>
    <w:p w14:paraId="49CD93CD" w14:textId="41BE1853" w:rsidR="007E4B49" w:rsidRDefault="00E05BDA" w:rsidP="007E4B49">
      <w:pPr>
        <w:pStyle w:val="13"/>
        <w:ind w:firstLine="482"/>
      </w:pPr>
      <w:r w:rsidRPr="00E05BDA">
        <w:rPr>
          <w:rFonts w:hint="eastAsia"/>
          <w:b/>
          <w:bCs/>
        </w:rPr>
        <w:t xml:space="preserve">第十条 </w:t>
      </w:r>
      <w:r w:rsidR="007E4B49">
        <w:t>资产评估报告摘要应当简明扼要地反映经济行为、评估目的、评估对象和评估范围、价值类型、评估基准日、评估方法、评估结论及其使用有效期、对评估</w:t>
      </w:r>
      <w:r w:rsidR="007E4B49">
        <w:lastRenderedPageBreak/>
        <w:t>结论产生影响的特别事项等关键内容。</w:t>
      </w:r>
    </w:p>
    <w:p w14:paraId="6EABF005" w14:textId="77777777" w:rsidR="007E4B49" w:rsidRDefault="007E4B49" w:rsidP="007E4B49">
      <w:pPr>
        <w:pStyle w:val="13"/>
      </w:pPr>
      <w:r>
        <w:rPr>
          <w:rFonts w:hint="eastAsia"/>
        </w:rPr>
        <w:t>资产评估报告摘要应当采用下述文字提醒资产评估报告使用人阅读全文：“以上内容摘自资产评估报告正文，欲了解本评估业务的详细情况和正确理解评估结论，应当阅读资产评估报告正文。”</w:t>
      </w:r>
    </w:p>
    <w:p w14:paraId="4534FA98" w14:textId="77777777" w:rsidR="007E4B49" w:rsidRDefault="007E4B49" w:rsidP="00AF7342">
      <w:pPr>
        <w:pStyle w:val="a9"/>
        <w:spacing w:before="62" w:after="62"/>
      </w:pPr>
      <w:r>
        <w:rPr>
          <w:rFonts w:hint="eastAsia"/>
        </w:rPr>
        <w:t>第三章</w:t>
      </w:r>
      <w:r>
        <w:t xml:space="preserve"> 正文</w:t>
      </w:r>
    </w:p>
    <w:p w14:paraId="5523D3C5" w14:textId="31B04A35" w:rsidR="007E4B49" w:rsidRDefault="00E05BDA" w:rsidP="007E4B49">
      <w:pPr>
        <w:pStyle w:val="13"/>
        <w:ind w:firstLine="482"/>
      </w:pPr>
      <w:r w:rsidRPr="00E05BDA">
        <w:rPr>
          <w:b/>
          <w:bCs/>
        </w:rPr>
        <w:t xml:space="preserve">第十一条 </w:t>
      </w:r>
      <w:r w:rsidR="007E4B49">
        <w:t>资产评估报告正文应当包括：</w:t>
      </w:r>
    </w:p>
    <w:p w14:paraId="5A801265" w14:textId="77777777" w:rsidR="007E4B49" w:rsidRDefault="007E4B49" w:rsidP="007E4B49">
      <w:pPr>
        <w:pStyle w:val="13"/>
      </w:pPr>
      <w:r>
        <w:rPr>
          <w:rFonts w:hint="eastAsia"/>
        </w:rPr>
        <w:t>（一）绪言；</w:t>
      </w:r>
    </w:p>
    <w:p w14:paraId="24AE8B0A" w14:textId="1C7E6AE5" w:rsidR="007E4B49" w:rsidRDefault="007E4B49" w:rsidP="007E4B49">
      <w:pPr>
        <w:pStyle w:val="13"/>
      </w:pPr>
      <w:r>
        <w:rPr>
          <w:rFonts w:hint="eastAsia"/>
        </w:rPr>
        <w:t>（二）委托人、被评估单位和资产评估委托合同约定的其他资产评估报告使用人概况；</w:t>
      </w:r>
    </w:p>
    <w:p w14:paraId="5718BC26" w14:textId="77777777" w:rsidR="007E4B49" w:rsidRDefault="007E4B49" w:rsidP="007E4B49">
      <w:pPr>
        <w:pStyle w:val="13"/>
      </w:pPr>
      <w:r>
        <w:rPr>
          <w:rFonts w:hint="eastAsia"/>
        </w:rPr>
        <w:t>（三）评估目的；</w:t>
      </w:r>
    </w:p>
    <w:p w14:paraId="14DA96E0" w14:textId="77777777" w:rsidR="007E4B49" w:rsidRDefault="007E4B49" w:rsidP="007E4B49">
      <w:pPr>
        <w:pStyle w:val="13"/>
      </w:pPr>
      <w:r>
        <w:rPr>
          <w:rFonts w:hint="eastAsia"/>
        </w:rPr>
        <w:t>（四）评估对象和评估范围；</w:t>
      </w:r>
    </w:p>
    <w:p w14:paraId="20DAD848" w14:textId="77777777" w:rsidR="007E4B49" w:rsidRDefault="007E4B49" w:rsidP="007E4B49">
      <w:pPr>
        <w:pStyle w:val="13"/>
      </w:pPr>
      <w:r>
        <w:rPr>
          <w:rFonts w:hint="eastAsia"/>
        </w:rPr>
        <w:t>（五）价值类型；</w:t>
      </w:r>
    </w:p>
    <w:p w14:paraId="06A811E2" w14:textId="77777777" w:rsidR="007E4B49" w:rsidRDefault="007E4B49" w:rsidP="007E4B49">
      <w:pPr>
        <w:pStyle w:val="13"/>
      </w:pPr>
      <w:r>
        <w:rPr>
          <w:rFonts w:hint="eastAsia"/>
        </w:rPr>
        <w:t>（六）评估基准日；</w:t>
      </w:r>
    </w:p>
    <w:p w14:paraId="78C2C8C4" w14:textId="77777777" w:rsidR="007E4B49" w:rsidRDefault="007E4B49" w:rsidP="007E4B49">
      <w:pPr>
        <w:pStyle w:val="13"/>
      </w:pPr>
      <w:r>
        <w:rPr>
          <w:rFonts w:hint="eastAsia"/>
        </w:rPr>
        <w:t>（七）评估依据；</w:t>
      </w:r>
    </w:p>
    <w:p w14:paraId="639CF3D9" w14:textId="77777777" w:rsidR="007E4B49" w:rsidRDefault="007E4B49" w:rsidP="007E4B49">
      <w:pPr>
        <w:pStyle w:val="13"/>
      </w:pPr>
      <w:r>
        <w:rPr>
          <w:rFonts w:hint="eastAsia"/>
        </w:rPr>
        <w:t>（八）评估方法；</w:t>
      </w:r>
    </w:p>
    <w:p w14:paraId="1743B45C" w14:textId="77777777" w:rsidR="007E4B49" w:rsidRDefault="007E4B49" w:rsidP="007E4B49">
      <w:pPr>
        <w:pStyle w:val="13"/>
      </w:pPr>
      <w:r>
        <w:rPr>
          <w:rFonts w:hint="eastAsia"/>
        </w:rPr>
        <w:t>（九）评估程序实施过程和情况；</w:t>
      </w:r>
    </w:p>
    <w:p w14:paraId="1B6AEFD0" w14:textId="77777777" w:rsidR="007E4B49" w:rsidRDefault="007E4B49" w:rsidP="007E4B49">
      <w:pPr>
        <w:pStyle w:val="13"/>
      </w:pPr>
      <w:r>
        <w:rPr>
          <w:rFonts w:hint="eastAsia"/>
        </w:rPr>
        <w:t>（十）评估假设；</w:t>
      </w:r>
    </w:p>
    <w:p w14:paraId="707EAF7D" w14:textId="77777777" w:rsidR="007E4B49" w:rsidRDefault="007E4B49" w:rsidP="007E4B49">
      <w:pPr>
        <w:pStyle w:val="13"/>
      </w:pPr>
      <w:r>
        <w:rPr>
          <w:rFonts w:hint="eastAsia"/>
        </w:rPr>
        <w:t>（十一）评估结论；</w:t>
      </w:r>
    </w:p>
    <w:p w14:paraId="471F3FB4" w14:textId="77777777" w:rsidR="007E4B49" w:rsidRDefault="007E4B49" w:rsidP="007E4B49">
      <w:pPr>
        <w:pStyle w:val="13"/>
      </w:pPr>
      <w:r>
        <w:rPr>
          <w:rFonts w:hint="eastAsia"/>
        </w:rPr>
        <w:t>（十二）特别事项说明；</w:t>
      </w:r>
    </w:p>
    <w:p w14:paraId="14DBA872" w14:textId="77777777" w:rsidR="007E4B49" w:rsidRDefault="007E4B49" w:rsidP="007E4B49">
      <w:pPr>
        <w:pStyle w:val="13"/>
      </w:pPr>
      <w:r>
        <w:rPr>
          <w:rFonts w:hint="eastAsia"/>
        </w:rPr>
        <w:t>（十三）资产评估报告使用限制说明；</w:t>
      </w:r>
    </w:p>
    <w:p w14:paraId="49D9DEE7" w14:textId="77777777" w:rsidR="007E4B49" w:rsidRDefault="007E4B49" w:rsidP="007E4B49">
      <w:pPr>
        <w:pStyle w:val="13"/>
      </w:pPr>
      <w:r>
        <w:rPr>
          <w:rFonts w:hint="eastAsia"/>
        </w:rPr>
        <w:t>（十四）资产评估报告日；</w:t>
      </w:r>
    </w:p>
    <w:p w14:paraId="46491451" w14:textId="77777777" w:rsidR="007E4B49" w:rsidRDefault="007E4B49" w:rsidP="007E4B49">
      <w:pPr>
        <w:pStyle w:val="13"/>
      </w:pPr>
      <w:r>
        <w:rPr>
          <w:rFonts w:hint="eastAsia"/>
        </w:rPr>
        <w:t>（十五）签名盖章。</w:t>
      </w:r>
    </w:p>
    <w:p w14:paraId="7C9D3D71" w14:textId="701AA29B" w:rsidR="007E4B49" w:rsidRDefault="00E05BDA" w:rsidP="007E4B49">
      <w:pPr>
        <w:pStyle w:val="13"/>
        <w:ind w:firstLine="482"/>
      </w:pPr>
      <w:r w:rsidRPr="00E05BDA">
        <w:rPr>
          <w:rFonts w:hint="eastAsia"/>
          <w:b/>
          <w:bCs/>
        </w:rPr>
        <w:t xml:space="preserve">第十二条 </w:t>
      </w:r>
      <w:r w:rsidR="007E4B49">
        <w:t>绪言一般采用包含下列内容的表述格式： “×××（委托人全称）：</w:t>
      </w:r>
    </w:p>
    <w:p w14:paraId="73178774" w14:textId="3F44E092" w:rsidR="007E4B49" w:rsidRDefault="007E4B49" w:rsidP="007E4B49">
      <w:pPr>
        <w:pStyle w:val="13"/>
      </w:pPr>
      <w:r>
        <w:rPr>
          <w:rFonts w:hint="eastAsia"/>
        </w:rPr>
        <w:t>×××（资产评估机构全称）接受贵单位（公司）的委托，按照法律、行政法规和资产评估准则的规定，坚持独立、客观和公正的原则，采用×××评估方法（评估方法名称），按照必要的评估程序，对×××（委托人全称）拟实施×××行为（事宜）涉及的×××（资产—单项资产或者资产组合、企业整体价值、股东全部权益、股东部分权益）在××××年××月××日的××价值（价值类型）进行了评估。现将资产评估情况报告如下。”</w:t>
      </w:r>
    </w:p>
    <w:p w14:paraId="68B47548" w14:textId="49F96656" w:rsidR="007E4B49" w:rsidRDefault="00E05BDA" w:rsidP="007E4B49">
      <w:pPr>
        <w:pStyle w:val="13"/>
        <w:ind w:firstLine="482"/>
      </w:pPr>
      <w:r w:rsidRPr="00E05BDA">
        <w:rPr>
          <w:rFonts w:hint="eastAsia"/>
          <w:b/>
          <w:bCs/>
        </w:rPr>
        <w:t xml:space="preserve">第十三条 </w:t>
      </w:r>
      <w:r w:rsidR="007E4B49">
        <w:t>资产评估报告正文应当介绍委托人、被评估单位和资产评估委托合同约定的其他资产评估报告使用人的概况：</w:t>
      </w:r>
    </w:p>
    <w:p w14:paraId="6E044D01" w14:textId="77777777" w:rsidR="007E4B49" w:rsidRDefault="007E4B49" w:rsidP="007E4B49">
      <w:pPr>
        <w:pStyle w:val="13"/>
      </w:pPr>
      <w:r>
        <w:rPr>
          <w:rFonts w:hint="eastAsia"/>
        </w:rPr>
        <w:t>（一）委托人和资产评估委托合同约定的其他资产评估报告使用人概况一般包括名称、法定住所及经营场所、法定代表人、注册资本及主要经营范围等；</w:t>
      </w:r>
    </w:p>
    <w:p w14:paraId="360B1740" w14:textId="77777777" w:rsidR="007E4B49" w:rsidRDefault="007E4B49" w:rsidP="007E4B49">
      <w:pPr>
        <w:pStyle w:val="13"/>
      </w:pPr>
      <w:r>
        <w:rPr>
          <w:rFonts w:hint="eastAsia"/>
        </w:rPr>
        <w:t>（二）企业价值评估中，被评估单位概况一般包括：</w:t>
      </w:r>
    </w:p>
    <w:p w14:paraId="6287BDB3" w14:textId="77777777" w:rsidR="007E4B49" w:rsidRDefault="007E4B49" w:rsidP="007E4B49">
      <w:pPr>
        <w:pStyle w:val="13"/>
      </w:pPr>
      <w:r>
        <w:lastRenderedPageBreak/>
        <w:t>1、名称、法定住所及经营场所、法定代表人、主要经营范围、注册资本、公司股东及持股比例、股权变更情况及必要的公司产权和经营管理结构、历史情况等；</w:t>
      </w:r>
    </w:p>
    <w:p w14:paraId="0C8578DD" w14:textId="77777777" w:rsidR="007E4B49" w:rsidRDefault="007E4B49" w:rsidP="007E4B49">
      <w:pPr>
        <w:pStyle w:val="13"/>
      </w:pPr>
      <w:r>
        <w:t>2、近三年资产、财务、经营状况；</w:t>
      </w:r>
    </w:p>
    <w:p w14:paraId="777A5AEC" w14:textId="77777777" w:rsidR="007E4B49" w:rsidRDefault="007E4B49" w:rsidP="007E4B49">
      <w:pPr>
        <w:pStyle w:val="13"/>
      </w:pPr>
      <w:r>
        <w:t>3、委托人和被评估单位之间的关系（如产权关系、交易关系）；</w:t>
      </w:r>
    </w:p>
    <w:p w14:paraId="2D4B88FD" w14:textId="77777777" w:rsidR="007E4B49" w:rsidRDefault="007E4B49" w:rsidP="007E4B49">
      <w:pPr>
        <w:pStyle w:val="13"/>
      </w:pPr>
      <w:r>
        <w:rPr>
          <w:rFonts w:hint="eastAsia"/>
        </w:rPr>
        <w:t>（三）单项资产或者资产组合评估，被评估单位概况一般包括名称、法定住所及经营场所、法定代表人、注册资本及主要经营范围等；</w:t>
      </w:r>
    </w:p>
    <w:p w14:paraId="45D312CC" w14:textId="77777777" w:rsidR="007E4B49" w:rsidRDefault="007E4B49" w:rsidP="007E4B49">
      <w:pPr>
        <w:pStyle w:val="13"/>
      </w:pPr>
      <w:r>
        <w:rPr>
          <w:rFonts w:hint="eastAsia"/>
        </w:rPr>
        <w:t>（四）委托人与被评估单位为同一企业，按对被评估单位的要求编写；</w:t>
      </w:r>
    </w:p>
    <w:p w14:paraId="4D85017D" w14:textId="77777777" w:rsidR="007E4B49" w:rsidRDefault="007E4B49" w:rsidP="007E4B49">
      <w:pPr>
        <w:pStyle w:val="13"/>
      </w:pPr>
      <w:r>
        <w:rPr>
          <w:rFonts w:hint="eastAsia"/>
        </w:rPr>
        <w:t>（五）存在交叉持股的，应当列示交叉</w:t>
      </w:r>
      <w:proofErr w:type="gramStart"/>
      <w:r>
        <w:rPr>
          <w:rFonts w:hint="eastAsia"/>
        </w:rPr>
        <w:t>持股图</w:t>
      </w:r>
      <w:proofErr w:type="gramEnd"/>
      <w:r>
        <w:rPr>
          <w:rFonts w:hint="eastAsia"/>
        </w:rPr>
        <w:t>并简述交叉持股关系及是否属于同</w:t>
      </w:r>
      <w:proofErr w:type="gramStart"/>
      <w:r>
        <w:rPr>
          <w:rFonts w:hint="eastAsia"/>
        </w:rPr>
        <w:t>一控制</w:t>
      </w:r>
      <w:proofErr w:type="gramEnd"/>
      <w:r>
        <w:rPr>
          <w:rFonts w:hint="eastAsia"/>
        </w:rPr>
        <w:t>的情形；</w:t>
      </w:r>
    </w:p>
    <w:p w14:paraId="0296E909" w14:textId="77777777" w:rsidR="007E4B49" w:rsidRDefault="007E4B49" w:rsidP="007E4B49">
      <w:pPr>
        <w:pStyle w:val="13"/>
      </w:pPr>
      <w:r>
        <w:rPr>
          <w:rFonts w:hint="eastAsia"/>
        </w:rPr>
        <w:t>（六）存在关联交易的，应当说明关联方、交易方式等基本情况。</w:t>
      </w:r>
    </w:p>
    <w:p w14:paraId="7276C2D3" w14:textId="226B3705" w:rsidR="007E4B49" w:rsidRDefault="00E05BDA" w:rsidP="007E4B49">
      <w:pPr>
        <w:pStyle w:val="13"/>
        <w:ind w:firstLine="482"/>
      </w:pPr>
      <w:r w:rsidRPr="00E05BDA">
        <w:rPr>
          <w:rFonts w:hint="eastAsia"/>
          <w:b/>
          <w:bCs/>
        </w:rPr>
        <w:t xml:space="preserve">第十四条 </w:t>
      </w:r>
      <w:r w:rsidR="007E4B49">
        <w:t>资产评估报告应当说明本次资产评估的目的及其所对应的经济行为，并说明该经济行为获得批准的相关情况或者其他经济行为依据。</w:t>
      </w:r>
    </w:p>
    <w:p w14:paraId="511D2093" w14:textId="372A2E19" w:rsidR="007E4B49" w:rsidRDefault="00E05BDA" w:rsidP="007E4B49">
      <w:pPr>
        <w:pStyle w:val="13"/>
        <w:ind w:firstLine="482"/>
      </w:pPr>
      <w:r w:rsidRPr="00E05BDA">
        <w:rPr>
          <w:rFonts w:hint="eastAsia"/>
          <w:b/>
          <w:bCs/>
        </w:rPr>
        <w:t xml:space="preserve">第十五条 </w:t>
      </w:r>
      <w:r w:rsidR="007E4B49">
        <w:t>资产评估报告应当对评估对象进行具体描述，以文字、表格的方式说明评估范围。</w:t>
      </w:r>
    </w:p>
    <w:p w14:paraId="657784FC" w14:textId="77777777" w:rsidR="007E4B49" w:rsidRDefault="007E4B49" w:rsidP="007E4B49">
      <w:pPr>
        <w:pStyle w:val="13"/>
      </w:pPr>
      <w:r>
        <w:rPr>
          <w:rFonts w:hint="eastAsia"/>
        </w:rPr>
        <w:t>企业价值评估中，应当说明下列内容：</w:t>
      </w:r>
    </w:p>
    <w:p w14:paraId="3535B2BB" w14:textId="50680CCA" w:rsidR="007E4B49" w:rsidRDefault="007E4B49" w:rsidP="007E4B49">
      <w:pPr>
        <w:pStyle w:val="13"/>
      </w:pPr>
      <w:r>
        <w:rPr>
          <w:rFonts w:hint="eastAsia"/>
        </w:rPr>
        <w:t>（一）委托评估对象和评估范围与经济行为涉及的评估对象和评估范围是否一致，</w:t>
      </w:r>
      <w:r>
        <w:t>不一致的应当说明原因，并说明是否经过审计；</w:t>
      </w:r>
    </w:p>
    <w:p w14:paraId="68167B16" w14:textId="77777777" w:rsidR="007E4B49" w:rsidRDefault="007E4B49" w:rsidP="007E4B49">
      <w:pPr>
        <w:pStyle w:val="13"/>
      </w:pPr>
      <w:r>
        <w:rPr>
          <w:rFonts w:hint="eastAsia"/>
        </w:rPr>
        <w:t>（二）企业申报的表外资产的类型、数量；</w:t>
      </w:r>
    </w:p>
    <w:p w14:paraId="417CDBF3" w14:textId="77777777" w:rsidR="007E4B49" w:rsidRDefault="007E4B49" w:rsidP="007E4B49">
      <w:pPr>
        <w:pStyle w:val="13"/>
      </w:pPr>
      <w:r>
        <w:rPr>
          <w:rFonts w:hint="eastAsia"/>
        </w:rPr>
        <w:t>（三）引用其他机构出具的报告结论所涉及的资产类型、数量和账面金额（或者评估值）。</w:t>
      </w:r>
    </w:p>
    <w:p w14:paraId="6E0ED4C3" w14:textId="77777777" w:rsidR="007E4B49" w:rsidRDefault="007E4B49" w:rsidP="007E4B49">
      <w:pPr>
        <w:pStyle w:val="13"/>
      </w:pPr>
      <w:r>
        <w:rPr>
          <w:rFonts w:hint="eastAsia"/>
        </w:rPr>
        <w:t>单项资产或者资产组合评估，应当说明委托评估资产的数量（如土地面积、建筑物面积、设备数量、无形资产数量等）、法律权属状况、经济状况和物理状况等。</w:t>
      </w:r>
    </w:p>
    <w:p w14:paraId="4A0534BA" w14:textId="76218196" w:rsidR="007E4B49" w:rsidRDefault="00E05BDA" w:rsidP="007E4B49">
      <w:pPr>
        <w:pStyle w:val="13"/>
        <w:ind w:firstLine="482"/>
      </w:pPr>
      <w:r w:rsidRPr="00E05BDA">
        <w:rPr>
          <w:rFonts w:hint="eastAsia"/>
          <w:b/>
          <w:bCs/>
        </w:rPr>
        <w:t xml:space="preserve">第十六条 </w:t>
      </w:r>
      <w:r w:rsidR="007E4B49">
        <w:t>资产评估报告应当明确价值类型及其定义。选择市场价值以外的价值类型，还应当说明价值类型选择理由。</w:t>
      </w:r>
    </w:p>
    <w:p w14:paraId="44C48F06" w14:textId="2F2216ED" w:rsidR="007E4B49" w:rsidRDefault="00E05BDA" w:rsidP="007E4B49">
      <w:pPr>
        <w:pStyle w:val="13"/>
        <w:ind w:firstLine="482"/>
      </w:pPr>
      <w:r w:rsidRPr="00E05BDA">
        <w:rPr>
          <w:rFonts w:hint="eastAsia"/>
          <w:b/>
          <w:bCs/>
        </w:rPr>
        <w:t xml:space="preserve">第十七条 </w:t>
      </w:r>
      <w:r w:rsidR="007E4B49">
        <w:t>资产评估报告应当说明评估基准日及确定评估基准日所考虑的主要因素</w:t>
      </w:r>
      <w:r w:rsidR="00CC4D74">
        <w:t>，</w:t>
      </w:r>
      <w:r w:rsidR="007E4B49">
        <w:t>包括下列主要内容：</w:t>
      </w:r>
    </w:p>
    <w:p w14:paraId="43AFAFA6" w14:textId="77777777" w:rsidR="007E4B49" w:rsidRDefault="007E4B49" w:rsidP="007E4B49">
      <w:pPr>
        <w:pStyle w:val="13"/>
      </w:pPr>
      <w:r>
        <w:rPr>
          <w:rFonts w:hint="eastAsia"/>
        </w:rPr>
        <w:t>（一）本项目评估基准日是××××年××月××日；</w:t>
      </w:r>
    </w:p>
    <w:p w14:paraId="45F23E4F" w14:textId="77777777" w:rsidR="007E4B49" w:rsidRDefault="007E4B49" w:rsidP="007E4B49">
      <w:pPr>
        <w:pStyle w:val="13"/>
      </w:pPr>
      <w:r>
        <w:rPr>
          <w:rFonts w:hint="eastAsia"/>
        </w:rPr>
        <w:t>（二）确定评估基准日所考虑的主要因素（如经济行为的实现、会计期末、利率和汇率变化等）。</w:t>
      </w:r>
    </w:p>
    <w:p w14:paraId="794D2FB7" w14:textId="68B4930F" w:rsidR="007E4B49" w:rsidRDefault="00E05BDA" w:rsidP="007E4B49">
      <w:pPr>
        <w:pStyle w:val="13"/>
        <w:ind w:firstLine="482"/>
      </w:pPr>
      <w:r w:rsidRPr="00E05BDA">
        <w:rPr>
          <w:rFonts w:hint="eastAsia"/>
          <w:b/>
          <w:bCs/>
        </w:rPr>
        <w:t xml:space="preserve">第十八条 </w:t>
      </w:r>
      <w:r w:rsidR="007E4B49">
        <w:t>资产评估报告应当说明本次评估业务所对应的经济行为、法律法规、评估准则、权属、取价等依据。</w:t>
      </w:r>
    </w:p>
    <w:p w14:paraId="40A3527B" w14:textId="42BF93B9" w:rsidR="007E4B49" w:rsidRDefault="007E4B49" w:rsidP="007E4B49">
      <w:pPr>
        <w:pStyle w:val="13"/>
      </w:pPr>
      <w:r>
        <w:rPr>
          <w:rFonts w:hint="eastAsia"/>
        </w:rPr>
        <w:t>（一）经济行为依据应当为有效批复文件以及可以说明经济行为及其所涉及的评估对象与评估范围的其他文件资料；</w:t>
      </w:r>
    </w:p>
    <w:p w14:paraId="54A00509" w14:textId="77777777" w:rsidR="007E4B49" w:rsidRDefault="007E4B49" w:rsidP="007E4B49">
      <w:pPr>
        <w:pStyle w:val="13"/>
      </w:pPr>
      <w:r>
        <w:rPr>
          <w:rFonts w:hint="eastAsia"/>
        </w:rPr>
        <w:t>（二）法律法规依据通常包括与国有资产评估有关的法律法规等；</w:t>
      </w:r>
    </w:p>
    <w:p w14:paraId="19EE07A2" w14:textId="77777777" w:rsidR="007E4B49" w:rsidRDefault="007E4B49" w:rsidP="007E4B49">
      <w:pPr>
        <w:pStyle w:val="13"/>
      </w:pPr>
      <w:r>
        <w:rPr>
          <w:rFonts w:hint="eastAsia"/>
        </w:rPr>
        <w:lastRenderedPageBreak/>
        <w:t>（三）评估准则依据包括本评估业务中依据的相关资产评估准则和相关规范；</w:t>
      </w:r>
    </w:p>
    <w:p w14:paraId="5BA791C4" w14:textId="77777777" w:rsidR="007E4B49" w:rsidRDefault="007E4B49" w:rsidP="007E4B49">
      <w:pPr>
        <w:pStyle w:val="13"/>
      </w:pPr>
      <w:r>
        <w:rPr>
          <w:rFonts w:hint="eastAsia"/>
        </w:rPr>
        <w:t>（四）权属依据通常包括国有资产产权登记证书、基准</w:t>
      </w:r>
      <w:proofErr w:type="gramStart"/>
      <w:r>
        <w:rPr>
          <w:rFonts w:hint="eastAsia"/>
        </w:rPr>
        <w:t>日股份</w:t>
      </w:r>
      <w:proofErr w:type="gramEnd"/>
      <w:r>
        <w:rPr>
          <w:rFonts w:hint="eastAsia"/>
        </w:rPr>
        <w:t>持有证明、出资证明、国有土地使用证（或者国有土地使用权出让合同）、房屋所有权证、房地产权证（或者不动产权证书）、采矿许可证、勘查许可证、林权证、专利证（发明专利证书、实用新型专利证书、外观设计专利证书）、商标注册证、著作权（版权）相关权属证明、船舶所有权登记证书、船舶国籍证书、机动车行驶证、有关产权转让合同、其他权属证明文件等；</w:t>
      </w:r>
    </w:p>
    <w:p w14:paraId="468FE3B8" w14:textId="77777777" w:rsidR="007E4B49" w:rsidRDefault="007E4B49" w:rsidP="007E4B49">
      <w:pPr>
        <w:pStyle w:val="13"/>
      </w:pPr>
      <w:r>
        <w:rPr>
          <w:rFonts w:hint="eastAsia"/>
        </w:rPr>
        <w:t>（五）取</w:t>
      </w:r>
      <w:proofErr w:type="gramStart"/>
      <w:r>
        <w:rPr>
          <w:rFonts w:hint="eastAsia"/>
        </w:rPr>
        <w:t>价依据</w:t>
      </w:r>
      <w:proofErr w:type="gramEnd"/>
      <w:r>
        <w:rPr>
          <w:rFonts w:hint="eastAsia"/>
        </w:rPr>
        <w:t>通常包括企业提供的财务会计、经营方面的资料，国家有关部门发布的统计资料、技术标准和政策文件，以及评估机构收集的有关询价资料、参数资料等；</w:t>
      </w:r>
    </w:p>
    <w:p w14:paraId="191FE9AE" w14:textId="77777777" w:rsidR="007E4B49" w:rsidRDefault="007E4B49" w:rsidP="007E4B49">
      <w:pPr>
        <w:pStyle w:val="13"/>
      </w:pPr>
      <w:r>
        <w:rPr>
          <w:rFonts w:hint="eastAsia"/>
        </w:rPr>
        <w:t>（六）其他参考依据。</w:t>
      </w:r>
    </w:p>
    <w:p w14:paraId="785477E6" w14:textId="26946249" w:rsidR="007E4B49" w:rsidRDefault="00E05BDA" w:rsidP="007E4B49">
      <w:pPr>
        <w:pStyle w:val="13"/>
        <w:ind w:firstLine="482"/>
      </w:pPr>
      <w:r w:rsidRPr="00E05BDA">
        <w:rPr>
          <w:rFonts w:hint="eastAsia"/>
          <w:b/>
          <w:bCs/>
        </w:rPr>
        <w:t xml:space="preserve">第十九条 </w:t>
      </w:r>
      <w:r w:rsidR="007E4B49">
        <w:t>资产评估报告应当说明所选用的评估方法及其理由。</w:t>
      </w:r>
    </w:p>
    <w:p w14:paraId="5B889B87" w14:textId="77777777" w:rsidR="007E4B49" w:rsidRDefault="007E4B49" w:rsidP="007E4B49">
      <w:pPr>
        <w:pStyle w:val="13"/>
      </w:pPr>
      <w:r>
        <w:rPr>
          <w:rFonts w:hint="eastAsia"/>
        </w:rPr>
        <w:t>未采用两种以上评估方法进行评估，资产评估报告应当披露其他基本评估方法不适用的原因或者所受的操作限制。</w:t>
      </w:r>
    </w:p>
    <w:p w14:paraId="22C37651" w14:textId="77777777" w:rsidR="007E4B49" w:rsidRDefault="007E4B49" w:rsidP="007E4B49">
      <w:pPr>
        <w:pStyle w:val="13"/>
      </w:pPr>
      <w:r>
        <w:rPr>
          <w:rFonts w:hint="eastAsia"/>
        </w:rPr>
        <w:t>采用两种以上方法进行评估的，还应当说明评估结论确定的方法。</w:t>
      </w:r>
    </w:p>
    <w:p w14:paraId="3F9EC6F6" w14:textId="16EF51D2" w:rsidR="007E4B49" w:rsidRDefault="00E05BDA" w:rsidP="007E4B49">
      <w:pPr>
        <w:pStyle w:val="13"/>
        <w:ind w:firstLine="482"/>
      </w:pPr>
      <w:r w:rsidRPr="00E05BDA">
        <w:rPr>
          <w:rFonts w:hint="eastAsia"/>
          <w:b/>
          <w:bCs/>
        </w:rPr>
        <w:t xml:space="preserve">第二十条 </w:t>
      </w:r>
      <w:r w:rsidR="007E4B49">
        <w:t>资产评估报告应当</w:t>
      </w:r>
      <w:proofErr w:type="gramStart"/>
      <w:r w:rsidR="007E4B49">
        <w:t>说明自</w:t>
      </w:r>
      <w:proofErr w:type="gramEnd"/>
      <w:r w:rsidR="007E4B49">
        <w:t>接受资产评估业务委托起至出具资产评估报告的主要评估工作过程，一般包括以下内容：</w:t>
      </w:r>
    </w:p>
    <w:p w14:paraId="4943946C" w14:textId="77777777" w:rsidR="007E4B49" w:rsidRDefault="007E4B49" w:rsidP="007E4B49">
      <w:pPr>
        <w:pStyle w:val="13"/>
      </w:pPr>
      <w:r>
        <w:rPr>
          <w:rFonts w:hint="eastAsia"/>
        </w:rPr>
        <w:t>（一）接受项目委托，确定评估目的、评估对象与评估范围、评估基准日，拟定评估计划等过程；</w:t>
      </w:r>
    </w:p>
    <w:p w14:paraId="40A1D0E5" w14:textId="77777777" w:rsidR="007E4B49" w:rsidRDefault="007E4B49" w:rsidP="007E4B49">
      <w:pPr>
        <w:pStyle w:val="13"/>
      </w:pPr>
      <w:r>
        <w:rPr>
          <w:rFonts w:hint="eastAsia"/>
        </w:rPr>
        <w:t>（二）指导被评估单位清查资产、准备评估资料，核实资产与验证资料等过程；</w:t>
      </w:r>
    </w:p>
    <w:p w14:paraId="1AD7BCFB" w14:textId="77777777" w:rsidR="007E4B49" w:rsidRDefault="007E4B49" w:rsidP="007E4B49">
      <w:pPr>
        <w:pStyle w:val="13"/>
      </w:pPr>
      <w:r>
        <w:rPr>
          <w:rFonts w:hint="eastAsia"/>
        </w:rPr>
        <w:t>（三）选择评估方法、收集市场信息和估算等过程；</w:t>
      </w:r>
    </w:p>
    <w:p w14:paraId="30D57DE1" w14:textId="77777777" w:rsidR="00AD2E8B" w:rsidRDefault="007E4B49" w:rsidP="007E4B49">
      <w:pPr>
        <w:pStyle w:val="13"/>
      </w:pPr>
      <w:r>
        <w:rPr>
          <w:rFonts w:hint="eastAsia"/>
        </w:rPr>
        <w:t>（四）评估结果汇总、评估结论分析、撰写报告和内部审核等过程。</w:t>
      </w:r>
    </w:p>
    <w:p w14:paraId="6179B037" w14:textId="432B1723" w:rsidR="007E4B49" w:rsidRDefault="00E05BDA" w:rsidP="007E4B49">
      <w:pPr>
        <w:pStyle w:val="13"/>
        <w:ind w:firstLine="482"/>
      </w:pPr>
      <w:r w:rsidRPr="00E05BDA">
        <w:rPr>
          <w:rFonts w:hint="eastAsia"/>
          <w:b/>
          <w:bCs/>
        </w:rPr>
        <w:t xml:space="preserve">第二十一条 </w:t>
      </w:r>
      <w:r w:rsidR="007E4B49">
        <w:t>资产评估报告应当说明资产评估所使用的假设。</w:t>
      </w:r>
    </w:p>
    <w:p w14:paraId="146A0F51" w14:textId="38611AD7" w:rsidR="007E4B49" w:rsidRDefault="00E05BDA" w:rsidP="007E4B49">
      <w:pPr>
        <w:pStyle w:val="13"/>
        <w:ind w:firstLine="482"/>
      </w:pPr>
      <w:r w:rsidRPr="00E05BDA">
        <w:rPr>
          <w:rFonts w:hint="eastAsia"/>
          <w:b/>
          <w:bCs/>
        </w:rPr>
        <w:t xml:space="preserve">第二十二条 </w:t>
      </w:r>
      <w:r w:rsidR="007E4B49">
        <w:t>资产评估报告应当以文字和数字形式清晰说明评估结论，并明确评估结论的使用有效期。评估结论通常是确定的数值。境外企业国有资产评估报告的评估结论可以用区间值表达。</w:t>
      </w:r>
    </w:p>
    <w:p w14:paraId="0BF18D11" w14:textId="4A930117" w:rsidR="007E4B49" w:rsidRDefault="007E4B49" w:rsidP="007E4B49">
      <w:pPr>
        <w:pStyle w:val="13"/>
      </w:pPr>
      <w:r>
        <w:rPr>
          <w:rFonts w:hint="eastAsia"/>
        </w:rPr>
        <w:t>（一）采用资产基础法进行企业价值评估，应当以文字形式说明资产、负债、所有者权益（净资产）的账面价值、评估价值及其增减幅度，并同时采用评估结果汇总表反映评估结论；</w:t>
      </w:r>
    </w:p>
    <w:p w14:paraId="4CBD7B33" w14:textId="77777777" w:rsidR="007E4B49" w:rsidRDefault="007E4B49" w:rsidP="007E4B49">
      <w:pPr>
        <w:pStyle w:val="13"/>
      </w:pPr>
      <w:r>
        <w:rPr>
          <w:rFonts w:hint="eastAsia"/>
        </w:rPr>
        <w:t>（二）单项资产或者资产组合评估，应当以文字形式说明账面价值、评估价值及其增减幅度；</w:t>
      </w:r>
    </w:p>
    <w:p w14:paraId="1C2C2BF2" w14:textId="77777777" w:rsidR="007E4B49" w:rsidRDefault="007E4B49" w:rsidP="007E4B49">
      <w:pPr>
        <w:pStyle w:val="13"/>
      </w:pPr>
      <w:r>
        <w:rPr>
          <w:rFonts w:hint="eastAsia"/>
        </w:rPr>
        <w:t>（三）采用两种以上方法进行企业价值评估，除单独说明评估价值和增减变动幅度外，应当说明两种以上评估方法结果的差异及其原因和最终确定评估结论的理由；</w:t>
      </w:r>
    </w:p>
    <w:p w14:paraId="659EA347" w14:textId="77777777" w:rsidR="007E4B49" w:rsidRDefault="007E4B49" w:rsidP="007E4B49">
      <w:pPr>
        <w:pStyle w:val="13"/>
      </w:pPr>
      <w:r>
        <w:rPr>
          <w:rFonts w:hint="eastAsia"/>
        </w:rPr>
        <w:t>（四）存在多家被评估单位的项目，应当分别说明评估价值；</w:t>
      </w:r>
    </w:p>
    <w:p w14:paraId="744B9A95" w14:textId="049DA3E1" w:rsidR="007E4B49" w:rsidRDefault="007E4B49" w:rsidP="007E4B49">
      <w:pPr>
        <w:pStyle w:val="13"/>
      </w:pPr>
      <w:r>
        <w:rPr>
          <w:rFonts w:hint="eastAsia"/>
        </w:rPr>
        <w:lastRenderedPageBreak/>
        <w:t>（五）评估结论为区间值的，应当在区间之内确定一个最大可能值，并说明确定依据。</w:t>
      </w:r>
    </w:p>
    <w:p w14:paraId="13762E6F" w14:textId="68C817E2" w:rsidR="007E4B49" w:rsidRDefault="00E05BDA" w:rsidP="007E4B49">
      <w:pPr>
        <w:pStyle w:val="13"/>
        <w:ind w:firstLine="482"/>
      </w:pPr>
      <w:r w:rsidRPr="00E05BDA">
        <w:rPr>
          <w:rFonts w:hint="eastAsia"/>
          <w:b/>
          <w:bCs/>
        </w:rPr>
        <w:t xml:space="preserve">第二十三条 </w:t>
      </w:r>
      <w:r w:rsidR="007E4B49">
        <w:t>资产评估报告应当说明评估程序受到的限制、评估特殊处理、评估结论瑕疵等特别事项，以及期后事项，通常包括下列内容：</w:t>
      </w:r>
    </w:p>
    <w:p w14:paraId="37E005CE" w14:textId="77777777" w:rsidR="007E4B49" w:rsidRDefault="007E4B49" w:rsidP="007E4B49">
      <w:pPr>
        <w:pStyle w:val="13"/>
      </w:pPr>
      <w:r>
        <w:rPr>
          <w:rFonts w:hint="eastAsia"/>
        </w:rPr>
        <w:t>（一）引用其他机构出具报告结论的情况，并说明承担引用不当的相关责任；</w:t>
      </w:r>
    </w:p>
    <w:p w14:paraId="284B937E" w14:textId="77777777" w:rsidR="007E4B49" w:rsidRDefault="007E4B49" w:rsidP="007E4B49">
      <w:pPr>
        <w:pStyle w:val="13"/>
      </w:pPr>
      <w:r>
        <w:rPr>
          <w:rFonts w:hint="eastAsia"/>
        </w:rPr>
        <w:t>（二）权属资料不全面或者存在瑕疵的情形；</w:t>
      </w:r>
    </w:p>
    <w:p w14:paraId="76661293" w14:textId="77777777" w:rsidR="007E4B49" w:rsidRDefault="007E4B49" w:rsidP="007E4B49">
      <w:pPr>
        <w:pStyle w:val="13"/>
      </w:pPr>
      <w:r>
        <w:rPr>
          <w:rFonts w:hint="eastAsia"/>
        </w:rPr>
        <w:t>（三）评估程序受到限制的情形；</w:t>
      </w:r>
    </w:p>
    <w:p w14:paraId="44E38E62" w14:textId="77777777" w:rsidR="007E4B49" w:rsidRDefault="007E4B49" w:rsidP="007E4B49">
      <w:pPr>
        <w:pStyle w:val="13"/>
      </w:pPr>
      <w:r>
        <w:rPr>
          <w:rFonts w:hint="eastAsia"/>
        </w:rPr>
        <w:t>（四）评估资料不完整的情形；</w:t>
      </w:r>
    </w:p>
    <w:p w14:paraId="68DA1E8A" w14:textId="77777777" w:rsidR="007E4B49" w:rsidRDefault="007E4B49" w:rsidP="007E4B49">
      <w:pPr>
        <w:pStyle w:val="13"/>
      </w:pPr>
      <w:r>
        <w:rPr>
          <w:rFonts w:hint="eastAsia"/>
        </w:rPr>
        <w:t>（五）评估基准</w:t>
      </w:r>
      <w:proofErr w:type="gramStart"/>
      <w:r>
        <w:rPr>
          <w:rFonts w:hint="eastAsia"/>
        </w:rPr>
        <w:t>日存在</w:t>
      </w:r>
      <w:proofErr w:type="gramEnd"/>
      <w:r>
        <w:rPr>
          <w:rFonts w:hint="eastAsia"/>
        </w:rPr>
        <w:t>的法律、经济等未决事项；</w:t>
      </w:r>
    </w:p>
    <w:p w14:paraId="12D28547" w14:textId="77777777" w:rsidR="007E4B49" w:rsidRDefault="007E4B49" w:rsidP="007E4B49">
      <w:pPr>
        <w:pStyle w:val="13"/>
      </w:pPr>
      <w:r>
        <w:rPr>
          <w:rFonts w:hint="eastAsia"/>
        </w:rPr>
        <w:t>（六）担保、租赁及其或有负债（或有资产）等事项的性质、金额及与评估对象的关系；</w:t>
      </w:r>
    </w:p>
    <w:p w14:paraId="314FB2E9" w14:textId="77777777" w:rsidR="007E4B49" w:rsidRDefault="007E4B49" w:rsidP="007E4B49">
      <w:pPr>
        <w:pStyle w:val="13"/>
      </w:pPr>
      <w:r>
        <w:rPr>
          <w:rFonts w:hint="eastAsia"/>
        </w:rPr>
        <w:t>（七）评估基准日至资产评估报告日之间可能对评估结论产生影响的事项；</w:t>
      </w:r>
    </w:p>
    <w:p w14:paraId="6CC2D364" w14:textId="77777777" w:rsidR="007E4B49" w:rsidRDefault="007E4B49" w:rsidP="007E4B49">
      <w:pPr>
        <w:pStyle w:val="13"/>
      </w:pPr>
      <w:r>
        <w:rPr>
          <w:rFonts w:hint="eastAsia"/>
        </w:rPr>
        <w:t>（八）本次资产评估对应的经济行为中，可能对评估结论产生重大影响的瑕疵情形。资产评估报告应当说明对特别事项的处理方式、特别事项对评估结论可能产生的影响，并提示资产评估报告使用人关注其对经济行为的影响。</w:t>
      </w:r>
    </w:p>
    <w:p w14:paraId="6C245885" w14:textId="46851816" w:rsidR="007E4B49" w:rsidRDefault="00E05BDA" w:rsidP="007E4B49">
      <w:pPr>
        <w:pStyle w:val="13"/>
        <w:ind w:firstLine="482"/>
      </w:pPr>
      <w:r w:rsidRPr="00E05BDA">
        <w:rPr>
          <w:rFonts w:hint="eastAsia"/>
          <w:b/>
          <w:bCs/>
        </w:rPr>
        <w:t xml:space="preserve">第二十四条 </w:t>
      </w:r>
      <w:r w:rsidR="007E4B49">
        <w:t>资产评估报告使用限制应当载明：</w:t>
      </w:r>
    </w:p>
    <w:p w14:paraId="4964E9BE" w14:textId="77777777" w:rsidR="007E4B49" w:rsidRDefault="007E4B49" w:rsidP="007E4B49">
      <w:pPr>
        <w:pStyle w:val="13"/>
      </w:pPr>
      <w:r>
        <w:rPr>
          <w:rFonts w:hint="eastAsia"/>
        </w:rPr>
        <w:t>（一）使用范围；</w:t>
      </w:r>
    </w:p>
    <w:p w14:paraId="3F67E894" w14:textId="77777777" w:rsidR="007E4B49" w:rsidRDefault="007E4B49" w:rsidP="007E4B49">
      <w:pPr>
        <w:pStyle w:val="13"/>
      </w:pPr>
      <w:r>
        <w:rPr>
          <w:rFonts w:hint="eastAsia"/>
        </w:rPr>
        <w:t>（二）委托人或者其他资产评估报告使用人未按照法律、行政法规规定和资产评估报告载明的使用范围使用资产评估报告的，资产评估机构及其资产评估师不承担责任；</w:t>
      </w:r>
    </w:p>
    <w:p w14:paraId="10524558" w14:textId="77777777" w:rsidR="007E4B49" w:rsidRDefault="007E4B49" w:rsidP="007E4B49">
      <w:pPr>
        <w:pStyle w:val="13"/>
      </w:pPr>
      <w:r>
        <w:rPr>
          <w:rFonts w:hint="eastAsia"/>
        </w:rPr>
        <w:t>（三）除委托人、资产评估委托合同中约定的其他资产评估报告使用人和法律、行政法规规定的资产评估报告使用人之外，其他任何机构和个人不能成为资产评估报告的使用人；</w:t>
      </w:r>
    </w:p>
    <w:p w14:paraId="4E5B67B0" w14:textId="77777777" w:rsidR="007E4B49" w:rsidRDefault="007E4B49" w:rsidP="007E4B49">
      <w:pPr>
        <w:pStyle w:val="13"/>
      </w:pPr>
      <w:r>
        <w:rPr>
          <w:rFonts w:hint="eastAsia"/>
        </w:rPr>
        <w:t>（四）资产评估报告使用人应当正确理解评估结论，评估结论不等同于评估对象可实现价格，评估结论不应当被认为是对评估对象可实现价格的保证。</w:t>
      </w:r>
    </w:p>
    <w:p w14:paraId="23A5AD52" w14:textId="3393BE49" w:rsidR="007E4B49" w:rsidRDefault="00E05BDA" w:rsidP="007E4B49">
      <w:pPr>
        <w:pStyle w:val="13"/>
        <w:ind w:firstLine="482"/>
      </w:pPr>
      <w:r w:rsidRPr="00E05BDA">
        <w:rPr>
          <w:rFonts w:hint="eastAsia"/>
          <w:b/>
          <w:bCs/>
        </w:rPr>
        <w:t xml:space="preserve">第二十五条 </w:t>
      </w:r>
      <w:r w:rsidR="007E4B49">
        <w:t>资产评估报告应当载明资产评估报告日。</w:t>
      </w:r>
    </w:p>
    <w:p w14:paraId="015FAC95" w14:textId="77777777" w:rsidR="00AD2E8B" w:rsidRDefault="007E4B49" w:rsidP="007E4B49">
      <w:pPr>
        <w:pStyle w:val="13"/>
      </w:pPr>
      <w:r>
        <w:rPr>
          <w:rFonts w:hint="eastAsia"/>
        </w:rPr>
        <w:t>资产评估报告日通常为评估结论形成的日期，可以不同于资产评估报告的签发日。</w:t>
      </w:r>
    </w:p>
    <w:p w14:paraId="0C5DFFA9" w14:textId="13B87981" w:rsidR="007E4B49" w:rsidRDefault="00E05BDA" w:rsidP="007E4B49">
      <w:pPr>
        <w:pStyle w:val="13"/>
        <w:ind w:firstLine="482"/>
      </w:pPr>
      <w:r w:rsidRPr="00E05BDA">
        <w:rPr>
          <w:rFonts w:hint="eastAsia"/>
          <w:b/>
          <w:bCs/>
        </w:rPr>
        <w:t xml:space="preserve">第二十六条 </w:t>
      </w:r>
      <w:r w:rsidR="007E4B49">
        <w:t>资产评估报告正文应当由至少两名承办该评估业务的资产评估师签名，</w:t>
      </w:r>
      <w:r w:rsidR="007E4B49">
        <w:rPr>
          <w:rFonts w:hint="eastAsia"/>
        </w:rPr>
        <w:t>并加盖资产评估机构印章。</w:t>
      </w:r>
    </w:p>
    <w:p w14:paraId="0D25A29B" w14:textId="77777777" w:rsidR="007E4B49" w:rsidRDefault="007E4B49" w:rsidP="007E4B49">
      <w:pPr>
        <w:pStyle w:val="13"/>
      </w:pPr>
      <w:r>
        <w:rPr>
          <w:rFonts w:hint="eastAsia"/>
        </w:rPr>
        <w:t>声明、摘要和评估明细表上通常不需要另行签名盖章。</w:t>
      </w:r>
    </w:p>
    <w:p w14:paraId="77DBCE3A" w14:textId="77777777" w:rsidR="007E4B49" w:rsidRDefault="007E4B49" w:rsidP="00AF7342">
      <w:pPr>
        <w:pStyle w:val="a9"/>
        <w:spacing w:before="62" w:after="62"/>
      </w:pPr>
      <w:r>
        <w:rPr>
          <w:rFonts w:hint="eastAsia"/>
        </w:rPr>
        <w:t>第四章</w:t>
      </w:r>
      <w:r>
        <w:t xml:space="preserve"> 附件</w:t>
      </w:r>
    </w:p>
    <w:p w14:paraId="46837092" w14:textId="14CDE043" w:rsidR="007E4B49" w:rsidRDefault="00E05BDA" w:rsidP="007E4B49">
      <w:pPr>
        <w:pStyle w:val="13"/>
        <w:ind w:firstLine="482"/>
      </w:pPr>
      <w:r w:rsidRPr="00E05BDA">
        <w:rPr>
          <w:rFonts w:hint="eastAsia"/>
          <w:b/>
          <w:bCs/>
        </w:rPr>
        <w:t xml:space="preserve">第二十七条 </w:t>
      </w:r>
      <w:r w:rsidR="007E4B49">
        <w:t>资产评估报告附件内容应当与评估目的、评估方法、评估结论相关联</w:t>
      </w:r>
      <w:r w:rsidR="00CC4D74">
        <w:t>，</w:t>
      </w:r>
      <w:r w:rsidR="007E4B49">
        <w:t>通常包括下列内容：</w:t>
      </w:r>
    </w:p>
    <w:p w14:paraId="3B82614A" w14:textId="77777777" w:rsidR="007E4B49" w:rsidRDefault="007E4B49" w:rsidP="007E4B49">
      <w:pPr>
        <w:pStyle w:val="13"/>
      </w:pPr>
      <w:r>
        <w:rPr>
          <w:rFonts w:hint="eastAsia"/>
        </w:rPr>
        <w:lastRenderedPageBreak/>
        <w:t>（一）与评估目的相对应的经济行为文件；</w:t>
      </w:r>
    </w:p>
    <w:p w14:paraId="13DB1BF8" w14:textId="77777777" w:rsidR="007E4B49" w:rsidRDefault="007E4B49" w:rsidP="007E4B49">
      <w:pPr>
        <w:pStyle w:val="13"/>
      </w:pPr>
      <w:r>
        <w:rPr>
          <w:rFonts w:hint="eastAsia"/>
        </w:rPr>
        <w:t>（二）被评估单位专项审计报告；</w:t>
      </w:r>
    </w:p>
    <w:p w14:paraId="57CCA287" w14:textId="77777777" w:rsidR="007E4B49" w:rsidRDefault="007E4B49" w:rsidP="007E4B49">
      <w:pPr>
        <w:pStyle w:val="13"/>
      </w:pPr>
      <w:r>
        <w:rPr>
          <w:rFonts w:hint="eastAsia"/>
        </w:rPr>
        <w:t>（三）委托人和被评估单位法人营业执照；</w:t>
      </w:r>
    </w:p>
    <w:p w14:paraId="6084000A" w14:textId="77777777" w:rsidR="007E4B49" w:rsidRDefault="007E4B49" w:rsidP="007E4B49">
      <w:pPr>
        <w:pStyle w:val="13"/>
      </w:pPr>
      <w:r>
        <w:rPr>
          <w:rFonts w:hint="eastAsia"/>
        </w:rPr>
        <w:t>（四）委托人和被评估单位产权登记证；</w:t>
      </w:r>
    </w:p>
    <w:p w14:paraId="43026828" w14:textId="77777777" w:rsidR="007E4B49" w:rsidRDefault="007E4B49" w:rsidP="007E4B49">
      <w:pPr>
        <w:pStyle w:val="13"/>
      </w:pPr>
      <w:r>
        <w:rPr>
          <w:rFonts w:hint="eastAsia"/>
        </w:rPr>
        <w:t>（五）评估对象涉及的主要权属证明资料；</w:t>
      </w:r>
    </w:p>
    <w:p w14:paraId="4E62AF48" w14:textId="77777777" w:rsidR="007E4B49" w:rsidRDefault="007E4B49" w:rsidP="007E4B49">
      <w:pPr>
        <w:pStyle w:val="13"/>
      </w:pPr>
      <w:r>
        <w:rPr>
          <w:rFonts w:hint="eastAsia"/>
        </w:rPr>
        <w:t>（六）委托人和其他相关当事人的承诺函；</w:t>
      </w:r>
    </w:p>
    <w:p w14:paraId="3AEB3473" w14:textId="77777777" w:rsidR="007E4B49" w:rsidRDefault="007E4B49" w:rsidP="007E4B49">
      <w:pPr>
        <w:pStyle w:val="13"/>
      </w:pPr>
      <w:r>
        <w:rPr>
          <w:rFonts w:hint="eastAsia"/>
        </w:rPr>
        <w:t>（七）签名资产评估师的承诺函；</w:t>
      </w:r>
    </w:p>
    <w:p w14:paraId="6C47EAB4" w14:textId="77777777" w:rsidR="007E4B49" w:rsidRDefault="007E4B49" w:rsidP="007E4B49">
      <w:pPr>
        <w:pStyle w:val="13"/>
      </w:pPr>
      <w:r>
        <w:rPr>
          <w:rFonts w:hint="eastAsia"/>
        </w:rPr>
        <w:t>（八）资产评估机构备案文件或者资格证明文件；</w:t>
      </w:r>
    </w:p>
    <w:p w14:paraId="1E03EDCF" w14:textId="77777777" w:rsidR="007E4B49" w:rsidRDefault="007E4B49" w:rsidP="007E4B49">
      <w:pPr>
        <w:pStyle w:val="13"/>
      </w:pPr>
      <w:r>
        <w:rPr>
          <w:rFonts w:hint="eastAsia"/>
        </w:rPr>
        <w:t>（九）资产评估机构法人营业执照副本；</w:t>
      </w:r>
    </w:p>
    <w:p w14:paraId="17C6DFC4" w14:textId="77777777" w:rsidR="007E4B49" w:rsidRDefault="007E4B49" w:rsidP="007E4B49">
      <w:pPr>
        <w:pStyle w:val="13"/>
      </w:pPr>
      <w:r>
        <w:rPr>
          <w:rFonts w:hint="eastAsia"/>
        </w:rPr>
        <w:t>（十）负责该评估业务的资产评估师资</w:t>
      </w:r>
      <w:proofErr w:type="gramStart"/>
      <w:r>
        <w:rPr>
          <w:rFonts w:hint="eastAsia"/>
        </w:rPr>
        <w:t>格证明</w:t>
      </w:r>
      <w:proofErr w:type="gramEnd"/>
      <w:r>
        <w:rPr>
          <w:rFonts w:hint="eastAsia"/>
        </w:rPr>
        <w:t>文件；</w:t>
      </w:r>
    </w:p>
    <w:p w14:paraId="43831335" w14:textId="77777777" w:rsidR="007E4B49" w:rsidRDefault="007E4B49" w:rsidP="007E4B49">
      <w:pPr>
        <w:pStyle w:val="13"/>
      </w:pPr>
      <w:r>
        <w:rPr>
          <w:rFonts w:hint="eastAsia"/>
        </w:rPr>
        <w:t>（十一）资产评估委托合同；</w:t>
      </w:r>
    </w:p>
    <w:p w14:paraId="1684AA27" w14:textId="77777777" w:rsidR="007E4B49" w:rsidRDefault="007E4B49" w:rsidP="007E4B49">
      <w:pPr>
        <w:pStyle w:val="13"/>
      </w:pPr>
      <w:r>
        <w:rPr>
          <w:rFonts w:hint="eastAsia"/>
        </w:rPr>
        <w:t>（十二）其他重要文件。</w:t>
      </w:r>
    </w:p>
    <w:p w14:paraId="1D5220EF" w14:textId="6B0971CF" w:rsidR="007E4B49" w:rsidRDefault="00E05BDA" w:rsidP="007E4B49">
      <w:pPr>
        <w:pStyle w:val="13"/>
        <w:ind w:firstLine="482"/>
      </w:pPr>
      <w:r w:rsidRPr="00E05BDA">
        <w:rPr>
          <w:rFonts w:hint="eastAsia"/>
          <w:b/>
          <w:bCs/>
        </w:rPr>
        <w:t xml:space="preserve">第二十八条 </w:t>
      </w:r>
      <w:r w:rsidR="007E4B49">
        <w:t>资产评估报告附件内容及其所涉及的签章应当清晰、完整，相关内容应当与资产评估报告摘要、正文一致。资产评估报告附件为复印件的，应当与原件一致。</w:t>
      </w:r>
    </w:p>
    <w:p w14:paraId="2A40414F" w14:textId="22BA62A6" w:rsidR="007E4B49" w:rsidRDefault="00E05BDA" w:rsidP="007E4B49">
      <w:pPr>
        <w:pStyle w:val="13"/>
        <w:ind w:firstLine="482"/>
      </w:pPr>
      <w:r w:rsidRPr="00E05BDA">
        <w:rPr>
          <w:b/>
          <w:bCs/>
        </w:rPr>
        <w:t xml:space="preserve">第二十九条 </w:t>
      </w:r>
      <w:r w:rsidR="007E4B49">
        <w:t>按照法律、行政法规规定需要进行专项审计的，应当将企业提供的与</w:t>
      </w:r>
      <w:r w:rsidR="007E4B49">
        <w:rPr>
          <w:rFonts w:hint="eastAsia"/>
        </w:rPr>
        <w:t>经济行为相对应的评估基准日专项审计报告（含会计报表和附注）作为资产评估报告附件。按有关规定无需进行专项审计的，应当将企业确认的与经济行为相对应的评估基准日企业财务报表作为资产评估报告附件。</w:t>
      </w:r>
    </w:p>
    <w:p w14:paraId="62AE6C29" w14:textId="77777777" w:rsidR="007E4B49" w:rsidRDefault="007E4B49" w:rsidP="007E4B49">
      <w:pPr>
        <w:pStyle w:val="13"/>
      </w:pPr>
      <w:r>
        <w:rPr>
          <w:rFonts w:hint="eastAsia"/>
        </w:rPr>
        <w:t>如果引用其他机构出具的报告结论，根据现行有关规定，所引用的报告应当经相应主管部门批准（备案）的，应当将相应主管部门的相关批准（备案）文件作为资产评估报告的附件。</w:t>
      </w:r>
    </w:p>
    <w:p w14:paraId="587842AD" w14:textId="77777777" w:rsidR="007E4B49" w:rsidRDefault="007E4B49" w:rsidP="00AF7342">
      <w:pPr>
        <w:pStyle w:val="a9"/>
        <w:spacing w:before="62" w:after="62"/>
      </w:pPr>
      <w:r>
        <w:rPr>
          <w:rFonts w:hint="eastAsia"/>
        </w:rPr>
        <w:t>第五章</w:t>
      </w:r>
      <w:r>
        <w:t xml:space="preserve"> 评估明细表</w:t>
      </w:r>
    </w:p>
    <w:p w14:paraId="18A2C243" w14:textId="50D280DF" w:rsidR="007E4B49" w:rsidRDefault="00E05BDA" w:rsidP="007E4B49">
      <w:pPr>
        <w:pStyle w:val="13"/>
        <w:ind w:firstLine="482"/>
      </w:pPr>
      <w:r w:rsidRPr="00E05BDA">
        <w:rPr>
          <w:rFonts w:hint="eastAsia"/>
          <w:b/>
          <w:bCs/>
        </w:rPr>
        <w:t xml:space="preserve">第三十条 </w:t>
      </w:r>
      <w:r w:rsidR="007E4B49">
        <w:t>评估明细表可以根据本指南的基本要求和企业会计核算所设置的会计科目，结合评估方法特点进行编制。</w:t>
      </w:r>
    </w:p>
    <w:p w14:paraId="37034EE5" w14:textId="77777777" w:rsidR="007E4B49" w:rsidRDefault="007E4B49" w:rsidP="007E4B49">
      <w:pPr>
        <w:pStyle w:val="13"/>
      </w:pPr>
      <w:r>
        <w:rPr>
          <w:rFonts w:hint="eastAsia"/>
        </w:rPr>
        <w:t>（一）单项资产或者资产组合评估、采用资产基础法进行企业价值评估，评估明细表包括按会计科目设置的资产、负债评估明细表和各级汇总表；</w:t>
      </w:r>
    </w:p>
    <w:p w14:paraId="14F676C5" w14:textId="77777777" w:rsidR="007E4B49" w:rsidRDefault="007E4B49" w:rsidP="007E4B49">
      <w:pPr>
        <w:pStyle w:val="13"/>
      </w:pPr>
      <w:r>
        <w:rPr>
          <w:rFonts w:hint="eastAsia"/>
        </w:rPr>
        <w:t>（二）采用收益法进行企业价值评估，可以根据收益法评估参数和盈利预测项目的构成等具体情况设计评估明细表的格式和内容；</w:t>
      </w:r>
    </w:p>
    <w:p w14:paraId="4E37134C" w14:textId="77777777" w:rsidR="007E4B49" w:rsidRDefault="007E4B49" w:rsidP="007E4B49">
      <w:pPr>
        <w:pStyle w:val="13"/>
      </w:pPr>
      <w:r>
        <w:rPr>
          <w:rFonts w:hint="eastAsia"/>
        </w:rPr>
        <w:t>（三）采用市场法进行企业价值评估，可以根据评估技术说明的详略程度决定是否单独编制符合市场法特点的评估明细表。</w:t>
      </w:r>
    </w:p>
    <w:p w14:paraId="31EC1923" w14:textId="133B0F4E" w:rsidR="007E4B49" w:rsidRDefault="003B2FB1" w:rsidP="007E4B49">
      <w:pPr>
        <w:pStyle w:val="13"/>
        <w:ind w:firstLine="482"/>
      </w:pPr>
      <w:r w:rsidRPr="003B2FB1">
        <w:rPr>
          <w:rFonts w:hint="eastAsia"/>
          <w:b/>
          <w:bCs/>
        </w:rPr>
        <w:t xml:space="preserve">第三十一条 </w:t>
      </w:r>
      <w:r w:rsidR="007E4B49">
        <w:t>资产、负债会计科目的评估明细表格式和内容基本要求如下：</w:t>
      </w:r>
    </w:p>
    <w:p w14:paraId="498D14FA" w14:textId="77777777" w:rsidR="007E4B49" w:rsidRDefault="007E4B49" w:rsidP="007E4B49">
      <w:pPr>
        <w:pStyle w:val="13"/>
      </w:pPr>
      <w:r>
        <w:rPr>
          <w:rFonts w:hint="eastAsia"/>
        </w:rPr>
        <w:t>（一）表</w:t>
      </w:r>
      <w:proofErr w:type="gramStart"/>
      <w:r>
        <w:rPr>
          <w:rFonts w:hint="eastAsia"/>
        </w:rPr>
        <w:t>头应当</w:t>
      </w:r>
      <w:proofErr w:type="gramEnd"/>
      <w:r>
        <w:rPr>
          <w:rFonts w:hint="eastAsia"/>
        </w:rPr>
        <w:t>含有资产或负债类型（会计科目）名称、被评估单位、评估基准日、表号、金额单位、页码。</w:t>
      </w:r>
    </w:p>
    <w:p w14:paraId="446A9CAD" w14:textId="72C632AF" w:rsidR="007E4B49" w:rsidRDefault="007E4B49" w:rsidP="007E4B49">
      <w:pPr>
        <w:pStyle w:val="13"/>
      </w:pPr>
      <w:r>
        <w:rPr>
          <w:rFonts w:hint="eastAsia"/>
        </w:rPr>
        <w:lastRenderedPageBreak/>
        <w:t>（二）表中应当含有资产负债的名称（明细）、经营业务或者事项内容、技术参数、发生（购、建、创）日期、账面价值、评估价值、评估增减幅度等基本内容。必要时，</w:t>
      </w:r>
      <w:r>
        <w:t>在备注栏对技术参数或者经营业务、事项情况进行注释。</w:t>
      </w:r>
    </w:p>
    <w:p w14:paraId="49097B3A" w14:textId="77777777" w:rsidR="007E4B49" w:rsidRDefault="007E4B49" w:rsidP="007E4B49">
      <w:pPr>
        <w:pStyle w:val="13"/>
      </w:pPr>
      <w:r>
        <w:rPr>
          <w:rFonts w:hint="eastAsia"/>
        </w:rPr>
        <w:t>（三）表</w:t>
      </w:r>
      <w:proofErr w:type="gramStart"/>
      <w:r>
        <w:rPr>
          <w:rFonts w:hint="eastAsia"/>
        </w:rPr>
        <w:t>尾应当</w:t>
      </w:r>
      <w:proofErr w:type="gramEnd"/>
      <w:r>
        <w:rPr>
          <w:rFonts w:hint="eastAsia"/>
        </w:rPr>
        <w:t>标明被评估单位填表人员、填表日期和评估人员。</w:t>
      </w:r>
    </w:p>
    <w:p w14:paraId="0BC94CDF" w14:textId="77777777" w:rsidR="007E4B49" w:rsidRDefault="007E4B49" w:rsidP="007E4B49">
      <w:pPr>
        <w:pStyle w:val="13"/>
      </w:pPr>
      <w:r>
        <w:rPr>
          <w:rFonts w:hint="eastAsia"/>
        </w:rPr>
        <w:t>（四）评估明细表按会计明细科目、一级科目逐级汇总，并编制资产负债表（方式）</w:t>
      </w:r>
      <w:r>
        <w:t xml:space="preserve"> 的评估汇总表及以人民币万元为金额单位的评估结果汇总表。</w:t>
      </w:r>
    </w:p>
    <w:p w14:paraId="4496B099" w14:textId="77777777" w:rsidR="007E4B49" w:rsidRDefault="007E4B49" w:rsidP="007E4B49">
      <w:pPr>
        <w:pStyle w:val="13"/>
      </w:pPr>
      <w:r>
        <w:rPr>
          <w:rFonts w:hint="eastAsia"/>
        </w:rPr>
        <w:t>（五）会计计提的减值准备在相应会计科目（资产负债类型）合计项下和相关科目汇总表中列示。</w:t>
      </w:r>
    </w:p>
    <w:p w14:paraId="6401B027" w14:textId="77777777" w:rsidR="007E4B49" w:rsidRDefault="007E4B49" w:rsidP="007E4B49">
      <w:pPr>
        <w:pStyle w:val="13"/>
      </w:pPr>
      <w:r>
        <w:rPr>
          <w:rFonts w:hint="eastAsia"/>
        </w:rPr>
        <w:t>（六）评估结果汇总表应当按以下顺序和项目内容列示：流动资产、非流动资产、资产总计、流动负债、非流动负债、负债总计、净资产等类别和项目。</w:t>
      </w:r>
    </w:p>
    <w:p w14:paraId="2FCFA874" w14:textId="4A910FFC" w:rsidR="007E4B49" w:rsidRDefault="003B2FB1" w:rsidP="007E4B49">
      <w:pPr>
        <w:pStyle w:val="13"/>
        <w:ind w:firstLine="482"/>
      </w:pPr>
      <w:r w:rsidRPr="003B2FB1">
        <w:rPr>
          <w:rFonts w:hint="eastAsia"/>
          <w:b/>
          <w:bCs/>
        </w:rPr>
        <w:t xml:space="preserve">第三十二条 </w:t>
      </w:r>
      <w:r w:rsidR="007E4B49">
        <w:t>采用收益法中的现金流量折现法进行企业价值评估，评估明细表通常包括以下内容：</w:t>
      </w:r>
    </w:p>
    <w:p w14:paraId="4C7E2D47" w14:textId="77777777" w:rsidR="007E4B49" w:rsidRDefault="007E4B49" w:rsidP="007E4B49">
      <w:pPr>
        <w:pStyle w:val="13"/>
      </w:pPr>
      <w:r>
        <w:rPr>
          <w:rFonts w:hint="eastAsia"/>
        </w:rPr>
        <w:t>（一）资产负债、利润调整表（如果有调整时）；</w:t>
      </w:r>
    </w:p>
    <w:p w14:paraId="0D44E2D0" w14:textId="77777777" w:rsidR="007E4B49" w:rsidRDefault="007E4B49" w:rsidP="007E4B49">
      <w:pPr>
        <w:pStyle w:val="13"/>
      </w:pPr>
      <w:r>
        <w:rPr>
          <w:rFonts w:hint="eastAsia"/>
        </w:rPr>
        <w:t>（二）现金流量测算表；</w:t>
      </w:r>
    </w:p>
    <w:p w14:paraId="26BE07BA" w14:textId="77777777" w:rsidR="007E4B49" w:rsidRDefault="007E4B49" w:rsidP="007E4B49">
      <w:pPr>
        <w:pStyle w:val="13"/>
      </w:pPr>
      <w:r>
        <w:rPr>
          <w:rFonts w:hint="eastAsia"/>
        </w:rPr>
        <w:t>（三）营业收入预测表；</w:t>
      </w:r>
    </w:p>
    <w:p w14:paraId="633B2CF4" w14:textId="77777777" w:rsidR="007E4B49" w:rsidRDefault="007E4B49" w:rsidP="007E4B49">
      <w:pPr>
        <w:pStyle w:val="13"/>
      </w:pPr>
      <w:r>
        <w:rPr>
          <w:rFonts w:hint="eastAsia"/>
        </w:rPr>
        <w:t>（四）营业成本预测表；</w:t>
      </w:r>
    </w:p>
    <w:p w14:paraId="70388A4B" w14:textId="77777777" w:rsidR="007E4B49" w:rsidRDefault="007E4B49" w:rsidP="007E4B49">
      <w:pPr>
        <w:pStyle w:val="13"/>
      </w:pPr>
      <w:r>
        <w:rPr>
          <w:rFonts w:hint="eastAsia"/>
        </w:rPr>
        <w:t>（五）营业税金及附加预测表；</w:t>
      </w:r>
    </w:p>
    <w:p w14:paraId="441E508A" w14:textId="77777777" w:rsidR="007E4B49" w:rsidRDefault="007E4B49" w:rsidP="007E4B49">
      <w:pPr>
        <w:pStyle w:val="13"/>
      </w:pPr>
      <w:r>
        <w:rPr>
          <w:rFonts w:hint="eastAsia"/>
        </w:rPr>
        <w:t>（六）销售费用预测表；</w:t>
      </w:r>
    </w:p>
    <w:p w14:paraId="5A048A2F" w14:textId="77777777" w:rsidR="007E4B49" w:rsidRDefault="007E4B49" w:rsidP="007E4B49">
      <w:pPr>
        <w:pStyle w:val="13"/>
      </w:pPr>
      <w:r>
        <w:rPr>
          <w:rFonts w:hint="eastAsia"/>
        </w:rPr>
        <w:t>（七）管理费用预测表；</w:t>
      </w:r>
    </w:p>
    <w:p w14:paraId="7B3614EC" w14:textId="77777777" w:rsidR="007E4B49" w:rsidRDefault="007E4B49" w:rsidP="007E4B49">
      <w:pPr>
        <w:pStyle w:val="13"/>
      </w:pPr>
      <w:r>
        <w:rPr>
          <w:rFonts w:hint="eastAsia"/>
        </w:rPr>
        <w:t>（八）财务费用预测表；</w:t>
      </w:r>
    </w:p>
    <w:p w14:paraId="64CD987E" w14:textId="77777777" w:rsidR="007E4B49" w:rsidRDefault="007E4B49" w:rsidP="007E4B49">
      <w:pPr>
        <w:pStyle w:val="13"/>
      </w:pPr>
      <w:r>
        <w:rPr>
          <w:rFonts w:hint="eastAsia"/>
        </w:rPr>
        <w:t>（九）营运资金预测表；</w:t>
      </w:r>
    </w:p>
    <w:p w14:paraId="3E60163B" w14:textId="77777777" w:rsidR="007E4B49" w:rsidRDefault="007E4B49" w:rsidP="007E4B49">
      <w:pPr>
        <w:pStyle w:val="13"/>
      </w:pPr>
      <w:r>
        <w:rPr>
          <w:rFonts w:hint="eastAsia"/>
        </w:rPr>
        <w:t>（十）折旧摊销预测表；</w:t>
      </w:r>
    </w:p>
    <w:p w14:paraId="0741A3F6" w14:textId="77777777" w:rsidR="007E4B49" w:rsidRDefault="007E4B49" w:rsidP="007E4B49">
      <w:pPr>
        <w:pStyle w:val="13"/>
      </w:pPr>
      <w:r>
        <w:rPr>
          <w:rFonts w:hint="eastAsia"/>
        </w:rPr>
        <w:t>（十一）资本性支出预测表；</w:t>
      </w:r>
    </w:p>
    <w:p w14:paraId="7C3BD5A0" w14:textId="77777777" w:rsidR="007E4B49" w:rsidRDefault="007E4B49" w:rsidP="007E4B49">
      <w:pPr>
        <w:pStyle w:val="13"/>
      </w:pPr>
      <w:r>
        <w:rPr>
          <w:rFonts w:hint="eastAsia"/>
        </w:rPr>
        <w:t>（十二）折现率计算表；</w:t>
      </w:r>
    </w:p>
    <w:p w14:paraId="1E7F6359" w14:textId="77777777" w:rsidR="007E4B49" w:rsidRDefault="007E4B49" w:rsidP="007E4B49">
      <w:pPr>
        <w:pStyle w:val="13"/>
      </w:pPr>
      <w:r>
        <w:rPr>
          <w:rFonts w:hint="eastAsia"/>
        </w:rPr>
        <w:t>（十三）溢</w:t>
      </w:r>
      <w:proofErr w:type="gramStart"/>
      <w:r>
        <w:rPr>
          <w:rFonts w:hint="eastAsia"/>
        </w:rPr>
        <w:t>余资产</w:t>
      </w:r>
      <w:proofErr w:type="gramEnd"/>
      <w:r>
        <w:rPr>
          <w:rFonts w:hint="eastAsia"/>
        </w:rPr>
        <w:t>和非经营性资产分析表。</w:t>
      </w:r>
    </w:p>
    <w:p w14:paraId="18130981" w14:textId="1EADE5CD" w:rsidR="007E4B49" w:rsidRDefault="003B2FB1" w:rsidP="007E4B49">
      <w:pPr>
        <w:pStyle w:val="13"/>
        <w:ind w:firstLine="482"/>
      </w:pPr>
      <w:r w:rsidRPr="003B2FB1">
        <w:rPr>
          <w:rFonts w:hint="eastAsia"/>
          <w:b/>
          <w:bCs/>
        </w:rPr>
        <w:t xml:space="preserve">第三十三条 </w:t>
      </w:r>
      <w:r w:rsidR="007E4B49">
        <w:t>收益法评估明细表表</w:t>
      </w:r>
      <w:proofErr w:type="gramStart"/>
      <w:r w:rsidR="007E4B49">
        <w:t>头应当</w:t>
      </w:r>
      <w:proofErr w:type="gramEnd"/>
      <w:r w:rsidR="007E4B49">
        <w:t>含有评估参数或者预测项目名称、被评估单位、评估基准日、表号、金额单位等。</w:t>
      </w:r>
    </w:p>
    <w:p w14:paraId="2D6047DF" w14:textId="6F42A277" w:rsidR="007E4B49" w:rsidRDefault="003B2FB1" w:rsidP="007E4B49">
      <w:pPr>
        <w:pStyle w:val="13"/>
        <w:ind w:firstLine="482"/>
      </w:pPr>
      <w:r w:rsidRPr="003B2FB1">
        <w:rPr>
          <w:rFonts w:hint="eastAsia"/>
          <w:b/>
          <w:bCs/>
        </w:rPr>
        <w:t xml:space="preserve">第三十四条 </w:t>
      </w:r>
      <w:r w:rsidR="007E4B49">
        <w:t>被评估单位为两家以上的，评估明细表应当按被评估单位分别归集</w:t>
      </w:r>
      <w:r w:rsidR="00CC4D74">
        <w:t>，</w:t>
      </w:r>
      <w:r w:rsidR="007E4B49">
        <w:t>自成体系。</w:t>
      </w:r>
    </w:p>
    <w:p w14:paraId="61B1FDB7" w14:textId="77777777" w:rsidR="007E4B49" w:rsidRDefault="007E4B49" w:rsidP="00AF7342">
      <w:pPr>
        <w:pStyle w:val="a9"/>
        <w:spacing w:before="62" w:after="62"/>
      </w:pPr>
      <w:r>
        <w:rPr>
          <w:rFonts w:hint="eastAsia"/>
        </w:rPr>
        <w:t>第六章</w:t>
      </w:r>
      <w:r>
        <w:t xml:space="preserve"> 评估说明</w:t>
      </w:r>
    </w:p>
    <w:p w14:paraId="045F4F2B" w14:textId="346C63D8" w:rsidR="007E4B49" w:rsidRDefault="003B2FB1" w:rsidP="007E4B49">
      <w:pPr>
        <w:pStyle w:val="13"/>
        <w:ind w:firstLine="482"/>
      </w:pPr>
      <w:r w:rsidRPr="003B2FB1">
        <w:rPr>
          <w:rFonts w:hint="eastAsia"/>
          <w:b/>
          <w:bCs/>
        </w:rPr>
        <w:t xml:space="preserve">第三十五条 </w:t>
      </w:r>
      <w:r w:rsidR="007E4B49">
        <w:t>评估说明包括评估说明使用范围声明、委托人和被评估单位编写的《企业关于进行资产评估有关事项的说明》和资产评估师编写的《资产评估说明》。</w:t>
      </w:r>
    </w:p>
    <w:p w14:paraId="576CD77F" w14:textId="5A33DEB4" w:rsidR="007E4B49" w:rsidRDefault="003B2FB1" w:rsidP="007E4B49">
      <w:pPr>
        <w:pStyle w:val="13"/>
        <w:ind w:firstLine="482"/>
      </w:pPr>
      <w:r w:rsidRPr="003B2FB1">
        <w:rPr>
          <w:rFonts w:hint="eastAsia"/>
          <w:b/>
          <w:bCs/>
        </w:rPr>
        <w:t xml:space="preserve">第三十六条 </w:t>
      </w:r>
      <w:r w:rsidR="007E4B49">
        <w:t>关于评估说明使用范围的声明，应当写明评估说明使用单位或部门的范围及限制条款。</w:t>
      </w:r>
    </w:p>
    <w:p w14:paraId="059409CB" w14:textId="5F3CF289" w:rsidR="007E4B49" w:rsidRDefault="003B2FB1" w:rsidP="007E4B49">
      <w:pPr>
        <w:pStyle w:val="13"/>
        <w:ind w:firstLine="482"/>
      </w:pPr>
      <w:r w:rsidRPr="003B2FB1">
        <w:rPr>
          <w:rFonts w:hint="eastAsia"/>
          <w:b/>
          <w:bCs/>
        </w:rPr>
        <w:lastRenderedPageBreak/>
        <w:t xml:space="preserve">第三十七条 </w:t>
      </w:r>
      <w:r w:rsidR="007E4B49">
        <w:t>委托人和被评估单位可以共同编写或者分别编写《企业关于进行资产评估有关事项的说明》。委托人单位负责人和被评估单位负责人应当对所编写的说明签名，加盖相应单位公章并签署日期。</w:t>
      </w:r>
    </w:p>
    <w:p w14:paraId="1B485E61" w14:textId="77777777" w:rsidR="007E4B49" w:rsidRDefault="007E4B49" w:rsidP="007E4B49">
      <w:pPr>
        <w:pStyle w:val="13"/>
      </w:pPr>
      <w:r>
        <w:rPr>
          <w:rFonts w:hint="eastAsia"/>
        </w:rPr>
        <w:t>《企业关于进行资产评估有关事项的说明》包括以下内容：</w:t>
      </w:r>
    </w:p>
    <w:p w14:paraId="42597A77" w14:textId="77777777" w:rsidR="007E4B49" w:rsidRDefault="007E4B49" w:rsidP="007E4B49">
      <w:pPr>
        <w:pStyle w:val="13"/>
      </w:pPr>
      <w:r>
        <w:rPr>
          <w:rFonts w:hint="eastAsia"/>
        </w:rPr>
        <w:t>（一）委托人、被评估单位各自概况；</w:t>
      </w:r>
    </w:p>
    <w:p w14:paraId="7DBC0F27" w14:textId="77777777" w:rsidR="007E4B49" w:rsidRDefault="007E4B49" w:rsidP="007E4B49">
      <w:pPr>
        <w:pStyle w:val="13"/>
      </w:pPr>
      <w:r>
        <w:rPr>
          <w:rFonts w:hint="eastAsia"/>
        </w:rPr>
        <w:t>（二）关于经济行为的说明；</w:t>
      </w:r>
    </w:p>
    <w:p w14:paraId="329E48E6" w14:textId="77777777" w:rsidR="007E4B49" w:rsidRDefault="007E4B49" w:rsidP="007E4B49">
      <w:pPr>
        <w:pStyle w:val="13"/>
      </w:pPr>
      <w:r>
        <w:rPr>
          <w:rFonts w:hint="eastAsia"/>
        </w:rPr>
        <w:t>（三）关于评估对象与评估范围的说明；</w:t>
      </w:r>
    </w:p>
    <w:p w14:paraId="5325AD3A" w14:textId="77777777" w:rsidR="007E4B49" w:rsidRDefault="007E4B49" w:rsidP="007E4B49">
      <w:pPr>
        <w:pStyle w:val="13"/>
      </w:pPr>
      <w:r>
        <w:rPr>
          <w:rFonts w:hint="eastAsia"/>
        </w:rPr>
        <w:t>（四）关于评估基准日的说明；</w:t>
      </w:r>
    </w:p>
    <w:p w14:paraId="6773628F" w14:textId="77777777" w:rsidR="007E4B49" w:rsidRDefault="007E4B49" w:rsidP="007E4B49">
      <w:pPr>
        <w:pStyle w:val="13"/>
      </w:pPr>
      <w:r>
        <w:rPr>
          <w:rFonts w:hint="eastAsia"/>
        </w:rPr>
        <w:t>（五）可能影响评估工作的重大事项说明；</w:t>
      </w:r>
    </w:p>
    <w:p w14:paraId="5099011C" w14:textId="77777777" w:rsidR="007E4B49" w:rsidRDefault="007E4B49" w:rsidP="007E4B49">
      <w:pPr>
        <w:pStyle w:val="13"/>
      </w:pPr>
      <w:r>
        <w:rPr>
          <w:rFonts w:hint="eastAsia"/>
        </w:rPr>
        <w:t>（六）资产负债情况、未来经营和收益状况预测说明；</w:t>
      </w:r>
    </w:p>
    <w:p w14:paraId="18CC5E00" w14:textId="77777777" w:rsidR="007E4B49" w:rsidRDefault="007E4B49" w:rsidP="007E4B49">
      <w:pPr>
        <w:pStyle w:val="13"/>
      </w:pPr>
      <w:r>
        <w:rPr>
          <w:rFonts w:hint="eastAsia"/>
        </w:rPr>
        <w:t>（七）资料清单。</w:t>
      </w:r>
    </w:p>
    <w:p w14:paraId="733EDCC5" w14:textId="09A2FCC8" w:rsidR="007E4B49" w:rsidRDefault="003B2FB1" w:rsidP="007E4B49">
      <w:pPr>
        <w:pStyle w:val="13"/>
        <w:ind w:firstLine="482"/>
      </w:pPr>
      <w:r w:rsidRPr="003B2FB1">
        <w:rPr>
          <w:rFonts w:hint="eastAsia"/>
          <w:b/>
          <w:bCs/>
        </w:rPr>
        <w:t xml:space="preserve">第三十八条 </w:t>
      </w:r>
      <w:r w:rsidR="007E4B49">
        <w:t>《资产评估说明》是对评估对象进行核实、评定估算的详细说明，应当包括以下内容：</w:t>
      </w:r>
    </w:p>
    <w:p w14:paraId="4DA8694D" w14:textId="77777777" w:rsidR="007E4B49" w:rsidRDefault="007E4B49" w:rsidP="007E4B49">
      <w:pPr>
        <w:pStyle w:val="13"/>
      </w:pPr>
      <w:r>
        <w:rPr>
          <w:rFonts w:hint="eastAsia"/>
        </w:rPr>
        <w:t>（一）评估对象与评估范围说明；</w:t>
      </w:r>
    </w:p>
    <w:p w14:paraId="50DC9300" w14:textId="77777777" w:rsidR="007E4B49" w:rsidRDefault="007E4B49" w:rsidP="007E4B49">
      <w:pPr>
        <w:pStyle w:val="13"/>
      </w:pPr>
      <w:r>
        <w:rPr>
          <w:rFonts w:hint="eastAsia"/>
        </w:rPr>
        <w:t>（二）资产核实总体情况说明；</w:t>
      </w:r>
    </w:p>
    <w:p w14:paraId="390053A6" w14:textId="77777777" w:rsidR="007E4B49" w:rsidRDefault="007E4B49" w:rsidP="007E4B49">
      <w:pPr>
        <w:pStyle w:val="13"/>
      </w:pPr>
      <w:r>
        <w:rPr>
          <w:rFonts w:hint="eastAsia"/>
        </w:rPr>
        <w:t>（三）评估技术说明；</w:t>
      </w:r>
    </w:p>
    <w:p w14:paraId="5C95C951" w14:textId="77777777" w:rsidR="007E4B49" w:rsidRDefault="007E4B49" w:rsidP="007E4B49">
      <w:pPr>
        <w:pStyle w:val="13"/>
      </w:pPr>
      <w:r>
        <w:rPr>
          <w:rFonts w:hint="eastAsia"/>
        </w:rPr>
        <w:t>（四）评估结论及分析。</w:t>
      </w:r>
    </w:p>
    <w:p w14:paraId="7959033C" w14:textId="54275F11" w:rsidR="007E4B49" w:rsidRDefault="003B2FB1" w:rsidP="007E4B49">
      <w:pPr>
        <w:pStyle w:val="13"/>
        <w:ind w:firstLine="482"/>
      </w:pPr>
      <w:r w:rsidRPr="003B2FB1">
        <w:rPr>
          <w:rFonts w:hint="eastAsia"/>
          <w:b/>
          <w:bCs/>
        </w:rPr>
        <w:t xml:space="preserve">第三十九条 </w:t>
      </w:r>
      <w:r w:rsidR="007E4B49">
        <w:t>评估对象与评估范围说明应当根据企业价值评估、单项资产或者资产组合评估的不同情况确定内容的详略程度。</w:t>
      </w:r>
    </w:p>
    <w:p w14:paraId="66DE1AB1" w14:textId="516BE602" w:rsidR="007E4B49" w:rsidRDefault="003B2FB1" w:rsidP="007E4B49">
      <w:pPr>
        <w:pStyle w:val="13"/>
        <w:ind w:firstLine="482"/>
      </w:pPr>
      <w:r w:rsidRPr="003B2FB1">
        <w:rPr>
          <w:rFonts w:hint="eastAsia"/>
          <w:b/>
          <w:bCs/>
        </w:rPr>
        <w:t xml:space="preserve">第四十条 </w:t>
      </w:r>
      <w:r w:rsidR="007E4B49">
        <w:t>资产核实总体情况说明通常包括人员组织、实施时间、核实过程、影响事项及处理方法、核实结论。</w:t>
      </w:r>
    </w:p>
    <w:p w14:paraId="71B2E8EA" w14:textId="63BBBDEF" w:rsidR="007E4B49" w:rsidRDefault="003B2FB1" w:rsidP="007E4B49">
      <w:pPr>
        <w:pStyle w:val="13"/>
        <w:ind w:firstLine="482"/>
      </w:pPr>
      <w:r w:rsidRPr="003B2FB1">
        <w:rPr>
          <w:rFonts w:hint="eastAsia"/>
          <w:b/>
          <w:bCs/>
        </w:rPr>
        <w:t xml:space="preserve">第四十一条 </w:t>
      </w:r>
      <w:r w:rsidR="007E4B49">
        <w:t>评估技术说明应当考虑不同经济行为和不同评估方法的特点介绍评定估算的思路及过程。</w:t>
      </w:r>
    </w:p>
    <w:p w14:paraId="779E596F" w14:textId="39FFEC65" w:rsidR="007E4B49" w:rsidRDefault="003B2FB1" w:rsidP="007E4B49">
      <w:pPr>
        <w:pStyle w:val="13"/>
        <w:ind w:firstLine="482"/>
      </w:pPr>
      <w:r w:rsidRPr="003B2FB1">
        <w:rPr>
          <w:rFonts w:hint="eastAsia"/>
          <w:b/>
          <w:bCs/>
        </w:rPr>
        <w:t xml:space="preserve">第四十二条 </w:t>
      </w:r>
      <w:r w:rsidR="007E4B49">
        <w:t>采用成本法评估单项资产或者资产组合、采用资产基础法评估企业价值，应当根据评估业务的具体情况以及资产负债类型编写评估技术说明。各项资产负债评估技术说明应当包含资产负债的内容和金额、核实方法、评估值确定的方法和结论等基本内容。</w:t>
      </w:r>
    </w:p>
    <w:p w14:paraId="112873C4" w14:textId="1F43EEE9" w:rsidR="007E4B49" w:rsidRDefault="003B2FB1" w:rsidP="00AD2E8B">
      <w:pPr>
        <w:pStyle w:val="13"/>
        <w:ind w:firstLine="482"/>
      </w:pPr>
      <w:r w:rsidRPr="003B2FB1">
        <w:rPr>
          <w:rFonts w:hint="eastAsia"/>
          <w:b/>
          <w:bCs/>
        </w:rPr>
        <w:t xml:space="preserve">第四十三条 </w:t>
      </w:r>
      <w:r w:rsidR="007E4B49">
        <w:t>采用收益</w:t>
      </w:r>
      <w:proofErr w:type="gramStart"/>
      <w:r w:rsidR="007E4B49">
        <w:t>法或者</w:t>
      </w:r>
      <w:proofErr w:type="gramEnd"/>
      <w:r w:rsidR="007E4B49">
        <w:t>市场法评估企业价值，评估技术说明通常包括以下内</w:t>
      </w:r>
      <w:r w:rsidR="007E4B49">
        <w:rPr>
          <w:rFonts w:hint="eastAsia"/>
        </w:rPr>
        <w:t>容：</w:t>
      </w:r>
    </w:p>
    <w:p w14:paraId="57EDCDEA" w14:textId="77777777" w:rsidR="007E4B49" w:rsidRDefault="007E4B49" w:rsidP="007E4B49">
      <w:pPr>
        <w:pStyle w:val="13"/>
      </w:pPr>
      <w:r>
        <w:rPr>
          <w:rFonts w:hint="eastAsia"/>
        </w:rPr>
        <w:t>（一）影响企业经营的宏观、区域经济因素；</w:t>
      </w:r>
    </w:p>
    <w:p w14:paraId="59016E30" w14:textId="77777777" w:rsidR="007E4B49" w:rsidRDefault="007E4B49" w:rsidP="007E4B49">
      <w:pPr>
        <w:pStyle w:val="13"/>
      </w:pPr>
      <w:r>
        <w:rPr>
          <w:rFonts w:hint="eastAsia"/>
        </w:rPr>
        <w:t>（二）所在行业现状与发展前景；</w:t>
      </w:r>
    </w:p>
    <w:p w14:paraId="26ECFBA9" w14:textId="77777777" w:rsidR="007E4B49" w:rsidRDefault="007E4B49" w:rsidP="007E4B49">
      <w:pPr>
        <w:pStyle w:val="13"/>
      </w:pPr>
      <w:r>
        <w:rPr>
          <w:rFonts w:hint="eastAsia"/>
        </w:rPr>
        <w:t>（三）企业的业务情况；</w:t>
      </w:r>
    </w:p>
    <w:p w14:paraId="6C7F3C29" w14:textId="77777777" w:rsidR="007E4B49" w:rsidRDefault="007E4B49" w:rsidP="007E4B49">
      <w:pPr>
        <w:pStyle w:val="13"/>
      </w:pPr>
      <w:r>
        <w:rPr>
          <w:rFonts w:hint="eastAsia"/>
        </w:rPr>
        <w:t>（四）企业的资产、财务分析和调整情况；</w:t>
      </w:r>
    </w:p>
    <w:p w14:paraId="6833F2D1" w14:textId="77777777" w:rsidR="007E4B49" w:rsidRDefault="007E4B49" w:rsidP="007E4B49">
      <w:pPr>
        <w:pStyle w:val="13"/>
      </w:pPr>
      <w:r>
        <w:rPr>
          <w:rFonts w:hint="eastAsia"/>
        </w:rPr>
        <w:t>（五）评估方法的运用过程。</w:t>
      </w:r>
    </w:p>
    <w:p w14:paraId="40F036BC" w14:textId="2A729658" w:rsidR="007E4B49" w:rsidRDefault="003B2FB1" w:rsidP="00AD2E8B">
      <w:pPr>
        <w:pStyle w:val="13"/>
        <w:ind w:firstLine="482"/>
      </w:pPr>
      <w:r w:rsidRPr="003B2FB1">
        <w:rPr>
          <w:rFonts w:hint="eastAsia"/>
          <w:b/>
          <w:bCs/>
        </w:rPr>
        <w:lastRenderedPageBreak/>
        <w:t xml:space="preserve">第四十四条 </w:t>
      </w:r>
      <w:r w:rsidR="007E4B49">
        <w:t>采用收益法进行企业价值评估，应当根据行业特点、企业经营方式和</w:t>
      </w:r>
      <w:r w:rsidR="007E4B49">
        <w:rPr>
          <w:rFonts w:hint="eastAsia"/>
        </w:rPr>
        <w:t>所确定的预期收益口径以及评估的其他具体情况等编写评估技术说明。企业的资产、财务分析和调整情况以及评估方法运用过程说明通常包括以下内容：</w:t>
      </w:r>
    </w:p>
    <w:p w14:paraId="5A70AD0D" w14:textId="77777777" w:rsidR="007E4B49" w:rsidRDefault="007E4B49" w:rsidP="007E4B49">
      <w:pPr>
        <w:pStyle w:val="13"/>
      </w:pPr>
      <w:r>
        <w:rPr>
          <w:rFonts w:hint="eastAsia"/>
        </w:rPr>
        <w:t>（一）收益法的应用前提及选择理由和依据；</w:t>
      </w:r>
    </w:p>
    <w:p w14:paraId="2FABB500" w14:textId="77777777" w:rsidR="007E4B49" w:rsidRDefault="007E4B49" w:rsidP="007E4B49">
      <w:pPr>
        <w:pStyle w:val="13"/>
      </w:pPr>
      <w:r>
        <w:rPr>
          <w:rFonts w:hint="eastAsia"/>
        </w:rPr>
        <w:t>（二）收益预测的假设条件；</w:t>
      </w:r>
    </w:p>
    <w:p w14:paraId="694B7C57" w14:textId="77777777" w:rsidR="007E4B49" w:rsidRDefault="007E4B49" w:rsidP="007E4B49">
      <w:pPr>
        <w:pStyle w:val="13"/>
      </w:pPr>
      <w:r>
        <w:rPr>
          <w:rFonts w:hint="eastAsia"/>
        </w:rPr>
        <w:t>（三）企业经营、资产、财务分析；</w:t>
      </w:r>
    </w:p>
    <w:p w14:paraId="0FEE106B" w14:textId="77777777" w:rsidR="007E4B49" w:rsidRDefault="007E4B49" w:rsidP="007E4B49">
      <w:pPr>
        <w:pStyle w:val="13"/>
      </w:pPr>
      <w:r>
        <w:rPr>
          <w:rFonts w:hint="eastAsia"/>
        </w:rPr>
        <w:t>（四）收益模型选择理由及基本参数说明；</w:t>
      </w:r>
    </w:p>
    <w:p w14:paraId="3AF8812F" w14:textId="77777777" w:rsidR="007E4B49" w:rsidRDefault="007E4B49" w:rsidP="007E4B49">
      <w:pPr>
        <w:pStyle w:val="13"/>
      </w:pPr>
      <w:r>
        <w:rPr>
          <w:rFonts w:hint="eastAsia"/>
        </w:rPr>
        <w:t>（五）收益期限及预测期的说明；</w:t>
      </w:r>
    </w:p>
    <w:p w14:paraId="6A80B745" w14:textId="77777777" w:rsidR="007E4B49" w:rsidRDefault="007E4B49" w:rsidP="007E4B49">
      <w:pPr>
        <w:pStyle w:val="13"/>
      </w:pPr>
      <w:r>
        <w:rPr>
          <w:rFonts w:hint="eastAsia"/>
        </w:rPr>
        <w:t>（六）收益预测的说明；</w:t>
      </w:r>
    </w:p>
    <w:p w14:paraId="6703D20B" w14:textId="77777777" w:rsidR="007E4B49" w:rsidRDefault="007E4B49" w:rsidP="007E4B49">
      <w:pPr>
        <w:pStyle w:val="13"/>
      </w:pPr>
      <w:r>
        <w:rPr>
          <w:rFonts w:hint="eastAsia"/>
        </w:rPr>
        <w:t>（七）折现率的确定说明；</w:t>
      </w:r>
    </w:p>
    <w:p w14:paraId="189DD321" w14:textId="77777777" w:rsidR="007E4B49" w:rsidRDefault="007E4B49" w:rsidP="007E4B49">
      <w:pPr>
        <w:pStyle w:val="13"/>
      </w:pPr>
      <w:r>
        <w:rPr>
          <w:rFonts w:hint="eastAsia"/>
        </w:rPr>
        <w:t>（八）预测期后价值确定说明；</w:t>
      </w:r>
    </w:p>
    <w:p w14:paraId="79B95860" w14:textId="77777777" w:rsidR="007E4B49" w:rsidRDefault="007E4B49" w:rsidP="007E4B49">
      <w:pPr>
        <w:pStyle w:val="13"/>
      </w:pPr>
      <w:r>
        <w:rPr>
          <w:rFonts w:hint="eastAsia"/>
        </w:rPr>
        <w:t>（九）其他资产和负债评估说明；</w:t>
      </w:r>
    </w:p>
    <w:p w14:paraId="56804E57" w14:textId="77777777" w:rsidR="007E4B49" w:rsidRDefault="007E4B49" w:rsidP="007E4B49">
      <w:pPr>
        <w:pStyle w:val="13"/>
      </w:pPr>
      <w:r>
        <w:rPr>
          <w:rFonts w:hint="eastAsia"/>
        </w:rPr>
        <w:t>（十）评估价值。</w:t>
      </w:r>
    </w:p>
    <w:p w14:paraId="134A3600" w14:textId="22949E04" w:rsidR="007E4B49" w:rsidRDefault="003B2FB1" w:rsidP="007E4B49">
      <w:pPr>
        <w:pStyle w:val="13"/>
        <w:ind w:firstLine="482"/>
      </w:pPr>
      <w:r w:rsidRPr="003B2FB1">
        <w:rPr>
          <w:rFonts w:hint="eastAsia"/>
          <w:b/>
          <w:bCs/>
        </w:rPr>
        <w:t xml:space="preserve">第四十五条 </w:t>
      </w:r>
      <w:r w:rsidR="007E4B49">
        <w:t>采用市场法进行企业价值评估，应当根据行业特点、被评估单位实际情况以及上市公司比较法或者交易案例比较法的特点等编写评估技术说明。企业的资产、财务分析和调整情况以及评估方法运用过程说明通常包括以下内容：</w:t>
      </w:r>
    </w:p>
    <w:p w14:paraId="21066209" w14:textId="77777777" w:rsidR="007E4B49" w:rsidRDefault="007E4B49" w:rsidP="007E4B49">
      <w:pPr>
        <w:pStyle w:val="13"/>
      </w:pPr>
      <w:r>
        <w:rPr>
          <w:rFonts w:hint="eastAsia"/>
        </w:rPr>
        <w:t>（一）具体方法、应用前提及选择理由；</w:t>
      </w:r>
    </w:p>
    <w:p w14:paraId="0CEBCA6A" w14:textId="77777777" w:rsidR="007E4B49" w:rsidRDefault="007E4B49" w:rsidP="007E4B49">
      <w:pPr>
        <w:pStyle w:val="13"/>
      </w:pPr>
      <w:r>
        <w:rPr>
          <w:rFonts w:hint="eastAsia"/>
        </w:rPr>
        <w:t>（二）企业经营、资产、财务分析；</w:t>
      </w:r>
    </w:p>
    <w:p w14:paraId="4CC10180" w14:textId="77777777" w:rsidR="007E4B49" w:rsidRDefault="007E4B49" w:rsidP="007E4B49">
      <w:pPr>
        <w:pStyle w:val="13"/>
      </w:pPr>
      <w:r>
        <w:rPr>
          <w:rFonts w:hint="eastAsia"/>
        </w:rPr>
        <w:t>（三）分析选取确定可比企业或者交易案例的说明；</w:t>
      </w:r>
    </w:p>
    <w:p w14:paraId="23635FCC" w14:textId="77777777" w:rsidR="007E4B49" w:rsidRDefault="007E4B49" w:rsidP="007E4B49">
      <w:pPr>
        <w:pStyle w:val="13"/>
      </w:pPr>
      <w:r>
        <w:rPr>
          <w:rFonts w:hint="eastAsia"/>
        </w:rPr>
        <w:t>（四）价值比率的选择</w:t>
      </w:r>
      <w:proofErr w:type="gramStart"/>
      <w:r>
        <w:rPr>
          <w:rFonts w:hint="eastAsia"/>
        </w:rPr>
        <w:t>及因素</w:t>
      </w:r>
      <w:proofErr w:type="gramEnd"/>
      <w:r>
        <w:rPr>
          <w:rFonts w:hint="eastAsia"/>
        </w:rPr>
        <w:t>修正说明；</w:t>
      </w:r>
    </w:p>
    <w:p w14:paraId="365ED5D9" w14:textId="77777777" w:rsidR="007E4B49" w:rsidRDefault="007E4B49" w:rsidP="007E4B49">
      <w:pPr>
        <w:pStyle w:val="13"/>
      </w:pPr>
      <w:r>
        <w:rPr>
          <w:rFonts w:hint="eastAsia"/>
        </w:rPr>
        <w:t>（五）评估对象价值比率的测算说明；</w:t>
      </w:r>
    </w:p>
    <w:p w14:paraId="6F3EBD45" w14:textId="77777777" w:rsidR="007E4B49" w:rsidRDefault="007E4B49" w:rsidP="007E4B49">
      <w:pPr>
        <w:pStyle w:val="13"/>
      </w:pPr>
      <w:r>
        <w:rPr>
          <w:rFonts w:hint="eastAsia"/>
        </w:rPr>
        <w:t>（六）评估价值。</w:t>
      </w:r>
    </w:p>
    <w:p w14:paraId="54EFFF4B" w14:textId="0D126E96" w:rsidR="007E4B49" w:rsidRDefault="003B2FB1" w:rsidP="007E4B49">
      <w:pPr>
        <w:pStyle w:val="13"/>
        <w:ind w:firstLine="482"/>
      </w:pPr>
      <w:r w:rsidRPr="003B2FB1">
        <w:rPr>
          <w:rFonts w:hint="eastAsia"/>
          <w:b/>
          <w:bCs/>
        </w:rPr>
        <w:t xml:space="preserve">第四十六条 </w:t>
      </w:r>
      <w:r w:rsidR="007E4B49">
        <w:t>评估结论及分析通常包括以下内容：</w:t>
      </w:r>
    </w:p>
    <w:p w14:paraId="1621CA92" w14:textId="77777777" w:rsidR="007E4B49" w:rsidRDefault="007E4B49" w:rsidP="007E4B49">
      <w:pPr>
        <w:pStyle w:val="13"/>
      </w:pPr>
      <w:r>
        <w:rPr>
          <w:rFonts w:hint="eastAsia"/>
        </w:rPr>
        <w:t>（一）评估结论，采用两种或两种以上方法进行企业价值评估，应当说明不同评估方法结果的差异及其原因和最终确定评估结论的理由；</w:t>
      </w:r>
    </w:p>
    <w:p w14:paraId="29651337" w14:textId="77777777" w:rsidR="007E4B49" w:rsidRDefault="007E4B49" w:rsidP="007E4B49">
      <w:pPr>
        <w:pStyle w:val="13"/>
      </w:pPr>
      <w:r>
        <w:rPr>
          <w:rFonts w:hint="eastAsia"/>
        </w:rPr>
        <w:t>（二）评估价值与账面价值比较变动情况及说明；</w:t>
      </w:r>
    </w:p>
    <w:p w14:paraId="259EE618" w14:textId="77777777" w:rsidR="007E4B49" w:rsidRDefault="007E4B49" w:rsidP="007E4B49">
      <w:pPr>
        <w:pStyle w:val="13"/>
      </w:pPr>
      <w:r>
        <w:rPr>
          <w:rFonts w:hint="eastAsia"/>
        </w:rPr>
        <w:t>（三）折价或者溢价情况（如有）。</w:t>
      </w:r>
    </w:p>
    <w:p w14:paraId="5BEDFAA3" w14:textId="77777777" w:rsidR="007E4B49" w:rsidRDefault="007E4B49" w:rsidP="00AF7342">
      <w:pPr>
        <w:pStyle w:val="a9"/>
        <w:spacing w:before="62" w:after="62"/>
      </w:pPr>
      <w:r>
        <w:rPr>
          <w:rFonts w:hint="eastAsia"/>
        </w:rPr>
        <w:t>第七章</w:t>
      </w:r>
      <w:r>
        <w:t xml:space="preserve"> 出具与装订</w:t>
      </w:r>
    </w:p>
    <w:p w14:paraId="19BED7C9" w14:textId="7611C7AD" w:rsidR="007E4B49" w:rsidRDefault="003B2FB1" w:rsidP="00AD2E8B">
      <w:pPr>
        <w:pStyle w:val="13"/>
        <w:ind w:firstLine="482"/>
      </w:pPr>
      <w:r w:rsidRPr="003B2FB1">
        <w:rPr>
          <w:rFonts w:hint="eastAsia"/>
          <w:b/>
          <w:bCs/>
        </w:rPr>
        <w:t xml:space="preserve">第四十七条 </w:t>
      </w:r>
      <w:r w:rsidR="007E4B49">
        <w:t>资产评估报告应当使用中文撰写。需要同时出具外文资产评估报告的，</w:t>
      </w:r>
      <w:r w:rsidR="007E4B49">
        <w:rPr>
          <w:rFonts w:hint="eastAsia"/>
        </w:rPr>
        <w:t>以中文资产评估报告为准。</w:t>
      </w:r>
    </w:p>
    <w:p w14:paraId="4968FA02" w14:textId="77777777" w:rsidR="007E4B49" w:rsidRDefault="007E4B49" w:rsidP="007E4B49">
      <w:pPr>
        <w:pStyle w:val="13"/>
      </w:pPr>
      <w:r>
        <w:rPr>
          <w:rFonts w:hint="eastAsia"/>
        </w:rPr>
        <w:t>评估结论一般以人民币为计量币种，使用其他币种表示的，应当注明该币种与人民币在评估基准日的汇率。</w:t>
      </w:r>
    </w:p>
    <w:p w14:paraId="5B4BFD36" w14:textId="55B165E7" w:rsidR="007E4B49" w:rsidRDefault="007E4B49" w:rsidP="007E4B49">
      <w:pPr>
        <w:pStyle w:val="13"/>
        <w:ind w:firstLine="482"/>
      </w:pPr>
      <w:r w:rsidRPr="00AD2E8B">
        <w:rPr>
          <w:rFonts w:hint="eastAsia"/>
          <w:b/>
          <w:bCs/>
        </w:rPr>
        <w:t>第四十八</w:t>
      </w:r>
      <w:r w:rsidR="00793E5D">
        <w:rPr>
          <w:rFonts w:hint="eastAsia"/>
          <w:b/>
          <w:bCs/>
        </w:rPr>
        <w:t xml:space="preserve">条 </w:t>
      </w:r>
      <w:r>
        <w:t>资产评估报告封面应当载明资产评估报告标题及文号、资产评估机构全称和资产评估报告日。</w:t>
      </w:r>
    </w:p>
    <w:p w14:paraId="0D3DDC55" w14:textId="21479386" w:rsidR="007E4B49" w:rsidRDefault="007E4B49" w:rsidP="007E4B49">
      <w:pPr>
        <w:pStyle w:val="13"/>
        <w:ind w:firstLine="482"/>
      </w:pPr>
      <w:r w:rsidRPr="00AD2E8B">
        <w:rPr>
          <w:rFonts w:hint="eastAsia"/>
          <w:b/>
          <w:bCs/>
        </w:rPr>
        <w:lastRenderedPageBreak/>
        <w:t>第四十九</w:t>
      </w:r>
      <w:r w:rsidR="00793E5D">
        <w:rPr>
          <w:rFonts w:hint="eastAsia"/>
          <w:b/>
          <w:bCs/>
        </w:rPr>
        <w:t xml:space="preserve">条 </w:t>
      </w:r>
      <w:r>
        <w:t>资产评估报告标题及文号一般在封面上方居中位置，资产评估机构名称及资产评估报告</w:t>
      </w:r>
      <w:proofErr w:type="gramStart"/>
      <w:r>
        <w:t>日应当</w:t>
      </w:r>
      <w:proofErr w:type="gramEnd"/>
      <w:r>
        <w:t>在封面下方居中位置。资产评估报告应当用 A4 规格纸张印刷。</w:t>
      </w:r>
    </w:p>
    <w:p w14:paraId="193A68F2" w14:textId="7A08BBD4" w:rsidR="007E4B49" w:rsidRDefault="007E4B49" w:rsidP="007E4B49">
      <w:pPr>
        <w:pStyle w:val="13"/>
        <w:ind w:firstLine="482"/>
      </w:pPr>
      <w:r w:rsidRPr="00AD2E8B">
        <w:rPr>
          <w:rFonts w:hint="eastAsia"/>
          <w:b/>
          <w:bCs/>
        </w:rPr>
        <w:t>第五十</w:t>
      </w:r>
      <w:r w:rsidR="00793E5D">
        <w:rPr>
          <w:rFonts w:hint="eastAsia"/>
          <w:b/>
          <w:bCs/>
        </w:rPr>
        <w:t xml:space="preserve">条 </w:t>
      </w:r>
      <w:r>
        <w:t>资产评估报告一般分册装订，各册应当具有独立的目录。</w:t>
      </w:r>
    </w:p>
    <w:p w14:paraId="70D8CB00" w14:textId="77777777" w:rsidR="007E4B49" w:rsidRDefault="007E4B49" w:rsidP="007E4B49">
      <w:pPr>
        <w:pStyle w:val="13"/>
      </w:pPr>
      <w:r>
        <w:rPr>
          <w:rFonts w:hint="eastAsia"/>
        </w:rPr>
        <w:t>声明、摘要、正文和附件合订成册，其目录中应当含有其他册的目录，但其他</w:t>
      </w:r>
      <w:proofErr w:type="gramStart"/>
      <w:r>
        <w:rPr>
          <w:rFonts w:hint="eastAsia"/>
        </w:rPr>
        <w:t>册</w:t>
      </w:r>
      <w:proofErr w:type="gramEnd"/>
      <w:r>
        <w:rPr>
          <w:rFonts w:hint="eastAsia"/>
        </w:rPr>
        <w:t>目录的页码不予标注。评估说明和评估明细表一般分别独立成册。必要时附件可以独立成册。</w:t>
      </w:r>
    </w:p>
    <w:p w14:paraId="47F0BCF4" w14:textId="77777777" w:rsidR="007E4B49" w:rsidRDefault="007E4B49" w:rsidP="007E4B49">
      <w:pPr>
        <w:pStyle w:val="13"/>
      </w:pPr>
      <w:r>
        <w:rPr>
          <w:rFonts w:hint="eastAsia"/>
        </w:rPr>
        <w:t>单独成册的，其封面格式、标题中的“企业名称</w:t>
      </w:r>
      <w:r>
        <w:t>+经济行为关键词+评估对象”及文号等应当与资产评估报告相关格式和内容保持一致。</w:t>
      </w:r>
    </w:p>
    <w:p w14:paraId="798DC384" w14:textId="77777777" w:rsidR="007E4B49" w:rsidRDefault="007E4B49" w:rsidP="007E4B49">
      <w:pPr>
        <w:pStyle w:val="13"/>
      </w:pPr>
      <w:r>
        <w:rPr>
          <w:rFonts w:hint="eastAsia"/>
        </w:rPr>
        <w:t>评估明细表一般按会计科目顺序装订。</w:t>
      </w:r>
    </w:p>
    <w:p w14:paraId="4E9287DA" w14:textId="66BA4316" w:rsidR="007E4B49" w:rsidRDefault="007E4B49" w:rsidP="007E4B49">
      <w:pPr>
        <w:pStyle w:val="13"/>
        <w:ind w:firstLine="482"/>
      </w:pPr>
      <w:r w:rsidRPr="00AD2E8B">
        <w:rPr>
          <w:rFonts w:hint="eastAsia"/>
          <w:b/>
          <w:bCs/>
        </w:rPr>
        <w:t>第五十一</w:t>
      </w:r>
      <w:r w:rsidR="00793E5D">
        <w:rPr>
          <w:rFonts w:hint="eastAsia"/>
          <w:b/>
          <w:bCs/>
        </w:rPr>
        <w:t xml:space="preserve">条 </w:t>
      </w:r>
      <w:r>
        <w:t>资产评估报告封底或者其他适当位置应当标注资产评估机构名称、地址、邮政编码、联系电话、传真、电子邮箱等。</w:t>
      </w:r>
    </w:p>
    <w:p w14:paraId="66729B6C" w14:textId="77777777" w:rsidR="007E4B49" w:rsidRDefault="007E4B49" w:rsidP="00AF7342">
      <w:pPr>
        <w:pStyle w:val="a9"/>
        <w:spacing w:before="62" w:after="62"/>
      </w:pPr>
      <w:r>
        <w:rPr>
          <w:rFonts w:hint="eastAsia"/>
        </w:rPr>
        <w:t>第八章</w:t>
      </w:r>
      <w:r>
        <w:t xml:space="preserve"> 附则</w:t>
      </w:r>
    </w:p>
    <w:p w14:paraId="77A42851" w14:textId="563EFE72" w:rsidR="007E4B49" w:rsidRDefault="007E4B49" w:rsidP="00AD2E8B">
      <w:pPr>
        <w:pStyle w:val="13"/>
        <w:ind w:firstLine="482"/>
      </w:pPr>
      <w:r w:rsidRPr="003B2FB1">
        <w:rPr>
          <w:rFonts w:hint="eastAsia"/>
          <w:b/>
          <w:bCs/>
        </w:rPr>
        <w:t>第五十二</w:t>
      </w:r>
      <w:r w:rsidR="00793E5D" w:rsidRPr="003B2FB1">
        <w:rPr>
          <w:rFonts w:hint="eastAsia"/>
          <w:b/>
          <w:bCs/>
        </w:rPr>
        <w:t>条</w:t>
      </w:r>
      <w:r w:rsidR="00793E5D">
        <w:rPr>
          <w:rFonts w:hint="eastAsia"/>
        </w:rPr>
        <w:t xml:space="preserve"> </w:t>
      </w:r>
      <w:r>
        <w:t>本指南自 2017</w:t>
      </w:r>
      <w:r w:rsidR="003068F8">
        <w:t>年</w:t>
      </w:r>
      <w:r>
        <w:t>10</w:t>
      </w:r>
      <w:r w:rsidR="003068F8">
        <w:t>月</w:t>
      </w:r>
      <w:r>
        <w:t>1</w:t>
      </w:r>
      <w:r w:rsidR="003068F8">
        <w:t>日</w:t>
      </w:r>
      <w:r>
        <w:t>起施行。中国资产评估协会于 2011</w:t>
      </w:r>
      <w:r w:rsidR="003068F8">
        <w:t>年</w:t>
      </w:r>
      <w:r>
        <w:t>12</w:t>
      </w:r>
      <w:r w:rsidR="003068F8">
        <w:rPr>
          <w:rFonts w:hint="eastAsia"/>
        </w:rPr>
        <w:t>月</w:t>
      </w:r>
      <w:r>
        <w:t>30</w:t>
      </w:r>
      <w:r w:rsidR="003068F8">
        <w:t>日</w:t>
      </w:r>
      <w:r>
        <w:t>发布的《关于修改评估报告等准则中有关签章条款的通知》（</w:t>
      </w:r>
      <w:proofErr w:type="gramStart"/>
      <w:r>
        <w:t>中评协</w:t>
      </w:r>
      <w:proofErr w:type="gramEnd"/>
      <w:r>
        <w:t>〔2011〕230号）中的《企业国有资产评估报告指南》同时废止。</w:t>
      </w:r>
    </w:p>
    <w:p w14:paraId="28EF6522" w14:textId="77777777" w:rsidR="007E4B49" w:rsidRDefault="007E4B49" w:rsidP="007E4B49">
      <w:pPr>
        <w:pStyle w:val="13"/>
      </w:pPr>
      <w:r>
        <w:rPr>
          <w:rFonts w:hint="eastAsia"/>
        </w:rPr>
        <w:t>附：</w:t>
      </w:r>
      <w:r>
        <w:t>1、“声明”编写指引（供参考）</w:t>
      </w:r>
    </w:p>
    <w:p w14:paraId="0307A332" w14:textId="77777777" w:rsidR="007E4B49" w:rsidRDefault="007E4B49" w:rsidP="00AD2E8B">
      <w:pPr>
        <w:pStyle w:val="13"/>
        <w:ind w:firstLineChars="400" w:firstLine="960"/>
      </w:pPr>
      <w:r>
        <w:t>2、“资产评估师承诺函”编写指引（供参考）</w:t>
      </w:r>
    </w:p>
    <w:p w14:paraId="570C6079" w14:textId="77777777" w:rsidR="007E4B49" w:rsidRDefault="007E4B49" w:rsidP="00AD2E8B">
      <w:pPr>
        <w:pStyle w:val="13"/>
        <w:ind w:firstLineChars="400" w:firstLine="960"/>
      </w:pPr>
      <w:r>
        <w:t>3、《企业关于进行资产评估有关事项的说明》编写指引（供参考）</w:t>
      </w:r>
    </w:p>
    <w:p w14:paraId="10DDDB5A" w14:textId="77777777" w:rsidR="007E4B49" w:rsidRDefault="007E4B49" w:rsidP="00AD2E8B">
      <w:pPr>
        <w:pStyle w:val="13"/>
        <w:ind w:firstLineChars="400" w:firstLine="960"/>
      </w:pPr>
      <w:r>
        <w:t>4、《资产评估说明》编写指引（供参考）</w:t>
      </w:r>
    </w:p>
    <w:p w14:paraId="04BCBD7B" w14:textId="5054ADFF" w:rsidR="001F5A09" w:rsidRDefault="001F5A09">
      <w:pPr>
        <w:widowControl/>
        <w:jc w:val="left"/>
        <w:rPr>
          <w:rFonts w:ascii="宋体" w:hAnsi="宋体"/>
          <w:sz w:val="24"/>
          <w:szCs w:val="24"/>
        </w:rPr>
      </w:pPr>
      <w:r>
        <w:br w:type="page"/>
      </w:r>
    </w:p>
    <w:p w14:paraId="3388B8CD" w14:textId="77777777" w:rsidR="00BA0482" w:rsidRPr="00BA0482" w:rsidRDefault="00BA0482" w:rsidP="00C02AD9">
      <w:pPr>
        <w:pStyle w:val="13"/>
        <w:ind w:firstLineChars="0" w:firstLine="0"/>
        <w:rPr>
          <w:b/>
          <w:bCs/>
        </w:rPr>
      </w:pPr>
      <w:r w:rsidRPr="00BA0482">
        <w:rPr>
          <w:rFonts w:hint="eastAsia"/>
          <w:b/>
          <w:bCs/>
        </w:rPr>
        <w:lastRenderedPageBreak/>
        <w:t>附</w:t>
      </w:r>
      <w:r w:rsidRPr="00BA0482">
        <w:rPr>
          <w:b/>
          <w:bCs/>
        </w:rPr>
        <w:t xml:space="preserve"> 1</w:t>
      </w:r>
    </w:p>
    <w:p w14:paraId="1F265196" w14:textId="77777777" w:rsidR="00BA0482" w:rsidRDefault="00BA0482" w:rsidP="00AF7342">
      <w:pPr>
        <w:pStyle w:val="a9"/>
        <w:spacing w:before="62" w:after="62"/>
      </w:pPr>
      <w:r>
        <w:rPr>
          <w:rFonts w:hint="eastAsia"/>
        </w:rPr>
        <w:t>“声明”编写指引（供参考）</w:t>
      </w:r>
    </w:p>
    <w:p w14:paraId="6A21AA3D" w14:textId="77777777" w:rsidR="00BA0482" w:rsidRDefault="00BA0482" w:rsidP="00BA0482">
      <w:pPr>
        <w:pStyle w:val="13"/>
      </w:pPr>
      <w:r>
        <w:rPr>
          <w:rFonts w:hint="eastAsia"/>
        </w:rPr>
        <w:t>一、</w:t>
      </w:r>
      <w:proofErr w:type="gramStart"/>
      <w:r>
        <w:rPr>
          <w:rFonts w:hint="eastAsia"/>
        </w:rPr>
        <w:t>本资产</w:t>
      </w:r>
      <w:proofErr w:type="gramEnd"/>
      <w:r>
        <w:rPr>
          <w:rFonts w:hint="eastAsia"/>
        </w:rPr>
        <w:t>评估报告依据财政部发布的资产评估基本准则和中国资产评估协会发布的资产评估执业准则和职业道德准则编制。</w:t>
      </w:r>
    </w:p>
    <w:p w14:paraId="288CE1F2" w14:textId="77777777" w:rsidR="00BA0482" w:rsidRDefault="00BA0482" w:rsidP="00BA0482">
      <w:pPr>
        <w:pStyle w:val="13"/>
      </w:pPr>
      <w:r>
        <w:rPr>
          <w:rFonts w:hint="eastAsia"/>
        </w:rPr>
        <w:t>二、委托人或者其他资产评估报告使用人应当按照法律、行政法规规定和</w:t>
      </w:r>
      <w:proofErr w:type="gramStart"/>
      <w:r>
        <w:rPr>
          <w:rFonts w:hint="eastAsia"/>
        </w:rPr>
        <w:t>本资产</w:t>
      </w:r>
      <w:proofErr w:type="gramEnd"/>
      <w:r>
        <w:rPr>
          <w:rFonts w:hint="eastAsia"/>
        </w:rPr>
        <w:t>评估报告载明的使用范围使用资产评估报告；委托人或者其他资产评估报告使用人违反前述规定使用资产评估报告的，</w:t>
      </w:r>
      <w:proofErr w:type="gramStart"/>
      <w:r>
        <w:rPr>
          <w:rFonts w:hint="eastAsia"/>
        </w:rPr>
        <w:t>本资产</w:t>
      </w:r>
      <w:proofErr w:type="gramEnd"/>
      <w:r>
        <w:rPr>
          <w:rFonts w:hint="eastAsia"/>
        </w:rPr>
        <w:t>评估机构及资产评估师不承担责任。</w:t>
      </w:r>
    </w:p>
    <w:p w14:paraId="3FC4B716" w14:textId="77777777" w:rsidR="00BA0482" w:rsidRDefault="00BA0482" w:rsidP="00BA0482">
      <w:pPr>
        <w:pStyle w:val="13"/>
      </w:pPr>
      <w:proofErr w:type="gramStart"/>
      <w:r>
        <w:rPr>
          <w:rFonts w:hint="eastAsia"/>
        </w:rPr>
        <w:t>本资产</w:t>
      </w:r>
      <w:proofErr w:type="gramEnd"/>
      <w:r>
        <w:rPr>
          <w:rFonts w:hint="eastAsia"/>
        </w:rPr>
        <w:t>评估报告仅供委托人、资产评估委托合同中约定的其他资产评估报告使用人和法律、行政法规规定的资产评估报告使用人使用；除此之外，其他任何机构和个人不能成为资产评估报告的使用人。</w:t>
      </w:r>
    </w:p>
    <w:p w14:paraId="78B0AD57" w14:textId="77777777" w:rsidR="00BA0482" w:rsidRDefault="00BA0482" w:rsidP="00BA0482">
      <w:pPr>
        <w:pStyle w:val="13"/>
      </w:pPr>
      <w:proofErr w:type="gramStart"/>
      <w:r>
        <w:rPr>
          <w:rFonts w:hint="eastAsia"/>
        </w:rPr>
        <w:t>本资产</w:t>
      </w:r>
      <w:proofErr w:type="gramEnd"/>
      <w:r>
        <w:rPr>
          <w:rFonts w:hint="eastAsia"/>
        </w:rPr>
        <w:t>评估机构及资产评估师提示资产评估报告使用人应当正确理解评估结论，评估结论不等同于评估对象可实现价格，评估结论不应当被认为是对评估对象可实现价格的保证。</w:t>
      </w:r>
    </w:p>
    <w:p w14:paraId="2CF6E774" w14:textId="77777777" w:rsidR="00BA0482" w:rsidRDefault="00BA0482" w:rsidP="00BA0482">
      <w:pPr>
        <w:pStyle w:val="13"/>
      </w:pPr>
      <w:r>
        <w:rPr>
          <w:rFonts w:hint="eastAsia"/>
        </w:rPr>
        <w:t>三、</w:t>
      </w:r>
      <w:proofErr w:type="gramStart"/>
      <w:r>
        <w:rPr>
          <w:rFonts w:hint="eastAsia"/>
        </w:rPr>
        <w:t>本资产</w:t>
      </w:r>
      <w:proofErr w:type="gramEnd"/>
      <w:r>
        <w:rPr>
          <w:rFonts w:hint="eastAsia"/>
        </w:rPr>
        <w:t>评估机构及资产评估师遵守法律、行政法规和资产评估准则，坚持独立、客观和公正的原则，并对所出具的资产评估报告依法承担责任。</w:t>
      </w:r>
    </w:p>
    <w:p w14:paraId="171A28EE" w14:textId="77777777" w:rsidR="00BA0482" w:rsidRDefault="00BA0482" w:rsidP="00BA0482">
      <w:pPr>
        <w:pStyle w:val="13"/>
      </w:pPr>
      <w:r>
        <w:rPr>
          <w:rFonts w:hint="eastAsia"/>
        </w:rPr>
        <w:t>四、评估对象涉及的资产、负债清单由委托人、被评估单位申报并经其采用签名、盖章或法律允许的其他方式确认；委托人和其他相关当事人依法对其提供资料的真实性、完整性、合法性负责。</w:t>
      </w:r>
    </w:p>
    <w:p w14:paraId="61A0F97E" w14:textId="77777777" w:rsidR="00BA0482" w:rsidRDefault="00BA0482" w:rsidP="00BA0482">
      <w:pPr>
        <w:pStyle w:val="13"/>
      </w:pPr>
      <w:r>
        <w:rPr>
          <w:rFonts w:hint="eastAsia"/>
        </w:rPr>
        <w:t>五、</w:t>
      </w:r>
      <w:proofErr w:type="gramStart"/>
      <w:r>
        <w:rPr>
          <w:rFonts w:hint="eastAsia"/>
        </w:rPr>
        <w:t>本资产</w:t>
      </w:r>
      <w:proofErr w:type="gramEnd"/>
      <w:r>
        <w:rPr>
          <w:rFonts w:hint="eastAsia"/>
        </w:rPr>
        <w:t>评估机构及资产评估师与资产评估报告中的评估对象没有现存或者预期的利益关系；与相关当事人没有现存或者预期的利益关系，对相关当事人不存在偏见。</w:t>
      </w:r>
    </w:p>
    <w:p w14:paraId="7790381A" w14:textId="77777777" w:rsidR="00BA0482" w:rsidRDefault="00BA0482" w:rsidP="00BA0482">
      <w:pPr>
        <w:pStyle w:val="13"/>
      </w:pPr>
      <w:r>
        <w:rPr>
          <w:rFonts w:hint="eastAsia"/>
        </w:rPr>
        <w:t>六、资产评估师已经（或者未）对资产评估报告中的评估对象及其所涉及资产进行现场调查；已经对评估对象及其所涉及资产的法律权属状况给予必要的关注，对评估对象及其所涉及资产的法律权属资料进行了查验，对已经发现的问题进行了如实披露，并且已提请委托人及其他相关当事人完善产权以满足出具资产评估报告的要求。</w:t>
      </w:r>
    </w:p>
    <w:p w14:paraId="72C53BC6" w14:textId="09843D17" w:rsidR="00BA0482" w:rsidRDefault="00BA0482" w:rsidP="00BA0482">
      <w:pPr>
        <w:pStyle w:val="13"/>
      </w:pPr>
      <w:r>
        <w:rPr>
          <w:rFonts w:hint="eastAsia"/>
        </w:rPr>
        <w:t>七、</w:t>
      </w:r>
      <w:proofErr w:type="gramStart"/>
      <w:r>
        <w:rPr>
          <w:rFonts w:hint="eastAsia"/>
        </w:rPr>
        <w:t>本资产</w:t>
      </w:r>
      <w:proofErr w:type="gramEnd"/>
      <w:r>
        <w:rPr>
          <w:rFonts w:hint="eastAsia"/>
        </w:rPr>
        <w:t>评估机构出具的资产评估报告中的分析、判断和结果受资产评估报告中</w:t>
      </w:r>
      <w:r>
        <w:t xml:space="preserve"> 假设和限制条件的限制，资产评估报告使用人应当充分考虑资产评估报告中载明的假设、限制条件、特别事项说明及其对评估结论的影响。</w:t>
      </w:r>
    </w:p>
    <w:p w14:paraId="31284398" w14:textId="70B5E672" w:rsidR="001F5A09" w:rsidRDefault="001F5A09">
      <w:pPr>
        <w:widowControl/>
        <w:jc w:val="left"/>
        <w:rPr>
          <w:rFonts w:ascii="宋体" w:hAnsi="宋体"/>
          <w:sz w:val="24"/>
          <w:szCs w:val="24"/>
        </w:rPr>
      </w:pPr>
      <w:r>
        <w:br w:type="page"/>
      </w:r>
    </w:p>
    <w:p w14:paraId="4E1EFE6D" w14:textId="77777777" w:rsidR="00BA0482" w:rsidRPr="00C02AD9" w:rsidRDefault="00BA0482" w:rsidP="00C02AD9">
      <w:pPr>
        <w:pStyle w:val="13"/>
        <w:ind w:firstLineChars="0" w:firstLine="0"/>
        <w:rPr>
          <w:b/>
          <w:bCs/>
        </w:rPr>
      </w:pPr>
      <w:r w:rsidRPr="00C02AD9">
        <w:rPr>
          <w:rFonts w:hint="eastAsia"/>
          <w:b/>
          <w:bCs/>
        </w:rPr>
        <w:lastRenderedPageBreak/>
        <w:t>附</w:t>
      </w:r>
      <w:r w:rsidRPr="00C02AD9">
        <w:rPr>
          <w:b/>
          <w:bCs/>
        </w:rPr>
        <w:t xml:space="preserve"> 2</w:t>
      </w:r>
    </w:p>
    <w:p w14:paraId="6764B2BF" w14:textId="77777777" w:rsidR="00C02AD9" w:rsidRDefault="00BA0482" w:rsidP="00AF7342">
      <w:pPr>
        <w:pStyle w:val="a9"/>
        <w:spacing w:before="62" w:after="62"/>
      </w:pPr>
      <w:r>
        <w:rPr>
          <w:rFonts w:hint="eastAsia"/>
        </w:rPr>
        <w:t>“资产评估师承诺函”编写指引</w:t>
      </w:r>
    </w:p>
    <w:p w14:paraId="16136F4C" w14:textId="0DCC083D" w:rsidR="00BA0482" w:rsidRPr="00C02AD9" w:rsidRDefault="00BA0482" w:rsidP="00C02AD9">
      <w:pPr>
        <w:pStyle w:val="13"/>
        <w:ind w:firstLine="482"/>
        <w:jc w:val="center"/>
        <w:rPr>
          <w:b/>
          <w:bCs/>
        </w:rPr>
      </w:pPr>
      <w:r w:rsidRPr="00C02AD9">
        <w:rPr>
          <w:rFonts w:hint="eastAsia"/>
          <w:b/>
          <w:bCs/>
        </w:rPr>
        <w:t>（供参考）</w:t>
      </w:r>
    </w:p>
    <w:p w14:paraId="40F259DF" w14:textId="77777777" w:rsidR="00BA0482" w:rsidRDefault="00BA0482" w:rsidP="00BA0482">
      <w:pPr>
        <w:pStyle w:val="13"/>
      </w:pPr>
      <w:r>
        <w:rPr>
          <w:rFonts w:hint="eastAsia"/>
        </w:rPr>
        <w:t>×××公司（单位）：</w:t>
      </w:r>
    </w:p>
    <w:p w14:paraId="2A5BCE82" w14:textId="1D2A3822" w:rsidR="00BA0482" w:rsidRDefault="00BA0482" w:rsidP="00C02AD9">
      <w:pPr>
        <w:pStyle w:val="13"/>
      </w:pPr>
      <w:r>
        <w:rPr>
          <w:rFonts w:hint="eastAsia"/>
        </w:rPr>
        <w:t>受你单位的委托，我们对你单</w:t>
      </w:r>
      <w:proofErr w:type="gramStart"/>
      <w:r>
        <w:rPr>
          <w:rFonts w:hint="eastAsia"/>
        </w:rPr>
        <w:t>位拟</w:t>
      </w:r>
      <w:proofErr w:type="gramEnd"/>
      <w:r>
        <w:rPr>
          <w:rFonts w:hint="eastAsia"/>
        </w:rPr>
        <w:t>实施×××行为（事宜）所涉及的×××（资产—单项资产或者资产组合、企业整体价值、股东全部权益、股东部分权益），以××××年××月××日为基准日进行了评估，形成了资产评估报告。在本报告中披露的假设条件成立的前提下，我们承诺如下：</w:t>
      </w:r>
    </w:p>
    <w:p w14:paraId="1F0E0C33" w14:textId="77777777" w:rsidR="00BA0482" w:rsidRDefault="00BA0482" w:rsidP="00BA0482">
      <w:pPr>
        <w:pStyle w:val="13"/>
      </w:pPr>
      <w:r>
        <w:rPr>
          <w:rFonts w:hint="eastAsia"/>
        </w:rPr>
        <w:t>一、具备相应的职业资格。</w:t>
      </w:r>
    </w:p>
    <w:p w14:paraId="11721F14" w14:textId="77777777" w:rsidR="00C02AD9" w:rsidRDefault="00BA0482" w:rsidP="00BA0482">
      <w:pPr>
        <w:pStyle w:val="13"/>
      </w:pPr>
      <w:r>
        <w:rPr>
          <w:rFonts w:hint="eastAsia"/>
        </w:rPr>
        <w:t>二、评估对象和评估范围与资产评估委托合同的约定一致。</w:t>
      </w:r>
    </w:p>
    <w:p w14:paraId="78F6B220" w14:textId="2C7EA44E" w:rsidR="00BA0482" w:rsidRDefault="00BA0482" w:rsidP="00BA0482">
      <w:pPr>
        <w:pStyle w:val="13"/>
      </w:pPr>
      <w:r>
        <w:rPr>
          <w:rFonts w:hint="eastAsia"/>
        </w:rPr>
        <w:t>三、对评估对象及其所涉及的资产进行了必要的核实。</w:t>
      </w:r>
    </w:p>
    <w:p w14:paraId="70EF6EE8" w14:textId="77777777" w:rsidR="00C02AD9" w:rsidRDefault="00BA0482" w:rsidP="00BA0482">
      <w:pPr>
        <w:pStyle w:val="13"/>
      </w:pPr>
      <w:r>
        <w:rPr>
          <w:rFonts w:hint="eastAsia"/>
        </w:rPr>
        <w:t>四、根据资产评估准则选用了评估方法。</w:t>
      </w:r>
    </w:p>
    <w:p w14:paraId="2B1C7F45" w14:textId="77B835A8" w:rsidR="00BA0482" w:rsidRDefault="00BA0482" w:rsidP="00BA0482">
      <w:pPr>
        <w:pStyle w:val="13"/>
      </w:pPr>
      <w:r>
        <w:rPr>
          <w:rFonts w:hint="eastAsia"/>
        </w:rPr>
        <w:t>五、充分考虑了影响评估价值的因素。</w:t>
      </w:r>
      <w:r>
        <w:t xml:space="preserve"> 六、评估结论合理。</w:t>
      </w:r>
    </w:p>
    <w:p w14:paraId="7F4B4777" w14:textId="77777777" w:rsidR="00BA0482" w:rsidRDefault="00BA0482" w:rsidP="00BA0482">
      <w:pPr>
        <w:pStyle w:val="13"/>
      </w:pPr>
      <w:r>
        <w:rPr>
          <w:rFonts w:hint="eastAsia"/>
        </w:rPr>
        <w:t>七、评估工作未受到非法干预并独立进行。</w:t>
      </w:r>
    </w:p>
    <w:p w14:paraId="10EF1D7A" w14:textId="71C32854" w:rsidR="00BA0482" w:rsidRDefault="00BA0482" w:rsidP="00C02AD9">
      <w:pPr>
        <w:pStyle w:val="13"/>
        <w:wordWrap w:val="0"/>
        <w:jc w:val="right"/>
      </w:pPr>
      <w:r>
        <w:rPr>
          <w:rFonts w:hint="eastAsia"/>
        </w:rPr>
        <w:t>资产评估师签名：</w:t>
      </w:r>
      <w:r w:rsidR="00C02AD9">
        <w:rPr>
          <w:rFonts w:hint="eastAsia"/>
        </w:rPr>
        <w:t xml:space="preserve"> </w:t>
      </w:r>
      <w:r w:rsidR="00C02AD9">
        <w:t xml:space="preserve">      </w:t>
      </w:r>
    </w:p>
    <w:p w14:paraId="404A7FDA" w14:textId="50652F6B" w:rsidR="00BA0482" w:rsidRDefault="00BA0482" w:rsidP="00EB153E">
      <w:pPr>
        <w:pStyle w:val="13"/>
        <w:ind w:right="960" w:firstLineChars="2700" w:firstLine="6480"/>
      </w:pPr>
      <w:r>
        <w:rPr>
          <w:rFonts w:hint="eastAsia"/>
        </w:rPr>
        <w:t>年</w:t>
      </w:r>
      <w:r w:rsidR="003068F8">
        <w:t>月</w:t>
      </w:r>
      <w:r>
        <w:t>日</w:t>
      </w:r>
    </w:p>
    <w:p w14:paraId="54D90C1D" w14:textId="25B2921F" w:rsidR="001F5A09" w:rsidRDefault="001F5A09">
      <w:pPr>
        <w:widowControl/>
        <w:jc w:val="left"/>
        <w:rPr>
          <w:rFonts w:ascii="宋体" w:hAnsi="宋体"/>
          <w:sz w:val="24"/>
          <w:szCs w:val="24"/>
        </w:rPr>
      </w:pPr>
      <w:r>
        <w:br w:type="page"/>
      </w:r>
    </w:p>
    <w:p w14:paraId="79D88633" w14:textId="77777777" w:rsidR="00BA0482" w:rsidRPr="00C02AD9" w:rsidRDefault="00BA0482" w:rsidP="00C02AD9">
      <w:pPr>
        <w:pStyle w:val="13"/>
        <w:ind w:firstLineChars="0" w:firstLine="0"/>
        <w:jc w:val="left"/>
        <w:rPr>
          <w:b/>
          <w:bCs/>
        </w:rPr>
      </w:pPr>
      <w:r w:rsidRPr="00C02AD9">
        <w:rPr>
          <w:rFonts w:hint="eastAsia"/>
          <w:b/>
          <w:bCs/>
        </w:rPr>
        <w:lastRenderedPageBreak/>
        <w:t>附</w:t>
      </w:r>
      <w:r w:rsidRPr="00C02AD9">
        <w:rPr>
          <w:b/>
          <w:bCs/>
        </w:rPr>
        <w:t xml:space="preserve"> 3</w:t>
      </w:r>
    </w:p>
    <w:p w14:paraId="7EA568B9" w14:textId="77777777" w:rsidR="00C02AD9" w:rsidRDefault="00BA0482" w:rsidP="00AF7342">
      <w:pPr>
        <w:pStyle w:val="a9"/>
        <w:spacing w:before="62" w:after="62"/>
      </w:pPr>
      <w:r>
        <w:rPr>
          <w:rFonts w:hint="eastAsia"/>
        </w:rPr>
        <w:t>《企业关于进行资产评估有关事项的说明》编写指引</w:t>
      </w:r>
    </w:p>
    <w:p w14:paraId="02A1470B" w14:textId="66EF1FD7" w:rsidR="00BA0482" w:rsidRPr="00C02AD9" w:rsidRDefault="00BA0482" w:rsidP="00C02AD9">
      <w:pPr>
        <w:pStyle w:val="13"/>
        <w:ind w:firstLine="482"/>
        <w:jc w:val="center"/>
        <w:rPr>
          <w:b/>
          <w:bCs/>
        </w:rPr>
      </w:pPr>
      <w:r w:rsidRPr="00C02AD9">
        <w:rPr>
          <w:rFonts w:hint="eastAsia"/>
          <w:b/>
          <w:bCs/>
        </w:rPr>
        <w:t>（供参考）</w:t>
      </w:r>
    </w:p>
    <w:p w14:paraId="2E31E9A1" w14:textId="77777777" w:rsidR="00BA0482" w:rsidRPr="001B139A" w:rsidRDefault="00BA0482" w:rsidP="00BA0482">
      <w:pPr>
        <w:pStyle w:val="13"/>
        <w:ind w:firstLine="482"/>
        <w:rPr>
          <w:b/>
          <w:bCs/>
        </w:rPr>
      </w:pPr>
      <w:r w:rsidRPr="001B139A">
        <w:rPr>
          <w:rFonts w:hint="eastAsia"/>
          <w:b/>
          <w:bCs/>
        </w:rPr>
        <w:t>一、委托人、被评估单位概况</w:t>
      </w:r>
    </w:p>
    <w:p w14:paraId="4BDC9282" w14:textId="77777777" w:rsidR="00BA0482" w:rsidRDefault="00BA0482" w:rsidP="00BA0482">
      <w:pPr>
        <w:pStyle w:val="13"/>
      </w:pPr>
      <w:r>
        <w:rPr>
          <w:rFonts w:hint="eastAsia"/>
        </w:rPr>
        <w:t>（一）委托人概况</w:t>
      </w:r>
    </w:p>
    <w:p w14:paraId="67ED6AAD" w14:textId="77777777" w:rsidR="00BA0482" w:rsidRDefault="00BA0482" w:rsidP="00BA0482">
      <w:pPr>
        <w:pStyle w:val="13"/>
      </w:pPr>
      <w:r>
        <w:t>1、企业名称及简称、住所、注册资本、法定代表人。</w:t>
      </w:r>
    </w:p>
    <w:p w14:paraId="1A226CCE" w14:textId="77777777" w:rsidR="00BA0482" w:rsidRDefault="00BA0482" w:rsidP="00BA0482">
      <w:pPr>
        <w:pStyle w:val="13"/>
      </w:pPr>
      <w:r>
        <w:t>2、企业性质、企业历史沿革（包括隶属关系的演变）。</w:t>
      </w:r>
    </w:p>
    <w:p w14:paraId="35B4DB46" w14:textId="77777777" w:rsidR="00BA0482" w:rsidRDefault="00BA0482" w:rsidP="00BA0482">
      <w:pPr>
        <w:pStyle w:val="13"/>
      </w:pPr>
      <w:r>
        <w:t>3、经营业务范围及主要经营业绩。</w:t>
      </w:r>
    </w:p>
    <w:p w14:paraId="764CEE5C" w14:textId="77777777" w:rsidR="00BA0482" w:rsidRDefault="00BA0482" w:rsidP="00BA0482">
      <w:pPr>
        <w:pStyle w:val="13"/>
      </w:pPr>
      <w:r>
        <w:rPr>
          <w:rFonts w:hint="eastAsia"/>
        </w:rPr>
        <w:t>（二）被评估单位概况</w:t>
      </w:r>
    </w:p>
    <w:p w14:paraId="006128C6" w14:textId="77777777" w:rsidR="00BA0482" w:rsidRDefault="00BA0482" w:rsidP="00BA0482">
      <w:pPr>
        <w:pStyle w:val="13"/>
      </w:pPr>
      <w:r>
        <w:t>1、企业名称及简称、住所、注册资本、法定代表人。</w:t>
      </w:r>
    </w:p>
    <w:p w14:paraId="2A65F665" w14:textId="77777777" w:rsidR="00BA0482" w:rsidRDefault="00BA0482" w:rsidP="00BA0482">
      <w:pPr>
        <w:pStyle w:val="13"/>
      </w:pPr>
      <w:r>
        <w:t>2、企业性质、企业历史沿革（包括隶属关系的演变）。</w:t>
      </w:r>
    </w:p>
    <w:p w14:paraId="24AA3897" w14:textId="77777777" w:rsidR="00BA0482" w:rsidRDefault="00BA0482" w:rsidP="00BA0482">
      <w:pPr>
        <w:pStyle w:val="13"/>
      </w:pPr>
      <w:r>
        <w:t>3、经营业务范围及主要经营业绩。</w:t>
      </w:r>
    </w:p>
    <w:p w14:paraId="55ADA703" w14:textId="2AAF7772" w:rsidR="00BA0482" w:rsidRDefault="00BA0482" w:rsidP="00C02AD9">
      <w:pPr>
        <w:pStyle w:val="13"/>
      </w:pPr>
      <w:r>
        <w:t>4、近三年来企业的资产、财务、负债状况和经营业绩，已经审计的应当说明注册会</w:t>
      </w:r>
      <w:r>
        <w:rPr>
          <w:rFonts w:hint="eastAsia"/>
        </w:rPr>
        <w:t>计师发表的意见，以往不良资产处置情况。</w:t>
      </w:r>
    </w:p>
    <w:p w14:paraId="0426F378" w14:textId="77777777" w:rsidR="00C02AD9" w:rsidRDefault="00BA0482" w:rsidP="00BA0482">
      <w:pPr>
        <w:pStyle w:val="13"/>
      </w:pPr>
      <w:r>
        <w:t>5、主要产品品种、生产能力，近年实际生产量、销售量，主要市场及其市场占有率，本企业产品在同类产品市场的地位，主要原材料、能源供应情况，环境污染及治理情况。</w:t>
      </w:r>
    </w:p>
    <w:p w14:paraId="7BB23E70" w14:textId="6556F0BF" w:rsidR="00BA0482" w:rsidRDefault="00BA0482" w:rsidP="00C02AD9">
      <w:pPr>
        <w:pStyle w:val="13"/>
      </w:pPr>
      <w:r>
        <w:t>6、形成企业主要生产能力的状况，正在或者计划进行的投资项目简况，企业的主要</w:t>
      </w:r>
      <w:r>
        <w:rPr>
          <w:rFonts w:hint="eastAsia"/>
        </w:rPr>
        <w:t>资产状况。</w:t>
      </w:r>
    </w:p>
    <w:p w14:paraId="0012484D" w14:textId="77777777" w:rsidR="00BA0482" w:rsidRDefault="00BA0482" w:rsidP="00BA0482">
      <w:pPr>
        <w:pStyle w:val="13"/>
      </w:pPr>
      <w:r>
        <w:t>7、执行的主要会计政策，生产经营是否存在国家政策、法规的限制或者优惠，生产经营的优势分析和各种因素风险。</w:t>
      </w:r>
    </w:p>
    <w:p w14:paraId="586C74E2" w14:textId="77777777" w:rsidR="00BA0482" w:rsidRDefault="00BA0482" w:rsidP="00BA0482">
      <w:pPr>
        <w:pStyle w:val="13"/>
      </w:pPr>
      <w:r>
        <w:rPr>
          <w:rFonts w:hint="eastAsia"/>
        </w:rPr>
        <w:t>（三）委托人与被评估单位的关系</w:t>
      </w:r>
    </w:p>
    <w:p w14:paraId="53CCE3CF" w14:textId="77777777" w:rsidR="00BA0482" w:rsidRDefault="00BA0482" w:rsidP="00BA0482">
      <w:pPr>
        <w:pStyle w:val="13"/>
      </w:pPr>
      <w:r>
        <w:t>1、委托人与被评估单位的关系一般包括产权关系、行政隶属关系、交易关系等。</w:t>
      </w:r>
    </w:p>
    <w:p w14:paraId="764C5E47" w14:textId="77777777" w:rsidR="00BA0482" w:rsidRDefault="00BA0482" w:rsidP="00BA0482">
      <w:pPr>
        <w:pStyle w:val="13"/>
      </w:pPr>
      <w:r>
        <w:t>2、存在两家以上被评估单位，应当分别予以介绍。</w:t>
      </w:r>
    </w:p>
    <w:p w14:paraId="6AC9C114" w14:textId="77777777" w:rsidR="00BA0482" w:rsidRDefault="00BA0482" w:rsidP="00BA0482">
      <w:pPr>
        <w:pStyle w:val="13"/>
      </w:pPr>
      <w:r>
        <w:t>3、委托人与被评估单位为同一企业，按被评估单位要求的内容与格式编写。</w:t>
      </w:r>
    </w:p>
    <w:p w14:paraId="5900FCB2" w14:textId="77777777" w:rsidR="00BA0482" w:rsidRDefault="00BA0482" w:rsidP="00BA0482">
      <w:pPr>
        <w:pStyle w:val="13"/>
      </w:pPr>
      <w:r>
        <w:t>4、存在交叉持股的，还应当列示交叉</w:t>
      </w:r>
      <w:proofErr w:type="gramStart"/>
      <w:r>
        <w:t>持股图</w:t>
      </w:r>
      <w:proofErr w:type="gramEnd"/>
      <w:r>
        <w:t>并简述交叉持股关系以及是否属于同</w:t>
      </w:r>
      <w:proofErr w:type="gramStart"/>
      <w:r>
        <w:t>一控制</w:t>
      </w:r>
      <w:proofErr w:type="gramEnd"/>
      <w:r>
        <w:t>的情形。</w:t>
      </w:r>
    </w:p>
    <w:p w14:paraId="76ADACC4" w14:textId="77777777" w:rsidR="00C02AD9" w:rsidRDefault="00BA0482" w:rsidP="00BA0482">
      <w:pPr>
        <w:pStyle w:val="13"/>
      </w:pPr>
      <w:r>
        <w:t>5、存在关联交易的，应当说明关联方、交易方式等基本情况。</w:t>
      </w:r>
    </w:p>
    <w:p w14:paraId="15EB302D" w14:textId="535ECB64" w:rsidR="00BA0482" w:rsidRPr="001B139A" w:rsidRDefault="00BA0482" w:rsidP="00BA0482">
      <w:pPr>
        <w:pStyle w:val="13"/>
        <w:ind w:firstLine="482"/>
        <w:rPr>
          <w:b/>
          <w:bCs/>
        </w:rPr>
      </w:pPr>
      <w:r w:rsidRPr="001B139A">
        <w:rPr>
          <w:b/>
          <w:bCs/>
        </w:rPr>
        <w:t>二、关于经济行为的说明</w:t>
      </w:r>
    </w:p>
    <w:p w14:paraId="7AA3FD52" w14:textId="77777777" w:rsidR="00BA0482" w:rsidRDefault="00BA0482" w:rsidP="00BA0482">
      <w:pPr>
        <w:pStyle w:val="13"/>
      </w:pPr>
      <w:r>
        <w:rPr>
          <w:rFonts w:hint="eastAsia"/>
        </w:rPr>
        <w:t>（一）说明本次资产评估满足何种需要、所对应的经济行为类型及其经济行为获得批准的相关情况，或者其他经济行为依据。</w:t>
      </w:r>
    </w:p>
    <w:p w14:paraId="3421AEE0" w14:textId="77777777" w:rsidR="00C02AD9" w:rsidRDefault="00BA0482" w:rsidP="00BA0482">
      <w:pPr>
        <w:pStyle w:val="13"/>
      </w:pPr>
      <w:r>
        <w:rPr>
          <w:rFonts w:hint="eastAsia"/>
        </w:rPr>
        <w:t>（二）获得有关部门批准的，应当载明批件名称、批准日期及文号。</w:t>
      </w:r>
    </w:p>
    <w:p w14:paraId="003A1DDE" w14:textId="49754D42" w:rsidR="00BA0482" w:rsidRPr="001B139A" w:rsidRDefault="00BA0482" w:rsidP="00BA0482">
      <w:pPr>
        <w:pStyle w:val="13"/>
        <w:ind w:firstLine="482"/>
        <w:rPr>
          <w:b/>
          <w:bCs/>
        </w:rPr>
      </w:pPr>
      <w:r w:rsidRPr="001B139A">
        <w:rPr>
          <w:rFonts w:hint="eastAsia"/>
          <w:b/>
          <w:bCs/>
        </w:rPr>
        <w:t>三、关于评估对象与评估范围的说明</w:t>
      </w:r>
    </w:p>
    <w:p w14:paraId="5098707D" w14:textId="77777777" w:rsidR="00BA0482" w:rsidRDefault="00BA0482" w:rsidP="00BA0482">
      <w:pPr>
        <w:pStyle w:val="13"/>
      </w:pPr>
      <w:r>
        <w:rPr>
          <w:rFonts w:hint="eastAsia"/>
        </w:rPr>
        <w:t>（一）说明委托评估对象，评估范围内资产和负债的类型、账面金额以及审计情</w:t>
      </w:r>
      <w:r>
        <w:rPr>
          <w:rFonts w:hint="eastAsia"/>
        </w:rPr>
        <w:lastRenderedPageBreak/>
        <w:t>况。</w:t>
      </w:r>
    </w:p>
    <w:p w14:paraId="03205703" w14:textId="77777777" w:rsidR="00BA0482" w:rsidRDefault="00BA0482" w:rsidP="00BA0482">
      <w:pPr>
        <w:pStyle w:val="13"/>
      </w:pPr>
      <w:r>
        <w:rPr>
          <w:rFonts w:hint="eastAsia"/>
        </w:rPr>
        <w:t>（二）对于经营租入资产、特许使用的资产、以及没有会计记录的无形资产应当特别说明是否纳入评估范围及其理由。</w:t>
      </w:r>
    </w:p>
    <w:p w14:paraId="0AB6C9A9" w14:textId="77777777" w:rsidR="00BA0482" w:rsidRDefault="00BA0482" w:rsidP="00BA0482">
      <w:pPr>
        <w:pStyle w:val="13"/>
      </w:pPr>
      <w:r>
        <w:rPr>
          <w:rFonts w:hint="eastAsia"/>
        </w:rPr>
        <w:t>（三）如果在评估目的实现前有不同的产权持有单位，应当列表载明各产权持有单位待评估资产的类型、账面金额等。</w:t>
      </w:r>
    </w:p>
    <w:p w14:paraId="21631B63" w14:textId="77777777" w:rsidR="00BA0482" w:rsidRDefault="00BA0482" w:rsidP="00BA0482">
      <w:pPr>
        <w:pStyle w:val="13"/>
      </w:pPr>
      <w:r>
        <w:rPr>
          <w:rFonts w:hint="eastAsia"/>
        </w:rPr>
        <w:t>（四）账面资产是否根据以往资产评估结论进行了调账。</w:t>
      </w:r>
    </w:p>
    <w:p w14:paraId="7DF8B644" w14:textId="77777777" w:rsidR="00C02AD9" w:rsidRDefault="00BA0482" w:rsidP="00BA0482">
      <w:pPr>
        <w:pStyle w:val="13"/>
      </w:pPr>
      <w:r>
        <w:rPr>
          <w:rFonts w:hint="eastAsia"/>
        </w:rPr>
        <w:t>（五）本次评估前是否存在不良资产核销或者资产剥离行为等。</w:t>
      </w:r>
    </w:p>
    <w:p w14:paraId="721E57E7" w14:textId="7FC9DB8D" w:rsidR="00BA0482" w:rsidRPr="001B139A" w:rsidRDefault="00BA0482" w:rsidP="00BA0482">
      <w:pPr>
        <w:pStyle w:val="13"/>
        <w:ind w:firstLine="482"/>
        <w:rPr>
          <w:b/>
          <w:bCs/>
        </w:rPr>
      </w:pPr>
      <w:r w:rsidRPr="001B139A">
        <w:rPr>
          <w:rFonts w:hint="eastAsia"/>
          <w:b/>
          <w:bCs/>
        </w:rPr>
        <w:t>四、关于评估基准日的说明</w:t>
      </w:r>
    </w:p>
    <w:p w14:paraId="111F3DA8" w14:textId="77777777" w:rsidR="00BA0482" w:rsidRDefault="00BA0482" w:rsidP="00BA0482">
      <w:pPr>
        <w:pStyle w:val="13"/>
      </w:pPr>
      <w:r>
        <w:rPr>
          <w:rFonts w:hint="eastAsia"/>
        </w:rPr>
        <w:t>（一）说明所确定的评估基准日，评估基准日表述为：××××年××月××日。</w:t>
      </w:r>
    </w:p>
    <w:p w14:paraId="18D677EF" w14:textId="0D56BBA8" w:rsidR="00BA0482" w:rsidRDefault="00BA0482" w:rsidP="00BA0482">
      <w:pPr>
        <w:pStyle w:val="13"/>
      </w:pPr>
      <w:r>
        <w:rPr>
          <w:rFonts w:hint="eastAsia"/>
        </w:rPr>
        <w:t>（二）说明确定评估基准日的理由，如果评估基准日受特定经济行为文件的约束</w:t>
      </w:r>
      <w:r w:rsidR="00CC4D74">
        <w:rPr>
          <w:rFonts w:hint="eastAsia"/>
        </w:rPr>
        <w:t>，</w:t>
      </w:r>
      <w:r>
        <w:t>应当载明该文件的名称、批准日期及文号。</w:t>
      </w:r>
    </w:p>
    <w:p w14:paraId="785E1FBB" w14:textId="77777777" w:rsidR="001B139A" w:rsidRPr="001B139A" w:rsidRDefault="00BA0482" w:rsidP="00BA0482">
      <w:pPr>
        <w:pStyle w:val="13"/>
        <w:ind w:firstLine="482"/>
        <w:rPr>
          <w:b/>
          <w:bCs/>
        </w:rPr>
      </w:pPr>
      <w:r w:rsidRPr="001B139A">
        <w:rPr>
          <w:rFonts w:hint="eastAsia"/>
          <w:b/>
          <w:bCs/>
        </w:rPr>
        <w:t>五、可能影响评估工作的重大事项的说明</w:t>
      </w:r>
    </w:p>
    <w:p w14:paraId="76C3D63A" w14:textId="551DEEC7" w:rsidR="00BA0482" w:rsidRDefault="00BA0482" w:rsidP="00BA0482">
      <w:pPr>
        <w:pStyle w:val="13"/>
      </w:pPr>
      <w:r>
        <w:rPr>
          <w:rFonts w:hint="eastAsia"/>
        </w:rPr>
        <w:t>一般包括下列内容：</w:t>
      </w:r>
    </w:p>
    <w:p w14:paraId="51FE5712" w14:textId="77777777" w:rsidR="00BA0482" w:rsidRDefault="00BA0482" w:rsidP="00BA0482">
      <w:pPr>
        <w:pStyle w:val="13"/>
      </w:pPr>
      <w:r>
        <w:rPr>
          <w:rFonts w:hint="eastAsia"/>
        </w:rPr>
        <w:t>（一）曾经进行过清产核资或者资产评估的情况，调账情况。</w:t>
      </w:r>
    </w:p>
    <w:p w14:paraId="255F2BE0" w14:textId="77777777" w:rsidR="00BA0482" w:rsidRDefault="00BA0482" w:rsidP="00BA0482">
      <w:pPr>
        <w:pStyle w:val="13"/>
      </w:pPr>
      <w:r>
        <w:rPr>
          <w:rFonts w:hint="eastAsia"/>
        </w:rPr>
        <w:t>（二）影响生产经营活动和财务状况的重大合同、重大诉讼事项。</w:t>
      </w:r>
    </w:p>
    <w:p w14:paraId="4F22FE26" w14:textId="77777777" w:rsidR="00BA0482" w:rsidRDefault="00BA0482" w:rsidP="00BA0482">
      <w:pPr>
        <w:pStyle w:val="13"/>
      </w:pPr>
      <w:r>
        <w:rPr>
          <w:rFonts w:hint="eastAsia"/>
        </w:rPr>
        <w:t>（三）抵（质）</w:t>
      </w:r>
      <w:proofErr w:type="gramStart"/>
      <w:r>
        <w:rPr>
          <w:rFonts w:hint="eastAsia"/>
        </w:rPr>
        <w:t>押及其或</w:t>
      </w:r>
      <w:proofErr w:type="gramEnd"/>
      <w:r>
        <w:rPr>
          <w:rFonts w:hint="eastAsia"/>
        </w:rPr>
        <w:t>有负债、或有资产的性质、金额及其对应资产负债情况。</w:t>
      </w:r>
    </w:p>
    <w:p w14:paraId="0C7CE67A" w14:textId="77777777" w:rsidR="00BA0482" w:rsidRDefault="00BA0482" w:rsidP="00BA0482">
      <w:pPr>
        <w:pStyle w:val="13"/>
      </w:pPr>
      <w:r>
        <w:rPr>
          <w:rFonts w:hint="eastAsia"/>
        </w:rPr>
        <w:t>（四）账面未记录的资产负债的类型及其估计金额。</w:t>
      </w:r>
    </w:p>
    <w:p w14:paraId="2EA294A9" w14:textId="77777777" w:rsidR="00BA0482" w:rsidRPr="001B139A" w:rsidRDefault="00BA0482" w:rsidP="00BA0482">
      <w:pPr>
        <w:pStyle w:val="13"/>
        <w:ind w:firstLine="482"/>
        <w:rPr>
          <w:b/>
          <w:bCs/>
        </w:rPr>
      </w:pPr>
      <w:r w:rsidRPr="001B139A">
        <w:rPr>
          <w:rFonts w:hint="eastAsia"/>
          <w:b/>
          <w:bCs/>
        </w:rPr>
        <w:t>六、资产负债清查情况、未来经营和收益状况预测的说明</w:t>
      </w:r>
    </w:p>
    <w:p w14:paraId="2E2DF608" w14:textId="77777777" w:rsidR="00BA0482" w:rsidRDefault="00BA0482" w:rsidP="00BA0482">
      <w:pPr>
        <w:pStyle w:val="13"/>
      </w:pPr>
      <w:r>
        <w:rPr>
          <w:rFonts w:hint="eastAsia"/>
        </w:rPr>
        <w:t>（一）资产负债清查情况说明</w:t>
      </w:r>
    </w:p>
    <w:p w14:paraId="3C5EB9FC" w14:textId="77777777" w:rsidR="00BA0482" w:rsidRDefault="00BA0482" w:rsidP="00BA0482">
      <w:pPr>
        <w:pStyle w:val="13"/>
      </w:pPr>
      <w:r>
        <w:rPr>
          <w:rFonts w:hint="eastAsia"/>
        </w:rPr>
        <w:t>一般包括下列内容：</w:t>
      </w:r>
    </w:p>
    <w:p w14:paraId="5D9B3C4C" w14:textId="0B3E8F4F" w:rsidR="00BA0482" w:rsidRDefault="00BA0482" w:rsidP="00C02AD9">
      <w:pPr>
        <w:pStyle w:val="13"/>
      </w:pPr>
      <w:r>
        <w:t>1、列入清查范围的资产负债的种类、账面金额，产权状况，实物资产分布地点及特</w:t>
      </w:r>
      <w:r>
        <w:rPr>
          <w:rFonts w:hint="eastAsia"/>
        </w:rPr>
        <w:t>点。</w:t>
      </w:r>
    </w:p>
    <w:p w14:paraId="27651391" w14:textId="77777777" w:rsidR="00BA0482" w:rsidRDefault="00BA0482" w:rsidP="00BA0482">
      <w:pPr>
        <w:pStyle w:val="13"/>
      </w:pPr>
      <w:r>
        <w:t>2、清查工作的组织如时间计划、实施方案。</w:t>
      </w:r>
    </w:p>
    <w:p w14:paraId="758F8E37" w14:textId="74D1E91B" w:rsidR="00BA0482" w:rsidRDefault="00BA0482" w:rsidP="005F4467">
      <w:pPr>
        <w:pStyle w:val="13"/>
      </w:pPr>
      <w:r>
        <w:t>3、清查所采取的措施，待处理、待报废固定资产，高、精、尖设备和特殊建筑物以</w:t>
      </w:r>
      <w:r>
        <w:rPr>
          <w:rFonts w:hint="eastAsia"/>
        </w:rPr>
        <w:t>及毁损、变质存货检测或者鉴定的情况。</w:t>
      </w:r>
    </w:p>
    <w:p w14:paraId="1F4FDD67" w14:textId="77777777" w:rsidR="00BA0482" w:rsidRDefault="00BA0482" w:rsidP="00BA0482">
      <w:pPr>
        <w:pStyle w:val="13"/>
      </w:pPr>
      <w:r>
        <w:t>4、清查中发现的盘盈、盘亏、毁损、变质、报废存货的数量和金额的确定情况、呆坏账损失及无需偿付负债的判断及原因分析。</w:t>
      </w:r>
    </w:p>
    <w:p w14:paraId="7F04270B" w14:textId="77777777" w:rsidR="005F4467" w:rsidRDefault="00BA0482" w:rsidP="00BA0482">
      <w:pPr>
        <w:pStyle w:val="13"/>
      </w:pPr>
      <w:r>
        <w:rPr>
          <w:rFonts w:hint="eastAsia"/>
        </w:rPr>
        <w:t>（二）未来经营和收益状况预测说明</w:t>
      </w:r>
    </w:p>
    <w:p w14:paraId="55ED70FD" w14:textId="33E8A4B9" w:rsidR="00BA0482" w:rsidRDefault="00BA0482" w:rsidP="00BA0482">
      <w:pPr>
        <w:pStyle w:val="13"/>
      </w:pPr>
      <w:r>
        <w:rPr>
          <w:rFonts w:hint="eastAsia"/>
        </w:rPr>
        <w:t>一般包括下列内容：</w:t>
      </w:r>
    </w:p>
    <w:p w14:paraId="11147913" w14:textId="77777777" w:rsidR="00BA0482" w:rsidRDefault="00BA0482" w:rsidP="00BA0482">
      <w:pPr>
        <w:pStyle w:val="13"/>
      </w:pPr>
      <w:r>
        <w:t>1、所在行业相关经济要素及发展前景、生产经营历史情况、面临的竞争情况及优劣势分析。</w:t>
      </w:r>
    </w:p>
    <w:p w14:paraId="5975753D" w14:textId="77777777" w:rsidR="00BA0482" w:rsidRDefault="00BA0482" w:rsidP="00BA0482">
      <w:pPr>
        <w:pStyle w:val="13"/>
      </w:pPr>
      <w:r>
        <w:t>2、内部管理制度、人力资源、核心技术、研发状况、无形资产、管理层构成等经营管理状况。</w:t>
      </w:r>
    </w:p>
    <w:p w14:paraId="0A1F8CDD" w14:textId="77777777" w:rsidR="00BA0482" w:rsidRDefault="00BA0482" w:rsidP="00BA0482">
      <w:pPr>
        <w:pStyle w:val="13"/>
      </w:pPr>
      <w:r>
        <w:t>3、近年企业资产、负债、权益、盈利、利润分配、现金流量等资产财务状况。</w:t>
      </w:r>
    </w:p>
    <w:p w14:paraId="776BBCBE" w14:textId="77777777" w:rsidR="00BA0482" w:rsidRDefault="00BA0482" w:rsidP="00BA0482">
      <w:pPr>
        <w:pStyle w:val="13"/>
      </w:pPr>
      <w:r>
        <w:lastRenderedPageBreak/>
        <w:t>4、未来主营收入、成本、费用等的预测过程和结果。</w:t>
      </w:r>
    </w:p>
    <w:p w14:paraId="7EDF1171" w14:textId="77777777" w:rsidR="005F4467" w:rsidRDefault="00BA0482" w:rsidP="00BA0482">
      <w:pPr>
        <w:pStyle w:val="13"/>
      </w:pPr>
      <w:r>
        <w:t>5、如果企业存在关联交易，应当说明关联交易性质及定价原则等。</w:t>
      </w:r>
    </w:p>
    <w:p w14:paraId="7B34C9A5" w14:textId="5D5AC908" w:rsidR="00BA0482" w:rsidRPr="00EB153E" w:rsidRDefault="00BA0482" w:rsidP="00BA0482">
      <w:pPr>
        <w:pStyle w:val="13"/>
        <w:ind w:firstLine="482"/>
        <w:rPr>
          <w:b/>
          <w:bCs/>
        </w:rPr>
      </w:pPr>
      <w:r w:rsidRPr="00EB153E">
        <w:rPr>
          <w:b/>
          <w:bCs/>
        </w:rPr>
        <w:t>七、资料清单</w:t>
      </w:r>
    </w:p>
    <w:p w14:paraId="21F4561E" w14:textId="77777777" w:rsidR="00BA0482" w:rsidRDefault="00BA0482" w:rsidP="00BA0482">
      <w:pPr>
        <w:pStyle w:val="13"/>
      </w:pPr>
      <w:r>
        <w:rPr>
          <w:rFonts w:hint="eastAsia"/>
        </w:rPr>
        <w:t>一般包括下列内容：</w:t>
      </w:r>
    </w:p>
    <w:p w14:paraId="35988E1F" w14:textId="77777777" w:rsidR="00BA0482" w:rsidRDefault="00BA0482" w:rsidP="00BA0482">
      <w:pPr>
        <w:pStyle w:val="13"/>
      </w:pPr>
      <w:r>
        <w:t>1、资产评估申报表（由资产评估机构出具样式）；</w:t>
      </w:r>
    </w:p>
    <w:p w14:paraId="38911135" w14:textId="77777777" w:rsidR="00BA0482" w:rsidRDefault="00BA0482" w:rsidP="00BA0482">
      <w:pPr>
        <w:pStyle w:val="13"/>
      </w:pPr>
      <w:r>
        <w:t>2、相关经济行为的批文；</w:t>
      </w:r>
    </w:p>
    <w:p w14:paraId="304DDED8" w14:textId="77777777" w:rsidR="00BA0482" w:rsidRDefault="00BA0482" w:rsidP="00BA0482">
      <w:pPr>
        <w:pStyle w:val="13"/>
      </w:pPr>
      <w:r>
        <w:t>3、审计报告；</w:t>
      </w:r>
    </w:p>
    <w:p w14:paraId="366ACDF9" w14:textId="77777777" w:rsidR="00BA0482" w:rsidRDefault="00BA0482" w:rsidP="00BA0482">
      <w:pPr>
        <w:pStyle w:val="13"/>
      </w:pPr>
      <w:r>
        <w:t>4、资产权属证明文件、产权证明文件；</w:t>
      </w:r>
    </w:p>
    <w:p w14:paraId="3A6CAA91" w14:textId="77777777" w:rsidR="00BA0482" w:rsidRDefault="00BA0482" w:rsidP="00BA0482">
      <w:pPr>
        <w:pStyle w:val="13"/>
      </w:pPr>
      <w:r>
        <w:t>5、重大合同、协议等；</w:t>
      </w:r>
    </w:p>
    <w:p w14:paraId="75D83FBC" w14:textId="77777777" w:rsidR="00BA0482" w:rsidRDefault="00BA0482" w:rsidP="00BA0482">
      <w:pPr>
        <w:pStyle w:val="13"/>
      </w:pPr>
      <w:r>
        <w:t>6、生产经营统计资料；</w:t>
      </w:r>
    </w:p>
    <w:p w14:paraId="0411FEF2" w14:textId="6583E4C8" w:rsidR="00BA0482" w:rsidRDefault="00BA0482" w:rsidP="00BA0482">
      <w:pPr>
        <w:pStyle w:val="13"/>
      </w:pPr>
      <w:r>
        <w:t>7、其他资料。</w:t>
      </w:r>
    </w:p>
    <w:p w14:paraId="0FECAD9E" w14:textId="05CD3B87" w:rsidR="001F5A09" w:rsidRDefault="001F5A09">
      <w:pPr>
        <w:widowControl/>
        <w:jc w:val="left"/>
        <w:rPr>
          <w:rFonts w:ascii="宋体" w:hAnsi="宋体"/>
          <w:sz w:val="24"/>
          <w:szCs w:val="24"/>
        </w:rPr>
      </w:pPr>
      <w:r>
        <w:br w:type="page"/>
      </w:r>
    </w:p>
    <w:p w14:paraId="50CF2012" w14:textId="77777777" w:rsidR="00BA0482" w:rsidRPr="005F4467" w:rsidRDefault="00BA0482" w:rsidP="005F4467">
      <w:pPr>
        <w:pStyle w:val="13"/>
        <w:ind w:firstLineChars="0" w:firstLine="0"/>
        <w:rPr>
          <w:b/>
          <w:bCs/>
        </w:rPr>
      </w:pPr>
      <w:r w:rsidRPr="005F4467">
        <w:rPr>
          <w:rFonts w:hint="eastAsia"/>
          <w:b/>
          <w:bCs/>
        </w:rPr>
        <w:lastRenderedPageBreak/>
        <w:t>附</w:t>
      </w:r>
      <w:r w:rsidRPr="005F4467">
        <w:rPr>
          <w:b/>
          <w:bCs/>
        </w:rPr>
        <w:t xml:space="preserve"> 4</w:t>
      </w:r>
    </w:p>
    <w:p w14:paraId="627AD76D" w14:textId="77777777" w:rsidR="005F4467" w:rsidRDefault="00BA0482" w:rsidP="00AF7342">
      <w:pPr>
        <w:pStyle w:val="a9"/>
        <w:spacing w:before="62" w:after="62"/>
      </w:pPr>
      <w:r>
        <w:rPr>
          <w:rFonts w:hint="eastAsia"/>
        </w:rPr>
        <w:t>《资产评估说明》编写指引</w:t>
      </w:r>
    </w:p>
    <w:p w14:paraId="350E2A0E" w14:textId="4EAD1E93" w:rsidR="00BA0482" w:rsidRPr="005F4467" w:rsidRDefault="00BA0482" w:rsidP="005F4467">
      <w:pPr>
        <w:pStyle w:val="13"/>
        <w:ind w:firstLine="482"/>
        <w:jc w:val="center"/>
        <w:rPr>
          <w:b/>
          <w:bCs/>
        </w:rPr>
      </w:pPr>
      <w:r w:rsidRPr="005F4467">
        <w:rPr>
          <w:rFonts w:hint="eastAsia"/>
          <w:b/>
          <w:bCs/>
        </w:rPr>
        <w:t>（供参考）</w:t>
      </w:r>
    </w:p>
    <w:p w14:paraId="1B912F6D" w14:textId="77777777" w:rsidR="00BA0482" w:rsidRDefault="00BA0482" w:rsidP="00BA0482">
      <w:pPr>
        <w:pStyle w:val="13"/>
      </w:pPr>
      <w:r>
        <w:rPr>
          <w:rFonts w:hint="eastAsia"/>
        </w:rPr>
        <w:t>资产评估说明是申请备案核准资产评估业务的必备材料，为方便企业国有资产监督管理机构和相关机构全面了解资产评估情况，本指引结合国有资产评估业务备案核准的要求，为资产评估机构及其资产评估师编写资产评估说明提供指引。</w:t>
      </w:r>
    </w:p>
    <w:p w14:paraId="2BD52B5C" w14:textId="77777777" w:rsidR="00BA0482" w:rsidRDefault="00BA0482" w:rsidP="00AF7342">
      <w:pPr>
        <w:pStyle w:val="a9"/>
        <w:spacing w:before="62" w:after="62"/>
      </w:pPr>
      <w:r>
        <w:rPr>
          <w:rFonts w:hint="eastAsia"/>
        </w:rPr>
        <w:t>第一部分</w:t>
      </w:r>
      <w:r>
        <w:t xml:space="preserve"> 资产评估说明封面及目录</w:t>
      </w:r>
    </w:p>
    <w:p w14:paraId="2BED3C31" w14:textId="77777777" w:rsidR="00BA0482" w:rsidRDefault="00BA0482" w:rsidP="00BA0482">
      <w:pPr>
        <w:pStyle w:val="13"/>
      </w:pPr>
      <w:r>
        <w:rPr>
          <w:rFonts w:hint="eastAsia"/>
        </w:rPr>
        <w:t>一、封面</w:t>
      </w:r>
    </w:p>
    <w:p w14:paraId="472B007D" w14:textId="77777777" w:rsidR="00BA0482" w:rsidRDefault="00BA0482" w:rsidP="00BA0482">
      <w:pPr>
        <w:pStyle w:val="13"/>
      </w:pPr>
      <w:r>
        <w:rPr>
          <w:rFonts w:hint="eastAsia"/>
        </w:rPr>
        <w:t>资产评估说明封面应当载明下列内容：</w:t>
      </w:r>
    </w:p>
    <w:p w14:paraId="57BE8956" w14:textId="77777777" w:rsidR="00BA0482" w:rsidRDefault="00BA0482" w:rsidP="00BA0482">
      <w:pPr>
        <w:pStyle w:val="13"/>
      </w:pPr>
      <w:r>
        <w:t>1、标题（一般采用“企业名称+经济行为关键词+评估对象+资产评估说明”的形式）。</w:t>
      </w:r>
    </w:p>
    <w:p w14:paraId="43A77E7C" w14:textId="77777777" w:rsidR="00BA0482" w:rsidRDefault="00BA0482" w:rsidP="00BA0482">
      <w:pPr>
        <w:pStyle w:val="13"/>
      </w:pPr>
      <w:r>
        <w:t>2、资产评估报告文号。</w:t>
      </w:r>
    </w:p>
    <w:p w14:paraId="0BAC3783" w14:textId="77777777" w:rsidR="00BA0482" w:rsidRDefault="00BA0482" w:rsidP="00BA0482">
      <w:pPr>
        <w:pStyle w:val="13"/>
      </w:pPr>
      <w:r>
        <w:t>3、资产评估机构名称。</w:t>
      </w:r>
    </w:p>
    <w:p w14:paraId="35FF1AF0" w14:textId="77777777" w:rsidR="005F4467" w:rsidRDefault="00BA0482" w:rsidP="00BA0482">
      <w:pPr>
        <w:pStyle w:val="13"/>
      </w:pPr>
      <w:r>
        <w:t>4、资产评估报告日。</w:t>
      </w:r>
    </w:p>
    <w:p w14:paraId="68DA559C" w14:textId="1DA74B43" w:rsidR="00BA0482" w:rsidRDefault="00BA0482" w:rsidP="00BA0482">
      <w:pPr>
        <w:pStyle w:val="13"/>
      </w:pPr>
      <w:r>
        <w:t>二、目录</w:t>
      </w:r>
    </w:p>
    <w:p w14:paraId="1B132448" w14:textId="77777777" w:rsidR="00BA0482" w:rsidRDefault="00BA0482" w:rsidP="00BA0482">
      <w:pPr>
        <w:pStyle w:val="13"/>
      </w:pPr>
      <w:r>
        <w:t>1、目录应当在封面的下一页排印，包括每一部分的标题和相应页码。</w:t>
      </w:r>
    </w:p>
    <w:p w14:paraId="5B30A204" w14:textId="77777777" w:rsidR="005F4467" w:rsidRDefault="00BA0482" w:rsidP="00BA0482">
      <w:pPr>
        <w:pStyle w:val="13"/>
      </w:pPr>
      <w:r>
        <w:t>2、如果资产评估说明中收录有关文件或者资料的复印件，应当统一标注页码。</w:t>
      </w:r>
    </w:p>
    <w:p w14:paraId="48639321" w14:textId="16B93B9D" w:rsidR="00BA0482" w:rsidRPr="005F4467" w:rsidRDefault="00BA0482" w:rsidP="00AF7342">
      <w:pPr>
        <w:pStyle w:val="a9"/>
        <w:spacing w:before="62" w:after="62"/>
        <w:rPr>
          <w:rStyle w:val="aa"/>
          <w:b/>
          <w:bCs/>
        </w:rPr>
      </w:pPr>
      <w:r w:rsidRPr="005F4467">
        <w:rPr>
          <w:rStyle w:val="aa"/>
          <w:b/>
          <w:bCs/>
        </w:rPr>
        <w:t>第二部分 关于资产评估说明使用范围的声明</w:t>
      </w:r>
    </w:p>
    <w:p w14:paraId="2F1042F0" w14:textId="77777777" w:rsidR="00BA0482" w:rsidRDefault="00BA0482" w:rsidP="00BA0482">
      <w:pPr>
        <w:pStyle w:val="13"/>
      </w:pPr>
      <w:r>
        <w:rPr>
          <w:rFonts w:hint="eastAsia"/>
        </w:rPr>
        <w:t>声明应当写明，资产评估说明</w:t>
      </w:r>
      <w:proofErr w:type="gramStart"/>
      <w:r>
        <w:rPr>
          <w:rFonts w:hint="eastAsia"/>
        </w:rPr>
        <w:t>供国有</w:t>
      </w:r>
      <w:proofErr w:type="gramEnd"/>
      <w:r>
        <w:rPr>
          <w:rFonts w:hint="eastAsia"/>
        </w:rPr>
        <w:t>资产监督管理机构（含所出资企业）、相关监管机构和部门使用。除法律、行政法规规定外，材料的全部或者部分内容不得提供给其他任何单位和个人，不得见诸公开媒体。</w:t>
      </w:r>
    </w:p>
    <w:p w14:paraId="506AFEAA" w14:textId="77777777" w:rsidR="005F4467" w:rsidRDefault="00BA0482" w:rsidP="00AF7342">
      <w:pPr>
        <w:pStyle w:val="a9"/>
        <w:spacing w:before="62" w:after="62"/>
      </w:pPr>
      <w:r>
        <w:rPr>
          <w:rFonts w:hint="eastAsia"/>
        </w:rPr>
        <w:t>第三部分</w:t>
      </w:r>
      <w:r>
        <w:t xml:space="preserve"> 资产评估说明正文</w:t>
      </w:r>
    </w:p>
    <w:p w14:paraId="4695FA2F" w14:textId="73C46531" w:rsidR="00BA0482" w:rsidRDefault="00BA0482" w:rsidP="005F4467">
      <w:pPr>
        <w:pStyle w:val="13"/>
      </w:pPr>
      <w:r>
        <w:t>一、评估对象与评估范围说明</w:t>
      </w:r>
    </w:p>
    <w:p w14:paraId="02ABC408" w14:textId="77777777" w:rsidR="00BA0482" w:rsidRDefault="00BA0482" w:rsidP="00BA0482">
      <w:pPr>
        <w:pStyle w:val="13"/>
      </w:pPr>
      <w:r>
        <w:rPr>
          <w:rFonts w:hint="eastAsia"/>
        </w:rPr>
        <w:t>（一）评估对象与评估范围内容</w:t>
      </w:r>
    </w:p>
    <w:p w14:paraId="128C210E" w14:textId="77777777" w:rsidR="00BA0482" w:rsidRDefault="00BA0482" w:rsidP="00BA0482">
      <w:pPr>
        <w:pStyle w:val="13"/>
      </w:pPr>
      <w:r>
        <w:t>1、说明委托评估的评估对象与评估范围。</w:t>
      </w:r>
    </w:p>
    <w:p w14:paraId="24DCC7C5" w14:textId="77777777" w:rsidR="00BA0482" w:rsidRDefault="00BA0482" w:rsidP="00BA0482">
      <w:pPr>
        <w:pStyle w:val="13"/>
      </w:pPr>
      <w:r>
        <w:t>2、说明委托评估的资产类型、账面金额。</w:t>
      </w:r>
    </w:p>
    <w:p w14:paraId="44E88517" w14:textId="77777777" w:rsidR="00BA0482" w:rsidRDefault="00BA0482" w:rsidP="00BA0482">
      <w:pPr>
        <w:pStyle w:val="13"/>
      </w:pPr>
      <w:r>
        <w:t>3、说明委托评估的资产权属状况（</w:t>
      </w:r>
      <w:proofErr w:type="gramStart"/>
      <w:r>
        <w:t>含应当</w:t>
      </w:r>
      <w:proofErr w:type="gramEnd"/>
      <w:r>
        <w:t>评估的相关负债）。</w:t>
      </w:r>
    </w:p>
    <w:p w14:paraId="2746A9DC" w14:textId="77777777" w:rsidR="00BA0482" w:rsidRDefault="00BA0482" w:rsidP="00BA0482">
      <w:pPr>
        <w:pStyle w:val="13"/>
      </w:pPr>
      <w:r>
        <w:rPr>
          <w:rFonts w:hint="eastAsia"/>
        </w:rPr>
        <w:t>（二）实物资产的分布情况及特点</w:t>
      </w:r>
    </w:p>
    <w:p w14:paraId="5CEF22FA" w14:textId="77777777" w:rsidR="00BA0482" w:rsidRDefault="00BA0482" w:rsidP="00BA0482">
      <w:pPr>
        <w:pStyle w:val="13"/>
      </w:pPr>
      <w:r>
        <w:t>1、说明实物资产的类型、数量、分布情况和存放地点。</w:t>
      </w:r>
    </w:p>
    <w:p w14:paraId="5D1DCAA7" w14:textId="77777777" w:rsidR="00BA0482" w:rsidRDefault="00BA0482" w:rsidP="00BA0482">
      <w:pPr>
        <w:pStyle w:val="13"/>
      </w:pPr>
      <w:r>
        <w:t>2、说明实物资产的技术特点、实际使用情况、大修理及改扩建情况等。</w:t>
      </w:r>
    </w:p>
    <w:p w14:paraId="5AF44FD8" w14:textId="77777777" w:rsidR="00BA0482" w:rsidRDefault="00BA0482" w:rsidP="00BA0482">
      <w:pPr>
        <w:pStyle w:val="13"/>
      </w:pPr>
      <w:r>
        <w:rPr>
          <w:rFonts w:hint="eastAsia"/>
        </w:rPr>
        <w:t>（三）企业申报的账面记录或者未记录的无形资产情况。</w:t>
      </w:r>
    </w:p>
    <w:p w14:paraId="69A7EFE0" w14:textId="77777777" w:rsidR="00BA0482" w:rsidRDefault="00BA0482" w:rsidP="00BA0482">
      <w:pPr>
        <w:pStyle w:val="13"/>
      </w:pPr>
      <w:r>
        <w:rPr>
          <w:rFonts w:hint="eastAsia"/>
        </w:rPr>
        <w:t>（四）企业申报的表外资产（如有申报）的类型、数量。</w:t>
      </w:r>
    </w:p>
    <w:p w14:paraId="6AAA5F7B" w14:textId="77777777" w:rsidR="00BA0482" w:rsidRDefault="00BA0482" w:rsidP="00BA0482">
      <w:pPr>
        <w:pStyle w:val="13"/>
      </w:pPr>
      <w:r>
        <w:rPr>
          <w:rFonts w:hint="eastAsia"/>
        </w:rPr>
        <w:t>（五）引用其他机构出具的报告的结果所涉及的资产类型、数量和账面金额（或</w:t>
      </w:r>
      <w:r>
        <w:rPr>
          <w:rFonts w:hint="eastAsia"/>
        </w:rPr>
        <w:lastRenderedPageBreak/>
        <w:t>者评估值）。</w:t>
      </w:r>
    </w:p>
    <w:p w14:paraId="278F3319" w14:textId="77777777" w:rsidR="005F4467" w:rsidRDefault="00BA0482" w:rsidP="00BA0482">
      <w:pPr>
        <w:pStyle w:val="13"/>
      </w:pPr>
      <w:r>
        <w:rPr>
          <w:rFonts w:hint="eastAsia"/>
        </w:rPr>
        <w:t>单项资产或者资产组合评估，可以根据具体情况确定内容的详略程度。</w:t>
      </w:r>
    </w:p>
    <w:p w14:paraId="251DDC3C" w14:textId="16A3DE2D" w:rsidR="00BA0482" w:rsidRDefault="00BA0482" w:rsidP="00BA0482">
      <w:pPr>
        <w:pStyle w:val="13"/>
      </w:pPr>
      <w:r>
        <w:rPr>
          <w:rFonts w:hint="eastAsia"/>
        </w:rPr>
        <w:t>二、资产核实情况总体说明</w:t>
      </w:r>
    </w:p>
    <w:p w14:paraId="0596A884" w14:textId="77777777" w:rsidR="00BA0482" w:rsidRDefault="00BA0482" w:rsidP="00BA0482">
      <w:pPr>
        <w:pStyle w:val="13"/>
      </w:pPr>
      <w:r>
        <w:rPr>
          <w:rFonts w:hint="eastAsia"/>
        </w:rPr>
        <w:t>（一）资产核实人员组织、实施时间和过程。</w:t>
      </w:r>
    </w:p>
    <w:p w14:paraId="7FCB84B3" w14:textId="77777777" w:rsidR="00BA0482" w:rsidRDefault="00BA0482" w:rsidP="00BA0482">
      <w:pPr>
        <w:pStyle w:val="13"/>
      </w:pPr>
      <w:r>
        <w:rPr>
          <w:rFonts w:hint="eastAsia"/>
        </w:rPr>
        <w:t>（二）影响资产核实的事项及处理方法。</w:t>
      </w:r>
    </w:p>
    <w:p w14:paraId="3DAEC26F" w14:textId="77777777" w:rsidR="00BA0482" w:rsidRDefault="00BA0482" w:rsidP="00BA0482">
      <w:pPr>
        <w:pStyle w:val="13"/>
      </w:pPr>
      <w:r>
        <w:t>1、一般包括资产性能的限制、存放地点的限制、诉讼保全的限制、技术性能的局限、涉及商业秘密和国家秘密，以及评估基准日时正在进行的大修理、改扩建情况等。</w:t>
      </w:r>
    </w:p>
    <w:p w14:paraId="2B1094D1" w14:textId="3BA81C40" w:rsidR="00BA0482" w:rsidRDefault="00BA0482" w:rsidP="005F4467">
      <w:pPr>
        <w:pStyle w:val="13"/>
      </w:pPr>
      <w:r>
        <w:t>2、对于不能采用现场调查方式直接核实的资产，应当说明原因、涉及范围及处理方</w:t>
      </w:r>
      <w:r>
        <w:rPr>
          <w:rFonts w:hint="eastAsia"/>
        </w:rPr>
        <w:t>法。</w:t>
      </w:r>
    </w:p>
    <w:p w14:paraId="0130ABC5" w14:textId="77777777" w:rsidR="00BA0482" w:rsidRDefault="00BA0482" w:rsidP="00BA0482">
      <w:pPr>
        <w:pStyle w:val="13"/>
      </w:pPr>
      <w:r>
        <w:rPr>
          <w:rFonts w:hint="eastAsia"/>
        </w:rPr>
        <w:t>（三）核实结论</w:t>
      </w:r>
    </w:p>
    <w:p w14:paraId="433A466F" w14:textId="77777777" w:rsidR="00BA0482" w:rsidRDefault="00BA0482" w:rsidP="00BA0482">
      <w:pPr>
        <w:pStyle w:val="13"/>
      </w:pPr>
      <w:r>
        <w:t>1、资产核实结论。</w:t>
      </w:r>
    </w:p>
    <w:p w14:paraId="2DACEE10" w14:textId="77777777" w:rsidR="00BA0482" w:rsidRDefault="00BA0482" w:rsidP="00BA0482">
      <w:pPr>
        <w:pStyle w:val="13"/>
      </w:pPr>
      <w:r>
        <w:t>2、资产核实结果是否与账面记录存在差异及其程度。</w:t>
      </w:r>
    </w:p>
    <w:p w14:paraId="5E35A3AB" w14:textId="77777777" w:rsidR="00BA0482" w:rsidRDefault="00BA0482" w:rsidP="00BA0482">
      <w:pPr>
        <w:pStyle w:val="13"/>
      </w:pPr>
      <w:r>
        <w:t>3、权属资料不完善等权属不清晰的资产。</w:t>
      </w:r>
    </w:p>
    <w:p w14:paraId="1E009488" w14:textId="77777777" w:rsidR="005F4467" w:rsidRDefault="00BA0482" w:rsidP="00BA0482">
      <w:pPr>
        <w:pStyle w:val="13"/>
      </w:pPr>
      <w:r>
        <w:t>4、企业申报的账外资产的核实结论。</w:t>
      </w:r>
    </w:p>
    <w:p w14:paraId="4AD4B861" w14:textId="3B5098BE" w:rsidR="00BA0482" w:rsidRDefault="00BA0482" w:rsidP="00BA0482">
      <w:pPr>
        <w:pStyle w:val="13"/>
      </w:pPr>
      <w:r>
        <w:t>三、评估技术说明</w:t>
      </w:r>
    </w:p>
    <w:p w14:paraId="5DB2323C" w14:textId="77777777" w:rsidR="00BA0482" w:rsidRDefault="00BA0482" w:rsidP="00BA0482">
      <w:pPr>
        <w:pStyle w:val="13"/>
      </w:pPr>
      <w:r>
        <w:rPr>
          <w:rFonts w:hint="eastAsia"/>
        </w:rPr>
        <w:t>（一）资产基础</w:t>
      </w:r>
      <w:proofErr w:type="gramStart"/>
      <w:r>
        <w:rPr>
          <w:rFonts w:hint="eastAsia"/>
        </w:rPr>
        <w:t>法或者</w:t>
      </w:r>
      <w:proofErr w:type="gramEnd"/>
      <w:r>
        <w:rPr>
          <w:rFonts w:hint="eastAsia"/>
        </w:rPr>
        <w:t>成本法</w:t>
      </w:r>
    </w:p>
    <w:p w14:paraId="12F8507D" w14:textId="77777777" w:rsidR="00BA0482" w:rsidRDefault="00BA0482" w:rsidP="00BA0482">
      <w:pPr>
        <w:pStyle w:val="13"/>
      </w:pPr>
      <w:r>
        <w:rPr>
          <w:rFonts w:hint="eastAsia"/>
        </w:rPr>
        <w:t>采用成本法评估单项资产或者资产组合、采用资产基础法评估企业价值，应当根据评估业务的具体情况，以及资产负债类型，编写评估技术说明。各资产负债评估技术说明应当包含资产负债的内容和金额、核实方法、评估值确定的方法和结果等基本内容。</w:t>
      </w:r>
    </w:p>
    <w:p w14:paraId="5B347F8F" w14:textId="77777777" w:rsidR="00BA0482" w:rsidRDefault="00BA0482" w:rsidP="00BA0482">
      <w:pPr>
        <w:pStyle w:val="13"/>
      </w:pPr>
      <w:r>
        <w:rPr>
          <w:rFonts w:hint="eastAsia"/>
        </w:rPr>
        <w:t>常见的资产负债类型，评估技术说明编写内容指引如下。</w:t>
      </w:r>
    </w:p>
    <w:p w14:paraId="080E7AFA" w14:textId="77777777" w:rsidR="00BA0482" w:rsidRDefault="00BA0482" w:rsidP="00BA0482">
      <w:pPr>
        <w:pStyle w:val="13"/>
      </w:pPr>
      <w:r>
        <w:t>1、货币资金</w:t>
      </w:r>
    </w:p>
    <w:p w14:paraId="2E907D1F" w14:textId="174EE147" w:rsidR="00BA0482" w:rsidRDefault="00BA0482" w:rsidP="00BA0482">
      <w:pPr>
        <w:pStyle w:val="13"/>
      </w:pPr>
      <w:r>
        <w:rPr>
          <w:rFonts w:hint="eastAsia"/>
        </w:rPr>
        <w:t>（</w:t>
      </w:r>
      <w:r>
        <w:t>1）货币资金的内容（包括库存现金、银行存款及其他货币资金）和金额。</w:t>
      </w:r>
    </w:p>
    <w:p w14:paraId="781CDFDB" w14:textId="4825194A" w:rsidR="00BA0482" w:rsidRDefault="00BA0482" w:rsidP="00BA0482">
      <w:pPr>
        <w:pStyle w:val="13"/>
      </w:pPr>
      <w:r>
        <w:rPr>
          <w:rFonts w:hint="eastAsia"/>
        </w:rPr>
        <w:t>（</w:t>
      </w:r>
      <w:r>
        <w:t>2）现金存放地点、核实方法和过程。</w:t>
      </w:r>
    </w:p>
    <w:p w14:paraId="06C4CD59" w14:textId="52480413" w:rsidR="00BA0482" w:rsidRDefault="00BA0482" w:rsidP="00BA0482">
      <w:pPr>
        <w:pStyle w:val="13"/>
      </w:pPr>
      <w:r>
        <w:rPr>
          <w:rFonts w:hint="eastAsia"/>
        </w:rPr>
        <w:t>（</w:t>
      </w:r>
      <w:r>
        <w:t>3）查阅银行对账单、银行余额调节表的情况；银行账户</w:t>
      </w:r>
      <w:proofErr w:type="gramStart"/>
      <w:r>
        <w:t>函证情况</w:t>
      </w:r>
      <w:proofErr w:type="gramEnd"/>
      <w:r>
        <w:t>及不符情况下的处理方式；并说明未达账项（如存在）是否影响净资产及其金额。</w:t>
      </w:r>
    </w:p>
    <w:p w14:paraId="47067B51" w14:textId="2FD11EBA" w:rsidR="00BA0482" w:rsidRDefault="00BA0482" w:rsidP="00BA0482">
      <w:pPr>
        <w:pStyle w:val="13"/>
      </w:pPr>
      <w:r>
        <w:rPr>
          <w:rFonts w:hint="eastAsia"/>
        </w:rPr>
        <w:t>（</w:t>
      </w:r>
      <w:r>
        <w:t>4）其他货币资金的类型（银行汇票存款、银行本票存款、信用卡存款、信用证保证金存款、存出投资款、外埠存款等）及核实方法、评估值确定的方法。</w:t>
      </w:r>
    </w:p>
    <w:p w14:paraId="5EB59DCD" w14:textId="04948689" w:rsidR="00BA0482" w:rsidRDefault="00BA0482" w:rsidP="00BA0482">
      <w:pPr>
        <w:pStyle w:val="13"/>
      </w:pPr>
      <w:r>
        <w:rPr>
          <w:rFonts w:hint="eastAsia"/>
        </w:rPr>
        <w:t>（</w:t>
      </w:r>
      <w:r>
        <w:t>5）如果现金出现负数，应当说明原因及评估处理方式。</w:t>
      </w:r>
    </w:p>
    <w:p w14:paraId="7873B755" w14:textId="50F9FBC0" w:rsidR="00BA0482" w:rsidRDefault="00BA0482" w:rsidP="00BA0482">
      <w:pPr>
        <w:pStyle w:val="13"/>
      </w:pPr>
      <w:r>
        <w:rPr>
          <w:rFonts w:hint="eastAsia"/>
        </w:rPr>
        <w:t>（</w:t>
      </w:r>
      <w:r>
        <w:t>6）评估结果及差异。</w:t>
      </w:r>
    </w:p>
    <w:p w14:paraId="0A4D2D5F" w14:textId="77777777" w:rsidR="00BA0482" w:rsidRDefault="00BA0482" w:rsidP="00BA0482">
      <w:pPr>
        <w:pStyle w:val="13"/>
      </w:pPr>
      <w:r>
        <w:t>2、交易性金融资产</w:t>
      </w:r>
    </w:p>
    <w:p w14:paraId="4DD241CB" w14:textId="213BE79E" w:rsidR="00BA0482" w:rsidRDefault="00BA0482" w:rsidP="00BA0482">
      <w:pPr>
        <w:pStyle w:val="13"/>
      </w:pPr>
      <w:r>
        <w:rPr>
          <w:rFonts w:hint="eastAsia"/>
        </w:rPr>
        <w:t>（</w:t>
      </w:r>
      <w:r>
        <w:t>1）交易性金融资产的种类（包括企业为交易目的所持有的债券、股票、基金及其他交易性金融资产等）、形成时间及对应的金额。</w:t>
      </w:r>
    </w:p>
    <w:p w14:paraId="1632F000" w14:textId="12315D56" w:rsidR="00BA0482" w:rsidRDefault="00BA0482" w:rsidP="00BA0482">
      <w:pPr>
        <w:pStyle w:val="13"/>
      </w:pPr>
      <w:r>
        <w:rPr>
          <w:rFonts w:hint="eastAsia"/>
        </w:rPr>
        <w:lastRenderedPageBreak/>
        <w:t>（</w:t>
      </w:r>
      <w:r>
        <w:t>2）交易性金融资产的核实方法和结果。</w:t>
      </w:r>
    </w:p>
    <w:p w14:paraId="3B2DEF04" w14:textId="0AD663EB" w:rsidR="00BA0482" w:rsidRDefault="00BA0482" w:rsidP="00BA0482">
      <w:pPr>
        <w:pStyle w:val="13"/>
      </w:pPr>
      <w:r>
        <w:rPr>
          <w:rFonts w:hint="eastAsia"/>
        </w:rPr>
        <w:t>（</w:t>
      </w:r>
      <w:r>
        <w:t>3）交易性金融资产公允价值的形成，以及交易性金融资产的变现能力。</w:t>
      </w:r>
    </w:p>
    <w:p w14:paraId="6C373D13" w14:textId="5DC3E046" w:rsidR="00BA0482" w:rsidRDefault="00BA0482" w:rsidP="00BA0482">
      <w:pPr>
        <w:pStyle w:val="13"/>
      </w:pPr>
      <w:r>
        <w:rPr>
          <w:rFonts w:hint="eastAsia"/>
        </w:rPr>
        <w:t>（</w:t>
      </w:r>
      <w:r>
        <w:t>4）上市交易的债券、股票、基金应当说明评估基准日前后一段时间内的交易价格、持有量及评估计算过程；非上市的债券、股票、基金应当说明票面利率或者约定利率及评估计算过程。</w:t>
      </w:r>
    </w:p>
    <w:p w14:paraId="1E2EECD4" w14:textId="3E7FB638" w:rsidR="00BA0482" w:rsidRDefault="00BA0482" w:rsidP="00BA0482">
      <w:pPr>
        <w:pStyle w:val="13"/>
      </w:pPr>
      <w:r>
        <w:rPr>
          <w:rFonts w:hint="eastAsia"/>
        </w:rPr>
        <w:t>（</w:t>
      </w:r>
      <w:r>
        <w:t>5）交易性金融资产公允价值与评估价值类型的一致性，并说明评估值确定的方法和结果。</w:t>
      </w:r>
    </w:p>
    <w:p w14:paraId="09403C4A" w14:textId="77777777" w:rsidR="00BA0482" w:rsidRDefault="00BA0482" w:rsidP="00BA0482">
      <w:pPr>
        <w:pStyle w:val="13"/>
      </w:pPr>
      <w:r>
        <w:t>3、应收票据</w:t>
      </w:r>
    </w:p>
    <w:p w14:paraId="00558A00" w14:textId="447E658D" w:rsidR="00BA0482" w:rsidRDefault="00BA0482" w:rsidP="00BA0482">
      <w:pPr>
        <w:pStyle w:val="13"/>
      </w:pPr>
      <w:r>
        <w:rPr>
          <w:rFonts w:hint="eastAsia"/>
        </w:rPr>
        <w:t>（</w:t>
      </w:r>
      <w:r>
        <w:t>1）应收票据的种类（银行承兑汇票和商业承兑汇票）和金额。</w:t>
      </w:r>
    </w:p>
    <w:p w14:paraId="6C9BCE6E" w14:textId="400A9895" w:rsidR="00BA0482" w:rsidRDefault="00BA0482" w:rsidP="00BA0482">
      <w:pPr>
        <w:pStyle w:val="13"/>
      </w:pPr>
      <w:r>
        <w:rPr>
          <w:rFonts w:hint="eastAsia"/>
        </w:rPr>
        <w:t>（</w:t>
      </w:r>
      <w:r>
        <w:t>2）查阅票据凭证过程及结果，已变现应收票据的数额。</w:t>
      </w:r>
    </w:p>
    <w:p w14:paraId="304B4727" w14:textId="718C551B" w:rsidR="00BA0482" w:rsidRDefault="00BA0482" w:rsidP="00BA0482">
      <w:pPr>
        <w:pStyle w:val="13"/>
      </w:pPr>
      <w:r>
        <w:rPr>
          <w:rFonts w:hint="eastAsia"/>
        </w:rPr>
        <w:t>（</w:t>
      </w:r>
      <w:r>
        <w:t>3）可能形成坏账的应收票据的判断依据及评估值的确定过程及结论；并列示已成为坏账应收票据的证据。</w:t>
      </w:r>
    </w:p>
    <w:p w14:paraId="5101C4AD" w14:textId="77777777" w:rsidR="00BA0482" w:rsidRDefault="00BA0482" w:rsidP="00BA0482">
      <w:pPr>
        <w:pStyle w:val="13"/>
      </w:pPr>
      <w:r>
        <w:t>4、应收账款、应收股利、应收利息、预付账款和其他应收款</w:t>
      </w:r>
    </w:p>
    <w:p w14:paraId="4BE2F97D" w14:textId="2FA9E9DE" w:rsidR="00BA0482" w:rsidRDefault="00BA0482" w:rsidP="00BA0482">
      <w:pPr>
        <w:pStyle w:val="13"/>
      </w:pPr>
      <w:r>
        <w:rPr>
          <w:rFonts w:hint="eastAsia"/>
        </w:rPr>
        <w:t>（</w:t>
      </w:r>
      <w:r>
        <w:t>1）应收账款、应收股利、应收利息、预付账款和其他应收款的主要业务内容和对应金额。</w:t>
      </w:r>
    </w:p>
    <w:p w14:paraId="5D8A05AD" w14:textId="247DA345" w:rsidR="00BA0482" w:rsidRDefault="00BA0482" w:rsidP="00BA0482">
      <w:pPr>
        <w:pStyle w:val="13"/>
      </w:pPr>
      <w:r>
        <w:rPr>
          <w:rFonts w:hint="eastAsia"/>
        </w:rPr>
        <w:t>（</w:t>
      </w:r>
      <w:r>
        <w:t>2）应收账款、应收股利、应收利息、预付账款和其他应收款核实的方法及结果。</w:t>
      </w:r>
    </w:p>
    <w:p w14:paraId="1308B2D0" w14:textId="20585CB9" w:rsidR="00BA0482" w:rsidRDefault="00BA0482" w:rsidP="00BA0482">
      <w:pPr>
        <w:pStyle w:val="13"/>
      </w:pPr>
      <w:r>
        <w:rPr>
          <w:rFonts w:hint="eastAsia"/>
        </w:rPr>
        <w:t>（</w:t>
      </w:r>
      <w:r>
        <w:t>3）应收账款、应收股利、应收利息、预付账款和其他应收</w:t>
      </w:r>
      <w:proofErr w:type="gramStart"/>
      <w:r>
        <w:t>款发生</w:t>
      </w:r>
      <w:proofErr w:type="gramEnd"/>
      <w:r>
        <w:t>时间和原因</w:t>
      </w:r>
      <w:r w:rsidR="00CC4D74">
        <w:t>，</w:t>
      </w:r>
      <w:r>
        <w:t>收回的可能性的判断过程及结果。</w:t>
      </w:r>
    </w:p>
    <w:p w14:paraId="4FC09DCB" w14:textId="66E37608" w:rsidR="00BA0482" w:rsidRDefault="00BA0482" w:rsidP="00BA0482">
      <w:pPr>
        <w:pStyle w:val="13"/>
      </w:pPr>
      <w:r>
        <w:rPr>
          <w:rFonts w:hint="eastAsia"/>
        </w:rPr>
        <w:t>（</w:t>
      </w:r>
      <w:r>
        <w:t>4）可能形成坏账款项的判断依据及评估值确定的过程及结论；并列示已成为坏账的应收账款、应收股利、应收利息、预付账款和其他应收款的证据。</w:t>
      </w:r>
    </w:p>
    <w:p w14:paraId="2B72527C" w14:textId="3F33FDDB" w:rsidR="00BA0482" w:rsidRDefault="00BA0482" w:rsidP="00BA0482">
      <w:pPr>
        <w:pStyle w:val="13"/>
      </w:pPr>
      <w:r>
        <w:rPr>
          <w:rFonts w:hint="eastAsia"/>
        </w:rPr>
        <w:t>（</w:t>
      </w:r>
      <w:r>
        <w:t>5）坏账准备的评估处理。</w:t>
      </w:r>
    </w:p>
    <w:p w14:paraId="5BD31B70" w14:textId="77777777" w:rsidR="00BA0482" w:rsidRDefault="00BA0482" w:rsidP="00BA0482">
      <w:pPr>
        <w:pStyle w:val="13"/>
      </w:pPr>
      <w:r>
        <w:t>5、存货</w:t>
      </w:r>
    </w:p>
    <w:p w14:paraId="4CD080F6" w14:textId="489E8915" w:rsidR="00BA0482" w:rsidRDefault="00BA0482" w:rsidP="00BA0482">
      <w:pPr>
        <w:pStyle w:val="13"/>
      </w:pPr>
      <w:r>
        <w:rPr>
          <w:rFonts w:hint="eastAsia"/>
        </w:rPr>
        <w:t>（</w:t>
      </w:r>
      <w:r>
        <w:t>1）存货的种类、金额等。应当分别按材料采购（在途物资）、原材料、在库周转材料、委托加工物资、产成品（库存商品）、在产品（自制半成品）、发出商品、在用周转材料等进行说明。</w:t>
      </w:r>
    </w:p>
    <w:p w14:paraId="75F03F12" w14:textId="04FDD242" w:rsidR="00BA0482" w:rsidRDefault="00BA0482" w:rsidP="00BA0482">
      <w:pPr>
        <w:pStyle w:val="13"/>
      </w:pPr>
      <w:r>
        <w:rPr>
          <w:rFonts w:hint="eastAsia"/>
        </w:rPr>
        <w:t>（</w:t>
      </w:r>
      <w:r>
        <w:t>2）存货数量和品质核实的方法、过程和结论。</w:t>
      </w:r>
    </w:p>
    <w:p w14:paraId="1CB09059" w14:textId="1877E979" w:rsidR="00BA0482" w:rsidRDefault="00BA0482" w:rsidP="00BA0482">
      <w:pPr>
        <w:pStyle w:val="13"/>
      </w:pPr>
      <w:r>
        <w:rPr>
          <w:rFonts w:hint="eastAsia"/>
        </w:rPr>
        <w:t>（</w:t>
      </w:r>
      <w:r>
        <w:t>3）外购存货账面记录的构成，并分析构成的合理性，说明市场价格的查询情况。</w:t>
      </w:r>
    </w:p>
    <w:p w14:paraId="3C9E7515" w14:textId="4B4482F9" w:rsidR="00BA0482" w:rsidRDefault="00BA0482" w:rsidP="00BA0482">
      <w:pPr>
        <w:pStyle w:val="13"/>
      </w:pPr>
      <w:r>
        <w:rPr>
          <w:rFonts w:hint="eastAsia"/>
        </w:rPr>
        <w:t>（</w:t>
      </w:r>
      <w:r>
        <w:t>4）自制存货的销售成本费用率及相关税费额或者比率的确定方法和数额。</w:t>
      </w:r>
    </w:p>
    <w:p w14:paraId="25FE7CCC" w14:textId="1E617741" w:rsidR="00BA0482" w:rsidRDefault="00BA0482" w:rsidP="00BA0482">
      <w:pPr>
        <w:pStyle w:val="13"/>
      </w:pPr>
      <w:r>
        <w:rPr>
          <w:rFonts w:hint="eastAsia"/>
        </w:rPr>
        <w:t>（</w:t>
      </w:r>
      <w:r>
        <w:t>5）对外销售存货的适销程度及判断理由。</w:t>
      </w:r>
    </w:p>
    <w:p w14:paraId="2F06739B" w14:textId="1C28C890" w:rsidR="00BA0482" w:rsidRDefault="00BA0482" w:rsidP="00BA0482">
      <w:pPr>
        <w:pStyle w:val="13"/>
      </w:pPr>
      <w:r>
        <w:rPr>
          <w:rFonts w:hint="eastAsia"/>
        </w:rPr>
        <w:t>（</w:t>
      </w:r>
      <w:r>
        <w:t>6）在用存货成新率的确定方法。</w:t>
      </w:r>
    </w:p>
    <w:p w14:paraId="258DBE74" w14:textId="63A30EE2" w:rsidR="00BA0482" w:rsidRDefault="00BA0482" w:rsidP="00BA0482">
      <w:pPr>
        <w:pStyle w:val="13"/>
      </w:pPr>
      <w:r>
        <w:rPr>
          <w:rFonts w:hint="eastAsia"/>
        </w:rPr>
        <w:t>（</w:t>
      </w:r>
      <w:r>
        <w:t>7）失效、变质、残损、无用等存货的可变现价值的判断过程和结论，或者技术鉴定（如需要）情况及可变现价值的判断情况。技术鉴定应当说明鉴定方法及鉴定</w:t>
      </w:r>
      <w:r>
        <w:lastRenderedPageBreak/>
        <w:t>结论。</w:t>
      </w:r>
    </w:p>
    <w:p w14:paraId="49D02402" w14:textId="77777777" w:rsidR="00BA0482" w:rsidRDefault="00BA0482" w:rsidP="00BA0482">
      <w:pPr>
        <w:pStyle w:val="13"/>
      </w:pPr>
      <w:r>
        <w:t>6、一年内到期的非流动资产</w:t>
      </w:r>
    </w:p>
    <w:p w14:paraId="51023F96" w14:textId="017ED463" w:rsidR="00BA0482" w:rsidRDefault="00BA0482" w:rsidP="00BA0482">
      <w:pPr>
        <w:pStyle w:val="13"/>
      </w:pPr>
      <w:r>
        <w:rPr>
          <w:rFonts w:hint="eastAsia"/>
        </w:rPr>
        <w:t>（</w:t>
      </w:r>
      <w:r>
        <w:t>1）一年内到期的非流动资产的内容和金额。</w:t>
      </w:r>
    </w:p>
    <w:p w14:paraId="5E4E35AE" w14:textId="79A69D19" w:rsidR="00BA0482" w:rsidRDefault="00BA0482" w:rsidP="00BA0482">
      <w:pPr>
        <w:pStyle w:val="13"/>
      </w:pPr>
      <w:r>
        <w:rPr>
          <w:rFonts w:hint="eastAsia"/>
        </w:rPr>
        <w:t>（</w:t>
      </w:r>
      <w:r>
        <w:t>2）一年内到期的非流动资产核实的方法和结论。</w:t>
      </w:r>
    </w:p>
    <w:p w14:paraId="796E4C65" w14:textId="07E5BEB3" w:rsidR="00BA0482" w:rsidRDefault="00BA0482" w:rsidP="00BA0482">
      <w:pPr>
        <w:pStyle w:val="13"/>
      </w:pPr>
      <w:r>
        <w:rPr>
          <w:rFonts w:hint="eastAsia"/>
        </w:rPr>
        <w:t>（</w:t>
      </w:r>
      <w:r>
        <w:t>3）一年内到期的非流动资产评估值确定的方法和结论。</w:t>
      </w:r>
    </w:p>
    <w:p w14:paraId="1775A605" w14:textId="77777777" w:rsidR="00BA0482" w:rsidRDefault="00BA0482" w:rsidP="00BA0482">
      <w:pPr>
        <w:pStyle w:val="13"/>
      </w:pPr>
      <w:r>
        <w:t>7、其他流动资产</w:t>
      </w:r>
    </w:p>
    <w:p w14:paraId="176ED3E1" w14:textId="13D1865D" w:rsidR="00BA0482" w:rsidRDefault="00BA0482" w:rsidP="00BA0482">
      <w:pPr>
        <w:pStyle w:val="13"/>
      </w:pPr>
      <w:r>
        <w:rPr>
          <w:rFonts w:hint="eastAsia"/>
        </w:rPr>
        <w:t>（</w:t>
      </w:r>
      <w:r>
        <w:t>1）其他流动资产的内容和金额。</w:t>
      </w:r>
    </w:p>
    <w:p w14:paraId="11C30BD9" w14:textId="681C4D23" w:rsidR="00BA0482" w:rsidRDefault="00BA0482" w:rsidP="00BA0482">
      <w:pPr>
        <w:pStyle w:val="13"/>
      </w:pPr>
      <w:r>
        <w:rPr>
          <w:rFonts w:hint="eastAsia"/>
        </w:rPr>
        <w:t>（</w:t>
      </w:r>
      <w:r>
        <w:t>2）其他流动资产核实的方法和结论。</w:t>
      </w:r>
    </w:p>
    <w:p w14:paraId="02AA44A6" w14:textId="20C83020" w:rsidR="00BA0482" w:rsidRDefault="00BA0482" w:rsidP="00BA0482">
      <w:pPr>
        <w:pStyle w:val="13"/>
      </w:pPr>
      <w:r>
        <w:rPr>
          <w:rFonts w:hint="eastAsia"/>
        </w:rPr>
        <w:t>（</w:t>
      </w:r>
      <w:r>
        <w:t>3）其他流动资产评估值确定的方法和结论。</w:t>
      </w:r>
    </w:p>
    <w:p w14:paraId="6234772C" w14:textId="77777777" w:rsidR="00BA0482" w:rsidRDefault="00BA0482" w:rsidP="00BA0482">
      <w:pPr>
        <w:pStyle w:val="13"/>
      </w:pPr>
      <w:r>
        <w:t>8、可供出售金融资产</w:t>
      </w:r>
    </w:p>
    <w:p w14:paraId="11CCAEED" w14:textId="3AEB117E" w:rsidR="00BA0482" w:rsidRDefault="00BA0482" w:rsidP="00BA0482">
      <w:pPr>
        <w:pStyle w:val="13"/>
      </w:pPr>
      <w:r>
        <w:rPr>
          <w:rFonts w:hint="eastAsia"/>
        </w:rPr>
        <w:t>（</w:t>
      </w:r>
      <w:r>
        <w:t>1）可供出售金融资产的种类（股票投资、债券投资、其他投资）、发生时间和对应金额。</w:t>
      </w:r>
    </w:p>
    <w:p w14:paraId="745F68B3" w14:textId="670AEEC1" w:rsidR="00BA0482" w:rsidRDefault="00BA0482" w:rsidP="00BA0482">
      <w:pPr>
        <w:pStyle w:val="13"/>
      </w:pPr>
      <w:r>
        <w:rPr>
          <w:rFonts w:hint="eastAsia"/>
        </w:rPr>
        <w:t>（</w:t>
      </w:r>
      <w:r>
        <w:t>2）可供出售金融资产核实的方法和结论。</w:t>
      </w:r>
    </w:p>
    <w:p w14:paraId="0B409A7C" w14:textId="2976561B" w:rsidR="00BA0482" w:rsidRDefault="00BA0482" w:rsidP="00BA0482">
      <w:pPr>
        <w:pStyle w:val="13"/>
      </w:pPr>
      <w:r>
        <w:rPr>
          <w:rFonts w:hint="eastAsia"/>
        </w:rPr>
        <w:t>（</w:t>
      </w:r>
      <w:r>
        <w:t>3）可供出售金融资产公允价值与评估价值类型的一致性，并说明评估值确定的方法和结论。</w:t>
      </w:r>
    </w:p>
    <w:p w14:paraId="48733979" w14:textId="77777777" w:rsidR="00BA0482" w:rsidRDefault="00BA0482" w:rsidP="00BA0482">
      <w:pPr>
        <w:pStyle w:val="13"/>
      </w:pPr>
      <w:r>
        <w:t>9、持有至到期投资</w:t>
      </w:r>
    </w:p>
    <w:p w14:paraId="0770BA2A" w14:textId="3BD2042E" w:rsidR="00BA0482" w:rsidRDefault="00BA0482" w:rsidP="00BA0482">
      <w:pPr>
        <w:pStyle w:val="13"/>
      </w:pPr>
      <w:r>
        <w:rPr>
          <w:rFonts w:hint="eastAsia"/>
        </w:rPr>
        <w:t>（</w:t>
      </w:r>
      <w:r>
        <w:t>1）持有至到期投资的内容和金额。</w:t>
      </w:r>
    </w:p>
    <w:p w14:paraId="0AA2A39E" w14:textId="02F71F4C" w:rsidR="00BA0482" w:rsidRDefault="00BA0482" w:rsidP="00BA0482">
      <w:pPr>
        <w:pStyle w:val="13"/>
      </w:pPr>
      <w:r>
        <w:rPr>
          <w:rFonts w:hint="eastAsia"/>
        </w:rPr>
        <w:t>（</w:t>
      </w:r>
      <w:r>
        <w:t>2）持有至到期投资核实的方法和结论。</w:t>
      </w:r>
    </w:p>
    <w:p w14:paraId="667FE25E" w14:textId="6DC008AE" w:rsidR="00BA0482" w:rsidRDefault="00BA0482" w:rsidP="005F4467">
      <w:pPr>
        <w:pStyle w:val="13"/>
      </w:pPr>
      <w:r>
        <w:rPr>
          <w:rFonts w:hint="eastAsia"/>
        </w:rPr>
        <w:t>（</w:t>
      </w:r>
      <w:r>
        <w:t>3）持有至到期投资可收回金额的判断理由，并说明评估值确定的方法、过程和结</w:t>
      </w:r>
      <w:r>
        <w:rPr>
          <w:rFonts w:hint="eastAsia"/>
        </w:rPr>
        <w:t>论。</w:t>
      </w:r>
    </w:p>
    <w:p w14:paraId="531C1D2B" w14:textId="77777777" w:rsidR="00BA0482" w:rsidRDefault="00BA0482" w:rsidP="00BA0482">
      <w:pPr>
        <w:pStyle w:val="13"/>
      </w:pPr>
      <w:r>
        <w:t>10、长期应收款</w:t>
      </w:r>
    </w:p>
    <w:p w14:paraId="7897DF79" w14:textId="7B19F33E" w:rsidR="00BA0482" w:rsidRDefault="00BA0482" w:rsidP="00BA0482">
      <w:pPr>
        <w:pStyle w:val="13"/>
      </w:pPr>
      <w:r>
        <w:rPr>
          <w:rFonts w:hint="eastAsia"/>
        </w:rPr>
        <w:t>（</w:t>
      </w:r>
      <w:r>
        <w:t>1）长期应收款的内容和金额。</w:t>
      </w:r>
    </w:p>
    <w:p w14:paraId="75651186" w14:textId="2D95916D" w:rsidR="00BA0482" w:rsidRDefault="00BA0482" w:rsidP="00BA0482">
      <w:pPr>
        <w:pStyle w:val="13"/>
      </w:pPr>
      <w:r>
        <w:rPr>
          <w:rFonts w:hint="eastAsia"/>
        </w:rPr>
        <w:t>（</w:t>
      </w:r>
      <w:r>
        <w:t>2）长期应收款核实的方法和结论。</w:t>
      </w:r>
    </w:p>
    <w:p w14:paraId="415E4986" w14:textId="5DF8DED5" w:rsidR="00BA0482" w:rsidRDefault="00BA0482" w:rsidP="00BA0482">
      <w:pPr>
        <w:pStyle w:val="13"/>
      </w:pPr>
      <w:r>
        <w:rPr>
          <w:rFonts w:hint="eastAsia"/>
        </w:rPr>
        <w:t>（</w:t>
      </w:r>
      <w:r>
        <w:t>3）长期应收款评估值确定的方法和结论。</w:t>
      </w:r>
    </w:p>
    <w:p w14:paraId="59377FA8" w14:textId="2F898239" w:rsidR="00BA0482" w:rsidRDefault="00BA0482" w:rsidP="00BA0482">
      <w:pPr>
        <w:pStyle w:val="13"/>
      </w:pPr>
      <w:r>
        <w:rPr>
          <w:rFonts w:hint="eastAsia"/>
        </w:rPr>
        <w:t>（</w:t>
      </w:r>
      <w:r>
        <w:t>4）无法收回的长期应收款的判断理由和依据。</w:t>
      </w:r>
    </w:p>
    <w:p w14:paraId="4129320A" w14:textId="49558D50" w:rsidR="00BA0482" w:rsidRDefault="00BA0482" w:rsidP="00BA0482">
      <w:pPr>
        <w:pStyle w:val="13"/>
      </w:pPr>
      <w:r>
        <w:rPr>
          <w:rFonts w:hint="eastAsia"/>
        </w:rPr>
        <w:t>（</w:t>
      </w:r>
      <w:r>
        <w:t>5）坏账准备的评估处理。</w:t>
      </w:r>
    </w:p>
    <w:p w14:paraId="64717396" w14:textId="77777777" w:rsidR="00BA0482" w:rsidRDefault="00BA0482" w:rsidP="00BA0482">
      <w:pPr>
        <w:pStyle w:val="13"/>
      </w:pPr>
      <w:r>
        <w:t>11、长期股权投资</w:t>
      </w:r>
    </w:p>
    <w:p w14:paraId="6F6C260B" w14:textId="721B1046" w:rsidR="00BA0482" w:rsidRDefault="00BA0482" w:rsidP="00BA0482">
      <w:pPr>
        <w:pStyle w:val="13"/>
      </w:pPr>
      <w:r>
        <w:rPr>
          <w:rFonts w:hint="eastAsia"/>
        </w:rPr>
        <w:t>（</w:t>
      </w:r>
      <w:r>
        <w:t>1）长期股权投资的内容和金额。</w:t>
      </w:r>
    </w:p>
    <w:p w14:paraId="22FC6B0F" w14:textId="134C41F2" w:rsidR="00BA0482" w:rsidRDefault="00BA0482" w:rsidP="00BA0482">
      <w:pPr>
        <w:pStyle w:val="13"/>
      </w:pPr>
      <w:r>
        <w:rPr>
          <w:rFonts w:hint="eastAsia"/>
        </w:rPr>
        <w:t>（</w:t>
      </w:r>
      <w:r>
        <w:t>2）长期股权投资核实的内容（投资日期、持股比例、投资协议等）、方法和结论。</w:t>
      </w:r>
    </w:p>
    <w:p w14:paraId="45D489C0" w14:textId="6EFBB1B9" w:rsidR="00BA0482" w:rsidRDefault="00BA0482" w:rsidP="005F4467">
      <w:pPr>
        <w:pStyle w:val="13"/>
      </w:pPr>
      <w:r>
        <w:rPr>
          <w:rFonts w:hint="eastAsia"/>
        </w:rPr>
        <w:t>（</w:t>
      </w:r>
      <w:r>
        <w:t>3）控股长期股权投资，应当说明对被投资企业的企业价值进行评估的情况以及</w:t>
      </w:r>
      <w:r>
        <w:rPr>
          <w:rFonts w:hint="eastAsia"/>
        </w:rPr>
        <w:t>评估结论，并说明控股长期股权投资评估值确定的方法和结论。</w:t>
      </w:r>
    </w:p>
    <w:p w14:paraId="05B55E86" w14:textId="350673FF" w:rsidR="00BA0482" w:rsidRDefault="00BA0482" w:rsidP="00BA0482">
      <w:pPr>
        <w:pStyle w:val="13"/>
      </w:pPr>
      <w:r>
        <w:rPr>
          <w:rFonts w:hint="eastAsia"/>
        </w:rPr>
        <w:t>（</w:t>
      </w:r>
      <w:r>
        <w:t>4）非控股长期股权投资，应当按投资项目分别说明非控股长期股权投资评估值确定的方法和结论。</w:t>
      </w:r>
    </w:p>
    <w:p w14:paraId="19F7F101" w14:textId="77777777" w:rsidR="00BA0482" w:rsidRDefault="00BA0482" w:rsidP="00BA0482">
      <w:pPr>
        <w:pStyle w:val="13"/>
      </w:pPr>
      <w:r>
        <w:lastRenderedPageBreak/>
        <w:t>12、投资性房地产</w:t>
      </w:r>
    </w:p>
    <w:p w14:paraId="57E5814A" w14:textId="539CDA2C" w:rsidR="00BA0482" w:rsidRDefault="00BA0482" w:rsidP="00BA0482">
      <w:pPr>
        <w:pStyle w:val="13"/>
      </w:pPr>
      <w:r>
        <w:rPr>
          <w:rFonts w:hint="eastAsia"/>
        </w:rPr>
        <w:t>（</w:t>
      </w:r>
      <w:r>
        <w:t>1）投资性房地产的种类、内容和金额。</w:t>
      </w:r>
    </w:p>
    <w:p w14:paraId="1A9DCA21" w14:textId="436AB056" w:rsidR="00BA0482" w:rsidRDefault="00BA0482" w:rsidP="00BA0482">
      <w:pPr>
        <w:pStyle w:val="13"/>
      </w:pPr>
      <w:r>
        <w:rPr>
          <w:rFonts w:hint="eastAsia"/>
        </w:rPr>
        <w:t>（</w:t>
      </w:r>
      <w:r>
        <w:t>2）投资性房地产核实的方法和结论。并应当说明投资性房地产权属资料的查验情况、租赁合同约定的租金、租赁期限等内容。</w:t>
      </w:r>
    </w:p>
    <w:p w14:paraId="06665006" w14:textId="48DE0848" w:rsidR="00BA0482" w:rsidRDefault="00BA0482" w:rsidP="00BA0482">
      <w:pPr>
        <w:pStyle w:val="13"/>
      </w:pPr>
      <w:r>
        <w:rPr>
          <w:rFonts w:hint="eastAsia"/>
        </w:rPr>
        <w:t>（</w:t>
      </w:r>
      <w:r>
        <w:t>3）采用收益法评估投资性房地产，应当说明现实租赁合同约定的租金、租赁期限，租赁合同到期后租金的确定方法，折现率确定方法和结论，评估值确定的方法和结论；采用市场法评估投资性房地产，应当说明可比交易实例的选取、可比因素比较调整、评估值确定的方法和结论。</w:t>
      </w:r>
    </w:p>
    <w:p w14:paraId="1E18B9C4" w14:textId="08F09896" w:rsidR="00BA0482" w:rsidRDefault="00BA0482" w:rsidP="00BA0482">
      <w:pPr>
        <w:pStyle w:val="13"/>
      </w:pPr>
      <w:r>
        <w:rPr>
          <w:rFonts w:hint="eastAsia"/>
        </w:rPr>
        <w:t>（</w:t>
      </w:r>
      <w:r>
        <w:t>4）公允价值计量的投资性房地产，应当说明评估值与公允价值及其变动的差异及原因。</w:t>
      </w:r>
    </w:p>
    <w:p w14:paraId="359B67E6" w14:textId="77777777" w:rsidR="00BA0482" w:rsidRDefault="00BA0482" w:rsidP="00BA0482">
      <w:pPr>
        <w:pStyle w:val="13"/>
      </w:pPr>
      <w:r>
        <w:t>13、固定资产</w:t>
      </w:r>
    </w:p>
    <w:p w14:paraId="25EDB846" w14:textId="111A7196" w:rsidR="00BA0482" w:rsidRDefault="00BA0482" w:rsidP="00BA0482">
      <w:pPr>
        <w:pStyle w:val="13"/>
      </w:pPr>
      <w:r>
        <w:rPr>
          <w:rFonts w:hint="eastAsia"/>
        </w:rPr>
        <w:t>（</w:t>
      </w:r>
      <w:r>
        <w:t>1）机器设备类固定资产。</w:t>
      </w:r>
    </w:p>
    <w:p w14:paraId="2BC3277A" w14:textId="3E8438B8" w:rsidR="00BA0482" w:rsidRDefault="00BA0482" w:rsidP="00BA0482">
      <w:pPr>
        <w:pStyle w:val="13"/>
      </w:pPr>
      <w:r>
        <w:t>1）机器设备类固定资产的数量、账面原值、账面净值、减值准备等。</w:t>
      </w:r>
    </w:p>
    <w:p w14:paraId="78CE492F" w14:textId="7180D1A5" w:rsidR="00BA0482" w:rsidRDefault="00BA0482" w:rsidP="00BA0482">
      <w:pPr>
        <w:pStyle w:val="13"/>
      </w:pPr>
      <w:r>
        <w:t>2）机器设备类固定资产的特点、购置日期、类别、工艺流程、技术状况、日常维护和管理制度、折旧及计提减值政策等。</w:t>
      </w:r>
    </w:p>
    <w:p w14:paraId="1CDA966C" w14:textId="75F788DF" w:rsidR="00BA0482" w:rsidRDefault="00BA0482" w:rsidP="00BA0482">
      <w:pPr>
        <w:pStyle w:val="13"/>
      </w:pPr>
      <w:r>
        <w:t>3）机器设备类固定资产核实的方法和结论。</w:t>
      </w:r>
    </w:p>
    <w:p w14:paraId="62669F81" w14:textId="322BDE0B" w:rsidR="00BA0482" w:rsidRDefault="00BA0482" w:rsidP="005F4467">
      <w:pPr>
        <w:pStyle w:val="13"/>
      </w:pPr>
      <w:r>
        <w:t>4）评估方法选取的依据和理由，并列示主要计算公式、参数涵义及参数确定的方</w:t>
      </w:r>
      <w:r>
        <w:rPr>
          <w:rFonts w:hint="eastAsia"/>
        </w:rPr>
        <w:t>法。</w:t>
      </w:r>
    </w:p>
    <w:p w14:paraId="50539EC0" w14:textId="7EA27FEC" w:rsidR="00BA0482" w:rsidRDefault="00BA0482" w:rsidP="005F4467">
      <w:pPr>
        <w:pStyle w:val="13"/>
      </w:pPr>
      <w:r>
        <w:t>5）采用成本法评估，应当说明重置全价的构成、各费用项目的测算过程、采用的价</w:t>
      </w:r>
      <w:r>
        <w:rPr>
          <w:rFonts w:hint="eastAsia"/>
        </w:rPr>
        <w:t>格和费用标准等；说明设备成新状况（或者增值贬值因素）以及进行量化的方法及依据。对于待修理设备，应当说明修复的可能性及预计费用。</w:t>
      </w:r>
    </w:p>
    <w:p w14:paraId="32FE1015" w14:textId="3B126FA1" w:rsidR="00BA0482" w:rsidRDefault="00BA0482" w:rsidP="00BA0482">
      <w:pPr>
        <w:pStyle w:val="13"/>
      </w:pPr>
      <w:r>
        <w:t>6）采用收益法（对可单独获利的机器设备）评估，应当说明其收益状况及收益</w:t>
      </w:r>
      <w:proofErr w:type="gramStart"/>
      <w:r>
        <w:t>额预测</w:t>
      </w:r>
      <w:proofErr w:type="gramEnd"/>
      <w:r>
        <w:t>过程和结论，折现率确定的方法及结论。</w:t>
      </w:r>
    </w:p>
    <w:p w14:paraId="57BBB16C" w14:textId="4D5146BC" w:rsidR="00BA0482" w:rsidRDefault="00BA0482" w:rsidP="00BA0482">
      <w:pPr>
        <w:pStyle w:val="13"/>
      </w:pPr>
      <w:r>
        <w:t>7）采用市场法（对存在活跃二手设备市场的机器设备）评估，应当说明交易价格的基本内涵、交易时间等情况。</w:t>
      </w:r>
    </w:p>
    <w:p w14:paraId="56925420" w14:textId="42136C91" w:rsidR="00BA0482" w:rsidRDefault="00BA0482" w:rsidP="00BA0482">
      <w:pPr>
        <w:pStyle w:val="13"/>
      </w:pPr>
      <w:r>
        <w:t>8）根据评估业务的具体情况，应当选择典型设备（一般指单台金额大、技术典型的设备）举例说明评估参数的测算和判断以及评估值确定的方法、过程和结论。</w:t>
      </w:r>
    </w:p>
    <w:p w14:paraId="46B22BF0" w14:textId="4297104B" w:rsidR="00BA0482" w:rsidRDefault="00BA0482" w:rsidP="00BA0482">
      <w:pPr>
        <w:pStyle w:val="13"/>
      </w:pPr>
      <w:r>
        <w:t>9）对于精密、大型、高价的设备，应当说明技术和使用状况；对于报废的设备</w:t>
      </w:r>
      <w:r w:rsidR="00CC4D74">
        <w:t>，</w:t>
      </w:r>
      <w:r>
        <w:t>应当说明变现的可能性。</w:t>
      </w:r>
    </w:p>
    <w:p w14:paraId="3C4C67A3" w14:textId="672DCC65" w:rsidR="00BA0482" w:rsidRDefault="00BA0482" w:rsidP="00BA0482">
      <w:pPr>
        <w:pStyle w:val="13"/>
      </w:pPr>
      <w:r>
        <w:t>10）对于国家强制淘汰、报废的设备，受火灾、水灾或者地震等其他因素导致设备严重毁损的情况，应当特别提示，并说明改变用途使用和原用途继续使用的可能性。</w:t>
      </w:r>
    </w:p>
    <w:p w14:paraId="11698A0B" w14:textId="265B3C01" w:rsidR="00BA0482" w:rsidRDefault="00BA0482" w:rsidP="005F4467">
      <w:pPr>
        <w:pStyle w:val="13"/>
      </w:pPr>
      <w:r>
        <w:t>11）大型或者重型设备的建筑基础，按房屋建筑物类固定资产评估技术说明的要求</w:t>
      </w:r>
      <w:r>
        <w:rPr>
          <w:rFonts w:hint="eastAsia"/>
        </w:rPr>
        <w:t>编写。</w:t>
      </w:r>
    </w:p>
    <w:p w14:paraId="18E17781" w14:textId="19150011" w:rsidR="00BA0482" w:rsidRDefault="00BA0482" w:rsidP="00BA0482">
      <w:pPr>
        <w:pStyle w:val="13"/>
      </w:pPr>
      <w:r>
        <w:rPr>
          <w:rFonts w:hint="eastAsia"/>
        </w:rPr>
        <w:lastRenderedPageBreak/>
        <w:t>（</w:t>
      </w:r>
      <w:r>
        <w:t>2）房屋建筑物类固定资产</w:t>
      </w:r>
    </w:p>
    <w:p w14:paraId="1CB2497C" w14:textId="1519C7DC" w:rsidR="00BA0482" w:rsidRDefault="00BA0482" w:rsidP="00BA0482">
      <w:pPr>
        <w:pStyle w:val="13"/>
      </w:pPr>
      <w:r>
        <w:t>1）房屋建筑物类固定资产的类型、数量、账面原值、账面净值、减值准备等。</w:t>
      </w:r>
    </w:p>
    <w:p w14:paraId="7EB9E7AB" w14:textId="55B0480B" w:rsidR="00BA0482" w:rsidRDefault="00BA0482" w:rsidP="00BA0482">
      <w:pPr>
        <w:pStyle w:val="13"/>
      </w:pPr>
      <w:r>
        <w:t>2）房屋建筑物类固定资产购建日期、结构形式、权属状况、日常维护和管理制度、最近一次大修或者装潢情况、折旧及计提减值政策，以及房屋建筑物类固定资产所占用土地的情况。</w:t>
      </w:r>
    </w:p>
    <w:p w14:paraId="3CF99238" w14:textId="2C4F0C28" w:rsidR="00BA0482" w:rsidRDefault="00BA0482" w:rsidP="00BA0482">
      <w:pPr>
        <w:pStyle w:val="13"/>
      </w:pPr>
      <w:r>
        <w:t>3）房屋建筑物类固定资产核实的方法和结论。对于复杂、大型、独特、高价的房屋建筑物，应当说明已经进行现场勘查以及勘查情况；对于国家强制报废的房屋建筑物</w:t>
      </w:r>
      <w:r w:rsidR="00CC4D74">
        <w:t>，</w:t>
      </w:r>
      <w:r>
        <w:t>受腐蚀、火灾、水灾或者地震等其他因素导致建筑物严重毁损的情况，应当特别提示</w:t>
      </w:r>
      <w:r w:rsidR="00CC4D74">
        <w:t>，</w:t>
      </w:r>
      <w:r>
        <w:t>并说明核实情况。</w:t>
      </w:r>
    </w:p>
    <w:p w14:paraId="530208C4" w14:textId="70610892" w:rsidR="00BA0482" w:rsidRDefault="00BA0482" w:rsidP="005F4467">
      <w:pPr>
        <w:pStyle w:val="13"/>
      </w:pPr>
      <w:r>
        <w:t>4）评估方法选取的依据和理由，并列示主要计算公式、参数涵义及参数确定的方</w:t>
      </w:r>
      <w:r>
        <w:rPr>
          <w:rFonts w:hint="eastAsia"/>
        </w:rPr>
        <w:t>法。</w:t>
      </w:r>
    </w:p>
    <w:p w14:paraId="6B5F6477" w14:textId="7784CC34" w:rsidR="00BA0482" w:rsidRDefault="00BA0482" w:rsidP="005F4467">
      <w:pPr>
        <w:pStyle w:val="13"/>
      </w:pPr>
      <w:r>
        <w:t>5）采用成本法评估，应当说明重置全价的构成、各费用项目的测算过程、采用的价</w:t>
      </w:r>
      <w:r>
        <w:rPr>
          <w:rFonts w:hint="eastAsia"/>
        </w:rPr>
        <w:t>格和费用标准等；说明房屋建筑物类资产成新状况（或者增值贬值因素）以及进行量化的方法及依据；对于待修理房屋建筑物，应当说明修复的可能性及预计费用。</w:t>
      </w:r>
    </w:p>
    <w:p w14:paraId="459E1D4B" w14:textId="3C9AE0B9" w:rsidR="00BA0482" w:rsidRDefault="00BA0482" w:rsidP="00BA0482">
      <w:pPr>
        <w:pStyle w:val="13"/>
      </w:pPr>
      <w:r>
        <w:t>6）采用市场法评估，应当说明选取交易实例的依据或者理由、交易实例的基本情况、成交时间、交易状况及交易价格内涵等，对所选取的交易实例，应当全面介绍比较因素、比较结果以及评估值确定的方法。</w:t>
      </w:r>
    </w:p>
    <w:p w14:paraId="5DD6AE05" w14:textId="1CAC0089" w:rsidR="00BA0482" w:rsidRDefault="00BA0482" w:rsidP="00BA0482">
      <w:pPr>
        <w:pStyle w:val="13"/>
      </w:pPr>
      <w:r>
        <w:t>7）采用收益法评估，应当说明其租金预测情况，以及折现率确定的方法和结论。</w:t>
      </w:r>
    </w:p>
    <w:p w14:paraId="751B6BCF" w14:textId="66BCB19D" w:rsidR="00BA0482" w:rsidRDefault="00BA0482" w:rsidP="005F4467">
      <w:pPr>
        <w:pStyle w:val="13"/>
      </w:pPr>
      <w:r>
        <w:t>8）根据评估业务的具体情况，应当选择典型房屋建筑物举例说明评估参数的测算和判断以及评估值确定的方法和过程。典型房屋建筑物应当选择能代表不同的结构形式</w:t>
      </w:r>
      <w:r>
        <w:rPr>
          <w:rFonts w:hint="eastAsia"/>
        </w:rPr>
        <w:t>（一般包括框架结构、框剪结构、全现浇结构、排架结构、钢排架、砖混结构、砖木结构、简易结构、钢</w:t>
      </w:r>
      <w:proofErr w:type="gramStart"/>
      <w:r>
        <w:rPr>
          <w:rFonts w:hint="eastAsia"/>
        </w:rPr>
        <w:t>棚结构</w:t>
      </w:r>
      <w:proofErr w:type="gramEnd"/>
      <w:r>
        <w:rPr>
          <w:rFonts w:hint="eastAsia"/>
        </w:rPr>
        <w:t>等）、不同的分布地点、不同的建筑年代，并且金额较大的房屋建筑物类资产。</w:t>
      </w:r>
    </w:p>
    <w:p w14:paraId="3803D1BF" w14:textId="6FF6BF54" w:rsidR="00BA0482" w:rsidRDefault="00BA0482" w:rsidP="00BA0482">
      <w:pPr>
        <w:pStyle w:val="13"/>
      </w:pPr>
      <w:r>
        <w:t>9）房屋建筑物中</w:t>
      </w:r>
      <w:proofErr w:type="gramStart"/>
      <w:r>
        <w:t>含大型</w:t>
      </w:r>
      <w:proofErr w:type="gramEnd"/>
      <w:r>
        <w:t>附属设备的，应当按机器设备类固定资产评估的要求编写评估技术说明。</w:t>
      </w:r>
    </w:p>
    <w:p w14:paraId="05925572" w14:textId="6816FDE9" w:rsidR="00BA0482" w:rsidRDefault="00BA0482" w:rsidP="00BA0482">
      <w:pPr>
        <w:pStyle w:val="13"/>
      </w:pPr>
      <w:r>
        <w:t>10）对于在房屋建筑物科目核算的投资性房地产，应当按投资性房地产的要求编写评估技术说明。</w:t>
      </w:r>
    </w:p>
    <w:p w14:paraId="1B7EA766" w14:textId="77777777" w:rsidR="00BA0482" w:rsidRDefault="00BA0482" w:rsidP="00BA0482">
      <w:pPr>
        <w:pStyle w:val="13"/>
      </w:pPr>
      <w:r>
        <w:t>14、在建工程</w:t>
      </w:r>
    </w:p>
    <w:p w14:paraId="64E8A5A8" w14:textId="5517D259" w:rsidR="00BA0482" w:rsidRDefault="00BA0482" w:rsidP="00BA0482">
      <w:pPr>
        <w:pStyle w:val="13"/>
      </w:pPr>
      <w:r>
        <w:rPr>
          <w:rFonts w:hint="eastAsia"/>
        </w:rPr>
        <w:t>（</w:t>
      </w:r>
      <w:r>
        <w:t>1）在建工程的内容、账面价值、减值准备、开工日期和预计完工日期。</w:t>
      </w:r>
    </w:p>
    <w:p w14:paraId="4C280150" w14:textId="0DED8018" w:rsidR="00BA0482" w:rsidRDefault="00BA0482" w:rsidP="00BA0482">
      <w:pPr>
        <w:pStyle w:val="13"/>
      </w:pPr>
      <w:r>
        <w:rPr>
          <w:rFonts w:hint="eastAsia"/>
        </w:rPr>
        <w:t>（</w:t>
      </w:r>
      <w:r>
        <w:t>2）在建工程项目的合</w:t>
      </w:r>
      <w:proofErr w:type="gramStart"/>
      <w:r>
        <w:t>规</w:t>
      </w:r>
      <w:proofErr w:type="gramEnd"/>
      <w:r>
        <w:t>性文件核实情况。一般包括：项目可行性研究报告及批复、初步设计及批复、建设用地规划许可证、建设工程规划许可证、建筑工程施工许可证等。对于停建和缓建等在建项目，应当说明已经进行现场勘查以及勘查情况。</w:t>
      </w:r>
    </w:p>
    <w:p w14:paraId="35C72764" w14:textId="6B57D170" w:rsidR="00BA0482" w:rsidRDefault="00BA0482" w:rsidP="00BA0482">
      <w:pPr>
        <w:pStyle w:val="13"/>
      </w:pPr>
      <w:r>
        <w:rPr>
          <w:rFonts w:hint="eastAsia"/>
        </w:rPr>
        <w:t>（</w:t>
      </w:r>
      <w:r>
        <w:t>3）在建工程账面记录的明细构成，并分析相关费用支出是否正常。</w:t>
      </w:r>
    </w:p>
    <w:p w14:paraId="343EEC30" w14:textId="230AA2C9" w:rsidR="00BA0482" w:rsidRDefault="00BA0482" w:rsidP="00BA0482">
      <w:pPr>
        <w:pStyle w:val="13"/>
      </w:pPr>
      <w:r>
        <w:rPr>
          <w:rFonts w:hint="eastAsia"/>
        </w:rPr>
        <w:t>（</w:t>
      </w:r>
      <w:r>
        <w:t>4）在建工程的形象进度、合同签订情况、已支付工程款和应付（未付）工程</w:t>
      </w:r>
      <w:r>
        <w:lastRenderedPageBreak/>
        <w:t>款情况，并说明对评估价值的影响。</w:t>
      </w:r>
    </w:p>
    <w:p w14:paraId="6CF7C480" w14:textId="6A13BE7A" w:rsidR="00BA0482" w:rsidRDefault="00BA0482" w:rsidP="00BA0482">
      <w:pPr>
        <w:pStyle w:val="13"/>
      </w:pPr>
      <w:r>
        <w:rPr>
          <w:rFonts w:hint="eastAsia"/>
        </w:rPr>
        <w:t>（</w:t>
      </w:r>
      <w:r>
        <w:t>5）参照房屋建筑物、机器设备类固定资产的要求编写评估技术说明。</w:t>
      </w:r>
    </w:p>
    <w:p w14:paraId="783A653F" w14:textId="77777777" w:rsidR="00BA0482" w:rsidRDefault="00BA0482" w:rsidP="00BA0482">
      <w:pPr>
        <w:pStyle w:val="13"/>
      </w:pPr>
      <w:r>
        <w:t>15、工程物资</w:t>
      </w:r>
    </w:p>
    <w:p w14:paraId="734B20BD" w14:textId="127F36C6" w:rsidR="00BA0482" w:rsidRDefault="00BA0482" w:rsidP="00BA0482">
      <w:pPr>
        <w:pStyle w:val="13"/>
      </w:pPr>
      <w:r>
        <w:rPr>
          <w:rFonts w:hint="eastAsia"/>
        </w:rPr>
        <w:t>（</w:t>
      </w:r>
      <w:r>
        <w:t>1）工程物资的种类和账面金额。</w:t>
      </w:r>
    </w:p>
    <w:p w14:paraId="2433E06F" w14:textId="35650559" w:rsidR="00BA0482" w:rsidRDefault="00BA0482" w:rsidP="00BA0482">
      <w:pPr>
        <w:pStyle w:val="13"/>
      </w:pPr>
      <w:r>
        <w:rPr>
          <w:rFonts w:hint="eastAsia"/>
        </w:rPr>
        <w:t>（</w:t>
      </w:r>
      <w:r>
        <w:t>2）工程物资核实的方法和结论。</w:t>
      </w:r>
    </w:p>
    <w:p w14:paraId="7535B9D8" w14:textId="7F8B02BE" w:rsidR="00BA0482" w:rsidRDefault="00BA0482" w:rsidP="00BA0482">
      <w:pPr>
        <w:pStyle w:val="13"/>
      </w:pPr>
      <w:r>
        <w:rPr>
          <w:rFonts w:hint="eastAsia"/>
        </w:rPr>
        <w:t>（</w:t>
      </w:r>
      <w:r>
        <w:t>3）工程物资的评估技术说明参照存货评估技术说明要求编写。</w:t>
      </w:r>
    </w:p>
    <w:p w14:paraId="2927842A" w14:textId="77777777" w:rsidR="00BA0482" w:rsidRDefault="00BA0482" w:rsidP="00BA0482">
      <w:pPr>
        <w:pStyle w:val="13"/>
      </w:pPr>
      <w:r>
        <w:t>16、固定资产清理</w:t>
      </w:r>
    </w:p>
    <w:p w14:paraId="6C05F9ED" w14:textId="12F523F2" w:rsidR="00BA0482" w:rsidRDefault="00BA0482" w:rsidP="00BA0482">
      <w:pPr>
        <w:pStyle w:val="13"/>
      </w:pPr>
      <w:r>
        <w:rPr>
          <w:rFonts w:hint="eastAsia"/>
        </w:rPr>
        <w:t>（</w:t>
      </w:r>
      <w:r>
        <w:t>1）固定资产清理的内容（出售、转让、报废、毁损、对外投资、非货币性资产交换、债务重组等）和金额。</w:t>
      </w:r>
    </w:p>
    <w:p w14:paraId="3C51DB8E" w14:textId="6170A433" w:rsidR="00BA0482" w:rsidRDefault="00BA0482" w:rsidP="00BA0482">
      <w:pPr>
        <w:pStyle w:val="13"/>
      </w:pPr>
      <w:r>
        <w:rPr>
          <w:rFonts w:hint="eastAsia"/>
        </w:rPr>
        <w:t>（</w:t>
      </w:r>
      <w:r>
        <w:t>2）固定资产清理核实的方法和结论。</w:t>
      </w:r>
    </w:p>
    <w:p w14:paraId="2B60A423" w14:textId="39581597" w:rsidR="00BA0482" w:rsidRDefault="00BA0482" w:rsidP="00BA0482">
      <w:pPr>
        <w:pStyle w:val="13"/>
      </w:pPr>
      <w:r>
        <w:rPr>
          <w:rFonts w:hint="eastAsia"/>
        </w:rPr>
        <w:t>（</w:t>
      </w:r>
      <w:r>
        <w:t>3）固定资产清理一般反映企业尚未清理完毕的固定资产清理净损失。应当根据不同内容，说明评估值确定的方法和结论。</w:t>
      </w:r>
    </w:p>
    <w:p w14:paraId="3585AC7B" w14:textId="77777777" w:rsidR="00BA0482" w:rsidRDefault="00BA0482" w:rsidP="00BA0482">
      <w:pPr>
        <w:pStyle w:val="13"/>
      </w:pPr>
      <w:r>
        <w:t>17、生产性生物资产</w:t>
      </w:r>
    </w:p>
    <w:p w14:paraId="6436B563" w14:textId="03410C43" w:rsidR="00BA0482" w:rsidRDefault="00BA0482" w:rsidP="00BA0482">
      <w:pPr>
        <w:pStyle w:val="13"/>
      </w:pPr>
      <w:r>
        <w:rPr>
          <w:rFonts w:hint="eastAsia"/>
        </w:rPr>
        <w:t>（</w:t>
      </w:r>
      <w:r>
        <w:t>1）生产性生物资产的内容（未成熟生产性生物资产、成熟生产性生物资产）、种类、群别、取得方式、实物数量、账面金额构成及折旧政策等。</w:t>
      </w:r>
    </w:p>
    <w:p w14:paraId="21D9747A" w14:textId="718027F9" w:rsidR="00BA0482" w:rsidRDefault="00BA0482" w:rsidP="00BA0482">
      <w:pPr>
        <w:pStyle w:val="13"/>
      </w:pPr>
      <w:r>
        <w:rPr>
          <w:rFonts w:hint="eastAsia"/>
        </w:rPr>
        <w:t>（</w:t>
      </w:r>
      <w:r>
        <w:t>2）生产性生物资产核实的方法和结论。</w:t>
      </w:r>
    </w:p>
    <w:p w14:paraId="2E563A2C" w14:textId="5C8A8028" w:rsidR="00BA0482" w:rsidRDefault="00BA0482" w:rsidP="00BA0482">
      <w:pPr>
        <w:pStyle w:val="13"/>
      </w:pPr>
      <w:r>
        <w:rPr>
          <w:rFonts w:hint="eastAsia"/>
        </w:rPr>
        <w:t>（</w:t>
      </w:r>
      <w:r>
        <w:t>3）生产性生物资产评估值确定的方法和结论。</w:t>
      </w:r>
    </w:p>
    <w:p w14:paraId="3D027942" w14:textId="4863634F" w:rsidR="00BA0482" w:rsidRDefault="00BA0482" w:rsidP="00BA0482">
      <w:pPr>
        <w:pStyle w:val="13"/>
      </w:pPr>
      <w:r>
        <w:rPr>
          <w:rFonts w:hint="eastAsia"/>
        </w:rPr>
        <w:t>（</w:t>
      </w:r>
      <w:r>
        <w:t>4）根据评估业务的具体情况，举例说明评估参数测算的方法和过程。所举案例应当选择能代表不同种类、群别、取得方式的生产性生物资产。</w:t>
      </w:r>
    </w:p>
    <w:p w14:paraId="22F2B990" w14:textId="77777777" w:rsidR="00BA0482" w:rsidRDefault="00BA0482" w:rsidP="00BA0482">
      <w:pPr>
        <w:pStyle w:val="13"/>
      </w:pPr>
      <w:r>
        <w:t>18、油气资产</w:t>
      </w:r>
    </w:p>
    <w:p w14:paraId="025E8227" w14:textId="321C7680" w:rsidR="00BA0482" w:rsidRDefault="00BA0482" w:rsidP="005F4467">
      <w:pPr>
        <w:pStyle w:val="13"/>
      </w:pPr>
      <w:r>
        <w:rPr>
          <w:rFonts w:hint="eastAsia"/>
        </w:rPr>
        <w:t>（</w:t>
      </w:r>
      <w:r>
        <w:t>1）油气资产的类别、不同矿区或者油田分布，油气资产构成（矿区权益和油气井</w:t>
      </w:r>
      <w:r>
        <w:rPr>
          <w:rFonts w:hint="eastAsia"/>
        </w:rPr>
        <w:t>及相关设施等）、账面金额等。</w:t>
      </w:r>
    </w:p>
    <w:p w14:paraId="7EB3BC80" w14:textId="08FAEB10" w:rsidR="00BA0482" w:rsidRDefault="00BA0482" w:rsidP="00BA0482">
      <w:pPr>
        <w:pStyle w:val="13"/>
      </w:pPr>
      <w:r>
        <w:rPr>
          <w:rFonts w:hint="eastAsia"/>
        </w:rPr>
        <w:t>（</w:t>
      </w:r>
      <w:r>
        <w:t>2）油气资产原值的构成、折耗政策。特别说明是否存在弃置费用现值以及对应的预计负债。</w:t>
      </w:r>
    </w:p>
    <w:p w14:paraId="50536C65" w14:textId="1D188122" w:rsidR="00BA0482" w:rsidRDefault="00BA0482" w:rsidP="00BA0482">
      <w:pPr>
        <w:pStyle w:val="13"/>
      </w:pPr>
      <w:r>
        <w:rPr>
          <w:rFonts w:hint="eastAsia"/>
        </w:rPr>
        <w:t>（</w:t>
      </w:r>
      <w:r>
        <w:t>3）油气资产核实的方法和结论。</w:t>
      </w:r>
    </w:p>
    <w:p w14:paraId="2B722CD8" w14:textId="501EB14B" w:rsidR="00BA0482" w:rsidRDefault="00BA0482" w:rsidP="00BA0482">
      <w:pPr>
        <w:pStyle w:val="13"/>
      </w:pPr>
      <w:r>
        <w:rPr>
          <w:rFonts w:hint="eastAsia"/>
        </w:rPr>
        <w:t>（</w:t>
      </w:r>
      <w:r>
        <w:t>4）油气资产的评估值确定的方法和结论。</w:t>
      </w:r>
    </w:p>
    <w:p w14:paraId="562F1F40" w14:textId="44847013" w:rsidR="00BA0482" w:rsidRDefault="00BA0482" w:rsidP="00BA0482">
      <w:pPr>
        <w:pStyle w:val="13"/>
      </w:pPr>
      <w:r>
        <w:rPr>
          <w:rFonts w:hint="eastAsia"/>
        </w:rPr>
        <w:t>（</w:t>
      </w:r>
      <w:r>
        <w:t>5）根据评估业务的具体情况，举例说明评估参数测算确定的方法和过程。所举案例，应当选择能代表不同矿区或者油田分布的油气资产。</w:t>
      </w:r>
    </w:p>
    <w:p w14:paraId="68CED0B6" w14:textId="77777777" w:rsidR="00BA0482" w:rsidRDefault="00BA0482" w:rsidP="00BA0482">
      <w:pPr>
        <w:pStyle w:val="13"/>
      </w:pPr>
      <w:r>
        <w:t>19、无形资产</w:t>
      </w:r>
    </w:p>
    <w:p w14:paraId="6129B6A0" w14:textId="27CC5CF9" w:rsidR="00BA0482" w:rsidRDefault="00BA0482" w:rsidP="00BA0482">
      <w:pPr>
        <w:pStyle w:val="13"/>
      </w:pPr>
      <w:r>
        <w:rPr>
          <w:rFonts w:hint="eastAsia"/>
        </w:rPr>
        <w:t>（</w:t>
      </w:r>
      <w:r>
        <w:t>1）土地使用权（含固定资产—土地）</w:t>
      </w:r>
    </w:p>
    <w:p w14:paraId="184FF02B" w14:textId="66178EA7" w:rsidR="00BA0482" w:rsidRDefault="00BA0482" w:rsidP="00BA0482">
      <w:pPr>
        <w:pStyle w:val="13"/>
      </w:pPr>
      <w:r>
        <w:t>1）土地的宗数、面积、土地使用权取得方式、性质、原始入账价值、摊销政策、摊余价值等。</w:t>
      </w:r>
    </w:p>
    <w:p w14:paraId="4DBD6581" w14:textId="30C88079" w:rsidR="00BA0482" w:rsidRDefault="00BA0482" w:rsidP="00BA0482">
      <w:pPr>
        <w:pStyle w:val="13"/>
      </w:pPr>
      <w:r>
        <w:t>2）土地的登记状况、权利状况、利用状况。土地的登记状况和权利状况，以土地登记、土地使用证和土地使用权出让合同中的有关内容为准，土地利用状况以建筑</w:t>
      </w:r>
      <w:r>
        <w:lastRenderedPageBreak/>
        <w:t>物、地上附着物等产权登记内容和实际勘查与调查的内容为准。</w:t>
      </w:r>
    </w:p>
    <w:p w14:paraId="75EBF56E" w14:textId="16F579B3" w:rsidR="00BA0482" w:rsidRDefault="00BA0482" w:rsidP="00BA0482">
      <w:pPr>
        <w:pStyle w:val="13"/>
      </w:pPr>
      <w:r>
        <w:t>3）土地的一般因素、区域因素和个别因素（一般包括：城市资源状况、房地产制度与房地产市场概况、产业政策、城市规划与发展目标、城市社会经济状况等；区域概况、交通条件、基础设施条件、环境条件、产业集聚状况和规划限制等；土地位置、面积、用途、宽度、临街状况、深度、形状、地质、地形、地势、容积率、基础设施以及评估对象现状利用或者规划利用等影响地价水平的因素）。</w:t>
      </w:r>
    </w:p>
    <w:p w14:paraId="7833688E" w14:textId="624A9667" w:rsidR="00BA0482" w:rsidRDefault="00BA0482" w:rsidP="00BA0482">
      <w:pPr>
        <w:pStyle w:val="13"/>
      </w:pPr>
      <w:r>
        <w:t>4）土地使用权核实的方法和结论。</w:t>
      </w:r>
    </w:p>
    <w:p w14:paraId="673F097E" w14:textId="6278C71B" w:rsidR="00BA0482" w:rsidRDefault="00BA0482" w:rsidP="00BA0482">
      <w:pPr>
        <w:pStyle w:val="13"/>
      </w:pPr>
      <w:r>
        <w:t>5）土地使用权评估价值内涵，所选取评估方法的依据或者理由。</w:t>
      </w:r>
    </w:p>
    <w:p w14:paraId="785C14FD" w14:textId="4E7B40E8" w:rsidR="00BA0482" w:rsidRDefault="00BA0482" w:rsidP="00BA0482">
      <w:pPr>
        <w:pStyle w:val="13"/>
      </w:pPr>
      <w:r>
        <w:t>6）采用市场法评估，应当说明所选交易实例的基本状况（名称、坐落、四至、面积、用途、产权状况、土地形状、土地使用期限、建筑物建成日期、建筑结构、周围环境等）、成交日期、成交价格（包括总价、单价及计价方式、付款方式）、交易情况（交易目的、交易方式、交易税费负担方式、交易人之间的特殊利害关系、特殊交易动机等）等内容，并说明交易情况、交易日期等修正情况。</w:t>
      </w:r>
    </w:p>
    <w:p w14:paraId="7F9E3587" w14:textId="6975E5E9" w:rsidR="00BA0482" w:rsidRDefault="00BA0482" w:rsidP="00BA0482">
      <w:pPr>
        <w:pStyle w:val="13"/>
      </w:pPr>
      <w:r>
        <w:t>7）采用收益法评估，应当说明收益期限、净收益与折现率确定的过程和结论。</w:t>
      </w:r>
    </w:p>
    <w:p w14:paraId="5FC31A4A" w14:textId="4918DAD8" w:rsidR="00BA0482" w:rsidRDefault="00BA0482" w:rsidP="005F4467">
      <w:pPr>
        <w:pStyle w:val="13"/>
      </w:pPr>
      <w:r>
        <w:t>8）采用成本法评估，应当说明费用项目的构成、各费用项目的测算过程、采用的价</w:t>
      </w:r>
      <w:r>
        <w:rPr>
          <w:rFonts w:hint="eastAsia"/>
        </w:rPr>
        <w:t>格和费用标准等；说明与地上建筑物费用项目的划分；说明评估对象的开发期限、开发状况和相应的开发费用标准及依据；说明土地增值标准的确定方法和依据；说明修正的因素及修正过程。</w:t>
      </w:r>
    </w:p>
    <w:p w14:paraId="5AD47FA5" w14:textId="539D1877" w:rsidR="00BA0482" w:rsidRDefault="00BA0482" w:rsidP="00BA0482">
      <w:pPr>
        <w:pStyle w:val="13"/>
      </w:pPr>
      <w:r>
        <w:t>9）采用基准地价修正法评估，应当说明基准地价的公布时间，批准机关和</w:t>
      </w:r>
      <w:proofErr w:type="gramStart"/>
      <w:r>
        <w:t>文号</w:t>
      </w:r>
      <w:proofErr w:type="gramEnd"/>
      <w:r w:rsidR="00CC4D74">
        <w:t>，</w:t>
      </w:r>
      <w:r>
        <w:t>基准地价的内涵，利用基准地价估算宗地价格的公式；说明宗地位置、用途及评估对象所在级别或者区域的基准地价和对应的因素修正系数；说明评估对象的价值内涵与基准地价内涵的差异，以及修正的内容（土地级别、用途、权益性质、交易日期修正、区域因素修正、个别因素修正、使用年期修正和开发程度等）。</w:t>
      </w:r>
    </w:p>
    <w:p w14:paraId="2531B2F6" w14:textId="12A77D41" w:rsidR="00BA0482" w:rsidRDefault="00BA0482" w:rsidP="00BA0482">
      <w:pPr>
        <w:pStyle w:val="13"/>
      </w:pPr>
      <w:r>
        <w:t>10）采用假设开发法评估时，应当说明开发完成后的不动产价值、后续开发建设的必要支出和应得利润等的确定方法、过程和结论。</w:t>
      </w:r>
    </w:p>
    <w:p w14:paraId="7EAB4EEC" w14:textId="3E7CF3DD" w:rsidR="00BA0482" w:rsidRDefault="00BA0482" w:rsidP="00BA0482">
      <w:pPr>
        <w:pStyle w:val="13"/>
      </w:pPr>
      <w:r>
        <w:t>11）引用土地估价报告评估结论，应当说明引用的土地宗数、面积、土地使用权取得方式、性质、原始入账价值、摊销政策、摊余价值等；说明所引用土地评估结论的地价定义、评估方法、评估结论及调整使用的情况。</w:t>
      </w:r>
    </w:p>
    <w:p w14:paraId="0CFF9F7C" w14:textId="5AA4498A" w:rsidR="00BA0482" w:rsidRDefault="00BA0482" w:rsidP="00BA0482">
      <w:pPr>
        <w:pStyle w:val="13"/>
      </w:pPr>
      <w:r>
        <w:rPr>
          <w:rFonts w:hint="eastAsia"/>
        </w:rPr>
        <w:t>（</w:t>
      </w:r>
      <w:r>
        <w:t>2）矿业权</w:t>
      </w:r>
    </w:p>
    <w:p w14:paraId="45961351" w14:textId="6BA60E51" w:rsidR="00BA0482" w:rsidRDefault="00BA0482" w:rsidP="00BA0482">
      <w:pPr>
        <w:pStyle w:val="13"/>
      </w:pPr>
      <w:r>
        <w:t>1）矿业权人的基本情况。</w:t>
      </w:r>
    </w:p>
    <w:p w14:paraId="296FD7E7" w14:textId="5C803BCD" w:rsidR="00BA0482" w:rsidRDefault="00BA0482" w:rsidP="00BA0482">
      <w:pPr>
        <w:pStyle w:val="13"/>
      </w:pPr>
      <w:r>
        <w:t>2）矿床勘查、矿山建设规划或者矿山建设和生产经营等基本情况。</w:t>
      </w:r>
    </w:p>
    <w:p w14:paraId="438E1F79" w14:textId="4326A81D" w:rsidR="00BA0482" w:rsidRDefault="00BA0482" w:rsidP="005F4467">
      <w:pPr>
        <w:pStyle w:val="13"/>
      </w:pPr>
      <w:r>
        <w:t>3）矿业</w:t>
      </w:r>
      <w:proofErr w:type="gramStart"/>
      <w:r>
        <w:t>权取得</w:t>
      </w:r>
      <w:proofErr w:type="gramEnd"/>
      <w:r>
        <w:t>时间、方式和以往矿业权价款（或者价值）评估、处置或者交易等情</w:t>
      </w:r>
      <w:r>
        <w:rPr>
          <w:rFonts w:hint="eastAsia"/>
        </w:rPr>
        <w:t>况。</w:t>
      </w:r>
    </w:p>
    <w:p w14:paraId="142BB967" w14:textId="190B87D8" w:rsidR="00BA0482" w:rsidRDefault="00BA0482" w:rsidP="005F4467">
      <w:pPr>
        <w:pStyle w:val="13"/>
      </w:pPr>
      <w:r>
        <w:t>4）有效的勘查许可证、采矿许可证的主要信息（探矿权主要包括勘查许可证号、</w:t>
      </w:r>
      <w:r>
        <w:lastRenderedPageBreak/>
        <w:t>探</w:t>
      </w:r>
      <w:r>
        <w:rPr>
          <w:rFonts w:hint="eastAsia"/>
        </w:rPr>
        <w:t>矿权人、勘查项目名称、勘查范围、各拐点地理坐标、勘查面积、有效期限等。采矿权主要包括采矿许可证号、采矿权人、矿山名称、开采矿种、开采方式、生产规模、矿区面积、有效期限、各拐点地理坐标、开采深度等）。</w:t>
      </w:r>
    </w:p>
    <w:p w14:paraId="6C746EAB" w14:textId="6A671F57" w:rsidR="00BA0482" w:rsidRDefault="00BA0482" w:rsidP="00BA0482">
      <w:pPr>
        <w:pStyle w:val="13"/>
      </w:pPr>
      <w:r>
        <w:t>5）评估对象的矿产资源勘查和开发概况。</w:t>
      </w:r>
    </w:p>
    <w:p w14:paraId="49C6968C" w14:textId="112A3D73" w:rsidR="00BA0482" w:rsidRDefault="00BA0482" w:rsidP="00BA0482">
      <w:pPr>
        <w:pStyle w:val="13"/>
      </w:pPr>
      <w:r>
        <w:t>6）选择评估方法的依据和理由，并列示主要计算公式及参数涵义。</w:t>
      </w:r>
    </w:p>
    <w:p w14:paraId="628A5F96" w14:textId="1C842D63" w:rsidR="00BA0482" w:rsidRDefault="00BA0482" w:rsidP="00BA0482">
      <w:pPr>
        <w:pStyle w:val="13"/>
      </w:pPr>
      <w:r>
        <w:t>7）参数确定情况，包括所依据或者参考资料的来源出处；各评估参数的确定原则、依据、过程和结论。</w:t>
      </w:r>
    </w:p>
    <w:p w14:paraId="67CB5684" w14:textId="16833A14" w:rsidR="00BA0482" w:rsidRDefault="00BA0482" w:rsidP="005F4467">
      <w:pPr>
        <w:pStyle w:val="13"/>
      </w:pPr>
      <w:r>
        <w:t>8）引用专业报告确定评估参数，应当说明专业报告的名称、形成时间、结论等主要情况。引用专业报告参数进行调整确定评估参数，应当说明其调整确定过程。利用专家</w:t>
      </w:r>
      <w:r>
        <w:rPr>
          <w:rFonts w:hint="eastAsia"/>
        </w:rPr>
        <w:t>协助确定价值指数，应当说明专家的数量、专业及资格、专家工作过程、结论等主要情况，并说明对其检查、汇总及分析的过程。</w:t>
      </w:r>
    </w:p>
    <w:p w14:paraId="1877393C" w14:textId="1BBB80D3" w:rsidR="00BA0482" w:rsidRDefault="00BA0482" w:rsidP="005F4467">
      <w:pPr>
        <w:pStyle w:val="13"/>
      </w:pPr>
      <w:r>
        <w:t>9）引用矿业权评估报告评估结论，应当说明引用的矿业权名称、矿业</w:t>
      </w:r>
      <w:proofErr w:type="gramStart"/>
      <w:r>
        <w:t>权取得</w:t>
      </w:r>
      <w:proofErr w:type="gramEnd"/>
      <w:r>
        <w:t>方式、性质、原始入账价值、摊销政策、摊余价值等。说明所引用矿业权评估结论的价值内涵、评估方法、评估结果以及引用处理情况，同时说明矿业权价款评估、备案及价款缴纳情</w:t>
      </w:r>
      <w:r>
        <w:rPr>
          <w:rFonts w:hint="eastAsia"/>
        </w:rPr>
        <w:t>况。</w:t>
      </w:r>
    </w:p>
    <w:p w14:paraId="30DB7735" w14:textId="0349D8CD" w:rsidR="00BA0482" w:rsidRDefault="00BA0482" w:rsidP="00BA0482">
      <w:pPr>
        <w:pStyle w:val="13"/>
      </w:pPr>
      <w:r>
        <w:rPr>
          <w:rFonts w:hint="eastAsia"/>
        </w:rPr>
        <w:t>（</w:t>
      </w:r>
      <w:r>
        <w:t>3）其他无形资产</w:t>
      </w:r>
    </w:p>
    <w:p w14:paraId="2F6DB8DE" w14:textId="2D06B60F" w:rsidR="00BA0482" w:rsidRDefault="00BA0482" w:rsidP="005F4467">
      <w:pPr>
        <w:pStyle w:val="13"/>
      </w:pPr>
      <w:r>
        <w:t>1）无形资产的名称、形成过程、存在形式、存在期限、权属、原始入账金额、摊销</w:t>
      </w:r>
      <w:r>
        <w:rPr>
          <w:rFonts w:hint="eastAsia"/>
        </w:rPr>
        <w:t>政策、摊余价值等。</w:t>
      </w:r>
    </w:p>
    <w:p w14:paraId="1F59F91D" w14:textId="7583174A" w:rsidR="00BA0482" w:rsidRDefault="00BA0482" w:rsidP="00BA0482">
      <w:pPr>
        <w:pStyle w:val="13"/>
      </w:pPr>
      <w:r>
        <w:t>2）无形资产核实的内容、方法、过程和结论（从法律、经济、技术及获利能力等角度分析说明所申报评估的无形资产的存在；说明无形资产的特征、获利能力、获利期限；已实际应用的无形资产，应当说明其应用及效益状况）。</w:t>
      </w:r>
    </w:p>
    <w:p w14:paraId="59B6868E" w14:textId="41217AC7" w:rsidR="00BA0482" w:rsidRDefault="00BA0482" w:rsidP="00BA0482">
      <w:pPr>
        <w:pStyle w:val="13"/>
      </w:pPr>
      <w:r>
        <w:t>3）选取评估方法的理由，并列示主要计算公式及参数涵义。</w:t>
      </w:r>
    </w:p>
    <w:p w14:paraId="4A54D831" w14:textId="3C6FF8BD" w:rsidR="00BA0482" w:rsidRDefault="00BA0482" w:rsidP="00BA0482">
      <w:pPr>
        <w:pStyle w:val="13"/>
      </w:pPr>
      <w:r>
        <w:t>4）采用收益法评估，应当说明收益预测的依据，如市场调查结论、订单合同、政府推广文件等。</w:t>
      </w:r>
    </w:p>
    <w:p w14:paraId="33F6AB24" w14:textId="2EA63956" w:rsidR="00BA0482" w:rsidRDefault="00BA0482" w:rsidP="00BA0482">
      <w:pPr>
        <w:pStyle w:val="13"/>
      </w:pPr>
      <w:r>
        <w:t>5）采用成本法评估，应当说明费用项目的构成、各费用项目的测算过程、采用的价格和费用标准等。</w:t>
      </w:r>
    </w:p>
    <w:p w14:paraId="191047AB" w14:textId="39F26771" w:rsidR="00BA0482" w:rsidRDefault="00BA0482" w:rsidP="00BA0482">
      <w:pPr>
        <w:pStyle w:val="13"/>
      </w:pPr>
      <w:r>
        <w:t>6）采用市场法评估，应当说明所选交易实例的依据或者理由、交易实例的基本情况、成交时间、交易状况及交易价格内涵等，对所选取的交易实例，应当全面介绍比较因素、比较结果及评估值确定的方法和结论。</w:t>
      </w:r>
    </w:p>
    <w:p w14:paraId="209A1874" w14:textId="77777777" w:rsidR="00BA0482" w:rsidRDefault="00BA0482" w:rsidP="00BA0482">
      <w:pPr>
        <w:pStyle w:val="13"/>
      </w:pPr>
      <w:r>
        <w:t>20、开发支出</w:t>
      </w:r>
    </w:p>
    <w:p w14:paraId="52A8EFDC" w14:textId="237733AB" w:rsidR="00BA0482" w:rsidRDefault="00BA0482" w:rsidP="00BA0482">
      <w:pPr>
        <w:pStyle w:val="13"/>
      </w:pPr>
      <w:r>
        <w:rPr>
          <w:rFonts w:hint="eastAsia"/>
        </w:rPr>
        <w:t>（</w:t>
      </w:r>
      <w:r>
        <w:t>1）开发支出的内容和金额。</w:t>
      </w:r>
    </w:p>
    <w:p w14:paraId="36069CF8" w14:textId="2F05E3E4" w:rsidR="00BA0482" w:rsidRDefault="00BA0482" w:rsidP="00BA0482">
      <w:pPr>
        <w:pStyle w:val="13"/>
      </w:pPr>
      <w:r>
        <w:rPr>
          <w:rFonts w:hint="eastAsia"/>
        </w:rPr>
        <w:t>（</w:t>
      </w:r>
      <w:r>
        <w:t>2）开发支出核实的方法和结论。</w:t>
      </w:r>
    </w:p>
    <w:p w14:paraId="36C0ABF6" w14:textId="10046139" w:rsidR="00BA0482" w:rsidRDefault="00BA0482" w:rsidP="00BA0482">
      <w:pPr>
        <w:pStyle w:val="13"/>
      </w:pPr>
      <w:r>
        <w:rPr>
          <w:rFonts w:hint="eastAsia"/>
        </w:rPr>
        <w:t>（</w:t>
      </w:r>
      <w:r>
        <w:t>3）开发支出评估值确定的方法和结论。</w:t>
      </w:r>
    </w:p>
    <w:p w14:paraId="1891DC5A" w14:textId="77777777" w:rsidR="00BA0482" w:rsidRDefault="00BA0482" w:rsidP="00BA0482">
      <w:pPr>
        <w:pStyle w:val="13"/>
      </w:pPr>
      <w:r>
        <w:t>21、商誉</w:t>
      </w:r>
    </w:p>
    <w:p w14:paraId="2EBF3653" w14:textId="13126E73" w:rsidR="00BA0482" w:rsidRDefault="00BA0482" w:rsidP="00BA0482">
      <w:pPr>
        <w:pStyle w:val="13"/>
      </w:pPr>
      <w:r>
        <w:rPr>
          <w:rFonts w:hint="eastAsia"/>
        </w:rPr>
        <w:lastRenderedPageBreak/>
        <w:t>（</w:t>
      </w:r>
      <w:r>
        <w:t>1）商誉的账面价值及其形成原因。</w:t>
      </w:r>
    </w:p>
    <w:p w14:paraId="7893C885" w14:textId="4523E1BB" w:rsidR="00BA0482" w:rsidRDefault="00BA0482" w:rsidP="00BA0482">
      <w:pPr>
        <w:pStyle w:val="13"/>
      </w:pPr>
      <w:r>
        <w:rPr>
          <w:rFonts w:hint="eastAsia"/>
        </w:rPr>
        <w:t>（</w:t>
      </w:r>
      <w:r>
        <w:t>2）商誉所对应资产组的账面价值。</w:t>
      </w:r>
    </w:p>
    <w:p w14:paraId="58808343" w14:textId="0C97A65E" w:rsidR="00BA0482" w:rsidRDefault="00BA0482" w:rsidP="00BA0482">
      <w:pPr>
        <w:pStyle w:val="13"/>
      </w:pPr>
      <w:r>
        <w:rPr>
          <w:rFonts w:hint="eastAsia"/>
        </w:rPr>
        <w:t>（</w:t>
      </w:r>
      <w:r>
        <w:t>3）商誉的评估处理方法和结论。</w:t>
      </w:r>
    </w:p>
    <w:p w14:paraId="081F1EEF" w14:textId="77777777" w:rsidR="00BA0482" w:rsidRDefault="00BA0482" w:rsidP="005F4467">
      <w:pPr>
        <w:pStyle w:val="13"/>
      </w:pPr>
      <w:r>
        <w:t>22、长期待摊费用</w:t>
      </w:r>
    </w:p>
    <w:p w14:paraId="2CF25DCA" w14:textId="30D6190D" w:rsidR="00BA0482" w:rsidRDefault="00BA0482" w:rsidP="00BA0482">
      <w:pPr>
        <w:pStyle w:val="13"/>
      </w:pPr>
      <w:r>
        <w:rPr>
          <w:rFonts w:hint="eastAsia"/>
        </w:rPr>
        <w:t>（</w:t>
      </w:r>
      <w:r>
        <w:t>1）长期待摊费用的内容、原始发生额和摊销期。</w:t>
      </w:r>
    </w:p>
    <w:p w14:paraId="6904D33D" w14:textId="208BC458" w:rsidR="00BA0482" w:rsidRDefault="00BA0482" w:rsidP="00BA0482">
      <w:pPr>
        <w:pStyle w:val="13"/>
      </w:pPr>
      <w:r>
        <w:rPr>
          <w:rFonts w:hint="eastAsia"/>
        </w:rPr>
        <w:t>（</w:t>
      </w:r>
      <w:r>
        <w:t>2）所形成的资产或者权利是否已经在其他类型资产中反映，如果反映，应当说明不另计评估值。</w:t>
      </w:r>
    </w:p>
    <w:p w14:paraId="7928C896" w14:textId="2CF8156C" w:rsidR="00BA0482" w:rsidRDefault="00BA0482" w:rsidP="00BA0482">
      <w:pPr>
        <w:pStyle w:val="13"/>
      </w:pPr>
      <w:r>
        <w:rPr>
          <w:rFonts w:hint="eastAsia"/>
        </w:rPr>
        <w:t>（</w:t>
      </w:r>
      <w:r>
        <w:t>3）长期待摊费用核实的方法和结论。</w:t>
      </w:r>
    </w:p>
    <w:p w14:paraId="2CA4253E" w14:textId="445AA594" w:rsidR="00BA0482" w:rsidRDefault="00BA0482" w:rsidP="00BA0482">
      <w:pPr>
        <w:pStyle w:val="13"/>
      </w:pPr>
      <w:r>
        <w:rPr>
          <w:rFonts w:hint="eastAsia"/>
        </w:rPr>
        <w:t>（</w:t>
      </w:r>
      <w:r>
        <w:t>4）结合长期待摊费用的具体内容，说明尚未摊销完毕的长期待摊费用是否存在尚存的资产或者权利，如果存在，应当指明受益期。</w:t>
      </w:r>
    </w:p>
    <w:p w14:paraId="30359404" w14:textId="77777777" w:rsidR="00BA0482" w:rsidRDefault="00BA0482" w:rsidP="00BA0482">
      <w:pPr>
        <w:pStyle w:val="13"/>
      </w:pPr>
      <w:r>
        <w:t>23、递延所得税资产</w:t>
      </w:r>
    </w:p>
    <w:p w14:paraId="127C24CA" w14:textId="648EF455" w:rsidR="00BA0482" w:rsidRDefault="00BA0482" w:rsidP="00BA0482">
      <w:pPr>
        <w:pStyle w:val="13"/>
      </w:pPr>
      <w:r>
        <w:rPr>
          <w:rFonts w:hint="eastAsia"/>
        </w:rPr>
        <w:t>（</w:t>
      </w:r>
      <w:r>
        <w:t>1）递延所得税资产的内容和种类。</w:t>
      </w:r>
    </w:p>
    <w:p w14:paraId="3F9C09DD" w14:textId="5B404B5A" w:rsidR="00BA0482" w:rsidRDefault="00BA0482" w:rsidP="00BA0482">
      <w:pPr>
        <w:pStyle w:val="13"/>
      </w:pPr>
      <w:r>
        <w:rPr>
          <w:rFonts w:hint="eastAsia"/>
        </w:rPr>
        <w:t>（</w:t>
      </w:r>
      <w:r>
        <w:t>2）递延所得税资产核实的方法和结论。</w:t>
      </w:r>
    </w:p>
    <w:p w14:paraId="60332AC4" w14:textId="4C9799CE" w:rsidR="00BA0482" w:rsidRDefault="00BA0482" w:rsidP="00BA0482">
      <w:pPr>
        <w:pStyle w:val="13"/>
      </w:pPr>
      <w:r>
        <w:rPr>
          <w:rFonts w:hint="eastAsia"/>
        </w:rPr>
        <w:t>（</w:t>
      </w:r>
      <w:r>
        <w:t>3）递延所得税资产评估值确定的方法和结论。</w:t>
      </w:r>
    </w:p>
    <w:p w14:paraId="25FC85FC" w14:textId="77777777" w:rsidR="00BA0482" w:rsidRDefault="00BA0482" w:rsidP="00BA0482">
      <w:pPr>
        <w:pStyle w:val="13"/>
      </w:pPr>
      <w:r>
        <w:t>24、其他非流动资产</w:t>
      </w:r>
    </w:p>
    <w:p w14:paraId="63ACD3C9" w14:textId="6EF45311" w:rsidR="00BA0482" w:rsidRDefault="00BA0482" w:rsidP="00BA0482">
      <w:pPr>
        <w:pStyle w:val="13"/>
      </w:pPr>
      <w:r>
        <w:rPr>
          <w:rFonts w:hint="eastAsia"/>
        </w:rPr>
        <w:t>（</w:t>
      </w:r>
      <w:r>
        <w:t>1）其他非流动资产的内容、种类及形成原因等。</w:t>
      </w:r>
    </w:p>
    <w:p w14:paraId="7845AB8B" w14:textId="2E23AE36" w:rsidR="00BA0482" w:rsidRDefault="00BA0482" w:rsidP="00BA0482">
      <w:pPr>
        <w:pStyle w:val="13"/>
      </w:pPr>
      <w:r>
        <w:rPr>
          <w:rFonts w:hint="eastAsia"/>
        </w:rPr>
        <w:t>（</w:t>
      </w:r>
      <w:r>
        <w:t>2）其他非流动资产核实的方法和结论。</w:t>
      </w:r>
    </w:p>
    <w:p w14:paraId="23D2F86C" w14:textId="29DF0AFC" w:rsidR="00BA0482" w:rsidRDefault="00BA0482" w:rsidP="00BA0482">
      <w:pPr>
        <w:pStyle w:val="13"/>
      </w:pPr>
      <w:r>
        <w:rPr>
          <w:rFonts w:hint="eastAsia"/>
        </w:rPr>
        <w:t>（</w:t>
      </w:r>
      <w:r>
        <w:t>3）其他非流动资产评估值确定的方法和结论。</w:t>
      </w:r>
    </w:p>
    <w:p w14:paraId="6F9103B3" w14:textId="77777777" w:rsidR="00BA0482" w:rsidRDefault="00BA0482" w:rsidP="00BA0482">
      <w:pPr>
        <w:pStyle w:val="13"/>
      </w:pPr>
      <w:r>
        <w:t>25、短期借款</w:t>
      </w:r>
    </w:p>
    <w:p w14:paraId="2947DA46" w14:textId="6CB53651" w:rsidR="00BA0482" w:rsidRDefault="00BA0482" w:rsidP="00BA0482">
      <w:pPr>
        <w:pStyle w:val="13"/>
      </w:pPr>
      <w:r>
        <w:rPr>
          <w:rFonts w:hint="eastAsia"/>
        </w:rPr>
        <w:t>（</w:t>
      </w:r>
      <w:r>
        <w:t>1）借款的金额、发生日期、放贷银行名称、还款期限、贷款利率以及抵（质） 押情况。</w:t>
      </w:r>
    </w:p>
    <w:p w14:paraId="448D66CD" w14:textId="0D3B7213" w:rsidR="00BA0482" w:rsidRDefault="00BA0482" w:rsidP="00BA0482">
      <w:pPr>
        <w:pStyle w:val="13"/>
      </w:pPr>
      <w:r>
        <w:rPr>
          <w:rFonts w:hint="eastAsia"/>
        </w:rPr>
        <w:t>（</w:t>
      </w:r>
      <w:r>
        <w:t>2）对借款</w:t>
      </w:r>
      <w:proofErr w:type="gramStart"/>
      <w:r>
        <w:t>的函证情况</w:t>
      </w:r>
      <w:proofErr w:type="gramEnd"/>
      <w:r>
        <w:t>。</w:t>
      </w:r>
    </w:p>
    <w:p w14:paraId="7FADA939" w14:textId="3C93FDDF" w:rsidR="00BA0482" w:rsidRDefault="00BA0482" w:rsidP="00BA0482">
      <w:pPr>
        <w:pStyle w:val="13"/>
      </w:pPr>
      <w:r>
        <w:rPr>
          <w:rFonts w:hint="eastAsia"/>
        </w:rPr>
        <w:t>（</w:t>
      </w:r>
      <w:r>
        <w:t>3）利息结算、支付情况，并说明利息支付情况对评估值的影响。</w:t>
      </w:r>
    </w:p>
    <w:p w14:paraId="4441FF58" w14:textId="77777777" w:rsidR="00BA0482" w:rsidRDefault="00BA0482" w:rsidP="00BA0482">
      <w:pPr>
        <w:pStyle w:val="13"/>
      </w:pPr>
      <w:r>
        <w:t>26、交易性金融负债</w:t>
      </w:r>
    </w:p>
    <w:p w14:paraId="32EDB4C0" w14:textId="147F2BFB" w:rsidR="00BA0482" w:rsidRDefault="00BA0482" w:rsidP="00BA0482">
      <w:pPr>
        <w:pStyle w:val="13"/>
      </w:pPr>
      <w:r>
        <w:rPr>
          <w:rFonts w:hint="eastAsia"/>
        </w:rPr>
        <w:t>（</w:t>
      </w:r>
      <w:r>
        <w:t>1）交易性金融负债的种类和核实方法。</w:t>
      </w:r>
    </w:p>
    <w:p w14:paraId="643C0529" w14:textId="6DC6F919" w:rsidR="00BA0482" w:rsidRDefault="00BA0482" w:rsidP="00BA0482">
      <w:pPr>
        <w:pStyle w:val="13"/>
      </w:pPr>
      <w:r>
        <w:rPr>
          <w:rFonts w:hint="eastAsia"/>
        </w:rPr>
        <w:t>（</w:t>
      </w:r>
      <w:r>
        <w:t>2）交易性金融负债票面利率计算、支付的情况。</w:t>
      </w:r>
    </w:p>
    <w:p w14:paraId="6D9EE6CF" w14:textId="054F27C6" w:rsidR="00BA0482" w:rsidRDefault="00BA0482" w:rsidP="00BA0482">
      <w:pPr>
        <w:pStyle w:val="13"/>
      </w:pPr>
      <w:r>
        <w:rPr>
          <w:rFonts w:hint="eastAsia"/>
        </w:rPr>
        <w:t>（</w:t>
      </w:r>
      <w:r>
        <w:t>3）承担的交易性金融负债的公允价值的形成。</w:t>
      </w:r>
    </w:p>
    <w:p w14:paraId="04098924" w14:textId="51B5716B" w:rsidR="00BA0482" w:rsidRDefault="00BA0482" w:rsidP="00BA0482">
      <w:pPr>
        <w:pStyle w:val="13"/>
      </w:pPr>
      <w:r>
        <w:rPr>
          <w:rFonts w:hint="eastAsia"/>
        </w:rPr>
        <w:t>（</w:t>
      </w:r>
      <w:r>
        <w:t>4）交易性金融负债公允价值与评估价值类型的一致性，说明评估值确定的方法和结论。</w:t>
      </w:r>
    </w:p>
    <w:p w14:paraId="7CDED9F4" w14:textId="77777777" w:rsidR="00BA0482" w:rsidRDefault="00BA0482" w:rsidP="00BA0482">
      <w:pPr>
        <w:pStyle w:val="13"/>
      </w:pPr>
      <w:r>
        <w:t>27、应付票据</w:t>
      </w:r>
    </w:p>
    <w:p w14:paraId="0C5C6878" w14:textId="48B59BCA" w:rsidR="00BA0482" w:rsidRDefault="00BA0482" w:rsidP="00BA0482">
      <w:pPr>
        <w:pStyle w:val="13"/>
      </w:pPr>
      <w:r>
        <w:rPr>
          <w:rFonts w:hint="eastAsia"/>
        </w:rPr>
        <w:t>（</w:t>
      </w:r>
      <w:r>
        <w:t>1）应付票据的种类（银行承兑、商业承兑）、签发日、到期日。</w:t>
      </w:r>
    </w:p>
    <w:p w14:paraId="3A536E5D" w14:textId="7A266B72" w:rsidR="00BA0482" w:rsidRDefault="00BA0482" w:rsidP="00BA0482">
      <w:pPr>
        <w:pStyle w:val="13"/>
      </w:pPr>
      <w:r>
        <w:rPr>
          <w:rFonts w:hint="eastAsia"/>
        </w:rPr>
        <w:t>（</w:t>
      </w:r>
      <w:r>
        <w:t>2）应付票据核实的方法和结论。</w:t>
      </w:r>
    </w:p>
    <w:p w14:paraId="2DBDB270" w14:textId="2EF4F72A" w:rsidR="00BA0482" w:rsidRDefault="00BA0482" w:rsidP="00BA0482">
      <w:pPr>
        <w:pStyle w:val="13"/>
      </w:pPr>
      <w:r>
        <w:rPr>
          <w:rFonts w:hint="eastAsia"/>
        </w:rPr>
        <w:t>（</w:t>
      </w:r>
      <w:r>
        <w:t>3）带息票据，应当说明利息计息、支付情况，并说明已考虑利息支付对评估值的影响。</w:t>
      </w:r>
    </w:p>
    <w:p w14:paraId="6173458E" w14:textId="77777777" w:rsidR="00BA0482" w:rsidRDefault="00BA0482" w:rsidP="00BA0482">
      <w:pPr>
        <w:pStyle w:val="13"/>
      </w:pPr>
      <w:r>
        <w:lastRenderedPageBreak/>
        <w:t>28、应付账款、预收账款和其他应付款</w:t>
      </w:r>
    </w:p>
    <w:p w14:paraId="1E4054BF" w14:textId="06BADEC0" w:rsidR="00BA0482" w:rsidRDefault="00BA0482" w:rsidP="00BA0482">
      <w:pPr>
        <w:pStyle w:val="13"/>
      </w:pPr>
      <w:r>
        <w:rPr>
          <w:rFonts w:hint="eastAsia"/>
        </w:rPr>
        <w:t>（</w:t>
      </w:r>
      <w:r>
        <w:t>1）应付账款、预收账款和其他应付款的主要业务内容、发生日期。</w:t>
      </w:r>
    </w:p>
    <w:p w14:paraId="24FFD60A" w14:textId="4A003315" w:rsidR="00BA0482" w:rsidRDefault="00BA0482" w:rsidP="00BA0482">
      <w:pPr>
        <w:pStyle w:val="13"/>
      </w:pPr>
      <w:r>
        <w:rPr>
          <w:rFonts w:hint="eastAsia"/>
        </w:rPr>
        <w:t>（</w:t>
      </w:r>
      <w:r>
        <w:t>2）应付账款、预收账款和其他应付款核实的方法和结论。</w:t>
      </w:r>
    </w:p>
    <w:p w14:paraId="05C30F62" w14:textId="5BAEB7E8" w:rsidR="00BA0482" w:rsidRDefault="00BA0482" w:rsidP="00BA0482">
      <w:pPr>
        <w:pStyle w:val="13"/>
      </w:pPr>
      <w:r>
        <w:rPr>
          <w:rFonts w:hint="eastAsia"/>
        </w:rPr>
        <w:t>（</w:t>
      </w:r>
      <w:r>
        <w:t>3）对于无需支付的应付账款、预收账款和其他应付款，应当说明依据和理由。</w:t>
      </w:r>
    </w:p>
    <w:p w14:paraId="2731DC99" w14:textId="77777777" w:rsidR="00BA0482" w:rsidRDefault="00BA0482" w:rsidP="00BA0482">
      <w:pPr>
        <w:pStyle w:val="13"/>
      </w:pPr>
      <w:r>
        <w:t>29、应付职工薪</w:t>
      </w:r>
      <w:proofErr w:type="gramStart"/>
      <w:r>
        <w:t>酬</w:t>
      </w:r>
      <w:proofErr w:type="gramEnd"/>
    </w:p>
    <w:p w14:paraId="3EE8A3B0" w14:textId="04A6DB83" w:rsidR="00BA0482" w:rsidRDefault="00BA0482" w:rsidP="00BA0482">
      <w:pPr>
        <w:pStyle w:val="13"/>
      </w:pPr>
      <w:r>
        <w:rPr>
          <w:rFonts w:hint="eastAsia"/>
        </w:rPr>
        <w:t>（</w:t>
      </w:r>
      <w:r>
        <w:t>1）应付职工薪酬的内容（包括工资、职工福利、社会保险费、住房公积金、工会经费、职工教育经费、非货币性福利、辞退福利、股份支付、按规定从净利润中提取的职工奖励及福利基金等）和对应金额等。</w:t>
      </w:r>
    </w:p>
    <w:p w14:paraId="7DDC6310" w14:textId="103FDF59" w:rsidR="00BA0482" w:rsidRDefault="00BA0482" w:rsidP="00BA0482">
      <w:pPr>
        <w:pStyle w:val="13"/>
      </w:pPr>
      <w:r>
        <w:rPr>
          <w:rFonts w:hint="eastAsia"/>
        </w:rPr>
        <w:t>（</w:t>
      </w:r>
      <w:r>
        <w:t>2）被评估单位相关职工薪</w:t>
      </w:r>
      <w:proofErr w:type="gramStart"/>
      <w:r>
        <w:t>酬</w:t>
      </w:r>
      <w:proofErr w:type="gramEnd"/>
      <w:r>
        <w:t>政策。</w:t>
      </w:r>
    </w:p>
    <w:p w14:paraId="0AD14BA3" w14:textId="7D6819FE" w:rsidR="00BA0482" w:rsidRDefault="00BA0482" w:rsidP="00BA0482">
      <w:pPr>
        <w:pStyle w:val="13"/>
      </w:pPr>
      <w:r>
        <w:rPr>
          <w:rFonts w:hint="eastAsia"/>
        </w:rPr>
        <w:t>（</w:t>
      </w:r>
      <w:r>
        <w:t>3）工资、职工福利、社会保险费、住房公积金、工会经费、职工教育经费、非货币性福利、辞退福利、股份支付、按规定从净利润中提取的职工奖励及福利基金等的计提、发放或者使用核实的方法和结论。</w:t>
      </w:r>
    </w:p>
    <w:p w14:paraId="1A4F5235" w14:textId="1DBA1C1D" w:rsidR="00BA0482" w:rsidRDefault="00BA0482" w:rsidP="00BA0482">
      <w:pPr>
        <w:pStyle w:val="13"/>
      </w:pPr>
      <w:r>
        <w:rPr>
          <w:rFonts w:hint="eastAsia"/>
        </w:rPr>
        <w:t>（</w:t>
      </w:r>
      <w:r>
        <w:t>4）对于无需支付的职工薪酬，应当说明依据和理由。</w:t>
      </w:r>
    </w:p>
    <w:p w14:paraId="70117240" w14:textId="77777777" w:rsidR="00BA0482" w:rsidRDefault="00BA0482" w:rsidP="00BA0482">
      <w:pPr>
        <w:pStyle w:val="13"/>
      </w:pPr>
      <w:r>
        <w:t>30、应交税费</w:t>
      </w:r>
    </w:p>
    <w:p w14:paraId="6858E786" w14:textId="07D53B50" w:rsidR="00BA0482" w:rsidRDefault="00BA0482" w:rsidP="00BA0482">
      <w:pPr>
        <w:pStyle w:val="13"/>
      </w:pPr>
      <w:r>
        <w:rPr>
          <w:rFonts w:hint="eastAsia"/>
        </w:rPr>
        <w:t>（</w:t>
      </w:r>
      <w:r>
        <w:t>1）应交税费的内容（包括增值税、消费税、营业税、所得税、资源税、土地增值税、城市维护建设税、房产税、土地使用税、车船使用税、教育费附加、矿产资源补偿费、企业代扣代交的个人所得税等）和对应金额。</w:t>
      </w:r>
    </w:p>
    <w:p w14:paraId="35B6FDA3" w14:textId="1A511713" w:rsidR="00BA0482" w:rsidRDefault="00BA0482" w:rsidP="00BA0482">
      <w:pPr>
        <w:pStyle w:val="13"/>
      </w:pPr>
      <w:r>
        <w:rPr>
          <w:rFonts w:hint="eastAsia"/>
        </w:rPr>
        <w:t>（</w:t>
      </w:r>
      <w:r>
        <w:t>2）被评估单位相关的税负政策，说明被评估单位所享有的优惠税收政策，享有优惠政策的期限和批准单位等。</w:t>
      </w:r>
    </w:p>
    <w:p w14:paraId="482D16A7" w14:textId="33EEF16B" w:rsidR="00BA0482" w:rsidRDefault="00BA0482" w:rsidP="00BA0482">
      <w:pPr>
        <w:pStyle w:val="13"/>
      </w:pPr>
      <w:r>
        <w:rPr>
          <w:rFonts w:hint="eastAsia"/>
        </w:rPr>
        <w:t>（</w:t>
      </w:r>
      <w:r>
        <w:t>3）应交税费核实的方法和结论。</w:t>
      </w:r>
    </w:p>
    <w:p w14:paraId="04CAE69A" w14:textId="70B07494" w:rsidR="00BA0482" w:rsidRDefault="00BA0482" w:rsidP="00BA0482">
      <w:pPr>
        <w:pStyle w:val="13"/>
      </w:pPr>
      <w:r>
        <w:rPr>
          <w:rFonts w:hint="eastAsia"/>
        </w:rPr>
        <w:t>（</w:t>
      </w:r>
      <w:r>
        <w:t>4）说明借方余额的原因及评估方法。</w:t>
      </w:r>
    </w:p>
    <w:p w14:paraId="76FD64EE" w14:textId="77777777" w:rsidR="00BA0482" w:rsidRDefault="00BA0482" w:rsidP="00BA0482">
      <w:pPr>
        <w:pStyle w:val="13"/>
      </w:pPr>
      <w:r>
        <w:t>31、应付利息</w:t>
      </w:r>
    </w:p>
    <w:p w14:paraId="7215E722" w14:textId="4BBA155C" w:rsidR="00BA0482" w:rsidRDefault="00BA0482" w:rsidP="00BA0482">
      <w:pPr>
        <w:pStyle w:val="13"/>
      </w:pPr>
      <w:r>
        <w:rPr>
          <w:rFonts w:hint="eastAsia"/>
        </w:rPr>
        <w:t>（</w:t>
      </w:r>
      <w:r>
        <w:t>1）应付利息的内容（包括对应的本金、分期付息到期还本的长期借款、企业债券等应支付的利息等）、金额等。</w:t>
      </w:r>
    </w:p>
    <w:p w14:paraId="4D50FA1D" w14:textId="3CD24636" w:rsidR="00BA0482" w:rsidRDefault="00BA0482" w:rsidP="00BA0482">
      <w:pPr>
        <w:pStyle w:val="13"/>
      </w:pPr>
      <w:r>
        <w:rPr>
          <w:rFonts w:hint="eastAsia"/>
        </w:rPr>
        <w:t>（</w:t>
      </w:r>
      <w:r>
        <w:t>2）应付利息核实的方法和结论。</w:t>
      </w:r>
    </w:p>
    <w:p w14:paraId="20C8A757" w14:textId="69DC4CA6" w:rsidR="00BA0482" w:rsidRDefault="00BA0482" w:rsidP="00BA0482">
      <w:pPr>
        <w:pStyle w:val="13"/>
      </w:pPr>
      <w:r>
        <w:rPr>
          <w:rFonts w:hint="eastAsia"/>
        </w:rPr>
        <w:t>（</w:t>
      </w:r>
      <w:r>
        <w:t>3）按合同利率或者实际利率计算确定应付未付利息的过程和结论。</w:t>
      </w:r>
    </w:p>
    <w:p w14:paraId="4CC87F00" w14:textId="77777777" w:rsidR="00BA0482" w:rsidRDefault="00BA0482" w:rsidP="00BA0482">
      <w:pPr>
        <w:pStyle w:val="13"/>
      </w:pPr>
      <w:r>
        <w:t>32、应付股利（应付利润）</w:t>
      </w:r>
    </w:p>
    <w:p w14:paraId="42BCFBC1" w14:textId="43755DA3" w:rsidR="00BA0482" w:rsidRDefault="00BA0482" w:rsidP="00BA0482">
      <w:pPr>
        <w:pStyle w:val="13"/>
      </w:pPr>
      <w:r>
        <w:rPr>
          <w:rFonts w:hint="eastAsia"/>
        </w:rPr>
        <w:t>（</w:t>
      </w:r>
      <w:r>
        <w:t>1）应付股利发生的期限和金额。</w:t>
      </w:r>
    </w:p>
    <w:p w14:paraId="6712E7B0" w14:textId="08960E2F" w:rsidR="00BA0482" w:rsidRDefault="00BA0482" w:rsidP="00BA0482">
      <w:pPr>
        <w:pStyle w:val="13"/>
      </w:pPr>
      <w:r>
        <w:rPr>
          <w:rFonts w:hint="eastAsia"/>
        </w:rPr>
        <w:t>（</w:t>
      </w:r>
      <w:r>
        <w:t>2）应付股利的核实内容（被评估单位股利或者利润分配政策、相关应付股利分配的文件的核实情况）和方法。</w:t>
      </w:r>
    </w:p>
    <w:p w14:paraId="5B4F3D34" w14:textId="7FAADDFD" w:rsidR="00BA0482" w:rsidRDefault="00BA0482" w:rsidP="00BA0482">
      <w:pPr>
        <w:pStyle w:val="13"/>
      </w:pPr>
      <w:r>
        <w:rPr>
          <w:rFonts w:hint="eastAsia"/>
        </w:rPr>
        <w:t>（</w:t>
      </w:r>
      <w:r>
        <w:t>3）对于长期未付的（应付股利），应当说明原因，并说明是否考虑可能需要支付逾期利息对企业负债增加的因素。</w:t>
      </w:r>
    </w:p>
    <w:p w14:paraId="09EBCDCF" w14:textId="59132699" w:rsidR="00BA0482" w:rsidRDefault="00BA0482" w:rsidP="00BA0482">
      <w:pPr>
        <w:pStyle w:val="13"/>
      </w:pPr>
      <w:r>
        <w:rPr>
          <w:rFonts w:hint="eastAsia"/>
        </w:rPr>
        <w:t>（</w:t>
      </w:r>
      <w:r>
        <w:t>4）应付股利评估值的确定方法和结论。</w:t>
      </w:r>
    </w:p>
    <w:p w14:paraId="3643307A" w14:textId="4EBCA6CE" w:rsidR="00BA0482" w:rsidRDefault="00BA0482" w:rsidP="00BA0482">
      <w:pPr>
        <w:pStyle w:val="13"/>
      </w:pPr>
      <w:r>
        <w:rPr>
          <w:rFonts w:hint="eastAsia"/>
        </w:rPr>
        <w:t>（</w:t>
      </w:r>
      <w:r>
        <w:t>5）董事会或者类似机构通过的利润分配方案中拟分配的现金股利或者利润，</w:t>
      </w:r>
      <w:r>
        <w:lastRenderedPageBreak/>
        <w:t>尽管账面未记录，但应当特别说明根据会计附注披露的内容可能对企业价值的影响。</w:t>
      </w:r>
    </w:p>
    <w:p w14:paraId="4AA78D97" w14:textId="77777777" w:rsidR="00BA0482" w:rsidRDefault="00BA0482" w:rsidP="00BA0482">
      <w:pPr>
        <w:pStyle w:val="13"/>
      </w:pPr>
      <w:r>
        <w:t>33、一年内到期的非流动负债</w:t>
      </w:r>
    </w:p>
    <w:p w14:paraId="18EFA875" w14:textId="365803E7" w:rsidR="00BA0482" w:rsidRDefault="00BA0482" w:rsidP="00BA0482">
      <w:pPr>
        <w:pStyle w:val="13"/>
      </w:pPr>
      <w:r>
        <w:rPr>
          <w:rFonts w:hint="eastAsia"/>
        </w:rPr>
        <w:t>（</w:t>
      </w:r>
      <w:r>
        <w:t>1）一年内到期的非流动负债的内容和金额。</w:t>
      </w:r>
    </w:p>
    <w:p w14:paraId="3D1E58BC" w14:textId="699A914D" w:rsidR="00BA0482" w:rsidRDefault="00BA0482" w:rsidP="00BA0482">
      <w:pPr>
        <w:pStyle w:val="13"/>
      </w:pPr>
      <w:r>
        <w:rPr>
          <w:rFonts w:hint="eastAsia"/>
        </w:rPr>
        <w:t>（</w:t>
      </w:r>
      <w:r>
        <w:t>2）一年内到期的非流动负债核实的方法和结论。</w:t>
      </w:r>
    </w:p>
    <w:p w14:paraId="503F0208" w14:textId="69C535C0" w:rsidR="00BA0482" w:rsidRDefault="00BA0482" w:rsidP="00BA0482">
      <w:pPr>
        <w:pStyle w:val="13"/>
      </w:pPr>
      <w:r>
        <w:rPr>
          <w:rFonts w:hint="eastAsia"/>
        </w:rPr>
        <w:t>（</w:t>
      </w:r>
      <w:r>
        <w:t>3）一年内到期的非流动负债评估值确定的方法和结论。</w:t>
      </w:r>
    </w:p>
    <w:p w14:paraId="1C3DCFAA" w14:textId="77777777" w:rsidR="00BA0482" w:rsidRDefault="00BA0482" w:rsidP="00BA0482">
      <w:pPr>
        <w:pStyle w:val="13"/>
      </w:pPr>
      <w:r>
        <w:t>34、其他流动负债</w:t>
      </w:r>
    </w:p>
    <w:p w14:paraId="0A546FAC" w14:textId="4DABED7A" w:rsidR="00BA0482" w:rsidRDefault="00BA0482" w:rsidP="00BA0482">
      <w:pPr>
        <w:pStyle w:val="13"/>
      </w:pPr>
      <w:r>
        <w:rPr>
          <w:rFonts w:hint="eastAsia"/>
        </w:rPr>
        <w:t>（</w:t>
      </w:r>
      <w:r>
        <w:t>1）其他流动负债的内容和金额。</w:t>
      </w:r>
    </w:p>
    <w:p w14:paraId="644CD4D3" w14:textId="57C23C48" w:rsidR="00BA0482" w:rsidRDefault="00BA0482" w:rsidP="00BA0482">
      <w:pPr>
        <w:pStyle w:val="13"/>
      </w:pPr>
      <w:r>
        <w:rPr>
          <w:rFonts w:hint="eastAsia"/>
        </w:rPr>
        <w:t>（</w:t>
      </w:r>
      <w:r>
        <w:t>2）其他流动负债核实的方法和结论。</w:t>
      </w:r>
    </w:p>
    <w:p w14:paraId="728D9D75" w14:textId="518F83A0" w:rsidR="00BA0482" w:rsidRDefault="00BA0482" w:rsidP="00BA0482">
      <w:pPr>
        <w:pStyle w:val="13"/>
      </w:pPr>
      <w:r>
        <w:rPr>
          <w:rFonts w:hint="eastAsia"/>
        </w:rPr>
        <w:t>（</w:t>
      </w:r>
      <w:r>
        <w:t>3）其他流动负债评估值确定的方法和结论。</w:t>
      </w:r>
    </w:p>
    <w:p w14:paraId="3DDE868B" w14:textId="77777777" w:rsidR="00BA0482" w:rsidRDefault="00BA0482" w:rsidP="00BA0482">
      <w:pPr>
        <w:pStyle w:val="13"/>
      </w:pPr>
      <w:r>
        <w:t>35、长期借款</w:t>
      </w:r>
    </w:p>
    <w:p w14:paraId="1CDC51D9" w14:textId="09B9796E" w:rsidR="00BA0482" w:rsidRDefault="00BA0482" w:rsidP="00BA0482">
      <w:pPr>
        <w:pStyle w:val="13"/>
      </w:pPr>
      <w:r>
        <w:rPr>
          <w:rFonts w:hint="eastAsia"/>
        </w:rPr>
        <w:t>（</w:t>
      </w:r>
      <w:r>
        <w:t>1）借款的金额、发生日期、放贷银行名称、还款期限和贷款利率以及抵（质） 押情况。</w:t>
      </w:r>
    </w:p>
    <w:p w14:paraId="4B3CB305" w14:textId="2B741E72" w:rsidR="00BA0482" w:rsidRDefault="00BA0482" w:rsidP="00BA0482">
      <w:pPr>
        <w:pStyle w:val="13"/>
      </w:pPr>
      <w:r>
        <w:rPr>
          <w:rFonts w:hint="eastAsia"/>
        </w:rPr>
        <w:t>（</w:t>
      </w:r>
      <w:r>
        <w:t>2）对借款</w:t>
      </w:r>
      <w:proofErr w:type="gramStart"/>
      <w:r>
        <w:t>的函证情况</w:t>
      </w:r>
      <w:proofErr w:type="gramEnd"/>
      <w:r>
        <w:t>。</w:t>
      </w:r>
    </w:p>
    <w:p w14:paraId="72ACA1B4" w14:textId="20C0B8B5" w:rsidR="00BA0482" w:rsidRDefault="00BA0482" w:rsidP="00BA0482">
      <w:pPr>
        <w:pStyle w:val="13"/>
      </w:pPr>
      <w:r>
        <w:rPr>
          <w:rFonts w:hint="eastAsia"/>
        </w:rPr>
        <w:t>（</w:t>
      </w:r>
      <w:r>
        <w:t>3）长期借款评估值的确定方法和结论。</w:t>
      </w:r>
    </w:p>
    <w:p w14:paraId="63C45CE4" w14:textId="1C7AC190" w:rsidR="00BA0482" w:rsidRDefault="00BA0482" w:rsidP="00BA0482">
      <w:pPr>
        <w:pStyle w:val="13"/>
      </w:pPr>
      <w:r>
        <w:rPr>
          <w:rFonts w:hint="eastAsia"/>
        </w:rPr>
        <w:t>（</w:t>
      </w:r>
      <w:r>
        <w:t>4）利率水平、结算方式和结算时间对评估结论的影响。</w:t>
      </w:r>
    </w:p>
    <w:p w14:paraId="7F2C833F" w14:textId="77777777" w:rsidR="00BA0482" w:rsidRDefault="00BA0482" w:rsidP="00BA0482">
      <w:pPr>
        <w:pStyle w:val="13"/>
      </w:pPr>
      <w:r>
        <w:t>36、应付债券</w:t>
      </w:r>
    </w:p>
    <w:p w14:paraId="69B401B8" w14:textId="2C606191" w:rsidR="00BA0482" w:rsidRDefault="00BA0482" w:rsidP="00BA0482">
      <w:pPr>
        <w:pStyle w:val="13"/>
      </w:pPr>
      <w:r>
        <w:rPr>
          <w:rFonts w:hint="eastAsia"/>
        </w:rPr>
        <w:t>（</w:t>
      </w:r>
      <w:r>
        <w:t>1）应付债券的种类（分期付息一次还本的债券、一次还本付息的债券等）、票面金额、债券票面利率、还本付息期限与方式、发行总额、发行日期和编号、委托代售单位、转换股份等情况。</w:t>
      </w:r>
    </w:p>
    <w:p w14:paraId="65214884" w14:textId="088BD09F" w:rsidR="00BA0482" w:rsidRDefault="00BA0482" w:rsidP="00BA0482">
      <w:pPr>
        <w:pStyle w:val="13"/>
      </w:pPr>
      <w:r>
        <w:rPr>
          <w:rFonts w:hint="eastAsia"/>
        </w:rPr>
        <w:t>（</w:t>
      </w:r>
      <w:r>
        <w:t>2）应付债券核实的方法和结论。对可转换公司债</w:t>
      </w:r>
      <w:proofErr w:type="gramStart"/>
      <w:r>
        <w:t>券</w:t>
      </w:r>
      <w:proofErr w:type="gramEnd"/>
      <w:r>
        <w:t>，应当说明应付债券为该项可转换公司债</w:t>
      </w:r>
      <w:proofErr w:type="gramStart"/>
      <w:r>
        <w:t>券</w:t>
      </w:r>
      <w:proofErr w:type="gramEnd"/>
      <w:r>
        <w:t>包含的负债成份。</w:t>
      </w:r>
    </w:p>
    <w:p w14:paraId="48E7CDFD" w14:textId="76CF082D" w:rsidR="00BA0482" w:rsidRDefault="00BA0482" w:rsidP="00BA0482">
      <w:pPr>
        <w:pStyle w:val="13"/>
      </w:pPr>
      <w:r>
        <w:rPr>
          <w:rFonts w:hint="eastAsia"/>
        </w:rPr>
        <w:t>（</w:t>
      </w:r>
      <w:r>
        <w:t>3）说明是否考虑可能需要支付逾期利息对企业负债增加的因素。</w:t>
      </w:r>
    </w:p>
    <w:p w14:paraId="7FD63B2C" w14:textId="7F798AD3" w:rsidR="00BA0482" w:rsidRDefault="00BA0482" w:rsidP="00BA0482">
      <w:pPr>
        <w:pStyle w:val="13"/>
      </w:pPr>
      <w:r>
        <w:rPr>
          <w:rFonts w:hint="eastAsia"/>
        </w:rPr>
        <w:t>（</w:t>
      </w:r>
      <w:r>
        <w:t>4）说明是否存在按票面利率计算确定的应付未付利息与</w:t>
      </w:r>
      <w:proofErr w:type="gramStart"/>
      <w:r>
        <w:t>按摊余成本</w:t>
      </w:r>
      <w:proofErr w:type="gramEnd"/>
      <w:r>
        <w:t>和实际利率计算确定的债券利息费用的差额，以及评估值确定的方法。</w:t>
      </w:r>
    </w:p>
    <w:p w14:paraId="58A90623" w14:textId="74CFB0D1" w:rsidR="00BA0482" w:rsidRDefault="00BA0482" w:rsidP="00BA0482">
      <w:pPr>
        <w:pStyle w:val="13"/>
      </w:pPr>
      <w:r>
        <w:rPr>
          <w:rFonts w:hint="eastAsia"/>
        </w:rPr>
        <w:t>（</w:t>
      </w:r>
      <w:r>
        <w:t>5）可转换公司债</w:t>
      </w:r>
      <w:proofErr w:type="gramStart"/>
      <w:r>
        <w:t>券</w:t>
      </w:r>
      <w:proofErr w:type="gramEnd"/>
      <w:r>
        <w:t>评估值确定的方法和结论。</w:t>
      </w:r>
    </w:p>
    <w:p w14:paraId="675D4FFE" w14:textId="77777777" w:rsidR="00BA0482" w:rsidRDefault="00BA0482" w:rsidP="00BA0482">
      <w:pPr>
        <w:pStyle w:val="13"/>
      </w:pPr>
      <w:r>
        <w:t>37、长期应付款</w:t>
      </w:r>
    </w:p>
    <w:p w14:paraId="01D2B6F8" w14:textId="5EBF3EFB" w:rsidR="00BA0482" w:rsidRDefault="00BA0482" w:rsidP="00BA0482">
      <w:pPr>
        <w:pStyle w:val="13"/>
      </w:pPr>
      <w:r>
        <w:rPr>
          <w:rFonts w:hint="eastAsia"/>
        </w:rPr>
        <w:t>（</w:t>
      </w:r>
      <w:r>
        <w:t>1）长期应付款的种类（应付融资租入固定资产的租赁费、以分期付款方式购入固定资产等发生的应付款项等）、发生日期和金额、约定的还款期限、方式等。</w:t>
      </w:r>
    </w:p>
    <w:p w14:paraId="0BC1E698" w14:textId="69E0032A" w:rsidR="00BA0482" w:rsidRDefault="00BA0482" w:rsidP="00BA0482">
      <w:pPr>
        <w:pStyle w:val="13"/>
      </w:pPr>
      <w:r>
        <w:rPr>
          <w:rFonts w:hint="eastAsia"/>
        </w:rPr>
        <w:t>（</w:t>
      </w:r>
      <w:r>
        <w:t>2）长期应付款核实的方法和结论。</w:t>
      </w:r>
    </w:p>
    <w:p w14:paraId="28B805ED" w14:textId="51E6563F" w:rsidR="00BA0482" w:rsidRDefault="00BA0482" w:rsidP="00BA0482">
      <w:pPr>
        <w:pStyle w:val="13"/>
      </w:pPr>
      <w:r>
        <w:rPr>
          <w:rFonts w:hint="eastAsia"/>
        </w:rPr>
        <w:t>（</w:t>
      </w:r>
      <w:r>
        <w:t>3）长期应付款评估值确定的方法和结论。</w:t>
      </w:r>
    </w:p>
    <w:p w14:paraId="36C8221E" w14:textId="77777777" w:rsidR="00BA0482" w:rsidRDefault="00BA0482" w:rsidP="00BA0482">
      <w:pPr>
        <w:pStyle w:val="13"/>
      </w:pPr>
      <w:r>
        <w:t>38、专项应付款</w:t>
      </w:r>
    </w:p>
    <w:p w14:paraId="36D19900" w14:textId="0C878F9F" w:rsidR="00BA0482" w:rsidRDefault="00BA0482" w:rsidP="00BA0482">
      <w:pPr>
        <w:pStyle w:val="13"/>
      </w:pPr>
      <w:r>
        <w:rPr>
          <w:rFonts w:hint="eastAsia"/>
        </w:rPr>
        <w:t>（</w:t>
      </w:r>
      <w:r>
        <w:t>1）专项应付</w:t>
      </w:r>
      <w:proofErr w:type="gramStart"/>
      <w:r>
        <w:t>款形成</w:t>
      </w:r>
      <w:proofErr w:type="gramEnd"/>
      <w:r>
        <w:t>依据、项目名称、性质（取得政府作为企业所有者投入的具有专项或者特定用途的款项）、内容、约定的验收时间和方式等核实情况。</w:t>
      </w:r>
    </w:p>
    <w:p w14:paraId="21E76AB8" w14:textId="479D8D58" w:rsidR="00BA0482" w:rsidRDefault="00BA0482" w:rsidP="00BA0482">
      <w:pPr>
        <w:pStyle w:val="13"/>
      </w:pPr>
      <w:r>
        <w:rPr>
          <w:rFonts w:hint="eastAsia"/>
        </w:rPr>
        <w:t>（</w:t>
      </w:r>
      <w:r>
        <w:t>2）用于工程项目的专项应付</w:t>
      </w:r>
      <w:proofErr w:type="gramStart"/>
      <w:r>
        <w:t>款资产</w:t>
      </w:r>
      <w:proofErr w:type="gramEnd"/>
      <w:r>
        <w:t>形成的进度情况，不可能形成长期资产需</w:t>
      </w:r>
      <w:r>
        <w:lastRenderedPageBreak/>
        <w:t>要核销的情况。</w:t>
      </w:r>
    </w:p>
    <w:p w14:paraId="45F5E6E4" w14:textId="024446DC" w:rsidR="00BA0482" w:rsidRDefault="00BA0482" w:rsidP="00BA0482">
      <w:pPr>
        <w:pStyle w:val="13"/>
      </w:pPr>
      <w:r>
        <w:rPr>
          <w:rFonts w:hint="eastAsia"/>
        </w:rPr>
        <w:t>（</w:t>
      </w:r>
      <w:r>
        <w:t>3）尚未转销的专项应付款是否为企业真实的负债。</w:t>
      </w:r>
    </w:p>
    <w:p w14:paraId="05A78EB3" w14:textId="77777777" w:rsidR="00BA0482" w:rsidRDefault="00BA0482" w:rsidP="00BA0482">
      <w:pPr>
        <w:pStyle w:val="13"/>
      </w:pPr>
      <w:r>
        <w:t>39、预计负债</w:t>
      </w:r>
    </w:p>
    <w:p w14:paraId="081A22A7" w14:textId="105F09E4" w:rsidR="00BA0482" w:rsidRDefault="00BA0482" w:rsidP="00BA0482">
      <w:pPr>
        <w:pStyle w:val="13"/>
      </w:pPr>
      <w:r>
        <w:rPr>
          <w:rFonts w:hint="eastAsia"/>
        </w:rPr>
        <w:t>（</w:t>
      </w:r>
      <w:r>
        <w:t>1）预计负债的金额和种类（企业确认的对外提供担保、未决诉讼、产品质量保证、重组义务、亏损性合同等）。</w:t>
      </w:r>
    </w:p>
    <w:p w14:paraId="6DB007EE" w14:textId="290B2A80" w:rsidR="00BA0482" w:rsidRDefault="00BA0482" w:rsidP="00BA0482">
      <w:pPr>
        <w:pStyle w:val="13"/>
      </w:pPr>
      <w:r>
        <w:rPr>
          <w:rFonts w:hint="eastAsia"/>
        </w:rPr>
        <w:t>（</w:t>
      </w:r>
      <w:r>
        <w:t>2）预计负债核实的方法和结论。</w:t>
      </w:r>
    </w:p>
    <w:p w14:paraId="152D1632" w14:textId="2C6A4399" w:rsidR="00BA0482" w:rsidRDefault="00BA0482" w:rsidP="00BA0482">
      <w:pPr>
        <w:pStyle w:val="13"/>
      </w:pPr>
      <w:r>
        <w:rPr>
          <w:rFonts w:hint="eastAsia"/>
        </w:rPr>
        <w:t>（</w:t>
      </w:r>
      <w:r>
        <w:t>3）企业确认预计负债的证据以及第三方或者债权人的</w:t>
      </w:r>
      <w:proofErr w:type="gramStart"/>
      <w:r>
        <w:t>询</w:t>
      </w:r>
      <w:proofErr w:type="gramEnd"/>
      <w:r>
        <w:t>证证据等。</w:t>
      </w:r>
    </w:p>
    <w:p w14:paraId="7DB942D1" w14:textId="03B008EC" w:rsidR="00BA0482" w:rsidRDefault="00BA0482" w:rsidP="00BA0482">
      <w:pPr>
        <w:pStyle w:val="13"/>
      </w:pPr>
      <w:r>
        <w:rPr>
          <w:rFonts w:hint="eastAsia"/>
        </w:rPr>
        <w:t>（</w:t>
      </w:r>
      <w:r>
        <w:t>4）预计负债评估值确定的方法和结论。</w:t>
      </w:r>
    </w:p>
    <w:p w14:paraId="47455724" w14:textId="77777777" w:rsidR="00BA0482" w:rsidRDefault="00BA0482" w:rsidP="00BA0482">
      <w:pPr>
        <w:pStyle w:val="13"/>
      </w:pPr>
      <w:r>
        <w:t>40、递延所得税负债</w:t>
      </w:r>
    </w:p>
    <w:p w14:paraId="4A2CECCC" w14:textId="1352EC07" w:rsidR="00BA0482" w:rsidRDefault="00BA0482" w:rsidP="00BA0482">
      <w:pPr>
        <w:pStyle w:val="13"/>
      </w:pPr>
      <w:r>
        <w:rPr>
          <w:rFonts w:hint="eastAsia"/>
        </w:rPr>
        <w:t>（</w:t>
      </w:r>
      <w:r>
        <w:t>1）递延所得税负债的金额、种类和企业确认依据。</w:t>
      </w:r>
    </w:p>
    <w:p w14:paraId="38853D74" w14:textId="70DF9E39" w:rsidR="00BA0482" w:rsidRDefault="00BA0482" w:rsidP="00BA0482">
      <w:pPr>
        <w:pStyle w:val="13"/>
      </w:pPr>
      <w:r>
        <w:rPr>
          <w:rFonts w:hint="eastAsia"/>
        </w:rPr>
        <w:t>（</w:t>
      </w:r>
      <w:r>
        <w:t>2）递延所得税负债核实的方法和结论。</w:t>
      </w:r>
    </w:p>
    <w:p w14:paraId="6A9361D5" w14:textId="4DC5DD6D" w:rsidR="00BA0482" w:rsidRDefault="00BA0482" w:rsidP="00BA0482">
      <w:pPr>
        <w:pStyle w:val="13"/>
      </w:pPr>
      <w:r>
        <w:rPr>
          <w:rFonts w:hint="eastAsia"/>
        </w:rPr>
        <w:t>（</w:t>
      </w:r>
      <w:r>
        <w:t>3）递延所得税负债的具体内容，说明递延所得税负债评估值确定的过程和结论。</w:t>
      </w:r>
    </w:p>
    <w:p w14:paraId="331D084A" w14:textId="77777777" w:rsidR="00BA0482" w:rsidRDefault="00BA0482" w:rsidP="00BA0482">
      <w:pPr>
        <w:pStyle w:val="13"/>
      </w:pPr>
      <w:r>
        <w:t>41、其他非流动负债</w:t>
      </w:r>
    </w:p>
    <w:p w14:paraId="42D18B0C" w14:textId="3ACC8E04" w:rsidR="00BA0482" w:rsidRDefault="00BA0482" w:rsidP="00BA0482">
      <w:pPr>
        <w:pStyle w:val="13"/>
      </w:pPr>
      <w:r>
        <w:rPr>
          <w:rFonts w:hint="eastAsia"/>
        </w:rPr>
        <w:t>（</w:t>
      </w:r>
      <w:r>
        <w:t>1）其他非流动负债的种类、形成原因、企业确认依据等。</w:t>
      </w:r>
    </w:p>
    <w:p w14:paraId="7BD02233" w14:textId="54710D1D" w:rsidR="00BA0482" w:rsidRDefault="00BA0482" w:rsidP="00BA0482">
      <w:pPr>
        <w:pStyle w:val="13"/>
      </w:pPr>
      <w:r>
        <w:rPr>
          <w:rFonts w:hint="eastAsia"/>
        </w:rPr>
        <w:t>（</w:t>
      </w:r>
      <w:r>
        <w:t>2）其他非流动负债核实的方法和结论。</w:t>
      </w:r>
    </w:p>
    <w:p w14:paraId="7ABCEC5E" w14:textId="1010ED53" w:rsidR="00BA0482" w:rsidRDefault="00BA0482" w:rsidP="00BA0482">
      <w:pPr>
        <w:pStyle w:val="13"/>
      </w:pPr>
      <w:r>
        <w:rPr>
          <w:rFonts w:hint="eastAsia"/>
        </w:rPr>
        <w:t>（</w:t>
      </w:r>
      <w:r>
        <w:t>3）其他非流动负债评估值确定的方法和结论。</w:t>
      </w:r>
    </w:p>
    <w:p w14:paraId="3CC4DD71" w14:textId="77777777" w:rsidR="00BA0482" w:rsidRDefault="00BA0482" w:rsidP="00BA0482">
      <w:pPr>
        <w:pStyle w:val="13"/>
      </w:pPr>
      <w:r>
        <w:rPr>
          <w:rFonts w:hint="eastAsia"/>
        </w:rPr>
        <w:t>（二）收益法</w:t>
      </w:r>
    </w:p>
    <w:p w14:paraId="6770054D" w14:textId="77777777" w:rsidR="00BA0482" w:rsidRDefault="00BA0482" w:rsidP="00BA0482">
      <w:pPr>
        <w:pStyle w:val="13"/>
      </w:pPr>
      <w:r>
        <w:rPr>
          <w:rFonts w:hint="eastAsia"/>
        </w:rPr>
        <w:t>采用收益法进行企业价值评估，应当根据行业特点、企业经营方式和所确定的预期收益口径以及评估的其他具体情况等，确定评估技术说明的编写内容。一般编写内容指引如下。</w:t>
      </w:r>
    </w:p>
    <w:p w14:paraId="4F883F3A" w14:textId="77777777" w:rsidR="00BA0482" w:rsidRDefault="00BA0482" w:rsidP="00BA0482">
      <w:pPr>
        <w:pStyle w:val="13"/>
      </w:pPr>
      <w:r>
        <w:t>1、说明评估对象，即企业整体价值、股东全部权益和股东部分权益。</w:t>
      </w:r>
    </w:p>
    <w:p w14:paraId="38EE6F42" w14:textId="77777777" w:rsidR="00BA0482" w:rsidRDefault="00BA0482" w:rsidP="00BA0482">
      <w:pPr>
        <w:pStyle w:val="13"/>
      </w:pPr>
      <w:r>
        <w:t>2、收益法的应用前提及选择的理由和依据</w:t>
      </w:r>
    </w:p>
    <w:p w14:paraId="2E2F12FD" w14:textId="746D502E" w:rsidR="00BA0482" w:rsidRDefault="00BA0482" w:rsidP="00BA0482">
      <w:pPr>
        <w:pStyle w:val="13"/>
      </w:pPr>
      <w:r>
        <w:rPr>
          <w:rFonts w:hint="eastAsia"/>
        </w:rPr>
        <w:t>（</w:t>
      </w:r>
      <w:r>
        <w:t>1）收益法的定义和原理。</w:t>
      </w:r>
    </w:p>
    <w:p w14:paraId="5EF84FD8" w14:textId="20A9FC69" w:rsidR="00BA0482" w:rsidRDefault="00BA0482" w:rsidP="00BA0482">
      <w:pPr>
        <w:pStyle w:val="13"/>
      </w:pPr>
      <w:r>
        <w:rPr>
          <w:rFonts w:hint="eastAsia"/>
        </w:rPr>
        <w:t>（</w:t>
      </w:r>
      <w:r>
        <w:t>2）收益法的应用前提。</w:t>
      </w:r>
    </w:p>
    <w:p w14:paraId="771C0CCC" w14:textId="3444F9D3" w:rsidR="00BA0482" w:rsidRDefault="00BA0482" w:rsidP="00BA0482">
      <w:pPr>
        <w:pStyle w:val="13"/>
      </w:pPr>
      <w:r>
        <w:rPr>
          <w:rFonts w:hint="eastAsia"/>
        </w:rPr>
        <w:t>（</w:t>
      </w:r>
      <w:r>
        <w:t>3）收益法选择的理由和依据。</w:t>
      </w:r>
    </w:p>
    <w:p w14:paraId="0A23ED91" w14:textId="77777777" w:rsidR="00BA0482" w:rsidRDefault="00BA0482" w:rsidP="00BA0482">
      <w:pPr>
        <w:pStyle w:val="13"/>
      </w:pPr>
      <w:r>
        <w:t>3、收益预测的假设条件</w:t>
      </w:r>
    </w:p>
    <w:p w14:paraId="1F5D861B" w14:textId="77777777" w:rsidR="00BA0482" w:rsidRDefault="00BA0482" w:rsidP="00BA0482">
      <w:pPr>
        <w:pStyle w:val="13"/>
      </w:pPr>
      <w:r>
        <w:rPr>
          <w:rFonts w:hint="eastAsia"/>
        </w:rPr>
        <w:t>收益预测的假设条件应当结合评估业务的具体情况确定。一般包括：</w:t>
      </w:r>
    </w:p>
    <w:p w14:paraId="61EE76A6" w14:textId="5530D789" w:rsidR="00BA0482" w:rsidRDefault="00BA0482" w:rsidP="00BA0482">
      <w:pPr>
        <w:pStyle w:val="13"/>
      </w:pPr>
      <w:r>
        <w:rPr>
          <w:rFonts w:hint="eastAsia"/>
        </w:rPr>
        <w:t>（</w:t>
      </w:r>
      <w:r>
        <w:t>1）国家现行的有关法律法规及政策、国家宏观经济形势无重大变化，本次交易各方所处地区的政治、经济和社会环境无重大变化。</w:t>
      </w:r>
    </w:p>
    <w:p w14:paraId="144AAB07" w14:textId="4DC99256" w:rsidR="00BA0482" w:rsidRDefault="00BA0482" w:rsidP="00BA0482">
      <w:pPr>
        <w:pStyle w:val="13"/>
      </w:pPr>
      <w:r>
        <w:rPr>
          <w:rFonts w:hint="eastAsia"/>
        </w:rPr>
        <w:t>（</w:t>
      </w:r>
      <w:r>
        <w:t>2）针对评估基准</w:t>
      </w:r>
      <w:proofErr w:type="gramStart"/>
      <w:r>
        <w:t>日资产</w:t>
      </w:r>
      <w:proofErr w:type="gramEnd"/>
      <w:r>
        <w:t>的实际状况，假设企业持续经营。</w:t>
      </w:r>
    </w:p>
    <w:p w14:paraId="0F8FF487" w14:textId="48FFD8D7" w:rsidR="00BA0482" w:rsidRDefault="00BA0482" w:rsidP="00BA0482">
      <w:pPr>
        <w:pStyle w:val="13"/>
      </w:pPr>
      <w:r>
        <w:rPr>
          <w:rFonts w:hint="eastAsia"/>
        </w:rPr>
        <w:t>（</w:t>
      </w:r>
      <w:r>
        <w:t>3）假设公司的经营者是负责的，并且公司管理层有能力担当其职务。</w:t>
      </w:r>
    </w:p>
    <w:p w14:paraId="20A48F60" w14:textId="1A2E83A7" w:rsidR="00BA0482" w:rsidRDefault="00BA0482" w:rsidP="00BA0482">
      <w:pPr>
        <w:pStyle w:val="13"/>
      </w:pPr>
      <w:r>
        <w:rPr>
          <w:rFonts w:hint="eastAsia"/>
        </w:rPr>
        <w:t>（</w:t>
      </w:r>
      <w:r>
        <w:t>4）除非另有说明，假设公司完全遵守所有有关的法律法规。</w:t>
      </w:r>
    </w:p>
    <w:p w14:paraId="641D0F6B" w14:textId="057D6574" w:rsidR="00BA0482" w:rsidRDefault="00BA0482" w:rsidP="00BA0482">
      <w:pPr>
        <w:pStyle w:val="13"/>
      </w:pPr>
      <w:r>
        <w:rPr>
          <w:rFonts w:hint="eastAsia"/>
        </w:rPr>
        <w:t>（</w:t>
      </w:r>
      <w:r>
        <w:t>5）假设公司未来将采取的会计政策和编写此份报告时所采用的会计政策在重</w:t>
      </w:r>
      <w:r>
        <w:lastRenderedPageBreak/>
        <w:t>要方面基本一致。</w:t>
      </w:r>
    </w:p>
    <w:p w14:paraId="49E568E4" w14:textId="36A9C711" w:rsidR="00BA0482" w:rsidRDefault="00BA0482" w:rsidP="00BA0482">
      <w:pPr>
        <w:pStyle w:val="13"/>
      </w:pPr>
      <w:r>
        <w:rPr>
          <w:rFonts w:hint="eastAsia"/>
        </w:rPr>
        <w:t>（</w:t>
      </w:r>
      <w:r>
        <w:t>6）假设公司在现有的管理方式和管理水平的基础上，经营范围、方式与目前方向保持一致。</w:t>
      </w:r>
    </w:p>
    <w:p w14:paraId="00F5D7B0" w14:textId="2A46AC4C" w:rsidR="00BA0482" w:rsidRDefault="00BA0482" w:rsidP="00BA0482">
      <w:pPr>
        <w:pStyle w:val="13"/>
      </w:pPr>
      <w:r>
        <w:rPr>
          <w:rFonts w:hint="eastAsia"/>
        </w:rPr>
        <w:t>（</w:t>
      </w:r>
      <w:r>
        <w:t>7）有关利率、汇率、赋税基准及税率、政策性征收费用等不发生重大变化。</w:t>
      </w:r>
    </w:p>
    <w:p w14:paraId="72601AC7" w14:textId="744CA045" w:rsidR="00BA0482" w:rsidRDefault="00BA0482" w:rsidP="00BA0482">
      <w:pPr>
        <w:pStyle w:val="13"/>
      </w:pPr>
      <w:r>
        <w:rPr>
          <w:rFonts w:hint="eastAsia"/>
        </w:rPr>
        <w:t>（</w:t>
      </w:r>
      <w:r>
        <w:t>8）无其他人力不可抗拒因素及不可预见因素对企业造成重大不利影响。</w:t>
      </w:r>
    </w:p>
    <w:p w14:paraId="6BF04C10" w14:textId="77777777" w:rsidR="00BA0482" w:rsidRDefault="00BA0482" w:rsidP="00BA0482">
      <w:pPr>
        <w:pStyle w:val="13"/>
      </w:pPr>
      <w:r>
        <w:rPr>
          <w:rFonts w:hint="eastAsia"/>
        </w:rPr>
        <w:t>根据资产评估的要求，认定这些假设条件在评估基准日时成立，当未来经济环境发生较大变化时，将不承担由于假设条件改变而推导出不同评估结论的责任。</w:t>
      </w:r>
    </w:p>
    <w:p w14:paraId="7CA2EC48" w14:textId="77777777" w:rsidR="00BA0482" w:rsidRDefault="00BA0482" w:rsidP="00BA0482">
      <w:pPr>
        <w:pStyle w:val="13"/>
      </w:pPr>
      <w:r>
        <w:t>4、企业经营、资产、财务分析</w:t>
      </w:r>
    </w:p>
    <w:p w14:paraId="0917510D" w14:textId="3AAD6DE7" w:rsidR="00BA0482" w:rsidRDefault="00BA0482" w:rsidP="00BA0482">
      <w:pPr>
        <w:pStyle w:val="13"/>
      </w:pPr>
      <w:r>
        <w:rPr>
          <w:rFonts w:hint="eastAsia"/>
        </w:rPr>
        <w:t>（</w:t>
      </w:r>
      <w:r>
        <w:t>1）影响被评估单位经营的宏观及区域经济因素、被评估单位所在行业状况及发展前景、生产经营的历史情况、面临的竞争情况及企业战略等。</w:t>
      </w:r>
    </w:p>
    <w:p w14:paraId="5E8D1F69" w14:textId="2A5E140E" w:rsidR="00BA0482" w:rsidRDefault="00BA0482" w:rsidP="00BA0482">
      <w:pPr>
        <w:pStyle w:val="13"/>
      </w:pPr>
      <w:r>
        <w:rPr>
          <w:rFonts w:hint="eastAsia"/>
        </w:rPr>
        <w:t>（</w:t>
      </w:r>
      <w:r>
        <w:t>2）企业内部管理制度、人力资源、核心技术、研发状况、销售网络、特许经营权、管理层构成等经营管理状况。</w:t>
      </w:r>
    </w:p>
    <w:p w14:paraId="66FAE81E" w14:textId="76342E75" w:rsidR="00BA0482" w:rsidRDefault="00BA0482" w:rsidP="00BA0482">
      <w:pPr>
        <w:pStyle w:val="13"/>
      </w:pPr>
      <w:r>
        <w:rPr>
          <w:rFonts w:hint="eastAsia"/>
        </w:rPr>
        <w:t>（</w:t>
      </w:r>
      <w:r>
        <w:t>3）企业历史年度财务分析。</w:t>
      </w:r>
    </w:p>
    <w:p w14:paraId="42A7B318" w14:textId="77777777" w:rsidR="00BA0482" w:rsidRDefault="00BA0482" w:rsidP="00BA0482">
      <w:pPr>
        <w:pStyle w:val="13"/>
      </w:pPr>
      <w:r>
        <w:rPr>
          <w:rFonts w:hint="eastAsia"/>
        </w:rPr>
        <w:t>一般包括收入、成本和费用分析，盈利能力、偿债能力和营运能力分析以及成长性分析等。</w:t>
      </w:r>
    </w:p>
    <w:p w14:paraId="368E84A6" w14:textId="4AE72262" w:rsidR="00BA0482" w:rsidRDefault="00BA0482" w:rsidP="00BA0482">
      <w:pPr>
        <w:pStyle w:val="13"/>
      </w:pPr>
      <w:r>
        <w:rPr>
          <w:rFonts w:hint="eastAsia"/>
        </w:rPr>
        <w:t>（</w:t>
      </w:r>
      <w:r>
        <w:t>4）经营性资产、非经营性资产、溢</w:t>
      </w:r>
      <w:proofErr w:type="gramStart"/>
      <w:r>
        <w:t>余资产</w:t>
      </w:r>
      <w:proofErr w:type="gramEnd"/>
      <w:r>
        <w:t>分析。</w:t>
      </w:r>
    </w:p>
    <w:p w14:paraId="1483A17C" w14:textId="77777777" w:rsidR="00BA0482" w:rsidRDefault="00BA0482" w:rsidP="00BA0482">
      <w:pPr>
        <w:pStyle w:val="13"/>
      </w:pPr>
      <w:r>
        <w:t>5、评估计算及分析过程</w:t>
      </w:r>
    </w:p>
    <w:p w14:paraId="18D6C8F9" w14:textId="201EE863" w:rsidR="00BA0482" w:rsidRDefault="00BA0482" w:rsidP="00BA0482">
      <w:pPr>
        <w:pStyle w:val="13"/>
      </w:pPr>
      <w:r>
        <w:rPr>
          <w:rFonts w:hint="eastAsia"/>
        </w:rPr>
        <w:t>（</w:t>
      </w:r>
      <w:r>
        <w:t>1）收益模型的选取</w:t>
      </w:r>
    </w:p>
    <w:p w14:paraId="02E8B168" w14:textId="5CC5EF30" w:rsidR="00BA0482" w:rsidRDefault="00BA0482" w:rsidP="00BA0482">
      <w:pPr>
        <w:pStyle w:val="13"/>
      </w:pPr>
      <w:r>
        <w:t>1）选取收益法的具体测算方法及模型。</w:t>
      </w:r>
    </w:p>
    <w:p w14:paraId="33EA980E" w14:textId="3075DA62" w:rsidR="00BA0482" w:rsidRDefault="00BA0482" w:rsidP="00BA0482">
      <w:pPr>
        <w:pStyle w:val="13"/>
      </w:pPr>
      <w:r>
        <w:t>2）列示计算公式并对参数进行解释与说明。</w:t>
      </w:r>
    </w:p>
    <w:p w14:paraId="49D8308C" w14:textId="3447A231" w:rsidR="00BA0482" w:rsidRDefault="00BA0482" w:rsidP="00BA0482">
      <w:pPr>
        <w:pStyle w:val="13"/>
      </w:pPr>
      <w:r>
        <w:rPr>
          <w:rFonts w:hint="eastAsia"/>
        </w:rPr>
        <w:t>（</w:t>
      </w:r>
      <w:r>
        <w:t>2）收益年限的确定</w:t>
      </w:r>
    </w:p>
    <w:p w14:paraId="05CB4514" w14:textId="77777777" w:rsidR="00BA0482" w:rsidRDefault="00BA0482" w:rsidP="00BA0482">
      <w:pPr>
        <w:pStyle w:val="13"/>
      </w:pPr>
      <w:r>
        <w:rPr>
          <w:rFonts w:hint="eastAsia"/>
        </w:rPr>
        <w:t>确定的收益年限并说明其理由。</w:t>
      </w:r>
    </w:p>
    <w:p w14:paraId="6225B80D" w14:textId="3B25FB4E" w:rsidR="00BA0482" w:rsidRDefault="00BA0482" w:rsidP="00BA0482">
      <w:pPr>
        <w:pStyle w:val="13"/>
      </w:pPr>
      <w:r>
        <w:rPr>
          <w:rFonts w:hint="eastAsia"/>
        </w:rPr>
        <w:t>（</w:t>
      </w:r>
      <w:r>
        <w:t>3）未来收益的确定</w:t>
      </w:r>
    </w:p>
    <w:p w14:paraId="5C12B5DE" w14:textId="3B26C072" w:rsidR="00BA0482" w:rsidRDefault="00BA0482" w:rsidP="00BA0482">
      <w:pPr>
        <w:pStyle w:val="13"/>
      </w:pPr>
      <w:r>
        <w:t>1）生产经营模式与收益主体、口径的相关性。</w:t>
      </w:r>
    </w:p>
    <w:p w14:paraId="54D7FC1C" w14:textId="58B19879" w:rsidR="00BA0482" w:rsidRDefault="00BA0482" w:rsidP="00BA0482">
      <w:pPr>
        <w:pStyle w:val="13"/>
      </w:pPr>
      <w:r>
        <w:t>2）收入的预测。</w:t>
      </w:r>
    </w:p>
    <w:p w14:paraId="7CEF9EAD" w14:textId="77777777" w:rsidR="00BA0482" w:rsidRDefault="00BA0482" w:rsidP="00BA0482">
      <w:pPr>
        <w:pStyle w:val="13"/>
      </w:pPr>
      <w:r>
        <w:rPr>
          <w:rFonts w:hint="eastAsia"/>
        </w:rPr>
        <w:t>①营业收入的预测。通常包括区域经济发展与市场环境、业内竞争情况与企业对策、公司的营业收入及构成分析和营业收入的预测。</w:t>
      </w:r>
    </w:p>
    <w:p w14:paraId="0FA75141" w14:textId="77777777" w:rsidR="00BA0482" w:rsidRDefault="00BA0482" w:rsidP="00BA0482">
      <w:pPr>
        <w:pStyle w:val="13"/>
      </w:pPr>
      <w:r>
        <w:rPr>
          <w:rFonts w:hint="eastAsia"/>
        </w:rPr>
        <w:t>②投资收益预测分析。</w:t>
      </w:r>
    </w:p>
    <w:p w14:paraId="20E4EE93" w14:textId="3033499A" w:rsidR="00BA0482" w:rsidRDefault="00BA0482" w:rsidP="00BA0482">
      <w:pPr>
        <w:pStyle w:val="13"/>
      </w:pPr>
      <w:r>
        <w:t>3）营业成本的预测。</w:t>
      </w:r>
    </w:p>
    <w:p w14:paraId="09A14D94" w14:textId="3A9B6526" w:rsidR="00BA0482" w:rsidRDefault="00BA0482" w:rsidP="00BA0482">
      <w:pPr>
        <w:pStyle w:val="13"/>
      </w:pPr>
      <w:r>
        <w:t>4）销售费用的预测。</w:t>
      </w:r>
    </w:p>
    <w:p w14:paraId="0C29E7E2" w14:textId="7684323A" w:rsidR="00BA0482" w:rsidRDefault="00BA0482" w:rsidP="00BA0482">
      <w:pPr>
        <w:pStyle w:val="13"/>
      </w:pPr>
      <w:r>
        <w:t>5）管理费用的预测。</w:t>
      </w:r>
    </w:p>
    <w:p w14:paraId="3EB176A9" w14:textId="4887C997" w:rsidR="00BA0482" w:rsidRDefault="00BA0482" w:rsidP="00BA0482">
      <w:pPr>
        <w:pStyle w:val="13"/>
      </w:pPr>
      <w:r>
        <w:t>6）财务费用的预测。</w:t>
      </w:r>
    </w:p>
    <w:p w14:paraId="3921F5A8" w14:textId="1C4D7CB3" w:rsidR="00BA0482" w:rsidRDefault="00BA0482" w:rsidP="00BA0482">
      <w:pPr>
        <w:pStyle w:val="13"/>
      </w:pPr>
      <w:r>
        <w:t>7）营业税金及附加的估算。</w:t>
      </w:r>
    </w:p>
    <w:p w14:paraId="66D9F3B6" w14:textId="63B5A682" w:rsidR="00BA0482" w:rsidRDefault="00BA0482" w:rsidP="00BA0482">
      <w:pPr>
        <w:pStyle w:val="13"/>
      </w:pPr>
      <w:r>
        <w:t>8）折旧与摊销的预测。</w:t>
      </w:r>
    </w:p>
    <w:p w14:paraId="52678A79" w14:textId="4AC1AE01" w:rsidR="00BA0482" w:rsidRDefault="00BA0482" w:rsidP="00BA0482">
      <w:pPr>
        <w:pStyle w:val="13"/>
      </w:pPr>
      <w:r>
        <w:lastRenderedPageBreak/>
        <w:t>9）资本性支出预测。</w:t>
      </w:r>
    </w:p>
    <w:p w14:paraId="69381960" w14:textId="033D41F8" w:rsidR="00BA0482" w:rsidRDefault="00BA0482" w:rsidP="00BA0482">
      <w:pPr>
        <w:pStyle w:val="13"/>
      </w:pPr>
      <w:r>
        <w:t>10）营运资金预测、营运资金增加额的确定。</w:t>
      </w:r>
    </w:p>
    <w:p w14:paraId="53901379" w14:textId="77777777" w:rsidR="00BA0482" w:rsidRDefault="00BA0482" w:rsidP="00BA0482">
      <w:pPr>
        <w:pStyle w:val="13"/>
      </w:pPr>
      <w:r>
        <w:rPr>
          <w:rFonts w:hint="eastAsia"/>
        </w:rPr>
        <w:t>①企业历史年度有关资金营运指标</w:t>
      </w:r>
    </w:p>
    <w:p w14:paraId="5947EF62" w14:textId="77777777" w:rsidR="00BA0482" w:rsidRDefault="00BA0482" w:rsidP="00BA0482">
      <w:pPr>
        <w:pStyle w:val="13"/>
      </w:pPr>
      <w:r>
        <w:rPr>
          <w:rFonts w:hint="eastAsia"/>
        </w:rPr>
        <w:t>②营运资金增加额计算</w:t>
      </w:r>
    </w:p>
    <w:p w14:paraId="37B7680E" w14:textId="60188642" w:rsidR="00BA0482" w:rsidRDefault="00BA0482" w:rsidP="00BA0482">
      <w:pPr>
        <w:pStyle w:val="13"/>
      </w:pPr>
      <w:r>
        <w:rPr>
          <w:rFonts w:hint="eastAsia"/>
        </w:rPr>
        <w:t>（</w:t>
      </w:r>
      <w:r>
        <w:t>4）折现率的确定</w:t>
      </w:r>
    </w:p>
    <w:p w14:paraId="121FB8AE" w14:textId="27E3708A" w:rsidR="00BA0482" w:rsidRDefault="00BA0482" w:rsidP="00BA0482">
      <w:pPr>
        <w:pStyle w:val="13"/>
      </w:pPr>
      <w:r>
        <w:t>1）所选折现率的模型（公式与参数定义）。</w:t>
      </w:r>
    </w:p>
    <w:p w14:paraId="65FCABA6" w14:textId="5B613174" w:rsidR="00BA0482" w:rsidRDefault="00BA0482" w:rsidP="00BA0482">
      <w:pPr>
        <w:pStyle w:val="13"/>
      </w:pPr>
      <w:r>
        <w:t>2）模型中有关参数的选取过程。</w:t>
      </w:r>
    </w:p>
    <w:p w14:paraId="453AA425" w14:textId="3AB30862" w:rsidR="00BA0482" w:rsidRDefault="00BA0482" w:rsidP="00BA0482">
      <w:pPr>
        <w:pStyle w:val="13"/>
      </w:pPr>
      <w:r>
        <w:rPr>
          <w:rFonts w:hint="eastAsia"/>
        </w:rPr>
        <w:t>例如：无风险报酬率（依据、过程、结论）、市场收益率（依据、参数、过程、结论）、</w:t>
      </w:r>
      <w:r>
        <w:t>Beta（贝塔）系数的测算。</w:t>
      </w:r>
    </w:p>
    <w:p w14:paraId="75B8081D" w14:textId="77777777" w:rsidR="00BA0482" w:rsidRDefault="00BA0482" w:rsidP="00BA0482">
      <w:pPr>
        <w:pStyle w:val="13"/>
      </w:pPr>
      <w:r>
        <w:t>6、评估值测算过程与结论</w:t>
      </w:r>
    </w:p>
    <w:p w14:paraId="301C3739" w14:textId="421999D3" w:rsidR="00BA0482" w:rsidRDefault="00BA0482" w:rsidP="00BA0482">
      <w:pPr>
        <w:pStyle w:val="13"/>
      </w:pPr>
      <w:r>
        <w:rPr>
          <w:rFonts w:hint="eastAsia"/>
        </w:rPr>
        <w:t>（</w:t>
      </w:r>
      <w:r>
        <w:t>1）列表说明公式中的各参数值以及测算过程。</w:t>
      </w:r>
    </w:p>
    <w:p w14:paraId="457F54C2" w14:textId="015557E5" w:rsidR="00BA0482" w:rsidRDefault="00BA0482" w:rsidP="00BA0482">
      <w:pPr>
        <w:pStyle w:val="13"/>
      </w:pPr>
      <w:r>
        <w:rPr>
          <w:rFonts w:hint="eastAsia"/>
        </w:rPr>
        <w:t>（</w:t>
      </w:r>
      <w:r>
        <w:t>2）终值的估算。</w:t>
      </w:r>
    </w:p>
    <w:p w14:paraId="40E36228" w14:textId="6B2EFEE1" w:rsidR="00BA0482" w:rsidRDefault="00BA0482" w:rsidP="00BA0482">
      <w:pPr>
        <w:pStyle w:val="13"/>
      </w:pPr>
      <w:r>
        <w:rPr>
          <w:rFonts w:hint="eastAsia"/>
        </w:rPr>
        <w:t>（</w:t>
      </w:r>
      <w:r>
        <w:t>3）列示评估结论。</w:t>
      </w:r>
    </w:p>
    <w:p w14:paraId="6E395D8A" w14:textId="77777777" w:rsidR="00BA0482" w:rsidRDefault="00BA0482" w:rsidP="00BA0482">
      <w:pPr>
        <w:pStyle w:val="13"/>
      </w:pPr>
      <w:r>
        <w:t>7、其他资产和负债的评估（</w:t>
      </w:r>
      <w:proofErr w:type="gramStart"/>
      <w:r>
        <w:t>非收益</w:t>
      </w:r>
      <w:proofErr w:type="gramEnd"/>
      <w:r>
        <w:t>性/经营性资产和负债）价值</w:t>
      </w:r>
    </w:p>
    <w:p w14:paraId="29C65C23" w14:textId="04F4F122" w:rsidR="00BA0482" w:rsidRDefault="00BA0482" w:rsidP="00BA0482">
      <w:pPr>
        <w:pStyle w:val="13"/>
      </w:pPr>
      <w:r>
        <w:rPr>
          <w:rFonts w:hint="eastAsia"/>
        </w:rPr>
        <w:t>（</w:t>
      </w:r>
      <w:r>
        <w:t>1）评估的资产和负债类型。</w:t>
      </w:r>
    </w:p>
    <w:p w14:paraId="39C97EDC" w14:textId="43D34E56" w:rsidR="00BA0482" w:rsidRDefault="00BA0482" w:rsidP="00BA0482">
      <w:pPr>
        <w:pStyle w:val="13"/>
      </w:pPr>
      <w:r>
        <w:rPr>
          <w:rFonts w:hint="eastAsia"/>
        </w:rPr>
        <w:t>（</w:t>
      </w:r>
      <w:r>
        <w:t>2）评估方法。</w:t>
      </w:r>
    </w:p>
    <w:p w14:paraId="02149717" w14:textId="1C7120CC" w:rsidR="00BA0482" w:rsidRDefault="00BA0482" w:rsidP="00BA0482">
      <w:pPr>
        <w:pStyle w:val="13"/>
      </w:pPr>
      <w:r>
        <w:rPr>
          <w:rFonts w:hint="eastAsia"/>
        </w:rPr>
        <w:t>（</w:t>
      </w:r>
      <w:r>
        <w:t>3）评估结论。</w:t>
      </w:r>
    </w:p>
    <w:p w14:paraId="6AF506AC" w14:textId="77777777" w:rsidR="00BA0482" w:rsidRDefault="00BA0482" w:rsidP="00BA0482">
      <w:pPr>
        <w:pStyle w:val="13"/>
      </w:pPr>
      <w:r>
        <w:t>8、评估结论</w:t>
      </w:r>
    </w:p>
    <w:p w14:paraId="550DF2F7" w14:textId="77777777" w:rsidR="00BA0482" w:rsidRDefault="00BA0482" w:rsidP="00BA0482">
      <w:pPr>
        <w:pStyle w:val="13"/>
      </w:pPr>
      <w:r>
        <w:t>9、测算表格</w:t>
      </w:r>
    </w:p>
    <w:p w14:paraId="132ECFAA" w14:textId="77777777" w:rsidR="00BA0482" w:rsidRDefault="00BA0482" w:rsidP="00BA0482">
      <w:pPr>
        <w:pStyle w:val="13"/>
      </w:pPr>
      <w:r>
        <w:rPr>
          <w:rFonts w:hint="eastAsia"/>
        </w:rPr>
        <w:t>采用收益法进行企业价值评估，应当编制必要的测算表格。测算表格中的数据应当与资产评估报告相应内容一致。</w:t>
      </w:r>
    </w:p>
    <w:p w14:paraId="05E16FBF" w14:textId="77777777" w:rsidR="00BA0482" w:rsidRDefault="00BA0482" w:rsidP="00BA0482">
      <w:pPr>
        <w:pStyle w:val="13"/>
      </w:pPr>
      <w:r>
        <w:rPr>
          <w:rFonts w:hint="eastAsia"/>
        </w:rPr>
        <w:t>（三）市场法</w:t>
      </w:r>
    </w:p>
    <w:p w14:paraId="3488B4B3" w14:textId="77777777" w:rsidR="00BA0482" w:rsidRDefault="00BA0482" w:rsidP="00BA0482">
      <w:pPr>
        <w:pStyle w:val="13"/>
      </w:pPr>
      <w:r>
        <w:rPr>
          <w:rFonts w:hint="eastAsia"/>
        </w:rPr>
        <w:t>采用市场法进行企业价值评估，可以根据所采用的具体评估方法（上市公司比较法或者交易案例比较法）确定评估技术说明的编写内容。一般编写内容指引如下：</w:t>
      </w:r>
    </w:p>
    <w:p w14:paraId="7B890759" w14:textId="77777777" w:rsidR="00BA0482" w:rsidRDefault="00BA0482" w:rsidP="00BA0482">
      <w:pPr>
        <w:pStyle w:val="13"/>
      </w:pPr>
      <w:r>
        <w:t>1、说明评估对象，包括企业整体价值、股东全部权益、股东部分权益。</w:t>
      </w:r>
    </w:p>
    <w:p w14:paraId="52EBD6BE" w14:textId="77777777" w:rsidR="00BA0482" w:rsidRDefault="00BA0482" w:rsidP="00BA0482">
      <w:pPr>
        <w:pStyle w:val="13"/>
      </w:pPr>
      <w:r>
        <w:t>2、市场法原理</w:t>
      </w:r>
    </w:p>
    <w:p w14:paraId="3C9A2924" w14:textId="3B03E6A2" w:rsidR="00BA0482" w:rsidRDefault="00BA0482" w:rsidP="00BA0482">
      <w:pPr>
        <w:pStyle w:val="13"/>
      </w:pPr>
      <w:r>
        <w:rPr>
          <w:rFonts w:hint="eastAsia"/>
        </w:rPr>
        <w:t>（</w:t>
      </w:r>
      <w:r>
        <w:t>1）交易案例比较法的定义、原理、应用前提。</w:t>
      </w:r>
    </w:p>
    <w:p w14:paraId="0129160F" w14:textId="1FB3BB5B" w:rsidR="00BA0482" w:rsidRDefault="00BA0482" w:rsidP="00BA0482">
      <w:pPr>
        <w:pStyle w:val="13"/>
      </w:pPr>
      <w:r>
        <w:rPr>
          <w:rFonts w:hint="eastAsia"/>
        </w:rPr>
        <w:t>（</w:t>
      </w:r>
      <w:r>
        <w:t>2）上市公司比较法的定义、原理、应用前提。</w:t>
      </w:r>
    </w:p>
    <w:p w14:paraId="203FF7F8" w14:textId="77777777" w:rsidR="00BA0482" w:rsidRDefault="00BA0482" w:rsidP="00BA0482">
      <w:pPr>
        <w:pStyle w:val="13"/>
      </w:pPr>
      <w:r>
        <w:t>3、选取具体评估方法的理由</w:t>
      </w:r>
    </w:p>
    <w:p w14:paraId="5118B99D" w14:textId="77777777" w:rsidR="00BA0482" w:rsidRDefault="00BA0482" w:rsidP="00BA0482">
      <w:pPr>
        <w:pStyle w:val="13"/>
      </w:pPr>
      <w:r>
        <w:t>4、基本步骤说明</w:t>
      </w:r>
    </w:p>
    <w:p w14:paraId="2283E9B1" w14:textId="4D27581E" w:rsidR="00BA0482" w:rsidRDefault="00BA0482" w:rsidP="00BA0482">
      <w:pPr>
        <w:pStyle w:val="13"/>
      </w:pPr>
      <w:r>
        <w:rPr>
          <w:rFonts w:hint="eastAsia"/>
        </w:rPr>
        <w:t>（</w:t>
      </w:r>
      <w:r>
        <w:t>1）搜集相关资料、对评估对象基本情况进行阐述。</w:t>
      </w:r>
    </w:p>
    <w:p w14:paraId="39A8F927" w14:textId="796C4A5E" w:rsidR="00BA0482" w:rsidRDefault="00BA0482" w:rsidP="00BA0482">
      <w:pPr>
        <w:pStyle w:val="13"/>
      </w:pPr>
      <w:r>
        <w:rPr>
          <w:rFonts w:hint="eastAsia"/>
        </w:rPr>
        <w:t>（</w:t>
      </w:r>
      <w:r>
        <w:t>2）对影响被评估单位经营的宏观、区域经济因素分析。</w:t>
      </w:r>
    </w:p>
    <w:p w14:paraId="226B1C72" w14:textId="4A6DDF53" w:rsidR="00BA0482" w:rsidRDefault="00BA0482" w:rsidP="00BA0482">
      <w:pPr>
        <w:pStyle w:val="13"/>
      </w:pPr>
      <w:r>
        <w:rPr>
          <w:rFonts w:hint="eastAsia"/>
        </w:rPr>
        <w:t>（</w:t>
      </w:r>
      <w:r>
        <w:t>3）对被评估单位所在行业发展状况与前景进行分析。</w:t>
      </w:r>
    </w:p>
    <w:p w14:paraId="022EFBA3" w14:textId="741D51A2" w:rsidR="00BA0482" w:rsidRDefault="00BA0482" w:rsidP="00BA0482">
      <w:pPr>
        <w:pStyle w:val="13"/>
      </w:pPr>
      <w:r>
        <w:rPr>
          <w:rFonts w:hint="eastAsia"/>
        </w:rPr>
        <w:t>（</w:t>
      </w:r>
      <w:r>
        <w:t>4）对被评估单位提供的企业业务状况进行分析，对企业资产、财务状况进行</w:t>
      </w:r>
      <w:r>
        <w:lastRenderedPageBreak/>
        <w:t>分析、调整。</w:t>
      </w:r>
    </w:p>
    <w:p w14:paraId="5F7854DC" w14:textId="23D1B5EE" w:rsidR="00BA0482" w:rsidRDefault="00BA0482" w:rsidP="00BA0482">
      <w:pPr>
        <w:pStyle w:val="13"/>
      </w:pPr>
      <w:r>
        <w:rPr>
          <w:rFonts w:hint="eastAsia"/>
        </w:rPr>
        <w:t>（</w:t>
      </w:r>
      <w:r>
        <w:t>5）分析、确定可比上市公司或者交易案例。</w:t>
      </w:r>
    </w:p>
    <w:p w14:paraId="265C620E" w14:textId="3F3D2B86" w:rsidR="00BA0482" w:rsidRDefault="00BA0482" w:rsidP="00BA0482">
      <w:pPr>
        <w:pStyle w:val="13"/>
      </w:pPr>
      <w:r>
        <w:rPr>
          <w:rFonts w:hint="eastAsia"/>
        </w:rPr>
        <w:t>（</w:t>
      </w:r>
      <w:r>
        <w:t>6）对上市公司或者交易案例的可比因素进行分析、调整，确定可比因素数值。</w:t>
      </w:r>
    </w:p>
    <w:p w14:paraId="412A6D4E" w14:textId="28BB9922" w:rsidR="00BA0482" w:rsidRDefault="00BA0482" w:rsidP="00BA0482">
      <w:pPr>
        <w:pStyle w:val="13"/>
      </w:pPr>
      <w:r>
        <w:rPr>
          <w:rFonts w:hint="eastAsia"/>
        </w:rPr>
        <w:t>（</w:t>
      </w:r>
      <w:r>
        <w:t>7）估算评估对象价值。</w:t>
      </w:r>
    </w:p>
    <w:p w14:paraId="13B02859" w14:textId="77777777" w:rsidR="00BA0482" w:rsidRDefault="00BA0482" w:rsidP="00BA0482">
      <w:pPr>
        <w:pStyle w:val="13"/>
      </w:pPr>
      <w:r>
        <w:t>5、影响被评估单位经营的宏观、区域经济因素分析。</w:t>
      </w:r>
    </w:p>
    <w:p w14:paraId="68089E18" w14:textId="77777777" w:rsidR="00BA0482" w:rsidRDefault="00BA0482" w:rsidP="00BA0482">
      <w:pPr>
        <w:pStyle w:val="13"/>
      </w:pPr>
      <w:r>
        <w:t>6、被评估单位所在行业发展状况与前景的分析判断。</w:t>
      </w:r>
    </w:p>
    <w:p w14:paraId="2DA5EEAA" w14:textId="77777777" w:rsidR="00BA0482" w:rsidRDefault="00BA0482" w:rsidP="00BA0482">
      <w:pPr>
        <w:pStyle w:val="13"/>
      </w:pPr>
      <w:r>
        <w:t>7、被评估单位的业务、资产、财务状况分析。</w:t>
      </w:r>
    </w:p>
    <w:p w14:paraId="51C1B178" w14:textId="77777777" w:rsidR="00BA0482" w:rsidRDefault="00BA0482" w:rsidP="00BA0482">
      <w:pPr>
        <w:pStyle w:val="13"/>
      </w:pPr>
      <w:r>
        <w:t>8、上市公司或者交易案例的选择及与评估对象的可比性分析。</w:t>
      </w:r>
    </w:p>
    <w:p w14:paraId="0EC22DE6" w14:textId="77777777" w:rsidR="00BA0482" w:rsidRDefault="00BA0482" w:rsidP="00BA0482">
      <w:pPr>
        <w:pStyle w:val="13"/>
      </w:pPr>
      <w:r>
        <w:t>9、确定可比因素的方法和过程（特别说明对可比因素分析时考虑的主要方面），价值比率的确定过程，分析、调整评估对象财务状况的内容。</w:t>
      </w:r>
    </w:p>
    <w:p w14:paraId="4A679A35" w14:textId="77777777" w:rsidR="00BA0482" w:rsidRDefault="00BA0482" w:rsidP="00BA0482">
      <w:pPr>
        <w:pStyle w:val="13"/>
      </w:pPr>
      <w:r>
        <w:t>10、评估值确定的方法、过程和结论。</w:t>
      </w:r>
    </w:p>
    <w:p w14:paraId="3C6EF85A" w14:textId="77777777" w:rsidR="001E3DA8" w:rsidRDefault="00BA0482" w:rsidP="00BA0482">
      <w:pPr>
        <w:pStyle w:val="13"/>
      </w:pPr>
      <w:r>
        <w:t>11、评估结论及分析。</w:t>
      </w:r>
    </w:p>
    <w:p w14:paraId="0393D24D" w14:textId="3FEE84F1" w:rsidR="00BA0482" w:rsidRDefault="00BA0482" w:rsidP="00BA0482">
      <w:pPr>
        <w:pStyle w:val="13"/>
      </w:pPr>
      <w:r>
        <w:t>四、评估结论及分析</w:t>
      </w:r>
    </w:p>
    <w:p w14:paraId="58F78ECA" w14:textId="77777777" w:rsidR="00BA0482" w:rsidRDefault="00BA0482" w:rsidP="00BA0482">
      <w:pPr>
        <w:pStyle w:val="13"/>
      </w:pPr>
      <w:r>
        <w:rPr>
          <w:rFonts w:hint="eastAsia"/>
        </w:rPr>
        <w:t>（一）评估结论</w:t>
      </w:r>
    </w:p>
    <w:p w14:paraId="2C2DCBC7" w14:textId="77777777" w:rsidR="00BA0482" w:rsidRDefault="00BA0482" w:rsidP="00BA0482">
      <w:pPr>
        <w:pStyle w:val="13"/>
      </w:pPr>
      <w:r>
        <w:t>1、用文字叙述账面价值和评估价值，采用两种或者两种以上方法进行企业价值评估，应当分别说明评估价值，以及不同评估方法结论的差异及其原因和最终确定评估结论的理由。</w:t>
      </w:r>
    </w:p>
    <w:p w14:paraId="73EF5673" w14:textId="77777777" w:rsidR="00BA0482" w:rsidRDefault="00BA0482" w:rsidP="00BA0482">
      <w:pPr>
        <w:pStyle w:val="13"/>
      </w:pPr>
      <w:r>
        <w:t>2、含有“评估结论根据以上评估工作得出”的字样。</w:t>
      </w:r>
    </w:p>
    <w:p w14:paraId="3FD46CB8" w14:textId="77777777" w:rsidR="00BA0482" w:rsidRDefault="00BA0482" w:rsidP="00BA0482">
      <w:pPr>
        <w:pStyle w:val="13"/>
      </w:pPr>
      <w:r>
        <w:t>3、对于存在多家被评估单位的情况，应当分别说明评估价值。</w:t>
      </w:r>
    </w:p>
    <w:p w14:paraId="535B9AE5" w14:textId="77777777" w:rsidR="00BA0482" w:rsidRDefault="00BA0482" w:rsidP="00BA0482">
      <w:pPr>
        <w:pStyle w:val="13"/>
      </w:pPr>
      <w:r>
        <w:t>4、对于不纳入评估汇总表的评估结果，应当单独列示。</w:t>
      </w:r>
    </w:p>
    <w:p w14:paraId="7C522B0A" w14:textId="77777777" w:rsidR="00BA0482" w:rsidRDefault="00BA0482" w:rsidP="00BA0482">
      <w:pPr>
        <w:pStyle w:val="13"/>
      </w:pPr>
      <w:r>
        <w:rPr>
          <w:rFonts w:hint="eastAsia"/>
        </w:rPr>
        <w:t>（二）评估价值与账面价值比较变动情况及说明</w:t>
      </w:r>
    </w:p>
    <w:p w14:paraId="774A1564" w14:textId="77777777" w:rsidR="00BA0482" w:rsidRDefault="00BA0482" w:rsidP="00BA0482">
      <w:pPr>
        <w:pStyle w:val="13"/>
      </w:pPr>
      <w:r>
        <w:t>1、说明评估价值与账面价值比较变动情况，包括绝对变动额和相对变动率。</w:t>
      </w:r>
    </w:p>
    <w:p w14:paraId="702399C8" w14:textId="77777777" w:rsidR="00BA0482" w:rsidRDefault="00BA0482" w:rsidP="00BA0482">
      <w:pPr>
        <w:pStyle w:val="13"/>
      </w:pPr>
      <w:r>
        <w:t>2、分析评估价值与账面价值比较变动原因。</w:t>
      </w:r>
    </w:p>
    <w:p w14:paraId="20CF829F" w14:textId="77777777" w:rsidR="00BA0482" w:rsidRDefault="00BA0482" w:rsidP="00BA0482">
      <w:pPr>
        <w:pStyle w:val="13"/>
      </w:pPr>
      <w:r>
        <w:rPr>
          <w:rFonts w:hint="eastAsia"/>
        </w:rPr>
        <w:t>（三）折价或者溢价情况（如有）</w:t>
      </w:r>
    </w:p>
    <w:p w14:paraId="5668C229" w14:textId="77777777" w:rsidR="00BA0482" w:rsidRDefault="00BA0482" w:rsidP="00BA0482">
      <w:pPr>
        <w:pStyle w:val="13"/>
      </w:pPr>
      <w:r>
        <w:rPr>
          <w:rFonts w:hint="eastAsia"/>
        </w:rPr>
        <w:t>企业价值评估，在适当及切实可行的情况下需要考虑由于控股权和少数股权等因素产生的折价或者溢价，以及流动性对评估价值的影响，包括但不限于：</w:t>
      </w:r>
    </w:p>
    <w:p w14:paraId="0BED7D15" w14:textId="77777777" w:rsidR="00BA0482" w:rsidRDefault="00BA0482" w:rsidP="00BA0482">
      <w:pPr>
        <w:pStyle w:val="13"/>
      </w:pPr>
      <w:r>
        <w:t>1、说明是否考虑了折价或者溢价。</w:t>
      </w:r>
    </w:p>
    <w:p w14:paraId="4503F3E2" w14:textId="30E44E78" w:rsidR="007E4B49" w:rsidRDefault="00BA0482" w:rsidP="00BA0482">
      <w:pPr>
        <w:pStyle w:val="13"/>
      </w:pPr>
      <w:r>
        <w:t>2、说明折价或者溢价测算的方法，对其合理性做出判断。</w:t>
      </w:r>
    </w:p>
    <w:p w14:paraId="55F24202" w14:textId="77777777" w:rsidR="001E3DA8" w:rsidRDefault="001E3DA8" w:rsidP="001E3DA8">
      <w:pPr>
        <w:pStyle w:val="31"/>
        <w:spacing w:before="156" w:after="62"/>
      </w:pPr>
      <w:bookmarkStart w:id="33" w:name="_Toc81833313"/>
      <w:r>
        <w:rPr>
          <w:rFonts w:hint="eastAsia"/>
        </w:rPr>
        <w:t>金融企业国有资产评估报告指南（</w:t>
      </w:r>
      <w:proofErr w:type="gramStart"/>
      <w:r>
        <w:rPr>
          <w:rFonts w:hint="eastAsia"/>
        </w:rPr>
        <w:t>中评协</w:t>
      </w:r>
      <w:proofErr w:type="gramEnd"/>
      <w:r>
        <w:rPr>
          <w:rFonts w:hint="eastAsia"/>
        </w:rPr>
        <w:t>〔</w:t>
      </w:r>
      <w:r>
        <w:t>2017〕43号）</w:t>
      </w:r>
      <w:bookmarkEnd w:id="33"/>
    </w:p>
    <w:p w14:paraId="49DB36AB" w14:textId="77777777" w:rsidR="001E3DA8" w:rsidRDefault="001E3DA8" w:rsidP="001E3DA8">
      <w:pPr>
        <w:pStyle w:val="13"/>
        <w:ind w:firstLineChars="0" w:firstLine="0"/>
      </w:pPr>
      <w:r>
        <w:rPr>
          <w:rFonts w:hint="eastAsia"/>
        </w:rPr>
        <w:t>各省、自治区、直辖市、计划单列市资产评估协会（注册会计师协会）：</w:t>
      </w:r>
    </w:p>
    <w:p w14:paraId="4E3F3177" w14:textId="24BBCA23" w:rsidR="001E3DA8" w:rsidRDefault="001E3DA8" w:rsidP="001E3DA8">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金融企业国有资产评估报告指南》进行了修订，现予印</w:t>
      </w:r>
      <w:r>
        <w:rPr>
          <w:rFonts w:hint="eastAsia"/>
        </w:rPr>
        <w:lastRenderedPageBreak/>
        <w:t>发，自</w:t>
      </w:r>
      <w:r>
        <w:t xml:space="preserve"> 2017</w:t>
      </w:r>
      <w:r w:rsidR="003068F8">
        <w:rPr>
          <w:rFonts w:hint="eastAsia"/>
        </w:rPr>
        <w:t>年</w:t>
      </w:r>
      <w:r>
        <w:t>10</w:t>
      </w:r>
      <w:r w:rsidR="003068F8">
        <w:t>月</w:t>
      </w:r>
      <w:r>
        <w:t>1</w:t>
      </w:r>
      <w:r w:rsidR="003068F8">
        <w:t>日</w:t>
      </w:r>
      <w:r>
        <w:t>起施行。</w:t>
      </w:r>
    </w:p>
    <w:p w14:paraId="6959923F" w14:textId="77777777" w:rsidR="001E3DA8" w:rsidRDefault="001E3DA8" w:rsidP="001E3DA8">
      <w:pPr>
        <w:pStyle w:val="13"/>
      </w:pPr>
      <w:r>
        <w:rPr>
          <w:rFonts w:hint="eastAsia"/>
        </w:rPr>
        <w:t>请各地</w:t>
      </w:r>
      <w:proofErr w:type="gramStart"/>
      <w:r>
        <w:rPr>
          <w:rFonts w:hint="eastAsia"/>
        </w:rPr>
        <w:t>方协会</w:t>
      </w:r>
      <w:proofErr w:type="gramEnd"/>
      <w:r>
        <w:rPr>
          <w:rFonts w:hint="eastAsia"/>
        </w:rPr>
        <w:t>将《金融企业国有资产评估报告指南》及时转发资产评估机构，组织资产评估机构和资产评估专业人员进行学习和培训，并将执行过程中发现的问题及时上报中国资产评估协会。</w:t>
      </w:r>
    </w:p>
    <w:p w14:paraId="2C4C69EF" w14:textId="77777777" w:rsidR="001E3DA8" w:rsidRDefault="001E3DA8" w:rsidP="001E3DA8">
      <w:pPr>
        <w:pStyle w:val="13"/>
      </w:pPr>
      <w:r>
        <w:rPr>
          <w:rFonts w:hint="eastAsia"/>
        </w:rPr>
        <w:t>附件：《金融企业国有资产评估报告指南》</w:t>
      </w:r>
    </w:p>
    <w:p w14:paraId="0A88B0A6" w14:textId="77777777" w:rsidR="001E3DA8" w:rsidRDefault="001E3DA8" w:rsidP="001E3DA8">
      <w:pPr>
        <w:pStyle w:val="13"/>
        <w:jc w:val="right"/>
      </w:pPr>
      <w:r>
        <w:rPr>
          <w:rFonts w:hint="eastAsia"/>
        </w:rPr>
        <w:t>中国资产评估协会</w:t>
      </w:r>
    </w:p>
    <w:p w14:paraId="38ED73F9" w14:textId="4DD079AF" w:rsidR="001E3DA8" w:rsidRDefault="001E3DA8" w:rsidP="001E3DA8">
      <w:pPr>
        <w:pStyle w:val="13"/>
        <w:jc w:val="right"/>
      </w:pPr>
      <w:r>
        <w:t>2017</w:t>
      </w:r>
      <w:r w:rsidR="003068F8">
        <w:t>年</w:t>
      </w:r>
      <w:r>
        <w:t>9</w:t>
      </w:r>
      <w:r w:rsidR="003068F8">
        <w:t>月</w:t>
      </w:r>
      <w:r>
        <w:t>8</w:t>
      </w:r>
      <w:r w:rsidR="003068F8">
        <w:t>日</w:t>
      </w:r>
    </w:p>
    <w:p w14:paraId="47B6F3B9" w14:textId="77777777" w:rsidR="001E3DA8" w:rsidRDefault="001E3DA8" w:rsidP="00AF7342">
      <w:pPr>
        <w:pStyle w:val="a9"/>
        <w:spacing w:before="62" w:after="62"/>
      </w:pPr>
      <w:r>
        <w:rPr>
          <w:rFonts w:hint="eastAsia"/>
        </w:rPr>
        <w:t>金融企业国有资产评估报告指南</w:t>
      </w:r>
    </w:p>
    <w:p w14:paraId="50B0DA1F" w14:textId="77777777" w:rsidR="001E3DA8" w:rsidRDefault="001E3DA8" w:rsidP="00AF7342">
      <w:pPr>
        <w:pStyle w:val="a9"/>
        <w:spacing w:before="62" w:after="62"/>
      </w:pPr>
      <w:r>
        <w:rPr>
          <w:rFonts w:hint="eastAsia"/>
        </w:rPr>
        <w:t>第一章</w:t>
      </w:r>
      <w:r>
        <w:t xml:space="preserve"> 总则</w:t>
      </w:r>
    </w:p>
    <w:p w14:paraId="1AE50630" w14:textId="59865792" w:rsidR="001E3DA8" w:rsidRDefault="004E3EBB" w:rsidP="001E3DA8">
      <w:pPr>
        <w:pStyle w:val="13"/>
        <w:ind w:firstLine="482"/>
      </w:pPr>
      <w:r w:rsidRPr="004E3EBB">
        <w:rPr>
          <w:rFonts w:hint="eastAsia"/>
          <w:b/>
          <w:bCs/>
        </w:rPr>
        <w:t xml:space="preserve">第一条 </w:t>
      </w:r>
      <w:r w:rsidR="001E3DA8">
        <w:t>为规范金融企业国有资产评估报告编制和出具行为，保护资产评估当事人合法权益和公共利益，根据金融企业国有资产评估管理有关规定和《资产评估执业准则</w:t>
      </w:r>
      <w:r w:rsidR="001E3DA8">
        <w:rPr>
          <w:rFonts w:hint="eastAsia"/>
        </w:rPr>
        <w:t>—资产评估报告》制定本指南。</w:t>
      </w:r>
    </w:p>
    <w:p w14:paraId="5F2B2E09" w14:textId="009F9118" w:rsidR="001E3DA8" w:rsidRDefault="004E3EBB" w:rsidP="001E3DA8">
      <w:pPr>
        <w:pStyle w:val="13"/>
        <w:ind w:firstLine="482"/>
      </w:pPr>
      <w:r w:rsidRPr="004E3EBB">
        <w:rPr>
          <w:rFonts w:hint="eastAsia"/>
          <w:b/>
          <w:bCs/>
        </w:rPr>
        <w:t xml:space="preserve">第二条 </w:t>
      </w:r>
      <w:r w:rsidR="001E3DA8">
        <w:t>资产评估机构及其资产评估师根据金融企业国有资产评估管理的有关规定执行资产评估业务，编制和出具金融企业国有资产评估报告，应当遵守本指南。</w:t>
      </w:r>
    </w:p>
    <w:p w14:paraId="1691FDDE" w14:textId="77777777" w:rsidR="001E3DA8" w:rsidRDefault="001E3DA8" w:rsidP="001E3DA8">
      <w:pPr>
        <w:pStyle w:val="13"/>
      </w:pPr>
      <w:r>
        <w:rPr>
          <w:rFonts w:hint="eastAsia"/>
        </w:rPr>
        <w:t>本指南所称金融企业，是指占有国有资产并取得金融业务许可证的企业、金融控股公司以及其他从事金融类业务的企业。</w:t>
      </w:r>
    </w:p>
    <w:p w14:paraId="29DC8CCB" w14:textId="17EE687C" w:rsidR="001E3DA8" w:rsidRDefault="004E3EBB" w:rsidP="00CC4D74">
      <w:pPr>
        <w:pStyle w:val="13"/>
        <w:ind w:firstLine="482"/>
      </w:pPr>
      <w:r w:rsidRPr="004E3EBB">
        <w:rPr>
          <w:rFonts w:hint="eastAsia"/>
          <w:b/>
          <w:bCs/>
        </w:rPr>
        <w:t xml:space="preserve">第三条 </w:t>
      </w:r>
      <w:r w:rsidR="001E3DA8">
        <w:t>本指南所指金融企业国有资产评估报告（以下简称资产评估报告），由标题</w:t>
      </w:r>
      <w:r w:rsidR="001E3DA8">
        <w:rPr>
          <w:rFonts w:hint="eastAsia"/>
        </w:rPr>
        <w:t>及文号、目录、声明、摘要、正文、附件、评估明细表和评估说明构成。</w:t>
      </w:r>
    </w:p>
    <w:p w14:paraId="0D12172C" w14:textId="5457AC42" w:rsidR="001E3DA8" w:rsidRDefault="004E3EBB" w:rsidP="001E3DA8">
      <w:pPr>
        <w:pStyle w:val="13"/>
        <w:ind w:firstLine="482"/>
      </w:pPr>
      <w:r w:rsidRPr="004E3EBB">
        <w:rPr>
          <w:rFonts w:hint="eastAsia"/>
          <w:b/>
          <w:bCs/>
        </w:rPr>
        <w:t xml:space="preserve">第四条 </w:t>
      </w:r>
      <w:r w:rsidR="001E3DA8">
        <w:t>资产评估机构及其资产评估</w:t>
      </w:r>
      <w:proofErr w:type="gramStart"/>
      <w:r w:rsidR="001E3DA8">
        <w:t>师应当</w:t>
      </w:r>
      <w:proofErr w:type="gramEnd"/>
      <w:r w:rsidR="001E3DA8">
        <w:t>清晰、准确陈述资产评估报告内容，不得使用误导性的表述。</w:t>
      </w:r>
    </w:p>
    <w:p w14:paraId="0A0FBB25" w14:textId="7A4F68B1" w:rsidR="001E3DA8" w:rsidRDefault="004E3EBB" w:rsidP="001E3DA8">
      <w:pPr>
        <w:pStyle w:val="13"/>
        <w:ind w:firstLine="482"/>
      </w:pPr>
      <w:r w:rsidRPr="004E3EBB">
        <w:rPr>
          <w:rFonts w:hint="eastAsia"/>
          <w:b/>
          <w:bCs/>
        </w:rPr>
        <w:t xml:space="preserve">第五条 </w:t>
      </w:r>
      <w:r w:rsidR="001E3DA8">
        <w:t>资产评估报告提供的信息，应当使金融企业国有资产监督管理部门和相关机构能够全面了解资产评估情况，使资产评估报告使用人正确理解评估结论。</w:t>
      </w:r>
    </w:p>
    <w:p w14:paraId="188B2AD9" w14:textId="41940FE4" w:rsidR="001E3DA8" w:rsidRDefault="004E3EBB" w:rsidP="001E3DA8">
      <w:pPr>
        <w:pStyle w:val="13"/>
        <w:ind w:firstLine="482"/>
      </w:pPr>
      <w:r w:rsidRPr="004E3EBB">
        <w:rPr>
          <w:rFonts w:hint="eastAsia"/>
          <w:b/>
          <w:bCs/>
        </w:rPr>
        <w:t xml:space="preserve">第六条 </w:t>
      </w:r>
      <w:r w:rsidR="001E3DA8">
        <w:t>资产评估报告内容应当完整，符合本指南的要求。</w:t>
      </w:r>
    </w:p>
    <w:p w14:paraId="2DF78759" w14:textId="77777777" w:rsidR="001E3DA8" w:rsidRDefault="001E3DA8" w:rsidP="00AF7342">
      <w:pPr>
        <w:pStyle w:val="a9"/>
        <w:spacing w:before="62" w:after="62"/>
      </w:pPr>
      <w:r>
        <w:rPr>
          <w:rFonts w:hint="eastAsia"/>
        </w:rPr>
        <w:t>第二章</w:t>
      </w:r>
      <w:r>
        <w:t xml:space="preserve"> 标题及文号、声明和摘要</w:t>
      </w:r>
    </w:p>
    <w:p w14:paraId="0C1023DF" w14:textId="134A7E18" w:rsidR="001E3DA8" w:rsidRDefault="004E3EBB" w:rsidP="001E3DA8">
      <w:pPr>
        <w:pStyle w:val="13"/>
        <w:ind w:firstLine="482"/>
      </w:pPr>
      <w:r w:rsidRPr="004E3EBB">
        <w:rPr>
          <w:rFonts w:hint="eastAsia"/>
          <w:b/>
          <w:bCs/>
        </w:rPr>
        <w:t xml:space="preserve">第七条 </w:t>
      </w:r>
      <w:r w:rsidR="001E3DA8">
        <w:t>资产评估报告标题应当简明清晰，一般采用“企业名称+经济行为关键词+评估对象+资产评估报告”的形式。</w:t>
      </w:r>
    </w:p>
    <w:p w14:paraId="548BDA6C" w14:textId="54C7979F" w:rsidR="001E3DA8" w:rsidRDefault="004E3EBB" w:rsidP="00CC4D74">
      <w:pPr>
        <w:pStyle w:val="13"/>
        <w:ind w:firstLine="482"/>
      </w:pPr>
      <w:r w:rsidRPr="004E3EBB">
        <w:rPr>
          <w:rFonts w:hint="eastAsia"/>
          <w:b/>
          <w:bCs/>
        </w:rPr>
        <w:t xml:space="preserve">第八条 </w:t>
      </w:r>
      <w:r w:rsidR="001E3DA8">
        <w:t>资产评估报告文</w:t>
      </w:r>
      <w:proofErr w:type="gramStart"/>
      <w:r w:rsidR="001E3DA8">
        <w:t>号包括</w:t>
      </w:r>
      <w:proofErr w:type="gramEnd"/>
      <w:r w:rsidR="001E3DA8">
        <w:t>资产评估机构特征字、种类特征字、年份、报告序</w:t>
      </w:r>
      <w:r w:rsidR="001E3DA8">
        <w:rPr>
          <w:rFonts w:hint="eastAsia"/>
        </w:rPr>
        <w:t>号。</w:t>
      </w:r>
    </w:p>
    <w:p w14:paraId="14475467" w14:textId="6F3F89BC" w:rsidR="001E3DA8" w:rsidRDefault="00E05BDA" w:rsidP="001E3DA8">
      <w:pPr>
        <w:pStyle w:val="13"/>
        <w:ind w:firstLine="482"/>
      </w:pPr>
      <w:r w:rsidRPr="00E05BDA">
        <w:rPr>
          <w:rFonts w:hint="eastAsia"/>
          <w:b/>
          <w:bCs/>
        </w:rPr>
        <w:t xml:space="preserve">第九条 </w:t>
      </w:r>
      <w:r w:rsidR="001E3DA8">
        <w:t>资产评估报告声明通常包括以下内容：</w:t>
      </w:r>
    </w:p>
    <w:p w14:paraId="0F7DADDE" w14:textId="77777777" w:rsidR="001E3DA8" w:rsidRDefault="001E3DA8" w:rsidP="001E3DA8">
      <w:pPr>
        <w:pStyle w:val="13"/>
      </w:pPr>
      <w:r>
        <w:rPr>
          <w:rFonts w:hint="eastAsia"/>
        </w:rPr>
        <w:t>（一）</w:t>
      </w:r>
      <w:proofErr w:type="gramStart"/>
      <w:r>
        <w:rPr>
          <w:rFonts w:hint="eastAsia"/>
        </w:rPr>
        <w:t>本资产</w:t>
      </w:r>
      <w:proofErr w:type="gramEnd"/>
      <w:r>
        <w:rPr>
          <w:rFonts w:hint="eastAsia"/>
        </w:rPr>
        <w:t>评估报告依据财政部发布的资产评估基本准则和中国资产评估协会发布的资产评估执业准则和职业道德准则编制。</w:t>
      </w:r>
    </w:p>
    <w:p w14:paraId="6383C4D6" w14:textId="77777777" w:rsidR="001E3DA8" w:rsidRDefault="001E3DA8" w:rsidP="001E3DA8">
      <w:pPr>
        <w:pStyle w:val="13"/>
      </w:pPr>
      <w:r>
        <w:rPr>
          <w:rFonts w:hint="eastAsia"/>
        </w:rPr>
        <w:t>（二）委托人或者其他资产评估报告使用人应当按照法律、行政法规规定和资产评估报告载明的使用范围使用资产评估报告；委托人或者其他资产评估报告使用人</w:t>
      </w:r>
      <w:r>
        <w:rPr>
          <w:rFonts w:hint="eastAsia"/>
        </w:rPr>
        <w:lastRenderedPageBreak/>
        <w:t>违反前述规定使用资产评估报告的，资产评估机构及其资产评估师不承担责任。</w:t>
      </w:r>
    </w:p>
    <w:p w14:paraId="51231F81" w14:textId="77777777" w:rsidR="001E3DA8" w:rsidRDefault="001E3DA8" w:rsidP="001E3DA8">
      <w:pPr>
        <w:pStyle w:val="13"/>
      </w:pPr>
      <w:r>
        <w:rPr>
          <w:rFonts w:hint="eastAsia"/>
        </w:rPr>
        <w:t>（三）资产评估报告仅供委托人、评估委托合同中约定的其他资产评估报告使用人和法律、行政法规规定的资产评估报告使用人使用；除此之外，其他任何机构和个人不能成为资产评估报告的使用人。</w:t>
      </w:r>
    </w:p>
    <w:p w14:paraId="4B7C88EE" w14:textId="77777777" w:rsidR="001E3DA8" w:rsidRDefault="001E3DA8" w:rsidP="001E3DA8">
      <w:pPr>
        <w:pStyle w:val="13"/>
      </w:pPr>
      <w:r>
        <w:rPr>
          <w:rFonts w:hint="eastAsia"/>
        </w:rPr>
        <w:t>（四）资产评估报告使用人应当正确理解评估结论，评估结论不等同于评估对象可实现价格，评估结论不应当被认为是对评估对象可实现价格的保证。</w:t>
      </w:r>
    </w:p>
    <w:p w14:paraId="039DEFFA" w14:textId="77777777" w:rsidR="001E3DA8" w:rsidRDefault="001E3DA8" w:rsidP="001E3DA8">
      <w:pPr>
        <w:pStyle w:val="13"/>
      </w:pPr>
      <w:r>
        <w:rPr>
          <w:rFonts w:hint="eastAsia"/>
        </w:rPr>
        <w:t>（五）资产评估机构及其资产评估师遵守法律、行政法规和资产评估准则，坚持独立、客观和公正的原则，并对所出具的资产评估报告依法承担责任。</w:t>
      </w:r>
    </w:p>
    <w:p w14:paraId="5D0BF14E" w14:textId="77777777" w:rsidR="001E3DA8" w:rsidRDefault="001E3DA8" w:rsidP="001E3DA8">
      <w:pPr>
        <w:pStyle w:val="13"/>
      </w:pPr>
      <w:r>
        <w:rPr>
          <w:rFonts w:hint="eastAsia"/>
        </w:rPr>
        <w:t>（六）资产评估报告使用人应当关注评估结论成立的假设前提、资产评估报告特别事项说明和使用限制。</w:t>
      </w:r>
    </w:p>
    <w:p w14:paraId="2E3532FA" w14:textId="77777777" w:rsidR="001E3DA8" w:rsidRDefault="001E3DA8" w:rsidP="001E3DA8">
      <w:pPr>
        <w:pStyle w:val="13"/>
      </w:pPr>
      <w:r>
        <w:rPr>
          <w:rFonts w:hint="eastAsia"/>
        </w:rPr>
        <w:t>（七）其他需要声明的内容。</w:t>
      </w:r>
    </w:p>
    <w:p w14:paraId="3B506BF4" w14:textId="11D54316" w:rsidR="001E3DA8" w:rsidRDefault="00E05BDA" w:rsidP="00CC4D74">
      <w:pPr>
        <w:pStyle w:val="13"/>
        <w:ind w:firstLine="482"/>
      </w:pPr>
      <w:r w:rsidRPr="00E05BDA">
        <w:rPr>
          <w:rFonts w:hint="eastAsia"/>
          <w:b/>
          <w:bCs/>
        </w:rPr>
        <w:t xml:space="preserve">第十条 </w:t>
      </w:r>
      <w:r w:rsidR="001E3DA8">
        <w:t>资产评估报告摘要应当简明扼要地反映经济行为、评估目的、评估对象和</w:t>
      </w:r>
      <w:r w:rsidR="001E3DA8">
        <w:rPr>
          <w:rFonts w:hint="eastAsia"/>
        </w:rPr>
        <w:t>评估范围、价值类型、评估基准日、评估方法、评估结论及使用有效期、对评估结论产生影响的特别事项等关键内容。</w:t>
      </w:r>
    </w:p>
    <w:p w14:paraId="582993A7" w14:textId="362F47F6" w:rsidR="001E3DA8" w:rsidRDefault="001E3DA8" w:rsidP="00CC4D74">
      <w:pPr>
        <w:pStyle w:val="13"/>
      </w:pPr>
      <w:r>
        <w:rPr>
          <w:rFonts w:hint="eastAsia"/>
        </w:rPr>
        <w:t>资产评估报告摘要应当采用下述文字提醒资产评估报告使用人阅读全文：“以上内容摘自资产评估报告正文，欲了解本评估业务的详细情况和正确理解评估结论，应当阅读资产评估报告正文。”</w:t>
      </w:r>
    </w:p>
    <w:p w14:paraId="4E124C3A" w14:textId="77777777" w:rsidR="001E3DA8" w:rsidRDefault="001E3DA8" w:rsidP="00AF7342">
      <w:pPr>
        <w:pStyle w:val="a9"/>
        <w:spacing w:before="62" w:after="62"/>
      </w:pPr>
      <w:r>
        <w:rPr>
          <w:rFonts w:hint="eastAsia"/>
        </w:rPr>
        <w:t>第三章</w:t>
      </w:r>
      <w:r>
        <w:t xml:space="preserve"> 正文</w:t>
      </w:r>
    </w:p>
    <w:p w14:paraId="2F032FC1" w14:textId="6695D15B" w:rsidR="001E3DA8" w:rsidRDefault="00E05BDA" w:rsidP="001E3DA8">
      <w:pPr>
        <w:pStyle w:val="13"/>
        <w:ind w:firstLine="482"/>
      </w:pPr>
      <w:r w:rsidRPr="00E05BDA">
        <w:rPr>
          <w:rFonts w:hint="eastAsia"/>
          <w:b/>
          <w:bCs/>
        </w:rPr>
        <w:t xml:space="preserve">第十一条 </w:t>
      </w:r>
      <w:r w:rsidR="001E3DA8">
        <w:t>资产评估报告正文应当包括下列内容：</w:t>
      </w:r>
    </w:p>
    <w:p w14:paraId="284BBB0F" w14:textId="77777777" w:rsidR="001E3DA8" w:rsidRDefault="001E3DA8" w:rsidP="001E3DA8">
      <w:pPr>
        <w:pStyle w:val="13"/>
      </w:pPr>
      <w:r>
        <w:rPr>
          <w:rFonts w:hint="eastAsia"/>
        </w:rPr>
        <w:t>（一）绪言；</w:t>
      </w:r>
    </w:p>
    <w:p w14:paraId="3ADAFE14" w14:textId="4EE88AE6" w:rsidR="001E3DA8" w:rsidRDefault="001E3DA8" w:rsidP="00CC4D74">
      <w:pPr>
        <w:pStyle w:val="13"/>
      </w:pPr>
      <w:r>
        <w:rPr>
          <w:rFonts w:hint="eastAsia"/>
        </w:rPr>
        <w:t>（二）委托人、被评估单位及资产评估委托合同约定的其他资产评估报告使用人概况；</w:t>
      </w:r>
    </w:p>
    <w:p w14:paraId="7E52179C" w14:textId="77777777" w:rsidR="001E3DA8" w:rsidRDefault="001E3DA8" w:rsidP="001E3DA8">
      <w:pPr>
        <w:pStyle w:val="13"/>
      </w:pPr>
      <w:r>
        <w:rPr>
          <w:rFonts w:hint="eastAsia"/>
        </w:rPr>
        <w:t>（三）评估目的；</w:t>
      </w:r>
    </w:p>
    <w:p w14:paraId="2E60AD6A" w14:textId="77777777" w:rsidR="001E3DA8" w:rsidRDefault="001E3DA8" w:rsidP="001E3DA8">
      <w:pPr>
        <w:pStyle w:val="13"/>
      </w:pPr>
      <w:r>
        <w:rPr>
          <w:rFonts w:hint="eastAsia"/>
        </w:rPr>
        <w:t>（四）评估对象和评估范围；</w:t>
      </w:r>
    </w:p>
    <w:p w14:paraId="4DE98B28" w14:textId="77777777" w:rsidR="001E3DA8" w:rsidRDefault="001E3DA8" w:rsidP="001E3DA8">
      <w:pPr>
        <w:pStyle w:val="13"/>
      </w:pPr>
      <w:r>
        <w:rPr>
          <w:rFonts w:hint="eastAsia"/>
        </w:rPr>
        <w:t>（五）价值类型；</w:t>
      </w:r>
    </w:p>
    <w:p w14:paraId="138C5A98" w14:textId="77777777" w:rsidR="001E3DA8" w:rsidRDefault="001E3DA8" w:rsidP="001E3DA8">
      <w:pPr>
        <w:pStyle w:val="13"/>
      </w:pPr>
      <w:r>
        <w:rPr>
          <w:rFonts w:hint="eastAsia"/>
        </w:rPr>
        <w:t>（六）评估基准日；</w:t>
      </w:r>
    </w:p>
    <w:p w14:paraId="0A7C43A0" w14:textId="77777777" w:rsidR="001E3DA8" w:rsidRDefault="001E3DA8" w:rsidP="001E3DA8">
      <w:pPr>
        <w:pStyle w:val="13"/>
      </w:pPr>
      <w:r>
        <w:rPr>
          <w:rFonts w:hint="eastAsia"/>
        </w:rPr>
        <w:t>（七）评估依据；</w:t>
      </w:r>
    </w:p>
    <w:p w14:paraId="5C3B12C3" w14:textId="77777777" w:rsidR="001E3DA8" w:rsidRDefault="001E3DA8" w:rsidP="001E3DA8">
      <w:pPr>
        <w:pStyle w:val="13"/>
      </w:pPr>
      <w:r>
        <w:rPr>
          <w:rFonts w:hint="eastAsia"/>
        </w:rPr>
        <w:t>（八）评估方法；</w:t>
      </w:r>
    </w:p>
    <w:p w14:paraId="614BA12C" w14:textId="77777777" w:rsidR="001E3DA8" w:rsidRDefault="001E3DA8" w:rsidP="001E3DA8">
      <w:pPr>
        <w:pStyle w:val="13"/>
      </w:pPr>
      <w:r>
        <w:rPr>
          <w:rFonts w:hint="eastAsia"/>
        </w:rPr>
        <w:t>（九）评估程序实施过程和情况；</w:t>
      </w:r>
    </w:p>
    <w:p w14:paraId="2D730920" w14:textId="77777777" w:rsidR="001E3DA8" w:rsidRDefault="001E3DA8" w:rsidP="001E3DA8">
      <w:pPr>
        <w:pStyle w:val="13"/>
      </w:pPr>
      <w:r>
        <w:rPr>
          <w:rFonts w:hint="eastAsia"/>
        </w:rPr>
        <w:t>（十）评估假设；</w:t>
      </w:r>
    </w:p>
    <w:p w14:paraId="3131D8EF" w14:textId="77777777" w:rsidR="001E3DA8" w:rsidRDefault="001E3DA8" w:rsidP="001E3DA8">
      <w:pPr>
        <w:pStyle w:val="13"/>
      </w:pPr>
      <w:r>
        <w:rPr>
          <w:rFonts w:hint="eastAsia"/>
        </w:rPr>
        <w:t>（十一）评估结论；</w:t>
      </w:r>
    </w:p>
    <w:p w14:paraId="605C072A" w14:textId="77777777" w:rsidR="001E3DA8" w:rsidRDefault="001E3DA8" w:rsidP="001E3DA8">
      <w:pPr>
        <w:pStyle w:val="13"/>
      </w:pPr>
      <w:r>
        <w:rPr>
          <w:rFonts w:hint="eastAsia"/>
        </w:rPr>
        <w:t>（十二）特别事项说明；</w:t>
      </w:r>
    </w:p>
    <w:p w14:paraId="458BB4E4" w14:textId="77777777" w:rsidR="001E3DA8" w:rsidRDefault="001E3DA8" w:rsidP="001E3DA8">
      <w:pPr>
        <w:pStyle w:val="13"/>
      </w:pPr>
      <w:r>
        <w:rPr>
          <w:rFonts w:hint="eastAsia"/>
        </w:rPr>
        <w:t>（十三）资产评估报告使用限制说明；</w:t>
      </w:r>
    </w:p>
    <w:p w14:paraId="1BA7787B" w14:textId="77777777" w:rsidR="001E3DA8" w:rsidRDefault="001E3DA8" w:rsidP="001E3DA8">
      <w:pPr>
        <w:pStyle w:val="13"/>
      </w:pPr>
      <w:r>
        <w:rPr>
          <w:rFonts w:hint="eastAsia"/>
        </w:rPr>
        <w:t>（十四）资产评估报告日；</w:t>
      </w:r>
    </w:p>
    <w:p w14:paraId="02C5BE82" w14:textId="77777777" w:rsidR="001E3DA8" w:rsidRDefault="001E3DA8" w:rsidP="001E3DA8">
      <w:pPr>
        <w:pStyle w:val="13"/>
      </w:pPr>
      <w:r>
        <w:rPr>
          <w:rFonts w:hint="eastAsia"/>
        </w:rPr>
        <w:lastRenderedPageBreak/>
        <w:t>（十五）签名盖章。</w:t>
      </w:r>
    </w:p>
    <w:p w14:paraId="50F9BF0D" w14:textId="63F5BC82" w:rsidR="007E4B49" w:rsidRPr="001E3DA8" w:rsidRDefault="00E05BDA" w:rsidP="001E3DA8">
      <w:pPr>
        <w:pStyle w:val="13"/>
        <w:ind w:firstLine="482"/>
      </w:pPr>
      <w:r w:rsidRPr="00E05BDA">
        <w:rPr>
          <w:rFonts w:hint="eastAsia"/>
          <w:b/>
          <w:bCs/>
        </w:rPr>
        <w:t xml:space="preserve">第十二条 </w:t>
      </w:r>
      <w:r w:rsidR="001E3DA8">
        <w:t>绪言一般采用包含下列内容的表述格式：</w:t>
      </w:r>
    </w:p>
    <w:p w14:paraId="19C4AEE6" w14:textId="1DBB8859" w:rsidR="007E4B49" w:rsidRDefault="001E3DA8" w:rsidP="00EF0BC2">
      <w:pPr>
        <w:pStyle w:val="13"/>
      </w:pPr>
      <w:r w:rsidRPr="001E3DA8">
        <w:rPr>
          <w:rFonts w:hint="eastAsia"/>
        </w:rPr>
        <w:t>“×××（委托人全称）</w:t>
      </w:r>
      <w:r>
        <w:rPr>
          <w:rFonts w:hint="eastAsia"/>
        </w:rPr>
        <w:t>：</w:t>
      </w:r>
    </w:p>
    <w:p w14:paraId="64EC0E43" w14:textId="4A256DEC" w:rsidR="001E3DA8" w:rsidRDefault="001E3DA8" w:rsidP="00CC4D74">
      <w:pPr>
        <w:pStyle w:val="13"/>
      </w:pPr>
      <w:r>
        <w:rPr>
          <w:rFonts w:hint="eastAsia"/>
        </w:rPr>
        <w:t>×××（资产评估机构全称）接受贵单位（公司）的委托，按照法律、行政法规和资产评估准则的规定，坚持独立、客观、公正的原则，采用×××评估方法（评估方法名称），按照必要的评估程序，对×××（委托人全称）拟实施×××行为（事宜）涉及的×××（资产—单项资产或者资产组合、企业整体价值、股东全部权益、股东部分权益）在××××年××月××日的××价值（价值类型）进行了评估。现将评估情况报告如下。”</w:t>
      </w:r>
      <w:r>
        <w:t xml:space="preserve"> </w:t>
      </w:r>
    </w:p>
    <w:p w14:paraId="4EEC086A" w14:textId="1509B121" w:rsidR="001E3DA8" w:rsidRDefault="00E05BDA" w:rsidP="001E3DA8">
      <w:pPr>
        <w:pStyle w:val="13"/>
        <w:ind w:firstLine="482"/>
      </w:pPr>
      <w:r w:rsidRPr="00E05BDA">
        <w:rPr>
          <w:rFonts w:hint="eastAsia"/>
          <w:b/>
          <w:bCs/>
        </w:rPr>
        <w:t xml:space="preserve">第十三条 </w:t>
      </w:r>
      <w:r w:rsidR="001E3DA8">
        <w:t>资产评估报告正文应当介绍委托人、被评估单位和资产评估委托合同约定的其他资产评估报告使用人的概况。</w:t>
      </w:r>
    </w:p>
    <w:p w14:paraId="500BAFCF" w14:textId="77777777" w:rsidR="001E3DA8" w:rsidRDefault="001E3DA8" w:rsidP="001E3DA8">
      <w:pPr>
        <w:pStyle w:val="13"/>
      </w:pPr>
      <w:r>
        <w:rPr>
          <w:rFonts w:hint="eastAsia"/>
        </w:rPr>
        <w:t>（一）委托人和资产评估委托合同约定的其他资产评估报告使用人概况一般包括企业名称及简称、住所、法定代表人、注册资本、股东构成及主要经营范围等。</w:t>
      </w:r>
    </w:p>
    <w:p w14:paraId="6B648837" w14:textId="77777777" w:rsidR="001E3DA8" w:rsidRDefault="001E3DA8" w:rsidP="001E3DA8">
      <w:pPr>
        <w:pStyle w:val="13"/>
      </w:pPr>
      <w:r>
        <w:rPr>
          <w:rFonts w:hint="eastAsia"/>
        </w:rPr>
        <w:t>委托人、资产评估委托合同约定的其他资产评估报告使用人与被评估单位为同一单位的，按照对被评估单位的要求编写。</w:t>
      </w:r>
    </w:p>
    <w:p w14:paraId="0ACA9507" w14:textId="77777777" w:rsidR="001E3DA8" w:rsidRDefault="001E3DA8" w:rsidP="001E3DA8">
      <w:pPr>
        <w:pStyle w:val="13"/>
      </w:pPr>
      <w:r>
        <w:rPr>
          <w:rFonts w:hint="eastAsia"/>
        </w:rPr>
        <w:t>（二）被评估单位概况应当按以下要求编写：</w:t>
      </w:r>
    </w:p>
    <w:p w14:paraId="18C3E884" w14:textId="77777777" w:rsidR="001E3DA8" w:rsidRDefault="001E3DA8" w:rsidP="001E3DA8">
      <w:pPr>
        <w:pStyle w:val="13"/>
      </w:pPr>
      <w:r>
        <w:t>1、企业价值评估中，被评估单位概况一般包括：</w:t>
      </w:r>
    </w:p>
    <w:p w14:paraId="2EBBC18F" w14:textId="18F6E4CF" w:rsidR="001E3DA8" w:rsidRDefault="001E3DA8" w:rsidP="001E3DA8">
      <w:pPr>
        <w:pStyle w:val="13"/>
      </w:pPr>
      <w:r>
        <w:rPr>
          <w:rFonts w:hint="eastAsia"/>
        </w:rPr>
        <w:t>（</w:t>
      </w:r>
      <w:r>
        <w:t>1）企业名称及简称、住所、法定代表人、主要经营范围、经营产品、注册资本、取得金融业务许可证或者主管部门准入批复文件、企业股东及持股比例、企业股权变更等历史沿革情况；</w:t>
      </w:r>
    </w:p>
    <w:p w14:paraId="73FD47DD" w14:textId="2DD151A7" w:rsidR="001E3DA8" w:rsidRDefault="001E3DA8" w:rsidP="001E3DA8">
      <w:pPr>
        <w:pStyle w:val="13"/>
      </w:pPr>
      <w:r>
        <w:rPr>
          <w:rFonts w:hint="eastAsia"/>
        </w:rPr>
        <w:t>（</w:t>
      </w:r>
      <w:r>
        <w:t>2）被评估单位主要股东介绍，一般包括主要股东的名称、住所、法定代表人、主要经营范围、注册资本及经营业绩；</w:t>
      </w:r>
    </w:p>
    <w:p w14:paraId="56BADCF9" w14:textId="52363408" w:rsidR="001E3DA8" w:rsidRDefault="001E3DA8" w:rsidP="001E3DA8">
      <w:pPr>
        <w:pStyle w:val="13"/>
      </w:pPr>
      <w:r>
        <w:rPr>
          <w:rFonts w:hint="eastAsia"/>
        </w:rPr>
        <w:t>（</w:t>
      </w:r>
      <w:r>
        <w:t>3）企业的财务核算体系介绍，近三年资产、财务及经营状况；</w:t>
      </w:r>
    </w:p>
    <w:p w14:paraId="59BC27AE" w14:textId="0476F1E0" w:rsidR="001E3DA8" w:rsidRDefault="001E3DA8" w:rsidP="001E3DA8">
      <w:pPr>
        <w:pStyle w:val="13"/>
      </w:pPr>
      <w:r>
        <w:rPr>
          <w:rFonts w:hint="eastAsia"/>
        </w:rPr>
        <w:t>（</w:t>
      </w:r>
      <w:r>
        <w:t>4）企业各子公司、分公司及主要部门的构成情况，并以适当的形式表明各级子公司的股权结构及股权比例；</w:t>
      </w:r>
    </w:p>
    <w:p w14:paraId="224B1548" w14:textId="7695CA32" w:rsidR="001E3DA8" w:rsidRDefault="001E3DA8" w:rsidP="001E3DA8">
      <w:pPr>
        <w:pStyle w:val="13"/>
      </w:pPr>
      <w:r>
        <w:rPr>
          <w:rFonts w:hint="eastAsia"/>
        </w:rPr>
        <w:t>（</w:t>
      </w:r>
      <w:r>
        <w:t>5）企业经营特点。如：银行信贷资产的种类、规模及质量等，营业网点及分布情况、市场地位情况等；保险公司的主要险种、保费收入、赔付情况、市场地位等；证券公司的经纪业务、自营业务、承销业务的规模和收入比重，营业网点数量及分布情况，市场地位等。</w:t>
      </w:r>
    </w:p>
    <w:p w14:paraId="357C212E" w14:textId="77777777" w:rsidR="001E3DA8" w:rsidRDefault="001E3DA8" w:rsidP="001E3DA8">
      <w:pPr>
        <w:pStyle w:val="13"/>
      </w:pPr>
      <w:r>
        <w:t>2、单项资产或者资产组合评估，被评估单位概况一般包括企业名称及简称、住所、法定代表人、注册资本、股东构成及主要经营范围等。</w:t>
      </w:r>
    </w:p>
    <w:p w14:paraId="596E049F" w14:textId="77777777" w:rsidR="00CC4D74" w:rsidRDefault="001E3DA8" w:rsidP="00CC4D74">
      <w:pPr>
        <w:pStyle w:val="13"/>
      </w:pPr>
      <w:r>
        <w:rPr>
          <w:rFonts w:hint="eastAsia"/>
        </w:rPr>
        <w:t>（三）委托人和被评估单位及资产评估委托合同约定的其他资产评估报告使用人之间的关系，如产权关系、交易关系等。若存在关联交易，应当说明关联方、交易方式等基本情况。</w:t>
      </w:r>
    </w:p>
    <w:p w14:paraId="07BA95B2" w14:textId="286DDB89" w:rsidR="001E3DA8" w:rsidRDefault="00E05BDA" w:rsidP="00CC4D74">
      <w:pPr>
        <w:pStyle w:val="13"/>
        <w:ind w:firstLine="482"/>
      </w:pPr>
      <w:r w:rsidRPr="00E05BDA">
        <w:rPr>
          <w:rFonts w:hint="eastAsia"/>
          <w:b/>
          <w:bCs/>
        </w:rPr>
        <w:lastRenderedPageBreak/>
        <w:t xml:space="preserve">第十四条 </w:t>
      </w:r>
      <w:r w:rsidR="001E3DA8">
        <w:t>资产评估报告应当说明本次资产评估的目的及其所对应的经济行为，并说明该经济行为获得批准的相关情况或者其他经济行为依据。</w:t>
      </w:r>
    </w:p>
    <w:p w14:paraId="1C0D7B99" w14:textId="29B9897D" w:rsidR="001E3DA8" w:rsidRDefault="00E05BDA" w:rsidP="001E3DA8">
      <w:pPr>
        <w:pStyle w:val="13"/>
        <w:ind w:firstLine="482"/>
      </w:pPr>
      <w:r w:rsidRPr="00E05BDA">
        <w:rPr>
          <w:rFonts w:hint="eastAsia"/>
          <w:b/>
          <w:bCs/>
        </w:rPr>
        <w:t xml:space="preserve">第十五条 </w:t>
      </w:r>
      <w:r w:rsidR="001E3DA8">
        <w:t>资产评估报告应当对评估对象进行具体描述，以文字、表格等方式说明评估范围。</w:t>
      </w:r>
    </w:p>
    <w:p w14:paraId="4C4B5D52" w14:textId="77777777" w:rsidR="001E3DA8" w:rsidRDefault="001E3DA8" w:rsidP="001E3DA8">
      <w:pPr>
        <w:pStyle w:val="13"/>
      </w:pPr>
      <w:r>
        <w:rPr>
          <w:rFonts w:hint="eastAsia"/>
        </w:rPr>
        <w:t>企业价值评估中，通常需要说明下列内容：</w:t>
      </w:r>
    </w:p>
    <w:p w14:paraId="0247EA3C" w14:textId="2AC746FA" w:rsidR="001E3DA8" w:rsidRDefault="001E3DA8" w:rsidP="001E3DA8">
      <w:pPr>
        <w:pStyle w:val="13"/>
      </w:pPr>
      <w:r>
        <w:rPr>
          <w:rFonts w:hint="eastAsia"/>
        </w:rPr>
        <w:t>（一）委托评估对象和评估范围与经济行为涉及的评估对象和评估范围是否一致</w:t>
      </w:r>
      <w:r w:rsidR="00CC4D74">
        <w:rPr>
          <w:rFonts w:hint="eastAsia"/>
        </w:rPr>
        <w:t>，</w:t>
      </w:r>
      <w:r>
        <w:t>不一致的说明原因，并说明是否经过审计、审计意见类型及审计期间；</w:t>
      </w:r>
    </w:p>
    <w:p w14:paraId="1BF1B24D" w14:textId="77777777" w:rsidR="001E3DA8" w:rsidRDefault="001E3DA8" w:rsidP="001E3DA8">
      <w:pPr>
        <w:pStyle w:val="13"/>
      </w:pPr>
      <w:r>
        <w:rPr>
          <w:rFonts w:hint="eastAsia"/>
        </w:rPr>
        <w:t>（二）企业表外业务的类型、数量；</w:t>
      </w:r>
    </w:p>
    <w:p w14:paraId="2251F7CA" w14:textId="77777777" w:rsidR="001E3DA8" w:rsidRDefault="001E3DA8" w:rsidP="001E3DA8">
      <w:pPr>
        <w:pStyle w:val="13"/>
      </w:pPr>
      <w:r>
        <w:rPr>
          <w:rFonts w:hint="eastAsia"/>
        </w:rPr>
        <w:t>（三）企业的客户资源、营销网络及业务合同等无形资产；</w:t>
      </w:r>
    </w:p>
    <w:p w14:paraId="3D9BB342" w14:textId="77777777" w:rsidR="001E3DA8" w:rsidRDefault="001E3DA8" w:rsidP="001E3DA8">
      <w:pPr>
        <w:pStyle w:val="13"/>
      </w:pPr>
      <w:r>
        <w:rPr>
          <w:rFonts w:hint="eastAsia"/>
        </w:rPr>
        <w:t>（四）引用其他机构出具的报告结论所涉及的资产类型、数量和账面金额（或者评估值）。</w:t>
      </w:r>
    </w:p>
    <w:p w14:paraId="1938D1A2" w14:textId="77777777" w:rsidR="001E3DA8" w:rsidRDefault="001E3DA8" w:rsidP="001E3DA8">
      <w:pPr>
        <w:pStyle w:val="13"/>
      </w:pPr>
      <w:r>
        <w:rPr>
          <w:rFonts w:hint="eastAsia"/>
        </w:rPr>
        <w:t>单项资产或者资产组合评估，通常需要说明委托评估资产的数量、法律权属状况、经济状况等。</w:t>
      </w:r>
    </w:p>
    <w:p w14:paraId="33CEE17C" w14:textId="734E0077" w:rsidR="001E3DA8" w:rsidRDefault="00E05BDA" w:rsidP="001E3DA8">
      <w:pPr>
        <w:pStyle w:val="13"/>
        <w:ind w:firstLine="482"/>
      </w:pPr>
      <w:r w:rsidRPr="00E05BDA">
        <w:rPr>
          <w:rFonts w:hint="eastAsia"/>
          <w:b/>
          <w:bCs/>
        </w:rPr>
        <w:t xml:space="preserve">第十六条 </w:t>
      </w:r>
      <w:r w:rsidR="001E3DA8">
        <w:t>资产评估报告应当明确价值类型及其定义。选择市场价值以外的价值类型，还应当说明价值类型选择理由。</w:t>
      </w:r>
    </w:p>
    <w:p w14:paraId="22AD1D47" w14:textId="3E55A616" w:rsidR="001E3DA8" w:rsidRDefault="00E05BDA" w:rsidP="001E3DA8">
      <w:pPr>
        <w:pStyle w:val="13"/>
        <w:ind w:firstLine="482"/>
      </w:pPr>
      <w:r w:rsidRPr="00E05BDA">
        <w:rPr>
          <w:rFonts w:hint="eastAsia"/>
          <w:b/>
          <w:bCs/>
        </w:rPr>
        <w:t xml:space="preserve">第十七条 </w:t>
      </w:r>
      <w:r w:rsidR="001E3DA8">
        <w:t>资产评估报告应当说明评估基准日及确定评估基准日所考虑的主要因素。如：经济行为的实现；会计期末及国家相关部门制定的监管指标变动情况；利率、汇率和金融产品市场价格变化；特定经济行为文件的约束等。</w:t>
      </w:r>
    </w:p>
    <w:p w14:paraId="6648EE5A" w14:textId="633ECA08" w:rsidR="001E3DA8" w:rsidRDefault="00E05BDA" w:rsidP="001E3DA8">
      <w:pPr>
        <w:pStyle w:val="13"/>
        <w:ind w:firstLine="482"/>
      </w:pPr>
      <w:r w:rsidRPr="00E05BDA">
        <w:rPr>
          <w:rFonts w:hint="eastAsia"/>
          <w:b/>
          <w:bCs/>
        </w:rPr>
        <w:t xml:space="preserve">第十八条 </w:t>
      </w:r>
      <w:r w:rsidR="001E3DA8">
        <w:t>资产评估报告应当说明本次评估业务所对应的经济行为、法律法规、评估准则、权属、取价等依据：</w:t>
      </w:r>
    </w:p>
    <w:p w14:paraId="16ECF06E" w14:textId="77777777" w:rsidR="001E3DA8" w:rsidRDefault="001E3DA8" w:rsidP="001E3DA8">
      <w:pPr>
        <w:pStyle w:val="13"/>
      </w:pPr>
      <w:r>
        <w:rPr>
          <w:rFonts w:hint="eastAsia"/>
        </w:rPr>
        <w:t>（一）经济行为依据应当为有效批复文件以及可以说明经济行为及其所涉及的评估对象与评估范围的其他文件资料；</w:t>
      </w:r>
    </w:p>
    <w:p w14:paraId="1AD0577F" w14:textId="77777777" w:rsidR="001E3DA8" w:rsidRDefault="001E3DA8" w:rsidP="001E3DA8">
      <w:pPr>
        <w:pStyle w:val="13"/>
      </w:pPr>
      <w:r>
        <w:rPr>
          <w:rFonts w:hint="eastAsia"/>
        </w:rPr>
        <w:t>（二）法律法规依据通常包括与金融企业国有资产评估有关的法律法规等；</w:t>
      </w:r>
    </w:p>
    <w:p w14:paraId="45B96B11" w14:textId="77777777" w:rsidR="001E3DA8" w:rsidRDefault="001E3DA8" w:rsidP="001E3DA8">
      <w:pPr>
        <w:pStyle w:val="13"/>
      </w:pPr>
      <w:r>
        <w:rPr>
          <w:rFonts w:hint="eastAsia"/>
        </w:rPr>
        <w:t>（三）评估准则依据包括评估业务中依据的相关资产评估准则和相关规范；</w:t>
      </w:r>
    </w:p>
    <w:p w14:paraId="754D5366" w14:textId="77777777" w:rsidR="001E3DA8" w:rsidRDefault="001E3DA8" w:rsidP="001E3DA8">
      <w:pPr>
        <w:pStyle w:val="13"/>
      </w:pPr>
      <w:r>
        <w:rPr>
          <w:rFonts w:hint="eastAsia"/>
        </w:rPr>
        <w:t>（四）权属依据通常包括国有资产产权登记证书、基准</w:t>
      </w:r>
      <w:proofErr w:type="gramStart"/>
      <w:r>
        <w:rPr>
          <w:rFonts w:hint="eastAsia"/>
        </w:rPr>
        <w:t>日股份</w:t>
      </w:r>
      <w:proofErr w:type="gramEnd"/>
      <w:r>
        <w:rPr>
          <w:rFonts w:hint="eastAsia"/>
        </w:rPr>
        <w:t>持有证明、出资证明、信贷合同、保险合同、委托理财合同、国有土地使用证（或者国有土地使用权出让合同）、房屋所有权证、房地产权证（或者不动产权证书）、专利证书、商标注册证、著作权（版权）相关权属证明、机动车行驶证、抵债合同、抵押登记资料等其他权属证明文件；</w:t>
      </w:r>
    </w:p>
    <w:p w14:paraId="52DC9D97" w14:textId="77777777" w:rsidR="001E3DA8" w:rsidRDefault="001E3DA8" w:rsidP="001E3DA8">
      <w:pPr>
        <w:pStyle w:val="13"/>
      </w:pPr>
      <w:r>
        <w:rPr>
          <w:rFonts w:hint="eastAsia"/>
        </w:rPr>
        <w:t>（五）取</w:t>
      </w:r>
      <w:proofErr w:type="gramStart"/>
      <w:r>
        <w:rPr>
          <w:rFonts w:hint="eastAsia"/>
        </w:rPr>
        <w:t>价依据</w:t>
      </w:r>
      <w:proofErr w:type="gramEnd"/>
      <w:r>
        <w:rPr>
          <w:rFonts w:hint="eastAsia"/>
        </w:rPr>
        <w:t>通常包括企业提供的财务会计、经营方面的资料，国家有关部门发布的统计资料、技术标准和政策文件，以及评估机构收集的资本市场资料等。</w:t>
      </w:r>
    </w:p>
    <w:p w14:paraId="74969826" w14:textId="69FB8FA0" w:rsidR="001E3DA8" w:rsidRDefault="00E05BDA" w:rsidP="001E3DA8">
      <w:pPr>
        <w:pStyle w:val="13"/>
        <w:ind w:firstLine="482"/>
      </w:pPr>
      <w:r w:rsidRPr="00E05BDA">
        <w:rPr>
          <w:rFonts w:hint="eastAsia"/>
          <w:b/>
          <w:bCs/>
        </w:rPr>
        <w:t xml:space="preserve">第十九条 </w:t>
      </w:r>
      <w:r w:rsidR="001E3DA8">
        <w:t>资产评估报告应当说明所选用的评估方法及其理由。</w:t>
      </w:r>
    </w:p>
    <w:p w14:paraId="5057D207" w14:textId="77777777" w:rsidR="001E3DA8" w:rsidRDefault="001E3DA8" w:rsidP="001E3DA8">
      <w:pPr>
        <w:pStyle w:val="13"/>
      </w:pPr>
      <w:r>
        <w:rPr>
          <w:rFonts w:hint="eastAsia"/>
        </w:rPr>
        <w:t>未采用两种以上评估方法进行评估，资产评估报告应当披露其他基本评估方法不适用的原因或者所受的操作限制。</w:t>
      </w:r>
    </w:p>
    <w:p w14:paraId="542149DB" w14:textId="77777777" w:rsidR="001E3DA8" w:rsidRDefault="001E3DA8" w:rsidP="001E3DA8">
      <w:pPr>
        <w:pStyle w:val="13"/>
      </w:pPr>
      <w:r>
        <w:rPr>
          <w:rFonts w:hint="eastAsia"/>
        </w:rPr>
        <w:lastRenderedPageBreak/>
        <w:t>采用收益法、市场法评估的，应当对评估过程及主要参数的选取进行说明。</w:t>
      </w:r>
    </w:p>
    <w:p w14:paraId="1C1B454E" w14:textId="77777777" w:rsidR="001E3DA8" w:rsidRDefault="001E3DA8" w:rsidP="001E3DA8">
      <w:pPr>
        <w:pStyle w:val="13"/>
      </w:pPr>
      <w:r>
        <w:rPr>
          <w:rFonts w:hint="eastAsia"/>
        </w:rPr>
        <w:t>采用资产基础</w:t>
      </w:r>
      <w:proofErr w:type="gramStart"/>
      <w:r>
        <w:rPr>
          <w:rFonts w:hint="eastAsia"/>
        </w:rPr>
        <w:t>法或者</w:t>
      </w:r>
      <w:proofErr w:type="gramEnd"/>
      <w:r>
        <w:rPr>
          <w:rFonts w:hint="eastAsia"/>
        </w:rPr>
        <w:t>成本法评估的，应当对主要资产及负债的评估方法进行说明。采用两种以上方法进行企业价值评估的，还应当说明评估结论确定的方法。</w:t>
      </w:r>
    </w:p>
    <w:p w14:paraId="5D3E86A5" w14:textId="29092057" w:rsidR="001E3DA8" w:rsidRDefault="00E05BDA" w:rsidP="001E3DA8">
      <w:pPr>
        <w:pStyle w:val="13"/>
        <w:ind w:firstLine="482"/>
      </w:pPr>
      <w:r w:rsidRPr="00E05BDA">
        <w:rPr>
          <w:rFonts w:hint="eastAsia"/>
          <w:b/>
          <w:bCs/>
        </w:rPr>
        <w:t xml:space="preserve">第二十条 </w:t>
      </w:r>
      <w:r w:rsidR="001E3DA8">
        <w:t>资产评估报告应当</w:t>
      </w:r>
      <w:proofErr w:type="gramStart"/>
      <w:r w:rsidR="001E3DA8">
        <w:t>说明自</w:t>
      </w:r>
      <w:proofErr w:type="gramEnd"/>
      <w:r w:rsidR="001E3DA8">
        <w:t>接受资产评估业务委托起至出具资产评估报告的主要评估工作过程，一般包括以下内容：</w:t>
      </w:r>
    </w:p>
    <w:p w14:paraId="42C04274" w14:textId="77777777" w:rsidR="001E3DA8" w:rsidRDefault="001E3DA8" w:rsidP="001E3DA8">
      <w:pPr>
        <w:pStyle w:val="13"/>
      </w:pPr>
      <w:r>
        <w:rPr>
          <w:rFonts w:hint="eastAsia"/>
        </w:rPr>
        <w:t>（一）接受项目委托，确定评估目的、评估对象与评估范围、评估基准日，拟定评估计划等过程；</w:t>
      </w:r>
    </w:p>
    <w:p w14:paraId="64C2462A" w14:textId="77777777" w:rsidR="001E3DA8" w:rsidRDefault="001E3DA8" w:rsidP="001E3DA8">
      <w:pPr>
        <w:pStyle w:val="13"/>
      </w:pPr>
      <w:r>
        <w:rPr>
          <w:rFonts w:hint="eastAsia"/>
        </w:rPr>
        <w:t>（二）指导被评估单位清查资产、准备评估资料，核实资产与验证资料等过程；</w:t>
      </w:r>
    </w:p>
    <w:p w14:paraId="0C0A93ED" w14:textId="77777777" w:rsidR="001E3DA8" w:rsidRDefault="001E3DA8" w:rsidP="001E3DA8">
      <w:pPr>
        <w:pStyle w:val="13"/>
      </w:pPr>
      <w:r>
        <w:rPr>
          <w:rFonts w:hint="eastAsia"/>
        </w:rPr>
        <w:t>（三）选择评估方法、收集市场信息和估算等过程；</w:t>
      </w:r>
    </w:p>
    <w:p w14:paraId="0B087D2F" w14:textId="77777777" w:rsidR="00CC4D74" w:rsidRDefault="001E3DA8" w:rsidP="001E3DA8">
      <w:pPr>
        <w:pStyle w:val="13"/>
      </w:pPr>
      <w:r>
        <w:rPr>
          <w:rFonts w:hint="eastAsia"/>
        </w:rPr>
        <w:t>（四）评估结果汇总、评估结论分析、撰写资产评估报告和内部审核等过程。</w:t>
      </w:r>
    </w:p>
    <w:p w14:paraId="0CD99656" w14:textId="577F0FF6" w:rsidR="001E3DA8" w:rsidRDefault="00E05BDA" w:rsidP="001E3DA8">
      <w:pPr>
        <w:pStyle w:val="13"/>
        <w:ind w:firstLine="482"/>
      </w:pPr>
      <w:r w:rsidRPr="00E05BDA">
        <w:rPr>
          <w:rFonts w:hint="eastAsia"/>
          <w:b/>
          <w:bCs/>
        </w:rPr>
        <w:t xml:space="preserve">第二十一条 </w:t>
      </w:r>
      <w:r w:rsidR="001E3DA8">
        <w:t>资产评估报告应当说明资产评估所使用的假设。</w:t>
      </w:r>
    </w:p>
    <w:p w14:paraId="12690D4E" w14:textId="05B96A43" w:rsidR="001E3DA8" w:rsidRDefault="00E05BDA" w:rsidP="001E3DA8">
      <w:pPr>
        <w:pStyle w:val="13"/>
        <w:ind w:firstLine="482"/>
      </w:pPr>
      <w:r w:rsidRPr="00E05BDA">
        <w:rPr>
          <w:rFonts w:hint="eastAsia"/>
          <w:b/>
          <w:bCs/>
        </w:rPr>
        <w:t xml:space="preserve">第二十二条 </w:t>
      </w:r>
      <w:r w:rsidR="001E3DA8">
        <w:t>资产评估报告应当以文字和数字形式清晰说明评估结论，并明确评估结论的使用有效期。评估结论通常是确定的数值。特殊经济行为的评估结论也可以用区间值表达：</w:t>
      </w:r>
    </w:p>
    <w:p w14:paraId="63301551" w14:textId="77777777" w:rsidR="001E3DA8" w:rsidRDefault="001E3DA8" w:rsidP="001E3DA8">
      <w:pPr>
        <w:pStyle w:val="13"/>
      </w:pPr>
      <w:r>
        <w:rPr>
          <w:rFonts w:hint="eastAsia"/>
        </w:rPr>
        <w:t>（一）采用资产基础法进行企业价值评估，应当以文字形式说明资产、负债、所有者权益（净资产）的账面价值、评估价值及其增减幅度，并同时采用评估结果汇总表反映评估结论；</w:t>
      </w:r>
    </w:p>
    <w:p w14:paraId="46AEB62B" w14:textId="77777777" w:rsidR="001E3DA8" w:rsidRDefault="001E3DA8" w:rsidP="001E3DA8">
      <w:pPr>
        <w:pStyle w:val="13"/>
      </w:pPr>
      <w:r>
        <w:rPr>
          <w:rFonts w:hint="eastAsia"/>
        </w:rPr>
        <w:t>（二）单项资产或者资产组合评估，应当以文字形式说明账面价值、评估价值及其增减幅度；</w:t>
      </w:r>
    </w:p>
    <w:p w14:paraId="378F5F1F" w14:textId="62BEF315" w:rsidR="001E3DA8" w:rsidRDefault="001E3DA8" w:rsidP="001E3DA8">
      <w:pPr>
        <w:pStyle w:val="13"/>
      </w:pPr>
      <w:r>
        <w:rPr>
          <w:rFonts w:hint="eastAsia"/>
        </w:rPr>
        <w:t>（三）采用两种以上方法进行企业价值评估，除单独说明评估价值和增减幅度外</w:t>
      </w:r>
      <w:r w:rsidR="00CC4D74">
        <w:rPr>
          <w:rFonts w:hint="eastAsia"/>
        </w:rPr>
        <w:t>，</w:t>
      </w:r>
      <w:r>
        <w:t>应当说明两种以上评估方法结论的差异及其原因和最终确定的评估结论及其理由；</w:t>
      </w:r>
    </w:p>
    <w:p w14:paraId="1240F764" w14:textId="77777777" w:rsidR="001E3DA8" w:rsidRDefault="001E3DA8" w:rsidP="001E3DA8">
      <w:pPr>
        <w:pStyle w:val="13"/>
      </w:pPr>
      <w:r>
        <w:rPr>
          <w:rFonts w:hint="eastAsia"/>
        </w:rPr>
        <w:t>（四）存在多家被评估单位的项目，应当分别说明各单位的评估价值；</w:t>
      </w:r>
    </w:p>
    <w:p w14:paraId="17A29F75" w14:textId="5FB717D0" w:rsidR="001E3DA8" w:rsidRDefault="001E3DA8" w:rsidP="00CC4D74">
      <w:pPr>
        <w:pStyle w:val="13"/>
      </w:pPr>
      <w:r>
        <w:rPr>
          <w:rFonts w:hint="eastAsia"/>
        </w:rPr>
        <w:t>（五）特殊情况下，在与经济行为相匹配的前提下，评估结论可以用区间值表示，同时给出确定数值评估结论的建议。</w:t>
      </w:r>
    </w:p>
    <w:p w14:paraId="54CC06B2" w14:textId="1522CE4A" w:rsidR="001E3DA8" w:rsidRDefault="00E05BDA" w:rsidP="001E3DA8">
      <w:pPr>
        <w:pStyle w:val="13"/>
        <w:ind w:firstLine="482"/>
      </w:pPr>
      <w:r w:rsidRPr="00E05BDA">
        <w:rPr>
          <w:rFonts w:hint="eastAsia"/>
          <w:b/>
          <w:bCs/>
        </w:rPr>
        <w:t xml:space="preserve">第二十三条 </w:t>
      </w:r>
      <w:r w:rsidR="001E3DA8">
        <w:t>资产评估报告应当说明评估程序受到的限制、评估特殊处理、评估结论瑕疵以及期后事项等特别事项，通常包括下列内容：</w:t>
      </w:r>
    </w:p>
    <w:p w14:paraId="3229C789" w14:textId="77777777" w:rsidR="001E3DA8" w:rsidRDefault="001E3DA8" w:rsidP="001E3DA8">
      <w:pPr>
        <w:pStyle w:val="13"/>
      </w:pPr>
      <w:r>
        <w:rPr>
          <w:rFonts w:hint="eastAsia"/>
        </w:rPr>
        <w:t>（一）引用其他机构出具的报告结论情况，并说明承担引用不当的相关责任；</w:t>
      </w:r>
    </w:p>
    <w:p w14:paraId="07D8A9B1" w14:textId="77777777" w:rsidR="001E3DA8" w:rsidRDefault="001E3DA8" w:rsidP="001E3DA8">
      <w:pPr>
        <w:pStyle w:val="13"/>
      </w:pPr>
      <w:r>
        <w:rPr>
          <w:rFonts w:hint="eastAsia"/>
        </w:rPr>
        <w:t>（二）因权属资料不全面或者存在瑕疵、评估资料不完整等使评估程序受到限制的情形；</w:t>
      </w:r>
    </w:p>
    <w:p w14:paraId="1DF29364" w14:textId="77777777" w:rsidR="001E3DA8" w:rsidRDefault="001E3DA8" w:rsidP="001E3DA8">
      <w:pPr>
        <w:pStyle w:val="13"/>
      </w:pPr>
      <w:r>
        <w:rPr>
          <w:rFonts w:hint="eastAsia"/>
        </w:rPr>
        <w:t>（三）评估基准</w:t>
      </w:r>
      <w:proofErr w:type="gramStart"/>
      <w:r>
        <w:rPr>
          <w:rFonts w:hint="eastAsia"/>
        </w:rPr>
        <w:t>日存在</w:t>
      </w:r>
      <w:proofErr w:type="gramEnd"/>
      <w:r>
        <w:rPr>
          <w:rFonts w:hint="eastAsia"/>
        </w:rPr>
        <w:t>的法律、经济等未决事项；</w:t>
      </w:r>
    </w:p>
    <w:p w14:paraId="7E0D1D9E" w14:textId="77777777" w:rsidR="001E3DA8" w:rsidRDefault="001E3DA8" w:rsidP="001E3DA8">
      <w:pPr>
        <w:pStyle w:val="13"/>
      </w:pPr>
      <w:r>
        <w:rPr>
          <w:rFonts w:hint="eastAsia"/>
        </w:rPr>
        <w:t>（四）或有负债（或有资产）的性质、金额及与评估对象的关系；</w:t>
      </w:r>
    </w:p>
    <w:p w14:paraId="583642BD" w14:textId="77777777" w:rsidR="001E3DA8" w:rsidRDefault="001E3DA8" w:rsidP="001E3DA8">
      <w:pPr>
        <w:pStyle w:val="13"/>
      </w:pPr>
      <w:r>
        <w:rPr>
          <w:rFonts w:hint="eastAsia"/>
        </w:rPr>
        <w:t>（五）被评估单位执行国家相关部门制定的行业监管指标的情况；</w:t>
      </w:r>
    </w:p>
    <w:p w14:paraId="34AB2EBE" w14:textId="77777777" w:rsidR="001E3DA8" w:rsidRDefault="001E3DA8" w:rsidP="001E3DA8">
      <w:pPr>
        <w:pStyle w:val="13"/>
      </w:pPr>
      <w:r>
        <w:rPr>
          <w:rFonts w:hint="eastAsia"/>
        </w:rPr>
        <w:t>（六）评估基准日至资产评估报告日之间可能对评估结论产生重大影响的事项，</w:t>
      </w:r>
      <w:r>
        <w:rPr>
          <w:rFonts w:hint="eastAsia"/>
        </w:rPr>
        <w:lastRenderedPageBreak/>
        <w:t>包括该期间利率、汇率、金融产品市场价格变化及国家对金融企业监管政策的变化等；</w:t>
      </w:r>
    </w:p>
    <w:p w14:paraId="262CFFF3" w14:textId="77777777" w:rsidR="001E3DA8" w:rsidRDefault="001E3DA8" w:rsidP="001E3DA8">
      <w:pPr>
        <w:pStyle w:val="13"/>
      </w:pPr>
      <w:r>
        <w:rPr>
          <w:rFonts w:hint="eastAsia"/>
        </w:rPr>
        <w:t>（七）评估对应的经济行为中，可能对评估结论产生重大影响的瑕疵情形。</w:t>
      </w:r>
    </w:p>
    <w:p w14:paraId="2763C759" w14:textId="77777777" w:rsidR="001E3DA8" w:rsidRDefault="001E3DA8" w:rsidP="001E3DA8">
      <w:pPr>
        <w:pStyle w:val="13"/>
      </w:pPr>
      <w:r>
        <w:rPr>
          <w:rFonts w:hint="eastAsia"/>
        </w:rPr>
        <w:t>资产评估报告应当说明对特别事项的处理方式、特别事项对评估结论可能产生的影响，并提示资产评估报告使用人关注其对经济行为的影响。</w:t>
      </w:r>
    </w:p>
    <w:p w14:paraId="39E37268" w14:textId="601EB645" w:rsidR="001E3DA8" w:rsidRDefault="00E05BDA" w:rsidP="001E3DA8">
      <w:pPr>
        <w:pStyle w:val="13"/>
        <w:ind w:firstLine="482"/>
      </w:pPr>
      <w:r w:rsidRPr="00E05BDA">
        <w:rPr>
          <w:rFonts w:hint="eastAsia"/>
          <w:b/>
          <w:bCs/>
        </w:rPr>
        <w:t xml:space="preserve">第二十四条 </w:t>
      </w:r>
      <w:r w:rsidR="001E3DA8">
        <w:t>资产评估报告使用限制应当载明：</w:t>
      </w:r>
    </w:p>
    <w:p w14:paraId="65A8C7C9" w14:textId="77777777" w:rsidR="001E3DA8" w:rsidRDefault="001E3DA8" w:rsidP="001E3DA8">
      <w:pPr>
        <w:pStyle w:val="13"/>
      </w:pPr>
      <w:r>
        <w:rPr>
          <w:rFonts w:hint="eastAsia"/>
        </w:rPr>
        <w:t>（一）使用范围；</w:t>
      </w:r>
    </w:p>
    <w:p w14:paraId="17055937" w14:textId="77777777" w:rsidR="001E3DA8" w:rsidRDefault="001E3DA8" w:rsidP="001E3DA8">
      <w:pPr>
        <w:pStyle w:val="13"/>
      </w:pPr>
      <w:r>
        <w:rPr>
          <w:rFonts w:hint="eastAsia"/>
        </w:rPr>
        <w:t>（二）委托人或者其他资产评估报告使用人未按照法律、行政法规规定和资产评估报告载明的使用范围使用资产评估报告的，资产评估机构及其资产评估专业人员不承担责任；</w:t>
      </w:r>
    </w:p>
    <w:p w14:paraId="433C5BBC" w14:textId="77777777" w:rsidR="001E3DA8" w:rsidRDefault="001E3DA8" w:rsidP="001E3DA8">
      <w:pPr>
        <w:pStyle w:val="13"/>
      </w:pPr>
      <w:r>
        <w:rPr>
          <w:rFonts w:hint="eastAsia"/>
        </w:rPr>
        <w:t>（三）除委托人、资产评估委托合同中约定的其他资产评估报告使用人和法律、行政法规规定的资产评估报告使用人之外，其他任何机构和个人不能成为资产评估报告的使用人；</w:t>
      </w:r>
    </w:p>
    <w:p w14:paraId="7D982372" w14:textId="77777777" w:rsidR="001E3DA8" w:rsidRDefault="001E3DA8" w:rsidP="001E3DA8">
      <w:pPr>
        <w:pStyle w:val="13"/>
      </w:pPr>
      <w:r>
        <w:rPr>
          <w:rFonts w:hint="eastAsia"/>
        </w:rPr>
        <w:t>（四）资产评估报告使用人应当正确理解评估结论，评估结论不等同于评估对象可实现价格，评估结论不应当被认为是对评估对象可实现价格的保证。</w:t>
      </w:r>
    </w:p>
    <w:p w14:paraId="5094B8AF" w14:textId="4F62E6B2" w:rsidR="001E3DA8" w:rsidRDefault="00E05BDA" w:rsidP="001E3DA8">
      <w:pPr>
        <w:pStyle w:val="13"/>
        <w:ind w:firstLine="482"/>
      </w:pPr>
      <w:r w:rsidRPr="00E05BDA">
        <w:rPr>
          <w:rFonts w:hint="eastAsia"/>
          <w:b/>
          <w:bCs/>
        </w:rPr>
        <w:t xml:space="preserve">第二十五条 </w:t>
      </w:r>
      <w:r w:rsidR="001E3DA8">
        <w:t>资产评估报告应当载明资产评估报告日。</w:t>
      </w:r>
    </w:p>
    <w:p w14:paraId="1BE345C2" w14:textId="77777777" w:rsidR="00CC4D74" w:rsidRDefault="001E3DA8" w:rsidP="001E3DA8">
      <w:pPr>
        <w:pStyle w:val="13"/>
      </w:pPr>
      <w:r>
        <w:rPr>
          <w:rFonts w:hint="eastAsia"/>
        </w:rPr>
        <w:t>资产评估报告日通常为评估结论形成的日期，可以不同于资产评估报告的签发日。</w:t>
      </w:r>
    </w:p>
    <w:p w14:paraId="2074B3E3" w14:textId="2A5AD631" w:rsidR="001E3DA8" w:rsidRDefault="00E05BDA" w:rsidP="001E3DA8">
      <w:pPr>
        <w:pStyle w:val="13"/>
        <w:ind w:firstLine="482"/>
      </w:pPr>
      <w:r w:rsidRPr="00E05BDA">
        <w:rPr>
          <w:rFonts w:hint="eastAsia"/>
          <w:b/>
          <w:bCs/>
        </w:rPr>
        <w:t xml:space="preserve">第二十六条 </w:t>
      </w:r>
      <w:r w:rsidR="001E3DA8">
        <w:t>资产评估报告正文应当由至少两名承办该评估业务的资产评估师签名，</w:t>
      </w:r>
      <w:r w:rsidR="001E3DA8">
        <w:rPr>
          <w:rFonts w:hint="eastAsia"/>
        </w:rPr>
        <w:t>并加盖资产评估机构印章。</w:t>
      </w:r>
    </w:p>
    <w:p w14:paraId="0B87FD80" w14:textId="77777777" w:rsidR="001E3DA8" w:rsidRDefault="001E3DA8" w:rsidP="001E3DA8">
      <w:pPr>
        <w:pStyle w:val="13"/>
      </w:pPr>
      <w:r>
        <w:rPr>
          <w:rFonts w:hint="eastAsia"/>
        </w:rPr>
        <w:t>声明、摘要和评估明细表上通常不需要另行签名盖章。</w:t>
      </w:r>
    </w:p>
    <w:p w14:paraId="7B14CAF9" w14:textId="77777777" w:rsidR="001E3DA8" w:rsidRDefault="001E3DA8" w:rsidP="00AF7342">
      <w:pPr>
        <w:pStyle w:val="a9"/>
        <w:spacing w:before="62" w:after="62"/>
      </w:pPr>
      <w:r>
        <w:rPr>
          <w:rFonts w:hint="eastAsia"/>
        </w:rPr>
        <w:t>第四章</w:t>
      </w:r>
      <w:r>
        <w:t xml:space="preserve"> 附件</w:t>
      </w:r>
    </w:p>
    <w:p w14:paraId="67BBAA7D" w14:textId="485ED721" w:rsidR="001E3DA8" w:rsidRDefault="00E05BDA" w:rsidP="001E3DA8">
      <w:pPr>
        <w:pStyle w:val="13"/>
        <w:ind w:firstLine="482"/>
      </w:pPr>
      <w:r w:rsidRPr="00E05BDA">
        <w:rPr>
          <w:rFonts w:hint="eastAsia"/>
          <w:b/>
          <w:bCs/>
        </w:rPr>
        <w:t xml:space="preserve">第二十七条 </w:t>
      </w:r>
      <w:r w:rsidR="001E3DA8">
        <w:t>资产评估报告附件内容应当与评估目的、评估方法、评估结论相关联。资产评估报告附件通常包括下列文件：</w:t>
      </w:r>
    </w:p>
    <w:p w14:paraId="25887D51" w14:textId="77777777" w:rsidR="001E3DA8" w:rsidRDefault="001E3DA8" w:rsidP="001E3DA8">
      <w:pPr>
        <w:pStyle w:val="13"/>
      </w:pPr>
      <w:r>
        <w:rPr>
          <w:rFonts w:hint="eastAsia"/>
        </w:rPr>
        <w:t>（一）与评估目的相对应的经济行为文件；</w:t>
      </w:r>
    </w:p>
    <w:p w14:paraId="003C423B" w14:textId="77777777" w:rsidR="001E3DA8" w:rsidRDefault="001E3DA8" w:rsidP="001E3DA8">
      <w:pPr>
        <w:pStyle w:val="13"/>
      </w:pPr>
      <w:r>
        <w:rPr>
          <w:rFonts w:hint="eastAsia"/>
        </w:rPr>
        <w:t>（二）被评估单位的财务报表及审计报告；</w:t>
      </w:r>
    </w:p>
    <w:p w14:paraId="22C56E95" w14:textId="77777777" w:rsidR="001E3DA8" w:rsidRDefault="001E3DA8" w:rsidP="001E3DA8">
      <w:pPr>
        <w:pStyle w:val="13"/>
      </w:pPr>
      <w:r>
        <w:rPr>
          <w:rFonts w:hint="eastAsia"/>
        </w:rPr>
        <w:t>（三）委托人和被评估单位法人营业执照；</w:t>
      </w:r>
    </w:p>
    <w:p w14:paraId="0B3016DC" w14:textId="77777777" w:rsidR="001E3DA8" w:rsidRDefault="001E3DA8" w:rsidP="001E3DA8">
      <w:pPr>
        <w:pStyle w:val="13"/>
      </w:pPr>
      <w:r>
        <w:rPr>
          <w:rFonts w:hint="eastAsia"/>
        </w:rPr>
        <w:t>（四）被评估单位金融业务许可证；</w:t>
      </w:r>
    </w:p>
    <w:p w14:paraId="4EE9B7C9" w14:textId="77777777" w:rsidR="001E3DA8" w:rsidRDefault="001E3DA8" w:rsidP="001E3DA8">
      <w:pPr>
        <w:pStyle w:val="13"/>
      </w:pPr>
      <w:r>
        <w:rPr>
          <w:rFonts w:hint="eastAsia"/>
        </w:rPr>
        <w:t>（五）委托人和被评估单位产权登记证；</w:t>
      </w:r>
    </w:p>
    <w:p w14:paraId="773C66E5" w14:textId="77777777" w:rsidR="001E3DA8" w:rsidRDefault="001E3DA8" w:rsidP="001E3DA8">
      <w:pPr>
        <w:pStyle w:val="13"/>
      </w:pPr>
      <w:r>
        <w:rPr>
          <w:rFonts w:hint="eastAsia"/>
        </w:rPr>
        <w:t>（六）评估对象涉及的主要权属证明资料；</w:t>
      </w:r>
    </w:p>
    <w:p w14:paraId="634446F7" w14:textId="77777777" w:rsidR="001E3DA8" w:rsidRDefault="001E3DA8" w:rsidP="001E3DA8">
      <w:pPr>
        <w:pStyle w:val="13"/>
      </w:pPr>
      <w:r>
        <w:rPr>
          <w:rFonts w:hint="eastAsia"/>
        </w:rPr>
        <w:t>（七）委托人和其他相关当事人的承诺函；</w:t>
      </w:r>
    </w:p>
    <w:p w14:paraId="4D636199" w14:textId="77777777" w:rsidR="001E3DA8" w:rsidRDefault="001E3DA8" w:rsidP="001E3DA8">
      <w:pPr>
        <w:pStyle w:val="13"/>
      </w:pPr>
      <w:r>
        <w:rPr>
          <w:rFonts w:hint="eastAsia"/>
        </w:rPr>
        <w:t>（八）签名资产评估师的承诺函；</w:t>
      </w:r>
    </w:p>
    <w:p w14:paraId="78A40BB0" w14:textId="77777777" w:rsidR="001E3DA8" w:rsidRDefault="001E3DA8" w:rsidP="001E3DA8">
      <w:pPr>
        <w:pStyle w:val="13"/>
      </w:pPr>
      <w:r>
        <w:rPr>
          <w:rFonts w:hint="eastAsia"/>
        </w:rPr>
        <w:t>（九）资产评估机构备案文件或者资格证明文件；</w:t>
      </w:r>
    </w:p>
    <w:p w14:paraId="4861485D" w14:textId="77777777" w:rsidR="001E3DA8" w:rsidRDefault="001E3DA8" w:rsidP="001E3DA8">
      <w:pPr>
        <w:pStyle w:val="13"/>
      </w:pPr>
      <w:r>
        <w:rPr>
          <w:rFonts w:hint="eastAsia"/>
        </w:rPr>
        <w:t>（十）资产评估机构法人营业执照副本；</w:t>
      </w:r>
    </w:p>
    <w:p w14:paraId="5721E124" w14:textId="77777777" w:rsidR="001E3DA8" w:rsidRDefault="001E3DA8" w:rsidP="001E3DA8">
      <w:pPr>
        <w:pStyle w:val="13"/>
      </w:pPr>
      <w:r>
        <w:rPr>
          <w:rFonts w:hint="eastAsia"/>
        </w:rPr>
        <w:lastRenderedPageBreak/>
        <w:t>（十一）负责该评估业务的资产评估师资</w:t>
      </w:r>
      <w:proofErr w:type="gramStart"/>
      <w:r>
        <w:rPr>
          <w:rFonts w:hint="eastAsia"/>
        </w:rPr>
        <w:t>格证明</w:t>
      </w:r>
      <w:proofErr w:type="gramEnd"/>
      <w:r>
        <w:rPr>
          <w:rFonts w:hint="eastAsia"/>
        </w:rPr>
        <w:t>文件；</w:t>
      </w:r>
    </w:p>
    <w:p w14:paraId="49C6F540" w14:textId="77777777" w:rsidR="001E3DA8" w:rsidRDefault="001E3DA8" w:rsidP="001E3DA8">
      <w:pPr>
        <w:pStyle w:val="13"/>
      </w:pPr>
      <w:r>
        <w:rPr>
          <w:rFonts w:hint="eastAsia"/>
        </w:rPr>
        <w:t>（十二）资产评估委托合同；</w:t>
      </w:r>
    </w:p>
    <w:p w14:paraId="70BB638D" w14:textId="77777777" w:rsidR="001E3DA8" w:rsidRDefault="001E3DA8" w:rsidP="001E3DA8">
      <w:pPr>
        <w:pStyle w:val="13"/>
      </w:pPr>
      <w:r>
        <w:rPr>
          <w:rFonts w:hint="eastAsia"/>
        </w:rPr>
        <w:t>（十三）其他重要文件。</w:t>
      </w:r>
    </w:p>
    <w:p w14:paraId="61F8C472" w14:textId="516D30AB" w:rsidR="00CC4D74" w:rsidRDefault="00E05BDA" w:rsidP="00CC4D74">
      <w:pPr>
        <w:pStyle w:val="13"/>
        <w:ind w:firstLine="482"/>
      </w:pPr>
      <w:r w:rsidRPr="00E05BDA">
        <w:rPr>
          <w:rFonts w:hint="eastAsia"/>
          <w:b/>
          <w:bCs/>
        </w:rPr>
        <w:t xml:space="preserve">第二十八条 </w:t>
      </w:r>
      <w:r w:rsidR="001E3DA8">
        <w:t>资产评估报告附件内容及其所涉及的签章应当清晰、完整，相关内容应当与资产评估报告摘要、正文一致。资产评估报告附件为复印件的，应当与原件一致。</w:t>
      </w:r>
    </w:p>
    <w:p w14:paraId="3D08DD25" w14:textId="08290546" w:rsidR="001E3DA8" w:rsidRDefault="00E05BDA" w:rsidP="00CC4D74">
      <w:pPr>
        <w:pStyle w:val="13"/>
        <w:ind w:firstLine="482"/>
      </w:pPr>
      <w:r w:rsidRPr="00E05BDA">
        <w:rPr>
          <w:b/>
          <w:bCs/>
        </w:rPr>
        <w:t xml:space="preserve">第二十九条 </w:t>
      </w:r>
      <w:r w:rsidR="001E3DA8">
        <w:t>企业确认的与经济行为相对应的评估基准日企业财务报表应当作为资</w:t>
      </w:r>
      <w:r w:rsidR="001E3DA8">
        <w:rPr>
          <w:rFonts w:hint="eastAsia"/>
        </w:rPr>
        <w:t>产评估报告附件，按照法律、行政法规规定需要进行审计的，审计报告（含会计报表和附注）应当作为资产评估报告附件。</w:t>
      </w:r>
    </w:p>
    <w:p w14:paraId="1818A6B7" w14:textId="77777777" w:rsidR="001E3DA8" w:rsidRDefault="001E3DA8" w:rsidP="001E3DA8">
      <w:pPr>
        <w:pStyle w:val="13"/>
      </w:pPr>
      <w:r>
        <w:rPr>
          <w:rFonts w:hint="eastAsia"/>
        </w:rPr>
        <w:t>引用其他机构出具的报告结论，根据现行有关规定，需要经相应主管部门批准（备案）的，应当将相应主管部门的批准（备案）文件作为资产评估报告的附件。</w:t>
      </w:r>
    </w:p>
    <w:p w14:paraId="04C07EE5" w14:textId="77777777" w:rsidR="001E3DA8" w:rsidRDefault="001E3DA8" w:rsidP="00AF7342">
      <w:pPr>
        <w:pStyle w:val="a9"/>
        <w:spacing w:before="62" w:after="62"/>
      </w:pPr>
      <w:r>
        <w:rPr>
          <w:rFonts w:hint="eastAsia"/>
        </w:rPr>
        <w:t>第五章</w:t>
      </w:r>
      <w:r>
        <w:t xml:space="preserve"> 评估明细表</w:t>
      </w:r>
    </w:p>
    <w:p w14:paraId="67D0C472" w14:textId="37564B4F" w:rsidR="001E3DA8" w:rsidRDefault="00E05BDA" w:rsidP="001E3DA8">
      <w:pPr>
        <w:pStyle w:val="13"/>
        <w:ind w:firstLine="482"/>
      </w:pPr>
      <w:r w:rsidRPr="00E05BDA">
        <w:rPr>
          <w:rFonts w:hint="eastAsia"/>
          <w:b/>
          <w:bCs/>
        </w:rPr>
        <w:t xml:space="preserve">第三十条 </w:t>
      </w:r>
      <w:r w:rsidR="001E3DA8">
        <w:t>评估明细表可以根据本指南的基本要求和企业会计核算所设置的会计科目，结合评估方法特点进行编制。</w:t>
      </w:r>
    </w:p>
    <w:p w14:paraId="008F7815" w14:textId="75F4A852" w:rsidR="001E3DA8" w:rsidRDefault="001E3DA8" w:rsidP="00CC4D74">
      <w:pPr>
        <w:pStyle w:val="13"/>
      </w:pPr>
      <w:r>
        <w:rPr>
          <w:rFonts w:hint="eastAsia"/>
        </w:rPr>
        <w:t>（一）单项资产或者资产组合评估、采用资产基础法进行企业价值评估，评估明细表包括按会计科目设置的资产、负债评估明细表和各级汇总表；</w:t>
      </w:r>
    </w:p>
    <w:p w14:paraId="1AFE7634" w14:textId="77777777" w:rsidR="001E3DA8" w:rsidRDefault="001E3DA8" w:rsidP="001E3DA8">
      <w:pPr>
        <w:pStyle w:val="13"/>
      </w:pPr>
      <w:r>
        <w:rPr>
          <w:rFonts w:hint="eastAsia"/>
        </w:rPr>
        <w:t>（二）采用收益法进行企业价值评估，可以根据收益法评估参数和盈利预测项目的构成等具体情况设计评估明细表的格式和内容；</w:t>
      </w:r>
    </w:p>
    <w:p w14:paraId="2F0961B0" w14:textId="77777777" w:rsidR="001E3DA8" w:rsidRDefault="001E3DA8" w:rsidP="001E3DA8">
      <w:pPr>
        <w:pStyle w:val="13"/>
      </w:pPr>
      <w:r>
        <w:rPr>
          <w:rFonts w:hint="eastAsia"/>
        </w:rPr>
        <w:t>（三）采用市场法进行企业价值评估，可以根据评估技术说明的详略程度决定是否单独编制符合市场法特点的评估明细表。</w:t>
      </w:r>
    </w:p>
    <w:p w14:paraId="15F57624" w14:textId="757F42FE" w:rsidR="001E3DA8" w:rsidRDefault="003B2FB1" w:rsidP="001E3DA8">
      <w:pPr>
        <w:pStyle w:val="13"/>
        <w:ind w:firstLine="482"/>
      </w:pPr>
      <w:r w:rsidRPr="003B2FB1">
        <w:rPr>
          <w:rFonts w:hint="eastAsia"/>
          <w:b/>
          <w:bCs/>
        </w:rPr>
        <w:t xml:space="preserve">第三十一条 </w:t>
      </w:r>
      <w:r w:rsidR="001E3DA8">
        <w:t>资产负债会计科目的评估明细表格式和内容基本要求如下：</w:t>
      </w:r>
    </w:p>
    <w:p w14:paraId="04C21311" w14:textId="77777777" w:rsidR="001E3DA8" w:rsidRDefault="001E3DA8" w:rsidP="001E3DA8">
      <w:pPr>
        <w:pStyle w:val="13"/>
      </w:pPr>
      <w:r>
        <w:rPr>
          <w:rFonts w:hint="eastAsia"/>
        </w:rPr>
        <w:t>（一）表</w:t>
      </w:r>
      <w:proofErr w:type="gramStart"/>
      <w:r>
        <w:rPr>
          <w:rFonts w:hint="eastAsia"/>
        </w:rPr>
        <w:t>头应当</w:t>
      </w:r>
      <w:proofErr w:type="gramEnd"/>
      <w:r>
        <w:rPr>
          <w:rFonts w:hint="eastAsia"/>
        </w:rPr>
        <w:t>含有资产或负债类型（会计科目）名称、被评估单位、评估基准日、表号、金额单位、页码。</w:t>
      </w:r>
    </w:p>
    <w:p w14:paraId="2462360D" w14:textId="77777777" w:rsidR="001E3DA8" w:rsidRDefault="001E3DA8" w:rsidP="001E3DA8">
      <w:pPr>
        <w:pStyle w:val="13"/>
      </w:pPr>
      <w:r>
        <w:rPr>
          <w:rFonts w:hint="eastAsia"/>
        </w:rPr>
        <w:t>（二）表中应当含有资产负债的名称（明细）、经营业务或者事项内容、技术参数、发生（购、建、创）日期、账面价值、评估价值、评估增减幅度及备注等基本内容。</w:t>
      </w:r>
    </w:p>
    <w:p w14:paraId="66C05BC3" w14:textId="77777777" w:rsidR="001E3DA8" w:rsidRDefault="001E3DA8" w:rsidP="001E3DA8">
      <w:pPr>
        <w:pStyle w:val="13"/>
      </w:pPr>
      <w:r>
        <w:rPr>
          <w:rFonts w:hint="eastAsia"/>
        </w:rPr>
        <w:t>（三）表</w:t>
      </w:r>
      <w:proofErr w:type="gramStart"/>
      <w:r>
        <w:rPr>
          <w:rFonts w:hint="eastAsia"/>
        </w:rPr>
        <w:t>尾应当</w:t>
      </w:r>
      <w:proofErr w:type="gramEnd"/>
      <w:r>
        <w:rPr>
          <w:rFonts w:hint="eastAsia"/>
        </w:rPr>
        <w:t>标明被评估单位填表人员、填表日期和评估人员。</w:t>
      </w:r>
    </w:p>
    <w:p w14:paraId="7C8D3186" w14:textId="77777777" w:rsidR="001E3DA8" w:rsidRDefault="001E3DA8" w:rsidP="001E3DA8">
      <w:pPr>
        <w:pStyle w:val="13"/>
      </w:pPr>
      <w:r>
        <w:rPr>
          <w:rFonts w:hint="eastAsia"/>
        </w:rPr>
        <w:t>（四）评估明细表按会计明细科目、一级科目逐级汇总，并编制资产负债表的评估汇总表及以人民币万元为金额单位的评估结果汇总表。</w:t>
      </w:r>
    </w:p>
    <w:p w14:paraId="4FB1D691" w14:textId="77777777" w:rsidR="001E3DA8" w:rsidRDefault="001E3DA8" w:rsidP="001E3DA8">
      <w:pPr>
        <w:pStyle w:val="13"/>
      </w:pPr>
      <w:r>
        <w:rPr>
          <w:rFonts w:hint="eastAsia"/>
        </w:rPr>
        <w:t>（五）会计计提的减值准备在相应会计科目合计项下和相关科目汇总表中列示。</w:t>
      </w:r>
    </w:p>
    <w:p w14:paraId="7481604C" w14:textId="77777777" w:rsidR="001E3DA8" w:rsidRDefault="001E3DA8" w:rsidP="001E3DA8">
      <w:pPr>
        <w:pStyle w:val="13"/>
      </w:pPr>
      <w:r>
        <w:rPr>
          <w:rFonts w:hint="eastAsia"/>
        </w:rPr>
        <w:t>（六）评估结果汇总表应当按以下顺序和项目内容列示：资产、负债、净资产等类别和项目。</w:t>
      </w:r>
    </w:p>
    <w:p w14:paraId="3061E68C" w14:textId="534908B5" w:rsidR="001E3DA8" w:rsidRDefault="003B2FB1" w:rsidP="00CC4D74">
      <w:pPr>
        <w:pStyle w:val="13"/>
        <w:ind w:firstLine="482"/>
      </w:pPr>
      <w:r w:rsidRPr="003B2FB1">
        <w:rPr>
          <w:rFonts w:hint="eastAsia"/>
          <w:b/>
          <w:bCs/>
        </w:rPr>
        <w:t xml:space="preserve">第三十二条 </w:t>
      </w:r>
      <w:r w:rsidR="001E3DA8">
        <w:t>不同类型金融企业业务模式不同，适用的收益法评估明细表也有所区</w:t>
      </w:r>
      <w:r w:rsidR="001E3DA8">
        <w:rPr>
          <w:rFonts w:hint="eastAsia"/>
        </w:rPr>
        <w:t>别。</w:t>
      </w:r>
    </w:p>
    <w:p w14:paraId="36D65D3B" w14:textId="77777777" w:rsidR="001E3DA8" w:rsidRDefault="001E3DA8" w:rsidP="001E3DA8">
      <w:pPr>
        <w:pStyle w:val="13"/>
      </w:pPr>
      <w:r>
        <w:rPr>
          <w:rFonts w:hint="eastAsia"/>
        </w:rPr>
        <w:lastRenderedPageBreak/>
        <w:t>（一）采用股权自由现金流折现模型，通常编制财务报表调整表（如果有调整）、现金流量测算表、收入预测表、支出预测表、所有者权益变动表、其他综合收益预测表、折现率测算表。</w:t>
      </w:r>
    </w:p>
    <w:p w14:paraId="58C36824" w14:textId="77777777" w:rsidR="001E3DA8" w:rsidRDefault="001E3DA8" w:rsidP="001E3DA8">
      <w:pPr>
        <w:pStyle w:val="13"/>
      </w:pPr>
      <w:r>
        <w:rPr>
          <w:rFonts w:hint="eastAsia"/>
        </w:rPr>
        <w:t>（二）采用企业自由现金流折现模型，通常编制财务报表调整表（如果有调整）、现金流量测算表、收入预测表、支出预测表、折旧摊销预测表、资本性支出预测表、净流动资金增加</w:t>
      </w:r>
      <w:proofErr w:type="gramStart"/>
      <w:r>
        <w:rPr>
          <w:rFonts w:hint="eastAsia"/>
        </w:rPr>
        <w:t>额预测表</w:t>
      </w:r>
      <w:proofErr w:type="gramEnd"/>
      <w:r>
        <w:rPr>
          <w:rFonts w:hint="eastAsia"/>
        </w:rPr>
        <w:t>、折现率测算表。</w:t>
      </w:r>
    </w:p>
    <w:p w14:paraId="5B7F0066" w14:textId="41CE8CCA" w:rsidR="001E3DA8" w:rsidRDefault="003B2FB1" w:rsidP="001E3DA8">
      <w:pPr>
        <w:pStyle w:val="13"/>
        <w:ind w:firstLine="482"/>
      </w:pPr>
      <w:r w:rsidRPr="003B2FB1">
        <w:rPr>
          <w:rFonts w:hint="eastAsia"/>
          <w:b/>
          <w:bCs/>
        </w:rPr>
        <w:t xml:space="preserve">第三十三条 </w:t>
      </w:r>
      <w:r w:rsidR="001E3DA8">
        <w:t>收益法评估明细表表</w:t>
      </w:r>
      <w:proofErr w:type="gramStart"/>
      <w:r w:rsidR="001E3DA8">
        <w:t>头应当</w:t>
      </w:r>
      <w:proofErr w:type="gramEnd"/>
      <w:r w:rsidR="001E3DA8">
        <w:t>含有评估参数或者预测项目名称、被评估单位、评估基准日、表号、金额单位等。</w:t>
      </w:r>
    </w:p>
    <w:p w14:paraId="323F224C" w14:textId="70EBC8E6" w:rsidR="001E3DA8" w:rsidRDefault="003B2FB1" w:rsidP="001E3DA8">
      <w:pPr>
        <w:pStyle w:val="13"/>
        <w:ind w:firstLine="482"/>
      </w:pPr>
      <w:r w:rsidRPr="003B2FB1">
        <w:rPr>
          <w:rFonts w:hint="eastAsia"/>
          <w:b/>
          <w:bCs/>
        </w:rPr>
        <w:t xml:space="preserve">第三十四条 </w:t>
      </w:r>
      <w:r w:rsidR="001E3DA8">
        <w:t>被评估单位有两家以上分支机构的，评估明细表应当根据企业的组织架构、核算方式等因素合理编制。</w:t>
      </w:r>
    </w:p>
    <w:p w14:paraId="1F0333B5" w14:textId="77777777" w:rsidR="001E3DA8" w:rsidRDefault="001E3DA8" w:rsidP="00AF7342">
      <w:pPr>
        <w:pStyle w:val="a9"/>
        <w:spacing w:before="62" w:after="62"/>
      </w:pPr>
      <w:r>
        <w:rPr>
          <w:rFonts w:hint="eastAsia"/>
        </w:rPr>
        <w:t>第六章</w:t>
      </w:r>
      <w:r>
        <w:t xml:space="preserve"> 评估说明</w:t>
      </w:r>
    </w:p>
    <w:p w14:paraId="58E357C1" w14:textId="38E1DF95" w:rsidR="001E3DA8" w:rsidRDefault="003B2FB1" w:rsidP="001E3DA8">
      <w:pPr>
        <w:pStyle w:val="13"/>
        <w:ind w:firstLine="482"/>
      </w:pPr>
      <w:r w:rsidRPr="003B2FB1">
        <w:rPr>
          <w:rFonts w:hint="eastAsia"/>
          <w:b/>
          <w:bCs/>
        </w:rPr>
        <w:t xml:space="preserve">第三十五条 </w:t>
      </w:r>
      <w:r w:rsidR="001E3DA8">
        <w:t>评估说明包括评估说明使用范围声明、委托人和被评估单位编写的《企业关于进行资产评估有关事项的说明》和资产评估师编制的《资产评估说明》。</w:t>
      </w:r>
    </w:p>
    <w:p w14:paraId="24AA7F60" w14:textId="255891C0" w:rsidR="001E3DA8" w:rsidRDefault="003B2FB1" w:rsidP="001E3DA8">
      <w:pPr>
        <w:pStyle w:val="13"/>
        <w:ind w:firstLine="482"/>
      </w:pPr>
      <w:r w:rsidRPr="003B2FB1">
        <w:rPr>
          <w:rFonts w:hint="eastAsia"/>
          <w:b/>
          <w:bCs/>
        </w:rPr>
        <w:t xml:space="preserve">第三十六条 </w:t>
      </w:r>
      <w:r w:rsidR="001E3DA8">
        <w:t>关于评估说明使用范围的声明，应当写明评估说明使用单位或者部门的范围及限制条款。</w:t>
      </w:r>
    </w:p>
    <w:p w14:paraId="3BE54DCF" w14:textId="3F50C448" w:rsidR="001E3DA8" w:rsidRDefault="003B2FB1" w:rsidP="001E3DA8">
      <w:pPr>
        <w:pStyle w:val="13"/>
        <w:ind w:firstLine="482"/>
      </w:pPr>
      <w:r w:rsidRPr="003B2FB1">
        <w:rPr>
          <w:rFonts w:hint="eastAsia"/>
          <w:b/>
          <w:bCs/>
        </w:rPr>
        <w:t xml:space="preserve">第三十七条 </w:t>
      </w:r>
      <w:r w:rsidR="001E3DA8">
        <w:t>委托人和被评估单位可以共同编写或者分别编写《企业关于进行资产评估有关事项的说明》。委托人单位负责人和被评估单位负责人应当对所编写的说明签名，加盖相应单位公章并签署日期。</w:t>
      </w:r>
    </w:p>
    <w:p w14:paraId="66E6C00F" w14:textId="77777777" w:rsidR="001E3DA8" w:rsidRDefault="001E3DA8" w:rsidP="001E3DA8">
      <w:pPr>
        <w:pStyle w:val="13"/>
      </w:pPr>
      <w:r>
        <w:rPr>
          <w:rFonts w:hint="eastAsia"/>
        </w:rPr>
        <w:t>《企业关于进行资产评估有关事项的说明》包括以下内容：</w:t>
      </w:r>
    </w:p>
    <w:p w14:paraId="3D62F2B0" w14:textId="77777777" w:rsidR="001E3DA8" w:rsidRDefault="001E3DA8" w:rsidP="001E3DA8">
      <w:pPr>
        <w:pStyle w:val="13"/>
      </w:pPr>
      <w:r>
        <w:rPr>
          <w:rFonts w:hint="eastAsia"/>
        </w:rPr>
        <w:t>（一）委托人、被评估单位各自概况；</w:t>
      </w:r>
    </w:p>
    <w:p w14:paraId="180531B7" w14:textId="77777777" w:rsidR="001E3DA8" w:rsidRDefault="001E3DA8" w:rsidP="001E3DA8">
      <w:pPr>
        <w:pStyle w:val="13"/>
      </w:pPr>
      <w:r>
        <w:rPr>
          <w:rFonts w:hint="eastAsia"/>
        </w:rPr>
        <w:t>（二）关于经济行为的说明；</w:t>
      </w:r>
    </w:p>
    <w:p w14:paraId="1A5102EA" w14:textId="77777777" w:rsidR="001E3DA8" w:rsidRDefault="001E3DA8" w:rsidP="001E3DA8">
      <w:pPr>
        <w:pStyle w:val="13"/>
      </w:pPr>
      <w:r>
        <w:rPr>
          <w:rFonts w:hint="eastAsia"/>
        </w:rPr>
        <w:t>（三）关于评估对象与评估范围的说明；</w:t>
      </w:r>
    </w:p>
    <w:p w14:paraId="30E97EC9" w14:textId="77777777" w:rsidR="001E3DA8" w:rsidRDefault="001E3DA8" w:rsidP="001E3DA8">
      <w:pPr>
        <w:pStyle w:val="13"/>
      </w:pPr>
      <w:r>
        <w:rPr>
          <w:rFonts w:hint="eastAsia"/>
        </w:rPr>
        <w:t>（四）关于评估基准日的说明；</w:t>
      </w:r>
    </w:p>
    <w:p w14:paraId="08B1AC35" w14:textId="77777777" w:rsidR="001E3DA8" w:rsidRDefault="001E3DA8" w:rsidP="001E3DA8">
      <w:pPr>
        <w:pStyle w:val="13"/>
      </w:pPr>
      <w:r>
        <w:rPr>
          <w:rFonts w:hint="eastAsia"/>
        </w:rPr>
        <w:t>（五）可能影响评估工作的重大事项说明；</w:t>
      </w:r>
    </w:p>
    <w:p w14:paraId="23280FCC" w14:textId="77777777" w:rsidR="001E3DA8" w:rsidRDefault="001E3DA8" w:rsidP="001E3DA8">
      <w:pPr>
        <w:pStyle w:val="13"/>
      </w:pPr>
      <w:r>
        <w:rPr>
          <w:rFonts w:hint="eastAsia"/>
        </w:rPr>
        <w:t>（六）资产负债情况、未来经营和收益状况预测说明；</w:t>
      </w:r>
    </w:p>
    <w:p w14:paraId="52F2D4D5" w14:textId="77777777" w:rsidR="001E3DA8" w:rsidRDefault="001E3DA8" w:rsidP="001E3DA8">
      <w:pPr>
        <w:pStyle w:val="13"/>
      </w:pPr>
      <w:r>
        <w:rPr>
          <w:rFonts w:hint="eastAsia"/>
        </w:rPr>
        <w:t>（七）资料清单。</w:t>
      </w:r>
    </w:p>
    <w:p w14:paraId="48DBD368" w14:textId="3ADE8257" w:rsidR="001E3DA8" w:rsidRDefault="003B2FB1" w:rsidP="001E3DA8">
      <w:pPr>
        <w:pStyle w:val="13"/>
        <w:ind w:firstLine="482"/>
      </w:pPr>
      <w:r w:rsidRPr="003B2FB1">
        <w:rPr>
          <w:rFonts w:hint="eastAsia"/>
          <w:b/>
          <w:bCs/>
        </w:rPr>
        <w:t xml:space="preserve">第三十八条 </w:t>
      </w:r>
      <w:r w:rsidR="001E3DA8">
        <w:t>资产评估说明是对评估对象进行核实、评定估算过程的详细说明，应当包括以下内容：</w:t>
      </w:r>
    </w:p>
    <w:p w14:paraId="344A296E" w14:textId="77777777" w:rsidR="001E3DA8" w:rsidRDefault="001E3DA8" w:rsidP="001E3DA8">
      <w:pPr>
        <w:pStyle w:val="13"/>
      </w:pPr>
      <w:r>
        <w:rPr>
          <w:rFonts w:hint="eastAsia"/>
        </w:rPr>
        <w:t>（一）评估对象与评估范围说明；</w:t>
      </w:r>
    </w:p>
    <w:p w14:paraId="1C2422FA" w14:textId="77777777" w:rsidR="001E3DA8" w:rsidRDefault="001E3DA8" w:rsidP="001E3DA8">
      <w:pPr>
        <w:pStyle w:val="13"/>
      </w:pPr>
      <w:r>
        <w:rPr>
          <w:rFonts w:hint="eastAsia"/>
        </w:rPr>
        <w:t>（二）资产核实总体情况说明；</w:t>
      </w:r>
    </w:p>
    <w:p w14:paraId="315E8545" w14:textId="77777777" w:rsidR="001E3DA8" w:rsidRDefault="001E3DA8" w:rsidP="001E3DA8">
      <w:pPr>
        <w:pStyle w:val="13"/>
      </w:pPr>
      <w:r>
        <w:rPr>
          <w:rFonts w:hint="eastAsia"/>
        </w:rPr>
        <w:t>（三）评估技术说明；</w:t>
      </w:r>
    </w:p>
    <w:p w14:paraId="122B879A" w14:textId="77777777" w:rsidR="001E3DA8" w:rsidRDefault="001E3DA8" w:rsidP="001E3DA8">
      <w:pPr>
        <w:pStyle w:val="13"/>
      </w:pPr>
      <w:r>
        <w:rPr>
          <w:rFonts w:hint="eastAsia"/>
        </w:rPr>
        <w:t>（四）评估结论及分析。</w:t>
      </w:r>
    </w:p>
    <w:p w14:paraId="2AFDE920" w14:textId="3CFE79D3" w:rsidR="001E3DA8" w:rsidRDefault="003B2FB1" w:rsidP="001E3DA8">
      <w:pPr>
        <w:pStyle w:val="13"/>
        <w:ind w:firstLine="482"/>
      </w:pPr>
      <w:r w:rsidRPr="003B2FB1">
        <w:rPr>
          <w:rFonts w:hint="eastAsia"/>
          <w:b/>
          <w:bCs/>
        </w:rPr>
        <w:t xml:space="preserve">第三十九条 </w:t>
      </w:r>
      <w:r w:rsidR="001E3DA8">
        <w:t>评估对象与评估范围说明应当根据企业价值评估、单项资产或者资产组合评估的不同情况确定内容的详略程度。</w:t>
      </w:r>
    </w:p>
    <w:p w14:paraId="69E543B8" w14:textId="148E5F48" w:rsidR="001E3DA8" w:rsidRDefault="003B2FB1" w:rsidP="001E3DA8">
      <w:pPr>
        <w:pStyle w:val="13"/>
        <w:ind w:firstLine="482"/>
      </w:pPr>
      <w:r w:rsidRPr="003B2FB1">
        <w:rPr>
          <w:rFonts w:hint="eastAsia"/>
          <w:b/>
          <w:bCs/>
        </w:rPr>
        <w:lastRenderedPageBreak/>
        <w:t xml:space="preserve">第四十条 </w:t>
      </w:r>
      <w:r w:rsidR="001E3DA8">
        <w:t>资产核实总体情况说明通常包括人员组织、实施时间、核实过程、影响事项及处理方法、核实结论等。</w:t>
      </w:r>
    </w:p>
    <w:p w14:paraId="335043A4" w14:textId="21BB4A07" w:rsidR="001E3DA8" w:rsidRDefault="003B2FB1" w:rsidP="00CC4D74">
      <w:pPr>
        <w:pStyle w:val="13"/>
        <w:ind w:firstLine="482"/>
      </w:pPr>
      <w:r w:rsidRPr="003B2FB1">
        <w:rPr>
          <w:rFonts w:hint="eastAsia"/>
          <w:b/>
          <w:bCs/>
        </w:rPr>
        <w:t xml:space="preserve">第四十一条 </w:t>
      </w:r>
      <w:r w:rsidR="001E3DA8">
        <w:t>评估技术说明应当考虑不同经济行为和不同评估方法的特点介绍评定估算的思路及过程。</w:t>
      </w:r>
    </w:p>
    <w:p w14:paraId="293FC398" w14:textId="2BDA1FD4" w:rsidR="001E3DA8" w:rsidRDefault="003B2FB1" w:rsidP="001E3DA8">
      <w:pPr>
        <w:pStyle w:val="13"/>
        <w:ind w:firstLine="482"/>
      </w:pPr>
      <w:r w:rsidRPr="003B2FB1">
        <w:rPr>
          <w:rFonts w:hint="eastAsia"/>
          <w:b/>
          <w:bCs/>
        </w:rPr>
        <w:t xml:space="preserve">第四十二条 </w:t>
      </w:r>
      <w:r w:rsidR="001E3DA8">
        <w:t>采用成本法评估单项资产或者资产组合、采用资产基础法评估企业价值，应当根据评估业务的具体情况以及资产负债类型编写评估技术说明。各项资产负债评估技术说明应当包含资产负债的内容和金额、核实方法、评估值确定的方法和结论等基本内容。</w:t>
      </w:r>
    </w:p>
    <w:p w14:paraId="32B73717" w14:textId="5361C979" w:rsidR="001E3DA8" w:rsidRDefault="003B2FB1" w:rsidP="00CC4D74">
      <w:pPr>
        <w:pStyle w:val="13"/>
        <w:ind w:firstLine="482"/>
      </w:pPr>
      <w:r w:rsidRPr="003B2FB1">
        <w:rPr>
          <w:rFonts w:hint="eastAsia"/>
          <w:b/>
          <w:bCs/>
        </w:rPr>
        <w:t xml:space="preserve">第四十三条 </w:t>
      </w:r>
      <w:r w:rsidR="001E3DA8">
        <w:t>采用收益</w:t>
      </w:r>
      <w:proofErr w:type="gramStart"/>
      <w:r w:rsidR="001E3DA8">
        <w:t>法或者</w:t>
      </w:r>
      <w:proofErr w:type="gramEnd"/>
      <w:r w:rsidR="001E3DA8">
        <w:t>市场法评估企业价值，评估技术说明通常包括以下内</w:t>
      </w:r>
      <w:r w:rsidR="001E3DA8">
        <w:rPr>
          <w:rFonts w:hint="eastAsia"/>
        </w:rPr>
        <w:t>容：</w:t>
      </w:r>
    </w:p>
    <w:p w14:paraId="39C93776" w14:textId="77777777" w:rsidR="001E3DA8" w:rsidRDefault="001E3DA8" w:rsidP="001E3DA8">
      <w:pPr>
        <w:pStyle w:val="13"/>
      </w:pPr>
      <w:r>
        <w:rPr>
          <w:rFonts w:hint="eastAsia"/>
        </w:rPr>
        <w:t>（一）影响企业经营的宏观、区域经济因素；</w:t>
      </w:r>
    </w:p>
    <w:p w14:paraId="776175FE" w14:textId="77777777" w:rsidR="001E3DA8" w:rsidRDefault="001E3DA8" w:rsidP="001E3DA8">
      <w:pPr>
        <w:pStyle w:val="13"/>
      </w:pPr>
      <w:r>
        <w:rPr>
          <w:rFonts w:hint="eastAsia"/>
        </w:rPr>
        <w:t>（二）所在行业现状与发展前景；</w:t>
      </w:r>
    </w:p>
    <w:p w14:paraId="70F88017" w14:textId="77777777" w:rsidR="001E3DA8" w:rsidRDefault="001E3DA8" w:rsidP="001E3DA8">
      <w:pPr>
        <w:pStyle w:val="13"/>
      </w:pPr>
      <w:r>
        <w:rPr>
          <w:rFonts w:hint="eastAsia"/>
        </w:rPr>
        <w:t>（三）企业的业务情况；</w:t>
      </w:r>
    </w:p>
    <w:p w14:paraId="0856E513" w14:textId="77777777" w:rsidR="001E3DA8" w:rsidRDefault="001E3DA8" w:rsidP="001E3DA8">
      <w:pPr>
        <w:pStyle w:val="13"/>
      </w:pPr>
      <w:r>
        <w:rPr>
          <w:rFonts w:hint="eastAsia"/>
        </w:rPr>
        <w:t>（四）企业的资产、财务分析和调整情况；</w:t>
      </w:r>
    </w:p>
    <w:p w14:paraId="089EC0FA" w14:textId="77777777" w:rsidR="001E3DA8" w:rsidRDefault="001E3DA8" w:rsidP="001E3DA8">
      <w:pPr>
        <w:pStyle w:val="13"/>
      </w:pPr>
      <w:r>
        <w:rPr>
          <w:rFonts w:hint="eastAsia"/>
        </w:rPr>
        <w:t>（五）评估方法的运用过程。</w:t>
      </w:r>
    </w:p>
    <w:p w14:paraId="4D5DFDB4" w14:textId="23461492" w:rsidR="001E3DA8" w:rsidRDefault="003B2FB1" w:rsidP="001E3DA8">
      <w:pPr>
        <w:pStyle w:val="13"/>
        <w:ind w:firstLine="482"/>
      </w:pPr>
      <w:r w:rsidRPr="003B2FB1">
        <w:rPr>
          <w:rFonts w:hint="eastAsia"/>
          <w:b/>
          <w:bCs/>
        </w:rPr>
        <w:t xml:space="preserve">第四十四条 </w:t>
      </w:r>
      <w:r w:rsidR="001E3DA8">
        <w:t>采用收益法进行企业价值评估，应当根据行业特点、企业经营方式和所确定的预期收益口径以及评估的其他具体情况等编写评估技术说明。企业的资产、财务分析和调整情况以及评估方法运用过程说明通常包括以下内容：</w:t>
      </w:r>
    </w:p>
    <w:p w14:paraId="29DAB5CA" w14:textId="77777777" w:rsidR="001E3DA8" w:rsidRDefault="001E3DA8" w:rsidP="001E3DA8">
      <w:pPr>
        <w:pStyle w:val="13"/>
      </w:pPr>
      <w:r>
        <w:rPr>
          <w:rFonts w:hint="eastAsia"/>
        </w:rPr>
        <w:t>（一）收益法的应用前提及选择理由和依据；</w:t>
      </w:r>
    </w:p>
    <w:p w14:paraId="467CC03A" w14:textId="77777777" w:rsidR="001E3DA8" w:rsidRDefault="001E3DA8" w:rsidP="001E3DA8">
      <w:pPr>
        <w:pStyle w:val="13"/>
      </w:pPr>
      <w:r>
        <w:rPr>
          <w:rFonts w:hint="eastAsia"/>
        </w:rPr>
        <w:t>（二）收益预测的假设条件；</w:t>
      </w:r>
    </w:p>
    <w:p w14:paraId="3AE7539A" w14:textId="77777777" w:rsidR="001E3DA8" w:rsidRDefault="001E3DA8" w:rsidP="001E3DA8">
      <w:pPr>
        <w:pStyle w:val="13"/>
      </w:pPr>
      <w:r>
        <w:rPr>
          <w:rFonts w:hint="eastAsia"/>
        </w:rPr>
        <w:t>（三）企业经营、资产、财务分析；</w:t>
      </w:r>
    </w:p>
    <w:p w14:paraId="577F0F50" w14:textId="77777777" w:rsidR="001E3DA8" w:rsidRDefault="001E3DA8" w:rsidP="001E3DA8">
      <w:pPr>
        <w:pStyle w:val="13"/>
      </w:pPr>
      <w:r>
        <w:rPr>
          <w:rFonts w:hint="eastAsia"/>
        </w:rPr>
        <w:t>（四）收益模型选择理由及基本参数说明；</w:t>
      </w:r>
    </w:p>
    <w:p w14:paraId="407B5E22" w14:textId="77777777" w:rsidR="001E3DA8" w:rsidRDefault="001E3DA8" w:rsidP="001E3DA8">
      <w:pPr>
        <w:pStyle w:val="13"/>
      </w:pPr>
      <w:r>
        <w:rPr>
          <w:rFonts w:hint="eastAsia"/>
        </w:rPr>
        <w:t>（五）收益期限及预测期的说明；</w:t>
      </w:r>
    </w:p>
    <w:p w14:paraId="57D711AC" w14:textId="77777777" w:rsidR="001E3DA8" w:rsidRDefault="001E3DA8" w:rsidP="001E3DA8">
      <w:pPr>
        <w:pStyle w:val="13"/>
      </w:pPr>
      <w:r>
        <w:rPr>
          <w:rFonts w:hint="eastAsia"/>
        </w:rPr>
        <w:t>（六）收益预测的说明；</w:t>
      </w:r>
    </w:p>
    <w:p w14:paraId="70CDCCB9" w14:textId="77777777" w:rsidR="001E3DA8" w:rsidRDefault="001E3DA8" w:rsidP="001E3DA8">
      <w:pPr>
        <w:pStyle w:val="13"/>
      </w:pPr>
      <w:r>
        <w:rPr>
          <w:rFonts w:hint="eastAsia"/>
        </w:rPr>
        <w:t>（七）折现率的确定说明；</w:t>
      </w:r>
    </w:p>
    <w:p w14:paraId="2233BBDC" w14:textId="77777777" w:rsidR="001E3DA8" w:rsidRDefault="001E3DA8" w:rsidP="001E3DA8">
      <w:pPr>
        <w:pStyle w:val="13"/>
      </w:pPr>
      <w:r>
        <w:rPr>
          <w:rFonts w:hint="eastAsia"/>
        </w:rPr>
        <w:t>（八）预测期后价值确定说明；</w:t>
      </w:r>
    </w:p>
    <w:p w14:paraId="35BABB11" w14:textId="77777777" w:rsidR="001E3DA8" w:rsidRDefault="001E3DA8" w:rsidP="001E3DA8">
      <w:pPr>
        <w:pStyle w:val="13"/>
      </w:pPr>
      <w:r>
        <w:rPr>
          <w:rFonts w:hint="eastAsia"/>
        </w:rPr>
        <w:t>（九）其他资产和负债评估说明；</w:t>
      </w:r>
    </w:p>
    <w:p w14:paraId="57A75457" w14:textId="77777777" w:rsidR="001E3DA8" w:rsidRDefault="001E3DA8" w:rsidP="001E3DA8">
      <w:pPr>
        <w:pStyle w:val="13"/>
      </w:pPr>
      <w:r>
        <w:rPr>
          <w:rFonts w:hint="eastAsia"/>
        </w:rPr>
        <w:t>（十）评估价值。</w:t>
      </w:r>
    </w:p>
    <w:p w14:paraId="495B6D4A" w14:textId="2C9FC3BC" w:rsidR="001E3DA8" w:rsidRDefault="003B2FB1" w:rsidP="001E3DA8">
      <w:pPr>
        <w:pStyle w:val="13"/>
        <w:ind w:firstLine="482"/>
      </w:pPr>
      <w:r w:rsidRPr="003B2FB1">
        <w:rPr>
          <w:rFonts w:hint="eastAsia"/>
          <w:b/>
          <w:bCs/>
        </w:rPr>
        <w:t xml:space="preserve">第四十五条 </w:t>
      </w:r>
      <w:r w:rsidR="001E3DA8">
        <w:t>采用市场法进行企业价值评估，应当根据行业特点、被评估单位实际情况以及上市公司比较法或者交易案例比较法的特点等编写评估技术说明。企业的资产、财务分析和调整情况以及评估方法运用过程说明通常包括以下内容：</w:t>
      </w:r>
    </w:p>
    <w:p w14:paraId="537C87FF" w14:textId="77777777" w:rsidR="001E3DA8" w:rsidRDefault="001E3DA8" w:rsidP="001E3DA8">
      <w:pPr>
        <w:pStyle w:val="13"/>
      </w:pPr>
      <w:r>
        <w:rPr>
          <w:rFonts w:hint="eastAsia"/>
        </w:rPr>
        <w:t>（一）具体方法、应用前提及选择理由；</w:t>
      </w:r>
    </w:p>
    <w:p w14:paraId="379C93FD" w14:textId="77777777" w:rsidR="001E3DA8" w:rsidRDefault="001E3DA8" w:rsidP="001E3DA8">
      <w:pPr>
        <w:pStyle w:val="13"/>
      </w:pPr>
      <w:r>
        <w:rPr>
          <w:rFonts w:hint="eastAsia"/>
        </w:rPr>
        <w:t>（二）企业经营、资产、财务分析；</w:t>
      </w:r>
    </w:p>
    <w:p w14:paraId="0CE62236" w14:textId="77777777" w:rsidR="001E3DA8" w:rsidRDefault="001E3DA8" w:rsidP="001E3DA8">
      <w:pPr>
        <w:pStyle w:val="13"/>
      </w:pPr>
      <w:r>
        <w:rPr>
          <w:rFonts w:hint="eastAsia"/>
        </w:rPr>
        <w:t>（三）分析选取确定可比企业或者交易案例的说明；</w:t>
      </w:r>
    </w:p>
    <w:p w14:paraId="73BB282A" w14:textId="77777777" w:rsidR="001E3DA8" w:rsidRDefault="001E3DA8" w:rsidP="001E3DA8">
      <w:pPr>
        <w:pStyle w:val="13"/>
      </w:pPr>
      <w:r>
        <w:rPr>
          <w:rFonts w:hint="eastAsia"/>
        </w:rPr>
        <w:lastRenderedPageBreak/>
        <w:t>（四）价值比率的选择</w:t>
      </w:r>
      <w:proofErr w:type="gramStart"/>
      <w:r>
        <w:rPr>
          <w:rFonts w:hint="eastAsia"/>
        </w:rPr>
        <w:t>及因素</w:t>
      </w:r>
      <w:proofErr w:type="gramEnd"/>
      <w:r>
        <w:rPr>
          <w:rFonts w:hint="eastAsia"/>
        </w:rPr>
        <w:t>修正说明；</w:t>
      </w:r>
    </w:p>
    <w:p w14:paraId="6E00B616" w14:textId="77777777" w:rsidR="001E3DA8" w:rsidRDefault="001E3DA8" w:rsidP="001E3DA8">
      <w:pPr>
        <w:pStyle w:val="13"/>
      </w:pPr>
      <w:r>
        <w:rPr>
          <w:rFonts w:hint="eastAsia"/>
        </w:rPr>
        <w:t>（五）评估对象价值比率的测算说明；</w:t>
      </w:r>
    </w:p>
    <w:p w14:paraId="2C565A50" w14:textId="77777777" w:rsidR="001E3DA8" w:rsidRDefault="001E3DA8" w:rsidP="001E3DA8">
      <w:pPr>
        <w:pStyle w:val="13"/>
      </w:pPr>
      <w:r>
        <w:rPr>
          <w:rFonts w:hint="eastAsia"/>
        </w:rPr>
        <w:t>（六）评估价值。</w:t>
      </w:r>
    </w:p>
    <w:p w14:paraId="07D36D55" w14:textId="20EE0BEA" w:rsidR="001E3DA8" w:rsidRDefault="003B2FB1" w:rsidP="001E3DA8">
      <w:pPr>
        <w:pStyle w:val="13"/>
        <w:ind w:firstLine="482"/>
      </w:pPr>
      <w:r w:rsidRPr="003B2FB1">
        <w:rPr>
          <w:rFonts w:hint="eastAsia"/>
          <w:b/>
          <w:bCs/>
        </w:rPr>
        <w:t xml:space="preserve">第四十六条 </w:t>
      </w:r>
      <w:r w:rsidR="001E3DA8">
        <w:t>评估结论及分析通常包括：</w:t>
      </w:r>
    </w:p>
    <w:p w14:paraId="5516072E" w14:textId="77777777" w:rsidR="001E3DA8" w:rsidRDefault="001E3DA8" w:rsidP="001E3DA8">
      <w:pPr>
        <w:pStyle w:val="13"/>
      </w:pPr>
      <w:r>
        <w:rPr>
          <w:rFonts w:hint="eastAsia"/>
        </w:rPr>
        <w:t>（一）评估结论。采用两种或者两种以上方法进行企业价值评估，应当说明不同评估方法结果的差异及其原因和最终确定评估结论的理由。</w:t>
      </w:r>
    </w:p>
    <w:p w14:paraId="491E5D7B" w14:textId="77777777" w:rsidR="001E3DA8" w:rsidRDefault="001E3DA8" w:rsidP="001E3DA8">
      <w:pPr>
        <w:pStyle w:val="13"/>
      </w:pPr>
      <w:r>
        <w:rPr>
          <w:rFonts w:hint="eastAsia"/>
        </w:rPr>
        <w:t>（二）评估价值与账面价值比较变动情况及说明。</w:t>
      </w:r>
    </w:p>
    <w:p w14:paraId="2CF5157F" w14:textId="77777777" w:rsidR="001E3DA8" w:rsidRDefault="001E3DA8" w:rsidP="001E3DA8">
      <w:pPr>
        <w:pStyle w:val="13"/>
      </w:pPr>
      <w:r>
        <w:rPr>
          <w:rFonts w:hint="eastAsia"/>
        </w:rPr>
        <w:t>（三）折价或者溢价情况（如有）。</w:t>
      </w:r>
    </w:p>
    <w:p w14:paraId="51466C7F" w14:textId="77777777" w:rsidR="001E3DA8" w:rsidRDefault="001E3DA8" w:rsidP="00AF7342">
      <w:pPr>
        <w:pStyle w:val="a9"/>
        <w:spacing w:before="62" w:after="62"/>
      </w:pPr>
      <w:r>
        <w:rPr>
          <w:rFonts w:hint="eastAsia"/>
        </w:rPr>
        <w:t>第七章</w:t>
      </w:r>
      <w:r>
        <w:t xml:space="preserve"> 出具与装订</w:t>
      </w:r>
    </w:p>
    <w:p w14:paraId="15BD294B" w14:textId="0C46DC37" w:rsidR="001E3DA8" w:rsidRDefault="003B2FB1" w:rsidP="001E3DA8">
      <w:pPr>
        <w:pStyle w:val="13"/>
        <w:ind w:firstLine="482"/>
      </w:pPr>
      <w:r w:rsidRPr="003B2FB1">
        <w:rPr>
          <w:rFonts w:hint="eastAsia"/>
          <w:b/>
          <w:bCs/>
        </w:rPr>
        <w:t xml:space="preserve">第四十七条 </w:t>
      </w:r>
      <w:r w:rsidR="001E3DA8">
        <w:t>资产评估报告应当使用中文撰写。需要同时出具外文资产评估报告的</w:t>
      </w:r>
      <w:r w:rsidR="00CC4D74">
        <w:t>，</w:t>
      </w:r>
      <w:r w:rsidR="001E3DA8">
        <w:t>以中文资产评估报告为准。</w:t>
      </w:r>
    </w:p>
    <w:p w14:paraId="14E5DDF8" w14:textId="77777777" w:rsidR="001E3DA8" w:rsidRDefault="001E3DA8" w:rsidP="001E3DA8">
      <w:pPr>
        <w:pStyle w:val="13"/>
      </w:pPr>
      <w:r>
        <w:rPr>
          <w:rFonts w:hint="eastAsia"/>
        </w:rPr>
        <w:t>评估结论一般以人民币为计量币种，使用其他币种表示的，应当注明该币种与人民币在评估基准日的汇率。</w:t>
      </w:r>
    </w:p>
    <w:p w14:paraId="51811DA7" w14:textId="4F8464E0" w:rsidR="001E3DA8" w:rsidRDefault="001E3DA8" w:rsidP="001E3DA8">
      <w:pPr>
        <w:pStyle w:val="13"/>
        <w:ind w:firstLine="482"/>
      </w:pPr>
      <w:r w:rsidRPr="00CC4D74">
        <w:rPr>
          <w:rFonts w:hint="eastAsia"/>
          <w:b/>
          <w:bCs/>
        </w:rPr>
        <w:t>第四十八</w:t>
      </w:r>
      <w:r w:rsidR="00793E5D">
        <w:rPr>
          <w:rFonts w:hint="eastAsia"/>
          <w:b/>
          <w:bCs/>
        </w:rPr>
        <w:t xml:space="preserve">条 </w:t>
      </w:r>
      <w:r>
        <w:t>资产评估报告封面应当载明资产评估报告标题及文号、资产评估机构全称和资产评估报告日。</w:t>
      </w:r>
    </w:p>
    <w:p w14:paraId="615B7019" w14:textId="278373B0" w:rsidR="001E3DA8" w:rsidRDefault="001E3DA8" w:rsidP="001E3DA8">
      <w:pPr>
        <w:pStyle w:val="13"/>
        <w:ind w:firstLine="482"/>
      </w:pPr>
      <w:r w:rsidRPr="00CC4D74">
        <w:rPr>
          <w:rFonts w:hint="eastAsia"/>
          <w:b/>
          <w:bCs/>
        </w:rPr>
        <w:t>第四十九</w:t>
      </w:r>
      <w:r w:rsidR="00793E5D">
        <w:rPr>
          <w:rFonts w:hint="eastAsia"/>
          <w:b/>
          <w:bCs/>
        </w:rPr>
        <w:t xml:space="preserve">条 </w:t>
      </w:r>
      <w:r>
        <w:t>资产评估报告标题及文号一般在封面上方居中位置，资产评估机构名称及资产评估报告</w:t>
      </w:r>
      <w:proofErr w:type="gramStart"/>
      <w:r>
        <w:t>日应当</w:t>
      </w:r>
      <w:proofErr w:type="gramEnd"/>
      <w:r>
        <w:t>在封面下方居中位置。资产评估报告应当用 A4 规格纸张印刷。</w:t>
      </w:r>
    </w:p>
    <w:p w14:paraId="0BE86685" w14:textId="291C6E0E" w:rsidR="001E3DA8" w:rsidRDefault="001E3DA8" w:rsidP="001E3DA8">
      <w:pPr>
        <w:pStyle w:val="13"/>
        <w:ind w:firstLine="482"/>
      </w:pPr>
      <w:r w:rsidRPr="00CC4D74">
        <w:rPr>
          <w:rFonts w:hint="eastAsia"/>
          <w:b/>
          <w:bCs/>
        </w:rPr>
        <w:t>第五十</w:t>
      </w:r>
      <w:r w:rsidR="00793E5D">
        <w:rPr>
          <w:rFonts w:hint="eastAsia"/>
          <w:b/>
          <w:bCs/>
        </w:rPr>
        <w:t xml:space="preserve">条 </w:t>
      </w:r>
      <w:r>
        <w:t>资产评估报告一般分册装订，各册应当具有独立的目录。</w:t>
      </w:r>
    </w:p>
    <w:p w14:paraId="6DB1C452" w14:textId="77777777" w:rsidR="001E3DA8" w:rsidRDefault="001E3DA8" w:rsidP="001E3DA8">
      <w:pPr>
        <w:pStyle w:val="13"/>
      </w:pPr>
      <w:r>
        <w:rPr>
          <w:rFonts w:hint="eastAsia"/>
        </w:rPr>
        <w:t>声明、摘要、正文和附件合订成册，其目录中应当含有其他册的目录，但其他</w:t>
      </w:r>
      <w:proofErr w:type="gramStart"/>
      <w:r>
        <w:rPr>
          <w:rFonts w:hint="eastAsia"/>
        </w:rPr>
        <w:t>册</w:t>
      </w:r>
      <w:proofErr w:type="gramEnd"/>
      <w:r>
        <w:rPr>
          <w:rFonts w:hint="eastAsia"/>
        </w:rPr>
        <w:t>目录的页码不予标注。评估说明和评估明细表一般分别独立成册。必要时附件可以独立成册。</w:t>
      </w:r>
    </w:p>
    <w:p w14:paraId="57C56CFB" w14:textId="77777777" w:rsidR="001E3DA8" w:rsidRDefault="001E3DA8" w:rsidP="001E3DA8">
      <w:pPr>
        <w:pStyle w:val="13"/>
      </w:pPr>
      <w:r>
        <w:rPr>
          <w:rFonts w:hint="eastAsia"/>
        </w:rPr>
        <w:t>单独成册的，其封面格式、标题中的“企业名称</w:t>
      </w:r>
      <w:r>
        <w:t>+经济行为关键词+评估对象”及文号等应当与资产评估报告保持一致。</w:t>
      </w:r>
    </w:p>
    <w:p w14:paraId="4BF2C84D" w14:textId="77777777" w:rsidR="001E3DA8" w:rsidRDefault="001E3DA8" w:rsidP="001E3DA8">
      <w:pPr>
        <w:pStyle w:val="13"/>
      </w:pPr>
      <w:r>
        <w:rPr>
          <w:rFonts w:hint="eastAsia"/>
        </w:rPr>
        <w:t>评估明细表一般按会计科目顺序装订。</w:t>
      </w:r>
    </w:p>
    <w:p w14:paraId="3BFB1A20" w14:textId="7A6F47AB" w:rsidR="001E3DA8" w:rsidRDefault="001E3DA8" w:rsidP="001E3DA8">
      <w:pPr>
        <w:pStyle w:val="13"/>
        <w:ind w:firstLine="482"/>
      </w:pPr>
      <w:r w:rsidRPr="00CC4D74">
        <w:rPr>
          <w:rFonts w:hint="eastAsia"/>
          <w:b/>
          <w:bCs/>
        </w:rPr>
        <w:t>第五十一</w:t>
      </w:r>
      <w:r w:rsidR="00793E5D">
        <w:rPr>
          <w:rFonts w:hint="eastAsia"/>
          <w:b/>
          <w:bCs/>
        </w:rPr>
        <w:t xml:space="preserve">条 </w:t>
      </w:r>
      <w:r>
        <w:t>资产评估报告封底或者其他适当位置应当标注资产评估机构名称、地址、邮政编码、联系电话、传真、电子邮箱等。</w:t>
      </w:r>
    </w:p>
    <w:p w14:paraId="6E0A5310" w14:textId="77777777" w:rsidR="001E3DA8" w:rsidRDefault="001E3DA8" w:rsidP="00AF7342">
      <w:pPr>
        <w:pStyle w:val="a9"/>
        <w:spacing w:before="62" w:after="62"/>
      </w:pPr>
      <w:r>
        <w:rPr>
          <w:rFonts w:hint="eastAsia"/>
        </w:rPr>
        <w:t>第八章</w:t>
      </w:r>
      <w:r>
        <w:t xml:space="preserve"> 附则</w:t>
      </w:r>
    </w:p>
    <w:p w14:paraId="26C1F71A" w14:textId="0AB7DF0F" w:rsidR="001E3DA8" w:rsidRDefault="001E3DA8" w:rsidP="00CC4D74">
      <w:pPr>
        <w:pStyle w:val="13"/>
        <w:ind w:firstLine="482"/>
      </w:pPr>
      <w:r w:rsidRPr="00CC4D74">
        <w:rPr>
          <w:rFonts w:hint="eastAsia"/>
          <w:b/>
          <w:bCs/>
        </w:rPr>
        <w:t>第五十二</w:t>
      </w:r>
      <w:r w:rsidR="00793E5D">
        <w:rPr>
          <w:rFonts w:hint="eastAsia"/>
          <w:b/>
          <w:bCs/>
        </w:rPr>
        <w:t xml:space="preserve">条 </w:t>
      </w:r>
      <w:r>
        <w:t>本指南自 2017</w:t>
      </w:r>
      <w:r w:rsidR="003068F8">
        <w:t>年</w:t>
      </w:r>
      <w:r>
        <w:t>10</w:t>
      </w:r>
      <w:r w:rsidR="003068F8">
        <w:t>月</w:t>
      </w:r>
      <w:r>
        <w:t>1</w:t>
      </w:r>
      <w:r w:rsidR="003068F8">
        <w:t>日</w:t>
      </w:r>
      <w:r>
        <w:t>起施行。中国资产评估协会于 2011</w:t>
      </w:r>
      <w:r w:rsidR="003068F8">
        <w:t>年</w:t>
      </w:r>
      <w:r>
        <w:t>12</w:t>
      </w:r>
      <w:r w:rsidR="003068F8">
        <w:rPr>
          <w:rFonts w:hint="eastAsia"/>
        </w:rPr>
        <w:t>月</w:t>
      </w:r>
      <w:r>
        <w:t>30</w:t>
      </w:r>
      <w:r w:rsidR="003068F8">
        <w:t>日</w:t>
      </w:r>
      <w:r>
        <w:t>发布的《关于修改评估报告等准则中有关签章条款的通知》（</w:t>
      </w:r>
      <w:proofErr w:type="gramStart"/>
      <w:r>
        <w:t>中评协</w:t>
      </w:r>
      <w:proofErr w:type="gramEnd"/>
      <w:r>
        <w:t>〔2011〕230号）中的《金融企业国有资产评估报告指南》同时废止。</w:t>
      </w:r>
    </w:p>
    <w:p w14:paraId="54B1D0C5" w14:textId="77777777" w:rsidR="001E3DA8" w:rsidRDefault="001E3DA8" w:rsidP="001E3DA8">
      <w:pPr>
        <w:pStyle w:val="13"/>
      </w:pPr>
      <w:r>
        <w:rPr>
          <w:rFonts w:hint="eastAsia"/>
        </w:rPr>
        <w:t>附：</w:t>
      </w:r>
      <w:r>
        <w:t>1、“声明”编写指引（供参考）</w:t>
      </w:r>
    </w:p>
    <w:p w14:paraId="44A30B6E" w14:textId="77777777" w:rsidR="001E3DA8" w:rsidRDefault="001E3DA8" w:rsidP="001E3DA8">
      <w:pPr>
        <w:pStyle w:val="13"/>
      </w:pPr>
      <w:r>
        <w:t>2、“资产评估师承诺函”编写指引（供参考）</w:t>
      </w:r>
    </w:p>
    <w:p w14:paraId="3DFA4A16" w14:textId="77777777" w:rsidR="001E3DA8" w:rsidRDefault="001E3DA8" w:rsidP="001E3DA8">
      <w:pPr>
        <w:pStyle w:val="13"/>
      </w:pPr>
      <w:r>
        <w:lastRenderedPageBreak/>
        <w:t>3、《企业关于进行资产评估有关事项的说明》编写指引（供参考）</w:t>
      </w:r>
    </w:p>
    <w:p w14:paraId="45F900A3" w14:textId="77777777" w:rsidR="001E3DA8" w:rsidRDefault="001E3DA8" w:rsidP="001E3DA8">
      <w:pPr>
        <w:pStyle w:val="13"/>
      </w:pPr>
      <w:r>
        <w:t>4、《资产评估说明》编写指引（供参考）</w:t>
      </w:r>
    </w:p>
    <w:p w14:paraId="7619B75E" w14:textId="77777777" w:rsidR="001E3DA8" w:rsidRPr="00CC4D74" w:rsidRDefault="001E3DA8" w:rsidP="00CC4D74">
      <w:pPr>
        <w:pStyle w:val="13"/>
        <w:ind w:firstLineChars="0" w:firstLine="0"/>
        <w:rPr>
          <w:b/>
          <w:bCs/>
        </w:rPr>
      </w:pPr>
      <w:r w:rsidRPr="00CC4D74">
        <w:rPr>
          <w:rFonts w:hint="eastAsia"/>
          <w:b/>
          <w:bCs/>
        </w:rPr>
        <w:t>附</w:t>
      </w:r>
      <w:r w:rsidRPr="00CC4D74">
        <w:rPr>
          <w:b/>
          <w:bCs/>
        </w:rPr>
        <w:t xml:space="preserve"> 1</w:t>
      </w:r>
    </w:p>
    <w:p w14:paraId="4E789326" w14:textId="77777777" w:rsidR="00CC4D74" w:rsidRDefault="001E3DA8" w:rsidP="00AF7342">
      <w:pPr>
        <w:pStyle w:val="a9"/>
        <w:spacing w:before="62" w:after="62"/>
      </w:pPr>
      <w:r>
        <w:rPr>
          <w:rFonts w:hint="eastAsia"/>
        </w:rPr>
        <w:t>“声明”编写指引</w:t>
      </w:r>
    </w:p>
    <w:p w14:paraId="539C830A" w14:textId="5D84E601" w:rsidR="001E3DA8" w:rsidRPr="00CC4D74" w:rsidRDefault="001E3DA8" w:rsidP="00CC4D74">
      <w:pPr>
        <w:pStyle w:val="13"/>
        <w:ind w:firstLine="482"/>
        <w:jc w:val="center"/>
        <w:rPr>
          <w:b/>
          <w:bCs/>
        </w:rPr>
      </w:pPr>
      <w:r w:rsidRPr="00CC4D74">
        <w:rPr>
          <w:rFonts w:hint="eastAsia"/>
          <w:b/>
          <w:bCs/>
        </w:rPr>
        <w:t>（供参考）</w:t>
      </w:r>
    </w:p>
    <w:p w14:paraId="00AF1D6D" w14:textId="77777777" w:rsidR="001E3DA8" w:rsidRDefault="001E3DA8" w:rsidP="001E3DA8">
      <w:pPr>
        <w:pStyle w:val="13"/>
      </w:pPr>
      <w:r>
        <w:rPr>
          <w:rFonts w:hint="eastAsia"/>
        </w:rPr>
        <w:t>一、</w:t>
      </w:r>
      <w:proofErr w:type="gramStart"/>
      <w:r>
        <w:rPr>
          <w:rFonts w:hint="eastAsia"/>
        </w:rPr>
        <w:t>本资产</w:t>
      </w:r>
      <w:proofErr w:type="gramEnd"/>
      <w:r>
        <w:rPr>
          <w:rFonts w:hint="eastAsia"/>
        </w:rPr>
        <w:t>评估报告依据财政部发布的资产评估基本准则和中国资产评估协会发布的资产评估执业准则和职业道德准则编制。</w:t>
      </w:r>
    </w:p>
    <w:p w14:paraId="59088BA1" w14:textId="77777777" w:rsidR="001E3DA8" w:rsidRDefault="001E3DA8" w:rsidP="001E3DA8">
      <w:pPr>
        <w:pStyle w:val="13"/>
      </w:pPr>
      <w:r>
        <w:rPr>
          <w:rFonts w:hint="eastAsia"/>
        </w:rPr>
        <w:t>二、委托人或者其他资产评估报告使用人应当按照法律、行政法规规定和</w:t>
      </w:r>
      <w:proofErr w:type="gramStart"/>
      <w:r>
        <w:rPr>
          <w:rFonts w:hint="eastAsia"/>
        </w:rPr>
        <w:t>本资产</w:t>
      </w:r>
      <w:proofErr w:type="gramEnd"/>
      <w:r>
        <w:rPr>
          <w:rFonts w:hint="eastAsia"/>
        </w:rPr>
        <w:t>评估报告载明的使用范围使用资产评估报告；委托人或者其他资产评估报告使用人违反前述规定使用资产评估报告的，</w:t>
      </w:r>
      <w:proofErr w:type="gramStart"/>
      <w:r>
        <w:rPr>
          <w:rFonts w:hint="eastAsia"/>
        </w:rPr>
        <w:t>本资产</w:t>
      </w:r>
      <w:proofErr w:type="gramEnd"/>
      <w:r>
        <w:rPr>
          <w:rFonts w:hint="eastAsia"/>
        </w:rPr>
        <w:t>评估机构及资产评估师不承担责任。</w:t>
      </w:r>
    </w:p>
    <w:p w14:paraId="37E17FB3" w14:textId="77777777" w:rsidR="001E3DA8" w:rsidRDefault="001E3DA8" w:rsidP="001E3DA8">
      <w:pPr>
        <w:pStyle w:val="13"/>
      </w:pPr>
      <w:proofErr w:type="gramStart"/>
      <w:r>
        <w:rPr>
          <w:rFonts w:hint="eastAsia"/>
        </w:rPr>
        <w:t>本资产</w:t>
      </w:r>
      <w:proofErr w:type="gramEnd"/>
      <w:r>
        <w:rPr>
          <w:rFonts w:hint="eastAsia"/>
        </w:rPr>
        <w:t>评估报告仅供委托人、资产评估委托合同中约定的其他资产评估报告使用人和法律、行政法规规定的资产评估报告使用人使用；除此之外，其他任何机构和个人不能成为资产评估报告的使用人。</w:t>
      </w:r>
    </w:p>
    <w:p w14:paraId="60ECBDA8" w14:textId="77777777" w:rsidR="001E3DA8" w:rsidRDefault="001E3DA8" w:rsidP="001E3DA8">
      <w:pPr>
        <w:pStyle w:val="13"/>
      </w:pPr>
      <w:proofErr w:type="gramStart"/>
      <w:r>
        <w:rPr>
          <w:rFonts w:hint="eastAsia"/>
        </w:rPr>
        <w:t>本资产</w:t>
      </w:r>
      <w:proofErr w:type="gramEnd"/>
      <w:r>
        <w:rPr>
          <w:rFonts w:hint="eastAsia"/>
        </w:rPr>
        <w:t>评估机构及资产评估师提示资产评估报告使用人应当正确理解评估结论，评估结论不等同于评估对象可实现价格，评估结论不应当被认为是对评估对象可实现价格的保证。</w:t>
      </w:r>
    </w:p>
    <w:p w14:paraId="7534C8BE" w14:textId="77777777" w:rsidR="001E3DA8" w:rsidRDefault="001E3DA8" w:rsidP="001E3DA8">
      <w:pPr>
        <w:pStyle w:val="13"/>
      </w:pPr>
      <w:r>
        <w:rPr>
          <w:rFonts w:hint="eastAsia"/>
        </w:rPr>
        <w:t>三、</w:t>
      </w:r>
      <w:proofErr w:type="gramStart"/>
      <w:r>
        <w:rPr>
          <w:rFonts w:hint="eastAsia"/>
        </w:rPr>
        <w:t>本资产</w:t>
      </w:r>
      <w:proofErr w:type="gramEnd"/>
      <w:r>
        <w:rPr>
          <w:rFonts w:hint="eastAsia"/>
        </w:rPr>
        <w:t>评估机构及资产评估师遵守法律、行政法规和资产评估准则，坚持独立、客观和公正的原则，并对所出具的资产评估报告依法承担责任。</w:t>
      </w:r>
    </w:p>
    <w:p w14:paraId="050624C0" w14:textId="77777777" w:rsidR="001E3DA8" w:rsidRDefault="001E3DA8" w:rsidP="001E3DA8">
      <w:pPr>
        <w:pStyle w:val="13"/>
      </w:pPr>
      <w:r>
        <w:rPr>
          <w:rFonts w:hint="eastAsia"/>
        </w:rPr>
        <w:t>四、评估对象涉及的资产、负债清单由委托人、被评估单位申报并经其采用签名、盖章或者法律允许的其他方式确认；委托人和其他相关当事人依法对其提供资料的真实性、完整性、合法性负责。</w:t>
      </w:r>
    </w:p>
    <w:p w14:paraId="2413EFE0" w14:textId="77777777" w:rsidR="001E3DA8" w:rsidRDefault="001E3DA8" w:rsidP="001E3DA8">
      <w:pPr>
        <w:pStyle w:val="13"/>
      </w:pPr>
      <w:r>
        <w:rPr>
          <w:rFonts w:hint="eastAsia"/>
        </w:rPr>
        <w:t>五、</w:t>
      </w:r>
      <w:proofErr w:type="gramStart"/>
      <w:r>
        <w:rPr>
          <w:rFonts w:hint="eastAsia"/>
        </w:rPr>
        <w:t>本资产</w:t>
      </w:r>
      <w:proofErr w:type="gramEnd"/>
      <w:r>
        <w:rPr>
          <w:rFonts w:hint="eastAsia"/>
        </w:rPr>
        <w:t>评估机构及资产评估师与资产评估报告中的评估对象没有现存或者预期的利益关系；与相关当事人没有现存或者预期的利益关系，对相关当事人不存在偏见。</w:t>
      </w:r>
    </w:p>
    <w:p w14:paraId="2BE626EA" w14:textId="259C5F44" w:rsidR="001E3DA8" w:rsidRDefault="001E3DA8" w:rsidP="001E3DA8">
      <w:pPr>
        <w:pStyle w:val="13"/>
      </w:pPr>
      <w:r>
        <w:rPr>
          <w:rFonts w:hint="eastAsia"/>
        </w:rPr>
        <w:t>六、资产评估师已经（或者未）对资产评估报告中的评估对象及其所涉及资产进行</w:t>
      </w:r>
      <w:r>
        <w:t xml:space="preserve"> 现场调查；我们已经对评估对象及其所涉及资产的法律权属状况给予必要的关注，对评 </w:t>
      </w:r>
      <w:proofErr w:type="gramStart"/>
      <w:r>
        <w:t>估对象</w:t>
      </w:r>
      <w:proofErr w:type="gramEnd"/>
      <w:r>
        <w:t>及其所涉及资产的法律权属资料进行了查验，对已经发现的问题进行了如实披露</w:t>
      </w:r>
      <w:r w:rsidR="00CC4D74">
        <w:t>，</w:t>
      </w:r>
      <w:r>
        <w:t>并且已提请委托人及其他相关当事人完善产权以满足出具资产评估报告的要求。</w:t>
      </w:r>
    </w:p>
    <w:p w14:paraId="376F9DE0" w14:textId="77777777" w:rsidR="001E3DA8" w:rsidRDefault="001E3DA8" w:rsidP="001E3DA8">
      <w:pPr>
        <w:pStyle w:val="13"/>
      </w:pPr>
      <w:r>
        <w:rPr>
          <w:rFonts w:hint="eastAsia"/>
        </w:rPr>
        <w:t>七、</w:t>
      </w:r>
      <w:proofErr w:type="gramStart"/>
      <w:r>
        <w:rPr>
          <w:rFonts w:hint="eastAsia"/>
        </w:rPr>
        <w:t>本资产</w:t>
      </w:r>
      <w:proofErr w:type="gramEnd"/>
      <w:r>
        <w:rPr>
          <w:rFonts w:hint="eastAsia"/>
        </w:rPr>
        <w:t>评估机构出具的资产评估报告中的分析、判断和结果受资产评估报告中</w:t>
      </w:r>
      <w:r>
        <w:t xml:space="preserve"> 假设和限制条件的限制，资产评估报告使用人应当充分考虑资产评估报告中载明的假设、限制条件、特别事项说明及其对评估结论的影响。</w:t>
      </w:r>
    </w:p>
    <w:p w14:paraId="50085D0F" w14:textId="2CFC30D8" w:rsidR="001F5A09" w:rsidRDefault="001F5A09">
      <w:pPr>
        <w:widowControl/>
        <w:jc w:val="left"/>
        <w:rPr>
          <w:rFonts w:ascii="宋体" w:hAnsi="宋体"/>
          <w:sz w:val="24"/>
          <w:szCs w:val="24"/>
        </w:rPr>
      </w:pPr>
      <w:r>
        <w:br w:type="page"/>
      </w:r>
    </w:p>
    <w:p w14:paraId="6BE6FB9D" w14:textId="77777777" w:rsidR="001E3DA8" w:rsidRPr="00CC4D74" w:rsidRDefault="001E3DA8" w:rsidP="00CC4D74">
      <w:pPr>
        <w:pStyle w:val="13"/>
        <w:ind w:firstLineChars="0" w:firstLine="0"/>
        <w:rPr>
          <w:b/>
          <w:bCs/>
        </w:rPr>
      </w:pPr>
      <w:r w:rsidRPr="00CC4D74">
        <w:rPr>
          <w:rFonts w:hint="eastAsia"/>
          <w:b/>
          <w:bCs/>
        </w:rPr>
        <w:lastRenderedPageBreak/>
        <w:t>附</w:t>
      </w:r>
      <w:r w:rsidRPr="00CC4D74">
        <w:rPr>
          <w:b/>
          <w:bCs/>
        </w:rPr>
        <w:t xml:space="preserve"> 2</w:t>
      </w:r>
    </w:p>
    <w:p w14:paraId="7E6BE47B" w14:textId="77777777" w:rsidR="00CC4D74" w:rsidRPr="00CC4D74" w:rsidRDefault="001E3DA8" w:rsidP="00AF7342">
      <w:pPr>
        <w:pStyle w:val="a9"/>
        <w:spacing w:before="62" w:after="62"/>
      </w:pPr>
      <w:r w:rsidRPr="00CC4D74">
        <w:rPr>
          <w:rFonts w:hint="eastAsia"/>
        </w:rPr>
        <w:t>“资产评估师承诺函”编写指引</w:t>
      </w:r>
    </w:p>
    <w:p w14:paraId="174F96D8" w14:textId="02B1EA08" w:rsidR="001E3DA8" w:rsidRPr="00CC4D74" w:rsidRDefault="001E3DA8" w:rsidP="00CC4D74">
      <w:pPr>
        <w:pStyle w:val="13"/>
        <w:ind w:firstLine="482"/>
        <w:jc w:val="center"/>
        <w:rPr>
          <w:b/>
          <w:bCs/>
        </w:rPr>
      </w:pPr>
      <w:r w:rsidRPr="00CC4D74">
        <w:rPr>
          <w:rFonts w:hint="eastAsia"/>
          <w:b/>
          <w:bCs/>
        </w:rPr>
        <w:t>（供参考）</w:t>
      </w:r>
    </w:p>
    <w:p w14:paraId="28395B95" w14:textId="77777777" w:rsidR="001E3DA8" w:rsidRDefault="001E3DA8" w:rsidP="001E3DA8">
      <w:pPr>
        <w:pStyle w:val="13"/>
      </w:pPr>
      <w:r>
        <w:rPr>
          <w:rFonts w:hint="eastAsia"/>
        </w:rPr>
        <w:t>×××公司（单位）：</w:t>
      </w:r>
      <w:r>
        <w:t xml:space="preserve"> </w:t>
      </w:r>
    </w:p>
    <w:p w14:paraId="7F9A21E3" w14:textId="3E46260B" w:rsidR="001E3DA8" w:rsidRDefault="001E3DA8" w:rsidP="00CC4D74">
      <w:pPr>
        <w:pStyle w:val="13"/>
      </w:pPr>
      <w:r>
        <w:rPr>
          <w:rFonts w:hint="eastAsia"/>
        </w:rPr>
        <w:t>受你单位的委托，我们对你单</w:t>
      </w:r>
      <w:proofErr w:type="gramStart"/>
      <w:r>
        <w:rPr>
          <w:rFonts w:hint="eastAsia"/>
        </w:rPr>
        <w:t>位拟</w:t>
      </w:r>
      <w:proofErr w:type="gramEnd"/>
      <w:r>
        <w:rPr>
          <w:rFonts w:hint="eastAsia"/>
        </w:rPr>
        <w:t>实施×××行为（事宜）所涉及的×××（资产—单项资产或者资产组合、企业整体价值、股东全部权益、股东部分权益），以××××</w:t>
      </w:r>
      <w:r>
        <w:t xml:space="preserve">年××月××日为基准日进行了评估，形成了资产评估报告。在本报告中披露的假设条件成立的前提下，我们承诺如下： </w:t>
      </w:r>
    </w:p>
    <w:p w14:paraId="5712F5AD" w14:textId="77777777" w:rsidR="001E3DA8" w:rsidRDefault="001E3DA8" w:rsidP="001E3DA8">
      <w:pPr>
        <w:pStyle w:val="13"/>
      </w:pPr>
      <w:r>
        <w:rPr>
          <w:rFonts w:hint="eastAsia"/>
        </w:rPr>
        <w:t>一、具备相应的职业资格。</w:t>
      </w:r>
    </w:p>
    <w:p w14:paraId="21022A2E" w14:textId="77777777" w:rsidR="005E5947" w:rsidRDefault="001E3DA8" w:rsidP="001E3DA8">
      <w:pPr>
        <w:pStyle w:val="13"/>
      </w:pPr>
      <w:r>
        <w:rPr>
          <w:rFonts w:hint="eastAsia"/>
        </w:rPr>
        <w:t>二、评估对象和评估范围与资产评估委托合同的约定一致。</w:t>
      </w:r>
    </w:p>
    <w:p w14:paraId="0D67E390" w14:textId="242E5867" w:rsidR="001E3DA8" w:rsidRDefault="001E3DA8" w:rsidP="001E3DA8">
      <w:pPr>
        <w:pStyle w:val="13"/>
      </w:pPr>
      <w:r>
        <w:rPr>
          <w:rFonts w:hint="eastAsia"/>
        </w:rPr>
        <w:t>三、对评估对象及其所涉及的资产进行了必要的核实。</w:t>
      </w:r>
    </w:p>
    <w:p w14:paraId="6591CC80" w14:textId="77777777" w:rsidR="001E3DA8" w:rsidRDefault="001E3DA8" w:rsidP="001E3DA8">
      <w:pPr>
        <w:pStyle w:val="13"/>
      </w:pPr>
      <w:r>
        <w:rPr>
          <w:rFonts w:hint="eastAsia"/>
        </w:rPr>
        <w:t>四、根据资产评估准则选用了适当的评估方法。五、充分考虑了影响评估价值的因素。</w:t>
      </w:r>
    </w:p>
    <w:p w14:paraId="255F2564" w14:textId="77777777" w:rsidR="001E3DA8" w:rsidRDefault="001E3DA8" w:rsidP="001E3DA8">
      <w:pPr>
        <w:pStyle w:val="13"/>
      </w:pPr>
      <w:r>
        <w:rPr>
          <w:rFonts w:hint="eastAsia"/>
        </w:rPr>
        <w:t>六、评估结论合理。</w:t>
      </w:r>
    </w:p>
    <w:p w14:paraId="4E2A2D77" w14:textId="77777777" w:rsidR="001E3DA8" w:rsidRDefault="001E3DA8" w:rsidP="001E3DA8">
      <w:pPr>
        <w:pStyle w:val="13"/>
      </w:pPr>
      <w:r>
        <w:rPr>
          <w:rFonts w:hint="eastAsia"/>
        </w:rPr>
        <w:t>七、评估工作未受到非法干预并独立进行。</w:t>
      </w:r>
    </w:p>
    <w:p w14:paraId="25CBC1E5" w14:textId="2C5FB200" w:rsidR="001E3DA8" w:rsidRDefault="001E3DA8" w:rsidP="005E5947">
      <w:pPr>
        <w:pStyle w:val="13"/>
        <w:wordWrap w:val="0"/>
        <w:jc w:val="right"/>
      </w:pPr>
      <w:r>
        <w:rPr>
          <w:rFonts w:hint="eastAsia"/>
        </w:rPr>
        <w:t>资产评估师签名：</w:t>
      </w:r>
      <w:r w:rsidR="005E5947">
        <w:rPr>
          <w:rFonts w:hint="eastAsia"/>
        </w:rPr>
        <w:t xml:space="preserve"> </w:t>
      </w:r>
      <w:r w:rsidR="005E5947">
        <w:t xml:space="preserve">       </w:t>
      </w:r>
    </w:p>
    <w:p w14:paraId="14DA263E" w14:textId="210E9897" w:rsidR="001F5A09" w:rsidRDefault="001E3DA8" w:rsidP="005E5947">
      <w:pPr>
        <w:pStyle w:val="13"/>
        <w:wordWrap w:val="0"/>
        <w:jc w:val="right"/>
      </w:pPr>
      <w:r>
        <w:rPr>
          <w:rFonts w:hint="eastAsia"/>
        </w:rPr>
        <w:t>年</w:t>
      </w:r>
      <w:r w:rsidR="003068F8">
        <w:t>月</w:t>
      </w:r>
      <w:r>
        <w:t>日</w:t>
      </w:r>
      <w:r w:rsidR="005E5947">
        <w:rPr>
          <w:rFonts w:hint="eastAsia"/>
        </w:rPr>
        <w:t xml:space="preserve"> </w:t>
      </w:r>
      <w:r w:rsidR="005E5947">
        <w:t xml:space="preserve">    </w:t>
      </w:r>
    </w:p>
    <w:p w14:paraId="4800AF66" w14:textId="77777777" w:rsidR="001F5A09" w:rsidRDefault="001F5A09">
      <w:pPr>
        <w:widowControl/>
        <w:jc w:val="left"/>
        <w:rPr>
          <w:rFonts w:ascii="宋体" w:hAnsi="宋体"/>
          <w:sz w:val="24"/>
          <w:szCs w:val="24"/>
        </w:rPr>
      </w:pPr>
      <w:r>
        <w:br w:type="page"/>
      </w:r>
    </w:p>
    <w:p w14:paraId="1128E9E4" w14:textId="77777777" w:rsidR="001E3DA8" w:rsidRPr="005E5947" w:rsidRDefault="001E3DA8" w:rsidP="005E5947">
      <w:pPr>
        <w:pStyle w:val="13"/>
        <w:ind w:firstLineChars="0" w:firstLine="0"/>
        <w:rPr>
          <w:b/>
          <w:bCs/>
        </w:rPr>
      </w:pPr>
      <w:r w:rsidRPr="005E5947">
        <w:rPr>
          <w:rFonts w:hint="eastAsia"/>
          <w:b/>
          <w:bCs/>
        </w:rPr>
        <w:lastRenderedPageBreak/>
        <w:t>附</w:t>
      </w:r>
      <w:r w:rsidRPr="005E5947">
        <w:rPr>
          <w:b/>
          <w:bCs/>
        </w:rPr>
        <w:t xml:space="preserve"> 3</w:t>
      </w:r>
    </w:p>
    <w:p w14:paraId="5657E9B1" w14:textId="77777777" w:rsidR="005E5947" w:rsidRDefault="001E3DA8" w:rsidP="00AF7342">
      <w:pPr>
        <w:pStyle w:val="a9"/>
        <w:spacing w:before="62" w:after="62"/>
      </w:pPr>
      <w:r>
        <w:rPr>
          <w:rFonts w:hint="eastAsia"/>
        </w:rPr>
        <w:t>《企业关于进行资产评估有关事项的说明》编写指引</w:t>
      </w:r>
    </w:p>
    <w:p w14:paraId="69A18579" w14:textId="4AEBE25D" w:rsidR="001E3DA8" w:rsidRPr="005E5947" w:rsidRDefault="001E3DA8" w:rsidP="005E5947">
      <w:pPr>
        <w:pStyle w:val="13"/>
        <w:ind w:firstLine="482"/>
        <w:jc w:val="center"/>
        <w:rPr>
          <w:b/>
          <w:bCs/>
        </w:rPr>
      </w:pPr>
      <w:r w:rsidRPr="005E5947">
        <w:rPr>
          <w:rFonts w:hint="eastAsia"/>
          <w:b/>
          <w:bCs/>
        </w:rPr>
        <w:t>（供参考）</w:t>
      </w:r>
    </w:p>
    <w:p w14:paraId="7EC139F1" w14:textId="77777777" w:rsidR="001E3DA8" w:rsidRDefault="001E3DA8" w:rsidP="001E3DA8">
      <w:pPr>
        <w:pStyle w:val="13"/>
      </w:pPr>
      <w:r>
        <w:rPr>
          <w:rFonts w:hint="eastAsia"/>
        </w:rPr>
        <w:t>一、委托人、被评估单位及资产评估委托合同约定的其他资产评估报告使用人概况</w:t>
      </w:r>
    </w:p>
    <w:p w14:paraId="55D8D227" w14:textId="77777777" w:rsidR="001E3DA8" w:rsidRDefault="001E3DA8" w:rsidP="001E3DA8">
      <w:pPr>
        <w:pStyle w:val="13"/>
      </w:pPr>
      <w:r>
        <w:rPr>
          <w:rFonts w:hint="eastAsia"/>
        </w:rPr>
        <w:t>（一）委托人和资产评估委托合同约定的其他资产评估报告使用人概况一般包括企业名称及简称、住所、法定代表人、注册资本、股东构成及主要经营范围等。</w:t>
      </w:r>
    </w:p>
    <w:p w14:paraId="7A0308E4" w14:textId="77777777" w:rsidR="001E3DA8" w:rsidRDefault="001E3DA8" w:rsidP="001E3DA8">
      <w:pPr>
        <w:pStyle w:val="13"/>
      </w:pPr>
      <w:r>
        <w:rPr>
          <w:rFonts w:hint="eastAsia"/>
        </w:rPr>
        <w:t>委托人、资产评估委托合同约定的其他资产评估报告使用人与被评估单位为同一单位的，按照对被评估单位的要求编写。</w:t>
      </w:r>
    </w:p>
    <w:p w14:paraId="61791427" w14:textId="77777777" w:rsidR="001E3DA8" w:rsidRDefault="001E3DA8" w:rsidP="001E3DA8">
      <w:pPr>
        <w:pStyle w:val="13"/>
      </w:pPr>
      <w:r>
        <w:rPr>
          <w:rFonts w:hint="eastAsia"/>
        </w:rPr>
        <w:t>（二）被评估单位概况</w:t>
      </w:r>
    </w:p>
    <w:p w14:paraId="7D0709C9" w14:textId="77777777" w:rsidR="001E3DA8" w:rsidRDefault="001E3DA8" w:rsidP="001E3DA8">
      <w:pPr>
        <w:pStyle w:val="13"/>
      </w:pPr>
      <w:r>
        <w:t>1、企业价值评估中，被评估单位概况一般包括：</w:t>
      </w:r>
    </w:p>
    <w:p w14:paraId="120F5A42" w14:textId="57BF0E26" w:rsidR="001E3DA8" w:rsidRDefault="001E3DA8" w:rsidP="001E3DA8">
      <w:pPr>
        <w:pStyle w:val="13"/>
      </w:pPr>
      <w:r>
        <w:rPr>
          <w:rFonts w:hint="eastAsia"/>
        </w:rPr>
        <w:t>（</w:t>
      </w:r>
      <w:r>
        <w:t>1）企业名称及简称、住所、法定代表人、注册资本。</w:t>
      </w:r>
    </w:p>
    <w:p w14:paraId="720661BA" w14:textId="578EA936" w:rsidR="001E3DA8" w:rsidRDefault="001E3DA8" w:rsidP="001E3DA8">
      <w:pPr>
        <w:pStyle w:val="13"/>
      </w:pPr>
      <w:r>
        <w:rPr>
          <w:rFonts w:hint="eastAsia"/>
        </w:rPr>
        <w:t>（</w:t>
      </w:r>
      <w:r>
        <w:t>2）企业性质、取得金融业务许可证或者主管部门准入批复文件、企业股东及持股比例、企业股权变更等历史沿革情况。</w:t>
      </w:r>
    </w:p>
    <w:p w14:paraId="79E00EE8" w14:textId="16FE5B8E" w:rsidR="001E3DA8" w:rsidRDefault="001E3DA8" w:rsidP="001E3DA8">
      <w:pPr>
        <w:pStyle w:val="13"/>
      </w:pPr>
      <w:r>
        <w:rPr>
          <w:rFonts w:hint="eastAsia"/>
        </w:rPr>
        <w:t>（</w:t>
      </w:r>
      <w:r>
        <w:t>3）被评估单位主要股东介绍，一般包括主要股东的名称、住所、法定代表人、主要经营范围、注册资本及经营业绩。</w:t>
      </w:r>
    </w:p>
    <w:p w14:paraId="23A8E1AE" w14:textId="370B0F62" w:rsidR="001E3DA8" w:rsidRDefault="001E3DA8" w:rsidP="001E3DA8">
      <w:pPr>
        <w:pStyle w:val="13"/>
      </w:pPr>
      <w:r>
        <w:rPr>
          <w:rFonts w:hint="eastAsia"/>
        </w:rPr>
        <w:t>（</w:t>
      </w:r>
      <w:r>
        <w:t>4）法定许可经营范围、实际主要经营范围、经营产品介绍。</w:t>
      </w:r>
    </w:p>
    <w:p w14:paraId="20E68C61" w14:textId="3E59F04D" w:rsidR="001E3DA8" w:rsidRDefault="001E3DA8" w:rsidP="001E3DA8">
      <w:pPr>
        <w:pStyle w:val="13"/>
      </w:pPr>
      <w:r>
        <w:rPr>
          <w:rFonts w:hint="eastAsia"/>
        </w:rPr>
        <w:t>（</w:t>
      </w:r>
      <w:r>
        <w:t>5）企业的财务核算体系介绍，近三年资产、财务、经营状况。</w:t>
      </w:r>
    </w:p>
    <w:p w14:paraId="47A4399B" w14:textId="1B64A1AD" w:rsidR="001E3DA8" w:rsidRDefault="001E3DA8" w:rsidP="001E3DA8">
      <w:pPr>
        <w:pStyle w:val="13"/>
      </w:pPr>
      <w:r>
        <w:rPr>
          <w:rFonts w:hint="eastAsia"/>
        </w:rPr>
        <w:t>（</w:t>
      </w:r>
      <w:r>
        <w:t>6）企业各子公司、分公司及主要部门的构成情况，并以适当的形式表明各级子公司的股权结构及股权比例。</w:t>
      </w:r>
    </w:p>
    <w:p w14:paraId="0242DD62" w14:textId="7E9B2C4E" w:rsidR="001E3DA8" w:rsidRDefault="001E3DA8" w:rsidP="001E3DA8">
      <w:pPr>
        <w:pStyle w:val="13"/>
      </w:pPr>
      <w:r>
        <w:rPr>
          <w:rFonts w:hint="eastAsia"/>
        </w:rPr>
        <w:t>（</w:t>
      </w:r>
      <w:r>
        <w:t>7）企业经营特点及经营风险分析，如：</w:t>
      </w:r>
    </w:p>
    <w:p w14:paraId="5A33A58F" w14:textId="21FFB0F6" w:rsidR="001E3DA8" w:rsidRDefault="001E3DA8" w:rsidP="001E3DA8">
      <w:pPr>
        <w:pStyle w:val="13"/>
      </w:pPr>
      <w:r>
        <w:t>1）银行信贷资产的种类、规模及质量等，营业网点及分布、市场地位等情况；</w:t>
      </w:r>
    </w:p>
    <w:p w14:paraId="0A633832" w14:textId="69349452" w:rsidR="001E3DA8" w:rsidRDefault="001E3DA8" w:rsidP="001E3DA8">
      <w:pPr>
        <w:pStyle w:val="13"/>
      </w:pPr>
      <w:r>
        <w:t>2）保险公司的主要险种、保费收入、赔付情况、市场地位等；</w:t>
      </w:r>
    </w:p>
    <w:p w14:paraId="1B6F8718" w14:textId="212B0E85" w:rsidR="001E3DA8" w:rsidRDefault="001E3DA8" w:rsidP="001E3DA8">
      <w:pPr>
        <w:pStyle w:val="13"/>
      </w:pPr>
      <w:r>
        <w:t>3）证券公司的经纪业务、自营业务、承销业务的规模和收入比重，营业网点数量及分布情况，市场地位等。</w:t>
      </w:r>
    </w:p>
    <w:p w14:paraId="209E6EA6" w14:textId="0BD8BA0B" w:rsidR="001E3DA8" w:rsidRDefault="001E3DA8" w:rsidP="001E3DA8">
      <w:pPr>
        <w:pStyle w:val="13"/>
      </w:pPr>
      <w:r>
        <w:rPr>
          <w:rFonts w:hint="eastAsia"/>
        </w:rPr>
        <w:t>（</w:t>
      </w:r>
      <w:r>
        <w:t>8）企业客户稳定性和流动性分析。</w:t>
      </w:r>
    </w:p>
    <w:p w14:paraId="7907A25B" w14:textId="1465F48B" w:rsidR="001E3DA8" w:rsidRDefault="001E3DA8" w:rsidP="001E3DA8">
      <w:pPr>
        <w:pStyle w:val="13"/>
      </w:pPr>
      <w:r>
        <w:rPr>
          <w:rFonts w:hint="eastAsia"/>
        </w:rPr>
        <w:t>（</w:t>
      </w:r>
      <w:r>
        <w:t>9）企业投资策略分析。</w:t>
      </w:r>
    </w:p>
    <w:p w14:paraId="34EC64E9" w14:textId="266322FB" w:rsidR="001E3DA8" w:rsidRDefault="001E3DA8" w:rsidP="001E3DA8">
      <w:pPr>
        <w:pStyle w:val="13"/>
      </w:pPr>
      <w:r>
        <w:rPr>
          <w:rFonts w:hint="eastAsia"/>
        </w:rPr>
        <w:t>（</w:t>
      </w:r>
      <w:r>
        <w:t>10）企业发展历程及未来发展规划。</w:t>
      </w:r>
    </w:p>
    <w:p w14:paraId="6BE80F31" w14:textId="4441D0A6" w:rsidR="001E3DA8" w:rsidRDefault="001E3DA8" w:rsidP="001E3DA8">
      <w:pPr>
        <w:pStyle w:val="13"/>
      </w:pPr>
      <w:r>
        <w:rPr>
          <w:rFonts w:hint="eastAsia"/>
        </w:rPr>
        <w:t>（</w:t>
      </w:r>
      <w:r>
        <w:t>11）企业执行国家相关部门制定的行业监管指标的情况。</w:t>
      </w:r>
    </w:p>
    <w:p w14:paraId="4A8DE7CF" w14:textId="38CD08BD" w:rsidR="001E3DA8" w:rsidRDefault="001E3DA8" w:rsidP="005E5947">
      <w:pPr>
        <w:pStyle w:val="13"/>
      </w:pPr>
      <w:r>
        <w:rPr>
          <w:rFonts w:hint="eastAsia"/>
        </w:rPr>
        <w:t>（</w:t>
      </w:r>
      <w:r>
        <w:t>12）执行的主要会计政策，经营是否存在国家政策、法规的限制或者优惠，经营</w:t>
      </w:r>
      <w:r>
        <w:rPr>
          <w:rFonts w:hint="eastAsia"/>
        </w:rPr>
        <w:t>的优劣势分析。</w:t>
      </w:r>
    </w:p>
    <w:p w14:paraId="4102C7F1" w14:textId="77777777" w:rsidR="001E3DA8" w:rsidRDefault="001E3DA8" w:rsidP="001E3DA8">
      <w:pPr>
        <w:pStyle w:val="13"/>
      </w:pPr>
      <w:r>
        <w:t>2、单项资产或者资产组合评估，被评估单位概况一般包括企业名称及简称、住所、法定代表人、注册资本、股东构成及主要经营范围等。</w:t>
      </w:r>
    </w:p>
    <w:p w14:paraId="22BD36EE" w14:textId="77777777" w:rsidR="001E3DA8" w:rsidRDefault="001E3DA8" w:rsidP="001E3DA8">
      <w:pPr>
        <w:pStyle w:val="13"/>
      </w:pPr>
      <w:r>
        <w:rPr>
          <w:rFonts w:hint="eastAsia"/>
        </w:rPr>
        <w:t>（三）委托人和被评估单位及资产评估委托合同约定的其他资产评估报告使用</w:t>
      </w:r>
      <w:r>
        <w:rPr>
          <w:rFonts w:hint="eastAsia"/>
        </w:rPr>
        <w:lastRenderedPageBreak/>
        <w:t>人之间的关系，如产权关系、交易关系等。若存在关联交易，应当说明关联方、交易方式等基本情况。</w:t>
      </w:r>
    </w:p>
    <w:p w14:paraId="4FF0FBC9" w14:textId="77777777" w:rsidR="001E3DA8" w:rsidRDefault="001E3DA8" w:rsidP="001E3DA8">
      <w:pPr>
        <w:pStyle w:val="13"/>
      </w:pPr>
      <w:r>
        <w:rPr>
          <w:rFonts w:hint="eastAsia"/>
        </w:rPr>
        <w:t>二、关于经济行为的说明</w:t>
      </w:r>
    </w:p>
    <w:p w14:paraId="6AF8381E" w14:textId="77777777" w:rsidR="001E3DA8" w:rsidRDefault="001E3DA8" w:rsidP="001E3DA8">
      <w:pPr>
        <w:pStyle w:val="13"/>
      </w:pPr>
      <w:r>
        <w:rPr>
          <w:rFonts w:hint="eastAsia"/>
        </w:rPr>
        <w:t>（一）说明本次资产评估满足何种需要、所对应的经济行为类型及其经济行为获得批准的相关情况，或者其他经济行为依据。</w:t>
      </w:r>
    </w:p>
    <w:p w14:paraId="025E4842" w14:textId="77777777" w:rsidR="005E5947" w:rsidRDefault="001E3DA8" w:rsidP="001E3DA8">
      <w:pPr>
        <w:pStyle w:val="13"/>
      </w:pPr>
      <w:r>
        <w:rPr>
          <w:rFonts w:hint="eastAsia"/>
        </w:rPr>
        <w:t>（二）获得有关部门批准的，应当载明批件名称、批准日期及文号。</w:t>
      </w:r>
    </w:p>
    <w:p w14:paraId="4F8DB888" w14:textId="2CD4FF98" w:rsidR="001E3DA8" w:rsidRDefault="001E3DA8" w:rsidP="001E3DA8">
      <w:pPr>
        <w:pStyle w:val="13"/>
      </w:pPr>
      <w:r>
        <w:rPr>
          <w:rFonts w:hint="eastAsia"/>
        </w:rPr>
        <w:t>三、关于评估对象与评估范围的说明</w:t>
      </w:r>
    </w:p>
    <w:p w14:paraId="0AED06F6" w14:textId="77777777" w:rsidR="001E3DA8" w:rsidRDefault="001E3DA8" w:rsidP="001E3DA8">
      <w:pPr>
        <w:pStyle w:val="13"/>
      </w:pPr>
      <w:r>
        <w:rPr>
          <w:rFonts w:hint="eastAsia"/>
        </w:rPr>
        <w:t>企业价值评估中，通常需要说明下列内容：</w:t>
      </w:r>
    </w:p>
    <w:p w14:paraId="4230BEC5" w14:textId="340C170A" w:rsidR="001E3DA8" w:rsidRDefault="001E3DA8" w:rsidP="001E3DA8">
      <w:pPr>
        <w:pStyle w:val="13"/>
      </w:pPr>
      <w:r>
        <w:rPr>
          <w:rFonts w:hint="eastAsia"/>
        </w:rPr>
        <w:t>（一）委托评估对象和评估范围与经济行为涉及的评估对象和评估范围是否一致</w:t>
      </w:r>
      <w:r w:rsidR="00CC4D74">
        <w:rPr>
          <w:rFonts w:hint="eastAsia"/>
        </w:rPr>
        <w:t>，</w:t>
      </w:r>
      <w:r>
        <w:t>不一致的应当说明原因，并说明是否经过审计、审计意见类型及审计期间。</w:t>
      </w:r>
    </w:p>
    <w:p w14:paraId="63135645" w14:textId="77777777" w:rsidR="001E3DA8" w:rsidRDefault="001E3DA8" w:rsidP="001E3DA8">
      <w:pPr>
        <w:pStyle w:val="13"/>
      </w:pPr>
      <w:r>
        <w:rPr>
          <w:rFonts w:hint="eastAsia"/>
        </w:rPr>
        <w:t>（二）企业表外业务的类型、数量。</w:t>
      </w:r>
    </w:p>
    <w:p w14:paraId="77E17293" w14:textId="77777777" w:rsidR="001E3DA8" w:rsidRDefault="001E3DA8" w:rsidP="001E3DA8">
      <w:pPr>
        <w:pStyle w:val="13"/>
      </w:pPr>
      <w:r>
        <w:rPr>
          <w:rFonts w:hint="eastAsia"/>
        </w:rPr>
        <w:t>（三）企业的主要客户资源、营销网络及业务合同等无形资产。</w:t>
      </w:r>
    </w:p>
    <w:p w14:paraId="1EF5659E" w14:textId="77777777" w:rsidR="001E3DA8" w:rsidRDefault="001E3DA8" w:rsidP="001E3DA8">
      <w:pPr>
        <w:pStyle w:val="13"/>
      </w:pPr>
      <w:r>
        <w:rPr>
          <w:rFonts w:hint="eastAsia"/>
        </w:rPr>
        <w:t>（四）本次评估前是否进行了财务重组。</w:t>
      </w:r>
    </w:p>
    <w:p w14:paraId="47482DBF" w14:textId="77777777" w:rsidR="001E3DA8" w:rsidRDefault="001E3DA8" w:rsidP="001E3DA8">
      <w:pPr>
        <w:pStyle w:val="13"/>
      </w:pPr>
      <w:r>
        <w:rPr>
          <w:rFonts w:hint="eastAsia"/>
        </w:rPr>
        <w:t>（五）账面资产是否根据以往评估结论进行了调账。</w:t>
      </w:r>
    </w:p>
    <w:p w14:paraId="770ED513" w14:textId="7606BDE0" w:rsidR="001E3DA8" w:rsidRDefault="001E3DA8" w:rsidP="005E5947">
      <w:pPr>
        <w:pStyle w:val="13"/>
      </w:pPr>
      <w:r>
        <w:rPr>
          <w:rFonts w:hint="eastAsia"/>
        </w:rPr>
        <w:t>（六）委托其他机构进行评估所涉及的资产类型、数量、账面金额及另行委托的原因。</w:t>
      </w:r>
    </w:p>
    <w:p w14:paraId="0F112068" w14:textId="77777777" w:rsidR="001E3DA8" w:rsidRDefault="001E3DA8" w:rsidP="001E3DA8">
      <w:pPr>
        <w:pStyle w:val="13"/>
      </w:pPr>
      <w:r>
        <w:rPr>
          <w:rFonts w:hint="eastAsia"/>
        </w:rPr>
        <w:t>单项资产或者资产组合评估，通常需要说明委托评估资产的数量、法律权属状况、经济状况等。</w:t>
      </w:r>
    </w:p>
    <w:p w14:paraId="1F14FBD7" w14:textId="77777777" w:rsidR="001E3DA8" w:rsidRDefault="001E3DA8" w:rsidP="001E3DA8">
      <w:pPr>
        <w:pStyle w:val="13"/>
      </w:pPr>
      <w:r>
        <w:rPr>
          <w:rFonts w:hint="eastAsia"/>
        </w:rPr>
        <w:t>四、关于评估基准日的说明</w:t>
      </w:r>
    </w:p>
    <w:p w14:paraId="030E3A94" w14:textId="77777777" w:rsidR="001E3DA8" w:rsidRDefault="001E3DA8" w:rsidP="001E3DA8">
      <w:pPr>
        <w:pStyle w:val="13"/>
      </w:pPr>
      <w:r>
        <w:rPr>
          <w:rFonts w:hint="eastAsia"/>
        </w:rPr>
        <w:t>（一）说明所确定的评估基准日，评估基准日表述为：××××年××月××日。</w:t>
      </w:r>
    </w:p>
    <w:p w14:paraId="53EA0094" w14:textId="7BAF3987" w:rsidR="001E3DA8" w:rsidRDefault="001E3DA8" w:rsidP="001E3DA8">
      <w:pPr>
        <w:pStyle w:val="13"/>
      </w:pPr>
      <w:r>
        <w:rPr>
          <w:rFonts w:hint="eastAsia"/>
        </w:rPr>
        <w:t>（二）说明确定评估基准日所考虑的主要因素，如经济行为的实现、财务报告期末、</w:t>
      </w:r>
      <w:r>
        <w:t>国家相关部门制定的行业监管指标变动情况以及利率、汇率和金融产品市场价格变化等。</w:t>
      </w:r>
    </w:p>
    <w:p w14:paraId="53250C2D" w14:textId="77777777" w:rsidR="001E3DA8" w:rsidRDefault="001E3DA8" w:rsidP="001E3DA8">
      <w:pPr>
        <w:pStyle w:val="13"/>
      </w:pPr>
      <w:r>
        <w:rPr>
          <w:rFonts w:hint="eastAsia"/>
        </w:rPr>
        <w:t>（三）如果评估基准日受特定经济行为文件的约束，应当载明该文件的名称、批准日期及文号。</w:t>
      </w:r>
    </w:p>
    <w:p w14:paraId="39566100" w14:textId="77777777" w:rsidR="001E3DA8" w:rsidRDefault="001E3DA8" w:rsidP="001E3DA8">
      <w:pPr>
        <w:pStyle w:val="13"/>
      </w:pPr>
      <w:r>
        <w:rPr>
          <w:rFonts w:hint="eastAsia"/>
        </w:rPr>
        <w:t>五、可能影响评估工作的重大事项的说明一般包括下列内容：</w:t>
      </w:r>
    </w:p>
    <w:p w14:paraId="41D40B27" w14:textId="77777777" w:rsidR="001E3DA8" w:rsidRDefault="001E3DA8" w:rsidP="001E3DA8">
      <w:pPr>
        <w:pStyle w:val="13"/>
      </w:pPr>
      <w:r>
        <w:rPr>
          <w:rFonts w:hint="eastAsia"/>
        </w:rPr>
        <w:t>（一）曾经进行过清产核资或者评估的情况，调账情况；</w:t>
      </w:r>
    </w:p>
    <w:p w14:paraId="7EBC9BF3" w14:textId="77777777" w:rsidR="001E3DA8" w:rsidRDefault="001E3DA8" w:rsidP="001E3DA8">
      <w:pPr>
        <w:pStyle w:val="13"/>
      </w:pPr>
      <w:r>
        <w:rPr>
          <w:rFonts w:hint="eastAsia"/>
        </w:rPr>
        <w:t>（二）影响经营活动和财务状况的重大合同、重大诉讼事项；</w:t>
      </w:r>
    </w:p>
    <w:p w14:paraId="24B7AFBE" w14:textId="77777777" w:rsidR="001E3DA8" w:rsidRDefault="001E3DA8" w:rsidP="001E3DA8">
      <w:pPr>
        <w:pStyle w:val="13"/>
      </w:pPr>
      <w:r>
        <w:rPr>
          <w:rFonts w:hint="eastAsia"/>
        </w:rPr>
        <w:t>（三）关于不良资产的说明。</w:t>
      </w:r>
    </w:p>
    <w:p w14:paraId="35DDC63E" w14:textId="77777777" w:rsidR="001E3DA8" w:rsidRDefault="001E3DA8" w:rsidP="001E3DA8">
      <w:pPr>
        <w:pStyle w:val="13"/>
      </w:pPr>
      <w:r>
        <w:rPr>
          <w:rFonts w:hint="eastAsia"/>
        </w:rPr>
        <w:t>六、资产负债清查情况、未来经营和收益状况预测的说明</w:t>
      </w:r>
    </w:p>
    <w:p w14:paraId="180B1789" w14:textId="77777777" w:rsidR="001E3DA8" w:rsidRDefault="001E3DA8" w:rsidP="001E3DA8">
      <w:pPr>
        <w:pStyle w:val="13"/>
      </w:pPr>
      <w:r>
        <w:rPr>
          <w:rFonts w:hint="eastAsia"/>
        </w:rPr>
        <w:t>（一）资产负债清查情况说明一般包括下列内容：</w:t>
      </w:r>
    </w:p>
    <w:p w14:paraId="7C92A288" w14:textId="77777777" w:rsidR="001E3DA8" w:rsidRDefault="001E3DA8" w:rsidP="001E3DA8">
      <w:pPr>
        <w:pStyle w:val="13"/>
      </w:pPr>
      <w:r>
        <w:t>1、清查范围与评估范围是否一致；</w:t>
      </w:r>
    </w:p>
    <w:p w14:paraId="20722B5A" w14:textId="77777777" w:rsidR="001E3DA8" w:rsidRDefault="001E3DA8" w:rsidP="001E3DA8">
      <w:pPr>
        <w:pStyle w:val="13"/>
      </w:pPr>
      <w:r>
        <w:t>2、清查结论。</w:t>
      </w:r>
    </w:p>
    <w:p w14:paraId="56F5DD8E" w14:textId="77777777" w:rsidR="001E3DA8" w:rsidRDefault="001E3DA8" w:rsidP="001E3DA8">
      <w:pPr>
        <w:pStyle w:val="13"/>
      </w:pPr>
      <w:r>
        <w:rPr>
          <w:rFonts w:hint="eastAsia"/>
        </w:rPr>
        <w:t>（二）未来经营和收益状况预测说明</w:t>
      </w:r>
    </w:p>
    <w:p w14:paraId="396B1D6E" w14:textId="77777777" w:rsidR="001E3DA8" w:rsidRDefault="001E3DA8" w:rsidP="001E3DA8">
      <w:pPr>
        <w:pStyle w:val="13"/>
      </w:pPr>
      <w:r>
        <w:rPr>
          <w:rFonts w:hint="eastAsia"/>
        </w:rPr>
        <w:lastRenderedPageBreak/>
        <w:t>一般包括下列内容：</w:t>
      </w:r>
    </w:p>
    <w:p w14:paraId="197EAC78" w14:textId="0C3EEA41" w:rsidR="001E3DA8" w:rsidRDefault="001E3DA8" w:rsidP="005E5947">
      <w:pPr>
        <w:pStyle w:val="13"/>
      </w:pPr>
      <w:r>
        <w:t>1、所在行业相关经济要素及发展前景、经营历史情况、面临的竞争情况及优劣势分</w:t>
      </w:r>
      <w:r>
        <w:rPr>
          <w:rFonts w:hint="eastAsia"/>
        </w:rPr>
        <w:t>析；</w:t>
      </w:r>
    </w:p>
    <w:p w14:paraId="44CA7140" w14:textId="64AD7CFA" w:rsidR="001E3DA8" w:rsidRDefault="001E3DA8" w:rsidP="005E5947">
      <w:pPr>
        <w:pStyle w:val="13"/>
      </w:pPr>
      <w:r>
        <w:t>2、内部管理制度、人力资源、核心技术、研发状况、无形资产、管理层构成等经营</w:t>
      </w:r>
      <w:r>
        <w:rPr>
          <w:rFonts w:hint="eastAsia"/>
        </w:rPr>
        <w:t>管理状况；</w:t>
      </w:r>
    </w:p>
    <w:p w14:paraId="25678848" w14:textId="77777777" w:rsidR="001E3DA8" w:rsidRDefault="001E3DA8" w:rsidP="001E3DA8">
      <w:pPr>
        <w:pStyle w:val="13"/>
      </w:pPr>
      <w:r>
        <w:t>3、近年企业资产、负债、权益、盈利、利润分配、现金流量等资产财务状况；</w:t>
      </w:r>
    </w:p>
    <w:p w14:paraId="0FE3F871" w14:textId="77777777" w:rsidR="001E3DA8" w:rsidRDefault="001E3DA8" w:rsidP="001E3DA8">
      <w:pPr>
        <w:pStyle w:val="13"/>
      </w:pPr>
      <w:r>
        <w:t>4、未来主营业务收入、成本、费用等的预测过程和结果；</w:t>
      </w:r>
    </w:p>
    <w:p w14:paraId="1D737E81" w14:textId="77777777" w:rsidR="005E5947" w:rsidRDefault="001E3DA8" w:rsidP="001E3DA8">
      <w:pPr>
        <w:pStyle w:val="13"/>
      </w:pPr>
      <w:r>
        <w:t>5、如果企业存在关联交易，应当说明关联交易的性质及定价原则等。</w:t>
      </w:r>
    </w:p>
    <w:p w14:paraId="37BEC910" w14:textId="6EA079F4" w:rsidR="001E3DA8" w:rsidRDefault="001E3DA8" w:rsidP="001E3DA8">
      <w:pPr>
        <w:pStyle w:val="13"/>
      </w:pPr>
      <w:r>
        <w:t>七、资料清单</w:t>
      </w:r>
    </w:p>
    <w:p w14:paraId="2D3445A1" w14:textId="77777777" w:rsidR="001E3DA8" w:rsidRDefault="001E3DA8" w:rsidP="001E3DA8">
      <w:pPr>
        <w:pStyle w:val="13"/>
      </w:pPr>
      <w:r>
        <w:rPr>
          <w:rFonts w:hint="eastAsia"/>
        </w:rPr>
        <w:t>一般包括下列内容：</w:t>
      </w:r>
    </w:p>
    <w:p w14:paraId="495FEAA9" w14:textId="77777777" w:rsidR="001E3DA8" w:rsidRDefault="001E3DA8" w:rsidP="001E3DA8">
      <w:pPr>
        <w:pStyle w:val="13"/>
      </w:pPr>
      <w:r>
        <w:rPr>
          <w:rFonts w:hint="eastAsia"/>
        </w:rPr>
        <w:t>（一）评估申报表（由资产评估机构出具样式）；</w:t>
      </w:r>
    </w:p>
    <w:p w14:paraId="7FBA1F92" w14:textId="77777777" w:rsidR="001E3DA8" w:rsidRDefault="001E3DA8" w:rsidP="001E3DA8">
      <w:pPr>
        <w:pStyle w:val="13"/>
      </w:pPr>
      <w:r>
        <w:rPr>
          <w:rFonts w:hint="eastAsia"/>
        </w:rPr>
        <w:t>（二）相关经济行为的批文；</w:t>
      </w:r>
    </w:p>
    <w:p w14:paraId="225A1D80" w14:textId="77777777" w:rsidR="001E3DA8" w:rsidRDefault="001E3DA8" w:rsidP="001E3DA8">
      <w:pPr>
        <w:pStyle w:val="13"/>
      </w:pPr>
      <w:r>
        <w:rPr>
          <w:rFonts w:hint="eastAsia"/>
        </w:rPr>
        <w:t>（三）财务报表及审计报告；</w:t>
      </w:r>
    </w:p>
    <w:p w14:paraId="762A7BE8" w14:textId="77777777" w:rsidR="001E3DA8" w:rsidRDefault="001E3DA8" w:rsidP="001E3DA8">
      <w:pPr>
        <w:pStyle w:val="13"/>
      </w:pPr>
      <w:r>
        <w:rPr>
          <w:rFonts w:hint="eastAsia"/>
        </w:rPr>
        <w:t>（四）资产权属证明文件；</w:t>
      </w:r>
    </w:p>
    <w:p w14:paraId="56E06D43" w14:textId="77777777" w:rsidR="001E3DA8" w:rsidRDefault="001E3DA8" w:rsidP="001E3DA8">
      <w:pPr>
        <w:pStyle w:val="13"/>
      </w:pPr>
      <w:r>
        <w:rPr>
          <w:rFonts w:hint="eastAsia"/>
        </w:rPr>
        <w:t>（五）重大合同、协议等；</w:t>
      </w:r>
    </w:p>
    <w:p w14:paraId="7ACC9873" w14:textId="77777777" w:rsidR="001E3DA8" w:rsidRDefault="001E3DA8" w:rsidP="001E3DA8">
      <w:pPr>
        <w:pStyle w:val="13"/>
      </w:pPr>
      <w:r>
        <w:rPr>
          <w:rFonts w:hint="eastAsia"/>
        </w:rPr>
        <w:t>（六）经营统计资料；</w:t>
      </w:r>
    </w:p>
    <w:p w14:paraId="16017050" w14:textId="5D55AE06" w:rsidR="001E3DA8" w:rsidRDefault="001E3DA8" w:rsidP="001E3DA8">
      <w:pPr>
        <w:pStyle w:val="13"/>
      </w:pPr>
      <w:r>
        <w:rPr>
          <w:rFonts w:hint="eastAsia"/>
        </w:rPr>
        <w:t>（七）其他资料。</w:t>
      </w:r>
    </w:p>
    <w:p w14:paraId="3B021171" w14:textId="59640027" w:rsidR="001F5A09" w:rsidRDefault="001F5A09">
      <w:pPr>
        <w:widowControl/>
        <w:jc w:val="left"/>
        <w:rPr>
          <w:rFonts w:ascii="宋体" w:hAnsi="宋体"/>
          <w:sz w:val="24"/>
          <w:szCs w:val="24"/>
        </w:rPr>
      </w:pPr>
      <w:r>
        <w:br w:type="page"/>
      </w:r>
    </w:p>
    <w:p w14:paraId="476E0A14" w14:textId="77777777" w:rsidR="001E3DA8" w:rsidRPr="005E5947" w:rsidRDefault="001E3DA8" w:rsidP="005E5947">
      <w:pPr>
        <w:pStyle w:val="13"/>
        <w:ind w:firstLineChars="0" w:firstLine="0"/>
        <w:rPr>
          <w:b/>
          <w:bCs/>
        </w:rPr>
      </w:pPr>
      <w:r w:rsidRPr="005E5947">
        <w:rPr>
          <w:rFonts w:hint="eastAsia"/>
          <w:b/>
          <w:bCs/>
        </w:rPr>
        <w:lastRenderedPageBreak/>
        <w:t>附</w:t>
      </w:r>
      <w:r w:rsidRPr="005E5947">
        <w:rPr>
          <w:b/>
          <w:bCs/>
        </w:rPr>
        <w:t xml:space="preserve"> 4</w:t>
      </w:r>
    </w:p>
    <w:p w14:paraId="1C8F720E" w14:textId="77777777" w:rsidR="005E5947" w:rsidRDefault="001E3DA8" w:rsidP="00AF7342">
      <w:pPr>
        <w:pStyle w:val="a9"/>
        <w:spacing w:before="62" w:after="62"/>
      </w:pPr>
      <w:r>
        <w:rPr>
          <w:rFonts w:hint="eastAsia"/>
        </w:rPr>
        <w:t>《资产评估说明》编写指引</w:t>
      </w:r>
    </w:p>
    <w:p w14:paraId="63856CF1" w14:textId="72C8CDE3" w:rsidR="001E3DA8" w:rsidRPr="005E5947" w:rsidRDefault="001E3DA8" w:rsidP="005E5947">
      <w:pPr>
        <w:pStyle w:val="13"/>
        <w:ind w:firstLine="482"/>
        <w:jc w:val="center"/>
        <w:rPr>
          <w:b/>
          <w:bCs/>
        </w:rPr>
      </w:pPr>
      <w:r w:rsidRPr="005E5947">
        <w:rPr>
          <w:rFonts w:hint="eastAsia"/>
          <w:b/>
          <w:bCs/>
        </w:rPr>
        <w:t>（供参考）</w:t>
      </w:r>
    </w:p>
    <w:p w14:paraId="7BADF6BC" w14:textId="77777777" w:rsidR="001E3DA8" w:rsidRDefault="001E3DA8" w:rsidP="001E3DA8">
      <w:pPr>
        <w:pStyle w:val="13"/>
      </w:pPr>
      <w:r>
        <w:rPr>
          <w:rFonts w:hint="eastAsia"/>
        </w:rPr>
        <w:t>资产评估说明是申请备案核准资产评估业务的必备材料，为方便金融企业国有资产监督管理部门和相关机构全面了解资产评估情况，本指引结合国有资产评估业务备案核准的要求，为资产评估机构及资产评估师编写资产评估说明提供指引。</w:t>
      </w:r>
    </w:p>
    <w:p w14:paraId="5BDF84CE" w14:textId="77777777" w:rsidR="001E3DA8" w:rsidRDefault="001E3DA8" w:rsidP="00AF7342">
      <w:pPr>
        <w:pStyle w:val="a9"/>
        <w:spacing w:before="62" w:after="62"/>
      </w:pPr>
      <w:r>
        <w:rPr>
          <w:rFonts w:hint="eastAsia"/>
        </w:rPr>
        <w:t>第一部分</w:t>
      </w:r>
      <w:r>
        <w:t xml:space="preserve"> 资产评估说明封面及目录</w:t>
      </w:r>
    </w:p>
    <w:p w14:paraId="28F6AC14" w14:textId="77777777" w:rsidR="001E3DA8" w:rsidRDefault="001E3DA8" w:rsidP="001E3DA8">
      <w:pPr>
        <w:pStyle w:val="13"/>
      </w:pPr>
      <w:r>
        <w:rPr>
          <w:rFonts w:hint="eastAsia"/>
        </w:rPr>
        <w:t>一、封面</w:t>
      </w:r>
    </w:p>
    <w:p w14:paraId="1A343B8F" w14:textId="77777777" w:rsidR="001E3DA8" w:rsidRDefault="001E3DA8" w:rsidP="001E3DA8">
      <w:pPr>
        <w:pStyle w:val="13"/>
      </w:pPr>
      <w:r>
        <w:rPr>
          <w:rFonts w:hint="eastAsia"/>
        </w:rPr>
        <w:t>资产评估说明封面应当载明资产评估报告标题及文号、资产评估机构全称和资产评估报告日。</w:t>
      </w:r>
    </w:p>
    <w:p w14:paraId="60DD8A94" w14:textId="77777777" w:rsidR="001E3DA8" w:rsidRDefault="001E3DA8" w:rsidP="001E3DA8">
      <w:pPr>
        <w:pStyle w:val="13"/>
      </w:pPr>
      <w:r>
        <w:rPr>
          <w:rFonts w:hint="eastAsia"/>
        </w:rPr>
        <w:t>二、目录</w:t>
      </w:r>
    </w:p>
    <w:p w14:paraId="2E1A415C" w14:textId="77777777" w:rsidR="001E3DA8" w:rsidRDefault="001E3DA8" w:rsidP="001E3DA8">
      <w:pPr>
        <w:pStyle w:val="13"/>
      </w:pPr>
      <w:r>
        <w:rPr>
          <w:rFonts w:hint="eastAsia"/>
        </w:rPr>
        <w:t>（一）目录应当在封面的下一页排印，包括每一部分的标题和相应页码。</w:t>
      </w:r>
    </w:p>
    <w:p w14:paraId="07385A16" w14:textId="77777777" w:rsidR="005E5947" w:rsidRDefault="001E3DA8" w:rsidP="001E3DA8">
      <w:pPr>
        <w:pStyle w:val="13"/>
      </w:pPr>
      <w:r>
        <w:rPr>
          <w:rFonts w:hint="eastAsia"/>
        </w:rPr>
        <w:t>（二）如果资产评估说明中收录有关文件或者资料的复印件，应当统一标注页码。</w:t>
      </w:r>
    </w:p>
    <w:p w14:paraId="404A27FC" w14:textId="46174ED7" w:rsidR="001E3DA8" w:rsidRDefault="001E3DA8" w:rsidP="00AF7342">
      <w:pPr>
        <w:pStyle w:val="a9"/>
        <w:spacing w:before="62" w:after="62"/>
      </w:pPr>
      <w:r>
        <w:rPr>
          <w:rFonts w:hint="eastAsia"/>
        </w:rPr>
        <w:t>第二部分</w:t>
      </w:r>
      <w:r>
        <w:t xml:space="preserve"> 关于资产评估说明使用范围的声明</w:t>
      </w:r>
    </w:p>
    <w:p w14:paraId="77ECC5E9" w14:textId="77777777" w:rsidR="001E3DA8" w:rsidRDefault="001E3DA8" w:rsidP="001E3DA8">
      <w:pPr>
        <w:pStyle w:val="13"/>
      </w:pPr>
      <w:r>
        <w:rPr>
          <w:rFonts w:hint="eastAsia"/>
        </w:rPr>
        <w:t>声明应当写明，资产评估说明</w:t>
      </w:r>
      <w:proofErr w:type="gramStart"/>
      <w:r>
        <w:rPr>
          <w:rFonts w:hint="eastAsia"/>
        </w:rPr>
        <w:t>供金融</w:t>
      </w:r>
      <w:proofErr w:type="gramEnd"/>
      <w:r>
        <w:rPr>
          <w:rFonts w:hint="eastAsia"/>
        </w:rPr>
        <w:t>企业国有资产监督管理部门（含所出资企业）、相关监管机构和部门使用。除法律、行政法规规定外，资产评估说明的全部或者部分内容不得提供给其他任何单位和个人，不得见诸公开媒体。</w:t>
      </w:r>
    </w:p>
    <w:p w14:paraId="56506B7B" w14:textId="77777777" w:rsidR="005E5947" w:rsidRDefault="001E3DA8" w:rsidP="00AF7342">
      <w:pPr>
        <w:pStyle w:val="a9"/>
        <w:spacing w:before="62" w:after="62"/>
      </w:pPr>
      <w:r>
        <w:rPr>
          <w:rFonts w:hint="eastAsia"/>
        </w:rPr>
        <w:t>第三部分</w:t>
      </w:r>
      <w:r>
        <w:t xml:space="preserve"> 资产评估说明正文</w:t>
      </w:r>
    </w:p>
    <w:p w14:paraId="517173E7" w14:textId="1B84F24E" w:rsidR="001E3DA8" w:rsidRDefault="001E3DA8" w:rsidP="001E3DA8">
      <w:pPr>
        <w:pStyle w:val="13"/>
      </w:pPr>
      <w:r>
        <w:t>一、评估对象与评估范围说明</w:t>
      </w:r>
    </w:p>
    <w:p w14:paraId="0878534B" w14:textId="77777777" w:rsidR="001E3DA8" w:rsidRDefault="001E3DA8" w:rsidP="001E3DA8">
      <w:pPr>
        <w:pStyle w:val="13"/>
      </w:pPr>
      <w:r>
        <w:rPr>
          <w:rFonts w:hint="eastAsia"/>
        </w:rPr>
        <w:t>（一）评估对象与评估范围内容</w:t>
      </w:r>
    </w:p>
    <w:p w14:paraId="0B2006B7" w14:textId="77777777" w:rsidR="001E3DA8" w:rsidRDefault="001E3DA8" w:rsidP="001E3DA8">
      <w:pPr>
        <w:pStyle w:val="13"/>
      </w:pPr>
      <w:r>
        <w:t>1、委托评估的评估对象与评估范围。</w:t>
      </w:r>
    </w:p>
    <w:p w14:paraId="66AE633C" w14:textId="77777777" w:rsidR="001E3DA8" w:rsidRDefault="001E3DA8" w:rsidP="001E3DA8">
      <w:pPr>
        <w:pStyle w:val="13"/>
      </w:pPr>
      <w:r>
        <w:t>2、委托评估的资产类型、账面金额。</w:t>
      </w:r>
    </w:p>
    <w:p w14:paraId="4B21DCF2" w14:textId="77777777" w:rsidR="001E3DA8" w:rsidRDefault="001E3DA8" w:rsidP="001E3DA8">
      <w:pPr>
        <w:pStyle w:val="13"/>
      </w:pPr>
      <w:r>
        <w:t>3、委托评估的资产权属状况。</w:t>
      </w:r>
    </w:p>
    <w:p w14:paraId="6D261C2F" w14:textId="77777777" w:rsidR="001E3DA8" w:rsidRDefault="001E3DA8" w:rsidP="001E3DA8">
      <w:pPr>
        <w:pStyle w:val="13"/>
      </w:pPr>
      <w:r>
        <w:rPr>
          <w:rFonts w:hint="eastAsia"/>
        </w:rPr>
        <w:t>（二）主要经营资产类型、资产状况。</w:t>
      </w:r>
    </w:p>
    <w:p w14:paraId="6A1422F8" w14:textId="77777777" w:rsidR="001E3DA8" w:rsidRDefault="001E3DA8" w:rsidP="001E3DA8">
      <w:pPr>
        <w:pStyle w:val="13"/>
      </w:pPr>
      <w:r>
        <w:rPr>
          <w:rFonts w:hint="eastAsia"/>
        </w:rPr>
        <w:t>（三）主要实物资产的类型、数量及购置方式。</w:t>
      </w:r>
    </w:p>
    <w:p w14:paraId="218E7384" w14:textId="77777777" w:rsidR="001E3DA8" w:rsidRDefault="001E3DA8" w:rsidP="001E3DA8">
      <w:pPr>
        <w:pStyle w:val="13"/>
      </w:pPr>
      <w:r>
        <w:rPr>
          <w:rFonts w:hint="eastAsia"/>
        </w:rPr>
        <w:t>（四）企业申报的账面记录或者未记录的无形资产情况。</w:t>
      </w:r>
    </w:p>
    <w:p w14:paraId="70F2463F" w14:textId="77777777" w:rsidR="001E3DA8" w:rsidRDefault="001E3DA8" w:rsidP="001E3DA8">
      <w:pPr>
        <w:pStyle w:val="13"/>
      </w:pPr>
      <w:r>
        <w:rPr>
          <w:rFonts w:hint="eastAsia"/>
        </w:rPr>
        <w:t>（五）企业申报的表外业务的类型、数量。</w:t>
      </w:r>
    </w:p>
    <w:p w14:paraId="5ADBE145" w14:textId="66384305" w:rsidR="001E3DA8" w:rsidRDefault="001E3DA8" w:rsidP="005E5947">
      <w:pPr>
        <w:pStyle w:val="13"/>
      </w:pPr>
      <w:r>
        <w:rPr>
          <w:rFonts w:hint="eastAsia"/>
        </w:rPr>
        <w:t>（六）引用其他机构出具的报告的结论所涉及的资产类型、数量和账面金额（或者评估值）。</w:t>
      </w:r>
    </w:p>
    <w:p w14:paraId="3F0550F5" w14:textId="77777777" w:rsidR="005E5947" w:rsidRDefault="001E3DA8" w:rsidP="001E3DA8">
      <w:pPr>
        <w:pStyle w:val="13"/>
      </w:pPr>
      <w:r>
        <w:rPr>
          <w:rFonts w:hint="eastAsia"/>
        </w:rPr>
        <w:t>单项资产或者资产组合评估，可以根据具体情况确定内容的详略程度。</w:t>
      </w:r>
    </w:p>
    <w:p w14:paraId="405E043C" w14:textId="177001E4" w:rsidR="001E3DA8" w:rsidRDefault="001E3DA8" w:rsidP="001E3DA8">
      <w:pPr>
        <w:pStyle w:val="13"/>
      </w:pPr>
      <w:r>
        <w:rPr>
          <w:rFonts w:hint="eastAsia"/>
        </w:rPr>
        <w:t>二、资产核实情况总体说明</w:t>
      </w:r>
    </w:p>
    <w:p w14:paraId="71D54869" w14:textId="77777777" w:rsidR="001E3DA8" w:rsidRDefault="001E3DA8" w:rsidP="001E3DA8">
      <w:pPr>
        <w:pStyle w:val="13"/>
      </w:pPr>
      <w:r>
        <w:rPr>
          <w:rFonts w:hint="eastAsia"/>
        </w:rPr>
        <w:t>（一）资产核实人员组织、实施时间和过程。</w:t>
      </w:r>
    </w:p>
    <w:p w14:paraId="1E47E373" w14:textId="77777777" w:rsidR="001E3DA8" w:rsidRDefault="001E3DA8" w:rsidP="001E3DA8">
      <w:pPr>
        <w:pStyle w:val="13"/>
      </w:pPr>
      <w:r>
        <w:rPr>
          <w:rFonts w:hint="eastAsia"/>
        </w:rPr>
        <w:lastRenderedPageBreak/>
        <w:t>（二）特殊资产的核实方法</w:t>
      </w:r>
    </w:p>
    <w:p w14:paraId="46ED7DA1" w14:textId="77777777" w:rsidR="001E3DA8" w:rsidRDefault="001E3DA8" w:rsidP="001E3DA8">
      <w:pPr>
        <w:pStyle w:val="13"/>
      </w:pPr>
      <w:r>
        <w:t>1、对于网点多、经营地点分散的资产所采取的核实方法。</w:t>
      </w:r>
    </w:p>
    <w:p w14:paraId="1FF974F0" w14:textId="77777777" w:rsidR="001E3DA8" w:rsidRDefault="001E3DA8" w:rsidP="001E3DA8">
      <w:pPr>
        <w:pStyle w:val="13"/>
      </w:pPr>
      <w:r>
        <w:t>2、对于经营网络、主要客户等情况所采取的核实方法。</w:t>
      </w:r>
    </w:p>
    <w:p w14:paraId="4007E0CC" w14:textId="77777777" w:rsidR="001E3DA8" w:rsidRDefault="001E3DA8" w:rsidP="001E3DA8">
      <w:pPr>
        <w:pStyle w:val="13"/>
      </w:pPr>
      <w:r>
        <w:rPr>
          <w:rFonts w:hint="eastAsia"/>
        </w:rPr>
        <w:t>（三）核实结论</w:t>
      </w:r>
    </w:p>
    <w:p w14:paraId="0947C223" w14:textId="77777777" w:rsidR="001E3DA8" w:rsidRDefault="001E3DA8" w:rsidP="001E3DA8">
      <w:pPr>
        <w:pStyle w:val="13"/>
      </w:pPr>
      <w:r>
        <w:t>1、资产核实结果是否与账面记录存在差异及原因。</w:t>
      </w:r>
    </w:p>
    <w:p w14:paraId="70683D84" w14:textId="77777777" w:rsidR="005E5947" w:rsidRDefault="001E3DA8" w:rsidP="001E3DA8">
      <w:pPr>
        <w:pStyle w:val="13"/>
      </w:pPr>
      <w:r>
        <w:t>2、权属资料不完善、不清晰的资产核实情况。</w:t>
      </w:r>
    </w:p>
    <w:p w14:paraId="20EF6BE5" w14:textId="49FFABA2" w:rsidR="001E3DA8" w:rsidRDefault="001E3DA8" w:rsidP="001E3DA8">
      <w:pPr>
        <w:pStyle w:val="13"/>
      </w:pPr>
      <w:r>
        <w:t>三、资产基础</w:t>
      </w:r>
      <w:proofErr w:type="gramStart"/>
      <w:r>
        <w:t>法或者</w:t>
      </w:r>
      <w:proofErr w:type="gramEnd"/>
      <w:r>
        <w:t>成本法评估技术说明</w:t>
      </w:r>
    </w:p>
    <w:p w14:paraId="1C0AE5FE" w14:textId="77777777" w:rsidR="001E3DA8" w:rsidRDefault="001E3DA8" w:rsidP="001E3DA8">
      <w:pPr>
        <w:pStyle w:val="13"/>
      </w:pPr>
      <w:r>
        <w:rPr>
          <w:rFonts w:hint="eastAsia"/>
        </w:rPr>
        <w:t>采用成本法评估单项资产或者资产组合，采用资产基础法评估企业价值应当根据评估业务的具体情况，编写评估技术说明。各资产负债评估技术说明应当包含资产负债的内容和金额、核实方法、评估值确定的方法和结论等基本内容。银行、保险公司、证券公司的资产负债项目评估技术说明编写内容指引如下，其他企业可以参照这几类公司的科目编写。</w:t>
      </w:r>
    </w:p>
    <w:p w14:paraId="692604C8" w14:textId="77777777" w:rsidR="001E3DA8" w:rsidRDefault="001E3DA8" w:rsidP="001E3DA8">
      <w:pPr>
        <w:pStyle w:val="13"/>
      </w:pPr>
      <w:r>
        <w:rPr>
          <w:rFonts w:hint="eastAsia"/>
        </w:rPr>
        <w:t>资产基础法评估技术说明，主要金融科目及固定资产科目均应当列举案例说明评估具体过程。每一科目的评估技术说明应当根据项目具体情况确定详略程度。</w:t>
      </w:r>
    </w:p>
    <w:p w14:paraId="72925FBE" w14:textId="77777777" w:rsidR="001E3DA8" w:rsidRDefault="001E3DA8" w:rsidP="001E3DA8">
      <w:pPr>
        <w:pStyle w:val="13"/>
      </w:pPr>
      <w:r>
        <w:rPr>
          <w:rFonts w:hint="eastAsia"/>
        </w:rPr>
        <w:t>（一）银行资产基础法评估技术说明编写内容指引</w:t>
      </w:r>
    </w:p>
    <w:p w14:paraId="746FFC39" w14:textId="77777777" w:rsidR="001E3DA8" w:rsidRDefault="001E3DA8" w:rsidP="001E3DA8">
      <w:pPr>
        <w:pStyle w:val="13"/>
      </w:pPr>
      <w:r>
        <w:t>1、现金及存放中央银行款项</w:t>
      </w:r>
    </w:p>
    <w:p w14:paraId="072C0ED2" w14:textId="6EED0721" w:rsidR="001E3DA8" w:rsidRDefault="001E3DA8" w:rsidP="001E3DA8">
      <w:pPr>
        <w:pStyle w:val="13"/>
      </w:pPr>
      <w:r>
        <w:rPr>
          <w:rFonts w:hint="eastAsia"/>
        </w:rPr>
        <w:t>（</w:t>
      </w:r>
      <w:r>
        <w:t>1）现金及存放中央银行款项的内容和金额。</w:t>
      </w:r>
    </w:p>
    <w:p w14:paraId="4041485C" w14:textId="16376FB5" w:rsidR="001E3DA8" w:rsidRDefault="001E3DA8" w:rsidP="001E3DA8">
      <w:pPr>
        <w:pStyle w:val="13"/>
      </w:pPr>
      <w:r>
        <w:rPr>
          <w:rFonts w:hint="eastAsia"/>
        </w:rPr>
        <w:t>（</w:t>
      </w:r>
      <w:r>
        <w:t>2）现金核实的方法和结论。</w:t>
      </w:r>
    </w:p>
    <w:p w14:paraId="2381C27F" w14:textId="67C529D3" w:rsidR="001E3DA8" w:rsidRDefault="001E3DA8" w:rsidP="001E3DA8">
      <w:pPr>
        <w:pStyle w:val="13"/>
      </w:pPr>
      <w:r>
        <w:rPr>
          <w:rFonts w:hint="eastAsia"/>
        </w:rPr>
        <w:t>（</w:t>
      </w:r>
      <w:r>
        <w:t>3）存放中央银行款项的金额，评估基准日存款准备金率及应存款金额，存款金额是否超出存款准备金标准。</w:t>
      </w:r>
    </w:p>
    <w:p w14:paraId="440F4A25" w14:textId="11E270E7" w:rsidR="001E3DA8" w:rsidRDefault="001E3DA8" w:rsidP="001E3DA8">
      <w:pPr>
        <w:pStyle w:val="13"/>
      </w:pPr>
      <w:r>
        <w:rPr>
          <w:rFonts w:hint="eastAsia"/>
        </w:rPr>
        <w:t>（</w:t>
      </w:r>
      <w:r>
        <w:t>4）查验中央银行存款对账单、余额调节表的情况，</w:t>
      </w:r>
      <w:proofErr w:type="gramStart"/>
      <w:r>
        <w:t>函证情况</w:t>
      </w:r>
      <w:proofErr w:type="gramEnd"/>
      <w:r>
        <w:t>，以及评估基准</w:t>
      </w:r>
      <w:proofErr w:type="gramStart"/>
      <w:r>
        <w:t>日执行</w:t>
      </w:r>
      <w:proofErr w:type="gramEnd"/>
      <w:r>
        <w:t>的利率标准。</w:t>
      </w:r>
    </w:p>
    <w:p w14:paraId="199C3646" w14:textId="3711FAF3" w:rsidR="001E3DA8" w:rsidRDefault="001E3DA8" w:rsidP="001E3DA8">
      <w:pPr>
        <w:pStyle w:val="13"/>
      </w:pPr>
      <w:r>
        <w:rPr>
          <w:rFonts w:hint="eastAsia"/>
        </w:rPr>
        <w:t>（</w:t>
      </w:r>
      <w:r>
        <w:t>5）现金及存放中央银行款项评估值的确定方法和结论。</w:t>
      </w:r>
    </w:p>
    <w:p w14:paraId="18DAE430" w14:textId="77777777" w:rsidR="001E3DA8" w:rsidRDefault="001E3DA8" w:rsidP="001E3DA8">
      <w:pPr>
        <w:pStyle w:val="13"/>
      </w:pPr>
      <w:r>
        <w:t>2、存放同业款项</w:t>
      </w:r>
    </w:p>
    <w:p w14:paraId="5FA57EE6" w14:textId="47D51C7C" w:rsidR="001E3DA8" w:rsidRDefault="001E3DA8" w:rsidP="001E3DA8">
      <w:pPr>
        <w:pStyle w:val="13"/>
      </w:pPr>
      <w:r>
        <w:rPr>
          <w:rFonts w:hint="eastAsia"/>
        </w:rPr>
        <w:t>（</w:t>
      </w:r>
      <w:r>
        <w:t>1）存放同业款项账面金额、存款利率。</w:t>
      </w:r>
    </w:p>
    <w:p w14:paraId="6B021B36" w14:textId="55B2A394" w:rsidR="001E3DA8" w:rsidRDefault="001E3DA8" w:rsidP="001E3DA8">
      <w:pPr>
        <w:pStyle w:val="13"/>
      </w:pPr>
      <w:r>
        <w:rPr>
          <w:rFonts w:hint="eastAsia"/>
        </w:rPr>
        <w:t>（</w:t>
      </w:r>
      <w:r>
        <w:t>2）存款</w:t>
      </w:r>
      <w:proofErr w:type="gramStart"/>
      <w:r>
        <w:t>进行函证情况</w:t>
      </w:r>
      <w:proofErr w:type="gramEnd"/>
      <w:r>
        <w:t>，不正常的未达账项情况。</w:t>
      </w:r>
    </w:p>
    <w:p w14:paraId="4ADAE8C4" w14:textId="413A3923" w:rsidR="001E3DA8" w:rsidRDefault="001E3DA8" w:rsidP="001E3DA8">
      <w:pPr>
        <w:pStyle w:val="13"/>
      </w:pPr>
      <w:r>
        <w:rPr>
          <w:rFonts w:hint="eastAsia"/>
        </w:rPr>
        <w:t>（</w:t>
      </w:r>
      <w:r>
        <w:t>3）存放同业款项评估值的确定方法和结论。</w:t>
      </w:r>
    </w:p>
    <w:p w14:paraId="4B2094AC" w14:textId="77777777" w:rsidR="001E3DA8" w:rsidRDefault="001E3DA8" w:rsidP="001E3DA8">
      <w:pPr>
        <w:pStyle w:val="13"/>
      </w:pPr>
      <w:r>
        <w:t>3、贵金属</w:t>
      </w:r>
    </w:p>
    <w:p w14:paraId="3BF472C9" w14:textId="71AEBB6B" w:rsidR="001E3DA8" w:rsidRDefault="001E3DA8" w:rsidP="001E3DA8">
      <w:pPr>
        <w:pStyle w:val="13"/>
      </w:pPr>
      <w:r>
        <w:rPr>
          <w:rFonts w:hint="eastAsia"/>
        </w:rPr>
        <w:t>（</w:t>
      </w:r>
      <w:r>
        <w:t>1）贵金属的种类、规格、重量以及保管方式。</w:t>
      </w:r>
    </w:p>
    <w:p w14:paraId="2BE45CDE" w14:textId="5758F18E" w:rsidR="001E3DA8" w:rsidRDefault="001E3DA8" w:rsidP="001E3DA8">
      <w:pPr>
        <w:pStyle w:val="13"/>
      </w:pPr>
      <w:r>
        <w:rPr>
          <w:rFonts w:hint="eastAsia"/>
        </w:rPr>
        <w:t>（</w:t>
      </w:r>
      <w:r>
        <w:t>2）贵金属的盘点方法。</w:t>
      </w:r>
    </w:p>
    <w:p w14:paraId="72CB6DF0" w14:textId="0A37ADD4" w:rsidR="001E3DA8" w:rsidRDefault="001E3DA8" w:rsidP="001E3DA8">
      <w:pPr>
        <w:pStyle w:val="13"/>
      </w:pPr>
      <w:r>
        <w:rPr>
          <w:rFonts w:hint="eastAsia"/>
        </w:rPr>
        <w:t>（</w:t>
      </w:r>
      <w:r>
        <w:t>3）贵金属评估值的确定方法和结论。</w:t>
      </w:r>
    </w:p>
    <w:p w14:paraId="0145805C" w14:textId="77777777" w:rsidR="001E3DA8" w:rsidRDefault="001E3DA8" w:rsidP="001E3DA8">
      <w:pPr>
        <w:pStyle w:val="13"/>
      </w:pPr>
      <w:r>
        <w:t>4、拆出资金</w:t>
      </w:r>
    </w:p>
    <w:p w14:paraId="6259F9C0" w14:textId="15145E4F" w:rsidR="001E3DA8" w:rsidRDefault="001E3DA8" w:rsidP="001E3DA8">
      <w:pPr>
        <w:pStyle w:val="13"/>
      </w:pPr>
      <w:r>
        <w:rPr>
          <w:rFonts w:hint="eastAsia"/>
        </w:rPr>
        <w:t>（</w:t>
      </w:r>
      <w:r>
        <w:t>1）拆出资金账面金额、拆借银行、拆借利率、拆借期限。</w:t>
      </w:r>
    </w:p>
    <w:p w14:paraId="30CF1AA9" w14:textId="4972AA55" w:rsidR="001E3DA8" w:rsidRDefault="001E3DA8" w:rsidP="001E3DA8">
      <w:pPr>
        <w:pStyle w:val="13"/>
      </w:pPr>
      <w:r>
        <w:rPr>
          <w:rFonts w:hint="eastAsia"/>
        </w:rPr>
        <w:t>（</w:t>
      </w:r>
      <w:r>
        <w:t>2）拆出</w:t>
      </w:r>
      <w:proofErr w:type="gramStart"/>
      <w:r>
        <w:t>资金函证情况</w:t>
      </w:r>
      <w:proofErr w:type="gramEnd"/>
      <w:r>
        <w:t>。</w:t>
      </w:r>
    </w:p>
    <w:p w14:paraId="143E9785" w14:textId="4EFD4A1B" w:rsidR="001E3DA8" w:rsidRDefault="001E3DA8" w:rsidP="001E3DA8">
      <w:pPr>
        <w:pStyle w:val="13"/>
      </w:pPr>
      <w:r>
        <w:rPr>
          <w:rFonts w:hint="eastAsia"/>
        </w:rPr>
        <w:lastRenderedPageBreak/>
        <w:t>（</w:t>
      </w:r>
      <w:r>
        <w:t>3）拆出资金评估值的确定方法和结论。</w:t>
      </w:r>
    </w:p>
    <w:p w14:paraId="40477FCA" w14:textId="77777777" w:rsidR="001E3DA8" w:rsidRDefault="001E3DA8" w:rsidP="001E3DA8">
      <w:pPr>
        <w:pStyle w:val="13"/>
      </w:pPr>
      <w:r>
        <w:t>5、交易性金融资产</w:t>
      </w:r>
    </w:p>
    <w:p w14:paraId="11FE443F" w14:textId="6610D5BB" w:rsidR="001E3DA8" w:rsidRDefault="001E3DA8" w:rsidP="001E3DA8">
      <w:pPr>
        <w:pStyle w:val="13"/>
      </w:pPr>
      <w:r>
        <w:rPr>
          <w:rFonts w:hint="eastAsia"/>
        </w:rPr>
        <w:t>（</w:t>
      </w:r>
      <w:r>
        <w:t>1）交易性金融资产的种类、账面金额。</w:t>
      </w:r>
    </w:p>
    <w:p w14:paraId="628CF2E3" w14:textId="2EE464AA" w:rsidR="001E3DA8" w:rsidRDefault="001E3DA8" w:rsidP="001E3DA8">
      <w:pPr>
        <w:pStyle w:val="13"/>
      </w:pPr>
      <w:r>
        <w:rPr>
          <w:rFonts w:hint="eastAsia"/>
        </w:rPr>
        <w:t>（</w:t>
      </w:r>
      <w:r>
        <w:t>2）交易性金融资产核实的方法和结论。</w:t>
      </w:r>
    </w:p>
    <w:p w14:paraId="544ECBAD" w14:textId="0AF69FA8" w:rsidR="001E3DA8" w:rsidRDefault="001E3DA8" w:rsidP="001E3DA8">
      <w:pPr>
        <w:pStyle w:val="13"/>
      </w:pPr>
      <w:r>
        <w:rPr>
          <w:rFonts w:hint="eastAsia"/>
        </w:rPr>
        <w:t>（</w:t>
      </w:r>
      <w:r>
        <w:t>3）交易性金融资产评估值的确定方法和结论。</w:t>
      </w:r>
    </w:p>
    <w:p w14:paraId="6DE88430" w14:textId="77777777" w:rsidR="001E3DA8" w:rsidRDefault="001E3DA8" w:rsidP="001E3DA8">
      <w:pPr>
        <w:pStyle w:val="13"/>
      </w:pPr>
      <w:r>
        <w:t>6、衍生金融资产</w:t>
      </w:r>
    </w:p>
    <w:p w14:paraId="0C240533" w14:textId="3257B7F7" w:rsidR="001E3DA8" w:rsidRDefault="001E3DA8" w:rsidP="001E3DA8">
      <w:pPr>
        <w:pStyle w:val="13"/>
      </w:pPr>
      <w:r>
        <w:rPr>
          <w:rFonts w:hint="eastAsia"/>
        </w:rPr>
        <w:t>（</w:t>
      </w:r>
      <w:r>
        <w:t>1）衍生金融资产的种类、投资日期、持有数量及账面金额。</w:t>
      </w:r>
    </w:p>
    <w:p w14:paraId="5CE82E65" w14:textId="6A394097" w:rsidR="001E3DA8" w:rsidRDefault="001E3DA8" w:rsidP="001E3DA8">
      <w:pPr>
        <w:pStyle w:val="13"/>
      </w:pPr>
      <w:r>
        <w:rPr>
          <w:rFonts w:hint="eastAsia"/>
        </w:rPr>
        <w:t>（</w:t>
      </w:r>
      <w:r>
        <w:t>2）影响衍生金融资产价值的主要因素，衍生金融资产评估中主要参数（如利率、汇率等）的预测方法，并分析其合理性。</w:t>
      </w:r>
    </w:p>
    <w:p w14:paraId="5248D3B9" w14:textId="316FD419" w:rsidR="001E3DA8" w:rsidRDefault="001E3DA8" w:rsidP="001E3DA8">
      <w:pPr>
        <w:pStyle w:val="13"/>
      </w:pPr>
      <w:r>
        <w:rPr>
          <w:rFonts w:hint="eastAsia"/>
        </w:rPr>
        <w:t>（</w:t>
      </w:r>
      <w:r>
        <w:t>3）衍生金融资产评估值的确定方法和结论。</w:t>
      </w:r>
    </w:p>
    <w:p w14:paraId="4EEF43C9" w14:textId="77777777" w:rsidR="001E3DA8" w:rsidRDefault="001E3DA8" w:rsidP="001E3DA8">
      <w:pPr>
        <w:pStyle w:val="13"/>
      </w:pPr>
      <w:r>
        <w:t>7、买入返售金融资产</w:t>
      </w:r>
    </w:p>
    <w:p w14:paraId="4C085F38" w14:textId="2A28847F" w:rsidR="001E3DA8" w:rsidRDefault="001E3DA8" w:rsidP="001E3DA8">
      <w:pPr>
        <w:pStyle w:val="13"/>
      </w:pPr>
      <w:r>
        <w:rPr>
          <w:rFonts w:hint="eastAsia"/>
        </w:rPr>
        <w:t>（</w:t>
      </w:r>
      <w:r>
        <w:t>1）买入返售金融资产的种类、账面金额及情况介绍。</w:t>
      </w:r>
    </w:p>
    <w:p w14:paraId="7839C214" w14:textId="6F6FC590" w:rsidR="001E3DA8" w:rsidRDefault="001E3DA8" w:rsidP="001E3DA8">
      <w:pPr>
        <w:pStyle w:val="13"/>
      </w:pPr>
      <w:r>
        <w:rPr>
          <w:rFonts w:hint="eastAsia"/>
        </w:rPr>
        <w:t>（</w:t>
      </w:r>
      <w:r>
        <w:t>2）买入返售金融资产核实的方法和结论。</w:t>
      </w:r>
    </w:p>
    <w:p w14:paraId="5AD77831" w14:textId="2DFB25D1" w:rsidR="001E3DA8" w:rsidRDefault="001E3DA8" w:rsidP="001E3DA8">
      <w:pPr>
        <w:pStyle w:val="13"/>
      </w:pPr>
      <w:r>
        <w:rPr>
          <w:rFonts w:hint="eastAsia"/>
        </w:rPr>
        <w:t>（</w:t>
      </w:r>
      <w:r>
        <w:t>3）买入返售金融资产评估值的确定方法和结论。</w:t>
      </w:r>
    </w:p>
    <w:p w14:paraId="172AE49E" w14:textId="77777777" w:rsidR="001E3DA8" w:rsidRDefault="001E3DA8" w:rsidP="001E3DA8">
      <w:pPr>
        <w:pStyle w:val="13"/>
      </w:pPr>
      <w:r>
        <w:t>8、应收利息</w:t>
      </w:r>
    </w:p>
    <w:p w14:paraId="63913BB1" w14:textId="16E68A2F" w:rsidR="001E3DA8" w:rsidRDefault="001E3DA8" w:rsidP="001E3DA8">
      <w:pPr>
        <w:pStyle w:val="13"/>
      </w:pPr>
      <w:r>
        <w:rPr>
          <w:rFonts w:hint="eastAsia"/>
        </w:rPr>
        <w:t>（</w:t>
      </w:r>
      <w:r>
        <w:t>1）应收利息的主要业务内容和对应金额。</w:t>
      </w:r>
    </w:p>
    <w:p w14:paraId="55ABDB47" w14:textId="254FFCF3" w:rsidR="001E3DA8" w:rsidRDefault="001E3DA8" w:rsidP="001E3DA8">
      <w:pPr>
        <w:pStyle w:val="13"/>
      </w:pPr>
      <w:r>
        <w:rPr>
          <w:rFonts w:hint="eastAsia"/>
        </w:rPr>
        <w:t>（</w:t>
      </w:r>
      <w:r>
        <w:t>2）应收利息核实的方法及结论。</w:t>
      </w:r>
    </w:p>
    <w:p w14:paraId="3D0814CD" w14:textId="08A7C1E2" w:rsidR="001E3DA8" w:rsidRDefault="001E3DA8" w:rsidP="001E3DA8">
      <w:pPr>
        <w:pStyle w:val="13"/>
      </w:pPr>
      <w:r>
        <w:rPr>
          <w:rFonts w:hint="eastAsia"/>
        </w:rPr>
        <w:t>（</w:t>
      </w:r>
      <w:r>
        <w:t>3）应收利息发生时间，可能形成坏账款项的判断依据及结论。</w:t>
      </w:r>
    </w:p>
    <w:p w14:paraId="18BD3FEC" w14:textId="26C5B925" w:rsidR="001E3DA8" w:rsidRDefault="001E3DA8" w:rsidP="001E3DA8">
      <w:pPr>
        <w:pStyle w:val="13"/>
      </w:pPr>
      <w:r>
        <w:rPr>
          <w:rFonts w:hint="eastAsia"/>
        </w:rPr>
        <w:t>（</w:t>
      </w:r>
      <w:r>
        <w:t>4）表外应收利息的核实情况。</w:t>
      </w:r>
    </w:p>
    <w:p w14:paraId="2F49EF91" w14:textId="0A5C8335" w:rsidR="001E3DA8" w:rsidRDefault="001E3DA8" w:rsidP="001E3DA8">
      <w:pPr>
        <w:pStyle w:val="13"/>
      </w:pPr>
      <w:r>
        <w:rPr>
          <w:rFonts w:hint="eastAsia"/>
        </w:rPr>
        <w:t>（</w:t>
      </w:r>
      <w:r>
        <w:t>5）应收利息评估值的确定方法和结论。</w:t>
      </w:r>
    </w:p>
    <w:p w14:paraId="4278554F" w14:textId="77777777" w:rsidR="001E3DA8" w:rsidRDefault="001E3DA8" w:rsidP="001E3DA8">
      <w:pPr>
        <w:pStyle w:val="13"/>
      </w:pPr>
      <w:r>
        <w:t>9、发放贷款及垫款</w:t>
      </w:r>
    </w:p>
    <w:p w14:paraId="1D6D840E" w14:textId="1A2235AA" w:rsidR="001E3DA8" w:rsidRDefault="001E3DA8" w:rsidP="001E3DA8">
      <w:pPr>
        <w:pStyle w:val="13"/>
      </w:pPr>
      <w:r>
        <w:rPr>
          <w:rFonts w:hint="eastAsia"/>
        </w:rPr>
        <w:t>（</w:t>
      </w:r>
      <w:r>
        <w:t>1）贷款</w:t>
      </w:r>
    </w:p>
    <w:p w14:paraId="0D6FC416" w14:textId="2D717115" w:rsidR="001E3DA8" w:rsidRDefault="001E3DA8" w:rsidP="001E3DA8">
      <w:pPr>
        <w:pStyle w:val="13"/>
      </w:pPr>
      <w:r>
        <w:t>1）企业贷款管理制度。</w:t>
      </w:r>
    </w:p>
    <w:p w14:paraId="13C23FE9" w14:textId="740C008D" w:rsidR="001E3DA8" w:rsidRDefault="001E3DA8" w:rsidP="001E3DA8">
      <w:pPr>
        <w:pStyle w:val="13"/>
      </w:pPr>
      <w:r>
        <w:t>2）贷款按照五级分类原则的分类情况，各级</w:t>
      </w:r>
      <w:proofErr w:type="gramStart"/>
      <w:r>
        <w:t>别贷款</w:t>
      </w:r>
      <w:proofErr w:type="gramEnd"/>
      <w:r>
        <w:t>的金额及情况介绍。</w:t>
      </w:r>
    </w:p>
    <w:p w14:paraId="1E1A7ECD" w14:textId="0B7E1DD5" w:rsidR="001E3DA8" w:rsidRDefault="001E3DA8" w:rsidP="001E3DA8">
      <w:pPr>
        <w:pStyle w:val="13"/>
      </w:pPr>
      <w:r>
        <w:t>3）对公贷款抽样方法，验证贷款五级分类及计</w:t>
      </w:r>
      <w:proofErr w:type="gramStart"/>
      <w:r>
        <w:t>提贷</w:t>
      </w:r>
      <w:proofErr w:type="gramEnd"/>
      <w:r>
        <w:t>款减值准备的合理性。</w:t>
      </w:r>
    </w:p>
    <w:p w14:paraId="797F37F1" w14:textId="004B2A8E" w:rsidR="001E3DA8" w:rsidRDefault="001E3DA8" w:rsidP="001E3DA8">
      <w:pPr>
        <w:pStyle w:val="13"/>
      </w:pPr>
      <w:r>
        <w:t>4）对</w:t>
      </w:r>
      <w:proofErr w:type="gramStart"/>
      <w:r>
        <w:t>私贷</w:t>
      </w:r>
      <w:proofErr w:type="gramEnd"/>
      <w:r>
        <w:t>款抽样方法。</w:t>
      </w:r>
    </w:p>
    <w:p w14:paraId="2091FE9B" w14:textId="5EAC4993" w:rsidR="001E3DA8" w:rsidRDefault="001E3DA8" w:rsidP="001E3DA8">
      <w:pPr>
        <w:pStyle w:val="13"/>
      </w:pPr>
      <w:r>
        <w:t>5）</w:t>
      </w:r>
      <w:proofErr w:type="gramStart"/>
      <w:r>
        <w:t>函证情况</w:t>
      </w:r>
      <w:proofErr w:type="gramEnd"/>
      <w:r>
        <w:t>介绍。</w:t>
      </w:r>
    </w:p>
    <w:p w14:paraId="1BE14312" w14:textId="128F6AE4" w:rsidR="001E3DA8" w:rsidRDefault="001E3DA8" w:rsidP="001E3DA8">
      <w:pPr>
        <w:pStyle w:val="13"/>
      </w:pPr>
      <w:r>
        <w:t>6）贷款评估值的确定方法和结论。</w:t>
      </w:r>
    </w:p>
    <w:p w14:paraId="2BD6DD4F" w14:textId="23047091" w:rsidR="001E3DA8" w:rsidRDefault="001E3DA8" w:rsidP="001E3DA8">
      <w:pPr>
        <w:pStyle w:val="13"/>
      </w:pPr>
      <w:r>
        <w:rPr>
          <w:rFonts w:hint="eastAsia"/>
        </w:rPr>
        <w:t>（</w:t>
      </w:r>
      <w:r>
        <w:t>2）贴现资产</w:t>
      </w:r>
    </w:p>
    <w:p w14:paraId="6CF4FC62" w14:textId="7C5F25F1" w:rsidR="001E3DA8" w:rsidRDefault="001E3DA8" w:rsidP="001E3DA8">
      <w:pPr>
        <w:pStyle w:val="13"/>
      </w:pPr>
      <w:r>
        <w:t>1）贴现资产的账面种类、金额。</w:t>
      </w:r>
    </w:p>
    <w:p w14:paraId="0D832FE5" w14:textId="693F8263" w:rsidR="001E3DA8" w:rsidRDefault="001E3DA8" w:rsidP="001E3DA8">
      <w:pPr>
        <w:pStyle w:val="13"/>
      </w:pPr>
      <w:r>
        <w:t>2）贴现资产核实的方法和结论。</w:t>
      </w:r>
    </w:p>
    <w:p w14:paraId="7CD11411" w14:textId="447A0946" w:rsidR="001E3DA8" w:rsidRDefault="001E3DA8" w:rsidP="001E3DA8">
      <w:pPr>
        <w:pStyle w:val="13"/>
      </w:pPr>
      <w:r>
        <w:t>3）贴现资产评估值的确定方法和结论。</w:t>
      </w:r>
    </w:p>
    <w:p w14:paraId="7BFBD2FF" w14:textId="77777777" w:rsidR="001E3DA8" w:rsidRDefault="001E3DA8" w:rsidP="001E3DA8">
      <w:pPr>
        <w:pStyle w:val="13"/>
      </w:pPr>
      <w:r>
        <w:t>10、可供出售金融资产</w:t>
      </w:r>
    </w:p>
    <w:p w14:paraId="06DA868A" w14:textId="18C29F32" w:rsidR="001E3DA8" w:rsidRDefault="001E3DA8" w:rsidP="001E3DA8">
      <w:pPr>
        <w:pStyle w:val="13"/>
      </w:pPr>
      <w:r>
        <w:rPr>
          <w:rFonts w:hint="eastAsia"/>
        </w:rPr>
        <w:t>（</w:t>
      </w:r>
      <w:r>
        <w:t>1）可供出售金融资产的种类、发生时间和金额。</w:t>
      </w:r>
    </w:p>
    <w:p w14:paraId="08680007" w14:textId="7D61EFB1" w:rsidR="001E3DA8" w:rsidRDefault="001E3DA8" w:rsidP="001E3DA8">
      <w:pPr>
        <w:pStyle w:val="13"/>
      </w:pPr>
      <w:r>
        <w:rPr>
          <w:rFonts w:hint="eastAsia"/>
        </w:rPr>
        <w:lastRenderedPageBreak/>
        <w:t>（</w:t>
      </w:r>
      <w:r>
        <w:t>2）可供出售金融资产核实的方法和结论。</w:t>
      </w:r>
    </w:p>
    <w:p w14:paraId="18D5C03F" w14:textId="313551C9" w:rsidR="001E3DA8" w:rsidRDefault="001E3DA8" w:rsidP="001E3DA8">
      <w:pPr>
        <w:pStyle w:val="13"/>
      </w:pPr>
      <w:r>
        <w:rPr>
          <w:rFonts w:hint="eastAsia"/>
        </w:rPr>
        <w:t>（</w:t>
      </w:r>
      <w:r>
        <w:t>3）可供出售金融资产评估值确定的方法和结论。</w:t>
      </w:r>
    </w:p>
    <w:p w14:paraId="5B3CF119" w14:textId="77777777" w:rsidR="001E3DA8" w:rsidRDefault="001E3DA8" w:rsidP="001E3DA8">
      <w:pPr>
        <w:pStyle w:val="13"/>
      </w:pPr>
      <w:r>
        <w:t>11、持有至到期投资</w:t>
      </w:r>
    </w:p>
    <w:p w14:paraId="4BFA3F79" w14:textId="658F68DB" w:rsidR="001E3DA8" w:rsidRDefault="001E3DA8" w:rsidP="001E3DA8">
      <w:pPr>
        <w:pStyle w:val="13"/>
      </w:pPr>
      <w:r>
        <w:rPr>
          <w:rFonts w:hint="eastAsia"/>
        </w:rPr>
        <w:t>（</w:t>
      </w:r>
      <w:r>
        <w:t>1）持有至到期投资的内容和金额。</w:t>
      </w:r>
    </w:p>
    <w:p w14:paraId="5A61D44E" w14:textId="49B6756C" w:rsidR="001E3DA8" w:rsidRDefault="001E3DA8" w:rsidP="001E3DA8">
      <w:pPr>
        <w:pStyle w:val="13"/>
      </w:pPr>
      <w:r>
        <w:rPr>
          <w:rFonts w:hint="eastAsia"/>
        </w:rPr>
        <w:t>（</w:t>
      </w:r>
      <w:r>
        <w:t>2）持有至到期投资核实的方法和结论。</w:t>
      </w:r>
    </w:p>
    <w:p w14:paraId="761A9BE2" w14:textId="77C37E3B" w:rsidR="001E3DA8" w:rsidRDefault="001E3DA8" w:rsidP="001E3DA8">
      <w:pPr>
        <w:pStyle w:val="13"/>
      </w:pPr>
      <w:r>
        <w:rPr>
          <w:rFonts w:hint="eastAsia"/>
        </w:rPr>
        <w:t>（</w:t>
      </w:r>
      <w:r>
        <w:t>3）持有至到期投资可以收回金额的判断理由，并说明评估值确定的方法和结论。</w:t>
      </w:r>
    </w:p>
    <w:p w14:paraId="75DB2E5A" w14:textId="77777777" w:rsidR="001E3DA8" w:rsidRDefault="001E3DA8" w:rsidP="001E3DA8">
      <w:pPr>
        <w:pStyle w:val="13"/>
      </w:pPr>
      <w:r>
        <w:t>12、长期股权投资</w:t>
      </w:r>
    </w:p>
    <w:p w14:paraId="748E1945" w14:textId="21CEA103" w:rsidR="001E3DA8" w:rsidRDefault="001E3DA8" w:rsidP="001E3DA8">
      <w:pPr>
        <w:pStyle w:val="13"/>
      </w:pPr>
      <w:r>
        <w:rPr>
          <w:rFonts w:hint="eastAsia"/>
        </w:rPr>
        <w:t>（</w:t>
      </w:r>
      <w:r>
        <w:t>1）长期股权投资的内容和金额。</w:t>
      </w:r>
    </w:p>
    <w:p w14:paraId="0A6C5F89" w14:textId="0F03A212" w:rsidR="001E3DA8" w:rsidRDefault="001E3DA8" w:rsidP="001E3DA8">
      <w:pPr>
        <w:pStyle w:val="13"/>
      </w:pPr>
      <w:r>
        <w:rPr>
          <w:rFonts w:hint="eastAsia"/>
        </w:rPr>
        <w:t>（</w:t>
      </w:r>
      <w:r>
        <w:t>2）长期股权投资核实的内容（投资日期、持股比例、投资协议等）、方法和结论。</w:t>
      </w:r>
    </w:p>
    <w:p w14:paraId="7A99BACC" w14:textId="196D45F0" w:rsidR="001E3DA8" w:rsidRDefault="001E3DA8" w:rsidP="001E3DA8">
      <w:pPr>
        <w:pStyle w:val="13"/>
      </w:pPr>
      <w:r>
        <w:rPr>
          <w:rFonts w:hint="eastAsia"/>
        </w:rPr>
        <w:t>（</w:t>
      </w:r>
      <w:r>
        <w:t>3）对长期股权投资项目进行分析，根据相关项目的具体资产、盈利状况及其对评估对象价值的影响程度等因素，合理确定是否将其单独评估。对于不单独出具评估说明的各级子公司，应当在其上级公司的评估说明中详细说明其评估方法，披露其重大事项。</w:t>
      </w:r>
    </w:p>
    <w:p w14:paraId="31E0261B" w14:textId="1020C0E9" w:rsidR="001E3DA8" w:rsidRDefault="001E3DA8" w:rsidP="001E3DA8">
      <w:pPr>
        <w:pStyle w:val="13"/>
      </w:pPr>
      <w:r>
        <w:rPr>
          <w:rFonts w:hint="eastAsia"/>
        </w:rPr>
        <w:t>（</w:t>
      </w:r>
      <w:r>
        <w:t>4）以适当方式说明各级子公司采用的评估方法及理由和评估结论。</w:t>
      </w:r>
      <w:proofErr w:type="gramStart"/>
      <w:r>
        <w:t>若各级</w:t>
      </w:r>
      <w:proofErr w:type="gramEnd"/>
      <w:r>
        <w:t>子公司采用两种及两种以上方法评估，应当说明评估结论的选择方法及理由。</w:t>
      </w:r>
    </w:p>
    <w:p w14:paraId="7F229D65" w14:textId="77777777" w:rsidR="001E3DA8" w:rsidRDefault="001E3DA8" w:rsidP="001E3DA8">
      <w:pPr>
        <w:pStyle w:val="13"/>
      </w:pPr>
      <w:r>
        <w:t>13、投资性房地产</w:t>
      </w:r>
    </w:p>
    <w:p w14:paraId="6DFD1663" w14:textId="53957160" w:rsidR="001E3DA8" w:rsidRDefault="001E3DA8" w:rsidP="001E3DA8">
      <w:pPr>
        <w:pStyle w:val="13"/>
      </w:pPr>
      <w:r>
        <w:rPr>
          <w:rFonts w:hint="eastAsia"/>
        </w:rPr>
        <w:t>（</w:t>
      </w:r>
      <w:r>
        <w:t>1）投资性房地产的种类、内容和金额。</w:t>
      </w:r>
    </w:p>
    <w:p w14:paraId="2150C6FB" w14:textId="272B5BB3" w:rsidR="001E3DA8" w:rsidRDefault="001E3DA8" w:rsidP="001E3DA8">
      <w:pPr>
        <w:pStyle w:val="13"/>
      </w:pPr>
      <w:r>
        <w:rPr>
          <w:rFonts w:hint="eastAsia"/>
        </w:rPr>
        <w:t>（</w:t>
      </w:r>
      <w:r>
        <w:t>2）投资性房地产核实的方法和结论，并应当说明投资性房地产权属资料的查验情况，租赁合同约定的租金、租赁期限等内容。</w:t>
      </w:r>
    </w:p>
    <w:p w14:paraId="32EE5E21" w14:textId="4569A41D" w:rsidR="001E3DA8" w:rsidRDefault="001E3DA8" w:rsidP="001E3DA8">
      <w:pPr>
        <w:pStyle w:val="13"/>
      </w:pPr>
      <w:r>
        <w:rPr>
          <w:rFonts w:hint="eastAsia"/>
        </w:rPr>
        <w:t>（</w:t>
      </w:r>
      <w:r>
        <w:t>3）采用收益法评估投资性房地产，应当说明现实租赁合同约定的租金、租赁期限，租赁合同到期后租金的确定方法，折现率确定方法和结论，评估值确定的方法和结论；采用市场法评估投资性房地产，应当说明可比交易实例的选取、可比因素比较调整、评估值确定的方法和结论。</w:t>
      </w:r>
    </w:p>
    <w:p w14:paraId="7D9DF4BF" w14:textId="77777777" w:rsidR="001E3DA8" w:rsidRDefault="001E3DA8" w:rsidP="001E3DA8">
      <w:pPr>
        <w:pStyle w:val="13"/>
      </w:pPr>
      <w:r>
        <w:t>14、固定资产</w:t>
      </w:r>
    </w:p>
    <w:p w14:paraId="2FC33EA5" w14:textId="00C9CE52" w:rsidR="001E3DA8" w:rsidRDefault="001E3DA8" w:rsidP="001E3DA8">
      <w:pPr>
        <w:pStyle w:val="13"/>
      </w:pPr>
      <w:r>
        <w:rPr>
          <w:rFonts w:hint="eastAsia"/>
        </w:rPr>
        <w:t>（</w:t>
      </w:r>
      <w:r>
        <w:t>1）机器设备类固定资产</w:t>
      </w:r>
    </w:p>
    <w:p w14:paraId="70471223" w14:textId="58FCD4D6" w:rsidR="001E3DA8" w:rsidRDefault="001E3DA8" w:rsidP="001E3DA8">
      <w:pPr>
        <w:pStyle w:val="13"/>
      </w:pPr>
      <w:r>
        <w:t>1）机器设备类固定资产的数量、账面原值、账面净值、减值准备等。</w:t>
      </w:r>
    </w:p>
    <w:p w14:paraId="718FAC84" w14:textId="767E06A8" w:rsidR="001E3DA8" w:rsidRDefault="001E3DA8" w:rsidP="001E3DA8">
      <w:pPr>
        <w:pStyle w:val="13"/>
      </w:pPr>
      <w:r>
        <w:t>2）机器设备类固定资产的特点、购置方式、批量购置价格情况、折旧及计提减值方法等。</w:t>
      </w:r>
    </w:p>
    <w:p w14:paraId="2FDA420F" w14:textId="5BD25C6E" w:rsidR="001E3DA8" w:rsidRDefault="001E3DA8" w:rsidP="001E3DA8">
      <w:pPr>
        <w:pStyle w:val="13"/>
      </w:pPr>
      <w:r>
        <w:t>3）机器设备类固定资产核实的方法和结论。</w:t>
      </w:r>
    </w:p>
    <w:p w14:paraId="69957498" w14:textId="5F904993" w:rsidR="001E3DA8" w:rsidRDefault="001E3DA8" w:rsidP="00ED7EC3">
      <w:pPr>
        <w:pStyle w:val="13"/>
      </w:pPr>
      <w:r>
        <w:t>4）评估方法选取的依据和理由，并列示主要计算公式、参数涵义及参数确定的方</w:t>
      </w:r>
      <w:r>
        <w:rPr>
          <w:rFonts w:hint="eastAsia"/>
        </w:rPr>
        <w:t>法。</w:t>
      </w:r>
    </w:p>
    <w:p w14:paraId="4A6D6EBC" w14:textId="3D637AC6" w:rsidR="001E3DA8" w:rsidRDefault="001E3DA8" w:rsidP="00ED7EC3">
      <w:pPr>
        <w:pStyle w:val="13"/>
      </w:pPr>
      <w:r>
        <w:t>5）采用成本法评估，应当说明重置全价的构成、各费用项目的测算过程、采用</w:t>
      </w:r>
      <w:r>
        <w:lastRenderedPageBreak/>
        <w:t>的价</w:t>
      </w:r>
      <w:r>
        <w:rPr>
          <w:rFonts w:hint="eastAsia"/>
        </w:rPr>
        <w:t>格和费用标准等；说明设备成新状况。</w:t>
      </w:r>
    </w:p>
    <w:p w14:paraId="633DF2FE" w14:textId="1E0F50E9" w:rsidR="001E3DA8" w:rsidRDefault="001E3DA8" w:rsidP="001E3DA8">
      <w:pPr>
        <w:pStyle w:val="13"/>
      </w:pPr>
      <w:r>
        <w:t>6）采用市场法评估，应当说明交易价格的基本内涵、交易时间等情况。</w:t>
      </w:r>
    </w:p>
    <w:p w14:paraId="5A9FEC2A" w14:textId="4C9FB4CA" w:rsidR="001E3DA8" w:rsidRDefault="001E3DA8" w:rsidP="001E3DA8">
      <w:pPr>
        <w:pStyle w:val="13"/>
      </w:pPr>
      <w:r>
        <w:t>7）根据评估业务的具体情况，应当选择典型设备（一般指单台金额大、技术典型的设备）举例说明评估参数的测算和判断以及评估值确定的方法、过程和结论。</w:t>
      </w:r>
    </w:p>
    <w:p w14:paraId="4433E4B2" w14:textId="25E7816D" w:rsidR="001E3DA8" w:rsidRDefault="001E3DA8" w:rsidP="001E3DA8">
      <w:pPr>
        <w:pStyle w:val="13"/>
      </w:pPr>
      <w:r>
        <w:rPr>
          <w:rFonts w:hint="eastAsia"/>
        </w:rPr>
        <w:t>（</w:t>
      </w:r>
      <w:r>
        <w:t>2）房屋建筑物类固定资产</w:t>
      </w:r>
    </w:p>
    <w:p w14:paraId="15D9478D" w14:textId="3D5CF67C" w:rsidR="001E3DA8" w:rsidRDefault="001E3DA8" w:rsidP="001E3DA8">
      <w:pPr>
        <w:pStyle w:val="13"/>
      </w:pPr>
      <w:r>
        <w:t>1）房屋建筑物类固定资产的类型、数量、账面原值、账面净值、减值准备等。</w:t>
      </w:r>
    </w:p>
    <w:p w14:paraId="4B9A9941" w14:textId="3268BC41" w:rsidR="001E3DA8" w:rsidRDefault="001E3DA8" w:rsidP="001E3DA8">
      <w:pPr>
        <w:pStyle w:val="13"/>
      </w:pPr>
      <w:r>
        <w:t>2）房屋建筑物类固定资产购建日期、结构形式、权属状况、日常维护、装潢情况、折旧及计提减值方法，以及房屋建筑物类固定资产所占用土地的情况。</w:t>
      </w:r>
    </w:p>
    <w:p w14:paraId="04F632D3" w14:textId="770ACED8" w:rsidR="001E3DA8" w:rsidRDefault="001E3DA8" w:rsidP="001E3DA8">
      <w:pPr>
        <w:pStyle w:val="13"/>
      </w:pPr>
      <w:r>
        <w:t>3）房屋建筑物类固定资产核实的方法和结论。</w:t>
      </w:r>
    </w:p>
    <w:p w14:paraId="4F415760" w14:textId="2C69C6C3" w:rsidR="001E3DA8" w:rsidRDefault="001E3DA8" w:rsidP="00ED7EC3">
      <w:pPr>
        <w:pStyle w:val="13"/>
      </w:pPr>
      <w:r>
        <w:t>4）评估方法选取的依据和理由，并列示主要计算公式、参数涵义及参数确定的方</w:t>
      </w:r>
      <w:r>
        <w:rPr>
          <w:rFonts w:hint="eastAsia"/>
        </w:rPr>
        <w:t>法。</w:t>
      </w:r>
    </w:p>
    <w:p w14:paraId="70F00C69" w14:textId="70FAEF98" w:rsidR="001E3DA8" w:rsidRDefault="001E3DA8" w:rsidP="00ED7EC3">
      <w:pPr>
        <w:pStyle w:val="13"/>
      </w:pPr>
      <w:r>
        <w:t>5）采用成本法评估，应当说明重置全价的构成、各费用项目的测算过程、采用的价</w:t>
      </w:r>
      <w:r>
        <w:rPr>
          <w:rFonts w:hint="eastAsia"/>
        </w:rPr>
        <w:t>格和费用标准等；说明房屋建筑物类资产成新状况。</w:t>
      </w:r>
    </w:p>
    <w:p w14:paraId="4418FCC6" w14:textId="08BB050E" w:rsidR="001E3DA8" w:rsidRDefault="001E3DA8" w:rsidP="001E3DA8">
      <w:pPr>
        <w:pStyle w:val="13"/>
      </w:pPr>
      <w:r>
        <w:t>6）采用市场法评估，应当说明选取交易实例的依据或者理由、交易实例的基本情况、成交时间、交易状况及交易价格内涵等，对所选取的交易实例，应当全面介绍比较因素、比较结果以及评估值确定的方法。</w:t>
      </w:r>
    </w:p>
    <w:p w14:paraId="0DA60FAD" w14:textId="09BD9BB1" w:rsidR="001E3DA8" w:rsidRDefault="001E3DA8" w:rsidP="001E3DA8">
      <w:pPr>
        <w:pStyle w:val="13"/>
      </w:pPr>
      <w:r>
        <w:t>7）采用收益法评估，应当说明其租金预测情况，以及折现率确定的方法和结论。</w:t>
      </w:r>
    </w:p>
    <w:p w14:paraId="36B407DC" w14:textId="4A0A9238" w:rsidR="001E3DA8" w:rsidRDefault="001E3DA8" w:rsidP="001E3DA8">
      <w:pPr>
        <w:pStyle w:val="13"/>
      </w:pPr>
      <w:r>
        <w:t>8）根据评估业务的具体情况，应当选择典型房屋建筑物举例说明评估参数的测算和判断以及评估值确定的方法和过程。</w:t>
      </w:r>
    </w:p>
    <w:p w14:paraId="339E5C9D" w14:textId="12983BAC" w:rsidR="001E3DA8" w:rsidRDefault="001E3DA8" w:rsidP="001E3DA8">
      <w:pPr>
        <w:pStyle w:val="13"/>
      </w:pPr>
      <w:r>
        <w:t>9）对于在房屋建筑物科目核算的投资性房地产，应当按投资性房地产的要求编写评估技术说明。</w:t>
      </w:r>
    </w:p>
    <w:p w14:paraId="5D53B6C5" w14:textId="77777777" w:rsidR="001E3DA8" w:rsidRDefault="001E3DA8" w:rsidP="001E3DA8">
      <w:pPr>
        <w:pStyle w:val="13"/>
      </w:pPr>
      <w:r>
        <w:t>15、无形资产</w:t>
      </w:r>
    </w:p>
    <w:p w14:paraId="6F978532" w14:textId="7535FA57" w:rsidR="001E3DA8" w:rsidRDefault="001E3DA8" w:rsidP="001E3DA8">
      <w:pPr>
        <w:pStyle w:val="13"/>
      </w:pPr>
      <w:r>
        <w:rPr>
          <w:rFonts w:hint="eastAsia"/>
        </w:rPr>
        <w:t>（</w:t>
      </w:r>
      <w:r>
        <w:t>1）土地使用权（含固定资产—土地）</w:t>
      </w:r>
    </w:p>
    <w:p w14:paraId="22DDC301" w14:textId="32D1D909" w:rsidR="001E3DA8" w:rsidRDefault="001E3DA8" w:rsidP="001E3DA8">
      <w:pPr>
        <w:pStyle w:val="13"/>
      </w:pPr>
      <w:r>
        <w:t>1）土地的宗数、面积，土地使用权取得方式、性质、原始入账价值、摊销政策、摊余价值等。</w:t>
      </w:r>
    </w:p>
    <w:p w14:paraId="308ED04F" w14:textId="37800ACF" w:rsidR="001E3DA8" w:rsidRDefault="001E3DA8" w:rsidP="001E3DA8">
      <w:pPr>
        <w:pStyle w:val="13"/>
      </w:pPr>
      <w:r>
        <w:t>2）土地的登记状况、权利状况、利用状况。土地的登记状况和权利状况，以土地登记、土地使用证和土地使用权出让合同中的有关内容为准，土地利用状况以建筑物、地上附着物等产权登记内容和实地勘查与调查的内容为准。</w:t>
      </w:r>
    </w:p>
    <w:p w14:paraId="71DA4375" w14:textId="462B6730" w:rsidR="001E3DA8" w:rsidRDefault="001E3DA8" w:rsidP="001E3DA8">
      <w:pPr>
        <w:pStyle w:val="13"/>
      </w:pPr>
      <w:r>
        <w:t>3）土地的一般因素、区域因素和个别因素。</w:t>
      </w:r>
    </w:p>
    <w:p w14:paraId="5D5ADAC2" w14:textId="0A227AED" w:rsidR="001E3DA8" w:rsidRDefault="001E3DA8" w:rsidP="001E3DA8">
      <w:pPr>
        <w:pStyle w:val="13"/>
      </w:pPr>
      <w:r>
        <w:t>4）土地使用权核实的方法和结论。</w:t>
      </w:r>
    </w:p>
    <w:p w14:paraId="01873D0A" w14:textId="67D28B72" w:rsidR="001E3DA8" w:rsidRDefault="001E3DA8" w:rsidP="001E3DA8">
      <w:pPr>
        <w:pStyle w:val="13"/>
      </w:pPr>
      <w:r>
        <w:t>5）土地使用权评估价值内涵，所选取评估方法的依据或者理由。</w:t>
      </w:r>
    </w:p>
    <w:p w14:paraId="3C3D6613" w14:textId="133C7AD8" w:rsidR="001E3DA8" w:rsidRDefault="001E3DA8" w:rsidP="001E3DA8">
      <w:pPr>
        <w:pStyle w:val="13"/>
      </w:pPr>
      <w:r>
        <w:t>6）采用市场法评估，应当说明所选交易实例的基本状况、成交日期、成交价格、交易情况等内容，并说明交易情况、交易日期等修正情况。</w:t>
      </w:r>
    </w:p>
    <w:p w14:paraId="1A81BEA6" w14:textId="12416F90" w:rsidR="001E3DA8" w:rsidRDefault="001E3DA8" w:rsidP="001E3DA8">
      <w:pPr>
        <w:pStyle w:val="13"/>
      </w:pPr>
      <w:r>
        <w:t>7）采用收益法评估，应当说明收益期限、净收益与折现率确定的过程和结论。</w:t>
      </w:r>
    </w:p>
    <w:p w14:paraId="57A926C2" w14:textId="65C6825E" w:rsidR="001E3DA8" w:rsidRDefault="001E3DA8" w:rsidP="00ED7EC3">
      <w:pPr>
        <w:pStyle w:val="13"/>
      </w:pPr>
      <w:r>
        <w:lastRenderedPageBreak/>
        <w:t>8）采用成本法评估，应当说明费用项目的构成、各费用项目的测算过程、采用的价格和费用标准等；说明与地上建筑物费用项目的划分；说明评估对象的开发期限、开发状况和相应的开发费用标准及依据；说明土地增值标准的确定方法和依据；说明修正的</w:t>
      </w:r>
      <w:r>
        <w:rPr>
          <w:rFonts w:hint="eastAsia"/>
        </w:rPr>
        <w:t>因素及修正过程。</w:t>
      </w:r>
    </w:p>
    <w:p w14:paraId="0F40D3A5" w14:textId="0225CCF0" w:rsidR="001E3DA8" w:rsidRDefault="001E3DA8" w:rsidP="001E3DA8">
      <w:pPr>
        <w:pStyle w:val="13"/>
      </w:pPr>
      <w:r>
        <w:t>9）采用基准地价修正法评估，应当说明基准地价的公布时间、批准机关和</w:t>
      </w:r>
      <w:proofErr w:type="gramStart"/>
      <w:r>
        <w:t>文号</w:t>
      </w:r>
      <w:proofErr w:type="gramEnd"/>
      <w:r>
        <w:t>、基准地价的内涵、利用基准地价估算宗地价格的公式；说明宗地位置、用途及评估对象所在级别或者区域的基准地价和对应的因素修正系数；说明评估对象的价值内涵与基准地价内涵的差异，以及修正的内容。</w:t>
      </w:r>
    </w:p>
    <w:p w14:paraId="45041B63" w14:textId="7F33CEC1" w:rsidR="001E3DA8" w:rsidRDefault="001E3DA8" w:rsidP="001E3DA8">
      <w:pPr>
        <w:pStyle w:val="13"/>
      </w:pPr>
      <w:r>
        <w:t>10）采用假设开发法评估时，应当说明开发完成后的不动产价值、后续开发建设的必要支出和应得利润等的确定方法、过程和结论。</w:t>
      </w:r>
    </w:p>
    <w:p w14:paraId="499B7284" w14:textId="018FAB78" w:rsidR="001E3DA8" w:rsidRDefault="001E3DA8" w:rsidP="001E3DA8">
      <w:pPr>
        <w:pStyle w:val="13"/>
      </w:pPr>
      <w:r>
        <w:t>11）引用土地估价报告评估结论的，应当说明涉及的土地宗数、面积，土地使用权取得方式、性质、原始入账价值、摊销政策、摊余价值等；说明所引用土地评估结论的地价定义、评估假设、评估方法以及对引用其他机构出具的报告结论进行分析和调整的情况。</w:t>
      </w:r>
    </w:p>
    <w:p w14:paraId="6B850BB7" w14:textId="7FB1CD9E" w:rsidR="001E3DA8" w:rsidRDefault="001E3DA8" w:rsidP="001E3DA8">
      <w:pPr>
        <w:pStyle w:val="13"/>
      </w:pPr>
      <w:r>
        <w:rPr>
          <w:rFonts w:hint="eastAsia"/>
        </w:rPr>
        <w:t>（</w:t>
      </w:r>
      <w:r>
        <w:t>2）其他无形资产</w:t>
      </w:r>
    </w:p>
    <w:p w14:paraId="6A1F5C8C" w14:textId="632A1AFC" w:rsidR="001E3DA8" w:rsidRDefault="001E3DA8" w:rsidP="001E3DA8">
      <w:pPr>
        <w:pStyle w:val="13"/>
      </w:pPr>
      <w:r>
        <w:t>1）无形资产的名称、形成过程、存在形式、存在期限、权属、原始入账金额、摊销政策、摊余价值等。</w:t>
      </w:r>
    </w:p>
    <w:p w14:paraId="502E4472" w14:textId="615A3333" w:rsidR="001E3DA8" w:rsidRDefault="001E3DA8" w:rsidP="001E3DA8">
      <w:pPr>
        <w:pStyle w:val="13"/>
      </w:pPr>
      <w:r>
        <w:t>2）无形资产核实的内容、方法、过程和结论。</w:t>
      </w:r>
    </w:p>
    <w:p w14:paraId="1A049E3C" w14:textId="5C6B1CD1" w:rsidR="001E3DA8" w:rsidRDefault="001E3DA8" w:rsidP="001E3DA8">
      <w:pPr>
        <w:pStyle w:val="13"/>
      </w:pPr>
      <w:r>
        <w:t>3）选取评估方法的理由，并列示主要计算公式及参数涵义。</w:t>
      </w:r>
    </w:p>
    <w:p w14:paraId="3E372EF3" w14:textId="143D7058" w:rsidR="001E3DA8" w:rsidRDefault="001E3DA8" w:rsidP="001E3DA8">
      <w:pPr>
        <w:pStyle w:val="13"/>
      </w:pPr>
      <w:r>
        <w:t>4）采用收益法评估，应当说明收益预测的依据，如市场调查结论、订单合同、政府推广文件等。</w:t>
      </w:r>
    </w:p>
    <w:p w14:paraId="6611013C" w14:textId="140BA176" w:rsidR="001E3DA8" w:rsidRDefault="001E3DA8" w:rsidP="001E3DA8">
      <w:pPr>
        <w:pStyle w:val="13"/>
      </w:pPr>
      <w:r>
        <w:t>5）采用成本法评估，应当说明费用项目的构成、各费用项目的测算过程、采用的价格和费用标准等。</w:t>
      </w:r>
    </w:p>
    <w:p w14:paraId="35693649" w14:textId="1D3DD5E8" w:rsidR="001E3DA8" w:rsidRDefault="001E3DA8" w:rsidP="001E3DA8">
      <w:pPr>
        <w:pStyle w:val="13"/>
      </w:pPr>
      <w:r>
        <w:t>6）采用市场法评估，应当说明所选交易实例的依据或者理由，交易实例的基本情况、成交时间、交易状况及交易价格内涵等，对所选取的交易实例，应当全面介绍比较因素、比较结果及评估值确定的方法和结论。</w:t>
      </w:r>
    </w:p>
    <w:p w14:paraId="2054600B" w14:textId="77777777" w:rsidR="001E3DA8" w:rsidRDefault="001E3DA8" w:rsidP="001E3DA8">
      <w:pPr>
        <w:pStyle w:val="13"/>
      </w:pPr>
      <w:r>
        <w:t>16、递延所得税资产</w:t>
      </w:r>
    </w:p>
    <w:p w14:paraId="5FF55172" w14:textId="6843D4EF" w:rsidR="001E3DA8" w:rsidRDefault="001E3DA8" w:rsidP="001E3DA8">
      <w:pPr>
        <w:pStyle w:val="13"/>
      </w:pPr>
      <w:r>
        <w:rPr>
          <w:rFonts w:hint="eastAsia"/>
        </w:rPr>
        <w:t>（</w:t>
      </w:r>
      <w:r>
        <w:t>1）递延所得税资产的种类和内容。</w:t>
      </w:r>
    </w:p>
    <w:p w14:paraId="61427F3E" w14:textId="0D4CC2BF" w:rsidR="001E3DA8" w:rsidRDefault="001E3DA8" w:rsidP="001E3DA8">
      <w:pPr>
        <w:pStyle w:val="13"/>
      </w:pPr>
      <w:r>
        <w:rPr>
          <w:rFonts w:hint="eastAsia"/>
        </w:rPr>
        <w:t>（</w:t>
      </w:r>
      <w:r>
        <w:t>2）递延所得税资产核实的方法和结论。</w:t>
      </w:r>
    </w:p>
    <w:p w14:paraId="4F185EE4" w14:textId="54D7DEC5" w:rsidR="001E3DA8" w:rsidRDefault="001E3DA8" w:rsidP="001E3DA8">
      <w:pPr>
        <w:pStyle w:val="13"/>
      </w:pPr>
      <w:r>
        <w:rPr>
          <w:rFonts w:hint="eastAsia"/>
        </w:rPr>
        <w:t>（</w:t>
      </w:r>
      <w:r>
        <w:t>3）递延所得税资产评估值确定的方法和结论。</w:t>
      </w:r>
    </w:p>
    <w:p w14:paraId="74FD23D9" w14:textId="77777777" w:rsidR="001E3DA8" w:rsidRDefault="001E3DA8" w:rsidP="001E3DA8">
      <w:pPr>
        <w:pStyle w:val="13"/>
      </w:pPr>
      <w:r>
        <w:t>17、其他资产</w:t>
      </w:r>
    </w:p>
    <w:p w14:paraId="4528CC9E" w14:textId="788A0D0C" w:rsidR="001E3DA8" w:rsidRDefault="001E3DA8" w:rsidP="001E3DA8">
      <w:pPr>
        <w:pStyle w:val="13"/>
      </w:pPr>
      <w:r>
        <w:rPr>
          <w:rFonts w:hint="eastAsia"/>
        </w:rPr>
        <w:t>（</w:t>
      </w:r>
      <w:r>
        <w:t>1）抵债资产</w:t>
      </w:r>
    </w:p>
    <w:p w14:paraId="493E911B" w14:textId="63236B43" w:rsidR="001E3DA8" w:rsidRDefault="001E3DA8" w:rsidP="001E3DA8">
      <w:pPr>
        <w:pStyle w:val="13"/>
      </w:pPr>
      <w:r>
        <w:t>1）抵债资产的种类、取得时间、对应的债权金额情况。</w:t>
      </w:r>
    </w:p>
    <w:p w14:paraId="00518C22" w14:textId="60D6C460" w:rsidR="001E3DA8" w:rsidRDefault="001E3DA8" w:rsidP="001E3DA8">
      <w:pPr>
        <w:pStyle w:val="13"/>
      </w:pPr>
      <w:r>
        <w:t>2）抵债资产的产权情况，抵债资产产权瑕疵、使用受限等情况对价值的影响分</w:t>
      </w:r>
      <w:r>
        <w:lastRenderedPageBreak/>
        <w:t>析。</w:t>
      </w:r>
    </w:p>
    <w:p w14:paraId="5379A73A" w14:textId="2A388B51" w:rsidR="001E3DA8" w:rsidRDefault="001E3DA8" w:rsidP="001E3DA8">
      <w:pPr>
        <w:pStyle w:val="13"/>
      </w:pPr>
      <w:r>
        <w:t>3）抵债资产评估值的确定方法和结论。</w:t>
      </w:r>
    </w:p>
    <w:p w14:paraId="7D1142B8" w14:textId="5645603E" w:rsidR="001E3DA8" w:rsidRDefault="001E3DA8" w:rsidP="001E3DA8">
      <w:pPr>
        <w:pStyle w:val="13"/>
      </w:pPr>
      <w:r>
        <w:rPr>
          <w:rFonts w:hint="eastAsia"/>
        </w:rPr>
        <w:t>（</w:t>
      </w:r>
      <w:r>
        <w:t>2）上述资产以外的其他资产</w:t>
      </w:r>
    </w:p>
    <w:p w14:paraId="1A399597" w14:textId="3E89FEBE" w:rsidR="001E3DA8" w:rsidRDefault="001E3DA8" w:rsidP="001E3DA8">
      <w:pPr>
        <w:pStyle w:val="13"/>
      </w:pPr>
      <w:r>
        <w:t>1）其他资产的内容、种类及形成原因等。</w:t>
      </w:r>
    </w:p>
    <w:p w14:paraId="2E2C885D" w14:textId="4EFE9F28" w:rsidR="001E3DA8" w:rsidRDefault="001E3DA8" w:rsidP="001E3DA8">
      <w:pPr>
        <w:pStyle w:val="13"/>
      </w:pPr>
      <w:r>
        <w:t>2）其他资产核实的方法和结论。</w:t>
      </w:r>
    </w:p>
    <w:p w14:paraId="7D782EB3" w14:textId="192C9D19" w:rsidR="001E3DA8" w:rsidRDefault="001E3DA8" w:rsidP="001E3DA8">
      <w:pPr>
        <w:pStyle w:val="13"/>
      </w:pPr>
      <w:r>
        <w:t>3）其他资产评估值确定的方法和结论。</w:t>
      </w:r>
    </w:p>
    <w:p w14:paraId="06A47DD8" w14:textId="77777777" w:rsidR="001E3DA8" w:rsidRDefault="001E3DA8" w:rsidP="001E3DA8">
      <w:pPr>
        <w:pStyle w:val="13"/>
      </w:pPr>
      <w:r>
        <w:t>18、向中央银行借款</w:t>
      </w:r>
    </w:p>
    <w:p w14:paraId="6F7C81D6" w14:textId="5F937A35" w:rsidR="001E3DA8" w:rsidRDefault="001E3DA8" w:rsidP="001E3DA8">
      <w:pPr>
        <w:pStyle w:val="13"/>
      </w:pPr>
      <w:r>
        <w:rPr>
          <w:rFonts w:hint="eastAsia"/>
        </w:rPr>
        <w:t>（</w:t>
      </w:r>
      <w:r>
        <w:t>1）向中央银行借款的账面金额、笔数、借款利率、期限。</w:t>
      </w:r>
    </w:p>
    <w:p w14:paraId="168DDBB1" w14:textId="37C430F3" w:rsidR="001E3DA8" w:rsidRDefault="001E3DA8" w:rsidP="001E3DA8">
      <w:pPr>
        <w:pStyle w:val="13"/>
      </w:pPr>
      <w:r>
        <w:rPr>
          <w:rFonts w:hint="eastAsia"/>
        </w:rPr>
        <w:t>（</w:t>
      </w:r>
      <w:r>
        <w:t>2）向中央银行借款核实的方法和结论。</w:t>
      </w:r>
    </w:p>
    <w:p w14:paraId="5B31CCF9" w14:textId="7C96B11E" w:rsidR="001E3DA8" w:rsidRDefault="001E3DA8" w:rsidP="001E3DA8">
      <w:pPr>
        <w:pStyle w:val="13"/>
      </w:pPr>
      <w:r>
        <w:rPr>
          <w:rFonts w:hint="eastAsia"/>
        </w:rPr>
        <w:t>（</w:t>
      </w:r>
      <w:r>
        <w:t>3）向中央银行借款评估值的确定方法和结论。</w:t>
      </w:r>
    </w:p>
    <w:p w14:paraId="209144BA" w14:textId="77777777" w:rsidR="001E3DA8" w:rsidRDefault="001E3DA8" w:rsidP="001E3DA8">
      <w:pPr>
        <w:pStyle w:val="13"/>
      </w:pPr>
      <w:r>
        <w:t>19、同业及其他金融机构存放款项</w:t>
      </w:r>
    </w:p>
    <w:p w14:paraId="00064600" w14:textId="3C15B9BE" w:rsidR="001E3DA8" w:rsidRDefault="001E3DA8" w:rsidP="001E3DA8">
      <w:pPr>
        <w:pStyle w:val="13"/>
      </w:pPr>
      <w:r>
        <w:rPr>
          <w:rFonts w:hint="eastAsia"/>
        </w:rPr>
        <w:t>（</w:t>
      </w:r>
      <w:r>
        <w:t>1）同业存放的金额，存款的同业银行的名称，存款的种类。</w:t>
      </w:r>
    </w:p>
    <w:p w14:paraId="0BB82AD8" w14:textId="288392F4" w:rsidR="001E3DA8" w:rsidRDefault="001E3DA8" w:rsidP="001E3DA8">
      <w:pPr>
        <w:pStyle w:val="13"/>
      </w:pPr>
      <w:r>
        <w:rPr>
          <w:rFonts w:hint="eastAsia"/>
        </w:rPr>
        <w:t>（</w:t>
      </w:r>
      <w:r>
        <w:t>2）同业及其他金融机构存放款项核实的方法和结论。</w:t>
      </w:r>
    </w:p>
    <w:p w14:paraId="335066D4" w14:textId="5AA967D1" w:rsidR="001E3DA8" w:rsidRDefault="001E3DA8" w:rsidP="001E3DA8">
      <w:pPr>
        <w:pStyle w:val="13"/>
      </w:pPr>
      <w:r>
        <w:rPr>
          <w:rFonts w:hint="eastAsia"/>
        </w:rPr>
        <w:t>（</w:t>
      </w:r>
      <w:r>
        <w:t>3）同业及其他金融机构存放款项评估值的确定方法和结论。</w:t>
      </w:r>
    </w:p>
    <w:p w14:paraId="2E85A9A7" w14:textId="77777777" w:rsidR="001E3DA8" w:rsidRDefault="001E3DA8" w:rsidP="001E3DA8">
      <w:pPr>
        <w:pStyle w:val="13"/>
      </w:pPr>
      <w:r>
        <w:t>20、拆入资金</w:t>
      </w:r>
    </w:p>
    <w:p w14:paraId="58CA3CBD" w14:textId="30009A36" w:rsidR="001E3DA8" w:rsidRDefault="001E3DA8" w:rsidP="001E3DA8">
      <w:pPr>
        <w:pStyle w:val="13"/>
      </w:pPr>
      <w:r>
        <w:rPr>
          <w:rFonts w:hint="eastAsia"/>
        </w:rPr>
        <w:t>（</w:t>
      </w:r>
      <w:r>
        <w:t>1）拆借机构的名称、拆入资金的期限、拆入利率、账面金额。</w:t>
      </w:r>
    </w:p>
    <w:p w14:paraId="61890D07" w14:textId="2228E8EE" w:rsidR="001E3DA8" w:rsidRDefault="001E3DA8" w:rsidP="001E3DA8">
      <w:pPr>
        <w:pStyle w:val="13"/>
      </w:pPr>
      <w:r>
        <w:rPr>
          <w:rFonts w:hint="eastAsia"/>
        </w:rPr>
        <w:t>（</w:t>
      </w:r>
      <w:r>
        <w:t>2）拆入资金核实的方法和结论。</w:t>
      </w:r>
    </w:p>
    <w:p w14:paraId="61C5B4BC" w14:textId="167CA7BD" w:rsidR="001E3DA8" w:rsidRDefault="001E3DA8" w:rsidP="001E3DA8">
      <w:pPr>
        <w:pStyle w:val="13"/>
      </w:pPr>
      <w:r>
        <w:rPr>
          <w:rFonts w:hint="eastAsia"/>
        </w:rPr>
        <w:t>（</w:t>
      </w:r>
      <w:r>
        <w:t>3）</w:t>
      </w:r>
      <w:proofErr w:type="gramStart"/>
      <w:r>
        <w:t>函证情况</w:t>
      </w:r>
      <w:proofErr w:type="gramEnd"/>
      <w:r>
        <w:t>介绍。</w:t>
      </w:r>
    </w:p>
    <w:p w14:paraId="78B37F6A" w14:textId="473BB6C1" w:rsidR="001E3DA8" w:rsidRDefault="001E3DA8" w:rsidP="001E3DA8">
      <w:pPr>
        <w:pStyle w:val="13"/>
      </w:pPr>
      <w:r>
        <w:rPr>
          <w:rFonts w:hint="eastAsia"/>
        </w:rPr>
        <w:t>（</w:t>
      </w:r>
      <w:r>
        <w:t>4）拆入资金评估值的确定方法和结论。</w:t>
      </w:r>
    </w:p>
    <w:p w14:paraId="192BEDA9" w14:textId="77777777" w:rsidR="001E3DA8" w:rsidRDefault="001E3DA8" w:rsidP="001E3DA8">
      <w:pPr>
        <w:pStyle w:val="13"/>
      </w:pPr>
      <w:r>
        <w:t>21、交易性金融负债</w:t>
      </w:r>
    </w:p>
    <w:p w14:paraId="45493274" w14:textId="58DEF3B0" w:rsidR="001E3DA8" w:rsidRDefault="001E3DA8" w:rsidP="001E3DA8">
      <w:pPr>
        <w:pStyle w:val="13"/>
      </w:pPr>
      <w:r>
        <w:rPr>
          <w:rFonts w:hint="eastAsia"/>
        </w:rPr>
        <w:t>（</w:t>
      </w:r>
      <w:r>
        <w:t>1）交易性金融负债的种类、账面金额。</w:t>
      </w:r>
    </w:p>
    <w:p w14:paraId="24215F9D" w14:textId="7C377E27" w:rsidR="001E3DA8" w:rsidRDefault="001E3DA8" w:rsidP="001E3DA8">
      <w:pPr>
        <w:pStyle w:val="13"/>
      </w:pPr>
      <w:r>
        <w:rPr>
          <w:rFonts w:hint="eastAsia"/>
        </w:rPr>
        <w:t>（</w:t>
      </w:r>
      <w:r>
        <w:t>2）交易性金融负债核实的方法和结论。</w:t>
      </w:r>
    </w:p>
    <w:p w14:paraId="2F5DCAD9" w14:textId="77EF887D" w:rsidR="001E3DA8" w:rsidRDefault="001E3DA8" w:rsidP="001E3DA8">
      <w:pPr>
        <w:pStyle w:val="13"/>
      </w:pPr>
      <w:r>
        <w:rPr>
          <w:rFonts w:hint="eastAsia"/>
        </w:rPr>
        <w:t>（</w:t>
      </w:r>
      <w:r>
        <w:t>3）交易性金融负债评估值的确定方法和结论。</w:t>
      </w:r>
    </w:p>
    <w:p w14:paraId="3C3BC53E" w14:textId="77777777" w:rsidR="001E3DA8" w:rsidRDefault="001E3DA8" w:rsidP="001E3DA8">
      <w:pPr>
        <w:pStyle w:val="13"/>
      </w:pPr>
      <w:r>
        <w:t>22、衍生金融负债</w:t>
      </w:r>
    </w:p>
    <w:p w14:paraId="5C0AB044" w14:textId="3B541A06" w:rsidR="001E3DA8" w:rsidRDefault="001E3DA8" w:rsidP="001E3DA8">
      <w:pPr>
        <w:pStyle w:val="13"/>
      </w:pPr>
      <w:r>
        <w:rPr>
          <w:rFonts w:hint="eastAsia"/>
        </w:rPr>
        <w:t>（</w:t>
      </w:r>
      <w:r>
        <w:t>1）衍生金融负债的种类、投资日期、持有数量、持有比例及账面金额。</w:t>
      </w:r>
    </w:p>
    <w:p w14:paraId="21190B41" w14:textId="24772056" w:rsidR="001E3DA8" w:rsidRDefault="001E3DA8" w:rsidP="001E3DA8">
      <w:pPr>
        <w:pStyle w:val="13"/>
      </w:pPr>
      <w:r>
        <w:rPr>
          <w:rFonts w:hint="eastAsia"/>
        </w:rPr>
        <w:t>（</w:t>
      </w:r>
      <w:r>
        <w:t>2）衍生金融负债核实的方法和结论。</w:t>
      </w:r>
    </w:p>
    <w:p w14:paraId="1782628B" w14:textId="09205A03" w:rsidR="001E3DA8" w:rsidRDefault="001E3DA8" w:rsidP="001E3DA8">
      <w:pPr>
        <w:pStyle w:val="13"/>
      </w:pPr>
      <w:r>
        <w:rPr>
          <w:rFonts w:hint="eastAsia"/>
        </w:rPr>
        <w:t>（</w:t>
      </w:r>
      <w:r>
        <w:t>3）衍生金融负债评估值的确定方法和结论。</w:t>
      </w:r>
    </w:p>
    <w:p w14:paraId="000B23B3" w14:textId="77777777" w:rsidR="001E3DA8" w:rsidRDefault="001E3DA8" w:rsidP="001E3DA8">
      <w:pPr>
        <w:pStyle w:val="13"/>
      </w:pPr>
      <w:r>
        <w:t>23、卖出回购金融资产款</w:t>
      </w:r>
    </w:p>
    <w:p w14:paraId="46653C28" w14:textId="3929E59B" w:rsidR="001E3DA8" w:rsidRDefault="001E3DA8" w:rsidP="001E3DA8">
      <w:pPr>
        <w:pStyle w:val="13"/>
      </w:pPr>
      <w:r>
        <w:rPr>
          <w:rFonts w:hint="eastAsia"/>
        </w:rPr>
        <w:t>（</w:t>
      </w:r>
      <w:r>
        <w:t>1）卖出回购金融资产款的种类、账面金额。</w:t>
      </w:r>
    </w:p>
    <w:p w14:paraId="34C191DE" w14:textId="175A2DD9" w:rsidR="001E3DA8" w:rsidRDefault="001E3DA8" w:rsidP="001E3DA8">
      <w:pPr>
        <w:pStyle w:val="13"/>
      </w:pPr>
      <w:r>
        <w:rPr>
          <w:rFonts w:hint="eastAsia"/>
        </w:rPr>
        <w:t>（</w:t>
      </w:r>
      <w:r>
        <w:t>2）卖出回购金融资产款核实的方法和结论。</w:t>
      </w:r>
    </w:p>
    <w:p w14:paraId="0105AFC5" w14:textId="799D9CB2" w:rsidR="001E3DA8" w:rsidRDefault="001E3DA8" w:rsidP="001E3DA8">
      <w:pPr>
        <w:pStyle w:val="13"/>
      </w:pPr>
      <w:r>
        <w:rPr>
          <w:rFonts w:hint="eastAsia"/>
        </w:rPr>
        <w:t>（</w:t>
      </w:r>
      <w:r>
        <w:t>3）卖出回购金融资产款评估值的确定方法和结论。</w:t>
      </w:r>
    </w:p>
    <w:p w14:paraId="5234BBEF" w14:textId="77777777" w:rsidR="001E3DA8" w:rsidRDefault="001E3DA8" w:rsidP="001E3DA8">
      <w:pPr>
        <w:pStyle w:val="13"/>
      </w:pPr>
      <w:r>
        <w:t>24、吸收存款</w:t>
      </w:r>
    </w:p>
    <w:p w14:paraId="4C1A8F79" w14:textId="2E9141B7" w:rsidR="001E3DA8" w:rsidRDefault="001E3DA8" w:rsidP="001E3DA8">
      <w:pPr>
        <w:pStyle w:val="13"/>
      </w:pPr>
      <w:r>
        <w:rPr>
          <w:rFonts w:hint="eastAsia"/>
        </w:rPr>
        <w:t>（</w:t>
      </w:r>
      <w:r>
        <w:t>1）吸收存款的金额，存款的分类。</w:t>
      </w:r>
    </w:p>
    <w:p w14:paraId="31FEFD7C" w14:textId="1592D66F" w:rsidR="001E3DA8" w:rsidRDefault="001E3DA8" w:rsidP="001E3DA8">
      <w:pPr>
        <w:pStyle w:val="13"/>
      </w:pPr>
      <w:r>
        <w:rPr>
          <w:rFonts w:hint="eastAsia"/>
        </w:rPr>
        <w:t>（</w:t>
      </w:r>
      <w:r>
        <w:t>2）吸收存款的构成（一年期以上的存款、活期存款、通知存款等）。</w:t>
      </w:r>
    </w:p>
    <w:p w14:paraId="1E4F4070" w14:textId="3D3928B5" w:rsidR="001E3DA8" w:rsidRDefault="001E3DA8" w:rsidP="001E3DA8">
      <w:pPr>
        <w:pStyle w:val="13"/>
      </w:pPr>
      <w:r>
        <w:rPr>
          <w:rFonts w:hint="eastAsia"/>
        </w:rPr>
        <w:lastRenderedPageBreak/>
        <w:t>（</w:t>
      </w:r>
      <w:r>
        <w:t>3）吸收存款评估值的确定方法和结论。</w:t>
      </w:r>
    </w:p>
    <w:p w14:paraId="6167B99D" w14:textId="77777777" w:rsidR="001E3DA8" w:rsidRDefault="001E3DA8" w:rsidP="001E3DA8">
      <w:pPr>
        <w:pStyle w:val="13"/>
      </w:pPr>
      <w:r>
        <w:t>25、应付职工薪</w:t>
      </w:r>
      <w:proofErr w:type="gramStart"/>
      <w:r>
        <w:t>酬</w:t>
      </w:r>
      <w:proofErr w:type="gramEnd"/>
    </w:p>
    <w:p w14:paraId="6348AD53" w14:textId="54DB6D10" w:rsidR="001E3DA8" w:rsidRDefault="001E3DA8" w:rsidP="001E3DA8">
      <w:pPr>
        <w:pStyle w:val="13"/>
      </w:pPr>
      <w:r>
        <w:rPr>
          <w:rFonts w:hint="eastAsia"/>
        </w:rPr>
        <w:t>（</w:t>
      </w:r>
      <w:r>
        <w:t>1）应付职工薪酬的内容和金额。</w:t>
      </w:r>
    </w:p>
    <w:p w14:paraId="762E3B91" w14:textId="00F3D954" w:rsidR="001E3DA8" w:rsidRDefault="001E3DA8" w:rsidP="001E3DA8">
      <w:pPr>
        <w:pStyle w:val="13"/>
      </w:pPr>
      <w:r>
        <w:rPr>
          <w:rFonts w:hint="eastAsia"/>
        </w:rPr>
        <w:t>（</w:t>
      </w:r>
      <w:r>
        <w:t>2）被评估单位相关职工薪</w:t>
      </w:r>
      <w:proofErr w:type="gramStart"/>
      <w:r>
        <w:t>酬</w:t>
      </w:r>
      <w:proofErr w:type="gramEnd"/>
      <w:r>
        <w:t>政策。</w:t>
      </w:r>
    </w:p>
    <w:p w14:paraId="66B01186" w14:textId="25E52F2E" w:rsidR="001E3DA8" w:rsidRDefault="001E3DA8" w:rsidP="001E3DA8">
      <w:pPr>
        <w:pStyle w:val="13"/>
      </w:pPr>
      <w:r>
        <w:rPr>
          <w:rFonts w:hint="eastAsia"/>
        </w:rPr>
        <w:t>（</w:t>
      </w:r>
      <w:r>
        <w:t>3）工资、职工福利、社会保险费、住房公积金、工会经费、职工教育经费、非货币性福利、辞退福利等项目的核实方法和结论。</w:t>
      </w:r>
    </w:p>
    <w:p w14:paraId="0B9D3898" w14:textId="644FAC03" w:rsidR="001E3DA8" w:rsidRDefault="001E3DA8" w:rsidP="001E3DA8">
      <w:pPr>
        <w:pStyle w:val="13"/>
      </w:pPr>
      <w:r>
        <w:rPr>
          <w:rFonts w:hint="eastAsia"/>
        </w:rPr>
        <w:t>（</w:t>
      </w:r>
      <w:r>
        <w:t>4）对于无须支付的职工薪酬，应当说明依据和理由。</w:t>
      </w:r>
    </w:p>
    <w:p w14:paraId="2990DCD0" w14:textId="5F86CC30" w:rsidR="001E3DA8" w:rsidRDefault="001E3DA8" w:rsidP="001E3DA8">
      <w:pPr>
        <w:pStyle w:val="13"/>
      </w:pPr>
      <w:r>
        <w:rPr>
          <w:rFonts w:hint="eastAsia"/>
        </w:rPr>
        <w:t>（</w:t>
      </w:r>
      <w:r>
        <w:t>5）应付职工薪</w:t>
      </w:r>
      <w:proofErr w:type="gramStart"/>
      <w:r>
        <w:t>酬</w:t>
      </w:r>
      <w:proofErr w:type="gramEnd"/>
      <w:r>
        <w:t>评估值的确定方法和结论。</w:t>
      </w:r>
    </w:p>
    <w:p w14:paraId="3573D6E1" w14:textId="77777777" w:rsidR="001E3DA8" w:rsidRDefault="001E3DA8" w:rsidP="001E3DA8">
      <w:pPr>
        <w:pStyle w:val="13"/>
      </w:pPr>
      <w:r>
        <w:t>26、应交税费</w:t>
      </w:r>
    </w:p>
    <w:p w14:paraId="38073BDF" w14:textId="51542E8B" w:rsidR="001E3DA8" w:rsidRDefault="001E3DA8" w:rsidP="001E3DA8">
      <w:pPr>
        <w:pStyle w:val="13"/>
      </w:pPr>
      <w:r>
        <w:rPr>
          <w:rFonts w:hint="eastAsia"/>
        </w:rPr>
        <w:t>（</w:t>
      </w:r>
      <w:r>
        <w:t>1）应交税费的内容和对应金额。</w:t>
      </w:r>
    </w:p>
    <w:p w14:paraId="0890B474" w14:textId="258A73EC" w:rsidR="001E3DA8" w:rsidRDefault="001E3DA8" w:rsidP="001E3DA8">
      <w:pPr>
        <w:pStyle w:val="13"/>
      </w:pPr>
      <w:r>
        <w:rPr>
          <w:rFonts w:hint="eastAsia"/>
        </w:rPr>
        <w:t>（</w:t>
      </w:r>
      <w:r>
        <w:t>2）被评估单位相关的税收政策，说明被评估单位所享有的优惠税收政策，享有优惠政策的期限和批准单位等。</w:t>
      </w:r>
    </w:p>
    <w:p w14:paraId="326782D5" w14:textId="4B8DEE04" w:rsidR="001E3DA8" w:rsidRDefault="001E3DA8" w:rsidP="001E3DA8">
      <w:pPr>
        <w:pStyle w:val="13"/>
      </w:pPr>
      <w:r>
        <w:rPr>
          <w:rFonts w:hint="eastAsia"/>
        </w:rPr>
        <w:t>（</w:t>
      </w:r>
      <w:r>
        <w:t>3）应交税费核实的方法和结论。</w:t>
      </w:r>
    </w:p>
    <w:p w14:paraId="4813042A" w14:textId="1EF0DBA8" w:rsidR="001E3DA8" w:rsidRDefault="001E3DA8" w:rsidP="001E3DA8">
      <w:pPr>
        <w:pStyle w:val="13"/>
      </w:pPr>
      <w:r>
        <w:rPr>
          <w:rFonts w:hint="eastAsia"/>
        </w:rPr>
        <w:t>（</w:t>
      </w:r>
      <w:r>
        <w:t>4）借方余额的原因及评估方法。</w:t>
      </w:r>
    </w:p>
    <w:p w14:paraId="1C93907C" w14:textId="19278B75" w:rsidR="001E3DA8" w:rsidRDefault="001E3DA8" w:rsidP="001E3DA8">
      <w:pPr>
        <w:pStyle w:val="13"/>
      </w:pPr>
      <w:r>
        <w:rPr>
          <w:rFonts w:hint="eastAsia"/>
        </w:rPr>
        <w:t>（</w:t>
      </w:r>
      <w:r>
        <w:t>5）应交税费评估值的确定方法和结论。</w:t>
      </w:r>
    </w:p>
    <w:p w14:paraId="641A94A0" w14:textId="77777777" w:rsidR="001E3DA8" w:rsidRDefault="001E3DA8" w:rsidP="001E3DA8">
      <w:pPr>
        <w:pStyle w:val="13"/>
      </w:pPr>
      <w:r>
        <w:t>27、应付利息</w:t>
      </w:r>
    </w:p>
    <w:p w14:paraId="6AC4A513" w14:textId="1D1DCFAA" w:rsidR="001E3DA8" w:rsidRDefault="001E3DA8" w:rsidP="001E3DA8">
      <w:pPr>
        <w:pStyle w:val="13"/>
      </w:pPr>
      <w:r>
        <w:rPr>
          <w:rFonts w:hint="eastAsia"/>
        </w:rPr>
        <w:t>（</w:t>
      </w:r>
      <w:r>
        <w:t>1）应付利息的内容、金额等。</w:t>
      </w:r>
    </w:p>
    <w:p w14:paraId="14FDB9C6" w14:textId="1BB45D2A" w:rsidR="001E3DA8" w:rsidRDefault="001E3DA8" w:rsidP="001E3DA8">
      <w:pPr>
        <w:pStyle w:val="13"/>
      </w:pPr>
      <w:r>
        <w:rPr>
          <w:rFonts w:hint="eastAsia"/>
        </w:rPr>
        <w:t>（</w:t>
      </w:r>
      <w:r>
        <w:t>2）应付利息核实的方法和结论。</w:t>
      </w:r>
    </w:p>
    <w:p w14:paraId="64CC9BBF" w14:textId="7166D4C5" w:rsidR="001E3DA8" w:rsidRDefault="001E3DA8" w:rsidP="001E3DA8">
      <w:pPr>
        <w:pStyle w:val="13"/>
      </w:pPr>
      <w:r>
        <w:rPr>
          <w:rFonts w:hint="eastAsia"/>
        </w:rPr>
        <w:t>（</w:t>
      </w:r>
      <w:r>
        <w:t>3）应付利息评估值的确定方法和结论。</w:t>
      </w:r>
    </w:p>
    <w:p w14:paraId="187FDEC8" w14:textId="77777777" w:rsidR="001E3DA8" w:rsidRDefault="001E3DA8" w:rsidP="001E3DA8">
      <w:pPr>
        <w:pStyle w:val="13"/>
      </w:pPr>
      <w:r>
        <w:t>28、预计负债</w:t>
      </w:r>
    </w:p>
    <w:p w14:paraId="699915DB" w14:textId="10FD7278" w:rsidR="001E3DA8" w:rsidRDefault="001E3DA8" w:rsidP="001E3DA8">
      <w:pPr>
        <w:pStyle w:val="13"/>
      </w:pPr>
      <w:r>
        <w:rPr>
          <w:rFonts w:hint="eastAsia"/>
        </w:rPr>
        <w:t>（</w:t>
      </w:r>
      <w:r>
        <w:t>1）预计负债的金额和种类。</w:t>
      </w:r>
    </w:p>
    <w:p w14:paraId="30E86952" w14:textId="661D2475" w:rsidR="001E3DA8" w:rsidRDefault="001E3DA8" w:rsidP="001E3DA8">
      <w:pPr>
        <w:pStyle w:val="13"/>
      </w:pPr>
      <w:r>
        <w:rPr>
          <w:rFonts w:hint="eastAsia"/>
        </w:rPr>
        <w:t>（</w:t>
      </w:r>
      <w:r>
        <w:t>2）预计负债核实的方法和结论。</w:t>
      </w:r>
    </w:p>
    <w:p w14:paraId="5F1D44CE" w14:textId="070C858F" w:rsidR="001E3DA8" w:rsidRDefault="001E3DA8" w:rsidP="001E3DA8">
      <w:pPr>
        <w:pStyle w:val="13"/>
      </w:pPr>
      <w:r>
        <w:rPr>
          <w:rFonts w:hint="eastAsia"/>
        </w:rPr>
        <w:t>（</w:t>
      </w:r>
      <w:r>
        <w:t>3）企业确认预计负债的证据以及第三方或者债权人的</w:t>
      </w:r>
      <w:proofErr w:type="gramStart"/>
      <w:r>
        <w:t>询</w:t>
      </w:r>
      <w:proofErr w:type="gramEnd"/>
      <w:r>
        <w:t>证证据等。</w:t>
      </w:r>
    </w:p>
    <w:p w14:paraId="00E580C3" w14:textId="066C6564" w:rsidR="001E3DA8" w:rsidRDefault="001E3DA8" w:rsidP="001E3DA8">
      <w:pPr>
        <w:pStyle w:val="13"/>
      </w:pPr>
      <w:r>
        <w:rPr>
          <w:rFonts w:hint="eastAsia"/>
        </w:rPr>
        <w:t>（</w:t>
      </w:r>
      <w:r>
        <w:t>4）预计负债评估值的确定方法和结论。</w:t>
      </w:r>
    </w:p>
    <w:p w14:paraId="7F8957DB" w14:textId="77777777" w:rsidR="001E3DA8" w:rsidRDefault="001E3DA8" w:rsidP="001E3DA8">
      <w:pPr>
        <w:pStyle w:val="13"/>
      </w:pPr>
      <w:r>
        <w:t>29、应付债券</w:t>
      </w:r>
    </w:p>
    <w:p w14:paraId="52FC7467" w14:textId="077A67C7" w:rsidR="001E3DA8" w:rsidRDefault="001E3DA8" w:rsidP="001E3DA8">
      <w:pPr>
        <w:pStyle w:val="13"/>
      </w:pPr>
      <w:r>
        <w:rPr>
          <w:rFonts w:hint="eastAsia"/>
        </w:rPr>
        <w:t>（</w:t>
      </w:r>
      <w:r>
        <w:t>1）应付债券的种类（分期付息一次还本的债券、一次还本付息的债券等）、票面金额、债券票面利率、还本付息期限与方式、发行总额、发行日期和编号、委托代售单位、转换股份等情况。</w:t>
      </w:r>
    </w:p>
    <w:p w14:paraId="3A0A84EF" w14:textId="7DEBE47A" w:rsidR="001E3DA8" w:rsidRDefault="001E3DA8" w:rsidP="001E3DA8">
      <w:pPr>
        <w:pStyle w:val="13"/>
      </w:pPr>
      <w:r>
        <w:rPr>
          <w:rFonts w:hint="eastAsia"/>
        </w:rPr>
        <w:t>（</w:t>
      </w:r>
      <w:r>
        <w:t>2）应付债券核实的方法和结论。</w:t>
      </w:r>
    </w:p>
    <w:p w14:paraId="409AA5C8" w14:textId="5DA91C72" w:rsidR="001E3DA8" w:rsidRDefault="001E3DA8" w:rsidP="001E3DA8">
      <w:pPr>
        <w:pStyle w:val="13"/>
      </w:pPr>
      <w:r>
        <w:rPr>
          <w:rFonts w:hint="eastAsia"/>
        </w:rPr>
        <w:t>（</w:t>
      </w:r>
      <w:r>
        <w:t>3）应付债券评估值的确定方法和结论。</w:t>
      </w:r>
    </w:p>
    <w:p w14:paraId="07D6C526" w14:textId="77777777" w:rsidR="001E3DA8" w:rsidRDefault="001E3DA8" w:rsidP="001E3DA8">
      <w:pPr>
        <w:pStyle w:val="13"/>
      </w:pPr>
      <w:r>
        <w:t>30、递延所得税负债</w:t>
      </w:r>
    </w:p>
    <w:p w14:paraId="5555EDF6" w14:textId="3BB532A2" w:rsidR="001E3DA8" w:rsidRDefault="001E3DA8" w:rsidP="001E3DA8">
      <w:pPr>
        <w:pStyle w:val="13"/>
      </w:pPr>
      <w:r>
        <w:rPr>
          <w:rFonts w:hint="eastAsia"/>
        </w:rPr>
        <w:t>（</w:t>
      </w:r>
      <w:r>
        <w:t>1）递延所得税负债的金额、种类和企业确认依据。</w:t>
      </w:r>
    </w:p>
    <w:p w14:paraId="5C96E82F" w14:textId="316435F0" w:rsidR="001E3DA8" w:rsidRDefault="001E3DA8" w:rsidP="001E3DA8">
      <w:pPr>
        <w:pStyle w:val="13"/>
      </w:pPr>
      <w:r>
        <w:rPr>
          <w:rFonts w:hint="eastAsia"/>
        </w:rPr>
        <w:t>（</w:t>
      </w:r>
      <w:r>
        <w:t>2）递延所得税负债核实的方法和结论。</w:t>
      </w:r>
    </w:p>
    <w:p w14:paraId="2456298B" w14:textId="6C75FDCB" w:rsidR="001E3DA8" w:rsidRDefault="001E3DA8" w:rsidP="001E3DA8">
      <w:pPr>
        <w:pStyle w:val="13"/>
      </w:pPr>
      <w:r>
        <w:rPr>
          <w:rFonts w:hint="eastAsia"/>
        </w:rPr>
        <w:t>（</w:t>
      </w:r>
      <w:r>
        <w:t>3）递延所得税负债评估值的确定方法和结论。</w:t>
      </w:r>
    </w:p>
    <w:p w14:paraId="18848481" w14:textId="77777777" w:rsidR="001E3DA8" w:rsidRDefault="001E3DA8" w:rsidP="001E3DA8">
      <w:pPr>
        <w:pStyle w:val="13"/>
      </w:pPr>
      <w:r>
        <w:lastRenderedPageBreak/>
        <w:t>31、其他负债</w:t>
      </w:r>
    </w:p>
    <w:p w14:paraId="2EDBF586" w14:textId="05964B23" w:rsidR="001E3DA8" w:rsidRDefault="001E3DA8" w:rsidP="001E3DA8">
      <w:pPr>
        <w:pStyle w:val="13"/>
      </w:pPr>
      <w:r>
        <w:rPr>
          <w:rFonts w:hint="eastAsia"/>
        </w:rPr>
        <w:t>（</w:t>
      </w:r>
      <w:r>
        <w:t>1）其他应付款</w:t>
      </w:r>
    </w:p>
    <w:p w14:paraId="4766D30C" w14:textId="71CD30E3" w:rsidR="001E3DA8" w:rsidRDefault="001E3DA8" w:rsidP="001E3DA8">
      <w:pPr>
        <w:pStyle w:val="13"/>
      </w:pPr>
      <w:r>
        <w:t>1）其他应付</w:t>
      </w:r>
      <w:proofErr w:type="gramStart"/>
      <w:r>
        <w:t>款发生</w:t>
      </w:r>
      <w:proofErr w:type="gramEnd"/>
      <w:r>
        <w:t>时间、原因，相关合同、协议内容。</w:t>
      </w:r>
    </w:p>
    <w:p w14:paraId="4EBB4422" w14:textId="67D976FD" w:rsidR="001E3DA8" w:rsidRDefault="001E3DA8" w:rsidP="001E3DA8">
      <w:pPr>
        <w:pStyle w:val="13"/>
      </w:pPr>
      <w:r>
        <w:t>2）其他应付款核实的方法和结论。</w:t>
      </w:r>
    </w:p>
    <w:p w14:paraId="01319EDA" w14:textId="1CB6B1F0" w:rsidR="001E3DA8" w:rsidRDefault="001E3DA8" w:rsidP="001E3DA8">
      <w:pPr>
        <w:pStyle w:val="13"/>
      </w:pPr>
      <w:r>
        <w:t>3）其他应付款评估值的确定方法和结论。</w:t>
      </w:r>
    </w:p>
    <w:p w14:paraId="67A7C425" w14:textId="27D4F87D" w:rsidR="001E3DA8" w:rsidRDefault="001E3DA8" w:rsidP="001E3DA8">
      <w:pPr>
        <w:pStyle w:val="13"/>
      </w:pPr>
      <w:r>
        <w:rPr>
          <w:rFonts w:hint="eastAsia"/>
        </w:rPr>
        <w:t>（</w:t>
      </w:r>
      <w:r>
        <w:t>2）存入保证金</w:t>
      </w:r>
    </w:p>
    <w:p w14:paraId="2A1CAD10" w14:textId="304DA502" w:rsidR="001E3DA8" w:rsidRDefault="001E3DA8" w:rsidP="001E3DA8">
      <w:pPr>
        <w:pStyle w:val="13"/>
      </w:pPr>
      <w:r>
        <w:t>1）存入保证金的种类、金额、核算方式、存款期限。</w:t>
      </w:r>
    </w:p>
    <w:p w14:paraId="29281A27" w14:textId="2DC01026" w:rsidR="001E3DA8" w:rsidRDefault="001E3DA8" w:rsidP="001E3DA8">
      <w:pPr>
        <w:pStyle w:val="13"/>
      </w:pPr>
      <w:r>
        <w:t>2）存入保证金核实的方法和结论。</w:t>
      </w:r>
    </w:p>
    <w:p w14:paraId="02800DC2" w14:textId="3C385427" w:rsidR="001E3DA8" w:rsidRDefault="001E3DA8" w:rsidP="001E3DA8">
      <w:pPr>
        <w:pStyle w:val="13"/>
      </w:pPr>
      <w:r>
        <w:t>3）存入保证金评估值的确定方法和结论。</w:t>
      </w:r>
    </w:p>
    <w:p w14:paraId="059C78D0" w14:textId="5801278B" w:rsidR="001E3DA8" w:rsidRDefault="001E3DA8" w:rsidP="001E3DA8">
      <w:pPr>
        <w:pStyle w:val="13"/>
      </w:pPr>
      <w:r>
        <w:rPr>
          <w:rFonts w:hint="eastAsia"/>
        </w:rPr>
        <w:t>（</w:t>
      </w:r>
      <w:r>
        <w:t>3）贴现负债</w:t>
      </w:r>
    </w:p>
    <w:p w14:paraId="5ED372EB" w14:textId="3F56F55C" w:rsidR="001E3DA8" w:rsidRDefault="001E3DA8" w:rsidP="001E3DA8">
      <w:pPr>
        <w:pStyle w:val="13"/>
      </w:pPr>
      <w:r>
        <w:t>1）贴现票据的种类、金额，贴现的时间、金额，票据到期时间。</w:t>
      </w:r>
    </w:p>
    <w:p w14:paraId="70EC8A69" w14:textId="060F998D" w:rsidR="001E3DA8" w:rsidRDefault="001E3DA8" w:rsidP="001E3DA8">
      <w:pPr>
        <w:pStyle w:val="13"/>
      </w:pPr>
      <w:r>
        <w:t>2）贴现负债核实的方法和结论。</w:t>
      </w:r>
    </w:p>
    <w:p w14:paraId="3D86C206" w14:textId="1F826282" w:rsidR="001E3DA8" w:rsidRDefault="001E3DA8" w:rsidP="001E3DA8">
      <w:pPr>
        <w:pStyle w:val="13"/>
      </w:pPr>
      <w:r>
        <w:t>3）贴现负债评估值的确定方法和结论。</w:t>
      </w:r>
    </w:p>
    <w:p w14:paraId="75CE3EF6" w14:textId="6809D61D" w:rsidR="001E3DA8" w:rsidRDefault="001E3DA8" w:rsidP="001E3DA8">
      <w:pPr>
        <w:pStyle w:val="13"/>
      </w:pPr>
      <w:r>
        <w:rPr>
          <w:rFonts w:hint="eastAsia"/>
        </w:rPr>
        <w:t>（</w:t>
      </w:r>
      <w:r>
        <w:t>4）上述负债以外的其他负债</w:t>
      </w:r>
    </w:p>
    <w:p w14:paraId="37A13622" w14:textId="5C67FBE9" w:rsidR="001E3DA8" w:rsidRDefault="001E3DA8" w:rsidP="001E3DA8">
      <w:pPr>
        <w:pStyle w:val="13"/>
      </w:pPr>
      <w:r>
        <w:t>1）其他负债的种类、形成原因、企业确认依据等。</w:t>
      </w:r>
    </w:p>
    <w:p w14:paraId="3EA69776" w14:textId="1C3810A2" w:rsidR="001E3DA8" w:rsidRDefault="001E3DA8" w:rsidP="001E3DA8">
      <w:pPr>
        <w:pStyle w:val="13"/>
      </w:pPr>
      <w:r>
        <w:t>2）其他负债核实的方法和结论。</w:t>
      </w:r>
    </w:p>
    <w:p w14:paraId="180D4CEE" w14:textId="2DE2DB6A" w:rsidR="001E3DA8" w:rsidRDefault="001E3DA8" w:rsidP="001E3DA8">
      <w:pPr>
        <w:pStyle w:val="13"/>
      </w:pPr>
      <w:r>
        <w:t>3）其他负债评估值的确定方法和结论。</w:t>
      </w:r>
    </w:p>
    <w:p w14:paraId="514D0FBD" w14:textId="77777777" w:rsidR="001E3DA8" w:rsidRDefault="001E3DA8" w:rsidP="001E3DA8">
      <w:pPr>
        <w:pStyle w:val="13"/>
      </w:pPr>
      <w:r>
        <w:rPr>
          <w:rFonts w:hint="eastAsia"/>
        </w:rPr>
        <w:t>（二）保险公司资产基础法评估技术说明编写内容指引</w:t>
      </w:r>
    </w:p>
    <w:p w14:paraId="1461B83A" w14:textId="77777777" w:rsidR="001E3DA8" w:rsidRDefault="001E3DA8" w:rsidP="001E3DA8">
      <w:pPr>
        <w:pStyle w:val="13"/>
      </w:pPr>
      <w:r>
        <w:rPr>
          <w:rFonts w:hint="eastAsia"/>
        </w:rPr>
        <w:t>保险公司部分科目的评估方法与银行相同，保险公司专用科目的评估技术说明编写内容指引如下。</w:t>
      </w:r>
    </w:p>
    <w:p w14:paraId="03E55880" w14:textId="77777777" w:rsidR="001E3DA8" w:rsidRDefault="001E3DA8" w:rsidP="001E3DA8">
      <w:pPr>
        <w:pStyle w:val="13"/>
      </w:pPr>
      <w:r>
        <w:t>1、应收保费</w:t>
      </w:r>
    </w:p>
    <w:p w14:paraId="1080C84C" w14:textId="73082CB3" w:rsidR="001E3DA8" w:rsidRDefault="001E3DA8" w:rsidP="001E3DA8">
      <w:pPr>
        <w:pStyle w:val="13"/>
      </w:pPr>
      <w:r>
        <w:rPr>
          <w:rFonts w:hint="eastAsia"/>
        </w:rPr>
        <w:t>（</w:t>
      </w:r>
      <w:r>
        <w:t>1）应收保费的金额、种类。</w:t>
      </w:r>
    </w:p>
    <w:p w14:paraId="3790BC04" w14:textId="1BA7BBE7" w:rsidR="001E3DA8" w:rsidRDefault="001E3DA8" w:rsidP="001E3DA8">
      <w:pPr>
        <w:pStyle w:val="13"/>
      </w:pPr>
      <w:r>
        <w:rPr>
          <w:rFonts w:hint="eastAsia"/>
        </w:rPr>
        <w:t>（</w:t>
      </w:r>
      <w:r>
        <w:t>2）应收保费核实的方法和结论。</w:t>
      </w:r>
    </w:p>
    <w:p w14:paraId="4689A5F7" w14:textId="0CE03D8D" w:rsidR="001E3DA8" w:rsidRDefault="001E3DA8" w:rsidP="001E3DA8">
      <w:pPr>
        <w:pStyle w:val="13"/>
      </w:pPr>
      <w:r>
        <w:rPr>
          <w:rFonts w:hint="eastAsia"/>
        </w:rPr>
        <w:t>（</w:t>
      </w:r>
      <w:r>
        <w:t>3）应收保费评估值的确定方法和结论。</w:t>
      </w:r>
    </w:p>
    <w:p w14:paraId="29B0DDA2" w14:textId="77777777" w:rsidR="001E3DA8" w:rsidRDefault="001E3DA8" w:rsidP="001E3DA8">
      <w:pPr>
        <w:pStyle w:val="13"/>
      </w:pPr>
      <w:r>
        <w:t>2、应收代位追偿款</w:t>
      </w:r>
    </w:p>
    <w:p w14:paraId="01334EB8" w14:textId="11A5F948" w:rsidR="001E3DA8" w:rsidRDefault="001E3DA8" w:rsidP="001E3DA8">
      <w:pPr>
        <w:pStyle w:val="13"/>
      </w:pPr>
      <w:r>
        <w:rPr>
          <w:rFonts w:hint="eastAsia"/>
        </w:rPr>
        <w:t>（</w:t>
      </w:r>
      <w:r>
        <w:t>1）应收代位追偿</w:t>
      </w:r>
      <w:proofErr w:type="gramStart"/>
      <w:r>
        <w:t>款发生</w:t>
      </w:r>
      <w:proofErr w:type="gramEnd"/>
      <w:r>
        <w:t>时间、原因。</w:t>
      </w:r>
    </w:p>
    <w:p w14:paraId="285FAB88" w14:textId="2758F555" w:rsidR="001E3DA8" w:rsidRDefault="001E3DA8" w:rsidP="001E3DA8">
      <w:pPr>
        <w:pStyle w:val="13"/>
      </w:pPr>
      <w:r>
        <w:rPr>
          <w:rFonts w:hint="eastAsia"/>
        </w:rPr>
        <w:t>（</w:t>
      </w:r>
      <w:r>
        <w:t>2）应收代位追偿款核实的方法和结论。</w:t>
      </w:r>
    </w:p>
    <w:p w14:paraId="79444D35" w14:textId="1AC87DDF" w:rsidR="001E3DA8" w:rsidRDefault="001E3DA8" w:rsidP="001E3DA8">
      <w:pPr>
        <w:pStyle w:val="13"/>
      </w:pPr>
      <w:r>
        <w:rPr>
          <w:rFonts w:hint="eastAsia"/>
        </w:rPr>
        <w:t>（</w:t>
      </w:r>
      <w:r>
        <w:t>3）对可能发生坏账的项目，应当说明原因及取得的证据。</w:t>
      </w:r>
    </w:p>
    <w:p w14:paraId="4C52D690" w14:textId="18918C23" w:rsidR="001E3DA8" w:rsidRDefault="001E3DA8" w:rsidP="001E3DA8">
      <w:pPr>
        <w:pStyle w:val="13"/>
      </w:pPr>
      <w:r>
        <w:rPr>
          <w:rFonts w:hint="eastAsia"/>
        </w:rPr>
        <w:t>（</w:t>
      </w:r>
      <w:r>
        <w:t>4）应收代位追偿款评估值的确定方法和结论。</w:t>
      </w:r>
    </w:p>
    <w:p w14:paraId="20FE2E8D" w14:textId="77777777" w:rsidR="001E3DA8" w:rsidRDefault="001E3DA8" w:rsidP="001E3DA8">
      <w:pPr>
        <w:pStyle w:val="13"/>
      </w:pPr>
      <w:r>
        <w:t>3、应收分保账款</w:t>
      </w:r>
    </w:p>
    <w:p w14:paraId="524CA1B3" w14:textId="22B9D011" w:rsidR="001E3DA8" w:rsidRDefault="001E3DA8" w:rsidP="001E3DA8">
      <w:pPr>
        <w:pStyle w:val="13"/>
      </w:pPr>
      <w:r>
        <w:rPr>
          <w:rFonts w:hint="eastAsia"/>
        </w:rPr>
        <w:t>（</w:t>
      </w:r>
      <w:r>
        <w:t>1）应收分保账款发生时间、原因。</w:t>
      </w:r>
    </w:p>
    <w:p w14:paraId="60E43EFF" w14:textId="4D6FDC3D" w:rsidR="001E3DA8" w:rsidRDefault="001E3DA8" w:rsidP="001E3DA8">
      <w:pPr>
        <w:pStyle w:val="13"/>
      </w:pPr>
      <w:r>
        <w:rPr>
          <w:rFonts w:hint="eastAsia"/>
        </w:rPr>
        <w:t>（</w:t>
      </w:r>
      <w:r>
        <w:t>2）应收分保账款核实的方法和结论。</w:t>
      </w:r>
    </w:p>
    <w:p w14:paraId="2F5196DA" w14:textId="5760F59D" w:rsidR="001E3DA8" w:rsidRDefault="001E3DA8" w:rsidP="001E3DA8">
      <w:pPr>
        <w:pStyle w:val="13"/>
      </w:pPr>
      <w:r>
        <w:rPr>
          <w:rFonts w:hint="eastAsia"/>
        </w:rPr>
        <w:t>（</w:t>
      </w:r>
      <w:r>
        <w:t>3）应收分保账款评估值的确定方法和结论。</w:t>
      </w:r>
    </w:p>
    <w:p w14:paraId="6814F758" w14:textId="77777777" w:rsidR="001E3DA8" w:rsidRDefault="001E3DA8" w:rsidP="001E3DA8">
      <w:pPr>
        <w:pStyle w:val="13"/>
      </w:pPr>
      <w:r>
        <w:t>4、应收分保未到期责任准备金、应收分保未决赔款准备金、应收分保寿险责任</w:t>
      </w:r>
      <w:r>
        <w:lastRenderedPageBreak/>
        <w:t>准备金、应收分保长期健康险责任准备金</w:t>
      </w:r>
    </w:p>
    <w:p w14:paraId="0761D61F" w14:textId="3DBB5FA0" w:rsidR="001E3DA8" w:rsidRDefault="001E3DA8" w:rsidP="001E3DA8">
      <w:pPr>
        <w:pStyle w:val="13"/>
      </w:pPr>
      <w:r>
        <w:rPr>
          <w:rFonts w:hint="eastAsia"/>
        </w:rPr>
        <w:t>（</w:t>
      </w:r>
      <w:r>
        <w:t>1）应收分保未到期责任准备金、应收分保未决赔款准备金、应收分保寿险责任准备金、应收分保长期健康险责任准备金发生时间、原因。</w:t>
      </w:r>
    </w:p>
    <w:p w14:paraId="4F600CFF" w14:textId="585063ED" w:rsidR="001E3DA8" w:rsidRDefault="001E3DA8" w:rsidP="001E3DA8">
      <w:pPr>
        <w:pStyle w:val="13"/>
      </w:pPr>
      <w:r>
        <w:rPr>
          <w:rFonts w:hint="eastAsia"/>
        </w:rPr>
        <w:t>（</w:t>
      </w:r>
      <w:r>
        <w:t>2）应收分保未到期责任准备金、应收分保未决赔款准备金、应收分保寿险责任准备金、应收分保长期健康险责任准备金核实的方法和结论。</w:t>
      </w:r>
    </w:p>
    <w:p w14:paraId="32DF7325" w14:textId="1F165D08" w:rsidR="001E3DA8" w:rsidRDefault="001E3DA8" w:rsidP="001E3DA8">
      <w:pPr>
        <w:pStyle w:val="13"/>
      </w:pPr>
      <w:r>
        <w:rPr>
          <w:rFonts w:hint="eastAsia"/>
        </w:rPr>
        <w:t>（</w:t>
      </w:r>
      <w:r>
        <w:t>3）应收分保未到期责任准备金、应收分保未决赔款准备金、应收分保寿险责任准备金、应收分保长期健康险责任准备金评估值的确定方法和结论。</w:t>
      </w:r>
    </w:p>
    <w:p w14:paraId="41512A7B" w14:textId="77777777" w:rsidR="001E3DA8" w:rsidRDefault="001E3DA8" w:rsidP="001E3DA8">
      <w:pPr>
        <w:pStyle w:val="13"/>
      </w:pPr>
      <w:r>
        <w:t>5、保户质押贷款</w:t>
      </w:r>
    </w:p>
    <w:p w14:paraId="6A563C9F" w14:textId="37FBBEE5" w:rsidR="001E3DA8" w:rsidRDefault="001E3DA8" w:rsidP="001E3DA8">
      <w:pPr>
        <w:pStyle w:val="13"/>
      </w:pPr>
      <w:r>
        <w:rPr>
          <w:rFonts w:hint="eastAsia"/>
        </w:rPr>
        <w:t>（</w:t>
      </w:r>
      <w:r>
        <w:t>1）企业保户质押贷款管理制度。</w:t>
      </w:r>
    </w:p>
    <w:p w14:paraId="09608DE9" w14:textId="4FD71981" w:rsidR="001E3DA8" w:rsidRDefault="001E3DA8" w:rsidP="001E3DA8">
      <w:pPr>
        <w:pStyle w:val="13"/>
      </w:pPr>
      <w:r>
        <w:rPr>
          <w:rFonts w:hint="eastAsia"/>
        </w:rPr>
        <w:t>（</w:t>
      </w:r>
      <w:r>
        <w:t>2）保户质押贷款核实的方法和结论。</w:t>
      </w:r>
    </w:p>
    <w:p w14:paraId="5830D792" w14:textId="09FA3A31" w:rsidR="001E3DA8" w:rsidRDefault="001E3DA8" w:rsidP="001E3DA8">
      <w:pPr>
        <w:pStyle w:val="13"/>
      </w:pPr>
      <w:r>
        <w:rPr>
          <w:rFonts w:hint="eastAsia"/>
        </w:rPr>
        <w:t>（</w:t>
      </w:r>
      <w:r>
        <w:t>3）保户质押贷款评估值的确定方法和结论。</w:t>
      </w:r>
    </w:p>
    <w:p w14:paraId="64CAD128" w14:textId="77777777" w:rsidR="001E3DA8" w:rsidRDefault="001E3DA8" w:rsidP="001E3DA8">
      <w:pPr>
        <w:pStyle w:val="13"/>
      </w:pPr>
      <w:r>
        <w:t>6、定期存款</w:t>
      </w:r>
    </w:p>
    <w:p w14:paraId="53C6D28F" w14:textId="5F97127C" w:rsidR="001E3DA8" w:rsidRDefault="001E3DA8" w:rsidP="001E3DA8">
      <w:pPr>
        <w:pStyle w:val="13"/>
      </w:pPr>
      <w:r>
        <w:rPr>
          <w:rFonts w:hint="eastAsia"/>
        </w:rPr>
        <w:t>（</w:t>
      </w:r>
      <w:r>
        <w:t>1）定期存款的金额、种类和企业确认依据。</w:t>
      </w:r>
    </w:p>
    <w:p w14:paraId="0D88886D" w14:textId="41AD1117" w:rsidR="001E3DA8" w:rsidRDefault="001E3DA8" w:rsidP="001E3DA8">
      <w:pPr>
        <w:pStyle w:val="13"/>
      </w:pPr>
      <w:r>
        <w:rPr>
          <w:rFonts w:hint="eastAsia"/>
        </w:rPr>
        <w:t>（</w:t>
      </w:r>
      <w:r>
        <w:t>2）定期存款核实的方法和结论。</w:t>
      </w:r>
    </w:p>
    <w:p w14:paraId="49E67438" w14:textId="2775645E" w:rsidR="001E3DA8" w:rsidRDefault="001E3DA8" w:rsidP="001E3DA8">
      <w:pPr>
        <w:pStyle w:val="13"/>
      </w:pPr>
      <w:r>
        <w:rPr>
          <w:rFonts w:hint="eastAsia"/>
        </w:rPr>
        <w:t>（</w:t>
      </w:r>
      <w:r>
        <w:t>3）定期存款评估值的确定方法和结论。</w:t>
      </w:r>
    </w:p>
    <w:p w14:paraId="29057225" w14:textId="77777777" w:rsidR="001E3DA8" w:rsidRDefault="001E3DA8" w:rsidP="001E3DA8">
      <w:pPr>
        <w:pStyle w:val="13"/>
      </w:pPr>
      <w:r>
        <w:t>7、存出资本保证金</w:t>
      </w:r>
    </w:p>
    <w:p w14:paraId="50F8BB33" w14:textId="5D9828C9" w:rsidR="001E3DA8" w:rsidRDefault="001E3DA8" w:rsidP="001E3DA8">
      <w:pPr>
        <w:pStyle w:val="13"/>
      </w:pPr>
      <w:r>
        <w:rPr>
          <w:rFonts w:hint="eastAsia"/>
        </w:rPr>
        <w:t>（</w:t>
      </w:r>
      <w:r>
        <w:t>1）存出资本保证金的金额、种类和企业确认依据。</w:t>
      </w:r>
    </w:p>
    <w:p w14:paraId="7132717C" w14:textId="3161A187" w:rsidR="001E3DA8" w:rsidRDefault="001E3DA8" w:rsidP="001E3DA8">
      <w:pPr>
        <w:pStyle w:val="13"/>
      </w:pPr>
      <w:r>
        <w:rPr>
          <w:rFonts w:hint="eastAsia"/>
        </w:rPr>
        <w:t>（</w:t>
      </w:r>
      <w:r>
        <w:t>2）存出资本保证金核实的方法和结论。</w:t>
      </w:r>
    </w:p>
    <w:p w14:paraId="373899B5" w14:textId="097E9136" w:rsidR="001E3DA8" w:rsidRDefault="001E3DA8" w:rsidP="001E3DA8">
      <w:pPr>
        <w:pStyle w:val="13"/>
      </w:pPr>
      <w:r>
        <w:rPr>
          <w:rFonts w:hint="eastAsia"/>
        </w:rPr>
        <w:t>（</w:t>
      </w:r>
      <w:r>
        <w:t>3）存出资本保证金评估值的确定方法和结论。</w:t>
      </w:r>
    </w:p>
    <w:p w14:paraId="116D91BE" w14:textId="77777777" w:rsidR="001E3DA8" w:rsidRDefault="001E3DA8" w:rsidP="001E3DA8">
      <w:pPr>
        <w:pStyle w:val="13"/>
      </w:pPr>
      <w:r>
        <w:t>8、独立账户资产</w:t>
      </w:r>
    </w:p>
    <w:p w14:paraId="337CE976" w14:textId="57957DF0" w:rsidR="001E3DA8" w:rsidRDefault="001E3DA8" w:rsidP="001E3DA8">
      <w:pPr>
        <w:pStyle w:val="13"/>
      </w:pPr>
      <w:r>
        <w:rPr>
          <w:rFonts w:hint="eastAsia"/>
        </w:rPr>
        <w:t>（</w:t>
      </w:r>
      <w:r>
        <w:t>1）相关合同、协议内容。</w:t>
      </w:r>
    </w:p>
    <w:p w14:paraId="5A1519A0" w14:textId="1D0D384E" w:rsidR="001E3DA8" w:rsidRDefault="001E3DA8" w:rsidP="001E3DA8">
      <w:pPr>
        <w:pStyle w:val="13"/>
      </w:pPr>
      <w:r>
        <w:rPr>
          <w:rFonts w:hint="eastAsia"/>
        </w:rPr>
        <w:t>（</w:t>
      </w:r>
      <w:r>
        <w:t>2）独立账户资产核实的方法和结论。</w:t>
      </w:r>
    </w:p>
    <w:p w14:paraId="7684ED15" w14:textId="1F35D331" w:rsidR="001E3DA8" w:rsidRDefault="001E3DA8" w:rsidP="001E3DA8">
      <w:pPr>
        <w:pStyle w:val="13"/>
      </w:pPr>
      <w:r>
        <w:rPr>
          <w:rFonts w:hint="eastAsia"/>
        </w:rPr>
        <w:t>（</w:t>
      </w:r>
      <w:r>
        <w:t>3）独立账户资产评估值的确定方法和结论。</w:t>
      </w:r>
    </w:p>
    <w:p w14:paraId="6488364A" w14:textId="77777777" w:rsidR="001E3DA8" w:rsidRDefault="001E3DA8" w:rsidP="001E3DA8">
      <w:pPr>
        <w:pStyle w:val="13"/>
      </w:pPr>
      <w:r>
        <w:t>9、其他资产</w:t>
      </w:r>
    </w:p>
    <w:p w14:paraId="589791DE" w14:textId="6EF3C3E2" w:rsidR="001E3DA8" w:rsidRDefault="001E3DA8" w:rsidP="001E3DA8">
      <w:pPr>
        <w:pStyle w:val="13"/>
      </w:pPr>
      <w:r>
        <w:rPr>
          <w:rFonts w:hint="eastAsia"/>
        </w:rPr>
        <w:t>（</w:t>
      </w:r>
      <w:r>
        <w:t>1）其他应收款</w:t>
      </w:r>
    </w:p>
    <w:p w14:paraId="49C3DB72" w14:textId="18AEA113" w:rsidR="001E3DA8" w:rsidRDefault="001E3DA8" w:rsidP="001E3DA8">
      <w:pPr>
        <w:pStyle w:val="13"/>
      </w:pPr>
      <w:r>
        <w:t>1）其他应收</w:t>
      </w:r>
      <w:proofErr w:type="gramStart"/>
      <w:r>
        <w:t>款发生</w:t>
      </w:r>
      <w:proofErr w:type="gramEnd"/>
      <w:r>
        <w:t>时间、原因。</w:t>
      </w:r>
    </w:p>
    <w:p w14:paraId="79C69088" w14:textId="7E6625FF" w:rsidR="001E3DA8" w:rsidRDefault="001E3DA8" w:rsidP="001E3DA8">
      <w:pPr>
        <w:pStyle w:val="13"/>
      </w:pPr>
      <w:r>
        <w:t>2）其他应收款核实的方法和结论。</w:t>
      </w:r>
    </w:p>
    <w:p w14:paraId="51A3B5BB" w14:textId="2FCCAE82" w:rsidR="001E3DA8" w:rsidRDefault="001E3DA8" w:rsidP="001E3DA8">
      <w:pPr>
        <w:pStyle w:val="13"/>
      </w:pPr>
      <w:r>
        <w:t>3）其他应收款评估值的确定方法和结论。</w:t>
      </w:r>
    </w:p>
    <w:p w14:paraId="107F9862" w14:textId="5A4F8944" w:rsidR="001E3DA8" w:rsidRDefault="001E3DA8" w:rsidP="001E3DA8">
      <w:pPr>
        <w:pStyle w:val="13"/>
      </w:pPr>
      <w:r>
        <w:rPr>
          <w:rFonts w:hint="eastAsia"/>
        </w:rPr>
        <w:t>（</w:t>
      </w:r>
      <w:r>
        <w:t>2）存出分保准备金</w:t>
      </w:r>
    </w:p>
    <w:p w14:paraId="0A05AC17" w14:textId="3851DFF4" w:rsidR="001E3DA8" w:rsidRDefault="001E3DA8" w:rsidP="001E3DA8">
      <w:pPr>
        <w:pStyle w:val="13"/>
      </w:pPr>
      <w:r>
        <w:t>1）存出分保准备金的金额、种类和企业确认依据。</w:t>
      </w:r>
    </w:p>
    <w:p w14:paraId="16A7A295" w14:textId="38095CD9" w:rsidR="001E3DA8" w:rsidRDefault="001E3DA8" w:rsidP="001E3DA8">
      <w:pPr>
        <w:pStyle w:val="13"/>
      </w:pPr>
      <w:r>
        <w:t>2）存出分保准备金核实的方法和结论。</w:t>
      </w:r>
    </w:p>
    <w:p w14:paraId="3814F8C2" w14:textId="5A3BB611" w:rsidR="001E3DA8" w:rsidRDefault="001E3DA8" w:rsidP="001E3DA8">
      <w:pPr>
        <w:pStyle w:val="13"/>
      </w:pPr>
      <w:r>
        <w:t>3）存出分保准备金评估值的确定方法和结论。</w:t>
      </w:r>
    </w:p>
    <w:p w14:paraId="17980106" w14:textId="3FC47DB9" w:rsidR="001E3DA8" w:rsidRDefault="001E3DA8" w:rsidP="001E3DA8">
      <w:pPr>
        <w:pStyle w:val="13"/>
      </w:pPr>
      <w:r>
        <w:rPr>
          <w:rFonts w:hint="eastAsia"/>
        </w:rPr>
        <w:t>（</w:t>
      </w:r>
      <w:r>
        <w:t>3）损余物资</w:t>
      </w:r>
    </w:p>
    <w:p w14:paraId="3D6BEECA" w14:textId="7017E9FC" w:rsidR="001E3DA8" w:rsidRDefault="001E3DA8" w:rsidP="001E3DA8">
      <w:pPr>
        <w:pStyle w:val="13"/>
      </w:pPr>
      <w:r>
        <w:t>1）损余物资来源，说明原保险合同主要内容。</w:t>
      </w:r>
    </w:p>
    <w:p w14:paraId="70B48A48" w14:textId="60786932" w:rsidR="001E3DA8" w:rsidRDefault="001E3DA8" w:rsidP="001E3DA8">
      <w:pPr>
        <w:pStyle w:val="13"/>
      </w:pPr>
      <w:r>
        <w:lastRenderedPageBreak/>
        <w:t>2）账面价值构成，分析价值构成的合理性。</w:t>
      </w:r>
    </w:p>
    <w:p w14:paraId="5929D042" w14:textId="06689EBA" w:rsidR="001E3DA8" w:rsidRDefault="001E3DA8" w:rsidP="001E3DA8">
      <w:pPr>
        <w:pStyle w:val="13"/>
      </w:pPr>
      <w:r>
        <w:t>3）损余物资应当具体说明如何确定完好程度。</w:t>
      </w:r>
    </w:p>
    <w:p w14:paraId="6D8BCE6E" w14:textId="769DE6D6" w:rsidR="001E3DA8" w:rsidRDefault="001E3DA8" w:rsidP="001E3DA8">
      <w:pPr>
        <w:pStyle w:val="13"/>
      </w:pPr>
      <w:r>
        <w:t>4）对于存在失效、变质、残损、无用的损余物资，应当说明对其价值的影响程度，需要技术鉴定的，应当说明鉴定方法及鉴定结论。</w:t>
      </w:r>
    </w:p>
    <w:p w14:paraId="277B5443" w14:textId="22AD9276" w:rsidR="001E3DA8" w:rsidRDefault="001E3DA8" w:rsidP="001E3DA8">
      <w:pPr>
        <w:pStyle w:val="13"/>
      </w:pPr>
      <w:r>
        <w:t>5）损余物资评估值的确定方法和结论。</w:t>
      </w:r>
    </w:p>
    <w:p w14:paraId="415C6362" w14:textId="77D86FF0" w:rsidR="001E3DA8" w:rsidRDefault="001E3DA8" w:rsidP="001E3DA8">
      <w:pPr>
        <w:pStyle w:val="13"/>
      </w:pPr>
      <w:r>
        <w:rPr>
          <w:rFonts w:hint="eastAsia"/>
        </w:rPr>
        <w:t>（</w:t>
      </w:r>
      <w:r>
        <w:t>4）上述资产以外的其他资产</w:t>
      </w:r>
    </w:p>
    <w:p w14:paraId="105D86AA" w14:textId="454B376F" w:rsidR="001E3DA8" w:rsidRDefault="001E3DA8" w:rsidP="001E3DA8">
      <w:pPr>
        <w:pStyle w:val="13"/>
      </w:pPr>
      <w:r>
        <w:t>1）其他资产的内容、种类及形成原因等。</w:t>
      </w:r>
    </w:p>
    <w:p w14:paraId="6F03D5FC" w14:textId="719A70DE" w:rsidR="001E3DA8" w:rsidRDefault="001E3DA8" w:rsidP="001E3DA8">
      <w:pPr>
        <w:pStyle w:val="13"/>
      </w:pPr>
      <w:r>
        <w:t>2）其他资产核实的方法和结论。</w:t>
      </w:r>
    </w:p>
    <w:p w14:paraId="01352787" w14:textId="4CE8E2CB" w:rsidR="001E3DA8" w:rsidRDefault="001E3DA8" w:rsidP="001E3DA8">
      <w:pPr>
        <w:pStyle w:val="13"/>
      </w:pPr>
      <w:r>
        <w:t>3）其他资产评估值的确定方法和结论。</w:t>
      </w:r>
    </w:p>
    <w:p w14:paraId="6F3A06A2" w14:textId="77777777" w:rsidR="001E3DA8" w:rsidRDefault="001E3DA8" w:rsidP="001E3DA8">
      <w:pPr>
        <w:pStyle w:val="13"/>
      </w:pPr>
      <w:r>
        <w:t>10、短期借款</w:t>
      </w:r>
    </w:p>
    <w:p w14:paraId="201D7595" w14:textId="1D516030" w:rsidR="001E3DA8" w:rsidRDefault="001E3DA8" w:rsidP="001E3DA8">
      <w:pPr>
        <w:pStyle w:val="13"/>
      </w:pPr>
      <w:r>
        <w:rPr>
          <w:rFonts w:hint="eastAsia"/>
        </w:rPr>
        <w:t>（</w:t>
      </w:r>
      <w:r>
        <w:t>1）借款的金额、发生日期、放贷银行名称、还款期限、贷款利率以及抵（质） 押情况。</w:t>
      </w:r>
    </w:p>
    <w:p w14:paraId="25349665" w14:textId="55E3CE21" w:rsidR="001E3DA8" w:rsidRDefault="001E3DA8" w:rsidP="001E3DA8">
      <w:pPr>
        <w:pStyle w:val="13"/>
      </w:pPr>
      <w:r>
        <w:rPr>
          <w:rFonts w:hint="eastAsia"/>
        </w:rPr>
        <w:t>（</w:t>
      </w:r>
      <w:r>
        <w:t>2）借款</w:t>
      </w:r>
      <w:proofErr w:type="gramStart"/>
      <w:r>
        <w:t>的函证情况</w:t>
      </w:r>
      <w:proofErr w:type="gramEnd"/>
      <w:r>
        <w:t>。</w:t>
      </w:r>
    </w:p>
    <w:p w14:paraId="6D7A5C2F" w14:textId="1F67A6C6" w:rsidR="001E3DA8" w:rsidRDefault="001E3DA8" w:rsidP="001E3DA8">
      <w:pPr>
        <w:pStyle w:val="13"/>
      </w:pPr>
      <w:r>
        <w:rPr>
          <w:rFonts w:hint="eastAsia"/>
        </w:rPr>
        <w:t>（</w:t>
      </w:r>
      <w:r>
        <w:t>3）利息结算、支付情况，并说明利息支付情况对评估值的影响。</w:t>
      </w:r>
    </w:p>
    <w:p w14:paraId="0A2F5975" w14:textId="6675CB26" w:rsidR="001E3DA8" w:rsidRDefault="001E3DA8" w:rsidP="001E3DA8">
      <w:pPr>
        <w:pStyle w:val="13"/>
      </w:pPr>
      <w:r>
        <w:rPr>
          <w:rFonts w:hint="eastAsia"/>
        </w:rPr>
        <w:t>（</w:t>
      </w:r>
      <w:r>
        <w:t>4）短期借款评估值的确定方法和结论。</w:t>
      </w:r>
    </w:p>
    <w:p w14:paraId="5587A403" w14:textId="77777777" w:rsidR="001E3DA8" w:rsidRDefault="001E3DA8" w:rsidP="001E3DA8">
      <w:pPr>
        <w:pStyle w:val="13"/>
      </w:pPr>
      <w:r>
        <w:t>11、预收保费</w:t>
      </w:r>
    </w:p>
    <w:p w14:paraId="4FABDE02" w14:textId="4FFF6D1C" w:rsidR="001E3DA8" w:rsidRDefault="001E3DA8" w:rsidP="001E3DA8">
      <w:pPr>
        <w:pStyle w:val="13"/>
      </w:pPr>
      <w:r>
        <w:rPr>
          <w:rFonts w:hint="eastAsia"/>
        </w:rPr>
        <w:t>（</w:t>
      </w:r>
      <w:r>
        <w:t>1）预收保费的主要业务内容、发生日期。</w:t>
      </w:r>
    </w:p>
    <w:p w14:paraId="0F70C12E" w14:textId="1509B220" w:rsidR="001E3DA8" w:rsidRDefault="001E3DA8" w:rsidP="001E3DA8">
      <w:pPr>
        <w:pStyle w:val="13"/>
      </w:pPr>
      <w:r>
        <w:rPr>
          <w:rFonts w:hint="eastAsia"/>
        </w:rPr>
        <w:t>（</w:t>
      </w:r>
      <w:r>
        <w:t>2）预收保费核实的方法和结论。</w:t>
      </w:r>
    </w:p>
    <w:p w14:paraId="73AFBC01" w14:textId="30033F22" w:rsidR="001E3DA8" w:rsidRDefault="001E3DA8" w:rsidP="001E3DA8">
      <w:pPr>
        <w:pStyle w:val="13"/>
      </w:pPr>
      <w:r>
        <w:rPr>
          <w:rFonts w:hint="eastAsia"/>
        </w:rPr>
        <w:t>（</w:t>
      </w:r>
      <w:r>
        <w:t>3）预收保费评估值的确定方法和结论。</w:t>
      </w:r>
    </w:p>
    <w:p w14:paraId="37CC5857" w14:textId="77777777" w:rsidR="001E3DA8" w:rsidRDefault="001E3DA8" w:rsidP="001E3DA8">
      <w:pPr>
        <w:pStyle w:val="13"/>
      </w:pPr>
      <w:r>
        <w:t>12、应付手续费及佣金</w:t>
      </w:r>
    </w:p>
    <w:p w14:paraId="3565E3B0" w14:textId="0799B619" w:rsidR="001E3DA8" w:rsidRDefault="001E3DA8" w:rsidP="001E3DA8">
      <w:pPr>
        <w:pStyle w:val="13"/>
      </w:pPr>
      <w:r>
        <w:rPr>
          <w:rFonts w:hint="eastAsia"/>
        </w:rPr>
        <w:t>（</w:t>
      </w:r>
      <w:r>
        <w:t>1）应付手续费及佣金的主要业务内容、发生日期。</w:t>
      </w:r>
    </w:p>
    <w:p w14:paraId="20DCA7DD" w14:textId="2EEBA025" w:rsidR="001E3DA8" w:rsidRDefault="001E3DA8" w:rsidP="001E3DA8">
      <w:pPr>
        <w:pStyle w:val="13"/>
      </w:pPr>
      <w:r>
        <w:rPr>
          <w:rFonts w:hint="eastAsia"/>
        </w:rPr>
        <w:t>（</w:t>
      </w:r>
      <w:r>
        <w:t>2）应付手续费及佣金核实的方法和结论。</w:t>
      </w:r>
    </w:p>
    <w:p w14:paraId="4C20835B" w14:textId="206B74B9" w:rsidR="001E3DA8" w:rsidRDefault="001E3DA8" w:rsidP="001E3DA8">
      <w:pPr>
        <w:pStyle w:val="13"/>
      </w:pPr>
      <w:r>
        <w:rPr>
          <w:rFonts w:hint="eastAsia"/>
        </w:rPr>
        <w:t>（</w:t>
      </w:r>
      <w:r>
        <w:t>3）应付手续费及佣金评估值的确定方法和结论。</w:t>
      </w:r>
    </w:p>
    <w:p w14:paraId="165C0B22" w14:textId="77777777" w:rsidR="001E3DA8" w:rsidRDefault="001E3DA8" w:rsidP="001E3DA8">
      <w:pPr>
        <w:pStyle w:val="13"/>
      </w:pPr>
      <w:r>
        <w:t>13、应付分保账款</w:t>
      </w:r>
    </w:p>
    <w:p w14:paraId="6423DF5B" w14:textId="5569A968" w:rsidR="001E3DA8" w:rsidRDefault="001E3DA8" w:rsidP="001E3DA8">
      <w:pPr>
        <w:pStyle w:val="13"/>
      </w:pPr>
      <w:r>
        <w:rPr>
          <w:rFonts w:hint="eastAsia"/>
        </w:rPr>
        <w:t>（</w:t>
      </w:r>
      <w:r>
        <w:t>1）应付分保账款的主要业务内容、发生日期。</w:t>
      </w:r>
    </w:p>
    <w:p w14:paraId="4F3C9540" w14:textId="5194F091" w:rsidR="001E3DA8" w:rsidRDefault="001E3DA8" w:rsidP="001E3DA8">
      <w:pPr>
        <w:pStyle w:val="13"/>
      </w:pPr>
      <w:r>
        <w:rPr>
          <w:rFonts w:hint="eastAsia"/>
        </w:rPr>
        <w:t>（</w:t>
      </w:r>
      <w:r>
        <w:t>2）应付分保账款核实的方法和结论。</w:t>
      </w:r>
    </w:p>
    <w:p w14:paraId="6236A75E" w14:textId="59DDD932" w:rsidR="001E3DA8" w:rsidRDefault="001E3DA8" w:rsidP="001E3DA8">
      <w:pPr>
        <w:pStyle w:val="13"/>
      </w:pPr>
      <w:r>
        <w:rPr>
          <w:rFonts w:hint="eastAsia"/>
        </w:rPr>
        <w:t>（</w:t>
      </w:r>
      <w:r>
        <w:t>3）应付分保账款评估值的确定方法和结论。</w:t>
      </w:r>
    </w:p>
    <w:p w14:paraId="65BFA94C" w14:textId="77777777" w:rsidR="001E3DA8" w:rsidRDefault="001E3DA8" w:rsidP="001E3DA8">
      <w:pPr>
        <w:pStyle w:val="13"/>
      </w:pPr>
      <w:r>
        <w:t>14、应付赔付款</w:t>
      </w:r>
    </w:p>
    <w:p w14:paraId="04CEB4E2" w14:textId="2EE229EF" w:rsidR="001E3DA8" w:rsidRDefault="001E3DA8" w:rsidP="001E3DA8">
      <w:pPr>
        <w:pStyle w:val="13"/>
      </w:pPr>
      <w:r>
        <w:rPr>
          <w:rFonts w:hint="eastAsia"/>
        </w:rPr>
        <w:t>（</w:t>
      </w:r>
      <w:r>
        <w:t>1）应付赔付款的主要业务内容、发生日期。</w:t>
      </w:r>
    </w:p>
    <w:p w14:paraId="08FE07A4" w14:textId="356F7657" w:rsidR="001E3DA8" w:rsidRDefault="001E3DA8" w:rsidP="001E3DA8">
      <w:pPr>
        <w:pStyle w:val="13"/>
      </w:pPr>
      <w:r>
        <w:rPr>
          <w:rFonts w:hint="eastAsia"/>
        </w:rPr>
        <w:t>（</w:t>
      </w:r>
      <w:r>
        <w:t>2）应付赔付款核实的方法和结论。</w:t>
      </w:r>
    </w:p>
    <w:p w14:paraId="3F631874" w14:textId="101BAA25" w:rsidR="001E3DA8" w:rsidRDefault="001E3DA8" w:rsidP="001E3DA8">
      <w:pPr>
        <w:pStyle w:val="13"/>
      </w:pPr>
      <w:r>
        <w:rPr>
          <w:rFonts w:hint="eastAsia"/>
        </w:rPr>
        <w:t>（</w:t>
      </w:r>
      <w:r>
        <w:t>3）应付赔付款评估值的确定方法和结论。</w:t>
      </w:r>
    </w:p>
    <w:p w14:paraId="57ADFB79" w14:textId="77777777" w:rsidR="001E3DA8" w:rsidRDefault="001E3DA8" w:rsidP="001E3DA8">
      <w:pPr>
        <w:pStyle w:val="13"/>
      </w:pPr>
      <w:r>
        <w:t>15、应付保单红利</w:t>
      </w:r>
    </w:p>
    <w:p w14:paraId="489528EC" w14:textId="105B0C4F" w:rsidR="001E3DA8" w:rsidRDefault="001E3DA8" w:rsidP="001E3DA8">
      <w:pPr>
        <w:pStyle w:val="13"/>
      </w:pPr>
      <w:r>
        <w:rPr>
          <w:rFonts w:hint="eastAsia"/>
        </w:rPr>
        <w:t>（</w:t>
      </w:r>
      <w:r>
        <w:t>1）简要介绍被评估单位应付保单红利的基本情况。</w:t>
      </w:r>
    </w:p>
    <w:p w14:paraId="1D4FC904" w14:textId="0FF3F563" w:rsidR="001E3DA8" w:rsidRDefault="001E3DA8" w:rsidP="001E3DA8">
      <w:pPr>
        <w:pStyle w:val="13"/>
      </w:pPr>
      <w:r>
        <w:rPr>
          <w:rFonts w:hint="eastAsia"/>
        </w:rPr>
        <w:t>（</w:t>
      </w:r>
      <w:r>
        <w:t>2）对应付保单红利按合同、协议清查核实情况。</w:t>
      </w:r>
    </w:p>
    <w:p w14:paraId="18DF6BC8" w14:textId="1D19A3C5" w:rsidR="001E3DA8" w:rsidRDefault="001E3DA8" w:rsidP="001E3DA8">
      <w:pPr>
        <w:pStyle w:val="13"/>
      </w:pPr>
      <w:r>
        <w:rPr>
          <w:rFonts w:hint="eastAsia"/>
        </w:rPr>
        <w:lastRenderedPageBreak/>
        <w:t>（</w:t>
      </w:r>
      <w:r>
        <w:t>3）对于长期未付的应付保单红利，应说明原因，并说明是否考虑可能需要支付逾期利息对企业负债增加的因素。</w:t>
      </w:r>
    </w:p>
    <w:p w14:paraId="4E369C84" w14:textId="7BAC7702" w:rsidR="001E3DA8" w:rsidRDefault="001E3DA8" w:rsidP="001E3DA8">
      <w:pPr>
        <w:pStyle w:val="13"/>
      </w:pPr>
      <w:r>
        <w:rPr>
          <w:rFonts w:hint="eastAsia"/>
        </w:rPr>
        <w:t>（</w:t>
      </w:r>
      <w:r>
        <w:t>4）应付保单红利评估值的确定方法和结论。</w:t>
      </w:r>
    </w:p>
    <w:p w14:paraId="201F4B06" w14:textId="77777777" w:rsidR="001E3DA8" w:rsidRDefault="001E3DA8" w:rsidP="001E3DA8">
      <w:pPr>
        <w:pStyle w:val="13"/>
      </w:pPr>
      <w:r>
        <w:t>16、保户储金及投资款</w:t>
      </w:r>
    </w:p>
    <w:p w14:paraId="6B8DDB33" w14:textId="225E7BA5" w:rsidR="001E3DA8" w:rsidRDefault="001E3DA8" w:rsidP="001E3DA8">
      <w:pPr>
        <w:pStyle w:val="13"/>
      </w:pPr>
      <w:r>
        <w:rPr>
          <w:rFonts w:hint="eastAsia"/>
        </w:rPr>
        <w:t>（</w:t>
      </w:r>
      <w:r>
        <w:t>1）简要介绍被评估单位投资型保险业务的基本政策；说明该政策是否符合国家相关政策、是否合理。</w:t>
      </w:r>
    </w:p>
    <w:p w14:paraId="3C1F324E" w14:textId="1DBA1C6B" w:rsidR="001E3DA8" w:rsidRDefault="001E3DA8" w:rsidP="001E3DA8">
      <w:pPr>
        <w:pStyle w:val="13"/>
      </w:pPr>
      <w:r>
        <w:rPr>
          <w:rFonts w:hint="eastAsia"/>
        </w:rPr>
        <w:t>（</w:t>
      </w:r>
      <w:r>
        <w:t>2）保户储金及投资款的明细内容。</w:t>
      </w:r>
    </w:p>
    <w:p w14:paraId="13D9C111" w14:textId="07E1068C" w:rsidR="001E3DA8" w:rsidRDefault="001E3DA8" w:rsidP="001E3DA8">
      <w:pPr>
        <w:pStyle w:val="13"/>
      </w:pPr>
      <w:r>
        <w:rPr>
          <w:rFonts w:hint="eastAsia"/>
        </w:rPr>
        <w:t>（</w:t>
      </w:r>
      <w:r>
        <w:t>3）保户储金及投资款核实的方法和结论。</w:t>
      </w:r>
    </w:p>
    <w:p w14:paraId="23D05DC7" w14:textId="5EC4DBE2" w:rsidR="001E3DA8" w:rsidRDefault="001E3DA8" w:rsidP="001E3DA8">
      <w:pPr>
        <w:pStyle w:val="13"/>
      </w:pPr>
      <w:r>
        <w:rPr>
          <w:rFonts w:hint="eastAsia"/>
        </w:rPr>
        <w:t>（</w:t>
      </w:r>
      <w:r>
        <w:t>4）保户储金及投资款评估值的确定方法和结论。</w:t>
      </w:r>
    </w:p>
    <w:p w14:paraId="0BAA6267" w14:textId="77777777" w:rsidR="001E3DA8" w:rsidRDefault="001E3DA8" w:rsidP="001E3DA8">
      <w:pPr>
        <w:pStyle w:val="13"/>
      </w:pPr>
      <w:r>
        <w:t>17、未到期责任准备金、保险责任准备金（未决赔款准备金、寿险责任准备金、长期健康险责任准备金）的评估</w:t>
      </w:r>
    </w:p>
    <w:p w14:paraId="228DCB5B" w14:textId="413461B1" w:rsidR="001E3DA8" w:rsidRDefault="001E3DA8" w:rsidP="001E3DA8">
      <w:pPr>
        <w:pStyle w:val="13"/>
      </w:pPr>
      <w:r>
        <w:rPr>
          <w:rFonts w:hint="eastAsia"/>
        </w:rPr>
        <w:t>（</w:t>
      </w:r>
      <w:r>
        <w:t>1）被评估单位未到期责任准备金、保险责任准备金（未决赔款准备金、寿险责任准备金、长期健康险责任准备金）的基本政策；说明该政策是否符合国家相关政策、是否合理。</w:t>
      </w:r>
    </w:p>
    <w:p w14:paraId="34BF35E8" w14:textId="11948F0E" w:rsidR="001E3DA8" w:rsidRDefault="001E3DA8" w:rsidP="001E3DA8">
      <w:pPr>
        <w:pStyle w:val="13"/>
      </w:pPr>
      <w:r>
        <w:rPr>
          <w:rFonts w:hint="eastAsia"/>
        </w:rPr>
        <w:t>（</w:t>
      </w:r>
      <w:r>
        <w:t>2）未到期责任准备金、保险责任准备金（未决赔款准备金、寿险责任准备金、长期健康险责任准备金）的明细内容、计提依据。</w:t>
      </w:r>
    </w:p>
    <w:p w14:paraId="2683C293" w14:textId="0B40D811" w:rsidR="001E3DA8" w:rsidRDefault="001E3DA8" w:rsidP="001E3DA8">
      <w:pPr>
        <w:pStyle w:val="13"/>
      </w:pPr>
      <w:r>
        <w:rPr>
          <w:rFonts w:hint="eastAsia"/>
        </w:rPr>
        <w:t>（</w:t>
      </w:r>
      <w:r>
        <w:t>3）未到期责任准备金、保险责任准备金（未决赔款准备金、寿险责任准备金、长期健康险责任准备金）核实的方法和结论。</w:t>
      </w:r>
    </w:p>
    <w:p w14:paraId="27CC4B35" w14:textId="51ADBEB2" w:rsidR="001E3DA8" w:rsidRDefault="001E3DA8" w:rsidP="001E3DA8">
      <w:pPr>
        <w:pStyle w:val="13"/>
      </w:pPr>
      <w:r>
        <w:rPr>
          <w:rFonts w:hint="eastAsia"/>
        </w:rPr>
        <w:t>（</w:t>
      </w:r>
      <w:r>
        <w:t>4）未到期责任准备金、保险责任准备金（未决赔款准备金、寿险责任准备金、长期健康险责任准备金）评估值的确定方法和结论。</w:t>
      </w:r>
    </w:p>
    <w:p w14:paraId="636E06DF" w14:textId="77777777" w:rsidR="001E3DA8" w:rsidRDefault="001E3DA8" w:rsidP="001E3DA8">
      <w:pPr>
        <w:pStyle w:val="13"/>
      </w:pPr>
      <w:r>
        <w:t>18、长期借款</w:t>
      </w:r>
    </w:p>
    <w:p w14:paraId="0F0A71F4" w14:textId="11798730" w:rsidR="001E3DA8" w:rsidRDefault="001E3DA8" w:rsidP="001E3DA8">
      <w:pPr>
        <w:pStyle w:val="13"/>
      </w:pPr>
      <w:r>
        <w:rPr>
          <w:rFonts w:hint="eastAsia"/>
        </w:rPr>
        <w:t>（</w:t>
      </w:r>
      <w:r>
        <w:t>1）借款的金额、发生日期、放贷银行名称、还款期限和贷款利率以及抵（质） 押情况。</w:t>
      </w:r>
    </w:p>
    <w:p w14:paraId="1EC2686C" w14:textId="7E43EBB7" w:rsidR="001E3DA8" w:rsidRDefault="001E3DA8" w:rsidP="001E3DA8">
      <w:pPr>
        <w:pStyle w:val="13"/>
      </w:pPr>
      <w:r>
        <w:rPr>
          <w:rFonts w:hint="eastAsia"/>
        </w:rPr>
        <w:t>（</w:t>
      </w:r>
      <w:r>
        <w:t>2）借款</w:t>
      </w:r>
      <w:proofErr w:type="gramStart"/>
      <w:r>
        <w:t>的函证情况</w:t>
      </w:r>
      <w:proofErr w:type="gramEnd"/>
      <w:r>
        <w:t>。</w:t>
      </w:r>
    </w:p>
    <w:p w14:paraId="7BC13DF2" w14:textId="0EB6BCED" w:rsidR="001E3DA8" w:rsidRDefault="001E3DA8" w:rsidP="001E3DA8">
      <w:pPr>
        <w:pStyle w:val="13"/>
      </w:pPr>
      <w:r>
        <w:rPr>
          <w:rFonts w:hint="eastAsia"/>
        </w:rPr>
        <w:t>（</w:t>
      </w:r>
      <w:r>
        <w:t>3）利率水平、结算方式和结算时间对评估结论的影响。</w:t>
      </w:r>
    </w:p>
    <w:p w14:paraId="3F725DAE" w14:textId="137A83E0" w:rsidR="001E3DA8" w:rsidRDefault="001E3DA8" w:rsidP="001E3DA8">
      <w:pPr>
        <w:pStyle w:val="13"/>
      </w:pPr>
      <w:r>
        <w:rPr>
          <w:rFonts w:hint="eastAsia"/>
        </w:rPr>
        <w:t>（</w:t>
      </w:r>
      <w:r>
        <w:t>4）长期借款评估值的确定方法和结论。</w:t>
      </w:r>
    </w:p>
    <w:p w14:paraId="2180C44A" w14:textId="77777777" w:rsidR="001E3DA8" w:rsidRDefault="001E3DA8" w:rsidP="001E3DA8">
      <w:pPr>
        <w:pStyle w:val="13"/>
      </w:pPr>
      <w:r>
        <w:t>19、独立账户负债</w:t>
      </w:r>
    </w:p>
    <w:p w14:paraId="63F709D2" w14:textId="5E21EF8E" w:rsidR="001E3DA8" w:rsidRDefault="001E3DA8" w:rsidP="001E3DA8">
      <w:pPr>
        <w:pStyle w:val="13"/>
      </w:pPr>
      <w:r>
        <w:rPr>
          <w:rFonts w:hint="eastAsia"/>
        </w:rPr>
        <w:t>（</w:t>
      </w:r>
      <w:r>
        <w:t>1）独立账户负债类别。</w:t>
      </w:r>
    </w:p>
    <w:p w14:paraId="1740AD4F" w14:textId="56F009DA" w:rsidR="001E3DA8" w:rsidRDefault="001E3DA8" w:rsidP="001E3DA8">
      <w:pPr>
        <w:pStyle w:val="13"/>
      </w:pPr>
      <w:r>
        <w:rPr>
          <w:rFonts w:hint="eastAsia"/>
        </w:rPr>
        <w:t>（</w:t>
      </w:r>
      <w:r>
        <w:t>2）独立账户负债核实的方法和结论。</w:t>
      </w:r>
    </w:p>
    <w:p w14:paraId="27457862" w14:textId="51B6E648" w:rsidR="001E3DA8" w:rsidRDefault="001E3DA8" w:rsidP="001E3DA8">
      <w:pPr>
        <w:pStyle w:val="13"/>
      </w:pPr>
      <w:r>
        <w:rPr>
          <w:rFonts w:hint="eastAsia"/>
        </w:rPr>
        <w:t>（</w:t>
      </w:r>
      <w:r>
        <w:t>3）独立账户负债评估值的确定方法和结论。</w:t>
      </w:r>
    </w:p>
    <w:p w14:paraId="2F28026C" w14:textId="77777777" w:rsidR="001E3DA8" w:rsidRDefault="001E3DA8" w:rsidP="001E3DA8">
      <w:pPr>
        <w:pStyle w:val="13"/>
      </w:pPr>
      <w:r>
        <w:t>20、其他负债</w:t>
      </w:r>
    </w:p>
    <w:p w14:paraId="2CF1B344" w14:textId="70AD3C2F" w:rsidR="001E3DA8" w:rsidRDefault="001E3DA8" w:rsidP="001E3DA8">
      <w:pPr>
        <w:pStyle w:val="13"/>
      </w:pPr>
      <w:r>
        <w:rPr>
          <w:rFonts w:hint="eastAsia"/>
        </w:rPr>
        <w:t>（</w:t>
      </w:r>
      <w:r>
        <w:t>1）其他应付款</w:t>
      </w:r>
    </w:p>
    <w:p w14:paraId="4F76FCDC" w14:textId="40EAC3B8" w:rsidR="001E3DA8" w:rsidRDefault="001E3DA8" w:rsidP="001E3DA8">
      <w:pPr>
        <w:pStyle w:val="13"/>
      </w:pPr>
      <w:r>
        <w:t>1）其他应付</w:t>
      </w:r>
      <w:proofErr w:type="gramStart"/>
      <w:r>
        <w:t>款发生</w:t>
      </w:r>
      <w:proofErr w:type="gramEnd"/>
      <w:r>
        <w:t>时间、原因。</w:t>
      </w:r>
    </w:p>
    <w:p w14:paraId="22CF76DD" w14:textId="0963525F" w:rsidR="001E3DA8" w:rsidRDefault="001E3DA8" w:rsidP="001E3DA8">
      <w:pPr>
        <w:pStyle w:val="13"/>
      </w:pPr>
      <w:r>
        <w:t>2）其他应付款核实的方法和结论。</w:t>
      </w:r>
    </w:p>
    <w:p w14:paraId="0C0FC831" w14:textId="425BC8E6" w:rsidR="001E3DA8" w:rsidRDefault="001E3DA8" w:rsidP="001E3DA8">
      <w:pPr>
        <w:pStyle w:val="13"/>
      </w:pPr>
      <w:r>
        <w:lastRenderedPageBreak/>
        <w:t>3）其他应付款评估值的确定方法和结论。</w:t>
      </w:r>
    </w:p>
    <w:p w14:paraId="547FB35A" w14:textId="5636F6D8" w:rsidR="001E3DA8" w:rsidRDefault="001E3DA8" w:rsidP="001E3DA8">
      <w:pPr>
        <w:pStyle w:val="13"/>
      </w:pPr>
      <w:r>
        <w:rPr>
          <w:rFonts w:hint="eastAsia"/>
        </w:rPr>
        <w:t>（</w:t>
      </w:r>
      <w:r>
        <w:t>2）存入分保准备金</w:t>
      </w:r>
    </w:p>
    <w:p w14:paraId="42105C56" w14:textId="15A8ADC3" w:rsidR="001E3DA8" w:rsidRDefault="001E3DA8" w:rsidP="001E3DA8">
      <w:pPr>
        <w:pStyle w:val="13"/>
      </w:pPr>
      <w:r>
        <w:t>1）存入分保准备金的金额、种类和企业确认依据。</w:t>
      </w:r>
    </w:p>
    <w:p w14:paraId="08B32484" w14:textId="031EDDE5" w:rsidR="001E3DA8" w:rsidRDefault="001E3DA8" w:rsidP="001E3DA8">
      <w:pPr>
        <w:pStyle w:val="13"/>
      </w:pPr>
      <w:r>
        <w:t>2）存入分保准备金核实的方法和结论。</w:t>
      </w:r>
    </w:p>
    <w:p w14:paraId="5B8C8430" w14:textId="52335BAE" w:rsidR="001E3DA8" w:rsidRDefault="001E3DA8" w:rsidP="001E3DA8">
      <w:pPr>
        <w:pStyle w:val="13"/>
      </w:pPr>
      <w:r>
        <w:t>3）存入分保准备金评估值的确定方法和结论。</w:t>
      </w:r>
    </w:p>
    <w:p w14:paraId="38B81408" w14:textId="1750F29D" w:rsidR="001E3DA8" w:rsidRDefault="001E3DA8" w:rsidP="001E3DA8">
      <w:pPr>
        <w:pStyle w:val="13"/>
      </w:pPr>
      <w:r>
        <w:rPr>
          <w:rFonts w:hint="eastAsia"/>
        </w:rPr>
        <w:t>（</w:t>
      </w:r>
      <w:r>
        <w:t>3）上述负债以外的其他负债</w:t>
      </w:r>
    </w:p>
    <w:p w14:paraId="08E554A5" w14:textId="177837B2" w:rsidR="001E3DA8" w:rsidRDefault="001E3DA8" w:rsidP="001E3DA8">
      <w:pPr>
        <w:pStyle w:val="13"/>
      </w:pPr>
      <w:r>
        <w:t>1）其他负债的种类、形成原因、企业确认依据等。</w:t>
      </w:r>
    </w:p>
    <w:p w14:paraId="60ECFA55" w14:textId="79FD6627" w:rsidR="001E3DA8" w:rsidRDefault="001E3DA8" w:rsidP="001E3DA8">
      <w:pPr>
        <w:pStyle w:val="13"/>
      </w:pPr>
      <w:r>
        <w:t>2）其他负债核实的方法和结论。</w:t>
      </w:r>
    </w:p>
    <w:p w14:paraId="7E4C7826" w14:textId="0944D2BE" w:rsidR="001E3DA8" w:rsidRDefault="001E3DA8" w:rsidP="001E3DA8">
      <w:pPr>
        <w:pStyle w:val="13"/>
      </w:pPr>
      <w:r>
        <w:t>3）其他负债评估值的确定方法和结论。</w:t>
      </w:r>
    </w:p>
    <w:p w14:paraId="56AA51E0" w14:textId="77777777" w:rsidR="001E3DA8" w:rsidRDefault="001E3DA8" w:rsidP="001E3DA8">
      <w:pPr>
        <w:pStyle w:val="13"/>
      </w:pPr>
      <w:r>
        <w:rPr>
          <w:rFonts w:hint="eastAsia"/>
        </w:rPr>
        <w:t>（三）证券公司资产基础法评估技术说明编写内容指引</w:t>
      </w:r>
    </w:p>
    <w:p w14:paraId="5F13D2D1" w14:textId="77777777" w:rsidR="001E3DA8" w:rsidRDefault="001E3DA8" w:rsidP="001E3DA8">
      <w:pPr>
        <w:pStyle w:val="13"/>
      </w:pPr>
      <w:r>
        <w:rPr>
          <w:rFonts w:hint="eastAsia"/>
        </w:rPr>
        <w:t>证券公司部分科目的评估方法与银行相同，证券公司专用科目的评估技术说明编写内容指引如下。</w:t>
      </w:r>
    </w:p>
    <w:p w14:paraId="168B90F7" w14:textId="77777777" w:rsidR="001E3DA8" w:rsidRDefault="001E3DA8" w:rsidP="001E3DA8">
      <w:pPr>
        <w:pStyle w:val="13"/>
      </w:pPr>
      <w:r>
        <w:t>1、存出保证金</w:t>
      </w:r>
    </w:p>
    <w:p w14:paraId="034522EF" w14:textId="30557E25" w:rsidR="001E3DA8" w:rsidRDefault="001E3DA8" w:rsidP="001E3DA8">
      <w:pPr>
        <w:pStyle w:val="13"/>
      </w:pPr>
      <w:r>
        <w:rPr>
          <w:rFonts w:hint="eastAsia"/>
        </w:rPr>
        <w:t>（</w:t>
      </w:r>
      <w:r>
        <w:t>1）存出保证金类别。</w:t>
      </w:r>
    </w:p>
    <w:p w14:paraId="0E59DE14" w14:textId="5AD510FB" w:rsidR="001E3DA8" w:rsidRDefault="001E3DA8" w:rsidP="001E3DA8">
      <w:pPr>
        <w:pStyle w:val="13"/>
      </w:pPr>
      <w:r>
        <w:rPr>
          <w:rFonts w:hint="eastAsia"/>
        </w:rPr>
        <w:t>（</w:t>
      </w:r>
      <w:r>
        <w:t>2）存出保证金核实的方法和结论。</w:t>
      </w:r>
    </w:p>
    <w:p w14:paraId="28A96209" w14:textId="3AF94839" w:rsidR="001E3DA8" w:rsidRDefault="001E3DA8" w:rsidP="001E3DA8">
      <w:pPr>
        <w:pStyle w:val="13"/>
      </w:pPr>
      <w:r>
        <w:rPr>
          <w:rFonts w:hint="eastAsia"/>
        </w:rPr>
        <w:t>（</w:t>
      </w:r>
      <w:r>
        <w:t>3）存出保证金评估值的确定方法和结论。</w:t>
      </w:r>
    </w:p>
    <w:p w14:paraId="0522C9AA" w14:textId="77777777" w:rsidR="001E3DA8" w:rsidRDefault="001E3DA8" w:rsidP="001E3DA8">
      <w:pPr>
        <w:pStyle w:val="13"/>
      </w:pPr>
      <w:r>
        <w:t>2、结算备付金</w:t>
      </w:r>
    </w:p>
    <w:p w14:paraId="229F42CB" w14:textId="085480C9" w:rsidR="001E3DA8" w:rsidRDefault="001E3DA8" w:rsidP="001E3DA8">
      <w:pPr>
        <w:pStyle w:val="13"/>
      </w:pPr>
      <w:r>
        <w:rPr>
          <w:rFonts w:hint="eastAsia"/>
        </w:rPr>
        <w:t>（</w:t>
      </w:r>
      <w:r>
        <w:t>1）结算备付金的账面金额及明细分类。</w:t>
      </w:r>
    </w:p>
    <w:p w14:paraId="2FDC623B" w14:textId="2CDD5CD6" w:rsidR="001E3DA8" w:rsidRDefault="001E3DA8" w:rsidP="001E3DA8">
      <w:pPr>
        <w:pStyle w:val="13"/>
      </w:pPr>
      <w:r>
        <w:rPr>
          <w:rFonts w:hint="eastAsia"/>
        </w:rPr>
        <w:t>（</w:t>
      </w:r>
      <w:r>
        <w:t>2）结算备付金核实的方法和结论。</w:t>
      </w:r>
    </w:p>
    <w:p w14:paraId="34B148E0" w14:textId="433F51F6" w:rsidR="001E3DA8" w:rsidRDefault="001E3DA8" w:rsidP="001E3DA8">
      <w:pPr>
        <w:pStyle w:val="13"/>
      </w:pPr>
      <w:r>
        <w:rPr>
          <w:rFonts w:hint="eastAsia"/>
        </w:rPr>
        <w:t>（</w:t>
      </w:r>
      <w:r>
        <w:t>3）结算备付金评估值的确定方法和结论。</w:t>
      </w:r>
    </w:p>
    <w:p w14:paraId="1045923E" w14:textId="77777777" w:rsidR="001E3DA8" w:rsidRDefault="001E3DA8" w:rsidP="001E3DA8">
      <w:pPr>
        <w:pStyle w:val="13"/>
      </w:pPr>
      <w:r>
        <w:t>3、其他资产</w:t>
      </w:r>
    </w:p>
    <w:p w14:paraId="58081855" w14:textId="6F382A7F" w:rsidR="001E3DA8" w:rsidRDefault="001E3DA8" w:rsidP="001E3DA8">
      <w:pPr>
        <w:pStyle w:val="13"/>
      </w:pPr>
      <w:r>
        <w:rPr>
          <w:rFonts w:hint="eastAsia"/>
        </w:rPr>
        <w:t>（</w:t>
      </w:r>
      <w:r>
        <w:t>1）代理兑付证券、代理业务资产</w:t>
      </w:r>
    </w:p>
    <w:p w14:paraId="499A5D7B" w14:textId="58C34C10" w:rsidR="001E3DA8" w:rsidRDefault="001E3DA8" w:rsidP="001E3DA8">
      <w:pPr>
        <w:pStyle w:val="13"/>
      </w:pPr>
      <w:r>
        <w:t>1）代理兑付证券、代理业务资产相关合同情况。</w:t>
      </w:r>
    </w:p>
    <w:p w14:paraId="4201010A" w14:textId="5749DA74" w:rsidR="001E3DA8" w:rsidRDefault="001E3DA8" w:rsidP="001E3DA8">
      <w:pPr>
        <w:pStyle w:val="13"/>
      </w:pPr>
      <w:r>
        <w:t>2）代理兑付证券、代理业务资产核实的方法和结论。</w:t>
      </w:r>
    </w:p>
    <w:p w14:paraId="3B91AFCE" w14:textId="474E6969" w:rsidR="001E3DA8" w:rsidRDefault="001E3DA8" w:rsidP="001E3DA8">
      <w:pPr>
        <w:pStyle w:val="13"/>
      </w:pPr>
      <w:r>
        <w:t>3）代理兑付证券、代理业务资产评估值的确定方法和结论。</w:t>
      </w:r>
    </w:p>
    <w:p w14:paraId="5F123D23" w14:textId="262EAFBF" w:rsidR="001E3DA8" w:rsidRDefault="001E3DA8" w:rsidP="001E3DA8">
      <w:pPr>
        <w:pStyle w:val="13"/>
      </w:pPr>
      <w:r>
        <w:rPr>
          <w:rFonts w:hint="eastAsia"/>
        </w:rPr>
        <w:t>（</w:t>
      </w:r>
      <w:r>
        <w:t>2）上述资产以外的其他资产</w:t>
      </w:r>
    </w:p>
    <w:p w14:paraId="59C0569C" w14:textId="6818FA9E" w:rsidR="001E3DA8" w:rsidRDefault="001E3DA8" w:rsidP="001E3DA8">
      <w:pPr>
        <w:pStyle w:val="13"/>
      </w:pPr>
      <w:r>
        <w:t>1）其他资产的内容、种类及形成原因等。</w:t>
      </w:r>
    </w:p>
    <w:p w14:paraId="42C771EB" w14:textId="21535D23" w:rsidR="001E3DA8" w:rsidRDefault="001E3DA8" w:rsidP="001E3DA8">
      <w:pPr>
        <w:pStyle w:val="13"/>
      </w:pPr>
      <w:r>
        <w:t>2）其他资产核实的方法和结论。</w:t>
      </w:r>
    </w:p>
    <w:p w14:paraId="786A16A4" w14:textId="1628C41C" w:rsidR="001E3DA8" w:rsidRDefault="001E3DA8" w:rsidP="001E3DA8">
      <w:pPr>
        <w:pStyle w:val="13"/>
      </w:pPr>
      <w:r>
        <w:t>3）其他资产评估值的确定方法和结论。</w:t>
      </w:r>
    </w:p>
    <w:p w14:paraId="18F37C5B" w14:textId="77777777" w:rsidR="001E3DA8" w:rsidRDefault="001E3DA8" w:rsidP="001E3DA8">
      <w:pPr>
        <w:pStyle w:val="13"/>
      </w:pPr>
      <w:r>
        <w:t>4、代理买卖证券款、代理承销证券款</w:t>
      </w:r>
    </w:p>
    <w:p w14:paraId="4FF65C64" w14:textId="34F82915" w:rsidR="001E3DA8" w:rsidRDefault="001E3DA8" w:rsidP="001E3DA8">
      <w:pPr>
        <w:pStyle w:val="13"/>
      </w:pPr>
      <w:r>
        <w:rPr>
          <w:rFonts w:hint="eastAsia"/>
        </w:rPr>
        <w:t>（</w:t>
      </w:r>
      <w:r>
        <w:t>1）代理买卖证券款、代理承销证券款的资产类别。</w:t>
      </w:r>
    </w:p>
    <w:p w14:paraId="39433E0C" w14:textId="2F4CEC56" w:rsidR="001E3DA8" w:rsidRDefault="001E3DA8" w:rsidP="001E3DA8">
      <w:pPr>
        <w:pStyle w:val="13"/>
      </w:pPr>
      <w:r>
        <w:rPr>
          <w:rFonts w:hint="eastAsia"/>
        </w:rPr>
        <w:t>（</w:t>
      </w:r>
      <w:r>
        <w:t>2）代理买卖证券款、代理承销证券款核实的方法和结论。</w:t>
      </w:r>
    </w:p>
    <w:p w14:paraId="63B02467" w14:textId="351373B0" w:rsidR="001E3DA8" w:rsidRDefault="001E3DA8" w:rsidP="001E3DA8">
      <w:pPr>
        <w:pStyle w:val="13"/>
      </w:pPr>
      <w:r>
        <w:rPr>
          <w:rFonts w:hint="eastAsia"/>
        </w:rPr>
        <w:t>（</w:t>
      </w:r>
      <w:r>
        <w:t>3）代理买卖证券款、代理承销证券款评估值的确定方法和结论。</w:t>
      </w:r>
    </w:p>
    <w:p w14:paraId="77717FA5" w14:textId="77777777" w:rsidR="001E3DA8" w:rsidRDefault="001E3DA8" w:rsidP="001E3DA8">
      <w:pPr>
        <w:pStyle w:val="13"/>
      </w:pPr>
      <w:r>
        <w:t>5、其他负债</w:t>
      </w:r>
    </w:p>
    <w:p w14:paraId="583AE349" w14:textId="4649F59D" w:rsidR="001E3DA8" w:rsidRDefault="001E3DA8" w:rsidP="001E3DA8">
      <w:pPr>
        <w:pStyle w:val="13"/>
      </w:pPr>
      <w:r>
        <w:rPr>
          <w:rFonts w:hint="eastAsia"/>
        </w:rPr>
        <w:lastRenderedPageBreak/>
        <w:t>（</w:t>
      </w:r>
      <w:r>
        <w:t>1）代理兑付证券款、代理业务负债</w:t>
      </w:r>
    </w:p>
    <w:p w14:paraId="662E5B95" w14:textId="1E60573D" w:rsidR="001E3DA8" w:rsidRDefault="001E3DA8" w:rsidP="001E3DA8">
      <w:pPr>
        <w:pStyle w:val="13"/>
      </w:pPr>
      <w:r>
        <w:t>1）代理兑付证券款、代理业务负债资产类别。</w:t>
      </w:r>
    </w:p>
    <w:p w14:paraId="1B7C4AD5" w14:textId="70FF7269" w:rsidR="001E3DA8" w:rsidRDefault="001E3DA8" w:rsidP="001E3DA8">
      <w:pPr>
        <w:pStyle w:val="13"/>
      </w:pPr>
      <w:r>
        <w:t>2）代理兑付证券款、代理业务负债核实的方法和结论。</w:t>
      </w:r>
    </w:p>
    <w:p w14:paraId="0A4F8FD8" w14:textId="12D50947" w:rsidR="001E3DA8" w:rsidRDefault="001E3DA8" w:rsidP="001E3DA8">
      <w:pPr>
        <w:pStyle w:val="13"/>
      </w:pPr>
      <w:r>
        <w:t>3）代理兑付证券款、代理业务负债评估值的确定方法和结论。</w:t>
      </w:r>
    </w:p>
    <w:p w14:paraId="294E095E" w14:textId="11D1A843" w:rsidR="001E3DA8" w:rsidRDefault="001E3DA8" w:rsidP="001E3DA8">
      <w:pPr>
        <w:pStyle w:val="13"/>
      </w:pPr>
      <w:r>
        <w:rPr>
          <w:rFonts w:hint="eastAsia"/>
        </w:rPr>
        <w:t>（</w:t>
      </w:r>
      <w:r>
        <w:t>2）上述负债以外的其他负债</w:t>
      </w:r>
    </w:p>
    <w:p w14:paraId="31CA21F5" w14:textId="3330C00C" w:rsidR="001E3DA8" w:rsidRDefault="001E3DA8" w:rsidP="001E3DA8">
      <w:pPr>
        <w:pStyle w:val="13"/>
      </w:pPr>
      <w:r>
        <w:t>1）其他负债的内容、种类及形成原因等。</w:t>
      </w:r>
    </w:p>
    <w:p w14:paraId="3285806F" w14:textId="70445E8E" w:rsidR="001E3DA8" w:rsidRDefault="001E3DA8" w:rsidP="001E3DA8">
      <w:pPr>
        <w:pStyle w:val="13"/>
      </w:pPr>
      <w:r>
        <w:t>2）其他负债核实的方法和结论。</w:t>
      </w:r>
    </w:p>
    <w:p w14:paraId="63EFDEE3" w14:textId="77777777" w:rsidR="00BD5D02" w:rsidRDefault="001E3DA8" w:rsidP="001E3DA8">
      <w:pPr>
        <w:pStyle w:val="13"/>
      </w:pPr>
      <w:r>
        <w:t>3）其他负债评估值的确定方法和结论。</w:t>
      </w:r>
    </w:p>
    <w:p w14:paraId="469CE04A" w14:textId="01CB00F1" w:rsidR="001E3DA8" w:rsidRDefault="001E3DA8" w:rsidP="001E3DA8">
      <w:pPr>
        <w:pStyle w:val="13"/>
      </w:pPr>
      <w:r>
        <w:t>四、收益法评估技术说明</w:t>
      </w:r>
    </w:p>
    <w:p w14:paraId="0B55590B" w14:textId="77777777" w:rsidR="001E3DA8" w:rsidRDefault="001E3DA8" w:rsidP="001E3DA8">
      <w:pPr>
        <w:pStyle w:val="13"/>
      </w:pPr>
      <w:r>
        <w:rPr>
          <w:rFonts w:hint="eastAsia"/>
        </w:rPr>
        <w:t>采用收益法进行企业价值评估，应当根据行业特点、企业经营方式和所确定的预期收益口径以及评估的其他具体情况等，确定评估技术说明的编写内容，一般编写内容指引如下。</w:t>
      </w:r>
    </w:p>
    <w:p w14:paraId="5FD306B1" w14:textId="77777777" w:rsidR="001E3DA8" w:rsidRDefault="001E3DA8" w:rsidP="001E3DA8">
      <w:pPr>
        <w:pStyle w:val="13"/>
      </w:pPr>
      <w:r>
        <w:rPr>
          <w:rFonts w:hint="eastAsia"/>
        </w:rPr>
        <w:t>（一）说明评估对象，即企业整体价值、股东全部权益和股东部分权益。</w:t>
      </w:r>
    </w:p>
    <w:p w14:paraId="3DB48EE4" w14:textId="77777777" w:rsidR="001E3DA8" w:rsidRDefault="001E3DA8" w:rsidP="001E3DA8">
      <w:pPr>
        <w:pStyle w:val="13"/>
      </w:pPr>
      <w:r>
        <w:rPr>
          <w:rFonts w:hint="eastAsia"/>
        </w:rPr>
        <w:t>（二）收益法的应用前提及选择的理由和依据</w:t>
      </w:r>
    </w:p>
    <w:p w14:paraId="52DA8B75" w14:textId="77777777" w:rsidR="001E3DA8" w:rsidRDefault="001E3DA8" w:rsidP="001E3DA8">
      <w:pPr>
        <w:pStyle w:val="13"/>
      </w:pPr>
      <w:r>
        <w:t>1、收益法的定义和原理。</w:t>
      </w:r>
    </w:p>
    <w:p w14:paraId="2524DE0C" w14:textId="77777777" w:rsidR="001E3DA8" w:rsidRDefault="001E3DA8" w:rsidP="001E3DA8">
      <w:pPr>
        <w:pStyle w:val="13"/>
      </w:pPr>
      <w:r>
        <w:t>2、收益法的应用前提。</w:t>
      </w:r>
    </w:p>
    <w:p w14:paraId="12674456" w14:textId="77777777" w:rsidR="001E3DA8" w:rsidRDefault="001E3DA8" w:rsidP="001E3DA8">
      <w:pPr>
        <w:pStyle w:val="13"/>
      </w:pPr>
      <w:r>
        <w:t>3、收益法选择的理由和依据。</w:t>
      </w:r>
    </w:p>
    <w:p w14:paraId="1EB53FC8" w14:textId="77777777" w:rsidR="001E3DA8" w:rsidRDefault="001E3DA8" w:rsidP="001E3DA8">
      <w:pPr>
        <w:pStyle w:val="13"/>
      </w:pPr>
      <w:r>
        <w:rPr>
          <w:rFonts w:hint="eastAsia"/>
        </w:rPr>
        <w:t>（三）收益预测的假设条件</w:t>
      </w:r>
    </w:p>
    <w:p w14:paraId="2A5C9966" w14:textId="77777777" w:rsidR="001E3DA8" w:rsidRDefault="001E3DA8" w:rsidP="001E3DA8">
      <w:pPr>
        <w:pStyle w:val="13"/>
      </w:pPr>
      <w:r>
        <w:rPr>
          <w:rFonts w:hint="eastAsia"/>
        </w:rPr>
        <w:t>收益预测的假设条件应当结合评估业务的具体情况确定。一般包括：</w:t>
      </w:r>
    </w:p>
    <w:p w14:paraId="3D75AB4E" w14:textId="77777777" w:rsidR="001E3DA8" w:rsidRDefault="001E3DA8" w:rsidP="001E3DA8">
      <w:pPr>
        <w:pStyle w:val="13"/>
      </w:pPr>
      <w:r>
        <w:t>1、针对评估基准</w:t>
      </w:r>
      <w:proofErr w:type="gramStart"/>
      <w:r>
        <w:t>日资产</w:t>
      </w:r>
      <w:proofErr w:type="gramEnd"/>
      <w:r>
        <w:t>的实际状况，假设企业持续经营。</w:t>
      </w:r>
    </w:p>
    <w:p w14:paraId="6639B397" w14:textId="77777777" w:rsidR="001E3DA8" w:rsidRDefault="001E3DA8" w:rsidP="001E3DA8">
      <w:pPr>
        <w:pStyle w:val="13"/>
      </w:pPr>
      <w:r>
        <w:t>2、假设公司的经营者是负责的，并且公司管理层有能力担当其职务。</w:t>
      </w:r>
    </w:p>
    <w:p w14:paraId="4EAB830B" w14:textId="77777777" w:rsidR="001E3DA8" w:rsidRDefault="001E3DA8" w:rsidP="001E3DA8">
      <w:pPr>
        <w:pStyle w:val="13"/>
      </w:pPr>
      <w:r>
        <w:t>3、除非另有说明，假设公司完全遵守所有有关的法律法规。</w:t>
      </w:r>
    </w:p>
    <w:p w14:paraId="24CF1903" w14:textId="77777777" w:rsidR="001E3DA8" w:rsidRDefault="001E3DA8" w:rsidP="001E3DA8">
      <w:pPr>
        <w:pStyle w:val="13"/>
      </w:pPr>
      <w:r>
        <w:t>4、假设公司未来将采取的会计政策和编写此份报告时所采用的会计政策在重要方面基本一致。</w:t>
      </w:r>
    </w:p>
    <w:p w14:paraId="37FF3DAA" w14:textId="77777777" w:rsidR="001E3DA8" w:rsidRDefault="001E3DA8" w:rsidP="001E3DA8">
      <w:pPr>
        <w:pStyle w:val="13"/>
      </w:pPr>
      <w:r>
        <w:t>5、无其他人力不可抗拒因素及不可预见因素对企业造成重大不利影响。根据评估的要求，认定这些假设条件在评估基准日时成立，当未来经济环境发生较大变化时，将不承担由于假设条件改变而推导出不同评估结论的责任。</w:t>
      </w:r>
    </w:p>
    <w:p w14:paraId="55ED77BA" w14:textId="77777777" w:rsidR="001E3DA8" w:rsidRDefault="001E3DA8" w:rsidP="001E3DA8">
      <w:pPr>
        <w:pStyle w:val="13"/>
      </w:pPr>
      <w:r>
        <w:rPr>
          <w:rFonts w:hint="eastAsia"/>
        </w:rPr>
        <w:t>（四）企业经营、资产、财务分析</w:t>
      </w:r>
    </w:p>
    <w:p w14:paraId="1216F3AA" w14:textId="77777777" w:rsidR="001E3DA8" w:rsidRDefault="001E3DA8" w:rsidP="001E3DA8">
      <w:pPr>
        <w:pStyle w:val="13"/>
      </w:pPr>
      <w:r>
        <w:t>1、被评估单位所在行业状况及发展前景，国家货币政策及对金融行业主要监管政策分析。</w:t>
      </w:r>
    </w:p>
    <w:p w14:paraId="158E731D" w14:textId="77777777" w:rsidR="001E3DA8" w:rsidRDefault="001E3DA8" w:rsidP="001E3DA8">
      <w:pPr>
        <w:pStyle w:val="13"/>
      </w:pPr>
      <w:r>
        <w:t>2、企业内部管理制度、人力资源、核心技术、研发状况、销售网络、特许经营权、管理层构成等经营管理状况分析。</w:t>
      </w:r>
    </w:p>
    <w:p w14:paraId="14E2D569" w14:textId="77777777" w:rsidR="001E3DA8" w:rsidRDefault="001E3DA8" w:rsidP="001E3DA8">
      <w:pPr>
        <w:pStyle w:val="13"/>
      </w:pPr>
      <w:r>
        <w:t>3、企业历史年度财务分析。一般包括收入、支出分析，资金运用方式、盈利能力、营运能力分析以及成长性分析等。</w:t>
      </w:r>
    </w:p>
    <w:p w14:paraId="5D21E79F" w14:textId="77777777" w:rsidR="001E3DA8" w:rsidRDefault="001E3DA8" w:rsidP="001E3DA8">
      <w:pPr>
        <w:pStyle w:val="13"/>
      </w:pPr>
      <w:r>
        <w:rPr>
          <w:rFonts w:hint="eastAsia"/>
        </w:rPr>
        <w:lastRenderedPageBreak/>
        <w:t>针对经营业务内容不同，不同种类的金融企业历史年度经营状况应当重点介绍以下内容，如：</w:t>
      </w:r>
    </w:p>
    <w:p w14:paraId="78BFADBA" w14:textId="77777777" w:rsidR="001E3DA8" w:rsidRDefault="001E3DA8" w:rsidP="001E3DA8">
      <w:pPr>
        <w:pStyle w:val="13"/>
      </w:pPr>
      <w:r>
        <w:rPr>
          <w:rFonts w:hint="eastAsia"/>
        </w:rPr>
        <w:t>银行的经营状况应当重点说明利率与汇率变化趋势、信贷市场规模、各类业务的市场占有率等历史情况。</w:t>
      </w:r>
    </w:p>
    <w:p w14:paraId="6E63B4F4" w14:textId="75298BA8" w:rsidR="001E3DA8" w:rsidRDefault="001E3DA8" w:rsidP="00BD5D02">
      <w:pPr>
        <w:pStyle w:val="13"/>
      </w:pPr>
      <w:r>
        <w:rPr>
          <w:rFonts w:hint="eastAsia"/>
        </w:rPr>
        <w:t>保险公司的经营状况应当重点说明保险品种规模、各类业务的市场占有率等历史情况。</w:t>
      </w:r>
    </w:p>
    <w:p w14:paraId="1EA2E6FA" w14:textId="55DFB260" w:rsidR="001E3DA8" w:rsidRDefault="001E3DA8" w:rsidP="00BD5D02">
      <w:pPr>
        <w:pStyle w:val="13"/>
      </w:pPr>
      <w:r>
        <w:rPr>
          <w:rFonts w:hint="eastAsia"/>
        </w:rPr>
        <w:t>证券公司的经营状况应当重点说明证券市场规模、各类业务的市场占有率等历史情况。</w:t>
      </w:r>
    </w:p>
    <w:p w14:paraId="6A83B73F" w14:textId="77777777" w:rsidR="001E3DA8" w:rsidRDefault="001E3DA8" w:rsidP="001E3DA8">
      <w:pPr>
        <w:pStyle w:val="13"/>
      </w:pPr>
      <w:r>
        <w:t>4、经营性资产、非经营性资产、溢</w:t>
      </w:r>
      <w:proofErr w:type="gramStart"/>
      <w:r>
        <w:t>余资产</w:t>
      </w:r>
      <w:proofErr w:type="gramEnd"/>
      <w:r>
        <w:t>分析。</w:t>
      </w:r>
    </w:p>
    <w:p w14:paraId="5A19CF17" w14:textId="77777777" w:rsidR="001E3DA8" w:rsidRDefault="001E3DA8" w:rsidP="001E3DA8">
      <w:pPr>
        <w:pStyle w:val="13"/>
      </w:pPr>
      <w:r>
        <w:rPr>
          <w:rFonts w:hint="eastAsia"/>
        </w:rPr>
        <w:t>（五）评估计算及分析过程</w:t>
      </w:r>
    </w:p>
    <w:p w14:paraId="2B2A9214" w14:textId="77777777" w:rsidR="001E3DA8" w:rsidRDefault="001E3DA8" w:rsidP="001E3DA8">
      <w:pPr>
        <w:pStyle w:val="13"/>
      </w:pPr>
      <w:r>
        <w:rPr>
          <w:rFonts w:hint="eastAsia"/>
        </w:rPr>
        <w:t>评估计算及分析过程需要对收益法评估表进行详细解释。</w:t>
      </w:r>
    </w:p>
    <w:p w14:paraId="1B32D240" w14:textId="77777777" w:rsidR="001E3DA8" w:rsidRDefault="001E3DA8" w:rsidP="001E3DA8">
      <w:pPr>
        <w:pStyle w:val="13"/>
      </w:pPr>
      <w:r>
        <w:t>1、收益模型的选取</w:t>
      </w:r>
    </w:p>
    <w:p w14:paraId="07B89195" w14:textId="49FB4112" w:rsidR="001E3DA8" w:rsidRDefault="001E3DA8" w:rsidP="001E3DA8">
      <w:pPr>
        <w:pStyle w:val="13"/>
      </w:pPr>
      <w:r>
        <w:rPr>
          <w:rFonts w:hint="eastAsia"/>
        </w:rPr>
        <w:t>（</w:t>
      </w:r>
      <w:r>
        <w:t>1）选取收益法的具体测算方法及模型。</w:t>
      </w:r>
    </w:p>
    <w:p w14:paraId="4EB5BAAC" w14:textId="46FC1DEA" w:rsidR="001E3DA8" w:rsidRDefault="001E3DA8" w:rsidP="001E3DA8">
      <w:pPr>
        <w:pStyle w:val="13"/>
      </w:pPr>
      <w:r>
        <w:rPr>
          <w:rFonts w:hint="eastAsia"/>
        </w:rPr>
        <w:t>（</w:t>
      </w:r>
      <w:r>
        <w:t>2）列示计算公式并对参数进行解释与说明。</w:t>
      </w:r>
    </w:p>
    <w:p w14:paraId="2CC74582" w14:textId="77777777" w:rsidR="001E3DA8" w:rsidRDefault="001E3DA8" w:rsidP="001E3DA8">
      <w:pPr>
        <w:pStyle w:val="13"/>
      </w:pPr>
      <w:r>
        <w:t>2、收益年限的确定</w:t>
      </w:r>
    </w:p>
    <w:p w14:paraId="73C24AB7" w14:textId="77777777" w:rsidR="001E3DA8" w:rsidRDefault="001E3DA8" w:rsidP="001E3DA8">
      <w:pPr>
        <w:pStyle w:val="13"/>
      </w:pPr>
      <w:r>
        <w:rPr>
          <w:rFonts w:hint="eastAsia"/>
        </w:rPr>
        <w:t>确定收益年限并说明其理由。</w:t>
      </w:r>
    </w:p>
    <w:p w14:paraId="7FB93B0C" w14:textId="77777777" w:rsidR="001E3DA8" w:rsidRDefault="001E3DA8" w:rsidP="001E3DA8">
      <w:pPr>
        <w:pStyle w:val="13"/>
      </w:pPr>
      <w:r>
        <w:t>3、未来收益的确定</w:t>
      </w:r>
    </w:p>
    <w:p w14:paraId="36B0B1A8" w14:textId="228D7326" w:rsidR="001E3DA8" w:rsidRDefault="001E3DA8" w:rsidP="00BD5D02">
      <w:pPr>
        <w:pStyle w:val="13"/>
      </w:pPr>
      <w:r>
        <w:rPr>
          <w:rFonts w:hint="eastAsia"/>
        </w:rPr>
        <w:t>未来收益的确定一般包括以下主要项目的预测，收入、成本费用等项目的名称及具体内容应当根据企业的实际经营情况确定。</w:t>
      </w:r>
    </w:p>
    <w:p w14:paraId="339C525F" w14:textId="511473B2" w:rsidR="001E3DA8" w:rsidRDefault="001E3DA8" w:rsidP="001E3DA8">
      <w:pPr>
        <w:pStyle w:val="13"/>
      </w:pPr>
      <w:r>
        <w:rPr>
          <w:rFonts w:hint="eastAsia"/>
        </w:rPr>
        <w:t>（</w:t>
      </w:r>
      <w:r>
        <w:t>1）经营模式与收益主体、口径的相关性。</w:t>
      </w:r>
    </w:p>
    <w:p w14:paraId="0F10E646" w14:textId="18A75DC4" w:rsidR="001E3DA8" w:rsidRDefault="001E3DA8" w:rsidP="001E3DA8">
      <w:pPr>
        <w:pStyle w:val="13"/>
      </w:pPr>
      <w:r>
        <w:rPr>
          <w:rFonts w:hint="eastAsia"/>
        </w:rPr>
        <w:t>（</w:t>
      </w:r>
      <w:r>
        <w:t>2）收入的预测。</w:t>
      </w:r>
    </w:p>
    <w:p w14:paraId="165EC427" w14:textId="67C4E378" w:rsidR="001E3DA8" w:rsidRDefault="001E3DA8" w:rsidP="001E3DA8">
      <w:pPr>
        <w:pStyle w:val="13"/>
      </w:pPr>
      <w:r>
        <w:t>1）营业收入的预测。通常包括区域经济发展与市场环境、业内竞争情况与企业对策、公司的营业收入及构成分析和营业收入的预测。</w:t>
      </w:r>
    </w:p>
    <w:p w14:paraId="4C97D2E6" w14:textId="07576670" w:rsidR="001E3DA8" w:rsidRDefault="001E3DA8" w:rsidP="001E3DA8">
      <w:pPr>
        <w:pStyle w:val="13"/>
      </w:pPr>
      <w:r>
        <w:t>2）资金运用收益预测及依据。</w:t>
      </w:r>
    </w:p>
    <w:p w14:paraId="7782AD60" w14:textId="3F01831F" w:rsidR="001E3DA8" w:rsidRDefault="001E3DA8" w:rsidP="001E3DA8">
      <w:pPr>
        <w:pStyle w:val="13"/>
      </w:pPr>
      <w:r>
        <w:t>3）公允价值变动收益预测。</w:t>
      </w:r>
    </w:p>
    <w:p w14:paraId="6B422453" w14:textId="38100B16" w:rsidR="001E3DA8" w:rsidRDefault="001E3DA8" w:rsidP="001E3DA8">
      <w:pPr>
        <w:pStyle w:val="13"/>
      </w:pPr>
      <w:r>
        <w:t>4）汇兑收益预测。</w:t>
      </w:r>
    </w:p>
    <w:p w14:paraId="63786615" w14:textId="5A862820" w:rsidR="001E3DA8" w:rsidRDefault="001E3DA8" w:rsidP="001E3DA8">
      <w:pPr>
        <w:pStyle w:val="13"/>
      </w:pPr>
      <w:r>
        <w:t>5）其他业务收入预测。</w:t>
      </w:r>
    </w:p>
    <w:p w14:paraId="1CF11D0E" w14:textId="67BE4B5C" w:rsidR="001E3DA8" w:rsidRDefault="001E3DA8" w:rsidP="001E3DA8">
      <w:pPr>
        <w:pStyle w:val="13"/>
      </w:pPr>
      <w:r>
        <w:rPr>
          <w:rFonts w:hint="eastAsia"/>
        </w:rPr>
        <w:t>（</w:t>
      </w:r>
      <w:r>
        <w:t>3）支出的预测</w:t>
      </w:r>
    </w:p>
    <w:p w14:paraId="68F46B5D" w14:textId="0A5DEC4E" w:rsidR="001E3DA8" w:rsidRDefault="001E3DA8" w:rsidP="001E3DA8">
      <w:pPr>
        <w:pStyle w:val="13"/>
      </w:pPr>
      <w:r>
        <w:t>1）营业税金及附加的估算。</w:t>
      </w:r>
    </w:p>
    <w:p w14:paraId="03C7C15B" w14:textId="503F24AE" w:rsidR="001E3DA8" w:rsidRDefault="001E3DA8" w:rsidP="001E3DA8">
      <w:pPr>
        <w:pStyle w:val="13"/>
      </w:pPr>
      <w:r>
        <w:t>2）业务及管理费用的预测。</w:t>
      </w:r>
    </w:p>
    <w:p w14:paraId="2151691F" w14:textId="216F17D5" w:rsidR="001E3DA8" w:rsidRDefault="001E3DA8" w:rsidP="001E3DA8">
      <w:pPr>
        <w:pStyle w:val="13"/>
      </w:pPr>
      <w:r>
        <w:t>3）资产减值损失的预测。</w:t>
      </w:r>
    </w:p>
    <w:p w14:paraId="4B3A926B" w14:textId="3DF1FA14" w:rsidR="001E3DA8" w:rsidRDefault="001E3DA8" w:rsidP="001E3DA8">
      <w:pPr>
        <w:pStyle w:val="13"/>
      </w:pPr>
      <w:r>
        <w:t>4）其他业务成本预测。</w:t>
      </w:r>
    </w:p>
    <w:p w14:paraId="210FE9A4" w14:textId="0713B7D9" w:rsidR="001E3DA8" w:rsidRDefault="001E3DA8" w:rsidP="001E3DA8">
      <w:pPr>
        <w:pStyle w:val="13"/>
      </w:pPr>
      <w:r>
        <w:rPr>
          <w:rFonts w:hint="eastAsia"/>
        </w:rPr>
        <w:t>（</w:t>
      </w:r>
      <w:r>
        <w:t>4）折旧与摊销的预测。</w:t>
      </w:r>
    </w:p>
    <w:p w14:paraId="7A82F917" w14:textId="1A80A67F" w:rsidR="001E3DA8" w:rsidRDefault="001E3DA8" w:rsidP="001E3DA8">
      <w:pPr>
        <w:pStyle w:val="13"/>
      </w:pPr>
      <w:r>
        <w:rPr>
          <w:rFonts w:hint="eastAsia"/>
        </w:rPr>
        <w:t>（</w:t>
      </w:r>
      <w:r>
        <w:t>5）追加投资预测。</w:t>
      </w:r>
    </w:p>
    <w:p w14:paraId="2C430A56" w14:textId="77777777" w:rsidR="001E3DA8" w:rsidRDefault="001E3DA8" w:rsidP="001E3DA8">
      <w:pPr>
        <w:pStyle w:val="13"/>
      </w:pPr>
      <w:r>
        <w:lastRenderedPageBreak/>
        <w:t>4、折现率的确定</w:t>
      </w:r>
    </w:p>
    <w:p w14:paraId="22F03FC3" w14:textId="5480257C" w:rsidR="001E3DA8" w:rsidRDefault="001E3DA8" w:rsidP="001E3DA8">
      <w:pPr>
        <w:pStyle w:val="13"/>
      </w:pPr>
      <w:r>
        <w:rPr>
          <w:rFonts w:hint="eastAsia"/>
        </w:rPr>
        <w:t>（</w:t>
      </w:r>
      <w:r>
        <w:t>1）所选折现率的模型。</w:t>
      </w:r>
    </w:p>
    <w:p w14:paraId="75CAF05B" w14:textId="532AED99" w:rsidR="001E3DA8" w:rsidRDefault="001E3DA8" w:rsidP="001E3DA8">
      <w:pPr>
        <w:pStyle w:val="13"/>
      </w:pPr>
      <w:r>
        <w:rPr>
          <w:rFonts w:hint="eastAsia"/>
        </w:rPr>
        <w:t>（</w:t>
      </w:r>
      <w:r>
        <w:t>2）模型中有关参数的选取过程。</w:t>
      </w:r>
    </w:p>
    <w:p w14:paraId="0573CF12" w14:textId="77777777" w:rsidR="001E3DA8" w:rsidRDefault="001E3DA8" w:rsidP="001E3DA8">
      <w:pPr>
        <w:pStyle w:val="13"/>
      </w:pPr>
      <w:r>
        <w:rPr>
          <w:rFonts w:hint="eastAsia"/>
        </w:rPr>
        <w:t>例如：无风险报酬率选取依据及过程、市场收益率选取依据及过程、</w:t>
      </w:r>
      <w:r>
        <w:t>Beta（贝塔） 系数的测算。</w:t>
      </w:r>
    </w:p>
    <w:p w14:paraId="46DB8A54" w14:textId="77777777" w:rsidR="001E3DA8" w:rsidRDefault="001E3DA8" w:rsidP="001E3DA8">
      <w:pPr>
        <w:pStyle w:val="13"/>
      </w:pPr>
      <w:r>
        <w:rPr>
          <w:rFonts w:hint="eastAsia"/>
        </w:rPr>
        <w:t>（六）收益法说明应当体现主要业务的预测过程，如：</w:t>
      </w:r>
    </w:p>
    <w:p w14:paraId="6F569978" w14:textId="77777777" w:rsidR="001E3DA8" w:rsidRDefault="001E3DA8" w:rsidP="001E3DA8">
      <w:pPr>
        <w:pStyle w:val="13"/>
      </w:pPr>
      <w:r>
        <w:t>1、银行的收益法说明应当披露信贷业务、投资业务、中间业务等重要业务收益参数的预测过程。</w:t>
      </w:r>
    </w:p>
    <w:p w14:paraId="0FE0F104" w14:textId="200E246E" w:rsidR="001E3DA8" w:rsidRDefault="001E3DA8" w:rsidP="00BD5D02">
      <w:pPr>
        <w:pStyle w:val="13"/>
      </w:pPr>
      <w:r>
        <w:t>2、保险公司的收益法说明应当披露保费收入、投资收益、各项保险准备金计提等重要项目收益参数预测过程，寿险公司应当披露评估选取参数与精算报告相关参数的适配</w:t>
      </w:r>
      <w:r>
        <w:rPr>
          <w:rFonts w:hint="eastAsia"/>
        </w:rPr>
        <w:t>性。</w:t>
      </w:r>
    </w:p>
    <w:p w14:paraId="7A156B90" w14:textId="599844C9" w:rsidR="001E3DA8" w:rsidRDefault="001E3DA8" w:rsidP="00BD5D02">
      <w:pPr>
        <w:pStyle w:val="13"/>
      </w:pPr>
      <w:r>
        <w:t>3、证券公司的收益法说明应当披露证券市场周期对企业经营的影响分析，应当详</w:t>
      </w:r>
      <w:r>
        <w:rPr>
          <w:rFonts w:hint="eastAsia"/>
        </w:rPr>
        <w:t>细披露经纪业务、承销业务及自营业务等不同业务板块的收益参数预测过程。</w:t>
      </w:r>
    </w:p>
    <w:p w14:paraId="16EBB28D" w14:textId="4193AF08" w:rsidR="001E3DA8" w:rsidRDefault="001E3DA8" w:rsidP="00BD5D02">
      <w:pPr>
        <w:pStyle w:val="13"/>
      </w:pPr>
      <w:r>
        <w:rPr>
          <w:rFonts w:hint="eastAsia"/>
        </w:rPr>
        <w:t>（七）企业执行国家有关部门制定的行业监管指标情况，并披露其对企业价值的影响。</w:t>
      </w:r>
    </w:p>
    <w:p w14:paraId="6B2D7E79" w14:textId="77777777" w:rsidR="001E3DA8" w:rsidRDefault="001E3DA8" w:rsidP="001E3DA8">
      <w:pPr>
        <w:pStyle w:val="13"/>
      </w:pPr>
      <w:r>
        <w:rPr>
          <w:rFonts w:hint="eastAsia"/>
        </w:rPr>
        <w:t>（八）评估值测算过程与结论</w:t>
      </w:r>
    </w:p>
    <w:p w14:paraId="4B59CB16" w14:textId="77777777" w:rsidR="001E3DA8" w:rsidRDefault="001E3DA8" w:rsidP="001E3DA8">
      <w:pPr>
        <w:pStyle w:val="13"/>
      </w:pPr>
      <w:r>
        <w:t>1、列表说明公式中的各参数以及测算过程。</w:t>
      </w:r>
    </w:p>
    <w:p w14:paraId="4ED0F0D2" w14:textId="77777777" w:rsidR="001E3DA8" w:rsidRDefault="001E3DA8" w:rsidP="001E3DA8">
      <w:pPr>
        <w:pStyle w:val="13"/>
      </w:pPr>
      <w:r>
        <w:t>2、终值的估算。</w:t>
      </w:r>
    </w:p>
    <w:p w14:paraId="40B37C5C" w14:textId="77777777" w:rsidR="001E3DA8" w:rsidRDefault="001E3DA8" w:rsidP="001E3DA8">
      <w:pPr>
        <w:pStyle w:val="13"/>
      </w:pPr>
      <w:r>
        <w:t>3、评估结论。</w:t>
      </w:r>
    </w:p>
    <w:p w14:paraId="40B6A79E" w14:textId="77777777" w:rsidR="001E3DA8" w:rsidRDefault="001E3DA8" w:rsidP="001E3DA8">
      <w:pPr>
        <w:pStyle w:val="13"/>
      </w:pPr>
      <w:r>
        <w:rPr>
          <w:rFonts w:hint="eastAsia"/>
        </w:rPr>
        <w:t>（九）其他资产和负债（如非经营性资产）的评估价值</w:t>
      </w:r>
    </w:p>
    <w:p w14:paraId="3A493C34" w14:textId="77777777" w:rsidR="001E3DA8" w:rsidRDefault="001E3DA8" w:rsidP="001E3DA8">
      <w:pPr>
        <w:pStyle w:val="13"/>
      </w:pPr>
      <w:r>
        <w:t>1、评估的资产和负债类型。</w:t>
      </w:r>
    </w:p>
    <w:p w14:paraId="26976EA2" w14:textId="77777777" w:rsidR="001E3DA8" w:rsidRDefault="001E3DA8" w:rsidP="001E3DA8">
      <w:pPr>
        <w:pStyle w:val="13"/>
      </w:pPr>
      <w:r>
        <w:t>2、评估方法。</w:t>
      </w:r>
    </w:p>
    <w:p w14:paraId="1A7C0B3B" w14:textId="77777777" w:rsidR="001E3DA8" w:rsidRDefault="001E3DA8" w:rsidP="001E3DA8">
      <w:pPr>
        <w:pStyle w:val="13"/>
      </w:pPr>
      <w:r>
        <w:t>3、评估结论。</w:t>
      </w:r>
    </w:p>
    <w:p w14:paraId="23C789C3" w14:textId="77777777" w:rsidR="001E3DA8" w:rsidRDefault="001E3DA8" w:rsidP="001E3DA8">
      <w:pPr>
        <w:pStyle w:val="13"/>
      </w:pPr>
      <w:r>
        <w:rPr>
          <w:rFonts w:hint="eastAsia"/>
        </w:rPr>
        <w:t>（十）评估结论</w:t>
      </w:r>
    </w:p>
    <w:p w14:paraId="38FCC193" w14:textId="77777777" w:rsidR="001E3DA8" w:rsidRDefault="001E3DA8" w:rsidP="001E3DA8">
      <w:pPr>
        <w:pStyle w:val="13"/>
      </w:pPr>
      <w:r>
        <w:rPr>
          <w:rFonts w:hint="eastAsia"/>
        </w:rPr>
        <w:t>（十一）收益法评估明细表</w:t>
      </w:r>
    </w:p>
    <w:p w14:paraId="539B0608" w14:textId="77777777" w:rsidR="001E3DA8" w:rsidRDefault="001E3DA8" w:rsidP="001E3DA8">
      <w:pPr>
        <w:pStyle w:val="13"/>
      </w:pPr>
      <w:r>
        <w:rPr>
          <w:rFonts w:hint="eastAsia"/>
        </w:rPr>
        <w:t>采用收益法进行企业价值评估，应当编制必要的收益法评估明细表。明细表中的数据应当与资产评估报告相应内容一致。</w:t>
      </w:r>
    </w:p>
    <w:p w14:paraId="7A84748F" w14:textId="59AEA1D8" w:rsidR="001E3DA8" w:rsidRDefault="001E3DA8" w:rsidP="00BD5D02">
      <w:pPr>
        <w:pStyle w:val="13"/>
      </w:pPr>
      <w:r>
        <w:rPr>
          <w:rFonts w:hint="eastAsia"/>
        </w:rPr>
        <w:t>不同类型的金融企业业务模式不同，适用的收益法评估表也有所区别。采用股权自由现金流折现模型，通常编制财务报表调整表（如有）、现金流量测算表、收入预测表、支出预测表、所有者权益变动表、其他综合收益预测表、折现率测算表；采用企业自由现金流折现模型，通常编制财务报表调整表（如有）、现金流量测算表、收入预测表、支出预测表、折旧摊销预测表、资本性支出预测表、净流动资金增加</w:t>
      </w:r>
      <w:proofErr w:type="gramStart"/>
      <w:r>
        <w:rPr>
          <w:rFonts w:hint="eastAsia"/>
        </w:rPr>
        <w:t>额预测表</w:t>
      </w:r>
      <w:proofErr w:type="gramEnd"/>
      <w:r>
        <w:rPr>
          <w:rFonts w:hint="eastAsia"/>
        </w:rPr>
        <w:t>、折现率测算表。</w:t>
      </w:r>
    </w:p>
    <w:p w14:paraId="46789C91" w14:textId="77777777" w:rsidR="001E3DA8" w:rsidRDefault="001E3DA8" w:rsidP="001E3DA8">
      <w:pPr>
        <w:pStyle w:val="13"/>
      </w:pPr>
      <w:r>
        <w:rPr>
          <w:rFonts w:hint="eastAsia"/>
        </w:rPr>
        <w:t>收益法评估表表</w:t>
      </w:r>
      <w:proofErr w:type="gramStart"/>
      <w:r>
        <w:rPr>
          <w:rFonts w:hint="eastAsia"/>
        </w:rPr>
        <w:t>头应当</w:t>
      </w:r>
      <w:proofErr w:type="gramEnd"/>
      <w:r>
        <w:rPr>
          <w:rFonts w:hint="eastAsia"/>
        </w:rPr>
        <w:t>含有项目名称、被评估单位、评估基准日、金额单位等；</w:t>
      </w:r>
      <w:r>
        <w:rPr>
          <w:rFonts w:hint="eastAsia"/>
        </w:rPr>
        <w:lastRenderedPageBreak/>
        <w:t>必要时，在表外可以对各项数据进行解释。</w:t>
      </w:r>
    </w:p>
    <w:p w14:paraId="261491C7" w14:textId="77777777" w:rsidR="00BD5D02" w:rsidRDefault="001E3DA8" w:rsidP="001E3DA8">
      <w:pPr>
        <w:pStyle w:val="13"/>
      </w:pPr>
      <w:r>
        <w:rPr>
          <w:rFonts w:hint="eastAsia"/>
        </w:rPr>
        <w:t>收益法评估表应当编制以人民币万元为金额单位的收益法评估汇总表。</w:t>
      </w:r>
    </w:p>
    <w:p w14:paraId="1C1B4204" w14:textId="1B83B071" w:rsidR="001E3DA8" w:rsidRDefault="001E3DA8" w:rsidP="001E3DA8">
      <w:pPr>
        <w:pStyle w:val="13"/>
      </w:pPr>
      <w:r>
        <w:rPr>
          <w:rFonts w:hint="eastAsia"/>
        </w:rPr>
        <w:t>五、市场法评估技术说明</w:t>
      </w:r>
    </w:p>
    <w:p w14:paraId="5CC05709" w14:textId="77777777" w:rsidR="001E3DA8" w:rsidRDefault="001E3DA8" w:rsidP="001E3DA8">
      <w:pPr>
        <w:pStyle w:val="13"/>
      </w:pPr>
      <w:r>
        <w:rPr>
          <w:rFonts w:hint="eastAsia"/>
        </w:rPr>
        <w:t>采用市场法进行企业价值评估，应当根据所采用的具体评估方法（如上市公司比较法或者交易案例比较法）确定评估技术说明的编写内容。一般编写内容指引如下。</w:t>
      </w:r>
    </w:p>
    <w:p w14:paraId="59D7EE54" w14:textId="77777777" w:rsidR="001E3DA8" w:rsidRDefault="001E3DA8" w:rsidP="001E3DA8">
      <w:pPr>
        <w:pStyle w:val="13"/>
      </w:pPr>
      <w:r>
        <w:rPr>
          <w:rFonts w:hint="eastAsia"/>
        </w:rPr>
        <w:t>（一）说明评估对象，包括企业整体价值、股东全部权益、股东部分权益。</w:t>
      </w:r>
    </w:p>
    <w:p w14:paraId="4BDEE23C" w14:textId="77777777" w:rsidR="001E3DA8" w:rsidRDefault="001E3DA8" w:rsidP="001E3DA8">
      <w:pPr>
        <w:pStyle w:val="13"/>
      </w:pPr>
      <w:r>
        <w:rPr>
          <w:rFonts w:hint="eastAsia"/>
        </w:rPr>
        <w:t>（二）选取的市场法的定义、原理、应用前提及评估选用的理由。</w:t>
      </w:r>
    </w:p>
    <w:p w14:paraId="4099E9D8" w14:textId="77777777" w:rsidR="001E3DA8" w:rsidRDefault="001E3DA8" w:rsidP="001E3DA8">
      <w:pPr>
        <w:pStyle w:val="13"/>
      </w:pPr>
      <w:r>
        <w:rPr>
          <w:rFonts w:hint="eastAsia"/>
        </w:rPr>
        <w:t>（三）对被评估单位所在行业发展状况与前景进行分析。</w:t>
      </w:r>
    </w:p>
    <w:p w14:paraId="6BACD956" w14:textId="77777777" w:rsidR="001E3DA8" w:rsidRDefault="001E3DA8" w:rsidP="001E3DA8">
      <w:pPr>
        <w:pStyle w:val="13"/>
      </w:pPr>
      <w:r>
        <w:rPr>
          <w:rFonts w:hint="eastAsia"/>
        </w:rPr>
        <w:t>（四）搜集相关资料，对评估对象基本情况进行阐述。</w:t>
      </w:r>
    </w:p>
    <w:p w14:paraId="611A9839" w14:textId="77777777" w:rsidR="001E3DA8" w:rsidRDefault="001E3DA8" w:rsidP="001E3DA8">
      <w:pPr>
        <w:pStyle w:val="13"/>
      </w:pPr>
      <w:r>
        <w:rPr>
          <w:rFonts w:hint="eastAsia"/>
        </w:rPr>
        <w:t>（五）分析、确定可比公司，对可比公司与评估对象的可比性进行分析。</w:t>
      </w:r>
    </w:p>
    <w:p w14:paraId="544EB6C5" w14:textId="77777777" w:rsidR="001E3DA8" w:rsidRDefault="001E3DA8" w:rsidP="001E3DA8">
      <w:pPr>
        <w:pStyle w:val="13"/>
      </w:pPr>
      <w:r>
        <w:rPr>
          <w:rFonts w:hint="eastAsia"/>
        </w:rPr>
        <w:t>（六）确定可比因素的方法和过程</w:t>
      </w:r>
    </w:p>
    <w:p w14:paraId="6AC68B44" w14:textId="77777777" w:rsidR="001E3DA8" w:rsidRDefault="001E3DA8" w:rsidP="001E3DA8">
      <w:pPr>
        <w:pStyle w:val="13"/>
      </w:pPr>
      <w:r>
        <w:t>1、对可比因素进行分析时，除考虑主要财务指标外，还应当结合不同种类的金融企业的特点选择恰当的可比因素，如：</w:t>
      </w:r>
    </w:p>
    <w:p w14:paraId="5DD99887" w14:textId="30E9E179" w:rsidR="001E3DA8" w:rsidRDefault="001E3DA8" w:rsidP="001E3DA8">
      <w:pPr>
        <w:pStyle w:val="13"/>
      </w:pPr>
      <w:r>
        <w:rPr>
          <w:rFonts w:hint="eastAsia"/>
        </w:rPr>
        <w:t>（</w:t>
      </w:r>
      <w:r>
        <w:t>1）银行的存贷款规模、营业网点、客户质量与数量等因素。</w:t>
      </w:r>
    </w:p>
    <w:p w14:paraId="7FBD5160" w14:textId="177B9F19" w:rsidR="001E3DA8" w:rsidRDefault="001E3DA8" w:rsidP="001E3DA8">
      <w:pPr>
        <w:pStyle w:val="13"/>
      </w:pPr>
      <w:r>
        <w:rPr>
          <w:rFonts w:hint="eastAsia"/>
        </w:rPr>
        <w:t>（</w:t>
      </w:r>
      <w:r>
        <w:t>2）保险公司的客户质量与数量、营业网点等因素。</w:t>
      </w:r>
    </w:p>
    <w:p w14:paraId="1CE7C404" w14:textId="7C934823" w:rsidR="001E3DA8" w:rsidRDefault="001E3DA8" w:rsidP="001E3DA8">
      <w:pPr>
        <w:pStyle w:val="13"/>
      </w:pPr>
      <w:r>
        <w:rPr>
          <w:rFonts w:hint="eastAsia"/>
        </w:rPr>
        <w:t>（</w:t>
      </w:r>
      <w:r>
        <w:t>3）证券公司的证券市场周期对企业经营的影响，客户质量与数量、营业网点、经营模式等因素。</w:t>
      </w:r>
    </w:p>
    <w:p w14:paraId="025795EA" w14:textId="77777777" w:rsidR="001E3DA8" w:rsidRDefault="001E3DA8" w:rsidP="001E3DA8">
      <w:pPr>
        <w:pStyle w:val="13"/>
      </w:pPr>
      <w:r>
        <w:t>2、说明各项可比因素的确定过程。</w:t>
      </w:r>
    </w:p>
    <w:p w14:paraId="3B4E4F21" w14:textId="7E295801" w:rsidR="001E3DA8" w:rsidRDefault="001E3DA8" w:rsidP="00BD5D02">
      <w:pPr>
        <w:pStyle w:val="13"/>
      </w:pPr>
      <w:r>
        <w:rPr>
          <w:rFonts w:hint="eastAsia"/>
        </w:rPr>
        <w:t>（七）企业执行国家有关部门制定的行业监管指标情况，并披露其对企业价值的影响。</w:t>
      </w:r>
    </w:p>
    <w:p w14:paraId="1F576E49" w14:textId="77777777" w:rsidR="00BD5D02" w:rsidRDefault="001E3DA8" w:rsidP="001E3DA8">
      <w:pPr>
        <w:pStyle w:val="13"/>
      </w:pPr>
      <w:r>
        <w:rPr>
          <w:rFonts w:hint="eastAsia"/>
        </w:rPr>
        <w:t>（八）评估值的估算过程、评估结论及分析。</w:t>
      </w:r>
    </w:p>
    <w:p w14:paraId="463E8007" w14:textId="132220F7" w:rsidR="001E3DA8" w:rsidRDefault="001E3DA8" w:rsidP="001E3DA8">
      <w:pPr>
        <w:pStyle w:val="13"/>
      </w:pPr>
      <w:r>
        <w:rPr>
          <w:rFonts w:hint="eastAsia"/>
        </w:rPr>
        <w:t>六、评估结论及分析</w:t>
      </w:r>
    </w:p>
    <w:p w14:paraId="2CEE9BAE" w14:textId="77777777" w:rsidR="001E3DA8" w:rsidRDefault="001E3DA8" w:rsidP="001E3DA8">
      <w:pPr>
        <w:pStyle w:val="13"/>
      </w:pPr>
      <w:r>
        <w:rPr>
          <w:rFonts w:hint="eastAsia"/>
        </w:rPr>
        <w:t>（一）评估结论</w:t>
      </w:r>
    </w:p>
    <w:p w14:paraId="58D73DC6" w14:textId="77777777" w:rsidR="001E3DA8" w:rsidRDefault="001E3DA8" w:rsidP="001E3DA8">
      <w:pPr>
        <w:pStyle w:val="13"/>
      </w:pPr>
      <w:r>
        <w:t>1、用文字叙述账面价值和评估价值，采用两种或者两种以上方法进行企业价值评估，应当分别说明评估价值，以及不同评估方法结论的差异及其原因和确定最终评估结论的理由。</w:t>
      </w:r>
    </w:p>
    <w:p w14:paraId="5469AD6B" w14:textId="77777777" w:rsidR="001E3DA8" w:rsidRDefault="001E3DA8" w:rsidP="001E3DA8">
      <w:pPr>
        <w:pStyle w:val="13"/>
      </w:pPr>
      <w:r>
        <w:t>2、含有“评估结论根据以上评估工作得出”的字样。</w:t>
      </w:r>
    </w:p>
    <w:p w14:paraId="752ECF90" w14:textId="77777777" w:rsidR="001E3DA8" w:rsidRDefault="001E3DA8" w:rsidP="001E3DA8">
      <w:pPr>
        <w:pStyle w:val="13"/>
      </w:pPr>
      <w:r>
        <w:t>3、对于存在多家被评估单位的情况，应当分别说明评估价值。</w:t>
      </w:r>
    </w:p>
    <w:p w14:paraId="1FDDC485" w14:textId="77777777" w:rsidR="001E3DA8" w:rsidRDefault="001E3DA8" w:rsidP="001E3DA8">
      <w:pPr>
        <w:pStyle w:val="13"/>
      </w:pPr>
      <w:r>
        <w:t>4、对于不纳入评估汇总表的评估结果，应当单独列示。</w:t>
      </w:r>
    </w:p>
    <w:p w14:paraId="19C8E9E0" w14:textId="77777777" w:rsidR="001E3DA8" w:rsidRDefault="001E3DA8" w:rsidP="001E3DA8">
      <w:pPr>
        <w:pStyle w:val="13"/>
      </w:pPr>
      <w:r>
        <w:rPr>
          <w:rFonts w:hint="eastAsia"/>
        </w:rPr>
        <w:t>（二）评估结论与账面价值比较变动情况及原因</w:t>
      </w:r>
    </w:p>
    <w:p w14:paraId="4BC0FBC2" w14:textId="77777777" w:rsidR="001E3DA8" w:rsidRDefault="001E3DA8" w:rsidP="001E3DA8">
      <w:pPr>
        <w:pStyle w:val="13"/>
      </w:pPr>
      <w:r>
        <w:t>1、说明评估结论与账面价值比较变动情况，包括绝对变动额和相对变动率。</w:t>
      </w:r>
    </w:p>
    <w:p w14:paraId="458722F5" w14:textId="77777777" w:rsidR="001E3DA8" w:rsidRDefault="001E3DA8" w:rsidP="001E3DA8">
      <w:pPr>
        <w:pStyle w:val="13"/>
      </w:pPr>
      <w:r>
        <w:t>2、分析评估结论与账面价值比较变动原因。</w:t>
      </w:r>
    </w:p>
    <w:p w14:paraId="6C54F6E7" w14:textId="77777777" w:rsidR="001E3DA8" w:rsidRDefault="001E3DA8" w:rsidP="001E3DA8">
      <w:pPr>
        <w:pStyle w:val="13"/>
      </w:pPr>
      <w:r>
        <w:rPr>
          <w:rFonts w:hint="eastAsia"/>
        </w:rPr>
        <w:t>（三）折价或者溢价情况（如有）</w:t>
      </w:r>
    </w:p>
    <w:p w14:paraId="1290FD52" w14:textId="77777777" w:rsidR="001E3DA8" w:rsidRDefault="001E3DA8" w:rsidP="001E3DA8">
      <w:pPr>
        <w:pStyle w:val="13"/>
      </w:pPr>
      <w:r>
        <w:rPr>
          <w:rFonts w:hint="eastAsia"/>
        </w:rPr>
        <w:t>企业价值评估，在适当及切实可行的情况下需要考虑由于控股权和少数股权等</w:t>
      </w:r>
      <w:r>
        <w:rPr>
          <w:rFonts w:hint="eastAsia"/>
        </w:rPr>
        <w:lastRenderedPageBreak/>
        <w:t>因素产生的溢价或者折价，以及流动性对评估对象价值的影响，包括但不限于：</w:t>
      </w:r>
    </w:p>
    <w:p w14:paraId="5F5300F0" w14:textId="77777777" w:rsidR="001E3DA8" w:rsidRDefault="001E3DA8" w:rsidP="001E3DA8">
      <w:pPr>
        <w:pStyle w:val="13"/>
      </w:pPr>
      <w:r>
        <w:t>1、说明是否考虑了折价与溢价。</w:t>
      </w:r>
    </w:p>
    <w:p w14:paraId="0E57E257" w14:textId="77777777" w:rsidR="001E3DA8" w:rsidRDefault="001E3DA8" w:rsidP="001E3DA8">
      <w:pPr>
        <w:pStyle w:val="13"/>
      </w:pPr>
      <w:r>
        <w:t>2、说明折价或者溢价测算的方法，对其合理性做出判断。</w:t>
      </w:r>
    </w:p>
    <w:p w14:paraId="0B7E123C" w14:textId="77777777" w:rsidR="001B139A" w:rsidRDefault="001B139A" w:rsidP="001B139A">
      <w:pPr>
        <w:pStyle w:val="31"/>
        <w:spacing w:before="156" w:after="62"/>
      </w:pPr>
      <w:bookmarkStart w:id="34" w:name="_Toc81833314"/>
      <w:r>
        <w:rPr>
          <w:rFonts w:hint="eastAsia"/>
        </w:rPr>
        <w:t>知识产权资产评估指南（</w:t>
      </w:r>
      <w:proofErr w:type="gramStart"/>
      <w:r>
        <w:rPr>
          <w:rFonts w:hint="eastAsia"/>
        </w:rPr>
        <w:t>中评协</w:t>
      </w:r>
      <w:proofErr w:type="gramEnd"/>
      <w:r>
        <w:rPr>
          <w:rFonts w:hint="eastAsia"/>
        </w:rPr>
        <w:t>〔</w:t>
      </w:r>
      <w:r>
        <w:t>2017〕44号）</w:t>
      </w:r>
      <w:bookmarkEnd w:id="34"/>
    </w:p>
    <w:p w14:paraId="7E8E3B6B" w14:textId="77777777" w:rsidR="001B139A" w:rsidRDefault="001B139A" w:rsidP="001B139A">
      <w:pPr>
        <w:pStyle w:val="13"/>
        <w:ind w:firstLineChars="0" w:firstLine="0"/>
      </w:pPr>
      <w:r>
        <w:rPr>
          <w:rFonts w:hint="eastAsia"/>
        </w:rPr>
        <w:t>各省、自治区、直辖市、计划单列市资产评估协会（注册会计师协会）：</w:t>
      </w:r>
    </w:p>
    <w:p w14:paraId="290A989E" w14:textId="308E8DA9" w:rsidR="001B139A" w:rsidRDefault="001B139A" w:rsidP="001B139A">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知识产权资产评估指南》进行了修订，现予印发，自</w:t>
      </w:r>
      <w:r>
        <w:t xml:space="preserve"> 2017</w:t>
      </w:r>
      <w:r w:rsidR="003068F8">
        <w:t>年</w:t>
      </w:r>
      <w:r>
        <w:t>10</w:t>
      </w:r>
      <w:r w:rsidR="003068F8">
        <w:t>月</w:t>
      </w:r>
      <w:r>
        <w:t>1</w:t>
      </w:r>
      <w:r w:rsidR="003068F8">
        <w:t>日</w:t>
      </w:r>
      <w:r>
        <w:t>起施行。</w:t>
      </w:r>
    </w:p>
    <w:p w14:paraId="168DB460" w14:textId="77777777" w:rsidR="001B139A" w:rsidRDefault="001B139A" w:rsidP="001B139A">
      <w:pPr>
        <w:pStyle w:val="13"/>
      </w:pPr>
      <w:r>
        <w:rPr>
          <w:rFonts w:hint="eastAsia"/>
        </w:rPr>
        <w:t>请各地</w:t>
      </w:r>
      <w:proofErr w:type="gramStart"/>
      <w:r>
        <w:rPr>
          <w:rFonts w:hint="eastAsia"/>
        </w:rPr>
        <w:t>方协会</w:t>
      </w:r>
      <w:proofErr w:type="gramEnd"/>
      <w:r>
        <w:rPr>
          <w:rFonts w:hint="eastAsia"/>
        </w:rPr>
        <w:t>将《知识产权资产评估指南》及时转发资产评估机构，组织资产评估机构和资产评估专业人员进行学习和培训，并将执行过程中发现的问题及时上报中国资产评估协会。</w:t>
      </w:r>
    </w:p>
    <w:p w14:paraId="554D8B95" w14:textId="77777777" w:rsidR="001B139A" w:rsidRDefault="001B139A" w:rsidP="001B139A">
      <w:pPr>
        <w:pStyle w:val="13"/>
      </w:pPr>
      <w:r>
        <w:rPr>
          <w:rFonts w:hint="eastAsia"/>
        </w:rPr>
        <w:t>附件：《知识产权资产评估指南》</w:t>
      </w:r>
    </w:p>
    <w:p w14:paraId="1AF0C2A0" w14:textId="77777777" w:rsidR="001B139A" w:rsidRDefault="001B139A" w:rsidP="001B139A">
      <w:pPr>
        <w:pStyle w:val="13"/>
        <w:jc w:val="right"/>
      </w:pPr>
      <w:r>
        <w:rPr>
          <w:rFonts w:hint="eastAsia"/>
        </w:rPr>
        <w:t>中国资产评估协会</w:t>
      </w:r>
    </w:p>
    <w:p w14:paraId="40F6193B" w14:textId="33AABD57" w:rsidR="007E4B49" w:rsidRPr="001E3DA8" w:rsidRDefault="001B139A" w:rsidP="001B139A">
      <w:pPr>
        <w:pStyle w:val="13"/>
        <w:jc w:val="right"/>
      </w:pPr>
      <w:r>
        <w:t>2017</w:t>
      </w:r>
      <w:r w:rsidR="003068F8">
        <w:t>年</w:t>
      </w:r>
      <w:r>
        <w:t>9</w:t>
      </w:r>
      <w:r w:rsidR="003068F8">
        <w:t>月</w:t>
      </w:r>
      <w:r>
        <w:t>8</w:t>
      </w:r>
      <w:r w:rsidR="003068F8">
        <w:t>日</w:t>
      </w:r>
    </w:p>
    <w:p w14:paraId="336B8A93" w14:textId="77777777" w:rsidR="001B139A" w:rsidRDefault="001B139A" w:rsidP="00AF7342">
      <w:pPr>
        <w:pStyle w:val="a9"/>
        <w:spacing w:before="62" w:after="62"/>
      </w:pPr>
      <w:r>
        <w:rPr>
          <w:rFonts w:hint="eastAsia"/>
        </w:rPr>
        <w:t>知识产权资产评估指南</w:t>
      </w:r>
    </w:p>
    <w:p w14:paraId="3FAFF3BB" w14:textId="77777777" w:rsidR="001B139A" w:rsidRDefault="001B139A" w:rsidP="00AF7342">
      <w:pPr>
        <w:pStyle w:val="a9"/>
        <w:spacing w:before="62" w:after="62"/>
      </w:pPr>
      <w:r>
        <w:rPr>
          <w:rFonts w:hint="eastAsia"/>
        </w:rPr>
        <w:t>第一章</w:t>
      </w:r>
      <w:r>
        <w:t xml:space="preserve"> 总则</w:t>
      </w:r>
    </w:p>
    <w:p w14:paraId="5C262DF7" w14:textId="04255BFC" w:rsidR="001B139A" w:rsidRDefault="004E3EBB" w:rsidP="001B139A">
      <w:pPr>
        <w:pStyle w:val="13"/>
        <w:ind w:firstLine="482"/>
      </w:pPr>
      <w:r w:rsidRPr="004E3EBB">
        <w:rPr>
          <w:rFonts w:hint="eastAsia"/>
          <w:b/>
          <w:bCs/>
        </w:rPr>
        <w:t xml:space="preserve">第一条 </w:t>
      </w:r>
      <w:r w:rsidR="001B139A">
        <w:t>为规范知识产权资产评估行为，保护资产评估当事人合法权益和公共利益</w:t>
      </w:r>
      <w:r w:rsidR="003C1F46">
        <w:t>，</w:t>
      </w:r>
      <w:r w:rsidR="001B139A">
        <w:t>根据《资产评估执业准则—无形资产》制定本指南。</w:t>
      </w:r>
    </w:p>
    <w:p w14:paraId="3FBE3F30" w14:textId="54F70C56" w:rsidR="001B139A" w:rsidRDefault="004E3EBB" w:rsidP="001B139A">
      <w:pPr>
        <w:pStyle w:val="13"/>
        <w:ind w:firstLine="482"/>
      </w:pPr>
      <w:r w:rsidRPr="004E3EBB">
        <w:rPr>
          <w:rFonts w:hint="eastAsia"/>
          <w:b/>
          <w:bCs/>
        </w:rPr>
        <w:t xml:space="preserve">第二条 </w:t>
      </w:r>
      <w:r w:rsidR="001B139A">
        <w:t>本指南所称知识产权资产，是指知识产权权利人拥有或者控制的，能够持续发挥作用并且带来经济利益的知识产权权益。知识产权资产包括专利权、商标专用权、著作权、商业秘密、集成电路布图设计和植物新品种等。</w:t>
      </w:r>
    </w:p>
    <w:p w14:paraId="008AE1D8" w14:textId="020E34DC" w:rsidR="001B139A" w:rsidRDefault="004E3EBB" w:rsidP="001B139A">
      <w:pPr>
        <w:pStyle w:val="13"/>
        <w:ind w:firstLine="482"/>
      </w:pPr>
      <w:r w:rsidRPr="004E3EBB">
        <w:rPr>
          <w:rFonts w:hint="eastAsia"/>
          <w:b/>
          <w:bCs/>
        </w:rPr>
        <w:t xml:space="preserve">第三条 </w:t>
      </w:r>
      <w:r w:rsidR="001B139A">
        <w:t>本指南所称知识产权资产评估，是指资产评估机构及其资产评估专业人员遵守法律、行政法规和资产评估准则，根据委托对评估基准日特定目的下的知识产权资产价值进行评定和估算，并出具资产评估报告的专业服务行为。</w:t>
      </w:r>
    </w:p>
    <w:p w14:paraId="6B06C0EE" w14:textId="185A8398" w:rsidR="001B139A" w:rsidRDefault="004E3EBB" w:rsidP="001B139A">
      <w:pPr>
        <w:pStyle w:val="13"/>
        <w:ind w:firstLine="482"/>
      </w:pPr>
      <w:r w:rsidRPr="004E3EBB">
        <w:rPr>
          <w:rFonts w:hint="eastAsia"/>
          <w:b/>
          <w:bCs/>
        </w:rPr>
        <w:t xml:space="preserve">第四条 </w:t>
      </w:r>
      <w:r w:rsidR="001B139A">
        <w:t>执行知识产权资产评估业务，应当遵守本指南。</w:t>
      </w:r>
    </w:p>
    <w:p w14:paraId="7D2463C5" w14:textId="77777777" w:rsidR="001B139A" w:rsidRDefault="001B139A" w:rsidP="00AF7342">
      <w:pPr>
        <w:pStyle w:val="a9"/>
        <w:spacing w:before="62" w:after="62"/>
      </w:pPr>
      <w:r>
        <w:rPr>
          <w:rFonts w:hint="eastAsia"/>
        </w:rPr>
        <w:t>第二章</w:t>
      </w:r>
      <w:r>
        <w:t xml:space="preserve"> 基本遵循</w:t>
      </w:r>
    </w:p>
    <w:p w14:paraId="781464F0" w14:textId="1489732C" w:rsidR="001B139A" w:rsidRDefault="004E3EBB" w:rsidP="001B139A">
      <w:pPr>
        <w:pStyle w:val="13"/>
        <w:ind w:firstLine="482"/>
      </w:pPr>
      <w:r w:rsidRPr="004E3EBB">
        <w:rPr>
          <w:rFonts w:hint="eastAsia"/>
          <w:b/>
          <w:bCs/>
        </w:rPr>
        <w:t xml:space="preserve">第五条 </w:t>
      </w:r>
      <w:r w:rsidR="001B139A">
        <w:t>资产评估机构及其资产评估专业人员开展知识产权资产评估业务，应当遵守法律、行政法规的规定，坚持独立、客观、公正的原则，诚实守信，勤勉尽责，谨慎从业，遵守职业道德规范，自觉维护职业形象，不得从事损害职业形象的活动。</w:t>
      </w:r>
    </w:p>
    <w:p w14:paraId="41714C70" w14:textId="72F7AEDC" w:rsidR="001B139A" w:rsidRDefault="004E3EBB" w:rsidP="001B139A">
      <w:pPr>
        <w:pStyle w:val="13"/>
        <w:ind w:firstLine="482"/>
      </w:pPr>
      <w:r w:rsidRPr="004E3EBB">
        <w:rPr>
          <w:rFonts w:hint="eastAsia"/>
          <w:b/>
          <w:bCs/>
        </w:rPr>
        <w:t xml:space="preserve">第六条 </w:t>
      </w:r>
      <w:r w:rsidR="001B139A">
        <w:t>资产评估机构及其资产评估专业人员开展知识产权资产评估业务，应当独立进行分析和估算并形成专业意见，拒绝委托人或者其他相关当事人的干预，不得直接以预先设定的价值作为评估结论。</w:t>
      </w:r>
    </w:p>
    <w:p w14:paraId="328E4B44" w14:textId="058DCE84" w:rsidR="001B139A" w:rsidRDefault="004E3EBB" w:rsidP="001B139A">
      <w:pPr>
        <w:pStyle w:val="13"/>
        <w:ind w:firstLine="482"/>
      </w:pPr>
      <w:r w:rsidRPr="004E3EBB">
        <w:rPr>
          <w:rFonts w:hint="eastAsia"/>
          <w:b/>
          <w:bCs/>
        </w:rPr>
        <w:lastRenderedPageBreak/>
        <w:t xml:space="preserve">第七条 </w:t>
      </w:r>
      <w:r w:rsidR="001B139A">
        <w:t>执行知识产权资产评估业务，应当具备知识产权资产评估的专业知识和实践经验，能够胜任所执行的知识产权资产评估业务。</w:t>
      </w:r>
    </w:p>
    <w:p w14:paraId="17EA3CBB" w14:textId="77777777" w:rsidR="001B139A" w:rsidRDefault="001B139A" w:rsidP="001B139A">
      <w:pPr>
        <w:pStyle w:val="13"/>
      </w:pPr>
      <w:r>
        <w:rPr>
          <w:rFonts w:hint="eastAsia"/>
        </w:rPr>
        <w:t>执行某项特定业务缺乏特定的专业知识和经验时，应当采取弥补措施，包括利用专家工作及相关报告等。</w:t>
      </w:r>
    </w:p>
    <w:p w14:paraId="1028A149" w14:textId="7E3B4345" w:rsidR="001B139A" w:rsidRDefault="004E3EBB" w:rsidP="001B139A">
      <w:pPr>
        <w:pStyle w:val="13"/>
        <w:ind w:firstLine="482"/>
      </w:pPr>
      <w:r w:rsidRPr="004E3EBB">
        <w:rPr>
          <w:rFonts w:hint="eastAsia"/>
          <w:b/>
          <w:bCs/>
        </w:rPr>
        <w:t xml:space="preserve">第八条 </w:t>
      </w:r>
      <w:r w:rsidR="001B139A">
        <w:t>资产评估机构应当关注知识产权资产评估业务的复杂性，根据自身的资产评估专业人员配备、专业知识和经验，审慎考虑是否有能力受理知识产权资产评估业务。</w:t>
      </w:r>
    </w:p>
    <w:p w14:paraId="01C02EB6" w14:textId="0BE141A1" w:rsidR="001B139A" w:rsidRDefault="00E05BDA" w:rsidP="001B139A">
      <w:pPr>
        <w:pStyle w:val="13"/>
        <w:ind w:firstLine="482"/>
      </w:pPr>
      <w:r w:rsidRPr="00E05BDA">
        <w:rPr>
          <w:rFonts w:hint="eastAsia"/>
          <w:b/>
          <w:bCs/>
        </w:rPr>
        <w:t xml:space="preserve">第九条 </w:t>
      </w:r>
      <w:r w:rsidR="001B139A">
        <w:t>执行知识产权资产评估业务，应当明确评估对象、评估范围、评估目的、评估基准日、价值类型和资产评估报告使用人。</w:t>
      </w:r>
    </w:p>
    <w:p w14:paraId="40585535" w14:textId="4223AF13" w:rsidR="001B139A" w:rsidRDefault="00E05BDA" w:rsidP="00FF115A">
      <w:pPr>
        <w:pStyle w:val="13"/>
        <w:ind w:firstLine="482"/>
      </w:pPr>
      <w:r w:rsidRPr="00E05BDA">
        <w:rPr>
          <w:rFonts w:hint="eastAsia"/>
          <w:b/>
          <w:bCs/>
        </w:rPr>
        <w:t xml:space="preserve">第十条 </w:t>
      </w:r>
      <w:r w:rsidR="001B139A">
        <w:t>知识产权资产评估目的通常包括转让、许可使用、出资、质押、诉讼、财务</w:t>
      </w:r>
      <w:r w:rsidR="001B139A">
        <w:rPr>
          <w:rFonts w:hint="eastAsia"/>
        </w:rPr>
        <w:t>报告等。</w:t>
      </w:r>
    </w:p>
    <w:p w14:paraId="17C9AF51" w14:textId="7B88872B" w:rsidR="001B139A" w:rsidRDefault="00E05BDA" w:rsidP="001B139A">
      <w:pPr>
        <w:pStyle w:val="13"/>
        <w:ind w:firstLine="482"/>
      </w:pPr>
      <w:r w:rsidRPr="00E05BDA">
        <w:rPr>
          <w:rFonts w:hint="eastAsia"/>
          <w:b/>
          <w:bCs/>
        </w:rPr>
        <w:t xml:space="preserve">第十一条 </w:t>
      </w:r>
      <w:r w:rsidR="001B139A">
        <w:t>执行知识产权资产评估业务，应当充分考虑评估目的、市场条件、评估对象自身条件等因素，恰当选择价值类型。</w:t>
      </w:r>
    </w:p>
    <w:p w14:paraId="2F5780D5" w14:textId="70D7DBF0" w:rsidR="001B139A" w:rsidRDefault="00E05BDA" w:rsidP="001B139A">
      <w:pPr>
        <w:pStyle w:val="13"/>
        <w:ind w:firstLine="482"/>
      </w:pPr>
      <w:r w:rsidRPr="00E05BDA">
        <w:rPr>
          <w:rFonts w:hint="eastAsia"/>
          <w:b/>
          <w:bCs/>
        </w:rPr>
        <w:t xml:space="preserve">第十二条 </w:t>
      </w:r>
      <w:r w:rsidR="001B139A">
        <w:t>执行知识产权资产评估业务，应当对资产评估活动中使用的资料进行核查验证。</w:t>
      </w:r>
    </w:p>
    <w:p w14:paraId="4AF62D04" w14:textId="4E4DE2DD" w:rsidR="001B139A" w:rsidRDefault="00E05BDA" w:rsidP="001B139A">
      <w:pPr>
        <w:pStyle w:val="13"/>
        <w:ind w:firstLine="482"/>
      </w:pPr>
      <w:r w:rsidRPr="00E05BDA">
        <w:rPr>
          <w:rFonts w:hint="eastAsia"/>
          <w:b/>
          <w:bCs/>
        </w:rPr>
        <w:t xml:space="preserve">第十三条 </w:t>
      </w:r>
      <w:r w:rsidR="001B139A">
        <w:t>执行知识产权资产评估业务，应当合理使用评估假设。</w:t>
      </w:r>
    </w:p>
    <w:p w14:paraId="6129D0C9" w14:textId="26613BF4" w:rsidR="001B139A" w:rsidRDefault="00E05BDA" w:rsidP="001B139A">
      <w:pPr>
        <w:pStyle w:val="13"/>
        <w:ind w:firstLine="482"/>
      </w:pPr>
      <w:r w:rsidRPr="00E05BDA">
        <w:rPr>
          <w:rFonts w:hint="eastAsia"/>
          <w:b/>
          <w:bCs/>
        </w:rPr>
        <w:t xml:space="preserve">第十四条 </w:t>
      </w:r>
      <w:r w:rsidR="001B139A">
        <w:t>执行知识产权资产评估业务，应当关注宏观经济政策、行业政策、经营条件、生产能力、市场状况、产品生命周期等各项因素对知识产权资产效能发挥的作用</w:t>
      </w:r>
      <w:r w:rsidR="003C1F46">
        <w:t>，</w:t>
      </w:r>
      <w:r w:rsidR="001B139A">
        <w:t>以及对知识产权资产价值产生的影响。</w:t>
      </w:r>
    </w:p>
    <w:p w14:paraId="1C3BA329" w14:textId="1942BDA4" w:rsidR="001B139A" w:rsidRDefault="00E05BDA" w:rsidP="001B139A">
      <w:pPr>
        <w:pStyle w:val="13"/>
        <w:ind w:firstLine="482"/>
      </w:pPr>
      <w:r w:rsidRPr="00E05BDA">
        <w:rPr>
          <w:rFonts w:hint="eastAsia"/>
          <w:b/>
          <w:bCs/>
        </w:rPr>
        <w:t xml:space="preserve">第十五条 </w:t>
      </w:r>
      <w:r w:rsidR="001B139A">
        <w:t>执行知识产权资产评估业务，应当关注知识产权资产的基本情况：</w:t>
      </w:r>
    </w:p>
    <w:p w14:paraId="36EF2434" w14:textId="77777777" w:rsidR="001B139A" w:rsidRDefault="001B139A" w:rsidP="001B139A">
      <w:pPr>
        <w:pStyle w:val="13"/>
      </w:pPr>
      <w:r>
        <w:rPr>
          <w:rFonts w:hint="eastAsia"/>
        </w:rPr>
        <w:t>（一）知识产权资产权利的法律文件、权属有效性文件或者其他证明资料；</w:t>
      </w:r>
    </w:p>
    <w:p w14:paraId="0F4C9D3C" w14:textId="77777777" w:rsidR="001B139A" w:rsidRDefault="001B139A" w:rsidP="001B139A">
      <w:pPr>
        <w:pStyle w:val="13"/>
      </w:pPr>
      <w:r>
        <w:rPr>
          <w:rFonts w:hint="eastAsia"/>
        </w:rPr>
        <w:t>（二）知识产权资产特征和使用状况，历史沿革以及评估与交易情况；</w:t>
      </w:r>
    </w:p>
    <w:p w14:paraId="0938BF12" w14:textId="77777777" w:rsidR="001B139A" w:rsidRDefault="001B139A" w:rsidP="001B139A">
      <w:pPr>
        <w:pStyle w:val="13"/>
      </w:pPr>
      <w:r>
        <w:rPr>
          <w:rFonts w:hint="eastAsia"/>
        </w:rPr>
        <w:t>（三）知识产权资产实施的地域范围、领域范围、获利能力与获利方式，知识产权资产是否能给权利人带来显著、持续的可辨识经济利益；</w:t>
      </w:r>
    </w:p>
    <w:p w14:paraId="6106D8D3" w14:textId="77777777" w:rsidR="001B139A" w:rsidRDefault="001B139A" w:rsidP="001B139A">
      <w:pPr>
        <w:pStyle w:val="13"/>
      </w:pPr>
      <w:r>
        <w:rPr>
          <w:rFonts w:hint="eastAsia"/>
        </w:rPr>
        <w:t>（四）知识产权资产的法定寿命和剩余经济寿命，知识产权资产的保护措施；</w:t>
      </w:r>
    </w:p>
    <w:p w14:paraId="5EB8F4D6" w14:textId="77777777" w:rsidR="001B139A" w:rsidRDefault="001B139A" w:rsidP="001B139A">
      <w:pPr>
        <w:pStyle w:val="13"/>
      </w:pPr>
      <w:r>
        <w:rPr>
          <w:rFonts w:hint="eastAsia"/>
        </w:rPr>
        <w:t>（五）知识产权资产实施过程中所受到的法律、行政法规或者其他限制；</w:t>
      </w:r>
    </w:p>
    <w:p w14:paraId="78959BF1" w14:textId="77777777" w:rsidR="001B139A" w:rsidRDefault="001B139A" w:rsidP="001B139A">
      <w:pPr>
        <w:pStyle w:val="13"/>
      </w:pPr>
      <w:r>
        <w:rPr>
          <w:rFonts w:hint="eastAsia"/>
        </w:rPr>
        <w:t>（六）类似知识产权资产的市场价格信息；</w:t>
      </w:r>
    </w:p>
    <w:p w14:paraId="1E8C6377" w14:textId="77777777" w:rsidR="001B139A" w:rsidRDefault="001B139A" w:rsidP="001B139A">
      <w:pPr>
        <w:pStyle w:val="13"/>
      </w:pPr>
      <w:r>
        <w:rPr>
          <w:rFonts w:hint="eastAsia"/>
        </w:rPr>
        <w:t>（七）其他相关信息。</w:t>
      </w:r>
    </w:p>
    <w:p w14:paraId="0AD089E6" w14:textId="24F3AEAE" w:rsidR="001B139A" w:rsidRDefault="00E05BDA" w:rsidP="001B139A">
      <w:pPr>
        <w:pStyle w:val="13"/>
        <w:ind w:firstLine="482"/>
      </w:pPr>
      <w:r w:rsidRPr="00E05BDA">
        <w:rPr>
          <w:rFonts w:hint="eastAsia"/>
          <w:b/>
          <w:bCs/>
        </w:rPr>
        <w:t xml:space="preserve">第十六条 </w:t>
      </w:r>
      <w:r w:rsidR="001B139A">
        <w:t>执行知识产权资产评估业务，应当要求委托人明确评估对象，并关注评估对象的权利状况以及法律、经济、技术等具体特征。</w:t>
      </w:r>
    </w:p>
    <w:p w14:paraId="7D4702D6" w14:textId="77777777" w:rsidR="001B139A" w:rsidRDefault="001B139A" w:rsidP="001B139A">
      <w:pPr>
        <w:pStyle w:val="13"/>
      </w:pPr>
      <w:r>
        <w:rPr>
          <w:rFonts w:hint="eastAsia"/>
        </w:rPr>
        <w:t>知识产权资产通常与其他资产共同发挥作用，执行知识产权资产评估业务应当根据评估对象的具体情况和评估目的分析、判断知识产权资产的作用，恰当进行单项知识产权资产或者知识产权资产组合的评估，合理确定知识产权资产的价值。</w:t>
      </w:r>
    </w:p>
    <w:p w14:paraId="2844B41E" w14:textId="5B3610FB" w:rsidR="001B139A" w:rsidRDefault="00E05BDA" w:rsidP="001B139A">
      <w:pPr>
        <w:pStyle w:val="13"/>
        <w:ind w:firstLine="482"/>
      </w:pPr>
      <w:r w:rsidRPr="00E05BDA">
        <w:rPr>
          <w:rFonts w:hint="eastAsia"/>
          <w:b/>
          <w:bCs/>
        </w:rPr>
        <w:t xml:space="preserve">第十七条 </w:t>
      </w:r>
      <w:r w:rsidR="001B139A">
        <w:t>专利资产是指专利权利人拥有或者控制的，能够持续发挥作用并且带</w:t>
      </w:r>
      <w:r w:rsidR="001B139A">
        <w:lastRenderedPageBreak/>
        <w:t>来经济利益的专利权益。专利资产评估业务的评估对象是指专利资产权益，包括专利所有权和专利使用权。专利使用权是指专利实施许可权，具体形式包括专利权独占许可、独家许可、普通许可和其他许可形式。</w:t>
      </w:r>
    </w:p>
    <w:p w14:paraId="52E8372A" w14:textId="4645A7E2" w:rsidR="001B139A" w:rsidRDefault="001B139A" w:rsidP="00FF115A">
      <w:pPr>
        <w:pStyle w:val="13"/>
      </w:pPr>
      <w:r>
        <w:rPr>
          <w:rFonts w:hint="eastAsia"/>
        </w:rPr>
        <w:t>执行专利资产评估业务，应当明确专利资产的权利属性。评估对象为专利所有权的，应当关注专利权是否已经许可他人使用以及使用权的具体形式，并关注其对专利所有权价值的影响。评估对象为专利使用权的，应当明确专利使用权的许可形式、许可内容及许可期限。</w:t>
      </w:r>
    </w:p>
    <w:p w14:paraId="319924AB" w14:textId="06293CA5" w:rsidR="001B139A" w:rsidRDefault="00E05BDA" w:rsidP="001B139A">
      <w:pPr>
        <w:pStyle w:val="13"/>
        <w:ind w:firstLine="482"/>
      </w:pPr>
      <w:r w:rsidRPr="00E05BDA">
        <w:rPr>
          <w:rFonts w:hint="eastAsia"/>
          <w:b/>
          <w:bCs/>
        </w:rPr>
        <w:t xml:space="preserve">第十八条 </w:t>
      </w:r>
      <w:r w:rsidR="001B139A">
        <w:t>商标资产是指商标权利人拥有或者控制的，能够持续发挥作用并且能带来经济利益的注册商标权益。注册商标包括商品商标、服务商标、集体商标、证明商标。商标资产评估涉及的商标通常为商品商标和服务商标。</w:t>
      </w:r>
    </w:p>
    <w:p w14:paraId="5B2088DD" w14:textId="77777777" w:rsidR="001B139A" w:rsidRDefault="001B139A" w:rsidP="001B139A">
      <w:pPr>
        <w:pStyle w:val="13"/>
      </w:pPr>
      <w:r>
        <w:rPr>
          <w:rFonts w:hint="eastAsia"/>
        </w:rPr>
        <w:t>商标资产评估对象是指受法律保护的注册商标资产权益，包括商标专用权、商标许可权。评估对象为商标专用权的，应当关注商标是否已经许可他人使用以及具体许可形式评估对象为商标许可权的，应当明确该权利的具体许可形式、内容和期限。</w:t>
      </w:r>
    </w:p>
    <w:p w14:paraId="0A2F70D6" w14:textId="1261BC38" w:rsidR="001B139A" w:rsidRDefault="00E05BDA" w:rsidP="001B139A">
      <w:pPr>
        <w:pStyle w:val="13"/>
        <w:ind w:firstLine="482"/>
      </w:pPr>
      <w:r w:rsidRPr="00E05BDA">
        <w:rPr>
          <w:rFonts w:hint="eastAsia"/>
          <w:b/>
          <w:bCs/>
        </w:rPr>
        <w:t xml:space="preserve">第十九条 </w:t>
      </w:r>
      <w:r w:rsidR="001B139A">
        <w:t>著作权资产，是指著作权权利人拥有或者控制的，能够持续发挥作用并且带来经济利益的著作权财产权益和与著作权有关权利的财产权益。著作权资产评估对象是指著作权中的财产权益以及与著作权有关权利的财产权益。</w:t>
      </w:r>
    </w:p>
    <w:p w14:paraId="59088075" w14:textId="77777777" w:rsidR="001B139A" w:rsidRDefault="001B139A" w:rsidP="001B139A">
      <w:pPr>
        <w:pStyle w:val="13"/>
      </w:pPr>
      <w:r>
        <w:rPr>
          <w:rFonts w:hint="eastAsia"/>
        </w:rPr>
        <w:t>著作权财产权利种类包括：复制权、发行权、出租权、展览权、表演权、放映权、广播权、信息网络传播权、摄制权、改编权、翻译权、汇编权以及著作权人享有的其他财产权利。</w:t>
      </w:r>
    </w:p>
    <w:p w14:paraId="3634E39E" w14:textId="77777777" w:rsidR="001B139A" w:rsidRDefault="001B139A" w:rsidP="001B139A">
      <w:pPr>
        <w:pStyle w:val="13"/>
      </w:pPr>
      <w:r>
        <w:rPr>
          <w:rFonts w:hint="eastAsia"/>
        </w:rPr>
        <w:t>与著作权评估有关的权利通常包括：出版者对其出版的图书、期刊的版式设计的权利，表演者对其表演享有的权利，录音、录像制作者对其制作的录音、录像制品享有的权利，广播电台、电视台对其制作的广播、电视所享有的权利以及由法律、行政法规规定的其他与著作权有关的权利。</w:t>
      </w:r>
    </w:p>
    <w:p w14:paraId="260CF972" w14:textId="77777777" w:rsidR="001B139A" w:rsidRDefault="001B139A" w:rsidP="001B139A">
      <w:pPr>
        <w:pStyle w:val="13"/>
      </w:pPr>
      <w:r>
        <w:rPr>
          <w:rFonts w:hint="eastAsia"/>
        </w:rPr>
        <w:t>著作权资产的财产权利形式包括著作权人享有的权利，以及转让或者许可他人使用的权利。许可使用形式包括法定许可和授权许可；授权许可形式包括专有许可、非专有许可和其他形式许可等。</w:t>
      </w:r>
    </w:p>
    <w:p w14:paraId="5ACA441C" w14:textId="77777777" w:rsidR="001B139A" w:rsidRDefault="001B139A" w:rsidP="001B139A">
      <w:pPr>
        <w:pStyle w:val="13"/>
      </w:pPr>
      <w:r>
        <w:rPr>
          <w:rFonts w:hint="eastAsia"/>
        </w:rPr>
        <w:t>执行著作权资产评估业务，应当明确著作权资产的权利形式。当评估对象为著作权许可使用权时，应当明确具体许可形式、内容和期限。</w:t>
      </w:r>
    </w:p>
    <w:p w14:paraId="1CA3BAC5" w14:textId="77777777" w:rsidR="001B139A" w:rsidRDefault="001B139A" w:rsidP="001B139A">
      <w:pPr>
        <w:pStyle w:val="13"/>
      </w:pPr>
      <w:r>
        <w:rPr>
          <w:rFonts w:hint="eastAsia"/>
        </w:rPr>
        <w:t>执行著作权资产评估业务，还应当关注原创著作权和衍生著作权之间的权利关系以及著作权与有关权利之间的关系。</w:t>
      </w:r>
    </w:p>
    <w:p w14:paraId="1B0AA055" w14:textId="1F6C04D0" w:rsidR="001B139A" w:rsidRDefault="00E05BDA" w:rsidP="00FF115A">
      <w:pPr>
        <w:pStyle w:val="13"/>
        <w:ind w:firstLine="482"/>
      </w:pPr>
      <w:r w:rsidRPr="00E05BDA">
        <w:rPr>
          <w:rFonts w:hint="eastAsia"/>
          <w:b/>
          <w:bCs/>
        </w:rPr>
        <w:t xml:space="preserve">第二十条 </w:t>
      </w:r>
      <w:r w:rsidR="001B139A">
        <w:t>商业秘密，是指不为公众所知悉、能为权利人带来经济利益、具有实用性并经权利人采取保密措施的技术信息和经营信息，包括设计、程序、产品配方、制作工</w:t>
      </w:r>
      <w:r w:rsidR="001B139A">
        <w:rPr>
          <w:rFonts w:hint="eastAsia"/>
        </w:rPr>
        <w:t>艺、制作方法、管理诀窍、客户名单、货源情报、产销策略、招投标中的标底及标书内容等信息。设计、程序、产品配方、制作工艺、制作方法等在实务中通常称</w:t>
      </w:r>
      <w:r w:rsidR="001B139A">
        <w:rPr>
          <w:rFonts w:hint="eastAsia"/>
        </w:rPr>
        <w:lastRenderedPageBreak/>
        <w:t>为专有技术或者技术诀窍。</w:t>
      </w:r>
    </w:p>
    <w:p w14:paraId="01B5ADBB" w14:textId="77777777" w:rsidR="001B139A" w:rsidRDefault="001B139A" w:rsidP="001B139A">
      <w:pPr>
        <w:pStyle w:val="13"/>
      </w:pPr>
      <w:r>
        <w:rPr>
          <w:rFonts w:hint="eastAsia"/>
        </w:rPr>
        <w:t>执行商业秘密资产评估业务，应当关注商业秘密的保密级别、保密期限、应用范围等，同时应当考虑权利人对商业秘密采取的保护措施，如竞业禁止协议等对商业秘密价值的影响。</w:t>
      </w:r>
    </w:p>
    <w:p w14:paraId="31D69209" w14:textId="11BEE6ED" w:rsidR="001B139A" w:rsidRDefault="00E05BDA" w:rsidP="001B139A">
      <w:pPr>
        <w:pStyle w:val="13"/>
        <w:ind w:firstLine="482"/>
      </w:pPr>
      <w:r w:rsidRPr="00E05BDA">
        <w:rPr>
          <w:rFonts w:hint="eastAsia"/>
          <w:b/>
          <w:bCs/>
        </w:rPr>
        <w:t xml:space="preserve">第二十一条 </w:t>
      </w:r>
      <w:r w:rsidR="001B139A">
        <w:t>集成电路布图设计，是指集成电路中至少有一个是有源元件的两个以上元件和部分或者全部互连线路的三维配置，或者为制造集成电路而准备的上述三维配置。其中，集成电路是指半导体集成电路，即以半导体材料为基片，将至少有一个是有源元件的两个以上元件和部分或者全部互连线路集成在基片之中或者基片之上，以执行某种电子功能的中间产品或者最终产品。</w:t>
      </w:r>
    </w:p>
    <w:p w14:paraId="0FAD3878" w14:textId="77777777" w:rsidR="001B139A" w:rsidRDefault="001B139A" w:rsidP="001B139A">
      <w:pPr>
        <w:pStyle w:val="13"/>
      </w:pPr>
      <w:r>
        <w:rPr>
          <w:rFonts w:hint="eastAsia"/>
        </w:rPr>
        <w:t>集成电路布图设计资产评估对象是指集成电路布图设计资产的权益，包括专有权和许可他人使用的权利。</w:t>
      </w:r>
    </w:p>
    <w:p w14:paraId="035C0BDE" w14:textId="77777777" w:rsidR="001B139A" w:rsidRDefault="001B139A" w:rsidP="001B139A">
      <w:pPr>
        <w:pStyle w:val="13"/>
      </w:pPr>
      <w:r>
        <w:rPr>
          <w:rFonts w:hint="eastAsia"/>
        </w:rPr>
        <w:t>集成电路布图设计权利人享有下列专有权：</w:t>
      </w:r>
    </w:p>
    <w:p w14:paraId="7D4006EE" w14:textId="77777777" w:rsidR="001B139A" w:rsidRDefault="001B139A" w:rsidP="001B139A">
      <w:pPr>
        <w:pStyle w:val="13"/>
      </w:pPr>
      <w:r>
        <w:rPr>
          <w:rFonts w:hint="eastAsia"/>
        </w:rPr>
        <w:t>（一）对受保护的布图设计的全部或者其中任何具有独创性的部分进行复制；</w:t>
      </w:r>
    </w:p>
    <w:p w14:paraId="1C56DD03" w14:textId="77777777" w:rsidR="001B139A" w:rsidRDefault="001B139A" w:rsidP="001B139A">
      <w:pPr>
        <w:pStyle w:val="13"/>
      </w:pPr>
      <w:r>
        <w:rPr>
          <w:rFonts w:hint="eastAsia"/>
        </w:rPr>
        <w:t>（二）将受保护的布图设计、含有该布图设计的集成电路或者含有该集成电路的物品投入商业利用。</w:t>
      </w:r>
    </w:p>
    <w:p w14:paraId="4B697C01" w14:textId="77777777" w:rsidR="001B139A" w:rsidRDefault="001B139A" w:rsidP="001B139A">
      <w:pPr>
        <w:pStyle w:val="13"/>
      </w:pPr>
      <w:r>
        <w:rPr>
          <w:rFonts w:hint="eastAsia"/>
        </w:rPr>
        <w:t>集成电路布图设计权利人可以将其专有权转让或者许可他人使用其布图设计。</w:t>
      </w:r>
    </w:p>
    <w:p w14:paraId="28C709E2" w14:textId="77777777" w:rsidR="001B139A" w:rsidRDefault="001B139A" w:rsidP="001B139A">
      <w:pPr>
        <w:pStyle w:val="13"/>
      </w:pPr>
      <w:r>
        <w:rPr>
          <w:rFonts w:hint="eastAsia"/>
        </w:rPr>
        <w:t>在执行集成电路布图设计资产评估业务时，应当关注是否存在反向工程、强制许可、独立创作的相同设计等情况，并考虑其对评估结论的影响。</w:t>
      </w:r>
    </w:p>
    <w:p w14:paraId="76D2DC92" w14:textId="4AA39159" w:rsidR="001B139A" w:rsidRDefault="00E05BDA" w:rsidP="001B139A">
      <w:pPr>
        <w:pStyle w:val="13"/>
        <w:ind w:firstLine="482"/>
      </w:pPr>
      <w:r w:rsidRPr="00E05BDA">
        <w:rPr>
          <w:rFonts w:hint="eastAsia"/>
          <w:b/>
          <w:bCs/>
        </w:rPr>
        <w:t xml:space="preserve">第二十二条 </w:t>
      </w:r>
      <w:r w:rsidR="001B139A">
        <w:t>植物新品种是指经过人工培育的或者对发现的野生植物加以开发，具备新颖性、特异性、一致性和稳定性，并有适当命名的植物品种。</w:t>
      </w:r>
    </w:p>
    <w:p w14:paraId="1264B318" w14:textId="77777777" w:rsidR="001B139A" w:rsidRDefault="001B139A" w:rsidP="001B139A">
      <w:pPr>
        <w:pStyle w:val="13"/>
      </w:pPr>
      <w:r>
        <w:rPr>
          <w:rFonts w:hint="eastAsia"/>
        </w:rPr>
        <w:t>植物新品</w:t>
      </w:r>
      <w:proofErr w:type="gramStart"/>
      <w:r>
        <w:rPr>
          <w:rFonts w:hint="eastAsia"/>
        </w:rPr>
        <w:t>种资产</w:t>
      </w:r>
      <w:proofErr w:type="gramEnd"/>
      <w:r>
        <w:rPr>
          <w:rFonts w:hint="eastAsia"/>
        </w:rPr>
        <w:t>评估对象是</w:t>
      </w:r>
      <w:proofErr w:type="gramStart"/>
      <w:r>
        <w:rPr>
          <w:rFonts w:hint="eastAsia"/>
        </w:rPr>
        <w:t>指相关</w:t>
      </w:r>
      <w:proofErr w:type="gramEnd"/>
      <w:r>
        <w:rPr>
          <w:rFonts w:hint="eastAsia"/>
        </w:rPr>
        <w:t>权利人拥有或控制的，能够持续发挥作用并且能带来经济利益的由农业部门或者林业部门授予的植物新品种权益。</w:t>
      </w:r>
    </w:p>
    <w:p w14:paraId="3C37627B" w14:textId="77777777" w:rsidR="001B139A" w:rsidRDefault="001B139A" w:rsidP="001B139A">
      <w:pPr>
        <w:pStyle w:val="13"/>
      </w:pPr>
      <w:r>
        <w:rPr>
          <w:rFonts w:hint="eastAsia"/>
        </w:rPr>
        <w:t>执行涉外转让植物新品</w:t>
      </w:r>
      <w:proofErr w:type="gramStart"/>
      <w:r>
        <w:rPr>
          <w:rFonts w:hint="eastAsia"/>
        </w:rPr>
        <w:t>种资产</w:t>
      </w:r>
      <w:proofErr w:type="gramEnd"/>
      <w:r>
        <w:rPr>
          <w:rFonts w:hint="eastAsia"/>
        </w:rPr>
        <w:t>评估业务，应当要求委托人提供包括相关审批机关予以登记的证明、相关审批机关同意转让的批准回复以及相关审批机关发布的转让公告等经济行为依据。</w:t>
      </w:r>
    </w:p>
    <w:p w14:paraId="2D260336" w14:textId="1CFDE156" w:rsidR="001B139A" w:rsidRDefault="001B139A" w:rsidP="00FF115A">
      <w:pPr>
        <w:pStyle w:val="13"/>
      </w:pPr>
      <w:r>
        <w:rPr>
          <w:rFonts w:hint="eastAsia"/>
        </w:rPr>
        <w:t>执行植物新品</w:t>
      </w:r>
      <w:proofErr w:type="gramStart"/>
      <w:r>
        <w:rPr>
          <w:rFonts w:hint="eastAsia"/>
        </w:rPr>
        <w:t>种资产</w:t>
      </w:r>
      <w:proofErr w:type="gramEnd"/>
      <w:r>
        <w:rPr>
          <w:rFonts w:hint="eastAsia"/>
        </w:rPr>
        <w:t>评估业务，应当关注植物新品</w:t>
      </w:r>
      <w:proofErr w:type="gramStart"/>
      <w:r>
        <w:rPr>
          <w:rFonts w:hint="eastAsia"/>
        </w:rPr>
        <w:t>种是否</w:t>
      </w:r>
      <w:proofErr w:type="gramEnd"/>
      <w:r>
        <w:rPr>
          <w:rFonts w:hint="eastAsia"/>
        </w:rPr>
        <w:t>已经由相关部门审定、以及审定对植物新品种应用范围的限制。</w:t>
      </w:r>
    </w:p>
    <w:p w14:paraId="2655E7A4" w14:textId="7901E59F" w:rsidR="001B139A" w:rsidRDefault="00E05BDA" w:rsidP="001B139A">
      <w:pPr>
        <w:pStyle w:val="13"/>
        <w:ind w:firstLine="482"/>
      </w:pPr>
      <w:r w:rsidRPr="00E05BDA">
        <w:rPr>
          <w:rFonts w:hint="eastAsia"/>
          <w:b/>
          <w:bCs/>
        </w:rPr>
        <w:t xml:space="preserve">第二十三条 </w:t>
      </w:r>
      <w:r w:rsidR="001B139A">
        <w:t>确定知识产权资产价值的评估方法包括市场法、收益法和成本法三种基本方法及其衍生方法。</w:t>
      </w:r>
    </w:p>
    <w:p w14:paraId="48A43AD2" w14:textId="77777777" w:rsidR="001B139A" w:rsidRDefault="001B139A" w:rsidP="001B139A">
      <w:pPr>
        <w:pStyle w:val="13"/>
      </w:pPr>
      <w:r>
        <w:rPr>
          <w:rFonts w:hint="eastAsia"/>
        </w:rPr>
        <w:t>执行知识产权资产评估业务，应当根据评估目的、评估对象、价值类型、资料收集等情况，分析上述三种基本方法的适用性，选择评估方法。</w:t>
      </w:r>
    </w:p>
    <w:p w14:paraId="5F7165A0" w14:textId="574A317F" w:rsidR="001B139A" w:rsidRDefault="00E05BDA" w:rsidP="001B139A">
      <w:pPr>
        <w:pStyle w:val="13"/>
        <w:ind w:firstLine="482"/>
      </w:pPr>
      <w:r w:rsidRPr="00E05BDA">
        <w:rPr>
          <w:rFonts w:hint="eastAsia"/>
          <w:b/>
          <w:bCs/>
        </w:rPr>
        <w:t xml:space="preserve">第二十四条 </w:t>
      </w:r>
      <w:r w:rsidR="001B139A">
        <w:t>编制知识产权资产评估报告应当反映知识产权资产的特点，通常包括下列内容：</w:t>
      </w:r>
    </w:p>
    <w:p w14:paraId="1C549513" w14:textId="77777777" w:rsidR="001B139A" w:rsidRDefault="001B139A" w:rsidP="001B139A">
      <w:pPr>
        <w:pStyle w:val="13"/>
      </w:pPr>
      <w:r>
        <w:rPr>
          <w:rFonts w:hint="eastAsia"/>
        </w:rPr>
        <w:t>（一）知识产权资产的性质、权利状况及限制条件；</w:t>
      </w:r>
    </w:p>
    <w:p w14:paraId="73E7CD98" w14:textId="77777777" w:rsidR="001B139A" w:rsidRDefault="001B139A" w:rsidP="001B139A">
      <w:pPr>
        <w:pStyle w:val="13"/>
      </w:pPr>
      <w:r>
        <w:rPr>
          <w:rFonts w:hint="eastAsia"/>
        </w:rPr>
        <w:lastRenderedPageBreak/>
        <w:t>（二）知识产权资产实施的地域限制、领域限制及法律限制条件；</w:t>
      </w:r>
    </w:p>
    <w:p w14:paraId="1EC73C4D" w14:textId="77777777" w:rsidR="001B139A" w:rsidRDefault="001B139A" w:rsidP="001B139A">
      <w:pPr>
        <w:pStyle w:val="13"/>
      </w:pPr>
      <w:r>
        <w:rPr>
          <w:rFonts w:hint="eastAsia"/>
        </w:rPr>
        <w:t>（三）宏观经济和行业前景；</w:t>
      </w:r>
    </w:p>
    <w:p w14:paraId="5C612805" w14:textId="77777777" w:rsidR="001B139A" w:rsidRDefault="001B139A" w:rsidP="001B139A">
      <w:pPr>
        <w:pStyle w:val="13"/>
      </w:pPr>
      <w:r>
        <w:rPr>
          <w:rFonts w:hint="eastAsia"/>
        </w:rPr>
        <w:t>（四）知识产权资产应用的历史、现实状况与发展前景；</w:t>
      </w:r>
    </w:p>
    <w:p w14:paraId="16491DB0" w14:textId="77777777" w:rsidR="001B139A" w:rsidRDefault="001B139A" w:rsidP="001B139A">
      <w:pPr>
        <w:pStyle w:val="13"/>
      </w:pPr>
      <w:r>
        <w:rPr>
          <w:rFonts w:hint="eastAsia"/>
        </w:rPr>
        <w:t>（五）知识产权资产的获利期限；</w:t>
      </w:r>
    </w:p>
    <w:p w14:paraId="0E04A290" w14:textId="77777777" w:rsidR="001B139A" w:rsidRDefault="001B139A" w:rsidP="001B139A">
      <w:pPr>
        <w:pStyle w:val="13"/>
      </w:pPr>
      <w:r>
        <w:rPr>
          <w:rFonts w:hint="eastAsia"/>
        </w:rPr>
        <w:t>（六）评估依据的信息来源；</w:t>
      </w:r>
    </w:p>
    <w:p w14:paraId="62DD1593" w14:textId="77777777" w:rsidR="001B139A" w:rsidRDefault="001B139A" w:rsidP="001B139A">
      <w:pPr>
        <w:pStyle w:val="13"/>
      </w:pPr>
      <w:r>
        <w:rPr>
          <w:rFonts w:hint="eastAsia"/>
        </w:rPr>
        <w:t>（七）其他必要信息。</w:t>
      </w:r>
    </w:p>
    <w:p w14:paraId="56918922" w14:textId="4AC2D44A" w:rsidR="001B139A" w:rsidRDefault="00E05BDA" w:rsidP="001B139A">
      <w:pPr>
        <w:pStyle w:val="13"/>
        <w:ind w:firstLine="482"/>
      </w:pPr>
      <w:r w:rsidRPr="00E05BDA">
        <w:rPr>
          <w:rFonts w:hint="eastAsia"/>
          <w:b/>
          <w:bCs/>
        </w:rPr>
        <w:t xml:space="preserve">第二十五条 </w:t>
      </w:r>
      <w:r w:rsidR="001B139A">
        <w:t>知识产权资产评估报告应当明确说明评估过程和依据，通常包括下列内容：</w:t>
      </w:r>
    </w:p>
    <w:p w14:paraId="2846CA4D" w14:textId="77777777" w:rsidR="001B139A" w:rsidRDefault="001B139A" w:rsidP="001B139A">
      <w:pPr>
        <w:pStyle w:val="13"/>
      </w:pPr>
      <w:r>
        <w:rPr>
          <w:rFonts w:hint="eastAsia"/>
        </w:rPr>
        <w:t>（一）价值类型的选择及其定义；</w:t>
      </w:r>
    </w:p>
    <w:p w14:paraId="3ECBA37F" w14:textId="77777777" w:rsidR="001B139A" w:rsidRDefault="001B139A" w:rsidP="001B139A">
      <w:pPr>
        <w:pStyle w:val="13"/>
      </w:pPr>
      <w:r>
        <w:rPr>
          <w:rFonts w:hint="eastAsia"/>
        </w:rPr>
        <w:t>（二）评估方法的选择及其理由；</w:t>
      </w:r>
    </w:p>
    <w:p w14:paraId="254C0978" w14:textId="77777777" w:rsidR="001B139A" w:rsidRDefault="001B139A" w:rsidP="001B139A">
      <w:pPr>
        <w:pStyle w:val="13"/>
      </w:pPr>
      <w:r>
        <w:rPr>
          <w:rFonts w:hint="eastAsia"/>
        </w:rPr>
        <w:t>（三）各重要参数的来源、分析、比较与测算过程；</w:t>
      </w:r>
    </w:p>
    <w:p w14:paraId="7113FB43" w14:textId="77777777" w:rsidR="001B139A" w:rsidRDefault="001B139A" w:rsidP="001B139A">
      <w:pPr>
        <w:pStyle w:val="13"/>
      </w:pPr>
      <w:r>
        <w:rPr>
          <w:rFonts w:hint="eastAsia"/>
        </w:rPr>
        <w:t>（四）对测算结果进行分析，形成评估结论的过程；</w:t>
      </w:r>
    </w:p>
    <w:p w14:paraId="269B1BCC" w14:textId="77777777" w:rsidR="001B139A" w:rsidRDefault="001B139A" w:rsidP="001B139A">
      <w:pPr>
        <w:pStyle w:val="13"/>
      </w:pPr>
      <w:r>
        <w:rPr>
          <w:rFonts w:hint="eastAsia"/>
        </w:rPr>
        <w:t>（五）评估结论成立的假设前提和限制条件；</w:t>
      </w:r>
    </w:p>
    <w:p w14:paraId="27862EA9" w14:textId="77777777" w:rsidR="001B139A" w:rsidRDefault="001B139A" w:rsidP="001B139A">
      <w:pPr>
        <w:pStyle w:val="13"/>
      </w:pPr>
      <w:r>
        <w:rPr>
          <w:rFonts w:hint="eastAsia"/>
        </w:rPr>
        <w:t>（六）可能影响评估结论的特别事项。</w:t>
      </w:r>
    </w:p>
    <w:p w14:paraId="61B8E328" w14:textId="77777777" w:rsidR="001B139A" w:rsidRDefault="001B139A" w:rsidP="00AF7342">
      <w:pPr>
        <w:pStyle w:val="a9"/>
        <w:spacing w:before="62" w:after="62"/>
      </w:pPr>
      <w:r>
        <w:rPr>
          <w:rFonts w:hint="eastAsia"/>
        </w:rPr>
        <w:t>第三章</w:t>
      </w:r>
      <w:r>
        <w:t xml:space="preserve"> 以转让或者许可使用为目的的知识产权资产评估</w:t>
      </w:r>
    </w:p>
    <w:p w14:paraId="0CEF669A" w14:textId="6A1FEE9F" w:rsidR="001B139A" w:rsidRDefault="00E05BDA" w:rsidP="001B139A">
      <w:pPr>
        <w:pStyle w:val="13"/>
        <w:ind w:firstLine="482"/>
      </w:pPr>
      <w:r w:rsidRPr="00E05BDA">
        <w:rPr>
          <w:rFonts w:hint="eastAsia"/>
          <w:b/>
          <w:bCs/>
        </w:rPr>
        <w:t xml:space="preserve">第二十六条 </w:t>
      </w:r>
      <w:r w:rsidR="001B139A">
        <w:t>执行以转让或者许可使用为目的的知识产权资产评估业务，应当知晓评估对象通常为知识产权资产的所有权或者使用权，并要求委托人明确评估对象。</w:t>
      </w:r>
    </w:p>
    <w:p w14:paraId="573FD917" w14:textId="55DD1A57" w:rsidR="001B139A" w:rsidRDefault="00E05BDA" w:rsidP="001B139A">
      <w:pPr>
        <w:pStyle w:val="13"/>
        <w:ind w:firstLine="482"/>
      </w:pPr>
      <w:r w:rsidRPr="00E05BDA">
        <w:rPr>
          <w:rFonts w:hint="eastAsia"/>
          <w:b/>
          <w:bCs/>
        </w:rPr>
        <w:t xml:space="preserve">第二十七条 </w:t>
      </w:r>
      <w:r w:rsidR="001B139A">
        <w:t>执行以转让或者许可使用为目的的知识产权资产评估业务，应当考虑评估目的、市场条件、评估对象自身条件等因素，恰当选择价值类型。以出资、转让、许可使用等交易为目的的通常选择市场价值或者投资价值。</w:t>
      </w:r>
    </w:p>
    <w:p w14:paraId="529938F3" w14:textId="0B269EB4" w:rsidR="001B139A" w:rsidRDefault="00E05BDA" w:rsidP="001B139A">
      <w:pPr>
        <w:pStyle w:val="13"/>
        <w:ind w:firstLine="482"/>
      </w:pPr>
      <w:r w:rsidRPr="00E05BDA">
        <w:rPr>
          <w:rFonts w:hint="eastAsia"/>
          <w:b/>
          <w:bCs/>
        </w:rPr>
        <w:t xml:space="preserve">第二十八条 </w:t>
      </w:r>
      <w:r w:rsidR="001B139A">
        <w:t>执行以转让为目的的知识产权资产评估业务，应当关注委托人已经确定的转让方式和转让价款的支付方式等因素，确定其对评估结论的影响，并在资产评估报告中披露转让方式等事项。</w:t>
      </w:r>
    </w:p>
    <w:p w14:paraId="5B2AA868" w14:textId="4D54AD77" w:rsidR="001B139A" w:rsidRDefault="00E05BDA" w:rsidP="001B139A">
      <w:pPr>
        <w:pStyle w:val="13"/>
        <w:ind w:firstLine="482"/>
      </w:pPr>
      <w:r w:rsidRPr="00E05BDA">
        <w:rPr>
          <w:rFonts w:hint="eastAsia"/>
          <w:b/>
          <w:bCs/>
        </w:rPr>
        <w:t xml:space="preserve">第二十九条 </w:t>
      </w:r>
      <w:r w:rsidR="001B139A">
        <w:t>执行以许可使用为目的的知识产权资产评估业务，应当关注许可使用的具体形式、许可使用费支付方式、许可使用期限和范围等，确定其对评估结论的影响</w:t>
      </w:r>
      <w:r w:rsidR="003C1F46">
        <w:t>，</w:t>
      </w:r>
      <w:r w:rsidR="001B139A">
        <w:t>并在资产评估报告中披露许可使用的具体形式、许可使用费支付方式、许可使用期限和范围等。</w:t>
      </w:r>
    </w:p>
    <w:p w14:paraId="0E8B7E5E" w14:textId="77777777" w:rsidR="001B139A" w:rsidRDefault="001B139A" w:rsidP="00AF7342">
      <w:pPr>
        <w:pStyle w:val="a9"/>
        <w:spacing w:before="62" w:after="62"/>
      </w:pPr>
      <w:r>
        <w:rPr>
          <w:rFonts w:hint="eastAsia"/>
        </w:rPr>
        <w:t>第四章</w:t>
      </w:r>
      <w:r>
        <w:t xml:space="preserve"> 以出资为目的的知识产权资产评估</w:t>
      </w:r>
    </w:p>
    <w:p w14:paraId="187B94CC" w14:textId="36B8DC94" w:rsidR="001B139A" w:rsidRDefault="00E05BDA" w:rsidP="001B139A">
      <w:pPr>
        <w:pStyle w:val="13"/>
        <w:ind w:firstLine="482"/>
      </w:pPr>
      <w:r w:rsidRPr="00E05BDA">
        <w:rPr>
          <w:rFonts w:hint="eastAsia"/>
          <w:b/>
          <w:bCs/>
        </w:rPr>
        <w:t xml:space="preserve">第三十条 </w:t>
      </w:r>
      <w:r w:rsidR="001B139A">
        <w:t>执行以出资为目的的知识产权资产评估业务，应当熟悉知识产权管理部门以及工商行政管理部门关于知识产权出资的有关规定。</w:t>
      </w:r>
    </w:p>
    <w:p w14:paraId="580815DF" w14:textId="006F2193" w:rsidR="001B139A" w:rsidRDefault="003B2FB1" w:rsidP="001B139A">
      <w:pPr>
        <w:pStyle w:val="13"/>
        <w:ind w:firstLine="482"/>
      </w:pPr>
      <w:r w:rsidRPr="003B2FB1">
        <w:rPr>
          <w:rFonts w:hint="eastAsia"/>
          <w:b/>
          <w:bCs/>
        </w:rPr>
        <w:t xml:space="preserve">第三十一条 </w:t>
      </w:r>
      <w:r w:rsidR="001B139A">
        <w:t>以出资为目的的知识产权资产评估业务包括：</w:t>
      </w:r>
    </w:p>
    <w:p w14:paraId="493BFBF4" w14:textId="1B18F3BC" w:rsidR="001B139A" w:rsidRDefault="001B139A" w:rsidP="001B139A">
      <w:pPr>
        <w:pStyle w:val="13"/>
      </w:pPr>
      <w:r>
        <w:rPr>
          <w:rFonts w:hint="eastAsia"/>
        </w:rPr>
        <w:t>（一）工商行政管理部门受理的有限责任公司或者股份有限公司设立或者增资时</w:t>
      </w:r>
      <w:r w:rsidR="003C1F46">
        <w:rPr>
          <w:rFonts w:hint="eastAsia"/>
        </w:rPr>
        <w:t>，</w:t>
      </w:r>
      <w:r>
        <w:t>对作为股东或者发起人出资的知识产权资产进行的评估；</w:t>
      </w:r>
    </w:p>
    <w:p w14:paraId="1D3DA7B8" w14:textId="77777777" w:rsidR="001B139A" w:rsidRDefault="001B139A" w:rsidP="001B139A">
      <w:pPr>
        <w:pStyle w:val="13"/>
      </w:pPr>
      <w:r>
        <w:rPr>
          <w:rFonts w:hint="eastAsia"/>
        </w:rPr>
        <w:lastRenderedPageBreak/>
        <w:t>（二）工商行政管理部门受理的其他非公司法</w:t>
      </w:r>
      <w:proofErr w:type="gramStart"/>
      <w:r>
        <w:rPr>
          <w:rFonts w:hint="eastAsia"/>
        </w:rPr>
        <w:t>人类型</w:t>
      </w:r>
      <w:proofErr w:type="gramEnd"/>
      <w:r>
        <w:rPr>
          <w:rFonts w:hint="eastAsia"/>
        </w:rPr>
        <w:t>企业所涉及的以知识产权资产出资的资产评估；</w:t>
      </w:r>
    </w:p>
    <w:p w14:paraId="6157FCC8" w14:textId="77777777" w:rsidR="001B139A" w:rsidRDefault="001B139A" w:rsidP="001B139A">
      <w:pPr>
        <w:pStyle w:val="13"/>
      </w:pPr>
      <w:r>
        <w:rPr>
          <w:rFonts w:hint="eastAsia"/>
        </w:rPr>
        <w:t>（三）法律、行政法规规定的其他需要进行知识产权资产评估的事项。</w:t>
      </w:r>
    </w:p>
    <w:p w14:paraId="078974AE" w14:textId="2FD58AC5" w:rsidR="001B139A" w:rsidRDefault="003B2FB1" w:rsidP="001B139A">
      <w:pPr>
        <w:pStyle w:val="13"/>
        <w:ind w:firstLine="482"/>
      </w:pPr>
      <w:r w:rsidRPr="003B2FB1">
        <w:rPr>
          <w:rFonts w:hint="eastAsia"/>
          <w:b/>
          <w:bCs/>
        </w:rPr>
        <w:t xml:space="preserve">第三十二条 </w:t>
      </w:r>
      <w:r w:rsidR="001B139A">
        <w:t>知识产权出资应当符合《中华人民共和国公司法》、《中华人民共和国公司登记管理条例》、《公司注册资本登记管理规定》等法律、行政法规的要求。</w:t>
      </w:r>
    </w:p>
    <w:p w14:paraId="3F4DD987" w14:textId="77777777" w:rsidR="001B139A" w:rsidRDefault="001B139A" w:rsidP="001B139A">
      <w:pPr>
        <w:pStyle w:val="13"/>
      </w:pPr>
      <w:r>
        <w:rPr>
          <w:rFonts w:hint="eastAsia"/>
        </w:rPr>
        <w:t>执行知识产权资产出资评估业务应当关注评估对象是否可以用于出资，但不得对评估对象是否可以作为出资资产进行确认或者发表意见。</w:t>
      </w:r>
    </w:p>
    <w:p w14:paraId="289EF13A" w14:textId="7F59EEEC" w:rsidR="001B139A" w:rsidRDefault="003B2FB1" w:rsidP="001B139A">
      <w:pPr>
        <w:pStyle w:val="13"/>
        <w:ind w:firstLine="482"/>
      </w:pPr>
      <w:r w:rsidRPr="003B2FB1">
        <w:rPr>
          <w:rFonts w:hint="eastAsia"/>
          <w:b/>
          <w:bCs/>
        </w:rPr>
        <w:t xml:space="preserve">第三十三条 </w:t>
      </w:r>
      <w:r w:rsidR="001B139A">
        <w:t>对重组、改制企业的知识产权资产进行评估时，应当关注的内容通常包括：</w:t>
      </w:r>
    </w:p>
    <w:p w14:paraId="74990819" w14:textId="77777777" w:rsidR="001B139A" w:rsidRDefault="001B139A" w:rsidP="001B139A">
      <w:pPr>
        <w:pStyle w:val="13"/>
      </w:pPr>
      <w:r>
        <w:rPr>
          <w:rFonts w:hint="eastAsia"/>
        </w:rPr>
        <w:t>（一）资产的权利人与出资人是否一致；</w:t>
      </w:r>
    </w:p>
    <w:p w14:paraId="2DD8929B" w14:textId="77777777" w:rsidR="001B139A" w:rsidRDefault="001B139A" w:rsidP="001B139A">
      <w:pPr>
        <w:pStyle w:val="13"/>
      </w:pPr>
      <w:r>
        <w:rPr>
          <w:rFonts w:hint="eastAsia"/>
        </w:rPr>
        <w:t>（二）出资人的经济行为是否需经有权机构批准，并经相关管理部门审查同意；</w:t>
      </w:r>
    </w:p>
    <w:p w14:paraId="687D10F5" w14:textId="77777777" w:rsidR="001B139A" w:rsidRDefault="001B139A" w:rsidP="001B139A">
      <w:pPr>
        <w:pStyle w:val="13"/>
      </w:pPr>
      <w:r>
        <w:rPr>
          <w:rFonts w:hint="eastAsia"/>
        </w:rPr>
        <w:t>（三）设定他项权利的资产是否与其相对应的负债分离；</w:t>
      </w:r>
    </w:p>
    <w:p w14:paraId="2100803D" w14:textId="77777777" w:rsidR="001B139A" w:rsidRDefault="001B139A" w:rsidP="001B139A">
      <w:pPr>
        <w:pStyle w:val="13"/>
      </w:pPr>
      <w:r>
        <w:rPr>
          <w:rFonts w:hint="eastAsia"/>
        </w:rPr>
        <w:t>（四）企业重组、改制方案以及批复文件和相关法律意见书等。</w:t>
      </w:r>
    </w:p>
    <w:p w14:paraId="2B4479F4" w14:textId="77566FC6" w:rsidR="001B139A" w:rsidRDefault="003B2FB1" w:rsidP="001B139A">
      <w:pPr>
        <w:pStyle w:val="13"/>
        <w:ind w:firstLine="482"/>
      </w:pPr>
      <w:r w:rsidRPr="003B2FB1">
        <w:rPr>
          <w:rFonts w:hint="eastAsia"/>
          <w:b/>
          <w:bCs/>
        </w:rPr>
        <w:t xml:space="preserve">第三十四条 </w:t>
      </w:r>
      <w:r w:rsidR="001B139A">
        <w:t>执行知识产权出资资产评估业务应当关注评估对象可使用期限对其价值的影响，并结合知识产权资产法定保护期限以及受益期限评估其价值。</w:t>
      </w:r>
    </w:p>
    <w:p w14:paraId="2E7D3C51" w14:textId="7C04275D" w:rsidR="00FF115A" w:rsidRDefault="003B2FB1" w:rsidP="00FF115A">
      <w:pPr>
        <w:pStyle w:val="13"/>
        <w:ind w:firstLine="482"/>
      </w:pPr>
      <w:r w:rsidRPr="003B2FB1">
        <w:rPr>
          <w:rFonts w:hint="eastAsia"/>
          <w:b/>
          <w:bCs/>
        </w:rPr>
        <w:t xml:space="preserve">第三十五条 </w:t>
      </w:r>
      <w:r w:rsidR="001B139A">
        <w:t>采用收益法评估知识产权资产时，应当结合出资目的实现后评估对象合理的生产规模、市场份额、技术及管理水平等因素，综合判断未来收益预测的合理性。</w:t>
      </w:r>
    </w:p>
    <w:p w14:paraId="0500E7F4" w14:textId="0685274E" w:rsidR="001B139A" w:rsidRDefault="003B2FB1" w:rsidP="00FF115A">
      <w:pPr>
        <w:pStyle w:val="13"/>
        <w:ind w:firstLine="482"/>
      </w:pPr>
      <w:r w:rsidRPr="003B2FB1">
        <w:rPr>
          <w:b/>
          <w:bCs/>
        </w:rPr>
        <w:t xml:space="preserve">第三十六条 </w:t>
      </w:r>
      <w:r w:rsidR="001B139A">
        <w:t>对以包含知识产权的资产负债组合出资的，应当依据同口径的可靠财</w:t>
      </w:r>
      <w:r w:rsidR="001B139A">
        <w:rPr>
          <w:rFonts w:hint="eastAsia"/>
        </w:rPr>
        <w:t>务数据，分别选用适当的评估方法对各项资产和负债价值进行评估，以资产组合方式列示其价值。</w:t>
      </w:r>
    </w:p>
    <w:p w14:paraId="0ECF1E1C" w14:textId="77777777" w:rsidR="001B139A" w:rsidRDefault="001B139A" w:rsidP="00AF7342">
      <w:pPr>
        <w:pStyle w:val="a9"/>
        <w:spacing w:before="62" w:after="62"/>
      </w:pPr>
      <w:r>
        <w:rPr>
          <w:rFonts w:hint="eastAsia"/>
        </w:rPr>
        <w:t>第五章</w:t>
      </w:r>
      <w:r>
        <w:t xml:space="preserve"> 以质押为目的的知识产权资产评估</w:t>
      </w:r>
    </w:p>
    <w:p w14:paraId="3AC2E0EE" w14:textId="08E53A21" w:rsidR="001B139A" w:rsidRDefault="003B2FB1" w:rsidP="001B139A">
      <w:pPr>
        <w:pStyle w:val="13"/>
        <w:ind w:firstLine="482"/>
      </w:pPr>
      <w:r w:rsidRPr="003B2FB1">
        <w:rPr>
          <w:rFonts w:hint="eastAsia"/>
          <w:b/>
          <w:bCs/>
        </w:rPr>
        <w:t xml:space="preserve">第三十七条 </w:t>
      </w:r>
      <w:r w:rsidR="001B139A">
        <w:t>执行以质押为目的的知识产权资产评估业务，应当熟悉《中华人民共和国担保法》、《中华人民共和国物权法》以及知识产权管理部门、金融管理部门关于知识产权质押融资的相关规定。</w:t>
      </w:r>
    </w:p>
    <w:p w14:paraId="613BCC3F" w14:textId="45FFA5F1" w:rsidR="001B139A" w:rsidRDefault="003B2FB1" w:rsidP="001B139A">
      <w:pPr>
        <w:pStyle w:val="13"/>
        <w:ind w:firstLine="482"/>
      </w:pPr>
      <w:r w:rsidRPr="003B2FB1">
        <w:rPr>
          <w:rFonts w:hint="eastAsia"/>
          <w:b/>
          <w:bCs/>
        </w:rPr>
        <w:t xml:space="preserve">第三十八条 </w:t>
      </w:r>
      <w:r w:rsidR="001B139A">
        <w:t>执行知识产权资产质押评估业务应当关注出质知识产权需要具备的以下基本条件：</w:t>
      </w:r>
    </w:p>
    <w:p w14:paraId="4E177928" w14:textId="77777777" w:rsidR="001B139A" w:rsidRDefault="001B139A" w:rsidP="001B139A">
      <w:pPr>
        <w:pStyle w:val="13"/>
      </w:pPr>
      <w:r>
        <w:rPr>
          <w:rFonts w:hint="eastAsia"/>
        </w:rPr>
        <w:t>（一）出质人拥有完整、合法、有效的相关知识产权权利，产权关系明晰；</w:t>
      </w:r>
    </w:p>
    <w:p w14:paraId="758FDF6D" w14:textId="77777777" w:rsidR="001B139A" w:rsidRDefault="001B139A" w:rsidP="001B139A">
      <w:pPr>
        <w:pStyle w:val="13"/>
      </w:pPr>
      <w:r>
        <w:rPr>
          <w:rFonts w:hint="eastAsia"/>
        </w:rPr>
        <w:t>（二）出质的知识产权具有一定的价值，可以依法转让；</w:t>
      </w:r>
    </w:p>
    <w:p w14:paraId="2B7B4805" w14:textId="5DD5A3CC" w:rsidR="001B139A" w:rsidRDefault="001B139A" w:rsidP="001B139A">
      <w:pPr>
        <w:pStyle w:val="13"/>
      </w:pPr>
      <w:r>
        <w:rPr>
          <w:rFonts w:hint="eastAsia"/>
        </w:rPr>
        <w:t>（三）以专利权出质的，应当符合国家知识产权局关于专利权质押登记的相关规定</w:t>
      </w:r>
      <w:r w:rsidR="003068F8">
        <w:rPr>
          <w:rFonts w:hint="eastAsia"/>
        </w:rPr>
        <w:t>；</w:t>
      </w:r>
      <w:r>
        <w:t>以商标专用权出质的，应当符合工商行政管理局关于注册商标专用权质权登记的相关规定；以著作权出质的，应当符合国家版权局关于著作权质权登记的相关规定；</w:t>
      </w:r>
    </w:p>
    <w:p w14:paraId="33869F31" w14:textId="77777777" w:rsidR="001B139A" w:rsidRDefault="001B139A" w:rsidP="001B139A">
      <w:pPr>
        <w:pStyle w:val="13"/>
      </w:pPr>
      <w:r>
        <w:rPr>
          <w:rFonts w:hint="eastAsia"/>
        </w:rPr>
        <w:t>（四）构成知识产权组合的各单项知识产权，如果共同出质设定为质押对象，应当符合相关行政主管部门质押登记的有关规定；</w:t>
      </w:r>
    </w:p>
    <w:p w14:paraId="4E95D731" w14:textId="77777777" w:rsidR="001B139A" w:rsidRDefault="001B139A" w:rsidP="001B139A">
      <w:pPr>
        <w:pStyle w:val="13"/>
      </w:pPr>
      <w:r>
        <w:rPr>
          <w:rFonts w:hint="eastAsia"/>
        </w:rPr>
        <w:lastRenderedPageBreak/>
        <w:t>（五）符合其他法律、行政法规的要求。</w:t>
      </w:r>
    </w:p>
    <w:p w14:paraId="656D5C13" w14:textId="1E7B6979" w:rsidR="001B139A" w:rsidRDefault="003B2FB1" w:rsidP="001B139A">
      <w:pPr>
        <w:pStyle w:val="13"/>
        <w:ind w:firstLine="482"/>
      </w:pPr>
      <w:r w:rsidRPr="003B2FB1">
        <w:rPr>
          <w:rFonts w:hint="eastAsia"/>
          <w:b/>
          <w:bCs/>
        </w:rPr>
        <w:t xml:space="preserve">第三十九条 </w:t>
      </w:r>
      <w:r w:rsidR="001B139A">
        <w:t>执行知识产权资产质押评估业务应当关注出质知识产权的具体情况：</w:t>
      </w:r>
    </w:p>
    <w:p w14:paraId="2F72269C" w14:textId="77777777" w:rsidR="001B139A" w:rsidRDefault="001B139A" w:rsidP="001B139A">
      <w:pPr>
        <w:pStyle w:val="13"/>
      </w:pPr>
      <w:r>
        <w:rPr>
          <w:rFonts w:hint="eastAsia"/>
        </w:rPr>
        <w:t>（一）在评估共有知识产权时，应当关注知识产权共有人是否一致同意将该知识产权进行质押；</w:t>
      </w:r>
    </w:p>
    <w:p w14:paraId="4940031E" w14:textId="77777777" w:rsidR="001B139A" w:rsidRDefault="001B139A" w:rsidP="001B139A">
      <w:pPr>
        <w:pStyle w:val="13"/>
      </w:pPr>
      <w:r>
        <w:rPr>
          <w:rFonts w:hint="eastAsia"/>
        </w:rPr>
        <w:t>（二）评估对象是否存在合同约定的出质限制，包括时间、地域方面的限制以及存在质押、诉讼等权利限制；</w:t>
      </w:r>
    </w:p>
    <w:p w14:paraId="37C46493" w14:textId="77777777" w:rsidR="001B139A" w:rsidRDefault="001B139A" w:rsidP="001B139A">
      <w:pPr>
        <w:pStyle w:val="13"/>
      </w:pPr>
      <w:r>
        <w:rPr>
          <w:rFonts w:hint="eastAsia"/>
        </w:rPr>
        <w:t>（三）涉及知识产权质物处置评估时，应当关注与质押知识产权资产实施和运用不可分割的其他资产是否一并处置。</w:t>
      </w:r>
    </w:p>
    <w:p w14:paraId="04532A9B" w14:textId="0F0D6533" w:rsidR="001B139A" w:rsidRDefault="003B2FB1" w:rsidP="001B139A">
      <w:pPr>
        <w:pStyle w:val="13"/>
        <w:ind w:firstLine="482"/>
      </w:pPr>
      <w:r w:rsidRPr="003B2FB1">
        <w:rPr>
          <w:rFonts w:hint="eastAsia"/>
          <w:b/>
          <w:bCs/>
        </w:rPr>
        <w:t xml:space="preserve">第四十条 </w:t>
      </w:r>
      <w:r w:rsidR="001B139A">
        <w:t>执行知识产权资产质押评估业务应当关注评估对象是否可以用于出质，但不得对评估对象是否可以作为出</w:t>
      </w:r>
      <w:proofErr w:type="gramStart"/>
      <w:r w:rsidR="001B139A">
        <w:t>质资产</w:t>
      </w:r>
      <w:proofErr w:type="gramEnd"/>
      <w:r w:rsidR="001B139A">
        <w:t>进行确认或者发表意见。</w:t>
      </w:r>
    </w:p>
    <w:p w14:paraId="0C374212" w14:textId="71440B19" w:rsidR="001B139A" w:rsidRDefault="003B2FB1" w:rsidP="001B139A">
      <w:pPr>
        <w:pStyle w:val="13"/>
        <w:ind w:firstLine="482"/>
      </w:pPr>
      <w:r w:rsidRPr="003B2FB1">
        <w:rPr>
          <w:rFonts w:hint="eastAsia"/>
          <w:b/>
          <w:bCs/>
        </w:rPr>
        <w:t xml:space="preserve">第四十一条 </w:t>
      </w:r>
      <w:r w:rsidR="001B139A">
        <w:t>委托人将评估基准日设定在确定贷款审批发放或者</w:t>
      </w:r>
      <w:proofErr w:type="gramStart"/>
      <w:r w:rsidR="001B139A">
        <w:t>作出</w:t>
      </w:r>
      <w:proofErr w:type="gramEnd"/>
      <w:r w:rsidR="001B139A">
        <w:t>其他质押融资决策之前的，为了解知识产权资产在通常条件下能够合理实现的价值并以此确定贷款额度，可以委托评估其市场价值或者其他类型的价值。</w:t>
      </w:r>
    </w:p>
    <w:p w14:paraId="3EEE6A6E" w14:textId="77777777" w:rsidR="001B139A" w:rsidRDefault="001B139A" w:rsidP="001B139A">
      <w:pPr>
        <w:pStyle w:val="13"/>
      </w:pPr>
      <w:r>
        <w:rPr>
          <w:rFonts w:hint="eastAsia"/>
        </w:rPr>
        <w:t>委托人将评估基准日设定在出质人违约、拟处置知识产权资产时，为确定处置底价或者可变现价值提供参考依据，可以委托评估其市场价值或者清算价值。</w:t>
      </w:r>
    </w:p>
    <w:p w14:paraId="5B75D926" w14:textId="2FEE57E6" w:rsidR="001B139A" w:rsidRDefault="003B2FB1" w:rsidP="001B139A">
      <w:pPr>
        <w:pStyle w:val="13"/>
        <w:ind w:firstLine="482"/>
      </w:pPr>
      <w:r w:rsidRPr="003B2FB1">
        <w:rPr>
          <w:rFonts w:hint="eastAsia"/>
          <w:b/>
          <w:bCs/>
        </w:rPr>
        <w:t xml:space="preserve">第四十二条 </w:t>
      </w:r>
      <w:r w:rsidR="001B139A">
        <w:t>执行知识产权资产质押评估业务应当关注知识产权资产质押风险对资产评估报告相关信息披露的特殊要求，并对相关事项</w:t>
      </w:r>
      <w:proofErr w:type="gramStart"/>
      <w:r w:rsidR="001B139A">
        <w:t>作出</w:t>
      </w:r>
      <w:proofErr w:type="gramEnd"/>
      <w:r w:rsidR="001B139A">
        <w:t>充分披露。</w:t>
      </w:r>
    </w:p>
    <w:p w14:paraId="531862D1" w14:textId="31A62395" w:rsidR="001B139A" w:rsidRDefault="003B2FB1" w:rsidP="001B139A">
      <w:pPr>
        <w:pStyle w:val="13"/>
        <w:ind w:firstLine="482"/>
      </w:pPr>
      <w:r w:rsidRPr="003B2FB1">
        <w:rPr>
          <w:rFonts w:hint="eastAsia"/>
          <w:b/>
          <w:bCs/>
        </w:rPr>
        <w:t xml:space="preserve">第四十三条 </w:t>
      </w:r>
      <w:r w:rsidR="001B139A">
        <w:t>需要在存在重大不确定因素情况下</w:t>
      </w:r>
      <w:proofErr w:type="gramStart"/>
      <w:r w:rsidR="001B139A">
        <w:t>作出</w:t>
      </w:r>
      <w:proofErr w:type="gramEnd"/>
      <w:r w:rsidR="001B139A">
        <w:t>评估相关判断的，应当保持必要的谨慎，尽可能充分估计知识产权资产在处置时可能受到的限制、未来可能发生的风险和损失，并在资产评估报告中</w:t>
      </w:r>
      <w:proofErr w:type="gramStart"/>
      <w:r w:rsidR="001B139A">
        <w:t>作出</w:t>
      </w:r>
      <w:proofErr w:type="gramEnd"/>
      <w:r w:rsidR="001B139A">
        <w:t>必要的风险提示。法定优先受偿权利等情况的书面查询资料，应当作为资产评估报告的附件。</w:t>
      </w:r>
    </w:p>
    <w:p w14:paraId="6993C7DC" w14:textId="7401CB28" w:rsidR="001B139A" w:rsidRDefault="003B2FB1" w:rsidP="001B139A">
      <w:pPr>
        <w:pStyle w:val="13"/>
        <w:ind w:firstLine="482"/>
      </w:pPr>
      <w:r w:rsidRPr="003B2FB1">
        <w:rPr>
          <w:rFonts w:hint="eastAsia"/>
          <w:b/>
          <w:bCs/>
        </w:rPr>
        <w:t xml:space="preserve">第四十四条 </w:t>
      </w:r>
      <w:r w:rsidR="001B139A">
        <w:t>跟踪评估出质知识产权市场价值或者其他类型的价值，应当对知识产权实施市场已经发生的变化予以充分考虑和说明。</w:t>
      </w:r>
    </w:p>
    <w:p w14:paraId="65673E40" w14:textId="77777777" w:rsidR="001B139A" w:rsidRDefault="001B139A" w:rsidP="00AF7342">
      <w:pPr>
        <w:pStyle w:val="a9"/>
        <w:spacing w:before="62" w:after="62"/>
      </w:pPr>
      <w:r>
        <w:rPr>
          <w:rFonts w:hint="eastAsia"/>
        </w:rPr>
        <w:t>第六章</w:t>
      </w:r>
      <w:r>
        <w:t xml:space="preserve"> 以诉讼为目的的知识产权资产评估</w:t>
      </w:r>
    </w:p>
    <w:p w14:paraId="44CC1CB4" w14:textId="05E60030" w:rsidR="001B139A" w:rsidRDefault="003B2FB1" w:rsidP="001B139A">
      <w:pPr>
        <w:pStyle w:val="13"/>
        <w:ind w:firstLine="482"/>
      </w:pPr>
      <w:r w:rsidRPr="003B2FB1">
        <w:rPr>
          <w:rFonts w:hint="eastAsia"/>
          <w:b/>
          <w:bCs/>
        </w:rPr>
        <w:t xml:space="preserve">第四十五条 </w:t>
      </w:r>
      <w:r w:rsidR="001B139A">
        <w:t>执行以诉讼为目的的知识产权资产评估业务，应当熟悉国家司法部门和知识产权管理部门有关知识产权诉讼的规定。</w:t>
      </w:r>
    </w:p>
    <w:p w14:paraId="6575FE1B" w14:textId="62494A30" w:rsidR="001B139A" w:rsidRDefault="003B2FB1" w:rsidP="001B139A">
      <w:pPr>
        <w:pStyle w:val="13"/>
        <w:ind w:firstLine="482"/>
      </w:pPr>
      <w:r w:rsidRPr="003B2FB1">
        <w:rPr>
          <w:rFonts w:hint="eastAsia"/>
          <w:b/>
          <w:bCs/>
        </w:rPr>
        <w:t xml:space="preserve">第四十六条 </w:t>
      </w:r>
      <w:r w:rsidR="001B139A">
        <w:t>执行以诉讼为目的的知识产权资产评估业务，应当与委托人和相关当事人进行充分沟通，了解案情基本情况，并且通过现场调查和资料收集等确认评估对象和评估范围，诉讼评估的知识产权资产通常为涉案资产或者其他相关经济利益。</w:t>
      </w:r>
    </w:p>
    <w:p w14:paraId="7AA22E0B" w14:textId="77777777" w:rsidR="001B139A" w:rsidRDefault="001B139A" w:rsidP="001B139A">
      <w:pPr>
        <w:pStyle w:val="13"/>
      </w:pPr>
      <w:r>
        <w:rPr>
          <w:rFonts w:hint="eastAsia"/>
        </w:rPr>
        <w:t>其他相关经济利益是指一方当事人的行为给另一方当事人造成的经济损失以及费用增加等，通常包括侵权损失、资产损害，以及由于个人或者法人经营、合同纠纷等行为引起的相关经济利益变化。</w:t>
      </w:r>
    </w:p>
    <w:p w14:paraId="3ACD4CD7" w14:textId="254C8627" w:rsidR="001B139A" w:rsidRDefault="003B2FB1" w:rsidP="001B139A">
      <w:pPr>
        <w:pStyle w:val="13"/>
        <w:ind w:firstLine="482"/>
      </w:pPr>
      <w:r w:rsidRPr="003B2FB1">
        <w:rPr>
          <w:rFonts w:hint="eastAsia"/>
          <w:b/>
          <w:bCs/>
        </w:rPr>
        <w:t xml:space="preserve">第四十七条 </w:t>
      </w:r>
      <w:r w:rsidR="001B139A">
        <w:t>执行以诉讼为目的的知识产权资产评估业务，应当提醒委托人根据</w:t>
      </w:r>
      <w:r w:rsidR="001B139A">
        <w:lastRenderedPageBreak/>
        <w:t>评估对象和具体案件的不同，合理确定评估基准日。评估基准日可以是过去或者现在的某一时点。</w:t>
      </w:r>
    </w:p>
    <w:p w14:paraId="71099CDC" w14:textId="289F7296" w:rsidR="001B139A" w:rsidRDefault="001B139A" w:rsidP="001B139A">
      <w:pPr>
        <w:pStyle w:val="13"/>
        <w:ind w:firstLine="482"/>
      </w:pPr>
      <w:r w:rsidRPr="00FF115A">
        <w:rPr>
          <w:rFonts w:hint="eastAsia"/>
          <w:b/>
          <w:bCs/>
        </w:rPr>
        <w:t>第四十八</w:t>
      </w:r>
      <w:r w:rsidR="00793E5D">
        <w:rPr>
          <w:rFonts w:hint="eastAsia"/>
          <w:b/>
          <w:bCs/>
        </w:rPr>
        <w:t xml:space="preserve">条 </w:t>
      </w:r>
      <w:r>
        <w:t>执行以诉讼为目的的知识产权资产评估业务，应当根据评估目的、评估对象、案件具体情况以及所处阶段的不同，合理确定涉案知识产权资产评估的价值类型。</w:t>
      </w:r>
    </w:p>
    <w:p w14:paraId="2AC4B2EC" w14:textId="5DED09A1" w:rsidR="001B139A" w:rsidRDefault="001B139A" w:rsidP="001B139A">
      <w:pPr>
        <w:pStyle w:val="13"/>
        <w:ind w:firstLine="482"/>
      </w:pPr>
      <w:r w:rsidRPr="00FF115A">
        <w:rPr>
          <w:rFonts w:hint="eastAsia"/>
          <w:b/>
          <w:bCs/>
        </w:rPr>
        <w:t>第四十九</w:t>
      </w:r>
      <w:r w:rsidR="00793E5D">
        <w:rPr>
          <w:rFonts w:hint="eastAsia"/>
          <w:b/>
          <w:bCs/>
        </w:rPr>
        <w:t xml:space="preserve">条 </w:t>
      </w:r>
      <w:r>
        <w:t>执行以诉讼为目的的知识产权资产评估业务，应当尽可能要求委托人和其他相关当事人提供相关资料，并要求其对资料的真实性、完整性、合法性进行确认，同时通过市场调查、专家访谈等方式收集评估资料。</w:t>
      </w:r>
    </w:p>
    <w:p w14:paraId="5710BFC8" w14:textId="6D424A35" w:rsidR="001B139A" w:rsidRDefault="001B139A" w:rsidP="001B139A">
      <w:pPr>
        <w:pStyle w:val="13"/>
        <w:ind w:firstLine="482"/>
      </w:pPr>
      <w:r w:rsidRPr="00FF115A">
        <w:rPr>
          <w:rFonts w:hint="eastAsia"/>
          <w:b/>
          <w:bCs/>
        </w:rPr>
        <w:t>第五十</w:t>
      </w:r>
      <w:r w:rsidR="00793E5D">
        <w:rPr>
          <w:rFonts w:hint="eastAsia"/>
          <w:b/>
          <w:bCs/>
        </w:rPr>
        <w:t xml:space="preserve">条 </w:t>
      </w:r>
      <w:r>
        <w:t>执行以诉讼为目的的知识产权资产评估业务，应当尽可能在委托人、其他相关当事人的配合下进行现场调查。</w:t>
      </w:r>
    </w:p>
    <w:p w14:paraId="389A3067" w14:textId="77777777" w:rsidR="001B139A" w:rsidRDefault="001B139A" w:rsidP="001B139A">
      <w:pPr>
        <w:pStyle w:val="13"/>
      </w:pPr>
      <w:r>
        <w:rPr>
          <w:rFonts w:hint="eastAsia"/>
        </w:rPr>
        <w:t>现场调查时应当保留必要的文字、语音、照片、影像等资料，以书面形式记录调查的时间、地点、过程、结果等，并与参加现场调查的委托人、其他相关当事人等共同确认。</w:t>
      </w:r>
    </w:p>
    <w:p w14:paraId="0E3FA39B" w14:textId="77777777" w:rsidR="001B139A" w:rsidRDefault="001B139A" w:rsidP="001B139A">
      <w:pPr>
        <w:pStyle w:val="13"/>
      </w:pPr>
      <w:r>
        <w:rPr>
          <w:rFonts w:hint="eastAsia"/>
        </w:rPr>
        <w:t>如果调查时出现委托人或者其他相关当事人不在现场，或者相关人员不予配合等情况，则应详细记录现场情况，收集必要的证据资料，并在资产评估报告中予以披露。</w:t>
      </w:r>
    </w:p>
    <w:p w14:paraId="3A743006" w14:textId="7ADAFBF1" w:rsidR="001B139A" w:rsidRDefault="001B139A" w:rsidP="001B139A">
      <w:pPr>
        <w:pStyle w:val="13"/>
        <w:ind w:firstLine="482"/>
      </w:pPr>
      <w:r w:rsidRPr="00FF115A">
        <w:rPr>
          <w:rFonts w:hint="eastAsia"/>
          <w:b/>
          <w:bCs/>
        </w:rPr>
        <w:t>第五十一</w:t>
      </w:r>
      <w:r w:rsidR="00793E5D">
        <w:rPr>
          <w:rFonts w:hint="eastAsia"/>
          <w:b/>
          <w:bCs/>
        </w:rPr>
        <w:t xml:space="preserve">条 </w:t>
      </w:r>
      <w:r>
        <w:t>编制以诉讼为目的的知识产权资产评估报告，应当重点披露下列内容：</w:t>
      </w:r>
    </w:p>
    <w:p w14:paraId="1663314C" w14:textId="0A491E07" w:rsidR="001B139A" w:rsidRDefault="001B139A" w:rsidP="001B139A">
      <w:pPr>
        <w:pStyle w:val="13"/>
      </w:pPr>
      <w:r>
        <w:rPr>
          <w:rFonts w:hint="eastAsia"/>
        </w:rPr>
        <w:t>（一）是否存在资产评估委托合同（委托要约）对资产评估基本事项约定不明确</w:t>
      </w:r>
      <w:r w:rsidR="003C1F46">
        <w:rPr>
          <w:rFonts w:hint="eastAsia"/>
        </w:rPr>
        <w:t>，</w:t>
      </w:r>
      <w:r>
        <w:t>或者评估对象和评估范围与资产评估委托合同（委托要约）约定不一致的情形；</w:t>
      </w:r>
    </w:p>
    <w:p w14:paraId="7666DF49" w14:textId="77777777" w:rsidR="001B139A" w:rsidRDefault="001B139A" w:rsidP="001B139A">
      <w:pPr>
        <w:pStyle w:val="13"/>
      </w:pPr>
      <w:r>
        <w:rPr>
          <w:rFonts w:hint="eastAsia"/>
        </w:rPr>
        <w:t>（二）涉案知识产权资产以及其他相关经济利益的具体内容以及价值构成；</w:t>
      </w:r>
    </w:p>
    <w:p w14:paraId="6390F9F0" w14:textId="77777777" w:rsidR="001B139A" w:rsidRDefault="001B139A" w:rsidP="001B139A">
      <w:pPr>
        <w:pStyle w:val="13"/>
      </w:pPr>
      <w:r>
        <w:rPr>
          <w:rFonts w:hint="eastAsia"/>
        </w:rPr>
        <w:t>（三）现场调查和资料收集过程中委托人和其他相关当事人的配合情况；</w:t>
      </w:r>
    </w:p>
    <w:p w14:paraId="4BD1674B" w14:textId="77777777" w:rsidR="001B139A" w:rsidRDefault="001B139A" w:rsidP="001B139A">
      <w:pPr>
        <w:pStyle w:val="13"/>
      </w:pPr>
      <w:r>
        <w:rPr>
          <w:rFonts w:hint="eastAsia"/>
        </w:rPr>
        <w:t>（四）其他可能影响正确理解评估结论和资产评估报告使用的事项。</w:t>
      </w:r>
    </w:p>
    <w:p w14:paraId="3B7492CB" w14:textId="77777777" w:rsidR="001B139A" w:rsidRDefault="001B139A" w:rsidP="00AF7342">
      <w:pPr>
        <w:pStyle w:val="a9"/>
        <w:spacing w:before="62" w:after="62"/>
      </w:pPr>
      <w:r>
        <w:rPr>
          <w:rFonts w:hint="eastAsia"/>
        </w:rPr>
        <w:t>第七章</w:t>
      </w:r>
      <w:r>
        <w:t xml:space="preserve"> 以财务报告为目的的知识产权资产评估</w:t>
      </w:r>
    </w:p>
    <w:p w14:paraId="02305AD4" w14:textId="2DD7EB10" w:rsidR="001B139A" w:rsidRDefault="001B139A" w:rsidP="001B139A">
      <w:pPr>
        <w:pStyle w:val="13"/>
        <w:ind w:firstLine="482"/>
      </w:pPr>
      <w:r w:rsidRPr="00FF115A">
        <w:rPr>
          <w:rFonts w:hint="eastAsia"/>
          <w:b/>
          <w:bCs/>
        </w:rPr>
        <w:t>第五十二</w:t>
      </w:r>
      <w:r w:rsidR="00793E5D">
        <w:rPr>
          <w:rFonts w:hint="eastAsia"/>
          <w:b/>
          <w:bCs/>
        </w:rPr>
        <w:t xml:space="preserve">条 </w:t>
      </w:r>
      <w:r>
        <w:t>执行以财务报告为目的的知识产权评估业务，应当提醒委托人根据项目具体情况以及会计准则要求，合理确定评估对象。评估对象可以是单项知识产权资产</w:t>
      </w:r>
      <w:r w:rsidR="003C1F46">
        <w:t>，</w:t>
      </w:r>
      <w:r>
        <w:t>也可以是知识产权资产组合或者与其他有形和无形资产组成的资产组。</w:t>
      </w:r>
    </w:p>
    <w:p w14:paraId="14192BC5" w14:textId="6F0D5E77" w:rsidR="001B139A" w:rsidRDefault="001B139A" w:rsidP="001B139A">
      <w:pPr>
        <w:pStyle w:val="13"/>
        <w:ind w:firstLine="482"/>
      </w:pPr>
      <w:r w:rsidRPr="00FF115A">
        <w:rPr>
          <w:rFonts w:hint="eastAsia"/>
          <w:b/>
          <w:bCs/>
        </w:rPr>
        <w:t>第五十三</w:t>
      </w:r>
      <w:r w:rsidR="00793E5D">
        <w:rPr>
          <w:rFonts w:hint="eastAsia"/>
          <w:b/>
          <w:bCs/>
        </w:rPr>
        <w:t xml:space="preserve">条 </w:t>
      </w:r>
      <w:r>
        <w:t>执行会计准则规定的合并对价分摊事项涉及的知识产权资产评估业务</w:t>
      </w:r>
      <w:r w:rsidR="003C1F46">
        <w:t>，</w:t>
      </w:r>
      <w:r>
        <w:t>购买方取得的被购买方拥有的但在其财务报表上未确认的知识产权资产被确认为无形 资产的，需要满足以下条件之一：</w:t>
      </w:r>
    </w:p>
    <w:p w14:paraId="24B0D340" w14:textId="77777777" w:rsidR="001B139A" w:rsidRDefault="001B139A" w:rsidP="001B139A">
      <w:pPr>
        <w:pStyle w:val="13"/>
      </w:pPr>
      <w:r>
        <w:rPr>
          <w:rFonts w:hint="eastAsia"/>
        </w:rPr>
        <w:t>（一）源于合同性权利或者其他法定权利；</w:t>
      </w:r>
    </w:p>
    <w:p w14:paraId="2EA50EF3" w14:textId="77777777" w:rsidR="001B139A" w:rsidRDefault="001B139A" w:rsidP="001B139A">
      <w:pPr>
        <w:pStyle w:val="13"/>
      </w:pPr>
      <w:r>
        <w:rPr>
          <w:rFonts w:hint="eastAsia"/>
        </w:rPr>
        <w:t>（二）能够从被购买方资产分离或者划分出来，并能单独或者与相关合同、资产和负债一起，用于出售、转移、授予许可、租赁或者交换。</w:t>
      </w:r>
    </w:p>
    <w:p w14:paraId="7FCA43B5" w14:textId="3B607CA9" w:rsidR="001B139A" w:rsidRDefault="001B139A" w:rsidP="00FF115A">
      <w:pPr>
        <w:pStyle w:val="13"/>
        <w:ind w:firstLine="482"/>
      </w:pPr>
      <w:r w:rsidRPr="00FF115A">
        <w:rPr>
          <w:rFonts w:hint="eastAsia"/>
          <w:b/>
          <w:bCs/>
        </w:rPr>
        <w:t>第五十四</w:t>
      </w:r>
      <w:r w:rsidR="00793E5D">
        <w:rPr>
          <w:rFonts w:hint="eastAsia"/>
          <w:b/>
          <w:bCs/>
        </w:rPr>
        <w:t xml:space="preserve">条 </w:t>
      </w:r>
      <w:r>
        <w:t>执行会计准则规定的合并对价分摊事项涉及的知识产权资产评估</w:t>
      </w:r>
      <w:r>
        <w:lastRenderedPageBreak/>
        <w:t>业务</w:t>
      </w:r>
      <w:r w:rsidR="003C1F46">
        <w:t>，</w:t>
      </w:r>
      <w:r>
        <w:t>如果知识产权资产是不可分离的或者其市场价值不能可靠计量，应当将该项知识产权资</w:t>
      </w:r>
      <w:r>
        <w:rPr>
          <w:rFonts w:hint="eastAsia"/>
        </w:rPr>
        <w:t>产所在的最小资产组作为评估对象；如果与知识产权资产相联系资产的单独市场价值能可靠计量，并且各单项资产具有相同或者近似的使用寿命，可以将该项知识产权资产所在的最小资产组作为评估对象。</w:t>
      </w:r>
    </w:p>
    <w:p w14:paraId="0D947FA7" w14:textId="7F5D1692" w:rsidR="001B139A" w:rsidRDefault="001B139A" w:rsidP="001B139A">
      <w:pPr>
        <w:pStyle w:val="13"/>
        <w:ind w:firstLine="482"/>
      </w:pPr>
      <w:r w:rsidRPr="00FF115A">
        <w:rPr>
          <w:rFonts w:hint="eastAsia"/>
          <w:b/>
          <w:bCs/>
        </w:rPr>
        <w:t>第五十五</w:t>
      </w:r>
      <w:r w:rsidR="00793E5D">
        <w:rPr>
          <w:rFonts w:hint="eastAsia"/>
          <w:b/>
          <w:bCs/>
        </w:rPr>
        <w:t xml:space="preserve">条 </w:t>
      </w:r>
      <w:r>
        <w:t>执行会计准则规定的减值测试涉及的知识产权资产评估业务应当知晓</w:t>
      </w:r>
      <w:r w:rsidR="003C1F46">
        <w:t>，</w:t>
      </w:r>
      <w:r>
        <w:t>使用寿命不确定的知识产权资产一般每年都进行减值测试，而使用寿命确定的知识产权 资产只有在存在明显的减值迹象时才进行减值测试。</w:t>
      </w:r>
    </w:p>
    <w:p w14:paraId="14F1D7C0" w14:textId="77777777" w:rsidR="001B139A" w:rsidRDefault="001B139A" w:rsidP="00AF7342">
      <w:pPr>
        <w:pStyle w:val="a9"/>
        <w:spacing w:before="62" w:after="62"/>
      </w:pPr>
      <w:r>
        <w:rPr>
          <w:rFonts w:hint="eastAsia"/>
        </w:rPr>
        <w:t>第八章</w:t>
      </w:r>
      <w:r>
        <w:t xml:space="preserve"> 附则</w:t>
      </w:r>
    </w:p>
    <w:p w14:paraId="7FE52004" w14:textId="1D95ED76" w:rsidR="007E4B49" w:rsidRDefault="001B139A" w:rsidP="001B139A">
      <w:pPr>
        <w:pStyle w:val="13"/>
        <w:ind w:firstLine="482"/>
      </w:pPr>
      <w:r w:rsidRPr="00FF115A">
        <w:rPr>
          <w:rFonts w:hint="eastAsia"/>
          <w:b/>
          <w:bCs/>
        </w:rPr>
        <w:t>第五十六</w:t>
      </w:r>
      <w:r w:rsidR="00793E5D">
        <w:rPr>
          <w:rFonts w:hint="eastAsia"/>
          <w:b/>
          <w:bCs/>
        </w:rPr>
        <w:t xml:space="preserve">条 </w:t>
      </w:r>
      <w:r>
        <w:t>本指南自 2017</w:t>
      </w:r>
      <w:r w:rsidR="003068F8">
        <w:t>年</w:t>
      </w:r>
      <w:r>
        <w:t>10</w:t>
      </w:r>
      <w:r w:rsidR="003068F8">
        <w:t>月</w:t>
      </w:r>
      <w:r>
        <w:t>1</w:t>
      </w:r>
      <w:r w:rsidR="003068F8">
        <w:t>日</w:t>
      </w:r>
      <w:r>
        <w:t>起施行。中国资产评估协会于 2015</w:t>
      </w:r>
      <w:r w:rsidR="003068F8">
        <w:t>年</w:t>
      </w:r>
      <w:r>
        <w:t>12</w:t>
      </w:r>
      <w:r w:rsidR="003068F8">
        <w:t>月</w:t>
      </w:r>
      <w:r>
        <w:t>31</w:t>
      </w:r>
      <w:r w:rsidR="003068F8">
        <w:t>日</w:t>
      </w:r>
      <w:r>
        <w:t>发布的《关于印发〈知识产权资产评估指南〉的通知》（</w:t>
      </w:r>
      <w:proofErr w:type="gramStart"/>
      <w:r>
        <w:t>中评协</w:t>
      </w:r>
      <w:proofErr w:type="gramEnd"/>
      <w:r>
        <w:t>〔2015〕82号） 同时废止。</w:t>
      </w:r>
    </w:p>
    <w:p w14:paraId="7B93D8C5" w14:textId="77777777" w:rsidR="00FF115A" w:rsidRDefault="00FF115A" w:rsidP="00FF115A">
      <w:pPr>
        <w:pStyle w:val="31"/>
        <w:spacing w:before="156" w:after="62"/>
      </w:pPr>
      <w:bookmarkStart w:id="35" w:name="_Toc81833315"/>
      <w:r>
        <w:rPr>
          <w:rFonts w:hint="eastAsia"/>
        </w:rPr>
        <w:t>以财务报告为目的的评估指南（</w:t>
      </w:r>
      <w:proofErr w:type="gramStart"/>
      <w:r>
        <w:rPr>
          <w:rFonts w:hint="eastAsia"/>
        </w:rPr>
        <w:t>中评协</w:t>
      </w:r>
      <w:proofErr w:type="gramEnd"/>
      <w:r>
        <w:rPr>
          <w:rFonts w:hint="eastAsia"/>
        </w:rPr>
        <w:t>〔</w:t>
      </w:r>
      <w:r>
        <w:t>2017〕45号）</w:t>
      </w:r>
      <w:bookmarkEnd w:id="35"/>
    </w:p>
    <w:p w14:paraId="71F00688" w14:textId="77777777" w:rsidR="00FF115A" w:rsidRDefault="00FF115A" w:rsidP="00FF115A">
      <w:pPr>
        <w:pStyle w:val="13"/>
        <w:ind w:firstLineChars="0" w:firstLine="0"/>
      </w:pPr>
      <w:r>
        <w:rPr>
          <w:rFonts w:hint="eastAsia"/>
        </w:rPr>
        <w:t>各省、自治区、直辖市、计划单列市资产评估协会（注册会计师协会）：</w:t>
      </w:r>
    </w:p>
    <w:p w14:paraId="2037911C" w14:textId="36B5C140" w:rsidR="00FF115A" w:rsidRDefault="00FF115A" w:rsidP="00FF115A">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以财务报告为目的的评估指南（试行）》进行了修订，制定了《以财务报告为目的的评估指南》现予印发，自</w:t>
      </w:r>
      <w:r>
        <w:t xml:space="preserve"> 2017</w:t>
      </w:r>
      <w:r w:rsidR="003068F8">
        <w:t>年</w:t>
      </w:r>
      <w:r>
        <w:t>10</w:t>
      </w:r>
      <w:r w:rsidR="003068F8">
        <w:t>月</w:t>
      </w:r>
      <w:r>
        <w:t>1</w:t>
      </w:r>
      <w:r w:rsidR="003068F8">
        <w:t>日</w:t>
      </w:r>
      <w:r>
        <w:t>起施行。</w:t>
      </w:r>
    </w:p>
    <w:p w14:paraId="0EC6A2D6" w14:textId="77777777" w:rsidR="00FF115A" w:rsidRDefault="00FF115A" w:rsidP="00FF115A">
      <w:pPr>
        <w:pStyle w:val="13"/>
      </w:pPr>
      <w:r>
        <w:rPr>
          <w:rFonts w:hint="eastAsia"/>
        </w:rPr>
        <w:t>请各地</w:t>
      </w:r>
      <w:proofErr w:type="gramStart"/>
      <w:r>
        <w:rPr>
          <w:rFonts w:hint="eastAsia"/>
        </w:rPr>
        <w:t>方协会</w:t>
      </w:r>
      <w:proofErr w:type="gramEnd"/>
      <w:r>
        <w:rPr>
          <w:rFonts w:hint="eastAsia"/>
        </w:rPr>
        <w:t>将《以财务报告为目的的评估指南》及时转发资产评估机构，组织资产评估机构和资产评估专业人员进行学习和培训，并将执行过程中发现的问题及时上报中国资产评估协会。</w:t>
      </w:r>
    </w:p>
    <w:p w14:paraId="7561A00A" w14:textId="77777777" w:rsidR="00FF115A" w:rsidRDefault="00FF115A" w:rsidP="00FF115A">
      <w:pPr>
        <w:pStyle w:val="13"/>
      </w:pPr>
      <w:r>
        <w:rPr>
          <w:rFonts w:hint="eastAsia"/>
        </w:rPr>
        <w:t>附件：《以财务报告为目的的评估指南》</w:t>
      </w:r>
    </w:p>
    <w:p w14:paraId="3D459798" w14:textId="77777777" w:rsidR="00FF115A" w:rsidRDefault="00FF115A" w:rsidP="00FF115A">
      <w:pPr>
        <w:pStyle w:val="13"/>
        <w:jc w:val="right"/>
      </w:pPr>
      <w:r>
        <w:rPr>
          <w:rFonts w:hint="eastAsia"/>
        </w:rPr>
        <w:t>中国资产评估协会</w:t>
      </w:r>
    </w:p>
    <w:p w14:paraId="31D574B7" w14:textId="6B5CAC72" w:rsidR="00FF115A" w:rsidRDefault="00FF115A" w:rsidP="00FF115A">
      <w:pPr>
        <w:pStyle w:val="13"/>
        <w:jc w:val="right"/>
      </w:pPr>
      <w:r>
        <w:t>2017</w:t>
      </w:r>
      <w:r w:rsidR="003068F8">
        <w:t>年</w:t>
      </w:r>
      <w:r>
        <w:t>9</w:t>
      </w:r>
      <w:r w:rsidR="003068F8">
        <w:t>月</w:t>
      </w:r>
      <w:r>
        <w:t>8</w:t>
      </w:r>
      <w:r w:rsidR="003068F8">
        <w:t>日</w:t>
      </w:r>
    </w:p>
    <w:p w14:paraId="496AAC06" w14:textId="77777777" w:rsidR="00FF115A" w:rsidRDefault="00FF115A" w:rsidP="00AF7342">
      <w:pPr>
        <w:pStyle w:val="a9"/>
        <w:spacing w:before="62" w:after="62"/>
      </w:pPr>
      <w:r>
        <w:rPr>
          <w:rFonts w:hint="eastAsia"/>
        </w:rPr>
        <w:t>以财务报告为目的的评估指南</w:t>
      </w:r>
    </w:p>
    <w:p w14:paraId="1C562DC9" w14:textId="77777777" w:rsidR="00FF115A" w:rsidRDefault="00FF115A" w:rsidP="00AF7342">
      <w:pPr>
        <w:pStyle w:val="a9"/>
        <w:spacing w:before="62" w:after="62"/>
      </w:pPr>
      <w:r>
        <w:rPr>
          <w:rFonts w:hint="eastAsia"/>
        </w:rPr>
        <w:t>第一章</w:t>
      </w:r>
      <w:r>
        <w:t xml:space="preserve"> 总则</w:t>
      </w:r>
    </w:p>
    <w:p w14:paraId="31273610" w14:textId="370029CA" w:rsidR="00FF115A" w:rsidRDefault="004E3EBB" w:rsidP="00FF115A">
      <w:pPr>
        <w:pStyle w:val="13"/>
        <w:ind w:firstLine="482"/>
      </w:pPr>
      <w:r w:rsidRPr="004E3EBB">
        <w:rPr>
          <w:rFonts w:hint="eastAsia"/>
          <w:b/>
          <w:bCs/>
        </w:rPr>
        <w:t xml:space="preserve">第一条 </w:t>
      </w:r>
      <w:r w:rsidR="00FF115A">
        <w:t>为规范以财务报告为目的的评估行为，保护资产评估当事人合法权益和公共利益，根据《资产评估基本准则》制定本指南。</w:t>
      </w:r>
    </w:p>
    <w:p w14:paraId="41C58969" w14:textId="56470BFF" w:rsidR="00FF115A" w:rsidRDefault="004E3EBB" w:rsidP="00FF115A">
      <w:pPr>
        <w:pStyle w:val="13"/>
        <w:ind w:firstLine="482"/>
      </w:pPr>
      <w:r w:rsidRPr="004E3EBB">
        <w:rPr>
          <w:rFonts w:hint="eastAsia"/>
          <w:b/>
          <w:bCs/>
        </w:rPr>
        <w:t xml:space="preserve">第二条 </w:t>
      </w:r>
      <w:r w:rsidR="00FF115A">
        <w:t>本指南所称以财务报告为目的的评估，是指资产评估机构及其资产评估专业人员遵守法律、行政法规、资产评估准则和企业会计准则及会计核算、披露的有关要求，根据委托对评估基准日以财务报告为目的所涉及的各类资产和负债公允价值或者特定价值进行评定和估算，并出具资产评估报告的专业服务行为。</w:t>
      </w:r>
    </w:p>
    <w:p w14:paraId="52355763" w14:textId="289462BD" w:rsidR="00FF115A" w:rsidRDefault="004E3EBB" w:rsidP="00FF115A">
      <w:pPr>
        <w:pStyle w:val="13"/>
        <w:ind w:firstLine="482"/>
      </w:pPr>
      <w:r w:rsidRPr="004E3EBB">
        <w:rPr>
          <w:rFonts w:hint="eastAsia"/>
          <w:b/>
          <w:bCs/>
        </w:rPr>
        <w:t xml:space="preserve">第三条 </w:t>
      </w:r>
      <w:r w:rsidR="00FF115A">
        <w:t>执行以财务报告为目的的评估业务，应当遵守本指南。</w:t>
      </w:r>
    </w:p>
    <w:p w14:paraId="63664D6D" w14:textId="6A9E0372" w:rsidR="00FF115A" w:rsidRDefault="004E3EBB" w:rsidP="00FF115A">
      <w:pPr>
        <w:pStyle w:val="13"/>
        <w:ind w:firstLine="482"/>
      </w:pPr>
      <w:r w:rsidRPr="004E3EBB">
        <w:rPr>
          <w:rFonts w:hint="eastAsia"/>
          <w:b/>
          <w:bCs/>
        </w:rPr>
        <w:t xml:space="preserve">第四条 </w:t>
      </w:r>
      <w:r w:rsidR="00FF115A">
        <w:t>资产评估专业人员可以参照本指南执行以下与以财务报告为目的的评</w:t>
      </w:r>
      <w:r w:rsidR="00FF115A">
        <w:lastRenderedPageBreak/>
        <w:t>估业务相关的其他业务，主要包括：</w:t>
      </w:r>
    </w:p>
    <w:p w14:paraId="66B52DFB" w14:textId="77777777" w:rsidR="00FF115A" w:rsidRDefault="00FF115A" w:rsidP="00FF115A">
      <w:pPr>
        <w:pStyle w:val="13"/>
      </w:pPr>
      <w:r>
        <w:rPr>
          <w:rFonts w:hint="eastAsia"/>
        </w:rPr>
        <w:t>（一）开展与价值估算相关的议定程序，以协助企业判断与资产和负债价值相关的参数、特征等，主要包括：</w:t>
      </w:r>
    </w:p>
    <w:p w14:paraId="4FB1D8CA" w14:textId="77777777" w:rsidR="00FF115A" w:rsidRDefault="00FF115A" w:rsidP="00FF115A">
      <w:pPr>
        <w:pStyle w:val="13"/>
      </w:pPr>
      <w:r>
        <w:t>1、估算或者测算资产的更新或者复原重置成本；</w:t>
      </w:r>
    </w:p>
    <w:p w14:paraId="74D698B8" w14:textId="77777777" w:rsidR="00FF115A" w:rsidRDefault="00FF115A" w:rsidP="00FF115A">
      <w:pPr>
        <w:pStyle w:val="13"/>
      </w:pPr>
      <w:r>
        <w:t>2、协助企业判断、确定资产使用年限、尚可使用年限、实物状态、质量等参数、特征，以及验证资产的真实存在性；</w:t>
      </w:r>
    </w:p>
    <w:p w14:paraId="67ADB4CA" w14:textId="77777777" w:rsidR="00FF115A" w:rsidRDefault="00FF115A" w:rsidP="00FF115A">
      <w:pPr>
        <w:pStyle w:val="13"/>
      </w:pPr>
      <w:r>
        <w:t>3、协助企业确定、判断资产获利能力和预测资产的未来收益；</w:t>
      </w:r>
    </w:p>
    <w:p w14:paraId="0DFDA398" w14:textId="77777777" w:rsidR="00FF115A" w:rsidRDefault="00FF115A" w:rsidP="00FF115A">
      <w:pPr>
        <w:pStyle w:val="13"/>
      </w:pPr>
      <w:r>
        <w:t>4、执行与负债价值有关的议定程序。</w:t>
      </w:r>
    </w:p>
    <w:p w14:paraId="5679BB82" w14:textId="77777777" w:rsidR="00FF115A" w:rsidRDefault="00FF115A" w:rsidP="00FF115A">
      <w:pPr>
        <w:pStyle w:val="13"/>
      </w:pPr>
      <w:r>
        <w:rPr>
          <w:rFonts w:hint="eastAsia"/>
        </w:rPr>
        <w:t>（二）协助企业管理层对能否持续可靠地取得公允价值做出正确的评价。</w:t>
      </w:r>
    </w:p>
    <w:p w14:paraId="171B5A66" w14:textId="77777777" w:rsidR="00FF115A" w:rsidRDefault="00FF115A" w:rsidP="00AF7342">
      <w:pPr>
        <w:pStyle w:val="a9"/>
        <w:spacing w:before="62" w:after="62"/>
      </w:pPr>
      <w:r>
        <w:rPr>
          <w:rFonts w:hint="eastAsia"/>
        </w:rPr>
        <w:t>第二章</w:t>
      </w:r>
      <w:r>
        <w:t xml:space="preserve"> 基本遵循</w:t>
      </w:r>
    </w:p>
    <w:p w14:paraId="0F67AB50" w14:textId="33DBB8A3" w:rsidR="00FF115A" w:rsidRDefault="004E3EBB" w:rsidP="00FF115A">
      <w:pPr>
        <w:pStyle w:val="13"/>
        <w:ind w:firstLine="482"/>
      </w:pPr>
      <w:r w:rsidRPr="004E3EBB">
        <w:rPr>
          <w:rFonts w:hint="eastAsia"/>
          <w:b/>
          <w:bCs/>
        </w:rPr>
        <w:t xml:space="preserve">第五条 </w:t>
      </w:r>
      <w:r w:rsidR="00FF115A">
        <w:t>资产评估专业人员应当坚持独立、客观、公正的原则，勤勉尽责，保持应有的职业谨慎，独立进行分析和估算并形成专业意见。</w:t>
      </w:r>
    </w:p>
    <w:p w14:paraId="1723CEA4" w14:textId="3DD326C5" w:rsidR="00FF115A" w:rsidRDefault="004E3EBB" w:rsidP="00FF115A">
      <w:pPr>
        <w:pStyle w:val="13"/>
        <w:ind w:firstLine="482"/>
      </w:pPr>
      <w:r w:rsidRPr="004E3EBB">
        <w:rPr>
          <w:rFonts w:hint="eastAsia"/>
          <w:b/>
          <w:bCs/>
        </w:rPr>
        <w:t xml:space="preserve">第六条 </w:t>
      </w:r>
      <w:r w:rsidR="00FF115A">
        <w:t>执行以财务报告为目的的评估业务，应当理解相关会计准则的概念、原则及其与资产评估准则相关概念、原则之间的联系与区别，具备相应的专业知识和实践经验，胜任所执行的评估业务。</w:t>
      </w:r>
    </w:p>
    <w:p w14:paraId="53BB345B" w14:textId="77777777" w:rsidR="00FF115A" w:rsidRDefault="00FF115A" w:rsidP="00FF115A">
      <w:pPr>
        <w:pStyle w:val="13"/>
      </w:pPr>
      <w:r>
        <w:rPr>
          <w:rFonts w:hint="eastAsia"/>
        </w:rPr>
        <w:t>资产评估专业人员应当关注以财务报告为目的的评估业务的复杂性，根据自身的专业知识及经验，审慎考虑是否有能力受理相关评估业务。</w:t>
      </w:r>
    </w:p>
    <w:p w14:paraId="4FD46B89" w14:textId="77777777" w:rsidR="00FF115A" w:rsidRDefault="00FF115A" w:rsidP="00FF115A">
      <w:pPr>
        <w:pStyle w:val="13"/>
      </w:pPr>
      <w:r>
        <w:rPr>
          <w:rFonts w:hint="eastAsia"/>
        </w:rPr>
        <w:t>执行某项特定业务缺乏特定的专业知识和经验时，应当采取弥补措施，包括利用专家工作及相关报告等。</w:t>
      </w:r>
    </w:p>
    <w:p w14:paraId="232E56DD" w14:textId="079B9A82" w:rsidR="00FF115A" w:rsidRDefault="004E3EBB" w:rsidP="00FF115A">
      <w:pPr>
        <w:pStyle w:val="13"/>
        <w:ind w:firstLine="482"/>
      </w:pPr>
      <w:r w:rsidRPr="004E3EBB">
        <w:rPr>
          <w:rFonts w:hint="eastAsia"/>
          <w:b/>
          <w:bCs/>
        </w:rPr>
        <w:t xml:space="preserve">第七条 </w:t>
      </w:r>
      <w:r w:rsidR="00FF115A">
        <w:t>由于会计准则和相关法规的修改，导致在执行以财务报告为目的的评估业务时无法完全遵守本指南的要求，应当在资产评估报告中进行说明。</w:t>
      </w:r>
    </w:p>
    <w:p w14:paraId="6B4BF4A3" w14:textId="3FFF46E8" w:rsidR="00FF115A" w:rsidRDefault="004E3EBB" w:rsidP="00FF115A">
      <w:pPr>
        <w:pStyle w:val="13"/>
        <w:ind w:firstLine="482"/>
      </w:pPr>
      <w:r w:rsidRPr="004E3EBB">
        <w:rPr>
          <w:rFonts w:hint="eastAsia"/>
          <w:b/>
          <w:bCs/>
        </w:rPr>
        <w:t xml:space="preserve">第八条 </w:t>
      </w:r>
      <w:r w:rsidR="00FF115A">
        <w:t>执行以财务报告为目的的评估业务，应当与企业和执行审计业务的注册会</w:t>
      </w:r>
      <w:r w:rsidR="00FF115A">
        <w:rPr>
          <w:rFonts w:hint="eastAsia"/>
        </w:rPr>
        <w:t>计师进行必要的沟通，明确评估业务基本事项并充分理解会计准则或者相关会计核算、披露的具体要求。</w:t>
      </w:r>
    </w:p>
    <w:p w14:paraId="5BF5055A" w14:textId="0FFF76EC" w:rsidR="00FF115A" w:rsidRDefault="00E05BDA" w:rsidP="00FF115A">
      <w:pPr>
        <w:pStyle w:val="13"/>
        <w:ind w:firstLine="482"/>
      </w:pPr>
      <w:r w:rsidRPr="00E05BDA">
        <w:rPr>
          <w:rFonts w:hint="eastAsia"/>
          <w:b/>
          <w:bCs/>
        </w:rPr>
        <w:t xml:space="preserve">第九条 </w:t>
      </w:r>
      <w:r w:rsidR="00FF115A">
        <w:t>资产评估专业人员应当提醒委托人根据会计准则的相关要求确定评估基准日。评估基准日可以是资产负债表日、购买日、减值测试日、首次执行日等。</w:t>
      </w:r>
    </w:p>
    <w:p w14:paraId="61DB3C83" w14:textId="1907F826" w:rsidR="00FF115A" w:rsidRDefault="00E05BDA" w:rsidP="00FF115A">
      <w:pPr>
        <w:pStyle w:val="13"/>
        <w:ind w:firstLine="482"/>
      </w:pPr>
      <w:r w:rsidRPr="00E05BDA">
        <w:rPr>
          <w:rFonts w:hint="eastAsia"/>
          <w:b/>
          <w:bCs/>
        </w:rPr>
        <w:t xml:space="preserve">第十条 </w:t>
      </w:r>
      <w:r w:rsidR="00FF115A">
        <w:t>资产评估专业人员应当要求委托人或者其他相关当事人提供涉及评估对象和评估范围的必要资料。委托人和其他相关当事人依法提供并保证其真实性、完整性、合法性。</w:t>
      </w:r>
    </w:p>
    <w:p w14:paraId="32AD603B" w14:textId="77777777" w:rsidR="00FF115A" w:rsidRDefault="00FF115A" w:rsidP="00FF115A">
      <w:pPr>
        <w:pStyle w:val="13"/>
      </w:pPr>
      <w:r>
        <w:rPr>
          <w:rFonts w:hint="eastAsia"/>
        </w:rPr>
        <w:t>资产评估专业人员应当依法对执行以财务报告为目的的评估业务中使用的资料进行核查验证。</w:t>
      </w:r>
    </w:p>
    <w:p w14:paraId="40518DD4" w14:textId="54449A67" w:rsidR="00FF115A" w:rsidRDefault="00E05BDA" w:rsidP="00FF115A">
      <w:pPr>
        <w:pStyle w:val="13"/>
        <w:ind w:firstLine="482"/>
      </w:pPr>
      <w:r w:rsidRPr="00E05BDA">
        <w:rPr>
          <w:rFonts w:hint="eastAsia"/>
          <w:b/>
          <w:bCs/>
        </w:rPr>
        <w:t xml:space="preserve">第十一条 </w:t>
      </w:r>
      <w:r w:rsidR="00FF115A">
        <w:t>资产评估专业人员应当根据以财务报告为目的评估业务的具体情况合理确定评估假设。</w:t>
      </w:r>
    </w:p>
    <w:p w14:paraId="13BAC20E" w14:textId="77777777" w:rsidR="00FF115A" w:rsidRDefault="00FF115A" w:rsidP="00AF7342">
      <w:pPr>
        <w:pStyle w:val="a9"/>
        <w:spacing w:before="62" w:after="62"/>
      </w:pPr>
      <w:r>
        <w:rPr>
          <w:rFonts w:hint="eastAsia"/>
        </w:rPr>
        <w:lastRenderedPageBreak/>
        <w:t>第三章</w:t>
      </w:r>
      <w:r>
        <w:t xml:space="preserve"> 评估对象</w:t>
      </w:r>
    </w:p>
    <w:p w14:paraId="7EB343DC" w14:textId="17C88965" w:rsidR="00FF115A" w:rsidRDefault="00E05BDA" w:rsidP="00FF115A">
      <w:pPr>
        <w:pStyle w:val="13"/>
        <w:ind w:firstLine="482"/>
      </w:pPr>
      <w:r w:rsidRPr="00E05BDA">
        <w:rPr>
          <w:rFonts w:hint="eastAsia"/>
          <w:b/>
          <w:bCs/>
        </w:rPr>
        <w:t xml:space="preserve">第十二条 </w:t>
      </w:r>
      <w:r w:rsidR="00FF115A">
        <w:t>执行以财务报告为目的的评估业务，应当与委托人进行充分协商，明确评估对象，并充分考虑评估对象的法律、物理与经济等具体特征对评估业务的影响。</w:t>
      </w:r>
    </w:p>
    <w:p w14:paraId="3E3F58A4" w14:textId="651F781B" w:rsidR="00FF115A" w:rsidRDefault="00E05BDA" w:rsidP="00FF115A">
      <w:pPr>
        <w:pStyle w:val="13"/>
        <w:ind w:firstLine="482"/>
      </w:pPr>
      <w:r w:rsidRPr="00E05BDA">
        <w:rPr>
          <w:rFonts w:hint="eastAsia"/>
          <w:b/>
          <w:bCs/>
        </w:rPr>
        <w:t xml:space="preserve">第十三条 </w:t>
      </w:r>
      <w:r w:rsidR="00FF115A">
        <w:t>资产评估专业人员应当关注会计准则中特定会计事项所对应的评估对象，从委托人或者其他相关当事人处取得的评估对象的具体组成等详细资料，关注相关资产、负债在企业营运中的作用；并提请</w:t>
      </w:r>
      <w:proofErr w:type="gramStart"/>
      <w:r w:rsidR="00FF115A">
        <w:t>企业管理层按其</w:t>
      </w:r>
      <w:proofErr w:type="gramEnd"/>
      <w:r w:rsidR="00FF115A">
        <w:t>经营意图以及会计准则的规定、相关 核算要求对有关资产、负债进行妥当的分类。</w:t>
      </w:r>
    </w:p>
    <w:p w14:paraId="1F386006" w14:textId="3D70C680" w:rsidR="00FF115A" w:rsidRDefault="00E05BDA" w:rsidP="00FF115A">
      <w:pPr>
        <w:pStyle w:val="13"/>
        <w:ind w:firstLine="482"/>
      </w:pPr>
      <w:r w:rsidRPr="00E05BDA">
        <w:rPr>
          <w:rFonts w:hint="eastAsia"/>
          <w:b/>
          <w:bCs/>
        </w:rPr>
        <w:t xml:space="preserve">第十四条 </w:t>
      </w:r>
      <w:r w:rsidR="00FF115A">
        <w:t>在执行会计准则规定的合并对价分摊事项涉及的评估业务时，对应的评估对象应当是合并中取得的被购买方可辨认资产、负债及或有负债，该评估对象与被购买方企业价值评估所对应的对象不同。</w:t>
      </w:r>
    </w:p>
    <w:p w14:paraId="50C894DB" w14:textId="77777777" w:rsidR="00FF115A" w:rsidRDefault="00FF115A" w:rsidP="00FF115A">
      <w:pPr>
        <w:pStyle w:val="13"/>
      </w:pPr>
      <w:r>
        <w:rPr>
          <w:rFonts w:hint="eastAsia"/>
        </w:rPr>
        <w:t>资产评估专业人员应当关注各类可辨认无形资产的识别及计量。</w:t>
      </w:r>
    </w:p>
    <w:p w14:paraId="3A0364C2" w14:textId="1F7A6A98" w:rsidR="00FF115A" w:rsidRDefault="00E05BDA" w:rsidP="00FF115A">
      <w:pPr>
        <w:pStyle w:val="13"/>
        <w:ind w:firstLine="482"/>
      </w:pPr>
      <w:r w:rsidRPr="00E05BDA">
        <w:rPr>
          <w:rFonts w:hint="eastAsia"/>
          <w:b/>
          <w:bCs/>
        </w:rPr>
        <w:t xml:space="preserve">第十五条 </w:t>
      </w:r>
      <w:r w:rsidR="00FF115A">
        <w:t>在执行会计准则规定的包括商誉在内的各类资产减值测试涉及的评估业务时，对应的评估对象可能是单项资产，也可能是资产组或者资产组合。其中，固定资产减值测试的评估对象一般以资产组的形式出现；商誉减值测试的评估对象主要以资产组或者资产组组合的形式出现。</w:t>
      </w:r>
    </w:p>
    <w:p w14:paraId="2F3D4018" w14:textId="78F18082" w:rsidR="00FF115A" w:rsidRDefault="00E05BDA" w:rsidP="00FF115A">
      <w:pPr>
        <w:pStyle w:val="13"/>
        <w:ind w:firstLine="482"/>
      </w:pPr>
      <w:r w:rsidRPr="00E05BDA">
        <w:rPr>
          <w:rFonts w:hint="eastAsia"/>
          <w:b/>
          <w:bCs/>
        </w:rPr>
        <w:t xml:space="preserve">第十六条 </w:t>
      </w:r>
      <w:r w:rsidR="00FF115A">
        <w:t>在执行会计准则规定的投资性房地产评估业务时，对应的评估对象包括已出租的土地使用权、持有并</w:t>
      </w:r>
      <w:proofErr w:type="gramStart"/>
      <w:r w:rsidR="00FF115A">
        <w:t>准备增值</w:t>
      </w:r>
      <w:proofErr w:type="gramEnd"/>
      <w:r w:rsidR="00FF115A">
        <w:t>后转让的土地使用权、已出租的建筑物。</w:t>
      </w:r>
    </w:p>
    <w:p w14:paraId="0CF3E1CC" w14:textId="77777777" w:rsidR="00FF115A" w:rsidRDefault="00FF115A" w:rsidP="00FF115A">
      <w:pPr>
        <w:pStyle w:val="13"/>
      </w:pPr>
      <w:r>
        <w:rPr>
          <w:rFonts w:hint="eastAsia"/>
        </w:rPr>
        <w:t>资产评估专业人员应当关注投资性房地产现有租约期限及租金内涵等对公允价值评估的影响，包括租期、租金收取方式、约定租金相对于市场租金的差异、租金内涵、特殊使用目的、分割或者合并使用的差异等，剔除不属于评估对象收益以及非正常因素的影响。</w:t>
      </w:r>
    </w:p>
    <w:p w14:paraId="032A1326" w14:textId="75885239" w:rsidR="00FF115A" w:rsidRDefault="00E05BDA" w:rsidP="00FF115A">
      <w:pPr>
        <w:pStyle w:val="13"/>
        <w:ind w:firstLine="482"/>
      </w:pPr>
      <w:r w:rsidRPr="00E05BDA">
        <w:rPr>
          <w:rFonts w:hint="eastAsia"/>
          <w:b/>
          <w:bCs/>
        </w:rPr>
        <w:t xml:space="preserve">第十七条 </w:t>
      </w:r>
      <w:r w:rsidR="00FF115A">
        <w:t>资产评估专业人员应当关注金融资产和金融负债公允价值计量过程中是否以单项资产或者资产组为计量单位、资产核算分类、混合金融工具是否分拆等重要影响事项。</w:t>
      </w:r>
    </w:p>
    <w:p w14:paraId="002D4996" w14:textId="77777777" w:rsidR="00FF115A" w:rsidRDefault="00FF115A" w:rsidP="00AF7342">
      <w:pPr>
        <w:pStyle w:val="a9"/>
        <w:spacing w:before="62" w:after="62"/>
      </w:pPr>
      <w:r>
        <w:rPr>
          <w:rFonts w:hint="eastAsia"/>
        </w:rPr>
        <w:t>第四章</w:t>
      </w:r>
      <w:r>
        <w:t xml:space="preserve"> 价值类型</w:t>
      </w:r>
    </w:p>
    <w:p w14:paraId="646CBC7C" w14:textId="102B1F95" w:rsidR="00FF115A" w:rsidRDefault="00E05BDA" w:rsidP="00FF115A">
      <w:pPr>
        <w:pStyle w:val="13"/>
        <w:ind w:firstLine="482"/>
      </w:pPr>
      <w:r w:rsidRPr="00E05BDA">
        <w:rPr>
          <w:rFonts w:hint="eastAsia"/>
          <w:b/>
          <w:bCs/>
        </w:rPr>
        <w:t xml:space="preserve">第十八条 </w:t>
      </w:r>
      <w:r w:rsidR="00FF115A">
        <w:t>执行以财务报告为目的的评估业务，应当根据会计准则或者相关会计核算与披露的具体要求、评估对象等相关条件明确价值类型。会计准则规定的计量属性可以理解为相对应的评估价值类型。</w:t>
      </w:r>
    </w:p>
    <w:p w14:paraId="3A87CC57" w14:textId="7051E3BB" w:rsidR="00FF115A" w:rsidRDefault="00E05BDA" w:rsidP="00FF115A">
      <w:pPr>
        <w:pStyle w:val="13"/>
        <w:ind w:firstLine="482"/>
      </w:pPr>
      <w:r w:rsidRPr="00E05BDA">
        <w:rPr>
          <w:rFonts w:hint="eastAsia"/>
          <w:b/>
          <w:bCs/>
        </w:rPr>
        <w:t xml:space="preserve">第十九条 </w:t>
      </w:r>
      <w:r w:rsidR="00FF115A">
        <w:t>资产评估专业人员协助企业进行资产减值测试，应当关注评估对象在减值</w:t>
      </w:r>
      <w:proofErr w:type="gramStart"/>
      <w:r w:rsidR="00FF115A">
        <w:t>测试日</w:t>
      </w:r>
      <w:proofErr w:type="gramEnd"/>
      <w:r w:rsidR="00FF115A">
        <w:t>的可回收价值、资产预计未来现金流量的现值以及公允价值减去处置费用的净额之间的联系及区别。</w:t>
      </w:r>
    </w:p>
    <w:p w14:paraId="06B6F363" w14:textId="77777777" w:rsidR="00FF115A" w:rsidRDefault="00FF115A" w:rsidP="00FF115A">
      <w:pPr>
        <w:pStyle w:val="13"/>
      </w:pPr>
      <w:r>
        <w:rPr>
          <w:rFonts w:hint="eastAsia"/>
        </w:rPr>
        <w:t>（一）可回收价值等于资产预计未来现金流量的现值或者公允价值减去处置费用的净额</w:t>
      </w:r>
      <w:proofErr w:type="gramStart"/>
      <w:r>
        <w:rPr>
          <w:rFonts w:hint="eastAsia"/>
        </w:rPr>
        <w:t>孰</w:t>
      </w:r>
      <w:proofErr w:type="gramEnd"/>
      <w:r>
        <w:rPr>
          <w:rFonts w:hint="eastAsia"/>
        </w:rPr>
        <w:t>高者。在已确信资产预计未来现金流量的现值或者公允价值减去处置费</w:t>
      </w:r>
      <w:r>
        <w:rPr>
          <w:rFonts w:hint="eastAsia"/>
        </w:rPr>
        <w:lastRenderedPageBreak/>
        <w:t>用的净额其中任何一项数值已经超过所对应的账面价值，并通过减值测试的前提下，可以不必计算另一项数值。</w:t>
      </w:r>
    </w:p>
    <w:p w14:paraId="33A3BEE9" w14:textId="77777777" w:rsidR="00FF115A" w:rsidRDefault="00FF115A" w:rsidP="00FF115A">
      <w:pPr>
        <w:pStyle w:val="13"/>
      </w:pPr>
      <w:r>
        <w:rPr>
          <w:rFonts w:hint="eastAsia"/>
        </w:rPr>
        <w:t>（二）计算资产预计未来现金流量的现值时，对资产预计未来现金流量的预测应基于特定实体现有管理模式下可能实现的收益。预测一般只考虑单项资产或者资产组内主要资产项目在</w:t>
      </w:r>
      <w:proofErr w:type="gramStart"/>
      <w:r>
        <w:rPr>
          <w:rFonts w:hint="eastAsia"/>
        </w:rPr>
        <w:t>简单维护</w:t>
      </w:r>
      <w:proofErr w:type="gramEnd"/>
      <w:r>
        <w:rPr>
          <w:rFonts w:hint="eastAsia"/>
        </w:rPr>
        <w:t>下的剩余经济年限，即不考虑单项资产或者资产组内主要资产项目的改良或重置；资产组内资产项目于预测期末的变现净值应当纳入资产预计未来现金流量现值的计算。</w:t>
      </w:r>
    </w:p>
    <w:p w14:paraId="2BDFAEFD" w14:textId="77777777" w:rsidR="00FF115A" w:rsidRDefault="00FF115A" w:rsidP="00FF115A">
      <w:pPr>
        <w:pStyle w:val="13"/>
      </w:pPr>
      <w:r>
        <w:rPr>
          <w:rFonts w:hint="eastAsia"/>
        </w:rPr>
        <w:t>（三）计算公允价值减去处置费用的净额时，会计准则允许直接以公平交易中销售协议价格，或者与评估对象相同或相似资产在其活跃市场上反映的价格，作为计算公允价值的依据。</w:t>
      </w:r>
    </w:p>
    <w:p w14:paraId="25EB8F24" w14:textId="68C1251F" w:rsidR="00FF115A" w:rsidRDefault="00FF115A" w:rsidP="00FF115A">
      <w:pPr>
        <w:pStyle w:val="13"/>
      </w:pPr>
      <w:r>
        <w:rPr>
          <w:rFonts w:hint="eastAsia"/>
        </w:rPr>
        <w:t>当不存在相关活跃市场或者缺乏相关市场信息时，资产评估专业人员可以根据企业以市场参与者的身份，对单项资产或者资产组的运营</w:t>
      </w:r>
      <w:proofErr w:type="gramStart"/>
      <w:r>
        <w:rPr>
          <w:rFonts w:hint="eastAsia"/>
        </w:rPr>
        <w:t>作出</w:t>
      </w:r>
      <w:proofErr w:type="gramEnd"/>
      <w:r>
        <w:rPr>
          <w:rFonts w:hint="eastAsia"/>
        </w:rPr>
        <w:t>合理性决策，并适当地考虑相关资产或者资产组内资产有效配置、改良或重置前提下提交的预测资料，参照企业价值评估的基本思路及方法，分析及计算单项资产或者资产组的公允价值。</w:t>
      </w:r>
    </w:p>
    <w:p w14:paraId="58DF212B" w14:textId="77777777" w:rsidR="00FF115A" w:rsidRDefault="00FF115A" w:rsidP="00FF115A">
      <w:pPr>
        <w:pStyle w:val="13"/>
      </w:pPr>
      <w:r>
        <w:rPr>
          <w:rFonts w:hint="eastAsia"/>
        </w:rPr>
        <w:t>计算公允价值减去处置费用的净额时，应当根据会计准则的具体要求合理估算相关处置费用。</w:t>
      </w:r>
    </w:p>
    <w:p w14:paraId="030862F4" w14:textId="67289248" w:rsidR="00FF115A" w:rsidRDefault="00E05BDA" w:rsidP="00FF115A">
      <w:pPr>
        <w:pStyle w:val="13"/>
        <w:ind w:firstLine="482"/>
      </w:pPr>
      <w:r w:rsidRPr="00E05BDA">
        <w:rPr>
          <w:rFonts w:hint="eastAsia"/>
          <w:b/>
          <w:bCs/>
        </w:rPr>
        <w:t xml:space="preserve">第二十条 </w:t>
      </w:r>
      <w:r w:rsidR="00FF115A">
        <w:t>净重</w:t>
      </w:r>
      <w:proofErr w:type="gramStart"/>
      <w:r w:rsidR="00FF115A">
        <w:t>置成本</w:t>
      </w:r>
      <w:proofErr w:type="gramEnd"/>
      <w:r w:rsidR="00FF115A">
        <w:t>是指现在购买相同或相似资产所需支付现金或现金等价物的预计金额减去体现相关贬值因素的预计金额，贬值因素主要包括实体性贬值、功能性贬值以及经济性贬值。</w:t>
      </w:r>
    </w:p>
    <w:p w14:paraId="73C8CADB" w14:textId="77777777" w:rsidR="00FF115A" w:rsidRDefault="00FF115A" w:rsidP="00AF7342">
      <w:pPr>
        <w:pStyle w:val="a9"/>
        <w:spacing w:before="62" w:after="62"/>
      </w:pPr>
      <w:r>
        <w:rPr>
          <w:rFonts w:hint="eastAsia"/>
        </w:rPr>
        <w:t>第五章</w:t>
      </w:r>
      <w:r>
        <w:t xml:space="preserve"> 评估方法</w:t>
      </w:r>
    </w:p>
    <w:p w14:paraId="791B37CE" w14:textId="1CE325AE" w:rsidR="00FF115A" w:rsidRDefault="00E05BDA" w:rsidP="00FF115A">
      <w:pPr>
        <w:pStyle w:val="13"/>
        <w:ind w:firstLine="482"/>
      </w:pPr>
      <w:r w:rsidRPr="00E05BDA">
        <w:rPr>
          <w:rFonts w:hint="eastAsia"/>
          <w:b/>
          <w:bCs/>
        </w:rPr>
        <w:t xml:space="preserve">第二十一条 </w:t>
      </w:r>
      <w:r w:rsidR="00FF115A">
        <w:t>执行以财务报告为目的的评估业务，应当根据评估对象、价值类型、资料收集情况和数据来源等相关条件，参照会计准则关于评估对象和计量方法的有关规定</w:t>
      </w:r>
      <w:r w:rsidR="003C1F46">
        <w:t>，</w:t>
      </w:r>
      <w:r w:rsidR="00FF115A">
        <w:t>选择评估方法。</w:t>
      </w:r>
    </w:p>
    <w:p w14:paraId="2438E188" w14:textId="63AD917B" w:rsidR="00FF115A" w:rsidRDefault="00E05BDA" w:rsidP="00FF115A">
      <w:pPr>
        <w:pStyle w:val="13"/>
        <w:ind w:firstLine="482"/>
      </w:pPr>
      <w:r w:rsidRPr="00E05BDA">
        <w:rPr>
          <w:rFonts w:hint="eastAsia"/>
          <w:b/>
          <w:bCs/>
        </w:rPr>
        <w:t xml:space="preserve">第二十二条 </w:t>
      </w:r>
      <w:r w:rsidR="00FF115A">
        <w:t>资产评估专业人员应当参照会计准则的规定，关注所采用的评估数据</w:t>
      </w:r>
      <w:r w:rsidR="003C1F46">
        <w:t>，</w:t>
      </w:r>
      <w:r w:rsidR="00FF115A">
        <w:t>并知晓公允价值获取</w:t>
      </w:r>
      <w:proofErr w:type="gramStart"/>
      <w:r w:rsidR="00FF115A">
        <w:t>层级受</w:t>
      </w:r>
      <w:proofErr w:type="gramEnd"/>
      <w:r w:rsidR="00FF115A">
        <w:t>评估方法选择及评估数据来源的影响。</w:t>
      </w:r>
    </w:p>
    <w:p w14:paraId="3530F673" w14:textId="33583F22" w:rsidR="00FF115A" w:rsidRDefault="00E05BDA" w:rsidP="00FF115A">
      <w:pPr>
        <w:pStyle w:val="13"/>
        <w:ind w:firstLine="482"/>
      </w:pPr>
      <w:r w:rsidRPr="00E05BDA">
        <w:rPr>
          <w:rFonts w:hint="eastAsia"/>
          <w:b/>
          <w:bCs/>
        </w:rPr>
        <w:t xml:space="preserve">第二十三条 </w:t>
      </w:r>
      <w:r w:rsidR="00FF115A">
        <w:t>选择评估方法时应当与前期采用的评估方法保持一致。</w:t>
      </w:r>
    </w:p>
    <w:p w14:paraId="326B5DAA" w14:textId="77777777" w:rsidR="00FF115A" w:rsidRDefault="00FF115A" w:rsidP="00FF115A">
      <w:pPr>
        <w:pStyle w:val="13"/>
      </w:pPr>
      <w:r>
        <w:rPr>
          <w:rFonts w:hint="eastAsia"/>
        </w:rPr>
        <w:t>如果前期采用评估方法所依据的市场数据因发生重大变化而不再适用，或者通过采用与前期不同的评估方法使得评估结论更具代表性、更能反映评估对象的公允价值或者特定价值，可以变更评估方法。</w:t>
      </w:r>
    </w:p>
    <w:p w14:paraId="5BF50BF6" w14:textId="1218A1C9" w:rsidR="00FF115A" w:rsidRDefault="00E05BDA" w:rsidP="00FF115A">
      <w:pPr>
        <w:pStyle w:val="13"/>
        <w:ind w:firstLine="482"/>
      </w:pPr>
      <w:r w:rsidRPr="00E05BDA">
        <w:rPr>
          <w:rFonts w:hint="eastAsia"/>
          <w:b/>
          <w:bCs/>
        </w:rPr>
        <w:t xml:space="preserve">第二十四条 </w:t>
      </w:r>
      <w:r w:rsidR="00FF115A">
        <w:t>采用市场法进行以财务报告为目的的评估，应当关注相关市场的活跃程度，从相关市场获得足够的交易案例或者其他比较对象，尽可能选择最接近、比较因素调整较少的交易案例或者其他比较对象作为参照物。</w:t>
      </w:r>
    </w:p>
    <w:p w14:paraId="62D8C7F6" w14:textId="38E84CFF" w:rsidR="00FF115A" w:rsidRDefault="00E05BDA" w:rsidP="00FF115A">
      <w:pPr>
        <w:pStyle w:val="13"/>
        <w:ind w:firstLine="482"/>
      </w:pPr>
      <w:r w:rsidRPr="00E05BDA">
        <w:rPr>
          <w:rFonts w:hint="eastAsia"/>
          <w:b/>
          <w:bCs/>
        </w:rPr>
        <w:t xml:space="preserve">第二十五条 </w:t>
      </w:r>
      <w:r w:rsidR="00FF115A">
        <w:t>采用市场法进行以财务报告为目的的评估，应当对参照物的比较因素进行比较并做出恰当调整，还应重点关注作为参照物的交易案例的交易背景、交易</w:t>
      </w:r>
      <w:r w:rsidR="00FF115A">
        <w:lastRenderedPageBreak/>
        <w:t>地点、交易市场、交易时间、交易条件、付款方式等因素。</w:t>
      </w:r>
    </w:p>
    <w:p w14:paraId="317C2247" w14:textId="6439B698" w:rsidR="00FF115A" w:rsidRDefault="00E05BDA" w:rsidP="00FF115A">
      <w:pPr>
        <w:pStyle w:val="13"/>
        <w:ind w:firstLine="482"/>
      </w:pPr>
      <w:r w:rsidRPr="00E05BDA">
        <w:rPr>
          <w:rFonts w:hint="eastAsia"/>
          <w:b/>
          <w:bCs/>
        </w:rPr>
        <w:t xml:space="preserve">第二十六条 </w:t>
      </w:r>
      <w:r w:rsidR="00FF115A">
        <w:t>采用收益法进行以财务报告为目的的评估，可以根据评估对象的特点及应用条件，采用现金流量折现法、增量收益折现法、节省许可费折现法、多期超额收益折现法等具体评估方法。</w:t>
      </w:r>
    </w:p>
    <w:p w14:paraId="42394053" w14:textId="5A4D2DB4" w:rsidR="00FF115A" w:rsidRDefault="00E05BDA" w:rsidP="00FF115A">
      <w:pPr>
        <w:pStyle w:val="13"/>
        <w:ind w:firstLine="482"/>
      </w:pPr>
      <w:r w:rsidRPr="00E05BDA">
        <w:rPr>
          <w:rFonts w:hint="eastAsia"/>
          <w:b/>
          <w:bCs/>
        </w:rPr>
        <w:t xml:space="preserve">第二十七条 </w:t>
      </w:r>
      <w:r w:rsidR="00FF115A">
        <w:t>采用收益法进行以财务报告为目的的评估，应当结合相关会计准则的要求，按照资产评估准则对收益法应用的有关规定，恰当考虑收益法的适用性，合理选</w:t>
      </w:r>
      <w:r w:rsidR="00FF115A">
        <w:rPr>
          <w:rFonts w:hint="eastAsia"/>
        </w:rPr>
        <w:t>择收益口径。</w:t>
      </w:r>
    </w:p>
    <w:p w14:paraId="2965996E" w14:textId="039BAEDE" w:rsidR="00FF115A" w:rsidRDefault="00E05BDA" w:rsidP="00FF115A">
      <w:pPr>
        <w:pStyle w:val="13"/>
        <w:ind w:firstLine="482"/>
      </w:pPr>
      <w:r w:rsidRPr="00E05BDA">
        <w:rPr>
          <w:rFonts w:hint="eastAsia"/>
          <w:b/>
          <w:bCs/>
        </w:rPr>
        <w:t xml:space="preserve">第二十八条 </w:t>
      </w:r>
      <w:r w:rsidR="00FF115A">
        <w:t>采用收益法进行以财务报告为目的的评估，应当从委托人或者其他相关当事人获取评估对象的经营状况及相关收益预测资料，按照会计与评估相关准则的规定，与委托人及其他相关当事人讨论未来各种可能性，结合被评估单位的人力资源、技术水平、资本结构、经营状况、历史业绩、发展趋势，考虑宏观经济因素、所在行业现状与发展前景，分析未来收益预测资料与评估目的及评估假设的适用性。</w:t>
      </w:r>
    </w:p>
    <w:p w14:paraId="39BBCC4E" w14:textId="51724B90" w:rsidR="00FF115A" w:rsidRDefault="00E05BDA" w:rsidP="00FF115A">
      <w:pPr>
        <w:pStyle w:val="13"/>
        <w:ind w:firstLine="482"/>
      </w:pPr>
      <w:r w:rsidRPr="00E05BDA">
        <w:rPr>
          <w:rFonts w:hint="eastAsia"/>
          <w:b/>
          <w:bCs/>
        </w:rPr>
        <w:t xml:space="preserve">第二十九条 </w:t>
      </w:r>
      <w:r w:rsidR="00FF115A">
        <w:t>资产评估专业人员应当按照资产评估准则的规定，确信折现率与预期收益口径保持一致。</w:t>
      </w:r>
    </w:p>
    <w:p w14:paraId="7499A0C7" w14:textId="3DA987CD" w:rsidR="00FF115A" w:rsidRDefault="00E05BDA" w:rsidP="00FF115A">
      <w:pPr>
        <w:pStyle w:val="13"/>
        <w:ind w:firstLine="482"/>
      </w:pPr>
      <w:r w:rsidRPr="00E05BDA">
        <w:rPr>
          <w:rFonts w:hint="eastAsia"/>
          <w:b/>
          <w:bCs/>
        </w:rPr>
        <w:t xml:space="preserve">第三十条 </w:t>
      </w:r>
      <w:r w:rsidR="00FF115A">
        <w:t>采用成本法进行以财务报告为目的的评估，应当按照资产评估准则的规定，考虑评估对象的实体性贬值、功能性贬值及经济性贬值。</w:t>
      </w:r>
    </w:p>
    <w:p w14:paraId="44B9E755" w14:textId="21E04F13" w:rsidR="00FF115A" w:rsidRDefault="003B2FB1" w:rsidP="00FF115A">
      <w:pPr>
        <w:pStyle w:val="13"/>
        <w:ind w:firstLine="482"/>
      </w:pPr>
      <w:r w:rsidRPr="003B2FB1">
        <w:rPr>
          <w:rFonts w:hint="eastAsia"/>
          <w:b/>
          <w:bCs/>
        </w:rPr>
        <w:t xml:space="preserve">第三十一条 </w:t>
      </w:r>
      <w:r w:rsidR="00FF115A">
        <w:t>对于不存在相同或者相似资产活跃市场的，或者不能可靠地以收益法进行评估的资产，可以采用成本法进行评估。但资产评估专业人员应当获取企业的承诺</w:t>
      </w:r>
      <w:r w:rsidR="003C1F46">
        <w:t>，</w:t>
      </w:r>
      <w:r w:rsidR="00FF115A">
        <w:t>并在资产评估报告中披露，其评估结论仅在相关资产的价值可以通过资产未来运营得以全额回收的前提下成立。</w:t>
      </w:r>
    </w:p>
    <w:p w14:paraId="2AEC773B" w14:textId="6DB65501" w:rsidR="00FF115A" w:rsidRDefault="003B2FB1" w:rsidP="00FF115A">
      <w:pPr>
        <w:pStyle w:val="13"/>
        <w:ind w:firstLine="482"/>
      </w:pPr>
      <w:r w:rsidRPr="003B2FB1">
        <w:rPr>
          <w:rFonts w:hint="eastAsia"/>
          <w:b/>
          <w:bCs/>
        </w:rPr>
        <w:t xml:space="preserve">第三十二条 </w:t>
      </w:r>
      <w:r w:rsidR="00FF115A">
        <w:t>对同一评估对象采用多种评估方法时，应当对形成的各种测算结果进行分析，在综合考虑不同评估方法测算结果的合理性及所使用数据质量及数量的基础上</w:t>
      </w:r>
      <w:r w:rsidR="003C1F46">
        <w:t>，</w:t>
      </w:r>
      <w:r w:rsidR="00FF115A">
        <w:t>形成评估结论。</w:t>
      </w:r>
    </w:p>
    <w:p w14:paraId="4CA6D39F" w14:textId="1FED9866" w:rsidR="00FF115A" w:rsidRDefault="003B2FB1" w:rsidP="00FF115A">
      <w:pPr>
        <w:pStyle w:val="13"/>
        <w:ind w:firstLine="482"/>
      </w:pPr>
      <w:r w:rsidRPr="003B2FB1">
        <w:rPr>
          <w:rFonts w:hint="eastAsia"/>
          <w:b/>
          <w:bCs/>
        </w:rPr>
        <w:t xml:space="preserve">第三十三条 </w:t>
      </w:r>
      <w:r w:rsidR="00FF115A">
        <w:t>资产评估专业人员应当知晓相关经济合同所记载的与资产或者负债价值相关的金额不一定等同于该项资产或者负债于某一时点的公允价值。</w:t>
      </w:r>
    </w:p>
    <w:p w14:paraId="371155A7" w14:textId="22C52EDB" w:rsidR="00FF115A" w:rsidRDefault="003B2FB1" w:rsidP="00FF115A">
      <w:pPr>
        <w:pStyle w:val="13"/>
        <w:ind w:firstLine="482"/>
      </w:pPr>
      <w:r w:rsidRPr="003B2FB1">
        <w:rPr>
          <w:rFonts w:hint="eastAsia"/>
          <w:b/>
          <w:bCs/>
        </w:rPr>
        <w:t xml:space="preserve">第三十四条 </w:t>
      </w:r>
      <w:r w:rsidR="00FF115A">
        <w:t>资产评估专业人员应当知晓相关税收法律、行政法规对评估对象价值估算的影响，并在相关评估过程中予以恰当的考虑和处理。</w:t>
      </w:r>
    </w:p>
    <w:p w14:paraId="2F0FA7CF" w14:textId="77777777" w:rsidR="00FF115A" w:rsidRDefault="00FF115A" w:rsidP="00AF7342">
      <w:pPr>
        <w:pStyle w:val="a9"/>
        <w:spacing w:before="62" w:after="62"/>
      </w:pPr>
      <w:r>
        <w:rPr>
          <w:rFonts w:hint="eastAsia"/>
        </w:rPr>
        <w:t>第六章</w:t>
      </w:r>
      <w:r>
        <w:t xml:space="preserve"> 披露要求</w:t>
      </w:r>
    </w:p>
    <w:p w14:paraId="06A57643" w14:textId="7E719769" w:rsidR="00FF115A" w:rsidRDefault="003B2FB1" w:rsidP="00FF115A">
      <w:pPr>
        <w:pStyle w:val="13"/>
        <w:ind w:firstLine="482"/>
      </w:pPr>
      <w:r w:rsidRPr="003B2FB1">
        <w:rPr>
          <w:rFonts w:hint="eastAsia"/>
          <w:b/>
          <w:bCs/>
        </w:rPr>
        <w:t xml:space="preserve">第三十五条 </w:t>
      </w:r>
      <w:r w:rsidR="00FF115A">
        <w:t>资产评估报告应当包含必要信息，使资产评估报告使用人能够正确理解评估结论，其中应当重点披露以下内容：</w:t>
      </w:r>
    </w:p>
    <w:p w14:paraId="14B69573" w14:textId="77777777" w:rsidR="00FF115A" w:rsidRDefault="00FF115A" w:rsidP="00FF115A">
      <w:pPr>
        <w:pStyle w:val="13"/>
      </w:pPr>
      <w:r>
        <w:rPr>
          <w:rFonts w:hint="eastAsia"/>
        </w:rPr>
        <w:t>（一）评估对象的具体描述；</w:t>
      </w:r>
    </w:p>
    <w:p w14:paraId="3B901D97" w14:textId="77777777" w:rsidR="00FF115A" w:rsidRDefault="00FF115A" w:rsidP="00FF115A">
      <w:pPr>
        <w:pStyle w:val="13"/>
      </w:pPr>
      <w:r>
        <w:rPr>
          <w:rFonts w:hint="eastAsia"/>
        </w:rPr>
        <w:t>（二）价值类型的定义及其与会计准则或者相关会计核算、披露要求的对应关系；</w:t>
      </w:r>
    </w:p>
    <w:p w14:paraId="22CC0844" w14:textId="77777777" w:rsidR="00FF115A" w:rsidRDefault="00FF115A" w:rsidP="00FF115A">
      <w:pPr>
        <w:pStyle w:val="13"/>
      </w:pPr>
      <w:r>
        <w:rPr>
          <w:rFonts w:hint="eastAsia"/>
        </w:rPr>
        <w:t>（三）评估方法的选择过程和依据；</w:t>
      </w:r>
    </w:p>
    <w:p w14:paraId="0865ED73" w14:textId="77777777" w:rsidR="00FF115A" w:rsidRDefault="00FF115A" w:rsidP="00FF115A">
      <w:pPr>
        <w:pStyle w:val="13"/>
      </w:pPr>
      <w:r>
        <w:rPr>
          <w:rFonts w:hint="eastAsia"/>
        </w:rPr>
        <w:lastRenderedPageBreak/>
        <w:t>（四）评估方法的具体运用，结合相关计算过程、评估参数等加以说明；</w:t>
      </w:r>
    </w:p>
    <w:p w14:paraId="5C4C0A16" w14:textId="77777777" w:rsidR="00FF115A" w:rsidRDefault="00FF115A" w:rsidP="00FF115A">
      <w:pPr>
        <w:pStyle w:val="13"/>
      </w:pPr>
      <w:r>
        <w:rPr>
          <w:rFonts w:hint="eastAsia"/>
        </w:rPr>
        <w:t>（五）关键性假设及前提；</w:t>
      </w:r>
    </w:p>
    <w:p w14:paraId="6C2BCE0C" w14:textId="77777777" w:rsidR="00FF115A" w:rsidRDefault="00FF115A" w:rsidP="00FF115A">
      <w:pPr>
        <w:pStyle w:val="13"/>
      </w:pPr>
      <w:r>
        <w:rPr>
          <w:rFonts w:hint="eastAsia"/>
        </w:rPr>
        <w:t>（六）关键性评估参数的测算、逻辑推理、形成过程和相关评估数据的获取来源；</w:t>
      </w:r>
    </w:p>
    <w:p w14:paraId="678C9D51" w14:textId="77777777" w:rsidR="00FF115A" w:rsidRDefault="00FF115A" w:rsidP="00FF115A">
      <w:pPr>
        <w:pStyle w:val="13"/>
      </w:pPr>
      <w:r>
        <w:rPr>
          <w:rFonts w:hint="eastAsia"/>
        </w:rPr>
        <w:t>（七）对企业提供的财务等评估中使用的资料所做的重大或者实质性调整。</w:t>
      </w:r>
    </w:p>
    <w:p w14:paraId="187C091D" w14:textId="17E8298A" w:rsidR="00FF115A" w:rsidRDefault="003B2FB1" w:rsidP="00FF115A">
      <w:pPr>
        <w:pStyle w:val="13"/>
        <w:ind w:firstLine="482"/>
      </w:pPr>
      <w:r w:rsidRPr="003B2FB1">
        <w:rPr>
          <w:rFonts w:hint="eastAsia"/>
          <w:b/>
          <w:bCs/>
        </w:rPr>
        <w:t xml:space="preserve">第三十六条 </w:t>
      </w:r>
      <w:r w:rsidR="00FF115A">
        <w:t>执行以财务报告为目的的评估业务，应当在资产评估报告中披露评估结论所受到的限制，并提醒委托人关注其对财务报告的影响。</w:t>
      </w:r>
    </w:p>
    <w:p w14:paraId="69766B75" w14:textId="0EE5E9FB" w:rsidR="00FF115A" w:rsidRDefault="003B2FB1" w:rsidP="00FF115A">
      <w:pPr>
        <w:pStyle w:val="13"/>
        <w:ind w:firstLine="482"/>
      </w:pPr>
      <w:r w:rsidRPr="003B2FB1">
        <w:rPr>
          <w:rFonts w:hint="eastAsia"/>
          <w:b/>
          <w:bCs/>
        </w:rPr>
        <w:t xml:space="preserve">第三十七条 </w:t>
      </w:r>
      <w:r w:rsidR="00FF115A">
        <w:t>资产评估报告应当披露本次与前次评估相同或者类似资产或者负债时采用的评估方法是否一致；当出现不一致时，应当描述相应的变动并说明变动的原因。</w:t>
      </w:r>
    </w:p>
    <w:p w14:paraId="7F05641B" w14:textId="77777777" w:rsidR="00FF115A" w:rsidRDefault="00FF115A" w:rsidP="00AF7342">
      <w:pPr>
        <w:pStyle w:val="a9"/>
        <w:spacing w:before="62" w:after="62"/>
      </w:pPr>
      <w:r>
        <w:rPr>
          <w:rFonts w:hint="eastAsia"/>
        </w:rPr>
        <w:t>第七章</w:t>
      </w:r>
      <w:r>
        <w:t xml:space="preserve"> 附则</w:t>
      </w:r>
    </w:p>
    <w:p w14:paraId="62336024" w14:textId="0DE58FB8" w:rsidR="00FF115A" w:rsidRDefault="003B2FB1" w:rsidP="00FF115A">
      <w:pPr>
        <w:pStyle w:val="13"/>
        <w:ind w:firstLine="482"/>
      </w:pPr>
      <w:r w:rsidRPr="003B2FB1">
        <w:rPr>
          <w:rFonts w:hint="eastAsia"/>
          <w:b/>
          <w:bCs/>
        </w:rPr>
        <w:t xml:space="preserve">第三十八条 </w:t>
      </w:r>
      <w:r w:rsidR="00FF115A">
        <w:t>本指南自 2017</w:t>
      </w:r>
      <w:r w:rsidR="003068F8">
        <w:t>年</w:t>
      </w:r>
      <w:r w:rsidR="00FF115A">
        <w:t>10</w:t>
      </w:r>
      <w:r w:rsidR="003068F8">
        <w:t>月</w:t>
      </w:r>
      <w:r w:rsidR="00FF115A">
        <w:t>1</w:t>
      </w:r>
      <w:r w:rsidR="003068F8">
        <w:t>日</w:t>
      </w:r>
      <w:r w:rsidR="00FF115A">
        <w:t>起施行。中国资产评估协会于 2007</w:t>
      </w:r>
      <w:r w:rsidR="003068F8">
        <w:t>年</w:t>
      </w:r>
      <w:r w:rsidR="00FF115A">
        <w:t>11</w:t>
      </w:r>
      <w:r w:rsidR="00FF115A">
        <w:rPr>
          <w:rFonts w:hint="eastAsia"/>
        </w:rPr>
        <w:t xml:space="preserve"> 月</w:t>
      </w:r>
      <w:r w:rsidR="00FF115A">
        <w:t>9</w:t>
      </w:r>
      <w:r w:rsidR="003068F8">
        <w:t>日</w:t>
      </w:r>
      <w:r w:rsidR="00FF115A">
        <w:t>发布的《关于印发〈以财务报告为目的的评估指南（试行）〉的通知》（</w:t>
      </w:r>
      <w:proofErr w:type="gramStart"/>
      <w:r w:rsidR="00FF115A">
        <w:t>中评协</w:t>
      </w:r>
      <w:proofErr w:type="gramEnd"/>
      <w:r w:rsidR="00FF115A">
        <w:t>〔2007〕169号）同时废止。</w:t>
      </w:r>
    </w:p>
    <w:p w14:paraId="0E03E040" w14:textId="77777777" w:rsidR="00FF115A" w:rsidRDefault="00FF115A" w:rsidP="00B034D4">
      <w:pPr>
        <w:pStyle w:val="31"/>
        <w:spacing w:before="156" w:after="62"/>
      </w:pPr>
      <w:bookmarkStart w:id="36" w:name="_Toc81833316"/>
      <w:r>
        <w:rPr>
          <w:rFonts w:hint="eastAsia"/>
        </w:rPr>
        <w:t>资产评估机构业务质量控制指南（</w:t>
      </w:r>
      <w:proofErr w:type="gramStart"/>
      <w:r>
        <w:rPr>
          <w:rFonts w:hint="eastAsia"/>
        </w:rPr>
        <w:t>中评协</w:t>
      </w:r>
      <w:proofErr w:type="gramEnd"/>
      <w:r>
        <w:rPr>
          <w:rFonts w:hint="eastAsia"/>
        </w:rPr>
        <w:t>〔</w:t>
      </w:r>
      <w:r>
        <w:t>2017〕46号）</w:t>
      </w:r>
      <w:bookmarkEnd w:id="36"/>
    </w:p>
    <w:p w14:paraId="45BEA3C2" w14:textId="77777777" w:rsidR="00FF115A" w:rsidRDefault="00FF115A" w:rsidP="00B034D4">
      <w:pPr>
        <w:pStyle w:val="13"/>
        <w:ind w:firstLineChars="0" w:firstLine="0"/>
      </w:pPr>
      <w:r>
        <w:rPr>
          <w:rFonts w:hint="eastAsia"/>
        </w:rPr>
        <w:t>各省、自治区、直辖市、计划单列市资产评估协会（注册会计师协会）：</w:t>
      </w:r>
    </w:p>
    <w:p w14:paraId="3D9D1F45" w14:textId="0B55C947" w:rsidR="00FF115A" w:rsidRDefault="00FF115A" w:rsidP="00FF115A">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评估机构业务质量控制指南》进行了修订，制定了《资产评估机构业务质量控制指南》，现予印发。自</w:t>
      </w:r>
      <w:r>
        <w:t xml:space="preserve"> 2017</w:t>
      </w:r>
      <w:r w:rsidR="003068F8">
        <w:t>年</w:t>
      </w:r>
      <w:r>
        <w:t>10</w:t>
      </w:r>
      <w:r w:rsidR="003068F8">
        <w:t>月</w:t>
      </w:r>
      <w:r>
        <w:t>1</w:t>
      </w:r>
      <w:r w:rsidR="003068F8">
        <w:t>日</w:t>
      </w:r>
      <w:r>
        <w:t>起，具有证券评估业务资格的资产评估机构遵照执行，其他资产评估机构参照执行。</w:t>
      </w:r>
    </w:p>
    <w:p w14:paraId="4FC57315" w14:textId="77777777" w:rsidR="00FF115A" w:rsidRDefault="00FF115A" w:rsidP="00FF115A">
      <w:pPr>
        <w:pStyle w:val="13"/>
      </w:pPr>
      <w:r>
        <w:rPr>
          <w:rFonts w:hint="eastAsia"/>
        </w:rPr>
        <w:t>请各地</w:t>
      </w:r>
      <w:proofErr w:type="gramStart"/>
      <w:r>
        <w:rPr>
          <w:rFonts w:hint="eastAsia"/>
        </w:rPr>
        <w:t>方协会</w:t>
      </w:r>
      <w:proofErr w:type="gramEnd"/>
      <w:r>
        <w:rPr>
          <w:rFonts w:hint="eastAsia"/>
        </w:rPr>
        <w:t>将《资产评估机构业务质量控制指南》及时转发资产评估机构，组织资产评估机构和资产评估专业人员进行学习和培训，并将执行过程中发现的问题及时上报中国资产评估协会。</w:t>
      </w:r>
    </w:p>
    <w:p w14:paraId="64DCBE60" w14:textId="77777777" w:rsidR="00FF115A" w:rsidRDefault="00FF115A" w:rsidP="00FF115A">
      <w:pPr>
        <w:pStyle w:val="13"/>
      </w:pPr>
      <w:r>
        <w:rPr>
          <w:rFonts w:hint="eastAsia"/>
        </w:rPr>
        <w:t>附件：《资产评估机构业务质量控制指南》</w:t>
      </w:r>
    </w:p>
    <w:p w14:paraId="0380493D" w14:textId="77777777" w:rsidR="00FF115A" w:rsidRDefault="00FF115A" w:rsidP="00B034D4">
      <w:pPr>
        <w:pStyle w:val="13"/>
        <w:jc w:val="right"/>
      </w:pPr>
      <w:r>
        <w:rPr>
          <w:rFonts w:hint="eastAsia"/>
        </w:rPr>
        <w:t>中国资产评估协会</w:t>
      </w:r>
    </w:p>
    <w:p w14:paraId="6B864CE6" w14:textId="1EC257A4" w:rsidR="00FF115A" w:rsidRDefault="00FF115A" w:rsidP="00B034D4">
      <w:pPr>
        <w:pStyle w:val="13"/>
        <w:jc w:val="right"/>
      </w:pPr>
      <w:r>
        <w:t>2017</w:t>
      </w:r>
      <w:r w:rsidR="003068F8">
        <w:t>年</w:t>
      </w:r>
      <w:r>
        <w:t>9</w:t>
      </w:r>
      <w:r w:rsidR="003068F8">
        <w:t>月</w:t>
      </w:r>
      <w:r>
        <w:t>8</w:t>
      </w:r>
      <w:r w:rsidR="003068F8">
        <w:t>日</w:t>
      </w:r>
    </w:p>
    <w:p w14:paraId="31EB9834" w14:textId="77777777" w:rsidR="00FF115A" w:rsidRDefault="00FF115A" w:rsidP="00AF7342">
      <w:pPr>
        <w:pStyle w:val="a9"/>
        <w:spacing w:before="62" w:after="62"/>
      </w:pPr>
      <w:r>
        <w:rPr>
          <w:rFonts w:hint="eastAsia"/>
        </w:rPr>
        <w:t>资产评估机构业务质量控制指南</w:t>
      </w:r>
    </w:p>
    <w:p w14:paraId="363AD949" w14:textId="77777777" w:rsidR="00FF115A" w:rsidRDefault="00FF115A" w:rsidP="00AF7342">
      <w:pPr>
        <w:pStyle w:val="a9"/>
        <w:spacing w:before="62" w:after="62"/>
      </w:pPr>
      <w:r>
        <w:rPr>
          <w:rFonts w:hint="eastAsia"/>
        </w:rPr>
        <w:t>第一章</w:t>
      </w:r>
      <w:r>
        <w:t xml:space="preserve"> 总则</w:t>
      </w:r>
    </w:p>
    <w:p w14:paraId="612B0D64" w14:textId="42E485B8" w:rsidR="00FF115A" w:rsidRDefault="004E3EBB" w:rsidP="00FF115A">
      <w:pPr>
        <w:pStyle w:val="13"/>
        <w:ind w:firstLine="482"/>
      </w:pPr>
      <w:r w:rsidRPr="004E3EBB">
        <w:rPr>
          <w:rFonts w:hint="eastAsia"/>
          <w:b/>
          <w:bCs/>
        </w:rPr>
        <w:t xml:space="preserve">第一条 </w:t>
      </w:r>
      <w:r w:rsidR="00FF115A">
        <w:t>为规范资产评估机构的业务质量控制行为，明确资产评估机构及其人员的质量控制责任，保护资产评估当事人合法权益和公共利益，根据《资产评估基本准则》制定本指南。</w:t>
      </w:r>
    </w:p>
    <w:p w14:paraId="4BAD9C81" w14:textId="77208AEB" w:rsidR="00FF115A" w:rsidRDefault="004E3EBB" w:rsidP="00FF115A">
      <w:pPr>
        <w:pStyle w:val="13"/>
        <w:ind w:firstLine="482"/>
      </w:pPr>
      <w:r w:rsidRPr="004E3EBB">
        <w:rPr>
          <w:rFonts w:hint="eastAsia"/>
          <w:b/>
          <w:bCs/>
        </w:rPr>
        <w:t xml:space="preserve">第二条 </w:t>
      </w:r>
      <w:r w:rsidR="00FF115A">
        <w:t>资产评估机构应当结合自身规模、业务特征、业务领域等因素，建立质量控制体系，保证评估业务质量，防范执业风险。</w:t>
      </w:r>
    </w:p>
    <w:p w14:paraId="5E59DF45" w14:textId="1958D221" w:rsidR="00FF115A" w:rsidRDefault="004E3EBB" w:rsidP="00FF115A">
      <w:pPr>
        <w:pStyle w:val="13"/>
        <w:ind w:firstLine="482"/>
      </w:pPr>
      <w:r w:rsidRPr="004E3EBB">
        <w:rPr>
          <w:rFonts w:hint="eastAsia"/>
          <w:b/>
          <w:bCs/>
        </w:rPr>
        <w:lastRenderedPageBreak/>
        <w:t xml:space="preserve">第三条 </w:t>
      </w:r>
      <w:r w:rsidR="00FF115A">
        <w:t>质量控制体系包括资产评估机构为实现质量控制目标而制定的质量控制政策，以及为政策执行和监控而设计的必要程序。</w:t>
      </w:r>
    </w:p>
    <w:p w14:paraId="38D7552D" w14:textId="0438C073" w:rsidR="00FF115A" w:rsidRDefault="004E3EBB" w:rsidP="00FF115A">
      <w:pPr>
        <w:pStyle w:val="13"/>
        <w:ind w:firstLine="482"/>
      </w:pPr>
      <w:r w:rsidRPr="004E3EBB">
        <w:rPr>
          <w:rFonts w:hint="eastAsia"/>
          <w:b/>
          <w:bCs/>
        </w:rPr>
        <w:t xml:space="preserve">第四条 </w:t>
      </w:r>
      <w:r w:rsidR="00FF115A">
        <w:t>质量控制体系包含的控制政策和程序通常包括：</w:t>
      </w:r>
    </w:p>
    <w:p w14:paraId="37EB6389" w14:textId="77777777" w:rsidR="00FF115A" w:rsidRDefault="00FF115A" w:rsidP="00FF115A">
      <w:pPr>
        <w:pStyle w:val="13"/>
      </w:pPr>
      <w:r>
        <w:rPr>
          <w:rFonts w:hint="eastAsia"/>
        </w:rPr>
        <w:t>（一）质量控制责任；</w:t>
      </w:r>
    </w:p>
    <w:p w14:paraId="5C563D7C" w14:textId="77777777" w:rsidR="00FF115A" w:rsidRDefault="00FF115A" w:rsidP="00FF115A">
      <w:pPr>
        <w:pStyle w:val="13"/>
      </w:pPr>
      <w:r>
        <w:rPr>
          <w:rFonts w:hint="eastAsia"/>
        </w:rPr>
        <w:t>（二）职业道德；</w:t>
      </w:r>
    </w:p>
    <w:p w14:paraId="73819928" w14:textId="77777777" w:rsidR="00FF115A" w:rsidRDefault="00FF115A" w:rsidP="00FF115A">
      <w:pPr>
        <w:pStyle w:val="13"/>
      </w:pPr>
      <w:r>
        <w:rPr>
          <w:rFonts w:hint="eastAsia"/>
        </w:rPr>
        <w:t>（三）人力资源；</w:t>
      </w:r>
    </w:p>
    <w:p w14:paraId="4DDD8EF0" w14:textId="77777777" w:rsidR="00FF115A" w:rsidRDefault="00FF115A" w:rsidP="00FF115A">
      <w:pPr>
        <w:pStyle w:val="13"/>
      </w:pPr>
      <w:r>
        <w:rPr>
          <w:rFonts w:hint="eastAsia"/>
        </w:rPr>
        <w:t>（四）资产评估业务受理；</w:t>
      </w:r>
    </w:p>
    <w:p w14:paraId="47C16D52" w14:textId="77777777" w:rsidR="00FF115A" w:rsidRDefault="00FF115A" w:rsidP="00FF115A">
      <w:pPr>
        <w:pStyle w:val="13"/>
      </w:pPr>
      <w:r>
        <w:rPr>
          <w:rFonts w:hint="eastAsia"/>
        </w:rPr>
        <w:t>（五）资产评估业务计划；</w:t>
      </w:r>
    </w:p>
    <w:p w14:paraId="628BBE5A" w14:textId="77777777" w:rsidR="00FF115A" w:rsidRDefault="00FF115A" w:rsidP="00FF115A">
      <w:pPr>
        <w:pStyle w:val="13"/>
      </w:pPr>
      <w:r>
        <w:rPr>
          <w:rFonts w:hint="eastAsia"/>
        </w:rPr>
        <w:t>（六）资产评估业务实施和资产评估报告出具；</w:t>
      </w:r>
    </w:p>
    <w:p w14:paraId="26125B30" w14:textId="77777777" w:rsidR="00FF115A" w:rsidRDefault="00FF115A" w:rsidP="00FF115A">
      <w:pPr>
        <w:pStyle w:val="13"/>
      </w:pPr>
      <w:r>
        <w:rPr>
          <w:rFonts w:hint="eastAsia"/>
        </w:rPr>
        <w:t>（七）监控和改进；</w:t>
      </w:r>
    </w:p>
    <w:p w14:paraId="294107C5" w14:textId="77777777" w:rsidR="00FF115A" w:rsidRDefault="00FF115A" w:rsidP="00FF115A">
      <w:pPr>
        <w:pStyle w:val="13"/>
      </w:pPr>
      <w:r>
        <w:rPr>
          <w:rFonts w:hint="eastAsia"/>
        </w:rPr>
        <w:t>（八）文件和记录。</w:t>
      </w:r>
    </w:p>
    <w:p w14:paraId="3ED3E769" w14:textId="34C481AD" w:rsidR="00FF115A" w:rsidRDefault="004E3EBB" w:rsidP="00FF115A">
      <w:pPr>
        <w:pStyle w:val="13"/>
        <w:ind w:firstLine="482"/>
      </w:pPr>
      <w:r w:rsidRPr="004E3EBB">
        <w:rPr>
          <w:rFonts w:hint="eastAsia"/>
          <w:b/>
          <w:bCs/>
        </w:rPr>
        <w:t xml:space="preserve">第五条 </w:t>
      </w:r>
      <w:r w:rsidR="00FF115A">
        <w:t>资产评估机构制定的质量控制政策和程序，应当形成书面文件。政策和程序的执行情况应当有适当的记录。</w:t>
      </w:r>
    </w:p>
    <w:p w14:paraId="62616EA0" w14:textId="0D128DB4" w:rsidR="00FF115A" w:rsidRDefault="004E3EBB" w:rsidP="00FF115A">
      <w:pPr>
        <w:pStyle w:val="13"/>
        <w:ind w:firstLine="482"/>
      </w:pPr>
      <w:r w:rsidRPr="004E3EBB">
        <w:rPr>
          <w:rFonts w:hint="eastAsia"/>
          <w:b/>
          <w:bCs/>
        </w:rPr>
        <w:t xml:space="preserve">第六条 </w:t>
      </w:r>
      <w:r w:rsidR="00FF115A">
        <w:t>资产评估机构对资产评估业务进行质量控制，应当遵守本指南。</w:t>
      </w:r>
    </w:p>
    <w:p w14:paraId="4EDDD4E7" w14:textId="77777777" w:rsidR="00FF115A" w:rsidRDefault="00FF115A" w:rsidP="00AF7342">
      <w:pPr>
        <w:pStyle w:val="a9"/>
        <w:spacing w:before="62" w:after="62"/>
      </w:pPr>
      <w:r>
        <w:rPr>
          <w:rFonts w:hint="eastAsia"/>
        </w:rPr>
        <w:t>第二章</w:t>
      </w:r>
      <w:r>
        <w:t xml:space="preserve"> 质量控制责任</w:t>
      </w:r>
    </w:p>
    <w:p w14:paraId="2F3D8786" w14:textId="7BDB12F3" w:rsidR="00FF115A" w:rsidRDefault="004E3EBB" w:rsidP="00FF115A">
      <w:pPr>
        <w:pStyle w:val="13"/>
        <w:ind w:firstLine="482"/>
      </w:pPr>
      <w:r w:rsidRPr="004E3EBB">
        <w:rPr>
          <w:rFonts w:hint="eastAsia"/>
          <w:b/>
          <w:bCs/>
        </w:rPr>
        <w:t xml:space="preserve">第七条 </w:t>
      </w:r>
      <w:r w:rsidR="00FF115A">
        <w:t>资产评估机构应当合理界定和细分质量控制体系中控制主体承担的质量控制责任，并建立责任落实和追究机制。控制主体通常包括：</w:t>
      </w:r>
    </w:p>
    <w:p w14:paraId="6684DED8" w14:textId="77777777" w:rsidR="00FF115A" w:rsidRDefault="00FF115A" w:rsidP="00FF115A">
      <w:pPr>
        <w:pStyle w:val="13"/>
      </w:pPr>
      <w:r>
        <w:rPr>
          <w:rFonts w:hint="eastAsia"/>
        </w:rPr>
        <w:t>（一）最高管理层；</w:t>
      </w:r>
    </w:p>
    <w:p w14:paraId="1265E308" w14:textId="77777777" w:rsidR="00FF115A" w:rsidRDefault="00FF115A" w:rsidP="00FF115A">
      <w:pPr>
        <w:pStyle w:val="13"/>
      </w:pPr>
      <w:r>
        <w:rPr>
          <w:rFonts w:hint="eastAsia"/>
        </w:rPr>
        <w:t>（二）首席评估师；</w:t>
      </w:r>
    </w:p>
    <w:p w14:paraId="69C36639" w14:textId="77777777" w:rsidR="00FF115A" w:rsidRDefault="00FF115A" w:rsidP="00FF115A">
      <w:pPr>
        <w:pStyle w:val="13"/>
      </w:pPr>
      <w:r>
        <w:rPr>
          <w:rFonts w:hint="eastAsia"/>
        </w:rPr>
        <w:t>（三）项目负责人；</w:t>
      </w:r>
    </w:p>
    <w:p w14:paraId="08357B04" w14:textId="77777777" w:rsidR="00FF115A" w:rsidRDefault="00FF115A" w:rsidP="00FF115A">
      <w:pPr>
        <w:pStyle w:val="13"/>
      </w:pPr>
      <w:r>
        <w:rPr>
          <w:rFonts w:hint="eastAsia"/>
        </w:rPr>
        <w:t>（四）项目审核人员；</w:t>
      </w:r>
    </w:p>
    <w:p w14:paraId="06BD07EC" w14:textId="77777777" w:rsidR="00FF115A" w:rsidRDefault="00FF115A" w:rsidP="00FF115A">
      <w:pPr>
        <w:pStyle w:val="13"/>
      </w:pPr>
      <w:r>
        <w:rPr>
          <w:rFonts w:hint="eastAsia"/>
        </w:rPr>
        <w:t>（五）项目团队成员；</w:t>
      </w:r>
    </w:p>
    <w:p w14:paraId="1CE59671" w14:textId="77777777" w:rsidR="00FF115A" w:rsidRDefault="00FF115A" w:rsidP="00FF115A">
      <w:pPr>
        <w:pStyle w:val="13"/>
      </w:pPr>
      <w:r>
        <w:rPr>
          <w:rFonts w:hint="eastAsia"/>
        </w:rPr>
        <w:t>（六）资产评估机构其他人员。</w:t>
      </w:r>
    </w:p>
    <w:p w14:paraId="4D01C972" w14:textId="79E2D5FA" w:rsidR="00FF115A" w:rsidRDefault="004E3EBB" w:rsidP="00FF115A">
      <w:pPr>
        <w:pStyle w:val="13"/>
        <w:ind w:firstLine="482"/>
      </w:pPr>
      <w:r w:rsidRPr="004E3EBB">
        <w:rPr>
          <w:rFonts w:hint="eastAsia"/>
          <w:b/>
          <w:bCs/>
        </w:rPr>
        <w:t xml:space="preserve">第八条 </w:t>
      </w:r>
      <w:r w:rsidR="00FF115A">
        <w:t>最高管理层是指公司</w:t>
      </w:r>
      <w:proofErr w:type="gramStart"/>
      <w:r w:rsidR="00FF115A">
        <w:t>制资产</w:t>
      </w:r>
      <w:proofErr w:type="gramEnd"/>
      <w:r w:rsidR="00FF115A">
        <w:t>评估机构的董事会（执行董事）或者合伙</w:t>
      </w:r>
      <w:proofErr w:type="gramStart"/>
      <w:r w:rsidR="00FF115A">
        <w:t>制资产</w:t>
      </w:r>
      <w:proofErr w:type="gramEnd"/>
      <w:r w:rsidR="00FF115A">
        <w:t>评估机构的合伙人管理委员会（执行合伙事务的合伙人）。</w:t>
      </w:r>
    </w:p>
    <w:p w14:paraId="5899FB12" w14:textId="77777777" w:rsidR="00FF115A" w:rsidRDefault="00FF115A" w:rsidP="00FF115A">
      <w:pPr>
        <w:pStyle w:val="13"/>
      </w:pPr>
      <w:r>
        <w:rPr>
          <w:rFonts w:hint="eastAsia"/>
        </w:rPr>
        <w:t>最高管理层对业务质量控制承担最终责任。</w:t>
      </w:r>
    </w:p>
    <w:p w14:paraId="2641C785" w14:textId="51837F22" w:rsidR="00FF115A" w:rsidRDefault="00E05BDA" w:rsidP="00FF115A">
      <w:pPr>
        <w:pStyle w:val="13"/>
        <w:ind w:firstLine="482"/>
      </w:pPr>
      <w:r w:rsidRPr="00E05BDA">
        <w:rPr>
          <w:rFonts w:hint="eastAsia"/>
          <w:b/>
          <w:bCs/>
        </w:rPr>
        <w:t xml:space="preserve">第九条 </w:t>
      </w:r>
      <w:r w:rsidR="00FF115A">
        <w:t>最高管理层应当在股东会（或者合伙人会议）授权的或者章程（或者合伙人协议）规定的范围内行使职权，并承担以下职责：</w:t>
      </w:r>
    </w:p>
    <w:p w14:paraId="448FF4F6" w14:textId="77777777" w:rsidR="00FF115A" w:rsidRDefault="00FF115A" w:rsidP="00FF115A">
      <w:pPr>
        <w:pStyle w:val="13"/>
      </w:pPr>
      <w:r>
        <w:rPr>
          <w:rFonts w:hint="eastAsia"/>
        </w:rPr>
        <w:t>（一）树立质量管理意识，让全体人员充分认识到业务质量控制的重要性，全员参与，以达到质量控制目标；</w:t>
      </w:r>
    </w:p>
    <w:p w14:paraId="61B54B52" w14:textId="77777777" w:rsidR="00FF115A" w:rsidRDefault="00FF115A" w:rsidP="00FF115A">
      <w:pPr>
        <w:pStyle w:val="13"/>
      </w:pPr>
      <w:r>
        <w:rPr>
          <w:rFonts w:hint="eastAsia"/>
        </w:rPr>
        <w:t>（二）制定资产评估机构的服务宗旨，使全体人员理解服务宗旨的内涵，并评审其持续适宜性；</w:t>
      </w:r>
    </w:p>
    <w:p w14:paraId="03176D59" w14:textId="383C21F8" w:rsidR="00FF115A" w:rsidRDefault="00FF115A" w:rsidP="00FF115A">
      <w:pPr>
        <w:pStyle w:val="13"/>
      </w:pPr>
      <w:r>
        <w:rPr>
          <w:rFonts w:hint="eastAsia"/>
        </w:rPr>
        <w:t>（三）在相关职能部门层次上建立质量目标，质量目标应当具体、可测量和</w:t>
      </w:r>
      <w:proofErr w:type="gramStart"/>
      <w:r>
        <w:rPr>
          <w:rFonts w:hint="eastAsia"/>
        </w:rPr>
        <w:t>可</w:t>
      </w:r>
      <w:proofErr w:type="gramEnd"/>
      <w:r>
        <w:rPr>
          <w:rFonts w:hint="eastAsia"/>
        </w:rPr>
        <w:t>实现</w:t>
      </w:r>
      <w:r w:rsidR="003C1F46">
        <w:rPr>
          <w:rFonts w:hint="eastAsia"/>
        </w:rPr>
        <w:t>，</w:t>
      </w:r>
      <w:r>
        <w:t>并与服务宗旨保持一致；</w:t>
      </w:r>
    </w:p>
    <w:p w14:paraId="34CA99AB" w14:textId="77777777" w:rsidR="00FF115A" w:rsidRDefault="00FF115A" w:rsidP="00FF115A">
      <w:pPr>
        <w:pStyle w:val="13"/>
      </w:pPr>
      <w:r>
        <w:rPr>
          <w:rFonts w:hint="eastAsia"/>
        </w:rPr>
        <w:lastRenderedPageBreak/>
        <w:t>（四）策划组织架构和质量控制体系，并对其进行定期评审，使其处于适宜、充分和有效的状态；</w:t>
      </w:r>
    </w:p>
    <w:p w14:paraId="663FA2BC" w14:textId="77777777" w:rsidR="00B034D4" w:rsidRDefault="00FF115A" w:rsidP="00FF115A">
      <w:pPr>
        <w:pStyle w:val="13"/>
      </w:pPr>
      <w:r>
        <w:rPr>
          <w:rFonts w:hint="eastAsia"/>
        </w:rPr>
        <w:t>（五）合理授权分支机构的业务权限，对分支机构的业务开展实施控制。</w:t>
      </w:r>
    </w:p>
    <w:p w14:paraId="5B7600A6" w14:textId="40B5DB72" w:rsidR="00FF115A" w:rsidRDefault="00E05BDA" w:rsidP="00FF115A">
      <w:pPr>
        <w:pStyle w:val="13"/>
        <w:ind w:firstLine="482"/>
      </w:pPr>
      <w:r w:rsidRPr="00E05BDA">
        <w:rPr>
          <w:rFonts w:hint="eastAsia"/>
          <w:b/>
          <w:bCs/>
        </w:rPr>
        <w:t xml:space="preserve">第十条 </w:t>
      </w:r>
      <w:r w:rsidR="00FF115A">
        <w:t>资产评估机构应当建立首席评估师制度。</w:t>
      </w:r>
    </w:p>
    <w:p w14:paraId="5903D4BE" w14:textId="77777777" w:rsidR="00FF115A" w:rsidRDefault="00FF115A" w:rsidP="00FF115A">
      <w:pPr>
        <w:pStyle w:val="13"/>
      </w:pPr>
      <w:r>
        <w:rPr>
          <w:rFonts w:hint="eastAsia"/>
        </w:rPr>
        <w:t>首席评估</w:t>
      </w:r>
      <w:proofErr w:type="gramStart"/>
      <w:r>
        <w:rPr>
          <w:rFonts w:hint="eastAsia"/>
        </w:rPr>
        <w:t>师应当</w:t>
      </w:r>
      <w:proofErr w:type="gramEnd"/>
      <w:r>
        <w:rPr>
          <w:rFonts w:hint="eastAsia"/>
        </w:rPr>
        <w:t>为资产评估机构的股东（或者合伙人），并且应当具备履行职责所需要的经验和能力，由最高管理层指定并授予其管理权限，直接对最高管理层负责。</w:t>
      </w:r>
    </w:p>
    <w:p w14:paraId="03056135" w14:textId="77777777" w:rsidR="00FF115A" w:rsidRDefault="00FF115A" w:rsidP="00FF115A">
      <w:pPr>
        <w:pStyle w:val="13"/>
      </w:pPr>
      <w:r>
        <w:rPr>
          <w:rFonts w:hint="eastAsia"/>
        </w:rPr>
        <w:t>除本指南外，首席评估师的产生和任职条件有其他相关规定的，还要符合相关规定要求。</w:t>
      </w:r>
    </w:p>
    <w:p w14:paraId="006EDC1D" w14:textId="5D493E92" w:rsidR="00FF115A" w:rsidRDefault="00E05BDA" w:rsidP="00FF115A">
      <w:pPr>
        <w:pStyle w:val="13"/>
        <w:ind w:firstLine="482"/>
      </w:pPr>
      <w:r w:rsidRPr="00E05BDA">
        <w:rPr>
          <w:rFonts w:hint="eastAsia"/>
          <w:b/>
          <w:bCs/>
        </w:rPr>
        <w:t xml:space="preserve">第十一条 </w:t>
      </w:r>
      <w:r w:rsidR="00FF115A">
        <w:t>首席评估师承担以下职责：</w:t>
      </w:r>
    </w:p>
    <w:p w14:paraId="37FEFE4F" w14:textId="77777777" w:rsidR="00FF115A" w:rsidRDefault="00FF115A" w:rsidP="00FF115A">
      <w:pPr>
        <w:pStyle w:val="13"/>
      </w:pPr>
      <w:r>
        <w:rPr>
          <w:rFonts w:hint="eastAsia"/>
        </w:rPr>
        <w:t>（一）建立、实施和保持质量控制体系；</w:t>
      </w:r>
    </w:p>
    <w:p w14:paraId="4C6EE8E5" w14:textId="77777777" w:rsidR="00FF115A" w:rsidRDefault="00FF115A" w:rsidP="00FF115A">
      <w:pPr>
        <w:pStyle w:val="13"/>
      </w:pPr>
      <w:r>
        <w:rPr>
          <w:rFonts w:hint="eastAsia"/>
        </w:rPr>
        <w:t>（二）监控质量控制体系的运行情况，向最高管理</w:t>
      </w:r>
      <w:proofErr w:type="gramStart"/>
      <w:r>
        <w:rPr>
          <w:rFonts w:hint="eastAsia"/>
        </w:rPr>
        <w:t>层报告</w:t>
      </w:r>
      <w:proofErr w:type="gramEnd"/>
      <w:r>
        <w:rPr>
          <w:rFonts w:hint="eastAsia"/>
        </w:rPr>
        <w:t>并提出改进的建议和方案；</w:t>
      </w:r>
    </w:p>
    <w:p w14:paraId="55E97BDF" w14:textId="77777777" w:rsidR="00FF115A" w:rsidRDefault="00FF115A" w:rsidP="00FF115A">
      <w:pPr>
        <w:pStyle w:val="13"/>
      </w:pPr>
      <w:r>
        <w:rPr>
          <w:rFonts w:hint="eastAsia"/>
        </w:rPr>
        <w:t>（三）促进全体人员不断提高业务质量意识。</w:t>
      </w:r>
    </w:p>
    <w:p w14:paraId="3594D507" w14:textId="77777777" w:rsidR="00B034D4" w:rsidRDefault="00FF115A" w:rsidP="00FF115A">
      <w:pPr>
        <w:pStyle w:val="13"/>
      </w:pPr>
      <w:r>
        <w:rPr>
          <w:rFonts w:hint="eastAsia"/>
        </w:rPr>
        <w:t>除本指南外，首席评估师的职责权限有其他相关规定的，还要符合相关规定要求。</w:t>
      </w:r>
    </w:p>
    <w:p w14:paraId="7941FC51" w14:textId="0A890463" w:rsidR="00FF115A" w:rsidRDefault="00E05BDA" w:rsidP="00FF115A">
      <w:pPr>
        <w:pStyle w:val="13"/>
        <w:ind w:firstLine="482"/>
      </w:pPr>
      <w:r w:rsidRPr="00E05BDA">
        <w:rPr>
          <w:rFonts w:hint="eastAsia"/>
          <w:b/>
          <w:bCs/>
        </w:rPr>
        <w:t xml:space="preserve">第十二条 </w:t>
      </w:r>
      <w:r w:rsidR="00FF115A">
        <w:t>资产评估机构应当制定评估业务项目负责人制度。项目负责人应当是具</w:t>
      </w:r>
    </w:p>
    <w:p w14:paraId="73799540" w14:textId="77777777" w:rsidR="00FF115A" w:rsidRDefault="00FF115A" w:rsidP="00FF115A">
      <w:pPr>
        <w:pStyle w:val="13"/>
      </w:pPr>
      <w:proofErr w:type="gramStart"/>
      <w:r>
        <w:rPr>
          <w:rFonts w:hint="eastAsia"/>
        </w:rPr>
        <w:t>备履行</w:t>
      </w:r>
      <w:proofErr w:type="gramEnd"/>
      <w:r>
        <w:rPr>
          <w:rFonts w:hint="eastAsia"/>
        </w:rPr>
        <w:t>职责所要求职业道德、专业知识、执业能力、实践经验的资产评估专业人员，其中法定评估业务的项目负责人应当为资产评估师。</w:t>
      </w:r>
    </w:p>
    <w:p w14:paraId="1A5FB2C3" w14:textId="77777777" w:rsidR="00FF115A" w:rsidRDefault="00FF115A" w:rsidP="00FF115A">
      <w:pPr>
        <w:pStyle w:val="13"/>
      </w:pPr>
      <w:r>
        <w:rPr>
          <w:rFonts w:hint="eastAsia"/>
        </w:rPr>
        <w:t>资产评估机构应当根据业务特征对每项资产评估业务委派项目负责人。</w:t>
      </w:r>
    </w:p>
    <w:p w14:paraId="5FBCF18F" w14:textId="210EDBDE" w:rsidR="00FF115A" w:rsidRDefault="00E05BDA" w:rsidP="00FF115A">
      <w:pPr>
        <w:pStyle w:val="13"/>
        <w:ind w:firstLine="482"/>
      </w:pPr>
      <w:r w:rsidRPr="00E05BDA">
        <w:rPr>
          <w:rFonts w:hint="eastAsia"/>
          <w:b/>
          <w:bCs/>
        </w:rPr>
        <w:t xml:space="preserve">第十三条 </w:t>
      </w:r>
      <w:r w:rsidR="00FF115A">
        <w:t>项目负责人承担以下职责：</w:t>
      </w:r>
    </w:p>
    <w:p w14:paraId="6E8BE2DF" w14:textId="77777777" w:rsidR="00FF115A" w:rsidRDefault="00FF115A" w:rsidP="00FF115A">
      <w:pPr>
        <w:pStyle w:val="13"/>
      </w:pPr>
      <w:r>
        <w:rPr>
          <w:rFonts w:hint="eastAsia"/>
        </w:rPr>
        <w:t>（一）评估计划的制订和组织实施；</w:t>
      </w:r>
    </w:p>
    <w:p w14:paraId="078B82BF" w14:textId="77777777" w:rsidR="00FF115A" w:rsidRDefault="00FF115A" w:rsidP="00FF115A">
      <w:pPr>
        <w:pStyle w:val="13"/>
      </w:pPr>
      <w:r>
        <w:rPr>
          <w:rFonts w:hint="eastAsia"/>
        </w:rPr>
        <w:t>（二）评估业务实施中的协调和沟通；</w:t>
      </w:r>
    </w:p>
    <w:p w14:paraId="0E238513" w14:textId="77777777" w:rsidR="00FF115A" w:rsidRDefault="00FF115A" w:rsidP="00FF115A">
      <w:pPr>
        <w:pStyle w:val="13"/>
      </w:pPr>
      <w:r>
        <w:rPr>
          <w:rFonts w:hint="eastAsia"/>
        </w:rPr>
        <w:t>（三）按照程序报告与评估业务相关的重要信息；</w:t>
      </w:r>
    </w:p>
    <w:p w14:paraId="03B4D969" w14:textId="77777777" w:rsidR="00FF115A" w:rsidRDefault="00FF115A" w:rsidP="00FF115A">
      <w:pPr>
        <w:pStyle w:val="13"/>
      </w:pPr>
      <w:r>
        <w:rPr>
          <w:rFonts w:hint="eastAsia"/>
        </w:rPr>
        <w:t>（四）组织复核项目团队人员的工作；</w:t>
      </w:r>
    </w:p>
    <w:p w14:paraId="4C054AC4" w14:textId="77777777" w:rsidR="00FF115A" w:rsidRDefault="00FF115A" w:rsidP="00FF115A">
      <w:pPr>
        <w:pStyle w:val="13"/>
      </w:pPr>
      <w:r>
        <w:rPr>
          <w:rFonts w:hint="eastAsia"/>
        </w:rPr>
        <w:t>（五）合理利用专家工作及工作成果；</w:t>
      </w:r>
    </w:p>
    <w:p w14:paraId="02120ED5" w14:textId="77777777" w:rsidR="00FF115A" w:rsidRDefault="00FF115A" w:rsidP="00FF115A">
      <w:pPr>
        <w:pStyle w:val="13"/>
      </w:pPr>
      <w:r>
        <w:rPr>
          <w:rFonts w:hint="eastAsia"/>
        </w:rPr>
        <w:t>（六）组织编制资产评估报告，并审核相关内容；</w:t>
      </w:r>
    </w:p>
    <w:p w14:paraId="09CFBBC0" w14:textId="77777777" w:rsidR="00FF115A" w:rsidRDefault="00FF115A" w:rsidP="00FF115A">
      <w:pPr>
        <w:pStyle w:val="13"/>
      </w:pPr>
      <w:r>
        <w:rPr>
          <w:rFonts w:hint="eastAsia"/>
        </w:rPr>
        <w:t>（七）在出具的资产评估报告上签名；</w:t>
      </w:r>
    </w:p>
    <w:p w14:paraId="01627B57" w14:textId="77777777" w:rsidR="00FF115A" w:rsidRDefault="00FF115A" w:rsidP="00FF115A">
      <w:pPr>
        <w:pStyle w:val="13"/>
      </w:pPr>
      <w:r>
        <w:rPr>
          <w:rFonts w:hint="eastAsia"/>
        </w:rPr>
        <w:t>（八）组织处理资产评估报告提交后的反馈意见；</w:t>
      </w:r>
    </w:p>
    <w:p w14:paraId="3A2260C2" w14:textId="77777777" w:rsidR="00FF115A" w:rsidRDefault="00FF115A" w:rsidP="00FF115A">
      <w:pPr>
        <w:pStyle w:val="13"/>
      </w:pPr>
      <w:r>
        <w:rPr>
          <w:rFonts w:hint="eastAsia"/>
        </w:rPr>
        <w:t>（九）组织整理归集资产评估档案。</w:t>
      </w:r>
    </w:p>
    <w:p w14:paraId="53E6CAD8" w14:textId="6F9245B1" w:rsidR="00FF115A" w:rsidRDefault="00E05BDA" w:rsidP="00FF115A">
      <w:pPr>
        <w:pStyle w:val="13"/>
        <w:ind w:firstLine="482"/>
      </w:pPr>
      <w:r w:rsidRPr="00E05BDA">
        <w:rPr>
          <w:rFonts w:hint="eastAsia"/>
          <w:b/>
          <w:bCs/>
        </w:rPr>
        <w:t xml:space="preserve">第十四条 </w:t>
      </w:r>
      <w:r w:rsidR="00FF115A">
        <w:t>项目审核人员应当符合下列要求：</w:t>
      </w:r>
    </w:p>
    <w:p w14:paraId="5800B31C" w14:textId="77777777" w:rsidR="00FF115A" w:rsidRDefault="00FF115A" w:rsidP="00FF115A">
      <w:pPr>
        <w:pStyle w:val="13"/>
      </w:pPr>
      <w:r>
        <w:rPr>
          <w:rFonts w:hint="eastAsia"/>
        </w:rPr>
        <w:t>（一）具备履行职责的技术专长；</w:t>
      </w:r>
    </w:p>
    <w:p w14:paraId="2DE40F91" w14:textId="77777777" w:rsidR="00FF115A" w:rsidRDefault="00FF115A" w:rsidP="00FF115A">
      <w:pPr>
        <w:pStyle w:val="13"/>
      </w:pPr>
      <w:r>
        <w:rPr>
          <w:rFonts w:hint="eastAsia"/>
        </w:rPr>
        <w:t>（二）具备审核业务所需要的经验和权限；</w:t>
      </w:r>
    </w:p>
    <w:p w14:paraId="2135F1B6" w14:textId="77777777" w:rsidR="00FF115A" w:rsidRDefault="00FF115A" w:rsidP="00FF115A">
      <w:pPr>
        <w:pStyle w:val="13"/>
      </w:pPr>
      <w:r>
        <w:rPr>
          <w:rFonts w:hint="eastAsia"/>
        </w:rPr>
        <w:lastRenderedPageBreak/>
        <w:t>（三）保证审核工作的客观性。</w:t>
      </w:r>
    </w:p>
    <w:p w14:paraId="2D86AA43" w14:textId="6BBF0538" w:rsidR="00FF115A" w:rsidRDefault="00E05BDA" w:rsidP="00FF115A">
      <w:pPr>
        <w:pStyle w:val="13"/>
        <w:ind w:firstLine="482"/>
      </w:pPr>
      <w:r w:rsidRPr="00E05BDA">
        <w:rPr>
          <w:rFonts w:hint="eastAsia"/>
          <w:b/>
          <w:bCs/>
        </w:rPr>
        <w:t xml:space="preserve">第十五条 </w:t>
      </w:r>
      <w:r w:rsidR="00FF115A">
        <w:t>项目审核人员承担以下职责：</w:t>
      </w:r>
    </w:p>
    <w:p w14:paraId="223E8955" w14:textId="77777777" w:rsidR="00FF115A" w:rsidRDefault="00FF115A" w:rsidP="00FF115A">
      <w:pPr>
        <w:pStyle w:val="13"/>
      </w:pPr>
      <w:r>
        <w:rPr>
          <w:rFonts w:hint="eastAsia"/>
        </w:rPr>
        <w:t>（一）审核评估程序执行情况；</w:t>
      </w:r>
    </w:p>
    <w:p w14:paraId="5427562C" w14:textId="77777777" w:rsidR="00FF115A" w:rsidRDefault="00FF115A" w:rsidP="00FF115A">
      <w:pPr>
        <w:pStyle w:val="13"/>
      </w:pPr>
      <w:r>
        <w:rPr>
          <w:rFonts w:hint="eastAsia"/>
        </w:rPr>
        <w:t>（二）审核拟出具的资产评估报告；</w:t>
      </w:r>
    </w:p>
    <w:p w14:paraId="0421BD17" w14:textId="77777777" w:rsidR="00FF115A" w:rsidRDefault="00FF115A" w:rsidP="00FF115A">
      <w:pPr>
        <w:pStyle w:val="13"/>
      </w:pPr>
      <w:r>
        <w:rPr>
          <w:rFonts w:hint="eastAsia"/>
        </w:rPr>
        <w:t>（三）审核工作底稿；</w:t>
      </w:r>
    </w:p>
    <w:p w14:paraId="1D5FCC70" w14:textId="77777777" w:rsidR="00FF115A" w:rsidRDefault="00FF115A" w:rsidP="00FF115A">
      <w:pPr>
        <w:pStyle w:val="13"/>
      </w:pPr>
      <w:r>
        <w:rPr>
          <w:rFonts w:hint="eastAsia"/>
        </w:rPr>
        <w:t>（四）综合评价项目风险，提出出具资产评估报告的明确意见。</w:t>
      </w:r>
    </w:p>
    <w:p w14:paraId="7F329730" w14:textId="083E28D0" w:rsidR="00FF115A" w:rsidRDefault="00E05BDA" w:rsidP="00FF115A">
      <w:pPr>
        <w:pStyle w:val="13"/>
        <w:ind w:firstLine="482"/>
      </w:pPr>
      <w:r w:rsidRPr="00E05BDA">
        <w:rPr>
          <w:rFonts w:hint="eastAsia"/>
          <w:b/>
          <w:bCs/>
        </w:rPr>
        <w:t xml:space="preserve">第十六条 </w:t>
      </w:r>
      <w:r w:rsidR="00FF115A">
        <w:t>项目团队成员通常包括承担或者参与资产评估业务项目工作的资产评估专业人员、业务助理人员等。项目团队成员承担以下职责：</w:t>
      </w:r>
    </w:p>
    <w:p w14:paraId="4EA7A759" w14:textId="39F48EE6" w:rsidR="00FF115A" w:rsidRDefault="00FF115A" w:rsidP="00B034D4">
      <w:pPr>
        <w:pStyle w:val="13"/>
      </w:pPr>
      <w:r>
        <w:rPr>
          <w:rFonts w:hint="eastAsia"/>
        </w:rPr>
        <w:t>（一）接受项目负责人的领导，了解</w:t>
      </w:r>
      <w:proofErr w:type="gramStart"/>
      <w:r>
        <w:rPr>
          <w:rFonts w:hint="eastAsia"/>
        </w:rPr>
        <w:t>拟执行</w:t>
      </w:r>
      <w:proofErr w:type="gramEnd"/>
      <w:r>
        <w:rPr>
          <w:rFonts w:hint="eastAsia"/>
        </w:rPr>
        <w:t>工作的目标，理解项目负责人的工作指令；</w:t>
      </w:r>
    </w:p>
    <w:p w14:paraId="10CBD1A9" w14:textId="77777777" w:rsidR="00FF115A" w:rsidRDefault="00FF115A" w:rsidP="00FF115A">
      <w:pPr>
        <w:pStyle w:val="13"/>
      </w:pPr>
      <w:r>
        <w:rPr>
          <w:rFonts w:hint="eastAsia"/>
        </w:rPr>
        <w:t>（二）按照资产评估机构质量控制政策和程序的要求从事具体评估业务工作，形成工作底稿；</w:t>
      </w:r>
    </w:p>
    <w:p w14:paraId="7636E914" w14:textId="77777777" w:rsidR="00FF115A" w:rsidRDefault="00FF115A" w:rsidP="00FF115A">
      <w:pPr>
        <w:pStyle w:val="13"/>
      </w:pPr>
      <w:r>
        <w:rPr>
          <w:rFonts w:hint="eastAsia"/>
        </w:rPr>
        <w:t>（三）汇报执行业务过程中发现的重大问题；</w:t>
      </w:r>
    </w:p>
    <w:p w14:paraId="3398964F" w14:textId="77777777" w:rsidR="00FF115A" w:rsidRDefault="00FF115A" w:rsidP="00FF115A">
      <w:pPr>
        <w:pStyle w:val="13"/>
      </w:pPr>
      <w:r>
        <w:rPr>
          <w:rFonts w:hint="eastAsia"/>
        </w:rPr>
        <w:t>（四）复核已经完成的工作底稿并接受审核。</w:t>
      </w:r>
    </w:p>
    <w:p w14:paraId="7253754C" w14:textId="3CC11B08" w:rsidR="00FF115A" w:rsidRDefault="00E05BDA" w:rsidP="00B034D4">
      <w:pPr>
        <w:pStyle w:val="13"/>
        <w:ind w:firstLine="482"/>
      </w:pPr>
      <w:r w:rsidRPr="00E05BDA">
        <w:rPr>
          <w:rFonts w:hint="eastAsia"/>
          <w:b/>
          <w:bCs/>
        </w:rPr>
        <w:t xml:space="preserve">第十七条 </w:t>
      </w:r>
      <w:r w:rsidR="00FF115A">
        <w:t>资产评估机构应当明确处于质量控制体系中其他人员的职责，该类人员</w:t>
      </w:r>
      <w:r w:rsidR="00FF115A">
        <w:rPr>
          <w:rFonts w:hint="eastAsia"/>
        </w:rPr>
        <w:t>通常包括：</w:t>
      </w:r>
    </w:p>
    <w:p w14:paraId="06C7E0FF" w14:textId="77777777" w:rsidR="00FF115A" w:rsidRDefault="00FF115A" w:rsidP="00FF115A">
      <w:pPr>
        <w:pStyle w:val="13"/>
      </w:pPr>
      <w:r>
        <w:rPr>
          <w:rFonts w:hint="eastAsia"/>
        </w:rPr>
        <w:t>（一）业务洽谈人员；</w:t>
      </w:r>
    </w:p>
    <w:p w14:paraId="3D0F37D5" w14:textId="77777777" w:rsidR="00FF115A" w:rsidRDefault="00FF115A" w:rsidP="00FF115A">
      <w:pPr>
        <w:pStyle w:val="13"/>
      </w:pPr>
      <w:r>
        <w:rPr>
          <w:rFonts w:hint="eastAsia"/>
        </w:rPr>
        <w:t>（二）业务部门负责人；</w:t>
      </w:r>
    </w:p>
    <w:p w14:paraId="0BDDABC4" w14:textId="77777777" w:rsidR="00FF115A" w:rsidRDefault="00FF115A" w:rsidP="00FF115A">
      <w:pPr>
        <w:pStyle w:val="13"/>
      </w:pPr>
      <w:r>
        <w:rPr>
          <w:rFonts w:hint="eastAsia"/>
        </w:rPr>
        <w:t>（三）分支机构负责人；</w:t>
      </w:r>
    </w:p>
    <w:p w14:paraId="52133952" w14:textId="77777777" w:rsidR="00FF115A" w:rsidRDefault="00FF115A" w:rsidP="00FF115A">
      <w:pPr>
        <w:pStyle w:val="13"/>
      </w:pPr>
      <w:r>
        <w:rPr>
          <w:rFonts w:hint="eastAsia"/>
        </w:rPr>
        <w:t>（四）人力资源管理人员；</w:t>
      </w:r>
    </w:p>
    <w:p w14:paraId="468AE4B1" w14:textId="77777777" w:rsidR="00FF115A" w:rsidRDefault="00FF115A" w:rsidP="00FF115A">
      <w:pPr>
        <w:pStyle w:val="13"/>
      </w:pPr>
      <w:r>
        <w:rPr>
          <w:rFonts w:hint="eastAsia"/>
        </w:rPr>
        <w:t>（五）信息管理人员；</w:t>
      </w:r>
    </w:p>
    <w:p w14:paraId="59743556" w14:textId="77777777" w:rsidR="00FF115A" w:rsidRDefault="00FF115A" w:rsidP="00FF115A">
      <w:pPr>
        <w:pStyle w:val="13"/>
      </w:pPr>
      <w:r>
        <w:rPr>
          <w:rFonts w:hint="eastAsia"/>
        </w:rPr>
        <w:t>（六）档案管理人员；</w:t>
      </w:r>
    </w:p>
    <w:p w14:paraId="5A2F18AE" w14:textId="77777777" w:rsidR="00FF115A" w:rsidRDefault="00FF115A" w:rsidP="00FF115A">
      <w:pPr>
        <w:pStyle w:val="13"/>
      </w:pPr>
      <w:r>
        <w:rPr>
          <w:rFonts w:hint="eastAsia"/>
        </w:rPr>
        <w:t>（七）文秘人员。</w:t>
      </w:r>
    </w:p>
    <w:p w14:paraId="3C9F638C" w14:textId="77777777" w:rsidR="00FF115A" w:rsidRDefault="00FF115A" w:rsidP="00AF7342">
      <w:pPr>
        <w:pStyle w:val="a9"/>
        <w:spacing w:before="62" w:after="62"/>
      </w:pPr>
      <w:r>
        <w:rPr>
          <w:rFonts w:hint="eastAsia"/>
        </w:rPr>
        <w:t>第三章</w:t>
      </w:r>
      <w:r>
        <w:t xml:space="preserve"> 职业道德</w:t>
      </w:r>
    </w:p>
    <w:p w14:paraId="49BAD1FE" w14:textId="5471D94A" w:rsidR="00FF115A" w:rsidRDefault="00E05BDA" w:rsidP="00FF115A">
      <w:pPr>
        <w:pStyle w:val="13"/>
        <w:ind w:firstLine="482"/>
      </w:pPr>
      <w:r w:rsidRPr="00E05BDA">
        <w:rPr>
          <w:rFonts w:hint="eastAsia"/>
          <w:b/>
          <w:bCs/>
        </w:rPr>
        <w:t xml:space="preserve">第十八条 </w:t>
      </w:r>
      <w:r w:rsidR="00FF115A">
        <w:t>资产评估机构应当制定政策和程序，以利于全体人员遵守资产评估职业道德准则。</w:t>
      </w:r>
    </w:p>
    <w:p w14:paraId="1F16D8D7" w14:textId="10160C9B" w:rsidR="00FF115A" w:rsidRDefault="00E05BDA" w:rsidP="00FF115A">
      <w:pPr>
        <w:pStyle w:val="13"/>
        <w:ind w:firstLine="482"/>
      </w:pPr>
      <w:r w:rsidRPr="00E05BDA">
        <w:rPr>
          <w:rFonts w:hint="eastAsia"/>
          <w:b/>
          <w:bCs/>
        </w:rPr>
        <w:t xml:space="preserve">第十九条 </w:t>
      </w:r>
      <w:r w:rsidR="00FF115A">
        <w:t>资产评估机构制定的政策和程序，应当强调遵守资产评估职业道德准则的重要性。资产评估机构可以采用管理层的示范、教育和培训、监控以及对违反资产评估职业道德准则行为的处理等方式予以强化。</w:t>
      </w:r>
    </w:p>
    <w:p w14:paraId="4A89623B" w14:textId="57F5C668" w:rsidR="00FF115A" w:rsidRDefault="00E05BDA" w:rsidP="00FF115A">
      <w:pPr>
        <w:pStyle w:val="13"/>
        <w:ind w:firstLine="482"/>
      </w:pPr>
      <w:r w:rsidRPr="00E05BDA">
        <w:rPr>
          <w:rFonts w:hint="eastAsia"/>
          <w:b/>
          <w:bCs/>
        </w:rPr>
        <w:t xml:space="preserve">第二十条 </w:t>
      </w:r>
      <w:r w:rsidR="00FF115A">
        <w:t>资产评估机构应当按照资产评估职业道德准则的要求，坚持独立、客观、公正的原则。资产评估机构可以针对具体评估业务特点采用适当的处理方式保持独立性</w:t>
      </w:r>
      <w:r w:rsidR="003C1F46">
        <w:t>，</w:t>
      </w:r>
      <w:r w:rsidR="00FF115A">
        <w:t>如：</w:t>
      </w:r>
    </w:p>
    <w:p w14:paraId="138A5F22" w14:textId="77777777" w:rsidR="00FF115A" w:rsidRDefault="00FF115A" w:rsidP="00FF115A">
      <w:pPr>
        <w:pStyle w:val="13"/>
      </w:pPr>
      <w:r>
        <w:rPr>
          <w:rFonts w:hint="eastAsia"/>
        </w:rPr>
        <w:t>（一）对影响独立性和客观性的利益关系等因素进行分析和判断，最大限度地减少或者消除不利因素，直至放弃评估业务，以使对独立性和客观性的不利影响降至可</w:t>
      </w:r>
      <w:r>
        <w:rPr>
          <w:rFonts w:hint="eastAsia"/>
        </w:rPr>
        <w:lastRenderedPageBreak/>
        <w:t>接受水平；</w:t>
      </w:r>
    </w:p>
    <w:p w14:paraId="3E704BD5" w14:textId="77777777" w:rsidR="00FF115A" w:rsidRDefault="00FF115A" w:rsidP="00FF115A">
      <w:pPr>
        <w:pStyle w:val="13"/>
      </w:pPr>
      <w:r>
        <w:rPr>
          <w:rFonts w:hint="eastAsia"/>
        </w:rPr>
        <w:t>（二）要求内部相关人员就有关独立性的信息进行沟通，以确定是否存在违反独立性的情形；</w:t>
      </w:r>
    </w:p>
    <w:p w14:paraId="7519F1DC" w14:textId="77777777" w:rsidR="00FF115A" w:rsidRDefault="00FF115A" w:rsidP="00FF115A">
      <w:pPr>
        <w:pStyle w:val="13"/>
      </w:pPr>
      <w:r>
        <w:rPr>
          <w:rFonts w:hint="eastAsia"/>
        </w:rPr>
        <w:t>（三）排除影响资产评估专业人员做出独立专业判断的外部因素干扰。</w:t>
      </w:r>
    </w:p>
    <w:p w14:paraId="7F6069B2" w14:textId="3738965E" w:rsidR="00FF115A" w:rsidRDefault="00E05BDA" w:rsidP="00FF115A">
      <w:pPr>
        <w:pStyle w:val="13"/>
        <w:ind w:firstLine="482"/>
      </w:pPr>
      <w:r w:rsidRPr="00E05BDA">
        <w:rPr>
          <w:rFonts w:hint="eastAsia"/>
          <w:b/>
          <w:bCs/>
        </w:rPr>
        <w:t xml:space="preserve">第二十一条 </w:t>
      </w:r>
      <w:r w:rsidR="00FF115A">
        <w:t>资产评估机构制定的保密政策，应当要求资产评估专业人员及其他人员对国家秘密、委托人和其他相关当事人的商业秘密、所在资产评估机构的商业秘密负 有保密义务。除下列人员和机构依法从资产评估机构获取和保留国家秘密及商业秘密外，不得向他人泄露在评估活动中获得的不应当公开的信息以及资产评估结论：</w:t>
      </w:r>
    </w:p>
    <w:p w14:paraId="30C3DDB5" w14:textId="77777777" w:rsidR="00FF115A" w:rsidRDefault="00FF115A" w:rsidP="00FF115A">
      <w:pPr>
        <w:pStyle w:val="13"/>
      </w:pPr>
      <w:r>
        <w:rPr>
          <w:rFonts w:hint="eastAsia"/>
        </w:rPr>
        <w:t>（一）委托人或者由委托人书面许可的人；</w:t>
      </w:r>
    </w:p>
    <w:p w14:paraId="4EF43372" w14:textId="77777777" w:rsidR="00FF115A" w:rsidRDefault="00FF115A" w:rsidP="00FF115A">
      <w:pPr>
        <w:pStyle w:val="13"/>
      </w:pPr>
      <w:r>
        <w:rPr>
          <w:rFonts w:hint="eastAsia"/>
        </w:rPr>
        <w:t>（二）法律、行政法规允许的第三方；</w:t>
      </w:r>
    </w:p>
    <w:p w14:paraId="09666A1E" w14:textId="77777777" w:rsidR="00FF115A" w:rsidRDefault="00FF115A" w:rsidP="00FF115A">
      <w:pPr>
        <w:pStyle w:val="13"/>
      </w:pPr>
      <w:r>
        <w:rPr>
          <w:rFonts w:hint="eastAsia"/>
        </w:rPr>
        <w:t>（三）具有管辖权的监管机构、行业协会。</w:t>
      </w:r>
    </w:p>
    <w:p w14:paraId="3901C23D" w14:textId="77777777" w:rsidR="00FF115A" w:rsidRDefault="00FF115A" w:rsidP="00FF115A">
      <w:pPr>
        <w:pStyle w:val="13"/>
      </w:pPr>
      <w:r>
        <w:rPr>
          <w:rFonts w:hint="eastAsia"/>
        </w:rPr>
        <w:t>资产评估专业人员及其他人员在为委托人和其他相关当事人服务结束或者离开所在资产评估机构后，应当按照有关规定或者合同约定承担保密义务。</w:t>
      </w:r>
    </w:p>
    <w:p w14:paraId="138560A0" w14:textId="77777777" w:rsidR="00FF115A" w:rsidRDefault="00FF115A" w:rsidP="00AF7342">
      <w:pPr>
        <w:pStyle w:val="a9"/>
        <w:spacing w:before="62" w:after="62"/>
      </w:pPr>
      <w:r>
        <w:rPr>
          <w:rFonts w:hint="eastAsia"/>
        </w:rPr>
        <w:t>第四章</w:t>
      </w:r>
      <w:r>
        <w:t xml:space="preserve"> 人力资源</w:t>
      </w:r>
    </w:p>
    <w:p w14:paraId="7ED89205" w14:textId="34534905" w:rsidR="00FF115A" w:rsidRDefault="00E05BDA" w:rsidP="00FF115A">
      <w:pPr>
        <w:pStyle w:val="13"/>
        <w:ind w:firstLine="482"/>
      </w:pPr>
      <w:r w:rsidRPr="00E05BDA">
        <w:rPr>
          <w:rFonts w:hint="eastAsia"/>
          <w:b/>
          <w:bCs/>
        </w:rPr>
        <w:t xml:space="preserve">第二十二条 </w:t>
      </w:r>
      <w:r w:rsidR="00FF115A">
        <w:t>资产评估机构应当配置必需的人力资源，并根据业务的变化，对人力资源进行调整和更新。</w:t>
      </w:r>
    </w:p>
    <w:p w14:paraId="5566B6FC" w14:textId="0FE1C68A" w:rsidR="00FF115A" w:rsidRDefault="00E05BDA" w:rsidP="00FF115A">
      <w:pPr>
        <w:pStyle w:val="13"/>
        <w:ind w:firstLine="482"/>
      </w:pPr>
      <w:r w:rsidRPr="00E05BDA">
        <w:rPr>
          <w:rFonts w:hint="eastAsia"/>
          <w:b/>
          <w:bCs/>
        </w:rPr>
        <w:t xml:space="preserve">第二十三条 </w:t>
      </w:r>
      <w:r w:rsidR="00FF115A">
        <w:t>资产评估机构在制定人力资源政策和程序时，通常可以考虑以下内容：</w:t>
      </w:r>
    </w:p>
    <w:p w14:paraId="6086D469" w14:textId="77777777" w:rsidR="00FF115A" w:rsidRDefault="00FF115A" w:rsidP="00FF115A">
      <w:pPr>
        <w:pStyle w:val="13"/>
      </w:pPr>
      <w:r>
        <w:rPr>
          <w:rFonts w:hint="eastAsia"/>
        </w:rPr>
        <w:t>（一）人力资源规划；</w:t>
      </w:r>
    </w:p>
    <w:p w14:paraId="2F8FAB71" w14:textId="77777777" w:rsidR="00FF115A" w:rsidRDefault="00FF115A" w:rsidP="00FF115A">
      <w:pPr>
        <w:pStyle w:val="13"/>
      </w:pPr>
      <w:r>
        <w:rPr>
          <w:rFonts w:hint="eastAsia"/>
        </w:rPr>
        <w:t>（二）岗位职责和任职要求；</w:t>
      </w:r>
    </w:p>
    <w:p w14:paraId="35B0EC16" w14:textId="77777777" w:rsidR="00FF115A" w:rsidRDefault="00FF115A" w:rsidP="00FF115A">
      <w:pPr>
        <w:pStyle w:val="13"/>
      </w:pPr>
      <w:r>
        <w:rPr>
          <w:rFonts w:hint="eastAsia"/>
        </w:rPr>
        <w:t>（三）招聘与选拔；</w:t>
      </w:r>
    </w:p>
    <w:p w14:paraId="5F5DE042" w14:textId="77777777" w:rsidR="00FF115A" w:rsidRDefault="00FF115A" w:rsidP="00FF115A">
      <w:pPr>
        <w:pStyle w:val="13"/>
      </w:pPr>
      <w:r>
        <w:rPr>
          <w:rFonts w:hint="eastAsia"/>
        </w:rPr>
        <w:t>（四）教育与培训；</w:t>
      </w:r>
    </w:p>
    <w:p w14:paraId="2F711CC5" w14:textId="77777777" w:rsidR="00FF115A" w:rsidRDefault="00FF115A" w:rsidP="00FF115A">
      <w:pPr>
        <w:pStyle w:val="13"/>
      </w:pPr>
      <w:r>
        <w:rPr>
          <w:rFonts w:hint="eastAsia"/>
        </w:rPr>
        <w:t>（五）绩效考评；</w:t>
      </w:r>
    </w:p>
    <w:p w14:paraId="21696E69" w14:textId="77777777" w:rsidR="00FF115A" w:rsidRDefault="00FF115A" w:rsidP="00FF115A">
      <w:pPr>
        <w:pStyle w:val="13"/>
      </w:pPr>
      <w:r>
        <w:rPr>
          <w:rFonts w:hint="eastAsia"/>
        </w:rPr>
        <w:t>（六）薪酬制度。</w:t>
      </w:r>
    </w:p>
    <w:p w14:paraId="64BD7880" w14:textId="58DC837F" w:rsidR="00FF115A" w:rsidRDefault="00E05BDA" w:rsidP="00FF115A">
      <w:pPr>
        <w:pStyle w:val="13"/>
        <w:ind w:firstLine="482"/>
      </w:pPr>
      <w:r w:rsidRPr="00E05BDA">
        <w:rPr>
          <w:rFonts w:hint="eastAsia"/>
          <w:b/>
          <w:bCs/>
        </w:rPr>
        <w:t xml:space="preserve">第二十四条 </w:t>
      </w:r>
      <w:r w:rsidR="00FF115A">
        <w:t>资产评估机构在制定项目团队成员配备政策和程序时，可以重点考察项目团队成员是否具备下列条件：</w:t>
      </w:r>
    </w:p>
    <w:p w14:paraId="53C4B5D8" w14:textId="77777777" w:rsidR="00FF115A" w:rsidRDefault="00FF115A" w:rsidP="00FF115A">
      <w:pPr>
        <w:pStyle w:val="13"/>
      </w:pPr>
      <w:r>
        <w:rPr>
          <w:rFonts w:hint="eastAsia"/>
        </w:rPr>
        <w:t>（一）必要的职业道德素质，能够保持独立性；</w:t>
      </w:r>
    </w:p>
    <w:p w14:paraId="3C80F629" w14:textId="77777777" w:rsidR="00FF115A" w:rsidRDefault="00FF115A" w:rsidP="00FF115A">
      <w:pPr>
        <w:pStyle w:val="13"/>
      </w:pPr>
      <w:r>
        <w:rPr>
          <w:rFonts w:hint="eastAsia"/>
        </w:rPr>
        <w:t>（二）必要的专业知识和实践经验；</w:t>
      </w:r>
    </w:p>
    <w:p w14:paraId="3A7062CE" w14:textId="77777777" w:rsidR="00FF115A" w:rsidRDefault="00FF115A" w:rsidP="00FF115A">
      <w:pPr>
        <w:pStyle w:val="13"/>
      </w:pPr>
      <w:r>
        <w:rPr>
          <w:rFonts w:hint="eastAsia"/>
        </w:rPr>
        <w:t>（三）遵守资产评估机构业务质量控制政策和程序的意识。</w:t>
      </w:r>
    </w:p>
    <w:p w14:paraId="048B3F7F" w14:textId="72A5A056" w:rsidR="00FF115A" w:rsidRDefault="00E05BDA" w:rsidP="00FF115A">
      <w:pPr>
        <w:pStyle w:val="13"/>
        <w:ind w:firstLine="482"/>
      </w:pPr>
      <w:r w:rsidRPr="00E05BDA">
        <w:rPr>
          <w:rFonts w:hint="eastAsia"/>
          <w:b/>
          <w:bCs/>
        </w:rPr>
        <w:t xml:space="preserve">第二十五条 </w:t>
      </w:r>
      <w:r w:rsidR="00FF115A">
        <w:t>资产评估机构聘请专家和外部人员协助工作的，应当制定利用专家和外部人员工作的政策和程序，使其承担的工作符合项目质量要求。</w:t>
      </w:r>
    </w:p>
    <w:p w14:paraId="6D0FA9A0" w14:textId="77777777" w:rsidR="00FF115A" w:rsidRDefault="00FF115A" w:rsidP="00AF7342">
      <w:pPr>
        <w:pStyle w:val="a9"/>
        <w:spacing w:before="62" w:after="62"/>
      </w:pPr>
      <w:r>
        <w:rPr>
          <w:rFonts w:hint="eastAsia"/>
        </w:rPr>
        <w:lastRenderedPageBreak/>
        <w:t>第五章</w:t>
      </w:r>
      <w:r>
        <w:t xml:space="preserve"> 资产评估业务受理</w:t>
      </w:r>
    </w:p>
    <w:p w14:paraId="0CEB4BB3" w14:textId="59EA5938" w:rsidR="00FF115A" w:rsidRDefault="00E05BDA" w:rsidP="00FF115A">
      <w:pPr>
        <w:pStyle w:val="13"/>
        <w:ind w:firstLine="482"/>
      </w:pPr>
      <w:r w:rsidRPr="00E05BDA">
        <w:rPr>
          <w:rFonts w:hint="eastAsia"/>
          <w:b/>
          <w:bCs/>
        </w:rPr>
        <w:t xml:space="preserve">第二十六条 </w:t>
      </w:r>
      <w:r w:rsidR="00FF115A">
        <w:t>资产评估机构应当制定资产评估业务受理环节的控制政策和程序，确保在与委托人正式签订资产评估委托合同之前，对拟委托事项进行必要了解，以决定是否接受委托。</w:t>
      </w:r>
    </w:p>
    <w:p w14:paraId="39C3CD25" w14:textId="561DE031" w:rsidR="00FF115A" w:rsidRDefault="00E05BDA" w:rsidP="00FF115A">
      <w:pPr>
        <w:pStyle w:val="13"/>
        <w:ind w:firstLine="482"/>
      </w:pPr>
      <w:r w:rsidRPr="00E05BDA">
        <w:rPr>
          <w:rFonts w:hint="eastAsia"/>
          <w:b/>
          <w:bCs/>
        </w:rPr>
        <w:t xml:space="preserve">第二十七条 </w:t>
      </w:r>
      <w:r w:rsidR="00FF115A">
        <w:t>资产评估机构应当谨慎地选择客户和业务，在制定业务受理环节政策和程序时，通常考虑以下方面：</w:t>
      </w:r>
    </w:p>
    <w:p w14:paraId="27A1EA58" w14:textId="77777777" w:rsidR="00FF115A" w:rsidRDefault="00FF115A" w:rsidP="00FF115A">
      <w:pPr>
        <w:pStyle w:val="13"/>
      </w:pPr>
      <w:r>
        <w:rPr>
          <w:rFonts w:hint="eastAsia"/>
        </w:rPr>
        <w:t>（一）业务洽谈；</w:t>
      </w:r>
    </w:p>
    <w:p w14:paraId="741131E2" w14:textId="77777777" w:rsidR="00FF115A" w:rsidRDefault="00FF115A" w:rsidP="00FF115A">
      <w:pPr>
        <w:pStyle w:val="13"/>
      </w:pPr>
      <w:r>
        <w:rPr>
          <w:rFonts w:hint="eastAsia"/>
        </w:rPr>
        <w:t>（二）资产评估委托合同的审核和签订；</w:t>
      </w:r>
    </w:p>
    <w:p w14:paraId="52B3B199" w14:textId="77777777" w:rsidR="00FF115A" w:rsidRDefault="00FF115A" w:rsidP="00FF115A">
      <w:pPr>
        <w:pStyle w:val="13"/>
      </w:pPr>
      <w:r>
        <w:rPr>
          <w:rFonts w:hint="eastAsia"/>
        </w:rPr>
        <w:t>（三）发生资产评估委托合同变更、中止、终止情形时的处置。</w:t>
      </w:r>
    </w:p>
    <w:p w14:paraId="52B11638" w14:textId="6152554F" w:rsidR="00FF115A" w:rsidRDefault="00E05BDA" w:rsidP="00FF115A">
      <w:pPr>
        <w:pStyle w:val="13"/>
        <w:ind w:firstLine="482"/>
      </w:pPr>
      <w:r w:rsidRPr="00E05BDA">
        <w:rPr>
          <w:rFonts w:hint="eastAsia"/>
          <w:b/>
          <w:bCs/>
        </w:rPr>
        <w:t xml:space="preserve">第二十八条 </w:t>
      </w:r>
      <w:r w:rsidR="00FF115A">
        <w:t>资产评估机构应当规定业务洽谈人员所具备的条件。业务洽谈人员在洽谈业务时，可以重点关注下列事项：</w:t>
      </w:r>
    </w:p>
    <w:p w14:paraId="6EAE41CD" w14:textId="77777777" w:rsidR="00FF115A" w:rsidRDefault="00FF115A" w:rsidP="00FF115A">
      <w:pPr>
        <w:pStyle w:val="13"/>
      </w:pPr>
      <w:r>
        <w:rPr>
          <w:rFonts w:hint="eastAsia"/>
        </w:rPr>
        <w:t>（一）资产评估业务基本事项；</w:t>
      </w:r>
    </w:p>
    <w:p w14:paraId="2E1F3F0C" w14:textId="77777777" w:rsidR="00FF115A" w:rsidRDefault="00FF115A" w:rsidP="00FF115A">
      <w:pPr>
        <w:pStyle w:val="13"/>
      </w:pPr>
      <w:r>
        <w:rPr>
          <w:rFonts w:hint="eastAsia"/>
        </w:rPr>
        <w:t>（二）法律、行政法规、资产评估准则规定；</w:t>
      </w:r>
    </w:p>
    <w:p w14:paraId="7FC286A6" w14:textId="77777777" w:rsidR="00FF115A" w:rsidRDefault="00FF115A" w:rsidP="00FF115A">
      <w:pPr>
        <w:pStyle w:val="13"/>
      </w:pPr>
      <w:r>
        <w:rPr>
          <w:rFonts w:hint="eastAsia"/>
        </w:rPr>
        <w:t>（三）拟委托内容；</w:t>
      </w:r>
    </w:p>
    <w:p w14:paraId="64B47F98" w14:textId="77777777" w:rsidR="00FF115A" w:rsidRDefault="00FF115A" w:rsidP="00FF115A">
      <w:pPr>
        <w:pStyle w:val="13"/>
      </w:pPr>
      <w:r>
        <w:rPr>
          <w:rFonts w:hint="eastAsia"/>
        </w:rPr>
        <w:t>（四）被评估单位的情况。</w:t>
      </w:r>
    </w:p>
    <w:p w14:paraId="7B8FDCA2" w14:textId="5E9C84F7" w:rsidR="00FF115A" w:rsidRDefault="00E05BDA" w:rsidP="00FF115A">
      <w:pPr>
        <w:pStyle w:val="13"/>
        <w:ind w:firstLine="482"/>
      </w:pPr>
      <w:r w:rsidRPr="00E05BDA">
        <w:rPr>
          <w:rFonts w:hint="eastAsia"/>
          <w:b/>
          <w:bCs/>
        </w:rPr>
        <w:t xml:space="preserve">第二十九条 </w:t>
      </w:r>
      <w:r w:rsidR="00FF115A">
        <w:t>在订立资产评估委托合同之前，资产评估机构应当通过考虑与资产评估业务有关的要求、风险、胜任能力等因素，正确理解拟委托内容，初步识别和评价风险，以确定是否受理评估业务。</w:t>
      </w:r>
    </w:p>
    <w:p w14:paraId="59101AB3" w14:textId="3F0284DA" w:rsidR="00FF115A" w:rsidRDefault="00E05BDA" w:rsidP="00FF115A">
      <w:pPr>
        <w:pStyle w:val="13"/>
        <w:ind w:firstLine="482"/>
      </w:pPr>
      <w:r w:rsidRPr="00E05BDA">
        <w:rPr>
          <w:rFonts w:hint="eastAsia"/>
          <w:b/>
          <w:bCs/>
        </w:rPr>
        <w:t xml:space="preserve">第三十条 </w:t>
      </w:r>
      <w:r w:rsidR="00FF115A">
        <w:t>资产评估机构应当根据业务风险对资产评估业务进行分类，分类时可以考虑下列因素：</w:t>
      </w:r>
    </w:p>
    <w:p w14:paraId="59DD3BF0" w14:textId="77777777" w:rsidR="00FF115A" w:rsidRDefault="00FF115A" w:rsidP="00FF115A">
      <w:pPr>
        <w:pStyle w:val="13"/>
      </w:pPr>
      <w:r>
        <w:rPr>
          <w:rFonts w:hint="eastAsia"/>
        </w:rPr>
        <w:t>（一）来自委托人和其他相关当事人的风险；</w:t>
      </w:r>
    </w:p>
    <w:p w14:paraId="17514A25" w14:textId="77777777" w:rsidR="00FF115A" w:rsidRDefault="00FF115A" w:rsidP="00FF115A">
      <w:pPr>
        <w:pStyle w:val="13"/>
      </w:pPr>
      <w:r>
        <w:rPr>
          <w:rFonts w:hint="eastAsia"/>
        </w:rPr>
        <w:t>（二）来自评估对象的风险；</w:t>
      </w:r>
    </w:p>
    <w:p w14:paraId="24962CC2" w14:textId="77777777" w:rsidR="00FF115A" w:rsidRDefault="00FF115A" w:rsidP="00FF115A">
      <w:pPr>
        <w:pStyle w:val="13"/>
      </w:pPr>
      <w:r>
        <w:rPr>
          <w:rFonts w:hint="eastAsia"/>
        </w:rPr>
        <w:t>（三）来自资产评估机构及其人员的风险；</w:t>
      </w:r>
    </w:p>
    <w:p w14:paraId="303FD49C" w14:textId="77777777" w:rsidR="00FF115A" w:rsidRDefault="00FF115A" w:rsidP="00FF115A">
      <w:pPr>
        <w:pStyle w:val="13"/>
      </w:pPr>
      <w:r>
        <w:rPr>
          <w:rFonts w:hint="eastAsia"/>
        </w:rPr>
        <w:t>（四）资产评估报告使用不当的风险。</w:t>
      </w:r>
    </w:p>
    <w:p w14:paraId="1BCC3F1D" w14:textId="663618AA" w:rsidR="00FF115A" w:rsidRDefault="003B2FB1" w:rsidP="00FF115A">
      <w:pPr>
        <w:pStyle w:val="13"/>
        <w:ind w:firstLine="482"/>
      </w:pPr>
      <w:r w:rsidRPr="003B2FB1">
        <w:rPr>
          <w:rFonts w:hint="eastAsia"/>
          <w:b/>
          <w:bCs/>
        </w:rPr>
        <w:t xml:space="preserve">第三十一条 </w:t>
      </w:r>
      <w:r w:rsidR="00FF115A">
        <w:t>当发生资产评估委托合同变更、中止、终止情形时，资产评估机构应当采取措施进行处置，并保持记录。采取的措施通常包括：</w:t>
      </w:r>
    </w:p>
    <w:p w14:paraId="059DF83B" w14:textId="77777777" w:rsidR="00FF115A" w:rsidRDefault="00FF115A" w:rsidP="00FF115A">
      <w:pPr>
        <w:pStyle w:val="13"/>
      </w:pPr>
      <w:r>
        <w:rPr>
          <w:rFonts w:hint="eastAsia"/>
        </w:rPr>
        <w:t>（一）对变更、中止、终止的情形进行重新审核；</w:t>
      </w:r>
    </w:p>
    <w:p w14:paraId="1848A7DB" w14:textId="77777777" w:rsidR="00FF115A" w:rsidRDefault="00FF115A" w:rsidP="00FF115A">
      <w:pPr>
        <w:pStyle w:val="13"/>
      </w:pPr>
      <w:r>
        <w:rPr>
          <w:rFonts w:hint="eastAsia"/>
        </w:rPr>
        <w:t>（二）就拟采取的行动及原因与委托人沟通；</w:t>
      </w:r>
    </w:p>
    <w:p w14:paraId="365C4DC8" w14:textId="77777777" w:rsidR="00FF115A" w:rsidRDefault="00FF115A" w:rsidP="00FF115A">
      <w:pPr>
        <w:pStyle w:val="13"/>
      </w:pPr>
      <w:r>
        <w:rPr>
          <w:rFonts w:hint="eastAsia"/>
        </w:rPr>
        <w:t>（三）将信息传达到相关人员。</w:t>
      </w:r>
    </w:p>
    <w:p w14:paraId="0E20C79A" w14:textId="77777777" w:rsidR="00FF115A" w:rsidRDefault="00FF115A" w:rsidP="00AF7342">
      <w:pPr>
        <w:pStyle w:val="a9"/>
        <w:spacing w:before="62" w:after="62"/>
      </w:pPr>
      <w:r>
        <w:rPr>
          <w:rFonts w:hint="eastAsia"/>
        </w:rPr>
        <w:t>第六章</w:t>
      </w:r>
      <w:r>
        <w:t xml:space="preserve"> 资产评估业务计划</w:t>
      </w:r>
    </w:p>
    <w:p w14:paraId="1A961F89" w14:textId="0CF5E8C1" w:rsidR="00FF115A" w:rsidRDefault="003B2FB1" w:rsidP="00FF115A">
      <w:pPr>
        <w:pStyle w:val="13"/>
        <w:ind w:firstLine="482"/>
      </w:pPr>
      <w:r w:rsidRPr="003B2FB1">
        <w:rPr>
          <w:rFonts w:hint="eastAsia"/>
          <w:b/>
          <w:bCs/>
        </w:rPr>
        <w:t xml:space="preserve">第三十二条 </w:t>
      </w:r>
      <w:r w:rsidR="00FF115A">
        <w:t>资产评估机构可以通过制定资产评估业务计划的控制政策和程序等达成以下目的：</w:t>
      </w:r>
    </w:p>
    <w:p w14:paraId="0C449447" w14:textId="77777777" w:rsidR="00FF115A" w:rsidRDefault="00FF115A" w:rsidP="00FF115A">
      <w:pPr>
        <w:pStyle w:val="13"/>
      </w:pPr>
      <w:r>
        <w:rPr>
          <w:rFonts w:hint="eastAsia"/>
        </w:rPr>
        <w:t>（一）项目团队成员了解工作内容、工作目标、重点关注领域；</w:t>
      </w:r>
    </w:p>
    <w:p w14:paraId="3DF9228A" w14:textId="77777777" w:rsidR="00FF115A" w:rsidRDefault="00FF115A" w:rsidP="00FF115A">
      <w:pPr>
        <w:pStyle w:val="13"/>
      </w:pPr>
      <w:r>
        <w:rPr>
          <w:rFonts w:hint="eastAsia"/>
        </w:rPr>
        <w:t>（二）项目负责人有效组织和管理资产评估业务；</w:t>
      </w:r>
    </w:p>
    <w:p w14:paraId="19AECB32" w14:textId="77777777" w:rsidR="00FF115A" w:rsidRDefault="00FF115A" w:rsidP="00FF115A">
      <w:pPr>
        <w:pStyle w:val="13"/>
      </w:pPr>
      <w:r>
        <w:rPr>
          <w:rFonts w:hint="eastAsia"/>
        </w:rPr>
        <w:lastRenderedPageBreak/>
        <w:t>（三）管理层人员有效监控资产评估业务；</w:t>
      </w:r>
    </w:p>
    <w:p w14:paraId="606C9A9F" w14:textId="77777777" w:rsidR="00B034D4" w:rsidRDefault="00FF115A" w:rsidP="00B034D4">
      <w:pPr>
        <w:pStyle w:val="13"/>
      </w:pPr>
      <w:r>
        <w:rPr>
          <w:rFonts w:hint="eastAsia"/>
        </w:rPr>
        <w:t>（四）使委托人和其他相关当事人了解资产评估计划的内容，配合项目团队工作。</w:t>
      </w:r>
    </w:p>
    <w:p w14:paraId="6904910A" w14:textId="02074E16" w:rsidR="00FF115A" w:rsidRDefault="003B2FB1" w:rsidP="00B034D4">
      <w:pPr>
        <w:pStyle w:val="13"/>
        <w:ind w:firstLine="482"/>
      </w:pPr>
      <w:r w:rsidRPr="003B2FB1">
        <w:rPr>
          <w:rFonts w:hint="eastAsia"/>
          <w:b/>
          <w:bCs/>
        </w:rPr>
        <w:t xml:space="preserve">第三十三条 </w:t>
      </w:r>
      <w:r w:rsidR="00FF115A">
        <w:t>资产评估机构制定资产评估业务计划控制政策和程序，通常可以按照</w:t>
      </w:r>
      <w:r w:rsidR="00FF115A">
        <w:rPr>
          <w:rFonts w:hint="eastAsia"/>
        </w:rPr>
        <w:t>计划编制的流程分别考虑：</w:t>
      </w:r>
    </w:p>
    <w:p w14:paraId="6F3D1A7A" w14:textId="77777777" w:rsidR="00FF115A" w:rsidRDefault="00FF115A" w:rsidP="00FF115A">
      <w:pPr>
        <w:pStyle w:val="13"/>
      </w:pPr>
      <w:r>
        <w:rPr>
          <w:rFonts w:hint="eastAsia"/>
        </w:rPr>
        <w:t>（一）计划编制前对资产评估业务基本事项进一步明确；</w:t>
      </w:r>
    </w:p>
    <w:p w14:paraId="162D9F1A" w14:textId="77777777" w:rsidR="00FF115A" w:rsidRDefault="00FF115A" w:rsidP="00FF115A">
      <w:pPr>
        <w:pStyle w:val="13"/>
      </w:pPr>
      <w:r>
        <w:rPr>
          <w:rFonts w:hint="eastAsia"/>
        </w:rPr>
        <w:t>（二）资产评估计划编制和批准的参与者；</w:t>
      </w:r>
    </w:p>
    <w:p w14:paraId="6F3D67C2" w14:textId="77777777" w:rsidR="00FF115A" w:rsidRDefault="00FF115A" w:rsidP="00FF115A">
      <w:pPr>
        <w:pStyle w:val="13"/>
      </w:pPr>
      <w:r>
        <w:rPr>
          <w:rFonts w:hint="eastAsia"/>
        </w:rPr>
        <w:t>（三）资产评估计划的内容和繁简程度；</w:t>
      </w:r>
    </w:p>
    <w:p w14:paraId="21C269FA" w14:textId="77777777" w:rsidR="00FF115A" w:rsidRDefault="00FF115A" w:rsidP="00FF115A">
      <w:pPr>
        <w:pStyle w:val="13"/>
      </w:pPr>
      <w:r>
        <w:rPr>
          <w:rFonts w:hint="eastAsia"/>
        </w:rPr>
        <w:t>（四）资产评估计划的编制、审核、批准流程。</w:t>
      </w:r>
    </w:p>
    <w:p w14:paraId="3A684FE5" w14:textId="72698868" w:rsidR="00FF115A" w:rsidRDefault="003B2FB1" w:rsidP="00FF115A">
      <w:pPr>
        <w:pStyle w:val="13"/>
        <w:ind w:firstLine="482"/>
      </w:pPr>
      <w:r w:rsidRPr="003B2FB1">
        <w:rPr>
          <w:rFonts w:hint="eastAsia"/>
          <w:b/>
          <w:bCs/>
        </w:rPr>
        <w:t xml:space="preserve">第三十四条 </w:t>
      </w:r>
      <w:r w:rsidR="00FF115A">
        <w:t>资产评估机构制定的资产评估业务计划环节的控制政策和程序，应当要求资产评估项目负责人在编制资产评估计划时开展如下工作：</w:t>
      </w:r>
    </w:p>
    <w:p w14:paraId="4ECDE73F" w14:textId="77777777" w:rsidR="00FF115A" w:rsidRDefault="00FF115A" w:rsidP="00FF115A">
      <w:pPr>
        <w:pStyle w:val="13"/>
      </w:pPr>
      <w:r>
        <w:rPr>
          <w:rFonts w:hint="eastAsia"/>
        </w:rPr>
        <w:t>（一）为编制资产评估计划、开展后续工作而组织资源；</w:t>
      </w:r>
    </w:p>
    <w:p w14:paraId="4C2D3AAC" w14:textId="77777777" w:rsidR="00FF115A" w:rsidRDefault="00FF115A" w:rsidP="00FF115A">
      <w:pPr>
        <w:pStyle w:val="13"/>
      </w:pPr>
      <w:r>
        <w:rPr>
          <w:rFonts w:hint="eastAsia"/>
        </w:rPr>
        <w:t>（二）确定是否对委托人和其他相关当事人进行必要的业务指导；</w:t>
      </w:r>
    </w:p>
    <w:p w14:paraId="7E30A9B4" w14:textId="77777777" w:rsidR="00FF115A" w:rsidRDefault="00FF115A" w:rsidP="00FF115A">
      <w:pPr>
        <w:pStyle w:val="13"/>
      </w:pPr>
      <w:r>
        <w:rPr>
          <w:rFonts w:hint="eastAsia"/>
        </w:rPr>
        <w:t>（三）确定是否对项目团队成员进行适当的培训；</w:t>
      </w:r>
    </w:p>
    <w:p w14:paraId="2BEB5AB3" w14:textId="77777777" w:rsidR="00FF115A" w:rsidRDefault="00FF115A" w:rsidP="00FF115A">
      <w:pPr>
        <w:pStyle w:val="13"/>
      </w:pPr>
      <w:r>
        <w:rPr>
          <w:rFonts w:hint="eastAsia"/>
        </w:rPr>
        <w:t>（四）确定是否开展初步评估活动。</w:t>
      </w:r>
    </w:p>
    <w:p w14:paraId="7F0345B0" w14:textId="77777777" w:rsidR="00FF115A" w:rsidRDefault="00FF115A" w:rsidP="00AF7342">
      <w:pPr>
        <w:pStyle w:val="a9"/>
        <w:spacing w:before="62" w:after="62"/>
      </w:pPr>
      <w:r>
        <w:rPr>
          <w:rFonts w:hint="eastAsia"/>
        </w:rPr>
        <w:t>第七章</w:t>
      </w:r>
      <w:r>
        <w:t xml:space="preserve"> 资产评估业务实施和资产评估报告出具</w:t>
      </w:r>
    </w:p>
    <w:p w14:paraId="3B9567C6" w14:textId="0359B776" w:rsidR="00FF115A" w:rsidRDefault="003B2FB1" w:rsidP="00FF115A">
      <w:pPr>
        <w:pStyle w:val="13"/>
        <w:ind w:firstLine="482"/>
      </w:pPr>
      <w:r w:rsidRPr="003B2FB1">
        <w:rPr>
          <w:rFonts w:hint="eastAsia"/>
          <w:b/>
          <w:bCs/>
        </w:rPr>
        <w:t xml:space="preserve">第三十五条 </w:t>
      </w:r>
      <w:r w:rsidR="00FF115A">
        <w:t>资产评估机构应当制定资产评估业务实施和资产评估报告出具环节的控制政策和程序，以保证法律、行政法规和资产评估准则得以遵守，满足出具资产评估报告的要求。</w:t>
      </w:r>
    </w:p>
    <w:p w14:paraId="6DBAF410" w14:textId="2CD304DF" w:rsidR="00FF115A" w:rsidRDefault="003B2FB1" w:rsidP="00FF115A">
      <w:pPr>
        <w:pStyle w:val="13"/>
        <w:ind w:firstLine="482"/>
      </w:pPr>
      <w:r w:rsidRPr="003B2FB1">
        <w:rPr>
          <w:rFonts w:hint="eastAsia"/>
          <w:b/>
          <w:bCs/>
        </w:rPr>
        <w:t xml:space="preserve">第三十六条 </w:t>
      </w:r>
      <w:r w:rsidR="00FF115A">
        <w:t>资产评估机构应当针对以下事项制定资产评估业务实施和资产评估报告出具环节的控制政策和程序：</w:t>
      </w:r>
    </w:p>
    <w:p w14:paraId="3832018C" w14:textId="77777777" w:rsidR="00FF115A" w:rsidRDefault="00FF115A" w:rsidP="00FF115A">
      <w:pPr>
        <w:pStyle w:val="13"/>
      </w:pPr>
      <w:r>
        <w:rPr>
          <w:rFonts w:hint="eastAsia"/>
        </w:rPr>
        <w:t>（一）项目团队组建及工作委派；</w:t>
      </w:r>
    </w:p>
    <w:p w14:paraId="71723BE3" w14:textId="77777777" w:rsidR="00FF115A" w:rsidRDefault="00FF115A" w:rsidP="00FF115A">
      <w:pPr>
        <w:pStyle w:val="13"/>
      </w:pPr>
      <w:r>
        <w:rPr>
          <w:rFonts w:hint="eastAsia"/>
        </w:rPr>
        <w:t>（二）现场调查、评估资料收集和评定估算；</w:t>
      </w:r>
    </w:p>
    <w:p w14:paraId="4670601C" w14:textId="77777777" w:rsidR="00FF115A" w:rsidRDefault="00FF115A" w:rsidP="00FF115A">
      <w:pPr>
        <w:pStyle w:val="13"/>
      </w:pPr>
      <w:r>
        <w:rPr>
          <w:rFonts w:hint="eastAsia"/>
        </w:rPr>
        <w:t>（三）资产评估报告编制；</w:t>
      </w:r>
    </w:p>
    <w:p w14:paraId="6023FAB2" w14:textId="77777777" w:rsidR="00FF115A" w:rsidRDefault="00FF115A" w:rsidP="00FF115A">
      <w:pPr>
        <w:pStyle w:val="13"/>
      </w:pPr>
      <w:r>
        <w:rPr>
          <w:rFonts w:hint="eastAsia"/>
        </w:rPr>
        <w:t>（四）利用专家工作及相关报告；</w:t>
      </w:r>
    </w:p>
    <w:p w14:paraId="5F55676A" w14:textId="77777777" w:rsidR="00FF115A" w:rsidRDefault="00FF115A" w:rsidP="00FF115A">
      <w:pPr>
        <w:pStyle w:val="13"/>
      </w:pPr>
      <w:r>
        <w:rPr>
          <w:rFonts w:hint="eastAsia"/>
        </w:rPr>
        <w:t>（五）疑难问题或者争议事项的解决；</w:t>
      </w:r>
    </w:p>
    <w:p w14:paraId="6A6D24CC" w14:textId="77777777" w:rsidR="00FF115A" w:rsidRDefault="00FF115A" w:rsidP="00FF115A">
      <w:pPr>
        <w:pStyle w:val="13"/>
      </w:pPr>
      <w:r>
        <w:rPr>
          <w:rFonts w:hint="eastAsia"/>
        </w:rPr>
        <w:t>（六）项目负责人的指导与监督；</w:t>
      </w:r>
    </w:p>
    <w:p w14:paraId="78299766" w14:textId="77777777" w:rsidR="00FF115A" w:rsidRDefault="00FF115A" w:rsidP="00FF115A">
      <w:pPr>
        <w:pStyle w:val="13"/>
      </w:pPr>
      <w:r>
        <w:rPr>
          <w:rFonts w:hint="eastAsia"/>
        </w:rPr>
        <w:t>（七）内部审核；</w:t>
      </w:r>
    </w:p>
    <w:p w14:paraId="6EA21678" w14:textId="77777777" w:rsidR="00FF115A" w:rsidRDefault="00FF115A" w:rsidP="00FF115A">
      <w:pPr>
        <w:pStyle w:val="13"/>
      </w:pPr>
      <w:r>
        <w:rPr>
          <w:rFonts w:hint="eastAsia"/>
        </w:rPr>
        <w:t>（八）资产评估报告签发及提交。</w:t>
      </w:r>
    </w:p>
    <w:p w14:paraId="4366CEA2" w14:textId="3B7FBE70" w:rsidR="00FF115A" w:rsidRDefault="003B2FB1" w:rsidP="00B034D4">
      <w:pPr>
        <w:pStyle w:val="13"/>
        <w:ind w:firstLine="482"/>
      </w:pPr>
      <w:r w:rsidRPr="003B2FB1">
        <w:rPr>
          <w:rFonts w:hint="eastAsia"/>
          <w:b/>
          <w:bCs/>
        </w:rPr>
        <w:t xml:space="preserve">第三十七条 </w:t>
      </w:r>
      <w:r w:rsidR="00FF115A">
        <w:t>资产评估机构在制定不同特征资产（企业）的现场调查、收集评估资</w:t>
      </w:r>
      <w:r w:rsidR="00FF115A">
        <w:rPr>
          <w:rFonts w:hint="eastAsia"/>
        </w:rPr>
        <w:t>料、评定估算以及编制资产评估报告的控制政策和程序时，通常考虑以下要素：</w:t>
      </w:r>
    </w:p>
    <w:p w14:paraId="5A120454" w14:textId="77777777" w:rsidR="00FF115A" w:rsidRDefault="00FF115A" w:rsidP="00FF115A">
      <w:pPr>
        <w:pStyle w:val="13"/>
      </w:pPr>
      <w:r>
        <w:rPr>
          <w:rFonts w:hint="eastAsia"/>
        </w:rPr>
        <w:t>（一）现场调查方案的可行性；</w:t>
      </w:r>
    </w:p>
    <w:p w14:paraId="003CDE71" w14:textId="77777777" w:rsidR="00FF115A" w:rsidRDefault="00FF115A" w:rsidP="00FF115A">
      <w:pPr>
        <w:pStyle w:val="13"/>
      </w:pPr>
      <w:r>
        <w:rPr>
          <w:rFonts w:hint="eastAsia"/>
        </w:rPr>
        <w:t>（二）评估资料的真实性、完整性和合法性；</w:t>
      </w:r>
    </w:p>
    <w:p w14:paraId="3A2E32F3" w14:textId="77777777" w:rsidR="00FF115A" w:rsidRDefault="00FF115A" w:rsidP="00FF115A">
      <w:pPr>
        <w:pStyle w:val="13"/>
      </w:pPr>
      <w:r>
        <w:rPr>
          <w:rFonts w:hint="eastAsia"/>
        </w:rPr>
        <w:t>（三）评估方法的恰当性、评估参数的合理性；</w:t>
      </w:r>
    </w:p>
    <w:p w14:paraId="196559F7" w14:textId="77777777" w:rsidR="00FF115A" w:rsidRDefault="00FF115A" w:rsidP="00FF115A">
      <w:pPr>
        <w:pStyle w:val="13"/>
      </w:pPr>
      <w:r>
        <w:rPr>
          <w:rFonts w:hint="eastAsia"/>
        </w:rPr>
        <w:lastRenderedPageBreak/>
        <w:t>（四）资产评估报告的合</w:t>
      </w:r>
      <w:proofErr w:type="gramStart"/>
      <w:r>
        <w:rPr>
          <w:rFonts w:hint="eastAsia"/>
        </w:rPr>
        <w:t>规</w:t>
      </w:r>
      <w:proofErr w:type="gramEnd"/>
      <w:r>
        <w:rPr>
          <w:rFonts w:hint="eastAsia"/>
        </w:rPr>
        <w:t>性。</w:t>
      </w:r>
    </w:p>
    <w:p w14:paraId="603917BE" w14:textId="48B2A43A" w:rsidR="00FF115A" w:rsidRDefault="003B2FB1" w:rsidP="00FF115A">
      <w:pPr>
        <w:pStyle w:val="13"/>
        <w:ind w:firstLine="482"/>
      </w:pPr>
      <w:r w:rsidRPr="003B2FB1">
        <w:rPr>
          <w:rFonts w:hint="eastAsia"/>
          <w:b/>
          <w:bCs/>
        </w:rPr>
        <w:t xml:space="preserve">第三十八条 </w:t>
      </w:r>
      <w:r w:rsidR="00FF115A">
        <w:t>资产评估机构制定的解决疑难问题或者争议事项的控制政策和程序</w:t>
      </w:r>
      <w:r w:rsidR="003C1F46">
        <w:t>，</w:t>
      </w:r>
      <w:r w:rsidR="00FF115A">
        <w:t>通常包括：</w:t>
      </w:r>
    </w:p>
    <w:p w14:paraId="0950CB03" w14:textId="77777777" w:rsidR="00FF115A" w:rsidRDefault="00FF115A" w:rsidP="00FF115A">
      <w:pPr>
        <w:pStyle w:val="13"/>
      </w:pPr>
      <w:r>
        <w:rPr>
          <w:rFonts w:hint="eastAsia"/>
        </w:rPr>
        <w:t>（一）疑难问题的内部报告及处理；</w:t>
      </w:r>
    </w:p>
    <w:p w14:paraId="7B88F6A5" w14:textId="77777777" w:rsidR="00FF115A" w:rsidRDefault="00FF115A" w:rsidP="00FF115A">
      <w:pPr>
        <w:pStyle w:val="13"/>
      </w:pPr>
      <w:r>
        <w:rPr>
          <w:rFonts w:hint="eastAsia"/>
        </w:rPr>
        <w:t>（二）处理项目执行过程中的意见分歧。</w:t>
      </w:r>
    </w:p>
    <w:p w14:paraId="506B1FDC" w14:textId="77777777" w:rsidR="00FF115A" w:rsidRDefault="00FF115A" w:rsidP="00FF115A">
      <w:pPr>
        <w:pStyle w:val="13"/>
      </w:pPr>
      <w:r>
        <w:rPr>
          <w:rFonts w:hint="eastAsia"/>
        </w:rPr>
        <w:t>只有对分歧意见形成结论，资产评估机构才能出具资产评估报告。</w:t>
      </w:r>
    </w:p>
    <w:p w14:paraId="38B227F1" w14:textId="6E5303B9" w:rsidR="00FF115A" w:rsidRDefault="003B2FB1" w:rsidP="00FF115A">
      <w:pPr>
        <w:pStyle w:val="13"/>
        <w:ind w:firstLine="482"/>
      </w:pPr>
      <w:r w:rsidRPr="003B2FB1">
        <w:rPr>
          <w:rFonts w:hint="eastAsia"/>
          <w:b/>
          <w:bCs/>
        </w:rPr>
        <w:t xml:space="preserve">第三十九条 </w:t>
      </w:r>
      <w:r w:rsidR="00FF115A">
        <w:t>资产评估机构制定的项目负责人对项目团队成员的工作进行指导、监督的控制政策和程序通常包括：</w:t>
      </w:r>
    </w:p>
    <w:p w14:paraId="25B32D68" w14:textId="77777777" w:rsidR="00FF115A" w:rsidRDefault="00FF115A" w:rsidP="00FF115A">
      <w:pPr>
        <w:pStyle w:val="13"/>
      </w:pPr>
      <w:r>
        <w:rPr>
          <w:rFonts w:hint="eastAsia"/>
        </w:rPr>
        <w:t>（一）项目团队的组建和管理；</w:t>
      </w:r>
    </w:p>
    <w:p w14:paraId="65E1B4FD" w14:textId="77777777" w:rsidR="00FF115A" w:rsidRDefault="00FF115A" w:rsidP="00FF115A">
      <w:pPr>
        <w:pStyle w:val="13"/>
      </w:pPr>
      <w:r>
        <w:rPr>
          <w:rFonts w:hint="eastAsia"/>
        </w:rPr>
        <w:t>（二）业务时间进度；</w:t>
      </w:r>
    </w:p>
    <w:p w14:paraId="1EE92F52" w14:textId="77777777" w:rsidR="00FF115A" w:rsidRDefault="00FF115A" w:rsidP="00FF115A">
      <w:pPr>
        <w:pStyle w:val="13"/>
      </w:pPr>
      <w:r>
        <w:rPr>
          <w:rFonts w:hint="eastAsia"/>
        </w:rPr>
        <w:t>（三）业务沟通；</w:t>
      </w:r>
    </w:p>
    <w:p w14:paraId="72C9155B" w14:textId="77777777" w:rsidR="00FF115A" w:rsidRDefault="00FF115A" w:rsidP="00FF115A">
      <w:pPr>
        <w:pStyle w:val="13"/>
      </w:pPr>
      <w:r>
        <w:rPr>
          <w:rFonts w:hint="eastAsia"/>
        </w:rPr>
        <w:t>（四）业务风险。</w:t>
      </w:r>
    </w:p>
    <w:p w14:paraId="27454995" w14:textId="098D1AE6" w:rsidR="00FF115A" w:rsidRDefault="003B2FB1" w:rsidP="00FF115A">
      <w:pPr>
        <w:pStyle w:val="13"/>
        <w:ind w:firstLine="482"/>
      </w:pPr>
      <w:r w:rsidRPr="003B2FB1">
        <w:rPr>
          <w:rFonts w:hint="eastAsia"/>
          <w:b/>
          <w:bCs/>
        </w:rPr>
        <w:t xml:space="preserve">第四十条 </w:t>
      </w:r>
      <w:r w:rsidR="00FF115A">
        <w:t>资产评估机构应当设置专门部门或者专门岗位实施资产评估业务的内部审核，内部审核政策和程序的目标是未经审核合格的事项不进入下一程序。内部审核的政策和程序，通常包括：</w:t>
      </w:r>
    </w:p>
    <w:p w14:paraId="2824A6FB" w14:textId="77777777" w:rsidR="00FF115A" w:rsidRDefault="00FF115A" w:rsidP="00FF115A">
      <w:pPr>
        <w:pStyle w:val="13"/>
      </w:pPr>
      <w:r>
        <w:rPr>
          <w:rFonts w:hint="eastAsia"/>
        </w:rPr>
        <w:t>（一）内部审核流程；</w:t>
      </w:r>
    </w:p>
    <w:p w14:paraId="2126BA76" w14:textId="77777777" w:rsidR="00FF115A" w:rsidRDefault="00FF115A" w:rsidP="00FF115A">
      <w:pPr>
        <w:pStyle w:val="13"/>
      </w:pPr>
      <w:r>
        <w:rPr>
          <w:rFonts w:hint="eastAsia"/>
        </w:rPr>
        <w:t>（二）项目审核人员的专业能力要求；</w:t>
      </w:r>
    </w:p>
    <w:p w14:paraId="65CBFB16" w14:textId="77777777" w:rsidR="00FF115A" w:rsidRDefault="00FF115A" w:rsidP="00FF115A">
      <w:pPr>
        <w:pStyle w:val="13"/>
      </w:pPr>
      <w:r>
        <w:rPr>
          <w:rFonts w:hint="eastAsia"/>
        </w:rPr>
        <w:t>（三）审核的时间、范围和方法。</w:t>
      </w:r>
    </w:p>
    <w:p w14:paraId="5D6C5A00" w14:textId="4A273E4E" w:rsidR="00FF115A" w:rsidRDefault="003B2FB1" w:rsidP="00FF115A">
      <w:pPr>
        <w:pStyle w:val="13"/>
        <w:ind w:firstLine="482"/>
      </w:pPr>
      <w:r w:rsidRPr="003B2FB1">
        <w:rPr>
          <w:rFonts w:hint="eastAsia"/>
          <w:b/>
          <w:bCs/>
        </w:rPr>
        <w:t xml:space="preserve">第四十一条 </w:t>
      </w:r>
      <w:r w:rsidR="00FF115A">
        <w:t>资产评估机构应当制定资产评估报告签发政策和程序。</w:t>
      </w:r>
    </w:p>
    <w:p w14:paraId="20C59821" w14:textId="77777777" w:rsidR="00FF115A" w:rsidRDefault="00FF115A" w:rsidP="00FF115A">
      <w:pPr>
        <w:pStyle w:val="13"/>
      </w:pPr>
      <w:r>
        <w:rPr>
          <w:rFonts w:hint="eastAsia"/>
        </w:rPr>
        <w:t>资产评估报告签发政策和程序应当规定，一旦发现已经提交的资产评估报告存在瑕疵、错误等问题时，资产评估机构为挽回不良影响，根据问题的严重程度或者潜在影响程度应当采取的相应措施。</w:t>
      </w:r>
    </w:p>
    <w:p w14:paraId="5769F391" w14:textId="77777777" w:rsidR="00FF115A" w:rsidRDefault="00FF115A" w:rsidP="00AF7342">
      <w:pPr>
        <w:pStyle w:val="a9"/>
        <w:spacing w:before="62" w:after="62"/>
      </w:pPr>
      <w:r>
        <w:rPr>
          <w:rFonts w:hint="eastAsia"/>
        </w:rPr>
        <w:t>第八章</w:t>
      </w:r>
      <w:r>
        <w:t xml:space="preserve"> 监控和改进</w:t>
      </w:r>
    </w:p>
    <w:p w14:paraId="34BA7993" w14:textId="00A767C7" w:rsidR="00FF115A" w:rsidRDefault="003B2FB1" w:rsidP="00B034D4">
      <w:pPr>
        <w:pStyle w:val="13"/>
        <w:ind w:firstLine="482"/>
      </w:pPr>
      <w:r w:rsidRPr="003B2FB1">
        <w:rPr>
          <w:rFonts w:hint="eastAsia"/>
          <w:b/>
          <w:bCs/>
        </w:rPr>
        <w:t xml:space="preserve">第四十二条 </w:t>
      </w:r>
      <w:r w:rsidR="00FF115A">
        <w:t>资产评估机构应当制定政策和程序，对质量控制体系运行情况进行监</w:t>
      </w:r>
      <w:r w:rsidR="00FF115A">
        <w:rPr>
          <w:rFonts w:hint="eastAsia"/>
        </w:rPr>
        <w:t>控。监控应当关注以下内容：</w:t>
      </w:r>
    </w:p>
    <w:p w14:paraId="70D6C66E" w14:textId="77777777" w:rsidR="00FF115A" w:rsidRDefault="00FF115A" w:rsidP="00FF115A">
      <w:pPr>
        <w:pStyle w:val="13"/>
      </w:pPr>
      <w:r>
        <w:rPr>
          <w:rFonts w:hint="eastAsia"/>
        </w:rPr>
        <w:t>（一）质量控制体系是否符合本指南要求，是否符合资产评估机构实际情况；</w:t>
      </w:r>
    </w:p>
    <w:p w14:paraId="7A87557B" w14:textId="77777777" w:rsidR="00FF115A" w:rsidRDefault="00FF115A" w:rsidP="00FF115A">
      <w:pPr>
        <w:pStyle w:val="13"/>
      </w:pPr>
      <w:r>
        <w:rPr>
          <w:rFonts w:hint="eastAsia"/>
        </w:rPr>
        <w:t>（二）质量控制体系是否达到了质量目标；</w:t>
      </w:r>
    </w:p>
    <w:p w14:paraId="34E742B3" w14:textId="77777777" w:rsidR="00FF115A" w:rsidRDefault="00FF115A" w:rsidP="00FF115A">
      <w:pPr>
        <w:pStyle w:val="13"/>
      </w:pPr>
      <w:r>
        <w:rPr>
          <w:rFonts w:hint="eastAsia"/>
        </w:rPr>
        <w:t>（三）质量控制体系是否得到有效的实施和保持。</w:t>
      </w:r>
    </w:p>
    <w:p w14:paraId="26F69FFA" w14:textId="6B91A212" w:rsidR="00FF115A" w:rsidRDefault="003B2FB1" w:rsidP="00FF115A">
      <w:pPr>
        <w:pStyle w:val="13"/>
        <w:ind w:firstLine="482"/>
      </w:pPr>
      <w:r w:rsidRPr="003B2FB1">
        <w:rPr>
          <w:rFonts w:hint="eastAsia"/>
          <w:b/>
          <w:bCs/>
        </w:rPr>
        <w:t xml:space="preserve">第四十三条 </w:t>
      </w:r>
      <w:r w:rsidR="00FF115A">
        <w:t>资产评估机构应当根据本机构的管理特点对质量控制体系运行情况实施监控。监控措施通常包括：</w:t>
      </w:r>
    </w:p>
    <w:p w14:paraId="5E63F037" w14:textId="77777777" w:rsidR="00FF115A" w:rsidRDefault="00FF115A" w:rsidP="00FF115A">
      <w:pPr>
        <w:pStyle w:val="13"/>
      </w:pPr>
      <w:r>
        <w:rPr>
          <w:rFonts w:hint="eastAsia"/>
        </w:rPr>
        <w:t>（一）收集、管理和利用不同渠道来源的相关信息，为评价和改进质量控制体系提供依据；</w:t>
      </w:r>
    </w:p>
    <w:p w14:paraId="3B03693D" w14:textId="77777777" w:rsidR="00FF115A" w:rsidRDefault="00FF115A" w:rsidP="00FF115A">
      <w:pPr>
        <w:pStyle w:val="13"/>
      </w:pPr>
      <w:r>
        <w:rPr>
          <w:rFonts w:hint="eastAsia"/>
        </w:rPr>
        <w:t>（二）对质量控制体系运行的过程进行监控；</w:t>
      </w:r>
    </w:p>
    <w:p w14:paraId="0CE91B49" w14:textId="77777777" w:rsidR="00FF115A" w:rsidRDefault="00FF115A" w:rsidP="00FF115A">
      <w:pPr>
        <w:pStyle w:val="13"/>
      </w:pPr>
      <w:r>
        <w:rPr>
          <w:rFonts w:hint="eastAsia"/>
        </w:rPr>
        <w:t>（三）对质量控制体系的运行情况进行定期检查和评价。</w:t>
      </w:r>
    </w:p>
    <w:p w14:paraId="65C875FE" w14:textId="1DD74065" w:rsidR="00FF115A" w:rsidRDefault="003B2FB1" w:rsidP="00FF115A">
      <w:pPr>
        <w:pStyle w:val="13"/>
        <w:ind w:firstLine="482"/>
      </w:pPr>
      <w:r w:rsidRPr="003B2FB1">
        <w:rPr>
          <w:rFonts w:hint="eastAsia"/>
          <w:b/>
          <w:bCs/>
        </w:rPr>
        <w:lastRenderedPageBreak/>
        <w:t xml:space="preserve">第四十四条 </w:t>
      </w:r>
      <w:r w:rsidR="00FF115A">
        <w:t>对监控中发现的问题和隐患，质量控制体系中的相关控制主体应当采取适当的纠正和预防措施，并对所采取措施的有效性和效率进行评价。</w:t>
      </w:r>
    </w:p>
    <w:p w14:paraId="56636D22" w14:textId="5613E874" w:rsidR="00FF115A" w:rsidRDefault="003B2FB1" w:rsidP="00FF115A">
      <w:pPr>
        <w:pStyle w:val="13"/>
        <w:ind w:firstLine="482"/>
      </w:pPr>
      <w:r w:rsidRPr="003B2FB1">
        <w:rPr>
          <w:rFonts w:hint="eastAsia"/>
          <w:b/>
          <w:bCs/>
        </w:rPr>
        <w:t xml:space="preserve">第四十五条 </w:t>
      </w:r>
      <w:r w:rsidR="00FF115A">
        <w:t>资产评估机构应当根据监控和其他方面的信息对质量控制体系的适当性和有效性进行评价，并提出改进意见。</w:t>
      </w:r>
    </w:p>
    <w:p w14:paraId="3F5EA5B7" w14:textId="77777777" w:rsidR="00FF115A" w:rsidRDefault="00FF115A" w:rsidP="00AF7342">
      <w:pPr>
        <w:pStyle w:val="a9"/>
        <w:spacing w:before="62" w:after="62"/>
      </w:pPr>
      <w:r>
        <w:rPr>
          <w:rFonts w:hint="eastAsia"/>
        </w:rPr>
        <w:t>第九章</w:t>
      </w:r>
      <w:r>
        <w:t xml:space="preserve"> 文件和记录</w:t>
      </w:r>
    </w:p>
    <w:p w14:paraId="2D083AB1" w14:textId="6C983BA3" w:rsidR="00FF115A" w:rsidRDefault="003B2FB1" w:rsidP="00FF115A">
      <w:pPr>
        <w:pStyle w:val="13"/>
        <w:ind w:firstLine="482"/>
      </w:pPr>
      <w:r w:rsidRPr="003B2FB1">
        <w:rPr>
          <w:rFonts w:hint="eastAsia"/>
          <w:b/>
          <w:bCs/>
        </w:rPr>
        <w:t xml:space="preserve">第四十六条 </w:t>
      </w:r>
      <w:r w:rsidR="00FF115A">
        <w:t>资产评估机构应当制定文件控制政策和程序，确保质量控制体系各过程中使用的文件均为有效版本，防止误用失效或者废止的文件和资料。</w:t>
      </w:r>
    </w:p>
    <w:p w14:paraId="2FC070A4" w14:textId="762AC238" w:rsidR="00FF115A" w:rsidRDefault="003B2FB1" w:rsidP="00FF115A">
      <w:pPr>
        <w:pStyle w:val="13"/>
        <w:ind w:firstLine="482"/>
      </w:pPr>
      <w:r w:rsidRPr="003B2FB1">
        <w:rPr>
          <w:rFonts w:hint="eastAsia"/>
          <w:b/>
          <w:bCs/>
        </w:rPr>
        <w:t xml:space="preserve">第四十七条 </w:t>
      </w:r>
      <w:r w:rsidR="00FF115A">
        <w:t>资产评估机构应当制定政策和程序，保持业务质量控制的相关记录并及时归档。</w:t>
      </w:r>
    </w:p>
    <w:p w14:paraId="04AE2357" w14:textId="77777777" w:rsidR="00FF115A" w:rsidRDefault="00FF115A" w:rsidP="00FF115A">
      <w:pPr>
        <w:pStyle w:val="13"/>
      </w:pPr>
      <w:r>
        <w:rPr>
          <w:rFonts w:hint="eastAsia"/>
        </w:rPr>
        <w:t>记录控制的政策和程序，应当规定记录的标识、储存、保护、检索、保存期限和超期后处置所需的控制要求。</w:t>
      </w:r>
    </w:p>
    <w:p w14:paraId="278E7954" w14:textId="0D0D7134" w:rsidR="00FF115A" w:rsidRDefault="00FF115A" w:rsidP="00FF115A">
      <w:pPr>
        <w:pStyle w:val="13"/>
        <w:ind w:firstLine="482"/>
      </w:pPr>
      <w:r w:rsidRPr="006F0A6A">
        <w:rPr>
          <w:rFonts w:hint="eastAsia"/>
          <w:b/>
          <w:bCs/>
        </w:rPr>
        <w:t>第四十八</w:t>
      </w:r>
      <w:r w:rsidR="00793E5D">
        <w:rPr>
          <w:rFonts w:hint="eastAsia"/>
          <w:b/>
          <w:bCs/>
        </w:rPr>
        <w:t xml:space="preserve">条 </w:t>
      </w:r>
      <w:r>
        <w:t>资产评估业务质量控制记录主要包括：</w:t>
      </w:r>
    </w:p>
    <w:p w14:paraId="1FD15240" w14:textId="77777777" w:rsidR="00FF115A" w:rsidRDefault="00FF115A" w:rsidP="00FF115A">
      <w:pPr>
        <w:pStyle w:val="13"/>
      </w:pPr>
      <w:r>
        <w:rPr>
          <w:rFonts w:hint="eastAsia"/>
        </w:rPr>
        <w:t>（一）评估业务工作底稿；</w:t>
      </w:r>
    </w:p>
    <w:p w14:paraId="3C4D26B6" w14:textId="77777777" w:rsidR="00FF115A" w:rsidRDefault="00FF115A" w:rsidP="00FF115A">
      <w:pPr>
        <w:pStyle w:val="13"/>
      </w:pPr>
      <w:r>
        <w:rPr>
          <w:rFonts w:hint="eastAsia"/>
        </w:rPr>
        <w:t>（二）监控和改进记录；</w:t>
      </w:r>
    </w:p>
    <w:p w14:paraId="76D2D633" w14:textId="77777777" w:rsidR="00FF115A" w:rsidRDefault="00FF115A" w:rsidP="00FF115A">
      <w:pPr>
        <w:pStyle w:val="13"/>
      </w:pPr>
      <w:r>
        <w:rPr>
          <w:rFonts w:hint="eastAsia"/>
        </w:rPr>
        <w:t>（三）质量控制体系评审记录。</w:t>
      </w:r>
    </w:p>
    <w:p w14:paraId="11706AAD" w14:textId="77F63E69" w:rsidR="00FF115A" w:rsidRDefault="00FF115A" w:rsidP="00FF115A">
      <w:pPr>
        <w:pStyle w:val="13"/>
        <w:ind w:firstLine="482"/>
      </w:pPr>
      <w:r w:rsidRPr="006F0A6A">
        <w:rPr>
          <w:rFonts w:hint="eastAsia"/>
          <w:b/>
          <w:bCs/>
        </w:rPr>
        <w:t>第四十九</w:t>
      </w:r>
      <w:r w:rsidR="00793E5D">
        <w:rPr>
          <w:rFonts w:hint="eastAsia"/>
          <w:b/>
          <w:bCs/>
        </w:rPr>
        <w:t xml:space="preserve">条 </w:t>
      </w:r>
      <w:r>
        <w:t>资产评估业务质量控制记录，应当根据重要性和必要性设计其内容</w:t>
      </w:r>
      <w:r w:rsidR="003C1F46">
        <w:t>，</w:t>
      </w:r>
      <w:r>
        <w:t>以符合法律、行政法规和资产评估准则的要求。</w:t>
      </w:r>
    </w:p>
    <w:p w14:paraId="20B923F9" w14:textId="77777777" w:rsidR="00FF115A" w:rsidRDefault="00FF115A" w:rsidP="00AF7342">
      <w:pPr>
        <w:pStyle w:val="a9"/>
        <w:spacing w:before="62" w:after="62"/>
      </w:pPr>
      <w:r>
        <w:rPr>
          <w:rFonts w:hint="eastAsia"/>
        </w:rPr>
        <w:t>第十章</w:t>
      </w:r>
      <w:r>
        <w:t xml:space="preserve"> 附 则</w:t>
      </w:r>
    </w:p>
    <w:p w14:paraId="21FE1B73" w14:textId="7697C1C3" w:rsidR="00FF115A" w:rsidRDefault="00FF115A" w:rsidP="00FF115A">
      <w:pPr>
        <w:pStyle w:val="13"/>
        <w:ind w:firstLine="482"/>
      </w:pPr>
      <w:r w:rsidRPr="006F0A6A">
        <w:rPr>
          <w:rFonts w:hint="eastAsia"/>
          <w:b/>
          <w:bCs/>
        </w:rPr>
        <w:t>第五十</w:t>
      </w:r>
      <w:r w:rsidR="00793E5D">
        <w:rPr>
          <w:rFonts w:hint="eastAsia"/>
          <w:b/>
          <w:bCs/>
        </w:rPr>
        <w:t xml:space="preserve">条 </w:t>
      </w:r>
      <w:r>
        <w:t>具有证券评估业务资格的资产评估机构应当遵守本指南，其他资产评估机构可以参照本指南。</w:t>
      </w:r>
    </w:p>
    <w:p w14:paraId="6747344B" w14:textId="4CD22B09" w:rsidR="007E4B49" w:rsidRDefault="00FF115A" w:rsidP="00B034D4">
      <w:pPr>
        <w:pStyle w:val="13"/>
        <w:ind w:firstLine="482"/>
      </w:pPr>
      <w:r w:rsidRPr="006F0A6A">
        <w:rPr>
          <w:rFonts w:hint="eastAsia"/>
          <w:b/>
          <w:bCs/>
        </w:rPr>
        <w:t>第五十一</w:t>
      </w:r>
      <w:r w:rsidR="00793E5D">
        <w:rPr>
          <w:rFonts w:hint="eastAsia"/>
          <w:b/>
          <w:bCs/>
        </w:rPr>
        <w:t xml:space="preserve">条 </w:t>
      </w:r>
      <w:r>
        <w:t>本指南自 2017</w:t>
      </w:r>
      <w:r w:rsidR="003068F8">
        <w:t>年</w:t>
      </w:r>
      <w:r>
        <w:t>10</w:t>
      </w:r>
      <w:r w:rsidR="003068F8">
        <w:t>月</w:t>
      </w:r>
      <w:r>
        <w:t>1</w:t>
      </w:r>
      <w:r w:rsidR="003068F8">
        <w:t>日</w:t>
      </w:r>
      <w:r>
        <w:t>起施行。中国资产评估协会于 2010</w:t>
      </w:r>
      <w:r w:rsidR="003068F8">
        <w:t>年</w:t>
      </w:r>
      <w:r>
        <w:t>12</w:t>
      </w:r>
      <w:r w:rsidR="003068F8">
        <w:rPr>
          <w:rFonts w:hint="eastAsia"/>
        </w:rPr>
        <w:t>月</w:t>
      </w:r>
      <w:r>
        <w:t>18</w:t>
      </w:r>
      <w:r w:rsidR="003068F8">
        <w:t>日</w:t>
      </w:r>
      <w:r>
        <w:t>发布的《关于印发〈评估机构业务质量控制指南〉的通知》（</w:t>
      </w:r>
      <w:proofErr w:type="gramStart"/>
      <w:r>
        <w:t>中评协</w:t>
      </w:r>
      <w:proofErr w:type="gramEnd"/>
      <w:r>
        <w:t>〔2010〕214号）同时废止。</w:t>
      </w:r>
    </w:p>
    <w:p w14:paraId="3F136060" w14:textId="77777777" w:rsidR="00EA1B72" w:rsidRDefault="00EA1B72" w:rsidP="00EA1B72">
      <w:pPr>
        <w:pStyle w:val="21"/>
        <w:spacing w:before="156" w:after="93"/>
      </w:pPr>
      <w:bookmarkStart w:id="37" w:name="_Toc81833317"/>
      <w:r>
        <w:rPr>
          <w:rFonts w:hint="eastAsia"/>
        </w:rPr>
        <w:t>资产评估指导意见</w:t>
      </w:r>
      <w:bookmarkEnd w:id="37"/>
    </w:p>
    <w:p w14:paraId="3C3BA032" w14:textId="77777777" w:rsidR="001F5A09" w:rsidRDefault="001F5A09" w:rsidP="001F5A09">
      <w:pPr>
        <w:pStyle w:val="31"/>
        <w:spacing w:before="156" w:after="62"/>
      </w:pPr>
      <w:bookmarkStart w:id="38" w:name="_Toc81833318"/>
      <w:r>
        <w:rPr>
          <w:rFonts w:hint="eastAsia"/>
        </w:rPr>
        <w:t>文化企业无形资产评估指导意见（</w:t>
      </w:r>
      <w:proofErr w:type="gramStart"/>
      <w:r>
        <w:rPr>
          <w:rFonts w:hint="eastAsia"/>
        </w:rPr>
        <w:t>中评协</w:t>
      </w:r>
      <w:proofErr w:type="gramEnd"/>
      <w:r>
        <w:rPr>
          <w:rFonts w:hint="eastAsia"/>
        </w:rPr>
        <w:t>〔</w:t>
      </w:r>
      <w:r>
        <w:t>2016〕14号）</w:t>
      </w:r>
      <w:bookmarkEnd w:id="38"/>
    </w:p>
    <w:p w14:paraId="567D6B44" w14:textId="77777777" w:rsidR="001F5A09" w:rsidRDefault="001F5A09" w:rsidP="001F5A09">
      <w:pPr>
        <w:pStyle w:val="13"/>
        <w:ind w:firstLineChars="0" w:firstLine="0"/>
      </w:pPr>
      <w:r>
        <w:rPr>
          <w:rFonts w:hint="eastAsia"/>
        </w:rPr>
        <w:t>各省、自治区、直辖市、计划单列市资产评估协会（注册会计师协会）：</w:t>
      </w:r>
    </w:p>
    <w:p w14:paraId="2488E606" w14:textId="77777777" w:rsidR="001F5A09" w:rsidRDefault="001F5A09" w:rsidP="001F5A09">
      <w:pPr>
        <w:pStyle w:val="13"/>
      </w:pPr>
      <w:r>
        <w:rPr>
          <w:rFonts w:hint="eastAsia"/>
        </w:rPr>
        <w:t>为贯彻落实《关于推动国有文化企业把社会效益放在首位、实现社会效益和经济效益相统一的指导意见》（中办发〔</w:t>
      </w:r>
      <w:r>
        <w:t>2015〕50号）文件精神，进一步规范与指导资产评估行业执行文化企业无形资产评估业务，维护社会公众利益和资产评估各方当事人的合法权益，在中共中央宣传部和财政部的组织和指导下，中国资产评估协会制定了《文化企业无形资产评估指导意见》，现予以发布，自 2016年7月1日起施行。</w:t>
      </w:r>
    </w:p>
    <w:p w14:paraId="32ED313F" w14:textId="77777777" w:rsidR="001F5A09" w:rsidRDefault="001F5A09" w:rsidP="001F5A09">
      <w:pPr>
        <w:pStyle w:val="13"/>
      </w:pPr>
      <w:r>
        <w:rPr>
          <w:rFonts w:hint="eastAsia"/>
        </w:rPr>
        <w:t>请各地</w:t>
      </w:r>
      <w:proofErr w:type="gramStart"/>
      <w:r>
        <w:rPr>
          <w:rFonts w:hint="eastAsia"/>
        </w:rPr>
        <w:t>方协会</w:t>
      </w:r>
      <w:proofErr w:type="gramEnd"/>
      <w:r>
        <w:rPr>
          <w:rFonts w:hint="eastAsia"/>
        </w:rPr>
        <w:t>将《文化企业无形资产评估指导意见》及时转发评估机构，组织评</w:t>
      </w:r>
      <w:r>
        <w:rPr>
          <w:rFonts w:hint="eastAsia"/>
        </w:rPr>
        <w:lastRenderedPageBreak/>
        <w:t>估机构和资产评估师进行学习和培训，并将执行过程中发现的问题及时上报中国资产评估协会。</w:t>
      </w:r>
    </w:p>
    <w:p w14:paraId="50871926" w14:textId="77777777" w:rsidR="001F5A09" w:rsidRDefault="001F5A09" w:rsidP="001F5A09">
      <w:pPr>
        <w:pStyle w:val="13"/>
        <w:jc w:val="right"/>
      </w:pPr>
      <w:r>
        <w:rPr>
          <w:rFonts w:hint="eastAsia"/>
        </w:rPr>
        <w:t>中国资产评估协会</w:t>
      </w:r>
    </w:p>
    <w:p w14:paraId="69DCA9C8" w14:textId="77777777" w:rsidR="001F5A09" w:rsidRDefault="001F5A09" w:rsidP="001F5A09">
      <w:pPr>
        <w:pStyle w:val="13"/>
        <w:jc w:val="right"/>
      </w:pPr>
      <w:r>
        <w:t>2016年3月30日</w:t>
      </w:r>
    </w:p>
    <w:p w14:paraId="516A5BD6" w14:textId="77777777" w:rsidR="001F5A09" w:rsidRDefault="001F5A09" w:rsidP="00AF7342">
      <w:pPr>
        <w:pStyle w:val="a9"/>
        <w:spacing w:before="62" w:after="62"/>
      </w:pPr>
      <w:r>
        <w:rPr>
          <w:rFonts w:hint="eastAsia"/>
        </w:rPr>
        <w:t>文化企业无形资产评估指导意见</w:t>
      </w:r>
    </w:p>
    <w:p w14:paraId="7851F615" w14:textId="77777777" w:rsidR="001F5A09" w:rsidRDefault="001F5A09" w:rsidP="00AF7342">
      <w:pPr>
        <w:pStyle w:val="a9"/>
        <w:spacing w:before="62" w:after="62"/>
      </w:pPr>
      <w:r>
        <w:rPr>
          <w:rFonts w:hint="eastAsia"/>
        </w:rPr>
        <w:t>第一章</w:t>
      </w:r>
      <w:r>
        <w:t xml:space="preserve"> 引言</w:t>
      </w:r>
    </w:p>
    <w:p w14:paraId="7B5A7F8F" w14:textId="77777777" w:rsidR="001F5A09" w:rsidRDefault="001F5A09" w:rsidP="001F5A09">
      <w:pPr>
        <w:pStyle w:val="13"/>
        <w:ind w:firstLine="482"/>
      </w:pPr>
      <w:r w:rsidRPr="004E3EBB">
        <w:rPr>
          <w:rFonts w:hint="eastAsia"/>
          <w:b/>
          <w:bCs/>
        </w:rPr>
        <w:t xml:space="preserve">第一条 </w:t>
      </w:r>
      <w:r>
        <w:t>为规范资产评估</w:t>
      </w:r>
      <w:proofErr w:type="gramStart"/>
      <w:r>
        <w:t>师执行</w:t>
      </w:r>
      <w:proofErr w:type="gramEnd"/>
      <w:r>
        <w:t>文化企业无形资产评估业务行为，维护社会公共利益和资产评估各方当事人合法权益，根据《资产评估准则—无形资产》，制定本指导意见。</w:t>
      </w:r>
    </w:p>
    <w:p w14:paraId="59DC7B92" w14:textId="77777777" w:rsidR="001F5A09" w:rsidRDefault="001F5A09" w:rsidP="001F5A09">
      <w:pPr>
        <w:pStyle w:val="13"/>
        <w:ind w:firstLine="482"/>
      </w:pPr>
      <w:r w:rsidRPr="004E3EBB">
        <w:rPr>
          <w:rFonts w:hint="eastAsia"/>
          <w:b/>
          <w:bCs/>
        </w:rPr>
        <w:t xml:space="preserve">第二条 </w:t>
      </w:r>
      <w:r>
        <w:t>本指导意见所称文化企业，包括新闻出版发行服务企业、广播电视电影服务企业、文化艺术服务企业、文化信息传输服务企业、文化创意和设计服务企业、文化休闲娱乐服务企业和工艺美术品生产企业等。</w:t>
      </w:r>
    </w:p>
    <w:p w14:paraId="7A7D7C28" w14:textId="77777777" w:rsidR="001F5A09" w:rsidRDefault="001F5A09" w:rsidP="001F5A09">
      <w:pPr>
        <w:pStyle w:val="13"/>
        <w:ind w:firstLine="482"/>
      </w:pPr>
      <w:r w:rsidRPr="004E3EBB">
        <w:rPr>
          <w:rFonts w:hint="eastAsia"/>
          <w:b/>
          <w:bCs/>
        </w:rPr>
        <w:t xml:space="preserve">第三条 </w:t>
      </w:r>
      <w:r>
        <w:t>本指导意见所称文化企业无形资产，是指文化企业所拥有或者控制的，不具有实物形态，能够持续发挥作用并且带来经济利益的资源。</w:t>
      </w:r>
    </w:p>
    <w:p w14:paraId="3B110EDB" w14:textId="77777777" w:rsidR="001F5A09" w:rsidRDefault="001F5A09" w:rsidP="001F5A09">
      <w:pPr>
        <w:pStyle w:val="13"/>
        <w:ind w:firstLine="482"/>
      </w:pPr>
      <w:r w:rsidRPr="004E3EBB">
        <w:rPr>
          <w:rFonts w:hint="eastAsia"/>
          <w:b/>
          <w:bCs/>
        </w:rPr>
        <w:t xml:space="preserve">第四条 </w:t>
      </w:r>
      <w:r>
        <w:t>本指导意见所称文化企业无形资产评估，是指资产评估</w:t>
      </w:r>
      <w:proofErr w:type="gramStart"/>
      <w:r>
        <w:t>师依据</w:t>
      </w:r>
      <w:proofErr w:type="gramEnd"/>
      <w:r>
        <w:t>相关法律、法规和资产评估准则，对文化企业无形资产的价值进行分析、估算并发表专业意见的行</w:t>
      </w:r>
      <w:r>
        <w:rPr>
          <w:rFonts w:hint="eastAsia"/>
        </w:rPr>
        <w:t>为和过程。</w:t>
      </w:r>
    </w:p>
    <w:p w14:paraId="1873B902" w14:textId="77777777" w:rsidR="001F5A09" w:rsidRDefault="001F5A09" w:rsidP="001F5A09">
      <w:pPr>
        <w:pStyle w:val="13"/>
        <w:ind w:firstLine="482"/>
      </w:pPr>
      <w:r w:rsidRPr="004E3EBB">
        <w:rPr>
          <w:rFonts w:hint="eastAsia"/>
          <w:b/>
          <w:bCs/>
        </w:rPr>
        <w:t xml:space="preserve">第五条 </w:t>
      </w:r>
      <w:r>
        <w:t>资产评估</w:t>
      </w:r>
      <w:proofErr w:type="gramStart"/>
      <w:r>
        <w:t>师执行</w:t>
      </w:r>
      <w:proofErr w:type="gramEnd"/>
      <w:r>
        <w:t>文化企业无形资产评估业务，应当遵守本指导意见。</w:t>
      </w:r>
    </w:p>
    <w:p w14:paraId="2A8D4636" w14:textId="77777777" w:rsidR="001F5A09" w:rsidRDefault="001F5A09" w:rsidP="001F5A09">
      <w:pPr>
        <w:pStyle w:val="13"/>
      </w:pPr>
      <w:r>
        <w:rPr>
          <w:rFonts w:hint="eastAsia"/>
        </w:rPr>
        <w:t>资产评估</w:t>
      </w:r>
      <w:proofErr w:type="gramStart"/>
      <w:r>
        <w:rPr>
          <w:rFonts w:hint="eastAsia"/>
        </w:rPr>
        <w:t>师执行</w:t>
      </w:r>
      <w:proofErr w:type="gramEnd"/>
      <w:r>
        <w:rPr>
          <w:rFonts w:hint="eastAsia"/>
        </w:rPr>
        <w:t>与文化企业无形资产价值估算相关的其他业务，可以参照本指导意见。</w:t>
      </w:r>
    </w:p>
    <w:p w14:paraId="08CB6036" w14:textId="77777777" w:rsidR="001F5A09" w:rsidRDefault="001F5A09" w:rsidP="001F5A09">
      <w:pPr>
        <w:pStyle w:val="13"/>
      </w:pPr>
      <w:r>
        <w:rPr>
          <w:rFonts w:hint="eastAsia"/>
        </w:rPr>
        <w:t>涉及土地使用权的评估执行相关评估准则的规定。</w:t>
      </w:r>
    </w:p>
    <w:p w14:paraId="7D369BE1" w14:textId="77777777" w:rsidR="001F5A09" w:rsidRDefault="001F5A09" w:rsidP="00AF7342">
      <w:pPr>
        <w:pStyle w:val="a9"/>
        <w:spacing w:before="62" w:after="62"/>
      </w:pPr>
      <w:r>
        <w:rPr>
          <w:rFonts w:hint="eastAsia"/>
        </w:rPr>
        <w:t>第二章</w:t>
      </w:r>
      <w:r>
        <w:t xml:space="preserve"> 基本要求</w:t>
      </w:r>
    </w:p>
    <w:p w14:paraId="330703A5" w14:textId="77777777" w:rsidR="001F5A09" w:rsidRDefault="001F5A09" w:rsidP="001F5A09">
      <w:pPr>
        <w:pStyle w:val="13"/>
        <w:ind w:firstLine="482"/>
      </w:pPr>
      <w:r w:rsidRPr="004E3EBB">
        <w:rPr>
          <w:rFonts w:hint="eastAsia"/>
          <w:b/>
          <w:bCs/>
        </w:rPr>
        <w:t xml:space="preserve">第六条 </w:t>
      </w:r>
      <w:r>
        <w:t>资产评估</w:t>
      </w:r>
      <w:proofErr w:type="gramStart"/>
      <w:r>
        <w:t>师执行</w:t>
      </w:r>
      <w:proofErr w:type="gramEnd"/>
      <w:r>
        <w:t>文化企业无形资产评估业务，应当遵守相关法律、法规和资产评估准则。</w:t>
      </w:r>
    </w:p>
    <w:p w14:paraId="2F23A2FD" w14:textId="77777777" w:rsidR="001F5A09" w:rsidRDefault="001F5A09" w:rsidP="001F5A09">
      <w:pPr>
        <w:pStyle w:val="13"/>
        <w:ind w:firstLine="482"/>
      </w:pPr>
      <w:r w:rsidRPr="004E3EBB">
        <w:rPr>
          <w:rFonts w:hint="eastAsia"/>
          <w:b/>
          <w:bCs/>
        </w:rPr>
        <w:t xml:space="preserve">第七条 </w:t>
      </w:r>
      <w:r>
        <w:t>资产评估</w:t>
      </w:r>
      <w:proofErr w:type="gramStart"/>
      <w:r>
        <w:t>师执行</w:t>
      </w:r>
      <w:proofErr w:type="gramEnd"/>
      <w:r>
        <w:t>文化企业无形资产评估业务，应当了解文化企业是提供精神产品、传播思想信息、担负文化传承使命的特殊企业，必须始终坚持把社会效益放在首位、实现社会效益和经济效益相统一，应当关注文化企业社会效益对文化企业无形资产价值的影响。</w:t>
      </w:r>
    </w:p>
    <w:p w14:paraId="053099C8" w14:textId="77777777" w:rsidR="001F5A09" w:rsidRDefault="001F5A09" w:rsidP="001F5A09">
      <w:pPr>
        <w:pStyle w:val="13"/>
        <w:ind w:firstLine="482"/>
      </w:pPr>
      <w:r w:rsidRPr="004E3EBB">
        <w:rPr>
          <w:rFonts w:hint="eastAsia"/>
          <w:b/>
          <w:bCs/>
        </w:rPr>
        <w:t xml:space="preserve">第八条 </w:t>
      </w:r>
      <w:r>
        <w:t>资产评估</w:t>
      </w:r>
      <w:proofErr w:type="gramStart"/>
      <w:r>
        <w:t>师执行</w:t>
      </w:r>
      <w:proofErr w:type="gramEnd"/>
      <w:r>
        <w:t>文化企业无形资产评估业务，应当具备文化企业无形资产评估相关的专业知识和经验，具有专业胜任能力。</w:t>
      </w:r>
    </w:p>
    <w:p w14:paraId="34884747" w14:textId="77777777" w:rsidR="001F5A09" w:rsidRDefault="001F5A09" w:rsidP="001F5A09">
      <w:pPr>
        <w:pStyle w:val="13"/>
        <w:ind w:firstLine="482"/>
      </w:pPr>
      <w:r w:rsidRPr="00E05BDA">
        <w:rPr>
          <w:rFonts w:hint="eastAsia"/>
          <w:b/>
          <w:bCs/>
        </w:rPr>
        <w:t xml:space="preserve">第九条 </w:t>
      </w:r>
      <w:r>
        <w:t>资产评估</w:t>
      </w:r>
      <w:proofErr w:type="gramStart"/>
      <w:r>
        <w:t>师执行</w:t>
      </w:r>
      <w:proofErr w:type="gramEnd"/>
      <w:r>
        <w:t>文化企业无形资产评估业务，应当恪守独立、客观、公正的原则，勤勉尽责，保持应有的职业谨慎，避免出现对评估结论具有重大影响的疏漏。</w:t>
      </w:r>
    </w:p>
    <w:p w14:paraId="6B233C6B" w14:textId="77777777" w:rsidR="001F5A09" w:rsidRDefault="001F5A09" w:rsidP="001F5A09">
      <w:pPr>
        <w:pStyle w:val="13"/>
        <w:ind w:firstLine="482"/>
      </w:pPr>
      <w:r w:rsidRPr="00E05BDA">
        <w:rPr>
          <w:rFonts w:hint="eastAsia"/>
          <w:b/>
          <w:bCs/>
        </w:rPr>
        <w:lastRenderedPageBreak/>
        <w:t xml:space="preserve">第十条 </w:t>
      </w:r>
      <w:r>
        <w:t>资产评估</w:t>
      </w:r>
      <w:proofErr w:type="gramStart"/>
      <w:r>
        <w:t>师执行</w:t>
      </w:r>
      <w:proofErr w:type="gramEnd"/>
      <w:r>
        <w:t>文化企业无形资产评估业务，应当结合经济行为类型，明确评估目的。</w:t>
      </w:r>
    </w:p>
    <w:p w14:paraId="41D1B59B" w14:textId="77777777" w:rsidR="001F5A09" w:rsidRDefault="001F5A09" w:rsidP="001F5A09">
      <w:pPr>
        <w:pStyle w:val="13"/>
      </w:pPr>
      <w:r>
        <w:rPr>
          <w:rFonts w:hint="eastAsia"/>
        </w:rPr>
        <w:t>（一）文化企业无形资产评估业务，分为单项资产评估业务中的无形资产评估和企业价值评估业务中的无形资产评估。</w:t>
      </w:r>
    </w:p>
    <w:p w14:paraId="2530C1F8" w14:textId="77777777" w:rsidR="001F5A09" w:rsidRDefault="001F5A09" w:rsidP="001F5A09">
      <w:pPr>
        <w:pStyle w:val="13"/>
      </w:pPr>
      <w:r>
        <w:rPr>
          <w:rFonts w:hint="eastAsia"/>
        </w:rPr>
        <w:t>（二）单项资产评估业务中的无形资产评估所涉及的经济行为主要包括质押、出资、转让、许可使用、财务报告、涉税和诉讼等。企业价值评估业务中的无形资产评估所涉及的经济行为主要包括改制、并购重组和清算等。</w:t>
      </w:r>
    </w:p>
    <w:p w14:paraId="5A8E0595" w14:textId="77777777" w:rsidR="001F5A09" w:rsidRDefault="001F5A09" w:rsidP="001F5A09">
      <w:pPr>
        <w:pStyle w:val="13"/>
        <w:ind w:firstLine="482"/>
      </w:pPr>
      <w:r w:rsidRPr="00E05BDA">
        <w:rPr>
          <w:rFonts w:hint="eastAsia"/>
          <w:b/>
          <w:bCs/>
        </w:rPr>
        <w:t xml:space="preserve">第十一条 </w:t>
      </w:r>
      <w:r>
        <w:t>资产评估</w:t>
      </w:r>
      <w:proofErr w:type="gramStart"/>
      <w:r>
        <w:t>师执行</w:t>
      </w:r>
      <w:proofErr w:type="gramEnd"/>
      <w:r>
        <w:t>文化企业无形资产评估业务，应当在合理考虑评估目的、市场条件、评估对象自身条件等因素的基础上，恰当选择价值类型。</w:t>
      </w:r>
    </w:p>
    <w:p w14:paraId="157911B4" w14:textId="77777777" w:rsidR="001F5A09" w:rsidRDefault="001F5A09" w:rsidP="001F5A09">
      <w:pPr>
        <w:pStyle w:val="13"/>
      </w:pPr>
      <w:r>
        <w:rPr>
          <w:rFonts w:hint="eastAsia"/>
        </w:rPr>
        <w:t>以质押为目的可以根据实际情况选择市场价值或者根据担保法等相关法律、法规以及金融监管机构的规定选择评估结论的价值类型，以出资、转让、许可使用等交易为目的一般选择市场价值或者投资价值，以财务报告为目的一般根据企业会计准则相关要求选择相应的价值类型。</w:t>
      </w:r>
    </w:p>
    <w:p w14:paraId="60A8E16F" w14:textId="77777777" w:rsidR="001F5A09" w:rsidRDefault="001F5A09" w:rsidP="001F5A09">
      <w:pPr>
        <w:pStyle w:val="13"/>
        <w:ind w:firstLine="482"/>
      </w:pPr>
      <w:r w:rsidRPr="00E05BDA">
        <w:rPr>
          <w:rFonts w:hint="eastAsia"/>
          <w:b/>
          <w:bCs/>
        </w:rPr>
        <w:t xml:space="preserve">第十二条 </w:t>
      </w:r>
      <w:r>
        <w:t>资产评估</w:t>
      </w:r>
      <w:proofErr w:type="gramStart"/>
      <w:r>
        <w:t>师执行</w:t>
      </w:r>
      <w:proofErr w:type="gramEnd"/>
      <w:r>
        <w:t>文化企业无形资产评估业务，应当合理使用评估假设和限定条件，并考虑其与价值类型的相关性。</w:t>
      </w:r>
    </w:p>
    <w:p w14:paraId="49DD3E42" w14:textId="77777777" w:rsidR="001F5A09" w:rsidRDefault="001F5A09" w:rsidP="001F5A09">
      <w:pPr>
        <w:pStyle w:val="13"/>
        <w:ind w:firstLine="482"/>
      </w:pPr>
      <w:r w:rsidRPr="00E05BDA">
        <w:rPr>
          <w:rFonts w:hint="eastAsia"/>
          <w:b/>
          <w:bCs/>
        </w:rPr>
        <w:t xml:space="preserve">第十三条 </w:t>
      </w:r>
      <w:r>
        <w:t>资产评估</w:t>
      </w:r>
      <w:proofErr w:type="gramStart"/>
      <w:r>
        <w:t>师执行</w:t>
      </w:r>
      <w:proofErr w:type="gramEnd"/>
      <w:r>
        <w:t>文化企业无形资产评估业务，应当获取必要信息，并分析信息来源的可靠性，恰当利用信息。</w:t>
      </w:r>
    </w:p>
    <w:p w14:paraId="47AA4923" w14:textId="77777777" w:rsidR="001F5A09" w:rsidRDefault="001F5A09" w:rsidP="001F5A09">
      <w:pPr>
        <w:pStyle w:val="13"/>
        <w:ind w:firstLine="482"/>
      </w:pPr>
      <w:r w:rsidRPr="00E05BDA">
        <w:rPr>
          <w:rFonts w:hint="eastAsia"/>
          <w:b/>
          <w:bCs/>
        </w:rPr>
        <w:t xml:space="preserve">第十四条 </w:t>
      </w:r>
      <w:r>
        <w:t>资产评估</w:t>
      </w:r>
      <w:proofErr w:type="gramStart"/>
      <w:r>
        <w:t>师执行</w:t>
      </w:r>
      <w:proofErr w:type="gramEnd"/>
      <w:r>
        <w:t>文化企业无形资产评估业务，涉及特殊专业知识和经验时，可以利用专家工作，但应当履行必要程序恰当利用专家工作。</w:t>
      </w:r>
    </w:p>
    <w:p w14:paraId="6AC4916A" w14:textId="77777777" w:rsidR="001F5A09" w:rsidRDefault="001F5A09" w:rsidP="00AF7342">
      <w:pPr>
        <w:pStyle w:val="a9"/>
        <w:spacing w:before="62" w:after="62"/>
      </w:pPr>
      <w:r>
        <w:rPr>
          <w:rFonts w:hint="eastAsia"/>
        </w:rPr>
        <w:t>第三章</w:t>
      </w:r>
      <w:r>
        <w:t xml:space="preserve"> 评估对象和范围</w:t>
      </w:r>
    </w:p>
    <w:p w14:paraId="120B7736" w14:textId="77777777" w:rsidR="001F5A09" w:rsidRDefault="001F5A09" w:rsidP="001F5A09">
      <w:pPr>
        <w:pStyle w:val="13"/>
        <w:ind w:firstLine="482"/>
      </w:pPr>
      <w:r w:rsidRPr="00E05BDA">
        <w:rPr>
          <w:rFonts w:hint="eastAsia"/>
          <w:b/>
          <w:bCs/>
        </w:rPr>
        <w:t xml:space="preserve">第十五条 </w:t>
      </w:r>
      <w:r>
        <w:t>资产评估</w:t>
      </w:r>
      <w:proofErr w:type="gramStart"/>
      <w:r>
        <w:t>师执行</w:t>
      </w:r>
      <w:proofErr w:type="gramEnd"/>
      <w:r>
        <w:t>文化企业无形资产评估业务，应当明确评估对象。</w:t>
      </w:r>
    </w:p>
    <w:p w14:paraId="5CE91514" w14:textId="77777777" w:rsidR="001F5A09" w:rsidRDefault="001F5A09" w:rsidP="001F5A09">
      <w:pPr>
        <w:pStyle w:val="13"/>
      </w:pPr>
      <w:r>
        <w:rPr>
          <w:rFonts w:hint="eastAsia"/>
        </w:rPr>
        <w:t>文化企业无形资产评估对象，是指文化企业无形资产的财产权益，或者特定无形资产组合的财产权益。文化企业无形资产通常包括著作权、专利权、专有技术、商标专用权、销售网络、客户关系、特许经营权、合同权益、域名和商誉等。</w:t>
      </w:r>
    </w:p>
    <w:p w14:paraId="74DA7E86" w14:textId="77777777" w:rsidR="001F5A09" w:rsidRDefault="001F5A09" w:rsidP="001F5A09">
      <w:pPr>
        <w:pStyle w:val="13"/>
      </w:pPr>
      <w:r>
        <w:rPr>
          <w:rFonts w:hint="eastAsia"/>
        </w:rPr>
        <w:t>文化企业无形资产不局限于无形资产会计科目核算的资产。符合资产评估准则关于无形资产定义的资产，均可以构成无形资产评估对象。</w:t>
      </w:r>
    </w:p>
    <w:p w14:paraId="7D34C7D9" w14:textId="77777777" w:rsidR="001F5A09" w:rsidRDefault="001F5A09" w:rsidP="001F5A09">
      <w:pPr>
        <w:pStyle w:val="13"/>
        <w:ind w:firstLine="482"/>
      </w:pPr>
      <w:r w:rsidRPr="00E05BDA">
        <w:rPr>
          <w:rFonts w:hint="eastAsia"/>
          <w:b/>
          <w:bCs/>
        </w:rPr>
        <w:t xml:space="preserve">第十六条 </w:t>
      </w:r>
      <w:r>
        <w:t>资产评估</w:t>
      </w:r>
      <w:proofErr w:type="gramStart"/>
      <w:r>
        <w:t>师执行</w:t>
      </w:r>
      <w:proofErr w:type="gramEnd"/>
      <w:r>
        <w:t>文化企业无形资产评估业务，应当明确评估范围。</w:t>
      </w:r>
    </w:p>
    <w:p w14:paraId="6CE3C2B2" w14:textId="77777777" w:rsidR="001F5A09" w:rsidRDefault="001F5A09" w:rsidP="001F5A09">
      <w:pPr>
        <w:pStyle w:val="13"/>
      </w:pPr>
      <w:r>
        <w:rPr>
          <w:rFonts w:hint="eastAsia"/>
        </w:rPr>
        <w:t>文化企业无形资产评估范围应当服从评估对象的选择，最终确定</w:t>
      </w:r>
      <w:proofErr w:type="gramStart"/>
      <w:r>
        <w:rPr>
          <w:rFonts w:hint="eastAsia"/>
        </w:rPr>
        <w:t>权在于</w:t>
      </w:r>
      <w:proofErr w:type="gramEnd"/>
      <w:r>
        <w:rPr>
          <w:rFonts w:hint="eastAsia"/>
        </w:rPr>
        <w:t>委托方。评估机构和资产评估</w:t>
      </w:r>
      <w:proofErr w:type="gramStart"/>
      <w:r>
        <w:rPr>
          <w:rFonts w:hint="eastAsia"/>
        </w:rPr>
        <w:t>师应当</w:t>
      </w:r>
      <w:proofErr w:type="gramEnd"/>
      <w:r>
        <w:rPr>
          <w:rFonts w:hint="eastAsia"/>
        </w:rPr>
        <w:t>根据专业经验建议委托方合理确定评估范围，并在业务约定书中明确约定评估范围。</w:t>
      </w:r>
    </w:p>
    <w:p w14:paraId="78B11208" w14:textId="77777777" w:rsidR="001F5A09" w:rsidRDefault="001F5A09" w:rsidP="001F5A09">
      <w:pPr>
        <w:pStyle w:val="13"/>
        <w:ind w:firstLine="482"/>
      </w:pPr>
      <w:r w:rsidRPr="00E05BDA">
        <w:rPr>
          <w:rFonts w:hint="eastAsia"/>
          <w:b/>
          <w:bCs/>
        </w:rPr>
        <w:t xml:space="preserve">第十七条 </w:t>
      </w:r>
      <w:r>
        <w:t>资产评估</w:t>
      </w:r>
      <w:proofErr w:type="gramStart"/>
      <w:r>
        <w:t>师执行</w:t>
      </w:r>
      <w:proofErr w:type="gramEnd"/>
      <w:r>
        <w:t>文化企业价值评估业务中的无形资产评估，应当根据会计政策、企业经营等情况，对被评估企业资产负债表表内以及表外的无形资产进行识别。</w:t>
      </w:r>
    </w:p>
    <w:p w14:paraId="3C0DC859" w14:textId="77777777" w:rsidR="001F5A09" w:rsidRDefault="001F5A09" w:rsidP="001F5A09">
      <w:pPr>
        <w:pStyle w:val="13"/>
        <w:ind w:firstLine="482"/>
      </w:pPr>
      <w:r w:rsidRPr="00E05BDA">
        <w:rPr>
          <w:rFonts w:hint="eastAsia"/>
          <w:b/>
          <w:bCs/>
        </w:rPr>
        <w:t xml:space="preserve">第十八条 </w:t>
      </w:r>
      <w:r>
        <w:t>资产评估</w:t>
      </w:r>
      <w:proofErr w:type="gramStart"/>
      <w:r>
        <w:t>师执行</w:t>
      </w:r>
      <w:proofErr w:type="gramEnd"/>
      <w:r>
        <w:t>文化企业著作权资产评估业务，应当结合文化企业特</w:t>
      </w:r>
      <w:r>
        <w:lastRenderedPageBreak/>
        <w:t>点关注著作权的法律、经济、技术等特征。</w:t>
      </w:r>
    </w:p>
    <w:p w14:paraId="77CBD984" w14:textId="77777777" w:rsidR="001F5A09" w:rsidRDefault="001F5A09" w:rsidP="001F5A09">
      <w:pPr>
        <w:pStyle w:val="13"/>
      </w:pPr>
      <w:r>
        <w:rPr>
          <w:rFonts w:hint="eastAsia"/>
        </w:rPr>
        <w:t>（一）著作权财产权利包括复制权、发行权、出租权、展览权、表演权、放映权、广播权、信息网络传播权、摄制权、改编权、翻译权、汇编权以及著作权人享有的其他财产权利。</w:t>
      </w:r>
    </w:p>
    <w:p w14:paraId="62649F54" w14:textId="77777777" w:rsidR="001F5A09" w:rsidRDefault="001F5A09" w:rsidP="001F5A09">
      <w:pPr>
        <w:pStyle w:val="13"/>
      </w:pPr>
      <w:r>
        <w:rPr>
          <w:rFonts w:hint="eastAsia"/>
        </w:rPr>
        <w:t>与著作权有关的权利，包括出版者对其出版的图书和期刊的版式设计享有的权利，</w:t>
      </w:r>
      <w:r>
        <w:t>表演者对其表演享有的权利，录音录像制作者对其制作的录音录像制品享有的权利，广播电台、电视台对其制作的广播、电视节目享有的权利等。</w:t>
      </w:r>
    </w:p>
    <w:p w14:paraId="49413574" w14:textId="77777777" w:rsidR="001F5A09" w:rsidRDefault="001F5A09" w:rsidP="001F5A09">
      <w:pPr>
        <w:pStyle w:val="13"/>
      </w:pPr>
      <w:r>
        <w:rPr>
          <w:rFonts w:hint="eastAsia"/>
        </w:rPr>
        <w:t>这些权利与文化企业特定产品（作品）相关联。由于作品自身特性，并不是每一种作品都具有这些权利。</w:t>
      </w:r>
    </w:p>
    <w:p w14:paraId="65AC781B" w14:textId="77777777" w:rsidR="001F5A09" w:rsidRDefault="001F5A09" w:rsidP="001F5A09">
      <w:pPr>
        <w:pStyle w:val="13"/>
      </w:pPr>
      <w:r>
        <w:rPr>
          <w:rFonts w:hint="eastAsia"/>
        </w:rPr>
        <w:t>（二）著作权对应的作品包括以各种形式创作的文学、艺术和自然科学、社会科学、工程技术等作品，具体形式有文字作品；口述作品；音乐、戏剧、曲艺、舞蹈、杂技艺术作品；美术、建筑作品；摄影作品；电影作品和以类似摄制电影的方法创作的作品；</w:t>
      </w:r>
      <w:r>
        <w:t>工程设计图、产品设计图、地图、示意图等图形作品和模型作品；计算机软件等。与著作权有关的权利对应的作品，包括录音录像制品等。</w:t>
      </w:r>
    </w:p>
    <w:p w14:paraId="2488A343" w14:textId="77777777" w:rsidR="001F5A09" w:rsidRDefault="001F5A09" w:rsidP="001F5A09">
      <w:pPr>
        <w:pStyle w:val="13"/>
      </w:pPr>
      <w:r>
        <w:rPr>
          <w:rFonts w:hint="eastAsia"/>
        </w:rPr>
        <w:t>不同类型的文化企业所拥有的特定作品形式可能存在较大差异。这些作品在创作人员、创作流程、创作成本、传播方式、传播成本、传播范围等方面存在各自特点和差异。这些差异最终都会反映在文化企业产品的成本和收益中。</w:t>
      </w:r>
    </w:p>
    <w:p w14:paraId="28EC1A0F" w14:textId="77777777" w:rsidR="001F5A09" w:rsidRDefault="001F5A09" w:rsidP="001F5A09">
      <w:pPr>
        <w:pStyle w:val="13"/>
      </w:pPr>
      <w:r>
        <w:rPr>
          <w:rFonts w:hint="eastAsia"/>
        </w:rPr>
        <w:t>（三）文化企业著作权资产评估对象按照文化企业具体作品与著作权中各种财产权利组合的方式来表现，具体可描述为“作品名称</w:t>
      </w:r>
      <w:r>
        <w:t>+权利名称”或者“某某作品的某某权”。评估对象要与经济行为、评估目的保持一致，可能是一件作品的单项权利或者多项权利，也可能是多件作品的某一单项权利组合或者多件作品的多项权利的组合。</w:t>
      </w:r>
    </w:p>
    <w:p w14:paraId="04B06754" w14:textId="77777777" w:rsidR="001F5A09" w:rsidRDefault="001F5A09" w:rsidP="001F5A09">
      <w:pPr>
        <w:pStyle w:val="13"/>
      </w:pPr>
      <w:r>
        <w:rPr>
          <w:rFonts w:hint="eastAsia"/>
        </w:rPr>
        <w:t>（四）资产评估</w:t>
      </w:r>
      <w:proofErr w:type="gramStart"/>
      <w:r>
        <w:rPr>
          <w:rFonts w:hint="eastAsia"/>
        </w:rPr>
        <w:t>师执行</w:t>
      </w:r>
      <w:proofErr w:type="gramEnd"/>
      <w:r>
        <w:rPr>
          <w:rFonts w:hint="eastAsia"/>
        </w:rPr>
        <w:t>文化企业著作权资产评估业务，应当关注著作权的权利属性，</w:t>
      </w:r>
      <w:r>
        <w:t>区分著作权使用权和所有权。评估被许可行使的著作权，应当明确具体许可期限、许可使用范围、许可使用方式等许可内容。</w:t>
      </w:r>
    </w:p>
    <w:p w14:paraId="7E78A5A1" w14:textId="77777777" w:rsidR="001F5A09" w:rsidRDefault="001F5A09" w:rsidP="001F5A09">
      <w:pPr>
        <w:pStyle w:val="13"/>
      </w:pPr>
      <w:r>
        <w:rPr>
          <w:rFonts w:hint="eastAsia"/>
        </w:rPr>
        <w:t>（五）文化企业作品的著作权与该作品实体的物权既有联系，又有区别。作品物权转移并不必然导致该作品著作权全部或者部分财产权益的同时转移。绘画、书法、雕塑等美术作品物权是依赖于绘画、书法、雕塑等实体的承载，物权需要随实体一同转移。文化企业拥有绘画、书法、雕塑等实体作品物权，也</w:t>
      </w:r>
      <w:proofErr w:type="gramStart"/>
      <w:r>
        <w:rPr>
          <w:rFonts w:hint="eastAsia"/>
        </w:rPr>
        <w:t>不</w:t>
      </w:r>
      <w:proofErr w:type="gramEnd"/>
      <w:r>
        <w:rPr>
          <w:rFonts w:hint="eastAsia"/>
        </w:rPr>
        <w:t>必然拥有该作品的著作权。对文化企业评估涉及美术作品实体，资产评估</w:t>
      </w:r>
      <w:proofErr w:type="gramStart"/>
      <w:r>
        <w:rPr>
          <w:rFonts w:hint="eastAsia"/>
        </w:rPr>
        <w:t>师应当</w:t>
      </w:r>
      <w:proofErr w:type="gramEnd"/>
      <w:r>
        <w:rPr>
          <w:rFonts w:hint="eastAsia"/>
        </w:rPr>
        <w:t>要求委托</w:t>
      </w:r>
      <w:proofErr w:type="gramStart"/>
      <w:r>
        <w:rPr>
          <w:rFonts w:hint="eastAsia"/>
        </w:rPr>
        <w:t>方明确</w:t>
      </w:r>
      <w:proofErr w:type="gramEnd"/>
      <w:r>
        <w:rPr>
          <w:rFonts w:hint="eastAsia"/>
        </w:rPr>
        <w:t>评估对象是否包含著作权财产权益，并对委托方提供的权属证明材料进行相应查验。</w:t>
      </w:r>
    </w:p>
    <w:p w14:paraId="75770074" w14:textId="77777777" w:rsidR="001F5A09" w:rsidRDefault="001F5A09" w:rsidP="001F5A09">
      <w:pPr>
        <w:pStyle w:val="13"/>
        <w:ind w:firstLine="482"/>
      </w:pPr>
      <w:r w:rsidRPr="00E05BDA">
        <w:rPr>
          <w:rFonts w:hint="eastAsia"/>
          <w:b/>
          <w:bCs/>
        </w:rPr>
        <w:t xml:space="preserve">第十九条 </w:t>
      </w:r>
      <w:r>
        <w:t>资产评估</w:t>
      </w:r>
      <w:proofErr w:type="gramStart"/>
      <w:r>
        <w:t>师执行</w:t>
      </w:r>
      <w:proofErr w:type="gramEnd"/>
      <w:r>
        <w:t>文化企业专利、专有技术资产评估业务，应当结合文化企业特点关注专利资产、专有技术资产的法律、经济、技术等特征。</w:t>
      </w:r>
    </w:p>
    <w:p w14:paraId="715962CA" w14:textId="77777777" w:rsidR="001F5A09" w:rsidRDefault="001F5A09" w:rsidP="001F5A09">
      <w:pPr>
        <w:pStyle w:val="13"/>
      </w:pPr>
      <w:r>
        <w:rPr>
          <w:rFonts w:hint="eastAsia"/>
        </w:rPr>
        <w:t>（一）专利资产的类型通常包括发明专利、实用新型专利和外观设计专利。专有</w:t>
      </w:r>
      <w:r>
        <w:rPr>
          <w:rFonts w:hint="eastAsia"/>
        </w:rPr>
        <w:lastRenderedPageBreak/>
        <w:t>技术资产通常包括设计资料、技术规范、工艺流程、配方、图纸、数据、经营诀窍等。</w:t>
      </w:r>
    </w:p>
    <w:p w14:paraId="0D2FDAF1" w14:textId="77777777" w:rsidR="001F5A09" w:rsidRDefault="001F5A09" w:rsidP="001F5A09">
      <w:pPr>
        <w:pStyle w:val="13"/>
      </w:pPr>
      <w:r>
        <w:rPr>
          <w:rFonts w:hint="eastAsia"/>
        </w:rPr>
        <w:t>（二）资产评估</w:t>
      </w:r>
      <w:proofErr w:type="gramStart"/>
      <w:r>
        <w:rPr>
          <w:rFonts w:hint="eastAsia"/>
        </w:rPr>
        <w:t>师执行</w:t>
      </w:r>
      <w:proofErr w:type="gramEnd"/>
      <w:r>
        <w:rPr>
          <w:rFonts w:hint="eastAsia"/>
        </w:rPr>
        <w:t>文化企业专利资产评估业务，应当了解专利资产的基本状况，通常包括专利法律状态、专利名称、专利类别、专利申请的国别或者地区、专利申请号或者专利号、专利申请人或者专利权人、专利申请日、专利授权日、专利保护期、专利有效性、专利权利要求等。</w:t>
      </w:r>
    </w:p>
    <w:p w14:paraId="7FEF1741" w14:textId="77777777" w:rsidR="001F5A09" w:rsidRDefault="001F5A09" w:rsidP="001F5A09">
      <w:pPr>
        <w:pStyle w:val="13"/>
      </w:pPr>
      <w:r>
        <w:rPr>
          <w:rFonts w:hint="eastAsia"/>
        </w:rPr>
        <w:t>资产评估</w:t>
      </w:r>
      <w:proofErr w:type="gramStart"/>
      <w:r>
        <w:rPr>
          <w:rFonts w:hint="eastAsia"/>
        </w:rPr>
        <w:t>师执行</w:t>
      </w:r>
      <w:proofErr w:type="gramEnd"/>
      <w:r>
        <w:rPr>
          <w:rFonts w:hint="eastAsia"/>
        </w:rPr>
        <w:t>文化企业专有技术资产评估业务，应当结合专有技术所属技术领域的技术发展阶段和技术开发活跃程度了解其基本情况，通常包括能反映该专有技术客观存在的相关特征。</w:t>
      </w:r>
    </w:p>
    <w:p w14:paraId="125C124D" w14:textId="77777777" w:rsidR="001F5A09" w:rsidRDefault="001F5A09" w:rsidP="001F5A09">
      <w:pPr>
        <w:pStyle w:val="13"/>
      </w:pPr>
      <w:r>
        <w:rPr>
          <w:rFonts w:hint="eastAsia"/>
        </w:rPr>
        <w:t>（三）资产评估</w:t>
      </w:r>
      <w:proofErr w:type="gramStart"/>
      <w:r>
        <w:rPr>
          <w:rFonts w:hint="eastAsia"/>
        </w:rPr>
        <w:t>师执行</w:t>
      </w:r>
      <w:proofErr w:type="gramEnd"/>
      <w:r>
        <w:rPr>
          <w:rFonts w:hint="eastAsia"/>
        </w:rPr>
        <w:t>文化企业专利、专有技术资产评估业务，应当关注专利、专有技术的权利属性，区分专利、专有技术资产的使用权和所有权。评估被许可使用的专利、专有技术资产，应当明确具体许可期限、许可使用范围、许可使用方式等被许可内容。</w:t>
      </w:r>
    </w:p>
    <w:p w14:paraId="7136C6D9" w14:textId="77777777" w:rsidR="001F5A09" w:rsidRDefault="001F5A09" w:rsidP="001F5A09">
      <w:pPr>
        <w:pStyle w:val="13"/>
      </w:pPr>
      <w:r>
        <w:rPr>
          <w:rFonts w:hint="eastAsia"/>
        </w:rPr>
        <w:t>（四）资产评估</w:t>
      </w:r>
      <w:proofErr w:type="gramStart"/>
      <w:r>
        <w:rPr>
          <w:rFonts w:hint="eastAsia"/>
        </w:rPr>
        <w:t>师执行</w:t>
      </w:r>
      <w:proofErr w:type="gramEnd"/>
      <w:r>
        <w:rPr>
          <w:rFonts w:hint="eastAsia"/>
        </w:rPr>
        <w:t>文化企业专利、专有技术资产评估业务，应当关注该专利、专有技术的实施情况，及其在文化企业产业链中的作用与地位。</w:t>
      </w:r>
    </w:p>
    <w:p w14:paraId="5D77597B" w14:textId="77777777" w:rsidR="001F5A09" w:rsidRDefault="001F5A09" w:rsidP="001F5A09">
      <w:pPr>
        <w:pStyle w:val="13"/>
      </w:pPr>
      <w:r>
        <w:rPr>
          <w:rFonts w:hint="eastAsia"/>
        </w:rPr>
        <w:t>例如，资产评估</w:t>
      </w:r>
      <w:proofErr w:type="gramStart"/>
      <w:r>
        <w:rPr>
          <w:rFonts w:hint="eastAsia"/>
        </w:rPr>
        <w:t>师执行</w:t>
      </w:r>
      <w:proofErr w:type="gramEnd"/>
      <w:r>
        <w:rPr>
          <w:rFonts w:hint="eastAsia"/>
        </w:rPr>
        <w:t>互联网信息服务企业专利、专有技术资产评估，应当关注技术的竞争优势，及其与企业超额收益的关系。</w:t>
      </w:r>
    </w:p>
    <w:p w14:paraId="46B0BE31" w14:textId="77777777" w:rsidR="001F5A09" w:rsidRDefault="001F5A09" w:rsidP="001F5A09">
      <w:pPr>
        <w:pStyle w:val="13"/>
      </w:pPr>
      <w:r>
        <w:rPr>
          <w:rFonts w:hint="eastAsia"/>
        </w:rPr>
        <w:t>（五）资产评估</w:t>
      </w:r>
      <w:proofErr w:type="gramStart"/>
      <w:r>
        <w:rPr>
          <w:rFonts w:hint="eastAsia"/>
        </w:rPr>
        <w:t>师执行</w:t>
      </w:r>
      <w:proofErr w:type="gramEnd"/>
      <w:r>
        <w:rPr>
          <w:rFonts w:hint="eastAsia"/>
        </w:rPr>
        <w:t>文化企业专利、专有技术资产评估业务，评估对象可以采用单项专利、专有技术资产的形式，也可以采用专利、专有技术资产组合的形式。资产评估</w:t>
      </w:r>
      <w:proofErr w:type="gramStart"/>
      <w:r>
        <w:rPr>
          <w:rFonts w:hint="eastAsia"/>
        </w:rPr>
        <w:t>师应当</w:t>
      </w:r>
      <w:proofErr w:type="gramEnd"/>
      <w:r>
        <w:rPr>
          <w:rFonts w:hint="eastAsia"/>
        </w:rPr>
        <w:t>要求委托方根据评估目的、评估对象的具体情况对无形资产进行合理分离或者合并，恰当选择评估对象的具体形式。</w:t>
      </w:r>
    </w:p>
    <w:p w14:paraId="057D36F8" w14:textId="77777777" w:rsidR="001F5A09" w:rsidRDefault="001F5A09" w:rsidP="001F5A09">
      <w:pPr>
        <w:pStyle w:val="13"/>
      </w:pPr>
      <w:r>
        <w:rPr>
          <w:rFonts w:hint="eastAsia"/>
        </w:rPr>
        <w:t>例如，资产评估</w:t>
      </w:r>
      <w:proofErr w:type="gramStart"/>
      <w:r>
        <w:rPr>
          <w:rFonts w:hint="eastAsia"/>
        </w:rPr>
        <w:t>师执行</w:t>
      </w:r>
      <w:proofErr w:type="gramEnd"/>
      <w:r>
        <w:rPr>
          <w:rFonts w:hint="eastAsia"/>
        </w:rPr>
        <w:t>广播电视电影服务企业专利、专有技术资产评估，涉及互联网数据传输、存储、防盗链等专利、专有技术资产时，应当根据评估目的、评估对象的具体情况，对专利和专有技术资产进行分类、整合，并在此基础上恰当采取单项专利或者专利组合、单项专有技术资产或者专有技术资产组合、专利与专有技术资产组合的形式进行评估。</w:t>
      </w:r>
    </w:p>
    <w:p w14:paraId="2FB2816A" w14:textId="77777777" w:rsidR="001F5A09" w:rsidRDefault="001F5A09" w:rsidP="001F5A09">
      <w:pPr>
        <w:pStyle w:val="13"/>
        <w:ind w:firstLine="482"/>
      </w:pPr>
      <w:r w:rsidRPr="00E05BDA">
        <w:rPr>
          <w:rFonts w:hint="eastAsia"/>
          <w:b/>
          <w:bCs/>
        </w:rPr>
        <w:t xml:space="preserve">第二十条 </w:t>
      </w:r>
      <w:r>
        <w:t>资产评估</w:t>
      </w:r>
      <w:proofErr w:type="gramStart"/>
      <w:r>
        <w:t>师执行</w:t>
      </w:r>
      <w:proofErr w:type="gramEnd"/>
      <w:r>
        <w:t>文化企业商标资产评估业务，应当结合文化企业特点关注商标的法律、经济、技术等特征。</w:t>
      </w:r>
    </w:p>
    <w:p w14:paraId="6E1B979F" w14:textId="77777777" w:rsidR="001F5A09" w:rsidRDefault="001F5A09" w:rsidP="001F5A09">
      <w:pPr>
        <w:pStyle w:val="13"/>
      </w:pPr>
      <w:r>
        <w:rPr>
          <w:rFonts w:hint="eastAsia"/>
        </w:rPr>
        <w:t>（一）资产评估</w:t>
      </w:r>
      <w:proofErr w:type="gramStart"/>
      <w:r>
        <w:rPr>
          <w:rFonts w:hint="eastAsia"/>
        </w:rPr>
        <w:t>师执行</w:t>
      </w:r>
      <w:proofErr w:type="gramEnd"/>
      <w:r>
        <w:rPr>
          <w:rFonts w:hint="eastAsia"/>
        </w:rPr>
        <w:t>文化企业商标资产评估业务，应当结合商标注册资料，了解商标的基本状况，通常包括商标的图案、文字、注册号、注册期限、核准的注册类别，</w:t>
      </w:r>
      <w:r>
        <w:t>以及商标注册、转让和继承程序办理情况等。</w:t>
      </w:r>
    </w:p>
    <w:p w14:paraId="33949FFB" w14:textId="77777777" w:rsidR="001F5A09" w:rsidRDefault="001F5A09" w:rsidP="001F5A09">
      <w:pPr>
        <w:pStyle w:val="13"/>
      </w:pPr>
      <w:r>
        <w:rPr>
          <w:rFonts w:hint="eastAsia"/>
        </w:rPr>
        <w:t>（二）资产评估</w:t>
      </w:r>
      <w:proofErr w:type="gramStart"/>
      <w:r>
        <w:rPr>
          <w:rFonts w:hint="eastAsia"/>
        </w:rPr>
        <w:t>师执行</w:t>
      </w:r>
      <w:proofErr w:type="gramEnd"/>
      <w:r>
        <w:rPr>
          <w:rFonts w:hint="eastAsia"/>
        </w:rPr>
        <w:t>文化企业商标资产评估业务，应当关注商标的权利属性，区分商标专用权和商标许可权。评估商标许可权应当明确该权利的具体许可期限、许可使用范围、许可使用方式等被许可内容。</w:t>
      </w:r>
    </w:p>
    <w:p w14:paraId="67CA2557" w14:textId="77777777" w:rsidR="001F5A09" w:rsidRDefault="001F5A09" w:rsidP="001F5A09">
      <w:pPr>
        <w:pStyle w:val="13"/>
      </w:pPr>
      <w:r>
        <w:rPr>
          <w:rFonts w:hint="eastAsia"/>
        </w:rPr>
        <w:t>（三）资产评估</w:t>
      </w:r>
      <w:proofErr w:type="gramStart"/>
      <w:r>
        <w:rPr>
          <w:rFonts w:hint="eastAsia"/>
        </w:rPr>
        <w:t>师执行</w:t>
      </w:r>
      <w:proofErr w:type="gramEnd"/>
      <w:r>
        <w:rPr>
          <w:rFonts w:hint="eastAsia"/>
        </w:rPr>
        <w:t>文化企业商标资产评估业务，应当关注商标的使用情况，</w:t>
      </w:r>
      <w:r>
        <w:rPr>
          <w:rFonts w:hint="eastAsia"/>
        </w:rPr>
        <w:lastRenderedPageBreak/>
        <w:t>以及使用该商标的产品或者服务的经营情况。</w:t>
      </w:r>
    </w:p>
    <w:p w14:paraId="51076D8B" w14:textId="77777777" w:rsidR="001F5A09" w:rsidRDefault="001F5A09" w:rsidP="001F5A09">
      <w:pPr>
        <w:pStyle w:val="13"/>
      </w:pPr>
      <w:r>
        <w:rPr>
          <w:rFonts w:hint="eastAsia"/>
        </w:rPr>
        <w:t>（四）资产评估</w:t>
      </w:r>
      <w:proofErr w:type="gramStart"/>
      <w:r>
        <w:rPr>
          <w:rFonts w:hint="eastAsia"/>
        </w:rPr>
        <w:t>师执行</w:t>
      </w:r>
      <w:proofErr w:type="gramEnd"/>
      <w:r>
        <w:rPr>
          <w:rFonts w:hint="eastAsia"/>
        </w:rPr>
        <w:t>文化企业商标资产评估业务，评估对象可以是某一项商标，</w:t>
      </w:r>
      <w:r>
        <w:t>也可以是某一项商标与防御商标、扩展商标等相关商标组合的形式。</w:t>
      </w:r>
    </w:p>
    <w:p w14:paraId="25025FC4" w14:textId="77777777" w:rsidR="001F5A09" w:rsidRDefault="001F5A09" w:rsidP="001F5A09">
      <w:pPr>
        <w:pStyle w:val="13"/>
        <w:ind w:firstLine="482"/>
      </w:pPr>
      <w:r w:rsidRPr="00E05BDA">
        <w:rPr>
          <w:rFonts w:hint="eastAsia"/>
          <w:b/>
          <w:bCs/>
        </w:rPr>
        <w:t xml:space="preserve">第二十一条 </w:t>
      </w:r>
      <w:r>
        <w:t>资产评估</w:t>
      </w:r>
      <w:proofErr w:type="gramStart"/>
      <w:r>
        <w:t>师执行</w:t>
      </w:r>
      <w:proofErr w:type="gramEnd"/>
      <w:r>
        <w:t>文化企业其他无形资产评估业务，应当结合文化企业特点，对纳入评估范围的其他各类无形资产的法律、经济、技术等特征进行调查、分析。</w:t>
      </w:r>
    </w:p>
    <w:p w14:paraId="672095C0" w14:textId="77777777" w:rsidR="001F5A09" w:rsidRDefault="001F5A09" w:rsidP="001F5A09">
      <w:pPr>
        <w:pStyle w:val="13"/>
      </w:pPr>
      <w:r>
        <w:rPr>
          <w:rFonts w:hint="eastAsia"/>
        </w:rPr>
        <w:t>（一）销售网络是企业为了销售产品或者服务而与其他企业进行合作所建立的能够持续发挥作用并且带来经济利益的文化传播渠道。</w:t>
      </w:r>
    </w:p>
    <w:p w14:paraId="681DE5C0" w14:textId="77777777" w:rsidR="001F5A09" w:rsidRDefault="001F5A09" w:rsidP="001F5A09">
      <w:pPr>
        <w:pStyle w:val="13"/>
      </w:pPr>
      <w:r>
        <w:rPr>
          <w:rFonts w:hint="eastAsia"/>
        </w:rPr>
        <w:t>例如，文艺创作与表演企业通过与旅行社建立合作关系，从而提高客流量，则该企业可能存在销售网络无形资产。</w:t>
      </w:r>
    </w:p>
    <w:p w14:paraId="5E03F261" w14:textId="77777777" w:rsidR="001F5A09" w:rsidRDefault="001F5A09" w:rsidP="001F5A09">
      <w:pPr>
        <w:pStyle w:val="13"/>
      </w:pPr>
      <w:r>
        <w:rPr>
          <w:rFonts w:hint="eastAsia"/>
        </w:rPr>
        <w:t>资产评估</w:t>
      </w:r>
      <w:proofErr w:type="gramStart"/>
      <w:r>
        <w:rPr>
          <w:rFonts w:hint="eastAsia"/>
        </w:rPr>
        <w:t>师执行</w:t>
      </w:r>
      <w:proofErr w:type="gramEnd"/>
      <w:r>
        <w:rPr>
          <w:rFonts w:hint="eastAsia"/>
        </w:rPr>
        <w:t>文化企业销售网络资产评估业务，应当了解销售网络资产的构成和规模、使用情况等，重点关注企业与渠道成员之间的合作方式、权利和义务的约定事项、市场竞争的合法合</w:t>
      </w:r>
      <w:proofErr w:type="gramStart"/>
      <w:r>
        <w:rPr>
          <w:rFonts w:hint="eastAsia"/>
        </w:rPr>
        <w:t>规</w:t>
      </w:r>
      <w:proofErr w:type="gramEnd"/>
      <w:r>
        <w:rPr>
          <w:rFonts w:hint="eastAsia"/>
        </w:rPr>
        <w:t>性、销售网络的经济贡献等。</w:t>
      </w:r>
    </w:p>
    <w:p w14:paraId="58766833" w14:textId="77777777" w:rsidR="001F5A09" w:rsidRDefault="001F5A09" w:rsidP="001F5A09">
      <w:pPr>
        <w:pStyle w:val="13"/>
      </w:pPr>
      <w:r>
        <w:rPr>
          <w:rFonts w:hint="eastAsia"/>
        </w:rPr>
        <w:t>（二）客户关系是企业与供应商、顾客等客户建立的能够持续发挥作用并且带来经济利益的往来关系。</w:t>
      </w:r>
    </w:p>
    <w:p w14:paraId="51885B1F" w14:textId="77777777" w:rsidR="001F5A09" w:rsidRDefault="001F5A09" w:rsidP="001F5A09">
      <w:pPr>
        <w:pStyle w:val="13"/>
      </w:pPr>
      <w:r>
        <w:rPr>
          <w:rFonts w:hint="eastAsia"/>
        </w:rPr>
        <w:t>例如，新闻出版发行服务企业通过成立读书俱乐部，形成稳定的客户群，并获得收益，则该企业可能存在客户关系无形资产。</w:t>
      </w:r>
    </w:p>
    <w:p w14:paraId="771C91FE" w14:textId="77777777" w:rsidR="001F5A09" w:rsidRDefault="001F5A09" w:rsidP="001F5A09">
      <w:pPr>
        <w:pStyle w:val="13"/>
      </w:pPr>
      <w:r>
        <w:rPr>
          <w:rFonts w:hint="eastAsia"/>
        </w:rPr>
        <w:t>资产评估</w:t>
      </w:r>
      <w:proofErr w:type="gramStart"/>
      <w:r>
        <w:rPr>
          <w:rFonts w:hint="eastAsia"/>
        </w:rPr>
        <w:t>师执行</w:t>
      </w:r>
      <w:proofErr w:type="gramEnd"/>
      <w:r>
        <w:rPr>
          <w:rFonts w:hint="eastAsia"/>
        </w:rPr>
        <w:t>文化企业客户关系资产评估业务，应当了解企业在开发新客户和维护老客户方面所采取的措施、客户的统计资料和流失情况、市场竞争的合法性、客户关系的经济贡献等。</w:t>
      </w:r>
    </w:p>
    <w:p w14:paraId="1E19C665" w14:textId="77777777" w:rsidR="001F5A09" w:rsidRDefault="001F5A09" w:rsidP="001F5A09">
      <w:pPr>
        <w:pStyle w:val="13"/>
      </w:pPr>
      <w:r>
        <w:rPr>
          <w:rFonts w:hint="eastAsia"/>
        </w:rPr>
        <w:t>（三）特许经营权是特许人与被特许人约定授予被特许人在一定地区、一定期限内生产经营某项业务，或者使用某项著作权、商标、专利、专有技术等资产，并且能够获取额外经济利益的权利。特许经营权可以分为独占许可、独家许可和普通许可。</w:t>
      </w:r>
    </w:p>
    <w:p w14:paraId="5DDCD3C0" w14:textId="77777777" w:rsidR="001F5A09" w:rsidRDefault="001F5A09" w:rsidP="001F5A09">
      <w:pPr>
        <w:pStyle w:val="13"/>
      </w:pPr>
      <w:r>
        <w:rPr>
          <w:rFonts w:hint="eastAsia"/>
        </w:rPr>
        <w:t>资产评估</w:t>
      </w:r>
      <w:proofErr w:type="gramStart"/>
      <w:r>
        <w:rPr>
          <w:rFonts w:hint="eastAsia"/>
        </w:rPr>
        <w:t>师执行</w:t>
      </w:r>
      <w:proofErr w:type="gramEnd"/>
      <w:r>
        <w:rPr>
          <w:rFonts w:hint="eastAsia"/>
        </w:rPr>
        <w:t>文化企业特许经营</w:t>
      </w:r>
      <w:proofErr w:type="gramStart"/>
      <w:r>
        <w:rPr>
          <w:rFonts w:hint="eastAsia"/>
        </w:rPr>
        <w:t>权资产</w:t>
      </w:r>
      <w:proofErr w:type="gramEnd"/>
      <w:r>
        <w:rPr>
          <w:rFonts w:hint="eastAsia"/>
        </w:rPr>
        <w:t>评估业务，应当了解特许经营权的性质，</w:t>
      </w:r>
      <w:r>
        <w:t>许可方式、许可年限和许可范围等约定事项，以及特许经营权的实施成本和效益等。</w:t>
      </w:r>
    </w:p>
    <w:p w14:paraId="7BB45C64" w14:textId="77777777" w:rsidR="001F5A09" w:rsidRDefault="001F5A09" w:rsidP="001F5A09">
      <w:pPr>
        <w:pStyle w:val="13"/>
      </w:pPr>
      <w:r>
        <w:rPr>
          <w:rFonts w:hint="eastAsia"/>
        </w:rPr>
        <w:t>（四）合同权益是企业因为签订了租赁合同、劳务性合同、供应合同、销售合同等长期合同而在约定期限内所获得的连续性经济利益。</w:t>
      </w:r>
    </w:p>
    <w:p w14:paraId="51495AE5" w14:textId="77777777" w:rsidR="001F5A09" w:rsidRDefault="001F5A09" w:rsidP="001F5A09">
      <w:pPr>
        <w:pStyle w:val="13"/>
      </w:pPr>
      <w:r>
        <w:rPr>
          <w:rFonts w:hint="eastAsia"/>
        </w:rPr>
        <w:t>例如，当文化软件服务企业开发网络游戏的核心技术团队成为企业获得持续竞争优势的关键因素，企业与核心技术团队人员签订长期劳动合同，并明确约定了竞业限制条款，则该企业可能存在合同权益无形资产。</w:t>
      </w:r>
    </w:p>
    <w:p w14:paraId="0630D2B2" w14:textId="77777777" w:rsidR="001F5A09" w:rsidRDefault="001F5A09" w:rsidP="001F5A09">
      <w:pPr>
        <w:pStyle w:val="13"/>
      </w:pPr>
      <w:r>
        <w:rPr>
          <w:rFonts w:hint="eastAsia"/>
        </w:rPr>
        <w:t>资产评估</w:t>
      </w:r>
      <w:proofErr w:type="gramStart"/>
      <w:r>
        <w:rPr>
          <w:rFonts w:hint="eastAsia"/>
        </w:rPr>
        <w:t>师执行</w:t>
      </w:r>
      <w:proofErr w:type="gramEnd"/>
      <w:r>
        <w:rPr>
          <w:rFonts w:hint="eastAsia"/>
        </w:rPr>
        <w:t>文化企业合同权益资产评估业务，应当了解合同的类别、合同期限、约定的权利与义务等基本条款、法律上的有效性、履约风险、合同权益的贡献等。</w:t>
      </w:r>
    </w:p>
    <w:p w14:paraId="1A0F9F6D" w14:textId="77777777" w:rsidR="001F5A09" w:rsidRDefault="001F5A09" w:rsidP="001F5A09">
      <w:pPr>
        <w:pStyle w:val="13"/>
      </w:pPr>
      <w:r>
        <w:rPr>
          <w:rFonts w:hint="eastAsia"/>
        </w:rPr>
        <w:t>（五）域名是互联网上的一个服务器或者一个网络系统的名字，在世界范围内具</w:t>
      </w:r>
      <w:r>
        <w:rPr>
          <w:rFonts w:hint="eastAsia"/>
        </w:rPr>
        <w:lastRenderedPageBreak/>
        <w:t>有唯一性。企业在互联网上注册域名，可以成为宣传自己的产品和服务，并进行电子商务等商业活动的标志。域名和商标一样属于营销类的无形资产。</w:t>
      </w:r>
    </w:p>
    <w:p w14:paraId="6463EB3E" w14:textId="77777777" w:rsidR="001F5A09" w:rsidRDefault="001F5A09" w:rsidP="001F5A09">
      <w:pPr>
        <w:pStyle w:val="13"/>
      </w:pPr>
      <w:r>
        <w:rPr>
          <w:rFonts w:hint="eastAsia"/>
        </w:rPr>
        <w:t>资产评估</w:t>
      </w:r>
      <w:proofErr w:type="gramStart"/>
      <w:r>
        <w:rPr>
          <w:rFonts w:hint="eastAsia"/>
        </w:rPr>
        <w:t>师执行</w:t>
      </w:r>
      <w:proofErr w:type="gramEnd"/>
      <w:r>
        <w:rPr>
          <w:rFonts w:hint="eastAsia"/>
        </w:rPr>
        <w:t>文化企业域名资产评估业务，应当了解域名资产的组成结构和主体词汇等基本特征、取得情况、权属状况、使用情况等。</w:t>
      </w:r>
    </w:p>
    <w:p w14:paraId="684490C6" w14:textId="77777777" w:rsidR="001F5A09" w:rsidRDefault="001F5A09" w:rsidP="001F5A09">
      <w:pPr>
        <w:pStyle w:val="13"/>
      </w:pPr>
      <w:r>
        <w:rPr>
          <w:rFonts w:hint="eastAsia"/>
        </w:rPr>
        <w:t>（六）商誉是企业整体声誉的体现，是不可辨认无形资产，不能离开企业单独存在。在不同的财务报告或者税收制度下，商誉可能被赋予不同的定义。</w:t>
      </w:r>
    </w:p>
    <w:p w14:paraId="2972E14F" w14:textId="77777777" w:rsidR="001F5A09" w:rsidRDefault="001F5A09" w:rsidP="001F5A09">
      <w:pPr>
        <w:pStyle w:val="13"/>
      </w:pPr>
      <w:r>
        <w:rPr>
          <w:rFonts w:hint="eastAsia"/>
        </w:rPr>
        <w:t>资产评估</w:t>
      </w:r>
      <w:proofErr w:type="gramStart"/>
      <w:r>
        <w:rPr>
          <w:rFonts w:hint="eastAsia"/>
        </w:rPr>
        <w:t>师执行</w:t>
      </w:r>
      <w:proofErr w:type="gramEnd"/>
      <w:r>
        <w:rPr>
          <w:rFonts w:hint="eastAsia"/>
        </w:rPr>
        <w:t>文化企业商誉资产评估业务，应当了解商誉资产的定义和内涵、取得方式、形成原因、与可辨认资产之间的相互关系以及可辨认资产的使用情况等。</w:t>
      </w:r>
    </w:p>
    <w:p w14:paraId="373A6453" w14:textId="77777777" w:rsidR="001F5A09" w:rsidRDefault="001F5A09" w:rsidP="001F5A09">
      <w:pPr>
        <w:pStyle w:val="13"/>
        <w:ind w:firstLine="482"/>
      </w:pPr>
      <w:r w:rsidRPr="00E05BDA">
        <w:rPr>
          <w:rFonts w:hint="eastAsia"/>
          <w:b/>
          <w:bCs/>
        </w:rPr>
        <w:t xml:space="preserve">第二十二条 </w:t>
      </w:r>
      <w:r>
        <w:t>资产评估</w:t>
      </w:r>
      <w:proofErr w:type="gramStart"/>
      <w:r>
        <w:t>师执行</w:t>
      </w:r>
      <w:proofErr w:type="gramEnd"/>
      <w:r>
        <w:t>文化企业无形资产评估业务，应当根据被评估企业所属行业特征和资产对企业价值的贡献方式、表现形式等情况，合理识别和界定无形资产类别。</w:t>
      </w:r>
    </w:p>
    <w:p w14:paraId="562788B6" w14:textId="77777777" w:rsidR="001F5A09" w:rsidRDefault="001F5A09" w:rsidP="001F5A09">
      <w:pPr>
        <w:pStyle w:val="13"/>
      </w:pPr>
      <w:r>
        <w:rPr>
          <w:rFonts w:hint="eastAsia"/>
        </w:rPr>
        <w:t>人力资源作为文化企业资源的组成部分，通常纳入商誉范畴进行评估。人力资源在特定情形下也可能表现为经纪服务合同约定的权益。</w:t>
      </w:r>
    </w:p>
    <w:p w14:paraId="45B48FAC" w14:textId="77777777" w:rsidR="001F5A09" w:rsidRDefault="001F5A09" w:rsidP="001F5A09">
      <w:pPr>
        <w:pStyle w:val="13"/>
      </w:pPr>
      <w:r>
        <w:rPr>
          <w:rFonts w:hint="eastAsia"/>
        </w:rPr>
        <w:t>例如，影视企业与著名导演、演员等签署的经纪服务合同，该类合同权益属于可辨认无形资产。</w:t>
      </w:r>
    </w:p>
    <w:p w14:paraId="3AF8A65B" w14:textId="77777777" w:rsidR="001F5A09" w:rsidRDefault="001F5A09" w:rsidP="00AF7342">
      <w:pPr>
        <w:pStyle w:val="a9"/>
        <w:spacing w:before="62" w:after="62"/>
      </w:pPr>
      <w:r>
        <w:rPr>
          <w:rFonts w:hint="eastAsia"/>
        </w:rPr>
        <w:t>第四章</w:t>
      </w:r>
      <w:r>
        <w:t xml:space="preserve"> 操作要求</w:t>
      </w:r>
    </w:p>
    <w:p w14:paraId="7012C7F9" w14:textId="77777777" w:rsidR="001F5A09" w:rsidRDefault="001F5A09" w:rsidP="001F5A09">
      <w:pPr>
        <w:pStyle w:val="13"/>
        <w:ind w:firstLine="482"/>
      </w:pPr>
      <w:r w:rsidRPr="00E05BDA">
        <w:rPr>
          <w:rFonts w:hint="eastAsia"/>
          <w:b/>
          <w:bCs/>
        </w:rPr>
        <w:t xml:space="preserve">第二十三条 </w:t>
      </w:r>
      <w:r>
        <w:t>资产评估</w:t>
      </w:r>
      <w:proofErr w:type="gramStart"/>
      <w:r>
        <w:t>师执行</w:t>
      </w:r>
      <w:proofErr w:type="gramEnd"/>
      <w:r>
        <w:t>文化企业无形资产评估业务，应当结合文化企业特点，关注社会环境、宏观经济政策、产业政策、法律保护状况、市场竞争状况、经营条件、生产能力、文化差异、产品（作品）类型等各项因素对无形资产效能发挥的制约和激励作用，及其对无形资产价值产生的影响。</w:t>
      </w:r>
    </w:p>
    <w:p w14:paraId="1B8E9046" w14:textId="77777777" w:rsidR="001F5A09" w:rsidRDefault="001F5A09" w:rsidP="001F5A09">
      <w:pPr>
        <w:pStyle w:val="13"/>
      </w:pPr>
      <w:r>
        <w:rPr>
          <w:rFonts w:hint="eastAsia"/>
        </w:rPr>
        <w:t>例如，评估文化企业无形资产，应当关注不同类型的文化企业在政治导向、文化创作生产和服务、受众反应、社会影响、内部制度和队伍建设等方面产生的社会效益对其无形资产价值的影响。</w:t>
      </w:r>
    </w:p>
    <w:p w14:paraId="474187CC" w14:textId="77777777" w:rsidR="001F5A09" w:rsidRDefault="001F5A09" w:rsidP="001F5A09">
      <w:pPr>
        <w:pStyle w:val="13"/>
      </w:pPr>
      <w:r>
        <w:rPr>
          <w:rFonts w:hint="eastAsia"/>
        </w:rPr>
        <w:t>例如，评估著作权财产权益时，同一作品权益在不同的文化企业运营模式下，可能会有不同的盈利模式，从而获得不同的经济价值。不同作品类型自身特点差异，有其特定的传播规律，造成在法律监管、艺术表现、技术支持方面的差异，进而影响其获利方式、成本构成、经济寿命等。不同财产权益体现了对作品的不同利用方式，这些利用方式受技术发展水平的制约，从而影响财产权益价值。</w:t>
      </w:r>
    </w:p>
    <w:p w14:paraId="38038A0E" w14:textId="77777777" w:rsidR="001F5A09" w:rsidRDefault="001F5A09" w:rsidP="001F5A09">
      <w:pPr>
        <w:pStyle w:val="13"/>
        <w:ind w:firstLine="482"/>
      </w:pPr>
      <w:r w:rsidRPr="00E05BDA">
        <w:rPr>
          <w:rFonts w:hint="eastAsia"/>
          <w:b/>
          <w:bCs/>
        </w:rPr>
        <w:t xml:space="preserve">第二十四条 </w:t>
      </w:r>
      <w:r>
        <w:t>资产评估</w:t>
      </w:r>
      <w:proofErr w:type="gramStart"/>
      <w:r>
        <w:t>师执行</w:t>
      </w:r>
      <w:proofErr w:type="gramEnd"/>
      <w:r>
        <w:t>文化企业无形资产评估业务，应当结合无形资产的特点，重点关注影响被评估无形资产价值的主要因素。</w:t>
      </w:r>
    </w:p>
    <w:p w14:paraId="7AD418F8" w14:textId="77777777" w:rsidR="001F5A09" w:rsidRDefault="001F5A09" w:rsidP="001F5A09">
      <w:pPr>
        <w:pStyle w:val="13"/>
      </w:pPr>
      <w:r>
        <w:rPr>
          <w:rFonts w:hint="eastAsia"/>
        </w:rPr>
        <w:t>（一）影响著作权资产价值的主要因素包括：著作权财产权利类型、权利属性、作品特征、内容导向、收益方式、传播情况等。</w:t>
      </w:r>
    </w:p>
    <w:p w14:paraId="35CED2C9" w14:textId="77777777" w:rsidR="001F5A09" w:rsidRDefault="001F5A09" w:rsidP="001F5A09">
      <w:pPr>
        <w:pStyle w:val="13"/>
      </w:pPr>
      <w:r>
        <w:rPr>
          <w:rFonts w:hint="eastAsia"/>
        </w:rPr>
        <w:t>（二）影响专利和专有技术资产价值的主要因素包括：专利的法律保护状况、专有技术的保密情况、专利和专有技术的技术特征、权利属性、实施情况、所实施产品</w:t>
      </w:r>
      <w:r>
        <w:rPr>
          <w:rFonts w:hint="eastAsia"/>
        </w:rPr>
        <w:lastRenderedPageBreak/>
        <w:t>或者服务的经营情况等。</w:t>
      </w:r>
    </w:p>
    <w:p w14:paraId="5A794A0D" w14:textId="77777777" w:rsidR="001F5A09" w:rsidRDefault="001F5A09" w:rsidP="001F5A09">
      <w:pPr>
        <w:pStyle w:val="13"/>
      </w:pPr>
      <w:r>
        <w:rPr>
          <w:rFonts w:hint="eastAsia"/>
        </w:rPr>
        <w:t>（三）影响商标资产价值的主要因素包括：商标注册情况，权利属性，市场影响力，</w:t>
      </w:r>
      <w:r>
        <w:t>使用该商标的产品或者服务的经营情况，广告宣传状况等。</w:t>
      </w:r>
    </w:p>
    <w:p w14:paraId="7A1AB72D" w14:textId="77777777" w:rsidR="001F5A09" w:rsidRDefault="001F5A09" w:rsidP="001F5A09">
      <w:pPr>
        <w:pStyle w:val="13"/>
      </w:pPr>
      <w:r>
        <w:rPr>
          <w:rFonts w:hint="eastAsia"/>
        </w:rPr>
        <w:t>（四）影响销售网络价值的主要因素包括：销售网络的构成和范围、销售网络的运行效率等。</w:t>
      </w:r>
    </w:p>
    <w:p w14:paraId="6DF22D1C" w14:textId="77777777" w:rsidR="001F5A09" w:rsidRDefault="001F5A09" w:rsidP="001F5A09">
      <w:pPr>
        <w:pStyle w:val="13"/>
      </w:pPr>
      <w:r>
        <w:rPr>
          <w:rFonts w:hint="eastAsia"/>
        </w:rPr>
        <w:t>（五）影响文化企业客户关系价值的主要因素包括：客户构成、消费偏好和消费能力、对企业的忠诚度等。</w:t>
      </w:r>
    </w:p>
    <w:p w14:paraId="7EB97D6F" w14:textId="77777777" w:rsidR="001F5A09" w:rsidRDefault="001F5A09" w:rsidP="001F5A09">
      <w:pPr>
        <w:pStyle w:val="13"/>
      </w:pPr>
      <w:r>
        <w:rPr>
          <w:rFonts w:hint="eastAsia"/>
        </w:rPr>
        <w:t>（六）影响文化企业特许经营</w:t>
      </w:r>
      <w:proofErr w:type="gramStart"/>
      <w:r>
        <w:rPr>
          <w:rFonts w:hint="eastAsia"/>
        </w:rPr>
        <w:t>权价值</w:t>
      </w:r>
      <w:proofErr w:type="gramEnd"/>
      <w:r>
        <w:rPr>
          <w:rFonts w:hint="eastAsia"/>
        </w:rPr>
        <w:t>的主要因素包括：特许经营方式、许可经营期限与范围、许可双方权利与义务、许可费率以及支付方式等。</w:t>
      </w:r>
    </w:p>
    <w:p w14:paraId="2D0E0BAE" w14:textId="77777777" w:rsidR="001F5A09" w:rsidRDefault="001F5A09" w:rsidP="001F5A09">
      <w:pPr>
        <w:pStyle w:val="13"/>
      </w:pPr>
      <w:r>
        <w:rPr>
          <w:rFonts w:hint="eastAsia"/>
        </w:rPr>
        <w:t>（七）影响以合同权益方式体现的文化企业人力资源的价值的主要因素包括：合同的合法性、公平性、服务期限、合同约定的激励措施、保密条款、竞业禁止条件等。</w:t>
      </w:r>
    </w:p>
    <w:p w14:paraId="0EE2CB89" w14:textId="77777777" w:rsidR="001F5A09" w:rsidRDefault="001F5A09" w:rsidP="001F5A09">
      <w:pPr>
        <w:pStyle w:val="13"/>
      </w:pPr>
      <w:r>
        <w:rPr>
          <w:rFonts w:hint="eastAsia"/>
        </w:rPr>
        <w:t>（八）影响文化企业域名价值的主要因素包括：域名的种类、网站的访问量、与该域名相关的业务发展情况、潜在的需求者等。</w:t>
      </w:r>
    </w:p>
    <w:p w14:paraId="2DA6F886" w14:textId="77777777" w:rsidR="001F5A09" w:rsidRDefault="001F5A09" w:rsidP="001F5A09">
      <w:pPr>
        <w:pStyle w:val="13"/>
      </w:pPr>
      <w:r>
        <w:rPr>
          <w:rFonts w:hint="eastAsia"/>
        </w:rPr>
        <w:t>（九）影响文化企业商誉价值的主要因素包括：商誉的定义、形成方式和构成要素，重点关注企业是否存在优越的地理位置、高素质的专业团队、丰富的生产经营经验、科学而健全的管理制度、高效的组织机构、优质的产品和服务、积极的企业文化、良好的社会关系等。</w:t>
      </w:r>
    </w:p>
    <w:p w14:paraId="7998F788" w14:textId="77777777" w:rsidR="001F5A09" w:rsidRDefault="001F5A09" w:rsidP="001F5A09">
      <w:pPr>
        <w:pStyle w:val="13"/>
        <w:ind w:firstLine="482"/>
      </w:pPr>
      <w:r w:rsidRPr="00E05BDA">
        <w:rPr>
          <w:rFonts w:hint="eastAsia"/>
          <w:b/>
          <w:bCs/>
        </w:rPr>
        <w:t xml:space="preserve">第二十五条 </w:t>
      </w:r>
      <w:r>
        <w:t>资产评估</w:t>
      </w:r>
      <w:proofErr w:type="gramStart"/>
      <w:r>
        <w:t>师执行</w:t>
      </w:r>
      <w:proofErr w:type="gramEnd"/>
      <w:r>
        <w:t>文化企业无形资产评估业务，应当针对不同类型的无形资产分别收集相关资料，通常包括：</w:t>
      </w:r>
    </w:p>
    <w:p w14:paraId="7C5D07DA" w14:textId="77777777" w:rsidR="001F5A09" w:rsidRDefault="001F5A09" w:rsidP="001F5A09">
      <w:pPr>
        <w:pStyle w:val="13"/>
      </w:pPr>
      <w:r>
        <w:rPr>
          <w:rFonts w:hint="eastAsia"/>
        </w:rPr>
        <w:t>（一）无形资产清查评估明细表；</w:t>
      </w:r>
    </w:p>
    <w:p w14:paraId="18032252" w14:textId="77777777" w:rsidR="001F5A09" w:rsidRDefault="001F5A09" w:rsidP="001F5A09">
      <w:pPr>
        <w:pStyle w:val="13"/>
      </w:pPr>
      <w:r>
        <w:rPr>
          <w:rFonts w:hint="eastAsia"/>
        </w:rPr>
        <w:t>（二）无形资产法律保护状况资料；</w:t>
      </w:r>
    </w:p>
    <w:p w14:paraId="4B485B76" w14:textId="77777777" w:rsidR="001F5A09" w:rsidRDefault="001F5A09" w:rsidP="001F5A09">
      <w:pPr>
        <w:pStyle w:val="13"/>
      </w:pPr>
      <w:r>
        <w:rPr>
          <w:rFonts w:hint="eastAsia"/>
        </w:rPr>
        <w:t>（三）无形资产权利人基本情况；</w:t>
      </w:r>
    </w:p>
    <w:p w14:paraId="31E99622" w14:textId="77777777" w:rsidR="001F5A09" w:rsidRDefault="001F5A09" w:rsidP="001F5A09">
      <w:pPr>
        <w:pStyle w:val="13"/>
      </w:pPr>
      <w:r>
        <w:rPr>
          <w:rFonts w:hint="eastAsia"/>
        </w:rPr>
        <w:t>（四）无形资产的具体内容和使用情况；</w:t>
      </w:r>
    </w:p>
    <w:p w14:paraId="69316F24" w14:textId="77777777" w:rsidR="001F5A09" w:rsidRDefault="001F5A09" w:rsidP="001F5A09">
      <w:pPr>
        <w:pStyle w:val="13"/>
      </w:pPr>
      <w:r>
        <w:rPr>
          <w:rFonts w:hint="eastAsia"/>
        </w:rPr>
        <w:t>（五）无形资产质押情况资料；</w:t>
      </w:r>
    </w:p>
    <w:p w14:paraId="28819B49" w14:textId="77777777" w:rsidR="001F5A09" w:rsidRDefault="001F5A09" w:rsidP="001F5A09">
      <w:pPr>
        <w:pStyle w:val="13"/>
      </w:pPr>
      <w:r>
        <w:rPr>
          <w:rFonts w:hint="eastAsia"/>
        </w:rPr>
        <w:t>（六）无形资产取得成本和历史收益情况资料；</w:t>
      </w:r>
    </w:p>
    <w:p w14:paraId="0F2F05E1" w14:textId="77777777" w:rsidR="001F5A09" w:rsidRDefault="001F5A09" w:rsidP="001F5A09">
      <w:pPr>
        <w:pStyle w:val="13"/>
      </w:pPr>
      <w:r>
        <w:rPr>
          <w:rFonts w:hint="eastAsia"/>
        </w:rPr>
        <w:t>（七）无形资产收益期和预期收益情况资料；</w:t>
      </w:r>
    </w:p>
    <w:p w14:paraId="1A0151B9" w14:textId="77777777" w:rsidR="001F5A09" w:rsidRDefault="001F5A09" w:rsidP="001F5A09">
      <w:pPr>
        <w:pStyle w:val="13"/>
      </w:pPr>
      <w:r>
        <w:rPr>
          <w:rFonts w:hint="eastAsia"/>
        </w:rPr>
        <w:t>（八）无形资产以往交易情况以及评估情况资料；</w:t>
      </w:r>
    </w:p>
    <w:p w14:paraId="3FA8D689" w14:textId="77777777" w:rsidR="001F5A09" w:rsidRDefault="001F5A09" w:rsidP="001F5A09">
      <w:pPr>
        <w:pStyle w:val="13"/>
      </w:pPr>
      <w:r>
        <w:rPr>
          <w:rFonts w:hint="eastAsia"/>
        </w:rPr>
        <w:t>（九）无形资产实施过程中涉及的政治、经济和法律环境等方面的资料。</w:t>
      </w:r>
    </w:p>
    <w:p w14:paraId="4B3B25AD" w14:textId="77777777" w:rsidR="001F5A09" w:rsidRDefault="001F5A09" w:rsidP="001F5A09">
      <w:pPr>
        <w:pStyle w:val="13"/>
        <w:ind w:firstLine="482"/>
      </w:pPr>
      <w:r w:rsidRPr="00E05BDA">
        <w:rPr>
          <w:rFonts w:hint="eastAsia"/>
          <w:b/>
          <w:bCs/>
        </w:rPr>
        <w:t xml:space="preserve">第二十六条 </w:t>
      </w:r>
      <w:r>
        <w:t>资产评估</w:t>
      </w:r>
      <w:proofErr w:type="gramStart"/>
      <w:r>
        <w:t>师执行</w:t>
      </w:r>
      <w:proofErr w:type="gramEnd"/>
      <w:r>
        <w:t>文化企业无形资产评估业务，应当根据具体情况选择查验资料、访谈、函证、现场查勘等方式，对各类无形资产以及无形资产实施情况进行调查，重点关注影响无形资产价值的各项因素，并对无形资产的权属状况、使用状况等进行调查。</w:t>
      </w:r>
    </w:p>
    <w:p w14:paraId="37214ADF" w14:textId="77777777" w:rsidR="001F5A09" w:rsidRDefault="001F5A09" w:rsidP="001F5A09">
      <w:pPr>
        <w:pStyle w:val="13"/>
        <w:ind w:firstLine="482"/>
      </w:pPr>
      <w:r w:rsidRPr="00E05BDA">
        <w:rPr>
          <w:rFonts w:hint="eastAsia"/>
          <w:b/>
          <w:bCs/>
        </w:rPr>
        <w:t xml:space="preserve">第二十七条 </w:t>
      </w:r>
      <w:r>
        <w:t>资产评估</w:t>
      </w:r>
      <w:proofErr w:type="gramStart"/>
      <w:r>
        <w:t>师执行</w:t>
      </w:r>
      <w:proofErr w:type="gramEnd"/>
      <w:r>
        <w:t>文化企业无形资产评估业务，应当根据评估目的，恰当考虑各类无形资产评估业务的特点和要求。</w:t>
      </w:r>
    </w:p>
    <w:p w14:paraId="13420B81" w14:textId="77777777" w:rsidR="001F5A09" w:rsidRDefault="001F5A09" w:rsidP="001F5A09">
      <w:pPr>
        <w:pStyle w:val="13"/>
      </w:pPr>
      <w:r>
        <w:rPr>
          <w:rFonts w:hint="eastAsia"/>
        </w:rPr>
        <w:lastRenderedPageBreak/>
        <w:t>（一）资产评估</w:t>
      </w:r>
      <w:proofErr w:type="gramStart"/>
      <w:r>
        <w:rPr>
          <w:rFonts w:hint="eastAsia"/>
        </w:rPr>
        <w:t>师执行</w:t>
      </w:r>
      <w:proofErr w:type="gramEnd"/>
      <w:r>
        <w:rPr>
          <w:rFonts w:hint="eastAsia"/>
        </w:rPr>
        <w:t>以质押为目的的文化企业无形资产评估业务，应当分析判断拟用于质押的无形资产是否符合相关法律法规的要求，了解借款人和贷款人对不同时点的无形资产价值的需求差异，分析此期间借款人经济、法律、技术等特定环境条件变化情况，审慎选定无形资产利用方式得出持续创造现金流的能力。</w:t>
      </w:r>
    </w:p>
    <w:p w14:paraId="67C01A12" w14:textId="77777777" w:rsidR="001F5A09" w:rsidRDefault="001F5A09" w:rsidP="001F5A09">
      <w:pPr>
        <w:pStyle w:val="13"/>
      </w:pPr>
      <w:r>
        <w:rPr>
          <w:rFonts w:hint="eastAsia"/>
        </w:rPr>
        <w:t>（二）资产评估</w:t>
      </w:r>
      <w:proofErr w:type="gramStart"/>
      <w:r>
        <w:rPr>
          <w:rFonts w:hint="eastAsia"/>
        </w:rPr>
        <w:t>师执行</w:t>
      </w:r>
      <w:proofErr w:type="gramEnd"/>
      <w:r>
        <w:rPr>
          <w:rFonts w:hint="eastAsia"/>
        </w:rPr>
        <w:t>以出资或者企业改制为目的的文化企业无形资产评估业务，</w:t>
      </w:r>
      <w:r>
        <w:t>应当分析判断拟用作出资的无形资产是否符合相关法律法规的要求，区分评估结论是作 为注册资本金折算依据，还是仅用于验证注册资本金与所有者权益账面价值之间的关系。如果以评估结论核定资本金，应当尽可能地对重要无形资产进行逐项辨认，并单独进行</w:t>
      </w:r>
      <w:r>
        <w:rPr>
          <w:rFonts w:hint="eastAsia"/>
        </w:rPr>
        <w:t>评估。</w:t>
      </w:r>
    </w:p>
    <w:p w14:paraId="4FB505F2" w14:textId="77777777" w:rsidR="001F5A09" w:rsidRDefault="001F5A09" w:rsidP="001F5A09">
      <w:pPr>
        <w:pStyle w:val="13"/>
      </w:pPr>
      <w:r>
        <w:rPr>
          <w:rFonts w:hint="eastAsia"/>
        </w:rPr>
        <w:t>（三）资产评估</w:t>
      </w:r>
      <w:proofErr w:type="gramStart"/>
      <w:r>
        <w:rPr>
          <w:rFonts w:hint="eastAsia"/>
        </w:rPr>
        <w:t>师执行</w:t>
      </w:r>
      <w:proofErr w:type="gramEnd"/>
      <w:r>
        <w:rPr>
          <w:rFonts w:hint="eastAsia"/>
        </w:rPr>
        <w:t>以出资、转让、许可使用等交易或者企业并购为目的的文化企业无形资产评估业务，应当关注未来权利人的利用方案，评估报告中是否存在评估假设的经济、法律、技术等特定环境与未来应用状况不匹配的情形，合理确定无形资产价值。</w:t>
      </w:r>
    </w:p>
    <w:p w14:paraId="6EB1F3D8" w14:textId="77777777" w:rsidR="001F5A09" w:rsidRDefault="001F5A09" w:rsidP="001F5A09">
      <w:pPr>
        <w:pStyle w:val="13"/>
      </w:pPr>
      <w:r>
        <w:rPr>
          <w:rFonts w:hint="eastAsia"/>
        </w:rPr>
        <w:t>（四）资产评估</w:t>
      </w:r>
      <w:proofErr w:type="gramStart"/>
      <w:r>
        <w:rPr>
          <w:rFonts w:hint="eastAsia"/>
        </w:rPr>
        <w:t>师执行</w:t>
      </w:r>
      <w:proofErr w:type="gramEnd"/>
      <w:r>
        <w:rPr>
          <w:rFonts w:hint="eastAsia"/>
        </w:rPr>
        <w:t>以财务报告为目的的文化企业无形资产评估业务，在确信总体价值合理的基础上，以及重要无形资产明确辨认和单独评估的情形下，可以视情况采用简便的方法对其他各类无形资产进行合理分析。</w:t>
      </w:r>
    </w:p>
    <w:p w14:paraId="3BE4AAFE" w14:textId="77777777" w:rsidR="001F5A09" w:rsidRDefault="001F5A09" w:rsidP="001F5A09">
      <w:pPr>
        <w:pStyle w:val="13"/>
        <w:ind w:firstLine="482"/>
      </w:pPr>
      <w:r w:rsidRPr="00E05BDA">
        <w:rPr>
          <w:rFonts w:hint="eastAsia"/>
          <w:b/>
          <w:bCs/>
        </w:rPr>
        <w:t xml:space="preserve">第二十八条 </w:t>
      </w:r>
      <w:r>
        <w:t>资产评估</w:t>
      </w:r>
      <w:proofErr w:type="gramStart"/>
      <w:r>
        <w:t>师执行</w:t>
      </w:r>
      <w:proofErr w:type="gramEnd"/>
      <w:r>
        <w:t>文化企业无形资产评估业务，应当分析判断被评估无形资产是否与其他资产共同发挥作用。</w:t>
      </w:r>
    </w:p>
    <w:p w14:paraId="4E80A020" w14:textId="77777777" w:rsidR="001F5A09" w:rsidRDefault="001F5A09" w:rsidP="001F5A09">
      <w:pPr>
        <w:pStyle w:val="13"/>
      </w:pPr>
      <w:r>
        <w:rPr>
          <w:rFonts w:hint="eastAsia"/>
        </w:rPr>
        <w:t>如果被评估无形资产与其他资产共同发挥作用，应当合理确定该无形资产的贡献，</w:t>
      </w:r>
      <w:r>
        <w:t>或者区分并剔除与该无形资产无关的资产的贡献。</w:t>
      </w:r>
    </w:p>
    <w:p w14:paraId="378BBAE6" w14:textId="77777777" w:rsidR="001F5A09" w:rsidRDefault="001F5A09" w:rsidP="001F5A09">
      <w:pPr>
        <w:pStyle w:val="13"/>
      </w:pPr>
      <w:r>
        <w:rPr>
          <w:rFonts w:hint="eastAsia"/>
        </w:rPr>
        <w:t>如果被评估无形资产是无形资产组合，在不影响资产组合整体评估结论的前提下，</w:t>
      </w:r>
      <w:r>
        <w:t>可以不区分无形资产组合内部各项无形资产的贡献。</w:t>
      </w:r>
    </w:p>
    <w:p w14:paraId="068DEA24" w14:textId="77777777" w:rsidR="001F5A09" w:rsidRDefault="001F5A09" w:rsidP="001F5A09">
      <w:pPr>
        <w:pStyle w:val="13"/>
        <w:ind w:firstLine="482"/>
      </w:pPr>
      <w:r w:rsidRPr="00E05BDA">
        <w:rPr>
          <w:rFonts w:hint="eastAsia"/>
          <w:b/>
          <w:bCs/>
        </w:rPr>
        <w:t xml:space="preserve">第二十九条 </w:t>
      </w:r>
      <w:r>
        <w:t>资产评估</w:t>
      </w:r>
      <w:proofErr w:type="gramStart"/>
      <w:r>
        <w:t>师执行</w:t>
      </w:r>
      <w:proofErr w:type="gramEnd"/>
      <w:r>
        <w:t>文化企业无形资产评估业务，应当关注创造和维护文化企业无形资产的主体是否存在分离现象。对创造和维护主体分离的情形，应当综合考虑各方的成本投入情况、相关权利和义务的约定等价值分割依据，合理确定无形资产各</w:t>
      </w:r>
      <w:proofErr w:type="gramStart"/>
      <w:r>
        <w:t>类权利</w:t>
      </w:r>
      <w:proofErr w:type="gramEnd"/>
      <w:r>
        <w:t>人的合法权益。</w:t>
      </w:r>
    </w:p>
    <w:p w14:paraId="0D5C1FBA" w14:textId="77777777" w:rsidR="001F5A09" w:rsidRDefault="001F5A09" w:rsidP="001F5A09">
      <w:pPr>
        <w:pStyle w:val="13"/>
      </w:pPr>
      <w:r>
        <w:rPr>
          <w:rFonts w:hint="eastAsia"/>
        </w:rPr>
        <w:t>例如，评估商标资产价值，当商标的注册人和使用者分属于不同的主体时，应当考虑商标使用者所投入的维护成本对商标资产价值的贡献。</w:t>
      </w:r>
    </w:p>
    <w:p w14:paraId="2239E256" w14:textId="77777777" w:rsidR="001F5A09" w:rsidRDefault="001F5A09" w:rsidP="001F5A09">
      <w:pPr>
        <w:pStyle w:val="13"/>
        <w:ind w:firstLine="482"/>
      </w:pPr>
      <w:r w:rsidRPr="00E05BDA">
        <w:rPr>
          <w:rFonts w:hint="eastAsia"/>
          <w:b/>
          <w:bCs/>
        </w:rPr>
        <w:t xml:space="preserve">第三十条 </w:t>
      </w:r>
      <w:r>
        <w:t>资产评估</w:t>
      </w:r>
      <w:proofErr w:type="gramStart"/>
      <w:r>
        <w:t>师执行</w:t>
      </w:r>
      <w:proofErr w:type="gramEnd"/>
      <w:r>
        <w:t>文化企业无形资产评估业务，应当结合无形资产实施或者拟实施企业的经营状况进行评估。对于尚未实施的无形资产，可以利用专业机构出具的专业报告作为评估依据。</w:t>
      </w:r>
    </w:p>
    <w:p w14:paraId="21ACC6D3" w14:textId="77777777" w:rsidR="001F5A09" w:rsidRDefault="001F5A09" w:rsidP="00AF7342">
      <w:pPr>
        <w:pStyle w:val="a9"/>
        <w:spacing w:before="62" w:after="62"/>
      </w:pPr>
      <w:r>
        <w:rPr>
          <w:rFonts w:hint="eastAsia"/>
        </w:rPr>
        <w:t>第五章</w:t>
      </w:r>
      <w:r>
        <w:t xml:space="preserve"> 评估方法</w:t>
      </w:r>
    </w:p>
    <w:p w14:paraId="7C544E5C" w14:textId="77777777" w:rsidR="001F5A09" w:rsidRDefault="001F5A09" w:rsidP="001F5A09">
      <w:pPr>
        <w:pStyle w:val="13"/>
        <w:ind w:firstLine="482"/>
      </w:pPr>
      <w:r w:rsidRPr="003B2FB1">
        <w:rPr>
          <w:rFonts w:hint="eastAsia"/>
          <w:b/>
          <w:bCs/>
        </w:rPr>
        <w:t xml:space="preserve">第三十一条 </w:t>
      </w:r>
      <w:r>
        <w:t>资产评估</w:t>
      </w:r>
      <w:proofErr w:type="gramStart"/>
      <w:r>
        <w:t>师执行</w:t>
      </w:r>
      <w:proofErr w:type="gramEnd"/>
      <w:r>
        <w:t>文化企业无形资产评估业务，应当根据评估目的、评估对象、价值类型、资料收集情况等相关条件，分析收益法、市场法和成本法三种</w:t>
      </w:r>
      <w:r>
        <w:lastRenderedPageBreak/>
        <w:t>资产评估基本方法的适用性，恰当选择一种或者多种资产评估方法。</w:t>
      </w:r>
    </w:p>
    <w:p w14:paraId="494F2B17" w14:textId="77777777" w:rsidR="001F5A09" w:rsidRDefault="001F5A09" w:rsidP="001F5A09">
      <w:pPr>
        <w:pStyle w:val="13"/>
        <w:ind w:firstLine="482"/>
      </w:pPr>
      <w:r w:rsidRPr="003B2FB1">
        <w:rPr>
          <w:rFonts w:hint="eastAsia"/>
          <w:b/>
          <w:bCs/>
        </w:rPr>
        <w:t xml:space="preserve">第三十二条 </w:t>
      </w:r>
      <w:r>
        <w:t>资产评估</w:t>
      </w:r>
      <w:proofErr w:type="gramStart"/>
      <w:r>
        <w:t>师采用</w:t>
      </w:r>
      <w:proofErr w:type="gramEnd"/>
      <w:r>
        <w:t>各种方法评估文化企业无形资产，应当关注文化企业</w:t>
      </w:r>
      <w:r>
        <w:rPr>
          <w:rFonts w:hint="eastAsia"/>
        </w:rPr>
        <w:t>社会效益对相关参数的影响。不同类型的文化企业对社会效益的重视程度和管理效果可能不同，进而影响该企业的持续经营能力，最终将反映在无形资产未来收益规模、风险水平和经济寿命年限等评估参数上。</w:t>
      </w:r>
    </w:p>
    <w:p w14:paraId="7D34DB02" w14:textId="77777777" w:rsidR="001F5A09" w:rsidRDefault="001F5A09" w:rsidP="001F5A09">
      <w:pPr>
        <w:pStyle w:val="13"/>
        <w:ind w:firstLine="482"/>
      </w:pPr>
      <w:r w:rsidRPr="003B2FB1">
        <w:rPr>
          <w:rFonts w:hint="eastAsia"/>
          <w:b/>
          <w:bCs/>
        </w:rPr>
        <w:t xml:space="preserve">第三十三条 </w:t>
      </w:r>
      <w:r>
        <w:t>资产评估</w:t>
      </w:r>
      <w:proofErr w:type="gramStart"/>
      <w:r>
        <w:t>师采用</w:t>
      </w:r>
      <w:proofErr w:type="gramEnd"/>
      <w:r>
        <w:t>收益法评估文化企业无形资产，应当合理确定无形资产的收益期限以及未来收益水平。</w:t>
      </w:r>
    </w:p>
    <w:p w14:paraId="6FC2CAC5" w14:textId="77777777" w:rsidR="001F5A09" w:rsidRDefault="001F5A09" w:rsidP="001F5A09">
      <w:pPr>
        <w:pStyle w:val="13"/>
      </w:pPr>
      <w:r>
        <w:rPr>
          <w:rFonts w:hint="eastAsia"/>
        </w:rPr>
        <w:t>（一）确定文化企业无形资产收益期限，应当综合考虑无形资产对应的产品和服务的经济寿命期限、相关法律保护期限、合同约定期限和被评估企业及其所属行业的发展状况等影响因素。</w:t>
      </w:r>
    </w:p>
    <w:p w14:paraId="1EE9C8E7" w14:textId="77777777" w:rsidR="001F5A09" w:rsidRDefault="001F5A09" w:rsidP="001F5A09">
      <w:pPr>
        <w:pStyle w:val="13"/>
      </w:pPr>
      <w:r>
        <w:rPr>
          <w:rFonts w:hint="eastAsia"/>
        </w:rPr>
        <w:t>资产评估</w:t>
      </w:r>
      <w:proofErr w:type="gramStart"/>
      <w:r>
        <w:rPr>
          <w:rFonts w:hint="eastAsia"/>
        </w:rPr>
        <w:t>师应当</w:t>
      </w:r>
      <w:proofErr w:type="gramEnd"/>
      <w:r>
        <w:rPr>
          <w:rFonts w:hint="eastAsia"/>
        </w:rPr>
        <w:t>了解，大部分文化产品和服务具有生命周期短、重复利用价值低的特征。如果对应的无形资产不能用于开发其他新产品和服务，则无形资产的经济寿命期限不会超过该文化产品和服务的经济寿命期限。</w:t>
      </w:r>
    </w:p>
    <w:p w14:paraId="09CCF799" w14:textId="77777777" w:rsidR="001F5A09" w:rsidRDefault="001F5A09" w:rsidP="001F5A09">
      <w:pPr>
        <w:pStyle w:val="13"/>
      </w:pPr>
      <w:r>
        <w:rPr>
          <w:rFonts w:hint="eastAsia"/>
        </w:rPr>
        <w:t>资产评估</w:t>
      </w:r>
      <w:proofErr w:type="gramStart"/>
      <w:r>
        <w:rPr>
          <w:rFonts w:hint="eastAsia"/>
        </w:rPr>
        <w:t>师应当</w:t>
      </w:r>
      <w:proofErr w:type="gramEnd"/>
      <w:r>
        <w:rPr>
          <w:rFonts w:hint="eastAsia"/>
        </w:rPr>
        <w:t>分析无形资产权利人在维持和创造无形资产方面所具有的资金、技术、固定资产、人力资源和外部环境等条件，确定各类无形资产的持续收益时间。</w:t>
      </w:r>
    </w:p>
    <w:p w14:paraId="17436C78" w14:textId="77777777" w:rsidR="001F5A09" w:rsidRDefault="001F5A09" w:rsidP="001F5A09">
      <w:pPr>
        <w:pStyle w:val="13"/>
      </w:pPr>
      <w:r>
        <w:rPr>
          <w:rFonts w:hint="eastAsia"/>
        </w:rPr>
        <w:t>（二）预测文化企业无形资产收益，可以通过节省许可费、收益分成、增量收益或者超额收益等方式。</w:t>
      </w:r>
    </w:p>
    <w:p w14:paraId="10A500CD" w14:textId="77777777" w:rsidR="001F5A09" w:rsidRDefault="001F5A09" w:rsidP="001F5A09">
      <w:pPr>
        <w:pStyle w:val="13"/>
      </w:pPr>
      <w:r>
        <w:rPr>
          <w:rFonts w:hint="eastAsia"/>
        </w:rPr>
        <w:t>（三）预测文化企业无形资产未来收益，应当考虑文化企业运营模式、产品和服务的类型对无形资产收益的影响。</w:t>
      </w:r>
    </w:p>
    <w:p w14:paraId="251C7DB5" w14:textId="77777777" w:rsidR="001F5A09" w:rsidRDefault="001F5A09" w:rsidP="001F5A09">
      <w:pPr>
        <w:pStyle w:val="13"/>
      </w:pPr>
      <w:r>
        <w:rPr>
          <w:rFonts w:hint="eastAsia"/>
        </w:rPr>
        <w:t>在不同的运营模式下，无形资产可能会有不同的盈利模式，从而获得不同的收益。通常情形下，资产评估</w:t>
      </w:r>
      <w:proofErr w:type="gramStart"/>
      <w:r>
        <w:rPr>
          <w:rFonts w:hint="eastAsia"/>
        </w:rPr>
        <w:t>师应当</w:t>
      </w:r>
      <w:proofErr w:type="gramEnd"/>
      <w:r>
        <w:rPr>
          <w:rFonts w:hint="eastAsia"/>
        </w:rPr>
        <w:t>按照无形资产权利人的经济、技术、法律等特定环境条件考虑无形资产的使用方式。当无形资产使用方式不受所处环境限制时，资产评估师可以设定无形资产处于最佳使用方式。资产评估</w:t>
      </w:r>
      <w:proofErr w:type="gramStart"/>
      <w:r>
        <w:rPr>
          <w:rFonts w:hint="eastAsia"/>
        </w:rPr>
        <w:t>师应当</w:t>
      </w:r>
      <w:proofErr w:type="gramEnd"/>
      <w:r>
        <w:rPr>
          <w:rFonts w:hint="eastAsia"/>
        </w:rPr>
        <w:t>知晓，商标、商誉等无形资产通常和企业密不可分，其盈利模式与权利人的生产经营条件密切相关，通常按照权利人的使用方式考虑其价值。</w:t>
      </w:r>
    </w:p>
    <w:p w14:paraId="510F5C4C" w14:textId="77777777" w:rsidR="001F5A09" w:rsidRDefault="001F5A09" w:rsidP="001F5A09">
      <w:pPr>
        <w:pStyle w:val="13"/>
      </w:pPr>
      <w:r>
        <w:rPr>
          <w:rFonts w:hint="eastAsia"/>
        </w:rPr>
        <w:t>文化企业主要进行文化内容的创作与传播，内容是文化产品的核心。不同类型文化产品和服务由于自身特点，在创作目的、内容载体、创作人员、创作成本、创作流程、传播方式、传播成本、传播范围等方面都可能存在差异，进而影响收益范围和收益水平。</w:t>
      </w:r>
    </w:p>
    <w:p w14:paraId="5554BDC1" w14:textId="77777777" w:rsidR="001F5A09" w:rsidRDefault="001F5A09" w:rsidP="001F5A09">
      <w:pPr>
        <w:pStyle w:val="13"/>
      </w:pPr>
      <w:r>
        <w:rPr>
          <w:rFonts w:hint="eastAsia"/>
        </w:rPr>
        <w:t>例如，预测电影作品著作权收益，除宏观经济环境、产业政策等因素外，需要考虑该电影作品类型、制片人、导演、演员、剧本、以及制作人员对电影作品的影响，同时考虑发行方、院线、放映场次和档期等因素。电影作品制作投资高并不必然产生高的票房收入。对于已经播映过的电影作品，需要关注信息网络传播渠道可能产生的收益，形成衍生产品的可能性及其收益。</w:t>
      </w:r>
    </w:p>
    <w:p w14:paraId="2F006F67" w14:textId="77777777" w:rsidR="001F5A09" w:rsidRDefault="001F5A09" w:rsidP="001F5A09">
      <w:pPr>
        <w:pStyle w:val="13"/>
      </w:pPr>
      <w:r>
        <w:rPr>
          <w:rFonts w:hint="eastAsia"/>
        </w:rPr>
        <w:lastRenderedPageBreak/>
        <w:t>（四）预测文化企业无形资产未来收益，应当考虑文化产品和服务的价格、文化基础设施的建设、公众的收入水平、文化素质、闲暇时间等因素对文化产品和服务市场需求的影响，合理确定文化产品和服务的收入。</w:t>
      </w:r>
    </w:p>
    <w:p w14:paraId="3EBE9789" w14:textId="77777777" w:rsidR="001F5A09" w:rsidRDefault="001F5A09" w:rsidP="001F5A09">
      <w:pPr>
        <w:pStyle w:val="13"/>
      </w:pPr>
      <w:r>
        <w:rPr>
          <w:rFonts w:hint="eastAsia"/>
        </w:rPr>
        <w:t>（五）预测文化企业无形资产未来收益，应当考虑文化产品和服务具有高固定成本和传播边际成本递减等特点，合理确定文化产品和服务的成本。</w:t>
      </w:r>
    </w:p>
    <w:p w14:paraId="30C849CC" w14:textId="77777777" w:rsidR="001F5A09" w:rsidRDefault="001F5A09" w:rsidP="001F5A09">
      <w:pPr>
        <w:pStyle w:val="13"/>
      </w:pPr>
      <w:r>
        <w:rPr>
          <w:rFonts w:hint="eastAsia"/>
        </w:rPr>
        <w:t>（六）预测文化企业无形资产未来收益，应当考虑无形资产在不同阶段的获利能力差异。</w:t>
      </w:r>
    </w:p>
    <w:p w14:paraId="0EC3E796" w14:textId="77777777" w:rsidR="001F5A09" w:rsidRDefault="001F5A09" w:rsidP="001F5A09">
      <w:pPr>
        <w:pStyle w:val="13"/>
      </w:pPr>
      <w:r>
        <w:rPr>
          <w:rFonts w:hint="eastAsia"/>
        </w:rPr>
        <w:t>例如，著作权的盈利能力通常在产出初期高于后期衍生权益阶段，后期衍生著作权收益中可能包括前期原创著作权应分享的收益。</w:t>
      </w:r>
    </w:p>
    <w:p w14:paraId="0C981C1E" w14:textId="77777777" w:rsidR="001F5A09" w:rsidRDefault="001F5A09" w:rsidP="001F5A09">
      <w:pPr>
        <w:pStyle w:val="13"/>
      </w:pPr>
      <w:r>
        <w:rPr>
          <w:rFonts w:hint="eastAsia"/>
        </w:rPr>
        <w:t>（七）预测文化企业无形资产未来收益，应当结合行业特征考虑无形资产对文化产品和服务收益的贡献程度。在难以直接区分或者没有必要区分各类无形资产收益贡献的情况下，可以综合预测多种无形资产的共同收益。</w:t>
      </w:r>
    </w:p>
    <w:p w14:paraId="427B6E56" w14:textId="77777777" w:rsidR="001F5A09" w:rsidRDefault="001F5A09" w:rsidP="001F5A09">
      <w:pPr>
        <w:pStyle w:val="13"/>
      </w:pPr>
      <w:r>
        <w:rPr>
          <w:rFonts w:hint="eastAsia"/>
        </w:rPr>
        <w:t>（八）预测文化企业无形资产未来收益，应当区分文化企业整体收益与无形资产对应的文化产品和服务的收益。文化产品和服务的收益取决于该文化产品和服务的盈利能力，文化企业整体收益取决于不断开发和传播新的文化产品和服务的能力。</w:t>
      </w:r>
    </w:p>
    <w:p w14:paraId="14449F01" w14:textId="77777777" w:rsidR="001F5A09" w:rsidRDefault="001F5A09" w:rsidP="001F5A09">
      <w:pPr>
        <w:pStyle w:val="13"/>
      </w:pPr>
      <w:r>
        <w:rPr>
          <w:rFonts w:hint="eastAsia"/>
        </w:rPr>
        <w:t>例如，广播电视电影服务企业主要依靠制作电影、电视剧并通过发行、放映、信息网络传播等方式获得收益。此类企业的电影、电视剧作品制作能力受到被评估企业品牌、资金规模、剧本储备、签约艺人、专业管理人员等因素的影响。传播能力受宏观经济环境、行业发展趋势、院线放映能力、电视台频道资源、信息网络平台等因素影响。</w:t>
      </w:r>
    </w:p>
    <w:p w14:paraId="2794A0F6" w14:textId="77777777" w:rsidR="001F5A09" w:rsidRDefault="001F5A09" w:rsidP="001F5A09">
      <w:pPr>
        <w:pStyle w:val="13"/>
        <w:ind w:firstLine="482"/>
      </w:pPr>
      <w:r w:rsidRPr="003B2FB1">
        <w:rPr>
          <w:rFonts w:hint="eastAsia"/>
          <w:b/>
          <w:bCs/>
        </w:rPr>
        <w:t xml:space="preserve">第三十四条 </w:t>
      </w:r>
      <w:r>
        <w:t>资产评估</w:t>
      </w:r>
      <w:proofErr w:type="gramStart"/>
      <w:r>
        <w:t>师采用</w:t>
      </w:r>
      <w:proofErr w:type="gramEnd"/>
      <w:r>
        <w:t>收益法评估文化企业无形资产，应当合理确定折现率。</w:t>
      </w:r>
    </w:p>
    <w:p w14:paraId="0BEFCEAB" w14:textId="77777777" w:rsidR="001F5A09" w:rsidRDefault="001F5A09" w:rsidP="001F5A09">
      <w:pPr>
        <w:pStyle w:val="13"/>
      </w:pPr>
      <w:r>
        <w:rPr>
          <w:rFonts w:hint="eastAsia"/>
        </w:rPr>
        <w:t>（一）估算文化企业无形资产折现率，可以采用风险累加、企业加权平均资本成本途径等方式。</w:t>
      </w:r>
    </w:p>
    <w:p w14:paraId="09D82CAC" w14:textId="77777777" w:rsidR="001F5A09" w:rsidRDefault="001F5A09" w:rsidP="001F5A09">
      <w:pPr>
        <w:pStyle w:val="13"/>
      </w:pPr>
      <w:r>
        <w:rPr>
          <w:rFonts w:hint="eastAsia"/>
        </w:rPr>
        <w:t>（二）估算文化企业无形资产折现率，应当关注文化消费的不确定性所产生的市场风险。在快速变动的社会中，消费者对文化产品和服务价值的认知随时可能会改变，文化政策的调整可能形成文化需求变动，大部分文化产品和服务的生命周期短，重复利用的价值较低，技术更新换代和替代品的竞争可能产生技术风险。</w:t>
      </w:r>
    </w:p>
    <w:p w14:paraId="45367EF4" w14:textId="77777777" w:rsidR="001F5A09" w:rsidRDefault="001F5A09" w:rsidP="001F5A09">
      <w:pPr>
        <w:pStyle w:val="13"/>
      </w:pPr>
      <w:r>
        <w:rPr>
          <w:rFonts w:hint="eastAsia"/>
        </w:rPr>
        <w:t>（三）估算文化企业无形资产折现率，应当关注国家或者地区有关法律规范以及文化产品在内容审查、传播限制等方面可能产生的法律风险，关注产品复制难易程度、传播成本、法律保护力度、法定赔偿等因素，综合考虑侵权风险，关注不同区域、民族、性别、年龄、收入的人群间文化的差异所产生的风险。</w:t>
      </w:r>
    </w:p>
    <w:p w14:paraId="56B12085" w14:textId="77777777" w:rsidR="001F5A09" w:rsidRDefault="001F5A09" w:rsidP="001F5A09">
      <w:pPr>
        <w:pStyle w:val="13"/>
      </w:pPr>
      <w:r>
        <w:rPr>
          <w:rFonts w:hint="eastAsia"/>
        </w:rPr>
        <w:t>（四）估算文化企业无形资产折现率，应当关注文化产品和服务在生产和传播过程中面临的盈利模式不清晰、生产资源得不到保障或者管理效率低下等原因所造成</w:t>
      </w:r>
      <w:r>
        <w:rPr>
          <w:rFonts w:hint="eastAsia"/>
        </w:rPr>
        <w:lastRenderedPageBreak/>
        <w:t>的经营风险。</w:t>
      </w:r>
    </w:p>
    <w:p w14:paraId="64396BE6" w14:textId="77777777" w:rsidR="001F5A09" w:rsidRDefault="001F5A09" w:rsidP="001F5A09">
      <w:pPr>
        <w:pStyle w:val="13"/>
      </w:pPr>
      <w:r>
        <w:rPr>
          <w:rFonts w:hint="eastAsia"/>
        </w:rPr>
        <w:t>（五）估算文化企业无形资产折现率，应当关注文化产品和服务在生产和传播过程中面临的资金匮乏或者高杠杆所形成的财务风险。</w:t>
      </w:r>
    </w:p>
    <w:p w14:paraId="09ED51BE" w14:textId="77777777" w:rsidR="001F5A09" w:rsidRDefault="001F5A09" w:rsidP="001F5A09">
      <w:pPr>
        <w:pStyle w:val="13"/>
        <w:ind w:firstLine="482"/>
      </w:pPr>
      <w:r w:rsidRPr="003B2FB1">
        <w:rPr>
          <w:rFonts w:hint="eastAsia"/>
          <w:b/>
          <w:bCs/>
        </w:rPr>
        <w:t xml:space="preserve">第三十五条 </w:t>
      </w:r>
      <w:r>
        <w:t>资产评估</w:t>
      </w:r>
      <w:proofErr w:type="gramStart"/>
      <w:r>
        <w:t>师采用</w:t>
      </w:r>
      <w:proofErr w:type="gramEnd"/>
      <w:r>
        <w:t>市场法评估文化企业无形资产，应当根据所获取交易案例与评估对象的相似程度、交易案例相关数据的充分性和可靠性等因素，恰当选择可比案例。</w:t>
      </w:r>
    </w:p>
    <w:p w14:paraId="70658AD0" w14:textId="77777777" w:rsidR="001F5A09" w:rsidRDefault="001F5A09" w:rsidP="001F5A09">
      <w:pPr>
        <w:pStyle w:val="13"/>
      </w:pPr>
      <w:r>
        <w:rPr>
          <w:rFonts w:hint="eastAsia"/>
        </w:rPr>
        <w:t>评估文化企业中与人力资源有关的合同权益等无形资产，可以结合人才流动市场的定价方式或者文化企业与生产要素供应方的合作模式收集交易案例。</w:t>
      </w:r>
    </w:p>
    <w:p w14:paraId="028B2E86" w14:textId="77777777" w:rsidR="001F5A09" w:rsidRDefault="001F5A09" w:rsidP="001F5A09">
      <w:pPr>
        <w:pStyle w:val="13"/>
        <w:ind w:firstLine="482"/>
      </w:pPr>
      <w:r w:rsidRPr="003B2FB1">
        <w:rPr>
          <w:rFonts w:hint="eastAsia"/>
          <w:b/>
          <w:bCs/>
        </w:rPr>
        <w:t xml:space="preserve">第三十六条 </w:t>
      </w:r>
      <w:r>
        <w:t>资产评估</w:t>
      </w:r>
      <w:proofErr w:type="gramStart"/>
      <w:r>
        <w:t>师采用</w:t>
      </w:r>
      <w:proofErr w:type="gramEnd"/>
      <w:r>
        <w:t>市场法评估文化企业无形资产，应当分析评估对象与可比案例在交易时间、权利种类或者形式、维护费用、贡献水平、风险程度、经济寿命期限等方面的差异，并考虑该差异因素对无形资产价值的影响。</w:t>
      </w:r>
    </w:p>
    <w:p w14:paraId="30847FF4" w14:textId="77777777" w:rsidR="001F5A09" w:rsidRDefault="001F5A09" w:rsidP="001F5A09">
      <w:pPr>
        <w:pStyle w:val="13"/>
        <w:ind w:firstLine="482"/>
      </w:pPr>
      <w:r w:rsidRPr="003B2FB1">
        <w:rPr>
          <w:rFonts w:hint="eastAsia"/>
          <w:b/>
          <w:bCs/>
        </w:rPr>
        <w:t xml:space="preserve">第三十七条 </w:t>
      </w:r>
      <w:r>
        <w:t>资产评估</w:t>
      </w:r>
      <w:proofErr w:type="gramStart"/>
      <w:r>
        <w:t>师采用</w:t>
      </w:r>
      <w:proofErr w:type="gramEnd"/>
      <w:r>
        <w:t>成本法评估文化企业无形资产，应当分析无形资产投入成本与价值的相关程度，恰当考虑成本法的适用性。</w:t>
      </w:r>
    </w:p>
    <w:p w14:paraId="662D9319" w14:textId="77777777" w:rsidR="001F5A09" w:rsidRDefault="001F5A09" w:rsidP="001F5A09">
      <w:pPr>
        <w:pStyle w:val="13"/>
      </w:pPr>
      <w:r>
        <w:rPr>
          <w:rFonts w:hint="eastAsia"/>
        </w:rPr>
        <w:t>例如，评估文艺创作与表演服务企业、文化创意和设计服务企业的无形资产，其投入成本与价值的关联程度较低，一般不宜采用成本法。</w:t>
      </w:r>
    </w:p>
    <w:p w14:paraId="7D7126A8" w14:textId="77777777" w:rsidR="001F5A09" w:rsidRDefault="001F5A09" w:rsidP="001F5A09">
      <w:pPr>
        <w:pStyle w:val="13"/>
        <w:ind w:firstLine="482"/>
      </w:pPr>
      <w:r w:rsidRPr="003B2FB1">
        <w:rPr>
          <w:rFonts w:hint="eastAsia"/>
          <w:b/>
          <w:bCs/>
        </w:rPr>
        <w:t xml:space="preserve">第三十八条 </w:t>
      </w:r>
      <w:r>
        <w:t>资产评估</w:t>
      </w:r>
      <w:proofErr w:type="gramStart"/>
      <w:r>
        <w:t>师采用</w:t>
      </w:r>
      <w:proofErr w:type="gramEnd"/>
      <w:r>
        <w:t>成本法评估文化企业无形资产，应当结合评估对象和范围合理确定评估对象的重置成本。</w:t>
      </w:r>
    </w:p>
    <w:p w14:paraId="78E4EF8B" w14:textId="77777777" w:rsidR="001F5A09" w:rsidRDefault="001F5A09" w:rsidP="001F5A09">
      <w:pPr>
        <w:pStyle w:val="13"/>
      </w:pPr>
      <w:r>
        <w:rPr>
          <w:rFonts w:hint="eastAsia"/>
        </w:rPr>
        <w:t>例如，评估景区游览类文化企业无形资产，应当关注景区无形资产与景观资源在成本上的合理划分。</w:t>
      </w:r>
    </w:p>
    <w:p w14:paraId="01C692B9" w14:textId="77777777" w:rsidR="001F5A09" w:rsidRDefault="001F5A09" w:rsidP="001F5A09">
      <w:pPr>
        <w:pStyle w:val="13"/>
      </w:pPr>
      <w:r>
        <w:rPr>
          <w:rFonts w:hint="eastAsia"/>
        </w:rPr>
        <w:t>重置成本包括合理的成本、利润和相关税费等。资产评估</w:t>
      </w:r>
      <w:proofErr w:type="gramStart"/>
      <w:r>
        <w:rPr>
          <w:rFonts w:hint="eastAsia"/>
        </w:rPr>
        <w:t>师应当</w:t>
      </w:r>
      <w:proofErr w:type="gramEnd"/>
      <w:r>
        <w:rPr>
          <w:rFonts w:hint="eastAsia"/>
        </w:rPr>
        <w:t>结合形成无形资产所需的研发人员、管理人员、材料、设备、场地等投入要素，合理确定评估对象的重置成本。</w:t>
      </w:r>
    </w:p>
    <w:p w14:paraId="39F773FC" w14:textId="77777777" w:rsidR="001F5A09" w:rsidRDefault="001F5A09" w:rsidP="001F5A09">
      <w:pPr>
        <w:pStyle w:val="13"/>
        <w:ind w:firstLine="482"/>
      </w:pPr>
      <w:r w:rsidRPr="003B2FB1">
        <w:rPr>
          <w:rFonts w:hint="eastAsia"/>
          <w:b/>
          <w:bCs/>
        </w:rPr>
        <w:t xml:space="preserve">第三十九条 </w:t>
      </w:r>
      <w:r>
        <w:t>资产评估</w:t>
      </w:r>
      <w:proofErr w:type="gramStart"/>
      <w:r>
        <w:t>师采用</w:t>
      </w:r>
      <w:proofErr w:type="gramEnd"/>
      <w:r>
        <w:t>成本法评估文化企业无形资产，应当结合评估对象的价值变化规律，合理确定评估对象的贬值。</w:t>
      </w:r>
    </w:p>
    <w:p w14:paraId="65296DE7" w14:textId="77777777" w:rsidR="001F5A09" w:rsidRDefault="001F5A09" w:rsidP="001F5A09">
      <w:pPr>
        <w:pStyle w:val="13"/>
      </w:pPr>
      <w:r>
        <w:rPr>
          <w:rFonts w:hint="eastAsia"/>
        </w:rPr>
        <w:t>例如，著作权资产的贬值在其经济寿命期内可能不是均匀分布的，应当采用适当方法确定其贬值。</w:t>
      </w:r>
    </w:p>
    <w:p w14:paraId="016A2238" w14:textId="77777777" w:rsidR="001F5A09" w:rsidRDefault="001F5A09" w:rsidP="001F5A09">
      <w:pPr>
        <w:pStyle w:val="13"/>
        <w:ind w:firstLine="482"/>
      </w:pPr>
      <w:r w:rsidRPr="003B2FB1">
        <w:rPr>
          <w:rFonts w:hint="eastAsia"/>
          <w:b/>
          <w:bCs/>
        </w:rPr>
        <w:t xml:space="preserve">第四十条 </w:t>
      </w:r>
      <w:r>
        <w:t>资产评估师对同一无形资产采用多种评估方法时，应当对所获得各种初步价值结论进行分析，形成合理评估结论。</w:t>
      </w:r>
    </w:p>
    <w:p w14:paraId="5FAF7604" w14:textId="77777777" w:rsidR="001F5A09" w:rsidRDefault="001F5A09" w:rsidP="00AF7342">
      <w:pPr>
        <w:pStyle w:val="a9"/>
        <w:spacing w:before="62" w:after="62"/>
      </w:pPr>
      <w:r>
        <w:rPr>
          <w:rFonts w:hint="eastAsia"/>
        </w:rPr>
        <w:t>第六章</w:t>
      </w:r>
      <w:r>
        <w:t xml:space="preserve"> 披露要求</w:t>
      </w:r>
    </w:p>
    <w:p w14:paraId="694F4FB8" w14:textId="77777777" w:rsidR="001F5A09" w:rsidRDefault="001F5A09" w:rsidP="001F5A09">
      <w:pPr>
        <w:pStyle w:val="13"/>
        <w:ind w:firstLine="482"/>
      </w:pPr>
      <w:r w:rsidRPr="003B2FB1">
        <w:rPr>
          <w:rFonts w:hint="eastAsia"/>
          <w:b/>
          <w:bCs/>
        </w:rPr>
        <w:t xml:space="preserve">第四十一条 </w:t>
      </w:r>
      <w:r>
        <w:t>资产评估</w:t>
      </w:r>
      <w:proofErr w:type="gramStart"/>
      <w:r>
        <w:t>师执行</w:t>
      </w:r>
      <w:proofErr w:type="gramEnd"/>
      <w:r>
        <w:t>文化企业无形资产评估业务，应当在履行必要的评估程序后，根据《资产评估准则—评估报告》编制评估报告，并进行恰当披露，使评估报告使用者能够</w:t>
      </w:r>
      <w:proofErr w:type="gramStart"/>
      <w:r>
        <w:t>合理理解</w:t>
      </w:r>
      <w:proofErr w:type="gramEnd"/>
      <w:r>
        <w:t>评估结论。</w:t>
      </w:r>
    </w:p>
    <w:p w14:paraId="22B22A1A" w14:textId="77777777" w:rsidR="001F5A09" w:rsidRDefault="001F5A09" w:rsidP="001F5A09">
      <w:pPr>
        <w:pStyle w:val="13"/>
        <w:ind w:firstLine="482"/>
      </w:pPr>
      <w:r w:rsidRPr="003B2FB1">
        <w:rPr>
          <w:rFonts w:hint="eastAsia"/>
          <w:b/>
          <w:bCs/>
        </w:rPr>
        <w:t xml:space="preserve">第四十二条 </w:t>
      </w:r>
      <w:r>
        <w:t>资产评估</w:t>
      </w:r>
      <w:proofErr w:type="gramStart"/>
      <w:r>
        <w:t>师执行</w:t>
      </w:r>
      <w:proofErr w:type="gramEnd"/>
      <w:r>
        <w:t>文化企业无形资产评估业务，应当在评估报告中重点披露无形资产识别的过程和依据，通常包括对无形资产基本状况、法律状况、技术</w:t>
      </w:r>
      <w:r>
        <w:lastRenderedPageBreak/>
        <w:t>特征和经济特征实施调查的过程、方法和结论。</w:t>
      </w:r>
    </w:p>
    <w:p w14:paraId="2805DC46" w14:textId="77777777" w:rsidR="001F5A09" w:rsidRDefault="001F5A09" w:rsidP="001F5A09">
      <w:pPr>
        <w:pStyle w:val="13"/>
        <w:ind w:firstLine="482"/>
      </w:pPr>
      <w:r w:rsidRPr="003B2FB1">
        <w:rPr>
          <w:rFonts w:hint="eastAsia"/>
          <w:b/>
          <w:bCs/>
        </w:rPr>
        <w:t xml:space="preserve">第四十三条 </w:t>
      </w:r>
      <w:r>
        <w:t>资产评估</w:t>
      </w:r>
      <w:proofErr w:type="gramStart"/>
      <w:r>
        <w:t>师执行</w:t>
      </w:r>
      <w:proofErr w:type="gramEnd"/>
      <w:r>
        <w:t>文化企业无形资产评估业务，应当在评估报告中重点披露无形资产的评估情况，通常包括以下内容：</w:t>
      </w:r>
    </w:p>
    <w:p w14:paraId="03E01F15" w14:textId="77777777" w:rsidR="001F5A09" w:rsidRDefault="001F5A09" w:rsidP="001F5A09">
      <w:pPr>
        <w:pStyle w:val="13"/>
      </w:pPr>
      <w:r>
        <w:rPr>
          <w:rFonts w:hint="eastAsia"/>
        </w:rPr>
        <w:t>（一）影响无形资产价值的宏观经济状况和区域经济状况、政策因素、法律因素等；</w:t>
      </w:r>
    </w:p>
    <w:p w14:paraId="48151E34" w14:textId="77777777" w:rsidR="001F5A09" w:rsidRDefault="001F5A09" w:rsidP="001F5A09">
      <w:pPr>
        <w:pStyle w:val="13"/>
      </w:pPr>
      <w:r>
        <w:rPr>
          <w:rFonts w:hint="eastAsia"/>
        </w:rPr>
        <w:t>（二）无形资产涉及的行业现状以及未来发展前景；</w:t>
      </w:r>
    </w:p>
    <w:p w14:paraId="6D3485DB" w14:textId="77777777" w:rsidR="001F5A09" w:rsidRDefault="001F5A09" w:rsidP="001F5A09">
      <w:pPr>
        <w:pStyle w:val="13"/>
      </w:pPr>
      <w:r>
        <w:rPr>
          <w:rFonts w:hint="eastAsia"/>
        </w:rPr>
        <w:t>（三）无形资产涉及的企业业务、财务、资产状况分析；</w:t>
      </w:r>
    </w:p>
    <w:p w14:paraId="13002204" w14:textId="77777777" w:rsidR="001F5A09" w:rsidRDefault="001F5A09" w:rsidP="001F5A09">
      <w:pPr>
        <w:pStyle w:val="13"/>
      </w:pPr>
      <w:r>
        <w:rPr>
          <w:rFonts w:hint="eastAsia"/>
        </w:rPr>
        <w:t>（四）无形资产评估测算依据、重要参数的来源；</w:t>
      </w:r>
    </w:p>
    <w:p w14:paraId="0725A5E2" w14:textId="77777777" w:rsidR="001F5A09" w:rsidRDefault="001F5A09" w:rsidP="001F5A09">
      <w:pPr>
        <w:pStyle w:val="13"/>
      </w:pPr>
      <w:r>
        <w:rPr>
          <w:rFonts w:hint="eastAsia"/>
        </w:rPr>
        <w:t>（五）无形资产评估假设前提以及限制条件；</w:t>
      </w:r>
    </w:p>
    <w:p w14:paraId="4A598BF1" w14:textId="77777777" w:rsidR="001F5A09" w:rsidRDefault="001F5A09" w:rsidP="001F5A09">
      <w:pPr>
        <w:pStyle w:val="13"/>
      </w:pPr>
      <w:r>
        <w:rPr>
          <w:rFonts w:hint="eastAsia"/>
        </w:rPr>
        <w:t>（六）无形资产评估方法，包括评估方法的选择以及理由，评估方法的运用和计算过程；</w:t>
      </w:r>
    </w:p>
    <w:p w14:paraId="685A8945" w14:textId="77777777" w:rsidR="001F5A09" w:rsidRDefault="001F5A09" w:rsidP="001F5A09">
      <w:pPr>
        <w:pStyle w:val="13"/>
      </w:pPr>
      <w:r>
        <w:rPr>
          <w:rFonts w:hint="eastAsia"/>
        </w:rPr>
        <w:t>（七）评估结论以及分析。</w:t>
      </w:r>
    </w:p>
    <w:p w14:paraId="74510B68" w14:textId="77777777" w:rsidR="001F5A09" w:rsidRDefault="001F5A09" w:rsidP="00AF7342">
      <w:pPr>
        <w:pStyle w:val="a9"/>
        <w:spacing w:before="62" w:after="62"/>
      </w:pPr>
      <w:r>
        <w:rPr>
          <w:rFonts w:hint="eastAsia"/>
        </w:rPr>
        <w:t>第七章</w:t>
      </w:r>
      <w:r>
        <w:t xml:space="preserve"> 附则</w:t>
      </w:r>
    </w:p>
    <w:p w14:paraId="642F91D6" w14:textId="77777777" w:rsidR="001F5A09" w:rsidRDefault="001F5A09" w:rsidP="001F5A09">
      <w:pPr>
        <w:pStyle w:val="13"/>
        <w:ind w:firstLine="482"/>
      </w:pPr>
      <w:r w:rsidRPr="003B2FB1">
        <w:rPr>
          <w:rFonts w:hint="eastAsia"/>
          <w:b/>
          <w:bCs/>
        </w:rPr>
        <w:t xml:space="preserve">第四十四条 </w:t>
      </w:r>
      <w:r>
        <w:t>本指导意见自 2016年7月1日起施行。</w:t>
      </w:r>
    </w:p>
    <w:p w14:paraId="65650961" w14:textId="37460DB6" w:rsidR="00EA1B72" w:rsidRDefault="00EA1B72" w:rsidP="00EA1B72">
      <w:pPr>
        <w:pStyle w:val="31"/>
        <w:spacing w:before="156" w:after="62"/>
      </w:pPr>
      <w:bookmarkStart w:id="39" w:name="_Toc81833319"/>
      <w:r>
        <w:rPr>
          <w:rFonts w:hint="eastAsia"/>
        </w:rPr>
        <w:t>资产评估价值类型指导意见（</w:t>
      </w:r>
      <w:proofErr w:type="gramStart"/>
      <w:r>
        <w:rPr>
          <w:rFonts w:hint="eastAsia"/>
        </w:rPr>
        <w:t>中评协</w:t>
      </w:r>
      <w:proofErr w:type="gramEnd"/>
      <w:r>
        <w:rPr>
          <w:rFonts w:hint="eastAsia"/>
        </w:rPr>
        <w:t>〔</w:t>
      </w:r>
      <w:r>
        <w:t>2017〕47号）</w:t>
      </w:r>
      <w:bookmarkEnd w:id="39"/>
    </w:p>
    <w:p w14:paraId="7025CB84" w14:textId="77777777" w:rsidR="00EA1B72" w:rsidRDefault="00EA1B72" w:rsidP="00EA1B72">
      <w:pPr>
        <w:pStyle w:val="13"/>
        <w:ind w:firstLineChars="0" w:firstLine="0"/>
      </w:pPr>
      <w:r>
        <w:rPr>
          <w:rFonts w:hint="eastAsia"/>
        </w:rPr>
        <w:t>各省、自治区、直辖市、计划单列市资产评估协会（注册会计师协会）：</w:t>
      </w:r>
    </w:p>
    <w:p w14:paraId="3B81EEF0" w14:textId="1B015FAD" w:rsidR="00EA1B72" w:rsidRDefault="00EA1B72" w:rsidP="00EA1B72">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资产评估价值类型指导意见》进行了修订，现予印发，自</w:t>
      </w:r>
      <w:r>
        <w:t xml:space="preserve"> 2017</w:t>
      </w:r>
      <w:r w:rsidR="003068F8">
        <w:t>年</w:t>
      </w:r>
      <w:r>
        <w:t>10</w:t>
      </w:r>
      <w:r w:rsidR="003068F8">
        <w:t>月</w:t>
      </w:r>
      <w:r>
        <w:t>1</w:t>
      </w:r>
      <w:r w:rsidR="003068F8">
        <w:t>日</w:t>
      </w:r>
      <w:r>
        <w:t>起施行。</w:t>
      </w:r>
    </w:p>
    <w:p w14:paraId="02B833D9" w14:textId="77777777" w:rsidR="00EA1B72" w:rsidRDefault="00EA1B72" w:rsidP="00EA1B72">
      <w:pPr>
        <w:pStyle w:val="13"/>
      </w:pPr>
      <w:r>
        <w:rPr>
          <w:rFonts w:hint="eastAsia"/>
        </w:rPr>
        <w:t>请各地</w:t>
      </w:r>
      <w:proofErr w:type="gramStart"/>
      <w:r>
        <w:rPr>
          <w:rFonts w:hint="eastAsia"/>
        </w:rPr>
        <w:t>方协会</w:t>
      </w:r>
      <w:proofErr w:type="gramEnd"/>
      <w:r>
        <w:rPr>
          <w:rFonts w:hint="eastAsia"/>
        </w:rPr>
        <w:t>将《资产评估价值类型指导意见》及时转发资产评估机构，组织资产评估机构和资产评估专业人员进行学习和培训，并将执行过程中发现的问题及时上报中国资产评估协会。</w:t>
      </w:r>
    </w:p>
    <w:p w14:paraId="6FA9CA52" w14:textId="77777777" w:rsidR="00EA1B72" w:rsidRDefault="00EA1B72" w:rsidP="00EA1B72">
      <w:pPr>
        <w:pStyle w:val="13"/>
      </w:pPr>
      <w:r>
        <w:rPr>
          <w:rFonts w:hint="eastAsia"/>
        </w:rPr>
        <w:t>附件：《资产评估价值类型指导意见》</w:t>
      </w:r>
    </w:p>
    <w:p w14:paraId="5FC3985C" w14:textId="77777777" w:rsidR="00EA1B72" w:rsidRDefault="00EA1B72" w:rsidP="00EA1B72">
      <w:pPr>
        <w:pStyle w:val="13"/>
        <w:jc w:val="right"/>
      </w:pPr>
      <w:r>
        <w:rPr>
          <w:rFonts w:hint="eastAsia"/>
        </w:rPr>
        <w:t>中国资产评估协会</w:t>
      </w:r>
    </w:p>
    <w:p w14:paraId="6DB8F9D4" w14:textId="4EB5BAB1" w:rsidR="00EA1B72" w:rsidRDefault="00EA1B72" w:rsidP="00EA1B72">
      <w:pPr>
        <w:pStyle w:val="13"/>
        <w:jc w:val="right"/>
      </w:pPr>
      <w:r>
        <w:t>2017</w:t>
      </w:r>
      <w:r w:rsidR="003068F8">
        <w:t>年</w:t>
      </w:r>
      <w:r>
        <w:t>9</w:t>
      </w:r>
      <w:r w:rsidR="003068F8">
        <w:t>月</w:t>
      </w:r>
      <w:r>
        <w:t>8</w:t>
      </w:r>
      <w:r w:rsidR="003068F8">
        <w:t>日</w:t>
      </w:r>
    </w:p>
    <w:p w14:paraId="03F46E75" w14:textId="77777777" w:rsidR="00EA1B72" w:rsidRDefault="00EA1B72" w:rsidP="00AF7342">
      <w:pPr>
        <w:pStyle w:val="a9"/>
        <w:spacing w:before="62" w:after="62"/>
      </w:pPr>
      <w:r>
        <w:rPr>
          <w:rFonts w:hint="eastAsia"/>
        </w:rPr>
        <w:t>资产评估价值类型指导意见</w:t>
      </w:r>
    </w:p>
    <w:p w14:paraId="533E3799" w14:textId="77777777" w:rsidR="00EA1B72" w:rsidRDefault="00EA1B72" w:rsidP="00AF7342">
      <w:pPr>
        <w:pStyle w:val="a9"/>
        <w:spacing w:before="62" w:after="62"/>
      </w:pPr>
      <w:r>
        <w:rPr>
          <w:rFonts w:hint="eastAsia"/>
        </w:rPr>
        <w:t>第一章</w:t>
      </w:r>
      <w:r>
        <w:t xml:space="preserve"> 总则</w:t>
      </w:r>
    </w:p>
    <w:p w14:paraId="14E7D229" w14:textId="6DD52741" w:rsidR="00EA1B72" w:rsidRDefault="004E3EBB" w:rsidP="00EA1B72">
      <w:pPr>
        <w:pStyle w:val="13"/>
        <w:ind w:firstLine="482"/>
      </w:pPr>
      <w:r w:rsidRPr="004E3EBB">
        <w:rPr>
          <w:rFonts w:hint="eastAsia"/>
          <w:b/>
          <w:bCs/>
        </w:rPr>
        <w:t xml:space="preserve">第一条 </w:t>
      </w:r>
      <w:r w:rsidR="00EA1B72">
        <w:t>为规范资产评估专业人员选择、使用和定义价值类型行为，保护资产评估当事人合法权益和公共利益，根据《资产评估基本准则》制定本指导意见。</w:t>
      </w:r>
    </w:p>
    <w:p w14:paraId="1C761FC0" w14:textId="29D19C0C" w:rsidR="00EA1B72" w:rsidRDefault="004E3EBB" w:rsidP="00EA1B72">
      <w:pPr>
        <w:pStyle w:val="13"/>
        <w:ind w:firstLine="482"/>
      </w:pPr>
      <w:r w:rsidRPr="004E3EBB">
        <w:rPr>
          <w:rFonts w:hint="eastAsia"/>
          <w:b/>
          <w:bCs/>
        </w:rPr>
        <w:t xml:space="preserve">第二条 </w:t>
      </w:r>
      <w:r w:rsidR="00EA1B72">
        <w:t>执行资产评估业务，应当遵守本指导意见。</w:t>
      </w:r>
    </w:p>
    <w:p w14:paraId="7AACCCB5" w14:textId="77777777" w:rsidR="00EA1B72" w:rsidRDefault="00EA1B72" w:rsidP="00AF7342">
      <w:pPr>
        <w:pStyle w:val="a9"/>
        <w:spacing w:before="62" w:after="62"/>
      </w:pPr>
      <w:r>
        <w:rPr>
          <w:rFonts w:hint="eastAsia"/>
        </w:rPr>
        <w:lastRenderedPageBreak/>
        <w:t>第二章</w:t>
      </w:r>
      <w:r>
        <w:t xml:space="preserve"> 价值类型及其定义</w:t>
      </w:r>
    </w:p>
    <w:p w14:paraId="04342883" w14:textId="35F203BB" w:rsidR="00EA1B72" w:rsidRDefault="004E3EBB" w:rsidP="00EA1B72">
      <w:pPr>
        <w:pStyle w:val="13"/>
        <w:ind w:firstLine="482"/>
      </w:pPr>
      <w:r w:rsidRPr="004E3EBB">
        <w:rPr>
          <w:rFonts w:hint="eastAsia"/>
          <w:b/>
          <w:bCs/>
        </w:rPr>
        <w:t xml:space="preserve">第三条 </w:t>
      </w:r>
      <w:r w:rsidR="00EA1B72">
        <w:t>本指导意见所称资产评估价值类型包括市场价值和市场价值以外的价值类</w:t>
      </w:r>
      <w:r w:rsidR="00EA1B72">
        <w:rPr>
          <w:rFonts w:hint="eastAsia"/>
        </w:rPr>
        <w:t>型。</w:t>
      </w:r>
    </w:p>
    <w:p w14:paraId="54D95AA1" w14:textId="5CF00016" w:rsidR="00EA1B72" w:rsidRDefault="004E3EBB" w:rsidP="00EA1B72">
      <w:pPr>
        <w:pStyle w:val="13"/>
        <w:ind w:firstLine="482"/>
      </w:pPr>
      <w:r w:rsidRPr="004E3EBB">
        <w:rPr>
          <w:rFonts w:hint="eastAsia"/>
          <w:b/>
          <w:bCs/>
        </w:rPr>
        <w:t xml:space="preserve">第四条 </w:t>
      </w:r>
      <w:r w:rsidR="00EA1B72">
        <w:t>市场价值是指自愿买方和自愿卖方在各自理性行事且未受任何强迫的情况下，评估对象在评估基准日进行正常公平交易的价值估计数额。</w:t>
      </w:r>
    </w:p>
    <w:p w14:paraId="2FA710BC" w14:textId="777587A5" w:rsidR="00EA1B72" w:rsidRDefault="004E3EBB" w:rsidP="00EA1B72">
      <w:pPr>
        <w:pStyle w:val="13"/>
        <w:ind w:firstLine="482"/>
      </w:pPr>
      <w:r w:rsidRPr="004E3EBB">
        <w:rPr>
          <w:rFonts w:hint="eastAsia"/>
          <w:b/>
          <w:bCs/>
        </w:rPr>
        <w:t xml:space="preserve">第五条 </w:t>
      </w:r>
      <w:r w:rsidR="00EA1B72">
        <w:t>市场价值以外的价值类型包括投资价值、在用价值、清算价值、残余价值</w:t>
      </w:r>
      <w:r w:rsidR="00EA1B72">
        <w:rPr>
          <w:rFonts w:hint="eastAsia"/>
        </w:rPr>
        <w:t>等。</w:t>
      </w:r>
    </w:p>
    <w:p w14:paraId="3739BF6F" w14:textId="0727CC09" w:rsidR="00EA1B72" w:rsidRDefault="004E3EBB" w:rsidP="00EA1B72">
      <w:pPr>
        <w:pStyle w:val="13"/>
        <w:ind w:firstLine="482"/>
      </w:pPr>
      <w:r w:rsidRPr="004E3EBB">
        <w:rPr>
          <w:rFonts w:hint="eastAsia"/>
          <w:b/>
          <w:bCs/>
        </w:rPr>
        <w:t xml:space="preserve">第六条 </w:t>
      </w:r>
      <w:r w:rsidR="00EA1B72">
        <w:t>投资价值是指评估对象对于具有明确投资目标的特定投资者或者某一类投资者所具有的价值估计数额，亦称特定投资者价值。</w:t>
      </w:r>
    </w:p>
    <w:p w14:paraId="3D71D593" w14:textId="387942B2" w:rsidR="00EA1B72" w:rsidRDefault="004E3EBB" w:rsidP="00EA1B72">
      <w:pPr>
        <w:pStyle w:val="13"/>
        <w:ind w:firstLine="482"/>
      </w:pPr>
      <w:r w:rsidRPr="004E3EBB">
        <w:rPr>
          <w:rFonts w:hint="eastAsia"/>
          <w:b/>
          <w:bCs/>
        </w:rPr>
        <w:t xml:space="preserve">第七条 </w:t>
      </w:r>
      <w:r w:rsidR="00EA1B72">
        <w:t>在用价值是指将评估对象作为企业、资产组组成部分或者要素资产按其正在使用方式和程度及其对所属企业、资产组的贡献的价值估计数额。</w:t>
      </w:r>
    </w:p>
    <w:p w14:paraId="531B307C" w14:textId="0FF9C969" w:rsidR="00EA1B72" w:rsidRDefault="004E3EBB" w:rsidP="00EA1B72">
      <w:pPr>
        <w:pStyle w:val="13"/>
        <w:ind w:firstLine="482"/>
      </w:pPr>
      <w:r w:rsidRPr="004E3EBB">
        <w:rPr>
          <w:rFonts w:hint="eastAsia"/>
          <w:b/>
          <w:bCs/>
        </w:rPr>
        <w:t xml:space="preserve">第八条 </w:t>
      </w:r>
      <w:r w:rsidR="00EA1B72">
        <w:t>清算价值是指评估对象处于被迫出售、快速变现等非正常市场条件下的价值估计数额。</w:t>
      </w:r>
    </w:p>
    <w:p w14:paraId="551FD4D8" w14:textId="728C3331" w:rsidR="00EA1B72" w:rsidRDefault="00E05BDA" w:rsidP="00EA1B72">
      <w:pPr>
        <w:pStyle w:val="13"/>
        <w:ind w:firstLine="482"/>
      </w:pPr>
      <w:r w:rsidRPr="00E05BDA">
        <w:rPr>
          <w:rFonts w:hint="eastAsia"/>
          <w:b/>
          <w:bCs/>
        </w:rPr>
        <w:t xml:space="preserve">第九条 </w:t>
      </w:r>
      <w:r w:rsidR="00EA1B72">
        <w:t>残余价值是指机器设备、房屋建筑物或者其他有形资产等的</w:t>
      </w:r>
      <w:proofErr w:type="gramStart"/>
      <w:r w:rsidR="00EA1B72">
        <w:t>拆零变</w:t>
      </w:r>
      <w:proofErr w:type="gramEnd"/>
      <w:r w:rsidR="00EA1B72">
        <w:t>现价值估计数额。</w:t>
      </w:r>
    </w:p>
    <w:p w14:paraId="41354D77" w14:textId="5AAF2EE4" w:rsidR="00EA1B72" w:rsidRDefault="00E05BDA" w:rsidP="00EA1B72">
      <w:pPr>
        <w:pStyle w:val="13"/>
        <w:ind w:firstLine="482"/>
      </w:pPr>
      <w:r w:rsidRPr="00E05BDA">
        <w:rPr>
          <w:rFonts w:hint="eastAsia"/>
          <w:b/>
          <w:bCs/>
        </w:rPr>
        <w:t xml:space="preserve">第十条 </w:t>
      </w:r>
      <w:r w:rsidR="00EA1B72">
        <w:t>某些特定评估业务评估结论的价值类型可能会受到法律、行政法规或者合同的约束，这些评估业务的评估结论应当按照法律、行政法规或者合同的规定选择评估结论的价值类型；法律、行政法规或者合同没有规定的，可以根据实际情况选择市场价值或者市场价值以外的价值类型，并予以定义。</w:t>
      </w:r>
    </w:p>
    <w:p w14:paraId="34E9B6C2" w14:textId="77777777" w:rsidR="00EA1B72" w:rsidRDefault="00EA1B72" w:rsidP="00EA1B72">
      <w:pPr>
        <w:pStyle w:val="13"/>
      </w:pPr>
      <w:r>
        <w:rPr>
          <w:rFonts w:hint="eastAsia"/>
        </w:rPr>
        <w:t>特定评估业务包括：以抵（质）押为目的的评估业务、以税收为目的的评估业务、以保险为目的的评估业务、以财务报告为目的的评估业务等。</w:t>
      </w:r>
    </w:p>
    <w:p w14:paraId="0514F2DE" w14:textId="3156AD6C" w:rsidR="00EA1B72" w:rsidRDefault="00E05BDA" w:rsidP="00EA1B72">
      <w:pPr>
        <w:pStyle w:val="13"/>
        <w:ind w:firstLine="482"/>
      </w:pPr>
      <w:r w:rsidRPr="00E05BDA">
        <w:rPr>
          <w:rFonts w:hint="eastAsia"/>
          <w:b/>
          <w:bCs/>
        </w:rPr>
        <w:t xml:space="preserve">第十一条 </w:t>
      </w:r>
      <w:r w:rsidR="00EA1B72">
        <w:t>执行资产评估业务，应当合理考虑本指导意见与其他相关准则的协调。采用本指导意见规定之外的价值类型时，应当在资产评估报告中披露。</w:t>
      </w:r>
    </w:p>
    <w:p w14:paraId="0FB5DF94" w14:textId="77777777" w:rsidR="00EA1B72" w:rsidRDefault="00EA1B72" w:rsidP="00AF7342">
      <w:pPr>
        <w:pStyle w:val="a9"/>
        <w:spacing w:before="62" w:after="62"/>
      </w:pPr>
      <w:r>
        <w:rPr>
          <w:rFonts w:hint="eastAsia"/>
        </w:rPr>
        <w:t>第三章</w:t>
      </w:r>
      <w:r>
        <w:t xml:space="preserve"> 价值类型的选择和使用</w:t>
      </w:r>
    </w:p>
    <w:p w14:paraId="4F4EFBB1" w14:textId="73252A6A" w:rsidR="00EA1B72" w:rsidRDefault="00E05BDA" w:rsidP="00EA1B72">
      <w:pPr>
        <w:pStyle w:val="13"/>
        <w:ind w:firstLine="482"/>
      </w:pPr>
      <w:r w:rsidRPr="00E05BDA">
        <w:rPr>
          <w:rFonts w:hint="eastAsia"/>
          <w:b/>
          <w:bCs/>
        </w:rPr>
        <w:t xml:space="preserve">第十二条 </w:t>
      </w:r>
      <w:r w:rsidR="00EA1B72">
        <w:t>法律、行政法规或者合同对价值类型有规定的，应当按其规定选择价值类型；没有规定的，可以根据实际情况选择市场价值或者市场价值以外的价值类型。</w:t>
      </w:r>
    </w:p>
    <w:p w14:paraId="241AA7B8" w14:textId="222F59CC" w:rsidR="00EA1B72" w:rsidRDefault="00E05BDA" w:rsidP="00EA1B72">
      <w:pPr>
        <w:pStyle w:val="13"/>
        <w:ind w:firstLine="482"/>
      </w:pPr>
      <w:r w:rsidRPr="00E05BDA">
        <w:rPr>
          <w:rFonts w:hint="eastAsia"/>
          <w:b/>
          <w:bCs/>
        </w:rPr>
        <w:t xml:space="preserve">第十三条 </w:t>
      </w:r>
      <w:r w:rsidR="00EA1B72">
        <w:t>执行资产评估业务，选择和使用价值类型，应当充分考虑评估目的、市场条件、评估对象自身条件等因素。</w:t>
      </w:r>
    </w:p>
    <w:p w14:paraId="14703048" w14:textId="6423EFE8" w:rsidR="00EA1B72" w:rsidRDefault="00E05BDA" w:rsidP="00EA1B72">
      <w:pPr>
        <w:pStyle w:val="13"/>
        <w:ind w:firstLine="482"/>
      </w:pPr>
      <w:r w:rsidRPr="00E05BDA">
        <w:rPr>
          <w:rFonts w:hint="eastAsia"/>
          <w:b/>
          <w:bCs/>
        </w:rPr>
        <w:t xml:space="preserve">第十四条 </w:t>
      </w:r>
      <w:r w:rsidR="00EA1B72">
        <w:t>资产评估专业人员选择价值类型，应当考虑价值类型与评估假设的相关</w:t>
      </w:r>
      <w:r w:rsidR="00EA1B72">
        <w:rPr>
          <w:rFonts w:hint="eastAsia"/>
        </w:rPr>
        <w:t>性。</w:t>
      </w:r>
    </w:p>
    <w:p w14:paraId="045F9637" w14:textId="74942545" w:rsidR="00EA1B72" w:rsidRDefault="00E05BDA" w:rsidP="00EA1B72">
      <w:pPr>
        <w:pStyle w:val="13"/>
        <w:ind w:firstLine="482"/>
      </w:pPr>
      <w:r w:rsidRPr="00E05BDA">
        <w:rPr>
          <w:rFonts w:hint="eastAsia"/>
          <w:b/>
          <w:bCs/>
        </w:rPr>
        <w:t xml:space="preserve">第十五条 </w:t>
      </w:r>
      <w:r w:rsidR="00EA1B72">
        <w:t>评估方法是估计和判断市场价值和市场价值以外的价值类型评估结论的</w:t>
      </w:r>
      <w:r w:rsidR="00EA1B72">
        <w:rPr>
          <w:rFonts w:hint="eastAsia"/>
        </w:rPr>
        <w:t>技术手段，某一种价值类型下的评估结论可以通过一种或者多种评估方法得出。</w:t>
      </w:r>
    </w:p>
    <w:p w14:paraId="6212779F" w14:textId="3364C5AC" w:rsidR="00EA1B72" w:rsidRDefault="00E05BDA" w:rsidP="00EA1B72">
      <w:pPr>
        <w:pStyle w:val="13"/>
        <w:ind w:firstLine="482"/>
      </w:pPr>
      <w:r w:rsidRPr="00E05BDA">
        <w:rPr>
          <w:rFonts w:hint="eastAsia"/>
          <w:b/>
          <w:bCs/>
        </w:rPr>
        <w:t xml:space="preserve">第十六条 </w:t>
      </w:r>
      <w:r w:rsidR="00EA1B72">
        <w:t>执行资产评估业务，当评估目的、评估对象等资产评估基本要素满足</w:t>
      </w:r>
      <w:r w:rsidR="00EA1B72">
        <w:lastRenderedPageBreak/>
        <w:t>市场价值定义的要求时，一般选择市场价值作为评估结论的价值类型。</w:t>
      </w:r>
    </w:p>
    <w:p w14:paraId="7983FF13" w14:textId="77777777" w:rsidR="00EA1B72" w:rsidRDefault="00EA1B72" w:rsidP="00EA1B72">
      <w:pPr>
        <w:pStyle w:val="13"/>
      </w:pPr>
      <w:r>
        <w:rPr>
          <w:rFonts w:hint="eastAsia"/>
        </w:rPr>
        <w:t>资产评估专业人员选择市场价值作为价值类型，应当知晓同一资产在不同市场的价值可能存在差异。</w:t>
      </w:r>
    </w:p>
    <w:p w14:paraId="57DD86D1" w14:textId="7050CC45" w:rsidR="00EA1B72" w:rsidRDefault="00E05BDA" w:rsidP="00EA1B72">
      <w:pPr>
        <w:pStyle w:val="13"/>
        <w:ind w:firstLine="482"/>
      </w:pPr>
      <w:r w:rsidRPr="00E05BDA">
        <w:rPr>
          <w:rFonts w:hint="eastAsia"/>
          <w:b/>
          <w:bCs/>
        </w:rPr>
        <w:t xml:space="preserve">第十七条 </w:t>
      </w:r>
      <w:r w:rsidR="00EA1B72">
        <w:t>执行资产评估业务，当评估业务针对的是特定投资者或者某一类投资者，并在评估业务执行过程中充分考虑并使用了仅适用于特定投资者或者某一类投资者的特定评估资料和经济技术参数时，通常选择投资价值作为评估结论的价值类型。</w:t>
      </w:r>
    </w:p>
    <w:p w14:paraId="6889F722" w14:textId="40EDE912" w:rsidR="00EA1B72" w:rsidRDefault="00E05BDA" w:rsidP="00EA1B72">
      <w:pPr>
        <w:pStyle w:val="13"/>
        <w:ind w:firstLine="482"/>
      </w:pPr>
      <w:r w:rsidRPr="00E05BDA">
        <w:rPr>
          <w:rFonts w:hint="eastAsia"/>
          <w:b/>
          <w:bCs/>
        </w:rPr>
        <w:t xml:space="preserve">第十八条 </w:t>
      </w:r>
      <w:r w:rsidR="00EA1B72">
        <w:t>执行资产评估业务，评估对象是企业或者整体资产中的要素资产，并在评估业务执行过程中只考虑了该要素资产正在使用的方式和贡献程度，没有考虑该资产作为独立资产所具有的效用及在公开市场上交易等对评估结论的影响，通常选择在用价值作为评估结论的价值类型。</w:t>
      </w:r>
    </w:p>
    <w:p w14:paraId="0FDAD32F" w14:textId="28F6112B" w:rsidR="00EA1B72" w:rsidRDefault="00E05BDA" w:rsidP="00EA1B72">
      <w:pPr>
        <w:pStyle w:val="13"/>
        <w:ind w:firstLine="482"/>
      </w:pPr>
      <w:r w:rsidRPr="00E05BDA">
        <w:rPr>
          <w:rFonts w:hint="eastAsia"/>
          <w:b/>
          <w:bCs/>
        </w:rPr>
        <w:t xml:space="preserve">第十九条 </w:t>
      </w:r>
      <w:r w:rsidR="00EA1B72">
        <w:t>执行资产评估业务，当评估对象面临被迫出售、快速变现或者评估对象具有潜在被迫出售、快速变现等情况时，通常选择清算价值作为评估结论的价值类型。</w:t>
      </w:r>
    </w:p>
    <w:p w14:paraId="58E460E7" w14:textId="6DCE03C1" w:rsidR="00EA1B72" w:rsidRDefault="00E05BDA" w:rsidP="00EA1B72">
      <w:pPr>
        <w:pStyle w:val="13"/>
        <w:ind w:firstLine="482"/>
      </w:pPr>
      <w:r w:rsidRPr="00E05BDA">
        <w:rPr>
          <w:rFonts w:hint="eastAsia"/>
          <w:b/>
          <w:bCs/>
        </w:rPr>
        <w:t xml:space="preserve">第二十条 </w:t>
      </w:r>
      <w:r w:rsidR="00EA1B72">
        <w:t>执行资产评估业务，当评估对象无法使用或者不宜整体使用时，通常考虑评估对象的拆零变现，并选择残余价值作为评估结论的价值类型。</w:t>
      </w:r>
    </w:p>
    <w:p w14:paraId="4C666BEA" w14:textId="7CD2B4E9" w:rsidR="00EA1B72" w:rsidRDefault="00E05BDA" w:rsidP="00EA1B72">
      <w:pPr>
        <w:pStyle w:val="13"/>
        <w:ind w:firstLine="482"/>
      </w:pPr>
      <w:r w:rsidRPr="00E05BDA">
        <w:rPr>
          <w:rFonts w:hint="eastAsia"/>
          <w:b/>
          <w:bCs/>
        </w:rPr>
        <w:t xml:space="preserve">第二十一条 </w:t>
      </w:r>
      <w:r w:rsidR="00EA1B72">
        <w:t>执行以抵（质）押为目的的资产评估业务，应当根据《中华人民共和国担保法》等相关法律、行政法规及金融监管机关的规定选择评估结论的价值类型；相关法律、行政法规及金融监管机关没有规定的，可以根据实际情况选择市场价值或者市场价值以外的价值类型作为抵（质）</w:t>
      </w:r>
      <w:proofErr w:type="gramStart"/>
      <w:r w:rsidR="00EA1B72">
        <w:t>押物评估</w:t>
      </w:r>
      <w:proofErr w:type="gramEnd"/>
      <w:r w:rsidR="00EA1B72">
        <w:t>结论的价值类型。</w:t>
      </w:r>
    </w:p>
    <w:p w14:paraId="1046BC5D" w14:textId="7A588441" w:rsidR="00EA1B72" w:rsidRDefault="00E05BDA" w:rsidP="00EA1B72">
      <w:pPr>
        <w:pStyle w:val="13"/>
        <w:ind w:firstLine="482"/>
      </w:pPr>
      <w:r w:rsidRPr="00E05BDA">
        <w:rPr>
          <w:rFonts w:hint="eastAsia"/>
          <w:b/>
          <w:bCs/>
        </w:rPr>
        <w:t xml:space="preserve">第二十二条 </w:t>
      </w:r>
      <w:r w:rsidR="00EA1B72">
        <w:t>执行以税收为目的的资产评估业务，应当根据税法等相关法律、行政法规规定选择评估结论的价值类型；相关法律、行政法规没有规定的，可以根据实际情况选择市场价值或者市场价值以外的价值类型作为课税对象评估结论的价值类型。</w:t>
      </w:r>
    </w:p>
    <w:p w14:paraId="04B4F2C9" w14:textId="4DD4B18E" w:rsidR="00EA1B72" w:rsidRDefault="00E05BDA" w:rsidP="00EA1B72">
      <w:pPr>
        <w:pStyle w:val="13"/>
        <w:ind w:firstLine="482"/>
      </w:pPr>
      <w:r w:rsidRPr="00E05BDA">
        <w:rPr>
          <w:rFonts w:hint="eastAsia"/>
          <w:b/>
          <w:bCs/>
        </w:rPr>
        <w:t xml:space="preserve">第二十三条 </w:t>
      </w:r>
      <w:r w:rsidR="00EA1B72">
        <w:t>执行以保险为目的的资产评估业务，应当根据《中华人民共和国保险法》等相关法律、行政法规或者合同规定选择评估结论的价值类型；相关法律、行政法规或者合同没有规定的，可以根据实际情况选择市场价值或者市场价值以外的价值类型作为保险标的物评估结论的价值类型。</w:t>
      </w:r>
    </w:p>
    <w:p w14:paraId="05E2F2A3" w14:textId="017C8FAF" w:rsidR="00EA1B72" w:rsidRDefault="00E05BDA" w:rsidP="00EA1B72">
      <w:pPr>
        <w:pStyle w:val="13"/>
        <w:ind w:firstLine="482"/>
      </w:pPr>
      <w:r w:rsidRPr="00E05BDA">
        <w:rPr>
          <w:rFonts w:hint="eastAsia"/>
          <w:b/>
          <w:bCs/>
        </w:rPr>
        <w:t xml:space="preserve">第二十四条 </w:t>
      </w:r>
      <w:r w:rsidR="00EA1B72">
        <w:t>执行以财务报告为目的的资产评估业务，应当根据会计准则或者相关</w:t>
      </w:r>
      <w:r w:rsidR="00EA1B72">
        <w:rPr>
          <w:rFonts w:hint="eastAsia"/>
        </w:rPr>
        <w:t>会计核算与披露的具体要求、评估对象等相关条件明确价值类型，会计准则规定的计量属性可以理解为相对应的资产评估价值类型。</w:t>
      </w:r>
    </w:p>
    <w:p w14:paraId="6E831D0C" w14:textId="73FAD9D5" w:rsidR="00EA1B72" w:rsidRDefault="00E05BDA" w:rsidP="00EA1B72">
      <w:pPr>
        <w:pStyle w:val="13"/>
        <w:ind w:firstLine="482"/>
      </w:pPr>
      <w:r w:rsidRPr="00E05BDA">
        <w:rPr>
          <w:rFonts w:hint="eastAsia"/>
          <w:b/>
          <w:bCs/>
        </w:rPr>
        <w:t xml:space="preserve">第二十五条 </w:t>
      </w:r>
      <w:r w:rsidR="00EA1B72">
        <w:t>执行资产评估业务，应当根据《资产评估执业准则—资产评估报告》对价值类型及其定义进行披露。</w:t>
      </w:r>
    </w:p>
    <w:p w14:paraId="36FE3A4A" w14:textId="77777777" w:rsidR="00EA1B72" w:rsidRDefault="00EA1B72" w:rsidP="00AF7342">
      <w:pPr>
        <w:pStyle w:val="a9"/>
        <w:spacing w:before="62" w:after="62"/>
      </w:pPr>
      <w:r>
        <w:rPr>
          <w:rFonts w:hint="eastAsia"/>
        </w:rPr>
        <w:lastRenderedPageBreak/>
        <w:t>第四章</w:t>
      </w:r>
      <w:r>
        <w:t xml:space="preserve"> 附则</w:t>
      </w:r>
    </w:p>
    <w:p w14:paraId="23055A9C" w14:textId="69AA820B" w:rsidR="00EA1B72" w:rsidRDefault="00E05BDA" w:rsidP="00EA1B72">
      <w:pPr>
        <w:pStyle w:val="13"/>
        <w:ind w:firstLine="482"/>
      </w:pPr>
      <w:r w:rsidRPr="00E05BDA">
        <w:rPr>
          <w:rFonts w:hint="eastAsia"/>
          <w:b/>
        </w:rPr>
        <w:t xml:space="preserve">第二十六条 </w:t>
      </w:r>
      <w:r w:rsidR="00EA1B72">
        <w:t>本指导意见自 2017</w:t>
      </w:r>
      <w:r w:rsidR="003068F8">
        <w:t>年</w:t>
      </w:r>
      <w:r w:rsidR="00EA1B72">
        <w:t>10</w:t>
      </w:r>
      <w:r w:rsidR="003068F8">
        <w:t>月</w:t>
      </w:r>
      <w:r w:rsidR="00EA1B72">
        <w:t>1</w:t>
      </w:r>
      <w:r w:rsidR="003068F8">
        <w:t>日</w:t>
      </w:r>
      <w:r w:rsidR="00EA1B72">
        <w:t>起施行。中国资产评估协会于 2007</w:t>
      </w:r>
      <w:r w:rsidR="003068F8">
        <w:t>年</w:t>
      </w:r>
      <w:r w:rsidR="00EA1B72">
        <w:t>11</w:t>
      </w:r>
      <w:r w:rsidR="003068F8">
        <w:t>月</w:t>
      </w:r>
      <w:r w:rsidR="00EA1B72">
        <w:t>28</w:t>
      </w:r>
      <w:r w:rsidR="003068F8">
        <w:t>日</w:t>
      </w:r>
      <w:r w:rsidR="00EA1B72">
        <w:t>发布的《关于印发〈资产评估准则—评估报告〉等 7 项资产评估准则的通知》（</w:t>
      </w:r>
      <w:proofErr w:type="gramStart"/>
      <w:r w:rsidR="00EA1B72">
        <w:t>中评协</w:t>
      </w:r>
      <w:proofErr w:type="gramEnd"/>
      <w:r w:rsidR="00EA1B72">
        <w:t>〔2007〕189号）中的《资产评估价值类型指导意见》同时废止。</w:t>
      </w:r>
    </w:p>
    <w:p w14:paraId="6AFF2F25" w14:textId="77777777" w:rsidR="00EA1B72" w:rsidRDefault="00EA1B72" w:rsidP="00EA1B72">
      <w:pPr>
        <w:pStyle w:val="31"/>
        <w:spacing w:before="156" w:after="62"/>
      </w:pPr>
      <w:bookmarkStart w:id="40" w:name="_Toc81833320"/>
      <w:r>
        <w:rPr>
          <w:rFonts w:hint="eastAsia"/>
        </w:rPr>
        <w:t>资产评估对象法律权属指导意见（</w:t>
      </w:r>
      <w:proofErr w:type="gramStart"/>
      <w:r>
        <w:rPr>
          <w:rFonts w:hint="eastAsia"/>
        </w:rPr>
        <w:t>中评协</w:t>
      </w:r>
      <w:proofErr w:type="gramEnd"/>
      <w:r>
        <w:rPr>
          <w:rFonts w:hint="eastAsia"/>
        </w:rPr>
        <w:t>〔</w:t>
      </w:r>
      <w:r>
        <w:t>2017〕48号）</w:t>
      </w:r>
      <w:bookmarkEnd w:id="40"/>
    </w:p>
    <w:p w14:paraId="5AC0A0BE" w14:textId="77777777" w:rsidR="00EA1B72" w:rsidRDefault="00EA1B72" w:rsidP="00EA1B72">
      <w:pPr>
        <w:pStyle w:val="13"/>
        <w:ind w:firstLineChars="0" w:firstLine="0"/>
      </w:pPr>
      <w:r>
        <w:rPr>
          <w:rFonts w:hint="eastAsia"/>
        </w:rPr>
        <w:t>各省、自治区、直辖市、计划单列市资产评估协会（注册会计师协会）：</w:t>
      </w:r>
    </w:p>
    <w:p w14:paraId="2AE36E12" w14:textId="7060F32A" w:rsidR="00EA1B72" w:rsidRDefault="00EA1B72" w:rsidP="00EA1B72">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注册资产评估师关注评估对象法律权属指导意见》进行了修订，制定了《资产评估对象法律权属指导意见》，现予印发，自</w:t>
      </w:r>
      <w:r>
        <w:t xml:space="preserve"> 2017</w:t>
      </w:r>
      <w:r w:rsidR="003068F8">
        <w:t>年</w:t>
      </w:r>
      <w:r>
        <w:t>10</w:t>
      </w:r>
      <w:r w:rsidR="003068F8">
        <w:t>月</w:t>
      </w:r>
      <w:r>
        <w:t>1</w:t>
      </w:r>
      <w:r w:rsidR="003068F8">
        <w:t>日</w:t>
      </w:r>
      <w:r>
        <w:t>起施行。</w:t>
      </w:r>
    </w:p>
    <w:p w14:paraId="7202623B" w14:textId="77777777" w:rsidR="00EA1B72" w:rsidRDefault="00EA1B72" w:rsidP="00EA1B72">
      <w:pPr>
        <w:pStyle w:val="13"/>
      </w:pPr>
      <w:r>
        <w:rPr>
          <w:rFonts w:hint="eastAsia"/>
        </w:rPr>
        <w:t>请各地</w:t>
      </w:r>
      <w:proofErr w:type="gramStart"/>
      <w:r>
        <w:rPr>
          <w:rFonts w:hint="eastAsia"/>
        </w:rPr>
        <w:t>方协会</w:t>
      </w:r>
      <w:proofErr w:type="gramEnd"/>
      <w:r>
        <w:rPr>
          <w:rFonts w:hint="eastAsia"/>
        </w:rPr>
        <w:t>将《资产评估对象法律权属指导意见》及时转发资产评估机构，组织资产评估机构和资产评估专业人员进行学习和培训，并将执行过程中发现的问题及时上报中国资产评估协会。</w:t>
      </w:r>
    </w:p>
    <w:p w14:paraId="607F6C64" w14:textId="77777777" w:rsidR="00EA1B72" w:rsidRDefault="00EA1B72" w:rsidP="00EA1B72">
      <w:pPr>
        <w:pStyle w:val="13"/>
      </w:pPr>
      <w:r>
        <w:rPr>
          <w:rFonts w:hint="eastAsia"/>
        </w:rPr>
        <w:t>附件：《资产评估对象法律权属指导意见》</w:t>
      </w:r>
    </w:p>
    <w:p w14:paraId="136E1504" w14:textId="77777777" w:rsidR="00EA1B72" w:rsidRDefault="00EA1B72" w:rsidP="00EA1B72">
      <w:pPr>
        <w:pStyle w:val="13"/>
        <w:jc w:val="right"/>
      </w:pPr>
      <w:r>
        <w:rPr>
          <w:rFonts w:hint="eastAsia"/>
        </w:rPr>
        <w:t>中国资产评估协会</w:t>
      </w:r>
    </w:p>
    <w:p w14:paraId="01290862" w14:textId="6B134740" w:rsidR="00EA1B72" w:rsidRDefault="00EA1B72" w:rsidP="00EA1B72">
      <w:pPr>
        <w:pStyle w:val="13"/>
        <w:jc w:val="right"/>
      </w:pPr>
      <w:r>
        <w:t>2017</w:t>
      </w:r>
      <w:r w:rsidR="003068F8">
        <w:t>年</w:t>
      </w:r>
      <w:r>
        <w:t>9</w:t>
      </w:r>
      <w:r w:rsidR="003068F8">
        <w:t>月</w:t>
      </w:r>
      <w:r>
        <w:t>8</w:t>
      </w:r>
      <w:r w:rsidR="003068F8">
        <w:t>日</w:t>
      </w:r>
    </w:p>
    <w:p w14:paraId="25407454" w14:textId="77777777" w:rsidR="00EA1B72" w:rsidRDefault="00EA1B72" w:rsidP="00AF7342">
      <w:pPr>
        <w:pStyle w:val="a9"/>
        <w:spacing w:before="62" w:after="62"/>
      </w:pPr>
      <w:r>
        <w:rPr>
          <w:rFonts w:hint="eastAsia"/>
        </w:rPr>
        <w:t>资产评估对象法律权属指导意见</w:t>
      </w:r>
    </w:p>
    <w:p w14:paraId="34BB8568" w14:textId="045E9A5E" w:rsidR="00EA1B72" w:rsidRDefault="004E3EBB" w:rsidP="00EA1B72">
      <w:pPr>
        <w:pStyle w:val="13"/>
        <w:ind w:firstLine="482"/>
      </w:pPr>
      <w:r w:rsidRPr="004E3EBB">
        <w:rPr>
          <w:rFonts w:hint="eastAsia"/>
          <w:b/>
          <w:bCs/>
        </w:rPr>
        <w:t xml:space="preserve">第一条 </w:t>
      </w:r>
      <w:r w:rsidR="00EA1B72">
        <w:t>为规范资产评估机构及其资产评估专业人员执业行为，保护资产评估当事人合法权益和公共利益，根据《资产评估基本准则》制定本指导意见。</w:t>
      </w:r>
    </w:p>
    <w:p w14:paraId="18F9C289" w14:textId="10CB19C1" w:rsidR="00EA1B72" w:rsidRDefault="004E3EBB" w:rsidP="00EA1B72">
      <w:pPr>
        <w:pStyle w:val="13"/>
        <w:ind w:firstLine="482"/>
      </w:pPr>
      <w:r w:rsidRPr="004E3EBB">
        <w:rPr>
          <w:rFonts w:hint="eastAsia"/>
          <w:b/>
          <w:bCs/>
        </w:rPr>
        <w:t xml:space="preserve">第二条 </w:t>
      </w:r>
      <w:r w:rsidR="00EA1B72">
        <w:t>本指导意见所称资产评估对象法律权属，是指资产评估对象的所有权和与所有权有关的其他财产权利。</w:t>
      </w:r>
    </w:p>
    <w:p w14:paraId="1E6CEB44" w14:textId="4F3ED141" w:rsidR="00EA1B72" w:rsidRDefault="004E3EBB" w:rsidP="00EA1B72">
      <w:pPr>
        <w:pStyle w:val="13"/>
        <w:ind w:firstLine="482"/>
      </w:pPr>
      <w:r w:rsidRPr="004E3EBB">
        <w:rPr>
          <w:rFonts w:hint="eastAsia"/>
          <w:b/>
          <w:bCs/>
        </w:rPr>
        <w:t xml:space="preserve">第三条 </w:t>
      </w:r>
      <w:r w:rsidR="00EA1B72">
        <w:t>委托人和其他相关当事人委托资产评估业务，应当依法提供资产评估对象</w:t>
      </w:r>
      <w:r w:rsidR="00EA1B72">
        <w:rPr>
          <w:rFonts w:hint="eastAsia"/>
        </w:rPr>
        <w:t>法律权属等资料，并保证其真实性、完整性、合法性。</w:t>
      </w:r>
    </w:p>
    <w:p w14:paraId="538A53F6" w14:textId="7EE6C350" w:rsidR="00EA1B72" w:rsidRDefault="004E3EBB" w:rsidP="00EA1B72">
      <w:pPr>
        <w:pStyle w:val="13"/>
        <w:ind w:firstLine="482"/>
      </w:pPr>
      <w:r w:rsidRPr="004E3EBB">
        <w:rPr>
          <w:rFonts w:hint="eastAsia"/>
          <w:b/>
          <w:bCs/>
        </w:rPr>
        <w:t xml:space="preserve">第四条 </w:t>
      </w:r>
      <w:r w:rsidR="00EA1B72">
        <w:t>资产评估对象法律权属对理解资产评估结论有重大影响，执行资产评估业务应当予以关注并恰当披露。</w:t>
      </w:r>
    </w:p>
    <w:p w14:paraId="7CC3F069" w14:textId="59077D30" w:rsidR="00EA1B72" w:rsidRDefault="004E3EBB" w:rsidP="00EA1B72">
      <w:pPr>
        <w:pStyle w:val="13"/>
        <w:ind w:firstLine="482"/>
      </w:pPr>
      <w:r w:rsidRPr="004E3EBB">
        <w:rPr>
          <w:rFonts w:hint="eastAsia"/>
          <w:b/>
          <w:bCs/>
        </w:rPr>
        <w:t xml:space="preserve">第五条 </w:t>
      </w:r>
      <w:r w:rsidR="00EA1B72">
        <w:t>执行资产评估业务，应当明确告知委托人和其他相关当事人，执行资产评估业务的目的是对资产评估对象价值进行估算并发表专业意见，对资产评估对象法律权属确认或者发表意见超出资产评估专业人员的执业范围。资产评估专业人员不得对资产评估对象的法律权属提供保证。</w:t>
      </w:r>
    </w:p>
    <w:p w14:paraId="03EAE981" w14:textId="3AC143B8" w:rsidR="00EA1B72" w:rsidRDefault="004E3EBB" w:rsidP="00EA1B72">
      <w:pPr>
        <w:pStyle w:val="13"/>
        <w:ind w:firstLine="482"/>
      </w:pPr>
      <w:r w:rsidRPr="004E3EBB">
        <w:rPr>
          <w:rFonts w:hint="eastAsia"/>
          <w:b/>
          <w:bCs/>
        </w:rPr>
        <w:t xml:space="preserve">第六条 </w:t>
      </w:r>
      <w:r w:rsidR="00EA1B72">
        <w:t>对于法律权属不清、存在瑕疵，权属关系复杂、权属资料不完备的资产评估对象，资产评估专业人员应当对其法律权属予以特别关注，要求委托人和其他相关当事人提供承诺函或者说明</w:t>
      </w:r>
      <w:proofErr w:type="gramStart"/>
      <w:r w:rsidR="00EA1B72">
        <w:t>函予以</w:t>
      </w:r>
      <w:proofErr w:type="gramEnd"/>
      <w:r w:rsidR="00EA1B72">
        <w:t>充分说明。资产评估机构应当根据前述法律权</w:t>
      </w:r>
      <w:r w:rsidR="00EA1B72">
        <w:lastRenderedPageBreak/>
        <w:t>属状况可能对资产评估结论和资产评估目的所对应经济行为造成的影响，考虑是否受理资产评估业务。</w:t>
      </w:r>
    </w:p>
    <w:p w14:paraId="660CA8FE" w14:textId="6D523472" w:rsidR="00EA1B72" w:rsidRDefault="004E3EBB" w:rsidP="00EA1B72">
      <w:pPr>
        <w:pStyle w:val="13"/>
        <w:ind w:firstLine="482"/>
      </w:pPr>
      <w:r w:rsidRPr="004E3EBB">
        <w:rPr>
          <w:rFonts w:hint="eastAsia"/>
          <w:b/>
          <w:bCs/>
        </w:rPr>
        <w:t xml:space="preserve">第七条 </w:t>
      </w:r>
      <w:r w:rsidR="00EA1B72">
        <w:t>资产评估专业人员发现委托人和其他相关当事人提供虚假的法律权属资料</w:t>
      </w:r>
      <w:r w:rsidR="003C1F46">
        <w:t>，</w:t>
      </w:r>
      <w:r w:rsidR="00EA1B72">
        <w:t>或者委托人和其他相关当事人拒绝或者无法提供执行资产评估业务必要的权属证明，资 产评估机构有权依法拒绝其履行合同的要求。</w:t>
      </w:r>
    </w:p>
    <w:p w14:paraId="0EBBFBC8" w14:textId="17BBF1D8" w:rsidR="00EA1B72" w:rsidRDefault="004E3EBB" w:rsidP="00EA1B72">
      <w:pPr>
        <w:pStyle w:val="13"/>
        <w:ind w:firstLine="482"/>
      </w:pPr>
      <w:r w:rsidRPr="004E3EBB">
        <w:rPr>
          <w:rFonts w:hint="eastAsia"/>
          <w:b/>
          <w:bCs/>
        </w:rPr>
        <w:t xml:space="preserve">第八条 </w:t>
      </w:r>
      <w:r w:rsidR="00EA1B72">
        <w:t>执行资产评估业务，应当对委托人和其他相关当事人提供的资产评估对象法律权属资料进行核查验证，并对核查验证情况予以披露。</w:t>
      </w:r>
    </w:p>
    <w:p w14:paraId="5CB6E386" w14:textId="77777777" w:rsidR="00EA1B72" w:rsidRDefault="00EA1B72" w:rsidP="00EA1B72">
      <w:pPr>
        <w:pStyle w:val="13"/>
      </w:pPr>
      <w:r>
        <w:rPr>
          <w:rFonts w:hint="eastAsia"/>
        </w:rPr>
        <w:t>对资产评估对象法律权属资料核查验证的方式通常包括核对原件与复印件的一致性、通过公开的信息渠道进行查询、到相关产权登记部门现场查询等。</w:t>
      </w:r>
    </w:p>
    <w:p w14:paraId="6F436A89" w14:textId="77777777" w:rsidR="00EA1B72" w:rsidRDefault="00EA1B72" w:rsidP="00EA1B72">
      <w:pPr>
        <w:pStyle w:val="13"/>
      </w:pPr>
      <w:r>
        <w:rPr>
          <w:rFonts w:hint="eastAsia"/>
        </w:rPr>
        <w:t>资产评估对象是股权的，应当按照重要性原则，对相关资产的法律权属资料进行核查验证。</w:t>
      </w:r>
    </w:p>
    <w:p w14:paraId="085B0854" w14:textId="77777777" w:rsidR="00EA1B72" w:rsidRDefault="00EA1B72" w:rsidP="00EA1B72">
      <w:pPr>
        <w:pStyle w:val="13"/>
      </w:pPr>
      <w:r>
        <w:rPr>
          <w:rFonts w:hint="eastAsia"/>
        </w:rPr>
        <w:t>超出资产评估专业人员能力的核查验证事项，资产评估专业人员可以委托或者要求委托人委托律师事务所等相关机构出具专业意见。无法核查验证的事项，可以根据其对评估结论的影响程度采取在资产评估报告中披露等措施，直至终止执行资产评估业务。</w:t>
      </w:r>
    </w:p>
    <w:p w14:paraId="275B2A0D" w14:textId="733C5221" w:rsidR="00EA1B72" w:rsidRDefault="00E05BDA" w:rsidP="00EA1B72">
      <w:pPr>
        <w:pStyle w:val="13"/>
        <w:ind w:firstLine="482"/>
      </w:pPr>
      <w:r w:rsidRPr="00E05BDA">
        <w:rPr>
          <w:rFonts w:hint="eastAsia"/>
          <w:b/>
          <w:bCs/>
        </w:rPr>
        <w:t xml:space="preserve">第九条 </w:t>
      </w:r>
      <w:r w:rsidR="00EA1B72">
        <w:t>资产评估专业人员应当在资产评估报告中描述资产评估对象法律权属，对评估对象法律权属存在的瑕疵予以披露。</w:t>
      </w:r>
    </w:p>
    <w:p w14:paraId="6F68FCA7" w14:textId="77777777" w:rsidR="00EA1B72" w:rsidRDefault="00EA1B72" w:rsidP="00EA1B72">
      <w:pPr>
        <w:pStyle w:val="13"/>
      </w:pPr>
      <w:r>
        <w:rPr>
          <w:rFonts w:hint="eastAsia"/>
        </w:rPr>
        <w:t>资产评估专业人员以设定产权为前提进行资产评估，应当对资产评估对象法律权属和设定产权前提予以充分披露。</w:t>
      </w:r>
    </w:p>
    <w:p w14:paraId="32127AF6" w14:textId="51CF72B9" w:rsidR="00EA1B72" w:rsidRDefault="00E05BDA" w:rsidP="00EA1B72">
      <w:pPr>
        <w:pStyle w:val="13"/>
        <w:ind w:firstLine="482"/>
      </w:pPr>
      <w:r w:rsidRPr="00E05BDA">
        <w:rPr>
          <w:rFonts w:hint="eastAsia"/>
          <w:b/>
          <w:bCs/>
        </w:rPr>
        <w:t xml:space="preserve">第十条 </w:t>
      </w:r>
      <w:r w:rsidR="00EA1B72">
        <w:t>委托人和其他相关当事人提供的资产评估对象法律权属资料、核查验证情况以及其他相关说明材料，应当在资产评估报告和工作底稿中反映。</w:t>
      </w:r>
    </w:p>
    <w:p w14:paraId="57FBE6C3" w14:textId="38C2D72F" w:rsidR="00EA1B72" w:rsidRDefault="00E05BDA" w:rsidP="00EA1B72">
      <w:pPr>
        <w:pStyle w:val="13"/>
        <w:ind w:firstLine="482"/>
      </w:pPr>
      <w:r w:rsidRPr="00E05BDA">
        <w:rPr>
          <w:rFonts w:hint="eastAsia"/>
          <w:b/>
          <w:bCs/>
        </w:rPr>
        <w:t xml:space="preserve">第十一条 </w:t>
      </w:r>
      <w:r w:rsidR="00EA1B72">
        <w:t>本指导意见自 2017</w:t>
      </w:r>
      <w:r w:rsidR="003068F8">
        <w:t>年</w:t>
      </w:r>
      <w:r w:rsidR="00EA1B72">
        <w:t>10</w:t>
      </w:r>
      <w:r w:rsidR="003068F8">
        <w:t>月</w:t>
      </w:r>
      <w:r w:rsidR="00EA1B72">
        <w:t>1</w:t>
      </w:r>
      <w:r w:rsidR="003068F8">
        <w:t>日</w:t>
      </w:r>
      <w:r w:rsidR="00EA1B72">
        <w:t>起施行。中国注册会计师协会于 2003</w:t>
      </w:r>
      <w:r w:rsidR="003068F8">
        <w:t>年</w:t>
      </w:r>
      <w:r w:rsidR="00EA1B72">
        <w:t>1</w:t>
      </w:r>
      <w:r w:rsidR="003068F8">
        <w:t>月</w:t>
      </w:r>
      <w:r w:rsidR="00EA1B72">
        <w:t>28</w:t>
      </w:r>
      <w:r w:rsidR="003068F8">
        <w:t>日</w:t>
      </w:r>
      <w:r w:rsidR="00EA1B72">
        <w:t>发布的《关于印发〈注册资产评估师关注评估对象法律权属指导意见〉的通知》（</w:t>
      </w:r>
      <w:proofErr w:type="gramStart"/>
      <w:r w:rsidR="00EA1B72">
        <w:t>会协〔2003〕</w:t>
      </w:r>
      <w:proofErr w:type="gramEnd"/>
      <w:r w:rsidR="00EA1B72">
        <w:t>18号）同时废止。</w:t>
      </w:r>
    </w:p>
    <w:p w14:paraId="5FD0A375" w14:textId="77777777" w:rsidR="00EA1B72" w:rsidRDefault="00EA1B72" w:rsidP="00EA1B72">
      <w:pPr>
        <w:pStyle w:val="31"/>
        <w:spacing w:before="156" w:after="62"/>
      </w:pPr>
      <w:bookmarkStart w:id="41" w:name="_Toc81833321"/>
      <w:r>
        <w:rPr>
          <w:rFonts w:hint="eastAsia"/>
        </w:rPr>
        <w:t>专利资产评估指导意见（</w:t>
      </w:r>
      <w:proofErr w:type="gramStart"/>
      <w:r>
        <w:rPr>
          <w:rFonts w:hint="eastAsia"/>
        </w:rPr>
        <w:t>中评协</w:t>
      </w:r>
      <w:proofErr w:type="gramEnd"/>
      <w:r>
        <w:rPr>
          <w:rFonts w:hint="eastAsia"/>
        </w:rPr>
        <w:t>〔</w:t>
      </w:r>
      <w:r>
        <w:t>2017〕49号）</w:t>
      </w:r>
      <w:bookmarkEnd w:id="41"/>
    </w:p>
    <w:p w14:paraId="621BB85D" w14:textId="77777777" w:rsidR="00EA1B72" w:rsidRDefault="00EA1B72" w:rsidP="00EA1B72">
      <w:pPr>
        <w:pStyle w:val="13"/>
        <w:ind w:firstLineChars="0" w:firstLine="0"/>
      </w:pPr>
      <w:r>
        <w:rPr>
          <w:rFonts w:hint="eastAsia"/>
        </w:rPr>
        <w:t>各省、自治区、直辖市、计划单列市资产评估协会（注册会计师协会）：</w:t>
      </w:r>
    </w:p>
    <w:p w14:paraId="343D29B4" w14:textId="377BEB3E" w:rsidR="00EA1B72" w:rsidRDefault="00EA1B72" w:rsidP="00EA1B72">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专利资产评估指导意见》进行了修订，现予印发，自</w:t>
      </w:r>
      <w:r>
        <w:t xml:space="preserve"> 2017</w:t>
      </w:r>
      <w:r w:rsidR="003068F8">
        <w:t>年</w:t>
      </w:r>
      <w:r>
        <w:t>10</w:t>
      </w:r>
      <w:r w:rsidR="003068F8">
        <w:t>月</w:t>
      </w:r>
      <w:r>
        <w:t>1</w:t>
      </w:r>
      <w:r w:rsidR="003068F8">
        <w:t>日</w:t>
      </w:r>
      <w:r>
        <w:t>起施行。</w:t>
      </w:r>
    </w:p>
    <w:p w14:paraId="2975AE44" w14:textId="77777777" w:rsidR="00EA1B72" w:rsidRDefault="00EA1B72" w:rsidP="00EA1B72">
      <w:pPr>
        <w:pStyle w:val="13"/>
      </w:pPr>
      <w:r>
        <w:rPr>
          <w:rFonts w:hint="eastAsia"/>
        </w:rPr>
        <w:t>请各地</w:t>
      </w:r>
      <w:proofErr w:type="gramStart"/>
      <w:r>
        <w:rPr>
          <w:rFonts w:hint="eastAsia"/>
        </w:rPr>
        <w:t>方协会</w:t>
      </w:r>
      <w:proofErr w:type="gramEnd"/>
      <w:r>
        <w:rPr>
          <w:rFonts w:hint="eastAsia"/>
        </w:rPr>
        <w:t>将《专利资产评估指导意见》及时转发资产评估机构，组织资产评估机构和资产评估专业人员进行学习和培训，并将执行过程中发现的问题及时上报中国资产评估协会。</w:t>
      </w:r>
    </w:p>
    <w:p w14:paraId="22AB324F" w14:textId="77777777" w:rsidR="00EA1B72" w:rsidRDefault="00EA1B72" w:rsidP="00EA1B72">
      <w:pPr>
        <w:pStyle w:val="13"/>
      </w:pPr>
      <w:r>
        <w:rPr>
          <w:rFonts w:hint="eastAsia"/>
        </w:rPr>
        <w:lastRenderedPageBreak/>
        <w:t>附件：《专利资产评估指导意见》</w:t>
      </w:r>
    </w:p>
    <w:p w14:paraId="1CB5BEBE" w14:textId="77777777" w:rsidR="00EA1B72" w:rsidRDefault="00EA1B72" w:rsidP="00EA1B72">
      <w:pPr>
        <w:pStyle w:val="13"/>
        <w:jc w:val="right"/>
      </w:pPr>
      <w:r>
        <w:rPr>
          <w:rFonts w:hint="eastAsia"/>
        </w:rPr>
        <w:t>中国资产评估协会</w:t>
      </w:r>
    </w:p>
    <w:p w14:paraId="036341CA" w14:textId="1B069274" w:rsidR="00EA1B72" w:rsidRDefault="00EA1B72" w:rsidP="00EA1B72">
      <w:pPr>
        <w:pStyle w:val="13"/>
        <w:jc w:val="right"/>
      </w:pPr>
      <w:r>
        <w:t>2017</w:t>
      </w:r>
      <w:r w:rsidR="003068F8">
        <w:t>年</w:t>
      </w:r>
      <w:r>
        <w:t>9</w:t>
      </w:r>
      <w:r w:rsidR="003068F8">
        <w:t>月</w:t>
      </w:r>
      <w:r>
        <w:t>8</w:t>
      </w:r>
      <w:r w:rsidR="003068F8">
        <w:t>日</w:t>
      </w:r>
    </w:p>
    <w:p w14:paraId="26E12177" w14:textId="77777777" w:rsidR="00EA1B72" w:rsidRDefault="00EA1B72" w:rsidP="00AF7342">
      <w:pPr>
        <w:pStyle w:val="a9"/>
        <w:spacing w:before="62" w:after="62"/>
      </w:pPr>
      <w:r>
        <w:rPr>
          <w:rFonts w:hint="eastAsia"/>
        </w:rPr>
        <w:t>专利资产评估指导意见</w:t>
      </w:r>
    </w:p>
    <w:p w14:paraId="25CDA87A" w14:textId="77777777" w:rsidR="00EA1B72" w:rsidRDefault="00EA1B72" w:rsidP="00AF7342">
      <w:pPr>
        <w:pStyle w:val="a9"/>
        <w:spacing w:before="62" w:after="62"/>
      </w:pPr>
      <w:r>
        <w:rPr>
          <w:rFonts w:hint="eastAsia"/>
        </w:rPr>
        <w:t>第一章</w:t>
      </w:r>
      <w:r>
        <w:t xml:space="preserve"> 总则</w:t>
      </w:r>
    </w:p>
    <w:p w14:paraId="5DC5066B" w14:textId="16C07C8E" w:rsidR="00EA1B72" w:rsidRDefault="004E3EBB" w:rsidP="00EA1B72">
      <w:pPr>
        <w:pStyle w:val="13"/>
        <w:ind w:firstLine="482"/>
      </w:pPr>
      <w:r w:rsidRPr="004E3EBB">
        <w:rPr>
          <w:rFonts w:hint="eastAsia"/>
          <w:b/>
          <w:bCs/>
        </w:rPr>
        <w:t xml:space="preserve">第一条 </w:t>
      </w:r>
      <w:r w:rsidR="00EA1B72">
        <w:t>为规范专利资产评估行为，保护资产评估当事人的合法权益和公共利益</w:t>
      </w:r>
      <w:r w:rsidR="003C1F46">
        <w:t>，</w:t>
      </w:r>
      <w:r w:rsidR="00EA1B72">
        <w:t>根据《资产评估执业准则—无形资产》制定本指导意见。</w:t>
      </w:r>
    </w:p>
    <w:p w14:paraId="6A941641" w14:textId="6D94445D" w:rsidR="00EA1B72" w:rsidRDefault="004E3EBB" w:rsidP="00EA1B72">
      <w:pPr>
        <w:pStyle w:val="13"/>
        <w:ind w:firstLine="482"/>
      </w:pPr>
      <w:r w:rsidRPr="004E3EBB">
        <w:rPr>
          <w:rFonts w:hint="eastAsia"/>
          <w:b/>
          <w:bCs/>
        </w:rPr>
        <w:t xml:space="preserve">第二条 </w:t>
      </w:r>
      <w:r w:rsidR="00EA1B72">
        <w:t>本指导意见所称专利资产，是指专利权人拥有或者控制的，能持续发挥作用并且能带来经济利益的专利权益。</w:t>
      </w:r>
    </w:p>
    <w:p w14:paraId="4E269E38" w14:textId="56A0CDB0" w:rsidR="00EA1B72" w:rsidRDefault="004E3EBB" w:rsidP="00EA1B72">
      <w:pPr>
        <w:pStyle w:val="13"/>
        <w:ind w:firstLine="482"/>
      </w:pPr>
      <w:r w:rsidRPr="004E3EBB">
        <w:rPr>
          <w:rFonts w:hint="eastAsia"/>
          <w:b/>
          <w:bCs/>
        </w:rPr>
        <w:t xml:space="preserve">第三条 </w:t>
      </w:r>
      <w:r w:rsidR="00EA1B72">
        <w:t>本指导意见所称专利资产评估，是指资产评估机构及其资产评估专业人员遵守法律、行政法规和资产评估准则，根据委托对评估基准日特定目的下的专利资产价值进行评定和估算，并出具资产评估报告的专业服务行为。</w:t>
      </w:r>
    </w:p>
    <w:p w14:paraId="43F86C93" w14:textId="274C418A" w:rsidR="00EA1B72" w:rsidRDefault="004E3EBB" w:rsidP="00EA1B72">
      <w:pPr>
        <w:pStyle w:val="13"/>
        <w:ind w:firstLine="482"/>
      </w:pPr>
      <w:r w:rsidRPr="004E3EBB">
        <w:rPr>
          <w:rFonts w:hint="eastAsia"/>
          <w:b/>
          <w:bCs/>
        </w:rPr>
        <w:t xml:space="preserve">第四条 </w:t>
      </w:r>
      <w:r w:rsidR="00EA1B72">
        <w:t>执行专利资产评估业务，应当遵守本指导意见。</w:t>
      </w:r>
    </w:p>
    <w:p w14:paraId="2C6A1573" w14:textId="77777777" w:rsidR="00EA1B72" w:rsidRDefault="00EA1B72" w:rsidP="00AF7342">
      <w:pPr>
        <w:pStyle w:val="a9"/>
        <w:spacing w:before="62" w:after="62"/>
      </w:pPr>
      <w:r>
        <w:rPr>
          <w:rFonts w:hint="eastAsia"/>
        </w:rPr>
        <w:t>第二章</w:t>
      </w:r>
      <w:r>
        <w:t xml:space="preserve"> 基本遵循</w:t>
      </w:r>
    </w:p>
    <w:p w14:paraId="7CC5B2A4" w14:textId="1FCEEF91" w:rsidR="00EA1B72" w:rsidRDefault="004E3EBB" w:rsidP="00EA1B72">
      <w:pPr>
        <w:pStyle w:val="13"/>
        <w:ind w:firstLine="482"/>
      </w:pPr>
      <w:r w:rsidRPr="004E3EBB">
        <w:rPr>
          <w:rFonts w:hint="eastAsia"/>
          <w:b/>
          <w:bCs/>
        </w:rPr>
        <w:t xml:space="preserve">第五条 </w:t>
      </w:r>
      <w:r w:rsidR="00EA1B72">
        <w:t>资产评估机构及其资产评估专业人员开展专利权资产评估业务，应当遵守法律、行政法规的规定，坚持独立、客观、公正的原则，诚实守信，勤勉尽责，谨慎从业，遵守职业道德规范，自觉维护职业形象，不得从事损害职业形象的活动。</w:t>
      </w:r>
    </w:p>
    <w:p w14:paraId="476343ED" w14:textId="4796F0C9" w:rsidR="00EA1B72" w:rsidRDefault="004E3EBB" w:rsidP="00EA1B72">
      <w:pPr>
        <w:pStyle w:val="13"/>
        <w:ind w:firstLine="482"/>
      </w:pPr>
      <w:r w:rsidRPr="004E3EBB">
        <w:rPr>
          <w:rFonts w:hint="eastAsia"/>
          <w:b/>
          <w:bCs/>
        </w:rPr>
        <w:t xml:space="preserve">第六条 </w:t>
      </w:r>
      <w:r w:rsidR="00EA1B72">
        <w:t>资产评估机构及其资产评估专业人员开展专利资产评估业务，应当独立进行分析和估算并形成专业意见，拒绝委托人或者其他相关当事人的干预，不得直接以预先设定的价值作为评估结论。</w:t>
      </w:r>
    </w:p>
    <w:p w14:paraId="4631A8CC" w14:textId="39144E4A" w:rsidR="00EA1B72" w:rsidRDefault="004E3EBB" w:rsidP="00EA1B72">
      <w:pPr>
        <w:pStyle w:val="13"/>
        <w:ind w:firstLine="482"/>
      </w:pPr>
      <w:r w:rsidRPr="004E3EBB">
        <w:rPr>
          <w:rFonts w:hint="eastAsia"/>
          <w:b/>
          <w:bCs/>
        </w:rPr>
        <w:t xml:space="preserve">第七条 </w:t>
      </w:r>
      <w:r w:rsidR="00EA1B72">
        <w:t>执行专利资产评估业务，应当具备专利资产评估的专业知识和实践经验</w:t>
      </w:r>
      <w:r w:rsidR="003C1F46">
        <w:t>，</w:t>
      </w:r>
      <w:r w:rsidR="00EA1B72">
        <w:t>能够胜任所执行的专利资产评估业务。</w:t>
      </w:r>
    </w:p>
    <w:p w14:paraId="7A2581CF" w14:textId="77777777" w:rsidR="00EA1B72" w:rsidRDefault="00EA1B72" w:rsidP="00EA1B72">
      <w:pPr>
        <w:pStyle w:val="13"/>
      </w:pPr>
      <w:r>
        <w:rPr>
          <w:rFonts w:hint="eastAsia"/>
        </w:rPr>
        <w:t>执行某项特定业务缺乏特定的专业知识和经验时，应当采取弥补措施，包括利用专家工作及相关报告等。</w:t>
      </w:r>
    </w:p>
    <w:p w14:paraId="0BF1CB07" w14:textId="5D6B3D65" w:rsidR="00EA1B72" w:rsidRDefault="004E3EBB" w:rsidP="00EA1B72">
      <w:pPr>
        <w:pStyle w:val="13"/>
        <w:ind w:firstLine="482"/>
      </w:pPr>
      <w:r w:rsidRPr="004E3EBB">
        <w:rPr>
          <w:rFonts w:hint="eastAsia"/>
          <w:b/>
          <w:bCs/>
        </w:rPr>
        <w:t xml:space="preserve">第八条 </w:t>
      </w:r>
      <w:r w:rsidR="00EA1B72">
        <w:t>执行企业价值评估中的专利资产评估业务，应当了解在对持续经营前提下的企业价值进行评估时，专利资产作为企业资产的组成部分的价值可能有别于作为单项资产的价值，其价值取决于它对企业价值的贡献程度。</w:t>
      </w:r>
    </w:p>
    <w:p w14:paraId="56068383" w14:textId="4758046B" w:rsidR="00EA1B72" w:rsidRDefault="00E05BDA" w:rsidP="00EA1B72">
      <w:pPr>
        <w:pStyle w:val="13"/>
        <w:ind w:firstLine="482"/>
      </w:pPr>
      <w:r w:rsidRPr="00E05BDA">
        <w:rPr>
          <w:rFonts w:hint="eastAsia"/>
          <w:b/>
          <w:bCs/>
        </w:rPr>
        <w:t xml:space="preserve">第九条 </w:t>
      </w:r>
      <w:r w:rsidR="00EA1B72">
        <w:t>执行专利资产评估业务，应当在考虑评估目的、市场条件、评估对象自身条件等因素的基础上，选择价值类型。</w:t>
      </w:r>
    </w:p>
    <w:p w14:paraId="52F02CBA" w14:textId="77777777" w:rsidR="00EA1B72" w:rsidRDefault="00EA1B72" w:rsidP="00EA1B72">
      <w:pPr>
        <w:pStyle w:val="13"/>
      </w:pPr>
      <w:r>
        <w:rPr>
          <w:rFonts w:hint="eastAsia"/>
        </w:rPr>
        <w:t>以质押为目的可以选择市场价值或者市场价值以外的价值类型，以交易为目的通常选择市场价值或者投资价值，以财务报告为目的通常根据会计准则相关要求选择相应的价值类型。</w:t>
      </w:r>
    </w:p>
    <w:p w14:paraId="62F0CA3D" w14:textId="6E8ED3B4" w:rsidR="00EA1B72" w:rsidRDefault="00E05BDA" w:rsidP="00EA1B72">
      <w:pPr>
        <w:pStyle w:val="13"/>
        <w:ind w:firstLine="482"/>
      </w:pPr>
      <w:r w:rsidRPr="00E05BDA">
        <w:rPr>
          <w:rFonts w:hint="eastAsia"/>
          <w:b/>
          <w:bCs/>
        </w:rPr>
        <w:t xml:space="preserve">第十条 </w:t>
      </w:r>
      <w:r w:rsidR="00EA1B72">
        <w:t>执行专利资产评估业务，应当确定评估假设和限制条件。</w:t>
      </w:r>
    </w:p>
    <w:p w14:paraId="4A8B6ADD" w14:textId="77777777" w:rsidR="00EA1B72" w:rsidRDefault="00EA1B72" w:rsidP="00AF7342">
      <w:pPr>
        <w:pStyle w:val="a9"/>
        <w:spacing w:before="62" w:after="62"/>
      </w:pPr>
      <w:r>
        <w:rPr>
          <w:rFonts w:hint="eastAsia"/>
        </w:rPr>
        <w:lastRenderedPageBreak/>
        <w:t>第三章</w:t>
      </w:r>
      <w:r>
        <w:t xml:space="preserve"> 资产评估对象</w:t>
      </w:r>
    </w:p>
    <w:p w14:paraId="618F7EEB" w14:textId="33D32735" w:rsidR="00EA1B72" w:rsidRDefault="00E05BDA" w:rsidP="00EA1B72">
      <w:pPr>
        <w:pStyle w:val="13"/>
        <w:ind w:firstLine="482"/>
      </w:pPr>
      <w:r w:rsidRPr="00E05BDA">
        <w:rPr>
          <w:rFonts w:hint="eastAsia"/>
          <w:b/>
          <w:bCs/>
        </w:rPr>
        <w:t xml:space="preserve">第十一条 </w:t>
      </w:r>
      <w:r w:rsidR="00EA1B72">
        <w:t>专利资产评估业务的评估对象是指专利资产权益，包括专利所有权和专利使用权。专利使用权是指专利实施许可权，具体包括专利权独占许可、独家许可、普通许可和其他许可形式。</w:t>
      </w:r>
    </w:p>
    <w:p w14:paraId="48303EA4" w14:textId="018A4AF9" w:rsidR="00EA1B72" w:rsidRDefault="00EA1B72" w:rsidP="00EA1B72">
      <w:pPr>
        <w:pStyle w:val="13"/>
      </w:pPr>
      <w:r>
        <w:rPr>
          <w:rFonts w:hint="eastAsia"/>
        </w:rPr>
        <w:t>执行专利资产评估业务，应当明确专利资产的权利属性。评估对象为专利所有权的，</w:t>
      </w:r>
      <w:r>
        <w:t>应当关注专利权是否已经许可他人使用及使用权的具体形式，并关注其对专利所有权价值的影响。评估对象为专利使用权的，应当明确专利使用权的许可形式、许可内容及许</w:t>
      </w:r>
      <w:r>
        <w:rPr>
          <w:rFonts w:hint="eastAsia"/>
        </w:rPr>
        <w:t>可期限。</w:t>
      </w:r>
    </w:p>
    <w:p w14:paraId="7DDFFF67" w14:textId="68FE12EB" w:rsidR="00EA1B72" w:rsidRDefault="00E05BDA" w:rsidP="00EA1B72">
      <w:pPr>
        <w:pStyle w:val="13"/>
        <w:ind w:firstLine="482"/>
      </w:pPr>
      <w:r w:rsidRPr="00E05BDA">
        <w:rPr>
          <w:rFonts w:hint="eastAsia"/>
          <w:b/>
          <w:bCs/>
        </w:rPr>
        <w:t xml:space="preserve">第十二条 </w:t>
      </w:r>
      <w:r w:rsidR="00EA1B72">
        <w:t>执行专利资产评估业务，应当要求委托人明确专利资产的基本状况。专利资产的基本状况通常包括：</w:t>
      </w:r>
    </w:p>
    <w:p w14:paraId="15560CDB" w14:textId="77777777" w:rsidR="00EA1B72" w:rsidRDefault="00EA1B72" w:rsidP="00EA1B72">
      <w:pPr>
        <w:pStyle w:val="13"/>
      </w:pPr>
      <w:r>
        <w:rPr>
          <w:rFonts w:hint="eastAsia"/>
        </w:rPr>
        <w:t>（一）专利名称；</w:t>
      </w:r>
    </w:p>
    <w:p w14:paraId="2137D98B" w14:textId="77777777" w:rsidR="00EA1B72" w:rsidRDefault="00EA1B72" w:rsidP="00EA1B72">
      <w:pPr>
        <w:pStyle w:val="13"/>
      </w:pPr>
      <w:r>
        <w:rPr>
          <w:rFonts w:hint="eastAsia"/>
        </w:rPr>
        <w:t>（二）专利类别；</w:t>
      </w:r>
    </w:p>
    <w:p w14:paraId="76A174DF" w14:textId="77777777" w:rsidR="00EA1B72" w:rsidRDefault="00EA1B72" w:rsidP="00EA1B72">
      <w:pPr>
        <w:pStyle w:val="13"/>
      </w:pPr>
      <w:r>
        <w:rPr>
          <w:rFonts w:hint="eastAsia"/>
        </w:rPr>
        <w:t>（三）专利申请的国别或者地区；</w:t>
      </w:r>
    </w:p>
    <w:p w14:paraId="2B0D84E0" w14:textId="77777777" w:rsidR="00EA1B72" w:rsidRDefault="00EA1B72" w:rsidP="00EA1B72">
      <w:pPr>
        <w:pStyle w:val="13"/>
      </w:pPr>
      <w:r>
        <w:rPr>
          <w:rFonts w:hint="eastAsia"/>
        </w:rPr>
        <w:t>（四）专利申请号或者专利号；</w:t>
      </w:r>
    </w:p>
    <w:p w14:paraId="40AF5493" w14:textId="77777777" w:rsidR="00EA1B72" w:rsidRDefault="00EA1B72" w:rsidP="00EA1B72">
      <w:pPr>
        <w:pStyle w:val="13"/>
      </w:pPr>
      <w:r>
        <w:rPr>
          <w:rFonts w:hint="eastAsia"/>
        </w:rPr>
        <w:t>（五）专利的法律状态；</w:t>
      </w:r>
    </w:p>
    <w:p w14:paraId="214C6505" w14:textId="77777777" w:rsidR="00EA1B72" w:rsidRDefault="00EA1B72" w:rsidP="00EA1B72">
      <w:pPr>
        <w:pStyle w:val="13"/>
      </w:pPr>
      <w:r>
        <w:rPr>
          <w:rFonts w:hint="eastAsia"/>
        </w:rPr>
        <w:t>（六）专利申请日；</w:t>
      </w:r>
    </w:p>
    <w:p w14:paraId="0ACC2D96" w14:textId="77777777" w:rsidR="00EA1B72" w:rsidRDefault="00EA1B72" w:rsidP="00EA1B72">
      <w:pPr>
        <w:pStyle w:val="13"/>
      </w:pPr>
      <w:r>
        <w:rPr>
          <w:rFonts w:hint="eastAsia"/>
        </w:rPr>
        <w:t>（七）专利授权日；</w:t>
      </w:r>
    </w:p>
    <w:p w14:paraId="55FD92E1" w14:textId="77777777" w:rsidR="00EA1B72" w:rsidRDefault="00EA1B72" w:rsidP="00EA1B72">
      <w:pPr>
        <w:pStyle w:val="13"/>
      </w:pPr>
      <w:r>
        <w:rPr>
          <w:rFonts w:hint="eastAsia"/>
        </w:rPr>
        <w:t>（八）专利权利要求书所记载的主权利要求；</w:t>
      </w:r>
    </w:p>
    <w:p w14:paraId="7BF8B533" w14:textId="77777777" w:rsidR="00EA1B72" w:rsidRDefault="00EA1B72" w:rsidP="00EA1B72">
      <w:pPr>
        <w:pStyle w:val="13"/>
      </w:pPr>
      <w:r>
        <w:rPr>
          <w:rFonts w:hint="eastAsia"/>
        </w:rPr>
        <w:t>（九）专利使用权利。</w:t>
      </w:r>
    </w:p>
    <w:p w14:paraId="0F4C6236" w14:textId="1C6DB677" w:rsidR="00EA1B72" w:rsidRDefault="00E05BDA" w:rsidP="00EA1B72">
      <w:pPr>
        <w:pStyle w:val="13"/>
        <w:ind w:firstLine="482"/>
      </w:pPr>
      <w:r w:rsidRPr="00E05BDA">
        <w:rPr>
          <w:rFonts w:hint="eastAsia"/>
          <w:b/>
          <w:bCs/>
        </w:rPr>
        <w:t xml:space="preserve">第十三条 </w:t>
      </w:r>
      <w:r w:rsidR="00EA1B72">
        <w:t>执行专利资产评估业务，应当关注专利的法律状态。专利的法律状态通常包括专利申请人或者专利权人及其变更情况，专利所处的专利审批阶段、年费缴纳情况、专利权的终止、专利权的恢复、专利权的质押，以及是否涉及法律诉讼或者处于复审、宣告无效状态。</w:t>
      </w:r>
    </w:p>
    <w:p w14:paraId="00606EB0" w14:textId="09163A6C" w:rsidR="00EA1B72" w:rsidRDefault="00E05BDA" w:rsidP="00EA1B72">
      <w:pPr>
        <w:pStyle w:val="13"/>
        <w:ind w:firstLine="482"/>
      </w:pPr>
      <w:r w:rsidRPr="00E05BDA">
        <w:rPr>
          <w:rFonts w:hint="eastAsia"/>
          <w:b/>
          <w:bCs/>
        </w:rPr>
        <w:t xml:space="preserve">第十四条 </w:t>
      </w:r>
      <w:r w:rsidR="00EA1B72">
        <w:t>执行专利资产评估业务，应当关注专利资产的技术状况、实施状况及获利状况。</w:t>
      </w:r>
    </w:p>
    <w:p w14:paraId="0E830AD7" w14:textId="6804A017" w:rsidR="00EA1B72" w:rsidRDefault="00E05BDA" w:rsidP="00EA1B72">
      <w:pPr>
        <w:pStyle w:val="13"/>
        <w:ind w:firstLine="482"/>
      </w:pPr>
      <w:r w:rsidRPr="00E05BDA">
        <w:rPr>
          <w:rFonts w:hint="eastAsia"/>
          <w:b/>
          <w:bCs/>
        </w:rPr>
        <w:t xml:space="preserve">第十五条 </w:t>
      </w:r>
      <w:r w:rsidR="00EA1B72">
        <w:t>执行专利资产评估业务，应当在要求委托人根据评估对象的具体情况和评估目的对专利资产进行合理的分离或者合并的基础上，恰当进行单项专利资产或者专利资产组合的评估。</w:t>
      </w:r>
    </w:p>
    <w:p w14:paraId="544396B9" w14:textId="6F87E247" w:rsidR="00EA1B72" w:rsidRDefault="00E05BDA" w:rsidP="00EA1B72">
      <w:pPr>
        <w:pStyle w:val="13"/>
        <w:ind w:firstLine="482"/>
      </w:pPr>
      <w:r w:rsidRPr="00E05BDA">
        <w:rPr>
          <w:rFonts w:hint="eastAsia"/>
          <w:b/>
          <w:bCs/>
        </w:rPr>
        <w:t xml:space="preserve">第十六条 </w:t>
      </w:r>
      <w:r w:rsidR="00EA1B72">
        <w:t>执行质押、诉讼目的的专利资产评估业务，应当要求委托人提交由国家知识产权局出具的专利登记簿副本。评估对象为实用新型、外观设计专利的，应当要求委托人提供专利检索报告，当实用新型、外观设计专利数量较多时，应当选取部分专利由委托人提供检索报告。</w:t>
      </w:r>
    </w:p>
    <w:p w14:paraId="3FFA1D64" w14:textId="77777777" w:rsidR="00EA1B72" w:rsidRDefault="00EA1B72" w:rsidP="00AF7342">
      <w:pPr>
        <w:pStyle w:val="a9"/>
        <w:spacing w:before="62" w:after="62"/>
      </w:pPr>
      <w:r>
        <w:rPr>
          <w:rFonts w:hint="eastAsia"/>
        </w:rPr>
        <w:t>第四章</w:t>
      </w:r>
      <w:r>
        <w:t xml:space="preserve"> 操作要求</w:t>
      </w:r>
    </w:p>
    <w:p w14:paraId="79465DBE" w14:textId="70F5AD80" w:rsidR="00EA1B72" w:rsidRDefault="00E05BDA" w:rsidP="00EA1B72">
      <w:pPr>
        <w:pStyle w:val="13"/>
        <w:ind w:firstLine="482"/>
      </w:pPr>
      <w:r w:rsidRPr="00E05BDA">
        <w:rPr>
          <w:rFonts w:hint="eastAsia"/>
          <w:b/>
          <w:bCs/>
        </w:rPr>
        <w:t xml:space="preserve">第十七条 </w:t>
      </w:r>
      <w:r w:rsidR="00EA1B72">
        <w:t>执行专利资产评估业务，应当对专利及其实施情况进行调查，包括必</w:t>
      </w:r>
      <w:r w:rsidR="00EA1B72">
        <w:lastRenderedPageBreak/>
        <w:t>要的现场调查、市场调查，并收集相关信息、资料等。</w:t>
      </w:r>
    </w:p>
    <w:p w14:paraId="6648BBAE" w14:textId="77777777" w:rsidR="00EA1B72" w:rsidRDefault="00EA1B72" w:rsidP="00EA1B72">
      <w:pPr>
        <w:pStyle w:val="13"/>
      </w:pPr>
      <w:r>
        <w:rPr>
          <w:rFonts w:hint="eastAsia"/>
        </w:rPr>
        <w:t>调查过程收集的相关信息、资料包括：</w:t>
      </w:r>
    </w:p>
    <w:p w14:paraId="0F54FCCC" w14:textId="77777777" w:rsidR="00EA1B72" w:rsidRDefault="00EA1B72" w:rsidP="00EA1B72">
      <w:pPr>
        <w:pStyle w:val="13"/>
      </w:pPr>
      <w:r>
        <w:rPr>
          <w:rFonts w:hint="eastAsia"/>
        </w:rPr>
        <w:t>（一）专利资产的权利人及实施企业基本情况；</w:t>
      </w:r>
    </w:p>
    <w:p w14:paraId="4A72D7E1" w14:textId="77777777" w:rsidR="00EA1B72" w:rsidRDefault="00EA1B72" w:rsidP="00EA1B72">
      <w:pPr>
        <w:pStyle w:val="13"/>
      </w:pPr>
      <w:r>
        <w:rPr>
          <w:rFonts w:hint="eastAsia"/>
        </w:rPr>
        <w:t>（二）专利证书、最近一期的专利缴费凭证；</w:t>
      </w:r>
    </w:p>
    <w:p w14:paraId="32D0AE4D" w14:textId="77777777" w:rsidR="00EA1B72" w:rsidRDefault="00EA1B72" w:rsidP="00EA1B72">
      <w:pPr>
        <w:pStyle w:val="13"/>
      </w:pPr>
      <w:r>
        <w:rPr>
          <w:rFonts w:hint="eastAsia"/>
        </w:rPr>
        <w:t>（三）专利权利要求书、专利说明书及其附图；</w:t>
      </w:r>
    </w:p>
    <w:p w14:paraId="0ABB9877" w14:textId="77777777" w:rsidR="00EA1B72" w:rsidRDefault="00EA1B72" w:rsidP="00EA1B72">
      <w:pPr>
        <w:pStyle w:val="13"/>
      </w:pPr>
      <w:r>
        <w:rPr>
          <w:rFonts w:hint="eastAsia"/>
        </w:rPr>
        <w:t>（四）专利技术的研发过程、技术实验报告，专利资产所属技术领域的发展状况、技术水平、技术成熟度、同类技术竞争状况、技术更新速度等有关信息、资料；如果技术效果需要检测，还应当收集相关产品检测报告；</w:t>
      </w:r>
    </w:p>
    <w:p w14:paraId="59D4D490" w14:textId="77777777" w:rsidR="00EA1B72" w:rsidRDefault="00EA1B72" w:rsidP="00EA1B72">
      <w:pPr>
        <w:pStyle w:val="13"/>
      </w:pPr>
      <w:r>
        <w:rPr>
          <w:rFonts w:hint="eastAsia"/>
        </w:rPr>
        <w:t>（五）与分析专利产品的适用范围、市场需求、市场前景及市场寿命、相关行业政策发展状况、宏观经济、同类产品的竞争状况、专利产品的获利能力等相关的信息、资料；</w:t>
      </w:r>
    </w:p>
    <w:p w14:paraId="67141903" w14:textId="316AEAE1" w:rsidR="00EA1B72" w:rsidRDefault="00EA1B72" w:rsidP="00EA1B72">
      <w:pPr>
        <w:pStyle w:val="13"/>
      </w:pPr>
      <w:r>
        <w:rPr>
          <w:rFonts w:hint="eastAsia"/>
        </w:rPr>
        <w:t>（六）以往的评估和交易情况，包括专利权转让合同、实施许可合同及其他交易情况。</w:t>
      </w:r>
    </w:p>
    <w:p w14:paraId="09106CDF" w14:textId="3509AB88" w:rsidR="00EA1B72" w:rsidRDefault="00E05BDA" w:rsidP="00EA1B72">
      <w:pPr>
        <w:pStyle w:val="13"/>
        <w:ind w:firstLine="482"/>
      </w:pPr>
      <w:r w:rsidRPr="00E05BDA">
        <w:rPr>
          <w:rFonts w:hint="eastAsia"/>
          <w:b/>
          <w:bCs/>
        </w:rPr>
        <w:t xml:space="preserve">第十八条 </w:t>
      </w:r>
      <w:r w:rsidR="00EA1B72">
        <w:t>执行专利资产评估业务，应当尽可能获取与专利资产相关的财务数据及专利实施企业经审计的财务报表，对专利资产的相关财务数据进行分析。</w:t>
      </w:r>
    </w:p>
    <w:p w14:paraId="562D6640" w14:textId="4C93AB9F" w:rsidR="00EA1B72" w:rsidRDefault="00E05BDA" w:rsidP="00EA1B72">
      <w:pPr>
        <w:pStyle w:val="13"/>
        <w:ind w:firstLine="482"/>
      </w:pPr>
      <w:r w:rsidRPr="00E05BDA">
        <w:rPr>
          <w:rFonts w:hint="eastAsia"/>
          <w:b/>
          <w:bCs/>
        </w:rPr>
        <w:t xml:space="preserve">第十九条 </w:t>
      </w:r>
      <w:r w:rsidR="00EA1B72">
        <w:t>执行专利资产评估业务，应当分析下列事项及其对专利资产价值的影响：</w:t>
      </w:r>
    </w:p>
    <w:p w14:paraId="26B88AC8" w14:textId="77777777" w:rsidR="00EA1B72" w:rsidRDefault="00EA1B72" w:rsidP="00EA1B72">
      <w:pPr>
        <w:pStyle w:val="13"/>
      </w:pPr>
      <w:r>
        <w:rPr>
          <w:rFonts w:hint="eastAsia"/>
        </w:rPr>
        <w:t>（一）专利权利要求书、专利说明书及其附图的内容；</w:t>
      </w:r>
    </w:p>
    <w:p w14:paraId="34FCE0D0" w14:textId="77777777" w:rsidR="00EA1B72" w:rsidRDefault="00EA1B72" w:rsidP="00EA1B72">
      <w:pPr>
        <w:pStyle w:val="13"/>
      </w:pPr>
      <w:r>
        <w:rPr>
          <w:rFonts w:hint="eastAsia"/>
        </w:rPr>
        <w:t>（二）专利权利要求书所记载的专利技术产品与其实施企业所生产产品的对应性。</w:t>
      </w:r>
    </w:p>
    <w:p w14:paraId="10B0D2DB" w14:textId="3BACAAB2" w:rsidR="00EA1B72" w:rsidRDefault="00E05BDA" w:rsidP="00EA1B72">
      <w:pPr>
        <w:pStyle w:val="13"/>
        <w:ind w:firstLine="482"/>
      </w:pPr>
      <w:r w:rsidRPr="00E05BDA">
        <w:rPr>
          <w:rFonts w:hint="eastAsia"/>
          <w:b/>
          <w:bCs/>
        </w:rPr>
        <w:t xml:space="preserve">第二十条 </w:t>
      </w:r>
      <w:r w:rsidR="00EA1B72">
        <w:t>执行专利资产评估业务，应当对影响专利资产价值的法律因素进行分析，</w:t>
      </w:r>
    </w:p>
    <w:p w14:paraId="6A95D7E0" w14:textId="77777777" w:rsidR="00EA1B72" w:rsidRDefault="00EA1B72" w:rsidP="00EA1B72">
      <w:pPr>
        <w:pStyle w:val="13"/>
      </w:pPr>
      <w:r>
        <w:rPr>
          <w:rFonts w:hint="eastAsia"/>
        </w:rPr>
        <w:t>通常包括专利资产的权利属性及权利限制、专利类别、专利的法律状态、专利剩余法定保护期限、专利的保护范围等。资产评估专业人员应当关注专利所有权与使用权的差异、专利使用权的具体形式、以往许可和转让的情况对专利资产价值的影响。</w:t>
      </w:r>
    </w:p>
    <w:p w14:paraId="11878EAF" w14:textId="77777777" w:rsidR="00EA1B72" w:rsidRDefault="00EA1B72" w:rsidP="00EA1B72">
      <w:pPr>
        <w:pStyle w:val="13"/>
      </w:pPr>
      <w:r>
        <w:rPr>
          <w:rFonts w:hint="eastAsia"/>
        </w:rPr>
        <w:t>资产评估专业人员应当关注发明、实用新型、外观设计的审批条件、审批程序、保护范围、保护期限、审批阶段的差异对专利资产价值的影响。</w:t>
      </w:r>
    </w:p>
    <w:p w14:paraId="18798F0B" w14:textId="77777777" w:rsidR="00EA1B72" w:rsidRDefault="00EA1B72" w:rsidP="00EA1B72">
      <w:pPr>
        <w:pStyle w:val="13"/>
      </w:pPr>
      <w:r>
        <w:rPr>
          <w:rFonts w:hint="eastAsia"/>
        </w:rPr>
        <w:t>资产评估专业人员应当关注专利所处审批阶段，专利是否涉及法律诉讼或者处于复审、宣告无效状态，以及专利有效性维持情况对专利资产价值的影响。</w:t>
      </w:r>
    </w:p>
    <w:p w14:paraId="0A7146B5" w14:textId="73BEB6EC" w:rsidR="00EA1B72" w:rsidRDefault="00E05BDA" w:rsidP="00EA1B72">
      <w:pPr>
        <w:pStyle w:val="13"/>
        <w:ind w:firstLine="482"/>
      </w:pPr>
      <w:r w:rsidRPr="00E05BDA">
        <w:rPr>
          <w:rFonts w:hint="eastAsia"/>
          <w:b/>
          <w:bCs/>
        </w:rPr>
        <w:t xml:space="preserve">第二十一条 </w:t>
      </w:r>
      <w:r w:rsidR="00EA1B72">
        <w:t>执行专利资产评估业务，应当对影响专利资产价值的技术因素进行分析，通常包括替代性、先进性、创新性、成熟度、实用性、防御性、垄断性等。</w:t>
      </w:r>
    </w:p>
    <w:p w14:paraId="28E75D1A" w14:textId="389B6339" w:rsidR="00EA1B72" w:rsidRDefault="00E05BDA" w:rsidP="00EA1B72">
      <w:pPr>
        <w:pStyle w:val="13"/>
        <w:ind w:firstLine="482"/>
      </w:pPr>
      <w:r w:rsidRPr="00E05BDA">
        <w:rPr>
          <w:rFonts w:hint="eastAsia"/>
          <w:b/>
          <w:bCs/>
        </w:rPr>
        <w:t xml:space="preserve">第二十二条 </w:t>
      </w:r>
      <w:r w:rsidR="00EA1B72">
        <w:t>对影响专利资产价值的经济因素进行分析时，通常包括专利资产的取</w:t>
      </w:r>
      <w:r w:rsidR="00EA1B72">
        <w:rPr>
          <w:rFonts w:hint="eastAsia"/>
        </w:rPr>
        <w:t>得成本、获利状况、许可费、类似资产的交易价格、市场应用情况、市场规模情况、市场占有率、竞争情况等。</w:t>
      </w:r>
    </w:p>
    <w:p w14:paraId="4EEB6E0F" w14:textId="3C4298AC" w:rsidR="00EA1B72" w:rsidRDefault="00E05BDA" w:rsidP="00EA1B72">
      <w:pPr>
        <w:pStyle w:val="13"/>
        <w:ind w:firstLine="482"/>
      </w:pPr>
      <w:r w:rsidRPr="00E05BDA">
        <w:rPr>
          <w:rFonts w:hint="eastAsia"/>
          <w:b/>
          <w:bCs/>
        </w:rPr>
        <w:lastRenderedPageBreak/>
        <w:t xml:space="preserve">第二十三条 </w:t>
      </w:r>
      <w:r w:rsidR="00EA1B72">
        <w:t>当专利资产与其他资产共同发挥作用时，资产评估专业人员应当分析专利资产的作用，确定该专利资产的价值。</w:t>
      </w:r>
    </w:p>
    <w:p w14:paraId="38EA1775" w14:textId="10E2A2D9" w:rsidR="00EA1B72" w:rsidRDefault="00E05BDA" w:rsidP="00EA1B72">
      <w:pPr>
        <w:pStyle w:val="13"/>
        <w:ind w:firstLine="482"/>
      </w:pPr>
      <w:r w:rsidRPr="00E05BDA">
        <w:rPr>
          <w:rFonts w:hint="eastAsia"/>
          <w:b/>
          <w:bCs/>
        </w:rPr>
        <w:t xml:space="preserve">第二十四条 </w:t>
      </w:r>
      <w:r w:rsidR="00EA1B72">
        <w:t>执行专利资产评估业务，应当关注经营条件等对专利资产作用和价值的影响。</w:t>
      </w:r>
    </w:p>
    <w:p w14:paraId="0792AD76" w14:textId="4F68BB53" w:rsidR="00EA1B72" w:rsidRDefault="00E05BDA" w:rsidP="00EA1B72">
      <w:pPr>
        <w:pStyle w:val="13"/>
        <w:ind w:firstLine="482"/>
      </w:pPr>
      <w:r w:rsidRPr="00E05BDA">
        <w:rPr>
          <w:rFonts w:hint="eastAsia"/>
          <w:b/>
          <w:bCs/>
        </w:rPr>
        <w:t xml:space="preserve">第二十五条 </w:t>
      </w:r>
      <w:r w:rsidR="00EA1B72">
        <w:t>执行专利资产法律诉讼评估业务，应当关注相关案情基本情况、经过质证的资料以及专利权的历史诉讼情况。</w:t>
      </w:r>
    </w:p>
    <w:p w14:paraId="2115460F" w14:textId="7D6A366D" w:rsidR="00EA1B72" w:rsidRDefault="00E05BDA" w:rsidP="00EA1B72">
      <w:pPr>
        <w:pStyle w:val="13"/>
        <w:ind w:firstLine="482"/>
      </w:pPr>
      <w:r w:rsidRPr="00E05BDA">
        <w:rPr>
          <w:rFonts w:hint="eastAsia"/>
          <w:b/>
          <w:bCs/>
        </w:rPr>
        <w:t xml:space="preserve">第二十六条 </w:t>
      </w:r>
      <w:r w:rsidR="00EA1B72">
        <w:t>确定专利资产价值的评估方法包括市场法、收益法和成本法三种基本方法及其衍生方法。</w:t>
      </w:r>
    </w:p>
    <w:p w14:paraId="482D7E26" w14:textId="77777777" w:rsidR="00EA1B72" w:rsidRDefault="00EA1B72" w:rsidP="00EA1B72">
      <w:pPr>
        <w:pStyle w:val="13"/>
      </w:pPr>
      <w:r>
        <w:rPr>
          <w:rFonts w:hint="eastAsia"/>
        </w:rPr>
        <w:t>执行专利资产评估业务，应当根据评估目的、评估对象、价值类型、资料收集等情况，分析上述三种基本方法的适用性，选择评估方法。</w:t>
      </w:r>
    </w:p>
    <w:p w14:paraId="144D4356" w14:textId="3C0C1875" w:rsidR="00EA1B72" w:rsidRDefault="00E05BDA" w:rsidP="00EA1B72">
      <w:pPr>
        <w:pStyle w:val="13"/>
        <w:ind w:firstLine="482"/>
      </w:pPr>
      <w:r w:rsidRPr="00E05BDA">
        <w:rPr>
          <w:rFonts w:hint="eastAsia"/>
          <w:b/>
          <w:bCs/>
        </w:rPr>
        <w:t xml:space="preserve">第二十七条 </w:t>
      </w:r>
      <w:r w:rsidR="00EA1B72">
        <w:t>运用收益法进行专利资产评估时，应当收集专利产品的相关收入、成本、费用等数据。</w:t>
      </w:r>
    </w:p>
    <w:p w14:paraId="731CF150" w14:textId="77777777" w:rsidR="00EA1B72" w:rsidRDefault="00EA1B72" w:rsidP="00EA1B72">
      <w:pPr>
        <w:pStyle w:val="13"/>
      </w:pPr>
      <w:r>
        <w:rPr>
          <w:rFonts w:hint="eastAsia"/>
        </w:rPr>
        <w:t>资产评估专业人员应当对委托人或者其他相关当事人提供的专利未来实施情况和收益状况的预测进行分析、判断和调整，确信相关预测的合理性。</w:t>
      </w:r>
    </w:p>
    <w:p w14:paraId="3862774F" w14:textId="77777777" w:rsidR="00EA1B72" w:rsidRDefault="00EA1B72" w:rsidP="00EA1B72">
      <w:pPr>
        <w:pStyle w:val="13"/>
      </w:pPr>
      <w:r>
        <w:rPr>
          <w:rFonts w:hint="eastAsia"/>
        </w:rPr>
        <w:t>资产评估专业人员应当根据专利资产的具体情况选择收益口径。</w:t>
      </w:r>
    </w:p>
    <w:p w14:paraId="3487E53F" w14:textId="3C00BCE6" w:rsidR="00EA1B72" w:rsidRDefault="00E05BDA" w:rsidP="00EA1B72">
      <w:pPr>
        <w:pStyle w:val="13"/>
        <w:ind w:firstLine="482"/>
      </w:pPr>
      <w:r w:rsidRPr="00E05BDA">
        <w:rPr>
          <w:rFonts w:hint="eastAsia"/>
          <w:b/>
          <w:bCs/>
        </w:rPr>
        <w:t xml:space="preserve">第二十八条 </w:t>
      </w:r>
      <w:r w:rsidR="00EA1B72">
        <w:t>采用收益法进行专利资产评估时，应当确定预期收益。</w:t>
      </w:r>
    </w:p>
    <w:p w14:paraId="5C7269AB" w14:textId="77777777" w:rsidR="00EA1B72" w:rsidRDefault="00EA1B72" w:rsidP="00EA1B72">
      <w:pPr>
        <w:pStyle w:val="13"/>
      </w:pPr>
      <w:r>
        <w:rPr>
          <w:rFonts w:hint="eastAsia"/>
        </w:rPr>
        <w:t>专利资产的预期收益应当是专利的使用而额外带来的收益，可以通过增量收益、节省许可费、收益分成或者超额收益等方式估算。确定预期收益时，应当区分并剔除与委托评估的专利资产无关的业务产生的收益，并关注专利产品或者服务所属行业的市场规模、市场地位及相关企业的经营情况。</w:t>
      </w:r>
    </w:p>
    <w:p w14:paraId="2C4C9F69" w14:textId="36657434" w:rsidR="00EA1B72" w:rsidRDefault="00E05BDA" w:rsidP="00EA1B72">
      <w:pPr>
        <w:pStyle w:val="13"/>
        <w:ind w:firstLine="482"/>
      </w:pPr>
      <w:r w:rsidRPr="00E05BDA">
        <w:rPr>
          <w:rFonts w:hint="eastAsia"/>
          <w:b/>
          <w:bCs/>
        </w:rPr>
        <w:t xml:space="preserve">第二十九条 </w:t>
      </w:r>
      <w:r w:rsidR="00EA1B72">
        <w:t>采用收益法进行专利资产评估时应当合理确定专利资产收益期限。收益期限可以通过分析专利资产的技术寿命、技术成熟度、专利法定寿命及与专利资产相关的合同约定期限等确定。</w:t>
      </w:r>
    </w:p>
    <w:p w14:paraId="58A1582F" w14:textId="0E838BC5" w:rsidR="00EA1B72" w:rsidRDefault="00E05BDA" w:rsidP="00EA1B72">
      <w:pPr>
        <w:pStyle w:val="13"/>
        <w:ind w:firstLine="482"/>
      </w:pPr>
      <w:r w:rsidRPr="00E05BDA">
        <w:rPr>
          <w:rFonts w:hint="eastAsia"/>
          <w:b/>
          <w:bCs/>
        </w:rPr>
        <w:t xml:space="preserve">第三十条 </w:t>
      </w:r>
      <w:r w:rsidR="00EA1B72">
        <w:t>采用收益法进行专利资产评估时应当合理确定折现率。折现率可以通过分析评估基准日的利率、投资回报率，以及专利实施过程中的技术、经营、市场、资金等因素确定。专利资产折现率可以采用无风险</w:t>
      </w:r>
      <w:proofErr w:type="gramStart"/>
      <w:r w:rsidR="00EA1B72">
        <w:t>报酬率加风险</w:t>
      </w:r>
      <w:proofErr w:type="gramEnd"/>
      <w:r w:rsidR="00EA1B72">
        <w:t>报酬率的方式确定。专利资</w:t>
      </w:r>
      <w:r w:rsidR="00EA1B72">
        <w:rPr>
          <w:rFonts w:hint="eastAsia"/>
        </w:rPr>
        <w:t>产折现率应当与预期收益的口径保持一致。</w:t>
      </w:r>
    </w:p>
    <w:p w14:paraId="40C0EF32" w14:textId="40DD7AE4" w:rsidR="00EA1B72" w:rsidRDefault="003B2FB1" w:rsidP="00EA1B72">
      <w:pPr>
        <w:pStyle w:val="13"/>
        <w:ind w:firstLine="482"/>
      </w:pPr>
      <w:r w:rsidRPr="003B2FB1">
        <w:rPr>
          <w:rFonts w:hint="eastAsia"/>
          <w:b/>
          <w:bCs/>
        </w:rPr>
        <w:t xml:space="preserve">第三十一条 </w:t>
      </w:r>
      <w:r w:rsidR="00EA1B72">
        <w:t>采用市场法进行专利资产评估时，应当收集足够的可比交易案例，并对专利资产与可比交易案例之间的各种差异因素进行分析、比较和调整。</w:t>
      </w:r>
    </w:p>
    <w:p w14:paraId="44A52F20" w14:textId="7B761826" w:rsidR="00EA1B72" w:rsidRDefault="003B2FB1" w:rsidP="00EA1B72">
      <w:pPr>
        <w:pStyle w:val="13"/>
        <w:ind w:firstLine="482"/>
      </w:pPr>
      <w:r w:rsidRPr="003B2FB1">
        <w:rPr>
          <w:rFonts w:hint="eastAsia"/>
          <w:b/>
          <w:bCs/>
        </w:rPr>
        <w:t xml:space="preserve">第三十二条 </w:t>
      </w:r>
      <w:r w:rsidR="00EA1B72">
        <w:t>采用成本法进行专利资产评估时，应当合理确定专利资产的重置成本。重置成本包括合理的成本、利润和相关税费等。</w:t>
      </w:r>
    </w:p>
    <w:p w14:paraId="100DAFED" w14:textId="77777777" w:rsidR="00EA1B72" w:rsidRDefault="00EA1B72" w:rsidP="00EA1B72">
      <w:pPr>
        <w:pStyle w:val="13"/>
      </w:pPr>
      <w:r>
        <w:rPr>
          <w:rFonts w:hint="eastAsia"/>
        </w:rPr>
        <w:t>确定专利资产重置成本时，应当确定形成专利资产所需的直接成本、间接费用、合理的利润及相关的税费等。</w:t>
      </w:r>
    </w:p>
    <w:p w14:paraId="7822CDA4" w14:textId="7DBEB267" w:rsidR="00EA1B72" w:rsidRDefault="003B2FB1" w:rsidP="00EA1B72">
      <w:pPr>
        <w:pStyle w:val="13"/>
        <w:ind w:firstLine="482"/>
      </w:pPr>
      <w:r w:rsidRPr="003B2FB1">
        <w:rPr>
          <w:rFonts w:hint="eastAsia"/>
          <w:b/>
          <w:bCs/>
        </w:rPr>
        <w:t xml:space="preserve">第三十三条 </w:t>
      </w:r>
      <w:r w:rsidR="00EA1B72">
        <w:t>采用成本法进行专利资产评估时，应当合理确定贬值。</w:t>
      </w:r>
    </w:p>
    <w:p w14:paraId="6A3815C5" w14:textId="77777777" w:rsidR="00EA1B72" w:rsidRDefault="00EA1B72" w:rsidP="00AF7342">
      <w:pPr>
        <w:pStyle w:val="a9"/>
        <w:spacing w:before="62" w:after="62"/>
      </w:pPr>
      <w:r>
        <w:rPr>
          <w:rFonts w:hint="eastAsia"/>
        </w:rPr>
        <w:lastRenderedPageBreak/>
        <w:t>第五章</w:t>
      </w:r>
      <w:r>
        <w:t xml:space="preserve"> 披露要求</w:t>
      </w:r>
    </w:p>
    <w:p w14:paraId="04A816E3" w14:textId="681373F9" w:rsidR="00EA1B72" w:rsidRDefault="003B2FB1" w:rsidP="00EA1B72">
      <w:pPr>
        <w:pStyle w:val="13"/>
        <w:ind w:firstLine="482"/>
      </w:pPr>
      <w:r w:rsidRPr="003B2FB1">
        <w:rPr>
          <w:rFonts w:hint="eastAsia"/>
          <w:b/>
          <w:bCs/>
        </w:rPr>
        <w:t xml:space="preserve">第三十四条 </w:t>
      </w:r>
      <w:r w:rsidR="00EA1B72">
        <w:t>编制专利资产评估报告应当反映专利资产的特点，通常包括下列内容：</w:t>
      </w:r>
    </w:p>
    <w:p w14:paraId="3F82C0A8" w14:textId="77777777" w:rsidR="00EA1B72" w:rsidRDefault="00EA1B72" w:rsidP="00EA1B72">
      <w:pPr>
        <w:pStyle w:val="13"/>
      </w:pPr>
      <w:r>
        <w:rPr>
          <w:rFonts w:hint="eastAsia"/>
        </w:rPr>
        <w:t>（一）评估对象的详细情况，通常包括专利资产的权利属性、使用权具体形式、法律状态、专利申请号及专利权利要求等；</w:t>
      </w:r>
    </w:p>
    <w:p w14:paraId="1625BDBB" w14:textId="77777777" w:rsidR="00EA1B72" w:rsidRDefault="00EA1B72" w:rsidP="00EA1B72">
      <w:pPr>
        <w:pStyle w:val="13"/>
      </w:pPr>
      <w:r>
        <w:rPr>
          <w:rFonts w:hint="eastAsia"/>
        </w:rPr>
        <w:t>（二）专利资产的技术状况和实施状况；</w:t>
      </w:r>
    </w:p>
    <w:p w14:paraId="40EC7A76" w14:textId="77777777" w:rsidR="00EA1B72" w:rsidRDefault="00EA1B72" w:rsidP="00EA1B72">
      <w:pPr>
        <w:pStyle w:val="13"/>
      </w:pPr>
      <w:r>
        <w:rPr>
          <w:rFonts w:hint="eastAsia"/>
        </w:rPr>
        <w:t>（三）对影响专利资产价值的法律因素、技术因素、经济因素的分析过程；</w:t>
      </w:r>
    </w:p>
    <w:p w14:paraId="4B22DE4D" w14:textId="77777777" w:rsidR="00EA1B72" w:rsidRDefault="00EA1B72" w:rsidP="00EA1B72">
      <w:pPr>
        <w:pStyle w:val="13"/>
      </w:pPr>
      <w:r>
        <w:rPr>
          <w:rFonts w:hint="eastAsia"/>
        </w:rPr>
        <w:t>（四）专利的实施经营条件；</w:t>
      </w:r>
    </w:p>
    <w:p w14:paraId="13B71D39" w14:textId="77777777" w:rsidR="00EA1B72" w:rsidRDefault="00EA1B72" w:rsidP="00EA1B72">
      <w:pPr>
        <w:pStyle w:val="13"/>
      </w:pPr>
      <w:r>
        <w:rPr>
          <w:rFonts w:hint="eastAsia"/>
        </w:rPr>
        <w:t>（五）使用的评估假设和限制条件；</w:t>
      </w:r>
    </w:p>
    <w:p w14:paraId="72E8C0BC" w14:textId="77777777" w:rsidR="00EA1B72" w:rsidRDefault="00EA1B72" w:rsidP="00EA1B72">
      <w:pPr>
        <w:pStyle w:val="13"/>
      </w:pPr>
      <w:r>
        <w:rPr>
          <w:rFonts w:hint="eastAsia"/>
        </w:rPr>
        <w:t>（六）专利权许可、转让、诉讼、无效请求及质押情况；</w:t>
      </w:r>
    </w:p>
    <w:p w14:paraId="6636F2DE" w14:textId="77777777" w:rsidR="00EA1B72" w:rsidRDefault="00EA1B72" w:rsidP="00EA1B72">
      <w:pPr>
        <w:pStyle w:val="13"/>
      </w:pPr>
      <w:r>
        <w:rPr>
          <w:rFonts w:hint="eastAsia"/>
        </w:rPr>
        <w:t>（七）有关评估方法的主要内容，包括评估方法的选取及其理由，评估方法中的运算和逻辑推理方式，各重要参数的来源、分析、比较与测算过程，对测算结果进行分析并形成评估结论的过程；</w:t>
      </w:r>
    </w:p>
    <w:p w14:paraId="6510112D" w14:textId="77777777" w:rsidR="00EA1B72" w:rsidRDefault="00EA1B72" w:rsidP="00EA1B72">
      <w:pPr>
        <w:pStyle w:val="13"/>
      </w:pPr>
      <w:r>
        <w:rPr>
          <w:rFonts w:hint="eastAsia"/>
        </w:rPr>
        <w:t>（八）其他必要信息。</w:t>
      </w:r>
    </w:p>
    <w:p w14:paraId="346FE615" w14:textId="77777777" w:rsidR="00EA1B72" w:rsidRDefault="00EA1B72" w:rsidP="00AF7342">
      <w:pPr>
        <w:pStyle w:val="a9"/>
        <w:spacing w:before="62" w:after="62"/>
      </w:pPr>
      <w:r>
        <w:rPr>
          <w:rFonts w:hint="eastAsia"/>
        </w:rPr>
        <w:t>第六章</w:t>
      </w:r>
      <w:r>
        <w:t xml:space="preserve"> 附则</w:t>
      </w:r>
    </w:p>
    <w:p w14:paraId="2FBA6590" w14:textId="6085560E" w:rsidR="00EA1B72" w:rsidRDefault="003B2FB1" w:rsidP="00EA1B72">
      <w:pPr>
        <w:pStyle w:val="13"/>
        <w:ind w:firstLine="482"/>
      </w:pPr>
      <w:r w:rsidRPr="003B2FB1">
        <w:rPr>
          <w:rFonts w:hint="eastAsia"/>
          <w:b/>
          <w:bCs/>
        </w:rPr>
        <w:t xml:space="preserve">第三十五条 </w:t>
      </w:r>
      <w:r w:rsidR="00EA1B72">
        <w:t>本指导意见自 2017</w:t>
      </w:r>
      <w:r w:rsidR="003068F8">
        <w:t>年</w:t>
      </w:r>
      <w:r w:rsidR="00EA1B72">
        <w:t>10</w:t>
      </w:r>
      <w:r w:rsidR="003068F8">
        <w:t>月</w:t>
      </w:r>
      <w:r w:rsidR="00EA1B72">
        <w:t>1</w:t>
      </w:r>
      <w:r w:rsidR="003068F8">
        <w:t>日</w:t>
      </w:r>
      <w:r w:rsidR="00EA1B72">
        <w:t>起施行。中国资产评估协会于 2008</w:t>
      </w:r>
      <w:r w:rsidR="003068F8">
        <w:t>年</w:t>
      </w:r>
      <w:r w:rsidR="00EA1B72">
        <w:t>11</w:t>
      </w:r>
      <w:r w:rsidR="003068F8">
        <w:t>月</w:t>
      </w:r>
      <w:r w:rsidR="00EA1B72">
        <w:t>28</w:t>
      </w:r>
      <w:r w:rsidR="003068F8">
        <w:t>日</w:t>
      </w:r>
      <w:r w:rsidR="00EA1B72">
        <w:t>发布的《关于印发〈资产评估准则—无形资产〉和〈专利资产评估指导意见〉的通知》（</w:t>
      </w:r>
      <w:proofErr w:type="gramStart"/>
      <w:r w:rsidR="00EA1B72">
        <w:t>中评协</w:t>
      </w:r>
      <w:proofErr w:type="gramEnd"/>
      <w:r w:rsidR="00EA1B72">
        <w:t>〔2008〕217号）中的《专利资产评估指导意见》同时废止。</w:t>
      </w:r>
    </w:p>
    <w:p w14:paraId="03BBEDE1" w14:textId="77777777" w:rsidR="00EA1B72" w:rsidRDefault="00EA1B72" w:rsidP="00EA1B72">
      <w:pPr>
        <w:pStyle w:val="31"/>
        <w:spacing w:before="156" w:after="62"/>
      </w:pPr>
      <w:bookmarkStart w:id="42" w:name="_Toc81833322"/>
      <w:r>
        <w:rPr>
          <w:rFonts w:hint="eastAsia"/>
        </w:rPr>
        <w:t>著作权资产评估指导意见（</w:t>
      </w:r>
      <w:proofErr w:type="gramStart"/>
      <w:r>
        <w:rPr>
          <w:rFonts w:hint="eastAsia"/>
        </w:rPr>
        <w:t>中评协</w:t>
      </w:r>
      <w:proofErr w:type="gramEnd"/>
      <w:r>
        <w:rPr>
          <w:rFonts w:hint="eastAsia"/>
        </w:rPr>
        <w:t>〔</w:t>
      </w:r>
      <w:r>
        <w:t>2017〕50号）</w:t>
      </w:r>
      <w:bookmarkEnd w:id="42"/>
    </w:p>
    <w:p w14:paraId="5BA17E5E" w14:textId="77777777" w:rsidR="00EA1B72" w:rsidRDefault="00EA1B72" w:rsidP="00EA1B72">
      <w:pPr>
        <w:pStyle w:val="13"/>
        <w:ind w:firstLineChars="0" w:firstLine="0"/>
      </w:pPr>
      <w:r>
        <w:rPr>
          <w:rFonts w:hint="eastAsia"/>
        </w:rPr>
        <w:t>各省、自治区、直辖市、计划单列市资产评估协会（注册会计师协会）：</w:t>
      </w:r>
    </w:p>
    <w:p w14:paraId="14355D39" w14:textId="0EF19525" w:rsidR="00EA1B72" w:rsidRDefault="00EA1B72" w:rsidP="00EA1B72">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著作权资产评估指导意见》进行了修订，现予印发，自</w:t>
      </w:r>
      <w:r>
        <w:t xml:space="preserve"> 2017</w:t>
      </w:r>
      <w:r w:rsidR="003068F8">
        <w:t>年</w:t>
      </w:r>
      <w:r>
        <w:t>10</w:t>
      </w:r>
      <w:r w:rsidR="003068F8">
        <w:rPr>
          <w:rFonts w:hint="eastAsia"/>
        </w:rPr>
        <w:t>月</w:t>
      </w:r>
      <w:r>
        <w:t>1</w:t>
      </w:r>
      <w:r w:rsidR="003068F8">
        <w:t>日</w:t>
      </w:r>
      <w:r>
        <w:t>起施行。</w:t>
      </w:r>
    </w:p>
    <w:p w14:paraId="5E461591" w14:textId="77777777" w:rsidR="00EA1B72" w:rsidRDefault="00EA1B72" w:rsidP="00EA1B72">
      <w:pPr>
        <w:pStyle w:val="13"/>
      </w:pPr>
      <w:r>
        <w:rPr>
          <w:rFonts w:hint="eastAsia"/>
        </w:rPr>
        <w:t>请各地</w:t>
      </w:r>
      <w:proofErr w:type="gramStart"/>
      <w:r>
        <w:rPr>
          <w:rFonts w:hint="eastAsia"/>
        </w:rPr>
        <w:t>方协会</w:t>
      </w:r>
      <w:proofErr w:type="gramEnd"/>
      <w:r>
        <w:rPr>
          <w:rFonts w:hint="eastAsia"/>
        </w:rPr>
        <w:t>将《著作权资产评估指导意见》及时转发资产评估机构，组织资产评估机构和资产评估专业人员进行学习和培训，并将执行过程中发现的问题及时上报中国资产评估协会。</w:t>
      </w:r>
    </w:p>
    <w:p w14:paraId="41B64EEA" w14:textId="77777777" w:rsidR="00EA1B72" w:rsidRDefault="00EA1B72" w:rsidP="00EA1B72">
      <w:pPr>
        <w:pStyle w:val="13"/>
      </w:pPr>
      <w:r>
        <w:rPr>
          <w:rFonts w:hint="eastAsia"/>
        </w:rPr>
        <w:t>附件：《著作权资产评估指导意见》</w:t>
      </w:r>
    </w:p>
    <w:p w14:paraId="09FE4ECA" w14:textId="77777777" w:rsidR="00EA1B72" w:rsidRDefault="00EA1B72" w:rsidP="00EA1B72">
      <w:pPr>
        <w:pStyle w:val="13"/>
        <w:jc w:val="right"/>
      </w:pPr>
      <w:r>
        <w:rPr>
          <w:rFonts w:hint="eastAsia"/>
        </w:rPr>
        <w:t>中国资产评估协会</w:t>
      </w:r>
    </w:p>
    <w:p w14:paraId="7C213E72" w14:textId="6B28E435" w:rsidR="00EA1B72" w:rsidRDefault="00EA1B72" w:rsidP="00EA1B72">
      <w:pPr>
        <w:pStyle w:val="13"/>
        <w:jc w:val="right"/>
      </w:pPr>
      <w:r>
        <w:t>2017</w:t>
      </w:r>
      <w:r w:rsidR="003068F8">
        <w:t>年</w:t>
      </w:r>
      <w:r>
        <w:t>9</w:t>
      </w:r>
      <w:r w:rsidR="003068F8">
        <w:t>月</w:t>
      </w:r>
      <w:r>
        <w:t>8</w:t>
      </w:r>
      <w:r w:rsidR="003068F8">
        <w:t>日</w:t>
      </w:r>
    </w:p>
    <w:p w14:paraId="457DE95D" w14:textId="77777777" w:rsidR="00EA1B72" w:rsidRDefault="00EA1B72" w:rsidP="00AF7342">
      <w:pPr>
        <w:pStyle w:val="a9"/>
        <w:spacing w:before="62" w:after="62"/>
      </w:pPr>
      <w:r>
        <w:rPr>
          <w:rFonts w:hint="eastAsia"/>
        </w:rPr>
        <w:t>著作权资产评估指导意见</w:t>
      </w:r>
    </w:p>
    <w:p w14:paraId="0A6E6064" w14:textId="77777777" w:rsidR="00EA1B72" w:rsidRDefault="00EA1B72" w:rsidP="00AF7342">
      <w:pPr>
        <w:pStyle w:val="a9"/>
        <w:spacing w:before="62" w:after="62"/>
      </w:pPr>
      <w:r>
        <w:rPr>
          <w:rFonts w:hint="eastAsia"/>
        </w:rPr>
        <w:t>第一章</w:t>
      </w:r>
      <w:r>
        <w:t xml:space="preserve"> 总则</w:t>
      </w:r>
    </w:p>
    <w:p w14:paraId="47749A5E" w14:textId="7E7C20CD" w:rsidR="00EA1B72" w:rsidRDefault="004E3EBB" w:rsidP="00EA1B72">
      <w:pPr>
        <w:pStyle w:val="13"/>
        <w:ind w:firstLine="482"/>
      </w:pPr>
      <w:r w:rsidRPr="004E3EBB">
        <w:rPr>
          <w:rFonts w:hint="eastAsia"/>
          <w:b/>
          <w:bCs/>
        </w:rPr>
        <w:t xml:space="preserve">第一条 </w:t>
      </w:r>
      <w:r w:rsidR="00EA1B72">
        <w:t>为规范著作权资产评估行为，保护资产评估当事人合法权益和公共利益</w:t>
      </w:r>
      <w:r w:rsidR="003C1F46">
        <w:t>，</w:t>
      </w:r>
      <w:r w:rsidR="00EA1B72">
        <w:lastRenderedPageBreak/>
        <w:t>根据《资产评估执业准则—无形资产》制定本指导意见。</w:t>
      </w:r>
    </w:p>
    <w:p w14:paraId="5F52F145" w14:textId="2C193501" w:rsidR="00EA1B72" w:rsidRDefault="004E3EBB" w:rsidP="00EA1B72">
      <w:pPr>
        <w:pStyle w:val="13"/>
        <w:ind w:firstLine="482"/>
      </w:pPr>
      <w:r w:rsidRPr="004E3EBB">
        <w:rPr>
          <w:rFonts w:hint="eastAsia"/>
          <w:b/>
          <w:bCs/>
        </w:rPr>
        <w:t xml:space="preserve">第二条 </w:t>
      </w:r>
      <w:r w:rsidR="00EA1B72">
        <w:t>本指导意见所称著作权资产，是指著作权权利人拥有或者控制的，能够持续发挥作用并且能带来经济利益的著作权的财产权益和与著作权有关权利的财产权益。</w:t>
      </w:r>
    </w:p>
    <w:p w14:paraId="0BFEDE34" w14:textId="7B23BAD2" w:rsidR="00EA1B72" w:rsidRDefault="004E3EBB" w:rsidP="00EA1B72">
      <w:pPr>
        <w:pStyle w:val="13"/>
        <w:ind w:firstLine="482"/>
      </w:pPr>
      <w:r w:rsidRPr="004E3EBB">
        <w:rPr>
          <w:rFonts w:hint="eastAsia"/>
          <w:b/>
          <w:bCs/>
        </w:rPr>
        <w:t xml:space="preserve">第三条 </w:t>
      </w:r>
      <w:r w:rsidR="00EA1B72">
        <w:t>本指导意见所称著作权资产评估，是指资产评估机构及其资产评估专业人员遵守法律、行政法规和资产评估准则，根据委托对评估基准日特定目的下的著作权资产价值进行评定和估算，并出具资产评估报告的专业服务行为。</w:t>
      </w:r>
    </w:p>
    <w:p w14:paraId="4B9F2737" w14:textId="110AB266" w:rsidR="00EA1B72" w:rsidRDefault="004E3EBB" w:rsidP="00EA1B72">
      <w:pPr>
        <w:pStyle w:val="13"/>
        <w:ind w:firstLine="482"/>
      </w:pPr>
      <w:r w:rsidRPr="004E3EBB">
        <w:rPr>
          <w:rFonts w:hint="eastAsia"/>
          <w:b/>
          <w:bCs/>
        </w:rPr>
        <w:t xml:space="preserve">第四条 </w:t>
      </w:r>
      <w:r w:rsidR="00EA1B72">
        <w:t>执行著作权资产评估业务，应当遵守本指导意见。</w:t>
      </w:r>
    </w:p>
    <w:p w14:paraId="33B036E8" w14:textId="77777777" w:rsidR="00EA1B72" w:rsidRDefault="00EA1B72" w:rsidP="00AF7342">
      <w:pPr>
        <w:pStyle w:val="a9"/>
        <w:spacing w:before="62" w:after="62"/>
      </w:pPr>
      <w:r>
        <w:rPr>
          <w:rFonts w:hint="eastAsia"/>
        </w:rPr>
        <w:t>第二章</w:t>
      </w:r>
      <w:r>
        <w:t xml:space="preserve"> 基本遵循</w:t>
      </w:r>
    </w:p>
    <w:p w14:paraId="0A373887" w14:textId="24E37AAF" w:rsidR="00EA1B72" w:rsidRDefault="004E3EBB" w:rsidP="00EA1B72">
      <w:pPr>
        <w:pStyle w:val="13"/>
        <w:ind w:firstLine="482"/>
      </w:pPr>
      <w:r w:rsidRPr="004E3EBB">
        <w:rPr>
          <w:rFonts w:hint="eastAsia"/>
          <w:b/>
          <w:bCs/>
        </w:rPr>
        <w:t xml:space="preserve">第五条 </w:t>
      </w:r>
      <w:r w:rsidR="00EA1B72">
        <w:t>资产评估机构及其资产评估专业人员开展著作权资产评估业务，应当遵守法律、行政法规的规定，坚持独立、客观、公正的原则，诚实守信，勤勉尽责，谨慎从业，遵守职业道德规范，自觉维护职业形象，不得从事损害职业形象的活动。</w:t>
      </w:r>
    </w:p>
    <w:p w14:paraId="03804925" w14:textId="12181165" w:rsidR="00EA1B72" w:rsidRDefault="004E3EBB" w:rsidP="00EA1B72">
      <w:pPr>
        <w:pStyle w:val="13"/>
        <w:ind w:firstLine="482"/>
      </w:pPr>
      <w:r w:rsidRPr="004E3EBB">
        <w:rPr>
          <w:rFonts w:hint="eastAsia"/>
          <w:b/>
          <w:bCs/>
        </w:rPr>
        <w:t xml:space="preserve">第六条 </w:t>
      </w:r>
      <w:r w:rsidR="00EA1B72">
        <w:t>资产评估机构及其资产评估专业人员开展著作权资产评估业务，应当独立进行分析和估算并形成专业意见，拒绝委托人或者其他相关当事人的干预，不得直接以预先设定的价值作为评估结论。</w:t>
      </w:r>
    </w:p>
    <w:p w14:paraId="0B8AD633" w14:textId="7E9DB46C" w:rsidR="00EA1B72" w:rsidRDefault="004E3EBB" w:rsidP="00EA1B72">
      <w:pPr>
        <w:pStyle w:val="13"/>
        <w:ind w:firstLine="482"/>
      </w:pPr>
      <w:r w:rsidRPr="004E3EBB">
        <w:rPr>
          <w:rFonts w:hint="eastAsia"/>
          <w:b/>
          <w:bCs/>
        </w:rPr>
        <w:t xml:space="preserve">第七条 </w:t>
      </w:r>
      <w:r w:rsidR="00EA1B72">
        <w:t>执行著作权资产评估业务，应当具备著作权资产评估的专业知识和实践经验，能够胜任所执行的著作权资产评估业务。</w:t>
      </w:r>
    </w:p>
    <w:p w14:paraId="68481002" w14:textId="77777777" w:rsidR="00EA1B72" w:rsidRDefault="00EA1B72" w:rsidP="00EA1B72">
      <w:pPr>
        <w:pStyle w:val="13"/>
      </w:pPr>
      <w:r>
        <w:rPr>
          <w:rFonts w:hint="eastAsia"/>
        </w:rPr>
        <w:t>执行某项特定业务缺乏特定的专业知识和经验时，应当采取弥补措施，包括利用专家工作及相关报告等。</w:t>
      </w:r>
    </w:p>
    <w:p w14:paraId="2F9B0062" w14:textId="26C4037D" w:rsidR="00EA1B72" w:rsidRDefault="004E3EBB" w:rsidP="00EA1B72">
      <w:pPr>
        <w:pStyle w:val="13"/>
        <w:ind w:firstLine="482"/>
      </w:pPr>
      <w:r w:rsidRPr="004E3EBB">
        <w:rPr>
          <w:rFonts w:hint="eastAsia"/>
          <w:b/>
          <w:bCs/>
        </w:rPr>
        <w:t xml:space="preserve">第八条 </w:t>
      </w:r>
      <w:r w:rsidR="00EA1B72">
        <w:t>执行企业价值评估中的著作权资产评估业务，应当了解在对持续经营前提下的企业价值进行评估时，著作权资产作为企业资产的组成部分的价值可能有别于作为单项资产的价值，其价值取决于它对企业价值的贡献程度。</w:t>
      </w:r>
    </w:p>
    <w:p w14:paraId="686A7967" w14:textId="392A56D3" w:rsidR="00EA1B72" w:rsidRDefault="00E05BDA" w:rsidP="00EA1B72">
      <w:pPr>
        <w:pStyle w:val="13"/>
        <w:ind w:firstLine="482"/>
      </w:pPr>
      <w:r w:rsidRPr="00E05BDA">
        <w:rPr>
          <w:rFonts w:hint="eastAsia"/>
          <w:b/>
          <w:bCs/>
        </w:rPr>
        <w:t xml:space="preserve">第九条 </w:t>
      </w:r>
      <w:r w:rsidR="00EA1B72">
        <w:t>执行著作权资产评估业务，应当在考虑评估目的等因素的基础上，恰当选择价值类型。</w:t>
      </w:r>
    </w:p>
    <w:p w14:paraId="57C06166" w14:textId="77777777" w:rsidR="00EA1B72" w:rsidRDefault="00EA1B72" w:rsidP="00EA1B72">
      <w:pPr>
        <w:pStyle w:val="13"/>
      </w:pPr>
      <w:r>
        <w:rPr>
          <w:rFonts w:hint="eastAsia"/>
        </w:rPr>
        <w:t>以质押为目的可以选择市场价值或者市场价值以外的价值类型，以交易为目的通常选择市场价值或者投资价值，以财务报告为目的通常根据会计准则相关要求选择相应的价值类型</w:t>
      </w:r>
      <w:r>
        <w:t xml:space="preserve"> 。</w:t>
      </w:r>
    </w:p>
    <w:p w14:paraId="0A655F00" w14:textId="11C0D90B" w:rsidR="00EA1B72" w:rsidRDefault="00E05BDA" w:rsidP="00EA1B72">
      <w:pPr>
        <w:pStyle w:val="13"/>
        <w:ind w:firstLine="482"/>
      </w:pPr>
      <w:r w:rsidRPr="00E05BDA">
        <w:rPr>
          <w:rFonts w:hint="eastAsia"/>
          <w:b/>
          <w:bCs/>
        </w:rPr>
        <w:t xml:space="preserve">第十条 </w:t>
      </w:r>
      <w:r w:rsidR="00EA1B72">
        <w:t>执行著作权资产评估业务，应当确定评估假设和限制条件。</w:t>
      </w:r>
    </w:p>
    <w:p w14:paraId="6DFA276A" w14:textId="77777777" w:rsidR="00EA1B72" w:rsidRDefault="00EA1B72" w:rsidP="00AF7342">
      <w:pPr>
        <w:pStyle w:val="a9"/>
        <w:spacing w:before="62" w:after="62"/>
      </w:pPr>
      <w:r w:rsidRPr="00EA1B72">
        <w:rPr>
          <w:rFonts w:hint="eastAsia"/>
        </w:rPr>
        <w:t>第三章</w:t>
      </w:r>
      <w:r>
        <w:t xml:space="preserve"> 资产评估对象</w:t>
      </w:r>
    </w:p>
    <w:p w14:paraId="30C6F1FD" w14:textId="336EFE3F" w:rsidR="00EA1B72" w:rsidRDefault="00E05BDA" w:rsidP="00EA1B72">
      <w:pPr>
        <w:pStyle w:val="13"/>
        <w:ind w:firstLine="482"/>
      </w:pPr>
      <w:r w:rsidRPr="00E05BDA">
        <w:rPr>
          <w:rFonts w:hint="eastAsia"/>
          <w:b/>
          <w:bCs/>
        </w:rPr>
        <w:t xml:space="preserve">第十一条 </w:t>
      </w:r>
      <w:r w:rsidR="00EA1B72">
        <w:t>著作权资产评估对象是指著作权中的财产权益以及与著作权有关权利的财产权益。</w:t>
      </w:r>
    </w:p>
    <w:p w14:paraId="5B3E40B7" w14:textId="125DCFAF" w:rsidR="00EA1B72" w:rsidRDefault="00E05BDA" w:rsidP="00EA1B72">
      <w:pPr>
        <w:pStyle w:val="13"/>
        <w:ind w:firstLine="482"/>
      </w:pPr>
      <w:r w:rsidRPr="00E05BDA">
        <w:rPr>
          <w:rFonts w:hint="eastAsia"/>
          <w:b/>
          <w:bCs/>
        </w:rPr>
        <w:t xml:space="preserve">第十二条 </w:t>
      </w:r>
      <w:r w:rsidR="00EA1B72">
        <w:t>著作权资产的财产权利形式包括著作权人享有的权利和转让或者许可他人使用的权利。</w:t>
      </w:r>
    </w:p>
    <w:p w14:paraId="7E458318" w14:textId="77777777" w:rsidR="00EA1B72" w:rsidRDefault="00EA1B72" w:rsidP="00EA1B72">
      <w:pPr>
        <w:pStyle w:val="13"/>
      </w:pPr>
      <w:r>
        <w:rPr>
          <w:rFonts w:hint="eastAsia"/>
        </w:rPr>
        <w:lastRenderedPageBreak/>
        <w:t>许可使用形式包括法定许可和授权许可；授权许可形式包括专有许可、非专有许可和其他形式许可等。</w:t>
      </w:r>
    </w:p>
    <w:p w14:paraId="4BC32F06" w14:textId="18FF9EC8" w:rsidR="00EA1B72" w:rsidRDefault="00E05BDA" w:rsidP="00EA1B72">
      <w:pPr>
        <w:pStyle w:val="13"/>
        <w:ind w:firstLine="482"/>
      </w:pPr>
      <w:r w:rsidRPr="00E05BDA">
        <w:rPr>
          <w:rFonts w:hint="eastAsia"/>
          <w:b/>
          <w:bCs/>
        </w:rPr>
        <w:t xml:space="preserve">第十三条 </w:t>
      </w:r>
      <w:r w:rsidR="00EA1B72">
        <w:t>执行著作权资产评估业务，应当明确著作权资产的权利形式。当评估对象为著作权许可使用权时，应当明确具体许可形式、内容和期限。</w:t>
      </w:r>
    </w:p>
    <w:p w14:paraId="19EFC409" w14:textId="12603A4C" w:rsidR="00EA1B72" w:rsidRDefault="00E05BDA" w:rsidP="00EA1B72">
      <w:pPr>
        <w:pStyle w:val="13"/>
        <w:ind w:firstLine="482"/>
      </w:pPr>
      <w:r w:rsidRPr="00E05BDA">
        <w:rPr>
          <w:rFonts w:hint="eastAsia"/>
          <w:b/>
          <w:bCs/>
        </w:rPr>
        <w:t xml:space="preserve">第十四条 </w:t>
      </w:r>
      <w:r w:rsidR="00EA1B72">
        <w:t>著作权财产权利种类包括：复制权、发行权、出租权、展览权、表演权、放映权、广播权、信息网络传播权、摄制权、改编权、翻译权、汇编权以及著作权人享有的其他财产权利。这些权利是和特定作品（产品）相关联的。由于作品自身特性，并不是每一种作品都具有这些财产权利。</w:t>
      </w:r>
    </w:p>
    <w:p w14:paraId="21DBB759" w14:textId="164C6FCD" w:rsidR="00EA1B72" w:rsidRDefault="00EA1B72" w:rsidP="00EA1B72">
      <w:pPr>
        <w:pStyle w:val="13"/>
      </w:pPr>
      <w:r>
        <w:rPr>
          <w:rFonts w:hint="eastAsia"/>
        </w:rPr>
        <w:t>与著作权评估有关的权利通常包括：出版者对其出版的图书、期刊的版式设计权利，</w:t>
      </w:r>
      <w:r>
        <w:t>表演者对其表演享有的权利，录音、录像制作者对其制作的录音、录像制品享有的权利，</w:t>
      </w:r>
      <w:r>
        <w:rPr>
          <w:rFonts w:hint="eastAsia"/>
        </w:rPr>
        <w:t>广播电台、电视台对其制作的广播、电视所享有的权利以及由法律、行政法规规定的其他与著作权有关的权利。</w:t>
      </w:r>
    </w:p>
    <w:p w14:paraId="051594FF" w14:textId="54456697" w:rsidR="00EA1B72" w:rsidRDefault="00E05BDA" w:rsidP="00EA1B72">
      <w:pPr>
        <w:pStyle w:val="13"/>
        <w:ind w:firstLine="482"/>
      </w:pPr>
      <w:r w:rsidRPr="00E05BDA">
        <w:rPr>
          <w:rFonts w:hint="eastAsia"/>
          <w:b/>
          <w:bCs/>
        </w:rPr>
        <w:t xml:space="preserve">第十五条 </w:t>
      </w:r>
      <w:r w:rsidR="00EA1B72">
        <w:t>执行著作权资产评估业务，应当关注评估对象的基本状况以及在时间、地域和其他方面的限制条件，评估对象涉及的作品在著作权法中所属的作品类别，作品的发表状况、使用状态、登记情况以及著作权的保护期限。</w:t>
      </w:r>
    </w:p>
    <w:p w14:paraId="2801AEF0" w14:textId="740A6E09" w:rsidR="00EA1B72" w:rsidRDefault="00E05BDA" w:rsidP="00EA1B72">
      <w:pPr>
        <w:pStyle w:val="13"/>
        <w:ind w:firstLine="482"/>
      </w:pPr>
      <w:r w:rsidRPr="00E05BDA">
        <w:rPr>
          <w:rFonts w:hint="eastAsia"/>
          <w:b/>
          <w:bCs/>
        </w:rPr>
        <w:t xml:space="preserve">第十六条 </w:t>
      </w:r>
      <w:r w:rsidR="00EA1B72">
        <w:t>执行著作权资产评估业务，应当要求委托人明确著作权资产评估对象的组成形式。著作权资产评估对象通常有下列组成形式：</w:t>
      </w:r>
    </w:p>
    <w:p w14:paraId="63A0FEC8" w14:textId="77777777" w:rsidR="00EA1B72" w:rsidRDefault="00EA1B72" w:rsidP="00EA1B72">
      <w:pPr>
        <w:pStyle w:val="13"/>
      </w:pPr>
      <w:r>
        <w:rPr>
          <w:rFonts w:hint="eastAsia"/>
        </w:rPr>
        <w:t>（一）单个著作权中的单项财产权利；</w:t>
      </w:r>
    </w:p>
    <w:p w14:paraId="325B3771" w14:textId="77777777" w:rsidR="00EA1B72" w:rsidRDefault="00EA1B72" w:rsidP="00EA1B72">
      <w:pPr>
        <w:pStyle w:val="13"/>
      </w:pPr>
      <w:r>
        <w:rPr>
          <w:rFonts w:hint="eastAsia"/>
        </w:rPr>
        <w:t>（二）单个著作权中的多项财产权利的组合；</w:t>
      </w:r>
    </w:p>
    <w:p w14:paraId="706ABC65" w14:textId="77777777" w:rsidR="00EA1B72" w:rsidRDefault="00EA1B72" w:rsidP="00EA1B72">
      <w:pPr>
        <w:pStyle w:val="13"/>
      </w:pPr>
      <w:r>
        <w:rPr>
          <w:rFonts w:hint="eastAsia"/>
        </w:rPr>
        <w:t>（三）分属于不同著作权的单项或者多项财产权利的组合；</w:t>
      </w:r>
    </w:p>
    <w:p w14:paraId="49CA606F" w14:textId="77777777" w:rsidR="00EA1B72" w:rsidRDefault="00EA1B72" w:rsidP="00EA1B72">
      <w:pPr>
        <w:pStyle w:val="13"/>
      </w:pPr>
      <w:r>
        <w:rPr>
          <w:rFonts w:hint="eastAsia"/>
        </w:rPr>
        <w:t>（四）著作权中财产权和与著作权有关权利的财产权益的组合；</w:t>
      </w:r>
    </w:p>
    <w:p w14:paraId="73E251F8" w14:textId="77777777" w:rsidR="00EA1B72" w:rsidRDefault="00EA1B72" w:rsidP="00EA1B72">
      <w:pPr>
        <w:pStyle w:val="13"/>
      </w:pPr>
      <w:r>
        <w:rPr>
          <w:rFonts w:hint="eastAsia"/>
        </w:rPr>
        <w:t>（五）在权利客体不可分割或者不需要分割的情况下，著作权资产与其他无形资产的组合。</w:t>
      </w:r>
    </w:p>
    <w:p w14:paraId="4C6F9A84" w14:textId="61027972" w:rsidR="00EA1B72" w:rsidRDefault="00E05BDA" w:rsidP="00EA1B72">
      <w:pPr>
        <w:pStyle w:val="13"/>
        <w:ind w:firstLine="482"/>
      </w:pPr>
      <w:r w:rsidRPr="00E05BDA">
        <w:rPr>
          <w:rFonts w:hint="eastAsia"/>
          <w:b/>
          <w:bCs/>
        </w:rPr>
        <w:t xml:space="preserve">第十七条 </w:t>
      </w:r>
      <w:r w:rsidR="00EA1B72">
        <w:t>执行著作权资产评估业务，应当关注著作权的法律状态。著作权的法律状态包括著作权权利人信息、权利人变更情况、著作权质押情况和涉及诉讼情况等。</w:t>
      </w:r>
    </w:p>
    <w:p w14:paraId="7087AADE" w14:textId="41BB4BD2" w:rsidR="00EA1B72" w:rsidRDefault="00E05BDA" w:rsidP="00EA1B72">
      <w:pPr>
        <w:pStyle w:val="13"/>
        <w:ind w:firstLine="482"/>
      </w:pPr>
      <w:r w:rsidRPr="00E05BDA">
        <w:rPr>
          <w:rFonts w:hint="eastAsia"/>
          <w:b/>
          <w:bCs/>
        </w:rPr>
        <w:t xml:space="preserve">第十八条 </w:t>
      </w:r>
      <w:r w:rsidR="00EA1B72">
        <w:t>执行质押目的著作权资产评估业务，应当要求委托人提交由著作权登记机关出具的登记证书；执行出资目的著作权资产评估业务，应当关注著作权的登记情况。</w:t>
      </w:r>
    </w:p>
    <w:p w14:paraId="1FB2FC96" w14:textId="77777777" w:rsidR="00EA1B72" w:rsidRDefault="00EA1B72" w:rsidP="00AF7342">
      <w:pPr>
        <w:pStyle w:val="a9"/>
        <w:spacing w:before="62" w:after="62"/>
      </w:pPr>
      <w:r>
        <w:rPr>
          <w:rFonts w:hint="eastAsia"/>
        </w:rPr>
        <w:t>第四章</w:t>
      </w:r>
      <w:r>
        <w:t xml:space="preserve"> 操作要求</w:t>
      </w:r>
    </w:p>
    <w:p w14:paraId="3090DCBC" w14:textId="25BF1CD1" w:rsidR="00EA1B72" w:rsidRDefault="00E05BDA" w:rsidP="00EA1B72">
      <w:pPr>
        <w:pStyle w:val="13"/>
        <w:ind w:firstLine="482"/>
      </w:pPr>
      <w:r w:rsidRPr="00E05BDA">
        <w:rPr>
          <w:rFonts w:hint="eastAsia"/>
          <w:b/>
          <w:bCs/>
        </w:rPr>
        <w:t xml:space="preserve">第十九条 </w:t>
      </w:r>
      <w:r w:rsidR="00EA1B72">
        <w:t>执行著作权资产评估业务，应当对享有著作权的作品相关情况进行调查，包括必要的现场调查、市场调查，并收集相关信息、资料等。</w:t>
      </w:r>
    </w:p>
    <w:p w14:paraId="4070F4C2" w14:textId="77777777" w:rsidR="00EA1B72" w:rsidRDefault="00EA1B72" w:rsidP="00EA1B72">
      <w:pPr>
        <w:pStyle w:val="13"/>
      </w:pPr>
      <w:r>
        <w:rPr>
          <w:rFonts w:hint="eastAsia"/>
        </w:rPr>
        <w:t>调查过程收集的相关信息、资料通常包括：</w:t>
      </w:r>
    </w:p>
    <w:p w14:paraId="486A95DC" w14:textId="77777777" w:rsidR="00EA1B72" w:rsidRDefault="00EA1B72" w:rsidP="00EA1B72">
      <w:pPr>
        <w:pStyle w:val="13"/>
      </w:pPr>
      <w:r>
        <w:rPr>
          <w:rFonts w:hint="eastAsia"/>
        </w:rPr>
        <w:t>（一）作品作者和著作权权利人的基本情况；</w:t>
      </w:r>
    </w:p>
    <w:p w14:paraId="3C03FB87" w14:textId="77777777" w:rsidR="00EA1B72" w:rsidRDefault="00EA1B72" w:rsidP="00EA1B72">
      <w:pPr>
        <w:pStyle w:val="13"/>
      </w:pPr>
      <w:r>
        <w:rPr>
          <w:rFonts w:hint="eastAsia"/>
        </w:rPr>
        <w:lastRenderedPageBreak/>
        <w:t>（二）作品基本情况，包括作品创作完成时间、首次发表时间、复制、发行、出租、展览、表演、放映、广播、信息网络传播、摄制、改编、翻译、汇编等使用情况；</w:t>
      </w:r>
    </w:p>
    <w:p w14:paraId="7FD54561" w14:textId="7EFB4060" w:rsidR="00EA1B72" w:rsidRDefault="00EA1B72" w:rsidP="00EA1B72">
      <w:pPr>
        <w:pStyle w:val="13"/>
      </w:pPr>
      <w:r>
        <w:rPr>
          <w:rFonts w:hint="eastAsia"/>
        </w:rPr>
        <w:t>（三）作品的类别，包括文字作品，口述作品，音乐、戏剧、曲艺、舞蹈、杂技艺术作品，美术、建筑作品，摄影作品，电影作品和以类似摄制电影的方法创作的作品</w:t>
      </w:r>
      <w:r w:rsidR="003C1F46">
        <w:rPr>
          <w:rFonts w:hint="eastAsia"/>
        </w:rPr>
        <w:t>，</w:t>
      </w:r>
      <w:r>
        <w:t>工程设计图、产品设计图、地图、示意图等图形作品和模型作品，计算机软件，法律、行政法规规定的其他作品；</w:t>
      </w:r>
    </w:p>
    <w:p w14:paraId="4A1E4F5E" w14:textId="77777777" w:rsidR="00EA1B72" w:rsidRDefault="00EA1B72" w:rsidP="00EA1B72">
      <w:pPr>
        <w:pStyle w:val="13"/>
      </w:pPr>
      <w:r>
        <w:rPr>
          <w:rFonts w:hint="eastAsia"/>
        </w:rPr>
        <w:t>（四）作品的创作形式，包括原创或者各种形式的改编、翻译、注释、整理等；</w:t>
      </w:r>
    </w:p>
    <w:p w14:paraId="07D79FC5" w14:textId="77777777" w:rsidR="00EA1B72" w:rsidRDefault="00EA1B72" w:rsidP="00EA1B72">
      <w:pPr>
        <w:pStyle w:val="13"/>
      </w:pPr>
      <w:r>
        <w:rPr>
          <w:rFonts w:hint="eastAsia"/>
        </w:rPr>
        <w:t>（五）作品的题材类型、体裁特征等情况；</w:t>
      </w:r>
    </w:p>
    <w:p w14:paraId="7618FB24" w14:textId="77777777" w:rsidR="00EA1B72" w:rsidRDefault="00EA1B72" w:rsidP="00EA1B72">
      <w:pPr>
        <w:pStyle w:val="13"/>
      </w:pPr>
      <w:r>
        <w:rPr>
          <w:rFonts w:hint="eastAsia"/>
        </w:rPr>
        <w:t>（六）著作权和与著作权有关权利的情况及其登记情况；</w:t>
      </w:r>
    </w:p>
    <w:p w14:paraId="37678539" w14:textId="77777777" w:rsidR="00EA1B72" w:rsidRDefault="00EA1B72" w:rsidP="00EA1B72">
      <w:pPr>
        <w:pStyle w:val="13"/>
      </w:pPr>
      <w:r>
        <w:rPr>
          <w:rFonts w:hint="eastAsia"/>
        </w:rPr>
        <w:t>（七）各种权利限制情况，包括相关财产权利在时间、地域方面的限制以及质押、诉讼等方面的限制；</w:t>
      </w:r>
    </w:p>
    <w:p w14:paraId="196E99FA" w14:textId="77777777" w:rsidR="00EA1B72" w:rsidRDefault="00EA1B72" w:rsidP="00EA1B72">
      <w:pPr>
        <w:pStyle w:val="13"/>
      </w:pPr>
      <w:r>
        <w:rPr>
          <w:rFonts w:hint="eastAsia"/>
        </w:rPr>
        <w:t>（八）与作品相关的其他无形资产权利的情况；</w:t>
      </w:r>
    </w:p>
    <w:p w14:paraId="4315BD20" w14:textId="77777777" w:rsidR="00EA1B72" w:rsidRDefault="00EA1B72" w:rsidP="00EA1B72">
      <w:pPr>
        <w:pStyle w:val="13"/>
      </w:pPr>
      <w:r>
        <w:rPr>
          <w:rFonts w:hint="eastAsia"/>
        </w:rPr>
        <w:t>（九）作品的创作成本、费用支出；</w:t>
      </w:r>
    </w:p>
    <w:p w14:paraId="34053C08" w14:textId="77777777" w:rsidR="00EA1B72" w:rsidRDefault="00EA1B72" w:rsidP="00EA1B72">
      <w:pPr>
        <w:pStyle w:val="13"/>
      </w:pPr>
      <w:r>
        <w:rPr>
          <w:rFonts w:hint="eastAsia"/>
        </w:rPr>
        <w:t>（十）著作权资产以往的评估和交易情况，包括转让、许可使用以及其他形式的交易情况；</w:t>
      </w:r>
    </w:p>
    <w:p w14:paraId="47DCDCB7" w14:textId="77777777" w:rsidR="00EA1B72" w:rsidRDefault="00EA1B72" w:rsidP="00EA1B72">
      <w:pPr>
        <w:pStyle w:val="13"/>
      </w:pPr>
      <w:r>
        <w:rPr>
          <w:rFonts w:hint="eastAsia"/>
        </w:rPr>
        <w:t>（十一）著作权权利维护情况；</w:t>
      </w:r>
    </w:p>
    <w:p w14:paraId="7F0C4233" w14:textId="77777777" w:rsidR="00EA1B72" w:rsidRDefault="00EA1B72" w:rsidP="00EA1B72">
      <w:pPr>
        <w:pStyle w:val="13"/>
      </w:pPr>
      <w:r>
        <w:rPr>
          <w:rFonts w:hint="eastAsia"/>
        </w:rPr>
        <w:t>（十二）宏观经济发展和相关行业政策与作品市场发展状况；</w:t>
      </w:r>
    </w:p>
    <w:p w14:paraId="1454AA0C" w14:textId="77777777" w:rsidR="00EA1B72" w:rsidRDefault="00EA1B72" w:rsidP="00EA1B72">
      <w:pPr>
        <w:pStyle w:val="13"/>
      </w:pPr>
      <w:r>
        <w:rPr>
          <w:rFonts w:hint="eastAsia"/>
        </w:rPr>
        <w:t>（十三）作品的使用范围、市场需求、同类产品的竞争状况；</w:t>
      </w:r>
    </w:p>
    <w:p w14:paraId="0F0C4A3B" w14:textId="77777777" w:rsidR="00EA1B72" w:rsidRDefault="00EA1B72" w:rsidP="00EA1B72">
      <w:pPr>
        <w:pStyle w:val="13"/>
      </w:pPr>
      <w:r>
        <w:rPr>
          <w:rFonts w:hint="eastAsia"/>
        </w:rPr>
        <w:t>（十四）作品使用、收益的可能性和方式；</w:t>
      </w:r>
    </w:p>
    <w:p w14:paraId="658871ED" w14:textId="77777777" w:rsidR="00EA1B72" w:rsidRDefault="00EA1B72" w:rsidP="00EA1B72">
      <w:pPr>
        <w:pStyle w:val="13"/>
      </w:pPr>
      <w:r>
        <w:rPr>
          <w:rFonts w:hint="eastAsia"/>
        </w:rPr>
        <w:t>（十五）同类作品近期的市场交易及成交价格情况。</w:t>
      </w:r>
    </w:p>
    <w:p w14:paraId="3E878FA7" w14:textId="7DB30E37" w:rsidR="00EA1B72" w:rsidRDefault="00E05BDA" w:rsidP="00EA1B72">
      <w:pPr>
        <w:pStyle w:val="13"/>
        <w:ind w:firstLine="482"/>
      </w:pPr>
      <w:r w:rsidRPr="00E05BDA">
        <w:rPr>
          <w:rFonts w:hint="eastAsia"/>
          <w:b/>
          <w:bCs/>
        </w:rPr>
        <w:t xml:space="preserve">第二十条 </w:t>
      </w:r>
      <w:r w:rsidR="00EA1B72">
        <w:t>执行著作权资产评估业务，应当了解与著作权资产共同发挥作用的其他因素，并重点关注下列情况：</w:t>
      </w:r>
    </w:p>
    <w:p w14:paraId="719ECB7D" w14:textId="77777777" w:rsidR="00EA1B72" w:rsidRDefault="00EA1B72" w:rsidP="00EA1B72">
      <w:pPr>
        <w:pStyle w:val="13"/>
      </w:pPr>
      <w:r>
        <w:rPr>
          <w:rFonts w:hint="eastAsia"/>
        </w:rPr>
        <w:t>（一）著作权资产与相关有形资产以及其他无形资产共同发挥作用；</w:t>
      </w:r>
    </w:p>
    <w:p w14:paraId="73F161BC" w14:textId="77777777" w:rsidR="00EA1B72" w:rsidRDefault="00EA1B72" w:rsidP="00EA1B72">
      <w:pPr>
        <w:pStyle w:val="13"/>
      </w:pPr>
      <w:r>
        <w:rPr>
          <w:rFonts w:hint="eastAsia"/>
        </w:rPr>
        <w:t>（二）原创作品著作权与演绎作品著作权共同发挥作用；</w:t>
      </w:r>
    </w:p>
    <w:p w14:paraId="0E3F55B9" w14:textId="77777777" w:rsidR="00EA1B72" w:rsidRDefault="00EA1B72" w:rsidP="00EA1B72">
      <w:pPr>
        <w:pStyle w:val="13"/>
      </w:pPr>
      <w:r>
        <w:rPr>
          <w:rFonts w:hint="eastAsia"/>
        </w:rPr>
        <w:t>（三）著作权和与著作权有关权利共同发挥作用。</w:t>
      </w:r>
    </w:p>
    <w:p w14:paraId="2EC84764" w14:textId="77777777" w:rsidR="00EA1B72" w:rsidRDefault="00EA1B72" w:rsidP="00EA1B72">
      <w:pPr>
        <w:pStyle w:val="13"/>
      </w:pPr>
      <w:r>
        <w:rPr>
          <w:rFonts w:hint="eastAsia"/>
        </w:rPr>
        <w:t>当存在与评估对象共同发挥作用的其他因素时，应当分析这些因素对著作权资产价值的影响。</w:t>
      </w:r>
    </w:p>
    <w:p w14:paraId="54678F1C" w14:textId="1F4FA7A9" w:rsidR="00EA1B72" w:rsidRDefault="00E05BDA" w:rsidP="00EA1B72">
      <w:pPr>
        <w:pStyle w:val="13"/>
        <w:ind w:firstLine="482"/>
      </w:pPr>
      <w:r w:rsidRPr="00E05BDA">
        <w:rPr>
          <w:rFonts w:hint="eastAsia"/>
          <w:b/>
          <w:bCs/>
        </w:rPr>
        <w:t xml:space="preserve">第二十一条 </w:t>
      </w:r>
      <w:r w:rsidR="00EA1B72">
        <w:t>执行著作权法律诉讼资产评估业务，应当关注相关案情基本情况，经过质证的资料，以及著作权的历史诉讼情况。</w:t>
      </w:r>
    </w:p>
    <w:p w14:paraId="23E9FF76" w14:textId="25D3FBAA" w:rsidR="00EA1B72" w:rsidRDefault="00E05BDA" w:rsidP="00EA1B72">
      <w:pPr>
        <w:pStyle w:val="13"/>
        <w:ind w:firstLine="482"/>
      </w:pPr>
      <w:r w:rsidRPr="00E05BDA">
        <w:rPr>
          <w:rFonts w:hint="eastAsia"/>
          <w:b/>
          <w:bCs/>
        </w:rPr>
        <w:t xml:space="preserve">第二十二条 </w:t>
      </w:r>
      <w:r w:rsidR="00EA1B72">
        <w:t>确定著作权资产价值的评估方法包括市场法、收益法和成本法三种基本方法及其衍生方法。</w:t>
      </w:r>
    </w:p>
    <w:p w14:paraId="62FA26FC" w14:textId="77777777" w:rsidR="00EA1B72" w:rsidRDefault="00EA1B72" w:rsidP="00EA1B72">
      <w:pPr>
        <w:pStyle w:val="13"/>
      </w:pPr>
      <w:r>
        <w:rPr>
          <w:rFonts w:hint="eastAsia"/>
        </w:rPr>
        <w:t>执行著作权资产评估业务，应当根据评估目的、评估对象、价值类型、资料收集等情况，分析上述三种基本方法的适用性，选择评估方法。</w:t>
      </w:r>
    </w:p>
    <w:p w14:paraId="0FEAE078" w14:textId="140714FC" w:rsidR="00EA1B72" w:rsidRDefault="00E05BDA" w:rsidP="00715D0F">
      <w:pPr>
        <w:pStyle w:val="13"/>
        <w:ind w:firstLine="482"/>
      </w:pPr>
      <w:r w:rsidRPr="00E05BDA">
        <w:rPr>
          <w:rFonts w:hint="eastAsia"/>
          <w:b/>
          <w:bCs/>
        </w:rPr>
        <w:t xml:space="preserve">第二十三条 </w:t>
      </w:r>
      <w:r w:rsidR="00EA1B72">
        <w:t>采用收益法进行著作权资产评估时，应当根据著作权资产对应作品</w:t>
      </w:r>
      <w:r w:rsidR="00EA1B72">
        <w:lastRenderedPageBreak/>
        <w:t>的</w:t>
      </w:r>
      <w:r w:rsidR="00EA1B72">
        <w:rPr>
          <w:rFonts w:hint="eastAsia"/>
        </w:rPr>
        <w:t>运营模式估计评估对象的预期收益，并关注相关经营情况。著作权资产的预期收益通常通过分析计算增量收益、节省许可费和超额收益等途径实现。</w:t>
      </w:r>
    </w:p>
    <w:p w14:paraId="40B21331" w14:textId="225FC270" w:rsidR="00EA1B72" w:rsidRDefault="00E05BDA" w:rsidP="00EA1B72">
      <w:pPr>
        <w:pStyle w:val="13"/>
        <w:ind w:firstLine="482"/>
      </w:pPr>
      <w:r w:rsidRPr="00E05BDA">
        <w:rPr>
          <w:rFonts w:hint="eastAsia"/>
          <w:b/>
          <w:bCs/>
        </w:rPr>
        <w:t xml:space="preserve">第二十四条 </w:t>
      </w:r>
      <w:r w:rsidR="00EA1B72">
        <w:t>执行著作权资产评估业务，应当关注该作品演绎出新作品并产生衍生收益的可能性。当具有充分证据证明该作品在可预见的未来可能会演绎出新作品并产生衍生收益时，应当谨慎、恰当地考虑这种衍生收益对著作权资产价值的影响。</w:t>
      </w:r>
    </w:p>
    <w:p w14:paraId="0A97101A" w14:textId="662BA6CE" w:rsidR="00EA1B72" w:rsidRDefault="00E05BDA" w:rsidP="00EA1B72">
      <w:pPr>
        <w:pStyle w:val="13"/>
        <w:ind w:firstLine="482"/>
      </w:pPr>
      <w:r w:rsidRPr="00E05BDA">
        <w:rPr>
          <w:rFonts w:hint="eastAsia"/>
          <w:b/>
          <w:bCs/>
        </w:rPr>
        <w:t xml:space="preserve">第二十五条 </w:t>
      </w:r>
      <w:r w:rsidR="00EA1B72">
        <w:t>当原创作品的演绎作品尚未形成时，应当了解其衍生收益的产生在评估基准</w:t>
      </w:r>
      <w:proofErr w:type="gramStart"/>
      <w:r w:rsidR="00EA1B72">
        <w:t>日具有</w:t>
      </w:r>
      <w:proofErr w:type="gramEnd"/>
      <w:r w:rsidR="00EA1B72">
        <w:t>较大的不确定性，可以按或有资产评估衍生收益对应的著作权资产价值。</w:t>
      </w:r>
    </w:p>
    <w:p w14:paraId="60516BFE" w14:textId="7DADBA74" w:rsidR="00EA1B72" w:rsidRDefault="00E05BDA" w:rsidP="00EA1B72">
      <w:pPr>
        <w:pStyle w:val="13"/>
        <w:ind w:firstLine="482"/>
      </w:pPr>
      <w:r w:rsidRPr="00E05BDA">
        <w:rPr>
          <w:rFonts w:hint="eastAsia"/>
          <w:b/>
          <w:bCs/>
        </w:rPr>
        <w:t xml:space="preserve">第二十六条 </w:t>
      </w:r>
      <w:r w:rsidR="00EA1B72">
        <w:t>采用收益法进行著作权资产评估时，应当确定资产的剩余经济寿命。剩余经济寿命可以通过综合考虑法律保护期限、相关合同约定期限、作品类别、创作完成时间、首次发表时间以及作品的权利状况等因素确定。</w:t>
      </w:r>
    </w:p>
    <w:p w14:paraId="2EA8D21B" w14:textId="73BB2A11" w:rsidR="00EA1B72" w:rsidRDefault="00E05BDA" w:rsidP="00EA1B72">
      <w:pPr>
        <w:pStyle w:val="13"/>
        <w:ind w:firstLine="482"/>
      </w:pPr>
      <w:r w:rsidRPr="00E05BDA">
        <w:rPr>
          <w:rFonts w:hint="eastAsia"/>
          <w:b/>
          <w:bCs/>
        </w:rPr>
        <w:t xml:space="preserve">第二十七条 </w:t>
      </w:r>
      <w:r w:rsidR="00EA1B72">
        <w:t>采用收益法进行著作权资产评估时应当合理确定折现率。折现率可以通过分析评估基准日的利率、投资回报率，以及著作权实施过程中的技术、经营、市场、生命周期等因素确定。著作权资产折现率可以采用无风险</w:t>
      </w:r>
      <w:proofErr w:type="gramStart"/>
      <w:r w:rsidR="00EA1B72">
        <w:t>报酬率加风险</w:t>
      </w:r>
      <w:proofErr w:type="gramEnd"/>
      <w:r w:rsidR="00EA1B72">
        <w:t>报酬率的方式确定。著作权资产折现率口径应当与预期收益的口径保持一致。</w:t>
      </w:r>
    </w:p>
    <w:p w14:paraId="1D911FB1" w14:textId="6B676C3C" w:rsidR="00EA1B72" w:rsidRDefault="00E05BDA" w:rsidP="00EA1B72">
      <w:pPr>
        <w:pStyle w:val="13"/>
        <w:ind w:firstLine="482"/>
      </w:pPr>
      <w:r w:rsidRPr="00E05BDA">
        <w:rPr>
          <w:rFonts w:hint="eastAsia"/>
          <w:b/>
          <w:bCs/>
        </w:rPr>
        <w:t xml:space="preserve">第二十八条 </w:t>
      </w:r>
      <w:r w:rsidR="00EA1B72">
        <w:t>采用市场法进行著作权资产评估时应当：</w:t>
      </w:r>
    </w:p>
    <w:p w14:paraId="63798085" w14:textId="77777777" w:rsidR="00EA1B72" w:rsidRDefault="00EA1B72" w:rsidP="00EA1B72">
      <w:pPr>
        <w:pStyle w:val="13"/>
      </w:pPr>
      <w:r>
        <w:rPr>
          <w:rFonts w:hint="eastAsia"/>
        </w:rPr>
        <w:t>（一）考虑该著作权资产或者类似著作权资产是否存在活跃的市场，恰当考虑市场法的适用性；</w:t>
      </w:r>
    </w:p>
    <w:p w14:paraId="47446980" w14:textId="77777777" w:rsidR="00EA1B72" w:rsidRDefault="00EA1B72" w:rsidP="00EA1B72">
      <w:pPr>
        <w:pStyle w:val="13"/>
      </w:pPr>
      <w:r>
        <w:rPr>
          <w:rFonts w:hint="eastAsia"/>
        </w:rPr>
        <w:t>（二）收集类似著作权资产交易案例的市场交易价格、交易时间及交易条件等交易信息；</w:t>
      </w:r>
    </w:p>
    <w:p w14:paraId="26901EA8" w14:textId="77777777" w:rsidR="00EA1B72" w:rsidRDefault="00EA1B72" w:rsidP="00EA1B72">
      <w:pPr>
        <w:pStyle w:val="13"/>
      </w:pPr>
      <w:r>
        <w:rPr>
          <w:rFonts w:hint="eastAsia"/>
        </w:rPr>
        <w:t>（三）选择具有比较基础的可比著作权资产交易案例；</w:t>
      </w:r>
    </w:p>
    <w:p w14:paraId="01F4CDA1" w14:textId="77777777" w:rsidR="00EA1B72" w:rsidRDefault="00EA1B72" w:rsidP="00EA1B72">
      <w:pPr>
        <w:pStyle w:val="13"/>
      </w:pPr>
      <w:r>
        <w:rPr>
          <w:rFonts w:hint="eastAsia"/>
        </w:rPr>
        <w:t>（四）收集评估对象近期的交易信息；</w:t>
      </w:r>
    </w:p>
    <w:p w14:paraId="27814E9D" w14:textId="77777777" w:rsidR="00EA1B72" w:rsidRDefault="00EA1B72" w:rsidP="00EA1B72">
      <w:pPr>
        <w:pStyle w:val="13"/>
      </w:pPr>
      <w:r>
        <w:rPr>
          <w:rFonts w:hint="eastAsia"/>
        </w:rPr>
        <w:t>（五）对可比交易案例和评估对象近期交易信息进行必要调整。</w:t>
      </w:r>
    </w:p>
    <w:p w14:paraId="26B1AE90" w14:textId="27024580" w:rsidR="00EA1B72" w:rsidRDefault="00E05BDA" w:rsidP="00EA1B72">
      <w:pPr>
        <w:pStyle w:val="13"/>
        <w:ind w:firstLine="482"/>
      </w:pPr>
      <w:r w:rsidRPr="00E05BDA">
        <w:rPr>
          <w:rFonts w:hint="eastAsia"/>
          <w:b/>
          <w:bCs/>
        </w:rPr>
        <w:t xml:space="preserve">第二十九条 </w:t>
      </w:r>
      <w:r w:rsidR="00EA1B72">
        <w:t>采用成本法进行著作权资产评估时，应当合理确定作品的重置成本。作品重置成本包括直接成本、间接费用、合理利润及相关税费等。</w:t>
      </w:r>
    </w:p>
    <w:p w14:paraId="09828669" w14:textId="77158068" w:rsidR="00EA1B72" w:rsidRDefault="00E05BDA" w:rsidP="00EA1B72">
      <w:pPr>
        <w:pStyle w:val="13"/>
        <w:ind w:firstLine="482"/>
      </w:pPr>
      <w:r w:rsidRPr="00E05BDA">
        <w:rPr>
          <w:rFonts w:hint="eastAsia"/>
          <w:b/>
          <w:bCs/>
        </w:rPr>
        <w:t xml:space="preserve">第三十条 </w:t>
      </w:r>
      <w:r w:rsidR="00EA1B72">
        <w:t>采用成本法进行著作权资产评估时，应当采用适当方法合理确定评估对象的贬值。</w:t>
      </w:r>
    </w:p>
    <w:p w14:paraId="6F6B112E" w14:textId="77777777" w:rsidR="00EA1B72" w:rsidRDefault="00EA1B72" w:rsidP="00AF7342">
      <w:pPr>
        <w:pStyle w:val="a9"/>
        <w:spacing w:before="62" w:after="62"/>
      </w:pPr>
      <w:r>
        <w:rPr>
          <w:rFonts w:hint="eastAsia"/>
        </w:rPr>
        <w:t>第五章</w:t>
      </w:r>
      <w:r>
        <w:t xml:space="preserve"> 披露要求</w:t>
      </w:r>
    </w:p>
    <w:p w14:paraId="2A502CC7" w14:textId="6DE922DC" w:rsidR="00EA1B72" w:rsidRDefault="003B2FB1" w:rsidP="00715D0F">
      <w:pPr>
        <w:pStyle w:val="13"/>
        <w:ind w:firstLine="482"/>
      </w:pPr>
      <w:r w:rsidRPr="003B2FB1">
        <w:rPr>
          <w:rFonts w:hint="eastAsia"/>
          <w:b/>
          <w:bCs/>
        </w:rPr>
        <w:t xml:space="preserve">第三十一条 </w:t>
      </w:r>
      <w:r w:rsidR="00EA1B72">
        <w:t>编制著作权资产评估报告应当反映著作权资产的特点，通常包括下列</w:t>
      </w:r>
      <w:r w:rsidR="00EA1B72">
        <w:rPr>
          <w:rFonts w:hint="eastAsia"/>
        </w:rPr>
        <w:t>内容：</w:t>
      </w:r>
    </w:p>
    <w:p w14:paraId="60D29313" w14:textId="77777777" w:rsidR="00EA1B72" w:rsidRDefault="00EA1B72" w:rsidP="00EA1B72">
      <w:pPr>
        <w:pStyle w:val="13"/>
      </w:pPr>
      <w:r>
        <w:rPr>
          <w:rFonts w:hint="eastAsia"/>
        </w:rPr>
        <w:t>（一）作者和著作权权利人的基本情况；</w:t>
      </w:r>
    </w:p>
    <w:p w14:paraId="0961365E" w14:textId="77777777" w:rsidR="00EA1B72" w:rsidRDefault="00EA1B72" w:rsidP="00EA1B72">
      <w:pPr>
        <w:pStyle w:val="13"/>
      </w:pPr>
      <w:r>
        <w:rPr>
          <w:rFonts w:hint="eastAsia"/>
        </w:rPr>
        <w:t>（二）评估对象的具体组成情况，包括作品基本情况、作品的类别、作品的创作形式、涉及的演绎作品等情况；</w:t>
      </w:r>
    </w:p>
    <w:p w14:paraId="716F6E4A" w14:textId="77777777" w:rsidR="00EA1B72" w:rsidRDefault="00EA1B72" w:rsidP="00EA1B72">
      <w:pPr>
        <w:pStyle w:val="13"/>
      </w:pPr>
      <w:r>
        <w:rPr>
          <w:rFonts w:hint="eastAsia"/>
        </w:rPr>
        <w:t>（三）评估对象包含的财产权利限制条件；</w:t>
      </w:r>
    </w:p>
    <w:p w14:paraId="5AE70B49" w14:textId="77777777" w:rsidR="00EA1B72" w:rsidRDefault="00EA1B72" w:rsidP="00EA1B72">
      <w:pPr>
        <w:pStyle w:val="13"/>
      </w:pPr>
      <w:r>
        <w:rPr>
          <w:rFonts w:hint="eastAsia"/>
        </w:rPr>
        <w:lastRenderedPageBreak/>
        <w:t>（四）与著作权有关的权利情况；</w:t>
      </w:r>
    </w:p>
    <w:p w14:paraId="6CA8D9D7" w14:textId="77777777" w:rsidR="00EA1B72" w:rsidRDefault="00EA1B72" w:rsidP="00EA1B72">
      <w:pPr>
        <w:pStyle w:val="13"/>
      </w:pPr>
      <w:r>
        <w:rPr>
          <w:rFonts w:hint="eastAsia"/>
        </w:rPr>
        <w:t>（五）著作权和与著作权有关权利事项登记情况；</w:t>
      </w:r>
    </w:p>
    <w:p w14:paraId="24BA03A5" w14:textId="77777777" w:rsidR="00EA1B72" w:rsidRDefault="00EA1B72" w:rsidP="00EA1B72">
      <w:pPr>
        <w:pStyle w:val="13"/>
      </w:pPr>
      <w:r>
        <w:rPr>
          <w:rFonts w:hint="eastAsia"/>
        </w:rPr>
        <w:t>（六）作品含有其他无形资产的情况；</w:t>
      </w:r>
    </w:p>
    <w:p w14:paraId="0F2A9235" w14:textId="77777777" w:rsidR="00EA1B72" w:rsidRDefault="00EA1B72" w:rsidP="00EA1B72">
      <w:pPr>
        <w:pStyle w:val="13"/>
      </w:pPr>
      <w:r>
        <w:rPr>
          <w:rFonts w:hint="eastAsia"/>
        </w:rPr>
        <w:t>（七）作品产生收益的方式；</w:t>
      </w:r>
    </w:p>
    <w:p w14:paraId="6F37B6BF" w14:textId="77777777" w:rsidR="00EA1B72" w:rsidRDefault="00EA1B72" w:rsidP="00EA1B72">
      <w:pPr>
        <w:pStyle w:val="13"/>
      </w:pPr>
      <w:r>
        <w:rPr>
          <w:rFonts w:hint="eastAsia"/>
        </w:rPr>
        <w:t>（八）著作权剩余法定保护期限以及剩余经济寿命；</w:t>
      </w:r>
    </w:p>
    <w:p w14:paraId="476A9FC4" w14:textId="77777777" w:rsidR="00EA1B72" w:rsidRDefault="00EA1B72" w:rsidP="00EA1B72">
      <w:pPr>
        <w:pStyle w:val="13"/>
      </w:pPr>
      <w:r>
        <w:rPr>
          <w:rFonts w:hint="eastAsia"/>
        </w:rPr>
        <w:t>（九）对著作权资产价值影响因素的分析过程；</w:t>
      </w:r>
    </w:p>
    <w:p w14:paraId="60800F13" w14:textId="77777777" w:rsidR="00EA1B72" w:rsidRDefault="00EA1B72" w:rsidP="00EA1B72">
      <w:pPr>
        <w:pStyle w:val="13"/>
      </w:pPr>
      <w:r>
        <w:rPr>
          <w:rFonts w:hint="eastAsia"/>
        </w:rPr>
        <w:t>（十）著作权资产许可、转让、诉讼以及质押等情况；</w:t>
      </w:r>
    </w:p>
    <w:p w14:paraId="2BCF22D2" w14:textId="77777777" w:rsidR="00EA1B72" w:rsidRDefault="00EA1B72" w:rsidP="00EA1B72">
      <w:pPr>
        <w:pStyle w:val="13"/>
      </w:pPr>
      <w:r>
        <w:rPr>
          <w:rFonts w:hint="eastAsia"/>
        </w:rPr>
        <w:t>（十一）其他必要信息。</w:t>
      </w:r>
    </w:p>
    <w:p w14:paraId="4477A0BD" w14:textId="77777777" w:rsidR="00EA1B72" w:rsidRDefault="00EA1B72" w:rsidP="00AF7342">
      <w:pPr>
        <w:pStyle w:val="a9"/>
        <w:spacing w:before="62" w:after="62"/>
      </w:pPr>
      <w:r>
        <w:rPr>
          <w:rFonts w:hint="eastAsia"/>
        </w:rPr>
        <w:t>第六章</w:t>
      </w:r>
      <w:r>
        <w:t xml:space="preserve"> 附则</w:t>
      </w:r>
    </w:p>
    <w:p w14:paraId="7DF8C4F5" w14:textId="73253EA3" w:rsidR="007E4B49" w:rsidRDefault="003B2FB1" w:rsidP="00715D0F">
      <w:pPr>
        <w:pStyle w:val="13"/>
        <w:ind w:firstLine="482"/>
      </w:pPr>
      <w:r w:rsidRPr="003B2FB1">
        <w:rPr>
          <w:rFonts w:hint="eastAsia"/>
          <w:b/>
          <w:bCs/>
        </w:rPr>
        <w:t xml:space="preserve">第三十二条 </w:t>
      </w:r>
      <w:r w:rsidR="00EA1B72">
        <w:t>本指导意见自 2017</w:t>
      </w:r>
      <w:r w:rsidR="003068F8">
        <w:t>年</w:t>
      </w:r>
      <w:r w:rsidR="00EA1B72">
        <w:t>10</w:t>
      </w:r>
      <w:r w:rsidR="003068F8">
        <w:t>月</w:t>
      </w:r>
      <w:r w:rsidR="00EA1B72">
        <w:t>1</w:t>
      </w:r>
      <w:r w:rsidR="003068F8">
        <w:t>日</w:t>
      </w:r>
      <w:r w:rsidR="00EA1B72">
        <w:t>起施行。中国资产评估协会于 2010</w:t>
      </w:r>
      <w:r w:rsidR="003068F8">
        <w:t>年</w:t>
      </w:r>
      <w:r w:rsidR="00EA1B72">
        <w:t>12</w:t>
      </w:r>
      <w:r w:rsidR="003068F8">
        <w:t>月</w:t>
      </w:r>
      <w:r w:rsidR="00EA1B72">
        <w:t>18</w:t>
      </w:r>
      <w:r w:rsidR="003068F8">
        <w:t>日</w:t>
      </w:r>
      <w:r w:rsidR="00EA1B72">
        <w:t>发布的《关于印发〈著作权资产评估指导意见〉的通知》（</w:t>
      </w:r>
      <w:proofErr w:type="gramStart"/>
      <w:r w:rsidR="00EA1B72">
        <w:t>中评协</w:t>
      </w:r>
      <w:proofErr w:type="gramEnd"/>
      <w:r w:rsidR="00EA1B72">
        <w:t>〔2010〕215号）同时废止。</w:t>
      </w:r>
    </w:p>
    <w:p w14:paraId="6E47BFEA" w14:textId="77777777" w:rsidR="00715D0F" w:rsidRDefault="00715D0F" w:rsidP="00715D0F">
      <w:pPr>
        <w:pStyle w:val="31"/>
        <w:spacing w:before="156" w:after="62"/>
      </w:pPr>
      <w:bookmarkStart w:id="43" w:name="_Toc81833323"/>
      <w:r>
        <w:rPr>
          <w:rFonts w:hint="eastAsia"/>
        </w:rPr>
        <w:t>商标资产评估指导意见（</w:t>
      </w:r>
      <w:proofErr w:type="gramStart"/>
      <w:r>
        <w:rPr>
          <w:rFonts w:hint="eastAsia"/>
        </w:rPr>
        <w:t>中评协</w:t>
      </w:r>
      <w:proofErr w:type="gramEnd"/>
      <w:r>
        <w:rPr>
          <w:rFonts w:hint="eastAsia"/>
        </w:rPr>
        <w:t>〔</w:t>
      </w:r>
      <w:r>
        <w:t>2017〕51号）</w:t>
      </w:r>
      <w:bookmarkEnd w:id="43"/>
    </w:p>
    <w:p w14:paraId="519A6154" w14:textId="77777777" w:rsidR="00715D0F" w:rsidRDefault="00715D0F" w:rsidP="00715D0F">
      <w:pPr>
        <w:pStyle w:val="13"/>
        <w:ind w:firstLineChars="0" w:firstLine="0"/>
      </w:pPr>
      <w:r>
        <w:rPr>
          <w:rFonts w:hint="eastAsia"/>
        </w:rPr>
        <w:t>各省、自治区、直辖市、计划单列市资产评估协会（注册会计师协会）：</w:t>
      </w:r>
    </w:p>
    <w:p w14:paraId="24E24CB3" w14:textId="2A805451" w:rsidR="00715D0F" w:rsidRDefault="00715D0F" w:rsidP="00715D0F">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商标资产评估指导意见》进行了修订，现予印发，自</w:t>
      </w:r>
      <w:r>
        <w:t xml:space="preserve"> 2017</w:t>
      </w:r>
      <w:r w:rsidR="003068F8">
        <w:t>年</w:t>
      </w:r>
      <w:r>
        <w:t>10</w:t>
      </w:r>
      <w:r w:rsidR="003068F8">
        <w:t>月</w:t>
      </w:r>
      <w:r>
        <w:t>1</w:t>
      </w:r>
      <w:r w:rsidR="003068F8">
        <w:t>日</w:t>
      </w:r>
      <w:r>
        <w:t>起施行。</w:t>
      </w:r>
    </w:p>
    <w:p w14:paraId="18A52773" w14:textId="77777777" w:rsidR="00715D0F" w:rsidRDefault="00715D0F" w:rsidP="00715D0F">
      <w:pPr>
        <w:pStyle w:val="13"/>
      </w:pPr>
      <w:r>
        <w:rPr>
          <w:rFonts w:hint="eastAsia"/>
        </w:rPr>
        <w:t>请各地</w:t>
      </w:r>
      <w:proofErr w:type="gramStart"/>
      <w:r>
        <w:rPr>
          <w:rFonts w:hint="eastAsia"/>
        </w:rPr>
        <w:t>方协会</w:t>
      </w:r>
      <w:proofErr w:type="gramEnd"/>
      <w:r>
        <w:rPr>
          <w:rFonts w:hint="eastAsia"/>
        </w:rPr>
        <w:t>将《商标资产评估指导意见》及时转发资产评估机构，组织资产评估机构和资产评估专业人员进行学习和培训，并将执行过程中发现的问题及时上报中国资产评估协会。</w:t>
      </w:r>
    </w:p>
    <w:p w14:paraId="12E73801" w14:textId="77777777" w:rsidR="00715D0F" w:rsidRDefault="00715D0F" w:rsidP="00715D0F">
      <w:pPr>
        <w:pStyle w:val="13"/>
      </w:pPr>
      <w:r>
        <w:rPr>
          <w:rFonts w:hint="eastAsia"/>
        </w:rPr>
        <w:t>附件：《商标资产评估指导意见》</w:t>
      </w:r>
    </w:p>
    <w:p w14:paraId="529EE241" w14:textId="77777777" w:rsidR="00715D0F" w:rsidRDefault="00715D0F" w:rsidP="00715D0F">
      <w:pPr>
        <w:pStyle w:val="13"/>
        <w:jc w:val="right"/>
      </w:pPr>
      <w:r>
        <w:rPr>
          <w:rFonts w:hint="eastAsia"/>
        </w:rPr>
        <w:t>中国资产评估协会</w:t>
      </w:r>
    </w:p>
    <w:p w14:paraId="345AC10A" w14:textId="6D5D0EF7" w:rsidR="00715D0F" w:rsidRDefault="00715D0F" w:rsidP="00715D0F">
      <w:pPr>
        <w:pStyle w:val="13"/>
        <w:jc w:val="right"/>
      </w:pPr>
      <w:r>
        <w:t>2017</w:t>
      </w:r>
      <w:r w:rsidR="003068F8">
        <w:t>年</w:t>
      </w:r>
      <w:r>
        <w:t>9</w:t>
      </w:r>
      <w:r w:rsidR="003068F8">
        <w:t>月</w:t>
      </w:r>
      <w:r>
        <w:t>8</w:t>
      </w:r>
      <w:r w:rsidR="003068F8">
        <w:t>日</w:t>
      </w:r>
    </w:p>
    <w:p w14:paraId="17327D0B" w14:textId="77777777" w:rsidR="00715D0F" w:rsidRDefault="00715D0F" w:rsidP="00AF7342">
      <w:pPr>
        <w:pStyle w:val="a9"/>
        <w:spacing w:before="62" w:after="62"/>
      </w:pPr>
      <w:r>
        <w:rPr>
          <w:rFonts w:hint="eastAsia"/>
        </w:rPr>
        <w:t>商标资产评估指导意见</w:t>
      </w:r>
    </w:p>
    <w:p w14:paraId="06F3D728" w14:textId="77777777" w:rsidR="00715D0F" w:rsidRDefault="00715D0F" w:rsidP="00AF7342">
      <w:pPr>
        <w:pStyle w:val="a9"/>
        <w:spacing w:before="62" w:after="62"/>
      </w:pPr>
      <w:r>
        <w:rPr>
          <w:rFonts w:hint="eastAsia"/>
        </w:rPr>
        <w:t>第一章</w:t>
      </w:r>
      <w:r>
        <w:t xml:space="preserve"> 总则</w:t>
      </w:r>
    </w:p>
    <w:p w14:paraId="5391C9EF" w14:textId="4817D17E" w:rsidR="00715D0F" w:rsidRDefault="004E3EBB" w:rsidP="00715D0F">
      <w:pPr>
        <w:pStyle w:val="13"/>
        <w:ind w:firstLine="482"/>
      </w:pPr>
      <w:r w:rsidRPr="004E3EBB">
        <w:rPr>
          <w:rFonts w:hint="eastAsia"/>
          <w:b/>
          <w:bCs/>
        </w:rPr>
        <w:t xml:space="preserve">第一条 </w:t>
      </w:r>
      <w:r w:rsidR="00715D0F">
        <w:t>为规范商标资产评估行为，保护资产评估当事人合法权益和公共利益，根据《资产评估执业准则—无形资产》制定本指导意见。</w:t>
      </w:r>
    </w:p>
    <w:p w14:paraId="1AFCBCB4" w14:textId="22B0C576" w:rsidR="00715D0F" w:rsidRDefault="004E3EBB" w:rsidP="00715D0F">
      <w:pPr>
        <w:pStyle w:val="13"/>
        <w:ind w:firstLine="482"/>
      </w:pPr>
      <w:r w:rsidRPr="004E3EBB">
        <w:rPr>
          <w:rFonts w:hint="eastAsia"/>
          <w:b/>
          <w:bCs/>
        </w:rPr>
        <w:t xml:space="preserve">第二条 </w:t>
      </w:r>
      <w:r w:rsidR="00715D0F">
        <w:t>本指导意见所称商标资产，是指商标权利人拥有或者控制的，能够持续发挥作用并且能带来经济利益的注册商标权益。</w:t>
      </w:r>
    </w:p>
    <w:p w14:paraId="6CE007ED" w14:textId="6A004F4F" w:rsidR="00715D0F" w:rsidRDefault="004E3EBB" w:rsidP="00715D0F">
      <w:pPr>
        <w:pStyle w:val="13"/>
        <w:ind w:firstLine="482"/>
      </w:pPr>
      <w:r w:rsidRPr="004E3EBB">
        <w:rPr>
          <w:rFonts w:hint="eastAsia"/>
          <w:b/>
          <w:bCs/>
        </w:rPr>
        <w:t xml:space="preserve">第三条 </w:t>
      </w:r>
      <w:r w:rsidR="00715D0F">
        <w:t>本指导意见所称商标资产评估，是指资产评估机构及其资产评估专业人员遵守法律、行政法规和资产评估准则，根据委托对评估基准日特定目的下的商标资产价值进行评定和估算，并出具资产评估报告的专业服务行为。</w:t>
      </w:r>
    </w:p>
    <w:p w14:paraId="699CF453" w14:textId="30C87DFA" w:rsidR="00715D0F" w:rsidRDefault="004E3EBB" w:rsidP="00715D0F">
      <w:pPr>
        <w:pStyle w:val="13"/>
        <w:ind w:firstLine="482"/>
      </w:pPr>
      <w:r w:rsidRPr="004E3EBB">
        <w:rPr>
          <w:rFonts w:hint="eastAsia"/>
          <w:b/>
          <w:bCs/>
        </w:rPr>
        <w:lastRenderedPageBreak/>
        <w:t xml:space="preserve">第四条 </w:t>
      </w:r>
      <w:r w:rsidR="00715D0F">
        <w:t>执行商标资产评估业务，应当遵守本指导意见。</w:t>
      </w:r>
    </w:p>
    <w:p w14:paraId="4555FD47" w14:textId="77777777" w:rsidR="00715D0F" w:rsidRDefault="00715D0F" w:rsidP="00AF7342">
      <w:pPr>
        <w:pStyle w:val="a9"/>
        <w:spacing w:before="62" w:after="62"/>
      </w:pPr>
      <w:r>
        <w:rPr>
          <w:rFonts w:hint="eastAsia"/>
        </w:rPr>
        <w:t>第二章</w:t>
      </w:r>
      <w:r>
        <w:t xml:space="preserve"> 基本遵循</w:t>
      </w:r>
    </w:p>
    <w:p w14:paraId="0EE26091" w14:textId="322C6C6C" w:rsidR="00715D0F" w:rsidRDefault="004E3EBB" w:rsidP="00715D0F">
      <w:pPr>
        <w:pStyle w:val="13"/>
        <w:ind w:firstLine="482"/>
      </w:pPr>
      <w:r w:rsidRPr="004E3EBB">
        <w:rPr>
          <w:rFonts w:hint="eastAsia"/>
          <w:b/>
          <w:bCs/>
        </w:rPr>
        <w:t xml:space="preserve">第五条 </w:t>
      </w:r>
      <w:r w:rsidR="00715D0F">
        <w:t>资产评估机构及其资产评估专业人员开展商标资产评估业务，遵守法律、行政法规的规定，坚持独立、客观、公正的原则，诚实守信，勤勉尽责，谨慎从业，遵守职业道德规范，自觉维护职业形象，不得从事损害职业形象的活动。</w:t>
      </w:r>
    </w:p>
    <w:p w14:paraId="1D9F5100" w14:textId="3FC7EA63" w:rsidR="00715D0F" w:rsidRDefault="004E3EBB" w:rsidP="00715D0F">
      <w:pPr>
        <w:pStyle w:val="13"/>
        <w:ind w:firstLine="482"/>
      </w:pPr>
      <w:r w:rsidRPr="004E3EBB">
        <w:rPr>
          <w:rFonts w:hint="eastAsia"/>
          <w:b/>
          <w:bCs/>
        </w:rPr>
        <w:t xml:space="preserve">第六条 </w:t>
      </w:r>
      <w:r w:rsidR="00715D0F">
        <w:t>资产评估机构及其资产评估专业人员开展商标资产评估业务，应当独立进行分析和估算并形成专业意见，拒绝委托人或者其他相关当事人的干预，不得直接以预先设定的价值作为评估结论。</w:t>
      </w:r>
    </w:p>
    <w:p w14:paraId="03F33AEE" w14:textId="6CA76A06" w:rsidR="00715D0F" w:rsidRDefault="004E3EBB" w:rsidP="00715D0F">
      <w:pPr>
        <w:pStyle w:val="13"/>
        <w:ind w:firstLine="482"/>
      </w:pPr>
      <w:r w:rsidRPr="004E3EBB">
        <w:rPr>
          <w:rFonts w:hint="eastAsia"/>
          <w:b/>
          <w:bCs/>
        </w:rPr>
        <w:t xml:space="preserve">第七条 </w:t>
      </w:r>
      <w:r w:rsidR="00715D0F">
        <w:t>执行商标资产评估业务，应当具备商标资产评估的专业知识和实践经验</w:t>
      </w:r>
      <w:r w:rsidR="003C1F46">
        <w:t>，</w:t>
      </w:r>
      <w:r w:rsidR="00715D0F">
        <w:t>能够胜任所执行的商标资产评估业务。</w:t>
      </w:r>
    </w:p>
    <w:p w14:paraId="25286C58" w14:textId="77777777" w:rsidR="00715D0F" w:rsidRDefault="00715D0F" w:rsidP="00715D0F">
      <w:pPr>
        <w:pStyle w:val="13"/>
      </w:pPr>
      <w:r>
        <w:rPr>
          <w:rFonts w:hint="eastAsia"/>
        </w:rPr>
        <w:t>执行某项特定业务缺乏特定的专业知识和经验时，应当采取弥补措施，包括利用专家工作及相关报告等。</w:t>
      </w:r>
    </w:p>
    <w:p w14:paraId="1AD12212" w14:textId="0857EA19" w:rsidR="00715D0F" w:rsidRDefault="004E3EBB" w:rsidP="00715D0F">
      <w:pPr>
        <w:pStyle w:val="13"/>
        <w:ind w:firstLine="482"/>
      </w:pPr>
      <w:r w:rsidRPr="004E3EBB">
        <w:rPr>
          <w:rFonts w:hint="eastAsia"/>
          <w:b/>
          <w:bCs/>
        </w:rPr>
        <w:t xml:space="preserve">第八条 </w:t>
      </w:r>
      <w:r w:rsidR="00715D0F">
        <w:t>执行企业价值评估中的商标资产评估业务，应当了解在对持续经营前提下的企业价值进行评估时，商标资产作为企业资产的组成部分的价值可能有别于作为单项资产的价值，其价值取决于它对企业价值的贡献程度。</w:t>
      </w:r>
    </w:p>
    <w:p w14:paraId="7B84EF6A" w14:textId="60F29B88" w:rsidR="00715D0F" w:rsidRDefault="00E05BDA" w:rsidP="00715D0F">
      <w:pPr>
        <w:pStyle w:val="13"/>
        <w:ind w:firstLine="482"/>
      </w:pPr>
      <w:r w:rsidRPr="00E05BDA">
        <w:rPr>
          <w:rFonts w:hint="eastAsia"/>
          <w:b/>
          <w:bCs/>
        </w:rPr>
        <w:t xml:space="preserve">第九条 </w:t>
      </w:r>
      <w:r w:rsidR="00715D0F">
        <w:t>执行商标资产评估业务，应当在考虑评估目的等因素的基础上，恰当选择</w:t>
      </w:r>
      <w:r w:rsidR="00715D0F">
        <w:rPr>
          <w:rFonts w:hint="eastAsia"/>
        </w:rPr>
        <w:t>价值类型。</w:t>
      </w:r>
    </w:p>
    <w:p w14:paraId="35E1BF87" w14:textId="77777777" w:rsidR="00715D0F" w:rsidRDefault="00715D0F" w:rsidP="00715D0F">
      <w:pPr>
        <w:pStyle w:val="13"/>
      </w:pPr>
      <w:r>
        <w:rPr>
          <w:rFonts w:hint="eastAsia"/>
        </w:rPr>
        <w:t>以质押为目的可以选择市场价值或者市场价值以外的价值类型，以交易为目的通常选择市场价值或者投资价值，以财务报告为目的通常根据会计准则相关要求选择相应的价值类型</w:t>
      </w:r>
      <w:r>
        <w:t xml:space="preserve"> 。</w:t>
      </w:r>
    </w:p>
    <w:p w14:paraId="307D6800" w14:textId="4716B60B" w:rsidR="00715D0F" w:rsidRDefault="00E05BDA" w:rsidP="00715D0F">
      <w:pPr>
        <w:pStyle w:val="13"/>
        <w:ind w:firstLine="482"/>
      </w:pPr>
      <w:r w:rsidRPr="00E05BDA">
        <w:rPr>
          <w:rFonts w:hint="eastAsia"/>
          <w:b/>
          <w:bCs/>
        </w:rPr>
        <w:t xml:space="preserve">第十条 </w:t>
      </w:r>
      <w:r w:rsidR="00715D0F">
        <w:t>执行商标资产评估业务，应当合理确定评估假设和限制条件。</w:t>
      </w:r>
    </w:p>
    <w:p w14:paraId="560B8631" w14:textId="77777777" w:rsidR="00715D0F" w:rsidRDefault="00715D0F" w:rsidP="00AF7342">
      <w:pPr>
        <w:pStyle w:val="a9"/>
        <w:spacing w:before="62" w:after="62"/>
      </w:pPr>
      <w:r>
        <w:rPr>
          <w:rFonts w:hint="eastAsia"/>
        </w:rPr>
        <w:t>第三章</w:t>
      </w:r>
      <w:r>
        <w:t xml:space="preserve"> 评估对象</w:t>
      </w:r>
    </w:p>
    <w:p w14:paraId="1327D680" w14:textId="17BAD7CE" w:rsidR="00715D0F" w:rsidRDefault="00E05BDA" w:rsidP="00715D0F">
      <w:pPr>
        <w:pStyle w:val="13"/>
        <w:ind w:firstLine="482"/>
      </w:pPr>
      <w:r w:rsidRPr="00E05BDA">
        <w:rPr>
          <w:rFonts w:hint="eastAsia"/>
          <w:b/>
          <w:bCs/>
        </w:rPr>
        <w:t xml:space="preserve">第十一条 </w:t>
      </w:r>
      <w:r w:rsidR="00715D0F">
        <w:t>商标资产评估对象是指受法律保护的注册商标权益。</w:t>
      </w:r>
    </w:p>
    <w:p w14:paraId="7A5CB806" w14:textId="7A3198E8" w:rsidR="00715D0F" w:rsidRDefault="00715D0F" w:rsidP="00715D0F">
      <w:pPr>
        <w:pStyle w:val="13"/>
      </w:pPr>
      <w:r>
        <w:rPr>
          <w:rFonts w:hint="eastAsia"/>
        </w:rPr>
        <w:t>执行商标资产评估业务，应当明确商标资产的权利属性。评估对象为商标专用权的</w:t>
      </w:r>
      <w:r w:rsidR="003C1F46">
        <w:rPr>
          <w:rFonts w:hint="eastAsia"/>
        </w:rPr>
        <w:t>，</w:t>
      </w:r>
      <w:r>
        <w:t>应当关注商标是否已经许可他人使用及具体许可形式。评估对象为商标许可权时，应当明确该权利的具体许可形式、内容和期限。</w:t>
      </w:r>
    </w:p>
    <w:p w14:paraId="520CC1FA" w14:textId="5F56D352" w:rsidR="00715D0F" w:rsidRDefault="00E05BDA" w:rsidP="00715D0F">
      <w:pPr>
        <w:pStyle w:val="13"/>
        <w:ind w:firstLine="482"/>
      </w:pPr>
      <w:r w:rsidRPr="00E05BDA">
        <w:rPr>
          <w:rFonts w:hint="eastAsia"/>
          <w:b/>
          <w:bCs/>
        </w:rPr>
        <w:t xml:space="preserve">第十二条 </w:t>
      </w:r>
      <w:r w:rsidR="00715D0F">
        <w:t>注册商标包括商品商标、服务商标、集体商标、证明商标。商标资产评估涉及的商标通常为商品商标和服务商标。</w:t>
      </w:r>
    </w:p>
    <w:p w14:paraId="4CB91C71" w14:textId="0C0B7627" w:rsidR="00715D0F" w:rsidRDefault="00E05BDA" w:rsidP="00715D0F">
      <w:pPr>
        <w:pStyle w:val="13"/>
        <w:ind w:firstLine="482"/>
      </w:pPr>
      <w:r w:rsidRPr="00E05BDA">
        <w:rPr>
          <w:rFonts w:hint="eastAsia"/>
          <w:b/>
          <w:bCs/>
        </w:rPr>
        <w:t xml:space="preserve">第十三条 </w:t>
      </w:r>
      <w:r w:rsidR="00715D0F">
        <w:t>执行商标资产评估业务，应当要求委托人明确商标的基本状况，通常包</w:t>
      </w:r>
      <w:r w:rsidR="00715D0F">
        <w:rPr>
          <w:rFonts w:hint="eastAsia"/>
        </w:rPr>
        <w:t>括：</w:t>
      </w:r>
    </w:p>
    <w:p w14:paraId="7484F723" w14:textId="77777777" w:rsidR="00715D0F" w:rsidRDefault="00715D0F" w:rsidP="00715D0F">
      <w:pPr>
        <w:pStyle w:val="13"/>
      </w:pPr>
      <w:r>
        <w:rPr>
          <w:rFonts w:hint="eastAsia"/>
        </w:rPr>
        <w:t>（一）商标的文字、图形、字母、数字、三维标志和颜色组合及其说明，商标注册号、注册期限及核准的注册类别；</w:t>
      </w:r>
    </w:p>
    <w:p w14:paraId="2C09DC9F" w14:textId="77777777" w:rsidR="00715D0F" w:rsidRDefault="00715D0F" w:rsidP="00715D0F">
      <w:pPr>
        <w:pStyle w:val="13"/>
      </w:pPr>
      <w:r>
        <w:rPr>
          <w:rFonts w:hint="eastAsia"/>
        </w:rPr>
        <w:t>（二）商标的取得，包括原始取得和</w:t>
      </w:r>
      <w:proofErr w:type="gramStart"/>
      <w:r>
        <w:rPr>
          <w:rFonts w:hint="eastAsia"/>
        </w:rPr>
        <w:t>继受</w:t>
      </w:r>
      <w:proofErr w:type="gramEnd"/>
      <w:r>
        <w:rPr>
          <w:rFonts w:hint="eastAsia"/>
        </w:rPr>
        <w:t>取得，以及商标注册、转让和继承程序</w:t>
      </w:r>
      <w:r>
        <w:rPr>
          <w:rFonts w:hint="eastAsia"/>
        </w:rPr>
        <w:lastRenderedPageBreak/>
        <w:t>办理情况；</w:t>
      </w:r>
    </w:p>
    <w:p w14:paraId="1161909D" w14:textId="77777777" w:rsidR="00715D0F" w:rsidRDefault="00715D0F" w:rsidP="00715D0F">
      <w:pPr>
        <w:pStyle w:val="13"/>
      </w:pPr>
      <w:r>
        <w:rPr>
          <w:rFonts w:hint="eastAsia"/>
        </w:rPr>
        <w:t>（三）指定使用注册商标的商品或者服务项目；</w:t>
      </w:r>
    </w:p>
    <w:p w14:paraId="66F58A22" w14:textId="77777777" w:rsidR="00715D0F" w:rsidRDefault="00715D0F" w:rsidP="00715D0F">
      <w:pPr>
        <w:pStyle w:val="13"/>
      </w:pPr>
      <w:r>
        <w:rPr>
          <w:rFonts w:hint="eastAsia"/>
        </w:rPr>
        <w:t>（四）在类似商品或者服务上注册的相同或者近似的商标情况。</w:t>
      </w:r>
    </w:p>
    <w:p w14:paraId="74C135E8" w14:textId="458E57AC" w:rsidR="00715D0F" w:rsidRDefault="00E05BDA" w:rsidP="00715D0F">
      <w:pPr>
        <w:pStyle w:val="13"/>
        <w:ind w:firstLine="482"/>
      </w:pPr>
      <w:r w:rsidRPr="00E05BDA">
        <w:rPr>
          <w:rFonts w:hint="eastAsia"/>
          <w:b/>
          <w:bCs/>
        </w:rPr>
        <w:t xml:space="preserve">第十四条 </w:t>
      </w:r>
      <w:r w:rsidR="00715D0F">
        <w:t>执行商标资产评估业务，应当关注商标资产的法律状态。商标资产的法律状态通常包括商标注册人及变更情况，商标续展情况，商标专用权质押情况，商标专用权权属纠纷及涉及诉讼情况等。</w:t>
      </w:r>
    </w:p>
    <w:p w14:paraId="333DF347" w14:textId="3C3CA2F9" w:rsidR="00715D0F" w:rsidRDefault="00E05BDA" w:rsidP="00715D0F">
      <w:pPr>
        <w:pStyle w:val="13"/>
        <w:ind w:firstLine="482"/>
      </w:pPr>
      <w:r w:rsidRPr="00E05BDA">
        <w:rPr>
          <w:rFonts w:hint="eastAsia"/>
          <w:b/>
          <w:bCs/>
        </w:rPr>
        <w:t xml:space="preserve">第十五条 </w:t>
      </w:r>
      <w:r w:rsidR="00715D0F">
        <w:t>执行商标资产评估业务，应当根据具体情况将评估对象确定为单一商标或者商标组合。</w:t>
      </w:r>
    </w:p>
    <w:p w14:paraId="6AAAB725" w14:textId="77777777" w:rsidR="00715D0F" w:rsidRDefault="00715D0F" w:rsidP="00715D0F">
      <w:pPr>
        <w:pStyle w:val="13"/>
      </w:pPr>
      <w:r>
        <w:rPr>
          <w:rFonts w:hint="eastAsia"/>
        </w:rPr>
        <w:t>对商标专用权评估时，应当将商标注册人在相同或者类似商品和服务上注册的相同或者近似的商标作为商标组合。</w:t>
      </w:r>
    </w:p>
    <w:p w14:paraId="660FEBD2" w14:textId="7278C0B3" w:rsidR="00715D0F" w:rsidRDefault="00E05BDA" w:rsidP="00715D0F">
      <w:pPr>
        <w:pStyle w:val="13"/>
        <w:ind w:firstLine="482"/>
      </w:pPr>
      <w:r w:rsidRPr="00E05BDA">
        <w:rPr>
          <w:rFonts w:hint="eastAsia"/>
          <w:b/>
          <w:bCs/>
        </w:rPr>
        <w:t xml:space="preserve">第十六条 </w:t>
      </w:r>
      <w:r w:rsidR="00715D0F">
        <w:t>执行商标许可</w:t>
      </w:r>
      <w:proofErr w:type="gramStart"/>
      <w:r w:rsidR="00715D0F">
        <w:t>权资产</w:t>
      </w:r>
      <w:proofErr w:type="gramEnd"/>
      <w:r w:rsidR="00715D0F">
        <w:t>评估业务，应当要求委托人提供商标登记机关的备</w:t>
      </w:r>
      <w:r w:rsidR="00715D0F">
        <w:rPr>
          <w:rFonts w:hint="eastAsia"/>
        </w:rPr>
        <w:t>案资料或者有关商标许可约定的书面文件。</w:t>
      </w:r>
    </w:p>
    <w:p w14:paraId="0BD6C044" w14:textId="2BED00D4" w:rsidR="00715D0F" w:rsidRDefault="00E05BDA" w:rsidP="00715D0F">
      <w:pPr>
        <w:pStyle w:val="13"/>
        <w:ind w:firstLine="482"/>
      </w:pPr>
      <w:r w:rsidRPr="00E05BDA">
        <w:rPr>
          <w:rFonts w:hint="eastAsia"/>
          <w:b/>
          <w:bCs/>
        </w:rPr>
        <w:t xml:space="preserve">第十七条 </w:t>
      </w:r>
      <w:r w:rsidR="00715D0F">
        <w:t>执行注册商标专用权质押资产评估业务，应当关注注册商标专用权的历史质押记录，以及对相同或者类似商品或者服务上注册的相同或者近似商标一并办理质权登记的情况。</w:t>
      </w:r>
    </w:p>
    <w:p w14:paraId="489AB689" w14:textId="77777777" w:rsidR="00715D0F" w:rsidRDefault="00715D0F" w:rsidP="00AF7342">
      <w:pPr>
        <w:pStyle w:val="a9"/>
        <w:spacing w:before="62" w:after="62"/>
      </w:pPr>
      <w:r>
        <w:rPr>
          <w:rFonts w:hint="eastAsia"/>
        </w:rPr>
        <w:t>第四章</w:t>
      </w:r>
      <w:r>
        <w:t xml:space="preserve"> 操作要求</w:t>
      </w:r>
    </w:p>
    <w:p w14:paraId="72598AB2" w14:textId="659392DB" w:rsidR="00715D0F" w:rsidRDefault="00E05BDA" w:rsidP="00715D0F">
      <w:pPr>
        <w:pStyle w:val="13"/>
        <w:ind w:firstLine="482"/>
      </w:pPr>
      <w:r w:rsidRPr="00E05BDA">
        <w:rPr>
          <w:rFonts w:hint="eastAsia"/>
          <w:b/>
          <w:bCs/>
        </w:rPr>
        <w:t xml:space="preserve">第十八条 </w:t>
      </w:r>
      <w:r w:rsidR="00715D0F">
        <w:t>执行商标资产评估业务，应当对商标资产相关情况进行调查，包括必要的现场调查、市场调查，并收集相关资料等。</w:t>
      </w:r>
    </w:p>
    <w:p w14:paraId="702AC233" w14:textId="77777777" w:rsidR="00715D0F" w:rsidRDefault="00715D0F" w:rsidP="00715D0F">
      <w:pPr>
        <w:pStyle w:val="13"/>
      </w:pPr>
      <w:r>
        <w:rPr>
          <w:rFonts w:hint="eastAsia"/>
        </w:rPr>
        <w:t>调查过程中收集的相关资料通常包括：</w:t>
      </w:r>
    </w:p>
    <w:p w14:paraId="33692254" w14:textId="77777777" w:rsidR="00715D0F" w:rsidRDefault="00715D0F" w:rsidP="00715D0F">
      <w:pPr>
        <w:pStyle w:val="13"/>
      </w:pPr>
      <w:r>
        <w:rPr>
          <w:rFonts w:hint="eastAsia"/>
        </w:rPr>
        <w:t>（一）商标注册人和商标使用人的基本情况；</w:t>
      </w:r>
    </w:p>
    <w:p w14:paraId="10C97753" w14:textId="6DD086E3" w:rsidR="00715D0F" w:rsidRDefault="00715D0F" w:rsidP="00715D0F">
      <w:pPr>
        <w:pStyle w:val="13"/>
      </w:pPr>
      <w:r>
        <w:rPr>
          <w:rFonts w:hint="eastAsia"/>
        </w:rPr>
        <w:t>（二）商标的权属及登记情况；包括注册、变更、许可、续展、质押、纠纷及诉讼等；</w:t>
      </w:r>
    </w:p>
    <w:p w14:paraId="1BF360E1" w14:textId="77777777" w:rsidR="00715D0F" w:rsidRDefault="00715D0F" w:rsidP="00715D0F">
      <w:pPr>
        <w:pStyle w:val="13"/>
      </w:pPr>
      <w:r>
        <w:rPr>
          <w:rFonts w:hint="eastAsia"/>
        </w:rPr>
        <w:t>（三）对商标的知晓程度；</w:t>
      </w:r>
    </w:p>
    <w:p w14:paraId="62D85447" w14:textId="77777777" w:rsidR="00715D0F" w:rsidRDefault="00715D0F" w:rsidP="00715D0F">
      <w:pPr>
        <w:pStyle w:val="13"/>
      </w:pPr>
      <w:r>
        <w:rPr>
          <w:rFonts w:hint="eastAsia"/>
        </w:rPr>
        <w:t>（四）相关商品或者服务的销售渠道和销售网络等；</w:t>
      </w:r>
    </w:p>
    <w:p w14:paraId="20261F02" w14:textId="77777777" w:rsidR="00715D0F" w:rsidRDefault="00715D0F" w:rsidP="00715D0F">
      <w:pPr>
        <w:pStyle w:val="13"/>
      </w:pPr>
      <w:r>
        <w:rPr>
          <w:rFonts w:hint="eastAsia"/>
        </w:rPr>
        <w:t>（五）商标使用的持续时间；</w:t>
      </w:r>
    </w:p>
    <w:p w14:paraId="718042D3" w14:textId="77777777" w:rsidR="00715D0F" w:rsidRDefault="00715D0F" w:rsidP="00715D0F">
      <w:pPr>
        <w:pStyle w:val="13"/>
      </w:pPr>
      <w:r>
        <w:rPr>
          <w:rFonts w:hint="eastAsia"/>
        </w:rPr>
        <w:t>（六）商标宣传工作的持续时间、程度、费用和地理范围；</w:t>
      </w:r>
    </w:p>
    <w:p w14:paraId="60909435" w14:textId="77777777" w:rsidR="00715D0F" w:rsidRDefault="00715D0F" w:rsidP="00715D0F">
      <w:pPr>
        <w:pStyle w:val="13"/>
      </w:pPr>
      <w:r>
        <w:rPr>
          <w:rFonts w:hint="eastAsia"/>
        </w:rPr>
        <w:t>（七）与使用该商标的商品或者服务相关的著作权、专利、专有技术等其他无形资产权利的情况；</w:t>
      </w:r>
    </w:p>
    <w:p w14:paraId="2592A353" w14:textId="77777777" w:rsidR="00715D0F" w:rsidRDefault="00715D0F" w:rsidP="00715D0F">
      <w:pPr>
        <w:pStyle w:val="13"/>
      </w:pPr>
      <w:r>
        <w:rPr>
          <w:rFonts w:hint="eastAsia"/>
        </w:rPr>
        <w:t>（八）宏观经济发展和相关行业政策与商标商品或者服务市场发展状况；</w:t>
      </w:r>
    </w:p>
    <w:p w14:paraId="05907A7A" w14:textId="77777777" w:rsidR="00715D0F" w:rsidRDefault="00715D0F" w:rsidP="00715D0F">
      <w:pPr>
        <w:pStyle w:val="13"/>
      </w:pPr>
      <w:r>
        <w:rPr>
          <w:rFonts w:hint="eastAsia"/>
        </w:rPr>
        <w:t>（九）商标商品或者服务的使用范围、市场需求、同类商品或者服务的竞争状况；</w:t>
      </w:r>
    </w:p>
    <w:p w14:paraId="12B74D33" w14:textId="77777777" w:rsidR="00715D0F" w:rsidRDefault="00715D0F" w:rsidP="00715D0F">
      <w:pPr>
        <w:pStyle w:val="13"/>
      </w:pPr>
      <w:r>
        <w:rPr>
          <w:rFonts w:hint="eastAsia"/>
        </w:rPr>
        <w:t>（十）商标使用、收益的可能性和方式；包括实施企业财务状况、行业竞争地位、未来发展规划等；</w:t>
      </w:r>
    </w:p>
    <w:p w14:paraId="1D195DD1" w14:textId="77777777" w:rsidR="00715D0F" w:rsidRDefault="00715D0F" w:rsidP="00715D0F">
      <w:pPr>
        <w:pStyle w:val="13"/>
      </w:pPr>
      <w:r>
        <w:rPr>
          <w:rFonts w:hint="eastAsia"/>
        </w:rPr>
        <w:t>（十一）近似商标近期的市场交易情况；</w:t>
      </w:r>
    </w:p>
    <w:p w14:paraId="7130EEEB" w14:textId="77777777" w:rsidR="00715D0F" w:rsidRDefault="00715D0F" w:rsidP="00715D0F">
      <w:pPr>
        <w:pStyle w:val="13"/>
      </w:pPr>
      <w:r>
        <w:rPr>
          <w:rFonts w:hint="eastAsia"/>
        </w:rPr>
        <w:t>（十二）商标以往的评估及交易情况；</w:t>
      </w:r>
    </w:p>
    <w:p w14:paraId="7D4A9EF5" w14:textId="77777777" w:rsidR="00715D0F" w:rsidRDefault="00715D0F" w:rsidP="00715D0F">
      <w:pPr>
        <w:pStyle w:val="13"/>
      </w:pPr>
      <w:r>
        <w:rPr>
          <w:rFonts w:hint="eastAsia"/>
        </w:rPr>
        <w:lastRenderedPageBreak/>
        <w:t>（十三）商标权利维护方面的情况，包括权利维护方式、效果、成本费用等。</w:t>
      </w:r>
    </w:p>
    <w:p w14:paraId="32C12B4B" w14:textId="2556E2A3" w:rsidR="00715D0F" w:rsidRDefault="00E05BDA" w:rsidP="00715D0F">
      <w:pPr>
        <w:pStyle w:val="13"/>
        <w:ind w:firstLine="482"/>
      </w:pPr>
      <w:r w:rsidRPr="00E05BDA">
        <w:rPr>
          <w:rFonts w:hint="eastAsia"/>
          <w:b/>
          <w:bCs/>
        </w:rPr>
        <w:t xml:space="preserve">第十九条 </w:t>
      </w:r>
      <w:r w:rsidR="00715D0F">
        <w:t>执行商标资产评估业务，应当尽可能获取与商标资产使用相关的财务数据或者经审计的财务报表，对商标资产的相关财务数据进行必要的分析。</w:t>
      </w:r>
    </w:p>
    <w:p w14:paraId="37A6B3B0" w14:textId="6FAEAC70" w:rsidR="00715D0F" w:rsidRDefault="00E05BDA" w:rsidP="00715D0F">
      <w:pPr>
        <w:pStyle w:val="13"/>
        <w:ind w:firstLine="482"/>
      </w:pPr>
      <w:r w:rsidRPr="00E05BDA">
        <w:rPr>
          <w:rFonts w:hint="eastAsia"/>
          <w:b/>
          <w:bCs/>
        </w:rPr>
        <w:t xml:space="preserve">第二十条 </w:t>
      </w:r>
      <w:r w:rsidR="00715D0F">
        <w:t>执行商标资产评估业务，应当了解商标资产与相关有形资产以及专利权、专有技术和著作权等无形资产共同发挥作用的情况，并考虑其对商标资产价值的影响。</w:t>
      </w:r>
    </w:p>
    <w:p w14:paraId="2C56E4DA" w14:textId="1BBCF268" w:rsidR="00715D0F" w:rsidRDefault="00E05BDA" w:rsidP="00715D0F">
      <w:pPr>
        <w:pStyle w:val="13"/>
        <w:ind w:firstLine="482"/>
      </w:pPr>
      <w:r w:rsidRPr="00E05BDA">
        <w:rPr>
          <w:rFonts w:hint="eastAsia"/>
          <w:b/>
          <w:bCs/>
        </w:rPr>
        <w:t xml:space="preserve">第二十一条 </w:t>
      </w:r>
      <w:r w:rsidR="00715D0F">
        <w:t>执行商标资产评估业务，应当分析商标商品或者服务的市场需求，关注商标的美誉度、认知度以及商标商品或者服务在相关行业的市场竞争力等因素对商标资产价值的影响。</w:t>
      </w:r>
    </w:p>
    <w:p w14:paraId="1C96525E" w14:textId="1BEE1522" w:rsidR="00715D0F" w:rsidRDefault="00E05BDA" w:rsidP="00715D0F">
      <w:pPr>
        <w:pStyle w:val="13"/>
        <w:ind w:firstLine="482"/>
      </w:pPr>
      <w:r w:rsidRPr="00E05BDA">
        <w:rPr>
          <w:rFonts w:hint="eastAsia"/>
          <w:b/>
          <w:bCs/>
        </w:rPr>
        <w:t xml:space="preserve">第二十二条 </w:t>
      </w:r>
      <w:r w:rsidR="00715D0F">
        <w:t>执行注册商标专用权法律诉讼资产评估业务，应当关注相关案情基本情况，经过质证的资料，以及注册商标专用权的历史诉讼情况。</w:t>
      </w:r>
    </w:p>
    <w:p w14:paraId="4DE2AB73" w14:textId="5C8482A4" w:rsidR="00715D0F" w:rsidRDefault="00E05BDA" w:rsidP="00715D0F">
      <w:pPr>
        <w:pStyle w:val="13"/>
        <w:ind w:firstLine="482"/>
      </w:pPr>
      <w:r w:rsidRPr="00E05BDA">
        <w:rPr>
          <w:rFonts w:hint="eastAsia"/>
          <w:b/>
          <w:bCs/>
        </w:rPr>
        <w:t xml:space="preserve">第二十三条 </w:t>
      </w:r>
      <w:r w:rsidR="00715D0F">
        <w:t>确定商标资产价值的评估方法包括市场法、收益法和成本法三种基本方法及其衍生方法。</w:t>
      </w:r>
    </w:p>
    <w:p w14:paraId="0BD849AD" w14:textId="77777777" w:rsidR="00715D0F" w:rsidRDefault="00715D0F" w:rsidP="00715D0F">
      <w:pPr>
        <w:pStyle w:val="13"/>
      </w:pPr>
      <w:r>
        <w:rPr>
          <w:rFonts w:hint="eastAsia"/>
        </w:rPr>
        <w:t>执行商标资产评估业务，应当根据评估目的、评估对象、价值类型、资料收集等情况，分析上述三种基本方法及其衍生方法的适用性，选择评估方法。</w:t>
      </w:r>
    </w:p>
    <w:p w14:paraId="038F1EBC" w14:textId="45B6B71B" w:rsidR="00715D0F" w:rsidRDefault="00E05BDA" w:rsidP="00715D0F">
      <w:pPr>
        <w:pStyle w:val="13"/>
        <w:ind w:firstLine="482"/>
      </w:pPr>
      <w:r w:rsidRPr="00E05BDA">
        <w:rPr>
          <w:rFonts w:hint="eastAsia"/>
          <w:b/>
          <w:bCs/>
        </w:rPr>
        <w:t xml:space="preserve">第二十四条 </w:t>
      </w:r>
      <w:r w:rsidR="00715D0F">
        <w:t>运用收益法进行商标资产评估时，应当合理确定预期收益。</w:t>
      </w:r>
    </w:p>
    <w:p w14:paraId="249ABE35" w14:textId="77777777" w:rsidR="00715D0F" w:rsidRDefault="00715D0F" w:rsidP="00715D0F">
      <w:pPr>
        <w:pStyle w:val="13"/>
      </w:pPr>
      <w:r>
        <w:rPr>
          <w:rFonts w:hint="eastAsia"/>
        </w:rPr>
        <w:t>商标资产的预期收益应当是因商标的使用而额外带来的收益，可以通过增量收益、节省许可费、收益分成或者超额收益等方式估算。确定预期收益时，应当区分并剔除与商标无关的业务产生的收益，并关注商标商品或者服务所属行业的市场规模、市场地位及相关企业的经营情况。</w:t>
      </w:r>
    </w:p>
    <w:p w14:paraId="5F7FBBA9" w14:textId="43B5E650" w:rsidR="00715D0F" w:rsidRDefault="00E05BDA" w:rsidP="00715D0F">
      <w:pPr>
        <w:pStyle w:val="13"/>
        <w:ind w:firstLine="482"/>
      </w:pPr>
      <w:r w:rsidRPr="00E05BDA">
        <w:rPr>
          <w:rFonts w:hint="eastAsia"/>
          <w:b/>
          <w:bCs/>
        </w:rPr>
        <w:t xml:space="preserve">第二十五条 </w:t>
      </w:r>
      <w:r w:rsidR="00715D0F">
        <w:t>采用收益法评估商标资产时，应当根据具体情况选择恰当的收益口径。可以按照销售收入、利润或者现金流等口径估算商标资产预期产生的收益。</w:t>
      </w:r>
    </w:p>
    <w:p w14:paraId="424F3C61" w14:textId="2EEF9421" w:rsidR="00715D0F" w:rsidRDefault="00E05BDA" w:rsidP="00715D0F">
      <w:pPr>
        <w:pStyle w:val="13"/>
        <w:ind w:firstLine="482"/>
      </w:pPr>
      <w:r w:rsidRPr="00E05BDA">
        <w:rPr>
          <w:rFonts w:hint="eastAsia"/>
          <w:b/>
          <w:bCs/>
        </w:rPr>
        <w:t xml:space="preserve">第二十六条 </w:t>
      </w:r>
      <w:r w:rsidR="00715D0F">
        <w:t>采用收益法评估商标资产时，应当合理确定商标资产收益期限。收益期限可以通过分析商标商品或者服务所属行业的发展趋势，通过综合考虑法律保护期限、相关合同约定期限、商标商品的产品寿命、商标商品或者服务的市场份额及发展潜力、商标未来维护费用、所属行业及企业的发展状况、商标注册人的经营年限等因素确定。</w:t>
      </w:r>
    </w:p>
    <w:p w14:paraId="74CC23FC" w14:textId="20B8AE67" w:rsidR="00715D0F" w:rsidRDefault="00E05BDA" w:rsidP="00715D0F">
      <w:pPr>
        <w:pStyle w:val="13"/>
        <w:ind w:firstLine="482"/>
      </w:pPr>
      <w:r w:rsidRPr="00E05BDA">
        <w:rPr>
          <w:rFonts w:hint="eastAsia"/>
          <w:b/>
          <w:bCs/>
        </w:rPr>
        <w:t xml:space="preserve">第二十七条 </w:t>
      </w:r>
      <w:r w:rsidR="00715D0F">
        <w:t>采用收益法进行商标资产评估时，应当合理确定折现率。折现率可以通过分析评估基准日的利率、投资回报率，以及商标商品生产、销售实施过程中的技术、经营、市场等因素确定。商标资产折现率应当有别于企业或者其他资产折现率。商标资产折现率可以采用无风险</w:t>
      </w:r>
      <w:proofErr w:type="gramStart"/>
      <w:r w:rsidR="00715D0F">
        <w:t>报酬率加风险</w:t>
      </w:r>
      <w:proofErr w:type="gramEnd"/>
      <w:r w:rsidR="00715D0F">
        <w:t>报酬率的方式确定。商标资产折现率口径应当与预期收益的口径保持一致。</w:t>
      </w:r>
    </w:p>
    <w:p w14:paraId="568D7714" w14:textId="74E52F67" w:rsidR="00715D0F" w:rsidRDefault="00E05BDA" w:rsidP="00715D0F">
      <w:pPr>
        <w:pStyle w:val="13"/>
        <w:ind w:firstLine="482"/>
      </w:pPr>
      <w:r w:rsidRPr="00E05BDA">
        <w:rPr>
          <w:rFonts w:hint="eastAsia"/>
          <w:b/>
          <w:bCs/>
        </w:rPr>
        <w:t xml:space="preserve">第二十八条 </w:t>
      </w:r>
      <w:r w:rsidR="00715D0F">
        <w:t>采用市场法进行商标资产评估时，应当对收集的可比交易案例与评估对象进行比较，分析时可以从交易时间、权利种类或形式、交易方的关系、获利能</w:t>
      </w:r>
      <w:r w:rsidR="00715D0F">
        <w:lastRenderedPageBreak/>
        <w:t>力、竞争能力、预计收益期限、商标维护费用、风险程度等方面的差异进行比较。</w:t>
      </w:r>
    </w:p>
    <w:p w14:paraId="30082CD9" w14:textId="7C9253B6" w:rsidR="00715D0F" w:rsidRDefault="00E05BDA" w:rsidP="00715D0F">
      <w:pPr>
        <w:pStyle w:val="13"/>
        <w:ind w:firstLine="482"/>
      </w:pPr>
      <w:r w:rsidRPr="00E05BDA">
        <w:rPr>
          <w:rFonts w:hint="eastAsia"/>
          <w:b/>
          <w:bCs/>
        </w:rPr>
        <w:t xml:space="preserve">第二十九条 </w:t>
      </w:r>
      <w:r w:rsidR="00715D0F">
        <w:t>采用成本法进行商标资产评估时，应当考虑商标资产价值与成本的相关程度，恰当考虑成本法的适用性。</w:t>
      </w:r>
    </w:p>
    <w:p w14:paraId="44AD5906" w14:textId="77777777" w:rsidR="00715D0F" w:rsidRDefault="00715D0F" w:rsidP="00715D0F">
      <w:pPr>
        <w:pStyle w:val="13"/>
      </w:pPr>
      <w:r>
        <w:rPr>
          <w:rFonts w:hint="eastAsia"/>
        </w:rPr>
        <w:t>商标重置成本包括合理成本、利润和相关税费等。</w:t>
      </w:r>
    </w:p>
    <w:p w14:paraId="493D0D00" w14:textId="0E2063D2" w:rsidR="00715D0F" w:rsidRDefault="00E05BDA" w:rsidP="00715D0F">
      <w:pPr>
        <w:pStyle w:val="13"/>
        <w:ind w:firstLine="482"/>
      </w:pPr>
      <w:r w:rsidRPr="00E05BDA">
        <w:rPr>
          <w:rFonts w:hint="eastAsia"/>
          <w:b/>
          <w:bCs/>
        </w:rPr>
        <w:t xml:space="preserve">第三十条 </w:t>
      </w:r>
      <w:r w:rsidR="00715D0F">
        <w:t>采用成本法进行商标资产评估时，应当关注评估对象的贬值。</w:t>
      </w:r>
    </w:p>
    <w:p w14:paraId="4628A053" w14:textId="77777777" w:rsidR="00715D0F" w:rsidRDefault="00715D0F" w:rsidP="00AF7342">
      <w:pPr>
        <w:pStyle w:val="a9"/>
        <w:spacing w:before="62" w:after="62"/>
      </w:pPr>
      <w:r>
        <w:rPr>
          <w:rFonts w:hint="eastAsia"/>
        </w:rPr>
        <w:t>第五章</w:t>
      </w:r>
      <w:r>
        <w:t xml:space="preserve"> 披露要求</w:t>
      </w:r>
    </w:p>
    <w:p w14:paraId="1F9B7C80" w14:textId="1164D94B" w:rsidR="00715D0F" w:rsidRDefault="003B2FB1" w:rsidP="00715D0F">
      <w:pPr>
        <w:pStyle w:val="13"/>
        <w:ind w:firstLine="482"/>
      </w:pPr>
      <w:r w:rsidRPr="003B2FB1">
        <w:rPr>
          <w:rFonts w:hint="eastAsia"/>
          <w:b/>
          <w:bCs/>
        </w:rPr>
        <w:t xml:space="preserve">第三十一条 </w:t>
      </w:r>
      <w:r w:rsidR="00715D0F">
        <w:t>编制商标资产评估报告应当反映商标资产的特点，通常包括下列内容：</w:t>
      </w:r>
    </w:p>
    <w:p w14:paraId="2B040701" w14:textId="77777777" w:rsidR="00715D0F" w:rsidRDefault="00715D0F" w:rsidP="00715D0F">
      <w:pPr>
        <w:pStyle w:val="13"/>
      </w:pPr>
      <w:r>
        <w:rPr>
          <w:rFonts w:hint="eastAsia"/>
        </w:rPr>
        <w:t>（一）商标注册人的基本情况；</w:t>
      </w:r>
    </w:p>
    <w:p w14:paraId="548D764C" w14:textId="77777777" w:rsidR="00715D0F" w:rsidRDefault="00715D0F" w:rsidP="00715D0F">
      <w:pPr>
        <w:pStyle w:val="13"/>
      </w:pPr>
      <w:r>
        <w:rPr>
          <w:rFonts w:hint="eastAsia"/>
        </w:rPr>
        <w:t>（二）商标的基本情况；</w:t>
      </w:r>
    </w:p>
    <w:p w14:paraId="52001FA5" w14:textId="77777777" w:rsidR="00715D0F" w:rsidRDefault="00715D0F" w:rsidP="00715D0F">
      <w:pPr>
        <w:pStyle w:val="13"/>
      </w:pPr>
      <w:r>
        <w:rPr>
          <w:rFonts w:hint="eastAsia"/>
        </w:rPr>
        <w:t>（三）商标商品或者服务的基本情况；</w:t>
      </w:r>
    </w:p>
    <w:p w14:paraId="69CAD534" w14:textId="77777777" w:rsidR="00715D0F" w:rsidRDefault="00715D0F" w:rsidP="00715D0F">
      <w:pPr>
        <w:pStyle w:val="13"/>
      </w:pPr>
      <w:r>
        <w:rPr>
          <w:rFonts w:hint="eastAsia"/>
        </w:rPr>
        <w:t>（四）商标商品或者服务的生产、销售中涉及的著作权、专利、专有技术等其他无形资产情况；</w:t>
      </w:r>
    </w:p>
    <w:p w14:paraId="25622B0C" w14:textId="77777777" w:rsidR="00715D0F" w:rsidRDefault="00715D0F" w:rsidP="00715D0F">
      <w:pPr>
        <w:pStyle w:val="13"/>
      </w:pPr>
      <w:r>
        <w:rPr>
          <w:rFonts w:hint="eastAsia"/>
        </w:rPr>
        <w:t>（五）商标资产产生收益的方式；</w:t>
      </w:r>
    </w:p>
    <w:p w14:paraId="421A2834" w14:textId="77777777" w:rsidR="00715D0F" w:rsidRDefault="00715D0F" w:rsidP="00715D0F">
      <w:pPr>
        <w:pStyle w:val="13"/>
      </w:pPr>
      <w:r>
        <w:rPr>
          <w:rFonts w:hint="eastAsia"/>
        </w:rPr>
        <w:t>（六）商标剩余法定保护期限以及预计收益期限；</w:t>
      </w:r>
    </w:p>
    <w:p w14:paraId="00851941" w14:textId="77777777" w:rsidR="00715D0F" w:rsidRDefault="00715D0F" w:rsidP="00715D0F">
      <w:pPr>
        <w:pStyle w:val="13"/>
      </w:pPr>
      <w:r>
        <w:rPr>
          <w:rFonts w:hint="eastAsia"/>
        </w:rPr>
        <w:t>（七）对影响商标资产价值因素的分析过程；</w:t>
      </w:r>
    </w:p>
    <w:p w14:paraId="0D26753C" w14:textId="77777777" w:rsidR="00715D0F" w:rsidRDefault="00715D0F" w:rsidP="00715D0F">
      <w:pPr>
        <w:pStyle w:val="13"/>
      </w:pPr>
      <w:r>
        <w:rPr>
          <w:rFonts w:hint="eastAsia"/>
        </w:rPr>
        <w:t>（八）使用的评估假设和限制条件；</w:t>
      </w:r>
    </w:p>
    <w:p w14:paraId="176C2F21" w14:textId="77777777" w:rsidR="00715D0F" w:rsidRDefault="00715D0F" w:rsidP="00715D0F">
      <w:pPr>
        <w:pStyle w:val="13"/>
      </w:pPr>
      <w:r>
        <w:rPr>
          <w:rFonts w:hint="eastAsia"/>
        </w:rPr>
        <w:t>（九）商标资产许可、转让、诉讼以及质押等情况；</w:t>
      </w:r>
    </w:p>
    <w:p w14:paraId="2C58CA09" w14:textId="77777777" w:rsidR="00715D0F" w:rsidRDefault="00715D0F" w:rsidP="00715D0F">
      <w:pPr>
        <w:pStyle w:val="13"/>
      </w:pPr>
      <w:r>
        <w:rPr>
          <w:rFonts w:hint="eastAsia"/>
        </w:rPr>
        <w:t>（十）其他必要说明。</w:t>
      </w:r>
    </w:p>
    <w:p w14:paraId="654B9093" w14:textId="77777777" w:rsidR="00715D0F" w:rsidRDefault="00715D0F" w:rsidP="00AF7342">
      <w:pPr>
        <w:pStyle w:val="a9"/>
        <w:spacing w:before="62" w:after="62"/>
      </w:pPr>
      <w:r>
        <w:rPr>
          <w:rFonts w:hint="eastAsia"/>
        </w:rPr>
        <w:t>第六章</w:t>
      </w:r>
      <w:r>
        <w:t xml:space="preserve"> 附则</w:t>
      </w:r>
    </w:p>
    <w:p w14:paraId="6782456F" w14:textId="0FFA9EBB" w:rsidR="00715D0F" w:rsidRDefault="003B2FB1" w:rsidP="00715D0F">
      <w:pPr>
        <w:pStyle w:val="13"/>
        <w:ind w:firstLine="482"/>
      </w:pPr>
      <w:r w:rsidRPr="003B2FB1">
        <w:rPr>
          <w:rFonts w:hint="eastAsia"/>
          <w:b/>
          <w:bCs/>
        </w:rPr>
        <w:t xml:space="preserve">第三十二条 </w:t>
      </w:r>
      <w:r w:rsidR="00715D0F">
        <w:t>本指导意见自 2017</w:t>
      </w:r>
      <w:r w:rsidR="003068F8">
        <w:t>年</w:t>
      </w:r>
      <w:r w:rsidR="00715D0F">
        <w:t>10</w:t>
      </w:r>
      <w:r w:rsidR="003068F8">
        <w:t>月</w:t>
      </w:r>
      <w:r w:rsidR="00715D0F">
        <w:t>1</w:t>
      </w:r>
      <w:r w:rsidR="003068F8">
        <w:t>日</w:t>
      </w:r>
      <w:r w:rsidR="00715D0F">
        <w:t>起施行。中国资产评估协会于 2011</w:t>
      </w:r>
      <w:r w:rsidR="003068F8">
        <w:t>年</w:t>
      </w:r>
      <w:r w:rsidR="00715D0F">
        <w:t>12</w:t>
      </w:r>
      <w:r w:rsidR="003068F8">
        <w:t>月</w:t>
      </w:r>
      <w:r w:rsidR="00715D0F">
        <w:t>30</w:t>
      </w:r>
      <w:r w:rsidR="003068F8">
        <w:t>日</w:t>
      </w:r>
      <w:r w:rsidR="00715D0F">
        <w:t>发布的《关于印发〈商标资产评估指导意见〉的通知》（</w:t>
      </w:r>
      <w:proofErr w:type="gramStart"/>
      <w:r w:rsidR="00715D0F">
        <w:t>中评协</w:t>
      </w:r>
      <w:proofErr w:type="gramEnd"/>
      <w:r w:rsidR="00715D0F">
        <w:t>〔2011〕228号）同时废止。</w:t>
      </w:r>
    </w:p>
    <w:p w14:paraId="1CA81333" w14:textId="77777777" w:rsidR="001F5A09" w:rsidRDefault="001F5A09" w:rsidP="00715D0F">
      <w:pPr>
        <w:pStyle w:val="13"/>
      </w:pPr>
    </w:p>
    <w:p w14:paraId="456133CA" w14:textId="77777777" w:rsidR="00715D0F" w:rsidRDefault="00715D0F" w:rsidP="00715D0F">
      <w:pPr>
        <w:pStyle w:val="31"/>
        <w:spacing w:before="156" w:after="62"/>
      </w:pPr>
      <w:bookmarkStart w:id="44" w:name="_Toc81833324"/>
      <w:r>
        <w:rPr>
          <w:rFonts w:hint="eastAsia"/>
        </w:rPr>
        <w:t>金融不良资产评估指导意见（</w:t>
      </w:r>
      <w:proofErr w:type="gramStart"/>
      <w:r>
        <w:rPr>
          <w:rFonts w:hint="eastAsia"/>
        </w:rPr>
        <w:t>中评协</w:t>
      </w:r>
      <w:proofErr w:type="gramEnd"/>
      <w:r>
        <w:rPr>
          <w:rFonts w:hint="eastAsia"/>
        </w:rPr>
        <w:t>〔</w:t>
      </w:r>
      <w:r>
        <w:t>2017〕52号）</w:t>
      </w:r>
      <w:bookmarkEnd w:id="44"/>
    </w:p>
    <w:p w14:paraId="3D0C97FC" w14:textId="77777777" w:rsidR="00715D0F" w:rsidRDefault="00715D0F" w:rsidP="00715D0F">
      <w:pPr>
        <w:pStyle w:val="13"/>
        <w:ind w:firstLineChars="0" w:firstLine="0"/>
      </w:pPr>
      <w:r>
        <w:rPr>
          <w:rFonts w:hint="eastAsia"/>
        </w:rPr>
        <w:t>各省、自治区、直辖市、计划单列市资产评估协会（注册会计师协会）：</w:t>
      </w:r>
    </w:p>
    <w:p w14:paraId="272F82F4" w14:textId="24D207A7" w:rsidR="00715D0F" w:rsidRDefault="00715D0F" w:rsidP="00715D0F">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金融不良资产评估指导意见（试行）》进行了修订，制定了《金融不良资产评估指导意见》，现予印发，自</w:t>
      </w:r>
      <w:r>
        <w:t xml:space="preserve"> 2017</w:t>
      </w:r>
      <w:r w:rsidR="003068F8">
        <w:t>年</w:t>
      </w:r>
      <w:r>
        <w:t>10</w:t>
      </w:r>
      <w:r w:rsidR="003068F8">
        <w:t>月</w:t>
      </w:r>
      <w:r>
        <w:t>1</w:t>
      </w:r>
      <w:r w:rsidR="003068F8">
        <w:t>日</w:t>
      </w:r>
      <w:r>
        <w:t>起施行。</w:t>
      </w:r>
    </w:p>
    <w:p w14:paraId="63FC0B8C" w14:textId="77777777" w:rsidR="00715D0F" w:rsidRDefault="00715D0F" w:rsidP="00715D0F">
      <w:pPr>
        <w:pStyle w:val="13"/>
      </w:pPr>
      <w:r>
        <w:rPr>
          <w:rFonts w:hint="eastAsia"/>
        </w:rPr>
        <w:t>请各地</w:t>
      </w:r>
      <w:proofErr w:type="gramStart"/>
      <w:r>
        <w:rPr>
          <w:rFonts w:hint="eastAsia"/>
        </w:rPr>
        <w:t>方协会</w:t>
      </w:r>
      <w:proofErr w:type="gramEnd"/>
      <w:r>
        <w:rPr>
          <w:rFonts w:hint="eastAsia"/>
        </w:rPr>
        <w:t>将《金融不良资产评估指导意见》及时转发资产评估机构，组织资产评估机构和资产评估专业人员进行学习和培训，并将执行过程中发现的问题及时上报中国资产评估协会。</w:t>
      </w:r>
    </w:p>
    <w:p w14:paraId="5753F677" w14:textId="77777777" w:rsidR="00715D0F" w:rsidRDefault="00715D0F" w:rsidP="00715D0F">
      <w:pPr>
        <w:pStyle w:val="13"/>
      </w:pPr>
      <w:r>
        <w:rPr>
          <w:rFonts w:hint="eastAsia"/>
        </w:rPr>
        <w:lastRenderedPageBreak/>
        <w:t>附件：《金融不良资产评估指导意见》</w:t>
      </w:r>
    </w:p>
    <w:p w14:paraId="4B230FB1" w14:textId="77777777" w:rsidR="00715D0F" w:rsidRDefault="00715D0F" w:rsidP="00715D0F">
      <w:pPr>
        <w:pStyle w:val="13"/>
        <w:jc w:val="right"/>
      </w:pPr>
      <w:r>
        <w:rPr>
          <w:rFonts w:hint="eastAsia"/>
        </w:rPr>
        <w:t>中国资产评估协会</w:t>
      </w:r>
    </w:p>
    <w:p w14:paraId="1B1DD8B0" w14:textId="461BA415" w:rsidR="00715D0F" w:rsidRDefault="00715D0F" w:rsidP="00715D0F">
      <w:pPr>
        <w:pStyle w:val="13"/>
        <w:jc w:val="right"/>
      </w:pPr>
      <w:r>
        <w:t>2017</w:t>
      </w:r>
      <w:r w:rsidR="003068F8">
        <w:t>年</w:t>
      </w:r>
      <w:r>
        <w:t>9</w:t>
      </w:r>
      <w:r w:rsidR="003068F8">
        <w:t>月</w:t>
      </w:r>
      <w:r>
        <w:t>8</w:t>
      </w:r>
      <w:r w:rsidR="003068F8">
        <w:t>日</w:t>
      </w:r>
    </w:p>
    <w:p w14:paraId="5571AA4F" w14:textId="77777777" w:rsidR="00715D0F" w:rsidRDefault="00715D0F" w:rsidP="00AF7342">
      <w:pPr>
        <w:pStyle w:val="a9"/>
        <w:spacing w:before="62" w:after="62"/>
      </w:pPr>
      <w:r>
        <w:rPr>
          <w:rFonts w:hint="eastAsia"/>
        </w:rPr>
        <w:t>金融不良资产评估指导意见</w:t>
      </w:r>
    </w:p>
    <w:p w14:paraId="049F6C66" w14:textId="77777777" w:rsidR="00715D0F" w:rsidRDefault="00715D0F" w:rsidP="00AF7342">
      <w:pPr>
        <w:pStyle w:val="a9"/>
        <w:spacing w:before="62" w:after="62"/>
      </w:pPr>
      <w:r>
        <w:rPr>
          <w:rFonts w:hint="eastAsia"/>
        </w:rPr>
        <w:t>第一章</w:t>
      </w:r>
      <w:r>
        <w:t xml:space="preserve"> 总则</w:t>
      </w:r>
    </w:p>
    <w:p w14:paraId="730E3468" w14:textId="4D643E91" w:rsidR="00715D0F" w:rsidRDefault="004E3EBB" w:rsidP="00715D0F">
      <w:pPr>
        <w:pStyle w:val="13"/>
        <w:ind w:firstLine="482"/>
      </w:pPr>
      <w:r w:rsidRPr="004E3EBB">
        <w:rPr>
          <w:rFonts w:hint="eastAsia"/>
          <w:b/>
          <w:bCs/>
        </w:rPr>
        <w:t xml:space="preserve">第一条 </w:t>
      </w:r>
      <w:r w:rsidR="00715D0F">
        <w:t>为规范金融不良资产评估行为，保护资产评估当事人合法权益和公共利益</w:t>
      </w:r>
      <w:r w:rsidR="003C1F46">
        <w:t>，</w:t>
      </w:r>
      <w:r w:rsidR="00715D0F">
        <w:t>根据《资产评估基本准则》制定本指导意见。</w:t>
      </w:r>
    </w:p>
    <w:p w14:paraId="02FD7232" w14:textId="35ED4EF6" w:rsidR="00715D0F" w:rsidRDefault="004E3EBB" w:rsidP="00715D0F">
      <w:pPr>
        <w:pStyle w:val="13"/>
        <w:ind w:firstLine="482"/>
      </w:pPr>
      <w:r w:rsidRPr="004E3EBB">
        <w:rPr>
          <w:rFonts w:hint="eastAsia"/>
          <w:b/>
          <w:bCs/>
        </w:rPr>
        <w:t xml:space="preserve">第二条 </w:t>
      </w:r>
      <w:r w:rsidR="00715D0F">
        <w:t>本指导意见所称金融不良资产，是指银行持有的次级、可疑及损失类贷款，金融资产管理公司收购或者接管的金融不良债权，以及其他非银行金融机构持有的不良债权。</w:t>
      </w:r>
    </w:p>
    <w:p w14:paraId="501297BE" w14:textId="77777777" w:rsidR="00715D0F" w:rsidRDefault="00715D0F" w:rsidP="00715D0F">
      <w:pPr>
        <w:pStyle w:val="13"/>
      </w:pPr>
      <w:r>
        <w:rPr>
          <w:rFonts w:hint="eastAsia"/>
        </w:rPr>
        <w:t>本指导意见所称金融不良资产评估业务包括资产评估专业人员执行的以金融不良资产处置为目的的价值评估业务（以下简称价值评估业务）和以金融不良资产处置为目的的价值分析业务（以下简称价值分析业务）。</w:t>
      </w:r>
    </w:p>
    <w:p w14:paraId="74543AF9" w14:textId="5F072301" w:rsidR="00715D0F" w:rsidRDefault="00715D0F" w:rsidP="00715D0F">
      <w:pPr>
        <w:pStyle w:val="13"/>
      </w:pPr>
      <w:r>
        <w:rPr>
          <w:rFonts w:hint="eastAsia"/>
        </w:rPr>
        <w:t>价值评估业务是指资产评估机构及其资产评估专业人员遵守法律、行政法规和资产评估准则，根据委托对在评估基准日特定目的下的金融不良资产价值进行评定和估算，</w:t>
      </w:r>
      <w:r>
        <w:t>并出具评估报告的专业服务行为。</w:t>
      </w:r>
    </w:p>
    <w:p w14:paraId="5E676954" w14:textId="77777777" w:rsidR="00715D0F" w:rsidRDefault="00715D0F" w:rsidP="00715D0F">
      <w:pPr>
        <w:pStyle w:val="13"/>
      </w:pPr>
      <w:r>
        <w:rPr>
          <w:rFonts w:hint="eastAsia"/>
        </w:rPr>
        <w:t>价值分析业务是指资产评估机构及其资产评估专业人员根据委托，对无法履行必要资产评估程序的金融不良资产在基准日特定目的下的价值或者价值可实现程度进行分析、估算，并出具价值分析报告等咨询报告的专业服务行为。</w:t>
      </w:r>
    </w:p>
    <w:p w14:paraId="4040938F" w14:textId="089E53B0" w:rsidR="00715D0F" w:rsidRDefault="004E3EBB" w:rsidP="00715D0F">
      <w:pPr>
        <w:pStyle w:val="13"/>
        <w:ind w:firstLine="482"/>
      </w:pPr>
      <w:r w:rsidRPr="004E3EBB">
        <w:rPr>
          <w:rFonts w:hint="eastAsia"/>
          <w:b/>
          <w:bCs/>
        </w:rPr>
        <w:t xml:space="preserve">第三条 </w:t>
      </w:r>
      <w:r w:rsidR="00715D0F">
        <w:t>执行金融不良资产评估业务，应当遵守本指导意见。</w:t>
      </w:r>
    </w:p>
    <w:p w14:paraId="086998D7" w14:textId="77777777" w:rsidR="00715D0F" w:rsidRDefault="00715D0F" w:rsidP="00AF7342">
      <w:pPr>
        <w:pStyle w:val="a9"/>
        <w:spacing w:before="62" w:after="62"/>
      </w:pPr>
      <w:r>
        <w:rPr>
          <w:rFonts w:hint="eastAsia"/>
        </w:rPr>
        <w:t>第二章</w:t>
      </w:r>
      <w:r>
        <w:t xml:space="preserve"> 基本遵循</w:t>
      </w:r>
    </w:p>
    <w:p w14:paraId="561912F2" w14:textId="059C4120" w:rsidR="00715D0F" w:rsidRDefault="004E3EBB" w:rsidP="00715D0F">
      <w:pPr>
        <w:pStyle w:val="13"/>
        <w:ind w:firstLine="482"/>
      </w:pPr>
      <w:r w:rsidRPr="004E3EBB">
        <w:rPr>
          <w:rFonts w:hint="eastAsia"/>
          <w:b/>
          <w:bCs/>
        </w:rPr>
        <w:t xml:space="preserve">第四条 </w:t>
      </w:r>
      <w:r w:rsidR="00715D0F">
        <w:t>执行金融不良资产评估业务，应当具备金融不良资产评估的专业知识和实践经验，能够胜任所执行的金融不良资产评估业务。</w:t>
      </w:r>
    </w:p>
    <w:p w14:paraId="445B4CB7" w14:textId="08947B52" w:rsidR="00715D0F" w:rsidRDefault="004E3EBB" w:rsidP="00715D0F">
      <w:pPr>
        <w:pStyle w:val="13"/>
        <w:ind w:firstLine="482"/>
      </w:pPr>
      <w:r w:rsidRPr="004E3EBB">
        <w:rPr>
          <w:rFonts w:hint="eastAsia"/>
          <w:b/>
          <w:bCs/>
        </w:rPr>
        <w:t xml:space="preserve">第五条 </w:t>
      </w:r>
      <w:r w:rsidR="00715D0F">
        <w:t>执行金融不良资产评估业务，应当坚持独立、客观、公正的原则，勤勉尽</w:t>
      </w:r>
      <w:r w:rsidR="00715D0F">
        <w:rPr>
          <w:rFonts w:hint="eastAsia"/>
        </w:rPr>
        <w:t>责，保持应有的职业谨慎，独立进行分析、估算并形成专业意见。</w:t>
      </w:r>
    </w:p>
    <w:p w14:paraId="7D9AEF81" w14:textId="77777777" w:rsidR="00715D0F" w:rsidRDefault="00715D0F" w:rsidP="00715D0F">
      <w:pPr>
        <w:pStyle w:val="13"/>
      </w:pPr>
      <w:r>
        <w:rPr>
          <w:rFonts w:hint="eastAsia"/>
        </w:rPr>
        <w:t>资产评估机构及其资产评估专业人员应当与委托人、被评估单位以及其他相关当事人无利害关系。</w:t>
      </w:r>
    </w:p>
    <w:p w14:paraId="3BE31EB3" w14:textId="50A26C61" w:rsidR="00715D0F" w:rsidRDefault="004E3EBB" w:rsidP="00715D0F">
      <w:pPr>
        <w:pStyle w:val="13"/>
        <w:ind w:firstLine="482"/>
      </w:pPr>
      <w:r w:rsidRPr="004E3EBB">
        <w:rPr>
          <w:rFonts w:hint="eastAsia"/>
          <w:b/>
          <w:bCs/>
        </w:rPr>
        <w:t xml:space="preserve">第六条 </w:t>
      </w:r>
      <w:r w:rsidR="00715D0F">
        <w:t>资产评估专业人员应当根据资产评估业务具体情况合理使用评估假设，并在资产评估报告中予以披露。</w:t>
      </w:r>
    </w:p>
    <w:p w14:paraId="131D962B" w14:textId="7951B647" w:rsidR="00715D0F" w:rsidRDefault="004E3EBB" w:rsidP="00715D0F">
      <w:pPr>
        <w:pStyle w:val="13"/>
        <w:ind w:firstLine="482"/>
      </w:pPr>
      <w:r w:rsidRPr="004E3EBB">
        <w:rPr>
          <w:rFonts w:hint="eastAsia"/>
          <w:b/>
          <w:bCs/>
        </w:rPr>
        <w:t xml:space="preserve">第七条 </w:t>
      </w:r>
      <w:r w:rsidR="00715D0F">
        <w:t>价值评估业务和价值分析业务是两种不同的专业服务。</w:t>
      </w:r>
    </w:p>
    <w:p w14:paraId="71169AA1" w14:textId="5B5BD645" w:rsidR="00715D0F" w:rsidRDefault="00715D0F" w:rsidP="00715D0F">
      <w:pPr>
        <w:pStyle w:val="13"/>
      </w:pPr>
      <w:r>
        <w:rPr>
          <w:rFonts w:hint="eastAsia"/>
        </w:rPr>
        <w:t>执行金融不良资产评估业务，在未受到限制、能够履行必要资产评估程序的情况下，</w:t>
      </w:r>
      <w:r>
        <w:t>通常应当考虑执行价值评估业务。</w:t>
      </w:r>
    </w:p>
    <w:p w14:paraId="0B36F65F" w14:textId="6D37EB9B" w:rsidR="00715D0F" w:rsidRDefault="00715D0F" w:rsidP="00715D0F">
      <w:pPr>
        <w:pStyle w:val="13"/>
      </w:pPr>
      <w:r>
        <w:rPr>
          <w:rFonts w:hint="eastAsia"/>
        </w:rPr>
        <w:t>执行金融不良资产评估业务，在受到限制、无法履行必要资产评估程序的情况</w:t>
      </w:r>
      <w:r>
        <w:rPr>
          <w:rFonts w:hint="eastAsia"/>
        </w:rPr>
        <w:lastRenderedPageBreak/>
        <w:t>下，</w:t>
      </w:r>
      <w:r>
        <w:t>可以与委托人协商执行价值分析业务。</w:t>
      </w:r>
    </w:p>
    <w:p w14:paraId="351E35FE" w14:textId="77777777" w:rsidR="00715D0F" w:rsidRDefault="00715D0F" w:rsidP="00715D0F">
      <w:pPr>
        <w:pStyle w:val="13"/>
      </w:pPr>
      <w:r>
        <w:rPr>
          <w:rFonts w:hint="eastAsia"/>
        </w:rPr>
        <w:t>价值评估业务出具资产评估报告，价值分析业务出具价值分析报告等咨询报告。</w:t>
      </w:r>
    </w:p>
    <w:p w14:paraId="5FF86C0B" w14:textId="6D7410BD" w:rsidR="00715D0F" w:rsidRDefault="004E3EBB" w:rsidP="00715D0F">
      <w:pPr>
        <w:pStyle w:val="13"/>
        <w:ind w:firstLine="482"/>
      </w:pPr>
      <w:r w:rsidRPr="004E3EBB">
        <w:rPr>
          <w:rFonts w:hint="eastAsia"/>
          <w:b/>
          <w:bCs/>
        </w:rPr>
        <w:t xml:space="preserve">第八条 </w:t>
      </w:r>
      <w:r w:rsidR="00715D0F">
        <w:t>资产评估专业人员在受理金融不良资产评估业务时，应当在明确评估业务</w:t>
      </w:r>
      <w:r w:rsidR="00715D0F">
        <w:rPr>
          <w:rFonts w:hint="eastAsia"/>
        </w:rPr>
        <w:t>基本事项的基础上，根据评估对象的具体情况、评估目的、资产处置方式、评估资料可获得程度和资产评估程序受限制程度等因素，与委托人协商后明确执行价值评估业务或者价值分析业务。</w:t>
      </w:r>
    </w:p>
    <w:p w14:paraId="5855DE4D" w14:textId="46F1CC3F" w:rsidR="00715D0F" w:rsidRDefault="00E05BDA" w:rsidP="00715D0F">
      <w:pPr>
        <w:pStyle w:val="13"/>
        <w:ind w:firstLine="482"/>
      </w:pPr>
      <w:r w:rsidRPr="00E05BDA">
        <w:rPr>
          <w:rFonts w:hint="eastAsia"/>
          <w:b/>
          <w:bCs/>
        </w:rPr>
        <w:t xml:space="preserve">第九条 </w:t>
      </w:r>
      <w:r w:rsidR="00715D0F">
        <w:t>资产评估专业人员应当提醒委托人和其他报告使用人关注价值评估业务和价值分析业务的区别。</w:t>
      </w:r>
    </w:p>
    <w:p w14:paraId="713E16EC" w14:textId="77777777" w:rsidR="00715D0F" w:rsidRDefault="00715D0F" w:rsidP="00715D0F">
      <w:pPr>
        <w:pStyle w:val="13"/>
      </w:pPr>
      <w:r>
        <w:rPr>
          <w:rFonts w:hint="eastAsia"/>
        </w:rPr>
        <w:t>资产评估专业人员应当对价值评估结论或者价值分析结论进行明确说明，提醒委托人和其他报告使用人关注价值评估结论和价值分析结论的区别。</w:t>
      </w:r>
    </w:p>
    <w:p w14:paraId="76024B99" w14:textId="77777777" w:rsidR="00715D0F" w:rsidRDefault="00715D0F" w:rsidP="00715D0F">
      <w:pPr>
        <w:pStyle w:val="13"/>
      </w:pPr>
      <w:r>
        <w:rPr>
          <w:rFonts w:hint="eastAsia"/>
        </w:rPr>
        <w:t>价值分析结论是在受到一定限制条件下形成的专业意见，委托人和其他报告使用人应当知晓其作为参考依据的适用性不同于价值评估结论。</w:t>
      </w:r>
    </w:p>
    <w:p w14:paraId="511B3420" w14:textId="7738987F" w:rsidR="00715D0F" w:rsidRDefault="00E05BDA" w:rsidP="00715D0F">
      <w:pPr>
        <w:pStyle w:val="13"/>
        <w:ind w:firstLine="482"/>
      </w:pPr>
      <w:r w:rsidRPr="00E05BDA">
        <w:rPr>
          <w:rFonts w:hint="eastAsia"/>
          <w:b/>
          <w:bCs/>
        </w:rPr>
        <w:t xml:space="preserve">第十条 </w:t>
      </w:r>
      <w:r w:rsidR="00715D0F">
        <w:t>价值评估结论和价值分析结论反映评估对象在基准日的价值或者价值可实现程度。</w:t>
      </w:r>
    </w:p>
    <w:p w14:paraId="1BABA018" w14:textId="160581A7" w:rsidR="00715D0F" w:rsidRDefault="00715D0F" w:rsidP="00715D0F">
      <w:pPr>
        <w:pStyle w:val="13"/>
      </w:pPr>
      <w:r>
        <w:rPr>
          <w:rFonts w:hint="eastAsia"/>
        </w:rPr>
        <w:t>资产评估专业人员应当提示报告使用人根据基准日后资产状况和市场状况的变化，</w:t>
      </w:r>
      <w:r>
        <w:t>合理确定价值评估结论和价值分析结论的有效使用期限。</w:t>
      </w:r>
    </w:p>
    <w:p w14:paraId="222984D9" w14:textId="77777777" w:rsidR="00715D0F" w:rsidRDefault="00715D0F" w:rsidP="00715D0F">
      <w:pPr>
        <w:pStyle w:val="13"/>
      </w:pPr>
      <w:r>
        <w:rPr>
          <w:rFonts w:hint="eastAsia"/>
        </w:rPr>
        <w:t>如果资产状况、市场状况与基准</w:t>
      </w:r>
      <w:proofErr w:type="gramStart"/>
      <w:r>
        <w:rPr>
          <w:rFonts w:hint="eastAsia"/>
        </w:rPr>
        <w:t>日相关</w:t>
      </w:r>
      <w:proofErr w:type="gramEnd"/>
      <w:r>
        <w:rPr>
          <w:rFonts w:hint="eastAsia"/>
        </w:rPr>
        <w:t>状况相比发生重大变化，委托人应当委托资产评估机构执行评估更新业务或者重新评估。</w:t>
      </w:r>
    </w:p>
    <w:p w14:paraId="3091D384" w14:textId="6DDE3E08" w:rsidR="00715D0F" w:rsidRDefault="00E05BDA" w:rsidP="00715D0F">
      <w:pPr>
        <w:pStyle w:val="13"/>
        <w:ind w:firstLine="482"/>
      </w:pPr>
      <w:r w:rsidRPr="00E05BDA">
        <w:rPr>
          <w:rFonts w:hint="eastAsia"/>
          <w:b/>
          <w:bCs/>
        </w:rPr>
        <w:t xml:space="preserve">第十一条 </w:t>
      </w:r>
      <w:r w:rsidR="00715D0F">
        <w:t>价值评估结论和价值分析结论反映资产评估专业人员遵守法律、行政法</w:t>
      </w:r>
      <w:r w:rsidR="00715D0F">
        <w:rPr>
          <w:rFonts w:hint="eastAsia"/>
        </w:rPr>
        <w:t>规和资产评估准则，在履行必要程序后形成的建立在相关假设和限制条件基础上的专业意见。</w:t>
      </w:r>
    </w:p>
    <w:p w14:paraId="656C2BF2" w14:textId="77777777" w:rsidR="00715D0F" w:rsidRDefault="00715D0F" w:rsidP="00715D0F">
      <w:pPr>
        <w:pStyle w:val="13"/>
      </w:pPr>
      <w:r>
        <w:rPr>
          <w:rFonts w:hint="eastAsia"/>
        </w:rPr>
        <w:t>价值评估结论或者价值分析结论是资产处置的参考依据，不应当被认为是对金融不良资产处置时可实现价格的保证。</w:t>
      </w:r>
    </w:p>
    <w:p w14:paraId="01DECE37" w14:textId="585B2BB5" w:rsidR="00715D0F" w:rsidRDefault="00715D0F" w:rsidP="00715D0F">
      <w:pPr>
        <w:pStyle w:val="13"/>
      </w:pPr>
      <w:r>
        <w:rPr>
          <w:rFonts w:hint="eastAsia"/>
        </w:rPr>
        <w:t>委托人和其他报告使用人应当正确理解并恰当使用价值评估结论或者价值分析结</w:t>
      </w:r>
      <w:r>
        <w:t>论。资产评估专业人员应当建议委托人在参考价值评估结论或者价值分析结论的基础上，结合资产处置方案及资产处置时资产状况和市场状况等因素，进行合理决策。</w:t>
      </w:r>
    </w:p>
    <w:p w14:paraId="5B99CBA7" w14:textId="15115E9F" w:rsidR="00715D0F" w:rsidRDefault="00E05BDA" w:rsidP="00715D0F">
      <w:pPr>
        <w:pStyle w:val="13"/>
        <w:ind w:firstLine="482"/>
      </w:pPr>
      <w:r w:rsidRPr="00E05BDA">
        <w:rPr>
          <w:rFonts w:hint="eastAsia"/>
          <w:b/>
          <w:bCs/>
        </w:rPr>
        <w:t xml:space="preserve">第十二条 </w:t>
      </w:r>
      <w:r w:rsidR="00715D0F">
        <w:t>遵守法律、行政法规和资产评估准则，对评估对象在基准日特定目的下的价值或者价值可实现程度进行分析和估算并发表专业意见，是资产评估机构及其资产评估专业人员的责任。</w:t>
      </w:r>
    </w:p>
    <w:p w14:paraId="36269DF0" w14:textId="77777777" w:rsidR="00715D0F" w:rsidRDefault="00715D0F" w:rsidP="00715D0F">
      <w:pPr>
        <w:pStyle w:val="13"/>
      </w:pPr>
      <w:r>
        <w:rPr>
          <w:rFonts w:hint="eastAsia"/>
        </w:rPr>
        <w:t>委托人和其他相关当事人应当提供必要的资料，并对资料的真实性、完整性、合法性负责。</w:t>
      </w:r>
    </w:p>
    <w:p w14:paraId="0285C99F" w14:textId="77777777" w:rsidR="00715D0F" w:rsidRDefault="00715D0F" w:rsidP="00715D0F">
      <w:pPr>
        <w:pStyle w:val="13"/>
      </w:pPr>
      <w:r>
        <w:rPr>
          <w:rFonts w:hint="eastAsia"/>
        </w:rPr>
        <w:t>委托人应当对资产评估专业人员执行业务予以配合，不得干预资产评估专业人员正常执业。当债务人等被评估单位对资产评估机构的合理要求不予以必要配合时，</w:t>
      </w:r>
      <w:r>
        <w:rPr>
          <w:rFonts w:hint="eastAsia"/>
        </w:rPr>
        <w:lastRenderedPageBreak/>
        <w:t>委托人应当予以必要协调。</w:t>
      </w:r>
    </w:p>
    <w:p w14:paraId="61948C89" w14:textId="77777777" w:rsidR="00715D0F" w:rsidRDefault="00715D0F" w:rsidP="00AF7342">
      <w:pPr>
        <w:pStyle w:val="a9"/>
        <w:spacing w:before="62" w:after="62"/>
      </w:pPr>
      <w:r>
        <w:rPr>
          <w:rFonts w:hint="eastAsia"/>
        </w:rPr>
        <w:t>第三章</w:t>
      </w:r>
      <w:r>
        <w:t xml:space="preserve"> 资产评估对象</w:t>
      </w:r>
    </w:p>
    <w:p w14:paraId="1AE05152" w14:textId="27A1851B" w:rsidR="00715D0F" w:rsidRDefault="00E05BDA" w:rsidP="00715D0F">
      <w:pPr>
        <w:pStyle w:val="13"/>
        <w:ind w:firstLine="482"/>
      </w:pPr>
      <w:r w:rsidRPr="00E05BDA">
        <w:rPr>
          <w:rFonts w:hint="eastAsia"/>
          <w:b/>
          <w:bCs/>
        </w:rPr>
        <w:t xml:space="preserve">第十三条 </w:t>
      </w:r>
      <w:r w:rsidR="00715D0F">
        <w:t>金融不良资产评估业务中，根据项目具体情况和委托人要求，评估对象可能是债权资产，也可能是用以实现债权清偿权利的实物类资产、股权类资产和其他资产。</w:t>
      </w:r>
    </w:p>
    <w:p w14:paraId="2A9C7056" w14:textId="77777777" w:rsidR="00715D0F" w:rsidRDefault="00715D0F" w:rsidP="00715D0F">
      <w:pPr>
        <w:pStyle w:val="13"/>
      </w:pPr>
      <w:r>
        <w:rPr>
          <w:rFonts w:hint="eastAsia"/>
        </w:rPr>
        <w:t>执行金融不良资产评估业务，应当与委托人进行充分协商，明确评估对象。</w:t>
      </w:r>
    </w:p>
    <w:p w14:paraId="4E8E59E6" w14:textId="4F0CDA44" w:rsidR="00715D0F" w:rsidRDefault="00E05BDA" w:rsidP="00715D0F">
      <w:pPr>
        <w:pStyle w:val="13"/>
        <w:ind w:firstLine="482"/>
      </w:pPr>
      <w:r w:rsidRPr="00E05BDA">
        <w:rPr>
          <w:rFonts w:hint="eastAsia"/>
          <w:b/>
          <w:bCs/>
        </w:rPr>
        <w:t xml:space="preserve">第十四条 </w:t>
      </w:r>
      <w:r w:rsidR="00715D0F">
        <w:t>实物类资产主要包括收购的</w:t>
      </w:r>
      <w:proofErr w:type="gramStart"/>
      <w:r w:rsidR="00715D0F">
        <w:t>以物抵贷</w:t>
      </w:r>
      <w:proofErr w:type="gramEnd"/>
      <w:r w:rsidR="00715D0F">
        <w:t>资产、资产处置中收回的以物抵债资产、受托管理的实物资产及其所产生的权益，以及其他能实现债权清偿权利的实物资产。</w:t>
      </w:r>
    </w:p>
    <w:p w14:paraId="461BB168" w14:textId="77777777" w:rsidR="00715D0F" w:rsidRDefault="00715D0F" w:rsidP="00715D0F">
      <w:pPr>
        <w:pStyle w:val="13"/>
      </w:pPr>
      <w:r>
        <w:rPr>
          <w:rFonts w:hint="eastAsia"/>
        </w:rPr>
        <w:t>股权类资产主要包括商业性债转股、抵债股权、质押股权等。</w:t>
      </w:r>
    </w:p>
    <w:p w14:paraId="2F71CF5B" w14:textId="77777777" w:rsidR="00715D0F" w:rsidRDefault="00715D0F" w:rsidP="00715D0F">
      <w:pPr>
        <w:pStyle w:val="13"/>
      </w:pPr>
      <w:r>
        <w:rPr>
          <w:rFonts w:hint="eastAsia"/>
        </w:rPr>
        <w:t>其他资产主要包括土地使用权、商标权等无形资产以及收益凭证等其他相关资产。债权资产主要包括本指导意见第二条第一款所指不良贷款和不良债权。</w:t>
      </w:r>
    </w:p>
    <w:p w14:paraId="3C2C911A" w14:textId="5CE21C59" w:rsidR="00715D0F" w:rsidRDefault="00E05BDA" w:rsidP="00715D0F">
      <w:pPr>
        <w:pStyle w:val="13"/>
        <w:ind w:firstLine="482"/>
      </w:pPr>
      <w:r w:rsidRPr="00E05BDA">
        <w:rPr>
          <w:rFonts w:hint="eastAsia"/>
          <w:b/>
          <w:bCs/>
        </w:rPr>
        <w:t xml:space="preserve">第十五条 </w:t>
      </w:r>
      <w:r w:rsidR="00715D0F">
        <w:t>执行金融不良资产评估业务，应当关注评估对象的具体形态，充分考虑评估对象特点对评估业务的影响。</w:t>
      </w:r>
    </w:p>
    <w:p w14:paraId="171BAED1" w14:textId="77777777" w:rsidR="00715D0F" w:rsidRDefault="00715D0F" w:rsidP="00AF7342">
      <w:pPr>
        <w:pStyle w:val="a9"/>
        <w:spacing w:before="62" w:after="62"/>
      </w:pPr>
      <w:r>
        <w:rPr>
          <w:rFonts w:hint="eastAsia"/>
        </w:rPr>
        <w:t>第四章</w:t>
      </w:r>
      <w:r>
        <w:t xml:space="preserve"> 操作要求</w:t>
      </w:r>
    </w:p>
    <w:p w14:paraId="1C0E4A64" w14:textId="246BDE6D" w:rsidR="00715D0F" w:rsidRDefault="00E05BDA" w:rsidP="00715D0F">
      <w:pPr>
        <w:pStyle w:val="13"/>
        <w:ind w:firstLine="482"/>
      </w:pPr>
      <w:r w:rsidRPr="00E05BDA">
        <w:rPr>
          <w:rFonts w:hint="eastAsia"/>
          <w:b/>
          <w:bCs/>
        </w:rPr>
        <w:t xml:space="preserve">第十六条 </w:t>
      </w:r>
      <w:r w:rsidR="00715D0F">
        <w:t>执行价值评估业务应当充分考虑金融不良资产处置的特点，遵守法律、行政法规和资产评估准则。</w:t>
      </w:r>
    </w:p>
    <w:p w14:paraId="6B489639" w14:textId="0F9E6CBA" w:rsidR="00715D0F" w:rsidRDefault="00E05BDA" w:rsidP="00715D0F">
      <w:pPr>
        <w:pStyle w:val="13"/>
        <w:ind w:firstLine="482"/>
      </w:pPr>
      <w:r w:rsidRPr="00E05BDA">
        <w:rPr>
          <w:rFonts w:hint="eastAsia"/>
          <w:b/>
          <w:bCs/>
        </w:rPr>
        <w:t xml:space="preserve">第十七条 </w:t>
      </w:r>
      <w:r w:rsidR="00715D0F">
        <w:t>资产评估专业人员应当明确资产评估业务的基本情况，根据评估目的、评估对象、资产处置方式、可获得的评估资料等因素，恰当选择价值类型和评估方法。</w:t>
      </w:r>
    </w:p>
    <w:p w14:paraId="5AB7F5E0" w14:textId="686B85CC" w:rsidR="00715D0F" w:rsidRDefault="00E05BDA" w:rsidP="00715D0F">
      <w:pPr>
        <w:pStyle w:val="13"/>
        <w:ind w:firstLine="482"/>
      </w:pPr>
      <w:r w:rsidRPr="00E05BDA">
        <w:rPr>
          <w:rFonts w:hint="eastAsia"/>
          <w:b/>
          <w:bCs/>
        </w:rPr>
        <w:t xml:space="preserve">第十八条 </w:t>
      </w:r>
      <w:r w:rsidR="00715D0F">
        <w:t>执行金融不良资产评估业务，应当在履行必要的资产评估程序或者分析程序后，编制并出具资产评估报告或者咨询报告。</w:t>
      </w:r>
    </w:p>
    <w:p w14:paraId="5E60853D" w14:textId="1399EEBF" w:rsidR="00715D0F" w:rsidRDefault="00E05BDA" w:rsidP="00715D0F">
      <w:pPr>
        <w:pStyle w:val="13"/>
        <w:ind w:firstLine="482"/>
      </w:pPr>
      <w:r w:rsidRPr="00E05BDA">
        <w:rPr>
          <w:rFonts w:hint="eastAsia"/>
          <w:b/>
          <w:bCs/>
        </w:rPr>
        <w:t xml:space="preserve">第十九条 </w:t>
      </w:r>
      <w:r w:rsidR="00715D0F">
        <w:t>资产评估报告应当包含必要信息，使资产评估报告使用人能够正确理解评估结论。</w:t>
      </w:r>
    </w:p>
    <w:p w14:paraId="37E46075" w14:textId="5A86C880" w:rsidR="00715D0F" w:rsidRDefault="00E05BDA" w:rsidP="00715D0F">
      <w:pPr>
        <w:pStyle w:val="13"/>
        <w:ind w:firstLine="482"/>
      </w:pPr>
      <w:r w:rsidRPr="00E05BDA">
        <w:rPr>
          <w:rFonts w:hint="eastAsia"/>
          <w:b/>
          <w:bCs/>
        </w:rPr>
        <w:t xml:space="preserve">第二十条 </w:t>
      </w:r>
      <w:r w:rsidR="00715D0F">
        <w:t>资产评估专业人员应当在遵守法律、行政法规和资产评估准则的基础上，根据委托人的要求，合理确定资产评估报告的繁简程度。</w:t>
      </w:r>
    </w:p>
    <w:p w14:paraId="4F55468A" w14:textId="77777777" w:rsidR="00715D0F" w:rsidRDefault="00715D0F" w:rsidP="00AF7342">
      <w:pPr>
        <w:pStyle w:val="a9"/>
        <w:spacing w:before="62" w:after="62"/>
      </w:pPr>
      <w:r>
        <w:rPr>
          <w:rFonts w:hint="eastAsia"/>
        </w:rPr>
        <w:t>第五章</w:t>
      </w:r>
      <w:r>
        <w:t xml:space="preserve"> 附则</w:t>
      </w:r>
    </w:p>
    <w:p w14:paraId="05E5D2AD" w14:textId="692814D9" w:rsidR="00715D0F" w:rsidRDefault="00E05BDA" w:rsidP="00715D0F">
      <w:pPr>
        <w:pStyle w:val="13"/>
        <w:ind w:firstLine="482"/>
      </w:pPr>
      <w:r w:rsidRPr="00E05BDA">
        <w:rPr>
          <w:rFonts w:hint="eastAsia"/>
          <w:b/>
          <w:bCs/>
        </w:rPr>
        <w:t xml:space="preserve">第二十一条 </w:t>
      </w:r>
      <w:r w:rsidR="00715D0F">
        <w:t>本指导意见自 2017</w:t>
      </w:r>
      <w:r w:rsidR="003068F8">
        <w:t>年</w:t>
      </w:r>
      <w:r w:rsidR="00715D0F">
        <w:t>10</w:t>
      </w:r>
      <w:r w:rsidR="003068F8">
        <w:t>月</w:t>
      </w:r>
      <w:r w:rsidR="00715D0F">
        <w:t>1</w:t>
      </w:r>
      <w:r w:rsidR="003068F8">
        <w:t>日</w:t>
      </w:r>
      <w:r w:rsidR="00715D0F">
        <w:t>起施行。中国资产评估协会于 2005</w:t>
      </w:r>
      <w:r w:rsidR="003068F8">
        <w:t>年</w:t>
      </w:r>
      <w:r w:rsidR="00715D0F">
        <w:t>3</w:t>
      </w:r>
      <w:r w:rsidR="003068F8">
        <w:t>月</w:t>
      </w:r>
      <w:r w:rsidR="00715D0F">
        <w:t>21</w:t>
      </w:r>
      <w:r w:rsidR="003068F8">
        <w:t>日</w:t>
      </w:r>
      <w:r w:rsidR="00715D0F">
        <w:t>发布的《关于印发〈金融不良资产评估指导意见（试行）〉的通知》（</w:t>
      </w:r>
      <w:proofErr w:type="gramStart"/>
      <w:r w:rsidR="00715D0F">
        <w:t>中评协</w:t>
      </w:r>
      <w:proofErr w:type="gramEnd"/>
      <w:r w:rsidR="00715D0F">
        <w:rPr>
          <w:rFonts w:hint="eastAsia"/>
        </w:rPr>
        <w:t>〔</w:t>
      </w:r>
      <w:r w:rsidR="00715D0F">
        <w:t>2005〕37号）同时废止。</w:t>
      </w:r>
    </w:p>
    <w:p w14:paraId="35500B7D" w14:textId="77777777" w:rsidR="00715D0F" w:rsidRDefault="00715D0F" w:rsidP="00715D0F">
      <w:pPr>
        <w:pStyle w:val="31"/>
        <w:spacing w:before="156" w:after="62"/>
      </w:pPr>
      <w:bookmarkStart w:id="45" w:name="_Toc81833325"/>
      <w:r>
        <w:rPr>
          <w:rFonts w:hint="eastAsia"/>
        </w:rPr>
        <w:t>投资性房地产评估指导意见（</w:t>
      </w:r>
      <w:proofErr w:type="gramStart"/>
      <w:r>
        <w:rPr>
          <w:rFonts w:hint="eastAsia"/>
        </w:rPr>
        <w:t>中评协</w:t>
      </w:r>
      <w:proofErr w:type="gramEnd"/>
      <w:r>
        <w:rPr>
          <w:rFonts w:hint="eastAsia"/>
        </w:rPr>
        <w:t>〔</w:t>
      </w:r>
      <w:r>
        <w:t>2017〕53号）</w:t>
      </w:r>
      <w:bookmarkEnd w:id="45"/>
    </w:p>
    <w:p w14:paraId="5AD59A51" w14:textId="77777777" w:rsidR="00715D0F" w:rsidRDefault="00715D0F" w:rsidP="00715D0F">
      <w:pPr>
        <w:pStyle w:val="13"/>
        <w:ind w:firstLineChars="0" w:firstLine="0"/>
      </w:pPr>
      <w:r>
        <w:rPr>
          <w:rFonts w:hint="eastAsia"/>
        </w:rPr>
        <w:t>各省、自治区、直辖市、计划单列市资产评估协会（注册会计师协会）：</w:t>
      </w:r>
    </w:p>
    <w:p w14:paraId="4F8E0272" w14:textId="4FDECC73" w:rsidR="00715D0F" w:rsidRDefault="00715D0F" w:rsidP="00715D0F">
      <w:pPr>
        <w:pStyle w:val="13"/>
      </w:pPr>
      <w:r>
        <w:rPr>
          <w:rFonts w:hint="eastAsia"/>
        </w:rPr>
        <w:t>为贯彻落实《资产评估法》，规范资产评估执业行为，保证资产评估执业质量，保护资产评估当事人合法权益和公共利益，在财政部指导下，中国资产评估协会根据</w:t>
      </w:r>
      <w:r>
        <w:rPr>
          <w:rFonts w:hint="eastAsia"/>
        </w:rPr>
        <w:lastRenderedPageBreak/>
        <w:t>《资产评估基本准则》，对《投资性房地产评估指导意见（试行）》进行了修订，制定了《投资性房地产评估指导意见》，现予印发，自</w:t>
      </w:r>
      <w:r>
        <w:t xml:space="preserve"> 2017</w:t>
      </w:r>
      <w:r w:rsidR="003068F8">
        <w:t>年</w:t>
      </w:r>
      <w:r>
        <w:t>10</w:t>
      </w:r>
      <w:r w:rsidR="003068F8">
        <w:t>月</w:t>
      </w:r>
      <w:r>
        <w:t>1</w:t>
      </w:r>
      <w:r w:rsidR="003068F8">
        <w:t>日</w:t>
      </w:r>
      <w:r>
        <w:t>起施行。</w:t>
      </w:r>
    </w:p>
    <w:p w14:paraId="1600B445" w14:textId="77777777" w:rsidR="00715D0F" w:rsidRDefault="00715D0F" w:rsidP="00715D0F">
      <w:pPr>
        <w:pStyle w:val="13"/>
      </w:pPr>
      <w:r>
        <w:rPr>
          <w:rFonts w:hint="eastAsia"/>
        </w:rPr>
        <w:t>请各地</w:t>
      </w:r>
      <w:proofErr w:type="gramStart"/>
      <w:r>
        <w:rPr>
          <w:rFonts w:hint="eastAsia"/>
        </w:rPr>
        <w:t>方协会</w:t>
      </w:r>
      <w:proofErr w:type="gramEnd"/>
      <w:r>
        <w:rPr>
          <w:rFonts w:hint="eastAsia"/>
        </w:rPr>
        <w:t>将《投资性房地产评估指导意见》及时转发资产评估机构，组织资产评估机构和资产评估专业人员进行学习和培训，并将执行过程中发现的问题及时上报中国资产评估协会。</w:t>
      </w:r>
    </w:p>
    <w:p w14:paraId="34108146" w14:textId="77777777" w:rsidR="00715D0F" w:rsidRDefault="00715D0F" w:rsidP="00715D0F">
      <w:pPr>
        <w:pStyle w:val="13"/>
      </w:pPr>
      <w:r>
        <w:rPr>
          <w:rFonts w:hint="eastAsia"/>
        </w:rPr>
        <w:t>附件：《投资性房地产评估指导意见》</w:t>
      </w:r>
    </w:p>
    <w:p w14:paraId="783C3BD5" w14:textId="77777777" w:rsidR="00715D0F" w:rsidRDefault="00715D0F" w:rsidP="00715D0F">
      <w:pPr>
        <w:pStyle w:val="13"/>
        <w:jc w:val="right"/>
      </w:pPr>
      <w:r>
        <w:rPr>
          <w:rFonts w:hint="eastAsia"/>
        </w:rPr>
        <w:t>中国资产评估协会</w:t>
      </w:r>
    </w:p>
    <w:p w14:paraId="39D05FAD" w14:textId="533BA640" w:rsidR="00715D0F" w:rsidRDefault="00715D0F" w:rsidP="00715D0F">
      <w:pPr>
        <w:pStyle w:val="13"/>
        <w:jc w:val="right"/>
      </w:pPr>
      <w:r>
        <w:t>2017</w:t>
      </w:r>
      <w:r w:rsidR="003068F8">
        <w:t>年</w:t>
      </w:r>
      <w:r>
        <w:t>9</w:t>
      </w:r>
      <w:r w:rsidR="003068F8">
        <w:t>月</w:t>
      </w:r>
      <w:r>
        <w:t>8</w:t>
      </w:r>
      <w:r w:rsidR="003068F8">
        <w:t>日</w:t>
      </w:r>
    </w:p>
    <w:p w14:paraId="60173E35" w14:textId="77777777" w:rsidR="00715D0F" w:rsidRDefault="00715D0F" w:rsidP="00AF7342">
      <w:pPr>
        <w:pStyle w:val="a9"/>
        <w:spacing w:before="62" w:after="62"/>
      </w:pPr>
      <w:r>
        <w:rPr>
          <w:rFonts w:hint="eastAsia"/>
        </w:rPr>
        <w:t>投资性房地产评估指导意见</w:t>
      </w:r>
    </w:p>
    <w:p w14:paraId="76BA5C8E" w14:textId="77777777" w:rsidR="00715D0F" w:rsidRDefault="00715D0F" w:rsidP="00AF7342">
      <w:pPr>
        <w:pStyle w:val="a9"/>
        <w:spacing w:before="62" w:after="62"/>
      </w:pPr>
      <w:r>
        <w:rPr>
          <w:rFonts w:hint="eastAsia"/>
        </w:rPr>
        <w:t>第一章</w:t>
      </w:r>
      <w:r>
        <w:t xml:space="preserve"> 总则</w:t>
      </w:r>
    </w:p>
    <w:p w14:paraId="667DA39A" w14:textId="1E00E433" w:rsidR="00715D0F" w:rsidRDefault="004E3EBB" w:rsidP="00715D0F">
      <w:pPr>
        <w:pStyle w:val="13"/>
        <w:ind w:firstLine="482"/>
      </w:pPr>
      <w:r w:rsidRPr="004E3EBB">
        <w:rPr>
          <w:rFonts w:hint="eastAsia"/>
          <w:b/>
          <w:bCs/>
        </w:rPr>
        <w:t xml:space="preserve">第一条 </w:t>
      </w:r>
      <w:r w:rsidR="00715D0F">
        <w:t>为规范投资性房地产评估行为，保护资产评估当事人合法权益和公共利益，根据《以财务报告为目的的评估指南》制定本指导意见。</w:t>
      </w:r>
    </w:p>
    <w:p w14:paraId="7CFA3A10" w14:textId="19A976C1" w:rsidR="00715D0F" w:rsidRDefault="004E3EBB" w:rsidP="00715D0F">
      <w:pPr>
        <w:pStyle w:val="13"/>
        <w:ind w:firstLine="482"/>
      </w:pPr>
      <w:r w:rsidRPr="004E3EBB">
        <w:rPr>
          <w:rFonts w:hint="eastAsia"/>
          <w:b/>
          <w:bCs/>
        </w:rPr>
        <w:t xml:space="preserve">第二条 </w:t>
      </w:r>
      <w:r w:rsidR="00715D0F">
        <w:t>本指导意见所称投资性房地产，是指《企业会计准则第 3号—投资性房地产》及其应用指南所称的投资性房地产，即企业为赚取租金或者资本增值，或者两者兼有而持有的房地产。</w:t>
      </w:r>
    </w:p>
    <w:p w14:paraId="26925FF7" w14:textId="5B129688" w:rsidR="00715D0F" w:rsidRDefault="004E3EBB" w:rsidP="00715D0F">
      <w:pPr>
        <w:pStyle w:val="13"/>
        <w:ind w:firstLine="482"/>
      </w:pPr>
      <w:r w:rsidRPr="004E3EBB">
        <w:rPr>
          <w:rFonts w:hint="eastAsia"/>
          <w:b/>
          <w:bCs/>
        </w:rPr>
        <w:t xml:space="preserve">第三条 </w:t>
      </w:r>
      <w:r w:rsidR="00715D0F">
        <w:t>本指导意见所称投资性房地产评估，是指资产评估机构及其资产评估专业人员遵守法律、行政法规和资产评估准则，根据委托对以财务报告为目的所涉及的符合会计准则规定条件的投资性房地产在评估基准日的公允价值进行评定和估算，并出具资产评估报告的专业服务行为。</w:t>
      </w:r>
    </w:p>
    <w:p w14:paraId="58784CCA" w14:textId="4E6A46AA" w:rsidR="00715D0F" w:rsidRDefault="004E3EBB" w:rsidP="00715D0F">
      <w:pPr>
        <w:pStyle w:val="13"/>
        <w:ind w:firstLine="482"/>
      </w:pPr>
      <w:r w:rsidRPr="004E3EBB">
        <w:rPr>
          <w:rFonts w:hint="eastAsia"/>
          <w:b/>
          <w:bCs/>
        </w:rPr>
        <w:t xml:space="preserve">第四条 </w:t>
      </w:r>
      <w:r w:rsidR="00715D0F">
        <w:t>执行投资性房地产评估业务，应当遵守本指导意见。</w:t>
      </w:r>
    </w:p>
    <w:p w14:paraId="1A26B4DB" w14:textId="77777777" w:rsidR="00715D0F" w:rsidRDefault="00715D0F" w:rsidP="00AF7342">
      <w:pPr>
        <w:pStyle w:val="a9"/>
        <w:spacing w:before="62" w:after="62"/>
      </w:pPr>
      <w:r>
        <w:rPr>
          <w:rFonts w:hint="eastAsia"/>
        </w:rPr>
        <w:t>第二章</w:t>
      </w:r>
      <w:r>
        <w:t xml:space="preserve"> 基本遵循</w:t>
      </w:r>
    </w:p>
    <w:p w14:paraId="59F4F65F" w14:textId="47CF0D60" w:rsidR="00715D0F" w:rsidRDefault="004E3EBB" w:rsidP="00715D0F">
      <w:pPr>
        <w:pStyle w:val="13"/>
        <w:ind w:firstLine="482"/>
      </w:pPr>
      <w:r w:rsidRPr="004E3EBB">
        <w:rPr>
          <w:rFonts w:hint="eastAsia"/>
          <w:b/>
          <w:bCs/>
        </w:rPr>
        <w:t xml:space="preserve">第五条 </w:t>
      </w:r>
      <w:r w:rsidR="00715D0F">
        <w:t>执行投资性房地产评估业务，应当具备投资性房地产评估的专业知识和实践经验，能够胜任所执行的投资性房地产评估业务。</w:t>
      </w:r>
    </w:p>
    <w:p w14:paraId="259C78EC" w14:textId="77777777" w:rsidR="00715D0F" w:rsidRDefault="00715D0F" w:rsidP="00715D0F">
      <w:pPr>
        <w:pStyle w:val="13"/>
      </w:pPr>
      <w:r>
        <w:rPr>
          <w:rFonts w:hint="eastAsia"/>
        </w:rPr>
        <w:t>执行某项特定业务缺乏特定的专业知识和经验时，应当采取弥补措施，包括利用专家工作及相关报告等。</w:t>
      </w:r>
    </w:p>
    <w:p w14:paraId="7ED7CA7A" w14:textId="53F17D2D" w:rsidR="00715D0F" w:rsidRDefault="004E3EBB" w:rsidP="00715D0F">
      <w:pPr>
        <w:pStyle w:val="13"/>
        <w:ind w:firstLine="482"/>
      </w:pPr>
      <w:r w:rsidRPr="004E3EBB">
        <w:rPr>
          <w:rFonts w:hint="eastAsia"/>
          <w:b/>
          <w:bCs/>
        </w:rPr>
        <w:t xml:space="preserve">第六条 </w:t>
      </w:r>
      <w:r w:rsidR="00715D0F">
        <w:t>执行投资性房地产评估业务，应当充分理解相关会计准则的要求、评估对象在企业财务报告中的核算和披露要求，并提请</w:t>
      </w:r>
      <w:proofErr w:type="gramStart"/>
      <w:r w:rsidR="00715D0F">
        <w:t>企业管理层按其</w:t>
      </w:r>
      <w:proofErr w:type="gramEnd"/>
      <w:r w:rsidR="00715D0F">
        <w:t>经营意图以及会计准则的规定对投资性房地产进行恰当分类。</w:t>
      </w:r>
    </w:p>
    <w:p w14:paraId="377F94DF" w14:textId="51F4773B" w:rsidR="00715D0F" w:rsidRDefault="004E3EBB" w:rsidP="00715D0F">
      <w:pPr>
        <w:pStyle w:val="13"/>
        <w:ind w:firstLine="482"/>
      </w:pPr>
      <w:r w:rsidRPr="004E3EBB">
        <w:rPr>
          <w:rFonts w:hint="eastAsia"/>
          <w:b/>
          <w:bCs/>
        </w:rPr>
        <w:t xml:space="preserve">第七条 </w:t>
      </w:r>
      <w:r w:rsidR="00715D0F">
        <w:t>执行投资性房地产评估业务，应当与企业和执行审计业务的注册会计师进行必要的沟通，了解其因遵循相关会计准则的具体要求而提出的具体意见和建议，并分析这些意见和建议对评估业务的影响。</w:t>
      </w:r>
    </w:p>
    <w:p w14:paraId="347EEDE1" w14:textId="274DF813" w:rsidR="00715D0F" w:rsidRDefault="004E3EBB" w:rsidP="00715D0F">
      <w:pPr>
        <w:pStyle w:val="13"/>
        <w:ind w:firstLine="482"/>
      </w:pPr>
      <w:r w:rsidRPr="004E3EBB">
        <w:rPr>
          <w:rFonts w:hint="eastAsia"/>
          <w:b/>
          <w:bCs/>
        </w:rPr>
        <w:t xml:space="preserve">第八条 </w:t>
      </w:r>
      <w:r w:rsidR="00715D0F">
        <w:t>资产评估专业人员应当提醒委托人根据会计准则的相关要求确定评估基准日。评估基准日可以是资产负债表日、投资性房地产</w:t>
      </w:r>
      <w:proofErr w:type="gramStart"/>
      <w:r w:rsidR="00715D0F">
        <w:t>转换日</w:t>
      </w:r>
      <w:proofErr w:type="gramEnd"/>
      <w:r w:rsidR="00715D0F">
        <w:t>等。</w:t>
      </w:r>
    </w:p>
    <w:p w14:paraId="0478936E" w14:textId="2B820CF4" w:rsidR="00715D0F" w:rsidRDefault="00E05BDA" w:rsidP="00715D0F">
      <w:pPr>
        <w:pStyle w:val="13"/>
        <w:ind w:firstLine="482"/>
      </w:pPr>
      <w:r w:rsidRPr="00E05BDA">
        <w:rPr>
          <w:rFonts w:hint="eastAsia"/>
          <w:b/>
          <w:bCs/>
        </w:rPr>
        <w:lastRenderedPageBreak/>
        <w:t xml:space="preserve">第九条 </w:t>
      </w:r>
      <w:r w:rsidR="00715D0F">
        <w:t>执行投资性房地产评估业务，应当对投资性房地产进行现场调查，明确投资性房地产的实物状况、权益状况和区位状况，收集相关权属证明、租赁合同等文件；</w:t>
      </w:r>
    </w:p>
    <w:p w14:paraId="4FD52895" w14:textId="77777777" w:rsidR="00715D0F" w:rsidRDefault="00715D0F" w:rsidP="00715D0F">
      <w:pPr>
        <w:pStyle w:val="13"/>
      </w:pPr>
      <w:r>
        <w:rPr>
          <w:rFonts w:hint="eastAsia"/>
        </w:rPr>
        <w:t>没有权属证明文件的，应当要求委托人或者其他相关当事人对投资性房地产的权属做出承诺或者说明。</w:t>
      </w:r>
    </w:p>
    <w:p w14:paraId="3F82ADCD" w14:textId="77777777" w:rsidR="00715D0F" w:rsidRDefault="00715D0F" w:rsidP="00AF7342">
      <w:pPr>
        <w:pStyle w:val="a9"/>
        <w:spacing w:before="62" w:after="62"/>
      </w:pPr>
      <w:r>
        <w:rPr>
          <w:rFonts w:hint="eastAsia"/>
        </w:rPr>
        <w:t>第三章</w:t>
      </w:r>
      <w:r>
        <w:t xml:space="preserve"> 评估对象</w:t>
      </w:r>
    </w:p>
    <w:p w14:paraId="13526ADD" w14:textId="7F63C014" w:rsidR="00715D0F" w:rsidRDefault="00E05BDA" w:rsidP="00715D0F">
      <w:pPr>
        <w:pStyle w:val="13"/>
        <w:ind w:firstLine="482"/>
      </w:pPr>
      <w:r w:rsidRPr="00E05BDA">
        <w:rPr>
          <w:rFonts w:hint="eastAsia"/>
          <w:b/>
          <w:bCs/>
        </w:rPr>
        <w:t xml:space="preserve">第十条 </w:t>
      </w:r>
      <w:r w:rsidR="00715D0F">
        <w:t>资产评估专业人员应当知晓会计准则中投资性房地产的分类，并提请委托人参照以下会计准则的要求，明确评估对象：</w:t>
      </w:r>
    </w:p>
    <w:p w14:paraId="5BDA6E82" w14:textId="77777777" w:rsidR="00715D0F" w:rsidRDefault="00715D0F" w:rsidP="00715D0F">
      <w:pPr>
        <w:pStyle w:val="13"/>
      </w:pPr>
      <w:r>
        <w:rPr>
          <w:rFonts w:hint="eastAsia"/>
        </w:rPr>
        <w:t>（一）已出租的土地使用权，是指企业通过出让或者转让方式取得的、以经营租赁方式租出的土地使用权。</w:t>
      </w:r>
    </w:p>
    <w:p w14:paraId="65CE6357" w14:textId="77777777" w:rsidR="00715D0F" w:rsidRDefault="00715D0F" w:rsidP="00715D0F">
      <w:pPr>
        <w:pStyle w:val="13"/>
      </w:pPr>
      <w:r>
        <w:rPr>
          <w:rFonts w:hint="eastAsia"/>
        </w:rPr>
        <w:t>（二）持有并</w:t>
      </w:r>
      <w:proofErr w:type="gramStart"/>
      <w:r>
        <w:rPr>
          <w:rFonts w:hint="eastAsia"/>
        </w:rPr>
        <w:t>准备增值</w:t>
      </w:r>
      <w:proofErr w:type="gramEnd"/>
      <w:r>
        <w:rPr>
          <w:rFonts w:hint="eastAsia"/>
        </w:rPr>
        <w:t>后转让的土地使用权，是指企业取得的、</w:t>
      </w:r>
      <w:proofErr w:type="gramStart"/>
      <w:r>
        <w:rPr>
          <w:rFonts w:hint="eastAsia"/>
        </w:rPr>
        <w:t>准备增值</w:t>
      </w:r>
      <w:proofErr w:type="gramEnd"/>
      <w:r>
        <w:rPr>
          <w:rFonts w:hint="eastAsia"/>
        </w:rPr>
        <w:t>后转让的土地使用权。按照国家有关规定认定的闲置土地，不属于持有并</w:t>
      </w:r>
      <w:proofErr w:type="gramStart"/>
      <w:r>
        <w:rPr>
          <w:rFonts w:hint="eastAsia"/>
        </w:rPr>
        <w:t>准备增值</w:t>
      </w:r>
      <w:proofErr w:type="gramEnd"/>
      <w:r>
        <w:rPr>
          <w:rFonts w:hint="eastAsia"/>
        </w:rPr>
        <w:t>后转让的土地使用权。</w:t>
      </w:r>
    </w:p>
    <w:p w14:paraId="39C5F2F2" w14:textId="77777777" w:rsidR="00715D0F" w:rsidRDefault="00715D0F" w:rsidP="00715D0F">
      <w:pPr>
        <w:pStyle w:val="13"/>
      </w:pPr>
      <w:r>
        <w:rPr>
          <w:rFonts w:hint="eastAsia"/>
        </w:rPr>
        <w:t>（三）已出租的建筑物，是指企业拥有产权、以经营租赁方式租出的建筑物，包括自行建造或者开发活动完成后用于出租的建筑物。</w:t>
      </w:r>
    </w:p>
    <w:p w14:paraId="7A060ECB" w14:textId="23AE7D51" w:rsidR="00715D0F" w:rsidRDefault="00E05BDA" w:rsidP="00715D0F">
      <w:pPr>
        <w:pStyle w:val="13"/>
        <w:ind w:firstLine="482"/>
      </w:pPr>
      <w:r w:rsidRPr="00E05BDA">
        <w:rPr>
          <w:rFonts w:hint="eastAsia"/>
          <w:b/>
          <w:bCs/>
        </w:rPr>
        <w:t xml:space="preserve">第十一条 </w:t>
      </w:r>
      <w:r w:rsidR="00715D0F">
        <w:t>执行投资性房地产评估业务，应当明确评估对象对应的是个别建筑物单元，还是多个建筑物单元及其附属设施共同构成的整体。</w:t>
      </w:r>
    </w:p>
    <w:p w14:paraId="55727CA1" w14:textId="77777777" w:rsidR="00715D0F" w:rsidRDefault="00715D0F" w:rsidP="00715D0F">
      <w:pPr>
        <w:pStyle w:val="13"/>
      </w:pPr>
      <w:r>
        <w:rPr>
          <w:rFonts w:hint="eastAsia"/>
        </w:rPr>
        <w:t>当出租建筑物的附属设备和设施是租金收入所对应出租资产的组成部分时，应当考虑该设备和设施对投资性房地产价值的影响。</w:t>
      </w:r>
    </w:p>
    <w:p w14:paraId="24240222" w14:textId="77777777" w:rsidR="00715D0F" w:rsidRDefault="00715D0F" w:rsidP="00AF7342">
      <w:pPr>
        <w:pStyle w:val="a9"/>
        <w:spacing w:before="62" w:after="62"/>
      </w:pPr>
      <w:r>
        <w:rPr>
          <w:rFonts w:hint="eastAsia"/>
        </w:rPr>
        <w:t>第四章</w:t>
      </w:r>
      <w:r>
        <w:t xml:space="preserve"> 评估方法</w:t>
      </w:r>
    </w:p>
    <w:p w14:paraId="14729D6F" w14:textId="6564ACB0" w:rsidR="00715D0F" w:rsidRDefault="00E05BDA" w:rsidP="00715D0F">
      <w:pPr>
        <w:pStyle w:val="13"/>
        <w:ind w:firstLine="482"/>
      </w:pPr>
      <w:r w:rsidRPr="00E05BDA">
        <w:rPr>
          <w:rFonts w:hint="eastAsia"/>
          <w:b/>
          <w:bCs/>
        </w:rPr>
        <w:t xml:space="preserve">第十二条 </w:t>
      </w:r>
      <w:r w:rsidR="00715D0F">
        <w:t>执行投资性房地产评估业务，应当根据评估对象、价值类型、资料收集情况和数据来源等相关条件，参照会计准则关于评估对象和计量方法的有关规定，选择评估方法。</w:t>
      </w:r>
    </w:p>
    <w:p w14:paraId="0C0E5EF4" w14:textId="06FF15DF" w:rsidR="00715D0F" w:rsidRDefault="00E05BDA" w:rsidP="00715D0F">
      <w:pPr>
        <w:pStyle w:val="13"/>
        <w:ind w:firstLine="482"/>
      </w:pPr>
      <w:r w:rsidRPr="00E05BDA">
        <w:rPr>
          <w:rFonts w:hint="eastAsia"/>
          <w:b/>
          <w:bCs/>
        </w:rPr>
        <w:t xml:space="preserve">第十三条 </w:t>
      </w:r>
      <w:r w:rsidR="00715D0F">
        <w:t>采用市场法评估投资性房地产时，应当收集足够的同类或者类似房地产的交易案例，并对所收集的信息及其来源进行分析。在选用交易案例时应当关注案例的可比性，重点分析投资性房地产的实物状况、权益状况、区位状况、交易情况及租约条件。</w:t>
      </w:r>
    </w:p>
    <w:p w14:paraId="1E5D6FE3" w14:textId="110B68E3" w:rsidR="00715D0F" w:rsidRDefault="00E05BDA" w:rsidP="00715D0F">
      <w:pPr>
        <w:pStyle w:val="13"/>
        <w:ind w:firstLine="482"/>
      </w:pPr>
      <w:r w:rsidRPr="00E05BDA">
        <w:rPr>
          <w:rFonts w:hint="eastAsia"/>
          <w:b/>
          <w:bCs/>
        </w:rPr>
        <w:t xml:space="preserve">第十四条 </w:t>
      </w:r>
      <w:r w:rsidR="00715D0F">
        <w:t>采用市场法评估投资性房地产时，应当建立价值可比基础，细化相关比较因素，包括交易情况、交易日期、容积率、使用年期、面积、具体位置、经营业态和所带租约等，明确相关指标参数内涵。</w:t>
      </w:r>
    </w:p>
    <w:p w14:paraId="1AA496B0" w14:textId="185AC51B" w:rsidR="00715D0F" w:rsidRDefault="00E05BDA" w:rsidP="00715D0F">
      <w:pPr>
        <w:pStyle w:val="13"/>
        <w:ind w:firstLine="482"/>
      </w:pPr>
      <w:r w:rsidRPr="00E05BDA">
        <w:rPr>
          <w:rFonts w:hint="eastAsia"/>
          <w:b/>
          <w:bCs/>
        </w:rPr>
        <w:t xml:space="preserve">第十五条 </w:t>
      </w:r>
      <w:r w:rsidR="00715D0F">
        <w:t>采用收益法评估投资性房地产时，应当对企业来自于投资性房地产的租</w:t>
      </w:r>
      <w:r w:rsidR="00715D0F">
        <w:rPr>
          <w:rFonts w:hint="eastAsia"/>
        </w:rPr>
        <w:t>金收益，以及当期产生的相应费用进行分析，判断租金收益与相应费用的匹配性，确定净收益。</w:t>
      </w:r>
    </w:p>
    <w:p w14:paraId="37359F5A" w14:textId="616EE3A6" w:rsidR="00715D0F" w:rsidRDefault="00715D0F" w:rsidP="00715D0F">
      <w:pPr>
        <w:pStyle w:val="13"/>
      </w:pPr>
      <w:r>
        <w:rPr>
          <w:rFonts w:hint="eastAsia"/>
        </w:rPr>
        <w:lastRenderedPageBreak/>
        <w:t>投资性房地产的净收益是指租金中直接归属于评估对象所对应的房地产权益部分，</w:t>
      </w:r>
      <w:r>
        <w:t>不包括物业管理费、代垫水电费等其他项目，并应当考虑免</w:t>
      </w:r>
      <w:proofErr w:type="gramStart"/>
      <w:r>
        <w:t>租期和</w:t>
      </w:r>
      <w:proofErr w:type="gramEnd"/>
      <w:r>
        <w:t>租金收取方式的影响。</w:t>
      </w:r>
    </w:p>
    <w:p w14:paraId="1F2F0921" w14:textId="25912F26" w:rsidR="00715D0F" w:rsidRDefault="00E05BDA" w:rsidP="00715D0F">
      <w:pPr>
        <w:pStyle w:val="13"/>
        <w:ind w:firstLine="482"/>
      </w:pPr>
      <w:r w:rsidRPr="00E05BDA">
        <w:rPr>
          <w:rFonts w:hint="eastAsia"/>
          <w:b/>
          <w:bCs/>
        </w:rPr>
        <w:t xml:space="preserve">第十六条 </w:t>
      </w:r>
      <w:r w:rsidR="00715D0F">
        <w:t>采用收益法评估投资性房地产时，应当关注投资性房地产现有租约条款对公允价值的影响，包括租金及其构成、租期、免租期、续租条件和提前终止租约的条件。</w:t>
      </w:r>
    </w:p>
    <w:p w14:paraId="6A7DEAC3" w14:textId="77777777" w:rsidR="00715D0F" w:rsidRDefault="00715D0F" w:rsidP="00715D0F">
      <w:pPr>
        <w:pStyle w:val="13"/>
      </w:pPr>
      <w:r>
        <w:rPr>
          <w:rFonts w:hint="eastAsia"/>
        </w:rPr>
        <w:t>评估中应当关注租约的合法、有效性，了解实际履行状况。对合法、有效并实际履行的租约，预测未来净收益所使用的租约期内的租金应当采用租约所确定的租金，租约期外的租金应当采用正常客观的租金。当约定租金与市场租金水平存在较大差异时，应当分析其原因，并进行披露。</w:t>
      </w:r>
    </w:p>
    <w:p w14:paraId="7BA42862" w14:textId="4B18F867" w:rsidR="00715D0F" w:rsidRDefault="00E05BDA" w:rsidP="00715D0F">
      <w:pPr>
        <w:pStyle w:val="13"/>
        <w:ind w:firstLine="482"/>
      </w:pPr>
      <w:r w:rsidRPr="00E05BDA">
        <w:rPr>
          <w:rFonts w:hint="eastAsia"/>
          <w:b/>
          <w:bCs/>
        </w:rPr>
        <w:t xml:space="preserve">第十七条 </w:t>
      </w:r>
      <w:r w:rsidR="00715D0F">
        <w:t>采用收益法评估投资性房地产时，应当根据建筑物的剩余经济寿命年限与土地使用权剩余使用年限等参数，以及法律、行政法规的规定确定收益期限。</w:t>
      </w:r>
    </w:p>
    <w:p w14:paraId="35C23699" w14:textId="05921B26" w:rsidR="00715D0F" w:rsidRDefault="00E05BDA" w:rsidP="00715D0F">
      <w:pPr>
        <w:pStyle w:val="13"/>
        <w:ind w:firstLine="482"/>
      </w:pPr>
      <w:r w:rsidRPr="00E05BDA">
        <w:rPr>
          <w:rFonts w:hint="eastAsia"/>
          <w:b/>
          <w:bCs/>
        </w:rPr>
        <w:t xml:space="preserve">第十八条 </w:t>
      </w:r>
      <w:r w:rsidR="00715D0F">
        <w:t>采用收益法评估投资性房地产时，应当合理确定折现率。折现率应当反映评估基准</w:t>
      </w:r>
      <w:proofErr w:type="gramStart"/>
      <w:r w:rsidR="00715D0F">
        <w:t>日类似</w:t>
      </w:r>
      <w:proofErr w:type="gramEnd"/>
      <w:r w:rsidR="00715D0F">
        <w:t>地区同类投资性房地产平均回报水平和评估对象的特定风险。折现率的口径应当与收益口径保持一致，并考虑租约、租期、租金等因素对折现率选取的影响。</w:t>
      </w:r>
    </w:p>
    <w:p w14:paraId="2B1608D0" w14:textId="34B825ED" w:rsidR="00715D0F" w:rsidRDefault="00E05BDA" w:rsidP="00715D0F">
      <w:pPr>
        <w:pStyle w:val="13"/>
        <w:ind w:firstLine="482"/>
      </w:pPr>
      <w:r w:rsidRPr="00E05BDA">
        <w:rPr>
          <w:b/>
          <w:bCs/>
        </w:rPr>
        <w:t xml:space="preserve">第十九条 </w:t>
      </w:r>
      <w:r w:rsidR="00715D0F">
        <w:t>采用市场法和收益法评估投资性房地产时，评估结论通常包括土地使用</w:t>
      </w:r>
      <w:r w:rsidR="00715D0F">
        <w:rPr>
          <w:rFonts w:hint="eastAsia"/>
        </w:rPr>
        <w:t>权价值。</w:t>
      </w:r>
    </w:p>
    <w:p w14:paraId="075CD833" w14:textId="77777777" w:rsidR="00715D0F" w:rsidRDefault="00715D0F" w:rsidP="00715D0F">
      <w:pPr>
        <w:pStyle w:val="13"/>
      </w:pPr>
      <w:r>
        <w:rPr>
          <w:rFonts w:hint="eastAsia"/>
        </w:rPr>
        <w:t>执行投资性房地产评估业务应当关注已出租的建筑物的会计核算中是否包含建筑物所对应的土地使用权。如果会计核算不包含土地使用权，应当提请企业管理层重新分类，或者在评估结论中扣除土地使用权的价值，并在资产评估报告中进行披露。</w:t>
      </w:r>
    </w:p>
    <w:p w14:paraId="0FDEDEB1" w14:textId="07C3449D" w:rsidR="00715D0F" w:rsidRDefault="00E05BDA" w:rsidP="00715D0F">
      <w:pPr>
        <w:pStyle w:val="13"/>
        <w:ind w:firstLine="482"/>
      </w:pPr>
      <w:r w:rsidRPr="00E05BDA">
        <w:rPr>
          <w:rFonts w:hint="eastAsia"/>
          <w:b/>
          <w:bCs/>
        </w:rPr>
        <w:t xml:space="preserve">第二十条 </w:t>
      </w:r>
      <w:r w:rsidR="00715D0F">
        <w:t>采用市场法和收益法评估投资性房地产时，应当排除特殊交易情况的影响，包括非常规的融资、售后租回、特殊对价或者折让等。</w:t>
      </w:r>
    </w:p>
    <w:p w14:paraId="7411EEAF" w14:textId="288C6FB1" w:rsidR="00715D0F" w:rsidRDefault="00E05BDA" w:rsidP="00715D0F">
      <w:pPr>
        <w:pStyle w:val="13"/>
        <w:ind w:firstLine="482"/>
      </w:pPr>
      <w:r w:rsidRPr="00E05BDA">
        <w:rPr>
          <w:rFonts w:hint="eastAsia"/>
          <w:b/>
          <w:bCs/>
        </w:rPr>
        <w:t xml:space="preserve">第二十一条 </w:t>
      </w:r>
      <w:r w:rsidR="00715D0F">
        <w:t>采用市场法和收益法无法得出投资性房地产公允价值时，可以采用符合会计准则的其他方法。如果仍不能合理得出投资性房地产公允价值，经委托人同意</w:t>
      </w:r>
      <w:r w:rsidR="003C1F46">
        <w:t>，</w:t>
      </w:r>
      <w:r w:rsidR="00715D0F">
        <w:t>还可以采用恰当的方式分析投资性房地产公允价值的区间值，得出价值分析结论，并提醒资产评估报告使用人关注公允价值资产评估结论和价值分析结论的区别。</w:t>
      </w:r>
    </w:p>
    <w:p w14:paraId="6EFEAD3A" w14:textId="77777777" w:rsidR="00715D0F" w:rsidRDefault="00715D0F" w:rsidP="00AF7342">
      <w:pPr>
        <w:pStyle w:val="a9"/>
        <w:spacing w:before="62" w:after="62"/>
      </w:pPr>
      <w:r>
        <w:rPr>
          <w:rFonts w:hint="eastAsia"/>
        </w:rPr>
        <w:t>第五章</w:t>
      </w:r>
      <w:r>
        <w:t xml:space="preserve"> 披露要求</w:t>
      </w:r>
    </w:p>
    <w:p w14:paraId="4B9100B6" w14:textId="775F42B4" w:rsidR="00715D0F" w:rsidRDefault="00E05BDA" w:rsidP="00715D0F">
      <w:pPr>
        <w:pStyle w:val="13"/>
        <w:ind w:firstLine="482"/>
      </w:pPr>
      <w:r w:rsidRPr="00E05BDA">
        <w:rPr>
          <w:rFonts w:hint="eastAsia"/>
          <w:b/>
          <w:bCs/>
        </w:rPr>
        <w:t xml:space="preserve">第二十二条 </w:t>
      </w:r>
      <w:r w:rsidR="00715D0F">
        <w:t>执行投资性房地产评估业务，应当根据《资产评估执业准则—资产评估报告》和《以财务报告为目的的评估指南》编制并由资产评估机构出具资产评估报告，进行恰当披露。</w:t>
      </w:r>
    </w:p>
    <w:p w14:paraId="14D518FE" w14:textId="7B690B3B" w:rsidR="00715D0F" w:rsidRDefault="00E05BDA" w:rsidP="00715D0F">
      <w:pPr>
        <w:pStyle w:val="13"/>
        <w:ind w:firstLine="482"/>
      </w:pPr>
      <w:r w:rsidRPr="00E05BDA">
        <w:rPr>
          <w:rFonts w:hint="eastAsia"/>
          <w:b/>
          <w:bCs/>
        </w:rPr>
        <w:t xml:space="preserve">第二十三条 </w:t>
      </w:r>
      <w:r w:rsidR="00715D0F">
        <w:t>编制投资性房地产评估报告应当披露必要的信息，使资产评估报告使用人，包括企业管理层和执行审计业务的注册会计师等，了解资产评估过程、正确理解和使用评估结论。</w:t>
      </w:r>
    </w:p>
    <w:p w14:paraId="4E2C77B4" w14:textId="1E2DA297" w:rsidR="00715D0F" w:rsidRDefault="00E05BDA" w:rsidP="00715D0F">
      <w:pPr>
        <w:pStyle w:val="13"/>
        <w:ind w:firstLine="482"/>
      </w:pPr>
      <w:r w:rsidRPr="00E05BDA">
        <w:rPr>
          <w:rFonts w:hint="eastAsia"/>
          <w:b/>
          <w:bCs/>
        </w:rPr>
        <w:lastRenderedPageBreak/>
        <w:t xml:space="preserve">第二十四条 </w:t>
      </w:r>
      <w:r w:rsidR="00715D0F">
        <w:t>投资性房地产评估报告中应当重点披露以下内容：</w:t>
      </w:r>
    </w:p>
    <w:p w14:paraId="1AF90D68" w14:textId="77777777" w:rsidR="00715D0F" w:rsidRDefault="00715D0F" w:rsidP="00715D0F">
      <w:pPr>
        <w:pStyle w:val="13"/>
      </w:pPr>
      <w:r>
        <w:rPr>
          <w:rFonts w:hint="eastAsia"/>
        </w:rPr>
        <w:t>（一）评估对象的具体描述，包括总体情况和主要特点等；</w:t>
      </w:r>
    </w:p>
    <w:p w14:paraId="5F842087" w14:textId="77777777" w:rsidR="00715D0F" w:rsidRDefault="00715D0F" w:rsidP="00715D0F">
      <w:pPr>
        <w:pStyle w:val="13"/>
      </w:pPr>
      <w:r>
        <w:rPr>
          <w:rFonts w:hint="eastAsia"/>
        </w:rPr>
        <w:t>（二）评估对象的权属状况、使用状况及租约信息；</w:t>
      </w:r>
    </w:p>
    <w:p w14:paraId="6AE0BB66" w14:textId="77777777" w:rsidR="00715D0F" w:rsidRDefault="00715D0F" w:rsidP="00715D0F">
      <w:pPr>
        <w:pStyle w:val="13"/>
      </w:pPr>
      <w:r>
        <w:rPr>
          <w:rFonts w:hint="eastAsia"/>
        </w:rPr>
        <w:t>（三）价值类型的定义及其与会计准则的对应关系；</w:t>
      </w:r>
    </w:p>
    <w:p w14:paraId="4A822886" w14:textId="77777777" w:rsidR="00715D0F" w:rsidRDefault="00715D0F" w:rsidP="00715D0F">
      <w:pPr>
        <w:pStyle w:val="13"/>
      </w:pPr>
      <w:r>
        <w:rPr>
          <w:rFonts w:hint="eastAsia"/>
        </w:rPr>
        <w:t>（四）评估方法的选择过程和依据，评估方法的具体运用；</w:t>
      </w:r>
    </w:p>
    <w:p w14:paraId="7E5968E1" w14:textId="7FB9A6CB" w:rsidR="00715D0F" w:rsidRDefault="00715D0F" w:rsidP="00715D0F">
      <w:pPr>
        <w:pStyle w:val="13"/>
      </w:pPr>
      <w:r>
        <w:rPr>
          <w:rFonts w:hint="eastAsia"/>
        </w:rPr>
        <w:t>（五）评估假设，主要包括：已签租约是否合法、有效；已签租约是否实际履行</w:t>
      </w:r>
      <w:r w:rsidR="003C1F46">
        <w:rPr>
          <w:rFonts w:hint="eastAsia"/>
        </w:rPr>
        <w:t>，</w:t>
      </w:r>
      <w:r>
        <w:t>是否会改变和无故终止；已出租建筑物的经营业态是否会发生重大改变；</w:t>
      </w:r>
    </w:p>
    <w:p w14:paraId="47197587" w14:textId="77777777" w:rsidR="00715D0F" w:rsidRDefault="00715D0F" w:rsidP="00715D0F">
      <w:pPr>
        <w:pStyle w:val="13"/>
      </w:pPr>
      <w:r>
        <w:rPr>
          <w:rFonts w:hint="eastAsia"/>
        </w:rPr>
        <w:t>（六）关键性评估参数的来源、依据和测算过程等；</w:t>
      </w:r>
    </w:p>
    <w:p w14:paraId="36BE8433" w14:textId="77777777" w:rsidR="00715D0F" w:rsidRDefault="00715D0F" w:rsidP="00715D0F">
      <w:pPr>
        <w:pStyle w:val="13"/>
      </w:pPr>
      <w:r>
        <w:rPr>
          <w:rFonts w:hint="eastAsia"/>
        </w:rPr>
        <w:t>（七）是否存在缺失产权文件等方面的瑕疵或者重大限制。</w:t>
      </w:r>
    </w:p>
    <w:p w14:paraId="45E26F4B" w14:textId="30A18EB7" w:rsidR="00715D0F" w:rsidRDefault="00E05BDA" w:rsidP="00715D0F">
      <w:pPr>
        <w:pStyle w:val="13"/>
        <w:ind w:firstLine="482"/>
      </w:pPr>
      <w:r w:rsidRPr="00E05BDA">
        <w:rPr>
          <w:rFonts w:hint="eastAsia"/>
          <w:b/>
          <w:bCs/>
        </w:rPr>
        <w:t xml:space="preserve">第二十五条 </w:t>
      </w:r>
      <w:r w:rsidR="00715D0F">
        <w:t>当评估对象存在产权瑕疵且该瑕疵事项可能对投资性房地产的公允价值产生重大影响时，应当对该瑕疵事项及其影响进行披露并提请资产评估报告使用人予以关注。</w:t>
      </w:r>
    </w:p>
    <w:p w14:paraId="1AD47720" w14:textId="77777777" w:rsidR="00715D0F" w:rsidRDefault="00715D0F" w:rsidP="00AF7342">
      <w:pPr>
        <w:pStyle w:val="a9"/>
        <w:spacing w:before="62" w:after="62"/>
      </w:pPr>
      <w:r>
        <w:rPr>
          <w:rFonts w:hint="eastAsia"/>
        </w:rPr>
        <w:t>第六章</w:t>
      </w:r>
      <w:r>
        <w:t xml:space="preserve"> 附则</w:t>
      </w:r>
    </w:p>
    <w:p w14:paraId="05350151" w14:textId="67F5AF11" w:rsidR="00715D0F" w:rsidRDefault="00E05BDA" w:rsidP="00715D0F">
      <w:pPr>
        <w:pStyle w:val="13"/>
        <w:ind w:firstLine="482"/>
      </w:pPr>
      <w:r w:rsidRPr="00E05BDA">
        <w:rPr>
          <w:rFonts w:hint="eastAsia"/>
          <w:b/>
        </w:rPr>
        <w:t xml:space="preserve">第二十六条 </w:t>
      </w:r>
      <w:r w:rsidR="00715D0F">
        <w:t>本指导意见自 2017</w:t>
      </w:r>
      <w:r w:rsidR="003068F8">
        <w:t>年</w:t>
      </w:r>
      <w:r w:rsidR="00715D0F">
        <w:t>10</w:t>
      </w:r>
      <w:r w:rsidR="003068F8">
        <w:t>月</w:t>
      </w:r>
      <w:r w:rsidR="00715D0F">
        <w:t>1</w:t>
      </w:r>
      <w:r w:rsidR="003068F8">
        <w:t>日</w:t>
      </w:r>
      <w:r w:rsidR="00715D0F">
        <w:t>起施行。中国资产评估协会于 2009</w:t>
      </w:r>
      <w:r w:rsidR="003068F8">
        <w:t>年</w:t>
      </w:r>
      <w:r w:rsidR="00715D0F">
        <w:t>12</w:t>
      </w:r>
      <w:r w:rsidR="003068F8">
        <w:t>月</w:t>
      </w:r>
      <w:r w:rsidR="00715D0F">
        <w:t>18</w:t>
      </w:r>
      <w:r w:rsidR="003068F8">
        <w:t>日</w:t>
      </w:r>
      <w:r w:rsidR="00715D0F">
        <w:t>发布的《关于印发〈投资性房地产评估指导意见（试行）〉和〈资产评估准则</w:t>
      </w:r>
      <w:r w:rsidR="00715D0F">
        <w:rPr>
          <w:rFonts w:hint="eastAsia"/>
        </w:rPr>
        <w:t>—珠宝首饰〉的通知》（</w:t>
      </w:r>
      <w:proofErr w:type="gramStart"/>
      <w:r w:rsidR="00715D0F">
        <w:rPr>
          <w:rFonts w:hint="eastAsia"/>
        </w:rPr>
        <w:t>中评协</w:t>
      </w:r>
      <w:proofErr w:type="gramEnd"/>
      <w:r w:rsidR="00715D0F">
        <w:rPr>
          <w:rFonts w:hint="eastAsia"/>
        </w:rPr>
        <w:t>〔</w:t>
      </w:r>
      <w:r w:rsidR="00715D0F">
        <w:t>2009〕211号）中的《投资性房地产评估指导意见（试行）》同时废止。</w:t>
      </w:r>
    </w:p>
    <w:p w14:paraId="185FCD18" w14:textId="77777777" w:rsidR="00715D0F" w:rsidRDefault="00715D0F" w:rsidP="00715D0F">
      <w:pPr>
        <w:pStyle w:val="31"/>
        <w:spacing w:before="156" w:after="62"/>
      </w:pPr>
      <w:bookmarkStart w:id="46" w:name="_Toc81833326"/>
      <w:r>
        <w:rPr>
          <w:rFonts w:hint="eastAsia"/>
        </w:rPr>
        <w:t>实物期权评估指导意见（</w:t>
      </w:r>
      <w:proofErr w:type="gramStart"/>
      <w:r>
        <w:rPr>
          <w:rFonts w:hint="eastAsia"/>
        </w:rPr>
        <w:t>中评协</w:t>
      </w:r>
      <w:proofErr w:type="gramEnd"/>
      <w:r>
        <w:rPr>
          <w:rFonts w:hint="eastAsia"/>
        </w:rPr>
        <w:t>〔</w:t>
      </w:r>
      <w:r>
        <w:t>2017〕54号）</w:t>
      </w:r>
      <w:bookmarkEnd w:id="46"/>
    </w:p>
    <w:p w14:paraId="2E4BDF45" w14:textId="77777777" w:rsidR="00715D0F" w:rsidRDefault="00715D0F" w:rsidP="00715D0F">
      <w:pPr>
        <w:pStyle w:val="13"/>
        <w:ind w:firstLineChars="0" w:firstLine="0"/>
      </w:pPr>
      <w:r>
        <w:rPr>
          <w:rFonts w:hint="eastAsia"/>
        </w:rPr>
        <w:t>各省、自治区、直辖市、计划单列市资产评估协会（注册会计师协会）：</w:t>
      </w:r>
    </w:p>
    <w:p w14:paraId="03512FBD" w14:textId="4E1366E8" w:rsidR="00715D0F" w:rsidRDefault="00715D0F" w:rsidP="00715D0F">
      <w:pPr>
        <w:pStyle w:val="13"/>
      </w:pPr>
      <w:r>
        <w:rPr>
          <w:rFonts w:hint="eastAsia"/>
        </w:rPr>
        <w:t>为贯彻落实《资产评估法》，规范资产评估执业行为，保证资产评估执业质量，保护资产评估当事人合法权益和公共利益，在财政部指导下，中国资产评估协会根据《资产评估基本准则》，对《实物期权评估指导意见（试行）》进行了修订，制定了《实物期权评估指导意见》，现予印发，自</w:t>
      </w:r>
      <w:r>
        <w:t xml:space="preserve"> 2017</w:t>
      </w:r>
      <w:r w:rsidR="003068F8">
        <w:t>年</w:t>
      </w:r>
      <w:r>
        <w:t>10</w:t>
      </w:r>
      <w:r w:rsidR="003068F8">
        <w:t>月</w:t>
      </w:r>
      <w:r>
        <w:t>1</w:t>
      </w:r>
      <w:r w:rsidR="003068F8">
        <w:t>日</w:t>
      </w:r>
      <w:r>
        <w:t>起施行。</w:t>
      </w:r>
    </w:p>
    <w:p w14:paraId="5CA11FE1" w14:textId="77777777" w:rsidR="00715D0F" w:rsidRDefault="00715D0F" w:rsidP="00715D0F">
      <w:pPr>
        <w:pStyle w:val="13"/>
      </w:pPr>
      <w:r>
        <w:rPr>
          <w:rFonts w:hint="eastAsia"/>
        </w:rPr>
        <w:t>请各地</w:t>
      </w:r>
      <w:proofErr w:type="gramStart"/>
      <w:r>
        <w:rPr>
          <w:rFonts w:hint="eastAsia"/>
        </w:rPr>
        <w:t>方协会</w:t>
      </w:r>
      <w:proofErr w:type="gramEnd"/>
      <w:r>
        <w:rPr>
          <w:rFonts w:hint="eastAsia"/>
        </w:rPr>
        <w:t>将《实物期权评估指导意见》及时转发资产评估机构，组织资产评估机构和资产评估专业人员进行学习和培训，并将执行过程中发现的问题及时上报中国资产评估协会。</w:t>
      </w:r>
    </w:p>
    <w:p w14:paraId="2C50D9C0" w14:textId="77777777" w:rsidR="00715D0F" w:rsidRDefault="00715D0F" w:rsidP="00715D0F">
      <w:pPr>
        <w:pStyle w:val="13"/>
      </w:pPr>
      <w:r>
        <w:rPr>
          <w:rFonts w:hint="eastAsia"/>
        </w:rPr>
        <w:t>附件：《实物期权评估指导意见》</w:t>
      </w:r>
    </w:p>
    <w:p w14:paraId="34BE7185" w14:textId="77777777" w:rsidR="00715D0F" w:rsidRDefault="00715D0F" w:rsidP="00715D0F">
      <w:pPr>
        <w:pStyle w:val="13"/>
        <w:jc w:val="right"/>
      </w:pPr>
      <w:r>
        <w:rPr>
          <w:rFonts w:hint="eastAsia"/>
        </w:rPr>
        <w:t>中国资产评估协会</w:t>
      </w:r>
    </w:p>
    <w:p w14:paraId="0915BBD5" w14:textId="46975038" w:rsidR="00715D0F" w:rsidRDefault="00715D0F" w:rsidP="00715D0F">
      <w:pPr>
        <w:pStyle w:val="13"/>
        <w:jc w:val="right"/>
      </w:pPr>
      <w:r>
        <w:t>2017</w:t>
      </w:r>
      <w:r w:rsidR="003068F8">
        <w:t>年</w:t>
      </w:r>
      <w:r>
        <w:t>9</w:t>
      </w:r>
      <w:r w:rsidR="003068F8">
        <w:t>月</w:t>
      </w:r>
      <w:r>
        <w:t>8</w:t>
      </w:r>
      <w:r w:rsidR="003068F8">
        <w:t>日</w:t>
      </w:r>
    </w:p>
    <w:p w14:paraId="4757C0D9" w14:textId="77777777" w:rsidR="00715D0F" w:rsidRDefault="00715D0F" w:rsidP="00AF7342">
      <w:pPr>
        <w:pStyle w:val="a9"/>
        <w:spacing w:before="62" w:after="62"/>
      </w:pPr>
      <w:r>
        <w:rPr>
          <w:rFonts w:hint="eastAsia"/>
        </w:rPr>
        <w:t>实物期权评估指导意见</w:t>
      </w:r>
    </w:p>
    <w:p w14:paraId="0C8E11A3" w14:textId="77777777" w:rsidR="00715D0F" w:rsidRDefault="00715D0F" w:rsidP="00AF7342">
      <w:pPr>
        <w:pStyle w:val="a9"/>
        <w:spacing w:before="62" w:after="62"/>
      </w:pPr>
      <w:r>
        <w:rPr>
          <w:rFonts w:hint="eastAsia"/>
        </w:rPr>
        <w:t>第一章</w:t>
      </w:r>
      <w:r>
        <w:t xml:space="preserve"> 总则</w:t>
      </w:r>
    </w:p>
    <w:p w14:paraId="414754A9" w14:textId="4BD259A7" w:rsidR="00715D0F" w:rsidRDefault="004E3EBB" w:rsidP="00715D0F">
      <w:pPr>
        <w:pStyle w:val="13"/>
        <w:ind w:firstLine="482"/>
      </w:pPr>
      <w:r w:rsidRPr="004E3EBB">
        <w:rPr>
          <w:rFonts w:hint="eastAsia"/>
          <w:b/>
          <w:bCs/>
        </w:rPr>
        <w:t xml:space="preserve">第一条 </w:t>
      </w:r>
      <w:r w:rsidR="00715D0F">
        <w:t>为规范实物期权评估行为，保护资产评估当事人合法权益和公共利益，根据《资产评估基本准则》制定本指导意见。</w:t>
      </w:r>
    </w:p>
    <w:p w14:paraId="6887A4F1" w14:textId="77072D7C" w:rsidR="00715D0F" w:rsidRDefault="004E3EBB" w:rsidP="00715D0F">
      <w:pPr>
        <w:pStyle w:val="13"/>
        <w:ind w:firstLine="482"/>
      </w:pPr>
      <w:r w:rsidRPr="004E3EBB">
        <w:rPr>
          <w:rFonts w:hint="eastAsia"/>
          <w:b/>
          <w:bCs/>
        </w:rPr>
        <w:lastRenderedPageBreak/>
        <w:t xml:space="preserve">第二条 </w:t>
      </w:r>
      <w:r w:rsidR="00715D0F">
        <w:t>本指导意见所称实物期权，是指附着于企业整体资产或者单项资产上的非人为设计的选择权，即指现实中存在的发展或者增长机会、收缩或者退出机会等。相应企业或者资产的实际控制人在未来可以执行这种选择权，并且预期通过执行这种选择权能带来经济利益。</w:t>
      </w:r>
    </w:p>
    <w:p w14:paraId="36CFB1AE" w14:textId="09321835" w:rsidR="00715D0F" w:rsidRDefault="004E3EBB" w:rsidP="00715D0F">
      <w:pPr>
        <w:pStyle w:val="13"/>
        <w:ind w:firstLine="482"/>
      </w:pPr>
      <w:r w:rsidRPr="004E3EBB">
        <w:rPr>
          <w:rFonts w:hint="eastAsia"/>
          <w:b/>
          <w:bCs/>
        </w:rPr>
        <w:t xml:space="preserve">第三条 </w:t>
      </w:r>
      <w:r w:rsidR="00715D0F">
        <w:t>本指导意见所称实物期权评估，是指资产评估机构及其资产评估专业人员遵守法律、行政法规和资产评估准则，根据委托对评估基准日特定目的下附着于企业整体资产或者单项资产上的实物期权进行识别、评定、估算，并出具资产评估报告的专业服务行为。</w:t>
      </w:r>
    </w:p>
    <w:p w14:paraId="58E02AEA" w14:textId="6B8C04B7" w:rsidR="00715D0F" w:rsidRDefault="004E3EBB" w:rsidP="00715D0F">
      <w:pPr>
        <w:pStyle w:val="13"/>
        <w:ind w:firstLine="482"/>
      </w:pPr>
      <w:r w:rsidRPr="004E3EBB">
        <w:rPr>
          <w:rFonts w:hint="eastAsia"/>
          <w:b/>
          <w:bCs/>
        </w:rPr>
        <w:t xml:space="preserve">第四条 </w:t>
      </w:r>
      <w:r w:rsidR="00715D0F">
        <w:t>企业整体资产或者单项资产可能会附带一种或者多种实物期权。当资产中附带的实物期权经初步判断其价值可以忽视时，可以不评估该实物期权的价值。</w:t>
      </w:r>
    </w:p>
    <w:p w14:paraId="2ADB3085" w14:textId="72B46168" w:rsidR="00715D0F" w:rsidRDefault="004E3EBB" w:rsidP="00715D0F">
      <w:pPr>
        <w:pStyle w:val="13"/>
        <w:ind w:firstLine="482"/>
      </w:pPr>
      <w:r w:rsidRPr="004E3EBB">
        <w:rPr>
          <w:rFonts w:hint="eastAsia"/>
          <w:b/>
          <w:bCs/>
        </w:rPr>
        <w:t xml:space="preserve">第五条 </w:t>
      </w:r>
      <w:r w:rsidR="00715D0F">
        <w:t>执行涉及实物期权评估的业务，应当遵守本指导意见。</w:t>
      </w:r>
    </w:p>
    <w:p w14:paraId="35E12C2B" w14:textId="77777777" w:rsidR="00715D0F" w:rsidRDefault="00715D0F" w:rsidP="00AF7342">
      <w:pPr>
        <w:pStyle w:val="a9"/>
        <w:spacing w:before="62" w:after="62"/>
      </w:pPr>
      <w:r>
        <w:rPr>
          <w:rFonts w:hint="eastAsia"/>
        </w:rPr>
        <w:t>第二章</w:t>
      </w:r>
      <w:r>
        <w:t xml:space="preserve"> 基本遵循</w:t>
      </w:r>
    </w:p>
    <w:p w14:paraId="1A683CE6" w14:textId="4F1F31AE" w:rsidR="00715D0F" w:rsidRDefault="004E3EBB" w:rsidP="00715D0F">
      <w:pPr>
        <w:pStyle w:val="13"/>
        <w:ind w:firstLine="482"/>
      </w:pPr>
      <w:r w:rsidRPr="004E3EBB">
        <w:rPr>
          <w:rFonts w:hint="eastAsia"/>
          <w:b/>
          <w:bCs/>
        </w:rPr>
        <w:t xml:space="preserve">第六条 </w:t>
      </w:r>
      <w:r w:rsidR="00715D0F">
        <w:t>执行涉及实物期权评估的业务，应当掌握期权定价理论知识，具备实物期权评估的专业知识，具有实物期权评估的专业能力。</w:t>
      </w:r>
    </w:p>
    <w:p w14:paraId="0C44CB63" w14:textId="48026B7D" w:rsidR="00715D0F" w:rsidRDefault="004E3EBB" w:rsidP="00715D0F">
      <w:pPr>
        <w:pStyle w:val="13"/>
        <w:ind w:firstLine="482"/>
      </w:pPr>
      <w:r w:rsidRPr="004E3EBB">
        <w:rPr>
          <w:rFonts w:hint="eastAsia"/>
          <w:b/>
          <w:bCs/>
        </w:rPr>
        <w:t xml:space="preserve">第七条 </w:t>
      </w:r>
      <w:r w:rsidR="00715D0F">
        <w:t>实物期权的价值依附于相应资产，资产评估专业人员进行实物期权价值评</w:t>
      </w:r>
      <w:r w:rsidR="00715D0F">
        <w:rPr>
          <w:rFonts w:hint="eastAsia"/>
        </w:rPr>
        <w:t>估，应当根据评估目的和评估对象的具体情况选择恰当的价值类型。</w:t>
      </w:r>
    </w:p>
    <w:p w14:paraId="463B56C0" w14:textId="353773A0" w:rsidR="00715D0F" w:rsidRDefault="004E3EBB" w:rsidP="00715D0F">
      <w:pPr>
        <w:pStyle w:val="13"/>
        <w:ind w:firstLine="482"/>
      </w:pPr>
      <w:r w:rsidRPr="004E3EBB">
        <w:rPr>
          <w:rFonts w:hint="eastAsia"/>
          <w:b/>
          <w:bCs/>
        </w:rPr>
        <w:t xml:space="preserve">第八条 </w:t>
      </w:r>
      <w:r w:rsidR="00715D0F">
        <w:t>执行涉及实物期权评估的业务，应当坚持独立、客观、公正的原则，尽可能获取充分、可靠的信息，并基于信息进行审慎分析、估算和形成专业意见。</w:t>
      </w:r>
    </w:p>
    <w:p w14:paraId="6D7BF005" w14:textId="6E2E57BD" w:rsidR="00715D0F" w:rsidRDefault="00E05BDA" w:rsidP="00715D0F">
      <w:pPr>
        <w:pStyle w:val="13"/>
        <w:ind w:firstLine="482"/>
      </w:pPr>
      <w:r w:rsidRPr="00E05BDA">
        <w:rPr>
          <w:rFonts w:hint="eastAsia"/>
          <w:b/>
          <w:bCs/>
        </w:rPr>
        <w:t xml:space="preserve">第九条 </w:t>
      </w:r>
      <w:r w:rsidR="00715D0F">
        <w:t>执行涉及实物期权评估的业务，应当合理使用评估假设和限制条件，理解并恰当运用期权价值评估的程序和方法，形成评估结论。</w:t>
      </w:r>
    </w:p>
    <w:p w14:paraId="46B3DBB7" w14:textId="37FFE5C1" w:rsidR="00715D0F" w:rsidRDefault="00E05BDA" w:rsidP="00715D0F">
      <w:pPr>
        <w:pStyle w:val="13"/>
        <w:ind w:firstLine="482"/>
      </w:pPr>
      <w:r w:rsidRPr="00E05BDA">
        <w:rPr>
          <w:rFonts w:hint="eastAsia"/>
          <w:b/>
          <w:bCs/>
        </w:rPr>
        <w:t xml:space="preserve">第十条 </w:t>
      </w:r>
      <w:r w:rsidR="00715D0F">
        <w:t>需要评估实物期权时，应当在资产评估委托合同中予以明确。委托人或者被评估单位应当提供实物期权评估的相关资料，并对资料的真实性、完整性、合法性负责。</w:t>
      </w:r>
    </w:p>
    <w:p w14:paraId="7D00C488" w14:textId="77777777" w:rsidR="00715D0F" w:rsidRDefault="00715D0F" w:rsidP="00AF7342">
      <w:pPr>
        <w:pStyle w:val="a9"/>
        <w:spacing w:before="62" w:after="62"/>
      </w:pPr>
      <w:r>
        <w:rPr>
          <w:rFonts w:hint="eastAsia"/>
        </w:rPr>
        <w:t>第三章</w:t>
      </w:r>
      <w:r>
        <w:t xml:space="preserve"> 评估对象</w:t>
      </w:r>
    </w:p>
    <w:p w14:paraId="2180996F" w14:textId="40FC9326" w:rsidR="00715D0F" w:rsidRDefault="00E05BDA" w:rsidP="00715D0F">
      <w:pPr>
        <w:pStyle w:val="13"/>
        <w:ind w:firstLine="482"/>
      </w:pPr>
      <w:r w:rsidRPr="00E05BDA">
        <w:rPr>
          <w:rFonts w:hint="eastAsia"/>
          <w:b/>
          <w:bCs/>
        </w:rPr>
        <w:t xml:space="preserve">第十一条 </w:t>
      </w:r>
      <w:r w:rsidR="00715D0F">
        <w:t>执行涉及实物期权评估的业务涉及的实物期权主要包括增长期权和退出期权等。</w:t>
      </w:r>
    </w:p>
    <w:p w14:paraId="5D8AECE5" w14:textId="1184FB53" w:rsidR="00715D0F" w:rsidRDefault="00E05BDA" w:rsidP="00715D0F">
      <w:pPr>
        <w:pStyle w:val="13"/>
        <w:ind w:firstLine="482"/>
      </w:pPr>
      <w:r w:rsidRPr="00E05BDA">
        <w:rPr>
          <w:rFonts w:hint="eastAsia"/>
          <w:b/>
          <w:bCs/>
        </w:rPr>
        <w:t xml:space="preserve">第十二条 </w:t>
      </w:r>
      <w:r w:rsidR="00715D0F">
        <w:t>增长期权是指在现有基础上增加投资或者资产，从而可以扩大业务规模或者扩展经营范围的期权。</w:t>
      </w:r>
    </w:p>
    <w:p w14:paraId="35AF0886" w14:textId="51C9114D" w:rsidR="00715D0F" w:rsidRDefault="00E05BDA" w:rsidP="00715D0F">
      <w:pPr>
        <w:pStyle w:val="13"/>
        <w:ind w:firstLine="482"/>
      </w:pPr>
      <w:r w:rsidRPr="00E05BDA">
        <w:rPr>
          <w:rFonts w:hint="eastAsia"/>
          <w:b/>
          <w:bCs/>
        </w:rPr>
        <w:t xml:space="preserve">第十三条 </w:t>
      </w:r>
      <w:r w:rsidR="00715D0F">
        <w:t>退出期权是指在前景不好的情况下，可以按照合理价格部分或者全部变现资产，或者低成本地改变资产用途，从而收缩业务规模或者范围以至退出经营的期权。</w:t>
      </w:r>
    </w:p>
    <w:p w14:paraId="16E6D5C6" w14:textId="77777777" w:rsidR="00715D0F" w:rsidRDefault="00715D0F" w:rsidP="00AF7342">
      <w:pPr>
        <w:pStyle w:val="a9"/>
        <w:spacing w:before="62" w:after="62"/>
      </w:pPr>
      <w:r>
        <w:rPr>
          <w:rFonts w:hint="eastAsia"/>
        </w:rPr>
        <w:t>第四章</w:t>
      </w:r>
      <w:r>
        <w:t xml:space="preserve"> 操作要求</w:t>
      </w:r>
    </w:p>
    <w:p w14:paraId="30A3BF48" w14:textId="50C809F2" w:rsidR="00715D0F" w:rsidRDefault="00E05BDA" w:rsidP="00715D0F">
      <w:pPr>
        <w:pStyle w:val="13"/>
        <w:ind w:firstLine="482"/>
      </w:pPr>
      <w:r w:rsidRPr="00E05BDA">
        <w:rPr>
          <w:rFonts w:hint="eastAsia"/>
          <w:b/>
          <w:bCs/>
        </w:rPr>
        <w:t xml:space="preserve">第十四条 </w:t>
      </w:r>
      <w:r w:rsidR="00715D0F">
        <w:t>资产评估专业人员评估实物期权，应当按照识别期权、判断条件、估</w:t>
      </w:r>
      <w:r w:rsidR="00715D0F">
        <w:lastRenderedPageBreak/>
        <w:t>计参数、估算价值四个步骤进行。</w:t>
      </w:r>
    </w:p>
    <w:p w14:paraId="14EE0965" w14:textId="0B9B826B" w:rsidR="00715D0F" w:rsidRDefault="00E05BDA" w:rsidP="00715D0F">
      <w:pPr>
        <w:pStyle w:val="13"/>
        <w:ind w:firstLine="482"/>
      </w:pPr>
      <w:r w:rsidRPr="00E05BDA">
        <w:rPr>
          <w:rFonts w:hint="eastAsia"/>
          <w:b/>
          <w:bCs/>
        </w:rPr>
        <w:t xml:space="preserve">第十五条 </w:t>
      </w:r>
      <w:r w:rsidR="00715D0F">
        <w:t>资产评估专业人员评估企业整体或者单项资产附带的实物期权，应当全面了解有关资产的情况以及资产未来使用前景和机会，识别不可忽视的实物期权，明确实物期权的标的资产、期权种类、行权价格、行权期限等。</w:t>
      </w:r>
    </w:p>
    <w:p w14:paraId="0AEB322C" w14:textId="6DE4F7C3" w:rsidR="00715D0F" w:rsidRDefault="00E05BDA" w:rsidP="00715D0F">
      <w:pPr>
        <w:pStyle w:val="13"/>
        <w:ind w:firstLine="482"/>
      </w:pPr>
      <w:r w:rsidRPr="00E05BDA">
        <w:rPr>
          <w:rFonts w:hint="eastAsia"/>
          <w:b/>
          <w:bCs/>
        </w:rPr>
        <w:t xml:space="preserve">第十六条 </w:t>
      </w:r>
      <w:r w:rsidR="00715D0F">
        <w:t>执行涉及实物期权评估的业务，应当根据有关参数所需信息的可获取性和可靠性，判断是否具备评估条件。不具备实物期权评估条件时，应当终止实物期权评估。</w:t>
      </w:r>
    </w:p>
    <w:p w14:paraId="7BF08A96" w14:textId="1589CB48" w:rsidR="00715D0F" w:rsidRDefault="00E05BDA" w:rsidP="00715D0F">
      <w:pPr>
        <w:pStyle w:val="13"/>
        <w:ind w:firstLine="482"/>
      </w:pPr>
      <w:r w:rsidRPr="00E05BDA">
        <w:rPr>
          <w:rFonts w:hint="eastAsia"/>
          <w:b/>
          <w:bCs/>
        </w:rPr>
        <w:t xml:space="preserve">第十七条 </w:t>
      </w:r>
      <w:r w:rsidR="00715D0F">
        <w:t>实物期权评估中的参数通常包括标的资产的评估基准日价值、波动率、行权价格、行权期限和无风险收益率等。</w:t>
      </w:r>
    </w:p>
    <w:p w14:paraId="3E150EDD" w14:textId="2D2BC9AD" w:rsidR="00715D0F" w:rsidRDefault="00715D0F" w:rsidP="00715D0F">
      <w:pPr>
        <w:pStyle w:val="13"/>
      </w:pPr>
      <w:r>
        <w:rPr>
          <w:rFonts w:hint="eastAsia"/>
        </w:rPr>
        <w:t>标的资产即实物期权所对应的基础资产。增长期权是买方期权，其标的资产是当前资产带来的潜在业务或者项目；退出期权是卖方期权，其标的资产是实物期权所依附的当前资产。</w:t>
      </w:r>
    </w:p>
    <w:p w14:paraId="48E80C53" w14:textId="77777777" w:rsidR="00715D0F" w:rsidRDefault="00715D0F" w:rsidP="00715D0F">
      <w:pPr>
        <w:pStyle w:val="13"/>
      </w:pPr>
      <w:r>
        <w:rPr>
          <w:rFonts w:hint="eastAsia"/>
        </w:rPr>
        <w:t>波动率是指预期标的资产收益率的标准差。波动率可以通过类比风险相近资产的波动率确定，也可以根据标的资产以往价格相对变动情况估计出历史波动率，再根据未来风险变化情况进行调整确定。</w:t>
      </w:r>
    </w:p>
    <w:p w14:paraId="092DB668" w14:textId="77777777" w:rsidR="00715D0F" w:rsidRDefault="00715D0F" w:rsidP="00715D0F">
      <w:pPr>
        <w:pStyle w:val="13"/>
      </w:pPr>
      <w:r>
        <w:rPr>
          <w:rFonts w:hint="eastAsia"/>
        </w:rPr>
        <w:t>行权价格是指实物期权行权时，买进或者卖出标的资产支付或者获得的金额。增长期权的行权价格是形成标的资产所需要的投资金额。退出期权的行权价格是标的资产在未来行权时间可以卖出的价格，或者在可以转换用途情况下，标的资产在行权时间的价值。</w:t>
      </w:r>
    </w:p>
    <w:p w14:paraId="39BB56A0" w14:textId="77777777" w:rsidR="00715D0F" w:rsidRDefault="00715D0F" w:rsidP="00715D0F">
      <w:pPr>
        <w:pStyle w:val="13"/>
      </w:pPr>
      <w:r>
        <w:rPr>
          <w:rFonts w:hint="eastAsia"/>
        </w:rPr>
        <w:t>行权期限是指评估基准日至实物期权行权时间之间的时间长度。实物期权通常没有准确的行权期限，可以按照预计的最佳行权时间估计行权期限。</w:t>
      </w:r>
    </w:p>
    <w:p w14:paraId="62F6FD5B" w14:textId="77777777" w:rsidR="00715D0F" w:rsidRDefault="00715D0F" w:rsidP="00715D0F">
      <w:pPr>
        <w:pStyle w:val="13"/>
      </w:pPr>
      <w:r>
        <w:rPr>
          <w:rFonts w:hint="eastAsia"/>
        </w:rPr>
        <w:t>无风险收益率是指不存在违约风险的收益率，可以参照剩余期限与实物期权行权期限相同或者相近的国债到期收益率确定。</w:t>
      </w:r>
    </w:p>
    <w:p w14:paraId="386285F8" w14:textId="1075A84B" w:rsidR="00715D0F" w:rsidRDefault="00E05BDA" w:rsidP="00715D0F">
      <w:pPr>
        <w:pStyle w:val="13"/>
        <w:ind w:firstLine="482"/>
      </w:pPr>
      <w:r w:rsidRPr="00E05BDA">
        <w:rPr>
          <w:rFonts w:hint="eastAsia"/>
          <w:b/>
          <w:bCs/>
        </w:rPr>
        <w:t xml:space="preserve">第十八条 </w:t>
      </w:r>
      <w:r w:rsidR="00715D0F">
        <w:t>执行涉及实物期权评估的业务，应当根据实物期权的类型，选择适当的期权定价模型，常用的期权定价模型包括布</w:t>
      </w:r>
      <w:proofErr w:type="gramStart"/>
      <w:r w:rsidR="00715D0F">
        <w:t>莱</w:t>
      </w:r>
      <w:proofErr w:type="gramEnd"/>
      <w:r w:rsidR="00715D0F">
        <w:t>克-舒尔斯模型、二项树模型等。对测算出的实物期权价值，应当进行必要的合理性检验。</w:t>
      </w:r>
    </w:p>
    <w:p w14:paraId="36BA42E0" w14:textId="77777777" w:rsidR="00715D0F" w:rsidRDefault="00715D0F" w:rsidP="00AF7342">
      <w:pPr>
        <w:pStyle w:val="a9"/>
        <w:spacing w:before="62" w:after="62"/>
      </w:pPr>
      <w:r>
        <w:rPr>
          <w:rFonts w:hint="eastAsia"/>
        </w:rPr>
        <w:t>第五章</w:t>
      </w:r>
      <w:r>
        <w:t xml:space="preserve"> 披露要求</w:t>
      </w:r>
    </w:p>
    <w:p w14:paraId="22A465AA" w14:textId="1A1AFA05" w:rsidR="00715D0F" w:rsidRDefault="00E05BDA" w:rsidP="00715D0F">
      <w:pPr>
        <w:pStyle w:val="13"/>
        <w:ind w:firstLine="482"/>
      </w:pPr>
      <w:r w:rsidRPr="00E05BDA">
        <w:rPr>
          <w:rFonts w:hint="eastAsia"/>
          <w:b/>
          <w:bCs/>
        </w:rPr>
        <w:t xml:space="preserve">第十九条 </w:t>
      </w:r>
      <w:r w:rsidR="00715D0F">
        <w:t>执行有关资产评估业务涉及实物期权评估，应当在资产评估报告中予以披露。</w:t>
      </w:r>
    </w:p>
    <w:p w14:paraId="17DCFFE1" w14:textId="54AC31CC" w:rsidR="00715D0F" w:rsidRDefault="00E05BDA" w:rsidP="00715D0F">
      <w:pPr>
        <w:pStyle w:val="13"/>
        <w:ind w:firstLine="482"/>
      </w:pPr>
      <w:r w:rsidRPr="00E05BDA">
        <w:rPr>
          <w:rFonts w:hint="eastAsia"/>
          <w:b/>
          <w:bCs/>
        </w:rPr>
        <w:t xml:space="preserve">第二十条 </w:t>
      </w:r>
      <w:r w:rsidR="00715D0F">
        <w:t>资产评估专业人员编制涉及实物期权评估的资产评估报告，除了符合《资产评估执业准则—资产评估报告》的披露要求外，还应当披露实物期权的种类、标的资产、行权期限、选择的评估方法和模型，以及实物期权评估结论等。</w:t>
      </w:r>
    </w:p>
    <w:p w14:paraId="14511B68" w14:textId="20FC759F" w:rsidR="00715D0F" w:rsidRDefault="00E05BDA" w:rsidP="00715D0F">
      <w:pPr>
        <w:pStyle w:val="13"/>
        <w:ind w:firstLine="482"/>
      </w:pPr>
      <w:r w:rsidRPr="00E05BDA">
        <w:rPr>
          <w:rFonts w:hint="eastAsia"/>
          <w:b/>
          <w:bCs/>
        </w:rPr>
        <w:t xml:space="preserve">第二十一条 </w:t>
      </w:r>
      <w:r w:rsidR="00715D0F">
        <w:t>执行涉及实物期权评估的业务，应当在资产评估报告中对实物期权的或有资产属性给予必要的提醒。</w:t>
      </w:r>
    </w:p>
    <w:p w14:paraId="06950EE5" w14:textId="77777777" w:rsidR="00715D0F" w:rsidRDefault="00715D0F" w:rsidP="00AF7342">
      <w:pPr>
        <w:pStyle w:val="a9"/>
        <w:spacing w:before="62" w:after="62"/>
      </w:pPr>
      <w:r>
        <w:rPr>
          <w:rFonts w:hint="eastAsia"/>
        </w:rPr>
        <w:lastRenderedPageBreak/>
        <w:t>第六章</w:t>
      </w:r>
      <w:r>
        <w:t xml:space="preserve"> 附则</w:t>
      </w:r>
    </w:p>
    <w:p w14:paraId="6C2D1B8B" w14:textId="29CA8EBE" w:rsidR="00715D0F" w:rsidRDefault="00E05BDA" w:rsidP="00715D0F">
      <w:pPr>
        <w:pStyle w:val="13"/>
        <w:ind w:firstLine="482"/>
      </w:pPr>
      <w:r w:rsidRPr="00E05BDA">
        <w:rPr>
          <w:rFonts w:hint="eastAsia"/>
          <w:b/>
        </w:rPr>
        <w:t xml:space="preserve">第二十二条 </w:t>
      </w:r>
      <w:r w:rsidR="00715D0F">
        <w:t>本指导意见自 2017</w:t>
      </w:r>
      <w:r w:rsidR="003068F8">
        <w:t>年</w:t>
      </w:r>
      <w:r w:rsidR="00715D0F">
        <w:t>10</w:t>
      </w:r>
      <w:r w:rsidR="003068F8">
        <w:t>月</w:t>
      </w:r>
      <w:r w:rsidR="00715D0F">
        <w:t>1</w:t>
      </w:r>
      <w:r w:rsidR="003068F8">
        <w:t>日</w:t>
      </w:r>
      <w:r w:rsidR="00715D0F">
        <w:t>起施行。中国资产评估协会于 2011</w:t>
      </w:r>
      <w:r w:rsidR="003068F8">
        <w:t>年</w:t>
      </w:r>
      <w:r w:rsidR="00715D0F">
        <w:t>12</w:t>
      </w:r>
      <w:r w:rsidR="003068F8">
        <w:t>月</w:t>
      </w:r>
      <w:r w:rsidR="00715D0F">
        <w:t>30</w:t>
      </w:r>
      <w:r w:rsidR="003068F8">
        <w:t>日</w:t>
      </w:r>
      <w:r w:rsidR="00715D0F">
        <w:t>发布的《关于印发〈实物期权评估指导意见（试行）〉的通知》（</w:t>
      </w:r>
      <w:proofErr w:type="gramStart"/>
      <w:r w:rsidR="00715D0F">
        <w:t>中评协</w:t>
      </w:r>
      <w:proofErr w:type="gramEnd"/>
      <w:r w:rsidR="00715D0F">
        <w:t>〔2011〕229号）同时废止。</w:t>
      </w:r>
    </w:p>
    <w:p w14:paraId="4F8CED36" w14:textId="77777777" w:rsidR="00715D0F" w:rsidRDefault="00715D0F" w:rsidP="00715D0F">
      <w:pPr>
        <w:pStyle w:val="13"/>
      </w:pPr>
      <w:r>
        <w:rPr>
          <w:rFonts w:hint="eastAsia"/>
        </w:rPr>
        <w:t>附：</w:t>
      </w:r>
      <w:r>
        <w:t>1、常见的实物期权（供参考）</w:t>
      </w:r>
    </w:p>
    <w:p w14:paraId="6C75219B" w14:textId="77777777" w:rsidR="00715D0F" w:rsidRDefault="00715D0F" w:rsidP="00715D0F">
      <w:pPr>
        <w:pStyle w:val="13"/>
      </w:pPr>
      <w:r>
        <w:t>2、常用的期权定价模型（供参考）</w:t>
      </w:r>
    </w:p>
    <w:p w14:paraId="64973436" w14:textId="77777777" w:rsidR="00715D0F" w:rsidRDefault="00715D0F" w:rsidP="00715D0F">
      <w:pPr>
        <w:pStyle w:val="13"/>
      </w:pPr>
      <w:r>
        <w:t>3、评估结论的合理性检验（供参考）</w:t>
      </w:r>
    </w:p>
    <w:p w14:paraId="32A14A21" w14:textId="77777777" w:rsidR="00715D0F" w:rsidRPr="00715D0F" w:rsidRDefault="00715D0F" w:rsidP="00715D0F">
      <w:pPr>
        <w:pStyle w:val="13"/>
        <w:ind w:firstLineChars="0" w:firstLine="0"/>
        <w:jc w:val="left"/>
        <w:rPr>
          <w:b/>
          <w:bCs/>
        </w:rPr>
      </w:pPr>
      <w:r w:rsidRPr="00715D0F">
        <w:rPr>
          <w:rFonts w:hint="eastAsia"/>
          <w:b/>
          <w:bCs/>
        </w:rPr>
        <w:t>附</w:t>
      </w:r>
      <w:r w:rsidRPr="00715D0F">
        <w:rPr>
          <w:b/>
          <w:bCs/>
        </w:rPr>
        <w:t xml:space="preserve"> 1</w:t>
      </w:r>
    </w:p>
    <w:p w14:paraId="49ADECBF" w14:textId="77777777" w:rsidR="00715D0F" w:rsidRDefault="00715D0F" w:rsidP="00AF7342">
      <w:pPr>
        <w:pStyle w:val="a9"/>
        <w:spacing w:before="62" w:after="62"/>
      </w:pPr>
      <w:r>
        <w:rPr>
          <w:rFonts w:hint="eastAsia"/>
        </w:rPr>
        <w:t>常见的实物期权</w:t>
      </w:r>
    </w:p>
    <w:p w14:paraId="70A5A1B0" w14:textId="4F389B62" w:rsidR="00715D0F" w:rsidRDefault="00715D0F" w:rsidP="00715D0F">
      <w:pPr>
        <w:pStyle w:val="13"/>
        <w:jc w:val="center"/>
      </w:pPr>
      <w:r>
        <w:rPr>
          <w:rFonts w:hint="eastAsia"/>
        </w:rPr>
        <w:t>（供参考）</w:t>
      </w:r>
    </w:p>
    <w:p w14:paraId="25DC8A0B" w14:textId="145C43E3" w:rsidR="00715D0F" w:rsidRDefault="00715D0F" w:rsidP="00715D0F">
      <w:pPr>
        <w:pStyle w:val="13"/>
      </w:pPr>
      <w:r>
        <w:rPr>
          <w:rFonts w:hint="eastAsia"/>
        </w:rPr>
        <w:t>对实物期权可以从不同角度进行分类。资产评估专业人员在执行资产评估业务时，</w:t>
      </w:r>
      <w:r>
        <w:t>可能涉及到的实物期权主要包括增长期权和退出期权等。</w:t>
      </w:r>
    </w:p>
    <w:p w14:paraId="18A87FE5" w14:textId="77777777" w:rsidR="00715D0F" w:rsidRDefault="00715D0F" w:rsidP="00715D0F">
      <w:pPr>
        <w:pStyle w:val="13"/>
      </w:pPr>
      <w:r>
        <w:rPr>
          <w:rFonts w:hint="eastAsia"/>
        </w:rPr>
        <w:t>增长期权是在现有基础上增加投资和资产，从而扩大业务规模或者扩展经营范围的期权。常见的增长期权包括实业项目进行追加投资的期权，分阶段投资或者战略进入下一个阶段的期权，利用原有有形和无形资产扩大经营规模或者增加新产品、新业务的期权，文化艺术品以及影视作品开发实物衍生产品或者演绎作品的期权等。</w:t>
      </w:r>
    </w:p>
    <w:p w14:paraId="133F3B00" w14:textId="77777777" w:rsidR="00715D0F" w:rsidRDefault="00715D0F" w:rsidP="00715D0F">
      <w:pPr>
        <w:pStyle w:val="13"/>
      </w:pPr>
      <w:r>
        <w:rPr>
          <w:rFonts w:hint="eastAsia"/>
        </w:rPr>
        <w:t>退出期权指在前景不好的情况下，可以按照合理价格即没有明显损失地部分或者全部变卖资产，或者低成本地改变资产用途，从而收缩业务规模或者范围以至退出经营的期权。常见的退出期权包括房地产类资产按接近或者超过购置成本的价格转让，制造业中的通用设备根据业务前景而改变用途，股权投资约定退出条款等形成的期权。</w:t>
      </w:r>
    </w:p>
    <w:p w14:paraId="7BC73B6C" w14:textId="77777777" w:rsidR="00715D0F" w:rsidRDefault="00715D0F" w:rsidP="00715D0F">
      <w:pPr>
        <w:pStyle w:val="13"/>
      </w:pPr>
      <w:r>
        <w:rPr>
          <w:rFonts w:hint="eastAsia"/>
        </w:rPr>
        <w:t>现实中的企业整体与单项资产可能附带一些实物期权。实物期权的价值评估较为复杂，为平衡评估工作量与评估结论的准确性和稳健性，应当从可能发现的实物期权中选出不可忽视的实物期权加以评估。</w:t>
      </w:r>
    </w:p>
    <w:p w14:paraId="253FA8EE" w14:textId="77777777" w:rsidR="00715D0F" w:rsidRDefault="00715D0F" w:rsidP="00715D0F">
      <w:pPr>
        <w:pStyle w:val="13"/>
      </w:pPr>
      <w:r>
        <w:rPr>
          <w:rFonts w:hint="eastAsia"/>
        </w:rPr>
        <w:t>不可忽视的实物期权可以根据实物期权的重要性和相互关系进行分析判断。实物期权的重要性可以根据以下标准进行评价：</w:t>
      </w:r>
    </w:p>
    <w:p w14:paraId="16406E55" w14:textId="014F2452" w:rsidR="00715D0F" w:rsidRDefault="00715D0F" w:rsidP="00715D0F">
      <w:pPr>
        <w:pStyle w:val="13"/>
      </w:pPr>
      <w:r>
        <w:rPr>
          <w:rFonts w:hint="eastAsia"/>
        </w:rPr>
        <w:t>（</w:t>
      </w:r>
      <w:r>
        <w:t>1）标的资产范围或者价值越大越重要。如评估企业价值时，以企业价值为标的资产的实物期权比以某个业务部门为标的资产的实物期权更为重要。</w:t>
      </w:r>
    </w:p>
    <w:p w14:paraId="40D56B60" w14:textId="54311A55" w:rsidR="00715D0F" w:rsidRDefault="00715D0F" w:rsidP="00715D0F">
      <w:pPr>
        <w:pStyle w:val="13"/>
      </w:pPr>
      <w:r>
        <w:rPr>
          <w:rFonts w:hint="eastAsia"/>
        </w:rPr>
        <w:t>（</w:t>
      </w:r>
      <w:r>
        <w:t>2）实物期权执行的可能性越大越重要。在其他条件相同的情况下，实值实物期权</w:t>
      </w:r>
      <w:proofErr w:type="gramStart"/>
      <w:r>
        <w:t>比虚值实物</w:t>
      </w:r>
      <w:proofErr w:type="gramEnd"/>
      <w:r>
        <w:t>期权重要；实物期权的实值越深越重要；实物期权的期限越近越重要；标的资产拥有</w:t>
      </w:r>
      <w:proofErr w:type="gramStart"/>
      <w:r>
        <w:t>方具备</w:t>
      </w:r>
      <w:proofErr w:type="gramEnd"/>
      <w:r>
        <w:t>的执行实物期权的资源越充足越重要。</w:t>
      </w:r>
    </w:p>
    <w:p w14:paraId="39B40DFC" w14:textId="3495C909" w:rsidR="00715D0F" w:rsidRDefault="00715D0F" w:rsidP="00715D0F">
      <w:pPr>
        <w:pStyle w:val="13"/>
      </w:pPr>
      <w:r>
        <w:rPr>
          <w:rFonts w:hint="eastAsia"/>
        </w:rPr>
        <w:t>执行实物期权的资源多种多样，增长实物期权最重要的资源是对相应业务的垄断权，</w:t>
      </w:r>
      <w:r>
        <w:t>包括来自于政府或者市场的特许权、来自于技术专利的独占权，以及长期的买卖或者合</w:t>
      </w:r>
      <w:r>
        <w:rPr>
          <w:rFonts w:hint="eastAsia"/>
        </w:rPr>
        <w:t>作关系、产品或者业务预定合同等。</w:t>
      </w:r>
    </w:p>
    <w:p w14:paraId="4B89417B" w14:textId="77777777" w:rsidR="00715D0F" w:rsidRDefault="00715D0F" w:rsidP="00715D0F">
      <w:pPr>
        <w:pStyle w:val="13"/>
      </w:pPr>
      <w:r>
        <w:rPr>
          <w:rFonts w:hint="eastAsia"/>
        </w:rPr>
        <w:lastRenderedPageBreak/>
        <w:t>实物期权的相互关系可以根据以下标准进行评价：</w:t>
      </w:r>
    </w:p>
    <w:p w14:paraId="6BA1E9B7" w14:textId="7ACBFFB9" w:rsidR="00715D0F" w:rsidRDefault="00715D0F" w:rsidP="00715D0F">
      <w:pPr>
        <w:pStyle w:val="13"/>
      </w:pPr>
      <w:r>
        <w:rPr>
          <w:rFonts w:hint="eastAsia"/>
        </w:rPr>
        <w:t>（</w:t>
      </w:r>
      <w:r>
        <w:t>1）多个实物期权之间有互斥关系或者替代关系，即选择执行了其中一个实物期权，其他实物期权就不能或者不必要执行，则应当选择其中最重要的实物期权。</w:t>
      </w:r>
    </w:p>
    <w:p w14:paraId="3D90101C" w14:textId="7F1E677F" w:rsidR="00715D0F" w:rsidRDefault="00715D0F" w:rsidP="00715D0F">
      <w:pPr>
        <w:pStyle w:val="13"/>
      </w:pPr>
      <w:r>
        <w:rPr>
          <w:rFonts w:hint="eastAsia"/>
        </w:rPr>
        <w:t>（</w:t>
      </w:r>
      <w:r>
        <w:t>2）多个实物期权之间有互补关系，则根据执行的可能性都选或者都不选为评估对象。有互补关系的实物期权常见的是各种可能的机会之间有战略协同性的期权。</w:t>
      </w:r>
    </w:p>
    <w:p w14:paraId="5AC6DB1C" w14:textId="4C7566C0" w:rsidR="00715D0F" w:rsidRDefault="00715D0F" w:rsidP="00715D0F">
      <w:pPr>
        <w:pStyle w:val="13"/>
      </w:pPr>
      <w:r>
        <w:rPr>
          <w:rFonts w:hint="eastAsia"/>
        </w:rPr>
        <w:t>（</w:t>
      </w:r>
      <w:r>
        <w:t>3）多个实物期权之间有因果关系或者前后关系，则根据执行的可能性只选在前或者为因的实物期权进行评估。</w:t>
      </w:r>
    </w:p>
    <w:p w14:paraId="76558B8A" w14:textId="77777777" w:rsidR="00715D0F" w:rsidRPr="00715D0F" w:rsidRDefault="00715D0F" w:rsidP="00715D0F">
      <w:pPr>
        <w:pStyle w:val="13"/>
        <w:ind w:firstLineChars="0" w:firstLine="0"/>
        <w:rPr>
          <w:b/>
          <w:bCs/>
        </w:rPr>
      </w:pPr>
      <w:r w:rsidRPr="00715D0F">
        <w:rPr>
          <w:rFonts w:hint="eastAsia"/>
          <w:b/>
          <w:bCs/>
        </w:rPr>
        <w:t>附</w:t>
      </w:r>
      <w:r w:rsidRPr="00715D0F">
        <w:rPr>
          <w:b/>
          <w:bCs/>
        </w:rPr>
        <w:t xml:space="preserve"> 2</w:t>
      </w:r>
    </w:p>
    <w:p w14:paraId="1261DBC4" w14:textId="77777777" w:rsidR="00715D0F" w:rsidRDefault="00715D0F" w:rsidP="00AF7342">
      <w:pPr>
        <w:pStyle w:val="a9"/>
        <w:spacing w:before="62" w:after="62"/>
      </w:pPr>
      <w:r>
        <w:rPr>
          <w:rFonts w:hint="eastAsia"/>
        </w:rPr>
        <w:t>常用的期权定价模型</w:t>
      </w:r>
    </w:p>
    <w:p w14:paraId="4AD71D3A" w14:textId="3A881A33" w:rsidR="00715D0F" w:rsidRDefault="00715D0F" w:rsidP="00715D0F">
      <w:pPr>
        <w:pStyle w:val="13"/>
        <w:jc w:val="center"/>
      </w:pPr>
      <w:r>
        <w:rPr>
          <w:rFonts w:hint="eastAsia"/>
        </w:rPr>
        <w:t>（供参考）</w:t>
      </w:r>
    </w:p>
    <w:p w14:paraId="5946B4E7" w14:textId="77777777" w:rsidR="00715D0F" w:rsidRDefault="00715D0F" w:rsidP="00715D0F">
      <w:pPr>
        <w:pStyle w:val="13"/>
      </w:pPr>
      <w:r>
        <w:rPr>
          <w:rFonts w:hint="eastAsia"/>
        </w:rPr>
        <w:t>评估实物期权的价值可以选择和应用多种期权定价方法或者模型。到目前为止，理论上合理、应用上方便的模型主要有布</w:t>
      </w:r>
      <w:proofErr w:type="gramStart"/>
      <w:r>
        <w:rPr>
          <w:rFonts w:hint="eastAsia"/>
        </w:rPr>
        <w:t>莱</w:t>
      </w:r>
      <w:proofErr w:type="gramEnd"/>
      <w:r>
        <w:rPr>
          <w:rFonts w:hint="eastAsia"/>
        </w:rPr>
        <w:t>克</w:t>
      </w:r>
      <w:r>
        <w:t>-舒尔斯模型（Black-Scholes Model）和二项树模型（Binomial Model）等。</w:t>
      </w:r>
    </w:p>
    <w:p w14:paraId="0896F2B0" w14:textId="77777777" w:rsidR="00715D0F" w:rsidRDefault="00715D0F" w:rsidP="00715D0F">
      <w:pPr>
        <w:pStyle w:val="13"/>
      </w:pPr>
      <w:r>
        <w:t>1、布莱克-舒尔斯模型及其应用</w:t>
      </w:r>
    </w:p>
    <w:p w14:paraId="21E90B94" w14:textId="644CC073" w:rsidR="00715D0F" w:rsidRDefault="00715D0F" w:rsidP="00715D0F">
      <w:pPr>
        <w:pStyle w:val="13"/>
      </w:pPr>
      <w:r>
        <w:rPr>
          <w:rFonts w:hint="eastAsia"/>
        </w:rPr>
        <w:t>布莱克</w:t>
      </w:r>
      <w:r>
        <w:t>-舒尔斯模型，也称为布莱克-舒尔斯-默顿模型（Black-Scholes-Merton Model），针对无红利流量情况下欧式期权的价值评估，考虑了标的资产评估基准日价值（S）及其波动率（σ）、期权行权价格（X）、行权期限（T）、无风险收益率（r）五大因素以确定期权价值。模型形式为：</w:t>
      </w:r>
    </w:p>
    <w:p w14:paraId="06ECF471" w14:textId="2697449A" w:rsidR="00715D0F" w:rsidRDefault="00715D0F" w:rsidP="00715D0F">
      <w:pPr>
        <w:pStyle w:val="13"/>
      </w:pPr>
      <w:r>
        <w:rPr>
          <w:rFonts w:hint="eastAsia"/>
        </w:rPr>
        <w:t>买方期权价值</w:t>
      </w:r>
      <w:r>
        <w:t>C</w:t>
      </w:r>
      <w:r w:rsidRPr="00715D0F">
        <w:rPr>
          <w:vertAlign w:val="subscript"/>
        </w:rPr>
        <w:t>0</w:t>
      </w:r>
      <w:r>
        <w:t>=SN(d</w:t>
      </w:r>
      <w:r w:rsidRPr="00715D0F">
        <w:rPr>
          <w:vertAlign w:val="subscript"/>
        </w:rPr>
        <w:t>1</w:t>
      </w:r>
      <w:r>
        <w:t>)-Xe</w:t>
      </w:r>
      <w:r w:rsidRPr="00715D0F">
        <w:rPr>
          <w:vertAlign w:val="superscript"/>
        </w:rPr>
        <w:t>-</w:t>
      </w:r>
      <w:proofErr w:type="spellStart"/>
      <w:r w:rsidRPr="00715D0F">
        <w:rPr>
          <w:vertAlign w:val="superscript"/>
        </w:rPr>
        <w:t>rT</w:t>
      </w:r>
      <w:r>
        <w:t>N</w:t>
      </w:r>
      <w:proofErr w:type="spellEnd"/>
      <w:r>
        <w:t>(d</w:t>
      </w:r>
      <w:r w:rsidRPr="00715D0F">
        <w:rPr>
          <w:vertAlign w:val="subscript"/>
        </w:rPr>
        <w:t>2</w:t>
      </w:r>
      <w:r>
        <w:t>)</w:t>
      </w:r>
    </w:p>
    <w:p w14:paraId="77B3CD74" w14:textId="52A692E6" w:rsidR="00715D0F" w:rsidRDefault="00715D0F" w:rsidP="00715D0F">
      <w:pPr>
        <w:pStyle w:val="13"/>
      </w:pPr>
      <w:r>
        <w:rPr>
          <w:rFonts w:hint="eastAsia"/>
        </w:rPr>
        <w:t>卖方期权价值</w:t>
      </w:r>
      <w:r>
        <w:t>P</w:t>
      </w:r>
      <w:r w:rsidRPr="00715D0F">
        <w:rPr>
          <w:vertAlign w:val="subscript"/>
        </w:rPr>
        <w:t>0</w:t>
      </w:r>
      <w:r>
        <w:t>=Xe</w:t>
      </w:r>
      <w:r w:rsidRPr="00715D0F">
        <w:rPr>
          <w:vertAlign w:val="superscript"/>
        </w:rPr>
        <w:t>-</w:t>
      </w:r>
      <w:proofErr w:type="spellStart"/>
      <w:r w:rsidRPr="00715D0F">
        <w:rPr>
          <w:vertAlign w:val="superscript"/>
        </w:rPr>
        <w:t>rT</w:t>
      </w:r>
      <w:r>
        <w:t>N</w:t>
      </w:r>
      <w:proofErr w:type="spellEnd"/>
      <w:r>
        <w:t>(-d</w:t>
      </w:r>
      <w:r w:rsidRPr="00715D0F">
        <w:rPr>
          <w:vertAlign w:val="subscript"/>
        </w:rPr>
        <w:t>2</w:t>
      </w:r>
      <w:r>
        <w:t>)-SN(-d</w:t>
      </w:r>
      <w:r w:rsidRPr="00715D0F">
        <w:rPr>
          <w:vertAlign w:val="subscript"/>
        </w:rPr>
        <w:t>1</w:t>
      </w:r>
      <w:r>
        <w:t>)</w:t>
      </w:r>
    </w:p>
    <w:p w14:paraId="60D38B29" w14:textId="1ABFE328" w:rsidR="00715D0F" w:rsidRDefault="00715D0F" w:rsidP="00715D0F">
      <w:pPr>
        <w:pStyle w:val="13"/>
      </w:pPr>
      <w:r>
        <w:rPr>
          <w:rFonts w:hint="eastAsia"/>
        </w:rPr>
        <w:t>其中，</w:t>
      </w:r>
      <w:r>
        <w:t>C</w:t>
      </w:r>
      <w:r w:rsidRPr="00715D0F">
        <w:rPr>
          <w:vertAlign w:val="subscript"/>
        </w:rPr>
        <w:t>0</w:t>
      </w:r>
      <w:r>
        <w:t>和P</w:t>
      </w:r>
      <w:r w:rsidRPr="00715D0F">
        <w:rPr>
          <w:vertAlign w:val="subscript"/>
        </w:rPr>
        <w:t>0</w:t>
      </w:r>
      <w:r>
        <w:t>分别代表欧式买方期权和卖方期权的价值；e</w:t>
      </w:r>
      <w:r w:rsidRPr="00715D0F">
        <w:rPr>
          <w:vertAlign w:val="superscript"/>
        </w:rPr>
        <w:t>-</w:t>
      </w:r>
      <w:proofErr w:type="spellStart"/>
      <w:r w:rsidRPr="00715D0F">
        <w:rPr>
          <w:vertAlign w:val="superscript"/>
        </w:rPr>
        <w:t>rT</w:t>
      </w:r>
      <w:proofErr w:type="spellEnd"/>
      <w:r>
        <w:t>代表连续复利下的</w:t>
      </w:r>
      <w:r>
        <w:rPr>
          <w:rFonts w:hint="eastAsia"/>
        </w:rPr>
        <w:t>现值系数；</w:t>
      </w:r>
      <w:r>
        <w:t>N(d</w:t>
      </w:r>
      <w:r w:rsidRPr="00715D0F">
        <w:rPr>
          <w:vertAlign w:val="subscript"/>
        </w:rPr>
        <w:t>1</w:t>
      </w:r>
      <w:r>
        <w:t>)和N(d</w:t>
      </w:r>
      <w:r w:rsidRPr="00715D0F">
        <w:rPr>
          <w:vertAlign w:val="subscript"/>
        </w:rPr>
        <w:t>2</w:t>
      </w:r>
      <w:r>
        <w:t>)分别表示在标准正态分布下，变量小于d</w:t>
      </w:r>
      <w:r w:rsidRPr="00715D0F">
        <w:rPr>
          <w:vertAlign w:val="subscript"/>
        </w:rPr>
        <w:t>1</w:t>
      </w:r>
      <w:r>
        <w:t>和d</w:t>
      </w:r>
      <w:r w:rsidRPr="00715D0F">
        <w:rPr>
          <w:vertAlign w:val="subscript"/>
        </w:rPr>
        <w:t>2</w:t>
      </w:r>
      <w:r>
        <w:t>时的累计概率。d</w:t>
      </w:r>
      <w:r w:rsidRPr="00715D0F">
        <w:rPr>
          <w:vertAlign w:val="subscript"/>
        </w:rPr>
        <w:t>1</w:t>
      </w:r>
      <w:r>
        <w:t>和d</w:t>
      </w:r>
      <w:r w:rsidRPr="00715D0F">
        <w:rPr>
          <w:vertAlign w:val="subscript"/>
        </w:rPr>
        <w:t>2</w:t>
      </w:r>
      <w:r>
        <w:t>的取值如下：</w:t>
      </w:r>
    </w:p>
    <w:p w14:paraId="0F1117CA" w14:textId="38551E5D" w:rsidR="00715D0F" w:rsidRDefault="00715D0F" w:rsidP="00715D0F">
      <w:pPr>
        <w:pStyle w:val="13"/>
      </w:pPr>
      <w:r>
        <w:rPr>
          <w:noProof/>
        </w:rPr>
        <w:drawing>
          <wp:inline distT="0" distB="0" distL="0" distR="0" wp14:anchorId="347AB9BE" wp14:editId="52F65C19">
            <wp:extent cx="3421318" cy="9906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9919" cy="1001777"/>
                    </a:xfrm>
                    <a:prstGeom prst="rect">
                      <a:avLst/>
                    </a:prstGeom>
                  </pic:spPr>
                </pic:pic>
              </a:graphicData>
            </a:graphic>
          </wp:inline>
        </w:drawing>
      </w:r>
    </w:p>
    <w:p w14:paraId="1DCA62D9" w14:textId="77777777" w:rsidR="00715D0F" w:rsidRDefault="00715D0F" w:rsidP="00715D0F">
      <w:pPr>
        <w:pStyle w:val="13"/>
      </w:pPr>
      <w:r>
        <w:rPr>
          <w:rFonts w:hint="eastAsia"/>
        </w:rPr>
        <w:t>选择布莱克</w:t>
      </w:r>
      <w:r>
        <w:t>-舒尔斯模型估算实物期权价值的步骤如下： 第一步，估计有关参数数据。</w:t>
      </w:r>
    </w:p>
    <w:p w14:paraId="783ED6BA" w14:textId="266C643B" w:rsidR="00715D0F" w:rsidRDefault="00715D0F" w:rsidP="00715D0F">
      <w:pPr>
        <w:pStyle w:val="13"/>
      </w:pPr>
      <w:r>
        <w:rPr>
          <w:rFonts w:hint="eastAsia"/>
        </w:rPr>
        <w:t>第二步，计算</w:t>
      </w:r>
      <w:r>
        <w:t>d</w:t>
      </w:r>
      <w:r w:rsidRPr="00715D0F">
        <w:rPr>
          <w:vertAlign w:val="subscript"/>
        </w:rPr>
        <w:t>1</w:t>
      </w:r>
      <w:r>
        <w:t>和d</w:t>
      </w:r>
      <w:r w:rsidRPr="00715D0F">
        <w:rPr>
          <w:vertAlign w:val="subscript"/>
        </w:rPr>
        <w:t>2</w:t>
      </w:r>
      <w:r>
        <w:t>。</w:t>
      </w:r>
    </w:p>
    <w:p w14:paraId="1DC08ABE" w14:textId="0CC3765B" w:rsidR="00715D0F" w:rsidRDefault="00715D0F" w:rsidP="00715D0F">
      <w:pPr>
        <w:pStyle w:val="13"/>
      </w:pPr>
      <w:r>
        <w:rPr>
          <w:rFonts w:hint="eastAsia"/>
        </w:rPr>
        <w:t>第三步，求解</w:t>
      </w:r>
      <w:r>
        <w:t>N(d</w:t>
      </w:r>
      <w:r w:rsidRPr="00715D0F">
        <w:rPr>
          <w:vertAlign w:val="subscript"/>
        </w:rPr>
        <w:t>1</w:t>
      </w:r>
      <w:r>
        <w:t>)和N(d</w:t>
      </w:r>
      <w:r w:rsidRPr="00715D0F">
        <w:rPr>
          <w:vertAlign w:val="subscript"/>
        </w:rPr>
        <w:t>2</w:t>
      </w:r>
      <w:r>
        <w:t>)。</w:t>
      </w:r>
    </w:p>
    <w:p w14:paraId="7E976786" w14:textId="77777777" w:rsidR="00715D0F" w:rsidRDefault="00715D0F" w:rsidP="00715D0F">
      <w:pPr>
        <w:pStyle w:val="13"/>
      </w:pPr>
      <w:r>
        <w:rPr>
          <w:rFonts w:hint="eastAsia"/>
        </w:rPr>
        <w:t>第四步，计算买方期权或者卖方期权的价值。</w:t>
      </w:r>
    </w:p>
    <w:p w14:paraId="116B6AFB" w14:textId="77777777" w:rsidR="00715D0F" w:rsidRDefault="00715D0F" w:rsidP="00715D0F">
      <w:pPr>
        <w:pStyle w:val="13"/>
      </w:pPr>
      <w:r>
        <w:t>2、二项树模型及其应用</w:t>
      </w:r>
    </w:p>
    <w:p w14:paraId="60F3D6DB" w14:textId="77777777" w:rsidR="00715D0F" w:rsidRDefault="00715D0F" w:rsidP="00715D0F">
      <w:pPr>
        <w:pStyle w:val="13"/>
      </w:pPr>
      <w:r>
        <w:rPr>
          <w:rFonts w:hint="eastAsia"/>
        </w:rPr>
        <w:lastRenderedPageBreak/>
        <w:t>二项树模型可以用于计算欧式期权价值，也可以在一定程度上计算美式期权的价值。一期二项树和两期二项树的期权价值模型分别为：</w:t>
      </w:r>
    </w:p>
    <w:p w14:paraId="5094D867" w14:textId="6C10D621" w:rsidR="00715D0F" w:rsidRDefault="00715D0F" w:rsidP="00715D0F">
      <w:pPr>
        <w:pStyle w:val="13"/>
      </w:pPr>
      <w:r>
        <w:rPr>
          <w:noProof/>
        </w:rPr>
        <w:drawing>
          <wp:inline distT="0" distB="0" distL="0" distR="0" wp14:anchorId="5CF39E82" wp14:editId="1190C246">
            <wp:extent cx="3543300" cy="631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83887" cy="638794"/>
                    </a:xfrm>
                    <a:prstGeom prst="rect">
                      <a:avLst/>
                    </a:prstGeom>
                  </pic:spPr>
                </pic:pic>
              </a:graphicData>
            </a:graphic>
          </wp:inline>
        </w:drawing>
      </w:r>
    </w:p>
    <w:p w14:paraId="793ECAB2" w14:textId="1758871E" w:rsidR="00715D0F" w:rsidRDefault="00715D0F" w:rsidP="00715D0F">
      <w:pPr>
        <w:pStyle w:val="13"/>
      </w:pPr>
      <w:r>
        <w:rPr>
          <w:rFonts w:hint="eastAsia"/>
        </w:rPr>
        <w:t>其中，</w:t>
      </w:r>
      <w:r>
        <w:t>f代表买方期权或者卖方期权的价值，T代表期权行权期限，t代表每期的时间长度。p被称为假概率，在模型中的数学地位相当于标的资产价格在一期中上升的概率；相应地，（1-p）相当于标的资产价格在一期中下降的概率。p一般不需要经过专门估计，而是可以依据其他参数计算出来，这也是它被称为假概率的原因。u、d分别代表标的资产价值一次上升后为原来的倍数和一次下降后为原来的倍数。fu、</w:t>
      </w:r>
      <w:proofErr w:type="spellStart"/>
      <w:r>
        <w:t>fuu</w:t>
      </w:r>
      <w:proofErr w:type="spellEnd"/>
      <w:r>
        <w:t>分别代表标的资产价值一次和两次上升后期权的价值；</w:t>
      </w:r>
      <w:proofErr w:type="spellStart"/>
      <w:r>
        <w:t>fd</w:t>
      </w:r>
      <w:proofErr w:type="spellEnd"/>
      <w:r>
        <w:t>、</w:t>
      </w:r>
      <w:proofErr w:type="spellStart"/>
      <w:r>
        <w:t>fdd</w:t>
      </w:r>
      <w:proofErr w:type="spellEnd"/>
      <w:r>
        <w:t>分别代表标的资产价值一次和两次下降后期权的价值。fud代表标的资产价值一次上升和一次下降后期权的价值。</w:t>
      </w:r>
    </w:p>
    <w:p w14:paraId="78F3025A" w14:textId="77777777" w:rsidR="00715D0F" w:rsidRDefault="00715D0F" w:rsidP="00715D0F">
      <w:pPr>
        <w:pStyle w:val="13"/>
      </w:pPr>
      <w:r>
        <w:rPr>
          <w:rFonts w:hint="eastAsia"/>
        </w:rPr>
        <w:t>在多期二项树下可以通过判断在各期末实物期权提前执行的必要性倒推计算各期末实物期权的价值，从而可以计算美式实物期权的评估基准日价值。</w:t>
      </w:r>
    </w:p>
    <w:p w14:paraId="3C580B83" w14:textId="3A443582" w:rsidR="00715D0F" w:rsidRDefault="00715D0F" w:rsidP="00715D0F">
      <w:pPr>
        <w:pStyle w:val="13"/>
      </w:pPr>
      <w:r>
        <w:t>u、d、p 的取值可以根据实际情况进行专门估计，也可以根据公式计算确定。计算u、d、p 的最简单公式如下：</w:t>
      </w:r>
    </w:p>
    <w:p w14:paraId="18BE83F3" w14:textId="7BDA6EC7" w:rsidR="00715D0F" w:rsidRDefault="00715D0F" w:rsidP="00715D0F">
      <w:pPr>
        <w:pStyle w:val="13"/>
      </w:pPr>
      <w:r>
        <w:rPr>
          <w:noProof/>
        </w:rPr>
        <w:drawing>
          <wp:inline distT="0" distB="0" distL="0" distR="0" wp14:anchorId="05D8D550" wp14:editId="52198261">
            <wp:extent cx="1077599" cy="113347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1098" cy="1137155"/>
                    </a:xfrm>
                    <a:prstGeom prst="rect">
                      <a:avLst/>
                    </a:prstGeom>
                  </pic:spPr>
                </pic:pic>
              </a:graphicData>
            </a:graphic>
          </wp:inline>
        </w:drawing>
      </w:r>
    </w:p>
    <w:p w14:paraId="3B1EF3AA" w14:textId="1D447B5F" w:rsidR="00715D0F" w:rsidRDefault="00715D0F" w:rsidP="00715D0F">
      <w:pPr>
        <w:pStyle w:val="13"/>
      </w:pPr>
      <w:r>
        <w:rPr>
          <w:rFonts w:hint="eastAsia"/>
        </w:rPr>
        <w:t>在应用二项树模型时，可以根据需要将期权的行权期限划分为任意多个变化期，从而可以增加在期权到期时标的资产价值及对应的期权价值的可能值。一般而言，划分的期数越多，评估结论越精确。在实物期权的评估中，由于基础数据的估计不可能很准确</w:t>
      </w:r>
      <w:r w:rsidR="003C1F46">
        <w:rPr>
          <w:rFonts w:hint="eastAsia"/>
        </w:rPr>
        <w:t>，</w:t>
      </w:r>
      <w:r>
        <w:t>通过增加期数提高评估结论的准确性意义不大。从实际评估效果考虑，建议一般采用一期或者两期二项树模型即可。</w:t>
      </w:r>
    </w:p>
    <w:p w14:paraId="2D7693EE" w14:textId="37AB94B0" w:rsidR="00715D0F" w:rsidRDefault="00715D0F" w:rsidP="00715D0F">
      <w:pPr>
        <w:pStyle w:val="13"/>
      </w:pPr>
      <w:r>
        <w:rPr>
          <w:rFonts w:hint="eastAsia"/>
        </w:rPr>
        <w:t>选择二项树模型估算实物期权价值的步骤如下：</w:t>
      </w:r>
      <w:r>
        <w:t xml:space="preserve"> 第一步，计算u、d、p。</w:t>
      </w:r>
    </w:p>
    <w:p w14:paraId="3915DCC4" w14:textId="45C45EB3" w:rsidR="00715D0F" w:rsidRDefault="00715D0F" w:rsidP="00715D0F">
      <w:pPr>
        <w:pStyle w:val="13"/>
      </w:pPr>
      <w:r>
        <w:rPr>
          <w:rFonts w:hint="eastAsia"/>
        </w:rPr>
        <w:t>第二步，计算到期实物期权的各种可能值，如一期二项树下为</w:t>
      </w:r>
      <w:r>
        <w:t>fu和</w:t>
      </w:r>
      <w:proofErr w:type="spellStart"/>
      <w:r>
        <w:t>fd</w:t>
      </w:r>
      <w:proofErr w:type="spellEnd"/>
      <w:r>
        <w:t>；两期二项树下为</w:t>
      </w:r>
      <w:proofErr w:type="spellStart"/>
      <w:r>
        <w:t>fuu</w:t>
      </w:r>
      <w:proofErr w:type="spellEnd"/>
      <w:r>
        <w:t xml:space="preserve">、fud 和 </w:t>
      </w:r>
      <w:proofErr w:type="spellStart"/>
      <w:r>
        <w:t>fdd</w:t>
      </w:r>
      <w:proofErr w:type="spellEnd"/>
      <w:r>
        <w:t>。</w:t>
      </w:r>
    </w:p>
    <w:p w14:paraId="16C313BD" w14:textId="2ADE611D" w:rsidR="00715D0F" w:rsidRDefault="00715D0F" w:rsidP="00715D0F">
      <w:pPr>
        <w:pStyle w:val="13"/>
      </w:pPr>
      <w:r>
        <w:rPr>
          <w:rFonts w:hint="eastAsia"/>
        </w:rPr>
        <w:t>第三步，计算实物期权到期的期望价值，如一期二项树下为</w:t>
      </w:r>
      <w:r>
        <w:t>pfu+(1-p)</w:t>
      </w:r>
      <w:proofErr w:type="spellStart"/>
      <w:r>
        <w:t>fd</w:t>
      </w:r>
      <w:proofErr w:type="spellEnd"/>
      <w:r>
        <w:t>；两期二项树下为p</w:t>
      </w:r>
      <w:r w:rsidRPr="00715D0F">
        <w:rPr>
          <w:vertAlign w:val="superscript"/>
        </w:rPr>
        <w:t>2</w:t>
      </w:r>
      <w:r>
        <w:t>fuu+2p(1-p)fud+(1-p)</w:t>
      </w:r>
      <w:r w:rsidRPr="00715D0F">
        <w:rPr>
          <w:vertAlign w:val="superscript"/>
        </w:rPr>
        <w:t>2</w:t>
      </w:r>
      <w:r>
        <w:t>fdd。</w:t>
      </w:r>
    </w:p>
    <w:p w14:paraId="54D8E68B" w14:textId="77777777" w:rsidR="00715D0F" w:rsidRDefault="00715D0F" w:rsidP="00715D0F">
      <w:pPr>
        <w:pStyle w:val="13"/>
      </w:pPr>
      <w:r>
        <w:rPr>
          <w:rFonts w:hint="eastAsia"/>
        </w:rPr>
        <w:t>第四步，按无风险收益率折现上述期望价值，得出实物期权的评估基准日价值。</w:t>
      </w:r>
    </w:p>
    <w:p w14:paraId="201134C5" w14:textId="77777777" w:rsidR="00715D0F" w:rsidRDefault="00715D0F" w:rsidP="00715D0F">
      <w:pPr>
        <w:pStyle w:val="13"/>
      </w:pPr>
      <w:r>
        <w:t>3、评估模型的选择</w:t>
      </w:r>
    </w:p>
    <w:p w14:paraId="4F222DFA" w14:textId="77777777" w:rsidR="00715D0F" w:rsidRDefault="00715D0F" w:rsidP="00715D0F">
      <w:pPr>
        <w:pStyle w:val="13"/>
      </w:pPr>
      <w:r>
        <w:rPr>
          <w:rFonts w:hint="eastAsia"/>
        </w:rPr>
        <w:lastRenderedPageBreak/>
        <w:t>布莱克</w:t>
      </w:r>
      <w:r>
        <w:t>-舒尔斯模型和二项树模型都可以用于计算买方期权和卖方期权的价值。布莱克-舒尔斯模型针对欧式期权的定价，是连续时间下的期权定价模型；二项树模型是离散时间下的期权定价模型，理论上对于欧式期权和美式期权都适用，但多数情况下应用不很方便。美式期权和欧式期权都只有一次执行机会。在其他条件相同的情况下，美式期权价值不会超过对应的欧式期权很多。当标的资产在期权行权期限内没有红利流量的情况下，美式买方期权和欧式买方期权价值完全相同。在期权行权期限内有红利流量的情况下，应用布莱克-舒尔斯模型评估可能会在一定程度上低估期</w:t>
      </w:r>
      <w:r>
        <w:rPr>
          <w:rFonts w:hint="eastAsia"/>
        </w:rPr>
        <w:t>权的价值，可以考虑采用针对红利的布莱克</w:t>
      </w:r>
      <w:r>
        <w:t>-舒尔斯模型的变形来评估。</w:t>
      </w:r>
    </w:p>
    <w:p w14:paraId="6D4AA370" w14:textId="77777777" w:rsidR="00715D0F" w:rsidRDefault="00715D0F" w:rsidP="00715D0F">
      <w:pPr>
        <w:pStyle w:val="13"/>
      </w:pPr>
      <w:r>
        <w:rPr>
          <w:rFonts w:hint="eastAsia"/>
        </w:rPr>
        <w:t>在极限意义上（即每期时间为无限短的情况下），布莱克</w:t>
      </w:r>
      <w:r>
        <w:t>-舒尔斯模型和二项树模型的评估结论相同。在估算实物期权价值时，可以根据参数估计和计算方便的原则，选择采用布莱克-舒尔斯模型或者二项树模型。</w:t>
      </w:r>
    </w:p>
    <w:p w14:paraId="636CF4CC" w14:textId="77777777" w:rsidR="00715D0F" w:rsidRDefault="00715D0F" w:rsidP="00715D0F">
      <w:pPr>
        <w:pStyle w:val="13"/>
      </w:pPr>
      <w:r>
        <w:t>4、有关评估参数的估计</w:t>
      </w:r>
    </w:p>
    <w:p w14:paraId="65F832B7" w14:textId="2FD8ABC2" w:rsidR="00715D0F" w:rsidRDefault="00715D0F" w:rsidP="00715D0F">
      <w:pPr>
        <w:pStyle w:val="13"/>
      </w:pPr>
      <w:r>
        <w:rPr>
          <w:rFonts w:hint="eastAsia"/>
        </w:rPr>
        <w:t>评估实物期权所需的参数通常包括标的资产评估基准日价值（</w:t>
      </w:r>
      <w:r>
        <w:t>S）及其波动率（σ）、行权价格（X）、行权期限（T）以及无风险收益率（r）等。</w:t>
      </w:r>
    </w:p>
    <w:p w14:paraId="2182DB73" w14:textId="466D0F04" w:rsidR="00715D0F" w:rsidRDefault="00715D0F" w:rsidP="00715D0F">
      <w:pPr>
        <w:pStyle w:val="13"/>
      </w:pPr>
      <w:r>
        <w:rPr>
          <w:rFonts w:hint="eastAsia"/>
        </w:rPr>
        <w:t>标的资产即实物期权所对应的基础资产。增长期权的标的资产是当前资产带来的潜在业务或者项目；退出期权的标的资产是实物期权所依附的当前资产。在估算实物期权价值时，标的资产的评估基准</w:t>
      </w:r>
      <w:proofErr w:type="gramStart"/>
      <w:r>
        <w:rPr>
          <w:rFonts w:hint="eastAsia"/>
        </w:rPr>
        <w:t>日价值</w:t>
      </w:r>
      <w:proofErr w:type="gramEnd"/>
      <w:r>
        <w:rPr>
          <w:rFonts w:hint="eastAsia"/>
        </w:rPr>
        <w:t>可以根据成本法、收益法等适当的方法进行评估</w:t>
      </w:r>
      <w:r w:rsidR="003C1F46">
        <w:rPr>
          <w:rFonts w:hint="eastAsia"/>
        </w:rPr>
        <w:t>，</w:t>
      </w:r>
      <w:r>
        <w:t>但应当明确标的资产的评估价值中没有包含资产中的实物期权价值。</w:t>
      </w:r>
    </w:p>
    <w:p w14:paraId="34299EEC" w14:textId="77777777" w:rsidR="00715D0F" w:rsidRDefault="00715D0F" w:rsidP="00715D0F">
      <w:pPr>
        <w:pStyle w:val="13"/>
      </w:pPr>
      <w:r>
        <w:rPr>
          <w:rFonts w:hint="eastAsia"/>
        </w:rPr>
        <w:t>波动率是指预期标的资产收益率的标准差，即标的资产在期权行权期限内无红利流量的情况下，其价值相对变动的标准差。可以通过类比风险相近资产的波动率确定，也可以根据资产以往价格相对变动情况确定历史波动率，再根据未来风险变化情况进行调整确定。</w:t>
      </w:r>
    </w:p>
    <w:p w14:paraId="3BC29CE6" w14:textId="77777777" w:rsidR="00715D0F" w:rsidRDefault="00715D0F" w:rsidP="00715D0F">
      <w:pPr>
        <w:pStyle w:val="13"/>
      </w:pPr>
      <w:r>
        <w:rPr>
          <w:rFonts w:hint="eastAsia"/>
        </w:rPr>
        <w:t>行权价格是</w:t>
      </w:r>
      <w:proofErr w:type="gramStart"/>
      <w:r>
        <w:rPr>
          <w:rFonts w:hint="eastAsia"/>
        </w:rPr>
        <w:t>指执行</w:t>
      </w:r>
      <w:proofErr w:type="gramEnd"/>
      <w:r>
        <w:rPr>
          <w:rFonts w:hint="eastAsia"/>
        </w:rPr>
        <w:t>实物期权时，买进或者卖出相应资产所支付或者获得的金额。增长期权的行权价格是形成标的资产投资所需要的金额；退出期权的行权价格是标的资产在未来行权时间可以卖出的价格，或者在可以转换用途情况下，标的资产在行权时间的价值。</w:t>
      </w:r>
    </w:p>
    <w:p w14:paraId="340A033D" w14:textId="77777777" w:rsidR="00715D0F" w:rsidRDefault="00715D0F" w:rsidP="00715D0F">
      <w:pPr>
        <w:pStyle w:val="13"/>
      </w:pPr>
      <w:r>
        <w:rPr>
          <w:rFonts w:hint="eastAsia"/>
        </w:rPr>
        <w:t>行权期限是指评估基准日至实物期权行权时间之间的时间长度。实物期权通常没有准确的行权期限，可以按照预计的最佳行权时间估计行权期限。通常可以根据稳健原则通过适当低估行权期限而减少其估计难度。</w:t>
      </w:r>
    </w:p>
    <w:p w14:paraId="7F2B1346" w14:textId="76F545E5" w:rsidR="00715D0F" w:rsidRDefault="00715D0F" w:rsidP="00715D0F">
      <w:pPr>
        <w:pStyle w:val="13"/>
      </w:pPr>
      <w:r>
        <w:rPr>
          <w:rFonts w:hint="eastAsia"/>
        </w:rPr>
        <w:t>无风险收益率是指不存在违约风险的收益率，可以参照剩余期限与实物期权行权期限相同或者相近的国债到期收益率确定。</w:t>
      </w:r>
    </w:p>
    <w:p w14:paraId="3A874F23" w14:textId="79E350B3" w:rsidR="001F5A09" w:rsidRDefault="001F5A09">
      <w:pPr>
        <w:widowControl/>
        <w:jc w:val="left"/>
        <w:rPr>
          <w:rFonts w:ascii="宋体" w:hAnsi="宋体"/>
          <w:sz w:val="24"/>
          <w:szCs w:val="24"/>
        </w:rPr>
      </w:pPr>
      <w:r>
        <w:br w:type="page"/>
      </w:r>
    </w:p>
    <w:p w14:paraId="3DC6841A" w14:textId="77777777" w:rsidR="00715D0F" w:rsidRPr="00715D0F" w:rsidRDefault="00715D0F" w:rsidP="00715D0F">
      <w:pPr>
        <w:pStyle w:val="13"/>
        <w:ind w:firstLineChars="0" w:firstLine="0"/>
        <w:rPr>
          <w:b/>
          <w:bCs/>
        </w:rPr>
      </w:pPr>
      <w:r w:rsidRPr="00715D0F">
        <w:rPr>
          <w:rFonts w:hint="eastAsia"/>
          <w:b/>
          <w:bCs/>
        </w:rPr>
        <w:lastRenderedPageBreak/>
        <w:t>附</w:t>
      </w:r>
      <w:r w:rsidRPr="00715D0F">
        <w:rPr>
          <w:b/>
          <w:bCs/>
        </w:rPr>
        <w:t xml:space="preserve"> 3</w:t>
      </w:r>
    </w:p>
    <w:p w14:paraId="1F2DC916" w14:textId="77777777" w:rsidR="00715D0F" w:rsidRDefault="00715D0F" w:rsidP="00AF7342">
      <w:pPr>
        <w:pStyle w:val="a9"/>
        <w:spacing w:before="62" w:after="62"/>
      </w:pPr>
      <w:r>
        <w:rPr>
          <w:rFonts w:hint="eastAsia"/>
        </w:rPr>
        <w:t>评估结论的合理性检验</w:t>
      </w:r>
    </w:p>
    <w:p w14:paraId="03C6B370" w14:textId="0FEA00CF" w:rsidR="00715D0F" w:rsidRDefault="00715D0F" w:rsidP="00715D0F">
      <w:pPr>
        <w:pStyle w:val="13"/>
        <w:jc w:val="center"/>
      </w:pPr>
      <w:r>
        <w:rPr>
          <w:rFonts w:hint="eastAsia"/>
        </w:rPr>
        <w:t>（供参考）</w:t>
      </w:r>
    </w:p>
    <w:p w14:paraId="0C3809FA" w14:textId="77777777" w:rsidR="00715D0F" w:rsidRDefault="00715D0F" w:rsidP="00715D0F">
      <w:pPr>
        <w:pStyle w:val="13"/>
      </w:pPr>
      <w:r>
        <w:rPr>
          <w:rFonts w:hint="eastAsia"/>
        </w:rPr>
        <w:t>实物期权价值评估较为复杂，为确保评估结论的合理性，建议根据下表中的基本变量关系对评估结论进行合理性检验，防止出现方向性错误。</w:t>
      </w:r>
    </w:p>
    <w:p w14:paraId="5CE36481" w14:textId="4696A4C2" w:rsidR="00715D0F" w:rsidRDefault="00715D0F" w:rsidP="00715D0F">
      <w:pPr>
        <w:pStyle w:val="13"/>
      </w:pPr>
      <w:r>
        <w:rPr>
          <w:rFonts w:hint="eastAsia"/>
        </w:rPr>
        <w:t>评估结论合理性检验表</w:t>
      </w:r>
    </w:p>
    <w:tbl>
      <w:tblPr>
        <w:tblStyle w:val="af"/>
        <w:tblW w:w="0" w:type="auto"/>
        <w:tblLook w:val="04A0" w:firstRow="1" w:lastRow="0" w:firstColumn="1" w:lastColumn="0" w:noHBand="0" w:noVBand="1"/>
      </w:tblPr>
      <w:tblGrid>
        <w:gridCol w:w="2180"/>
        <w:gridCol w:w="2180"/>
        <w:gridCol w:w="2180"/>
        <w:gridCol w:w="2180"/>
      </w:tblGrid>
      <w:tr w:rsidR="00715D0F" w:rsidRPr="00715D0F" w14:paraId="087DB541" w14:textId="77777777" w:rsidTr="00715D0F">
        <w:tc>
          <w:tcPr>
            <w:tcW w:w="2180" w:type="dxa"/>
            <w:vAlign w:val="center"/>
          </w:tcPr>
          <w:p w14:paraId="38A64A19" w14:textId="716C744A" w:rsidR="00715D0F" w:rsidRPr="00715D0F" w:rsidRDefault="00715D0F" w:rsidP="00715D0F">
            <w:pPr>
              <w:pStyle w:val="13"/>
              <w:ind w:firstLineChars="0" w:firstLine="0"/>
              <w:jc w:val="center"/>
              <w:rPr>
                <w:sz w:val="21"/>
                <w:szCs w:val="21"/>
              </w:rPr>
            </w:pPr>
            <w:r w:rsidRPr="00715D0F">
              <w:rPr>
                <w:rFonts w:hint="eastAsia"/>
                <w:sz w:val="21"/>
                <w:szCs w:val="21"/>
              </w:rPr>
              <w:t>变量名称</w:t>
            </w:r>
          </w:p>
        </w:tc>
        <w:tc>
          <w:tcPr>
            <w:tcW w:w="2180" w:type="dxa"/>
            <w:vAlign w:val="center"/>
          </w:tcPr>
          <w:p w14:paraId="5E757C0B" w14:textId="715245CD" w:rsidR="00715D0F" w:rsidRPr="00715D0F" w:rsidRDefault="00715D0F" w:rsidP="00715D0F">
            <w:pPr>
              <w:pStyle w:val="13"/>
              <w:ind w:firstLineChars="0" w:firstLine="0"/>
              <w:jc w:val="center"/>
              <w:rPr>
                <w:sz w:val="21"/>
                <w:szCs w:val="21"/>
              </w:rPr>
            </w:pPr>
            <w:r w:rsidRPr="00715D0F">
              <w:rPr>
                <w:sz w:val="21"/>
                <w:szCs w:val="21"/>
              </w:rPr>
              <w:t>变量符号</w:t>
            </w:r>
          </w:p>
        </w:tc>
        <w:tc>
          <w:tcPr>
            <w:tcW w:w="2180" w:type="dxa"/>
            <w:vAlign w:val="center"/>
          </w:tcPr>
          <w:p w14:paraId="5C249F77" w14:textId="3DCE2919" w:rsidR="00715D0F" w:rsidRPr="00715D0F" w:rsidRDefault="00715D0F" w:rsidP="00715D0F">
            <w:pPr>
              <w:pStyle w:val="13"/>
              <w:ind w:firstLineChars="0" w:firstLine="0"/>
              <w:jc w:val="center"/>
              <w:rPr>
                <w:sz w:val="21"/>
                <w:szCs w:val="21"/>
              </w:rPr>
            </w:pPr>
            <w:r w:rsidRPr="00715D0F">
              <w:rPr>
                <w:sz w:val="21"/>
                <w:szCs w:val="21"/>
              </w:rPr>
              <w:t>与买方期权价值的关系</w:t>
            </w:r>
          </w:p>
        </w:tc>
        <w:tc>
          <w:tcPr>
            <w:tcW w:w="2180" w:type="dxa"/>
            <w:vAlign w:val="center"/>
          </w:tcPr>
          <w:p w14:paraId="04068089" w14:textId="78E1F259" w:rsidR="00715D0F" w:rsidRPr="00715D0F" w:rsidRDefault="00715D0F" w:rsidP="00715D0F">
            <w:pPr>
              <w:pStyle w:val="13"/>
              <w:ind w:firstLine="420"/>
              <w:jc w:val="center"/>
              <w:rPr>
                <w:sz w:val="21"/>
                <w:szCs w:val="21"/>
              </w:rPr>
            </w:pPr>
            <w:r w:rsidRPr="00715D0F">
              <w:rPr>
                <w:sz w:val="21"/>
                <w:szCs w:val="21"/>
              </w:rPr>
              <w:t>与卖方期权价值的关系</w:t>
            </w:r>
          </w:p>
        </w:tc>
      </w:tr>
      <w:tr w:rsidR="00715D0F" w:rsidRPr="00715D0F" w14:paraId="3321A9E4" w14:textId="77777777" w:rsidTr="00715D0F">
        <w:tc>
          <w:tcPr>
            <w:tcW w:w="2180" w:type="dxa"/>
            <w:vAlign w:val="center"/>
          </w:tcPr>
          <w:p w14:paraId="599F3BE7" w14:textId="74C04447" w:rsidR="00715D0F" w:rsidRPr="00715D0F" w:rsidRDefault="00715D0F" w:rsidP="00715D0F">
            <w:pPr>
              <w:pStyle w:val="13"/>
              <w:ind w:firstLineChars="0" w:firstLine="0"/>
              <w:rPr>
                <w:sz w:val="21"/>
                <w:szCs w:val="21"/>
              </w:rPr>
            </w:pPr>
            <w:r w:rsidRPr="00715D0F">
              <w:rPr>
                <w:rFonts w:hint="eastAsia"/>
                <w:sz w:val="21"/>
                <w:szCs w:val="21"/>
              </w:rPr>
              <w:t>标的资产价值</w:t>
            </w:r>
          </w:p>
        </w:tc>
        <w:tc>
          <w:tcPr>
            <w:tcW w:w="2180" w:type="dxa"/>
            <w:vAlign w:val="center"/>
          </w:tcPr>
          <w:p w14:paraId="4CC9FD16" w14:textId="517FD987" w:rsidR="00715D0F" w:rsidRPr="00715D0F" w:rsidRDefault="00715D0F" w:rsidP="00715D0F">
            <w:pPr>
              <w:pStyle w:val="13"/>
              <w:ind w:firstLineChars="0" w:firstLine="0"/>
              <w:jc w:val="center"/>
              <w:rPr>
                <w:sz w:val="21"/>
                <w:szCs w:val="21"/>
              </w:rPr>
            </w:pPr>
            <w:r w:rsidRPr="00715D0F">
              <w:rPr>
                <w:sz w:val="21"/>
                <w:szCs w:val="21"/>
              </w:rPr>
              <w:t>S</w:t>
            </w:r>
          </w:p>
        </w:tc>
        <w:tc>
          <w:tcPr>
            <w:tcW w:w="2180" w:type="dxa"/>
            <w:vAlign w:val="center"/>
          </w:tcPr>
          <w:p w14:paraId="7BFF0B9B" w14:textId="579558F0" w:rsidR="00715D0F" w:rsidRPr="00715D0F" w:rsidRDefault="00715D0F" w:rsidP="00715D0F">
            <w:pPr>
              <w:pStyle w:val="13"/>
              <w:ind w:firstLineChars="0" w:firstLine="0"/>
              <w:jc w:val="center"/>
              <w:rPr>
                <w:sz w:val="21"/>
                <w:szCs w:val="21"/>
              </w:rPr>
            </w:pPr>
            <w:r w:rsidRPr="00715D0F">
              <w:rPr>
                <w:sz w:val="21"/>
                <w:szCs w:val="21"/>
              </w:rPr>
              <w:t>同向</w:t>
            </w:r>
          </w:p>
        </w:tc>
        <w:tc>
          <w:tcPr>
            <w:tcW w:w="2180" w:type="dxa"/>
            <w:vAlign w:val="center"/>
          </w:tcPr>
          <w:p w14:paraId="026D389E" w14:textId="6A15225D" w:rsidR="00715D0F" w:rsidRPr="00715D0F" w:rsidRDefault="00715D0F" w:rsidP="00715D0F">
            <w:pPr>
              <w:pStyle w:val="13"/>
              <w:ind w:firstLineChars="0" w:firstLine="0"/>
              <w:jc w:val="center"/>
              <w:rPr>
                <w:sz w:val="21"/>
                <w:szCs w:val="21"/>
              </w:rPr>
            </w:pPr>
            <w:r w:rsidRPr="00715D0F">
              <w:rPr>
                <w:sz w:val="21"/>
                <w:szCs w:val="21"/>
              </w:rPr>
              <w:t>反向</w:t>
            </w:r>
          </w:p>
        </w:tc>
      </w:tr>
      <w:tr w:rsidR="00715D0F" w:rsidRPr="00715D0F" w14:paraId="6438857D" w14:textId="77777777" w:rsidTr="00715D0F">
        <w:tc>
          <w:tcPr>
            <w:tcW w:w="2180" w:type="dxa"/>
            <w:vAlign w:val="center"/>
          </w:tcPr>
          <w:p w14:paraId="2D7F54EA" w14:textId="0E8B1CF7" w:rsidR="00715D0F" w:rsidRPr="00715D0F" w:rsidRDefault="00715D0F" w:rsidP="00715D0F">
            <w:pPr>
              <w:pStyle w:val="13"/>
              <w:ind w:firstLineChars="0" w:firstLine="0"/>
              <w:rPr>
                <w:sz w:val="21"/>
                <w:szCs w:val="21"/>
              </w:rPr>
            </w:pPr>
            <w:r w:rsidRPr="00715D0F">
              <w:rPr>
                <w:rFonts w:hint="eastAsia"/>
                <w:sz w:val="21"/>
                <w:szCs w:val="21"/>
              </w:rPr>
              <w:t>行权价格</w:t>
            </w:r>
          </w:p>
        </w:tc>
        <w:tc>
          <w:tcPr>
            <w:tcW w:w="2180" w:type="dxa"/>
            <w:vAlign w:val="center"/>
          </w:tcPr>
          <w:p w14:paraId="08E9719F" w14:textId="09E2D739" w:rsidR="00715D0F" w:rsidRPr="00715D0F" w:rsidRDefault="00715D0F" w:rsidP="00715D0F">
            <w:pPr>
              <w:pStyle w:val="13"/>
              <w:ind w:firstLineChars="0" w:firstLine="0"/>
              <w:jc w:val="center"/>
              <w:rPr>
                <w:sz w:val="21"/>
                <w:szCs w:val="21"/>
              </w:rPr>
            </w:pPr>
            <w:r w:rsidRPr="00715D0F">
              <w:rPr>
                <w:rFonts w:hint="eastAsia"/>
                <w:sz w:val="21"/>
                <w:szCs w:val="21"/>
              </w:rPr>
              <w:t>X</w:t>
            </w:r>
          </w:p>
        </w:tc>
        <w:tc>
          <w:tcPr>
            <w:tcW w:w="2180" w:type="dxa"/>
            <w:vAlign w:val="center"/>
          </w:tcPr>
          <w:p w14:paraId="7EB8A7B7" w14:textId="509384ED" w:rsidR="00715D0F" w:rsidRPr="00715D0F" w:rsidRDefault="00715D0F" w:rsidP="00715D0F">
            <w:pPr>
              <w:pStyle w:val="13"/>
              <w:ind w:firstLineChars="0" w:firstLine="0"/>
              <w:jc w:val="center"/>
              <w:rPr>
                <w:sz w:val="21"/>
                <w:szCs w:val="21"/>
              </w:rPr>
            </w:pPr>
            <w:r w:rsidRPr="00715D0F">
              <w:rPr>
                <w:sz w:val="21"/>
                <w:szCs w:val="21"/>
              </w:rPr>
              <w:t>反向</w:t>
            </w:r>
          </w:p>
        </w:tc>
        <w:tc>
          <w:tcPr>
            <w:tcW w:w="2180" w:type="dxa"/>
            <w:vAlign w:val="center"/>
          </w:tcPr>
          <w:p w14:paraId="0D071836" w14:textId="471A114E" w:rsidR="00715D0F" w:rsidRPr="00715D0F" w:rsidRDefault="00715D0F" w:rsidP="00715D0F">
            <w:pPr>
              <w:pStyle w:val="13"/>
              <w:ind w:firstLineChars="0" w:firstLine="0"/>
              <w:jc w:val="center"/>
              <w:rPr>
                <w:sz w:val="21"/>
                <w:szCs w:val="21"/>
              </w:rPr>
            </w:pPr>
            <w:r w:rsidRPr="00715D0F">
              <w:rPr>
                <w:sz w:val="21"/>
                <w:szCs w:val="21"/>
              </w:rPr>
              <w:t>同向</w:t>
            </w:r>
          </w:p>
        </w:tc>
      </w:tr>
      <w:tr w:rsidR="00715D0F" w:rsidRPr="00715D0F" w14:paraId="650B4F3A" w14:textId="77777777" w:rsidTr="00715D0F">
        <w:tc>
          <w:tcPr>
            <w:tcW w:w="2180" w:type="dxa"/>
            <w:vAlign w:val="center"/>
          </w:tcPr>
          <w:p w14:paraId="6765FD40" w14:textId="3C2AE755" w:rsidR="00715D0F" w:rsidRPr="00715D0F" w:rsidRDefault="00715D0F" w:rsidP="00715D0F">
            <w:pPr>
              <w:pStyle w:val="13"/>
              <w:ind w:firstLineChars="0" w:firstLine="0"/>
              <w:rPr>
                <w:sz w:val="21"/>
                <w:szCs w:val="21"/>
              </w:rPr>
            </w:pPr>
            <w:r w:rsidRPr="00715D0F">
              <w:rPr>
                <w:rFonts w:hint="eastAsia"/>
                <w:sz w:val="21"/>
                <w:szCs w:val="21"/>
              </w:rPr>
              <w:t>行权期限</w:t>
            </w:r>
          </w:p>
        </w:tc>
        <w:tc>
          <w:tcPr>
            <w:tcW w:w="2180" w:type="dxa"/>
            <w:vAlign w:val="center"/>
          </w:tcPr>
          <w:p w14:paraId="4EB16F38" w14:textId="424780F4" w:rsidR="00715D0F" w:rsidRPr="00715D0F" w:rsidRDefault="00715D0F" w:rsidP="00715D0F">
            <w:pPr>
              <w:pStyle w:val="13"/>
              <w:ind w:firstLineChars="0" w:firstLine="0"/>
              <w:jc w:val="center"/>
              <w:rPr>
                <w:sz w:val="21"/>
                <w:szCs w:val="21"/>
              </w:rPr>
            </w:pPr>
            <w:r w:rsidRPr="00715D0F">
              <w:rPr>
                <w:sz w:val="21"/>
                <w:szCs w:val="21"/>
              </w:rPr>
              <w:t>T</w:t>
            </w:r>
          </w:p>
        </w:tc>
        <w:tc>
          <w:tcPr>
            <w:tcW w:w="2180" w:type="dxa"/>
            <w:vAlign w:val="center"/>
          </w:tcPr>
          <w:p w14:paraId="08049190" w14:textId="68F8F8FA" w:rsidR="00715D0F" w:rsidRPr="00715D0F" w:rsidRDefault="00715D0F" w:rsidP="00715D0F">
            <w:pPr>
              <w:pStyle w:val="13"/>
              <w:ind w:firstLineChars="0" w:firstLine="0"/>
              <w:jc w:val="center"/>
              <w:rPr>
                <w:sz w:val="21"/>
                <w:szCs w:val="21"/>
              </w:rPr>
            </w:pPr>
            <w:r w:rsidRPr="00715D0F">
              <w:rPr>
                <w:sz w:val="21"/>
                <w:szCs w:val="21"/>
              </w:rPr>
              <w:t>同向</w:t>
            </w:r>
          </w:p>
        </w:tc>
        <w:tc>
          <w:tcPr>
            <w:tcW w:w="2180" w:type="dxa"/>
            <w:vAlign w:val="center"/>
          </w:tcPr>
          <w:p w14:paraId="3250E91A" w14:textId="327482A9" w:rsidR="00715D0F" w:rsidRPr="00715D0F" w:rsidRDefault="00715D0F" w:rsidP="00715D0F">
            <w:pPr>
              <w:pStyle w:val="13"/>
              <w:ind w:firstLineChars="0" w:firstLine="0"/>
              <w:jc w:val="center"/>
              <w:rPr>
                <w:sz w:val="21"/>
                <w:szCs w:val="21"/>
              </w:rPr>
            </w:pPr>
            <w:r w:rsidRPr="00715D0F">
              <w:rPr>
                <w:sz w:val="21"/>
                <w:szCs w:val="21"/>
              </w:rPr>
              <w:t>同向</w:t>
            </w:r>
          </w:p>
        </w:tc>
      </w:tr>
      <w:tr w:rsidR="00715D0F" w:rsidRPr="00715D0F" w14:paraId="00EBF7E2" w14:textId="77777777" w:rsidTr="00715D0F">
        <w:tc>
          <w:tcPr>
            <w:tcW w:w="2180" w:type="dxa"/>
            <w:vAlign w:val="center"/>
          </w:tcPr>
          <w:p w14:paraId="7DEB5A87" w14:textId="7AB4710B" w:rsidR="00715D0F" w:rsidRPr="00715D0F" w:rsidRDefault="00715D0F" w:rsidP="00715D0F">
            <w:pPr>
              <w:pStyle w:val="13"/>
              <w:ind w:firstLineChars="0" w:firstLine="0"/>
              <w:rPr>
                <w:sz w:val="21"/>
                <w:szCs w:val="21"/>
              </w:rPr>
            </w:pPr>
            <w:r w:rsidRPr="00715D0F">
              <w:rPr>
                <w:rFonts w:hint="eastAsia"/>
                <w:sz w:val="21"/>
                <w:szCs w:val="21"/>
              </w:rPr>
              <w:t>波动率</w:t>
            </w:r>
          </w:p>
        </w:tc>
        <w:tc>
          <w:tcPr>
            <w:tcW w:w="2180" w:type="dxa"/>
            <w:vAlign w:val="center"/>
          </w:tcPr>
          <w:p w14:paraId="48FCF3EA" w14:textId="3F15958E" w:rsidR="00715D0F" w:rsidRPr="00715D0F" w:rsidRDefault="00715D0F" w:rsidP="00715D0F">
            <w:pPr>
              <w:pStyle w:val="13"/>
              <w:ind w:firstLineChars="0" w:firstLine="0"/>
              <w:jc w:val="center"/>
              <w:rPr>
                <w:sz w:val="21"/>
                <w:szCs w:val="21"/>
              </w:rPr>
            </w:pPr>
            <w:r w:rsidRPr="00715D0F">
              <w:rPr>
                <w:sz w:val="21"/>
                <w:szCs w:val="21"/>
              </w:rPr>
              <w:t>σ</w:t>
            </w:r>
          </w:p>
        </w:tc>
        <w:tc>
          <w:tcPr>
            <w:tcW w:w="2180" w:type="dxa"/>
            <w:vAlign w:val="center"/>
          </w:tcPr>
          <w:p w14:paraId="2B26300D" w14:textId="3AC56031" w:rsidR="00715D0F" w:rsidRPr="00715D0F" w:rsidRDefault="00715D0F" w:rsidP="00715D0F">
            <w:pPr>
              <w:pStyle w:val="13"/>
              <w:ind w:firstLineChars="0" w:firstLine="0"/>
              <w:jc w:val="center"/>
              <w:rPr>
                <w:sz w:val="21"/>
                <w:szCs w:val="21"/>
              </w:rPr>
            </w:pPr>
            <w:r w:rsidRPr="00715D0F">
              <w:rPr>
                <w:sz w:val="21"/>
                <w:szCs w:val="21"/>
              </w:rPr>
              <w:t>同向</w:t>
            </w:r>
          </w:p>
        </w:tc>
        <w:tc>
          <w:tcPr>
            <w:tcW w:w="2180" w:type="dxa"/>
            <w:vAlign w:val="center"/>
          </w:tcPr>
          <w:p w14:paraId="730E269B" w14:textId="410806A0" w:rsidR="00715D0F" w:rsidRPr="00715D0F" w:rsidRDefault="00715D0F" w:rsidP="00715D0F">
            <w:pPr>
              <w:pStyle w:val="13"/>
              <w:ind w:firstLineChars="0" w:firstLine="0"/>
              <w:jc w:val="center"/>
              <w:rPr>
                <w:sz w:val="21"/>
                <w:szCs w:val="21"/>
              </w:rPr>
            </w:pPr>
            <w:r w:rsidRPr="00715D0F">
              <w:rPr>
                <w:sz w:val="21"/>
                <w:szCs w:val="21"/>
              </w:rPr>
              <w:t>同向</w:t>
            </w:r>
          </w:p>
        </w:tc>
      </w:tr>
      <w:tr w:rsidR="00715D0F" w:rsidRPr="00715D0F" w14:paraId="2E788F96" w14:textId="77777777" w:rsidTr="00715D0F">
        <w:tc>
          <w:tcPr>
            <w:tcW w:w="2180" w:type="dxa"/>
            <w:vAlign w:val="center"/>
          </w:tcPr>
          <w:p w14:paraId="7791380B" w14:textId="3FF0B9BF" w:rsidR="00715D0F" w:rsidRPr="00715D0F" w:rsidRDefault="00715D0F" w:rsidP="00715D0F">
            <w:pPr>
              <w:pStyle w:val="13"/>
              <w:ind w:firstLineChars="0" w:firstLine="0"/>
              <w:rPr>
                <w:sz w:val="21"/>
                <w:szCs w:val="21"/>
              </w:rPr>
            </w:pPr>
            <w:r w:rsidRPr="00715D0F">
              <w:rPr>
                <w:rFonts w:hint="eastAsia"/>
                <w:sz w:val="21"/>
                <w:szCs w:val="21"/>
              </w:rPr>
              <w:t>无风险收益率</w:t>
            </w:r>
          </w:p>
        </w:tc>
        <w:tc>
          <w:tcPr>
            <w:tcW w:w="2180" w:type="dxa"/>
            <w:vAlign w:val="center"/>
          </w:tcPr>
          <w:p w14:paraId="191FFEE0" w14:textId="5C417629" w:rsidR="00715D0F" w:rsidRPr="00715D0F" w:rsidRDefault="00715D0F" w:rsidP="00715D0F">
            <w:pPr>
              <w:pStyle w:val="13"/>
              <w:ind w:firstLineChars="0" w:firstLine="0"/>
              <w:jc w:val="center"/>
              <w:rPr>
                <w:sz w:val="21"/>
                <w:szCs w:val="21"/>
              </w:rPr>
            </w:pPr>
            <w:r w:rsidRPr="00715D0F">
              <w:rPr>
                <w:sz w:val="21"/>
                <w:szCs w:val="21"/>
              </w:rPr>
              <w:t>r</w:t>
            </w:r>
          </w:p>
        </w:tc>
        <w:tc>
          <w:tcPr>
            <w:tcW w:w="2180" w:type="dxa"/>
            <w:vAlign w:val="center"/>
          </w:tcPr>
          <w:p w14:paraId="7B81A692" w14:textId="6BF30542" w:rsidR="00715D0F" w:rsidRPr="00715D0F" w:rsidRDefault="00715D0F" w:rsidP="00715D0F">
            <w:pPr>
              <w:pStyle w:val="13"/>
              <w:ind w:firstLineChars="0" w:firstLine="0"/>
              <w:jc w:val="center"/>
              <w:rPr>
                <w:sz w:val="21"/>
                <w:szCs w:val="21"/>
              </w:rPr>
            </w:pPr>
            <w:r w:rsidRPr="00715D0F">
              <w:rPr>
                <w:sz w:val="21"/>
                <w:szCs w:val="21"/>
              </w:rPr>
              <w:t>同向</w:t>
            </w:r>
          </w:p>
        </w:tc>
        <w:tc>
          <w:tcPr>
            <w:tcW w:w="2180" w:type="dxa"/>
            <w:vAlign w:val="center"/>
          </w:tcPr>
          <w:p w14:paraId="37E02F04" w14:textId="47D44AF6" w:rsidR="00715D0F" w:rsidRPr="00715D0F" w:rsidRDefault="00715D0F" w:rsidP="00715D0F">
            <w:pPr>
              <w:pStyle w:val="13"/>
              <w:ind w:firstLineChars="0" w:firstLine="0"/>
              <w:jc w:val="center"/>
              <w:rPr>
                <w:sz w:val="21"/>
                <w:szCs w:val="21"/>
              </w:rPr>
            </w:pPr>
            <w:r w:rsidRPr="00715D0F">
              <w:rPr>
                <w:sz w:val="21"/>
                <w:szCs w:val="21"/>
              </w:rPr>
              <w:t>反向</w:t>
            </w:r>
          </w:p>
        </w:tc>
      </w:tr>
    </w:tbl>
    <w:p w14:paraId="1C3B7707" w14:textId="30520523" w:rsidR="00715D0F" w:rsidRDefault="00715D0F" w:rsidP="00715D0F">
      <w:pPr>
        <w:pStyle w:val="13"/>
      </w:pPr>
    </w:p>
    <w:p w14:paraId="5275C559" w14:textId="77777777" w:rsidR="003C3C0B" w:rsidRDefault="003C3C0B" w:rsidP="003C3C0B">
      <w:pPr>
        <w:pStyle w:val="31"/>
        <w:spacing w:before="156" w:after="62"/>
      </w:pPr>
      <w:bookmarkStart w:id="47" w:name="_Toc81833327"/>
      <w:r>
        <w:rPr>
          <w:rFonts w:hint="eastAsia"/>
        </w:rPr>
        <w:t>珠宝首饰评估程序指导意见（</w:t>
      </w:r>
      <w:proofErr w:type="gramStart"/>
      <w:r>
        <w:rPr>
          <w:rFonts w:hint="eastAsia"/>
        </w:rPr>
        <w:t>中评协</w:t>
      </w:r>
      <w:proofErr w:type="gramEnd"/>
      <w:r>
        <w:rPr>
          <w:rFonts w:hint="eastAsia"/>
        </w:rPr>
        <w:t>〔</w:t>
      </w:r>
      <w:r>
        <w:t>2019〕36号）</w:t>
      </w:r>
      <w:bookmarkEnd w:id="47"/>
    </w:p>
    <w:p w14:paraId="0B20C572" w14:textId="77777777" w:rsidR="003C3C0B" w:rsidRDefault="003C3C0B" w:rsidP="003C3C0B">
      <w:pPr>
        <w:pStyle w:val="13"/>
        <w:ind w:firstLineChars="0" w:firstLine="0"/>
      </w:pPr>
      <w:r>
        <w:rPr>
          <w:rFonts w:hint="eastAsia"/>
        </w:rPr>
        <w:t>各省、自治区、直辖市、计划单列市资产评估协会（注册会计师协会）：</w:t>
      </w:r>
    </w:p>
    <w:p w14:paraId="03435F4A" w14:textId="685FA2C5" w:rsidR="003C3C0B" w:rsidRDefault="003C3C0B" w:rsidP="003C3C0B">
      <w:pPr>
        <w:pStyle w:val="13"/>
      </w:pPr>
      <w:r>
        <w:rPr>
          <w:rFonts w:hint="eastAsia"/>
        </w:rPr>
        <w:t>为规范资产评估执业行为，保证资产评估执业质量，保护资产评估当事人合法权益和公共利益，在财政部指导下，中国资产评估协会根据《资产评估执业准则—资产评估程序》和《资产评估执业准则—珠宝首饰》，制定了《珠宝首饰评估程序指导意见》</w:t>
      </w:r>
      <w:r w:rsidR="00B25A16">
        <w:rPr>
          <w:rFonts w:hint="eastAsia"/>
        </w:rPr>
        <w:t>，</w:t>
      </w:r>
      <w:r>
        <w:t>现予印发，自 2020</w:t>
      </w:r>
      <w:r w:rsidR="003068F8">
        <w:t>年</w:t>
      </w:r>
      <w:r>
        <w:t>3</w:t>
      </w:r>
      <w:r w:rsidR="003068F8">
        <w:t>月</w:t>
      </w:r>
      <w:r>
        <w:t>1</w:t>
      </w:r>
      <w:r w:rsidR="003068F8">
        <w:t>日</w:t>
      </w:r>
      <w:r>
        <w:t>起施行。</w:t>
      </w:r>
    </w:p>
    <w:p w14:paraId="6687B64E" w14:textId="77777777" w:rsidR="003C3C0B" w:rsidRDefault="003C3C0B" w:rsidP="003C3C0B">
      <w:pPr>
        <w:pStyle w:val="13"/>
      </w:pPr>
      <w:r>
        <w:rPr>
          <w:rFonts w:hint="eastAsia"/>
        </w:rPr>
        <w:t>请各地</w:t>
      </w:r>
      <w:proofErr w:type="gramStart"/>
      <w:r>
        <w:rPr>
          <w:rFonts w:hint="eastAsia"/>
        </w:rPr>
        <w:t>方协会</w:t>
      </w:r>
      <w:proofErr w:type="gramEnd"/>
      <w:r>
        <w:rPr>
          <w:rFonts w:hint="eastAsia"/>
        </w:rPr>
        <w:t>将《珠宝首饰评估程序指导意见》及时转发资产评估机构，组织学习和培训，并将执行过程中发现的问题及时上报中国资产评估协会。</w:t>
      </w:r>
    </w:p>
    <w:p w14:paraId="52AA78B4" w14:textId="0BA57BB6" w:rsidR="003C3C0B" w:rsidRDefault="003C3C0B" w:rsidP="003C3C0B">
      <w:pPr>
        <w:pStyle w:val="13"/>
      </w:pPr>
      <w:r>
        <w:rPr>
          <w:rFonts w:hint="eastAsia"/>
        </w:rPr>
        <w:t>附件：</w:t>
      </w:r>
      <w:r>
        <w:t>1.珠宝首饰评估程序指导意见</w:t>
      </w:r>
    </w:p>
    <w:p w14:paraId="70E56AC7" w14:textId="77777777" w:rsidR="003C3C0B" w:rsidRDefault="003C3C0B" w:rsidP="00B25A16">
      <w:pPr>
        <w:pStyle w:val="13"/>
        <w:ind w:firstLineChars="500" w:firstLine="1200"/>
      </w:pPr>
      <w:r>
        <w:t>2.珠宝首饰评估程序指导意见 起草说明</w:t>
      </w:r>
    </w:p>
    <w:p w14:paraId="3D9980DB" w14:textId="77777777" w:rsidR="003C3C0B" w:rsidRDefault="003C3C0B" w:rsidP="003C3C0B">
      <w:pPr>
        <w:pStyle w:val="13"/>
        <w:jc w:val="right"/>
      </w:pPr>
      <w:r>
        <w:rPr>
          <w:rFonts w:hint="eastAsia"/>
        </w:rPr>
        <w:t>中国资产评估协会</w:t>
      </w:r>
    </w:p>
    <w:p w14:paraId="3167CCA6" w14:textId="31E8DE52" w:rsidR="007E4B49" w:rsidRDefault="003C3C0B" w:rsidP="003C3C0B">
      <w:pPr>
        <w:pStyle w:val="13"/>
        <w:jc w:val="right"/>
      </w:pPr>
      <w:r>
        <w:t>2019</w:t>
      </w:r>
      <w:r w:rsidR="003068F8">
        <w:t>年</w:t>
      </w:r>
      <w:r>
        <w:t>12</w:t>
      </w:r>
      <w:r w:rsidR="003068F8">
        <w:t>月</w:t>
      </w:r>
      <w:r>
        <w:t>4</w:t>
      </w:r>
      <w:r w:rsidR="003068F8">
        <w:t>日</w:t>
      </w:r>
    </w:p>
    <w:p w14:paraId="2F81BA74" w14:textId="77777777" w:rsidR="00B25A16" w:rsidRDefault="00B25A16" w:rsidP="00AF7342">
      <w:pPr>
        <w:pStyle w:val="a9"/>
        <w:spacing w:before="62" w:after="62"/>
      </w:pPr>
      <w:r>
        <w:rPr>
          <w:rFonts w:hint="eastAsia"/>
        </w:rPr>
        <w:t>珠宝首饰评估程序指导意见</w:t>
      </w:r>
    </w:p>
    <w:p w14:paraId="1EDACF41" w14:textId="77777777" w:rsidR="00B25A16" w:rsidRDefault="00B25A16" w:rsidP="00AF7342">
      <w:pPr>
        <w:pStyle w:val="a9"/>
        <w:spacing w:before="62" w:after="62"/>
      </w:pPr>
      <w:r>
        <w:rPr>
          <w:rFonts w:hint="eastAsia"/>
        </w:rPr>
        <w:t>第一章</w:t>
      </w:r>
      <w:r>
        <w:t xml:space="preserve"> 总则</w:t>
      </w:r>
    </w:p>
    <w:p w14:paraId="4B4DC5A8" w14:textId="3E53BED8" w:rsidR="00B25A16" w:rsidRDefault="004E3EBB" w:rsidP="00B25A16">
      <w:pPr>
        <w:pStyle w:val="13"/>
        <w:ind w:firstLine="482"/>
      </w:pPr>
      <w:r w:rsidRPr="004E3EBB">
        <w:rPr>
          <w:rFonts w:hint="eastAsia"/>
          <w:b/>
          <w:bCs/>
        </w:rPr>
        <w:t xml:space="preserve">第一条 </w:t>
      </w:r>
      <w:r w:rsidR="00B25A16">
        <w:t>为规范珠宝首饰评估行为，明确和完善珠宝首饰评估程序，保护资产评估当事人合法权益和公共利益，根据《资产评估执业准则—资产评估程序》和《资产评估执业准则—珠宝首饰》，制定本指导意见。</w:t>
      </w:r>
    </w:p>
    <w:p w14:paraId="01A49E18" w14:textId="7FA19261" w:rsidR="00B25A16" w:rsidRDefault="004E3EBB" w:rsidP="00B25A16">
      <w:pPr>
        <w:pStyle w:val="13"/>
        <w:ind w:firstLine="482"/>
      </w:pPr>
      <w:r w:rsidRPr="004E3EBB">
        <w:rPr>
          <w:rFonts w:hint="eastAsia"/>
          <w:b/>
          <w:bCs/>
        </w:rPr>
        <w:t xml:space="preserve">第二条 </w:t>
      </w:r>
      <w:r w:rsidR="00B25A16">
        <w:t>本指导意见所称珠宝首饰评估程序，是指资产评估机构及其珠宝评估专业人员遵守法律、行政法规和资产评估准则，执行珠宝首饰评估业务时所履行的专业</w:t>
      </w:r>
      <w:r w:rsidR="00B25A16">
        <w:lastRenderedPageBreak/>
        <w:t>技术性工作步骤，是对《资产评估执业准则—珠宝首饰》相关操作程序的细化。</w:t>
      </w:r>
    </w:p>
    <w:p w14:paraId="2351ACF4" w14:textId="2C71BA00" w:rsidR="00B25A16" w:rsidRDefault="004E3EBB" w:rsidP="00B25A16">
      <w:pPr>
        <w:pStyle w:val="13"/>
        <w:ind w:firstLine="482"/>
      </w:pPr>
      <w:r w:rsidRPr="004E3EBB">
        <w:rPr>
          <w:rFonts w:hint="eastAsia"/>
          <w:b/>
          <w:bCs/>
        </w:rPr>
        <w:t xml:space="preserve">第三条 </w:t>
      </w:r>
      <w:r w:rsidR="00B25A16">
        <w:t>执行珠宝首饰评估业务，应当遵守本指导意见。</w:t>
      </w:r>
    </w:p>
    <w:p w14:paraId="0F64C2E5" w14:textId="77777777" w:rsidR="00B25A16" w:rsidRDefault="00B25A16" w:rsidP="00AF7342">
      <w:pPr>
        <w:pStyle w:val="a9"/>
        <w:spacing w:before="62" w:after="62"/>
      </w:pPr>
      <w:r>
        <w:rPr>
          <w:rFonts w:hint="eastAsia"/>
        </w:rPr>
        <w:t>第二章</w:t>
      </w:r>
      <w:r>
        <w:t xml:space="preserve"> 基本遵循</w:t>
      </w:r>
    </w:p>
    <w:p w14:paraId="2795774A" w14:textId="16776663" w:rsidR="00B25A16" w:rsidRDefault="004E3EBB" w:rsidP="00B25A16">
      <w:pPr>
        <w:pStyle w:val="13"/>
        <w:ind w:firstLine="482"/>
      </w:pPr>
      <w:r w:rsidRPr="004E3EBB">
        <w:rPr>
          <w:rFonts w:hint="eastAsia"/>
          <w:b/>
          <w:bCs/>
        </w:rPr>
        <w:t xml:space="preserve">第四条 </w:t>
      </w:r>
      <w:r w:rsidR="00B25A16">
        <w:t>执行珠宝首饰评估业务的资产评估机构及其珠宝评估专业人员，应当坚持独立、客观、公正的原则，诚实守信，勤勉尽责，谨慎从业，遵守职业道德规范，独立进行分析和估算并形成专业意见。</w:t>
      </w:r>
    </w:p>
    <w:p w14:paraId="2C0E1488" w14:textId="2A7A59CC" w:rsidR="00B25A16" w:rsidRDefault="004E3EBB" w:rsidP="00B25A16">
      <w:pPr>
        <w:pStyle w:val="13"/>
        <w:ind w:firstLine="482"/>
      </w:pPr>
      <w:r w:rsidRPr="004E3EBB">
        <w:rPr>
          <w:rFonts w:hint="eastAsia"/>
          <w:b/>
          <w:bCs/>
        </w:rPr>
        <w:t xml:space="preserve">第五条 </w:t>
      </w:r>
      <w:r w:rsidR="00B25A16">
        <w:t>珠宝评估专业人员，除具备资产评估相关知识外，应当具备珠宝首饰专业知识和珠宝首饰评估实践经验，能够胜任所执行的珠宝首饰评估业务。</w:t>
      </w:r>
    </w:p>
    <w:p w14:paraId="73A90F10" w14:textId="23039ED1" w:rsidR="00B25A16" w:rsidRDefault="004E3EBB" w:rsidP="00B25A16">
      <w:pPr>
        <w:pStyle w:val="13"/>
        <w:ind w:firstLine="482"/>
      </w:pPr>
      <w:r w:rsidRPr="004E3EBB">
        <w:rPr>
          <w:rFonts w:hint="eastAsia"/>
          <w:b/>
          <w:bCs/>
        </w:rPr>
        <w:t xml:space="preserve">第六条 </w:t>
      </w:r>
      <w:r w:rsidR="00B25A16">
        <w:t>珠宝评估专业人员应当掌握珠宝玉石和贵金属的主要鉴定特征和鉴定方法，掌握珠宝玉石的品质评价要素和评价方法，掌握珠宝首饰鉴定、分类和分级的国家标准 等相关法规和标准。</w:t>
      </w:r>
    </w:p>
    <w:p w14:paraId="37B3D7AB" w14:textId="3D915117" w:rsidR="00B25A16" w:rsidRDefault="004E3EBB" w:rsidP="00B25A16">
      <w:pPr>
        <w:pStyle w:val="13"/>
        <w:ind w:firstLine="482"/>
      </w:pPr>
      <w:r w:rsidRPr="004E3EBB">
        <w:rPr>
          <w:rFonts w:hint="eastAsia"/>
          <w:b/>
          <w:bCs/>
        </w:rPr>
        <w:t xml:space="preserve">第七条 </w:t>
      </w:r>
      <w:r w:rsidR="00B25A16">
        <w:t>执行珠宝首饰评估业务，应当考虑评估目的、市场条件、评估对象特点等因素，恰当选择价值类型和评估方法，合理使用评估假设。</w:t>
      </w:r>
    </w:p>
    <w:p w14:paraId="09658288" w14:textId="77777777" w:rsidR="00B25A16" w:rsidRDefault="00B25A16" w:rsidP="00AF7342">
      <w:pPr>
        <w:pStyle w:val="a9"/>
        <w:spacing w:before="62" w:after="62"/>
      </w:pPr>
      <w:r>
        <w:rPr>
          <w:rFonts w:hint="eastAsia"/>
        </w:rPr>
        <w:t>第三章</w:t>
      </w:r>
      <w:r>
        <w:t xml:space="preserve"> 评估对象</w:t>
      </w:r>
    </w:p>
    <w:p w14:paraId="164D52DB" w14:textId="1878D458" w:rsidR="00B25A16" w:rsidRDefault="004E3EBB" w:rsidP="00B25A16">
      <w:pPr>
        <w:pStyle w:val="13"/>
        <w:ind w:firstLine="482"/>
      </w:pPr>
      <w:r w:rsidRPr="004E3EBB">
        <w:rPr>
          <w:rFonts w:hint="eastAsia"/>
          <w:b/>
          <w:bCs/>
        </w:rPr>
        <w:t xml:space="preserve">第八条 </w:t>
      </w:r>
      <w:r w:rsidR="00B25A16">
        <w:t>评估对象应当为合法拥有，或者合法处置，或者依法裁定的珠宝首饰实物资产。</w:t>
      </w:r>
    </w:p>
    <w:p w14:paraId="2F705EEC" w14:textId="02CDE7B6" w:rsidR="00B25A16" w:rsidRDefault="00E05BDA" w:rsidP="00B25A16">
      <w:pPr>
        <w:pStyle w:val="13"/>
        <w:ind w:firstLine="482"/>
      </w:pPr>
      <w:r w:rsidRPr="00E05BDA">
        <w:rPr>
          <w:rFonts w:hint="eastAsia"/>
          <w:b/>
          <w:bCs/>
        </w:rPr>
        <w:t xml:space="preserve">第九条 </w:t>
      </w:r>
      <w:r w:rsidR="00B25A16">
        <w:t>根据项目具体情况和委托人的要求，评估对象可以是单体珠宝首饰或者批量珠宝首饰。</w:t>
      </w:r>
    </w:p>
    <w:p w14:paraId="04F64287" w14:textId="77777777" w:rsidR="00B25A16" w:rsidRDefault="00B25A16" w:rsidP="00B25A16">
      <w:pPr>
        <w:pStyle w:val="13"/>
      </w:pPr>
      <w:r>
        <w:rPr>
          <w:rFonts w:hint="eastAsia"/>
        </w:rPr>
        <w:t>批量珠宝首饰是泛指各种类别、各种数量的珠宝首饰组合。</w:t>
      </w:r>
    </w:p>
    <w:p w14:paraId="7662F0C2" w14:textId="77777777" w:rsidR="00B25A16" w:rsidRDefault="00B25A16" w:rsidP="00AF7342">
      <w:pPr>
        <w:pStyle w:val="a9"/>
        <w:spacing w:before="62" w:after="62"/>
      </w:pPr>
      <w:r>
        <w:rPr>
          <w:rFonts w:hint="eastAsia"/>
        </w:rPr>
        <w:t>第四章</w:t>
      </w:r>
      <w:r>
        <w:t xml:space="preserve"> 操作要求</w:t>
      </w:r>
    </w:p>
    <w:p w14:paraId="4CBB39C3" w14:textId="6670C638" w:rsidR="00B25A16" w:rsidRDefault="00E05BDA" w:rsidP="00B25A16">
      <w:pPr>
        <w:pStyle w:val="13"/>
        <w:ind w:firstLine="482"/>
      </w:pPr>
      <w:r w:rsidRPr="00E05BDA">
        <w:rPr>
          <w:rFonts w:hint="eastAsia"/>
          <w:b/>
          <w:bCs/>
        </w:rPr>
        <w:t xml:space="preserve">第十条 </w:t>
      </w:r>
      <w:r w:rsidR="00B25A16">
        <w:t>执行珠宝首饰评估业务，应当遵守《资产评估执业准则—资产评估程序》，并结合珠宝首饰评估业务的具体情况，履行下列珠宝首饰评估程序：明确评估基本事项、订立业务委托合同、编制资产评估计划、现场核查鉴定分析、收集整理评估资料、评定估算形成结论、编制出具评估报告、整理归集评估档案。</w:t>
      </w:r>
    </w:p>
    <w:p w14:paraId="45A3CE46" w14:textId="256FB029" w:rsidR="00B25A16" w:rsidRDefault="00E05BDA" w:rsidP="00B25A16">
      <w:pPr>
        <w:pStyle w:val="13"/>
        <w:ind w:firstLine="482"/>
      </w:pPr>
      <w:r w:rsidRPr="00E05BDA">
        <w:rPr>
          <w:rFonts w:hint="eastAsia"/>
          <w:b/>
          <w:bCs/>
        </w:rPr>
        <w:t xml:space="preserve">第十一条 </w:t>
      </w:r>
      <w:r w:rsidR="00B25A16">
        <w:t>资产评估机构受理珠宝首饰评估业务前，应当明确珠宝首饰评估基本事项。重点关注以下方面：</w:t>
      </w:r>
    </w:p>
    <w:p w14:paraId="382D2481" w14:textId="77777777" w:rsidR="00B25A16" w:rsidRDefault="00B25A16" w:rsidP="00B25A16">
      <w:pPr>
        <w:pStyle w:val="13"/>
      </w:pPr>
      <w:r>
        <w:rPr>
          <w:rFonts w:hint="eastAsia"/>
        </w:rPr>
        <w:t>（一）明确评估目的，了解珠宝首饰资产评估报告所服务的经济行为、委托人和其他相关当事人。</w:t>
      </w:r>
    </w:p>
    <w:p w14:paraId="36DE30DF" w14:textId="5E298764" w:rsidR="00B25A16" w:rsidRDefault="00B25A16" w:rsidP="00B25A16">
      <w:pPr>
        <w:pStyle w:val="13"/>
      </w:pPr>
      <w:r>
        <w:rPr>
          <w:rFonts w:hint="eastAsia"/>
        </w:rPr>
        <w:t>（二）明确评估对象和评估范围，关注评估对象的权属。珠宝评估专业人员应当对珠宝首饰的相关权属资料进行必要的查验。如果法律权属不清、存在瑕疵，权属关系复杂，</w:t>
      </w:r>
      <w:r>
        <w:t>权属资料不完备，应当要求委托人或者相关当事人对珠宝首饰的权属提供承诺函或者说明函。</w:t>
      </w:r>
    </w:p>
    <w:p w14:paraId="0505A3D9" w14:textId="77777777" w:rsidR="00B25A16" w:rsidRDefault="00B25A16" w:rsidP="00B25A16">
      <w:pPr>
        <w:pStyle w:val="13"/>
      </w:pPr>
      <w:r>
        <w:rPr>
          <w:rFonts w:hint="eastAsia"/>
        </w:rPr>
        <w:t>（三）明确评估基准日以及资产评估报告提交期限。</w:t>
      </w:r>
    </w:p>
    <w:p w14:paraId="446B5E39" w14:textId="77777777" w:rsidR="00B25A16" w:rsidRDefault="00B25A16" w:rsidP="00B25A16">
      <w:pPr>
        <w:pStyle w:val="13"/>
      </w:pPr>
      <w:r>
        <w:rPr>
          <w:rFonts w:hint="eastAsia"/>
        </w:rPr>
        <w:lastRenderedPageBreak/>
        <w:t>（四）明确评估工作的责任，对业务风险进行综合分析和评价。如果存在超出专业胜任能力、超出可控的执业和道德风险、工作条件受到限制致使评估程序关键环节缺失等情况，资产评估机构不得受理评估业务。</w:t>
      </w:r>
    </w:p>
    <w:p w14:paraId="47F32710" w14:textId="3A918A1C" w:rsidR="00B25A16" w:rsidRDefault="00E05BDA" w:rsidP="00B25A16">
      <w:pPr>
        <w:pStyle w:val="13"/>
        <w:ind w:firstLine="482"/>
      </w:pPr>
      <w:r w:rsidRPr="00E05BDA">
        <w:rPr>
          <w:rFonts w:hint="eastAsia"/>
          <w:b/>
          <w:bCs/>
        </w:rPr>
        <w:t xml:space="preserve">第十二条 </w:t>
      </w:r>
      <w:r w:rsidR="00B25A16">
        <w:t>资产评估机构受理珠宝首饰评估业务应当与委托人依法订立资产评估委托合同，约定资产评估机构和委托人权利、义务、违约责任和争议解决等内容。</w:t>
      </w:r>
    </w:p>
    <w:p w14:paraId="562E6E79" w14:textId="41E437E5" w:rsidR="00B25A16" w:rsidRDefault="00E05BDA" w:rsidP="00B25A16">
      <w:pPr>
        <w:pStyle w:val="13"/>
        <w:ind w:firstLine="482"/>
      </w:pPr>
      <w:r w:rsidRPr="00E05BDA">
        <w:rPr>
          <w:rFonts w:hint="eastAsia"/>
          <w:b/>
          <w:bCs/>
        </w:rPr>
        <w:t xml:space="preserve">第十三条 </w:t>
      </w:r>
      <w:r w:rsidR="00B25A16">
        <w:t>执行珠宝首饰评估业务，应当编制评估计划。</w:t>
      </w:r>
    </w:p>
    <w:p w14:paraId="4E50F3BE" w14:textId="77777777" w:rsidR="00B25A16" w:rsidRDefault="00B25A16" w:rsidP="00B25A16">
      <w:pPr>
        <w:pStyle w:val="13"/>
      </w:pPr>
      <w:r>
        <w:rPr>
          <w:rFonts w:hint="eastAsia"/>
        </w:rPr>
        <w:t>评估计划可以包括珠宝首饰评估业务实施的主要过程</w:t>
      </w:r>
      <w:r>
        <w:t xml:space="preserve"> 以及拟采用的评估方法、时间进度、珠宝评估专业人员安排等。</w:t>
      </w:r>
    </w:p>
    <w:p w14:paraId="37CE6F5C" w14:textId="77777777" w:rsidR="00B25A16" w:rsidRDefault="00B25A16" w:rsidP="00B25A16">
      <w:pPr>
        <w:pStyle w:val="13"/>
      </w:pPr>
      <w:r>
        <w:rPr>
          <w:rFonts w:hint="eastAsia"/>
        </w:rPr>
        <w:t>评估计划应当根据具体工作的推进效果进行适当调整。</w:t>
      </w:r>
    </w:p>
    <w:p w14:paraId="2C40C334" w14:textId="2445BD8A" w:rsidR="00B25A16" w:rsidRDefault="00E05BDA" w:rsidP="00B25A16">
      <w:pPr>
        <w:pStyle w:val="13"/>
        <w:ind w:firstLine="482"/>
      </w:pPr>
      <w:r w:rsidRPr="00E05BDA">
        <w:rPr>
          <w:b/>
          <w:bCs/>
        </w:rPr>
        <w:t xml:space="preserve">第十四条 </w:t>
      </w:r>
      <w:r w:rsidR="00B25A16">
        <w:t>执行单体珠宝首饰评估业务，应当履行实物</w:t>
      </w:r>
      <w:r w:rsidR="00B25A16">
        <w:rPr>
          <w:rFonts w:hint="eastAsia"/>
        </w:rPr>
        <w:t>核查、鉴定和鉴定复核、品质和价值特征分析、描述记录等程序。</w:t>
      </w:r>
    </w:p>
    <w:p w14:paraId="4B8D79DB" w14:textId="77777777" w:rsidR="00B25A16" w:rsidRDefault="00B25A16" w:rsidP="00B25A16">
      <w:pPr>
        <w:pStyle w:val="13"/>
      </w:pPr>
      <w:r>
        <w:rPr>
          <w:rFonts w:hint="eastAsia"/>
        </w:rPr>
        <w:t>（一）实物核查。核查评估对象实物状态，完成委托样品确认或者交接。</w:t>
      </w:r>
    </w:p>
    <w:p w14:paraId="0D88A9D8" w14:textId="77777777" w:rsidR="00B25A16" w:rsidRDefault="00B25A16" w:rsidP="00B25A16">
      <w:pPr>
        <w:pStyle w:val="13"/>
      </w:pPr>
      <w:r>
        <w:rPr>
          <w:rFonts w:hint="eastAsia"/>
        </w:rPr>
        <w:t>（二）鉴定和鉴定复核。</w:t>
      </w:r>
    </w:p>
    <w:p w14:paraId="4A679B02" w14:textId="77777777" w:rsidR="00B25A16" w:rsidRDefault="00B25A16" w:rsidP="00B25A16">
      <w:pPr>
        <w:pStyle w:val="13"/>
      </w:pPr>
      <w:r>
        <w:t>1.采用现行国家标准对评估对象进行无损鉴定，例如，采用GB/T 16552、GB/T 16553等相关标准确定珠宝玉石种属类别，采用GB 11887 等相关标准确定贵金属种类和含量。</w:t>
      </w:r>
    </w:p>
    <w:p w14:paraId="4547E92F" w14:textId="03B26E14" w:rsidR="00B25A16" w:rsidRDefault="00B25A16" w:rsidP="00B25A16">
      <w:pPr>
        <w:pStyle w:val="13"/>
      </w:pPr>
      <w:r>
        <w:t>2.珠宝评估专业人员对已有鉴定机构出具鉴定、分级结论的评估对象，应当进行必</w:t>
      </w:r>
      <w:r>
        <w:rPr>
          <w:rFonts w:hint="eastAsia"/>
        </w:rPr>
        <w:t>要的实物鉴定、</w:t>
      </w:r>
      <w:proofErr w:type="gramStart"/>
      <w:r>
        <w:rPr>
          <w:rFonts w:hint="eastAsia"/>
        </w:rPr>
        <w:t>分级并</w:t>
      </w:r>
      <w:proofErr w:type="gramEnd"/>
      <w:r>
        <w:rPr>
          <w:rFonts w:hint="eastAsia"/>
        </w:rPr>
        <w:t>对已有鉴定、分级结论进行复核。</w:t>
      </w:r>
    </w:p>
    <w:p w14:paraId="72C98723" w14:textId="766C8BA7" w:rsidR="00B25A16" w:rsidRDefault="00B25A16" w:rsidP="00B25A16">
      <w:pPr>
        <w:pStyle w:val="13"/>
      </w:pPr>
      <w:r>
        <w:t>3.特殊情况下的样品鉴定或者有损鉴定，需征得所有权人或者委托人的书面许可。</w:t>
      </w:r>
    </w:p>
    <w:p w14:paraId="38524C77" w14:textId="6F359A47" w:rsidR="00B25A16" w:rsidRDefault="00B25A16" w:rsidP="00B25A16">
      <w:pPr>
        <w:pStyle w:val="13"/>
      </w:pPr>
      <w:r>
        <w:t>4.对疑难样品或者存疑样品，与委托人沟通后，由双方共同认可的第三方机构进行样品鉴定。</w:t>
      </w:r>
    </w:p>
    <w:p w14:paraId="484C49B8" w14:textId="77777777" w:rsidR="00B25A16" w:rsidRDefault="00B25A16" w:rsidP="00B25A16">
      <w:pPr>
        <w:pStyle w:val="13"/>
      </w:pPr>
      <w:r>
        <w:rPr>
          <w:rFonts w:hint="eastAsia"/>
        </w:rPr>
        <w:t>（三）品质和价值特征分析。采用相应的国家标准以及行业标准等，对评估对象进行品质和价值特征分析。如果没有相应的国家标准以及行业分级标准，可以参照国内外市场通用的分级体系。</w:t>
      </w:r>
    </w:p>
    <w:p w14:paraId="31B5058A" w14:textId="77777777" w:rsidR="00B25A16" w:rsidRDefault="00B25A16" w:rsidP="00B25A16">
      <w:pPr>
        <w:pStyle w:val="13"/>
      </w:pPr>
      <w:r>
        <w:rPr>
          <w:rFonts w:hint="eastAsia"/>
        </w:rPr>
        <w:t>（四）描述记录。根据评估对象种类，对评估对象的品质和价值特征分析等进行描述记录（参照附表）。描述方式包括文字、表格、图示、照片等。</w:t>
      </w:r>
    </w:p>
    <w:p w14:paraId="08A255FA" w14:textId="6A788F68" w:rsidR="00B25A16" w:rsidRDefault="00B25A16" w:rsidP="00B25A16">
      <w:pPr>
        <w:pStyle w:val="13"/>
      </w:pPr>
      <w:r>
        <w:rPr>
          <w:rFonts w:hint="eastAsia"/>
        </w:rPr>
        <w:t>（五）如果存在评估对象实物缺失、残损等情形，应当根据法律法规要求，依据有效历史信息资料，由珠宝评估专业人员确定是否执行假设条件下的评估工作。如果执行，</w:t>
      </w:r>
      <w:r>
        <w:t>应当在珠宝首饰资产评估报告中对实物缺失、残损等情形予以披露。</w:t>
      </w:r>
    </w:p>
    <w:p w14:paraId="56C91F4D" w14:textId="3F9DC72C" w:rsidR="00B25A16" w:rsidRDefault="00E05BDA" w:rsidP="00B25A16">
      <w:pPr>
        <w:pStyle w:val="13"/>
        <w:ind w:firstLine="482"/>
      </w:pPr>
      <w:r w:rsidRPr="00E05BDA">
        <w:rPr>
          <w:rFonts w:hint="eastAsia"/>
          <w:b/>
          <w:bCs/>
        </w:rPr>
        <w:t xml:space="preserve">第十五条 </w:t>
      </w:r>
      <w:r w:rsidR="00B25A16">
        <w:t>批量珠宝首饰评估是在单体珠宝首饰鉴定分级等工作基础上，对价值特征同质化的珠宝首饰组合或者批次，进行合理的系统性评估。执行批量珠宝首饰评估业务，应当结合单体珠宝首饰评估程序，重点履行下列程序：</w:t>
      </w:r>
    </w:p>
    <w:p w14:paraId="7742BB43" w14:textId="1741A9C2" w:rsidR="00B25A16" w:rsidRDefault="00B25A16" w:rsidP="00B25A16">
      <w:pPr>
        <w:pStyle w:val="13"/>
      </w:pPr>
      <w:r>
        <w:rPr>
          <w:rFonts w:hint="eastAsia"/>
        </w:rPr>
        <w:t>（一）批量珠宝首饰核查。根据委托人确认的珠宝首饰资产清单对实物进行核</w:t>
      </w:r>
      <w:r>
        <w:rPr>
          <w:rFonts w:hint="eastAsia"/>
        </w:rPr>
        <w:lastRenderedPageBreak/>
        <w:t>查，</w:t>
      </w:r>
      <w:r>
        <w:t>确认珠宝首饰的实物存在状态，尽可能收集和核实评估对象的相关信息。通常包括：</w:t>
      </w:r>
    </w:p>
    <w:p w14:paraId="56170262" w14:textId="146372D6" w:rsidR="00B25A16" w:rsidRDefault="00B25A16" w:rsidP="00B25A16">
      <w:pPr>
        <w:pStyle w:val="13"/>
      </w:pPr>
      <w:r>
        <w:t>1.观察珠宝首饰的存放状况，了解管理情况，并记录。</w:t>
      </w:r>
    </w:p>
    <w:p w14:paraId="4BC34BFB" w14:textId="29E931A6" w:rsidR="00B25A16" w:rsidRDefault="00B25A16" w:rsidP="00B25A16">
      <w:pPr>
        <w:pStyle w:val="13"/>
      </w:pPr>
      <w:r>
        <w:t>2.核查珠宝首饰实物数量和品种。根据资产清单进行现场核查盘点。如果评估基准日与现场核查工作日不一致，且实物处于流通状态，可以根据委托人提供的流转数据，进行评估基准日与现场核查工作日之间的数据核对，分析并推算评估基准</w:t>
      </w:r>
      <w:proofErr w:type="gramStart"/>
      <w:r>
        <w:t>日资产</w:t>
      </w:r>
      <w:proofErr w:type="gramEnd"/>
      <w:r>
        <w:t>数量，如果有偏差，判断其合理性，并记录。</w:t>
      </w:r>
    </w:p>
    <w:p w14:paraId="1E46C8FB" w14:textId="19683971" w:rsidR="00B25A16" w:rsidRDefault="00B25A16" w:rsidP="00B25A16">
      <w:pPr>
        <w:pStyle w:val="13"/>
      </w:pPr>
      <w:r>
        <w:t>3.收集凭证资料。对委托人提供的流转数据凭证等资料，进行核查确认，记录存档。</w:t>
      </w:r>
    </w:p>
    <w:p w14:paraId="1C991522" w14:textId="4E706FBA" w:rsidR="00B25A16" w:rsidRDefault="00B25A16" w:rsidP="00B25A16">
      <w:pPr>
        <w:pStyle w:val="13"/>
      </w:pPr>
      <w:r>
        <w:t>4.确定评估对象和评估范围。根据资产清查情况，由相关盘点和</w:t>
      </w:r>
      <w:proofErr w:type="gramStart"/>
      <w:r>
        <w:t>监盘</w:t>
      </w:r>
      <w:proofErr w:type="gramEnd"/>
      <w:r>
        <w:t>人员，在资产盘点记录上签字确认。</w:t>
      </w:r>
    </w:p>
    <w:p w14:paraId="37CC8BEC" w14:textId="77777777" w:rsidR="00B25A16" w:rsidRDefault="00B25A16" w:rsidP="00B25A16">
      <w:pPr>
        <w:pStyle w:val="13"/>
      </w:pPr>
      <w:r>
        <w:rPr>
          <w:rFonts w:hint="eastAsia"/>
        </w:rPr>
        <w:t>（二）批量珠宝首饰的鉴定分类以及描述记录，通常包括：</w:t>
      </w:r>
    </w:p>
    <w:p w14:paraId="3D20BD05" w14:textId="302BF930" w:rsidR="00B25A16" w:rsidRDefault="00B25A16" w:rsidP="00B25A16">
      <w:pPr>
        <w:pStyle w:val="13"/>
      </w:pPr>
      <w:r>
        <w:t>1.鉴定和鉴定复核。在对珠宝首饰实物进行清点核查的过程中，珠宝评估专业人员应当通过初步鉴定和专业判断，确定鉴定和鉴定复核的工作重点。</w:t>
      </w:r>
    </w:p>
    <w:p w14:paraId="2C002BF4" w14:textId="7C5535EC" w:rsidR="00B25A16" w:rsidRDefault="00B25A16" w:rsidP="00B25A16">
      <w:pPr>
        <w:pStyle w:val="13"/>
      </w:pPr>
      <w:r>
        <w:t>2.分类。批量珠宝首饰可以依据种属、状态（如成品、裸石、原料等）、品质特征、工艺特征等因素进行分类。</w:t>
      </w:r>
    </w:p>
    <w:p w14:paraId="1DA2FFE4" w14:textId="36A9F812" w:rsidR="00B25A16" w:rsidRDefault="00B25A16" w:rsidP="00B25A16">
      <w:pPr>
        <w:pStyle w:val="13"/>
      </w:pPr>
      <w:r>
        <w:t>3.分类描述记录。根据珠宝首饰实物确定描述重点（参照附表）。描述方式可以采用文字、表格、图示、照片等。</w:t>
      </w:r>
    </w:p>
    <w:p w14:paraId="113F95EA" w14:textId="77777777" w:rsidR="00B25A16" w:rsidRDefault="00B25A16" w:rsidP="00B25A16">
      <w:pPr>
        <w:pStyle w:val="13"/>
      </w:pPr>
      <w:r>
        <w:rPr>
          <w:rFonts w:hint="eastAsia"/>
        </w:rPr>
        <w:t>对特殊的珠宝首饰</w:t>
      </w:r>
      <w:r>
        <w:t>,以及单体价值较高的珠宝首饰，可 以根据品种、特殊品质特征、特定作者、特别产地等,进行 独立分类和重点描述。</w:t>
      </w:r>
    </w:p>
    <w:p w14:paraId="4F66DB71" w14:textId="1692D12D" w:rsidR="00B25A16" w:rsidRDefault="00B25A16" w:rsidP="00B25A16">
      <w:pPr>
        <w:pStyle w:val="13"/>
      </w:pPr>
      <w:r>
        <w:rPr>
          <w:rFonts w:hint="eastAsia"/>
        </w:rPr>
        <w:t>对鉴定中的疑难样品，以及已有鉴定分级证书却仍存疑的样品，与委托人沟通后，</w:t>
      </w:r>
      <w:r>
        <w:t>由双方共同认可的第三方机构进行样品鉴定。</w:t>
      </w:r>
    </w:p>
    <w:p w14:paraId="37FD690D" w14:textId="77777777" w:rsidR="00B25A16" w:rsidRDefault="00B25A16" w:rsidP="00B25A16">
      <w:pPr>
        <w:pStyle w:val="13"/>
      </w:pPr>
      <w:r>
        <w:rPr>
          <w:rFonts w:hint="eastAsia"/>
        </w:rPr>
        <w:t>（三）批量珠宝首饰的品质和价值特征分析。根据市场情况和分类特点，对珠宝首饰实物分类进行品质和价值特征分析。对价值较高或者材质特殊的，应当重点关注和详细记录。</w:t>
      </w:r>
    </w:p>
    <w:p w14:paraId="0FB3D9E3" w14:textId="564DBA24" w:rsidR="00B25A16" w:rsidRDefault="00E05BDA" w:rsidP="00B25A16">
      <w:pPr>
        <w:pStyle w:val="13"/>
        <w:ind w:firstLine="482"/>
      </w:pPr>
      <w:r w:rsidRPr="00E05BDA">
        <w:rPr>
          <w:rFonts w:hint="eastAsia"/>
          <w:b/>
          <w:bCs/>
        </w:rPr>
        <w:t xml:space="preserve">第十六条 </w:t>
      </w:r>
      <w:r w:rsidR="00B25A16">
        <w:t>珠宝评估专业人员应当根据资产评估业务具体情况收集所需要的资料并对收集的资料进行专业分析，包括：</w:t>
      </w:r>
    </w:p>
    <w:p w14:paraId="01BA9BDB" w14:textId="77777777" w:rsidR="00B25A16" w:rsidRDefault="00B25A16" w:rsidP="00B25A16">
      <w:pPr>
        <w:pStyle w:val="13"/>
      </w:pPr>
      <w:r>
        <w:rPr>
          <w:rFonts w:hint="eastAsia"/>
        </w:rPr>
        <w:t>（一）通过各种专业渠道收集市场信息资料，例如，市场调研记录、相关查询记录、行业资讯、专业报告、专家访谈等。</w:t>
      </w:r>
    </w:p>
    <w:p w14:paraId="7173190C" w14:textId="77777777" w:rsidR="00B25A16" w:rsidRDefault="00B25A16" w:rsidP="00B25A16">
      <w:pPr>
        <w:pStyle w:val="13"/>
      </w:pPr>
      <w:r>
        <w:rPr>
          <w:rFonts w:hint="eastAsia"/>
        </w:rPr>
        <w:t>（二）对收集的评估资料进行分析、归纳和整理，形成评定估算和编制资产评估报告的依据。</w:t>
      </w:r>
    </w:p>
    <w:p w14:paraId="6794E053" w14:textId="77777777" w:rsidR="00B25A16" w:rsidRDefault="00B25A16" w:rsidP="00B25A16">
      <w:pPr>
        <w:pStyle w:val="13"/>
      </w:pPr>
      <w:r>
        <w:rPr>
          <w:rFonts w:hint="eastAsia"/>
        </w:rPr>
        <w:t>（三）对于市场发育不充分、可比交易案例有限的新品种、特殊品种珠宝首饰，由珠宝评估专业人员确定其专业判断依据，并应当在报告中充分披露。</w:t>
      </w:r>
    </w:p>
    <w:p w14:paraId="556EB53B" w14:textId="5EE95CC6" w:rsidR="00B25A16" w:rsidRDefault="00E05BDA" w:rsidP="00B25A16">
      <w:pPr>
        <w:pStyle w:val="13"/>
        <w:ind w:firstLine="482"/>
      </w:pPr>
      <w:r w:rsidRPr="00E05BDA">
        <w:rPr>
          <w:rFonts w:hint="eastAsia"/>
          <w:b/>
          <w:bCs/>
        </w:rPr>
        <w:t xml:space="preserve">第十七条 </w:t>
      </w:r>
      <w:r w:rsidR="00B25A16">
        <w:t>评定估算时，应当考虑：</w:t>
      </w:r>
    </w:p>
    <w:p w14:paraId="132B738D" w14:textId="77777777" w:rsidR="00B25A16" w:rsidRDefault="00B25A16" w:rsidP="00B25A16">
      <w:pPr>
        <w:pStyle w:val="13"/>
      </w:pPr>
      <w:r>
        <w:rPr>
          <w:rFonts w:hint="eastAsia"/>
        </w:rPr>
        <w:lastRenderedPageBreak/>
        <w:t>（一）根据评估目的，以及不同类型和不同状态的珠宝首饰特征、价值类型、资料收集等情况，选择恰当的评估方法。</w:t>
      </w:r>
    </w:p>
    <w:p w14:paraId="04FC96E8" w14:textId="28F7744C" w:rsidR="00B25A16" w:rsidRDefault="00B25A16" w:rsidP="00B25A16">
      <w:pPr>
        <w:pStyle w:val="13"/>
      </w:pPr>
      <w:r>
        <w:rPr>
          <w:rFonts w:hint="eastAsia"/>
        </w:rPr>
        <w:t>（二）根据珠宝首饰的类型以及特点，结合评估目的、</w:t>
      </w:r>
      <w:r>
        <w:t>评估基准日市场行情、权属状况，分析确定评估参数或者评估参数范围。</w:t>
      </w:r>
    </w:p>
    <w:p w14:paraId="6935FBF9" w14:textId="77777777" w:rsidR="00B25A16" w:rsidRDefault="00B25A16" w:rsidP="00B25A16">
      <w:pPr>
        <w:pStyle w:val="13"/>
      </w:pPr>
      <w:r>
        <w:rPr>
          <w:rFonts w:hint="eastAsia"/>
        </w:rPr>
        <w:t>批量珠宝首饰的评估参数，应当根据现场工作所进行的分类，分别确定评估参数或者评估参数范围。</w:t>
      </w:r>
    </w:p>
    <w:p w14:paraId="57107A6A" w14:textId="77777777" w:rsidR="00B25A16" w:rsidRDefault="00B25A16" w:rsidP="00B25A16">
      <w:pPr>
        <w:pStyle w:val="13"/>
      </w:pPr>
      <w:r>
        <w:rPr>
          <w:rFonts w:hint="eastAsia"/>
        </w:rPr>
        <w:t>（三）批量珠宝首饰估算时，应当依据品种和分类，分别对评估参数以及评估结论等进行分析、判断以及审核。</w:t>
      </w:r>
    </w:p>
    <w:p w14:paraId="2E35111F" w14:textId="4F9CCCA2" w:rsidR="00B25A16" w:rsidRDefault="00E05BDA" w:rsidP="00AF7342">
      <w:pPr>
        <w:pStyle w:val="13"/>
        <w:ind w:firstLineChars="0" w:firstLine="0"/>
      </w:pPr>
      <w:r w:rsidRPr="00E05BDA">
        <w:rPr>
          <w:rStyle w:val="aa"/>
          <w:rFonts w:hint="eastAsia"/>
        </w:rPr>
        <w:t xml:space="preserve">第十八条 </w:t>
      </w:r>
      <w:r w:rsidR="00B25A16">
        <w:t>编制出具资产评估报告，应当根据法律法规、委托人要求、评估对象特点、评估工作复杂程度等，根据《资产评估执业准则—资产评估报告》和《资产评估执业准则—珠宝首饰》确定资产评估报告的形式、内容和详略程度。</w:t>
      </w:r>
    </w:p>
    <w:p w14:paraId="2AA8D3B5" w14:textId="22036082" w:rsidR="00B25A16" w:rsidRDefault="00B25A16" w:rsidP="00B25A16">
      <w:pPr>
        <w:pStyle w:val="13"/>
      </w:pPr>
      <w:r>
        <w:rPr>
          <w:rFonts w:hint="eastAsia"/>
        </w:rPr>
        <w:t>（一）珠宝评估专业人员应当在评定、估算形成评估结论后，编制初步资产评估报告。</w:t>
      </w:r>
    </w:p>
    <w:p w14:paraId="29CEA2D8" w14:textId="77777777" w:rsidR="00B25A16" w:rsidRDefault="00B25A16" w:rsidP="00B25A16">
      <w:pPr>
        <w:pStyle w:val="13"/>
      </w:pPr>
      <w:r>
        <w:rPr>
          <w:rFonts w:hint="eastAsia"/>
        </w:rPr>
        <w:t>资产评估报告应当以珠宝鉴定和品质分析为基础，体现珠宝评估工作的专业性，如实表述珠宝首饰实物鉴定、品质特点、价值特征等。</w:t>
      </w:r>
    </w:p>
    <w:p w14:paraId="7749F502" w14:textId="62812035" w:rsidR="00B25A16" w:rsidRDefault="00B25A16" w:rsidP="00B25A16">
      <w:pPr>
        <w:pStyle w:val="13"/>
      </w:pPr>
      <w:r>
        <w:rPr>
          <w:rFonts w:hint="eastAsia"/>
        </w:rPr>
        <w:t>资产评估报告除对评估背景、评估项目情况进行描述外，</w:t>
      </w:r>
      <w:r>
        <w:t>还应当对评估过程中发现的，可能影响评估结论的重大事项 进行披露。</w:t>
      </w:r>
    </w:p>
    <w:p w14:paraId="6B4944EF" w14:textId="77777777" w:rsidR="00B25A16" w:rsidRDefault="00B25A16" w:rsidP="00B25A16">
      <w:pPr>
        <w:pStyle w:val="13"/>
      </w:pPr>
      <w:r>
        <w:rPr>
          <w:rFonts w:hint="eastAsia"/>
        </w:rPr>
        <w:t>（二）对初步资产评估报告进行内部审核。</w:t>
      </w:r>
    </w:p>
    <w:p w14:paraId="74E684B9" w14:textId="17518066" w:rsidR="00B25A16" w:rsidRDefault="00B25A16" w:rsidP="00B25A16">
      <w:pPr>
        <w:pStyle w:val="13"/>
      </w:pPr>
      <w:r>
        <w:rPr>
          <w:rFonts w:hint="eastAsia"/>
        </w:rPr>
        <w:t>（三）资产评估机构出具资产评估报告前，在不影响对评估结论进行独立判断的前提下，可以与委托人或者委托人同意的其他相关当事人就资产评估报告有关内容进行沟通，</w:t>
      </w:r>
      <w:r>
        <w:t>对沟通情况进行独立分析，并决定是否对资产评估报告进行调整。</w:t>
      </w:r>
    </w:p>
    <w:p w14:paraId="4A7EAFCF" w14:textId="77777777" w:rsidR="00B25A16" w:rsidRDefault="00B25A16" w:rsidP="00B25A16">
      <w:pPr>
        <w:pStyle w:val="13"/>
      </w:pPr>
      <w:r>
        <w:rPr>
          <w:rFonts w:hint="eastAsia"/>
        </w:rPr>
        <w:t>（四）出具资产评估报告应当由至少两名承办该项业务的珠宝评估专业人员签名并加盖资产评估机构印章。</w:t>
      </w:r>
    </w:p>
    <w:p w14:paraId="7A921C2B" w14:textId="769A2C4C" w:rsidR="00B25A16" w:rsidRDefault="00B25A16" w:rsidP="00B25A16">
      <w:pPr>
        <w:pStyle w:val="13"/>
      </w:pPr>
      <w:r>
        <w:rPr>
          <w:rFonts w:hint="eastAsia"/>
        </w:rPr>
        <w:t>法定评估业务的资产评估报告应当由至少两名承办该项业务的资产评估师（珠宝）</w:t>
      </w:r>
      <w:r>
        <w:t>签名并加盖资产评估机构印章。</w:t>
      </w:r>
    </w:p>
    <w:p w14:paraId="524FA384" w14:textId="7067E6D6" w:rsidR="00B25A16" w:rsidRDefault="00E05BDA" w:rsidP="00AF7342">
      <w:pPr>
        <w:pStyle w:val="13"/>
        <w:ind w:firstLineChars="0" w:firstLine="0"/>
      </w:pPr>
      <w:r w:rsidRPr="00E05BDA">
        <w:rPr>
          <w:rStyle w:val="aa"/>
          <w:rFonts w:hint="eastAsia"/>
        </w:rPr>
        <w:t xml:space="preserve">第十九条 </w:t>
      </w:r>
      <w:r w:rsidR="00B25A16">
        <w:t>根据《资产评估执业准则—资产评估档案》的要求，形成珠宝首饰评估档案。珠宝首饰评估档案通常包括：</w:t>
      </w:r>
    </w:p>
    <w:p w14:paraId="3D9FBC4F" w14:textId="56D7CC42" w:rsidR="00B25A16" w:rsidRDefault="00B25A16" w:rsidP="00B25A16">
      <w:pPr>
        <w:pStyle w:val="13"/>
      </w:pPr>
      <w:r>
        <w:rPr>
          <w:rFonts w:hint="eastAsia"/>
        </w:rPr>
        <w:t>（一）工作底稿。包括评估过程使用的资料，例如，往来函件、备忘录；评估过程产生的数据和图片，例如，现场工作、鉴定资料、市场调研、分析估算的依据和形成的意见或者结论等。</w:t>
      </w:r>
    </w:p>
    <w:p w14:paraId="46D886BB" w14:textId="07BA1A9F" w:rsidR="00B25A16" w:rsidRDefault="00B25A16" w:rsidP="00B25A16">
      <w:pPr>
        <w:pStyle w:val="13"/>
      </w:pPr>
      <w:r>
        <w:rPr>
          <w:rFonts w:hint="eastAsia"/>
        </w:rPr>
        <w:t>（二）资产评估报告以及其他相关资料。纳入珠宝首饰评估档案的资产评估报告应当包括初步珠宝首饰资产评估报告和正式珠宝首饰资产评估报告。资产评估委托合同、资产评估报告应当形成纸质文档，其他相关资料可以是纸质文档、电子文档或者其他介质形式，例如，实物样品等。</w:t>
      </w:r>
    </w:p>
    <w:p w14:paraId="7BB57C29" w14:textId="77777777" w:rsidR="00B25A16" w:rsidRDefault="00B25A16" w:rsidP="00AF7342">
      <w:pPr>
        <w:pStyle w:val="a9"/>
        <w:spacing w:before="62" w:after="62"/>
      </w:pPr>
      <w:r>
        <w:rPr>
          <w:rFonts w:hint="eastAsia"/>
        </w:rPr>
        <w:lastRenderedPageBreak/>
        <w:t>第五章</w:t>
      </w:r>
      <w:r>
        <w:t xml:space="preserve"> 附则</w:t>
      </w:r>
    </w:p>
    <w:p w14:paraId="7C6934FD" w14:textId="33E27833" w:rsidR="00B25A16" w:rsidRDefault="00E05BDA" w:rsidP="00B25A16">
      <w:pPr>
        <w:pStyle w:val="13"/>
        <w:ind w:firstLine="482"/>
      </w:pPr>
      <w:r w:rsidRPr="00E05BDA">
        <w:rPr>
          <w:rFonts w:hint="eastAsia"/>
          <w:b/>
          <w:bCs/>
        </w:rPr>
        <w:t xml:space="preserve">第二十条 </w:t>
      </w:r>
      <w:r w:rsidR="00B25A16">
        <w:t>本指导意见自2020年3月1日起施行。</w:t>
      </w:r>
    </w:p>
    <w:p w14:paraId="1BA56601" w14:textId="6B22D71A" w:rsidR="00B25A16" w:rsidRDefault="00B25A16" w:rsidP="00B25A16">
      <w:pPr>
        <w:pStyle w:val="13"/>
      </w:pPr>
      <w:r>
        <w:rPr>
          <w:rFonts w:hint="eastAsia"/>
        </w:rPr>
        <w:t>附表：珠宝首饰重点描述内容表</w:t>
      </w:r>
    </w:p>
    <w:p w14:paraId="40F19C9B" w14:textId="112EDF17" w:rsidR="00B25A16" w:rsidRPr="00B25A16" w:rsidRDefault="00B25A16" w:rsidP="00B25A16">
      <w:pPr>
        <w:pStyle w:val="13"/>
        <w:ind w:firstLineChars="0" w:firstLine="0"/>
        <w:rPr>
          <w:b/>
          <w:bCs/>
        </w:rPr>
      </w:pPr>
      <w:r w:rsidRPr="00B25A16">
        <w:rPr>
          <w:rFonts w:hint="eastAsia"/>
          <w:b/>
          <w:bCs/>
        </w:rPr>
        <w:t>附表</w:t>
      </w:r>
    </w:p>
    <w:p w14:paraId="15023819" w14:textId="4D6CADC8" w:rsidR="00B25A16" w:rsidRDefault="00685D93" w:rsidP="00AF7342">
      <w:pPr>
        <w:pStyle w:val="a9"/>
        <w:spacing w:before="62" w:after="62"/>
      </w:pPr>
      <w:r>
        <w:rPr>
          <w:rFonts w:hint="eastAsia"/>
        </w:rPr>
        <w:t>珠宝首饰重点描述内容表</w:t>
      </w:r>
    </w:p>
    <w:tbl>
      <w:tblPr>
        <w:tblStyle w:val="af"/>
        <w:tblW w:w="0" w:type="auto"/>
        <w:tblLook w:val="04A0" w:firstRow="1" w:lastRow="0" w:firstColumn="1" w:lastColumn="0" w:noHBand="0" w:noVBand="1"/>
      </w:tblPr>
      <w:tblGrid>
        <w:gridCol w:w="1838"/>
        <w:gridCol w:w="3544"/>
        <w:gridCol w:w="3338"/>
      </w:tblGrid>
      <w:tr w:rsidR="00685D93" w:rsidRPr="00685D93" w14:paraId="6D7A9AE8" w14:textId="77777777" w:rsidTr="00685D93">
        <w:tc>
          <w:tcPr>
            <w:tcW w:w="1838" w:type="dxa"/>
            <w:vAlign w:val="center"/>
          </w:tcPr>
          <w:p w14:paraId="34AA2BF9" w14:textId="5216172E" w:rsidR="00685D93" w:rsidRPr="00685D93" w:rsidRDefault="00685D93" w:rsidP="00685D93">
            <w:pPr>
              <w:pStyle w:val="13"/>
              <w:ind w:firstLineChars="0" w:firstLine="0"/>
              <w:jc w:val="center"/>
              <w:rPr>
                <w:sz w:val="21"/>
                <w:szCs w:val="21"/>
              </w:rPr>
            </w:pPr>
            <w:r w:rsidRPr="00685D93">
              <w:rPr>
                <w:rFonts w:hint="eastAsia"/>
                <w:sz w:val="21"/>
                <w:szCs w:val="21"/>
              </w:rPr>
              <w:t>评估对象</w:t>
            </w:r>
          </w:p>
        </w:tc>
        <w:tc>
          <w:tcPr>
            <w:tcW w:w="3544" w:type="dxa"/>
            <w:vAlign w:val="center"/>
          </w:tcPr>
          <w:p w14:paraId="7F65B955" w14:textId="178E2EB7" w:rsidR="00685D93" w:rsidRPr="00685D93" w:rsidRDefault="00685D93" w:rsidP="00685D93">
            <w:pPr>
              <w:pStyle w:val="13"/>
              <w:ind w:firstLineChars="0" w:firstLine="0"/>
              <w:jc w:val="center"/>
              <w:rPr>
                <w:sz w:val="21"/>
                <w:szCs w:val="21"/>
              </w:rPr>
            </w:pPr>
            <w:r w:rsidRPr="00685D93">
              <w:rPr>
                <w:rFonts w:hint="eastAsia"/>
                <w:sz w:val="21"/>
                <w:szCs w:val="21"/>
              </w:rPr>
              <w:t>观察描述的重点</w:t>
            </w:r>
          </w:p>
        </w:tc>
        <w:tc>
          <w:tcPr>
            <w:tcW w:w="3338" w:type="dxa"/>
            <w:vAlign w:val="center"/>
          </w:tcPr>
          <w:p w14:paraId="7C83F5D3" w14:textId="1B1B84E4" w:rsidR="00685D93" w:rsidRPr="00685D93" w:rsidRDefault="00685D93" w:rsidP="00685D93">
            <w:pPr>
              <w:pStyle w:val="13"/>
              <w:ind w:firstLineChars="0" w:firstLine="0"/>
              <w:jc w:val="center"/>
              <w:rPr>
                <w:sz w:val="21"/>
                <w:szCs w:val="21"/>
              </w:rPr>
            </w:pPr>
            <w:r w:rsidRPr="00685D93">
              <w:rPr>
                <w:rFonts w:hint="eastAsia"/>
                <w:sz w:val="21"/>
                <w:szCs w:val="21"/>
              </w:rPr>
              <w:t>主要参考依据</w:t>
            </w:r>
          </w:p>
        </w:tc>
      </w:tr>
      <w:tr w:rsidR="00685D93" w:rsidRPr="00685D93" w14:paraId="04BD213C" w14:textId="77777777" w:rsidTr="00685D93">
        <w:tc>
          <w:tcPr>
            <w:tcW w:w="1838" w:type="dxa"/>
            <w:vAlign w:val="center"/>
          </w:tcPr>
          <w:p w14:paraId="1395AED8" w14:textId="662380D8" w:rsidR="00685D93" w:rsidRPr="00685D93" w:rsidRDefault="00685D93" w:rsidP="00685D93">
            <w:pPr>
              <w:pStyle w:val="13"/>
              <w:ind w:firstLineChars="0" w:firstLine="0"/>
              <w:jc w:val="center"/>
              <w:rPr>
                <w:sz w:val="21"/>
                <w:szCs w:val="21"/>
              </w:rPr>
            </w:pPr>
            <w:r w:rsidRPr="00685D93">
              <w:rPr>
                <w:rFonts w:hint="eastAsia"/>
                <w:sz w:val="21"/>
                <w:szCs w:val="21"/>
              </w:rPr>
              <w:t>贵金属</w:t>
            </w:r>
          </w:p>
        </w:tc>
        <w:tc>
          <w:tcPr>
            <w:tcW w:w="3544" w:type="dxa"/>
            <w:vAlign w:val="center"/>
          </w:tcPr>
          <w:p w14:paraId="706151FB" w14:textId="47DCB941" w:rsidR="00685D93" w:rsidRPr="00685D93" w:rsidRDefault="00685D93" w:rsidP="00685D93">
            <w:pPr>
              <w:pStyle w:val="13"/>
              <w:ind w:firstLineChars="0" w:firstLine="0"/>
              <w:rPr>
                <w:sz w:val="21"/>
                <w:szCs w:val="21"/>
              </w:rPr>
            </w:pPr>
            <w:r w:rsidRPr="00685D93">
              <w:rPr>
                <w:rFonts w:hint="eastAsia"/>
                <w:sz w:val="21"/>
                <w:szCs w:val="21"/>
              </w:rPr>
              <w:t>质量、标识印记、贵金属含量、工艺质量等</w:t>
            </w:r>
          </w:p>
        </w:tc>
        <w:tc>
          <w:tcPr>
            <w:tcW w:w="3338" w:type="dxa"/>
            <w:vAlign w:val="center"/>
          </w:tcPr>
          <w:p w14:paraId="60930F41" w14:textId="50B73EDE" w:rsidR="00685D93" w:rsidRPr="00685D93" w:rsidRDefault="00685D93" w:rsidP="00685D93">
            <w:pPr>
              <w:pStyle w:val="13"/>
              <w:ind w:firstLineChars="0" w:firstLine="0"/>
              <w:rPr>
                <w:sz w:val="21"/>
                <w:szCs w:val="21"/>
              </w:rPr>
            </w:pPr>
            <w:r w:rsidRPr="00685D93">
              <w:rPr>
                <w:sz w:val="21"/>
                <w:szCs w:val="21"/>
              </w:rPr>
              <w:t>GB 11887、QB/T 2062、QB/T4189等</w:t>
            </w:r>
          </w:p>
        </w:tc>
      </w:tr>
      <w:tr w:rsidR="00685D93" w:rsidRPr="00685D93" w14:paraId="555E4393" w14:textId="77777777" w:rsidTr="00685D93">
        <w:tc>
          <w:tcPr>
            <w:tcW w:w="1838" w:type="dxa"/>
            <w:vAlign w:val="center"/>
          </w:tcPr>
          <w:p w14:paraId="66B0AE7F" w14:textId="2865B9B8" w:rsidR="00685D93" w:rsidRPr="00685D93" w:rsidRDefault="00685D93" w:rsidP="00685D93">
            <w:pPr>
              <w:pStyle w:val="13"/>
              <w:ind w:firstLineChars="0" w:firstLine="0"/>
              <w:jc w:val="center"/>
              <w:rPr>
                <w:sz w:val="21"/>
                <w:szCs w:val="21"/>
              </w:rPr>
            </w:pPr>
            <w:r w:rsidRPr="00685D93">
              <w:rPr>
                <w:rFonts w:hint="eastAsia"/>
                <w:sz w:val="21"/>
                <w:szCs w:val="21"/>
              </w:rPr>
              <w:t>钻石</w:t>
            </w:r>
          </w:p>
        </w:tc>
        <w:tc>
          <w:tcPr>
            <w:tcW w:w="3544" w:type="dxa"/>
            <w:vAlign w:val="center"/>
          </w:tcPr>
          <w:p w14:paraId="232324B7" w14:textId="788857EC" w:rsidR="00685D93" w:rsidRPr="00685D93" w:rsidRDefault="00685D93" w:rsidP="00685D93">
            <w:pPr>
              <w:pStyle w:val="13"/>
              <w:ind w:firstLineChars="0" w:firstLine="0"/>
              <w:rPr>
                <w:sz w:val="21"/>
                <w:szCs w:val="21"/>
              </w:rPr>
            </w:pPr>
            <w:r w:rsidRPr="00685D93">
              <w:rPr>
                <w:sz w:val="21"/>
                <w:szCs w:val="21"/>
              </w:rPr>
              <w:t>质量、颜色、净度、切工等</w:t>
            </w:r>
          </w:p>
        </w:tc>
        <w:tc>
          <w:tcPr>
            <w:tcW w:w="3338" w:type="dxa"/>
            <w:vAlign w:val="center"/>
          </w:tcPr>
          <w:p w14:paraId="16444D82" w14:textId="36BC9F57" w:rsidR="00685D93" w:rsidRPr="00685D93" w:rsidRDefault="00685D93" w:rsidP="00685D93">
            <w:pPr>
              <w:pStyle w:val="13"/>
              <w:ind w:firstLineChars="0" w:firstLine="0"/>
              <w:rPr>
                <w:sz w:val="21"/>
                <w:szCs w:val="21"/>
              </w:rPr>
            </w:pPr>
            <w:r w:rsidRPr="00685D93">
              <w:rPr>
                <w:sz w:val="21"/>
                <w:szCs w:val="21"/>
              </w:rPr>
              <w:t>GB/T 16554、GB/T 34543等</w:t>
            </w:r>
          </w:p>
        </w:tc>
      </w:tr>
      <w:tr w:rsidR="00685D93" w:rsidRPr="00685D93" w14:paraId="066519EC" w14:textId="77777777" w:rsidTr="00685D93">
        <w:tc>
          <w:tcPr>
            <w:tcW w:w="1838" w:type="dxa"/>
            <w:vAlign w:val="center"/>
          </w:tcPr>
          <w:p w14:paraId="1C5345F5" w14:textId="51CBCC89" w:rsidR="00685D93" w:rsidRPr="00685D93" w:rsidRDefault="00685D93" w:rsidP="00685D93">
            <w:pPr>
              <w:pStyle w:val="13"/>
              <w:ind w:firstLineChars="0" w:firstLine="0"/>
              <w:jc w:val="center"/>
              <w:rPr>
                <w:sz w:val="21"/>
                <w:szCs w:val="21"/>
              </w:rPr>
            </w:pPr>
            <w:r w:rsidRPr="00685D93">
              <w:rPr>
                <w:rFonts w:hint="eastAsia"/>
                <w:sz w:val="21"/>
                <w:szCs w:val="21"/>
              </w:rPr>
              <w:t>彩色宝石</w:t>
            </w:r>
          </w:p>
        </w:tc>
        <w:tc>
          <w:tcPr>
            <w:tcW w:w="3544" w:type="dxa"/>
            <w:vAlign w:val="center"/>
          </w:tcPr>
          <w:p w14:paraId="41AF7C87" w14:textId="49A3465B" w:rsidR="00685D93" w:rsidRPr="00685D93" w:rsidRDefault="00685D93" w:rsidP="00685D93">
            <w:pPr>
              <w:pStyle w:val="13"/>
              <w:ind w:firstLineChars="0" w:firstLine="0"/>
              <w:rPr>
                <w:sz w:val="21"/>
                <w:szCs w:val="21"/>
              </w:rPr>
            </w:pPr>
            <w:r w:rsidRPr="00685D93">
              <w:rPr>
                <w:rFonts w:hint="eastAsia"/>
                <w:sz w:val="21"/>
                <w:szCs w:val="21"/>
              </w:rPr>
              <w:t>品种、质量、颜色、光泽、净度、火彩、切</w:t>
            </w:r>
            <w:proofErr w:type="gramStart"/>
            <w:r w:rsidRPr="00685D93">
              <w:rPr>
                <w:rFonts w:hint="eastAsia"/>
                <w:sz w:val="21"/>
                <w:szCs w:val="21"/>
              </w:rPr>
              <w:t>工特征</w:t>
            </w:r>
            <w:proofErr w:type="gramEnd"/>
            <w:r w:rsidRPr="00685D93">
              <w:rPr>
                <w:rFonts w:hint="eastAsia"/>
                <w:sz w:val="21"/>
                <w:szCs w:val="21"/>
              </w:rPr>
              <w:t>等</w:t>
            </w:r>
          </w:p>
        </w:tc>
        <w:tc>
          <w:tcPr>
            <w:tcW w:w="3338" w:type="dxa"/>
            <w:vAlign w:val="center"/>
          </w:tcPr>
          <w:p w14:paraId="04492D8D" w14:textId="40F9851D" w:rsidR="00685D93" w:rsidRPr="00685D93" w:rsidRDefault="00685D93" w:rsidP="00685D93">
            <w:pPr>
              <w:pStyle w:val="13"/>
              <w:ind w:firstLineChars="0" w:firstLine="0"/>
              <w:rPr>
                <w:sz w:val="21"/>
                <w:szCs w:val="21"/>
              </w:rPr>
            </w:pPr>
            <w:r w:rsidRPr="00685D93">
              <w:rPr>
                <w:sz w:val="21"/>
                <w:szCs w:val="21"/>
              </w:rPr>
              <w:t>GB/T 32862、GB/T 32863、GB/T34545等</w:t>
            </w:r>
          </w:p>
        </w:tc>
      </w:tr>
      <w:tr w:rsidR="00685D93" w:rsidRPr="00685D93" w14:paraId="1056695E" w14:textId="77777777" w:rsidTr="00685D93">
        <w:tc>
          <w:tcPr>
            <w:tcW w:w="1838" w:type="dxa"/>
            <w:vAlign w:val="center"/>
          </w:tcPr>
          <w:p w14:paraId="6FA01FD7" w14:textId="31D8F5C0" w:rsidR="00685D93" w:rsidRPr="00685D93" w:rsidRDefault="00685D93" w:rsidP="00685D93">
            <w:pPr>
              <w:pStyle w:val="13"/>
              <w:ind w:firstLineChars="0" w:firstLine="0"/>
              <w:jc w:val="center"/>
              <w:rPr>
                <w:sz w:val="21"/>
                <w:szCs w:val="21"/>
              </w:rPr>
            </w:pPr>
            <w:r w:rsidRPr="00685D93">
              <w:rPr>
                <w:rFonts w:hint="eastAsia"/>
                <w:sz w:val="21"/>
                <w:szCs w:val="21"/>
              </w:rPr>
              <w:t>玉石</w:t>
            </w:r>
          </w:p>
        </w:tc>
        <w:tc>
          <w:tcPr>
            <w:tcW w:w="3544" w:type="dxa"/>
            <w:vAlign w:val="center"/>
          </w:tcPr>
          <w:p w14:paraId="6CF26248" w14:textId="4ED9E13C" w:rsidR="00685D93" w:rsidRPr="00685D93" w:rsidRDefault="00685D93" w:rsidP="00685D93">
            <w:pPr>
              <w:pStyle w:val="13"/>
              <w:ind w:firstLineChars="0" w:firstLine="0"/>
              <w:rPr>
                <w:sz w:val="21"/>
                <w:szCs w:val="21"/>
              </w:rPr>
            </w:pPr>
            <w:r w:rsidRPr="00685D93">
              <w:rPr>
                <w:rFonts w:hint="eastAsia"/>
                <w:sz w:val="21"/>
                <w:szCs w:val="21"/>
              </w:rPr>
              <w:t>品种、质量、颜色、透明度、结构、质地、净度、工艺等</w:t>
            </w:r>
          </w:p>
        </w:tc>
        <w:tc>
          <w:tcPr>
            <w:tcW w:w="3338" w:type="dxa"/>
            <w:vAlign w:val="center"/>
          </w:tcPr>
          <w:p w14:paraId="29B142A4" w14:textId="517C3257" w:rsidR="00685D93" w:rsidRPr="00685D93" w:rsidRDefault="00685D93" w:rsidP="00685D93">
            <w:pPr>
              <w:pStyle w:val="13"/>
              <w:ind w:firstLineChars="0" w:firstLine="0"/>
              <w:rPr>
                <w:sz w:val="21"/>
                <w:szCs w:val="21"/>
              </w:rPr>
            </w:pPr>
            <w:r w:rsidRPr="00685D93">
              <w:rPr>
                <w:sz w:val="21"/>
                <w:szCs w:val="21"/>
              </w:rPr>
              <w:t>GB/T 23885、GSB16-3061等</w:t>
            </w:r>
          </w:p>
        </w:tc>
      </w:tr>
      <w:tr w:rsidR="00685D93" w:rsidRPr="00685D93" w14:paraId="11B0A9A6" w14:textId="77777777" w:rsidTr="00685D93">
        <w:tc>
          <w:tcPr>
            <w:tcW w:w="1838" w:type="dxa"/>
            <w:vAlign w:val="center"/>
          </w:tcPr>
          <w:p w14:paraId="5E15022E" w14:textId="1FAFCE5F" w:rsidR="00685D93" w:rsidRPr="00685D93" w:rsidRDefault="00685D93" w:rsidP="00685D93">
            <w:pPr>
              <w:pStyle w:val="13"/>
              <w:ind w:firstLineChars="0" w:firstLine="0"/>
              <w:jc w:val="center"/>
              <w:rPr>
                <w:sz w:val="21"/>
                <w:szCs w:val="21"/>
              </w:rPr>
            </w:pPr>
            <w:r w:rsidRPr="00685D93">
              <w:rPr>
                <w:rFonts w:hint="eastAsia"/>
                <w:sz w:val="21"/>
                <w:szCs w:val="21"/>
              </w:rPr>
              <w:t>珍珠</w:t>
            </w:r>
          </w:p>
        </w:tc>
        <w:tc>
          <w:tcPr>
            <w:tcW w:w="3544" w:type="dxa"/>
            <w:vAlign w:val="center"/>
          </w:tcPr>
          <w:p w14:paraId="6701800A" w14:textId="49CAAD0F" w:rsidR="00685D93" w:rsidRPr="00685D93" w:rsidRDefault="00685D93" w:rsidP="00685D93">
            <w:pPr>
              <w:pStyle w:val="13"/>
              <w:ind w:firstLineChars="0" w:firstLine="0"/>
              <w:rPr>
                <w:sz w:val="21"/>
                <w:szCs w:val="21"/>
              </w:rPr>
            </w:pPr>
            <w:r w:rsidRPr="00685D93">
              <w:rPr>
                <w:rFonts w:hint="eastAsia"/>
                <w:sz w:val="21"/>
                <w:szCs w:val="21"/>
              </w:rPr>
              <w:t>颜色、大小、形状、光泽、光洁度、珠层厚度、匹配度等</w:t>
            </w:r>
          </w:p>
        </w:tc>
        <w:tc>
          <w:tcPr>
            <w:tcW w:w="3338" w:type="dxa"/>
            <w:vAlign w:val="center"/>
          </w:tcPr>
          <w:p w14:paraId="3F99FDF6" w14:textId="1CA9094A" w:rsidR="00685D93" w:rsidRPr="00685D93" w:rsidRDefault="00685D93" w:rsidP="00685D93">
            <w:pPr>
              <w:pStyle w:val="13"/>
              <w:ind w:firstLineChars="0" w:firstLine="0"/>
              <w:rPr>
                <w:sz w:val="21"/>
                <w:szCs w:val="21"/>
              </w:rPr>
            </w:pPr>
            <w:r w:rsidRPr="00685D93">
              <w:rPr>
                <w:sz w:val="21"/>
                <w:szCs w:val="21"/>
              </w:rPr>
              <w:t>GB/T 18781等</w:t>
            </w:r>
          </w:p>
        </w:tc>
      </w:tr>
      <w:tr w:rsidR="00685D93" w:rsidRPr="00685D93" w14:paraId="7E466D9B" w14:textId="77777777" w:rsidTr="00685D93">
        <w:tc>
          <w:tcPr>
            <w:tcW w:w="1838" w:type="dxa"/>
            <w:vAlign w:val="center"/>
          </w:tcPr>
          <w:p w14:paraId="416912A2" w14:textId="22EA4FBA" w:rsidR="00685D93" w:rsidRPr="00685D93" w:rsidRDefault="00685D93" w:rsidP="00685D93">
            <w:pPr>
              <w:pStyle w:val="13"/>
              <w:ind w:firstLineChars="0" w:firstLine="0"/>
              <w:jc w:val="center"/>
              <w:rPr>
                <w:sz w:val="21"/>
                <w:szCs w:val="21"/>
              </w:rPr>
            </w:pPr>
            <w:r w:rsidRPr="00685D93">
              <w:rPr>
                <w:rFonts w:hint="eastAsia"/>
                <w:sz w:val="21"/>
                <w:szCs w:val="21"/>
              </w:rPr>
              <w:t>镶嵌饰品</w:t>
            </w:r>
          </w:p>
        </w:tc>
        <w:tc>
          <w:tcPr>
            <w:tcW w:w="3544" w:type="dxa"/>
            <w:vAlign w:val="center"/>
          </w:tcPr>
          <w:p w14:paraId="76FC95B5" w14:textId="01E03B13" w:rsidR="00685D93" w:rsidRPr="00685D93" w:rsidRDefault="00685D93" w:rsidP="00685D93">
            <w:pPr>
              <w:pStyle w:val="13"/>
              <w:ind w:firstLineChars="0" w:firstLine="0"/>
              <w:rPr>
                <w:sz w:val="21"/>
                <w:szCs w:val="21"/>
              </w:rPr>
            </w:pPr>
            <w:r w:rsidRPr="00685D93">
              <w:rPr>
                <w:rFonts w:hint="eastAsia"/>
                <w:sz w:val="21"/>
                <w:szCs w:val="21"/>
              </w:rPr>
              <w:t>底托、珠宝玉石、镶嵌方式、工艺、来源出处、状况等</w:t>
            </w:r>
          </w:p>
        </w:tc>
        <w:tc>
          <w:tcPr>
            <w:tcW w:w="3338" w:type="dxa"/>
            <w:vAlign w:val="center"/>
          </w:tcPr>
          <w:p w14:paraId="53083E2F" w14:textId="4BEF937A" w:rsidR="00685D93" w:rsidRPr="00685D93" w:rsidRDefault="00685D93" w:rsidP="00685D93">
            <w:pPr>
              <w:pStyle w:val="13"/>
              <w:ind w:firstLineChars="0" w:firstLine="0"/>
              <w:rPr>
                <w:sz w:val="21"/>
                <w:szCs w:val="21"/>
              </w:rPr>
            </w:pPr>
            <w:r w:rsidRPr="00685D93">
              <w:rPr>
                <w:sz w:val="21"/>
                <w:szCs w:val="21"/>
              </w:rPr>
              <w:t>GB 11887、GB/T 16552、GB/T16553等</w:t>
            </w:r>
          </w:p>
        </w:tc>
      </w:tr>
      <w:tr w:rsidR="00685D93" w:rsidRPr="00685D93" w14:paraId="1A43BAAD" w14:textId="77777777" w:rsidTr="00685D93">
        <w:tc>
          <w:tcPr>
            <w:tcW w:w="1838" w:type="dxa"/>
            <w:vAlign w:val="center"/>
          </w:tcPr>
          <w:p w14:paraId="6EE7E005" w14:textId="75E3D062" w:rsidR="00685D93" w:rsidRPr="00685D93" w:rsidRDefault="00685D93" w:rsidP="00685D93">
            <w:pPr>
              <w:pStyle w:val="13"/>
              <w:ind w:firstLineChars="0" w:firstLine="0"/>
              <w:jc w:val="center"/>
              <w:rPr>
                <w:sz w:val="21"/>
                <w:szCs w:val="21"/>
              </w:rPr>
            </w:pPr>
            <w:r w:rsidRPr="00685D93">
              <w:rPr>
                <w:rFonts w:hint="eastAsia"/>
                <w:sz w:val="21"/>
                <w:szCs w:val="21"/>
              </w:rPr>
              <w:t>其他</w:t>
            </w:r>
          </w:p>
        </w:tc>
        <w:tc>
          <w:tcPr>
            <w:tcW w:w="3544" w:type="dxa"/>
            <w:vAlign w:val="center"/>
          </w:tcPr>
          <w:p w14:paraId="7C9243D5" w14:textId="77777777" w:rsidR="00685D93" w:rsidRPr="00685D93" w:rsidRDefault="00685D93" w:rsidP="00685D93">
            <w:pPr>
              <w:pStyle w:val="13"/>
              <w:ind w:firstLineChars="0" w:firstLine="0"/>
              <w:rPr>
                <w:sz w:val="21"/>
                <w:szCs w:val="21"/>
              </w:rPr>
            </w:pPr>
            <w:r w:rsidRPr="00685D93">
              <w:rPr>
                <w:rFonts w:hint="eastAsia"/>
                <w:sz w:val="21"/>
                <w:szCs w:val="21"/>
              </w:rPr>
              <w:t>根据评估对象品质要素的</w:t>
            </w:r>
          </w:p>
          <w:p w14:paraId="508A24D0" w14:textId="12413865" w:rsidR="00685D93" w:rsidRPr="00685D93" w:rsidRDefault="00685D93" w:rsidP="00685D93">
            <w:pPr>
              <w:pStyle w:val="13"/>
              <w:ind w:firstLineChars="0" w:firstLine="0"/>
              <w:rPr>
                <w:sz w:val="21"/>
                <w:szCs w:val="21"/>
              </w:rPr>
            </w:pPr>
            <w:r w:rsidRPr="00685D93">
              <w:rPr>
                <w:rFonts w:hint="eastAsia"/>
                <w:sz w:val="21"/>
                <w:szCs w:val="21"/>
              </w:rPr>
              <w:t>特点进行描述</w:t>
            </w:r>
          </w:p>
        </w:tc>
        <w:tc>
          <w:tcPr>
            <w:tcW w:w="3338" w:type="dxa"/>
            <w:vAlign w:val="center"/>
          </w:tcPr>
          <w:p w14:paraId="5EB32949" w14:textId="12832358" w:rsidR="00685D93" w:rsidRPr="00685D93" w:rsidRDefault="00685D93" w:rsidP="00685D93">
            <w:pPr>
              <w:pStyle w:val="13"/>
              <w:ind w:firstLineChars="0" w:firstLine="0"/>
              <w:rPr>
                <w:sz w:val="21"/>
                <w:szCs w:val="21"/>
              </w:rPr>
            </w:pPr>
            <w:r w:rsidRPr="00685D93">
              <w:rPr>
                <w:sz w:val="21"/>
                <w:szCs w:val="21"/>
              </w:rPr>
              <w:t>GB/T 36168、GB/T 36169、GB/T36127等</w:t>
            </w:r>
          </w:p>
        </w:tc>
      </w:tr>
    </w:tbl>
    <w:p w14:paraId="6DCD19F8" w14:textId="77777777" w:rsidR="00685D93" w:rsidRDefault="00685D93" w:rsidP="00B25A16">
      <w:pPr>
        <w:pStyle w:val="13"/>
      </w:pPr>
    </w:p>
    <w:p w14:paraId="4F12F34A" w14:textId="7C45BF0D" w:rsidR="00B25A16" w:rsidRPr="00B25A16" w:rsidRDefault="00B25A16" w:rsidP="00B25A16">
      <w:pPr>
        <w:pStyle w:val="31"/>
        <w:spacing w:before="156" w:after="62"/>
      </w:pPr>
      <w:bookmarkStart w:id="48" w:name="_Toc81833328"/>
      <w:r w:rsidRPr="00B25A16">
        <w:rPr>
          <w:rStyle w:val="32"/>
          <w:rFonts w:hint="eastAsia"/>
          <w:b/>
          <w:bCs/>
        </w:rPr>
        <w:t>企业并购投资价值评估指导意见</w:t>
      </w:r>
      <w:r w:rsidRPr="00B25A16">
        <w:rPr>
          <w:rFonts w:hint="eastAsia"/>
        </w:rPr>
        <w:t>（</w:t>
      </w:r>
      <w:proofErr w:type="gramStart"/>
      <w:r w:rsidR="00685D93" w:rsidRPr="00685D93">
        <w:rPr>
          <w:rFonts w:hint="eastAsia"/>
        </w:rPr>
        <w:t>中评协</w:t>
      </w:r>
      <w:proofErr w:type="gramEnd"/>
      <w:r w:rsidR="00685D93" w:rsidRPr="00685D93">
        <w:rPr>
          <w:rFonts w:hint="eastAsia"/>
        </w:rPr>
        <w:t>〔</w:t>
      </w:r>
      <w:r w:rsidR="00685D93" w:rsidRPr="00685D93">
        <w:t>2020〕30号</w:t>
      </w:r>
      <w:r w:rsidRPr="00B25A16">
        <w:t>）</w:t>
      </w:r>
      <w:bookmarkEnd w:id="48"/>
    </w:p>
    <w:p w14:paraId="31BFB317" w14:textId="77777777" w:rsidR="00685D93" w:rsidRDefault="00685D93" w:rsidP="00685D93">
      <w:pPr>
        <w:pStyle w:val="13"/>
        <w:ind w:firstLineChars="0" w:firstLine="0"/>
      </w:pPr>
      <w:r>
        <w:rPr>
          <w:rFonts w:hint="eastAsia"/>
        </w:rPr>
        <w:t>各省、自治区、直辖市、计划单列市资产评估协会（注册会计师协会）：</w:t>
      </w:r>
    </w:p>
    <w:p w14:paraId="7EB8F96B" w14:textId="77777777" w:rsidR="00685D93" w:rsidRDefault="00685D93" w:rsidP="00685D93">
      <w:pPr>
        <w:pStyle w:val="13"/>
      </w:pPr>
      <w:r>
        <w:rPr>
          <w:rFonts w:hint="eastAsia"/>
        </w:rPr>
        <w:t>为规范和指导资产评估机构及其资产评估专业人员执行企业并购投资价值评估业务行为，在财政部指导下，中国资产评估协会制定了《企业并购投资价值评估指导意见》，现予印发，自</w:t>
      </w:r>
      <w:r>
        <w:t>2021年3月1日起施行。</w:t>
      </w:r>
    </w:p>
    <w:p w14:paraId="1ACBA799" w14:textId="77777777" w:rsidR="00685D93" w:rsidRDefault="00685D93" w:rsidP="00685D93">
      <w:pPr>
        <w:pStyle w:val="13"/>
      </w:pPr>
      <w:r>
        <w:rPr>
          <w:rFonts w:hint="eastAsia"/>
        </w:rPr>
        <w:t>请各地</w:t>
      </w:r>
      <w:proofErr w:type="gramStart"/>
      <w:r>
        <w:rPr>
          <w:rFonts w:hint="eastAsia"/>
        </w:rPr>
        <w:t>方协会</w:t>
      </w:r>
      <w:proofErr w:type="gramEnd"/>
      <w:r>
        <w:rPr>
          <w:rFonts w:hint="eastAsia"/>
        </w:rPr>
        <w:t>将《企业并购投资价值评估指导意见》及时转发资产评估机构，组织学习和培训，并将执行过程中发现的问题及时上报中国资产评估协会。</w:t>
      </w:r>
    </w:p>
    <w:p w14:paraId="21C8C36B" w14:textId="77777777" w:rsidR="00685D93" w:rsidRDefault="00685D93" w:rsidP="00685D93">
      <w:pPr>
        <w:pStyle w:val="13"/>
      </w:pPr>
      <w:r>
        <w:rPr>
          <w:rFonts w:hint="eastAsia"/>
        </w:rPr>
        <w:t>附件：企业并购投资价值评估指导意见</w:t>
      </w:r>
    </w:p>
    <w:p w14:paraId="626FFB2E" w14:textId="77777777" w:rsidR="00685D93" w:rsidRDefault="00685D93" w:rsidP="00685D93">
      <w:pPr>
        <w:pStyle w:val="13"/>
        <w:jc w:val="right"/>
      </w:pPr>
      <w:r>
        <w:rPr>
          <w:rFonts w:hint="eastAsia"/>
        </w:rPr>
        <w:t>中国资产评估协会</w:t>
      </w:r>
    </w:p>
    <w:p w14:paraId="36E91285" w14:textId="7D03EC46" w:rsidR="00685D93" w:rsidRDefault="00685D93" w:rsidP="00685D93">
      <w:pPr>
        <w:pStyle w:val="13"/>
        <w:jc w:val="right"/>
      </w:pPr>
      <w:r>
        <w:t>2020年11月25日</w:t>
      </w:r>
    </w:p>
    <w:p w14:paraId="72877AF3" w14:textId="77777777" w:rsidR="00685D93" w:rsidRDefault="00685D93" w:rsidP="00AF7342">
      <w:pPr>
        <w:pStyle w:val="a9"/>
        <w:spacing w:before="62" w:after="62"/>
      </w:pPr>
      <w:r>
        <w:rPr>
          <w:rFonts w:hint="eastAsia"/>
        </w:rPr>
        <w:lastRenderedPageBreak/>
        <w:t>企业并购投资价值评估指导意见</w:t>
      </w:r>
    </w:p>
    <w:p w14:paraId="5284AFBE" w14:textId="77777777" w:rsidR="00685D93" w:rsidRDefault="00685D93" w:rsidP="00AF7342">
      <w:pPr>
        <w:pStyle w:val="a9"/>
        <w:spacing w:before="62" w:after="62"/>
      </w:pPr>
      <w:r>
        <w:rPr>
          <w:rFonts w:hint="eastAsia"/>
        </w:rPr>
        <w:t>第一章</w:t>
      </w:r>
      <w:r>
        <w:t xml:space="preserve"> 总则</w:t>
      </w:r>
    </w:p>
    <w:p w14:paraId="4756E26A" w14:textId="36B0E4CD" w:rsidR="00685D93" w:rsidRDefault="004E3EBB" w:rsidP="00685D93">
      <w:pPr>
        <w:pStyle w:val="13"/>
        <w:ind w:firstLine="482"/>
      </w:pPr>
      <w:r w:rsidRPr="004E3EBB">
        <w:rPr>
          <w:rFonts w:hint="eastAsia"/>
          <w:b/>
          <w:bCs/>
        </w:rPr>
        <w:t xml:space="preserve">第一条 </w:t>
      </w:r>
      <w:r w:rsidR="00685D93">
        <w:t>为规范和指导资产评估机构及其资产评估专业人员执行企业并购投资价值评估业务行为,制定本指导意见。</w:t>
      </w:r>
    </w:p>
    <w:p w14:paraId="6B38E6E7" w14:textId="74AA63EF" w:rsidR="00685D93" w:rsidRDefault="004E3EBB" w:rsidP="00685D93">
      <w:pPr>
        <w:pStyle w:val="13"/>
        <w:ind w:firstLine="482"/>
      </w:pPr>
      <w:r w:rsidRPr="004E3EBB">
        <w:rPr>
          <w:rFonts w:hint="eastAsia"/>
          <w:b/>
          <w:bCs/>
        </w:rPr>
        <w:t xml:space="preserve">第二条 </w:t>
      </w:r>
      <w:r w:rsidR="00685D93">
        <w:t>本指导意见所称企业并购，是企业合并和收购的简称。合并是指两家或者两家以上的独立企业合并组成一家企业，包括吸收合并和新设合并两种形式。收购是指一家企业通过现金、股份支付或者其他方式，取得另一家企业的控制权。</w:t>
      </w:r>
    </w:p>
    <w:p w14:paraId="00FF296D" w14:textId="77CAB2DD" w:rsidR="00685D93" w:rsidRDefault="004E3EBB" w:rsidP="00685D93">
      <w:pPr>
        <w:pStyle w:val="13"/>
        <w:ind w:firstLine="482"/>
      </w:pPr>
      <w:r w:rsidRPr="004E3EBB">
        <w:rPr>
          <w:rFonts w:hint="eastAsia"/>
          <w:b/>
          <w:bCs/>
        </w:rPr>
        <w:t xml:space="preserve">第三条 </w:t>
      </w:r>
      <w:r w:rsidR="00685D93">
        <w:t>本指导意见所称企业并购投资价值，是指并购标的资产在明确的并购双方基于特定目的、考虑协同效应和投资回报水平的情况下，在评估基准日的价值估算数额。</w:t>
      </w:r>
    </w:p>
    <w:p w14:paraId="57E4F7AA" w14:textId="6E595D88" w:rsidR="00685D93" w:rsidRDefault="004E3EBB" w:rsidP="00685D93">
      <w:pPr>
        <w:pStyle w:val="13"/>
        <w:ind w:firstLine="482"/>
      </w:pPr>
      <w:r w:rsidRPr="004E3EBB">
        <w:rPr>
          <w:rFonts w:hint="eastAsia"/>
          <w:b/>
          <w:bCs/>
        </w:rPr>
        <w:t xml:space="preserve">第四条 </w:t>
      </w:r>
      <w:r w:rsidR="00685D93">
        <w:t>本指导意见所称协同效应，是指外部协同效应，具体是指在企业并购中，由并购双方基于特定并购目的、就并购标的资产实施并购并进行整合产生的、超过或者低于并购整合前并购标的资产独立运营的经济效益。</w:t>
      </w:r>
    </w:p>
    <w:p w14:paraId="05FE1007" w14:textId="77777777" w:rsidR="00685D93" w:rsidRDefault="00685D93" w:rsidP="00685D93">
      <w:pPr>
        <w:pStyle w:val="13"/>
      </w:pPr>
      <w:r>
        <w:rPr>
          <w:rFonts w:hint="eastAsia"/>
        </w:rPr>
        <w:t>本指导意见将协同效应分为管理协同效应、经营协同效应、财务协同效应和其他协同效应四类。</w:t>
      </w:r>
    </w:p>
    <w:p w14:paraId="7EB97E42" w14:textId="77777777" w:rsidR="00685D93" w:rsidRDefault="00685D93" w:rsidP="00685D93">
      <w:pPr>
        <w:pStyle w:val="13"/>
      </w:pPr>
      <w:r>
        <w:rPr>
          <w:rFonts w:hint="eastAsia"/>
        </w:rPr>
        <w:t>（一）管理协同效应，主要指并购给企业管理活动带来的效率提高所产生的效益。具体表现为节省管理费用等方面。</w:t>
      </w:r>
    </w:p>
    <w:p w14:paraId="2D2DA024" w14:textId="77777777" w:rsidR="00685D93" w:rsidRDefault="00685D93" w:rsidP="00685D93">
      <w:pPr>
        <w:pStyle w:val="13"/>
      </w:pPr>
      <w:r>
        <w:rPr>
          <w:rFonts w:hint="eastAsia"/>
        </w:rPr>
        <w:t>（二）经营协同效应，主要指并购给企业生产经营活动带来的效率提高所产生的效益。具体表现为并购产生的规模经济、市场份额扩大、更全面的服务等。</w:t>
      </w:r>
    </w:p>
    <w:p w14:paraId="4A6549C9" w14:textId="77777777" w:rsidR="00685D93" w:rsidRDefault="00685D93" w:rsidP="00685D93">
      <w:pPr>
        <w:pStyle w:val="13"/>
      </w:pPr>
      <w:r>
        <w:rPr>
          <w:rFonts w:hint="eastAsia"/>
        </w:rPr>
        <w:t>（三）财务协同效应，主要指企业因获得并购资金所带来的融资成本降低、通过并购提升信用等级所带来的融资能力提高、通过并购实现业务整合所带来的税务优化等。</w:t>
      </w:r>
    </w:p>
    <w:p w14:paraId="2ACC9384" w14:textId="77777777" w:rsidR="00685D93" w:rsidRDefault="00685D93" w:rsidP="00685D93">
      <w:pPr>
        <w:pStyle w:val="13"/>
      </w:pPr>
      <w:r>
        <w:rPr>
          <w:rFonts w:hint="eastAsia"/>
        </w:rPr>
        <w:t>（四）其他协同效应，指未包含在上述三种类型之内的协同效应的统称。</w:t>
      </w:r>
    </w:p>
    <w:p w14:paraId="0543ED39" w14:textId="7D4E0219" w:rsidR="00685D93" w:rsidRDefault="004E3EBB" w:rsidP="00685D93">
      <w:pPr>
        <w:pStyle w:val="13"/>
        <w:ind w:firstLine="482"/>
      </w:pPr>
      <w:r w:rsidRPr="004E3EBB">
        <w:rPr>
          <w:rFonts w:hint="eastAsia"/>
          <w:b/>
          <w:bCs/>
        </w:rPr>
        <w:t xml:space="preserve">第五条 </w:t>
      </w:r>
      <w:r w:rsidR="00685D93">
        <w:t>本指导意见所称投资价值评估，是指资产评估机构及其资产评估专业人员依据法律、行政法规和资产评估准则，对企业并购标的资产的投资价值进行评定、估算，并出具投资价值评估报告的专业服务行为。</w:t>
      </w:r>
    </w:p>
    <w:p w14:paraId="19F05503" w14:textId="0F9431BD" w:rsidR="00685D93" w:rsidRDefault="004E3EBB" w:rsidP="00685D93">
      <w:pPr>
        <w:pStyle w:val="13"/>
        <w:ind w:firstLine="482"/>
      </w:pPr>
      <w:r w:rsidRPr="004E3EBB">
        <w:rPr>
          <w:rFonts w:hint="eastAsia"/>
          <w:b/>
          <w:bCs/>
        </w:rPr>
        <w:t xml:space="preserve">第六条 </w:t>
      </w:r>
      <w:r w:rsidR="00685D93">
        <w:t>本指导意见仅适用于第二条、第三条、第五条定义的投资价值评估业务，并按照《资产评估执业准则——资产评估报告》编制出具资产评估报告的资产评估业务类型。</w:t>
      </w:r>
    </w:p>
    <w:p w14:paraId="33FA1B7F" w14:textId="77777777" w:rsidR="00685D93" w:rsidRDefault="00685D93" w:rsidP="00685D93">
      <w:pPr>
        <w:pStyle w:val="13"/>
      </w:pPr>
      <w:r>
        <w:rPr>
          <w:rFonts w:hint="eastAsia"/>
        </w:rPr>
        <w:t>本指导意见定义的企业并购以外的其他企业并购和投资行为，本指导意见定义的投资价值评估以外的企业并购前期和中期的评估业务以及相关价值测算分析等其他业务，本指导意见定义的投资价值评估以外出具其他专业意见的业务，不受本指导意见的规范或者约束。</w:t>
      </w:r>
    </w:p>
    <w:p w14:paraId="1CFDB4F3" w14:textId="77777777" w:rsidR="00685D93" w:rsidRPr="00685D93" w:rsidRDefault="00685D93" w:rsidP="00AF7342">
      <w:pPr>
        <w:pStyle w:val="a9"/>
        <w:spacing w:before="62" w:after="62"/>
      </w:pPr>
      <w:r w:rsidRPr="00685D93">
        <w:rPr>
          <w:rFonts w:hint="eastAsia"/>
        </w:rPr>
        <w:lastRenderedPageBreak/>
        <w:t>第二章</w:t>
      </w:r>
      <w:r w:rsidRPr="00685D93">
        <w:t xml:space="preserve"> 基本遵循</w:t>
      </w:r>
    </w:p>
    <w:p w14:paraId="4C1391A3" w14:textId="6A642260" w:rsidR="00685D93" w:rsidRDefault="004E3EBB" w:rsidP="00685D93">
      <w:pPr>
        <w:pStyle w:val="13"/>
        <w:ind w:firstLine="482"/>
      </w:pPr>
      <w:r w:rsidRPr="004E3EBB">
        <w:rPr>
          <w:rFonts w:hint="eastAsia"/>
          <w:b/>
          <w:bCs/>
        </w:rPr>
        <w:t xml:space="preserve">第七条 </w:t>
      </w:r>
      <w:r w:rsidR="00685D93">
        <w:t>资产评估机构及其资产评估专业人员执行企业并购投资价值评估业务，应当遵守中国相关法律、行政法规和资产评估准则。</w:t>
      </w:r>
    </w:p>
    <w:p w14:paraId="25C6FF5F" w14:textId="77777777" w:rsidR="00685D93" w:rsidRDefault="00685D93" w:rsidP="00685D93">
      <w:pPr>
        <w:pStyle w:val="13"/>
      </w:pPr>
      <w:r>
        <w:rPr>
          <w:rFonts w:hint="eastAsia"/>
        </w:rPr>
        <w:t>并购标的资产所在地在境外时，应当考虑标的资产、并购各方所在地的相关法律对评估的影响。</w:t>
      </w:r>
    </w:p>
    <w:p w14:paraId="5E3F9B3A" w14:textId="65E9CBEF" w:rsidR="00685D93" w:rsidRDefault="004E3EBB" w:rsidP="00685D93">
      <w:pPr>
        <w:pStyle w:val="13"/>
        <w:ind w:firstLine="482"/>
      </w:pPr>
      <w:r w:rsidRPr="004E3EBB">
        <w:rPr>
          <w:rFonts w:hint="eastAsia"/>
          <w:b/>
          <w:bCs/>
        </w:rPr>
        <w:t xml:space="preserve">第八条 </w:t>
      </w:r>
      <w:r w:rsidR="00685D93">
        <w:t>资产评估机构及其资产评估专业人员执行企业并购投资价值评估业务，不得同时接受利益冲突双方的委托，除应当对相关法律、行政法规规定的、资产评估过程中知悉的国家秘密、商业秘密和个人隐私予以保密外，还应当对投资价值测算结果、评估结论以及与此相关联的交易价格决策信息予以保密，未得到委托人的同意，不得与任何组织或者个人沟通。相关法律、行政法规另有规定的除外。</w:t>
      </w:r>
    </w:p>
    <w:p w14:paraId="4932F75B" w14:textId="79C2D6A5" w:rsidR="00685D93" w:rsidRDefault="00E05BDA" w:rsidP="00685D93">
      <w:pPr>
        <w:pStyle w:val="13"/>
        <w:ind w:firstLine="482"/>
      </w:pPr>
      <w:r w:rsidRPr="00E05BDA">
        <w:rPr>
          <w:rFonts w:hint="eastAsia"/>
          <w:b/>
          <w:bCs/>
        </w:rPr>
        <w:t xml:space="preserve">第九条 </w:t>
      </w:r>
      <w:r w:rsidR="00685D93">
        <w:t>资产评估机构及其资产评估专业人员执行企业并购投资价值评估业务，应当完整、准确把握委托人的并购意图，全面理解委托人的并购方案，关注委托人对标的资产的整合考虑，为委托人提供符合并购方案的评估结论。</w:t>
      </w:r>
    </w:p>
    <w:p w14:paraId="43483E7E" w14:textId="0473B058" w:rsidR="00685D93" w:rsidRDefault="00E05BDA" w:rsidP="00685D93">
      <w:pPr>
        <w:pStyle w:val="13"/>
        <w:ind w:firstLine="482"/>
      </w:pPr>
      <w:r w:rsidRPr="00E05BDA">
        <w:rPr>
          <w:rFonts w:hint="eastAsia"/>
          <w:b/>
          <w:bCs/>
        </w:rPr>
        <w:t xml:space="preserve">第十条 </w:t>
      </w:r>
      <w:r w:rsidR="00685D93">
        <w:t>资产评估机构及其资产评估专业人员执行企业并购投资价值评估业务，可以利用委托人聘请的其他专业顾问和委托人的尽职调查报告及其有关结论。</w:t>
      </w:r>
    </w:p>
    <w:p w14:paraId="459238D9" w14:textId="77777777" w:rsidR="00685D93" w:rsidRDefault="00685D93" w:rsidP="00685D93">
      <w:pPr>
        <w:pStyle w:val="13"/>
      </w:pPr>
      <w:r>
        <w:rPr>
          <w:rFonts w:hint="eastAsia"/>
        </w:rPr>
        <w:t>受聘于并购方的评估业务，可以利用并购对方聘请的资产评估机构或者其他估值顾问获取的第三</w:t>
      </w:r>
      <w:proofErr w:type="gramStart"/>
      <w:r>
        <w:rPr>
          <w:rFonts w:hint="eastAsia"/>
        </w:rPr>
        <w:t>方资料</w:t>
      </w:r>
      <w:proofErr w:type="gramEnd"/>
      <w:r>
        <w:rPr>
          <w:rFonts w:hint="eastAsia"/>
        </w:rPr>
        <w:t>或者专业报告，但是应当分析判断该资料或者专业报告的专业判断结论和有关测算的合理性。</w:t>
      </w:r>
    </w:p>
    <w:p w14:paraId="159BA4D7" w14:textId="77777777" w:rsidR="00685D93" w:rsidRDefault="00685D93" w:rsidP="00685D93">
      <w:pPr>
        <w:pStyle w:val="13"/>
      </w:pPr>
      <w:r>
        <w:rPr>
          <w:rFonts w:hint="eastAsia"/>
        </w:rPr>
        <w:t>委托人有合理合法要求，可以恰当考虑其要求。有并购项目适用的法律法规，从其规定。</w:t>
      </w:r>
    </w:p>
    <w:p w14:paraId="0F0F94F0" w14:textId="6A760A36" w:rsidR="00685D93" w:rsidRDefault="00E05BDA" w:rsidP="00685D93">
      <w:pPr>
        <w:pStyle w:val="13"/>
        <w:ind w:firstLine="482"/>
      </w:pPr>
      <w:r w:rsidRPr="00E05BDA">
        <w:rPr>
          <w:rFonts w:hint="eastAsia"/>
          <w:b/>
          <w:bCs/>
        </w:rPr>
        <w:t xml:space="preserve">第十一条 </w:t>
      </w:r>
      <w:r w:rsidR="00685D93">
        <w:t>对具有多种经营业务类型或者多种商业模式、涉及多种行业的标的资产，可以根据企业并购方案、支付方式，确定业务单元，结合收集资料情况，采用适宜的口径进行评估。</w:t>
      </w:r>
    </w:p>
    <w:p w14:paraId="63D183F1" w14:textId="5CA400F8" w:rsidR="00685D93" w:rsidRDefault="00E05BDA" w:rsidP="00685D93">
      <w:pPr>
        <w:pStyle w:val="13"/>
        <w:ind w:firstLine="482"/>
      </w:pPr>
      <w:r w:rsidRPr="00E05BDA">
        <w:rPr>
          <w:rFonts w:hint="eastAsia"/>
          <w:b/>
          <w:bCs/>
        </w:rPr>
        <w:t xml:space="preserve">第十二条 </w:t>
      </w:r>
      <w:r w:rsidR="00685D93">
        <w:t>委托人能够提供相应审计报告的，资产评估专业人员应当：</w:t>
      </w:r>
    </w:p>
    <w:p w14:paraId="77BF9CB3" w14:textId="77777777" w:rsidR="00685D93" w:rsidRDefault="00685D93" w:rsidP="00685D93">
      <w:pPr>
        <w:pStyle w:val="13"/>
      </w:pPr>
      <w:r>
        <w:rPr>
          <w:rFonts w:hint="eastAsia"/>
        </w:rPr>
        <w:t>（一）依据正式出具的审计报告；</w:t>
      </w:r>
    </w:p>
    <w:p w14:paraId="0CEB6B4D" w14:textId="77777777" w:rsidR="00685D93" w:rsidRDefault="00685D93" w:rsidP="00685D93">
      <w:pPr>
        <w:pStyle w:val="13"/>
      </w:pPr>
      <w:r>
        <w:rPr>
          <w:rFonts w:hint="eastAsia"/>
        </w:rPr>
        <w:t>（二）境外标的资产，依据符合境外会计准则的审计报告以及中外会计准则的转换会计报表和差异说明或者其他类似报告；</w:t>
      </w:r>
    </w:p>
    <w:p w14:paraId="3E802E95" w14:textId="77777777" w:rsidR="00685D93" w:rsidRDefault="00685D93" w:rsidP="00685D93">
      <w:pPr>
        <w:pStyle w:val="13"/>
      </w:pPr>
      <w:r>
        <w:rPr>
          <w:rFonts w:hint="eastAsia"/>
        </w:rPr>
        <w:t>（三）了解审计过程的相关情况，合理利用审计报告，在委托人的协调下，做好与其他相关专业机构的沟通。</w:t>
      </w:r>
    </w:p>
    <w:p w14:paraId="5687DA27" w14:textId="3C3A7FA4" w:rsidR="00685D93" w:rsidRDefault="00E05BDA" w:rsidP="00685D93">
      <w:pPr>
        <w:pStyle w:val="13"/>
        <w:ind w:firstLine="482"/>
      </w:pPr>
      <w:r w:rsidRPr="00E05BDA">
        <w:rPr>
          <w:rFonts w:hint="eastAsia"/>
          <w:b/>
          <w:bCs/>
        </w:rPr>
        <w:t xml:space="preserve">第十三条 </w:t>
      </w:r>
      <w:r w:rsidR="00685D93">
        <w:t>资产评估机构及其资产评估专业人员执行企业并购投资价值评估业务，应当获取并购方案或者企业并购可行性研究报告，或者主要内容是企业并购的</w:t>
      </w:r>
      <w:proofErr w:type="gramStart"/>
      <w:r w:rsidR="00685D93">
        <w:t>类似报告</w:t>
      </w:r>
      <w:proofErr w:type="gramEnd"/>
      <w:r w:rsidR="00685D93">
        <w:t>作为评估的主要依据，并合理利用其确定相关评估事项和评估参数。</w:t>
      </w:r>
    </w:p>
    <w:p w14:paraId="34C8E3B5" w14:textId="65ACCC11" w:rsidR="00685D93" w:rsidRDefault="00E05BDA" w:rsidP="00685D93">
      <w:pPr>
        <w:pStyle w:val="13"/>
        <w:ind w:firstLine="482"/>
      </w:pPr>
      <w:r w:rsidRPr="00E05BDA">
        <w:rPr>
          <w:rFonts w:hint="eastAsia"/>
          <w:b/>
          <w:bCs/>
        </w:rPr>
        <w:t xml:space="preserve">第十四条 </w:t>
      </w:r>
      <w:r w:rsidR="00685D93">
        <w:t>协同效应分析中使用的收益和成本等指标资料，由委托人提供的，资产评估专业人员应当完整了解并购整合具体措施，以及协同效应实现的条件与基础，</w:t>
      </w:r>
      <w:r w:rsidR="00685D93">
        <w:lastRenderedPageBreak/>
        <w:t>对相关数据的合理性进行分析判断。</w:t>
      </w:r>
    </w:p>
    <w:p w14:paraId="19D472EB" w14:textId="77777777" w:rsidR="00685D93" w:rsidRDefault="00685D93" w:rsidP="00AF7342">
      <w:pPr>
        <w:pStyle w:val="a9"/>
        <w:spacing w:before="62" w:after="62"/>
      </w:pPr>
      <w:r>
        <w:rPr>
          <w:rFonts w:hint="eastAsia"/>
        </w:rPr>
        <w:t>第三章</w:t>
      </w:r>
      <w:r>
        <w:t xml:space="preserve"> 操作要求</w:t>
      </w:r>
    </w:p>
    <w:p w14:paraId="064964E3" w14:textId="3C9DB303" w:rsidR="00685D93" w:rsidRDefault="00E05BDA" w:rsidP="00685D93">
      <w:pPr>
        <w:pStyle w:val="13"/>
        <w:ind w:firstLine="482"/>
      </w:pPr>
      <w:r w:rsidRPr="00E05BDA">
        <w:rPr>
          <w:rFonts w:hint="eastAsia"/>
          <w:b/>
          <w:bCs/>
        </w:rPr>
        <w:t xml:space="preserve">第十五条 </w:t>
      </w:r>
      <w:r w:rsidR="00685D93">
        <w:t>资产评估专业人员执行企业并购投资价值评估业务，应当根据企业并购方案、并购类型或者方式，明确具体的评估目的，并完整披露。</w:t>
      </w:r>
    </w:p>
    <w:p w14:paraId="48AFFED4" w14:textId="1035865E" w:rsidR="00685D93" w:rsidRDefault="00E05BDA" w:rsidP="00685D93">
      <w:pPr>
        <w:pStyle w:val="13"/>
        <w:ind w:firstLine="482"/>
      </w:pPr>
      <w:r w:rsidRPr="00E05BDA">
        <w:rPr>
          <w:rFonts w:hint="eastAsia"/>
          <w:b/>
          <w:bCs/>
        </w:rPr>
        <w:t xml:space="preserve">第十六条 </w:t>
      </w:r>
      <w:r w:rsidR="00685D93">
        <w:t>资产评估机构及其资产评估专业人员执行企业并购投资价值评估业务，应当明确评估对象和评估范围。</w:t>
      </w:r>
    </w:p>
    <w:p w14:paraId="22CFE4DB" w14:textId="77777777" w:rsidR="00685D93" w:rsidRDefault="00685D93" w:rsidP="00685D93">
      <w:pPr>
        <w:pStyle w:val="13"/>
      </w:pPr>
      <w:r>
        <w:rPr>
          <w:rFonts w:hint="eastAsia"/>
        </w:rPr>
        <w:t>（一）评估对象通常包括单（多）项业务单元、已（待）开发项目（有时含负债）、企业整体、股东权益、各种权利义务等。有时，并购标的资产不对应于会计核算科目或者资产负债表。</w:t>
      </w:r>
    </w:p>
    <w:p w14:paraId="1C8B773C" w14:textId="77777777" w:rsidR="00685D93" w:rsidRDefault="00685D93" w:rsidP="00685D93">
      <w:pPr>
        <w:pStyle w:val="13"/>
      </w:pPr>
      <w:r>
        <w:rPr>
          <w:rFonts w:hint="eastAsia"/>
        </w:rPr>
        <w:t>（二）评估对象应当由委托人根据并购方案确定，并在资产评估委托合同中予以约定。</w:t>
      </w:r>
    </w:p>
    <w:p w14:paraId="2D69EBD3" w14:textId="77777777" w:rsidR="00685D93" w:rsidRDefault="00685D93" w:rsidP="00685D93">
      <w:pPr>
        <w:pStyle w:val="13"/>
      </w:pPr>
      <w:r>
        <w:rPr>
          <w:rFonts w:hint="eastAsia"/>
        </w:rPr>
        <w:t>（三）评估对象为企业整体、股东权益时，应当根据会计政策、企业并购后未来经营模式等，对因并购方案带来的标的公司资产负债表的表内以及表外资产进行识别，根据企业并购价格支付口径，要求委托人明确是否将其纳入评估范围。</w:t>
      </w:r>
    </w:p>
    <w:p w14:paraId="5388CBE0" w14:textId="77777777" w:rsidR="00685D93" w:rsidRDefault="00685D93" w:rsidP="00685D93">
      <w:pPr>
        <w:pStyle w:val="13"/>
      </w:pPr>
      <w:r>
        <w:rPr>
          <w:rFonts w:hint="eastAsia"/>
        </w:rPr>
        <w:t>（四）评估对象为企业整体、股东权益时，应当特别关注相关审计报告的审计目标、审计范围和审计意见；关注并披露评估对象涉及的资产、负债与已经审计或者审阅财务报表之间的对应关系。</w:t>
      </w:r>
    </w:p>
    <w:p w14:paraId="4202427E" w14:textId="77777777" w:rsidR="00685D93" w:rsidRDefault="00685D93" w:rsidP="00685D93">
      <w:pPr>
        <w:pStyle w:val="13"/>
      </w:pPr>
      <w:r>
        <w:rPr>
          <w:rFonts w:hint="eastAsia"/>
        </w:rPr>
        <w:t>（五）评估基准日至交割日期间，交易日后标的公司</w:t>
      </w:r>
      <w:r>
        <w:t>/业务为建立独立业务所产生的费用、存货变化、尚未支付的与员工相关的补偿款、退休金以及其他法定费用、交易日前实际承担尚未支付的各类负债、应交税费等，应当明确得到委托人对该类事项在交易价格中</w:t>
      </w:r>
      <w:proofErr w:type="gramStart"/>
      <w:r>
        <w:t>作出</w:t>
      </w:r>
      <w:proofErr w:type="gramEnd"/>
      <w:r>
        <w:t>的调整或者安排。</w:t>
      </w:r>
    </w:p>
    <w:p w14:paraId="6BBDA7C0" w14:textId="3B4F1D71" w:rsidR="00685D93" w:rsidRDefault="00E05BDA" w:rsidP="00685D93">
      <w:pPr>
        <w:pStyle w:val="13"/>
        <w:ind w:firstLine="482"/>
      </w:pPr>
      <w:r w:rsidRPr="00E05BDA">
        <w:rPr>
          <w:rFonts w:hint="eastAsia"/>
          <w:b/>
          <w:bCs/>
        </w:rPr>
        <w:t xml:space="preserve">第十七条 </w:t>
      </w:r>
      <w:r w:rsidR="00685D93">
        <w:t>资产评估专业人员执行企业并购投资价值评估业务，应当明确评估基准日。评估基准</w:t>
      </w:r>
      <w:proofErr w:type="gramStart"/>
      <w:r w:rsidR="00685D93">
        <w:t>日应当</w:t>
      </w:r>
      <w:proofErr w:type="gramEnd"/>
      <w:r w:rsidR="00685D93">
        <w:t>由委托人确定，并在资产评估委托合同中予以约定。</w:t>
      </w:r>
    </w:p>
    <w:p w14:paraId="65D951A1" w14:textId="77777777" w:rsidR="00685D93" w:rsidRDefault="00685D93" w:rsidP="00685D93">
      <w:pPr>
        <w:pStyle w:val="13"/>
      </w:pPr>
      <w:r>
        <w:rPr>
          <w:rFonts w:hint="eastAsia"/>
        </w:rPr>
        <w:t>应当特别关注评估基准日至评估报告日之间的影响评估结论的重大期后事项。</w:t>
      </w:r>
    </w:p>
    <w:p w14:paraId="5D1D8872" w14:textId="73839F50" w:rsidR="00685D93" w:rsidRDefault="00E05BDA" w:rsidP="00685D93">
      <w:pPr>
        <w:pStyle w:val="13"/>
        <w:ind w:firstLine="482"/>
      </w:pPr>
      <w:r w:rsidRPr="00E05BDA">
        <w:rPr>
          <w:rFonts w:hint="eastAsia"/>
          <w:b/>
          <w:bCs/>
        </w:rPr>
        <w:t xml:space="preserve">第十八条 </w:t>
      </w:r>
      <w:r w:rsidR="00685D93">
        <w:t>委托人为并购方的投资价值评估业务，资产评估程序可能受到诸多限制，资产评估专业人员应当采取弥补措施，例如利用尽职调查报告，满足评估工作需要，满足资产评估报告使用的需要。因法律法规规定、客观条件限制无法实施核查验证的事项，资产评估专业人员应当在工作底稿中予以说明，分析其对评估结论的影响程度，并在资产评估报告中予以披露。如果上述事项对评估结论产生重大影响或者无法判断其影响程度，资产评估机构不得出具资产评估报告。</w:t>
      </w:r>
    </w:p>
    <w:p w14:paraId="51085A06" w14:textId="3B105D51" w:rsidR="00685D93" w:rsidRDefault="00E05BDA" w:rsidP="00685D93">
      <w:pPr>
        <w:pStyle w:val="13"/>
        <w:ind w:firstLine="482"/>
      </w:pPr>
      <w:r w:rsidRPr="00E05BDA">
        <w:rPr>
          <w:rFonts w:hint="eastAsia"/>
          <w:b/>
          <w:bCs/>
        </w:rPr>
        <w:t xml:space="preserve">第十九条 </w:t>
      </w:r>
      <w:r w:rsidR="00685D93">
        <w:t>资产评估专业人员应当根据企业并购方案确定评估假设。按照企业并购方案完成</w:t>
      </w:r>
      <w:proofErr w:type="gramStart"/>
      <w:r w:rsidR="00685D93">
        <w:t>并购且</w:t>
      </w:r>
      <w:proofErr w:type="gramEnd"/>
      <w:r w:rsidR="00685D93">
        <w:t>在并购整合后持续经营，各种协同效应在并购方案拟定的整合措施以及预定的整合时间发挥作用，是投资价值评估中的重要假设内容。</w:t>
      </w:r>
    </w:p>
    <w:p w14:paraId="48728580" w14:textId="77777777" w:rsidR="00685D93" w:rsidRDefault="00685D93" w:rsidP="00685D93">
      <w:pPr>
        <w:pStyle w:val="13"/>
      </w:pPr>
      <w:r>
        <w:rPr>
          <w:rFonts w:hint="eastAsia"/>
        </w:rPr>
        <w:t>资产评估专业人员执行企业并购投资价值评估业务，应当与委托人就评估假设</w:t>
      </w:r>
      <w:r>
        <w:rPr>
          <w:rFonts w:hint="eastAsia"/>
        </w:rPr>
        <w:lastRenderedPageBreak/>
        <w:t>的合理性进行充分沟通。</w:t>
      </w:r>
    </w:p>
    <w:p w14:paraId="6C7859DC" w14:textId="723336A1" w:rsidR="00685D93" w:rsidRDefault="00E05BDA" w:rsidP="00685D93">
      <w:pPr>
        <w:pStyle w:val="13"/>
        <w:ind w:firstLine="482"/>
      </w:pPr>
      <w:r w:rsidRPr="00E05BDA">
        <w:rPr>
          <w:rFonts w:hint="eastAsia"/>
          <w:b/>
          <w:bCs/>
        </w:rPr>
        <w:t xml:space="preserve">第二十条 </w:t>
      </w:r>
      <w:r w:rsidR="00685D93">
        <w:t>资产评估专业人员执行企业并购投资价值评估业务，应当在综合分析市场法、收益法和资产基础法等基本方法的使用前提和适用范围、企业并购类型或者并购方式、并购对象和并购</w:t>
      </w:r>
      <w:proofErr w:type="gramStart"/>
      <w:r w:rsidR="00685D93">
        <w:t>方相关</w:t>
      </w:r>
      <w:proofErr w:type="gramEnd"/>
      <w:r w:rsidR="00685D93">
        <w:t>资源的特点、并购项目阶段等因素的基础上，恰当选择资产评估方法。</w:t>
      </w:r>
    </w:p>
    <w:p w14:paraId="601C4F5F" w14:textId="763855D3" w:rsidR="00685D93" w:rsidRDefault="00E05BDA" w:rsidP="00685D93">
      <w:pPr>
        <w:pStyle w:val="13"/>
        <w:ind w:firstLine="482"/>
      </w:pPr>
      <w:r w:rsidRPr="00E05BDA">
        <w:rPr>
          <w:rFonts w:hint="eastAsia"/>
          <w:b/>
          <w:bCs/>
        </w:rPr>
        <w:t xml:space="preserve">第二十一条 </w:t>
      </w:r>
      <w:r w:rsidR="00685D93">
        <w:t>采用收益法评估投资价值，应当依据并购方案拟定的并购整合后公司未来的经营模式、资本结构、经济环境，进行收益指标预测、测算。</w:t>
      </w:r>
    </w:p>
    <w:p w14:paraId="391DD27E" w14:textId="75772144" w:rsidR="00685D93" w:rsidRDefault="00E05BDA" w:rsidP="00685D93">
      <w:pPr>
        <w:pStyle w:val="13"/>
        <w:ind w:firstLine="482"/>
      </w:pPr>
      <w:r w:rsidRPr="00E05BDA">
        <w:rPr>
          <w:rFonts w:hint="eastAsia"/>
          <w:b/>
          <w:bCs/>
        </w:rPr>
        <w:t xml:space="preserve">第二十二条 </w:t>
      </w:r>
      <w:r w:rsidR="00685D93">
        <w:t>采用收益法评估投资价值，应当考虑并购方给标的公司带来的价值贡献，或者并购双方各种资源重新整合形成的运营价值贡献；对预期收益的预测，应当以增量资产为出发点，反映的是并购、并购整合后持续生产经营前提下的未来收益。</w:t>
      </w:r>
    </w:p>
    <w:p w14:paraId="48210397" w14:textId="3E5A7112" w:rsidR="00685D93" w:rsidRDefault="00E05BDA" w:rsidP="00685D93">
      <w:pPr>
        <w:pStyle w:val="13"/>
        <w:ind w:firstLine="482"/>
      </w:pPr>
      <w:r w:rsidRPr="00E05BDA">
        <w:rPr>
          <w:rFonts w:hint="eastAsia"/>
          <w:b/>
          <w:bCs/>
        </w:rPr>
        <w:t xml:space="preserve">第二十三条 </w:t>
      </w:r>
      <w:r w:rsidR="00685D93">
        <w:t>投资价值评估收益法常用的收益指标为自由现金流量和扣除利息、所得税、折旧、摊销之前的利润。资产评估专业人员应当根据标的资产目前或者并购整合后所处行业、经营模式、资本结构、发展趋势等，恰当使用收益指标。</w:t>
      </w:r>
    </w:p>
    <w:p w14:paraId="35938D33" w14:textId="0F8B70B4" w:rsidR="00685D93" w:rsidRDefault="00E05BDA" w:rsidP="00685D93">
      <w:pPr>
        <w:pStyle w:val="13"/>
        <w:ind w:firstLine="482"/>
      </w:pPr>
      <w:r w:rsidRPr="00E05BDA">
        <w:rPr>
          <w:rFonts w:hint="eastAsia"/>
          <w:b/>
          <w:bCs/>
        </w:rPr>
        <w:t xml:space="preserve">第二十四条 </w:t>
      </w:r>
      <w:r w:rsidR="00685D93">
        <w:t>资产评估专业人员应当关注未来收益预测中经营管理、业务架构、主营业务收入、毛利率、营运资金、资本性支出等主要评估参数与并购方案以及整合措施的一致性。</w:t>
      </w:r>
    </w:p>
    <w:p w14:paraId="789CB318" w14:textId="7C7788E7" w:rsidR="00685D93" w:rsidRDefault="00E05BDA" w:rsidP="00685D93">
      <w:pPr>
        <w:pStyle w:val="13"/>
        <w:ind w:firstLine="482"/>
      </w:pPr>
      <w:r w:rsidRPr="00E05BDA">
        <w:rPr>
          <w:rFonts w:hint="eastAsia"/>
          <w:b/>
          <w:bCs/>
        </w:rPr>
        <w:t xml:space="preserve">第二十五条 </w:t>
      </w:r>
      <w:r w:rsidR="00685D93">
        <w:t>投资价值收益法评估参数确定，应当考虑下列因素：</w:t>
      </w:r>
    </w:p>
    <w:p w14:paraId="2E8F8A31" w14:textId="77777777" w:rsidR="00685D93" w:rsidRDefault="00685D93" w:rsidP="00685D93">
      <w:pPr>
        <w:pStyle w:val="13"/>
      </w:pPr>
      <w:r>
        <w:rPr>
          <w:rFonts w:hint="eastAsia"/>
        </w:rPr>
        <w:t>（一）以明确的并购方案为基础；</w:t>
      </w:r>
    </w:p>
    <w:p w14:paraId="53B557FC" w14:textId="77777777" w:rsidR="00685D93" w:rsidRDefault="00685D93" w:rsidP="00685D93">
      <w:pPr>
        <w:pStyle w:val="13"/>
      </w:pPr>
      <w:r>
        <w:rPr>
          <w:rFonts w:hint="eastAsia"/>
        </w:rPr>
        <w:t>（二）以明确的协同效应类型、协同效应发挥作用的时间为依据；</w:t>
      </w:r>
    </w:p>
    <w:p w14:paraId="6EFD44BF" w14:textId="77777777" w:rsidR="00685D93" w:rsidRDefault="00685D93" w:rsidP="00685D93">
      <w:pPr>
        <w:pStyle w:val="13"/>
      </w:pPr>
      <w:r>
        <w:rPr>
          <w:rFonts w:hint="eastAsia"/>
        </w:rPr>
        <w:t>（三）确保评估参数与具体协同效应类型相对应。</w:t>
      </w:r>
    </w:p>
    <w:p w14:paraId="05434A4D" w14:textId="5C61FE52" w:rsidR="00685D93" w:rsidRDefault="00E05BDA" w:rsidP="00685D93">
      <w:pPr>
        <w:pStyle w:val="13"/>
        <w:ind w:firstLine="482"/>
      </w:pPr>
      <w:r w:rsidRPr="00E05BDA">
        <w:rPr>
          <w:rFonts w:hint="eastAsia"/>
          <w:b/>
          <w:bCs/>
        </w:rPr>
        <w:t xml:space="preserve">第二十六条 </w:t>
      </w:r>
      <w:r w:rsidR="00685D93">
        <w:t>确定详细预测期，除考虑营运资金变动、资本追加、以及各种法定因素和资源因素外，还需要考虑下列因素：</w:t>
      </w:r>
    </w:p>
    <w:p w14:paraId="018629A5" w14:textId="77777777" w:rsidR="00685D93" w:rsidRDefault="00685D93" w:rsidP="00685D93">
      <w:pPr>
        <w:pStyle w:val="13"/>
      </w:pPr>
      <w:r>
        <w:rPr>
          <w:rFonts w:hint="eastAsia"/>
        </w:rPr>
        <w:t>（一）预测期应当涵盖并购整合期限；</w:t>
      </w:r>
    </w:p>
    <w:p w14:paraId="12F83EDD" w14:textId="77777777" w:rsidR="00685D93" w:rsidRDefault="00685D93" w:rsidP="00685D93">
      <w:pPr>
        <w:pStyle w:val="13"/>
      </w:pPr>
      <w:r>
        <w:rPr>
          <w:rFonts w:hint="eastAsia"/>
        </w:rPr>
        <w:t>（二）预测期应当涵盖所有协同效应的实现时间；</w:t>
      </w:r>
    </w:p>
    <w:p w14:paraId="5890664C" w14:textId="77777777" w:rsidR="00685D93" w:rsidRDefault="00685D93" w:rsidP="00685D93">
      <w:pPr>
        <w:pStyle w:val="13"/>
      </w:pPr>
      <w:r>
        <w:rPr>
          <w:rFonts w:hint="eastAsia"/>
        </w:rPr>
        <w:t>（三）预测期应当考虑并购标的资产允许和计划持有的时间；</w:t>
      </w:r>
    </w:p>
    <w:p w14:paraId="36B157ED" w14:textId="77777777" w:rsidR="00685D93" w:rsidRDefault="00685D93" w:rsidP="00685D93">
      <w:pPr>
        <w:pStyle w:val="13"/>
      </w:pPr>
      <w:r>
        <w:rPr>
          <w:rFonts w:hint="eastAsia"/>
        </w:rPr>
        <w:t>（四）预测期应当考虑标的公司在</w:t>
      </w:r>
      <w:proofErr w:type="gramStart"/>
      <w:r>
        <w:rPr>
          <w:rFonts w:hint="eastAsia"/>
        </w:rPr>
        <w:t>研</w:t>
      </w:r>
      <w:proofErr w:type="gramEnd"/>
      <w:r>
        <w:rPr>
          <w:rFonts w:hint="eastAsia"/>
        </w:rPr>
        <w:t>或者在建项目所对应的研发、产品商业化、投产、达产、销售的时间。</w:t>
      </w:r>
    </w:p>
    <w:p w14:paraId="4C86E6E1" w14:textId="4417A295" w:rsidR="00685D93" w:rsidRDefault="00E05BDA" w:rsidP="00685D93">
      <w:pPr>
        <w:pStyle w:val="13"/>
        <w:ind w:firstLine="482"/>
      </w:pPr>
      <w:r w:rsidRPr="00E05BDA">
        <w:rPr>
          <w:rFonts w:hint="eastAsia"/>
          <w:b/>
          <w:bCs/>
        </w:rPr>
        <w:t xml:space="preserve">第二十七条 </w:t>
      </w:r>
      <w:r w:rsidR="00685D93">
        <w:t>确定折现率，应当综合考虑评估基准日的利率水平、投资回报水平、并购整合后标的公司的资本结构等信息，以及并购整合后公司的特定风险等客观性因素。</w:t>
      </w:r>
    </w:p>
    <w:p w14:paraId="6E542006" w14:textId="77777777" w:rsidR="00685D93" w:rsidRDefault="00685D93" w:rsidP="00685D93">
      <w:pPr>
        <w:pStyle w:val="13"/>
      </w:pPr>
      <w:r>
        <w:rPr>
          <w:rFonts w:hint="eastAsia"/>
        </w:rPr>
        <w:t>折现率中的债务和权益资本成本、资本结构，可以结合并购方案中的融资计划，参照委托人提出的合理资本结构和资本成本计划确定。</w:t>
      </w:r>
    </w:p>
    <w:p w14:paraId="2C5D81AA" w14:textId="0C4FFC5E" w:rsidR="00685D93" w:rsidRDefault="00E05BDA" w:rsidP="00685D93">
      <w:pPr>
        <w:pStyle w:val="13"/>
        <w:ind w:firstLine="482"/>
      </w:pPr>
      <w:r w:rsidRPr="00E05BDA">
        <w:rPr>
          <w:rFonts w:hint="eastAsia"/>
          <w:b/>
          <w:bCs/>
        </w:rPr>
        <w:t xml:space="preserve">第二十八条 </w:t>
      </w:r>
      <w:r w:rsidR="00685D93">
        <w:t>资产评估专业人员应当根据并购整合后公司进入稳定期的因素分</w:t>
      </w:r>
      <w:r w:rsidR="00685D93">
        <w:lastRenderedPageBreak/>
        <w:t>析详细预测期后的收益趋势、终止经营后的处置方式等，选择恰当的方法估算详细预测期后的价值。</w:t>
      </w:r>
    </w:p>
    <w:p w14:paraId="1A44176C" w14:textId="33611C13" w:rsidR="00685D93" w:rsidRDefault="00E05BDA" w:rsidP="00685D93">
      <w:pPr>
        <w:pStyle w:val="13"/>
        <w:ind w:firstLine="482"/>
      </w:pPr>
      <w:r w:rsidRPr="00E05BDA">
        <w:rPr>
          <w:rFonts w:hint="eastAsia"/>
          <w:b/>
          <w:bCs/>
        </w:rPr>
        <w:t xml:space="preserve">第二十九条 </w:t>
      </w:r>
      <w:r w:rsidR="00685D93">
        <w:t>采用收益法进行投资价值评估，应当明确并购交易资产边界或者并购价格支付对应的资产边界，考虑并购方案中并购双方不准备纳入交易价格中的非经营性资产、溢</w:t>
      </w:r>
      <w:proofErr w:type="gramStart"/>
      <w:r w:rsidR="00685D93">
        <w:t>余资产</w:t>
      </w:r>
      <w:proofErr w:type="gramEnd"/>
      <w:r w:rsidR="00685D93">
        <w:t>等，谨慎确定经营性资产收益折现值之外的加回项目，以确保投资价值评估结论合理反映投资并购交易对象。</w:t>
      </w:r>
    </w:p>
    <w:p w14:paraId="41435AB5" w14:textId="755E379A" w:rsidR="00685D93" w:rsidRDefault="00E05BDA" w:rsidP="00685D93">
      <w:pPr>
        <w:pStyle w:val="13"/>
        <w:ind w:firstLine="482"/>
      </w:pPr>
      <w:r w:rsidRPr="00E05BDA">
        <w:rPr>
          <w:rFonts w:hint="eastAsia"/>
          <w:b/>
          <w:bCs/>
        </w:rPr>
        <w:t xml:space="preserve">第三十条 </w:t>
      </w:r>
      <w:r w:rsidR="00685D93">
        <w:t>采用市场法进行投资价值评估，应当根据并购整合后公司的情况，选择与并购整合后公司进行比较分析的可比公司或者交易案例。</w:t>
      </w:r>
    </w:p>
    <w:p w14:paraId="4FFBAEBD" w14:textId="3CB6721D" w:rsidR="00685D93" w:rsidRDefault="003B2FB1" w:rsidP="00685D93">
      <w:pPr>
        <w:pStyle w:val="13"/>
        <w:ind w:firstLine="482"/>
      </w:pPr>
      <w:r w:rsidRPr="003B2FB1">
        <w:rPr>
          <w:rFonts w:hint="eastAsia"/>
          <w:b/>
          <w:bCs/>
        </w:rPr>
        <w:t xml:space="preserve">第三十一条 </w:t>
      </w:r>
      <w:r w:rsidR="00685D93">
        <w:t>选择可比公司或者交易案例，应当考虑下列因素：</w:t>
      </w:r>
    </w:p>
    <w:p w14:paraId="056B7276" w14:textId="77777777" w:rsidR="00685D93" w:rsidRDefault="00685D93" w:rsidP="00685D93">
      <w:pPr>
        <w:pStyle w:val="13"/>
      </w:pPr>
      <w:r>
        <w:rPr>
          <w:rFonts w:hint="eastAsia"/>
        </w:rPr>
        <w:t>（一）业务结构、经营模式、企业规模、资产配置和使用情况；</w:t>
      </w:r>
    </w:p>
    <w:p w14:paraId="0612DEA1" w14:textId="77777777" w:rsidR="00685D93" w:rsidRDefault="00685D93" w:rsidP="00685D93">
      <w:pPr>
        <w:pStyle w:val="13"/>
      </w:pPr>
      <w:r>
        <w:rPr>
          <w:rFonts w:hint="eastAsia"/>
        </w:rPr>
        <w:t>（二）企业所处经营阶段、成长性、经营风险、财务风险。</w:t>
      </w:r>
    </w:p>
    <w:p w14:paraId="1CF37E16" w14:textId="09B5AA18" w:rsidR="00685D93" w:rsidRDefault="003B2FB1" w:rsidP="00685D93">
      <w:pPr>
        <w:pStyle w:val="13"/>
        <w:ind w:firstLine="482"/>
      </w:pPr>
      <w:r w:rsidRPr="003B2FB1">
        <w:rPr>
          <w:rFonts w:hint="eastAsia"/>
          <w:b/>
          <w:bCs/>
        </w:rPr>
        <w:t xml:space="preserve">第三十二条 </w:t>
      </w:r>
      <w:r w:rsidR="00685D93">
        <w:t>采用市场法进行投资价值评估，可以选择与评估对象价值口径一致的指标作为分子，以与评估对象相关的财务或者行业特征指标作为分母，构建符合标的资产行业特点的价值比率。</w:t>
      </w:r>
    </w:p>
    <w:p w14:paraId="4438E34A" w14:textId="47BCC06F" w:rsidR="00685D93" w:rsidRDefault="003B2FB1" w:rsidP="00685D93">
      <w:pPr>
        <w:pStyle w:val="13"/>
        <w:ind w:firstLine="482"/>
      </w:pPr>
      <w:r w:rsidRPr="003B2FB1">
        <w:rPr>
          <w:rFonts w:hint="eastAsia"/>
          <w:b/>
          <w:bCs/>
        </w:rPr>
        <w:t xml:space="preserve">第三十三条 </w:t>
      </w:r>
      <w:r w:rsidR="00685D93">
        <w:t>价值比率的分母应当是并购整合后公司的指标，应当考虑企业并购协同效应。</w:t>
      </w:r>
    </w:p>
    <w:p w14:paraId="55746ACB" w14:textId="1A411085" w:rsidR="00685D93" w:rsidRDefault="003B2FB1" w:rsidP="00685D93">
      <w:pPr>
        <w:pStyle w:val="13"/>
        <w:ind w:firstLine="482"/>
      </w:pPr>
      <w:r w:rsidRPr="003B2FB1">
        <w:rPr>
          <w:rFonts w:hint="eastAsia"/>
          <w:b/>
          <w:bCs/>
        </w:rPr>
        <w:t xml:space="preserve">第三十四条 </w:t>
      </w:r>
      <w:r w:rsidR="00685D93">
        <w:t>股权价值评估，价值比率的分子采用股权价值，分母应当采用考虑协同效应、反应股权价值的财务指标和非财务特征指标。</w:t>
      </w:r>
    </w:p>
    <w:p w14:paraId="6E31D093" w14:textId="28526209" w:rsidR="00685D93" w:rsidRDefault="003B2FB1" w:rsidP="00685D93">
      <w:pPr>
        <w:pStyle w:val="13"/>
        <w:ind w:firstLine="482"/>
      </w:pPr>
      <w:r w:rsidRPr="003B2FB1">
        <w:rPr>
          <w:rFonts w:hint="eastAsia"/>
          <w:b/>
          <w:bCs/>
        </w:rPr>
        <w:t xml:space="preserve">第三十五条 </w:t>
      </w:r>
      <w:r w:rsidR="00685D93">
        <w:t>采用资产基础法进行投资价值评估，应当明确并购交易资产边界或者并购价格支付对应的资产边界，即评估范围。</w:t>
      </w:r>
    </w:p>
    <w:p w14:paraId="081B87A6" w14:textId="50FABDB3" w:rsidR="00685D93" w:rsidRDefault="003B2FB1" w:rsidP="00685D93">
      <w:pPr>
        <w:pStyle w:val="13"/>
        <w:ind w:firstLine="482"/>
      </w:pPr>
      <w:r w:rsidRPr="003B2FB1">
        <w:rPr>
          <w:rFonts w:hint="eastAsia"/>
          <w:b/>
          <w:bCs/>
        </w:rPr>
        <w:t xml:space="preserve">第三十六条 </w:t>
      </w:r>
      <w:r w:rsidR="00685D93">
        <w:t>采用资产基础法进行投资价值评估，应当明确并购方案不准备纳入交易范围的非经营性资产、溢</w:t>
      </w:r>
      <w:proofErr w:type="gramStart"/>
      <w:r w:rsidR="00685D93">
        <w:t>余资产</w:t>
      </w:r>
      <w:proofErr w:type="gramEnd"/>
      <w:r w:rsidR="00685D93">
        <w:t>等，并在资产评估委托合同中予以约定。</w:t>
      </w:r>
    </w:p>
    <w:p w14:paraId="232FA2AE" w14:textId="385FE9F1" w:rsidR="00685D93" w:rsidRDefault="003B2FB1" w:rsidP="00685D93">
      <w:pPr>
        <w:pStyle w:val="13"/>
        <w:ind w:firstLine="482"/>
      </w:pPr>
      <w:r w:rsidRPr="003B2FB1">
        <w:rPr>
          <w:rFonts w:hint="eastAsia"/>
          <w:b/>
          <w:bCs/>
        </w:rPr>
        <w:t xml:space="preserve">第三十七条 </w:t>
      </w:r>
      <w:r w:rsidR="00685D93">
        <w:t>采用资产基础法进行投资价值评估，对各单项资产采用相应资产评估方法评估时，应当考虑企业并购整合后，可能涉及新的运营模式、新的产品或者服务类型，甚至新的核算方式对资产价值的影响，恰当选取评估参数。</w:t>
      </w:r>
    </w:p>
    <w:p w14:paraId="7580A99A" w14:textId="2D29ABFA" w:rsidR="00685D93" w:rsidRDefault="003B2FB1" w:rsidP="00685D93">
      <w:pPr>
        <w:pStyle w:val="13"/>
        <w:ind w:firstLine="482"/>
      </w:pPr>
      <w:r w:rsidRPr="003B2FB1">
        <w:rPr>
          <w:rFonts w:hint="eastAsia"/>
          <w:b/>
          <w:bCs/>
        </w:rPr>
        <w:t xml:space="preserve">第三十八条 </w:t>
      </w:r>
      <w:r w:rsidR="00685D93">
        <w:t>资产评估专业人员执行企业并购投资价值评估业务，应当考虑并购后可能带来的因税收、员工安置、环保义务或者其他监管问题等经济法律事项产生的或有负债对评估结论产生的影响，在切实可行的情况下，评估专业人员可以与管理层以及相关中介机构讨论，对这些可以量化的或有负债进行估计和量化。</w:t>
      </w:r>
    </w:p>
    <w:p w14:paraId="63F76238" w14:textId="0DE26513" w:rsidR="00685D93" w:rsidRDefault="003B2FB1" w:rsidP="00685D93">
      <w:pPr>
        <w:pStyle w:val="13"/>
        <w:ind w:firstLine="482"/>
      </w:pPr>
      <w:r w:rsidRPr="003B2FB1">
        <w:rPr>
          <w:rFonts w:hint="eastAsia"/>
          <w:b/>
          <w:bCs/>
        </w:rPr>
        <w:t xml:space="preserve">第三十九条 </w:t>
      </w:r>
      <w:r w:rsidR="00685D93">
        <w:t>资产评估专业人员执行企业并购投资价值评估业务，可以采用一些分析方法或者工具，作为确定评估结论过程中的分析手段。例如退出倍数法、财务净现值法、情景分析法、敏感性分析法等。</w:t>
      </w:r>
    </w:p>
    <w:p w14:paraId="247FE021" w14:textId="6E54063A" w:rsidR="00685D93" w:rsidRDefault="003B2FB1" w:rsidP="00685D93">
      <w:pPr>
        <w:pStyle w:val="13"/>
        <w:ind w:firstLine="482"/>
      </w:pPr>
      <w:r w:rsidRPr="003B2FB1">
        <w:rPr>
          <w:rFonts w:hint="eastAsia"/>
          <w:b/>
          <w:bCs/>
        </w:rPr>
        <w:t xml:space="preserve">第四十条 </w:t>
      </w:r>
      <w:r w:rsidR="00685D93">
        <w:t>经与委托人沟通，投资价值评估结论可以是区间</w:t>
      </w:r>
      <w:proofErr w:type="gramStart"/>
      <w:r w:rsidR="00685D93">
        <w:t>值或者</w:t>
      </w:r>
      <w:proofErr w:type="gramEnd"/>
      <w:r w:rsidR="00685D93">
        <w:t>其他形式的专业意见。</w:t>
      </w:r>
    </w:p>
    <w:p w14:paraId="58C60709" w14:textId="77777777" w:rsidR="00685D93" w:rsidRDefault="00685D93" w:rsidP="00685D93">
      <w:pPr>
        <w:pStyle w:val="13"/>
      </w:pPr>
      <w:r>
        <w:rPr>
          <w:rFonts w:hint="eastAsia"/>
        </w:rPr>
        <w:lastRenderedPageBreak/>
        <w:t>根据委托人的要求，可以同时在资产评估报告中载明标的资产并购前独立的市场价值测算结果，应当同时在资产评估报告中载明投资价值最大可能值并载明具体的协同效应类型。</w:t>
      </w:r>
    </w:p>
    <w:p w14:paraId="4008D530" w14:textId="77777777" w:rsidR="00685D93" w:rsidRDefault="00685D93" w:rsidP="00AF7342">
      <w:pPr>
        <w:pStyle w:val="a9"/>
        <w:spacing w:before="62" w:after="62"/>
      </w:pPr>
      <w:r>
        <w:rPr>
          <w:rFonts w:hint="eastAsia"/>
        </w:rPr>
        <w:t>第四章</w:t>
      </w:r>
      <w:r>
        <w:t xml:space="preserve"> 资产评估报告及其披露要求</w:t>
      </w:r>
    </w:p>
    <w:p w14:paraId="2DE76203" w14:textId="783B0995" w:rsidR="00685D93" w:rsidRDefault="003B2FB1" w:rsidP="00685D93">
      <w:pPr>
        <w:pStyle w:val="13"/>
        <w:ind w:firstLine="482"/>
      </w:pPr>
      <w:r w:rsidRPr="003B2FB1">
        <w:rPr>
          <w:rFonts w:hint="eastAsia"/>
          <w:b/>
          <w:bCs/>
        </w:rPr>
        <w:t xml:space="preserve">第四十一条 </w:t>
      </w:r>
      <w:r w:rsidR="00685D93">
        <w:t>资产评估专业人员执行投资价值评估业务，应当在履行必要的资产评估程序后，编制出具资产评估报告，并进行恰当披露，使委托人能够理解资产评估报告内容，使用资产评估报告的评估结论。</w:t>
      </w:r>
    </w:p>
    <w:p w14:paraId="20A7E32F" w14:textId="18F8E88E" w:rsidR="00685D93" w:rsidRDefault="003B2FB1" w:rsidP="00685D93">
      <w:pPr>
        <w:pStyle w:val="13"/>
        <w:ind w:firstLine="482"/>
      </w:pPr>
      <w:r w:rsidRPr="003B2FB1">
        <w:rPr>
          <w:rFonts w:hint="eastAsia"/>
          <w:b/>
          <w:bCs/>
        </w:rPr>
        <w:t xml:space="preserve">第四十二条 </w:t>
      </w:r>
      <w:r w:rsidR="00685D93">
        <w:t>资产评估专业人员执行企业并购投资价值评估业务，应当在资产评估报告中重点披露下列内容：</w:t>
      </w:r>
    </w:p>
    <w:p w14:paraId="63C35099" w14:textId="77777777" w:rsidR="00685D93" w:rsidRDefault="00685D93" w:rsidP="00685D93">
      <w:pPr>
        <w:pStyle w:val="13"/>
      </w:pPr>
      <w:r>
        <w:rPr>
          <w:rFonts w:hint="eastAsia"/>
        </w:rPr>
        <w:t>（一）并购方案的主要内容；</w:t>
      </w:r>
    </w:p>
    <w:p w14:paraId="56F7E535" w14:textId="77777777" w:rsidR="00685D93" w:rsidRDefault="00685D93" w:rsidP="00685D93">
      <w:pPr>
        <w:pStyle w:val="13"/>
      </w:pPr>
      <w:r>
        <w:rPr>
          <w:rFonts w:hint="eastAsia"/>
        </w:rPr>
        <w:t>（二）评估分析得出的协同效应类型；</w:t>
      </w:r>
    </w:p>
    <w:p w14:paraId="7F21041B" w14:textId="77777777" w:rsidR="00685D93" w:rsidRDefault="00685D93" w:rsidP="00685D93">
      <w:pPr>
        <w:pStyle w:val="13"/>
      </w:pPr>
      <w:r>
        <w:rPr>
          <w:rFonts w:hint="eastAsia"/>
        </w:rPr>
        <w:t>（三）投资价值类型及其定义；</w:t>
      </w:r>
    </w:p>
    <w:p w14:paraId="30A7888E" w14:textId="77777777" w:rsidR="00685D93" w:rsidRDefault="00685D93" w:rsidP="00685D93">
      <w:pPr>
        <w:pStyle w:val="13"/>
      </w:pPr>
      <w:r>
        <w:rPr>
          <w:rFonts w:hint="eastAsia"/>
        </w:rPr>
        <w:t>（四）设定的相关评估假设；</w:t>
      </w:r>
    </w:p>
    <w:p w14:paraId="262E7618" w14:textId="77777777" w:rsidR="00685D93" w:rsidRDefault="00685D93" w:rsidP="00685D93">
      <w:pPr>
        <w:pStyle w:val="13"/>
      </w:pPr>
      <w:r>
        <w:rPr>
          <w:rFonts w:hint="eastAsia"/>
        </w:rPr>
        <w:t>（五）资产评估程序履行受到的限制；</w:t>
      </w:r>
    </w:p>
    <w:p w14:paraId="5F754DA2" w14:textId="77777777" w:rsidR="00685D93" w:rsidRDefault="00685D93" w:rsidP="00685D93">
      <w:pPr>
        <w:pStyle w:val="13"/>
      </w:pPr>
      <w:r>
        <w:rPr>
          <w:rFonts w:hint="eastAsia"/>
        </w:rPr>
        <w:t>（六）资产评估报告使用限制说明；</w:t>
      </w:r>
    </w:p>
    <w:p w14:paraId="323034AA" w14:textId="77777777" w:rsidR="00685D93" w:rsidRDefault="00685D93" w:rsidP="00685D93">
      <w:pPr>
        <w:pStyle w:val="13"/>
      </w:pPr>
      <w:r>
        <w:rPr>
          <w:rFonts w:hint="eastAsia"/>
        </w:rPr>
        <w:t>（七）评估结论区间值，最大可能值。</w:t>
      </w:r>
    </w:p>
    <w:p w14:paraId="7E613E69" w14:textId="0A8563FF" w:rsidR="00685D93" w:rsidRDefault="003B2FB1" w:rsidP="00685D93">
      <w:pPr>
        <w:pStyle w:val="13"/>
        <w:ind w:firstLine="482"/>
      </w:pPr>
      <w:r w:rsidRPr="003B2FB1">
        <w:rPr>
          <w:rFonts w:hint="eastAsia"/>
          <w:b/>
          <w:bCs/>
        </w:rPr>
        <w:t xml:space="preserve">第四十三条 </w:t>
      </w:r>
      <w:r w:rsidR="00685D93">
        <w:t>评估的基本假设通常包括：</w:t>
      </w:r>
    </w:p>
    <w:p w14:paraId="73A44E7B" w14:textId="77777777" w:rsidR="00685D93" w:rsidRDefault="00685D93" w:rsidP="00685D93">
      <w:pPr>
        <w:pStyle w:val="13"/>
      </w:pPr>
      <w:r>
        <w:rPr>
          <w:rFonts w:hint="eastAsia"/>
        </w:rPr>
        <w:t>（一）本次评估以按计划实施并购方案为基础；</w:t>
      </w:r>
    </w:p>
    <w:p w14:paraId="0163CD22" w14:textId="77777777" w:rsidR="00685D93" w:rsidRDefault="00685D93" w:rsidP="00685D93">
      <w:pPr>
        <w:pStyle w:val="13"/>
      </w:pPr>
      <w:r>
        <w:rPr>
          <w:rFonts w:hint="eastAsia"/>
        </w:rPr>
        <w:t>（二）假设评估基准日经济环境不变，并购标的资产和并购方所在国家或者地区现行的宏观经济不发生不可预见的重大变化；</w:t>
      </w:r>
    </w:p>
    <w:p w14:paraId="6CC13BFC" w14:textId="77777777" w:rsidR="00685D93" w:rsidRDefault="00685D93" w:rsidP="00685D93">
      <w:pPr>
        <w:pStyle w:val="13"/>
      </w:pPr>
      <w:r>
        <w:rPr>
          <w:rFonts w:hint="eastAsia"/>
        </w:rPr>
        <w:t>（三）标的公司所执行的税种、税率等均依照并购方案无重大变化；</w:t>
      </w:r>
    </w:p>
    <w:p w14:paraId="4C2719F3" w14:textId="77777777" w:rsidR="00685D93" w:rsidRDefault="00685D93" w:rsidP="00685D93">
      <w:pPr>
        <w:pStyle w:val="13"/>
      </w:pPr>
      <w:r>
        <w:rPr>
          <w:rFonts w:hint="eastAsia"/>
        </w:rPr>
        <w:t>（四）并购整合后公司未来的经营管理机构尽职，并按并购方案载明的经营管理模式运行；</w:t>
      </w:r>
    </w:p>
    <w:p w14:paraId="131B57C5" w14:textId="77777777" w:rsidR="00685D93" w:rsidRDefault="00685D93" w:rsidP="00685D93">
      <w:pPr>
        <w:pStyle w:val="13"/>
      </w:pPr>
      <w:r>
        <w:rPr>
          <w:rFonts w:hint="eastAsia"/>
        </w:rPr>
        <w:t>（五）投资并购整合进度按照并购方案整合措施完整、按时执行；</w:t>
      </w:r>
    </w:p>
    <w:p w14:paraId="1B02E7E7" w14:textId="77777777" w:rsidR="00685D93" w:rsidRDefault="00685D93" w:rsidP="00685D93">
      <w:pPr>
        <w:pStyle w:val="13"/>
      </w:pPr>
      <w:r>
        <w:rPr>
          <w:rFonts w:hint="eastAsia"/>
        </w:rPr>
        <w:t>（六）评估范围以委托人提供的、并购支付价格对应的资产范围为准，未考虑其他可能存在的或有资产和</w:t>
      </w:r>
      <w:proofErr w:type="gramStart"/>
      <w:r>
        <w:rPr>
          <w:rFonts w:hint="eastAsia"/>
        </w:rPr>
        <w:t>或</w:t>
      </w:r>
      <w:proofErr w:type="gramEnd"/>
      <w:r>
        <w:rPr>
          <w:rFonts w:hint="eastAsia"/>
        </w:rPr>
        <w:t>有负债。</w:t>
      </w:r>
    </w:p>
    <w:p w14:paraId="59873965" w14:textId="193E49C3" w:rsidR="00685D93" w:rsidRDefault="003B2FB1" w:rsidP="00685D93">
      <w:pPr>
        <w:pStyle w:val="13"/>
        <w:ind w:firstLine="482"/>
      </w:pPr>
      <w:r w:rsidRPr="003B2FB1">
        <w:rPr>
          <w:rFonts w:hint="eastAsia"/>
          <w:b/>
          <w:bCs/>
        </w:rPr>
        <w:t xml:space="preserve">第四十四条 </w:t>
      </w:r>
      <w:r w:rsidR="00685D93">
        <w:t>资产评估报告使用限制说明通常包括：</w:t>
      </w:r>
    </w:p>
    <w:p w14:paraId="33B1C58A" w14:textId="77777777" w:rsidR="00685D93" w:rsidRDefault="00685D93" w:rsidP="00685D93">
      <w:pPr>
        <w:pStyle w:val="13"/>
      </w:pPr>
      <w:r>
        <w:rPr>
          <w:rFonts w:hint="eastAsia"/>
        </w:rPr>
        <w:t>（一）资产评估报告仅</w:t>
      </w:r>
      <w:proofErr w:type="gramStart"/>
      <w:r>
        <w:rPr>
          <w:rFonts w:hint="eastAsia"/>
        </w:rPr>
        <w:t>供报告</w:t>
      </w:r>
      <w:proofErr w:type="gramEnd"/>
      <w:r>
        <w:rPr>
          <w:rFonts w:hint="eastAsia"/>
        </w:rPr>
        <w:t>中载明的评估报告使用人在本次并购过程中使用；</w:t>
      </w:r>
    </w:p>
    <w:p w14:paraId="45F3FD8C" w14:textId="77777777" w:rsidR="00685D93" w:rsidRDefault="00685D93" w:rsidP="00685D93">
      <w:pPr>
        <w:pStyle w:val="13"/>
      </w:pPr>
      <w:r>
        <w:rPr>
          <w:rFonts w:hint="eastAsia"/>
        </w:rPr>
        <w:t>（二）资产评估报告只能在报告中披露的并购阶段使用。</w:t>
      </w:r>
    </w:p>
    <w:p w14:paraId="3C52C976" w14:textId="77777777" w:rsidR="00685D93" w:rsidRDefault="00685D93" w:rsidP="00AF7342">
      <w:pPr>
        <w:pStyle w:val="a9"/>
        <w:spacing w:before="62" w:after="62"/>
      </w:pPr>
      <w:r>
        <w:rPr>
          <w:rFonts w:hint="eastAsia"/>
        </w:rPr>
        <w:t>第五章</w:t>
      </w:r>
      <w:r>
        <w:t xml:space="preserve"> 附则</w:t>
      </w:r>
    </w:p>
    <w:p w14:paraId="4F079965" w14:textId="52D5FA79" w:rsidR="00685D93" w:rsidRDefault="003B2FB1" w:rsidP="00685D93">
      <w:pPr>
        <w:pStyle w:val="13"/>
        <w:ind w:firstLine="482"/>
      </w:pPr>
      <w:r w:rsidRPr="003B2FB1">
        <w:rPr>
          <w:rFonts w:hint="eastAsia"/>
          <w:b/>
          <w:bCs/>
        </w:rPr>
        <w:t xml:space="preserve">第四十五条 </w:t>
      </w:r>
      <w:r w:rsidR="00685D93">
        <w:t>本指导意见自2021年3月1日起施行。</w:t>
      </w:r>
    </w:p>
    <w:p w14:paraId="11098136" w14:textId="175DA0B3" w:rsidR="001F5A09" w:rsidRDefault="001F5A09">
      <w:pPr>
        <w:widowControl/>
        <w:jc w:val="left"/>
        <w:rPr>
          <w:rFonts w:ascii="宋体" w:hAnsi="宋体"/>
          <w:sz w:val="24"/>
          <w:szCs w:val="24"/>
        </w:rPr>
      </w:pPr>
      <w:r>
        <w:br w:type="page"/>
      </w:r>
    </w:p>
    <w:p w14:paraId="69A2A491" w14:textId="77777777" w:rsidR="0081336F" w:rsidRDefault="0081336F" w:rsidP="0081336F">
      <w:pPr>
        <w:pStyle w:val="21"/>
        <w:spacing w:before="156" w:after="93"/>
      </w:pPr>
      <w:bookmarkStart w:id="49" w:name="_Toc81833329"/>
      <w:r>
        <w:rPr>
          <w:rFonts w:hint="eastAsia"/>
        </w:rPr>
        <w:lastRenderedPageBreak/>
        <w:t>资产评估操作专家指引</w:t>
      </w:r>
      <w:bookmarkEnd w:id="49"/>
    </w:p>
    <w:p w14:paraId="1F9041C5" w14:textId="60EA8209" w:rsidR="0081336F" w:rsidRDefault="0081336F" w:rsidP="0081336F">
      <w:pPr>
        <w:pStyle w:val="31"/>
        <w:spacing w:before="156" w:after="62"/>
      </w:pPr>
      <w:bookmarkStart w:id="50" w:name="_Toc81833330"/>
      <w:r>
        <w:rPr>
          <w:rFonts w:hint="eastAsia"/>
        </w:rPr>
        <w:t>资产评估专家指引第</w:t>
      </w:r>
      <w:r>
        <w:t>1号—金融企业评估中应关注的金融监管指标</w:t>
      </w:r>
      <w:r w:rsidR="009F27EE">
        <w:br/>
      </w:r>
      <w:r>
        <w:t>（</w:t>
      </w:r>
      <w:proofErr w:type="gramStart"/>
      <w:r>
        <w:t>中评协</w:t>
      </w:r>
      <w:proofErr w:type="gramEnd"/>
      <w:r>
        <w:t>〔2015〕62号）</w:t>
      </w:r>
      <w:bookmarkEnd w:id="50"/>
    </w:p>
    <w:p w14:paraId="7C37D60A" w14:textId="77777777" w:rsidR="0081336F" w:rsidRDefault="0081336F" w:rsidP="0081336F">
      <w:pPr>
        <w:pStyle w:val="13"/>
        <w:ind w:firstLineChars="0" w:firstLine="0"/>
      </w:pPr>
      <w:r>
        <w:rPr>
          <w:rFonts w:hint="eastAsia"/>
        </w:rPr>
        <w:t>各省、自治区、直辖市、计划单列市资产评估协会（注册会计师协会），具有证券评估业务资格的资产评估机构：</w:t>
      </w:r>
    </w:p>
    <w:p w14:paraId="051B35AC" w14:textId="77777777" w:rsidR="0081336F" w:rsidRDefault="0081336F" w:rsidP="0081336F">
      <w:pPr>
        <w:pStyle w:val="13"/>
      </w:pPr>
      <w:r>
        <w:rPr>
          <w:rFonts w:hint="eastAsia"/>
        </w:rPr>
        <w:t>为指导评估机构执行金融企业评估业务，提升评估行业服务质量，在财政部金融司指导下，中国资产评估协会组织专家制定了《资产评估专家指引第</w:t>
      </w:r>
      <w:r>
        <w:t xml:space="preserve"> 1号—金融企业评估中应关注的金融监管指标》，现予以发布，供评估机构和资产评估</w:t>
      </w:r>
      <w:proofErr w:type="gramStart"/>
      <w:r>
        <w:t>师执行</w:t>
      </w:r>
      <w:proofErr w:type="gramEnd"/>
      <w:r>
        <w:t>金融企业评估业务时参考。</w:t>
      </w:r>
    </w:p>
    <w:p w14:paraId="7FE6BAA8" w14:textId="77777777" w:rsidR="0081336F" w:rsidRDefault="0081336F" w:rsidP="0081336F">
      <w:pPr>
        <w:pStyle w:val="13"/>
      </w:pPr>
      <w:r>
        <w:rPr>
          <w:rFonts w:hint="eastAsia"/>
        </w:rPr>
        <w:t>专家指引由中国资产评估协会组织具有丰富理论和实践经验的专家进行起草。专家指引来自于专家自身经验和以往案例，是优秀评估实践的具体体现。但由于评估业务因不同经济行为、交易目的存在多样复杂的情况，专家指引可能会具有一定的局限性。因此，专家指引不作为执业的强制性标准。</w:t>
      </w:r>
    </w:p>
    <w:p w14:paraId="5193C18E" w14:textId="77777777" w:rsidR="0081336F" w:rsidRDefault="0081336F" w:rsidP="0081336F">
      <w:pPr>
        <w:pStyle w:val="13"/>
      </w:pPr>
      <w:r>
        <w:rPr>
          <w:rFonts w:hint="eastAsia"/>
        </w:rPr>
        <w:t>请各地</w:t>
      </w:r>
      <w:proofErr w:type="gramStart"/>
      <w:r>
        <w:rPr>
          <w:rFonts w:hint="eastAsia"/>
        </w:rPr>
        <w:t>方协会</w:t>
      </w:r>
      <w:proofErr w:type="gramEnd"/>
      <w:r>
        <w:rPr>
          <w:rFonts w:hint="eastAsia"/>
        </w:rPr>
        <w:t>将《资产评估专家指引第</w:t>
      </w:r>
      <w:r>
        <w:t xml:space="preserve"> 1号—金融企业评估中应关注的金融监管指标》及时转发评估机构。</w:t>
      </w:r>
    </w:p>
    <w:p w14:paraId="2C754E9C" w14:textId="77777777" w:rsidR="0081336F" w:rsidRDefault="0081336F" w:rsidP="0081336F">
      <w:pPr>
        <w:pStyle w:val="13"/>
        <w:jc w:val="right"/>
      </w:pPr>
      <w:r>
        <w:rPr>
          <w:rFonts w:hint="eastAsia"/>
        </w:rPr>
        <w:t>中国资产评估协会</w:t>
      </w:r>
    </w:p>
    <w:p w14:paraId="60DB5A48" w14:textId="6BF899E0" w:rsidR="003C1F46" w:rsidRPr="00685D93" w:rsidRDefault="0081336F" w:rsidP="0081336F">
      <w:pPr>
        <w:pStyle w:val="13"/>
        <w:jc w:val="right"/>
      </w:pPr>
      <w:r>
        <w:t>2015</w:t>
      </w:r>
      <w:r w:rsidR="003068F8">
        <w:t>年</w:t>
      </w:r>
      <w:r>
        <w:t>7</w:t>
      </w:r>
      <w:r w:rsidR="003068F8">
        <w:t>月</w:t>
      </w:r>
      <w:r>
        <w:t>22</w:t>
      </w:r>
      <w:r w:rsidR="003068F8">
        <w:t>日</w:t>
      </w:r>
    </w:p>
    <w:p w14:paraId="3D64A785" w14:textId="37D0D007" w:rsidR="0081336F" w:rsidRPr="0081336F" w:rsidRDefault="0081336F" w:rsidP="00AF7342">
      <w:pPr>
        <w:pStyle w:val="a9"/>
        <w:spacing w:before="62" w:after="62"/>
      </w:pPr>
      <w:r w:rsidRPr="0081336F">
        <w:rPr>
          <w:rFonts w:hint="eastAsia"/>
        </w:rPr>
        <w:t>资产评估专家指引第1</w:t>
      </w:r>
      <w:r w:rsidRPr="0081336F">
        <w:t>号</w:t>
      </w:r>
      <w:r w:rsidRPr="0081336F">
        <w:rPr>
          <w:rFonts w:hint="eastAsia"/>
        </w:rPr>
        <w:t>——</w:t>
      </w:r>
      <w:r w:rsidRPr="0081336F">
        <w:t>金融企业评估中应关注的金融监管指标</w:t>
      </w:r>
    </w:p>
    <w:p w14:paraId="6EB30613" w14:textId="77777777" w:rsidR="0081336F" w:rsidRPr="0081336F" w:rsidRDefault="0081336F" w:rsidP="0081336F">
      <w:pPr>
        <w:pStyle w:val="13"/>
      </w:pPr>
      <w:proofErr w:type="gramStart"/>
      <w:r w:rsidRPr="0081336F">
        <w:rPr>
          <w:rFonts w:hint="eastAsia"/>
        </w:rPr>
        <w:t>本专家</w:t>
      </w:r>
      <w:proofErr w:type="gramEnd"/>
      <w:r w:rsidRPr="0081336F">
        <w:rPr>
          <w:rFonts w:hint="eastAsia"/>
        </w:rPr>
        <w:t>指引是一种专家建议。评估机构执行资产评估业务，可以参照</w:t>
      </w:r>
      <w:proofErr w:type="gramStart"/>
      <w:r w:rsidRPr="0081336F">
        <w:rPr>
          <w:rFonts w:hint="eastAsia"/>
        </w:rPr>
        <w:t>本专家</w:t>
      </w:r>
      <w:proofErr w:type="gramEnd"/>
      <w:r w:rsidRPr="0081336F">
        <w:rPr>
          <w:rFonts w:hint="eastAsia"/>
        </w:rPr>
        <w:t>指引，也可以根据具体情况采用其他适当的方法。中国资产评估协会将根据业务发展，对</w:t>
      </w:r>
      <w:proofErr w:type="gramStart"/>
      <w:r w:rsidRPr="0081336F">
        <w:rPr>
          <w:rFonts w:hint="eastAsia"/>
        </w:rPr>
        <w:t>本专家</w:t>
      </w:r>
      <w:proofErr w:type="gramEnd"/>
      <w:r w:rsidRPr="0081336F">
        <w:rPr>
          <w:rFonts w:hint="eastAsia"/>
        </w:rPr>
        <w:t>指引进行更新。</w:t>
      </w:r>
    </w:p>
    <w:p w14:paraId="64FCEDDA" w14:textId="77777777" w:rsidR="0081336F" w:rsidRPr="0081336F" w:rsidRDefault="0081336F" w:rsidP="00AF7342">
      <w:pPr>
        <w:pStyle w:val="a9"/>
        <w:spacing w:before="62" w:after="62"/>
      </w:pPr>
      <w:r w:rsidRPr="0081336F">
        <w:rPr>
          <w:rFonts w:hint="eastAsia"/>
        </w:rPr>
        <w:t>第一章 总则</w:t>
      </w:r>
    </w:p>
    <w:p w14:paraId="563DB436" w14:textId="77777777" w:rsidR="0081336F" w:rsidRPr="0081336F" w:rsidRDefault="0081336F" w:rsidP="0081336F">
      <w:pPr>
        <w:pStyle w:val="13"/>
      </w:pPr>
      <w:r w:rsidRPr="0081336F">
        <w:rPr>
          <w:rFonts w:hint="eastAsia"/>
        </w:rPr>
        <w:t>金融行业的安全和稳定直接影响到国家经济的健康发展，为了确保金融行业稳定运行，预防大规模金融风险的发生，我国金融监管机构制定了一系列法规，并根据不同类型金融企业的业务特点和风险特点，制定了不同金融企业所适用的金融监管指标。</w:t>
      </w:r>
    </w:p>
    <w:p w14:paraId="18376AAA" w14:textId="77777777" w:rsidR="0081336F" w:rsidRPr="0081336F" w:rsidRDefault="0081336F" w:rsidP="0081336F">
      <w:pPr>
        <w:pStyle w:val="13"/>
      </w:pPr>
      <w:r w:rsidRPr="0081336F">
        <w:rPr>
          <w:rFonts w:hint="eastAsia"/>
        </w:rPr>
        <w:t>对金融企业进行评估，应充分考虑现行金融监管法规对金融企业价值的影响。为指导评估机构在金融企业评估中关注金融监管指标，中国资产评估协会组织制定了</w:t>
      </w:r>
      <w:proofErr w:type="gramStart"/>
      <w:r w:rsidRPr="0081336F">
        <w:rPr>
          <w:rFonts w:hint="eastAsia"/>
        </w:rPr>
        <w:t>本专家</w:t>
      </w:r>
      <w:proofErr w:type="gramEnd"/>
      <w:r w:rsidRPr="0081336F">
        <w:rPr>
          <w:rFonts w:hint="eastAsia"/>
        </w:rPr>
        <w:t>指引。</w:t>
      </w:r>
    </w:p>
    <w:p w14:paraId="2103B694" w14:textId="77777777" w:rsidR="0081336F" w:rsidRPr="0081336F" w:rsidRDefault="0081336F" w:rsidP="0081336F">
      <w:pPr>
        <w:pStyle w:val="13"/>
      </w:pPr>
      <w:r w:rsidRPr="0081336F">
        <w:rPr>
          <w:rFonts w:hint="eastAsia"/>
        </w:rPr>
        <w:t>金融监管机构根据金融行业的实际情况不断修订和完善已有法规，执行评估业务需要关注金融监管指标的变化，并充分考虑对评估结论的影响。</w:t>
      </w:r>
    </w:p>
    <w:p w14:paraId="268015CC" w14:textId="77777777" w:rsidR="0081336F" w:rsidRPr="0081336F" w:rsidRDefault="0081336F" w:rsidP="0081336F">
      <w:pPr>
        <w:pStyle w:val="13"/>
      </w:pPr>
      <w:r w:rsidRPr="0081336F">
        <w:rPr>
          <w:rFonts w:hint="eastAsia"/>
        </w:rPr>
        <w:t>我国金融管理体制正在由政府管制的金融监管体制向市场化的金融监管体系转</w:t>
      </w:r>
      <w:r w:rsidRPr="0081336F">
        <w:rPr>
          <w:rFonts w:hint="eastAsia"/>
        </w:rPr>
        <w:lastRenderedPageBreak/>
        <w:t>变，市场化的监管体制，从审核审批向监管执法转型，从事前</w:t>
      </w:r>
      <w:proofErr w:type="gramStart"/>
      <w:r w:rsidRPr="0081336F">
        <w:rPr>
          <w:rFonts w:hint="eastAsia"/>
        </w:rPr>
        <w:t>把关向事中</w:t>
      </w:r>
      <w:proofErr w:type="gramEnd"/>
      <w:r w:rsidRPr="0081336F">
        <w:rPr>
          <w:rFonts w:hint="eastAsia"/>
        </w:rPr>
        <w:t>、事后监管转移。某种程度上的“去监管化”顺应了金融行业的发展形势，但是“去监管化”不等于淡化监管甚至取消监管，而是意味着在风险防范问题上，监管机构将更加着力于探索新的适应市场需要的管理模式和监管指标。随着金融企业客户风险意识的提高，金融监管不仅是监管机构的事，广大客户也会根据金融企业的各项风险指标，选择适合自己的金融机构。资产评估师在评估金融企业价值时，不仅要关注金融监管指标，更要关注金融行业的风险指标变化趋势及金融企业客户的风险偏好程度对金融企业权益价值的影响。</w:t>
      </w:r>
    </w:p>
    <w:p w14:paraId="1AD0F845" w14:textId="77777777" w:rsidR="0081336F" w:rsidRPr="0081336F" w:rsidRDefault="0081336F" w:rsidP="0081336F">
      <w:pPr>
        <w:pStyle w:val="13"/>
      </w:pPr>
      <w:proofErr w:type="gramStart"/>
      <w:r w:rsidRPr="0081336F">
        <w:rPr>
          <w:rFonts w:hint="eastAsia"/>
        </w:rPr>
        <w:t>本专家</w:t>
      </w:r>
      <w:proofErr w:type="gramEnd"/>
      <w:r w:rsidRPr="0081336F">
        <w:rPr>
          <w:rFonts w:hint="eastAsia"/>
        </w:rPr>
        <w:t>指引依据的法规为截至2014年12月31日监管机构发布的有关法规，在评估执业中，应参照最新的监管法规，充分考虑监管指标对企业价值的影响。</w:t>
      </w:r>
    </w:p>
    <w:p w14:paraId="5DD13BA4" w14:textId="77777777" w:rsidR="0081336F" w:rsidRPr="0081336F" w:rsidRDefault="0081336F" w:rsidP="00AF7342">
      <w:pPr>
        <w:pStyle w:val="a9"/>
        <w:spacing w:before="62" w:after="62"/>
      </w:pPr>
      <w:r w:rsidRPr="0081336F">
        <w:rPr>
          <w:rFonts w:hint="eastAsia"/>
        </w:rPr>
        <w:t>第二章 商业银行</w:t>
      </w:r>
    </w:p>
    <w:p w14:paraId="3EE9F4D8" w14:textId="77777777" w:rsidR="0081336F" w:rsidRPr="0081336F" w:rsidRDefault="0081336F" w:rsidP="0081336F">
      <w:pPr>
        <w:pStyle w:val="13"/>
        <w:ind w:firstLine="482"/>
        <w:rPr>
          <w:b/>
        </w:rPr>
      </w:pPr>
      <w:r w:rsidRPr="0081336F">
        <w:rPr>
          <w:rFonts w:hint="eastAsia"/>
          <w:b/>
        </w:rPr>
        <w:t>一、监管机构</w:t>
      </w:r>
    </w:p>
    <w:p w14:paraId="3062DC62" w14:textId="77777777" w:rsidR="0081336F" w:rsidRPr="0081336F" w:rsidRDefault="0081336F" w:rsidP="0081336F">
      <w:pPr>
        <w:pStyle w:val="13"/>
      </w:pPr>
      <w:r w:rsidRPr="0081336F">
        <w:rPr>
          <w:rFonts w:hint="eastAsia"/>
        </w:rPr>
        <w:t>商业银行开展各项经营业务，主要受中国银监会和中国人民银行监管，上市商业银行同时受到中国证监会监管。</w:t>
      </w:r>
    </w:p>
    <w:p w14:paraId="5BAD743E" w14:textId="77777777" w:rsidR="0081336F" w:rsidRPr="0081336F" w:rsidRDefault="0081336F" w:rsidP="0081336F">
      <w:pPr>
        <w:pStyle w:val="13"/>
        <w:ind w:firstLine="482"/>
        <w:rPr>
          <w:b/>
        </w:rPr>
      </w:pPr>
      <w:r w:rsidRPr="0081336F">
        <w:rPr>
          <w:rFonts w:hint="eastAsia"/>
          <w:b/>
        </w:rPr>
        <w:t>二、监管指标</w:t>
      </w:r>
    </w:p>
    <w:p w14:paraId="285143CB" w14:textId="77777777" w:rsidR="0081336F" w:rsidRPr="0081336F" w:rsidRDefault="0081336F" w:rsidP="0081336F">
      <w:pPr>
        <w:pStyle w:val="13"/>
      </w:pPr>
      <w:r w:rsidRPr="0081336F">
        <w:rPr>
          <w:rFonts w:hint="eastAsia"/>
        </w:rPr>
        <w:t>对商业银行进行评估，需要关注的金融监管指标主要有三类：流动性指标、风险监管指标及盈利性指标。流动性指标主要包括流动性覆盖率、流动性比例和核心负债比例；风险监管指标主要包括不良资产率、不良贷款率、贷款拨备率、拨备覆盖率、贷款迁徙率、资本充足率和存款准备金率；盈利性指标主要包括成本收入比、资产利润率和资本利润率。</w:t>
      </w:r>
    </w:p>
    <w:p w14:paraId="50A29158" w14:textId="77777777" w:rsidR="0081336F" w:rsidRPr="0081336F" w:rsidRDefault="0081336F" w:rsidP="0081336F">
      <w:pPr>
        <w:pStyle w:val="13"/>
        <w:ind w:firstLine="482"/>
        <w:rPr>
          <w:b/>
        </w:rPr>
      </w:pPr>
      <w:r w:rsidRPr="0081336F">
        <w:rPr>
          <w:rFonts w:hint="eastAsia"/>
          <w:b/>
        </w:rPr>
        <w:t>（一）流动性覆盖率</w:t>
      </w:r>
    </w:p>
    <w:p w14:paraId="07AECB91" w14:textId="77777777" w:rsidR="0081336F" w:rsidRPr="0081336F" w:rsidRDefault="0081336F" w:rsidP="0081336F">
      <w:pPr>
        <w:pStyle w:val="13"/>
      </w:pPr>
      <w:r w:rsidRPr="0081336F">
        <w:rPr>
          <w:rFonts w:hint="eastAsia"/>
        </w:rPr>
        <w:t>流动性覆盖率=合格优质流动性资产/未来30天现金净流出量×100%</w:t>
      </w:r>
    </w:p>
    <w:p w14:paraId="57C4310C" w14:textId="77777777" w:rsidR="0081336F" w:rsidRPr="0081336F" w:rsidRDefault="0081336F" w:rsidP="0081336F">
      <w:pPr>
        <w:pStyle w:val="13"/>
      </w:pPr>
      <w:r w:rsidRPr="0081336F">
        <w:rPr>
          <w:rFonts w:hint="eastAsia"/>
        </w:rPr>
        <w:t>其中，合格优质流动性资产是指在一定的压力情景下，能够在无损失或极小损失的情况下在金融市场快速变现的各类资产。</w:t>
      </w:r>
    </w:p>
    <w:p w14:paraId="1C9A7C1E" w14:textId="77777777" w:rsidR="0081336F" w:rsidRPr="0081336F" w:rsidRDefault="0081336F" w:rsidP="0081336F">
      <w:pPr>
        <w:pStyle w:val="13"/>
      </w:pPr>
      <w:r w:rsidRPr="0081336F">
        <w:rPr>
          <w:rFonts w:hint="eastAsia"/>
        </w:rPr>
        <w:t>流动性覆盖率指标衡量商业银行应对短期资金压力的能力。商业银行应保持一定的快速变现资产，在出现系统流动性危机的情况下，这些快速变现资产可以满足危机发生后30天内商业银行的持续运转。</w:t>
      </w:r>
    </w:p>
    <w:p w14:paraId="6D984DCF" w14:textId="77777777" w:rsidR="0081336F" w:rsidRPr="0081336F" w:rsidRDefault="0081336F" w:rsidP="0081336F">
      <w:pPr>
        <w:pStyle w:val="13"/>
      </w:pPr>
      <w:r w:rsidRPr="0081336F">
        <w:rPr>
          <w:rFonts w:hint="eastAsia"/>
        </w:rPr>
        <w:t>根据监管要求，商业银行的流动性覆盖率应当在2018年底前达到100%。在过渡期内，应当在2014年底、2015年底、2016年底及2017年底前分别达到60%、70%、80%、90%。若商业银行的流动性覆盖率不能达到监管要求，中国银监会有权采取责令限期整改、增强监管要求、限制扩张活动等一系列措施。</w:t>
      </w:r>
    </w:p>
    <w:p w14:paraId="06EDDFE9" w14:textId="77777777" w:rsidR="0081336F" w:rsidRPr="0081336F" w:rsidRDefault="0081336F" w:rsidP="0081336F">
      <w:pPr>
        <w:pStyle w:val="13"/>
      </w:pPr>
      <w:r w:rsidRPr="0081336F">
        <w:rPr>
          <w:rFonts w:hint="eastAsia"/>
        </w:rPr>
        <w:t>商业银行在进行资产配置时应考虑保留足够的合格优质流动性资产，这就对其可以投向商业贷款、投资资产的资金形成了一定限制。尤其是对于流动性覆盖率尚未达到100%的商业银行，应合</w:t>
      </w:r>
      <w:proofErr w:type="gramStart"/>
      <w:r w:rsidRPr="0081336F">
        <w:rPr>
          <w:rFonts w:hint="eastAsia"/>
        </w:rPr>
        <w:t>理考虑</w:t>
      </w:r>
      <w:proofErr w:type="gramEnd"/>
      <w:r w:rsidRPr="0081336F">
        <w:rPr>
          <w:rFonts w:hint="eastAsia"/>
        </w:rPr>
        <w:t>未来经营期间需要增持的合格优质流动性资产，</w:t>
      </w:r>
      <w:r w:rsidRPr="0081336F">
        <w:rPr>
          <w:rFonts w:hint="eastAsia"/>
        </w:rPr>
        <w:lastRenderedPageBreak/>
        <w:t>从而调整资产配置结构。</w:t>
      </w:r>
    </w:p>
    <w:p w14:paraId="6EB39BB9" w14:textId="77777777" w:rsidR="0081336F" w:rsidRPr="0081336F" w:rsidRDefault="0081336F" w:rsidP="0081336F">
      <w:pPr>
        <w:pStyle w:val="13"/>
        <w:ind w:firstLine="482"/>
        <w:rPr>
          <w:b/>
        </w:rPr>
      </w:pPr>
      <w:r w:rsidRPr="0081336F">
        <w:rPr>
          <w:rFonts w:hint="eastAsia"/>
          <w:b/>
        </w:rPr>
        <w:t>（二）流动性比例</w:t>
      </w:r>
    </w:p>
    <w:p w14:paraId="7B69FD3E" w14:textId="77777777" w:rsidR="0081336F" w:rsidRPr="0081336F" w:rsidRDefault="0081336F" w:rsidP="0081336F">
      <w:pPr>
        <w:pStyle w:val="13"/>
      </w:pPr>
      <w:r w:rsidRPr="0081336F">
        <w:rPr>
          <w:rFonts w:hint="eastAsia"/>
        </w:rPr>
        <w:t>流动性比例﹦流动性资产余额/流动性负债余额×100%</w:t>
      </w:r>
    </w:p>
    <w:p w14:paraId="2C25293D" w14:textId="77777777" w:rsidR="0081336F" w:rsidRPr="0081336F" w:rsidRDefault="0081336F" w:rsidP="0081336F">
      <w:pPr>
        <w:pStyle w:val="13"/>
      </w:pPr>
      <w:r w:rsidRPr="0081336F">
        <w:rPr>
          <w:rFonts w:hint="eastAsia"/>
        </w:rPr>
        <w:t>流动性资产包括：现金、黄金、超额准备金存款、一个月内到期的同业往来款项轧差后资产方净额、一个月内到期的应收利息及其他应收款、一个月内到期的合格贷款、一个月内到期的债券投资、在国内外二级市场上可随时变现的债券投资、其他一个月内到期可变现的资产（剔除其中的不良资产）。</w:t>
      </w:r>
    </w:p>
    <w:p w14:paraId="28ABCA6D" w14:textId="77777777" w:rsidR="0081336F" w:rsidRPr="0081336F" w:rsidRDefault="0081336F" w:rsidP="0081336F">
      <w:pPr>
        <w:pStyle w:val="13"/>
      </w:pPr>
      <w:r w:rsidRPr="0081336F">
        <w:rPr>
          <w:rFonts w:hint="eastAsia"/>
        </w:rPr>
        <w:t>流动性负债包括：活期存款（不含财政性存款）、一个月内到期的定期存款（不含财政性存款）、一个月内到期的同业往来款项轧差后负债方净额、一个月内到期的已发行的债券、一个月内到期的应付利息及各项应付款、一个月内到期的中央银行借款、其他一个月内到期的负债。</w:t>
      </w:r>
    </w:p>
    <w:p w14:paraId="61817317" w14:textId="77777777" w:rsidR="0081336F" w:rsidRPr="0081336F" w:rsidRDefault="0081336F" w:rsidP="0081336F">
      <w:pPr>
        <w:pStyle w:val="13"/>
      </w:pPr>
      <w:r w:rsidRPr="0081336F">
        <w:rPr>
          <w:rFonts w:hint="eastAsia"/>
        </w:rPr>
        <w:t>流动性比例衡量商业银行应对短期流动性危机的能力。根据监管要求，商业银行流动性比例不应低于25%。对商业银行进行评估，应关注其流动性比例是否符合监管要求。流动性比例过低，则商业银行的短期偿付能力可能不足，存在流动性风险。</w:t>
      </w:r>
    </w:p>
    <w:p w14:paraId="3E291BBD" w14:textId="77777777" w:rsidR="0081336F" w:rsidRPr="0081336F" w:rsidRDefault="0081336F" w:rsidP="0081336F">
      <w:pPr>
        <w:pStyle w:val="13"/>
        <w:ind w:firstLine="482"/>
        <w:rPr>
          <w:b/>
        </w:rPr>
      </w:pPr>
      <w:r w:rsidRPr="0081336F">
        <w:rPr>
          <w:rFonts w:hint="eastAsia"/>
          <w:b/>
        </w:rPr>
        <w:t>（三）核心负债比例</w:t>
      </w:r>
    </w:p>
    <w:p w14:paraId="4A19E818" w14:textId="77777777" w:rsidR="0081336F" w:rsidRPr="0081336F" w:rsidRDefault="0081336F" w:rsidP="0081336F">
      <w:pPr>
        <w:pStyle w:val="13"/>
      </w:pPr>
      <w:r w:rsidRPr="0081336F">
        <w:rPr>
          <w:rFonts w:hint="eastAsia"/>
        </w:rPr>
        <w:t>核心负债比例﹦核心负债/负债总额×100%</w:t>
      </w:r>
    </w:p>
    <w:p w14:paraId="5EE9B0AA" w14:textId="77777777" w:rsidR="0081336F" w:rsidRPr="0081336F" w:rsidRDefault="0081336F" w:rsidP="0081336F">
      <w:pPr>
        <w:pStyle w:val="13"/>
      </w:pPr>
      <w:r w:rsidRPr="0081336F">
        <w:rPr>
          <w:rFonts w:hint="eastAsia"/>
        </w:rPr>
        <w:t>其中，核心负债包括距到期日三个月以上（含）定期存款、发行债券以及活期存款的50%。</w:t>
      </w:r>
    </w:p>
    <w:p w14:paraId="462B62B1" w14:textId="77777777" w:rsidR="0081336F" w:rsidRPr="0081336F" w:rsidRDefault="0081336F" w:rsidP="0081336F">
      <w:pPr>
        <w:pStyle w:val="13"/>
      </w:pPr>
      <w:r w:rsidRPr="0081336F">
        <w:rPr>
          <w:rFonts w:hint="eastAsia"/>
        </w:rPr>
        <w:t>核心负债比例衡量商业银行负债的稳定程度。核心负债比率过低，可能导致商业银行短期内的支付压力较大，从而面临一定的资金链风险。根据监管要求，商业银行核心负债比例不应低于60%。</w:t>
      </w:r>
    </w:p>
    <w:p w14:paraId="09760096" w14:textId="77777777" w:rsidR="0081336F" w:rsidRPr="0081336F" w:rsidRDefault="0081336F" w:rsidP="0081336F">
      <w:pPr>
        <w:pStyle w:val="13"/>
      </w:pPr>
      <w:r w:rsidRPr="0081336F">
        <w:rPr>
          <w:rFonts w:hint="eastAsia"/>
        </w:rPr>
        <w:t>我国商业银行的负债主要由客户存款构成，客户存款中定期存款和活期存款的占比是影响核心负债比例的关键因素。对商业银行进行评估，应合</w:t>
      </w:r>
      <w:proofErr w:type="gramStart"/>
      <w:r w:rsidRPr="0081336F">
        <w:rPr>
          <w:rFonts w:hint="eastAsia"/>
        </w:rPr>
        <w:t>理预测</w:t>
      </w:r>
      <w:proofErr w:type="gramEnd"/>
      <w:r w:rsidRPr="0081336F">
        <w:rPr>
          <w:rFonts w:hint="eastAsia"/>
        </w:rPr>
        <w:t>客户存款中定期存款和活期存款的占比。</w:t>
      </w:r>
    </w:p>
    <w:p w14:paraId="0F013DA2" w14:textId="77777777" w:rsidR="0081336F" w:rsidRPr="0081336F" w:rsidRDefault="0081336F" w:rsidP="0081336F">
      <w:pPr>
        <w:pStyle w:val="13"/>
        <w:ind w:firstLine="482"/>
        <w:rPr>
          <w:b/>
        </w:rPr>
      </w:pPr>
      <w:r w:rsidRPr="0081336F">
        <w:rPr>
          <w:rFonts w:hint="eastAsia"/>
          <w:b/>
        </w:rPr>
        <w:t>（四）不良资产率、不良贷款率</w:t>
      </w:r>
    </w:p>
    <w:p w14:paraId="3DA619BD" w14:textId="77777777" w:rsidR="0081336F" w:rsidRPr="0081336F" w:rsidRDefault="0081336F" w:rsidP="0081336F">
      <w:pPr>
        <w:pStyle w:val="13"/>
      </w:pPr>
      <w:r w:rsidRPr="0081336F">
        <w:rPr>
          <w:rFonts w:hint="eastAsia"/>
        </w:rPr>
        <w:t>不良资产率﹦不良信用风险资产/信用风险资产×100%，不良贷款率﹦不良贷款/贷款总额×100%</w:t>
      </w:r>
    </w:p>
    <w:p w14:paraId="28362FBE" w14:textId="77777777" w:rsidR="0081336F" w:rsidRPr="0081336F" w:rsidRDefault="0081336F" w:rsidP="0081336F">
      <w:pPr>
        <w:pStyle w:val="13"/>
      </w:pPr>
      <w:r w:rsidRPr="0081336F">
        <w:rPr>
          <w:rFonts w:hint="eastAsia"/>
        </w:rPr>
        <w:t>其中，信用风险资产是指银行资产负债表表内及表外承担信用风险的资产，主要包括各项贷款、存放同业、拆放同业、买入返售资产、银行账户的债券投资、应收利息、其他应收款、承诺及或有负债等；不良信用风险资产是信用风险资产中划分为不良资产类别（商业银行贷款划分为正常、关注、次级、可疑、损失五类，后三类合称为不良贷款）的部分。</w:t>
      </w:r>
    </w:p>
    <w:p w14:paraId="41D25BD3" w14:textId="77777777" w:rsidR="0081336F" w:rsidRPr="0081336F" w:rsidRDefault="0081336F" w:rsidP="0081336F">
      <w:pPr>
        <w:pStyle w:val="13"/>
      </w:pPr>
      <w:r w:rsidRPr="0081336F">
        <w:rPr>
          <w:rFonts w:hint="eastAsia"/>
        </w:rPr>
        <w:t>不良资产率、不良贷款率是衡量商业银行贷款风险的重要指标，不良资产率及不良贷款率越高，商业银行面临的经营风险越大。根据监管要求，商业银行不良资产率</w:t>
      </w:r>
      <w:r w:rsidRPr="0081336F">
        <w:rPr>
          <w:rFonts w:hint="eastAsia"/>
        </w:rPr>
        <w:lastRenderedPageBreak/>
        <w:t>不应高于4%，不良贷款率不应高于5%。</w:t>
      </w:r>
    </w:p>
    <w:p w14:paraId="3E197249" w14:textId="77777777" w:rsidR="0081336F" w:rsidRPr="0081336F" w:rsidRDefault="0081336F" w:rsidP="0081336F">
      <w:pPr>
        <w:pStyle w:val="13"/>
      </w:pPr>
      <w:r w:rsidRPr="0081336F">
        <w:rPr>
          <w:rFonts w:hint="eastAsia"/>
        </w:rPr>
        <w:t>商业银行的不良资产率及不良贷款</w:t>
      </w:r>
      <w:proofErr w:type="gramStart"/>
      <w:r w:rsidRPr="0081336F">
        <w:rPr>
          <w:rFonts w:hint="eastAsia"/>
        </w:rPr>
        <w:t>率受到</w:t>
      </w:r>
      <w:proofErr w:type="gramEnd"/>
      <w:r w:rsidRPr="0081336F">
        <w:rPr>
          <w:rFonts w:hint="eastAsia"/>
        </w:rPr>
        <w:t>包括宏观环境、监管政策、银行经营策略等多种因素影响。对商业银行进行评估，应结合商业银行历史趋势、未来市场趋势、银行经营策略等，合理预测不良资产率和不良贷款率。通常来说，资产风险越高，对应的生</w:t>
      </w:r>
      <w:proofErr w:type="gramStart"/>
      <w:r w:rsidRPr="0081336F">
        <w:rPr>
          <w:rFonts w:hint="eastAsia"/>
        </w:rPr>
        <w:t>息率越</w:t>
      </w:r>
      <w:proofErr w:type="gramEnd"/>
      <w:r w:rsidRPr="0081336F">
        <w:rPr>
          <w:rFonts w:hint="eastAsia"/>
        </w:rPr>
        <w:t>高，合理的风险资产配置可以提升商业银行评估价值。需要注意的是，高风险资产配置可能导致商业银行出现经营风险，脱离风险控制的高收益不足以支持商业银行价值提升。</w:t>
      </w:r>
    </w:p>
    <w:p w14:paraId="7142430B" w14:textId="77777777" w:rsidR="0081336F" w:rsidRPr="0081336F" w:rsidRDefault="0081336F" w:rsidP="0081336F">
      <w:pPr>
        <w:pStyle w:val="13"/>
        <w:ind w:firstLine="482"/>
        <w:rPr>
          <w:b/>
        </w:rPr>
      </w:pPr>
      <w:r w:rsidRPr="0081336F">
        <w:rPr>
          <w:rFonts w:hint="eastAsia"/>
          <w:b/>
        </w:rPr>
        <w:t>（五）贷款拨备率、拨备覆盖率</w:t>
      </w:r>
    </w:p>
    <w:p w14:paraId="1612E5C0" w14:textId="77777777" w:rsidR="0081336F" w:rsidRPr="0081336F" w:rsidRDefault="0081336F" w:rsidP="0081336F">
      <w:pPr>
        <w:pStyle w:val="13"/>
      </w:pPr>
      <w:r w:rsidRPr="0081336F">
        <w:rPr>
          <w:rFonts w:hint="eastAsia"/>
        </w:rPr>
        <w:t>贷款</w:t>
      </w:r>
      <w:proofErr w:type="gramStart"/>
      <w:r w:rsidRPr="0081336F">
        <w:rPr>
          <w:rFonts w:hint="eastAsia"/>
        </w:rPr>
        <w:t>拨备率</w:t>
      </w:r>
      <w:proofErr w:type="gramEnd"/>
      <w:r w:rsidRPr="0081336F">
        <w:rPr>
          <w:rFonts w:hint="eastAsia"/>
        </w:rPr>
        <w:t>﹦贷款损失准备/贷款×100%，拨备覆盖率﹦贷款损失准备/不良贷款×100%</w:t>
      </w:r>
    </w:p>
    <w:p w14:paraId="6E04A7D3" w14:textId="77777777" w:rsidR="0081336F" w:rsidRPr="0081336F" w:rsidRDefault="0081336F" w:rsidP="0081336F">
      <w:pPr>
        <w:pStyle w:val="13"/>
      </w:pPr>
      <w:r w:rsidRPr="0081336F">
        <w:rPr>
          <w:rFonts w:hint="eastAsia"/>
        </w:rPr>
        <w:t>其中，贷款损失准备是商业银行对可能发生减值的客户贷款提取的减值准备。</w:t>
      </w:r>
    </w:p>
    <w:p w14:paraId="43A748E1" w14:textId="77777777" w:rsidR="0081336F" w:rsidRPr="0081336F" w:rsidRDefault="0081336F" w:rsidP="0081336F">
      <w:pPr>
        <w:pStyle w:val="13"/>
      </w:pPr>
      <w:r w:rsidRPr="0081336F">
        <w:rPr>
          <w:rFonts w:hint="eastAsia"/>
        </w:rPr>
        <w:t>贷款拨</w:t>
      </w:r>
      <w:proofErr w:type="gramStart"/>
      <w:r w:rsidRPr="0081336F">
        <w:rPr>
          <w:rFonts w:hint="eastAsia"/>
        </w:rPr>
        <w:t>备率及拨</w:t>
      </w:r>
      <w:proofErr w:type="gramEnd"/>
      <w:r w:rsidRPr="0081336F">
        <w:rPr>
          <w:rFonts w:hint="eastAsia"/>
        </w:rPr>
        <w:t>备覆盖率衡量商业银行对于贷款风险的审慎程度。贷款</w:t>
      </w:r>
      <w:proofErr w:type="gramStart"/>
      <w:r w:rsidRPr="0081336F">
        <w:rPr>
          <w:rFonts w:hint="eastAsia"/>
        </w:rPr>
        <w:t>拨备率和</w:t>
      </w:r>
      <w:proofErr w:type="gramEnd"/>
      <w:r w:rsidRPr="0081336F">
        <w:rPr>
          <w:rFonts w:hint="eastAsia"/>
        </w:rPr>
        <w:t>拨备覆盖率越高，通常说明商业银行对贷款风险较为审慎，能更为有效应对可能出现的坏账风险。根据监管要求，商业银行贷款</w:t>
      </w:r>
      <w:proofErr w:type="gramStart"/>
      <w:r w:rsidRPr="0081336F">
        <w:rPr>
          <w:rFonts w:hint="eastAsia"/>
        </w:rPr>
        <w:t>拨备率应</w:t>
      </w:r>
      <w:proofErr w:type="gramEnd"/>
      <w:r w:rsidRPr="0081336F">
        <w:rPr>
          <w:rFonts w:hint="eastAsia"/>
        </w:rPr>
        <w:t>不低于2.5%，拨备覆盖率应不低于150%，原则上按两者孰高的方法确定银行业贷款损失准备。</w:t>
      </w:r>
    </w:p>
    <w:p w14:paraId="03A3CA11" w14:textId="77777777" w:rsidR="0081336F" w:rsidRPr="0081336F" w:rsidRDefault="0081336F" w:rsidP="0081336F">
      <w:pPr>
        <w:pStyle w:val="13"/>
      </w:pPr>
      <w:r w:rsidRPr="0081336F">
        <w:rPr>
          <w:rFonts w:hint="eastAsia"/>
        </w:rPr>
        <w:t>以收益法对商业银行进行评估，商业银行贷款</w:t>
      </w:r>
      <w:proofErr w:type="gramStart"/>
      <w:r w:rsidRPr="0081336F">
        <w:rPr>
          <w:rFonts w:hint="eastAsia"/>
        </w:rPr>
        <w:t>拨备率和</w:t>
      </w:r>
      <w:proofErr w:type="gramEnd"/>
      <w:r w:rsidRPr="0081336F">
        <w:rPr>
          <w:rFonts w:hint="eastAsia"/>
        </w:rPr>
        <w:t>拨备覆盖率尚未达标的，评估机构应合</w:t>
      </w:r>
      <w:proofErr w:type="gramStart"/>
      <w:r w:rsidRPr="0081336F">
        <w:rPr>
          <w:rFonts w:hint="eastAsia"/>
        </w:rPr>
        <w:t>理预测</w:t>
      </w:r>
      <w:proofErr w:type="gramEnd"/>
      <w:r w:rsidRPr="0081336F">
        <w:rPr>
          <w:rFonts w:hint="eastAsia"/>
        </w:rPr>
        <w:t>贷款损失准备的计提，使其逐步达到监管要求。</w:t>
      </w:r>
    </w:p>
    <w:p w14:paraId="3D8B97FC" w14:textId="77777777" w:rsidR="0081336F" w:rsidRPr="0081336F" w:rsidRDefault="0081336F" w:rsidP="0081336F">
      <w:pPr>
        <w:pStyle w:val="13"/>
      </w:pPr>
      <w:r w:rsidRPr="0081336F">
        <w:rPr>
          <w:rFonts w:hint="eastAsia"/>
        </w:rPr>
        <w:t>以市场法（尤其是P/E倍数法）对商业银行进行评估，</w:t>
      </w:r>
      <w:proofErr w:type="gramStart"/>
      <w:r w:rsidRPr="0081336F">
        <w:rPr>
          <w:rFonts w:hint="eastAsia"/>
        </w:rPr>
        <w:t>若资产</w:t>
      </w:r>
      <w:proofErr w:type="gramEnd"/>
      <w:r w:rsidRPr="0081336F">
        <w:rPr>
          <w:rFonts w:hint="eastAsia"/>
        </w:rPr>
        <w:t>质量相似的银行拨备计提力度不同，对于评估结果会产生较大影响。拨备前利润（PPOP）是商业银行扣除资产减值损失之前的利润，剔除了不同银行由于拨备计提幅度不同对利润造成的影响。以市场法对商业银行进行评估，可采用P/PPOP倍数法。</w:t>
      </w:r>
    </w:p>
    <w:p w14:paraId="2F528606" w14:textId="77777777" w:rsidR="0081336F" w:rsidRPr="0081336F" w:rsidRDefault="0081336F" w:rsidP="0081336F">
      <w:pPr>
        <w:pStyle w:val="13"/>
        <w:ind w:firstLine="482"/>
        <w:rPr>
          <w:b/>
        </w:rPr>
      </w:pPr>
      <w:r w:rsidRPr="0081336F">
        <w:rPr>
          <w:rFonts w:hint="eastAsia"/>
          <w:b/>
        </w:rPr>
        <w:t>（六）贷款迁徙率</w:t>
      </w:r>
    </w:p>
    <w:p w14:paraId="0BEC681A" w14:textId="77777777" w:rsidR="0081336F" w:rsidRPr="0081336F" w:rsidRDefault="0081336F" w:rsidP="0081336F">
      <w:pPr>
        <w:pStyle w:val="13"/>
      </w:pPr>
      <w:r w:rsidRPr="0081336F">
        <w:rPr>
          <w:rFonts w:hint="eastAsia"/>
        </w:rPr>
        <w:t>贷款迁徙率是商业银行贷款类别向下迁移的比例，包括正常贷款迁徙率、关注类贷款迁徙率、次级类贷款迁徙率和可疑类贷款迁徙率。</w:t>
      </w:r>
    </w:p>
    <w:p w14:paraId="076271B5" w14:textId="77777777" w:rsidR="0081336F" w:rsidRPr="0081336F" w:rsidRDefault="0081336F" w:rsidP="0081336F">
      <w:pPr>
        <w:pStyle w:val="13"/>
      </w:pPr>
      <w:r w:rsidRPr="0081336F">
        <w:rPr>
          <w:rFonts w:hint="eastAsia"/>
        </w:rPr>
        <w:t>正常贷款迁徙率，衡量正常贷款（包括正常类贷款和关注类贷款）转变为不良贷款（包括次级类贷款、可疑类贷款和损失类贷款）的比例。正常类贷款迁徙率，衡量正常类贷款转变为五级分类中后四类贷款的比例。关注类贷款迁徙率，衡量关注类贷款转变为后三类贷款的比例。次级类贷款迁徙率，衡量次级类贷款转变为后两类贷款的比例。可疑类贷款迁徙率，衡量可疑类贷款转变为损失类贷款的比例。</w:t>
      </w:r>
    </w:p>
    <w:p w14:paraId="66B0F26F" w14:textId="77777777" w:rsidR="0081336F" w:rsidRPr="0081336F" w:rsidRDefault="0081336F" w:rsidP="0081336F">
      <w:pPr>
        <w:pStyle w:val="13"/>
      </w:pPr>
      <w:r w:rsidRPr="0081336F">
        <w:rPr>
          <w:rFonts w:hint="eastAsia"/>
        </w:rPr>
        <w:t>贷款迁徙率衡量商业银行的贷款质量的变化，合理预测贷款迁徙率，有助于对商业银行贷款合理进行分类，对预测商业银行的不良贷款余额和不良贷款率形成指导，并进一步影响贷款损失准备和贷款减值损失。对于预测期间的贷款迁徙率，应基于历史数据，并参考未来业务的发展方向。若贷款迁徙</w:t>
      </w:r>
      <w:proofErr w:type="gramStart"/>
      <w:r w:rsidRPr="0081336F">
        <w:rPr>
          <w:rFonts w:hint="eastAsia"/>
        </w:rPr>
        <w:t>率预测</w:t>
      </w:r>
      <w:proofErr w:type="gramEnd"/>
      <w:r w:rsidRPr="0081336F">
        <w:rPr>
          <w:rFonts w:hint="eastAsia"/>
        </w:rPr>
        <w:t>过高，可能导致贷款损失准备和贷款减值损失偏高，评估值偏低。反之，若贷款迁徙</w:t>
      </w:r>
      <w:proofErr w:type="gramStart"/>
      <w:r w:rsidRPr="0081336F">
        <w:rPr>
          <w:rFonts w:hint="eastAsia"/>
        </w:rPr>
        <w:t>率预测</w:t>
      </w:r>
      <w:proofErr w:type="gramEnd"/>
      <w:r w:rsidRPr="0081336F">
        <w:rPr>
          <w:rFonts w:hint="eastAsia"/>
        </w:rPr>
        <w:t>过低，可能导致贷款</w:t>
      </w:r>
      <w:r w:rsidRPr="0081336F">
        <w:rPr>
          <w:rFonts w:hint="eastAsia"/>
        </w:rPr>
        <w:lastRenderedPageBreak/>
        <w:t>损失准备和贷款减值损失偏低，评估值偏高。</w:t>
      </w:r>
    </w:p>
    <w:p w14:paraId="2D5189AE" w14:textId="77777777" w:rsidR="0081336F" w:rsidRPr="0081336F" w:rsidRDefault="0081336F" w:rsidP="0081336F">
      <w:pPr>
        <w:pStyle w:val="13"/>
        <w:ind w:firstLine="482"/>
        <w:rPr>
          <w:b/>
        </w:rPr>
      </w:pPr>
      <w:r w:rsidRPr="0081336F">
        <w:rPr>
          <w:rFonts w:hint="eastAsia"/>
          <w:b/>
        </w:rPr>
        <w:t>（七）资本充足率</w:t>
      </w:r>
    </w:p>
    <w:p w14:paraId="2C1BADA1" w14:textId="77777777" w:rsidR="0081336F" w:rsidRPr="0081336F" w:rsidRDefault="0081336F" w:rsidP="0081336F">
      <w:pPr>
        <w:pStyle w:val="13"/>
      </w:pPr>
      <w:r w:rsidRPr="0081336F">
        <w:rPr>
          <w:rFonts w:hint="eastAsia"/>
        </w:rPr>
        <w:t>资本充足率﹦（总资本-对应资本扣减项）/风险加权资产×100%</w:t>
      </w:r>
    </w:p>
    <w:p w14:paraId="3CE0D606" w14:textId="77777777" w:rsidR="0081336F" w:rsidRPr="0081336F" w:rsidRDefault="0081336F" w:rsidP="0081336F">
      <w:pPr>
        <w:pStyle w:val="13"/>
      </w:pPr>
      <w:r w:rsidRPr="0081336F">
        <w:rPr>
          <w:rFonts w:hint="eastAsia"/>
        </w:rPr>
        <w:t>一级资本充足率﹦（一级资本﹣对应资本扣减项）/风险加权资产×100%</w:t>
      </w:r>
    </w:p>
    <w:p w14:paraId="187F8A89" w14:textId="77777777" w:rsidR="0081336F" w:rsidRPr="0081336F" w:rsidRDefault="0081336F" w:rsidP="0081336F">
      <w:pPr>
        <w:pStyle w:val="13"/>
      </w:pPr>
      <w:r w:rsidRPr="0081336F">
        <w:rPr>
          <w:rFonts w:hint="eastAsia"/>
        </w:rPr>
        <w:t>核心一级资本充足率﹦（核心一级资本﹣对应资本扣减项）/风险加权资产×100%</w:t>
      </w:r>
    </w:p>
    <w:p w14:paraId="6FF261E3" w14:textId="77777777" w:rsidR="0081336F" w:rsidRPr="0081336F" w:rsidRDefault="0081336F" w:rsidP="0081336F">
      <w:pPr>
        <w:pStyle w:val="13"/>
      </w:pPr>
      <w:r w:rsidRPr="0081336F">
        <w:rPr>
          <w:rFonts w:hint="eastAsia"/>
        </w:rPr>
        <w:t>其中，核心一级资本包括实收资本或普通股、资本公积、盈余公积、一般风险准备、未分配利润、少数股东资本可计入部分；其他一级资本包括其他一级资本工具及其溢价、少数股东资本可计入部分；二级资本包括二级资本工具及其溢价、超额贷款损失准备；一级资本﹦核心一级资本﹢其他一级资本；总资本﹦核心一级资本﹢其他一级资本﹢二级资本。</w:t>
      </w:r>
    </w:p>
    <w:p w14:paraId="40A2438A" w14:textId="77777777" w:rsidR="0081336F" w:rsidRPr="0081336F" w:rsidRDefault="0081336F" w:rsidP="0081336F">
      <w:pPr>
        <w:pStyle w:val="13"/>
      </w:pPr>
      <w:r w:rsidRPr="0081336F">
        <w:rPr>
          <w:rFonts w:hint="eastAsia"/>
        </w:rPr>
        <w:t>商业银行的资本充足率是其资本与风险资产的比率，衡量商业银行抵御经营风险的能力。</w:t>
      </w:r>
    </w:p>
    <w:p w14:paraId="2C05EB90" w14:textId="77777777" w:rsidR="0081336F" w:rsidRPr="0081336F" w:rsidRDefault="0081336F" w:rsidP="0081336F">
      <w:pPr>
        <w:pStyle w:val="13"/>
      </w:pPr>
      <w:r w:rsidRPr="0081336F">
        <w:rPr>
          <w:rFonts w:hint="eastAsia"/>
        </w:rPr>
        <w:t>商业银行资本充足</w:t>
      </w:r>
      <w:proofErr w:type="gramStart"/>
      <w:r w:rsidRPr="0081336F">
        <w:rPr>
          <w:rFonts w:hint="eastAsia"/>
        </w:rPr>
        <w:t>率相关</w:t>
      </w:r>
      <w:proofErr w:type="gramEnd"/>
      <w:r w:rsidRPr="0081336F">
        <w:rPr>
          <w:rFonts w:hint="eastAsia"/>
        </w:rPr>
        <w:t>要求如下：</w:t>
      </w:r>
    </w:p>
    <w:tbl>
      <w:tblPr>
        <w:tblW w:w="68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6"/>
        <w:gridCol w:w="2835"/>
      </w:tblGrid>
      <w:tr w:rsidR="0081336F" w:rsidRPr="0081336F" w14:paraId="65CCC09A" w14:textId="77777777" w:rsidTr="0081336F">
        <w:trPr>
          <w:tblHeader/>
          <w:jc w:val="center"/>
        </w:trPr>
        <w:tc>
          <w:tcPr>
            <w:tcW w:w="4016" w:type="dxa"/>
            <w:vAlign w:val="center"/>
          </w:tcPr>
          <w:p w14:paraId="7A2AB266"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资本充足率指标</w:t>
            </w:r>
          </w:p>
        </w:tc>
        <w:tc>
          <w:tcPr>
            <w:tcW w:w="2835" w:type="dxa"/>
            <w:vAlign w:val="center"/>
          </w:tcPr>
          <w:p w14:paraId="530AF102"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监管要求</w:t>
            </w:r>
          </w:p>
        </w:tc>
      </w:tr>
      <w:tr w:rsidR="0081336F" w:rsidRPr="0081336F" w14:paraId="49D788CA" w14:textId="77777777" w:rsidTr="0081336F">
        <w:trPr>
          <w:jc w:val="center"/>
        </w:trPr>
        <w:tc>
          <w:tcPr>
            <w:tcW w:w="4016" w:type="dxa"/>
            <w:vAlign w:val="center"/>
          </w:tcPr>
          <w:p w14:paraId="7B05BCD7" w14:textId="77777777" w:rsidR="0081336F" w:rsidRPr="0081336F" w:rsidRDefault="0081336F" w:rsidP="0081336F">
            <w:pPr>
              <w:pStyle w:val="13"/>
              <w:ind w:firstLineChars="0" w:firstLine="0"/>
              <w:rPr>
                <w:sz w:val="21"/>
                <w:szCs w:val="21"/>
              </w:rPr>
            </w:pPr>
            <w:r w:rsidRPr="0081336F">
              <w:rPr>
                <w:rFonts w:hint="eastAsia"/>
                <w:sz w:val="21"/>
                <w:szCs w:val="21"/>
              </w:rPr>
              <w:t>核心一级资本充足率</w:t>
            </w:r>
          </w:p>
        </w:tc>
        <w:tc>
          <w:tcPr>
            <w:tcW w:w="2835" w:type="dxa"/>
            <w:vAlign w:val="center"/>
          </w:tcPr>
          <w:p w14:paraId="262A8FB3" w14:textId="77777777" w:rsidR="0081336F" w:rsidRPr="0081336F" w:rsidRDefault="0081336F" w:rsidP="0081336F">
            <w:pPr>
              <w:pStyle w:val="13"/>
              <w:ind w:firstLineChars="0" w:firstLine="0"/>
              <w:rPr>
                <w:sz w:val="21"/>
                <w:szCs w:val="21"/>
              </w:rPr>
            </w:pPr>
            <w:r w:rsidRPr="0081336F">
              <w:rPr>
                <w:rFonts w:hint="eastAsia"/>
                <w:sz w:val="21"/>
                <w:szCs w:val="21"/>
              </w:rPr>
              <w:t>≧5%</w:t>
            </w:r>
          </w:p>
        </w:tc>
      </w:tr>
      <w:tr w:rsidR="0081336F" w:rsidRPr="0081336F" w14:paraId="70724C8E" w14:textId="77777777" w:rsidTr="0081336F">
        <w:trPr>
          <w:jc w:val="center"/>
        </w:trPr>
        <w:tc>
          <w:tcPr>
            <w:tcW w:w="4016" w:type="dxa"/>
            <w:vAlign w:val="center"/>
          </w:tcPr>
          <w:p w14:paraId="6CA78126" w14:textId="77777777" w:rsidR="0081336F" w:rsidRPr="0081336F" w:rsidRDefault="0081336F" w:rsidP="0081336F">
            <w:pPr>
              <w:pStyle w:val="13"/>
              <w:ind w:firstLineChars="0" w:firstLine="0"/>
              <w:rPr>
                <w:sz w:val="21"/>
                <w:szCs w:val="21"/>
              </w:rPr>
            </w:pPr>
            <w:r w:rsidRPr="0081336F">
              <w:rPr>
                <w:rFonts w:hint="eastAsia"/>
                <w:sz w:val="21"/>
                <w:szCs w:val="21"/>
              </w:rPr>
              <w:t>一级资本充足率</w:t>
            </w:r>
          </w:p>
        </w:tc>
        <w:tc>
          <w:tcPr>
            <w:tcW w:w="2835" w:type="dxa"/>
            <w:vAlign w:val="center"/>
          </w:tcPr>
          <w:p w14:paraId="711291DA" w14:textId="77777777" w:rsidR="0081336F" w:rsidRPr="0081336F" w:rsidRDefault="0081336F" w:rsidP="0081336F">
            <w:pPr>
              <w:pStyle w:val="13"/>
              <w:ind w:firstLineChars="0" w:firstLine="0"/>
              <w:rPr>
                <w:sz w:val="21"/>
                <w:szCs w:val="21"/>
              </w:rPr>
            </w:pPr>
            <w:r w:rsidRPr="0081336F">
              <w:rPr>
                <w:rFonts w:hint="eastAsia"/>
                <w:sz w:val="21"/>
                <w:szCs w:val="21"/>
              </w:rPr>
              <w:t>≧6%</w:t>
            </w:r>
          </w:p>
        </w:tc>
      </w:tr>
      <w:tr w:rsidR="0081336F" w:rsidRPr="0081336F" w14:paraId="66BA6F64" w14:textId="77777777" w:rsidTr="0081336F">
        <w:trPr>
          <w:jc w:val="center"/>
        </w:trPr>
        <w:tc>
          <w:tcPr>
            <w:tcW w:w="4016" w:type="dxa"/>
            <w:vAlign w:val="center"/>
          </w:tcPr>
          <w:p w14:paraId="6BEFE73C" w14:textId="77777777" w:rsidR="0081336F" w:rsidRPr="0081336F" w:rsidRDefault="0081336F" w:rsidP="0081336F">
            <w:pPr>
              <w:pStyle w:val="13"/>
              <w:ind w:firstLineChars="0" w:firstLine="0"/>
              <w:rPr>
                <w:sz w:val="21"/>
                <w:szCs w:val="21"/>
              </w:rPr>
            </w:pPr>
            <w:r w:rsidRPr="0081336F">
              <w:rPr>
                <w:rFonts w:hint="eastAsia"/>
                <w:sz w:val="21"/>
                <w:szCs w:val="21"/>
              </w:rPr>
              <w:t>资本充足率</w:t>
            </w:r>
          </w:p>
        </w:tc>
        <w:tc>
          <w:tcPr>
            <w:tcW w:w="2835" w:type="dxa"/>
            <w:vAlign w:val="center"/>
          </w:tcPr>
          <w:p w14:paraId="6D86C82E" w14:textId="77777777" w:rsidR="0081336F" w:rsidRPr="0081336F" w:rsidRDefault="0081336F" w:rsidP="0081336F">
            <w:pPr>
              <w:pStyle w:val="13"/>
              <w:ind w:firstLineChars="0" w:firstLine="0"/>
              <w:rPr>
                <w:sz w:val="21"/>
                <w:szCs w:val="21"/>
              </w:rPr>
            </w:pPr>
            <w:r w:rsidRPr="0081336F">
              <w:rPr>
                <w:rFonts w:hint="eastAsia"/>
                <w:sz w:val="21"/>
                <w:szCs w:val="21"/>
              </w:rPr>
              <w:t>≧8%</w:t>
            </w:r>
          </w:p>
        </w:tc>
      </w:tr>
      <w:tr w:rsidR="0081336F" w:rsidRPr="0081336F" w14:paraId="0D99C62D" w14:textId="77777777" w:rsidTr="0081336F">
        <w:trPr>
          <w:jc w:val="center"/>
        </w:trPr>
        <w:tc>
          <w:tcPr>
            <w:tcW w:w="4016" w:type="dxa"/>
            <w:vAlign w:val="center"/>
          </w:tcPr>
          <w:p w14:paraId="195031B6" w14:textId="77777777" w:rsidR="0081336F" w:rsidRPr="0081336F" w:rsidRDefault="0081336F" w:rsidP="0081336F">
            <w:pPr>
              <w:pStyle w:val="13"/>
              <w:ind w:firstLineChars="0" w:firstLine="0"/>
              <w:rPr>
                <w:sz w:val="21"/>
                <w:szCs w:val="21"/>
              </w:rPr>
            </w:pPr>
            <w:r w:rsidRPr="0081336F">
              <w:rPr>
                <w:rFonts w:hint="eastAsia"/>
                <w:sz w:val="21"/>
                <w:szCs w:val="21"/>
              </w:rPr>
              <w:t>留存超额资本</w:t>
            </w:r>
          </w:p>
        </w:tc>
        <w:tc>
          <w:tcPr>
            <w:tcW w:w="2835" w:type="dxa"/>
            <w:vAlign w:val="center"/>
          </w:tcPr>
          <w:p w14:paraId="348FD98D" w14:textId="77777777" w:rsidR="0081336F" w:rsidRPr="0081336F" w:rsidRDefault="0081336F" w:rsidP="0081336F">
            <w:pPr>
              <w:pStyle w:val="13"/>
              <w:ind w:firstLineChars="0" w:firstLine="0"/>
              <w:rPr>
                <w:sz w:val="21"/>
                <w:szCs w:val="21"/>
              </w:rPr>
            </w:pPr>
            <w:r w:rsidRPr="0081336F">
              <w:rPr>
                <w:rFonts w:hint="eastAsia"/>
                <w:sz w:val="21"/>
                <w:szCs w:val="21"/>
              </w:rPr>
              <w:t>2.5%</w:t>
            </w:r>
          </w:p>
        </w:tc>
      </w:tr>
      <w:tr w:rsidR="0081336F" w:rsidRPr="0081336F" w14:paraId="4E917126" w14:textId="77777777" w:rsidTr="0081336F">
        <w:trPr>
          <w:jc w:val="center"/>
        </w:trPr>
        <w:tc>
          <w:tcPr>
            <w:tcW w:w="4016" w:type="dxa"/>
            <w:vAlign w:val="center"/>
          </w:tcPr>
          <w:p w14:paraId="5F54588E" w14:textId="77777777" w:rsidR="0081336F" w:rsidRPr="0081336F" w:rsidRDefault="0081336F" w:rsidP="0081336F">
            <w:pPr>
              <w:pStyle w:val="13"/>
              <w:ind w:firstLineChars="0" w:firstLine="0"/>
              <w:rPr>
                <w:sz w:val="21"/>
                <w:szCs w:val="21"/>
              </w:rPr>
            </w:pPr>
            <w:r w:rsidRPr="0081336F">
              <w:rPr>
                <w:rFonts w:hint="eastAsia"/>
                <w:sz w:val="21"/>
                <w:szCs w:val="21"/>
              </w:rPr>
              <w:t>逆周期超额资本</w:t>
            </w:r>
          </w:p>
        </w:tc>
        <w:tc>
          <w:tcPr>
            <w:tcW w:w="2835" w:type="dxa"/>
            <w:vAlign w:val="center"/>
          </w:tcPr>
          <w:p w14:paraId="41D61FDE" w14:textId="77777777" w:rsidR="0081336F" w:rsidRPr="0081336F" w:rsidRDefault="0081336F" w:rsidP="0081336F">
            <w:pPr>
              <w:pStyle w:val="13"/>
              <w:ind w:firstLineChars="0" w:firstLine="0"/>
              <w:rPr>
                <w:sz w:val="21"/>
                <w:szCs w:val="21"/>
              </w:rPr>
            </w:pPr>
            <w:r w:rsidRPr="0081336F">
              <w:rPr>
                <w:rFonts w:hint="eastAsia"/>
                <w:sz w:val="21"/>
                <w:szCs w:val="21"/>
              </w:rPr>
              <w:t>0-2.5%</w:t>
            </w:r>
          </w:p>
        </w:tc>
      </w:tr>
      <w:tr w:rsidR="0081336F" w:rsidRPr="0081336F" w14:paraId="5A82456B" w14:textId="77777777" w:rsidTr="0081336F">
        <w:trPr>
          <w:jc w:val="center"/>
        </w:trPr>
        <w:tc>
          <w:tcPr>
            <w:tcW w:w="4016" w:type="dxa"/>
            <w:vAlign w:val="center"/>
          </w:tcPr>
          <w:p w14:paraId="3CAE8F0E" w14:textId="77777777" w:rsidR="0081336F" w:rsidRPr="0081336F" w:rsidRDefault="0081336F" w:rsidP="0081336F">
            <w:pPr>
              <w:pStyle w:val="13"/>
              <w:ind w:firstLineChars="0" w:firstLine="0"/>
              <w:rPr>
                <w:sz w:val="21"/>
                <w:szCs w:val="21"/>
              </w:rPr>
            </w:pPr>
            <w:r w:rsidRPr="0081336F">
              <w:rPr>
                <w:rFonts w:hint="eastAsia"/>
                <w:sz w:val="21"/>
                <w:szCs w:val="21"/>
              </w:rPr>
              <w:t>系统重要性银行附加资本要求</w:t>
            </w:r>
          </w:p>
        </w:tc>
        <w:tc>
          <w:tcPr>
            <w:tcW w:w="2835" w:type="dxa"/>
            <w:vAlign w:val="center"/>
          </w:tcPr>
          <w:p w14:paraId="0FB2D42C" w14:textId="77777777" w:rsidR="0081336F" w:rsidRPr="0081336F" w:rsidRDefault="0081336F" w:rsidP="0081336F">
            <w:pPr>
              <w:pStyle w:val="13"/>
              <w:ind w:firstLineChars="0" w:firstLine="0"/>
              <w:rPr>
                <w:sz w:val="21"/>
                <w:szCs w:val="21"/>
              </w:rPr>
            </w:pPr>
            <w:r w:rsidRPr="0081336F">
              <w:rPr>
                <w:rFonts w:hint="eastAsia"/>
                <w:sz w:val="21"/>
                <w:szCs w:val="21"/>
              </w:rPr>
              <w:t>1%，由核心一级资本满足</w:t>
            </w:r>
          </w:p>
        </w:tc>
      </w:tr>
    </w:tbl>
    <w:p w14:paraId="52AE04DE" w14:textId="77777777" w:rsidR="0081336F" w:rsidRPr="0081336F" w:rsidRDefault="0081336F" w:rsidP="0081336F">
      <w:pPr>
        <w:pStyle w:val="13"/>
      </w:pPr>
      <w:r w:rsidRPr="0081336F">
        <w:rPr>
          <w:rFonts w:hint="eastAsia"/>
        </w:rPr>
        <w:t>系统重要性银行和非系统重要性银行应分别于2013年底和2016年底前达到新的资本监管标准。资本充足率指标旨在限制商业银行风险资产的过度膨胀，降低存款人和债权人遭受损失的风险。在资本充足率指标的约束之下，商业银行在规模扩张的过程中会受到一定限制。</w:t>
      </w:r>
    </w:p>
    <w:p w14:paraId="78FDA12C" w14:textId="77777777" w:rsidR="0081336F" w:rsidRPr="0081336F" w:rsidRDefault="0081336F" w:rsidP="0081336F">
      <w:pPr>
        <w:pStyle w:val="13"/>
      </w:pPr>
      <w:r w:rsidRPr="0081336F">
        <w:rPr>
          <w:rFonts w:hint="eastAsia"/>
        </w:rPr>
        <w:t>对商业银行进行评估，应测算评估对象历史期间和预测期间的资本充足率水平，资本充足率不足或可能出现不足的，评估机构应相应调整预测期内的业务发展规模，使其逐步达到资本监管要求。此外，商业银行也可以通过发行资本工具、降低分红水平等方式对资本金进行补充。对于我国上市商业银行来说，新股增发是其补充核心一级资本的重要手段。以红利折现模型评估商业银行价值，应在满足资本充足率要求的情况下安排红利发放，否则会造成股权价值高估。</w:t>
      </w:r>
    </w:p>
    <w:p w14:paraId="351CFDBC" w14:textId="77777777" w:rsidR="0081336F" w:rsidRPr="0081336F" w:rsidRDefault="0081336F" w:rsidP="0081336F">
      <w:pPr>
        <w:pStyle w:val="13"/>
        <w:ind w:firstLine="482"/>
        <w:rPr>
          <w:b/>
        </w:rPr>
      </w:pPr>
      <w:r w:rsidRPr="0081336F">
        <w:rPr>
          <w:rFonts w:hint="eastAsia"/>
          <w:b/>
        </w:rPr>
        <w:t>（八）存款准备金率</w:t>
      </w:r>
    </w:p>
    <w:p w14:paraId="343EECBD" w14:textId="77777777" w:rsidR="0081336F" w:rsidRPr="0081336F" w:rsidRDefault="0081336F" w:rsidP="0081336F">
      <w:pPr>
        <w:pStyle w:val="13"/>
      </w:pPr>
      <w:r w:rsidRPr="0081336F">
        <w:rPr>
          <w:rFonts w:hint="eastAsia"/>
        </w:rPr>
        <w:t>存款准备金率﹦存款准备金/客户存款×100%</w:t>
      </w:r>
    </w:p>
    <w:p w14:paraId="6D0CE786" w14:textId="77777777" w:rsidR="0081336F" w:rsidRPr="0081336F" w:rsidRDefault="0081336F" w:rsidP="0081336F">
      <w:pPr>
        <w:pStyle w:val="13"/>
      </w:pPr>
      <w:r w:rsidRPr="0081336F">
        <w:rPr>
          <w:rFonts w:hint="eastAsia"/>
        </w:rPr>
        <w:t>其中，存款准备金是指金融企业为保证客户提取存款和资金清算需要而存放在中央银行的存款。</w:t>
      </w:r>
    </w:p>
    <w:p w14:paraId="231AE9DB" w14:textId="77777777" w:rsidR="0081336F" w:rsidRPr="0081336F" w:rsidRDefault="0081336F" w:rsidP="0081336F">
      <w:pPr>
        <w:pStyle w:val="13"/>
      </w:pPr>
      <w:r w:rsidRPr="0081336F">
        <w:rPr>
          <w:rFonts w:hint="eastAsia"/>
        </w:rPr>
        <w:lastRenderedPageBreak/>
        <w:t>存款准备金的初始作用是保证商业银行存款的支付和清算，现已逐渐成为央行调控货币供应量的重要工具之一。央行通过调整存款准备金率，影响金融企业的信贷能力，从而间接调控市场货币供应量。</w:t>
      </w:r>
    </w:p>
    <w:p w14:paraId="5A8A38DE" w14:textId="77777777" w:rsidR="0081336F" w:rsidRPr="0081336F" w:rsidRDefault="0081336F" w:rsidP="0081336F">
      <w:pPr>
        <w:pStyle w:val="13"/>
      </w:pPr>
      <w:r w:rsidRPr="0081336F">
        <w:rPr>
          <w:rFonts w:hint="eastAsia"/>
        </w:rPr>
        <w:t>不同类型商业银行适用不同的存款准备金率，大型商业银行普遍适用的存款准备金率为20.0%，中小商业银行普遍适用的存款准备金率为16.5%。2014年，为了加强金融对“三农”发展的支持，拓展资金来源，中国人民银行先后两次定向下调存款准备金率。从2014年4月25日起下调县域农村商业银行人民币存款准备金率2个百分点，下调县域农村合作银行人民币存款准备金率0.5个百分点；从2014年6月16日起，对符合审慎经营要求且“三农”和小</w:t>
      </w:r>
      <w:proofErr w:type="gramStart"/>
      <w:r w:rsidRPr="0081336F">
        <w:rPr>
          <w:rFonts w:hint="eastAsia"/>
        </w:rPr>
        <w:t>微企业</w:t>
      </w:r>
      <w:proofErr w:type="gramEnd"/>
      <w:r w:rsidRPr="0081336F">
        <w:rPr>
          <w:rFonts w:hint="eastAsia"/>
        </w:rPr>
        <w:t>贷款达到一定比例的商业银行（不含2014年4月25日已下调过准备金率的机构）下调人民币存款准备金率0.5个百分点。</w:t>
      </w:r>
    </w:p>
    <w:p w14:paraId="03B49357" w14:textId="77777777" w:rsidR="0081336F" w:rsidRPr="0081336F" w:rsidRDefault="0081336F" w:rsidP="0081336F">
      <w:pPr>
        <w:pStyle w:val="13"/>
      </w:pPr>
      <w:r w:rsidRPr="0081336F">
        <w:rPr>
          <w:rFonts w:hint="eastAsia"/>
        </w:rPr>
        <w:t>对商业银行进行评估，应按照客户存款金额计算存款准备金，该部分资金不能随意挪用，不得视为溢余资金，而应作为经营性资产，否则会造成价值高估。</w:t>
      </w:r>
    </w:p>
    <w:p w14:paraId="4185194B" w14:textId="77777777" w:rsidR="0081336F" w:rsidRPr="0081336F" w:rsidRDefault="0081336F" w:rsidP="0081336F">
      <w:pPr>
        <w:pStyle w:val="13"/>
        <w:ind w:firstLine="482"/>
        <w:rPr>
          <w:b/>
        </w:rPr>
      </w:pPr>
      <w:r w:rsidRPr="0081336F">
        <w:rPr>
          <w:rFonts w:hint="eastAsia"/>
          <w:b/>
        </w:rPr>
        <w:t>（九）成本收入比</w:t>
      </w:r>
    </w:p>
    <w:p w14:paraId="2A281DED" w14:textId="77777777" w:rsidR="0081336F" w:rsidRPr="0081336F" w:rsidRDefault="0081336F" w:rsidP="0081336F">
      <w:pPr>
        <w:pStyle w:val="13"/>
      </w:pPr>
      <w:r w:rsidRPr="0081336F">
        <w:rPr>
          <w:rFonts w:hint="eastAsia"/>
        </w:rPr>
        <w:t>成本收入比﹦业务及管理费/营业收入×100%</w:t>
      </w:r>
    </w:p>
    <w:p w14:paraId="6010D21B" w14:textId="77777777" w:rsidR="0081336F" w:rsidRPr="0081336F" w:rsidRDefault="0081336F" w:rsidP="0081336F">
      <w:pPr>
        <w:pStyle w:val="13"/>
      </w:pPr>
      <w:r w:rsidRPr="0081336F">
        <w:rPr>
          <w:rFonts w:hint="eastAsia"/>
        </w:rPr>
        <w:t>其中，业务及管理费主要包括员工薪</w:t>
      </w:r>
      <w:proofErr w:type="gramStart"/>
      <w:r w:rsidRPr="0081336F">
        <w:rPr>
          <w:rFonts w:hint="eastAsia"/>
        </w:rPr>
        <w:t>酬</w:t>
      </w:r>
      <w:proofErr w:type="gramEnd"/>
      <w:r w:rsidRPr="0081336F">
        <w:rPr>
          <w:rFonts w:hint="eastAsia"/>
        </w:rPr>
        <w:t>支出、折旧、租金及其他行政管理费用，反映商业银行的薪资待遇水平及精细化管理水平。根据监管要求，商业银行的成本收入比不应高于45%。</w:t>
      </w:r>
    </w:p>
    <w:p w14:paraId="00593AD1" w14:textId="77777777" w:rsidR="0081336F" w:rsidRPr="0081336F" w:rsidRDefault="0081336F" w:rsidP="0081336F">
      <w:pPr>
        <w:pStyle w:val="13"/>
      </w:pPr>
      <w:r w:rsidRPr="0081336F">
        <w:rPr>
          <w:rFonts w:hint="eastAsia"/>
        </w:rPr>
        <w:t>商业银行的营业支出主要由营业税金及附加、业务及管理费和资产减值损失构成，业务及管理费通常是占比最大的部分。对商业银行进行评估，应根据商业银行的业务规模和经营管理水平，合理预测其业务及管理费。对于经营管理水平没有明显变化及变化预期的商业银行，其成本收入比不应出现太大波动。</w:t>
      </w:r>
    </w:p>
    <w:p w14:paraId="7A3211B4" w14:textId="77777777" w:rsidR="0081336F" w:rsidRPr="0081336F" w:rsidRDefault="0081336F" w:rsidP="0081336F">
      <w:pPr>
        <w:pStyle w:val="13"/>
        <w:ind w:firstLine="482"/>
        <w:rPr>
          <w:b/>
        </w:rPr>
      </w:pPr>
      <w:r w:rsidRPr="0081336F">
        <w:rPr>
          <w:rFonts w:hint="eastAsia"/>
          <w:b/>
        </w:rPr>
        <w:t>（十）资产利润率</w:t>
      </w:r>
    </w:p>
    <w:p w14:paraId="6DDE25EB" w14:textId="77777777" w:rsidR="0081336F" w:rsidRPr="0081336F" w:rsidRDefault="0081336F" w:rsidP="0081336F">
      <w:pPr>
        <w:pStyle w:val="13"/>
      </w:pPr>
      <w:r w:rsidRPr="0081336F">
        <w:rPr>
          <w:rFonts w:hint="eastAsia"/>
        </w:rPr>
        <w:t>资产利润率﹦净利润/资产平均余额×100%</w:t>
      </w:r>
    </w:p>
    <w:p w14:paraId="7E619670" w14:textId="77777777" w:rsidR="0081336F" w:rsidRPr="0081336F" w:rsidRDefault="0081336F" w:rsidP="0081336F">
      <w:pPr>
        <w:pStyle w:val="13"/>
      </w:pPr>
      <w:r w:rsidRPr="0081336F">
        <w:rPr>
          <w:rFonts w:hint="eastAsia"/>
        </w:rPr>
        <w:t>资产利润率衡量商业银行的盈利能力。根据监管要求，商业银行资产利润率不应低于0.6%。</w:t>
      </w:r>
    </w:p>
    <w:p w14:paraId="00D54073" w14:textId="77777777" w:rsidR="0081336F" w:rsidRPr="0081336F" w:rsidRDefault="0081336F" w:rsidP="0081336F">
      <w:pPr>
        <w:pStyle w:val="13"/>
      </w:pPr>
      <w:r w:rsidRPr="0081336F">
        <w:rPr>
          <w:rFonts w:hint="eastAsia"/>
        </w:rPr>
        <w:t>对商业银行进行评估，应测算预测期间的资产利润率，预测期间的资产利润率应符合历史走势及商业银行的发展趋势。需要注意的是，该指标中的分子净利润考虑了中间业务收入，而分母资产平均余额并未考虑中间业务所对应的表外资产，所以对于中间业务快速扩张的商业银行，该指标可能会有一定提升。</w:t>
      </w:r>
    </w:p>
    <w:p w14:paraId="101635B3" w14:textId="77777777" w:rsidR="0081336F" w:rsidRPr="0081336F" w:rsidRDefault="0081336F" w:rsidP="0081336F">
      <w:pPr>
        <w:pStyle w:val="13"/>
        <w:ind w:firstLine="482"/>
        <w:rPr>
          <w:b/>
        </w:rPr>
      </w:pPr>
      <w:r w:rsidRPr="0081336F">
        <w:rPr>
          <w:rFonts w:hint="eastAsia"/>
          <w:b/>
        </w:rPr>
        <w:t>（十一）资本利润率</w:t>
      </w:r>
    </w:p>
    <w:p w14:paraId="3F16D72A" w14:textId="77777777" w:rsidR="0081336F" w:rsidRPr="0081336F" w:rsidRDefault="0081336F" w:rsidP="0081336F">
      <w:pPr>
        <w:pStyle w:val="13"/>
      </w:pPr>
      <w:r w:rsidRPr="0081336F">
        <w:rPr>
          <w:rFonts w:hint="eastAsia"/>
        </w:rPr>
        <w:t>资本利润率﹦净利润/所有者权益平均余额×100%</w:t>
      </w:r>
    </w:p>
    <w:p w14:paraId="6A494201" w14:textId="77777777" w:rsidR="0081336F" w:rsidRPr="0081336F" w:rsidRDefault="0081336F" w:rsidP="0081336F">
      <w:pPr>
        <w:pStyle w:val="13"/>
      </w:pPr>
      <w:r w:rsidRPr="0081336F">
        <w:rPr>
          <w:rFonts w:hint="eastAsia"/>
        </w:rPr>
        <w:t>资本利润率衡量商业银行给股东创造回报的能力。</w:t>
      </w:r>
    </w:p>
    <w:p w14:paraId="17761D7F" w14:textId="77777777" w:rsidR="0081336F" w:rsidRPr="0081336F" w:rsidRDefault="0081336F" w:rsidP="0081336F">
      <w:pPr>
        <w:pStyle w:val="13"/>
      </w:pPr>
      <w:r w:rsidRPr="0081336F">
        <w:rPr>
          <w:rFonts w:hint="eastAsia"/>
        </w:rPr>
        <w:t>根据监管要求，商业银行资本利润率不应低于11%。对商业银行进行评估，应测</w:t>
      </w:r>
      <w:r w:rsidRPr="0081336F">
        <w:rPr>
          <w:rFonts w:hint="eastAsia"/>
        </w:rPr>
        <w:lastRenderedPageBreak/>
        <w:t>算预测期间的资本利润率，预测期间的资本利润率应符合历史走势及商业银行的发展趋势。若发生了股权融资等一次性事件，短期内所有者权益金额快速上升，可能造成资本利润率下降的表象。评估机构应分析商业银行利用新融得资本金创造价值的能力，从而判断融资后的资本利润率走势。</w:t>
      </w:r>
    </w:p>
    <w:p w14:paraId="295651A7" w14:textId="77777777" w:rsidR="0081336F" w:rsidRPr="0081336F" w:rsidRDefault="0081336F" w:rsidP="0081336F">
      <w:pPr>
        <w:pStyle w:val="13"/>
        <w:ind w:firstLine="482"/>
        <w:rPr>
          <w:b/>
        </w:rPr>
      </w:pPr>
      <w:r w:rsidRPr="0081336F">
        <w:rPr>
          <w:rFonts w:hint="eastAsia"/>
          <w:b/>
        </w:rPr>
        <w:t>三、评估中应关注的问题</w:t>
      </w:r>
    </w:p>
    <w:p w14:paraId="6F873634" w14:textId="77777777" w:rsidR="0081336F" w:rsidRPr="0081336F" w:rsidRDefault="0081336F" w:rsidP="0081336F">
      <w:pPr>
        <w:pStyle w:val="13"/>
      </w:pPr>
      <w:r w:rsidRPr="0081336F">
        <w:rPr>
          <w:rFonts w:hint="eastAsia"/>
        </w:rPr>
        <w:t>流动性指标衡量商业银行支付存款和偿还债务的能力。一般来说，风险较低、流动性较强的资产盈利能力相对较低，商业银行合理配置一些较高风险资产，可以提升其利润表现。需要注意的是，脱离风险控制的高收益并不足以支持商业银行的价值提升。流动性不足可能导致商业银行面临资金链风险，甚至因为挤兑问题而出现破产。以收益法对商业银行进行评估，评估对象流动性风险监管指标偏低的，评估机构可以在预测时调整其资产配置，合理增</w:t>
      </w:r>
      <w:proofErr w:type="gramStart"/>
      <w:r w:rsidRPr="0081336F">
        <w:rPr>
          <w:rFonts w:hint="eastAsia"/>
        </w:rPr>
        <w:t>持风险</w:t>
      </w:r>
      <w:proofErr w:type="gramEnd"/>
      <w:r w:rsidRPr="0081336F">
        <w:rPr>
          <w:rFonts w:hint="eastAsia"/>
        </w:rPr>
        <w:t>较低、流动性较强的资产，使其在过渡期内达到流动性监管要求。此外，还可以考虑对流动性不足的商业银行采取较高折现率，以反映其在经营过程中所面对的风险。对于流动性不足的商业银行，评估机构应在评估报告中披露相关风险。</w:t>
      </w:r>
    </w:p>
    <w:p w14:paraId="31374E1F" w14:textId="77777777" w:rsidR="0081336F" w:rsidRPr="0081336F" w:rsidRDefault="0081336F" w:rsidP="0081336F">
      <w:pPr>
        <w:pStyle w:val="13"/>
      </w:pPr>
      <w:r w:rsidRPr="0081336F">
        <w:rPr>
          <w:rFonts w:hint="eastAsia"/>
        </w:rPr>
        <w:t>风险监管指标衡量商业银行面临的经营风险。其中，不良资产率和不良贷款率衡量商业银行的资产质量，商业银行每发生一笔不良贷款，就会侵蚀掉几十倍的贷款额度所带来的收益，对其利润影响极大。贷款</w:t>
      </w:r>
      <w:proofErr w:type="gramStart"/>
      <w:r w:rsidRPr="0081336F">
        <w:rPr>
          <w:rFonts w:hint="eastAsia"/>
        </w:rPr>
        <w:t>拨备率和</w:t>
      </w:r>
      <w:proofErr w:type="gramEnd"/>
      <w:r w:rsidRPr="0081336F">
        <w:rPr>
          <w:rFonts w:hint="eastAsia"/>
        </w:rPr>
        <w:t>拨备覆盖率衡量商业银行对于贷款风险的覆盖程度。拨备计提幅度对商业银行的利润影响较大，计提幅度较大的商业银行，将会在利润表中形成较高的资产减值损失，从而降低净利润表现。对商业银行进行评估，应重点关注其拨备计提幅度是否与贷款质量相匹配，一般来说，贷款质量越低，商业银行的拨备覆盖程度应越高。资本充足率对商业银行的规模扩张形成约束，避免商业银行的发展脱离风险控制。对商业银行进行评估，应关注其资本充足率是否符合监管需求，并合理采取发行资本工具及降低分红水平等方式对资本金形成长期有效的补充机制。对于风险监管指标不符合监管要求的商业银行，评估机构应在评估报告中披露相关风险。</w:t>
      </w:r>
    </w:p>
    <w:p w14:paraId="31BCBE06" w14:textId="77777777" w:rsidR="0081336F" w:rsidRPr="0081336F" w:rsidRDefault="0081336F" w:rsidP="0081336F">
      <w:pPr>
        <w:pStyle w:val="13"/>
      </w:pPr>
      <w:r w:rsidRPr="0081336F">
        <w:rPr>
          <w:rFonts w:hint="eastAsia"/>
        </w:rPr>
        <w:t>盈利能力指标衡量商业银行利用资产创造收益的能力。其中，成本收入比是商业银行单位收入所对应的成本，体现其成本控制能力；资产利润率和资本利润率主要衡量商业银行创造利润的能力。合理预测商业银行的盈利能力，是合理评估商业银行价值的重要前提。商业银行的盈利来源主要是净利息收入和中间业务收入。净利息收入受到利率政策、商业银行经营模式、其他投资渠道等因素的影响。举例来说，在目前互联网金融的冲击之下，商业银行的吸储成本会有一定幅度上升，从而影响其收益水平。中间业务收入不占用资本金，且商业银行的网点优势利于其开展各种形式的中间业务，所以近年来中间业务越发受到商业银行重视，中间业务收入在商业银行营业收入中的占比也逐渐提升。鉴于我国商业银行中间业务水平与国际商业银行相比还有</w:t>
      </w:r>
      <w:r w:rsidRPr="0081336F">
        <w:rPr>
          <w:rFonts w:hint="eastAsia"/>
        </w:rPr>
        <w:lastRenderedPageBreak/>
        <w:t>一定差距，可以预期中间业务在未来较长时间内还会继续成为商业银行的发展重点，资产评估师应将该趋势合理体现在假设数据之中。</w:t>
      </w:r>
    </w:p>
    <w:p w14:paraId="30D2BFF3" w14:textId="77777777" w:rsidR="0081336F" w:rsidRPr="0081336F" w:rsidRDefault="0081336F" w:rsidP="0081336F">
      <w:pPr>
        <w:pStyle w:val="13"/>
      </w:pPr>
      <w:r w:rsidRPr="0081336F">
        <w:rPr>
          <w:rFonts w:hint="eastAsia"/>
        </w:rPr>
        <w:t>评估机构还应注意，商业银行的流动性指标、风险监管指标和盈利能力指标是相互关联的，某项经营行为的变动，可能会同时影响多项指标。例如，商业银行在发放贷款时，提升了高风险贷款所占比例，这项经营行为会直接导致贷款质量下降，进一步带来的影响可能包括不良贷款率上升及资本充足率下降等。以收益法对商业银行进行评估，应将</w:t>
      </w:r>
      <w:proofErr w:type="gramStart"/>
      <w:r w:rsidRPr="0081336F">
        <w:rPr>
          <w:rFonts w:hint="eastAsia"/>
        </w:rPr>
        <w:t>某因素</w:t>
      </w:r>
      <w:proofErr w:type="gramEnd"/>
      <w:r w:rsidRPr="0081336F">
        <w:rPr>
          <w:rFonts w:hint="eastAsia"/>
        </w:rPr>
        <w:t>变动造成的影响具体落实到各项相关财务假设数据中，从而体现在商业银行的权益价值之中。</w:t>
      </w:r>
    </w:p>
    <w:p w14:paraId="201AA9F7" w14:textId="77777777" w:rsidR="0081336F" w:rsidRPr="0081336F" w:rsidRDefault="0081336F" w:rsidP="00AF7342">
      <w:pPr>
        <w:pStyle w:val="a9"/>
        <w:spacing w:before="62" w:after="62"/>
      </w:pPr>
      <w:r w:rsidRPr="0081336F">
        <w:rPr>
          <w:rFonts w:hint="eastAsia"/>
        </w:rPr>
        <w:t>第三章 证券公司</w:t>
      </w:r>
    </w:p>
    <w:p w14:paraId="39F736A8" w14:textId="77777777" w:rsidR="0081336F" w:rsidRPr="0081336F" w:rsidRDefault="0081336F" w:rsidP="0081336F">
      <w:pPr>
        <w:pStyle w:val="13"/>
        <w:ind w:firstLine="482"/>
        <w:rPr>
          <w:b/>
        </w:rPr>
      </w:pPr>
      <w:r w:rsidRPr="0081336F">
        <w:rPr>
          <w:rFonts w:hint="eastAsia"/>
          <w:b/>
        </w:rPr>
        <w:t>一、监管机构</w:t>
      </w:r>
    </w:p>
    <w:p w14:paraId="5BF8A146" w14:textId="77777777" w:rsidR="0081336F" w:rsidRPr="0081336F" w:rsidRDefault="0081336F" w:rsidP="0081336F">
      <w:pPr>
        <w:pStyle w:val="13"/>
      </w:pPr>
      <w:r w:rsidRPr="0081336F">
        <w:rPr>
          <w:rFonts w:hint="eastAsia"/>
        </w:rPr>
        <w:t>证券公司开展各项经营业务，主要受中国证监会、中国证券业协会及证券交易所监管。</w:t>
      </w:r>
    </w:p>
    <w:p w14:paraId="6C4FD6E4" w14:textId="77777777" w:rsidR="0081336F" w:rsidRPr="0081336F" w:rsidRDefault="0081336F" w:rsidP="0081336F">
      <w:pPr>
        <w:pStyle w:val="13"/>
        <w:ind w:firstLine="482"/>
        <w:rPr>
          <w:b/>
        </w:rPr>
      </w:pPr>
      <w:r w:rsidRPr="0081336F">
        <w:rPr>
          <w:rFonts w:hint="eastAsia"/>
          <w:b/>
        </w:rPr>
        <w:t>二、证券公司分类监管</w:t>
      </w:r>
    </w:p>
    <w:p w14:paraId="4DF3C836" w14:textId="77777777" w:rsidR="0081336F" w:rsidRPr="0081336F" w:rsidRDefault="0081336F" w:rsidP="0081336F">
      <w:pPr>
        <w:pStyle w:val="13"/>
        <w:ind w:firstLine="482"/>
        <w:rPr>
          <w:b/>
        </w:rPr>
      </w:pPr>
      <w:r w:rsidRPr="0081336F">
        <w:rPr>
          <w:rFonts w:hint="eastAsia"/>
          <w:b/>
        </w:rPr>
        <w:t>（一）监管分类</w:t>
      </w:r>
    </w:p>
    <w:p w14:paraId="1C54A24D" w14:textId="77777777" w:rsidR="0081336F" w:rsidRPr="0081336F" w:rsidRDefault="0081336F" w:rsidP="0081336F">
      <w:pPr>
        <w:pStyle w:val="13"/>
      </w:pPr>
      <w:r w:rsidRPr="0081336F">
        <w:rPr>
          <w:rFonts w:hint="eastAsia"/>
        </w:rPr>
        <w:t>中国证监会以证券公司风险管理能力为基础，结合公司市场竞争力和持续合</w:t>
      </w:r>
      <w:proofErr w:type="gramStart"/>
      <w:r w:rsidRPr="0081336F">
        <w:rPr>
          <w:rFonts w:hint="eastAsia"/>
        </w:rPr>
        <w:t>规</w:t>
      </w:r>
      <w:proofErr w:type="gramEnd"/>
      <w:r w:rsidRPr="0081336F">
        <w:rPr>
          <w:rFonts w:hint="eastAsia"/>
        </w:rPr>
        <w:t>状况，对证券公司进行评分，并根据评分的高低将证券公司划分为A（AAA、AA、A）、B（BBB、BB、B）、C（CCC、CC、C）、D、E等5大类11个级别。其中，证券公司风险管理能力主要通过资本充足、公司治理与合</w:t>
      </w:r>
      <w:proofErr w:type="gramStart"/>
      <w:r w:rsidRPr="0081336F">
        <w:rPr>
          <w:rFonts w:hint="eastAsia"/>
        </w:rPr>
        <w:t>规</w:t>
      </w:r>
      <w:proofErr w:type="gramEnd"/>
      <w:r w:rsidRPr="0081336F">
        <w:rPr>
          <w:rFonts w:hint="eastAsia"/>
        </w:rPr>
        <w:t>管理、动态风险监控、信息系统安全、客户权益保护、信息披露等6类指标进行评价。</w:t>
      </w:r>
    </w:p>
    <w:p w14:paraId="75E31FEA" w14:textId="77777777" w:rsidR="0081336F" w:rsidRPr="0081336F" w:rsidRDefault="0081336F" w:rsidP="0081336F">
      <w:pPr>
        <w:pStyle w:val="13"/>
        <w:ind w:firstLine="482"/>
        <w:rPr>
          <w:b/>
        </w:rPr>
      </w:pPr>
      <w:r w:rsidRPr="0081336F">
        <w:rPr>
          <w:rFonts w:hint="eastAsia"/>
          <w:b/>
        </w:rPr>
        <w:t>（二）分类结果使用</w:t>
      </w:r>
    </w:p>
    <w:p w14:paraId="254C39D6" w14:textId="77777777" w:rsidR="0081336F" w:rsidRPr="0081336F" w:rsidRDefault="0081336F" w:rsidP="0081336F">
      <w:pPr>
        <w:pStyle w:val="13"/>
      </w:pPr>
      <w:r w:rsidRPr="0081336F">
        <w:rPr>
          <w:rFonts w:hint="eastAsia"/>
        </w:rPr>
        <w:t>处于不同分类的证券公司，适用不同的监管措施，主要包括：</w:t>
      </w:r>
    </w:p>
    <w:p w14:paraId="78539AE2" w14:textId="77777777" w:rsidR="0081336F" w:rsidRPr="0081336F" w:rsidRDefault="0081336F" w:rsidP="0081336F">
      <w:pPr>
        <w:pStyle w:val="13"/>
      </w:pPr>
      <w:r w:rsidRPr="0081336F">
        <w:rPr>
          <w:rFonts w:hint="eastAsia"/>
        </w:rPr>
        <w:t>1.采用不同的风险控制指标标准和风险资本准备计算比例；</w:t>
      </w:r>
    </w:p>
    <w:p w14:paraId="3A69CFA1" w14:textId="77777777" w:rsidR="0081336F" w:rsidRPr="0081336F" w:rsidRDefault="0081336F" w:rsidP="0081336F">
      <w:pPr>
        <w:pStyle w:val="13"/>
      </w:pPr>
      <w:r w:rsidRPr="0081336F">
        <w:rPr>
          <w:rFonts w:hint="eastAsia"/>
        </w:rPr>
        <w:t>2.将分类结果作为证券公司申请增加业务种类、新设营业网点、发行上市等事项的审慎性条件；</w:t>
      </w:r>
    </w:p>
    <w:p w14:paraId="084F3353" w14:textId="77777777" w:rsidR="0081336F" w:rsidRPr="0081336F" w:rsidRDefault="0081336F" w:rsidP="0081336F">
      <w:pPr>
        <w:pStyle w:val="13"/>
      </w:pPr>
      <w:r w:rsidRPr="0081336F">
        <w:rPr>
          <w:rFonts w:hint="eastAsia"/>
        </w:rPr>
        <w:t>3.将分类结果作为确定新业务、新产品试点范围和推广顺序的依据；</w:t>
      </w:r>
    </w:p>
    <w:p w14:paraId="6170B6D7" w14:textId="77777777" w:rsidR="0081336F" w:rsidRPr="0081336F" w:rsidRDefault="0081336F" w:rsidP="0081336F">
      <w:pPr>
        <w:pStyle w:val="13"/>
      </w:pPr>
      <w:r w:rsidRPr="0081336F">
        <w:rPr>
          <w:rFonts w:hint="eastAsia"/>
        </w:rPr>
        <w:t>4.规定不同的证券投资者保护基金具体比例。</w:t>
      </w:r>
    </w:p>
    <w:p w14:paraId="3C233F15" w14:textId="77777777" w:rsidR="0081336F" w:rsidRPr="0081336F" w:rsidRDefault="0081336F" w:rsidP="0081336F">
      <w:pPr>
        <w:pStyle w:val="13"/>
      </w:pPr>
      <w:r w:rsidRPr="0081336F">
        <w:rPr>
          <w:rFonts w:hint="eastAsia"/>
        </w:rPr>
        <w:t>根据上述规定，评级较高的公司，由于经营状况和风险控制较好，所适用的风险监管要求更低，面临的业务发展机会更广。</w:t>
      </w:r>
    </w:p>
    <w:p w14:paraId="2F37CE77" w14:textId="77777777" w:rsidR="0081336F" w:rsidRPr="0081336F" w:rsidRDefault="0081336F" w:rsidP="0081336F">
      <w:pPr>
        <w:pStyle w:val="13"/>
        <w:ind w:firstLine="482"/>
        <w:rPr>
          <w:b/>
        </w:rPr>
      </w:pPr>
      <w:r w:rsidRPr="0081336F">
        <w:rPr>
          <w:rFonts w:hint="eastAsia"/>
          <w:b/>
        </w:rPr>
        <w:t>三、监管指标</w:t>
      </w:r>
    </w:p>
    <w:p w14:paraId="0AF869CD" w14:textId="77777777" w:rsidR="0081336F" w:rsidRPr="0081336F" w:rsidRDefault="0081336F" w:rsidP="0081336F">
      <w:pPr>
        <w:pStyle w:val="13"/>
      </w:pPr>
      <w:r w:rsidRPr="0081336F">
        <w:rPr>
          <w:rFonts w:hint="eastAsia"/>
        </w:rPr>
        <w:t>对证券公司进行评估，需要关注的金融监管指标主要包括净资本相关指标和流动性风险监管指标。净资本相关监管指标主要包括净资本/各项风险资本准备、净资本/净资产、净资本/负债、净资产/负债；流动性风险监管指标包括流动性覆盖率和</w:t>
      </w:r>
      <w:proofErr w:type="gramStart"/>
      <w:r w:rsidRPr="0081336F">
        <w:rPr>
          <w:rFonts w:hint="eastAsia"/>
        </w:rPr>
        <w:t>净稳定</w:t>
      </w:r>
      <w:proofErr w:type="gramEnd"/>
      <w:r w:rsidRPr="0081336F">
        <w:rPr>
          <w:rFonts w:hint="eastAsia"/>
        </w:rPr>
        <w:t>资金率。</w:t>
      </w:r>
    </w:p>
    <w:p w14:paraId="76FF8448" w14:textId="77777777" w:rsidR="0081336F" w:rsidRPr="0081336F" w:rsidRDefault="0081336F" w:rsidP="0081336F">
      <w:pPr>
        <w:pStyle w:val="13"/>
        <w:ind w:firstLine="482"/>
        <w:rPr>
          <w:b/>
        </w:rPr>
      </w:pPr>
      <w:r w:rsidRPr="0081336F">
        <w:rPr>
          <w:rFonts w:hint="eastAsia"/>
          <w:b/>
        </w:rPr>
        <w:t>（一）净资本</w:t>
      </w:r>
    </w:p>
    <w:p w14:paraId="4382C1CE" w14:textId="77777777" w:rsidR="0081336F" w:rsidRPr="0081336F" w:rsidRDefault="0081336F" w:rsidP="0081336F">
      <w:pPr>
        <w:pStyle w:val="13"/>
      </w:pPr>
      <w:r w:rsidRPr="0081336F">
        <w:rPr>
          <w:rFonts w:hint="eastAsia"/>
        </w:rPr>
        <w:lastRenderedPageBreak/>
        <w:t>净资本=净资产-金融资产的风险调整合计-衍生金融资产的风险调整合计-其他资产项目的风险调整合计-或有负债的风险调整合计-/+中国证监会认定或核准的其他调整项目</w:t>
      </w:r>
    </w:p>
    <w:p w14:paraId="0A51DB39" w14:textId="77777777" w:rsidR="0081336F" w:rsidRPr="0081336F" w:rsidRDefault="0081336F" w:rsidP="0081336F">
      <w:pPr>
        <w:pStyle w:val="13"/>
      </w:pPr>
      <w:r w:rsidRPr="0081336F">
        <w:rPr>
          <w:rFonts w:hint="eastAsia"/>
        </w:rPr>
        <w:t>证券公司的净资本是在净资产的基础上，对资产负债等项目和有关业务进行风险调整后得出的综合性风险控制指标，是证券公司风险控制指标体系的核心。净资本的具体调整项及扣减比例可参见《关于调整证券公司净资本计算标准的规定》（证〔2012〕37号）。</w:t>
      </w:r>
    </w:p>
    <w:p w14:paraId="0153D5F4" w14:textId="77777777" w:rsidR="0081336F" w:rsidRPr="0081336F" w:rsidRDefault="0081336F" w:rsidP="0081336F">
      <w:pPr>
        <w:pStyle w:val="13"/>
      </w:pPr>
      <w:r w:rsidRPr="0081336F">
        <w:rPr>
          <w:rFonts w:hint="eastAsia"/>
        </w:rPr>
        <w:t>证券公司开展各项经营业务，净资本应符合下列要求：</w:t>
      </w:r>
    </w:p>
    <w:p w14:paraId="0843A69E" w14:textId="77777777" w:rsidR="0081336F" w:rsidRPr="0081336F" w:rsidRDefault="0081336F" w:rsidP="0081336F">
      <w:pPr>
        <w:pStyle w:val="13"/>
      </w:pPr>
      <w:r w:rsidRPr="0081336F">
        <w:rPr>
          <w:rFonts w:hint="eastAsia"/>
        </w:rPr>
        <w:t>1.证券公司经营证券经纪业务的，其净资本不得低于人民币2,000万元；</w:t>
      </w:r>
    </w:p>
    <w:p w14:paraId="265BBEFD" w14:textId="77777777" w:rsidR="0081336F" w:rsidRPr="0081336F" w:rsidRDefault="0081336F" w:rsidP="0081336F">
      <w:pPr>
        <w:pStyle w:val="13"/>
      </w:pPr>
      <w:r w:rsidRPr="0081336F">
        <w:rPr>
          <w:rFonts w:hint="eastAsia"/>
        </w:rPr>
        <w:t>2.证券公司经营证券承销与保荐、证券自营、证券资产管理、其他证券业务等业务之一的，其净资本不得低于人民币5,000万元；</w:t>
      </w:r>
    </w:p>
    <w:p w14:paraId="28BAA8BF" w14:textId="77777777" w:rsidR="0081336F" w:rsidRPr="0081336F" w:rsidRDefault="0081336F" w:rsidP="0081336F">
      <w:pPr>
        <w:pStyle w:val="13"/>
      </w:pPr>
      <w:r w:rsidRPr="0081336F">
        <w:rPr>
          <w:rFonts w:hint="eastAsia"/>
        </w:rPr>
        <w:t>3.证券公司经营证券经纪业务，同时经营证券承销与保荐、证券自营、证券资产管理、其他证券业务等业务之一的，其净资本不得低于人民币1亿元；</w:t>
      </w:r>
    </w:p>
    <w:p w14:paraId="1BE86564" w14:textId="77777777" w:rsidR="0081336F" w:rsidRPr="0081336F" w:rsidRDefault="0081336F" w:rsidP="0081336F">
      <w:pPr>
        <w:pStyle w:val="13"/>
      </w:pPr>
      <w:r w:rsidRPr="0081336F">
        <w:rPr>
          <w:rFonts w:hint="eastAsia"/>
        </w:rPr>
        <w:t>4.证券公司经营证券承销与保荐、证券自营、证券资产管理、其他证券业务中两项及两项以上的，其净资本不得低于人民币2亿元。</w:t>
      </w:r>
    </w:p>
    <w:p w14:paraId="3D867FCA" w14:textId="77777777" w:rsidR="0081336F" w:rsidRPr="0081336F" w:rsidRDefault="0081336F" w:rsidP="0081336F">
      <w:pPr>
        <w:pStyle w:val="13"/>
      </w:pPr>
      <w:r w:rsidRPr="0081336F">
        <w:rPr>
          <w:rFonts w:hint="eastAsia"/>
        </w:rPr>
        <w:t>证券公司开展自营业务，净资本应符合下列要求：</w:t>
      </w:r>
    </w:p>
    <w:p w14:paraId="6BE12B07" w14:textId="77777777" w:rsidR="0081336F" w:rsidRPr="0081336F" w:rsidRDefault="0081336F" w:rsidP="0081336F">
      <w:pPr>
        <w:pStyle w:val="13"/>
      </w:pPr>
      <w:r w:rsidRPr="0081336F">
        <w:rPr>
          <w:rFonts w:hint="eastAsia"/>
        </w:rPr>
        <w:t>1.自营权益类证券及证券衍生品的合计额不得超过净资本的100%；</w:t>
      </w:r>
    </w:p>
    <w:p w14:paraId="383CAE5E" w14:textId="77777777" w:rsidR="0081336F" w:rsidRPr="0081336F" w:rsidRDefault="0081336F" w:rsidP="0081336F">
      <w:pPr>
        <w:pStyle w:val="13"/>
      </w:pPr>
      <w:r w:rsidRPr="0081336F">
        <w:rPr>
          <w:rFonts w:hint="eastAsia"/>
        </w:rPr>
        <w:t>2.自营固定收益类证券的合计额不得超过净资本的500%；</w:t>
      </w:r>
    </w:p>
    <w:p w14:paraId="0AFA2BB0" w14:textId="77777777" w:rsidR="0081336F" w:rsidRPr="0081336F" w:rsidRDefault="0081336F" w:rsidP="0081336F">
      <w:pPr>
        <w:pStyle w:val="13"/>
      </w:pPr>
      <w:r w:rsidRPr="0081336F">
        <w:rPr>
          <w:rFonts w:hint="eastAsia"/>
        </w:rPr>
        <w:t>3.持有一种权益类证券的成本不得超过净资本的30%；</w:t>
      </w:r>
    </w:p>
    <w:p w14:paraId="3A6AA2C1" w14:textId="77777777" w:rsidR="0081336F" w:rsidRPr="0081336F" w:rsidRDefault="0081336F" w:rsidP="0081336F">
      <w:pPr>
        <w:pStyle w:val="13"/>
      </w:pPr>
      <w:r w:rsidRPr="0081336F">
        <w:rPr>
          <w:rFonts w:hint="eastAsia"/>
        </w:rPr>
        <w:t>4.持有一种权益类证券的市值与其总市值的比例不得超过5%，但因包销导致的情形和中国证监会另有规定的除外。</w:t>
      </w:r>
    </w:p>
    <w:p w14:paraId="27F29936" w14:textId="77777777" w:rsidR="0081336F" w:rsidRPr="0081336F" w:rsidRDefault="0081336F" w:rsidP="0081336F">
      <w:pPr>
        <w:pStyle w:val="13"/>
        <w:ind w:firstLine="482"/>
        <w:rPr>
          <w:b/>
        </w:rPr>
      </w:pPr>
      <w:r w:rsidRPr="0081336F">
        <w:rPr>
          <w:rFonts w:hint="eastAsia"/>
          <w:b/>
        </w:rPr>
        <w:t>（二）风险资本准备</w:t>
      </w:r>
    </w:p>
    <w:p w14:paraId="20EC70F4" w14:textId="77777777" w:rsidR="0081336F" w:rsidRPr="0081336F" w:rsidRDefault="0081336F" w:rsidP="0081336F">
      <w:pPr>
        <w:pStyle w:val="13"/>
        <w:rPr>
          <w:bCs/>
        </w:rPr>
      </w:pPr>
      <w:r w:rsidRPr="0081336F">
        <w:rPr>
          <w:rFonts w:hint="eastAsia"/>
          <w:bCs/>
        </w:rPr>
        <w:t>证券公司开展各项业务、设立分支机构等经营行为存在导致净资本产生损失的风险，应当按一定标准计算风险资本准备，并确保各项风险资本准备有对应的净资本支撑。</w:t>
      </w:r>
    </w:p>
    <w:p w14:paraId="29B60D4B" w14:textId="77777777" w:rsidR="0081336F" w:rsidRPr="0081336F" w:rsidRDefault="0081336F" w:rsidP="0081336F">
      <w:pPr>
        <w:pStyle w:val="13"/>
        <w:rPr>
          <w:bCs/>
        </w:rPr>
      </w:pPr>
      <w:r w:rsidRPr="0081336F">
        <w:rPr>
          <w:rFonts w:hint="eastAsia"/>
          <w:bCs/>
        </w:rPr>
        <w:t>证券公司开展经营业务，或设立分支机构的，需要按照证</w:t>
      </w:r>
    </w:p>
    <w:p w14:paraId="4828C91E" w14:textId="77777777" w:rsidR="0081336F" w:rsidRPr="0081336F" w:rsidRDefault="0081336F" w:rsidP="0081336F">
      <w:pPr>
        <w:pStyle w:val="13"/>
        <w:rPr>
          <w:bCs/>
        </w:rPr>
      </w:pPr>
      <w:r w:rsidRPr="0081336F">
        <w:rPr>
          <w:rFonts w:hint="eastAsia"/>
          <w:bCs/>
        </w:rPr>
        <w:t>监会的规定计提风险资本准备，具体如下表所示：</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684"/>
      </w:tblGrid>
      <w:tr w:rsidR="0081336F" w:rsidRPr="0081336F" w14:paraId="78F3592B" w14:textId="77777777" w:rsidTr="0081336F">
        <w:trPr>
          <w:tblHeader/>
        </w:trPr>
        <w:tc>
          <w:tcPr>
            <w:tcW w:w="1838" w:type="dxa"/>
            <w:vAlign w:val="center"/>
          </w:tcPr>
          <w:p w14:paraId="5FB859B1"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业务类型</w:t>
            </w:r>
          </w:p>
        </w:tc>
        <w:tc>
          <w:tcPr>
            <w:tcW w:w="6684" w:type="dxa"/>
            <w:vAlign w:val="center"/>
          </w:tcPr>
          <w:p w14:paraId="3E55B451"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风险资本准备计提要求</w:t>
            </w:r>
          </w:p>
        </w:tc>
      </w:tr>
      <w:tr w:rsidR="0081336F" w:rsidRPr="0081336F" w14:paraId="4DCB2BC5" w14:textId="77777777" w:rsidTr="0081336F">
        <w:tc>
          <w:tcPr>
            <w:tcW w:w="1838" w:type="dxa"/>
            <w:vAlign w:val="center"/>
          </w:tcPr>
          <w:p w14:paraId="2AB0CD58" w14:textId="77777777" w:rsidR="0081336F" w:rsidRPr="0081336F" w:rsidRDefault="0081336F" w:rsidP="0081336F">
            <w:pPr>
              <w:pStyle w:val="13"/>
              <w:ind w:firstLineChars="0" w:firstLine="0"/>
              <w:rPr>
                <w:sz w:val="21"/>
                <w:szCs w:val="21"/>
              </w:rPr>
            </w:pPr>
            <w:r w:rsidRPr="0081336F">
              <w:rPr>
                <w:rFonts w:hint="eastAsia"/>
                <w:sz w:val="21"/>
                <w:szCs w:val="21"/>
              </w:rPr>
              <w:t>1.证券经纪业务</w:t>
            </w:r>
          </w:p>
        </w:tc>
        <w:tc>
          <w:tcPr>
            <w:tcW w:w="6684" w:type="dxa"/>
            <w:vAlign w:val="center"/>
          </w:tcPr>
          <w:p w14:paraId="5BC27339"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托管的客户交易结算资金总额的2%</w:t>
            </w:r>
          </w:p>
        </w:tc>
      </w:tr>
      <w:tr w:rsidR="0081336F" w:rsidRPr="0081336F" w14:paraId="674CB345" w14:textId="77777777" w:rsidTr="0081336F">
        <w:tc>
          <w:tcPr>
            <w:tcW w:w="1838" w:type="dxa"/>
            <w:vAlign w:val="center"/>
          </w:tcPr>
          <w:p w14:paraId="065B0B26" w14:textId="77777777" w:rsidR="0081336F" w:rsidRPr="0081336F" w:rsidRDefault="0081336F" w:rsidP="0081336F">
            <w:pPr>
              <w:pStyle w:val="13"/>
              <w:ind w:firstLineChars="0" w:firstLine="0"/>
              <w:rPr>
                <w:sz w:val="21"/>
                <w:szCs w:val="21"/>
              </w:rPr>
            </w:pPr>
            <w:r w:rsidRPr="0081336F">
              <w:rPr>
                <w:rFonts w:hint="eastAsia"/>
                <w:sz w:val="21"/>
                <w:szCs w:val="21"/>
              </w:rPr>
              <w:t>2.证券自营业务</w:t>
            </w:r>
          </w:p>
        </w:tc>
        <w:tc>
          <w:tcPr>
            <w:tcW w:w="6684" w:type="dxa"/>
            <w:vAlign w:val="center"/>
          </w:tcPr>
          <w:p w14:paraId="6DC75777"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对未进行风险对冲的证券衍生品、权益类证券和固定收益类证券分别按投资规模的20%、15%、8%</w:t>
            </w:r>
          </w:p>
          <w:p w14:paraId="137365F2"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对已进行风险对冲的证券衍生品、权益类证券和固定收益类证券按投资规模的5%</w:t>
            </w:r>
          </w:p>
          <w:p w14:paraId="4D1AB62D"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股指期货投资规模以股指期货合约价值总额的15%，利率互换投资</w:t>
            </w:r>
            <w:r w:rsidRPr="0081336F">
              <w:rPr>
                <w:rFonts w:hint="eastAsia"/>
                <w:sz w:val="21"/>
                <w:szCs w:val="21"/>
              </w:rPr>
              <w:lastRenderedPageBreak/>
              <w:t>规模以利率互换合约名义本金总额的3%</w:t>
            </w:r>
          </w:p>
          <w:p w14:paraId="14CBBE35"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证券公司违反规定超比例自营的，在整改完成前应当将超比例部分按投资成本的100%计算风险资本准备</w:t>
            </w:r>
          </w:p>
        </w:tc>
      </w:tr>
      <w:tr w:rsidR="0081336F" w:rsidRPr="0081336F" w14:paraId="342B605E" w14:textId="77777777" w:rsidTr="0081336F">
        <w:tc>
          <w:tcPr>
            <w:tcW w:w="1838" w:type="dxa"/>
            <w:vAlign w:val="center"/>
          </w:tcPr>
          <w:p w14:paraId="04864ADE" w14:textId="77777777" w:rsidR="0081336F" w:rsidRPr="0081336F" w:rsidRDefault="0081336F" w:rsidP="0081336F">
            <w:pPr>
              <w:pStyle w:val="13"/>
              <w:ind w:firstLineChars="0" w:firstLine="0"/>
              <w:rPr>
                <w:sz w:val="21"/>
                <w:szCs w:val="21"/>
              </w:rPr>
            </w:pPr>
            <w:r w:rsidRPr="0081336F">
              <w:rPr>
                <w:rFonts w:hint="eastAsia"/>
                <w:sz w:val="21"/>
                <w:szCs w:val="21"/>
              </w:rPr>
              <w:lastRenderedPageBreak/>
              <w:t>3.证券承销业务</w:t>
            </w:r>
          </w:p>
        </w:tc>
        <w:tc>
          <w:tcPr>
            <w:tcW w:w="6684" w:type="dxa"/>
            <w:vAlign w:val="center"/>
          </w:tcPr>
          <w:p w14:paraId="2EF2D03C"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按包销再融资项目股票、IPO项目股票、公司债券、政府债券金额的30%、15%、8%、4%</w:t>
            </w:r>
          </w:p>
        </w:tc>
      </w:tr>
      <w:tr w:rsidR="0081336F" w:rsidRPr="0081336F" w14:paraId="136C361E" w14:textId="77777777" w:rsidTr="0081336F">
        <w:tc>
          <w:tcPr>
            <w:tcW w:w="1838" w:type="dxa"/>
            <w:vAlign w:val="center"/>
          </w:tcPr>
          <w:p w14:paraId="7F1CD66E" w14:textId="77777777" w:rsidR="0081336F" w:rsidRPr="0081336F" w:rsidRDefault="0081336F" w:rsidP="0081336F">
            <w:pPr>
              <w:pStyle w:val="13"/>
              <w:ind w:firstLineChars="0" w:firstLine="0"/>
              <w:rPr>
                <w:sz w:val="21"/>
                <w:szCs w:val="21"/>
              </w:rPr>
            </w:pPr>
            <w:r w:rsidRPr="0081336F">
              <w:rPr>
                <w:rFonts w:hint="eastAsia"/>
                <w:sz w:val="21"/>
                <w:szCs w:val="21"/>
              </w:rPr>
              <w:t>4.资产管理业务</w:t>
            </w:r>
          </w:p>
        </w:tc>
        <w:tc>
          <w:tcPr>
            <w:tcW w:w="6684" w:type="dxa"/>
            <w:vAlign w:val="center"/>
          </w:tcPr>
          <w:p w14:paraId="105B2377"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专项、集合、限额特定、定向资产管理业务规模的2%、2%、1%、1%</w:t>
            </w:r>
          </w:p>
        </w:tc>
      </w:tr>
      <w:tr w:rsidR="0081336F" w:rsidRPr="0081336F" w14:paraId="2116C82F" w14:textId="77777777" w:rsidTr="0081336F">
        <w:tc>
          <w:tcPr>
            <w:tcW w:w="1838" w:type="dxa"/>
            <w:vAlign w:val="center"/>
          </w:tcPr>
          <w:p w14:paraId="3964E4FB" w14:textId="77777777" w:rsidR="0081336F" w:rsidRPr="0081336F" w:rsidRDefault="0081336F" w:rsidP="0081336F">
            <w:pPr>
              <w:pStyle w:val="13"/>
              <w:ind w:firstLineChars="0" w:firstLine="0"/>
              <w:rPr>
                <w:sz w:val="21"/>
                <w:szCs w:val="21"/>
              </w:rPr>
            </w:pPr>
            <w:r w:rsidRPr="0081336F">
              <w:rPr>
                <w:rFonts w:hint="eastAsia"/>
                <w:sz w:val="21"/>
                <w:szCs w:val="21"/>
              </w:rPr>
              <w:t>5.融资融券业务</w:t>
            </w:r>
          </w:p>
        </w:tc>
        <w:tc>
          <w:tcPr>
            <w:tcW w:w="6684" w:type="dxa"/>
            <w:vAlign w:val="center"/>
          </w:tcPr>
          <w:p w14:paraId="6EB140FB"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客户融资业务规模的5%、融券业务规模的10%</w:t>
            </w:r>
          </w:p>
        </w:tc>
      </w:tr>
      <w:tr w:rsidR="0081336F" w:rsidRPr="0081336F" w14:paraId="4FD13D27" w14:textId="77777777" w:rsidTr="0081336F">
        <w:tc>
          <w:tcPr>
            <w:tcW w:w="1838" w:type="dxa"/>
            <w:vAlign w:val="center"/>
          </w:tcPr>
          <w:p w14:paraId="020A753D" w14:textId="77777777" w:rsidR="0081336F" w:rsidRPr="0081336F" w:rsidRDefault="0081336F" w:rsidP="0081336F">
            <w:pPr>
              <w:pStyle w:val="13"/>
              <w:ind w:firstLineChars="0" w:firstLine="0"/>
              <w:rPr>
                <w:sz w:val="21"/>
                <w:szCs w:val="21"/>
              </w:rPr>
            </w:pPr>
            <w:r w:rsidRPr="0081336F">
              <w:rPr>
                <w:rFonts w:hint="eastAsia"/>
                <w:sz w:val="21"/>
                <w:szCs w:val="21"/>
              </w:rPr>
              <w:t>6.设立分支机构</w:t>
            </w:r>
          </w:p>
        </w:tc>
        <w:tc>
          <w:tcPr>
            <w:tcW w:w="6684" w:type="dxa"/>
            <w:vAlign w:val="center"/>
          </w:tcPr>
          <w:p w14:paraId="6640678B"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对分公司、证券营业部，分别按每家2000万元、300万元计算风险资本准备</w:t>
            </w:r>
          </w:p>
        </w:tc>
      </w:tr>
      <w:tr w:rsidR="0081336F" w:rsidRPr="0081336F" w14:paraId="11DEA7A4" w14:textId="77777777" w:rsidTr="0081336F">
        <w:tc>
          <w:tcPr>
            <w:tcW w:w="1838" w:type="dxa"/>
            <w:vAlign w:val="center"/>
          </w:tcPr>
          <w:p w14:paraId="2923E31A" w14:textId="77777777" w:rsidR="0081336F" w:rsidRPr="0081336F" w:rsidRDefault="0081336F" w:rsidP="0081336F">
            <w:pPr>
              <w:pStyle w:val="13"/>
              <w:ind w:firstLineChars="0" w:firstLine="0"/>
              <w:rPr>
                <w:sz w:val="21"/>
                <w:szCs w:val="21"/>
              </w:rPr>
            </w:pPr>
            <w:r w:rsidRPr="0081336F">
              <w:rPr>
                <w:rFonts w:hint="eastAsia"/>
                <w:sz w:val="21"/>
                <w:szCs w:val="21"/>
              </w:rPr>
              <w:t>7.营运风险资本准备</w:t>
            </w:r>
          </w:p>
        </w:tc>
        <w:tc>
          <w:tcPr>
            <w:tcW w:w="6684" w:type="dxa"/>
            <w:vAlign w:val="center"/>
          </w:tcPr>
          <w:p w14:paraId="60CC1F6E" w14:textId="77777777" w:rsidR="0081336F" w:rsidRPr="0081336F" w:rsidRDefault="0081336F" w:rsidP="0081336F">
            <w:pPr>
              <w:pStyle w:val="13"/>
              <w:numPr>
                <w:ilvl w:val="0"/>
                <w:numId w:val="1"/>
              </w:numPr>
              <w:ind w:left="0" w:firstLineChars="0" w:firstLine="0"/>
              <w:rPr>
                <w:sz w:val="21"/>
                <w:szCs w:val="21"/>
              </w:rPr>
            </w:pPr>
            <w:r w:rsidRPr="0081336F">
              <w:rPr>
                <w:rFonts w:hint="eastAsia"/>
                <w:sz w:val="21"/>
                <w:szCs w:val="21"/>
              </w:rPr>
              <w:t>按上一年营业费用总额的10%计算营运风险资本准备</w:t>
            </w:r>
          </w:p>
        </w:tc>
      </w:tr>
    </w:tbl>
    <w:p w14:paraId="25D1E88A" w14:textId="77777777" w:rsidR="0081336F" w:rsidRPr="0081336F" w:rsidRDefault="0081336F" w:rsidP="0081336F">
      <w:pPr>
        <w:pStyle w:val="13"/>
      </w:pPr>
      <w:r w:rsidRPr="0081336F">
        <w:rPr>
          <w:rFonts w:hint="eastAsia"/>
        </w:rPr>
        <w:t>为与证券公司的风险管理能力相匹配，现阶段中国证监会对处于不同风险分类的证券公司实施不同的风险资本准备计算比例：</w:t>
      </w:r>
    </w:p>
    <w:p w14:paraId="00D2C530" w14:textId="77777777" w:rsidR="0081336F" w:rsidRPr="0081336F" w:rsidRDefault="0081336F" w:rsidP="0081336F">
      <w:pPr>
        <w:pStyle w:val="13"/>
      </w:pPr>
      <w:r w:rsidRPr="0081336F">
        <w:rPr>
          <w:rFonts w:hint="eastAsia"/>
        </w:rPr>
        <w:t>1.A、B、C、D类公司分别按照上述第一条（一）至（五）项规定的基准计算标准的0.3倍、0.4倍、1倍、2倍计算有关风险资本准备；</w:t>
      </w:r>
    </w:p>
    <w:p w14:paraId="30E367C1" w14:textId="77777777" w:rsidR="0081336F" w:rsidRPr="0081336F" w:rsidRDefault="0081336F" w:rsidP="0081336F">
      <w:pPr>
        <w:pStyle w:val="13"/>
      </w:pPr>
      <w:r w:rsidRPr="0081336F">
        <w:rPr>
          <w:rFonts w:hint="eastAsia"/>
        </w:rPr>
        <w:t>2.连续三年为A类的公司按照上述第一条（一）至（五）项规定的基准计算标准的0.2倍计算有关风险资本准备。</w:t>
      </w:r>
    </w:p>
    <w:p w14:paraId="1F101C20" w14:textId="77777777" w:rsidR="0081336F" w:rsidRPr="0081336F" w:rsidRDefault="0081336F" w:rsidP="0081336F">
      <w:pPr>
        <w:pStyle w:val="13"/>
        <w:ind w:firstLine="482"/>
        <w:rPr>
          <w:b/>
        </w:rPr>
      </w:pPr>
      <w:r w:rsidRPr="0081336F">
        <w:rPr>
          <w:rFonts w:hint="eastAsia"/>
          <w:b/>
        </w:rPr>
        <w:t>（三）净资本/风险资本准备</w:t>
      </w:r>
    </w:p>
    <w:p w14:paraId="4813C1C4" w14:textId="77777777" w:rsidR="0081336F" w:rsidRPr="0081336F" w:rsidRDefault="0081336F" w:rsidP="0081336F">
      <w:pPr>
        <w:pStyle w:val="13"/>
      </w:pPr>
      <w:r w:rsidRPr="0081336F">
        <w:rPr>
          <w:rFonts w:hint="eastAsia"/>
        </w:rPr>
        <w:t>净资本/风险资本准备比例衡量证券公司的净资本对风险资本的覆盖程度。风险资本准备越高，表示证券公司净资本存在损失的风险越高，对证券公司净资本的要求越高。</w:t>
      </w:r>
    </w:p>
    <w:p w14:paraId="38FD5EFF" w14:textId="77777777" w:rsidR="0081336F" w:rsidRPr="0081336F" w:rsidRDefault="0081336F" w:rsidP="0081336F">
      <w:pPr>
        <w:pStyle w:val="13"/>
      </w:pPr>
      <w:r w:rsidRPr="0081336F">
        <w:rPr>
          <w:rFonts w:hint="eastAsia"/>
        </w:rPr>
        <w:t>根据监管要求，净资本与各项风险资本准备之和的比例不得低于100%。对证券公司进行评估，</w:t>
      </w:r>
      <w:proofErr w:type="gramStart"/>
      <w:r w:rsidRPr="0081336F">
        <w:rPr>
          <w:rFonts w:hint="eastAsia"/>
        </w:rPr>
        <w:t>若净资本</w:t>
      </w:r>
      <w:proofErr w:type="gramEnd"/>
      <w:r w:rsidRPr="0081336F">
        <w:rPr>
          <w:rFonts w:hint="eastAsia"/>
        </w:rPr>
        <w:t>/风险资本准备比例低于监管要求或出现预警，应分析出现该现象的原因。一方面可能是业务发展过快，超过了企业的风险控制能力，应考虑通过限制业务规模、合理配置资产等方式控制企业经营风险；另一方面可考虑通过发行资本工具、降低分红水平等方式对资本进行补充。</w:t>
      </w:r>
    </w:p>
    <w:p w14:paraId="6B323640" w14:textId="77777777" w:rsidR="0081336F" w:rsidRPr="0081336F" w:rsidRDefault="0081336F" w:rsidP="0081336F">
      <w:pPr>
        <w:pStyle w:val="13"/>
      </w:pPr>
      <w:r w:rsidRPr="0081336F">
        <w:rPr>
          <w:rFonts w:hint="eastAsia"/>
        </w:rPr>
        <w:t>需要注意的是，由于不同监管分类的证券公司适用不同的风险资本准备计提比例，所以处于较低分类的证券公司在进行规模扩张时将面临更严格的净资本要求。</w:t>
      </w:r>
    </w:p>
    <w:p w14:paraId="00581862" w14:textId="77777777" w:rsidR="0081336F" w:rsidRPr="0081336F" w:rsidRDefault="0081336F" w:rsidP="0081336F">
      <w:pPr>
        <w:pStyle w:val="13"/>
        <w:ind w:firstLine="482"/>
        <w:rPr>
          <w:b/>
        </w:rPr>
      </w:pPr>
      <w:r w:rsidRPr="0081336F">
        <w:rPr>
          <w:rFonts w:hint="eastAsia"/>
          <w:b/>
        </w:rPr>
        <w:t>（四）净资本/净资产</w:t>
      </w:r>
    </w:p>
    <w:p w14:paraId="4EAC2711" w14:textId="77777777" w:rsidR="0081336F" w:rsidRPr="0081336F" w:rsidRDefault="0081336F" w:rsidP="0081336F">
      <w:pPr>
        <w:pStyle w:val="13"/>
      </w:pPr>
      <w:r w:rsidRPr="0081336F">
        <w:rPr>
          <w:rFonts w:hint="eastAsia"/>
        </w:rPr>
        <w:t>净资本可视为净资产中流动性较高、可以快速变现的部分，净资本/净资产比例衡量证券公司抵御流动性风险的能力。</w:t>
      </w:r>
    </w:p>
    <w:p w14:paraId="3D638B3F" w14:textId="77777777" w:rsidR="0081336F" w:rsidRPr="0081336F" w:rsidRDefault="0081336F" w:rsidP="0081336F">
      <w:pPr>
        <w:pStyle w:val="13"/>
      </w:pPr>
      <w:r w:rsidRPr="0081336F">
        <w:rPr>
          <w:rFonts w:hint="eastAsia"/>
        </w:rPr>
        <w:t>根据监管要求，净资本/净资产比例不得低于40%。对证券公司进行评估，应计算其净资本/净资产比例，预测结果应符合历史趋势和证券公司未来走势。净资本/净</w:t>
      </w:r>
      <w:r w:rsidRPr="0081336F">
        <w:rPr>
          <w:rFonts w:hint="eastAsia"/>
        </w:rPr>
        <w:lastRenderedPageBreak/>
        <w:t>资产比例不符合监管要求的，应考虑其资产配置是否合理。</w:t>
      </w:r>
    </w:p>
    <w:p w14:paraId="2EE1D078" w14:textId="77777777" w:rsidR="0081336F" w:rsidRPr="0081336F" w:rsidRDefault="0081336F" w:rsidP="0081336F">
      <w:pPr>
        <w:pStyle w:val="13"/>
        <w:ind w:firstLine="482"/>
        <w:rPr>
          <w:b/>
        </w:rPr>
      </w:pPr>
      <w:r w:rsidRPr="0081336F">
        <w:rPr>
          <w:rFonts w:hint="eastAsia"/>
          <w:b/>
        </w:rPr>
        <w:t>（五）净资本/负债、净资产/负债</w:t>
      </w:r>
    </w:p>
    <w:p w14:paraId="28076A9B" w14:textId="77777777" w:rsidR="0081336F" w:rsidRPr="0081336F" w:rsidRDefault="0081336F" w:rsidP="0081336F">
      <w:pPr>
        <w:pStyle w:val="13"/>
      </w:pPr>
      <w:r w:rsidRPr="0081336F">
        <w:rPr>
          <w:rFonts w:hint="eastAsia"/>
        </w:rPr>
        <w:t>净资本/负债、净资产/负债比例衡量证券公司的以自有资本金偿还负债的能力。</w:t>
      </w:r>
    </w:p>
    <w:p w14:paraId="3F917C13" w14:textId="77777777" w:rsidR="0081336F" w:rsidRPr="0081336F" w:rsidRDefault="0081336F" w:rsidP="0081336F">
      <w:pPr>
        <w:pStyle w:val="13"/>
      </w:pPr>
      <w:r w:rsidRPr="0081336F">
        <w:rPr>
          <w:rFonts w:hint="eastAsia"/>
        </w:rPr>
        <w:t>根据监管要求，净资本/负债比例不得低于8%，净资产/负债比例不得低于20%。对证券公司进行评估，应计算其净资本/负债、净资产/负债比例，若低于监管要求或出现预警，应考虑限制业务发展规模，或通过股本增资、限制分红比例等方式对证券公司净资本进行补足。</w:t>
      </w:r>
    </w:p>
    <w:p w14:paraId="4B51AE7B" w14:textId="77777777" w:rsidR="0081336F" w:rsidRPr="0081336F" w:rsidRDefault="0081336F" w:rsidP="0081336F">
      <w:pPr>
        <w:pStyle w:val="13"/>
        <w:ind w:firstLine="482"/>
        <w:rPr>
          <w:b/>
        </w:rPr>
      </w:pPr>
      <w:r w:rsidRPr="0081336F">
        <w:rPr>
          <w:rFonts w:hint="eastAsia"/>
          <w:b/>
        </w:rPr>
        <w:t>（六）流动性覆盖率</w:t>
      </w:r>
    </w:p>
    <w:p w14:paraId="179F8CC3" w14:textId="77777777" w:rsidR="0081336F" w:rsidRPr="0081336F" w:rsidRDefault="0081336F" w:rsidP="0081336F">
      <w:pPr>
        <w:pStyle w:val="13"/>
      </w:pPr>
      <w:r w:rsidRPr="0081336F">
        <w:rPr>
          <w:rFonts w:hint="eastAsia"/>
        </w:rPr>
        <w:t>流动性覆盖率﹦优质流动性资产/未来30天现金净流出量×100%</w:t>
      </w:r>
    </w:p>
    <w:p w14:paraId="5EE7D3C7" w14:textId="77777777" w:rsidR="0081336F" w:rsidRPr="0081336F" w:rsidRDefault="0081336F" w:rsidP="0081336F">
      <w:pPr>
        <w:pStyle w:val="13"/>
      </w:pPr>
      <w:r w:rsidRPr="0081336F">
        <w:rPr>
          <w:rFonts w:hint="eastAsia"/>
        </w:rPr>
        <w:t>其中，优质流动性资产是指可快速变现且风险较小的资产，如货币资金，结算备付金，未冻结和质押的国债、中央银行票据、金融债券、地方政府债等。</w:t>
      </w:r>
    </w:p>
    <w:p w14:paraId="7EB4694F" w14:textId="77777777" w:rsidR="0081336F" w:rsidRPr="0081336F" w:rsidRDefault="0081336F" w:rsidP="0081336F">
      <w:pPr>
        <w:pStyle w:val="13"/>
      </w:pPr>
      <w:r w:rsidRPr="0081336F">
        <w:rPr>
          <w:rFonts w:hint="eastAsia"/>
        </w:rPr>
        <w:t>流动性覆盖率衡量证券公司对于短期流动性风险的抵御能力。根据监管要求，证券公司的流动性覆盖率应不低于100%，在2014年12月31日前应达到80%，在2015年6月30日前应达到100%。</w:t>
      </w:r>
    </w:p>
    <w:p w14:paraId="6A38EABE" w14:textId="77777777" w:rsidR="0081336F" w:rsidRPr="0081336F" w:rsidRDefault="0081336F" w:rsidP="0081336F">
      <w:pPr>
        <w:pStyle w:val="13"/>
        <w:ind w:firstLine="482"/>
        <w:rPr>
          <w:b/>
        </w:rPr>
      </w:pPr>
      <w:r w:rsidRPr="0081336F">
        <w:rPr>
          <w:rFonts w:hint="eastAsia"/>
          <w:b/>
        </w:rPr>
        <w:t>（七）</w:t>
      </w:r>
      <w:proofErr w:type="gramStart"/>
      <w:r w:rsidRPr="0081336F">
        <w:rPr>
          <w:rFonts w:hint="eastAsia"/>
          <w:b/>
        </w:rPr>
        <w:t>净稳定</w:t>
      </w:r>
      <w:proofErr w:type="gramEnd"/>
      <w:r w:rsidRPr="0081336F">
        <w:rPr>
          <w:rFonts w:hint="eastAsia"/>
          <w:b/>
        </w:rPr>
        <w:t>资金率</w:t>
      </w:r>
    </w:p>
    <w:p w14:paraId="24925C5B" w14:textId="77777777" w:rsidR="0081336F" w:rsidRPr="0081336F" w:rsidRDefault="0081336F" w:rsidP="0081336F">
      <w:pPr>
        <w:pStyle w:val="13"/>
      </w:pPr>
      <w:proofErr w:type="gramStart"/>
      <w:r w:rsidRPr="0081336F">
        <w:rPr>
          <w:rFonts w:hint="eastAsia"/>
        </w:rPr>
        <w:t>净稳定</w:t>
      </w:r>
      <w:proofErr w:type="gramEnd"/>
      <w:r w:rsidRPr="0081336F">
        <w:rPr>
          <w:rFonts w:hint="eastAsia"/>
        </w:rPr>
        <w:t>资金率﹦可用稳定资金/所需的稳定资金×100%</w:t>
      </w:r>
    </w:p>
    <w:p w14:paraId="1DEDE707" w14:textId="77777777" w:rsidR="0081336F" w:rsidRPr="0081336F" w:rsidRDefault="0081336F" w:rsidP="0081336F">
      <w:pPr>
        <w:pStyle w:val="13"/>
      </w:pPr>
      <w:r w:rsidRPr="0081336F">
        <w:rPr>
          <w:rFonts w:hint="eastAsia"/>
        </w:rPr>
        <w:t>其中，可用稳定资本主要由股东和债权人投入的资本金构成，包括调整后净资产和剩余存续期大于1年的借款和其他负债；所需稳定资金按照证券公司各项资产乘以对应折算率计算得到，一般地，资产风险越高、剩余存续期越长，对应的折算率越高。</w:t>
      </w:r>
    </w:p>
    <w:p w14:paraId="4AC4B476" w14:textId="77777777" w:rsidR="0081336F" w:rsidRPr="0081336F" w:rsidRDefault="0081336F" w:rsidP="0081336F">
      <w:pPr>
        <w:pStyle w:val="13"/>
      </w:pPr>
      <w:proofErr w:type="gramStart"/>
      <w:r w:rsidRPr="0081336F">
        <w:rPr>
          <w:rFonts w:hint="eastAsia"/>
        </w:rPr>
        <w:t>净稳定</w:t>
      </w:r>
      <w:proofErr w:type="gramEnd"/>
      <w:r w:rsidRPr="0081336F">
        <w:rPr>
          <w:rFonts w:hint="eastAsia"/>
        </w:rPr>
        <w:t>资金率旨在确保证券公司减少资金运用与资金来源的期限错配，增加长期稳定资金来源，满足各类表内外业务对稳定资金的需求。根据监管要求，证券公司的</w:t>
      </w:r>
      <w:proofErr w:type="gramStart"/>
      <w:r w:rsidRPr="0081336F">
        <w:rPr>
          <w:rFonts w:hint="eastAsia"/>
        </w:rPr>
        <w:t>净稳定</w:t>
      </w:r>
      <w:proofErr w:type="gramEnd"/>
      <w:r w:rsidRPr="0081336F">
        <w:rPr>
          <w:rFonts w:hint="eastAsia"/>
        </w:rPr>
        <w:t>资金率应不低于100%，在2014年12月31日前应达到80%，在2015年6月30日前应达到100%。</w:t>
      </w:r>
    </w:p>
    <w:p w14:paraId="774BE031" w14:textId="77777777" w:rsidR="0081336F" w:rsidRPr="0081336F" w:rsidRDefault="0081336F" w:rsidP="0081336F">
      <w:pPr>
        <w:pStyle w:val="13"/>
        <w:ind w:firstLine="482"/>
        <w:rPr>
          <w:b/>
        </w:rPr>
      </w:pPr>
      <w:r w:rsidRPr="0081336F">
        <w:rPr>
          <w:rFonts w:hint="eastAsia"/>
          <w:b/>
        </w:rPr>
        <w:t>四、评估中应关注的问题</w:t>
      </w:r>
    </w:p>
    <w:p w14:paraId="34E4A306" w14:textId="77777777" w:rsidR="0081336F" w:rsidRPr="0081336F" w:rsidRDefault="0081336F" w:rsidP="0081336F">
      <w:pPr>
        <w:pStyle w:val="13"/>
      </w:pPr>
      <w:r w:rsidRPr="0081336F">
        <w:rPr>
          <w:rFonts w:hint="eastAsia"/>
        </w:rPr>
        <w:t>证券公司监管指标体系以净资本为核心。</w:t>
      </w:r>
    </w:p>
    <w:p w14:paraId="424EF452" w14:textId="77777777" w:rsidR="0081336F" w:rsidRPr="0081336F" w:rsidRDefault="0081336F" w:rsidP="0081336F">
      <w:pPr>
        <w:pStyle w:val="13"/>
      </w:pPr>
      <w:r w:rsidRPr="0081336F">
        <w:rPr>
          <w:rFonts w:hint="eastAsia"/>
        </w:rPr>
        <w:t>证券公司净资本或者其他风险控制指标不符合规定标准的，监管机构会责令公司限期改正。整改期内，中国证监会及其派出机构会区别情形，对证券公司采取下列措施：（1）停止批准新业务；（2）停止批准增设、收购营业性分支机构；（3）限制分配红利；（4）限制转让财产或在财产上设定其他权利。</w:t>
      </w:r>
    </w:p>
    <w:p w14:paraId="69FFD124" w14:textId="77777777" w:rsidR="0081336F" w:rsidRPr="0081336F" w:rsidRDefault="0081336F" w:rsidP="0081336F">
      <w:pPr>
        <w:pStyle w:val="13"/>
      </w:pPr>
      <w:r w:rsidRPr="0081336F">
        <w:rPr>
          <w:rFonts w:hint="eastAsia"/>
        </w:rPr>
        <w:t>证券公司未按期完成整改的，自整改期限到期的次日起，监管机构会区别情形，对其采取下列措施：（1）限制业务活动；（2）责令暂停部分业务；（3）限制向董事、监事、高级管理人员支付报酬、提供福利；（4）责令更换董事、监事、高级管理人员或者限制其权利；（5）责令控股股东转让股权或者限制有关股东行使股东权利；（6）</w:t>
      </w:r>
      <w:r w:rsidRPr="0081336F">
        <w:rPr>
          <w:rFonts w:hint="eastAsia"/>
        </w:rPr>
        <w:lastRenderedPageBreak/>
        <w:t>认定董事、监事、高级管理人员为不适当人选。</w:t>
      </w:r>
    </w:p>
    <w:p w14:paraId="16074CBD" w14:textId="77777777" w:rsidR="0081336F" w:rsidRPr="0081336F" w:rsidRDefault="0081336F" w:rsidP="0081336F">
      <w:pPr>
        <w:pStyle w:val="13"/>
      </w:pPr>
      <w:r w:rsidRPr="0081336F">
        <w:rPr>
          <w:rFonts w:hint="eastAsia"/>
        </w:rPr>
        <w:t>证券公司未按期完成整改、风险控制指标情况继续恶化，严重危及该证券公司的稳健运行的，中国证监会可以撤销其有关业务许可。</w:t>
      </w:r>
    </w:p>
    <w:p w14:paraId="3117AF66" w14:textId="77777777" w:rsidR="0081336F" w:rsidRPr="0081336F" w:rsidRDefault="0081336F" w:rsidP="0081336F">
      <w:pPr>
        <w:pStyle w:val="13"/>
      </w:pPr>
      <w:r w:rsidRPr="0081336F">
        <w:rPr>
          <w:rFonts w:hint="eastAsia"/>
        </w:rPr>
        <w:t>证券公司风险控制指标无法达标，严重危害证券市场秩序、损害投资者利益的，中国证监会可以区别情形，对其采取下列措施：（1）责令停业整顿；（2）指定其他机构托管、接管；（3）撤销经营证券业务许可；（4）撤销。</w:t>
      </w:r>
    </w:p>
    <w:p w14:paraId="74B0B37E" w14:textId="77777777" w:rsidR="0081336F" w:rsidRPr="0081336F" w:rsidRDefault="0081336F" w:rsidP="0081336F">
      <w:pPr>
        <w:pStyle w:val="13"/>
      </w:pPr>
      <w:r w:rsidRPr="0081336F">
        <w:rPr>
          <w:rFonts w:hint="eastAsia"/>
        </w:rPr>
        <w:t>对证券公司进行评估，评估机构应对评估对象进行尽职调查，了解其净资本水平是否符合监管要求、是否有达到监管要求的可行计划和具体措施、预测</w:t>
      </w:r>
      <w:proofErr w:type="gramStart"/>
      <w:r w:rsidRPr="0081336F">
        <w:rPr>
          <w:rFonts w:hint="eastAsia"/>
        </w:rPr>
        <w:t>期计划</w:t>
      </w:r>
      <w:proofErr w:type="gramEnd"/>
      <w:r w:rsidRPr="0081336F">
        <w:rPr>
          <w:rFonts w:hint="eastAsia"/>
        </w:rPr>
        <w:t>达到的资本充足水平、资本补充方式等。对于净资本水平不足的证券公司，可以通过发行资本工具、降低分红水平等方式对资本金进行补充。此外，还可以考虑对净资本偏低的证券公司采取较高折现率，以反映其在经营过程中所面对的风险。对于净资本水平不足的证券公司，评估机构应在评估报告中披露相关风险。</w:t>
      </w:r>
    </w:p>
    <w:p w14:paraId="39E2E801" w14:textId="77777777" w:rsidR="0081336F" w:rsidRPr="0081336F" w:rsidRDefault="0081336F" w:rsidP="0081336F">
      <w:pPr>
        <w:pStyle w:val="13"/>
      </w:pPr>
      <w:r w:rsidRPr="0081336F">
        <w:rPr>
          <w:rFonts w:hint="eastAsia"/>
        </w:rPr>
        <w:t>流动性风险监管指标衡量证券公司以合理成本及时获得充足资金，偿付到期债务、履行其他支付义务和满足正常业务资金需求的能力。证券公司合理配置一些较高风险资产，可以提升其利润表现。需要注意的是，脱离风险控制的高收益并不足以支持证券公司的价值提升。对证券公司进行评估，评估对象流动性风险监管指标偏低的，评估机构可以在预测时调整其资产配置，合理增</w:t>
      </w:r>
      <w:proofErr w:type="gramStart"/>
      <w:r w:rsidRPr="0081336F">
        <w:rPr>
          <w:rFonts w:hint="eastAsia"/>
        </w:rPr>
        <w:t>持风险</w:t>
      </w:r>
      <w:proofErr w:type="gramEnd"/>
      <w:r w:rsidRPr="0081336F">
        <w:rPr>
          <w:rFonts w:hint="eastAsia"/>
        </w:rPr>
        <w:t>较低、流动性较强的资产，使其在过渡期内达到流动性监管要求。此外，还可以考虑对流动性不足的证券公司采取较高折现率，以反映其在经营过程中所面对的风险。对于流动性不足的证券公司，评估机构应在评估报告中披露相关风险。</w:t>
      </w:r>
    </w:p>
    <w:p w14:paraId="50EB3253" w14:textId="77777777" w:rsidR="0081336F" w:rsidRPr="0081336F" w:rsidRDefault="0081336F" w:rsidP="00AF7342">
      <w:pPr>
        <w:pStyle w:val="a9"/>
        <w:spacing w:before="62" w:after="62"/>
      </w:pPr>
      <w:r w:rsidRPr="0081336F">
        <w:rPr>
          <w:rFonts w:hint="eastAsia"/>
        </w:rPr>
        <w:t>第四章 保险公司</w:t>
      </w:r>
    </w:p>
    <w:p w14:paraId="69F66A53" w14:textId="77777777" w:rsidR="0081336F" w:rsidRPr="0081336F" w:rsidRDefault="0081336F" w:rsidP="0081336F">
      <w:pPr>
        <w:pStyle w:val="13"/>
        <w:ind w:firstLine="482"/>
        <w:rPr>
          <w:b/>
        </w:rPr>
      </w:pPr>
      <w:r w:rsidRPr="0081336F">
        <w:rPr>
          <w:rFonts w:hint="eastAsia"/>
          <w:b/>
        </w:rPr>
        <w:t>一、监管机构</w:t>
      </w:r>
    </w:p>
    <w:p w14:paraId="2D59D9A1" w14:textId="77777777" w:rsidR="0081336F" w:rsidRPr="0081336F" w:rsidRDefault="0081336F" w:rsidP="0081336F">
      <w:pPr>
        <w:pStyle w:val="13"/>
      </w:pPr>
      <w:r w:rsidRPr="0081336F">
        <w:rPr>
          <w:rFonts w:hint="eastAsia"/>
        </w:rPr>
        <w:t>保险公司开展各项经营业务，主要受中国保监会、财政部和中国人民银行监管，上市保险公司同时受到中国证监会监管。</w:t>
      </w:r>
    </w:p>
    <w:p w14:paraId="6AFEC968" w14:textId="77777777" w:rsidR="0081336F" w:rsidRPr="0081336F" w:rsidRDefault="0081336F" w:rsidP="0081336F">
      <w:pPr>
        <w:pStyle w:val="13"/>
        <w:ind w:firstLine="482"/>
        <w:rPr>
          <w:b/>
        </w:rPr>
      </w:pPr>
      <w:r w:rsidRPr="0081336F">
        <w:rPr>
          <w:rFonts w:hint="eastAsia"/>
          <w:b/>
        </w:rPr>
        <w:t>二、监管指标概述</w:t>
      </w:r>
    </w:p>
    <w:p w14:paraId="4B818567" w14:textId="77777777" w:rsidR="0081336F" w:rsidRPr="0081336F" w:rsidRDefault="0081336F" w:rsidP="0081336F">
      <w:pPr>
        <w:pStyle w:val="13"/>
      </w:pPr>
      <w:r w:rsidRPr="0081336F">
        <w:rPr>
          <w:rFonts w:hint="eastAsia"/>
        </w:rPr>
        <w:t>按照业务类型进行划分，保险公司分为财险公司和寿险公司，二者在经营方面存在较大差异，分别适用不同的业务监管指标。本章将保险企业评估中应关注的金融监管指标分为保险公司综合监管指标、财险公司监管指标和寿险公司监管指标三大类，分别进行介绍。</w:t>
      </w:r>
    </w:p>
    <w:p w14:paraId="42E7AC8A" w14:textId="77777777" w:rsidR="0081336F" w:rsidRPr="0081336F" w:rsidRDefault="0081336F" w:rsidP="0081336F">
      <w:pPr>
        <w:pStyle w:val="13"/>
        <w:ind w:firstLine="482"/>
        <w:rPr>
          <w:b/>
        </w:rPr>
      </w:pPr>
      <w:r w:rsidRPr="0081336F">
        <w:rPr>
          <w:rFonts w:hint="eastAsia"/>
          <w:b/>
        </w:rPr>
        <w:t>三、保险公司综合监管指标</w:t>
      </w:r>
    </w:p>
    <w:p w14:paraId="4CD30818" w14:textId="77777777" w:rsidR="0081336F" w:rsidRPr="0081336F" w:rsidRDefault="0081336F" w:rsidP="0081336F">
      <w:pPr>
        <w:pStyle w:val="13"/>
        <w:ind w:firstLine="482"/>
        <w:rPr>
          <w:b/>
        </w:rPr>
      </w:pPr>
      <w:r w:rsidRPr="0081336F">
        <w:rPr>
          <w:rFonts w:hint="eastAsia"/>
          <w:b/>
        </w:rPr>
        <w:t>（一）实际资本</w:t>
      </w:r>
    </w:p>
    <w:p w14:paraId="56EA5204" w14:textId="77777777" w:rsidR="0081336F" w:rsidRPr="0081336F" w:rsidRDefault="0081336F" w:rsidP="0081336F">
      <w:pPr>
        <w:pStyle w:val="13"/>
      </w:pPr>
      <w:r w:rsidRPr="0081336F">
        <w:rPr>
          <w:rFonts w:hint="eastAsia"/>
        </w:rPr>
        <w:t>保险公司的实际资本，是指认</w:t>
      </w:r>
      <w:proofErr w:type="gramStart"/>
      <w:r w:rsidRPr="0081336F">
        <w:rPr>
          <w:rFonts w:hint="eastAsia"/>
        </w:rPr>
        <w:t>可资产</w:t>
      </w:r>
      <w:proofErr w:type="gramEnd"/>
      <w:r w:rsidRPr="0081336F">
        <w:rPr>
          <w:rFonts w:hint="eastAsia"/>
        </w:rPr>
        <w:t>与认可负债的差额。认可资产（负债）是保险公司在评估偿付能力时依据中国保监会的规定所确认的资产（负债）。</w:t>
      </w:r>
    </w:p>
    <w:p w14:paraId="7659405C" w14:textId="77777777" w:rsidR="0081336F" w:rsidRPr="0081336F" w:rsidRDefault="0081336F" w:rsidP="0081336F">
      <w:pPr>
        <w:pStyle w:val="13"/>
      </w:pPr>
      <w:r w:rsidRPr="0081336F">
        <w:rPr>
          <w:rFonts w:hint="eastAsia"/>
        </w:rPr>
        <w:t>实际资本是保险公司能够履行对保单持有人赔付义务的资本，用于衡量保险公</w:t>
      </w:r>
      <w:r w:rsidRPr="0081336F">
        <w:rPr>
          <w:rFonts w:hint="eastAsia"/>
        </w:rPr>
        <w:lastRenderedPageBreak/>
        <w:t>司的偿付能力。实际资本包括投入资本、剩余综合收益和计入实际资本的资本性负债。</w:t>
      </w:r>
    </w:p>
    <w:p w14:paraId="5907129D" w14:textId="77777777" w:rsidR="0081336F" w:rsidRPr="0081336F" w:rsidRDefault="0081336F" w:rsidP="0081336F">
      <w:pPr>
        <w:pStyle w:val="13"/>
      </w:pPr>
      <w:r w:rsidRPr="0081336F">
        <w:rPr>
          <w:rFonts w:hint="eastAsia"/>
        </w:rPr>
        <w:t>1.投入资本，指保险公司的所有者和捐赠者通过资本交易投入的资本。保险公司所有者通过非资本交易和事项投入的资本不属于投入资本，例如，保险公司用盈余公积和未分配利润转增的资本不计</w:t>
      </w:r>
      <w:proofErr w:type="gramStart"/>
      <w:r w:rsidRPr="0081336F">
        <w:rPr>
          <w:rFonts w:hint="eastAsia"/>
        </w:rPr>
        <w:t>入投入</w:t>
      </w:r>
      <w:proofErr w:type="gramEnd"/>
      <w:r w:rsidRPr="0081336F">
        <w:rPr>
          <w:rFonts w:hint="eastAsia"/>
        </w:rPr>
        <w:t>资本，在剩余综合收益中反映。</w:t>
      </w:r>
    </w:p>
    <w:p w14:paraId="7F620159" w14:textId="77777777" w:rsidR="0081336F" w:rsidRPr="0081336F" w:rsidRDefault="0081336F" w:rsidP="0081336F">
      <w:pPr>
        <w:pStyle w:val="13"/>
      </w:pPr>
      <w:r w:rsidRPr="0081336F">
        <w:rPr>
          <w:rFonts w:hint="eastAsia"/>
        </w:rPr>
        <w:t>2.剩余综合收益，指保险公司的综合收益减去分配的现金股利（或利润）后的余额。</w:t>
      </w:r>
    </w:p>
    <w:p w14:paraId="6DDABE3F" w14:textId="77777777" w:rsidR="0081336F" w:rsidRPr="0081336F" w:rsidRDefault="0081336F" w:rsidP="0081336F">
      <w:pPr>
        <w:pStyle w:val="13"/>
      </w:pPr>
      <w:r w:rsidRPr="0081336F">
        <w:rPr>
          <w:rFonts w:hint="eastAsia"/>
        </w:rPr>
        <w:t>3.计入实际资本的资本性负债，指保险公司按照《保险公司偿付能力报告编报规则第6号：认可负债》的规定不确认为认可负债而计入实际资本的资本性负债。目前我国保险公司的资本性负债主要是次级债。</w:t>
      </w:r>
    </w:p>
    <w:p w14:paraId="7BC16E18" w14:textId="77777777" w:rsidR="0081336F" w:rsidRPr="0081336F" w:rsidRDefault="0081336F" w:rsidP="0081336F">
      <w:pPr>
        <w:pStyle w:val="13"/>
        <w:ind w:firstLine="482"/>
        <w:rPr>
          <w:b/>
        </w:rPr>
      </w:pPr>
      <w:r w:rsidRPr="0081336F">
        <w:rPr>
          <w:rFonts w:hint="eastAsia"/>
          <w:b/>
        </w:rPr>
        <w:t>（二）最低资本</w:t>
      </w:r>
    </w:p>
    <w:p w14:paraId="46A98E9F" w14:textId="77777777" w:rsidR="0081336F" w:rsidRPr="0081336F" w:rsidRDefault="0081336F" w:rsidP="0081336F">
      <w:pPr>
        <w:pStyle w:val="13"/>
      </w:pPr>
      <w:r w:rsidRPr="0081336F">
        <w:rPr>
          <w:rFonts w:hint="eastAsia"/>
        </w:rPr>
        <w:t>最低资本，是指保险公司为应对资产风险、承保风险等风险对偿付能力的不利影响，依据中国保监会的规定而应当具有的资本数额。财险公司和寿险公司对应不同的最低资本要求，具体如下表所示：</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389"/>
        <w:gridCol w:w="1559"/>
        <w:gridCol w:w="4445"/>
      </w:tblGrid>
      <w:tr w:rsidR="0081336F" w:rsidRPr="0081336F" w14:paraId="6CBE8F70" w14:textId="77777777" w:rsidTr="0081336F">
        <w:trPr>
          <w:tblHeader/>
        </w:trPr>
        <w:tc>
          <w:tcPr>
            <w:tcW w:w="1129" w:type="dxa"/>
            <w:vAlign w:val="center"/>
          </w:tcPr>
          <w:p w14:paraId="71D145FF"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公司类型</w:t>
            </w:r>
          </w:p>
        </w:tc>
        <w:tc>
          <w:tcPr>
            <w:tcW w:w="7393" w:type="dxa"/>
            <w:gridSpan w:val="3"/>
            <w:vAlign w:val="center"/>
          </w:tcPr>
          <w:p w14:paraId="0477387C"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保险业务类型及最低资本要求</w:t>
            </w:r>
          </w:p>
        </w:tc>
      </w:tr>
      <w:tr w:rsidR="0081336F" w:rsidRPr="0081336F" w14:paraId="494220DA" w14:textId="77777777" w:rsidTr="0081336F">
        <w:tc>
          <w:tcPr>
            <w:tcW w:w="1129" w:type="dxa"/>
            <w:vMerge w:val="restart"/>
            <w:vAlign w:val="center"/>
          </w:tcPr>
          <w:p w14:paraId="6591A3D6" w14:textId="77777777" w:rsidR="0081336F" w:rsidRPr="0081336F" w:rsidRDefault="0081336F" w:rsidP="0081336F">
            <w:pPr>
              <w:pStyle w:val="13"/>
              <w:ind w:firstLineChars="0" w:firstLine="0"/>
              <w:rPr>
                <w:sz w:val="21"/>
                <w:szCs w:val="21"/>
              </w:rPr>
            </w:pPr>
            <w:r w:rsidRPr="0081336F">
              <w:rPr>
                <w:rFonts w:hint="eastAsia"/>
                <w:sz w:val="21"/>
                <w:szCs w:val="21"/>
              </w:rPr>
              <w:t>财险公司</w:t>
            </w:r>
          </w:p>
        </w:tc>
        <w:tc>
          <w:tcPr>
            <w:tcW w:w="1389" w:type="dxa"/>
            <w:vAlign w:val="center"/>
          </w:tcPr>
          <w:p w14:paraId="1F47352A" w14:textId="77777777" w:rsidR="0081336F" w:rsidRPr="0081336F" w:rsidRDefault="0081336F" w:rsidP="0081336F">
            <w:pPr>
              <w:pStyle w:val="13"/>
              <w:ind w:firstLineChars="0" w:firstLine="0"/>
              <w:rPr>
                <w:sz w:val="21"/>
                <w:szCs w:val="21"/>
              </w:rPr>
            </w:pPr>
            <w:r w:rsidRPr="0081336F">
              <w:rPr>
                <w:rFonts w:hint="eastAsia"/>
                <w:sz w:val="21"/>
                <w:szCs w:val="21"/>
              </w:rPr>
              <w:t>非寿险保障型业务</w:t>
            </w:r>
          </w:p>
        </w:tc>
        <w:tc>
          <w:tcPr>
            <w:tcW w:w="6004" w:type="dxa"/>
            <w:gridSpan w:val="2"/>
          </w:tcPr>
          <w:p w14:paraId="09CF5FBB" w14:textId="77777777" w:rsidR="0081336F" w:rsidRPr="0081336F" w:rsidRDefault="0081336F" w:rsidP="0081336F">
            <w:pPr>
              <w:pStyle w:val="13"/>
              <w:ind w:firstLineChars="0" w:firstLine="0"/>
              <w:rPr>
                <w:sz w:val="21"/>
                <w:szCs w:val="21"/>
              </w:rPr>
            </w:pPr>
            <w:r w:rsidRPr="0081336F">
              <w:rPr>
                <w:rFonts w:hint="eastAsia"/>
                <w:sz w:val="21"/>
                <w:szCs w:val="21"/>
              </w:rPr>
              <w:t>下述两项中数额较大的一项：</w:t>
            </w:r>
          </w:p>
          <w:p w14:paraId="739849BE" w14:textId="77777777" w:rsidR="0081336F" w:rsidRPr="0081336F" w:rsidRDefault="0081336F" w:rsidP="0081336F">
            <w:pPr>
              <w:pStyle w:val="13"/>
              <w:ind w:firstLineChars="0" w:firstLine="0"/>
              <w:rPr>
                <w:sz w:val="21"/>
                <w:szCs w:val="21"/>
              </w:rPr>
            </w:pPr>
            <w:r w:rsidRPr="0081336F">
              <w:rPr>
                <w:rFonts w:hint="eastAsia"/>
                <w:sz w:val="21"/>
                <w:szCs w:val="21"/>
              </w:rPr>
              <w:t>（1）最近会计年度公司自留保费减营业税及附加后1亿元人民币以下部分的18%和1亿元人民币以上部分的16%；</w:t>
            </w:r>
          </w:p>
          <w:p w14:paraId="345202CC" w14:textId="77777777" w:rsidR="0081336F" w:rsidRPr="0081336F" w:rsidRDefault="0081336F" w:rsidP="0081336F">
            <w:pPr>
              <w:pStyle w:val="13"/>
              <w:ind w:firstLineChars="0" w:firstLine="0"/>
              <w:rPr>
                <w:sz w:val="21"/>
                <w:szCs w:val="21"/>
              </w:rPr>
            </w:pPr>
            <w:r w:rsidRPr="0081336F">
              <w:rPr>
                <w:rFonts w:hint="eastAsia"/>
                <w:sz w:val="21"/>
                <w:szCs w:val="21"/>
              </w:rPr>
              <w:t>（2）公司最近3年平均综合赔款金额7,000万元以下部分的26%和7,000万元以上部分的23%。</w:t>
            </w:r>
          </w:p>
        </w:tc>
      </w:tr>
      <w:tr w:rsidR="0081336F" w:rsidRPr="0081336F" w14:paraId="3BDA2279" w14:textId="77777777" w:rsidTr="0081336F">
        <w:tc>
          <w:tcPr>
            <w:tcW w:w="1129" w:type="dxa"/>
            <w:vMerge/>
            <w:vAlign w:val="center"/>
          </w:tcPr>
          <w:p w14:paraId="08F335BF" w14:textId="77777777" w:rsidR="0081336F" w:rsidRPr="0081336F" w:rsidRDefault="0081336F" w:rsidP="0081336F">
            <w:pPr>
              <w:pStyle w:val="13"/>
              <w:ind w:firstLineChars="0" w:firstLine="0"/>
              <w:rPr>
                <w:b/>
                <w:bCs/>
                <w:sz w:val="21"/>
                <w:szCs w:val="21"/>
              </w:rPr>
            </w:pPr>
          </w:p>
        </w:tc>
        <w:tc>
          <w:tcPr>
            <w:tcW w:w="1389" w:type="dxa"/>
            <w:vMerge w:val="restart"/>
            <w:vAlign w:val="center"/>
          </w:tcPr>
          <w:p w14:paraId="75619F19" w14:textId="77777777" w:rsidR="0081336F" w:rsidRPr="0081336F" w:rsidRDefault="0081336F" w:rsidP="0081336F">
            <w:pPr>
              <w:pStyle w:val="13"/>
              <w:ind w:firstLineChars="0" w:firstLine="0"/>
              <w:rPr>
                <w:sz w:val="21"/>
                <w:szCs w:val="21"/>
              </w:rPr>
            </w:pPr>
            <w:r w:rsidRPr="0081336F">
              <w:rPr>
                <w:rFonts w:hint="eastAsia"/>
                <w:sz w:val="21"/>
                <w:szCs w:val="21"/>
              </w:rPr>
              <w:t>非寿险投资型业务</w:t>
            </w:r>
          </w:p>
        </w:tc>
        <w:tc>
          <w:tcPr>
            <w:tcW w:w="1559" w:type="dxa"/>
            <w:vAlign w:val="center"/>
          </w:tcPr>
          <w:p w14:paraId="49C0D9FE" w14:textId="75B68E08" w:rsidR="0081336F" w:rsidRPr="0081336F" w:rsidRDefault="0081336F" w:rsidP="0081336F">
            <w:pPr>
              <w:pStyle w:val="13"/>
              <w:ind w:firstLineChars="0" w:firstLine="0"/>
              <w:jc w:val="center"/>
              <w:rPr>
                <w:sz w:val="21"/>
                <w:szCs w:val="21"/>
              </w:rPr>
            </w:pPr>
            <w:r w:rsidRPr="0081336F">
              <w:rPr>
                <w:rFonts w:hint="eastAsia"/>
                <w:sz w:val="21"/>
                <w:szCs w:val="21"/>
              </w:rPr>
              <w:t>风险保费部分</w:t>
            </w:r>
          </w:p>
        </w:tc>
        <w:tc>
          <w:tcPr>
            <w:tcW w:w="4445" w:type="dxa"/>
            <w:vAlign w:val="center"/>
          </w:tcPr>
          <w:p w14:paraId="0677C556" w14:textId="77777777" w:rsidR="0081336F" w:rsidRPr="0081336F" w:rsidRDefault="0081336F" w:rsidP="0081336F">
            <w:pPr>
              <w:pStyle w:val="13"/>
              <w:ind w:firstLineChars="0" w:firstLine="0"/>
              <w:rPr>
                <w:sz w:val="21"/>
                <w:szCs w:val="21"/>
              </w:rPr>
            </w:pPr>
            <w:r w:rsidRPr="0081336F">
              <w:rPr>
                <w:rFonts w:hint="eastAsia"/>
                <w:sz w:val="21"/>
                <w:szCs w:val="21"/>
              </w:rPr>
              <w:t>适用非寿险保障型业务最低资本评估标准。</w:t>
            </w:r>
          </w:p>
        </w:tc>
      </w:tr>
      <w:tr w:rsidR="0081336F" w:rsidRPr="0081336F" w14:paraId="69668F49" w14:textId="77777777" w:rsidTr="0081336F">
        <w:tc>
          <w:tcPr>
            <w:tcW w:w="1129" w:type="dxa"/>
            <w:vMerge/>
            <w:vAlign w:val="center"/>
          </w:tcPr>
          <w:p w14:paraId="3A695892" w14:textId="77777777" w:rsidR="0081336F" w:rsidRPr="0081336F" w:rsidRDefault="0081336F" w:rsidP="0081336F">
            <w:pPr>
              <w:pStyle w:val="13"/>
              <w:ind w:firstLineChars="0" w:firstLine="0"/>
              <w:rPr>
                <w:b/>
                <w:bCs/>
                <w:sz w:val="21"/>
                <w:szCs w:val="21"/>
              </w:rPr>
            </w:pPr>
          </w:p>
        </w:tc>
        <w:tc>
          <w:tcPr>
            <w:tcW w:w="1389" w:type="dxa"/>
            <w:vMerge/>
            <w:vAlign w:val="center"/>
          </w:tcPr>
          <w:p w14:paraId="76779FFE" w14:textId="77777777" w:rsidR="0081336F" w:rsidRPr="0081336F" w:rsidRDefault="0081336F" w:rsidP="0081336F">
            <w:pPr>
              <w:pStyle w:val="13"/>
              <w:ind w:firstLineChars="0" w:firstLine="0"/>
              <w:rPr>
                <w:b/>
                <w:bCs/>
                <w:sz w:val="21"/>
                <w:szCs w:val="21"/>
              </w:rPr>
            </w:pPr>
          </w:p>
        </w:tc>
        <w:tc>
          <w:tcPr>
            <w:tcW w:w="1559" w:type="dxa"/>
            <w:vAlign w:val="center"/>
          </w:tcPr>
          <w:p w14:paraId="6641D400" w14:textId="77777777" w:rsidR="0081336F" w:rsidRPr="0081336F" w:rsidRDefault="0081336F" w:rsidP="0081336F">
            <w:pPr>
              <w:pStyle w:val="13"/>
              <w:ind w:firstLineChars="0" w:firstLine="0"/>
              <w:jc w:val="center"/>
              <w:rPr>
                <w:sz w:val="21"/>
                <w:szCs w:val="21"/>
              </w:rPr>
            </w:pPr>
            <w:r w:rsidRPr="0081336F">
              <w:rPr>
                <w:rFonts w:hint="eastAsia"/>
                <w:sz w:val="21"/>
                <w:szCs w:val="21"/>
              </w:rPr>
              <w:t>投资金部分</w:t>
            </w:r>
          </w:p>
        </w:tc>
        <w:tc>
          <w:tcPr>
            <w:tcW w:w="4445" w:type="dxa"/>
          </w:tcPr>
          <w:p w14:paraId="066EE03E" w14:textId="77777777" w:rsidR="0081336F" w:rsidRPr="0081336F" w:rsidRDefault="0081336F" w:rsidP="0081336F">
            <w:pPr>
              <w:pStyle w:val="13"/>
              <w:ind w:firstLineChars="0" w:firstLine="0"/>
              <w:rPr>
                <w:sz w:val="21"/>
                <w:szCs w:val="21"/>
              </w:rPr>
            </w:pPr>
            <w:r w:rsidRPr="0081336F">
              <w:rPr>
                <w:rFonts w:hint="eastAsia"/>
                <w:sz w:val="21"/>
                <w:szCs w:val="21"/>
              </w:rPr>
              <w:t>下述两项之和：</w:t>
            </w:r>
          </w:p>
          <w:p w14:paraId="669D4EA3" w14:textId="77777777" w:rsidR="0081336F" w:rsidRPr="0081336F" w:rsidRDefault="0081336F" w:rsidP="0081336F">
            <w:pPr>
              <w:pStyle w:val="13"/>
              <w:ind w:firstLineChars="0" w:firstLine="0"/>
              <w:rPr>
                <w:sz w:val="21"/>
                <w:szCs w:val="21"/>
              </w:rPr>
            </w:pPr>
            <w:r w:rsidRPr="0081336F">
              <w:rPr>
                <w:rFonts w:hint="eastAsia"/>
                <w:sz w:val="21"/>
                <w:szCs w:val="21"/>
              </w:rPr>
              <w:t>（1）预定收益型非寿险投资型产品投资金部分期末责任准备金的4%；</w:t>
            </w:r>
          </w:p>
          <w:p w14:paraId="3BDEB22F" w14:textId="77777777" w:rsidR="0081336F" w:rsidRPr="0081336F" w:rsidRDefault="0081336F" w:rsidP="0081336F">
            <w:pPr>
              <w:pStyle w:val="13"/>
              <w:ind w:firstLineChars="0" w:firstLine="0"/>
              <w:rPr>
                <w:sz w:val="21"/>
                <w:szCs w:val="21"/>
              </w:rPr>
            </w:pPr>
            <w:r w:rsidRPr="0081336F">
              <w:rPr>
                <w:rFonts w:hint="eastAsia"/>
                <w:sz w:val="21"/>
                <w:szCs w:val="21"/>
              </w:rPr>
              <w:t>（2）非预定收益型非寿险投资型产品投资金部分期末责任准备金的1%。</w:t>
            </w:r>
          </w:p>
        </w:tc>
      </w:tr>
      <w:tr w:rsidR="0081336F" w:rsidRPr="0081336F" w14:paraId="0BC27D38" w14:textId="77777777" w:rsidTr="0081336F">
        <w:tc>
          <w:tcPr>
            <w:tcW w:w="1129" w:type="dxa"/>
            <w:vMerge w:val="restart"/>
            <w:vAlign w:val="center"/>
          </w:tcPr>
          <w:p w14:paraId="1E93D809" w14:textId="77777777" w:rsidR="0081336F" w:rsidRPr="0081336F" w:rsidRDefault="0081336F" w:rsidP="0081336F">
            <w:pPr>
              <w:pStyle w:val="13"/>
              <w:ind w:firstLineChars="0" w:firstLine="0"/>
              <w:rPr>
                <w:sz w:val="21"/>
                <w:szCs w:val="21"/>
              </w:rPr>
            </w:pPr>
            <w:r w:rsidRPr="0081336F">
              <w:rPr>
                <w:rFonts w:hint="eastAsia"/>
                <w:sz w:val="21"/>
                <w:szCs w:val="21"/>
              </w:rPr>
              <w:t>寿险公司</w:t>
            </w:r>
          </w:p>
        </w:tc>
        <w:tc>
          <w:tcPr>
            <w:tcW w:w="1389" w:type="dxa"/>
            <w:vAlign w:val="center"/>
          </w:tcPr>
          <w:p w14:paraId="6D314DFC" w14:textId="77777777" w:rsidR="0081336F" w:rsidRDefault="0081336F" w:rsidP="0081336F">
            <w:pPr>
              <w:pStyle w:val="13"/>
              <w:ind w:firstLineChars="0" w:firstLine="0"/>
              <w:rPr>
                <w:sz w:val="21"/>
                <w:szCs w:val="21"/>
              </w:rPr>
            </w:pPr>
            <w:r w:rsidRPr="0081336F">
              <w:rPr>
                <w:rFonts w:hint="eastAsia"/>
                <w:sz w:val="21"/>
                <w:szCs w:val="21"/>
              </w:rPr>
              <w:t>长期</w:t>
            </w:r>
          </w:p>
          <w:p w14:paraId="5830672F" w14:textId="41CCE9C7" w:rsidR="0081336F" w:rsidRPr="0081336F" w:rsidRDefault="0081336F" w:rsidP="0081336F">
            <w:pPr>
              <w:pStyle w:val="13"/>
              <w:ind w:firstLineChars="0" w:firstLine="0"/>
              <w:rPr>
                <w:sz w:val="21"/>
                <w:szCs w:val="21"/>
              </w:rPr>
            </w:pPr>
            <w:r w:rsidRPr="0081336F">
              <w:rPr>
                <w:rFonts w:hint="eastAsia"/>
                <w:sz w:val="21"/>
                <w:szCs w:val="21"/>
              </w:rPr>
              <w:t>人身险业务</w:t>
            </w:r>
          </w:p>
        </w:tc>
        <w:tc>
          <w:tcPr>
            <w:tcW w:w="6004" w:type="dxa"/>
            <w:gridSpan w:val="2"/>
          </w:tcPr>
          <w:p w14:paraId="53F35695" w14:textId="77777777" w:rsidR="0081336F" w:rsidRPr="0081336F" w:rsidRDefault="0081336F" w:rsidP="0081336F">
            <w:pPr>
              <w:pStyle w:val="13"/>
              <w:ind w:firstLineChars="0" w:firstLine="0"/>
              <w:rPr>
                <w:sz w:val="21"/>
                <w:szCs w:val="21"/>
              </w:rPr>
            </w:pPr>
            <w:r w:rsidRPr="0081336F">
              <w:rPr>
                <w:rFonts w:hint="eastAsia"/>
                <w:sz w:val="21"/>
                <w:szCs w:val="21"/>
              </w:rPr>
              <w:t>下述两项之和：</w:t>
            </w:r>
          </w:p>
          <w:p w14:paraId="394D6A2C" w14:textId="77777777" w:rsidR="0081336F" w:rsidRPr="0081336F" w:rsidRDefault="0081336F" w:rsidP="0081336F">
            <w:pPr>
              <w:pStyle w:val="13"/>
              <w:ind w:firstLineChars="0" w:firstLine="0"/>
              <w:rPr>
                <w:sz w:val="21"/>
                <w:szCs w:val="21"/>
              </w:rPr>
            </w:pPr>
            <w:r w:rsidRPr="0081336F">
              <w:rPr>
                <w:rFonts w:hint="eastAsia"/>
                <w:sz w:val="21"/>
                <w:szCs w:val="21"/>
              </w:rPr>
              <w:t>（1）投资连结保险产品期末责任准备金的1%和其他寿险产品期末责任准备金的4%；</w:t>
            </w:r>
          </w:p>
          <w:p w14:paraId="69EEDDDE" w14:textId="77777777" w:rsidR="0081336F" w:rsidRPr="0081336F" w:rsidRDefault="0081336F" w:rsidP="0081336F">
            <w:pPr>
              <w:pStyle w:val="13"/>
              <w:ind w:firstLineChars="0" w:firstLine="0"/>
              <w:rPr>
                <w:sz w:val="21"/>
                <w:szCs w:val="21"/>
              </w:rPr>
            </w:pPr>
            <w:r w:rsidRPr="0081336F">
              <w:rPr>
                <w:rFonts w:hint="eastAsia"/>
                <w:sz w:val="21"/>
                <w:szCs w:val="21"/>
              </w:rPr>
              <w:t>（2）保险期间小于3年的定期死亡保险风险保额的0.1%，保险期间为3年到5年的定期死亡保险风险保额的0.15%，保险期间超过5年的定期死亡保险和其他险种风险保额的0.3%。</w:t>
            </w:r>
          </w:p>
        </w:tc>
      </w:tr>
      <w:tr w:rsidR="0081336F" w:rsidRPr="0081336F" w14:paraId="13576040" w14:textId="77777777" w:rsidTr="0081336F">
        <w:tc>
          <w:tcPr>
            <w:tcW w:w="1129" w:type="dxa"/>
            <w:vMerge/>
            <w:vAlign w:val="center"/>
          </w:tcPr>
          <w:p w14:paraId="3F4A9294" w14:textId="77777777" w:rsidR="0081336F" w:rsidRPr="0081336F" w:rsidRDefault="0081336F" w:rsidP="0081336F">
            <w:pPr>
              <w:pStyle w:val="13"/>
              <w:ind w:firstLineChars="0" w:firstLine="0"/>
              <w:rPr>
                <w:b/>
                <w:bCs/>
                <w:sz w:val="21"/>
                <w:szCs w:val="21"/>
              </w:rPr>
            </w:pPr>
          </w:p>
        </w:tc>
        <w:tc>
          <w:tcPr>
            <w:tcW w:w="1389" w:type="dxa"/>
            <w:vAlign w:val="center"/>
          </w:tcPr>
          <w:p w14:paraId="1543FB2A" w14:textId="77777777" w:rsidR="0081336F" w:rsidRDefault="0081336F" w:rsidP="0081336F">
            <w:pPr>
              <w:pStyle w:val="13"/>
              <w:ind w:firstLineChars="0" w:firstLine="0"/>
              <w:rPr>
                <w:sz w:val="21"/>
                <w:szCs w:val="21"/>
              </w:rPr>
            </w:pPr>
            <w:r w:rsidRPr="0081336F">
              <w:rPr>
                <w:rFonts w:hint="eastAsia"/>
                <w:sz w:val="21"/>
                <w:szCs w:val="21"/>
              </w:rPr>
              <w:t>短期</w:t>
            </w:r>
          </w:p>
          <w:p w14:paraId="5A020FC2" w14:textId="17899C75" w:rsidR="0081336F" w:rsidRPr="0081336F" w:rsidRDefault="0081336F" w:rsidP="0081336F">
            <w:pPr>
              <w:pStyle w:val="13"/>
              <w:ind w:firstLineChars="0" w:firstLine="0"/>
              <w:rPr>
                <w:sz w:val="21"/>
                <w:szCs w:val="21"/>
              </w:rPr>
            </w:pPr>
            <w:r w:rsidRPr="0081336F">
              <w:rPr>
                <w:rFonts w:hint="eastAsia"/>
                <w:sz w:val="21"/>
                <w:szCs w:val="21"/>
              </w:rPr>
              <w:t>人身险业务</w:t>
            </w:r>
          </w:p>
        </w:tc>
        <w:tc>
          <w:tcPr>
            <w:tcW w:w="6004" w:type="dxa"/>
            <w:gridSpan w:val="2"/>
          </w:tcPr>
          <w:p w14:paraId="1C235A99" w14:textId="77777777" w:rsidR="0081336F" w:rsidRPr="0081336F" w:rsidRDefault="0081336F" w:rsidP="0081336F">
            <w:pPr>
              <w:pStyle w:val="13"/>
              <w:ind w:firstLineChars="0" w:firstLine="0"/>
              <w:rPr>
                <w:sz w:val="21"/>
                <w:szCs w:val="21"/>
              </w:rPr>
            </w:pPr>
            <w:r w:rsidRPr="0081336F">
              <w:rPr>
                <w:rFonts w:hint="eastAsia"/>
                <w:sz w:val="21"/>
                <w:szCs w:val="21"/>
              </w:rPr>
              <w:t>适用非寿险保障型业务最低资本评估标准。</w:t>
            </w:r>
          </w:p>
        </w:tc>
      </w:tr>
    </w:tbl>
    <w:p w14:paraId="6C18E3F5" w14:textId="77777777" w:rsidR="0081336F" w:rsidRDefault="0081336F" w:rsidP="0081336F">
      <w:pPr>
        <w:pStyle w:val="13"/>
        <w:ind w:firstLine="482"/>
        <w:rPr>
          <w:b/>
        </w:rPr>
      </w:pPr>
    </w:p>
    <w:p w14:paraId="1A14215D" w14:textId="6C0738BF" w:rsidR="0081336F" w:rsidRPr="0081336F" w:rsidRDefault="0081336F" w:rsidP="0081336F">
      <w:pPr>
        <w:pStyle w:val="13"/>
        <w:ind w:firstLine="482"/>
        <w:rPr>
          <w:b/>
        </w:rPr>
      </w:pPr>
      <w:r w:rsidRPr="0081336F">
        <w:rPr>
          <w:rFonts w:hint="eastAsia"/>
          <w:b/>
        </w:rPr>
        <w:t>（三）偿付能力充足率</w:t>
      </w:r>
    </w:p>
    <w:p w14:paraId="1150A369" w14:textId="77777777" w:rsidR="0081336F" w:rsidRPr="0081336F" w:rsidRDefault="0081336F" w:rsidP="0081336F">
      <w:pPr>
        <w:pStyle w:val="13"/>
      </w:pPr>
      <w:r w:rsidRPr="0081336F">
        <w:rPr>
          <w:rFonts w:hint="eastAsia"/>
        </w:rPr>
        <w:t>偿付能力充足率﹦实际资本/最低资本</w:t>
      </w:r>
    </w:p>
    <w:p w14:paraId="5D99B694" w14:textId="77777777" w:rsidR="0081336F" w:rsidRPr="0081336F" w:rsidRDefault="0081336F" w:rsidP="0081336F">
      <w:pPr>
        <w:pStyle w:val="13"/>
      </w:pPr>
      <w:r w:rsidRPr="0081336F">
        <w:rPr>
          <w:rFonts w:hint="eastAsia"/>
        </w:rPr>
        <w:t>保险公司的偿付能力充足率又称资本充足率，衡量保险公司对保单持有人进行偿付的能力。</w:t>
      </w:r>
    </w:p>
    <w:p w14:paraId="6CFE37E2" w14:textId="77777777" w:rsidR="0081336F" w:rsidRPr="0081336F" w:rsidRDefault="0081336F" w:rsidP="0081336F">
      <w:pPr>
        <w:pStyle w:val="13"/>
      </w:pPr>
      <w:r w:rsidRPr="0081336F">
        <w:rPr>
          <w:rFonts w:hint="eastAsia"/>
        </w:rPr>
        <w:t>中国保监会规定，保险公司偿付能力充足率不应低于100%，并根据偿付能力充足率将保险公司划分为三类：不足类公司（偿付能力充足率低于100%），充足Ⅰ类公司（偿付能力充足率在100%和150%之间）和充足Ⅱ类公司（偿付能力充足率高于150%）。不同类别公司适用不同的监管政策。</w:t>
      </w:r>
    </w:p>
    <w:p w14:paraId="6FB2DD6C" w14:textId="77777777" w:rsidR="0081336F" w:rsidRPr="0081336F" w:rsidRDefault="0081336F" w:rsidP="0081336F">
      <w:pPr>
        <w:pStyle w:val="13"/>
      </w:pPr>
      <w:r w:rsidRPr="0081336F">
        <w:rPr>
          <w:rFonts w:hint="eastAsia"/>
        </w:rPr>
        <w:t>偿付能力充足率对保险公司的业务发展进行约束。对保险公司进行评估，保险公司偿付能力充足率不足或出现预警的，应考虑适当调整业务发展规模，或降低对股东的分红。此外，保险公司应根据业务发展需要建立相应的资本补充机制，如提升盈利能力、进行资本融资等。</w:t>
      </w:r>
    </w:p>
    <w:p w14:paraId="3BE5700C" w14:textId="77777777" w:rsidR="0081336F" w:rsidRPr="0081336F" w:rsidRDefault="0081336F" w:rsidP="0081336F">
      <w:pPr>
        <w:pStyle w:val="13"/>
        <w:ind w:firstLine="482"/>
        <w:rPr>
          <w:b/>
        </w:rPr>
      </w:pPr>
      <w:r w:rsidRPr="0081336F">
        <w:rPr>
          <w:rFonts w:hint="eastAsia"/>
          <w:b/>
        </w:rPr>
        <w:t>（四）次级债</w:t>
      </w:r>
    </w:p>
    <w:p w14:paraId="6C0840EB" w14:textId="77777777" w:rsidR="0081336F" w:rsidRPr="0081336F" w:rsidRDefault="0081336F" w:rsidP="0081336F">
      <w:pPr>
        <w:pStyle w:val="13"/>
      </w:pPr>
      <w:r w:rsidRPr="0081336F">
        <w:rPr>
          <w:rFonts w:hint="eastAsia"/>
        </w:rPr>
        <w:t>保险公司次级债，是指保险公司为了弥补临时性或者阶段性资本不足，经批准募集，期限在五年以上（含五年），且本金和利息的清偿顺序列于保单责任和其他负债之后、先于保险公司股权资本的保险公司债务。</w:t>
      </w:r>
    </w:p>
    <w:p w14:paraId="13AF58EE" w14:textId="77777777" w:rsidR="0081336F" w:rsidRPr="0081336F" w:rsidRDefault="0081336F" w:rsidP="0081336F">
      <w:pPr>
        <w:pStyle w:val="13"/>
      </w:pPr>
      <w:r w:rsidRPr="0081336F">
        <w:rPr>
          <w:rFonts w:hint="eastAsia"/>
        </w:rPr>
        <w:t>对保险公司进行评估，保险公司有计划通过发行</w:t>
      </w:r>
      <w:proofErr w:type="gramStart"/>
      <w:r w:rsidRPr="0081336F">
        <w:rPr>
          <w:rFonts w:hint="eastAsia"/>
        </w:rPr>
        <w:t>次级债对资本金</w:t>
      </w:r>
      <w:proofErr w:type="gramEnd"/>
      <w:r w:rsidRPr="0081336F">
        <w:rPr>
          <w:rFonts w:hint="eastAsia"/>
        </w:rPr>
        <w:t>进行补充的，应符合以下规定：</w:t>
      </w:r>
    </w:p>
    <w:p w14:paraId="48F3691E" w14:textId="77777777" w:rsidR="0081336F" w:rsidRPr="0081336F" w:rsidRDefault="0081336F" w:rsidP="0081336F">
      <w:pPr>
        <w:pStyle w:val="13"/>
      </w:pPr>
      <w:r w:rsidRPr="0081336F">
        <w:rPr>
          <w:rFonts w:hint="eastAsia"/>
        </w:rPr>
        <w:t>1.偿付能力充足率低于150%或者预计未来两年内偿付能力充足率将低于150%；</w:t>
      </w:r>
    </w:p>
    <w:p w14:paraId="3D1488C1" w14:textId="77777777" w:rsidR="0081336F" w:rsidRPr="0081336F" w:rsidRDefault="0081336F" w:rsidP="0081336F">
      <w:pPr>
        <w:pStyle w:val="13"/>
      </w:pPr>
      <w:r w:rsidRPr="0081336F">
        <w:rPr>
          <w:rFonts w:hint="eastAsia"/>
        </w:rPr>
        <w:t>2.经审计的上年度末净资产不低于人民币5亿元；</w:t>
      </w:r>
    </w:p>
    <w:p w14:paraId="57CF1A52" w14:textId="77777777" w:rsidR="0081336F" w:rsidRPr="0081336F" w:rsidRDefault="0081336F" w:rsidP="0081336F">
      <w:pPr>
        <w:pStyle w:val="13"/>
      </w:pPr>
      <w:r w:rsidRPr="0081336F">
        <w:rPr>
          <w:rFonts w:hint="eastAsia"/>
        </w:rPr>
        <w:t>3.募集后，累计</w:t>
      </w:r>
      <w:proofErr w:type="gramStart"/>
      <w:r w:rsidRPr="0081336F">
        <w:rPr>
          <w:rFonts w:hint="eastAsia"/>
        </w:rPr>
        <w:t>未偿</w:t>
      </w:r>
      <w:proofErr w:type="gramEnd"/>
      <w:r w:rsidRPr="0081336F">
        <w:rPr>
          <w:rFonts w:hint="eastAsia"/>
        </w:rPr>
        <w:t>付的次级债本息额不超过上年度</w:t>
      </w:r>
      <w:proofErr w:type="gramStart"/>
      <w:r w:rsidRPr="0081336F">
        <w:rPr>
          <w:rFonts w:hint="eastAsia"/>
        </w:rPr>
        <w:t>末经</w:t>
      </w:r>
      <w:proofErr w:type="gramEnd"/>
      <w:r w:rsidRPr="0081336F">
        <w:rPr>
          <w:rFonts w:hint="eastAsia"/>
        </w:rPr>
        <w:t>审计的净资产的50%；</w:t>
      </w:r>
    </w:p>
    <w:p w14:paraId="3F319D32" w14:textId="77777777" w:rsidR="0081336F" w:rsidRPr="0081336F" w:rsidRDefault="0081336F" w:rsidP="0081336F">
      <w:pPr>
        <w:pStyle w:val="13"/>
      </w:pPr>
      <w:r w:rsidRPr="0081336F">
        <w:rPr>
          <w:rFonts w:hint="eastAsia"/>
        </w:rPr>
        <w:t>4.只有在确保偿还次级债本息后偿付能力充足率不低于100%的前提下，才能安排偿付本息；</w:t>
      </w:r>
    </w:p>
    <w:p w14:paraId="6D686619" w14:textId="77777777" w:rsidR="0081336F" w:rsidRPr="0081336F" w:rsidRDefault="0081336F" w:rsidP="0081336F">
      <w:pPr>
        <w:pStyle w:val="13"/>
      </w:pPr>
      <w:r w:rsidRPr="0081336F">
        <w:rPr>
          <w:rFonts w:hint="eastAsia"/>
        </w:rPr>
        <w:t>5.募集人不能按时偿付次级债本息的，期间不得安排股利发放。</w:t>
      </w:r>
    </w:p>
    <w:p w14:paraId="5921AC3D" w14:textId="77777777" w:rsidR="0081336F" w:rsidRPr="0081336F" w:rsidRDefault="0081336F" w:rsidP="0081336F">
      <w:pPr>
        <w:pStyle w:val="13"/>
      </w:pPr>
      <w:r w:rsidRPr="0081336F">
        <w:rPr>
          <w:rFonts w:hint="eastAsia"/>
        </w:rPr>
        <w:t>次级债的偿还义务优先于股权，以收益法对保险公司进行评估，应合理安排偿还次级债本息及发放股利的顺序。若在次级债本息不能按时清偿的情况下安排股利发放，可能导致股权价值高估。</w:t>
      </w:r>
    </w:p>
    <w:p w14:paraId="7BD9945F" w14:textId="77777777" w:rsidR="0081336F" w:rsidRPr="0081336F" w:rsidRDefault="0081336F" w:rsidP="0081336F">
      <w:pPr>
        <w:pStyle w:val="13"/>
      </w:pPr>
      <w:r w:rsidRPr="0081336F">
        <w:rPr>
          <w:rFonts w:hint="eastAsia"/>
        </w:rPr>
        <w:t>需要注意的是，保险公司计入附属资本的次级</w:t>
      </w:r>
      <w:proofErr w:type="gramStart"/>
      <w:r w:rsidRPr="0081336F">
        <w:rPr>
          <w:rFonts w:hint="eastAsia"/>
        </w:rPr>
        <w:t>债金额</w:t>
      </w:r>
      <w:proofErr w:type="gramEnd"/>
      <w:r w:rsidRPr="0081336F">
        <w:rPr>
          <w:rFonts w:hint="eastAsia"/>
        </w:rPr>
        <w:t>不得超过净资产的50%，所以保险公司并不能单纯采用发行次级债的方式进行资本补充。</w:t>
      </w:r>
    </w:p>
    <w:p w14:paraId="651DF626" w14:textId="77777777" w:rsidR="0081336F" w:rsidRPr="0081336F" w:rsidRDefault="0081336F" w:rsidP="0081336F">
      <w:pPr>
        <w:pStyle w:val="13"/>
        <w:ind w:firstLine="482"/>
        <w:rPr>
          <w:b/>
        </w:rPr>
      </w:pPr>
      <w:r w:rsidRPr="0081336F">
        <w:rPr>
          <w:rFonts w:hint="eastAsia"/>
          <w:b/>
        </w:rPr>
        <w:t>（五）保证金</w:t>
      </w:r>
    </w:p>
    <w:p w14:paraId="4978F089" w14:textId="77777777" w:rsidR="0081336F" w:rsidRPr="0081336F" w:rsidRDefault="0081336F" w:rsidP="0081336F">
      <w:pPr>
        <w:pStyle w:val="13"/>
      </w:pPr>
      <w:r w:rsidRPr="0081336F">
        <w:rPr>
          <w:rFonts w:hint="eastAsia"/>
        </w:rPr>
        <w:t>保险公司应当按照其注册资本总额的20%提取保证金，存入国务院保险监督管理机构指定的银行，除公司清算时用于清偿债务外，不得动用。</w:t>
      </w:r>
    </w:p>
    <w:p w14:paraId="3FB0A4B7" w14:textId="77777777" w:rsidR="0081336F" w:rsidRPr="0081336F" w:rsidRDefault="0081336F" w:rsidP="0081336F">
      <w:pPr>
        <w:pStyle w:val="13"/>
      </w:pPr>
      <w:r w:rsidRPr="0081336F">
        <w:rPr>
          <w:rFonts w:hint="eastAsia"/>
        </w:rPr>
        <w:t>存出资本保证金不得随意支取，以收益法对保险公司进行评估，应将存出资本保</w:t>
      </w:r>
      <w:r w:rsidRPr="0081336F">
        <w:rPr>
          <w:rFonts w:hint="eastAsia"/>
        </w:rPr>
        <w:lastRenderedPageBreak/>
        <w:t>证金视为保险公司持续经营所必需的资金，不得作为溢</w:t>
      </w:r>
      <w:proofErr w:type="gramStart"/>
      <w:r w:rsidRPr="0081336F">
        <w:rPr>
          <w:rFonts w:hint="eastAsia"/>
        </w:rPr>
        <w:t>余资金</w:t>
      </w:r>
      <w:proofErr w:type="gramEnd"/>
      <w:r w:rsidRPr="0081336F">
        <w:rPr>
          <w:rFonts w:hint="eastAsia"/>
        </w:rPr>
        <w:t>处理，否则会造成评估价值偏高。</w:t>
      </w:r>
    </w:p>
    <w:p w14:paraId="76ABDE5D" w14:textId="77777777" w:rsidR="0081336F" w:rsidRPr="0081336F" w:rsidRDefault="0081336F" w:rsidP="0081336F">
      <w:pPr>
        <w:pStyle w:val="13"/>
        <w:ind w:firstLine="482"/>
        <w:rPr>
          <w:b/>
        </w:rPr>
      </w:pPr>
      <w:r w:rsidRPr="0081336F">
        <w:rPr>
          <w:rFonts w:hint="eastAsia"/>
          <w:b/>
        </w:rPr>
        <w:t>（六）保险保障基金</w:t>
      </w:r>
    </w:p>
    <w:p w14:paraId="3A7E867A" w14:textId="77777777" w:rsidR="0081336F" w:rsidRPr="0081336F" w:rsidRDefault="0081336F" w:rsidP="0081336F">
      <w:pPr>
        <w:pStyle w:val="13"/>
      </w:pPr>
      <w:r w:rsidRPr="0081336F">
        <w:rPr>
          <w:rFonts w:hint="eastAsia"/>
        </w:rPr>
        <w:t>保险保障基金是保险公司根据监管要求缴纳的，在一定情况下，用于救助保单持有人、保单受让公司或者处置保险业风险的非政府性行业风险救助基金。</w:t>
      </w:r>
    </w:p>
    <w:p w14:paraId="22F9D75B" w14:textId="77777777" w:rsidR="0081336F" w:rsidRPr="0081336F" w:rsidRDefault="0081336F" w:rsidP="0081336F">
      <w:pPr>
        <w:pStyle w:val="13"/>
      </w:pPr>
      <w:r w:rsidRPr="0081336F">
        <w:rPr>
          <w:rFonts w:hint="eastAsia"/>
        </w:rPr>
        <w:t>有下列情形之一的，保险公司可以动用保险保障基金：</w:t>
      </w:r>
    </w:p>
    <w:p w14:paraId="65C77A26" w14:textId="77777777" w:rsidR="0081336F" w:rsidRPr="0081336F" w:rsidRDefault="0081336F" w:rsidP="0081336F">
      <w:pPr>
        <w:pStyle w:val="13"/>
      </w:pPr>
      <w:r w:rsidRPr="0081336F">
        <w:rPr>
          <w:rFonts w:hint="eastAsia"/>
        </w:rPr>
        <w:t>1.保险公司被依法撤销或者依法实施破产，其清算财产不足以偿付保单利益的；</w:t>
      </w:r>
    </w:p>
    <w:p w14:paraId="30A5F792" w14:textId="77777777" w:rsidR="0081336F" w:rsidRPr="0081336F" w:rsidRDefault="0081336F" w:rsidP="0081336F">
      <w:pPr>
        <w:pStyle w:val="13"/>
      </w:pPr>
      <w:r w:rsidRPr="0081336F">
        <w:rPr>
          <w:rFonts w:hint="eastAsia"/>
        </w:rPr>
        <w:t>2.中国保监会经商有关部门认定，保险公司存在重大风险，可能严重危及社会公共利益和金融稳定的。</w:t>
      </w:r>
    </w:p>
    <w:p w14:paraId="6A1767DD" w14:textId="77777777" w:rsidR="0081336F" w:rsidRPr="0081336F" w:rsidRDefault="0081336F" w:rsidP="0081336F">
      <w:pPr>
        <w:pStyle w:val="13"/>
      </w:pPr>
      <w:r w:rsidRPr="0081336F">
        <w:rPr>
          <w:rFonts w:hint="eastAsia"/>
        </w:rPr>
        <w:t>保险保障基金分为财产保险保障基金和人身保险保障基金，具体监管要求如下：</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0"/>
        <w:gridCol w:w="868"/>
        <w:gridCol w:w="2268"/>
        <w:gridCol w:w="2268"/>
        <w:gridCol w:w="2318"/>
      </w:tblGrid>
      <w:tr w:rsidR="0081336F" w:rsidRPr="0081336F" w14:paraId="1B0BC064" w14:textId="77777777" w:rsidTr="0081336F">
        <w:trPr>
          <w:tblHeader/>
        </w:trPr>
        <w:tc>
          <w:tcPr>
            <w:tcW w:w="3936" w:type="dxa"/>
            <w:gridSpan w:val="3"/>
            <w:vAlign w:val="center"/>
          </w:tcPr>
          <w:p w14:paraId="1EF88299"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保险类型</w:t>
            </w:r>
          </w:p>
        </w:tc>
        <w:tc>
          <w:tcPr>
            <w:tcW w:w="2268" w:type="dxa"/>
            <w:vAlign w:val="center"/>
          </w:tcPr>
          <w:p w14:paraId="3EB6DDFB"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缴纳标准</w:t>
            </w:r>
          </w:p>
        </w:tc>
        <w:tc>
          <w:tcPr>
            <w:tcW w:w="2318" w:type="dxa"/>
            <w:vAlign w:val="center"/>
          </w:tcPr>
          <w:p w14:paraId="086EBB15"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暂停缴纳</w:t>
            </w:r>
          </w:p>
        </w:tc>
      </w:tr>
      <w:tr w:rsidR="0081336F" w:rsidRPr="0081336F" w14:paraId="573D32F9" w14:textId="77777777" w:rsidTr="0081336F">
        <w:tc>
          <w:tcPr>
            <w:tcW w:w="800" w:type="dxa"/>
            <w:vMerge w:val="restart"/>
            <w:vAlign w:val="center"/>
          </w:tcPr>
          <w:p w14:paraId="2CE072CD" w14:textId="77777777" w:rsidR="0081336F" w:rsidRPr="0081336F" w:rsidRDefault="0081336F" w:rsidP="0081336F">
            <w:pPr>
              <w:pStyle w:val="13"/>
              <w:ind w:firstLineChars="0" w:firstLine="0"/>
              <w:rPr>
                <w:sz w:val="21"/>
                <w:szCs w:val="21"/>
              </w:rPr>
            </w:pPr>
            <w:r w:rsidRPr="0081336F">
              <w:rPr>
                <w:rFonts w:hint="eastAsia"/>
                <w:sz w:val="21"/>
                <w:szCs w:val="21"/>
              </w:rPr>
              <w:t>财产</w:t>
            </w:r>
          </w:p>
          <w:p w14:paraId="39A0FE56" w14:textId="77777777" w:rsidR="0081336F" w:rsidRPr="0081336F" w:rsidRDefault="0081336F" w:rsidP="0081336F">
            <w:pPr>
              <w:pStyle w:val="13"/>
              <w:ind w:firstLineChars="0" w:firstLine="0"/>
              <w:rPr>
                <w:sz w:val="21"/>
                <w:szCs w:val="21"/>
              </w:rPr>
            </w:pPr>
            <w:r w:rsidRPr="0081336F">
              <w:rPr>
                <w:rFonts w:hint="eastAsia"/>
                <w:sz w:val="21"/>
                <w:szCs w:val="21"/>
              </w:rPr>
              <w:t>保险</w:t>
            </w:r>
          </w:p>
        </w:tc>
        <w:tc>
          <w:tcPr>
            <w:tcW w:w="3136" w:type="dxa"/>
            <w:gridSpan w:val="2"/>
            <w:vAlign w:val="center"/>
          </w:tcPr>
          <w:p w14:paraId="7049F73D" w14:textId="77777777" w:rsidR="0081336F" w:rsidRPr="0081336F" w:rsidRDefault="0081336F" w:rsidP="0081336F">
            <w:pPr>
              <w:pStyle w:val="13"/>
              <w:ind w:firstLineChars="0" w:firstLine="0"/>
              <w:rPr>
                <w:sz w:val="21"/>
                <w:szCs w:val="21"/>
              </w:rPr>
            </w:pPr>
            <w:r w:rsidRPr="0081336F">
              <w:rPr>
                <w:rFonts w:hint="eastAsia"/>
                <w:sz w:val="21"/>
                <w:szCs w:val="21"/>
              </w:rPr>
              <w:t>非投资型</w:t>
            </w:r>
          </w:p>
        </w:tc>
        <w:tc>
          <w:tcPr>
            <w:tcW w:w="2268" w:type="dxa"/>
            <w:vAlign w:val="center"/>
          </w:tcPr>
          <w:p w14:paraId="609EE2BC" w14:textId="77777777" w:rsidR="0081336F" w:rsidRPr="0081336F" w:rsidRDefault="0081336F" w:rsidP="0081336F">
            <w:pPr>
              <w:pStyle w:val="13"/>
              <w:ind w:firstLineChars="0" w:firstLine="0"/>
              <w:rPr>
                <w:sz w:val="21"/>
                <w:szCs w:val="21"/>
              </w:rPr>
            </w:pPr>
            <w:r w:rsidRPr="0081336F">
              <w:rPr>
                <w:rFonts w:hint="eastAsia"/>
                <w:sz w:val="21"/>
                <w:szCs w:val="21"/>
              </w:rPr>
              <w:t>保费收入的</w:t>
            </w:r>
            <w:r w:rsidRPr="0081336F">
              <w:rPr>
                <w:sz w:val="21"/>
                <w:szCs w:val="21"/>
              </w:rPr>
              <w:t>0.8%</w:t>
            </w:r>
          </w:p>
        </w:tc>
        <w:tc>
          <w:tcPr>
            <w:tcW w:w="2318" w:type="dxa"/>
            <w:vMerge w:val="restart"/>
            <w:vAlign w:val="center"/>
          </w:tcPr>
          <w:p w14:paraId="4A6D1EA3" w14:textId="77777777" w:rsidR="0081336F" w:rsidRPr="0081336F" w:rsidRDefault="0081336F" w:rsidP="0081336F">
            <w:pPr>
              <w:pStyle w:val="13"/>
              <w:ind w:firstLineChars="0" w:firstLine="0"/>
              <w:rPr>
                <w:sz w:val="21"/>
                <w:szCs w:val="21"/>
              </w:rPr>
            </w:pPr>
            <w:r w:rsidRPr="0081336F">
              <w:rPr>
                <w:rFonts w:hint="eastAsia"/>
                <w:sz w:val="21"/>
                <w:szCs w:val="21"/>
              </w:rPr>
              <w:t>保险保障基金余额达到公司总资产</w:t>
            </w:r>
            <w:r w:rsidRPr="0081336F">
              <w:rPr>
                <w:sz w:val="21"/>
                <w:szCs w:val="21"/>
              </w:rPr>
              <w:t>6%</w:t>
            </w:r>
          </w:p>
        </w:tc>
      </w:tr>
      <w:tr w:rsidR="0081336F" w:rsidRPr="0081336F" w14:paraId="13279894" w14:textId="77777777" w:rsidTr="0081336F">
        <w:tc>
          <w:tcPr>
            <w:tcW w:w="800" w:type="dxa"/>
            <w:vMerge/>
            <w:vAlign w:val="center"/>
          </w:tcPr>
          <w:p w14:paraId="61D9598A" w14:textId="77777777" w:rsidR="0081336F" w:rsidRPr="0081336F" w:rsidRDefault="0081336F" w:rsidP="0081336F">
            <w:pPr>
              <w:pStyle w:val="13"/>
              <w:ind w:firstLineChars="0" w:firstLine="0"/>
              <w:rPr>
                <w:b/>
                <w:bCs/>
                <w:sz w:val="21"/>
                <w:szCs w:val="21"/>
              </w:rPr>
            </w:pPr>
          </w:p>
        </w:tc>
        <w:tc>
          <w:tcPr>
            <w:tcW w:w="3136" w:type="dxa"/>
            <w:gridSpan w:val="2"/>
            <w:vAlign w:val="center"/>
          </w:tcPr>
          <w:p w14:paraId="6A4CF03A" w14:textId="77777777" w:rsidR="0081336F" w:rsidRPr="0081336F" w:rsidRDefault="0081336F" w:rsidP="0081336F">
            <w:pPr>
              <w:pStyle w:val="13"/>
              <w:ind w:firstLineChars="0" w:firstLine="0"/>
              <w:rPr>
                <w:sz w:val="21"/>
                <w:szCs w:val="21"/>
              </w:rPr>
            </w:pPr>
            <w:r w:rsidRPr="0081336F">
              <w:rPr>
                <w:rFonts w:hint="eastAsia"/>
                <w:sz w:val="21"/>
                <w:szCs w:val="21"/>
              </w:rPr>
              <w:t>投资型、有保证收益</w:t>
            </w:r>
          </w:p>
        </w:tc>
        <w:tc>
          <w:tcPr>
            <w:tcW w:w="2268" w:type="dxa"/>
            <w:vAlign w:val="center"/>
          </w:tcPr>
          <w:p w14:paraId="24A8CCE5" w14:textId="77777777" w:rsidR="0081336F" w:rsidRPr="0081336F" w:rsidRDefault="0081336F" w:rsidP="0081336F">
            <w:pPr>
              <w:pStyle w:val="13"/>
              <w:ind w:firstLineChars="0" w:firstLine="0"/>
              <w:rPr>
                <w:sz w:val="21"/>
                <w:szCs w:val="21"/>
              </w:rPr>
            </w:pPr>
            <w:r w:rsidRPr="0081336F">
              <w:rPr>
                <w:rFonts w:hint="eastAsia"/>
                <w:sz w:val="21"/>
                <w:szCs w:val="21"/>
              </w:rPr>
              <w:t>业务收入的</w:t>
            </w:r>
            <w:r w:rsidRPr="0081336F">
              <w:rPr>
                <w:sz w:val="21"/>
                <w:szCs w:val="21"/>
              </w:rPr>
              <w:t>0.08%</w:t>
            </w:r>
          </w:p>
        </w:tc>
        <w:tc>
          <w:tcPr>
            <w:tcW w:w="2318" w:type="dxa"/>
            <w:vMerge/>
            <w:vAlign w:val="center"/>
          </w:tcPr>
          <w:p w14:paraId="7AC92F46" w14:textId="77777777" w:rsidR="0081336F" w:rsidRPr="0081336F" w:rsidRDefault="0081336F" w:rsidP="0081336F">
            <w:pPr>
              <w:pStyle w:val="13"/>
              <w:ind w:firstLineChars="0" w:firstLine="0"/>
              <w:rPr>
                <w:b/>
                <w:bCs/>
                <w:sz w:val="21"/>
                <w:szCs w:val="21"/>
              </w:rPr>
            </w:pPr>
          </w:p>
        </w:tc>
      </w:tr>
      <w:tr w:rsidR="0081336F" w:rsidRPr="0081336F" w14:paraId="18485E70" w14:textId="77777777" w:rsidTr="0081336F">
        <w:tc>
          <w:tcPr>
            <w:tcW w:w="800" w:type="dxa"/>
            <w:vMerge/>
            <w:vAlign w:val="center"/>
          </w:tcPr>
          <w:p w14:paraId="71151AE3" w14:textId="77777777" w:rsidR="0081336F" w:rsidRPr="0081336F" w:rsidRDefault="0081336F" w:rsidP="0081336F">
            <w:pPr>
              <w:pStyle w:val="13"/>
              <w:ind w:firstLineChars="0" w:firstLine="0"/>
              <w:rPr>
                <w:b/>
                <w:bCs/>
                <w:sz w:val="21"/>
                <w:szCs w:val="21"/>
              </w:rPr>
            </w:pPr>
          </w:p>
        </w:tc>
        <w:tc>
          <w:tcPr>
            <w:tcW w:w="3136" w:type="dxa"/>
            <w:gridSpan w:val="2"/>
            <w:vAlign w:val="center"/>
          </w:tcPr>
          <w:p w14:paraId="51B56E59" w14:textId="77777777" w:rsidR="0081336F" w:rsidRPr="0081336F" w:rsidRDefault="0081336F" w:rsidP="0081336F">
            <w:pPr>
              <w:pStyle w:val="13"/>
              <w:ind w:firstLineChars="0" w:firstLine="0"/>
              <w:rPr>
                <w:sz w:val="21"/>
                <w:szCs w:val="21"/>
              </w:rPr>
            </w:pPr>
            <w:r w:rsidRPr="0081336F">
              <w:rPr>
                <w:rFonts w:hint="eastAsia"/>
                <w:sz w:val="21"/>
                <w:szCs w:val="21"/>
              </w:rPr>
              <w:t>投资型、无保证收益</w:t>
            </w:r>
          </w:p>
        </w:tc>
        <w:tc>
          <w:tcPr>
            <w:tcW w:w="2268" w:type="dxa"/>
            <w:vAlign w:val="center"/>
          </w:tcPr>
          <w:p w14:paraId="38573E26" w14:textId="77777777" w:rsidR="0081336F" w:rsidRPr="0081336F" w:rsidRDefault="0081336F" w:rsidP="0081336F">
            <w:pPr>
              <w:pStyle w:val="13"/>
              <w:ind w:firstLineChars="0" w:firstLine="0"/>
              <w:rPr>
                <w:sz w:val="21"/>
                <w:szCs w:val="21"/>
              </w:rPr>
            </w:pPr>
            <w:r w:rsidRPr="0081336F">
              <w:rPr>
                <w:rFonts w:hint="eastAsia"/>
                <w:sz w:val="21"/>
                <w:szCs w:val="21"/>
              </w:rPr>
              <w:t>业务收入的</w:t>
            </w:r>
            <w:r w:rsidRPr="0081336F">
              <w:rPr>
                <w:sz w:val="21"/>
                <w:szCs w:val="21"/>
              </w:rPr>
              <w:t>0.05%</w:t>
            </w:r>
          </w:p>
        </w:tc>
        <w:tc>
          <w:tcPr>
            <w:tcW w:w="2318" w:type="dxa"/>
            <w:vMerge/>
            <w:vAlign w:val="center"/>
          </w:tcPr>
          <w:p w14:paraId="05F80E47" w14:textId="77777777" w:rsidR="0081336F" w:rsidRPr="0081336F" w:rsidRDefault="0081336F" w:rsidP="0081336F">
            <w:pPr>
              <w:pStyle w:val="13"/>
              <w:ind w:firstLineChars="0" w:firstLine="0"/>
              <w:rPr>
                <w:b/>
                <w:bCs/>
                <w:sz w:val="21"/>
                <w:szCs w:val="21"/>
              </w:rPr>
            </w:pPr>
          </w:p>
        </w:tc>
      </w:tr>
      <w:tr w:rsidR="0081336F" w:rsidRPr="0081336F" w14:paraId="5D2EA796" w14:textId="77777777" w:rsidTr="0081336F">
        <w:tc>
          <w:tcPr>
            <w:tcW w:w="800" w:type="dxa"/>
            <w:vMerge w:val="restart"/>
            <w:vAlign w:val="center"/>
          </w:tcPr>
          <w:p w14:paraId="2B5B9B59" w14:textId="77777777" w:rsidR="0081336F" w:rsidRPr="0081336F" w:rsidRDefault="0081336F" w:rsidP="0081336F">
            <w:pPr>
              <w:pStyle w:val="13"/>
              <w:ind w:firstLineChars="0" w:firstLine="0"/>
              <w:rPr>
                <w:sz w:val="21"/>
                <w:szCs w:val="21"/>
              </w:rPr>
            </w:pPr>
            <w:r w:rsidRPr="0081336F">
              <w:rPr>
                <w:rFonts w:hint="eastAsia"/>
                <w:sz w:val="21"/>
                <w:szCs w:val="21"/>
              </w:rPr>
              <w:t>人身</w:t>
            </w:r>
          </w:p>
          <w:p w14:paraId="746362B2" w14:textId="77777777" w:rsidR="0081336F" w:rsidRPr="0081336F" w:rsidRDefault="0081336F" w:rsidP="0081336F">
            <w:pPr>
              <w:pStyle w:val="13"/>
              <w:ind w:firstLineChars="0" w:firstLine="0"/>
              <w:rPr>
                <w:sz w:val="21"/>
                <w:szCs w:val="21"/>
              </w:rPr>
            </w:pPr>
            <w:r w:rsidRPr="0081336F">
              <w:rPr>
                <w:rFonts w:hint="eastAsia"/>
                <w:sz w:val="21"/>
                <w:szCs w:val="21"/>
              </w:rPr>
              <w:t>保险</w:t>
            </w:r>
          </w:p>
        </w:tc>
        <w:tc>
          <w:tcPr>
            <w:tcW w:w="868" w:type="dxa"/>
            <w:vMerge w:val="restart"/>
            <w:vAlign w:val="center"/>
          </w:tcPr>
          <w:p w14:paraId="23CE3DCD" w14:textId="77777777" w:rsidR="0081336F" w:rsidRPr="0081336F" w:rsidRDefault="0081336F" w:rsidP="0081336F">
            <w:pPr>
              <w:pStyle w:val="13"/>
              <w:ind w:firstLineChars="0" w:firstLine="0"/>
              <w:rPr>
                <w:sz w:val="21"/>
                <w:szCs w:val="21"/>
              </w:rPr>
            </w:pPr>
            <w:r w:rsidRPr="0081336F">
              <w:rPr>
                <w:rFonts w:hint="eastAsia"/>
                <w:sz w:val="21"/>
                <w:szCs w:val="21"/>
              </w:rPr>
              <w:t>人寿</w:t>
            </w:r>
          </w:p>
          <w:p w14:paraId="3A25B41F" w14:textId="77777777" w:rsidR="0081336F" w:rsidRPr="0081336F" w:rsidRDefault="0081336F" w:rsidP="0081336F">
            <w:pPr>
              <w:pStyle w:val="13"/>
              <w:ind w:firstLineChars="0" w:firstLine="0"/>
              <w:rPr>
                <w:sz w:val="21"/>
                <w:szCs w:val="21"/>
              </w:rPr>
            </w:pPr>
            <w:r w:rsidRPr="0081336F">
              <w:rPr>
                <w:rFonts w:hint="eastAsia"/>
                <w:sz w:val="21"/>
                <w:szCs w:val="21"/>
              </w:rPr>
              <w:t>保险</w:t>
            </w:r>
          </w:p>
        </w:tc>
        <w:tc>
          <w:tcPr>
            <w:tcW w:w="2268" w:type="dxa"/>
            <w:vAlign w:val="center"/>
          </w:tcPr>
          <w:p w14:paraId="537BCA26" w14:textId="77777777" w:rsidR="0081336F" w:rsidRPr="0081336F" w:rsidRDefault="0081336F" w:rsidP="0081336F">
            <w:pPr>
              <w:pStyle w:val="13"/>
              <w:ind w:firstLineChars="0" w:firstLine="0"/>
              <w:rPr>
                <w:sz w:val="21"/>
                <w:szCs w:val="21"/>
              </w:rPr>
            </w:pPr>
            <w:r w:rsidRPr="0081336F">
              <w:rPr>
                <w:rFonts w:hint="eastAsia"/>
                <w:sz w:val="21"/>
                <w:szCs w:val="21"/>
              </w:rPr>
              <w:t>有保证收益</w:t>
            </w:r>
          </w:p>
        </w:tc>
        <w:tc>
          <w:tcPr>
            <w:tcW w:w="2268" w:type="dxa"/>
            <w:vAlign w:val="center"/>
          </w:tcPr>
          <w:p w14:paraId="4F06F92F" w14:textId="77777777" w:rsidR="0081336F" w:rsidRPr="0081336F" w:rsidRDefault="0081336F" w:rsidP="0081336F">
            <w:pPr>
              <w:pStyle w:val="13"/>
              <w:ind w:firstLineChars="0" w:firstLine="0"/>
              <w:rPr>
                <w:sz w:val="21"/>
                <w:szCs w:val="21"/>
              </w:rPr>
            </w:pPr>
            <w:r w:rsidRPr="0081336F">
              <w:rPr>
                <w:rFonts w:hint="eastAsia"/>
                <w:sz w:val="21"/>
                <w:szCs w:val="21"/>
              </w:rPr>
              <w:t>业务收入的</w:t>
            </w:r>
            <w:r w:rsidRPr="0081336F">
              <w:rPr>
                <w:sz w:val="21"/>
                <w:szCs w:val="21"/>
              </w:rPr>
              <w:t>0.15%</w:t>
            </w:r>
          </w:p>
        </w:tc>
        <w:tc>
          <w:tcPr>
            <w:tcW w:w="2318" w:type="dxa"/>
            <w:vMerge w:val="restart"/>
            <w:vAlign w:val="center"/>
          </w:tcPr>
          <w:p w14:paraId="599250B2" w14:textId="77777777" w:rsidR="0081336F" w:rsidRPr="0081336F" w:rsidRDefault="0081336F" w:rsidP="0081336F">
            <w:pPr>
              <w:pStyle w:val="13"/>
              <w:ind w:firstLineChars="0" w:firstLine="0"/>
              <w:rPr>
                <w:sz w:val="21"/>
                <w:szCs w:val="21"/>
              </w:rPr>
            </w:pPr>
            <w:r w:rsidRPr="0081336F">
              <w:rPr>
                <w:rFonts w:hint="eastAsia"/>
                <w:sz w:val="21"/>
                <w:szCs w:val="21"/>
              </w:rPr>
              <w:t>保险保障基金余额达到公司总资产</w:t>
            </w:r>
            <w:r w:rsidRPr="0081336F">
              <w:rPr>
                <w:sz w:val="21"/>
                <w:szCs w:val="21"/>
              </w:rPr>
              <w:t>1%</w:t>
            </w:r>
          </w:p>
        </w:tc>
      </w:tr>
      <w:tr w:rsidR="0081336F" w:rsidRPr="0081336F" w14:paraId="3B28AE10" w14:textId="77777777" w:rsidTr="0081336F">
        <w:tc>
          <w:tcPr>
            <w:tcW w:w="800" w:type="dxa"/>
            <w:vMerge/>
            <w:vAlign w:val="center"/>
          </w:tcPr>
          <w:p w14:paraId="61E0070C" w14:textId="77777777" w:rsidR="0081336F" w:rsidRPr="0081336F" w:rsidRDefault="0081336F" w:rsidP="0081336F">
            <w:pPr>
              <w:pStyle w:val="13"/>
              <w:ind w:firstLineChars="0" w:firstLine="0"/>
              <w:rPr>
                <w:b/>
                <w:bCs/>
                <w:sz w:val="21"/>
                <w:szCs w:val="21"/>
              </w:rPr>
            </w:pPr>
          </w:p>
        </w:tc>
        <w:tc>
          <w:tcPr>
            <w:tcW w:w="868" w:type="dxa"/>
            <w:vMerge/>
            <w:vAlign w:val="center"/>
          </w:tcPr>
          <w:p w14:paraId="6A7B443A" w14:textId="77777777" w:rsidR="0081336F" w:rsidRPr="0081336F" w:rsidRDefault="0081336F" w:rsidP="0081336F">
            <w:pPr>
              <w:pStyle w:val="13"/>
              <w:ind w:firstLineChars="0" w:firstLine="0"/>
              <w:rPr>
                <w:b/>
                <w:bCs/>
                <w:sz w:val="21"/>
                <w:szCs w:val="21"/>
              </w:rPr>
            </w:pPr>
          </w:p>
        </w:tc>
        <w:tc>
          <w:tcPr>
            <w:tcW w:w="2268" w:type="dxa"/>
            <w:vAlign w:val="center"/>
          </w:tcPr>
          <w:p w14:paraId="15F5625A" w14:textId="77777777" w:rsidR="0081336F" w:rsidRPr="0081336F" w:rsidRDefault="0081336F" w:rsidP="0081336F">
            <w:pPr>
              <w:pStyle w:val="13"/>
              <w:ind w:firstLineChars="0" w:firstLine="0"/>
              <w:rPr>
                <w:sz w:val="21"/>
                <w:szCs w:val="21"/>
              </w:rPr>
            </w:pPr>
            <w:r w:rsidRPr="0081336F">
              <w:rPr>
                <w:rFonts w:hint="eastAsia"/>
                <w:sz w:val="21"/>
                <w:szCs w:val="21"/>
              </w:rPr>
              <w:t>无保证收益</w:t>
            </w:r>
          </w:p>
        </w:tc>
        <w:tc>
          <w:tcPr>
            <w:tcW w:w="2268" w:type="dxa"/>
            <w:vAlign w:val="center"/>
          </w:tcPr>
          <w:p w14:paraId="01CAE526" w14:textId="77777777" w:rsidR="0081336F" w:rsidRPr="0081336F" w:rsidRDefault="0081336F" w:rsidP="0081336F">
            <w:pPr>
              <w:pStyle w:val="13"/>
              <w:ind w:firstLineChars="0" w:firstLine="0"/>
              <w:rPr>
                <w:sz w:val="21"/>
                <w:szCs w:val="21"/>
              </w:rPr>
            </w:pPr>
            <w:r w:rsidRPr="0081336F">
              <w:rPr>
                <w:rFonts w:hint="eastAsia"/>
                <w:sz w:val="21"/>
                <w:szCs w:val="21"/>
              </w:rPr>
              <w:t>业务收入的</w:t>
            </w:r>
            <w:r w:rsidRPr="0081336F">
              <w:rPr>
                <w:sz w:val="21"/>
                <w:szCs w:val="21"/>
              </w:rPr>
              <w:t>0.05%</w:t>
            </w:r>
          </w:p>
        </w:tc>
        <w:tc>
          <w:tcPr>
            <w:tcW w:w="2318" w:type="dxa"/>
            <w:vMerge/>
          </w:tcPr>
          <w:p w14:paraId="5FC59D19" w14:textId="77777777" w:rsidR="0081336F" w:rsidRPr="0081336F" w:rsidRDefault="0081336F" w:rsidP="0081336F">
            <w:pPr>
              <w:pStyle w:val="13"/>
              <w:ind w:firstLineChars="0" w:firstLine="0"/>
              <w:rPr>
                <w:b/>
                <w:bCs/>
                <w:sz w:val="21"/>
                <w:szCs w:val="21"/>
              </w:rPr>
            </w:pPr>
          </w:p>
        </w:tc>
      </w:tr>
      <w:tr w:rsidR="0081336F" w:rsidRPr="0081336F" w14:paraId="1D5776EE" w14:textId="77777777" w:rsidTr="0081336F">
        <w:tc>
          <w:tcPr>
            <w:tcW w:w="800" w:type="dxa"/>
            <w:vMerge/>
            <w:vAlign w:val="center"/>
          </w:tcPr>
          <w:p w14:paraId="22AA6E76" w14:textId="77777777" w:rsidR="0081336F" w:rsidRPr="0081336F" w:rsidRDefault="0081336F" w:rsidP="0081336F">
            <w:pPr>
              <w:pStyle w:val="13"/>
              <w:ind w:firstLineChars="0" w:firstLine="0"/>
              <w:rPr>
                <w:b/>
                <w:bCs/>
                <w:sz w:val="21"/>
                <w:szCs w:val="21"/>
              </w:rPr>
            </w:pPr>
          </w:p>
        </w:tc>
        <w:tc>
          <w:tcPr>
            <w:tcW w:w="868" w:type="dxa"/>
            <w:vMerge w:val="restart"/>
            <w:vAlign w:val="center"/>
          </w:tcPr>
          <w:p w14:paraId="7F5C65C0" w14:textId="77777777" w:rsidR="0081336F" w:rsidRPr="0081336F" w:rsidRDefault="0081336F" w:rsidP="0081336F">
            <w:pPr>
              <w:pStyle w:val="13"/>
              <w:ind w:firstLineChars="0" w:firstLine="0"/>
              <w:rPr>
                <w:sz w:val="21"/>
                <w:szCs w:val="21"/>
              </w:rPr>
            </w:pPr>
            <w:r w:rsidRPr="0081336F">
              <w:rPr>
                <w:rFonts w:hint="eastAsia"/>
                <w:sz w:val="21"/>
                <w:szCs w:val="21"/>
              </w:rPr>
              <w:t>健康</w:t>
            </w:r>
          </w:p>
          <w:p w14:paraId="16B8827E" w14:textId="77777777" w:rsidR="0081336F" w:rsidRPr="0081336F" w:rsidRDefault="0081336F" w:rsidP="0081336F">
            <w:pPr>
              <w:pStyle w:val="13"/>
              <w:ind w:firstLineChars="0" w:firstLine="0"/>
              <w:rPr>
                <w:sz w:val="21"/>
                <w:szCs w:val="21"/>
              </w:rPr>
            </w:pPr>
            <w:r w:rsidRPr="0081336F">
              <w:rPr>
                <w:rFonts w:hint="eastAsia"/>
                <w:sz w:val="21"/>
                <w:szCs w:val="21"/>
              </w:rPr>
              <w:t>保险</w:t>
            </w:r>
          </w:p>
        </w:tc>
        <w:tc>
          <w:tcPr>
            <w:tcW w:w="2268" w:type="dxa"/>
            <w:vAlign w:val="center"/>
          </w:tcPr>
          <w:p w14:paraId="3F72EC79" w14:textId="77777777" w:rsidR="0081336F" w:rsidRPr="0081336F" w:rsidRDefault="0081336F" w:rsidP="0081336F">
            <w:pPr>
              <w:pStyle w:val="13"/>
              <w:ind w:firstLineChars="0" w:firstLine="0"/>
              <w:rPr>
                <w:sz w:val="21"/>
                <w:szCs w:val="21"/>
              </w:rPr>
            </w:pPr>
            <w:r w:rsidRPr="0081336F">
              <w:rPr>
                <w:rFonts w:hint="eastAsia"/>
                <w:sz w:val="21"/>
                <w:szCs w:val="21"/>
              </w:rPr>
              <w:t>短期</w:t>
            </w:r>
          </w:p>
        </w:tc>
        <w:tc>
          <w:tcPr>
            <w:tcW w:w="2268" w:type="dxa"/>
            <w:vAlign w:val="center"/>
          </w:tcPr>
          <w:p w14:paraId="36E6A97C" w14:textId="77777777" w:rsidR="0081336F" w:rsidRPr="0081336F" w:rsidRDefault="0081336F" w:rsidP="0081336F">
            <w:pPr>
              <w:pStyle w:val="13"/>
              <w:ind w:firstLineChars="0" w:firstLine="0"/>
              <w:rPr>
                <w:sz w:val="21"/>
                <w:szCs w:val="21"/>
              </w:rPr>
            </w:pPr>
            <w:r w:rsidRPr="0081336F">
              <w:rPr>
                <w:rFonts w:hint="eastAsia"/>
                <w:sz w:val="21"/>
                <w:szCs w:val="21"/>
              </w:rPr>
              <w:t>保费收入的</w:t>
            </w:r>
            <w:r w:rsidRPr="0081336F">
              <w:rPr>
                <w:sz w:val="21"/>
                <w:szCs w:val="21"/>
              </w:rPr>
              <w:t>0.8%</w:t>
            </w:r>
          </w:p>
        </w:tc>
        <w:tc>
          <w:tcPr>
            <w:tcW w:w="2318" w:type="dxa"/>
            <w:vMerge/>
          </w:tcPr>
          <w:p w14:paraId="4A00D77B" w14:textId="77777777" w:rsidR="0081336F" w:rsidRPr="0081336F" w:rsidRDefault="0081336F" w:rsidP="0081336F">
            <w:pPr>
              <w:pStyle w:val="13"/>
              <w:ind w:firstLineChars="0" w:firstLine="0"/>
              <w:rPr>
                <w:b/>
                <w:bCs/>
                <w:sz w:val="21"/>
                <w:szCs w:val="21"/>
              </w:rPr>
            </w:pPr>
          </w:p>
        </w:tc>
      </w:tr>
      <w:tr w:rsidR="0081336F" w:rsidRPr="0081336F" w14:paraId="0CD50857" w14:textId="77777777" w:rsidTr="0081336F">
        <w:tc>
          <w:tcPr>
            <w:tcW w:w="800" w:type="dxa"/>
            <w:vMerge/>
            <w:vAlign w:val="center"/>
          </w:tcPr>
          <w:p w14:paraId="3F7A5BDB" w14:textId="77777777" w:rsidR="0081336F" w:rsidRPr="0081336F" w:rsidRDefault="0081336F" w:rsidP="0081336F">
            <w:pPr>
              <w:pStyle w:val="13"/>
              <w:ind w:firstLineChars="0" w:firstLine="0"/>
              <w:rPr>
                <w:b/>
                <w:bCs/>
                <w:sz w:val="21"/>
                <w:szCs w:val="21"/>
              </w:rPr>
            </w:pPr>
          </w:p>
        </w:tc>
        <w:tc>
          <w:tcPr>
            <w:tcW w:w="868" w:type="dxa"/>
            <w:vMerge/>
            <w:vAlign w:val="center"/>
          </w:tcPr>
          <w:p w14:paraId="5422C0C4" w14:textId="77777777" w:rsidR="0081336F" w:rsidRPr="0081336F" w:rsidRDefault="0081336F" w:rsidP="0081336F">
            <w:pPr>
              <w:pStyle w:val="13"/>
              <w:ind w:firstLineChars="0" w:firstLine="0"/>
              <w:rPr>
                <w:b/>
                <w:bCs/>
                <w:sz w:val="21"/>
                <w:szCs w:val="21"/>
              </w:rPr>
            </w:pPr>
          </w:p>
        </w:tc>
        <w:tc>
          <w:tcPr>
            <w:tcW w:w="2268" w:type="dxa"/>
            <w:vAlign w:val="center"/>
          </w:tcPr>
          <w:p w14:paraId="544A01BC" w14:textId="77777777" w:rsidR="0081336F" w:rsidRPr="0081336F" w:rsidRDefault="0081336F" w:rsidP="0081336F">
            <w:pPr>
              <w:pStyle w:val="13"/>
              <w:ind w:firstLineChars="0" w:firstLine="0"/>
              <w:rPr>
                <w:sz w:val="21"/>
                <w:szCs w:val="21"/>
              </w:rPr>
            </w:pPr>
            <w:r w:rsidRPr="0081336F">
              <w:rPr>
                <w:rFonts w:hint="eastAsia"/>
                <w:sz w:val="21"/>
                <w:szCs w:val="21"/>
              </w:rPr>
              <w:t>长期</w:t>
            </w:r>
          </w:p>
        </w:tc>
        <w:tc>
          <w:tcPr>
            <w:tcW w:w="2268" w:type="dxa"/>
            <w:vAlign w:val="center"/>
          </w:tcPr>
          <w:p w14:paraId="36315DAB" w14:textId="77777777" w:rsidR="0081336F" w:rsidRPr="0081336F" w:rsidRDefault="0081336F" w:rsidP="0081336F">
            <w:pPr>
              <w:pStyle w:val="13"/>
              <w:ind w:firstLineChars="0" w:firstLine="0"/>
              <w:rPr>
                <w:sz w:val="21"/>
                <w:szCs w:val="21"/>
              </w:rPr>
            </w:pPr>
            <w:r w:rsidRPr="0081336F">
              <w:rPr>
                <w:rFonts w:hint="eastAsia"/>
                <w:sz w:val="21"/>
                <w:szCs w:val="21"/>
              </w:rPr>
              <w:t>保费收入的</w:t>
            </w:r>
            <w:r w:rsidRPr="0081336F">
              <w:rPr>
                <w:sz w:val="21"/>
                <w:szCs w:val="21"/>
              </w:rPr>
              <w:t>0.15%</w:t>
            </w:r>
          </w:p>
        </w:tc>
        <w:tc>
          <w:tcPr>
            <w:tcW w:w="2318" w:type="dxa"/>
            <w:vMerge/>
          </w:tcPr>
          <w:p w14:paraId="1EE330D4" w14:textId="77777777" w:rsidR="0081336F" w:rsidRPr="0081336F" w:rsidRDefault="0081336F" w:rsidP="0081336F">
            <w:pPr>
              <w:pStyle w:val="13"/>
              <w:ind w:firstLineChars="0" w:firstLine="0"/>
              <w:rPr>
                <w:b/>
                <w:bCs/>
                <w:sz w:val="21"/>
                <w:szCs w:val="21"/>
              </w:rPr>
            </w:pPr>
          </w:p>
        </w:tc>
      </w:tr>
      <w:tr w:rsidR="0081336F" w:rsidRPr="0081336F" w14:paraId="2C22CBD2" w14:textId="77777777" w:rsidTr="0081336F">
        <w:tc>
          <w:tcPr>
            <w:tcW w:w="800" w:type="dxa"/>
            <w:vMerge/>
            <w:vAlign w:val="center"/>
          </w:tcPr>
          <w:p w14:paraId="63ADA47B" w14:textId="77777777" w:rsidR="0081336F" w:rsidRPr="0081336F" w:rsidRDefault="0081336F" w:rsidP="0081336F">
            <w:pPr>
              <w:pStyle w:val="13"/>
              <w:ind w:firstLineChars="0" w:firstLine="0"/>
              <w:rPr>
                <w:b/>
                <w:bCs/>
                <w:sz w:val="21"/>
                <w:szCs w:val="21"/>
              </w:rPr>
            </w:pPr>
          </w:p>
        </w:tc>
        <w:tc>
          <w:tcPr>
            <w:tcW w:w="868" w:type="dxa"/>
            <w:vMerge w:val="restart"/>
            <w:vAlign w:val="center"/>
          </w:tcPr>
          <w:p w14:paraId="178BE957" w14:textId="77777777" w:rsidR="0081336F" w:rsidRPr="0081336F" w:rsidRDefault="0081336F" w:rsidP="0081336F">
            <w:pPr>
              <w:pStyle w:val="13"/>
              <w:ind w:firstLineChars="0" w:firstLine="0"/>
              <w:rPr>
                <w:sz w:val="21"/>
                <w:szCs w:val="21"/>
              </w:rPr>
            </w:pPr>
            <w:r w:rsidRPr="0081336F">
              <w:rPr>
                <w:rFonts w:hint="eastAsia"/>
                <w:sz w:val="21"/>
                <w:szCs w:val="21"/>
              </w:rPr>
              <w:t>意外</w:t>
            </w:r>
          </w:p>
          <w:p w14:paraId="6D835C3C" w14:textId="77777777" w:rsidR="0081336F" w:rsidRPr="0081336F" w:rsidRDefault="0081336F" w:rsidP="0081336F">
            <w:pPr>
              <w:pStyle w:val="13"/>
              <w:ind w:firstLineChars="0" w:firstLine="0"/>
              <w:rPr>
                <w:sz w:val="21"/>
                <w:szCs w:val="21"/>
              </w:rPr>
            </w:pPr>
            <w:r w:rsidRPr="0081336F">
              <w:rPr>
                <w:rFonts w:hint="eastAsia"/>
                <w:sz w:val="21"/>
                <w:szCs w:val="21"/>
              </w:rPr>
              <w:t>伤害</w:t>
            </w:r>
          </w:p>
          <w:p w14:paraId="63765B63" w14:textId="77777777" w:rsidR="0081336F" w:rsidRPr="0081336F" w:rsidRDefault="0081336F" w:rsidP="0081336F">
            <w:pPr>
              <w:pStyle w:val="13"/>
              <w:ind w:firstLineChars="0" w:firstLine="0"/>
              <w:rPr>
                <w:sz w:val="21"/>
                <w:szCs w:val="21"/>
              </w:rPr>
            </w:pPr>
            <w:r w:rsidRPr="0081336F">
              <w:rPr>
                <w:rFonts w:hint="eastAsia"/>
                <w:sz w:val="21"/>
                <w:szCs w:val="21"/>
              </w:rPr>
              <w:t>保险</w:t>
            </w:r>
          </w:p>
        </w:tc>
        <w:tc>
          <w:tcPr>
            <w:tcW w:w="2268" w:type="dxa"/>
            <w:vAlign w:val="center"/>
          </w:tcPr>
          <w:p w14:paraId="4E9CCCE4" w14:textId="77777777" w:rsidR="0081336F" w:rsidRPr="0081336F" w:rsidRDefault="0081336F" w:rsidP="0081336F">
            <w:pPr>
              <w:pStyle w:val="13"/>
              <w:ind w:firstLineChars="0" w:firstLine="0"/>
              <w:rPr>
                <w:sz w:val="21"/>
                <w:szCs w:val="21"/>
              </w:rPr>
            </w:pPr>
            <w:r w:rsidRPr="0081336F">
              <w:rPr>
                <w:rFonts w:hint="eastAsia"/>
                <w:sz w:val="21"/>
                <w:szCs w:val="21"/>
              </w:rPr>
              <w:t>非投资型</w:t>
            </w:r>
          </w:p>
        </w:tc>
        <w:tc>
          <w:tcPr>
            <w:tcW w:w="2268" w:type="dxa"/>
            <w:vAlign w:val="center"/>
          </w:tcPr>
          <w:p w14:paraId="706D1E31" w14:textId="77777777" w:rsidR="0081336F" w:rsidRPr="0081336F" w:rsidRDefault="0081336F" w:rsidP="0081336F">
            <w:pPr>
              <w:pStyle w:val="13"/>
              <w:ind w:firstLineChars="0" w:firstLine="0"/>
              <w:rPr>
                <w:sz w:val="21"/>
                <w:szCs w:val="21"/>
              </w:rPr>
            </w:pPr>
            <w:r w:rsidRPr="0081336F">
              <w:rPr>
                <w:rFonts w:hint="eastAsia"/>
                <w:sz w:val="21"/>
                <w:szCs w:val="21"/>
              </w:rPr>
              <w:t>保费收入的</w:t>
            </w:r>
            <w:r w:rsidRPr="0081336F">
              <w:rPr>
                <w:sz w:val="21"/>
                <w:szCs w:val="21"/>
              </w:rPr>
              <w:t>0.8%</w:t>
            </w:r>
          </w:p>
        </w:tc>
        <w:tc>
          <w:tcPr>
            <w:tcW w:w="2318" w:type="dxa"/>
            <w:vMerge/>
          </w:tcPr>
          <w:p w14:paraId="252C3610" w14:textId="77777777" w:rsidR="0081336F" w:rsidRPr="0081336F" w:rsidRDefault="0081336F" w:rsidP="0081336F">
            <w:pPr>
              <w:pStyle w:val="13"/>
              <w:ind w:firstLineChars="0" w:firstLine="0"/>
              <w:rPr>
                <w:b/>
                <w:bCs/>
                <w:sz w:val="21"/>
                <w:szCs w:val="21"/>
              </w:rPr>
            </w:pPr>
          </w:p>
        </w:tc>
      </w:tr>
      <w:tr w:rsidR="0081336F" w:rsidRPr="0081336F" w14:paraId="1DCAB8CC" w14:textId="77777777" w:rsidTr="0081336F">
        <w:tc>
          <w:tcPr>
            <w:tcW w:w="800" w:type="dxa"/>
            <w:vMerge/>
            <w:vAlign w:val="center"/>
          </w:tcPr>
          <w:p w14:paraId="4DF2001E" w14:textId="77777777" w:rsidR="0081336F" w:rsidRPr="0081336F" w:rsidRDefault="0081336F" w:rsidP="0081336F">
            <w:pPr>
              <w:pStyle w:val="13"/>
              <w:ind w:firstLineChars="0" w:firstLine="0"/>
              <w:rPr>
                <w:b/>
                <w:bCs/>
                <w:sz w:val="21"/>
                <w:szCs w:val="21"/>
              </w:rPr>
            </w:pPr>
          </w:p>
        </w:tc>
        <w:tc>
          <w:tcPr>
            <w:tcW w:w="868" w:type="dxa"/>
            <w:vMerge/>
            <w:vAlign w:val="center"/>
          </w:tcPr>
          <w:p w14:paraId="57FB6E04" w14:textId="77777777" w:rsidR="0081336F" w:rsidRPr="0081336F" w:rsidRDefault="0081336F" w:rsidP="0081336F">
            <w:pPr>
              <w:pStyle w:val="13"/>
              <w:ind w:firstLineChars="0" w:firstLine="0"/>
              <w:rPr>
                <w:b/>
                <w:bCs/>
                <w:sz w:val="21"/>
                <w:szCs w:val="21"/>
              </w:rPr>
            </w:pPr>
          </w:p>
        </w:tc>
        <w:tc>
          <w:tcPr>
            <w:tcW w:w="2268" w:type="dxa"/>
            <w:vAlign w:val="center"/>
          </w:tcPr>
          <w:p w14:paraId="63B8779A" w14:textId="77777777" w:rsidR="0081336F" w:rsidRPr="0081336F" w:rsidRDefault="0081336F" w:rsidP="0081336F">
            <w:pPr>
              <w:pStyle w:val="13"/>
              <w:ind w:firstLineChars="0" w:firstLine="0"/>
              <w:rPr>
                <w:sz w:val="21"/>
                <w:szCs w:val="21"/>
              </w:rPr>
            </w:pPr>
            <w:r w:rsidRPr="0081336F">
              <w:rPr>
                <w:rFonts w:hint="eastAsia"/>
                <w:sz w:val="21"/>
                <w:szCs w:val="21"/>
              </w:rPr>
              <w:t>投资型、有保证收益</w:t>
            </w:r>
          </w:p>
        </w:tc>
        <w:tc>
          <w:tcPr>
            <w:tcW w:w="2268" w:type="dxa"/>
            <w:vAlign w:val="center"/>
          </w:tcPr>
          <w:p w14:paraId="36D13B38" w14:textId="77777777" w:rsidR="0081336F" w:rsidRPr="0081336F" w:rsidRDefault="0081336F" w:rsidP="0081336F">
            <w:pPr>
              <w:pStyle w:val="13"/>
              <w:ind w:firstLineChars="0" w:firstLine="0"/>
              <w:rPr>
                <w:sz w:val="21"/>
                <w:szCs w:val="21"/>
              </w:rPr>
            </w:pPr>
            <w:r w:rsidRPr="0081336F">
              <w:rPr>
                <w:rFonts w:hint="eastAsia"/>
                <w:sz w:val="21"/>
                <w:szCs w:val="21"/>
              </w:rPr>
              <w:t>业务收入的</w:t>
            </w:r>
            <w:r w:rsidRPr="0081336F">
              <w:rPr>
                <w:sz w:val="21"/>
                <w:szCs w:val="21"/>
              </w:rPr>
              <w:t>0.08%</w:t>
            </w:r>
          </w:p>
        </w:tc>
        <w:tc>
          <w:tcPr>
            <w:tcW w:w="2318" w:type="dxa"/>
            <w:vMerge/>
          </w:tcPr>
          <w:p w14:paraId="13D998E1" w14:textId="77777777" w:rsidR="0081336F" w:rsidRPr="0081336F" w:rsidRDefault="0081336F" w:rsidP="0081336F">
            <w:pPr>
              <w:pStyle w:val="13"/>
              <w:ind w:firstLineChars="0" w:firstLine="0"/>
              <w:rPr>
                <w:b/>
                <w:bCs/>
                <w:sz w:val="21"/>
                <w:szCs w:val="21"/>
              </w:rPr>
            </w:pPr>
          </w:p>
        </w:tc>
      </w:tr>
      <w:tr w:rsidR="0081336F" w:rsidRPr="0081336F" w14:paraId="5024D51A" w14:textId="77777777" w:rsidTr="0081336F">
        <w:tc>
          <w:tcPr>
            <w:tcW w:w="800" w:type="dxa"/>
            <w:vMerge/>
            <w:vAlign w:val="center"/>
          </w:tcPr>
          <w:p w14:paraId="05202169" w14:textId="77777777" w:rsidR="0081336F" w:rsidRPr="0081336F" w:rsidRDefault="0081336F" w:rsidP="0081336F">
            <w:pPr>
              <w:pStyle w:val="13"/>
              <w:ind w:firstLineChars="0" w:firstLine="0"/>
              <w:rPr>
                <w:b/>
                <w:bCs/>
                <w:sz w:val="21"/>
                <w:szCs w:val="21"/>
              </w:rPr>
            </w:pPr>
          </w:p>
        </w:tc>
        <w:tc>
          <w:tcPr>
            <w:tcW w:w="868" w:type="dxa"/>
            <w:vMerge/>
            <w:vAlign w:val="center"/>
          </w:tcPr>
          <w:p w14:paraId="3CAE6E92" w14:textId="77777777" w:rsidR="0081336F" w:rsidRPr="0081336F" w:rsidRDefault="0081336F" w:rsidP="0081336F">
            <w:pPr>
              <w:pStyle w:val="13"/>
              <w:ind w:firstLineChars="0" w:firstLine="0"/>
              <w:rPr>
                <w:b/>
                <w:bCs/>
                <w:sz w:val="21"/>
                <w:szCs w:val="21"/>
              </w:rPr>
            </w:pPr>
          </w:p>
        </w:tc>
        <w:tc>
          <w:tcPr>
            <w:tcW w:w="2268" w:type="dxa"/>
            <w:vAlign w:val="center"/>
          </w:tcPr>
          <w:p w14:paraId="0AD49E13" w14:textId="77777777" w:rsidR="0081336F" w:rsidRPr="0081336F" w:rsidRDefault="0081336F" w:rsidP="0081336F">
            <w:pPr>
              <w:pStyle w:val="13"/>
              <w:ind w:firstLineChars="0" w:firstLine="0"/>
              <w:rPr>
                <w:sz w:val="21"/>
                <w:szCs w:val="21"/>
              </w:rPr>
            </w:pPr>
            <w:r w:rsidRPr="0081336F">
              <w:rPr>
                <w:rFonts w:hint="eastAsia"/>
                <w:sz w:val="21"/>
                <w:szCs w:val="21"/>
              </w:rPr>
              <w:t>投资型、无保证收益</w:t>
            </w:r>
          </w:p>
        </w:tc>
        <w:tc>
          <w:tcPr>
            <w:tcW w:w="2268" w:type="dxa"/>
            <w:vAlign w:val="center"/>
          </w:tcPr>
          <w:p w14:paraId="19C0F9E0" w14:textId="77777777" w:rsidR="0081336F" w:rsidRPr="0081336F" w:rsidRDefault="0081336F" w:rsidP="0081336F">
            <w:pPr>
              <w:pStyle w:val="13"/>
              <w:ind w:firstLineChars="0" w:firstLine="0"/>
              <w:rPr>
                <w:sz w:val="21"/>
                <w:szCs w:val="21"/>
              </w:rPr>
            </w:pPr>
            <w:r w:rsidRPr="0081336F">
              <w:rPr>
                <w:rFonts w:hint="eastAsia"/>
                <w:sz w:val="21"/>
                <w:szCs w:val="21"/>
              </w:rPr>
              <w:t>业务收入的</w:t>
            </w:r>
            <w:r w:rsidRPr="0081336F">
              <w:rPr>
                <w:sz w:val="21"/>
                <w:szCs w:val="21"/>
              </w:rPr>
              <w:t>0.05%</w:t>
            </w:r>
          </w:p>
        </w:tc>
        <w:tc>
          <w:tcPr>
            <w:tcW w:w="2318" w:type="dxa"/>
            <w:vMerge/>
          </w:tcPr>
          <w:p w14:paraId="1B3EB7FB" w14:textId="77777777" w:rsidR="0081336F" w:rsidRPr="0081336F" w:rsidRDefault="0081336F" w:rsidP="0081336F">
            <w:pPr>
              <w:pStyle w:val="13"/>
              <w:ind w:firstLineChars="0" w:firstLine="0"/>
              <w:rPr>
                <w:b/>
                <w:bCs/>
                <w:sz w:val="21"/>
                <w:szCs w:val="21"/>
              </w:rPr>
            </w:pPr>
          </w:p>
        </w:tc>
      </w:tr>
    </w:tbl>
    <w:p w14:paraId="301013C6" w14:textId="77777777" w:rsidR="0081336F" w:rsidRPr="0081336F" w:rsidRDefault="0081336F" w:rsidP="0081336F">
      <w:pPr>
        <w:pStyle w:val="13"/>
      </w:pPr>
      <w:r w:rsidRPr="0081336F">
        <w:rPr>
          <w:rFonts w:hint="eastAsia"/>
        </w:rPr>
        <w:t>保险公司会计年度提取的保险保障基金，计入业务及管理费科目。对保险公司进行评估，应根据保险公司不同类型业务对应的收入，合理计算当年应计提的保险保障基金。</w:t>
      </w:r>
    </w:p>
    <w:p w14:paraId="73D357C9" w14:textId="77777777" w:rsidR="0081336F" w:rsidRPr="0081336F" w:rsidRDefault="0081336F" w:rsidP="0081336F">
      <w:pPr>
        <w:pStyle w:val="13"/>
        <w:ind w:firstLine="482"/>
        <w:rPr>
          <w:b/>
        </w:rPr>
      </w:pPr>
      <w:r w:rsidRPr="0081336F">
        <w:rPr>
          <w:rFonts w:hint="eastAsia"/>
          <w:b/>
        </w:rPr>
        <w:t>四、财险公司监管指标</w:t>
      </w:r>
    </w:p>
    <w:p w14:paraId="0DDBB774" w14:textId="77777777" w:rsidR="0081336F" w:rsidRPr="0081336F" w:rsidRDefault="0081336F" w:rsidP="0081336F">
      <w:pPr>
        <w:pStyle w:val="13"/>
        <w:ind w:firstLine="482"/>
        <w:rPr>
          <w:b/>
        </w:rPr>
      </w:pPr>
      <w:r w:rsidRPr="0081336F">
        <w:rPr>
          <w:rFonts w:hint="eastAsia"/>
          <w:b/>
        </w:rPr>
        <w:t>（一）综合赔付率</w:t>
      </w:r>
    </w:p>
    <w:p w14:paraId="41199350" w14:textId="77777777" w:rsidR="0081336F" w:rsidRPr="0081336F" w:rsidRDefault="0081336F" w:rsidP="0081336F">
      <w:pPr>
        <w:pStyle w:val="13"/>
      </w:pPr>
      <w:r w:rsidRPr="0081336F">
        <w:rPr>
          <w:rFonts w:hint="eastAsia"/>
        </w:rPr>
        <w:t>综合赔付率﹦（赔付支出﹣摊回赔付支出﹢提取保险责任准备金﹣摊</w:t>
      </w:r>
      <w:proofErr w:type="gramStart"/>
      <w:r w:rsidRPr="0081336F">
        <w:rPr>
          <w:rFonts w:hint="eastAsia"/>
        </w:rPr>
        <w:t>回保险</w:t>
      </w:r>
      <w:proofErr w:type="gramEnd"/>
      <w:r w:rsidRPr="0081336F">
        <w:rPr>
          <w:rFonts w:hint="eastAsia"/>
        </w:rPr>
        <w:t>责任准备金）/已赚保费</w:t>
      </w:r>
    </w:p>
    <w:p w14:paraId="0D354A6B" w14:textId="77777777" w:rsidR="0081336F" w:rsidRPr="0081336F" w:rsidRDefault="0081336F" w:rsidP="0081336F">
      <w:pPr>
        <w:pStyle w:val="13"/>
      </w:pPr>
      <w:r w:rsidRPr="0081336F">
        <w:rPr>
          <w:rFonts w:hint="eastAsia"/>
        </w:rPr>
        <w:t>综合赔付率衡量财险公司的赔付支出情况。对财险公司进行评估，应根据预测结果计算其综合赔付率，预测期间的综合赔付率应符合该公司历史趋势和发展预期。</w:t>
      </w:r>
    </w:p>
    <w:p w14:paraId="5074A2FE" w14:textId="77777777" w:rsidR="0081336F" w:rsidRPr="0081336F" w:rsidRDefault="0081336F" w:rsidP="0081336F">
      <w:pPr>
        <w:pStyle w:val="13"/>
        <w:ind w:firstLine="482"/>
        <w:rPr>
          <w:b/>
        </w:rPr>
      </w:pPr>
      <w:r w:rsidRPr="0081336F">
        <w:rPr>
          <w:rFonts w:hint="eastAsia"/>
          <w:b/>
        </w:rPr>
        <w:t>（二）综合费用率</w:t>
      </w:r>
    </w:p>
    <w:p w14:paraId="259DC5FD" w14:textId="77777777" w:rsidR="0081336F" w:rsidRPr="0081336F" w:rsidRDefault="0081336F" w:rsidP="0081336F">
      <w:pPr>
        <w:pStyle w:val="13"/>
      </w:pPr>
      <w:r w:rsidRPr="0081336F">
        <w:rPr>
          <w:rFonts w:hint="eastAsia"/>
        </w:rPr>
        <w:t>综合费用率﹦（非投资相关的营业税金及附加﹢非投资相关的手续费及佣金支出﹢非投资相关的业务及管理费﹢分保费用﹣</w:t>
      </w:r>
      <w:proofErr w:type="gramStart"/>
      <w:r w:rsidRPr="0081336F">
        <w:rPr>
          <w:rFonts w:hint="eastAsia"/>
        </w:rPr>
        <w:t>摊回分保费</w:t>
      </w:r>
      <w:proofErr w:type="gramEnd"/>
      <w:r w:rsidRPr="0081336F">
        <w:rPr>
          <w:rFonts w:hint="eastAsia"/>
        </w:rPr>
        <w:t>用）/已赚保费</w:t>
      </w:r>
    </w:p>
    <w:p w14:paraId="30C13AFA" w14:textId="77777777" w:rsidR="0081336F" w:rsidRPr="0081336F" w:rsidRDefault="0081336F" w:rsidP="0081336F">
      <w:pPr>
        <w:pStyle w:val="13"/>
      </w:pPr>
      <w:r w:rsidRPr="0081336F">
        <w:rPr>
          <w:rFonts w:hint="eastAsia"/>
        </w:rPr>
        <w:t>综合费用率衡量财险公司控制经营成本的能力。其中，手续费及佣金支出主要是</w:t>
      </w:r>
      <w:r w:rsidRPr="0081336F">
        <w:rPr>
          <w:rFonts w:hint="eastAsia"/>
        </w:rPr>
        <w:lastRenderedPageBreak/>
        <w:t>保险公司支付给销售渠道以及保险营销员的费用。对财险公司进行评估，应根据预测结果计算其综合费用率，预测期间的综合费用率应符合该公司历史趋势和发展预期。</w:t>
      </w:r>
    </w:p>
    <w:p w14:paraId="000047EA" w14:textId="77777777" w:rsidR="0081336F" w:rsidRPr="0081336F" w:rsidRDefault="0081336F" w:rsidP="0081336F">
      <w:pPr>
        <w:pStyle w:val="13"/>
        <w:ind w:firstLine="482"/>
        <w:rPr>
          <w:b/>
        </w:rPr>
      </w:pPr>
      <w:r w:rsidRPr="0081336F">
        <w:rPr>
          <w:rFonts w:hint="eastAsia"/>
          <w:b/>
        </w:rPr>
        <w:t>（三）综合成本率</w:t>
      </w:r>
    </w:p>
    <w:p w14:paraId="25D38D3D" w14:textId="77777777" w:rsidR="0081336F" w:rsidRPr="0081336F" w:rsidRDefault="0081336F" w:rsidP="0081336F">
      <w:pPr>
        <w:pStyle w:val="13"/>
      </w:pPr>
      <w:r w:rsidRPr="0081336F">
        <w:rPr>
          <w:rFonts w:hint="eastAsia"/>
        </w:rPr>
        <w:t>综合成本率﹦综合赔付率﹢综合费用率</w:t>
      </w:r>
    </w:p>
    <w:p w14:paraId="3FDE1D9A" w14:textId="77777777" w:rsidR="0081336F" w:rsidRPr="0081336F" w:rsidRDefault="0081336F" w:rsidP="0081336F">
      <w:pPr>
        <w:pStyle w:val="13"/>
      </w:pPr>
      <w:r w:rsidRPr="0081336F">
        <w:rPr>
          <w:rFonts w:hint="eastAsia"/>
        </w:rPr>
        <w:t>综合成本率考虑了财险公司保险业务所对应的赔付和经营等各项支出，用于衡量财险公司开展保险业务的盈利能力。对财险公司进行评估，应根据预测结果计算其综合成本率，预测期间的综合成本率应符合该公司历史趋势和发展预期。</w:t>
      </w:r>
    </w:p>
    <w:p w14:paraId="4722664D" w14:textId="77777777" w:rsidR="0081336F" w:rsidRPr="0081336F" w:rsidRDefault="0081336F" w:rsidP="0081336F">
      <w:pPr>
        <w:pStyle w:val="13"/>
        <w:ind w:firstLine="482"/>
        <w:rPr>
          <w:b/>
        </w:rPr>
      </w:pPr>
      <w:r w:rsidRPr="0081336F">
        <w:rPr>
          <w:rFonts w:hint="eastAsia"/>
          <w:b/>
        </w:rPr>
        <w:t>（四）应收保费率</w:t>
      </w:r>
    </w:p>
    <w:p w14:paraId="0DBB6B25" w14:textId="77777777" w:rsidR="0081336F" w:rsidRPr="0081336F" w:rsidRDefault="0081336F" w:rsidP="0081336F">
      <w:pPr>
        <w:pStyle w:val="13"/>
      </w:pPr>
      <w:r w:rsidRPr="0081336F">
        <w:rPr>
          <w:rFonts w:hint="eastAsia"/>
        </w:rPr>
        <w:t>应收保费率﹦应收保费/保费收入×100%</w:t>
      </w:r>
    </w:p>
    <w:p w14:paraId="6A0A35BE" w14:textId="77777777" w:rsidR="0081336F" w:rsidRPr="0081336F" w:rsidRDefault="0081336F" w:rsidP="0081336F">
      <w:pPr>
        <w:pStyle w:val="13"/>
      </w:pPr>
      <w:r w:rsidRPr="0081336F">
        <w:rPr>
          <w:rFonts w:hint="eastAsia"/>
        </w:rPr>
        <w:t>其中，应收保费指认</w:t>
      </w:r>
      <w:proofErr w:type="gramStart"/>
      <w:r w:rsidRPr="0081336F">
        <w:rPr>
          <w:rFonts w:hint="eastAsia"/>
        </w:rPr>
        <w:t>可资产</w:t>
      </w:r>
      <w:proofErr w:type="gramEnd"/>
      <w:r w:rsidRPr="0081336F">
        <w:rPr>
          <w:rFonts w:hint="eastAsia"/>
        </w:rPr>
        <w:t>表中“应收保费”的账面</w:t>
      </w:r>
      <w:proofErr w:type="gramStart"/>
      <w:r w:rsidRPr="0081336F">
        <w:rPr>
          <w:rFonts w:hint="eastAsia"/>
        </w:rPr>
        <w:t>价值中账龄</w:t>
      </w:r>
      <w:proofErr w:type="gramEnd"/>
      <w:r w:rsidRPr="0081336F">
        <w:rPr>
          <w:rFonts w:hint="eastAsia"/>
        </w:rPr>
        <w:t>不长于1年的那部分应收保费价值。</w:t>
      </w:r>
    </w:p>
    <w:p w14:paraId="24BCA8EB" w14:textId="77777777" w:rsidR="0081336F" w:rsidRPr="0081336F" w:rsidRDefault="0081336F" w:rsidP="0081336F">
      <w:pPr>
        <w:pStyle w:val="13"/>
      </w:pPr>
      <w:r w:rsidRPr="0081336F">
        <w:rPr>
          <w:rFonts w:hint="eastAsia"/>
        </w:rPr>
        <w:t>应收保费率衡量财险公司及时收取保费的能力。应收保费率过高，可能导致财险公司出现现金流紧张、坏账率较高等问题，给保险公司造成较大的经营风险。根据监管要求，保险公司的应收保费率应不大于8%。对财险公司进行评估，应结合监管要求、公司历史趋势及未来经营环境，合理假设其应收保费率。</w:t>
      </w:r>
    </w:p>
    <w:p w14:paraId="74A9129D" w14:textId="77777777" w:rsidR="0081336F" w:rsidRPr="0081336F" w:rsidRDefault="0081336F" w:rsidP="0081336F">
      <w:pPr>
        <w:pStyle w:val="13"/>
        <w:ind w:firstLine="482"/>
        <w:rPr>
          <w:b/>
        </w:rPr>
      </w:pPr>
      <w:r w:rsidRPr="0081336F">
        <w:rPr>
          <w:rFonts w:hint="eastAsia"/>
          <w:b/>
        </w:rPr>
        <w:t>五、寿险公司监管指标</w:t>
      </w:r>
    </w:p>
    <w:p w14:paraId="153C09AC" w14:textId="77777777" w:rsidR="0081336F" w:rsidRPr="0081336F" w:rsidRDefault="0081336F" w:rsidP="0081336F">
      <w:pPr>
        <w:pStyle w:val="13"/>
        <w:ind w:firstLine="482"/>
        <w:rPr>
          <w:b/>
        </w:rPr>
      </w:pPr>
      <w:r w:rsidRPr="0081336F">
        <w:rPr>
          <w:rFonts w:hint="eastAsia"/>
          <w:b/>
        </w:rPr>
        <w:t>（一）退保率</w:t>
      </w:r>
    </w:p>
    <w:p w14:paraId="3B4BD00B" w14:textId="77777777" w:rsidR="0081336F" w:rsidRPr="0081336F" w:rsidRDefault="0081336F" w:rsidP="0081336F">
      <w:pPr>
        <w:pStyle w:val="13"/>
      </w:pPr>
      <w:r w:rsidRPr="0081336F">
        <w:rPr>
          <w:rFonts w:hint="eastAsia"/>
        </w:rPr>
        <w:t>退保率﹦退保金/（上年</w:t>
      </w:r>
      <w:proofErr w:type="gramStart"/>
      <w:r w:rsidRPr="0081336F">
        <w:rPr>
          <w:rFonts w:hint="eastAsia"/>
        </w:rPr>
        <w:t>末长期险</w:t>
      </w:r>
      <w:proofErr w:type="gramEnd"/>
      <w:r w:rsidRPr="0081336F">
        <w:rPr>
          <w:rFonts w:hint="eastAsia"/>
        </w:rPr>
        <w:t>责任准备金＋本年长期险保费收入）×100%</w:t>
      </w:r>
    </w:p>
    <w:p w14:paraId="6679178D" w14:textId="77777777" w:rsidR="0081336F" w:rsidRPr="0081336F" w:rsidRDefault="0081336F" w:rsidP="0081336F">
      <w:pPr>
        <w:pStyle w:val="13"/>
      </w:pPr>
      <w:r w:rsidRPr="0081336F">
        <w:rPr>
          <w:rFonts w:hint="eastAsia"/>
        </w:rPr>
        <w:t>退保率衡量寿险公司的业务质量，退保率过高，则寿险公司经营业务的稳定性较差。根据监管要求，寿险公司的退保率应小于5%。</w:t>
      </w:r>
    </w:p>
    <w:p w14:paraId="4E896918" w14:textId="77777777" w:rsidR="0081336F" w:rsidRPr="0081336F" w:rsidRDefault="0081336F" w:rsidP="0081336F">
      <w:pPr>
        <w:pStyle w:val="13"/>
      </w:pPr>
      <w:r w:rsidRPr="0081336F">
        <w:rPr>
          <w:rFonts w:hint="eastAsia"/>
        </w:rPr>
        <w:t>影响寿险公司退保率的因素包括保险公司的保险产品质量、服务质量、投资收益率、市场其他投资产品收益率等。对寿险公司进行评估，应结合该公司历史趋势和相关影响因素，合理假设其退保率。</w:t>
      </w:r>
    </w:p>
    <w:p w14:paraId="089194A4" w14:textId="77777777" w:rsidR="0081336F" w:rsidRPr="0081336F" w:rsidRDefault="0081336F" w:rsidP="0081336F">
      <w:pPr>
        <w:pStyle w:val="13"/>
        <w:ind w:firstLine="482"/>
        <w:rPr>
          <w:b/>
        </w:rPr>
      </w:pPr>
      <w:r w:rsidRPr="0081336F">
        <w:rPr>
          <w:rFonts w:hint="eastAsia"/>
          <w:b/>
        </w:rPr>
        <w:t>（二）评估中应关注的问题</w:t>
      </w:r>
    </w:p>
    <w:p w14:paraId="53FFFFAA" w14:textId="77777777" w:rsidR="0081336F" w:rsidRPr="0081336F" w:rsidRDefault="0081336F" w:rsidP="0081336F">
      <w:pPr>
        <w:pStyle w:val="13"/>
      </w:pPr>
      <w:r w:rsidRPr="0081336F">
        <w:rPr>
          <w:rFonts w:hint="eastAsia"/>
        </w:rPr>
        <w:t>偿付能力充足率衡量保险公司对保单持有人进行偿付的能力，反映保险公司对于经营风险的覆盖程度。对保险公司进行评估，偿付能力充足率不足或出现预警的，评估机构可以调整其预测期的发展规模，使其逐渐符合监管要求。此外，保险公司也可以通过发行新股、次级债、降低分红水平等方式对实际资本进行补充。对于偿付能力充足率不符合监管要求的保险公司，评估机构应在评估报告中披露相关风险。</w:t>
      </w:r>
    </w:p>
    <w:p w14:paraId="1EFFFD6B" w14:textId="77777777" w:rsidR="0081336F" w:rsidRPr="0081336F" w:rsidRDefault="0081336F" w:rsidP="0081336F">
      <w:pPr>
        <w:pStyle w:val="13"/>
      </w:pPr>
      <w:r w:rsidRPr="0081336F">
        <w:rPr>
          <w:rFonts w:hint="eastAsia"/>
        </w:rPr>
        <w:t>综合赔付率、综合费用率和综合成本率衡量财险公司的成本控制能力，直接影响财险公司的利润表现。影响财险公司成本相关指标的因素包括保险险种、业务质量、成本控制能力等。此外，综合赔付率指标中的赔付支出主要取决于历史年度的业务状况，而已赚保费反映当期的保费收入，二者之间存在一定的不匹配，对于经营尚不稳定的财险公司，该指标的波动性可能较大。对财险公司进行评估，应关注该公司历史</w:t>
      </w:r>
      <w:r w:rsidRPr="0081336F">
        <w:rPr>
          <w:rFonts w:hint="eastAsia"/>
        </w:rPr>
        <w:lastRenderedPageBreak/>
        <w:t>期间的成本费用率是否稳定，与同行业其他公司相比处于什么水平，并分析其原因，以对预测</w:t>
      </w:r>
      <w:proofErr w:type="gramStart"/>
      <w:r w:rsidRPr="0081336F">
        <w:rPr>
          <w:rFonts w:hint="eastAsia"/>
        </w:rPr>
        <w:t>期做出</w:t>
      </w:r>
      <w:proofErr w:type="gramEnd"/>
      <w:r w:rsidRPr="0081336F">
        <w:rPr>
          <w:rFonts w:hint="eastAsia"/>
        </w:rPr>
        <w:t>合理假设。</w:t>
      </w:r>
    </w:p>
    <w:p w14:paraId="5DA9B17C" w14:textId="77777777" w:rsidR="0081336F" w:rsidRPr="0081336F" w:rsidRDefault="0081336F" w:rsidP="0081336F">
      <w:pPr>
        <w:pStyle w:val="13"/>
      </w:pPr>
      <w:r w:rsidRPr="0081336F">
        <w:rPr>
          <w:rFonts w:hint="eastAsia"/>
        </w:rPr>
        <w:t>退保率主要用于衡量寿险公司的业务情况。影响退保率指标的因素包括寿险公司业务质量、人员服务水平、市场其他投资产品收益率等。对寿险公司进行评估，应关注评估对象退保率的历史趋势，与同行业其他公司相比处于什么水平，并分析其原因，合理预测退保率。对于退保率过高的保险公司，评估机构应在评估报告中披露相关风险。</w:t>
      </w:r>
    </w:p>
    <w:p w14:paraId="520AC40D" w14:textId="77777777" w:rsidR="0081336F" w:rsidRPr="0081336F" w:rsidRDefault="0081336F" w:rsidP="00AF7342">
      <w:pPr>
        <w:pStyle w:val="a9"/>
        <w:spacing w:before="62" w:after="62"/>
      </w:pPr>
      <w:r w:rsidRPr="0081336F">
        <w:rPr>
          <w:rFonts w:hint="eastAsia"/>
        </w:rPr>
        <w:t>第五章 信托公司</w:t>
      </w:r>
    </w:p>
    <w:p w14:paraId="0210170B" w14:textId="77777777" w:rsidR="0081336F" w:rsidRPr="0081336F" w:rsidRDefault="0081336F" w:rsidP="0081336F">
      <w:pPr>
        <w:pStyle w:val="13"/>
        <w:ind w:firstLine="482"/>
        <w:rPr>
          <w:b/>
        </w:rPr>
      </w:pPr>
      <w:r w:rsidRPr="0081336F">
        <w:rPr>
          <w:rFonts w:hint="eastAsia"/>
          <w:b/>
        </w:rPr>
        <w:t>一、监管机构</w:t>
      </w:r>
    </w:p>
    <w:p w14:paraId="3E50BF30" w14:textId="77777777" w:rsidR="0081336F" w:rsidRPr="0081336F" w:rsidRDefault="0081336F" w:rsidP="0081336F">
      <w:pPr>
        <w:pStyle w:val="13"/>
      </w:pPr>
      <w:r w:rsidRPr="0081336F">
        <w:rPr>
          <w:rFonts w:hint="eastAsia"/>
        </w:rPr>
        <w:t>信托公司开展各项经营业务，主要受中国银监会监管，上市信托公司同时受到中国证监会监管。</w:t>
      </w:r>
    </w:p>
    <w:p w14:paraId="3AC36523" w14:textId="77777777" w:rsidR="0081336F" w:rsidRPr="0081336F" w:rsidRDefault="0081336F" w:rsidP="0081336F">
      <w:pPr>
        <w:pStyle w:val="13"/>
        <w:ind w:firstLine="482"/>
        <w:rPr>
          <w:b/>
        </w:rPr>
      </w:pPr>
      <w:r w:rsidRPr="0081336F">
        <w:rPr>
          <w:rFonts w:hint="eastAsia"/>
          <w:b/>
        </w:rPr>
        <w:t>二、信托公司分级监管</w:t>
      </w:r>
    </w:p>
    <w:p w14:paraId="750BD23E" w14:textId="77777777" w:rsidR="0081336F" w:rsidRPr="0081336F" w:rsidRDefault="0081336F" w:rsidP="0081336F">
      <w:pPr>
        <w:pStyle w:val="13"/>
        <w:ind w:firstLine="482"/>
        <w:rPr>
          <w:b/>
        </w:rPr>
      </w:pPr>
      <w:r w:rsidRPr="0081336F">
        <w:rPr>
          <w:rFonts w:hint="eastAsia"/>
          <w:b/>
        </w:rPr>
        <w:t>（一）监管评级</w:t>
      </w:r>
    </w:p>
    <w:p w14:paraId="618D8F41" w14:textId="77777777" w:rsidR="0081336F" w:rsidRPr="0081336F" w:rsidRDefault="0081336F" w:rsidP="0081336F">
      <w:pPr>
        <w:pStyle w:val="13"/>
      </w:pPr>
      <w:r w:rsidRPr="0081336F">
        <w:rPr>
          <w:rFonts w:hint="eastAsia"/>
        </w:rPr>
        <w:t>中国银监会以公司治理、内部控制、合</w:t>
      </w:r>
      <w:proofErr w:type="gramStart"/>
      <w:r w:rsidRPr="0081336F">
        <w:rPr>
          <w:rFonts w:hint="eastAsia"/>
        </w:rPr>
        <w:t>规</w:t>
      </w:r>
      <w:proofErr w:type="gramEnd"/>
      <w:r w:rsidRPr="0081336F">
        <w:rPr>
          <w:rFonts w:hint="eastAsia"/>
        </w:rPr>
        <w:t>管理、资产管理和盈利能力等五个方面为基础，对我国信托公司进行评级。单项要素的评级结果根据定量指标和定性因素的得分情况划分为1-6级，综合评级根据各要素的重要性和级别情况确定为1-6级，每个级别分别设A、B、C三档。</w:t>
      </w:r>
    </w:p>
    <w:p w14:paraId="0EBD9ED6" w14:textId="77777777" w:rsidR="0081336F" w:rsidRPr="0081336F" w:rsidRDefault="0081336F" w:rsidP="0081336F">
      <w:pPr>
        <w:pStyle w:val="13"/>
        <w:ind w:firstLine="482"/>
        <w:rPr>
          <w:b/>
        </w:rPr>
      </w:pPr>
      <w:r w:rsidRPr="0081336F">
        <w:rPr>
          <w:rFonts w:hint="eastAsia"/>
          <w:b/>
        </w:rPr>
        <w:t>（二）评级指标</w:t>
      </w:r>
    </w:p>
    <w:p w14:paraId="1B8332A3" w14:textId="77777777" w:rsidR="0081336F" w:rsidRPr="0081336F" w:rsidRDefault="0081336F" w:rsidP="0081336F">
      <w:pPr>
        <w:pStyle w:val="13"/>
      </w:pPr>
      <w:r w:rsidRPr="0081336F">
        <w:rPr>
          <w:rFonts w:hint="eastAsia"/>
        </w:rPr>
        <w:t>信托公司评级指标包括定性指标和定量指标，定量指标包括资产管理定量指标和盈利能力定量指标。</w:t>
      </w:r>
    </w:p>
    <w:p w14:paraId="133A6837" w14:textId="77777777" w:rsidR="0081336F" w:rsidRPr="0081336F" w:rsidRDefault="0081336F" w:rsidP="0081336F">
      <w:pPr>
        <w:pStyle w:val="13"/>
      </w:pPr>
      <w:r w:rsidRPr="0081336F">
        <w:rPr>
          <w:rFonts w:hint="eastAsia"/>
        </w:rPr>
        <w:t>1.资产管理定量指标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8"/>
        <w:gridCol w:w="5082"/>
      </w:tblGrid>
      <w:tr w:rsidR="0081336F" w:rsidRPr="0081336F" w14:paraId="300168F3" w14:textId="77777777" w:rsidTr="0081336F">
        <w:trPr>
          <w:tblHeader/>
          <w:jc w:val="center"/>
        </w:trPr>
        <w:tc>
          <w:tcPr>
            <w:tcW w:w="2086" w:type="pct"/>
            <w:vAlign w:val="center"/>
          </w:tcPr>
          <w:p w14:paraId="42BCC705"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资产管理能力</w:t>
            </w:r>
          </w:p>
        </w:tc>
        <w:tc>
          <w:tcPr>
            <w:tcW w:w="2914" w:type="pct"/>
            <w:vAlign w:val="center"/>
          </w:tcPr>
          <w:p w14:paraId="5F2BD7C4"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指标名称</w:t>
            </w:r>
          </w:p>
        </w:tc>
      </w:tr>
      <w:tr w:rsidR="0081336F" w:rsidRPr="0081336F" w14:paraId="3118E063" w14:textId="77777777" w:rsidTr="0081336F">
        <w:trPr>
          <w:jc w:val="center"/>
        </w:trPr>
        <w:tc>
          <w:tcPr>
            <w:tcW w:w="2086" w:type="pct"/>
            <w:vAlign w:val="center"/>
          </w:tcPr>
          <w:p w14:paraId="4123F796" w14:textId="77777777" w:rsidR="0081336F" w:rsidRPr="0081336F" w:rsidRDefault="0081336F" w:rsidP="0081336F">
            <w:pPr>
              <w:pStyle w:val="13"/>
              <w:ind w:firstLineChars="0" w:firstLine="0"/>
              <w:rPr>
                <w:sz w:val="21"/>
                <w:szCs w:val="21"/>
              </w:rPr>
            </w:pPr>
            <w:r w:rsidRPr="0081336F">
              <w:rPr>
                <w:rFonts w:hint="eastAsia"/>
                <w:sz w:val="21"/>
                <w:szCs w:val="21"/>
              </w:rPr>
              <w:t>综合管理能力</w:t>
            </w:r>
          </w:p>
        </w:tc>
        <w:tc>
          <w:tcPr>
            <w:tcW w:w="2914" w:type="pct"/>
          </w:tcPr>
          <w:p w14:paraId="1BDE1002" w14:textId="77777777" w:rsidR="0081336F" w:rsidRPr="0081336F" w:rsidRDefault="0081336F" w:rsidP="0081336F">
            <w:pPr>
              <w:pStyle w:val="13"/>
              <w:ind w:firstLineChars="0" w:firstLine="0"/>
              <w:rPr>
                <w:sz w:val="21"/>
                <w:szCs w:val="21"/>
              </w:rPr>
            </w:pPr>
            <w:r w:rsidRPr="0081336F">
              <w:rPr>
                <w:rFonts w:hint="eastAsia"/>
                <w:sz w:val="21"/>
                <w:szCs w:val="21"/>
              </w:rPr>
              <w:t>净资本</w:t>
            </w:r>
          </w:p>
        </w:tc>
      </w:tr>
      <w:tr w:rsidR="0081336F" w:rsidRPr="0081336F" w14:paraId="0191986B" w14:textId="77777777" w:rsidTr="0081336F">
        <w:trPr>
          <w:jc w:val="center"/>
        </w:trPr>
        <w:tc>
          <w:tcPr>
            <w:tcW w:w="2086" w:type="pct"/>
            <w:vMerge w:val="restart"/>
            <w:vAlign w:val="center"/>
          </w:tcPr>
          <w:p w14:paraId="226510A1" w14:textId="77777777" w:rsidR="0081336F" w:rsidRPr="0081336F" w:rsidRDefault="0081336F" w:rsidP="0081336F">
            <w:pPr>
              <w:pStyle w:val="13"/>
              <w:ind w:firstLineChars="0" w:firstLine="0"/>
              <w:rPr>
                <w:sz w:val="21"/>
                <w:szCs w:val="21"/>
              </w:rPr>
            </w:pPr>
            <w:r w:rsidRPr="0081336F">
              <w:rPr>
                <w:rFonts w:hint="eastAsia"/>
                <w:sz w:val="21"/>
                <w:szCs w:val="21"/>
              </w:rPr>
              <w:t>信托业务综合管理能力</w:t>
            </w:r>
          </w:p>
        </w:tc>
        <w:tc>
          <w:tcPr>
            <w:tcW w:w="2914" w:type="pct"/>
          </w:tcPr>
          <w:p w14:paraId="1A3BC216" w14:textId="77777777" w:rsidR="0081336F" w:rsidRPr="0081336F" w:rsidRDefault="0081336F" w:rsidP="0081336F">
            <w:pPr>
              <w:pStyle w:val="13"/>
              <w:ind w:firstLineChars="0" w:firstLine="0"/>
              <w:rPr>
                <w:sz w:val="21"/>
                <w:szCs w:val="21"/>
              </w:rPr>
            </w:pPr>
            <w:r w:rsidRPr="0081336F">
              <w:rPr>
                <w:rFonts w:hint="eastAsia"/>
                <w:sz w:val="21"/>
                <w:szCs w:val="21"/>
              </w:rPr>
              <w:t>信托业务规模</w:t>
            </w:r>
          </w:p>
        </w:tc>
      </w:tr>
      <w:tr w:rsidR="0081336F" w:rsidRPr="0081336F" w14:paraId="14EFCA27" w14:textId="77777777" w:rsidTr="0081336F">
        <w:trPr>
          <w:jc w:val="center"/>
        </w:trPr>
        <w:tc>
          <w:tcPr>
            <w:tcW w:w="2086" w:type="pct"/>
            <w:vMerge/>
            <w:vAlign w:val="center"/>
          </w:tcPr>
          <w:p w14:paraId="4990ECDB" w14:textId="77777777" w:rsidR="0081336F" w:rsidRPr="0081336F" w:rsidRDefault="0081336F" w:rsidP="0081336F">
            <w:pPr>
              <w:pStyle w:val="13"/>
              <w:ind w:firstLineChars="0" w:firstLine="0"/>
              <w:rPr>
                <w:b/>
                <w:bCs/>
                <w:sz w:val="21"/>
                <w:szCs w:val="21"/>
              </w:rPr>
            </w:pPr>
          </w:p>
        </w:tc>
        <w:tc>
          <w:tcPr>
            <w:tcW w:w="2914" w:type="pct"/>
          </w:tcPr>
          <w:p w14:paraId="57DB58F0" w14:textId="77777777" w:rsidR="0081336F" w:rsidRPr="0081336F" w:rsidRDefault="0081336F" w:rsidP="0081336F">
            <w:pPr>
              <w:pStyle w:val="13"/>
              <w:ind w:firstLineChars="0" w:firstLine="0"/>
              <w:rPr>
                <w:sz w:val="21"/>
                <w:szCs w:val="21"/>
              </w:rPr>
            </w:pPr>
            <w:r w:rsidRPr="0081336F">
              <w:rPr>
                <w:rFonts w:hint="eastAsia"/>
                <w:sz w:val="21"/>
                <w:szCs w:val="21"/>
              </w:rPr>
              <w:t>信托业务收入</w:t>
            </w:r>
          </w:p>
        </w:tc>
      </w:tr>
      <w:tr w:rsidR="0081336F" w:rsidRPr="0081336F" w14:paraId="4A2753C7" w14:textId="77777777" w:rsidTr="0081336F">
        <w:trPr>
          <w:jc w:val="center"/>
        </w:trPr>
        <w:tc>
          <w:tcPr>
            <w:tcW w:w="2086" w:type="pct"/>
            <w:vMerge/>
            <w:vAlign w:val="center"/>
          </w:tcPr>
          <w:p w14:paraId="4E2B0146" w14:textId="77777777" w:rsidR="0081336F" w:rsidRPr="0081336F" w:rsidRDefault="0081336F" w:rsidP="0081336F">
            <w:pPr>
              <w:pStyle w:val="13"/>
              <w:ind w:firstLineChars="0" w:firstLine="0"/>
              <w:rPr>
                <w:b/>
                <w:bCs/>
                <w:sz w:val="21"/>
                <w:szCs w:val="21"/>
              </w:rPr>
            </w:pPr>
          </w:p>
        </w:tc>
        <w:tc>
          <w:tcPr>
            <w:tcW w:w="2914" w:type="pct"/>
          </w:tcPr>
          <w:p w14:paraId="62DCC2BA" w14:textId="77777777" w:rsidR="0081336F" w:rsidRPr="0081336F" w:rsidRDefault="0081336F" w:rsidP="0081336F">
            <w:pPr>
              <w:pStyle w:val="13"/>
              <w:ind w:firstLineChars="0" w:firstLine="0"/>
              <w:rPr>
                <w:sz w:val="21"/>
                <w:szCs w:val="21"/>
              </w:rPr>
            </w:pPr>
            <w:r w:rsidRPr="0081336F">
              <w:rPr>
                <w:rFonts w:hint="eastAsia"/>
                <w:sz w:val="21"/>
                <w:szCs w:val="21"/>
              </w:rPr>
              <w:t>信托规模增长率</w:t>
            </w:r>
          </w:p>
        </w:tc>
      </w:tr>
      <w:tr w:rsidR="0081336F" w:rsidRPr="0081336F" w14:paraId="456D9C3F" w14:textId="77777777" w:rsidTr="0081336F">
        <w:trPr>
          <w:jc w:val="center"/>
        </w:trPr>
        <w:tc>
          <w:tcPr>
            <w:tcW w:w="2086" w:type="pct"/>
            <w:vMerge/>
            <w:vAlign w:val="center"/>
          </w:tcPr>
          <w:p w14:paraId="61C5DCF2" w14:textId="77777777" w:rsidR="0081336F" w:rsidRPr="0081336F" w:rsidRDefault="0081336F" w:rsidP="0081336F">
            <w:pPr>
              <w:pStyle w:val="13"/>
              <w:ind w:firstLineChars="0" w:firstLine="0"/>
              <w:rPr>
                <w:b/>
                <w:bCs/>
                <w:sz w:val="21"/>
                <w:szCs w:val="21"/>
              </w:rPr>
            </w:pPr>
          </w:p>
        </w:tc>
        <w:tc>
          <w:tcPr>
            <w:tcW w:w="2914" w:type="pct"/>
          </w:tcPr>
          <w:p w14:paraId="7EBA2014" w14:textId="77777777" w:rsidR="0081336F" w:rsidRPr="0081336F" w:rsidRDefault="0081336F" w:rsidP="0081336F">
            <w:pPr>
              <w:pStyle w:val="13"/>
              <w:ind w:firstLineChars="0" w:firstLine="0"/>
              <w:rPr>
                <w:sz w:val="21"/>
                <w:szCs w:val="21"/>
              </w:rPr>
            </w:pPr>
            <w:r w:rsidRPr="0081336F">
              <w:rPr>
                <w:rFonts w:hint="eastAsia"/>
                <w:sz w:val="21"/>
                <w:szCs w:val="21"/>
              </w:rPr>
              <w:t>融资类业务收益水平</w:t>
            </w:r>
          </w:p>
        </w:tc>
      </w:tr>
      <w:tr w:rsidR="0081336F" w:rsidRPr="0081336F" w14:paraId="57FDA039" w14:textId="77777777" w:rsidTr="0081336F">
        <w:trPr>
          <w:jc w:val="center"/>
        </w:trPr>
        <w:tc>
          <w:tcPr>
            <w:tcW w:w="2086" w:type="pct"/>
            <w:vMerge/>
            <w:vAlign w:val="center"/>
          </w:tcPr>
          <w:p w14:paraId="190FF5D4" w14:textId="77777777" w:rsidR="0081336F" w:rsidRPr="0081336F" w:rsidRDefault="0081336F" w:rsidP="0081336F">
            <w:pPr>
              <w:pStyle w:val="13"/>
              <w:ind w:firstLineChars="0" w:firstLine="0"/>
              <w:rPr>
                <w:b/>
                <w:bCs/>
                <w:sz w:val="21"/>
                <w:szCs w:val="21"/>
              </w:rPr>
            </w:pPr>
          </w:p>
        </w:tc>
        <w:tc>
          <w:tcPr>
            <w:tcW w:w="2914" w:type="pct"/>
          </w:tcPr>
          <w:p w14:paraId="145690CC" w14:textId="77777777" w:rsidR="0081336F" w:rsidRPr="0081336F" w:rsidRDefault="0081336F" w:rsidP="0081336F">
            <w:pPr>
              <w:pStyle w:val="13"/>
              <w:ind w:firstLineChars="0" w:firstLine="0"/>
              <w:rPr>
                <w:sz w:val="21"/>
                <w:szCs w:val="21"/>
              </w:rPr>
            </w:pPr>
            <w:r w:rsidRPr="0081336F">
              <w:rPr>
                <w:rFonts w:hint="eastAsia"/>
                <w:sz w:val="21"/>
                <w:szCs w:val="21"/>
              </w:rPr>
              <w:t>投资类业务收益水平</w:t>
            </w:r>
          </w:p>
        </w:tc>
      </w:tr>
      <w:tr w:rsidR="0081336F" w:rsidRPr="0081336F" w14:paraId="51F4D452" w14:textId="77777777" w:rsidTr="0081336F">
        <w:trPr>
          <w:jc w:val="center"/>
        </w:trPr>
        <w:tc>
          <w:tcPr>
            <w:tcW w:w="2086" w:type="pct"/>
            <w:vMerge w:val="restart"/>
            <w:vAlign w:val="center"/>
          </w:tcPr>
          <w:p w14:paraId="37F89ACD" w14:textId="77777777" w:rsidR="0081336F" w:rsidRPr="0081336F" w:rsidRDefault="0081336F" w:rsidP="0081336F">
            <w:pPr>
              <w:pStyle w:val="13"/>
              <w:ind w:firstLineChars="0" w:firstLine="0"/>
              <w:rPr>
                <w:sz w:val="21"/>
                <w:szCs w:val="21"/>
              </w:rPr>
            </w:pPr>
            <w:r w:rsidRPr="0081336F">
              <w:rPr>
                <w:rFonts w:hint="eastAsia"/>
                <w:sz w:val="21"/>
                <w:szCs w:val="21"/>
              </w:rPr>
              <w:t>固有业务管理能力</w:t>
            </w:r>
          </w:p>
        </w:tc>
        <w:tc>
          <w:tcPr>
            <w:tcW w:w="2914" w:type="pct"/>
          </w:tcPr>
          <w:p w14:paraId="57577A1F" w14:textId="77777777" w:rsidR="0081336F" w:rsidRPr="0081336F" w:rsidRDefault="0081336F" w:rsidP="0081336F">
            <w:pPr>
              <w:pStyle w:val="13"/>
              <w:ind w:firstLineChars="0" w:firstLine="0"/>
              <w:rPr>
                <w:sz w:val="21"/>
                <w:szCs w:val="21"/>
              </w:rPr>
            </w:pPr>
            <w:r w:rsidRPr="0081336F">
              <w:rPr>
                <w:rFonts w:hint="eastAsia"/>
                <w:sz w:val="21"/>
                <w:szCs w:val="21"/>
              </w:rPr>
              <w:t>不良资产率</w:t>
            </w:r>
          </w:p>
        </w:tc>
      </w:tr>
      <w:tr w:rsidR="0081336F" w:rsidRPr="0081336F" w14:paraId="519119D3" w14:textId="77777777" w:rsidTr="0081336F">
        <w:trPr>
          <w:jc w:val="center"/>
        </w:trPr>
        <w:tc>
          <w:tcPr>
            <w:tcW w:w="2086" w:type="pct"/>
            <w:vMerge/>
          </w:tcPr>
          <w:p w14:paraId="38823E8F" w14:textId="77777777" w:rsidR="0081336F" w:rsidRPr="0081336F" w:rsidRDefault="0081336F" w:rsidP="0081336F">
            <w:pPr>
              <w:pStyle w:val="13"/>
              <w:ind w:firstLineChars="0" w:firstLine="0"/>
              <w:rPr>
                <w:b/>
                <w:bCs/>
                <w:sz w:val="21"/>
                <w:szCs w:val="21"/>
              </w:rPr>
            </w:pPr>
          </w:p>
        </w:tc>
        <w:tc>
          <w:tcPr>
            <w:tcW w:w="2914" w:type="pct"/>
          </w:tcPr>
          <w:p w14:paraId="77A6B595" w14:textId="77777777" w:rsidR="0081336F" w:rsidRPr="0081336F" w:rsidRDefault="0081336F" w:rsidP="0081336F">
            <w:pPr>
              <w:pStyle w:val="13"/>
              <w:ind w:firstLineChars="0" w:firstLine="0"/>
              <w:rPr>
                <w:sz w:val="21"/>
                <w:szCs w:val="21"/>
              </w:rPr>
            </w:pPr>
            <w:r w:rsidRPr="0081336F">
              <w:rPr>
                <w:rFonts w:hint="eastAsia"/>
                <w:sz w:val="21"/>
                <w:szCs w:val="21"/>
              </w:rPr>
              <w:t>不良资产余额变化情况</w:t>
            </w:r>
          </w:p>
        </w:tc>
      </w:tr>
      <w:tr w:rsidR="0081336F" w:rsidRPr="0081336F" w14:paraId="0BE54452" w14:textId="77777777" w:rsidTr="0081336F">
        <w:trPr>
          <w:jc w:val="center"/>
        </w:trPr>
        <w:tc>
          <w:tcPr>
            <w:tcW w:w="2086" w:type="pct"/>
            <w:vMerge/>
          </w:tcPr>
          <w:p w14:paraId="4698A7DE" w14:textId="77777777" w:rsidR="0081336F" w:rsidRPr="0081336F" w:rsidRDefault="0081336F" w:rsidP="0081336F">
            <w:pPr>
              <w:pStyle w:val="13"/>
              <w:ind w:firstLineChars="0" w:firstLine="0"/>
              <w:rPr>
                <w:b/>
                <w:bCs/>
                <w:sz w:val="21"/>
                <w:szCs w:val="21"/>
              </w:rPr>
            </w:pPr>
          </w:p>
        </w:tc>
        <w:tc>
          <w:tcPr>
            <w:tcW w:w="2914" w:type="pct"/>
          </w:tcPr>
          <w:p w14:paraId="696CBEEC" w14:textId="77777777" w:rsidR="0081336F" w:rsidRPr="0081336F" w:rsidRDefault="0081336F" w:rsidP="0081336F">
            <w:pPr>
              <w:pStyle w:val="13"/>
              <w:ind w:firstLineChars="0" w:firstLine="0"/>
              <w:rPr>
                <w:sz w:val="21"/>
                <w:szCs w:val="21"/>
              </w:rPr>
            </w:pPr>
            <w:r w:rsidRPr="0081336F">
              <w:rPr>
                <w:rFonts w:hint="eastAsia"/>
                <w:sz w:val="21"/>
                <w:szCs w:val="21"/>
              </w:rPr>
              <w:t>新发生不良资产</w:t>
            </w:r>
          </w:p>
        </w:tc>
      </w:tr>
    </w:tbl>
    <w:p w14:paraId="4546B8CD" w14:textId="77777777" w:rsidR="00E905CE" w:rsidRDefault="00E905CE" w:rsidP="0081336F">
      <w:pPr>
        <w:pStyle w:val="13"/>
      </w:pPr>
    </w:p>
    <w:p w14:paraId="51BE2A57" w14:textId="77777777" w:rsidR="00E905CE" w:rsidRDefault="00E905CE" w:rsidP="0081336F">
      <w:pPr>
        <w:pStyle w:val="13"/>
      </w:pPr>
    </w:p>
    <w:p w14:paraId="757AB66F" w14:textId="452C5B7A" w:rsidR="0081336F" w:rsidRPr="0081336F" w:rsidRDefault="0081336F" w:rsidP="0081336F">
      <w:pPr>
        <w:pStyle w:val="13"/>
      </w:pPr>
      <w:r w:rsidRPr="0081336F">
        <w:rPr>
          <w:rFonts w:hint="eastAsia"/>
        </w:rPr>
        <w:lastRenderedPageBreak/>
        <w:t>2.盈利能力定量指标</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0"/>
        <w:gridCol w:w="2175"/>
        <w:gridCol w:w="4955"/>
      </w:tblGrid>
      <w:tr w:rsidR="0081336F" w:rsidRPr="0081336F" w14:paraId="48F4B983" w14:textId="77777777" w:rsidTr="006E0597">
        <w:trPr>
          <w:tblHeader/>
        </w:trPr>
        <w:tc>
          <w:tcPr>
            <w:tcW w:w="912" w:type="pct"/>
            <w:vAlign w:val="center"/>
          </w:tcPr>
          <w:p w14:paraId="7FB5A673"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盈利能力</w:t>
            </w:r>
          </w:p>
        </w:tc>
        <w:tc>
          <w:tcPr>
            <w:tcW w:w="1247" w:type="pct"/>
            <w:vAlign w:val="center"/>
          </w:tcPr>
          <w:p w14:paraId="76BF79CB"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指标名称</w:t>
            </w:r>
          </w:p>
        </w:tc>
        <w:tc>
          <w:tcPr>
            <w:tcW w:w="2840" w:type="pct"/>
            <w:vAlign w:val="center"/>
          </w:tcPr>
          <w:p w14:paraId="2AB04FDE" w14:textId="77777777" w:rsidR="0081336F" w:rsidRPr="0081336F" w:rsidRDefault="0081336F" w:rsidP="0081336F">
            <w:pPr>
              <w:pStyle w:val="13"/>
              <w:ind w:firstLineChars="0" w:firstLine="0"/>
              <w:jc w:val="center"/>
              <w:rPr>
                <w:b/>
                <w:sz w:val="21"/>
                <w:szCs w:val="21"/>
              </w:rPr>
            </w:pPr>
            <w:r w:rsidRPr="0081336F">
              <w:rPr>
                <w:rFonts w:hint="eastAsia"/>
                <w:b/>
                <w:sz w:val="21"/>
                <w:szCs w:val="21"/>
              </w:rPr>
              <w:t>指标计算公式</w:t>
            </w:r>
          </w:p>
        </w:tc>
      </w:tr>
      <w:tr w:rsidR="0081336F" w:rsidRPr="0081336F" w14:paraId="4042798F" w14:textId="77777777" w:rsidTr="006E0597">
        <w:tc>
          <w:tcPr>
            <w:tcW w:w="912" w:type="pct"/>
            <w:vMerge w:val="restart"/>
            <w:vAlign w:val="center"/>
          </w:tcPr>
          <w:p w14:paraId="6F7DA377" w14:textId="77777777" w:rsidR="0081336F" w:rsidRPr="0081336F" w:rsidRDefault="0081336F" w:rsidP="006E0597">
            <w:pPr>
              <w:pStyle w:val="13"/>
              <w:ind w:firstLineChars="0" w:firstLine="0"/>
              <w:rPr>
                <w:sz w:val="21"/>
                <w:szCs w:val="21"/>
              </w:rPr>
            </w:pPr>
            <w:r w:rsidRPr="0081336F">
              <w:rPr>
                <w:rFonts w:hint="eastAsia"/>
                <w:sz w:val="21"/>
                <w:szCs w:val="21"/>
              </w:rPr>
              <w:t>综合盈利</w:t>
            </w:r>
          </w:p>
          <w:p w14:paraId="41F4F402" w14:textId="77777777" w:rsidR="0081336F" w:rsidRPr="0081336F" w:rsidRDefault="0081336F" w:rsidP="006E0597">
            <w:pPr>
              <w:pStyle w:val="13"/>
              <w:ind w:firstLineChars="0" w:firstLine="0"/>
              <w:rPr>
                <w:sz w:val="21"/>
                <w:szCs w:val="21"/>
              </w:rPr>
            </w:pPr>
            <w:r w:rsidRPr="0081336F">
              <w:rPr>
                <w:rFonts w:hint="eastAsia"/>
                <w:sz w:val="21"/>
                <w:szCs w:val="21"/>
              </w:rPr>
              <w:t>能力指标</w:t>
            </w:r>
          </w:p>
        </w:tc>
        <w:tc>
          <w:tcPr>
            <w:tcW w:w="1247" w:type="pct"/>
            <w:vAlign w:val="center"/>
          </w:tcPr>
          <w:p w14:paraId="6D41BA3B" w14:textId="77777777" w:rsidR="0081336F" w:rsidRPr="0081336F" w:rsidRDefault="0081336F" w:rsidP="006E0597">
            <w:pPr>
              <w:pStyle w:val="13"/>
              <w:ind w:firstLineChars="0" w:firstLine="0"/>
              <w:rPr>
                <w:sz w:val="21"/>
                <w:szCs w:val="21"/>
              </w:rPr>
            </w:pPr>
            <w:r w:rsidRPr="0081336F">
              <w:rPr>
                <w:rFonts w:hint="eastAsia"/>
                <w:sz w:val="21"/>
                <w:szCs w:val="21"/>
              </w:rPr>
              <w:t>净资产收益率</w:t>
            </w:r>
          </w:p>
        </w:tc>
        <w:tc>
          <w:tcPr>
            <w:tcW w:w="2840" w:type="pct"/>
            <w:vAlign w:val="center"/>
          </w:tcPr>
          <w:p w14:paraId="0D924A8B" w14:textId="77777777" w:rsidR="0081336F" w:rsidRPr="0081336F" w:rsidRDefault="0081336F" w:rsidP="006E0597">
            <w:pPr>
              <w:pStyle w:val="13"/>
              <w:ind w:firstLineChars="0" w:firstLine="0"/>
              <w:rPr>
                <w:sz w:val="21"/>
                <w:szCs w:val="21"/>
              </w:rPr>
            </w:pPr>
            <w:r w:rsidRPr="0081336F">
              <w:rPr>
                <w:rFonts w:hint="eastAsia"/>
                <w:sz w:val="21"/>
                <w:szCs w:val="21"/>
              </w:rPr>
              <w:t>净利润/所有者权益平均余额×100%</w:t>
            </w:r>
          </w:p>
        </w:tc>
      </w:tr>
      <w:tr w:rsidR="0081336F" w:rsidRPr="0081336F" w14:paraId="457EFEBC" w14:textId="77777777" w:rsidTr="006E0597">
        <w:tc>
          <w:tcPr>
            <w:tcW w:w="912" w:type="pct"/>
            <w:vMerge/>
            <w:vAlign w:val="center"/>
          </w:tcPr>
          <w:p w14:paraId="513E2C3A" w14:textId="77777777" w:rsidR="0081336F" w:rsidRPr="0081336F" w:rsidRDefault="0081336F" w:rsidP="006E0597">
            <w:pPr>
              <w:pStyle w:val="13"/>
              <w:ind w:firstLineChars="0" w:firstLine="0"/>
              <w:rPr>
                <w:b/>
                <w:bCs/>
                <w:sz w:val="21"/>
                <w:szCs w:val="21"/>
              </w:rPr>
            </w:pPr>
          </w:p>
        </w:tc>
        <w:tc>
          <w:tcPr>
            <w:tcW w:w="1247" w:type="pct"/>
            <w:vAlign w:val="center"/>
          </w:tcPr>
          <w:p w14:paraId="59339FA2" w14:textId="77777777" w:rsidR="0081336F" w:rsidRPr="0081336F" w:rsidRDefault="0081336F" w:rsidP="006E0597">
            <w:pPr>
              <w:pStyle w:val="13"/>
              <w:ind w:firstLineChars="0" w:firstLine="0"/>
              <w:rPr>
                <w:sz w:val="21"/>
                <w:szCs w:val="21"/>
              </w:rPr>
            </w:pPr>
            <w:r w:rsidRPr="0081336F">
              <w:rPr>
                <w:rFonts w:hint="eastAsia"/>
                <w:sz w:val="21"/>
                <w:szCs w:val="21"/>
              </w:rPr>
              <w:t>净资产收益增长率</w:t>
            </w:r>
          </w:p>
        </w:tc>
        <w:tc>
          <w:tcPr>
            <w:tcW w:w="2840" w:type="pct"/>
            <w:vAlign w:val="center"/>
          </w:tcPr>
          <w:p w14:paraId="2C7FFFA4" w14:textId="77777777" w:rsidR="0081336F" w:rsidRPr="0081336F" w:rsidRDefault="0081336F" w:rsidP="006E0597">
            <w:pPr>
              <w:pStyle w:val="13"/>
              <w:ind w:firstLineChars="0" w:firstLine="0"/>
              <w:rPr>
                <w:sz w:val="21"/>
                <w:szCs w:val="21"/>
              </w:rPr>
            </w:pPr>
            <w:r w:rsidRPr="0081336F">
              <w:rPr>
                <w:rFonts w:hint="eastAsia"/>
                <w:sz w:val="21"/>
                <w:szCs w:val="21"/>
              </w:rPr>
              <w:t>（本年净资产收益率/上年净资产收益率-1）×100%</w:t>
            </w:r>
          </w:p>
        </w:tc>
      </w:tr>
      <w:tr w:rsidR="0081336F" w:rsidRPr="0081336F" w14:paraId="2B4537F9" w14:textId="77777777" w:rsidTr="006E0597">
        <w:tc>
          <w:tcPr>
            <w:tcW w:w="912" w:type="pct"/>
            <w:vMerge/>
            <w:vAlign w:val="center"/>
          </w:tcPr>
          <w:p w14:paraId="33FF4911" w14:textId="77777777" w:rsidR="0081336F" w:rsidRPr="0081336F" w:rsidRDefault="0081336F" w:rsidP="006E0597">
            <w:pPr>
              <w:pStyle w:val="13"/>
              <w:ind w:firstLineChars="0" w:firstLine="0"/>
              <w:rPr>
                <w:b/>
                <w:bCs/>
                <w:sz w:val="21"/>
                <w:szCs w:val="21"/>
              </w:rPr>
            </w:pPr>
          </w:p>
        </w:tc>
        <w:tc>
          <w:tcPr>
            <w:tcW w:w="1247" w:type="pct"/>
            <w:vAlign w:val="center"/>
          </w:tcPr>
          <w:p w14:paraId="63A2D1B0" w14:textId="77777777" w:rsidR="0081336F" w:rsidRPr="0081336F" w:rsidRDefault="0081336F" w:rsidP="006E0597">
            <w:pPr>
              <w:pStyle w:val="13"/>
              <w:ind w:firstLineChars="0" w:firstLine="0"/>
              <w:rPr>
                <w:sz w:val="21"/>
                <w:szCs w:val="21"/>
              </w:rPr>
            </w:pPr>
            <w:r w:rsidRPr="0081336F">
              <w:rPr>
                <w:rFonts w:hint="eastAsia"/>
                <w:sz w:val="21"/>
                <w:szCs w:val="21"/>
              </w:rPr>
              <w:t>成本收入比率</w:t>
            </w:r>
          </w:p>
        </w:tc>
        <w:tc>
          <w:tcPr>
            <w:tcW w:w="2840" w:type="pct"/>
            <w:vAlign w:val="center"/>
          </w:tcPr>
          <w:p w14:paraId="785335D6" w14:textId="77777777" w:rsidR="0081336F" w:rsidRPr="0081336F" w:rsidRDefault="0081336F" w:rsidP="006E0597">
            <w:pPr>
              <w:pStyle w:val="13"/>
              <w:ind w:firstLineChars="0" w:firstLine="0"/>
              <w:rPr>
                <w:sz w:val="21"/>
                <w:szCs w:val="21"/>
              </w:rPr>
            </w:pPr>
            <w:r w:rsidRPr="0081336F">
              <w:rPr>
                <w:rFonts w:hint="eastAsia"/>
                <w:sz w:val="21"/>
                <w:szCs w:val="21"/>
              </w:rPr>
              <w:t>（营业支出-营业税金及附加）/营业收入×100%</w:t>
            </w:r>
          </w:p>
        </w:tc>
      </w:tr>
      <w:tr w:rsidR="0081336F" w:rsidRPr="0081336F" w14:paraId="10A9D7A3" w14:textId="77777777" w:rsidTr="006E0597">
        <w:tc>
          <w:tcPr>
            <w:tcW w:w="912" w:type="pct"/>
            <w:vMerge/>
            <w:vAlign w:val="center"/>
          </w:tcPr>
          <w:p w14:paraId="19810E39" w14:textId="77777777" w:rsidR="0081336F" w:rsidRPr="0081336F" w:rsidRDefault="0081336F" w:rsidP="006E0597">
            <w:pPr>
              <w:pStyle w:val="13"/>
              <w:ind w:firstLineChars="0" w:firstLine="0"/>
              <w:rPr>
                <w:b/>
                <w:bCs/>
                <w:sz w:val="21"/>
                <w:szCs w:val="21"/>
              </w:rPr>
            </w:pPr>
          </w:p>
        </w:tc>
        <w:tc>
          <w:tcPr>
            <w:tcW w:w="1247" w:type="pct"/>
            <w:vAlign w:val="center"/>
          </w:tcPr>
          <w:p w14:paraId="070B4E1E" w14:textId="77777777" w:rsidR="0081336F" w:rsidRPr="0081336F" w:rsidRDefault="0081336F" w:rsidP="006E0597">
            <w:pPr>
              <w:pStyle w:val="13"/>
              <w:ind w:firstLineChars="0" w:firstLine="0"/>
              <w:rPr>
                <w:sz w:val="21"/>
                <w:szCs w:val="21"/>
              </w:rPr>
            </w:pPr>
            <w:r w:rsidRPr="0081336F">
              <w:rPr>
                <w:rFonts w:hint="eastAsia"/>
                <w:sz w:val="21"/>
                <w:szCs w:val="21"/>
              </w:rPr>
              <w:t>成本收入变动比率</w:t>
            </w:r>
          </w:p>
        </w:tc>
        <w:tc>
          <w:tcPr>
            <w:tcW w:w="2840" w:type="pct"/>
            <w:vAlign w:val="center"/>
          </w:tcPr>
          <w:p w14:paraId="57C08B38" w14:textId="77777777" w:rsidR="0081336F" w:rsidRPr="0081336F" w:rsidRDefault="0081336F" w:rsidP="006E0597">
            <w:pPr>
              <w:pStyle w:val="13"/>
              <w:ind w:firstLineChars="0" w:firstLine="0"/>
              <w:rPr>
                <w:sz w:val="21"/>
                <w:szCs w:val="21"/>
              </w:rPr>
            </w:pPr>
            <w:r w:rsidRPr="0081336F">
              <w:rPr>
                <w:rFonts w:hint="eastAsia"/>
                <w:sz w:val="21"/>
                <w:szCs w:val="21"/>
              </w:rPr>
              <w:t>（本年成本收入比率/上年成本收入比率-1）×100%</w:t>
            </w:r>
          </w:p>
        </w:tc>
      </w:tr>
      <w:tr w:rsidR="0081336F" w:rsidRPr="0081336F" w14:paraId="4F2EA453" w14:textId="77777777" w:rsidTr="006E0597">
        <w:tc>
          <w:tcPr>
            <w:tcW w:w="912" w:type="pct"/>
            <w:vMerge/>
            <w:vAlign w:val="center"/>
          </w:tcPr>
          <w:p w14:paraId="5EC23818" w14:textId="77777777" w:rsidR="0081336F" w:rsidRPr="0081336F" w:rsidRDefault="0081336F" w:rsidP="006E0597">
            <w:pPr>
              <w:pStyle w:val="13"/>
              <w:ind w:firstLineChars="0" w:firstLine="0"/>
              <w:rPr>
                <w:b/>
                <w:bCs/>
                <w:sz w:val="21"/>
                <w:szCs w:val="21"/>
              </w:rPr>
            </w:pPr>
          </w:p>
        </w:tc>
        <w:tc>
          <w:tcPr>
            <w:tcW w:w="1247" w:type="pct"/>
            <w:vAlign w:val="center"/>
          </w:tcPr>
          <w:p w14:paraId="5BEECD2E" w14:textId="77777777" w:rsidR="0081336F" w:rsidRPr="0081336F" w:rsidRDefault="0081336F" w:rsidP="006E0597">
            <w:pPr>
              <w:pStyle w:val="13"/>
              <w:ind w:firstLineChars="0" w:firstLine="0"/>
              <w:rPr>
                <w:sz w:val="21"/>
                <w:szCs w:val="21"/>
              </w:rPr>
            </w:pPr>
            <w:r w:rsidRPr="0081336F">
              <w:rPr>
                <w:rFonts w:hint="eastAsia"/>
                <w:sz w:val="21"/>
                <w:szCs w:val="21"/>
              </w:rPr>
              <w:t>人均利率</w:t>
            </w:r>
          </w:p>
        </w:tc>
        <w:tc>
          <w:tcPr>
            <w:tcW w:w="2840" w:type="pct"/>
            <w:vAlign w:val="center"/>
          </w:tcPr>
          <w:p w14:paraId="73423D18" w14:textId="77777777" w:rsidR="0081336F" w:rsidRPr="0081336F" w:rsidRDefault="0081336F" w:rsidP="006E0597">
            <w:pPr>
              <w:pStyle w:val="13"/>
              <w:ind w:firstLineChars="0" w:firstLine="0"/>
              <w:rPr>
                <w:sz w:val="21"/>
                <w:szCs w:val="21"/>
              </w:rPr>
            </w:pPr>
            <w:r w:rsidRPr="0081336F">
              <w:rPr>
                <w:rFonts w:hint="eastAsia"/>
                <w:sz w:val="21"/>
                <w:szCs w:val="21"/>
              </w:rPr>
              <w:t>净利润/公司职工人数</w:t>
            </w:r>
          </w:p>
        </w:tc>
      </w:tr>
      <w:tr w:rsidR="0081336F" w:rsidRPr="0081336F" w14:paraId="2EDA459E" w14:textId="77777777" w:rsidTr="006E0597">
        <w:tc>
          <w:tcPr>
            <w:tcW w:w="912" w:type="pct"/>
            <w:vMerge/>
            <w:vAlign w:val="center"/>
          </w:tcPr>
          <w:p w14:paraId="4B62DF7D" w14:textId="77777777" w:rsidR="0081336F" w:rsidRPr="0081336F" w:rsidRDefault="0081336F" w:rsidP="006E0597">
            <w:pPr>
              <w:pStyle w:val="13"/>
              <w:ind w:firstLineChars="0" w:firstLine="0"/>
              <w:rPr>
                <w:b/>
                <w:bCs/>
                <w:sz w:val="21"/>
                <w:szCs w:val="21"/>
              </w:rPr>
            </w:pPr>
          </w:p>
        </w:tc>
        <w:tc>
          <w:tcPr>
            <w:tcW w:w="1247" w:type="pct"/>
            <w:vAlign w:val="center"/>
          </w:tcPr>
          <w:p w14:paraId="2B24A85C" w14:textId="77777777" w:rsidR="0081336F" w:rsidRPr="0081336F" w:rsidRDefault="0081336F" w:rsidP="006E0597">
            <w:pPr>
              <w:pStyle w:val="13"/>
              <w:ind w:firstLineChars="0" w:firstLine="0"/>
              <w:rPr>
                <w:sz w:val="21"/>
                <w:szCs w:val="21"/>
              </w:rPr>
            </w:pPr>
            <w:r w:rsidRPr="0081336F">
              <w:rPr>
                <w:rFonts w:hint="eastAsia"/>
                <w:sz w:val="21"/>
                <w:szCs w:val="21"/>
              </w:rPr>
              <w:t>人均利率增长率</w:t>
            </w:r>
          </w:p>
        </w:tc>
        <w:tc>
          <w:tcPr>
            <w:tcW w:w="2840" w:type="pct"/>
            <w:vAlign w:val="center"/>
          </w:tcPr>
          <w:p w14:paraId="385BA51E" w14:textId="77777777" w:rsidR="0081336F" w:rsidRPr="0081336F" w:rsidRDefault="0081336F" w:rsidP="006E0597">
            <w:pPr>
              <w:pStyle w:val="13"/>
              <w:ind w:firstLineChars="0" w:firstLine="0"/>
              <w:rPr>
                <w:sz w:val="21"/>
                <w:szCs w:val="21"/>
              </w:rPr>
            </w:pPr>
            <w:r w:rsidRPr="0081336F">
              <w:rPr>
                <w:rFonts w:hint="eastAsia"/>
                <w:sz w:val="21"/>
                <w:szCs w:val="21"/>
              </w:rPr>
              <w:t>（本年人均利润-上年人均利润）/上年人均利润×100%</w:t>
            </w:r>
          </w:p>
        </w:tc>
      </w:tr>
      <w:tr w:rsidR="0081336F" w:rsidRPr="0081336F" w14:paraId="1916A520" w14:textId="77777777" w:rsidTr="006E0597">
        <w:tc>
          <w:tcPr>
            <w:tcW w:w="912" w:type="pct"/>
            <w:vMerge w:val="restart"/>
            <w:vAlign w:val="center"/>
          </w:tcPr>
          <w:p w14:paraId="06AD9073" w14:textId="77777777" w:rsidR="0081336F" w:rsidRPr="0081336F" w:rsidRDefault="0081336F" w:rsidP="006E0597">
            <w:pPr>
              <w:pStyle w:val="13"/>
              <w:ind w:firstLineChars="0" w:firstLine="0"/>
              <w:rPr>
                <w:sz w:val="21"/>
                <w:szCs w:val="21"/>
              </w:rPr>
            </w:pPr>
            <w:r w:rsidRPr="0081336F">
              <w:rPr>
                <w:rFonts w:hint="eastAsia"/>
                <w:sz w:val="21"/>
                <w:szCs w:val="21"/>
              </w:rPr>
              <w:t>信托业务</w:t>
            </w:r>
          </w:p>
          <w:p w14:paraId="4B8B3B48" w14:textId="77777777" w:rsidR="0081336F" w:rsidRPr="0081336F" w:rsidRDefault="0081336F" w:rsidP="006E0597">
            <w:pPr>
              <w:pStyle w:val="13"/>
              <w:ind w:firstLineChars="0" w:firstLine="0"/>
              <w:rPr>
                <w:sz w:val="21"/>
                <w:szCs w:val="21"/>
              </w:rPr>
            </w:pPr>
            <w:r w:rsidRPr="0081336F">
              <w:rPr>
                <w:rFonts w:hint="eastAsia"/>
                <w:sz w:val="21"/>
                <w:szCs w:val="21"/>
              </w:rPr>
              <w:t>盈利能力指标</w:t>
            </w:r>
          </w:p>
        </w:tc>
        <w:tc>
          <w:tcPr>
            <w:tcW w:w="1247" w:type="pct"/>
            <w:vAlign w:val="center"/>
          </w:tcPr>
          <w:p w14:paraId="376E1924" w14:textId="77777777" w:rsidR="0081336F" w:rsidRPr="0081336F" w:rsidRDefault="0081336F" w:rsidP="006E0597">
            <w:pPr>
              <w:pStyle w:val="13"/>
              <w:ind w:firstLineChars="0" w:firstLine="0"/>
              <w:rPr>
                <w:sz w:val="21"/>
                <w:szCs w:val="21"/>
              </w:rPr>
            </w:pPr>
            <w:r w:rsidRPr="0081336F">
              <w:rPr>
                <w:rFonts w:hint="eastAsia"/>
                <w:sz w:val="21"/>
                <w:szCs w:val="21"/>
              </w:rPr>
              <w:t>信托业务收入占比</w:t>
            </w:r>
          </w:p>
        </w:tc>
        <w:tc>
          <w:tcPr>
            <w:tcW w:w="2840" w:type="pct"/>
            <w:vAlign w:val="center"/>
          </w:tcPr>
          <w:p w14:paraId="15C747B5" w14:textId="77777777" w:rsidR="0081336F" w:rsidRPr="0081336F" w:rsidRDefault="0081336F" w:rsidP="006E0597">
            <w:pPr>
              <w:pStyle w:val="13"/>
              <w:ind w:firstLineChars="0" w:firstLine="0"/>
              <w:rPr>
                <w:sz w:val="21"/>
                <w:szCs w:val="21"/>
              </w:rPr>
            </w:pPr>
            <w:r w:rsidRPr="0081336F">
              <w:rPr>
                <w:rFonts w:hint="eastAsia"/>
                <w:sz w:val="21"/>
                <w:szCs w:val="21"/>
              </w:rPr>
              <w:t>信托业务收入/总收入×100%</w:t>
            </w:r>
          </w:p>
        </w:tc>
      </w:tr>
      <w:tr w:rsidR="0081336F" w:rsidRPr="0081336F" w14:paraId="04229FD1" w14:textId="77777777" w:rsidTr="006E0597">
        <w:tc>
          <w:tcPr>
            <w:tcW w:w="912" w:type="pct"/>
            <w:vMerge/>
            <w:vAlign w:val="center"/>
          </w:tcPr>
          <w:p w14:paraId="14C98336" w14:textId="77777777" w:rsidR="0081336F" w:rsidRPr="0081336F" w:rsidRDefault="0081336F" w:rsidP="006E0597">
            <w:pPr>
              <w:pStyle w:val="13"/>
              <w:ind w:firstLineChars="0" w:firstLine="0"/>
              <w:rPr>
                <w:b/>
                <w:bCs/>
                <w:sz w:val="21"/>
                <w:szCs w:val="21"/>
              </w:rPr>
            </w:pPr>
          </w:p>
        </w:tc>
        <w:tc>
          <w:tcPr>
            <w:tcW w:w="1247" w:type="pct"/>
            <w:vAlign w:val="center"/>
          </w:tcPr>
          <w:p w14:paraId="11BB6624" w14:textId="77777777" w:rsidR="0081336F" w:rsidRPr="0081336F" w:rsidRDefault="0081336F" w:rsidP="006E0597">
            <w:pPr>
              <w:pStyle w:val="13"/>
              <w:ind w:firstLineChars="0" w:firstLine="0"/>
              <w:rPr>
                <w:sz w:val="21"/>
                <w:szCs w:val="21"/>
              </w:rPr>
            </w:pPr>
            <w:r w:rsidRPr="0081336F">
              <w:rPr>
                <w:rFonts w:hint="eastAsia"/>
                <w:sz w:val="21"/>
                <w:szCs w:val="21"/>
              </w:rPr>
              <w:t>信托业务收入增长率</w:t>
            </w:r>
          </w:p>
        </w:tc>
        <w:tc>
          <w:tcPr>
            <w:tcW w:w="2840" w:type="pct"/>
            <w:vAlign w:val="center"/>
          </w:tcPr>
          <w:p w14:paraId="5D4A3D68" w14:textId="77777777" w:rsidR="0081336F" w:rsidRPr="0081336F" w:rsidRDefault="0081336F" w:rsidP="006E0597">
            <w:pPr>
              <w:pStyle w:val="13"/>
              <w:ind w:firstLineChars="0" w:firstLine="0"/>
              <w:rPr>
                <w:sz w:val="21"/>
                <w:szCs w:val="21"/>
              </w:rPr>
            </w:pPr>
            <w:r w:rsidRPr="0081336F">
              <w:rPr>
                <w:rFonts w:hint="eastAsia"/>
                <w:sz w:val="21"/>
                <w:szCs w:val="21"/>
              </w:rPr>
              <w:t>（本年信托业务收入-上年信托业务收入）/上年信托业务收入×100%</w:t>
            </w:r>
          </w:p>
        </w:tc>
      </w:tr>
      <w:tr w:rsidR="0081336F" w:rsidRPr="0081336F" w14:paraId="33ABA4EE" w14:textId="77777777" w:rsidTr="006E0597">
        <w:tc>
          <w:tcPr>
            <w:tcW w:w="912" w:type="pct"/>
            <w:vMerge/>
            <w:vAlign w:val="center"/>
          </w:tcPr>
          <w:p w14:paraId="3F59D105" w14:textId="77777777" w:rsidR="0081336F" w:rsidRPr="0081336F" w:rsidRDefault="0081336F" w:rsidP="006E0597">
            <w:pPr>
              <w:pStyle w:val="13"/>
              <w:ind w:firstLineChars="0" w:firstLine="0"/>
              <w:rPr>
                <w:b/>
                <w:bCs/>
                <w:sz w:val="21"/>
                <w:szCs w:val="21"/>
              </w:rPr>
            </w:pPr>
          </w:p>
        </w:tc>
        <w:tc>
          <w:tcPr>
            <w:tcW w:w="1247" w:type="pct"/>
            <w:vAlign w:val="center"/>
          </w:tcPr>
          <w:p w14:paraId="73B47A37" w14:textId="77777777" w:rsidR="0081336F" w:rsidRPr="0081336F" w:rsidRDefault="0081336F" w:rsidP="006E0597">
            <w:pPr>
              <w:pStyle w:val="13"/>
              <w:ind w:firstLineChars="0" w:firstLine="0"/>
              <w:rPr>
                <w:sz w:val="21"/>
                <w:szCs w:val="21"/>
              </w:rPr>
            </w:pPr>
            <w:r w:rsidRPr="0081336F">
              <w:rPr>
                <w:rFonts w:hint="eastAsia"/>
                <w:sz w:val="21"/>
                <w:szCs w:val="21"/>
              </w:rPr>
              <w:t>信托报酬率</w:t>
            </w:r>
          </w:p>
        </w:tc>
        <w:tc>
          <w:tcPr>
            <w:tcW w:w="2840" w:type="pct"/>
            <w:vAlign w:val="center"/>
          </w:tcPr>
          <w:p w14:paraId="6DC1822B" w14:textId="77777777" w:rsidR="0081336F" w:rsidRPr="0081336F" w:rsidRDefault="0081336F" w:rsidP="006E0597">
            <w:pPr>
              <w:pStyle w:val="13"/>
              <w:ind w:firstLineChars="0" w:firstLine="0"/>
              <w:rPr>
                <w:sz w:val="21"/>
                <w:szCs w:val="21"/>
              </w:rPr>
            </w:pPr>
            <w:r w:rsidRPr="0081336F">
              <w:rPr>
                <w:rFonts w:hint="eastAsia"/>
                <w:sz w:val="21"/>
                <w:szCs w:val="21"/>
              </w:rPr>
              <w:t>信托业务收入/实收信托平均余额×100%</w:t>
            </w:r>
          </w:p>
        </w:tc>
      </w:tr>
      <w:tr w:rsidR="0081336F" w:rsidRPr="0081336F" w14:paraId="23C3C753" w14:textId="77777777" w:rsidTr="006E0597">
        <w:tc>
          <w:tcPr>
            <w:tcW w:w="912" w:type="pct"/>
            <w:vMerge w:val="restart"/>
            <w:vAlign w:val="center"/>
          </w:tcPr>
          <w:p w14:paraId="5AE31B4C" w14:textId="77777777" w:rsidR="0081336F" w:rsidRPr="0081336F" w:rsidRDefault="0081336F" w:rsidP="006E0597">
            <w:pPr>
              <w:pStyle w:val="13"/>
              <w:ind w:firstLineChars="0" w:firstLine="0"/>
              <w:rPr>
                <w:sz w:val="21"/>
                <w:szCs w:val="21"/>
              </w:rPr>
            </w:pPr>
            <w:r w:rsidRPr="0081336F">
              <w:rPr>
                <w:rFonts w:hint="eastAsia"/>
                <w:sz w:val="21"/>
                <w:szCs w:val="21"/>
              </w:rPr>
              <w:t>固有业务</w:t>
            </w:r>
          </w:p>
          <w:p w14:paraId="559B0E78" w14:textId="77777777" w:rsidR="0081336F" w:rsidRPr="0081336F" w:rsidRDefault="0081336F" w:rsidP="006E0597">
            <w:pPr>
              <w:pStyle w:val="13"/>
              <w:ind w:firstLineChars="0" w:firstLine="0"/>
              <w:rPr>
                <w:sz w:val="21"/>
                <w:szCs w:val="21"/>
              </w:rPr>
            </w:pPr>
            <w:r w:rsidRPr="0081336F">
              <w:rPr>
                <w:rFonts w:hint="eastAsia"/>
                <w:sz w:val="21"/>
                <w:szCs w:val="21"/>
              </w:rPr>
              <w:t>盈利能力指标</w:t>
            </w:r>
          </w:p>
        </w:tc>
        <w:tc>
          <w:tcPr>
            <w:tcW w:w="1247" w:type="pct"/>
            <w:vAlign w:val="center"/>
          </w:tcPr>
          <w:p w14:paraId="388705F5" w14:textId="77777777" w:rsidR="0081336F" w:rsidRPr="0081336F" w:rsidRDefault="0081336F" w:rsidP="006E0597">
            <w:pPr>
              <w:pStyle w:val="13"/>
              <w:ind w:firstLineChars="0" w:firstLine="0"/>
              <w:rPr>
                <w:sz w:val="21"/>
                <w:szCs w:val="21"/>
              </w:rPr>
            </w:pPr>
            <w:r w:rsidRPr="0081336F">
              <w:rPr>
                <w:rFonts w:hint="eastAsia"/>
                <w:sz w:val="21"/>
                <w:szCs w:val="21"/>
              </w:rPr>
              <w:t>固有业务收益率</w:t>
            </w:r>
          </w:p>
        </w:tc>
        <w:tc>
          <w:tcPr>
            <w:tcW w:w="2840" w:type="pct"/>
            <w:vAlign w:val="center"/>
          </w:tcPr>
          <w:p w14:paraId="2EFC6537" w14:textId="77777777" w:rsidR="0081336F" w:rsidRPr="0081336F" w:rsidRDefault="0081336F" w:rsidP="006E0597">
            <w:pPr>
              <w:pStyle w:val="13"/>
              <w:ind w:firstLineChars="0" w:firstLine="0"/>
              <w:rPr>
                <w:sz w:val="21"/>
                <w:szCs w:val="21"/>
              </w:rPr>
            </w:pPr>
            <w:r w:rsidRPr="0081336F">
              <w:rPr>
                <w:rFonts w:hint="eastAsia"/>
                <w:sz w:val="21"/>
                <w:szCs w:val="21"/>
              </w:rPr>
              <w:t>固有业务收入/所有者权益平均余额×100%</w:t>
            </w:r>
          </w:p>
        </w:tc>
      </w:tr>
      <w:tr w:rsidR="0081336F" w:rsidRPr="0081336F" w14:paraId="47A6ECC3" w14:textId="77777777" w:rsidTr="006E0597">
        <w:tc>
          <w:tcPr>
            <w:tcW w:w="912" w:type="pct"/>
            <w:vMerge/>
            <w:vAlign w:val="center"/>
          </w:tcPr>
          <w:p w14:paraId="28C2748D" w14:textId="77777777" w:rsidR="0081336F" w:rsidRPr="0081336F" w:rsidRDefault="0081336F" w:rsidP="006E0597">
            <w:pPr>
              <w:pStyle w:val="13"/>
              <w:ind w:firstLineChars="0" w:firstLine="0"/>
              <w:rPr>
                <w:b/>
                <w:bCs/>
                <w:sz w:val="21"/>
                <w:szCs w:val="21"/>
              </w:rPr>
            </w:pPr>
          </w:p>
        </w:tc>
        <w:tc>
          <w:tcPr>
            <w:tcW w:w="1247" w:type="pct"/>
            <w:vAlign w:val="center"/>
          </w:tcPr>
          <w:p w14:paraId="46FDFDF1" w14:textId="77777777" w:rsidR="0081336F" w:rsidRPr="0081336F" w:rsidRDefault="0081336F" w:rsidP="006E0597">
            <w:pPr>
              <w:pStyle w:val="13"/>
              <w:ind w:firstLineChars="0" w:firstLine="0"/>
              <w:rPr>
                <w:sz w:val="21"/>
                <w:szCs w:val="21"/>
              </w:rPr>
            </w:pPr>
            <w:r w:rsidRPr="0081336F">
              <w:rPr>
                <w:rFonts w:hint="eastAsia"/>
                <w:sz w:val="21"/>
                <w:szCs w:val="21"/>
              </w:rPr>
              <w:t>固有业务收益增长率</w:t>
            </w:r>
          </w:p>
        </w:tc>
        <w:tc>
          <w:tcPr>
            <w:tcW w:w="2840" w:type="pct"/>
            <w:vAlign w:val="center"/>
          </w:tcPr>
          <w:p w14:paraId="1903F3A6" w14:textId="77777777" w:rsidR="0081336F" w:rsidRPr="0081336F" w:rsidRDefault="0081336F" w:rsidP="006E0597">
            <w:pPr>
              <w:pStyle w:val="13"/>
              <w:ind w:firstLineChars="0" w:firstLine="0"/>
              <w:rPr>
                <w:sz w:val="21"/>
                <w:szCs w:val="21"/>
              </w:rPr>
            </w:pPr>
            <w:r w:rsidRPr="0081336F">
              <w:rPr>
                <w:rFonts w:hint="eastAsia"/>
                <w:sz w:val="21"/>
                <w:szCs w:val="21"/>
              </w:rPr>
              <w:t>（本年固有业务收益率/上年固有业务收益率-1）×100%</w:t>
            </w:r>
          </w:p>
        </w:tc>
      </w:tr>
    </w:tbl>
    <w:p w14:paraId="69D5DD4A" w14:textId="77777777" w:rsidR="0081336F" w:rsidRPr="0081336F" w:rsidRDefault="0081336F" w:rsidP="0081336F">
      <w:pPr>
        <w:pStyle w:val="13"/>
        <w:ind w:firstLine="482"/>
        <w:rPr>
          <w:b/>
        </w:rPr>
      </w:pPr>
      <w:r w:rsidRPr="0081336F">
        <w:rPr>
          <w:rFonts w:hint="eastAsia"/>
          <w:b/>
        </w:rPr>
        <w:t>（三）评级结果使用</w:t>
      </w:r>
    </w:p>
    <w:p w14:paraId="4C9741AA" w14:textId="77777777" w:rsidR="0081336F" w:rsidRPr="0081336F" w:rsidRDefault="0081336F" w:rsidP="0081336F">
      <w:pPr>
        <w:pStyle w:val="13"/>
      </w:pPr>
      <w:r w:rsidRPr="0081336F">
        <w:rPr>
          <w:rFonts w:hint="eastAsia"/>
        </w:rPr>
        <w:t>上述定量监管指标，并不属于强制性监管指标，但是会影响信托公司的监管评级。评级结果对信托公司的影响主要体现在：</w:t>
      </w:r>
    </w:p>
    <w:p w14:paraId="61BEF22B" w14:textId="77777777" w:rsidR="0081336F" w:rsidRPr="0081336F" w:rsidRDefault="0081336F" w:rsidP="0081336F">
      <w:pPr>
        <w:pStyle w:val="13"/>
      </w:pPr>
      <w:r w:rsidRPr="0081336F">
        <w:rPr>
          <w:rFonts w:hint="eastAsia"/>
        </w:rPr>
        <w:t>1.评级结果作为衡量信托公司风险程度的主要依据；</w:t>
      </w:r>
    </w:p>
    <w:p w14:paraId="755D4C89" w14:textId="77777777" w:rsidR="0081336F" w:rsidRPr="0081336F" w:rsidRDefault="0081336F" w:rsidP="0081336F">
      <w:pPr>
        <w:pStyle w:val="13"/>
      </w:pPr>
      <w:r w:rsidRPr="0081336F">
        <w:rPr>
          <w:rFonts w:hint="eastAsia"/>
        </w:rPr>
        <w:t>2.评级结果作为监管规划和合理配置监管资源的主要依据；</w:t>
      </w:r>
    </w:p>
    <w:p w14:paraId="174E19B6" w14:textId="77777777" w:rsidR="0081336F" w:rsidRPr="0081336F" w:rsidRDefault="0081336F" w:rsidP="0081336F">
      <w:pPr>
        <w:pStyle w:val="13"/>
      </w:pPr>
      <w:r w:rsidRPr="0081336F">
        <w:rPr>
          <w:rFonts w:hint="eastAsia"/>
        </w:rPr>
        <w:t>3.评级结果是监管机构采取监管措施和行动的主要依据。</w:t>
      </w:r>
    </w:p>
    <w:p w14:paraId="2A3D0AFF" w14:textId="77777777" w:rsidR="0081336F" w:rsidRPr="0081336F" w:rsidRDefault="0081336F" w:rsidP="0081336F">
      <w:pPr>
        <w:pStyle w:val="13"/>
        <w:ind w:firstLine="482"/>
        <w:rPr>
          <w:b/>
        </w:rPr>
      </w:pPr>
      <w:r w:rsidRPr="0081336F">
        <w:rPr>
          <w:rFonts w:hint="eastAsia"/>
          <w:b/>
        </w:rPr>
        <w:t>三、监管指标</w:t>
      </w:r>
    </w:p>
    <w:p w14:paraId="02DBB51A" w14:textId="77777777" w:rsidR="0081336F" w:rsidRPr="0081336F" w:rsidRDefault="0081336F" w:rsidP="0081336F">
      <w:pPr>
        <w:pStyle w:val="13"/>
      </w:pPr>
      <w:r w:rsidRPr="0081336F">
        <w:rPr>
          <w:rFonts w:hint="eastAsia"/>
        </w:rPr>
        <w:t>除上述监管评级指标，信托公司评估中应关注的金融监管指标主要包括净资本相关指标和信托赔偿准备金。</w:t>
      </w:r>
    </w:p>
    <w:p w14:paraId="41BF5F77" w14:textId="77777777" w:rsidR="0081336F" w:rsidRPr="0081336F" w:rsidRDefault="0081336F" w:rsidP="0081336F">
      <w:pPr>
        <w:pStyle w:val="13"/>
        <w:ind w:firstLine="482"/>
        <w:rPr>
          <w:b/>
        </w:rPr>
      </w:pPr>
      <w:r w:rsidRPr="0081336F">
        <w:rPr>
          <w:rFonts w:hint="eastAsia"/>
          <w:b/>
        </w:rPr>
        <w:t>（一）净资本</w:t>
      </w:r>
    </w:p>
    <w:p w14:paraId="65BE3AD6" w14:textId="77777777" w:rsidR="0081336F" w:rsidRPr="0081336F" w:rsidRDefault="0081336F" w:rsidP="0081336F">
      <w:pPr>
        <w:pStyle w:val="13"/>
      </w:pPr>
      <w:r w:rsidRPr="0081336F">
        <w:rPr>
          <w:rFonts w:hint="eastAsia"/>
        </w:rPr>
        <w:t>信托公司净资本，是根据信托公司的业务范围和公司资产结构的特点，在净资产的基础上对各固有资产项目、表外项目和其他有关业务进行风险调整后得出的综合性风险控制指标。</w:t>
      </w:r>
    </w:p>
    <w:p w14:paraId="4DE41615" w14:textId="77777777" w:rsidR="0081336F" w:rsidRPr="0081336F" w:rsidRDefault="0081336F" w:rsidP="0081336F">
      <w:pPr>
        <w:pStyle w:val="13"/>
      </w:pPr>
      <w:r w:rsidRPr="0081336F">
        <w:rPr>
          <w:rFonts w:hint="eastAsia"/>
        </w:rPr>
        <w:t>净资本﹦净资产﹣各类资产的风险扣除项﹣或有负债的风险扣除项﹣中国银行业监督管理委员会认定的其他风险扣除项。</w:t>
      </w:r>
    </w:p>
    <w:p w14:paraId="42300483" w14:textId="77777777" w:rsidR="0081336F" w:rsidRPr="0081336F" w:rsidRDefault="0081336F" w:rsidP="0081336F">
      <w:pPr>
        <w:pStyle w:val="13"/>
      </w:pPr>
      <w:r w:rsidRPr="0081336F">
        <w:rPr>
          <w:rFonts w:hint="eastAsia"/>
        </w:rPr>
        <w:t>对信托公司实施净资本管理的目的，是确保信托公司固有资产充足并保持必要的流动性，以满足抵御各项业务不可预期损失的需要。</w:t>
      </w:r>
    </w:p>
    <w:p w14:paraId="4729EA1C" w14:textId="77777777" w:rsidR="0081336F" w:rsidRPr="0081336F" w:rsidRDefault="0081336F" w:rsidP="0081336F">
      <w:pPr>
        <w:pStyle w:val="13"/>
      </w:pPr>
      <w:r w:rsidRPr="0081336F">
        <w:rPr>
          <w:rFonts w:hint="eastAsia"/>
        </w:rPr>
        <w:t>根据监管要求，信托公司净资本不得低于人民币2亿元。</w:t>
      </w:r>
    </w:p>
    <w:p w14:paraId="2E0709D1" w14:textId="77777777" w:rsidR="0081336F" w:rsidRPr="0081336F" w:rsidRDefault="0081336F" w:rsidP="0081336F">
      <w:pPr>
        <w:pStyle w:val="13"/>
        <w:ind w:firstLine="482"/>
        <w:rPr>
          <w:b/>
        </w:rPr>
      </w:pPr>
      <w:r w:rsidRPr="0081336F">
        <w:rPr>
          <w:rFonts w:hint="eastAsia"/>
          <w:b/>
        </w:rPr>
        <w:lastRenderedPageBreak/>
        <w:t>（二）风险资本</w:t>
      </w:r>
    </w:p>
    <w:p w14:paraId="5F106201" w14:textId="77777777" w:rsidR="0081336F" w:rsidRPr="0081336F" w:rsidRDefault="0081336F" w:rsidP="0081336F">
      <w:pPr>
        <w:pStyle w:val="13"/>
      </w:pPr>
      <w:r w:rsidRPr="0081336F">
        <w:rPr>
          <w:rFonts w:hint="eastAsia"/>
        </w:rPr>
        <w:t>信托公司风险资本，是信托公司按照一定标准计算并配置给某项业务用于应对潜在风险的资本。</w:t>
      </w:r>
    </w:p>
    <w:p w14:paraId="128C9A5B" w14:textId="77777777" w:rsidR="0081336F" w:rsidRPr="0081336F" w:rsidRDefault="0081336F" w:rsidP="0081336F">
      <w:pPr>
        <w:pStyle w:val="13"/>
      </w:pPr>
      <w:r w:rsidRPr="0081336F">
        <w:rPr>
          <w:rFonts w:hint="eastAsia"/>
        </w:rPr>
        <w:t>风险资本﹦固有业务风险资本﹢信托业务风险资本﹢其他业务风险资本</w:t>
      </w:r>
    </w:p>
    <w:p w14:paraId="370A4E4E" w14:textId="77777777" w:rsidR="0081336F" w:rsidRPr="0081336F" w:rsidRDefault="0081336F" w:rsidP="0081336F">
      <w:pPr>
        <w:pStyle w:val="13"/>
      </w:pPr>
      <w:r w:rsidRPr="0081336F">
        <w:rPr>
          <w:rFonts w:hint="eastAsia"/>
        </w:rPr>
        <w:t>固有业务风险资本﹦固有业务各项资产净值×风险系数</w:t>
      </w:r>
    </w:p>
    <w:p w14:paraId="216AD77C" w14:textId="77777777" w:rsidR="0081336F" w:rsidRPr="0081336F" w:rsidRDefault="0081336F" w:rsidP="0081336F">
      <w:pPr>
        <w:pStyle w:val="13"/>
      </w:pPr>
      <w:r w:rsidRPr="0081336F">
        <w:rPr>
          <w:rFonts w:hint="eastAsia"/>
        </w:rPr>
        <w:t>信托业务风险资本﹦信托业务各项资产余额×风险系数</w:t>
      </w:r>
    </w:p>
    <w:p w14:paraId="1AD97F06" w14:textId="77777777" w:rsidR="0081336F" w:rsidRPr="0081336F" w:rsidRDefault="0081336F" w:rsidP="0081336F">
      <w:pPr>
        <w:pStyle w:val="13"/>
      </w:pPr>
      <w:r w:rsidRPr="0081336F">
        <w:rPr>
          <w:rFonts w:hint="eastAsia"/>
        </w:rPr>
        <w:t>其他业务风险资本﹦其他各项业务余额×风险系数</w:t>
      </w:r>
    </w:p>
    <w:p w14:paraId="24EACDE4" w14:textId="77777777" w:rsidR="0081336F" w:rsidRPr="0081336F" w:rsidRDefault="0081336F" w:rsidP="0081336F">
      <w:pPr>
        <w:pStyle w:val="13"/>
      </w:pPr>
      <w:r w:rsidRPr="0081336F">
        <w:rPr>
          <w:rFonts w:hint="eastAsia"/>
        </w:rPr>
        <w:t>风险资本衡量信托公司开展各项经营业务所面临的风险，风险资本越高，对信托公司的资本金水平要求越高。不同评级的信托公司对应不同的风险系数。评级结果为3级及以下的信托公司风险资本计算系数为标准系数，评级结果为1级和2级的信托公司风险资本计算系数在标准系数基础上下浮20%。</w:t>
      </w:r>
    </w:p>
    <w:p w14:paraId="5EE96CF5" w14:textId="77777777" w:rsidR="0081336F" w:rsidRPr="0081336F" w:rsidRDefault="0081336F" w:rsidP="0081336F">
      <w:pPr>
        <w:pStyle w:val="13"/>
        <w:ind w:firstLine="482"/>
        <w:rPr>
          <w:b/>
        </w:rPr>
      </w:pPr>
      <w:r w:rsidRPr="0081336F">
        <w:rPr>
          <w:rFonts w:hint="eastAsia"/>
          <w:b/>
        </w:rPr>
        <w:t>（三）净资本/风险资本</w:t>
      </w:r>
    </w:p>
    <w:p w14:paraId="3C05D7A2" w14:textId="77777777" w:rsidR="0081336F" w:rsidRPr="0081336F" w:rsidRDefault="0081336F" w:rsidP="0081336F">
      <w:pPr>
        <w:pStyle w:val="13"/>
      </w:pPr>
      <w:r w:rsidRPr="0081336F">
        <w:rPr>
          <w:rFonts w:hint="eastAsia"/>
        </w:rPr>
        <w:t>净资本/风险资本比例衡量信托公司对业务风险的覆盖程度。根据监管要求，信托公司净资本水平不得低于各项风险资本之和的100%。由于不同监管评级的信托公司适用不同的风险系数，所以处于较低评级的信托公司在进行规模扩张时将面临更严格的净资本要求。</w:t>
      </w:r>
    </w:p>
    <w:p w14:paraId="472E3984" w14:textId="77777777" w:rsidR="0081336F" w:rsidRPr="0081336F" w:rsidRDefault="0081336F" w:rsidP="0081336F">
      <w:pPr>
        <w:pStyle w:val="13"/>
      </w:pPr>
      <w:r w:rsidRPr="0081336F">
        <w:rPr>
          <w:rFonts w:hint="eastAsia"/>
        </w:rPr>
        <w:t>对信托公司进行评估，信托公司净资本/风险资本比例出现不足或预警的，应分析其原因。如果是业务发展过快，脱离了资本约束，则应调节业务发展规模；如果业务发展合理，但是净资本没有得到及时的补充，则可通过发行资本工具、降低分红比例等方式对净资本进行相应补充。</w:t>
      </w:r>
    </w:p>
    <w:p w14:paraId="53616AB9" w14:textId="77777777" w:rsidR="0081336F" w:rsidRPr="0081336F" w:rsidRDefault="0081336F" w:rsidP="0081336F">
      <w:pPr>
        <w:pStyle w:val="13"/>
        <w:ind w:firstLine="482"/>
        <w:rPr>
          <w:b/>
        </w:rPr>
      </w:pPr>
      <w:r w:rsidRPr="0081336F">
        <w:rPr>
          <w:rFonts w:hint="eastAsia"/>
          <w:b/>
        </w:rPr>
        <w:t>（四）净资本/净资产</w:t>
      </w:r>
    </w:p>
    <w:p w14:paraId="5B481904" w14:textId="77777777" w:rsidR="0081336F" w:rsidRPr="0081336F" w:rsidRDefault="0081336F" w:rsidP="0081336F">
      <w:pPr>
        <w:pStyle w:val="13"/>
      </w:pPr>
      <w:r w:rsidRPr="0081336F">
        <w:rPr>
          <w:rFonts w:hint="eastAsia"/>
        </w:rPr>
        <w:t>净资本/净资产比例衡量信托公司防御流动性风险的能力。</w:t>
      </w:r>
    </w:p>
    <w:p w14:paraId="77F4982D" w14:textId="77777777" w:rsidR="0081336F" w:rsidRPr="0081336F" w:rsidRDefault="0081336F" w:rsidP="0081336F">
      <w:pPr>
        <w:pStyle w:val="13"/>
      </w:pPr>
      <w:r w:rsidRPr="0081336F">
        <w:rPr>
          <w:rFonts w:hint="eastAsia"/>
        </w:rPr>
        <w:t>根据监管要求，信托公司净资本不得低于净资产的40%。对信托公司进行评估，应计算其净资本/净资产比例，预测结果应符合历史趋势和信托公司未来走势。净资本/净资产比例不符合监管要求的，应考虑其资产配置是否合理。</w:t>
      </w:r>
    </w:p>
    <w:p w14:paraId="7D7EDB7F" w14:textId="77777777" w:rsidR="0081336F" w:rsidRPr="0081336F" w:rsidRDefault="0081336F" w:rsidP="0081336F">
      <w:pPr>
        <w:pStyle w:val="13"/>
        <w:ind w:firstLine="482"/>
        <w:rPr>
          <w:b/>
        </w:rPr>
      </w:pPr>
      <w:r w:rsidRPr="0081336F">
        <w:rPr>
          <w:rFonts w:hint="eastAsia"/>
          <w:b/>
        </w:rPr>
        <w:t>（五）信托赔偿准备金</w:t>
      </w:r>
    </w:p>
    <w:p w14:paraId="06B79FBC" w14:textId="77777777" w:rsidR="0081336F" w:rsidRPr="0081336F" w:rsidRDefault="0081336F" w:rsidP="0081336F">
      <w:pPr>
        <w:pStyle w:val="13"/>
      </w:pPr>
      <w:r w:rsidRPr="0081336F">
        <w:rPr>
          <w:rFonts w:hint="eastAsia"/>
        </w:rPr>
        <w:t>信托赔偿准备是指从事信托业务的金融企业按规定从净利润中提取，用于赔偿信托业务损失的风险准备。</w:t>
      </w:r>
    </w:p>
    <w:p w14:paraId="4D77A7DE" w14:textId="77777777" w:rsidR="0081336F" w:rsidRPr="0081336F" w:rsidRDefault="0081336F" w:rsidP="0081336F">
      <w:pPr>
        <w:pStyle w:val="13"/>
      </w:pPr>
      <w:r w:rsidRPr="0081336F">
        <w:rPr>
          <w:rFonts w:hint="eastAsia"/>
        </w:rPr>
        <w:t>根据监管要求，信托公司每年应当从税后利润中提取5%作为信托赔偿准备金，但该赔偿准备金累计总额达到公司注册资本的20%时，可不再提取。</w:t>
      </w:r>
    </w:p>
    <w:p w14:paraId="026FCED0" w14:textId="77777777" w:rsidR="0081336F" w:rsidRPr="0081336F" w:rsidRDefault="0081336F" w:rsidP="0081336F">
      <w:pPr>
        <w:pStyle w:val="13"/>
      </w:pPr>
      <w:r w:rsidRPr="0081336F">
        <w:rPr>
          <w:rFonts w:hint="eastAsia"/>
        </w:rPr>
        <w:t>目前我国信托赔偿准备金的来源较为单一，信托赔偿准备金的规模与信托公司管理的信托资产规模相差甚远，尚不足以发挥防范风险的作用。</w:t>
      </w:r>
    </w:p>
    <w:p w14:paraId="165DA8E7" w14:textId="77777777" w:rsidR="0081336F" w:rsidRPr="0081336F" w:rsidRDefault="0081336F" w:rsidP="0081336F">
      <w:pPr>
        <w:pStyle w:val="13"/>
        <w:ind w:firstLine="482"/>
        <w:rPr>
          <w:b/>
          <w:bCs/>
        </w:rPr>
      </w:pPr>
      <w:r w:rsidRPr="0081336F">
        <w:rPr>
          <w:rFonts w:hint="eastAsia"/>
          <w:b/>
          <w:bCs/>
        </w:rPr>
        <w:t>四、评估中应关注的问题</w:t>
      </w:r>
    </w:p>
    <w:p w14:paraId="0FF72872" w14:textId="77777777" w:rsidR="0081336F" w:rsidRPr="0081336F" w:rsidRDefault="0081336F" w:rsidP="0081336F">
      <w:pPr>
        <w:pStyle w:val="13"/>
      </w:pPr>
      <w:r w:rsidRPr="0081336F">
        <w:rPr>
          <w:rFonts w:hint="eastAsia"/>
        </w:rPr>
        <w:t>信托公司进行各项经营活动，应保证一定的资本水平，以抵御可能出现的经营风</w:t>
      </w:r>
      <w:r w:rsidRPr="0081336F">
        <w:rPr>
          <w:rFonts w:hint="eastAsia"/>
        </w:rPr>
        <w:lastRenderedPageBreak/>
        <w:t>险和流动性风险。对信托公司进行评估，应关注其净资本</w:t>
      </w:r>
      <w:r w:rsidRPr="0081336F">
        <w:t>/风险资本比例和净资本/净资产比例是否符合监管要求。信托公司净资本水平不足或可能出现不足的，评估机构可以合理预测其业务发展规模。此外，信托公司也可以通过发行资本工具、降低分红水平等方式对资本金进行补充。对于净资本水平不足的信托公司，评估机构应在评估报告中披露相关风险。</w:t>
      </w:r>
    </w:p>
    <w:p w14:paraId="17D74C3F" w14:textId="77777777" w:rsidR="0081336F" w:rsidRPr="0081336F" w:rsidRDefault="0081336F" w:rsidP="0081336F">
      <w:pPr>
        <w:pStyle w:val="13"/>
      </w:pPr>
      <w:r w:rsidRPr="0081336F">
        <w:rPr>
          <w:rFonts w:hint="eastAsia"/>
        </w:rPr>
        <w:t>信托赔偿准备金主要用于赔偿</w:t>
      </w:r>
      <w:proofErr w:type="gramStart"/>
      <w:r w:rsidRPr="0081336F">
        <w:rPr>
          <w:rFonts w:hint="eastAsia"/>
        </w:rPr>
        <w:t>信托项目</w:t>
      </w:r>
      <w:proofErr w:type="gramEnd"/>
      <w:r w:rsidRPr="0081336F">
        <w:rPr>
          <w:rFonts w:hint="eastAsia"/>
        </w:rPr>
        <w:t>可能出现的损失。需要注意的是，信托赔偿准备金的金额相对于</w:t>
      </w:r>
      <w:proofErr w:type="gramStart"/>
      <w:r w:rsidRPr="0081336F">
        <w:rPr>
          <w:rFonts w:hint="eastAsia"/>
        </w:rPr>
        <w:t>信托项目</w:t>
      </w:r>
      <w:proofErr w:type="gramEnd"/>
      <w:r w:rsidRPr="0081336F">
        <w:rPr>
          <w:rFonts w:hint="eastAsia"/>
        </w:rPr>
        <w:t>金额来说较小，信托公司依法提取信托赔偿准备金，尚不足以表示其对于</w:t>
      </w:r>
      <w:proofErr w:type="gramStart"/>
      <w:r w:rsidRPr="0081336F">
        <w:rPr>
          <w:rFonts w:hint="eastAsia"/>
        </w:rPr>
        <w:t>信托项目</w:t>
      </w:r>
      <w:proofErr w:type="gramEnd"/>
      <w:r w:rsidRPr="0081336F">
        <w:rPr>
          <w:rFonts w:hint="eastAsia"/>
        </w:rPr>
        <w:t>的风险覆盖程度较好。对信托公司进行评估，还应该分析具体</w:t>
      </w:r>
      <w:proofErr w:type="gramStart"/>
      <w:r w:rsidRPr="0081336F">
        <w:rPr>
          <w:rFonts w:hint="eastAsia"/>
        </w:rPr>
        <w:t>信托项目</w:t>
      </w:r>
      <w:proofErr w:type="gramEnd"/>
      <w:r w:rsidRPr="0081336F">
        <w:rPr>
          <w:rFonts w:hint="eastAsia"/>
        </w:rPr>
        <w:t>的风险水平，并在评估报告中披露相关风险。</w:t>
      </w:r>
    </w:p>
    <w:p w14:paraId="3994D485" w14:textId="77777777" w:rsidR="0081336F" w:rsidRPr="0081336F" w:rsidRDefault="0081336F" w:rsidP="00AF7342">
      <w:pPr>
        <w:pStyle w:val="a9"/>
        <w:spacing w:before="62" w:after="62"/>
      </w:pPr>
      <w:r w:rsidRPr="0081336F">
        <w:rPr>
          <w:rFonts w:hint="eastAsia"/>
        </w:rPr>
        <w:t>第六章 其他金融企业监管指标简述</w:t>
      </w:r>
    </w:p>
    <w:p w14:paraId="1DA9BEAC" w14:textId="77777777" w:rsidR="0081336F" w:rsidRPr="0081336F" w:rsidRDefault="0081336F" w:rsidP="0081336F">
      <w:pPr>
        <w:pStyle w:val="13"/>
        <w:ind w:firstLine="482"/>
        <w:rPr>
          <w:b/>
        </w:rPr>
      </w:pPr>
      <w:r w:rsidRPr="0081336F">
        <w:rPr>
          <w:rFonts w:hint="eastAsia"/>
          <w:b/>
        </w:rPr>
        <w:t>一、金融资产管理公司</w:t>
      </w:r>
    </w:p>
    <w:p w14:paraId="1404837C" w14:textId="77777777" w:rsidR="0081336F" w:rsidRPr="0081336F" w:rsidRDefault="0081336F" w:rsidP="0081336F">
      <w:pPr>
        <w:pStyle w:val="13"/>
      </w:pPr>
      <w:r w:rsidRPr="0081336F">
        <w:rPr>
          <w:rFonts w:hint="eastAsia"/>
        </w:rPr>
        <w:t>金融资产管理公司开展各项经营业务，主要受中国银监会和中国人民银行监管。</w:t>
      </w:r>
    </w:p>
    <w:p w14:paraId="0C34EBF7" w14:textId="77777777" w:rsidR="0081336F" w:rsidRPr="0081336F" w:rsidRDefault="0081336F" w:rsidP="0081336F">
      <w:pPr>
        <w:pStyle w:val="13"/>
      </w:pPr>
      <w:r w:rsidRPr="0081336F">
        <w:rPr>
          <w:rFonts w:hint="eastAsia"/>
        </w:rPr>
        <w:t>对金融资产管理公司进行评估，应关注的金融监管指标及相关要求包括：</w:t>
      </w:r>
    </w:p>
    <w:p w14:paraId="654D13E2" w14:textId="77777777" w:rsidR="0081336F" w:rsidRPr="0081336F" w:rsidRDefault="0081336F" w:rsidP="0081336F">
      <w:pPr>
        <w:pStyle w:val="13"/>
      </w:pPr>
      <w:r w:rsidRPr="0081336F">
        <w:rPr>
          <w:rFonts w:hint="eastAsia"/>
        </w:rPr>
        <w:t>（一）资产公司最低资本为风险加权资产（含表外资产）的12.5%，不良资产运营的最低资本为以不良资产收购成本为基础计算的风险加权资产的8%；</w:t>
      </w:r>
    </w:p>
    <w:p w14:paraId="5900A4EF" w14:textId="77777777" w:rsidR="0081336F" w:rsidRPr="0081336F" w:rsidRDefault="0081336F" w:rsidP="0081336F">
      <w:pPr>
        <w:pStyle w:val="13"/>
      </w:pPr>
      <w:r w:rsidRPr="0081336F">
        <w:rPr>
          <w:rFonts w:hint="eastAsia"/>
        </w:rPr>
        <w:t>（二）集团合并财务杠杆率不低于6%，资产公司财务杠杆率不低于6%；</w:t>
      </w:r>
    </w:p>
    <w:p w14:paraId="08C44AE1" w14:textId="77777777" w:rsidR="0081336F" w:rsidRPr="0081336F" w:rsidRDefault="0081336F" w:rsidP="0081336F">
      <w:pPr>
        <w:pStyle w:val="13"/>
      </w:pPr>
      <w:r w:rsidRPr="0081336F">
        <w:rPr>
          <w:rFonts w:hint="eastAsia"/>
        </w:rPr>
        <w:t>（三）资产公司流动性比例不低于15%。</w:t>
      </w:r>
    </w:p>
    <w:p w14:paraId="6D795C59" w14:textId="77777777" w:rsidR="0081336F" w:rsidRPr="0081336F" w:rsidRDefault="0081336F" w:rsidP="0081336F">
      <w:pPr>
        <w:pStyle w:val="13"/>
        <w:ind w:firstLine="482"/>
        <w:rPr>
          <w:b/>
        </w:rPr>
      </w:pPr>
      <w:r w:rsidRPr="0081336F">
        <w:rPr>
          <w:rFonts w:hint="eastAsia"/>
          <w:b/>
        </w:rPr>
        <w:t>二、金融租赁公司</w:t>
      </w:r>
    </w:p>
    <w:p w14:paraId="63D8AE87" w14:textId="77777777" w:rsidR="0081336F" w:rsidRPr="0081336F" w:rsidRDefault="0081336F" w:rsidP="0081336F">
      <w:pPr>
        <w:pStyle w:val="13"/>
      </w:pPr>
      <w:r w:rsidRPr="0081336F">
        <w:rPr>
          <w:rFonts w:hint="eastAsia"/>
        </w:rPr>
        <w:t>金融租赁公司开展各项经营业务，主要受中国银监会和中国人民银行监管。</w:t>
      </w:r>
    </w:p>
    <w:p w14:paraId="0AAC55FA" w14:textId="77777777" w:rsidR="0081336F" w:rsidRPr="0081336F" w:rsidRDefault="0081336F" w:rsidP="0081336F">
      <w:pPr>
        <w:pStyle w:val="13"/>
      </w:pPr>
      <w:r w:rsidRPr="0081336F">
        <w:rPr>
          <w:rFonts w:hint="eastAsia"/>
        </w:rPr>
        <w:t>对金融租赁公司进行评估，应关注的金融监管指标及相关要求包括：</w:t>
      </w:r>
    </w:p>
    <w:p w14:paraId="106AFEA3" w14:textId="77777777" w:rsidR="0081336F" w:rsidRPr="0081336F" w:rsidRDefault="0081336F" w:rsidP="0081336F">
      <w:pPr>
        <w:pStyle w:val="13"/>
      </w:pPr>
      <w:r w:rsidRPr="0081336F">
        <w:rPr>
          <w:rFonts w:hint="eastAsia"/>
        </w:rPr>
        <w:t>（一）资本充足率：金融租赁公司资本净额与风险加权资产的比例不得低于中国银监会的最低监管要求；</w:t>
      </w:r>
    </w:p>
    <w:p w14:paraId="73B76A22" w14:textId="77777777" w:rsidR="0081336F" w:rsidRPr="0081336F" w:rsidRDefault="0081336F" w:rsidP="0081336F">
      <w:pPr>
        <w:pStyle w:val="13"/>
      </w:pPr>
      <w:r w:rsidRPr="0081336F">
        <w:rPr>
          <w:rFonts w:hint="eastAsia"/>
        </w:rPr>
        <w:t>（二）单一客户融资集中度：金融租赁公司对单一承租人的全部融资租赁业务余额不得超过资本净额的30%；</w:t>
      </w:r>
    </w:p>
    <w:p w14:paraId="5E6FA006" w14:textId="77777777" w:rsidR="0081336F" w:rsidRPr="0081336F" w:rsidRDefault="0081336F" w:rsidP="0081336F">
      <w:pPr>
        <w:pStyle w:val="13"/>
      </w:pPr>
      <w:r w:rsidRPr="0081336F">
        <w:rPr>
          <w:rFonts w:hint="eastAsia"/>
        </w:rPr>
        <w:t>（三）单一集团客户融资集中度：金融租赁公司对单一集团的全部融资租赁业务余额不得超过资本净额的50%；</w:t>
      </w:r>
    </w:p>
    <w:p w14:paraId="7B5AE1D0" w14:textId="77777777" w:rsidR="0081336F" w:rsidRPr="0081336F" w:rsidRDefault="0081336F" w:rsidP="0081336F">
      <w:pPr>
        <w:pStyle w:val="13"/>
      </w:pPr>
      <w:r w:rsidRPr="0081336F">
        <w:rPr>
          <w:rFonts w:hint="eastAsia"/>
        </w:rPr>
        <w:t>（四）单一客户关联度：金融租赁公司对一个关联方的全部融资租赁业务余额不得超过资本净额的30%；</w:t>
      </w:r>
    </w:p>
    <w:p w14:paraId="6895EE62" w14:textId="77777777" w:rsidR="0081336F" w:rsidRPr="0081336F" w:rsidRDefault="0081336F" w:rsidP="0081336F">
      <w:pPr>
        <w:pStyle w:val="13"/>
      </w:pPr>
      <w:r w:rsidRPr="0081336F">
        <w:rPr>
          <w:rFonts w:hint="eastAsia"/>
        </w:rPr>
        <w:t>（五）全部关联度：金融租赁公司对全部关联方的全部融资租赁业务余额不得超过资本净额的50%；</w:t>
      </w:r>
    </w:p>
    <w:p w14:paraId="5AE70F53" w14:textId="77777777" w:rsidR="0081336F" w:rsidRPr="0081336F" w:rsidRDefault="0081336F" w:rsidP="0081336F">
      <w:pPr>
        <w:pStyle w:val="13"/>
      </w:pPr>
      <w:r w:rsidRPr="0081336F">
        <w:rPr>
          <w:rFonts w:hint="eastAsia"/>
        </w:rPr>
        <w:t>（六）单一股东关联度：对单一股东及其全部关联方的融资余额不得超过该股东在金融租赁公司的出资额，且应同时满足本办法对单一客户关联度的规定；</w:t>
      </w:r>
    </w:p>
    <w:p w14:paraId="6D43C84E" w14:textId="77777777" w:rsidR="0081336F" w:rsidRPr="0081336F" w:rsidRDefault="0081336F" w:rsidP="0081336F">
      <w:pPr>
        <w:pStyle w:val="13"/>
      </w:pPr>
      <w:r w:rsidRPr="0081336F">
        <w:rPr>
          <w:rFonts w:hint="eastAsia"/>
        </w:rPr>
        <w:t>（七）同业拆借比例：金融租赁公司同业拆入资金余额不得超过资本净额的100%。</w:t>
      </w:r>
    </w:p>
    <w:p w14:paraId="5C683A6A" w14:textId="77777777" w:rsidR="0081336F" w:rsidRPr="0081336F" w:rsidRDefault="0081336F" w:rsidP="00E905CE">
      <w:pPr>
        <w:pStyle w:val="13"/>
        <w:keepNext/>
        <w:ind w:firstLine="482"/>
        <w:rPr>
          <w:b/>
        </w:rPr>
      </w:pPr>
      <w:r w:rsidRPr="0081336F">
        <w:rPr>
          <w:rFonts w:hint="eastAsia"/>
          <w:b/>
        </w:rPr>
        <w:lastRenderedPageBreak/>
        <w:t>三、汽车金融公司</w:t>
      </w:r>
    </w:p>
    <w:p w14:paraId="2595EBDF" w14:textId="77777777" w:rsidR="0081336F" w:rsidRPr="0081336F" w:rsidRDefault="0081336F" w:rsidP="0081336F">
      <w:pPr>
        <w:pStyle w:val="13"/>
      </w:pPr>
      <w:r w:rsidRPr="0081336F">
        <w:rPr>
          <w:rFonts w:hint="eastAsia"/>
        </w:rPr>
        <w:t>汽车金融公司开展各项经营业务，主要受中国银监会和中国人民银行监管。</w:t>
      </w:r>
    </w:p>
    <w:p w14:paraId="03868B0E" w14:textId="77777777" w:rsidR="0081336F" w:rsidRPr="0081336F" w:rsidRDefault="0081336F" w:rsidP="0081336F">
      <w:pPr>
        <w:pStyle w:val="13"/>
      </w:pPr>
      <w:r w:rsidRPr="0081336F">
        <w:rPr>
          <w:rFonts w:hint="eastAsia"/>
        </w:rPr>
        <w:t>对汽车金融公司进行评估，应关注的金融监管指标及相关要求包括：</w:t>
      </w:r>
    </w:p>
    <w:p w14:paraId="5B913EAC" w14:textId="77777777" w:rsidR="0081336F" w:rsidRPr="0081336F" w:rsidRDefault="0081336F" w:rsidP="0081336F">
      <w:pPr>
        <w:pStyle w:val="13"/>
      </w:pPr>
      <w:r w:rsidRPr="0081336F">
        <w:rPr>
          <w:rFonts w:hint="eastAsia"/>
        </w:rPr>
        <w:t>（一）</w:t>
      </w:r>
      <w:r w:rsidRPr="0081336F">
        <w:t>资本充足率不低于8%，核心资本充足率不低于4%；</w:t>
      </w:r>
    </w:p>
    <w:p w14:paraId="6E1E3B3A" w14:textId="77777777" w:rsidR="0081336F" w:rsidRPr="0081336F" w:rsidRDefault="0081336F" w:rsidP="0081336F">
      <w:pPr>
        <w:pStyle w:val="13"/>
      </w:pPr>
      <w:r w:rsidRPr="0081336F">
        <w:rPr>
          <w:rFonts w:hint="eastAsia"/>
        </w:rPr>
        <w:t>（二）</w:t>
      </w:r>
      <w:r w:rsidRPr="0081336F">
        <w:t>对单一借款人的授信余额不得超过资本净额的15%；</w:t>
      </w:r>
    </w:p>
    <w:p w14:paraId="18D30BBF" w14:textId="77777777" w:rsidR="0081336F" w:rsidRPr="0081336F" w:rsidRDefault="0081336F" w:rsidP="0081336F">
      <w:pPr>
        <w:pStyle w:val="13"/>
      </w:pPr>
      <w:r w:rsidRPr="0081336F">
        <w:rPr>
          <w:rFonts w:hint="eastAsia"/>
        </w:rPr>
        <w:t>（三）</w:t>
      </w:r>
      <w:r w:rsidRPr="0081336F">
        <w:t>对单一集团客户的授信余额不得超过资本净额的50%；</w:t>
      </w:r>
    </w:p>
    <w:p w14:paraId="7376529C" w14:textId="77777777" w:rsidR="0081336F" w:rsidRPr="0081336F" w:rsidRDefault="0081336F" w:rsidP="0081336F">
      <w:pPr>
        <w:pStyle w:val="13"/>
      </w:pPr>
      <w:r w:rsidRPr="0081336F">
        <w:rPr>
          <w:rFonts w:hint="eastAsia"/>
        </w:rPr>
        <w:t>（四）</w:t>
      </w:r>
      <w:r w:rsidRPr="0081336F">
        <w:t>对单一股东及其关联方的授信余额不得超过该股东在汽车金融公司的出资额；</w:t>
      </w:r>
    </w:p>
    <w:p w14:paraId="1D4C1BAB" w14:textId="77777777" w:rsidR="0081336F" w:rsidRPr="0081336F" w:rsidRDefault="0081336F" w:rsidP="0081336F">
      <w:pPr>
        <w:pStyle w:val="13"/>
      </w:pPr>
      <w:r w:rsidRPr="0081336F">
        <w:rPr>
          <w:rFonts w:hint="eastAsia"/>
        </w:rPr>
        <w:t>（五）</w:t>
      </w:r>
      <w:r w:rsidRPr="0081336F">
        <w:t>自用固定资产比例不得超过资本净额的40%。</w:t>
      </w:r>
    </w:p>
    <w:p w14:paraId="0BCE1F4E" w14:textId="77777777" w:rsidR="0081336F" w:rsidRPr="0081336F" w:rsidRDefault="0081336F" w:rsidP="0081336F">
      <w:pPr>
        <w:pStyle w:val="13"/>
        <w:ind w:firstLine="482"/>
        <w:rPr>
          <w:b/>
        </w:rPr>
      </w:pPr>
      <w:r w:rsidRPr="0081336F">
        <w:rPr>
          <w:rFonts w:hint="eastAsia"/>
          <w:b/>
        </w:rPr>
        <w:t>四、消费金融公司</w:t>
      </w:r>
    </w:p>
    <w:p w14:paraId="7D939EF1" w14:textId="77777777" w:rsidR="0081336F" w:rsidRPr="0081336F" w:rsidRDefault="0081336F" w:rsidP="0081336F">
      <w:pPr>
        <w:pStyle w:val="13"/>
      </w:pPr>
      <w:r w:rsidRPr="0081336F">
        <w:rPr>
          <w:rFonts w:hint="eastAsia"/>
        </w:rPr>
        <w:t>消费金融公司开展各项经营业务，主要受中国银监会和中国人民银行监管。</w:t>
      </w:r>
    </w:p>
    <w:p w14:paraId="234578D1" w14:textId="77777777" w:rsidR="0081336F" w:rsidRPr="0081336F" w:rsidRDefault="0081336F" w:rsidP="0081336F">
      <w:pPr>
        <w:pStyle w:val="13"/>
      </w:pPr>
      <w:r w:rsidRPr="0081336F">
        <w:rPr>
          <w:rFonts w:hint="eastAsia"/>
        </w:rPr>
        <w:t>对消费金融公司进行评估，应关注的金融监管指标及相关要求包括：</w:t>
      </w:r>
    </w:p>
    <w:p w14:paraId="3B38A7BE" w14:textId="77777777" w:rsidR="0081336F" w:rsidRPr="0081336F" w:rsidRDefault="0081336F" w:rsidP="0081336F">
      <w:pPr>
        <w:pStyle w:val="13"/>
      </w:pPr>
      <w:r w:rsidRPr="0081336F">
        <w:rPr>
          <w:rFonts w:hint="eastAsia"/>
        </w:rPr>
        <w:t>（一）资本充足率不低于100%；</w:t>
      </w:r>
    </w:p>
    <w:p w14:paraId="0787F83F" w14:textId="77777777" w:rsidR="0081336F" w:rsidRPr="0081336F" w:rsidRDefault="0081336F" w:rsidP="0081336F">
      <w:pPr>
        <w:pStyle w:val="13"/>
      </w:pPr>
      <w:r w:rsidRPr="0081336F">
        <w:rPr>
          <w:rFonts w:hint="eastAsia"/>
        </w:rPr>
        <w:t>（二）同业拆入资金比例不高于资本总额的100%；</w:t>
      </w:r>
    </w:p>
    <w:p w14:paraId="064B42A9" w14:textId="77777777" w:rsidR="0081336F" w:rsidRPr="0081336F" w:rsidRDefault="0081336F" w:rsidP="0081336F">
      <w:pPr>
        <w:pStyle w:val="13"/>
      </w:pPr>
      <w:r w:rsidRPr="0081336F">
        <w:rPr>
          <w:rFonts w:hint="eastAsia"/>
        </w:rPr>
        <w:t>（三）资产损失准备充足率不低于100%；</w:t>
      </w:r>
    </w:p>
    <w:p w14:paraId="10490299" w14:textId="77777777" w:rsidR="0081336F" w:rsidRPr="0081336F" w:rsidRDefault="0081336F" w:rsidP="0081336F">
      <w:pPr>
        <w:pStyle w:val="13"/>
      </w:pPr>
      <w:r w:rsidRPr="0081336F">
        <w:rPr>
          <w:rFonts w:hint="eastAsia"/>
        </w:rPr>
        <w:t>（四）投资余额不高于资本总额的20%。</w:t>
      </w:r>
    </w:p>
    <w:p w14:paraId="5BF559B5" w14:textId="77777777" w:rsidR="0081336F" w:rsidRPr="0081336F" w:rsidRDefault="0081336F" w:rsidP="0081336F">
      <w:pPr>
        <w:pStyle w:val="13"/>
        <w:ind w:firstLine="482"/>
        <w:rPr>
          <w:b/>
        </w:rPr>
      </w:pPr>
      <w:r w:rsidRPr="0081336F">
        <w:rPr>
          <w:rFonts w:hint="eastAsia"/>
          <w:b/>
        </w:rPr>
        <w:t>五、期货公司</w:t>
      </w:r>
    </w:p>
    <w:p w14:paraId="6E7F6272" w14:textId="77777777" w:rsidR="0081336F" w:rsidRPr="0081336F" w:rsidRDefault="0081336F" w:rsidP="0081336F">
      <w:pPr>
        <w:pStyle w:val="13"/>
      </w:pPr>
      <w:r w:rsidRPr="0081336F">
        <w:rPr>
          <w:rFonts w:hint="eastAsia"/>
        </w:rPr>
        <w:t>期货公司开展各项经营业务，主要受中国证监会监管。</w:t>
      </w:r>
    </w:p>
    <w:p w14:paraId="27F0AC9F" w14:textId="77777777" w:rsidR="0081336F" w:rsidRPr="0081336F" w:rsidRDefault="0081336F" w:rsidP="0081336F">
      <w:pPr>
        <w:pStyle w:val="13"/>
      </w:pPr>
      <w:r w:rsidRPr="0081336F">
        <w:rPr>
          <w:rFonts w:hint="eastAsia"/>
        </w:rPr>
        <w:t>对期货公司进行评估，应关注的金融监管指标及相关要求包括：</w:t>
      </w:r>
    </w:p>
    <w:p w14:paraId="571B1751" w14:textId="77777777" w:rsidR="0081336F" w:rsidRPr="0081336F" w:rsidRDefault="0081336F" w:rsidP="0081336F">
      <w:pPr>
        <w:pStyle w:val="13"/>
      </w:pPr>
      <w:r w:rsidRPr="0081336F">
        <w:rPr>
          <w:rFonts w:hint="eastAsia"/>
        </w:rPr>
        <w:t>（一）净资本不低于人民币1,500万元；</w:t>
      </w:r>
    </w:p>
    <w:p w14:paraId="455A6A2C" w14:textId="77777777" w:rsidR="0081336F" w:rsidRPr="0081336F" w:rsidRDefault="0081336F" w:rsidP="0081336F">
      <w:pPr>
        <w:pStyle w:val="13"/>
      </w:pPr>
      <w:r w:rsidRPr="0081336F">
        <w:rPr>
          <w:rFonts w:hint="eastAsia"/>
        </w:rPr>
        <w:t>（二）净资本与公司的风险资本准备的比例不低于100%；</w:t>
      </w:r>
    </w:p>
    <w:p w14:paraId="38A7FB78" w14:textId="77777777" w:rsidR="0081336F" w:rsidRPr="0081336F" w:rsidRDefault="0081336F" w:rsidP="0081336F">
      <w:pPr>
        <w:pStyle w:val="13"/>
      </w:pPr>
      <w:r w:rsidRPr="0081336F">
        <w:rPr>
          <w:rFonts w:hint="eastAsia"/>
        </w:rPr>
        <w:t>（三）净资本与净资产的比例不低于40%；</w:t>
      </w:r>
    </w:p>
    <w:p w14:paraId="1F66EA23" w14:textId="77777777" w:rsidR="0081336F" w:rsidRPr="0081336F" w:rsidRDefault="0081336F" w:rsidP="0081336F">
      <w:pPr>
        <w:pStyle w:val="13"/>
      </w:pPr>
      <w:r w:rsidRPr="0081336F">
        <w:rPr>
          <w:rFonts w:hint="eastAsia"/>
        </w:rPr>
        <w:t>（四）流动资产与流动负债的比例不低于100%；</w:t>
      </w:r>
    </w:p>
    <w:p w14:paraId="4A30F564" w14:textId="77777777" w:rsidR="0081336F" w:rsidRPr="0081336F" w:rsidRDefault="0081336F" w:rsidP="0081336F">
      <w:pPr>
        <w:pStyle w:val="13"/>
      </w:pPr>
      <w:r w:rsidRPr="0081336F">
        <w:rPr>
          <w:rFonts w:hint="eastAsia"/>
        </w:rPr>
        <w:t>（五）负债与净资产的比例不高于150%；</w:t>
      </w:r>
    </w:p>
    <w:p w14:paraId="5342CB67" w14:textId="77777777" w:rsidR="0081336F" w:rsidRPr="0081336F" w:rsidRDefault="0081336F" w:rsidP="0081336F">
      <w:pPr>
        <w:pStyle w:val="13"/>
      </w:pPr>
      <w:r w:rsidRPr="0081336F">
        <w:rPr>
          <w:rFonts w:hint="eastAsia"/>
        </w:rPr>
        <w:t>（六）</w:t>
      </w:r>
      <w:r w:rsidRPr="0081336F">
        <w:t>规定的最低限额的结算准备金要求。</w:t>
      </w:r>
    </w:p>
    <w:p w14:paraId="44821299" w14:textId="77777777" w:rsidR="0081336F" w:rsidRPr="0081336F" w:rsidRDefault="0081336F" w:rsidP="0081336F">
      <w:pPr>
        <w:pStyle w:val="13"/>
        <w:rPr>
          <w:bCs/>
        </w:rPr>
      </w:pPr>
      <w:r w:rsidRPr="0081336F">
        <w:rPr>
          <w:rFonts w:hint="eastAsia"/>
          <w:bCs/>
        </w:rPr>
        <w:t>附：监管指标涉及的相关法规一览表</w:t>
      </w:r>
    </w:p>
    <w:p w14:paraId="241507F4" w14:textId="77777777" w:rsidR="0081336F" w:rsidRPr="0081336F" w:rsidRDefault="0081336F" w:rsidP="006E0597">
      <w:pPr>
        <w:pStyle w:val="13"/>
        <w:ind w:firstLineChars="0" w:firstLine="0"/>
        <w:rPr>
          <w:b/>
        </w:rPr>
      </w:pPr>
      <w:r w:rsidRPr="0081336F">
        <w:rPr>
          <w:rFonts w:hint="eastAsia"/>
          <w:b/>
        </w:rPr>
        <w:t>附：</w:t>
      </w:r>
    </w:p>
    <w:p w14:paraId="62F29E95" w14:textId="0692FD06" w:rsidR="0081336F" w:rsidRPr="0081336F" w:rsidRDefault="0081336F" w:rsidP="00AF7342">
      <w:pPr>
        <w:pStyle w:val="a9"/>
        <w:spacing w:before="62" w:after="62"/>
      </w:pPr>
      <w:r w:rsidRPr="0081336F">
        <w:rPr>
          <w:rFonts w:hint="eastAsia"/>
        </w:rPr>
        <w:t>监管指标涉及的相关法规一览表</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127"/>
        <w:gridCol w:w="3543"/>
        <w:gridCol w:w="2381"/>
      </w:tblGrid>
      <w:tr w:rsidR="0081336F" w:rsidRPr="0081336F" w14:paraId="1AA24E5A" w14:textId="77777777" w:rsidTr="006E0597">
        <w:trPr>
          <w:tblHeader/>
        </w:trPr>
        <w:tc>
          <w:tcPr>
            <w:tcW w:w="1129" w:type="dxa"/>
            <w:vAlign w:val="center"/>
          </w:tcPr>
          <w:p w14:paraId="10BA9E29" w14:textId="77777777" w:rsidR="0081336F" w:rsidRPr="0081336F" w:rsidRDefault="0081336F" w:rsidP="006E0597">
            <w:pPr>
              <w:pStyle w:val="13"/>
              <w:ind w:firstLineChars="0" w:firstLine="0"/>
              <w:jc w:val="center"/>
              <w:rPr>
                <w:b/>
                <w:sz w:val="21"/>
                <w:szCs w:val="21"/>
              </w:rPr>
            </w:pPr>
            <w:r w:rsidRPr="0081336F">
              <w:rPr>
                <w:rFonts w:hint="eastAsia"/>
                <w:b/>
                <w:sz w:val="21"/>
                <w:szCs w:val="21"/>
              </w:rPr>
              <w:t>行业类别</w:t>
            </w:r>
          </w:p>
        </w:tc>
        <w:tc>
          <w:tcPr>
            <w:tcW w:w="2127" w:type="dxa"/>
            <w:vAlign w:val="center"/>
          </w:tcPr>
          <w:p w14:paraId="6252512D" w14:textId="77777777" w:rsidR="0081336F" w:rsidRPr="0081336F" w:rsidRDefault="0081336F" w:rsidP="006E0597">
            <w:pPr>
              <w:pStyle w:val="13"/>
              <w:ind w:firstLineChars="0" w:firstLine="0"/>
              <w:jc w:val="center"/>
              <w:rPr>
                <w:b/>
                <w:sz w:val="21"/>
                <w:szCs w:val="21"/>
              </w:rPr>
            </w:pPr>
            <w:r w:rsidRPr="0081336F">
              <w:rPr>
                <w:rFonts w:hint="eastAsia"/>
                <w:b/>
                <w:sz w:val="21"/>
                <w:szCs w:val="21"/>
              </w:rPr>
              <w:t>指标名称</w:t>
            </w:r>
          </w:p>
        </w:tc>
        <w:tc>
          <w:tcPr>
            <w:tcW w:w="3543" w:type="dxa"/>
            <w:vAlign w:val="center"/>
          </w:tcPr>
          <w:p w14:paraId="0B0113BA" w14:textId="77777777" w:rsidR="0081336F" w:rsidRPr="0081336F" w:rsidRDefault="0081336F" w:rsidP="006E0597">
            <w:pPr>
              <w:pStyle w:val="13"/>
              <w:ind w:firstLineChars="0" w:firstLine="0"/>
              <w:jc w:val="center"/>
              <w:rPr>
                <w:b/>
                <w:sz w:val="21"/>
                <w:szCs w:val="21"/>
              </w:rPr>
            </w:pPr>
            <w:r w:rsidRPr="0081336F">
              <w:rPr>
                <w:rFonts w:hint="eastAsia"/>
                <w:b/>
                <w:sz w:val="21"/>
                <w:szCs w:val="21"/>
              </w:rPr>
              <w:t>文件名称</w:t>
            </w:r>
          </w:p>
        </w:tc>
        <w:tc>
          <w:tcPr>
            <w:tcW w:w="2381" w:type="dxa"/>
            <w:vAlign w:val="center"/>
          </w:tcPr>
          <w:p w14:paraId="435E7B05" w14:textId="77777777" w:rsidR="0081336F" w:rsidRPr="0081336F" w:rsidRDefault="0081336F" w:rsidP="006E0597">
            <w:pPr>
              <w:pStyle w:val="13"/>
              <w:ind w:firstLineChars="0" w:firstLine="0"/>
              <w:jc w:val="center"/>
              <w:rPr>
                <w:b/>
                <w:sz w:val="21"/>
                <w:szCs w:val="21"/>
              </w:rPr>
            </w:pPr>
            <w:r w:rsidRPr="0081336F">
              <w:rPr>
                <w:rFonts w:hint="eastAsia"/>
                <w:b/>
                <w:sz w:val="21"/>
                <w:szCs w:val="21"/>
              </w:rPr>
              <w:t>文件编号（来源）</w:t>
            </w:r>
          </w:p>
        </w:tc>
      </w:tr>
      <w:tr w:rsidR="0081336F" w:rsidRPr="0081336F" w14:paraId="3B80756D" w14:textId="77777777" w:rsidTr="006E0597">
        <w:tc>
          <w:tcPr>
            <w:tcW w:w="1129" w:type="dxa"/>
            <w:vAlign w:val="center"/>
          </w:tcPr>
          <w:p w14:paraId="5FA49CDF"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49231078" w14:textId="77777777" w:rsidR="0081336F" w:rsidRPr="0081336F" w:rsidRDefault="0081336F" w:rsidP="006E0597">
            <w:pPr>
              <w:pStyle w:val="13"/>
              <w:ind w:firstLineChars="0" w:firstLine="0"/>
              <w:rPr>
                <w:sz w:val="21"/>
                <w:szCs w:val="21"/>
              </w:rPr>
            </w:pPr>
            <w:r w:rsidRPr="0081336F">
              <w:rPr>
                <w:rFonts w:hint="eastAsia"/>
                <w:sz w:val="21"/>
                <w:szCs w:val="21"/>
              </w:rPr>
              <w:t>流动性覆盖率</w:t>
            </w:r>
          </w:p>
        </w:tc>
        <w:tc>
          <w:tcPr>
            <w:tcW w:w="3543" w:type="dxa"/>
            <w:vAlign w:val="center"/>
          </w:tcPr>
          <w:p w14:paraId="613BB64A" w14:textId="77777777" w:rsidR="0081336F" w:rsidRPr="0081336F" w:rsidRDefault="0081336F" w:rsidP="006E0597">
            <w:pPr>
              <w:pStyle w:val="13"/>
              <w:ind w:firstLineChars="0" w:firstLine="0"/>
              <w:rPr>
                <w:sz w:val="21"/>
                <w:szCs w:val="21"/>
              </w:rPr>
            </w:pPr>
            <w:r w:rsidRPr="0081336F">
              <w:rPr>
                <w:rFonts w:hint="eastAsia"/>
                <w:sz w:val="21"/>
                <w:szCs w:val="21"/>
              </w:rPr>
              <w:t>《商业银行流动性风险管理办法（试行）》</w:t>
            </w:r>
          </w:p>
        </w:tc>
        <w:tc>
          <w:tcPr>
            <w:tcW w:w="2381" w:type="dxa"/>
            <w:vAlign w:val="center"/>
          </w:tcPr>
          <w:p w14:paraId="4ACD27E6" w14:textId="77777777" w:rsidR="0081336F" w:rsidRPr="0081336F" w:rsidRDefault="0081336F" w:rsidP="006E0597">
            <w:pPr>
              <w:pStyle w:val="13"/>
              <w:ind w:firstLineChars="0" w:firstLine="0"/>
              <w:rPr>
                <w:sz w:val="21"/>
                <w:szCs w:val="21"/>
              </w:rPr>
            </w:pPr>
            <w:r w:rsidRPr="0081336F">
              <w:rPr>
                <w:rFonts w:hint="eastAsia"/>
                <w:sz w:val="21"/>
                <w:szCs w:val="21"/>
              </w:rPr>
              <w:t>银监会令〔2014〕2号</w:t>
            </w:r>
          </w:p>
        </w:tc>
      </w:tr>
      <w:tr w:rsidR="0081336F" w:rsidRPr="0081336F" w14:paraId="3328FC5C" w14:textId="77777777" w:rsidTr="006E0597">
        <w:tc>
          <w:tcPr>
            <w:tcW w:w="1129" w:type="dxa"/>
            <w:vAlign w:val="center"/>
          </w:tcPr>
          <w:p w14:paraId="4A25AC64"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22535158" w14:textId="77777777" w:rsidR="0081336F" w:rsidRPr="0081336F" w:rsidRDefault="0081336F" w:rsidP="006E0597">
            <w:pPr>
              <w:pStyle w:val="13"/>
              <w:ind w:firstLineChars="0" w:firstLine="0"/>
              <w:rPr>
                <w:sz w:val="21"/>
                <w:szCs w:val="21"/>
              </w:rPr>
            </w:pPr>
            <w:r w:rsidRPr="0081336F">
              <w:rPr>
                <w:rFonts w:hint="eastAsia"/>
                <w:sz w:val="21"/>
                <w:szCs w:val="21"/>
              </w:rPr>
              <w:t>流动性比例</w:t>
            </w:r>
          </w:p>
        </w:tc>
        <w:tc>
          <w:tcPr>
            <w:tcW w:w="3543" w:type="dxa"/>
            <w:vAlign w:val="center"/>
          </w:tcPr>
          <w:p w14:paraId="71646EB6" w14:textId="77777777" w:rsidR="0081336F" w:rsidRPr="0081336F" w:rsidRDefault="0081336F" w:rsidP="006E0597">
            <w:pPr>
              <w:pStyle w:val="13"/>
              <w:ind w:firstLineChars="0" w:firstLine="0"/>
              <w:rPr>
                <w:sz w:val="21"/>
                <w:szCs w:val="21"/>
              </w:rPr>
            </w:pPr>
            <w:r w:rsidRPr="0081336F">
              <w:rPr>
                <w:rFonts w:hint="eastAsia"/>
                <w:sz w:val="21"/>
                <w:szCs w:val="21"/>
              </w:rPr>
              <w:t>《商业银行流动性风险管理办法（试行）》</w:t>
            </w:r>
          </w:p>
        </w:tc>
        <w:tc>
          <w:tcPr>
            <w:tcW w:w="2381" w:type="dxa"/>
            <w:vAlign w:val="center"/>
          </w:tcPr>
          <w:p w14:paraId="34F842D7" w14:textId="77777777" w:rsidR="0081336F" w:rsidRPr="0081336F" w:rsidRDefault="0081336F" w:rsidP="006E0597">
            <w:pPr>
              <w:pStyle w:val="13"/>
              <w:ind w:firstLineChars="0" w:firstLine="0"/>
              <w:rPr>
                <w:sz w:val="21"/>
                <w:szCs w:val="21"/>
              </w:rPr>
            </w:pPr>
            <w:r w:rsidRPr="0081336F">
              <w:rPr>
                <w:rFonts w:hint="eastAsia"/>
                <w:sz w:val="21"/>
                <w:szCs w:val="21"/>
              </w:rPr>
              <w:t>银监会令〔2014〕2号</w:t>
            </w:r>
          </w:p>
        </w:tc>
      </w:tr>
      <w:tr w:rsidR="0081336F" w:rsidRPr="0081336F" w14:paraId="1C875F82" w14:textId="77777777" w:rsidTr="006E0597">
        <w:tc>
          <w:tcPr>
            <w:tcW w:w="1129" w:type="dxa"/>
            <w:vAlign w:val="center"/>
          </w:tcPr>
          <w:p w14:paraId="46662F7C" w14:textId="77777777" w:rsidR="0081336F" w:rsidRPr="0081336F" w:rsidRDefault="0081336F" w:rsidP="006E0597">
            <w:pPr>
              <w:pStyle w:val="13"/>
              <w:ind w:firstLineChars="0" w:firstLine="0"/>
              <w:rPr>
                <w:sz w:val="21"/>
                <w:szCs w:val="21"/>
              </w:rPr>
            </w:pPr>
            <w:r w:rsidRPr="0081336F">
              <w:rPr>
                <w:rFonts w:hint="eastAsia"/>
                <w:sz w:val="21"/>
                <w:szCs w:val="21"/>
              </w:rPr>
              <w:lastRenderedPageBreak/>
              <w:t>商业银行</w:t>
            </w:r>
          </w:p>
        </w:tc>
        <w:tc>
          <w:tcPr>
            <w:tcW w:w="2127" w:type="dxa"/>
            <w:vAlign w:val="center"/>
          </w:tcPr>
          <w:p w14:paraId="59388E9F" w14:textId="77777777" w:rsidR="0081336F" w:rsidRPr="0081336F" w:rsidRDefault="0081336F" w:rsidP="006E0597">
            <w:pPr>
              <w:pStyle w:val="13"/>
              <w:ind w:firstLineChars="0" w:firstLine="0"/>
              <w:rPr>
                <w:sz w:val="21"/>
                <w:szCs w:val="21"/>
              </w:rPr>
            </w:pPr>
            <w:r w:rsidRPr="0081336F">
              <w:rPr>
                <w:rFonts w:hint="eastAsia"/>
                <w:sz w:val="21"/>
                <w:szCs w:val="21"/>
              </w:rPr>
              <w:t>核心负债比例</w:t>
            </w:r>
          </w:p>
        </w:tc>
        <w:tc>
          <w:tcPr>
            <w:tcW w:w="3543" w:type="dxa"/>
            <w:vAlign w:val="center"/>
          </w:tcPr>
          <w:p w14:paraId="69C45D26" w14:textId="77777777" w:rsidR="0081336F" w:rsidRPr="0081336F" w:rsidRDefault="0081336F" w:rsidP="006E0597">
            <w:pPr>
              <w:pStyle w:val="13"/>
              <w:ind w:firstLineChars="0" w:firstLine="0"/>
              <w:rPr>
                <w:sz w:val="21"/>
                <w:szCs w:val="21"/>
              </w:rPr>
            </w:pPr>
            <w:r w:rsidRPr="0081336F">
              <w:rPr>
                <w:rFonts w:hint="eastAsia"/>
                <w:sz w:val="21"/>
                <w:szCs w:val="21"/>
              </w:rPr>
              <w:t>《商业银行风险监管核心指标（试行）》</w:t>
            </w:r>
          </w:p>
        </w:tc>
        <w:tc>
          <w:tcPr>
            <w:tcW w:w="2381" w:type="dxa"/>
            <w:vAlign w:val="center"/>
          </w:tcPr>
          <w:p w14:paraId="2D367085" w14:textId="77777777" w:rsidR="0081336F" w:rsidRPr="0081336F" w:rsidRDefault="0081336F" w:rsidP="006E0597">
            <w:pPr>
              <w:pStyle w:val="13"/>
              <w:ind w:firstLineChars="0" w:firstLine="0"/>
              <w:rPr>
                <w:sz w:val="21"/>
                <w:szCs w:val="21"/>
              </w:rPr>
            </w:pPr>
            <w:r w:rsidRPr="0081336F">
              <w:rPr>
                <w:rFonts w:hint="eastAsia"/>
                <w:sz w:val="21"/>
                <w:szCs w:val="21"/>
              </w:rPr>
              <w:t>银监会2005年12月31日公告</w:t>
            </w:r>
          </w:p>
        </w:tc>
      </w:tr>
      <w:tr w:rsidR="0081336F" w:rsidRPr="0081336F" w14:paraId="0ACA75B1" w14:textId="77777777" w:rsidTr="006E0597">
        <w:tc>
          <w:tcPr>
            <w:tcW w:w="1129" w:type="dxa"/>
            <w:vAlign w:val="center"/>
          </w:tcPr>
          <w:p w14:paraId="1067B2C1"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75415640" w14:textId="77777777" w:rsidR="0081336F" w:rsidRPr="0081336F" w:rsidRDefault="0081336F" w:rsidP="006E0597">
            <w:pPr>
              <w:pStyle w:val="13"/>
              <w:ind w:firstLineChars="0" w:firstLine="0"/>
              <w:rPr>
                <w:sz w:val="21"/>
                <w:szCs w:val="21"/>
              </w:rPr>
            </w:pPr>
            <w:r w:rsidRPr="0081336F">
              <w:rPr>
                <w:rFonts w:hint="eastAsia"/>
                <w:sz w:val="21"/>
                <w:szCs w:val="21"/>
              </w:rPr>
              <w:t>不良资产率</w:t>
            </w:r>
          </w:p>
        </w:tc>
        <w:tc>
          <w:tcPr>
            <w:tcW w:w="3543" w:type="dxa"/>
            <w:vAlign w:val="center"/>
          </w:tcPr>
          <w:p w14:paraId="6696C1AB" w14:textId="77777777" w:rsidR="0081336F" w:rsidRPr="0081336F" w:rsidRDefault="0081336F" w:rsidP="006E0597">
            <w:pPr>
              <w:pStyle w:val="13"/>
              <w:ind w:firstLineChars="0" w:firstLine="0"/>
              <w:rPr>
                <w:sz w:val="21"/>
                <w:szCs w:val="21"/>
              </w:rPr>
            </w:pPr>
            <w:r w:rsidRPr="0081336F">
              <w:rPr>
                <w:rFonts w:hint="eastAsia"/>
                <w:sz w:val="21"/>
                <w:szCs w:val="21"/>
              </w:rPr>
              <w:t>《商业银行风险监管核心指标（试行）》</w:t>
            </w:r>
          </w:p>
        </w:tc>
        <w:tc>
          <w:tcPr>
            <w:tcW w:w="2381" w:type="dxa"/>
            <w:vAlign w:val="center"/>
          </w:tcPr>
          <w:p w14:paraId="4090B708" w14:textId="77777777" w:rsidR="0081336F" w:rsidRPr="0081336F" w:rsidRDefault="0081336F" w:rsidP="006E0597">
            <w:pPr>
              <w:pStyle w:val="13"/>
              <w:ind w:firstLineChars="0" w:firstLine="0"/>
              <w:rPr>
                <w:sz w:val="21"/>
                <w:szCs w:val="21"/>
              </w:rPr>
            </w:pPr>
            <w:r w:rsidRPr="0081336F">
              <w:rPr>
                <w:rFonts w:hint="eastAsia"/>
                <w:sz w:val="21"/>
                <w:szCs w:val="21"/>
              </w:rPr>
              <w:t>银监会2005年12月31日公告</w:t>
            </w:r>
          </w:p>
        </w:tc>
      </w:tr>
      <w:tr w:rsidR="0081336F" w:rsidRPr="0081336F" w14:paraId="3118E861" w14:textId="77777777" w:rsidTr="006E0597">
        <w:tc>
          <w:tcPr>
            <w:tcW w:w="1129" w:type="dxa"/>
            <w:vAlign w:val="center"/>
          </w:tcPr>
          <w:p w14:paraId="1411BB3B"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07487531" w14:textId="77777777" w:rsidR="0081336F" w:rsidRPr="0081336F" w:rsidRDefault="0081336F" w:rsidP="006E0597">
            <w:pPr>
              <w:pStyle w:val="13"/>
              <w:ind w:firstLineChars="0" w:firstLine="0"/>
              <w:rPr>
                <w:sz w:val="21"/>
                <w:szCs w:val="21"/>
              </w:rPr>
            </w:pPr>
            <w:r w:rsidRPr="0081336F">
              <w:rPr>
                <w:rFonts w:hint="eastAsia"/>
                <w:sz w:val="21"/>
                <w:szCs w:val="21"/>
              </w:rPr>
              <w:t>不良贷款率</w:t>
            </w:r>
          </w:p>
        </w:tc>
        <w:tc>
          <w:tcPr>
            <w:tcW w:w="3543" w:type="dxa"/>
            <w:vAlign w:val="center"/>
          </w:tcPr>
          <w:p w14:paraId="01C49978" w14:textId="77777777" w:rsidR="0081336F" w:rsidRPr="0081336F" w:rsidRDefault="0081336F" w:rsidP="006E0597">
            <w:pPr>
              <w:pStyle w:val="13"/>
              <w:ind w:firstLineChars="0" w:firstLine="0"/>
              <w:rPr>
                <w:sz w:val="21"/>
                <w:szCs w:val="21"/>
              </w:rPr>
            </w:pPr>
            <w:r w:rsidRPr="0081336F">
              <w:rPr>
                <w:rFonts w:hint="eastAsia"/>
                <w:sz w:val="21"/>
                <w:szCs w:val="21"/>
              </w:rPr>
              <w:t>《商业银行风险监管核心指标（试行）》</w:t>
            </w:r>
          </w:p>
        </w:tc>
        <w:tc>
          <w:tcPr>
            <w:tcW w:w="2381" w:type="dxa"/>
            <w:vAlign w:val="center"/>
          </w:tcPr>
          <w:p w14:paraId="6E403AB3" w14:textId="77777777" w:rsidR="0081336F" w:rsidRPr="0081336F" w:rsidRDefault="0081336F" w:rsidP="006E0597">
            <w:pPr>
              <w:pStyle w:val="13"/>
              <w:ind w:firstLineChars="0" w:firstLine="0"/>
              <w:rPr>
                <w:sz w:val="21"/>
                <w:szCs w:val="21"/>
              </w:rPr>
            </w:pPr>
            <w:r w:rsidRPr="0081336F">
              <w:rPr>
                <w:rFonts w:hint="eastAsia"/>
                <w:sz w:val="21"/>
                <w:szCs w:val="21"/>
              </w:rPr>
              <w:t>银监会2005年12月31日公告</w:t>
            </w:r>
          </w:p>
        </w:tc>
      </w:tr>
      <w:tr w:rsidR="0081336F" w:rsidRPr="0081336F" w14:paraId="3682C0FB" w14:textId="77777777" w:rsidTr="006E0597">
        <w:tc>
          <w:tcPr>
            <w:tcW w:w="1129" w:type="dxa"/>
            <w:vAlign w:val="center"/>
          </w:tcPr>
          <w:p w14:paraId="2397ABAE"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0CA1EEE8" w14:textId="77777777" w:rsidR="0081336F" w:rsidRPr="0081336F" w:rsidRDefault="0081336F" w:rsidP="006E0597">
            <w:pPr>
              <w:pStyle w:val="13"/>
              <w:ind w:firstLineChars="0" w:firstLine="0"/>
              <w:rPr>
                <w:sz w:val="21"/>
                <w:szCs w:val="21"/>
              </w:rPr>
            </w:pPr>
            <w:r w:rsidRPr="0081336F">
              <w:rPr>
                <w:rFonts w:hint="eastAsia"/>
                <w:sz w:val="21"/>
                <w:szCs w:val="21"/>
              </w:rPr>
              <w:t>贷款</w:t>
            </w:r>
            <w:proofErr w:type="gramStart"/>
            <w:r w:rsidRPr="0081336F">
              <w:rPr>
                <w:rFonts w:hint="eastAsia"/>
                <w:sz w:val="21"/>
                <w:szCs w:val="21"/>
              </w:rPr>
              <w:t>拨备率</w:t>
            </w:r>
            <w:proofErr w:type="gramEnd"/>
          </w:p>
        </w:tc>
        <w:tc>
          <w:tcPr>
            <w:tcW w:w="3543" w:type="dxa"/>
            <w:vAlign w:val="center"/>
          </w:tcPr>
          <w:p w14:paraId="3B56F2B4" w14:textId="77777777" w:rsidR="0081336F" w:rsidRPr="0081336F" w:rsidRDefault="0081336F" w:rsidP="006E0597">
            <w:pPr>
              <w:pStyle w:val="13"/>
              <w:ind w:firstLineChars="0" w:firstLine="0"/>
              <w:rPr>
                <w:sz w:val="21"/>
                <w:szCs w:val="21"/>
              </w:rPr>
            </w:pPr>
            <w:r w:rsidRPr="0081336F">
              <w:rPr>
                <w:rFonts w:hint="eastAsia"/>
                <w:sz w:val="21"/>
                <w:szCs w:val="21"/>
              </w:rPr>
              <w:t>《中国银监会关于中国银行业实施新监管标准的指导意见》</w:t>
            </w:r>
          </w:p>
        </w:tc>
        <w:tc>
          <w:tcPr>
            <w:tcW w:w="2381" w:type="dxa"/>
            <w:vAlign w:val="center"/>
          </w:tcPr>
          <w:p w14:paraId="11A9B49E" w14:textId="77777777" w:rsidR="0081336F" w:rsidRPr="0081336F" w:rsidRDefault="0081336F" w:rsidP="006E0597">
            <w:pPr>
              <w:pStyle w:val="13"/>
              <w:ind w:firstLineChars="0" w:firstLine="0"/>
              <w:rPr>
                <w:sz w:val="21"/>
                <w:szCs w:val="21"/>
              </w:rPr>
            </w:pPr>
            <w:r w:rsidRPr="0081336F">
              <w:rPr>
                <w:rFonts w:hint="eastAsia"/>
                <w:sz w:val="21"/>
                <w:szCs w:val="21"/>
              </w:rPr>
              <w:t>银监发〔2011〕44号</w:t>
            </w:r>
          </w:p>
        </w:tc>
      </w:tr>
      <w:tr w:rsidR="0081336F" w:rsidRPr="0081336F" w14:paraId="587B213E" w14:textId="77777777" w:rsidTr="006E0597">
        <w:tc>
          <w:tcPr>
            <w:tcW w:w="1129" w:type="dxa"/>
            <w:vAlign w:val="center"/>
          </w:tcPr>
          <w:p w14:paraId="51321DC5"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0AACFE70" w14:textId="77777777" w:rsidR="0081336F" w:rsidRPr="0081336F" w:rsidRDefault="0081336F" w:rsidP="006E0597">
            <w:pPr>
              <w:pStyle w:val="13"/>
              <w:ind w:firstLineChars="0" w:firstLine="0"/>
              <w:rPr>
                <w:sz w:val="21"/>
                <w:szCs w:val="21"/>
              </w:rPr>
            </w:pPr>
            <w:r w:rsidRPr="0081336F">
              <w:rPr>
                <w:rFonts w:hint="eastAsia"/>
                <w:sz w:val="21"/>
                <w:szCs w:val="21"/>
              </w:rPr>
              <w:t>拨备覆盖率</w:t>
            </w:r>
          </w:p>
        </w:tc>
        <w:tc>
          <w:tcPr>
            <w:tcW w:w="3543" w:type="dxa"/>
            <w:vAlign w:val="center"/>
          </w:tcPr>
          <w:p w14:paraId="29A9C96F" w14:textId="77777777" w:rsidR="0081336F" w:rsidRPr="0081336F" w:rsidRDefault="0081336F" w:rsidP="006E0597">
            <w:pPr>
              <w:pStyle w:val="13"/>
              <w:ind w:firstLineChars="0" w:firstLine="0"/>
              <w:rPr>
                <w:sz w:val="21"/>
                <w:szCs w:val="21"/>
              </w:rPr>
            </w:pPr>
            <w:r w:rsidRPr="0081336F">
              <w:rPr>
                <w:rFonts w:hint="eastAsia"/>
                <w:sz w:val="21"/>
                <w:szCs w:val="21"/>
              </w:rPr>
              <w:t>《中国银监会关于中国银行业实施新监管标准的指导意见》</w:t>
            </w:r>
          </w:p>
        </w:tc>
        <w:tc>
          <w:tcPr>
            <w:tcW w:w="2381" w:type="dxa"/>
            <w:vAlign w:val="center"/>
          </w:tcPr>
          <w:p w14:paraId="71A16A62" w14:textId="77777777" w:rsidR="0081336F" w:rsidRPr="0081336F" w:rsidRDefault="0081336F" w:rsidP="006E0597">
            <w:pPr>
              <w:pStyle w:val="13"/>
              <w:ind w:firstLineChars="0" w:firstLine="0"/>
              <w:rPr>
                <w:sz w:val="21"/>
                <w:szCs w:val="21"/>
              </w:rPr>
            </w:pPr>
            <w:r w:rsidRPr="0081336F">
              <w:rPr>
                <w:rFonts w:hint="eastAsia"/>
                <w:sz w:val="21"/>
                <w:szCs w:val="21"/>
              </w:rPr>
              <w:t>银监发〔2011〕44号</w:t>
            </w:r>
          </w:p>
        </w:tc>
      </w:tr>
      <w:tr w:rsidR="0081336F" w:rsidRPr="0081336F" w14:paraId="74FA4521" w14:textId="77777777" w:rsidTr="006E0597">
        <w:tc>
          <w:tcPr>
            <w:tcW w:w="1129" w:type="dxa"/>
            <w:vAlign w:val="center"/>
          </w:tcPr>
          <w:p w14:paraId="06B73A3E"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3E421385" w14:textId="77777777" w:rsidR="0081336F" w:rsidRPr="0081336F" w:rsidRDefault="0081336F" w:rsidP="006E0597">
            <w:pPr>
              <w:pStyle w:val="13"/>
              <w:ind w:firstLineChars="0" w:firstLine="0"/>
              <w:rPr>
                <w:sz w:val="21"/>
                <w:szCs w:val="21"/>
              </w:rPr>
            </w:pPr>
            <w:r w:rsidRPr="0081336F">
              <w:rPr>
                <w:rFonts w:hint="eastAsia"/>
                <w:sz w:val="21"/>
                <w:szCs w:val="21"/>
              </w:rPr>
              <w:t>贷款迁徙率</w:t>
            </w:r>
          </w:p>
        </w:tc>
        <w:tc>
          <w:tcPr>
            <w:tcW w:w="3543" w:type="dxa"/>
            <w:vAlign w:val="center"/>
          </w:tcPr>
          <w:p w14:paraId="07F3BB99" w14:textId="77777777" w:rsidR="0081336F" w:rsidRPr="0081336F" w:rsidRDefault="0081336F" w:rsidP="006E0597">
            <w:pPr>
              <w:pStyle w:val="13"/>
              <w:ind w:firstLineChars="0" w:firstLine="0"/>
              <w:rPr>
                <w:sz w:val="21"/>
                <w:szCs w:val="21"/>
              </w:rPr>
            </w:pPr>
            <w:r w:rsidRPr="0081336F">
              <w:rPr>
                <w:rFonts w:hint="eastAsia"/>
                <w:sz w:val="21"/>
                <w:szCs w:val="21"/>
              </w:rPr>
              <w:t>《商业银行风险监管核心指标（试行）》</w:t>
            </w:r>
          </w:p>
        </w:tc>
        <w:tc>
          <w:tcPr>
            <w:tcW w:w="2381" w:type="dxa"/>
            <w:vAlign w:val="center"/>
          </w:tcPr>
          <w:p w14:paraId="2C708DBD" w14:textId="77777777" w:rsidR="0081336F" w:rsidRPr="0081336F" w:rsidRDefault="0081336F" w:rsidP="006E0597">
            <w:pPr>
              <w:pStyle w:val="13"/>
              <w:ind w:firstLineChars="0" w:firstLine="0"/>
              <w:rPr>
                <w:sz w:val="21"/>
                <w:szCs w:val="21"/>
              </w:rPr>
            </w:pPr>
            <w:r w:rsidRPr="0081336F">
              <w:rPr>
                <w:rFonts w:hint="eastAsia"/>
                <w:sz w:val="21"/>
                <w:szCs w:val="21"/>
              </w:rPr>
              <w:t>银监会2005年12月31日公告</w:t>
            </w:r>
          </w:p>
        </w:tc>
      </w:tr>
      <w:tr w:rsidR="0081336F" w:rsidRPr="0081336F" w14:paraId="62BDA553" w14:textId="77777777" w:rsidTr="006E0597">
        <w:tc>
          <w:tcPr>
            <w:tcW w:w="1129" w:type="dxa"/>
            <w:vMerge w:val="restart"/>
            <w:vAlign w:val="center"/>
          </w:tcPr>
          <w:p w14:paraId="403AE90A"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Merge w:val="restart"/>
            <w:vAlign w:val="center"/>
          </w:tcPr>
          <w:p w14:paraId="2F0B0DC2" w14:textId="77777777" w:rsidR="0081336F" w:rsidRPr="0081336F" w:rsidRDefault="0081336F" w:rsidP="006E0597">
            <w:pPr>
              <w:pStyle w:val="13"/>
              <w:ind w:firstLineChars="0" w:firstLine="0"/>
              <w:rPr>
                <w:sz w:val="21"/>
                <w:szCs w:val="21"/>
              </w:rPr>
            </w:pPr>
            <w:r w:rsidRPr="0081336F">
              <w:rPr>
                <w:rFonts w:hint="eastAsia"/>
                <w:sz w:val="21"/>
                <w:szCs w:val="21"/>
              </w:rPr>
              <w:t>资本充足率</w:t>
            </w:r>
          </w:p>
        </w:tc>
        <w:tc>
          <w:tcPr>
            <w:tcW w:w="3543" w:type="dxa"/>
            <w:vAlign w:val="center"/>
          </w:tcPr>
          <w:p w14:paraId="561B9F3F" w14:textId="77777777" w:rsidR="0081336F" w:rsidRPr="0081336F" w:rsidRDefault="0081336F" w:rsidP="006E0597">
            <w:pPr>
              <w:pStyle w:val="13"/>
              <w:ind w:firstLineChars="0" w:firstLine="0"/>
              <w:rPr>
                <w:sz w:val="21"/>
                <w:szCs w:val="21"/>
              </w:rPr>
            </w:pPr>
            <w:r w:rsidRPr="0081336F">
              <w:rPr>
                <w:rFonts w:hint="eastAsia"/>
                <w:sz w:val="21"/>
                <w:szCs w:val="21"/>
              </w:rPr>
              <w:t>《中国银监会关于中国银行业实施新监管标准的指导意见》</w:t>
            </w:r>
          </w:p>
        </w:tc>
        <w:tc>
          <w:tcPr>
            <w:tcW w:w="2381" w:type="dxa"/>
            <w:vAlign w:val="center"/>
          </w:tcPr>
          <w:p w14:paraId="7CB91092" w14:textId="77777777" w:rsidR="0081336F" w:rsidRPr="0081336F" w:rsidRDefault="0081336F" w:rsidP="006E0597">
            <w:pPr>
              <w:pStyle w:val="13"/>
              <w:ind w:firstLineChars="0" w:firstLine="0"/>
              <w:rPr>
                <w:sz w:val="21"/>
                <w:szCs w:val="21"/>
              </w:rPr>
            </w:pPr>
            <w:r w:rsidRPr="0081336F">
              <w:rPr>
                <w:rFonts w:hint="eastAsia"/>
                <w:sz w:val="21"/>
                <w:szCs w:val="21"/>
              </w:rPr>
              <w:t>银监发〔2011〕44号</w:t>
            </w:r>
          </w:p>
        </w:tc>
      </w:tr>
      <w:tr w:rsidR="0081336F" w:rsidRPr="0081336F" w14:paraId="53C30547" w14:textId="77777777" w:rsidTr="006E0597">
        <w:tc>
          <w:tcPr>
            <w:tcW w:w="1129" w:type="dxa"/>
            <w:vMerge/>
            <w:vAlign w:val="center"/>
          </w:tcPr>
          <w:p w14:paraId="207C5DC3" w14:textId="77777777" w:rsidR="0081336F" w:rsidRPr="0081336F" w:rsidRDefault="0081336F" w:rsidP="006E0597">
            <w:pPr>
              <w:pStyle w:val="13"/>
              <w:ind w:firstLineChars="0" w:firstLine="0"/>
              <w:rPr>
                <w:b/>
                <w:bCs/>
                <w:sz w:val="21"/>
                <w:szCs w:val="21"/>
              </w:rPr>
            </w:pPr>
          </w:p>
        </w:tc>
        <w:tc>
          <w:tcPr>
            <w:tcW w:w="2127" w:type="dxa"/>
            <w:vMerge/>
            <w:vAlign w:val="center"/>
          </w:tcPr>
          <w:p w14:paraId="5E25B7F0" w14:textId="77777777" w:rsidR="0081336F" w:rsidRPr="0081336F" w:rsidRDefault="0081336F" w:rsidP="006E0597">
            <w:pPr>
              <w:pStyle w:val="13"/>
              <w:ind w:firstLineChars="0" w:firstLine="0"/>
              <w:rPr>
                <w:b/>
                <w:bCs/>
                <w:sz w:val="21"/>
                <w:szCs w:val="21"/>
              </w:rPr>
            </w:pPr>
          </w:p>
        </w:tc>
        <w:tc>
          <w:tcPr>
            <w:tcW w:w="3543" w:type="dxa"/>
            <w:vAlign w:val="center"/>
          </w:tcPr>
          <w:p w14:paraId="680E5192" w14:textId="77777777" w:rsidR="0081336F" w:rsidRPr="0081336F" w:rsidRDefault="0081336F" w:rsidP="006E0597">
            <w:pPr>
              <w:pStyle w:val="13"/>
              <w:ind w:firstLineChars="0" w:firstLine="0"/>
              <w:rPr>
                <w:sz w:val="21"/>
                <w:szCs w:val="21"/>
              </w:rPr>
            </w:pPr>
            <w:r w:rsidRPr="0081336F">
              <w:rPr>
                <w:rFonts w:hint="eastAsia"/>
                <w:sz w:val="21"/>
                <w:szCs w:val="21"/>
              </w:rPr>
              <w:t>《商业银行资本管理办法（试行）》</w:t>
            </w:r>
          </w:p>
        </w:tc>
        <w:tc>
          <w:tcPr>
            <w:tcW w:w="2381" w:type="dxa"/>
            <w:vAlign w:val="center"/>
          </w:tcPr>
          <w:p w14:paraId="085C30A6"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〔2012〕1</w:t>
            </w:r>
            <w:r w:rsidRPr="0081336F">
              <w:rPr>
                <w:sz w:val="21"/>
                <w:szCs w:val="21"/>
              </w:rPr>
              <w:t>号</w:t>
            </w:r>
          </w:p>
        </w:tc>
      </w:tr>
      <w:tr w:rsidR="0081336F" w:rsidRPr="0081336F" w14:paraId="0FE3D90E" w14:textId="77777777" w:rsidTr="006E0597">
        <w:tc>
          <w:tcPr>
            <w:tcW w:w="1129" w:type="dxa"/>
            <w:vAlign w:val="center"/>
          </w:tcPr>
          <w:p w14:paraId="7BAE5EBD"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6B7572B7" w14:textId="77777777" w:rsidR="0081336F" w:rsidRPr="0081336F" w:rsidRDefault="0081336F" w:rsidP="006E0597">
            <w:pPr>
              <w:pStyle w:val="13"/>
              <w:ind w:firstLineChars="0" w:firstLine="0"/>
              <w:rPr>
                <w:sz w:val="21"/>
                <w:szCs w:val="21"/>
              </w:rPr>
            </w:pPr>
            <w:r w:rsidRPr="0081336F">
              <w:rPr>
                <w:rFonts w:hint="eastAsia"/>
                <w:sz w:val="21"/>
                <w:szCs w:val="21"/>
              </w:rPr>
              <w:t>存款准备金率</w:t>
            </w:r>
          </w:p>
        </w:tc>
        <w:tc>
          <w:tcPr>
            <w:tcW w:w="3543" w:type="dxa"/>
            <w:vAlign w:val="center"/>
          </w:tcPr>
          <w:p w14:paraId="13BED2A4" w14:textId="77777777" w:rsidR="0081336F" w:rsidRPr="0081336F" w:rsidRDefault="0081336F" w:rsidP="006E0597">
            <w:pPr>
              <w:pStyle w:val="13"/>
              <w:ind w:firstLineChars="0" w:firstLine="0"/>
              <w:rPr>
                <w:b/>
                <w:bCs/>
                <w:sz w:val="21"/>
                <w:szCs w:val="21"/>
              </w:rPr>
            </w:pPr>
          </w:p>
        </w:tc>
        <w:tc>
          <w:tcPr>
            <w:tcW w:w="2381" w:type="dxa"/>
            <w:vAlign w:val="center"/>
          </w:tcPr>
          <w:p w14:paraId="1AA3904F" w14:textId="77777777" w:rsidR="0081336F" w:rsidRPr="0081336F" w:rsidRDefault="0081336F" w:rsidP="006E0597">
            <w:pPr>
              <w:pStyle w:val="13"/>
              <w:ind w:firstLineChars="0" w:firstLine="0"/>
              <w:rPr>
                <w:b/>
                <w:bCs/>
                <w:sz w:val="21"/>
                <w:szCs w:val="21"/>
              </w:rPr>
            </w:pPr>
            <w:r w:rsidRPr="0081336F">
              <w:rPr>
                <w:rFonts w:hint="eastAsia"/>
                <w:sz w:val="21"/>
                <w:szCs w:val="21"/>
              </w:rPr>
              <w:t>中国人民银行网站公告</w:t>
            </w:r>
          </w:p>
        </w:tc>
      </w:tr>
      <w:tr w:rsidR="0081336F" w:rsidRPr="0081336F" w14:paraId="611E1111" w14:textId="77777777" w:rsidTr="006E0597">
        <w:tc>
          <w:tcPr>
            <w:tcW w:w="1129" w:type="dxa"/>
            <w:vAlign w:val="center"/>
          </w:tcPr>
          <w:p w14:paraId="330AA3F6"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3A40DED9" w14:textId="77777777" w:rsidR="0081336F" w:rsidRPr="0081336F" w:rsidRDefault="0081336F" w:rsidP="006E0597">
            <w:pPr>
              <w:pStyle w:val="13"/>
              <w:ind w:firstLineChars="0" w:firstLine="0"/>
              <w:rPr>
                <w:sz w:val="21"/>
                <w:szCs w:val="21"/>
              </w:rPr>
            </w:pPr>
            <w:r w:rsidRPr="0081336F">
              <w:rPr>
                <w:rFonts w:hint="eastAsia"/>
                <w:sz w:val="21"/>
                <w:szCs w:val="21"/>
              </w:rPr>
              <w:t>成本收入比</w:t>
            </w:r>
          </w:p>
        </w:tc>
        <w:tc>
          <w:tcPr>
            <w:tcW w:w="3543" w:type="dxa"/>
            <w:vAlign w:val="center"/>
          </w:tcPr>
          <w:p w14:paraId="65B1F370" w14:textId="77777777" w:rsidR="0081336F" w:rsidRPr="0081336F" w:rsidRDefault="0081336F" w:rsidP="006E0597">
            <w:pPr>
              <w:pStyle w:val="13"/>
              <w:ind w:firstLineChars="0" w:firstLine="0"/>
              <w:rPr>
                <w:sz w:val="21"/>
                <w:szCs w:val="21"/>
              </w:rPr>
            </w:pPr>
            <w:r w:rsidRPr="0081336F">
              <w:rPr>
                <w:rFonts w:hint="eastAsia"/>
                <w:sz w:val="21"/>
                <w:szCs w:val="21"/>
              </w:rPr>
              <w:t>《商业银行风险监管核心指标（试行）》</w:t>
            </w:r>
          </w:p>
        </w:tc>
        <w:tc>
          <w:tcPr>
            <w:tcW w:w="2381" w:type="dxa"/>
            <w:vAlign w:val="center"/>
          </w:tcPr>
          <w:p w14:paraId="76D4E9E6" w14:textId="77777777" w:rsidR="0081336F" w:rsidRPr="0081336F" w:rsidRDefault="0081336F" w:rsidP="006E0597">
            <w:pPr>
              <w:pStyle w:val="13"/>
              <w:ind w:firstLineChars="0" w:firstLine="0"/>
              <w:rPr>
                <w:sz w:val="21"/>
                <w:szCs w:val="21"/>
              </w:rPr>
            </w:pPr>
            <w:r w:rsidRPr="0081336F">
              <w:rPr>
                <w:rFonts w:hint="eastAsia"/>
                <w:sz w:val="21"/>
                <w:szCs w:val="21"/>
              </w:rPr>
              <w:t>银监会2005年12月31日公告</w:t>
            </w:r>
          </w:p>
        </w:tc>
      </w:tr>
      <w:tr w:rsidR="0081336F" w:rsidRPr="0081336F" w14:paraId="19871E93" w14:textId="77777777" w:rsidTr="006E0597">
        <w:tc>
          <w:tcPr>
            <w:tcW w:w="1129" w:type="dxa"/>
            <w:vAlign w:val="center"/>
          </w:tcPr>
          <w:p w14:paraId="5981A466"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5D8CB41F" w14:textId="77777777" w:rsidR="0081336F" w:rsidRPr="0081336F" w:rsidRDefault="0081336F" w:rsidP="006E0597">
            <w:pPr>
              <w:pStyle w:val="13"/>
              <w:ind w:firstLineChars="0" w:firstLine="0"/>
              <w:rPr>
                <w:sz w:val="21"/>
                <w:szCs w:val="21"/>
              </w:rPr>
            </w:pPr>
            <w:r w:rsidRPr="0081336F">
              <w:rPr>
                <w:rFonts w:hint="eastAsia"/>
                <w:sz w:val="21"/>
                <w:szCs w:val="21"/>
              </w:rPr>
              <w:t>资产利润率</w:t>
            </w:r>
          </w:p>
        </w:tc>
        <w:tc>
          <w:tcPr>
            <w:tcW w:w="3543" w:type="dxa"/>
            <w:vAlign w:val="center"/>
          </w:tcPr>
          <w:p w14:paraId="79E6E5A5" w14:textId="77777777" w:rsidR="0081336F" w:rsidRPr="0081336F" w:rsidRDefault="0081336F" w:rsidP="006E0597">
            <w:pPr>
              <w:pStyle w:val="13"/>
              <w:ind w:firstLineChars="0" w:firstLine="0"/>
              <w:rPr>
                <w:sz w:val="21"/>
                <w:szCs w:val="21"/>
              </w:rPr>
            </w:pPr>
            <w:r w:rsidRPr="0081336F">
              <w:rPr>
                <w:rFonts w:hint="eastAsia"/>
                <w:sz w:val="21"/>
                <w:szCs w:val="21"/>
              </w:rPr>
              <w:t>《商业银行风险监管核心指标（试行）》</w:t>
            </w:r>
          </w:p>
        </w:tc>
        <w:tc>
          <w:tcPr>
            <w:tcW w:w="2381" w:type="dxa"/>
            <w:vAlign w:val="center"/>
          </w:tcPr>
          <w:p w14:paraId="2A04E9B9" w14:textId="77777777" w:rsidR="0081336F" w:rsidRPr="0081336F" w:rsidRDefault="0081336F" w:rsidP="006E0597">
            <w:pPr>
              <w:pStyle w:val="13"/>
              <w:ind w:firstLineChars="0" w:firstLine="0"/>
              <w:rPr>
                <w:sz w:val="21"/>
                <w:szCs w:val="21"/>
              </w:rPr>
            </w:pPr>
            <w:r w:rsidRPr="0081336F">
              <w:rPr>
                <w:rFonts w:hint="eastAsia"/>
                <w:sz w:val="21"/>
                <w:szCs w:val="21"/>
              </w:rPr>
              <w:t>银监会2005年12月31日公告</w:t>
            </w:r>
          </w:p>
        </w:tc>
      </w:tr>
      <w:tr w:rsidR="0081336F" w:rsidRPr="0081336F" w14:paraId="375135D1" w14:textId="77777777" w:rsidTr="006E0597">
        <w:tc>
          <w:tcPr>
            <w:tcW w:w="1129" w:type="dxa"/>
            <w:vAlign w:val="center"/>
          </w:tcPr>
          <w:p w14:paraId="6FACA200" w14:textId="77777777" w:rsidR="0081336F" w:rsidRPr="0081336F" w:rsidRDefault="0081336F" w:rsidP="006E0597">
            <w:pPr>
              <w:pStyle w:val="13"/>
              <w:ind w:firstLineChars="0" w:firstLine="0"/>
              <w:rPr>
                <w:sz w:val="21"/>
                <w:szCs w:val="21"/>
              </w:rPr>
            </w:pPr>
            <w:r w:rsidRPr="0081336F">
              <w:rPr>
                <w:rFonts w:hint="eastAsia"/>
                <w:sz w:val="21"/>
                <w:szCs w:val="21"/>
              </w:rPr>
              <w:t>商业银行</w:t>
            </w:r>
          </w:p>
        </w:tc>
        <w:tc>
          <w:tcPr>
            <w:tcW w:w="2127" w:type="dxa"/>
            <w:vAlign w:val="center"/>
          </w:tcPr>
          <w:p w14:paraId="4CCFC778" w14:textId="77777777" w:rsidR="0081336F" w:rsidRPr="0081336F" w:rsidRDefault="0081336F" w:rsidP="006E0597">
            <w:pPr>
              <w:pStyle w:val="13"/>
              <w:ind w:firstLineChars="0" w:firstLine="0"/>
              <w:rPr>
                <w:sz w:val="21"/>
                <w:szCs w:val="21"/>
              </w:rPr>
            </w:pPr>
            <w:r w:rsidRPr="0081336F">
              <w:rPr>
                <w:rFonts w:hint="eastAsia"/>
                <w:sz w:val="21"/>
                <w:szCs w:val="21"/>
              </w:rPr>
              <w:t>资本利润率</w:t>
            </w:r>
          </w:p>
        </w:tc>
        <w:tc>
          <w:tcPr>
            <w:tcW w:w="3543" w:type="dxa"/>
            <w:vAlign w:val="center"/>
          </w:tcPr>
          <w:p w14:paraId="5A242EF8" w14:textId="77777777" w:rsidR="0081336F" w:rsidRPr="0081336F" w:rsidRDefault="0081336F" w:rsidP="006E0597">
            <w:pPr>
              <w:pStyle w:val="13"/>
              <w:ind w:firstLineChars="0" w:firstLine="0"/>
              <w:rPr>
                <w:sz w:val="21"/>
                <w:szCs w:val="21"/>
              </w:rPr>
            </w:pPr>
            <w:r w:rsidRPr="0081336F">
              <w:rPr>
                <w:rFonts w:hint="eastAsia"/>
                <w:sz w:val="21"/>
                <w:szCs w:val="21"/>
              </w:rPr>
              <w:t>《商业银行风险监管核心指标（试行）》</w:t>
            </w:r>
          </w:p>
        </w:tc>
        <w:tc>
          <w:tcPr>
            <w:tcW w:w="2381" w:type="dxa"/>
            <w:vAlign w:val="center"/>
          </w:tcPr>
          <w:p w14:paraId="392ABAE8" w14:textId="77777777" w:rsidR="0081336F" w:rsidRPr="0081336F" w:rsidRDefault="0081336F" w:rsidP="006E0597">
            <w:pPr>
              <w:pStyle w:val="13"/>
              <w:ind w:firstLineChars="0" w:firstLine="0"/>
              <w:rPr>
                <w:sz w:val="21"/>
                <w:szCs w:val="21"/>
              </w:rPr>
            </w:pPr>
            <w:r w:rsidRPr="0081336F">
              <w:rPr>
                <w:rFonts w:hint="eastAsia"/>
                <w:sz w:val="21"/>
                <w:szCs w:val="21"/>
              </w:rPr>
              <w:t>银监会2005年12月31日公告</w:t>
            </w:r>
          </w:p>
        </w:tc>
      </w:tr>
      <w:tr w:rsidR="0081336F" w:rsidRPr="0081336F" w14:paraId="454A22AB" w14:textId="77777777" w:rsidTr="006E0597">
        <w:tc>
          <w:tcPr>
            <w:tcW w:w="1129" w:type="dxa"/>
            <w:vAlign w:val="center"/>
          </w:tcPr>
          <w:p w14:paraId="418A5D1B" w14:textId="77777777" w:rsidR="0081336F" w:rsidRPr="0081336F" w:rsidRDefault="0081336F" w:rsidP="006E0597">
            <w:pPr>
              <w:pStyle w:val="13"/>
              <w:ind w:firstLineChars="0" w:firstLine="0"/>
              <w:rPr>
                <w:sz w:val="21"/>
                <w:szCs w:val="21"/>
              </w:rPr>
            </w:pPr>
            <w:r w:rsidRPr="0081336F">
              <w:rPr>
                <w:rFonts w:hint="eastAsia"/>
                <w:sz w:val="21"/>
                <w:szCs w:val="21"/>
              </w:rPr>
              <w:t>证券公司</w:t>
            </w:r>
          </w:p>
        </w:tc>
        <w:tc>
          <w:tcPr>
            <w:tcW w:w="2127" w:type="dxa"/>
            <w:vAlign w:val="center"/>
          </w:tcPr>
          <w:p w14:paraId="7422A7E7" w14:textId="77777777" w:rsidR="0081336F" w:rsidRPr="0081336F" w:rsidRDefault="0081336F" w:rsidP="006E0597">
            <w:pPr>
              <w:pStyle w:val="13"/>
              <w:ind w:firstLineChars="0" w:firstLine="0"/>
              <w:rPr>
                <w:sz w:val="21"/>
                <w:szCs w:val="21"/>
              </w:rPr>
            </w:pPr>
            <w:r w:rsidRPr="0081336F">
              <w:rPr>
                <w:rFonts w:hint="eastAsia"/>
                <w:sz w:val="21"/>
                <w:szCs w:val="21"/>
              </w:rPr>
              <w:t>净资本</w:t>
            </w:r>
          </w:p>
        </w:tc>
        <w:tc>
          <w:tcPr>
            <w:tcW w:w="3543" w:type="dxa"/>
            <w:vAlign w:val="center"/>
          </w:tcPr>
          <w:p w14:paraId="7090339D" w14:textId="77777777" w:rsidR="0081336F" w:rsidRPr="0081336F" w:rsidRDefault="0081336F" w:rsidP="006E0597">
            <w:pPr>
              <w:pStyle w:val="13"/>
              <w:ind w:firstLineChars="0" w:firstLine="0"/>
              <w:rPr>
                <w:sz w:val="21"/>
                <w:szCs w:val="21"/>
              </w:rPr>
            </w:pPr>
            <w:r w:rsidRPr="0081336F">
              <w:rPr>
                <w:sz w:val="21"/>
                <w:szCs w:val="21"/>
              </w:rPr>
              <w:t>《关于修改〈证券公司风险控制指标管理办法〉的决定》</w:t>
            </w:r>
          </w:p>
        </w:tc>
        <w:tc>
          <w:tcPr>
            <w:tcW w:w="2381" w:type="dxa"/>
            <w:vAlign w:val="center"/>
          </w:tcPr>
          <w:p w14:paraId="6719010C"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〔2008〕55</w:t>
            </w:r>
            <w:r w:rsidRPr="0081336F">
              <w:rPr>
                <w:sz w:val="21"/>
                <w:szCs w:val="21"/>
              </w:rPr>
              <w:t>号</w:t>
            </w:r>
          </w:p>
        </w:tc>
      </w:tr>
      <w:tr w:rsidR="0081336F" w:rsidRPr="0081336F" w14:paraId="44AA2400" w14:textId="77777777" w:rsidTr="006E0597">
        <w:tc>
          <w:tcPr>
            <w:tcW w:w="1129" w:type="dxa"/>
            <w:vAlign w:val="center"/>
          </w:tcPr>
          <w:p w14:paraId="4820D6E2" w14:textId="77777777" w:rsidR="0081336F" w:rsidRPr="0081336F" w:rsidRDefault="0081336F" w:rsidP="006E0597">
            <w:pPr>
              <w:pStyle w:val="13"/>
              <w:ind w:firstLineChars="0" w:firstLine="0"/>
              <w:rPr>
                <w:sz w:val="21"/>
                <w:szCs w:val="21"/>
              </w:rPr>
            </w:pPr>
            <w:r w:rsidRPr="0081336F">
              <w:rPr>
                <w:rFonts w:hint="eastAsia"/>
                <w:sz w:val="21"/>
                <w:szCs w:val="21"/>
              </w:rPr>
              <w:t>证券公司</w:t>
            </w:r>
          </w:p>
        </w:tc>
        <w:tc>
          <w:tcPr>
            <w:tcW w:w="2127" w:type="dxa"/>
            <w:vAlign w:val="center"/>
          </w:tcPr>
          <w:p w14:paraId="2EE070FF" w14:textId="77777777" w:rsidR="0081336F" w:rsidRPr="0081336F" w:rsidRDefault="0081336F" w:rsidP="006E0597">
            <w:pPr>
              <w:pStyle w:val="13"/>
              <w:ind w:firstLineChars="0" w:firstLine="0"/>
              <w:rPr>
                <w:sz w:val="21"/>
                <w:szCs w:val="21"/>
              </w:rPr>
            </w:pPr>
            <w:r w:rsidRPr="0081336F">
              <w:rPr>
                <w:rFonts w:hint="eastAsia"/>
                <w:sz w:val="21"/>
                <w:szCs w:val="21"/>
              </w:rPr>
              <w:t>风险资本准备</w:t>
            </w:r>
          </w:p>
        </w:tc>
        <w:tc>
          <w:tcPr>
            <w:tcW w:w="3543" w:type="dxa"/>
            <w:vAlign w:val="center"/>
          </w:tcPr>
          <w:p w14:paraId="735BB8C1" w14:textId="77777777" w:rsidR="0081336F" w:rsidRPr="0081336F" w:rsidRDefault="0081336F" w:rsidP="006E0597">
            <w:pPr>
              <w:pStyle w:val="13"/>
              <w:ind w:firstLineChars="0" w:firstLine="0"/>
              <w:rPr>
                <w:sz w:val="21"/>
                <w:szCs w:val="21"/>
              </w:rPr>
            </w:pPr>
            <w:r w:rsidRPr="0081336F">
              <w:rPr>
                <w:sz w:val="21"/>
                <w:szCs w:val="21"/>
              </w:rPr>
              <w:t>《关于修改〈关于证券公司风险资本准备计算标准的规定〉的决定》，</w:t>
            </w:r>
          </w:p>
        </w:tc>
        <w:tc>
          <w:tcPr>
            <w:tcW w:w="2381" w:type="dxa"/>
            <w:vAlign w:val="center"/>
          </w:tcPr>
          <w:p w14:paraId="20CBC751" w14:textId="77777777" w:rsidR="0081336F" w:rsidRPr="0081336F" w:rsidRDefault="0081336F" w:rsidP="006E0597">
            <w:pPr>
              <w:pStyle w:val="13"/>
              <w:ind w:firstLineChars="0" w:firstLine="0"/>
              <w:rPr>
                <w:sz w:val="21"/>
                <w:szCs w:val="21"/>
              </w:rPr>
            </w:pPr>
            <w:r w:rsidRPr="0081336F">
              <w:rPr>
                <w:sz w:val="21"/>
                <w:szCs w:val="21"/>
              </w:rPr>
              <w:t>证监会公告</w:t>
            </w:r>
            <w:r w:rsidRPr="0081336F">
              <w:rPr>
                <w:rFonts w:hint="eastAsia"/>
                <w:sz w:val="21"/>
                <w:szCs w:val="21"/>
              </w:rPr>
              <w:t>〔2012〕</w:t>
            </w:r>
            <w:r w:rsidRPr="0081336F">
              <w:rPr>
                <w:sz w:val="21"/>
                <w:szCs w:val="21"/>
              </w:rPr>
              <w:t>7号</w:t>
            </w:r>
          </w:p>
        </w:tc>
      </w:tr>
      <w:tr w:rsidR="0081336F" w:rsidRPr="0081336F" w14:paraId="7CF44D3D" w14:textId="77777777" w:rsidTr="006E0597">
        <w:tc>
          <w:tcPr>
            <w:tcW w:w="1129" w:type="dxa"/>
            <w:vAlign w:val="center"/>
          </w:tcPr>
          <w:p w14:paraId="4E33E8F8" w14:textId="77777777" w:rsidR="0081336F" w:rsidRPr="0081336F" w:rsidRDefault="0081336F" w:rsidP="006E0597">
            <w:pPr>
              <w:pStyle w:val="13"/>
              <w:ind w:firstLineChars="0" w:firstLine="0"/>
              <w:rPr>
                <w:sz w:val="21"/>
                <w:szCs w:val="21"/>
              </w:rPr>
            </w:pPr>
            <w:r w:rsidRPr="0081336F">
              <w:rPr>
                <w:rFonts w:hint="eastAsia"/>
                <w:sz w:val="21"/>
                <w:szCs w:val="21"/>
              </w:rPr>
              <w:t>证券公司</w:t>
            </w:r>
          </w:p>
        </w:tc>
        <w:tc>
          <w:tcPr>
            <w:tcW w:w="2127" w:type="dxa"/>
            <w:vAlign w:val="center"/>
          </w:tcPr>
          <w:p w14:paraId="387D4B2F" w14:textId="77777777" w:rsidR="0081336F" w:rsidRPr="0081336F" w:rsidRDefault="0081336F" w:rsidP="006E0597">
            <w:pPr>
              <w:pStyle w:val="13"/>
              <w:ind w:firstLineChars="0" w:firstLine="0"/>
              <w:rPr>
                <w:sz w:val="21"/>
                <w:szCs w:val="21"/>
              </w:rPr>
            </w:pPr>
            <w:r w:rsidRPr="0081336F">
              <w:rPr>
                <w:rFonts w:hint="eastAsia"/>
                <w:sz w:val="21"/>
                <w:szCs w:val="21"/>
              </w:rPr>
              <w:t>净资本/风险资本准备</w:t>
            </w:r>
          </w:p>
        </w:tc>
        <w:tc>
          <w:tcPr>
            <w:tcW w:w="3543" w:type="dxa"/>
            <w:vAlign w:val="center"/>
          </w:tcPr>
          <w:p w14:paraId="39BA22CA" w14:textId="77777777" w:rsidR="0081336F" w:rsidRPr="0081336F" w:rsidRDefault="0081336F" w:rsidP="006E0597">
            <w:pPr>
              <w:pStyle w:val="13"/>
              <w:ind w:firstLineChars="0" w:firstLine="0"/>
              <w:rPr>
                <w:sz w:val="21"/>
                <w:szCs w:val="21"/>
              </w:rPr>
            </w:pPr>
            <w:r w:rsidRPr="0081336F">
              <w:rPr>
                <w:sz w:val="21"/>
                <w:szCs w:val="21"/>
              </w:rPr>
              <w:t>《关于修改〈证券公司风险控制指标管理办法〉的决定》</w:t>
            </w:r>
          </w:p>
        </w:tc>
        <w:tc>
          <w:tcPr>
            <w:tcW w:w="2381" w:type="dxa"/>
            <w:vAlign w:val="center"/>
          </w:tcPr>
          <w:p w14:paraId="34D57B9F"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〔2008〕55</w:t>
            </w:r>
            <w:r w:rsidRPr="0081336F">
              <w:rPr>
                <w:sz w:val="21"/>
                <w:szCs w:val="21"/>
              </w:rPr>
              <w:t>号</w:t>
            </w:r>
          </w:p>
        </w:tc>
      </w:tr>
      <w:tr w:rsidR="0081336F" w:rsidRPr="0081336F" w14:paraId="13AB83F6" w14:textId="77777777" w:rsidTr="006E0597">
        <w:tc>
          <w:tcPr>
            <w:tcW w:w="1129" w:type="dxa"/>
            <w:vAlign w:val="center"/>
          </w:tcPr>
          <w:p w14:paraId="43440C21" w14:textId="77777777" w:rsidR="0081336F" w:rsidRPr="0081336F" w:rsidRDefault="0081336F" w:rsidP="006E0597">
            <w:pPr>
              <w:pStyle w:val="13"/>
              <w:ind w:firstLineChars="0" w:firstLine="0"/>
              <w:rPr>
                <w:sz w:val="21"/>
                <w:szCs w:val="21"/>
              </w:rPr>
            </w:pPr>
            <w:r w:rsidRPr="0081336F">
              <w:rPr>
                <w:rFonts w:hint="eastAsia"/>
                <w:sz w:val="21"/>
                <w:szCs w:val="21"/>
              </w:rPr>
              <w:t>证券公司</w:t>
            </w:r>
          </w:p>
        </w:tc>
        <w:tc>
          <w:tcPr>
            <w:tcW w:w="2127" w:type="dxa"/>
            <w:vAlign w:val="center"/>
          </w:tcPr>
          <w:p w14:paraId="24922847" w14:textId="77777777" w:rsidR="0081336F" w:rsidRPr="0081336F" w:rsidRDefault="0081336F" w:rsidP="006E0597">
            <w:pPr>
              <w:pStyle w:val="13"/>
              <w:ind w:firstLineChars="0" w:firstLine="0"/>
              <w:rPr>
                <w:sz w:val="21"/>
                <w:szCs w:val="21"/>
              </w:rPr>
            </w:pPr>
            <w:r w:rsidRPr="0081336F">
              <w:rPr>
                <w:rFonts w:hint="eastAsia"/>
                <w:sz w:val="21"/>
                <w:szCs w:val="21"/>
              </w:rPr>
              <w:t>净资本/净资产</w:t>
            </w:r>
          </w:p>
        </w:tc>
        <w:tc>
          <w:tcPr>
            <w:tcW w:w="3543" w:type="dxa"/>
            <w:vAlign w:val="center"/>
          </w:tcPr>
          <w:p w14:paraId="162000EA" w14:textId="77777777" w:rsidR="0081336F" w:rsidRPr="0081336F" w:rsidRDefault="0081336F" w:rsidP="006E0597">
            <w:pPr>
              <w:pStyle w:val="13"/>
              <w:ind w:firstLineChars="0" w:firstLine="0"/>
              <w:rPr>
                <w:sz w:val="21"/>
                <w:szCs w:val="21"/>
              </w:rPr>
            </w:pPr>
            <w:r w:rsidRPr="0081336F">
              <w:rPr>
                <w:sz w:val="21"/>
                <w:szCs w:val="21"/>
              </w:rPr>
              <w:t>《关于修改〈证券公司风险控制指标管理办法〉的决定》</w:t>
            </w:r>
          </w:p>
        </w:tc>
        <w:tc>
          <w:tcPr>
            <w:tcW w:w="2381" w:type="dxa"/>
            <w:vAlign w:val="center"/>
          </w:tcPr>
          <w:p w14:paraId="64CFD1AB"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〔2008〕55</w:t>
            </w:r>
            <w:r w:rsidRPr="0081336F">
              <w:rPr>
                <w:sz w:val="21"/>
                <w:szCs w:val="21"/>
              </w:rPr>
              <w:t>号</w:t>
            </w:r>
          </w:p>
        </w:tc>
      </w:tr>
      <w:tr w:rsidR="0081336F" w:rsidRPr="0081336F" w14:paraId="5672138A" w14:textId="77777777" w:rsidTr="006E0597">
        <w:tc>
          <w:tcPr>
            <w:tcW w:w="1129" w:type="dxa"/>
            <w:vAlign w:val="center"/>
          </w:tcPr>
          <w:p w14:paraId="35F22AFE" w14:textId="77777777" w:rsidR="0081336F" w:rsidRPr="0081336F" w:rsidRDefault="0081336F" w:rsidP="006E0597">
            <w:pPr>
              <w:pStyle w:val="13"/>
              <w:ind w:firstLineChars="0" w:firstLine="0"/>
              <w:rPr>
                <w:sz w:val="21"/>
                <w:szCs w:val="21"/>
              </w:rPr>
            </w:pPr>
            <w:r w:rsidRPr="0081336F">
              <w:rPr>
                <w:rFonts w:hint="eastAsia"/>
                <w:sz w:val="21"/>
                <w:szCs w:val="21"/>
              </w:rPr>
              <w:t>证券公司</w:t>
            </w:r>
          </w:p>
        </w:tc>
        <w:tc>
          <w:tcPr>
            <w:tcW w:w="2127" w:type="dxa"/>
            <w:vAlign w:val="center"/>
          </w:tcPr>
          <w:p w14:paraId="266815B6" w14:textId="77777777" w:rsidR="0081336F" w:rsidRPr="0081336F" w:rsidRDefault="0081336F" w:rsidP="006E0597">
            <w:pPr>
              <w:pStyle w:val="13"/>
              <w:ind w:firstLineChars="0" w:firstLine="0"/>
              <w:rPr>
                <w:sz w:val="21"/>
                <w:szCs w:val="21"/>
              </w:rPr>
            </w:pPr>
            <w:r w:rsidRPr="0081336F">
              <w:rPr>
                <w:rFonts w:hint="eastAsia"/>
                <w:sz w:val="21"/>
                <w:szCs w:val="21"/>
              </w:rPr>
              <w:t>净资本/负债</w:t>
            </w:r>
          </w:p>
        </w:tc>
        <w:tc>
          <w:tcPr>
            <w:tcW w:w="3543" w:type="dxa"/>
            <w:vAlign w:val="center"/>
          </w:tcPr>
          <w:p w14:paraId="0215ACE1" w14:textId="77777777" w:rsidR="0081336F" w:rsidRPr="0081336F" w:rsidRDefault="0081336F" w:rsidP="006E0597">
            <w:pPr>
              <w:pStyle w:val="13"/>
              <w:ind w:firstLineChars="0" w:firstLine="0"/>
              <w:rPr>
                <w:sz w:val="21"/>
                <w:szCs w:val="21"/>
              </w:rPr>
            </w:pPr>
            <w:r w:rsidRPr="0081336F">
              <w:rPr>
                <w:sz w:val="21"/>
                <w:szCs w:val="21"/>
              </w:rPr>
              <w:t>《关于修改〈证券公司风险控制指标管理办法〉的决定》</w:t>
            </w:r>
          </w:p>
        </w:tc>
        <w:tc>
          <w:tcPr>
            <w:tcW w:w="2381" w:type="dxa"/>
            <w:vAlign w:val="center"/>
          </w:tcPr>
          <w:p w14:paraId="1495EB57"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〔2008〕55</w:t>
            </w:r>
            <w:r w:rsidRPr="0081336F">
              <w:rPr>
                <w:sz w:val="21"/>
                <w:szCs w:val="21"/>
              </w:rPr>
              <w:t>号</w:t>
            </w:r>
          </w:p>
        </w:tc>
      </w:tr>
      <w:tr w:rsidR="0081336F" w:rsidRPr="0081336F" w14:paraId="2ECAAF2D" w14:textId="77777777" w:rsidTr="006E0597">
        <w:tc>
          <w:tcPr>
            <w:tcW w:w="1129" w:type="dxa"/>
            <w:vAlign w:val="center"/>
          </w:tcPr>
          <w:p w14:paraId="7164890B" w14:textId="77777777" w:rsidR="0081336F" w:rsidRPr="0081336F" w:rsidRDefault="0081336F" w:rsidP="006E0597">
            <w:pPr>
              <w:pStyle w:val="13"/>
              <w:ind w:firstLineChars="0" w:firstLine="0"/>
              <w:rPr>
                <w:sz w:val="21"/>
                <w:szCs w:val="21"/>
              </w:rPr>
            </w:pPr>
            <w:r w:rsidRPr="0081336F">
              <w:rPr>
                <w:rFonts w:hint="eastAsia"/>
                <w:sz w:val="21"/>
                <w:szCs w:val="21"/>
              </w:rPr>
              <w:lastRenderedPageBreak/>
              <w:t>证券公司</w:t>
            </w:r>
          </w:p>
        </w:tc>
        <w:tc>
          <w:tcPr>
            <w:tcW w:w="2127" w:type="dxa"/>
            <w:vAlign w:val="center"/>
          </w:tcPr>
          <w:p w14:paraId="38EA6B20" w14:textId="77777777" w:rsidR="0081336F" w:rsidRPr="0081336F" w:rsidRDefault="0081336F" w:rsidP="006E0597">
            <w:pPr>
              <w:pStyle w:val="13"/>
              <w:ind w:firstLineChars="0" w:firstLine="0"/>
              <w:rPr>
                <w:sz w:val="21"/>
                <w:szCs w:val="21"/>
              </w:rPr>
            </w:pPr>
            <w:r w:rsidRPr="0081336F">
              <w:rPr>
                <w:rFonts w:hint="eastAsia"/>
                <w:sz w:val="21"/>
                <w:szCs w:val="21"/>
              </w:rPr>
              <w:t>净资产/负债</w:t>
            </w:r>
          </w:p>
        </w:tc>
        <w:tc>
          <w:tcPr>
            <w:tcW w:w="3543" w:type="dxa"/>
            <w:vAlign w:val="center"/>
          </w:tcPr>
          <w:p w14:paraId="141C757B" w14:textId="77777777" w:rsidR="0081336F" w:rsidRPr="0081336F" w:rsidRDefault="0081336F" w:rsidP="006E0597">
            <w:pPr>
              <w:pStyle w:val="13"/>
              <w:ind w:firstLineChars="0" w:firstLine="0"/>
              <w:rPr>
                <w:sz w:val="21"/>
                <w:szCs w:val="21"/>
              </w:rPr>
            </w:pPr>
            <w:r w:rsidRPr="0081336F">
              <w:rPr>
                <w:sz w:val="21"/>
                <w:szCs w:val="21"/>
              </w:rPr>
              <w:t>《关于修改〈证券公司风险控制指标管理办法〉的决定》</w:t>
            </w:r>
          </w:p>
        </w:tc>
        <w:tc>
          <w:tcPr>
            <w:tcW w:w="2381" w:type="dxa"/>
            <w:vAlign w:val="center"/>
          </w:tcPr>
          <w:p w14:paraId="22D3B4C5"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〔2008〕55</w:t>
            </w:r>
            <w:r w:rsidRPr="0081336F">
              <w:rPr>
                <w:sz w:val="21"/>
                <w:szCs w:val="21"/>
              </w:rPr>
              <w:t>号</w:t>
            </w:r>
          </w:p>
        </w:tc>
      </w:tr>
      <w:tr w:rsidR="0081336F" w:rsidRPr="0081336F" w14:paraId="7368AB8B" w14:textId="77777777" w:rsidTr="006E0597">
        <w:tc>
          <w:tcPr>
            <w:tcW w:w="1129" w:type="dxa"/>
            <w:vAlign w:val="center"/>
          </w:tcPr>
          <w:p w14:paraId="30AF215F" w14:textId="77777777" w:rsidR="0081336F" w:rsidRPr="0081336F" w:rsidRDefault="0081336F" w:rsidP="006E0597">
            <w:pPr>
              <w:pStyle w:val="13"/>
              <w:ind w:firstLineChars="0" w:firstLine="0"/>
              <w:rPr>
                <w:sz w:val="21"/>
                <w:szCs w:val="21"/>
              </w:rPr>
            </w:pPr>
            <w:r w:rsidRPr="0081336F">
              <w:rPr>
                <w:rFonts w:hint="eastAsia"/>
                <w:sz w:val="21"/>
                <w:szCs w:val="21"/>
              </w:rPr>
              <w:t>证券公司</w:t>
            </w:r>
          </w:p>
        </w:tc>
        <w:tc>
          <w:tcPr>
            <w:tcW w:w="2127" w:type="dxa"/>
            <w:vAlign w:val="center"/>
          </w:tcPr>
          <w:p w14:paraId="49A0130D" w14:textId="77777777" w:rsidR="0081336F" w:rsidRPr="0081336F" w:rsidRDefault="0081336F" w:rsidP="006E0597">
            <w:pPr>
              <w:pStyle w:val="13"/>
              <w:ind w:firstLineChars="0" w:firstLine="0"/>
              <w:rPr>
                <w:sz w:val="21"/>
                <w:szCs w:val="21"/>
              </w:rPr>
            </w:pPr>
            <w:r w:rsidRPr="0081336F">
              <w:rPr>
                <w:rFonts w:hint="eastAsia"/>
                <w:sz w:val="21"/>
                <w:szCs w:val="21"/>
              </w:rPr>
              <w:t>流动性覆盖率</w:t>
            </w:r>
          </w:p>
        </w:tc>
        <w:tc>
          <w:tcPr>
            <w:tcW w:w="3543" w:type="dxa"/>
            <w:vAlign w:val="center"/>
          </w:tcPr>
          <w:p w14:paraId="1D07B5E3" w14:textId="77777777" w:rsidR="0081336F" w:rsidRPr="0081336F" w:rsidRDefault="0081336F" w:rsidP="006E0597">
            <w:pPr>
              <w:pStyle w:val="13"/>
              <w:ind w:firstLineChars="0" w:firstLine="0"/>
              <w:rPr>
                <w:sz w:val="21"/>
                <w:szCs w:val="21"/>
              </w:rPr>
            </w:pPr>
            <w:r w:rsidRPr="0081336F">
              <w:rPr>
                <w:rFonts w:hint="eastAsia"/>
                <w:sz w:val="21"/>
                <w:szCs w:val="21"/>
              </w:rPr>
              <w:t>《证券公司流动性风险管理指引》</w:t>
            </w:r>
          </w:p>
        </w:tc>
        <w:tc>
          <w:tcPr>
            <w:tcW w:w="2381" w:type="dxa"/>
            <w:vAlign w:val="center"/>
          </w:tcPr>
          <w:p w14:paraId="4BD988FA" w14:textId="77777777" w:rsidR="0081336F" w:rsidRPr="0081336F" w:rsidRDefault="0081336F" w:rsidP="006E0597">
            <w:pPr>
              <w:pStyle w:val="13"/>
              <w:ind w:firstLineChars="0" w:firstLine="0"/>
              <w:rPr>
                <w:sz w:val="21"/>
                <w:szCs w:val="21"/>
              </w:rPr>
            </w:pPr>
            <w:proofErr w:type="gramStart"/>
            <w:r w:rsidRPr="0081336F">
              <w:rPr>
                <w:rFonts w:hint="eastAsia"/>
                <w:sz w:val="21"/>
                <w:szCs w:val="21"/>
              </w:rPr>
              <w:t>中证协发</w:t>
            </w:r>
            <w:proofErr w:type="gramEnd"/>
            <w:r w:rsidRPr="0081336F">
              <w:rPr>
                <w:rFonts w:hint="eastAsia"/>
                <w:sz w:val="21"/>
                <w:szCs w:val="21"/>
              </w:rPr>
              <w:t>〔2014〕36号</w:t>
            </w:r>
          </w:p>
        </w:tc>
      </w:tr>
      <w:tr w:rsidR="0081336F" w:rsidRPr="0081336F" w14:paraId="0E3358C8" w14:textId="77777777" w:rsidTr="006E0597">
        <w:tc>
          <w:tcPr>
            <w:tcW w:w="1129" w:type="dxa"/>
            <w:vAlign w:val="center"/>
          </w:tcPr>
          <w:p w14:paraId="1189F3B4" w14:textId="77777777" w:rsidR="0081336F" w:rsidRPr="0081336F" w:rsidRDefault="0081336F" w:rsidP="006E0597">
            <w:pPr>
              <w:pStyle w:val="13"/>
              <w:ind w:firstLineChars="0" w:firstLine="0"/>
              <w:rPr>
                <w:sz w:val="21"/>
                <w:szCs w:val="21"/>
              </w:rPr>
            </w:pPr>
            <w:r w:rsidRPr="0081336F">
              <w:rPr>
                <w:rFonts w:hint="eastAsia"/>
                <w:sz w:val="21"/>
                <w:szCs w:val="21"/>
              </w:rPr>
              <w:t>证券公司</w:t>
            </w:r>
          </w:p>
        </w:tc>
        <w:tc>
          <w:tcPr>
            <w:tcW w:w="2127" w:type="dxa"/>
            <w:vAlign w:val="center"/>
          </w:tcPr>
          <w:p w14:paraId="7456EBC5" w14:textId="77777777" w:rsidR="0081336F" w:rsidRPr="0081336F" w:rsidRDefault="0081336F" w:rsidP="006E0597">
            <w:pPr>
              <w:pStyle w:val="13"/>
              <w:ind w:firstLineChars="0" w:firstLine="0"/>
              <w:rPr>
                <w:sz w:val="21"/>
                <w:szCs w:val="21"/>
              </w:rPr>
            </w:pPr>
            <w:proofErr w:type="gramStart"/>
            <w:r w:rsidRPr="0081336F">
              <w:rPr>
                <w:rFonts w:hint="eastAsia"/>
                <w:sz w:val="21"/>
                <w:szCs w:val="21"/>
              </w:rPr>
              <w:t>净稳定</w:t>
            </w:r>
            <w:proofErr w:type="gramEnd"/>
            <w:r w:rsidRPr="0081336F">
              <w:rPr>
                <w:rFonts w:hint="eastAsia"/>
                <w:sz w:val="21"/>
                <w:szCs w:val="21"/>
              </w:rPr>
              <w:t>资金率</w:t>
            </w:r>
          </w:p>
        </w:tc>
        <w:tc>
          <w:tcPr>
            <w:tcW w:w="3543" w:type="dxa"/>
            <w:vAlign w:val="center"/>
          </w:tcPr>
          <w:p w14:paraId="459FEB4A" w14:textId="77777777" w:rsidR="0081336F" w:rsidRPr="0081336F" w:rsidRDefault="0081336F" w:rsidP="006E0597">
            <w:pPr>
              <w:pStyle w:val="13"/>
              <w:ind w:firstLineChars="0" w:firstLine="0"/>
              <w:rPr>
                <w:sz w:val="21"/>
                <w:szCs w:val="21"/>
              </w:rPr>
            </w:pPr>
            <w:r w:rsidRPr="0081336F">
              <w:rPr>
                <w:rFonts w:hint="eastAsia"/>
                <w:sz w:val="21"/>
                <w:szCs w:val="21"/>
              </w:rPr>
              <w:t>《证券公司流动性风险管理指引》</w:t>
            </w:r>
          </w:p>
        </w:tc>
        <w:tc>
          <w:tcPr>
            <w:tcW w:w="2381" w:type="dxa"/>
            <w:vAlign w:val="center"/>
          </w:tcPr>
          <w:p w14:paraId="23124024" w14:textId="77777777" w:rsidR="0081336F" w:rsidRPr="0081336F" w:rsidRDefault="0081336F" w:rsidP="006E0597">
            <w:pPr>
              <w:pStyle w:val="13"/>
              <w:ind w:firstLineChars="0" w:firstLine="0"/>
              <w:rPr>
                <w:sz w:val="21"/>
                <w:szCs w:val="21"/>
              </w:rPr>
            </w:pPr>
            <w:proofErr w:type="gramStart"/>
            <w:r w:rsidRPr="0081336F">
              <w:rPr>
                <w:rFonts w:hint="eastAsia"/>
                <w:sz w:val="21"/>
                <w:szCs w:val="21"/>
              </w:rPr>
              <w:t>中证协发</w:t>
            </w:r>
            <w:proofErr w:type="gramEnd"/>
            <w:r w:rsidRPr="0081336F">
              <w:rPr>
                <w:rFonts w:hint="eastAsia"/>
                <w:sz w:val="21"/>
                <w:szCs w:val="21"/>
              </w:rPr>
              <w:t>〔2014〕36号</w:t>
            </w:r>
          </w:p>
        </w:tc>
      </w:tr>
      <w:tr w:rsidR="0081336F" w:rsidRPr="0081336F" w14:paraId="4FA4012F" w14:textId="77777777" w:rsidTr="006E0597">
        <w:tc>
          <w:tcPr>
            <w:tcW w:w="1129" w:type="dxa"/>
            <w:vAlign w:val="center"/>
          </w:tcPr>
          <w:p w14:paraId="62E1B0DE" w14:textId="77777777" w:rsidR="0081336F" w:rsidRPr="0081336F" w:rsidRDefault="0081336F" w:rsidP="006E0597">
            <w:pPr>
              <w:pStyle w:val="13"/>
              <w:ind w:firstLineChars="0" w:firstLine="0"/>
              <w:rPr>
                <w:sz w:val="21"/>
                <w:szCs w:val="21"/>
              </w:rPr>
            </w:pPr>
            <w:r w:rsidRPr="0081336F">
              <w:rPr>
                <w:rFonts w:hint="eastAsia"/>
                <w:sz w:val="21"/>
                <w:szCs w:val="21"/>
              </w:rPr>
              <w:t>保险公司</w:t>
            </w:r>
          </w:p>
        </w:tc>
        <w:tc>
          <w:tcPr>
            <w:tcW w:w="2127" w:type="dxa"/>
            <w:vAlign w:val="center"/>
          </w:tcPr>
          <w:p w14:paraId="074B280B" w14:textId="77777777" w:rsidR="0081336F" w:rsidRPr="0081336F" w:rsidRDefault="0081336F" w:rsidP="006E0597">
            <w:pPr>
              <w:pStyle w:val="13"/>
              <w:ind w:firstLineChars="0" w:firstLine="0"/>
              <w:rPr>
                <w:sz w:val="21"/>
                <w:szCs w:val="21"/>
              </w:rPr>
            </w:pPr>
            <w:r w:rsidRPr="0081336F">
              <w:rPr>
                <w:rFonts w:hint="eastAsia"/>
                <w:sz w:val="21"/>
                <w:szCs w:val="21"/>
              </w:rPr>
              <w:t>实际资本</w:t>
            </w:r>
          </w:p>
        </w:tc>
        <w:tc>
          <w:tcPr>
            <w:tcW w:w="3543" w:type="dxa"/>
            <w:vAlign w:val="center"/>
          </w:tcPr>
          <w:p w14:paraId="694BD6FB" w14:textId="77777777" w:rsidR="0081336F" w:rsidRPr="0081336F" w:rsidRDefault="0081336F" w:rsidP="006E0597">
            <w:pPr>
              <w:pStyle w:val="13"/>
              <w:ind w:firstLineChars="0" w:firstLine="0"/>
              <w:rPr>
                <w:sz w:val="21"/>
                <w:szCs w:val="21"/>
              </w:rPr>
            </w:pPr>
            <w:r w:rsidRPr="0081336F">
              <w:rPr>
                <w:rFonts w:hint="eastAsia"/>
                <w:sz w:val="21"/>
                <w:szCs w:val="21"/>
              </w:rPr>
              <w:t>《保险公司偿付能力报告编报规则第8号：实际资本》实务指南</w:t>
            </w:r>
          </w:p>
        </w:tc>
        <w:tc>
          <w:tcPr>
            <w:tcW w:w="2381" w:type="dxa"/>
            <w:vAlign w:val="center"/>
          </w:tcPr>
          <w:p w14:paraId="1D8342BD" w14:textId="77777777" w:rsidR="0081336F" w:rsidRPr="0081336F" w:rsidRDefault="0081336F" w:rsidP="006E0597">
            <w:pPr>
              <w:pStyle w:val="13"/>
              <w:ind w:firstLineChars="0" w:firstLine="0"/>
              <w:rPr>
                <w:sz w:val="21"/>
                <w:szCs w:val="21"/>
              </w:rPr>
            </w:pPr>
            <w:r w:rsidRPr="0081336F">
              <w:rPr>
                <w:rFonts w:hint="eastAsia"/>
                <w:sz w:val="21"/>
                <w:szCs w:val="21"/>
              </w:rPr>
              <w:t>保监会2006年4月18日公告</w:t>
            </w:r>
          </w:p>
        </w:tc>
      </w:tr>
      <w:tr w:rsidR="0081336F" w:rsidRPr="0081336F" w14:paraId="78AB722B" w14:textId="77777777" w:rsidTr="006E0597">
        <w:tc>
          <w:tcPr>
            <w:tcW w:w="1129" w:type="dxa"/>
            <w:vAlign w:val="center"/>
          </w:tcPr>
          <w:p w14:paraId="61CE4E93" w14:textId="77777777" w:rsidR="0081336F" w:rsidRPr="0081336F" w:rsidRDefault="0081336F" w:rsidP="006E0597">
            <w:pPr>
              <w:pStyle w:val="13"/>
              <w:ind w:firstLineChars="0" w:firstLine="0"/>
              <w:rPr>
                <w:sz w:val="21"/>
                <w:szCs w:val="21"/>
              </w:rPr>
            </w:pPr>
            <w:r w:rsidRPr="0081336F">
              <w:rPr>
                <w:rFonts w:hint="eastAsia"/>
                <w:sz w:val="21"/>
                <w:szCs w:val="21"/>
              </w:rPr>
              <w:t>保险公司</w:t>
            </w:r>
          </w:p>
        </w:tc>
        <w:tc>
          <w:tcPr>
            <w:tcW w:w="2127" w:type="dxa"/>
            <w:vAlign w:val="center"/>
          </w:tcPr>
          <w:p w14:paraId="42A949D3" w14:textId="77777777" w:rsidR="0081336F" w:rsidRPr="0081336F" w:rsidRDefault="0081336F" w:rsidP="006E0597">
            <w:pPr>
              <w:pStyle w:val="13"/>
              <w:ind w:firstLineChars="0" w:firstLine="0"/>
              <w:rPr>
                <w:sz w:val="21"/>
                <w:szCs w:val="21"/>
              </w:rPr>
            </w:pPr>
            <w:r w:rsidRPr="0081336F">
              <w:rPr>
                <w:rFonts w:hint="eastAsia"/>
                <w:sz w:val="21"/>
                <w:szCs w:val="21"/>
              </w:rPr>
              <w:t>最低资本</w:t>
            </w:r>
          </w:p>
        </w:tc>
        <w:tc>
          <w:tcPr>
            <w:tcW w:w="3543" w:type="dxa"/>
            <w:vAlign w:val="center"/>
          </w:tcPr>
          <w:p w14:paraId="7381F71F" w14:textId="77777777" w:rsidR="0081336F" w:rsidRPr="0081336F" w:rsidRDefault="0081336F" w:rsidP="006E0597">
            <w:pPr>
              <w:pStyle w:val="13"/>
              <w:ind w:firstLineChars="0" w:firstLine="0"/>
              <w:rPr>
                <w:sz w:val="21"/>
                <w:szCs w:val="21"/>
              </w:rPr>
            </w:pPr>
            <w:r w:rsidRPr="0081336F">
              <w:rPr>
                <w:rFonts w:hint="eastAsia"/>
                <w:sz w:val="21"/>
                <w:szCs w:val="21"/>
              </w:rPr>
              <w:t>关于实施《保险公司偿付能力管理规定》有关事项的通知</w:t>
            </w:r>
          </w:p>
        </w:tc>
        <w:tc>
          <w:tcPr>
            <w:tcW w:w="2381" w:type="dxa"/>
            <w:vAlign w:val="center"/>
          </w:tcPr>
          <w:p w14:paraId="5BF24770" w14:textId="77777777" w:rsidR="0081336F" w:rsidRPr="0081336F" w:rsidRDefault="0081336F" w:rsidP="006E0597">
            <w:pPr>
              <w:pStyle w:val="13"/>
              <w:ind w:firstLineChars="0" w:firstLine="0"/>
              <w:rPr>
                <w:sz w:val="21"/>
                <w:szCs w:val="21"/>
              </w:rPr>
            </w:pPr>
            <w:r w:rsidRPr="0081336F">
              <w:rPr>
                <w:sz w:val="21"/>
                <w:szCs w:val="21"/>
              </w:rPr>
              <w:t>保监发</w:t>
            </w:r>
            <w:r w:rsidRPr="0081336F">
              <w:rPr>
                <w:rFonts w:hint="eastAsia"/>
                <w:sz w:val="21"/>
                <w:szCs w:val="21"/>
              </w:rPr>
              <w:t>〔2008〕</w:t>
            </w:r>
            <w:r w:rsidRPr="0081336F">
              <w:rPr>
                <w:sz w:val="21"/>
                <w:szCs w:val="21"/>
              </w:rPr>
              <w:t>89号</w:t>
            </w:r>
          </w:p>
        </w:tc>
      </w:tr>
      <w:tr w:rsidR="0081336F" w:rsidRPr="0081336F" w14:paraId="3A05B32F" w14:textId="77777777" w:rsidTr="006E0597">
        <w:tc>
          <w:tcPr>
            <w:tcW w:w="1129" w:type="dxa"/>
            <w:vAlign w:val="center"/>
          </w:tcPr>
          <w:p w14:paraId="6447DDB2" w14:textId="77777777" w:rsidR="0081336F" w:rsidRPr="0081336F" w:rsidRDefault="0081336F" w:rsidP="006E0597">
            <w:pPr>
              <w:pStyle w:val="13"/>
              <w:ind w:firstLineChars="0" w:firstLine="0"/>
              <w:rPr>
                <w:sz w:val="21"/>
                <w:szCs w:val="21"/>
              </w:rPr>
            </w:pPr>
            <w:r w:rsidRPr="0081336F">
              <w:rPr>
                <w:rFonts w:hint="eastAsia"/>
                <w:sz w:val="21"/>
                <w:szCs w:val="21"/>
              </w:rPr>
              <w:t>保险公司</w:t>
            </w:r>
          </w:p>
        </w:tc>
        <w:tc>
          <w:tcPr>
            <w:tcW w:w="2127" w:type="dxa"/>
            <w:vAlign w:val="center"/>
          </w:tcPr>
          <w:p w14:paraId="3410DC18" w14:textId="77777777" w:rsidR="0081336F" w:rsidRPr="0081336F" w:rsidRDefault="0081336F" w:rsidP="006E0597">
            <w:pPr>
              <w:pStyle w:val="13"/>
              <w:ind w:firstLineChars="0" w:firstLine="0"/>
              <w:rPr>
                <w:sz w:val="21"/>
                <w:szCs w:val="21"/>
              </w:rPr>
            </w:pPr>
            <w:r w:rsidRPr="0081336F">
              <w:rPr>
                <w:rFonts w:hint="eastAsia"/>
                <w:sz w:val="21"/>
                <w:szCs w:val="21"/>
              </w:rPr>
              <w:t>偿付能力充足率</w:t>
            </w:r>
          </w:p>
        </w:tc>
        <w:tc>
          <w:tcPr>
            <w:tcW w:w="3543" w:type="dxa"/>
            <w:vAlign w:val="center"/>
          </w:tcPr>
          <w:p w14:paraId="05D843D0" w14:textId="77777777" w:rsidR="0081336F" w:rsidRPr="0081336F" w:rsidRDefault="0081336F" w:rsidP="006E0597">
            <w:pPr>
              <w:pStyle w:val="13"/>
              <w:ind w:firstLineChars="0" w:firstLine="0"/>
              <w:rPr>
                <w:sz w:val="21"/>
                <w:szCs w:val="21"/>
              </w:rPr>
            </w:pPr>
            <w:r w:rsidRPr="0081336F">
              <w:rPr>
                <w:rFonts w:hint="eastAsia"/>
                <w:sz w:val="21"/>
                <w:szCs w:val="21"/>
              </w:rPr>
              <w:t>《保险公司偿付能力管理规定》</w:t>
            </w:r>
          </w:p>
        </w:tc>
        <w:tc>
          <w:tcPr>
            <w:tcW w:w="2381" w:type="dxa"/>
            <w:vAlign w:val="center"/>
          </w:tcPr>
          <w:p w14:paraId="54AE33CA" w14:textId="77777777" w:rsidR="0081336F" w:rsidRPr="0081336F" w:rsidRDefault="0081336F" w:rsidP="006E0597">
            <w:pPr>
              <w:pStyle w:val="13"/>
              <w:ind w:firstLineChars="0" w:firstLine="0"/>
              <w:rPr>
                <w:sz w:val="21"/>
                <w:szCs w:val="21"/>
              </w:rPr>
            </w:pPr>
            <w:r w:rsidRPr="0081336F">
              <w:rPr>
                <w:sz w:val="21"/>
                <w:szCs w:val="21"/>
              </w:rPr>
              <w:t>保监会令</w:t>
            </w:r>
            <w:r w:rsidRPr="0081336F">
              <w:rPr>
                <w:rFonts w:hint="eastAsia"/>
                <w:sz w:val="21"/>
                <w:szCs w:val="21"/>
              </w:rPr>
              <w:t>〔2008〕</w:t>
            </w:r>
            <w:r w:rsidRPr="0081336F">
              <w:rPr>
                <w:sz w:val="21"/>
                <w:szCs w:val="21"/>
              </w:rPr>
              <w:t>1号</w:t>
            </w:r>
          </w:p>
        </w:tc>
      </w:tr>
      <w:tr w:rsidR="0081336F" w:rsidRPr="0081336F" w14:paraId="1B81EA97" w14:textId="77777777" w:rsidTr="006E0597">
        <w:tc>
          <w:tcPr>
            <w:tcW w:w="1129" w:type="dxa"/>
            <w:vAlign w:val="center"/>
          </w:tcPr>
          <w:p w14:paraId="07B7F402" w14:textId="77777777" w:rsidR="0081336F" w:rsidRPr="0081336F" w:rsidRDefault="0081336F" w:rsidP="006E0597">
            <w:pPr>
              <w:pStyle w:val="13"/>
              <w:ind w:firstLineChars="0" w:firstLine="0"/>
              <w:rPr>
                <w:sz w:val="21"/>
                <w:szCs w:val="21"/>
              </w:rPr>
            </w:pPr>
            <w:r w:rsidRPr="0081336F">
              <w:rPr>
                <w:rFonts w:hint="eastAsia"/>
                <w:sz w:val="21"/>
                <w:szCs w:val="21"/>
              </w:rPr>
              <w:t>保险公司</w:t>
            </w:r>
          </w:p>
        </w:tc>
        <w:tc>
          <w:tcPr>
            <w:tcW w:w="2127" w:type="dxa"/>
            <w:vAlign w:val="center"/>
          </w:tcPr>
          <w:p w14:paraId="3718B3B7" w14:textId="77777777" w:rsidR="0081336F" w:rsidRPr="0081336F" w:rsidRDefault="0081336F" w:rsidP="006E0597">
            <w:pPr>
              <w:pStyle w:val="13"/>
              <w:ind w:firstLineChars="0" w:firstLine="0"/>
              <w:rPr>
                <w:sz w:val="21"/>
                <w:szCs w:val="21"/>
              </w:rPr>
            </w:pPr>
            <w:r w:rsidRPr="0081336F">
              <w:rPr>
                <w:rFonts w:hint="eastAsia"/>
                <w:sz w:val="21"/>
                <w:szCs w:val="21"/>
              </w:rPr>
              <w:t>次级债</w:t>
            </w:r>
          </w:p>
        </w:tc>
        <w:tc>
          <w:tcPr>
            <w:tcW w:w="3543" w:type="dxa"/>
            <w:vAlign w:val="center"/>
          </w:tcPr>
          <w:p w14:paraId="49B335CB" w14:textId="77777777" w:rsidR="0081336F" w:rsidRPr="0081336F" w:rsidRDefault="0081336F" w:rsidP="006E0597">
            <w:pPr>
              <w:pStyle w:val="13"/>
              <w:ind w:firstLineChars="0" w:firstLine="0"/>
              <w:rPr>
                <w:sz w:val="21"/>
                <w:szCs w:val="21"/>
              </w:rPr>
            </w:pPr>
            <w:r w:rsidRPr="0081336F">
              <w:rPr>
                <w:rFonts w:hint="eastAsia"/>
                <w:sz w:val="21"/>
                <w:szCs w:val="21"/>
              </w:rPr>
              <w:t>《保险公司次级定期债务管理办法》</w:t>
            </w:r>
          </w:p>
        </w:tc>
        <w:tc>
          <w:tcPr>
            <w:tcW w:w="2381" w:type="dxa"/>
            <w:vAlign w:val="center"/>
          </w:tcPr>
          <w:p w14:paraId="7B237D11" w14:textId="77777777" w:rsidR="0081336F" w:rsidRPr="0081336F" w:rsidRDefault="0081336F" w:rsidP="006E0597">
            <w:pPr>
              <w:pStyle w:val="13"/>
              <w:ind w:firstLineChars="0" w:firstLine="0"/>
              <w:rPr>
                <w:sz w:val="21"/>
                <w:szCs w:val="21"/>
              </w:rPr>
            </w:pPr>
            <w:r w:rsidRPr="0081336F">
              <w:rPr>
                <w:sz w:val="21"/>
                <w:szCs w:val="21"/>
              </w:rPr>
              <w:t>保监会令</w:t>
            </w:r>
            <w:r w:rsidRPr="0081336F">
              <w:rPr>
                <w:rFonts w:hint="eastAsia"/>
                <w:sz w:val="21"/>
                <w:szCs w:val="21"/>
              </w:rPr>
              <w:t>〔2013〕5</w:t>
            </w:r>
            <w:r w:rsidRPr="0081336F">
              <w:rPr>
                <w:sz w:val="21"/>
                <w:szCs w:val="21"/>
              </w:rPr>
              <w:t>号</w:t>
            </w:r>
          </w:p>
        </w:tc>
      </w:tr>
      <w:tr w:rsidR="0081336F" w:rsidRPr="0081336F" w14:paraId="7AE890A5" w14:textId="77777777" w:rsidTr="006E0597">
        <w:tc>
          <w:tcPr>
            <w:tcW w:w="1129" w:type="dxa"/>
            <w:vAlign w:val="center"/>
          </w:tcPr>
          <w:p w14:paraId="62116E9B" w14:textId="77777777" w:rsidR="0081336F" w:rsidRPr="0081336F" w:rsidRDefault="0081336F" w:rsidP="006E0597">
            <w:pPr>
              <w:pStyle w:val="13"/>
              <w:ind w:firstLineChars="0" w:firstLine="0"/>
              <w:rPr>
                <w:sz w:val="21"/>
                <w:szCs w:val="21"/>
              </w:rPr>
            </w:pPr>
            <w:r w:rsidRPr="0081336F">
              <w:rPr>
                <w:rFonts w:hint="eastAsia"/>
                <w:sz w:val="21"/>
                <w:szCs w:val="21"/>
              </w:rPr>
              <w:t>保险公司</w:t>
            </w:r>
          </w:p>
        </w:tc>
        <w:tc>
          <w:tcPr>
            <w:tcW w:w="2127" w:type="dxa"/>
            <w:vAlign w:val="center"/>
          </w:tcPr>
          <w:p w14:paraId="51CD22A6" w14:textId="77777777" w:rsidR="0081336F" w:rsidRPr="0081336F" w:rsidRDefault="0081336F" w:rsidP="006E0597">
            <w:pPr>
              <w:pStyle w:val="13"/>
              <w:ind w:firstLineChars="0" w:firstLine="0"/>
              <w:rPr>
                <w:sz w:val="21"/>
                <w:szCs w:val="21"/>
              </w:rPr>
            </w:pPr>
            <w:r w:rsidRPr="0081336F">
              <w:rPr>
                <w:rFonts w:hint="eastAsia"/>
                <w:sz w:val="21"/>
                <w:szCs w:val="21"/>
              </w:rPr>
              <w:t>保证金</w:t>
            </w:r>
          </w:p>
        </w:tc>
        <w:tc>
          <w:tcPr>
            <w:tcW w:w="3543" w:type="dxa"/>
            <w:vAlign w:val="center"/>
          </w:tcPr>
          <w:p w14:paraId="45B71B30" w14:textId="77777777" w:rsidR="0081336F" w:rsidRPr="0081336F" w:rsidRDefault="0081336F" w:rsidP="006E0597">
            <w:pPr>
              <w:pStyle w:val="13"/>
              <w:ind w:firstLineChars="0" w:firstLine="0"/>
              <w:rPr>
                <w:sz w:val="21"/>
                <w:szCs w:val="21"/>
              </w:rPr>
            </w:pPr>
            <w:r w:rsidRPr="0081336F">
              <w:rPr>
                <w:rFonts w:hint="eastAsia"/>
                <w:sz w:val="21"/>
                <w:szCs w:val="21"/>
              </w:rPr>
              <w:t>《保险法》</w:t>
            </w:r>
          </w:p>
        </w:tc>
        <w:tc>
          <w:tcPr>
            <w:tcW w:w="2381" w:type="dxa"/>
            <w:vAlign w:val="center"/>
          </w:tcPr>
          <w:p w14:paraId="1C9AD4F6" w14:textId="77777777" w:rsidR="0081336F" w:rsidRPr="0081336F" w:rsidRDefault="0081336F" w:rsidP="006E0597">
            <w:pPr>
              <w:pStyle w:val="13"/>
              <w:ind w:firstLineChars="0" w:firstLine="0"/>
              <w:rPr>
                <w:sz w:val="21"/>
                <w:szCs w:val="21"/>
              </w:rPr>
            </w:pPr>
            <w:r w:rsidRPr="0081336F">
              <w:rPr>
                <w:sz w:val="21"/>
                <w:szCs w:val="21"/>
              </w:rPr>
              <w:t>2009年2月28日第十一届全国人民代表大会常务委员会第七次会议修订</w:t>
            </w:r>
          </w:p>
        </w:tc>
      </w:tr>
      <w:tr w:rsidR="0081336F" w:rsidRPr="0081336F" w14:paraId="27065E9F" w14:textId="77777777" w:rsidTr="006E0597">
        <w:tc>
          <w:tcPr>
            <w:tcW w:w="1129" w:type="dxa"/>
            <w:vAlign w:val="center"/>
          </w:tcPr>
          <w:p w14:paraId="4701FB62" w14:textId="77777777" w:rsidR="0081336F" w:rsidRPr="0081336F" w:rsidRDefault="0081336F" w:rsidP="006E0597">
            <w:pPr>
              <w:pStyle w:val="13"/>
              <w:ind w:firstLineChars="0" w:firstLine="0"/>
              <w:rPr>
                <w:sz w:val="21"/>
                <w:szCs w:val="21"/>
              </w:rPr>
            </w:pPr>
            <w:r w:rsidRPr="0081336F">
              <w:rPr>
                <w:rFonts w:hint="eastAsia"/>
                <w:sz w:val="21"/>
                <w:szCs w:val="21"/>
              </w:rPr>
              <w:t>保险公司</w:t>
            </w:r>
          </w:p>
        </w:tc>
        <w:tc>
          <w:tcPr>
            <w:tcW w:w="2127" w:type="dxa"/>
            <w:vAlign w:val="center"/>
          </w:tcPr>
          <w:p w14:paraId="3215B8BE" w14:textId="77777777" w:rsidR="0081336F" w:rsidRPr="0081336F" w:rsidRDefault="0081336F" w:rsidP="006E0597">
            <w:pPr>
              <w:pStyle w:val="13"/>
              <w:ind w:firstLineChars="0" w:firstLine="0"/>
              <w:rPr>
                <w:sz w:val="21"/>
                <w:szCs w:val="21"/>
              </w:rPr>
            </w:pPr>
            <w:r w:rsidRPr="0081336F">
              <w:rPr>
                <w:rFonts w:hint="eastAsia"/>
                <w:sz w:val="21"/>
                <w:szCs w:val="21"/>
              </w:rPr>
              <w:t>保险保障基金</w:t>
            </w:r>
          </w:p>
        </w:tc>
        <w:tc>
          <w:tcPr>
            <w:tcW w:w="3543" w:type="dxa"/>
            <w:vAlign w:val="center"/>
          </w:tcPr>
          <w:p w14:paraId="065D1836" w14:textId="77777777" w:rsidR="0081336F" w:rsidRPr="0081336F" w:rsidRDefault="0081336F" w:rsidP="006E0597">
            <w:pPr>
              <w:pStyle w:val="13"/>
              <w:ind w:firstLineChars="0" w:firstLine="0"/>
              <w:rPr>
                <w:sz w:val="21"/>
                <w:szCs w:val="21"/>
              </w:rPr>
            </w:pPr>
            <w:r w:rsidRPr="0081336F">
              <w:rPr>
                <w:rFonts w:hint="eastAsia"/>
                <w:sz w:val="21"/>
                <w:szCs w:val="21"/>
              </w:rPr>
              <w:t>《保险保障基金管理办法》</w:t>
            </w:r>
          </w:p>
        </w:tc>
        <w:tc>
          <w:tcPr>
            <w:tcW w:w="2381" w:type="dxa"/>
            <w:vAlign w:val="center"/>
          </w:tcPr>
          <w:p w14:paraId="3C767229" w14:textId="77777777" w:rsidR="0081336F" w:rsidRPr="0081336F" w:rsidRDefault="0081336F" w:rsidP="006E0597">
            <w:pPr>
              <w:pStyle w:val="13"/>
              <w:ind w:firstLineChars="0" w:firstLine="0"/>
              <w:rPr>
                <w:sz w:val="21"/>
                <w:szCs w:val="21"/>
              </w:rPr>
            </w:pPr>
            <w:r w:rsidRPr="0081336F">
              <w:rPr>
                <w:sz w:val="21"/>
                <w:szCs w:val="21"/>
              </w:rPr>
              <w:t>保监会令</w:t>
            </w:r>
            <w:r w:rsidRPr="0081336F">
              <w:rPr>
                <w:rFonts w:hint="eastAsia"/>
                <w:sz w:val="21"/>
                <w:szCs w:val="21"/>
              </w:rPr>
              <w:t>〔2008〕2</w:t>
            </w:r>
            <w:r w:rsidRPr="0081336F">
              <w:rPr>
                <w:sz w:val="21"/>
                <w:szCs w:val="21"/>
              </w:rPr>
              <w:t>号</w:t>
            </w:r>
          </w:p>
        </w:tc>
      </w:tr>
      <w:tr w:rsidR="0081336F" w:rsidRPr="0081336F" w14:paraId="710FB2AE" w14:textId="77777777" w:rsidTr="006E0597">
        <w:tc>
          <w:tcPr>
            <w:tcW w:w="1129" w:type="dxa"/>
            <w:vAlign w:val="center"/>
          </w:tcPr>
          <w:p w14:paraId="3A68B76E" w14:textId="77777777" w:rsidR="0081336F" w:rsidRPr="0081336F" w:rsidRDefault="0081336F" w:rsidP="006E0597">
            <w:pPr>
              <w:pStyle w:val="13"/>
              <w:ind w:firstLineChars="0" w:firstLine="0"/>
              <w:rPr>
                <w:sz w:val="21"/>
                <w:szCs w:val="21"/>
              </w:rPr>
            </w:pPr>
            <w:r w:rsidRPr="0081336F">
              <w:rPr>
                <w:rFonts w:hint="eastAsia"/>
                <w:sz w:val="21"/>
                <w:szCs w:val="21"/>
              </w:rPr>
              <w:t>保险公司</w:t>
            </w:r>
          </w:p>
        </w:tc>
        <w:tc>
          <w:tcPr>
            <w:tcW w:w="2127" w:type="dxa"/>
            <w:vAlign w:val="center"/>
          </w:tcPr>
          <w:p w14:paraId="5E51BD3E" w14:textId="77777777" w:rsidR="0081336F" w:rsidRPr="0081336F" w:rsidRDefault="0081336F" w:rsidP="006E0597">
            <w:pPr>
              <w:pStyle w:val="13"/>
              <w:ind w:firstLineChars="0" w:firstLine="0"/>
              <w:rPr>
                <w:sz w:val="21"/>
                <w:szCs w:val="21"/>
              </w:rPr>
            </w:pPr>
            <w:r w:rsidRPr="0081336F">
              <w:rPr>
                <w:rFonts w:hint="eastAsia"/>
                <w:sz w:val="21"/>
                <w:szCs w:val="21"/>
              </w:rPr>
              <w:t>综合成本率</w:t>
            </w:r>
          </w:p>
        </w:tc>
        <w:tc>
          <w:tcPr>
            <w:tcW w:w="3543" w:type="dxa"/>
            <w:vAlign w:val="center"/>
          </w:tcPr>
          <w:p w14:paraId="00D5DBE7" w14:textId="77777777" w:rsidR="0081336F" w:rsidRPr="0081336F" w:rsidRDefault="0081336F" w:rsidP="006E0597">
            <w:pPr>
              <w:pStyle w:val="13"/>
              <w:ind w:firstLineChars="0" w:firstLine="0"/>
              <w:rPr>
                <w:sz w:val="21"/>
                <w:szCs w:val="21"/>
              </w:rPr>
            </w:pPr>
            <w:r w:rsidRPr="0081336F">
              <w:rPr>
                <w:rFonts w:hint="eastAsia"/>
                <w:sz w:val="21"/>
                <w:szCs w:val="21"/>
              </w:rPr>
              <w:t>《保险公司偿付能力额度及监管指标管理规定》</w:t>
            </w:r>
          </w:p>
        </w:tc>
        <w:tc>
          <w:tcPr>
            <w:tcW w:w="2381" w:type="dxa"/>
            <w:vAlign w:val="center"/>
          </w:tcPr>
          <w:p w14:paraId="2761E15F" w14:textId="77777777" w:rsidR="0081336F" w:rsidRPr="0081336F" w:rsidRDefault="0081336F" w:rsidP="006E0597">
            <w:pPr>
              <w:pStyle w:val="13"/>
              <w:ind w:firstLineChars="0" w:firstLine="0"/>
              <w:rPr>
                <w:sz w:val="21"/>
                <w:szCs w:val="21"/>
              </w:rPr>
            </w:pPr>
            <w:r w:rsidRPr="0081336F">
              <w:rPr>
                <w:sz w:val="21"/>
                <w:szCs w:val="21"/>
              </w:rPr>
              <w:t>保监会令</w:t>
            </w:r>
            <w:r w:rsidRPr="0081336F">
              <w:rPr>
                <w:rFonts w:hint="eastAsia"/>
                <w:sz w:val="21"/>
                <w:szCs w:val="21"/>
              </w:rPr>
              <w:t>〔2003〕1</w:t>
            </w:r>
            <w:r w:rsidRPr="0081336F">
              <w:rPr>
                <w:sz w:val="21"/>
                <w:szCs w:val="21"/>
              </w:rPr>
              <w:t>号</w:t>
            </w:r>
          </w:p>
        </w:tc>
      </w:tr>
      <w:tr w:rsidR="0081336F" w:rsidRPr="0081336F" w14:paraId="19C76788" w14:textId="77777777" w:rsidTr="006E0597">
        <w:tc>
          <w:tcPr>
            <w:tcW w:w="1129" w:type="dxa"/>
            <w:vAlign w:val="center"/>
          </w:tcPr>
          <w:p w14:paraId="0246B942" w14:textId="77777777" w:rsidR="0081336F" w:rsidRPr="0081336F" w:rsidRDefault="0081336F" w:rsidP="006E0597">
            <w:pPr>
              <w:pStyle w:val="13"/>
              <w:ind w:firstLineChars="0" w:firstLine="0"/>
              <w:rPr>
                <w:sz w:val="21"/>
                <w:szCs w:val="21"/>
              </w:rPr>
            </w:pPr>
            <w:r w:rsidRPr="0081336F">
              <w:rPr>
                <w:rFonts w:hint="eastAsia"/>
                <w:sz w:val="21"/>
                <w:szCs w:val="21"/>
              </w:rPr>
              <w:t>保险公司</w:t>
            </w:r>
          </w:p>
        </w:tc>
        <w:tc>
          <w:tcPr>
            <w:tcW w:w="2127" w:type="dxa"/>
            <w:vAlign w:val="center"/>
          </w:tcPr>
          <w:p w14:paraId="6E3DD464" w14:textId="77777777" w:rsidR="0081336F" w:rsidRPr="0081336F" w:rsidRDefault="0081336F" w:rsidP="006E0597">
            <w:pPr>
              <w:pStyle w:val="13"/>
              <w:ind w:firstLineChars="0" w:firstLine="0"/>
              <w:rPr>
                <w:sz w:val="21"/>
                <w:szCs w:val="21"/>
              </w:rPr>
            </w:pPr>
            <w:r w:rsidRPr="0081336F">
              <w:rPr>
                <w:rFonts w:hint="eastAsia"/>
                <w:sz w:val="21"/>
                <w:szCs w:val="21"/>
              </w:rPr>
              <w:t>应收保费率</w:t>
            </w:r>
          </w:p>
        </w:tc>
        <w:tc>
          <w:tcPr>
            <w:tcW w:w="3543" w:type="dxa"/>
            <w:vAlign w:val="center"/>
          </w:tcPr>
          <w:p w14:paraId="550A021B" w14:textId="77777777" w:rsidR="0081336F" w:rsidRPr="0081336F" w:rsidRDefault="0081336F" w:rsidP="006E0597">
            <w:pPr>
              <w:pStyle w:val="13"/>
              <w:ind w:firstLineChars="0" w:firstLine="0"/>
              <w:rPr>
                <w:sz w:val="21"/>
                <w:szCs w:val="21"/>
              </w:rPr>
            </w:pPr>
            <w:r w:rsidRPr="0081336F">
              <w:rPr>
                <w:rFonts w:hint="eastAsia"/>
                <w:sz w:val="21"/>
                <w:szCs w:val="21"/>
              </w:rPr>
              <w:t>《保险公司偿付能力额度及监管指标管理规定》</w:t>
            </w:r>
          </w:p>
        </w:tc>
        <w:tc>
          <w:tcPr>
            <w:tcW w:w="2381" w:type="dxa"/>
            <w:vAlign w:val="center"/>
          </w:tcPr>
          <w:p w14:paraId="7BFFA770" w14:textId="77777777" w:rsidR="0081336F" w:rsidRPr="0081336F" w:rsidRDefault="0081336F" w:rsidP="006E0597">
            <w:pPr>
              <w:pStyle w:val="13"/>
              <w:ind w:firstLineChars="0" w:firstLine="0"/>
              <w:rPr>
                <w:sz w:val="21"/>
                <w:szCs w:val="21"/>
              </w:rPr>
            </w:pPr>
            <w:r w:rsidRPr="0081336F">
              <w:rPr>
                <w:sz w:val="21"/>
                <w:szCs w:val="21"/>
              </w:rPr>
              <w:t>保监会令</w:t>
            </w:r>
            <w:r w:rsidRPr="0081336F">
              <w:rPr>
                <w:rFonts w:hint="eastAsia"/>
                <w:sz w:val="21"/>
                <w:szCs w:val="21"/>
              </w:rPr>
              <w:t>〔2003〕1</w:t>
            </w:r>
            <w:r w:rsidRPr="0081336F">
              <w:rPr>
                <w:sz w:val="21"/>
                <w:szCs w:val="21"/>
              </w:rPr>
              <w:t>号</w:t>
            </w:r>
          </w:p>
        </w:tc>
      </w:tr>
      <w:tr w:rsidR="0081336F" w:rsidRPr="0081336F" w14:paraId="406E3E42" w14:textId="77777777" w:rsidTr="006E0597">
        <w:tc>
          <w:tcPr>
            <w:tcW w:w="1129" w:type="dxa"/>
            <w:vAlign w:val="center"/>
          </w:tcPr>
          <w:p w14:paraId="11DB78FE" w14:textId="77777777" w:rsidR="0081336F" w:rsidRPr="0081336F" w:rsidRDefault="0081336F" w:rsidP="006E0597">
            <w:pPr>
              <w:pStyle w:val="13"/>
              <w:ind w:firstLineChars="0" w:firstLine="0"/>
              <w:rPr>
                <w:sz w:val="21"/>
                <w:szCs w:val="21"/>
              </w:rPr>
            </w:pPr>
            <w:r w:rsidRPr="0081336F">
              <w:rPr>
                <w:rFonts w:hint="eastAsia"/>
                <w:sz w:val="21"/>
                <w:szCs w:val="21"/>
              </w:rPr>
              <w:t>保险公司</w:t>
            </w:r>
          </w:p>
        </w:tc>
        <w:tc>
          <w:tcPr>
            <w:tcW w:w="2127" w:type="dxa"/>
            <w:vAlign w:val="center"/>
          </w:tcPr>
          <w:p w14:paraId="2BBD5EAC" w14:textId="77777777" w:rsidR="0081336F" w:rsidRPr="0081336F" w:rsidRDefault="0081336F" w:rsidP="006E0597">
            <w:pPr>
              <w:pStyle w:val="13"/>
              <w:ind w:firstLineChars="0" w:firstLine="0"/>
              <w:rPr>
                <w:sz w:val="21"/>
                <w:szCs w:val="21"/>
              </w:rPr>
            </w:pPr>
            <w:r w:rsidRPr="0081336F">
              <w:rPr>
                <w:rFonts w:hint="eastAsia"/>
                <w:sz w:val="21"/>
                <w:szCs w:val="21"/>
              </w:rPr>
              <w:t>退保率</w:t>
            </w:r>
          </w:p>
        </w:tc>
        <w:tc>
          <w:tcPr>
            <w:tcW w:w="3543" w:type="dxa"/>
            <w:vAlign w:val="center"/>
          </w:tcPr>
          <w:p w14:paraId="1AE5C161" w14:textId="77777777" w:rsidR="0081336F" w:rsidRPr="0081336F" w:rsidRDefault="0081336F" w:rsidP="006E0597">
            <w:pPr>
              <w:pStyle w:val="13"/>
              <w:ind w:firstLineChars="0" w:firstLine="0"/>
              <w:rPr>
                <w:sz w:val="21"/>
                <w:szCs w:val="21"/>
              </w:rPr>
            </w:pPr>
            <w:r w:rsidRPr="0081336F">
              <w:rPr>
                <w:rFonts w:hint="eastAsia"/>
                <w:sz w:val="21"/>
                <w:szCs w:val="21"/>
              </w:rPr>
              <w:t>《保险公司偿付能力额度及监管指标管理规定》</w:t>
            </w:r>
          </w:p>
        </w:tc>
        <w:tc>
          <w:tcPr>
            <w:tcW w:w="2381" w:type="dxa"/>
            <w:vAlign w:val="center"/>
          </w:tcPr>
          <w:p w14:paraId="7B38785B" w14:textId="77777777" w:rsidR="0081336F" w:rsidRPr="0081336F" w:rsidRDefault="0081336F" w:rsidP="006E0597">
            <w:pPr>
              <w:pStyle w:val="13"/>
              <w:ind w:firstLineChars="0" w:firstLine="0"/>
              <w:rPr>
                <w:sz w:val="21"/>
                <w:szCs w:val="21"/>
              </w:rPr>
            </w:pPr>
            <w:r w:rsidRPr="0081336F">
              <w:rPr>
                <w:sz w:val="21"/>
                <w:szCs w:val="21"/>
              </w:rPr>
              <w:t>保监会令</w:t>
            </w:r>
            <w:r w:rsidRPr="0081336F">
              <w:rPr>
                <w:rFonts w:hint="eastAsia"/>
                <w:sz w:val="21"/>
                <w:szCs w:val="21"/>
              </w:rPr>
              <w:t>〔2003〕1</w:t>
            </w:r>
            <w:r w:rsidRPr="0081336F">
              <w:rPr>
                <w:sz w:val="21"/>
                <w:szCs w:val="21"/>
              </w:rPr>
              <w:t>号</w:t>
            </w:r>
          </w:p>
        </w:tc>
      </w:tr>
      <w:tr w:rsidR="0081336F" w:rsidRPr="0081336F" w14:paraId="181351A9" w14:textId="77777777" w:rsidTr="006E0597">
        <w:tc>
          <w:tcPr>
            <w:tcW w:w="1129" w:type="dxa"/>
            <w:vAlign w:val="center"/>
          </w:tcPr>
          <w:p w14:paraId="605745E9" w14:textId="77777777" w:rsidR="0081336F" w:rsidRPr="0081336F" w:rsidRDefault="0081336F" w:rsidP="006E0597">
            <w:pPr>
              <w:pStyle w:val="13"/>
              <w:ind w:firstLineChars="0" w:firstLine="0"/>
              <w:rPr>
                <w:sz w:val="21"/>
                <w:szCs w:val="21"/>
              </w:rPr>
            </w:pPr>
            <w:r w:rsidRPr="0081336F">
              <w:rPr>
                <w:rFonts w:hint="eastAsia"/>
                <w:sz w:val="21"/>
                <w:szCs w:val="21"/>
              </w:rPr>
              <w:t>信托公司</w:t>
            </w:r>
          </w:p>
        </w:tc>
        <w:tc>
          <w:tcPr>
            <w:tcW w:w="2127" w:type="dxa"/>
            <w:vAlign w:val="center"/>
          </w:tcPr>
          <w:p w14:paraId="0F21F6FB" w14:textId="77777777" w:rsidR="0081336F" w:rsidRPr="0081336F" w:rsidRDefault="0081336F" w:rsidP="006E0597">
            <w:pPr>
              <w:pStyle w:val="13"/>
              <w:ind w:firstLineChars="0" w:firstLine="0"/>
              <w:rPr>
                <w:sz w:val="21"/>
                <w:szCs w:val="21"/>
              </w:rPr>
            </w:pPr>
            <w:r w:rsidRPr="0081336F">
              <w:rPr>
                <w:rFonts w:hint="eastAsia"/>
                <w:sz w:val="21"/>
                <w:szCs w:val="21"/>
              </w:rPr>
              <w:t>净资本</w:t>
            </w:r>
          </w:p>
        </w:tc>
        <w:tc>
          <w:tcPr>
            <w:tcW w:w="3543" w:type="dxa"/>
            <w:vAlign w:val="center"/>
          </w:tcPr>
          <w:p w14:paraId="250CADE9" w14:textId="77777777" w:rsidR="0081336F" w:rsidRPr="0081336F" w:rsidRDefault="0081336F" w:rsidP="006E0597">
            <w:pPr>
              <w:pStyle w:val="13"/>
              <w:ind w:firstLineChars="0" w:firstLine="0"/>
              <w:rPr>
                <w:sz w:val="21"/>
                <w:szCs w:val="21"/>
              </w:rPr>
            </w:pPr>
            <w:r w:rsidRPr="0081336F">
              <w:rPr>
                <w:rFonts w:hint="eastAsia"/>
                <w:sz w:val="21"/>
                <w:szCs w:val="21"/>
              </w:rPr>
              <w:t>《信托公司净资本管理办法》</w:t>
            </w:r>
          </w:p>
        </w:tc>
        <w:tc>
          <w:tcPr>
            <w:tcW w:w="2381" w:type="dxa"/>
            <w:vAlign w:val="center"/>
          </w:tcPr>
          <w:p w14:paraId="72789C5B"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〔2010〕5</w:t>
            </w:r>
            <w:r w:rsidRPr="0081336F">
              <w:rPr>
                <w:sz w:val="21"/>
                <w:szCs w:val="21"/>
              </w:rPr>
              <w:t>号</w:t>
            </w:r>
          </w:p>
        </w:tc>
      </w:tr>
      <w:tr w:rsidR="0081336F" w:rsidRPr="0081336F" w14:paraId="4B64BE68" w14:textId="77777777" w:rsidTr="006E0597">
        <w:tc>
          <w:tcPr>
            <w:tcW w:w="1129" w:type="dxa"/>
            <w:vAlign w:val="center"/>
          </w:tcPr>
          <w:p w14:paraId="38308AF3" w14:textId="77777777" w:rsidR="0081336F" w:rsidRPr="0081336F" w:rsidRDefault="0081336F" w:rsidP="006E0597">
            <w:pPr>
              <w:pStyle w:val="13"/>
              <w:ind w:firstLineChars="0" w:firstLine="0"/>
              <w:rPr>
                <w:sz w:val="21"/>
                <w:szCs w:val="21"/>
              </w:rPr>
            </w:pPr>
            <w:r w:rsidRPr="0081336F">
              <w:rPr>
                <w:rFonts w:hint="eastAsia"/>
                <w:sz w:val="21"/>
                <w:szCs w:val="21"/>
              </w:rPr>
              <w:t>信托公司</w:t>
            </w:r>
          </w:p>
        </w:tc>
        <w:tc>
          <w:tcPr>
            <w:tcW w:w="2127" w:type="dxa"/>
            <w:vAlign w:val="center"/>
          </w:tcPr>
          <w:p w14:paraId="394F5BDA" w14:textId="77777777" w:rsidR="0081336F" w:rsidRPr="0081336F" w:rsidRDefault="0081336F" w:rsidP="006E0597">
            <w:pPr>
              <w:pStyle w:val="13"/>
              <w:ind w:firstLineChars="0" w:firstLine="0"/>
              <w:rPr>
                <w:sz w:val="21"/>
                <w:szCs w:val="21"/>
              </w:rPr>
            </w:pPr>
            <w:r w:rsidRPr="0081336F">
              <w:rPr>
                <w:rFonts w:hint="eastAsia"/>
                <w:sz w:val="21"/>
                <w:szCs w:val="21"/>
              </w:rPr>
              <w:t>风险资本</w:t>
            </w:r>
          </w:p>
        </w:tc>
        <w:tc>
          <w:tcPr>
            <w:tcW w:w="3543" w:type="dxa"/>
            <w:vAlign w:val="center"/>
          </w:tcPr>
          <w:p w14:paraId="3483904A" w14:textId="77777777" w:rsidR="0081336F" w:rsidRPr="0081336F" w:rsidRDefault="0081336F" w:rsidP="006E0597">
            <w:pPr>
              <w:pStyle w:val="13"/>
              <w:ind w:firstLineChars="0" w:firstLine="0"/>
              <w:rPr>
                <w:sz w:val="21"/>
                <w:szCs w:val="21"/>
              </w:rPr>
            </w:pPr>
            <w:r w:rsidRPr="0081336F">
              <w:rPr>
                <w:rFonts w:hint="eastAsia"/>
                <w:sz w:val="21"/>
                <w:szCs w:val="21"/>
              </w:rPr>
              <w:t>《信托公司净资本管理办法》</w:t>
            </w:r>
          </w:p>
        </w:tc>
        <w:tc>
          <w:tcPr>
            <w:tcW w:w="2381" w:type="dxa"/>
            <w:vAlign w:val="center"/>
          </w:tcPr>
          <w:p w14:paraId="36433569"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〔2010〕5</w:t>
            </w:r>
            <w:r w:rsidRPr="0081336F">
              <w:rPr>
                <w:sz w:val="21"/>
                <w:szCs w:val="21"/>
              </w:rPr>
              <w:t>号</w:t>
            </w:r>
          </w:p>
        </w:tc>
      </w:tr>
      <w:tr w:rsidR="0081336F" w:rsidRPr="0081336F" w14:paraId="7E20D3E1" w14:textId="77777777" w:rsidTr="006E0597">
        <w:tc>
          <w:tcPr>
            <w:tcW w:w="1129" w:type="dxa"/>
            <w:vAlign w:val="center"/>
          </w:tcPr>
          <w:p w14:paraId="72E97DA3" w14:textId="77777777" w:rsidR="0081336F" w:rsidRPr="0081336F" w:rsidRDefault="0081336F" w:rsidP="006E0597">
            <w:pPr>
              <w:pStyle w:val="13"/>
              <w:ind w:firstLineChars="0" w:firstLine="0"/>
              <w:rPr>
                <w:sz w:val="21"/>
                <w:szCs w:val="21"/>
              </w:rPr>
            </w:pPr>
            <w:r w:rsidRPr="0081336F">
              <w:rPr>
                <w:rFonts w:hint="eastAsia"/>
                <w:sz w:val="21"/>
                <w:szCs w:val="21"/>
              </w:rPr>
              <w:t>信托公司</w:t>
            </w:r>
          </w:p>
        </w:tc>
        <w:tc>
          <w:tcPr>
            <w:tcW w:w="2127" w:type="dxa"/>
            <w:vAlign w:val="center"/>
          </w:tcPr>
          <w:p w14:paraId="0285B89A" w14:textId="77777777" w:rsidR="0081336F" w:rsidRPr="0081336F" w:rsidRDefault="0081336F" w:rsidP="006E0597">
            <w:pPr>
              <w:pStyle w:val="13"/>
              <w:ind w:firstLineChars="0" w:firstLine="0"/>
              <w:rPr>
                <w:sz w:val="21"/>
                <w:szCs w:val="21"/>
              </w:rPr>
            </w:pPr>
            <w:r w:rsidRPr="0081336F">
              <w:rPr>
                <w:rFonts w:hint="eastAsia"/>
                <w:sz w:val="21"/>
                <w:szCs w:val="21"/>
              </w:rPr>
              <w:t>净资本/风险资本</w:t>
            </w:r>
          </w:p>
        </w:tc>
        <w:tc>
          <w:tcPr>
            <w:tcW w:w="3543" w:type="dxa"/>
            <w:vAlign w:val="center"/>
          </w:tcPr>
          <w:p w14:paraId="5F078C17" w14:textId="77777777" w:rsidR="0081336F" w:rsidRPr="0081336F" w:rsidRDefault="0081336F" w:rsidP="006E0597">
            <w:pPr>
              <w:pStyle w:val="13"/>
              <w:ind w:firstLineChars="0" w:firstLine="0"/>
              <w:rPr>
                <w:sz w:val="21"/>
                <w:szCs w:val="21"/>
              </w:rPr>
            </w:pPr>
            <w:r w:rsidRPr="0081336F">
              <w:rPr>
                <w:rFonts w:hint="eastAsia"/>
                <w:sz w:val="21"/>
                <w:szCs w:val="21"/>
              </w:rPr>
              <w:t>《信托公司净资本管理办法》</w:t>
            </w:r>
          </w:p>
        </w:tc>
        <w:tc>
          <w:tcPr>
            <w:tcW w:w="2381" w:type="dxa"/>
            <w:vAlign w:val="center"/>
          </w:tcPr>
          <w:p w14:paraId="3F962546"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〔2010〕5</w:t>
            </w:r>
            <w:r w:rsidRPr="0081336F">
              <w:rPr>
                <w:sz w:val="21"/>
                <w:szCs w:val="21"/>
              </w:rPr>
              <w:t>号</w:t>
            </w:r>
          </w:p>
        </w:tc>
      </w:tr>
      <w:tr w:rsidR="0081336F" w:rsidRPr="0081336F" w14:paraId="31E4DB96" w14:textId="77777777" w:rsidTr="006E0597">
        <w:tc>
          <w:tcPr>
            <w:tcW w:w="1129" w:type="dxa"/>
            <w:vAlign w:val="center"/>
          </w:tcPr>
          <w:p w14:paraId="4C6D5CB1" w14:textId="77777777" w:rsidR="0081336F" w:rsidRPr="0081336F" w:rsidRDefault="0081336F" w:rsidP="006E0597">
            <w:pPr>
              <w:pStyle w:val="13"/>
              <w:ind w:firstLineChars="0" w:firstLine="0"/>
              <w:rPr>
                <w:sz w:val="21"/>
                <w:szCs w:val="21"/>
              </w:rPr>
            </w:pPr>
            <w:r w:rsidRPr="0081336F">
              <w:rPr>
                <w:rFonts w:hint="eastAsia"/>
                <w:sz w:val="21"/>
                <w:szCs w:val="21"/>
              </w:rPr>
              <w:t>信托公司</w:t>
            </w:r>
          </w:p>
        </w:tc>
        <w:tc>
          <w:tcPr>
            <w:tcW w:w="2127" w:type="dxa"/>
            <w:vAlign w:val="center"/>
          </w:tcPr>
          <w:p w14:paraId="1A89D92E" w14:textId="77777777" w:rsidR="0081336F" w:rsidRPr="0081336F" w:rsidRDefault="0081336F" w:rsidP="006E0597">
            <w:pPr>
              <w:pStyle w:val="13"/>
              <w:ind w:firstLineChars="0" w:firstLine="0"/>
              <w:rPr>
                <w:sz w:val="21"/>
                <w:szCs w:val="21"/>
              </w:rPr>
            </w:pPr>
            <w:r w:rsidRPr="0081336F">
              <w:rPr>
                <w:rFonts w:hint="eastAsia"/>
                <w:sz w:val="21"/>
                <w:szCs w:val="21"/>
              </w:rPr>
              <w:t>净资本/净资产</w:t>
            </w:r>
          </w:p>
        </w:tc>
        <w:tc>
          <w:tcPr>
            <w:tcW w:w="3543" w:type="dxa"/>
            <w:vAlign w:val="center"/>
          </w:tcPr>
          <w:p w14:paraId="355D7C40" w14:textId="77777777" w:rsidR="0081336F" w:rsidRPr="0081336F" w:rsidRDefault="0081336F" w:rsidP="006E0597">
            <w:pPr>
              <w:pStyle w:val="13"/>
              <w:ind w:firstLineChars="0" w:firstLine="0"/>
              <w:rPr>
                <w:sz w:val="21"/>
                <w:szCs w:val="21"/>
              </w:rPr>
            </w:pPr>
            <w:r w:rsidRPr="0081336F">
              <w:rPr>
                <w:rFonts w:hint="eastAsia"/>
                <w:sz w:val="21"/>
                <w:szCs w:val="21"/>
              </w:rPr>
              <w:t>《信托公司净资本管理办法》</w:t>
            </w:r>
          </w:p>
        </w:tc>
        <w:tc>
          <w:tcPr>
            <w:tcW w:w="2381" w:type="dxa"/>
            <w:vAlign w:val="center"/>
          </w:tcPr>
          <w:p w14:paraId="5E74621D"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〔2010〕5</w:t>
            </w:r>
            <w:r w:rsidRPr="0081336F">
              <w:rPr>
                <w:sz w:val="21"/>
                <w:szCs w:val="21"/>
              </w:rPr>
              <w:t>号</w:t>
            </w:r>
          </w:p>
        </w:tc>
      </w:tr>
      <w:tr w:rsidR="0081336F" w:rsidRPr="0081336F" w14:paraId="469AB7E3" w14:textId="77777777" w:rsidTr="006E0597">
        <w:tc>
          <w:tcPr>
            <w:tcW w:w="1129" w:type="dxa"/>
            <w:vAlign w:val="center"/>
          </w:tcPr>
          <w:p w14:paraId="33C8D64B" w14:textId="77777777" w:rsidR="0081336F" w:rsidRPr="0081336F" w:rsidRDefault="0081336F" w:rsidP="006E0597">
            <w:pPr>
              <w:pStyle w:val="13"/>
              <w:ind w:firstLineChars="0" w:firstLine="0"/>
              <w:rPr>
                <w:sz w:val="21"/>
                <w:szCs w:val="21"/>
              </w:rPr>
            </w:pPr>
            <w:r w:rsidRPr="0081336F">
              <w:rPr>
                <w:rFonts w:hint="eastAsia"/>
                <w:sz w:val="21"/>
                <w:szCs w:val="21"/>
              </w:rPr>
              <w:t>信托公司</w:t>
            </w:r>
          </w:p>
        </w:tc>
        <w:tc>
          <w:tcPr>
            <w:tcW w:w="2127" w:type="dxa"/>
            <w:vAlign w:val="center"/>
          </w:tcPr>
          <w:p w14:paraId="3AD1DC0E" w14:textId="77777777" w:rsidR="0081336F" w:rsidRPr="0081336F" w:rsidRDefault="0081336F" w:rsidP="006E0597">
            <w:pPr>
              <w:pStyle w:val="13"/>
              <w:ind w:firstLineChars="0" w:firstLine="0"/>
              <w:rPr>
                <w:sz w:val="21"/>
                <w:szCs w:val="21"/>
              </w:rPr>
            </w:pPr>
            <w:r w:rsidRPr="0081336F">
              <w:rPr>
                <w:rFonts w:hint="eastAsia"/>
                <w:sz w:val="21"/>
                <w:szCs w:val="21"/>
              </w:rPr>
              <w:t>信托赔偿准备金</w:t>
            </w:r>
          </w:p>
        </w:tc>
        <w:tc>
          <w:tcPr>
            <w:tcW w:w="3543" w:type="dxa"/>
            <w:vAlign w:val="center"/>
          </w:tcPr>
          <w:p w14:paraId="1FF3D2A4" w14:textId="77777777" w:rsidR="0081336F" w:rsidRPr="0081336F" w:rsidRDefault="0081336F" w:rsidP="006E0597">
            <w:pPr>
              <w:pStyle w:val="13"/>
              <w:ind w:firstLineChars="0" w:firstLine="0"/>
              <w:rPr>
                <w:sz w:val="21"/>
                <w:szCs w:val="21"/>
              </w:rPr>
            </w:pPr>
            <w:r w:rsidRPr="0081336F">
              <w:rPr>
                <w:rFonts w:hint="eastAsia"/>
                <w:sz w:val="21"/>
                <w:szCs w:val="21"/>
              </w:rPr>
              <w:t>《信托公司管理办法》</w:t>
            </w:r>
          </w:p>
        </w:tc>
        <w:tc>
          <w:tcPr>
            <w:tcW w:w="2381" w:type="dxa"/>
            <w:vAlign w:val="center"/>
          </w:tcPr>
          <w:p w14:paraId="67E490FA"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〔2007〕2</w:t>
            </w:r>
            <w:r w:rsidRPr="0081336F">
              <w:rPr>
                <w:sz w:val="21"/>
                <w:szCs w:val="21"/>
              </w:rPr>
              <w:t>号</w:t>
            </w:r>
          </w:p>
        </w:tc>
      </w:tr>
      <w:tr w:rsidR="0081336F" w:rsidRPr="0081336F" w14:paraId="1031D276" w14:textId="77777777" w:rsidTr="006E0597">
        <w:tc>
          <w:tcPr>
            <w:tcW w:w="1129" w:type="dxa"/>
            <w:vMerge w:val="restart"/>
            <w:vAlign w:val="center"/>
          </w:tcPr>
          <w:p w14:paraId="388D5CFA" w14:textId="77777777" w:rsidR="0081336F" w:rsidRPr="0081336F" w:rsidRDefault="0081336F" w:rsidP="006E0597">
            <w:pPr>
              <w:pStyle w:val="13"/>
              <w:ind w:firstLineChars="0" w:firstLine="0"/>
              <w:rPr>
                <w:sz w:val="21"/>
                <w:szCs w:val="21"/>
              </w:rPr>
            </w:pPr>
            <w:r w:rsidRPr="0081336F">
              <w:rPr>
                <w:rFonts w:hint="eastAsia"/>
                <w:sz w:val="21"/>
                <w:szCs w:val="21"/>
              </w:rPr>
              <w:t>金融资产管理公司</w:t>
            </w:r>
          </w:p>
        </w:tc>
        <w:tc>
          <w:tcPr>
            <w:tcW w:w="2127" w:type="dxa"/>
            <w:vMerge w:val="restart"/>
            <w:vAlign w:val="center"/>
          </w:tcPr>
          <w:p w14:paraId="2234B0AC" w14:textId="77777777" w:rsidR="0081336F" w:rsidRPr="0081336F" w:rsidRDefault="0081336F" w:rsidP="006E0597">
            <w:pPr>
              <w:pStyle w:val="13"/>
              <w:ind w:firstLineChars="0" w:firstLine="0"/>
              <w:rPr>
                <w:sz w:val="21"/>
                <w:szCs w:val="21"/>
              </w:rPr>
            </w:pPr>
            <w:r w:rsidRPr="0081336F">
              <w:rPr>
                <w:rFonts w:hint="eastAsia"/>
                <w:sz w:val="21"/>
                <w:szCs w:val="21"/>
              </w:rPr>
              <w:t>最低资本、财务杠杆率、流动性比例</w:t>
            </w:r>
          </w:p>
        </w:tc>
        <w:tc>
          <w:tcPr>
            <w:tcW w:w="3543" w:type="dxa"/>
            <w:vAlign w:val="center"/>
          </w:tcPr>
          <w:p w14:paraId="5A6A85C2" w14:textId="77777777" w:rsidR="0081336F" w:rsidRPr="0081336F" w:rsidRDefault="0081336F" w:rsidP="006E0597">
            <w:pPr>
              <w:pStyle w:val="13"/>
              <w:ind w:firstLineChars="0" w:firstLine="0"/>
              <w:rPr>
                <w:sz w:val="21"/>
                <w:szCs w:val="21"/>
              </w:rPr>
            </w:pPr>
            <w:r w:rsidRPr="0081336F">
              <w:rPr>
                <w:rFonts w:hint="eastAsia"/>
                <w:sz w:val="21"/>
                <w:szCs w:val="21"/>
              </w:rPr>
              <w:t>《金融资产管理公司并表监管指引（试行）》</w:t>
            </w:r>
          </w:p>
        </w:tc>
        <w:tc>
          <w:tcPr>
            <w:tcW w:w="2381" w:type="dxa"/>
            <w:vAlign w:val="center"/>
          </w:tcPr>
          <w:p w14:paraId="439A440F" w14:textId="77777777" w:rsidR="0081336F" w:rsidRPr="0081336F" w:rsidRDefault="0081336F" w:rsidP="006E0597">
            <w:pPr>
              <w:pStyle w:val="13"/>
              <w:ind w:firstLineChars="0" w:firstLine="0"/>
              <w:rPr>
                <w:sz w:val="21"/>
                <w:szCs w:val="21"/>
              </w:rPr>
            </w:pPr>
            <w:r w:rsidRPr="0081336F">
              <w:rPr>
                <w:rFonts w:hint="eastAsia"/>
                <w:sz w:val="21"/>
                <w:szCs w:val="21"/>
              </w:rPr>
              <w:t>银监发〔2011〕20号</w:t>
            </w:r>
          </w:p>
        </w:tc>
      </w:tr>
      <w:tr w:rsidR="0081336F" w:rsidRPr="0081336F" w14:paraId="4415630F" w14:textId="77777777" w:rsidTr="006E0597">
        <w:tc>
          <w:tcPr>
            <w:tcW w:w="1129" w:type="dxa"/>
            <w:vMerge/>
            <w:vAlign w:val="center"/>
          </w:tcPr>
          <w:p w14:paraId="6263B8A1" w14:textId="77777777" w:rsidR="0081336F" w:rsidRPr="0081336F" w:rsidRDefault="0081336F" w:rsidP="006E0597">
            <w:pPr>
              <w:pStyle w:val="13"/>
              <w:ind w:firstLineChars="0" w:firstLine="0"/>
              <w:rPr>
                <w:b/>
                <w:bCs/>
                <w:sz w:val="21"/>
                <w:szCs w:val="21"/>
              </w:rPr>
            </w:pPr>
          </w:p>
        </w:tc>
        <w:tc>
          <w:tcPr>
            <w:tcW w:w="2127" w:type="dxa"/>
            <w:vMerge/>
            <w:vAlign w:val="center"/>
          </w:tcPr>
          <w:p w14:paraId="26AEE86F" w14:textId="77777777" w:rsidR="0081336F" w:rsidRPr="0081336F" w:rsidRDefault="0081336F" w:rsidP="006E0597">
            <w:pPr>
              <w:pStyle w:val="13"/>
              <w:ind w:firstLineChars="0" w:firstLine="0"/>
              <w:rPr>
                <w:b/>
                <w:bCs/>
                <w:sz w:val="21"/>
                <w:szCs w:val="21"/>
              </w:rPr>
            </w:pPr>
          </w:p>
        </w:tc>
        <w:tc>
          <w:tcPr>
            <w:tcW w:w="3543" w:type="dxa"/>
            <w:vAlign w:val="center"/>
          </w:tcPr>
          <w:p w14:paraId="1F17AC0A" w14:textId="77777777" w:rsidR="0081336F" w:rsidRPr="0081336F" w:rsidRDefault="0081336F" w:rsidP="006E0597">
            <w:pPr>
              <w:pStyle w:val="13"/>
              <w:ind w:firstLineChars="0" w:firstLine="0"/>
              <w:rPr>
                <w:sz w:val="21"/>
                <w:szCs w:val="21"/>
              </w:rPr>
            </w:pPr>
            <w:r w:rsidRPr="0081336F">
              <w:rPr>
                <w:rFonts w:hint="eastAsia"/>
                <w:sz w:val="21"/>
                <w:szCs w:val="21"/>
              </w:rPr>
              <w:t>《关于印发&lt;金融资产管理公司非现场监管报表指标体系（试行）&gt;的通知》</w:t>
            </w:r>
          </w:p>
        </w:tc>
        <w:tc>
          <w:tcPr>
            <w:tcW w:w="2381" w:type="dxa"/>
            <w:vAlign w:val="center"/>
          </w:tcPr>
          <w:p w14:paraId="6A2FBA92" w14:textId="77777777" w:rsidR="0081336F" w:rsidRPr="0081336F" w:rsidRDefault="0081336F" w:rsidP="006E0597">
            <w:pPr>
              <w:pStyle w:val="13"/>
              <w:ind w:firstLineChars="0" w:firstLine="0"/>
              <w:rPr>
                <w:sz w:val="21"/>
                <w:szCs w:val="21"/>
              </w:rPr>
            </w:pPr>
            <w:r w:rsidRPr="0081336F">
              <w:rPr>
                <w:rFonts w:hint="eastAsia"/>
                <w:sz w:val="21"/>
                <w:szCs w:val="21"/>
              </w:rPr>
              <w:t>银监办发〔2012〕153号</w:t>
            </w:r>
          </w:p>
        </w:tc>
      </w:tr>
      <w:tr w:rsidR="0081336F" w:rsidRPr="0081336F" w14:paraId="21B4B99D" w14:textId="77777777" w:rsidTr="006E0597">
        <w:tc>
          <w:tcPr>
            <w:tcW w:w="1129" w:type="dxa"/>
            <w:vAlign w:val="center"/>
          </w:tcPr>
          <w:p w14:paraId="0385FF22" w14:textId="77777777" w:rsidR="0081336F" w:rsidRPr="0081336F" w:rsidRDefault="0081336F" w:rsidP="006E0597">
            <w:pPr>
              <w:pStyle w:val="13"/>
              <w:ind w:firstLineChars="0" w:firstLine="0"/>
              <w:rPr>
                <w:sz w:val="21"/>
                <w:szCs w:val="21"/>
              </w:rPr>
            </w:pPr>
            <w:r w:rsidRPr="0081336F">
              <w:rPr>
                <w:rFonts w:hint="eastAsia"/>
                <w:sz w:val="21"/>
                <w:szCs w:val="21"/>
              </w:rPr>
              <w:t>金融租赁</w:t>
            </w:r>
            <w:r w:rsidRPr="0081336F">
              <w:rPr>
                <w:rFonts w:hint="eastAsia"/>
                <w:sz w:val="21"/>
                <w:szCs w:val="21"/>
              </w:rPr>
              <w:lastRenderedPageBreak/>
              <w:t>公司</w:t>
            </w:r>
          </w:p>
        </w:tc>
        <w:tc>
          <w:tcPr>
            <w:tcW w:w="2127" w:type="dxa"/>
            <w:vAlign w:val="center"/>
          </w:tcPr>
          <w:p w14:paraId="4699762C" w14:textId="77777777" w:rsidR="0081336F" w:rsidRPr="0081336F" w:rsidRDefault="0081336F" w:rsidP="006E0597">
            <w:pPr>
              <w:pStyle w:val="13"/>
              <w:ind w:firstLineChars="0" w:firstLine="0"/>
              <w:rPr>
                <w:sz w:val="21"/>
                <w:szCs w:val="21"/>
              </w:rPr>
            </w:pPr>
            <w:r w:rsidRPr="0081336F">
              <w:rPr>
                <w:rFonts w:hint="eastAsia"/>
                <w:sz w:val="21"/>
                <w:szCs w:val="21"/>
              </w:rPr>
              <w:lastRenderedPageBreak/>
              <w:t>资本充足率、同业拆</w:t>
            </w:r>
            <w:r w:rsidRPr="0081336F">
              <w:rPr>
                <w:rFonts w:hint="eastAsia"/>
                <w:sz w:val="21"/>
                <w:szCs w:val="21"/>
              </w:rPr>
              <w:lastRenderedPageBreak/>
              <w:t>借比例、固定收益类证券投资业务/资本净额</w:t>
            </w:r>
          </w:p>
        </w:tc>
        <w:tc>
          <w:tcPr>
            <w:tcW w:w="3543" w:type="dxa"/>
            <w:vAlign w:val="center"/>
          </w:tcPr>
          <w:p w14:paraId="08574004" w14:textId="77777777" w:rsidR="0081336F" w:rsidRPr="0081336F" w:rsidRDefault="0081336F" w:rsidP="006E0597">
            <w:pPr>
              <w:pStyle w:val="13"/>
              <w:ind w:firstLineChars="0" w:firstLine="0"/>
              <w:rPr>
                <w:sz w:val="21"/>
                <w:szCs w:val="21"/>
              </w:rPr>
            </w:pPr>
            <w:r w:rsidRPr="0081336F">
              <w:rPr>
                <w:rFonts w:hint="eastAsia"/>
                <w:sz w:val="21"/>
                <w:szCs w:val="21"/>
              </w:rPr>
              <w:lastRenderedPageBreak/>
              <w:t>《金融租赁公司管理办法》</w:t>
            </w:r>
          </w:p>
        </w:tc>
        <w:tc>
          <w:tcPr>
            <w:tcW w:w="2381" w:type="dxa"/>
            <w:vAlign w:val="center"/>
          </w:tcPr>
          <w:p w14:paraId="163F9E9D"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〔2014〕3</w:t>
            </w:r>
            <w:r w:rsidRPr="0081336F">
              <w:rPr>
                <w:sz w:val="21"/>
                <w:szCs w:val="21"/>
              </w:rPr>
              <w:t>号</w:t>
            </w:r>
          </w:p>
        </w:tc>
      </w:tr>
      <w:tr w:rsidR="0081336F" w:rsidRPr="0081336F" w14:paraId="51504FF0" w14:textId="77777777" w:rsidTr="006E0597">
        <w:tc>
          <w:tcPr>
            <w:tcW w:w="1129" w:type="dxa"/>
            <w:vAlign w:val="center"/>
          </w:tcPr>
          <w:p w14:paraId="2D4187F0" w14:textId="77777777" w:rsidR="0081336F" w:rsidRPr="0081336F" w:rsidRDefault="0081336F" w:rsidP="006E0597">
            <w:pPr>
              <w:pStyle w:val="13"/>
              <w:ind w:firstLineChars="0" w:firstLine="0"/>
              <w:rPr>
                <w:sz w:val="21"/>
                <w:szCs w:val="21"/>
              </w:rPr>
            </w:pPr>
            <w:r w:rsidRPr="0081336F">
              <w:rPr>
                <w:rFonts w:hint="eastAsia"/>
                <w:sz w:val="21"/>
                <w:szCs w:val="21"/>
              </w:rPr>
              <w:t>汽车金融公司</w:t>
            </w:r>
          </w:p>
        </w:tc>
        <w:tc>
          <w:tcPr>
            <w:tcW w:w="2127" w:type="dxa"/>
            <w:vAlign w:val="center"/>
          </w:tcPr>
          <w:p w14:paraId="4608DC1A" w14:textId="77777777" w:rsidR="0081336F" w:rsidRPr="0081336F" w:rsidRDefault="0081336F" w:rsidP="006E0597">
            <w:pPr>
              <w:pStyle w:val="13"/>
              <w:ind w:firstLineChars="0" w:firstLine="0"/>
              <w:rPr>
                <w:sz w:val="21"/>
                <w:szCs w:val="21"/>
              </w:rPr>
            </w:pPr>
            <w:r w:rsidRPr="0081336F">
              <w:rPr>
                <w:rFonts w:hint="eastAsia"/>
                <w:sz w:val="21"/>
                <w:szCs w:val="21"/>
              </w:rPr>
              <w:t>资本充足率、核心资本充足率、自用固定资产/资本净额</w:t>
            </w:r>
          </w:p>
        </w:tc>
        <w:tc>
          <w:tcPr>
            <w:tcW w:w="3543" w:type="dxa"/>
            <w:vAlign w:val="center"/>
          </w:tcPr>
          <w:p w14:paraId="5CF0AA16" w14:textId="77777777" w:rsidR="0081336F" w:rsidRPr="0081336F" w:rsidRDefault="0081336F" w:rsidP="006E0597">
            <w:pPr>
              <w:pStyle w:val="13"/>
              <w:ind w:firstLineChars="0" w:firstLine="0"/>
              <w:rPr>
                <w:sz w:val="21"/>
                <w:szCs w:val="21"/>
              </w:rPr>
            </w:pPr>
            <w:r w:rsidRPr="0081336F">
              <w:rPr>
                <w:rFonts w:hint="eastAsia"/>
                <w:sz w:val="21"/>
                <w:szCs w:val="21"/>
              </w:rPr>
              <w:t>《汽车金融公司管理办法》</w:t>
            </w:r>
          </w:p>
        </w:tc>
        <w:tc>
          <w:tcPr>
            <w:tcW w:w="2381" w:type="dxa"/>
            <w:vAlign w:val="center"/>
          </w:tcPr>
          <w:p w14:paraId="17B9E343"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〔2008〕1</w:t>
            </w:r>
            <w:r w:rsidRPr="0081336F">
              <w:rPr>
                <w:sz w:val="21"/>
                <w:szCs w:val="21"/>
              </w:rPr>
              <w:t>号</w:t>
            </w:r>
          </w:p>
        </w:tc>
      </w:tr>
      <w:tr w:rsidR="0081336F" w:rsidRPr="0081336F" w14:paraId="630EF29F" w14:textId="77777777" w:rsidTr="006E0597">
        <w:tc>
          <w:tcPr>
            <w:tcW w:w="1129" w:type="dxa"/>
            <w:vAlign w:val="center"/>
          </w:tcPr>
          <w:p w14:paraId="111798C9" w14:textId="77777777" w:rsidR="0081336F" w:rsidRPr="0081336F" w:rsidRDefault="0081336F" w:rsidP="006E0597">
            <w:pPr>
              <w:pStyle w:val="13"/>
              <w:ind w:firstLineChars="0" w:firstLine="0"/>
              <w:rPr>
                <w:sz w:val="21"/>
                <w:szCs w:val="21"/>
              </w:rPr>
            </w:pPr>
            <w:r w:rsidRPr="0081336F">
              <w:rPr>
                <w:rFonts w:hint="eastAsia"/>
                <w:sz w:val="21"/>
                <w:szCs w:val="21"/>
              </w:rPr>
              <w:t>消费金融公司</w:t>
            </w:r>
          </w:p>
        </w:tc>
        <w:tc>
          <w:tcPr>
            <w:tcW w:w="2127" w:type="dxa"/>
            <w:vAlign w:val="center"/>
          </w:tcPr>
          <w:p w14:paraId="514D0E64" w14:textId="77777777" w:rsidR="0081336F" w:rsidRPr="0081336F" w:rsidRDefault="0081336F" w:rsidP="006E0597">
            <w:pPr>
              <w:pStyle w:val="13"/>
              <w:ind w:firstLineChars="0" w:firstLine="0"/>
              <w:rPr>
                <w:sz w:val="21"/>
                <w:szCs w:val="21"/>
              </w:rPr>
            </w:pPr>
            <w:r w:rsidRPr="0081336F">
              <w:rPr>
                <w:rFonts w:hint="eastAsia"/>
                <w:sz w:val="21"/>
                <w:szCs w:val="21"/>
              </w:rPr>
              <w:t>资本充足率、同业拆入资金比例、资产损失准备充足率、投资余额/资本总额</w:t>
            </w:r>
          </w:p>
        </w:tc>
        <w:tc>
          <w:tcPr>
            <w:tcW w:w="3543" w:type="dxa"/>
            <w:vAlign w:val="center"/>
          </w:tcPr>
          <w:p w14:paraId="142DF516" w14:textId="77777777" w:rsidR="0081336F" w:rsidRPr="0081336F" w:rsidRDefault="0081336F" w:rsidP="006E0597">
            <w:pPr>
              <w:pStyle w:val="13"/>
              <w:ind w:firstLineChars="0" w:firstLine="0"/>
              <w:rPr>
                <w:sz w:val="21"/>
                <w:szCs w:val="21"/>
              </w:rPr>
            </w:pPr>
            <w:r w:rsidRPr="0081336F">
              <w:rPr>
                <w:rFonts w:hint="eastAsia"/>
                <w:sz w:val="21"/>
                <w:szCs w:val="21"/>
              </w:rPr>
              <w:t>《消费金融公司试点管理办法》</w:t>
            </w:r>
          </w:p>
        </w:tc>
        <w:tc>
          <w:tcPr>
            <w:tcW w:w="2381" w:type="dxa"/>
            <w:vAlign w:val="center"/>
          </w:tcPr>
          <w:p w14:paraId="42200FE7" w14:textId="77777777" w:rsidR="0081336F" w:rsidRPr="0081336F" w:rsidRDefault="0081336F" w:rsidP="006E0597">
            <w:pPr>
              <w:pStyle w:val="13"/>
              <w:ind w:firstLineChars="0" w:firstLine="0"/>
              <w:rPr>
                <w:sz w:val="21"/>
                <w:szCs w:val="21"/>
              </w:rPr>
            </w:pPr>
            <w:r w:rsidRPr="0081336F">
              <w:rPr>
                <w:sz w:val="21"/>
                <w:szCs w:val="21"/>
              </w:rPr>
              <w:t>银监会令</w:t>
            </w:r>
            <w:r w:rsidRPr="0081336F">
              <w:rPr>
                <w:rFonts w:hint="eastAsia"/>
                <w:sz w:val="21"/>
                <w:szCs w:val="21"/>
              </w:rPr>
              <w:t>〔2013〕2</w:t>
            </w:r>
            <w:r w:rsidRPr="0081336F">
              <w:rPr>
                <w:sz w:val="21"/>
                <w:szCs w:val="21"/>
              </w:rPr>
              <w:t>号</w:t>
            </w:r>
          </w:p>
        </w:tc>
      </w:tr>
      <w:tr w:rsidR="0081336F" w:rsidRPr="0081336F" w14:paraId="0A5F33C9" w14:textId="77777777" w:rsidTr="006E0597">
        <w:tc>
          <w:tcPr>
            <w:tcW w:w="1129" w:type="dxa"/>
            <w:vAlign w:val="center"/>
          </w:tcPr>
          <w:p w14:paraId="4F7EB892" w14:textId="77777777" w:rsidR="0081336F" w:rsidRPr="0081336F" w:rsidRDefault="0081336F" w:rsidP="006E0597">
            <w:pPr>
              <w:pStyle w:val="13"/>
              <w:ind w:firstLineChars="0" w:firstLine="0"/>
              <w:rPr>
                <w:sz w:val="21"/>
                <w:szCs w:val="21"/>
              </w:rPr>
            </w:pPr>
            <w:r w:rsidRPr="0081336F">
              <w:rPr>
                <w:rFonts w:hint="eastAsia"/>
                <w:sz w:val="21"/>
                <w:szCs w:val="21"/>
              </w:rPr>
              <w:t>期货公司</w:t>
            </w:r>
          </w:p>
        </w:tc>
        <w:tc>
          <w:tcPr>
            <w:tcW w:w="2127" w:type="dxa"/>
            <w:vAlign w:val="center"/>
          </w:tcPr>
          <w:p w14:paraId="4B7B87B7" w14:textId="77777777" w:rsidR="0081336F" w:rsidRPr="0081336F" w:rsidRDefault="0081336F" w:rsidP="006E0597">
            <w:pPr>
              <w:pStyle w:val="13"/>
              <w:ind w:firstLineChars="0" w:firstLine="0"/>
              <w:rPr>
                <w:sz w:val="21"/>
                <w:szCs w:val="21"/>
              </w:rPr>
            </w:pPr>
            <w:r w:rsidRPr="0081336F">
              <w:rPr>
                <w:rFonts w:hint="eastAsia"/>
                <w:sz w:val="21"/>
                <w:szCs w:val="21"/>
              </w:rPr>
              <w:t>净资本、净资本/风险资本准备、净资本/净资产、流动资产/流动负债、负债/净资产</w:t>
            </w:r>
          </w:p>
        </w:tc>
        <w:tc>
          <w:tcPr>
            <w:tcW w:w="3543" w:type="dxa"/>
            <w:vAlign w:val="center"/>
          </w:tcPr>
          <w:p w14:paraId="5D1246AE" w14:textId="5AA0E0F6" w:rsidR="0081336F" w:rsidRPr="0081336F" w:rsidRDefault="0081336F" w:rsidP="006E0597">
            <w:pPr>
              <w:pStyle w:val="13"/>
              <w:ind w:firstLineChars="0" w:firstLine="0"/>
              <w:rPr>
                <w:sz w:val="21"/>
                <w:szCs w:val="21"/>
              </w:rPr>
            </w:pPr>
            <w:r w:rsidRPr="0081336F">
              <w:rPr>
                <w:rFonts w:hint="eastAsia"/>
                <w:sz w:val="21"/>
                <w:szCs w:val="21"/>
              </w:rPr>
              <w:t>《关于修改〈期货公司风险监管指标管理试行办法〉的决定》修订）</w:t>
            </w:r>
          </w:p>
        </w:tc>
        <w:tc>
          <w:tcPr>
            <w:tcW w:w="2381" w:type="dxa"/>
            <w:vAlign w:val="center"/>
          </w:tcPr>
          <w:p w14:paraId="212E5AD4" w14:textId="6BCD149D" w:rsidR="0081336F" w:rsidRPr="0081336F" w:rsidRDefault="0081336F" w:rsidP="006E0597">
            <w:pPr>
              <w:pStyle w:val="13"/>
              <w:ind w:firstLineChars="0" w:firstLine="0"/>
              <w:rPr>
                <w:sz w:val="21"/>
                <w:szCs w:val="21"/>
              </w:rPr>
            </w:pPr>
            <w:r w:rsidRPr="0081336F">
              <w:rPr>
                <w:rFonts w:hint="eastAsia"/>
                <w:sz w:val="21"/>
                <w:szCs w:val="21"/>
              </w:rPr>
              <w:t>证监会公告〔2013〕12号</w:t>
            </w:r>
          </w:p>
        </w:tc>
      </w:tr>
    </w:tbl>
    <w:p w14:paraId="0152656A" w14:textId="77777777" w:rsidR="0081336F" w:rsidRPr="0081336F" w:rsidRDefault="0081336F" w:rsidP="0081336F">
      <w:pPr>
        <w:pStyle w:val="13"/>
      </w:pPr>
    </w:p>
    <w:p w14:paraId="3BC04ADF" w14:textId="1F8B8C5B" w:rsidR="009F27EE" w:rsidRDefault="009F27EE" w:rsidP="009F27EE">
      <w:pPr>
        <w:pStyle w:val="31"/>
        <w:spacing w:before="156" w:after="62"/>
      </w:pPr>
      <w:bookmarkStart w:id="51" w:name="_Toc81833331"/>
      <w:r>
        <w:rPr>
          <w:rFonts w:hint="eastAsia"/>
        </w:rPr>
        <w:t>资产评估专家指引第</w:t>
      </w:r>
      <w:r>
        <w:t>2号—金融企业首次公开发行上市资产评估方法选用</w:t>
      </w:r>
      <w:r>
        <w:br/>
        <w:t>（</w:t>
      </w:r>
      <w:proofErr w:type="gramStart"/>
      <w:r>
        <w:t>中评协</w:t>
      </w:r>
      <w:proofErr w:type="gramEnd"/>
      <w:r>
        <w:t>〔2015〕63号）</w:t>
      </w:r>
      <w:bookmarkEnd w:id="51"/>
    </w:p>
    <w:p w14:paraId="5B051BC3" w14:textId="77777777" w:rsidR="009F27EE" w:rsidRDefault="009F27EE" w:rsidP="009F27EE">
      <w:pPr>
        <w:pStyle w:val="13"/>
        <w:ind w:firstLineChars="0" w:firstLine="0"/>
      </w:pPr>
      <w:r>
        <w:rPr>
          <w:rFonts w:hint="eastAsia"/>
        </w:rPr>
        <w:t>各省、自治区、直辖市、计划单列市资产评估协会（注册会计师协会），具有证券评估业务资格的资产评估机构：</w:t>
      </w:r>
    </w:p>
    <w:p w14:paraId="6E06DE01" w14:textId="77777777" w:rsidR="009F27EE" w:rsidRDefault="009F27EE" w:rsidP="009F27EE">
      <w:pPr>
        <w:pStyle w:val="13"/>
      </w:pPr>
      <w:r>
        <w:rPr>
          <w:rFonts w:hint="eastAsia"/>
        </w:rPr>
        <w:t>为指导评估机构执行金融企业评估业务，提升评估行业服务质量，在财政部金融司指导下，中国资产评估协会组织专家制定了《资产评估专家指引第</w:t>
      </w:r>
      <w:r>
        <w:t xml:space="preserve"> 2号—金融企业首次公开发行上市资产评估方法选用》，现予以发布，供评估机构和资产评估</w:t>
      </w:r>
      <w:proofErr w:type="gramStart"/>
      <w:r>
        <w:t>师执行</w:t>
      </w:r>
      <w:proofErr w:type="gramEnd"/>
      <w:r>
        <w:t>金融企业评估业务时参考。</w:t>
      </w:r>
    </w:p>
    <w:p w14:paraId="187FC839" w14:textId="77777777" w:rsidR="009F27EE" w:rsidRDefault="009F27EE" w:rsidP="009F27EE">
      <w:pPr>
        <w:pStyle w:val="13"/>
      </w:pPr>
      <w:r>
        <w:rPr>
          <w:rFonts w:hint="eastAsia"/>
        </w:rPr>
        <w:t>专家指引由中国资产评估协会组织具有丰富理论和实践经验的专家进行起草。专家指引来自于专家自身经验和以往案例，是优秀评估实践的具体体现。但由于评估业务因不同经济行为、交易目的存在多样复杂的情况，专家指引可能会具有一定的局限性。因此，专家指引不作为执业的强制性标准。</w:t>
      </w:r>
    </w:p>
    <w:p w14:paraId="7930EFEC" w14:textId="77777777" w:rsidR="009F27EE" w:rsidRDefault="009F27EE" w:rsidP="009F27EE">
      <w:pPr>
        <w:pStyle w:val="13"/>
      </w:pPr>
      <w:r>
        <w:rPr>
          <w:rFonts w:hint="eastAsia"/>
        </w:rPr>
        <w:t>请各地</w:t>
      </w:r>
      <w:proofErr w:type="gramStart"/>
      <w:r>
        <w:rPr>
          <w:rFonts w:hint="eastAsia"/>
        </w:rPr>
        <w:t>方协会</w:t>
      </w:r>
      <w:proofErr w:type="gramEnd"/>
      <w:r>
        <w:rPr>
          <w:rFonts w:hint="eastAsia"/>
        </w:rPr>
        <w:t>将《资产评估专家指引第</w:t>
      </w:r>
      <w:r>
        <w:t xml:space="preserve"> 2号—金融企业首次公开发行上市资产评估方法选用》及时转发评估机构。</w:t>
      </w:r>
    </w:p>
    <w:p w14:paraId="657119EF" w14:textId="77777777" w:rsidR="009F27EE" w:rsidRDefault="009F27EE" w:rsidP="009F27EE">
      <w:pPr>
        <w:pStyle w:val="13"/>
        <w:jc w:val="right"/>
      </w:pPr>
      <w:r>
        <w:rPr>
          <w:rFonts w:hint="eastAsia"/>
        </w:rPr>
        <w:t>中国资产评估协会</w:t>
      </w:r>
    </w:p>
    <w:p w14:paraId="3EFCC090" w14:textId="56605F7C" w:rsidR="009F27EE" w:rsidRDefault="009F27EE" w:rsidP="009F27EE">
      <w:pPr>
        <w:pStyle w:val="13"/>
        <w:jc w:val="right"/>
      </w:pPr>
      <w:r>
        <w:t>2015</w:t>
      </w:r>
      <w:r w:rsidR="003068F8">
        <w:t>年</w:t>
      </w:r>
      <w:r>
        <w:t>7</w:t>
      </w:r>
      <w:r w:rsidR="003068F8">
        <w:t>月</w:t>
      </w:r>
      <w:r>
        <w:t>22</w:t>
      </w:r>
      <w:r w:rsidR="003068F8">
        <w:t>日</w:t>
      </w:r>
    </w:p>
    <w:p w14:paraId="07DCA889" w14:textId="30E91C1E" w:rsidR="009F27EE" w:rsidRPr="009F27EE" w:rsidRDefault="009F27EE" w:rsidP="00AF7342">
      <w:pPr>
        <w:pStyle w:val="a9"/>
        <w:spacing w:before="62" w:after="62"/>
      </w:pPr>
      <w:bookmarkStart w:id="52" w:name="_Toc332433906"/>
      <w:r w:rsidRPr="009F27EE">
        <w:rPr>
          <w:rFonts w:hint="eastAsia"/>
        </w:rPr>
        <w:lastRenderedPageBreak/>
        <w:t>资产评估专家指引第2号——金融企业首次公开发行上市资产评估方法选用</w:t>
      </w:r>
      <w:bookmarkEnd w:id="52"/>
    </w:p>
    <w:p w14:paraId="4F584EE6" w14:textId="77777777" w:rsidR="009F27EE" w:rsidRPr="009F27EE" w:rsidRDefault="009F27EE" w:rsidP="009F27EE">
      <w:pPr>
        <w:pStyle w:val="13"/>
      </w:pPr>
      <w:proofErr w:type="gramStart"/>
      <w:r w:rsidRPr="009F27EE">
        <w:rPr>
          <w:rFonts w:hint="eastAsia"/>
        </w:rPr>
        <w:t>本专家</w:t>
      </w:r>
      <w:proofErr w:type="gramEnd"/>
      <w:r w:rsidRPr="009F27EE">
        <w:rPr>
          <w:rFonts w:hint="eastAsia"/>
        </w:rPr>
        <w:t>指引是一种专家建议。评估机构执行资产评估业务，可以参照</w:t>
      </w:r>
      <w:proofErr w:type="gramStart"/>
      <w:r w:rsidRPr="009F27EE">
        <w:rPr>
          <w:rFonts w:hint="eastAsia"/>
        </w:rPr>
        <w:t>本专家</w:t>
      </w:r>
      <w:proofErr w:type="gramEnd"/>
      <w:r w:rsidRPr="009F27EE">
        <w:rPr>
          <w:rFonts w:hint="eastAsia"/>
        </w:rPr>
        <w:t>指引，也可以根据具体情况采用其他适当的做法。中国资产评估协会将根据业务发展，对</w:t>
      </w:r>
      <w:proofErr w:type="gramStart"/>
      <w:r w:rsidRPr="009F27EE">
        <w:rPr>
          <w:rFonts w:hint="eastAsia"/>
        </w:rPr>
        <w:t>本专家</w:t>
      </w:r>
      <w:proofErr w:type="gramEnd"/>
      <w:r w:rsidRPr="009F27EE">
        <w:rPr>
          <w:rFonts w:hint="eastAsia"/>
        </w:rPr>
        <w:t>指引进行更新。</w:t>
      </w:r>
    </w:p>
    <w:p w14:paraId="09D79C62" w14:textId="506FFA34" w:rsidR="009F27EE" w:rsidRPr="009F27EE" w:rsidRDefault="009F27EE" w:rsidP="00AF7342">
      <w:pPr>
        <w:pStyle w:val="a9"/>
        <w:spacing w:before="62" w:after="62"/>
      </w:pPr>
      <w:r w:rsidRPr="009F27EE">
        <w:rPr>
          <w:rFonts w:hint="eastAsia"/>
        </w:rPr>
        <w:t>第一章 适用范围</w:t>
      </w:r>
    </w:p>
    <w:p w14:paraId="2F971260" w14:textId="2B2B327A" w:rsidR="009F27EE" w:rsidRPr="009F27EE" w:rsidRDefault="009F27EE" w:rsidP="009F27EE">
      <w:pPr>
        <w:pStyle w:val="13"/>
      </w:pPr>
      <w:bookmarkStart w:id="53" w:name="_Toc380146010"/>
      <w:r w:rsidRPr="009F27EE">
        <w:rPr>
          <w:rFonts w:hint="eastAsia"/>
        </w:rPr>
        <w:t>根据</w:t>
      </w:r>
      <w:r w:rsidRPr="009F27EE">
        <w:t>《金融企业国有资产评估监督管理暂行办法》（财政部令第47号）</w:t>
      </w:r>
      <w:r w:rsidRPr="009F27EE">
        <w:rPr>
          <w:rFonts w:hint="eastAsia"/>
        </w:rPr>
        <w:t>的规定</w:t>
      </w:r>
      <w:r w:rsidR="00DA29FF">
        <w:t>，</w:t>
      </w:r>
      <w:r w:rsidRPr="009F27EE">
        <w:t>金融企业经批准拟在境内或者境外上市的经济行为涉及资产评估的，资产评估项目实行核准</w:t>
      </w:r>
      <w:r w:rsidRPr="009F27EE">
        <w:rPr>
          <w:rFonts w:hint="eastAsia"/>
        </w:rPr>
        <w:t>。为进一步提高金融企业首次公开发行上市资产评估方法选用的合理性，中国资产评估协会组织制定了</w:t>
      </w:r>
      <w:proofErr w:type="gramStart"/>
      <w:r w:rsidRPr="009F27EE">
        <w:rPr>
          <w:rFonts w:hint="eastAsia"/>
        </w:rPr>
        <w:t>本专家</w:t>
      </w:r>
      <w:proofErr w:type="gramEnd"/>
      <w:r w:rsidRPr="009F27EE">
        <w:rPr>
          <w:rFonts w:hint="eastAsia"/>
        </w:rPr>
        <w:t>指引。</w:t>
      </w:r>
      <w:bookmarkEnd w:id="53"/>
      <w:r w:rsidRPr="009F27EE">
        <w:rPr>
          <w:rFonts w:hint="eastAsia"/>
        </w:rPr>
        <w:t>金融企业到境外首次公开发行上市，还需考虑上市地是否存在特殊的证券监管要求，并</w:t>
      </w:r>
      <w:r w:rsidRPr="009F27EE">
        <w:t>采用</w:t>
      </w:r>
      <w:r w:rsidRPr="009F27EE">
        <w:rPr>
          <w:rFonts w:hint="eastAsia"/>
        </w:rPr>
        <w:t>符合</w:t>
      </w:r>
      <w:r w:rsidRPr="009F27EE">
        <w:t>其</w:t>
      </w:r>
      <w:r w:rsidRPr="009F27EE">
        <w:rPr>
          <w:rFonts w:hint="eastAsia"/>
        </w:rPr>
        <w:t>规定</w:t>
      </w:r>
      <w:r w:rsidRPr="009F27EE">
        <w:t>的做法。</w:t>
      </w:r>
    </w:p>
    <w:p w14:paraId="51A8BE3F" w14:textId="5C6F2ABE" w:rsidR="009F27EE" w:rsidRPr="009F27EE" w:rsidRDefault="009F27EE" w:rsidP="00AF7342">
      <w:pPr>
        <w:pStyle w:val="a9"/>
        <w:spacing w:before="62" w:after="62"/>
      </w:pPr>
      <w:bookmarkStart w:id="54" w:name="_Toc380146018"/>
      <w:r w:rsidRPr="009F27EE">
        <w:rPr>
          <w:rFonts w:hint="eastAsia"/>
        </w:rPr>
        <w:t xml:space="preserve">第二章 </w:t>
      </w:r>
      <w:bookmarkEnd w:id="54"/>
      <w:r w:rsidRPr="009F27EE">
        <w:rPr>
          <w:rFonts w:hint="eastAsia"/>
        </w:rPr>
        <w:t>影响评估方法选用的基本因素</w:t>
      </w:r>
    </w:p>
    <w:p w14:paraId="51975AC4" w14:textId="77777777" w:rsidR="009F27EE" w:rsidRPr="009F27EE" w:rsidRDefault="009F27EE" w:rsidP="009F27EE">
      <w:pPr>
        <w:pStyle w:val="13"/>
      </w:pPr>
      <w:bookmarkStart w:id="55" w:name="_Toc380146019"/>
      <w:r w:rsidRPr="009F27EE">
        <w:rPr>
          <w:rFonts w:hint="eastAsia"/>
        </w:rPr>
        <w:t>评估金融企业首次公开发行上市项目，需要根据评估对象、评估目的、价值类型、资料收集情况等相关条件，分析收益法、市场法和成本法（资产基础法）三种资产评估基本方法的适用性，恰当选择一种或者多种资产评估基本方法。同时，需要充分考虑金融企业首次公开发行上市评估业务的特点及其对评估方法运用的影响。</w:t>
      </w:r>
    </w:p>
    <w:p w14:paraId="3681EFEA" w14:textId="77777777" w:rsidR="009F27EE" w:rsidRPr="009F27EE" w:rsidRDefault="009F27EE" w:rsidP="009F27EE">
      <w:pPr>
        <w:pStyle w:val="13"/>
        <w:ind w:firstLine="482"/>
        <w:rPr>
          <w:b/>
          <w:bCs/>
        </w:rPr>
      </w:pPr>
      <w:r w:rsidRPr="009F27EE">
        <w:rPr>
          <w:rFonts w:hint="eastAsia"/>
          <w:b/>
          <w:bCs/>
        </w:rPr>
        <w:t>一、评估对象</w:t>
      </w:r>
      <w:bookmarkEnd w:id="55"/>
    </w:p>
    <w:p w14:paraId="31DDAE43" w14:textId="77777777" w:rsidR="009F27EE" w:rsidRPr="009F27EE" w:rsidRDefault="009F27EE" w:rsidP="009F27EE">
      <w:pPr>
        <w:pStyle w:val="13"/>
      </w:pPr>
      <w:r w:rsidRPr="009F27EE">
        <w:rPr>
          <w:rFonts w:hint="eastAsia"/>
        </w:rPr>
        <w:t>金融企业首次公开发行上市是指金融企业首次向社会公众公开发行证券，且随后该证券可以到证券交易所挂牌交易。金融企业首次公开发行上市实质是拟上市企业在一个特殊时点进行增资扩股，因此，评估对象是金融企业股东全部权益。</w:t>
      </w:r>
    </w:p>
    <w:p w14:paraId="20731A68" w14:textId="77777777" w:rsidR="009F27EE" w:rsidRPr="009F27EE" w:rsidRDefault="009F27EE" w:rsidP="009F27EE">
      <w:pPr>
        <w:pStyle w:val="13"/>
        <w:ind w:firstLine="482"/>
        <w:rPr>
          <w:b/>
          <w:bCs/>
        </w:rPr>
      </w:pPr>
      <w:bookmarkStart w:id="56" w:name="_Toc380146020"/>
      <w:r w:rsidRPr="009F27EE">
        <w:rPr>
          <w:rFonts w:hint="eastAsia"/>
          <w:b/>
          <w:bCs/>
        </w:rPr>
        <w:t>二、评估目的</w:t>
      </w:r>
      <w:bookmarkEnd w:id="56"/>
    </w:p>
    <w:p w14:paraId="7AC8C7FE" w14:textId="77777777" w:rsidR="009F27EE" w:rsidRPr="009F27EE" w:rsidRDefault="009F27EE" w:rsidP="009F27EE">
      <w:pPr>
        <w:pStyle w:val="13"/>
      </w:pPr>
      <w:r w:rsidRPr="009F27EE">
        <w:rPr>
          <w:rFonts w:hint="eastAsia"/>
        </w:rPr>
        <w:t>根据金融企业首次公开发行上市评估的需求分析及资产评估的功能定位，评估报告的作用是在拟上市企业进行新股询价和定价过程中，对企业的股东权益价值发表专业意见。因此，金融企业首次公开发行上市资产评估目的可以披露为：对</w:t>
      </w:r>
      <w:proofErr w:type="gramStart"/>
      <w:r w:rsidRPr="009F27EE">
        <w:rPr>
          <w:rFonts w:hint="eastAsia"/>
        </w:rPr>
        <w:t>拟首次</w:t>
      </w:r>
      <w:proofErr w:type="gramEnd"/>
      <w:r w:rsidRPr="009F27EE">
        <w:rPr>
          <w:rFonts w:hint="eastAsia"/>
        </w:rPr>
        <w:t>公开发行上市企业在评估基准日的股东全部权益进行评估，为国有出资人进行相关决策提供股东全部权益市场价值的参考依据，同时也可为发行人及其股东在新股定价和选择发行窗口期的过程中了解股东全部权益市场价值提供参考。</w:t>
      </w:r>
    </w:p>
    <w:p w14:paraId="03AD4EAB" w14:textId="77777777" w:rsidR="009F27EE" w:rsidRPr="009F27EE" w:rsidRDefault="009F27EE" w:rsidP="009F27EE">
      <w:pPr>
        <w:pStyle w:val="13"/>
      </w:pPr>
      <w:r w:rsidRPr="009F27EE">
        <w:rPr>
          <w:rFonts w:hint="eastAsia"/>
        </w:rPr>
        <w:t>关于金融企业首次公开发行上市评估目的，在评估实务中存在一些误解，</w:t>
      </w:r>
      <w:proofErr w:type="gramStart"/>
      <w:r w:rsidRPr="009F27EE">
        <w:rPr>
          <w:rFonts w:hint="eastAsia"/>
        </w:rPr>
        <w:t>本专家</w:t>
      </w:r>
      <w:proofErr w:type="gramEnd"/>
      <w:r w:rsidRPr="009F27EE">
        <w:rPr>
          <w:rFonts w:hint="eastAsia"/>
        </w:rPr>
        <w:t>指引澄清如下：</w:t>
      </w:r>
    </w:p>
    <w:p w14:paraId="2AAF9F1C" w14:textId="77777777" w:rsidR="009F27EE" w:rsidRPr="009F27EE" w:rsidRDefault="009F27EE" w:rsidP="009F27EE">
      <w:pPr>
        <w:pStyle w:val="13"/>
      </w:pPr>
      <w:r w:rsidRPr="009F27EE">
        <w:rPr>
          <w:rFonts w:hint="eastAsia"/>
        </w:rPr>
        <w:t>（一）评估目的不能等同于定价</w:t>
      </w:r>
    </w:p>
    <w:p w14:paraId="2E77B65C" w14:textId="77777777" w:rsidR="009F27EE" w:rsidRPr="009F27EE" w:rsidRDefault="009F27EE" w:rsidP="009F27EE">
      <w:pPr>
        <w:pStyle w:val="13"/>
      </w:pPr>
      <w:r w:rsidRPr="009F27EE">
        <w:rPr>
          <w:rFonts w:hint="eastAsia"/>
        </w:rPr>
        <w:t>所谓定价就是确定新股发行价格或确定新老股本对价水平。价格与价值既相联系又相区别，是两个不能等同的概念。由于价格的影响因素很多，所以资产评估提供的价值结论只是定价过程中需要考虑的主要因素之一，评估结论不应当被认为是对评估对象可实现价格的保证。</w:t>
      </w:r>
    </w:p>
    <w:p w14:paraId="419BC24F" w14:textId="77777777" w:rsidR="009F27EE" w:rsidRPr="009F27EE" w:rsidRDefault="009F27EE" w:rsidP="009F27EE">
      <w:pPr>
        <w:pStyle w:val="13"/>
      </w:pPr>
      <w:r w:rsidRPr="009F27EE">
        <w:rPr>
          <w:rFonts w:hint="eastAsia"/>
        </w:rPr>
        <w:lastRenderedPageBreak/>
        <w:t>评估结论可以为定价提供股东全部权益的市场价值的参考依据，但评估结论不一定等同于交易价格，即金融企业首次公开发行上市资产评估目的不是为了直接形成定价结论。</w:t>
      </w:r>
    </w:p>
    <w:p w14:paraId="0F7A3734" w14:textId="77777777" w:rsidR="009F27EE" w:rsidRPr="009F27EE" w:rsidRDefault="009F27EE" w:rsidP="009F27EE">
      <w:pPr>
        <w:pStyle w:val="13"/>
      </w:pPr>
      <w:r w:rsidRPr="009F27EE">
        <w:rPr>
          <w:rFonts w:hint="eastAsia"/>
        </w:rPr>
        <w:t>（二）评估目的不是为了确定发行底价</w:t>
      </w:r>
    </w:p>
    <w:p w14:paraId="5EA48BF2" w14:textId="77777777" w:rsidR="009F27EE" w:rsidRPr="009F27EE" w:rsidRDefault="009F27EE" w:rsidP="009F27EE">
      <w:pPr>
        <w:pStyle w:val="13"/>
      </w:pPr>
      <w:r w:rsidRPr="009F27EE">
        <w:rPr>
          <w:rFonts w:hint="eastAsia"/>
        </w:rPr>
        <w:t>在股票市场整体股价水平长期偏离并低于股票价值的情况下，发行价格通常会低于股东全部权益的市场价值，即评估结论可能高于股票发行价格，此时，评估结论显然不可能成为发行底价。</w:t>
      </w:r>
    </w:p>
    <w:p w14:paraId="6999BCBF" w14:textId="77777777" w:rsidR="009F27EE" w:rsidRPr="009F27EE" w:rsidRDefault="009F27EE" w:rsidP="009F27EE">
      <w:pPr>
        <w:pStyle w:val="13"/>
      </w:pPr>
      <w:r w:rsidRPr="009F27EE">
        <w:rPr>
          <w:rFonts w:hint="eastAsia"/>
        </w:rPr>
        <w:t>反之，在股票市场整体股价水平长期偏离并高于股票价值的情况下，发行价格可能显著高于股东全部权益的市场价值，此时评估结论虽然可以成为发行底价，但是对政府监管部门来说，这样的底价无法起到防止国有资产流失的目的，对发行人及其股东来说，这样的底价对股票发行的参考意义也不大。</w:t>
      </w:r>
    </w:p>
    <w:p w14:paraId="49EAD290" w14:textId="77777777" w:rsidR="009F27EE" w:rsidRPr="009F27EE" w:rsidRDefault="009F27EE" w:rsidP="009F27EE">
      <w:pPr>
        <w:pStyle w:val="13"/>
      </w:pPr>
      <w:r w:rsidRPr="009F27EE">
        <w:rPr>
          <w:rFonts w:hint="eastAsia"/>
        </w:rPr>
        <w:t>所以，金融企业首次公开发行上市资产评估目的不是用于确定发行底价。</w:t>
      </w:r>
    </w:p>
    <w:p w14:paraId="509CBCB9" w14:textId="77777777" w:rsidR="009F27EE" w:rsidRPr="009F27EE" w:rsidRDefault="009F27EE" w:rsidP="009F27EE">
      <w:pPr>
        <w:pStyle w:val="13"/>
      </w:pPr>
      <w:r w:rsidRPr="009F27EE">
        <w:rPr>
          <w:rFonts w:hint="eastAsia"/>
        </w:rPr>
        <w:t>（三）公众投资者不是评估报告当然的使用者</w:t>
      </w:r>
    </w:p>
    <w:p w14:paraId="2800D9F4" w14:textId="77777777" w:rsidR="009F27EE" w:rsidRPr="009F27EE" w:rsidRDefault="009F27EE" w:rsidP="009F27EE">
      <w:pPr>
        <w:pStyle w:val="13"/>
      </w:pPr>
      <w:r w:rsidRPr="009F27EE">
        <w:rPr>
          <w:rFonts w:hint="eastAsia"/>
        </w:rPr>
        <w:t>评估报告使用者包括委托方、业务约定书中约定的其他评估报告使用者和国家法律、法规规定的评估报告使用者。证券监督管理部门没有强制要求金融企业首次公开发行上市过程中必须进行资产评估。公众投资者一般不会成为业务约定书中约定的报告使用者，也没有相关的法律、法规规定公众投资者是法律、法规规定的评估报告使用者。其他阅读评估报告的第三方不能由于使用了该报告的结论产生损失而对资产评估师进行起诉。</w:t>
      </w:r>
      <w:bookmarkStart w:id="57" w:name="_Toc380146021"/>
    </w:p>
    <w:p w14:paraId="43B629D3" w14:textId="77777777" w:rsidR="009F27EE" w:rsidRPr="009F27EE" w:rsidRDefault="009F27EE" w:rsidP="009F27EE">
      <w:pPr>
        <w:pStyle w:val="13"/>
        <w:ind w:firstLine="482"/>
        <w:rPr>
          <w:b/>
          <w:bCs/>
        </w:rPr>
      </w:pPr>
      <w:r w:rsidRPr="009F27EE">
        <w:rPr>
          <w:rFonts w:hint="eastAsia"/>
          <w:b/>
          <w:bCs/>
        </w:rPr>
        <w:t>三、价值类型</w:t>
      </w:r>
      <w:bookmarkEnd w:id="57"/>
    </w:p>
    <w:p w14:paraId="3E6F68BB" w14:textId="77777777" w:rsidR="009F27EE" w:rsidRPr="009F27EE" w:rsidRDefault="009F27EE" w:rsidP="009F27EE">
      <w:pPr>
        <w:pStyle w:val="13"/>
      </w:pPr>
      <w:r w:rsidRPr="009F27EE">
        <w:rPr>
          <w:rFonts w:hint="eastAsia"/>
        </w:rPr>
        <w:t>以持续经营为假设前提的金融企业价值评估，适用的价值类型主要是市场价值和投资价值。市场价值是指自愿买方和自愿卖方在各自理性行事且未受任何强迫的情况下，评估对象在评估基准日进行正常公平交易的价值估计数额。投资价值是指评估对象对于具有明确投资目标的特定投资者或者某一类投资者所具有的价值估计数额，亦称特定投资者价值。</w:t>
      </w:r>
    </w:p>
    <w:p w14:paraId="5311A90C" w14:textId="77777777" w:rsidR="009F27EE" w:rsidRPr="009F27EE" w:rsidRDefault="009F27EE" w:rsidP="009F27EE">
      <w:pPr>
        <w:pStyle w:val="13"/>
      </w:pPr>
      <w:r w:rsidRPr="009F27EE">
        <w:rPr>
          <w:rFonts w:hint="eastAsia"/>
        </w:rPr>
        <w:t>投资价值适用于具有明确投资目标的特定投资者或者某一类投资者，市场价值广泛适用于市场上一般投资者。考虑到金融企业首次公开发行上市的评估报告使用者虽然是出资人、发行人及其股东，但发行对象一般涉及公众投资者，因此，一般情况下不适宜选用投资价值。</w:t>
      </w:r>
    </w:p>
    <w:p w14:paraId="678F0667" w14:textId="77777777" w:rsidR="009F27EE" w:rsidRPr="009F27EE" w:rsidRDefault="009F27EE" w:rsidP="009F27EE">
      <w:pPr>
        <w:pStyle w:val="13"/>
      </w:pPr>
      <w:r w:rsidRPr="009F27EE">
        <w:rPr>
          <w:rFonts w:hint="eastAsia"/>
        </w:rPr>
        <w:t>关于金融企业首次公开发行上市评估的价值类型，在评估实务中存在一些误解，</w:t>
      </w:r>
      <w:proofErr w:type="gramStart"/>
      <w:r w:rsidRPr="009F27EE">
        <w:rPr>
          <w:rFonts w:hint="eastAsia"/>
        </w:rPr>
        <w:t>本专家</w:t>
      </w:r>
      <w:proofErr w:type="gramEnd"/>
      <w:r w:rsidRPr="009F27EE">
        <w:rPr>
          <w:rFonts w:hint="eastAsia"/>
        </w:rPr>
        <w:t>指引澄清如下：</w:t>
      </w:r>
    </w:p>
    <w:p w14:paraId="74F57D79" w14:textId="77777777" w:rsidR="009F27EE" w:rsidRPr="009F27EE" w:rsidRDefault="009F27EE" w:rsidP="009F27EE">
      <w:pPr>
        <w:pStyle w:val="13"/>
      </w:pPr>
      <w:r w:rsidRPr="009F27EE">
        <w:rPr>
          <w:rFonts w:hint="eastAsia"/>
        </w:rPr>
        <w:t>（一）内在价值不是资产评估准则规范的价值类型。有观点认为金融企业首次公开发行上市的价值类型是内在价值。根据国内外现有的评估准则，资产评估的价值类型中没有这种提法。内在价值的提出，参考了投资银行的专业术语。投资银行将收益</w:t>
      </w:r>
      <w:r w:rsidRPr="009F27EE">
        <w:rPr>
          <w:rFonts w:hint="eastAsia"/>
        </w:rPr>
        <w:lastRenderedPageBreak/>
        <w:t>法估值结果界定为内在价值，将市场法评估结论界定为市场价值，这样理解价值类型与评估方法之间的关系，与资产评估准则相关表述不相符。因此，不建议采用内在价值的提法。</w:t>
      </w:r>
    </w:p>
    <w:p w14:paraId="08DB85EB" w14:textId="77777777" w:rsidR="009F27EE" w:rsidRPr="009F27EE" w:rsidRDefault="009F27EE" w:rsidP="009F27EE">
      <w:pPr>
        <w:pStyle w:val="13"/>
      </w:pPr>
      <w:r w:rsidRPr="009F27EE">
        <w:rPr>
          <w:rFonts w:hint="eastAsia"/>
        </w:rPr>
        <w:t>（二）即使考虑了首次公开发行上市募集资金的影响，价值类型仍然可能是市场价值。有观点认为考虑首次公开发行上市募集资金影响就是投资价值。在市场价值的范畴内考虑首次公开发行上市募集资金影响，实质是对资本规模及结构的假设，并未涉及到价值类型的变更。</w:t>
      </w:r>
    </w:p>
    <w:p w14:paraId="68AD3EB1" w14:textId="77777777" w:rsidR="009F27EE" w:rsidRPr="009F27EE" w:rsidRDefault="009F27EE" w:rsidP="009F27EE">
      <w:pPr>
        <w:pStyle w:val="13"/>
        <w:ind w:firstLine="482"/>
        <w:rPr>
          <w:b/>
          <w:bCs/>
        </w:rPr>
      </w:pPr>
      <w:r w:rsidRPr="009F27EE">
        <w:rPr>
          <w:rFonts w:hint="eastAsia"/>
          <w:b/>
          <w:bCs/>
        </w:rPr>
        <w:t>四、评估条件</w:t>
      </w:r>
    </w:p>
    <w:p w14:paraId="594B0097" w14:textId="77777777" w:rsidR="009F27EE" w:rsidRPr="009F27EE" w:rsidRDefault="009F27EE" w:rsidP="009F27EE">
      <w:pPr>
        <w:pStyle w:val="13"/>
      </w:pPr>
      <w:r w:rsidRPr="009F27EE">
        <w:rPr>
          <w:rFonts w:hint="eastAsia"/>
        </w:rPr>
        <w:t>金融企业首次公开发行上市评估资料收集情况等相关条件，需要重点关注发行窗口的要求。</w:t>
      </w:r>
    </w:p>
    <w:p w14:paraId="2D627719" w14:textId="77777777" w:rsidR="009F27EE" w:rsidRPr="009F27EE" w:rsidRDefault="009F27EE" w:rsidP="009F27EE">
      <w:pPr>
        <w:pStyle w:val="13"/>
      </w:pPr>
      <w:r w:rsidRPr="009F27EE">
        <w:rPr>
          <w:rFonts w:hint="eastAsia"/>
        </w:rPr>
        <w:t>（一）评估资料收集情况</w:t>
      </w:r>
    </w:p>
    <w:p w14:paraId="357FD68B" w14:textId="77777777" w:rsidR="009F27EE" w:rsidRPr="009F27EE" w:rsidRDefault="009F27EE" w:rsidP="009F27EE">
      <w:pPr>
        <w:pStyle w:val="13"/>
      </w:pPr>
      <w:r w:rsidRPr="009F27EE">
        <w:rPr>
          <w:rFonts w:hint="eastAsia"/>
        </w:rPr>
        <w:t>金融企业首次公开发行上市评估需要收集的资料较多，选择评估方法时需要考虑时间的紧迫性。采用资产基础法评估需要企业配合填报大量评估明细表，资料收集时间比较长，一般难以满足首次公开发行上市的时间需求。采用收益法和市场法评估时，收集资料的时间相对较短，有利于评估工作的推进。</w:t>
      </w:r>
    </w:p>
    <w:p w14:paraId="045671E2" w14:textId="77777777" w:rsidR="009F27EE" w:rsidRPr="009F27EE" w:rsidRDefault="009F27EE" w:rsidP="009F27EE">
      <w:pPr>
        <w:pStyle w:val="13"/>
      </w:pPr>
      <w:r w:rsidRPr="009F27EE">
        <w:rPr>
          <w:rFonts w:hint="eastAsia"/>
        </w:rPr>
        <w:t>（二）评估结论的有效期</w:t>
      </w:r>
    </w:p>
    <w:p w14:paraId="035BA759" w14:textId="77777777" w:rsidR="009F27EE" w:rsidRPr="009F27EE" w:rsidRDefault="009F27EE" w:rsidP="009F27EE">
      <w:pPr>
        <w:pStyle w:val="13"/>
      </w:pPr>
      <w:r w:rsidRPr="009F27EE">
        <w:rPr>
          <w:rFonts w:hint="eastAsia"/>
        </w:rPr>
        <w:t>有观点认为如果在首次公开发行上市过程中采用市场法评估，由于发行窗口的存在，会在客观上缩短评估结论的有效期。如果从评估基准日至发行日之间股价波动较大，可能需要调整评估基准日重新评估。但是，也有观点认为如果评估结论的价值类型为市场价值，即使可比企业股票交易价格出现较大波动，评估结论也不应在短时间内出现较大变化。</w:t>
      </w:r>
    </w:p>
    <w:p w14:paraId="6E2FB64E" w14:textId="77777777" w:rsidR="009F27EE" w:rsidRPr="009F27EE" w:rsidRDefault="009F27EE" w:rsidP="009F27EE">
      <w:pPr>
        <w:pStyle w:val="13"/>
      </w:pPr>
      <w:r w:rsidRPr="009F27EE">
        <w:rPr>
          <w:rFonts w:hint="eastAsia"/>
        </w:rPr>
        <w:t>综合以上两种观点，</w:t>
      </w:r>
      <w:proofErr w:type="gramStart"/>
      <w:r w:rsidRPr="009F27EE">
        <w:rPr>
          <w:rFonts w:hint="eastAsia"/>
        </w:rPr>
        <w:t>本专家</w:t>
      </w:r>
      <w:proofErr w:type="gramEnd"/>
      <w:r w:rsidRPr="009F27EE">
        <w:rPr>
          <w:rFonts w:hint="eastAsia"/>
        </w:rPr>
        <w:t>指引建议资产评估师在采用市场法评估首次公开发行上市项目时，一定要关注所选择的可比上市公司股票交易价格的代表性和合理性。另外，用于定价目的的股票发行价格估计数，通常只在发行窗口期内有参考意义，但是，金融企业首次公开发行上市评估报告提供的评估结论不是股票发行价格，而是股东权益的市场价值，因此，评估结论有效期不需要做出特殊规定。</w:t>
      </w:r>
    </w:p>
    <w:p w14:paraId="3771B849" w14:textId="77777777" w:rsidR="009F27EE" w:rsidRPr="009F27EE" w:rsidRDefault="009F27EE" w:rsidP="009F27EE">
      <w:pPr>
        <w:pStyle w:val="13"/>
        <w:ind w:firstLine="482"/>
        <w:rPr>
          <w:b/>
          <w:bCs/>
        </w:rPr>
      </w:pPr>
      <w:bookmarkStart w:id="58" w:name="_Toc380146024"/>
      <w:r w:rsidRPr="009F27EE">
        <w:rPr>
          <w:rFonts w:hint="eastAsia"/>
          <w:b/>
          <w:bCs/>
        </w:rPr>
        <w:t>五、</w:t>
      </w:r>
      <w:bookmarkEnd w:id="58"/>
      <w:r w:rsidRPr="009F27EE">
        <w:rPr>
          <w:rFonts w:hint="eastAsia"/>
          <w:b/>
          <w:bCs/>
        </w:rPr>
        <w:t>评估假设</w:t>
      </w:r>
    </w:p>
    <w:p w14:paraId="20B79C5E" w14:textId="77777777" w:rsidR="009F27EE" w:rsidRPr="009F27EE" w:rsidRDefault="009F27EE" w:rsidP="009F27EE">
      <w:pPr>
        <w:pStyle w:val="13"/>
      </w:pPr>
      <w:r w:rsidRPr="009F27EE">
        <w:rPr>
          <w:rFonts w:hint="eastAsia"/>
        </w:rPr>
        <w:t>金融企业首次公开发行上市资产评估项目中的评估假设，需要重点关注募集资金的处理方式。</w:t>
      </w:r>
    </w:p>
    <w:p w14:paraId="3EF67F71" w14:textId="77777777" w:rsidR="009F27EE" w:rsidRPr="009F27EE" w:rsidRDefault="009F27EE" w:rsidP="009F27EE">
      <w:pPr>
        <w:pStyle w:val="13"/>
      </w:pPr>
      <w:r w:rsidRPr="009F27EE">
        <w:rPr>
          <w:rFonts w:hint="eastAsia"/>
        </w:rPr>
        <w:t>(</w:t>
      </w:r>
      <w:proofErr w:type="gramStart"/>
      <w:r w:rsidRPr="009F27EE">
        <w:rPr>
          <w:rFonts w:hint="eastAsia"/>
        </w:rPr>
        <w:t>一</w:t>
      </w:r>
      <w:proofErr w:type="gramEnd"/>
      <w:r w:rsidRPr="009F27EE">
        <w:rPr>
          <w:rFonts w:hint="eastAsia"/>
        </w:rPr>
        <w:t>)收益法</w:t>
      </w:r>
    </w:p>
    <w:p w14:paraId="1183DBDC" w14:textId="77777777" w:rsidR="009F27EE" w:rsidRPr="009F27EE" w:rsidRDefault="009F27EE" w:rsidP="009F27EE">
      <w:pPr>
        <w:pStyle w:val="13"/>
      </w:pPr>
      <w:r w:rsidRPr="009F27EE">
        <w:rPr>
          <w:rFonts w:hint="eastAsia"/>
        </w:rPr>
        <w:t>首次公开发行上市都伴随着资金募集的经济行为。金融企业首次公开发行上市募集资金的用途主要有两类，其一是补充资本金以满足资本监管要求；其二是在没有资本监管压力的情况下进行扩大再生产。</w:t>
      </w:r>
    </w:p>
    <w:p w14:paraId="0A96372E" w14:textId="77777777" w:rsidR="009F27EE" w:rsidRPr="009F27EE" w:rsidRDefault="009F27EE" w:rsidP="009F27EE">
      <w:pPr>
        <w:pStyle w:val="13"/>
      </w:pPr>
      <w:r w:rsidRPr="009F27EE">
        <w:rPr>
          <w:rFonts w:hint="eastAsia"/>
        </w:rPr>
        <w:t>1.评估实务中的传统做法</w:t>
      </w:r>
    </w:p>
    <w:p w14:paraId="3FCF924A" w14:textId="77777777" w:rsidR="009F27EE" w:rsidRPr="009F27EE" w:rsidRDefault="009F27EE" w:rsidP="009F27EE">
      <w:pPr>
        <w:pStyle w:val="13"/>
      </w:pPr>
      <w:r w:rsidRPr="009F27EE">
        <w:rPr>
          <w:rFonts w:hint="eastAsia"/>
        </w:rPr>
        <w:lastRenderedPageBreak/>
        <w:t>在金融企业非首次公开发行上市评估项目中，一般不考虑没有明确投资计划和筹资渠道的扩大再生产，但是为了满足持续经营的假设，都要按照最低资本要求，以增资扩股或发行次级债等方式考虑必要的新增资本投入。</w:t>
      </w:r>
    </w:p>
    <w:p w14:paraId="192BEBAA" w14:textId="77777777" w:rsidR="009F27EE" w:rsidRPr="009F27EE" w:rsidRDefault="009F27EE" w:rsidP="009F27EE">
      <w:pPr>
        <w:pStyle w:val="13"/>
      </w:pPr>
      <w:r w:rsidRPr="009F27EE">
        <w:rPr>
          <w:rFonts w:hint="eastAsia"/>
        </w:rPr>
        <w:t>2.评估实务中的不同观点</w:t>
      </w:r>
    </w:p>
    <w:p w14:paraId="44FC96E0" w14:textId="77777777" w:rsidR="009F27EE" w:rsidRPr="009F27EE" w:rsidRDefault="009F27EE" w:rsidP="009F27EE">
      <w:pPr>
        <w:pStyle w:val="13"/>
      </w:pPr>
      <w:r w:rsidRPr="009F27EE">
        <w:rPr>
          <w:rFonts w:hint="eastAsia"/>
        </w:rPr>
        <w:t>有观点认为，金融企业首次公开发行上市能够获得大规模的募集资金是这种经济行为的一个特点，也是一种机会价值，如果评估时不考虑募集资金带来的有利影响，则体现不出首次公开发行上市与其他经济行为的区别，会低估股东权益价值。</w:t>
      </w:r>
    </w:p>
    <w:p w14:paraId="2934D91B" w14:textId="77777777" w:rsidR="009F27EE" w:rsidRPr="009F27EE" w:rsidRDefault="009F27EE" w:rsidP="009F27EE">
      <w:pPr>
        <w:pStyle w:val="13"/>
      </w:pPr>
      <w:r w:rsidRPr="009F27EE">
        <w:rPr>
          <w:rFonts w:hint="eastAsia"/>
        </w:rPr>
        <w:t>也有观点认为，其他经济行为也可能使企业获得新的股本金，但评估时通常也没有考虑经济行为实现后新股本的贡献。况且，企业首次公开发行上市募集资金存在不确定因素，比如是否能够成功上市，是否能够按照预期价格和发行规模募集到资金，在评估时还无法确定，如果考虑募集资金的影响，一是在操作上有一定难度，进而会影响到评估结论的准确性，二是与其他经济行为的评估项目相比，会因为做出了不同的假设而导致股东权益价值高估。因此，关于追加资本的投入，需要比照金融企业非首次公开发行上市评估项目的处理办法，即只考虑满足最低资本要求的新增资本投入。</w:t>
      </w:r>
    </w:p>
    <w:p w14:paraId="6B79B074" w14:textId="77777777" w:rsidR="009F27EE" w:rsidRPr="009F27EE" w:rsidRDefault="009F27EE" w:rsidP="009F27EE">
      <w:pPr>
        <w:pStyle w:val="13"/>
      </w:pPr>
      <w:r w:rsidRPr="009F27EE">
        <w:rPr>
          <w:rFonts w:hint="eastAsia"/>
        </w:rPr>
        <w:t>3.</w:t>
      </w:r>
      <w:proofErr w:type="gramStart"/>
      <w:r w:rsidRPr="009F27EE">
        <w:rPr>
          <w:rFonts w:hint="eastAsia"/>
        </w:rPr>
        <w:t>本专家</w:t>
      </w:r>
      <w:proofErr w:type="gramEnd"/>
      <w:r w:rsidRPr="009F27EE">
        <w:rPr>
          <w:rFonts w:hint="eastAsia"/>
        </w:rPr>
        <w:t>指引给出的建议</w:t>
      </w:r>
    </w:p>
    <w:p w14:paraId="36735591" w14:textId="77777777" w:rsidR="009F27EE" w:rsidRPr="009F27EE" w:rsidRDefault="009F27EE" w:rsidP="009F27EE">
      <w:pPr>
        <w:pStyle w:val="13"/>
      </w:pPr>
      <w:r w:rsidRPr="009F27EE">
        <w:rPr>
          <w:rFonts w:hint="eastAsia"/>
        </w:rPr>
        <w:t>（1）委托方对评估目的的理解和对评估报告的用途决定评估假设的设定。</w:t>
      </w:r>
    </w:p>
    <w:p w14:paraId="01A6663C" w14:textId="77777777" w:rsidR="009F27EE" w:rsidRPr="009F27EE" w:rsidRDefault="009F27EE" w:rsidP="009F27EE">
      <w:pPr>
        <w:pStyle w:val="13"/>
      </w:pPr>
      <w:r w:rsidRPr="009F27EE">
        <w:rPr>
          <w:rFonts w:hint="eastAsia"/>
        </w:rPr>
        <w:t>如果委托方要求遵循金融企业评估一贯的假设原则，则在金融企业首次公开发行上市评估项目中不需要考虑募集资金的影响。</w:t>
      </w:r>
    </w:p>
    <w:p w14:paraId="67ACB501" w14:textId="77777777" w:rsidR="009F27EE" w:rsidRPr="009F27EE" w:rsidRDefault="009F27EE" w:rsidP="009F27EE">
      <w:pPr>
        <w:pStyle w:val="13"/>
      </w:pPr>
      <w:r w:rsidRPr="009F27EE">
        <w:rPr>
          <w:rFonts w:hint="eastAsia"/>
        </w:rPr>
        <w:t>如果委托方要求评估和定价所遵循的假设前提要保持一致，则需要在金融企业首次公开发行上市评估项目中考虑募集资金的影响。因为股票</w:t>
      </w:r>
      <w:proofErr w:type="gramStart"/>
      <w:r w:rsidRPr="009F27EE">
        <w:rPr>
          <w:rFonts w:hint="eastAsia"/>
        </w:rPr>
        <w:t>发行前拟上市</w:t>
      </w:r>
      <w:proofErr w:type="gramEnd"/>
      <w:r w:rsidRPr="009F27EE">
        <w:rPr>
          <w:rFonts w:hint="eastAsia"/>
        </w:rPr>
        <w:t>公司已经公开了募集资金的预计规模和用途，股票发行价格中已经包含了对募集资金的相关预期。如果评估报告使用者需要在考虑了募集资金影响的相同前提下对比评估结论和定价结果的异同，则评估报告需要满足评估报告使用者的需求。</w:t>
      </w:r>
    </w:p>
    <w:p w14:paraId="67A8E3D1" w14:textId="77777777" w:rsidR="009F27EE" w:rsidRPr="009F27EE" w:rsidRDefault="009F27EE" w:rsidP="009F27EE">
      <w:pPr>
        <w:pStyle w:val="13"/>
      </w:pPr>
      <w:r w:rsidRPr="009F27EE">
        <w:rPr>
          <w:rFonts w:hint="eastAsia"/>
        </w:rPr>
        <w:t>（2）</w:t>
      </w:r>
      <w:proofErr w:type="gramStart"/>
      <w:r w:rsidRPr="009F27EE">
        <w:rPr>
          <w:rFonts w:hint="eastAsia"/>
        </w:rPr>
        <w:t>当考虑</w:t>
      </w:r>
      <w:proofErr w:type="gramEnd"/>
      <w:r w:rsidRPr="009F27EE">
        <w:rPr>
          <w:rFonts w:hint="eastAsia"/>
        </w:rPr>
        <w:t>募集资金的影响时，需要注意的事项有：</w:t>
      </w:r>
    </w:p>
    <w:p w14:paraId="5538C947" w14:textId="77777777" w:rsidR="009F27EE" w:rsidRPr="009F27EE" w:rsidRDefault="009F27EE" w:rsidP="009F27EE">
      <w:pPr>
        <w:pStyle w:val="13"/>
      </w:pPr>
      <w:r w:rsidRPr="009F27EE">
        <w:rPr>
          <w:rFonts w:hint="eastAsia"/>
        </w:rPr>
        <w:fldChar w:fldCharType="begin"/>
      </w:r>
      <w:r w:rsidRPr="009F27EE">
        <w:rPr>
          <w:rFonts w:hint="eastAsia"/>
        </w:rPr>
        <w:instrText>= 1 \* GB3</w:instrText>
      </w:r>
      <w:r w:rsidRPr="009F27EE">
        <w:rPr>
          <w:rFonts w:hint="eastAsia"/>
        </w:rPr>
        <w:fldChar w:fldCharType="separate"/>
      </w:r>
      <w:r w:rsidRPr="009F27EE">
        <w:rPr>
          <w:rFonts w:hint="eastAsia"/>
        </w:rPr>
        <w:t>①</w:t>
      </w:r>
      <w:r w:rsidRPr="009F27EE">
        <w:rPr>
          <w:rFonts w:hint="eastAsia"/>
        </w:rPr>
        <w:fldChar w:fldCharType="end"/>
      </w:r>
      <w:r w:rsidRPr="009F27EE">
        <w:rPr>
          <w:rFonts w:hint="eastAsia"/>
        </w:rPr>
        <w:t>在评估假设中明确披露已经考虑了募集资金的影响；</w:t>
      </w:r>
    </w:p>
    <w:p w14:paraId="7E8E8866" w14:textId="77777777" w:rsidR="009F27EE" w:rsidRPr="009F27EE" w:rsidRDefault="009F27EE" w:rsidP="009F27EE">
      <w:pPr>
        <w:pStyle w:val="13"/>
      </w:pPr>
      <w:r w:rsidRPr="009F27EE">
        <w:rPr>
          <w:rFonts w:hint="eastAsia"/>
        </w:rPr>
        <w:fldChar w:fldCharType="begin"/>
      </w:r>
      <w:r w:rsidRPr="009F27EE">
        <w:rPr>
          <w:rFonts w:hint="eastAsia"/>
        </w:rPr>
        <w:instrText>= 2 \* GB3</w:instrText>
      </w:r>
      <w:r w:rsidRPr="009F27EE">
        <w:rPr>
          <w:rFonts w:hint="eastAsia"/>
        </w:rPr>
        <w:fldChar w:fldCharType="separate"/>
      </w:r>
      <w:r w:rsidRPr="009F27EE">
        <w:rPr>
          <w:rFonts w:hint="eastAsia"/>
        </w:rPr>
        <w:t>②</w:t>
      </w:r>
      <w:r w:rsidRPr="009F27EE">
        <w:rPr>
          <w:rFonts w:hint="eastAsia"/>
        </w:rPr>
        <w:fldChar w:fldCharType="end"/>
      </w:r>
      <w:r w:rsidRPr="009F27EE">
        <w:rPr>
          <w:rFonts w:hint="eastAsia"/>
        </w:rPr>
        <w:t>在评估报告中明确披露关于募集资金的规模和到位时间的假设结论和依据；</w:t>
      </w:r>
    </w:p>
    <w:p w14:paraId="3D13A891" w14:textId="77777777" w:rsidR="009F27EE" w:rsidRPr="009F27EE" w:rsidRDefault="009F27EE" w:rsidP="009F27EE">
      <w:pPr>
        <w:pStyle w:val="13"/>
      </w:pPr>
      <w:r w:rsidRPr="009F27EE">
        <w:rPr>
          <w:rFonts w:hint="eastAsia"/>
        </w:rPr>
        <w:fldChar w:fldCharType="begin"/>
      </w:r>
      <w:r w:rsidRPr="009F27EE">
        <w:rPr>
          <w:rFonts w:hint="eastAsia"/>
        </w:rPr>
        <w:instrText>= 3 \* GB3</w:instrText>
      </w:r>
      <w:r w:rsidRPr="009F27EE">
        <w:rPr>
          <w:rFonts w:hint="eastAsia"/>
        </w:rPr>
        <w:fldChar w:fldCharType="separate"/>
      </w:r>
      <w:r w:rsidRPr="009F27EE">
        <w:rPr>
          <w:rFonts w:hint="eastAsia"/>
        </w:rPr>
        <w:t>③</w:t>
      </w:r>
      <w:r w:rsidRPr="009F27EE">
        <w:rPr>
          <w:rFonts w:hint="eastAsia"/>
        </w:rPr>
        <w:fldChar w:fldCharType="end"/>
      </w:r>
      <w:r w:rsidRPr="009F27EE">
        <w:rPr>
          <w:rFonts w:hint="eastAsia"/>
        </w:rPr>
        <w:t>在计算评估基准日股东权益价值时，如果收益预测考虑了募集资金的贡献，则还需将募集资金以资本性支出、营运资金追加额或净资本追加额等形式进行扣除；</w:t>
      </w:r>
    </w:p>
    <w:p w14:paraId="363691BA" w14:textId="77777777" w:rsidR="009F27EE" w:rsidRPr="009F27EE" w:rsidRDefault="009F27EE" w:rsidP="009F27EE">
      <w:pPr>
        <w:pStyle w:val="13"/>
      </w:pPr>
      <w:r w:rsidRPr="009F27EE">
        <w:rPr>
          <w:rFonts w:hint="eastAsia"/>
        </w:rPr>
        <w:fldChar w:fldCharType="begin"/>
      </w:r>
      <w:r w:rsidRPr="009F27EE">
        <w:rPr>
          <w:rFonts w:hint="eastAsia"/>
        </w:rPr>
        <w:instrText>= 4 \* GB3</w:instrText>
      </w:r>
      <w:r w:rsidRPr="009F27EE">
        <w:rPr>
          <w:rFonts w:hint="eastAsia"/>
        </w:rPr>
        <w:fldChar w:fldCharType="separate"/>
      </w:r>
      <w:r w:rsidRPr="009F27EE">
        <w:rPr>
          <w:rFonts w:hint="eastAsia"/>
        </w:rPr>
        <w:t>④</w:t>
      </w:r>
      <w:r w:rsidRPr="009F27EE">
        <w:rPr>
          <w:rFonts w:hint="eastAsia"/>
        </w:rPr>
        <w:fldChar w:fldCharType="end"/>
      </w:r>
      <w:r w:rsidRPr="009F27EE">
        <w:rPr>
          <w:rFonts w:hint="eastAsia"/>
        </w:rPr>
        <w:t>每股评估值与发行价格并不必然相等。募集资金的规模一方面取决于发行股数，另一方面取决于每股发行价格。在预期募集资金规模不变的前提下，发行股数的调整会使每股发行价格也发生相应变化。因此，比较每股评估值与发行价格时，需要关注两者采用的股票发行数量是否一致。</w:t>
      </w:r>
    </w:p>
    <w:p w14:paraId="6681583F" w14:textId="77777777" w:rsidR="009F27EE" w:rsidRPr="009F27EE" w:rsidRDefault="009F27EE" w:rsidP="009F27EE">
      <w:pPr>
        <w:pStyle w:val="13"/>
      </w:pPr>
      <w:r w:rsidRPr="009F27EE">
        <w:rPr>
          <w:rFonts w:hint="eastAsia"/>
        </w:rPr>
        <w:t>例：某银行首次公开发行上市评估报告中，对股票发行的假设如下：</w:t>
      </w:r>
    </w:p>
    <w:p w14:paraId="0B235443" w14:textId="77777777" w:rsidR="009F27EE" w:rsidRPr="009F27EE" w:rsidRDefault="009F27EE" w:rsidP="009F27EE">
      <w:pPr>
        <w:pStyle w:val="13"/>
      </w:pPr>
      <w:r w:rsidRPr="009F27EE">
        <w:rPr>
          <w:rFonts w:hint="eastAsia"/>
        </w:rPr>
        <w:lastRenderedPageBreak/>
        <w:t>(Ⅰ)股票发行前，根据被评估单位及其股东与全国社会保障基金理事会(以下简称“社保基金”) ×年×月×</w:t>
      </w:r>
      <w:proofErr w:type="gramStart"/>
      <w:r w:rsidRPr="009F27EE">
        <w:rPr>
          <w:rFonts w:hint="eastAsia"/>
        </w:rPr>
        <w:t>日签署</w:t>
      </w:r>
      <w:proofErr w:type="gramEnd"/>
      <w:r w:rsidRPr="009F27EE">
        <w:rPr>
          <w:rFonts w:hint="eastAsia"/>
        </w:rPr>
        <w:t>的股份认购协议，社保基金出资认购被评估单位发行的人民币普通股100亿股，每股面值人民币1元，出资后社保基金持有被评估单位3.70%的股份，原股东持有被评估单位的股份比例均为48.15%，本次评估假设发行前被评估单位的股权结构以此协议的约定为准；</w:t>
      </w:r>
    </w:p>
    <w:p w14:paraId="65644CFA" w14:textId="77777777" w:rsidR="009F27EE" w:rsidRPr="009F27EE" w:rsidRDefault="009F27EE" w:rsidP="009F27EE">
      <w:pPr>
        <w:pStyle w:val="13"/>
      </w:pPr>
      <w:r w:rsidRPr="009F27EE">
        <w:rPr>
          <w:rFonts w:hint="eastAsia"/>
        </w:rPr>
        <w:t>(Ⅱ) 被评估单位假设发行新股共计548亿股，其中：A股公众持股数256亿股、持股比例为7.873%，H股公众持股数为292亿股，持股比例为8.998%，原股东和社保基金持股数不变，持股比例分别为40.025%、40.025%、3.079%；</w:t>
      </w:r>
    </w:p>
    <w:p w14:paraId="53EA0D54" w14:textId="77777777" w:rsidR="009F27EE" w:rsidRPr="009F27EE" w:rsidRDefault="009F27EE" w:rsidP="009F27EE">
      <w:pPr>
        <w:pStyle w:val="13"/>
      </w:pPr>
      <w:r w:rsidRPr="009F27EE">
        <w:rPr>
          <w:rFonts w:hint="eastAsia"/>
        </w:rPr>
        <w:t>(Ⅲ) 被评估单位预测</w:t>
      </w:r>
      <w:proofErr w:type="gramStart"/>
      <w:r w:rsidRPr="009F27EE">
        <w:rPr>
          <w:rFonts w:hint="eastAsia"/>
        </w:rPr>
        <w:t>期首次</w:t>
      </w:r>
      <w:proofErr w:type="gramEnd"/>
      <w:r w:rsidRPr="009F27EE">
        <w:rPr>
          <w:rFonts w:hint="eastAsia"/>
        </w:rPr>
        <w:t>公开发行股票的募集资金金额是根据被评估单</w:t>
      </w:r>
      <w:proofErr w:type="gramStart"/>
      <w:r w:rsidRPr="009F27EE">
        <w:rPr>
          <w:rFonts w:hint="eastAsia"/>
        </w:rPr>
        <w:t>位拟</w:t>
      </w:r>
      <w:proofErr w:type="gramEnd"/>
      <w:r w:rsidRPr="009F27EE">
        <w:rPr>
          <w:rFonts w:hint="eastAsia"/>
        </w:rPr>
        <w:t>发行新股股数，并假定按照本次评估结论进行定价而确定的。</w:t>
      </w:r>
    </w:p>
    <w:p w14:paraId="550E28AE" w14:textId="77777777" w:rsidR="009F27EE" w:rsidRPr="009F27EE" w:rsidRDefault="009F27EE" w:rsidP="009F27EE">
      <w:pPr>
        <w:pStyle w:val="13"/>
      </w:pPr>
      <w:r w:rsidRPr="009F27EE">
        <w:rPr>
          <w:rFonts w:hint="eastAsia"/>
        </w:rPr>
        <w:t>该银行首次公开发行上市评估报告中对股本的预测结果相应如下：</w:t>
      </w:r>
    </w:p>
    <w:p w14:paraId="1B3B7AE6" w14:textId="77777777" w:rsidR="009F27EE" w:rsidRPr="009F27EE" w:rsidRDefault="009F27EE" w:rsidP="009F27EE">
      <w:pPr>
        <w:pStyle w:val="13"/>
      </w:pPr>
      <w:r w:rsidRPr="009F27EE">
        <w:rPr>
          <w:rFonts w:hint="eastAsia"/>
        </w:rPr>
        <w:t>被评估单位在评估基准日共有股本2600亿股。预计×年×月，被评估单位通过首次公开发行人民币普通股A股和H股共计548亿股,向社保基金定向发行100亿股,共计融资152.5亿元。截止×年末共有股本3248亿股，预计以后年度其股本不再发生变化。</w:t>
      </w:r>
    </w:p>
    <w:p w14:paraId="53E67B4E" w14:textId="77777777" w:rsidR="009F27EE" w:rsidRPr="009F27EE" w:rsidRDefault="009F27EE" w:rsidP="009F27EE">
      <w:pPr>
        <w:pStyle w:val="13"/>
      </w:pPr>
      <w:r w:rsidRPr="009F27EE">
        <w:rPr>
          <w:rFonts w:hint="eastAsia"/>
        </w:rPr>
        <w:t>（二）市场法</w:t>
      </w:r>
    </w:p>
    <w:p w14:paraId="4C15508D" w14:textId="77777777" w:rsidR="009F27EE" w:rsidRPr="009F27EE" w:rsidRDefault="009F27EE" w:rsidP="009F27EE">
      <w:pPr>
        <w:pStyle w:val="13"/>
      </w:pPr>
      <w:r w:rsidRPr="009F27EE">
        <w:rPr>
          <w:rFonts w:hint="eastAsia"/>
        </w:rPr>
        <w:t>如果考虑募集资金的影响，采用市场法评估时需要关注价值比率的计算口径，以发行后股份数量和考虑了募集资金的贡献来计算每股指标。</w:t>
      </w:r>
    </w:p>
    <w:p w14:paraId="68C01CAB" w14:textId="77777777" w:rsidR="009F27EE" w:rsidRPr="009F27EE" w:rsidRDefault="009F27EE" w:rsidP="009F27EE">
      <w:pPr>
        <w:pStyle w:val="13"/>
      </w:pPr>
      <w:r w:rsidRPr="009F27EE">
        <w:rPr>
          <w:rFonts w:hint="eastAsia"/>
        </w:rPr>
        <w:t>比如，在净资产相同的情况下，资本市场计算拟上市公司每股净资产有两种不同口径可供选择，其一是不考虑新股发行计算的发行前每股净资产，其二是考虑了新股发行计算的发行后每股净资产，两者在数值上可能不同。例：某银行首次公开发行股票上市招股说明书披露的发行前每股净资产为人民币1.43 元，发行后每股净资产为人民币1.52 元，按发行前每股净资产计算的</w:t>
      </w:r>
      <w:proofErr w:type="gramStart"/>
      <w:r w:rsidRPr="009F27EE">
        <w:rPr>
          <w:rFonts w:hint="eastAsia"/>
        </w:rPr>
        <w:t>发行市净率</w:t>
      </w:r>
      <w:proofErr w:type="gramEnd"/>
      <w:r w:rsidRPr="009F27EE">
        <w:rPr>
          <w:rFonts w:hint="eastAsia"/>
        </w:rPr>
        <w:t xml:space="preserve">为1.88 </w:t>
      </w:r>
      <w:proofErr w:type="gramStart"/>
      <w:r w:rsidRPr="009F27EE">
        <w:rPr>
          <w:rFonts w:hint="eastAsia"/>
        </w:rPr>
        <w:t>倍</w:t>
      </w:r>
      <w:proofErr w:type="gramEnd"/>
      <w:r w:rsidRPr="009F27EE">
        <w:rPr>
          <w:rFonts w:hint="eastAsia"/>
        </w:rPr>
        <w:t>，按发行后每股净资产计算</w:t>
      </w:r>
      <w:proofErr w:type="gramStart"/>
      <w:r w:rsidRPr="009F27EE">
        <w:rPr>
          <w:rFonts w:hint="eastAsia"/>
        </w:rPr>
        <w:t>发行市净率</w:t>
      </w:r>
      <w:proofErr w:type="gramEnd"/>
      <w:r w:rsidRPr="009F27EE">
        <w:rPr>
          <w:rFonts w:hint="eastAsia"/>
        </w:rPr>
        <w:t xml:space="preserve">为1.76 </w:t>
      </w:r>
      <w:proofErr w:type="gramStart"/>
      <w:r w:rsidRPr="009F27EE">
        <w:rPr>
          <w:rFonts w:hint="eastAsia"/>
        </w:rPr>
        <w:t>倍</w:t>
      </w:r>
      <w:proofErr w:type="gramEnd"/>
      <w:r w:rsidRPr="009F27EE">
        <w:rPr>
          <w:rFonts w:hint="eastAsia"/>
        </w:rPr>
        <w:t>。评估价值比率如果选用</w:t>
      </w:r>
      <w:proofErr w:type="gramStart"/>
      <w:r w:rsidRPr="009F27EE">
        <w:rPr>
          <w:rFonts w:hint="eastAsia"/>
        </w:rPr>
        <w:t>了市净率</w:t>
      </w:r>
      <w:proofErr w:type="gramEnd"/>
      <w:r w:rsidRPr="009F27EE">
        <w:rPr>
          <w:rFonts w:hint="eastAsia"/>
        </w:rPr>
        <w:t>，需要以拟上市公司发行后每股净资产为基数计算评估值，同时，在选取可比企业时，资本规模的选择标准需要以考虑了募集资金的规模为准。</w:t>
      </w:r>
    </w:p>
    <w:p w14:paraId="2D18B818" w14:textId="77777777" w:rsidR="009F27EE" w:rsidRPr="009F27EE" w:rsidRDefault="009F27EE" w:rsidP="009F27EE">
      <w:pPr>
        <w:pStyle w:val="13"/>
      </w:pPr>
      <w:r w:rsidRPr="009F27EE">
        <w:rPr>
          <w:rFonts w:hint="eastAsia"/>
        </w:rPr>
        <w:t>同样的原因，在收益相同的情况下，由于增发新股使得分摊到每一股的利润相应减少，所以发行后每股收益被摊薄了，数值小于前者。因此，根据发行前每股收益与发行后每股收益计算的发行市盈率也不同。评估价值比率如果选用了市盈率，需要以拟上市公司发行后每股收益为基数计算评估值，同时每股收益需要以考虑了募集资金贡献后的预测收益为准。</w:t>
      </w:r>
    </w:p>
    <w:p w14:paraId="285B40BE" w14:textId="77777777" w:rsidR="009F27EE" w:rsidRPr="009F27EE" w:rsidRDefault="009F27EE" w:rsidP="009F27EE">
      <w:pPr>
        <w:pStyle w:val="13"/>
      </w:pPr>
      <w:r w:rsidRPr="009F27EE">
        <w:rPr>
          <w:rFonts w:hint="eastAsia"/>
        </w:rPr>
        <w:t>例：某银行首次公开发行上市评估报告中，采用</w:t>
      </w:r>
      <w:proofErr w:type="gramStart"/>
      <w:r w:rsidRPr="009F27EE">
        <w:rPr>
          <w:rFonts w:hint="eastAsia"/>
        </w:rPr>
        <w:t>动态市净率</w:t>
      </w:r>
      <w:proofErr w:type="gramEnd"/>
      <w:r w:rsidRPr="009F27EE">
        <w:rPr>
          <w:rFonts w:hint="eastAsia"/>
        </w:rPr>
        <w:t>进行评估，评估基准日净资产规模调整如下：</w:t>
      </w:r>
    </w:p>
    <w:p w14:paraId="4FCF9290" w14:textId="5E335E84" w:rsidR="009F27EE" w:rsidRDefault="009F27EE" w:rsidP="009F27EE">
      <w:pPr>
        <w:pStyle w:val="13"/>
      </w:pPr>
      <w:r w:rsidRPr="009F27EE">
        <w:rPr>
          <w:rFonts w:hint="eastAsia"/>
        </w:rPr>
        <w:t>被评估单位合并报表归属于母公司所有者权益在评估基准日为342,819</w:t>
      </w:r>
      <w:proofErr w:type="gramStart"/>
      <w:r w:rsidRPr="009F27EE">
        <w:rPr>
          <w:rFonts w:hint="eastAsia"/>
        </w:rPr>
        <w:t>百万</w:t>
      </w:r>
      <w:proofErr w:type="gramEnd"/>
      <w:r w:rsidRPr="009F27EE">
        <w:rPr>
          <w:rFonts w:hint="eastAsia"/>
        </w:rPr>
        <w:t>元，</w:t>
      </w:r>
      <w:r w:rsidRPr="009F27EE">
        <w:rPr>
          <w:rFonts w:hint="eastAsia"/>
        </w:rPr>
        <w:lastRenderedPageBreak/>
        <w:t>股份总数为260,000</w:t>
      </w:r>
      <w:proofErr w:type="gramStart"/>
      <w:r w:rsidRPr="009F27EE">
        <w:rPr>
          <w:rFonts w:hint="eastAsia"/>
        </w:rPr>
        <w:t>百万</w:t>
      </w:r>
      <w:proofErr w:type="gramEnd"/>
      <w:r w:rsidRPr="009F27EE">
        <w:rPr>
          <w:rFonts w:hint="eastAsia"/>
        </w:rPr>
        <w:t>股，假设次年4月社保增资15,250</w:t>
      </w:r>
      <w:proofErr w:type="gramStart"/>
      <w:r w:rsidRPr="009F27EE">
        <w:rPr>
          <w:rFonts w:hint="eastAsia"/>
        </w:rPr>
        <w:t>百万</w:t>
      </w:r>
      <w:proofErr w:type="gramEnd"/>
      <w:r w:rsidRPr="009F27EE">
        <w:rPr>
          <w:rFonts w:hint="eastAsia"/>
        </w:rPr>
        <w:t>元，持股数量10,000</w:t>
      </w:r>
      <w:proofErr w:type="gramStart"/>
      <w:r w:rsidRPr="009F27EE">
        <w:rPr>
          <w:rFonts w:hint="eastAsia"/>
        </w:rPr>
        <w:t>百万</w:t>
      </w:r>
      <w:proofErr w:type="gramEnd"/>
      <w:r w:rsidRPr="009F27EE">
        <w:rPr>
          <w:rFonts w:hint="eastAsia"/>
        </w:rPr>
        <w:t>股，次年7月公开发行股份募集资金净额为134,836</w:t>
      </w:r>
      <w:proofErr w:type="gramStart"/>
      <w:r w:rsidRPr="009F27EE">
        <w:rPr>
          <w:rFonts w:hint="eastAsia"/>
        </w:rPr>
        <w:t>百万</w:t>
      </w:r>
      <w:proofErr w:type="gramEnd"/>
      <w:r w:rsidRPr="009F27EE">
        <w:rPr>
          <w:rFonts w:hint="eastAsia"/>
        </w:rPr>
        <w:t>元，预计被评估单位次年合并报表归属于母公司所有者的净利润为80,587</w:t>
      </w:r>
      <w:proofErr w:type="gramStart"/>
      <w:r w:rsidRPr="009F27EE">
        <w:rPr>
          <w:rFonts w:hint="eastAsia"/>
        </w:rPr>
        <w:t>百万</w:t>
      </w:r>
      <w:proofErr w:type="gramEnd"/>
      <w:r w:rsidRPr="009F27EE">
        <w:rPr>
          <w:rFonts w:hint="eastAsia"/>
        </w:rPr>
        <w:t>元。假设当年净利润的30.98%用于支付股利，则期末归属于母公司所有者的权益为548,526</w:t>
      </w:r>
      <w:proofErr w:type="gramStart"/>
      <w:r w:rsidRPr="009F27EE">
        <w:rPr>
          <w:rFonts w:hint="eastAsia"/>
        </w:rPr>
        <w:t>百万</w:t>
      </w:r>
      <w:proofErr w:type="gramEnd"/>
      <w:r w:rsidRPr="009F27EE">
        <w:rPr>
          <w:rFonts w:hint="eastAsia"/>
        </w:rPr>
        <w:t>元，每股净资产BPS为1.7440元。</w:t>
      </w:r>
    </w:p>
    <w:p w14:paraId="6F44E319" w14:textId="77777777" w:rsidR="009F27EE" w:rsidRPr="009F27EE" w:rsidRDefault="009F27EE" w:rsidP="009F27EE">
      <w:pPr>
        <w:autoSpaceDE w:val="0"/>
        <w:autoSpaceDN w:val="0"/>
        <w:adjustRightInd w:val="0"/>
        <w:snapToGrid w:val="0"/>
        <w:spacing w:beforeLines="100" w:before="312" w:afterLines="200" w:after="624" w:line="460" w:lineRule="exact"/>
        <w:ind w:firstLineChars="200" w:firstLine="504"/>
        <w:jc w:val="center"/>
        <w:rPr>
          <w:rFonts w:ascii="宋体" w:hAnsi="宋体" w:cs="Times New Roman"/>
          <w:spacing w:val="6"/>
          <w:sz w:val="24"/>
          <w:szCs w:val="24"/>
        </w:rPr>
      </w:pPr>
      <w:r w:rsidRPr="009F27EE">
        <w:rPr>
          <w:rFonts w:ascii="宋体" w:hAnsi="宋体" w:cs="Times New Roman" w:hint="eastAsia"/>
          <w:spacing w:val="6"/>
          <w:sz w:val="24"/>
          <w:szCs w:val="24"/>
        </w:rPr>
        <w:t>BPS=</w:t>
      </w:r>
      <w:r w:rsidRPr="009F27EE">
        <w:rPr>
          <w:rFonts w:ascii="宋体" w:hAnsi="宋体" w:cs="Times New Roman"/>
          <w:spacing w:val="6"/>
          <w:position w:val="-62"/>
          <w:sz w:val="24"/>
          <w:szCs w:val="24"/>
        </w:rPr>
        <w:object w:dxaOrig="3195" w:dyaOrig="1005" w14:anchorId="473C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9.75pt;height:50.25pt" o:ole="">
            <v:imagedata r:id="rId26" o:title=""/>
          </v:shape>
          <o:OLEObject Type="Embed" ProgID="Equation.3" ShapeID="Picture 1" DrawAspect="Content" ObjectID="_1728719969" r:id="rId27"/>
        </w:object>
      </w:r>
    </w:p>
    <w:p w14:paraId="6A055DD4" w14:textId="77777777" w:rsidR="009F27EE" w:rsidRPr="009F27EE" w:rsidRDefault="009F27EE" w:rsidP="009F27EE">
      <w:pPr>
        <w:pStyle w:val="13"/>
      </w:pPr>
      <w:r w:rsidRPr="009F27EE">
        <w:rPr>
          <w:rFonts w:hint="eastAsia"/>
        </w:rPr>
        <w:t>经计算，被评估单位</w:t>
      </w:r>
      <w:proofErr w:type="gramStart"/>
      <w:r w:rsidRPr="009F27EE">
        <w:rPr>
          <w:rFonts w:hint="eastAsia"/>
        </w:rPr>
        <w:t>动态市净率</w:t>
      </w:r>
      <w:proofErr w:type="gramEnd"/>
      <w:r w:rsidRPr="009F27EE">
        <w:rPr>
          <w:rFonts w:hint="eastAsia"/>
        </w:rPr>
        <w:t>PB为1.77，则每股评估值为：P=1.7440×1.77=3.09元。</w:t>
      </w:r>
    </w:p>
    <w:p w14:paraId="6AED811A" w14:textId="77777777" w:rsidR="009F27EE" w:rsidRPr="009F27EE" w:rsidRDefault="009F27EE" w:rsidP="009F27EE">
      <w:pPr>
        <w:pStyle w:val="13"/>
      </w:pPr>
      <w:r w:rsidRPr="009F27EE">
        <w:rPr>
          <w:rFonts w:hint="eastAsia"/>
        </w:rPr>
        <w:t>被评估单位在评估基准</w:t>
      </w:r>
      <w:proofErr w:type="gramStart"/>
      <w:r w:rsidRPr="009F27EE">
        <w:rPr>
          <w:rFonts w:hint="eastAsia"/>
        </w:rPr>
        <w:t>日股份</w:t>
      </w:r>
      <w:proofErr w:type="gramEnd"/>
      <w:r w:rsidRPr="009F27EE">
        <w:rPr>
          <w:rFonts w:hint="eastAsia"/>
        </w:rPr>
        <w:t>总数为260,000</w:t>
      </w:r>
      <w:proofErr w:type="gramStart"/>
      <w:r w:rsidRPr="009F27EE">
        <w:rPr>
          <w:rFonts w:hint="eastAsia"/>
        </w:rPr>
        <w:t>百万</w:t>
      </w:r>
      <w:proofErr w:type="gramEnd"/>
      <w:r w:rsidRPr="009F27EE">
        <w:rPr>
          <w:rFonts w:hint="eastAsia"/>
        </w:rPr>
        <w:t>股，则股东权益评估值为：3.09元/股×260,000</w:t>
      </w:r>
      <w:proofErr w:type="gramStart"/>
      <w:r w:rsidRPr="009F27EE">
        <w:rPr>
          <w:rFonts w:hint="eastAsia"/>
        </w:rPr>
        <w:t>百万</w:t>
      </w:r>
      <w:proofErr w:type="gramEnd"/>
      <w:r w:rsidRPr="009F27EE">
        <w:rPr>
          <w:rFonts w:hint="eastAsia"/>
        </w:rPr>
        <w:t>股=803,400</w:t>
      </w:r>
      <w:proofErr w:type="gramStart"/>
      <w:r w:rsidRPr="009F27EE">
        <w:rPr>
          <w:rFonts w:hint="eastAsia"/>
        </w:rPr>
        <w:t>百万</w:t>
      </w:r>
      <w:proofErr w:type="gramEnd"/>
      <w:r w:rsidRPr="009F27EE">
        <w:rPr>
          <w:rFonts w:hint="eastAsia"/>
        </w:rPr>
        <w:t>元。</w:t>
      </w:r>
    </w:p>
    <w:p w14:paraId="347EC2A6" w14:textId="77777777" w:rsidR="009F27EE" w:rsidRPr="009F27EE" w:rsidRDefault="009F27EE" w:rsidP="009F27EE">
      <w:pPr>
        <w:pStyle w:val="13"/>
      </w:pPr>
      <w:r w:rsidRPr="009F27EE">
        <w:rPr>
          <w:rFonts w:hint="eastAsia"/>
        </w:rPr>
        <w:t>（三）资产基础法</w:t>
      </w:r>
    </w:p>
    <w:p w14:paraId="7DFE2C0C" w14:textId="77777777" w:rsidR="009F27EE" w:rsidRPr="009F27EE" w:rsidRDefault="009F27EE" w:rsidP="009F27EE">
      <w:pPr>
        <w:pStyle w:val="13"/>
      </w:pPr>
      <w:r w:rsidRPr="009F27EE">
        <w:rPr>
          <w:rFonts w:hint="eastAsia"/>
        </w:rPr>
        <w:t>采用资产基础法通常无法考虑募集资金的影响。</w:t>
      </w:r>
    </w:p>
    <w:p w14:paraId="1AECCF15" w14:textId="77777777" w:rsidR="009F27EE" w:rsidRPr="009F27EE" w:rsidRDefault="009F27EE" w:rsidP="009F27EE">
      <w:pPr>
        <w:pStyle w:val="13"/>
      </w:pPr>
      <w:r w:rsidRPr="009F27EE">
        <w:rPr>
          <w:rFonts w:hint="eastAsia"/>
        </w:rPr>
        <w:t>考虑到市场法和收益法可以也需要考虑募集资金的影响，而资产基础法无法考虑募集资金的影响，如果资产基础法与其</w:t>
      </w:r>
      <w:proofErr w:type="gramStart"/>
      <w:r w:rsidRPr="009F27EE">
        <w:rPr>
          <w:rFonts w:hint="eastAsia"/>
        </w:rPr>
        <w:t>他两种</w:t>
      </w:r>
      <w:proofErr w:type="gramEnd"/>
      <w:r w:rsidRPr="009F27EE">
        <w:rPr>
          <w:rFonts w:hint="eastAsia"/>
        </w:rPr>
        <w:t>方法并存就会存在评估假设不一致的情形。因此，从这个角度看资产基础法通常不适用于金融企业首次公开发行上市评估。</w:t>
      </w:r>
    </w:p>
    <w:p w14:paraId="09D122E3" w14:textId="77777777" w:rsidR="009F27EE" w:rsidRPr="009F27EE" w:rsidRDefault="009F27EE" w:rsidP="009F27EE">
      <w:pPr>
        <w:pStyle w:val="13"/>
        <w:ind w:firstLine="482"/>
        <w:rPr>
          <w:b/>
          <w:bCs/>
        </w:rPr>
      </w:pPr>
      <w:r w:rsidRPr="009F27EE">
        <w:rPr>
          <w:rFonts w:hint="eastAsia"/>
          <w:b/>
          <w:bCs/>
        </w:rPr>
        <w:t>六、评估结论形式</w:t>
      </w:r>
    </w:p>
    <w:p w14:paraId="3734122B" w14:textId="77777777" w:rsidR="009F27EE" w:rsidRPr="009F27EE" w:rsidRDefault="009F27EE" w:rsidP="009F27EE">
      <w:pPr>
        <w:pStyle w:val="13"/>
      </w:pPr>
      <w:r w:rsidRPr="009F27EE">
        <w:rPr>
          <w:rFonts w:hint="eastAsia"/>
        </w:rPr>
        <w:t>企业首次公开发行股票上市前指定发售价格一般采用区间的形式。考虑到金融企业首次公开发行上市评估结论可以作为发行定价的主要参考指标之一，因此，金融企业首次公开发行上市的评估结论也适宜以区间值形式反映，同时可以通过综合判断不同方法评估结论的相互关系或采用概率分析等方法在区间之内确定一个最大可能值。</w:t>
      </w:r>
    </w:p>
    <w:p w14:paraId="63A9BBD5" w14:textId="659CAD83" w:rsidR="009F27EE" w:rsidRPr="009F27EE" w:rsidRDefault="009F27EE" w:rsidP="009F27EE">
      <w:pPr>
        <w:pStyle w:val="13"/>
      </w:pPr>
      <w:r w:rsidRPr="009F27EE">
        <w:rPr>
          <w:rFonts w:hint="eastAsia"/>
        </w:rPr>
        <w:t>例：在某资产管理公司首次公开发行股票上市评估项目中（注：该项目没有考虑募集资金的影响，因此每股净资产以发行前股本数计算。），评估机构采用收益法得到的股东全部权益价值为6,542,076.40万元人民币，折合每股2.17元人民币；采用市场法得到的股东全部权益价值区间为6,056,354.99-7,004,709.18万元人民币，折合每股2.01元-2.32元人民币。该评估报告选定收益法评估结果作为最终评估结论。</w:t>
      </w:r>
    </w:p>
    <w:p w14:paraId="0197CDC6" w14:textId="77777777" w:rsidR="009F27EE" w:rsidRPr="009F27EE" w:rsidRDefault="009F27EE" w:rsidP="009F27EE">
      <w:pPr>
        <w:pStyle w:val="13"/>
      </w:pPr>
      <w:r w:rsidRPr="009F27EE">
        <w:rPr>
          <w:rFonts w:hint="eastAsia"/>
        </w:rPr>
        <w:t>据了解，后来该只股票在香港公开发售获161.13倍的高倍认购，其发售价定为指定发售价区间的</w:t>
      </w:r>
      <w:proofErr w:type="gramStart"/>
      <w:r w:rsidRPr="009F27EE">
        <w:rPr>
          <w:rFonts w:hint="eastAsia"/>
        </w:rPr>
        <w:t>最</w:t>
      </w:r>
      <w:proofErr w:type="gramEnd"/>
      <w:r w:rsidRPr="009F27EE">
        <w:rPr>
          <w:rFonts w:hint="eastAsia"/>
        </w:rPr>
        <w:t>高价3.58港元/股，按当时汇率折合2.80元人民币。考虑到评估结论与发售价之间的紧密关系，以及评估过程中或多或少地存在不确定性因素的影响，最终的评估结论也适宜采用区间形式。</w:t>
      </w:r>
    </w:p>
    <w:p w14:paraId="37BDCDEB" w14:textId="46B96789" w:rsidR="009F27EE" w:rsidRPr="009F27EE" w:rsidRDefault="009F27EE" w:rsidP="00AF7342">
      <w:pPr>
        <w:pStyle w:val="a9"/>
        <w:spacing w:before="62" w:after="62"/>
      </w:pPr>
      <w:r w:rsidRPr="009F27EE">
        <w:rPr>
          <w:rFonts w:hint="eastAsia"/>
        </w:rPr>
        <w:lastRenderedPageBreak/>
        <w:t>第三章 评估方法的选用</w:t>
      </w:r>
    </w:p>
    <w:p w14:paraId="07917190" w14:textId="51C5D0A7" w:rsidR="009F27EE" w:rsidRDefault="009F27EE" w:rsidP="009F27EE">
      <w:pPr>
        <w:pStyle w:val="13"/>
      </w:pPr>
      <w:r w:rsidRPr="009F27EE">
        <w:rPr>
          <w:rFonts w:hint="eastAsia"/>
        </w:rPr>
        <w:t>金融企业的类别很多，</w:t>
      </w:r>
      <w:proofErr w:type="gramStart"/>
      <w:r w:rsidRPr="009F27EE">
        <w:rPr>
          <w:rFonts w:hint="eastAsia"/>
        </w:rPr>
        <w:t>本专家</w:t>
      </w:r>
      <w:proofErr w:type="gramEnd"/>
      <w:r w:rsidRPr="009F27EE">
        <w:rPr>
          <w:rFonts w:hint="eastAsia"/>
        </w:rPr>
        <w:t>指引以当前评估实务中最有代表性的银行、证券和保险公司为例，分析收益法、市场法和资产基础法三种基本评估方法在金融企业首次公开发行上市评估中的适用性。</w:t>
      </w:r>
    </w:p>
    <w:p w14:paraId="71BE614C" w14:textId="77777777" w:rsidR="009F27EE" w:rsidRPr="009F27EE" w:rsidRDefault="009F27EE" w:rsidP="009F27EE">
      <w:pPr>
        <w:pStyle w:val="13"/>
        <w:ind w:firstLine="482"/>
        <w:rPr>
          <w:b/>
          <w:bCs/>
        </w:rPr>
      </w:pPr>
      <w:r w:rsidRPr="009F27EE">
        <w:rPr>
          <w:rFonts w:hint="eastAsia"/>
          <w:b/>
          <w:bCs/>
        </w:rPr>
        <w:t>一、收益法的适用性分析及选择建议</w:t>
      </w:r>
    </w:p>
    <w:p w14:paraId="2FA7A575" w14:textId="77777777" w:rsidR="009F27EE" w:rsidRPr="009F27EE" w:rsidRDefault="009F27EE" w:rsidP="009F27EE">
      <w:pPr>
        <w:pStyle w:val="13"/>
      </w:pPr>
      <w:r w:rsidRPr="009F27EE">
        <w:rPr>
          <w:rFonts w:hint="eastAsia"/>
        </w:rPr>
        <w:t>（一）评估方法对评估目的的满足度</w:t>
      </w:r>
    </w:p>
    <w:p w14:paraId="4D83554A" w14:textId="77777777" w:rsidR="009F27EE" w:rsidRPr="009F27EE" w:rsidRDefault="009F27EE" w:rsidP="009F27EE">
      <w:pPr>
        <w:pStyle w:val="13"/>
      </w:pPr>
      <w:r w:rsidRPr="009F27EE">
        <w:rPr>
          <w:rFonts w:hint="eastAsia"/>
        </w:rPr>
        <w:t>从评估方法与评估目的的契合度来看，收益法适用于金融企业首次公开发行上市评估项目。</w:t>
      </w:r>
    </w:p>
    <w:p w14:paraId="426BE547" w14:textId="77777777" w:rsidR="009F27EE" w:rsidRPr="009F27EE" w:rsidRDefault="009F27EE" w:rsidP="009F27EE">
      <w:pPr>
        <w:pStyle w:val="13"/>
      </w:pPr>
      <w:r w:rsidRPr="009F27EE">
        <w:rPr>
          <w:rFonts w:hint="eastAsia"/>
        </w:rPr>
        <w:t>1.股票市场上成熟的投资者非常关注企业上市后的盈利水平。收益法通过将预期收益进行折现来反映评估对象价值，即企业未来的盈利能力和风险程度是决定评估值高低的关键参数。收益法评估思路符合经济学的投资原理，符合金融企业首次公开发行上市的评估需要。</w:t>
      </w:r>
    </w:p>
    <w:p w14:paraId="4047B620" w14:textId="77777777" w:rsidR="009F27EE" w:rsidRPr="009F27EE" w:rsidRDefault="009F27EE" w:rsidP="009F27EE">
      <w:pPr>
        <w:pStyle w:val="13"/>
      </w:pPr>
      <w:r w:rsidRPr="009F27EE">
        <w:rPr>
          <w:rFonts w:hint="eastAsia"/>
        </w:rPr>
        <w:t>2.金融企业业务经营具有严格的行业监管规定，净资本、业务种类和规模等风险控制指标都有具体的量化标准，同时，金融企业的资产构成不同于工商企业，客户资源、经营网络、商誉等无形资产在企业价值创造过程中发挥着重要的作用。收益法不仅要求盈利预测当中的各项资产、负债和收益水平符合金融企业行业监管要求，同时能够充分体现金融行业所特有的无形资产的贡献，符合金融企业首次公开发行上市的评估需要。</w:t>
      </w:r>
    </w:p>
    <w:p w14:paraId="1A22C198" w14:textId="77777777" w:rsidR="009F27EE" w:rsidRPr="009F27EE" w:rsidRDefault="009F27EE" w:rsidP="009F27EE">
      <w:pPr>
        <w:pStyle w:val="13"/>
      </w:pPr>
      <w:r w:rsidRPr="009F27EE">
        <w:rPr>
          <w:rFonts w:hint="eastAsia"/>
        </w:rPr>
        <w:t>3.采用收益法评估金融企业首次公开发行上市股权价值，可以灵活考虑募集资金的影响。当未来盈利预测考虑了募集资金的影响时，评估结论能较好地满足首次公开发行上市经济行为的特殊需要。</w:t>
      </w:r>
    </w:p>
    <w:p w14:paraId="4269A123" w14:textId="77777777" w:rsidR="009F27EE" w:rsidRPr="009F27EE" w:rsidRDefault="009F27EE" w:rsidP="009F27EE">
      <w:pPr>
        <w:pStyle w:val="13"/>
      </w:pPr>
      <w:r w:rsidRPr="009F27EE">
        <w:rPr>
          <w:rFonts w:hint="eastAsia"/>
        </w:rPr>
        <w:t>（二）评估方法使用前提条件的满足度</w:t>
      </w:r>
    </w:p>
    <w:p w14:paraId="6957890A" w14:textId="77777777" w:rsidR="009F27EE" w:rsidRPr="009F27EE" w:rsidRDefault="009F27EE" w:rsidP="009F27EE">
      <w:pPr>
        <w:pStyle w:val="13"/>
      </w:pPr>
      <w:r w:rsidRPr="009F27EE">
        <w:rPr>
          <w:rFonts w:hint="eastAsia"/>
        </w:rPr>
        <w:t>从评估方法的使用前提条件来看，金融企业首次公开发行上市评估项目通常能够满足收益法的要求。</w:t>
      </w:r>
    </w:p>
    <w:p w14:paraId="5E312FDB" w14:textId="77777777" w:rsidR="009F27EE" w:rsidRPr="009F27EE" w:rsidRDefault="009F27EE" w:rsidP="009F27EE">
      <w:pPr>
        <w:pStyle w:val="13"/>
      </w:pPr>
      <w:r w:rsidRPr="009F27EE">
        <w:rPr>
          <w:rFonts w:hint="eastAsia"/>
        </w:rPr>
        <w:t>1.收益法是一种比较成熟的评估方法。在我国，收益法的评估模型不仅为广大投资者所了解和接受，评估参数的确定也具备相应的市场基础，同时，在以往的金融企业首次公开发行上市评估项目中，收益法也得到了广泛运用。</w:t>
      </w:r>
    </w:p>
    <w:p w14:paraId="2005BBA1" w14:textId="77777777" w:rsidR="009F27EE" w:rsidRPr="009F27EE" w:rsidRDefault="009F27EE" w:rsidP="009F27EE">
      <w:pPr>
        <w:pStyle w:val="13"/>
      </w:pPr>
      <w:r w:rsidRPr="009F27EE">
        <w:rPr>
          <w:rFonts w:hint="eastAsia"/>
        </w:rPr>
        <w:t>2.对于拟上市公司而言，大多具有3年以上的连续经营业绩，所以被评估企业能够提供比较完整的关于企业历史经营情况的资料。</w:t>
      </w:r>
    </w:p>
    <w:p w14:paraId="16FBC584" w14:textId="77777777" w:rsidR="009F27EE" w:rsidRPr="009F27EE" w:rsidRDefault="009F27EE" w:rsidP="009F27EE">
      <w:pPr>
        <w:pStyle w:val="13"/>
      </w:pPr>
      <w:r w:rsidRPr="009F27EE">
        <w:rPr>
          <w:rFonts w:hint="eastAsia"/>
        </w:rPr>
        <w:t>3.在企业首次公开发行股票上市申报材料中，需要披露经审计的相关经营和财务数据，同时向投资者充分展示和解释未来收益预测的情况，以及拟募集资金的规模和用途等，这些资料也是收益法评估需要收集的资料。因此，资本市场对拟上市公司信息披露的要求，有利于提高收益法评估所需资料的可靠性。</w:t>
      </w:r>
    </w:p>
    <w:p w14:paraId="53D50B01" w14:textId="1D910599" w:rsidR="009F27EE" w:rsidRPr="009F27EE" w:rsidRDefault="009F27EE" w:rsidP="009F27EE">
      <w:pPr>
        <w:pStyle w:val="13"/>
      </w:pPr>
      <w:r w:rsidRPr="009F27EE">
        <w:rPr>
          <w:rFonts w:hint="eastAsia"/>
        </w:rPr>
        <w:t>4.金融企业业务经营报告等专项材料有助于评估机构判断企业未来收益和风险</w:t>
      </w:r>
      <w:r w:rsidRPr="009F27EE">
        <w:rPr>
          <w:rFonts w:hint="eastAsia"/>
        </w:rPr>
        <w:lastRenderedPageBreak/>
        <w:t>水平。为了满足行业监管要求，金融企业会定期向政府监管部门提供相关业务经营数据。比如，人寿保险公司每年向中国保监会报送《精算报告》，对公司现有业务、新业务、偿付能力、风险揭示、内含价值等方面进行专项说明。保险公司收益预测一般通过精算技术由精算软件模拟进行，各项精算假设一般均有经验丰富的精算师通过企业历史经验数据并结合行业监管指标得出。通过精算手段得出的盈利预测结果，考虑了保险业务收入与支出的长期性与不平衡性，比较精确地计算了在一定假设条件下公司业务的价值，可以为收益法评估提供有益参考。</w:t>
      </w:r>
    </w:p>
    <w:p w14:paraId="2F140C17" w14:textId="77777777" w:rsidR="009F27EE" w:rsidRPr="009F27EE" w:rsidRDefault="009F27EE" w:rsidP="009F27EE">
      <w:pPr>
        <w:pStyle w:val="13"/>
      </w:pPr>
      <w:r w:rsidRPr="009F27EE">
        <w:rPr>
          <w:rFonts w:hint="eastAsia"/>
        </w:rPr>
        <w:t>总之，在金融企业首次公开发行上市评估项目中，收益法具备很强的适用性，可以广泛运用。</w:t>
      </w:r>
    </w:p>
    <w:p w14:paraId="2F20A952" w14:textId="77777777" w:rsidR="009F27EE" w:rsidRPr="009F27EE" w:rsidRDefault="009F27EE" w:rsidP="009F27EE">
      <w:pPr>
        <w:pStyle w:val="13"/>
        <w:ind w:firstLine="482"/>
        <w:rPr>
          <w:b/>
          <w:bCs/>
        </w:rPr>
      </w:pPr>
      <w:r w:rsidRPr="009F27EE">
        <w:rPr>
          <w:rFonts w:hint="eastAsia"/>
          <w:b/>
          <w:bCs/>
        </w:rPr>
        <w:t>二、市场法的适用性分析及选择建议</w:t>
      </w:r>
    </w:p>
    <w:p w14:paraId="130C75E6" w14:textId="77777777" w:rsidR="009F27EE" w:rsidRPr="009F27EE" w:rsidRDefault="009F27EE" w:rsidP="009F27EE">
      <w:pPr>
        <w:pStyle w:val="13"/>
      </w:pPr>
      <w:r w:rsidRPr="009F27EE">
        <w:rPr>
          <w:rFonts w:hint="eastAsia"/>
        </w:rPr>
        <w:t>（一）评估方法对评估目的的满足度</w:t>
      </w:r>
    </w:p>
    <w:p w14:paraId="6013BA7D" w14:textId="77777777" w:rsidR="009F27EE" w:rsidRPr="009F27EE" w:rsidRDefault="009F27EE" w:rsidP="009F27EE">
      <w:pPr>
        <w:pStyle w:val="13"/>
      </w:pPr>
      <w:r w:rsidRPr="009F27EE">
        <w:rPr>
          <w:rFonts w:hint="eastAsia"/>
        </w:rPr>
        <w:t>从评估方法与评估目的的契合度来看，市场法适用于金融企业首次公开发行上市评估项目。</w:t>
      </w:r>
    </w:p>
    <w:p w14:paraId="6FE6479E" w14:textId="77777777" w:rsidR="009F27EE" w:rsidRPr="009F27EE" w:rsidRDefault="009F27EE" w:rsidP="009F27EE">
      <w:pPr>
        <w:pStyle w:val="13"/>
      </w:pPr>
      <w:r w:rsidRPr="009F27EE">
        <w:rPr>
          <w:rFonts w:hint="eastAsia"/>
        </w:rPr>
        <w:t>1.企业选择首次公开发行股票上市的时机很重要，并且金融企业首次公开发行上市资产评估与股票发行定价之间有着紧密联系。市场法通过参照可比上市公司或可比交易案例近期市场交易价格水平来确定评估对象的价值，评估途径简单、直观，评估结果最贴近市场。因此，市场法评估思路符合金融企业首次公开发行上市的评估需要。</w:t>
      </w:r>
    </w:p>
    <w:p w14:paraId="70565C0D" w14:textId="77777777" w:rsidR="009F27EE" w:rsidRPr="009F27EE" w:rsidRDefault="009F27EE" w:rsidP="009F27EE">
      <w:pPr>
        <w:pStyle w:val="13"/>
      </w:pPr>
      <w:r w:rsidRPr="009F27EE">
        <w:rPr>
          <w:rFonts w:hint="eastAsia"/>
        </w:rPr>
        <w:t>2.市场法将企业作为一个整体进行评估，所选择的可比上市公司股票交易价格或可比案例股权交易价格已经体现了金融企业无形资产的贡献。</w:t>
      </w:r>
    </w:p>
    <w:p w14:paraId="3C164F0A" w14:textId="77777777" w:rsidR="009F27EE" w:rsidRPr="009F27EE" w:rsidRDefault="009F27EE" w:rsidP="009F27EE">
      <w:pPr>
        <w:pStyle w:val="13"/>
      </w:pPr>
      <w:r w:rsidRPr="009F27EE">
        <w:rPr>
          <w:rFonts w:hint="eastAsia"/>
        </w:rPr>
        <w:t>（二）评估方法使用前提条件的满足度</w:t>
      </w:r>
    </w:p>
    <w:p w14:paraId="3EE31743" w14:textId="77777777" w:rsidR="009F27EE" w:rsidRPr="009F27EE" w:rsidRDefault="009F27EE" w:rsidP="009F27EE">
      <w:pPr>
        <w:pStyle w:val="13"/>
      </w:pPr>
      <w:r w:rsidRPr="009F27EE">
        <w:rPr>
          <w:rFonts w:hint="eastAsia"/>
        </w:rPr>
        <w:t>从评估方法的使用前提条件来看，金融企业首次公开发行上市评估项目能否选用市场法，还需区分不同细分行业、具体评估方法区别考虑。</w:t>
      </w:r>
    </w:p>
    <w:p w14:paraId="29003D02" w14:textId="77777777" w:rsidR="009F27EE" w:rsidRPr="009F27EE" w:rsidRDefault="009F27EE" w:rsidP="009F27EE">
      <w:pPr>
        <w:pStyle w:val="13"/>
      </w:pPr>
      <w:r w:rsidRPr="009F27EE">
        <w:rPr>
          <w:rFonts w:hint="eastAsia"/>
        </w:rPr>
        <w:t>1.市场法是市场经济发达国家进行企业价值评估最常用的方法，但是市场法在我国的运用相对比较晚，不同评估机构对可比性的判断标准、价值比率的选择和差异调整方法等关键事项的理解和处理方法尚未统一，在一定程度上影响了市场法的推广。比如，在评估保险公司时，由于价值比率一般为静态指标，很难对被评估企业与可比公司在不同阶段的保费结构、保单持续时间、偿付能力等经营特点和风险差异做出调整，使得市场法评估结果具有较强的主观性。另外，</w:t>
      </w:r>
      <w:proofErr w:type="gramStart"/>
      <w:r w:rsidRPr="009F27EE">
        <w:rPr>
          <w:rFonts w:hint="eastAsia"/>
        </w:rPr>
        <w:t>关于缺乏</w:t>
      </w:r>
      <w:proofErr w:type="gramEnd"/>
      <w:r w:rsidRPr="009F27EE">
        <w:rPr>
          <w:rFonts w:hint="eastAsia"/>
        </w:rPr>
        <w:t>流动性折扣、控制权溢价或缺乏控制权折价的理论研究和实务操作也没有达成共识，标准的缺失与数据的不统一将直接影响市场法评估结论的可靠性。</w:t>
      </w:r>
    </w:p>
    <w:p w14:paraId="09313D23" w14:textId="77777777" w:rsidR="009F27EE" w:rsidRPr="009F27EE" w:rsidRDefault="009F27EE" w:rsidP="009F27EE">
      <w:pPr>
        <w:pStyle w:val="13"/>
      </w:pPr>
      <w:r w:rsidRPr="009F27EE">
        <w:rPr>
          <w:rFonts w:hint="eastAsia"/>
        </w:rPr>
        <w:t>2.采用市场法的基本前提是有一个比较发达的资本市场。我国证券市场虽然经历了20多年的发展，已经取得了长足进步，但目前关于我国资本市场的有效性的争议，还是在一定程度上影响了市场法的推广。</w:t>
      </w:r>
    </w:p>
    <w:p w14:paraId="41031F29" w14:textId="77777777" w:rsidR="009F27EE" w:rsidRPr="009F27EE" w:rsidRDefault="009F27EE" w:rsidP="009F27EE">
      <w:pPr>
        <w:pStyle w:val="13"/>
      </w:pPr>
      <w:r w:rsidRPr="009F27EE">
        <w:rPr>
          <w:rFonts w:hint="eastAsia"/>
        </w:rPr>
        <w:lastRenderedPageBreak/>
        <w:t>3.近年来，在假设资本市场有效的前提下，企业价值评估项目中市场法的运用案例逐渐增多。由于上市公司股价及经营情况等相关信息资料公开，数据较容易获取，可以优先考虑采用上市公司比较法进行评估。根据中国证监会2014年4季度上市公司行业分类结果</w:t>
      </w:r>
      <w:r w:rsidRPr="009F27EE">
        <w:t>，我国A股市场共有金融类上市公司4</w:t>
      </w:r>
      <w:r w:rsidRPr="009F27EE">
        <w:rPr>
          <w:rFonts w:hint="eastAsia"/>
        </w:rPr>
        <w:t>5</w:t>
      </w:r>
      <w:r w:rsidRPr="009F27EE">
        <w:t>家，其中，银行16家，证券公司</w:t>
      </w:r>
      <w:r w:rsidRPr="009F27EE">
        <w:rPr>
          <w:rFonts w:hint="eastAsia"/>
        </w:rPr>
        <w:t>21</w:t>
      </w:r>
      <w:r w:rsidRPr="009F27EE">
        <w:t>家，保险公司4家，信托</w:t>
      </w:r>
      <w:r w:rsidRPr="009F27EE">
        <w:rPr>
          <w:rFonts w:hint="eastAsia"/>
        </w:rPr>
        <w:t>等其他金融</w:t>
      </w:r>
      <w:r w:rsidRPr="009F27EE">
        <w:t>公司4家。</w:t>
      </w:r>
      <w:r w:rsidRPr="009F27EE">
        <w:rPr>
          <w:rFonts w:hint="eastAsia"/>
        </w:rPr>
        <w:t>一般认为目前银行、证券公司的评估可以选用上市公司比较法，而保险公司、信托公司由于现在的对比企业数量偏少，特别是不同保险公司之间在资产规模和业务构成等方面可能存在较大差异，所以不建议现阶段采用上市公司比较法。随着产权交易市场的不断发展，金融企业并购案例的逐步增加，在可以获取足够的交易信息的前提下，也可以尝试交易案例比较法。比如，目前评估行业对基金公司的评估多采用交易案例比较法。</w:t>
      </w:r>
    </w:p>
    <w:p w14:paraId="2FCF519F" w14:textId="77777777" w:rsidR="009F27EE" w:rsidRPr="009F27EE" w:rsidRDefault="009F27EE" w:rsidP="009F27EE">
      <w:pPr>
        <w:pStyle w:val="13"/>
      </w:pPr>
      <w:r w:rsidRPr="009F27EE">
        <w:rPr>
          <w:rFonts w:hint="eastAsia"/>
        </w:rPr>
        <w:t>总之，在金融企业首次公开发行上市评估项目中，需要结合被评估企业所在行业的市场交易情况，有针对性地考虑市场法的适用性。在我国现阶段，一般而言，银行、证券公司已经具备采用上市公司比较法的运用条件，在其他细分行业，市场法一般适宜作为一种辅助方法。</w:t>
      </w:r>
    </w:p>
    <w:p w14:paraId="3F7AFF8D" w14:textId="77777777" w:rsidR="009F27EE" w:rsidRPr="009F27EE" w:rsidRDefault="009F27EE" w:rsidP="009F27EE">
      <w:pPr>
        <w:pStyle w:val="13"/>
        <w:ind w:firstLine="482"/>
        <w:rPr>
          <w:b/>
          <w:bCs/>
        </w:rPr>
      </w:pPr>
      <w:r w:rsidRPr="009F27EE">
        <w:rPr>
          <w:rFonts w:hint="eastAsia"/>
          <w:b/>
          <w:bCs/>
        </w:rPr>
        <w:t>三、资产基础法的适用性分析及选择建议</w:t>
      </w:r>
    </w:p>
    <w:p w14:paraId="6CAAA64D" w14:textId="77777777" w:rsidR="009F27EE" w:rsidRPr="009F27EE" w:rsidRDefault="009F27EE" w:rsidP="009F27EE">
      <w:pPr>
        <w:pStyle w:val="13"/>
      </w:pPr>
      <w:r w:rsidRPr="009F27EE">
        <w:rPr>
          <w:rFonts w:hint="eastAsia"/>
        </w:rPr>
        <w:t>（一）评估方法对评估目的的满足度</w:t>
      </w:r>
    </w:p>
    <w:p w14:paraId="69BACF42" w14:textId="77777777" w:rsidR="009F27EE" w:rsidRPr="009F27EE" w:rsidRDefault="009F27EE" w:rsidP="009F27EE">
      <w:pPr>
        <w:pStyle w:val="13"/>
      </w:pPr>
      <w:r w:rsidRPr="009F27EE">
        <w:rPr>
          <w:rFonts w:hint="eastAsia"/>
        </w:rPr>
        <w:t>从评估方法与评估目的的契合度来看，资产基础法通常不适用于金融企业首次公开发行上市评估项目。</w:t>
      </w:r>
    </w:p>
    <w:p w14:paraId="3EADF769" w14:textId="77777777" w:rsidR="009F27EE" w:rsidRPr="009F27EE" w:rsidRDefault="009F27EE" w:rsidP="009F27EE">
      <w:pPr>
        <w:pStyle w:val="13"/>
      </w:pPr>
      <w:r w:rsidRPr="009F27EE">
        <w:rPr>
          <w:rFonts w:hint="eastAsia"/>
        </w:rPr>
        <w:t>资产基础</w:t>
      </w:r>
      <w:proofErr w:type="gramStart"/>
      <w:r w:rsidRPr="009F27EE">
        <w:rPr>
          <w:rFonts w:hint="eastAsia"/>
        </w:rPr>
        <w:t>法按照</w:t>
      </w:r>
      <w:proofErr w:type="gramEnd"/>
      <w:r w:rsidRPr="009F27EE">
        <w:rPr>
          <w:rFonts w:hint="eastAsia"/>
        </w:rPr>
        <w:t>企业重建的思路，通过将构成企业的各种要素资产的评估值直接加总，再扣减负债后求得企业整体价值。如果只是以企业资产负债表为基础，对企业的各项资产、负债进行评估后汇总得到净资产价值，容易忽略企业的整体获利能力，无法体现金融企业的商业模式和经营特点对企业价值的影响，也较难反映对金融企业收益具有决定作用的客户资源、经营网络、品牌信誉等无形资产价值，难以满足首次公开发行上市资产评估的需求。比如，在评估保险公司企业价值时，由于保险公司主要通过两类业务获取收益，一是在保险公司购买索赔权的客户所支付的投保费，二是保险公司利用“浮存金”进行投资所产生的收益。保险行业的特点及特有的商业模式使得保险公司的价值不能简单地由各单项资产的价值扣除负债后的净值反映，除了账外客户资源、经营网络、商誉等无形资产价值容易漏评外，保险合同的权益及其带来的充沛的现金流量资源也是保险公司价值的重要体现。因此，对保险公司企业价值进行评估不适用资产基础法。即便对重要的无形资产单独进行评估，也多采用收益途径，其实质与采用收益法评估企业整体价值是一致的。在已经使用了收益法进行企业整体价值评估的报告中，这么操作会显得冗赘。</w:t>
      </w:r>
    </w:p>
    <w:p w14:paraId="32F94838" w14:textId="77777777" w:rsidR="009F27EE" w:rsidRPr="009F27EE" w:rsidRDefault="009F27EE" w:rsidP="009F27EE">
      <w:pPr>
        <w:pStyle w:val="13"/>
      </w:pPr>
      <w:r w:rsidRPr="009F27EE">
        <w:rPr>
          <w:rFonts w:hint="eastAsia"/>
        </w:rPr>
        <w:t>（二）评估方法使用前提条件的满足度</w:t>
      </w:r>
    </w:p>
    <w:p w14:paraId="2054545A" w14:textId="77777777" w:rsidR="009F27EE" w:rsidRPr="009F27EE" w:rsidRDefault="009F27EE" w:rsidP="009F27EE">
      <w:pPr>
        <w:pStyle w:val="13"/>
      </w:pPr>
      <w:r w:rsidRPr="009F27EE">
        <w:rPr>
          <w:rFonts w:hint="eastAsia"/>
        </w:rPr>
        <w:t>从评估方法的使用前提条件来看，金融企业首次公开发行上市评估项目通常在</w:t>
      </w:r>
      <w:r w:rsidRPr="009F27EE">
        <w:rPr>
          <w:rFonts w:hint="eastAsia"/>
        </w:rPr>
        <w:lastRenderedPageBreak/>
        <w:t>时间上难以满足资产基础法的要求。</w:t>
      </w:r>
    </w:p>
    <w:p w14:paraId="5E34C986" w14:textId="77777777" w:rsidR="009F27EE" w:rsidRPr="009F27EE" w:rsidRDefault="009F27EE" w:rsidP="009F27EE">
      <w:pPr>
        <w:pStyle w:val="13"/>
      </w:pPr>
      <w:r w:rsidRPr="009F27EE">
        <w:rPr>
          <w:rFonts w:hint="eastAsia"/>
        </w:rPr>
        <w:t>企业首次公开发行上市评估一般需要在企业获得初步发行许可至实际询价期间完成，时间紧迫。如果采用资产基础法，除了审计工作必须按时完成，资产评估也会因为金融企业分支机构网点多而难以按时完成资料收集、现场勘查等必要的评估程序。</w:t>
      </w:r>
    </w:p>
    <w:p w14:paraId="2A2408CD" w14:textId="77777777" w:rsidR="009F27EE" w:rsidRPr="009F27EE" w:rsidRDefault="009F27EE" w:rsidP="009F27EE">
      <w:pPr>
        <w:pStyle w:val="13"/>
      </w:pPr>
      <w:r w:rsidRPr="009F27EE">
        <w:rPr>
          <w:rFonts w:hint="eastAsia"/>
        </w:rPr>
        <w:t>由此可见，资产基础法不适用于金融企业首次公开发行上市评估项目。</w:t>
      </w:r>
    </w:p>
    <w:p w14:paraId="43726243" w14:textId="77777777" w:rsidR="009F27EE" w:rsidRPr="009F27EE" w:rsidRDefault="009F27EE" w:rsidP="009F27EE">
      <w:pPr>
        <w:pStyle w:val="13"/>
        <w:ind w:firstLine="482"/>
        <w:rPr>
          <w:b/>
          <w:bCs/>
        </w:rPr>
      </w:pPr>
      <w:r w:rsidRPr="009F27EE">
        <w:rPr>
          <w:rFonts w:hint="eastAsia"/>
          <w:b/>
          <w:bCs/>
        </w:rPr>
        <w:t>四、评估方法运用建议</w:t>
      </w:r>
    </w:p>
    <w:p w14:paraId="16306A40" w14:textId="77777777" w:rsidR="009F27EE" w:rsidRPr="009F27EE" w:rsidRDefault="009F27EE" w:rsidP="009F27EE">
      <w:pPr>
        <w:pStyle w:val="13"/>
      </w:pPr>
      <w:r w:rsidRPr="009F27EE">
        <w:rPr>
          <w:rFonts w:hint="eastAsia"/>
        </w:rPr>
        <w:t>在运用收益法和市场法评估金融企业首次公开发行上市评估项目时，除了要遵循金融企业一般企业价值评估业务中的技术规范，还要考虑企业首次公开发行上市评估业务的特点。</w:t>
      </w:r>
      <w:proofErr w:type="gramStart"/>
      <w:r w:rsidRPr="009F27EE">
        <w:rPr>
          <w:rFonts w:hint="eastAsia"/>
        </w:rPr>
        <w:t>本专家</w:t>
      </w:r>
      <w:proofErr w:type="gramEnd"/>
      <w:r w:rsidRPr="009F27EE">
        <w:rPr>
          <w:rFonts w:hint="eastAsia"/>
        </w:rPr>
        <w:t>指引结合企业首次公开发行上市评估业务的特点，在评估方法运用方面提出如下建议：</w:t>
      </w:r>
    </w:p>
    <w:p w14:paraId="5A68DEC8" w14:textId="77777777" w:rsidR="009F27EE" w:rsidRPr="009F27EE" w:rsidRDefault="009F27EE" w:rsidP="009F27EE">
      <w:pPr>
        <w:pStyle w:val="13"/>
      </w:pPr>
      <w:r w:rsidRPr="009F27EE">
        <w:rPr>
          <w:rFonts w:hint="eastAsia"/>
        </w:rPr>
        <w:t>（一）关注金融企业生命周期对企业价值的影响</w:t>
      </w:r>
    </w:p>
    <w:p w14:paraId="04378E14" w14:textId="77777777" w:rsidR="009F27EE" w:rsidRPr="009F27EE" w:rsidRDefault="009F27EE" w:rsidP="009F27EE">
      <w:pPr>
        <w:pStyle w:val="13"/>
      </w:pPr>
      <w:r w:rsidRPr="009F27EE">
        <w:rPr>
          <w:rFonts w:hint="eastAsia"/>
        </w:rPr>
        <w:t>金融企业在发展过程中都会伴有融资，不同的行业会有不同的融资模式，而且融资模式会随着企业的发展发生变化。美国注册会计师协会指出，企业在不同的发展阶段形成不同的价值，并且这些阶段的价值并不是线性排列的。按照企业产品研发进度、收入规模、利润或现金流量水平，以及融资方式等特征，可以将企业生命周期依次划分为六个阶段，其中对于准备首次公开发行上市的企业而言，一般处于第四、第五、第六发展阶段（《</w:t>
      </w:r>
      <w:r w:rsidRPr="009F27EE">
        <w:t>Valuation of Privately-Held-Company Equity Securities Issued as Compensation</w:t>
      </w:r>
      <w:r w:rsidRPr="009F27EE">
        <w:rPr>
          <w:rFonts w:hint="eastAsia"/>
        </w:rPr>
        <w:t>》）。在这三个阶段中使用收益法评估企业价值，需考虑评估参数的相互关系。比如，处于第六阶段的首次公开发行上市的企业，已经有了既定的财务历史数据，现金流的预测可以基于既定的财务历史数据，预测结果的可靠性往往高于早期阶段。第六阶段的折现率也往往低于第五阶段和第四阶段的折现率。根据上述原理，以国内银行业为例，四大国有银行和全国性股份制银行上市时一般处于稳定的第六阶段中后期，而城商行往往是处于第五阶段后期或第六阶段早期，在估值确定权益资本成本时，需要充分考虑不同银行处于不同生命周期的区别。</w:t>
      </w:r>
    </w:p>
    <w:p w14:paraId="62524C90" w14:textId="77777777" w:rsidR="009F27EE" w:rsidRPr="009F27EE" w:rsidRDefault="009F27EE" w:rsidP="009F27EE">
      <w:pPr>
        <w:pStyle w:val="13"/>
      </w:pPr>
      <w:r w:rsidRPr="009F27EE">
        <w:rPr>
          <w:rFonts w:hint="eastAsia"/>
        </w:rPr>
        <w:t>美国注册会计师协会还对比了企业首次公开发售前后企业的权益资本成本。首次公开发售往往会降低企业的资本成本从而提高企业价值。首次公开发售前，私人所有企业的权益资本成本往往在20%-35%；相反，对于新上市公司来说其权益资本成本范围在15%-25%。在其他条件相同的情况下，权益资本成本下降，提高了企业价值，并且从一个方面解释了企业的首次公开发行价格通常明显高于在首次公开发行上市之前少数股权的每股价值。</w:t>
      </w:r>
    </w:p>
    <w:p w14:paraId="0A500C1A" w14:textId="77777777" w:rsidR="009F27EE" w:rsidRPr="009F27EE" w:rsidRDefault="009F27EE" w:rsidP="009F27EE">
      <w:pPr>
        <w:pStyle w:val="13"/>
      </w:pPr>
      <w:r w:rsidRPr="009F27EE">
        <w:rPr>
          <w:rFonts w:hint="eastAsia"/>
        </w:rPr>
        <w:t>由此可见，企业的发展阶段也会影响到评估方法、主要参数的选择。因此，在金融企业首次公开发行上市评估过程中，需要关注金融企业的生命周期对企业价值评估的影响。</w:t>
      </w:r>
    </w:p>
    <w:p w14:paraId="3BED087A" w14:textId="77777777" w:rsidR="009F27EE" w:rsidRPr="009F27EE" w:rsidRDefault="009F27EE" w:rsidP="009F27EE">
      <w:pPr>
        <w:pStyle w:val="13"/>
      </w:pPr>
      <w:r w:rsidRPr="009F27EE">
        <w:rPr>
          <w:rFonts w:hint="eastAsia"/>
        </w:rPr>
        <w:lastRenderedPageBreak/>
        <w:t>（二）关注不同经济行为对流动性折扣的影响</w:t>
      </w:r>
    </w:p>
    <w:p w14:paraId="0F6B11A8" w14:textId="77777777" w:rsidR="009F27EE" w:rsidRPr="009F27EE" w:rsidRDefault="009F27EE" w:rsidP="009F27EE">
      <w:pPr>
        <w:pStyle w:val="13"/>
      </w:pPr>
      <w:r w:rsidRPr="009F27EE">
        <w:rPr>
          <w:rFonts w:hint="eastAsia"/>
        </w:rPr>
        <w:t>金融企业首次公开发行上市过程中，被评估企业处于一个非常特殊的时点。随着上市进程的不断推进，拟上市企业的流动性会产生较大变化。一般认为上市公司的股权具有较高的流动性，而非上市公司的股权缺乏流动性。在金融企业首次公开发行上市评估基准日，被评估企业属于拟上市企业，其股权的流动性正好处于非上市公司与上市公司之间，并且还处于不断变化的过程之中。因此，金融企业首次公开发行上市评估需要恰当反映流动性变化对企业价值的影响。</w:t>
      </w:r>
    </w:p>
    <w:p w14:paraId="19910BA3" w14:textId="77777777" w:rsidR="009F27EE" w:rsidRPr="009F27EE" w:rsidRDefault="009F27EE" w:rsidP="009F27EE">
      <w:pPr>
        <w:pStyle w:val="13"/>
      </w:pPr>
      <w:r w:rsidRPr="009F27EE">
        <w:rPr>
          <w:rFonts w:hint="eastAsia"/>
        </w:rPr>
        <w:t>国有金融企业首次公开发行上市的历程通常包括“三步曲”，即企业改制、引进战略投资者和上市三个阶段，每个阶段对应一个经济行为，对应一个评估目的。在评估实践中，针对这三个评估目的分别出具的评估报告，应反映出流动性折扣的差异。考虑到改制、引进战略投资者和上市的时间顺序，以及投资者对被评估企业股权流动性的预期越来越强，首次公开发行上市评估报告估算的流动性折扣通常低于改制、引进战略投资者两个评估报告的水平。</w:t>
      </w:r>
    </w:p>
    <w:p w14:paraId="6C782921" w14:textId="77777777" w:rsidR="009F27EE" w:rsidRPr="009F27EE" w:rsidRDefault="009F27EE" w:rsidP="009F27EE">
      <w:pPr>
        <w:pStyle w:val="13"/>
      </w:pPr>
      <w:r w:rsidRPr="009F27EE">
        <w:rPr>
          <w:rFonts w:hint="eastAsia"/>
        </w:rPr>
        <w:t>（三）关注企业公开发行上市地对企业价值的影响</w:t>
      </w:r>
    </w:p>
    <w:p w14:paraId="58CECAAD" w14:textId="77777777" w:rsidR="009F27EE" w:rsidRPr="009F27EE" w:rsidRDefault="009F27EE" w:rsidP="009F27EE">
      <w:pPr>
        <w:pStyle w:val="13"/>
      </w:pPr>
      <w:r w:rsidRPr="009F27EE">
        <w:rPr>
          <w:rFonts w:hint="eastAsia"/>
        </w:rPr>
        <w:t>有观点认为，金融企业首次公开发行上市如果选择不同的股票市场，则企业价值评估也会得到不同的结论。</w:t>
      </w:r>
      <w:proofErr w:type="gramStart"/>
      <w:r w:rsidRPr="009F27EE">
        <w:rPr>
          <w:rFonts w:hint="eastAsia"/>
        </w:rPr>
        <w:t>本专家</w:t>
      </w:r>
      <w:proofErr w:type="gramEnd"/>
      <w:r w:rsidRPr="009F27EE">
        <w:rPr>
          <w:rFonts w:hint="eastAsia"/>
        </w:rPr>
        <w:t>指引建议结合市场价值的定义，以及评估方法运用过程中参数的选取条件等因素，综合判断上市地对评估结论的影响。</w:t>
      </w:r>
    </w:p>
    <w:p w14:paraId="10423A13" w14:textId="77777777" w:rsidR="009F27EE" w:rsidRPr="009F27EE" w:rsidRDefault="009F27EE" w:rsidP="009F27EE">
      <w:pPr>
        <w:pStyle w:val="13"/>
      </w:pPr>
      <w:r w:rsidRPr="009F27EE">
        <w:rPr>
          <w:rFonts w:hint="eastAsia"/>
        </w:rPr>
        <w:t>从理论上看，由于金融企业首次公开发行上市评估的价值类型适宜选择市场价值，而市场价值代表的是一个在评估基准日可使评估对象进行正常公平交易的市场，是自愿买方和自愿卖方在各自理性行事且未受任何强迫的情况下选择的市场，因此，为确定评估参数而选取的参照市场需首先要满足价值类型的基本要求。从评估实务上看，为确定评估参数而选取的参照市场主要有两种选择，一是拟上市地的资本市场，二是经营所在地的资本市场。一般情况下，建议优先选择拟上市所在地的资本市场数据确定评估参数。如果在拟上市所在地的资本市场找不到合适的可比企业，在满足评估方法基本适用条件的情况下也可以考虑使用经营所在地的资本市场上的可比企业，同时注意是否存在调整事项。比如，采用上市公司比较法确定流动性折扣时，如果所选取的可比公司所在上市地与被评估企业拟上市地不同，则需要按照拟上市地资本市场的股权流动性水平对参照市场的相关数据结果进行必要的调整。</w:t>
      </w:r>
    </w:p>
    <w:p w14:paraId="44C6A5C5" w14:textId="305BFE5A" w:rsidR="00E50D08" w:rsidRDefault="00E50D08" w:rsidP="00E50D08">
      <w:pPr>
        <w:pStyle w:val="31"/>
        <w:spacing w:before="156" w:after="62"/>
      </w:pPr>
      <w:bookmarkStart w:id="59" w:name="_Toc81833332"/>
      <w:r>
        <w:rPr>
          <w:rFonts w:hint="eastAsia"/>
        </w:rPr>
        <w:t>资产评估专家指引第</w:t>
      </w:r>
      <w:r>
        <w:t>3号—金融企业收益法评估模型与参数确定</w:t>
      </w:r>
      <w:r>
        <w:br/>
        <w:t>（</w:t>
      </w:r>
      <w:proofErr w:type="gramStart"/>
      <w:r>
        <w:t>中评协</w:t>
      </w:r>
      <w:proofErr w:type="gramEnd"/>
      <w:r>
        <w:t>〔2015〕64号）</w:t>
      </w:r>
      <w:bookmarkEnd w:id="59"/>
    </w:p>
    <w:p w14:paraId="13D24EAF" w14:textId="77777777" w:rsidR="00E50D08" w:rsidRDefault="00E50D08" w:rsidP="00E50D08">
      <w:pPr>
        <w:pStyle w:val="13"/>
        <w:ind w:firstLineChars="0" w:firstLine="0"/>
      </w:pPr>
      <w:r>
        <w:rPr>
          <w:rFonts w:hint="eastAsia"/>
        </w:rPr>
        <w:t>各省、自治区、直辖市、计划单列市资产评估协会（注册会计师协会），具有证券评估业务资格的资产评估机构：</w:t>
      </w:r>
    </w:p>
    <w:p w14:paraId="06215A6E" w14:textId="77777777" w:rsidR="00E50D08" w:rsidRDefault="00E50D08" w:rsidP="00E50D08">
      <w:pPr>
        <w:pStyle w:val="13"/>
      </w:pPr>
      <w:r>
        <w:rPr>
          <w:rFonts w:hint="eastAsia"/>
        </w:rPr>
        <w:t>为指导评估机构执行金融企业评估业务，提升评估行业服务质量，在财政部金融</w:t>
      </w:r>
      <w:r>
        <w:rPr>
          <w:rFonts w:hint="eastAsia"/>
        </w:rPr>
        <w:lastRenderedPageBreak/>
        <w:t>司指导下，中国资产评估协会组织专家制定了《资产评估专家指引第</w:t>
      </w:r>
      <w:r>
        <w:t xml:space="preserve"> 3号—金融企业收益法评估模型与参数确定》，现予以发布，供评估机构和资产评估</w:t>
      </w:r>
      <w:proofErr w:type="gramStart"/>
      <w:r>
        <w:t>师执行</w:t>
      </w:r>
      <w:proofErr w:type="gramEnd"/>
      <w:r>
        <w:t>金融企业评估业务时参考。</w:t>
      </w:r>
    </w:p>
    <w:p w14:paraId="4896F30B" w14:textId="77777777" w:rsidR="00E50D08" w:rsidRDefault="00E50D08" w:rsidP="00E50D08">
      <w:pPr>
        <w:pStyle w:val="13"/>
      </w:pPr>
      <w:r>
        <w:rPr>
          <w:rFonts w:hint="eastAsia"/>
        </w:rPr>
        <w:t>专家指引由中国资产评估协会组织具有丰富理论和实践经验的专家进行起草。专家指引来自于专家自身经验和以往案例，是优秀评估实践的具体体现。但由于评估业务因不同经济行为、交易目的存在多样复杂的情况，专家指引可能会具有一定的局限性。因此，专家指引不作为执业的强制性标准。</w:t>
      </w:r>
    </w:p>
    <w:p w14:paraId="61F6D8F7" w14:textId="77777777" w:rsidR="00E50D08" w:rsidRDefault="00E50D08" w:rsidP="00E50D08">
      <w:pPr>
        <w:pStyle w:val="13"/>
      </w:pPr>
      <w:r>
        <w:rPr>
          <w:rFonts w:hint="eastAsia"/>
        </w:rPr>
        <w:t>请各地</w:t>
      </w:r>
      <w:proofErr w:type="gramStart"/>
      <w:r>
        <w:rPr>
          <w:rFonts w:hint="eastAsia"/>
        </w:rPr>
        <w:t>方协会</w:t>
      </w:r>
      <w:proofErr w:type="gramEnd"/>
      <w:r>
        <w:rPr>
          <w:rFonts w:hint="eastAsia"/>
        </w:rPr>
        <w:t>将《资产评估专家指引第</w:t>
      </w:r>
      <w:r>
        <w:t xml:space="preserve"> 3号—金融企业收益法评估模型与参数确定》及时转发评估机构。</w:t>
      </w:r>
    </w:p>
    <w:p w14:paraId="55EE721E" w14:textId="77777777" w:rsidR="00E50D08" w:rsidRDefault="00E50D08" w:rsidP="00E50D08">
      <w:pPr>
        <w:pStyle w:val="13"/>
        <w:jc w:val="right"/>
      </w:pPr>
      <w:r>
        <w:rPr>
          <w:rFonts w:hint="eastAsia"/>
        </w:rPr>
        <w:t>中国资产评估协会</w:t>
      </w:r>
    </w:p>
    <w:p w14:paraId="57BA9B9B" w14:textId="7BF45E04" w:rsidR="009F27EE" w:rsidRPr="00E50D08" w:rsidRDefault="00E50D08" w:rsidP="00E50D08">
      <w:pPr>
        <w:pStyle w:val="13"/>
        <w:jc w:val="right"/>
      </w:pPr>
      <w:r>
        <w:t>2015</w:t>
      </w:r>
      <w:r w:rsidR="003068F8">
        <w:t>年</w:t>
      </w:r>
      <w:r>
        <w:t>7</w:t>
      </w:r>
      <w:r w:rsidR="003068F8">
        <w:t>月</w:t>
      </w:r>
      <w:r>
        <w:t>22</w:t>
      </w:r>
      <w:r w:rsidR="003068F8">
        <w:t>日</w:t>
      </w:r>
    </w:p>
    <w:p w14:paraId="2CF065B2" w14:textId="65CA66FA" w:rsidR="009F27EE" w:rsidRPr="00E50D08" w:rsidRDefault="00E50D08" w:rsidP="00AF7342">
      <w:pPr>
        <w:pStyle w:val="a9"/>
        <w:spacing w:before="62" w:after="62"/>
      </w:pPr>
      <w:r>
        <w:rPr>
          <w:rFonts w:hint="eastAsia"/>
        </w:rPr>
        <w:t>资产评估专家指引第</w:t>
      </w:r>
      <w:r>
        <w:t>3号——金融企业</w:t>
      </w:r>
      <w:r>
        <w:rPr>
          <w:rFonts w:hint="eastAsia"/>
        </w:rPr>
        <w:t>收益法评估模型与参数确定</w:t>
      </w:r>
    </w:p>
    <w:p w14:paraId="3A551B53" w14:textId="77777777" w:rsidR="00E50D08" w:rsidRPr="00E50D08" w:rsidRDefault="00E50D08" w:rsidP="00E50D08">
      <w:pPr>
        <w:pStyle w:val="13"/>
      </w:pPr>
      <w:proofErr w:type="gramStart"/>
      <w:r w:rsidRPr="00E50D08">
        <w:rPr>
          <w:rFonts w:hint="eastAsia"/>
        </w:rPr>
        <w:t>本专家</w:t>
      </w:r>
      <w:proofErr w:type="gramEnd"/>
      <w:r w:rsidRPr="00E50D08">
        <w:rPr>
          <w:rFonts w:hint="eastAsia"/>
        </w:rPr>
        <w:t>指引是一种专家建议。评估机构执行资产评估业务，可以参照</w:t>
      </w:r>
      <w:proofErr w:type="gramStart"/>
      <w:r w:rsidRPr="00E50D08">
        <w:rPr>
          <w:rFonts w:hint="eastAsia"/>
        </w:rPr>
        <w:t>本专家</w:t>
      </w:r>
      <w:proofErr w:type="gramEnd"/>
      <w:r w:rsidRPr="00E50D08">
        <w:rPr>
          <w:rFonts w:hint="eastAsia"/>
        </w:rPr>
        <w:t>指引，也可以根据具体情况采用其他适当的做法。中国资产评估协会将根据业务发展，对</w:t>
      </w:r>
      <w:proofErr w:type="gramStart"/>
      <w:r w:rsidRPr="00E50D08">
        <w:rPr>
          <w:rFonts w:hint="eastAsia"/>
        </w:rPr>
        <w:t>本专家</w:t>
      </w:r>
      <w:proofErr w:type="gramEnd"/>
      <w:r w:rsidRPr="00E50D08">
        <w:rPr>
          <w:rFonts w:hint="eastAsia"/>
        </w:rPr>
        <w:t>指引进行更新。</w:t>
      </w:r>
    </w:p>
    <w:p w14:paraId="7A24E383" w14:textId="77777777" w:rsidR="00E50D08" w:rsidRPr="00E50D08" w:rsidRDefault="00E50D08" w:rsidP="00E905CE">
      <w:pPr>
        <w:pStyle w:val="ab"/>
        <w:spacing w:before="62" w:after="62"/>
        <w:ind w:firstLine="482"/>
        <w:rPr>
          <w:lang w:val="zh-TW"/>
        </w:rPr>
      </w:pPr>
      <w:r w:rsidRPr="00E50D08">
        <w:rPr>
          <w:lang w:val="zh-TW"/>
        </w:rPr>
        <w:t>一、</w:t>
      </w:r>
      <w:r w:rsidRPr="00E50D08">
        <w:rPr>
          <w:rFonts w:hint="eastAsia"/>
          <w:lang w:val="zh-TW"/>
        </w:rPr>
        <w:t>引言</w:t>
      </w:r>
    </w:p>
    <w:p w14:paraId="74391664" w14:textId="17095A27" w:rsidR="00E50D08" w:rsidRPr="00E50D08" w:rsidRDefault="004E3EBB" w:rsidP="00E50D08">
      <w:pPr>
        <w:pStyle w:val="13"/>
        <w:ind w:firstLine="482"/>
        <w:rPr>
          <w:lang w:val="zh-TW"/>
        </w:rPr>
      </w:pPr>
      <w:r w:rsidRPr="004E3EBB">
        <w:rPr>
          <w:b/>
          <w:bCs/>
          <w:lang w:val="zh-TW"/>
        </w:rPr>
        <w:t xml:space="preserve">第一条 </w:t>
      </w:r>
      <w:r w:rsidR="00E50D08" w:rsidRPr="00E50D08">
        <w:rPr>
          <w:lang w:val="zh-TW"/>
        </w:rPr>
        <w:t>为指导评估机构运用收益法对金融企业进行评估，中国资产评估协会组织制定了</w:t>
      </w:r>
      <w:proofErr w:type="gramStart"/>
      <w:r w:rsidR="00E50D08" w:rsidRPr="00E50D08">
        <w:rPr>
          <w:lang w:val="zh-TW"/>
        </w:rPr>
        <w:t>本</w:t>
      </w:r>
      <w:r w:rsidR="00E50D08" w:rsidRPr="00E50D08">
        <w:rPr>
          <w:rFonts w:hint="eastAsia"/>
          <w:lang w:val="zh-TW"/>
        </w:rPr>
        <w:t>专家</w:t>
      </w:r>
      <w:proofErr w:type="gramEnd"/>
      <w:r w:rsidR="00E50D08" w:rsidRPr="00E50D08">
        <w:rPr>
          <w:rFonts w:hint="eastAsia"/>
          <w:lang w:val="zh-TW"/>
        </w:rPr>
        <w:t>指引</w:t>
      </w:r>
      <w:r w:rsidR="00E50D08" w:rsidRPr="00E50D08">
        <w:rPr>
          <w:lang w:val="zh-TW"/>
        </w:rPr>
        <w:t>。</w:t>
      </w:r>
    </w:p>
    <w:p w14:paraId="4D1CF9A1" w14:textId="7AC01C88" w:rsidR="00E50D08" w:rsidRPr="00E50D08" w:rsidRDefault="004E3EBB" w:rsidP="00E50D08">
      <w:pPr>
        <w:pStyle w:val="13"/>
        <w:ind w:firstLine="482"/>
        <w:rPr>
          <w:lang w:val="zh-TW"/>
        </w:rPr>
      </w:pPr>
      <w:r w:rsidRPr="004E3EBB">
        <w:rPr>
          <w:b/>
          <w:bCs/>
          <w:lang w:val="zh-TW"/>
        </w:rPr>
        <w:t xml:space="preserve">第二条 </w:t>
      </w:r>
      <w:r w:rsidR="00E50D08" w:rsidRPr="00E50D08">
        <w:rPr>
          <w:rFonts w:hint="eastAsia"/>
          <w:lang w:val="zh-TW"/>
        </w:rPr>
        <w:t>资产评估师</w:t>
      </w:r>
      <w:r w:rsidR="00E50D08" w:rsidRPr="00E50D08">
        <w:rPr>
          <w:lang w:val="zh-TW"/>
        </w:rPr>
        <w:t>应知晓不同类型的金融企业有各自的业务模式，收益法评估中应据此选取适当的评估模型和参数。</w:t>
      </w:r>
    </w:p>
    <w:p w14:paraId="6BA186B4" w14:textId="5140DF0F" w:rsidR="00E50D08" w:rsidRPr="00E50D08" w:rsidRDefault="004E3EBB" w:rsidP="00E50D08">
      <w:pPr>
        <w:pStyle w:val="13"/>
        <w:ind w:firstLine="482"/>
        <w:rPr>
          <w:lang w:val="zh-TW"/>
        </w:rPr>
      </w:pPr>
      <w:r w:rsidRPr="004E3EBB">
        <w:rPr>
          <w:b/>
          <w:bCs/>
          <w:lang w:val="zh-TW"/>
        </w:rPr>
        <w:t xml:space="preserve">第三条 </w:t>
      </w:r>
      <w:r w:rsidR="00E50D08" w:rsidRPr="00E50D08">
        <w:rPr>
          <w:lang w:val="zh-TW"/>
        </w:rPr>
        <w:t>金融企业是特许经营行业，行政监管严格，</w:t>
      </w:r>
      <w:r w:rsidR="00E50D08" w:rsidRPr="00E50D08">
        <w:rPr>
          <w:rFonts w:hint="eastAsia"/>
          <w:lang w:val="zh-TW"/>
        </w:rPr>
        <w:t>资产评估师</w:t>
      </w:r>
      <w:r w:rsidR="00E50D08" w:rsidRPr="00E50D08">
        <w:rPr>
          <w:lang w:val="zh-TW"/>
        </w:rPr>
        <w:t>在收益法评估模型和参数确定时应适当考虑监管指标的要求。</w:t>
      </w:r>
    </w:p>
    <w:p w14:paraId="3D65ACF0" w14:textId="77777777" w:rsidR="00E50D08" w:rsidRPr="00E50D08" w:rsidRDefault="00E50D08" w:rsidP="00E905CE">
      <w:pPr>
        <w:pStyle w:val="ab"/>
        <w:spacing w:before="62" w:after="62"/>
        <w:ind w:firstLine="482"/>
        <w:rPr>
          <w:lang w:eastAsia="zh-TW"/>
        </w:rPr>
      </w:pPr>
      <w:r w:rsidRPr="00E50D08">
        <w:rPr>
          <w:lang w:eastAsia="zh-TW"/>
        </w:rPr>
        <w:t>二、评估模型</w:t>
      </w:r>
    </w:p>
    <w:p w14:paraId="00A83E6B" w14:textId="6892160B" w:rsidR="00E50D08" w:rsidRPr="00E50D08" w:rsidRDefault="004E3EBB" w:rsidP="00E50D08">
      <w:pPr>
        <w:pStyle w:val="13"/>
        <w:ind w:firstLine="482"/>
        <w:rPr>
          <w:lang w:eastAsia="zh-TW"/>
        </w:rPr>
      </w:pPr>
      <w:r w:rsidRPr="004E3EBB">
        <w:rPr>
          <w:b/>
          <w:bCs/>
          <w:lang w:eastAsia="zh-TW"/>
        </w:rPr>
        <w:t xml:space="preserve">第四条 </w:t>
      </w:r>
      <w:r w:rsidR="00E50D08" w:rsidRPr="00E50D08">
        <w:rPr>
          <w:rFonts w:hint="eastAsia"/>
          <w:lang w:eastAsia="zh-TW"/>
        </w:rPr>
        <w:t>资产评估师</w:t>
      </w:r>
      <w:r w:rsidR="00E50D08" w:rsidRPr="00E50D08">
        <w:rPr>
          <w:lang w:eastAsia="zh-TW"/>
        </w:rPr>
        <w:t>在确定金融企业收益法评估模型与参数时，应区分控股性产权变动业务和非控股性产权变动业务。</w:t>
      </w:r>
    </w:p>
    <w:p w14:paraId="516F506F" w14:textId="62666CAE" w:rsidR="00E50D08" w:rsidRPr="00E50D08" w:rsidRDefault="004E3EBB" w:rsidP="00E50D08">
      <w:pPr>
        <w:pStyle w:val="13"/>
        <w:ind w:firstLine="482"/>
        <w:rPr>
          <w:lang w:eastAsia="zh-TW"/>
        </w:rPr>
      </w:pPr>
      <w:r w:rsidRPr="004E3EBB">
        <w:rPr>
          <w:b/>
          <w:bCs/>
          <w:lang w:eastAsia="zh-TW"/>
        </w:rPr>
        <w:t xml:space="preserve">第五条 </w:t>
      </w:r>
      <w:r w:rsidR="00E50D08" w:rsidRPr="00E50D08">
        <w:rPr>
          <w:lang w:eastAsia="zh-TW"/>
        </w:rPr>
        <w:t>在金融企业控股性产权变动业务中，金融企业收益法评估可以采用</w:t>
      </w:r>
      <w:r w:rsidR="00E50D08" w:rsidRPr="00E50D08">
        <w:rPr>
          <w:rFonts w:hint="eastAsia"/>
          <w:lang w:eastAsia="zh-TW"/>
        </w:rPr>
        <w:t>股权自由现金流折现模型</w:t>
      </w:r>
      <w:r w:rsidR="00E50D08" w:rsidRPr="00E50D08">
        <w:rPr>
          <w:lang w:eastAsia="zh-TW"/>
        </w:rPr>
        <w:t>，如</w:t>
      </w:r>
      <w:r w:rsidR="00E50D08" w:rsidRPr="00E50D08">
        <w:rPr>
          <w:rFonts w:hint="eastAsia"/>
          <w:lang w:eastAsia="zh-TW"/>
        </w:rPr>
        <w:t>，</w:t>
      </w:r>
      <w:r w:rsidR="00E50D08" w:rsidRPr="00E50D08">
        <w:rPr>
          <w:lang w:eastAsia="zh-TW"/>
        </w:rPr>
        <w:t>银行</w:t>
      </w:r>
      <w:r w:rsidR="00E50D08" w:rsidRPr="00E50D08">
        <w:rPr>
          <w:rFonts w:hint="eastAsia"/>
          <w:lang w:eastAsia="zh-TW"/>
        </w:rPr>
        <w:t>、</w:t>
      </w:r>
      <w:r w:rsidR="00E50D08" w:rsidRPr="00E50D08">
        <w:rPr>
          <w:lang w:eastAsia="zh-TW"/>
        </w:rPr>
        <w:t>保险公司</w:t>
      </w:r>
      <w:r w:rsidR="00E50D08" w:rsidRPr="00E50D08">
        <w:rPr>
          <w:rFonts w:hint="eastAsia"/>
          <w:lang w:eastAsia="zh-TW"/>
        </w:rPr>
        <w:t>、</w:t>
      </w:r>
      <w:r w:rsidR="00E50D08" w:rsidRPr="00E50D08">
        <w:rPr>
          <w:lang w:eastAsia="zh-TW"/>
        </w:rPr>
        <w:t>证券公司等</w:t>
      </w:r>
      <w:r w:rsidR="00E50D08" w:rsidRPr="00E50D08">
        <w:rPr>
          <w:rFonts w:hint="eastAsia"/>
          <w:lang w:eastAsia="zh-TW"/>
        </w:rPr>
        <w:t>，</w:t>
      </w:r>
      <w:r w:rsidR="00E50D08" w:rsidRPr="00E50D08">
        <w:rPr>
          <w:lang w:eastAsia="zh-TW"/>
        </w:rPr>
        <w:t>也可以采用</w:t>
      </w:r>
      <w:r w:rsidR="00E50D08" w:rsidRPr="00E50D08">
        <w:rPr>
          <w:rFonts w:hint="eastAsia"/>
          <w:lang w:eastAsia="zh-TW"/>
        </w:rPr>
        <w:t>企业自由现金流折现模型，如金融租赁公司等。</w:t>
      </w:r>
      <w:r w:rsidR="00E50D08" w:rsidRPr="00E50D08">
        <w:rPr>
          <w:lang w:eastAsia="zh-TW"/>
        </w:rPr>
        <w:t>其中</w:t>
      </w:r>
      <w:r w:rsidR="00E50D08" w:rsidRPr="00E50D08">
        <w:rPr>
          <w:rFonts w:hint="eastAsia"/>
          <w:lang w:eastAsia="zh-TW"/>
        </w:rPr>
        <w:t>：</w:t>
      </w:r>
    </w:p>
    <w:p w14:paraId="366D89B1" w14:textId="77777777" w:rsidR="00E50D08" w:rsidRPr="00E50D08" w:rsidRDefault="00E50D08" w:rsidP="00E50D08">
      <w:pPr>
        <w:pStyle w:val="13"/>
        <w:rPr>
          <w:lang w:eastAsia="zh-TW"/>
        </w:rPr>
      </w:pPr>
      <w:r w:rsidRPr="00E50D08">
        <w:rPr>
          <w:lang w:eastAsia="zh-TW"/>
        </w:rPr>
        <w:t>股权自由现金流量的计算可以参照如下公式：</w:t>
      </w:r>
    </w:p>
    <w:p w14:paraId="234828AA" w14:textId="77777777" w:rsidR="00E50D08" w:rsidRPr="00E50D08" w:rsidRDefault="00E50D08" w:rsidP="00E50D08">
      <w:pPr>
        <w:pStyle w:val="13"/>
        <w:rPr>
          <w:lang w:eastAsia="zh-TW"/>
        </w:rPr>
      </w:pPr>
      <w:r w:rsidRPr="00E50D08">
        <w:rPr>
          <w:lang w:eastAsia="zh-TW"/>
        </w:rPr>
        <w:t>股权自由现金流量=净利润-权益增加额+其他综合</w:t>
      </w:r>
      <w:r w:rsidRPr="00E50D08">
        <w:rPr>
          <w:rFonts w:hint="eastAsia"/>
          <w:lang w:eastAsia="zh-TW"/>
        </w:rPr>
        <w:t>收益</w:t>
      </w:r>
    </w:p>
    <w:p w14:paraId="224CC1AC" w14:textId="77777777" w:rsidR="00E50D08" w:rsidRPr="00E50D08" w:rsidRDefault="00E50D08" w:rsidP="00E50D08">
      <w:pPr>
        <w:pStyle w:val="13"/>
        <w:rPr>
          <w:lang w:eastAsia="zh-TW"/>
        </w:rPr>
      </w:pPr>
      <w:r w:rsidRPr="00E50D08">
        <w:rPr>
          <w:lang w:eastAsia="zh-TW"/>
        </w:rPr>
        <w:t>净利润是由企业的收入减去支出决定的；</w:t>
      </w:r>
    </w:p>
    <w:p w14:paraId="75AEBAFF" w14:textId="77777777" w:rsidR="00E50D08" w:rsidRPr="00E50D08" w:rsidRDefault="00E50D08" w:rsidP="00E50D08">
      <w:pPr>
        <w:pStyle w:val="13"/>
        <w:rPr>
          <w:lang w:eastAsia="zh-TW"/>
        </w:rPr>
      </w:pPr>
      <w:r w:rsidRPr="00E50D08">
        <w:rPr>
          <w:lang w:eastAsia="zh-TW"/>
        </w:rPr>
        <w:t>权益增加额与资本性支出和</w:t>
      </w:r>
      <w:r w:rsidRPr="00E50D08">
        <w:rPr>
          <w:rFonts w:hint="eastAsia"/>
          <w:lang w:eastAsia="zh-TW"/>
        </w:rPr>
        <w:t>净流动资金增加额</w:t>
      </w:r>
      <w:r w:rsidRPr="00E50D08">
        <w:rPr>
          <w:lang w:eastAsia="zh-TW"/>
        </w:rPr>
        <w:t>之间存在差异，概念不应混同。</w:t>
      </w:r>
    </w:p>
    <w:p w14:paraId="4B48CED5" w14:textId="77777777" w:rsidR="00E50D08" w:rsidRPr="00E50D08" w:rsidRDefault="00E50D08" w:rsidP="00E50D08">
      <w:pPr>
        <w:pStyle w:val="13"/>
        <w:rPr>
          <w:lang w:eastAsia="zh-TW"/>
        </w:rPr>
      </w:pPr>
      <w:r w:rsidRPr="00E50D08">
        <w:rPr>
          <w:lang w:eastAsia="zh-TW"/>
        </w:rPr>
        <w:t>权益增加额应通过所有者权益科目的变化进行预测。</w:t>
      </w:r>
    </w:p>
    <w:p w14:paraId="4333A782" w14:textId="77777777" w:rsidR="00E50D08" w:rsidRPr="00E50D08" w:rsidRDefault="00E50D08" w:rsidP="00E50D08">
      <w:pPr>
        <w:pStyle w:val="13"/>
        <w:rPr>
          <w:lang w:eastAsia="zh-TW"/>
        </w:rPr>
      </w:pPr>
      <w:r w:rsidRPr="00E50D08">
        <w:rPr>
          <w:rFonts w:hint="eastAsia"/>
          <w:lang w:eastAsia="zh-TW"/>
        </w:rPr>
        <w:lastRenderedPageBreak/>
        <w:t>其他综合收益，是指企业根据《企业会计准则第30号——财务报表列报》的要求，列示在利润表中的其他综合收益，是指根据其他会计准则规定未在当期损益中确认的各项利得和损失（《企业会计准则第30号——财务报表列报》第33条。）。</w:t>
      </w:r>
    </w:p>
    <w:p w14:paraId="2FADEFCF" w14:textId="77777777" w:rsidR="00E50D08" w:rsidRPr="00E50D08" w:rsidRDefault="00E50D08" w:rsidP="00E50D08">
      <w:pPr>
        <w:pStyle w:val="13"/>
        <w:rPr>
          <w:lang w:eastAsia="zh-TW"/>
        </w:rPr>
      </w:pPr>
      <w:r w:rsidRPr="00E50D08">
        <w:rPr>
          <w:rFonts w:hint="eastAsia"/>
          <w:lang w:eastAsia="zh-TW"/>
        </w:rPr>
        <w:t>企业自由现金流量的计算公式可以参照如下公式：</w:t>
      </w:r>
    </w:p>
    <w:p w14:paraId="3ED599E9" w14:textId="77777777" w:rsidR="00E50D08" w:rsidRPr="00E50D08" w:rsidRDefault="00E50D08" w:rsidP="00E50D08">
      <w:pPr>
        <w:pStyle w:val="13"/>
        <w:rPr>
          <w:lang w:eastAsia="zh-TW"/>
        </w:rPr>
      </w:pPr>
      <w:r w:rsidRPr="00E50D08">
        <w:rPr>
          <w:rFonts w:hint="eastAsia"/>
          <w:lang w:eastAsia="zh-TW"/>
        </w:rPr>
        <w:t>企业自由现金流量=息前税后净利润+折旧、摊销-资本性支出-净流动资金增加额</w:t>
      </w:r>
    </w:p>
    <w:p w14:paraId="237E64F3" w14:textId="12F76ED5" w:rsidR="00E50D08" w:rsidRPr="00E50D08" w:rsidRDefault="00E50D08" w:rsidP="00E50D08">
      <w:pPr>
        <w:pStyle w:val="13"/>
        <w:rPr>
          <w:lang w:eastAsia="zh-TW"/>
        </w:rPr>
      </w:pPr>
      <w:r w:rsidRPr="00E50D08">
        <w:rPr>
          <w:rFonts w:hint="eastAsia"/>
          <w:lang w:eastAsia="zh-TW"/>
        </w:rPr>
        <w:t>资本性支出是指企业用来购买、改善、扩张固定资产等用途的支出；</w:t>
      </w:r>
    </w:p>
    <w:p w14:paraId="42F387EF" w14:textId="77777777" w:rsidR="00E50D08" w:rsidRPr="00E50D08" w:rsidRDefault="00E50D08" w:rsidP="00E50D08">
      <w:pPr>
        <w:pStyle w:val="13"/>
        <w:rPr>
          <w:lang w:eastAsia="zh-TW"/>
        </w:rPr>
      </w:pPr>
      <w:r w:rsidRPr="00E50D08">
        <w:rPr>
          <w:rFonts w:hint="eastAsia"/>
          <w:lang w:eastAsia="zh-TW"/>
        </w:rPr>
        <w:t>净流动资金增加额是指为营运准备的现金，一般定义为流动资产减去流动负债。</w:t>
      </w:r>
    </w:p>
    <w:p w14:paraId="13B2A482" w14:textId="42C3931E" w:rsidR="00E50D08" w:rsidRPr="00E50D08" w:rsidRDefault="004E3EBB" w:rsidP="00E50D08">
      <w:pPr>
        <w:pStyle w:val="13"/>
        <w:ind w:firstLine="482"/>
        <w:rPr>
          <w:lang w:eastAsia="zh-TW"/>
        </w:rPr>
      </w:pPr>
      <w:r w:rsidRPr="004E3EBB">
        <w:rPr>
          <w:b/>
          <w:bCs/>
          <w:lang w:eastAsia="zh-TW"/>
        </w:rPr>
        <w:t xml:space="preserve">第六条 </w:t>
      </w:r>
      <w:r w:rsidR="00E50D08" w:rsidRPr="00E50D08">
        <w:rPr>
          <w:lang w:eastAsia="zh-TW"/>
        </w:rPr>
        <w:t>根据评估对象的周期性特点，采用两阶段、三阶段或其他评估模型，报告中应说明采用模型的理由。</w:t>
      </w:r>
    </w:p>
    <w:p w14:paraId="475DCA0C" w14:textId="77777777" w:rsidR="00E50D08" w:rsidRPr="00E50D08" w:rsidRDefault="00E50D08" w:rsidP="00E50D08">
      <w:pPr>
        <w:pStyle w:val="13"/>
        <w:rPr>
          <w:lang w:eastAsia="zh-TW"/>
        </w:rPr>
      </w:pPr>
      <w:r w:rsidRPr="00E50D08">
        <w:rPr>
          <w:lang w:eastAsia="zh-TW"/>
        </w:rPr>
        <w:t>可以通过长期监测并计算利润波动幅度的变异系数来判断行业的周期性，进而客观、科学地预测企业未来的收益和风险。</w:t>
      </w:r>
    </w:p>
    <w:p w14:paraId="741CF863" w14:textId="581FDD6E" w:rsidR="00E50D08" w:rsidRPr="00E50D08" w:rsidRDefault="004E3EBB" w:rsidP="00E50D08">
      <w:pPr>
        <w:pStyle w:val="13"/>
        <w:ind w:firstLine="482"/>
        <w:rPr>
          <w:lang w:eastAsia="zh-TW"/>
        </w:rPr>
      </w:pPr>
      <w:r w:rsidRPr="004E3EBB">
        <w:rPr>
          <w:b/>
          <w:bCs/>
          <w:lang w:eastAsia="zh-TW"/>
        </w:rPr>
        <w:t xml:space="preserve">第七条 </w:t>
      </w:r>
      <w:r w:rsidR="00E50D08" w:rsidRPr="00E50D08">
        <w:rPr>
          <w:lang w:eastAsia="zh-TW"/>
        </w:rPr>
        <w:t>企业持续经营中，待企业达到正常稳定经营后，评估模型可以考虑永续期间的价值，永续模型可以采用永续不增长模型或永续增长模型。若采用永续增长模型，则应在折现率中适当体现</w:t>
      </w:r>
      <w:r w:rsidR="00E50D08" w:rsidRPr="00E50D08">
        <w:rPr>
          <w:rFonts w:hint="eastAsia"/>
          <w:lang w:eastAsia="zh-TW"/>
        </w:rPr>
        <w:t>永续</w:t>
      </w:r>
      <w:r w:rsidR="00E50D08" w:rsidRPr="00E50D08">
        <w:rPr>
          <w:lang w:eastAsia="zh-TW"/>
        </w:rPr>
        <w:t>增长的要求。</w:t>
      </w:r>
    </w:p>
    <w:p w14:paraId="1671D97D" w14:textId="77777777" w:rsidR="00E50D08" w:rsidRPr="00E50D08" w:rsidRDefault="00E50D08" w:rsidP="00E50D08">
      <w:pPr>
        <w:pStyle w:val="13"/>
        <w:rPr>
          <w:lang w:eastAsia="zh-TW"/>
        </w:rPr>
      </w:pPr>
      <w:r w:rsidRPr="00E50D08">
        <w:rPr>
          <w:lang w:eastAsia="zh-TW"/>
        </w:rPr>
        <w:t>在采用永续增长模型中，增长率应根据企业的留存收益率和股利分配率合理确定。</w:t>
      </w:r>
    </w:p>
    <w:p w14:paraId="28B15D10" w14:textId="77777777" w:rsidR="00E50D08" w:rsidRPr="00E50D08" w:rsidRDefault="00E50D08" w:rsidP="00E50D08">
      <w:pPr>
        <w:pStyle w:val="13"/>
        <w:rPr>
          <w:lang w:eastAsia="zh-TW"/>
        </w:rPr>
      </w:pPr>
      <w:r w:rsidRPr="00E50D08">
        <w:rPr>
          <w:lang w:eastAsia="zh-TW"/>
        </w:rPr>
        <w:t>在永续增长阶段通常不考虑通货膨胀率。</w:t>
      </w:r>
    </w:p>
    <w:p w14:paraId="374C01AF" w14:textId="4B3A1C83" w:rsidR="00E50D08" w:rsidRPr="00E50D08" w:rsidRDefault="004E3EBB" w:rsidP="00E50D08">
      <w:pPr>
        <w:pStyle w:val="13"/>
        <w:ind w:firstLine="482"/>
        <w:rPr>
          <w:lang w:eastAsia="zh-TW"/>
        </w:rPr>
      </w:pPr>
      <w:r w:rsidRPr="004E3EBB">
        <w:rPr>
          <w:b/>
          <w:bCs/>
          <w:lang w:eastAsia="zh-TW"/>
        </w:rPr>
        <w:t xml:space="preserve">第八条 </w:t>
      </w:r>
      <w:r w:rsidR="00E50D08" w:rsidRPr="00E50D08">
        <w:rPr>
          <w:lang w:eastAsia="zh-TW"/>
        </w:rPr>
        <w:t>金融企业非控股性产权变动业务中，可以采用股利折现模型</w:t>
      </w:r>
      <w:r w:rsidR="00E50D08" w:rsidRPr="00E50D08">
        <w:rPr>
          <w:rFonts w:hint="eastAsia"/>
          <w:lang w:eastAsia="zh-TW"/>
        </w:rPr>
        <w:t>。</w:t>
      </w:r>
    </w:p>
    <w:p w14:paraId="79E96C5D" w14:textId="77777777" w:rsidR="00E50D08" w:rsidRPr="00E50D08" w:rsidRDefault="00E50D08" w:rsidP="00E50D08">
      <w:pPr>
        <w:pStyle w:val="13"/>
        <w:rPr>
          <w:lang w:eastAsia="zh-TW"/>
        </w:rPr>
      </w:pPr>
      <w:r w:rsidRPr="00E50D08">
        <w:rPr>
          <w:lang w:eastAsia="zh-TW"/>
        </w:rPr>
        <w:t>股利折现模型亦可以采用增长模式，增长率应根据企业的留存收益率和股利分配率合理确定。</w:t>
      </w:r>
    </w:p>
    <w:p w14:paraId="0AEF2B2B" w14:textId="77777777" w:rsidR="00E50D08" w:rsidRPr="00E50D08" w:rsidRDefault="00E50D08" w:rsidP="00E905CE">
      <w:pPr>
        <w:pStyle w:val="ab"/>
        <w:spacing w:before="62" w:after="62"/>
        <w:ind w:firstLine="482"/>
        <w:rPr>
          <w:lang w:eastAsia="zh-TW"/>
        </w:rPr>
      </w:pPr>
      <w:r w:rsidRPr="00E50D08">
        <w:rPr>
          <w:lang w:eastAsia="zh-TW"/>
        </w:rPr>
        <w:t>三、金融企业收入等项目的预测思路</w:t>
      </w:r>
    </w:p>
    <w:p w14:paraId="1457BC02" w14:textId="2DFECDBE" w:rsidR="00E50D08" w:rsidRPr="00E50D08" w:rsidRDefault="00E05BDA" w:rsidP="00E50D08">
      <w:pPr>
        <w:pStyle w:val="13"/>
        <w:ind w:firstLine="482"/>
        <w:rPr>
          <w:lang w:eastAsia="zh-TW"/>
        </w:rPr>
      </w:pPr>
      <w:r w:rsidRPr="00E05BDA">
        <w:rPr>
          <w:b/>
          <w:bCs/>
          <w:lang w:eastAsia="zh-TW"/>
        </w:rPr>
        <w:t xml:space="preserve">第九条 </w:t>
      </w:r>
      <w:r w:rsidR="00E50D08" w:rsidRPr="00E50D08">
        <w:rPr>
          <w:lang w:eastAsia="zh-TW"/>
        </w:rPr>
        <w:t>金融企业收益法评估中，宜按照先预测资产负债表</w:t>
      </w:r>
      <w:r w:rsidR="00E50D08" w:rsidRPr="00E50D08">
        <w:rPr>
          <w:rFonts w:hint="eastAsia"/>
          <w:lang w:eastAsia="zh-TW"/>
        </w:rPr>
        <w:t>，</w:t>
      </w:r>
      <w:r w:rsidR="00E50D08" w:rsidRPr="00E50D08">
        <w:rPr>
          <w:lang w:eastAsia="zh-TW"/>
        </w:rPr>
        <w:t>根据负债情况</w:t>
      </w:r>
      <w:r w:rsidR="00E50D08" w:rsidRPr="00E50D08">
        <w:rPr>
          <w:rFonts w:hint="eastAsia"/>
          <w:lang w:eastAsia="zh-TW"/>
        </w:rPr>
        <w:t>（</w:t>
      </w:r>
      <w:r w:rsidR="00E50D08" w:rsidRPr="00E50D08">
        <w:rPr>
          <w:lang w:eastAsia="zh-TW"/>
        </w:rPr>
        <w:t>资金来源</w:t>
      </w:r>
      <w:r w:rsidR="00E50D08" w:rsidRPr="00E50D08">
        <w:rPr>
          <w:rFonts w:hint="eastAsia"/>
          <w:lang w:eastAsia="zh-TW"/>
        </w:rPr>
        <w:t>）安排</w:t>
      </w:r>
      <w:r w:rsidR="00E50D08" w:rsidRPr="00E50D08">
        <w:rPr>
          <w:lang w:eastAsia="zh-TW"/>
        </w:rPr>
        <w:t>资金使用</w:t>
      </w:r>
      <w:r w:rsidR="00E50D08" w:rsidRPr="00E50D08">
        <w:rPr>
          <w:rFonts w:hint="eastAsia"/>
          <w:lang w:eastAsia="zh-TW"/>
        </w:rPr>
        <w:t>，</w:t>
      </w:r>
      <w:r w:rsidR="00E50D08" w:rsidRPr="00E50D08">
        <w:rPr>
          <w:lang w:eastAsia="zh-TW"/>
        </w:rPr>
        <w:t>然后根据资产配置</w:t>
      </w:r>
      <w:r w:rsidR="00E50D08" w:rsidRPr="00E50D08">
        <w:rPr>
          <w:rFonts w:hint="eastAsia"/>
          <w:lang w:eastAsia="zh-TW"/>
        </w:rPr>
        <w:t>预测</w:t>
      </w:r>
      <w:r w:rsidR="00E50D08" w:rsidRPr="00E50D08">
        <w:rPr>
          <w:lang w:eastAsia="zh-TW"/>
        </w:rPr>
        <w:t>资金产出即企业收益</w:t>
      </w:r>
      <w:r w:rsidR="00E50D08" w:rsidRPr="00E50D08">
        <w:rPr>
          <w:rFonts w:hint="eastAsia"/>
          <w:lang w:eastAsia="zh-TW"/>
        </w:rPr>
        <w:t>和</w:t>
      </w:r>
      <w:r w:rsidR="00E50D08" w:rsidRPr="00E50D08">
        <w:rPr>
          <w:lang w:eastAsia="zh-TW"/>
        </w:rPr>
        <w:t>资金耗费，具体操作是：先预测未来的资产负债表</w:t>
      </w:r>
      <w:r w:rsidR="00E50D08" w:rsidRPr="00E50D08">
        <w:rPr>
          <w:rFonts w:hint="eastAsia"/>
          <w:lang w:eastAsia="zh-TW"/>
        </w:rPr>
        <w:t>（参见案例一）</w:t>
      </w:r>
      <w:r w:rsidR="00E50D08" w:rsidRPr="00E50D08">
        <w:rPr>
          <w:lang w:eastAsia="zh-TW"/>
        </w:rPr>
        <w:t>，再根据资产配置情况预测收益、成本和费用，同时应编制所有者权益变动表</w:t>
      </w:r>
      <w:r w:rsidR="00E50D08" w:rsidRPr="00E50D08">
        <w:rPr>
          <w:rFonts w:hint="eastAsia"/>
          <w:lang w:eastAsia="zh-TW"/>
        </w:rPr>
        <w:t>（参见案例二）</w:t>
      </w:r>
      <w:r w:rsidR="00E50D08" w:rsidRPr="00E50D08">
        <w:rPr>
          <w:lang w:eastAsia="zh-TW"/>
        </w:rPr>
        <w:t>。</w:t>
      </w:r>
    </w:p>
    <w:p w14:paraId="04D452BA" w14:textId="03052DB4" w:rsidR="00E50D08" w:rsidRPr="00E50D08" w:rsidRDefault="00E05BDA" w:rsidP="00E50D08">
      <w:pPr>
        <w:pStyle w:val="13"/>
        <w:ind w:firstLine="482"/>
        <w:rPr>
          <w:lang w:eastAsia="zh-TW"/>
        </w:rPr>
      </w:pPr>
      <w:r w:rsidRPr="00E05BDA">
        <w:rPr>
          <w:b/>
          <w:bCs/>
          <w:lang w:eastAsia="zh-TW"/>
        </w:rPr>
        <w:t xml:space="preserve">第十条 </w:t>
      </w:r>
      <w:r w:rsidR="00E50D08" w:rsidRPr="00E50D08">
        <w:rPr>
          <w:lang w:eastAsia="zh-TW"/>
        </w:rPr>
        <w:t>收入预测中应根据企业的业务类型，细分收入构成项目，其中：</w:t>
      </w:r>
    </w:p>
    <w:p w14:paraId="60764D4F" w14:textId="77777777" w:rsidR="00E50D08" w:rsidRPr="00E50D08" w:rsidRDefault="00E50D08" w:rsidP="00E50D08">
      <w:pPr>
        <w:pStyle w:val="13"/>
        <w:rPr>
          <w:lang w:eastAsia="zh-TW"/>
        </w:rPr>
      </w:pPr>
      <w:r w:rsidRPr="00E50D08">
        <w:rPr>
          <w:lang w:eastAsia="zh-TW"/>
        </w:rPr>
        <w:t>（一）银行收入包括利息收入、手续费收入、投资收益和其他业务收入等。</w:t>
      </w:r>
    </w:p>
    <w:p w14:paraId="3580C231" w14:textId="77777777" w:rsidR="00E50D08" w:rsidRPr="00E50D08" w:rsidRDefault="00E50D08" w:rsidP="00E50D08">
      <w:pPr>
        <w:pStyle w:val="13"/>
        <w:rPr>
          <w:lang w:eastAsia="zh-TW"/>
        </w:rPr>
      </w:pPr>
      <w:r w:rsidRPr="00E50D08">
        <w:rPr>
          <w:lang w:eastAsia="zh-TW"/>
        </w:rPr>
        <w:t>利息收入和支出预测中宜根据银行的贷款结构和确定的利率标准计算</w:t>
      </w:r>
      <w:r w:rsidRPr="00E50D08">
        <w:rPr>
          <w:rFonts w:hint="eastAsia"/>
          <w:lang w:eastAsia="zh-TW"/>
        </w:rPr>
        <w:t>利息</w:t>
      </w:r>
      <w:r w:rsidRPr="00E50D08">
        <w:rPr>
          <w:lang w:eastAsia="zh-TW"/>
        </w:rPr>
        <w:t>收入和利息支出，应特别关注评估基准日后到评估报告出具日之间利率调整事项，并酌情考虑该调整事项对未来预测期的影响；</w:t>
      </w:r>
    </w:p>
    <w:p w14:paraId="27A69A42" w14:textId="77777777" w:rsidR="00E50D08" w:rsidRPr="00E50D08" w:rsidRDefault="00E50D08" w:rsidP="00E50D08">
      <w:pPr>
        <w:pStyle w:val="13"/>
        <w:rPr>
          <w:lang w:eastAsia="zh-TW"/>
        </w:rPr>
      </w:pPr>
      <w:r w:rsidRPr="00E50D08">
        <w:rPr>
          <w:lang w:eastAsia="zh-TW"/>
        </w:rPr>
        <w:t>手续费收入应根据银行提供服务的项目类型和收费标准以及客户数量综合确定（参见案例</w:t>
      </w:r>
      <w:r w:rsidRPr="00E50D08">
        <w:rPr>
          <w:rFonts w:hint="eastAsia"/>
          <w:lang w:eastAsia="zh-TW"/>
        </w:rPr>
        <w:t>三</w:t>
      </w:r>
      <w:r w:rsidRPr="00E50D08">
        <w:rPr>
          <w:lang w:eastAsia="zh-TW"/>
        </w:rPr>
        <w:t>）</w:t>
      </w:r>
      <w:r w:rsidRPr="00E50D08">
        <w:rPr>
          <w:rFonts w:hint="eastAsia"/>
          <w:lang w:eastAsia="zh-TW"/>
        </w:rPr>
        <w:t>。</w:t>
      </w:r>
    </w:p>
    <w:p w14:paraId="3D78A241" w14:textId="77777777" w:rsidR="00E50D08" w:rsidRPr="00E50D08" w:rsidRDefault="00E50D08" w:rsidP="00E50D08">
      <w:pPr>
        <w:pStyle w:val="13"/>
        <w:rPr>
          <w:lang w:eastAsia="zh-TW"/>
        </w:rPr>
      </w:pPr>
      <w:r w:rsidRPr="00E50D08">
        <w:rPr>
          <w:lang w:eastAsia="zh-TW"/>
        </w:rPr>
        <w:t>（二）证券公司收入包括手续费及佣金收入、证券承销业务收入、代理买卖证券</w:t>
      </w:r>
      <w:r w:rsidRPr="00E50D08">
        <w:rPr>
          <w:lang w:eastAsia="zh-TW"/>
        </w:rPr>
        <w:lastRenderedPageBreak/>
        <w:t>业务收入、利息收入、投资收益及其他业务收入等。</w:t>
      </w:r>
    </w:p>
    <w:p w14:paraId="57F56E01" w14:textId="77777777" w:rsidR="00E50D08" w:rsidRPr="00E50D08" w:rsidRDefault="00E50D08" w:rsidP="00E50D08">
      <w:pPr>
        <w:pStyle w:val="13"/>
        <w:rPr>
          <w:lang w:eastAsia="zh-TW"/>
        </w:rPr>
      </w:pPr>
      <w:r w:rsidRPr="00E50D08">
        <w:rPr>
          <w:lang w:eastAsia="zh-TW"/>
        </w:rPr>
        <w:t>手续费及佣金收入主要来源于证券公司的经纪业务，预测中应考虑企业的佣金费率和客户数量以及市场交易量等综合测算（参见案例</w:t>
      </w:r>
      <w:r w:rsidRPr="00E50D08">
        <w:rPr>
          <w:rFonts w:hint="eastAsia"/>
          <w:lang w:eastAsia="zh-TW"/>
        </w:rPr>
        <w:t>四</w:t>
      </w:r>
      <w:r w:rsidRPr="00E50D08">
        <w:rPr>
          <w:lang w:eastAsia="zh-TW"/>
        </w:rPr>
        <w:t>）</w:t>
      </w:r>
      <w:r w:rsidRPr="00E50D08">
        <w:rPr>
          <w:rFonts w:hint="eastAsia"/>
          <w:lang w:eastAsia="zh-TW"/>
        </w:rPr>
        <w:t>；</w:t>
      </w:r>
    </w:p>
    <w:p w14:paraId="7D8A06C2" w14:textId="77777777" w:rsidR="00E50D08" w:rsidRPr="00E50D08" w:rsidRDefault="00E50D08" w:rsidP="00E50D08">
      <w:pPr>
        <w:pStyle w:val="13"/>
        <w:rPr>
          <w:lang w:eastAsia="zh-TW"/>
        </w:rPr>
      </w:pPr>
      <w:r w:rsidRPr="00E50D08">
        <w:rPr>
          <w:lang w:eastAsia="zh-TW"/>
        </w:rPr>
        <w:t>证券承销收入应根据证券公司的投资银行客户数量、承销费率，按照权责发生制预测。</w:t>
      </w:r>
    </w:p>
    <w:p w14:paraId="33323DFC" w14:textId="77777777" w:rsidR="00E50D08" w:rsidRPr="00E50D08" w:rsidRDefault="00E50D08" w:rsidP="00E50D08">
      <w:pPr>
        <w:pStyle w:val="13"/>
        <w:rPr>
          <w:lang w:eastAsia="zh-TW"/>
        </w:rPr>
      </w:pPr>
      <w:r w:rsidRPr="00E50D08">
        <w:rPr>
          <w:lang w:eastAsia="zh-TW"/>
        </w:rPr>
        <w:t>（三）保险公司收入包括已赚保费、分出保费、提取未到期责任准备金、投资收益和其他业务收入等。</w:t>
      </w:r>
    </w:p>
    <w:p w14:paraId="2980A99D" w14:textId="77777777" w:rsidR="00E50D08" w:rsidRPr="00E50D08" w:rsidRDefault="00E50D08" w:rsidP="00E50D08">
      <w:pPr>
        <w:pStyle w:val="13"/>
        <w:rPr>
          <w:lang w:eastAsia="zh-TW"/>
        </w:rPr>
      </w:pPr>
      <w:r w:rsidRPr="00E50D08">
        <w:rPr>
          <w:lang w:eastAsia="zh-TW"/>
        </w:rPr>
        <w:t>已赚保费=保险业务收入</w:t>
      </w:r>
      <w:r w:rsidRPr="00E50D08">
        <w:rPr>
          <w:rFonts w:hint="eastAsia"/>
          <w:lang w:eastAsia="zh-TW"/>
        </w:rPr>
        <w:t>-</w:t>
      </w:r>
      <w:r w:rsidRPr="00E50D08">
        <w:rPr>
          <w:lang w:eastAsia="zh-TW"/>
        </w:rPr>
        <w:t>分出保费</w:t>
      </w:r>
      <w:r w:rsidRPr="00E50D08">
        <w:rPr>
          <w:rFonts w:hint="eastAsia"/>
          <w:lang w:eastAsia="zh-TW"/>
        </w:rPr>
        <w:t>-</w:t>
      </w:r>
      <w:r w:rsidRPr="00E50D08">
        <w:rPr>
          <w:lang w:eastAsia="zh-TW"/>
        </w:rPr>
        <w:t>提取未到期责任准备金</w:t>
      </w:r>
    </w:p>
    <w:p w14:paraId="47F7C74C" w14:textId="77777777" w:rsidR="00E50D08" w:rsidRPr="00E50D08" w:rsidRDefault="00E50D08" w:rsidP="00E50D08">
      <w:pPr>
        <w:pStyle w:val="13"/>
        <w:rPr>
          <w:lang w:eastAsia="zh-TW"/>
        </w:rPr>
      </w:pPr>
      <w:r w:rsidRPr="00E50D08">
        <w:rPr>
          <w:lang w:eastAsia="zh-TW"/>
        </w:rPr>
        <w:t>其中：保险业务收入由新业务期缴保费收入、新业务趸缴保费收入、续年期缴保费收入构成。新业务期缴/趸缴保费收入根据国民经济的整体发展和保险深度的加强，对未来市场进行预测，得出不同产品的保险业务收入，也可以根据保险公司的渠道销售能力，通过对年化新业务保费（ANP）增长率进行预测；续年期缴的保费收入可以根据基准日有效保单在未来产生的保费收入进行预测。</w:t>
      </w:r>
    </w:p>
    <w:p w14:paraId="07A59198" w14:textId="77777777" w:rsidR="00E50D08" w:rsidRPr="00E50D08" w:rsidRDefault="00E50D08" w:rsidP="00E50D08">
      <w:pPr>
        <w:pStyle w:val="13"/>
        <w:rPr>
          <w:lang w:eastAsia="zh-TW"/>
        </w:rPr>
      </w:pPr>
      <w:r w:rsidRPr="00E50D08">
        <w:rPr>
          <w:lang w:eastAsia="zh-TW"/>
        </w:rPr>
        <w:t>分出保费是保险公司为了控制风险、提高偿付能力充足率，将部分风险向再保险公司分出而产生的。根据保险公司对分出保费的核算方法，选择比例计算分出保费或者非比例计算分出保费。</w:t>
      </w:r>
    </w:p>
    <w:p w14:paraId="75CF25AB" w14:textId="77777777" w:rsidR="00E50D08" w:rsidRPr="00E50D08" w:rsidRDefault="00E50D08" w:rsidP="00E50D08">
      <w:pPr>
        <w:pStyle w:val="13"/>
        <w:rPr>
          <w:lang w:eastAsia="zh-TW"/>
        </w:rPr>
      </w:pPr>
      <w:r w:rsidRPr="00E50D08">
        <w:rPr>
          <w:lang w:eastAsia="zh-TW"/>
        </w:rPr>
        <w:t xml:space="preserve">未到期责任准备金是指公司一年以内的财产险、意外伤害险、健康险业务按规定从本期保险责任尚未到期，应属于下一年度的部分保险费中提取出来形成的准备金。 </w:t>
      </w:r>
    </w:p>
    <w:p w14:paraId="26E50CD4" w14:textId="77777777" w:rsidR="00E50D08" w:rsidRPr="00E50D08" w:rsidRDefault="00E50D08" w:rsidP="00E50D08">
      <w:pPr>
        <w:pStyle w:val="13"/>
        <w:rPr>
          <w:lang w:eastAsia="zh-TW"/>
        </w:rPr>
      </w:pPr>
      <w:r w:rsidRPr="00E50D08">
        <w:rPr>
          <w:lang w:eastAsia="zh-TW"/>
        </w:rPr>
        <w:t>寿险公司准备金的预测除根据现行的监管文件预测外，可以借助于保险公司的精算软件（参见案例</w:t>
      </w:r>
      <w:r w:rsidRPr="00E50D08">
        <w:rPr>
          <w:rFonts w:hint="eastAsia"/>
          <w:lang w:eastAsia="zh-TW"/>
        </w:rPr>
        <w:t>五</w:t>
      </w:r>
      <w:r w:rsidRPr="00E50D08">
        <w:rPr>
          <w:lang w:eastAsia="zh-TW"/>
        </w:rPr>
        <w:t>）</w:t>
      </w:r>
      <w:r w:rsidRPr="00E50D08">
        <w:rPr>
          <w:rFonts w:hint="eastAsia"/>
          <w:lang w:eastAsia="zh-TW"/>
        </w:rPr>
        <w:t>。</w:t>
      </w:r>
    </w:p>
    <w:p w14:paraId="3C29F6A9" w14:textId="77777777" w:rsidR="00E50D08" w:rsidRPr="00E50D08" w:rsidRDefault="00E50D08" w:rsidP="00E50D08">
      <w:pPr>
        <w:pStyle w:val="13"/>
        <w:rPr>
          <w:lang w:eastAsia="zh-TW"/>
        </w:rPr>
      </w:pPr>
      <w:r w:rsidRPr="00E50D08">
        <w:rPr>
          <w:lang w:eastAsia="zh-TW"/>
        </w:rPr>
        <w:t>（四）信托公司收入包括手续费及佣金收入、投资收益和其他业务收入等。</w:t>
      </w:r>
    </w:p>
    <w:p w14:paraId="30E87C79" w14:textId="77777777" w:rsidR="00E50D08" w:rsidRPr="00E50D08" w:rsidRDefault="00E50D08" w:rsidP="00E50D08">
      <w:pPr>
        <w:pStyle w:val="13"/>
        <w:rPr>
          <w:lang w:eastAsia="zh-TW"/>
        </w:rPr>
      </w:pPr>
      <w:r w:rsidRPr="00E50D08">
        <w:rPr>
          <w:lang w:eastAsia="zh-TW"/>
        </w:rPr>
        <w:t>手续费及佣金收入应根据信托公司在信托业务中发挥的作用、提供的服务和信托产品的创新能力等综合判断，宜通过合理预测信托资产规模和信托手续费费率，其中信托手续费率宜采用评估对象本身的费率（参见案例</w:t>
      </w:r>
      <w:r w:rsidRPr="00E50D08">
        <w:rPr>
          <w:rFonts w:hint="eastAsia"/>
          <w:lang w:eastAsia="zh-TW"/>
        </w:rPr>
        <w:t>六</w:t>
      </w:r>
      <w:r w:rsidRPr="00E50D08">
        <w:rPr>
          <w:lang w:eastAsia="zh-TW"/>
        </w:rPr>
        <w:t>）</w:t>
      </w:r>
      <w:r w:rsidRPr="00E50D08">
        <w:rPr>
          <w:rFonts w:hint="eastAsia"/>
          <w:lang w:eastAsia="zh-TW"/>
        </w:rPr>
        <w:t>。</w:t>
      </w:r>
    </w:p>
    <w:p w14:paraId="61FC07F2" w14:textId="423BE265" w:rsidR="00E50D08" w:rsidRPr="00E50D08" w:rsidRDefault="00E05BDA" w:rsidP="00E50D08">
      <w:pPr>
        <w:pStyle w:val="13"/>
        <w:ind w:firstLine="482"/>
        <w:rPr>
          <w:lang w:eastAsia="zh-TW"/>
        </w:rPr>
      </w:pPr>
      <w:r w:rsidRPr="00E05BDA">
        <w:rPr>
          <w:b/>
          <w:bCs/>
          <w:lang w:eastAsia="zh-TW"/>
        </w:rPr>
        <w:t xml:space="preserve">第十一条 </w:t>
      </w:r>
      <w:r w:rsidR="00E50D08" w:rsidRPr="00E50D08">
        <w:rPr>
          <w:lang w:eastAsia="zh-TW"/>
        </w:rPr>
        <w:t>金融企业的投资收益的预测宜根据资产配置规模和期望报酬率合理预测，其中投资收益的期望报酬率应注意与折现率中采用的股东期望报酬率之间的匹配关系。</w:t>
      </w:r>
    </w:p>
    <w:p w14:paraId="1CC9AE86" w14:textId="3A6C2FAB" w:rsidR="00E50D08" w:rsidRPr="00E50D08" w:rsidRDefault="00E05BDA" w:rsidP="00E50D08">
      <w:pPr>
        <w:pStyle w:val="13"/>
        <w:ind w:firstLine="482"/>
        <w:rPr>
          <w:lang w:eastAsia="zh-TW"/>
        </w:rPr>
      </w:pPr>
      <w:r w:rsidRPr="00E05BDA">
        <w:rPr>
          <w:b/>
          <w:bCs/>
          <w:lang w:eastAsia="zh-TW"/>
        </w:rPr>
        <w:t xml:space="preserve">第十二条 </w:t>
      </w:r>
      <w:r w:rsidR="00E50D08" w:rsidRPr="00E50D08">
        <w:rPr>
          <w:lang w:eastAsia="zh-TW"/>
        </w:rPr>
        <w:t>金融企业的营业费用预测中，应考虑随着营业收入带来的费用必然增长。</w:t>
      </w:r>
    </w:p>
    <w:p w14:paraId="00391BD5" w14:textId="77777777" w:rsidR="00E50D08" w:rsidRPr="00E50D08" w:rsidRDefault="00E50D08" w:rsidP="00E50D08">
      <w:pPr>
        <w:pStyle w:val="13"/>
        <w:rPr>
          <w:lang w:eastAsia="zh-TW"/>
        </w:rPr>
      </w:pPr>
      <w:r w:rsidRPr="00E50D08">
        <w:rPr>
          <w:lang w:eastAsia="zh-TW"/>
        </w:rPr>
        <w:t>在费用预测中，可以根据企业的核算特点，分别固定性费用和变动性费用测算，其中人员费用应注意到人员数量与人均工资薪酬的匹配。同时应知悉同行业的平均水平。（参见案例</w:t>
      </w:r>
      <w:r w:rsidRPr="00E50D08">
        <w:rPr>
          <w:rFonts w:hint="eastAsia"/>
          <w:lang w:eastAsia="zh-TW"/>
        </w:rPr>
        <w:t>七</w:t>
      </w:r>
      <w:r w:rsidRPr="00E50D08">
        <w:rPr>
          <w:lang w:eastAsia="zh-TW"/>
        </w:rPr>
        <w:t>）</w:t>
      </w:r>
    </w:p>
    <w:p w14:paraId="29ED62FE" w14:textId="3FA87526" w:rsidR="00E50D08" w:rsidRPr="00E50D08" w:rsidRDefault="00E05BDA" w:rsidP="00E50D08">
      <w:pPr>
        <w:pStyle w:val="13"/>
        <w:ind w:firstLine="482"/>
        <w:rPr>
          <w:lang w:eastAsia="zh-TW"/>
        </w:rPr>
      </w:pPr>
      <w:r w:rsidRPr="00E05BDA">
        <w:rPr>
          <w:b/>
          <w:bCs/>
          <w:lang w:eastAsia="zh-TW"/>
        </w:rPr>
        <w:t xml:space="preserve">第十三条 </w:t>
      </w:r>
      <w:r w:rsidR="00E50D08" w:rsidRPr="00E50D08">
        <w:rPr>
          <w:lang w:eastAsia="zh-TW"/>
        </w:rPr>
        <w:t>金融企业的资本性支出科目的预测应根据行业监管的要求逐年测算，特别注意监管中对于净资本的要求。如：根据银行业监督管理部门对银行的资本充足</w:t>
      </w:r>
      <w:r w:rsidR="00E50D08" w:rsidRPr="00E50D08">
        <w:rPr>
          <w:lang w:eastAsia="zh-TW"/>
        </w:rPr>
        <w:lastRenderedPageBreak/>
        <w:t>率的要求，预测银行的资本、净资本，并转化为净资产，体现在预测的资产负债表中。</w:t>
      </w:r>
    </w:p>
    <w:p w14:paraId="12FB6EFD" w14:textId="54B85DA0" w:rsidR="00E50D08" w:rsidRPr="00E50D08" w:rsidRDefault="00E05BDA" w:rsidP="00E50D08">
      <w:pPr>
        <w:pStyle w:val="13"/>
        <w:ind w:firstLine="482"/>
        <w:rPr>
          <w:lang w:eastAsia="zh-TW"/>
        </w:rPr>
      </w:pPr>
      <w:r w:rsidRPr="00E05BDA">
        <w:rPr>
          <w:b/>
          <w:bCs/>
          <w:lang w:eastAsia="zh-TW"/>
        </w:rPr>
        <w:t xml:space="preserve">第十四条 </w:t>
      </w:r>
      <w:r w:rsidR="00E50D08" w:rsidRPr="00E50D08">
        <w:rPr>
          <w:lang w:eastAsia="zh-TW"/>
        </w:rPr>
        <w:t>在金融控股公司的评估中，有两种思路可供选择。</w:t>
      </w:r>
    </w:p>
    <w:p w14:paraId="52DD9110" w14:textId="77777777" w:rsidR="00E50D08" w:rsidRPr="00E50D08" w:rsidRDefault="00E50D08" w:rsidP="00E50D08">
      <w:pPr>
        <w:pStyle w:val="13"/>
        <w:rPr>
          <w:lang w:eastAsia="zh-TW"/>
        </w:rPr>
      </w:pPr>
      <w:r w:rsidRPr="00E50D08">
        <w:rPr>
          <w:lang w:eastAsia="zh-TW"/>
        </w:rPr>
        <w:t>第一种思路：以母公司报表为基础评估金融控股公司价值</w:t>
      </w:r>
    </w:p>
    <w:p w14:paraId="1912F2A6" w14:textId="77777777" w:rsidR="00E50D08" w:rsidRPr="00E50D08" w:rsidRDefault="00E50D08" w:rsidP="00E50D08">
      <w:pPr>
        <w:pStyle w:val="13"/>
        <w:rPr>
          <w:lang w:eastAsia="zh-TW"/>
        </w:rPr>
      </w:pPr>
      <w:r w:rsidRPr="00E50D08">
        <w:rPr>
          <w:lang w:eastAsia="zh-TW"/>
        </w:rPr>
        <w:t>在这种模式下，金融控股公司总部为管理性总部，为费用中心，发挥控股内部资源配置的作用。各子公司在总部的管理下根据业务范围独立经营，在收益法评估中，可以对金融控股企业母公司及各长投板块分别采用相应的收益法评估模型进行评估，将各长投板块评估值作为溢余资产加回。</w:t>
      </w:r>
    </w:p>
    <w:p w14:paraId="06F389FF" w14:textId="77777777" w:rsidR="00E50D08" w:rsidRPr="00E50D08" w:rsidRDefault="00E50D08" w:rsidP="00E50D08">
      <w:pPr>
        <w:pStyle w:val="13"/>
        <w:rPr>
          <w:lang w:eastAsia="zh-TW"/>
        </w:rPr>
      </w:pPr>
      <w:r w:rsidRPr="00E50D08">
        <w:rPr>
          <w:lang w:eastAsia="zh-TW"/>
        </w:rPr>
        <w:t>各长投板块评估模型的参数确定参照以上</w:t>
      </w:r>
      <w:r w:rsidRPr="00E50D08">
        <w:rPr>
          <w:rFonts w:hint="eastAsia"/>
          <w:lang w:eastAsia="zh-TW"/>
        </w:rPr>
        <w:t>相关</w:t>
      </w:r>
      <w:r w:rsidRPr="00E50D08">
        <w:rPr>
          <w:lang w:eastAsia="zh-TW"/>
        </w:rPr>
        <w:t>内容介绍的方法进行。不同之处在于金融控股公司母公司的折现率，可参照各个板块所在行业上市公司的风险系数结合板块权重进行设定。权重的确定通常根据收入或者利润比重进行测算，不应以资产作为权重确定的依据。</w:t>
      </w:r>
    </w:p>
    <w:p w14:paraId="4801BE3F" w14:textId="77777777" w:rsidR="00E50D08" w:rsidRPr="00E50D08" w:rsidRDefault="00E50D08" w:rsidP="00E50D08">
      <w:pPr>
        <w:pStyle w:val="13"/>
        <w:rPr>
          <w:lang w:eastAsia="zh-TW"/>
        </w:rPr>
      </w:pPr>
      <w:r w:rsidRPr="00E50D08">
        <w:rPr>
          <w:lang w:eastAsia="zh-TW"/>
        </w:rPr>
        <w:t>这种评估思路的优点是途径清晰，无需考虑剔除少数股东权益；缺点是金融控股企业各板块间的协同效应未能在估值中得到有效反映。</w:t>
      </w:r>
    </w:p>
    <w:p w14:paraId="05EC6316" w14:textId="77777777" w:rsidR="00E50D08" w:rsidRPr="00E50D08" w:rsidRDefault="00E50D08" w:rsidP="00E50D08">
      <w:pPr>
        <w:pStyle w:val="13"/>
        <w:rPr>
          <w:lang w:eastAsia="zh-TW"/>
        </w:rPr>
      </w:pPr>
      <w:r w:rsidRPr="00E50D08">
        <w:rPr>
          <w:lang w:eastAsia="zh-TW"/>
        </w:rPr>
        <w:t>第二种思路：以合并会计报表和分部报告为基础评估金融控股公司价值</w:t>
      </w:r>
    </w:p>
    <w:p w14:paraId="58A2018E" w14:textId="77777777" w:rsidR="00E50D08" w:rsidRPr="00E50D08" w:rsidRDefault="00E50D08" w:rsidP="00E50D08">
      <w:pPr>
        <w:pStyle w:val="13"/>
        <w:rPr>
          <w:lang w:eastAsia="zh-TW"/>
        </w:rPr>
      </w:pPr>
      <w:r w:rsidRPr="00E50D08">
        <w:rPr>
          <w:lang w:eastAsia="zh-TW"/>
        </w:rPr>
        <w:t>这种思路以金融控股企业合并利润表，分析合并口径的收入和成本构成，一般以合并审计报告中披露的分部报告信息作为预测基础，对各个板块业务类型逐一了解、分析，确定各个业务的收入和成本。这个过程和第一种思路中的途径近似。</w:t>
      </w:r>
    </w:p>
    <w:p w14:paraId="5A229820" w14:textId="77777777" w:rsidR="00E50D08" w:rsidRPr="00E50D08" w:rsidRDefault="00E50D08" w:rsidP="00E50D08">
      <w:pPr>
        <w:pStyle w:val="13"/>
        <w:rPr>
          <w:lang w:eastAsia="zh-TW"/>
        </w:rPr>
      </w:pPr>
      <w:r w:rsidRPr="00E50D08">
        <w:rPr>
          <w:lang w:eastAsia="zh-TW"/>
        </w:rPr>
        <w:t>在管理费用和营业费用的预测中，需要就金融控股公司整体测算，考虑各个板块之间的协同性。</w:t>
      </w:r>
    </w:p>
    <w:p w14:paraId="7C32E0E8" w14:textId="77777777" w:rsidR="00E50D08" w:rsidRPr="00E50D08" w:rsidRDefault="00E50D08" w:rsidP="00E50D08">
      <w:pPr>
        <w:pStyle w:val="13"/>
        <w:rPr>
          <w:lang w:eastAsia="zh-TW"/>
        </w:rPr>
      </w:pPr>
      <w:r w:rsidRPr="00E50D08">
        <w:rPr>
          <w:lang w:eastAsia="zh-TW"/>
        </w:rPr>
        <w:t>这种评估思路的优点是能够在估值中反映板块间的协同效应。但是这种思路在操作中对于合并层面的所得税预测和少数股东损益的预测较为复杂。</w:t>
      </w:r>
    </w:p>
    <w:p w14:paraId="46EB29F4" w14:textId="77777777" w:rsidR="00E50D08" w:rsidRPr="00E50D08" w:rsidRDefault="00E50D08" w:rsidP="00E50D08">
      <w:pPr>
        <w:pStyle w:val="13"/>
        <w:rPr>
          <w:lang w:eastAsia="zh-TW"/>
        </w:rPr>
      </w:pPr>
      <w:r w:rsidRPr="00E50D08">
        <w:rPr>
          <w:lang w:eastAsia="zh-TW"/>
        </w:rPr>
        <w:t>我国目前的所得税政策在很大程度上出现了与会计准则趋同的趋势，会计政策与所得税政策之间的时间性差异在会计准则下基本得到了解决，永久性差异未能得到解决，但是永久性差异对价值评估而言，比重较小，可以忽略不计。</w:t>
      </w:r>
    </w:p>
    <w:p w14:paraId="46B55147" w14:textId="77777777" w:rsidR="00E50D08" w:rsidRPr="00E50D08" w:rsidRDefault="00E50D08" w:rsidP="00E50D08">
      <w:pPr>
        <w:pStyle w:val="13"/>
        <w:rPr>
          <w:lang w:eastAsia="zh-TW"/>
        </w:rPr>
      </w:pPr>
      <w:r w:rsidRPr="00E50D08">
        <w:rPr>
          <w:lang w:eastAsia="zh-TW"/>
        </w:rPr>
        <w:t>少数股东损益是按照各个子公司的公司章程规定，对利润分配形成的结果，由于金融控股公司对各专业公司持股比例可能存在差异，少数股东损益可以根据各公司盈利状况单独确定，加总确定少数股东损益</w:t>
      </w:r>
      <w:r w:rsidRPr="00E50D08">
        <w:rPr>
          <w:rFonts w:hint="eastAsia"/>
          <w:lang w:eastAsia="zh-TW"/>
        </w:rPr>
        <w:t>，</w:t>
      </w:r>
      <w:r w:rsidRPr="00E50D08">
        <w:rPr>
          <w:lang w:eastAsia="zh-TW"/>
        </w:rPr>
        <w:t>也可以假设股利分配政策与评估基准日一致</w:t>
      </w:r>
      <w:r w:rsidRPr="00E50D08">
        <w:rPr>
          <w:rFonts w:hint="eastAsia"/>
          <w:lang w:eastAsia="zh-TW"/>
        </w:rPr>
        <w:t>，</w:t>
      </w:r>
      <w:r w:rsidRPr="00E50D08">
        <w:rPr>
          <w:lang w:eastAsia="zh-TW"/>
        </w:rPr>
        <w:t>采取评估基准日</w:t>
      </w:r>
      <w:r w:rsidRPr="00E50D08">
        <w:rPr>
          <w:rFonts w:hint="eastAsia"/>
          <w:lang w:eastAsia="zh-TW"/>
        </w:rPr>
        <w:t>少数股东损益与净利润的比例进行简化处理，也可以采取其他适当的方式评估。</w:t>
      </w:r>
    </w:p>
    <w:p w14:paraId="34FBF041" w14:textId="77777777" w:rsidR="00E50D08" w:rsidRPr="00E50D08" w:rsidRDefault="00E50D08" w:rsidP="00E905CE">
      <w:pPr>
        <w:pStyle w:val="ab"/>
        <w:spacing w:before="62" w:after="62"/>
        <w:ind w:firstLine="482"/>
        <w:rPr>
          <w:lang w:eastAsia="zh-TW"/>
        </w:rPr>
      </w:pPr>
      <w:r w:rsidRPr="00E50D08">
        <w:rPr>
          <w:lang w:eastAsia="zh-TW"/>
        </w:rPr>
        <w:t>四、</w:t>
      </w:r>
      <w:r w:rsidRPr="00E50D08">
        <w:rPr>
          <w:rFonts w:hint="eastAsia"/>
          <w:lang w:eastAsia="zh-TW"/>
        </w:rPr>
        <w:t>折现率</w:t>
      </w:r>
    </w:p>
    <w:p w14:paraId="403CB0D3" w14:textId="7BBB5251" w:rsidR="00E50D08" w:rsidRPr="00E50D08" w:rsidRDefault="00E05BDA" w:rsidP="00E50D08">
      <w:pPr>
        <w:pStyle w:val="13"/>
        <w:ind w:firstLine="482"/>
        <w:rPr>
          <w:lang w:eastAsia="zh-TW"/>
        </w:rPr>
      </w:pPr>
      <w:r w:rsidRPr="00E05BDA">
        <w:rPr>
          <w:b/>
          <w:bCs/>
          <w:lang w:eastAsia="zh-TW"/>
        </w:rPr>
        <w:t xml:space="preserve">第十五条 </w:t>
      </w:r>
      <w:r w:rsidR="00E50D08" w:rsidRPr="00E50D08">
        <w:rPr>
          <w:lang w:eastAsia="zh-TW"/>
        </w:rPr>
        <w:t>在股权自由现金流量折现模型中</w:t>
      </w:r>
      <w:r w:rsidR="00E50D08" w:rsidRPr="00E50D08">
        <w:rPr>
          <w:rFonts w:hint="eastAsia"/>
          <w:lang w:eastAsia="zh-TW"/>
        </w:rPr>
        <w:t>，可以</w:t>
      </w:r>
      <w:r w:rsidR="00E50D08" w:rsidRPr="00E50D08">
        <w:rPr>
          <w:lang w:eastAsia="zh-TW"/>
        </w:rPr>
        <w:t>采用资本资产定价模型（CAPM）等确定折现率。</w:t>
      </w:r>
    </w:p>
    <w:p w14:paraId="735865DE" w14:textId="3FBABF31" w:rsidR="00E50D08" w:rsidRPr="00E50D08" w:rsidRDefault="007605DB" w:rsidP="00E50D08">
      <w:pPr>
        <w:pStyle w:val="13"/>
        <w:rPr>
          <w:lang w:eastAsia="zh-TW"/>
        </w:rPr>
      </w:pPr>
      <w:r>
        <w:rPr>
          <w:lang w:eastAsia="zh-TW"/>
        </w:rPr>
        <w:t xml:space="preserve"> </w:t>
      </w:r>
      <w:r w:rsidR="00E50D08" w:rsidRPr="00E50D08">
        <w:rPr>
          <w:lang w:eastAsia="zh-TW"/>
        </w:rPr>
        <w:object w:dxaOrig="2580" w:dyaOrig="375" w14:anchorId="6120ABA4">
          <v:shape id="_x0000_i1026" type="#_x0000_t75" style="width:129pt;height:18.75pt" o:ole="">
            <v:imagedata r:id="rId28" o:title=""/>
          </v:shape>
          <o:OLEObject Type="Embed" ProgID="Equation.3" ShapeID="_x0000_i1026" DrawAspect="Content" ObjectID="_1728719970" r:id="rId29"/>
        </w:object>
      </w:r>
      <w:r>
        <w:rPr>
          <w:lang w:eastAsia="zh-TW"/>
        </w:rPr>
        <w:t xml:space="preserve"> </w:t>
      </w:r>
      <w:r w:rsidR="00E50D08" w:rsidRPr="00E50D08">
        <w:rPr>
          <w:lang w:eastAsia="zh-TW"/>
        </w:rPr>
        <w:t xml:space="preserve">                 </w:t>
      </w:r>
    </w:p>
    <w:p w14:paraId="2148DFF9" w14:textId="77777777" w:rsidR="00E50D08" w:rsidRPr="00E50D08" w:rsidRDefault="00E50D08" w:rsidP="00E50D08">
      <w:pPr>
        <w:pStyle w:val="13"/>
        <w:rPr>
          <w:lang w:eastAsia="zh-TW"/>
        </w:rPr>
      </w:pPr>
      <w:r w:rsidRPr="00E50D08">
        <w:rPr>
          <w:lang w:eastAsia="zh-TW"/>
        </w:rPr>
        <w:lastRenderedPageBreak/>
        <w:t>式中：</w:t>
      </w:r>
    </w:p>
    <w:p w14:paraId="03C523B6" w14:textId="77777777" w:rsidR="00E50D08" w:rsidRPr="00E50D08" w:rsidRDefault="00E50D08" w:rsidP="00E50D08">
      <w:pPr>
        <w:pStyle w:val="13"/>
        <w:rPr>
          <w:lang w:eastAsia="zh-TW"/>
        </w:rPr>
      </w:pPr>
      <w:r w:rsidRPr="00E50D08">
        <w:rPr>
          <w:lang w:eastAsia="zh-TW"/>
        </w:rPr>
        <w:t>r</w:t>
      </w:r>
      <w:r w:rsidRPr="00E50D08">
        <w:rPr>
          <w:vertAlign w:val="subscript"/>
          <w:lang w:eastAsia="zh-TW"/>
        </w:rPr>
        <w:t>f</w:t>
      </w:r>
      <w:r w:rsidRPr="00E50D08">
        <w:rPr>
          <w:lang w:eastAsia="zh-TW"/>
        </w:rPr>
        <w:t>：无风险报酬率；</w:t>
      </w:r>
    </w:p>
    <w:p w14:paraId="3CF79ED6" w14:textId="77777777" w:rsidR="00E50D08" w:rsidRPr="00E50D08" w:rsidRDefault="00E50D08" w:rsidP="00E50D08">
      <w:pPr>
        <w:pStyle w:val="13"/>
        <w:rPr>
          <w:lang w:eastAsia="zh-TW"/>
        </w:rPr>
      </w:pPr>
      <w:r w:rsidRPr="00E50D08">
        <w:rPr>
          <w:lang w:eastAsia="zh-TW"/>
        </w:rPr>
        <w:t>r</w:t>
      </w:r>
      <w:r w:rsidRPr="00E50D08">
        <w:rPr>
          <w:vertAlign w:val="subscript"/>
          <w:lang w:eastAsia="zh-TW"/>
        </w:rPr>
        <w:t>m</w:t>
      </w:r>
      <w:r w:rsidRPr="00E50D08">
        <w:rPr>
          <w:lang w:eastAsia="zh-TW"/>
        </w:rPr>
        <w:t>：市场期望报酬率；</w:t>
      </w:r>
    </w:p>
    <w:p w14:paraId="0295478B" w14:textId="77777777" w:rsidR="00E50D08" w:rsidRPr="00E50D08" w:rsidRDefault="00E50D08" w:rsidP="00E50D08">
      <w:pPr>
        <w:pStyle w:val="13"/>
        <w:rPr>
          <w:lang w:eastAsia="zh-TW"/>
        </w:rPr>
      </w:pPr>
      <w:r w:rsidRPr="00E50D08">
        <w:rPr>
          <w:lang w:eastAsia="zh-TW"/>
        </w:rPr>
        <w:t>β</w:t>
      </w:r>
      <w:r w:rsidRPr="00E50D08">
        <w:rPr>
          <w:vertAlign w:val="subscript"/>
          <w:lang w:eastAsia="zh-TW"/>
        </w:rPr>
        <w:t>e</w:t>
      </w:r>
      <w:r w:rsidRPr="00E50D08">
        <w:rPr>
          <w:lang w:eastAsia="zh-TW"/>
        </w:rPr>
        <w:t>：评估对象权益资本的预期市场风险系数；</w:t>
      </w:r>
    </w:p>
    <w:p w14:paraId="33E66422" w14:textId="77777777" w:rsidR="00E50D08" w:rsidRPr="00E50D08" w:rsidRDefault="00E50D08" w:rsidP="00E50D08">
      <w:pPr>
        <w:pStyle w:val="13"/>
        <w:rPr>
          <w:lang w:eastAsia="zh-TW"/>
        </w:rPr>
      </w:pPr>
      <w:r w:rsidRPr="00E50D08">
        <w:rPr>
          <w:lang w:eastAsia="zh-TW"/>
        </w:rPr>
        <w:t>r</w:t>
      </w:r>
      <w:r w:rsidRPr="00E50D08">
        <w:rPr>
          <w:vertAlign w:val="subscript"/>
          <w:lang w:eastAsia="zh-TW"/>
        </w:rPr>
        <w:t>m-</w:t>
      </w:r>
      <w:r w:rsidRPr="00E50D08">
        <w:rPr>
          <w:lang w:eastAsia="zh-TW"/>
        </w:rPr>
        <w:t xml:space="preserve"> r</w:t>
      </w:r>
      <w:r w:rsidRPr="00E50D08">
        <w:rPr>
          <w:vertAlign w:val="subscript"/>
          <w:lang w:eastAsia="zh-TW"/>
        </w:rPr>
        <w:t>f</w:t>
      </w:r>
      <w:r w:rsidRPr="00E50D08">
        <w:rPr>
          <w:lang w:eastAsia="zh-TW"/>
        </w:rPr>
        <w:t>：股权风险溢价</w:t>
      </w:r>
      <w:r w:rsidRPr="00E50D08">
        <w:rPr>
          <w:rFonts w:hint="eastAsia"/>
          <w:lang w:eastAsia="zh-TW"/>
        </w:rPr>
        <w:t>；</w:t>
      </w:r>
    </w:p>
    <w:p w14:paraId="289C2E84" w14:textId="77777777" w:rsidR="00E50D08" w:rsidRPr="00E50D08" w:rsidRDefault="00E50D08" w:rsidP="00E50D08">
      <w:pPr>
        <w:pStyle w:val="13"/>
        <w:rPr>
          <w:lang w:eastAsia="zh-TW"/>
        </w:rPr>
      </w:pPr>
      <w:r w:rsidRPr="00E50D08">
        <w:rPr>
          <w:lang w:eastAsia="zh-TW"/>
        </w:rPr>
        <w:t>ε：评估对象特有风险调整系数。</w:t>
      </w:r>
    </w:p>
    <w:p w14:paraId="0AB15759" w14:textId="25FA832D" w:rsidR="00E50D08" w:rsidRPr="00E50D08" w:rsidRDefault="00E05BDA" w:rsidP="00E50D08">
      <w:pPr>
        <w:pStyle w:val="13"/>
        <w:ind w:firstLine="482"/>
        <w:rPr>
          <w:lang w:eastAsia="zh-TW"/>
        </w:rPr>
      </w:pPr>
      <w:r w:rsidRPr="00E05BDA">
        <w:rPr>
          <w:b/>
          <w:bCs/>
          <w:lang w:eastAsia="zh-TW"/>
        </w:rPr>
        <w:t xml:space="preserve">第十六条 </w:t>
      </w:r>
      <w:r w:rsidR="00E50D08" w:rsidRPr="00E50D08">
        <w:rPr>
          <w:lang w:eastAsia="zh-TW"/>
        </w:rPr>
        <w:t>无风险报酬率应选择在距离评估基准日有效期在10年以上或者5年以上的国债</w:t>
      </w:r>
      <w:r w:rsidR="00E50D08" w:rsidRPr="00E50D08">
        <w:rPr>
          <w:rFonts w:hint="eastAsia"/>
          <w:lang w:eastAsia="zh-TW"/>
        </w:rPr>
        <w:t>到期收益率</w:t>
      </w:r>
      <w:r w:rsidR="00E50D08" w:rsidRPr="00E50D08">
        <w:rPr>
          <w:lang w:eastAsia="zh-TW"/>
        </w:rPr>
        <w:t>。</w:t>
      </w:r>
    </w:p>
    <w:p w14:paraId="50709931" w14:textId="7ACA856E" w:rsidR="00E50D08" w:rsidRPr="00E50D08" w:rsidRDefault="00E05BDA" w:rsidP="00E50D08">
      <w:pPr>
        <w:pStyle w:val="13"/>
        <w:ind w:firstLine="482"/>
        <w:rPr>
          <w:lang w:eastAsia="zh-TW"/>
        </w:rPr>
      </w:pPr>
      <w:r w:rsidRPr="00E05BDA">
        <w:rPr>
          <w:b/>
          <w:bCs/>
          <w:lang w:eastAsia="zh-TW"/>
        </w:rPr>
        <w:t xml:space="preserve">第十七条 </w:t>
      </w:r>
      <w:r w:rsidR="00E50D08" w:rsidRPr="00E50D08">
        <w:rPr>
          <w:lang w:eastAsia="zh-TW"/>
        </w:rPr>
        <w:t>金融企业折现率中的贝塔值计算应注意基准日和未来预测期资本结构的影响，银行、证券、信托和保险公司多采用无杠杆贝塔，多元金融可以使用有杠杆贝塔值。</w:t>
      </w:r>
    </w:p>
    <w:p w14:paraId="0AB1DEEC" w14:textId="77777777" w:rsidR="00E50D08" w:rsidRPr="00E50D08" w:rsidRDefault="00E50D08" w:rsidP="00E50D08">
      <w:pPr>
        <w:pStyle w:val="13"/>
        <w:rPr>
          <w:lang w:eastAsia="zh-TW"/>
        </w:rPr>
      </w:pPr>
      <w:r w:rsidRPr="00E50D08">
        <w:rPr>
          <w:lang w:eastAsia="zh-TW"/>
        </w:rPr>
        <w:t>贝塔值计算应注意三个变量的选择</w:t>
      </w:r>
      <w:r w:rsidRPr="00E50D08">
        <w:rPr>
          <w:rFonts w:hint="eastAsia"/>
          <w:lang w:eastAsia="zh-TW"/>
        </w:rPr>
        <w:t>：</w:t>
      </w:r>
    </w:p>
    <w:p w14:paraId="64C1A959" w14:textId="77777777" w:rsidR="00E50D08" w:rsidRPr="00E50D08" w:rsidRDefault="00E50D08" w:rsidP="00E50D08">
      <w:pPr>
        <w:pStyle w:val="13"/>
        <w:rPr>
          <w:lang w:eastAsia="zh-TW"/>
        </w:rPr>
      </w:pPr>
      <w:r w:rsidRPr="00E50D08">
        <w:rPr>
          <w:rFonts w:hint="eastAsia"/>
          <w:lang w:eastAsia="zh-TW"/>
        </w:rPr>
        <w:t>作为市场近似的指数的选择：</w:t>
      </w:r>
      <w:r w:rsidRPr="00E50D08">
        <w:rPr>
          <w:lang w:eastAsia="zh-TW"/>
        </w:rPr>
        <w:t>可以选取上证指数</w:t>
      </w:r>
      <w:r w:rsidRPr="00E50D08">
        <w:rPr>
          <w:rFonts w:hint="eastAsia"/>
          <w:lang w:eastAsia="zh-TW"/>
        </w:rPr>
        <w:t>、</w:t>
      </w:r>
      <w:r w:rsidRPr="00E50D08">
        <w:rPr>
          <w:lang w:eastAsia="zh-TW"/>
        </w:rPr>
        <w:t>深证成指</w:t>
      </w:r>
      <w:r w:rsidRPr="00E50D08">
        <w:rPr>
          <w:rFonts w:hint="eastAsia"/>
          <w:lang w:eastAsia="zh-TW"/>
        </w:rPr>
        <w:t>、</w:t>
      </w:r>
      <w:r w:rsidRPr="00E50D08">
        <w:rPr>
          <w:lang w:eastAsia="zh-TW"/>
        </w:rPr>
        <w:t>沪深</w:t>
      </w:r>
      <w:r w:rsidRPr="00E50D08">
        <w:rPr>
          <w:rFonts w:hint="eastAsia"/>
          <w:lang w:eastAsia="zh-TW"/>
        </w:rPr>
        <w:t>300等指数；</w:t>
      </w:r>
    </w:p>
    <w:p w14:paraId="748A9C36" w14:textId="77777777" w:rsidR="00E50D08" w:rsidRPr="00E50D08" w:rsidRDefault="00E50D08" w:rsidP="00E50D08">
      <w:pPr>
        <w:pStyle w:val="13"/>
        <w:rPr>
          <w:lang w:eastAsia="zh-TW"/>
        </w:rPr>
      </w:pPr>
      <w:r w:rsidRPr="00E50D08">
        <w:rPr>
          <w:rFonts w:hint="eastAsia"/>
          <w:lang w:eastAsia="zh-TW"/>
        </w:rPr>
        <w:t>计算历史回报率的时间长度：一般5年是最常见的用于外推的历史期间；</w:t>
      </w:r>
    </w:p>
    <w:p w14:paraId="0497BE81" w14:textId="77777777" w:rsidR="00E50D08" w:rsidRPr="00E50D08" w:rsidRDefault="00E50D08" w:rsidP="00E50D08">
      <w:pPr>
        <w:pStyle w:val="13"/>
        <w:rPr>
          <w:lang w:eastAsia="zh-TW"/>
        </w:rPr>
      </w:pPr>
      <w:r w:rsidRPr="00E50D08">
        <w:rPr>
          <w:rFonts w:hint="eastAsia"/>
          <w:lang w:eastAsia="zh-TW"/>
        </w:rPr>
        <w:t>回报率计算的周期：公开交易证券和市场回报的计量平度可以是每日、每周、每月、每季或者每年为基础。月度和周是使用频率较高的回报率计算周期。</w:t>
      </w:r>
    </w:p>
    <w:p w14:paraId="4C740A25" w14:textId="2925FA6F" w:rsidR="00E50D08" w:rsidRPr="00E50D08" w:rsidRDefault="00E05BDA" w:rsidP="00E50D08">
      <w:pPr>
        <w:pStyle w:val="13"/>
        <w:ind w:firstLine="482"/>
        <w:rPr>
          <w:lang w:eastAsia="zh-TW"/>
        </w:rPr>
      </w:pPr>
      <w:r w:rsidRPr="00E05BDA">
        <w:rPr>
          <w:b/>
          <w:bCs/>
          <w:lang w:eastAsia="zh-TW"/>
        </w:rPr>
        <w:t xml:space="preserve">第十八条 </w:t>
      </w:r>
      <w:r w:rsidR="00E50D08" w:rsidRPr="00E50D08">
        <w:rPr>
          <w:lang w:eastAsia="zh-TW"/>
        </w:rPr>
        <w:t>股权风险溢价可以通过市场期望报酬率与无风险利率的差值</w:t>
      </w:r>
      <w:r w:rsidR="00E50D08" w:rsidRPr="00E50D08">
        <w:rPr>
          <w:rFonts w:hint="eastAsia"/>
          <w:lang w:eastAsia="zh-TW"/>
        </w:rPr>
        <w:t>来</w:t>
      </w:r>
      <w:r w:rsidR="00E50D08" w:rsidRPr="00E50D08">
        <w:rPr>
          <w:lang w:eastAsia="zh-TW"/>
        </w:rPr>
        <w:t>确定，也可以直接计算股权风险溢价。</w:t>
      </w:r>
    </w:p>
    <w:p w14:paraId="1AB5F886" w14:textId="77777777" w:rsidR="00E50D08" w:rsidRPr="00E50D08" w:rsidRDefault="00E50D08" w:rsidP="00E50D08">
      <w:pPr>
        <w:pStyle w:val="13"/>
        <w:rPr>
          <w:lang w:eastAsia="zh-TW"/>
        </w:rPr>
      </w:pPr>
      <w:r w:rsidRPr="00E50D08">
        <w:rPr>
          <w:rFonts w:hint="eastAsia"/>
          <w:lang w:eastAsia="zh-TW"/>
        </w:rPr>
        <w:t>股权风险溢价是在评估基准日无直接可观察市场报价时的一种预期，能够通过参考历史数据观测已实现的历史风险溢价，当这种风险溢价有偏差时，应进行适当调整。</w:t>
      </w:r>
    </w:p>
    <w:p w14:paraId="520BE04E" w14:textId="00718DEC" w:rsidR="00E50D08" w:rsidRPr="00E50D08" w:rsidRDefault="00E05BDA" w:rsidP="00E50D08">
      <w:pPr>
        <w:pStyle w:val="13"/>
        <w:ind w:firstLine="482"/>
        <w:rPr>
          <w:lang w:eastAsia="zh-TW"/>
        </w:rPr>
      </w:pPr>
      <w:r w:rsidRPr="00E05BDA">
        <w:rPr>
          <w:b/>
          <w:bCs/>
          <w:lang w:eastAsia="zh-TW"/>
        </w:rPr>
        <w:t xml:space="preserve">第十九条 </w:t>
      </w:r>
      <w:r w:rsidR="00E50D08" w:rsidRPr="00E50D08">
        <w:rPr>
          <w:lang w:eastAsia="zh-TW"/>
        </w:rPr>
        <w:t>特有风险系数反映评估对象在行业内竞争地位、公司特性等因素，说明评估对象与计算股权风险溢价的可比公司之间存在着差异。</w:t>
      </w:r>
    </w:p>
    <w:p w14:paraId="2CA8EFF2" w14:textId="3D326127" w:rsidR="00E50D08" w:rsidRPr="00E50D08" w:rsidRDefault="00E05BDA" w:rsidP="00E50D08">
      <w:pPr>
        <w:pStyle w:val="13"/>
        <w:ind w:firstLine="482"/>
        <w:rPr>
          <w:lang w:eastAsia="zh-TW"/>
        </w:rPr>
      </w:pPr>
      <w:r w:rsidRPr="00E05BDA">
        <w:rPr>
          <w:b/>
          <w:bCs/>
          <w:lang w:eastAsia="zh-TW"/>
        </w:rPr>
        <w:t xml:space="preserve">第二十条 </w:t>
      </w:r>
      <w:r w:rsidR="00E50D08" w:rsidRPr="00E50D08">
        <w:rPr>
          <w:lang w:eastAsia="zh-TW"/>
        </w:rPr>
        <w:t>在企业</w:t>
      </w:r>
      <w:r w:rsidR="00E50D08" w:rsidRPr="00E50D08">
        <w:rPr>
          <w:rFonts w:hint="eastAsia"/>
          <w:lang w:eastAsia="zh-TW"/>
        </w:rPr>
        <w:t>自由</w:t>
      </w:r>
      <w:r w:rsidR="00E50D08" w:rsidRPr="00E50D08">
        <w:rPr>
          <w:lang w:eastAsia="zh-TW"/>
        </w:rPr>
        <w:t>现金流量折现模型中，折现率应采取加权平均资本成本模型（WACC）确定</w:t>
      </w:r>
      <w:r w:rsidR="00E50D08" w:rsidRPr="00E50D08">
        <w:rPr>
          <w:rFonts w:hint="eastAsia"/>
          <w:lang w:eastAsia="zh-TW"/>
        </w:rPr>
        <w:t>。</w:t>
      </w:r>
      <w:r w:rsidR="00E50D08" w:rsidRPr="00E50D08">
        <w:rPr>
          <w:lang w:eastAsia="zh-TW"/>
        </w:rPr>
        <w:t>其中</w:t>
      </w:r>
      <w:r w:rsidR="00E50D08" w:rsidRPr="00E50D08">
        <w:rPr>
          <w:rFonts w:hint="eastAsia"/>
          <w:lang w:eastAsia="zh-TW"/>
        </w:rPr>
        <w:t>：</w:t>
      </w:r>
    </w:p>
    <w:p w14:paraId="6809E80F" w14:textId="77777777" w:rsidR="00E50D08" w:rsidRPr="00E50D08" w:rsidRDefault="00E50D08" w:rsidP="00E50D08">
      <w:pPr>
        <w:pStyle w:val="13"/>
        <w:rPr>
          <w:lang w:eastAsia="zh-TW"/>
        </w:rPr>
      </w:pPr>
      <w:r w:rsidRPr="00E50D08">
        <w:rPr>
          <w:lang w:eastAsia="zh-TW"/>
        </w:rPr>
        <w:t>企业的资本结构宜根据预测期的资本结构动态确定</w:t>
      </w:r>
      <w:r w:rsidRPr="00E50D08">
        <w:rPr>
          <w:rFonts w:hint="eastAsia"/>
          <w:lang w:eastAsia="zh-TW"/>
        </w:rPr>
        <w:t>；</w:t>
      </w:r>
      <w:r w:rsidRPr="00E50D08">
        <w:rPr>
          <w:lang w:eastAsia="zh-TW"/>
        </w:rPr>
        <w:t>债</w:t>
      </w:r>
      <w:r w:rsidRPr="00E50D08">
        <w:rPr>
          <w:rFonts w:hint="eastAsia"/>
          <w:lang w:eastAsia="zh-TW"/>
        </w:rPr>
        <w:t>务</w:t>
      </w:r>
      <w:r w:rsidRPr="00E50D08">
        <w:rPr>
          <w:lang w:eastAsia="zh-TW"/>
        </w:rPr>
        <w:t>资本与权益资本的比例应以债</w:t>
      </w:r>
      <w:r w:rsidRPr="00E50D08">
        <w:rPr>
          <w:rFonts w:hint="eastAsia"/>
          <w:lang w:eastAsia="zh-TW"/>
        </w:rPr>
        <w:t>务</w:t>
      </w:r>
      <w:r w:rsidRPr="00E50D08">
        <w:rPr>
          <w:lang w:eastAsia="zh-TW"/>
        </w:rPr>
        <w:t>资本和权益资本的市场价值为基础。</w:t>
      </w:r>
    </w:p>
    <w:p w14:paraId="5F187CC9" w14:textId="69A2969E" w:rsidR="00E50D08" w:rsidRPr="00E50D08" w:rsidRDefault="00E05BDA" w:rsidP="00E50D08">
      <w:pPr>
        <w:pStyle w:val="13"/>
        <w:ind w:firstLine="482"/>
        <w:rPr>
          <w:lang w:eastAsia="zh-TW"/>
        </w:rPr>
      </w:pPr>
      <w:r w:rsidRPr="00E05BDA">
        <w:rPr>
          <w:b/>
          <w:bCs/>
          <w:lang w:eastAsia="zh-TW"/>
        </w:rPr>
        <w:t xml:space="preserve">第二十一条 </w:t>
      </w:r>
      <w:r w:rsidR="00E50D08" w:rsidRPr="00E50D08">
        <w:rPr>
          <w:lang w:eastAsia="zh-TW"/>
        </w:rPr>
        <w:t>采用加权平均资本成本模型（WACC）确定的折现率在数值上通常应小于采取资本资产定价模型（CAPM）确定的折现率。</w:t>
      </w:r>
    </w:p>
    <w:p w14:paraId="49781618" w14:textId="77777777" w:rsidR="00E50D08" w:rsidRPr="00E50D08" w:rsidRDefault="00E50D08" w:rsidP="00E905CE">
      <w:pPr>
        <w:pStyle w:val="ab"/>
        <w:spacing w:before="62" w:after="62"/>
        <w:ind w:firstLine="482"/>
        <w:rPr>
          <w:lang w:eastAsia="zh-TW"/>
        </w:rPr>
      </w:pPr>
      <w:r w:rsidRPr="00E50D08">
        <w:rPr>
          <w:rFonts w:hint="eastAsia"/>
          <w:lang w:eastAsia="zh-TW"/>
        </w:rPr>
        <w:t>五</w:t>
      </w:r>
      <w:r w:rsidRPr="00E50D08">
        <w:rPr>
          <w:lang w:eastAsia="zh-TW"/>
        </w:rPr>
        <w:t>、评估报告的注意事项</w:t>
      </w:r>
    </w:p>
    <w:p w14:paraId="1EF45FDA" w14:textId="2E0FACB8" w:rsidR="00E50D08" w:rsidRPr="00E50D08" w:rsidRDefault="00E05BDA" w:rsidP="00E50D08">
      <w:pPr>
        <w:pStyle w:val="13"/>
        <w:ind w:firstLine="482"/>
        <w:rPr>
          <w:lang w:eastAsia="zh-TW"/>
        </w:rPr>
      </w:pPr>
      <w:r w:rsidRPr="00E05BDA">
        <w:rPr>
          <w:b/>
          <w:bCs/>
          <w:lang w:eastAsia="zh-TW"/>
        </w:rPr>
        <w:t xml:space="preserve">第二十二条 </w:t>
      </w:r>
      <w:r w:rsidR="00E50D08" w:rsidRPr="00E50D08">
        <w:rPr>
          <w:lang w:eastAsia="zh-TW"/>
        </w:rPr>
        <w:t>金融企业的收益法评估结论可以采取区间值或者确定值形式。</w:t>
      </w:r>
    </w:p>
    <w:p w14:paraId="200DEC77" w14:textId="77777777" w:rsidR="00E50D08" w:rsidRPr="00E50D08" w:rsidRDefault="00E50D08" w:rsidP="00E50D08">
      <w:pPr>
        <w:pStyle w:val="13"/>
        <w:rPr>
          <w:lang w:eastAsia="zh-TW"/>
        </w:rPr>
      </w:pPr>
      <w:r w:rsidRPr="00E50D08">
        <w:rPr>
          <w:rFonts w:hint="eastAsia"/>
          <w:lang w:eastAsia="zh-TW"/>
        </w:rPr>
        <w:t>在采取区间值形式的时候，区间值的确定应该是对影响评估结果的主要参数，如收入增长率、折现率、永续增长率等参数做敏感性分析的基础上形成。敏感性分析可以根据评估对象特点按照参数每变化0.5个单位，如折现率增加或减少0.5%进行分</w:t>
      </w:r>
      <w:r w:rsidRPr="00E50D08">
        <w:rPr>
          <w:rFonts w:hint="eastAsia"/>
          <w:lang w:eastAsia="zh-TW"/>
        </w:rPr>
        <w:lastRenderedPageBreak/>
        <w:t>析。</w:t>
      </w:r>
    </w:p>
    <w:p w14:paraId="51354288" w14:textId="483DECCE" w:rsidR="00E50D08" w:rsidRPr="00E50D08" w:rsidRDefault="00E05BDA" w:rsidP="00E50D08">
      <w:pPr>
        <w:pStyle w:val="13"/>
        <w:ind w:firstLine="482"/>
        <w:rPr>
          <w:lang w:eastAsia="zh-TW"/>
        </w:rPr>
      </w:pPr>
      <w:r w:rsidRPr="00E05BDA">
        <w:rPr>
          <w:b/>
          <w:bCs/>
          <w:lang w:eastAsia="zh-TW"/>
        </w:rPr>
        <w:t xml:space="preserve">第二十三条 </w:t>
      </w:r>
      <w:r w:rsidR="00E50D08" w:rsidRPr="00E50D08">
        <w:rPr>
          <w:lang w:eastAsia="zh-TW"/>
        </w:rPr>
        <w:t>在金融</w:t>
      </w:r>
      <w:r w:rsidR="00E50D08" w:rsidRPr="00E50D08">
        <w:rPr>
          <w:rFonts w:hint="eastAsia"/>
          <w:lang w:eastAsia="zh-TW"/>
        </w:rPr>
        <w:t>企业</w:t>
      </w:r>
      <w:r w:rsidR="00E50D08" w:rsidRPr="00E50D08">
        <w:rPr>
          <w:lang w:eastAsia="zh-TW"/>
        </w:rPr>
        <w:t>收益法评估报告中应披露评估假设和预测基准，如：银行的不良率，资本充足率，存贷比等指标；保险公司的费用率，投资收益品种和投资收益率等指标。</w:t>
      </w:r>
    </w:p>
    <w:p w14:paraId="0346492E" w14:textId="14588AA8" w:rsidR="00E50D08" w:rsidRPr="00E50D08" w:rsidRDefault="00E05BDA" w:rsidP="00E50D08">
      <w:pPr>
        <w:pStyle w:val="13"/>
        <w:ind w:firstLine="482"/>
        <w:rPr>
          <w:lang w:eastAsia="zh-TW"/>
        </w:rPr>
      </w:pPr>
      <w:r w:rsidRPr="00E05BDA">
        <w:rPr>
          <w:b/>
          <w:bCs/>
          <w:lang w:eastAsia="zh-TW"/>
        </w:rPr>
        <w:t xml:space="preserve">第二十四条 </w:t>
      </w:r>
      <w:r w:rsidR="00E50D08" w:rsidRPr="00E50D08">
        <w:rPr>
          <w:lang w:eastAsia="zh-TW"/>
        </w:rPr>
        <w:t>评估结论是否考虑了具有控制权溢价或者缺乏控制权折价，或快速变现对评估对象价值影响的，应当披露控制权溢价或缺乏控制权折价数值的测算过程及确定依据，并对相关差异进行分析说明。</w:t>
      </w:r>
    </w:p>
    <w:p w14:paraId="3A722129" w14:textId="7DFCA60A" w:rsidR="00E50D08" w:rsidRPr="00E50D08" w:rsidRDefault="00E05BDA" w:rsidP="00E50D08">
      <w:pPr>
        <w:pStyle w:val="13"/>
        <w:ind w:firstLine="482"/>
        <w:rPr>
          <w:lang w:eastAsia="zh-TW"/>
        </w:rPr>
      </w:pPr>
      <w:r w:rsidRPr="00E05BDA">
        <w:rPr>
          <w:b/>
          <w:bCs/>
          <w:lang w:eastAsia="zh-TW"/>
        </w:rPr>
        <w:t xml:space="preserve">第二十五条 </w:t>
      </w:r>
      <w:r w:rsidR="00E50D08" w:rsidRPr="00E50D08">
        <w:rPr>
          <w:lang w:eastAsia="zh-TW"/>
        </w:rPr>
        <w:t>评估报告中应就未来收益预测是否考虑了通货膨胀的影响给予适当说明。</w:t>
      </w:r>
    </w:p>
    <w:p w14:paraId="1D7A3615" w14:textId="0B0655B0" w:rsidR="009F27EE" w:rsidRPr="00E50D08" w:rsidRDefault="00E50D08" w:rsidP="009F27EE">
      <w:pPr>
        <w:pStyle w:val="13"/>
        <w:rPr>
          <w:lang w:eastAsia="zh-TW"/>
        </w:rPr>
      </w:pPr>
      <w:r w:rsidRPr="00E50D08">
        <w:rPr>
          <w:rFonts w:hint="eastAsia"/>
          <w:lang w:eastAsia="zh-TW"/>
        </w:rPr>
        <w:t>附：案例</w:t>
      </w:r>
    </w:p>
    <w:p w14:paraId="26B63AA7" w14:textId="77777777" w:rsidR="00E50D08" w:rsidRPr="00E50D08" w:rsidRDefault="00E50D08" w:rsidP="00E50D08">
      <w:pPr>
        <w:pStyle w:val="13"/>
        <w:ind w:firstLineChars="0" w:firstLine="0"/>
        <w:rPr>
          <w:b/>
          <w:bCs/>
        </w:rPr>
      </w:pPr>
      <w:r w:rsidRPr="00E50D08">
        <w:rPr>
          <w:rFonts w:hint="eastAsia"/>
          <w:b/>
          <w:bCs/>
        </w:rPr>
        <w:t>附：</w:t>
      </w:r>
    </w:p>
    <w:p w14:paraId="37F4E3BF" w14:textId="77777777" w:rsidR="00E50D08" w:rsidRDefault="00E50D08" w:rsidP="00AF7342">
      <w:pPr>
        <w:pStyle w:val="a9"/>
        <w:spacing w:before="62" w:after="62"/>
      </w:pPr>
      <w:r>
        <w:rPr>
          <w:rFonts w:hint="eastAsia"/>
        </w:rPr>
        <w:t>案</w:t>
      </w:r>
      <w:r>
        <w:t xml:space="preserve">    例</w:t>
      </w:r>
    </w:p>
    <w:p w14:paraId="48D1F060" w14:textId="77777777" w:rsidR="00E50D08" w:rsidRDefault="00E50D08" w:rsidP="00E50D08">
      <w:pPr>
        <w:pStyle w:val="ab"/>
        <w:spacing w:before="62" w:after="62"/>
        <w:ind w:firstLine="482"/>
      </w:pPr>
      <w:r>
        <w:rPr>
          <w:rFonts w:hint="eastAsia"/>
        </w:rPr>
        <w:t>案例</w:t>
      </w:r>
      <w:proofErr w:type="gramStart"/>
      <w:r>
        <w:rPr>
          <w:rFonts w:hint="eastAsia"/>
        </w:rPr>
        <w:t>一</w:t>
      </w:r>
      <w:proofErr w:type="gramEnd"/>
      <w:r>
        <w:rPr>
          <w:rFonts w:hint="eastAsia"/>
        </w:rPr>
        <w:t>：银行的资产负债表预测</w:t>
      </w:r>
    </w:p>
    <w:p w14:paraId="38FF727C" w14:textId="77777777" w:rsidR="00E50D08" w:rsidRDefault="00E50D08" w:rsidP="00E50D08">
      <w:pPr>
        <w:pStyle w:val="13"/>
      </w:pPr>
      <w:r>
        <w:rPr>
          <w:rFonts w:hint="eastAsia"/>
        </w:rPr>
        <w:t>从银行企业的盈利模式可以看出，存款是银行企业的利润来源，因此采用收益法评估时，首先对银行存款进行预测，进而根据存贷比率、存款准备金率对资产进行预测，然后根据各项生息资产和付息负债的收益率或付息率对损益表进行预测，最后对权益表和现金流表进行预测。</w:t>
      </w:r>
    </w:p>
    <w:p w14:paraId="3AD7D032" w14:textId="77777777" w:rsidR="00E50D08" w:rsidRDefault="00E50D08" w:rsidP="00E50D08">
      <w:pPr>
        <w:pStyle w:val="13"/>
      </w:pPr>
      <w:r>
        <w:rPr>
          <w:rFonts w:hint="eastAsia"/>
        </w:rPr>
        <w:t>以</w:t>
      </w:r>
      <w:r>
        <w:t>xx银行为例对其资产负债表进行预测。</w:t>
      </w:r>
    </w:p>
    <w:p w14:paraId="045ADD24" w14:textId="77777777" w:rsidR="00E50D08" w:rsidRDefault="00E50D08" w:rsidP="00E50D08">
      <w:pPr>
        <w:pStyle w:val="13"/>
      </w:pPr>
      <w:r>
        <w:t>1．从存款入手</w:t>
      </w:r>
    </w:p>
    <w:p w14:paraId="2CE272CA" w14:textId="77777777" w:rsidR="00E50D08" w:rsidRDefault="00E50D08" w:rsidP="00E50D08">
      <w:pPr>
        <w:pStyle w:val="13"/>
      </w:pPr>
      <w:r>
        <w:rPr>
          <w:rFonts w:hint="eastAsia"/>
        </w:rPr>
        <w:t>存款是银行利润的来源，包括吸收公众存款和同业及其他金融机构存放款项。</w:t>
      </w:r>
    </w:p>
    <w:p w14:paraId="065A7884" w14:textId="77777777" w:rsidR="00E50D08" w:rsidRDefault="00E50D08" w:rsidP="00E50D08">
      <w:pPr>
        <w:pStyle w:val="13"/>
      </w:pPr>
      <w:r>
        <w:rPr>
          <w:rFonts w:hint="eastAsia"/>
        </w:rPr>
        <w:t>（</w:t>
      </w:r>
      <w:r>
        <w:t>1）吸收公众存款预测</w:t>
      </w:r>
    </w:p>
    <w:p w14:paraId="51093A3F" w14:textId="57CE1E38" w:rsidR="0081336F" w:rsidRPr="0081336F" w:rsidRDefault="00E50D08" w:rsidP="00E50D08">
      <w:pPr>
        <w:pStyle w:val="13"/>
      </w:pPr>
      <w:r>
        <w:t>xx银行20x3年存款平均余额为人民币149,795,300.00万元，较20x2年平均余额增加人民币21,467,800.00万元，增幅16.73%。根据国民经济发展趋势、国内银行业存款发展趋势、银行存款吸收计划、银行企业的市场份额等预测xx银行企业存款未来的规模。</w:t>
      </w:r>
    </w:p>
    <w:p w14:paraId="6A8396DB" w14:textId="77777777" w:rsidR="00E50D08" w:rsidRDefault="00E50D08" w:rsidP="00E50D08">
      <w:pPr>
        <w:pStyle w:val="13"/>
        <w:jc w:val="center"/>
      </w:pPr>
      <w:r>
        <w:rPr>
          <w:rFonts w:hint="eastAsia"/>
        </w:rPr>
        <w:t>吸收存款规模预测表</w:t>
      </w:r>
    </w:p>
    <w:p w14:paraId="25A59BDE" w14:textId="553F3DA1" w:rsidR="00685D93" w:rsidRPr="00E50D08" w:rsidRDefault="00E50D08" w:rsidP="00E50D08">
      <w:pPr>
        <w:pStyle w:val="13"/>
        <w:ind w:firstLine="420"/>
        <w:jc w:val="right"/>
        <w:rPr>
          <w:sz w:val="21"/>
          <w:szCs w:val="21"/>
        </w:rPr>
      </w:pPr>
      <w:r w:rsidRPr="00E50D08">
        <w:rPr>
          <w:rFonts w:hint="eastAsia"/>
          <w:sz w:val="21"/>
          <w:szCs w:val="21"/>
        </w:rPr>
        <w:t>金额单位：人民币万元</w:t>
      </w:r>
    </w:p>
    <w:tbl>
      <w:tblPr>
        <w:tblW w:w="5000" w:type="pct"/>
        <w:tblLook w:val="04A0" w:firstRow="1" w:lastRow="0" w:firstColumn="1" w:lastColumn="0" w:noHBand="0" w:noVBand="1"/>
      </w:tblPr>
      <w:tblGrid>
        <w:gridCol w:w="1335"/>
        <w:gridCol w:w="1476"/>
        <w:gridCol w:w="1476"/>
        <w:gridCol w:w="1476"/>
        <w:gridCol w:w="1476"/>
        <w:gridCol w:w="1476"/>
      </w:tblGrid>
      <w:tr w:rsidR="00E50D08" w:rsidRPr="00E50D08" w14:paraId="155D378E" w14:textId="77777777" w:rsidTr="00E50D08">
        <w:trPr>
          <w:trHeight w:val="285"/>
        </w:trPr>
        <w:tc>
          <w:tcPr>
            <w:tcW w:w="766" w:type="pct"/>
            <w:tcBorders>
              <w:top w:val="single" w:sz="8" w:space="0" w:color="auto"/>
              <w:left w:val="single" w:sz="8" w:space="0" w:color="auto"/>
              <w:bottom w:val="single" w:sz="4" w:space="0" w:color="auto"/>
              <w:right w:val="single" w:sz="4" w:space="0" w:color="auto"/>
            </w:tcBorders>
            <w:vAlign w:val="center"/>
          </w:tcPr>
          <w:p w14:paraId="2C6632E6" w14:textId="77777777" w:rsidR="00E50D08" w:rsidRPr="00E50D08" w:rsidRDefault="00E50D08" w:rsidP="00E50D08">
            <w:pPr>
              <w:pStyle w:val="13"/>
              <w:ind w:firstLineChars="0" w:firstLine="0"/>
              <w:jc w:val="center"/>
              <w:rPr>
                <w:b/>
                <w:bCs/>
                <w:sz w:val="18"/>
                <w:szCs w:val="18"/>
              </w:rPr>
            </w:pPr>
            <w:r w:rsidRPr="00E50D08">
              <w:rPr>
                <w:b/>
                <w:bCs/>
                <w:sz w:val="18"/>
                <w:szCs w:val="18"/>
              </w:rPr>
              <w:t>项目</w:t>
            </w:r>
          </w:p>
        </w:tc>
        <w:tc>
          <w:tcPr>
            <w:tcW w:w="847" w:type="pct"/>
            <w:tcBorders>
              <w:top w:val="single" w:sz="4" w:space="0" w:color="auto"/>
              <w:left w:val="nil"/>
              <w:bottom w:val="single" w:sz="4" w:space="0" w:color="auto"/>
              <w:right w:val="single" w:sz="4" w:space="0" w:color="auto"/>
            </w:tcBorders>
            <w:vAlign w:val="center"/>
          </w:tcPr>
          <w:p w14:paraId="67BB7F5D" w14:textId="77777777" w:rsidR="00E50D08" w:rsidRPr="00E50D08" w:rsidRDefault="00E50D08" w:rsidP="00E50D08">
            <w:pPr>
              <w:pStyle w:val="13"/>
              <w:ind w:firstLineChars="0" w:firstLine="0"/>
              <w:jc w:val="center"/>
              <w:rPr>
                <w:b/>
                <w:sz w:val="18"/>
                <w:szCs w:val="18"/>
              </w:rPr>
            </w:pPr>
            <w:r w:rsidRPr="00E50D08">
              <w:rPr>
                <w:b/>
                <w:sz w:val="18"/>
                <w:szCs w:val="18"/>
              </w:rPr>
              <w:t>20x4年</w:t>
            </w:r>
          </w:p>
        </w:tc>
        <w:tc>
          <w:tcPr>
            <w:tcW w:w="847" w:type="pct"/>
            <w:tcBorders>
              <w:top w:val="single" w:sz="4" w:space="0" w:color="auto"/>
              <w:left w:val="nil"/>
              <w:bottom w:val="single" w:sz="4" w:space="0" w:color="auto"/>
              <w:right w:val="single" w:sz="4" w:space="0" w:color="auto"/>
            </w:tcBorders>
            <w:vAlign w:val="center"/>
          </w:tcPr>
          <w:p w14:paraId="1F11FC83" w14:textId="77777777" w:rsidR="00E50D08" w:rsidRPr="00E50D08" w:rsidRDefault="00E50D08" w:rsidP="00E50D08">
            <w:pPr>
              <w:pStyle w:val="13"/>
              <w:ind w:firstLineChars="0" w:firstLine="0"/>
              <w:jc w:val="center"/>
              <w:rPr>
                <w:b/>
                <w:sz w:val="18"/>
                <w:szCs w:val="18"/>
              </w:rPr>
            </w:pPr>
            <w:r w:rsidRPr="00E50D08">
              <w:rPr>
                <w:b/>
                <w:sz w:val="18"/>
                <w:szCs w:val="18"/>
              </w:rPr>
              <w:t>20x5年</w:t>
            </w:r>
          </w:p>
        </w:tc>
        <w:tc>
          <w:tcPr>
            <w:tcW w:w="847" w:type="pct"/>
            <w:tcBorders>
              <w:top w:val="single" w:sz="4" w:space="0" w:color="auto"/>
              <w:left w:val="nil"/>
              <w:bottom w:val="single" w:sz="4" w:space="0" w:color="auto"/>
              <w:right w:val="single" w:sz="4" w:space="0" w:color="auto"/>
            </w:tcBorders>
            <w:vAlign w:val="center"/>
          </w:tcPr>
          <w:p w14:paraId="1010EC62" w14:textId="77777777" w:rsidR="00E50D08" w:rsidRPr="00E50D08" w:rsidRDefault="00E50D08" w:rsidP="00E50D08">
            <w:pPr>
              <w:pStyle w:val="13"/>
              <w:ind w:firstLineChars="0" w:firstLine="0"/>
              <w:jc w:val="center"/>
              <w:rPr>
                <w:b/>
                <w:sz w:val="18"/>
                <w:szCs w:val="18"/>
              </w:rPr>
            </w:pPr>
            <w:r w:rsidRPr="00E50D08">
              <w:rPr>
                <w:b/>
                <w:sz w:val="18"/>
                <w:szCs w:val="18"/>
              </w:rPr>
              <w:t>20x6年</w:t>
            </w:r>
          </w:p>
        </w:tc>
        <w:tc>
          <w:tcPr>
            <w:tcW w:w="847" w:type="pct"/>
            <w:tcBorders>
              <w:top w:val="single" w:sz="4" w:space="0" w:color="auto"/>
              <w:left w:val="nil"/>
              <w:bottom w:val="single" w:sz="4" w:space="0" w:color="auto"/>
              <w:right w:val="single" w:sz="4" w:space="0" w:color="auto"/>
            </w:tcBorders>
            <w:vAlign w:val="center"/>
          </w:tcPr>
          <w:p w14:paraId="74492751" w14:textId="77777777" w:rsidR="00E50D08" w:rsidRPr="00E50D08" w:rsidRDefault="00E50D08" w:rsidP="00E50D08">
            <w:pPr>
              <w:pStyle w:val="13"/>
              <w:ind w:firstLineChars="0" w:firstLine="0"/>
              <w:jc w:val="center"/>
              <w:rPr>
                <w:b/>
                <w:sz w:val="18"/>
                <w:szCs w:val="18"/>
              </w:rPr>
            </w:pPr>
            <w:r w:rsidRPr="00E50D08">
              <w:rPr>
                <w:b/>
                <w:sz w:val="18"/>
                <w:szCs w:val="18"/>
              </w:rPr>
              <w:t>20x7年</w:t>
            </w:r>
          </w:p>
        </w:tc>
        <w:tc>
          <w:tcPr>
            <w:tcW w:w="847" w:type="pct"/>
            <w:tcBorders>
              <w:top w:val="single" w:sz="4" w:space="0" w:color="auto"/>
              <w:left w:val="nil"/>
              <w:bottom w:val="single" w:sz="4" w:space="0" w:color="auto"/>
              <w:right w:val="single" w:sz="4" w:space="0" w:color="auto"/>
            </w:tcBorders>
            <w:vAlign w:val="center"/>
          </w:tcPr>
          <w:p w14:paraId="357645B6" w14:textId="77777777" w:rsidR="00E50D08" w:rsidRPr="00E50D08" w:rsidRDefault="00E50D08" w:rsidP="00E50D08">
            <w:pPr>
              <w:pStyle w:val="13"/>
              <w:ind w:firstLineChars="0" w:firstLine="0"/>
              <w:jc w:val="center"/>
              <w:rPr>
                <w:b/>
                <w:sz w:val="18"/>
                <w:szCs w:val="18"/>
              </w:rPr>
            </w:pPr>
            <w:r w:rsidRPr="00E50D08">
              <w:rPr>
                <w:b/>
                <w:sz w:val="18"/>
                <w:szCs w:val="18"/>
              </w:rPr>
              <w:t>20x8年</w:t>
            </w:r>
          </w:p>
        </w:tc>
      </w:tr>
      <w:tr w:rsidR="00E50D08" w:rsidRPr="00E50D08" w14:paraId="61943DCF" w14:textId="77777777" w:rsidTr="00E50D08">
        <w:trPr>
          <w:trHeight w:val="285"/>
        </w:trPr>
        <w:tc>
          <w:tcPr>
            <w:tcW w:w="766" w:type="pct"/>
            <w:tcBorders>
              <w:top w:val="single" w:sz="4" w:space="0" w:color="auto"/>
              <w:left w:val="single" w:sz="8" w:space="0" w:color="auto"/>
              <w:bottom w:val="single" w:sz="4" w:space="0" w:color="auto"/>
              <w:right w:val="single" w:sz="4" w:space="0" w:color="auto"/>
            </w:tcBorders>
            <w:vAlign w:val="center"/>
          </w:tcPr>
          <w:p w14:paraId="3428ED4C" w14:textId="77777777" w:rsidR="00E50D08" w:rsidRPr="00E50D08" w:rsidRDefault="00E50D08" w:rsidP="00E50D08">
            <w:pPr>
              <w:pStyle w:val="13"/>
              <w:ind w:firstLineChars="0" w:firstLine="0"/>
              <w:rPr>
                <w:bCs/>
                <w:sz w:val="18"/>
                <w:szCs w:val="18"/>
              </w:rPr>
            </w:pPr>
            <w:r w:rsidRPr="00E50D08">
              <w:rPr>
                <w:bCs/>
                <w:sz w:val="18"/>
                <w:szCs w:val="18"/>
              </w:rPr>
              <w:t>存款期末规模</w:t>
            </w:r>
          </w:p>
        </w:tc>
        <w:tc>
          <w:tcPr>
            <w:tcW w:w="847" w:type="pct"/>
            <w:tcBorders>
              <w:top w:val="nil"/>
              <w:left w:val="nil"/>
              <w:bottom w:val="single" w:sz="4" w:space="0" w:color="auto"/>
              <w:right w:val="single" w:sz="4" w:space="0" w:color="auto"/>
            </w:tcBorders>
            <w:vAlign w:val="center"/>
          </w:tcPr>
          <w:p w14:paraId="2124449E" w14:textId="77777777" w:rsidR="00E50D08" w:rsidRPr="00E50D08" w:rsidRDefault="00E50D08" w:rsidP="00E50D08">
            <w:pPr>
              <w:pStyle w:val="13"/>
              <w:ind w:firstLineChars="0" w:firstLine="0"/>
              <w:jc w:val="right"/>
              <w:rPr>
                <w:sz w:val="18"/>
                <w:szCs w:val="18"/>
              </w:rPr>
            </w:pPr>
            <w:r w:rsidRPr="00E50D08">
              <w:rPr>
                <w:sz w:val="18"/>
                <w:szCs w:val="18"/>
              </w:rPr>
              <w:t>176,480,100.00</w:t>
            </w:r>
          </w:p>
        </w:tc>
        <w:tc>
          <w:tcPr>
            <w:tcW w:w="847" w:type="pct"/>
            <w:tcBorders>
              <w:top w:val="nil"/>
              <w:left w:val="nil"/>
              <w:bottom w:val="single" w:sz="4" w:space="0" w:color="auto"/>
              <w:right w:val="single" w:sz="4" w:space="0" w:color="auto"/>
            </w:tcBorders>
            <w:vAlign w:val="center"/>
          </w:tcPr>
          <w:p w14:paraId="07692A3C" w14:textId="77777777" w:rsidR="00E50D08" w:rsidRPr="00E50D08" w:rsidRDefault="00E50D08" w:rsidP="00E50D08">
            <w:pPr>
              <w:pStyle w:val="13"/>
              <w:ind w:firstLineChars="0" w:firstLine="0"/>
              <w:jc w:val="right"/>
              <w:rPr>
                <w:sz w:val="18"/>
                <w:szCs w:val="18"/>
              </w:rPr>
            </w:pPr>
            <w:r w:rsidRPr="00E50D08">
              <w:rPr>
                <w:sz w:val="18"/>
                <w:szCs w:val="18"/>
              </w:rPr>
              <w:t>194,128,100.00</w:t>
            </w:r>
          </w:p>
        </w:tc>
        <w:tc>
          <w:tcPr>
            <w:tcW w:w="847" w:type="pct"/>
            <w:tcBorders>
              <w:top w:val="nil"/>
              <w:left w:val="nil"/>
              <w:bottom w:val="single" w:sz="4" w:space="0" w:color="auto"/>
              <w:right w:val="single" w:sz="4" w:space="0" w:color="auto"/>
            </w:tcBorders>
            <w:vAlign w:val="center"/>
          </w:tcPr>
          <w:p w14:paraId="6885E230" w14:textId="77777777" w:rsidR="00E50D08" w:rsidRPr="00E50D08" w:rsidRDefault="00E50D08" w:rsidP="00E50D08">
            <w:pPr>
              <w:pStyle w:val="13"/>
              <w:ind w:firstLineChars="0" w:firstLine="0"/>
              <w:jc w:val="right"/>
              <w:rPr>
                <w:sz w:val="18"/>
                <w:szCs w:val="18"/>
              </w:rPr>
            </w:pPr>
            <w:r w:rsidRPr="00E50D08">
              <w:rPr>
                <w:sz w:val="18"/>
                <w:szCs w:val="18"/>
              </w:rPr>
              <w:t>213,540,900.00</w:t>
            </w:r>
          </w:p>
        </w:tc>
        <w:tc>
          <w:tcPr>
            <w:tcW w:w="847" w:type="pct"/>
            <w:tcBorders>
              <w:top w:val="nil"/>
              <w:left w:val="nil"/>
              <w:bottom w:val="single" w:sz="4" w:space="0" w:color="auto"/>
              <w:right w:val="single" w:sz="4" w:space="0" w:color="auto"/>
            </w:tcBorders>
            <w:vAlign w:val="center"/>
          </w:tcPr>
          <w:p w14:paraId="73433396" w14:textId="77777777" w:rsidR="00E50D08" w:rsidRPr="00E50D08" w:rsidRDefault="00E50D08" w:rsidP="00E50D08">
            <w:pPr>
              <w:pStyle w:val="13"/>
              <w:ind w:firstLineChars="0" w:firstLine="0"/>
              <w:jc w:val="right"/>
              <w:rPr>
                <w:sz w:val="18"/>
                <w:szCs w:val="18"/>
              </w:rPr>
            </w:pPr>
            <w:r w:rsidRPr="00E50D08">
              <w:rPr>
                <w:sz w:val="18"/>
                <w:szCs w:val="18"/>
              </w:rPr>
              <w:t>232,759,600.00</w:t>
            </w:r>
          </w:p>
        </w:tc>
        <w:tc>
          <w:tcPr>
            <w:tcW w:w="847" w:type="pct"/>
            <w:tcBorders>
              <w:top w:val="nil"/>
              <w:left w:val="nil"/>
              <w:bottom w:val="single" w:sz="4" w:space="0" w:color="auto"/>
              <w:right w:val="single" w:sz="4" w:space="0" w:color="auto"/>
            </w:tcBorders>
            <w:vAlign w:val="center"/>
          </w:tcPr>
          <w:p w14:paraId="741EEDC3" w14:textId="77777777" w:rsidR="00E50D08" w:rsidRPr="00E50D08" w:rsidRDefault="00E50D08" w:rsidP="00E50D08">
            <w:pPr>
              <w:pStyle w:val="13"/>
              <w:ind w:firstLineChars="0" w:firstLine="0"/>
              <w:jc w:val="right"/>
              <w:rPr>
                <w:sz w:val="18"/>
                <w:szCs w:val="18"/>
              </w:rPr>
            </w:pPr>
            <w:r w:rsidRPr="00E50D08">
              <w:rPr>
                <w:sz w:val="18"/>
                <w:szCs w:val="18"/>
              </w:rPr>
              <w:t>251,380,400.00</w:t>
            </w:r>
          </w:p>
        </w:tc>
      </w:tr>
    </w:tbl>
    <w:p w14:paraId="6FB2792E" w14:textId="77777777" w:rsidR="0000055D" w:rsidRDefault="0000055D" w:rsidP="00E50D08">
      <w:pPr>
        <w:pStyle w:val="13"/>
      </w:pPr>
    </w:p>
    <w:p w14:paraId="18F29DAC" w14:textId="6FF6F218" w:rsidR="00E50D08" w:rsidRPr="00E50D08" w:rsidRDefault="00E50D08" w:rsidP="00E50D08">
      <w:pPr>
        <w:pStyle w:val="13"/>
      </w:pPr>
      <w:r w:rsidRPr="00E50D08">
        <w:t>（2）同业及其他金融机构存放款项预测</w:t>
      </w:r>
    </w:p>
    <w:p w14:paraId="0E78602B" w14:textId="5FEC4B00" w:rsidR="0000055D" w:rsidRDefault="00E50D08" w:rsidP="0000055D">
      <w:pPr>
        <w:pStyle w:val="13"/>
      </w:pPr>
      <w:r w:rsidRPr="00E50D08">
        <w:t>根据银行企业历史和基准日的向其他银行和政府借款、同业存放款项水平，及银行企业未来计划预测其向其他银行和政府借款、同业存放款项水平。根据xx银行过</w:t>
      </w:r>
      <w:r w:rsidRPr="00E50D08">
        <w:lastRenderedPageBreak/>
        <w:t>去三年历史数据分析，同业存入</w:t>
      </w:r>
      <w:proofErr w:type="gramStart"/>
      <w:r w:rsidRPr="00E50D08">
        <w:t>及拆入款日均</w:t>
      </w:r>
      <w:proofErr w:type="gramEnd"/>
      <w:r w:rsidRPr="00E50D08">
        <w:t>余额约占付息负债总额的30%。出于维持流动性需要，预计以后年度同业存入</w:t>
      </w:r>
      <w:proofErr w:type="gramStart"/>
      <w:r w:rsidRPr="00E50D08">
        <w:t>及拆入款占付息</w:t>
      </w:r>
      <w:proofErr w:type="gramEnd"/>
      <w:r w:rsidRPr="00E50D08">
        <w:t>负债的比例仍将维持在此水平上。</w:t>
      </w:r>
    </w:p>
    <w:p w14:paraId="04C471D6" w14:textId="77777777" w:rsidR="00E50D08" w:rsidRPr="00E50D08" w:rsidRDefault="00E50D08" w:rsidP="0000055D">
      <w:pPr>
        <w:pStyle w:val="13"/>
        <w:jc w:val="center"/>
      </w:pPr>
      <w:r w:rsidRPr="00E50D08">
        <w:t>同业拆借规模预测表</w:t>
      </w:r>
    </w:p>
    <w:p w14:paraId="7F4FDD74" w14:textId="77777777" w:rsidR="00E50D08" w:rsidRPr="00E50D08" w:rsidRDefault="00E50D08" w:rsidP="0000055D">
      <w:pPr>
        <w:pStyle w:val="13"/>
        <w:ind w:firstLine="420"/>
        <w:jc w:val="right"/>
        <w:rPr>
          <w:sz w:val="21"/>
          <w:szCs w:val="21"/>
        </w:rPr>
      </w:pPr>
      <w:r w:rsidRPr="00E50D08">
        <w:rPr>
          <w:sz w:val="21"/>
          <w:szCs w:val="21"/>
        </w:rPr>
        <w:t>金额单位：人民币万元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387"/>
        <w:gridCol w:w="1386"/>
        <w:gridCol w:w="1386"/>
        <w:gridCol w:w="1386"/>
        <w:gridCol w:w="1439"/>
      </w:tblGrid>
      <w:tr w:rsidR="00E50D08" w:rsidRPr="00E50D08" w14:paraId="7FFD7EC2" w14:textId="77777777" w:rsidTr="0000055D">
        <w:trPr>
          <w:trHeight w:val="283"/>
        </w:trPr>
        <w:tc>
          <w:tcPr>
            <w:tcW w:w="995" w:type="pct"/>
            <w:vAlign w:val="center"/>
          </w:tcPr>
          <w:p w14:paraId="35EFAC9E" w14:textId="77777777" w:rsidR="00E50D08" w:rsidRPr="00E50D08" w:rsidRDefault="00E50D08" w:rsidP="0000055D">
            <w:pPr>
              <w:pStyle w:val="13"/>
              <w:ind w:firstLineChars="0" w:firstLine="0"/>
              <w:rPr>
                <w:b/>
                <w:sz w:val="18"/>
                <w:szCs w:val="18"/>
              </w:rPr>
            </w:pPr>
            <w:r w:rsidRPr="00E50D08">
              <w:rPr>
                <w:b/>
                <w:sz w:val="18"/>
                <w:szCs w:val="18"/>
              </w:rPr>
              <w:t>项目</w:t>
            </w:r>
          </w:p>
        </w:tc>
        <w:tc>
          <w:tcPr>
            <w:tcW w:w="795" w:type="pct"/>
            <w:vAlign w:val="center"/>
          </w:tcPr>
          <w:p w14:paraId="46BDFE71" w14:textId="77777777" w:rsidR="00E50D08" w:rsidRPr="00E50D08" w:rsidRDefault="00E50D08" w:rsidP="0000055D">
            <w:pPr>
              <w:pStyle w:val="13"/>
              <w:ind w:firstLineChars="0" w:firstLine="0"/>
              <w:rPr>
                <w:b/>
                <w:bCs/>
                <w:sz w:val="18"/>
                <w:szCs w:val="18"/>
              </w:rPr>
            </w:pPr>
            <w:r w:rsidRPr="00E50D08">
              <w:rPr>
                <w:b/>
                <w:bCs/>
                <w:sz w:val="18"/>
                <w:szCs w:val="18"/>
              </w:rPr>
              <w:t>20x4年</w:t>
            </w:r>
          </w:p>
        </w:tc>
        <w:tc>
          <w:tcPr>
            <w:tcW w:w="795" w:type="pct"/>
            <w:vAlign w:val="center"/>
          </w:tcPr>
          <w:p w14:paraId="01D7151D" w14:textId="77777777" w:rsidR="00E50D08" w:rsidRPr="00E50D08" w:rsidRDefault="00E50D08" w:rsidP="0000055D">
            <w:pPr>
              <w:pStyle w:val="13"/>
              <w:ind w:firstLineChars="0" w:firstLine="0"/>
              <w:rPr>
                <w:b/>
                <w:bCs/>
                <w:sz w:val="18"/>
                <w:szCs w:val="18"/>
              </w:rPr>
            </w:pPr>
            <w:r w:rsidRPr="00E50D08">
              <w:rPr>
                <w:b/>
                <w:bCs/>
                <w:sz w:val="18"/>
                <w:szCs w:val="18"/>
              </w:rPr>
              <w:t>20x5年</w:t>
            </w:r>
          </w:p>
        </w:tc>
        <w:tc>
          <w:tcPr>
            <w:tcW w:w="795" w:type="pct"/>
            <w:vAlign w:val="center"/>
          </w:tcPr>
          <w:p w14:paraId="3351A7C4" w14:textId="77777777" w:rsidR="00E50D08" w:rsidRPr="00E50D08" w:rsidRDefault="00E50D08" w:rsidP="0000055D">
            <w:pPr>
              <w:pStyle w:val="13"/>
              <w:ind w:firstLineChars="0" w:firstLine="0"/>
              <w:rPr>
                <w:b/>
                <w:bCs/>
                <w:sz w:val="18"/>
                <w:szCs w:val="18"/>
              </w:rPr>
            </w:pPr>
            <w:r w:rsidRPr="00E50D08">
              <w:rPr>
                <w:b/>
                <w:bCs/>
                <w:sz w:val="18"/>
                <w:szCs w:val="18"/>
              </w:rPr>
              <w:t>20x6年</w:t>
            </w:r>
          </w:p>
        </w:tc>
        <w:tc>
          <w:tcPr>
            <w:tcW w:w="795" w:type="pct"/>
            <w:vAlign w:val="center"/>
          </w:tcPr>
          <w:p w14:paraId="5E9DE6D1" w14:textId="77777777" w:rsidR="00E50D08" w:rsidRPr="00E50D08" w:rsidRDefault="00E50D08" w:rsidP="0000055D">
            <w:pPr>
              <w:pStyle w:val="13"/>
              <w:ind w:firstLineChars="0" w:firstLine="0"/>
              <w:rPr>
                <w:b/>
                <w:bCs/>
                <w:sz w:val="18"/>
                <w:szCs w:val="18"/>
              </w:rPr>
            </w:pPr>
            <w:r w:rsidRPr="00E50D08">
              <w:rPr>
                <w:b/>
                <w:bCs/>
                <w:sz w:val="18"/>
                <w:szCs w:val="18"/>
              </w:rPr>
              <w:t>20x7年</w:t>
            </w:r>
          </w:p>
        </w:tc>
        <w:tc>
          <w:tcPr>
            <w:tcW w:w="826" w:type="pct"/>
            <w:vAlign w:val="center"/>
          </w:tcPr>
          <w:p w14:paraId="6AACBDE2" w14:textId="77777777" w:rsidR="00E50D08" w:rsidRPr="00E50D08" w:rsidRDefault="00E50D08" w:rsidP="0000055D">
            <w:pPr>
              <w:pStyle w:val="13"/>
              <w:ind w:firstLineChars="0" w:firstLine="0"/>
              <w:rPr>
                <w:b/>
                <w:bCs/>
                <w:sz w:val="18"/>
                <w:szCs w:val="18"/>
              </w:rPr>
            </w:pPr>
            <w:r w:rsidRPr="00E50D08">
              <w:rPr>
                <w:b/>
                <w:bCs/>
                <w:sz w:val="18"/>
                <w:szCs w:val="18"/>
              </w:rPr>
              <w:t>20x8年</w:t>
            </w:r>
          </w:p>
        </w:tc>
      </w:tr>
      <w:tr w:rsidR="00E50D08" w:rsidRPr="00E50D08" w14:paraId="79665786" w14:textId="77777777" w:rsidTr="0000055D">
        <w:trPr>
          <w:trHeight w:val="283"/>
        </w:trPr>
        <w:tc>
          <w:tcPr>
            <w:tcW w:w="995" w:type="pct"/>
            <w:vAlign w:val="center"/>
          </w:tcPr>
          <w:p w14:paraId="5E9F3794" w14:textId="548F67C4" w:rsidR="00E50D08" w:rsidRPr="00E50D08" w:rsidRDefault="00E50D08" w:rsidP="0000055D">
            <w:pPr>
              <w:pStyle w:val="13"/>
              <w:ind w:firstLineChars="0" w:firstLine="0"/>
              <w:rPr>
                <w:sz w:val="18"/>
                <w:szCs w:val="18"/>
              </w:rPr>
            </w:pPr>
            <w:r w:rsidRPr="00E50D08">
              <w:rPr>
                <w:sz w:val="18"/>
                <w:szCs w:val="18"/>
              </w:rPr>
              <w:t>同业拆借期末余额</w:t>
            </w:r>
          </w:p>
        </w:tc>
        <w:tc>
          <w:tcPr>
            <w:tcW w:w="795" w:type="pct"/>
            <w:vAlign w:val="center"/>
          </w:tcPr>
          <w:p w14:paraId="1D241903" w14:textId="77777777" w:rsidR="00E50D08" w:rsidRPr="00E50D08" w:rsidRDefault="00E50D08" w:rsidP="0000055D">
            <w:pPr>
              <w:pStyle w:val="13"/>
              <w:ind w:firstLineChars="0" w:firstLine="0"/>
              <w:rPr>
                <w:sz w:val="18"/>
                <w:szCs w:val="18"/>
              </w:rPr>
            </w:pPr>
            <w:r w:rsidRPr="00E50D08">
              <w:rPr>
                <w:sz w:val="18"/>
                <w:szCs w:val="18"/>
              </w:rPr>
              <w:t>59,515,696.67</w:t>
            </w:r>
          </w:p>
        </w:tc>
        <w:tc>
          <w:tcPr>
            <w:tcW w:w="795" w:type="pct"/>
            <w:vAlign w:val="center"/>
          </w:tcPr>
          <w:p w14:paraId="0CE03F51" w14:textId="77777777" w:rsidR="00E50D08" w:rsidRPr="00E50D08" w:rsidRDefault="00E50D08" w:rsidP="0000055D">
            <w:pPr>
              <w:pStyle w:val="13"/>
              <w:ind w:firstLineChars="0" w:firstLine="0"/>
              <w:rPr>
                <w:sz w:val="18"/>
                <w:szCs w:val="18"/>
              </w:rPr>
            </w:pPr>
            <w:r w:rsidRPr="00E50D08">
              <w:rPr>
                <w:sz w:val="18"/>
                <w:szCs w:val="18"/>
              </w:rPr>
              <w:t>65,467,307.61</w:t>
            </w:r>
          </w:p>
        </w:tc>
        <w:tc>
          <w:tcPr>
            <w:tcW w:w="795" w:type="pct"/>
            <w:vAlign w:val="center"/>
          </w:tcPr>
          <w:p w14:paraId="11E9B4E2" w14:textId="77777777" w:rsidR="00E50D08" w:rsidRPr="00E50D08" w:rsidRDefault="00E50D08" w:rsidP="0000055D">
            <w:pPr>
              <w:pStyle w:val="13"/>
              <w:ind w:firstLineChars="0" w:firstLine="0"/>
              <w:rPr>
                <w:sz w:val="18"/>
                <w:szCs w:val="18"/>
              </w:rPr>
            </w:pPr>
            <w:r w:rsidRPr="00E50D08">
              <w:rPr>
                <w:sz w:val="18"/>
                <w:szCs w:val="18"/>
              </w:rPr>
              <w:t>72,014,054.89</w:t>
            </w:r>
          </w:p>
        </w:tc>
        <w:tc>
          <w:tcPr>
            <w:tcW w:w="795" w:type="pct"/>
            <w:vAlign w:val="center"/>
          </w:tcPr>
          <w:p w14:paraId="4DCD0D41" w14:textId="77777777" w:rsidR="00E50D08" w:rsidRPr="00E50D08" w:rsidRDefault="00E50D08" w:rsidP="0000055D">
            <w:pPr>
              <w:pStyle w:val="13"/>
              <w:ind w:firstLineChars="0" w:firstLine="0"/>
              <w:rPr>
                <w:sz w:val="18"/>
                <w:szCs w:val="18"/>
              </w:rPr>
            </w:pPr>
            <w:r w:rsidRPr="00E50D08">
              <w:rPr>
                <w:sz w:val="18"/>
                <w:szCs w:val="18"/>
              </w:rPr>
              <w:t>78,495,336.34</w:t>
            </w:r>
          </w:p>
        </w:tc>
        <w:tc>
          <w:tcPr>
            <w:tcW w:w="826" w:type="pct"/>
            <w:vAlign w:val="center"/>
          </w:tcPr>
          <w:p w14:paraId="4E825792" w14:textId="77777777" w:rsidR="00E50D08" w:rsidRPr="00E50D08" w:rsidRDefault="00E50D08" w:rsidP="0000055D">
            <w:pPr>
              <w:pStyle w:val="13"/>
              <w:ind w:firstLineChars="0" w:firstLine="0"/>
              <w:rPr>
                <w:sz w:val="18"/>
                <w:szCs w:val="18"/>
              </w:rPr>
            </w:pPr>
            <w:r w:rsidRPr="00E50D08">
              <w:rPr>
                <w:sz w:val="18"/>
                <w:szCs w:val="18"/>
              </w:rPr>
              <w:t>84,774,936.83</w:t>
            </w:r>
          </w:p>
        </w:tc>
      </w:tr>
    </w:tbl>
    <w:p w14:paraId="49298F27" w14:textId="77777777" w:rsidR="0000055D" w:rsidRPr="0000055D" w:rsidRDefault="0000055D" w:rsidP="0000055D">
      <w:pPr>
        <w:pStyle w:val="13"/>
      </w:pPr>
      <w:r w:rsidRPr="0000055D">
        <w:t>2</w:t>
      </w:r>
      <w:r w:rsidRPr="0000055D">
        <w:rPr>
          <w:rFonts w:hint="eastAsia"/>
        </w:rPr>
        <w:t>．</w:t>
      </w:r>
      <w:r w:rsidRPr="0000055D">
        <w:t>贷款规模预测</w:t>
      </w:r>
    </w:p>
    <w:p w14:paraId="5A65A12F" w14:textId="77777777" w:rsidR="0000055D" w:rsidRPr="0000055D" w:rsidRDefault="0000055D" w:rsidP="0000055D">
      <w:pPr>
        <w:pStyle w:val="13"/>
      </w:pPr>
      <w:r w:rsidRPr="0000055D">
        <w:t>xx银行作为一家全国性的商业银行，具有良好的公司治理结构、国际化的管理团队和市场化的经营管理机制，自成立以来业务经营始终坚持市场化原则，以实现股东价值和银行价值提升为最终目标，具备强劲的内</w:t>
      </w:r>
      <w:proofErr w:type="gramStart"/>
      <w:r w:rsidRPr="0000055D">
        <w:t>生增长</w:t>
      </w:r>
      <w:proofErr w:type="gramEnd"/>
      <w:r w:rsidRPr="0000055D">
        <w:t>动力。客户存款快速增长，从20</w:t>
      </w:r>
      <w:r w:rsidRPr="0000055D">
        <w:rPr>
          <w:rFonts w:hint="eastAsia"/>
        </w:rPr>
        <w:t>y</w:t>
      </w:r>
      <w:r w:rsidRPr="0000055D">
        <w:t>9年到20x3年复合增长率达到19.00%；贷款增速受到政策监管的影响，从20</w:t>
      </w:r>
      <w:r w:rsidRPr="0000055D">
        <w:rPr>
          <w:rFonts w:hint="eastAsia"/>
        </w:rPr>
        <w:t>y</w:t>
      </w:r>
      <w:r w:rsidRPr="0000055D">
        <w:t>9年到20x3年复合增长率达到16.00%。</w:t>
      </w:r>
    </w:p>
    <w:p w14:paraId="07E575FF" w14:textId="77777777" w:rsidR="0000055D" w:rsidRPr="0000055D" w:rsidRDefault="0000055D" w:rsidP="0000055D">
      <w:pPr>
        <w:pStyle w:val="13"/>
      </w:pPr>
      <w:r w:rsidRPr="0000055D">
        <w:t>xx银行20</w:t>
      </w:r>
      <w:r w:rsidRPr="0000055D">
        <w:rPr>
          <w:rFonts w:hint="eastAsia"/>
        </w:rPr>
        <w:t>y</w:t>
      </w:r>
      <w:r w:rsidRPr="0000055D">
        <w:t>9-20x3年的存贷比如下表所示，历年存贷</w:t>
      </w:r>
      <w:proofErr w:type="gramStart"/>
      <w:r w:rsidRPr="0000055D">
        <w:t>比除了</w:t>
      </w:r>
      <w:proofErr w:type="gramEnd"/>
      <w:r w:rsidRPr="0000055D">
        <w:t>在20x2年有短暂的下降以外基本维持在70%以上的水平，在评估</w:t>
      </w:r>
      <w:proofErr w:type="gramStart"/>
      <w:r w:rsidRPr="0000055D">
        <w:t>基准日存贷</w:t>
      </w:r>
      <w:proofErr w:type="gramEnd"/>
      <w:r w:rsidRPr="0000055D">
        <w:t>比为71.16%。</w:t>
      </w:r>
    </w:p>
    <w:tbl>
      <w:tblPr>
        <w:tblW w:w="5000" w:type="pct"/>
        <w:jc w:val="center"/>
        <w:tblLook w:val="04A0" w:firstRow="1" w:lastRow="0" w:firstColumn="1" w:lastColumn="0" w:noHBand="0" w:noVBand="1"/>
      </w:tblPr>
      <w:tblGrid>
        <w:gridCol w:w="1082"/>
        <w:gridCol w:w="1441"/>
        <w:gridCol w:w="1548"/>
        <w:gridCol w:w="1548"/>
        <w:gridCol w:w="1548"/>
        <w:gridCol w:w="1548"/>
      </w:tblGrid>
      <w:tr w:rsidR="0000055D" w:rsidRPr="0000055D" w14:paraId="4C6732BC" w14:textId="77777777" w:rsidTr="0000055D">
        <w:trPr>
          <w:trHeight w:val="285"/>
          <w:jc w:val="center"/>
        </w:trPr>
        <w:tc>
          <w:tcPr>
            <w:tcW w:w="620" w:type="pct"/>
            <w:tcBorders>
              <w:top w:val="single" w:sz="8" w:space="0" w:color="auto"/>
              <w:left w:val="single" w:sz="8" w:space="0" w:color="auto"/>
              <w:bottom w:val="single" w:sz="4" w:space="0" w:color="auto"/>
              <w:right w:val="single" w:sz="4" w:space="0" w:color="auto"/>
            </w:tcBorders>
            <w:vAlign w:val="center"/>
          </w:tcPr>
          <w:p w14:paraId="08EC7D06" w14:textId="77777777" w:rsidR="0000055D" w:rsidRPr="0000055D" w:rsidRDefault="0000055D" w:rsidP="0000055D">
            <w:pPr>
              <w:pStyle w:val="13"/>
              <w:ind w:firstLineChars="0" w:firstLine="0"/>
              <w:jc w:val="center"/>
              <w:rPr>
                <w:b/>
                <w:bCs/>
                <w:sz w:val="18"/>
                <w:szCs w:val="18"/>
              </w:rPr>
            </w:pPr>
            <w:r w:rsidRPr="0000055D">
              <w:rPr>
                <w:b/>
                <w:bCs/>
                <w:sz w:val="18"/>
                <w:szCs w:val="18"/>
              </w:rPr>
              <w:t>项目</w:t>
            </w:r>
          </w:p>
        </w:tc>
        <w:tc>
          <w:tcPr>
            <w:tcW w:w="827" w:type="pct"/>
            <w:tcBorders>
              <w:top w:val="single" w:sz="4" w:space="0" w:color="auto"/>
              <w:left w:val="nil"/>
              <w:bottom w:val="single" w:sz="4" w:space="0" w:color="auto"/>
              <w:right w:val="single" w:sz="4" w:space="0" w:color="auto"/>
            </w:tcBorders>
            <w:vAlign w:val="center"/>
          </w:tcPr>
          <w:p w14:paraId="73850A4C"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y</w:t>
            </w:r>
            <w:r w:rsidRPr="0000055D">
              <w:rPr>
                <w:b/>
                <w:sz w:val="18"/>
                <w:szCs w:val="18"/>
              </w:rPr>
              <w:t>9年</w:t>
            </w:r>
          </w:p>
        </w:tc>
        <w:tc>
          <w:tcPr>
            <w:tcW w:w="888" w:type="pct"/>
            <w:tcBorders>
              <w:top w:val="single" w:sz="4" w:space="0" w:color="auto"/>
              <w:left w:val="nil"/>
              <w:bottom w:val="single" w:sz="4" w:space="0" w:color="auto"/>
              <w:right w:val="single" w:sz="4" w:space="0" w:color="auto"/>
            </w:tcBorders>
            <w:vAlign w:val="center"/>
          </w:tcPr>
          <w:p w14:paraId="51E8EB83" w14:textId="77777777" w:rsidR="0000055D" w:rsidRPr="0000055D" w:rsidRDefault="0000055D" w:rsidP="0000055D">
            <w:pPr>
              <w:pStyle w:val="13"/>
              <w:ind w:firstLineChars="0" w:firstLine="0"/>
              <w:jc w:val="center"/>
              <w:rPr>
                <w:b/>
                <w:sz w:val="18"/>
                <w:szCs w:val="18"/>
              </w:rPr>
            </w:pPr>
            <w:r w:rsidRPr="0000055D">
              <w:rPr>
                <w:b/>
                <w:sz w:val="18"/>
                <w:szCs w:val="18"/>
              </w:rPr>
              <w:t>20x0年</w:t>
            </w:r>
          </w:p>
        </w:tc>
        <w:tc>
          <w:tcPr>
            <w:tcW w:w="888" w:type="pct"/>
            <w:tcBorders>
              <w:top w:val="single" w:sz="4" w:space="0" w:color="auto"/>
              <w:left w:val="nil"/>
              <w:bottom w:val="single" w:sz="4" w:space="0" w:color="auto"/>
              <w:right w:val="single" w:sz="4" w:space="0" w:color="auto"/>
            </w:tcBorders>
            <w:vAlign w:val="center"/>
          </w:tcPr>
          <w:p w14:paraId="6F9FDBA0" w14:textId="77777777" w:rsidR="0000055D" w:rsidRPr="0000055D" w:rsidRDefault="0000055D" w:rsidP="0000055D">
            <w:pPr>
              <w:pStyle w:val="13"/>
              <w:ind w:firstLineChars="0" w:firstLine="0"/>
              <w:jc w:val="center"/>
              <w:rPr>
                <w:b/>
                <w:sz w:val="18"/>
                <w:szCs w:val="18"/>
              </w:rPr>
            </w:pPr>
            <w:r w:rsidRPr="0000055D">
              <w:rPr>
                <w:b/>
                <w:sz w:val="18"/>
                <w:szCs w:val="18"/>
              </w:rPr>
              <w:t>20x1年</w:t>
            </w:r>
          </w:p>
        </w:tc>
        <w:tc>
          <w:tcPr>
            <w:tcW w:w="888" w:type="pct"/>
            <w:tcBorders>
              <w:top w:val="single" w:sz="4" w:space="0" w:color="auto"/>
              <w:left w:val="nil"/>
              <w:bottom w:val="single" w:sz="4" w:space="0" w:color="auto"/>
              <w:right w:val="single" w:sz="4" w:space="0" w:color="auto"/>
            </w:tcBorders>
            <w:vAlign w:val="center"/>
          </w:tcPr>
          <w:p w14:paraId="62B97D90" w14:textId="77777777" w:rsidR="0000055D" w:rsidRPr="0000055D" w:rsidRDefault="0000055D" w:rsidP="0000055D">
            <w:pPr>
              <w:pStyle w:val="13"/>
              <w:ind w:firstLineChars="0" w:firstLine="0"/>
              <w:jc w:val="center"/>
              <w:rPr>
                <w:b/>
                <w:sz w:val="18"/>
                <w:szCs w:val="18"/>
              </w:rPr>
            </w:pPr>
            <w:r w:rsidRPr="0000055D">
              <w:rPr>
                <w:b/>
                <w:sz w:val="18"/>
                <w:szCs w:val="18"/>
              </w:rPr>
              <w:t>20x2年</w:t>
            </w:r>
          </w:p>
        </w:tc>
        <w:tc>
          <w:tcPr>
            <w:tcW w:w="888" w:type="pct"/>
            <w:tcBorders>
              <w:top w:val="single" w:sz="4" w:space="0" w:color="auto"/>
              <w:left w:val="nil"/>
              <w:bottom w:val="single" w:sz="4" w:space="0" w:color="auto"/>
              <w:right w:val="single" w:sz="4" w:space="0" w:color="auto"/>
            </w:tcBorders>
            <w:vAlign w:val="center"/>
          </w:tcPr>
          <w:p w14:paraId="0112E1A5" w14:textId="77777777" w:rsidR="0000055D" w:rsidRPr="0000055D" w:rsidRDefault="0000055D" w:rsidP="0000055D">
            <w:pPr>
              <w:pStyle w:val="13"/>
              <w:ind w:firstLineChars="0" w:firstLine="0"/>
              <w:jc w:val="center"/>
              <w:rPr>
                <w:b/>
                <w:sz w:val="18"/>
                <w:szCs w:val="18"/>
              </w:rPr>
            </w:pPr>
            <w:r w:rsidRPr="0000055D">
              <w:rPr>
                <w:b/>
                <w:sz w:val="18"/>
                <w:szCs w:val="18"/>
              </w:rPr>
              <w:t>20x3年</w:t>
            </w:r>
          </w:p>
        </w:tc>
      </w:tr>
      <w:tr w:rsidR="0000055D" w:rsidRPr="0000055D" w14:paraId="1DE7A456" w14:textId="77777777" w:rsidTr="0000055D">
        <w:trPr>
          <w:trHeight w:val="285"/>
          <w:jc w:val="center"/>
        </w:trPr>
        <w:tc>
          <w:tcPr>
            <w:tcW w:w="620" w:type="pct"/>
            <w:tcBorders>
              <w:top w:val="nil"/>
              <w:left w:val="single" w:sz="8" w:space="0" w:color="auto"/>
              <w:bottom w:val="single" w:sz="4" w:space="0" w:color="auto"/>
              <w:right w:val="single" w:sz="4" w:space="0" w:color="auto"/>
            </w:tcBorders>
            <w:vAlign w:val="center"/>
          </w:tcPr>
          <w:p w14:paraId="2E122E31" w14:textId="77777777" w:rsidR="0000055D" w:rsidRPr="0000055D" w:rsidRDefault="0000055D" w:rsidP="0000055D">
            <w:pPr>
              <w:pStyle w:val="13"/>
              <w:ind w:firstLineChars="0" w:firstLine="0"/>
              <w:rPr>
                <w:bCs/>
                <w:sz w:val="18"/>
                <w:szCs w:val="18"/>
              </w:rPr>
            </w:pPr>
            <w:r w:rsidRPr="0000055D">
              <w:rPr>
                <w:bCs/>
                <w:sz w:val="18"/>
                <w:szCs w:val="18"/>
              </w:rPr>
              <w:t>贷款余额</w:t>
            </w:r>
          </w:p>
        </w:tc>
        <w:tc>
          <w:tcPr>
            <w:tcW w:w="827" w:type="pct"/>
            <w:tcBorders>
              <w:top w:val="nil"/>
              <w:left w:val="nil"/>
              <w:bottom w:val="single" w:sz="4" w:space="0" w:color="auto"/>
              <w:right w:val="single" w:sz="4" w:space="0" w:color="auto"/>
            </w:tcBorders>
            <w:vAlign w:val="center"/>
          </w:tcPr>
          <w:p w14:paraId="0A82CF37" w14:textId="77777777" w:rsidR="0000055D" w:rsidRPr="0000055D" w:rsidRDefault="0000055D" w:rsidP="0000055D">
            <w:pPr>
              <w:pStyle w:val="13"/>
              <w:ind w:firstLineChars="0" w:firstLine="0"/>
              <w:jc w:val="right"/>
              <w:rPr>
                <w:sz w:val="18"/>
                <w:szCs w:val="18"/>
              </w:rPr>
            </w:pPr>
            <w:r w:rsidRPr="0000055D">
              <w:rPr>
                <w:sz w:val="18"/>
                <w:szCs w:val="18"/>
              </w:rPr>
              <w:t>63,211,533.40</w:t>
            </w:r>
          </w:p>
        </w:tc>
        <w:tc>
          <w:tcPr>
            <w:tcW w:w="888" w:type="pct"/>
            <w:tcBorders>
              <w:top w:val="nil"/>
              <w:left w:val="nil"/>
              <w:bottom w:val="single" w:sz="4" w:space="0" w:color="auto"/>
              <w:right w:val="single" w:sz="4" w:space="0" w:color="auto"/>
            </w:tcBorders>
            <w:vAlign w:val="center"/>
          </w:tcPr>
          <w:p w14:paraId="57543A69" w14:textId="77777777" w:rsidR="0000055D" w:rsidRPr="0000055D" w:rsidRDefault="0000055D" w:rsidP="0000055D">
            <w:pPr>
              <w:pStyle w:val="13"/>
              <w:ind w:firstLineChars="0" w:firstLine="0"/>
              <w:jc w:val="right"/>
              <w:rPr>
                <w:sz w:val="18"/>
                <w:szCs w:val="18"/>
              </w:rPr>
            </w:pPr>
            <w:r w:rsidRPr="0000055D">
              <w:rPr>
                <w:sz w:val="18"/>
                <w:szCs w:val="18"/>
              </w:rPr>
              <w:t>76,046,315.60</w:t>
            </w:r>
          </w:p>
        </w:tc>
        <w:tc>
          <w:tcPr>
            <w:tcW w:w="888" w:type="pct"/>
            <w:tcBorders>
              <w:top w:val="nil"/>
              <w:left w:val="nil"/>
              <w:bottom w:val="single" w:sz="4" w:space="0" w:color="auto"/>
              <w:right w:val="single" w:sz="4" w:space="0" w:color="auto"/>
            </w:tcBorders>
            <w:vAlign w:val="center"/>
          </w:tcPr>
          <w:p w14:paraId="5551A848" w14:textId="77777777" w:rsidR="0000055D" w:rsidRPr="0000055D" w:rsidRDefault="0000055D" w:rsidP="0000055D">
            <w:pPr>
              <w:pStyle w:val="13"/>
              <w:ind w:firstLineChars="0" w:firstLine="0"/>
              <w:jc w:val="right"/>
              <w:rPr>
                <w:sz w:val="18"/>
                <w:szCs w:val="18"/>
              </w:rPr>
            </w:pPr>
            <w:r w:rsidRPr="0000055D">
              <w:rPr>
                <w:sz w:val="18"/>
                <w:szCs w:val="18"/>
              </w:rPr>
              <w:t>86,866,553.60</w:t>
            </w:r>
          </w:p>
        </w:tc>
        <w:tc>
          <w:tcPr>
            <w:tcW w:w="888" w:type="pct"/>
            <w:tcBorders>
              <w:top w:val="nil"/>
              <w:left w:val="nil"/>
              <w:bottom w:val="single" w:sz="4" w:space="0" w:color="auto"/>
              <w:right w:val="single" w:sz="4" w:space="0" w:color="auto"/>
            </w:tcBorders>
            <w:vAlign w:val="center"/>
          </w:tcPr>
          <w:p w14:paraId="38B1BFB4" w14:textId="77777777" w:rsidR="0000055D" w:rsidRPr="0000055D" w:rsidRDefault="0000055D" w:rsidP="0000055D">
            <w:pPr>
              <w:pStyle w:val="13"/>
              <w:ind w:firstLineChars="0" w:firstLine="0"/>
              <w:jc w:val="right"/>
              <w:rPr>
                <w:sz w:val="18"/>
                <w:szCs w:val="18"/>
              </w:rPr>
            </w:pPr>
            <w:r w:rsidRPr="0000055D">
              <w:rPr>
                <w:sz w:val="18"/>
                <w:szCs w:val="18"/>
              </w:rPr>
              <w:t>99,717,784.51</w:t>
            </w:r>
          </w:p>
        </w:tc>
        <w:tc>
          <w:tcPr>
            <w:tcW w:w="888" w:type="pct"/>
            <w:tcBorders>
              <w:top w:val="nil"/>
              <w:left w:val="nil"/>
              <w:bottom w:val="single" w:sz="4" w:space="0" w:color="auto"/>
              <w:right w:val="single" w:sz="4" w:space="0" w:color="auto"/>
            </w:tcBorders>
            <w:vAlign w:val="center"/>
          </w:tcPr>
          <w:p w14:paraId="1614254C" w14:textId="77777777" w:rsidR="0000055D" w:rsidRPr="0000055D" w:rsidRDefault="0000055D" w:rsidP="0000055D">
            <w:pPr>
              <w:pStyle w:val="13"/>
              <w:ind w:firstLineChars="0" w:firstLine="0"/>
              <w:jc w:val="right"/>
              <w:rPr>
                <w:sz w:val="18"/>
                <w:szCs w:val="18"/>
              </w:rPr>
            </w:pPr>
            <w:r w:rsidRPr="0000055D">
              <w:rPr>
                <w:sz w:val="18"/>
                <w:szCs w:val="18"/>
              </w:rPr>
              <w:t>114,162,237.88</w:t>
            </w:r>
          </w:p>
        </w:tc>
      </w:tr>
      <w:tr w:rsidR="0000055D" w:rsidRPr="0000055D" w14:paraId="5C02C938" w14:textId="77777777" w:rsidTr="0000055D">
        <w:trPr>
          <w:trHeight w:val="285"/>
          <w:jc w:val="center"/>
        </w:trPr>
        <w:tc>
          <w:tcPr>
            <w:tcW w:w="620" w:type="pct"/>
            <w:tcBorders>
              <w:top w:val="nil"/>
              <w:left w:val="single" w:sz="8" w:space="0" w:color="auto"/>
              <w:bottom w:val="single" w:sz="4" w:space="0" w:color="auto"/>
              <w:right w:val="single" w:sz="4" w:space="0" w:color="auto"/>
            </w:tcBorders>
            <w:vAlign w:val="center"/>
          </w:tcPr>
          <w:p w14:paraId="5A9834E8" w14:textId="77777777" w:rsidR="0000055D" w:rsidRPr="0000055D" w:rsidRDefault="0000055D" w:rsidP="0000055D">
            <w:pPr>
              <w:pStyle w:val="13"/>
              <w:ind w:firstLineChars="0" w:firstLine="0"/>
              <w:rPr>
                <w:bCs/>
                <w:sz w:val="18"/>
                <w:szCs w:val="18"/>
              </w:rPr>
            </w:pPr>
            <w:r w:rsidRPr="0000055D">
              <w:rPr>
                <w:bCs/>
                <w:sz w:val="18"/>
                <w:szCs w:val="18"/>
              </w:rPr>
              <w:t>存款余额</w:t>
            </w:r>
          </w:p>
        </w:tc>
        <w:tc>
          <w:tcPr>
            <w:tcW w:w="827" w:type="pct"/>
            <w:tcBorders>
              <w:top w:val="nil"/>
              <w:left w:val="nil"/>
              <w:bottom w:val="single" w:sz="4" w:space="0" w:color="auto"/>
              <w:right w:val="single" w:sz="4" w:space="0" w:color="auto"/>
            </w:tcBorders>
            <w:vAlign w:val="center"/>
          </w:tcPr>
          <w:p w14:paraId="1C3294EE" w14:textId="77777777" w:rsidR="0000055D" w:rsidRPr="0000055D" w:rsidRDefault="0000055D" w:rsidP="0000055D">
            <w:pPr>
              <w:pStyle w:val="13"/>
              <w:ind w:firstLineChars="0" w:firstLine="0"/>
              <w:jc w:val="right"/>
              <w:rPr>
                <w:sz w:val="18"/>
                <w:szCs w:val="18"/>
              </w:rPr>
            </w:pPr>
            <w:r w:rsidRPr="0000055D">
              <w:rPr>
                <w:sz w:val="18"/>
                <w:szCs w:val="18"/>
              </w:rPr>
              <w:t>79,961,130.30</w:t>
            </w:r>
          </w:p>
        </w:tc>
        <w:tc>
          <w:tcPr>
            <w:tcW w:w="888" w:type="pct"/>
            <w:tcBorders>
              <w:top w:val="nil"/>
              <w:left w:val="nil"/>
              <w:bottom w:val="single" w:sz="4" w:space="0" w:color="auto"/>
              <w:right w:val="single" w:sz="4" w:space="0" w:color="auto"/>
            </w:tcBorders>
            <w:vAlign w:val="center"/>
          </w:tcPr>
          <w:p w14:paraId="5B883079" w14:textId="77777777" w:rsidR="0000055D" w:rsidRPr="0000055D" w:rsidRDefault="0000055D" w:rsidP="0000055D">
            <w:pPr>
              <w:pStyle w:val="13"/>
              <w:ind w:firstLineChars="0" w:firstLine="0"/>
              <w:jc w:val="right"/>
              <w:rPr>
                <w:sz w:val="18"/>
                <w:szCs w:val="18"/>
              </w:rPr>
            </w:pPr>
            <w:r w:rsidRPr="0000055D">
              <w:rPr>
                <w:sz w:val="18"/>
                <w:szCs w:val="18"/>
              </w:rPr>
              <w:t>102,952,747.80</w:t>
            </w:r>
          </w:p>
        </w:tc>
        <w:tc>
          <w:tcPr>
            <w:tcW w:w="888" w:type="pct"/>
            <w:tcBorders>
              <w:top w:val="nil"/>
              <w:left w:val="nil"/>
              <w:bottom w:val="single" w:sz="4" w:space="0" w:color="auto"/>
              <w:right w:val="single" w:sz="4" w:space="0" w:color="auto"/>
            </w:tcBorders>
            <w:vAlign w:val="center"/>
          </w:tcPr>
          <w:p w14:paraId="12B86CC6" w14:textId="77777777" w:rsidR="0000055D" w:rsidRPr="0000055D" w:rsidRDefault="0000055D" w:rsidP="0000055D">
            <w:pPr>
              <w:pStyle w:val="13"/>
              <w:ind w:firstLineChars="0" w:firstLine="0"/>
              <w:jc w:val="right"/>
              <w:rPr>
                <w:sz w:val="18"/>
                <w:szCs w:val="18"/>
              </w:rPr>
            </w:pPr>
            <w:r w:rsidRPr="0000055D">
              <w:rPr>
                <w:sz w:val="18"/>
                <w:szCs w:val="18"/>
              </w:rPr>
              <w:t>117,844,503.70</w:t>
            </w:r>
          </w:p>
        </w:tc>
        <w:tc>
          <w:tcPr>
            <w:tcW w:w="888" w:type="pct"/>
            <w:tcBorders>
              <w:top w:val="nil"/>
              <w:left w:val="nil"/>
              <w:bottom w:val="single" w:sz="4" w:space="0" w:color="auto"/>
              <w:right w:val="single" w:sz="4" w:space="0" w:color="auto"/>
            </w:tcBorders>
            <w:vAlign w:val="center"/>
          </w:tcPr>
          <w:p w14:paraId="4831A11A" w14:textId="77777777" w:rsidR="0000055D" w:rsidRPr="0000055D" w:rsidRDefault="0000055D" w:rsidP="0000055D">
            <w:pPr>
              <w:pStyle w:val="13"/>
              <w:ind w:firstLineChars="0" w:firstLine="0"/>
              <w:jc w:val="right"/>
              <w:rPr>
                <w:sz w:val="18"/>
                <w:szCs w:val="18"/>
              </w:rPr>
            </w:pPr>
            <w:r w:rsidRPr="0000055D">
              <w:rPr>
                <w:sz w:val="18"/>
                <w:szCs w:val="18"/>
              </w:rPr>
              <w:t>142,653,327.66</w:t>
            </w:r>
          </w:p>
        </w:tc>
        <w:tc>
          <w:tcPr>
            <w:tcW w:w="888" w:type="pct"/>
            <w:tcBorders>
              <w:top w:val="nil"/>
              <w:left w:val="nil"/>
              <w:bottom w:val="single" w:sz="4" w:space="0" w:color="auto"/>
              <w:right w:val="single" w:sz="4" w:space="0" w:color="auto"/>
            </w:tcBorders>
            <w:vAlign w:val="center"/>
          </w:tcPr>
          <w:p w14:paraId="32FE2CA0" w14:textId="77777777" w:rsidR="0000055D" w:rsidRPr="0000055D" w:rsidRDefault="0000055D" w:rsidP="0000055D">
            <w:pPr>
              <w:pStyle w:val="13"/>
              <w:ind w:firstLineChars="0" w:firstLine="0"/>
              <w:jc w:val="right"/>
              <w:rPr>
                <w:sz w:val="18"/>
                <w:szCs w:val="18"/>
              </w:rPr>
            </w:pPr>
            <w:r w:rsidRPr="0000055D">
              <w:rPr>
                <w:sz w:val="18"/>
                <w:szCs w:val="18"/>
              </w:rPr>
              <w:t>160,436,487.58</w:t>
            </w:r>
          </w:p>
        </w:tc>
      </w:tr>
      <w:tr w:rsidR="0000055D" w:rsidRPr="0000055D" w14:paraId="71F681F4" w14:textId="77777777" w:rsidTr="0000055D">
        <w:trPr>
          <w:trHeight w:val="285"/>
          <w:jc w:val="center"/>
        </w:trPr>
        <w:tc>
          <w:tcPr>
            <w:tcW w:w="620" w:type="pct"/>
            <w:tcBorders>
              <w:top w:val="nil"/>
              <w:left w:val="single" w:sz="8" w:space="0" w:color="auto"/>
              <w:bottom w:val="single" w:sz="4" w:space="0" w:color="auto"/>
              <w:right w:val="single" w:sz="4" w:space="0" w:color="auto"/>
            </w:tcBorders>
            <w:vAlign w:val="center"/>
          </w:tcPr>
          <w:p w14:paraId="71EE540A" w14:textId="77777777" w:rsidR="0000055D" w:rsidRPr="0000055D" w:rsidRDefault="0000055D" w:rsidP="0000055D">
            <w:pPr>
              <w:pStyle w:val="13"/>
              <w:ind w:firstLineChars="0" w:firstLine="0"/>
              <w:rPr>
                <w:bCs/>
                <w:sz w:val="18"/>
                <w:szCs w:val="18"/>
              </w:rPr>
            </w:pPr>
            <w:r w:rsidRPr="0000055D">
              <w:rPr>
                <w:bCs/>
                <w:sz w:val="18"/>
                <w:szCs w:val="18"/>
              </w:rPr>
              <w:t>存贷比</w:t>
            </w:r>
          </w:p>
        </w:tc>
        <w:tc>
          <w:tcPr>
            <w:tcW w:w="827" w:type="pct"/>
            <w:tcBorders>
              <w:top w:val="nil"/>
              <w:left w:val="nil"/>
              <w:bottom w:val="single" w:sz="4" w:space="0" w:color="auto"/>
              <w:right w:val="single" w:sz="4" w:space="0" w:color="auto"/>
            </w:tcBorders>
            <w:vAlign w:val="center"/>
          </w:tcPr>
          <w:p w14:paraId="5F1AF6A5" w14:textId="77777777" w:rsidR="0000055D" w:rsidRPr="0000055D" w:rsidRDefault="0000055D" w:rsidP="0000055D">
            <w:pPr>
              <w:pStyle w:val="13"/>
              <w:ind w:firstLineChars="0" w:firstLine="0"/>
              <w:jc w:val="right"/>
              <w:rPr>
                <w:sz w:val="18"/>
                <w:szCs w:val="18"/>
              </w:rPr>
            </w:pPr>
            <w:r w:rsidRPr="0000055D">
              <w:rPr>
                <w:sz w:val="18"/>
                <w:szCs w:val="18"/>
              </w:rPr>
              <w:t>79.05%</w:t>
            </w:r>
          </w:p>
        </w:tc>
        <w:tc>
          <w:tcPr>
            <w:tcW w:w="888" w:type="pct"/>
            <w:tcBorders>
              <w:top w:val="nil"/>
              <w:left w:val="nil"/>
              <w:bottom w:val="single" w:sz="4" w:space="0" w:color="auto"/>
              <w:right w:val="single" w:sz="4" w:space="0" w:color="auto"/>
            </w:tcBorders>
            <w:vAlign w:val="center"/>
          </w:tcPr>
          <w:p w14:paraId="28751141" w14:textId="77777777" w:rsidR="0000055D" w:rsidRPr="0000055D" w:rsidRDefault="0000055D" w:rsidP="0000055D">
            <w:pPr>
              <w:pStyle w:val="13"/>
              <w:ind w:firstLineChars="0" w:firstLine="0"/>
              <w:jc w:val="right"/>
              <w:rPr>
                <w:sz w:val="18"/>
                <w:szCs w:val="18"/>
              </w:rPr>
            </w:pPr>
            <w:r w:rsidRPr="0000055D">
              <w:rPr>
                <w:sz w:val="18"/>
                <w:szCs w:val="18"/>
              </w:rPr>
              <w:t>73.87%</w:t>
            </w:r>
          </w:p>
        </w:tc>
        <w:tc>
          <w:tcPr>
            <w:tcW w:w="888" w:type="pct"/>
            <w:tcBorders>
              <w:top w:val="nil"/>
              <w:left w:val="nil"/>
              <w:bottom w:val="single" w:sz="4" w:space="0" w:color="auto"/>
              <w:right w:val="single" w:sz="4" w:space="0" w:color="auto"/>
            </w:tcBorders>
            <w:vAlign w:val="center"/>
          </w:tcPr>
          <w:p w14:paraId="2E23A103" w14:textId="77777777" w:rsidR="0000055D" w:rsidRPr="0000055D" w:rsidRDefault="0000055D" w:rsidP="0000055D">
            <w:pPr>
              <w:pStyle w:val="13"/>
              <w:ind w:firstLineChars="0" w:firstLine="0"/>
              <w:jc w:val="right"/>
              <w:rPr>
                <w:sz w:val="18"/>
                <w:szCs w:val="18"/>
              </w:rPr>
            </w:pPr>
            <w:r w:rsidRPr="0000055D">
              <w:rPr>
                <w:sz w:val="18"/>
                <w:szCs w:val="18"/>
              </w:rPr>
              <w:t>73.71%</w:t>
            </w:r>
          </w:p>
        </w:tc>
        <w:tc>
          <w:tcPr>
            <w:tcW w:w="888" w:type="pct"/>
            <w:tcBorders>
              <w:top w:val="nil"/>
              <w:left w:val="nil"/>
              <w:bottom w:val="single" w:sz="4" w:space="0" w:color="auto"/>
              <w:right w:val="single" w:sz="4" w:space="0" w:color="auto"/>
            </w:tcBorders>
            <w:vAlign w:val="center"/>
          </w:tcPr>
          <w:p w14:paraId="27E4C4FC" w14:textId="77777777" w:rsidR="0000055D" w:rsidRPr="0000055D" w:rsidRDefault="0000055D" w:rsidP="0000055D">
            <w:pPr>
              <w:pStyle w:val="13"/>
              <w:ind w:firstLineChars="0" w:firstLine="0"/>
              <w:jc w:val="right"/>
              <w:rPr>
                <w:sz w:val="18"/>
                <w:szCs w:val="18"/>
              </w:rPr>
            </w:pPr>
            <w:r w:rsidRPr="0000055D">
              <w:rPr>
                <w:sz w:val="18"/>
                <w:szCs w:val="18"/>
              </w:rPr>
              <w:t>69.90%</w:t>
            </w:r>
          </w:p>
        </w:tc>
        <w:tc>
          <w:tcPr>
            <w:tcW w:w="888" w:type="pct"/>
            <w:tcBorders>
              <w:top w:val="nil"/>
              <w:left w:val="nil"/>
              <w:bottom w:val="single" w:sz="4" w:space="0" w:color="auto"/>
              <w:right w:val="single" w:sz="4" w:space="0" w:color="auto"/>
            </w:tcBorders>
            <w:vAlign w:val="center"/>
          </w:tcPr>
          <w:p w14:paraId="0E65C9AC" w14:textId="77777777" w:rsidR="0000055D" w:rsidRPr="0000055D" w:rsidRDefault="0000055D" w:rsidP="0000055D">
            <w:pPr>
              <w:pStyle w:val="13"/>
              <w:ind w:firstLineChars="0" w:firstLine="0"/>
              <w:jc w:val="right"/>
              <w:rPr>
                <w:sz w:val="18"/>
                <w:szCs w:val="18"/>
              </w:rPr>
            </w:pPr>
            <w:r w:rsidRPr="0000055D">
              <w:rPr>
                <w:sz w:val="18"/>
                <w:szCs w:val="18"/>
              </w:rPr>
              <w:t>71.16%</w:t>
            </w:r>
          </w:p>
        </w:tc>
      </w:tr>
    </w:tbl>
    <w:p w14:paraId="0EA465CD" w14:textId="77777777" w:rsidR="0000055D" w:rsidRPr="0000055D" w:rsidRDefault="0000055D" w:rsidP="0000055D">
      <w:pPr>
        <w:pStyle w:val="13"/>
      </w:pPr>
      <w:r w:rsidRPr="0000055D">
        <w:t>本次评估认为xx银行在预测期的存贷比可保持在评估基准日水平，即预测期的存贷比为71.16%，并依此为依据对预测期的贷款余额进行预测。</w:t>
      </w:r>
    </w:p>
    <w:tbl>
      <w:tblPr>
        <w:tblW w:w="5000" w:type="pct"/>
        <w:jc w:val="center"/>
        <w:tblLook w:val="04A0" w:firstRow="1" w:lastRow="0" w:firstColumn="1" w:lastColumn="0" w:noHBand="0" w:noVBand="1"/>
      </w:tblPr>
      <w:tblGrid>
        <w:gridCol w:w="1010"/>
        <w:gridCol w:w="1541"/>
        <w:gridCol w:w="1541"/>
        <w:gridCol w:w="1541"/>
        <w:gridCol w:w="1541"/>
        <w:gridCol w:w="1541"/>
      </w:tblGrid>
      <w:tr w:rsidR="0000055D" w:rsidRPr="0000055D" w14:paraId="17677273" w14:textId="77777777" w:rsidTr="0000055D">
        <w:trPr>
          <w:trHeight w:val="285"/>
          <w:jc w:val="center"/>
        </w:trPr>
        <w:tc>
          <w:tcPr>
            <w:tcW w:w="579" w:type="pct"/>
            <w:tcBorders>
              <w:top w:val="single" w:sz="8" w:space="0" w:color="auto"/>
              <w:left w:val="single" w:sz="8" w:space="0" w:color="auto"/>
              <w:bottom w:val="single" w:sz="4" w:space="0" w:color="auto"/>
              <w:right w:val="single" w:sz="4" w:space="0" w:color="auto"/>
            </w:tcBorders>
            <w:vAlign w:val="center"/>
          </w:tcPr>
          <w:p w14:paraId="31F81EE0" w14:textId="77777777" w:rsidR="0000055D" w:rsidRPr="0000055D" w:rsidRDefault="0000055D" w:rsidP="0000055D">
            <w:pPr>
              <w:pStyle w:val="13"/>
              <w:ind w:firstLineChars="0" w:firstLine="0"/>
              <w:jc w:val="center"/>
              <w:rPr>
                <w:b/>
                <w:bCs/>
                <w:sz w:val="18"/>
                <w:szCs w:val="18"/>
              </w:rPr>
            </w:pPr>
            <w:r w:rsidRPr="0000055D">
              <w:rPr>
                <w:b/>
                <w:bCs/>
                <w:sz w:val="18"/>
                <w:szCs w:val="18"/>
              </w:rPr>
              <w:t>项目</w:t>
            </w:r>
          </w:p>
        </w:tc>
        <w:tc>
          <w:tcPr>
            <w:tcW w:w="884" w:type="pct"/>
            <w:tcBorders>
              <w:top w:val="single" w:sz="4" w:space="0" w:color="auto"/>
              <w:left w:val="nil"/>
              <w:bottom w:val="single" w:sz="4" w:space="0" w:color="auto"/>
              <w:right w:val="single" w:sz="4" w:space="0" w:color="auto"/>
            </w:tcBorders>
            <w:vAlign w:val="center"/>
          </w:tcPr>
          <w:p w14:paraId="16C53CD6" w14:textId="77777777" w:rsidR="0000055D" w:rsidRPr="0000055D" w:rsidRDefault="0000055D" w:rsidP="0000055D">
            <w:pPr>
              <w:pStyle w:val="13"/>
              <w:ind w:firstLineChars="0" w:firstLine="0"/>
              <w:jc w:val="center"/>
              <w:rPr>
                <w:b/>
                <w:sz w:val="18"/>
                <w:szCs w:val="18"/>
              </w:rPr>
            </w:pPr>
            <w:r w:rsidRPr="0000055D">
              <w:rPr>
                <w:b/>
                <w:sz w:val="18"/>
                <w:szCs w:val="18"/>
              </w:rPr>
              <w:t>20x4年</w:t>
            </w:r>
          </w:p>
        </w:tc>
        <w:tc>
          <w:tcPr>
            <w:tcW w:w="884" w:type="pct"/>
            <w:tcBorders>
              <w:top w:val="single" w:sz="4" w:space="0" w:color="auto"/>
              <w:left w:val="nil"/>
              <w:bottom w:val="single" w:sz="4" w:space="0" w:color="auto"/>
              <w:right w:val="single" w:sz="4" w:space="0" w:color="auto"/>
            </w:tcBorders>
            <w:vAlign w:val="center"/>
          </w:tcPr>
          <w:p w14:paraId="27BB9FD5" w14:textId="77777777" w:rsidR="0000055D" w:rsidRPr="0000055D" w:rsidRDefault="0000055D" w:rsidP="0000055D">
            <w:pPr>
              <w:pStyle w:val="13"/>
              <w:ind w:firstLineChars="0" w:firstLine="0"/>
              <w:jc w:val="center"/>
              <w:rPr>
                <w:b/>
                <w:sz w:val="18"/>
                <w:szCs w:val="18"/>
              </w:rPr>
            </w:pPr>
            <w:r w:rsidRPr="0000055D">
              <w:rPr>
                <w:b/>
                <w:sz w:val="18"/>
                <w:szCs w:val="18"/>
              </w:rPr>
              <w:t>20x5年</w:t>
            </w:r>
          </w:p>
        </w:tc>
        <w:tc>
          <w:tcPr>
            <w:tcW w:w="884" w:type="pct"/>
            <w:tcBorders>
              <w:top w:val="single" w:sz="4" w:space="0" w:color="auto"/>
              <w:left w:val="nil"/>
              <w:bottom w:val="single" w:sz="4" w:space="0" w:color="auto"/>
              <w:right w:val="single" w:sz="4" w:space="0" w:color="auto"/>
            </w:tcBorders>
            <w:vAlign w:val="center"/>
          </w:tcPr>
          <w:p w14:paraId="63EF69CC" w14:textId="77777777" w:rsidR="0000055D" w:rsidRPr="0000055D" w:rsidRDefault="0000055D" w:rsidP="0000055D">
            <w:pPr>
              <w:pStyle w:val="13"/>
              <w:ind w:firstLineChars="0" w:firstLine="0"/>
              <w:jc w:val="center"/>
              <w:rPr>
                <w:b/>
                <w:sz w:val="18"/>
                <w:szCs w:val="18"/>
              </w:rPr>
            </w:pPr>
            <w:r w:rsidRPr="0000055D">
              <w:rPr>
                <w:b/>
                <w:sz w:val="18"/>
                <w:szCs w:val="18"/>
              </w:rPr>
              <w:t>20x6年</w:t>
            </w:r>
          </w:p>
        </w:tc>
        <w:tc>
          <w:tcPr>
            <w:tcW w:w="884" w:type="pct"/>
            <w:tcBorders>
              <w:top w:val="single" w:sz="4" w:space="0" w:color="auto"/>
              <w:left w:val="nil"/>
              <w:bottom w:val="single" w:sz="4" w:space="0" w:color="auto"/>
              <w:right w:val="single" w:sz="4" w:space="0" w:color="auto"/>
            </w:tcBorders>
            <w:vAlign w:val="center"/>
          </w:tcPr>
          <w:p w14:paraId="72BA9285" w14:textId="77777777" w:rsidR="0000055D" w:rsidRPr="0000055D" w:rsidRDefault="0000055D" w:rsidP="0000055D">
            <w:pPr>
              <w:pStyle w:val="13"/>
              <w:ind w:firstLineChars="0" w:firstLine="0"/>
              <w:jc w:val="center"/>
              <w:rPr>
                <w:b/>
                <w:sz w:val="18"/>
                <w:szCs w:val="18"/>
              </w:rPr>
            </w:pPr>
            <w:r w:rsidRPr="0000055D">
              <w:rPr>
                <w:b/>
                <w:sz w:val="18"/>
                <w:szCs w:val="18"/>
              </w:rPr>
              <w:t>20x7年</w:t>
            </w:r>
          </w:p>
        </w:tc>
        <w:tc>
          <w:tcPr>
            <w:tcW w:w="884" w:type="pct"/>
            <w:tcBorders>
              <w:top w:val="single" w:sz="4" w:space="0" w:color="auto"/>
              <w:left w:val="nil"/>
              <w:bottom w:val="single" w:sz="4" w:space="0" w:color="auto"/>
              <w:right w:val="single" w:sz="4" w:space="0" w:color="auto"/>
            </w:tcBorders>
            <w:vAlign w:val="center"/>
          </w:tcPr>
          <w:p w14:paraId="7A93E93B" w14:textId="77777777" w:rsidR="0000055D" w:rsidRPr="0000055D" w:rsidRDefault="0000055D" w:rsidP="0000055D">
            <w:pPr>
              <w:pStyle w:val="13"/>
              <w:ind w:firstLineChars="0" w:firstLine="0"/>
              <w:jc w:val="center"/>
              <w:rPr>
                <w:b/>
                <w:sz w:val="18"/>
                <w:szCs w:val="18"/>
              </w:rPr>
            </w:pPr>
            <w:r w:rsidRPr="0000055D">
              <w:rPr>
                <w:b/>
                <w:sz w:val="18"/>
                <w:szCs w:val="18"/>
              </w:rPr>
              <w:t>20x8年</w:t>
            </w:r>
          </w:p>
        </w:tc>
      </w:tr>
      <w:tr w:rsidR="0000055D" w:rsidRPr="0000055D" w14:paraId="49664521" w14:textId="77777777" w:rsidTr="0000055D">
        <w:trPr>
          <w:trHeight w:val="285"/>
          <w:jc w:val="center"/>
        </w:trPr>
        <w:tc>
          <w:tcPr>
            <w:tcW w:w="579" w:type="pct"/>
            <w:tcBorders>
              <w:top w:val="nil"/>
              <w:left w:val="single" w:sz="8" w:space="0" w:color="auto"/>
              <w:bottom w:val="single" w:sz="4" w:space="0" w:color="auto"/>
              <w:right w:val="single" w:sz="4" w:space="0" w:color="auto"/>
            </w:tcBorders>
            <w:vAlign w:val="center"/>
          </w:tcPr>
          <w:p w14:paraId="769E5C8C" w14:textId="77777777" w:rsidR="0000055D" w:rsidRPr="0000055D" w:rsidRDefault="0000055D" w:rsidP="0000055D">
            <w:pPr>
              <w:pStyle w:val="13"/>
              <w:ind w:firstLineChars="0" w:firstLine="0"/>
              <w:rPr>
                <w:bCs/>
                <w:sz w:val="18"/>
                <w:szCs w:val="18"/>
              </w:rPr>
            </w:pPr>
            <w:r w:rsidRPr="0000055D">
              <w:rPr>
                <w:bCs/>
                <w:sz w:val="18"/>
                <w:szCs w:val="18"/>
              </w:rPr>
              <w:t>贷款余额</w:t>
            </w:r>
          </w:p>
        </w:tc>
        <w:tc>
          <w:tcPr>
            <w:tcW w:w="884" w:type="pct"/>
            <w:tcBorders>
              <w:top w:val="nil"/>
              <w:left w:val="nil"/>
              <w:bottom w:val="single" w:sz="4" w:space="0" w:color="auto"/>
              <w:right w:val="single" w:sz="4" w:space="0" w:color="auto"/>
            </w:tcBorders>
            <w:vAlign w:val="center"/>
          </w:tcPr>
          <w:p w14:paraId="34515E99" w14:textId="77777777" w:rsidR="0000055D" w:rsidRPr="0000055D" w:rsidRDefault="0000055D" w:rsidP="0000055D">
            <w:pPr>
              <w:pStyle w:val="13"/>
              <w:ind w:firstLineChars="0" w:firstLine="0"/>
              <w:jc w:val="right"/>
              <w:rPr>
                <w:sz w:val="18"/>
                <w:szCs w:val="18"/>
              </w:rPr>
            </w:pPr>
            <w:r w:rsidRPr="0000055D">
              <w:rPr>
                <w:sz w:val="18"/>
                <w:szCs w:val="18"/>
              </w:rPr>
              <w:t>125,583,239.16</w:t>
            </w:r>
          </w:p>
        </w:tc>
        <w:tc>
          <w:tcPr>
            <w:tcW w:w="884" w:type="pct"/>
            <w:tcBorders>
              <w:top w:val="nil"/>
              <w:left w:val="nil"/>
              <w:bottom w:val="single" w:sz="4" w:space="0" w:color="auto"/>
              <w:right w:val="single" w:sz="4" w:space="0" w:color="auto"/>
            </w:tcBorders>
            <w:vAlign w:val="center"/>
          </w:tcPr>
          <w:p w14:paraId="30A6D140" w14:textId="77777777" w:rsidR="0000055D" w:rsidRPr="0000055D" w:rsidRDefault="0000055D" w:rsidP="0000055D">
            <w:pPr>
              <w:pStyle w:val="13"/>
              <w:ind w:firstLineChars="0" w:firstLine="0"/>
              <w:jc w:val="right"/>
              <w:rPr>
                <w:sz w:val="18"/>
                <w:szCs w:val="18"/>
              </w:rPr>
            </w:pPr>
            <w:r w:rsidRPr="0000055D">
              <w:rPr>
                <w:sz w:val="18"/>
                <w:szCs w:val="18"/>
              </w:rPr>
              <w:t>138,141,555.96</w:t>
            </w:r>
          </w:p>
        </w:tc>
        <w:tc>
          <w:tcPr>
            <w:tcW w:w="884" w:type="pct"/>
            <w:tcBorders>
              <w:top w:val="nil"/>
              <w:left w:val="nil"/>
              <w:bottom w:val="single" w:sz="4" w:space="0" w:color="auto"/>
              <w:right w:val="single" w:sz="4" w:space="0" w:color="auto"/>
            </w:tcBorders>
            <w:vAlign w:val="center"/>
          </w:tcPr>
          <w:p w14:paraId="0AB64A89" w14:textId="77777777" w:rsidR="0000055D" w:rsidRPr="0000055D" w:rsidRDefault="0000055D" w:rsidP="0000055D">
            <w:pPr>
              <w:pStyle w:val="13"/>
              <w:ind w:firstLineChars="0" w:firstLine="0"/>
              <w:jc w:val="right"/>
              <w:rPr>
                <w:sz w:val="18"/>
                <w:szCs w:val="18"/>
              </w:rPr>
            </w:pPr>
            <w:r w:rsidRPr="0000055D">
              <w:rPr>
                <w:sz w:val="18"/>
                <w:szCs w:val="18"/>
              </w:rPr>
              <w:t>151,955,704.44</w:t>
            </w:r>
          </w:p>
        </w:tc>
        <w:tc>
          <w:tcPr>
            <w:tcW w:w="884" w:type="pct"/>
            <w:tcBorders>
              <w:top w:val="nil"/>
              <w:left w:val="nil"/>
              <w:bottom w:val="single" w:sz="4" w:space="0" w:color="auto"/>
              <w:right w:val="single" w:sz="4" w:space="0" w:color="auto"/>
            </w:tcBorders>
            <w:vAlign w:val="center"/>
          </w:tcPr>
          <w:p w14:paraId="0E562BC9" w14:textId="77777777" w:rsidR="0000055D" w:rsidRPr="0000055D" w:rsidRDefault="0000055D" w:rsidP="0000055D">
            <w:pPr>
              <w:pStyle w:val="13"/>
              <w:ind w:firstLineChars="0" w:firstLine="0"/>
              <w:jc w:val="right"/>
              <w:rPr>
                <w:sz w:val="18"/>
                <w:szCs w:val="18"/>
              </w:rPr>
            </w:pPr>
            <w:r w:rsidRPr="0000055D">
              <w:rPr>
                <w:sz w:val="18"/>
                <w:szCs w:val="18"/>
              </w:rPr>
              <w:t>165,631,731.36</w:t>
            </w:r>
          </w:p>
        </w:tc>
        <w:tc>
          <w:tcPr>
            <w:tcW w:w="884" w:type="pct"/>
            <w:tcBorders>
              <w:top w:val="nil"/>
              <w:left w:val="nil"/>
              <w:bottom w:val="single" w:sz="4" w:space="0" w:color="auto"/>
              <w:right w:val="single" w:sz="4" w:space="0" w:color="auto"/>
            </w:tcBorders>
            <w:vAlign w:val="center"/>
          </w:tcPr>
          <w:p w14:paraId="1ADA7279" w14:textId="77777777" w:rsidR="0000055D" w:rsidRPr="0000055D" w:rsidRDefault="0000055D" w:rsidP="0000055D">
            <w:pPr>
              <w:pStyle w:val="13"/>
              <w:ind w:firstLineChars="0" w:firstLine="0"/>
              <w:jc w:val="right"/>
              <w:rPr>
                <w:sz w:val="18"/>
                <w:szCs w:val="18"/>
              </w:rPr>
            </w:pPr>
            <w:r w:rsidRPr="0000055D">
              <w:rPr>
                <w:sz w:val="18"/>
                <w:szCs w:val="18"/>
              </w:rPr>
              <w:t>178,882,292.64</w:t>
            </w:r>
          </w:p>
        </w:tc>
      </w:tr>
      <w:tr w:rsidR="0000055D" w:rsidRPr="0000055D" w14:paraId="3AAED009" w14:textId="77777777" w:rsidTr="0000055D">
        <w:trPr>
          <w:trHeight w:val="285"/>
          <w:jc w:val="center"/>
        </w:trPr>
        <w:tc>
          <w:tcPr>
            <w:tcW w:w="579" w:type="pct"/>
            <w:tcBorders>
              <w:top w:val="nil"/>
              <w:left w:val="single" w:sz="8" w:space="0" w:color="auto"/>
              <w:bottom w:val="single" w:sz="4" w:space="0" w:color="auto"/>
              <w:right w:val="single" w:sz="4" w:space="0" w:color="auto"/>
            </w:tcBorders>
            <w:vAlign w:val="center"/>
          </w:tcPr>
          <w:p w14:paraId="7376CD2A" w14:textId="77777777" w:rsidR="0000055D" w:rsidRPr="0000055D" w:rsidRDefault="0000055D" w:rsidP="0000055D">
            <w:pPr>
              <w:pStyle w:val="13"/>
              <w:ind w:firstLineChars="0" w:firstLine="0"/>
              <w:rPr>
                <w:bCs/>
                <w:sz w:val="18"/>
                <w:szCs w:val="18"/>
              </w:rPr>
            </w:pPr>
            <w:r w:rsidRPr="0000055D">
              <w:rPr>
                <w:bCs/>
                <w:sz w:val="18"/>
                <w:szCs w:val="18"/>
              </w:rPr>
              <w:t>存款余额</w:t>
            </w:r>
          </w:p>
        </w:tc>
        <w:tc>
          <w:tcPr>
            <w:tcW w:w="884" w:type="pct"/>
            <w:tcBorders>
              <w:top w:val="nil"/>
              <w:left w:val="nil"/>
              <w:bottom w:val="single" w:sz="4" w:space="0" w:color="auto"/>
              <w:right w:val="single" w:sz="4" w:space="0" w:color="auto"/>
            </w:tcBorders>
            <w:vAlign w:val="center"/>
          </w:tcPr>
          <w:p w14:paraId="2FA9BDB8" w14:textId="77777777" w:rsidR="0000055D" w:rsidRPr="0000055D" w:rsidRDefault="0000055D" w:rsidP="0000055D">
            <w:pPr>
              <w:pStyle w:val="13"/>
              <w:ind w:firstLineChars="0" w:firstLine="0"/>
              <w:jc w:val="right"/>
              <w:rPr>
                <w:sz w:val="18"/>
                <w:szCs w:val="18"/>
              </w:rPr>
            </w:pPr>
            <w:r w:rsidRPr="0000055D">
              <w:rPr>
                <w:sz w:val="18"/>
                <w:szCs w:val="18"/>
              </w:rPr>
              <w:t>176,480,100.00</w:t>
            </w:r>
          </w:p>
        </w:tc>
        <w:tc>
          <w:tcPr>
            <w:tcW w:w="884" w:type="pct"/>
            <w:tcBorders>
              <w:top w:val="nil"/>
              <w:left w:val="nil"/>
              <w:bottom w:val="single" w:sz="4" w:space="0" w:color="auto"/>
              <w:right w:val="single" w:sz="4" w:space="0" w:color="auto"/>
            </w:tcBorders>
            <w:vAlign w:val="center"/>
          </w:tcPr>
          <w:p w14:paraId="1DE00041" w14:textId="77777777" w:rsidR="0000055D" w:rsidRPr="0000055D" w:rsidRDefault="0000055D" w:rsidP="0000055D">
            <w:pPr>
              <w:pStyle w:val="13"/>
              <w:ind w:firstLineChars="0" w:firstLine="0"/>
              <w:jc w:val="right"/>
              <w:rPr>
                <w:sz w:val="18"/>
                <w:szCs w:val="18"/>
              </w:rPr>
            </w:pPr>
            <w:r w:rsidRPr="0000055D">
              <w:rPr>
                <w:sz w:val="18"/>
                <w:szCs w:val="18"/>
              </w:rPr>
              <w:t>194,128,100.00</w:t>
            </w:r>
          </w:p>
        </w:tc>
        <w:tc>
          <w:tcPr>
            <w:tcW w:w="884" w:type="pct"/>
            <w:tcBorders>
              <w:top w:val="nil"/>
              <w:left w:val="nil"/>
              <w:bottom w:val="single" w:sz="4" w:space="0" w:color="auto"/>
              <w:right w:val="single" w:sz="4" w:space="0" w:color="auto"/>
            </w:tcBorders>
            <w:vAlign w:val="center"/>
          </w:tcPr>
          <w:p w14:paraId="3576913C" w14:textId="77777777" w:rsidR="0000055D" w:rsidRPr="0000055D" w:rsidRDefault="0000055D" w:rsidP="0000055D">
            <w:pPr>
              <w:pStyle w:val="13"/>
              <w:ind w:firstLineChars="0" w:firstLine="0"/>
              <w:jc w:val="right"/>
              <w:rPr>
                <w:sz w:val="18"/>
                <w:szCs w:val="18"/>
              </w:rPr>
            </w:pPr>
            <w:r w:rsidRPr="0000055D">
              <w:rPr>
                <w:sz w:val="18"/>
                <w:szCs w:val="18"/>
              </w:rPr>
              <w:t>213,540,900.00</w:t>
            </w:r>
          </w:p>
        </w:tc>
        <w:tc>
          <w:tcPr>
            <w:tcW w:w="884" w:type="pct"/>
            <w:tcBorders>
              <w:top w:val="nil"/>
              <w:left w:val="nil"/>
              <w:bottom w:val="single" w:sz="4" w:space="0" w:color="auto"/>
              <w:right w:val="single" w:sz="4" w:space="0" w:color="auto"/>
            </w:tcBorders>
            <w:vAlign w:val="center"/>
          </w:tcPr>
          <w:p w14:paraId="20AE798C" w14:textId="77777777" w:rsidR="0000055D" w:rsidRPr="0000055D" w:rsidRDefault="0000055D" w:rsidP="0000055D">
            <w:pPr>
              <w:pStyle w:val="13"/>
              <w:ind w:firstLineChars="0" w:firstLine="0"/>
              <w:jc w:val="right"/>
              <w:rPr>
                <w:sz w:val="18"/>
                <w:szCs w:val="18"/>
              </w:rPr>
            </w:pPr>
            <w:r w:rsidRPr="0000055D">
              <w:rPr>
                <w:sz w:val="18"/>
                <w:szCs w:val="18"/>
              </w:rPr>
              <w:t>232,759,600.00</w:t>
            </w:r>
          </w:p>
        </w:tc>
        <w:tc>
          <w:tcPr>
            <w:tcW w:w="884" w:type="pct"/>
            <w:tcBorders>
              <w:top w:val="nil"/>
              <w:left w:val="nil"/>
              <w:bottom w:val="single" w:sz="4" w:space="0" w:color="auto"/>
              <w:right w:val="single" w:sz="4" w:space="0" w:color="auto"/>
            </w:tcBorders>
            <w:vAlign w:val="center"/>
          </w:tcPr>
          <w:p w14:paraId="6079C606" w14:textId="77777777" w:rsidR="0000055D" w:rsidRPr="0000055D" w:rsidRDefault="0000055D" w:rsidP="0000055D">
            <w:pPr>
              <w:pStyle w:val="13"/>
              <w:ind w:firstLineChars="0" w:firstLine="0"/>
              <w:jc w:val="right"/>
              <w:rPr>
                <w:sz w:val="18"/>
                <w:szCs w:val="18"/>
              </w:rPr>
            </w:pPr>
            <w:r w:rsidRPr="0000055D">
              <w:rPr>
                <w:sz w:val="18"/>
                <w:szCs w:val="18"/>
              </w:rPr>
              <w:t>251,380,400.00</w:t>
            </w:r>
          </w:p>
        </w:tc>
      </w:tr>
      <w:tr w:rsidR="0000055D" w:rsidRPr="0000055D" w14:paraId="6D8B13CB" w14:textId="77777777" w:rsidTr="0000055D">
        <w:trPr>
          <w:trHeight w:val="285"/>
          <w:jc w:val="center"/>
        </w:trPr>
        <w:tc>
          <w:tcPr>
            <w:tcW w:w="579" w:type="pct"/>
            <w:tcBorders>
              <w:top w:val="nil"/>
              <w:left w:val="single" w:sz="8" w:space="0" w:color="auto"/>
              <w:bottom w:val="single" w:sz="4" w:space="0" w:color="auto"/>
              <w:right w:val="single" w:sz="4" w:space="0" w:color="auto"/>
            </w:tcBorders>
            <w:vAlign w:val="center"/>
          </w:tcPr>
          <w:p w14:paraId="5F6FCCC6" w14:textId="77777777" w:rsidR="0000055D" w:rsidRPr="0000055D" w:rsidRDefault="0000055D" w:rsidP="0000055D">
            <w:pPr>
              <w:pStyle w:val="13"/>
              <w:ind w:firstLineChars="0" w:firstLine="0"/>
              <w:rPr>
                <w:bCs/>
                <w:sz w:val="18"/>
                <w:szCs w:val="18"/>
              </w:rPr>
            </w:pPr>
            <w:r w:rsidRPr="0000055D">
              <w:rPr>
                <w:bCs/>
                <w:sz w:val="18"/>
                <w:szCs w:val="18"/>
              </w:rPr>
              <w:t>存贷比</w:t>
            </w:r>
          </w:p>
        </w:tc>
        <w:tc>
          <w:tcPr>
            <w:tcW w:w="884" w:type="pct"/>
            <w:tcBorders>
              <w:top w:val="nil"/>
              <w:left w:val="nil"/>
              <w:bottom w:val="single" w:sz="4" w:space="0" w:color="auto"/>
              <w:right w:val="single" w:sz="4" w:space="0" w:color="auto"/>
            </w:tcBorders>
            <w:vAlign w:val="center"/>
          </w:tcPr>
          <w:p w14:paraId="5F0FAA29" w14:textId="77777777" w:rsidR="0000055D" w:rsidRPr="0000055D" w:rsidRDefault="0000055D" w:rsidP="0000055D">
            <w:pPr>
              <w:pStyle w:val="13"/>
              <w:ind w:firstLineChars="0" w:firstLine="0"/>
              <w:jc w:val="right"/>
              <w:rPr>
                <w:sz w:val="18"/>
                <w:szCs w:val="18"/>
              </w:rPr>
            </w:pPr>
            <w:r w:rsidRPr="0000055D">
              <w:rPr>
                <w:sz w:val="18"/>
                <w:szCs w:val="18"/>
              </w:rPr>
              <w:t>71.16%</w:t>
            </w:r>
          </w:p>
        </w:tc>
        <w:tc>
          <w:tcPr>
            <w:tcW w:w="884" w:type="pct"/>
            <w:tcBorders>
              <w:top w:val="nil"/>
              <w:left w:val="nil"/>
              <w:bottom w:val="single" w:sz="4" w:space="0" w:color="auto"/>
              <w:right w:val="single" w:sz="4" w:space="0" w:color="auto"/>
            </w:tcBorders>
            <w:vAlign w:val="center"/>
          </w:tcPr>
          <w:p w14:paraId="76FFC5C0" w14:textId="77777777" w:rsidR="0000055D" w:rsidRPr="0000055D" w:rsidRDefault="0000055D" w:rsidP="0000055D">
            <w:pPr>
              <w:pStyle w:val="13"/>
              <w:ind w:firstLineChars="0" w:firstLine="0"/>
              <w:jc w:val="right"/>
              <w:rPr>
                <w:sz w:val="18"/>
                <w:szCs w:val="18"/>
              </w:rPr>
            </w:pPr>
            <w:r w:rsidRPr="0000055D">
              <w:rPr>
                <w:sz w:val="18"/>
                <w:szCs w:val="18"/>
              </w:rPr>
              <w:t>71.16%</w:t>
            </w:r>
          </w:p>
        </w:tc>
        <w:tc>
          <w:tcPr>
            <w:tcW w:w="884" w:type="pct"/>
            <w:tcBorders>
              <w:top w:val="nil"/>
              <w:left w:val="nil"/>
              <w:bottom w:val="single" w:sz="4" w:space="0" w:color="auto"/>
              <w:right w:val="single" w:sz="4" w:space="0" w:color="auto"/>
            </w:tcBorders>
            <w:vAlign w:val="center"/>
          </w:tcPr>
          <w:p w14:paraId="4D52554E" w14:textId="77777777" w:rsidR="0000055D" w:rsidRPr="0000055D" w:rsidRDefault="0000055D" w:rsidP="0000055D">
            <w:pPr>
              <w:pStyle w:val="13"/>
              <w:ind w:firstLineChars="0" w:firstLine="0"/>
              <w:jc w:val="right"/>
              <w:rPr>
                <w:sz w:val="18"/>
                <w:szCs w:val="18"/>
              </w:rPr>
            </w:pPr>
            <w:r w:rsidRPr="0000055D">
              <w:rPr>
                <w:sz w:val="18"/>
                <w:szCs w:val="18"/>
              </w:rPr>
              <w:t>71.16%</w:t>
            </w:r>
          </w:p>
        </w:tc>
        <w:tc>
          <w:tcPr>
            <w:tcW w:w="884" w:type="pct"/>
            <w:tcBorders>
              <w:top w:val="nil"/>
              <w:left w:val="nil"/>
              <w:bottom w:val="single" w:sz="4" w:space="0" w:color="auto"/>
              <w:right w:val="single" w:sz="4" w:space="0" w:color="auto"/>
            </w:tcBorders>
            <w:vAlign w:val="center"/>
          </w:tcPr>
          <w:p w14:paraId="6A9F633B" w14:textId="77777777" w:rsidR="0000055D" w:rsidRPr="0000055D" w:rsidRDefault="0000055D" w:rsidP="0000055D">
            <w:pPr>
              <w:pStyle w:val="13"/>
              <w:ind w:firstLineChars="0" w:firstLine="0"/>
              <w:jc w:val="right"/>
              <w:rPr>
                <w:sz w:val="18"/>
                <w:szCs w:val="18"/>
              </w:rPr>
            </w:pPr>
            <w:r w:rsidRPr="0000055D">
              <w:rPr>
                <w:sz w:val="18"/>
                <w:szCs w:val="18"/>
              </w:rPr>
              <w:t>71.16%</w:t>
            </w:r>
          </w:p>
        </w:tc>
        <w:tc>
          <w:tcPr>
            <w:tcW w:w="884" w:type="pct"/>
            <w:tcBorders>
              <w:top w:val="nil"/>
              <w:left w:val="nil"/>
              <w:bottom w:val="single" w:sz="4" w:space="0" w:color="auto"/>
              <w:right w:val="single" w:sz="4" w:space="0" w:color="auto"/>
            </w:tcBorders>
            <w:vAlign w:val="center"/>
          </w:tcPr>
          <w:p w14:paraId="7FAEBCB9" w14:textId="77777777" w:rsidR="0000055D" w:rsidRPr="0000055D" w:rsidRDefault="0000055D" w:rsidP="0000055D">
            <w:pPr>
              <w:pStyle w:val="13"/>
              <w:ind w:firstLineChars="0" w:firstLine="0"/>
              <w:jc w:val="right"/>
              <w:rPr>
                <w:sz w:val="18"/>
                <w:szCs w:val="18"/>
              </w:rPr>
            </w:pPr>
            <w:r w:rsidRPr="0000055D">
              <w:rPr>
                <w:sz w:val="18"/>
                <w:szCs w:val="18"/>
              </w:rPr>
              <w:t>71.16%</w:t>
            </w:r>
          </w:p>
        </w:tc>
      </w:tr>
    </w:tbl>
    <w:p w14:paraId="7F5764C1" w14:textId="77777777" w:rsidR="0000055D" w:rsidRPr="0000055D" w:rsidRDefault="0000055D" w:rsidP="0000055D">
      <w:pPr>
        <w:pStyle w:val="13"/>
      </w:pPr>
      <w:r w:rsidRPr="0000055D">
        <w:t>3</w:t>
      </w:r>
      <w:r w:rsidRPr="0000055D">
        <w:rPr>
          <w:rFonts w:hint="eastAsia"/>
        </w:rPr>
        <w:t>．</w:t>
      </w:r>
      <w:r w:rsidRPr="0000055D">
        <w:t>存放央行款项及存放同业及其他金融机构款项预测</w:t>
      </w:r>
    </w:p>
    <w:p w14:paraId="56C133E0" w14:textId="77777777" w:rsidR="0000055D" w:rsidRPr="0000055D" w:rsidRDefault="0000055D" w:rsidP="0000055D">
      <w:pPr>
        <w:pStyle w:val="13"/>
      </w:pPr>
      <w:r w:rsidRPr="0000055D">
        <w:t>xx银行存放央行的款项主要为存放央行的准备金及超额准备金，xx银行20</w:t>
      </w:r>
      <w:r w:rsidRPr="0000055D">
        <w:rPr>
          <w:rFonts w:hint="eastAsia"/>
        </w:rPr>
        <w:t>y</w:t>
      </w:r>
      <w:r w:rsidRPr="0000055D">
        <w:t>9年至20x3年存款准备金率维持在20%左右,如下表所示。</w:t>
      </w:r>
    </w:p>
    <w:tbl>
      <w:tblPr>
        <w:tblW w:w="5000" w:type="pct"/>
        <w:tblLook w:val="04A0" w:firstRow="1" w:lastRow="0" w:firstColumn="1" w:lastColumn="0" w:noHBand="0" w:noVBand="1"/>
      </w:tblPr>
      <w:tblGrid>
        <w:gridCol w:w="1790"/>
        <w:gridCol w:w="1386"/>
        <w:gridCol w:w="1386"/>
        <w:gridCol w:w="1386"/>
        <w:gridCol w:w="1386"/>
        <w:gridCol w:w="1386"/>
      </w:tblGrid>
      <w:tr w:rsidR="0000055D" w:rsidRPr="00E905CE" w14:paraId="0B0E11F9" w14:textId="77777777" w:rsidTr="00E905CE">
        <w:trPr>
          <w:trHeight w:val="285"/>
        </w:trPr>
        <w:tc>
          <w:tcPr>
            <w:tcW w:w="1095" w:type="pct"/>
            <w:tcBorders>
              <w:top w:val="single" w:sz="8" w:space="0" w:color="auto"/>
              <w:left w:val="single" w:sz="4" w:space="0" w:color="auto"/>
              <w:bottom w:val="single" w:sz="4" w:space="0" w:color="auto"/>
              <w:right w:val="single" w:sz="4" w:space="0" w:color="auto"/>
            </w:tcBorders>
            <w:vAlign w:val="center"/>
          </w:tcPr>
          <w:p w14:paraId="4CF00AA4" w14:textId="77777777" w:rsidR="0000055D" w:rsidRPr="00E905CE" w:rsidRDefault="0000055D" w:rsidP="00E905CE">
            <w:pPr>
              <w:pStyle w:val="13"/>
              <w:ind w:firstLineChars="0" w:firstLine="0"/>
              <w:jc w:val="center"/>
              <w:rPr>
                <w:b/>
                <w:bCs/>
                <w:sz w:val="18"/>
                <w:szCs w:val="18"/>
              </w:rPr>
            </w:pPr>
            <w:r w:rsidRPr="00E905CE">
              <w:rPr>
                <w:b/>
                <w:bCs/>
                <w:sz w:val="18"/>
                <w:szCs w:val="18"/>
              </w:rPr>
              <w:t>项目</w:t>
            </w:r>
          </w:p>
        </w:tc>
        <w:tc>
          <w:tcPr>
            <w:tcW w:w="781" w:type="pct"/>
            <w:tcBorders>
              <w:top w:val="single" w:sz="8" w:space="0" w:color="auto"/>
              <w:left w:val="nil"/>
              <w:bottom w:val="single" w:sz="4" w:space="0" w:color="auto"/>
              <w:right w:val="single" w:sz="4" w:space="0" w:color="auto"/>
            </w:tcBorders>
            <w:vAlign w:val="center"/>
          </w:tcPr>
          <w:p w14:paraId="2FD50F7E" w14:textId="77777777" w:rsidR="0000055D" w:rsidRPr="00E905CE" w:rsidRDefault="0000055D" w:rsidP="00E905CE">
            <w:pPr>
              <w:pStyle w:val="13"/>
              <w:ind w:firstLineChars="0" w:firstLine="0"/>
              <w:jc w:val="center"/>
              <w:rPr>
                <w:b/>
                <w:bCs/>
                <w:sz w:val="18"/>
                <w:szCs w:val="18"/>
              </w:rPr>
            </w:pPr>
            <w:r w:rsidRPr="00E905CE">
              <w:rPr>
                <w:b/>
                <w:bCs/>
                <w:sz w:val="18"/>
                <w:szCs w:val="18"/>
              </w:rPr>
              <w:t>20</w:t>
            </w:r>
            <w:r w:rsidRPr="00E905CE">
              <w:rPr>
                <w:rFonts w:hint="eastAsia"/>
                <w:b/>
                <w:bCs/>
                <w:sz w:val="18"/>
                <w:szCs w:val="18"/>
              </w:rPr>
              <w:t>y</w:t>
            </w:r>
            <w:r w:rsidRPr="00E905CE">
              <w:rPr>
                <w:b/>
                <w:bCs/>
                <w:sz w:val="18"/>
                <w:szCs w:val="18"/>
              </w:rPr>
              <w:t>9年</w:t>
            </w:r>
          </w:p>
        </w:tc>
        <w:tc>
          <w:tcPr>
            <w:tcW w:w="781" w:type="pct"/>
            <w:tcBorders>
              <w:top w:val="single" w:sz="8" w:space="0" w:color="auto"/>
              <w:left w:val="nil"/>
              <w:bottom w:val="single" w:sz="4" w:space="0" w:color="auto"/>
              <w:right w:val="single" w:sz="4" w:space="0" w:color="auto"/>
            </w:tcBorders>
            <w:vAlign w:val="center"/>
          </w:tcPr>
          <w:p w14:paraId="1BC02D6B" w14:textId="77777777" w:rsidR="0000055D" w:rsidRPr="00E905CE" w:rsidRDefault="0000055D" w:rsidP="00E905CE">
            <w:pPr>
              <w:pStyle w:val="13"/>
              <w:ind w:firstLineChars="0" w:firstLine="0"/>
              <w:jc w:val="center"/>
              <w:rPr>
                <w:b/>
                <w:bCs/>
                <w:sz w:val="18"/>
                <w:szCs w:val="18"/>
              </w:rPr>
            </w:pPr>
            <w:r w:rsidRPr="00E905CE">
              <w:rPr>
                <w:b/>
                <w:bCs/>
                <w:sz w:val="18"/>
                <w:szCs w:val="18"/>
              </w:rPr>
              <w:t>20x0年</w:t>
            </w:r>
          </w:p>
        </w:tc>
        <w:tc>
          <w:tcPr>
            <w:tcW w:w="781" w:type="pct"/>
            <w:tcBorders>
              <w:top w:val="single" w:sz="8" w:space="0" w:color="auto"/>
              <w:left w:val="nil"/>
              <w:bottom w:val="single" w:sz="4" w:space="0" w:color="auto"/>
              <w:right w:val="single" w:sz="4" w:space="0" w:color="auto"/>
            </w:tcBorders>
            <w:vAlign w:val="center"/>
          </w:tcPr>
          <w:p w14:paraId="369B10C7" w14:textId="77777777" w:rsidR="0000055D" w:rsidRPr="00E905CE" w:rsidRDefault="0000055D" w:rsidP="00E905CE">
            <w:pPr>
              <w:pStyle w:val="13"/>
              <w:ind w:firstLineChars="0" w:firstLine="0"/>
              <w:jc w:val="center"/>
              <w:rPr>
                <w:b/>
                <w:bCs/>
                <w:sz w:val="18"/>
                <w:szCs w:val="18"/>
              </w:rPr>
            </w:pPr>
            <w:r w:rsidRPr="00E905CE">
              <w:rPr>
                <w:b/>
                <w:bCs/>
                <w:sz w:val="18"/>
                <w:szCs w:val="18"/>
              </w:rPr>
              <w:t>20x1年</w:t>
            </w:r>
          </w:p>
        </w:tc>
        <w:tc>
          <w:tcPr>
            <w:tcW w:w="781" w:type="pct"/>
            <w:tcBorders>
              <w:top w:val="single" w:sz="8" w:space="0" w:color="auto"/>
              <w:left w:val="nil"/>
              <w:bottom w:val="single" w:sz="4" w:space="0" w:color="auto"/>
              <w:right w:val="single" w:sz="4" w:space="0" w:color="auto"/>
            </w:tcBorders>
            <w:vAlign w:val="center"/>
          </w:tcPr>
          <w:p w14:paraId="75DF70E4" w14:textId="77777777" w:rsidR="0000055D" w:rsidRPr="00E905CE" w:rsidRDefault="0000055D" w:rsidP="00E905CE">
            <w:pPr>
              <w:pStyle w:val="13"/>
              <w:ind w:firstLineChars="0" w:firstLine="0"/>
              <w:jc w:val="center"/>
              <w:rPr>
                <w:b/>
                <w:bCs/>
                <w:sz w:val="18"/>
                <w:szCs w:val="18"/>
              </w:rPr>
            </w:pPr>
            <w:r w:rsidRPr="00E905CE">
              <w:rPr>
                <w:b/>
                <w:bCs/>
                <w:sz w:val="18"/>
                <w:szCs w:val="18"/>
              </w:rPr>
              <w:t>20x2年</w:t>
            </w:r>
          </w:p>
        </w:tc>
        <w:tc>
          <w:tcPr>
            <w:tcW w:w="781" w:type="pct"/>
            <w:tcBorders>
              <w:top w:val="single" w:sz="8" w:space="0" w:color="auto"/>
              <w:left w:val="nil"/>
              <w:bottom w:val="single" w:sz="4" w:space="0" w:color="auto"/>
              <w:right w:val="single" w:sz="4" w:space="0" w:color="auto"/>
            </w:tcBorders>
            <w:vAlign w:val="center"/>
          </w:tcPr>
          <w:p w14:paraId="17FAC96D" w14:textId="77777777" w:rsidR="0000055D" w:rsidRPr="00E905CE" w:rsidRDefault="0000055D" w:rsidP="00E905CE">
            <w:pPr>
              <w:pStyle w:val="13"/>
              <w:ind w:firstLineChars="0" w:firstLine="0"/>
              <w:jc w:val="center"/>
              <w:rPr>
                <w:b/>
                <w:bCs/>
                <w:sz w:val="18"/>
                <w:szCs w:val="18"/>
              </w:rPr>
            </w:pPr>
            <w:r w:rsidRPr="00E905CE">
              <w:rPr>
                <w:b/>
                <w:bCs/>
                <w:sz w:val="18"/>
                <w:szCs w:val="18"/>
              </w:rPr>
              <w:t>20x3年</w:t>
            </w:r>
          </w:p>
        </w:tc>
      </w:tr>
      <w:tr w:rsidR="0000055D" w:rsidRPr="00E905CE" w14:paraId="6C1E51F7" w14:textId="77777777" w:rsidTr="00E905CE">
        <w:trPr>
          <w:trHeight w:val="300"/>
        </w:trPr>
        <w:tc>
          <w:tcPr>
            <w:tcW w:w="1095" w:type="pct"/>
            <w:tcBorders>
              <w:top w:val="nil"/>
              <w:left w:val="single" w:sz="4" w:space="0" w:color="auto"/>
              <w:bottom w:val="single" w:sz="4" w:space="0" w:color="auto"/>
              <w:right w:val="single" w:sz="4" w:space="0" w:color="auto"/>
            </w:tcBorders>
            <w:vAlign w:val="center"/>
          </w:tcPr>
          <w:p w14:paraId="35D439DA" w14:textId="77777777" w:rsidR="0000055D" w:rsidRPr="00E905CE" w:rsidRDefault="0000055D" w:rsidP="00E905CE">
            <w:pPr>
              <w:pStyle w:val="13"/>
              <w:ind w:firstLineChars="0" w:firstLine="0"/>
              <w:rPr>
                <w:bCs/>
                <w:sz w:val="18"/>
                <w:szCs w:val="18"/>
              </w:rPr>
            </w:pPr>
            <w:r w:rsidRPr="00E905CE">
              <w:rPr>
                <w:bCs/>
                <w:sz w:val="18"/>
                <w:szCs w:val="18"/>
              </w:rPr>
              <w:t>存放中央银行款项</w:t>
            </w:r>
          </w:p>
        </w:tc>
        <w:tc>
          <w:tcPr>
            <w:tcW w:w="781" w:type="pct"/>
            <w:tcBorders>
              <w:top w:val="nil"/>
              <w:left w:val="nil"/>
              <w:bottom w:val="single" w:sz="4" w:space="0" w:color="auto"/>
              <w:right w:val="single" w:sz="4" w:space="0" w:color="auto"/>
            </w:tcBorders>
            <w:vAlign w:val="center"/>
          </w:tcPr>
          <w:p w14:paraId="29BC231C" w14:textId="77777777" w:rsidR="0000055D" w:rsidRPr="00E905CE" w:rsidRDefault="0000055D" w:rsidP="00E905CE">
            <w:pPr>
              <w:pStyle w:val="13"/>
              <w:ind w:firstLineChars="0" w:firstLine="0"/>
              <w:jc w:val="right"/>
              <w:rPr>
                <w:bCs/>
                <w:sz w:val="18"/>
                <w:szCs w:val="18"/>
              </w:rPr>
            </w:pPr>
            <w:r w:rsidRPr="00E905CE">
              <w:rPr>
                <w:bCs/>
                <w:sz w:val="18"/>
                <w:szCs w:val="18"/>
              </w:rPr>
              <w:t>13,736,655.60</w:t>
            </w:r>
          </w:p>
        </w:tc>
        <w:tc>
          <w:tcPr>
            <w:tcW w:w="781" w:type="pct"/>
            <w:tcBorders>
              <w:top w:val="nil"/>
              <w:left w:val="nil"/>
              <w:bottom w:val="single" w:sz="4" w:space="0" w:color="auto"/>
              <w:right w:val="single" w:sz="4" w:space="0" w:color="auto"/>
            </w:tcBorders>
            <w:vAlign w:val="center"/>
          </w:tcPr>
          <w:p w14:paraId="319BA484" w14:textId="77777777" w:rsidR="0000055D" w:rsidRPr="00E905CE" w:rsidRDefault="0000055D" w:rsidP="00E905CE">
            <w:pPr>
              <w:pStyle w:val="13"/>
              <w:ind w:firstLineChars="0" w:firstLine="0"/>
              <w:jc w:val="right"/>
              <w:rPr>
                <w:bCs/>
                <w:sz w:val="18"/>
                <w:szCs w:val="18"/>
              </w:rPr>
            </w:pPr>
            <w:r w:rsidRPr="00E905CE">
              <w:rPr>
                <w:bCs/>
                <w:sz w:val="18"/>
                <w:szCs w:val="18"/>
              </w:rPr>
              <w:t>18,571,265.30</w:t>
            </w:r>
          </w:p>
        </w:tc>
        <w:tc>
          <w:tcPr>
            <w:tcW w:w="781" w:type="pct"/>
            <w:tcBorders>
              <w:top w:val="nil"/>
              <w:left w:val="nil"/>
              <w:bottom w:val="single" w:sz="4" w:space="0" w:color="auto"/>
              <w:right w:val="single" w:sz="4" w:space="0" w:color="auto"/>
            </w:tcBorders>
            <w:vAlign w:val="center"/>
          </w:tcPr>
          <w:p w14:paraId="3B033066" w14:textId="77777777" w:rsidR="0000055D" w:rsidRPr="00E905CE" w:rsidRDefault="0000055D" w:rsidP="00E905CE">
            <w:pPr>
              <w:pStyle w:val="13"/>
              <w:ind w:firstLineChars="0" w:firstLine="0"/>
              <w:jc w:val="right"/>
              <w:rPr>
                <w:bCs/>
                <w:sz w:val="18"/>
                <w:szCs w:val="18"/>
              </w:rPr>
            </w:pPr>
            <w:r w:rsidRPr="00E905CE">
              <w:rPr>
                <w:bCs/>
                <w:sz w:val="18"/>
                <w:szCs w:val="18"/>
              </w:rPr>
              <w:t>22,859,996.60</w:t>
            </w:r>
          </w:p>
        </w:tc>
        <w:tc>
          <w:tcPr>
            <w:tcW w:w="781" w:type="pct"/>
            <w:tcBorders>
              <w:top w:val="nil"/>
              <w:left w:val="nil"/>
              <w:bottom w:val="single" w:sz="4" w:space="0" w:color="auto"/>
              <w:right w:val="single" w:sz="4" w:space="0" w:color="auto"/>
            </w:tcBorders>
            <w:vAlign w:val="center"/>
          </w:tcPr>
          <w:p w14:paraId="046487BC" w14:textId="77777777" w:rsidR="0000055D" w:rsidRPr="00E905CE" w:rsidRDefault="0000055D" w:rsidP="00E905CE">
            <w:pPr>
              <w:pStyle w:val="13"/>
              <w:ind w:firstLineChars="0" w:firstLine="0"/>
              <w:jc w:val="right"/>
              <w:rPr>
                <w:bCs/>
                <w:sz w:val="18"/>
                <w:szCs w:val="18"/>
              </w:rPr>
            </w:pPr>
            <w:r w:rsidRPr="00E905CE">
              <w:rPr>
                <w:bCs/>
                <w:sz w:val="18"/>
                <w:szCs w:val="18"/>
              </w:rPr>
              <w:t>28,541,821.53</w:t>
            </w:r>
          </w:p>
        </w:tc>
        <w:tc>
          <w:tcPr>
            <w:tcW w:w="781" w:type="pct"/>
            <w:tcBorders>
              <w:top w:val="nil"/>
              <w:left w:val="nil"/>
              <w:bottom w:val="single" w:sz="4" w:space="0" w:color="auto"/>
              <w:right w:val="single" w:sz="4" w:space="0" w:color="auto"/>
            </w:tcBorders>
            <w:vAlign w:val="center"/>
          </w:tcPr>
          <w:p w14:paraId="1FB7E023" w14:textId="77777777" w:rsidR="0000055D" w:rsidRPr="00E905CE" w:rsidRDefault="0000055D" w:rsidP="00E905CE">
            <w:pPr>
              <w:pStyle w:val="13"/>
              <w:ind w:firstLineChars="0" w:firstLine="0"/>
              <w:jc w:val="right"/>
              <w:rPr>
                <w:bCs/>
                <w:sz w:val="18"/>
                <w:szCs w:val="18"/>
              </w:rPr>
            </w:pPr>
            <w:r w:rsidRPr="00E905CE">
              <w:rPr>
                <w:bCs/>
                <w:sz w:val="18"/>
                <w:szCs w:val="18"/>
              </w:rPr>
              <w:t>31,249,361.53</w:t>
            </w:r>
          </w:p>
        </w:tc>
      </w:tr>
      <w:tr w:rsidR="0000055D" w:rsidRPr="00E905CE" w14:paraId="6C81468F" w14:textId="77777777" w:rsidTr="00E905CE">
        <w:trPr>
          <w:trHeight w:val="285"/>
        </w:trPr>
        <w:tc>
          <w:tcPr>
            <w:tcW w:w="1095" w:type="pct"/>
            <w:tcBorders>
              <w:top w:val="nil"/>
              <w:left w:val="single" w:sz="4" w:space="0" w:color="auto"/>
              <w:bottom w:val="single" w:sz="4" w:space="0" w:color="auto"/>
              <w:right w:val="single" w:sz="4" w:space="0" w:color="auto"/>
            </w:tcBorders>
            <w:vAlign w:val="center"/>
          </w:tcPr>
          <w:p w14:paraId="623B53DC" w14:textId="77777777" w:rsidR="0000055D" w:rsidRPr="00E905CE" w:rsidRDefault="0000055D" w:rsidP="00E905CE">
            <w:pPr>
              <w:pStyle w:val="13"/>
              <w:ind w:firstLineChars="0" w:firstLine="0"/>
              <w:rPr>
                <w:bCs/>
                <w:sz w:val="18"/>
                <w:szCs w:val="18"/>
              </w:rPr>
            </w:pPr>
            <w:r w:rsidRPr="00E905CE">
              <w:rPr>
                <w:bCs/>
                <w:sz w:val="18"/>
                <w:szCs w:val="18"/>
              </w:rPr>
              <w:t>准备金率</w:t>
            </w:r>
          </w:p>
        </w:tc>
        <w:tc>
          <w:tcPr>
            <w:tcW w:w="781" w:type="pct"/>
            <w:tcBorders>
              <w:top w:val="nil"/>
              <w:left w:val="nil"/>
              <w:bottom w:val="single" w:sz="4" w:space="0" w:color="auto"/>
              <w:right w:val="single" w:sz="4" w:space="0" w:color="auto"/>
            </w:tcBorders>
            <w:vAlign w:val="center"/>
          </w:tcPr>
          <w:p w14:paraId="190D04C1" w14:textId="77777777" w:rsidR="0000055D" w:rsidRPr="00E905CE" w:rsidRDefault="0000055D" w:rsidP="00E905CE">
            <w:pPr>
              <w:pStyle w:val="13"/>
              <w:ind w:firstLineChars="0" w:firstLine="0"/>
              <w:jc w:val="right"/>
              <w:rPr>
                <w:bCs/>
                <w:sz w:val="18"/>
                <w:szCs w:val="18"/>
              </w:rPr>
            </w:pPr>
            <w:r w:rsidRPr="00E905CE">
              <w:rPr>
                <w:bCs/>
                <w:sz w:val="18"/>
                <w:szCs w:val="18"/>
              </w:rPr>
              <w:t>17.18%</w:t>
            </w:r>
          </w:p>
        </w:tc>
        <w:tc>
          <w:tcPr>
            <w:tcW w:w="781" w:type="pct"/>
            <w:tcBorders>
              <w:top w:val="nil"/>
              <w:left w:val="nil"/>
              <w:bottom w:val="single" w:sz="4" w:space="0" w:color="auto"/>
              <w:right w:val="single" w:sz="4" w:space="0" w:color="auto"/>
            </w:tcBorders>
            <w:vAlign w:val="center"/>
          </w:tcPr>
          <w:p w14:paraId="237C0DD2" w14:textId="77777777" w:rsidR="0000055D" w:rsidRPr="00E905CE" w:rsidRDefault="0000055D" w:rsidP="00E905CE">
            <w:pPr>
              <w:pStyle w:val="13"/>
              <w:ind w:firstLineChars="0" w:firstLine="0"/>
              <w:jc w:val="right"/>
              <w:rPr>
                <w:bCs/>
                <w:sz w:val="18"/>
                <w:szCs w:val="18"/>
              </w:rPr>
            </w:pPr>
            <w:r w:rsidRPr="00E905CE">
              <w:rPr>
                <w:bCs/>
                <w:sz w:val="18"/>
                <w:szCs w:val="18"/>
              </w:rPr>
              <w:t>18.04%</w:t>
            </w:r>
          </w:p>
        </w:tc>
        <w:tc>
          <w:tcPr>
            <w:tcW w:w="781" w:type="pct"/>
            <w:tcBorders>
              <w:top w:val="nil"/>
              <w:left w:val="nil"/>
              <w:bottom w:val="single" w:sz="4" w:space="0" w:color="auto"/>
              <w:right w:val="single" w:sz="4" w:space="0" w:color="auto"/>
            </w:tcBorders>
            <w:vAlign w:val="center"/>
          </w:tcPr>
          <w:p w14:paraId="692B037C" w14:textId="77777777" w:rsidR="0000055D" w:rsidRPr="00E905CE" w:rsidRDefault="0000055D" w:rsidP="00E905CE">
            <w:pPr>
              <w:pStyle w:val="13"/>
              <w:ind w:firstLineChars="0" w:firstLine="0"/>
              <w:jc w:val="right"/>
              <w:rPr>
                <w:bCs/>
                <w:sz w:val="18"/>
                <w:szCs w:val="18"/>
              </w:rPr>
            </w:pPr>
            <w:r w:rsidRPr="00E905CE">
              <w:rPr>
                <w:bCs/>
                <w:sz w:val="18"/>
                <w:szCs w:val="18"/>
              </w:rPr>
              <w:t>19.40%</w:t>
            </w:r>
          </w:p>
        </w:tc>
        <w:tc>
          <w:tcPr>
            <w:tcW w:w="781" w:type="pct"/>
            <w:tcBorders>
              <w:top w:val="nil"/>
              <w:left w:val="nil"/>
              <w:bottom w:val="single" w:sz="4" w:space="0" w:color="auto"/>
              <w:right w:val="single" w:sz="4" w:space="0" w:color="auto"/>
            </w:tcBorders>
            <w:vAlign w:val="center"/>
          </w:tcPr>
          <w:p w14:paraId="32318FDA" w14:textId="77777777" w:rsidR="0000055D" w:rsidRPr="00E905CE" w:rsidRDefault="0000055D" w:rsidP="00E905CE">
            <w:pPr>
              <w:pStyle w:val="13"/>
              <w:ind w:firstLineChars="0" w:firstLine="0"/>
              <w:jc w:val="right"/>
              <w:rPr>
                <w:bCs/>
                <w:sz w:val="18"/>
                <w:szCs w:val="18"/>
              </w:rPr>
            </w:pPr>
            <w:r w:rsidRPr="00E905CE">
              <w:rPr>
                <w:bCs/>
                <w:sz w:val="18"/>
                <w:szCs w:val="18"/>
              </w:rPr>
              <w:t>20.01%</w:t>
            </w:r>
          </w:p>
        </w:tc>
        <w:tc>
          <w:tcPr>
            <w:tcW w:w="781" w:type="pct"/>
            <w:tcBorders>
              <w:top w:val="nil"/>
              <w:left w:val="nil"/>
              <w:bottom w:val="single" w:sz="4" w:space="0" w:color="auto"/>
              <w:right w:val="single" w:sz="4" w:space="0" w:color="auto"/>
            </w:tcBorders>
            <w:vAlign w:val="center"/>
          </w:tcPr>
          <w:p w14:paraId="326875F0" w14:textId="77777777" w:rsidR="0000055D" w:rsidRPr="00E905CE" w:rsidRDefault="0000055D" w:rsidP="00E905CE">
            <w:pPr>
              <w:pStyle w:val="13"/>
              <w:ind w:firstLineChars="0" w:firstLine="0"/>
              <w:jc w:val="right"/>
              <w:rPr>
                <w:bCs/>
                <w:sz w:val="18"/>
                <w:szCs w:val="18"/>
              </w:rPr>
            </w:pPr>
            <w:r w:rsidRPr="00E905CE">
              <w:rPr>
                <w:bCs/>
                <w:sz w:val="18"/>
                <w:szCs w:val="18"/>
              </w:rPr>
              <w:t>19.48%</w:t>
            </w:r>
          </w:p>
        </w:tc>
      </w:tr>
    </w:tbl>
    <w:p w14:paraId="6F10D62C" w14:textId="464BE337" w:rsidR="0000055D" w:rsidRPr="0000055D" w:rsidRDefault="0000055D" w:rsidP="0000055D">
      <w:pPr>
        <w:pStyle w:val="13"/>
      </w:pPr>
      <w:r w:rsidRPr="0000055D">
        <w:t>预测20x4年及以后xx银行的存款准备金率维持20%。预测期xx银行存放央行款项预测如下表所示。</w:t>
      </w:r>
    </w:p>
    <w:tbl>
      <w:tblPr>
        <w:tblW w:w="5000" w:type="pct"/>
        <w:tblLook w:val="04A0" w:firstRow="1" w:lastRow="0" w:firstColumn="1" w:lastColumn="0" w:noHBand="0" w:noVBand="1"/>
      </w:tblPr>
      <w:tblGrid>
        <w:gridCol w:w="1790"/>
        <w:gridCol w:w="1386"/>
        <w:gridCol w:w="1386"/>
        <w:gridCol w:w="1386"/>
        <w:gridCol w:w="1386"/>
        <w:gridCol w:w="1386"/>
      </w:tblGrid>
      <w:tr w:rsidR="0000055D" w:rsidRPr="0000055D" w14:paraId="6FDAB984" w14:textId="77777777" w:rsidTr="0000055D">
        <w:trPr>
          <w:trHeight w:val="285"/>
        </w:trPr>
        <w:tc>
          <w:tcPr>
            <w:tcW w:w="1068" w:type="pct"/>
            <w:tcBorders>
              <w:top w:val="single" w:sz="8" w:space="0" w:color="auto"/>
              <w:left w:val="single" w:sz="4" w:space="0" w:color="auto"/>
              <w:bottom w:val="single" w:sz="4" w:space="0" w:color="auto"/>
              <w:right w:val="single" w:sz="4" w:space="0" w:color="auto"/>
            </w:tcBorders>
            <w:vAlign w:val="center"/>
          </w:tcPr>
          <w:p w14:paraId="73F53E95" w14:textId="77777777" w:rsidR="0000055D" w:rsidRPr="0000055D" w:rsidRDefault="0000055D" w:rsidP="0000055D">
            <w:pPr>
              <w:pStyle w:val="13"/>
              <w:ind w:firstLineChars="0" w:firstLine="0"/>
              <w:jc w:val="center"/>
              <w:rPr>
                <w:b/>
                <w:bCs/>
                <w:sz w:val="18"/>
                <w:szCs w:val="18"/>
              </w:rPr>
            </w:pPr>
            <w:r w:rsidRPr="0000055D">
              <w:rPr>
                <w:b/>
                <w:bCs/>
                <w:sz w:val="18"/>
                <w:szCs w:val="18"/>
              </w:rPr>
              <w:lastRenderedPageBreak/>
              <w:t>项目</w:t>
            </w:r>
          </w:p>
        </w:tc>
        <w:tc>
          <w:tcPr>
            <w:tcW w:w="787" w:type="pct"/>
            <w:tcBorders>
              <w:top w:val="single" w:sz="8" w:space="0" w:color="auto"/>
              <w:left w:val="nil"/>
              <w:bottom w:val="single" w:sz="4" w:space="0" w:color="auto"/>
              <w:right w:val="single" w:sz="4" w:space="0" w:color="auto"/>
            </w:tcBorders>
            <w:vAlign w:val="center"/>
          </w:tcPr>
          <w:p w14:paraId="226EC9D9" w14:textId="77777777" w:rsidR="0000055D" w:rsidRPr="0000055D" w:rsidRDefault="0000055D" w:rsidP="0000055D">
            <w:pPr>
              <w:pStyle w:val="13"/>
              <w:ind w:firstLineChars="0" w:firstLine="0"/>
              <w:jc w:val="center"/>
              <w:rPr>
                <w:b/>
                <w:sz w:val="18"/>
                <w:szCs w:val="18"/>
              </w:rPr>
            </w:pPr>
            <w:r w:rsidRPr="0000055D">
              <w:rPr>
                <w:b/>
                <w:sz w:val="18"/>
                <w:szCs w:val="18"/>
              </w:rPr>
              <w:t>20x4年</w:t>
            </w:r>
          </w:p>
        </w:tc>
        <w:tc>
          <w:tcPr>
            <w:tcW w:w="787" w:type="pct"/>
            <w:tcBorders>
              <w:top w:val="single" w:sz="8" w:space="0" w:color="auto"/>
              <w:left w:val="nil"/>
              <w:bottom w:val="single" w:sz="4" w:space="0" w:color="auto"/>
              <w:right w:val="single" w:sz="4" w:space="0" w:color="auto"/>
            </w:tcBorders>
            <w:vAlign w:val="center"/>
          </w:tcPr>
          <w:p w14:paraId="0F425D15" w14:textId="77777777" w:rsidR="0000055D" w:rsidRPr="0000055D" w:rsidRDefault="0000055D" w:rsidP="0000055D">
            <w:pPr>
              <w:pStyle w:val="13"/>
              <w:ind w:firstLineChars="0" w:firstLine="0"/>
              <w:jc w:val="center"/>
              <w:rPr>
                <w:b/>
                <w:sz w:val="18"/>
                <w:szCs w:val="18"/>
              </w:rPr>
            </w:pPr>
            <w:r w:rsidRPr="0000055D">
              <w:rPr>
                <w:b/>
                <w:sz w:val="18"/>
                <w:szCs w:val="18"/>
              </w:rPr>
              <w:t>20x5年</w:t>
            </w:r>
          </w:p>
        </w:tc>
        <w:tc>
          <w:tcPr>
            <w:tcW w:w="787" w:type="pct"/>
            <w:tcBorders>
              <w:top w:val="single" w:sz="8" w:space="0" w:color="auto"/>
              <w:left w:val="nil"/>
              <w:bottom w:val="single" w:sz="4" w:space="0" w:color="auto"/>
              <w:right w:val="single" w:sz="4" w:space="0" w:color="auto"/>
            </w:tcBorders>
            <w:vAlign w:val="center"/>
          </w:tcPr>
          <w:p w14:paraId="7FF99A89" w14:textId="77777777" w:rsidR="0000055D" w:rsidRPr="0000055D" w:rsidRDefault="0000055D" w:rsidP="0000055D">
            <w:pPr>
              <w:pStyle w:val="13"/>
              <w:ind w:firstLineChars="0" w:firstLine="0"/>
              <w:jc w:val="center"/>
              <w:rPr>
                <w:b/>
                <w:sz w:val="18"/>
                <w:szCs w:val="18"/>
              </w:rPr>
            </w:pPr>
            <w:r w:rsidRPr="0000055D">
              <w:rPr>
                <w:b/>
                <w:sz w:val="18"/>
                <w:szCs w:val="18"/>
              </w:rPr>
              <w:t>20x6年</w:t>
            </w:r>
          </w:p>
        </w:tc>
        <w:tc>
          <w:tcPr>
            <w:tcW w:w="787" w:type="pct"/>
            <w:tcBorders>
              <w:top w:val="single" w:sz="8" w:space="0" w:color="auto"/>
              <w:left w:val="nil"/>
              <w:bottom w:val="single" w:sz="4" w:space="0" w:color="auto"/>
              <w:right w:val="single" w:sz="4" w:space="0" w:color="auto"/>
            </w:tcBorders>
            <w:vAlign w:val="center"/>
          </w:tcPr>
          <w:p w14:paraId="25AA648B" w14:textId="77777777" w:rsidR="0000055D" w:rsidRPr="0000055D" w:rsidRDefault="0000055D" w:rsidP="0000055D">
            <w:pPr>
              <w:pStyle w:val="13"/>
              <w:ind w:firstLineChars="0" w:firstLine="0"/>
              <w:jc w:val="center"/>
              <w:rPr>
                <w:b/>
                <w:sz w:val="18"/>
                <w:szCs w:val="18"/>
              </w:rPr>
            </w:pPr>
            <w:r w:rsidRPr="0000055D">
              <w:rPr>
                <w:b/>
                <w:sz w:val="18"/>
                <w:szCs w:val="18"/>
              </w:rPr>
              <w:t>20x7年</w:t>
            </w:r>
          </w:p>
        </w:tc>
        <w:tc>
          <w:tcPr>
            <w:tcW w:w="784" w:type="pct"/>
            <w:tcBorders>
              <w:top w:val="single" w:sz="8" w:space="0" w:color="auto"/>
              <w:left w:val="nil"/>
              <w:bottom w:val="single" w:sz="4" w:space="0" w:color="auto"/>
              <w:right w:val="single" w:sz="4" w:space="0" w:color="auto"/>
            </w:tcBorders>
            <w:vAlign w:val="center"/>
          </w:tcPr>
          <w:p w14:paraId="14DFFC32" w14:textId="77777777" w:rsidR="0000055D" w:rsidRPr="0000055D" w:rsidRDefault="0000055D" w:rsidP="0000055D">
            <w:pPr>
              <w:pStyle w:val="13"/>
              <w:ind w:firstLineChars="0" w:firstLine="0"/>
              <w:jc w:val="center"/>
              <w:rPr>
                <w:b/>
                <w:sz w:val="18"/>
                <w:szCs w:val="18"/>
              </w:rPr>
            </w:pPr>
            <w:r w:rsidRPr="0000055D">
              <w:rPr>
                <w:b/>
                <w:sz w:val="18"/>
                <w:szCs w:val="18"/>
              </w:rPr>
              <w:t>20x8年</w:t>
            </w:r>
          </w:p>
        </w:tc>
      </w:tr>
      <w:tr w:rsidR="0000055D" w:rsidRPr="0000055D" w14:paraId="456F73FF" w14:textId="77777777" w:rsidTr="0000055D">
        <w:trPr>
          <w:trHeight w:val="300"/>
        </w:trPr>
        <w:tc>
          <w:tcPr>
            <w:tcW w:w="1068" w:type="pct"/>
            <w:tcBorders>
              <w:top w:val="nil"/>
              <w:left w:val="single" w:sz="4" w:space="0" w:color="auto"/>
              <w:bottom w:val="single" w:sz="4" w:space="0" w:color="auto"/>
              <w:right w:val="single" w:sz="4" w:space="0" w:color="auto"/>
            </w:tcBorders>
            <w:vAlign w:val="center"/>
          </w:tcPr>
          <w:p w14:paraId="350BF55D" w14:textId="77777777" w:rsidR="0000055D" w:rsidRPr="0000055D" w:rsidRDefault="0000055D" w:rsidP="0000055D">
            <w:pPr>
              <w:pStyle w:val="13"/>
              <w:ind w:firstLineChars="0" w:firstLine="0"/>
              <w:rPr>
                <w:bCs/>
                <w:sz w:val="18"/>
                <w:szCs w:val="18"/>
              </w:rPr>
            </w:pPr>
            <w:r w:rsidRPr="0000055D">
              <w:rPr>
                <w:bCs/>
                <w:sz w:val="18"/>
                <w:szCs w:val="18"/>
              </w:rPr>
              <w:t>存放中央银行款项</w:t>
            </w:r>
          </w:p>
        </w:tc>
        <w:tc>
          <w:tcPr>
            <w:tcW w:w="787" w:type="pct"/>
            <w:tcBorders>
              <w:top w:val="nil"/>
              <w:left w:val="nil"/>
              <w:bottom w:val="single" w:sz="4" w:space="0" w:color="auto"/>
              <w:right w:val="single" w:sz="4" w:space="0" w:color="auto"/>
            </w:tcBorders>
            <w:vAlign w:val="center"/>
          </w:tcPr>
          <w:p w14:paraId="26D0C6BB" w14:textId="77777777" w:rsidR="0000055D" w:rsidRPr="0000055D" w:rsidRDefault="0000055D" w:rsidP="0000055D">
            <w:pPr>
              <w:pStyle w:val="13"/>
              <w:ind w:firstLineChars="0" w:firstLine="0"/>
              <w:jc w:val="right"/>
              <w:rPr>
                <w:sz w:val="18"/>
                <w:szCs w:val="18"/>
              </w:rPr>
            </w:pPr>
            <w:r w:rsidRPr="0000055D">
              <w:rPr>
                <w:sz w:val="18"/>
                <w:szCs w:val="18"/>
              </w:rPr>
              <w:t>35,296,020.00</w:t>
            </w:r>
          </w:p>
        </w:tc>
        <w:tc>
          <w:tcPr>
            <w:tcW w:w="787" w:type="pct"/>
            <w:tcBorders>
              <w:top w:val="nil"/>
              <w:left w:val="nil"/>
              <w:bottom w:val="single" w:sz="4" w:space="0" w:color="auto"/>
              <w:right w:val="single" w:sz="4" w:space="0" w:color="auto"/>
            </w:tcBorders>
            <w:vAlign w:val="center"/>
          </w:tcPr>
          <w:p w14:paraId="3264B486" w14:textId="77777777" w:rsidR="0000055D" w:rsidRPr="0000055D" w:rsidRDefault="0000055D" w:rsidP="0000055D">
            <w:pPr>
              <w:pStyle w:val="13"/>
              <w:ind w:firstLineChars="0" w:firstLine="0"/>
              <w:jc w:val="right"/>
              <w:rPr>
                <w:sz w:val="18"/>
                <w:szCs w:val="18"/>
              </w:rPr>
            </w:pPr>
            <w:r w:rsidRPr="0000055D">
              <w:rPr>
                <w:sz w:val="18"/>
                <w:szCs w:val="18"/>
              </w:rPr>
              <w:t>38,825,620.00</w:t>
            </w:r>
          </w:p>
        </w:tc>
        <w:tc>
          <w:tcPr>
            <w:tcW w:w="787" w:type="pct"/>
            <w:tcBorders>
              <w:top w:val="nil"/>
              <w:left w:val="nil"/>
              <w:bottom w:val="single" w:sz="4" w:space="0" w:color="auto"/>
              <w:right w:val="single" w:sz="4" w:space="0" w:color="auto"/>
            </w:tcBorders>
            <w:vAlign w:val="center"/>
          </w:tcPr>
          <w:p w14:paraId="5C6E422F" w14:textId="77777777" w:rsidR="0000055D" w:rsidRPr="0000055D" w:rsidRDefault="0000055D" w:rsidP="0000055D">
            <w:pPr>
              <w:pStyle w:val="13"/>
              <w:ind w:firstLineChars="0" w:firstLine="0"/>
              <w:jc w:val="right"/>
              <w:rPr>
                <w:sz w:val="18"/>
                <w:szCs w:val="18"/>
              </w:rPr>
            </w:pPr>
            <w:r w:rsidRPr="0000055D">
              <w:rPr>
                <w:sz w:val="18"/>
                <w:szCs w:val="18"/>
              </w:rPr>
              <w:t>42,708,180.00</w:t>
            </w:r>
          </w:p>
        </w:tc>
        <w:tc>
          <w:tcPr>
            <w:tcW w:w="787" w:type="pct"/>
            <w:tcBorders>
              <w:top w:val="nil"/>
              <w:left w:val="nil"/>
              <w:bottom w:val="single" w:sz="4" w:space="0" w:color="auto"/>
              <w:right w:val="single" w:sz="4" w:space="0" w:color="auto"/>
            </w:tcBorders>
            <w:vAlign w:val="center"/>
          </w:tcPr>
          <w:p w14:paraId="0CEDE62F" w14:textId="77777777" w:rsidR="0000055D" w:rsidRPr="0000055D" w:rsidRDefault="0000055D" w:rsidP="0000055D">
            <w:pPr>
              <w:pStyle w:val="13"/>
              <w:ind w:firstLineChars="0" w:firstLine="0"/>
              <w:jc w:val="right"/>
              <w:rPr>
                <w:sz w:val="18"/>
                <w:szCs w:val="18"/>
              </w:rPr>
            </w:pPr>
            <w:r w:rsidRPr="0000055D">
              <w:rPr>
                <w:sz w:val="18"/>
                <w:szCs w:val="18"/>
              </w:rPr>
              <w:t>46,551,920.00</w:t>
            </w:r>
          </w:p>
        </w:tc>
        <w:tc>
          <w:tcPr>
            <w:tcW w:w="784" w:type="pct"/>
            <w:tcBorders>
              <w:top w:val="nil"/>
              <w:left w:val="nil"/>
              <w:bottom w:val="single" w:sz="4" w:space="0" w:color="auto"/>
              <w:right w:val="single" w:sz="4" w:space="0" w:color="auto"/>
            </w:tcBorders>
            <w:vAlign w:val="center"/>
          </w:tcPr>
          <w:p w14:paraId="1DA45C23" w14:textId="77777777" w:rsidR="0000055D" w:rsidRPr="0000055D" w:rsidRDefault="0000055D" w:rsidP="0000055D">
            <w:pPr>
              <w:pStyle w:val="13"/>
              <w:ind w:firstLineChars="0" w:firstLine="0"/>
              <w:jc w:val="right"/>
              <w:rPr>
                <w:sz w:val="18"/>
                <w:szCs w:val="18"/>
              </w:rPr>
            </w:pPr>
            <w:r w:rsidRPr="0000055D">
              <w:rPr>
                <w:sz w:val="18"/>
                <w:szCs w:val="18"/>
              </w:rPr>
              <w:t>50,276,080.00</w:t>
            </w:r>
          </w:p>
        </w:tc>
      </w:tr>
      <w:tr w:rsidR="0000055D" w:rsidRPr="0000055D" w14:paraId="2E75970D" w14:textId="77777777" w:rsidTr="0000055D">
        <w:trPr>
          <w:trHeight w:val="285"/>
        </w:trPr>
        <w:tc>
          <w:tcPr>
            <w:tcW w:w="1068" w:type="pct"/>
            <w:tcBorders>
              <w:top w:val="nil"/>
              <w:left w:val="single" w:sz="4" w:space="0" w:color="auto"/>
              <w:bottom w:val="single" w:sz="4" w:space="0" w:color="auto"/>
              <w:right w:val="single" w:sz="4" w:space="0" w:color="auto"/>
            </w:tcBorders>
            <w:vAlign w:val="center"/>
          </w:tcPr>
          <w:p w14:paraId="5FC1C9D6" w14:textId="77777777" w:rsidR="0000055D" w:rsidRPr="0000055D" w:rsidRDefault="0000055D" w:rsidP="0000055D">
            <w:pPr>
              <w:pStyle w:val="13"/>
              <w:ind w:firstLineChars="0" w:firstLine="0"/>
              <w:rPr>
                <w:sz w:val="18"/>
                <w:szCs w:val="18"/>
              </w:rPr>
            </w:pPr>
            <w:r w:rsidRPr="0000055D">
              <w:rPr>
                <w:sz w:val="18"/>
                <w:szCs w:val="18"/>
              </w:rPr>
              <w:t>准备金率</w:t>
            </w:r>
          </w:p>
        </w:tc>
        <w:tc>
          <w:tcPr>
            <w:tcW w:w="787" w:type="pct"/>
            <w:tcBorders>
              <w:top w:val="nil"/>
              <w:left w:val="nil"/>
              <w:bottom w:val="single" w:sz="4" w:space="0" w:color="auto"/>
              <w:right w:val="single" w:sz="4" w:space="0" w:color="auto"/>
            </w:tcBorders>
            <w:vAlign w:val="center"/>
          </w:tcPr>
          <w:p w14:paraId="28690C88" w14:textId="77777777" w:rsidR="0000055D" w:rsidRPr="0000055D" w:rsidRDefault="0000055D" w:rsidP="0000055D">
            <w:pPr>
              <w:pStyle w:val="13"/>
              <w:ind w:firstLineChars="0" w:firstLine="0"/>
              <w:jc w:val="right"/>
              <w:rPr>
                <w:sz w:val="18"/>
                <w:szCs w:val="18"/>
              </w:rPr>
            </w:pPr>
            <w:r w:rsidRPr="0000055D">
              <w:rPr>
                <w:sz w:val="18"/>
                <w:szCs w:val="18"/>
              </w:rPr>
              <w:t>20.00%</w:t>
            </w:r>
          </w:p>
        </w:tc>
        <w:tc>
          <w:tcPr>
            <w:tcW w:w="787" w:type="pct"/>
            <w:tcBorders>
              <w:top w:val="nil"/>
              <w:left w:val="nil"/>
              <w:bottom w:val="single" w:sz="4" w:space="0" w:color="auto"/>
              <w:right w:val="single" w:sz="4" w:space="0" w:color="auto"/>
            </w:tcBorders>
            <w:vAlign w:val="center"/>
          </w:tcPr>
          <w:p w14:paraId="6112858F" w14:textId="77777777" w:rsidR="0000055D" w:rsidRPr="0000055D" w:rsidRDefault="0000055D" w:rsidP="0000055D">
            <w:pPr>
              <w:pStyle w:val="13"/>
              <w:ind w:firstLineChars="0" w:firstLine="0"/>
              <w:jc w:val="right"/>
              <w:rPr>
                <w:sz w:val="18"/>
                <w:szCs w:val="18"/>
              </w:rPr>
            </w:pPr>
            <w:r w:rsidRPr="0000055D">
              <w:rPr>
                <w:sz w:val="18"/>
                <w:szCs w:val="18"/>
              </w:rPr>
              <w:t>20.00%</w:t>
            </w:r>
          </w:p>
        </w:tc>
        <w:tc>
          <w:tcPr>
            <w:tcW w:w="787" w:type="pct"/>
            <w:tcBorders>
              <w:top w:val="nil"/>
              <w:left w:val="nil"/>
              <w:bottom w:val="single" w:sz="4" w:space="0" w:color="auto"/>
              <w:right w:val="single" w:sz="4" w:space="0" w:color="auto"/>
            </w:tcBorders>
            <w:vAlign w:val="center"/>
          </w:tcPr>
          <w:p w14:paraId="1E9ABC15" w14:textId="77777777" w:rsidR="0000055D" w:rsidRPr="0000055D" w:rsidRDefault="0000055D" w:rsidP="0000055D">
            <w:pPr>
              <w:pStyle w:val="13"/>
              <w:ind w:firstLineChars="0" w:firstLine="0"/>
              <w:jc w:val="right"/>
              <w:rPr>
                <w:sz w:val="18"/>
                <w:szCs w:val="18"/>
              </w:rPr>
            </w:pPr>
            <w:r w:rsidRPr="0000055D">
              <w:rPr>
                <w:sz w:val="18"/>
                <w:szCs w:val="18"/>
              </w:rPr>
              <w:t>20.00%</w:t>
            </w:r>
          </w:p>
        </w:tc>
        <w:tc>
          <w:tcPr>
            <w:tcW w:w="787" w:type="pct"/>
            <w:tcBorders>
              <w:top w:val="nil"/>
              <w:left w:val="nil"/>
              <w:bottom w:val="single" w:sz="4" w:space="0" w:color="auto"/>
              <w:right w:val="single" w:sz="4" w:space="0" w:color="auto"/>
            </w:tcBorders>
            <w:vAlign w:val="center"/>
          </w:tcPr>
          <w:p w14:paraId="312E3225" w14:textId="77777777" w:rsidR="0000055D" w:rsidRPr="0000055D" w:rsidRDefault="0000055D" w:rsidP="0000055D">
            <w:pPr>
              <w:pStyle w:val="13"/>
              <w:ind w:firstLineChars="0" w:firstLine="0"/>
              <w:jc w:val="right"/>
              <w:rPr>
                <w:sz w:val="18"/>
                <w:szCs w:val="18"/>
              </w:rPr>
            </w:pPr>
            <w:r w:rsidRPr="0000055D">
              <w:rPr>
                <w:sz w:val="18"/>
                <w:szCs w:val="18"/>
              </w:rPr>
              <w:t>20.00%</w:t>
            </w:r>
          </w:p>
        </w:tc>
        <w:tc>
          <w:tcPr>
            <w:tcW w:w="784" w:type="pct"/>
            <w:tcBorders>
              <w:top w:val="nil"/>
              <w:left w:val="nil"/>
              <w:bottom w:val="single" w:sz="4" w:space="0" w:color="auto"/>
              <w:right w:val="single" w:sz="4" w:space="0" w:color="auto"/>
            </w:tcBorders>
            <w:vAlign w:val="center"/>
          </w:tcPr>
          <w:p w14:paraId="544677FA" w14:textId="77777777" w:rsidR="0000055D" w:rsidRPr="0000055D" w:rsidRDefault="0000055D" w:rsidP="0000055D">
            <w:pPr>
              <w:pStyle w:val="13"/>
              <w:ind w:firstLineChars="0" w:firstLine="0"/>
              <w:jc w:val="right"/>
              <w:rPr>
                <w:sz w:val="18"/>
                <w:szCs w:val="18"/>
              </w:rPr>
            </w:pPr>
            <w:r w:rsidRPr="0000055D">
              <w:rPr>
                <w:sz w:val="18"/>
                <w:szCs w:val="18"/>
              </w:rPr>
              <w:t>20.00%</w:t>
            </w:r>
          </w:p>
        </w:tc>
      </w:tr>
    </w:tbl>
    <w:p w14:paraId="1220D8F3" w14:textId="77777777" w:rsidR="0000055D" w:rsidRPr="0000055D" w:rsidRDefault="0000055D" w:rsidP="0000055D">
      <w:pPr>
        <w:pStyle w:val="13"/>
      </w:pPr>
      <w:r w:rsidRPr="0000055D">
        <w:t>存放同业及其他金融机构款项根据历史年度存放同业款项占资产总额的比重及企业规划进行预测。</w:t>
      </w:r>
    </w:p>
    <w:p w14:paraId="112F9CCD" w14:textId="77777777" w:rsidR="0000055D" w:rsidRPr="0000055D" w:rsidRDefault="0000055D" w:rsidP="0000055D">
      <w:pPr>
        <w:pStyle w:val="13"/>
      </w:pPr>
      <w:r w:rsidRPr="0000055D">
        <w:t>4</w:t>
      </w:r>
      <w:r w:rsidRPr="0000055D">
        <w:rPr>
          <w:rFonts w:hint="eastAsia"/>
        </w:rPr>
        <w:t>．</w:t>
      </w:r>
      <w:r w:rsidRPr="0000055D">
        <w:t>应付债券规模预测</w:t>
      </w:r>
    </w:p>
    <w:p w14:paraId="6A9F12A0" w14:textId="77777777" w:rsidR="0000055D" w:rsidRPr="0000055D" w:rsidRDefault="0000055D" w:rsidP="0000055D">
      <w:pPr>
        <w:pStyle w:val="13"/>
      </w:pPr>
      <w:r w:rsidRPr="0000055D">
        <w:t>截至评估基准日，xx银行账面应付债券次级债和一般金融债，次级债的账面值为97亿元，一般金融债为325.47亿元。其中 20</w:t>
      </w:r>
      <w:r w:rsidRPr="0000055D">
        <w:rPr>
          <w:rFonts w:hint="eastAsia"/>
        </w:rPr>
        <w:t>y</w:t>
      </w:r>
      <w:r w:rsidRPr="0000055D">
        <w:t>9年第一期次级债券30亿元已在20x4年2月赎回。20x4年6月9日xx银行已成功发行162亿次级债，利率为6.2%。</w:t>
      </w:r>
    </w:p>
    <w:p w14:paraId="739A8021" w14:textId="77777777" w:rsidR="0000055D" w:rsidRPr="0000055D" w:rsidRDefault="0000055D" w:rsidP="0000055D">
      <w:pPr>
        <w:pStyle w:val="13"/>
      </w:pPr>
      <w:r w:rsidRPr="0000055D">
        <w:t>本次评估假设xx企业在预测期应付债券规模不变，到期后以同样的利率重新发行。</w:t>
      </w:r>
    </w:p>
    <w:p w14:paraId="0932636F" w14:textId="77777777" w:rsidR="0000055D" w:rsidRPr="0000055D" w:rsidRDefault="0000055D" w:rsidP="0000055D">
      <w:pPr>
        <w:pStyle w:val="13"/>
      </w:pPr>
      <w:r w:rsidRPr="0000055D">
        <w:t>5</w:t>
      </w:r>
      <w:r w:rsidRPr="0000055D">
        <w:rPr>
          <w:rFonts w:hint="eastAsia"/>
        </w:rPr>
        <w:t>．</w:t>
      </w:r>
      <w:r w:rsidRPr="0000055D">
        <w:t>其他资产、负债科目预测</w:t>
      </w:r>
    </w:p>
    <w:p w14:paraId="6D1D4D19" w14:textId="77777777" w:rsidR="0000055D" w:rsidRPr="0000055D" w:rsidRDefault="0000055D" w:rsidP="0000055D">
      <w:pPr>
        <w:pStyle w:val="13"/>
      </w:pPr>
      <w:r w:rsidRPr="0000055D">
        <w:t>其他资产科目根据历史期的水平预测，若无明确资本性支出计划，一般认为保持评估基准日水平不变。</w:t>
      </w:r>
    </w:p>
    <w:p w14:paraId="1823A5A1" w14:textId="77777777" w:rsidR="0000055D" w:rsidRPr="0000055D" w:rsidRDefault="0000055D" w:rsidP="0000055D">
      <w:pPr>
        <w:pStyle w:val="13"/>
      </w:pPr>
      <w:r w:rsidRPr="0000055D">
        <w:t>对xx银行资产负债预测如下表所示。</w:t>
      </w:r>
    </w:p>
    <w:tbl>
      <w:tblPr>
        <w:tblW w:w="5000" w:type="pct"/>
        <w:tblLook w:val="04A0" w:firstRow="1" w:lastRow="0" w:firstColumn="1" w:lastColumn="0" w:noHBand="0" w:noVBand="1"/>
      </w:tblPr>
      <w:tblGrid>
        <w:gridCol w:w="1330"/>
        <w:gridCol w:w="1476"/>
        <w:gridCol w:w="1476"/>
        <w:gridCol w:w="1476"/>
        <w:gridCol w:w="1476"/>
        <w:gridCol w:w="1476"/>
      </w:tblGrid>
      <w:tr w:rsidR="0000055D" w:rsidRPr="0000055D" w14:paraId="51895538" w14:textId="77777777" w:rsidTr="0000055D">
        <w:trPr>
          <w:trHeight w:val="285"/>
          <w:tblHeader/>
        </w:trPr>
        <w:tc>
          <w:tcPr>
            <w:tcW w:w="763" w:type="pct"/>
            <w:tcBorders>
              <w:top w:val="single" w:sz="8" w:space="0" w:color="auto"/>
              <w:left w:val="single" w:sz="8" w:space="0" w:color="auto"/>
              <w:bottom w:val="single" w:sz="4" w:space="0" w:color="auto"/>
              <w:right w:val="single" w:sz="4" w:space="0" w:color="auto"/>
            </w:tcBorders>
            <w:vAlign w:val="center"/>
          </w:tcPr>
          <w:p w14:paraId="0530B7EB" w14:textId="77777777" w:rsidR="0000055D" w:rsidRPr="0000055D" w:rsidRDefault="0000055D" w:rsidP="0000055D">
            <w:pPr>
              <w:pStyle w:val="13"/>
              <w:ind w:firstLineChars="0" w:firstLine="0"/>
              <w:jc w:val="center"/>
              <w:rPr>
                <w:b/>
                <w:sz w:val="18"/>
                <w:szCs w:val="18"/>
              </w:rPr>
            </w:pPr>
            <w:r w:rsidRPr="0000055D">
              <w:rPr>
                <w:b/>
                <w:sz w:val="18"/>
                <w:szCs w:val="18"/>
              </w:rPr>
              <w:t>项目名称</w:t>
            </w:r>
          </w:p>
        </w:tc>
        <w:tc>
          <w:tcPr>
            <w:tcW w:w="847" w:type="pct"/>
            <w:tcBorders>
              <w:top w:val="single" w:sz="8" w:space="0" w:color="auto"/>
              <w:left w:val="nil"/>
              <w:bottom w:val="single" w:sz="4" w:space="0" w:color="auto"/>
              <w:right w:val="single" w:sz="4" w:space="0" w:color="auto"/>
            </w:tcBorders>
            <w:vAlign w:val="center"/>
          </w:tcPr>
          <w:p w14:paraId="390C640D"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4年</w:t>
            </w:r>
          </w:p>
        </w:tc>
        <w:tc>
          <w:tcPr>
            <w:tcW w:w="847" w:type="pct"/>
            <w:tcBorders>
              <w:top w:val="single" w:sz="8" w:space="0" w:color="auto"/>
              <w:left w:val="nil"/>
              <w:bottom w:val="single" w:sz="4" w:space="0" w:color="auto"/>
              <w:right w:val="single" w:sz="4" w:space="0" w:color="auto"/>
            </w:tcBorders>
            <w:vAlign w:val="center"/>
          </w:tcPr>
          <w:p w14:paraId="2B670A9C"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5年</w:t>
            </w:r>
          </w:p>
        </w:tc>
        <w:tc>
          <w:tcPr>
            <w:tcW w:w="847" w:type="pct"/>
            <w:tcBorders>
              <w:top w:val="single" w:sz="8" w:space="0" w:color="auto"/>
              <w:left w:val="nil"/>
              <w:bottom w:val="single" w:sz="4" w:space="0" w:color="auto"/>
              <w:right w:val="single" w:sz="4" w:space="0" w:color="auto"/>
            </w:tcBorders>
            <w:vAlign w:val="center"/>
          </w:tcPr>
          <w:p w14:paraId="2B0ECBE1"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6年</w:t>
            </w:r>
          </w:p>
        </w:tc>
        <w:tc>
          <w:tcPr>
            <w:tcW w:w="847" w:type="pct"/>
            <w:tcBorders>
              <w:top w:val="single" w:sz="8" w:space="0" w:color="auto"/>
              <w:left w:val="nil"/>
              <w:bottom w:val="single" w:sz="4" w:space="0" w:color="auto"/>
              <w:right w:val="single" w:sz="4" w:space="0" w:color="auto"/>
            </w:tcBorders>
            <w:vAlign w:val="center"/>
          </w:tcPr>
          <w:p w14:paraId="71B03BF8"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7年</w:t>
            </w:r>
          </w:p>
        </w:tc>
        <w:tc>
          <w:tcPr>
            <w:tcW w:w="847" w:type="pct"/>
            <w:tcBorders>
              <w:top w:val="single" w:sz="8" w:space="0" w:color="auto"/>
              <w:left w:val="nil"/>
              <w:bottom w:val="single" w:sz="4" w:space="0" w:color="auto"/>
              <w:right w:val="single" w:sz="8" w:space="0" w:color="auto"/>
            </w:tcBorders>
            <w:vAlign w:val="center"/>
          </w:tcPr>
          <w:p w14:paraId="10F99301"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8年</w:t>
            </w:r>
          </w:p>
        </w:tc>
      </w:tr>
      <w:tr w:rsidR="0000055D" w:rsidRPr="0000055D" w14:paraId="005C9322" w14:textId="77777777" w:rsidTr="0000055D">
        <w:trPr>
          <w:trHeight w:val="285"/>
        </w:trPr>
        <w:tc>
          <w:tcPr>
            <w:tcW w:w="763" w:type="pct"/>
            <w:tcBorders>
              <w:top w:val="nil"/>
              <w:left w:val="single" w:sz="8" w:space="0" w:color="auto"/>
              <w:bottom w:val="single" w:sz="4" w:space="0" w:color="auto"/>
              <w:right w:val="single" w:sz="4" w:space="0" w:color="auto"/>
            </w:tcBorders>
            <w:vAlign w:val="center"/>
          </w:tcPr>
          <w:p w14:paraId="1C97269A" w14:textId="77777777" w:rsidR="0000055D" w:rsidRPr="0000055D" w:rsidRDefault="0000055D" w:rsidP="0000055D">
            <w:pPr>
              <w:pStyle w:val="13"/>
              <w:ind w:firstLineChars="0" w:firstLine="0"/>
              <w:rPr>
                <w:sz w:val="18"/>
                <w:szCs w:val="18"/>
              </w:rPr>
            </w:pPr>
            <w:r w:rsidRPr="0000055D">
              <w:rPr>
                <w:sz w:val="18"/>
                <w:szCs w:val="18"/>
              </w:rPr>
              <w:t>资产</w:t>
            </w:r>
          </w:p>
        </w:tc>
        <w:tc>
          <w:tcPr>
            <w:tcW w:w="847" w:type="pct"/>
            <w:tcBorders>
              <w:top w:val="single" w:sz="4" w:space="0" w:color="auto"/>
              <w:left w:val="nil"/>
              <w:bottom w:val="single" w:sz="4" w:space="0" w:color="auto"/>
              <w:right w:val="single" w:sz="4" w:space="0" w:color="auto"/>
            </w:tcBorders>
            <w:vAlign w:val="center"/>
          </w:tcPr>
          <w:p w14:paraId="6DB0B2F1" w14:textId="77777777" w:rsidR="0000055D" w:rsidRPr="0000055D" w:rsidRDefault="0000055D" w:rsidP="0000055D">
            <w:pPr>
              <w:pStyle w:val="13"/>
              <w:ind w:firstLineChars="0" w:firstLine="0"/>
              <w:jc w:val="right"/>
              <w:rPr>
                <w:sz w:val="18"/>
                <w:szCs w:val="18"/>
              </w:rPr>
            </w:pPr>
          </w:p>
        </w:tc>
        <w:tc>
          <w:tcPr>
            <w:tcW w:w="847" w:type="pct"/>
            <w:tcBorders>
              <w:top w:val="single" w:sz="4" w:space="0" w:color="auto"/>
              <w:left w:val="nil"/>
              <w:bottom w:val="single" w:sz="4" w:space="0" w:color="auto"/>
              <w:right w:val="single" w:sz="4" w:space="0" w:color="auto"/>
            </w:tcBorders>
            <w:vAlign w:val="center"/>
          </w:tcPr>
          <w:p w14:paraId="2ECDAEF4" w14:textId="77777777" w:rsidR="0000055D" w:rsidRPr="0000055D" w:rsidRDefault="0000055D" w:rsidP="0000055D">
            <w:pPr>
              <w:pStyle w:val="13"/>
              <w:ind w:firstLineChars="0" w:firstLine="0"/>
              <w:jc w:val="right"/>
              <w:rPr>
                <w:sz w:val="18"/>
                <w:szCs w:val="18"/>
              </w:rPr>
            </w:pPr>
          </w:p>
        </w:tc>
        <w:tc>
          <w:tcPr>
            <w:tcW w:w="847" w:type="pct"/>
            <w:tcBorders>
              <w:top w:val="single" w:sz="4" w:space="0" w:color="auto"/>
              <w:left w:val="nil"/>
              <w:bottom w:val="single" w:sz="4" w:space="0" w:color="auto"/>
              <w:right w:val="single" w:sz="4" w:space="0" w:color="auto"/>
            </w:tcBorders>
            <w:vAlign w:val="center"/>
          </w:tcPr>
          <w:p w14:paraId="23BD9398" w14:textId="77777777" w:rsidR="0000055D" w:rsidRPr="0000055D" w:rsidRDefault="0000055D" w:rsidP="0000055D">
            <w:pPr>
              <w:pStyle w:val="13"/>
              <w:ind w:firstLineChars="0" w:firstLine="0"/>
              <w:jc w:val="right"/>
              <w:rPr>
                <w:sz w:val="18"/>
                <w:szCs w:val="18"/>
              </w:rPr>
            </w:pPr>
          </w:p>
        </w:tc>
        <w:tc>
          <w:tcPr>
            <w:tcW w:w="847" w:type="pct"/>
            <w:tcBorders>
              <w:top w:val="single" w:sz="4" w:space="0" w:color="auto"/>
              <w:left w:val="nil"/>
              <w:bottom w:val="single" w:sz="4" w:space="0" w:color="auto"/>
              <w:right w:val="single" w:sz="4" w:space="0" w:color="auto"/>
            </w:tcBorders>
            <w:vAlign w:val="center"/>
          </w:tcPr>
          <w:p w14:paraId="3AD3F69A"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70A83740" w14:textId="77777777" w:rsidR="0000055D" w:rsidRPr="0000055D" w:rsidRDefault="0000055D" w:rsidP="0000055D">
            <w:pPr>
              <w:pStyle w:val="13"/>
              <w:ind w:firstLineChars="0" w:firstLine="0"/>
              <w:jc w:val="right"/>
              <w:rPr>
                <w:sz w:val="18"/>
                <w:szCs w:val="18"/>
              </w:rPr>
            </w:pPr>
          </w:p>
        </w:tc>
      </w:tr>
      <w:tr w:rsidR="0000055D" w:rsidRPr="0000055D" w14:paraId="5CE8983A"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7A851CA5" w14:textId="77777777" w:rsidR="0000055D" w:rsidRPr="0000055D" w:rsidRDefault="0000055D" w:rsidP="0000055D">
            <w:pPr>
              <w:pStyle w:val="13"/>
              <w:ind w:firstLineChars="0" w:firstLine="0"/>
              <w:rPr>
                <w:sz w:val="18"/>
                <w:szCs w:val="18"/>
              </w:rPr>
            </w:pPr>
            <w:r w:rsidRPr="0000055D">
              <w:rPr>
                <w:sz w:val="18"/>
                <w:szCs w:val="18"/>
              </w:rPr>
              <w:t>现金及存放中央银行款项</w:t>
            </w:r>
          </w:p>
        </w:tc>
        <w:tc>
          <w:tcPr>
            <w:tcW w:w="847" w:type="pct"/>
            <w:tcBorders>
              <w:top w:val="nil"/>
              <w:left w:val="nil"/>
              <w:bottom w:val="single" w:sz="4" w:space="0" w:color="auto"/>
              <w:right w:val="single" w:sz="4" w:space="0" w:color="auto"/>
            </w:tcBorders>
            <w:vAlign w:val="center"/>
          </w:tcPr>
          <w:p w14:paraId="5FA8E6F8" w14:textId="77777777" w:rsidR="0000055D" w:rsidRPr="0000055D" w:rsidRDefault="0000055D" w:rsidP="0000055D">
            <w:pPr>
              <w:pStyle w:val="13"/>
              <w:ind w:firstLineChars="0" w:firstLine="0"/>
              <w:jc w:val="right"/>
              <w:rPr>
                <w:sz w:val="18"/>
                <w:szCs w:val="18"/>
              </w:rPr>
            </w:pPr>
            <w:r w:rsidRPr="0000055D">
              <w:rPr>
                <w:sz w:val="18"/>
                <w:szCs w:val="18"/>
              </w:rPr>
              <w:t>35,296,020.00</w:t>
            </w:r>
          </w:p>
        </w:tc>
        <w:tc>
          <w:tcPr>
            <w:tcW w:w="847" w:type="pct"/>
            <w:tcBorders>
              <w:top w:val="nil"/>
              <w:left w:val="nil"/>
              <w:bottom w:val="single" w:sz="4" w:space="0" w:color="auto"/>
              <w:right w:val="single" w:sz="4" w:space="0" w:color="auto"/>
            </w:tcBorders>
            <w:vAlign w:val="center"/>
          </w:tcPr>
          <w:p w14:paraId="6DB19813" w14:textId="77777777" w:rsidR="0000055D" w:rsidRPr="0000055D" w:rsidRDefault="0000055D" w:rsidP="0000055D">
            <w:pPr>
              <w:pStyle w:val="13"/>
              <w:ind w:firstLineChars="0" w:firstLine="0"/>
              <w:jc w:val="right"/>
              <w:rPr>
                <w:sz w:val="18"/>
                <w:szCs w:val="18"/>
              </w:rPr>
            </w:pPr>
            <w:r w:rsidRPr="0000055D">
              <w:rPr>
                <w:sz w:val="18"/>
                <w:szCs w:val="18"/>
              </w:rPr>
              <w:t>38,825,620.00</w:t>
            </w:r>
          </w:p>
        </w:tc>
        <w:tc>
          <w:tcPr>
            <w:tcW w:w="847" w:type="pct"/>
            <w:tcBorders>
              <w:top w:val="nil"/>
              <w:left w:val="nil"/>
              <w:bottom w:val="single" w:sz="4" w:space="0" w:color="auto"/>
              <w:right w:val="single" w:sz="4" w:space="0" w:color="auto"/>
            </w:tcBorders>
            <w:vAlign w:val="center"/>
          </w:tcPr>
          <w:p w14:paraId="512404E4" w14:textId="77777777" w:rsidR="0000055D" w:rsidRPr="0000055D" w:rsidRDefault="0000055D" w:rsidP="0000055D">
            <w:pPr>
              <w:pStyle w:val="13"/>
              <w:ind w:firstLineChars="0" w:firstLine="0"/>
              <w:jc w:val="right"/>
              <w:rPr>
                <w:sz w:val="18"/>
                <w:szCs w:val="18"/>
              </w:rPr>
            </w:pPr>
            <w:r w:rsidRPr="0000055D">
              <w:rPr>
                <w:sz w:val="18"/>
                <w:szCs w:val="18"/>
              </w:rPr>
              <w:t>42,708,180.00</w:t>
            </w:r>
          </w:p>
        </w:tc>
        <w:tc>
          <w:tcPr>
            <w:tcW w:w="847" w:type="pct"/>
            <w:tcBorders>
              <w:top w:val="nil"/>
              <w:left w:val="nil"/>
              <w:bottom w:val="single" w:sz="4" w:space="0" w:color="auto"/>
              <w:right w:val="single" w:sz="4" w:space="0" w:color="auto"/>
            </w:tcBorders>
            <w:vAlign w:val="center"/>
          </w:tcPr>
          <w:p w14:paraId="6DDC7F8F" w14:textId="77777777" w:rsidR="0000055D" w:rsidRPr="0000055D" w:rsidRDefault="0000055D" w:rsidP="0000055D">
            <w:pPr>
              <w:pStyle w:val="13"/>
              <w:ind w:firstLineChars="0" w:firstLine="0"/>
              <w:jc w:val="right"/>
              <w:rPr>
                <w:sz w:val="18"/>
                <w:szCs w:val="18"/>
              </w:rPr>
            </w:pPr>
            <w:r w:rsidRPr="0000055D">
              <w:rPr>
                <w:sz w:val="18"/>
                <w:szCs w:val="18"/>
              </w:rPr>
              <w:t>46,551,920.00</w:t>
            </w:r>
          </w:p>
        </w:tc>
        <w:tc>
          <w:tcPr>
            <w:tcW w:w="847" w:type="pct"/>
            <w:tcBorders>
              <w:top w:val="nil"/>
              <w:left w:val="single" w:sz="4" w:space="0" w:color="auto"/>
              <w:bottom w:val="single" w:sz="4" w:space="0" w:color="auto"/>
              <w:right w:val="single" w:sz="8" w:space="0" w:color="auto"/>
            </w:tcBorders>
            <w:vAlign w:val="center"/>
          </w:tcPr>
          <w:p w14:paraId="3F167DE5" w14:textId="77777777" w:rsidR="0000055D" w:rsidRPr="0000055D" w:rsidRDefault="0000055D" w:rsidP="0000055D">
            <w:pPr>
              <w:pStyle w:val="13"/>
              <w:ind w:firstLineChars="0" w:firstLine="0"/>
              <w:jc w:val="right"/>
              <w:rPr>
                <w:sz w:val="18"/>
                <w:szCs w:val="18"/>
              </w:rPr>
            </w:pPr>
            <w:r w:rsidRPr="0000055D">
              <w:rPr>
                <w:sz w:val="18"/>
                <w:szCs w:val="18"/>
              </w:rPr>
              <w:t>50,276,080.00</w:t>
            </w:r>
          </w:p>
        </w:tc>
      </w:tr>
      <w:tr w:rsidR="0000055D" w:rsidRPr="0000055D" w14:paraId="646707A5" w14:textId="77777777" w:rsidTr="0000055D">
        <w:trPr>
          <w:trHeight w:val="270"/>
        </w:trPr>
        <w:tc>
          <w:tcPr>
            <w:tcW w:w="763" w:type="pct"/>
            <w:tcBorders>
              <w:top w:val="nil"/>
              <w:left w:val="single" w:sz="8" w:space="0" w:color="auto"/>
              <w:bottom w:val="single" w:sz="4" w:space="0" w:color="auto"/>
              <w:right w:val="single" w:sz="4" w:space="0" w:color="auto"/>
            </w:tcBorders>
            <w:vAlign w:val="center"/>
          </w:tcPr>
          <w:p w14:paraId="6224C156" w14:textId="77777777" w:rsidR="0000055D" w:rsidRPr="0000055D" w:rsidRDefault="0000055D" w:rsidP="0000055D">
            <w:pPr>
              <w:pStyle w:val="13"/>
              <w:ind w:firstLineChars="0" w:firstLine="0"/>
              <w:rPr>
                <w:sz w:val="18"/>
                <w:szCs w:val="18"/>
              </w:rPr>
            </w:pPr>
            <w:r w:rsidRPr="0000055D">
              <w:rPr>
                <w:sz w:val="18"/>
                <w:szCs w:val="18"/>
              </w:rPr>
              <w:t>存放同业及其他金融机构款项</w:t>
            </w:r>
          </w:p>
        </w:tc>
        <w:tc>
          <w:tcPr>
            <w:tcW w:w="847" w:type="pct"/>
            <w:tcBorders>
              <w:top w:val="nil"/>
              <w:left w:val="nil"/>
              <w:bottom w:val="single" w:sz="4" w:space="0" w:color="auto"/>
              <w:right w:val="single" w:sz="4" w:space="0" w:color="auto"/>
            </w:tcBorders>
            <w:vAlign w:val="center"/>
          </w:tcPr>
          <w:p w14:paraId="3719D908" w14:textId="77777777" w:rsidR="0000055D" w:rsidRPr="0000055D" w:rsidRDefault="0000055D" w:rsidP="0000055D">
            <w:pPr>
              <w:pStyle w:val="13"/>
              <w:ind w:firstLineChars="0" w:firstLine="0"/>
              <w:jc w:val="right"/>
              <w:rPr>
                <w:sz w:val="18"/>
                <w:szCs w:val="18"/>
              </w:rPr>
            </w:pPr>
            <w:r w:rsidRPr="0000055D">
              <w:rPr>
                <w:sz w:val="18"/>
                <w:szCs w:val="18"/>
              </w:rPr>
              <w:t>41,207,957.88</w:t>
            </w:r>
          </w:p>
        </w:tc>
        <w:tc>
          <w:tcPr>
            <w:tcW w:w="847" w:type="pct"/>
            <w:tcBorders>
              <w:top w:val="nil"/>
              <w:left w:val="nil"/>
              <w:bottom w:val="single" w:sz="4" w:space="0" w:color="auto"/>
              <w:right w:val="single" w:sz="4" w:space="0" w:color="auto"/>
            </w:tcBorders>
            <w:vAlign w:val="center"/>
          </w:tcPr>
          <w:p w14:paraId="75A7EB1C" w14:textId="77777777" w:rsidR="0000055D" w:rsidRPr="0000055D" w:rsidRDefault="0000055D" w:rsidP="0000055D">
            <w:pPr>
              <w:pStyle w:val="13"/>
              <w:ind w:firstLineChars="0" w:firstLine="0"/>
              <w:jc w:val="right"/>
              <w:rPr>
                <w:sz w:val="18"/>
                <w:szCs w:val="18"/>
              </w:rPr>
            </w:pPr>
            <w:r w:rsidRPr="0000055D">
              <w:rPr>
                <w:sz w:val="18"/>
                <w:szCs w:val="18"/>
              </w:rPr>
              <w:t>46,179,034.48</w:t>
            </w:r>
          </w:p>
        </w:tc>
        <w:tc>
          <w:tcPr>
            <w:tcW w:w="847" w:type="pct"/>
            <w:tcBorders>
              <w:top w:val="nil"/>
              <w:left w:val="nil"/>
              <w:bottom w:val="single" w:sz="4" w:space="0" w:color="auto"/>
              <w:right w:val="single" w:sz="4" w:space="0" w:color="auto"/>
            </w:tcBorders>
            <w:vAlign w:val="center"/>
          </w:tcPr>
          <w:p w14:paraId="45F37DE5" w14:textId="77777777" w:rsidR="0000055D" w:rsidRPr="0000055D" w:rsidRDefault="0000055D" w:rsidP="0000055D">
            <w:pPr>
              <w:pStyle w:val="13"/>
              <w:ind w:firstLineChars="0" w:firstLine="0"/>
              <w:jc w:val="right"/>
              <w:rPr>
                <w:sz w:val="18"/>
                <w:szCs w:val="18"/>
              </w:rPr>
            </w:pPr>
            <w:r w:rsidRPr="0000055D">
              <w:rPr>
                <w:sz w:val="18"/>
                <w:szCs w:val="18"/>
              </w:rPr>
              <w:t>50,627,236.81</w:t>
            </w:r>
          </w:p>
        </w:tc>
        <w:tc>
          <w:tcPr>
            <w:tcW w:w="847" w:type="pct"/>
            <w:tcBorders>
              <w:top w:val="nil"/>
              <w:left w:val="nil"/>
              <w:bottom w:val="single" w:sz="4" w:space="0" w:color="auto"/>
              <w:right w:val="single" w:sz="4" w:space="0" w:color="auto"/>
            </w:tcBorders>
            <w:vAlign w:val="center"/>
          </w:tcPr>
          <w:p w14:paraId="29318340" w14:textId="77777777" w:rsidR="0000055D" w:rsidRPr="0000055D" w:rsidRDefault="0000055D" w:rsidP="0000055D">
            <w:pPr>
              <w:pStyle w:val="13"/>
              <w:ind w:firstLineChars="0" w:firstLine="0"/>
              <w:jc w:val="right"/>
              <w:rPr>
                <w:sz w:val="18"/>
                <w:szCs w:val="18"/>
              </w:rPr>
            </w:pPr>
            <w:r w:rsidRPr="0000055D">
              <w:rPr>
                <w:sz w:val="18"/>
                <w:szCs w:val="18"/>
              </w:rPr>
              <w:t>55,310,117.42</w:t>
            </w:r>
          </w:p>
        </w:tc>
        <w:tc>
          <w:tcPr>
            <w:tcW w:w="847" w:type="pct"/>
            <w:tcBorders>
              <w:top w:val="nil"/>
              <w:left w:val="single" w:sz="4" w:space="0" w:color="auto"/>
              <w:bottom w:val="single" w:sz="4" w:space="0" w:color="auto"/>
              <w:right w:val="single" w:sz="8" w:space="0" w:color="auto"/>
            </w:tcBorders>
            <w:vAlign w:val="center"/>
          </w:tcPr>
          <w:p w14:paraId="6B84E58B" w14:textId="77777777" w:rsidR="0000055D" w:rsidRPr="0000055D" w:rsidRDefault="0000055D" w:rsidP="0000055D">
            <w:pPr>
              <w:pStyle w:val="13"/>
              <w:ind w:firstLineChars="0" w:firstLine="0"/>
              <w:jc w:val="right"/>
              <w:rPr>
                <w:sz w:val="18"/>
                <w:szCs w:val="18"/>
              </w:rPr>
            </w:pPr>
            <w:r w:rsidRPr="0000055D">
              <w:rPr>
                <w:sz w:val="18"/>
                <w:szCs w:val="18"/>
              </w:rPr>
              <w:t>59,889,299.97</w:t>
            </w:r>
          </w:p>
        </w:tc>
      </w:tr>
      <w:tr w:rsidR="0000055D" w:rsidRPr="0000055D" w14:paraId="00523240"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5F9D3269" w14:textId="77777777" w:rsidR="0000055D" w:rsidRPr="0000055D" w:rsidRDefault="0000055D" w:rsidP="0000055D">
            <w:pPr>
              <w:pStyle w:val="13"/>
              <w:ind w:firstLineChars="0" w:firstLine="0"/>
              <w:rPr>
                <w:sz w:val="18"/>
                <w:szCs w:val="18"/>
              </w:rPr>
            </w:pPr>
            <w:r w:rsidRPr="0000055D">
              <w:rPr>
                <w:sz w:val="18"/>
                <w:szCs w:val="18"/>
              </w:rPr>
              <w:t>贵金属</w:t>
            </w:r>
          </w:p>
        </w:tc>
        <w:tc>
          <w:tcPr>
            <w:tcW w:w="847" w:type="pct"/>
            <w:tcBorders>
              <w:top w:val="nil"/>
              <w:left w:val="nil"/>
              <w:bottom w:val="single" w:sz="4" w:space="0" w:color="auto"/>
              <w:right w:val="single" w:sz="4" w:space="0" w:color="auto"/>
            </w:tcBorders>
            <w:vAlign w:val="center"/>
          </w:tcPr>
          <w:p w14:paraId="2CA3CE72" w14:textId="77777777" w:rsidR="0000055D" w:rsidRPr="0000055D" w:rsidRDefault="0000055D" w:rsidP="0000055D">
            <w:pPr>
              <w:pStyle w:val="13"/>
              <w:ind w:firstLineChars="0" w:firstLine="0"/>
              <w:jc w:val="right"/>
              <w:rPr>
                <w:sz w:val="18"/>
                <w:szCs w:val="18"/>
              </w:rPr>
            </w:pPr>
            <w:r w:rsidRPr="0000055D">
              <w:rPr>
                <w:sz w:val="18"/>
                <w:szCs w:val="18"/>
              </w:rPr>
              <w:t>-</w:t>
            </w:r>
          </w:p>
        </w:tc>
        <w:tc>
          <w:tcPr>
            <w:tcW w:w="847" w:type="pct"/>
            <w:tcBorders>
              <w:top w:val="nil"/>
              <w:left w:val="nil"/>
              <w:bottom w:val="single" w:sz="4" w:space="0" w:color="auto"/>
              <w:right w:val="single" w:sz="4" w:space="0" w:color="auto"/>
            </w:tcBorders>
            <w:vAlign w:val="center"/>
          </w:tcPr>
          <w:p w14:paraId="2333BF43" w14:textId="77777777" w:rsidR="0000055D" w:rsidRPr="0000055D" w:rsidRDefault="0000055D" w:rsidP="0000055D">
            <w:pPr>
              <w:pStyle w:val="13"/>
              <w:ind w:firstLineChars="0" w:firstLine="0"/>
              <w:jc w:val="right"/>
              <w:rPr>
                <w:sz w:val="18"/>
                <w:szCs w:val="18"/>
              </w:rPr>
            </w:pPr>
            <w:r w:rsidRPr="0000055D">
              <w:rPr>
                <w:sz w:val="18"/>
                <w:szCs w:val="18"/>
              </w:rPr>
              <w:t>-</w:t>
            </w:r>
          </w:p>
        </w:tc>
        <w:tc>
          <w:tcPr>
            <w:tcW w:w="847" w:type="pct"/>
            <w:tcBorders>
              <w:top w:val="nil"/>
              <w:left w:val="nil"/>
              <w:bottom w:val="single" w:sz="4" w:space="0" w:color="auto"/>
              <w:right w:val="single" w:sz="4" w:space="0" w:color="auto"/>
            </w:tcBorders>
            <w:vAlign w:val="center"/>
          </w:tcPr>
          <w:p w14:paraId="133D2AA2" w14:textId="77777777" w:rsidR="0000055D" w:rsidRPr="0000055D" w:rsidRDefault="0000055D" w:rsidP="0000055D">
            <w:pPr>
              <w:pStyle w:val="13"/>
              <w:ind w:firstLineChars="0" w:firstLine="0"/>
              <w:jc w:val="right"/>
              <w:rPr>
                <w:sz w:val="18"/>
                <w:szCs w:val="18"/>
              </w:rPr>
            </w:pPr>
            <w:r w:rsidRPr="0000055D">
              <w:rPr>
                <w:sz w:val="18"/>
                <w:szCs w:val="18"/>
              </w:rPr>
              <w:t>-</w:t>
            </w:r>
          </w:p>
        </w:tc>
        <w:tc>
          <w:tcPr>
            <w:tcW w:w="847" w:type="pct"/>
            <w:tcBorders>
              <w:top w:val="nil"/>
              <w:left w:val="nil"/>
              <w:bottom w:val="single" w:sz="4" w:space="0" w:color="auto"/>
              <w:right w:val="single" w:sz="4" w:space="0" w:color="auto"/>
            </w:tcBorders>
            <w:vAlign w:val="center"/>
          </w:tcPr>
          <w:p w14:paraId="2C9952A8" w14:textId="77777777" w:rsidR="0000055D" w:rsidRPr="0000055D" w:rsidRDefault="0000055D" w:rsidP="0000055D">
            <w:pPr>
              <w:pStyle w:val="13"/>
              <w:ind w:firstLineChars="0" w:firstLine="0"/>
              <w:jc w:val="right"/>
              <w:rPr>
                <w:sz w:val="18"/>
                <w:szCs w:val="18"/>
              </w:rPr>
            </w:pPr>
            <w:r w:rsidRPr="0000055D">
              <w:rPr>
                <w:sz w:val="18"/>
                <w:szCs w:val="18"/>
              </w:rPr>
              <w:t>-</w:t>
            </w:r>
          </w:p>
        </w:tc>
        <w:tc>
          <w:tcPr>
            <w:tcW w:w="847" w:type="pct"/>
            <w:tcBorders>
              <w:top w:val="nil"/>
              <w:left w:val="single" w:sz="4" w:space="0" w:color="auto"/>
              <w:bottom w:val="single" w:sz="4" w:space="0" w:color="auto"/>
              <w:right w:val="single" w:sz="8" w:space="0" w:color="auto"/>
            </w:tcBorders>
            <w:vAlign w:val="center"/>
          </w:tcPr>
          <w:p w14:paraId="1104CDA7" w14:textId="77777777" w:rsidR="0000055D" w:rsidRPr="0000055D" w:rsidRDefault="0000055D" w:rsidP="0000055D">
            <w:pPr>
              <w:pStyle w:val="13"/>
              <w:ind w:firstLineChars="0" w:firstLine="0"/>
              <w:jc w:val="right"/>
              <w:rPr>
                <w:sz w:val="18"/>
                <w:szCs w:val="18"/>
              </w:rPr>
            </w:pPr>
            <w:r w:rsidRPr="0000055D">
              <w:rPr>
                <w:sz w:val="18"/>
                <w:szCs w:val="18"/>
              </w:rPr>
              <w:t>-</w:t>
            </w:r>
          </w:p>
        </w:tc>
      </w:tr>
      <w:tr w:rsidR="0000055D" w:rsidRPr="0000055D" w14:paraId="3BC95DDC"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6C5E65AA" w14:textId="77777777" w:rsidR="0000055D" w:rsidRPr="0000055D" w:rsidRDefault="0000055D" w:rsidP="0000055D">
            <w:pPr>
              <w:pStyle w:val="13"/>
              <w:ind w:firstLineChars="0" w:firstLine="0"/>
              <w:rPr>
                <w:sz w:val="18"/>
                <w:szCs w:val="18"/>
              </w:rPr>
            </w:pPr>
            <w:r w:rsidRPr="0000055D">
              <w:rPr>
                <w:sz w:val="18"/>
                <w:szCs w:val="18"/>
              </w:rPr>
              <w:t>拆出资金</w:t>
            </w:r>
          </w:p>
        </w:tc>
        <w:tc>
          <w:tcPr>
            <w:tcW w:w="847" w:type="pct"/>
            <w:tcBorders>
              <w:top w:val="nil"/>
              <w:left w:val="nil"/>
              <w:bottom w:val="single" w:sz="4" w:space="0" w:color="auto"/>
              <w:right w:val="single" w:sz="4" w:space="0" w:color="auto"/>
            </w:tcBorders>
            <w:vAlign w:val="center"/>
          </w:tcPr>
          <w:p w14:paraId="7C6F0F3C"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4BA86F5A"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7C4A198"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6D780C26"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3176F608" w14:textId="77777777" w:rsidR="0000055D" w:rsidRPr="0000055D" w:rsidRDefault="0000055D" w:rsidP="0000055D">
            <w:pPr>
              <w:pStyle w:val="13"/>
              <w:ind w:firstLineChars="0" w:firstLine="0"/>
              <w:jc w:val="right"/>
              <w:rPr>
                <w:sz w:val="18"/>
                <w:szCs w:val="18"/>
              </w:rPr>
            </w:pPr>
          </w:p>
        </w:tc>
      </w:tr>
      <w:tr w:rsidR="0000055D" w:rsidRPr="0000055D" w14:paraId="715EB14C"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3722894E" w14:textId="77777777" w:rsidR="0000055D" w:rsidRPr="0000055D" w:rsidRDefault="0000055D" w:rsidP="0000055D">
            <w:pPr>
              <w:pStyle w:val="13"/>
              <w:ind w:firstLineChars="0" w:firstLine="0"/>
              <w:rPr>
                <w:sz w:val="18"/>
                <w:szCs w:val="18"/>
              </w:rPr>
            </w:pPr>
            <w:r w:rsidRPr="0000055D">
              <w:rPr>
                <w:sz w:val="18"/>
                <w:szCs w:val="18"/>
              </w:rPr>
              <w:t>交易性金融资产</w:t>
            </w:r>
          </w:p>
        </w:tc>
        <w:tc>
          <w:tcPr>
            <w:tcW w:w="847" w:type="pct"/>
            <w:tcBorders>
              <w:top w:val="nil"/>
              <w:left w:val="nil"/>
              <w:bottom w:val="single" w:sz="4" w:space="0" w:color="auto"/>
              <w:right w:val="single" w:sz="4" w:space="0" w:color="auto"/>
            </w:tcBorders>
            <w:vAlign w:val="center"/>
          </w:tcPr>
          <w:p w14:paraId="42FA3AA5" w14:textId="77777777" w:rsidR="0000055D" w:rsidRPr="0000055D" w:rsidRDefault="0000055D" w:rsidP="0000055D">
            <w:pPr>
              <w:pStyle w:val="13"/>
              <w:ind w:firstLineChars="0" w:firstLine="0"/>
              <w:jc w:val="right"/>
              <w:rPr>
                <w:sz w:val="18"/>
                <w:szCs w:val="18"/>
              </w:rPr>
            </w:pPr>
            <w:r w:rsidRPr="0000055D">
              <w:rPr>
                <w:sz w:val="18"/>
                <w:szCs w:val="18"/>
              </w:rPr>
              <w:t>52,501,177.88</w:t>
            </w:r>
          </w:p>
        </w:tc>
        <w:tc>
          <w:tcPr>
            <w:tcW w:w="847" w:type="pct"/>
            <w:tcBorders>
              <w:top w:val="nil"/>
              <w:left w:val="nil"/>
              <w:bottom w:val="single" w:sz="4" w:space="0" w:color="auto"/>
              <w:right w:val="single" w:sz="4" w:space="0" w:color="auto"/>
            </w:tcBorders>
            <w:vAlign w:val="center"/>
          </w:tcPr>
          <w:p w14:paraId="14A8A675" w14:textId="77777777" w:rsidR="0000055D" w:rsidRPr="0000055D" w:rsidRDefault="0000055D" w:rsidP="0000055D">
            <w:pPr>
              <w:pStyle w:val="13"/>
              <w:ind w:firstLineChars="0" w:firstLine="0"/>
              <w:jc w:val="right"/>
              <w:rPr>
                <w:sz w:val="18"/>
                <w:szCs w:val="18"/>
              </w:rPr>
            </w:pPr>
            <w:r w:rsidRPr="0000055D">
              <w:rPr>
                <w:sz w:val="18"/>
                <w:szCs w:val="18"/>
              </w:rPr>
              <w:t>58,131,649.01</w:t>
            </w:r>
          </w:p>
        </w:tc>
        <w:tc>
          <w:tcPr>
            <w:tcW w:w="847" w:type="pct"/>
            <w:tcBorders>
              <w:top w:val="nil"/>
              <w:left w:val="nil"/>
              <w:bottom w:val="single" w:sz="4" w:space="0" w:color="auto"/>
              <w:right w:val="single" w:sz="4" w:space="0" w:color="auto"/>
            </w:tcBorders>
            <w:vAlign w:val="center"/>
          </w:tcPr>
          <w:p w14:paraId="25069A2B" w14:textId="77777777" w:rsidR="0000055D" w:rsidRPr="0000055D" w:rsidRDefault="0000055D" w:rsidP="0000055D">
            <w:pPr>
              <w:pStyle w:val="13"/>
              <w:ind w:firstLineChars="0" w:firstLine="0"/>
              <w:jc w:val="right"/>
              <w:rPr>
                <w:sz w:val="18"/>
                <w:szCs w:val="18"/>
              </w:rPr>
            </w:pPr>
            <w:r w:rsidRPr="0000055D">
              <w:rPr>
                <w:sz w:val="18"/>
                <w:szCs w:val="18"/>
              </w:rPr>
              <w:t>65,492,927.45</w:t>
            </w:r>
          </w:p>
        </w:tc>
        <w:tc>
          <w:tcPr>
            <w:tcW w:w="847" w:type="pct"/>
            <w:tcBorders>
              <w:top w:val="nil"/>
              <w:left w:val="nil"/>
              <w:bottom w:val="single" w:sz="4" w:space="0" w:color="auto"/>
              <w:right w:val="single" w:sz="4" w:space="0" w:color="auto"/>
            </w:tcBorders>
            <w:vAlign w:val="center"/>
          </w:tcPr>
          <w:p w14:paraId="095517ED" w14:textId="77777777" w:rsidR="0000055D" w:rsidRPr="0000055D" w:rsidRDefault="0000055D" w:rsidP="0000055D">
            <w:pPr>
              <w:pStyle w:val="13"/>
              <w:ind w:firstLineChars="0" w:firstLine="0"/>
              <w:jc w:val="right"/>
              <w:rPr>
                <w:sz w:val="18"/>
                <w:szCs w:val="18"/>
              </w:rPr>
            </w:pPr>
            <w:r w:rsidRPr="0000055D">
              <w:rPr>
                <w:sz w:val="18"/>
                <w:szCs w:val="18"/>
              </w:rPr>
              <w:t>72,709,505.42</w:t>
            </w:r>
          </w:p>
        </w:tc>
        <w:tc>
          <w:tcPr>
            <w:tcW w:w="847" w:type="pct"/>
            <w:tcBorders>
              <w:top w:val="nil"/>
              <w:left w:val="single" w:sz="4" w:space="0" w:color="auto"/>
              <w:bottom w:val="single" w:sz="4" w:space="0" w:color="auto"/>
              <w:right w:val="single" w:sz="8" w:space="0" w:color="auto"/>
            </w:tcBorders>
            <w:vAlign w:val="center"/>
          </w:tcPr>
          <w:p w14:paraId="20838A55" w14:textId="77777777" w:rsidR="0000055D" w:rsidRPr="0000055D" w:rsidRDefault="0000055D" w:rsidP="0000055D">
            <w:pPr>
              <w:pStyle w:val="13"/>
              <w:ind w:firstLineChars="0" w:firstLine="0"/>
              <w:jc w:val="right"/>
              <w:rPr>
                <w:sz w:val="18"/>
                <w:szCs w:val="18"/>
              </w:rPr>
            </w:pPr>
            <w:r w:rsidRPr="0000055D">
              <w:rPr>
                <w:sz w:val="18"/>
                <w:szCs w:val="18"/>
              </w:rPr>
              <w:t>79,811,051.54</w:t>
            </w:r>
          </w:p>
        </w:tc>
      </w:tr>
      <w:tr w:rsidR="0000055D" w:rsidRPr="0000055D" w14:paraId="770C8004"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58C4A951" w14:textId="77777777" w:rsidR="0000055D" w:rsidRPr="0000055D" w:rsidRDefault="0000055D" w:rsidP="0000055D">
            <w:pPr>
              <w:pStyle w:val="13"/>
              <w:ind w:firstLineChars="0" w:firstLine="0"/>
              <w:rPr>
                <w:sz w:val="18"/>
                <w:szCs w:val="18"/>
              </w:rPr>
            </w:pPr>
            <w:r w:rsidRPr="0000055D">
              <w:rPr>
                <w:sz w:val="18"/>
                <w:szCs w:val="18"/>
              </w:rPr>
              <w:t>衍生金融资产</w:t>
            </w:r>
          </w:p>
        </w:tc>
        <w:tc>
          <w:tcPr>
            <w:tcW w:w="847" w:type="pct"/>
            <w:tcBorders>
              <w:top w:val="nil"/>
              <w:left w:val="nil"/>
              <w:bottom w:val="single" w:sz="4" w:space="0" w:color="auto"/>
              <w:right w:val="single" w:sz="4" w:space="0" w:color="auto"/>
            </w:tcBorders>
            <w:vAlign w:val="center"/>
          </w:tcPr>
          <w:p w14:paraId="0BA07A3F"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267E72FE"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5C0E4546"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2A8487D1"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395B1A4B" w14:textId="77777777" w:rsidR="0000055D" w:rsidRPr="0000055D" w:rsidRDefault="0000055D" w:rsidP="0000055D">
            <w:pPr>
              <w:pStyle w:val="13"/>
              <w:ind w:firstLineChars="0" w:firstLine="0"/>
              <w:jc w:val="right"/>
              <w:rPr>
                <w:sz w:val="18"/>
                <w:szCs w:val="18"/>
              </w:rPr>
            </w:pPr>
          </w:p>
        </w:tc>
      </w:tr>
      <w:tr w:rsidR="0000055D" w:rsidRPr="0000055D" w14:paraId="5B42BD6C"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35981250" w14:textId="77777777" w:rsidR="0000055D" w:rsidRPr="0000055D" w:rsidRDefault="0000055D" w:rsidP="0000055D">
            <w:pPr>
              <w:pStyle w:val="13"/>
              <w:ind w:firstLineChars="0" w:firstLine="0"/>
              <w:rPr>
                <w:sz w:val="18"/>
                <w:szCs w:val="18"/>
              </w:rPr>
            </w:pPr>
            <w:r w:rsidRPr="0000055D">
              <w:rPr>
                <w:sz w:val="18"/>
                <w:szCs w:val="18"/>
              </w:rPr>
              <w:t>买入返售金融资产</w:t>
            </w:r>
          </w:p>
        </w:tc>
        <w:tc>
          <w:tcPr>
            <w:tcW w:w="847" w:type="pct"/>
            <w:tcBorders>
              <w:top w:val="nil"/>
              <w:left w:val="nil"/>
              <w:bottom w:val="single" w:sz="4" w:space="0" w:color="auto"/>
              <w:right w:val="single" w:sz="4" w:space="0" w:color="auto"/>
            </w:tcBorders>
            <w:vAlign w:val="center"/>
          </w:tcPr>
          <w:p w14:paraId="26036074"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6A98105D"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66B8B1E6"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568DB6E5"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15AE5014" w14:textId="77777777" w:rsidR="0000055D" w:rsidRPr="0000055D" w:rsidRDefault="0000055D" w:rsidP="0000055D">
            <w:pPr>
              <w:pStyle w:val="13"/>
              <w:ind w:firstLineChars="0" w:firstLine="0"/>
              <w:jc w:val="right"/>
              <w:rPr>
                <w:sz w:val="18"/>
                <w:szCs w:val="18"/>
              </w:rPr>
            </w:pPr>
          </w:p>
        </w:tc>
      </w:tr>
      <w:tr w:rsidR="0000055D" w:rsidRPr="0000055D" w14:paraId="6C29D373"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2A69ADE1" w14:textId="77777777" w:rsidR="0000055D" w:rsidRPr="0000055D" w:rsidRDefault="0000055D" w:rsidP="0000055D">
            <w:pPr>
              <w:pStyle w:val="13"/>
              <w:ind w:firstLineChars="0" w:firstLine="0"/>
              <w:rPr>
                <w:sz w:val="18"/>
                <w:szCs w:val="18"/>
              </w:rPr>
            </w:pPr>
            <w:r w:rsidRPr="0000055D">
              <w:rPr>
                <w:sz w:val="18"/>
                <w:szCs w:val="18"/>
              </w:rPr>
              <w:t>应收利息</w:t>
            </w:r>
          </w:p>
        </w:tc>
        <w:tc>
          <w:tcPr>
            <w:tcW w:w="847" w:type="pct"/>
            <w:tcBorders>
              <w:top w:val="nil"/>
              <w:left w:val="nil"/>
              <w:bottom w:val="single" w:sz="4" w:space="0" w:color="auto"/>
              <w:right w:val="single" w:sz="4" w:space="0" w:color="auto"/>
            </w:tcBorders>
            <w:vAlign w:val="center"/>
          </w:tcPr>
          <w:p w14:paraId="33405BD1" w14:textId="77777777" w:rsidR="0000055D" w:rsidRPr="0000055D" w:rsidRDefault="0000055D" w:rsidP="0000055D">
            <w:pPr>
              <w:pStyle w:val="13"/>
              <w:ind w:firstLineChars="0" w:firstLine="0"/>
              <w:jc w:val="right"/>
              <w:rPr>
                <w:sz w:val="18"/>
                <w:szCs w:val="18"/>
              </w:rPr>
            </w:pPr>
            <w:r w:rsidRPr="0000055D">
              <w:rPr>
                <w:sz w:val="18"/>
                <w:szCs w:val="18"/>
              </w:rPr>
              <w:t>1,295,545.02</w:t>
            </w:r>
          </w:p>
        </w:tc>
        <w:tc>
          <w:tcPr>
            <w:tcW w:w="847" w:type="pct"/>
            <w:tcBorders>
              <w:top w:val="nil"/>
              <w:left w:val="nil"/>
              <w:bottom w:val="single" w:sz="4" w:space="0" w:color="auto"/>
              <w:right w:val="single" w:sz="4" w:space="0" w:color="auto"/>
            </w:tcBorders>
            <w:vAlign w:val="center"/>
          </w:tcPr>
          <w:p w14:paraId="470F3AEA" w14:textId="77777777" w:rsidR="0000055D" w:rsidRPr="0000055D" w:rsidRDefault="0000055D" w:rsidP="0000055D">
            <w:pPr>
              <w:pStyle w:val="13"/>
              <w:ind w:firstLineChars="0" w:firstLine="0"/>
              <w:jc w:val="right"/>
              <w:rPr>
                <w:sz w:val="18"/>
                <w:szCs w:val="18"/>
              </w:rPr>
            </w:pPr>
            <w:r w:rsidRPr="0000055D">
              <w:rPr>
                <w:sz w:val="18"/>
                <w:szCs w:val="18"/>
              </w:rPr>
              <w:t>1,295,545.02</w:t>
            </w:r>
          </w:p>
        </w:tc>
        <w:tc>
          <w:tcPr>
            <w:tcW w:w="847" w:type="pct"/>
            <w:tcBorders>
              <w:top w:val="nil"/>
              <w:left w:val="nil"/>
              <w:bottom w:val="single" w:sz="4" w:space="0" w:color="auto"/>
              <w:right w:val="single" w:sz="4" w:space="0" w:color="auto"/>
            </w:tcBorders>
            <w:vAlign w:val="center"/>
          </w:tcPr>
          <w:p w14:paraId="2E54029E" w14:textId="77777777" w:rsidR="0000055D" w:rsidRPr="0000055D" w:rsidRDefault="0000055D" w:rsidP="0000055D">
            <w:pPr>
              <w:pStyle w:val="13"/>
              <w:ind w:firstLineChars="0" w:firstLine="0"/>
              <w:jc w:val="right"/>
              <w:rPr>
                <w:sz w:val="18"/>
                <w:szCs w:val="18"/>
              </w:rPr>
            </w:pPr>
            <w:r w:rsidRPr="0000055D">
              <w:rPr>
                <w:sz w:val="18"/>
                <w:szCs w:val="18"/>
              </w:rPr>
              <w:t>1,295,545.02</w:t>
            </w:r>
          </w:p>
        </w:tc>
        <w:tc>
          <w:tcPr>
            <w:tcW w:w="847" w:type="pct"/>
            <w:tcBorders>
              <w:top w:val="nil"/>
              <w:left w:val="nil"/>
              <w:bottom w:val="single" w:sz="4" w:space="0" w:color="auto"/>
              <w:right w:val="single" w:sz="4" w:space="0" w:color="auto"/>
            </w:tcBorders>
            <w:vAlign w:val="center"/>
          </w:tcPr>
          <w:p w14:paraId="67F5388B" w14:textId="77777777" w:rsidR="0000055D" w:rsidRPr="0000055D" w:rsidRDefault="0000055D" w:rsidP="0000055D">
            <w:pPr>
              <w:pStyle w:val="13"/>
              <w:ind w:firstLineChars="0" w:firstLine="0"/>
              <w:jc w:val="right"/>
              <w:rPr>
                <w:sz w:val="18"/>
                <w:szCs w:val="18"/>
              </w:rPr>
            </w:pPr>
            <w:r w:rsidRPr="0000055D">
              <w:rPr>
                <w:sz w:val="18"/>
                <w:szCs w:val="18"/>
              </w:rPr>
              <w:t>1,295,545.02</w:t>
            </w:r>
          </w:p>
        </w:tc>
        <w:tc>
          <w:tcPr>
            <w:tcW w:w="847" w:type="pct"/>
            <w:tcBorders>
              <w:top w:val="nil"/>
              <w:left w:val="single" w:sz="4" w:space="0" w:color="auto"/>
              <w:bottom w:val="single" w:sz="4" w:space="0" w:color="auto"/>
              <w:right w:val="single" w:sz="8" w:space="0" w:color="auto"/>
            </w:tcBorders>
            <w:vAlign w:val="center"/>
          </w:tcPr>
          <w:p w14:paraId="458721D5" w14:textId="77777777" w:rsidR="0000055D" w:rsidRPr="0000055D" w:rsidRDefault="0000055D" w:rsidP="0000055D">
            <w:pPr>
              <w:pStyle w:val="13"/>
              <w:ind w:firstLineChars="0" w:firstLine="0"/>
              <w:jc w:val="right"/>
              <w:rPr>
                <w:sz w:val="18"/>
                <w:szCs w:val="18"/>
              </w:rPr>
            </w:pPr>
            <w:r w:rsidRPr="0000055D">
              <w:rPr>
                <w:sz w:val="18"/>
                <w:szCs w:val="18"/>
              </w:rPr>
              <w:t>1,295,545.02</w:t>
            </w:r>
          </w:p>
        </w:tc>
      </w:tr>
      <w:tr w:rsidR="0000055D" w:rsidRPr="0000055D" w14:paraId="2061C064"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1BA1D246" w14:textId="77777777" w:rsidR="0000055D" w:rsidRPr="0000055D" w:rsidRDefault="0000055D" w:rsidP="0000055D">
            <w:pPr>
              <w:pStyle w:val="13"/>
              <w:ind w:firstLineChars="0" w:firstLine="0"/>
              <w:rPr>
                <w:sz w:val="18"/>
                <w:szCs w:val="18"/>
              </w:rPr>
            </w:pPr>
            <w:r w:rsidRPr="0000055D">
              <w:rPr>
                <w:sz w:val="18"/>
                <w:szCs w:val="18"/>
              </w:rPr>
              <w:t>发放贷款和垫款</w:t>
            </w:r>
          </w:p>
        </w:tc>
        <w:tc>
          <w:tcPr>
            <w:tcW w:w="847" w:type="pct"/>
            <w:tcBorders>
              <w:top w:val="nil"/>
              <w:left w:val="nil"/>
              <w:bottom w:val="single" w:sz="4" w:space="0" w:color="auto"/>
              <w:right w:val="single" w:sz="4" w:space="0" w:color="auto"/>
            </w:tcBorders>
            <w:vAlign w:val="center"/>
          </w:tcPr>
          <w:p w14:paraId="2A0C85B2" w14:textId="77777777" w:rsidR="0000055D" w:rsidRPr="0000055D" w:rsidRDefault="0000055D" w:rsidP="0000055D">
            <w:pPr>
              <w:pStyle w:val="13"/>
              <w:ind w:firstLineChars="0" w:firstLine="0"/>
              <w:jc w:val="right"/>
              <w:rPr>
                <w:sz w:val="18"/>
                <w:szCs w:val="18"/>
              </w:rPr>
            </w:pPr>
            <w:r w:rsidRPr="0000055D">
              <w:rPr>
                <w:sz w:val="18"/>
                <w:szCs w:val="18"/>
              </w:rPr>
              <w:t>125,583,239.16</w:t>
            </w:r>
          </w:p>
        </w:tc>
        <w:tc>
          <w:tcPr>
            <w:tcW w:w="847" w:type="pct"/>
            <w:tcBorders>
              <w:top w:val="nil"/>
              <w:left w:val="nil"/>
              <w:bottom w:val="single" w:sz="4" w:space="0" w:color="auto"/>
              <w:right w:val="single" w:sz="4" w:space="0" w:color="auto"/>
            </w:tcBorders>
            <w:vAlign w:val="center"/>
          </w:tcPr>
          <w:p w14:paraId="3D71D555" w14:textId="77777777" w:rsidR="0000055D" w:rsidRPr="0000055D" w:rsidRDefault="0000055D" w:rsidP="0000055D">
            <w:pPr>
              <w:pStyle w:val="13"/>
              <w:ind w:firstLineChars="0" w:firstLine="0"/>
              <w:jc w:val="right"/>
              <w:rPr>
                <w:sz w:val="18"/>
                <w:szCs w:val="18"/>
              </w:rPr>
            </w:pPr>
            <w:r w:rsidRPr="0000055D">
              <w:rPr>
                <w:sz w:val="18"/>
                <w:szCs w:val="18"/>
              </w:rPr>
              <w:t>138,141,555.96</w:t>
            </w:r>
          </w:p>
        </w:tc>
        <w:tc>
          <w:tcPr>
            <w:tcW w:w="847" w:type="pct"/>
            <w:tcBorders>
              <w:top w:val="nil"/>
              <w:left w:val="nil"/>
              <w:bottom w:val="single" w:sz="4" w:space="0" w:color="auto"/>
              <w:right w:val="single" w:sz="4" w:space="0" w:color="auto"/>
            </w:tcBorders>
            <w:vAlign w:val="center"/>
          </w:tcPr>
          <w:p w14:paraId="5311E549" w14:textId="77777777" w:rsidR="0000055D" w:rsidRPr="0000055D" w:rsidRDefault="0000055D" w:rsidP="0000055D">
            <w:pPr>
              <w:pStyle w:val="13"/>
              <w:ind w:firstLineChars="0" w:firstLine="0"/>
              <w:jc w:val="right"/>
              <w:rPr>
                <w:sz w:val="18"/>
                <w:szCs w:val="18"/>
              </w:rPr>
            </w:pPr>
            <w:r w:rsidRPr="0000055D">
              <w:rPr>
                <w:sz w:val="18"/>
                <w:szCs w:val="18"/>
              </w:rPr>
              <w:t>151,955,704.44</w:t>
            </w:r>
          </w:p>
        </w:tc>
        <w:tc>
          <w:tcPr>
            <w:tcW w:w="847" w:type="pct"/>
            <w:tcBorders>
              <w:top w:val="nil"/>
              <w:left w:val="nil"/>
              <w:bottom w:val="single" w:sz="4" w:space="0" w:color="auto"/>
              <w:right w:val="single" w:sz="4" w:space="0" w:color="auto"/>
            </w:tcBorders>
            <w:vAlign w:val="center"/>
          </w:tcPr>
          <w:p w14:paraId="7095FF54" w14:textId="77777777" w:rsidR="0000055D" w:rsidRPr="0000055D" w:rsidRDefault="0000055D" w:rsidP="0000055D">
            <w:pPr>
              <w:pStyle w:val="13"/>
              <w:ind w:firstLineChars="0" w:firstLine="0"/>
              <w:jc w:val="right"/>
              <w:rPr>
                <w:sz w:val="18"/>
                <w:szCs w:val="18"/>
              </w:rPr>
            </w:pPr>
            <w:r w:rsidRPr="0000055D">
              <w:rPr>
                <w:sz w:val="18"/>
                <w:szCs w:val="18"/>
              </w:rPr>
              <w:t>165,631,731.36</w:t>
            </w:r>
          </w:p>
        </w:tc>
        <w:tc>
          <w:tcPr>
            <w:tcW w:w="847" w:type="pct"/>
            <w:tcBorders>
              <w:top w:val="nil"/>
              <w:left w:val="single" w:sz="4" w:space="0" w:color="auto"/>
              <w:bottom w:val="single" w:sz="4" w:space="0" w:color="auto"/>
              <w:right w:val="single" w:sz="8" w:space="0" w:color="auto"/>
            </w:tcBorders>
            <w:vAlign w:val="center"/>
          </w:tcPr>
          <w:p w14:paraId="4571233D" w14:textId="77777777" w:rsidR="0000055D" w:rsidRPr="0000055D" w:rsidRDefault="0000055D" w:rsidP="0000055D">
            <w:pPr>
              <w:pStyle w:val="13"/>
              <w:ind w:firstLineChars="0" w:firstLine="0"/>
              <w:jc w:val="right"/>
              <w:rPr>
                <w:sz w:val="18"/>
                <w:szCs w:val="18"/>
              </w:rPr>
            </w:pPr>
            <w:r w:rsidRPr="0000055D">
              <w:rPr>
                <w:sz w:val="18"/>
                <w:szCs w:val="18"/>
              </w:rPr>
              <w:t>178,882,292.64</w:t>
            </w:r>
          </w:p>
        </w:tc>
      </w:tr>
      <w:tr w:rsidR="0000055D" w:rsidRPr="0000055D" w14:paraId="2866FC7B"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611E7F03" w14:textId="77777777" w:rsidR="0000055D" w:rsidRPr="0000055D" w:rsidRDefault="0000055D" w:rsidP="0000055D">
            <w:pPr>
              <w:pStyle w:val="13"/>
              <w:ind w:firstLineChars="0" w:firstLine="0"/>
              <w:rPr>
                <w:sz w:val="18"/>
                <w:szCs w:val="18"/>
              </w:rPr>
            </w:pPr>
            <w:r w:rsidRPr="0000055D">
              <w:rPr>
                <w:sz w:val="18"/>
                <w:szCs w:val="18"/>
              </w:rPr>
              <w:t>代理业务资产</w:t>
            </w:r>
          </w:p>
        </w:tc>
        <w:tc>
          <w:tcPr>
            <w:tcW w:w="847" w:type="pct"/>
            <w:tcBorders>
              <w:top w:val="nil"/>
              <w:left w:val="nil"/>
              <w:bottom w:val="single" w:sz="4" w:space="0" w:color="auto"/>
              <w:right w:val="single" w:sz="4" w:space="0" w:color="auto"/>
            </w:tcBorders>
            <w:vAlign w:val="center"/>
          </w:tcPr>
          <w:p w14:paraId="69FB8941"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71CD636B"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6F6BF3C8"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B743FDC"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55C2ACAB" w14:textId="77777777" w:rsidR="0000055D" w:rsidRPr="0000055D" w:rsidRDefault="0000055D" w:rsidP="0000055D">
            <w:pPr>
              <w:pStyle w:val="13"/>
              <w:ind w:firstLineChars="0" w:firstLine="0"/>
              <w:jc w:val="right"/>
              <w:rPr>
                <w:sz w:val="18"/>
                <w:szCs w:val="18"/>
              </w:rPr>
            </w:pPr>
          </w:p>
        </w:tc>
      </w:tr>
      <w:tr w:rsidR="0000055D" w:rsidRPr="0000055D" w14:paraId="3029DCAE"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11F0C4CA" w14:textId="77777777" w:rsidR="0000055D" w:rsidRPr="0000055D" w:rsidRDefault="0000055D" w:rsidP="0000055D">
            <w:pPr>
              <w:pStyle w:val="13"/>
              <w:ind w:firstLineChars="0" w:firstLine="0"/>
              <w:rPr>
                <w:sz w:val="18"/>
                <w:szCs w:val="18"/>
              </w:rPr>
            </w:pPr>
            <w:r w:rsidRPr="0000055D">
              <w:rPr>
                <w:sz w:val="18"/>
                <w:szCs w:val="18"/>
              </w:rPr>
              <w:lastRenderedPageBreak/>
              <w:t>可供出售金融资产</w:t>
            </w:r>
          </w:p>
        </w:tc>
        <w:tc>
          <w:tcPr>
            <w:tcW w:w="847" w:type="pct"/>
            <w:tcBorders>
              <w:top w:val="nil"/>
              <w:left w:val="nil"/>
              <w:bottom w:val="single" w:sz="4" w:space="0" w:color="auto"/>
              <w:right w:val="single" w:sz="4" w:space="0" w:color="auto"/>
            </w:tcBorders>
            <w:vAlign w:val="center"/>
          </w:tcPr>
          <w:p w14:paraId="5CBA4582"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71097B0B"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3C247A4"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F430EC2"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6A99FA72" w14:textId="77777777" w:rsidR="0000055D" w:rsidRPr="0000055D" w:rsidRDefault="0000055D" w:rsidP="0000055D">
            <w:pPr>
              <w:pStyle w:val="13"/>
              <w:ind w:firstLineChars="0" w:firstLine="0"/>
              <w:jc w:val="right"/>
              <w:rPr>
                <w:sz w:val="18"/>
                <w:szCs w:val="18"/>
              </w:rPr>
            </w:pPr>
          </w:p>
        </w:tc>
      </w:tr>
      <w:tr w:rsidR="0000055D" w:rsidRPr="0000055D" w14:paraId="782FBA7B"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5103BCF3" w14:textId="77777777" w:rsidR="0000055D" w:rsidRPr="0000055D" w:rsidRDefault="0000055D" w:rsidP="0000055D">
            <w:pPr>
              <w:pStyle w:val="13"/>
              <w:ind w:firstLineChars="0" w:firstLine="0"/>
              <w:rPr>
                <w:sz w:val="18"/>
                <w:szCs w:val="18"/>
              </w:rPr>
            </w:pPr>
            <w:r w:rsidRPr="0000055D">
              <w:rPr>
                <w:sz w:val="18"/>
                <w:szCs w:val="18"/>
              </w:rPr>
              <w:t>持有至到期投资</w:t>
            </w:r>
          </w:p>
        </w:tc>
        <w:tc>
          <w:tcPr>
            <w:tcW w:w="847" w:type="pct"/>
            <w:tcBorders>
              <w:top w:val="nil"/>
              <w:left w:val="nil"/>
              <w:bottom w:val="single" w:sz="4" w:space="0" w:color="auto"/>
              <w:right w:val="single" w:sz="4" w:space="0" w:color="auto"/>
            </w:tcBorders>
            <w:vAlign w:val="center"/>
          </w:tcPr>
          <w:p w14:paraId="1774A9E5"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71A67414"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9C024D2"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7B514202"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775E4FFE" w14:textId="77777777" w:rsidR="0000055D" w:rsidRPr="0000055D" w:rsidRDefault="0000055D" w:rsidP="0000055D">
            <w:pPr>
              <w:pStyle w:val="13"/>
              <w:ind w:firstLineChars="0" w:firstLine="0"/>
              <w:jc w:val="right"/>
              <w:rPr>
                <w:sz w:val="18"/>
                <w:szCs w:val="18"/>
              </w:rPr>
            </w:pPr>
          </w:p>
        </w:tc>
      </w:tr>
      <w:tr w:rsidR="0000055D" w:rsidRPr="0000055D" w14:paraId="54E8711B"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5A120096" w14:textId="77777777" w:rsidR="0000055D" w:rsidRPr="0000055D" w:rsidRDefault="0000055D" w:rsidP="0000055D">
            <w:pPr>
              <w:pStyle w:val="13"/>
              <w:ind w:firstLineChars="0" w:firstLine="0"/>
              <w:rPr>
                <w:sz w:val="18"/>
                <w:szCs w:val="18"/>
              </w:rPr>
            </w:pPr>
            <w:r w:rsidRPr="0000055D">
              <w:rPr>
                <w:sz w:val="18"/>
                <w:szCs w:val="18"/>
              </w:rPr>
              <w:t>长期股权投资</w:t>
            </w:r>
          </w:p>
        </w:tc>
        <w:tc>
          <w:tcPr>
            <w:tcW w:w="847" w:type="pct"/>
            <w:tcBorders>
              <w:top w:val="nil"/>
              <w:left w:val="nil"/>
              <w:bottom w:val="single" w:sz="4" w:space="0" w:color="auto"/>
              <w:right w:val="single" w:sz="4" w:space="0" w:color="auto"/>
            </w:tcBorders>
            <w:vAlign w:val="center"/>
          </w:tcPr>
          <w:p w14:paraId="7FAD56BA" w14:textId="77777777" w:rsidR="0000055D" w:rsidRPr="0000055D" w:rsidRDefault="0000055D" w:rsidP="0000055D">
            <w:pPr>
              <w:pStyle w:val="13"/>
              <w:ind w:firstLineChars="0" w:firstLine="0"/>
              <w:jc w:val="right"/>
              <w:rPr>
                <w:sz w:val="18"/>
                <w:szCs w:val="18"/>
              </w:rPr>
            </w:pPr>
            <w:r w:rsidRPr="0000055D">
              <w:rPr>
                <w:sz w:val="18"/>
                <w:szCs w:val="18"/>
              </w:rPr>
              <w:t>92,371.98</w:t>
            </w:r>
          </w:p>
        </w:tc>
        <w:tc>
          <w:tcPr>
            <w:tcW w:w="847" w:type="pct"/>
            <w:tcBorders>
              <w:top w:val="nil"/>
              <w:left w:val="nil"/>
              <w:bottom w:val="single" w:sz="4" w:space="0" w:color="auto"/>
              <w:right w:val="single" w:sz="4" w:space="0" w:color="auto"/>
            </w:tcBorders>
            <w:vAlign w:val="center"/>
          </w:tcPr>
          <w:p w14:paraId="37E50E6A" w14:textId="77777777" w:rsidR="0000055D" w:rsidRPr="0000055D" w:rsidRDefault="0000055D" w:rsidP="0000055D">
            <w:pPr>
              <w:pStyle w:val="13"/>
              <w:ind w:firstLineChars="0" w:firstLine="0"/>
              <w:jc w:val="right"/>
              <w:rPr>
                <w:sz w:val="18"/>
                <w:szCs w:val="18"/>
              </w:rPr>
            </w:pPr>
            <w:r w:rsidRPr="0000055D">
              <w:rPr>
                <w:sz w:val="18"/>
                <w:szCs w:val="18"/>
              </w:rPr>
              <w:t>92,371.98</w:t>
            </w:r>
          </w:p>
        </w:tc>
        <w:tc>
          <w:tcPr>
            <w:tcW w:w="847" w:type="pct"/>
            <w:tcBorders>
              <w:top w:val="nil"/>
              <w:left w:val="nil"/>
              <w:bottom w:val="single" w:sz="4" w:space="0" w:color="auto"/>
              <w:right w:val="single" w:sz="4" w:space="0" w:color="auto"/>
            </w:tcBorders>
            <w:vAlign w:val="center"/>
          </w:tcPr>
          <w:p w14:paraId="6966C143" w14:textId="77777777" w:rsidR="0000055D" w:rsidRPr="0000055D" w:rsidRDefault="0000055D" w:rsidP="0000055D">
            <w:pPr>
              <w:pStyle w:val="13"/>
              <w:ind w:firstLineChars="0" w:firstLine="0"/>
              <w:jc w:val="right"/>
              <w:rPr>
                <w:sz w:val="18"/>
                <w:szCs w:val="18"/>
              </w:rPr>
            </w:pPr>
            <w:r w:rsidRPr="0000055D">
              <w:rPr>
                <w:sz w:val="18"/>
                <w:szCs w:val="18"/>
              </w:rPr>
              <w:t>92,371.98</w:t>
            </w:r>
          </w:p>
        </w:tc>
        <w:tc>
          <w:tcPr>
            <w:tcW w:w="847" w:type="pct"/>
            <w:tcBorders>
              <w:top w:val="nil"/>
              <w:left w:val="nil"/>
              <w:bottom w:val="single" w:sz="4" w:space="0" w:color="auto"/>
              <w:right w:val="single" w:sz="4" w:space="0" w:color="auto"/>
            </w:tcBorders>
            <w:vAlign w:val="center"/>
          </w:tcPr>
          <w:p w14:paraId="26110F7E" w14:textId="77777777" w:rsidR="0000055D" w:rsidRPr="0000055D" w:rsidRDefault="0000055D" w:rsidP="0000055D">
            <w:pPr>
              <w:pStyle w:val="13"/>
              <w:ind w:firstLineChars="0" w:firstLine="0"/>
              <w:jc w:val="right"/>
              <w:rPr>
                <w:sz w:val="18"/>
                <w:szCs w:val="18"/>
              </w:rPr>
            </w:pPr>
            <w:r w:rsidRPr="0000055D">
              <w:rPr>
                <w:sz w:val="18"/>
                <w:szCs w:val="18"/>
              </w:rPr>
              <w:t>92,371.98</w:t>
            </w:r>
          </w:p>
        </w:tc>
        <w:tc>
          <w:tcPr>
            <w:tcW w:w="847" w:type="pct"/>
            <w:tcBorders>
              <w:top w:val="nil"/>
              <w:left w:val="single" w:sz="4" w:space="0" w:color="auto"/>
              <w:bottom w:val="single" w:sz="4" w:space="0" w:color="auto"/>
              <w:right w:val="single" w:sz="8" w:space="0" w:color="auto"/>
            </w:tcBorders>
            <w:vAlign w:val="center"/>
          </w:tcPr>
          <w:p w14:paraId="778C1AAE" w14:textId="77777777" w:rsidR="0000055D" w:rsidRPr="0000055D" w:rsidRDefault="0000055D" w:rsidP="0000055D">
            <w:pPr>
              <w:pStyle w:val="13"/>
              <w:ind w:firstLineChars="0" w:firstLine="0"/>
              <w:jc w:val="right"/>
              <w:rPr>
                <w:sz w:val="18"/>
                <w:szCs w:val="18"/>
              </w:rPr>
            </w:pPr>
            <w:r w:rsidRPr="0000055D">
              <w:rPr>
                <w:sz w:val="18"/>
                <w:szCs w:val="18"/>
              </w:rPr>
              <w:t>92,371.98</w:t>
            </w:r>
          </w:p>
        </w:tc>
      </w:tr>
      <w:tr w:rsidR="0000055D" w:rsidRPr="0000055D" w14:paraId="58D875AD"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74480839" w14:textId="77777777" w:rsidR="0000055D" w:rsidRPr="0000055D" w:rsidRDefault="0000055D" w:rsidP="0000055D">
            <w:pPr>
              <w:pStyle w:val="13"/>
              <w:ind w:firstLineChars="0" w:firstLine="0"/>
              <w:rPr>
                <w:sz w:val="18"/>
                <w:szCs w:val="18"/>
              </w:rPr>
            </w:pPr>
            <w:r w:rsidRPr="0000055D">
              <w:rPr>
                <w:sz w:val="18"/>
                <w:szCs w:val="18"/>
              </w:rPr>
              <w:t>应收款项类投资</w:t>
            </w:r>
          </w:p>
        </w:tc>
        <w:tc>
          <w:tcPr>
            <w:tcW w:w="847" w:type="pct"/>
            <w:tcBorders>
              <w:top w:val="nil"/>
              <w:left w:val="nil"/>
              <w:bottom w:val="single" w:sz="4" w:space="0" w:color="auto"/>
              <w:right w:val="single" w:sz="4" w:space="0" w:color="auto"/>
            </w:tcBorders>
            <w:vAlign w:val="center"/>
          </w:tcPr>
          <w:p w14:paraId="0A7076BC"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787BFE0"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4DD8A2FB"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0AF15047"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66A16625" w14:textId="77777777" w:rsidR="0000055D" w:rsidRPr="0000055D" w:rsidRDefault="0000055D" w:rsidP="0000055D">
            <w:pPr>
              <w:pStyle w:val="13"/>
              <w:ind w:firstLineChars="0" w:firstLine="0"/>
              <w:jc w:val="right"/>
              <w:rPr>
                <w:sz w:val="18"/>
                <w:szCs w:val="18"/>
              </w:rPr>
            </w:pPr>
          </w:p>
        </w:tc>
      </w:tr>
      <w:tr w:rsidR="0000055D" w:rsidRPr="0000055D" w14:paraId="4E4B79E2"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03275EB2" w14:textId="77777777" w:rsidR="0000055D" w:rsidRPr="0000055D" w:rsidRDefault="0000055D" w:rsidP="0000055D">
            <w:pPr>
              <w:pStyle w:val="13"/>
              <w:ind w:firstLineChars="0" w:firstLine="0"/>
              <w:rPr>
                <w:sz w:val="18"/>
                <w:szCs w:val="18"/>
              </w:rPr>
            </w:pPr>
            <w:r w:rsidRPr="0000055D">
              <w:rPr>
                <w:sz w:val="18"/>
                <w:szCs w:val="18"/>
              </w:rPr>
              <w:t>固定资产</w:t>
            </w:r>
          </w:p>
        </w:tc>
        <w:tc>
          <w:tcPr>
            <w:tcW w:w="847" w:type="pct"/>
            <w:tcBorders>
              <w:top w:val="nil"/>
              <w:left w:val="nil"/>
              <w:bottom w:val="single" w:sz="4" w:space="0" w:color="auto"/>
              <w:right w:val="single" w:sz="4" w:space="0" w:color="auto"/>
            </w:tcBorders>
            <w:vAlign w:val="center"/>
          </w:tcPr>
          <w:p w14:paraId="186874E9" w14:textId="77777777" w:rsidR="0000055D" w:rsidRPr="0000055D" w:rsidRDefault="0000055D" w:rsidP="0000055D">
            <w:pPr>
              <w:pStyle w:val="13"/>
              <w:ind w:firstLineChars="0" w:firstLine="0"/>
              <w:jc w:val="right"/>
              <w:rPr>
                <w:sz w:val="18"/>
                <w:szCs w:val="18"/>
              </w:rPr>
            </w:pPr>
            <w:r w:rsidRPr="0000055D">
              <w:rPr>
                <w:sz w:val="18"/>
                <w:szCs w:val="18"/>
              </w:rPr>
              <w:t>1,261,511.98</w:t>
            </w:r>
          </w:p>
        </w:tc>
        <w:tc>
          <w:tcPr>
            <w:tcW w:w="847" w:type="pct"/>
            <w:tcBorders>
              <w:top w:val="nil"/>
              <w:left w:val="nil"/>
              <w:bottom w:val="single" w:sz="4" w:space="0" w:color="auto"/>
              <w:right w:val="single" w:sz="4" w:space="0" w:color="auto"/>
            </w:tcBorders>
            <w:vAlign w:val="center"/>
          </w:tcPr>
          <w:p w14:paraId="7A59C27E" w14:textId="77777777" w:rsidR="0000055D" w:rsidRPr="0000055D" w:rsidRDefault="0000055D" w:rsidP="0000055D">
            <w:pPr>
              <w:pStyle w:val="13"/>
              <w:ind w:firstLineChars="0" w:firstLine="0"/>
              <w:jc w:val="right"/>
              <w:rPr>
                <w:sz w:val="18"/>
                <w:szCs w:val="18"/>
              </w:rPr>
            </w:pPr>
            <w:r w:rsidRPr="0000055D">
              <w:rPr>
                <w:sz w:val="18"/>
                <w:szCs w:val="18"/>
              </w:rPr>
              <w:t>1,261,511.98</w:t>
            </w:r>
          </w:p>
        </w:tc>
        <w:tc>
          <w:tcPr>
            <w:tcW w:w="847" w:type="pct"/>
            <w:tcBorders>
              <w:top w:val="nil"/>
              <w:left w:val="nil"/>
              <w:bottom w:val="single" w:sz="4" w:space="0" w:color="auto"/>
              <w:right w:val="single" w:sz="4" w:space="0" w:color="auto"/>
            </w:tcBorders>
            <w:vAlign w:val="center"/>
          </w:tcPr>
          <w:p w14:paraId="6087674A" w14:textId="77777777" w:rsidR="0000055D" w:rsidRPr="0000055D" w:rsidRDefault="0000055D" w:rsidP="0000055D">
            <w:pPr>
              <w:pStyle w:val="13"/>
              <w:ind w:firstLineChars="0" w:firstLine="0"/>
              <w:jc w:val="right"/>
              <w:rPr>
                <w:sz w:val="18"/>
                <w:szCs w:val="18"/>
              </w:rPr>
            </w:pPr>
            <w:r w:rsidRPr="0000055D">
              <w:rPr>
                <w:sz w:val="18"/>
                <w:szCs w:val="18"/>
              </w:rPr>
              <w:t>1,261,511.98</w:t>
            </w:r>
          </w:p>
        </w:tc>
        <w:tc>
          <w:tcPr>
            <w:tcW w:w="847" w:type="pct"/>
            <w:tcBorders>
              <w:top w:val="nil"/>
              <w:left w:val="nil"/>
              <w:bottom w:val="single" w:sz="4" w:space="0" w:color="auto"/>
              <w:right w:val="single" w:sz="4" w:space="0" w:color="auto"/>
            </w:tcBorders>
            <w:vAlign w:val="center"/>
          </w:tcPr>
          <w:p w14:paraId="4592641D" w14:textId="77777777" w:rsidR="0000055D" w:rsidRPr="0000055D" w:rsidRDefault="0000055D" w:rsidP="0000055D">
            <w:pPr>
              <w:pStyle w:val="13"/>
              <w:ind w:firstLineChars="0" w:firstLine="0"/>
              <w:jc w:val="right"/>
              <w:rPr>
                <w:sz w:val="18"/>
                <w:szCs w:val="18"/>
              </w:rPr>
            </w:pPr>
            <w:r w:rsidRPr="0000055D">
              <w:rPr>
                <w:sz w:val="18"/>
                <w:szCs w:val="18"/>
              </w:rPr>
              <w:t>1,261,511.98</w:t>
            </w:r>
          </w:p>
        </w:tc>
        <w:tc>
          <w:tcPr>
            <w:tcW w:w="847" w:type="pct"/>
            <w:tcBorders>
              <w:top w:val="nil"/>
              <w:left w:val="single" w:sz="4" w:space="0" w:color="auto"/>
              <w:bottom w:val="single" w:sz="4" w:space="0" w:color="auto"/>
              <w:right w:val="single" w:sz="8" w:space="0" w:color="auto"/>
            </w:tcBorders>
            <w:vAlign w:val="center"/>
          </w:tcPr>
          <w:p w14:paraId="1C178B66" w14:textId="77777777" w:rsidR="0000055D" w:rsidRPr="0000055D" w:rsidRDefault="0000055D" w:rsidP="0000055D">
            <w:pPr>
              <w:pStyle w:val="13"/>
              <w:ind w:firstLineChars="0" w:firstLine="0"/>
              <w:jc w:val="right"/>
              <w:rPr>
                <w:sz w:val="18"/>
                <w:szCs w:val="18"/>
              </w:rPr>
            </w:pPr>
            <w:r w:rsidRPr="0000055D">
              <w:rPr>
                <w:sz w:val="18"/>
                <w:szCs w:val="18"/>
              </w:rPr>
              <w:t>1,261,511.98</w:t>
            </w:r>
          </w:p>
        </w:tc>
      </w:tr>
      <w:tr w:rsidR="0000055D" w:rsidRPr="0000055D" w14:paraId="29E76B41"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408FA4EC" w14:textId="77777777" w:rsidR="0000055D" w:rsidRPr="0000055D" w:rsidRDefault="0000055D" w:rsidP="0000055D">
            <w:pPr>
              <w:pStyle w:val="13"/>
              <w:ind w:firstLineChars="0" w:firstLine="0"/>
              <w:rPr>
                <w:sz w:val="18"/>
                <w:szCs w:val="18"/>
              </w:rPr>
            </w:pPr>
            <w:r w:rsidRPr="0000055D">
              <w:rPr>
                <w:sz w:val="18"/>
                <w:szCs w:val="18"/>
              </w:rPr>
              <w:t>无形资产</w:t>
            </w:r>
          </w:p>
        </w:tc>
        <w:tc>
          <w:tcPr>
            <w:tcW w:w="847" w:type="pct"/>
            <w:tcBorders>
              <w:top w:val="nil"/>
              <w:left w:val="nil"/>
              <w:bottom w:val="single" w:sz="4" w:space="0" w:color="auto"/>
              <w:right w:val="single" w:sz="4" w:space="0" w:color="auto"/>
            </w:tcBorders>
            <w:vAlign w:val="center"/>
          </w:tcPr>
          <w:p w14:paraId="61B6D90F" w14:textId="77777777" w:rsidR="0000055D" w:rsidRPr="0000055D" w:rsidRDefault="0000055D" w:rsidP="0000055D">
            <w:pPr>
              <w:pStyle w:val="13"/>
              <w:ind w:firstLineChars="0" w:firstLine="0"/>
              <w:jc w:val="right"/>
              <w:rPr>
                <w:sz w:val="18"/>
                <w:szCs w:val="18"/>
              </w:rPr>
            </w:pPr>
            <w:r w:rsidRPr="0000055D">
              <w:rPr>
                <w:sz w:val="18"/>
                <w:szCs w:val="18"/>
              </w:rPr>
              <w:t>76,006.95</w:t>
            </w:r>
          </w:p>
        </w:tc>
        <w:tc>
          <w:tcPr>
            <w:tcW w:w="847" w:type="pct"/>
            <w:tcBorders>
              <w:top w:val="nil"/>
              <w:left w:val="nil"/>
              <w:bottom w:val="single" w:sz="4" w:space="0" w:color="auto"/>
              <w:right w:val="single" w:sz="4" w:space="0" w:color="auto"/>
            </w:tcBorders>
            <w:vAlign w:val="center"/>
          </w:tcPr>
          <w:p w14:paraId="3EB200CC" w14:textId="77777777" w:rsidR="0000055D" w:rsidRPr="0000055D" w:rsidRDefault="0000055D" w:rsidP="0000055D">
            <w:pPr>
              <w:pStyle w:val="13"/>
              <w:ind w:firstLineChars="0" w:firstLine="0"/>
              <w:jc w:val="right"/>
              <w:rPr>
                <w:sz w:val="18"/>
                <w:szCs w:val="18"/>
              </w:rPr>
            </w:pPr>
            <w:r w:rsidRPr="0000055D">
              <w:rPr>
                <w:sz w:val="18"/>
                <w:szCs w:val="18"/>
              </w:rPr>
              <w:t>76,006.95</w:t>
            </w:r>
          </w:p>
        </w:tc>
        <w:tc>
          <w:tcPr>
            <w:tcW w:w="847" w:type="pct"/>
            <w:tcBorders>
              <w:top w:val="nil"/>
              <w:left w:val="nil"/>
              <w:bottom w:val="single" w:sz="4" w:space="0" w:color="auto"/>
              <w:right w:val="single" w:sz="4" w:space="0" w:color="auto"/>
            </w:tcBorders>
            <w:vAlign w:val="center"/>
          </w:tcPr>
          <w:p w14:paraId="4DD55E9C" w14:textId="77777777" w:rsidR="0000055D" w:rsidRPr="0000055D" w:rsidRDefault="0000055D" w:rsidP="0000055D">
            <w:pPr>
              <w:pStyle w:val="13"/>
              <w:ind w:firstLineChars="0" w:firstLine="0"/>
              <w:jc w:val="right"/>
              <w:rPr>
                <w:sz w:val="18"/>
                <w:szCs w:val="18"/>
              </w:rPr>
            </w:pPr>
            <w:r w:rsidRPr="0000055D">
              <w:rPr>
                <w:sz w:val="18"/>
                <w:szCs w:val="18"/>
              </w:rPr>
              <w:t>76,006.95</w:t>
            </w:r>
          </w:p>
        </w:tc>
        <w:tc>
          <w:tcPr>
            <w:tcW w:w="847" w:type="pct"/>
            <w:tcBorders>
              <w:top w:val="nil"/>
              <w:left w:val="nil"/>
              <w:bottom w:val="single" w:sz="4" w:space="0" w:color="auto"/>
              <w:right w:val="single" w:sz="4" w:space="0" w:color="auto"/>
            </w:tcBorders>
            <w:vAlign w:val="center"/>
          </w:tcPr>
          <w:p w14:paraId="0D9B71F9" w14:textId="77777777" w:rsidR="0000055D" w:rsidRPr="0000055D" w:rsidRDefault="0000055D" w:rsidP="0000055D">
            <w:pPr>
              <w:pStyle w:val="13"/>
              <w:ind w:firstLineChars="0" w:firstLine="0"/>
              <w:jc w:val="right"/>
              <w:rPr>
                <w:sz w:val="18"/>
                <w:szCs w:val="18"/>
              </w:rPr>
            </w:pPr>
            <w:r w:rsidRPr="0000055D">
              <w:rPr>
                <w:sz w:val="18"/>
                <w:szCs w:val="18"/>
              </w:rPr>
              <w:t>76,006.95</w:t>
            </w:r>
          </w:p>
        </w:tc>
        <w:tc>
          <w:tcPr>
            <w:tcW w:w="847" w:type="pct"/>
            <w:tcBorders>
              <w:top w:val="nil"/>
              <w:left w:val="single" w:sz="4" w:space="0" w:color="auto"/>
              <w:bottom w:val="single" w:sz="4" w:space="0" w:color="auto"/>
              <w:right w:val="single" w:sz="8" w:space="0" w:color="auto"/>
            </w:tcBorders>
            <w:vAlign w:val="center"/>
          </w:tcPr>
          <w:p w14:paraId="1F701522" w14:textId="77777777" w:rsidR="0000055D" w:rsidRPr="0000055D" w:rsidRDefault="0000055D" w:rsidP="0000055D">
            <w:pPr>
              <w:pStyle w:val="13"/>
              <w:ind w:firstLineChars="0" w:firstLine="0"/>
              <w:jc w:val="right"/>
              <w:rPr>
                <w:sz w:val="18"/>
                <w:szCs w:val="18"/>
              </w:rPr>
            </w:pPr>
            <w:r w:rsidRPr="0000055D">
              <w:rPr>
                <w:sz w:val="18"/>
                <w:szCs w:val="18"/>
              </w:rPr>
              <w:t>76,006.95</w:t>
            </w:r>
          </w:p>
        </w:tc>
      </w:tr>
      <w:tr w:rsidR="0000055D" w:rsidRPr="0000055D" w14:paraId="6A385769"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2E0A7568" w14:textId="77777777" w:rsidR="0000055D" w:rsidRPr="0000055D" w:rsidRDefault="0000055D" w:rsidP="0000055D">
            <w:pPr>
              <w:pStyle w:val="13"/>
              <w:ind w:firstLineChars="0" w:firstLine="0"/>
              <w:rPr>
                <w:sz w:val="18"/>
                <w:szCs w:val="18"/>
              </w:rPr>
            </w:pPr>
            <w:r w:rsidRPr="0000055D">
              <w:rPr>
                <w:sz w:val="18"/>
                <w:szCs w:val="18"/>
              </w:rPr>
              <w:t>商誉</w:t>
            </w:r>
          </w:p>
        </w:tc>
        <w:tc>
          <w:tcPr>
            <w:tcW w:w="847" w:type="pct"/>
            <w:tcBorders>
              <w:top w:val="nil"/>
              <w:left w:val="nil"/>
              <w:bottom w:val="single" w:sz="4" w:space="0" w:color="auto"/>
              <w:right w:val="single" w:sz="4" w:space="0" w:color="auto"/>
            </w:tcBorders>
            <w:vAlign w:val="center"/>
          </w:tcPr>
          <w:p w14:paraId="6246D39F" w14:textId="77777777" w:rsidR="0000055D" w:rsidRPr="0000055D" w:rsidRDefault="0000055D" w:rsidP="0000055D">
            <w:pPr>
              <w:pStyle w:val="13"/>
              <w:ind w:firstLineChars="0" w:firstLine="0"/>
              <w:jc w:val="right"/>
              <w:rPr>
                <w:sz w:val="18"/>
                <w:szCs w:val="18"/>
              </w:rPr>
            </w:pPr>
            <w:r w:rsidRPr="0000055D">
              <w:rPr>
                <w:sz w:val="18"/>
                <w:szCs w:val="18"/>
              </w:rPr>
              <w:t>128,100.00</w:t>
            </w:r>
          </w:p>
        </w:tc>
        <w:tc>
          <w:tcPr>
            <w:tcW w:w="847" w:type="pct"/>
            <w:tcBorders>
              <w:top w:val="nil"/>
              <w:left w:val="nil"/>
              <w:bottom w:val="single" w:sz="4" w:space="0" w:color="auto"/>
              <w:right w:val="single" w:sz="4" w:space="0" w:color="auto"/>
            </w:tcBorders>
            <w:vAlign w:val="center"/>
          </w:tcPr>
          <w:p w14:paraId="5231677B" w14:textId="77777777" w:rsidR="0000055D" w:rsidRPr="0000055D" w:rsidRDefault="0000055D" w:rsidP="0000055D">
            <w:pPr>
              <w:pStyle w:val="13"/>
              <w:ind w:firstLineChars="0" w:firstLine="0"/>
              <w:jc w:val="right"/>
              <w:rPr>
                <w:sz w:val="18"/>
                <w:szCs w:val="18"/>
              </w:rPr>
            </w:pPr>
            <w:r w:rsidRPr="0000055D">
              <w:rPr>
                <w:sz w:val="18"/>
                <w:szCs w:val="18"/>
              </w:rPr>
              <w:t>128,100.00</w:t>
            </w:r>
          </w:p>
        </w:tc>
        <w:tc>
          <w:tcPr>
            <w:tcW w:w="847" w:type="pct"/>
            <w:tcBorders>
              <w:top w:val="nil"/>
              <w:left w:val="nil"/>
              <w:bottom w:val="single" w:sz="4" w:space="0" w:color="auto"/>
              <w:right w:val="single" w:sz="4" w:space="0" w:color="auto"/>
            </w:tcBorders>
            <w:vAlign w:val="center"/>
          </w:tcPr>
          <w:p w14:paraId="4C5BC907" w14:textId="77777777" w:rsidR="0000055D" w:rsidRPr="0000055D" w:rsidRDefault="0000055D" w:rsidP="0000055D">
            <w:pPr>
              <w:pStyle w:val="13"/>
              <w:ind w:firstLineChars="0" w:firstLine="0"/>
              <w:jc w:val="right"/>
              <w:rPr>
                <w:sz w:val="18"/>
                <w:szCs w:val="18"/>
              </w:rPr>
            </w:pPr>
            <w:r w:rsidRPr="0000055D">
              <w:rPr>
                <w:sz w:val="18"/>
                <w:szCs w:val="18"/>
              </w:rPr>
              <w:t>128,100.00</w:t>
            </w:r>
          </w:p>
        </w:tc>
        <w:tc>
          <w:tcPr>
            <w:tcW w:w="847" w:type="pct"/>
            <w:tcBorders>
              <w:top w:val="nil"/>
              <w:left w:val="nil"/>
              <w:bottom w:val="single" w:sz="4" w:space="0" w:color="auto"/>
              <w:right w:val="single" w:sz="4" w:space="0" w:color="auto"/>
            </w:tcBorders>
            <w:vAlign w:val="center"/>
          </w:tcPr>
          <w:p w14:paraId="783BE83B" w14:textId="77777777" w:rsidR="0000055D" w:rsidRPr="0000055D" w:rsidRDefault="0000055D" w:rsidP="0000055D">
            <w:pPr>
              <w:pStyle w:val="13"/>
              <w:ind w:firstLineChars="0" w:firstLine="0"/>
              <w:jc w:val="right"/>
              <w:rPr>
                <w:sz w:val="18"/>
                <w:szCs w:val="18"/>
              </w:rPr>
            </w:pPr>
            <w:r w:rsidRPr="0000055D">
              <w:rPr>
                <w:sz w:val="18"/>
                <w:szCs w:val="18"/>
              </w:rPr>
              <w:t>128,100.00</w:t>
            </w:r>
          </w:p>
        </w:tc>
        <w:tc>
          <w:tcPr>
            <w:tcW w:w="847" w:type="pct"/>
            <w:tcBorders>
              <w:top w:val="nil"/>
              <w:left w:val="single" w:sz="4" w:space="0" w:color="auto"/>
              <w:bottom w:val="single" w:sz="4" w:space="0" w:color="auto"/>
              <w:right w:val="single" w:sz="8" w:space="0" w:color="auto"/>
            </w:tcBorders>
            <w:vAlign w:val="center"/>
          </w:tcPr>
          <w:p w14:paraId="2D4925B5" w14:textId="77777777" w:rsidR="0000055D" w:rsidRPr="0000055D" w:rsidRDefault="0000055D" w:rsidP="0000055D">
            <w:pPr>
              <w:pStyle w:val="13"/>
              <w:ind w:firstLineChars="0" w:firstLine="0"/>
              <w:jc w:val="right"/>
              <w:rPr>
                <w:sz w:val="18"/>
                <w:szCs w:val="18"/>
              </w:rPr>
            </w:pPr>
            <w:r w:rsidRPr="0000055D">
              <w:rPr>
                <w:sz w:val="18"/>
                <w:szCs w:val="18"/>
              </w:rPr>
              <w:t>128,100.00</w:t>
            </w:r>
          </w:p>
        </w:tc>
      </w:tr>
      <w:tr w:rsidR="0000055D" w:rsidRPr="0000055D" w14:paraId="0DC8E790"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0E7E3C00" w14:textId="77777777" w:rsidR="0000055D" w:rsidRPr="0000055D" w:rsidRDefault="0000055D" w:rsidP="0000055D">
            <w:pPr>
              <w:pStyle w:val="13"/>
              <w:ind w:firstLineChars="0" w:firstLine="0"/>
              <w:rPr>
                <w:sz w:val="18"/>
                <w:szCs w:val="18"/>
              </w:rPr>
            </w:pPr>
            <w:r w:rsidRPr="0000055D">
              <w:rPr>
                <w:sz w:val="18"/>
                <w:szCs w:val="18"/>
              </w:rPr>
              <w:t>递延所得税资产</w:t>
            </w:r>
          </w:p>
        </w:tc>
        <w:tc>
          <w:tcPr>
            <w:tcW w:w="847" w:type="pct"/>
            <w:tcBorders>
              <w:top w:val="nil"/>
              <w:left w:val="nil"/>
              <w:bottom w:val="single" w:sz="4" w:space="0" w:color="auto"/>
              <w:right w:val="single" w:sz="4" w:space="0" w:color="auto"/>
            </w:tcBorders>
            <w:vAlign w:val="center"/>
          </w:tcPr>
          <w:p w14:paraId="1BD09236" w14:textId="77777777" w:rsidR="0000055D" w:rsidRPr="0000055D" w:rsidRDefault="0000055D" w:rsidP="0000055D">
            <w:pPr>
              <w:pStyle w:val="13"/>
              <w:ind w:firstLineChars="0" w:firstLine="0"/>
              <w:jc w:val="right"/>
              <w:rPr>
                <w:sz w:val="18"/>
                <w:szCs w:val="18"/>
              </w:rPr>
            </w:pPr>
            <w:r w:rsidRPr="0000055D">
              <w:rPr>
                <w:sz w:val="18"/>
                <w:szCs w:val="18"/>
              </w:rPr>
              <w:t>395,466.34</w:t>
            </w:r>
          </w:p>
        </w:tc>
        <w:tc>
          <w:tcPr>
            <w:tcW w:w="847" w:type="pct"/>
            <w:tcBorders>
              <w:top w:val="nil"/>
              <w:left w:val="nil"/>
              <w:bottom w:val="single" w:sz="4" w:space="0" w:color="auto"/>
              <w:right w:val="single" w:sz="4" w:space="0" w:color="auto"/>
            </w:tcBorders>
            <w:vAlign w:val="center"/>
          </w:tcPr>
          <w:p w14:paraId="2B85DCAA" w14:textId="77777777" w:rsidR="0000055D" w:rsidRPr="0000055D" w:rsidRDefault="0000055D" w:rsidP="0000055D">
            <w:pPr>
              <w:pStyle w:val="13"/>
              <w:ind w:firstLineChars="0" w:firstLine="0"/>
              <w:jc w:val="right"/>
              <w:rPr>
                <w:sz w:val="18"/>
                <w:szCs w:val="18"/>
              </w:rPr>
            </w:pPr>
            <w:r w:rsidRPr="0000055D">
              <w:rPr>
                <w:sz w:val="18"/>
                <w:szCs w:val="18"/>
              </w:rPr>
              <w:t>395,466.34</w:t>
            </w:r>
          </w:p>
        </w:tc>
        <w:tc>
          <w:tcPr>
            <w:tcW w:w="847" w:type="pct"/>
            <w:tcBorders>
              <w:top w:val="nil"/>
              <w:left w:val="nil"/>
              <w:bottom w:val="single" w:sz="4" w:space="0" w:color="auto"/>
              <w:right w:val="single" w:sz="4" w:space="0" w:color="auto"/>
            </w:tcBorders>
            <w:vAlign w:val="center"/>
          </w:tcPr>
          <w:p w14:paraId="496F1E54" w14:textId="77777777" w:rsidR="0000055D" w:rsidRPr="0000055D" w:rsidRDefault="0000055D" w:rsidP="0000055D">
            <w:pPr>
              <w:pStyle w:val="13"/>
              <w:ind w:firstLineChars="0" w:firstLine="0"/>
              <w:jc w:val="right"/>
              <w:rPr>
                <w:sz w:val="18"/>
                <w:szCs w:val="18"/>
              </w:rPr>
            </w:pPr>
            <w:r w:rsidRPr="0000055D">
              <w:rPr>
                <w:sz w:val="18"/>
                <w:szCs w:val="18"/>
              </w:rPr>
              <w:t>395,466.34</w:t>
            </w:r>
          </w:p>
        </w:tc>
        <w:tc>
          <w:tcPr>
            <w:tcW w:w="847" w:type="pct"/>
            <w:tcBorders>
              <w:top w:val="nil"/>
              <w:left w:val="nil"/>
              <w:bottom w:val="single" w:sz="4" w:space="0" w:color="auto"/>
              <w:right w:val="single" w:sz="4" w:space="0" w:color="auto"/>
            </w:tcBorders>
            <w:vAlign w:val="center"/>
          </w:tcPr>
          <w:p w14:paraId="46EB5BAD" w14:textId="77777777" w:rsidR="0000055D" w:rsidRPr="0000055D" w:rsidRDefault="0000055D" w:rsidP="0000055D">
            <w:pPr>
              <w:pStyle w:val="13"/>
              <w:ind w:firstLineChars="0" w:firstLine="0"/>
              <w:jc w:val="right"/>
              <w:rPr>
                <w:sz w:val="18"/>
                <w:szCs w:val="18"/>
              </w:rPr>
            </w:pPr>
            <w:r w:rsidRPr="0000055D">
              <w:rPr>
                <w:sz w:val="18"/>
                <w:szCs w:val="18"/>
              </w:rPr>
              <w:t>395,466.34</w:t>
            </w:r>
          </w:p>
        </w:tc>
        <w:tc>
          <w:tcPr>
            <w:tcW w:w="847" w:type="pct"/>
            <w:tcBorders>
              <w:top w:val="nil"/>
              <w:left w:val="single" w:sz="4" w:space="0" w:color="auto"/>
              <w:bottom w:val="single" w:sz="4" w:space="0" w:color="auto"/>
              <w:right w:val="single" w:sz="8" w:space="0" w:color="auto"/>
            </w:tcBorders>
            <w:vAlign w:val="center"/>
          </w:tcPr>
          <w:p w14:paraId="4E28C98C" w14:textId="77777777" w:rsidR="0000055D" w:rsidRPr="0000055D" w:rsidRDefault="0000055D" w:rsidP="0000055D">
            <w:pPr>
              <w:pStyle w:val="13"/>
              <w:ind w:firstLineChars="0" w:firstLine="0"/>
              <w:jc w:val="right"/>
              <w:rPr>
                <w:sz w:val="18"/>
                <w:szCs w:val="18"/>
              </w:rPr>
            </w:pPr>
            <w:r w:rsidRPr="0000055D">
              <w:rPr>
                <w:sz w:val="18"/>
                <w:szCs w:val="18"/>
              </w:rPr>
              <w:t>395,466.34</w:t>
            </w:r>
          </w:p>
        </w:tc>
      </w:tr>
      <w:tr w:rsidR="0000055D" w:rsidRPr="0000055D" w14:paraId="46ADEB9A"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6F6841C5" w14:textId="77777777" w:rsidR="0000055D" w:rsidRPr="0000055D" w:rsidRDefault="0000055D" w:rsidP="0000055D">
            <w:pPr>
              <w:pStyle w:val="13"/>
              <w:ind w:firstLineChars="0" w:firstLine="0"/>
              <w:rPr>
                <w:sz w:val="18"/>
                <w:szCs w:val="18"/>
              </w:rPr>
            </w:pPr>
            <w:r w:rsidRPr="0000055D">
              <w:rPr>
                <w:sz w:val="18"/>
                <w:szCs w:val="18"/>
              </w:rPr>
              <w:t>投资性房地产</w:t>
            </w:r>
          </w:p>
        </w:tc>
        <w:tc>
          <w:tcPr>
            <w:tcW w:w="847" w:type="pct"/>
            <w:tcBorders>
              <w:top w:val="nil"/>
              <w:left w:val="nil"/>
              <w:bottom w:val="single" w:sz="4" w:space="0" w:color="auto"/>
              <w:right w:val="single" w:sz="4" w:space="0" w:color="auto"/>
            </w:tcBorders>
            <w:vAlign w:val="center"/>
          </w:tcPr>
          <w:p w14:paraId="0DB02731"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39DC49C2"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530671D7"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394A2131"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6BE837B4" w14:textId="77777777" w:rsidR="0000055D" w:rsidRPr="0000055D" w:rsidRDefault="0000055D" w:rsidP="0000055D">
            <w:pPr>
              <w:pStyle w:val="13"/>
              <w:ind w:firstLineChars="0" w:firstLine="0"/>
              <w:jc w:val="right"/>
              <w:rPr>
                <w:sz w:val="18"/>
                <w:szCs w:val="18"/>
              </w:rPr>
            </w:pPr>
          </w:p>
        </w:tc>
      </w:tr>
      <w:tr w:rsidR="0000055D" w:rsidRPr="0000055D" w14:paraId="446BD768"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19344C7D" w14:textId="77777777" w:rsidR="0000055D" w:rsidRPr="0000055D" w:rsidRDefault="0000055D" w:rsidP="0000055D">
            <w:pPr>
              <w:pStyle w:val="13"/>
              <w:ind w:firstLineChars="0" w:firstLine="0"/>
              <w:rPr>
                <w:sz w:val="18"/>
                <w:szCs w:val="18"/>
              </w:rPr>
            </w:pPr>
            <w:r w:rsidRPr="0000055D">
              <w:rPr>
                <w:sz w:val="18"/>
                <w:szCs w:val="18"/>
              </w:rPr>
              <w:t>其他资产</w:t>
            </w:r>
          </w:p>
        </w:tc>
        <w:tc>
          <w:tcPr>
            <w:tcW w:w="847" w:type="pct"/>
            <w:tcBorders>
              <w:top w:val="nil"/>
              <w:left w:val="nil"/>
              <w:bottom w:val="single" w:sz="4" w:space="0" w:color="auto"/>
              <w:right w:val="single" w:sz="4" w:space="0" w:color="auto"/>
            </w:tcBorders>
            <w:vAlign w:val="center"/>
          </w:tcPr>
          <w:p w14:paraId="06670D36" w14:textId="77777777" w:rsidR="0000055D" w:rsidRPr="0000055D" w:rsidRDefault="0000055D" w:rsidP="0000055D">
            <w:pPr>
              <w:pStyle w:val="13"/>
              <w:ind w:firstLineChars="0" w:firstLine="0"/>
              <w:jc w:val="right"/>
              <w:rPr>
                <w:sz w:val="18"/>
                <w:szCs w:val="18"/>
              </w:rPr>
            </w:pPr>
            <w:r w:rsidRPr="0000055D">
              <w:rPr>
                <w:sz w:val="18"/>
                <w:szCs w:val="18"/>
              </w:rPr>
              <w:t>5,668,302.99</w:t>
            </w:r>
          </w:p>
        </w:tc>
        <w:tc>
          <w:tcPr>
            <w:tcW w:w="847" w:type="pct"/>
            <w:tcBorders>
              <w:top w:val="nil"/>
              <w:left w:val="nil"/>
              <w:bottom w:val="single" w:sz="4" w:space="0" w:color="auto"/>
              <w:right w:val="single" w:sz="4" w:space="0" w:color="auto"/>
            </w:tcBorders>
            <w:vAlign w:val="center"/>
          </w:tcPr>
          <w:p w14:paraId="3A729421" w14:textId="77777777" w:rsidR="0000055D" w:rsidRPr="0000055D" w:rsidRDefault="0000055D" w:rsidP="0000055D">
            <w:pPr>
              <w:pStyle w:val="13"/>
              <w:ind w:firstLineChars="0" w:firstLine="0"/>
              <w:jc w:val="right"/>
              <w:rPr>
                <w:sz w:val="18"/>
                <w:szCs w:val="18"/>
              </w:rPr>
            </w:pPr>
            <w:r w:rsidRPr="0000055D">
              <w:rPr>
                <w:sz w:val="18"/>
                <w:szCs w:val="18"/>
              </w:rPr>
              <w:t>5,668,302.99</w:t>
            </w:r>
          </w:p>
        </w:tc>
        <w:tc>
          <w:tcPr>
            <w:tcW w:w="847" w:type="pct"/>
            <w:tcBorders>
              <w:top w:val="nil"/>
              <w:left w:val="nil"/>
              <w:bottom w:val="single" w:sz="4" w:space="0" w:color="auto"/>
              <w:right w:val="single" w:sz="4" w:space="0" w:color="auto"/>
            </w:tcBorders>
            <w:vAlign w:val="center"/>
          </w:tcPr>
          <w:p w14:paraId="58A982B7" w14:textId="77777777" w:rsidR="0000055D" w:rsidRPr="0000055D" w:rsidRDefault="0000055D" w:rsidP="0000055D">
            <w:pPr>
              <w:pStyle w:val="13"/>
              <w:ind w:firstLineChars="0" w:firstLine="0"/>
              <w:jc w:val="right"/>
              <w:rPr>
                <w:sz w:val="18"/>
                <w:szCs w:val="18"/>
              </w:rPr>
            </w:pPr>
            <w:r w:rsidRPr="0000055D">
              <w:rPr>
                <w:sz w:val="18"/>
                <w:szCs w:val="18"/>
              </w:rPr>
              <w:t>5,668,302.99</w:t>
            </w:r>
          </w:p>
        </w:tc>
        <w:tc>
          <w:tcPr>
            <w:tcW w:w="847" w:type="pct"/>
            <w:tcBorders>
              <w:top w:val="nil"/>
              <w:left w:val="nil"/>
              <w:bottom w:val="single" w:sz="4" w:space="0" w:color="auto"/>
              <w:right w:val="single" w:sz="4" w:space="0" w:color="auto"/>
            </w:tcBorders>
            <w:vAlign w:val="center"/>
          </w:tcPr>
          <w:p w14:paraId="7A088051" w14:textId="77777777" w:rsidR="0000055D" w:rsidRPr="0000055D" w:rsidRDefault="0000055D" w:rsidP="0000055D">
            <w:pPr>
              <w:pStyle w:val="13"/>
              <w:ind w:firstLineChars="0" w:firstLine="0"/>
              <w:jc w:val="right"/>
              <w:rPr>
                <w:sz w:val="18"/>
                <w:szCs w:val="18"/>
              </w:rPr>
            </w:pPr>
            <w:r w:rsidRPr="0000055D">
              <w:rPr>
                <w:sz w:val="18"/>
                <w:szCs w:val="18"/>
              </w:rPr>
              <w:t>5,668,302.99</w:t>
            </w:r>
          </w:p>
        </w:tc>
        <w:tc>
          <w:tcPr>
            <w:tcW w:w="847" w:type="pct"/>
            <w:tcBorders>
              <w:top w:val="nil"/>
              <w:left w:val="single" w:sz="4" w:space="0" w:color="auto"/>
              <w:bottom w:val="single" w:sz="4" w:space="0" w:color="auto"/>
              <w:right w:val="single" w:sz="8" w:space="0" w:color="auto"/>
            </w:tcBorders>
            <w:vAlign w:val="center"/>
          </w:tcPr>
          <w:p w14:paraId="332F9B76" w14:textId="77777777" w:rsidR="0000055D" w:rsidRPr="0000055D" w:rsidRDefault="0000055D" w:rsidP="0000055D">
            <w:pPr>
              <w:pStyle w:val="13"/>
              <w:ind w:firstLineChars="0" w:firstLine="0"/>
              <w:jc w:val="right"/>
              <w:rPr>
                <w:sz w:val="18"/>
                <w:szCs w:val="18"/>
              </w:rPr>
            </w:pPr>
            <w:r w:rsidRPr="0000055D">
              <w:rPr>
                <w:sz w:val="18"/>
                <w:szCs w:val="18"/>
              </w:rPr>
              <w:t>5,668,302.99</w:t>
            </w:r>
          </w:p>
        </w:tc>
      </w:tr>
      <w:tr w:rsidR="0000055D" w:rsidRPr="0000055D" w14:paraId="73882E21" w14:textId="77777777" w:rsidTr="0000055D">
        <w:trPr>
          <w:trHeight w:val="285"/>
        </w:trPr>
        <w:tc>
          <w:tcPr>
            <w:tcW w:w="763" w:type="pct"/>
            <w:tcBorders>
              <w:top w:val="nil"/>
              <w:left w:val="single" w:sz="8" w:space="0" w:color="auto"/>
              <w:bottom w:val="single" w:sz="4" w:space="0" w:color="auto"/>
              <w:right w:val="single" w:sz="4" w:space="0" w:color="auto"/>
            </w:tcBorders>
            <w:vAlign w:val="center"/>
          </w:tcPr>
          <w:p w14:paraId="78338CF1" w14:textId="77777777" w:rsidR="0000055D" w:rsidRPr="0000055D" w:rsidRDefault="0000055D" w:rsidP="0000055D">
            <w:pPr>
              <w:pStyle w:val="13"/>
              <w:ind w:firstLineChars="0" w:firstLine="0"/>
              <w:rPr>
                <w:sz w:val="18"/>
                <w:szCs w:val="18"/>
              </w:rPr>
            </w:pPr>
            <w:r w:rsidRPr="0000055D">
              <w:rPr>
                <w:sz w:val="18"/>
                <w:szCs w:val="18"/>
              </w:rPr>
              <w:t>资产总计</w:t>
            </w:r>
          </w:p>
        </w:tc>
        <w:tc>
          <w:tcPr>
            <w:tcW w:w="847" w:type="pct"/>
            <w:tcBorders>
              <w:top w:val="nil"/>
              <w:left w:val="nil"/>
              <w:bottom w:val="single" w:sz="4" w:space="0" w:color="auto"/>
              <w:right w:val="single" w:sz="4" w:space="0" w:color="auto"/>
            </w:tcBorders>
            <w:vAlign w:val="center"/>
          </w:tcPr>
          <w:p w14:paraId="6CB2E36C" w14:textId="77777777" w:rsidR="0000055D" w:rsidRPr="0000055D" w:rsidRDefault="0000055D" w:rsidP="0000055D">
            <w:pPr>
              <w:pStyle w:val="13"/>
              <w:ind w:firstLineChars="0" w:firstLine="0"/>
              <w:jc w:val="right"/>
              <w:rPr>
                <w:sz w:val="18"/>
                <w:szCs w:val="18"/>
              </w:rPr>
            </w:pPr>
            <w:r w:rsidRPr="0000055D">
              <w:rPr>
                <w:sz w:val="18"/>
                <w:szCs w:val="18"/>
              </w:rPr>
              <w:t>263,505,700.18</w:t>
            </w:r>
          </w:p>
        </w:tc>
        <w:tc>
          <w:tcPr>
            <w:tcW w:w="847" w:type="pct"/>
            <w:tcBorders>
              <w:top w:val="nil"/>
              <w:left w:val="nil"/>
              <w:bottom w:val="single" w:sz="4" w:space="0" w:color="auto"/>
              <w:right w:val="single" w:sz="4" w:space="0" w:color="auto"/>
            </w:tcBorders>
            <w:vAlign w:val="center"/>
          </w:tcPr>
          <w:p w14:paraId="25CB9967" w14:textId="77777777" w:rsidR="0000055D" w:rsidRPr="0000055D" w:rsidRDefault="0000055D" w:rsidP="0000055D">
            <w:pPr>
              <w:pStyle w:val="13"/>
              <w:ind w:firstLineChars="0" w:firstLine="0"/>
              <w:jc w:val="right"/>
              <w:rPr>
                <w:sz w:val="18"/>
                <w:szCs w:val="18"/>
              </w:rPr>
            </w:pPr>
            <w:r w:rsidRPr="0000055D">
              <w:rPr>
                <w:sz w:val="18"/>
                <w:szCs w:val="18"/>
              </w:rPr>
              <w:t>290,195,164.71</w:t>
            </w:r>
          </w:p>
        </w:tc>
        <w:tc>
          <w:tcPr>
            <w:tcW w:w="847" w:type="pct"/>
            <w:tcBorders>
              <w:top w:val="nil"/>
              <w:left w:val="nil"/>
              <w:bottom w:val="single" w:sz="4" w:space="0" w:color="auto"/>
              <w:right w:val="single" w:sz="4" w:space="0" w:color="auto"/>
            </w:tcBorders>
            <w:vAlign w:val="center"/>
          </w:tcPr>
          <w:p w14:paraId="0EC8BEF1" w14:textId="77777777" w:rsidR="0000055D" w:rsidRPr="0000055D" w:rsidRDefault="0000055D" w:rsidP="0000055D">
            <w:pPr>
              <w:pStyle w:val="13"/>
              <w:ind w:firstLineChars="0" w:firstLine="0"/>
              <w:jc w:val="right"/>
              <w:rPr>
                <w:sz w:val="18"/>
                <w:szCs w:val="18"/>
              </w:rPr>
            </w:pPr>
            <w:r w:rsidRPr="0000055D">
              <w:rPr>
                <w:sz w:val="18"/>
                <w:szCs w:val="18"/>
              </w:rPr>
              <w:t>319,701,353.96</w:t>
            </w:r>
          </w:p>
        </w:tc>
        <w:tc>
          <w:tcPr>
            <w:tcW w:w="847" w:type="pct"/>
            <w:tcBorders>
              <w:top w:val="nil"/>
              <w:left w:val="nil"/>
              <w:bottom w:val="single" w:sz="4" w:space="0" w:color="auto"/>
              <w:right w:val="single" w:sz="4" w:space="0" w:color="auto"/>
            </w:tcBorders>
            <w:vAlign w:val="center"/>
          </w:tcPr>
          <w:p w14:paraId="4651D1B5" w14:textId="77777777" w:rsidR="0000055D" w:rsidRPr="0000055D" w:rsidRDefault="0000055D" w:rsidP="0000055D">
            <w:pPr>
              <w:pStyle w:val="13"/>
              <w:ind w:firstLineChars="0" w:firstLine="0"/>
              <w:jc w:val="right"/>
              <w:rPr>
                <w:sz w:val="18"/>
                <w:szCs w:val="18"/>
              </w:rPr>
            </w:pPr>
            <w:r w:rsidRPr="0000055D">
              <w:rPr>
                <w:sz w:val="18"/>
                <w:szCs w:val="18"/>
              </w:rPr>
              <w:t>349,120,579.46</w:t>
            </w:r>
          </w:p>
        </w:tc>
        <w:tc>
          <w:tcPr>
            <w:tcW w:w="847" w:type="pct"/>
            <w:tcBorders>
              <w:top w:val="nil"/>
              <w:left w:val="single" w:sz="4" w:space="0" w:color="auto"/>
              <w:bottom w:val="single" w:sz="4" w:space="0" w:color="auto"/>
              <w:right w:val="single" w:sz="8" w:space="0" w:color="auto"/>
            </w:tcBorders>
            <w:vAlign w:val="center"/>
          </w:tcPr>
          <w:p w14:paraId="4BE6E266" w14:textId="77777777" w:rsidR="0000055D" w:rsidRPr="0000055D" w:rsidRDefault="0000055D" w:rsidP="0000055D">
            <w:pPr>
              <w:pStyle w:val="13"/>
              <w:ind w:firstLineChars="0" w:firstLine="0"/>
              <w:jc w:val="right"/>
              <w:rPr>
                <w:sz w:val="18"/>
                <w:szCs w:val="18"/>
              </w:rPr>
            </w:pPr>
            <w:r w:rsidRPr="0000055D">
              <w:rPr>
                <w:sz w:val="18"/>
                <w:szCs w:val="18"/>
              </w:rPr>
              <w:t>377,776,029.41</w:t>
            </w:r>
          </w:p>
        </w:tc>
      </w:tr>
      <w:tr w:rsidR="0000055D" w:rsidRPr="0000055D" w14:paraId="03BE0840" w14:textId="77777777" w:rsidTr="0000055D">
        <w:trPr>
          <w:trHeight w:val="285"/>
        </w:trPr>
        <w:tc>
          <w:tcPr>
            <w:tcW w:w="763" w:type="pct"/>
            <w:tcBorders>
              <w:top w:val="nil"/>
              <w:left w:val="single" w:sz="8" w:space="0" w:color="auto"/>
              <w:bottom w:val="single" w:sz="4" w:space="0" w:color="auto"/>
              <w:right w:val="single" w:sz="4" w:space="0" w:color="auto"/>
            </w:tcBorders>
            <w:vAlign w:val="center"/>
          </w:tcPr>
          <w:p w14:paraId="4A5EA857" w14:textId="77777777" w:rsidR="0000055D" w:rsidRPr="0000055D" w:rsidRDefault="0000055D" w:rsidP="0000055D">
            <w:pPr>
              <w:pStyle w:val="13"/>
              <w:ind w:firstLineChars="0" w:firstLine="0"/>
              <w:rPr>
                <w:sz w:val="18"/>
                <w:szCs w:val="18"/>
              </w:rPr>
            </w:pPr>
            <w:r w:rsidRPr="0000055D">
              <w:rPr>
                <w:sz w:val="18"/>
                <w:szCs w:val="18"/>
              </w:rPr>
              <w:t>负债和股东权益</w:t>
            </w:r>
          </w:p>
        </w:tc>
        <w:tc>
          <w:tcPr>
            <w:tcW w:w="847" w:type="pct"/>
            <w:tcBorders>
              <w:top w:val="nil"/>
              <w:left w:val="nil"/>
              <w:bottom w:val="single" w:sz="4" w:space="0" w:color="auto"/>
              <w:right w:val="single" w:sz="4" w:space="0" w:color="auto"/>
            </w:tcBorders>
            <w:vAlign w:val="center"/>
          </w:tcPr>
          <w:p w14:paraId="2C6CF14A"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6A717BFF"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EAED6DB"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347554A5"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143D038E" w14:textId="77777777" w:rsidR="0000055D" w:rsidRPr="0000055D" w:rsidRDefault="0000055D" w:rsidP="0000055D">
            <w:pPr>
              <w:pStyle w:val="13"/>
              <w:ind w:firstLineChars="0" w:firstLine="0"/>
              <w:jc w:val="right"/>
              <w:rPr>
                <w:sz w:val="18"/>
                <w:szCs w:val="18"/>
              </w:rPr>
            </w:pPr>
          </w:p>
        </w:tc>
      </w:tr>
      <w:tr w:rsidR="0000055D" w:rsidRPr="0000055D" w14:paraId="02616C00" w14:textId="77777777" w:rsidTr="0000055D">
        <w:trPr>
          <w:trHeight w:val="285"/>
        </w:trPr>
        <w:tc>
          <w:tcPr>
            <w:tcW w:w="763" w:type="pct"/>
            <w:tcBorders>
              <w:top w:val="nil"/>
              <w:left w:val="single" w:sz="8" w:space="0" w:color="auto"/>
              <w:bottom w:val="single" w:sz="4" w:space="0" w:color="auto"/>
              <w:right w:val="single" w:sz="4" w:space="0" w:color="auto"/>
            </w:tcBorders>
            <w:vAlign w:val="center"/>
          </w:tcPr>
          <w:p w14:paraId="2C4F326D" w14:textId="77777777" w:rsidR="0000055D" w:rsidRPr="0000055D" w:rsidRDefault="0000055D" w:rsidP="0000055D">
            <w:pPr>
              <w:pStyle w:val="13"/>
              <w:ind w:firstLineChars="0" w:firstLine="0"/>
              <w:rPr>
                <w:sz w:val="18"/>
                <w:szCs w:val="18"/>
              </w:rPr>
            </w:pPr>
            <w:r w:rsidRPr="0000055D">
              <w:rPr>
                <w:sz w:val="18"/>
                <w:szCs w:val="18"/>
              </w:rPr>
              <w:t>负债</w:t>
            </w:r>
          </w:p>
        </w:tc>
        <w:tc>
          <w:tcPr>
            <w:tcW w:w="847" w:type="pct"/>
            <w:tcBorders>
              <w:top w:val="nil"/>
              <w:left w:val="nil"/>
              <w:bottom w:val="single" w:sz="4" w:space="0" w:color="auto"/>
              <w:right w:val="single" w:sz="4" w:space="0" w:color="auto"/>
            </w:tcBorders>
            <w:vAlign w:val="center"/>
          </w:tcPr>
          <w:p w14:paraId="754E5BC2"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5A230B59"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0D774880"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342510F2"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0D07E178" w14:textId="77777777" w:rsidR="0000055D" w:rsidRPr="0000055D" w:rsidRDefault="0000055D" w:rsidP="0000055D">
            <w:pPr>
              <w:pStyle w:val="13"/>
              <w:ind w:firstLineChars="0" w:firstLine="0"/>
              <w:jc w:val="right"/>
              <w:rPr>
                <w:sz w:val="18"/>
                <w:szCs w:val="18"/>
              </w:rPr>
            </w:pPr>
          </w:p>
        </w:tc>
      </w:tr>
      <w:tr w:rsidR="0000055D" w:rsidRPr="0000055D" w14:paraId="35BDE97B" w14:textId="77777777" w:rsidTr="0000055D">
        <w:trPr>
          <w:trHeight w:val="315"/>
        </w:trPr>
        <w:tc>
          <w:tcPr>
            <w:tcW w:w="763" w:type="pct"/>
            <w:tcBorders>
              <w:top w:val="nil"/>
              <w:left w:val="single" w:sz="8" w:space="0" w:color="auto"/>
              <w:bottom w:val="single" w:sz="4" w:space="0" w:color="auto"/>
              <w:right w:val="single" w:sz="4" w:space="0" w:color="auto"/>
            </w:tcBorders>
            <w:vAlign w:val="center"/>
          </w:tcPr>
          <w:p w14:paraId="6E78E056" w14:textId="77777777" w:rsidR="0000055D" w:rsidRPr="0000055D" w:rsidRDefault="0000055D" w:rsidP="0000055D">
            <w:pPr>
              <w:pStyle w:val="13"/>
              <w:ind w:firstLineChars="0" w:firstLine="0"/>
              <w:rPr>
                <w:sz w:val="18"/>
                <w:szCs w:val="18"/>
              </w:rPr>
            </w:pPr>
            <w:r w:rsidRPr="0000055D">
              <w:rPr>
                <w:sz w:val="18"/>
                <w:szCs w:val="18"/>
              </w:rPr>
              <w:t>同业及其他金融机构存放款项</w:t>
            </w:r>
          </w:p>
        </w:tc>
        <w:tc>
          <w:tcPr>
            <w:tcW w:w="847" w:type="pct"/>
            <w:tcBorders>
              <w:top w:val="nil"/>
              <w:left w:val="nil"/>
              <w:bottom w:val="single" w:sz="4" w:space="0" w:color="auto"/>
              <w:right w:val="single" w:sz="4" w:space="0" w:color="auto"/>
            </w:tcBorders>
            <w:vAlign w:val="center"/>
          </w:tcPr>
          <w:p w14:paraId="2E43471F" w14:textId="77777777" w:rsidR="0000055D" w:rsidRPr="0000055D" w:rsidRDefault="0000055D" w:rsidP="0000055D">
            <w:pPr>
              <w:pStyle w:val="13"/>
              <w:ind w:firstLineChars="0" w:firstLine="0"/>
              <w:jc w:val="right"/>
              <w:rPr>
                <w:sz w:val="18"/>
                <w:szCs w:val="18"/>
              </w:rPr>
            </w:pPr>
            <w:r w:rsidRPr="0000055D">
              <w:rPr>
                <w:sz w:val="18"/>
                <w:szCs w:val="18"/>
              </w:rPr>
              <w:t>59,515,696.67</w:t>
            </w:r>
          </w:p>
        </w:tc>
        <w:tc>
          <w:tcPr>
            <w:tcW w:w="847" w:type="pct"/>
            <w:tcBorders>
              <w:top w:val="nil"/>
              <w:left w:val="nil"/>
              <w:bottom w:val="single" w:sz="4" w:space="0" w:color="auto"/>
              <w:right w:val="single" w:sz="4" w:space="0" w:color="auto"/>
            </w:tcBorders>
            <w:vAlign w:val="center"/>
          </w:tcPr>
          <w:p w14:paraId="660C2ED3" w14:textId="77777777" w:rsidR="0000055D" w:rsidRPr="0000055D" w:rsidRDefault="0000055D" w:rsidP="0000055D">
            <w:pPr>
              <w:pStyle w:val="13"/>
              <w:ind w:firstLineChars="0" w:firstLine="0"/>
              <w:jc w:val="right"/>
              <w:rPr>
                <w:sz w:val="18"/>
                <w:szCs w:val="18"/>
              </w:rPr>
            </w:pPr>
            <w:r w:rsidRPr="0000055D">
              <w:rPr>
                <w:sz w:val="18"/>
                <w:szCs w:val="18"/>
              </w:rPr>
              <w:t>65,467,307.61</w:t>
            </w:r>
          </w:p>
        </w:tc>
        <w:tc>
          <w:tcPr>
            <w:tcW w:w="847" w:type="pct"/>
            <w:tcBorders>
              <w:top w:val="nil"/>
              <w:left w:val="nil"/>
              <w:bottom w:val="single" w:sz="4" w:space="0" w:color="auto"/>
              <w:right w:val="single" w:sz="4" w:space="0" w:color="auto"/>
            </w:tcBorders>
            <w:vAlign w:val="center"/>
          </w:tcPr>
          <w:p w14:paraId="7C6D4830" w14:textId="77777777" w:rsidR="0000055D" w:rsidRPr="0000055D" w:rsidRDefault="0000055D" w:rsidP="0000055D">
            <w:pPr>
              <w:pStyle w:val="13"/>
              <w:ind w:firstLineChars="0" w:firstLine="0"/>
              <w:jc w:val="right"/>
              <w:rPr>
                <w:sz w:val="18"/>
                <w:szCs w:val="18"/>
              </w:rPr>
            </w:pPr>
            <w:r w:rsidRPr="0000055D">
              <w:rPr>
                <w:sz w:val="18"/>
                <w:szCs w:val="18"/>
              </w:rPr>
              <w:t>72,014,054.89</w:t>
            </w:r>
          </w:p>
        </w:tc>
        <w:tc>
          <w:tcPr>
            <w:tcW w:w="847" w:type="pct"/>
            <w:tcBorders>
              <w:top w:val="nil"/>
              <w:left w:val="nil"/>
              <w:bottom w:val="single" w:sz="4" w:space="0" w:color="auto"/>
              <w:right w:val="single" w:sz="4" w:space="0" w:color="auto"/>
            </w:tcBorders>
            <w:vAlign w:val="center"/>
          </w:tcPr>
          <w:p w14:paraId="07775D17" w14:textId="77777777" w:rsidR="0000055D" w:rsidRPr="0000055D" w:rsidRDefault="0000055D" w:rsidP="0000055D">
            <w:pPr>
              <w:pStyle w:val="13"/>
              <w:ind w:firstLineChars="0" w:firstLine="0"/>
              <w:jc w:val="right"/>
              <w:rPr>
                <w:sz w:val="18"/>
                <w:szCs w:val="18"/>
              </w:rPr>
            </w:pPr>
            <w:r w:rsidRPr="0000055D">
              <w:rPr>
                <w:sz w:val="18"/>
                <w:szCs w:val="18"/>
              </w:rPr>
              <w:t>78,495,336.34</w:t>
            </w:r>
          </w:p>
        </w:tc>
        <w:tc>
          <w:tcPr>
            <w:tcW w:w="847" w:type="pct"/>
            <w:tcBorders>
              <w:top w:val="nil"/>
              <w:left w:val="single" w:sz="4" w:space="0" w:color="auto"/>
              <w:bottom w:val="single" w:sz="4" w:space="0" w:color="auto"/>
              <w:right w:val="single" w:sz="8" w:space="0" w:color="auto"/>
            </w:tcBorders>
            <w:vAlign w:val="center"/>
          </w:tcPr>
          <w:p w14:paraId="093AF461" w14:textId="77777777" w:rsidR="0000055D" w:rsidRPr="0000055D" w:rsidRDefault="0000055D" w:rsidP="0000055D">
            <w:pPr>
              <w:pStyle w:val="13"/>
              <w:ind w:firstLineChars="0" w:firstLine="0"/>
              <w:jc w:val="right"/>
              <w:rPr>
                <w:sz w:val="18"/>
                <w:szCs w:val="18"/>
              </w:rPr>
            </w:pPr>
            <w:r w:rsidRPr="0000055D">
              <w:rPr>
                <w:sz w:val="18"/>
                <w:szCs w:val="18"/>
              </w:rPr>
              <w:t>84,774,936.83</w:t>
            </w:r>
          </w:p>
        </w:tc>
      </w:tr>
      <w:tr w:rsidR="0000055D" w:rsidRPr="0000055D" w14:paraId="53861D6B" w14:textId="77777777" w:rsidTr="0000055D">
        <w:trPr>
          <w:trHeight w:val="285"/>
        </w:trPr>
        <w:tc>
          <w:tcPr>
            <w:tcW w:w="763" w:type="pct"/>
            <w:tcBorders>
              <w:top w:val="nil"/>
              <w:left w:val="single" w:sz="8" w:space="0" w:color="auto"/>
              <w:bottom w:val="single" w:sz="4" w:space="0" w:color="auto"/>
              <w:right w:val="single" w:sz="4" w:space="0" w:color="auto"/>
            </w:tcBorders>
            <w:vAlign w:val="center"/>
          </w:tcPr>
          <w:p w14:paraId="51B2EF05" w14:textId="77777777" w:rsidR="0000055D" w:rsidRPr="0000055D" w:rsidRDefault="0000055D" w:rsidP="0000055D">
            <w:pPr>
              <w:pStyle w:val="13"/>
              <w:ind w:firstLineChars="0" w:firstLine="0"/>
              <w:rPr>
                <w:sz w:val="18"/>
                <w:szCs w:val="18"/>
              </w:rPr>
            </w:pPr>
            <w:r w:rsidRPr="0000055D">
              <w:rPr>
                <w:sz w:val="18"/>
                <w:szCs w:val="18"/>
              </w:rPr>
              <w:t>向中央银行借款</w:t>
            </w:r>
          </w:p>
        </w:tc>
        <w:tc>
          <w:tcPr>
            <w:tcW w:w="847" w:type="pct"/>
            <w:tcBorders>
              <w:top w:val="nil"/>
              <w:left w:val="nil"/>
              <w:bottom w:val="single" w:sz="4" w:space="0" w:color="auto"/>
              <w:right w:val="single" w:sz="4" w:space="0" w:color="auto"/>
            </w:tcBorders>
            <w:vAlign w:val="center"/>
          </w:tcPr>
          <w:p w14:paraId="58887CC4"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07273EE7"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07A4D347"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5949F67A"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05817C31" w14:textId="77777777" w:rsidR="0000055D" w:rsidRPr="0000055D" w:rsidRDefault="0000055D" w:rsidP="0000055D">
            <w:pPr>
              <w:pStyle w:val="13"/>
              <w:ind w:firstLineChars="0" w:firstLine="0"/>
              <w:jc w:val="right"/>
              <w:rPr>
                <w:sz w:val="18"/>
                <w:szCs w:val="18"/>
              </w:rPr>
            </w:pPr>
          </w:p>
        </w:tc>
      </w:tr>
      <w:tr w:rsidR="0000055D" w:rsidRPr="0000055D" w14:paraId="293D0355"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5B2385DC" w14:textId="77777777" w:rsidR="0000055D" w:rsidRPr="0000055D" w:rsidRDefault="0000055D" w:rsidP="0000055D">
            <w:pPr>
              <w:pStyle w:val="13"/>
              <w:ind w:firstLineChars="0" w:firstLine="0"/>
              <w:rPr>
                <w:sz w:val="18"/>
                <w:szCs w:val="18"/>
              </w:rPr>
            </w:pPr>
            <w:r w:rsidRPr="0000055D">
              <w:rPr>
                <w:sz w:val="18"/>
                <w:szCs w:val="18"/>
              </w:rPr>
              <w:t>拆入资金</w:t>
            </w:r>
          </w:p>
        </w:tc>
        <w:tc>
          <w:tcPr>
            <w:tcW w:w="847" w:type="pct"/>
            <w:tcBorders>
              <w:top w:val="nil"/>
              <w:left w:val="nil"/>
              <w:bottom w:val="single" w:sz="4" w:space="0" w:color="auto"/>
              <w:right w:val="single" w:sz="4" w:space="0" w:color="auto"/>
            </w:tcBorders>
            <w:vAlign w:val="center"/>
          </w:tcPr>
          <w:p w14:paraId="7CD329A7"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4BF1D89D"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80FDD13"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33A0D3CE"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3BEA5EA0" w14:textId="77777777" w:rsidR="0000055D" w:rsidRPr="0000055D" w:rsidRDefault="0000055D" w:rsidP="0000055D">
            <w:pPr>
              <w:pStyle w:val="13"/>
              <w:ind w:firstLineChars="0" w:firstLine="0"/>
              <w:jc w:val="right"/>
              <w:rPr>
                <w:sz w:val="18"/>
                <w:szCs w:val="18"/>
              </w:rPr>
            </w:pPr>
          </w:p>
        </w:tc>
      </w:tr>
      <w:tr w:rsidR="0000055D" w:rsidRPr="0000055D" w14:paraId="3E3E36ED"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24B59A3D" w14:textId="77777777" w:rsidR="0000055D" w:rsidRPr="0000055D" w:rsidRDefault="0000055D" w:rsidP="0000055D">
            <w:pPr>
              <w:pStyle w:val="13"/>
              <w:ind w:firstLineChars="0" w:firstLine="0"/>
              <w:rPr>
                <w:sz w:val="18"/>
                <w:szCs w:val="18"/>
              </w:rPr>
            </w:pPr>
            <w:r w:rsidRPr="0000055D">
              <w:rPr>
                <w:sz w:val="18"/>
                <w:szCs w:val="18"/>
              </w:rPr>
              <w:t>交易性金融负债</w:t>
            </w:r>
          </w:p>
        </w:tc>
        <w:tc>
          <w:tcPr>
            <w:tcW w:w="847" w:type="pct"/>
            <w:tcBorders>
              <w:top w:val="nil"/>
              <w:left w:val="nil"/>
              <w:bottom w:val="single" w:sz="4" w:space="0" w:color="auto"/>
              <w:right w:val="single" w:sz="4" w:space="0" w:color="auto"/>
            </w:tcBorders>
            <w:vAlign w:val="center"/>
          </w:tcPr>
          <w:p w14:paraId="65EADF23"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7E7F3EC4"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7297EB79"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49316DFA"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0854F4C1" w14:textId="77777777" w:rsidR="0000055D" w:rsidRPr="0000055D" w:rsidRDefault="0000055D" w:rsidP="0000055D">
            <w:pPr>
              <w:pStyle w:val="13"/>
              <w:ind w:firstLineChars="0" w:firstLine="0"/>
              <w:jc w:val="right"/>
              <w:rPr>
                <w:sz w:val="18"/>
                <w:szCs w:val="18"/>
              </w:rPr>
            </w:pPr>
          </w:p>
        </w:tc>
      </w:tr>
      <w:tr w:rsidR="0000055D" w:rsidRPr="0000055D" w14:paraId="190E29CA"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73CDFF61" w14:textId="77777777" w:rsidR="0000055D" w:rsidRPr="0000055D" w:rsidRDefault="0000055D" w:rsidP="0000055D">
            <w:pPr>
              <w:pStyle w:val="13"/>
              <w:ind w:firstLineChars="0" w:firstLine="0"/>
              <w:rPr>
                <w:sz w:val="18"/>
                <w:szCs w:val="18"/>
              </w:rPr>
            </w:pPr>
            <w:r w:rsidRPr="0000055D">
              <w:rPr>
                <w:sz w:val="18"/>
                <w:szCs w:val="18"/>
              </w:rPr>
              <w:t>衍生金融负债</w:t>
            </w:r>
          </w:p>
        </w:tc>
        <w:tc>
          <w:tcPr>
            <w:tcW w:w="847" w:type="pct"/>
            <w:tcBorders>
              <w:top w:val="nil"/>
              <w:left w:val="nil"/>
              <w:bottom w:val="single" w:sz="4" w:space="0" w:color="auto"/>
              <w:right w:val="single" w:sz="4" w:space="0" w:color="auto"/>
            </w:tcBorders>
            <w:vAlign w:val="center"/>
          </w:tcPr>
          <w:p w14:paraId="40CB31E9"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4E469348"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048D109E"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32C3409C"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079277E4" w14:textId="77777777" w:rsidR="0000055D" w:rsidRPr="0000055D" w:rsidRDefault="0000055D" w:rsidP="0000055D">
            <w:pPr>
              <w:pStyle w:val="13"/>
              <w:ind w:firstLineChars="0" w:firstLine="0"/>
              <w:jc w:val="right"/>
              <w:rPr>
                <w:sz w:val="18"/>
                <w:szCs w:val="18"/>
              </w:rPr>
            </w:pPr>
          </w:p>
        </w:tc>
      </w:tr>
      <w:tr w:rsidR="0000055D" w:rsidRPr="0000055D" w14:paraId="685FEDE3"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4F65FA8E" w14:textId="77777777" w:rsidR="0000055D" w:rsidRPr="0000055D" w:rsidRDefault="0000055D" w:rsidP="0000055D">
            <w:pPr>
              <w:pStyle w:val="13"/>
              <w:ind w:firstLineChars="0" w:firstLine="0"/>
              <w:rPr>
                <w:sz w:val="18"/>
                <w:szCs w:val="18"/>
              </w:rPr>
            </w:pPr>
            <w:r w:rsidRPr="0000055D">
              <w:rPr>
                <w:sz w:val="18"/>
                <w:szCs w:val="18"/>
              </w:rPr>
              <w:t>卖出回购金融资产款项</w:t>
            </w:r>
          </w:p>
        </w:tc>
        <w:tc>
          <w:tcPr>
            <w:tcW w:w="847" w:type="pct"/>
            <w:tcBorders>
              <w:top w:val="nil"/>
              <w:left w:val="nil"/>
              <w:bottom w:val="single" w:sz="4" w:space="0" w:color="auto"/>
              <w:right w:val="single" w:sz="4" w:space="0" w:color="auto"/>
            </w:tcBorders>
            <w:vAlign w:val="center"/>
          </w:tcPr>
          <w:p w14:paraId="164A0111"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301796BC"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3FE6E8F"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22E429A2"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261E02D8" w14:textId="77777777" w:rsidR="0000055D" w:rsidRPr="0000055D" w:rsidRDefault="0000055D" w:rsidP="0000055D">
            <w:pPr>
              <w:pStyle w:val="13"/>
              <w:ind w:firstLineChars="0" w:firstLine="0"/>
              <w:jc w:val="right"/>
              <w:rPr>
                <w:sz w:val="18"/>
                <w:szCs w:val="18"/>
              </w:rPr>
            </w:pPr>
          </w:p>
        </w:tc>
      </w:tr>
      <w:tr w:rsidR="0000055D" w:rsidRPr="0000055D" w14:paraId="0778946D"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4335FA00" w14:textId="77777777" w:rsidR="0000055D" w:rsidRPr="0000055D" w:rsidRDefault="0000055D" w:rsidP="0000055D">
            <w:pPr>
              <w:pStyle w:val="13"/>
              <w:ind w:firstLineChars="0" w:firstLine="0"/>
              <w:rPr>
                <w:sz w:val="18"/>
                <w:szCs w:val="18"/>
              </w:rPr>
            </w:pPr>
            <w:r w:rsidRPr="0000055D">
              <w:rPr>
                <w:sz w:val="18"/>
                <w:szCs w:val="18"/>
              </w:rPr>
              <w:t>吸收存款</w:t>
            </w:r>
          </w:p>
        </w:tc>
        <w:tc>
          <w:tcPr>
            <w:tcW w:w="847" w:type="pct"/>
            <w:tcBorders>
              <w:top w:val="nil"/>
              <w:left w:val="nil"/>
              <w:bottom w:val="single" w:sz="4" w:space="0" w:color="auto"/>
              <w:right w:val="single" w:sz="4" w:space="0" w:color="auto"/>
            </w:tcBorders>
            <w:vAlign w:val="center"/>
          </w:tcPr>
          <w:p w14:paraId="08C4B85B" w14:textId="77777777" w:rsidR="0000055D" w:rsidRPr="0000055D" w:rsidRDefault="0000055D" w:rsidP="0000055D">
            <w:pPr>
              <w:pStyle w:val="13"/>
              <w:ind w:firstLineChars="0" w:firstLine="0"/>
              <w:jc w:val="right"/>
              <w:rPr>
                <w:sz w:val="18"/>
                <w:szCs w:val="18"/>
              </w:rPr>
            </w:pPr>
            <w:r w:rsidRPr="0000055D">
              <w:rPr>
                <w:sz w:val="18"/>
                <w:szCs w:val="18"/>
              </w:rPr>
              <w:t>176,480,100.00</w:t>
            </w:r>
          </w:p>
        </w:tc>
        <w:tc>
          <w:tcPr>
            <w:tcW w:w="847" w:type="pct"/>
            <w:tcBorders>
              <w:top w:val="nil"/>
              <w:left w:val="nil"/>
              <w:bottom w:val="single" w:sz="4" w:space="0" w:color="auto"/>
              <w:right w:val="single" w:sz="4" w:space="0" w:color="auto"/>
            </w:tcBorders>
            <w:vAlign w:val="center"/>
          </w:tcPr>
          <w:p w14:paraId="7DE1332D" w14:textId="77777777" w:rsidR="0000055D" w:rsidRPr="0000055D" w:rsidRDefault="0000055D" w:rsidP="0000055D">
            <w:pPr>
              <w:pStyle w:val="13"/>
              <w:ind w:firstLineChars="0" w:firstLine="0"/>
              <w:jc w:val="right"/>
              <w:rPr>
                <w:sz w:val="18"/>
                <w:szCs w:val="18"/>
              </w:rPr>
            </w:pPr>
            <w:r w:rsidRPr="0000055D">
              <w:rPr>
                <w:sz w:val="18"/>
                <w:szCs w:val="18"/>
              </w:rPr>
              <w:t>194,128,100.00</w:t>
            </w:r>
          </w:p>
        </w:tc>
        <w:tc>
          <w:tcPr>
            <w:tcW w:w="847" w:type="pct"/>
            <w:tcBorders>
              <w:top w:val="nil"/>
              <w:left w:val="nil"/>
              <w:bottom w:val="single" w:sz="4" w:space="0" w:color="auto"/>
              <w:right w:val="single" w:sz="4" w:space="0" w:color="auto"/>
            </w:tcBorders>
            <w:vAlign w:val="center"/>
          </w:tcPr>
          <w:p w14:paraId="4375476C" w14:textId="77777777" w:rsidR="0000055D" w:rsidRPr="0000055D" w:rsidRDefault="0000055D" w:rsidP="0000055D">
            <w:pPr>
              <w:pStyle w:val="13"/>
              <w:ind w:firstLineChars="0" w:firstLine="0"/>
              <w:jc w:val="right"/>
              <w:rPr>
                <w:sz w:val="18"/>
                <w:szCs w:val="18"/>
              </w:rPr>
            </w:pPr>
            <w:r w:rsidRPr="0000055D">
              <w:rPr>
                <w:sz w:val="18"/>
                <w:szCs w:val="18"/>
              </w:rPr>
              <w:t>213,540,900.00</w:t>
            </w:r>
          </w:p>
        </w:tc>
        <w:tc>
          <w:tcPr>
            <w:tcW w:w="847" w:type="pct"/>
            <w:tcBorders>
              <w:top w:val="nil"/>
              <w:left w:val="nil"/>
              <w:bottom w:val="single" w:sz="4" w:space="0" w:color="auto"/>
              <w:right w:val="single" w:sz="4" w:space="0" w:color="auto"/>
            </w:tcBorders>
            <w:vAlign w:val="center"/>
          </w:tcPr>
          <w:p w14:paraId="0541E0AA" w14:textId="77777777" w:rsidR="0000055D" w:rsidRPr="0000055D" w:rsidRDefault="0000055D" w:rsidP="0000055D">
            <w:pPr>
              <w:pStyle w:val="13"/>
              <w:ind w:firstLineChars="0" w:firstLine="0"/>
              <w:jc w:val="right"/>
              <w:rPr>
                <w:sz w:val="18"/>
                <w:szCs w:val="18"/>
              </w:rPr>
            </w:pPr>
            <w:r w:rsidRPr="0000055D">
              <w:rPr>
                <w:sz w:val="18"/>
                <w:szCs w:val="18"/>
              </w:rPr>
              <w:t>232,759,600.00</w:t>
            </w:r>
          </w:p>
        </w:tc>
        <w:tc>
          <w:tcPr>
            <w:tcW w:w="847" w:type="pct"/>
            <w:tcBorders>
              <w:top w:val="nil"/>
              <w:left w:val="single" w:sz="4" w:space="0" w:color="auto"/>
              <w:bottom w:val="single" w:sz="4" w:space="0" w:color="auto"/>
              <w:right w:val="single" w:sz="8" w:space="0" w:color="auto"/>
            </w:tcBorders>
            <w:vAlign w:val="center"/>
          </w:tcPr>
          <w:p w14:paraId="4B5498D9" w14:textId="77777777" w:rsidR="0000055D" w:rsidRPr="0000055D" w:rsidRDefault="0000055D" w:rsidP="0000055D">
            <w:pPr>
              <w:pStyle w:val="13"/>
              <w:ind w:firstLineChars="0" w:firstLine="0"/>
              <w:jc w:val="right"/>
              <w:rPr>
                <w:sz w:val="18"/>
                <w:szCs w:val="18"/>
              </w:rPr>
            </w:pPr>
            <w:r w:rsidRPr="0000055D">
              <w:rPr>
                <w:sz w:val="18"/>
                <w:szCs w:val="18"/>
              </w:rPr>
              <w:t>251,380,400.00</w:t>
            </w:r>
          </w:p>
        </w:tc>
      </w:tr>
      <w:tr w:rsidR="0000055D" w:rsidRPr="0000055D" w14:paraId="437D59E6"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37E2DA09" w14:textId="77777777" w:rsidR="0000055D" w:rsidRPr="0000055D" w:rsidRDefault="0000055D" w:rsidP="0000055D">
            <w:pPr>
              <w:pStyle w:val="13"/>
              <w:ind w:firstLineChars="0" w:firstLine="0"/>
              <w:rPr>
                <w:sz w:val="18"/>
                <w:szCs w:val="18"/>
              </w:rPr>
            </w:pPr>
            <w:r w:rsidRPr="0000055D">
              <w:rPr>
                <w:sz w:val="18"/>
                <w:szCs w:val="18"/>
              </w:rPr>
              <w:t>应付职工薪酬</w:t>
            </w:r>
          </w:p>
        </w:tc>
        <w:tc>
          <w:tcPr>
            <w:tcW w:w="847" w:type="pct"/>
            <w:tcBorders>
              <w:top w:val="nil"/>
              <w:left w:val="nil"/>
              <w:bottom w:val="single" w:sz="4" w:space="0" w:color="auto"/>
              <w:right w:val="single" w:sz="4" w:space="0" w:color="auto"/>
            </w:tcBorders>
            <w:vAlign w:val="center"/>
          </w:tcPr>
          <w:p w14:paraId="14D36D34" w14:textId="77777777" w:rsidR="0000055D" w:rsidRPr="0000055D" w:rsidRDefault="0000055D" w:rsidP="0000055D">
            <w:pPr>
              <w:pStyle w:val="13"/>
              <w:ind w:firstLineChars="0" w:firstLine="0"/>
              <w:jc w:val="right"/>
              <w:rPr>
                <w:sz w:val="18"/>
                <w:szCs w:val="18"/>
              </w:rPr>
            </w:pPr>
            <w:r w:rsidRPr="0000055D">
              <w:rPr>
                <w:sz w:val="18"/>
                <w:szCs w:val="18"/>
              </w:rPr>
              <w:t>810,546.27</w:t>
            </w:r>
          </w:p>
        </w:tc>
        <w:tc>
          <w:tcPr>
            <w:tcW w:w="847" w:type="pct"/>
            <w:tcBorders>
              <w:top w:val="nil"/>
              <w:left w:val="nil"/>
              <w:bottom w:val="single" w:sz="4" w:space="0" w:color="auto"/>
              <w:right w:val="single" w:sz="4" w:space="0" w:color="auto"/>
            </w:tcBorders>
            <w:vAlign w:val="center"/>
          </w:tcPr>
          <w:p w14:paraId="0E1126E1" w14:textId="77777777" w:rsidR="0000055D" w:rsidRPr="0000055D" w:rsidRDefault="0000055D" w:rsidP="0000055D">
            <w:pPr>
              <w:pStyle w:val="13"/>
              <w:ind w:firstLineChars="0" w:firstLine="0"/>
              <w:jc w:val="right"/>
              <w:rPr>
                <w:sz w:val="18"/>
                <w:szCs w:val="18"/>
              </w:rPr>
            </w:pPr>
            <w:r w:rsidRPr="0000055D">
              <w:rPr>
                <w:sz w:val="18"/>
                <w:szCs w:val="18"/>
              </w:rPr>
              <w:t>810,546.27</w:t>
            </w:r>
          </w:p>
        </w:tc>
        <w:tc>
          <w:tcPr>
            <w:tcW w:w="847" w:type="pct"/>
            <w:tcBorders>
              <w:top w:val="nil"/>
              <w:left w:val="nil"/>
              <w:bottom w:val="single" w:sz="4" w:space="0" w:color="auto"/>
              <w:right w:val="single" w:sz="4" w:space="0" w:color="auto"/>
            </w:tcBorders>
            <w:vAlign w:val="center"/>
          </w:tcPr>
          <w:p w14:paraId="430D480D" w14:textId="77777777" w:rsidR="0000055D" w:rsidRPr="0000055D" w:rsidRDefault="0000055D" w:rsidP="0000055D">
            <w:pPr>
              <w:pStyle w:val="13"/>
              <w:ind w:firstLineChars="0" w:firstLine="0"/>
              <w:jc w:val="right"/>
              <w:rPr>
                <w:sz w:val="18"/>
                <w:szCs w:val="18"/>
              </w:rPr>
            </w:pPr>
            <w:r w:rsidRPr="0000055D">
              <w:rPr>
                <w:sz w:val="18"/>
                <w:szCs w:val="18"/>
              </w:rPr>
              <w:t>810,546.27</w:t>
            </w:r>
          </w:p>
        </w:tc>
        <w:tc>
          <w:tcPr>
            <w:tcW w:w="847" w:type="pct"/>
            <w:tcBorders>
              <w:top w:val="nil"/>
              <w:left w:val="nil"/>
              <w:bottom w:val="single" w:sz="4" w:space="0" w:color="auto"/>
              <w:right w:val="single" w:sz="4" w:space="0" w:color="auto"/>
            </w:tcBorders>
            <w:vAlign w:val="center"/>
          </w:tcPr>
          <w:p w14:paraId="6F91EB0B" w14:textId="77777777" w:rsidR="0000055D" w:rsidRPr="0000055D" w:rsidRDefault="0000055D" w:rsidP="0000055D">
            <w:pPr>
              <w:pStyle w:val="13"/>
              <w:ind w:firstLineChars="0" w:firstLine="0"/>
              <w:jc w:val="right"/>
              <w:rPr>
                <w:sz w:val="18"/>
                <w:szCs w:val="18"/>
              </w:rPr>
            </w:pPr>
            <w:r w:rsidRPr="0000055D">
              <w:rPr>
                <w:sz w:val="18"/>
                <w:szCs w:val="18"/>
              </w:rPr>
              <w:t>810,546.27</w:t>
            </w:r>
          </w:p>
        </w:tc>
        <w:tc>
          <w:tcPr>
            <w:tcW w:w="847" w:type="pct"/>
            <w:tcBorders>
              <w:top w:val="nil"/>
              <w:left w:val="single" w:sz="4" w:space="0" w:color="auto"/>
              <w:bottom w:val="single" w:sz="4" w:space="0" w:color="auto"/>
              <w:right w:val="single" w:sz="8" w:space="0" w:color="auto"/>
            </w:tcBorders>
            <w:vAlign w:val="center"/>
          </w:tcPr>
          <w:p w14:paraId="4BF2FA69" w14:textId="77777777" w:rsidR="0000055D" w:rsidRPr="0000055D" w:rsidRDefault="0000055D" w:rsidP="0000055D">
            <w:pPr>
              <w:pStyle w:val="13"/>
              <w:ind w:firstLineChars="0" w:firstLine="0"/>
              <w:jc w:val="right"/>
              <w:rPr>
                <w:sz w:val="18"/>
                <w:szCs w:val="18"/>
              </w:rPr>
            </w:pPr>
            <w:r w:rsidRPr="0000055D">
              <w:rPr>
                <w:sz w:val="18"/>
                <w:szCs w:val="18"/>
              </w:rPr>
              <w:t>810,546.27</w:t>
            </w:r>
          </w:p>
        </w:tc>
      </w:tr>
      <w:tr w:rsidR="0000055D" w:rsidRPr="0000055D" w14:paraId="50D33B5A"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3AEE9888" w14:textId="77777777" w:rsidR="0000055D" w:rsidRPr="0000055D" w:rsidRDefault="0000055D" w:rsidP="0000055D">
            <w:pPr>
              <w:pStyle w:val="13"/>
              <w:ind w:firstLineChars="0" w:firstLine="0"/>
              <w:rPr>
                <w:sz w:val="18"/>
                <w:szCs w:val="18"/>
              </w:rPr>
            </w:pPr>
            <w:r w:rsidRPr="0000055D">
              <w:rPr>
                <w:sz w:val="18"/>
                <w:szCs w:val="18"/>
              </w:rPr>
              <w:t>应交税费</w:t>
            </w:r>
          </w:p>
        </w:tc>
        <w:tc>
          <w:tcPr>
            <w:tcW w:w="847" w:type="pct"/>
            <w:tcBorders>
              <w:top w:val="nil"/>
              <w:left w:val="nil"/>
              <w:bottom w:val="single" w:sz="4" w:space="0" w:color="auto"/>
              <w:right w:val="single" w:sz="4" w:space="0" w:color="auto"/>
            </w:tcBorders>
            <w:vAlign w:val="center"/>
          </w:tcPr>
          <w:p w14:paraId="6E5E7A49" w14:textId="77777777" w:rsidR="0000055D" w:rsidRPr="0000055D" w:rsidRDefault="0000055D" w:rsidP="0000055D">
            <w:pPr>
              <w:pStyle w:val="13"/>
              <w:ind w:firstLineChars="0" w:firstLine="0"/>
              <w:jc w:val="right"/>
              <w:rPr>
                <w:sz w:val="18"/>
                <w:szCs w:val="18"/>
              </w:rPr>
            </w:pPr>
            <w:r w:rsidRPr="0000055D">
              <w:rPr>
                <w:sz w:val="18"/>
                <w:szCs w:val="18"/>
              </w:rPr>
              <w:t>257,846.62</w:t>
            </w:r>
          </w:p>
        </w:tc>
        <w:tc>
          <w:tcPr>
            <w:tcW w:w="847" w:type="pct"/>
            <w:tcBorders>
              <w:top w:val="nil"/>
              <w:left w:val="nil"/>
              <w:bottom w:val="single" w:sz="4" w:space="0" w:color="auto"/>
              <w:right w:val="single" w:sz="4" w:space="0" w:color="auto"/>
            </w:tcBorders>
            <w:vAlign w:val="center"/>
          </w:tcPr>
          <w:p w14:paraId="39863D67" w14:textId="77777777" w:rsidR="0000055D" w:rsidRPr="0000055D" w:rsidRDefault="0000055D" w:rsidP="0000055D">
            <w:pPr>
              <w:pStyle w:val="13"/>
              <w:ind w:firstLineChars="0" w:firstLine="0"/>
              <w:jc w:val="right"/>
              <w:rPr>
                <w:sz w:val="18"/>
                <w:szCs w:val="18"/>
              </w:rPr>
            </w:pPr>
            <w:r w:rsidRPr="0000055D">
              <w:rPr>
                <w:sz w:val="18"/>
                <w:szCs w:val="18"/>
              </w:rPr>
              <w:t>257,846.62</w:t>
            </w:r>
          </w:p>
        </w:tc>
        <w:tc>
          <w:tcPr>
            <w:tcW w:w="847" w:type="pct"/>
            <w:tcBorders>
              <w:top w:val="nil"/>
              <w:left w:val="nil"/>
              <w:bottom w:val="single" w:sz="4" w:space="0" w:color="auto"/>
              <w:right w:val="single" w:sz="4" w:space="0" w:color="auto"/>
            </w:tcBorders>
            <w:vAlign w:val="center"/>
          </w:tcPr>
          <w:p w14:paraId="6DEE6E0F" w14:textId="77777777" w:rsidR="0000055D" w:rsidRPr="0000055D" w:rsidRDefault="0000055D" w:rsidP="0000055D">
            <w:pPr>
              <w:pStyle w:val="13"/>
              <w:ind w:firstLineChars="0" w:firstLine="0"/>
              <w:jc w:val="right"/>
              <w:rPr>
                <w:sz w:val="18"/>
                <w:szCs w:val="18"/>
              </w:rPr>
            </w:pPr>
            <w:r w:rsidRPr="0000055D">
              <w:rPr>
                <w:sz w:val="18"/>
                <w:szCs w:val="18"/>
              </w:rPr>
              <w:t>257,846.62</w:t>
            </w:r>
          </w:p>
        </w:tc>
        <w:tc>
          <w:tcPr>
            <w:tcW w:w="847" w:type="pct"/>
            <w:tcBorders>
              <w:top w:val="nil"/>
              <w:left w:val="nil"/>
              <w:bottom w:val="single" w:sz="4" w:space="0" w:color="auto"/>
              <w:right w:val="single" w:sz="4" w:space="0" w:color="auto"/>
            </w:tcBorders>
            <w:vAlign w:val="center"/>
          </w:tcPr>
          <w:p w14:paraId="6F0126E3" w14:textId="77777777" w:rsidR="0000055D" w:rsidRPr="0000055D" w:rsidRDefault="0000055D" w:rsidP="0000055D">
            <w:pPr>
              <w:pStyle w:val="13"/>
              <w:ind w:firstLineChars="0" w:firstLine="0"/>
              <w:jc w:val="right"/>
              <w:rPr>
                <w:sz w:val="18"/>
                <w:szCs w:val="18"/>
              </w:rPr>
            </w:pPr>
            <w:r w:rsidRPr="0000055D">
              <w:rPr>
                <w:sz w:val="18"/>
                <w:szCs w:val="18"/>
              </w:rPr>
              <w:t>257,846.62</w:t>
            </w:r>
          </w:p>
        </w:tc>
        <w:tc>
          <w:tcPr>
            <w:tcW w:w="847" w:type="pct"/>
            <w:tcBorders>
              <w:top w:val="nil"/>
              <w:left w:val="single" w:sz="4" w:space="0" w:color="auto"/>
              <w:bottom w:val="single" w:sz="4" w:space="0" w:color="auto"/>
              <w:right w:val="single" w:sz="8" w:space="0" w:color="auto"/>
            </w:tcBorders>
            <w:vAlign w:val="center"/>
          </w:tcPr>
          <w:p w14:paraId="1A3DD2F8" w14:textId="77777777" w:rsidR="0000055D" w:rsidRPr="0000055D" w:rsidRDefault="0000055D" w:rsidP="0000055D">
            <w:pPr>
              <w:pStyle w:val="13"/>
              <w:ind w:firstLineChars="0" w:firstLine="0"/>
              <w:jc w:val="right"/>
              <w:rPr>
                <w:sz w:val="18"/>
                <w:szCs w:val="18"/>
              </w:rPr>
            </w:pPr>
            <w:r w:rsidRPr="0000055D">
              <w:rPr>
                <w:sz w:val="18"/>
                <w:szCs w:val="18"/>
              </w:rPr>
              <w:t>257,846.62</w:t>
            </w:r>
          </w:p>
        </w:tc>
      </w:tr>
      <w:tr w:rsidR="0000055D" w:rsidRPr="0000055D" w14:paraId="37A2CE15"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5298BB91" w14:textId="77777777" w:rsidR="0000055D" w:rsidRPr="0000055D" w:rsidRDefault="0000055D" w:rsidP="0000055D">
            <w:pPr>
              <w:pStyle w:val="13"/>
              <w:ind w:firstLineChars="0" w:firstLine="0"/>
              <w:rPr>
                <w:sz w:val="18"/>
                <w:szCs w:val="18"/>
              </w:rPr>
            </w:pPr>
            <w:r w:rsidRPr="0000055D">
              <w:rPr>
                <w:sz w:val="18"/>
                <w:szCs w:val="18"/>
              </w:rPr>
              <w:lastRenderedPageBreak/>
              <w:t>应付利息</w:t>
            </w:r>
          </w:p>
        </w:tc>
        <w:tc>
          <w:tcPr>
            <w:tcW w:w="847" w:type="pct"/>
            <w:tcBorders>
              <w:top w:val="nil"/>
              <w:left w:val="nil"/>
              <w:bottom w:val="single" w:sz="4" w:space="0" w:color="auto"/>
              <w:right w:val="single" w:sz="4" w:space="0" w:color="auto"/>
            </w:tcBorders>
            <w:vAlign w:val="center"/>
          </w:tcPr>
          <w:p w14:paraId="48609BA4" w14:textId="77777777" w:rsidR="0000055D" w:rsidRPr="0000055D" w:rsidRDefault="0000055D" w:rsidP="0000055D">
            <w:pPr>
              <w:pStyle w:val="13"/>
              <w:ind w:firstLineChars="0" w:firstLine="0"/>
              <w:jc w:val="right"/>
              <w:rPr>
                <w:sz w:val="18"/>
                <w:szCs w:val="18"/>
              </w:rPr>
            </w:pPr>
            <w:r w:rsidRPr="0000055D">
              <w:rPr>
                <w:sz w:val="18"/>
                <w:szCs w:val="18"/>
              </w:rPr>
              <w:t>2,077,869.22</w:t>
            </w:r>
          </w:p>
        </w:tc>
        <w:tc>
          <w:tcPr>
            <w:tcW w:w="847" w:type="pct"/>
            <w:tcBorders>
              <w:top w:val="nil"/>
              <w:left w:val="nil"/>
              <w:bottom w:val="single" w:sz="4" w:space="0" w:color="auto"/>
              <w:right w:val="single" w:sz="4" w:space="0" w:color="auto"/>
            </w:tcBorders>
            <w:vAlign w:val="center"/>
          </w:tcPr>
          <w:p w14:paraId="3D3FC6FC" w14:textId="77777777" w:rsidR="0000055D" w:rsidRPr="0000055D" w:rsidRDefault="0000055D" w:rsidP="0000055D">
            <w:pPr>
              <w:pStyle w:val="13"/>
              <w:ind w:firstLineChars="0" w:firstLine="0"/>
              <w:jc w:val="right"/>
              <w:rPr>
                <w:sz w:val="18"/>
                <w:szCs w:val="18"/>
              </w:rPr>
            </w:pPr>
            <w:r w:rsidRPr="0000055D">
              <w:rPr>
                <w:sz w:val="18"/>
                <w:szCs w:val="18"/>
              </w:rPr>
              <w:t>2,077,869.22</w:t>
            </w:r>
          </w:p>
        </w:tc>
        <w:tc>
          <w:tcPr>
            <w:tcW w:w="847" w:type="pct"/>
            <w:tcBorders>
              <w:top w:val="nil"/>
              <w:left w:val="nil"/>
              <w:bottom w:val="single" w:sz="4" w:space="0" w:color="auto"/>
              <w:right w:val="single" w:sz="4" w:space="0" w:color="auto"/>
            </w:tcBorders>
            <w:vAlign w:val="center"/>
          </w:tcPr>
          <w:p w14:paraId="52C1744F" w14:textId="77777777" w:rsidR="0000055D" w:rsidRPr="0000055D" w:rsidRDefault="0000055D" w:rsidP="0000055D">
            <w:pPr>
              <w:pStyle w:val="13"/>
              <w:ind w:firstLineChars="0" w:firstLine="0"/>
              <w:jc w:val="right"/>
              <w:rPr>
                <w:sz w:val="18"/>
                <w:szCs w:val="18"/>
              </w:rPr>
            </w:pPr>
            <w:r w:rsidRPr="0000055D">
              <w:rPr>
                <w:sz w:val="18"/>
                <w:szCs w:val="18"/>
              </w:rPr>
              <w:t>2,077,869.22</w:t>
            </w:r>
          </w:p>
        </w:tc>
        <w:tc>
          <w:tcPr>
            <w:tcW w:w="847" w:type="pct"/>
            <w:tcBorders>
              <w:top w:val="nil"/>
              <w:left w:val="nil"/>
              <w:bottom w:val="single" w:sz="4" w:space="0" w:color="auto"/>
              <w:right w:val="single" w:sz="4" w:space="0" w:color="auto"/>
            </w:tcBorders>
            <w:vAlign w:val="center"/>
          </w:tcPr>
          <w:p w14:paraId="6297CE78" w14:textId="77777777" w:rsidR="0000055D" w:rsidRPr="0000055D" w:rsidRDefault="0000055D" w:rsidP="0000055D">
            <w:pPr>
              <w:pStyle w:val="13"/>
              <w:ind w:firstLineChars="0" w:firstLine="0"/>
              <w:jc w:val="right"/>
              <w:rPr>
                <w:sz w:val="18"/>
                <w:szCs w:val="18"/>
              </w:rPr>
            </w:pPr>
            <w:r w:rsidRPr="0000055D">
              <w:rPr>
                <w:sz w:val="18"/>
                <w:szCs w:val="18"/>
              </w:rPr>
              <w:t>2,077,869.22</w:t>
            </w:r>
          </w:p>
        </w:tc>
        <w:tc>
          <w:tcPr>
            <w:tcW w:w="847" w:type="pct"/>
            <w:tcBorders>
              <w:top w:val="nil"/>
              <w:left w:val="single" w:sz="4" w:space="0" w:color="auto"/>
              <w:bottom w:val="single" w:sz="4" w:space="0" w:color="auto"/>
              <w:right w:val="single" w:sz="8" w:space="0" w:color="auto"/>
            </w:tcBorders>
            <w:vAlign w:val="center"/>
          </w:tcPr>
          <w:p w14:paraId="74D8AE47" w14:textId="77777777" w:rsidR="0000055D" w:rsidRPr="0000055D" w:rsidRDefault="0000055D" w:rsidP="0000055D">
            <w:pPr>
              <w:pStyle w:val="13"/>
              <w:ind w:firstLineChars="0" w:firstLine="0"/>
              <w:jc w:val="right"/>
              <w:rPr>
                <w:sz w:val="18"/>
                <w:szCs w:val="18"/>
              </w:rPr>
            </w:pPr>
            <w:r w:rsidRPr="0000055D">
              <w:rPr>
                <w:sz w:val="18"/>
                <w:szCs w:val="18"/>
              </w:rPr>
              <w:t>2,077,869.22</w:t>
            </w:r>
          </w:p>
        </w:tc>
      </w:tr>
      <w:tr w:rsidR="0000055D" w:rsidRPr="0000055D" w14:paraId="70970849"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7BC8D1DE" w14:textId="77777777" w:rsidR="0000055D" w:rsidRPr="0000055D" w:rsidRDefault="0000055D" w:rsidP="0000055D">
            <w:pPr>
              <w:pStyle w:val="13"/>
              <w:ind w:firstLineChars="0" w:firstLine="0"/>
              <w:rPr>
                <w:sz w:val="18"/>
                <w:szCs w:val="18"/>
              </w:rPr>
            </w:pPr>
            <w:r w:rsidRPr="0000055D">
              <w:rPr>
                <w:sz w:val="18"/>
                <w:szCs w:val="18"/>
              </w:rPr>
              <w:t>代理业务负债</w:t>
            </w:r>
          </w:p>
        </w:tc>
        <w:tc>
          <w:tcPr>
            <w:tcW w:w="847" w:type="pct"/>
            <w:tcBorders>
              <w:top w:val="nil"/>
              <w:left w:val="nil"/>
              <w:bottom w:val="single" w:sz="4" w:space="0" w:color="auto"/>
              <w:right w:val="single" w:sz="4" w:space="0" w:color="auto"/>
            </w:tcBorders>
            <w:vAlign w:val="center"/>
          </w:tcPr>
          <w:p w14:paraId="62283479"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3B71E57E"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1B7DDCF4"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46924FBC" w14:textId="77777777" w:rsidR="0000055D" w:rsidRPr="0000055D" w:rsidRDefault="0000055D" w:rsidP="0000055D">
            <w:pPr>
              <w:pStyle w:val="13"/>
              <w:ind w:firstLineChars="0" w:firstLine="0"/>
              <w:jc w:val="right"/>
              <w:rPr>
                <w:sz w:val="18"/>
                <w:szCs w:val="18"/>
              </w:rPr>
            </w:pPr>
          </w:p>
        </w:tc>
        <w:tc>
          <w:tcPr>
            <w:tcW w:w="847" w:type="pct"/>
            <w:tcBorders>
              <w:top w:val="nil"/>
              <w:left w:val="single" w:sz="4" w:space="0" w:color="auto"/>
              <w:bottom w:val="single" w:sz="4" w:space="0" w:color="auto"/>
              <w:right w:val="single" w:sz="8" w:space="0" w:color="auto"/>
            </w:tcBorders>
            <w:vAlign w:val="center"/>
          </w:tcPr>
          <w:p w14:paraId="7609C9FE" w14:textId="77777777" w:rsidR="0000055D" w:rsidRPr="0000055D" w:rsidRDefault="0000055D" w:rsidP="0000055D">
            <w:pPr>
              <w:pStyle w:val="13"/>
              <w:ind w:firstLineChars="0" w:firstLine="0"/>
              <w:jc w:val="right"/>
              <w:rPr>
                <w:sz w:val="18"/>
                <w:szCs w:val="18"/>
              </w:rPr>
            </w:pPr>
          </w:p>
        </w:tc>
      </w:tr>
      <w:tr w:rsidR="0000055D" w:rsidRPr="0000055D" w14:paraId="2C4A8E61"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6D25D1D3" w14:textId="77777777" w:rsidR="0000055D" w:rsidRPr="0000055D" w:rsidRDefault="0000055D" w:rsidP="0000055D">
            <w:pPr>
              <w:pStyle w:val="13"/>
              <w:ind w:firstLineChars="0" w:firstLine="0"/>
              <w:rPr>
                <w:sz w:val="18"/>
                <w:szCs w:val="18"/>
              </w:rPr>
            </w:pPr>
            <w:r w:rsidRPr="0000055D">
              <w:rPr>
                <w:sz w:val="18"/>
                <w:szCs w:val="18"/>
              </w:rPr>
              <w:t>应付债券</w:t>
            </w:r>
          </w:p>
        </w:tc>
        <w:tc>
          <w:tcPr>
            <w:tcW w:w="847" w:type="pct"/>
            <w:tcBorders>
              <w:top w:val="nil"/>
              <w:left w:val="nil"/>
              <w:bottom w:val="single" w:sz="4" w:space="0" w:color="auto"/>
              <w:right w:val="single" w:sz="4" w:space="0" w:color="auto"/>
            </w:tcBorders>
            <w:vAlign w:val="center"/>
          </w:tcPr>
          <w:p w14:paraId="5EEF8EDA" w14:textId="77777777" w:rsidR="0000055D" w:rsidRPr="0000055D" w:rsidRDefault="0000055D" w:rsidP="0000055D">
            <w:pPr>
              <w:pStyle w:val="13"/>
              <w:ind w:firstLineChars="0" w:firstLine="0"/>
              <w:jc w:val="right"/>
              <w:rPr>
                <w:sz w:val="18"/>
                <w:szCs w:val="18"/>
              </w:rPr>
            </w:pPr>
            <w:r w:rsidRPr="0000055D">
              <w:rPr>
                <w:sz w:val="18"/>
                <w:szCs w:val="18"/>
              </w:rPr>
              <w:t>5,290,000.00</w:t>
            </w:r>
          </w:p>
        </w:tc>
        <w:tc>
          <w:tcPr>
            <w:tcW w:w="847" w:type="pct"/>
            <w:tcBorders>
              <w:top w:val="nil"/>
              <w:left w:val="nil"/>
              <w:bottom w:val="single" w:sz="4" w:space="0" w:color="auto"/>
              <w:right w:val="single" w:sz="4" w:space="0" w:color="auto"/>
            </w:tcBorders>
            <w:vAlign w:val="center"/>
          </w:tcPr>
          <w:p w14:paraId="27481D22" w14:textId="77777777" w:rsidR="0000055D" w:rsidRPr="0000055D" w:rsidRDefault="0000055D" w:rsidP="0000055D">
            <w:pPr>
              <w:pStyle w:val="13"/>
              <w:ind w:firstLineChars="0" w:firstLine="0"/>
              <w:jc w:val="right"/>
              <w:rPr>
                <w:sz w:val="18"/>
                <w:szCs w:val="18"/>
              </w:rPr>
            </w:pPr>
            <w:r w:rsidRPr="0000055D">
              <w:rPr>
                <w:sz w:val="18"/>
                <w:szCs w:val="18"/>
              </w:rPr>
              <w:t>5,290,000.00</w:t>
            </w:r>
          </w:p>
        </w:tc>
        <w:tc>
          <w:tcPr>
            <w:tcW w:w="847" w:type="pct"/>
            <w:tcBorders>
              <w:top w:val="nil"/>
              <w:left w:val="nil"/>
              <w:bottom w:val="single" w:sz="4" w:space="0" w:color="auto"/>
              <w:right w:val="single" w:sz="4" w:space="0" w:color="auto"/>
            </w:tcBorders>
            <w:vAlign w:val="center"/>
          </w:tcPr>
          <w:p w14:paraId="14927653" w14:textId="77777777" w:rsidR="0000055D" w:rsidRPr="0000055D" w:rsidRDefault="0000055D" w:rsidP="0000055D">
            <w:pPr>
              <w:pStyle w:val="13"/>
              <w:ind w:firstLineChars="0" w:firstLine="0"/>
              <w:jc w:val="right"/>
              <w:rPr>
                <w:sz w:val="18"/>
                <w:szCs w:val="18"/>
              </w:rPr>
            </w:pPr>
            <w:r w:rsidRPr="0000055D">
              <w:rPr>
                <w:sz w:val="18"/>
                <w:szCs w:val="18"/>
              </w:rPr>
              <w:t>5,290,000.00</w:t>
            </w:r>
          </w:p>
        </w:tc>
        <w:tc>
          <w:tcPr>
            <w:tcW w:w="847" w:type="pct"/>
            <w:tcBorders>
              <w:top w:val="nil"/>
              <w:left w:val="nil"/>
              <w:bottom w:val="single" w:sz="4" w:space="0" w:color="auto"/>
              <w:right w:val="single" w:sz="4" w:space="0" w:color="auto"/>
            </w:tcBorders>
            <w:vAlign w:val="center"/>
          </w:tcPr>
          <w:p w14:paraId="51D200E1" w14:textId="77777777" w:rsidR="0000055D" w:rsidRPr="0000055D" w:rsidRDefault="0000055D" w:rsidP="0000055D">
            <w:pPr>
              <w:pStyle w:val="13"/>
              <w:ind w:firstLineChars="0" w:firstLine="0"/>
              <w:jc w:val="right"/>
              <w:rPr>
                <w:sz w:val="18"/>
                <w:szCs w:val="18"/>
              </w:rPr>
            </w:pPr>
            <w:r w:rsidRPr="0000055D">
              <w:rPr>
                <w:sz w:val="18"/>
                <w:szCs w:val="18"/>
              </w:rPr>
              <w:t>5,290,000.00</w:t>
            </w:r>
          </w:p>
        </w:tc>
        <w:tc>
          <w:tcPr>
            <w:tcW w:w="847" w:type="pct"/>
            <w:tcBorders>
              <w:top w:val="single" w:sz="4" w:space="0" w:color="auto"/>
              <w:left w:val="nil"/>
              <w:bottom w:val="single" w:sz="4" w:space="0" w:color="auto"/>
              <w:right w:val="single" w:sz="4" w:space="0" w:color="auto"/>
            </w:tcBorders>
            <w:vAlign w:val="center"/>
          </w:tcPr>
          <w:p w14:paraId="00789075" w14:textId="77777777" w:rsidR="0000055D" w:rsidRPr="0000055D" w:rsidRDefault="0000055D" w:rsidP="0000055D">
            <w:pPr>
              <w:pStyle w:val="13"/>
              <w:ind w:firstLineChars="0" w:firstLine="0"/>
              <w:jc w:val="right"/>
              <w:rPr>
                <w:sz w:val="18"/>
                <w:szCs w:val="18"/>
              </w:rPr>
            </w:pPr>
            <w:r w:rsidRPr="0000055D">
              <w:rPr>
                <w:sz w:val="18"/>
                <w:szCs w:val="18"/>
              </w:rPr>
              <w:t>5,290,000.00</w:t>
            </w:r>
          </w:p>
        </w:tc>
      </w:tr>
      <w:tr w:rsidR="0000055D" w:rsidRPr="0000055D" w14:paraId="7E7F2C99"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4344E9B8" w14:textId="77777777" w:rsidR="0000055D" w:rsidRPr="0000055D" w:rsidRDefault="0000055D" w:rsidP="0000055D">
            <w:pPr>
              <w:pStyle w:val="13"/>
              <w:ind w:firstLineChars="0" w:firstLine="0"/>
              <w:rPr>
                <w:sz w:val="18"/>
                <w:szCs w:val="18"/>
              </w:rPr>
            </w:pPr>
            <w:r w:rsidRPr="0000055D">
              <w:rPr>
                <w:sz w:val="18"/>
                <w:szCs w:val="18"/>
              </w:rPr>
              <w:t>递延所得税负债</w:t>
            </w:r>
          </w:p>
        </w:tc>
        <w:tc>
          <w:tcPr>
            <w:tcW w:w="847" w:type="pct"/>
            <w:tcBorders>
              <w:top w:val="nil"/>
              <w:left w:val="nil"/>
              <w:bottom w:val="single" w:sz="4" w:space="0" w:color="auto"/>
              <w:right w:val="single" w:sz="4" w:space="0" w:color="auto"/>
            </w:tcBorders>
            <w:vAlign w:val="center"/>
          </w:tcPr>
          <w:p w14:paraId="45C70BF3"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0022522E"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3FB76D93" w14:textId="77777777" w:rsidR="0000055D" w:rsidRPr="0000055D" w:rsidRDefault="0000055D" w:rsidP="0000055D">
            <w:pPr>
              <w:pStyle w:val="13"/>
              <w:ind w:firstLineChars="0" w:firstLine="0"/>
              <w:jc w:val="right"/>
              <w:rPr>
                <w:sz w:val="18"/>
                <w:szCs w:val="18"/>
              </w:rPr>
            </w:pPr>
          </w:p>
        </w:tc>
        <w:tc>
          <w:tcPr>
            <w:tcW w:w="847" w:type="pct"/>
            <w:tcBorders>
              <w:top w:val="nil"/>
              <w:left w:val="nil"/>
              <w:bottom w:val="single" w:sz="4" w:space="0" w:color="auto"/>
              <w:right w:val="single" w:sz="4" w:space="0" w:color="auto"/>
            </w:tcBorders>
            <w:vAlign w:val="center"/>
          </w:tcPr>
          <w:p w14:paraId="7AF38973" w14:textId="77777777" w:rsidR="0000055D" w:rsidRPr="0000055D" w:rsidRDefault="0000055D" w:rsidP="0000055D">
            <w:pPr>
              <w:pStyle w:val="13"/>
              <w:ind w:firstLineChars="0" w:firstLine="0"/>
              <w:jc w:val="right"/>
              <w:rPr>
                <w:sz w:val="18"/>
                <w:szCs w:val="18"/>
              </w:rPr>
            </w:pPr>
          </w:p>
        </w:tc>
        <w:tc>
          <w:tcPr>
            <w:tcW w:w="847" w:type="pct"/>
            <w:tcBorders>
              <w:top w:val="single" w:sz="4" w:space="0" w:color="auto"/>
              <w:left w:val="single" w:sz="4" w:space="0" w:color="auto"/>
              <w:bottom w:val="single" w:sz="4" w:space="0" w:color="auto"/>
              <w:right w:val="single" w:sz="8" w:space="0" w:color="auto"/>
            </w:tcBorders>
            <w:vAlign w:val="center"/>
          </w:tcPr>
          <w:p w14:paraId="6BED0253" w14:textId="77777777" w:rsidR="0000055D" w:rsidRPr="0000055D" w:rsidRDefault="0000055D" w:rsidP="0000055D">
            <w:pPr>
              <w:pStyle w:val="13"/>
              <w:ind w:firstLineChars="0" w:firstLine="0"/>
              <w:jc w:val="right"/>
              <w:rPr>
                <w:sz w:val="18"/>
                <w:szCs w:val="18"/>
              </w:rPr>
            </w:pPr>
          </w:p>
        </w:tc>
      </w:tr>
      <w:tr w:rsidR="0000055D" w:rsidRPr="0000055D" w14:paraId="4EE2D9FE"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6FDEF2EC" w14:textId="77777777" w:rsidR="0000055D" w:rsidRPr="0000055D" w:rsidRDefault="0000055D" w:rsidP="0000055D">
            <w:pPr>
              <w:pStyle w:val="13"/>
              <w:ind w:firstLineChars="0" w:firstLine="0"/>
              <w:rPr>
                <w:sz w:val="18"/>
                <w:szCs w:val="18"/>
              </w:rPr>
            </w:pPr>
            <w:r w:rsidRPr="0000055D">
              <w:rPr>
                <w:sz w:val="18"/>
                <w:szCs w:val="18"/>
              </w:rPr>
              <w:t>预计负债</w:t>
            </w:r>
          </w:p>
        </w:tc>
        <w:tc>
          <w:tcPr>
            <w:tcW w:w="847" w:type="pct"/>
            <w:tcBorders>
              <w:top w:val="nil"/>
              <w:left w:val="nil"/>
              <w:bottom w:val="single" w:sz="4" w:space="0" w:color="auto"/>
              <w:right w:val="single" w:sz="4" w:space="0" w:color="auto"/>
            </w:tcBorders>
            <w:vAlign w:val="center"/>
          </w:tcPr>
          <w:p w14:paraId="571A45FD" w14:textId="77777777" w:rsidR="0000055D" w:rsidRPr="0000055D" w:rsidRDefault="0000055D" w:rsidP="0000055D">
            <w:pPr>
              <w:pStyle w:val="13"/>
              <w:ind w:firstLineChars="0" w:firstLine="0"/>
              <w:jc w:val="right"/>
              <w:rPr>
                <w:sz w:val="18"/>
                <w:szCs w:val="18"/>
              </w:rPr>
            </w:pPr>
            <w:r w:rsidRPr="0000055D">
              <w:rPr>
                <w:sz w:val="18"/>
                <w:szCs w:val="18"/>
              </w:rPr>
              <w:t>32,631.68</w:t>
            </w:r>
          </w:p>
        </w:tc>
        <w:tc>
          <w:tcPr>
            <w:tcW w:w="847" w:type="pct"/>
            <w:tcBorders>
              <w:top w:val="nil"/>
              <w:left w:val="nil"/>
              <w:bottom w:val="single" w:sz="4" w:space="0" w:color="auto"/>
              <w:right w:val="single" w:sz="4" w:space="0" w:color="auto"/>
            </w:tcBorders>
            <w:vAlign w:val="center"/>
          </w:tcPr>
          <w:p w14:paraId="25FBD74C" w14:textId="77777777" w:rsidR="0000055D" w:rsidRPr="0000055D" w:rsidRDefault="0000055D" w:rsidP="0000055D">
            <w:pPr>
              <w:pStyle w:val="13"/>
              <w:ind w:firstLineChars="0" w:firstLine="0"/>
              <w:jc w:val="right"/>
              <w:rPr>
                <w:sz w:val="18"/>
                <w:szCs w:val="18"/>
              </w:rPr>
            </w:pPr>
            <w:r w:rsidRPr="0000055D">
              <w:rPr>
                <w:sz w:val="18"/>
                <w:szCs w:val="18"/>
              </w:rPr>
              <w:t>32,631.68</w:t>
            </w:r>
          </w:p>
        </w:tc>
        <w:tc>
          <w:tcPr>
            <w:tcW w:w="847" w:type="pct"/>
            <w:tcBorders>
              <w:top w:val="nil"/>
              <w:left w:val="nil"/>
              <w:bottom w:val="single" w:sz="4" w:space="0" w:color="auto"/>
              <w:right w:val="single" w:sz="4" w:space="0" w:color="auto"/>
            </w:tcBorders>
            <w:vAlign w:val="center"/>
          </w:tcPr>
          <w:p w14:paraId="497F5706" w14:textId="77777777" w:rsidR="0000055D" w:rsidRPr="0000055D" w:rsidRDefault="0000055D" w:rsidP="0000055D">
            <w:pPr>
              <w:pStyle w:val="13"/>
              <w:ind w:firstLineChars="0" w:firstLine="0"/>
              <w:jc w:val="right"/>
              <w:rPr>
                <w:sz w:val="18"/>
                <w:szCs w:val="18"/>
              </w:rPr>
            </w:pPr>
            <w:r w:rsidRPr="0000055D">
              <w:rPr>
                <w:sz w:val="18"/>
                <w:szCs w:val="18"/>
              </w:rPr>
              <w:t>32,631.68</w:t>
            </w:r>
          </w:p>
        </w:tc>
        <w:tc>
          <w:tcPr>
            <w:tcW w:w="847" w:type="pct"/>
            <w:tcBorders>
              <w:top w:val="nil"/>
              <w:left w:val="nil"/>
              <w:bottom w:val="single" w:sz="4" w:space="0" w:color="auto"/>
              <w:right w:val="single" w:sz="4" w:space="0" w:color="auto"/>
            </w:tcBorders>
            <w:vAlign w:val="center"/>
          </w:tcPr>
          <w:p w14:paraId="353A67E8" w14:textId="77777777" w:rsidR="0000055D" w:rsidRPr="0000055D" w:rsidRDefault="0000055D" w:rsidP="0000055D">
            <w:pPr>
              <w:pStyle w:val="13"/>
              <w:ind w:firstLineChars="0" w:firstLine="0"/>
              <w:jc w:val="right"/>
              <w:rPr>
                <w:sz w:val="18"/>
                <w:szCs w:val="18"/>
              </w:rPr>
            </w:pPr>
            <w:r w:rsidRPr="0000055D">
              <w:rPr>
                <w:sz w:val="18"/>
                <w:szCs w:val="18"/>
              </w:rPr>
              <w:t>32,631.68</w:t>
            </w:r>
          </w:p>
        </w:tc>
        <w:tc>
          <w:tcPr>
            <w:tcW w:w="847" w:type="pct"/>
            <w:tcBorders>
              <w:top w:val="nil"/>
              <w:left w:val="single" w:sz="4" w:space="0" w:color="auto"/>
              <w:bottom w:val="single" w:sz="4" w:space="0" w:color="auto"/>
              <w:right w:val="single" w:sz="8" w:space="0" w:color="auto"/>
            </w:tcBorders>
            <w:vAlign w:val="center"/>
          </w:tcPr>
          <w:p w14:paraId="1CB10A3F" w14:textId="77777777" w:rsidR="0000055D" w:rsidRPr="0000055D" w:rsidRDefault="0000055D" w:rsidP="0000055D">
            <w:pPr>
              <w:pStyle w:val="13"/>
              <w:ind w:firstLineChars="0" w:firstLine="0"/>
              <w:jc w:val="right"/>
              <w:rPr>
                <w:sz w:val="18"/>
                <w:szCs w:val="18"/>
              </w:rPr>
            </w:pPr>
            <w:r w:rsidRPr="0000055D">
              <w:rPr>
                <w:sz w:val="18"/>
                <w:szCs w:val="18"/>
              </w:rPr>
              <w:t>32,631.68</w:t>
            </w:r>
          </w:p>
        </w:tc>
      </w:tr>
      <w:tr w:rsidR="0000055D" w:rsidRPr="0000055D" w14:paraId="39ECF742" w14:textId="77777777" w:rsidTr="0000055D">
        <w:trPr>
          <w:trHeight w:val="300"/>
        </w:trPr>
        <w:tc>
          <w:tcPr>
            <w:tcW w:w="763" w:type="pct"/>
            <w:tcBorders>
              <w:top w:val="nil"/>
              <w:left w:val="single" w:sz="8" w:space="0" w:color="auto"/>
              <w:bottom w:val="single" w:sz="4" w:space="0" w:color="auto"/>
              <w:right w:val="single" w:sz="4" w:space="0" w:color="auto"/>
            </w:tcBorders>
            <w:vAlign w:val="center"/>
          </w:tcPr>
          <w:p w14:paraId="6FD1CD92" w14:textId="77777777" w:rsidR="0000055D" w:rsidRPr="0000055D" w:rsidRDefault="0000055D" w:rsidP="0000055D">
            <w:pPr>
              <w:pStyle w:val="13"/>
              <w:ind w:firstLineChars="0" w:firstLine="0"/>
              <w:rPr>
                <w:sz w:val="18"/>
                <w:szCs w:val="18"/>
              </w:rPr>
            </w:pPr>
            <w:r w:rsidRPr="0000055D">
              <w:rPr>
                <w:sz w:val="18"/>
                <w:szCs w:val="18"/>
              </w:rPr>
              <w:t>其他负债</w:t>
            </w:r>
          </w:p>
        </w:tc>
        <w:tc>
          <w:tcPr>
            <w:tcW w:w="847" w:type="pct"/>
            <w:tcBorders>
              <w:top w:val="nil"/>
              <w:left w:val="nil"/>
              <w:bottom w:val="single" w:sz="4" w:space="0" w:color="auto"/>
              <w:right w:val="single" w:sz="4" w:space="0" w:color="auto"/>
            </w:tcBorders>
            <w:vAlign w:val="center"/>
          </w:tcPr>
          <w:p w14:paraId="5EC8543F" w14:textId="77777777" w:rsidR="0000055D" w:rsidRPr="0000055D" w:rsidRDefault="0000055D" w:rsidP="0000055D">
            <w:pPr>
              <w:pStyle w:val="13"/>
              <w:ind w:firstLineChars="0" w:firstLine="0"/>
              <w:jc w:val="right"/>
              <w:rPr>
                <w:sz w:val="18"/>
                <w:szCs w:val="18"/>
              </w:rPr>
            </w:pPr>
            <w:r w:rsidRPr="0000055D">
              <w:rPr>
                <w:sz w:val="18"/>
                <w:szCs w:val="18"/>
              </w:rPr>
              <w:t>2,481,047.19</w:t>
            </w:r>
          </w:p>
        </w:tc>
        <w:tc>
          <w:tcPr>
            <w:tcW w:w="847" w:type="pct"/>
            <w:tcBorders>
              <w:top w:val="nil"/>
              <w:left w:val="nil"/>
              <w:bottom w:val="single" w:sz="4" w:space="0" w:color="auto"/>
              <w:right w:val="single" w:sz="4" w:space="0" w:color="auto"/>
            </w:tcBorders>
            <w:vAlign w:val="center"/>
          </w:tcPr>
          <w:p w14:paraId="4654D89E" w14:textId="77777777" w:rsidR="0000055D" w:rsidRPr="0000055D" w:rsidRDefault="0000055D" w:rsidP="0000055D">
            <w:pPr>
              <w:pStyle w:val="13"/>
              <w:ind w:firstLineChars="0" w:firstLine="0"/>
              <w:jc w:val="right"/>
              <w:rPr>
                <w:sz w:val="18"/>
                <w:szCs w:val="18"/>
              </w:rPr>
            </w:pPr>
            <w:r w:rsidRPr="0000055D">
              <w:rPr>
                <w:sz w:val="18"/>
                <w:szCs w:val="18"/>
              </w:rPr>
              <w:t>2,481,047.19</w:t>
            </w:r>
          </w:p>
        </w:tc>
        <w:tc>
          <w:tcPr>
            <w:tcW w:w="847" w:type="pct"/>
            <w:tcBorders>
              <w:top w:val="nil"/>
              <w:left w:val="nil"/>
              <w:bottom w:val="single" w:sz="4" w:space="0" w:color="auto"/>
              <w:right w:val="single" w:sz="4" w:space="0" w:color="auto"/>
            </w:tcBorders>
            <w:vAlign w:val="center"/>
          </w:tcPr>
          <w:p w14:paraId="4006F62C" w14:textId="77777777" w:rsidR="0000055D" w:rsidRPr="0000055D" w:rsidRDefault="0000055D" w:rsidP="0000055D">
            <w:pPr>
              <w:pStyle w:val="13"/>
              <w:ind w:firstLineChars="0" w:firstLine="0"/>
              <w:jc w:val="right"/>
              <w:rPr>
                <w:sz w:val="18"/>
                <w:szCs w:val="18"/>
              </w:rPr>
            </w:pPr>
            <w:r w:rsidRPr="0000055D">
              <w:rPr>
                <w:sz w:val="18"/>
                <w:szCs w:val="18"/>
              </w:rPr>
              <w:t>2,481,047.19</w:t>
            </w:r>
          </w:p>
        </w:tc>
        <w:tc>
          <w:tcPr>
            <w:tcW w:w="847" w:type="pct"/>
            <w:tcBorders>
              <w:top w:val="nil"/>
              <w:left w:val="nil"/>
              <w:bottom w:val="single" w:sz="4" w:space="0" w:color="auto"/>
              <w:right w:val="single" w:sz="4" w:space="0" w:color="auto"/>
            </w:tcBorders>
            <w:vAlign w:val="center"/>
          </w:tcPr>
          <w:p w14:paraId="661EC87A" w14:textId="77777777" w:rsidR="0000055D" w:rsidRPr="0000055D" w:rsidRDefault="0000055D" w:rsidP="0000055D">
            <w:pPr>
              <w:pStyle w:val="13"/>
              <w:ind w:firstLineChars="0" w:firstLine="0"/>
              <w:jc w:val="right"/>
              <w:rPr>
                <w:sz w:val="18"/>
                <w:szCs w:val="18"/>
              </w:rPr>
            </w:pPr>
            <w:r w:rsidRPr="0000055D">
              <w:rPr>
                <w:sz w:val="18"/>
                <w:szCs w:val="18"/>
              </w:rPr>
              <w:t>2,481,047.19</w:t>
            </w:r>
          </w:p>
        </w:tc>
        <w:tc>
          <w:tcPr>
            <w:tcW w:w="847" w:type="pct"/>
            <w:tcBorders>
              <w:top w:val="nil"/>
              <w:left w:val="single" w:sz="4" w:space="0" w:color="auto"/>
              <w:bottom w:val="single" w:sz="4" w:space="0" w:color="auto"/>
              <w:right w:val="single" w:sz="8" w:space="0" w:color="auto"/>
            </w:tcBorders>
            <w:vAlign w:val="center"/>
          </w:tcPr>
          <w:p w14:paraId="45FDF000" w14:textId="77777777" w:rsidR="0000055D" w:rsidRPr="0000055D" w:rsidRDefault="0000055D" w:rsidP="0000055D">
            <w:pPr>
              <w:pStyle w:val="13"/>
              <w:ind w:firstLineChars="0" w:firstLine="0"/>
              <w:jc w:val="right"/>
              <w:rPr>
                <w:sz w:val="18"/>
                <w:szCs w:val="18"/>
              </w:rPr>
            </w:pPr>
            <w:r w:rsidRPr="0000055D">
              <w:rPr>
                <w:sz w:val="18"/>
                <w:szCs w:val="18"/>
              </w:rPr>
              <w:t>2,481,047.19</w:t>
            </w:r>
          </w:p>
        </w:tc>
      </w:tr>
      <w:tr w:rsidR="0000055D" w:rsidRPr="0000055D" w14:paraId="63BBD01C" w14:textId="77777777" w:rsidTr="0000055D">
        <w:trPr>
          <w:trHeight w:val="285"/>
        </w:trPr>
        <w:tc>
          <w:tcPr>
            <w:tcW w:w="763" w:type="pct"/>
            <w:tcBorders>
              <w:top w:val="nil"/>
              <w:left w:val="single" w:sz="8" w:space="0" w:color="auto"/>
              <w:bottom w:val="single" w:sz="4" w:space="0" w:color="auto"/>
              <w:right w:val="single" w:sz="4" w:space="0" w:color="auto"/>
            </w:tcBorders>
            <w:vAlign w:val="center"/>
          </w:tcPr>
          <w:p w14:paraId="52D66ED9" w14:textId="77777777" w:rsidR="0000055D" w:rsidRPr="0000055D" w:rsidRDefault="0000055D" w:rsidP="0000055D">
            <w:pPr>
              <w:pStyle w:val="13"/>
              <w:ind w:firstLineChars="0" w:firstLine="0"/>
              <w:rPr>
                <w:sz w:val="18"/>
                <w:szCs w:val="18"/>
              </w:rPr>
            </w:pPr>
            <w:r w:rsidRPr="0000055D">
              <w:rPr>
                <w:sz w:val="18"/>
                <w:szCs w:val="18"/>
              </w:rPr>
              <w:t>负债合计</w:t>
            </w:r>
          </w:p>
        </w:tc>
        <w:tc>
          <w:tcPr>
            <w:tcW w:w="847" w:type="pct"/>
            <w:tcBorders>
              <w:top w:val="nil"/>
              <w:left w:val="nil"/>
              <w:bottom w:val="single" w:sz="4" w:space="0" w:color="auto"/>
              <w:right w:val="single" w:sz="4" w:space="0" w:color="auto"/>
            </w:tcBorders>
            <w:vAlign w:val="center"/>
          </w:tcPr>
          <w:p w14:paraId="07676CCD" w14:textId="77777777" w:rsidR="0000055D" w:rsidRPr="0000055D" w:rsidRDefault="0000055D" w:rsidP="0000055D">
            <w:pPr>
              <w:pStyle w:val="13"/>
              <w:ind w:firstLineChars="0" w:firstLine="0"/>
              <w:jc w:val="right"/>
              <w:rPr>
                <w:sz w:val="18"/>
                <w:szCs w:val="18"/>
              </w:rPr>
            </w:pPr>
            <w:r w:rsidRPr="0000055D">
              <w:rPr>
                <w:sz w:val="18"/>
                <w:szCs w:val="18"/>
              </w:rPr>
              <w:t>246,945,737.65</w:t>
            </w:r>
          </w:p>
        </w:tc>
        <w:tc>
          <w:tcPr>
            <w:tcW w:w="847" w:type="pct"/>
            <w:tcBorders>
              <w:top w:val="nil"/>
              <w:left w:val="nil"/>
              <w:bottom w:val="single" w:sz="4" w:space="0" w:color="auto"/>
              <w:right w:val="single" w:sz="4" w:space="0" w:color="auto"/>
            </w:tcBorders>
            <w:vAlign w:val="center"/>
          </w:tcPr>
          <w:p w14:paraId="25C5B284" w14:textId="77777777" w:rsidR="0000055D" w:rsidRPr="0000055D" w:rsidRDefault="0000055D" w:rsidP="0000055D">
            <w:pPr>
              <w:pStyle w:val="13"/>
              <w:ind w:firstLineChars="0" w:firstLine="0"/>
              <w:jc w:val="right"/>
              <w:rPr>
                <w:sz w:val="18"/>
                <w:szCs w:val="18"/>
              </w:rPr>
            </w:pPr>
            <w:r w:rsidRPr="0000055D">
              <w:rPr>
                <w:sz w:val="18"/>
                <w:szCs w:val="18"/>
              </w:rPr>
              <w:t>270,545,348.59</w:t>
            </w:r>
          </w:p>
        </w:tc>
        <w:tc>
          <w:tcPr>
            <w:tcW w:w="847" w:type="pct"/>
            <w:tcBorders>
              <w:top w:val="nil"/>
              <w:left w:val="nil"/>
              <w:bottom w:val="single" w:sz="4" w:space="0" w:color="auto"/>
              <w:right w:val="single" w:sz="4" w:space="0" w:color="auto"/>
            </w:tcBorders>
            <w:vAlign w:val="center"/>
          </w:tcPr>
          <w:p w14:paraId="2C5E34B7" w14:textId="77777777" w:rsidR="0000055D" w:rsidRPr="0000055D" w:rsidRDefault="0000055D" w:rsidP="0000055D">
            <w:pPr>
              <w:pStyle w:val="13"/>
              <w:ind w:firstLineChars="0" w:firstLine="0"/>
              <w:jc w:val="right"/>
              <w:rPr>
                <w:sz w:val="18"/>
                <w:szCs w:val="18"/>
              </w:rPr>
            </w:pPr>
            <w:r w:rsidRPr="0000055D">
              <w:rPr>
                <w:sz w:val="18"/>
                <w:szCs w:val="18"/>
              </w:rPr>
              <w:t>296,504,895.87</w:t>
            </w:r>
          </w:p>
        </w:tc>
        <w:tc>
          <w:tcPr>
            <w:tcW w:w="847" w:type="pct"/>
            <w:tcBorders>
              <w:top w:val="nil"/>
              <w:left w:val="nil"/>
              <w:bottom w:val="single" w:sz="4" w:space="0" w:color="auto"/>
              <w:right w:val="single" w:sz="4" w:space="0" w:color="auto"/>
            </w:tcBorders>
            <w:vAlign w:val="center"/>
          </w:tcPr>
          <w:p w14:paraId="35192440" w14:textId="77777777" w:rsidR="0000055D" w:rsidRPr="0000055D" w:rsidRDefault="0000055D" w:rsidP="0000055D">
            <w:pPr>
              <w:pStyle w:val="13"/>
              <w:ind w:firstLineChars="0" w:firstLine="0"/>
              <w:jc w:val="right"/>
              <w:rPr>
                <w:sz w:val="18"/>
                <w:szCs w:val="18"/>
              </w:rPr>
            </w:pPr>
            <w:r w:rsidRPr="0000055D">
              <w:rPr>
                <w:sz w:val="18"/>
                <w:szCs w:val="18"/>
              </w:rPr>
              <w:t>322,204,877.32</w:t>
            </w:r>
          </w:p>
        </w:tc>
        <w:tc>
          <w:tcPr>
            <w:tcW w:w="847" w:type="pct"/>
            <w:tcBorders>
              <w:top w:val="nil"/>
              <w:left w:val="single" w:sz="4" w:space="0" w:color="auto"/>
              <w:bottom w:val="single" w:sz="4" w:space="0" w:color="auto"/>
              <w:right w:val="single" w:sz="8" w:space="0" w:color="auto"/>
            </w:tcBorders>
            <w:vAlign w:val="center"/>
          </w:tcPr>
          <w:p w14:paraId="209087F0" w14:textId="77777777" w:rsidR="0000055D" w:rsidRPr="0000055D" w:rsidRDefault="0000055D" w:rsidP="0000055D">
            <w:pPr>
              <w:pStyle w:val="13"/>
              <w:ind w:firstLineChars="0" w:firstLine="0"/>
              <w:jc w:val="right"/>
              <w:rPr>
                <w:sz w:val="18"/>
                <w:szCs w:val="18"/>
              </w:rPr>
            </w:pPr>
            <w:r w:rsidRPr="0000055D">
              <w:rPr>
                <w:sz w:val="18"/>
                <w:szCs w:val="18"/>
              </w:rPr>
              <w:t>347,105,277.81</w:t>
            </w:r>
          </w:p>
        </w:tc>
      </w:tr>
    </w:tbl>
    <w:p w14:paraId="07051E15" w14:textId="77777777" w:rsidR="0000055D" w:rsidRPr="0000055D" w:rsidRDefault="0000055D" w:rsidP="0000055D">
      <w:pPr>
        <w:pStyle w:val="ab"/>
        <w:spacing w:before="62" w:after="62"/>
        <w:ind w:firstLine="482"/>
        <w:rPr>
          <w:lang w:val="zh-TW"/>
        </w:rPr>
      </w:pPr>
      <w:r w:rsidRPr="0000055D">
        <w:rPr>
          <w:rFonts w:hint="eastAsia"/>
          <w:lang w:val="zh-TW"/>
        </w:rPr>
        <w:t>案例二：银行权益变动表预测</w:t>
      </w:r>
    </w:p>
    <w:p w14:paraId="6A5FC998" w14:textId="77777777" w:rsidR="0000055D" w:rsidRPr="0000055D" w:rsidRDefault="0000055D" w:rsidP="0000055D">
      <w:pPr>
        <w:pStyle w:val="13"/>
      </w:pPr>
      <w:r w:rsidRPr="0000055D">
        <w:t>根据xx银行资产、负债规模，结合股本、资本公积、一般风险准备及实现净利润对权益变动表进行预测。</w:t>
      </w:r>
    </w:p>
    <w:p w14:paraId="77C5AE5F" w14:textId="77777777" w:rsidR="0000055D" w:rsidRPr="0000055D" w:rsidRDefault="0000055D" w:rsidP="0000055D">
      <w:pPr>
        <w:pStyle w:val="13"/>
      </w:pPr>
      <w:r w:rsidRPr="0000055D">
        <w:t>股本和资本公积在预测</w:t>
      </w:r>
      <w:proofErr w:type="gramStart"/>
      <w:r w:rsidRPr="0000055D">
        <w:t>期保持</w:t>
      </w:r>
      <w:proofErr w:type="gramEnd"/>
      <w:r w:rsidRPr="0000055D">
        <w:t>评估基准日水平不变。盈余公</w:t>
      </w:r>
      <w:proofErr w:type="gramStart"/>
      <w:r w:rsidRPr="0000055D">
        <w:t>积根据</w:t>
      </w:r>
      <w:proofErr w:type="gramEnd"/>
      <w:r w:rsidRPr="0000055D">
        <w:t>公司法关于提取盈余公积的相关规定，按净利润的10%进行提取，当提取的法定盈余公积金累计额超过注册资本的50%以上时，可以不再提取。一般风险准备根据监管政策按照净利润的10%进行提取。按照会计政策提取盈余公积和一般风险准备后，对xx银行的资本充足率进行测算，使资本充足</w:t>
      </w:r>
      <w:proofErr w:type="gramStart"/>
      <w:r w:rsidRPr="0000055D">
        <w:t>率满足</w:t>
      </w:r>
      <w:proofErr w:type="gramEnd"/>
      <w:r w:rsidRPr="0000055D">
        <w:t>监管要求的前提下将利润最大程度进行分配。</w:t>
      </w:r>
    </w:p>
    <w:p w14:paraId="75BF70C3" w14:textId="77777777" w:rsidR="0000055D" w:rsidRPr="0000055D" w:rsidRDefault="0000055D" w:rsidP="0000055D">
      <w:pPr>
        <w:pStyle w:val="13"/>
      </w:pPr>
      <w:r w:rsidRPr="0000055D">
        <w:t>2012年6月7日，银监会发布了《商业银行资本管理办法（试行）》（以下简称“《资本办法》”）。《资本办法》将于2013年1月1日起施行，要求商业银行在2018年底前达到规定的资本充足率监管要求。通过尽职调查了解到，xx银行在过渡年份资本充足率也会争取保持在10.5%的监管水平以上，</w:t>
      </w:r>
      <w:r w:rsidRPr="0000055D">
        <w:rPr>
          <w:rFonts w:hint="eastAsia"/>
        </w:rPr>
        <w:t>资产评估师</w:t>
      </w:r>
      <w:r w:rsidRPr="0000055D">
        <w:t>根据xx银行的发展速度，资产的扩张速度，为使盈利预测中的核心资本充足率达到要求，一方面在满足资本充足率监管要求，提取一般风险准备和盈余公积后，最大可能分配利润；另一方面在资本不足时进行资本补充。资本充足率根据历史年度风险资本占总资产比重进行测算。</w:t>
      </w:r>
    </w:p>
    <w:p w14:paraId="6638A790" w14:textId="73839B63" w:rsidR="00E50D08" w:rsidRPr="00E50D08" w:rsidRDefault="0000055D" w:rsidP="0000055D">
      <w:pPr>
        <w:pStyle w:val="13"/>
        <w:jc w:val="center"/>
      </w:pPr>
      <w:r w:rsidRPr="0000055D">
        <w:rPr>
          <w:rFonts w:hint="eastAsia"/>
        </w:rPr>
        <w:t>资本充足率监管表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327"/>
        <w:gridCol w:w="1327"/>
        <w:gridCol w:w="1327"/>
        <w:gridCol w:w="1327"/>
        <w:gridCol w:w="1325"/>
      </w:tblGrid>
      <w:tr w:rsidR="0000055D" w:rsidRPr="0000055D" w14:paraId="13DBFC02" w14:textId="77777777" w:rsidTr="00E905CE">
        <w:trPr>
          <w:trHeight w:val="285"/>
          <w:jc w:val="center"/>
        </w:trPr>
        <w:tc>
          <w:tcPr>
            <w:tcW w:w="1196" w:type="pct"/>
            <w:vAlign w:val="center"/>
          </w:tcPr>
          <w:p w14:paraId="12A67513" w14:textId="77777777" w:rsidR="0000055D" w:rsidRPr="0000055D" w:rsidRDefault="0000055D" w:rsidP="0000055D">
            <w:pPr>
              <w:pStyle w:val="13"/>
              <w:ind w:firstLineChars="0" w:firstLine="0"/>
              <w:jc w:val="center"/>
              <w:rPr>
                <w:b/>
                <w:sz w:val="18"/>
                <w:szCs w:val="18"/>
              </w:rPr>
            </w:pPr>
            <w:r w:rsidRPr="0000055D">
              <w:rPr>
                <w:b/>
                <w:sz w:val="18"/>
                <w:szCs w:val="18"/>
              </w:rPr>
              <w:t>年份</w:t>
            </w:r>
          </w:p>
        </w:tc>
        <w:tc>
          <w:tcPr>
            <w:tcW w:w="761" w:type="pct"/>
            <w:vAlign w:val="center"/>
          </w:tcPr>
          <w:p w14:paraId="16E61506" w14:textId="77777777" w:rsidR="0000055D" w:rsidRPr="0000055D" w:rsidRDefault="0000055D" w:rsidP="0000055D">
            <w:pPr>
              <w:pStyle w:val="13"/>
              <w:ind w:firstLineChars="0" w:firstLine="0"/>
              <w:jc w:val="center"/>
              <w:rPr>
                <w:b/>
                <w:sz w:val="18"/>
                <w:szCs w:val="18"/>
              </w:rPr>
            </w:pPr>
            <w:r w:rsidRPr="0000055D">
              <w:rPr>
                <w:b/>
                <w:sz w:val="18"/>
                <w:szCs w:val="18"/>
              </w:rPr>
              <w:t>20x4年</w:t>
            </w:r>
          </w:p>
        </w:tc>
        <w:tc>
          <w:tcPr>
            <w:tcW w:w="761" w:type="pct"/>
            <w:vAlign w:val="center"/>
          </w:tcPr>
          <w:p w14:paraId="13C146B9" w14:textId="77777777" w:rsidR="0000055D" w:rsidRPr="0000055D" w:rsidRDefault="0000055D" w:rsidP="0000055D">
            <w:pPr>
              <w:pStyle w:val="13"/>
              <w:ind w:firstLineChars="0" w:firstLine="0"/>
              <w:jc w:val="center"/>
              <w:rPr>
                <w:b/>
                <w:sz w:val="18"/>
                <w:szCs w:val="18"/>
              </w:rPr>
            </w:pPr>
            <w:r w:rsidRPr="0000055D">
              <w:rPr>
                <w:b/>
                <w:sz w:val="18"/>
                <w:szCs w:val="18"/>
              </w:rPr>
              <w:t>20x5年</w:t>
            </w:r>
          </w:p>
        </w:tc>
        <w:tc>
          <w:tcPr>
            <w:tcW w:w="761" w:type="pct"/>
            <w:vAlign w:val="center"/>
          </w:tcPr>
          <w:p w14:paraId="78C2DBE1" w14:textId="77777777" w:rsidR="0000055D" w:rsidRPr="0000055D" w:rsidRDefault="0000055D" w:rsidP="0000055D">
            <w:pPr>
              <w:pStyle w:val="13"/>
              <w:ind w:firstLineChars="0" w:firstLine="0"/>
              <w:jc w:val="center"/>
              <w:rPr>
                <w:b/>
                <w:sz w:val="18"/>
                <w:szCs w:val="18"/>
              </w:rPr>
            </w:pPr>
            <w:r w:rsidRPr="0000055D">
              <w:rPr>
                <w:b/>
                <w:sz w:val="18"/>
                <w:szCs w:val="18"/>
              </w:rPr>
              <w:t>20x6年</w:t>
            </w:r>
          </w:p>
        </w:tc>
        <w:tc>
          <w:tcPr>
            <w:tcW w:w="761" w:type="pct"/>
            <w:vAlign w:val="center"/>
          </w:tcPr>
          <w:p w14:paraId="667A3B2D" w14:textId="77777777" w:rsidR="0000055D" w:rsidRPr="0000055D" w:rsidRDefault="0000055D" w:rsidP="0000055D">
            <w:pPr>
              <w:pStyle w:val="13"/>
              <w:ind w:firstLineChars="0" w:firstLine="0"/>
              <w:jc w:val="center"/>
              <w:rPr>
                <w:b/>
                <w:sz w:val="18"/>
                <w:szCs w:val="18"/>
              </w:rPr>
            </w:pPr>
            <w:r w:rsidRPr="0000055D">
              <w:rPr>
                <w:b/>
                <w:sz w:val="18"/>
                <w:szCs w:val="18"/>
              </w:rPr>
              <w:t>20x7年</w:t>
            </w:r>
          </w:p>
        </w:tc>
        <w:tc>
          <w:tcPr>
            <w:tcW w:w="760" w:type="pct"/>
            <w:vAlign w:val="center"/>
          </w:tcPr>
          <w:p w14:paraId="7A3D11AC" w14:textId="77777777" w:rsidR="0000055D" w:rsidRPr="0000055D" w:rsidRDefault="0000055D" w:rsidP="0000055D">
            <w:pPr>
              <w:pStyle w:val="13"/>
              <w:ind w:firstLineChars="0" w:firstLine="0"/>
              <w:jc w:val="center"/>
              <w:rPr>
                <w:b/>
                <w:sz w:val="18"/>
                <w:szCs w:val="18"/>
              </w:rPr>
            </w:pPr>
            <w:r w:rsidRPr="0000055D">
              <w:rPr>
                <w:b/>
                <w:sz w:val="18"/>
                <w:szCs w:val="18"/>
              </w:rPr>
              <w:t>20x8年</w:t>
            </w:r>
          </w:p>
        </w:tc>
      </w:tr>
      <w:tr w:rsidR="0000055D" w:rsidRPr="0000055D" w14:paraId="4EF27823" w14:textId="77777777" w:rsidTr="00E905CE">
        <w:trPr>
          <w:trHeight w:val="285"/>
          <w:jc w:val="center"/>
        </w:trPr>
        <w:tc>
          <w:tcPr>
            <w:tcW w:w="1196" w:type="pct"/>
            <w:vAlign w:val="center"/>
          </w:tcPr>
          <w:p w14:paraId="795F8A67" w14:textId="77777777" w:rsidR="0000055D" w:rsidRPr="0000055D" w:rsidRDefault="0000055D" w:rsidP="0000055D">
            <w:pPr>
              <w:pStyle w:val="13"/>
              <w:ind w:firstLineChars="0" w:firstLine="0"/>
              <w:rPr>
                <w:sz w:val="18"/>
                <w:szCs w:val="18"/>
              </w:rPr>
            </w:pPr>
            <w:r w:rsidRPr="0000055D">
              <w:rPr>
                <w:sz w:val="18"/>
                <w:szCs w:val="18"/>
              </w:rPr>
              <w:t>核心一级资本充足率</w:t>
            </w:r>
          </w:p>
        </w:tc>
        <w:tc>
          <w:tcPr>
            <w:tcW w:w="761" w:type="pct"/>
            <w:vAlign w:val="center"/>
          </w:tcPr>
          <w:p w14:paraId="614D7BAA" w14:textId="77777777" w:rsidR="0000055D" w:rsidRPr="0000055D" w:rsidRDefault="0000055D" w:rsidP="0000055D">
            <w:pPr>
              <w:pStyle w:val="13"/>
              <w:ind w:firstLineChars="0" w:firstLine="0"/>
              <w:jc w:val="right"/>
              <w:rPr>
                <w:sz w:val="18"/>
                <w:szCs w:val="18"/>
              </w:rPr>
            </w:pPr>
            <w:r w:rsidRPr="0000055D">
              <w:rPr>
                <w:sz w:val="18"/>
                <w:szCs w:val="18"/>
              </w:rPr>
              <w:t>8.56%</w:t>
            </w:r>
          </w:p>
        </w:tc>
        <w:tc>
          <w:tcPr>
            <w:tcW w:w="761" w:type="pct"/>
            <w:vAlign w:val="center"/>
          </w:tcPr>
          <w:p w14:paraId="748E1879" w14:textId="77777777" w:rsidR="0000055D" w:rsidRPr="0000055D" w:rsidRDefault="0000055D" w:rsidP="0000055D">
            <w:pPr>
              <w:pStyle w:val="13"/>
              <w:ind w:firstLineChars="0" w:firstLine="0"/>
              <w:jc w:val="right"/>
              <w:rPr>
                <w:sz w:val="18"/>
                <w:szCs w:val="18"/>
              </w:rPr>
            </w:pPr>
            <w:r w:rsidRPr="0000055D">
              <w:rPr>
                <w:sz w:val="18"/>
                <w:szCs w:val="18"/>
              </w:rPr>
              <w:t>8.81%</w:t>
            </w:r>
          </w:p>
        </w:tc>
        <w:tc>
          <w:tcPr>
            <w:tcW w:w="761" w:type="pct"/>
            <w:vAlign w:val="center"/>
          </w:tcPr>
          <w:p w14:paraId="0A4DD37F" w14:textId="77777777" w:rsidR="0000055D" w:rsidRPr="0000055D" w:rsidRDefault="0000055D" w:rsidP="0000055D">
            <w:pPr>
              <w:pStyle w:val="13"/>
              <w:ind w:firstLineChars="0" w:firstLine="0"/>
              <w:jc w:val="right"/>
              <w:rPr>
                <w:sz w:val="18"/>
                <w:szCs w:val="18"/>
              </w:rPr>
            </w:pPr>
            <w:r w:rsidRPr="0000055D">
              <w:rPr>
                <w:sz w:val="18"/>
                <w:szCs w:val="18"/>
              </w:rPr>
              <w:t>9.03%</w:t>
            </w:r>
          </w:p>
        </w:tc>
        <w:tc>
          <w:tcPr>
            <w:tcW w:w="761" w:type="pct"/>
            <w:vAlign w:val="center"/>
          </w:tcPr>
          <w:p w14:paraId="66B75439" w14:textId="77777777" w:rsidR="0000055D" w:rsidRPr="0000055D" w:rsidRDefault="0000055D" w:rsidP="0000055D">
            <w:pPr>
              <w:pStyle w:val="13"/>
              <w:ind w:firstLineChars="0" w:firstLine="0"/>
              <w:jc w:val="right"/>
              <w:rPr>
                <w:sz w:val="18"/>
                <w:szCs w:val="18"/>
              </w:rPr>
            </w:pPr>
            <w:r w:rsidRPr="0000055D">
              <w:rPr>
                <w:sz w:val="18"/>
                <w:szCs w:val="18"/>
              </w:rPr>
              <w:t>9.22%</w:t>
            </w:r>
          </w:p>
        </w:tc>
        <w:tc>
          <w:tcPr>
            <w:tcW w:w="760" w:type="pct"/>
            <w:vAlign w:val="center"/>
          </w:tcPr>
          <w:p w14:paraId="22270B8A" w14:textId="77777777" w:rsidR="0000055D" w:rsidRPr="0000055D" w:rsidRDefault="0000055D" w:rsidP="0000055D">
            <w:pPr>
              <w:pStyle w:val="13"/>
              <w:ind w:firstLineChars="0" w:firstLine="0"/>
              <w:jc w:val="right"/>
              <w:rPr>
                <w:sz w:val="18"/>
                <w:szCs w:val="18"/>
              </w:rPr>
            </w:pPr>
            <w:r w:rsidRPr="0000055D">
              <w:rPr>
                <w:sz w:val="18"/>
                <w:szCs w:val="18"/>
              </w:rPr>
              <w:t>9.36%</w:t>
            </w:r>
          </w:p>
        </w:tc>
      </w:tr>
      <w:tr w:rsidR="0000055D" w:rsidRPr="0000055D" w14:paraId="7ADC580E" w14:textId="77777777" w:rsidTr="00E905CE">
        <w:trPr>
          <w:trHeight w:val="285"/>
          <w:jc w:val="center"/>
        </w:trPr>
        <w:tc>
          <w:tcPr>
            <w:tcW w:w="1196" w:type="pct"/>
            <w:vAlign w:val="center"/>
          </w:tcPr>
          <w:p w14:paraId="46F7A9BC" w14:textId="77777777" w:rsidR="0000055D" w:rsidRPr="0000055D" w:rsidRDefault="0000055D" w:rsidP="0000055D">
            <w:pPr>
              <w:pStyle w:val="13"/>
              <w:ind w:firstLineChars="0" w:firstLine="0"/>
              <w:rPr>
                <w:sz w:val="18"/>
                <w:szCs w:val="18"/>
              </w:rPr>
            </w:pPr>
            <w:r w:rsidRPr="0000055D">
              <w:rPr>
                <w:sz w:val="18"/>
                <w:szCs w:val="18"/>
              </w:rPr>
              <w:t>一级资本充足率</w:t>
            </w:r>
          </w:p>
        </w:tc>
        <w:tc>
          <w:tcPr>
            <w:tcW w:w="761" w:type="pct"/>
            <w:vAlign w:val="center"/>
          </w:tcPr>
          <w:p w14:paraId="26377507" w14:textId="77777777" w:rsidR="0000055D" w:rsidRPr="0000055D" w:rsidRDefault="0000055D" w:rsidP="0000055D">
            <w:pPr>
              <w:pStyle w:val="13"/>
              <w:ind w:firstLineChars="0" w:firstLine="0"/>
              <w:jc w:val="right"/>
              <w:rPr>
                <w:sz w:val="18"/>
                <w:szCs w:val="18"/>
              </w:rPr>
            </w:pPr>
            <w:r w:rsidRPr="0000055D">
              <w:rPr>
                <w:sz w:val="18"/>
                <w:szCs w:val="18"/>
              </w:rPr>
              <w:t>8.56%</w:t>
            </w:r>
          </w:p>
        </w:tc>
        <w:tc>
          <w:tcPr>
            <w:tcW w:w="761" w:type="pct"/>
            <w:vAlign w:val="center"/>
          </w:tcPr>
          <w:p w14:paraId="38915E51" w14:textId="77777777" w:rsidR="0000055D" w:rsidRPr="0000055D" w:rsidRDefault="0000055D" w:rsidP="0000055D">
            <w:pPr>
              <w:pStyle w:val="13"/>
              <w:ind w:firstLineChars="0" w:firstLine="0"/>
              <w:jc w:val="right"/>
              <w:rPr>
                <w:sz w:val="18"/>
                <w:szCs w:val="18"/>
              </w:rPr>
            </w:pPr>
            <w:r w:rsidRPr="0000055D">
              <w:rPr>
                <w:sz w:val="18"/>
                <w:szCs w:val="18"/>
              </w:rPr>
              <w:t>8.81%</w:t>
            </w:r>
          </w:p>
        </w:tc>
        <w:tc>
          <w:tcPr>
            <w:tcW w:w="761" w:type="pct"/>
            <w:vAlign w:val="center"/>
          </w:tcPr>
          <w:p w14:paraId="3BDC1BEC" w14:textId="77777777" w:rsidR="0000055D" w:rsidRPr="0000055D" w:rsidRDefault="0000055D" w:rsidP="0000055D">
            <w:pPr>
              <w:pStyle w:val="13"/>
              <w:ind w:firstLineChars="0" w:firstLine="0"/>
              <w:jc w:val="right"/>
              <w:rPr>
                <w:sz w:val="18"/>
                <w:szCs w:val="18"/>
              </w:rPr>
            </w:pPr>
            <w:r w:rsidRPr="0000055D">
              <w:rPr>
                <w:sz w:val="18"/>
                <w:szCs w:val="18"/>
              </w:rPr>
              <w:t>9.03%</w:t>
            </w:r>
          </w:p>
        </w:tc>
        <w:tc>
          <w:tcPr>
            <w:tcW w:w="761" w:type="pct"/>
            <w:vAlign w:val="center"/>
          </w:tcPr>
          <w:p w14:paraId="0628060E" w14:textId="77777777" w:rsidR="0000055D" w:rsidRPr="0000055D" w:rsidRDefault="0000055D" w:rsidP="0000055D">
            <w:pPr>
              <w:pStyle w:val="13"/>
              <w:ind w:firstLineChars="0" w:firstLine="0"/>
              <w:jc w:val="right"/>
              <w:rPr>
                <w:sz w:val="18"/>
                <w:szCs w:val="18"/>
              </w:rPr>
            </w:pPr>
            <w:r w:rsidRPr="0000055D">
              <w:rPr>
                <w:sz w:val="18"/>
                <w:szCs w:val="18"/>
              </w:rPr>
              <w:t>9.22%</w:t>
            </w:r>
          </w:p>
        </w:tc>
        <w:tc>
          <w:tcPr>
            <w:tcW w:w="760" w:type="pct"/>
            <w:vAlign w:val="center"/>
          </w:tcPr>
          <w:p w14:paraId="487CE7FB" w14:textId="77777777" w:rsidR="0000055D" w:rsidRPr="0000055D" w:rsidRDefault="0000055D" w:rsidP="0000055D">
            <w:pPr>
              <w:pStyle w:val="13"/>
              <w:ind w:firstLineChars="0" w:firstLine="0"/>
              <w:jc w:val="right"/>
              <w:rPr>
                <w:sz w:val="18"/>
                <w:szCs w:val="18"/>
              </w:rPr>
            </w:pPr>
            <w:r w:rsidRPr="0000055D">
              <w:rPr>
                <w:sz w:val="18"/>
                <w:szCs w:val="18"/>
              </w:rPr>
              <w:t>9.36%</w:t>
            </w:r>
          </w:p>
        </w:tc>
      </w:tr>
      <w:tr w:rsidR="0000055D" w:rsidRPr="0000055D" w14:paraId="3C72A5AE" w14:textId="77777777" w:rsidTr="00E905CE">
        <w:trPr>
          <w:trHeight w:val="285"/>
          <w:jc w:val="center"/>
        </w:trPr>
        <w:tc>
          <w:tcPr>
            <w:tcW w:w="1196" w:type="pct"/>
            <w:vAlign w:val="center"/>
          </w:tcPr>
          <w:p w14:paraId="722B030D" w14:textId="77777777" w:rsidR="0000055D" w:rsidRPr="0000055D" w:rsidRDefault="0000055D" w:rsidP="0000055D">
            <w:pPr>
              <w:pStyle w:val="13"/>
              <w:ind w:firstLineChars="0" w:firstLine="0"/>
              <w:rPr>
                <w:sz w:val="18"/>
                <w:szCs w:val="18"/>
              </w:rPr>
            </w:pPr>
            <w:r w:rsidRPr="0000055D">
              <w:rPr>
                <w:sz w:val="18"/>
                <w:szCs w:val="18"/>
              </w:rPr>
              <w:t>资本充足率</w:t>
            </w:r>
          </w:p>
        </w:tc>
        <w:tc>
          <w:tcPr>
            <w:tcW w:w="761" w:type="pct"/>
            <w:vAlign w:val="center"/>
          </w:tcPr>
          <w:p w14:paraId="7720EE33" w14:textId="77777777" w:rsidR="0000055D" w:rsidRPr="0000055D" w:rsidRDefault="0000055D" w:rsidP="0000055D">
            <w:pPr>
              <w:pStyle w:val="13"/>
              <w:ind w:firstLineChars="0" w:firstLine="0"/>
              <w:jc w:val="right"/>
              <w:rPr>
                <w:sz w:val="18"/>
                <w:szCs w:val="18"/>
              </w:rPr>
            </w:pPr>
            <w:r w:rsidRPr="0000055D">
              <w:rPr>
                <w:sz w:val="18"/>
                <w:szCs w:val="18"/>
              </w:rPr>
              <w:t>10.512%</w:t>
            </w:r>
          </w:p>
        </w:tc>
        <w:tc>
          <w:tcPr>
            <w:tcW w:w="761" w:type="pct"/>
            <w:vAlign w:val="center"/>
          </w:tcPr>
          <w:p w14:paraId="455F0AB2" w14:textId="77777777" w:rsidR="0000055D" w:rsidRPr="0000055D" w:rsidRDefault="0000055D" w:rsidP="0000055D">
            <w:pPr>
              <w:pStyle w:val="13"/>
              <w:ind w:firstLineChars="0" w:firstLine="0"/>
              <w:jc w:val="right"/>
              <w:rPr>
                <w:sz w:val="18"/>
                <w:szCs w:val="18"/>
              </w:rPr>
            </w:pPr>
            <w:r w:rsidRPr="0000055D">
              <w:rPr>
                <w:sz w:val="18"/>
                <w:szCs w:val="18"/>
              </w:rPr>
              <w:t>10.503%</w:t>
            </w:r>
          </w:p>
        </w:tc>
        <w:tc>
          <w:tcPr>
            <w:tcW w:w="761" w:type="pct"/>
            <w:vAlign w:val="center"/>
          </w:tcPr>
          <w:p w14:paraId="6A2A255B" w14:textId="77777777" w:rsidR="0000055D" w:rsidRPr="0000055D" w:rsidRDefault="0000055D" w:rsidP="0000055D">
            <w:pPr>
              <w:pStyle w:val="13"/>
              <w:ind w:firstLineChars="0" w:firstLine="0"/>
              <w:jc w:val="right"/>
              <w:rPr>
                <w:sz w:val="18"/>
                <w:szCs w:val="18"/>
              </w:rPr>
            </w:pPr>
            <w:r w:rsidRPr="0000055D">
              <w:rPr>
                <w:sz w:val="18"/>
                <w:szCs w:val="18"/>
              </w:rPr>
              <w:t>10.502%</w:t>
            </w:r>
          </w:p>
        </w:tc>
        <w:tc>
          <w:tcPr>
            <w:tcW w:w="761" w:type="pct"/>
            <w:vAlign w:val="center"/>
          </w:tcPr>
          <w:p w14:paraId="6DE7F3F7" w14:textId="77777777" w:rsidR="0000055D" w:rsidRPr="0000055D" w:rsidRDefault="0000055D" w:rsidP="0000055D">
            <w:pPr>
              <w:pStyle w:val="13"/>
              <w:ind w:firstLineChars="0" w:firstLine="0"/>
              <w:jc w:val="right"/>
              <w:rPr>
                <w:sz w:val="18"/>
                <w:szCs w:val="18"/>
              </w:rPr>
            </w:pPr>
            <w:r w:rsidRPr="0000055D">
              <w:rPr>
                <w:sz w:val="18"/>
                <w:szCs w:val="18"/>
              </w:rPr>
              <w:t>10.512%</w:t>
            </w:r>
          </w:p>
        </w:tc>
        <w:tc>
          <w:tcPr>
            <w:tcW w:w="760" w:type="pct"/>
            <w:vAlign w:val="center"/>
          </w:tcPr>
          <w:p w14:paraId="768737C0" w14:textId="77777777" w:rsidR="0000055D" w:rsidRPr="0000055D" w:rsidRDefault="0000055D" w:rsidP="0000055D">
            <w:pPr>
              <w:pStyle w:val="13"/>
              <w:ind w:firstLineChars="0" w:firstLine="0"/>
              <w:jc w:val="right"/>
              <w:rPr>
                <w:sz w:val="18"/>
                <w:szCs w:val="18"/>
              </w:rPr>
            </w:pPr>
            <w:r w:rsidRPr="0000055D">
              <w:rPr>
                <w:sz w:val="18"/>
                <w:szCs w:val="18"/>
              </w:rPr>
              <w:t>10.505%</w:t>
            </w:r>
          </w:p>
        </w:tc>
      </w:tr>
    </w:tbl>
    <w:p w14:paraId="76656808" w14:textId="38F1D3E3" w:rsidR="00685D93" w:rsidRDefault="0000055D" w:rsidP="00EF0BC2">
      <w:pPr>
        <w:pStyle w:val="13"/>
      </w:pPr>
      <w:r w:rsidRPr="0000055D">
        <w:rPr>
          <w:rFonts w:hint="eastAsia"/>
        </w:rPr>
        <w:t>综上，对</w:t>
      </w:r>
      <w:r w:rsidRPr="0000055D">
        <w:t>xx银行所有者权益的预测如下表所示。</w:t>
      </w:r>
    </w:p>
    <w:tbl>
      <w:tblPr>
        <w:tblW w:w="5000" w:type="pct"/>
        <w:tblLook w:val="04A0" w:firstRow="1" w:lastRow="0" w:firstColumn="1" w:lastColumn="0" w:noHBand="0" w:noVBand="1"/>
      </w:tblPr>
      <w:tblGrid>
        <w:gridCol w:w="1785"/>
        <w:gridCol w:w="1386"/>
        <w:gridCol w:w="1386"/>
        <w:gridCol w:w="1386"/>
        <w:gridCol w:w="1386"/>
        <w:gridCol w:w="1386"/>
      </w:tblGrid>
      <w:tr w:rsidR="0000055D" w:rsidRPr="0000055D" w14:paraId="750A7D88" w14:textId="77777777" w:rsidTr="0000055D">
        <w:trPr>
          <w:trHeight w:val="285"/>
          <w:tblHeader/>
        </w:trPr>
        <w:tc>
          <w:tcPr>
            <w:tcW w:w="1111" w:type="pct"/>
            <w:tcBorders>
              <w:top w:val="single" w:sz="8" w:space="0" w:color="auto"/>
              <w:left w:val="single" w:sz="8" w:space="0" w:color="auto"/>
              <w:bottom w:val="single" w:sz="4" w:space="0" w:color="auto"/>
              <w:right w:val="single" w:sz="4" w:space="0" w:color="auto"/>
            </w:tcBorders>
            <w:vAlign w:val="center"/>
          </w:tcPr>
          <w:p w14:paraId="5901AF54" w14:textId="77777777" w:rsidR="0000055D" w:rsidRPr="0000055D" w:rsidRDefault="0000055D" w:rsidP="0000055D">
            <w:pPr>
              <w:pStyle w:val="13"/>
              <w:ind w:firstLineChars="0" w:firstLine="0"/>
              <w:jc w:val="center"/>
              <w:rPr>
                <w:b/>
                <w:bCs/>
                <w:sz w:val="18"/>
                <w:szCs w:val="18"/>
              </w:rPr>
            </w:pPr>
            <w:r w:rsidRPr="0000055D">
              <w:rPr>
                <w:b/>
                <w:bCs/>
                <w:sz w:val="18"/>
                <w:szCs w:val="18"/>
              </w:rPr>
              <w:t>科目</w:t>
            </w:r>
          </w:p>
        </w:tc>
        <w:tc>
          <w:tcPr>
            <w:tcW w:w="757" w:type="pct"/>
            <w:tcBorders>
              <w:top w:val="single" w:sz="8" w:space="0" w:color="auto"/>
              <w:left w:val="nil"/>
              <w:bottom w:val="single" w:sz="4" w:space="0" w:color="auto"/>
              <w:right w:val="single" w:sz="4" w:space="0" w:color="auto"/>
            </w:tcBorders>
            <w:vAlign w:val="center"/>
          </w:tcPr>
          <w:p w14:paraId="30B01CC2"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4年</w:t>
            </w:r>
          </w:p>
        </w:tc>
        <w:tc>
          <w:tcPr>
            <w:tcW w:w="757" w:type="pct"/>
            <w:tcBorders>
              <w:top w:val="single" w:sz="8" w:space="0" w:color="auto"/>
              <w:left w:val="nil"/>
              <w:bottom w:val="single" w:sz="4" w:space="0" w:color="auto"/>
              <w:right w:val="single" w:sz="4" w:space="0" w:color="auto"/>
            </w:tcBorders>
            <w:vAlign w:val="center"/>
          </w:tcPr>
          <w:p w14:paraId="6F4BFFE3"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5年</w:t>
            </w:r>
          </w:p>
        </w:tc>
        <w:tc>
          <w:tcPr>
            <w:tcW w:w="757" w:type="pct"/>
            <w:tcBorders>
              <w:top w:val="single" w:sz="8" w:space="0" w:color="auto"/>
              <w:left w:val="nil"/>
              <w:bottom w:val="single" w:sz="4" w:space="0" w:color="auto"/>
              <w:right w:val="single" w:sz="4" w:space="0" w:color="auto"/>
            </w:tcBorders>
            <w:vAlign w:val="center"/>
          </w:tcPr>
          <w:p w14:paraId="51A49742"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6年</w:t>
            </w:r>
          </w:p>
        </w:tc>
        <w:tc>
          <w:tcPr>
            <w:tcW w:w="757" w:type="pct"/>
            <w:tcBorders>
              <w:top w:val="single" w:sz="8" w:space="0" w:color="auto"/>
              <w:left w:val="nil"/>
              <w:bottom w:val="single" w:sz="4" w:space="0" w:color="auto"/>
              <w:right w:val="single" w:sz="4" w:space="0" w:color="auto"/>
            </w:tcBorders>
            <w:vAlign w:val="center"/>
          </w:tcPr>
          <w:p w14:paraId="324B991E"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7年</w:t>
            </w:r>
          </w:p>
        </w:tc>
        <w:tc>
          <w:tcPr>
            <w:tcW w:w="861" w:type="pct"/>
            <w:tcBorders>
              <w:top w:val="single" w:sz="8" w:space="0" w:color="auto"/>
              <w:left w:val="nil"/>
              <w:bottom w:val="single" w:sz="4" w:space="0" w:color="auto"/>
              <w:right w:val="single" w:sz="4" w:space="0" w:color="auto"/>
            </w:tcBorders>
            <w:vAlign w:val="center"/>
          </w:tcPr>
          <w:p w14:paraId="193DDB15" w14:textId="77777777" w:rsidR="0000055D" w:rsidRPr="0000055D" w:rsidRDefault="0000055D" w:rsidP="0000055D">
            <w:pPr>
              <w:pStyle w:val="13"/>
              <w:ind w:firstLineChars="0" w:firstLine="0"/>
              <w:jc w:val="center"/>
              <w:rPr>
                <w:b/>
                <w:sz w:val="18"/>
                <w:szCs w:val="18"/>
              </w:rPr>
            </w:pPr>
            <w:r w:rsidRPr="0000055D">
              <w:rPr>
                <w:b/>
                <w:sz w:val="18"/>
                <w:szCs w:val="18"/>
              </w:rPr>
              <w:t>20</w:t>
            </w:r>
            <w:r w:rsidRPr="0000055D">
              <w:rPr>
                <w:rFonts w:hint="eastAsia"/>
                <w:b/>
                <w:sz w:val="18"/>
                <w:szCs w:val="18"/>
              </w:rPr>
              <w:t>x</w:t>
            </w:r>
            <w:r w:rsidRPr="0000055D">
              <w:rPr>
                <w:b/>
                <w:sz w:val="18"/>
                <w:szCs w:val="18"/>
              </w:rPr>
              <w:t>8年</w:t>
            </w:r>
          </w:p>
        </w:tc>
      </w:tr>
      <w:tr w:rsidR="0000055D" w:rsidRPr="0000055D" w14:paraId="6960B4EC"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2E7EC07F" w14:textId="77777777" w:rsidR="0000055D" w:rsidRPr="0000055D" w:rsidRDefault="0000055D" w:rsidP="0000055D">
            <w:pPr>
              <w:pStyle w:val="13"/>
              <w:ind w:firstLineChars="0" w:firstLine="0"/>
              <w:rPr>
                <w:bCs/>
                <w:sz w:val="18"/>
                <w:szCs w:val="18"/>
              </w:rPr>
            </w:pPr>
            <w:r w:rsidRPr="0000055D">
              <w:rPr>
                <w:bCs/>
                <w:sz w:val="18"/>
                <w:szCs w:val="18"/>
              </w:rPr>
              <w:t>所有者权益：</w:t>
            </w:r>
          </w:p>
        </w:tc>
        <w:tc>
          <w:tcPr>
            <w:tcW w:w="757" w:type="pct"/>
            <w:tcBorders>
              <w:top w:val="single" w:sz="4" w:space="0" w:color="auto"/>
              <w:left w:val="nil"/>
              <w:bottom w:val="single" w:sz="4" w:space="0" w:color="auto"/>
              <w:right w:val="single" w:sz="4" w:space="0" w:color="auto"/>
            </w:tcBorders>
            <w:vAlign w:val="center"/>
          </w:tcPr>
          <w:p w14:paraId="4FAB85CD" w14:textId="77777777" w:rsidR="0000055D" w:rsidRPr="0000055D" w:rsidRDefault="0000055D" w:rsidP="0000055D">
            <w:pPr>
              <w:pStyle w:val="13"/>
              <w:ind w:firstLineChars="0" w:firstLine="0"/>
              <w:jc w:val="right"/>
              <w:rPr>
                <w:sz w:val="18"/>
                <w:szCs w:val="18"/>
              </w:rPr>
            </w:pPr>
          </w:p>
        </w:tc>
        <w:tc>
          <w:tcPr>
            <w:tcW w:w="757" w:type="pct"/>
            <w:tcBorders>
              <w:top w:val="single" w:sz="4" w:space="0" w:color="auto"/>
              <w:left w:val="nil"/>
              <w:bottom w:val="single" w:sz="4" w:space="0" w:color="auto"/>
              <w:right w:val="single" w:sz="4" w:space="0" w:color="auto"/>
            </w:tcBorders>
            <w:vAlign w:val="center"/>
          </w:tcPr>
          <w:p w14:paraId="0238F61F" w14:textId="77777777" w:rsidR="0000055D" w:rsidRPr="0000055D" w:rsidRDefault="0000055D" w:rsidP="0000055D">
            <w:pPr>
              <w:pStyle w:val="13"/>
              <w:ind w:firstLineChars="0" w:firstLine="0"/>
              <w:jc w:val="right"/>
              <w:rPr>
                <w:sz w:val="18"/>
                <w:szCs w:val="18"/>
              </w:rPr>
            </w:pPr>
          </w:p>
        </w:tc>
        <w:tc>
          <w:tcPr>
            <w:tcW w:w="757" w:type="pct"/>
            <w:tcBorders>
              <w:top w:val="single" w:sz="4" w:space="0" w:color="auto"/>
              <w:left w:val="nil"/>
              <w:bottom w:val="single" w:sz="4" w:space="0" w:color="auto"/>
              <w:right w:val="single" w:sz="4" w:space="0" w:color="auto"/>
            </w:tcBorders>
            <w:vAlign w:val="center"/>
          </w:tcPr>
          <w:p w14:paraId="5E46C546" w14:textId="77777777" w:rsidR="0000055D" w:rsidRPr="0000055D" w:rsidRDefault="0000055D" w:rsidP="0000055D">
            <w:pPr>
              <w:pStyle w:val="13"/>
              <w:ind w:firstLineChars="0" w:firstLine="0"/>
              <w:jc w:val="right"/>
              <w:rPr>
                <w:sz w:val="18"/>
                <w:szCs w:val="18"/>
              </w:rPr>
            </w:pPr>
          </w:p>
        </w:tc>
        <w:tc>
          <w:tcPr>
            <w:tcW w:w="757" w:type="pct"/>
            <w:tcBorders>
              <w:top w:val="single" w:sz="4" w:space="0" w:color="auto"/>
              <w:left w:val="nil"/>
              <w:bottom w:val="single" w:sz="4" w:space="0" w:color="auto"/>
              <w:right w:val="single" w:sz="4" w:space="0" w:color="auto"/>
            </w:tcBorders>
            <w:vAlign w:val="center"/>
          </w:tcPr>
          <w:p w14:paraId="5C0AE93E" w14:textId="77777777" w:rsidR="0000055D" w:rsidRPr="0000055D" w:rsidRDefault="0000055D" w:rsidP="0000055D">
            <w:pPr>
              <w:pStyle w:val="13"/>
              <w:ind w:firstLineChars="0" w:firstLine="0"/>
              <w:jc w:val="right"/>
              <w:rPr>
                <w:sz w:val="18"/>
                <w:szCs w:val="18"/>
              </w:rPr>
            </w:pPr>
          </w:p>
        </w:tc>
        <w:tc>
          <w:tcPr>
            <w:tcW w:w="861" w:type="pct"/>
            <w:tcBorders>
              <w:top w:val="single" w:sz="4" w:space="0" w:color="auto"/>
              <w:left w:val="nil"/>
              <w:bottom w:val="single" w:sz="4" w:space="0" w:color="auto"/>
              <w:right w:val="single" w:sz="4" w:space="0" w:color="auto"/>
            </w:tcBorders>
            <w:vAlign w:val="center"/>
          </w:tcPr>
          <w:p w14:paraId="29A2E610" w14:textId="77777777" w:rsidR="0000055D" w:rsidRPr="0000055D" w:rsidRDefault="0000055D" w:rsidP="0000055D">
            <w:pPr>
              <w:pStyle w:val="13"/>
              <w:ind w:firstLineChars="0" w:firstLine="0"/>
              <w:jc w:val="right"/>
              <w:rPr>
                <w:sz w:val="18"/>
                <w:szCs w:val="18"/>
              </w:rPr>
            </w:pPr>
          </w:p>
        </w:tc>
      </w:tr>
      <w:tr w:rsidR="0000055D" w:rsidRPr="0000055D" w14:paraId="2EA2AC7B"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3E09BC05" w14:textId="77777777" w:rsidR="0000055D" w:rsidRPr="0000055D" w:rsidRDefault="0000055D" w:rsidP="0000055D">
            <w:pPr>
              <w:pStyle w:val="13"/>
              <w:ind w:firstLineChars="0" w:firstLine="0"/>
              <w:rPr>
                <w:bCs/>
                <w:sz w:val="18"/>
                <w:szCs w:val="18"/>
              </w:rPr>
            </w:pPr>
            <w:r w:rsidRPr="0000055D">
              <w:rPr>
                <w:bCs/>
                <w:sz w:val="18"/>
                <w:szCs w:val="18"/>
              </w:rPr>
              <w:lastRenderedPageBreak/>
              <w:t>股本:</w:t>
            </w:r>
          </w:p>
        </w:tc>
        <w:tc>
          <w:tcPr>
            <w:tcW w:w="757" w:type="pct"/>
            <w:tcBorders>
              <w:top w:val="nil"/>
              <w:left w:val="nil"/>
              <w:bottom w:val="single" w:sz="4" w:space="0" w:color="auto"/>
              <w:right w:val="single" w:sz="4" w:space="0" w:color="auto"/>
            </w:tcBorders>
            <w:vAlign w:val="center"/>
          </w:tcPr>
          <w:p w14:paraId="167ED014"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1A0154F4"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4024C545"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5DB0BD7C"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60621A95" w14:textId="77777777" w:rsidR="0000055D" w:rsidRPr="0000055D" w:rsidRDefault="0000055D" w:rsidP="0000055D">
            <w:pPr>
              <w:pStyle w:val="13"/>
              <w:ind w:firstLineChars="0" w:firstLine="0"/>
              <w:jc w:val="right"/>
              <w:rPr>
                <w:sz w:val="18"/>
                <w:szCs w:val="18"/>
              </w:rPr>
            </w:pPr>
          </w:p>
        </w:tc>
      </w:tr>
      <w:tr w:rsidR="0000055D" w:rsidRPr="0000055D" w14:paraId="646B76B0"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31BFC92B" w14:textId="77777777" w:rsidR="0000055D" w:rsidRPr="0000055D" w:rsidRDefault="0000055D" w:rsidP="0000055D">
            <w:pPr>
              <w:pStyle w:val="13"/>
              <w:ind w:firstLineChars="0" w:firstLine="0"/>
              <w:rPr>
                <w:sz w:val="18"/>
                <w:szCs w:val="18"/>
              </w:rPr>
            </w:pPr>
            <w:r w:rsidRPr="0000055D">
              <w:rPr>
                <w:sz w:val="18"/>
                <w:szCs w:val="18"/>
              </w:rPr>
              <w:t>年末股本</w:t>
            </w:r>
          </w:p>
        </w:tc>
        <w:tc>
          <w:tcPr>
            <w:tcW w:w="757" w:type="pct"/>
            <w:tcBorders>
              <w:top w:val="nil"/>
              <w:left w:val="nil"/>
              <w:bottom w:val="single" w:sz="4" w:space="0" w:color="auto"/>
              <w:right w:val="single" w:sz="4" w:space="0" w:color="auto"/>
            </w:tcBorders>
            <w:vAlign w:val="center"/>
          </w:tcPr>
          <w:p w14:paraId="25955256" w14:textId="77777777" w:rsidR="0000055D" w:rsidRPr="0000055D" w:rsidRDefault="0000055D" w:rsidP="0000055D">
            <w:pPr>
              <w:pStyle w:val="13"/>
              <w:ind w:firstLineChars="0" w:firstLine="0"/>
              <w:jc w:val="right"/>
              <w:rPr>
                <w:sz w:val="18"/>
                <w:szCs w:val="18"/>
              </w:rPr>
            </w:pPr>
            <w:r w:rsidRPr="0000055D">
              <w:rPr>
                <w:sz w:val="18"/>
                <w:szCs w:val="18"/>
              </w:rPr>
              <w:t>4,627,679.00</w:t>
            </w:r>
          </w:p>
        </w:tc>
        <w:tc>
          <w:tcPr>
            <w:tcW w:w="757" w:type="pct"/>
            <w:tcBorders>
              <w:top w:val="nil"/>
              <w:left w:val="nil"/>
              <w:bottom w:val="single" w:sz="4" w:space="0" w:color="auto"/>
              <w:right w:val="single" w:sz="4" w:space="0" w:color="auto"/>
            </w:tcBorders>
            <w:vAlign w:val="center"/>
          </w:tcPr>
          <w:p w14:paraId="6C846D4E" w14:textId="77777777" w:rsidR="0000055D" w:rsidRPr="0000055D" w:rsidRDefault="0000055D" w:rsidP="0000055D">
            <w:pPr>
              <w:pStyle w:val="13"/>
              <w:ind w:firstLineChars="0" w:firstLine="0"/>
              <w:jc w:val="right"/>
              <w:rPr>
                <w:sz w:val="18"/>
                <w:szCs w:val="18"/>
              </w:rPr>
            </w:pPr>
            <w:r w:rsidRPr="0000055D">
              <w:rPr>
                <w:sz w:val="18"/>
                <w:szCs w:val="18"/>
              </w:rPr>
              <w:t>4,627,679.00</w:t>
            </w:r>
          </w:p>
        </w:tc>
        <w:tc>
          <w:tcPr>
            <w:tcW w:w="757" w:type="pct"/>
            <w:tcBorders>
              <w:top w:val="nil"/>
              <w:left w:val="nil"/>
              <w:bottom w:val="single" w:sz="4" w:space="0" w:color="auto"/>
              <w:right w:val="single" w:sz="4" w:space="0" w:color="auto"/>
            </w:tcBorders>
            <w:vAlign w:val="center"/>
          </w:tcPr>
          <w:p w14:paraId="2F622ECA" w14:textId="77777777" w:rsidR="0000055D" w:rsidRPr="0000055D" w:rsidRDefault="0000055D" w:rsidP="0000055D">
            <w:pPr>
              <w:pStyle w:val="13"/>
              <w:ind w:firstLineChars="0" w:firstLine="0"/>
              <w:jc w:val="right"/>
              <w:rPr>
                <w:sz w:val="18"/>
                <w:szCs w:val="18"/>
              </w:rPr>
            </w:pPr>
            <w:r w:rsidRPr="0000055D">
              <w:rPr>
                <w:sz w:val="18"/>
                <w:szCs w:val="18"/>
              </w:rPr>
              <w:t>4,627,679.00</w:t>
            </w:r>
          </w:p>
        </w:tc>
        <w:tc>
          <w:tcPr>
            <w:tcW w:w="757" w:type="pct"/>
            <w:tcBorders>
              <w:top w:val="nil"/>
              <w:left w:val="nil"/>
              <w:bottom w:val="single" w:sz="4" w:space="0" w:color="auto"/>
              <w:right w:val="single" w:sz="4" w:space="0" w:color="auto"/>
            </w:tcBorders>
            <w:vAlign w:val="center"/>
          </w:tcPr>
          <w:p w14:paraId="64A9D31F" w14:textId="77777777" w:rsidR="0000055D" w:rsidRPr="0000055D" w:rsidRDefault="0000055D" w:rsidP="0000055D">
            <w:pPr>
              <w:pStyle w:val="13"/>
              <w:ind w:firstLineChars="0" w:firstLine="0"/>
              <w:jc w:val="right"/>
              <w:rPr>
                <w:sz w:val="18"/>
                <w:szCs w:val="18"/>
              </w:rPr>
            </w:pPr>
            <w:r w:rsidRPr="0000055D">
              <w:rPr>
                <w:sz w:val="18"/>
                <w:szCs w:val="18"/>
              </w:rPr>
              <w:t>4,627,679.00</w:t>
            </w:r>
          </w:p>
        </w:tc>
        <w:tc>
          <w:tcPr>
            <w:tcW w:w="861" w:type="pct"/>
            <w:tcBorders>
              <w:top w:val="nil"/>
              <w:left w:val="nil"/>
              <w:bottom w:val="single" w:sz="4" w:space="0" w:color="auto"/>
              <w:right w:val="single" w:sz="4" w:space="0" w:color="auto"/>
            </w:tcBorders>
            <w:vAlign w:val="center"/>
          </w:tcPr>
          <w:p w14:paraId="62154100" w14:textId="77777777" w:rsidR="0000055D" w:rsidRPr="0000055D" w:rsidRDefault="0000055D" w:rsidP="0000055D">
            <w:pPr>
              <w:pStyle w:val="13"/>
              <w:ind w:firstLineChars="0" w:firstLine="0"/>
              <w:jc w:val="right"/>
              <w:rPr>
                <w:sz w:val="18"/>
                <w:szCs w:val="18"/>
              </w:rPr>
            </w:pPr>
            <w:r w:rsidRPr="0000055D">
              <w:rPr>
                <w:sz w:val="18"/>
                <w:szCs w:val="18"/>
              </w:rPr>
              <w:t>4,627,679.00</w:t>
            </w:r>
          </w:p>
        </w:tc>
      </w:tr>
      <w:tr w:rsidR="0000055D" w:rsidRPr="0000055D" w14:paraId="04CDEC33"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09B5280A" w14:textId="77777777" w:rsidR="0000055D" w:rsidRPr="0000055D" w:rsidRDefault="0000055D" w:rsidP="0000055D">
            <w:pPr>
              <w:pStyle w:val="13"/>
              <w:ind w:firstLineChars="0" w:firstLine="0"/>
              <w:rPr>
                <w:bCs/>
                <w:sz w:val="18"/>
                <w:szCs w:val="18"/>
              </w:rPr>
            </w:pPr>
            <w:r w:rsidRPr="0000055D">
              <w:rPr>
                <w:bCs/>
                <w:sz w:val="18"/>
                <w:szCs w:val="18"/>
              </w:rPr>
              <w:t>资本公积:</w:t>
            </w:r>
          </w:p>
        </w:tc>
        <w:tc>
          <w:tcPr>
            <w:tcW w:w="757" w:type="pct"/>
            <w:tcBorders>
              <w:top w:val="nil"/>
              <w:left w:val="nil"/>
              <w:bottom w:val="single" w:sz="4" w:space="0" w:color="auto"/>
              <w:right w:val="single" w:sz="4" w:space="0" w:color="auto"/>
            </w:tcBorders>
            <w:vAlign w:val="center"/>
          </w:tcPr>
          <w:p w14:paraId="05CDC2E8"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41BAE565"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39FF267D"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0C74583D"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6669D2EE" w14:textId="77777777" w:rsidR="0000055D" w:rsidRPr="0000055D" w:rsidRDefault="0000055D" w:rsidP="0000055D">
            <w:pPr>
              <w:pStyle w:val="13"/>
              <w:ind w:firstLineChars="0" w:firstLine="0"/>
              <w:jc w:val="right"/>
              <w:rPr>
                <w:sz w:val="18"/>
                <w:szCs w:val="18"/>
              </w:rPr>
            </w:pPr>
          </w:p>
        </w:tc>
      </w:tr>
      <w:tr w:rsidR="0000055D" w:rsidRPr="0000055D" w14:paraId="3C222D41"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6AEB1E0B" w14:textId="77777777" w:rsidR="0000055D" w:rsidRPr="0000055D" w:rsidRDefault="0000055D" w:rsidP="0000055D">
            <w:pPr>
              <w:pStyle w:val="13"/>
              <w:ind w:firstLineChars="0" w:firstLine="0"/>
              <w:rPr>
                <w:sz w:val="18"/>
                <w:szCs w:val="18"/>
              </w:rPr>
            </w:pPr>
            <w:r w:rsidRPr="0000055D">
              <w:rPr>
                <w:sz w:val="18"/>
                <w:szCs w:val="18"/>
              </w:rPr>
              <w:t>年末资本公积</w:t>
            </w:r>
          </w:p>
        </w:tc>
        <w:tc>
          <w:tcPr>
            <w:tcW w:w="757" w:type="pct"/>
            <w:tcBorders>
              <w:top w:val="nil"/>
              <w:left w:val="nil"/>
              <w:bottom w:val="single" w:sz="4" w:space="0" w:color="auto"/>
              <w:right w:val="single" w:sz="4" w:space="0" w:color="auto"/>
            </w:tcBorders>
            <w:vAlign w:val="center"/>
          </w:tcPr>
          <w:p w14:paraId="58EC6AB4" w14:textId="77777777" w:rsidR="0000055D" w:rsidRPr="0000055D" w:rsidRDefault="0000055D" w:rsidP="0000055D">
            <w:pPr>
              <w:pStyle w:val="13"/>
              <w:ind w:firstLineChars="0" w:firstLine="0"/>
              <w:jc w:val="right"/>
              <w:rPr>
                <w:sz w:val="18"/>
                <w:szCs w:val="18"/>
              </w:rPr>
            </w:pPr>
            <w:r w:rsidRPr="0000055D">
              <w:rPr>
                <w:sz w:val="18"/>
                <w:szCs w:val="18"/>
              </w:rPr>
              <w:t>2,870,767.50</w:t>
            </w:r>
          </w:p>
        </w:tc>
        <w:tc>
          <w:tcPr>
            <w:tcW w:w="757" w:type="pct"/>
            <w:tcBorders>
              <w:top w:val="nil"/>
              <w:left w:val="nil"/>
              <w:bottom w:val="single" w:sz="4" w:space="0" w:color="auto"/>
              <w:right w:val="single" w:sz="4" w:space="0" w:color="auto"/>
            </w:tcBorders>
            <w:vAlign w:val="center"/>
          </w:tcPr>
          <w:p w14:paraId="00C66C03" w14:textId="77777777" w:rsidR="0000055D" w:rsidRPr="0000055D" w:rsidRDefault="0000055D" w:rsidP="0000055D">
            <w:pPr>
              <w:pStyle w:val="13"/>
              <w:ind w:firstLineChars="0" w:firstLine="0"/>
              <w:jc w:val="right"/>
              <w:rPr>
                <w:sz w:val="18"/>
                <w:szCs w:val="18"/>
              </w:rPr>
            </w:pPr>
            <w:r w:rsidRPr="0000055D">
              <w:rPr>
                <w:sz w:val="18"/>
                <w:szCs w:val="18"/>
              </w:rPr>
              <w:t>2,870,767.50</w:t>
            </w:r>
          </w:p>
        </w:tc>
        <w:tc>
          <w:tcPr>
            <w:tcW w:w="757" w:type="pct"/>
            <w:tcBorders>
              <w:top w:val="nil"/>
              <w:left w:val="nil"/>
              <w:bottom w:val="single" w:sz="4" w:space="0" w:color="auto"/>
              <w:right w:val="single" w:sz="4" w:space="0" w:color="auto"/>
            </w:tcBorders>
            <w:vAlign w:val="center"/>
          </w:tcPr>
          <w:p w14:paraId="572A62CA" w14:textId="77777777" w:rsidR="0000055D" w:rsidRPr="0000055D" w:rsidRDefault="0000055D" w:rsidP="0000055D">
            <w:pPr>
              <w:pStyle w:val="13"/>
              <w:ind w:firstLineChars="0" w:firstLine="0"/>
              <w:jc w:val="right"/>
              <w:rPr>
                <w:sz w:val="18"/>
                <w:szCs w:val="18"/>
              </w:rPr>
            </w:pPr>
            <w:r w:rsidRPr="0000055D">
              <w:rPr>
                <w:sz w:val="18"/>
                <w:szCs w:val="18"/>
              </w:rPr>
              <w:t>2,870,767.50</w:t>
            </w:r>
          </w:p>
        </w:tc>
        <w:tc>
          <w:tcPr>
            <w:tcW w:w="757" w:type="pct"/>
            <w:tcBorders>
              <w:top w:val="nil"/>
              <w:left w:val="nil"/>
              <w:bottom w:val="single" w:sz="4" w:space="0" w:color="auto"/>
              <w:right w:val="single" w:sz="4" w:space="0" w:color="auto"/>
            </w:tcBorders>
            <w:vAlign w:val="center"/>
          </w:tcPr>
          <w:p w14:paraId="101CC5F7" w14:textId="77777777" w:rsidR="0000055D" w:rsidRPr="0000055D" w:rsidRDefault="0000055D" w:rsidP="0000055D">
            <w:pPr>
              <w:pStyle w:val="13"/>
              <w:ind w:firstLineChars="0" w:firstLine="0"/>
              <w:jc w:val="right"/>
              <w:rPr>
                <w:sz w:val="18"/>
                <w:szCs w:val="18"/>
              </w:rPr>
            </w:pPr>
            <w:r w:rsidRPr="0000055D">
              <w:rPr>
                <w:sz w:val="18"/>
                <w:szCs w:val="18"/>
              </w:rPr>
              <w:t>2,870,767.50</w:t>
            </w:r>
          </w:p>
        </w:tc>
        <w:tc>
          <w:tcPr>
            <w:tcW w:w="861" w:type="pct"/>
            <w:tcBorders>
              <w:top w:val="nil"/>
              <w:left w:val="nil"/>
              <w:bottom w:val="single" w:sz="4" w:space="0" w:color="auto"/>
              <w:right w:val="single" w:sz="4" w:space="0" w:color="auto"/>
            </w:tcBorders>
            <w:vAlign w:val="center"/>
          </w:tcPr>
          <w:p w14:paraId="3AE346DC" w14:textId="77777777" w:rsidR="0000055D" w:rsidRPr="0000055D" w:rsidRDefault="0000055D" w:rsidP="0000055D">
            <w:pPr>
              <w:pStyle w:val="13"/>
              <w:ind w:firstLineChars="0" w:firstLine="0"/>
              <w:jc w:val="right"/>
              <w:rPr>
                <w:sz w:val="18"/>
                <w:szCs w:val="18"/>
              </w:rPr>
            </w:pPr>
            <w:r w:rsidRPr="0000055D">
              <w:rPr>
                <w:sz w:val="18"/>
                <w:szCs w:val="18"/>
              </w:rPr>
              <w:t>2,870,767.50</w:t>
            </w:r>
          </w:p>
        </w:tc>
      </w:tr>
      <w:tr w:rsidR="0000055D" w:rsidRPr="0000055D" w14:paraId="0ACCBD66"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062EED76" w14:textId="77777777" w:rsidR="0000055D" w:rsidRPr="0000055D" w:rsidRDefault="0000055D" w:rsidP="0000055D">
            <w:pPr>
              <w:pStyle w:val="13"/>
              <w:ind w:firstLineChars="0" w:firstLine="0"/>
              <w:rPr>
                <w:bCs/>
                <w:sz w:val="18"/>
                <w:szCs w:val="18"/>
              </w:rPr>
            </w:pPr>
            <w:r w:rsidRPr="0000055D">
              <w:rPr>
                <w:bCs/>
                <w:sz w:val="18"/>
                <w:szCs w:val="18"/>
              </w:rPr>
              <w:t>盈余公积:</w:t>
            </w:r>
          </w:p>
        </w:tc>
        <w:tc>
          <w:tcPr>
            <w:tcW w:w="757" w:type="pct"/>
            <w:tcBorders>
              <w:top w:val="nil"/>
              <w:left w:val="nil"/>
              <w:bottom w:val="single" w:sz="4" w:space="0" w:color="auto"/>
              <w:right w:val="single" w:sz="4" w:space="0" w:color="auto"/>
            </w:tcBorders>
            <w:vAlign w:val="center"/>
          </w:tcPr>
          <w:p w14:paraId="515868FC"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47C07053"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3CA205C1"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2EC3A2A4"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22434C24" w14:textId="77777777" w:rsidR="0000055D" w:rsidRPr="0000055D" w:rsidRDefault="0000055D" w:rsidP="0000055D">
            <w:pPr>
              <w:pStyle w:val="13"/>
              <w:ind w:firstLineChars="0" w:firstLine="0"/>
              <w:jc w:val="right"/>
              <w:rPr>
                <w:sz w:val="18"/>
                <w:szCs w:val="18"/>
              </w:rPr>
            </w:pPr>
          </w:p>
        </w:tc>
      </w:tr>
      <w:tr w:rsidR="0000055D" w:rsidRPr="0000055D" w14:paraId="69DA2F21"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6B8AADFF" w14:textId="77777777" w:rsidR="0000055D" w:rsidRPr="0000055D" w:rsidRDefault="0000055D" w:rsidP="0000055D">
            <w:pPr>
              <w:pStyle w:val="13"/>
              <w:ind w:firstLineChars="0" w:firstLine="0"/>
              <w:rPr>
                <w:sz w:val="18"/>
                <w:szCs w:val="18"/>
              </w:rPr>
            </w:pPr>
            <w:r w:rsidRPr="0000055D">
              <w:rPr>
                <w:sz w:val="18"/>
                <w:szCs w:val="18"/>
              </w:rPr>
              <w:t>年初数</w:t>
            </w:r>
          </w:p>
        </w:tc>
        <w:tc>
          <w:tcPr>
            <w:tcW w:w="757" w:type="pct"/>
            <w:tcBorders>
              <w:top w:val="nil"/>
              <w:left w:val="nil"/>
              <w:bottom w:val="single" w:sz="4" w:space="0" w:color="auto"/>
              <w:right w:val="single" w:sz="4" w:space="0" w:color="auto"/>
            </w:tcBorders>
            <w:vAlign w:val="center"/>
          </w:tcPr>
          <w:p w14:paraId="4241F577" w14:textId="77777777" w:rsidR="0000055D" w:rsidRPr="0000055D" w:rsidRDefault="0000055D" w:rsidP="0000055D">
            <w:pPr>
              <w:pStyle w:val="13"/>
              <w:ind w:firstLineChars="0" w:firstLine="0"/>
              <w:jc w:val="right"/>
              <w:rPr>
                <w:sz w:val="18"/>
                <w:szCs w:val="18"/>
              </w:rPr>
            </w:pPr>
            <w:r w:rsidRPr="0000055D">
              <w:rPr>
                <w:sz w:val="18"/>
                <w:szCs w:val="18"/>
              </w:rPr>
              <w:t>919,900.73</w:t>
            </w:r>
          </w:p>
        </w:tc>
        <w:tc>
          <w:tcPr>
            <w:tcW w:w="757" w:type="pct"/>
            <w:tcBorders>
              <w:top w:val="nil"/>
              <w:left w:val="nil"/>
              <w:bottom w:val="single" w:sz="4" w:space="0" w:color="auto"/>
              <w:right w:val="single" w:sz="4" w:space="0" w:color="auto"/>
            </w:tcBorders>
            <w:vAlign w:val="center"/>
          </w:tcPr>
          <w:p w14:paraId="7772AA5F" w14:textId="77777777" w:rsidR="0000055D" w:rsidRPr="0000055D" w:rsidRDefault="0000055D" w:rsidP="0000055D">
            <w:pPr>
              <w:pStyle w:val="13"/>
              <w:ind w:firstLineChars="0" w:firstLine="0"/>
              <w:jc w:val="right"/>
              <w:rPr>
                <w:sz w:val="18"/>
                <w:szCs w:val="18"/>
              </w:rPr>
            </w:pPr>
            <w:r w:rsidRPr="0000055D">
              <w:rPr>
                <w:sz w:val="18"/>
                <w:szCs w:val="18"/>
              </w:rPr>
              <w:t>1,209,824.18</w:t>
            </w:r>
          </w:p>
        </w:tc>
        <w:tc>
          <w:tcPr>
            <w:tcW w:w="757" w:type="pct"/>
            <w:tcBorders>
              <w:top w:val="nil"/>
              <w:left w:val="nil"/>
              <w:bottom w:val="single" w:sz="4" w:space="0" w:color="auto"/>
              <w:right w:val="single" w:sz="4" w:space="0" w:color="auto"/>
            </w:tcBorders>
            <w:vAlign w:val="center"/>
          </w:tcPr>
          <w:p w14:paraId="04FEFE0B" w14:textId="77777777" w:rsidR="0000055D" w:rsidRPr="0000055D" w:rsidRDefault="0000055D" w:rsidP="0000055D">
            <w:pPr>
              <w:pStyle w:val="13"/>
              <w:ind w:firstLineChars="0" w:firstLine="0"/>
              <w:jc w:val="right"/>
              <w:rPr>
                <w:sz w:val="18"/>
                <w:szCs w:val="18"/>
              </w:rPr>
            </w:pPr>
            <w:r w:rsidRPr="0000055D">
              <w:rPr>
                <w:sz w:val="18"/>
                <w:szCs w:val="18"/>
              </w:rPr>
              <w:t>1,536,784.00</w:t>
            </w:r>
          </w:p>
        </w:tc>
        <w:tc>
          <w:tcPr>
            <w:tcW w:w="757" w:type="pct"/>
            <w:tcBorders>
              <w:top w:val="nil"/>
              <w:left w:val="nil"/>
              <w:bottom w:val="single" w:sz="4" w:space="0" w:color="auto"/>
              <w:right w:val="single" w:sz="4" w:space="0" w:color="auto"/>
            </w:tcBorders>
            <w:vAlign w:val="center"/>
          </w:tcPr>
          <w:p w14:paraId="4564A577" w14:textId="77777777" w:rsidR="0000055D" w:rsidRPr="0000055D" w:rsidRDefault="0000055D" w:rsidP="0000055D">
            <w:pPr>
              <w:pStyle w:val="13"/>
              <w:ind w:firstLineChars="0" w:firstLine="0"/>
              <w:jc w:val="right"/>
              <w:rPr>
                <w:sz w:val="18"/>
                <w:szCs w:val="18"/>
              </w:rPr>
            </w:pPr>
            <w:r w:rsidRPr="0000055D">
              <w:rPr>
                <w:sz w:val="18"/>
                <w:szCs w:val="18"/>
              </w:rPr>
              <w:t>1,900,517.84</w:t>
            </w:r>
          </w:p>
        </w:tc>
        <w:tc>
          <w:tcPr>
            <w:tcW w:w="861" w:type="pct"/>
            <w:tcBorders>
              <w:top w:val="nil"/>
              <w:left w:val="nil"/>
              <w:bottom w:val="single" w:sz="4" w:space="0" w:color="auto"/>
              <w:right w:val="single" w:sz="4" w:space="0" w:color="auto"/>
            </w:tcBorders>
            <w:vAlign w:val="center"/>
          </w:tcPr>
          <w:p w14:paraId="412CAC48" w14:textId="77777777" w:rsidR="0000055D" w:rsidRPr="0000055D" w:rsidRDefault="0000055D" w:rsidP="0000055D">
            <w:pPr>
              <w:pStyle w:val="13"/>
              <w:ind w:firstLineChars="0" w:firstLine="0"/>
              <w:jc w:val="right"/>
              <w:rPr>
                <w:sz w:val="18"/>
                <w:szCs w:val="18"/>
              </w:rPr>
            </w:pPr>
            <w:r w:rsidRPr="0000055D">
              <w:rPr>
                <w:sz w:val="18"/>
                <w:szCs w:val="18"/>
              </w:rPr>
              <w:t>2,302,113.27</w:t>
            </w:r>
          </w:p>
        </w:tc>
      </w:tr>
      <w:tr w:rsidR="0000055D" w:rsidRPr="0000055D" w14:paraId="7036A807"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724EF12F" w14:textId="77777777" w:rsidR="0000055D" w:rsidRPr="0000055D" w:rsidRDefault="0000055D" w:rsidP="0000055D">
            <w:pPr>
              <w:pStyle w:val="13"/>
              <w:ind w:firstLineChars="0" w:firstLine="0"/>
              <w:rPr>
                <w:sz w:val="18"/>
                <w:szCs w:val="18"/>
              </w:rPr>
            </w:pPr>
            <w:r w:rsidRPr="0000055D">
              <w:rPr>
                <w:sz w:val="18"/>
                <w:szCs w:val="18"/>
              </w:rPr>
              <w:t>本年增加</w:t>
            </w:r>
          </w:p>
        </w:tc>
        <w:tc>
          <w:tcPr>
            <w:tcW w:w="757" w:type="pct"/>
            <w:tcBorders>
              <w:top w:val="nil"/>
              <w:left w:val="nil"/>
              <w:bottom w:val="single" w:sz="4" w:space="0" w:color="auto"/>
              <w:right w:val="single" w:sz="4" w:space="0" w:color="auto"/>
            </w:tcBorders>
            <w:vAlign w:val="center"/>
          </w:tcPr>
          <w:p w14:paraId="59877D00" w14:textId="77777777" w:rsidR="0000055D" w:rsidRPr="0000055D" w:rsidRDefault="0000055D" w:rsidP="0000055D">
            <w:pPr>
              <w:pStyle w:val="13"/>
              <w:ind w:firstLineChars="0" w:firstLine="0"/>
              <w:jc w:val="right"/>
              <w:rPr>
                <w:sz w:val="18"/>
                <w:szCs w:val="18"/>
              </w:rPr>
            </w:pPr>
            <w:r w:rsidRPr="0000055D">
              <w:rPr>
                <w:sz w:val="18"/>
                <w:szCs w:val="18"/>
              </w:rPr>
              <w:t>289,923.45</w:t>
            </w:r>
          </w:p>
        </w:tc>
        <w:tc>
          <w:tcPr>
            <w:tcW w:w="757" w:type="pct"/>
            <w:tcBorders>
              <w:top w:val="nil"/>
              <w:left w:val="nil"/>
              <w:bottom w:val="single" w:sz="4" w:space="0" w:color="auto"/>
              <w:right w:val="single" w:sz="4" w:space="0" w:color="auto"/>
            </w:tcBorders>
            <w:vAlign w:val="center"/>
          </w:tcPr>
          <w:p w14:paraId="3DD35C9D" w14:textId="77777777" w:rsidR="0000055D" w:rsidRPr="0000055D" w:rsidRDefault="0000055D" w:rsidP="0000055D">
            <w:pPr>
              <w:pStyle w:val="13"/>
              <w:ind w:firstLineChars="0" w:firstLine="0"/>
              <w:jc w:val="right"/>
              <w:rPr>
                <w:sz w:val="18"/>
                <w:szCs w:val="18"/>
              </w:rPr>
            </w:pPr>
            <w:r w:rsidRPr="0000055D">
              <w:rPr>
                <w:sz w:val="18"/>
                <w:szCs w:val="18"/>
              </w:rPr>
              <w:t>326,959.82</w:t>
            </w:r>
          </w:p>
        </w:tc>
        <w:tc>
          <w:tcPr>
            <w:tcW w:w="757" w:type="pct"/>
            <w:tcBorders>
              <w:top w:val="nil"/>
              <w:left w:val="nil"/>
              <w:bottom w:val="single" w:sz="4" w:space="0" w:color="auto"/>
              <w:right w:val="single" w:sz="4" w:space="0" w:color="auto"/>
            </w:tcBorders>
            <w:vAlign w:val="center"/>
          </w:tcPr>
          <w:p w14:paraId="7094D749" w14:textId="77777777" w:rsidR="0000055D" w:rsidRPr="0000055D" w:rsidRDefault="0000055D" w:rsidP="0000055D">
            <w:pPr>
              <w:pStyle w:val="13"/>
              <w:ind w:firstLineChars="0" w:firstLine="0"/>
              <w:jc w:val="right"/>
              <w:rPr>
                <w:sz w:val="18"/>
                <w:szCs w:val="18"/>
              </w:rPr>
            </w:pPr>
            <w:r w:rsidRPr="0000055D">
              <w:rPr>
                <w:sz w:val="18"/>
                <w:szCs w:val="18"/>
              </w:rPr>
              <w:t>363,733.84</w:t>
            </w:r>
          </w:p>
        </w:tc>
        <w:tc>
          <w:tcPr>
            <w:tcW w:w="757" w:type="pct"/>
            <w:tcBorders>
              <w:top w:val="nil"/>
              <w:left w:val="nil"/>
              <w:bottom w:val="single" w:sz="4" w:space="0" w:color="auto"/>
              <w:right w:val="single" w:sz="4" w:space="0" w:color="auto"/>
            </w:tcBorders>
            <w:vAlign w:val="center"/>
          </w:tcPr>
          <w:p w14:paraId="19140D13" w14:textId="77777777" w:rsidR="0000055D" w:rsidRPr="0000055D" w:rsidRDefault="0000055D" w:rsidP="0000055D">
            <w:pPr>
              <w:pStyle w:val="13"/>
              <w:ind w:firstLineChars="0" w:firstLine="0"/>
              <w:jc w:val="right"/>
              <w:rPr>
                <w:sz w:val="18"/>
                <w:szCs w:val="18"/>
              </w:rPr>
            </w:pPr>
            <w:r w:rsidRPr="0000055D">
              <w:rPr>
                <w:sz w:val="18"/>
                <w:szCs w:val="18"/>
              </w:rPr>
              <w:t>401,595.43</w:t>
            </w:r>
          </w:p>
        </w:tc>
        <w:tc>
          <w:tcPr>
            <w:tcW w:w="861" w:type="pct"/>
            <w:tcBorders>
              <w:top w:val="nil"/>
              <w:left w:val="nil"/>
              <w:bottom w:val="single" w:sz="4" w:space="0" w:color="auto"/>
              <w:right w:val="single" w:sz="4" w:space="0" w:color="auto"/>
            </w:tcBorders>
            <w:vAlign w:val="center"/>
          </w:tcPr>
          <w:p w14:paraId="314647A1" w14:textId="77777777" w:rsidR="0000055D" w:rsidRPr="0000055D" w:rsidRDefault="0000055D" w:rsidP="0000055D">
            <w:pPr>
              <w:pStyle w:val="13"/>
              <w:ind w:firstLineChars="0" w:firstLine="0"/>
              <w:jc w:val="right"/>
              <w:rPr>
                <w:sz w:val="18"/>
                <w:szCs w:val="18"/>
              </w:rPr>
            </w:pPr>
            <w:r w:rsidRPr="0000055D">
              <w:rPr>
                <w:sz w:val="18"/>
                <w:szCs w:val="18"/>
              </w:rPr>
              <w:t>439,012.30</w:t>
            </w:r>
          </w:p>
        </w:tc>
      </w:tr>
      <w:tr w:rsidR="0000055D" w:rsidRPr="0000055D" w14:paraId="3D6946A4"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7BD90BC0" w14:textId="77777777" w:rsidR="0000055D" w:rsidRPr="0000055D" w:rsidRDefault="0000055D" w:rsidP="0000055D">
            <w:pPr>
              <w:pStyle w:val="13"/>
              <w:ind w:firstLineChars="0" w:firstLine="0"/>
              <w:rPr>
                <w:sz w:val="18"/>
                <w:szCs w:val="18"/>
              </w:rPr>
            </w:pPr>
            <w:r w:rsidRPr="0000055D">
              <w:rPr>
                <w:sz w:val="18"/>
                <w:szCs w:val="18"/>
              </w:rPr>
              <w:t>本年减少</w:t>
            </w:r>
          </w:p>
        </w:tc>
        <w:tc>
          <w:tcPr>
            <w:tcW w:w="757" w:type="pct"/>
            <w:tcBorders>
              <w:top w:val="nil"/>
              <w:left w:val="nil"/>
              <w:bottom w:val="single" w:sz="4" w:space="0" w:color="auto"/>
              <w:right w:val="single" w:sz="4" w:space="0" w:color="auto"/>
            </w:tcBorders>
            <w:vAlign w:val="center"/>
          </w:tcPr>
          <w:p w14:paraId="50A4C4A7"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5C1916E7"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49908CC2"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4974DD72"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236038A1" w14:textId="77777777" w:rsidR="0000055D" w:rsidRPr="0000055D" w:rsidRDefault="0000055D" w:rsidP="0000055D">
            <w:pPr>
              <w:pStyle w:val="13"/>
              <w:ind w:firstLineChars="0" w:firstLine="0"/>
              <w:jc w:val="right"/>
              <w:rPr>
                <w:sz w:val="18"/>
                <w:szCs w:val="18"/>
              </w:rPr>
            </w:pPr>
          </w:p>
        </w:tc>
      </w:tr>
      <w:tr w:rsidR="0000055D" w:rsidRPr="0000055D" w14:paraId="44743A09"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0AC7C65E" w14:textId="77777777" w:rsidR="0000055D" w:rsidRPr="0000055D" w:rsidRDefault="0000055D" w:rsidP="0000055D">
            <w:pPr>
              <w:pStyle w:val="13"/>
              <w:ind w:firstLineChars="0" w:firstLine="0"/>
              <w:rPr>
                <w:sz w:val="18"/>
                <w:szCs w:val="18"/>
              </w:rPr>
            </w:pPr>
            <w:r w:rsidRPr="0000055D">
              <w:rPr>
                <w:sz w:val="18"/>
                <w:szCs w:val="18"/>
              </w:rPr>
              <w:t>年末数</w:t>
            </w:r>
          </w:p>
        </w:tc>
        <w:tc>
          <w:tcPr>
            <w:tcW w:w="757" w:type="pct"/>
            <w:tcBorders>
              <w:top w:val="nil"/>
              <w:left w:val="nil"/>
              <w:bottom w:val="single" w:sz="4" w:space="0" w:color="auto"/>
              <w:right w:val="single" w:sz="4" w:space="0" w:color="auto"/>
            </w:tcBorders>
            <w:vAlign w:val="center"/>
          </w:tcPr>
          <w:p w14:paraId="2D11ADE3" w14:textId="77777777" w:rsidR="0000055D" w:rsidRPr="0000055D" w:rsidRDefault="0000055D" w:rsidP="0000055D">
            <w:pPr>
              <w:pStyle w:val="13"/>
              <w:ind w:firstLineChars="0" w:firstLine="0"/>
              <w:jc w:val="right"/>
              <w:rPr>
                <w:sz w:val="18"/>
                <w:szCs w:val="18"/>
              </w:rPr>
            </w:pPr>
            <w:r w:rsidRPr="0000055D">
              <w:rPr>
                <w:sz w:val="18"/>
                <w:szCs w:val="18"/>
              </w:rPr>
              <w:t>1,209,824.18</w:t>
            </w:r>
          </w:p>
        </w:tc>
        <w:tc>
          <w:tcPr>
            <w:tcW w:w="757" w:type="pct"/>
            <w:tcBorders>
              <w:top w:val="nil"/>
              <w:left w:val="nil"/>
              <w:bottom w:val="single" w:sz="4" w:space="0" w:color="auto"/>
              <w:right w:val="single" w:sz="4" w:space="0" w:color="auto"/>
            </w:tcBorders>
            <w:vAlign w:val="center"/>
          </w:tcPr>
          <w:p w14:paraId="1A48979D" w14:textId="77777777" w:rsidR="0000055D" w:rsidRPr="0000055D" w:rsidRDefault="0000055D" w:rsidP="0000055D">
            <w:pPr>
              <w:pStyle w:val="13"/>
              <w:ind w:firstLineChars="0" w:firstLine="0"/>
              <w:jc w:val="right"/>
              <w:rPr>
                <w:sz w:val="18"/>
                <w:szCs w:val="18"/>
              </w:rPr>
            </w:pPr>
            <w:r w:rsidRPr="0000055D">
              <w:rPr>
                <w:sz w:val="18"/>
                <w:szCs w:val="18"/>
              </w:rPr>
              <w:t>1,536,784.00</w:t>
            </w:r>
          </w:p>
        </w:tc>
        <w:tc>
          <w:tcPr>
            <w:tcW w:w="757" w:type="pct"/>
            <w:tcBorders>
              <w:top w:val="nil"/>
              <w:left w:val="nil"/>
              <w:bottom w:val="single" w:sz="4" w:space="0" w:color="auto"/>
              <w:right w:val="single" w:sz="4" w:space="0" w:color="auto"/>
            </w:tcBorders>
            <w:vAlign w:val="center"/>
          </w:tcPr>
          <w:p w14:paraId="6DED13B6" w14:textId="77777777" w:rsidR="0000055D" w:rsidRPr="0000055D" w:rsidRDefault="0000055D" w:rsidP="0000055D">
            <w:pPr>
              <w:pStyle w:val="13"/>
              <w:ind w:firstLineChars="0" w:firstLine="0"/>
              <w:jc w:val="right"/>
              <w:rPr>
                <w:sz w:val="18"/>
                <w:szCs w:val="18"/>
              </w:rPr>
            </w:pPr>
            <w:r w:rsidRPr="0000055D">
              <w:rPr>
                <w:sz w:val="18"/>
                <w:szCs w:val="18"/>
              </w:rPr>
              <w:t>1,900,517.84</w:t>
            </w:r>
          </w:p>
        </w:tc>
        <w:tc>
          <w:tcPr>
            <w:tcW w:w="757" w:type="pct"/>
            <w:tcBorders>
              <w:top w:val="nil"/>
              <w:left w:val="nil"/>
              <w:bottom w:val="single" w:sz="4" w:space="0" w:color="auto"/>
              <w:right w:val="single" w:sz="4" w:space="0" w:color="auto"/>
            </w:tcBorders>
            <w:vAlign w:val="center"/>
          </w:tcPr>
          <w:p w14:paraId="3B1A175E" w14:textId="77777777" w:rsidR="0000055D" w:rsidRPr="0000055D" w:rsidRDefault="0000055D" w:rsidP="0000055D">
            <w:pPr>
              <w:pStyle w:val="13"/>
              <w:ind w:firstLineChars="0" w:firstLine="0"/>
              <w:jc w:val="right"/>
              <w:rPr>
                <w:sz w:val="18"/>
                <w:szCs w:val="18"/>
              </w:rPr>
            </w:pPr>
            <w:r w:rsidRPr="0000055D">
              <w:rPr>
                <w:sz w:val="18"/>
                <w:szCs w:val="18"/>
              </w:rPr>
              <w:t>2,302,113.27</w:t>
            </w:r>
          </w:p>
        </w:tc>
        <w:tc>
          <w:tcPr>
            <w:tcW w:w="861" w:type="pct"/>
            <w:tcBorders>
              <w:top w:val="nil"/>
              <w:left w:val="nil"/>
              <w:bottom w:val="single" w:sz="4" w:space="0" w:color="auto"/>
              <w:right w:val="single" w:sz="4" w:space="0" w:color="auto"/>
            </w:tcBorders>
            <w:vAlign w:val="center"/>
          </w:tcPr>
          <w:p w14:paraId="72FF3A80" w14:textId="77777777" w:rsidR="0000055D" w:rsidRPr="0000055D" w:rsidRDefault="0000055D" w:rsidP="0000055D">
            <w:pPr>
              <w:pStyle w:val="13"/>
              <w:ind w:firstLineChars="0" w:firstLine="0"/>
              <w:jc w:val="right"/>
              <w:rPr>
                <w:sz w:val="18"/>
                <w:szCs w:val="18"/>
              </w:rPr>
            </w:pPr>
            <w:r w:rsidRPr="0000055D">
              <w:rPr>
                <w:sz w:val="18"/>
                <w:szCs w:val="18"/>
              </w:rPr>
              <w:t>2,741,125.57</w:t>
            </w:r>
          </w:p>
        </w:tc>
      </w:tr>
      <w:tr w:rsidR="0000055D" w:rsidRPr="0000055D" w14:paraId="63276A53"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39E336B9" w14:textId="77777777" w:rsidR="0000055D" w:rsidRPr="0000055D" w:rsidRDefault="0000055D" w:rsidP="0000055D">
            <w:pPr>
              <w:pStyle w:val="13"/>
              <w:ind w:firstLineChars="0" w:firstLine="0"/>
              <w:rPr>
                <w:bCs/>
                <w:sz w:val="18"/>
                <w:szCs w:val="18"/>
              </w:rPr>
            </w:pPr>
            <w:r w:rsidRPr="0000055D">
              <w:rPr>
                <w:bCs/>
                <w:sz w:val="18"/>
                <w:szCs w:val="18"/>
              </w:rPr>
              <w:t>一般准备:</w:t>
            </w:r>
          </w:p>
        </w:tc>
        <w:tc>
          <w:tcPr>
            <w:tcW w:w="757" w:type="pct"/>
            <w:tcBorders>
              <w:top w:val="nil"/>
              <w:left w:val="nil"/>
              <w:bottom w:val="single" w:sz="4" w:space="0" w:color="auto"/>
              <w:right w:val="single" w:sz="4" w:space="0" w:color="auto"/>
            </w:tcBorders>
            <w:vAlign w:val="center"/>
          </w:tcPr>
          <w:p w14:paraId="5CB72DAC"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7A6010D9"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52734E37"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2C8C77B6"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23D951E4" w14:textId="77777777" w:rsidR="0000055D" w:rsidRPr="0000055D" w:rsidRDefault="0000055D" w:rsidP="0000055D">
            <w:pPr>
              <w:pStyle w:val="13"/>
              <w:ind w:firstLineChars="0" w:firstLine="0"/>
              <w:jc w:val="right"/>
              <w:rPr>
                <w:sz w:val="18"/>
                <w:szCs w:val="18"/>
              </w:rPr>
            </w:pPr>
          </w:p>
        </w:tc>
      </w:tr>
      <w:tr w:rsidR="0000055D" w:rsidRPr="0000055D" w14:paraId="2B63CA36"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7A26CB77" w14:textId="77777777" w:rsidR="0000055D" w:rsidRPr="0000055D" w:rsidRDefault="0000055D" w:rsidP="0000055D">
            <w:pPr>
              <w:pStyle w:val="13"/>
              <w:ind w:firstLineChars="0" w:firstLine="0"/>
              <w:rPr>
                <w:sz w:val="18"/>
                <w:szCs w:val="18"/>
              </w:rPr>
            </w:pPr>
            <w:r w:rsidRPr="0000055D">
              <w:rPr>
                <w:sz w:val="18"/>
                <w:szCs w:val="18"/>
              </w:rPr>
              <w:t>年初数</w:t>
            </w:r>
          </w:p>
        </w:tc>
        <w:tc>
          <w:tcPr>
            <w:tcW w:w="757" w:type="pct"/>
            <w:tcBorders>
              <w:top w:val="nil"/>
              <w:left w:val="nil"/>
              <w:bottom w:val="single" w:sz="4" w:space="0" w:color="auto"/>
              <w:right w:val="single" w:sz="4" w:space="0" w:color="auto"/>
            </w:tcBorders>
            <w:vAlign w:val="center"/>
          </w:tcPr>
          <w:p w14:paraId="3D5881DA" w14:textId="77777777" w:rsidR="0000055D" w:rsidRPr="0000055D" w:rsidRDefault="0000055D" w:rsidP="0000055D">
            <w:pPr>
              <w:pStyle w:val="13"/>
              <w:ind w:firstLineChars="0" w:firstLine="0"/>
              <w:jc w:val="right"/>
              <w:rPr>
                <w:sz w:val="18"/>
                <w:szCs w:val="18"/>
              </w:rPr>
            </w:pPr>
            <w:r w:rsidRPr="0000055D">
              <w:rPr>
                <w:sz w:val="18"/>
                <w:szCs w:val="18"/>
              </w:rPr>
              <w:t>3,804,593.34</w:t>
            </w:r>
          </w:p>
        </w:tc>
        <w:tc>
          <w:tcPr>
            <w:tcW w:w="757" w:type="pct"/>
            <w:tcBorders>
              <w:top w:val="nil"/>
              <w:left w:val="nil"/>
              <w:bottom w:val="single" w:sz="4" w:space="0" w:color="auto"/>
              <w:right w:val="single" w:sz="4" w:space="0" w:color="auto"/>
            </w:tcBorders>
            <w:vAlign w:val="center"/>
          </w:tcPr>
          <w:p w14:paraId="077A5826" w14:textId="77777777" w:rsidR="0000055D" w:rsidRPr="0000055D" w:rsidRDefault="0000055D" w:rsidP="0000055D">
            <w:pPr>
              <w:pStyle w:val="13"/>
              <w:ind w:firstLineChars="0" w:firstLine="0"/>
              <w:jc w:val="right"/>
              <w:rPr>
                <w:sz w:val="18"/>
                <w:szCs w:val="18"/>
              </w:rPr>
            </w:pPr>
            <w:r w:rsidRPr="0000055D">
              <w:rPr>
                <w:sz w:val="18"/>
                <w:szCs w:val="18"/>
              </w:rPr>
              <w:t>4,094,516.79</w:t>
            </w:r>
          </w:p>
        </w:tc>
        <w:tc>
          <w:tcPr>
            <w:tcW w:w="757" w:type="pct"/>
            <w:tcBorders>
              <w:top w:val="nil"/>
              <w:left w:val="nil"/>
              <w:bottom w:val="single" w:sz="4" w:space="0" w:color="auto"/>
              <w:right w:val="single" w:sz="4" w:space="0" w:color="auto"/>
            </w:tcBorders>
            <w:vAlign w:val="center"/>
          </w:tcPr>
          <w:p w14:paraId="7B945602" w14:textId="77777777" w:rsidR="0000055D" w:rsidRPr="0000055D" w:rsidRDefault="0000055D" w:rsidP="0000055D">
            <w:pPr>
              <w:pStyle w:val="13"/>
              <w:ind w:firstLineChars="0" w:firstLine="0"/>
              <w:jc w:val="right"/>
              <w:rPr>
                <w:sz w:val="18"/>
                <w:szCs w:val="18"/>
              </w:rPr>
            </w:pPr>
            <w:r w:rsidRPr="0000055D">
              <w:rPr>
                <w:sz w:val="18"/>
                <w:szCs w:val="18"/>
              </w:rPr>
              <w:t>4,421,476.61</w:t>
            </w:r>
          </w:p>
        </w:tc>
        <w:tc>
          <w:tcPr>
            <w:tcW w:w="757" w:type="pct"/>
            <w:tcBorders>
              <w:top w:val="nil"/>
              <w:left w:val="nil"/>
              <w:bottom w:val="single" w:sz="4" w:space="0" w:color="auto"/>
              <w:right w:val="single" w:sz="4" w:space="0" w:color="auto"/>
            </w:tcBorders>
            <w:vAlign w:val="center"/>
          </w:tcPr>
          <w:p w14:paraId="04B49160" w14:textId="77777777" w:rsidR="0000055D" w:rsidRPr="0000055D" w:rsidRDefault="0000055D" w:rsidP="0000055D">
            <w:pPr>
              <w:pStyle w:val="13"/>
              <w:ind w:firstLineChars="0" w:firstLine="0"/>
              <w:jc w:val="right"/>
              <w:rPr>
                <w:sz w:val="18"/>
                <w:szCs w:val="18"/>
              </w:rPr>
            </w:pPr>
            <w:r w:rsidRPr="0000055D">
              <w:rPr>
                <w:sz w:val="18"/>
                <w:szCs w:val="18"/>
              </w:rPr>
              <w:t>4,785,210.45</w:t>
            </w:r>
          </w:p>
        </w:tc>
        <w:tc>
          <w:tcPr>
            <w:tcW w:w="861" w:type="pct"/>
            <w:tcBorders>
              <w:top w:val="nil"/>
              <w:left w:val="nil"/>
              <w:bottom w:val="single" w:sz="4" w:space="0" w:color="auto"/>
              <w:right w:val="single" w:sz="4" w:space="0" w:color="auto"/>
            </w:tcBorders>
            <w:vAlign w:val="center"/>
          </w:tcPr>
          <w:p w14:paraId="1E39D317" w14:textId="77777777" w:rsidR="0000055D" w:rsidRPr="0000055D" w:rsidRDefault="0000055D" w:rsidP="0000055D">
            <w:pPr>
              <w:pStyle w:val="13"/>
              <w:ind w:firstLineChars="0" w:firstLine="0"/>
              <w:jc w:val="right"/>
              <w:rPr>
                <w:sz w:val="18"/>
                <w:szCs w:val="18"/>
              </w:rPr>
            </w:pPr>
            <w:r w:rsidRPr="0000055D">
              <w:rPr>
                <w:sz w:val="18"/>
                <w:szCs w:val="18"/>
              </w:rPr>
              <w:t>5,186,805.88</w:t>
            </w:r>
          </w:p>
        </w:tc>
      </w:tr>
      <w:tr w:rsidR="0000055D" w:rsidRPr="0000055D" w14:paraId="006FDA13"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2E513D94" w14:textId="77777777" w:rsidR="0000055D" w:rsidRPr="0000055D" w:rsidRDefault="0000055D" w:rsidP="0000055D">
            <w:pPr>
              <w:pStyle w:val="13"/>
              <w:ind w:firstLineChars="0" w:firstLine="0"/>
              <w:rPr>
                <w:sz w:val="18"/>
                <w:szCs w:val="18"/>
              </w:rPr>
            </w:pPr>
            <w:r w:rsidRPr="0000055D">
              <w:rPr>
                <w:sz w:val="18"/>
                <w:szCs w:val="18"/>
              </w:rPr>
              <w:t>本年增加</w:t>
            </w:r>
          </w:p>
        </w:tc>
        <w:tc>
          <w:tcPr>
            <w:tcW w:w="757" w:type="pct"/>
            <w:tcBorders>
              <w:top w:val="nil"/>
              <w:left w:val="nil"/>
              <w:bottom w:val="single" w:sz="4" w:space="0" w:color="auto"/>
              <w:right w:val="single" w:sz="4" w:space="0" w:color="auto"/>
            </w:tcBorders>
            <w:vAlign w:val="center"/>
          </w:tcPr>
          <w:p w14:paraId="7DB426EF" w14:textId="77777777" w:rsidR="0000055D" w:rsidRPr="0000055D" w:rsidRDefault="0000055D" w:rsidP="0000055D">
            <w:pPr>
              <w:pStyle w:val="13"/>
              <w:ind w:firstLineChars="0" w:firstLine="0"/>
              <w:jc w:val="right"/>
              <w:rPr>
                <w:sz w:val="18"/>
                <w:szCs w:val="18"/>
              </w:rPr>
            </w:pPr>
            <w:r w:rsidRPr="0000055D">
              <w:rPr>
                <w:sz w:val="18"/>
                <w:szCs w:val="18"/>
              </w:rPr>
              <w:t>289,923.45</w:t>
            </w:r>
          </w:p>
        </w:tc>
        <w:tc>
          <w:tcPr>
            <w:tcW w:w="757" w:type="pct"/>
            <w:tcBorders>
              <w:top w:val="nil"/>
              <w:left w:val="nil"/>
              <w:bottom w:val="single" w:sz="4" w:space="0" w:color="auto"/>
              <w:right w:val="single" w:sz="4" w:space="0" w:color="auto"/>
            </w:tcBorders>
            <w:vAlign w:val="center"/>
          </w:tcPr>
          <w:p w14:paraId="0346ACAB" w14:textId="77777777" w:rsidR="0000055D" w:rsidRPr="0000055D" w:rsidRDefault="0000055D" w:rsidP="0000055D">
            <w:pPr>
              <w:pStyle w:val="13"/>
              <w:ind w:firstLineChars="0" w:firstLine="0"/>
              <w:jc w:val="right"/>
              <w:rPr>
                <w:sz w:val="18"/>
                <w:szCs w:val="18"/>
              </w:rPr>
            </w:pPr>
            <w:r w:rsidRPr="0000055D">
              <w:rPr>
                <w:sz w:val="18"/>
                <w:szCs w:val="18"/>
              </w:rPr>
              <w:t>326,959.82</w:t>
            </w:r>
          </w:p>
        </w:tc>
        <w:tc>
          <w:tcPr>
            <w:tcW w:w="757" w:type="pct"/>
            <w:tcBorders>
              <w:top w:val="nil"/>
              <w:left w:val="nil"/>
              <w:bottom w:val="single" w:sz="4" w:space="0" w:color="auto"/>
              <w:right w:val="single" w:sz="4" w:space="0" w:color="auto"/>
            </w:tcBorders>
            <w:vAlign w:val="center"/>
          </w:tcPr>
          <w:p w14:paraId="495AC9C1" w14:textId="77777777" w:rsidR="0000055D" w:rsidRPr="0000055D" w:rsidRDefault="0000055D" w:rsidP="0000055D">
            <w:pPr>
              <w:pStyle w:val="13"/>
              <w:ind w:firstLineChars="0" w:firstLine="0"/>
              <w:jc w:val="right"/>
              <w:rPr>
                <w:sz w:val="18"/>
                <w:szCs w:val="18"/>
              </w:rPr>
            </w:pPr>
            <w:r w:rsidRPr="0000055D">
              <w:rPr>
                <w:sz w:val="18"/>
                <w:szCs w:val="18"/>
              </w:rPr>
              <w:t>363,733.84</w:t>
            </w:r>
          </w:p>
        </w:tc>
        <w:tc>
          <w:tcPr>
            <w:tcW w:w="757" w:type="pct"/>
            <w:tcBorders>
              <w:top w:val="nil"/>
              <w:left w:val="nil"/>
              <w:bottom w:val="single" w:sz="4" w:space="0" w:color="auto"/>
              <w:right w:val="single" w:sz="4" w:space="0" w:color="auto"/>
            </w:tcBorders>
            <w:vAlign w:val="center"/>
          </w:tcPr>
          <w:p w14:paraId="3AFABC58" w14:textId="77777777" w:rsidR="0000055D" w:rsidRPr="0000055D" w:rsidRDefault="0000055D" w:rsidP="0000055D">
            <w:pPr>
              <w:pStyle w:val="13"/>
              <w:ind w:firstLineChars="0" w:firstLine="0"/>
              <w:jc w:val="right"/>
              <w:rPr>
                <w:sz w:val="18"/>
                <w:szCs w:val="18"/>
              </w:rPr>
            </w:pPr>
            <w:r w:rsidRPr="0000055D">
              <w:rPr>
                <w:sz w:val="18"/>
                <w:szCs w:val="18"/>
              </w:rPr>
              <w:t>401,595.43</w:t>
            </w:r>
          </w:p>
        </w:tc>
        <w:tc>
          <w:tcPr>
            <w:tcW w:w="861" w:type="pct"/>
            <w:tcBorders>
              <w:top w:val="nil"/>
              <w:left w:val="nil"/>
              <w:bottom w:val="single" w:sz="4" w:space="0" w:color="auto"/>
              <w:right w:val="single" w:sz="4" w:space="0" w:color="auto"/>
            </w:tcBorders>
            <w:vAlign w:val="center"/>
          </w:tcPr>
          <w:p w14:paraId="40185489" w14:textId="77777777" w:rsidR="0000055D" w:rsidRPr="0000055D" w:rsidRDefault="0000055D" w:rsidP="0000055D">
            <w:pPr>
              <w:pStyle w:val="13"/>
              <w:ind w:firstLineChars="0" w:firstLine="0"/>
              <w:jc w:val="right"/>
              <w:rPr>
                <w:sz w:val="18"/>
                <w:szCs w:val="18"/>
              </w:rPr>
            </w:pPr>
            <w:r w:rsidRPr="0000055D">
              <w:rPr>
                <w:sz w:val="18"/>
                <w:szCs w:val="18"/>
              </w:rPr>
              <w:t>439,012.30</w:t>
            </w:r>
          </w:p>
        </w:tc>
      </w:tr>
      <w:tr w:rsidR="0000055D" w:rsidRPr="0000055D" w14:paraId="03ABD881"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5E0DB742" w14:textId="77777777" w:rsidR="0000055D" w:rsidRPr="0000055D" w:rsidRDefault="0000055D" w:rsidP="0000055D">
            <w:pPr>
              <w:pStyle w:val="13"/>
              <w:ind w:firstLineChars="0" w:firstLine="0"/>
              <w:rPr>
                <w:sz w:val="18"/>
                <w:szCs w:val="18"/>
              </w:rPr>
            </w:pPr>
            <w:r w:rsidRPr="0000055D">
              <w:rPr>
                <w:sz w:val="18"/>
                <w:szCs w:val="18"/>
              </w:rPr>
              <w:t>本年减少</w:t>
            </w:r>
          </w:p>
        </w:tc>
        <w:tc>
          <w:tcPr>
            <w:tcW w:w="757" w:type="pct"/>
            <w:tcBorders>
              <w:top w:val="nil"/>
              <w:left w:val="nil"/>
              <w:bottom w:val="single" w:sz="4" w:space="0" w:color="auto"/>
              <w:right w:val="single" w:sz="4" w:space="0" w:color="auto"/>
            </w:tcBorders>
            <w:vAlign w:val="center"/>
          </w:tcPr>
          <w:p w14:paraId="4F3C4D32"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576A63E2"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2786C472"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782B201A"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297B8BB8" w14:textId="77777777" w:rsidR="0000055D" w:rsidRPr="0000055D" w:rsidRDefault="0000055D" w:rsidP="0000055D">
            <w:pPr>
              <w:pStyle w:val="13"/>
              <w:ind w:firstLineChars="0" w:firstLine="0"/>
              <w:jc w:val="right"/>
              <w:rPr>
                <w:sz w:val="18"/>
                <w:szCs w:val="18"/>
              </w:rPr>
            </w:pPr>
          </w:p>
        </w:tc>
      </w:tr>
      <w:tr w:rsidR="0000055D" w:rsidRPr="0000055D" w14:paraId="0A396ED2"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729D8B5A" w14:textId="77777777" w:rsidR="0000055D" w:rsidRPr="0000055D" w:rsidRDefault="0000055D" w:rsidP="0000055D">
            <w:pPr>
              <w:pStyle w:val="13"/>
              <w:ind w:firstLineChars="0" w:firstLine="0"/>
              <w:rPr>
                <w:sz w:val="18"/>
                <w:szCs w:val="18"/>
              </w:rPr>
            </w:pPr>
            <w:r w:rsidRPr="0000055D">
              <w:rPr>
                <w:sz w:val="18"/>
                <w:szCs w:val="18"/>
              </w:rPr>
              <w:t>年末数</w:t>
            </w:r>
          </w:p>
        </w:tc>
        <w:tc>
          <w:tcPr>
            <w:tcW w:w="757" w:type="pct"/>
            <w:tcBorders>
              <w:top w:val="nil"/>
              <w:left w:val="nil"/>
              <w:bottom w:val="single" w:sz="4" w:space="0" w:color="auto"/>
              <w:right w:val="single" w:sz="4" w:space="0" w:color="auto"/>
            </w:tcBorders>
            <w:vAlign w:val="center"/>
          </w:tcPr>
          <w:p w14:paraId="20F7E845" w14:textId="77777777" w:rsidR="0000055D" w:rsidRPr="0000055D" w:rsidRDefault="0000055D" w:rsidP="0000055D">
            <w:pPr>
              <w:pStyle w:val="13"/>
              <w:ind w:firstLineChars="0" w:firstLine="0"/>
              <w:jc w:val="right"/>
              <w:rPr>
                <w:sz w:val="18"/>
                <w:szCs w:val="18"/>
              </w:rPr>
            </w:pPr>
            <w:r w:rsidRPr="0000055D">
              <w:rPr>
                <w:sz w:val="18"/>
                <w:szCs w:val="18"/>
              </w:rPr>
              <w:t>4,094,516.79</w:t>
            </w:r>
          </w:p>
        </w:tc>
        <w:tc>
          <w:tcPr>
            <w:tcW w:w="757" w:type="pct"/>
            <w:tcBorders>
              <w:top w:val="nil"/>
              <w:left w:val="nil"/>
              <w:bottom w:val="single" w:sz="4" w:space="0" w:color="auto"/>
              <w:right w:val="single" w:sz="4" w:space="0" w:color="auto"/>
            </w:tcBorders>
            <w:vAlign w:val="center"/>
          </w:tcPr>
          <w:p w14:paraId="61965A2F" w14:textId="77777777" w:rsidR="0000055D" w:rsidRPr="0000055D" w:rsidRDefault="0000055D" w:rsidP="0000055D">
            <w:pPr>
              <w:pStyle w:val="13"/>
              <w:ind w:firstLineChars="0" w:firstLine="0"/>
              <w:jc w:val="right"/>
              <w:rPr>
                <w:sz w:val="18"/>
                <w:szCs w:val="18"/>
              </w:rPr>
            </w:pPr>
            <w:r w:rsidRPr="0000055D">
              <w:rPr>
                <w:sz w:val="18"/>
                <w:szCs w:val="18"/>
              </w:rPr>
              <w:t>4,421,476.61</w:t>
            </w:r>
          </w:p>
        </w:tc>
        <w:tc>
          <w:tcPr>
            <w:tcW w:w="757" w:type="pct"/>
            <w:tcBorders>
              <w:top w:val="nil"/>
              <w:left w:val="nil"/>
              <w:bottom w:val="single" w:sz="4" w:space="0" w:color="auto"/>
              <w:right w:val="single" w:sz="4" w:space="0" w:color="auto"/>
            </w:tcBorders>
            <w:vAlign w:val="center"/>
          </w:tcPr>
          <w:p w14:paraId="600EA2FA" w14:textId="77777777" w:rsidR="0000055D" w:rsidRPr="0000055D" w:rsidRDefault="0000055D" w:rsidP="0000055D">
            <w:pPr>
              <w:pStyle w:val="13"/>
              <w:ind w:firstLineChars="0" w:firstLine="0"/>
              <w:jc w:val="right"/>
              <w:rPr>
                <w:sz w:val="18"/>
                <w:szCs w:val="18"/>
              </w:rPr>
            </w:pPr>
            <w:r w:rsidRPr="0000055D">
              <w:rPr>
                <w:sz w:val="18"/>
                <w:szCs w:val="18"/>
              </w:rPr>
              <w:t>4,785,210.45</w:t>
            </w:r>
          </w:p>
        </w:tc>
        <w:tc>
          <w:tcPr>
            <w:tcW w:w="757" w:type="pct"/>
            <w:tcBorders>
              <w:top w:val="nil"/>
              <w:left w:val="nil"/>
              <w:bottom w:val="single" w:sz="4" w:space="0" w:color="auto"/>
              <w:right w:val="single" w:sz="4" w:space="0" w:color="auto"/>
            </w:tcBorders>
            <w:vAlign w:val="center"/>
          </w:tcPr>
          <w:p w14:paraId="2C8F2BDC" w14:textId="77777777" w:rsidR="0000055D" w:rsidRPr="0000055D" w:rsidRDefault="0000055D" w:rsidP="0000055D">
            <w:pPr>
              <w:pStyle w:val="13"/>
              <w:ind w:firstLineChars="0" w:firstLine="0"/>
              <w:jc w:val="right"/>
              <w:rPr>
                <w:sz w:val="18"/>
                <w:szCs w:val="18"/>
              </w:rPr>
            </w:pPr>
            <w:r w:rsidRPr="0000055D">
              <w:rPr>
                <w:sz w:val="18"/>
                <w:szCs w:val="18"/>
              </w:rPr>
              <w:t>5,186,805.88</w:t>
            </w:r>
          </w:p>
        </w:tc>
        <w:tc>
          <w:tcPr>
            <w:tcW w:w="861" w:type="pct"/>
            <w:tcBorders>
              <w:top w:val="nil"/>
              <w:left w:val="nil"/>
              <w:bottom w:val="single" w:sz="4" w:space="0" w:color="auto"/>
              <w:right w:val="single" w:sz="4" w:space="0" w:color="auto"/>
            </w:tcBorders>
            <w:vAlign w:val="center"/>
          </w:tcPr>
          <w:p w14:paraId="0B926500" w14:textId="77777777" w:rsidR="0000055D" w:rsidRPr="0000055D" w:rsidRDefault="0000055D" w:rsidP="0000055D">
            <w:pPr>
              <w:pStyle w:val="13"/>
              <w:ind w:firstLineChars="0" w:firstLine="0"/>
              <w:jc w:val="right"/>
              <w:rPr>
                <w:sz w:val="18"/>
                <w:szCs w:val="18"/>
              </w:rPr>
            </w:pPr>
            <w:r w:rsidRPr="0000055D">
              <w:rPr>
                <w:sz w:val="18"/>
                <w:szCs w:val="18"/>
              </w:rPr>
              <w:t>5,625,818.18</w:t>
            </w:r>
          </w:p>
        </w:tc>
      </w:tr>
      <w:tr w:rsidR="0000055D" w:rsidRPr="0000055D" w14:paraId="241A48CE"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585D1C25" w14:textId="77777777" w:rsidR="0000055D" w:rsidRPr="0000055D" w:rsidRDefault="0000055D" w:rsidP="0000055D">
            <w:pPr>
              <w:pStyle w:val="13"/>
              <w:ind w:firstLineChars="0" w:firstLine="0"/>
              <w:rPr>
                <w:bCs/>
                <w:sz w:val="18"/>
                <w:szCs w:val="18"/>
              </w:rPr>
            </w:pPr>
            <w:r w:rsidRPr="0000055D">
              <w:rPr>
                <w:bCs/>
                <w:sz w:val="18"/>
                <w:szCs w:val="18"/>
              </w:rPr>
              <w:t>未分配利润:</w:t>
            </w:r>
          </w:p>
        </w:tc>
        <w:tc>
          <w:tcPr>
            <w:tcW w:w="757" w:type="pct"/>
            <w:tcBorders>
              <w:top w:val="nil"/>
              <w:left w:val="nil"/>
              <w:bottom w:val="single" w:sz="4" w:space="0" w:color="auto"/>
              <w:right w:val="single" w:sz="4" w:space="0" w:color="auto"/>
            </w:tcBorders>
            <w:vAlign w:val="center"/>
          </w:tcPr>
          <w:p w14:paraId="070D9794"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2F7CBDF7"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5F908538"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4653A30A"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11A28D7A" w14:textId="77777777" w:rsidR="0000055D" w:rsidRPr="0000055D" w:rsidRDefault="0000055D" w:rsidP="0000055D">
            <w:pPr>
              <w:pStyle w:val="13"/>
              <w:ind w:firstLineChars="0" w:firstLine="0"/>
              <w:jc w:val="right"/>
              <w:rPr>
                <w:sz w:val="18"/>
                <w:szCs w:val="18"/>
              </w:rPr>
            </w:pPr>
          </w:p>
        </w:tc>
      </w:tr>
      <w:tr w:rsidR="0000055D" w:rsidRPr="0000055D" w14:paraId="450720D0"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1F67C541" w14:textId="77777777" w:rsidR="0000055D" w:rsidRPr="0000055D" w:rsidRDefault="0000055D" w:rsidP="0000055D">
            <w:pPr>
              <w:pStyle w:val="13"/>
              <w:ind w:firstLineChars="0" w:firstLine="0"/>
              <w:rPr>
                <w:sz w:val="18"/>
                <w:szCs w:val="18"/>
              </w:rPr>
            </w:pPr>
            <w:r w:rsidRPr="0000055D">
              <w:rPr>
                <w:sz w:val="18"/>
                <w:szCs w:val="18"/>
              </w:rPr>
              <w:t>年初未分配利润</w:t>
            </w:r>
          </w:p>
        </w:tc>
        <w:tc>
          <w:tcPr>
            <w:tcW w:w="757" w:type="pct"/>
            <w:tcBorders>
              <w:top w:val="nil"/>
              <w:left w:val="nil"/>
              <w:bottom w:val="single" w:sz="4" w:space="0" w:color="auto"/>
              <w:right w:val="single" w:sz="4" w:space="0" w:color="auto"/>
            </w:tcBorders>
            <w:vAlign w:val="center"/>
          </w:tcPr>
          <w:p w14:paraId="6B070DDA" w14:textId="77777777" w:rsidR="0000055D" w:rsidRPr="0000055D" w:rsidRDefault="0000055D" w:rsidP="0000055D">
            <w:pPr>
              <w:pStyle w:val="13"/>
              <w:ind w:firstLineChars="0" w:firstLine="0"/>
              <w:jc w:val="right"/>
              <w:rPr>
                <w:sz w:val="18"/>
                <w:szCs w:val="18"/>
              </w:rPr>
            </w:pPr>
            <w:r w:rsidRPr="0000055D">
              <w:rPr>
                <w:sz w:val="18"/>
                <w:szCs w:val="18"/>
              </w:rPr>
              <w:t>2,986,089.90</w:t>
            </w:r>
          </w:p>
        </w:tc>
        <w:tc>
          <w:tcPr>
            <w:tcW w:w="757" w:type="pct"/>
            <w:tcBorders>
              <w:top w:val="nil"/>
              <w:left w:val="nil"/>
              <w:bottom w:val="single" w:sz="4" w:space="0" w:color="auto"/>
              <w:right w:val="single" w:sz="4" w:space="0" w:color="auto"/>
            </w:tcBorders>
            <w:vAlign w:val="center"/>
          </w:tcPr>
          <w:p w14:paraId="08AB49BA" w14:textId="77777777" w:rsidR="0000055D" w:rsidRPr="0000055D" w:rsidRDefault="0000055D" w:rsidP="0000055D">
            <w:pPr>
              <w:pStyle w:val="13"/>
              <w:ind w:firstLineChars="0" w:firstLine="0"/>
              <w:jc w:val="right"/>
              <w:rPr>
                <w:sz w:val="18"/>
                <w:szCs w:val="18"/>
              </w:rPr>
            </w:pPr>
            <w:r w:rsidRPr="0000055D">
              <w:rPr>
                <w:sz w:val="18"/>
                <w:szCs w:val="18"/>
              </w:rPr>
              <w:t>3,768,883.23</w:t>
            </w:r>
          </w:p>
        </w:tc>
        <w:tc>
          <w:tcPr>
            <w:tcW w:w="757" w:type="pct"/>
            <w:tcBorders>
              <w:top w:val="nil"/>
              <w:left w:val="nil"/>
              <w:bottom w:val="single" w:sz="4" w:space="0" w:color="auto"/>
              <w:right w:val="single" w:sz="4" w:space="0" w:color="auto"/>
            </w:tcBorders>
            <w:vAlign w:val="center"/>
          </w:tcPr>
          <w:p w14:paraId="2E381CD8" w14:textId="77777777" w:rsidR="0000055D" w:rsidRPr="0000055D" w:rsidRDefault="0000055D" w:rsidP="0000055D">
            <w:pPr>
              <w:pStyle w:val="13"/>
              <w:ind w:firstLineChars="0" w:firstLine="0"/>
              <w:jc w:val="right"/>
              <w:rPr>
                <w:sz w:val="18"/>
                <w:szCs w:val="18"/>
              </w:rPr>
            </w:pPr>
            <w:r w:rsidRPr="0000055D">
              <w:rPr>
                <w:sz w:val="18"/>
                <w:szCs w:val="18"/>
              </w:rPr>
              <w:t>6,188,385.88</w:t>
            </w:r>
          </w:p>
        </w:tc>
        <w:tc>
          <w:tcPr>
            <w:tcW w:w="757" w:type="pct"/>
            <w:tcBorders>
              <w:top w:val="nil"/>
              <w:left w:val="nil"/>
              <w:bottom w:val="single" w:sz="4" w:space="0" w:color="auto"/>
              <w:right w:val="single" w:sz="4" w:space="0" w:color="auto"/>
            </w:tcBorders>
            <w:vAlign w:val="center"/>
          </w:tcPr>
          <w:p w14:paraId="39B74DC1" w14:textId="77777777" w:rsidR="0000055D" w:rsidRPr="0000055D" w:rsidRDefault="0000055D" w:rsidP="0000055D">
            <w:pPr>
              <w:pStyle w:val="13"/>
              <w:ind w:firstLineChars="0" w:firstLine="0"/>
              <w:jc w:val="right"/>
              <w:rPr>
                <w:sz w:val="18"/>
                <w:szCs w:val="18"/>
              </w:rPr>
            </w:pPr>
            <w:r w:rsidRPr="0000055D">
              <w:rPr>
                <w:sz w:val="18"/>
                <w:szCs w:val="18"/>
              </w:rPr>
              <w:t>9,025,509.78</w:t>
            </w:r>
          </w:p>
        </w:tc>
        <w:tc>
          <w:tcPr>
            <w:tcW w:w="861" w:type="pct"/>
            <w:tcBorders>
              <w:top w:val="nil"/>
              <w:left w:val="nil"/>
              <w:bottom w:val="single" w:sz="4" w:space="0" w:color="auto"/>
              <w:right w:val="single" w:sz="4" w:space="0" w:color="auto"/>
            </w:tcBorders>
            <w:vAlign w:val="center"/>
          </w:tcPr>
          <w:p w14:paraId="482EC34C" w14:textId="77777777" w:rsidR="0000055D" w:rsidRPr="0000055D" w:rsidRDefault="0000055D" w:rsidP="0000055D">
            <w:pPr>
              <w:pStyle w:val="13"/>
              <w:ind w:firstLineChars="0" w:firstLine="0"/>
              <w:jc w:val="right"/>
              <w:rPr>
                <w:sz w:val="18"/>
                <w:szCs w:val="18"/>
              </w:rPr>
            </w:pPr>
            <w:r w:rsidRPr="0000055D">
              <w:rPr>
                <w:sz w:val="18"/>
                <w:szCs w:val="18"/>
              </w:rPr>
              <w:t>11,957,156.37</w:t>
            </w:r>
          </w:p>
        </w:tc>
      </w:tr>
      <w:tr w:rsidR="0000055D" w:rsidRPr="0000055D" w14:paraId="386ECC27"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3D829C1C" w14:textId="77777777" w:rsidR="0000055D" w:rsidRPr="0000055D" w:rsidRDefault="0000055D" w:rsidP="0000055D">
            <w:pPr>
              <w:pStyle w:val="13"/>
              <w:ind w:firstLineChars="0" w:firstLine="0"/>
              <w:rPr>
                <w:sz w:val="18"/>
                <w:szCs w:val="18"/>
              </w:rPr>
            </w:pPr>
            <w:r w:rsidRPr="0000055D">
              <w:rPr>
                <w:sz w:val="18"/>
                <w:szCs w:val="18"/>
              </w:rPr>
              <w:t>本年增加数</w:t>
            </w:r>
          </w:p>
        </w:tc>
        <w:tc>
          <w:tcPr>
            <w:tcW w:w="757" w:type="pct"/>
            <w:tcBorders>
              <w:top w:val="nil"/>
              <w:left w:val="nil"/>
              <w:bottom w:val="single" w:sz="4" w:space="0" w:color="auto"/>
              <w:right w:val="single" w:sz="4" w:space="0" w:color="auto"/>
            </w:tcBorders>
            <w:vAlign w:val="center"/>
          </w:tcPr>
          <w:p w14:paraId="56ABC220" w14:textId="77777777" w:rsidR="0000055D" w:rsidRPr="0000055D" w:rsidRDefault="0000055D" w:rsidP="0000055D">
            <w:pPr>
              <w:pStyle w:val="13"/>
              <w:ind w:firstLineChars="0" w:firstLine="0"/>
              <w:jc w:val="right"/>
              <w:rPr>
                <w:sz w:val="18"/>
                <w:szCs w:val="18"/>
              </w:rPr>
            </w:pPr>
            <w:r w:rsidRPr="0000055D">
              <w:rPr>
                <w:sz w:val="18"/>
                <w:szCs w:val="18"/>
              </w:rPr>
              <w:t>2,899,234.54</w:t>
            </w:r>
          </w:p>
        </w:tc>
        <w:tc>
          <w:tcPr>
            <w:tcW w:w="757" w:type="pct"/>
            <w:tcBorders>
              <w:top w:val="nil"/>
              <w:left w:val="nil"/>
              <w:bottom w:val="single" w:sz="4" w:space="0" w:color="auto"/>
              <w:right w:val="single" w:sz="4" w:space="0" w:color="auto"/>
            </w:tcBorders>
            <w:vAlign w:val="center"/>
          </w:tcPr>
          <w:p w14:paraId="16432B4E" w14:textId="77777777" w:rsidR="0000055D" w:rsidRPr="0000055D" w:rsidRDefault="0000055D" w:rsidP="0000055D">
            <w:pPr>
              <w:pStyle w:val="13"/>
              <w:ind w:firstLineChars="0" w:firstLine="0"/>
              <w:jc w:val="right"/>
              <w:rPr>
                <w:sz w:val="18"/>
                <w:szCs w:val="18"/>
              </w:rPr>
            </w:pPr>
            <w:r w:rsidRPr="0000055D">
              <w:rPr>
                <w:sz w:val="18"/>
                <w:szCs w:val="18"/>
              </w:rPr>
              <w:t>3,269,598.18</w:t>
            </w:r>
          </w:p>
        </w:tc>
        <w:tc>
          <w:tcPr>
            <w:tcW w:w="757" w:type="pct"/>
            <w:tcBorders>
              <w:top w:val="nil"/>
              <w:left w:val="nil"/>
              <w:bottom w:val="single" w:sz="4" w:space="0" w:color="auto"/>
              <w:right w:val="single" w:sz="4" w:space="0" w:color="auto"/>
            </w:tcBorders>
            <w:vAlign w:val="center"/>
          </w:tcPr>
          <w:p w14:paraId="29E11578" w14:textId="77777777" w:rsidR="0000055D" w:rsidRPr="0000055D" w:rsidRDefault="0000055D" w:rsidP="0000055D">
            <w:pPr>
              <w:pStyle w:val="13"/>
              <w:ind w:firstLineChars="0" w:firstLine="0"/>
              <w:jc w:val="right"/>
              <w:rPr>
                <w:sz w:val="18"/>
                <w:szCs w:val="18"/>
              </w:rPr>
            </w:pPr>
            <w:r w:rsidRPr="0000055D">
              <w:rPr>
                <w:sz w:val="18"/>
                <w:szCs w:val="18"/>
              </w:rPr>
              <w:t>3,637,338.35</w:t>
            </w:r>
          </w:p>
        </w:tc>
        <w:tc>
          <w:tcPr>
            <w:tcW w:w="757" w:type="pct"/>
            <w:tcBorders>
              <w:top w:val="nil"/>
              <w:left w:val="nil"/>
              <w:bottom w:val="single" w:sz="4" w:space="0" w:color="auto"/>
              <w:right w:val="single" w:sz="4" w:space="0" w:color="auto"/>
            </w:tcBorders>
            <w:vAlign w:val="center"/>
          </w:tcPr>
          <w:p w14:paraId="3B017708" w14:textId="77777777" w:rsidR="0000055D" w:rsidRPr="0000055D" w:rsidRDefault="0000055D" w:rsidP="0000055D">
            <w:pPr>
              <w:pStyle w:val="13"/>
              <w:ind w:firstLineChars="0" w:firstLine="0"/>
              <w:jc w:val="right"/>
              <w:rPr>
                <w:sz w:val="18"/>
                <w:szCs w:val="18"/>
              </w:rPr>
            </w:pPr>
            <w:r w:rsidRPr="0000055D">
              <w:rPr>
                <w:sz w:val="18"/>
                <w:szCs w:val="18"/>
              </w:rPr>
              <w:t>4,015,954.25</w:t>
            </w:r>
          </w:p>
        </w:tc>
        <w:tc>
          <w:tcPr>
            <w:tcW w:w="861" w:type="pct"/>
            <w:tcBorders>
              <w:top w:val="nil"/>
              <w:left w:val="nil"/>
              <w:bottom w:val="single" w:sz="4" w:space="0" w:color="auto"/>
              <w:right w:val="single" w:sz="4" w:space="0" w:color="auto"/>
            </w:tcBorders>
            <w:vAlign w:val="center"/>
          </w:tcPr>
          <w:p w14:paraId="424050F6" w14:textId="77777777" w:rsidR="0000055D" w:rsidRPr="0000055D" w:rsidRDefault="0000055D" w:rsidP="0000055D">
            <w:pPr>
              <w:pStyle w:val="13"/>
              <w:ind w:firstLineChars="0" w:firstLine="0"/>
              <w:jc w:val="right"/>
              <w:rPr>
                <w:sz w:val="18"/>
                <w:szCs w:val="18"/>
              </w:rPr>
            </w:pPr>
            <w:r w:rsidRPr="0000055D">
              <w:rPr>
                <w:sz w:val="18"/>
                <w:szCs w:val="18"/>
              </w:rPr>
              <w:t>4,390,122.98</w:t>
            </w:r>
          </w:p>
        </w:tc>
      </w:tr>
      <w:tr w:rsidR="0000055D" w:rsidRPr="0000055D" w14:paraId="1F7FCCEC"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0D9AC565" w14:textId="77777777" w:rsidR="0000055D" w:rsidRPr="0000055D" w:rsidRDefault="0000055D" w:rsidP="0000055D">
            <w:pPr>
              <w:pStyle w:val="13"/>
              <w:ind w:firstLineChars="0" w:firstLine="0"/>
              <w:rPr>
                <w:sz w:val="18"/>
                <w:szCs w:val="18"/>
              </w:rPr>
            </w:pPr>
            <w:r w:rsidRPr="0000055D">
              <w:rPr>
                <w:sz w:val="18"/>
                <w:szCs w:val="18"/>
              </w:rPr>
              <w:t>净利润</w:t>
            </w:r>
          </w:p>
        </w:tc>
        <w:tc>
          <w:tcPr>
            <w:tcW w:w="757" w:type="pct"/>
            <w:tcBorders>
              <w:top w:val="nil"/>
              <w:left w:val="nil"/>
              <w:bottom w:val="single" w:sz="4" w:space="0" w:color="auto"/>
              <w:right w:val="single" w:sz="4" w:space="0" w:color="auto"/>
            </w:tcBorders>
            <w:vAlign w:val="center"/>
          </w:tcPr>
          <w:p w14:paraId="05936346" w14:textId="77777777" w:rsidR="0000055D" w:rsidRPr="0000055D" w:rsidRDefault="0000055D" w:rsidP="0000055D">
            <w:pPr>
              <w:pStyle w:val="13"/>
              <w:ind w:firstLineChars="0" w:firstLine="0"/>
              <w:jc w:val="right"/>
              <w:rPr>
                <w:sz w:val="18"/>
                <w:szCs w:val="18"/>
              </w:rPr>
            </w:pPr>
            <w:r w:rsidRPr="0000055D">
              <w:rPr>
                <w:sz w:val="18"/>
                <w:szCs w:val="18"/>
              </w:rPr>
              <w:t>2,899,234.54</w:t>
            </w:r>
          </w:p>
        </w:tc>
        <w:tc>
          <w:tcPr>
            <w:tcW w:w="757" w:type="pct"/>
            <w:tcBorders>
              <w:top w:val="nil"/>
              <w:left w:val="nil"/>
              <w:bottom w:val="single" w:sz="4" w:space="0" w:color="auto"/>
              <w:right w:val="single" w:sz="4" w:space="0" w:color="auto"/>
            </w:tcBorders>
            <w:vAlign w:val="center"/>
          </w:tcPr>
          <w:p w14:paraId="02543506" w14:textId="77777777" w:rsidR="0000055D" w:rsidRPr="0000055D" w:rsidRDefault="0000055D" w:rsidP="0000055D">
            <w:pPr>
              <w:pStyle w:val="13"/>
              <w:ind w:firstLineChars="0" w:firstLine="0"/>
              <w:jc w:val="right"/>
              <w:rPr>
                <w:sz w:val="18"/>
                <w:szCs w:val="18"/>
              </w:rPr>
            </w:pPr>
            <w:r w:rsidRPr="0000055D">
              <w:rPr>
                <w:sz w:val="18"/>
                <w:szCs w:val="18"/>
              </w:rPr>
              <w:t>3,269,598.18</w:t>
            </w:r>
          </w:p>
        </w:tc>
        <w:tc>
          <w:tcPr>
            <w:tcW w:w="757" w:type="pct"/>
            <w:tcBorders>
              <w:top w:val="nil"/>
              <w:left w:val="nil"/>
              <w:bottom w:val="single" w:sz="4" w:space="0" w:color="auto"/>
              <w:right w:val="single" w:sz="4" w:space="0" w:color="auto"/>
            </w:tcBorders>
            <w:vAlign w:val="center"/>
          </w:tcPr>
          <w:p w14:paraId="7382CA51" w14:textId="77777777" w:rsidR="0000055D" w:rsidRPr="0000055D" w:rsidRDefault="0000055D" w:rsidP="0000055D">
            <w:pPr>
              <w:pStyle w:val="13"/>
              <w:ind w:firstLineChars="0" w:firstLine="0"/>
              <w:jc w:val="right"/>
              <w:rPr>
                <w:sz w:val="18"/>
                <w:szCs w:val="18"/>
              </w:rPr>
            </w:pPr>
            <w:r w:rsidRPr="0000055D">
              <w:rPr>
                <w:sz w:val="18"/>
                <w:szCs w:val="18"/>
              </w:rPr>
              <w:t>3,637,338.35</w:t>
            </w:r>
          </w:p>
        </w:tc>
        <w:tc>
          <w:tcPr>
            <w:tcW w:w="757" w:type="pct"/>
            <w:tcBorders>
              <w:top w:val="nil"/>
              <w:left w:val="nil"/>
              <w:bottom w:val="single" w:sz="4" w:space="0" w:color="auto"/>
              <w:right w:val="single" w:sz="4" w:space="0" w:color="auto"/>
            </w:tcBorders>
            <w:vAlign w:val="center"/>
          </w:tcPr>
          <w:p w14:paraId="7B988CE5" w14:textId="77777777" w:rsidR="0000055D" w:rsidRPr="0000055D" w:rsidRDefault="0000055D" w:rsidP="0000055D">
            <w:pPr>
              <w:pStyle w:val="13"/>
              <w:ind w:firstLineChars="0" w:firstLine="0"/>
              <w:jc w:val="right"/>
              <w:rPr>
                <w:sz w:val="18"/>
                <w:szCs w:val="18"/>
              </w:rPr>
            </w:pPr>
            <w:r w:rsidRPr="0000055D">
              <w:rPr>
                <w:sz w:val="18"/>
                <w:szCs w:val="18"/>
              </w:rPr>
              <w:t>4,015,954.25</w:t>
            </w:r>
          </w:p>
        </w:tc>
        <w:tc>
          <w:tcPr>
            <w:tcW w:w="861" w:type="pct"/>
            <w:tcBorders>
              <w:top w:val="nil"/>
              <w:left w:val="nil"/>
              <w:bottom w:val="single" w:sz="4" w:space="0" w:color="auto"/>
              <w:right w:val="single" w:sz="4" w:space="0" w:color="auto"/>
            </w:tcBorders>
            <w:vAlign w:val="center"/>
          </w:tcPr>
          <w:p w14:paraId="26622DB2" w14:textId="77777777" w:rsidR="0000055D" w:rsidRPr="0000055D" w:rsidRDefault="0000055D" w:rsidP="0000055D">
            <w:pPr>
              <w:pStyle w:val="13"/>
              <w:ind w:firstLineChars="0" w:firstLine="0"/>
              <w:jc w:val="right"/>
              <w:rPr>
                <w:sz w:val="18"/>
                <w:szCs w:val="18"/>
              </w:rPr>
            </w:pPr>
            <w:r w:rsidRPr="0000055D">
              <w:rPr>
                <w:sz w:val="18"/>
                <w:szCs w:val="18"/>
              </w:rPr>
              <w:t>4,390,122.98</w:t>
            </w:r>
          </w:p>
        </w:tc>
      </w:tr>
      <w:tr w:rsidR="0000055D" w:rsidRPr="0000055D" w14:paraId="05FD371A"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04E5499D" w14:textId="77777777" w:rsidR="0000055D" w:rsidRPr="0000055D" w:rsidRDefault="0000055D" w:rsidP="0000055D">
            <w:pPr>
              <w:pStyle w:val="13"/>
              <w:ind w:firstLineChars="0" w:firstLine="0"/>
              <w:rPr>
                <w:sz w:val="18"/>
                <w:szCs w:val="18"/>
              </w:rPr>
            </w:pPr>
            <w:r w:rsidRPr="0000055D">
              <w:rPr>
                <w:sz w:val="18"/>
                <w:szCs w:val="18"/>
              </w:rPr>
              <w:t>其他</w:t>
            </w:r>
          </w:p>
        </w:tc>
        <w:tc>
          <w:tcPr>
            <w:tcW w:w="757" w:type="pct"/>
            <w:tcBorders>
              <w:top w:val="nil"/>
              <w:left w:val="nil"/>
              <w:bottom w:val="single" w:sz="4" w:space="0" w:color="auto"/>
              <w:right w:val="single" w:sz="4" w:space="0" w:color="auto"/>
            </w:tcBorders>
            <w:vAlign w:val="center"/>
          </w:tcPr>
          <w:p w14:paraId="6B45B146"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6BAEAED5"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27760A81"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767DCAB4"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52D66568" w14:textId="77777777" w:rsidR="0000055D" w:rsidRPr="0000055D" w:rsidRDefault="0000055D" w:rsidP="0000055D">
            <w:pPr>
              <w:pStyle w:val="13"/>
              <w:ind w:firstLineChars="0" w:firstLine="0"/>
              <w:jc w:val="right"/>
              <w:rPr>
                <w:sz w:val="18"/>
                <w:szCs w:val="18"/>
              </w:rPr>
            </w:pPr>
          </w:p>
        </w:tc>
      </w:tr>
      <w:tr w:rsidR="0000055D" w:rsidRPr="0000055D" w14:paraId="31A9501F"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5E379EA2" w14:textId="77777777" w:rsidR="0000055D" w:rsidRPr="0000055D" w:rsidRDefault="0000055D" w:rsidP="0000055D">
            <w:pPr>
              <w:pStyle w:val="13"/>
              <w:ind w:firstLineChars="0" w:firstLine="0"/>
              <w:rPr>
                <w:sz w:val="18"/>
                <w:szCs w:val="18"/>
              </w:rPr>
            </w:pPr>
            <w:r w:rsidRPr="0000055D">
              <w:rPr>
                <w:sz w:val="18"/>
                <w:szCs w:val="18"/>
              </w:rPr>
              <w:t>本年减少数</w:t>
            </w:r>
          </w:p>
        </w:tc>
        <w:tc>
          <w:tcPr>
            <w:tcW w:w="757" w:type="pct"/>
            <w:tcBorders>
              <w:top w:val="nil"/>
              <w:left w:val="nil"/>
              <w:bottom w:val="single" w:sz="4" w:space="0" w:color="auto"/>
              <w:right w:val="single" w:sz="4" w:space="0" w:color="auto"/>
            </w:tcBorders>
            <w:vAlign w:val="center"/>
          </w:tcPr>
          <w:p w14:paraId="16CDA3EA" w14:textId="77777777" w:rsidR="0000055D" w:rsidRPr="0000055D" w:rsidRDefault="0000055D" w:rsidP="0000055D">
            <w:pPr>
              <w:pStyle w:val="13"/>
              <w:ind w:firstLineChars="0" w:firstLine="0"/>
              <w:jc w:val="right"/>
              <w:rPr>
                <w:sz w:val="18"/>
                <w:szCs w:val="18"/>
              </w:rPr>
            </w:pPr>
            <w:r w:rsidRPr="0000055D">
              <w:rPr>
                <w:sz w:val="18"/>
                <w:szCs w:val="18"/>
              </w:rPr>
              <w:t>2,116,441.21</w:t>
            </w:r>
          </w:p>
        </w:tc>
        <w:tc>
          <w:tcPr>
            <w:tcW w:w="757" w:type="pct"/>
            <w:tcBorders>
              <w:top w:val="nil"/>
              <w:left w:val="nil"/>
              <w:bottom w:val="single" w:sz="4" w:space="0" w:color="auto"/>
              <w:right w:val="single" w:sz="4" w:space="0" w:color="auto"/>
            </w:tcBorders>
            <w:vAlign w:val="center"/>
          </w:tcPr>
          <w:p w14:paraId="6A161389" w14:textId="77777777" w:rsidR="0000055D" w:rsidRPr="0000055D" w:rsidRDefault="0000055D" w:rsidP="0000055D">
            <w:pPr>
              <w:pStyle w:val="13"/>
              <w:ind w:firstLineChars="0" w:firstLine="0"/>
              <w:jc w:val="right"/>
              <w:rPr>
                <w:sz w:val="18"/>
                <w:szCs w:val="18"/>
              </w:rPr>
            </w:pPr>
            <w:r w:rsidRPr="0000055D">
              <w:rPr>
                <w:sz w:val="18"/>
                <w:szCs w:val="18"/>
              </w:rPr>
              <w:t>850,095.53</w:t>
            </w:r>
          </w:p>
        </w:tc>
        <w:tc>
          <w:tcPr>
            <w:tcW w:w="757" w:type="pct"/>
            <w:tcBorders>
              <w:top w:val="nil"/>
              <w:left w:val="nil"/>
              <w:bottom w:val="single" w:sz="4" w:space="0" w:color="auto"/>
              <w:right w:val="single" w:sz="4" w:space="0" w:color="auto"/>
            </w:tcBorders>
            <w:vAlign w:val="center"/>
          </w:tcPr>
          <w:p w14:paraId="6BF84C34" w14:textId="77777777" w:rsidR="0000055D" w:rsidRPr="0000055D" w:rsidRDefault="0000055D" w:rsidP="0000055D">
            <w:pPr>
              <w:pStyle w:val="13"/>
              <w:ind w:firstLineChars="0" w:firstLine="0"/>
              <w:jc w:val="right"/>
              <w:rPr>
                <w:sz w:val="18"/>
                <w:szCs w:val="18"/>
              </w:rPr>
            </w:pPr>
            <w:r w:rsidRPr="0000055D">
              <w:rPr>
                <w:sz w:val="18"/>
                <w:szCs w:val="18"/>
              </w:rPr>
              <w:t>800,214.45</w:t>
            </w:r>
          </w:p>
        </w:tc>
        <w:tc>
          <w:tcPr>
            <w:tcW w:w="757" w:type="pct"/>
            <w:tcBorders>
              <w:top w:val="nil"/>
              <w:left w:val="nil"/>
              <w:bottom w:val="single" w:sz="4" w:space="0" w:color="auto"/>
              <w:right w:val="single" w:sz="4" w:space="0" w:color="auto"/>
            </w:tcBorders>
            <w:vAlign w:val="center"/>
          </w:tcPr>
          <w:p w14:paraId="2F905423" w14:textId="77777777" w:rsidR="0000055D" w:rsidRPr="0000055D" w:rsidRDefault="0000055D" w:rsidP="0000055D">
            <w:pPr>
              <w:pStyle w:val="13"/>
              <w:ind w:firstLineChars="0" w:firstLine="0"/>
              <w:jc w:val="right"/>
              <w:rPr>
                <w:sz w:val="18"/>
                <w:szCs w:val="18"/>
              </w:rPr>
            </w:pPr>
            <w:r w:rsidRPr="0000055D">
              <w:rPr>
                <w:sz w:val="18"/>
                <w:szCs w:val="18"/>
              </w:rPr>
              <w:t>1,084,307.66</w:t>
            </w:r>
          </w:p>
        </w:tc>
        <w:tc>
          <w:tcPr>
            <w:tcW w:w="861" w:type="pct"/>
            <w:tcBorders>
              <w:top w:val="nil"/>
              <w:left w:val="nil"/>
              <w:bottom w:val="single" w:sz="4" w:space="0" w:color="auto"/>
              <w:right w:val="single" w:sz="4" w:space="0" w:color="auto"/>
            </w:tcBorders>
            <w:vAlign w:val="center"/>
          </w:tcPr>
          <w:p w14:paraId="4EF89642" w14:textId="77777777" w:rsidR="0000055D" w:rsidRPr="0000055D" w:rsidRDefault="0000055D" w:rsidP="0000055D">
            <w:pPr>
              <w:pStyle w:val="13"/>
              <w:ind w:firstLineChars="0" w:firstLine="0"/>
              <w:jc w:val="right"/>
              <w:rPr>
                <w:sz w:val="18"/>
                <w:szCs w:val="18"/>
              </w:rPr>
            </w:pPr>
            <w:r w:rsidRPr="0000055D">
              <w:rPr>
                <w:sz w:val="18"/>
                <w:szCs w:val="18"/>
              </w:rPr>
              <w:t>1,536,543.05</w:t>
            </w:r>
          </w:p>
        </w:tc>
      </w:tr>
      <w:tr w:rsidR="0000055D" w:rsidRPr="0000055D" w14:paraId="7D5FA2B5"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47738F8D" w14:textId="77777777" w:rsidR="0000055D" w:rsidRPr="0000055D" w:rsidRDefault="0000055D" w:rsidP="0000055D">
            <w:pPr>
              <w:pStyle w:val="13"/>
              <w:ind w:firstLineChars="0" w:firstLine="0"/>
              <w:rPr>
                <w:sz w:val="18"/>
                <w:szCs w:val="18"/>
              </w:rPr>
            </w:pPr>
            <w:r w:rsidRPr="0000055D">
              <w:rPr>
                <w:sz w:val="18"/>
                <w:szCs w:val="18"/>
              </w:rPr>
              <w:t>提取盈余公积</w:t>
            </w:r>
          </w:p>
        </w:tc>
        <w:tc>
          <w:tcPr>
            <w:tcW w:w="757" w:type="pct"/>
            <w:tcBorders>
              <w:top w:val="nil"/>
              <w:left w:val="nil"/>
              <w:bottom w:val="single" w:sz="4" w:space="0" w:color="auto"/>
              <w:right w:val="single" w:sz="4" w:space="0" w:color="auto"/>
            </w:tcBorders>
            <w:vAlign w:val="center"/>
          </w:tcPr>
          <w:p w14:paraId="3756E958" w14:textId="77777777" w:rsidR="0000055D" w:rsidRPr="0000055D" w:rsidRDefault="0000055D" w:rsidP="0000055D">
            <w:pPr>
              <w:pStyle w:val="13"/>
              <w:ind w:firstLineChars="0" w:firstLine="0"/>
              <w:jc w:val="right"/>
              <w:rPr>
                <w:sz w:val="18"/>
                <w:szCs w:val="18"/>
              </w:rPr>
            </w:pPr>
            <w:r w:rsidRPr="0000055D">
              <w:rPr>
                <w:sz w:val="18"/>
                <w:szCs w:val="18"/>
              </w:rPr>
              <w:t>289,923.45</w:t>
            </w:r>
          </w:p>
        </w:tc>
        <w:tc>
          <w:tcPr>
            <w:tcW w:w="757" w:type="pct"/>
            <w:tcBorders>
              <w:top w:val="nil"/>
              <w:left w:val="nil"/>
              <w:bottom w:val="single" w:sz="4" w:space="0" w:color="auto"/>
              <w:right w:val="single" w:sz="4" w:space="0" w:color="auto"/>
            </w:tcBorders>
            <w:vAlign w:val="center"/>
          </w:tcPr>
          <w:p w14:paraId="1C4295A2" w14:textId="77777777" w:rsidR="0000055D" w:rsidRPr="0000055D" w:rsidRDefault="0000055D" w:rsidP="0000055D">
            <w:pPr>
              <w:pStyle w:val="13"/>
              <w:ind w:firstLineChars="0" w:firstLine="0"/>
              <w:jc w:val="right"/>
              <w:rPr>
                <w:sz w:val="18"/>
                <w:szCs w:val="18"/>
              </w:rPr>
            </w:pPr>
            <w:r w:rsidRPr="0000055D">
              <w:rPr>
                <w:sz w:val="18"/>
                <w:szCs w:val="18"/>
              </w:rPr>
              <w:t>326,959.82</w:t>
            </w:r>
          </w:p>
        </w:tc>
        <w:tc>
          <w:tcPr>
            <w:tcW w:w="757" w:type="pct"/>
            <w:tcBorders>
              <w:top w:val="nil"/>
              <w:left w:val="nil"/>
              <w:bottom w:val="single" w:sz="4" w:space="0" w:color="auto"/>
              <w:right w:val="single" w:sz="4" w:space="0" w:color="auto"/>
            </w:tcBorders>
            <w:vAlign w:val="center"/>
          </w:tcPr>
          <w:p w14:paraId="41733853" w14:textId="77777777" w:rsidR="0000055D" w:rsidRPr="0000055D" w:rsidRDefault="0000055D" w:rsidP="0000055D">
            <w:pPr>
              <w:pStyle w:val="13"/>
              <w:ind w:firstLineChars="0" w:firstLine="0"/>
              <w:jc w:val="right"/>
              <w:rPr>
                <w:sz w:val="18"/>
                <w:szCs w:val="18"/>
              </w:rPr>
            </w:pPr>
            <w:r w:rsidRPr="0000055D">
              <w:rPr>
                <w:sz w:val="18"/>
                <w:szCs w:val="18"/>
              </w:rPr>
              <w:t>363,733.84</w:t>
            </w:r>
          </w:p>
        </w:tc>
        <w:tc>
          <w:tcPr>
            <w:tcW w:w="757" w:type="pct"/>
            <w:tcBorders>
              <w:top w:val="nil"/>
              <w:left w:val="nil"/>
              <w:bottom w:val="single" w:sz="4" w:space="0" w:color="auto"/>
              <w:right w:val="single" w:sz="4" w:space="0" w:color="auto"/>
            </w:tcBorders>
            <w:vAlign w:val="center"/>
          </w:tcPr>
          <w:p w14:paraId="7C44A523" w14:textId="77777777" w:rsidR="0000055D" w:rsidRPr="0000055D" w:rsidRDefault="0000055D" w:rsidP="0000055D">
            <w:pPr>
              <w:pStyle w:val="13"/>
              <w:ind w:firstLineChars="0" w:firstLine="0"/>
              <w:jc w:val="right"/>
              <w:rPr>
                <w:sz w:val="18"/>
                <w:szCs w:val="18"/>
              </w:rPr>
            </w:pPr>
            <w:r w:rsidRPr="0000055D">
              <w:rPr>
                <w:sz w:val="18"/>
                <w:szCs w:val="18"/>
              </w:rPr>
              <w:t>401,595.43</w:t>
            </w:r>
          </w:p>
        </w:tc>
        <w:tc>
          <w:tcPr>
            <w:tcW w:w="861" w:type="pct"/>
            <w:tcBorders>
              <w:top w:val="nil"/>
              <w:left w:val="nil"/>
              <w:bottom w:val="single" w:sz="4" w:space="0" w:color="auto"/>
              <w:right w:val="single" w:sz="4" w:space="0" w:color="auto"/>
            </w:tcBorders>
            <w:vAlign w:val="center"/>
          </w:tcPr>
          <w:p w14:paraId="70801983" w14:textId="77777777" w:rsidR="0000055D" w:rsidRPr="0000055D" w:rsidRDefault="0000055D" w:rsidP="0000055D">
            <w:pPr>
              <w:pStyle w:val="13"/>
              <w:ind w:firstLineChars="0" w:firstLine="0"/>
              <w:jc w:val="right"/>
              <w:rPr>
                <w:sz w:val="18"/>
                <w:szCs w:val="18"/>
              </w:rPr>
            </w:pPr>
            <w:r w:rsidRPr="0000055D">
              <w:rPr>
                <w:sz w:val="18"/>
                <w:szCs w:val="18"/>
              </w:rPr>
              <w:t>439,012.30</w:t>
            </w:r>
          </w:p>
        </w:tc>
      </w:tr>
      <w:tr w:rsidR="0000055D" w:rsidRPr="0000055D" w14:paraId="43C4CCBA"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58F1FE27" w14:textId="77777777" w:rsidR="0000055D" w:rsidRPr="0000055D" w:rsidRDefault="0000055D" w:rsidP="0000055D">
            <w:pPr>
              <w:pStyle w:val="13"/>
              <w:ind w:firstLineChars="0" w:firstLine="0"/>
              <w:rPr>
                <w:sz w:val="18"/>
                <w:szCs w:val="18"/>
              </w:rPr>
            </w:pPr>
            <w:r w:rsidRPr="0000055D">
              <w:rPr>
                <w:sz w:val="18"/>
                <w:szCs w:val="18"/>
              </w:rPr>
              <w:t>一般风险准备</w:t>
            </w:r>
          </w:p>
        </w:tc>
        <w:tc>
          <w:tcPr>
            <w:tcW w:w="757" w:type="pct"/>
            <w:tcBorders>
              <w:top w:val="nil"/>
              <w:left w:val="nil"/>
              <w:bottom w:val="single" w:sz="4" w:space="0" w:color="auto"/>
              <w:right w:val="single" w:sz="4" w:space="0" w:color="auto"/>
            </w:tcBorders>
            <w:vAlign w:val="center"/>
          </w:tcPr>
          <w:p w14:paraId="56AFF682" w14:textId="77777777" w:rsidR="0000055D" w:rsidRPr="0000055D" w:rsidRDefault="0000055D" w:rsidP="0000055D">
            <w:pPr>
              <w:pStyle w:val="13"/>
              <w:ind w:firstLineChars="0" w:firstLine="0"/>
              <w:jc w:val="right"/>
              <w:rPr>
                <w:sz w:val="18"/>
                <w:szCs w:val="18"/>
              </w:rPr>
            </w:pPr>
            <w:r w:rsidRPr="0000055D">
              <w:rPr>
                <w:sz w:val="18"/>
                <w:szCs w:val="18"/>
              </w:rPr>
              <w:t>289,923.45</w:t>
            </w:r>
          </w:p>
        </w:tc>
        <w:tc>
          <w:tcPr>
            <w:tcW w:w="757" w:type="pct"/>
            <w:tcBorders>
              <w:top w:val="nil"/>
              <w:left w:val="nil"/>
              <w:bottom w:val="single" w:sz="4" w:space="0" w:color="auto"/>
              <w:right w:val="single" w:sz="4" w:space="0" w:color="auto"/>
            </w:tcBorders>
            <w:vAlign w:val="center"/>
          </w:tcPr>
          <w:p w14:paraId="3790B8FC" w14:textId="77777777" w:rsidR="0000055D" w:rsidRPr="0000055D" w:rsidRDefault="0000055D" w:rsidP="0000055D">
            <w:pPr>
              <w:pStyle w:val="13"/>
              <w:ind w:firstLineChars="0" w:firstLine="0"/>
              <w:jc w:val="right"/>
              <w:rPr>
                <w:sz w:val="18"/>
                <w:szCs w:val="18"/>
              </w:rPr>
            </w:pPr>
            <w:r w:rsidRPr="0000055D">
              <w:rPr>
                <w:sz w:val="18"/>
                <w:szCs w:val="18"/>
              </w:rPr>
              <w:t>326,959.82</w:t>
            </w:r>
          </w:p>
        </w:tc>
        <w:tc>
          <w:tcPr>
            <w:tcW w:w="757" w:type="pct"/>
            <w:tcBorders>
              <w:top w:val="nil"/>
              <w:left w:val="nil"/>
              <w:bottom w:val="single" w:sz="4" w:space="0" w:color="auto"/>
              <w:right w:val="single" w:sz="4" w:space="0" w:color="auto"/>
            </w:tcBorders>
            <w:vAlign w:val="center"/>
          </w:tcPr>
          <w:p w14:paraId="46157AA1" w14:textId="77777777" w:rsidR="0000055D" w:rsidRPr="0000055D" w:rsidRDefault="0000055D" w:rsidP="0000055D">
            <w:pPr>
              <w:pStyle w:val="13"/>
              <w:ind w:firstLineChars="0" w:firstLine="0"/>
              <w:jc w:val="right"/>
              <w:rPr>
                <w:sz w:val="18"/>
                <w:szCs w:val="18"/>
              </w:rPr>
            </w:pPr>
            <w:r w:rsidRPr="0000055D">
              <w:rPr>
                <w:sz w:val="18"/>
                <w:szCs w:val="18"/>
              </w:rPr>
              <w:t>363,733.84</w:t>
            </w:r>
          </w:p>
        </w:tc>
        <w:tc>
          <w:tcPr>
            <w:tcW w:w="757" w:type="pct"/>
            <w:tcBorders>
              <w:top w:val="nil"/>
              <w:left w:val="nil"/>
              <w:bottom w:val="single" w:sz="4" w:space="0" w:color="auto"/>
              <w:right w:val="single" w:sz="4" w:space="0" w:color="auto"/>
            </w:tcBorders>
            <w:vAlign w:val="center"/>
          </w:tcPr>
          <w:p w14:paraId="410E5F96" w14:textId="77777777" w:rsidR="0000055D" w:rsidRPr="0000055D" w:rsidRDefault="0000055D" w:rsidP="0000055D">
            <w:pPr>
              <w:pStyle w:val="13"/>
              <w:ind w:firstLineChars="0" w:firstLine="0"/>
              <w:jc w:val="right"/>
              <w:rPr>
                <w:sz w:val="18"/>
                <w:szCs w:val="18"/>
              </w:rPr>
            </w:pPr>
            <w:r w:rsidRPr="0000055D">
              <w:rPr>
                <w:sz w:val="18"/>
                <w:szCs w:val="18"/>
              </w:rPr>
              <w:t>401,595.43</w:t>
            </w:r>
          </w:p>
        </w:tc>
        <w:tc>
          <w:tcPr>
            <w:tcW w:w="861" w:type="pct"/>
            <w:tcBorders>
              <w:top w:val="nil"/>
              <w:left w:val="nil"/>
              <w:bottom w:val="single" w:sz="4" w:space="0" w:color="auto"/>
              <w:right w:val="single" w:sz="4" w:space="0" w:color="auto"/>
            </w:tcBorders>
            <w:vAlign w:val="center"/>
          </w:tcPr>
          <w:p w14:paraId="5F75C2F3" w14:textId="77777777" w:rsidR="0000055D" w:rsidRPr="0000055D" w:rsidRDefault="0000055D" w:rsidP="0000055D">
            <w:pPr>
              <w:pStyle w:val="13"/>
              <w:ind w:firstLineChars="0" w:firstLine="0"/>
              <w:jc w:val="right"/>
              <w:rPr>
                <w:sz w:val="18"/>
                <w:szCs w:val="18"/>
              </w:rPr>
            </w:pPr>
            <w:r w:rsidRPr="0000055D">
              <w:rPr>
                <w:sz w:val="18"/>
                <w:szCs w:val="18"/>
              </w:rPr>
              <w:t>439,012.30</w:t>
            </w:r>
          </w:p>
        </w:tc>
      </w:tr>
      <w:tr w:rsidR="0000055D" w:rsidRPr="0000055D" w14:paraId="063C93A8"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6FEEDD59" w14:textId="77777777" w:rsidR="0000055D" w:rsidRPr="0000055D" w:rsidRDefault="0000055D" w:rsidP="0000055D">
            <w:pPr>
              <w:pStyle w:val="13"/>
              <w:ind w:firstLineChars="0" w:firstLine="0"/>
              <w:rPr>
                <w:sz w:val="18"/>
                <w:szCs w:val="18"/>
              </w:rPr>
            </w:pPr>
            <w:r w:rsidRPr="0000055D">
              <w:rPr>
                <w:sz w:val="18"/>
                <w:szCs w:val="18"/>
              </w:rPr>
              <w:t>分配股利</w:t>
            </w:r>
          </w:p>
        </w:tc>
        <w:tc>
          <w:tcPr>
            <w:tcW w:w="757" w:type="pct"/>
            <w:tcBorders>
              <w:top w:val="nil"/>
              <w:left w:val="nil"/>
              <w:bottom w:val="single" w:sz="4" w:space="0" w:color="auto"/>
              <w:right w:val="single" w:sz="4" w:space="0" w:color="auto"/>
            </w:tcBorders>
            <w:vAlign w:val="center"/>
          </w:tcPr>
          <w:p w14:paraId="39AEA11C" w14:textId="77777777" w:rsidR="0000055D" w:rsidRPr="0000055D" w:rsidRDefault="0000055D" w:rsidP="0000055D">
            <w:pPr>
              <w:pStyle w:val="13"/>
              <w:ind w:firstLineChars="0" w:firstLine="0"/>
              <w:jc w:val="right"/>
              <w:rPr>
                <w:sz w:val="18"/>
                <w:szCs w:val="18"/>
              </w:rPr>
            </w:pPr>
            <w:r w:rsidRPr="0000055D">
              <w:rPr>
                <w:sz w:val="18"/>
                <w:szCs w:val="18"/>
              </w:rPr>
              <w:t>1,536,594.31</w:t>
            </w:r>
          </w:p>
        </w:tc>
        <w:tc>
          <w:tcPr>
            <w:tcW w:w="757" w:type="pct"/>
            <w:tcBorders>
              <w:top w:val="nil"/>
              <w:left w:val="nil"/>
              <w:bottom w:val="single" w:sz="4" w:space="0" w:color="auto"/>
              <w:right w:val="single" w:sz="4" w:space="0" w:color="auto"/>
            </w:tcBorders>
            <w:vAlign w:val="center"/>
          </w:tcPr>
          <w:p w14:paraId="7B6779B9" w14:textId="77777777" w:rsidR="0000055D" w:rsidRPr="0000055D" w:rsidRDefault="0000055D" w:rsidP="0000055D">
            <w:pPr>
              <w:pStyle w:val="13"/>
              <w:ind w:firstLineChars="0" w:firstLine="0"/>
              <w:jc w:val="right"/>
              <w:rPr>
                <w:sz w:val="18"/>
                <w:szCs w:val="18"/>
              </w:rPr>
            </w:pPr>
            <w:r w:rsidRPr="0000055D">
              <w:rPr>
                <w:sz w:val="18"/>
                <w:szCs w:val="18"/>
              </w:rPr>
              <w:t>196,175.89</w:t>
            </w:r>
          </w:p>
        </w:tc>
        <w:tc>
          <w:tcPr>
            <w:tcW w:w="757" w:type="pct"/>
            <w:tcBorders>
              <w:top w:val="nil"/>
              <w:left w:val="nil"/>
              <w:bottom w:val="single" w:sz="4" w:space="0" w:color="auto"/>
              <w:right w:val="single" w:sz="4" w:space="0" w:color="auto"/>
            </w:tcBorders>
            <w:vAlign w:val="center"/>
          </w:tcPr>
          <w:p w14:paraId="4BB5A425" w14:textId="77777777" w:rsidR="0000055D" w:rsidRPr="0000055D" w:rsidRDefault="0000055D" w:rsidP="0000055D">
            <w:pPr>
              <w:pStyle w:val="13"/>
              <w:ind w:firstLineChars="0" w:firstLine="0"/>
              <w:jc w:val="right"/>
              <w:rPr>
                <w:sz w:val="18"/>
                <w:szCs w:val="18"/>
              </w:rPr>
            </w:pPr>
            <w:r w:rsidRPr="0000055D">
              <w:rPr>
                <w:sz w:val="18"/>
                <w:szCs w:val="18"/>
              </w:rPr>
              <w:t>72,746.77</w:t>
            </w:r>
          </w:p>
        </w:tc>
        <w:tc>
          <w:tcPr>
            <w:tcW w:w="757" w:type="pct"/>
            <w:tcBorders>
              <w:top w:val="nil"/>
              <w:left w:val="nil"/>
              <w:bottom w:val="single" w:sz="4" w:space="0" w:color="auto"/>
              <w:right w:val="single" w:sz="4" w:space="0" w:color="auto"/>
            </w:tcBorders>
            <w:vAlign w:val="center"/>
          </w:tcPr>
          <w:p w14:paraId="1266F5B0" w14:textId="77777777" w:rsidR="0000055D" w:rsidRPr="0000055D" w:rsidRDefault="0000055D" w:rsidP="0000055D">
            <w:pPr>
              <w:pStyle w:val="13"/>
              <w:ind w:firstLineChars="0" w:firstLine="0"/>
              <w:jc w:val="right"/>
              <w:rPr>
                <w:sz w:val="18"/>
                <w:szCs w:val="18"/>
              </w:rPr>
            </w:pPr>
            <w:r w:rsidRPr="0000055D">
              <w:rPr>
                <w:sz w:val="18"/>
                <w:szCs w:val="18"/>
              </w:rPr>
              <w:t>281,116.80</w:t>
            </w:r>
          </w:p>
        </w:tc>
        <w:tc>
          <w:tcPr>
            <w:tcW w:w="861" w:type="pct"/>
            <w:tcBorders>
              <w:top w:val="nil"/>
              <w:left w:val="nil"/>
              <w:bottom w:val="single" w:sz="4" w:space="0" w:color="auto"/>
              <w:right w:val="single" w:sz="4" w:space="0" w:color="auto"/>
            </w:tcBorders>
            <w:vAlign w:val="center"/>
          </w:tcPr>
          <w:p w14:paraId="12EC170A" w14:textId="77777777" w:rsidR="0000055D" w:rsidRPr="0000055D" w:rsidRDefault="0000055D" w:rsidP="0000055D">
            <w:pPr>
              <w:pStyle w:val="13"/>
              <w:ind w:firstLineChars="0" w:firstLine="0"/>
              <w:jc w:val="right"/>
              <w:rPr>
                <w:sz w:val="18"/>
                <w:szCs w:val="18"/>
              </w:rPr>
            </w:pPr>
            <w:r w:rsidRPr="0000055D">
              <w:rPr>
                <w:sz w:val="18"/>
                <w:szCs w:val="18"/>
              </w:rPr>
              <w:t>658,518.45</w:t>
            </w:r>
          </w:p>
        </w:tc>
      </w:tr>
      <w:tr w:rsidR="0000055D" w:rsidRPr="0000055D" w14:paraId="494A7603"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5CF95046" w14:textId="77777777" w:rsidR="0000055D" w:rsidRPr="0000055D" w:rsidRDefault="0000055D" w:rsidP="0000055D">
            <w:pPr>
              <w:pStyle w:val="13"/>
              <w:ind w:firstLineChars="0" w:firstLine="0"/>
              <w:rPr>
                <w:sz w:val="18"/>
                <w:szCs w:val="18"/>
              </w:rPr>
            </w:pPr>
            <w:r w:rsidRPr="0000055D">
              <w:rPr>
                <w:sz w:val="18"/>
                <w:szCs w:val="18"/>
              </w:rPr>
              <w:t>转增资本</w:t>
            </w:r>
          </w:p>
        </w:tc>
        <w:tc>
          <w:tcPr>
            <w:tcW w:w="757" w:type="pct"/>
            <w:tcBorders>
              <w:top w:val="nil"/>
              <w:left w:val="nil"/>
              <w:bottom w:val="single" w:sz="4" w:space="0" w:color="auto"/>
              <w:right w:val="single" w:sz="4" w:space="0" w:color="auto"/>
            </w:tcBorders>
            <w:vAlign w:val="center"/>
          </w:tcPr>
          <w:p w14:paraId="638968C4"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29851127"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70EFD8DC"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3C5F6C01"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33BF3469" w14:textId="77777777" w:rsidR="0000055D" w:rsidRPr="0000055D" w:rsidRDefault="0000055D" w:rsidP="0000055D">
            <w:pPr>
              <w:pStyle w:val="13"/>
              <w:ind w:firstLineChars="0" w:firstLine="0"/>
              <w:jc w:val="right"/>
              <w:rPr>
                <w:sz w:val="18"/>
                <w:szCs w:val="18"/>
              </w:rPr>
            </w:pPr>
          </w:p>
        </w:tc>
      </w:tr>
      <w:tr w:rsidR="0000055D" w:rsidRPr="0000055D" w14:paraId="2BC43619"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489E3113" w14:textId="77777777" w:rsidR="0000055D" w:rsidRPr="0000055D" w:rsidRDefault="0000055D" w:rsidP="0000055D">
            <w:pPr>
              <w:pStyle w:val="13"/>
              <w:ind w:firstLineChars="0" w:firstLine="0"/>
              <w:rPr>
                <w:sz w:val="18"/>
                <w:szCs w:val="18"/>
              </w:rPr>
            </w:pPr>
            <w:r w:rsidRPr="0000055D">
              <w:rPr>
                <w:sz w:val="18"/>
                <w:szCs w:val="18"/>
              </w:rPr>
              <w:t>其他</w:t>
            </w:r>
          </w:p>
        </w:tc>
        <w:tc>
          <w:tcPr>
            <w:tcW w:w="757" w:type="pct"/>
            <w:tcBorders>
              <w:top w:val="nil"/>
              <w:left w:val="nil"/>
              <w:bottom w:val="single" w:sz="4" w:space="0" w:color="auto"/>
              <w:right w:val="single" w:sz="4" w:space="0" w:color="auto"/>
            </w:tcBorders>
            <w:vAlign w:val="center"/>
          </w:tcPr>
          <w:p w14:paraId="77CD7386"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1FD5E2C7"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6B69B2F3"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5102F921"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7A1C53B5" w14:textId="77777777" w:rsidR="0000055D" w:rsidRPr="0000055D" w:rsidRDefault="0000055D" w:rsidP="0000055D">
            <w:pPr>
              <w:pStyle w:val="13"/>
              <w:ind w:firstLineChars="0" w:firstLine="0"/>
              <w:jc w:val="right"/>
              <w:rPr>
                <w:sz w:val="18"/>
                <w:szCs w:val="18"/>
              </w:rPr>
            </w:pPr>
          </w:p>
        </w:tc>
      </w:tr>
      <w:tr w:rsidR="0000055D" w:rsidRPr="0000055D" w14:paraId="37D21F1D"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215C33ED" w14:textId="77777777" w:rsidR="0000055D" w:rsidRPr="0000055D" w:rsidRDefault="0000055D" w:rsidP="0000055D">
            <w:pPr>
              <w:pStyle w:val="13"/>
              <w:ind w:firstLineChars="0" w:firstLine="0"/>
              <w:rPr>
                <w:sz w:val="18"/>
                <w:szCs w:val="18"/>
              </w:rPr>
            </w:pPr>
            <w:r w:rsidRPr="0000055D">
              <w:rPr>
                <w:sz w:val="18"/>
                <w:szCs w:val="18"/>
              </w:rPr>
              <w:t>年末未分配利润</w:t>
            </w:r>
          </w:p>
        </w:tc>
        <w:tc>
          <w:tcPr>
            <w:tcW w:w="757" w:type="pct"/>
            <w:tcBorders>
              <w:top w:val="nil"/>
              <w:left w:val="nil"/>
              <w:bottom w:val="single" w:sz="4" w:space="0" w:color="auto"/>
              <w:right w:val="single" w:sz="4" w:space="0" w:color="auto"/>
            </w:tcBorders>
            <w:vAlign w:val="center"/>
          </w:tcPr>
          <w:p w14:paraId="6940D294" w14:textId="77777777" w:rsidR="0000055D" w:rsidRPr="0000055D" w:rsidRDefault="0000055D" w:rsidP="0000055D">
            <w:pPr>
              <w:pStyle w:val="13"/>
              <w:ind w:firstLineChars="0" w:firstLine="0"/>
              <w:jc w:val="right"/>
              <w:rPr>
                <w:sz w:val="18"/>
                <w:szCs w:val="18"/>
              </w:rPr>
            </w:pPr>
            <w:r w:rsidRPr="0000055D">
              <w:rPr>
                <w:sz w:val="18"/>
                <w:szCs w:val="18"/>
              </w:rPr>
              <w:t>3,768,883.23</w:t>
            </w:r>
          </w:p>
        </w:tc>
        <w:tc>
          <w:tcPr>
            <w:tcW w:w="757" w:type="pct"/>
            <w:tcBorders>
              <w:top w:val="nil"/>
              <w:left w:val="nil"/>
              <w:bottom w:val="single" w:sz="4" w:space="0" w:color="auto"/>
              <w:right w:val="single" w:sz="4" w:space="0" w:color="auto"/>
            </w:tcBorders>
            <w:vAlign w:val="center"/>
          </w:tcPr>
          <w:p w14:paraId="76DB5C8B" w14:textId="77777777" w:rsidR="0000055D" w:rsidRPr="0000055D" w:rsidRDefault="0000055D" w:rsidP="0000055D">
            <w:pPr>
              <w:pStyle w:val="13"/>
              <w:ind w:firstLineChars="0" w:firstLine="0"/>
              <w:jc w:val="right"/>
              <w:rPr>
                <w:sz w:val="18"/>
                <w:szCs w:val="18"/>
              </w:rPr>
            </w:pPr>
            <w:r w:rsidRPr="0000055D">
              <w:rPr>
                <w:sz w:val="18"/>
                <w:szCs w:val="18"/>
              </w:rPr>
              <w:t>6,188,385.88</w:t>
            </w:r>
          </w:p>
        </w:tc>
        <w:tc>
          <w:tcPr>
            <w:tcW w:w="757" w:type="pct"/>
            <w:tcBorders>
              <w:top w:val="nil"/>
              <w:left w:val="nil"/>
              <w:bottom w:val="single" w:sz="4" w:space="0" w:color="auto"/>
              <w:right w:val="single" w:sz="4" w:space="0" w:color="auto"/>
            </w:tcBorders>
            <w:vAlign w:val="center"/>
          </w:tcPr>
          <w:p w14:paraId="587A2619" w14:textId="77777777" w:rsidR="0000055D" w:rsidRPr="0000055D" w:rsidRDefault="0000055D" w:rsidP="0000055D">
            <w:pPr>
              <w:pStyle w:val="13"/>
              <w:ind w:firstLineChars="0" w:firstLine="0"/>
              <w:jc w:val="right"/>
              <w:rPr>
                <w:sz w:val="18"/>
                <w:szCs w:val="18"/>
              </w:rPr>
            </w:pPr>
            <w:r w:rsidRPr="0000055D">
              <w:rPr>
                <w:sz w:val="18"/>
                <w:szCs w:val="18"/>
              </w:rPr>
              <w:t>9,025,509.78</w:t>
            </w:r>
          </w:p>
        </w:tc>
        <w:tc>
          <w:tcPr>
            <w:tcW w:w="757" w:type="pct"/>
            <w:tcBorders>
              <w:top w:val="nil"/>
              <w:left w:val="nil"/>
              <w:bottom w:val="single" w:sz="4" w:space="0" w:color="auto"/>
              <w:right w:val="single" w:sz="4" w:space="0" w:color="auto"/>
            </w:tcBorders>
            <w:vAlign w:val="center"/>
          </w:tcPr>
          <w:p w14:paraId="6114729C" w14:textId="77777777" w:rsidR="0000055D" w:rsidRPr="0000055D" w:rsidRDefault="0000055D" w:rsidP="0000055D">
            <w:pPr>
              <w:pStyle w:val="13"/>
              <w:ind w:firstLineChars="0" w:firstLine="0"/>
              <w:jc w:val="right"/>
              <w:rPr>
                <w:sz w:val="18"/>
                <w:szCs w:val="18"/>
              </w:rPr>
            </w:pPr>
            <w:r w:rsidRPr="0000055D">
              <w:rPr>
                <w:sz w:val="18"/>
                <w:szCs w:val="18"/>
              </w:rPr>
              <w:t>11,957,156.37</w:t>
            </w:r>
          </w:p>
        </w:tc>
        <w:tc>
          <w:tcPr>
            <w:tcW w:w="861" w:type="pct"/>
            <w:tcBorders>
              <w:top w:val="nil"/>
              <w:left w:val="nil"/>
              <w:bottom w:val="single" w:sz="4" w:space="0" w:color="auto"/>
              <w:right w:val="single" w:sz="4" w:space="0" w:color="auto"/>
            </w:tcBorders>
            <w:vAlign w:val="center"/>
          </w:tcPr>
          <w:p w14:paraId="687DA93B" w14:textId="77777777" w:rsidR="0000055D" w:rsidRPr="0000055D" w:rsidRDefault="0000055D" w:rsidP="0000055D">
            <w:pPr>
              <w:pStyle w:val="13"/>
              <w:ind w:firstLineChars="0" w:firstLine="0"/>
              <w:jc w:val="right"/>
              <w:rPr>
                <w:sz w:val="18"/>
                <w:szCs w:val="18"/>
              </w:rPr>
            </w:pPr>
            <w:r w:rsidRPr="0000055D">
              <w:rPr>
                <w:sz w:val="18"/>
                <w:szCs w:val="18"/>
              </w:rPr>
              <w:t>14,810,736.30</w:t>
            </w:r>
          </w:p>
        </w:tc>
      </w:tr>
      <w:tr w:rsidR="0000055D" w:rsidRPr="0000055D" w14:paraId="35455013"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13007DD8" w14:textId="77777777" w:rsidR="0000055D" w:rsidRPr="0000055D" w:rsidRDefault="0000055D" w:rsidP="0000055D">
            <w:pPr>
              <w:pStyle w:val="13"/>
              <w:ind w:firstLineChars="0" w:firstLine="0"/>
              <w:rPr>
                <w:bCs/>
                <w:sz w:val="18"/>
                <w:szCs w:val="18"/>
              </w:rPr>
            </w:pPr>
            <w:r w:rsidRPr="0000055D">
              <w:rPr>
                <w:bCs/>
                <w:sz w:val="18"/>
                <w:szCs w:val="18"/>
              </w:rPr>
              <w:t>外币报表折算差额</w:t>
            </w:r>
          </w:p>
        </w:tc>
        <w:tc>
          <w:tcPr>
            <w:tcW w:w="757" w:type="pct"/>
            <w:tcBorders>
              <w:top w:val="nil"/>
              <w:left w:val="nil"/>
              <w:bottom w:val="single" w:sz="4" w:space="0" w:color="auto"/>
              <w:right w:val="single" w:sz="4" w:space="0" w:color="auto"/>
            </w:tcBorders>
            <w:vAlign w:val="center"/>
          </w:tcPr>
          <w:p w14:paraId="14E886F0"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378D52E5"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43B1ED63" w14:textId="77777777" w:rsidR="0000055D" w:rsidRPr="0000055D" w:rsidRDefault="0000055D" w:rsidP="0000055D">
            <w:pPr>
              <w:pStyle w:val="13"/>
              <w:ind w:firstLineChars="0" w:firstLine="0"/>
              <w:jc w:val="right"/>
              <w:rPr>
                <w:sz w:val="18"/>
                <w:szCs w:val="18"/>
              </w:rPr>
            </w:pPr>
          </w:p>
        </w:tc>
        <w:tc>
          <w:tcPr>
            <w:tcW w:w="757" w:type="pct"/>
            <w:tcBorders>
              <w:top w:val="nil"/>
              <w:left w:val="nil"/>
              <w:bottom w:val="single" w:sz="4" w:space="0" w:color="auto"/>
              <w:right w:val="single" w:sz="4" w:space="0" w:color="auto"/>
            </w:tcBorders>
            <w:vAlign w:val="center"/>
          </w:tcPr>
          <w:p w14:paraId="1BECD2C6" w14:textId="77777777" w:rsidR="0000055D" w:rsidRPr="0000055D" w:rsidRDefault="0000055D" w:rsidP="0000055D">
            <w:pPr>
              <w:pStyle w:val="13"/>
              <w:ind w:firstLineChars="0" w:firstLine="0"/>
              <w:jc w:val="right"/>
              <w:rPr>
                <w:sz w:val="18"/>
                <w:szCs w:val="18"/>
              </w:rPr>
            </w:pPr>
          </w:p>
        </w:tc>
        <w:tc>
          <w:tcPr>
            <w:tcW w:w="861" w:type="pct"/>
            <w:tcBorders>
              <w:top w:val="nil"/>
              <w:left w:val="nil"/>
              <w:bottom w:val="single" w:sz="4" w:space="0" w:color="auto"/>
              <w:right w:val="single" w:sz="4" w:space="0" w:color="auto"/>
            </w:tcBorders>
            <w:vAlign w:val="center"/>
          </w:tcPr>
          <w:p w14:paraId="675EA74E" w14:textId="77777777" w:rsidR="0000055D" w:rsidRPr="0000055D" w:rsidRDefault="0000055D" w:rsidP="0000055D">
            <w:pPr>
              <w:pStyle w:val="13"/>
              <w:ind w:firstLineChars="0" w:firstLine="0"/>
              <w:jc w:val="right"/>
              <w:rPr>
                <w:sz w:val="18"/>
                <w:szCs w:val="18"/>
              </w:rPr>
            </w:pPr>
          </w:p>
        </w:tc>
      </w:tr>
      <w:tr w:rsidR="0000055D" w:rsidRPr="0000055D" w14:paraId="2940B4FE" w14:textId="77777777" w:rsidTr="0000055D">
        <w:trPr>
          <w:trHeight w:val="330"/>
        </w:trPr>
        <w:tc>
          <w:tcPr>
            <w:tcW w:w="1111" w:type="pct"/>
            <w:tcBorders>
              <w:top w:val="nil"/>
              <w:left w:val="single" w:sz="8" w:space="0" w:color="auto"/>
              <w:bottom w:val="single" w:sz="4" w:space="0" w:color="auto"/>
              <w:right w:val="single" w:sz="4" w:space="0" w:color="auto"/>
            </w:tcBorders>
            <w:vAlign w:val="center"/>
          </w:tcPr>
          <w:p w14:paraId="3F1DC298" w14:textId="77777777" w:rsidR="0000055D" w:rsidRPr="0000055D" w:rsidRDefault="0000055D" w:rsidP="0000055D">
            <w:pPr>
              <w:pStyle w:val="13"/>
              <w:ind w:firstLineChars="0" w:firstLine="0"/>
              <w:rPr>
                <w:sz w:val="18"/>
                <w:szCs w:val="18"/>
              </w:rPr>
            </w:pPr>
            <w:r w:rsidRPr="0000055D">
              <w:rPr>
                <w:sz w:val="18"/>
                <w:szCs w:val="18"/>
              </w:rPr>
              <w:t>年末数</w:t>
            </w:r>
          </w:p>
        </w:tc>
        <w:tc>
          <w:tcPr>
            <w:tcW w:w="757" w:type="pct"/>
            <w:tcBorders>
              <w:top w:val="nil"/>
              <w:left w:val="nil"/>
              <w:bottom w:val="single" w:sz="4" w:space="0" w:color="auto"/>
              <w:right w:val="single" w:sz="4" w:space="0" w:color="auto"/>
            </w:tcBorders>
            <w:vAlign w:val="center"/>
          </w:tcPr>
          <w:p w14:paraId="73BF04F3" w14:textId="77777777" w:rsidR="0000055D" w:rsidRPr="0000055D" w:rsidRDefault="0000055D" w:rsidP="0000055D">
            <w:pPr>
              <w:pStyle w:val="13"/>
              <w:ind w:firstLineChars="0" w:firstLine="0"/>
              <w:jc w:val="right"/>
              <w:rPr>
                <w:sz w:val="18"/>
                <w:szCs w:val="18"/>
              </w:rPr>
            </w:pPr>
            <w:r w:rsidRPr="0000055D">
              <w:rPr>
                <w:sz w:val="18"/>
                <w:szCs w:val="18"/>
              </w:rPr>
              <w:t>-</w:t>
            </w:r>
          </w:p>
        </w:tc>
        <w:tc>
          <w:tcPr>
            <w:tcW w:w="757" w:type="pct"/>
            <w:tcBorders>
              <w:top w:val="nil"/>
              <w:left w:val="nil"/>
              <w:bottom w:val="single" w:sz="4" w:space="0" w:color="auto"/>
              <w:right w:val="single" w:sz="4" w:space="0" w:color="auto"/>
            </w:tcBorders>
            <w:vAlign w:val="center"/>
          </w:tcPr>
          <w:p w14:paraId="022DE647" w14:textId="77777777" w:rsidR="0000055D" w:rsidRPr="0000055D" w:rsidRDefault="0000055D" w:rsidP="0000055D">
            <w:pPr>
              <w:pStyle w:val="13"/>
              <w:ind w:firstLineChars="0" w:firstLine="0"/>
              <w:jc w:val="right"/>
              <w:rPr>
                <w:sz w:val="18"/>
                <w:szCs w:val="18"/>
              </w:rPr>
            </w:pPr>
            <w:r w:rsidRPr="0000055D">
              <w:rPr>
                <w:sz w:val="18"/>
                <w:szCs w:val="18"/>
              </w:rPr>
              <w:t>-</w:t>
            </w:r>
          </w:p>
        </w:tc>
        <w:tc>
          <w:tcPr>
            <w:tcW w:w="757" w:type="pct"/>
            <w:tcBorders>
              <w:top w:val="nil"/>
              <w:left w:val="nil"/>
              <w:bottom w:val="single" w:sz="4" w:space="0" w:color="auto"/>
              <w:right w:val="single" w:sz="4" w:space="0" w:color="auto"/>
            </w:tcBorders>
            <w:vAlign w:val="center"/>
          </w:tcPr>
          <w:p w14:paraId="35E7D8FB" w14:textId="77777777" w:rsidR="0000055D" w:rsidRPr="0000055D" w:rsidRDefault="0000055D" w:rsidP="0000055D">
            <w:pPr>
              <w:pStyle w:val="13"/>
              <w:ind w:firstLineChars="0" w:firstLine="0"/>
              <w:jc w:val="right"/>
              <w:rPr>
                <w:sz w:val="18"/>
                <w:szCs w:val="18"/>
              </w:rPr>
            </w:pPr>
            <w:r w:rsidRPr="0000055D">
              <w:rPr>
                <w:sz w:val="18"/>
                <w:szCs w:val="18"/>
              </w:rPr>
              <w:t>-</w:t>
            </w:r>
          </w:p>
        </w:tc>
        <w:tc>
          <w:tcPr>
            <w:tcW w:w="757" w:type="pct"/>
            <w:tcBorders>
              <w:top w:val="nil"/>
              <w:left w:val="nil"/>
              <w:bottom w:val="single" w:sz="4" w:space="0" w:color="auto"/>
              <w:right w:val="single" w:sz="4" w:space="0" w:color="auto"/>
            </w:tcBorders>
            <w:vAlign w:val="center"/>
          </w:tcPr>
          <w:p w14:paraId="1A7BEEF4" w14:textId="77777777" w:rsidR="0000055D" w:rsidRPr="0000055D" w:rsidRDefault="0000055D" w:rsidP="0000055D">
            <w:pPr>
              <w:pStyle w:val="13"/>
              <w:ind w:firstLineChars="0" w:firstLine="0"/>
              <w:jc w:val="right"/>
              <w:rPr>
                <w:sz w:val="18"/>
                <w:szCs w:val="18"/>
              </w:rPr>
            </w:pPr>
            <w:r w:rsidRPr="0000055D">
              <w:rPr>
                <w:sz w:val="18"/>
                <w:szCs w:val="18"/>
              </w:rPr>
              <w:t>-</w:t>
            </w:r>
          </w:p>
        </w:tc>
        <w:tc>
          <w:tcPr>
            <w:tcW w:w="861" w:type="pct"/>
            <w:tcBorders>
              <w:top w:val="nil"/>
              <w:left w:val="nil"/>
              <w:bottom w:val="single" w:sz="4" w:space="0" w:color="auto"/>
              <w:right w:val="single" w:sz="4" w:space="0" w:color="auto"/>
            </w:tcBorders>
            <w:vAlign w:val="center"/>
          </w:tcPr>
          <w:p w14:paraId="1F8AC1FC" w14:textId="77777777" w:rsidR="0000055D" w:rsidRPr="0000055D" w:rsidRDefault="0000055D" w:rsidP="0000055D">
            <w:pPr>
              <w:pStyle w:val="13"/>
              <w:ind w:firstLineChars="0" w:firstLine="0"/>
              <w:jc w:val="right"/>
              <w:rPr>
                <w:sz w:val="18"/>
                <w:szCs w:val="18"/>
              </w:rPr>
            </w:pPr>
            <w:r w:rsidRPr="0000055D">
              <w:rPr>
                <w:sz w:val="18"/>
                <w:szCs w:val="18"/>
              </w:rPr>
              <w:t>-</w:t>
            </w:r>
          </w:p>
        </w:tc>
      </w:tr>
      <w:tr w:rsidR="0000055D" w:rsidRPr="0000055D" w14:paraId="25DB6211" w14:textId="77777777" w:rsidTr="0000055D">
        <w:trPr>
          <w:trHeight w:val="345"/>
        </w:trPr>
        <w:tc>
          <w:tcPr>
            <w:tcW w:w="1111" w:type="pct"/>
            <w:tcBorders>
              <w:top w:val="nil"/>
              <w:left w:val="single" w:sz="8" w:space="0" w:color="auto"/>
              <w:bottom w:val="single" w:sz="8" w:space="0" w:color="auto"/>
              <w:right w:val="single" w:sz="4" w:space="0" w:color="auto"/>
            </w:tcBorders>
            <w:vAlign w:val="center"/>
          </w:tcPr>
          <w:p w14:paraId="326C42F3" w14:textId="77777777" w:rsidR="0000055D" w:rsidRPr="0000055D" w:rsidRDefault="0000055D" w:rsidP="0000055D">
            <w:pPr>
              <w:pStyle w:val="13"/>
              <w:ind w:firstLineChars="0" w:firstLine="0"/>
              <w:rPr>
                <w:bCs/>
                <w:sz w:val="18"/>
                <w:szCs w:val="18"/>
              </w:rPr>
            </w:pPr>
            <w:r w:rsidRPr="0000055D">
              <w:rPr>
                <w:bCs/>
                <w:sz w:val="18"/>
                <w:szCs w:val="18"/>
              </w:rPr>
              <w:t>年末所有者权益合计</w:t>
            </w:r>
          </w:p>
        </w:tc>
        <w:tc>
          <w:tcPr>
            <w:tcW w:w="757" w:type="pct"/>
            <w:tcBorders>
              <w:top w:val="single" w:sz="4" w:space="0" w:color="auto"/>
              <w:left w:val="nil"/>
              <w:bottom w:val="single" w:sz="8" w:space="0" w:color="auto"/>
              <w:right w:val="single" w:sz="4" w:space="0" w:color="auto"/>
            </w:tcBorders>
            <w:vAlign w:val="center"/>
          </w:tcPr>
          <w:p w14:paraId="7E513379" w14:textId="77777777" w:rsidR="0000055D" w:rsidRPr="0000055D" w:rsidRDefault="0000055D" w:rsidP="0000055D">
            <w:pPr>
              <w:pStyle w:val="13"/>
              <w:ind w:firstLineChars="0" w:firstLine="0"/>
              <w:jc w:val="right"/>
              <w:rPr>
                <w:sz w:val="18"/>
                <w:szCs w:val="18"/>
              </w:rPr>
            </w:pPr>
            <w:r w:rsidRPr="0000055D">
              <w:rPr>
                <w:sz w:val="18"/>
                <w:szCs w:val="18"/>
              </w:rPr>
              <w:t>16,571,670.70</w:t>
            </w:r>
          </w:p>
        </w:tc>
        <w:tc>
          <w:tcPr>
            <w:tcW w:w="757" w:type="pct"/>
            <w:tcBorders>
              <w:top w:val="single" w:sz="4" w:space="0" w:color="auto"/>
              <w:left w:val="nil"/>
              <w:bottom w:val="single" w:sz="8" w:space="0" w:color="auto"/>
              <w:right w:val="single" w:sz="4" w:space="0" w:color="auto"/>
            </w:tcBorders>
            <w:vAlign w:val="center"/>
          </w:tcPr>
          <w:p w14:paraId="0C30A8F0" w14:textId="77777777" w:rsidR="0000055D" w:rsidRPr="0000055D" w:rsidRDefault="0000055D" w:rsidP="0000055D">
            <w:pPr>
              <w:pStyle w:val="13"/>
              <w:ind w:firstLineChars="0" w:firstLine="0"/>
              <w:jc w:val="right"/>
              <w:rPr>
                <w:sz w:val="18"/>
                <w:szCs w:val="18"/>
              </w:rPr>
            </w:pPr>
            <w:r w:rsidRPr="0000055D">
              <w:rPr>
                <w:sz w:val="18"/>
                <w:szCs w:val="18"/>
              </w:rPr>
              <w:t>19,645,092.99</w:t>
            </w:r>
          </w:p>
        </w:tc>
        <w:tc>
          <w:tcPr>
            <w:tcW w:w="757" w:type="pct"/>
            <w:tcBorders>
              <w:top w:val="single" w:sz="4" w:space="0" w:color="auto"/>
              <w:left w:val="nil"/>
              <w:bottom w:val="single" w:sz="8" w:space="0" w:color="auto"/>
              <w:right w:val="single" w:sz="4" w:space="0" w:color="auto"/>
            </w:tcBorders>
            <w:vAlign w:val="center"/>
          </w:tcPr>
          <w:p w14:paraId="41CDBBF4" w14:textId="77777777" w:rsidR="0000055D" w:rsidRPr="0000055D" w:rsidRDefault="0000055D" w:rsidP="0000055D">
            <w:pPr>
              <w:pStyle w:val="13"/>
              <w:ind w:firstLineChars="0" w:firstLine="0"/>
              <w:jc w:val="right"/>
              <w:rPr>
                <w:sz w:val="18"/>
                <w:szCs w:val="18"/>
              </w:rPr>
            </w:pPr>
            <w:r w:rsidRPr="0000055D">
              <w:rPr>
                <w:sz w:val="18"/>
                <w:szCs w:val="18"/>
              </w:rPr>
              <w:t>23,209,684.57</w:t>
            </w:r>
          </w:p>
        </w:tc>
        <w:tc>
          <w:tcPr>
            <w:tcW w:w="757" w:type="pct"/>
            <w:tcBorders>
              <w:top w:val="single" w:sz="4" w:space="0" w:color="auto"/>
              <w:left w:val="nil"/>
              <w:bottom w:val="single" w:sz="8" w:space="0" w:color="auto"/>
              <w:right w:val="single" w:sz="4" w:space="0" w:color="auto"/>
            </w:tcBorders>
            <w:vAlign w:val="center"/>
          </w:tcPr>
          <w:p w14:paraId="0CB06566" w14:textId="77777777" w:rsidR="0000055D" w:rsidRPr="0000055D" w:rsidRDefault="0000055D" w:rsidP="0000055D">
            <w:pPr>
              <w:pStyle w:val="13"/>
              <w:ind w:firstLineChars="0" w:firstLine="0"/>
              <w:jc w:val="right"/>
              <w:rPr>
                <w:sz w:val="18"/>
                <w:szCs w:val="18"/>
              </w:rPr>
            </w:pPr>
            <w:r w:rsidRPr="0000055D">
              <w:rPr>
                <w:sz w:val="18"/>
                <w:szCs w:val="18"/>
              </w:rPr>
              <w:t>26,944,522.02</w:t>
            </w:r>
          </w:p>
        </w:tc>
        <w:tc>
          <w:tcPr>
            <w:tcW w:w="861" w:type="pct"/>
            <w:tcBorders>
              <w:top w:val="single" w:sz="4" w:space="0" w:color="auto"/>
              <w:left w:val="nil"/>
              <w:bottom w:val="single" w:sz="8" w:space="0" w:color="auto"/>
              <w:right w:val="single" w:sz="4" w:space="0" w:color="auto"/>
            </w:tcBorders>
            <w:vAlign w:val="center"/>
          </w:tcPr>
          <w:p w14:paraId="662EA0CA" w14:textId="77777777" w:rsidR="0000055D" w:rsidRPr="0000055D" w:rsidRDefault="0000055D" w:rsidP="0000055D">
            <w:pPr>
              <w:pStyle w:val="13"/>
              <w:ind w:firstLineChars="0" w:firstLine="0"/>
              <w:jc w:val="right"/>
              <w:rPr>
                <w:sz w:val="18"/>
                <w:szCs w:val="18"/>
              </w:rPr>
            </w:pPr>
            <w:r w:rsidRPr="0000055D">
              <w:rPr>
                <w:sz w:val="18"/>
                <w:szCs w:val="18"/>
              </w:rPr>
              <w:t>30,676,126.55</w:t>
            </w:r>
          </w:p>
        </w:tc>
      </w:tr>
    </w:tbl>
    <w:p w14:paraId="67747F80" w14:textId="012E7D7C" w:rsidR="00685D93" w:rsidRDefault="0000055D" w:rsidP="00EF0BC2">
      <w:pPr>
        <w:pStyle w:val="13"/>
      </w:pPr>
      <w:r w:rsidRPr="0000055D">
        <w:rPr>
          <w:rFonts w:hint="eastAsia"/>
        </w:rPr>
        <w:t>权益增加额</w:t>
      </w:r>
      <w:r w:rsidRPr="0000055D">
        <w:t>=本年所有者权益合计－上年所有者权益合计</w:t>
      </w:r>
    </w:p>
    <w:p w14:paraId="0BC8A486" w14:textId="77777777" w:rsidR="0000055D" w:rsidRPr="0000055D" w:rsidRDefault="0000055D" w:rsidP="0000055D">
      <w:pPr>
        <w:pStyle w:val="ab"/>
        <w:spacing w:before="62" w:after="62"/>
        <w:ind w:firstLine="482"/>
        <w:rPr>
          <w:lang w:val="zh-TW"/>
        </w:rPr>
      </w:pPr>
      <w:r w:rsidRPr="0000055D">
        <w:rPr>
          <w:lang w:val="zh-TW"/>
        </w:rPr>
        <w:lastRenderedPageBreak/>
        <w:t>案例</w:t>
      </w:r>
      <w:r w:rsidRPr="0000055D">
        <w:rPr>
          <w:rFonts w:hint="eastAsia"/>
          <w:lang w:val="zh-TW"/>
        </w:rPr>
        <w:t>三</w:t>
      </w:r>
      <w:r w:rsidRPr="0000055D">
        <w:rPr>
          <w:lang w:val="zh-TW"/>
        </w:rPr>
        <w:t>：银行的利息收入和手续费收入预测</w:t>
      </w:r>
    </w:p>
    <w:p w14:paraId="2B5C5FE7" w14:textId="77777777" w:rsidR="0000055D" w:rsidRPr="0000055D" w:rsidRDefault="0000055D" w:rsidP="0000055D">
      <w:pPr>
        <w:pStyle w:val="13"/>
        <w:rPr>
          <w:lang w:val="zh-TW"/>
        </w:rPr>
      </w:pPr>
      <w:r w:rsidRPr="0000055D">
        <w:rPr>
          <w:rFonts w:hint="eastAsia"/>
          <w:lang w:val="zh-TW"/>
        </w:rPr>
        <w:t>1．</w:t>
      </w:r>
      <w:r w:rsidRPr="0000055D">
        <w:rPr>
          <w:lang w:val="zh-TW"/>
        </w:rPr>
        <w:t xml:space="preserve">利息收入预测 </w:t>
      </w:r>
    </w:p>
    <w:p w14:paraId="11D7F5BD" w14:textId="77777777" w:rsidR="0000055D" w:rsidRPr="0000055D" w:rsidRDefault="0000055D" w:rsidP="0000055D">
      <w:pPr>
        <w:pStyle w:val="13"/>
      </w:pPr>
      <w:r w:rsidRPr="0000055D">
        <w:rPr>
          <w:lang w:val="zh-TW"/>
        </w:rPr>
        <w:t>xx</w:t>
      </w:r>
      <w:r w:rsidRPr="0000055D">
        <w:t>银行是一家快速成长的金融企业，具有较强的超额收益能力、完备的管理体制、成熟的团队及较高的市场开拓能力，自成立以来一直保持了较高的成长速度。客户存款快速增长，从20</w:t>
      </w:r>
      <w:r w:rsidRPr="0000055D">
        <w:rPr>
          <w:rFonts w:hint="eastAsia"/>
        </w:rPr>
        <w:t>y</w:t>
      </w:r>
      <w:r w:rsidRPr="0000055D">
        <w:t>6年到20x0年6月复合增长率达到27.2%；20</w:t>
      </w:r>
      <w:r w:rsidRPr="0000055D">
        <w:rPr>
          <w:rFonts w:hint="eastAsia"/>
        </w:rPr>
        <w:t>y6到</w:t>
      </w:r>
      <w:r w:rsidRPr="0000055D">
        <w:t>20x0年贷款增长虽然受监管部门规模的控制，但增长仍快于市场，从20</w:t>
      </w:r>
      <w:r w:rsidRPr="0000055D">
        <w:rPr>
          <w:rFonts w:hint="eastAsia"/>
        </w:rPr>
        <w:t>y</w:t>
      </w:r>
      <w:r w:rsidRPr="0000055D">
        <w:t>6年到20x0年6月复合增长率达到30.5%；营业收入已从20</w:t>
      </w:r>
      <w:r w:rsidRPr="0000055D">
        <w:rPr>
          <w:rFonts w:hint="eastAsia"/>
        </w:rPr>
        <w:t>y</w:t>
      </w:r>
      <w:r w:rsidRPr="0000055D">
        <w:t>6年的21.11亿元达到20</w:t>
      </w:r>
      <w:r w:rsidRPr="0000055D">
        <w:rPr>
          <w:rFonts w:hint="eastAsia"/>
        </w:rPr>
        <w:t>y</w:t>
      </w:r>
      <w:r w:rsidRPr="0000055D">
        <w:t>9年的42.82亿元，截止到20x0年6月营业收入已达到28.92亿元。</w:t>
      </w:r>
    </w:p>
    <w:p w14:paraId="24FB1ED1" w14:textId="77777777" w:rsidR="0000055D" w:rsidRPr="0000055D" w:rsidRDefault="0000055D" w:rsidP="0000055D">
      <w:pPr>
        <w:pStyle w:val="13"/>
      </w:pPr>
      <w:r w:rsidRPr="0000055D">
        <w:rPr>
          <w:rFonts w:hint="eastAsia"/>
        </w:rPr>
        <w:t>（1）</w:t>
      </w:r>
      <w:r w:rsidRPr="0000055D">
        <w:t>同行业商业银行上市后贷款复合增长速度比较表</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2281"/>
        <w:gridCol w:w="1720"/>
        <w:gridCol w:w="1383"/>
      </w:tblGrid>
      <w:tr w:rsidR="0000055D" w:rsidRPr="0000055D" w14:paraId="0E03DAD8" w14:textId="77777777" w:rsidTr="005F04FE">
        <w:trPr>
          <w:trHeight w:val="697"/>
          <w:jc w:val="center"/>
        </w:trPr>
        <w:tc>
          <w:tcPr>
            <w:tcW w:w="2691" w:type="dxa"/>
            <w:vAlign w:val="center"/>
          </w:tcPr>
          <w:p w14:paraId="50D9F285" w14:textId="77777777" w:rsidR="0000055D" w:rsidRPr="0000055D" w:rsidRDefault="0000055D" w:rsidP="0000055D">
            <w:pPr>
              <w:pStyle w:val="13"/>
              <w:ind w:firstLineChars="0" w:firstLine="0"/>
              <w:jc w:val="center"/>
              <w:rPr>
                <w:b/>
                <w:bCs/>
                <w:sz w:val="21"/>
                <w:szCs w:val="21"/>
              </w:rPr>
            </w:pPr>
            <w:r w:rsidRPr="0000055D">
              <w:rPr>
                <w:b/>
                <w:bCs/>
                <w:sz w:val="21"/>
                <w:szCs w:val="21"/>
              </w:rPr>
              <w:t>证券代码</w:t>
            </w:r>
          </w:p>
        </w:tc>
        <w:tc>
          <w:tcPr>
            <w:tcW w:w="2281" w:type="dxa"/>
            <w:vAlign w:val="center"/>
          </w:tcPr>
          <w:p w14:paraId="5439B3CE" w14:textId="77777777" w:rsidR="0000055D" w:rsidRPr="0000055D" w:rsidRDefault="0000055D" w:rsidP="0000055D">
            <w:pPr>
              <w:pStyle w:val="13"/>
              <w:ind w:firstLineChars="0" w:firstLine="0"/>
              <w:jc w:val="center"/>
              <w:rPr>
                <w:b/>
                <w:bCs/>
                <w:sz w:val="21"/>
                <w:szCs w:val="21"/>
              </w:rPr>
            </w:pPr>
            <w:r w:rsidRPr="0000055D">
              <w:rPr>
                <w:b/>
                <w:bCs/>
                <w:sz w:val="21"/>
                <w:szCs w:val="21"/>
              </w:rPr>
              <w:t>证券简称</w:t>
            </w:r>
          </w:p>
        </w:tc>
        <w:tc>
          <w:tcPr>
            <w:tcW w:w="1720" w:type="dxa"/>
            <w:vAlign w:val="center"/>
          </w:tcPr>
          <w:p w14:paraId="44B3B75C" w14:textId="77777777" w:rsidR="0000055D" w:rsidRPr="0000055D" w:rsidRDefault="0000055D" w:rsidP="0000055D">
            <w:pPr>
              <w:pStyle w:val="13"/>
              <w:ind w:firstLineChars="0" w:firstLine="0"/>
              <w:jc w:val="center"/>
              <w:rPr>
                <w:b/>
                <w:bCs/>
                <w:sz w:val="21"/>
                <w:szCs w:val="21"/>
              </w:rPr>
            </w:pPr>
            <w:r w:rsidRPr="0000055D">
              <w:rPr>
                <w:b/>
                <w:bCs/>
                <w:sz w:val="21"/>
                <w:szCs w:val="21"/>
              </w:rPr>
              <w:t>贷款</w:t>
            </w:r>
          </w:p>
        </w:tc>
        <w:tc>
          <w:tcPr>
            <w:tcW w:w="1383" w:type="dxa"/>
            <w:vAlign w:val="center"/>
          </w:tcPr>
          <w:p w14:paraId="3D8E0FE0" w14:textId="77777777" w:rsidR="0000055D" w:rsidRPr="0000055D" w:rsidRDefault="0000055D" w:rsidP="0000055D">
            <w:pPr>
              <w:pStyle w:val="13"/>
              <w:ind w:firstLineChars="0" w:firstLine="0"/>
              <w:jc w:val="center"/>
              <w:rPr>
                <w:b/>
                <w:bCs/>
                <w:sz w:val="21"/>
                <w:szCs w:val="21"/>
              </w:rPr>
            </w:pPr>
            <w:r w:rsidRPr="0000055D">
              <w:rPr>
                <w:b/>
                <w:bCs/>
                <w:sz w:val="21"/>
                <w:szCs w:val="21"/>
              </w:rPr>
              <w:t>年限</w:t>
            </w:r>
          </w:p>
        </w:tc>
      </w:tr>
      <w:tr w:rsidR="0000055D" w:rsidRPr="0000055D" w14:paraId="74894F21" w14:textId="77777777" w:rsidTr="005F04FE">
        <w:trPr>
          <w:trHeight w:val="261"/>
          <w:jc w:val="center"/>
        </w:trPr>
        <w:tc>
          <w:tcPr>
            <w:tcW w:w="2691" w:type="dxa"/>
            <w:vAlign w:val="center"/>
          </w:tcPr>
          <w:p w14:paraId="44EF5B79" w14:textId="77777777" w:rsidR="0000055D" w:rsidRPr="0000055D" w:rsidRDefault="0000055D" w:rsidP="0000055D">
            <w:pPr>
              <w:pStyle w:val="13"/>
              <w:ind w:firstLineChars="0" w:firstLine="0"/>
              <w:rPr>
                <w:sz w:val="21"/>
                <w:szCs w:val="21"/>
              </w:rPr>
            </w:pPr>
            <w:r w:rsidRPr="0000055D">
              <w:rPr>
                <w:sz w:val="21"/>
                <w:szCs w:val="21"/>
              </w:rPr>
              <w:t>000001.SZ</w:t>
            </w:r>
          </w:p>
        </w:tc>
        <w:tc>
          <w:tcPr>
            <w:tcW w:w="2281" w:type="dxa"/>
            <w:vAlign w:val="center"/>
          </w:tcPr>
          <w:p w14:paraId="2D9503FB" w14:textId="77777777" w:rsidR="0000055D" w:rsidRPr="0000055D" w:rsidRDefault="0000055D" w:rsidP="0000055D">
            <w:pPr>
              <w:pStyle w:val="13"/>
              <w:ind w:firstLineChars="0" w:firstLine="0"/>
              <w:rPr>
                <w:sz w:val="21"/>
                <w:szCs w:val="21"/>
              </w:rPr>
            </w:pPr>
            <w:r w:rsidRPr="0000055D">
              <w:rPr>
                <w:sz w:val="21"/>
                <w:szCs w:val="21"/>
              </w:rPr>
              <w:t>深发展A</w:t>
            </w:r>
          </w:p>
        </w:tc>
        <w:tc>
          <w:tcPr>
            <w:tcW w:w="1720" w:type="dxa"/>
            <w:vAlign w:val="center"/>
          </w:tcPr>
          <w:p w14:paraId="48C6718D" w14:textId="77777777" w:rsidR="0000055D" w:rsidRPr="0000055D" w:rsidRDefault="0000055D" w:rsidP="0000055D">
            <w:pPr>
              <w:pStyle w:val="13"/>
              <w:ind w:firstLineChars="0" w:firstLine="0"/>
              <w:jc w:val="right"/>
              <w:rPr>
                <w:sz w:val="21"/>
                <w:szCs w:val="21"/>
              </w:rPr>
            </w:pPr>
            <w:r w:rsidRPr="0000055D">
              <w:rPr>
                <w:sz w:val="21"/>
                <w:szCs w:val="21"/>
              </w:rPr>
              <w:t>29.77%</w:t>
            </w:r>
          </w:p>
        </w:tc>
        <w:tc>
          <w:tcPr>
            <w:tcW w:w="1383" w:type="dxa"/>
            <w:vAlign w:val="center"/>
          </w:tcPr>
          <w:p w14:paraId="7FFEFEFE" w14:textId="77777777" w:rsidR="0000055D" w:rsidRPr="0000055D" w:rsidRDefault="0000055D" w:rsidP="0000055D">
            <w:pPr>
              <w:pStyle w:val="13"/>
              <w:ind w:firstLineChars="0" w:firstLine="0"/>
              <w:jc w:val="right"/>
              <w:rPr>
                <w:sz w:val="21"/>
                <w:szCs w:val="21"/>
              </w:rPr>
            </w:pPr>
            <w:r w:rsidRPr="0000055D">
              <w:rPr>
                <w:sz w:val="21"/>
                <w:szCs w:val="21"/>
              </w:rPr>
              <w:t>10</w:t>
            </w:r>
          </w:p>
        </w:tc>
      </w:tr>
      <w:tr w:rsidR="0000055D" w:rsidRPr="0000055D" w14:paraId="2FB626B1" w14:textId="77777777" w:rsidTr="005F04FE">
        <w:trPr>
          <w:trHeight w:val="261"/>
          <w:jc w:val="center"/>
        </w:trPr>
        <w:tc>
          <w:tcPr>
            <w:tcW w:w="2691" w:type="dxa"/>
            <w:vAlign w:val="center"/>
          </w:tcPr>
          <w:p w14:paraId="52ADA4BD" w14:textId="77777777" w:rsidR="0000055D" w:rsidRPr="0000055D" w:rsidRDefault="0000055D" w:rsidP="0000055D">
            <w:pPr>
              <w:pStyle w:val="13"/>
              <w:ind w:firstLineChars="0" w:firstLine="0"/>
              <w:rPr>
                <w:sz w:val="21"/>
                <w:szCs w:val="21"/>
              </w:rPr>
            </w:pPr>
            <w:r w:rsidRPr="0000055D">
              <w:rPr>
                <w:sz w:val="21"/>
                <w:szCs w:val="21"/>
              </w:rPr>
              <w:t>002142.SZ</w:t>
            </w:r>
          </w:p>
        </w:tc>
        <w:tc>
          <w:tcPr>
            <w:tcW w:w="2281" w:type="dxa"/>
            <w:vAlign w:val="center"/>
          </w:tcPr>
          <w:p w14:paraId="6A95DB52" w14:textId="77777777" w:rsidR="0000055D" w:rsidRPr="0000055D" w:rsidRDefault="0000055D" w:rsidP="0000055D">
            <w:pPr>
              <w:pStyle w:val="13"/>
              <w:ind w:firstLineChars="0" w:firstLine="0"/>
              <w:rPr>
                <w:sz w:val="21"/>
                <w:szCs w:val="21"/>
              </w:rPr>
            </w:pPr>
            <w:r w:rsidRPr="0000055D">
              <w:rPr>
                <w:sz w:val="21"/>
                <w:szCs w:val="21"/>
              </w:rPr>
              <w:t>宁波银行</w:t>
            </w:r>
          </w:p>
        </w:tc>
        <w:tc>
          <w:tcPr>
            <w:tcW w:w="1720" w:type="dxa"/>
            <w:vAlign w:val="center"/>
          </w:tcPr>
          <w:p w14:paraId="120BD1E0" w14:textId="77777777" w:rsidR="0000055D" w:rsidRPr="0000055D" w:rsidRDefault="0000055D" w:rsidP="0000055D">
            <w:pPr>
              <w:pStyle w:val="13"/>
              <w:ind w:firstLineChars="0" w:firstLine="0"/>
              <w:jc w:val="right"/>
              <w:rPr>
                <w:sz w:val="21"/>
                <w:szCs w:val="21"/>
              </w:rPr>
            </w:pPr>
            <w:r w:rsidRPr="0000055D">
              <w:rPr>
                <w:sz w:val="21"/>
                <w:szCs w:val="21"/>
              </w:rPr>
              <w:t>36.47%</w:t>
            </w:r>
          </w:p>
        </w:tc>
        <w:tc>
          <w:tcPr>
            <w:tcW w:w="1383" w:type="dxa"/>
            <w:vAlign w:val="center"/>
          </w:tcPr>
          <w:p w14:paraId="6A7F463B" w14:textId="77777777" w:rsidR="0000055D" w:rsidRPr="0000055D" w:rsidRDefault="0000055D" w:rsidP="0000055D">
            <w:pPr>
              <w:pStyle w:val="13"/>
              <w:ind w:firstLineChars="0" w:firstLine="0"/>
              <w:jc w:val="right"/>
              <w:rPr>
                <w:sz w:val="21"/>
                <w:szCs w:val="21"/>
              </w:rPr>
            </w:pPr>
            <w:r w:rsidRPr="0000055D">
              <w:rPr>
                <w:sz w:val="21"/>
                <w:szCs w:val="21"/>
              </w:rPr>
              <w:t>5</w:t>
            </w:r>
          </w:p>
        </w:tc>
      </w:tr>
      <w:tr w:rsidR="0000055D" w:rsidRPr="0000055D" w14:paraId="4F0E308C" w14:textId="77777777" w:rsidTr="005F04FE">
        <w:trPr>
          <w:trHeight w:val="261"/>
          <w:jc w:val="center"/>
        </w:trPr>
        <w:tc>
          <w:tcPr>
            <w:tcW w:w="2691" w:type="dxa"/>
            <w:vAlign w:val="center"/>
          </w:tcPr>
          <w:p w14:paraId="79F7254C" w14:textId="77777777" w:rsidR="0000055D" w:rsidRPr="0000055D" w:rsidRDefault="0000055D" w:rsidP="0000055D">
            <w:pPr>
              <w:pStyle w:val="13"/>
              <w:ind w:firstLineChars="0" w:firstLine="0"/>
              <w:rPr>
                <w:sz w:val="21"/>
                <w:szCs w:val="21"/>
              </w:rPr>
            </w:pPr>
            <w:r w:rsidRPr="0000055D">
              <w:rPr>
                <w:sz w:val="21"/>
                <w:szCs w:val="21"/>
              </w:rPr>
              <w:t>600000.SH</w:t>
            </w:r>
          </w:p>
        </w:tc>
        <w:tc>
          <w:tcPr>
            <w:tcW w:w="2281" w:type="dxa"/>
            <w:vAlign w:val="center"/>
          </w:tcPr>
          <w:p w14:paraId="195EBC03" w14:textId="77777777" w:rsidR="0000055D" w:rsidRPr="0000055D" w:rsidRDefault="0000055D" w:rsidP="0000055D">
            <w:pPr>
              <w:pStyle w:val="13"/>
              <w:ind w:firstLineChars="0" w:firstLine="0"/>
              <w:rPr>
                <w:sz w:val="21"/>
                <w:szCs w:val="21"/>
              </w:rPr>
            </w:pPr>
            <w:r w:rsidRPr="0000055D">
              <w:rPr>
                <w:sz w:val="21"/>
                <w:szCs w:val="21"/>
              </w:rPr>
              <w:t>浦发银行</w:t>
            </w:r>
          </w:p>
        </w:tc>
        <w:tc>
          <w:tcPr>
            <w:tcW w:w="1720" w:type="dxa"/>
            <w:vAlign w:val="center"/>
          </w:tcPr>
          <w:p w14:paraId="625F8C0A" w14:textId="77777777" w:rsidR="0000055D" w:rsidRPr="0000055D" w:rsidRDefault="0000055D" w:rsidP="0000055D">
            <w:pPr>
              <w:pStyle w:val="13"/>
              <w:ind w:firstLineChars="0" w:firstLine="0"/>
              <w:jc w:val="right"/>
              <w:rPr>
                <w:sz w:val="21"/>
                <w:szCs w:val="21"/>
              </w:rPr>
            </w:pPr>
            <w:r w:rsidRPr="0000055D">
              <w:rPr>
                <w:sz w:val="21"/>
                <w:szCs w:val="21"/>
              </w:rPr>
              <w:t>32.73%</w:t>
            </w:r>
          </w:p>
        </w:tc>
        <w:tc>
          <w:tcPr>
            <w:tcW w:w="1383" w:type="dxa"/>
            <w:vAlign w:val="center"/>
          </w:tcPr>
          <w:p w14:paraId="068C4A61" w14:textId="77777777" w:rsidR="0000055D" w:rsidRPr="0000055D" w:rsidRDefault="0000055D" w:rsidP="0000055D">
            <w:pPr>
              <w:pStyle w:val="13"/>
              <w:ind w:firstLineChars="0" w:firstLine="0"/>
              <w:jc w:val="right"/>
              <w:rPr>
                <w:sz w:val="21"/>
                <w:szCs w:val="21"/>
              </w:rPr>
            </w:pPr>
            <w:r w:rsidRPr="0000055D">
              <w:rPr>
                <w:sz w:val="21"/>
                <w:szCs w:val="21"/>
              </w:rPr>
              <w:t>10</w:t>
            </w:r>
          </w:p>
        </w:tc>
      </w:tr>
      <w:tr w:rsidR="0000055D" w:rsidRPr="0000055D" w14:paraId="00B7660D" w14:textId="77777777" w:rsidTr="005F04FE">
        <w:trPr>
          <w:trHeight w:val="261"/>
          <w:jc w:val="center"/>
        </w:trPr>
        <w:tc>
          <w:tcPr>
            <w:tcW w:w="2691" w:type="dxa"/>
            <w:vAlign w:val="center"/>
          </w:tcPr>
          <w:p w14:paraId="6E69455F" w14:textId="77777777" w:rsidR="0000055D" w:rsidRPr="0000055D" w:rsidRDefault="0000055D" w:rsidP="0000055D">
            <w:pPr>
              <w:pStyle w:val="13"/>
              <w:ind w:firstLineChars="0" w:firstLine="0"/>
              <w:rPr>
                <w:sz w:val="21"/>
                <w:szCs w:val="21"/>
              </w:rPr>
            </w:pPr>
            <w:r w:rsidRPr="0000055D">
              <w:rPr>
                <w:sz w:val="21"/>
                <w:szCs w:val="21"/>
              </w:rPr>
              <w:t>600015.SH</w:t>
            </w:r>
          </w:p>
        </w:tc>
        <w:tc>
          <w:tcPr>
            <w:tcW w:w="2281" w:type="dxa"/>
            <w:vAlign w:val="center"/>
          </w:tcPr>
          <w:p w14:paraId="57973789" w14:textId="77777777" w:rsidR="0000055D" w:rsidRPr="0000055D" w:rsidRDefault="0000055D" w:rsidP="0000055D">
            <w:pPr>
              <w:pStyle w:val="13"/>
              <w:ind w:firstLineChars="0" w:firstLine="0"/>
              <w:rPr>
                <w:sz w:val="21"/>
                <w:szCs w:val="21"/>
              </w:rPr>
            </w:pPr>
            <w:r w:rsidRPr="0000055D">
              <w:rPr>
                <w:sz w:val="21"/>
                <w:szCs w:val="21"/>
              </w:rPr>
              <w:t>华夏银行</w:t>
            </w:r>
          </w:p>
        </w:tc>
        <w:tc>
          <w:tcPr>
            <w:tcW w:w="1720" w:type="dxa"/>
            <w:vAlign w:val="center"/>
          </w:tcPr>
          <w:p w14:paraId="5F3A5D82" w14:textId="77777777" w:rsidR="0000055D" w:rsidRPr="0000055D" w:rsidRDefault="0000055D" w:rsidP="0000055D">
            <w:pPr>
              <w:pStyle w:val="13"/>
              <w:ind w:firstLineChars="0" w:firstLine="0"/>
              <w:jc w:val="right"/>
              <w:rPr>
                <w:sz w:val="21"/>
                <w:szCs w:val="21"/>
              </w:rPr>
            </w:pPr>
            <w:r w:rsidRPr="0000055D">
              <w:rPr>
                <w:sz w:val="21"/>
                <w:szCs w:val="21"/>
              </w:rPr>
              <w:t>25.28%</w:t>
            </w:r>
          </w:p>
        </w:tc>
        <w:tc>
          <w:tcPr>
            <w:tcW w:w="1383" w:type="dxa"/>
            <w:vAlign w:val="center"/>
          </w:tcPr>
          <w:p w14:paraId="5D221CCA" w14:textId="77777777" w:rsidR="0000055D" w:rsidRPr="0000055D" w:rsidRDefault="0000055D" w:rsidP="0000055D">
            <w:pPr>
              <w:pStyle w:val="13"/>
              <w:ind w:firstLineChars="0" w:firstLine="0"/>
              <w:jc w:val="right"/>
              <w:rPr>
                <w:sz w:val="21"/>
                <w:szCs w:val="21"/>
              </w:rPr>
            </w:pPr>
            <w:r w:rsidRPr="0000055D">
              <w:rPr>
                <w:sz w:val="21"/>
                <w:szCs w:val="21"/>
              </w:rPr>
              <w:t>9</w:t>
            </w:r>
          </w:p>
        </w:tc>
      </w:tr>
      <w:tr w:rsidR="0000055D" w:rsidRPr="0000055D" w14:paraId="1A428389" w14:textId="77777777" w:rsidTr="005F04FE">
        <w:trPr>
          <w:trHeight w:val="261"/>
          <w:jc w:val="center"/>
        </w:trPr>
        <w:tc>
          <w:tcPr>
            <w:tcW w:w="2691" w:type="dxa"/>
            <w:vAlign w:val="center"/>
          </w:tcPr>
          <w:p w14:paraId="16D2AD15" w14:textId="77777777" w:rsidR="0000055D" w:rsidRPr="0000055D" w:rsidRDefault="0000055D" w:rsidP="0000055D">
            <w:pPr>
              <w:pStyle w:val="13"/>
              <w:ind w:firstLineChars="0" w:firstLine="0"/>
              <w:rPr>
                <w:sz w:val="21"/>
                <w:szCs w:val="21"/>
              </w:rPr>
            </w:pPr>
            <w:r w:rsidRPr="0000055D">
              <w:rPr>
                <w:sz w:val="21"/>
                <w:szCs w:val="21"/>
              </w:rPr>
              <w:t>600016.SH</w:t>
            </w:r>
          </w:p>
        </w:tc>
        <w:tc>
          <w:tcPr>
            <w:tcW w:w="2281" w:type="dxa"/>
            <w:vAlign w:val="center"/>
          </w:tcPr>
          <w:p w14:paraId="2B46C67D" w14:textId="77777777" w:rsidR="0000055D" w:rsidRPr="0000055D" w:rsidRDefault="0000055D" w:rsidP="0000055D">
            <w:pPr>
              <w:pStyle w:val="13"/>
              <w:ind w:firstLineChars="0" w:firstLine="0"/>
              <w:rPr>
                <w:sz w:val="21"/>
                <w:szCs w:val="21"/>
              </w:rPr>
            </w:pPr>
            <w:r w:rsidRPr="0000055D">
              <w:rPr>
                <w:sz w:val="21"/>
                <w:szCs w:val="21"/>
              </w:rPr>
              <w:t>民生银行</w:t>
            </w:r>
          </w:p>
        </w:tc>
        <w:tc>
          <w:tcPr>
            <w:tcW w:w="1720" w:type="dxa"/>
            <w:vAlign w:val="center"/>
          </w:tcPr>
          <w:p w14:paraId="55396FCE" w14:textId="77777777" w:rsidR="0000055D" w:rsidRPr="0000055D" w:rsidRDefault="0000055D" w:rsidP="0000055D">
            <w:pPr>
              <w:pStyle w:val="13"/>
              <w:ind w:firstLineChars="0" w:firstLine="0"/>
              <w:jc w:val="right"/>
              <w:rPr>
                <w:sz w:val="21"/>
                <w:szCs w:val="21"/>
              </w:rPr>
            </w:pPr>
            <w:r w:rsidRPr="0000055D">
              <w:rPr>
                <w:sz w:val="21"/>
                <w:szCs w:val="21"/>
              </w:rPr>
              <w:t>48.63%</w:t>
            </w:r>
          </w:p>
        </w:tc>
        <w:tc>
          <w:tcPr>
            <w:tcW w:w="1383" w:type="dxa"/>
            <w:vAlign w:val="center"/>
          </w:tcPr>
          <w:p w14:paraId="1783117C" w14:textId="77777777" w:rsidR="0000055D" w:rsidRPr="0000055D" w:rsidRDefault="0000055D" w:rsidP="0000055D">
            <w:pPr>
              <w:pStyle w:val="13"/>
              <w:ind w:firstLineChars="0" w:firstLine="0"/>
              <w:jc w:val="right"/>
              <w:rPr>
                <w:sz w:val="21"/>
                <w:szCs w:val="21"/>
              </w:rPr>
            </w:pPr>
            <w:r w:rsidRPr="0000055D">
              <w:rPr>
                <w:sz w:val="21"/>
                <w:szCs w:val="21"/>
              </w:rPr>
              <w:t>10</w:t>
            </w:r>
          </w:p>
        </w:tc>
      </w:tr>
      <w:tr w:rsidR="0000055D" w:rsidRPr="0000055D" w14:paraId="44F80990" w14:textId="77777777" w:rsidTr="005F04FE">
        <w:trPr>
          <w:trHeight w:val="261"/>
          <w:jc w:val="center"/>
        </w:trPr>
        <w:tc>
          <w:tcPr>
            <w:tcW w:w="2691" w:type="dxa"/>
            <w:vAlign w:val="center"/>
          </w:tcPr>
          <w:p w14:paraId="04BCEF2C" w14:textId="77777777" w:rsidR="0000055D" w:rsidRPr="0000055D" w:rsidRDefault="0000055D" w:rsidP="0000055D">
            <w:pPr>
              <w:pStyle w:val="13"/>
              <w:ind w:firstLineChars="0" w:firstLine="0"/>
              <w:rPr>
                <w:sz w:val="21"/>
                <w:szCs w:val="21"/>
              </w:rPr>
            </w:pPr>
            <w:r w:rsidRPr="0000055D">
              <w:rPr>
                <w:sz w:val="21"/>
                <w:szCs w:val="21"/>
              </w:rPr>
              <w:t>600036.SH</w:t>
            </w:r>
          </w:p>
        </w:tc>
        <w:tc>
          <w:tcPr>
            <w:tcW w:w="2281" w:type="dxa"/>
            <w:vAlign w:val="center"/>
          </w:tcPr>
          <w:p w14:paraId="5F301AA3" w14:textId="77777777" w:rsidR="0000055D" w:rsidRPr="0000055D" w:rsidRDefault="0000055D" w:rsidP="0000055D">
            <w:pPr>
              <w:pStyle w:val="13"/>
              <w:ind w:firstLineChars="0" w:firstLine="0"/>
              <w:rPr>
                <w:sz w:val="21"/>
                <w:szCs w:val="21"/>
              </w:rPr>
            </w:pPr>
            <w:r w:rsidRPr="0000055D">
              <w:rPr>
                <w:sz w:val="21"/>
                <w:szCs w:val="21"/>
              </w:rPr>
              <w:t>招商银行</w:t>
            </w:r>
          </w:p>
        </w:tc>
        <w:tc>
          <w:tcPr>
            <w:tcW w:w="1720" w:type="dxa"/>
            <w:vAlign w:val="center"/>
          </w:tcPr>
          <w:p w14:paraId="537ACD22" w14:textId="77777777" w:rsidR="0000055D" w:rsidRPr="0000055D" w:rsidRDefault="0000055D" w:rsidP="0000055D">
            <w:pPr>
              <w:pStyle w:val="13"/>
              <w:ind w:firstLineChars="0" w:firstLine="0"/>
              <w:jc w:val="right"/>
              <w:rPr>
                <w:sz w:val="21"/>
                <w:szCs w:val="21"/>
              </w:rPr>
            </w:pPr>
            <w:r w:rsidRPr="0000055D">
              <w:rPr>
                <w:sz w:val="21"/>
                <w:szCs w:val="21"/>
              </w:rPr>
              <w:t>30.49%</w:t>
            </w:r>
          </w:p>
        </w:tc>
        <w:tc>
          <w:tcPr>
            <w:tcW w:w="1383" w:type="dxa"/>
            <w:vAlign w:val="center"/>
          </w:tcPr>
          <w:p w14:paraId="291C7D1A" w14:textId="77777777" w:rsidR="0000055D" w:rsidRPr="0000055D" w:rsidRDefault="0000055D" w:rsidP="0000055D">
            <w:pPr>
              <w:pStyle w:val="13"/>
              <w:ind w:firstLineChars="0" w:firstLine="0"/>
              <w:jc w:val="right"/>
              <w:rPr>
                <w:sz w:val="21"/>
                <w:szCs w:val="21"/>
              </w:rPr>
            </w:pPr>
            <w:r w:rsidRPr="0000055D">
              <w:rPr>
                <w:sz w:val="21"/>
                <w:szCs w:val="21"/>
              </w:rPr>
              <w:t>10</w:t>
            </w:r>
          </w:p>
        </w:tc>
      </w:tr>
      <w:tr w:rsidR="0000055D" w:rsidRPr="0000055D" w14:paraId="59CC1ED6" w14:textId="77777777" w:rsidTr="005F04FE">
        <w:trPr>
          <w:trHeight w:val="261"/>
          <w:jc w:val="center"/>
        </w:trPr>
        <w:tc>
          <w:tcPr>
            <w:tcW w:w="2691" w:type="dxa"/>
            <w:vAlign w:val="center"/>
          </w:tcPr>
          <w:p w14:paraId="7A93BF36" w14:textId="77777777" w:rsidR="0000055D" w:rsidRPr="0000055D" w:rsidRDefault="0000055D" w:rsidP="0000055D">
            <w:pPr>
              <w:pStyle w:val="13"/>
              <w:ind w:firstLineChars="0" w:firstLine="0"/>
              <w:rPr>
                <w:sz w:val="21"/>
                <w:szCs w:val="21"/>
              </w:rPr>
            </w:pPr>
            <w:r w:rsidRPr="0000055D">
              <w:rPr>
                <w:sz w:val="21"/>
                <w:szCs w:val="21"/>
              </w:rPr>
              <w:t>601009.SH</w:t>
            </w:r>
          </w:p>
        </w:tc>
        <w:tc>
          <w:tcPr>
            <w:tcW w:w="2281" w:type="dxa"/>
            <w:vAlign w:val="center"/>
          </w:tcPr>
          <w:p w14:paraId="111B7C06" w14:textId="77777777" w:rsidR="0000055D" w:rsidRPr="0000055D" w:rsidRDefault="0000055D" w:rsidP="0000055D">
            <w:pPr>
              <w:pStyle w:val="13"/>
              <w:ind w:firstLineChars="0" w:firstLine="0"/>
              <w:rPr>
                <w:sz w:val="21"/>
                <w:szCs w:val="21"/>
              </w:rPr>
            </w:pPr>
            <w:r w:rsidRPr="0000055D">
              <w:rPr>
                <w:sz w:val="21"/>
                <w:szCs w:val="21"/>
              </w:rPr>
              <w:t>南京银行</w:t>
            </w:r>
          </w:p>
        </w:tc>
        <w:tc>
          <w:tcPr>
            <w:tcW w:w="1720" w:type="dxa"/>
            <w:vAlign w:val="center"/>
          </w:tcPr>
          <w:p w14:paraId="667199F7" w14:textId="77777777" w:rsidR="0000055D" w:rsidRPr="0000055D" w:rsidRDefault="0000055D" w:rsidP="0000055D">
            <w:pPr>
              <w:pStyle w:val="13"/>
              <w:ind w:firstLineChars="0" w:firstLine="0"/>
              <w:jc w:val="right"/>
              <w:rPr>
                <w:sz w:val="21"/>
                <w:szCs w:val="21"/>
              </w:rPr>
            </w:pPr>
            <w:r w:rsidRPr="0000055D">
              <w:rPr>
                <w:sz w:val="21"/>
                <w:szCs w:val="21"/>
              </w:rPr>
              <w:t>36.98%</w:t>
            </w:r>
          </w:p>
        </w:tc>
        <w:tc>
          <w:tcPr>
            <w:tcW w:w="1383" w:type="dxa"/>
            <w:vAlign w:val="center"/>
          </w:tcPr>
          <w:p w14:paraId="2F2C83E1" w14:textId="77777777" w:rsidR="0000055D" w:rsidRPr="0000055D" w:rsidRDefault="0000055D" w:rsidP="0000055D">
            <w:pPr>
              <w:pStyle w:val="13"/>
              <w:ind w:firstLineChars="0" w:firstLine="0"/>
              <w:jc w:val="right"/>
              <w:rPr>
                <w:sz w:val="21"/>
                <w:szCs w:val="21"/>
              </w:rPr>
            </w:pPr>
            <w:r w:rsidRPr="0000055D">
              <w:rPr>
                <w:sz w:val="21"/>
                <w:szCs w:val="21"/>
              </w:rPr>
              <w:t>7</w:t>
            </w:r>
          </w:p>
        </w:tc>
      </w:tr>
      <w:tr w:rsidR="0000055D" w:rsidRPr="0000055D" w14:paraId="51D43C2F" w14:textId="77777777" w:rsidTr="005F04FE">
        <w:trPr>
          <w:trHeight w:val="261"/>
          <w:jc w:val="center"/>
        </w:trPr>
        <w:tc>
          <w:tcPr>
            <w:tcW w:w="2691" w:type="dxa"/>
            <w:vAlign w:val="center"/>
          </w:tcPr>
          <w:p w14:paraId="06C7D841" w14:textId="77777777" w:rsidR="0000055D" w:rsidRPr="0000055D" w:rsidRDefault="0000055D" w:rsidP="0000055D">
            <w:pPr>
              <w:pStyle w:val="13"/>
              <w:ind w:firstLineChars="0" w:firstLine="0"/>
              <w:rPr>
                <w:sz w:val="21"/>
                <w:szCs w:val="21"/>
              </w:rPr>
            </w:pPr>
            <w:r w:rsidRPr="0000055D">
              <w:rPr>
                <w:sz w:val="21"/>
                <w:szCs w:val="21"/>
              </w:rPr>
              <w:t>601166.SH</w:t>
            </w:r>
          </w:p>
        </w:tc>
        <w:tc>
          <w:tcPr>
            <w:tcW w:w="2281" w:type="dxa"/>
            <w:vAlign w:val="center"/>
          </w:tcPr>
          <w:p w14:paraId="3BBFE74B" w14:textId="77777777" w:rsidR="0000055D" w:rsidRPr="0000055D" w:rsidRDefault="0000055D" w:rsidP="0000055D">
            <w:pPr>
              <w:pStyle w:val="13"/>
              <w:ind w:firstLineChars="0" w:firstLine="0"/>
              <w:rPr>
                <w:sz w:val="21"/>
                <w:szCs w:val="21"/>
              </w:rPr>
            </w:pPr>
            <w:r w:rsidRPr="0000055D">
              <w:rPr>
                <w:sz w:val="21"/>
                <w:szCs w:val="21"/>
              </w:rPr>
              <w:t>兴业银行</w:t>
            </w:r>
          </w:p>
        </w:tc>
        <w:tc>
          <w:tcPr>
            <w:tcW w:w="1720" w:type="dxa"/>
            <w:vAlign w:val="center"/>
          </w:tcPr>
          <w:p w14:paraId="4C18EC21" w14:textId="77777777" w:rsidR="0000055D" w:rsidRPr="0000055D" w:rsidRDefault="0000055D" w:rsidP="0000055D">
            <w:pPr>
              <w:pStyle w:val="13"/>
              <w:ind w:firstLineChars="0" w:firstLine="0"/>
              <w:jc w:val="right"/>
              <w:rPr>
                <w:sz w:val="21"/>
                <w:szCs w:val="21"/>
              </w:rPr>
            </w:pPr>
            <w:r w:rsidRPr="0000055D">
              <w:rPr>
                <w:sz w:val="21"/>
                <w:szCs w:val="21"/>
              </w:rPr>
              <w:t>32.18%</w:t>
            </w:r>
          </w:p>
        </w:tc>
        <w:tc>
          <w:tcPr>
            <w:tcW w:w="1383" w:type="dxa"/>
            <w:vAlign w:val="center"/>
          </w:tcPr>
          <w:p w14:paraId="73279D8E" w14:textId="77777777" w:rsidR="0000055D" w:rsidRPr="0000055D" w:rsidRDefault="0000055D" w:rsidP="0000055D">
            <w:pPr>
              <w:pStyle w:val="13"/>
              <w:ind w:firstLineChars="0" w:firstLine="0"/>
              <w:jc w:val="right"/>
              <w:rPr>
                <w:sz w:val="21"/>
                <w:szCs w:val="21"/>
              </w:rPr>
            </w:pPr>
            <w:r w:rsidRPr="0000055D">
              <w:rPr>
                <w:sz w:val="21"/>
                <w:szCs w:val="21"/>
              </w:rPr>
              <w:t>7</w:t>
            </w:r>
          </w:p>
        </w:tc>
      </w:tr>
      <w:tr w:rsidR="0000055D" w:rsidRPr="0000055D" w14:paraId="77B138BD" w14:textId="77777777" w:rsidTr="005F04FE">
        <w:trPr>
          <w:trHeight w:val="261"/>
          <w:jc w:val="center"/>
        </w:trPr>
        <w:tc>
          <w:tcPr>
            <w:tcW w:w="2691" w:type="dxa"/>
            <w:vAlign w:val="center"/>
          </w:tcPr>
          <w:p w14:paraId="5615AA9E" w14:textId="77777777" w:rsidR="0000055D" w:rsidRPr="0000055D" w:rsidRDefault="0000055D" w:rsidP="0000055D">
            <w:pPr>
              <w:pStyle w:val="13"/>
              <w:ind w:firstLineChars="0" w:firstLine="0"/>
              <w:rPr>
                <w:sz w:val="21"/>
                <w:szCs w:val="21"/>
              </w:rPr>
            </w:pPr>
            <w:r w:rsidRPr="0000055D">
              <w:rPr>
                <w:sz w:val="21"/>
                <w:szCs w:val="21"/>
              </w:rPr>
              <w:t>601169.SH</w:t>
            </w:r>
          </w:p>
        </w:tc>
        <w:tc>
          <w:tcPr>
            <w:tcW w:w="2281" w:type="dxa"/>
            <w:vAlign w:val="center"/>
          </w:tcPr>
          <w:p w14:paraId="183F5D8C" w14:textId="77777777" w:rsidR="0000055D" w:rsidRPr="0000055D" w:rsidRDefault="0000055D" w:rsidP="0000055D">
            <w:pPr>
              <w:pStyle w:val="13"/>
              <w:ind w:firstLineChars="0" w:firstLine="0"/>
              <w:rPr>
                <w:sz w:val="21"/>
                <w:szCs w:val="21"/>
              </w:rPr>
            </w:pPr>
            <w:r w:rsidRPr="0000055D">
              <w:rPr>
                <w:sz w:val="21"/>
                <w:szCs w:val="21"/>
              </w:rPr>
              <w:t>北京银行</w:t>
            </w:r>
          </w:p>
        </w:tc>
        <w:tc>
          <w:tcPr>
            <w:tcW w:w="1720" w:type="dxa"/>
            <w:vAlign w:val="center"/>
          </w:tcPr>
          <w:p w14:paraId="51F477C9" w14:textId="77777777" w:rsidR="0000055D" w:rsidRPr="0000055D" w:rsidRDefault="0000055D" w:rsidP="0000055D">
            <w:pPr>
              <w:pStyle w:val="13"/>
              <w:ind w:firstLineChars="0" w:firstLine="0"/>
              <w:jc w:val="right"/>
              <w:rPr>
                <w:sz w:val="21"/>
                <w:szCs w:val="21"/>
              </w:rPr>
            </w:pPr>
            <w:r w:rsidRPr="0000055D">
              <w:rPr>
                <w:sz w:val="21"/>
                <w:szCs w:val="21"/>
              </w:rPr>
              <w:t>20.19%</w:t>
            </w:r>
          </w:p>
        </w:tc>
        <w:tc>
          <w:tcPr>
            <w:tcW w:w="1383" w:type="dxa"/>
            <w:vAlign w:val="center"/>
          </w:tcPr>
          <w:p w14:paraId="2AA42F24" w14:textId="77777777" w:rsidR="0000055D" w:rsidRPr="0000055D" w:rsidRDefault="0000055D" w:rsidP="0000055D">
            <w:pPr>
              <w:pStyle w:val="13"/>
              <w:ind w:firstLineChars="0" w:firstLine="0"/>
              <w:jc w:val="right"/>
              <w:rPr>
                <w:sz w:val="21"/>
                <w:szCs w:val="21"/>
              </w:rPr>
            </w:pPr>
            <w:r w:rsidRPr="0000055D">
              <w:rPr>
                <w:sz w:val="21"/>
                <w:szCs w:val="21"/>
              </w:rPr>
              <w:t>5</w:t>
            </w:r>
          </w:p>
        </w:tc>
      </w:tr>
      <w:tr w:rsidR="0000055D" w:rsidRPr="0000055D" w14:paraId="3DC82F68" w14:textId="77777777" w:rsidTr="005F04FE">
        <w:trPr>
          <w:trHeight w:val="261"/>
          <w:jc w:val="center"/>
        </w:trPr>
        <w:tc>
          <w:tcPr>
            <w:tcW w:w="2691" w:type="dxa"/>
            <w:vAlign w:val="center"/>
          </w:tcPr>
          <w:p w14:paraId="64DAA17F" w14:textId="77777777" w:rsidR="0000055D" w:rsidRPr="0000055D" w:rsidRDefault="0000055D" w:rsidP="0000055D">
            <w:pPr>
              <w:pStyle w:val="13"/>
              <w:ind w:firstLineChars="0" w:firstLine="0"/>
              <w:rPr>
                <w:sz w:val="21"/>
                <w:szCs w:val="21"/>
              </w:rPr>
            </w:pPr>
            <w:r w:rsidRPr="0000055D">
              <w:rPr>
                <w:sz w:val="21"/>
                <w:szCs w:val="21"/>
              </w:rPr>
              <w:t>601998.SH</w:t>
            </w:r>
          </w:p>
        </w:tc>
        <w:tc>
          <w:tcPr>
            <w:tcW w:w="2281" w:type="dxa"/>
            <w:vAlign w:val="center"/>
          </w:tcPr>
          <w:p w14:paraId="32726246" w14:textId="77777777" w:rsidR="0000055D" w:rsidRPr="0000055D" w:rsidRDefault="0000055D" w:rsidP="0000055D">
            <w:pPr>
              <w:pStyle w:val="13"/>
              <w:ind w:firstLineChars="0" w:firstLine="0"/>
              <w:rPr>
                <w:sz w:val="21"/>
                <w:szCs w:val="21"/>
              </w:rPr>
            </w:pPr>
            <w:r w:rsidRPr="0000055D">
              <w:rPr>
                <w:sz w:val="21"/>
                <w:szCs w:val="21"/>
              </w:rPr>
              <w:t>中信银行</w:t>
            </w:r>
          </w:p>
        </w:tc>
        <w:tc>
          <w:tcPr>
            <w:tcW w:w="1720" w:type="dxa"/>
            <w:vAlign w:val="center"/>
          </w:tcPr>
          <w:p w14:paraId="6930E8CD" w14:textId="77777777" w:rsidR="0000055D" w:rsidRPr="0000055D" w:rsidRDefault="0000055D" w:rsidP="0000055D">
            <w:pPr>
              <w:pStyle w:val="13"/>
              <w:ind w:firstLineChars="0" w:firstLine="0"/>
              <w:jc w:val="right"/>
              <w:rPr>
                <w:sz w:val="21"/>
                <w:szCs w:val="21"/>
              </w:rPr>
            </w:pPr>
            <w:r w:rsidRPr="0000055D">
              <w:rPr>
                <w:sz w:val="21"/>
                <w:szCs w:val="21"/>
              </w:rPr>
              <w:t>26.35%</w:t>
            </w:r>
          </w:p>
        </w:tc>
        <w:tc>
          <w:tcPr>
            <w:tcW w:w="1383" w:type="dxa"/>
            <w:vAlign w:val="center"/>
          </w:tcPr>
          <w:p w14:paraId="145FE45B" w14:textId="77777777" w:rsidR="0000055D" w:rsidRPr="0000055D" w:rsidRDefault="0000055D" w:rsidP="0000055D">
            <w:pPr>
              <w:pStyle w:val="13"/>
              <w:ind w:firstLineChars="0" w:firstLine="0"/>
              <w:jc w:val="right"/>
              <w:rPr>
                <w:sz w:val="21"/>
                <w:szCs w:val="21"/>
              </w:rPr>
            </w:pPr>
            <w:r w:rsidRPr="0000055D">
              <w:rPr>
                <w:sz w:val="21"/>
                <w:szCs w:val="21"/>
              </w:rPr>
              <w:t>5</w:t>
            </w:r>
          </w:p>
        </w:tc>
      </w:tr>
      <w:tr w:rsidR="0000055D" w:rsidRPr="0000055D" w14:paraId="3652D688" w14:textId="77777777" w:rsidTr="005F04FE">
        <w:trPr>
          <w:trHeight w:val="261"/>
          <w:jc w:val="center"/>
        </w:trPr>
        <w:tc>
          <w:tcPr>
            <w:tcW w:w="4972" w:type="dxa"/>
            <w:gridSpan w:val="2"/>
            <w:vAlign w:val="center"/>
          </w:tcPr>
          <w:p w14:paraId="43CF7309" w14:textId="77777777" w:rsidR="0000055D" w:rsidRPr="0000055D" w:rsidRDefault="0000055D" w:rsidP="0000055D">
            <w:pPr>
              <w:pStyle w:val="13"/>
              <w:ind w:firstLineChars="0" w:firstLine="0"/>
              <w:rPr>
                <w:sz w:val="21"/>
                <w:szCs w:val="21"/>
              </w:rPr>
            </w:pPr>
            <w:r w:rsidRPr="0000055D">
              <w:rPr>
                <w:sz w:val="21"/>
                <w:szCs w:val="21"/>
              </w:rPr>
              <w:t>合计</w:t>
            </w:r>
          </w:p>
        </w:tc>
        <w:tc>
          <w:tcPr>
            <w:tcW w:w="1720" w:type="dxa"/>
            <w:vAlign w:val="center"/>
          </w:tcPr>
          <w:p w14:paraId="087CFA56" w14:textId="77777777" w:rsidR="0000055D" w:rsidRPr="0000055D" w:rsidRDefault="0000055D" w:rsidP="0000055D">
            <w:pPr>
              <w:pStyle w:val="13"/>
              <w:ind w:firstLineChars="0" w:firstLine="0"/>
              <w:jc w:val="right"/>
              <w:rPr>
                <w:sz w:val="21"/>
                <w:szCs w:val="21"/>
              </w:rPr>
            </w:pPr>
            <w:r w:rsidRPr="0000055D">
              <w:rPr>
                <w:sz w:val="21"/>
                <w:szCs w:val="21"/>
              </w:rPr>
              <w:t>31.91%</w:t>
            </w:r>
          </w:p>
        </w:tc>
        <w:tc>
          <w:tcPr>
            <w:tcW w:w="1383" w:type="dxa"/>
            <w:vAlign w:val="center"/>
          </w:tcPr>
          <w:p w14:paraId="3D9C7575" w14:textId="77777777" w:rsidR="0000055D" w:rsidRPr="0000055D" w:rsidRDefault="0000055D" w:rsidP="0000055D">
            <w:pPr>
              <w:pStyle w:val="13"/>
              <w:ind w:firstLineChars="0" w:firstLine="0"/>
              <w:jc w:val="right"/>
              <w:rPr>
                <w:sz w:val="21"/>
                <w:szCs w:val="21"/>
              </w:rPr>
            </w:pPr>
            <w:r w:rsidRPr="0000055D">
              <w:rPr>
                <w:sz w:val="21"/>
                <w:szCs w:val="21"/>
              </w:rPr>
              <w:t>6</w:t>
            </w:r>
          </w:p>
        </w:tc>
      </w:tr>
    </w:tbl>
    <w:p w14:paraId="5C6049AA" w14:textId="77777777" w:rsidR="0000055D" w:rsidRPr="0000055D" w:rsidRDefault="0000055D" w:rsidP="0000055D">
      <w:pPr>
        <w:pStyle w:val="13"/>
      </w:pPr>
      <w:r w:rsidRPr="0000055D">
        <w:rPr>
          <w:rFonts w:hint="eastAsia"/>
        </w:rPr>
        <w:t>（2）</w:t>
      </w:r>
      <w:r w:rsidRPr="0000055D">
        <w:t>评估对象贷款分析及预测</w:t>
      </w:r>
    </w:p>
    <w:p w14:paraId="74F6D9A5" w14:textId="77777777" w:rsidR="0000055D" w:rsidRPr="0000055D" w:rsidRDefault="0000055D" w:rsidP="0000055D">
      <w:pPr>
        <w:pStyle w:val="13"/>
      </w:pPr>
      <w:r w:rsidRPr="0000055D">
        <w:rPr>
          <w:rFonts w:hint="eastAsia"/>
        </w:rPr>
        <w:t>资产</w:t>
      </w:r>
      <w:r w:rsidRPr="0000055D">
        <w:t>评估师通过尽职调查、访谈和企业提供的盈利预测了解到：企业的贷款平均余额在最近几年中迅速发展，其中企业贷款平均余额在20</w:t>
      </w:r>
      <w:r w:rsidRPr="0000055D">
        <w:rPr>
          <w:rFonts w:hint="eastAsia"/>
        </w:rPr>
        <w:t>y</w:t>
      </w:r>
      <w:r w:rsidRPr="0000055D">
        <w:t>9年增长率达到45%；零售贷款的发展速度也达到了16%；信用卡贷款的发展速度更是达到了224%，综合平均余额达到了40%。预计20x0年综合平均余额达到27%，20x1年达到23%。而贷款年末余额预计在20x0年xx银行因宏观调控，将比20</w:t>
      </w:r>
      <w:r w:rsidRPr="0000055D">
        <w:rPr>
          <w:rFonts w:hint="eastAsia"/>
        </w:rPr>
        <w:t>y</w:t>
      </w:r>
      <w:r w:rsidRPr="0000055D">
        <w:t>9年增长22%，而其中超过50%的贷款已在上半年发放。预计20x1年在宏观调控因素下，企业贷款年末余额增长约为30%。</w:t>
      </w:r>
      <w:r w:rsidRPr="0000055D">
        <w:rPr>
          <w:rFonts w:hint="eastAsia"/>
        </w:rPr>
        <w:t>资产</w:t>
      </w:r>
      <w:r w:rsidRPr="0000055D">
        <w:t>评估</w:t>
      </w:r>
      <w:proofErr w:type="gramStart"/>
      <w:r w:rsidRPr="0000055D">
        <w:t>师结合</w:t>
      </w:r>
      <w:proofErr w:type="gramEnd"/>
      <w:r w:rsidRPr="0000055D">
        <w:t>企业未来发展规划和同业上市银行的发展速度，预计20</w:t>
      </w:r>
      <w:r w:rsidRPr="0000055D">
        <w:rPr>
          <w:rFonts w:hint="eastAsia"/>
        </w:rPr>
        <w:t>x</w:t>
      </w:r>
      <w:r w:rsidRPr="0000055D">
        <w:t>1年后贷款增长水平仍维持在较高的水平，但伴随着企业规模的增加和成熟，增长水平逐步降低并稳定。</w:t>
      </w:r>
    </w:p>
    <w:p w14:paraId="3D087572" w14:textId="77777777" w:rsidR="0000055D" w:rsidRPr="0000055D" w:rsidRDefault="0000055D" w:rsidP="0000055D">
      <w:pPr>
        <w:pStyle w:val="13"/>
      </w:pPr>
      <w:r w:rsidRPr="0000055D">
        <w:t>而同时从20x0年以来企业加强定价管理已逐步出现效果，对各种不同风险级别的客户逐步具有更高的定价能力，使贷款利率有一定幅度的提高。20x0年上半年贷</w:t>
      </w:r>
      <w:r w:rsidRPr="0000055D">
        <w:lastRenderedPageBreak/>
        <w:t>款利率比20</w:t>
      </w:r>
      <w:r w:rsidRPr="0000055D">
        <w:rPr>
          <w:rFonts w:hint="eastAsia"/>
        </w:rPr>
        <w:t>y</w:t>
      </w:r>
      <w:r w:rsidRPr="0000055D">
        <w:t>9年上升13个基点，预计20x0年贷款全年平均利率维持20x0年上半年水平，而20x1年考虑到资本充足率的监管要求，企业将对贷款结构作适当调整，预计贷款综合利率将略有下降，预计20x1年全年贷款平均利率较20x0年下降5个基点。具体盈利预测如下。</w:t>
      </w:r>
    </w:p>
    <w:p w14:paraId="22707FEA" w14:textId="77777777" w:rsidR="005F04FE" w:rsidRDefault="005F04FE" w:rsidP="005F04FE">
      <w:pPr>
        <w:pStyle w:val="13"/>
        <w:jc w:val="center"/>
      </w:pPr>
      <w:r>
        <w:rPr>
          <w:rFonts w:hint="eastAsia"/>
        </w:rPr>
        <w:t>贷款平均余额及利息收入预测表</w:t>
      </w:r>
    </w:p>
    <w:p w14:paraId="361E9208" w14:textId="50E808E7" w:rsidR="00685D93" w:rsidRPr="005F04FE" w:rsidRDefault="005F04FE" w:rsidP="005F04FE">
      <w:pPr>
        <w:pStyle w:val="13"/>
        <w:ind w:firstLine="400"/>
        <w:jc w:val="right"/>
        <w:rPr>
          <w:sz w:val="20"/>
          <w:szCs w:val="20"/>
        </w:rPr>
      </w:pPr>
      <w:r w:rsidRPr="005F04FE">
        <w:rPr>
          <w:rFonts w:hint="eastAsia"/>
          <w:sz w:val="20"/>
          <w:szCs w:val="20"/>
        </w:rPr>
        <w:t>金额单位：百万元</w:t>
      </w:r>
    </w:p>
    <w:tbl>
      <w:tblPr>
        <w:tblW w:w="5000" w:type="pct"/>
        <w:tblLook w:val="04A0" w:firstRow="1" w:lastRow="0" w:firstColumn="1" w:lastColumn="0" w:noHBand="0" w:noVBand="1"/>
      </w:tblPr>
      <w:tblGrid>
        <w:gridCol w:w="1450"/>
        <w:gridCol w:w="1053"/>
        <w:gridCol w:w="888"/>
        <w:gridCol w:w="888"/>
        <w:gridCol w:w="888"/>
        <w:gridCol w:w="888"/>
        <w:gridCol w:w="888"/>
        <w:gridCol w:w="888"/>
        <w:gridCol w:w="889"/>
      </w:tblGrid>
      <w:tr w:rsidR="005F04FE" w:rsidRPr="005F04FE" w14:paraId="3A0B2569" w14:textId="77777777" w:rsidTr="005F04FE">
        <w:trPr>
          <w:trHeight w:val="330"/>
        </w:trPr>
        <w:tc>
          <w:tcPr>
            <w:tcW w:w="831" w:type="pct"/>
            <w:tcBorders>
              <w:top w:val="single" w:sz="4" w:space="0" w:color="auto"/>
              <w:left w:val="single" w:sz="4" w:space="0" w:color="auto"/>
              <w:bottom w:val="single" w:sz="4" w:space="0" w:color="auto"/>
              <w:right w:val="single" w:sz="4" w:space="0" w:color="auto"/>
            </w:tcBorders>
            <w:vAlign w:val="center"/>
          </w:tcPr>
          <w:p w14:paraId="1B351B26" w14:textId="77777777" w:rsidR="005F04FE" w:rsidRPr="005F04FE" w:rsidRDefault="005F04FE" w:rsidP="005F04FE">
            <w:pPr>
              <w:pStyle w:val="13"/>
              <w:ind w:firstLineChars="0" w:firstLine="0"/>
              <w:jc w:val="center"/>
              <w:rPr>
                <w:b/>
                <w:sz w:val="18"/>
                <w:szCs w:val="18"/>
              </w:rPr>
            </w:pPr>
            <w:r w:rsidRPr="005F04FE">
              <w:rPr>
                <w:b/>
                <w:sz w:val="18"/>
                <w:szCs w:val="18"/>
              </w:rPr>
              <w:t>项目</w:t>
            </w:r>
          </w:p>
        </w:tc>
        <w:tc>
          <w:tcPr>
            <w:tcW w:w="604" w:type="pct"/>
            <w:tcBorders>
              <w:top w:val="single" w:sz="4" w:space="0" w:color="auto"/>
              <w:left w:val="nil"/>
              <w:bottom w:val="single" w:sz="4" w:space="0" w:color="auto"/>
              <w:right w:val="single" w:sz="4" w:space="0" w:color="auto"/>
            </w:tcBorders>
            <w:vAlign w:val="center"/>
          </w:tcPr>
          <w:p w14:paraId="5F5F35ED" w14:textId="77777777" w:rsidR="005F04FE" w:rsidRPr="005F04FE" w:rsidRDefault="005F04FE" w:rsidP="005F04FE">
            <w:pPr>
              <w:pStyle w:val="13"/>
              <w:ind w:firstLineChars="0" w:firstLine="0"/>
              <w:jc w:val="center"/>
              <w:rPr>
                <w:b/>
                <w:sz w:val="18"/>
                <w:szCs w:val="18"/>
              </w:rPr>
            </w:pPr>
            <w:r w:rsidRPr="005F04FE">
              <w:rPr>
                <w:b/>
                <w:sz w:val="18"/>
                <w:szCs w:val="18"/>
              </w:rPr>
              <w:t>20x0下</w:t>
            </w:r>
          </w:p>
        </w:tc>
        <w:tc>
          <w:tcPr>
            <w:tcW w:w="509" w:type="pct"/>
            <w:tcBorders>
              <w:top w:val="single" w:sz="4" w:space="0" w:color="auto"/>
              <w:left w:val="nil"/>
              <w:bottom w:val="single" w:sz="4" w:space="0" w:color="auto"/>
              <w:right w:val="single" w:sz="4" w:space="0" w:color="auto"/>
            </w:tcBorders>
            <w:vAlign w:val="center"/>
          </w:tcPr>
          <w:p w14:paraId="62A4BCFB" w14:textId="77777777" w:rsidR="005F04FE" w:rsidRPr="005F04FE" w:rsidRDefault="005F04FE" w:rsidP="005F04FE">
            <w:pPr>
              <w:pStyle w:val="13"/>
              <w:ind w:firstLineChars="0" w:firstLine="0"/>
              <w:jc w:val="center"/>
              <w:rPr>
                <w:b/>
                <w:sz w:val="18"/>
                <w:szCs w:val="18"/>
              </w:rPr>
            </w:pPr>
            <w:r w:rsidRPr="005F04FE">
              <w:rPr>
                <w:b/>
                <w:sz w:val="18"/>
                <w:szCs w:val="18"/>
              </w:rPr>
              <w:t>20x1</w:t>
            </w:r>
          </w:p>
        </w:tc>
        <w:tc>
          <w:tcPr>
            <w:tcW w:w="509" w:type="pct"/>
            <w:tcBorders>
              <w:top w:val="single" w:sz="4" w:space="0" w:color="auto"/>
              <w:left w:val="nil"/>
              <w:bottom w:val="single" w:sz="4" w:space="0" w:color="auto"/>
              <w:right w:val="single" w:sz="4" w:space="0" w:color="auto"/>
            </w:tcBorders>
            <w:vAlign w:val="center"/>
          </w:tcPr>
          <w:p w14:paraId="64F2DAFF" w14:textId="77777777" w:rsidR="005F04FE" w:rsidRPr="005F04FE" w:rsidRDefault="005F04FE" w:rsidP="005F04FE">
            <w:pPr>
              <w:pStyle w:val="13"/>
              <w:ind w:firstLineChars="0" w:firstLine="0"/>
              <w:jc w:val="center"/>
              <w:rPr>
                <w:b/>
                <w:sz w:val="18"/>
                <w:szCs w:val="18"/>
              </w:rPr>
            </w:pPr>
            <w:r w:rsidRPr="005F04FE">
              <w:rPr>
                <w:b/>
                <w:sz w:val="18"/>
                <w:szCs w:val="18"/>
              </w:rPr>
              <w:t>20x2</w:t>
            </w:r>
          </w:p>
        </w:tc>
        <w:tc>
          <w:tcPr>
            <w:tcW w:w="509" w:type="pct"/>
            <w:tcBorders>
              <w:top w:val="single" w:sz="4" w:space="0" w:color="auto"/>
              <w:left w:val="nil"/>
              <w:bottom w:val="single" w:sz="4" w:space="0" w:color="auto"/>
              <w:right w:val="single" w:sz="4" w:space="0" w:color="auto"/>
            </w:tcBorders>
            <w:vAlign w:val="center"/>
          </w:tcPr>
          <w:p w14:paraId="53C86577" w14:textId="77777777" w:rsidR="005F04FE" w:rsidRPr="005F04FE" w:rsidRDefault="005F04FE" w:rsidP="005F04FE">
            <w:pPr>
              <w:pStyle w:val="13"/>
              <w:ind w:firstLineChars="0" w:firstLine="0"/>
              <w:jc w:val="center"/>
              <w:rPr>
                <w:b/>
                <w:sz w:val="18"/>
                <w:szCs w:val="18"/>
              </w:rPr>
            </w:pPr>
            <w:r w:rsidRPr="005F04FE">
              <w:rPr>
                <w:b/>
                <w:sz w:val="18"/>
                <w:szCs w:val="18"/>
              </w:rPr>
              <w:t>20x3</w:t>
            </w:r>
          </w:p>
        </w:tc>
        <w:tc>
          <w:tcPr>
            <w:tcW w:w="509" w:type="pct"/>
            <w:tcBorders>
              <w:top w:val="single" w:sz="4" w:space="0" w:color="auto"/>
              <w:left w:val="nil"/>
              <w:bottom w:val="single" w:sz="4" w:space="0" w:color="auto"/>
              <w:right w:val="single" w:sz="4" w:space="0" w:color="auto"/>
            </w:tcBorders>
            <w:vAlign w:val="center"/>
          </w:tcPr>
          <w:p w14:paraId="49E97799" w14:textId="77777777" w:rsidR="005F04FE" w:rsidRPr="005F04FE" w:rsidRDefault="005F04FE" w:rsidP="005F04FE">
            <w:pPr>
              <w:pStyle w:val="13"/>
              <w:ind w:firstLineChars="0" w:firstLine="0"/>
              <w:jc w:val="center"/>
              <w:rPr>
                <w:b/>
                <w:sz w:val="18"/>
                <w:szCs w:val="18"/>
              </w:rPr>
            </w:pPr>
            <w:r w:rsidRPr="005F04FE">
              <w:rPr>
                <w:b/>
                <w:sz w:val="18"/>
                <w:szCs w:val="18"/>
              </w:rPr>
              <w:t>20x4</w:t>
            </w:r>
          </w:p>
        </w:tc>
        <w:tc>
          <w:tcPr>
            <w:tcW w:w="509" w:type="pct"/>
            <w:tcBorders>
              <w:top w:val="single" w:sz="4" w:space="0" w:color="auto"/>
              <w:left w:val="nil"/>
              <w:bottom w:val="single" w:sz="4" w:space="0" w:color="auto"/>
              <w:right w:val="single" w:sz="4" w:space="0" w:color="auto"/>
            </w:tcBorders>
            <w:vAlign w:val="center"/>
          </w:tcPr>
          <w:p w14:paraId="1C9DFB9B" w14:textId="77777777" w:rsidR="005F04FE" w:rsidRPr="005F04FE" w:rsidRDefault="005F04FE" w:rsidP="005F04FE">
            <w:pPr>
              <w:pStyle w:val="13"/>
              <w:ind w:firstLineChars="0" w:firstLine="0"/>
              <w:jc w:val="center"/>
              <w:rPr>
                <w:b/>
                <w:sz w:val="18"/>
                <w:szCs w:val="18"/>
              </w:rPr>
            </w:pPr>
            <w:r w:rsidRPr="005F04FE">
              <w:rPr>
                <w:b/>
                <w:sz w:val="18"/>
                <w:szCs w:val="18"/>
              </w:rPr>
              <w:t>20x5</w:t>
            </w:r>
          </w:p>
        </w:tc>
        <w:tc>
          <w:tcPr>
            <w:tcW w:w="509" w:type="pct"/>
            <w:tcBorders>
              <w:top w:val="single" w:sz="4" w:space="0" w:color="auto"/>
              <w:left w:val="nil"/>
              <w:bottom w:val="single" w:sz="4" w:space="0" w:color="auto"/>
              <w:right w:val="single" w:sz="4" w:space="0" w:color="auto"/>
            </w:tcBorders>
            <w:vAlign w:val="center"/>
          </w:tcPr>
          <w:p w14:paraId="73CA26AC" w14:textId="77777777" w:rsidR="005F04FE" w:rsidRPr="005F04FE" w:rsidRDefault="005F04FE" w:rsidP="005F04FE">
            <w:pPr>
              <w:pStyle w:val="13"/>
              <w:ind w:firstLineChars="0" w:firstLine="0"/>
              <w:jc w:val="center"/>
              <w:rPr>
                <w:b/>
                <w:sz w:val="18"/>
                <w:szCs w:val="18"/>
              </w:rPr>
            </w:pPr>
            <w:r w:rsidRPr="005F04FE">
              <w:rPr>
                <w:b/>
                <w:sz w:val="18"/>
                <w:szCs w:val="18"/>
              </w:rPr>
              <w:t>20x6</w:t>
            </w:r>
          </w:p>
        </w:tc>
        <w:tc>
          <w:tcPr>
            <w:tcW w:w="510" w:type="pct"/>
            <w:tcBorders>
              <w:top w:val="single" w:sz="4" w:space="0" w:color="auto"/>
              <w:left w:val="nil"/>
              <w:bottom w:val="single" w:sz="4" w:space="0" w:color="auto"/>
              <w:right w:val="single" w:sz="4" w:space="0" w:color="auto"/>
            </w:tcBorders>
            <w:vAlign w:val="center"/>
          </w:tcPr>
          <w:p w14:paraId="2D3A8B9F" w14:textId="77777777" w:rsidR="005F04FE" w:rsidRPr="005F04FE" w:rsidRDefault="005F04FE" w:rsidP="005F04FE">
            <w:pPr>
              <w:pStyle w:val="13"/>
              <w:ind w:firstLineChars="0" w:firstLine="0"/>
              <w:jc w:val="center"/>
              <w:rPr>
                <w:b/>
                <w:sz w:val="18"/>
                <w:szCs w:val="18"/>
              </w:rPr>
            </w:pPr>
            <w:r w:rsidRPr="005F04FE">
              <w:rPr>
                <w:b/>
                <w:sz w:val="18"/>
                <w:szCs w:val="18"/>
              </w:rPr>
              <w:t>20x7</w:t>
            </w:r>
          </w:p>
        </w:tc>
      </w:tr>
      <w:tr w:rsidR="005F04FE" w:rsidRPr="005F04FE" w14:paraId="6D23A651" w14:textId="77777777" w:rsidTr="005F04FE">
        <w:trPr>
          <w:trHeight w:val="330"/>
        </w:trPr>
        <w:tc>
          <w:tcPr>
            <w:tcW w:w="831" w:type="pct"/>
            <w:tcBorders>
              <w:top w:val="nil"/>
              <w:left w:val="single" w:sz="4" w:space="0" w:color="auto"/>
              <w:bottom w:val="single" w:sz="4" w:space="0" w:color="auto"/>
              <w:right w:val="single" w:sz="4" w:space="0" w:color="auto"/>
            </w:tcBorders>
            <w:vAlign w:val="center"/>
          </w:tcPr>
          <w:p w14:paraId="58A6EE08" w14:textId="77777777" w:rsidR="005F04FE" w:rsidRPr="005F04FE" w:rsidRDefault="005F04FE" w:rsidP="005F04FE">
            <w:pPr>
              <w:pStyle w:val="13"/>
              <w:ind w:firstLineChars="0" w:firstLine="0"/>
              <w:rPr>
                <w:sz w:val="18"/>
                <w:szCs w:val="18"/>
              </w:rPr>
            </w:pPr>
            <w:r w:rsidRPr="005F04FE">
              <w:rPr>
                <w:sz w:val="18"/>
                <w:szCs w:val="18"/>
              </w:rPr>
              <w:t>贷款平均余额</w:t>
            </w:r>
          </w:p>
        </w:tc>
        <w:tc>
          <w:tcPr>
            <w:tcW w:w="604" w:type="pct"/>
            <w:tcBorders>
              <w:top w:val="nil"/>
              <w:left w:val="nil"/>
              <w:bottom w:val="single" w:sz="4" w:space="0" w:color="auto"/>
              <w:right w:val="single" w:sz="4" w:space="0" w:color="auto"/>
            </w:tcBorders>
            <w:vAlign w:val="center"/>
          </w:tcPr>
          <w:p w14:paraId="17068E49" w14:textId="77777777" w:rsidR="005F04FE" w:rsidRPr="005F04FE" w:rsidRDefault="005F04FE" w:rsidP="005F04FE">
            <w:pPr>
              <w:pStyle w:val="13"/>
              <w:ind w:firstLineChars="0" w:firstLine="0"/>
              <w:jc w:val="right"/>
              <w:rPr>
                <w:sz w:val="18"/>
                <w:szCs w:val="18"/>
              </w:rPr>
            </w:pPr>
            <w:r w:rsidRPr="005F04FE">
              <w:rPr>
                <w:sz w:val="18"/>
                <w:szCs w:val="18"/>
              </w:rPr>
              <w:t>128,867</w:t>
            </w:r>
          </w:p>
        </w:tc>
        <w:tc>
          <w:tcPr>
            <w:tcW w:w="509" w:type="pct"/>
            <w:tcBorders>
              <w:top w:val="nil"/>
              <w:left w:val="nil"/>
              <w:bottom w:val="single" w:sz="4" w:space="0" w:color="auto"/>
              <w:right w:val="single" w:sz="4" w:space="0" w:color="auto"/>
            </w:tcBorders>
            <w:vAlign w:val="center"/>
          </w:tcPr>
          <w:p w14:paraId="718D5724" w14:textId="77777777" w:rsidR="005F04FE" w:rsidRPr="005F04FE" w:rsidRDefault="005F04FE" w:rsidP="005F04FE">
            <w:pPr>
              <w:pStyle w:val="13"/>
              <w:ind w:firstLineChars="0" w:firstLine="0"/>
              <w:jc w:val="right"/>
              <w:rPr>
                <w:sz w:val="18"/>
                <w:szCs w:val="18"/>
              </w:rPr>
            </w:pPr>
            <w:r w:rsidRPr="005F04FE">
              <w:rPr>
                <w:sz w:val="18"/>
                <w:szCs w:val="18"/>
              </w:rPr>
              <w:t>151,082</w:t>
            </w:r>
          </w:p>
        </w:tc>
        <w:tc>
          <w:tcPr>
            <w:tcW w:w="509" w:type="pct"/>
            <w:tcBorders>
              <w:top w:val="nil"/>
              <w:left w:val="nil"/>
              <w:bottom w:val="single" w:sz="4" w:space="0" w:color="auto"/>
              <w:right w:val="single" w:sz="4" w:space="0" w:color="auto"/>
            </w:tcBorders>
            <w:vAlign w:val="center"/>
          </w:tcPr>
          <w:p w14:paraId="5654EB00" w14:textId="77777777" w:rsidR="005F04FE" w:rsidRPr="005F04FE" w:rsidRDefault="005F04FE" w:rsidP="005F04FE">
            <w:pPr>
              <w:pStyle w:val="13"/>
              <w:ind w:firstLineChars="0" w:firstLine="0"/>
              <w:jc w:val="right"/>
              <w:rPr>
                <w:sz w:val="18"/>
                <w:szCs w:val="18"/>
              </w:rPr>
            </w:pPr>
            <w:r w:rsidRPr="005F04FE">
              <w:rPr>
                <w:sz w:val="18"/>
                <w:szCs w:val="18"/>
              </w:rPr>
              <w:t>178,898</w:t>
            </w:r>
          </w:p>
        </w:tc>
        <w:tc>
          <w:tcPr>
            <w:tcW w:w="509" w:type="pct"/>
            <w:tcBorders>
              <w:top w:val="nil"/>
              <w:left w:val="nil"/>
              <w:bottom w:val="single" w:sz="4" w:space="0" w:color="auto"/>
              <w:right w:val="single" w:sz="4" w:space="0" w:color="auto"/>
            </w:tcBorders>
            <w:vAlign w:val="center"/>
          </w:tcPr>
          <w:p w14:paraId="12C840A2" w14:textId="77777777" w:rsidR="005F04FE" w:rsidRPr="005F04FE" w:rsidRDefault="005F04FE" w:rsidP="005F04FE">
            <w:pPr>
              <w:pStyle w:val="13"/>
              <w:ind w:firstLineChars="0" w:firstLine="0"/>
              <w:jc w:val="right"/>
              <w:rPr>
                <w:sz w:val="18"/>
                <w:szCs w:val="18"/>
              </w:rPr>
            </w:pPr>
            <w:r w:rsidRPr="005F04FE">
              <w:rPr>
                <w:sz w:val="18"/>
                <w:szCs w:val="18"/>
              </w:rPr>
              <w:t>209,872</w:t>
            </w:r>
          </w:p>
        </w:tc>
        <w:tc>
          <w:tcPr>
            <w:tcW w:w="509" w:type="pct"/>
            <w:tcBorders>
              <w:top w:val="nil"/>
              <w:left w:val="nil"/>
              <w:bottom w:val="single" w:sz="4" w:space="0" w:color="auto"/>
              <w:right w:val="single" w:sz="4" w:space="0" w:color="auto"/>
            </w:tcBorders>
            <w:vAlign w:val="center"/>
          </w:tcPr>
          <w:p w14:paraId="27645454" w14:textId="77777777" w:rsidR="005F04FE" w:rsidRPr="005F04FE" w:rsidRDefault="005F04FE" w:rsidP="005F04FE">
            <w:pPr>
              <w:pStyle w:val="13"/>
              <w:ind w:firstLineChars="0" w:firstLine="0"/>
              <w:jc w:val="right"/>
              <w:rPr>
                <w:sz w:val="18"/>
                <w:szCs w:val="18"/>
              </w:rPr>
            </w:pPr>
            <w:r w:rsidRPr="005F04FE">
              <w:rPr>
                <w:sz w:val="18"/>
                <w:szCs w:val="18"/>
              </w:rPr>
              <w:t>240,962</w:t>
            </w:r>
          </w:p>
        </w:tc>
        <w:tc>
          <w:tcPr>
            <w:tcW w:w="509" w:type="pct"/>
            <w:tcBorders>
              <w:top w:val="nil"/>
              <w:left w:val="nil"/>
              <w:bottom w:val="single" w:sz="4" w:space="0" w:color="auto"/>
              <w:right w:val="single" w:sz="4" w:space="0" w:color="auto"/>
            </w:tcBorders>
            <w:vAlign w:val="center"/>
          </w:tcPr>
          <w:p w14:paraId="4F03ED50" w14:textId="77777777" w:rsidR="005F04FE" w:rsidRPr="005F04FE" w:rsidRDefault="005F04FE" w:rsidP="005F04FE">
            <w:pPr>
              <w:pStyle w:val="13"/>
              <w:ind w:firstLineChars="0" w:firstLine="0"/>
              <w:jc w:val="right"/>
              <w:rPr>
                <w:sz w:val="18"/>
                <w:szCs w:val="18"/>
              </w:rPr>
            </w:pPr>
            <w:r w:rsidRPr="005F04FE">
              <w:rPr>
                <w:sz w:val="18"/>
                <w:szCs w:val="18"/>
              </w:rPr>
              <w:t>273,577</w:t>
            </w:r>
          </w:p>
        </w:tc>
        <w:tc>
          <w:tcPr>
            <w:tcW w:w="509" w:type="pct"/>
            <w:tcBorders>
              <w:top w:val="nil"/>
              <w:left w:val="nil"/>
              <w:bottom w:val="single" w:sz="4" w:space="0" w:color="auto"/>
              <w:right w:val="single" w:sz="4" w:space="0" w:color="auto"/>
            </w:tcBorders>
            <w:vAlign w:val="center"/>
          </w:tcPr>
          <w:p w14:paraId="64B3E4E3" w14:textId="77777777" w:rsidR="005F04FE" w:rsidRPr="005F04FE" w:rsidRDefault="005F04FE" w:rsidP="005F04FE">
            <w:pPr>
              <w:pStyle w:val="13"/>
              <w:ind w:firstLineChars="0" w:firstLine="0"/>
              <w:jc w:val="right"/>
              <w:rPr>
                <w:sz w:val="18"/>
                <w:szCs w:val="18"/>
              </w:rPr>
            </w:pPr>
            <w:r w:rsidRPr="005F04FE">
              <w:rPr>
                <w:sz w:val="18"/>
                <w:szCs w:val="18"/>
              </w:rPr>
              <w:t>304,993</w:t>
            </w:r>
          </w:p>
        </w:tc>
        <w:tc>
          <w:tcPr>
            <w:tcW w:w="510" w:type="pct"/>
            <w:tcBorders>
              <w:top w:val="nil"/>
              <w:left w:val="nil"/>
              <w:bottom w:val="single" w:sz="4" w:space="0" w:color="auto"/>
              <w:right w:val="single" w:sz="4" w:space="0" w:color="auto"/>
            </w:tcBorders>
            <w:vAlign w:val="center"/>
          </w:tcPr>
          <w:p w14:paraId="6460B599" w14:textId="77777777" w:rsidR="005F04FE" w:rsidRPr="005F04FE" w:rsidRDefault="005F04FE" w:rsidP="005F04FE">
            <w:pPr>
              <w:pStyle w:val="13"/>
              <w:ind w:firstLineChars="0" w:firstLine="0"/>
              <w:jc w:val="right"/>
              <w:rPr>
                <w:sz w:val="18"/>
                <w:szCs w:val="18"/>
              </w:rPr>
            </w:pPr>
            <w:r w:rsidRPr="005F04FE">
              <w:rPr>
                <w:sz w:val="18"/>
                <w:szCs w:val="18"/>
              </w:rPr>
              <w:t>334,768</w:t>
            </w:r>
          </w:p>
        </w:tc>
      </w:tr>
      <w:tr w:rsidR="005F04FE" w:rsidRPr="005F04FE" w14:paraId="31CC1C7B" w14:textId="77777777" w:rsidTr="005F04FE">
        <w:trPr>
          <w:trHeight w:val="330"/>
        </w:trPr>
        <w:tc>
          <w:tcPr>
            <w:tcW w:w="831" w:type="pct"/>
            <w:tcBorders>
              <w:top w:val="nil"/>
              <w:left w:val="single" w:sz="4" w:space="0" w:color="auto"/>
              <w:bottom w:val="single" w:sz="4" w:space="0" w:color="auto"/>
              <w:right w:val="single" w:sz="4" w:space="0" w:color="auto"/>
            </w:tcBorders>
            <w:vAlign w:val="center"/>
          </w:tcPr>
          <w:p w14:paraId="0BB0554F" w14:textId="77777777" w:rsidR="005F04FE" w:rsidRPr="005F04FE" w:rsidRDefault="005F04FE" w:rsidP="005F04FE">
            <w:pPr>
              <w:pStyle w:val="13"/>
              <w:ind w:firstLineChars="0" w:firstLine="0"/>
              <w:rPr>
                <w:sz w:val="18"/>
                <w:szCs w:val="18"/>
              </w:rPr>
            </w:pPr>
            <w:r w:rsidRPr="005F04FE">
              <w:rPr>
                <w:sz w:val="18"/>
                <w:szCs w:val="18"/>
              </w:rPr>
              <w:t>贷款利息收入</w:t>
            </w:r>
          </w:p>
        </w:tc>
        <w:tc>
          <w:tcPr>
            <w:tcW w:w="604" w:type="pct"/>
            <w:tcBorders>
              <w:top w:val="nil"/>
              <w:left w:val="nil"/>
              <w:bottom w:val="single" w:sz="4" w:space="0" w:color="auto"/>
              <w:right w:val="single" w:sz="4" w:space="0" w:color="auto"/>
            </w:tcBorders>
            <w:vAlign w:val="center"/>
          </w:tcPr>
          <w:p w14:paraId="06C57020" w14:textId="77777777" w:rsidR="005F04FE" w:rsidRPr="005F04FE" w:rsidRDefault="005F04FE" w:rsidP="005F04FE">
            <w:pPr>
              <w:pStyle w:val="13"/>
              <w:ind w:firstLineChars="0" w:firstLine="0"/>
              <w:jc w:val="right"/>
              <w:rPr>
                <w:sz w:val="18"/>
                <w:szCs w:val="18"/>
              </w:rPr>
            </w:pPr>
            <w:r w:rsidRPr="005F04FE">
              <w:rPr>
                <w:sz w:val="18"/>
                <w:szCs w:val="18"/>
              </w:rPr>
              <w:t>3,336</w:t>
            </w:r>
          </w:p>
        </w:tc>
        <w:tc>
          <w:tcPr>
            <w:tcW w:w="509" w:type="pct"/>
            <w:tcBorders>
              <w:top w:val="nil"/>
              <w:left w:val="nil"/>
              <w:bottom w:val="single" w:sz="4" w:space="0" w:color="auto"/>
              <w:right w:val="single" w:sz="4" w:space="0" w:color="auto"/>
            </w:tcBorders>
            <w:vAlign w:val="center"/>
          </w:tcPr>
          <w:p w14:paraId="5F6B267B" w14:textId="77777777" w:rsidR="005F04FE" w:rsidRPr="005F04FE" w:rsidRDefault="005F04FE" w:rsidP="005F04FE">
            <w:pPr>
              <w:pStyle w:val="13"/>
              <w:ind w:firstLineChars="0" w:firstLine="0"/>
              <w:jc w:val="right"/>
              <w:rPr>
                <w:sz w:val="18"/>
                <w:szCs w:val="18"/>
              </w:rPr>
            </w:pPr>
            <w:r w:rsidRPr="005F04FE">
              <w:rPr>
                <w:sz w:val="18"/>
                <w:szCs w:val="18"/>
              </w:rPr>
              <w:t>7,755</w:t>
            </w:r>
          </w:p>
        </w:tc>
        <w:tc>
          <w:tcPr>
            <w:tcW w:w="509" w:type="pct"/>
            <w:tcBorders>
              <w:top w:val="nil"/>
              <w:left w:val="nil"/>
              <w:bottom w:val="single" w:sz="4" w:space="0" w:color="auto"/>
              <w:right w:val="single" w:sz="4" w:space="0" w:color="auto"/>
            </w:tcBorders>
            <w:vAlign w:val="center"/>
          </w:tcPr>
          <w:p w14:paraId="2CB038FE" w14:textId="77777777" w:rsidR="005F04FE" w:rsidRPr="005F04FE" w:rsidRDefault="005F04FE" w:rsidP="005F04FE">
            <w:pPr>
              <w:pStyle w:val="13"/>
              <w:ind w:firstLineChars="0" w:firstLine="0"/>
              <w:jc w:val="right"/>
              <w:rPr>
                <w:sz w:val="18"/>
                <w:szCs w:val="18"/>
              </w:rPr>
            </w:pPr>
            <w:r w:rsidRPr="005F04FE">
              <w:rPr>
                <w:sz w:val="18"/>
                <w:szCs w:val="18"/>
              </w:rPr>
              <w:t>9,183</w:t>
            </w:r>
          </w:p>
        </w:tc>
        <w:tc>
          <w:tcPr>
            <w:tcW w:w="509" w:type="pct"/>
            <w:tcBorders>
              <w:top w:val="nil"/>
              <w:left w:val="nil"/>
              <w:bottom w:val="single" w:sz="4" w:space="0" w:color="auto"/>
              <w:right w:val="single" w:sz="4" w:space="0" w:color="auto"/>
            </w:tcBorders>
            <w:vAlign w:val="center"/>
          </w:tcPr>
          <w:p w14:paraId="7F8728DC" w14:textId="77777777" w:rsidR="005F04FE" w:rsidRPr="005F04FE" w:rsidRDefault="005F04FE" w:rsidP="005F04FE">
            <w:pPr>
              <w:pStyle w:val="13"/>
              <w:ind w:firstLineChars="0" w:firstLine="0"/>
              <w:jc w:val="right"/>
              <w:rPr>
                <w:sz w:val="18"/>
                <w:szCs w:val="18"/>
              </w:rPr>
            </w:pPr>
            <w:r w:rsidRPr="005F04FE">
              <w:rPr>
                <w:sz w:val="18"/>
                <w:szCs w:val="18"/>
              </w:rPr>
              <w:t>10,773</w:t>
            </w:r>
          </w:p>
        </w:tc>
        <w:tc>
          <w:tcPr>
            <w:tcW w:w="509" w:type="pct"/>
            <w:tcBorders>
              <w:top w:val="nil"/>
              <w:left w:val="nil"/>
              <w:bottom w:val="single" w:sz="4" w:space="0" w:color="auto"/>
              <w:right w:val="single" w:sz="4" w:space="0" w:color="auto"/>
            </w:tcBorders>
            <w:vAlign w:val="center"/>
          </w:tcPr>
          <w:p w14:paraId="7F376FC9" w14:textId="77777777" w:rsidR="005F04FE" w:rsidRPr="005F04FE" w:rsidRDefault="005F04FE" w:rsidP="005F04FE">
            <w:pPr>
              <w:pStyle w:val="13"/>
              <w:ind w:firstLineChars="0" w:firstLine="0"/>
              <w:jc w:val="right"/>
              <w:rPr>
                <w:sz w:val="18"/>
                <w:szCs w:val="18"/>
              </w:rPr>
            </w:pPr>
            <w:r w:rsidRPr="005F04FE">
              <w:rPr>
                <w:sz w:val="18"/>
                <w:szCs w:val="18"/>
              </w:rPr>
              <w:t>12,369</w:t>
            </w:r>
          </w:p>
        </w:tc>
        <w:tc>
          <w:tcPr>
            <w:tcW w:w="509" w:type="pct"/>
            <w:tcBorders>
              <w:top w:val="nil"/>
              <w:left w:val="nil"/>
              <w:bottom w:val="single" w:sz="4" w:space="0" w:color="auto"/>
              <w:right w:val="single" w:sz="4" w:space="0" w:color="auto"/>
            </w:tcBorders>
            <w:vAlign w:val="center"/>
          </w:tcPr>
          <w:p w14:paraId="0CC87991" w14:textId="77777777" w:rsidR="005F04FE" w:rsidRPr="005F04FE" w:rsidRDefault="005F04FE" w:rsidP="005F04FE">
            <w:pPr>
              <w:pStyle w:val="13"/>
              <w:ind w:firstLineChars="0" w:firstLine="0"/>
              <w:jc w:val="right"/>
              <w:rPr>
                <w:sz w:val="18"/>
                <w:szCs w:val="18"/>
              </w:rPr>
            </w:pPr>
            <w:r w:rsidRPr="005F04FE">
              <w:rPr>
                <w:sz w:val="18"/>
                <w:szCs w:val="18"/>
              </w:rPr>
              <w:t>14,043</w:t>
            </w:r>
          </w:p>
        </w:tc>
        <w:tc>
          <w:tcPr>
            <w:tcW w:w="509" w:type="pct"/>
            <w:tcBorders>
              <w:top w:val="nil"/>
              <w:left w:val="nil"/>
              <w:bottom w:val="single" w:sz="4" w:space="0" w:color="auto"/>
              <w:right w:val="single" w:sz="4" w:space="0" w:color="auto"/>
            </w:tcBorders>
            <w:vAlign w:val="center"/>
          </w:tcPr>
          <w:p w14:paraId="01EC79C9" w14:textId="77777777" w:rsidR="005F04FE" w:rsidRPr="005F04FE" w:rsidRDefault="005F04FE" w:rsidP="005F04FE">
            <w:pPr>
              <w:pStyle w:val="13"/>
              <w:ind w:firstLineChars="0" w:firstLine="0"/>
              <w:jc w:val="right"/>
              <w:rPr>
                <w:sz w:val="18"/>
                <w:szCs w:val="18"/>
              </w:rPr>
            </w:pPr>
            <w:r w:rsidRPr="005F04FE">
              <w:rPr>
                <w:sz w:val="18"/>
                <w:szCs w:val="18"/>
              </w:rPr>
              <w:t>15,655</w:t>
            </w:r>
          </w:p>
        </w:tc>
        <w:tc>
          <w:tcPr>
            <w:tcW w:w="510" w:type="pct"/>
            <w:tcBorders>
              <w:top w:val="nil"/>
              <w:left w:val="nil"/>
              <w:bottom w:val="single" w:sz="4" w:space="0" w:color="auto"/>
              <w:right w:val="single" w:sz="4" w:space="0" w:color="auto"/>
            </w:tcBorders>
            <w:vAlign w:val="center"/>
          </w:tcPr>
          <w:p w14:paraId="6808B9C8" w14:textId="77777777" w:rsidR="005F04FE" w:rsidRPr="005F04FE" w:rsidRDefault="005F04FE" w:rsidP="005F04FE">
            <w:pPr>
              <w:pStyle w:val="13"/>
              <w:ind w:firstLineChars="0" w:firstLine="0"/>
              <w:jc w:val="right"/>
              <w:rPr>
                <w:sz w:val="18"/>
                <w:szCs w:val="18"/>
              </w:rPr>
            </w:pPr>
            <w:r w:rsidRPr="005F04FE">
              <w:rPr>
                <w:sz w:val="18"/>
                <w:szCs w:val="18"/>
              </w:rPr>
              <w:t>17,184</w:t>
            </w:r>
          </w:p>
        </w:tc>
      </w:tr>
      <w:tr w:rsidR="005F04FE" w:rsidRPr="005F04FE" w14:paraId="11977A9A" w14:textId="77777777" w:rsidTr="005F04FE">
        <w:trPr>
          <w:trHeight w:val="330"/>
        </w:trPr>
        <w:tc>
          <w:tcPr>
            <w:tcW w:w="831" w:type="pct"/>
            <w:tcBorders>
              <w:top w:val="nil"/>
              <w:left w:val="single" w:sz="4" w:space="0" w:color="auto"/>
              <w:bottom w:val="single" w:sz="4" w:space="0" w:color="auto"/>
              <w:right w:val="single" w:sz="4" w:space="0" w:color="auto"/>
            </w:tcBorders>
            <w:vAlign w:val="center"/>
          </w:tcPr>
          <w:p w14:paraId="7E6D5799" w14:textId="77777777" w:rsidR="005F04FE" w:rsidRPr="005F04FE" w:rsidRDefault="005F04FE" w:rsidP="005F04FE">
            <w:pPr>
              <w:pStyle w:val="13"/>
              <w:ind w:firstLineChars="0" w:firstLine="0"/>
              <w:rPr>
                <w:sz w:val="18"/>
                <w:szCs w:val="18"/>
              </w:rPr>
            </w:pPr>
            <w:r w:rsidRPr="005F04FE">
              <w:rPr>
                <w:sz w:val="18"/>
                <w:szCs w:val="18"/>
              </w:rPr>
              <w:t>平均利率(%)</w:t>
            </w:r>
          </w:p>
        </w:tc>
        <w:tc>
          <w:tcPr>
            <w:tcW w:w="604" w:type="pct"/>
            <w:tcBorders>
              <w:top w:val="nil"/>
              <w:left w:val="nil"/>
              <w:bottom w:val="single" w:sz="4" w:space="0" w:color="auto"/>
              <w:right w:val="single" w:sz="4" w:space="0" w:color="auto"/>
            </w:tcBorders>
            <w:vAlign w:val="center"/>
          </w:tcPr>
          <w:p w14:paraId="43C67C45" w14:textId="77777777" w:rsidR="005F04FE" w:rsidRPr="005F04FE" w:rsidRDefault="005F04FE" w:rsidP="005F04FE">
            <w:pPr>
              <w:pStyle w:val="13"/>
              <w:ind w:firstLineChars="0" w:firstLine="0"/>
              <w:jc w:val="right"/>
              <w:rPr>
                <w:sz w:val="18"/>
                <w:szCs w:val="18"/>
              </w:rPr>
            </w:pPr>
            <w:r w:rsidRPr="005F04FE">
              <w:rPr>
                <w:sz w:val="18"/>
                <w:szCs w:val="18"/>
              </w:rPr>
              <w:t>2.59</w:t>
            </w:r>
          </w:p>
        </w:tc>
        <w:tc>
          <w:tcPr>
            <w:tcW w:w="509" w:type="pct"/>
            <w:tcBorders>
              <w:top w:val="nil"/>
              <w:left w:val="nil"/>
              <w:bottom w:val="single" w:sz="4" w:space="0" w:color="auto"/>
              <w:right w:val="single" w:sz="4" w:space="0" w:color="auto"/>
            </w:tcBorders>
            <w:vAlign w:val="center"/>
          </w:tcPr>
          <w:p w14:paraId="309A4E4A" w14:textId="77777777" w:rsidR="005F04FE" w:rsidRPr="005F04FE" w:rsidRDefault="005F04FE" w:rsidP="005F04FE">
            <w:pPr>
              <w:pStyle w:val="13"/>
              <w:ind w:firstLineChars="0" w:firstLine="0"/>
              <w:jc w:val="right"/>
              <w:rPr>
                <w:sz w:val="18"/>
                <w:szCs w:val="18"/>
              </w:rPr>
            </w:pPr>
            <w:r w:rsidRPr="005F04FE">
              <w:rPr>
                <w:sz w:val="18"/>
                <w:szCs w:val="18"/>
              </w:rPr>
              <w:t>5.13</w:t>
            </w:r>
          </w:p>
        </w:tc>
        <w:tc>
          <w:tcPr>
            <w:tcW w:w="509" w:type="pct"/>
            <w:tcBorders>
              <w:top w:val="nil"/>
              <w:left w:val="nil"/>
              <w:bottom w:val="single" w:sz="4" w:space="0" w:color="auto"/>
              <w:right w:val="single" w:sz="4" w:space="0" w:color="auto"/>
            </w:tcBorders>
            <w:vAlign w:val="center"/>
          </w:tcPr>
          <w:p w14:paraId="2ABA43F3" w14:textId="77777777" w:rsidR="005F04FE" w:rsidRPr="005F04FE" w:rsidRDefault="005F04FE" w:rsidP="005F04FE">
            <w:pPr>
              <w:pStyle w:val="13"/>
              <w:ind w:firstLineChars="0" w:firstLine="0"/>
              <w:jc w:val="right"/>
              <w:rPr>
                <w:sz w:val="18"/>
                <w:szCs w:val="18"/>
              </w:rPr>
            </w:pPr>
            <w:r w:rsidRPr="005F04FE">
              <w:rPr>
                <w:sz w:val="18"/>
                <w:szCs w:val="18"/>
              </w:rPr>
              <w:t>5.13</w:t>
            </w:r>
          </w:p>
        </w:tc>
        <w:tc>
          <w:tcPr>
            <w:tcW w:w="509" w:type="pct"/>
            <w:tcBorders>
              <w:top w:val="nil"/>
              <w:left w:val="nil"/>
              <w:bottom w:val="single" w:sz="4" w:space="0" w:color="auto"/>
              <w:right w:val="single" w:sz="4" w:space="0" w:color="auto"/>
            </w:tcBorders>
            <w:vAlign w:val="center"/>
          </w:tcPr>
          <w:p w14:paraId="46CD9DAA" w14:textId="77777777" w:rsidR="005F04FE" w:rsidRPr="005F04FE" w:rsidRDefault="005F04FE" w:rsidP="005F04FE">
            <w:pPr>
              <w:pStyle w:val="13"/>
              <w:ind w:firstLineChars="0" w:firstLine="0"/>
              <w:jc w:val="right"/>
              <w:rPr>
                <w:sz w:val="18"/>
                <w:szCs w:val="18"/>
              </w:rPr>
            </w:pPr>
            <w:r w:rsidRPr="005F04FE">
              <w:rPr>
                <w:sz w:val="18"/>
                <w:szCs w:val="18"/>
              </w:rPr>
              <w:t>5.13</w:t>
            </w:r>
          </w:p>
        </w:tc>
        <w:tc>
          <w:tcPr>
            <w:tcW w:w="509" w:type="pct"/>
            <w:tcBorders>
              <w:top w:val="nil"/>
              <w:left w:val="nil"/>
              <w:bottom w:val="single" w:sz="4" w:space="0" w:color="auto"/>
              <w:right w:val="single" w:sz="4" w:space="0" w:color="auto"/>
            </w:tcBorders>
            <w:vAlign w:val="center"/>
          </w:tcPr>
          <w:p w14:paraId="59265B2C" w14:textId="77777777" w:rsidR="005F04FE" w:rsidRPr="005F04FE" w:rsidRDefault="005F04FE" w:rsidP="005F04FE">
            <w:pPr>
              <w:pStyle w:val="13"/>
              <w:ind w:firstLineChars="0" w:firstLine="0"/>
              <w:jc w:val="right"/>
              <w:rPr>
                <w:sz w:val="18"/>
                <w:szCs w:val="18"/>
              </w:rPr>
            </w:pPr>
            <w:r w:rsidRPr="005F04FE">
              <w:rPr>
                <w:sz w:val="18"/>
                <w:szCs w:val="18"/>
              </w:rPr>
              <w:t>5.13</w:t>
            </w:r>
          </w:p>
        </w:tc>
        <w:tc>
          <w:tcPr>
            <w:tcW w:w="509" w:type="pct"/>
            <w:tcBorders>
              <w:top w:val="nil"/>
              <w:left w:val="nil"/>
              <w:bottom w:val="single" w:sz="4" w:space="0" w:color="auto"/>
              <w:right w:val="single" w:sz="4" w:space="0" w:color="auto"/>
            </w:tcBorders>
            <w:vAlign w:val="center"/>
          </w:tcPr>
          <w:p w14:paraId="2F848DB6" w14:textId="77777777" w:rsidR="005F04FE" w:rsidRPr="005F04FE" w:rsidRDefault="005F04FE" w:rsidP="005F04FE">
            <w:pPr>
              <w:pStyle w:val="13"/>
              <w:ind w:firstLineChars="0" w:firstLine="0"/>
              <w:jc w:val="right"/>
              <w:rPr>
                <w:sz w:val="18"/>
                <w:szCs w:val="18"/>
              </w:rPr>
            </w:pPr>
            <w:r w:rsidRPr="005F04FE">
              <w:rPr>
                <w:sz w:val="18"/>
                <w:szCs w:val="18"/>
              </w:rPr>
              <w:t>5.13</w:t>
            </w:r>
          </w:p>
        </w:tc>
        <w:tc>
          <w:tcPr>
            <w:tcW w:w="509" w:type="pct"/>
            <w:tcBorders>
              <w:top w:val="nil"/>
              <w:left w:val="nil"/>
              <w:bottom w:val="single" w:sz="4" w:space="0" w:color="auto"/>
              <w:right w:val="single" w:sz="4" w:space="0" w:color="auto"/>
            </w:tcBorders>
            <w:vAlign w:val="center"/>
          </w:tcPr>
          <w:p w14:paraId="0B3D5A15" w14:textId="77777777" w:rsidR="005F04FE" w:rsidRPr="005F04FE" w:rsidRDefault="005F04FE" w:rsidP="005F04FE">
            <w:pPr>
              <w:pStyle w:val="13"/>
              <w:ind w:firstLineChars="0" w:firstLine="0"/>
              <w:jc w:val="right"/>
              <w:rPr>
                <w:sz w:val="18"/>
                <w:szCs w:val="18"/>
              </w:rPr>
            </w:pPr>
            <w:r w:rsidRPr="005F04FE">
              <w:rPr>
                <w:sz w:val="18"/>
                <w:szCs w:val="18"/>
              </w:rPr>
              <w:t>5.13</w:t>
            </w:r>
          </w:p>
        </w:tc>
        <w:tc>
          <w:tcPr>
            <w:tcW w:w="510" w:type="pct"/>
            <w:tcBorders>
              <w:top w:val="nil"/>
              <w:left w:val="nil"/>
              <w:bottom w:val="single" w:sz="4" w:space="0" w:color="auto"/>
              <w:right w:val="single" w:sz="4" w:space="0" w:color="auto"/>
            </w:tcBorders>
            <w:vAlign w:val="center"/>
          </w:tcPr>
          <w:p w14:paraId="4BB59EBC" w14:textId="77777777" w:rsidR="005F04FE" w:rsidRPr="005F04FE" w:rsidRDefault="005F04FE" w:rsidP="005F04FE">
            <w:pPr>
              <w:pStyle w:val="13"/>
              <w:ind w:firstLineChars="0" w:firstLine="0"/>
              <w:jc w:val="right"/>
              <w:rPr>
                <w:sz w:val="18"/>
                <w:szCs w:val="18"/>
              </w:rPr>
            </w:pPr>
            <w:r w:rsidRPr="005F04FE">
              <w:rPr>
                <w:sz w:val="18"/>
                <w:szCs w:val="18"/>
              </w:rPr>
              <w:t>5.13</w:t>
            </w:r>
          </w:p>
        </w:tc>
      </w:tr>
    </w:tbl>
    <w:p w14:paraId="634417B8" w14:textId="77777777" w:rsidR="005F04FE" w:rsidRDefault="005F04FE" w:rsidP="005F04FE">
      <w:pPr>
        <w:pStyle w:val="13"/>
      </w:pPr>
      <w:r>
        <w:t>2．手续费及佣金收入预测</w:t>
      </w:r>
    </w:p>
    <w:p w14:paraId="464ED073" w14:textId="77777777" w:rsidR="005F04FE" w:rsidRDefault="005F04FE" w:rsidP="005F04FE">
      <w:pPr>
        <w:pStyle w:val="13"/>
      </w:pPr>
      <w:r>
        <w:t>xx银行的手续费及佣金收入主要为结算和清算手续费收入、代理业务手续费收入、银行卡手续费收入、托管及其他受托业务收入及其他业务收入。</w:t>
      </w:r>
    </w:p>
    <w:p w14:paraId="589FA71D" w14:textId="77777777" w:rsidR="005F04FE" w:rsidRDefault="005F04FE" w:rsidP="005F04FE">
      <w:pPr>
        <w:pStyle w:val="13"/>
      </w:pPr>
      <w:r>
        <w:rPr>
          <w:rFonts w:hint="eastAsia"/>
        </w:rPr>
        <w:t>我国上市银行手续费及佣金净收入的增长速度很快，</w:t>
      </w:r>
      <w:r>
        <w:t>10家上市银行复合增长速度达到了57.18%，资产评估师对xx银行的手续费及佣金收入的预测一方面考虑xx银行自身的因素，另一方面也受此因素的影响。</w:t>
      </w:r>
    </w:p>
    <w:p w14:paraId="03382AAA" w14:textId="7FDAED7B" w:rsidR="00685D93" w:rsidRDefault="005F04FE" w:rsidP="005F04FE">
      <w:pPr>
        <w:pStyle w:val="13"/>
      </w:pPr>
      <w:r>
        <w:rPr>
          <w:rFonts w:hint="eastAsia"/>
        </w:rPr>
        <w:t>（</w:t>
      </w:r>
      <w:r>
        <w:t>1）同行业商业银行手续费及佣金净收入复合增长速度表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276"/>
        <w:gridCol w:w="2595"/>
        <w:gridCol w:w="1311"/>
      </w:tblGrid>
      <w:tr w:rsidR="005F04FE" w:rsidRPr="005F04FE" w14:paraId="6661F70F" w14:textId="77777777" w:rsidTr="00E905CE">
        <w:trPr>
          <w:trHeight w:val="383"/>
          <w:jc w:val="center"/>
        </w:trPr>
        <w:tc>
          <w:tcPr>
            <w:tcW w:w="1455" w:type="pct"/>
            <w:vAlign w:val="center"/>
          </w:tcPr>
          <w:p w14:paraId="3BC48E4F" w14:textId="77777777" w:rsidR="005F04FE" w:rsidRPr="005F04FE" w:rsidRDefault="005F04FE" w:rsidP="00E905CE">
            <w:pPr>
              <w:pStyle w:val="13"/>
              <w:ind w:firstLineChars="0" w:firstLine="0"/>
              <w:jc w:val="center"/>
              <w:rPr>
                <w:b/>
                <w:bCs/>
                <w:sz w:val="21"/>
                <w:szCs w:val="21"/>
              </w:rPr>
            </w:pPr>
            <w:r w:rsidRPr="005F04FE">
              <w:rPr>
                <w:b/>
                <w:bCs/>
                <w:sz w:val="21"/>
                <w:szCs w:val="21"/>
              </w:rPr>
              <w:t>证券代码</w:t>
            </w:r>
          </w:p>
        </w:tc>
        <w:tc>
          <w:tcPr>
            <w:tcW w:w="1305" w:type="pct"/>
            <w:vAlign w:val="center"/>
          </w:tcPr>
          <w:p w14:paraId="7E9438D3" w14:textId="77777777" w:rsidR="005F04FE" w:rsidRPr="005F04FE" w:rsidRDefault="005F04FE" w:rsidP="00E905CE">
            <w:pPr>
              <w:pStyle w:val="13"/>
              <w:ind w:firstLineChars="0" w:firstLine="0"/>
              <w:jc w:val="center"/>
              <w:rPr>
                <w:b/>
                <w:bCs/>
                <w:sz w:val="21"/>
                <w:szCs w:val="21"/>
              </w:rPr>
            </w:pPr>
            <w:r w:rsidRPr="005F04FE">
              <w:rPr>
                <w:b/>
                <w:bCs/>
                <w:sz w:val="21"/>
                <w:szCs w:val="21"/>
              </w:rPr>
              <w:t>证券简称</w:t>
            </w:r>
          </w:p>
        </w:tc>
        <w:tc>
          <w:tcPr>
            <w:tcW w:w="1488" w:type="pct"/>
            <w:vAlign w:val="center"/>
          </w:tcPr>
          <w:p w14:paraId="1754E579" w14:textId="77777777" w:rsidR="005F04FE" w:rsidRPr="005F04FE" w:rsidRDefault="005F04FE" w:rsidP="00E905CE">
            <w:pPr>
              <w:pStyle w:val="13"/>
              <w:ind w:firstLineChars="0" w:firstLine="0"/>
              <w:jc w:val="center"/>
              <w:rPr>
                <w:b/>
                <w:bCs/>
                <w:sz w:val="21"/>
                <w:szCs w:val="21"/>
              </w:rPr>
            </w:pPr>
            <w:r w:rsidRPr="005F04FE">
              <w:rPr>
                <w:b/>
                <w:bCs/>
                <w:sz w:val="21"/>
                <w:szCs w:val="21"/>
              </w:rPr>
              <w:t>手续费及佣金净收入</w:t>
            </w:r>
          </w:p>
        </w:tc>
        <w:tc>
          <w:tcPr>
            <w:tcW w:w="752" w:type="pct"/>
            <w:vAlign w:val="center"/>
          </w:tcPr>
          <w:p w14:paraId="2EF41F4F" w14:textId="77777777" w:rsidR="005F04FE" w:rsidRPr="005F04FE" w:rsidRDefault="005F04FE" w:rsidP="00E905CE">
            <w:pPr>
              <w:pStyle w:val="13"/>
              <w:ind w:firstLineChars="0" w:firstLine="0"/>
              <w:jc w:val="center"/>
              <w:rPr>
                <w:b/>
                <w:bCs/>
                <w:sz w:val="21"/>
                <w:szCs w:val="21"/>
              </w:rPr>
            </w:pPr>
            <w:r w:rsidRPr="005F04FE">
              <w:rPr>
                <w:b/>
                <w:bCs/>
                <w:sz w:val="21"/>
                <w:szCs w:val="21"/>
              </w:rPr>
              <w:t>年限</w:t>
            </w:r>
          </w:p>
        </w:tc>
      </w:tr>
      <w:tr w:rsidR="005F04FE" w:rsidRPr="005F04FE" w14:paraId="71760C5D" w14:textId="77777777" w:rsidTr="00E905CE">
        <w:trPr>
          <w:trHeight w:val="264"/>
          <w:jc w:val="center"/>
        </w:trPr>
        <w:tc>
          <w:tcPr>
            <w:tcW w:w="1455" w:type="pct"/>
            <w:vAlign w:val="center"/>
          </w:tcPr>
          <w:p w14:paraId="574FE0BA" w14:textId="77777777" w:rsidR="005F04FE" w:rsidRPr="005F04FE" w:rsidRDefault="005F04FE" w:rsidP="005F04FE">
            <w:pPr>
              <w:pStyle w:val="13"/>
              <w:ind w:firstLineChars="0" w:firstLine="0"/>
              <w:rPr>
                <w:sz w:val="21"/>
                <w:szCs w:val="21"/>
              </w:rPr>
            </w:pPr>
            <w:r w:rsidRPr="005F04FE">
              <w:rPr>
                <w:sz w:val="21"/>
                <w:szCs w:val="21"/>
              </w:rPr>
              <w:t>000001.SZ</w:t>
            </w:r>
          </w:p>
        </w:tc>
        <w:tc>
          <w:tcPr>
            <w:tcW w:w="1305" w:type="pct"/>
            <w:vAlign w:val="center"/>
          </w:tcPr>
          <w:p w14:paraId="2E6D1717" w14:textId="77777777" w:rsidR="005F04FE" w:rsidRPr="005F04FE" w:rsidRDefault="005F04FE" w:rsidP="005F04FE">
            <w:pPr>
              <w:pStyle w:val="13"/>
              <w:ind w:firstLineChars="0" w:firstLine="0"/>
              <w:rPr>
                <w:sz w:val="21"/>
                <w:szCs w:val="21"/>
              </w:rPr>
            </w:pPr>
            <w:r w:rsidRPr="005F04FE">
              <w:rPr>
                <w:sz w:val="21"/>
                <w:szCs w:val="21"/>
              </w:rPr>
              <w:t>深发展A</w:t>
            </w:r>
          </w:p>
        </w:tc>
        <w:tc>
          <w:tcPr>
            <w:tcW w:w="1488" w:type="pct"/>
            <w:vAlign w:val="center"/>
          </w:tcPr>
          <w:p w14:paraId="2A1B86D4" w14:textId="77777777" w:rsidR="005F04FE" w:rsidRPr="005F04FE" w:rsidRDefault="005F04FE" w:rsidP="005F04FE">
            <w:pPr>
              <w:pStyle w:val="13"/>
              <w:ind w:firstLineChars="0" w:firstLine="0"/>
              <w:jc w:val="right"/>
              <w:rPr>
                <w:sz w:val="21"/>
                <w:szCs w:val="21"/>
              </w:rPr>
            </w:pPr>
            <w:r w:rsidRPr="005F04FE">
              <w:rPr>
                <w:sz w:val="21"/>
                <w:szCs w:val="21"/>
              </w:rPr>
              <w:t>52.77%</w:t>
            </w:r>
          </w:p>
        </w:tc>
        <w:tc>
          <w:tcPr>
            <w:tcW w:w="752" w:type="pct"/>
            <w:vAlign w:val="center"/>
          </w:tcPr>
          <w:p w14:paraId="7D1032B4" w14:textId="77777777" w:rsidR="005F04FE" w:rsidRPr="005F04FE" w:rsidRDefault="005F04FE" w:rsidP="005F04FE">
            <w:pPr>
              <w:pStyle w:val="13"/>
              <w:ind w:firstLineChars="0" w:firstLine="0"/>
              <w:jc w:val="right"/>
              <w:rPr>
                <w:sz w:val="21"/>
                <w:szCs w:val="21"/>
              </w:rPr>
            </w:pPr>
            <w:r w:rsidRPr="005F04FE">
              <w:rPr>
                <w:sz w:val="21"/>
                <w:szCs w:val="21"/>
              </w:rPr>
              <w:t>10</w:t>
            </w:r>
          </w:p>
        </w:tc>
      </w:tr>
      <w:tr w:rsidR="005F04FE" w:rsidRPr="005F04FE" w14:paraId="5146AB4C" w14:textId="77777777" w:rsidTr="00E905CE">
        <w:trPr>
          <w:trHeight w:val="264"/>
          <w:jc w:val="center"/>
        </w:trPr>
        <w:tc>
          <w:tcPr>
            <w:tcW w:w="1455" w:type="pct"/>
            <w:vAlign w:val="center"/>
          </w:tcPr>
          <w:p w14:paraId="58C5380E" w14:textId="77777777" w:rsidR="005F04FE" w:rsidRPr="005F04FE" w:rsidRDefault="005F04FE" w:rsidP="005F04FE">
            <w:pPr>
              <w:pStyle w:val="13"/>
              <w:ind w:firstLineChars="0" w:firstLine="0"/>
              <w:rPr>
                <w:sz w:val="21"/>
                <w:szCs w:val="21"/>
              </w:rPr>
            </w:pPr>
            <w:r w:rsidRPr="005F04FE">
              <w:rPr>
                <w:sz w:val="21"/>
                <w:szCs w:val="21"/>
              </w:rPr>
              <w:t>002142.SZ</w:t>
            </w:r>
          </w:p>
        </w:tc>
        <w:tc>
          <w:tcPr>
            <w:tcW w:w="1305" w:type="pct"/>
            <w:vAlign w:val="center"/>
          </w:tcPr>
          <w:p w14:paraId="21045D0F" w14:textId="77777777" w:rsidR="005F04FE" w:rsidRPr="005F04FE" w:rsidRDefault="005F04FE" w:rsidP="005F04FE">
            <w:pPr>
              <w:pStyle w:val="13"/>
              <w:ind w:firstLineChars="0" w:firstLine="0"/>
              <w:rPr>
                <w:sz w:val="21"/>
                <w:szCs w:val="21"/>
              </w:rPr>
            </w:pPr>
            <w:r w:rsidRPr="005F04FE">
              <w:rPr>
                <w:sz w:val="21"/>
                <w:szCs w:val="21"/>
              </w:rPr>
              <w:t>宁波银行</w:t>
            </w:r>
          </w:p>
        </w:tc>
        <w:tc>
          <w:tcPr>
            <w:tcW w:w="1488" w:type="pct"/>
            <w:vAlign w:val="center"/>
          </w:tcPr>
          <w:p w14:paraId="3F72D879" w14:textId="77777777" w:rsidR="005F04FE" w:rsidRPr="005F04FE" w:rsidRDefault="005F04FE" w:rsidP="005F04FE">
            <w:pPr>
              <w:pStyle w:val="13"/>
              <w:ind w:firstLineChars="0" w:firstLine="0"/>
              <w:jc w:val="right"/>
              <w:rPr>
                <w:sz w:val="21"/>
                <w:szCs w:val="21"/>
              </w:rPr>
            </w:pPr>
            <w:r w:rsidRPr="005F04FE">
              <w:rPr>
                <w:sz w:val="21"/>
                <w:szCs w:val="21"/>
              </w:rPr>
              <w:t>51.53%</w:t>
            </w:r>
          </w:p>
        </w:tc>
        <w:tc>
          <w:tcPr>
            <w:tcW w:w="752" w:type="pct"/>
            <w:vAlign w:val="center"/>
          </w:tcPr>
          <w:p w14:paraId="33E7737F" w14:textId="77777777" w:rsidR="005F04FE" w:rsidRPr="005F04FE" w:rsidRDefault="005F04FE" w:rsidP="005F04FE">
            <w:pPr>
              <w:pStyle w:val="13"/>
              <w:ind w:firstLineChars="0" w:firstLine="0"/>
              <w:jc w:val="right"/>
              <w:rPr>
                <w:sz w:val="21"/>
                <w:szCs w:val="21"/>
              </w:rPr>
            </w:pPr>
            <w:r w:rsidRPr="005F04FE">
              <w:rPr>
                <w:sz w:val="21"/>
                <w:szCs w:val="21"/>
              </w:rPr>
              <w:t>5</w:t>
            </w:r>
          </w:p>
        </w:tc>
      </w:tr>
      <w:tr w:rsidR="005F04FE" w:rsidRPr="005F04FE" w14:paraId="182C168D" w14:textId="77777777" w:rsidTr="00E905CE">
        <w:trPr>
          <w:trHeight w:val="264"/>
          <w:jc w:val="center"/>
        </w:trPr>
        <w:tc>
          <w:tcPr>
            <w:tcW w:w="1455" w:type="pct"/>
            <w:vAlign w:val="center"/>
          </w:tcPr>
          <w:p w14:paraId="1F266C7C" w14:textId="77777777" w:rsidR="005F04FE" w:rsidRPr="005F04FE" w:rsidRDefault="005F04FE" w:rsidP="005F04FE">
            <w:pPr>
              <w:pStyle w:val="13"/>
              <w:ind w:firstLineChars="0" w:firstLine="0"/>
              <w:rPr>
                <w:sz w:val="21"/>
                <w:szCs w:val="21"/>
              </w:rPr>
            </w:pPr>
            <w:r w:rsidRPr="005F04FE">
              <w:rPr>
                <w:sz w:val="21"/>
                <w:szCs w:val="21"/>
              </w:rPr>
              <w:t>600000.SH</w:t>
            </w:r>
          </w:p>
        </w:tc>
        <w:tc>
          <w:tcPr>
            <w:tcW w:w="1305" w:type="pct"/>
            <w:vAlign w:val="center"/>
          </w:tcPr>
          <w:p w14:paraId="201C9DC7" w14:textId="77777777" w:rsidR="005F04FE" w:rsidRPr="005F04FE" w:rsidRDefault="005F04FE" w:rsidP="005F04FE">
            <w:pPr>
              <w:pStyle w:val="13"/>
              <w:ind w:firstLineChars="0" w:firstLine="0"/>
              <w:rPr>
                <w:sz w:val="21"/>
                <w:szCs w:val="21"/>
              </w:rPr>
            </w:pPr>
            <w:r w:rsidRPr="005F04FE">
              <w:rPr>
                <w:sz w:val="21"/>
                <w:szCs w:val="21"/>
              </w:rPr>
              <w:t>浦发银行</w:t>
            </w:r>
          </w:p>
        </w:tc>
        <w:tc>
          <w:tcPr>
            <w:tcW w:w="1488" w:type="pct"/>
            <w:vAlign w:val="center"/>
          </w:tcPr>
          <w:p w14:paraId="04DD8EC6" w14:textId="77777777" w:rsidR="005F04FE" w:rsidRPr="005F04FE" w:rsidRDefault="005F04FE" w:rsidP="005F04FE">
            <w:pPr>
              <w:pStyle w:val="13"/>
              <w:ind w:firstLineChars="0" w:firstLine="0"/>
              <w:jc w:val="right"/>
              <w:rPr>
                <w:sz w:val="21"/>
                <w:szCs w:val="21"/>
              </w:rPr>
            </w:pPr>
            <w:r w:rsidRPr="005F04FE">
              <w:rPr>
                <w:sz w:val="21"/>
                <w:szCs w:val="21"/>
              </w:rPr>
              <w:t>47.43%</w:t>
            </w:r>
          </w:p>
        </w:tc>
        <w:tc>
          <w:tcPr>
            <w:tcW w:w="752" w:type="pct"/>
            <w:vAlign w:val="center"/>
          </w:tcPr>
          <w:p w14:paraId="42BAED3D" w14:textId="77777777" w:rsidR="005F04FE" w:rsidRPr="005F04FE" w:rsidRDefault="005F04FE" w:rsidP="005F04FE">
            <w:pPr>
              <w:pStyle w:val="13"/>
              <w:ind w:firstLineChars="0" w:firstLine="0"/>
              <w:jc w:val="right"/>
              <w:rPr>
                <w:sz w:val="21"/>
                <w:szCs w:val="21"/>
              </w:rPr>
            </w:pPr>
            <w:r w:rsidRPr="005F04FE">
              <w:rPr>
                <w:sz w:val="21"/>
                <w:szCs w:val="21"/>
              </w:rPr>
              <w:t>10</w:t>
            </w:r>
          </w:p>
        </w:tc>
      </w:tr>
      <w:tr w:rsidR="005F04FE" w:rsidRPr="005F04FE" w14:paraId="7CF4F853" w14:textId="77777777" w:rsidTr="00E905CE">
        <w:trPr>
          <w:trHeight w:val="264"/>
          <w:jc w:val="center"/>
        </w:trPr>
        <w:tc>
          <w:tcPr>
            <w:tcW w:w="1455" w:type="pct"/>
            <w:vAlign w:val="center"/>
          </w:tcPr>
          <w:p w14:paraId="6E69ED72" w14:textId="77777777" w:rsidR="005F04FE" w:rsidRPr="005F04FE" w:rsidRDefault="005F04FE" w:rsidP="005F04FE">
            <w:pPr>
              <w:pStyle w:val="13"/>
              <w:ind w:firstLineChars="0" w:firstLine="0"/>
              <w:rPr>
                <w:sz w:val="21"/>
                <w:szCs w:val="21"/>
              </w:rPr>
            </w:pPr>
            <w:r w:rsidRPr="005F04FE">
              <w:rPr>
                <w:sz w:val="21"/>
                <w:szCs w:val="21"/>
              </w:rPr>
              <w:t>600015.SH</w:t>
            </w:r>
          </w:p>
        </w:tc>
        <w:tc>
          <w:tcPr>
            <w:tcW w:w="1305" w:type="pct"/>
            <w:vAlign w:val="center"/>
          </w:tcPr>
          <w:p w14:paraId="70C72087" w14:textId="77777777" w:rsidR="005F04FE" w:rsidRPr="005F04FE" w:rsidRDefault="005F04FE" w:rsidP="005F04FE">
            <w:pPr>
              <w:pStyle w:val="13"/>
              <w:ind w:firstLineChars="0" w:firstLine="0"/>
              <w:rPr>
                <w:sz w:val="21"/>
                <w:szCs w:val="21"/>
              </w:rPr>
            </w:pPr>
            <w:r w:rsidRPr="005F04FE">
              <w:rPr>
                <w:sz w:val="21"/>
                <w:szCs w:val="21"/>
              </w:rPr>
              <w:t>华夏银行</w:t>
            </w:r>
          </w:p>
        </w:tc>
        <w:tc>
          <w:tcPr>
            <w:tcW w:w="1488" w:type="pct"/>
            <w:vAlign w:val="center"/>
          </w:tcPr>
          <w:p w14:paraId="2237CD76" w14:textId="77777777" w:rsidR="005F04FE" w:rsidRPr="005F04FE" w:rsidRDefault="005F04FE" w:rsidP="005F04FE">
            <w:pPr>
              <w:pStyle w:val="13"/>
              <w:ind w:firstLineChars="0" w:firstLine="0"/>
              <w:jc w:val="right"/>
              <w:rPr>
                <w:sz w:val="21"/>
                <w:szCs w:val="21"/>
              </w:rPr>
            </w:pPr>
            <w:r w:rsidRPr="005F04FE">
              <w:rPr>
                <w:sz w:val="21"/>
                <w:szCs w:val="21"/>
              </w:rPr>
              <w:t>36.27%</w:t>
            </w:r>
          </w:p>
        </w:tc>
        <w:tc>
          <w:tcPr>
            <w:tcW w:w="752" w:type="pct"/>
            <w:vAlign w:val="center"/>
          </w:tcPr>
          <w:p w14:paraId="51D1E96E" w14:textId="77777777" w:rsidR="005F04FE" w:rsidRPr="005F04FE" w:rsidRDefault="005F04FE" w:rsidP="005F04FE">
            <w:pPr>
              <w:pStyle w:val="13"/>
              <w:ind w:firstLineChars="0" w:firstLine="0"/>
              <w:jc w:val="right"/>
              <w:rPr>
                <w:sz w:val="21"/>
                <w:szCs w:val="21"/>
              </w:rPr>
            </w:pPr>
            <w:r w:rsidRPr="005F04FE">
              <w:rPr>
                <w:sz w:val="21"/>
                <w:szCs w:val="21"/>
              </w:rPr>
              <w:t>9</w:t>
            </w:r>
          </w:p>
        </w:tc>
      </w:tr>
      <w:tr w:rsidR="005F04FE" w:rsidRPr="005F04FE" w14:paraId="26CA6115" w14:textId="77777777" w:rsidTr="00E905CE">
        <w:trPr>
          <w:trHeight w:val="264"/>
          <w:jc w:val="center"/>
        </w:trPr>
        <w:tc>
          <w:tcPr>
            <w:tcW w:w="1455" w:type="pct"/>
            <w:vAlign w:val="center"/>
          </w:tcPr>
          <w:p w14:paraId="5CE78069" w14:textId="77777777" w:rsidR="005F04FE" w:rsidRPr="005F04FE" w:rsidRDefault="005F04FE" w:rsidP="005F04FE">
            <w:pPr>
              <w:pStyle w:val="13"/>
              <w:ind w:firstLineChars="0" w:firstLine="0"/>
              <w:rPr>
                <w:sz w:val="21"/>
                <w:szCs w:val="21"/>
              </w:rPr>
            </w:pPr>
            <w:r w:rsidRPr="005F04FE">
              <w:rPr>
                <w:sz w:val="21"/>
                <w:szCs w:val="21"/>
              </w:rPr>
              <w:t>600016.SH</w:t>
            </w:r>
          </w:p>
        </w:tc>
        <w:tc>
          <w:tcPr>
            <w:tcW w:w="1305" w:type="pct"/>
            <w:vAlign w:val="center"/>
          </w:tcPr>
          <w:p w14:paraId="38362A84" w14:textId="77777777" w:rsidR="005F04FE" w:rsidRPr="005F04FE" w:rsidRDefault="005F04FE" w:rsidP="005F04FE">
            <w:pPr>
              <w:pStyle w:val="13"/>
              <w:ind w:firstLineChars="0" w:firstLine="0"/>
              <w:rPr>
                <w:sz w:val="21"/>
                <w:szCs w:val="21"/>
              </w:rPr>
            </w:pPr>
            <w:r w:rsidRPr="005F04FE">
              <w:rPr>
                <w:sz w:val="21"/>
                <w:szCs w:val="21"/>
              </w:rPr>
              <w:t>民生银行</w:t>
            </w:r>
          </w:p>
        </w:tc>
        <w:tc>
          <w:tcPr>
            <w:tcW w:w="1488" w:type="pct"/>
            <w:vAlign w:val="center"/>
          </w:tcPr>
          <w:p w14:paraId="1109D2C9" w14:textId="77777777" w:rsidR="005F04FE" w:rsidRPr="005F04FE" w:rsidRDefault="005F04FE" w:rsidP="005F04FE">
            <w:pPr>
              <w:pStyle w:val="13"/>
              <w:ind w:firstLineChars="0" w:firstLine="0"/>
              <w:jc w:val="right"/>
              <w:rPr>
                <w:sz w:val="21"/>
                <w:szCs w:val="21"/>
              </w:rPr>
            </w:pPr>
            <w:r w:rsidRPr="005F04FE">
              <w:rPr>
                <w:sz w:val="21"/>
                <w:szCs w:val="21"/>
              </w:rPr>
              <w:t>81.40%</w:t>
            </w:r>
          </w:p>
        </w:tc>
        <w:tc>
          <w:tcPr>
            <w:tcW w:w="752" w:type="pct"/>
            <w:vAlign w:val="center"/>
          </w:tcPr>
          <w:p w14:paraId="40E831C6" w14:textId="77777777" w:rsidR="005F04FE" w:rsidRPr="005F04FE" w:rsidRDefault="005F04FE" w:rsidP="005F04FE">
            <w:pPr>
              <w:pStyle w:val="13"/>
              <w:ind w:firstLineChars="0" w:firstLine="0"/>
              <w:jc w:val="right"/>
              <w:rPr>
                <w:sz w:val="21"/>
                <w:szCs w:val="21"/>
              </w:rPr>
            </w:pPr>
            <w:r w:rsidRPr="005F04FE">
              <w:rPr>
                <w:sz w:val="21"/>
                <w:szCs w:val="21"/>
              </w:rPr>
              <w:t>10</w:t>
            </w:r>
          </w:p>
        </w:tc>
      </w:tr>
      <w:tr w:rsidR="005F04FE" w:rsidRPr="005F04FE" w14:paraId="26A52C84" w14:textId="77777777" w:rsidTr="00E905CE">
        <w:trPr>
          <w:trHeight w:val="264"/>
          <w:jc w:val="center"/>
        </w:trPr>
        <w:tc>
          <w:tcPr>
            <w:tcW w:w="1455" w:type="pct"/>
            <w:vAlign w:val="center"/>
          </w:tcPr>
          <w:p w14:paraId="3CFB288A" w14:textId="77777777" w:rsidR="005F04FE" w:rsidRPr="005F04FE" w:rsidRDefault="005F04FE" w:rsidP="005F04FE">
            <w:pPr>
              <w:pStyle w:val="13"/>
              <w:ind w:firstLineChars="0" w:firstLine="0"/>
              <w:rPr>
                <w:sz w:val="21"/>
                <w:szCs w:val="21"/>
              </w:rPr>
            </w:pPr>
            <w:r w:rsidRPr="005F04FE">
              <w:rPr>
                <w:sz w:val="21"/>
                <w:szCs w:val="21"/>
              </w:rPr>
              <w:t>600036.SH</w:t>
            </w:r>
          </w:p>
        </w:tc>
        <w:tc>
          <w:tcPr>
            <w:tcW w:w="1305" w:type="pct"/>
            <w:vAlign w:val="center"/>
          </w:tcPr>
          <w:p w14:paraId="0A4EFBAB" w14:textId="77777777" w:rsidR="005F04FE" w:rsidRPr="005F04FE" w:rsidRDefault="005F04FE" w:rsidP="005F04FE">
            <w:pPr>
              <w:pStyle w:val="13"/>
              <w:ind w:firstLineChars="0" w:firstLine="0"/>
              <w:rPr>
                <w:sz w:val="21"/>
                <w:szCs w:val="21"/>
              </w:rPr>
            </w:pPr>
            <w:r w:rsidRPr="005F04FE">
              <w:rPr>
                <w:sz w:val="21"/>
                <w:szCs w:val="21"/>
              </w:rPr>
              <w:t>招商银行</w:t>
            </w:r>
          </w:p>
        </w:tc>
        <w:tc>
          <w:tcPr>
            <w:tcW w:w="1488" w:type="pct"/>
            <w:vAlign w:val="center"/>
          </w:tcPr>
          <w:p w14:paraId="1319982E" w14:textId="77777777" w:rsidR="005F04FE" w:rsidRPr="005F04FE" w:rsidRDefault="005F04FE" w:rsidP="005F04FE">
            <w:pPr>
              <w:pStyle w:val="13"/>
              <w:ind w:firstLineChars="0" w:firstLine="0"/>
              <w:jc w:val="right"/>
              <w:rPr>
                <w:sz w:val="21"/>
                <w:szCs w:val="21"/>
              </w:rPr>
            </w:pPr>
            <w:r w:rsidRPr="005F04FE">
              <w:rPr>
                <w:sz w:val="21"/>
                <w:szCs w:val="21"/>
              </w:rPr>
              <w:t>49.31%</w:t>
            </w:r>
          </w:p>
        </w:tc>
        <w:tc>
          <w:tcPr>
            <w:tcW w:w="752" w:type="pct"/>
            <w:vAlign w:val="center"/>
          </w:tcPr>
          <w:p w14:paraId="57EFD402" w14:textId="77777777" w:rsidR="005F04FE" w:rsidRPr="005F04FE" w:rsidRDefault="005F04FE" w:rsidP="005F04FE">
            <w:pPr>
              <w:pStyle w:val="13"/>
              <w:ind w:firstLineChars="0" w:firstLine="0"/>
              <w:jc w:val="right"/>
              <w:rPr>
                <w:sz w:val="21"/>
                <w:szCs w:val="21"/>
              </w:rPr>
            </w:pPr>
            <w:r w:rsidRPr="005F04FE">
              <w:rPr>
                <w:sz w:val="21"/>
                <w:szCs w:val="21"/>
              </w:rPr>
              <w:t>10</w:t>
            </w:r>
          </w:p>
        </w:tc>
      </w:tr>
      <w:tr w:rsidR="005F04FE" w:rsidRPr="005F04FE" w14:paraId="0977A4D0" w14:textId="77777777" w:rsidTr="00E905CE">
        <w:trPr>
          <w:trHeight w:val="264"/>
          <w:jc w:val="center"/>
        </w:trPr>
        <w:tc>
          <w:tcPr>
            <w:tcW w:w="1455" w:type="pct"/>
            <w:vAlign w:val="center"/>
          </w:tcPr>
          <w:p w14:paraId="29A98AFD" w14:textId="77777777" w:rsidR="005F04FE" w:rsidRPr="005F04FE" w:rsidRDefault="005F04FE" w:rsidP="005F04FE">
            <w:pPr>
              <w:pStyle w:val="13"/>
              <w:ind w:firstLineChars="0" w:firstLine="0"/>
              <w:rPr>
                <w:sz w:val="21"/>
                <w:szCs w:val="21"/>
              </w:rPr>
            </w:pPr>
            <w:r w:rsidRPr="005F04FE">
              <w:rPr>
                <w:sz w:val="21"/>
                <w:szCs w:val="21"/>
              </w:rPr>
              <w:t>601009.SH</w:t>
            </w:r>
          </w:p>
        </w:tc>
        <w:tc>
          <w:tcPr>
            <w:tcW w:w="1305" w:type="pct"/>
            <w:vAlign w:val="center"/>
          </w:tcPr>
          <w:p w14:paraId="6845C6E0" w14:textId="77777777" w:rsidR="005F04FE" w:rsidRPr="005F04FE" w:rsidRDefault="005F04FE" w:rsidP="005F04FE">
            <w:pPr>
              <w:pStyle w:val="13"/>
              <w:ind w:firstLineChars="0" w:firstLine="0"/>
              <w:rPr>
                <w:sz w:val="21"/>
                <w:szCs w:val="21"/>
              </w:rPr>
            </w:pPr>
            <w:r w:rsidRPr="005F04FE">
              <w:rPr>
                <w:sz w:val="21"/>
                <w:szCs w:val="21"/>
              </w:rPr>
              <w:t>南京银行</w:t>
            </w:r>
          </w:p>
        </w:tc>
        <w:tc>
          <w:tcPr>
            <w:tcW w:w="1488" w:type="pct"/>
            <w:vAlign w:val="center"/>
          </w:tcPr>
          <w:p w14:paraId="57EB7DB4" w14:textId="77777777" w:rsidR="005F04FE" w:rsidRPr="005F04FE" w:rsidRDefault="005F04FE" w:rsidP="005F04FE">
            <w:pPr>
              <w:pStyle w:val="13"/>
              <w:ind w:firstLineChars="0" w:firstLine="0"/>
              <w:jc w:val="right"/>
              <w:rPr>
                <w:sz w:val="21"/>
                <w:szCs w:val="21"/>
              </w:rPr>
            </w:pPr>
            <w:r w:rsidRPr="005F04FE">
              <w:rPr>
                <w:sz w:val="21"/>
                <w:szCs w:val="21"/>
              </w:rPr>
              <w:t>53.93%</w:t>
            </w:r>
          </w:p>
        </w:tc>
        <w:tc>
          <w:tcPr>
            <w:tcW w:w="752" w:type="pct"/>
            <w:vAlign w:val="center"/>
          </w:tcPr>
          <w:p w14:paraId="004245AD" w14:textId="77777777" w:rsidR="005F04FE" w:rsidRPr="005F04FE" w:rsidRDefault="005F04FE" w:rsidP="005F04FE">
            <w:pPr>
              <w:pStyle w:val="13"/>
              <w:ind w:firstLineChars="0" w:firstLine="0"/>
              <w:jc w:val="right"/>
              <w:rPr>
                <w:sz w:val="21"/>
                <w:szCs w:val="21"/>
              </w:rPr>
            </w:pPr>
            <w:r w:rsidRPr="005F04FE">
              <w:rPr>
                <w:sz w:val="21"/>
                <w:szCs w:val="21"/>
              </w:rPr>
              <w:t>7</w:t>
            </w:r>
          </w:p>
        </w:tc>
      </w:tr>
      <w:tr w:rsidR="005F04FE" w:rsidRPr="005F04FE" w14:paraId="6590A2AA" w14:textId="77777777" w:rsidTr="00E905CE">
        <w:trPr>
          <w:trHeight w:val="264"/>
          <w:jc w:val="center"/>
        </w:trPr>
        <w:tc>
          <w:tcPr>
            <w:tcW w:w="1455" w:type="pct"/>
            <w:vAlign w:val="center"/>
          </w:tcPr>
          <w:p w14:paraId="4DFA846C" w14:textId="77777777" w:rsidR="005F04FE" w:rsidRPr="005F04FE" w:rsidRDefault="005F04FE" w:rsidP="005F04FE">
            <w:pPr>
              <w:pStyle w:val="13"/>
              <w:ind w:firstLineChars="0" w:firstLine="0"/>
              <w:rPr>
                <w:sz w:val="21"/>
                <w:szCs w:val="21"/>
              </w:rPr>
            </w:pPr>
            <w:r w:rsidRPr="005F04FE">
              <w:rPr>
                <w:sz w:val="21"/>
                <w:szCs w:val="21"/>
              </w:rPr>
              <w:t>601166.SH</w:t>
            </w:r>
          </w:p>
        </w:tc>
        <w:tc>
          <w:tcPr>
            <w:tcW w:w="1305" w:type="pct"/>
            <w:vAlign w:val="center"/>
          </w:tcPr>
          <w:p w14:paraId="1EB708AE" w14:textId="77777777" w:rsidR="005F04FE" w:rsidRPr="005F04FE" w:rsidRDefault="005F04FE" w:rsidP="005F04FE">
            <w:pPr>
              <w:pStyle w:val="13"/>
              <w:ind w:firstLineChars="0" w:firstLine="0"/>
              <w:rPr>
                <w:sz w:val="21"/>
                <w:szCs w:val="21"/>
              </w:rPr>
            </w:pPr>
            <w:r w:rsidRPr="005F04FE">
              <w:rPr>
                <w:sz w:val="21"/>
                <w:szCs w:val="21"/>
              </w:rPr>
              <w:t>兴业银行</w:t>
            </w:r>
          </w:p>
        </w:tc>
        <w:tc>
          <w:tcPr>
            <w:tcW w:w="1488" w:type="pct"/>
            <w:vAlign w:val="center"/>
          </w:tcPr>
          <w:p w14:paraId="6ED4C384" w14:textId="77777777" w:rsidR="005F04FE" w:rsidRPr="005F04FE" w:rsidRDefault="005F04FE" w:rsidP="005F04FE">
            <w:pPr>
              <w:pStyle w:val="13"/>
              <w:ind w:firstLineChars="0" w:firstLine="0"/>
              <w:jc w:val="right"/>
              <w:rPr>
                <w:sz w:val="21"/>
                <w:szCs w:val="21"/>
              </w:rPr>
            </w:pPr>
            <w:r w:rsidRPr="005F04FE">
              <w:rPr>
                <w:sz w:val="21"/>
                <w:szCs w:val="21"/>
              </w:rPr>
              <w:t>71.26%</w:t>
            </w:r>
          </w:p>
        </w:tc>
        <w:tc>
          <w:tcPr>
            <w:tcW w:w="752" w:type="pct"/>
            <w:vAlign w:val="center"/>
          </w:tcPr>
          <w:p w14:paraId="735D83A7" w14:textId="77777777" w:rsidR="005F04FE" w:rsidRPr="005F04FE" w:rsidRDefault="005F04FE" w:rsidP="005F04FE">
            <w:pPr>
              <w:pStyle w:val="13"/>
              <w:ind w:firstLineChars="0" w:firstLine="0"/>
              <w:jc w:val="right"/>
              <w:rPr>
                <w:sz w:val="21"/>
                <w:szCs w:val="21"/>
              </w:rPr>
            </w:pPr>
            <w:r w:rsidRPr="005F04FE">
              <w:rPr>
                <w:sz w:val="21"/>
                <w:szCs w:val="21"/>
              </w:rPr>
              <w:t>7</w:t>
            </w:r>
          </w:p>
        </w:tc>
      </w:tr>
      <w:tr w:rsidR="005F04FE" w:rsidRPr="005F04FE" w14:paraId="017E459F" w14:textId="77777777" w:rsidTr="00E905CE">
        <w:trPr>
          <w:trHeight w:val="264"/>
          <w:jc w:val="center"/>
        </w:trPr>
        <w:tc>
          <w:tcPr>
            <w:tcW w:w="1455" w:type="pct"/>
            <w:vAlign w:val="center"/>
          </w:tcPr>
          <w:p w14:paraId="78BD3D7A" w14:textId="77777777" w:rsidR="005F04FE" w:rsidRPr="005F04FE" w:rsidRDefault="005F04FE" w:rsidP="005F04FE">
            <w:pPr>
              <w:pStyle w:val="13"/>
              <w:ind w:firstLineChars="0" w:firstLine="0"/>
              <w:rPr>
                <w:sz w:val="21"/>
                <w:szCs w:val="21"/>
              </w:rPr>
            </w:pPr>
            <w:r w:rsidRPr="005F04FE">
              <w:rPr>
                <w:sz w:val="21"/>
                <w:szCs w:val="21"/>
              </w:rPr>
              <w:t>601169.SH</w:t>
            </w:r>
          </w:p>
        </w:tc>
        <w:tc>
          <w:tcPr>
            <w:tcW w:w="1305" w:type="pct"/>
            <w:vAlign w:val="center"/>
          </w:tcPr>
          <w:p w14:paraId="0EEC7CD7" w14:textId="77777777" w:rsidR="005F04FE" w:rsidRPr="005F04FE" w:rsidRDefault="005F04FE" w:rsidP="005F04FE">
            <w:pPr>
              <w:pStyle w:val="13"/>
              <w:ind w:firstLineChars="0" w:firstLine="0"/>
              <w:rPr>
                <w:sz w:val="21"/>
                <w:szCs w:val="21"/>
              </w:rPr>
            </w:pPr>
            <w:r w:rsidRPr="005F04FE">
              <w:rPr>
                <w:sz w:val="21"/>
                <w:szCs w:val="21"/>
              </w:rPr>
              <w:t>北京银行</w:t>
            </w:r>
          </w:p>
        </w:tc>
        <w:tc>
          <w:tcPr>
            <w:tcW w:w="1488" w:type="pct"/>
            <w:vAlign w:val="center"/>
          </w:tcPr>
          <w:p w14:paraId="217DFFFA" w14:textId="77777777" w:rsidR="005F04FE" w:rsidRPr="005F04FE" w:rsidRDefault="005F04FE" w:rsidP="005F04FE">
            <w:pPr>
              <w:pStyle w:val="13"/>
              <w:ind w:firstLineChars="0" w:firstLine="0"/>
              <w:jc w:val="right"/>
              <w:rPr>
                <w:sz w:val="21"/>
                <w:szCs w:val="21"/>
              </w:rPr>
            </w:pPr>
            <w:r w:rsidRPr="005F04FE">
              <w:rPr>
                <w:sz w:val="21"/>
                <w:szCs w:val="21"/>
              </w:rPr>
              <w:t>68.44%</w:t>
            </w:r>
          </w:p>
        </w:tc>
        <w:tc>
          <w:tcPr>
            <w:tcW w:w="752" w:type="pct"/>
            <w:vAlign w:val="center"/>
          </w:tcPr>
          <w:p w14:paraId="79D1D250" w14:textId="77777777" w:rsidR="005F04FE" w:rsidRPr="005F04FE" w:rsidRDefault="005F04FE" w:rsidP="005F04FE">
            <w:pPr>
              <w:pStyle w:val="13"/>
              <w:ind w:firstLineChars="0" w:firstLine="0"/>
              <w:jc w:val="right"/>
              <w:rPr>
                <w:sz w:val="21"/>
                <w:szCs w:val="21"/>
              </w:rPr>
            </w:pPr>
            <w:r w:rsidRPr="005F04FE">
              <w:rPr>
                <w:sz w:val="21"/>
                <w:szCs w:val="21"/>
              </w:rPr>
              <w:t>5</w:t>
            </w:r>
          </w:p>
        </w:tc>
      </w:tr>
      <w:tr w:rsidR="005F04FE" w:rsidRPr="005F04FE" w14:paraId="65BE3FA8" w14:textId="77777777" w:rsidTr="00E905CE">
        <w:trPr>
          <w:trHeight w:val="264"/>
          <w:jc w:val="center"/>
        </w:trPr>
        <w:tc>
          <w:tcPr>
            <w:tcW w:w="1455" w:type="pct"/>
            <w:vAlign w:val="center"/>
          </w:tcPr>
          <w:p w14:paraId="6441904B" w14:textId="77777777" w:rsidR="005F04FE" w:rsidRPr="005F04FE" w:rsidRDefault="005F04FE" w:rsidP="005F04FE">
            <w:pPr>
              <w:pStyle w:val="13"/>
              <w:ind w:firstLineChars="0" w:firstLine="0"/>
              <w:rPr>
                <w:sz w:val="21"/>
                <w:szCs w:val="21"/>
              </w:rPr>
            </w:pPr>
            <w:r w:rsidRPr="005F04FE">
              <w:rPr>
                <w:sz w:val="21"/>
                <w:szCs w:val="21"/>
              </w:rPr>
              <w:t>601998.SH</w:t>
            </w:r>
          </w:p>
        </w:tc>
        <w:tc>
          <w:tcPr>
            <w:tcW w:w="1305" w:type="pct"/>
            <w:vAlign w:val="center"/>
          </w:tcPr>
          <w:p w14:paraId="42497B8B" w14:textId="77777777" w:rsidR="005F04FE" w:rsidRPr="005F04FE" w:rsidRDefault="005F04FE" w:rsidP="005F04FE">
            <w:pPr>
              <w:pStyle w:val="13"/>
              <w:ind w:firstLineChars="0" w:firstLine="0"/>
              <w:rPr>
                <w:sz w:val="21"/>
                <w:szCs w:val="21"/>
              </w:rPr>
            </w:pPr>
            <w:r w:rsidRPr="005F04FE">
              <w:rPr>
                <w:sz w:val="21"/>
                <w:szCs w:val="21"/>
              </w:rPr>
              <w:t>中信银行</w:t>
            </w:r>
          </w:p>
        </w:tc>
        <w:tc>
          <w:tcPr>
            <w:tcW w:w="1488" w:type="pct"/>
            <w:vAlign w:val="center"/>
          </w:tcPr>
          <w:p w14:paraId="181550D3" w14:textId="77777777" w:rsidR="005F04FE" w:rsidRPr="005F04FE" w:rsidRDefault="005F04FE" w:rsidP="005F04FE">
            <w:pPr>
              <w:pStyle w:val="13"/>
              <w:ind w:firstLineChars="0" w:firstLine="0"/>
              <w:jc w:val="right"/>
              <w:rPr>
                <w:sz w:val="21"/>
                <w:szCs w:val="21"/>
              </w:rPr>
            </w:pPr>
            <w:r w:rsidRPr="005F04FE">
              <w:rPr>
                <w:sz w:val="21"/>
                <w:szCs w:val="21"/>
              </w:rPr>
              <w:t>59.44%</w:t>
            </w:r>
          </w:p>
        </w:tc>
        <w:tc>
          <w:tcPr>
            <w:tcW w:w="752" w:type="pct"/>
            <w:vAlign w:val="center"/>
          </w:tcPr>
          <w:p w14:paraId="04CA7384" w14:textId="77777777" w:rsidR="005F04FE" w:rsidRPr="005F04FE" w:rsidRDefault="005F04FE" w:rsidP="005F04FE">
            <w:pPr>
              <w:pStyle w:val="13"/>
              <w:ind w:firstLineChars="0" w:firstLine="0"/>
              <w:jc w:val="right"/>
              <w:rPr>
                <w:sz w:val="21"/>
                <w:szCs w:val="21"/>
              </w:rPr>
            </w:pPr>
            <w:r w:rsidRPr="005F04FE">
              <w:rPr>
                <w:sz w:val="21"/>
                <w:szCs w:val="21"/>
              </w:rPr>
              <w:t>5</w:t>
            </w:r>
          </w:p>
        </w:tc>
      </w:tr>
      <w:tr w:rsidR="005F04FE" w:rsidRPr="005F04FE" w14:paraId="1CE3ABED" w14:textId="77777777" w:rsidTr="00E905CE">
        <w:trPr>
          <w:trHeight w:val="264"/>
          <w:jc w:val="center"/>
        </w:trPr>
        <w:tc>
          <w:tcPr>
            <w:tcW w:w="2760" w:type="pct"/>
            <w:gridSpan w:val="2"/>
            <w:vAlign w:val="center"/>
          </w:tcPr>
          <w:p w14:paraId="4E9CEC6B" w14:textId="77777777" w:rsidR="005F04FE" w:rsidRPr="005F04FE" w:rsidRDefault="005F04FE" w:rsidP="005F04FE">
            <w:pPr>
              <w:pStyle w:val="13"/>
              <w:ind w:firstLineChars="0" w:firstLine="0"/>
              <w:rPr>
                <w:sz w:val="21"/>
                <w:szCs w:val="21"/>
              </w:rPr>
            </w:pPr>
            <w:r w:rsidRPr="005F04FE">
              <w:rPr>
                <w:sz w:val="21"/>
                <w:szCs w:val="21"/>
              </w:rPr>
              <w:t>合计</w:t>
            </w:r>
          </w:p>
        </w:tc>
        <w:tc>
          <w:tcPr>
            <w:tcW w:w="1488" w:type="pct"/>
            <w:vAlign w:val="center"/>
          </w:tcPr>
          <w:p w14:paraId="75269D49" w14:textId="77777777" w:rsidR="005F04FE" w:rsidRPr="005F04FE" w:rsidRDefault="005F04FE" w:rsidP="005F04FE">
            <w:pPr>
              <w:pStyle w:val="13"/>
              <w:ind w:firstLineChars="0" w:firstLine="0"/>
              <w:jc w:val="right"/>
              <w:rPr>
                <w:sz w:val="21"/>
                <w:szCs w:val="21"/>
              </w:rPr>
            </w:pPr>
            <w:r w:rsidRPr="005F04FE">
              <w:rPr>
                <w:sz w:val="21"/>
                <w:szCs w:val="21"/>
              </w:rPr>
              <w:t>57.18%</w:t>
            </w:r>
          </w:p>
        </w:tc>
        <w:tc>
          <w:tcPr>
            <w:tcW w:w="752" w:type="pct"/>
            <w:vAlign w:val="center"/>
          </w:tcPr>
          <w:p w14:paraId="656CE03F" w14:textId="77777777" w:rsidR="005F04FE" w:rsidRPr="005F04FE" w:rsidRDefault="005F04FE" w:rsidP="005F04FE">
            <w:pPr>
              <w:pStyle w:val="13"/>
              <w:ind w:firstLineChars="0" w:firstLine="0"/>
              <w:jc w:val="right"/>
              <w:rPr>
                <w:sz w:val="21"/>
                <w:szCs w:val="21"/>
              </w:rPr>
            </w:pPr>
            <w:r w:rsidRPr="005F04FE">
              <w:rPr>
                <w:sz w:val="21"/>
                <w:szCs w:val="21"/>
              </w:rPr>
              <w:t>6</w:t>
            </w:r>
          </w:p>
        </w:tc>
      </w:tr>
    </w:tbl>
    <w:p w14:paraId="09ED4B4E" w14:textId="77777777" w:rsidR="005F04FE" w:rsidRDefault="005F04FE" w:rsidP="005F04FE">
      <w:pPr>
        <w:pStyle w:val="13"/>
      </w:pPr>
      <w:r>
        <w:rPr>
          <w:rFonts w:hint="eastAsia"/>
        </w:rPr>
        <w:t>（</w:t>
      </w:r>
      <w:r>
        <w:t>2）评估对象手续费收入分析及预测</w:t>
      </w:r>
    </w:p>
    <w:p w14:paraId="6F6EB2EB" w14:textId="77777777" w:rsidR="005F04FE" w:rsidRDefault="005F04FE" w:rsidP="005F04FE">
      <w:pPr>
        <w:pStyle w:val="13"/>
      </w:pPr>
      <w:r>
        <w:t>1）结算手续费收入</w:t>
      </w:r>
    </w:p>
    <w:p w14:paraId="04D2DB6F" w14:textId="77777777" w:rsidR="005F04FE" w:rsidRDefault="005F04FE" w:rsidP="005F04FE">
      <w:pPr>
        <w:pStyle w:val="13"/>
      </w:pPr>
      <w:r>
        <w:rPr>
          <w:rFonts w:hint="eastAsia"/>
        </w:rPr>
        <w:t>结算手续费收入主要来源于外汇业务，</w:t>
      </w:r>
      <w:r>
        <w:t>20y9年受金融危机影响，外汇业务增长缓慢，但随着全球经济复苏，外汇业务逐步恢复；同时企业推出新国际业务系统及流程自动化，将更有助于该业务的成长。企业根据网点扩张与客户量增长的预期及20x0</w:t>
      </w:r>
      <w:r>
        <w:lastRenderedPageBreak/>
        <w:t>年上半年结算手续费收入人民币2,300万元的实际情况，预计20x0年及20x1年结算手续费收入将维持每年人民币1,100万元至1,300万元的增长。预计20x1年后结算手续费仍以较高的速度发展，但增长速度逐渐放缓。</w:t>
      </w:r>
    </w:p>
    <w:p w14:paraId="2838E0C1" w14:textId="77777777" w:rsidR="005F04FE" w:rsidRDefault="005F04FE" w:rsidP="005F04FE">
      <w:pPr>
        <w:pStyle w:val="13"/>
      </w:pPr>
      <w:r>
        <w:t>2）代理手续费收入</w:t>
      </w:r>
    </w:p>
    <w:p w14:paraId="29132521" w14:textId="77777777" w:rsidR="005F04FE" w:rsidRDefault="005F04FE" w:rsidP="005F04FE">
      <w:pPr>
        <w:pStyle w:val="13"/>
      </w:pPr>
      <w:r>
        <w:t>20y7年至20y9年企业正处于</w:t>
      </w:r>
      <w:proofErr w:type="gramStart"/>
      <w:r>
        <w:t>转型期且受到</w:t>
      </w:r>
      <w:proofErr w:type="gramEnd"/>
      <w:r>
        <w:t>金融危机影响，代理业务手续费收入迅速萎缩，但随着与集团其他子公司交叉销售业务的磨合完成，代理业务将逐步转入正轨。根据20x0年上半年代理业务手续费收入增长良好的实际情况（已高出20y9年全年25%），预计20x0年及20x1年代理业务手续费收入将保持快速增长。20x1年后代理手续费收入保持比较稳定的增长速度发展。</w:t>
      </w:r>
    </w:p>
    <w:p w14:paraId="5E8434BC" w14:textId="77777777" w:rsidR="005F04FE" w:rsidRDefault="005F04FE" w:rsidP="005F04FE">
      <w:pPr>
        <w:pStyle w:val="13"/>
      </w:pPr>
      <w:r>
        <w:t>3）受托业务手续费收入</w:t>
      </w:r>
    </w:p>
    <w:p w14:paraId="10E7F0A8" w14:textId="77777777" w:rsidR="005F04FE" w:rsidRDefault="005F04FE" w:rsidP="005F04FE">
      <w:pPr>
        <w:pStyle w:val="13"/>
      </w:pPr>
      <w:r>
        <w:rPr>
          <w:rFonts w:hint="eastAsia"/>
        </w:rPr>
        <w:t>受托业务手续费包括贷款额度管理费、委托贷款手续费收入、额度占用费及综合理财业务手续费收入等。基于</w:t>
      </w:r>
      <w:r>
        <w:t>20x0年上半年已实现收入人民币8,400万元，企业预计全年同比将有15%的增长。20x1年随着贷款额度管理费的回升，分行与网点的增加，各种公司及零售理财业务的拓展，及与集团交叉销售的深入开展，预计增幅将达35%。</w:t>
      </w:r>
    </w:p>
    <w:p w14:paraId="2D082723" w14:textId="77777777" w:rsidR="005F04FE" w:rsidRDefault="005F04FE" w:rsidP="005F04FE">
      <w:pPr>
        <w:pStyle w:val="13"/>
      </w:pPr>
      <w:r>
        <w:t>4）银行卡手续费收入</w:t>
      </w:r>
    </w:p>
    <w:p w14:paraId="2CD235D8" w14:textId="77777777" w:rsidR="005F04FE" w:rsidRDefault="005F04FE" w:rsidP="005F04FE">
      <w:pPr>
        <w:pStyle w:val="13"/>
      </w:pPr>
      <w:r>
        <w:rPr>
          <w:rFonts w:hint="eastAsia"/>
        </w:rPr>
        <w:t>银行卡手续费收入的增长主要来自于信用卡业务的持续扩张，根据信用卡未来业务规划，</w:t>
      </w:r>
      <w:r>
        <w:t>20y9年年度及20x0年上半年信用卡累计流通发卡量分别为340万张和430万张，预计20x</w:t>
      </w:r>
      <w:proofErr w:type="gramStart"/>
      <w:r>
        <w:t>0</w:t>
      </w:r>
      <w:proofErr w:type="gramEnd"/>
      <w:r>
        <w:t>年度与20x</w:t>
      </w:r>
      <w:proofErr w:type="gramStart"/>
      <w:r>
        <w:t>1</w:t>
      </w:r>
      <w:proofErr w:type="gramEnd"/>
      <w:r>
        <w:t>年度将超过500万与800万张。银行卡手续费收入20y8与20y9年的实际增长率也分别达到250%和108%，从20y6至20y9年信用卡业务净收入的复合增长率达到了74.3%。未来，信用卡在业务扩张的同时也将加强精细化经营的力度，通过发行车主卡、白金卡等新产品增加年费收入；通过开展</w:t>
      </w:r>
      <w:proofErr w:type="gramStart"/>
      <w:r>
        <w:t>帐单</w:t>
      </w:r>
      <w:proofErr w:type="gramEnd"/>
      <w:r>
        <w:t>分期、邮购分期、网上商城等增加分期业务</w:t>
      </w:r>
      <w:r>
        <w:rPr>
          <w:rFonts w:hint="eastAsia"/>
        </w:rPr>
        <w:t>手续费收入；另外，随着银</w:t>
      </w:r>
      <w:proofErr w:type="gramStart"/>
      <w:r>
        <w:rPr>
          <w:rFonts w:hint="eastAsia"/>
        </w:rPr>
        <w:t>联规范</w:t>
      </w:r>
      <w:proofErr w:type="gramEnd"/>
      <w:r>
        <w:t>POS机商户管理和信用卡中心对高回佣消费领域的重点经营，发卡行回佣率持续提升，由此带来回</w:t>
      </w:r>
      <w:proofErr w:type="gramStart"/>
      <w:r>
        <w:t>佣</w:t>
      </w:r>
      <w:proofErr w:type="gramEnd"/>
      <w:r>
        <w:t>收入大幅提升。根据历史数据结合信用卡业务的未来规划，企业预计银行卡手续费收入相应也将维持大幅度的增长，20x0年及20x1年预测的年度增长分别为76%和85%。预计20x1年银行卡的手续费收入仍将会迅速发展，保持在较高的发展速度。</w:t>
      </w:r>
    </w:p>
    <w:p w14:paraId="176867ED" w14:textId="77777777" w:rsidR="005F04FE" w:rsidRDefault="005F04FE" w:rsidP="005F04FE">
      <w:pPr>
        <w:pStyle w:val="13"/>
      </w:pPr>
      <w:r>
        <w:t>5）其他手续费收入</w:t>
      </w:r>
    </w:p>
    <w:p w14:paraId="1B67BB61" w14:textId="5FB773D7" w:rsidR="005F04FE" w:rsidRDefault="005F04FE" w:rsidP="005F04FE">
      <w:pPr>
        <w:pStyle w:val="13"/>
      </w:pPr>
      <w:r>
        <w:rPr>
          <w:rFonts w:hint="eastAsia"/>
        </w:rPr>
        <w:t>其他手续费的增长主要来源于投资银行手续收入的增长。</w:t>
      </w:r>
      <w:r>
        <w:t>20y</w:t>
      </w:r>
      <w:proofErr w:type="gramStart"/>
      <w:r>
        <w:t>9</w:t>
      </w:r>
      <w:proofErr w:type="gramEnd"/>
      <w:r>
        <w:t>年度投资银行手续费收入为人民币5,000万元，截至20x0年6月30日，投资银行手续费收入已达人民币5,500万元，企业预计20x0年全年其他手续费收入增长幅度约为21%；而随着投行业务的不断拓展，20x1年手续费收入将有33%的增长预期，预计20x1年后增长速度趋于稳定。</w:t>
      </w:r>
    </w:p>
    <w:p w14:paraId="1BE3F160" w14:textId="77777777" w:rsidR="00E905CE" w:rsidRDefault="00E905CE" w:rsidP="005F04FE">
      <w:pPr>
        <w:pStyle w:val="13"/>
      </w:pPr>
    </w:p>
    <w:p w14:paraId="758C2844" w14:textId="77777777" w:rsidR="005F04FE" w:rsidRDefault="005F04FE" w:rsidP="005F04FE">
      <w:pPr>
        <w:pStyle w:val="13"/>
        <w:jc w:val="center"/>
      </w:pPr>
      <w:r>
        <w:rPr>
          <w:rFonts w:hint="eastAsia"/>
        </w:rPr>
        <w:lastRenderedPageBreak/>
        <w:t>手续费收入预测表</w:t>
      </w:r>
    </w:p>
    <w:p w14:paraId="78AB8C39" w14:textId="1CF1A31B" w:rsidR="00685D93" w:rsidRPr="005F04FE" w:rsidRDefault="005F04FE" w:rsidP="005F04FE">
      <w:pPr>
        <w:pStyle w:val="13"/>
        <w:ind w:firstLine="400"/>
        <w:jc w:val="right"/>
        <w:rPr>
          <w:sz w:val="20"/>
          <w:szCs w:val="20"/>
        </w:rPr>
      </w:pPr>
      <w:r w:rsidRPr="005F04FE">
        <w:rPr>
          <w:rFonts w:hint="eastAsia"/>
          <w:sz w:val="20"/>
          <w:szCs w:val="20"/>
        </w:rPr>
        <w:t>金额单位：人民币百万元</w:t>
      </w:r>
    </w:p>
    <w:tbl>
      <w:tblPr>
        <w:tblW w:w="5000" w:type="pct"/>
        <w:jc w:val="right"/>
        <w:tblLook w:val="04A0" w:firstRow="1" w:lastRow="0" w:firstColumn="1" w:lastColumn="0" w:noHBand="0" w:noVBand="1"/>
      </w:tblPr>
      <w:tblGrid>
        <w:gridCol w:w="1795"/>
        <w:gridCol w:w="1042"/>
        <w:gridCol w:w="762"/>
        <w:gridCol w:w="862"/>
        <w:gridCol w:w="862"/>
        <w:gridCol w:w="862"/>
        <w:gridCol w:w="862"/>
        <w:gridCol w:w="862"/>
        <w:gridCol w:w="811"/>
      </w:tblGrid>
      <w:tr w:rsidR="005F04FE" w:rsidRPr="005F04FE" w14:paraId="267023B4" w14:textId="77777777" w:rsidTr="005F04FE">
        <w:trPr>
          <w:trHeight w:val="210"/>
          <w:jc w:val="right"/>
        </w:trPr>
        <w:tc>
          <w:tcPr>
            <w:tcW w:w="1030" w:type="pct"/>
            <w:tcBorders>
              <w:top w:val="single" w:sz="4" w:space="0" w:color="auto"/>
              <w:left w:val="single" w:sz="4" w:space="0" w:color="auto"/>
              <w:bottom w:val="single" w:sz="4" w:space="0" w:color="auto"/>
              <w:right w:val="single" w:sz="4" w:space="0" w:color="auto"/>
            </w:tcBorders>
            <w:vAlign w:val="center"/>
          </w:tcPr>
          <w:p w14:paraId="3F539566" w14:textId="77777777" w:rsidR="005F04FE" w:rsidRPr="005F04FE" w:rsidRDefault="005F04FE" w:rsidP="005F04FE">
            <w:pPr>
              <w:pStyle w:val="13"/>
              <w:ind w:firstLineChars="0" w:firstLine="0"/>
              <w:jc w:val="center"/>
              <w:rPr>
                <w:b/>
                <w:sz w:val="18"/>
                <w:szCs w:val="18"/>
              </w:rPr>
            </w:pPr>
            <w:r w:rsidRPr="005F04FE">
              <w:rPr>
                <w:b/>
                <w:sz w:val="18"/>
                <w:szCs w:val="18"/>
              </w:rPr>
              <w:t>项目</w:t>
            </w:r>
          </w:p>
        </w:tc>
        <w:tc>
          <w:tcPr>
            <w:tcW w:w="598" w:type="pct"/>
            <w:tcBorders>
              <w:top w:val="single" w:sz="4" w:space="0" w:color="auto"/>
              <w:left w:val="nil"/>
              <w:bottom w:val="single" w:sz="4" w:space="0" w:color="auto"/>
              <w:right w:val="single" w:sz="4" w:space="0" w:color="auto"/>
            </w:tcBorders>
            <w:vAlign w:val="center"/>
          </w:tcPr>
          <w:p w14:paraId="049739EF" w14:textId="77777777" w:rsidR="005F04FE" w:rsidRPr="005F04FE" w:rsidRDefault="005F04FE" w:rsidP="005F04FE">
            <w:pPr>
              <w:pStyle w:val="13"/>
              <w:ind w:firstLineChars="0" w:firstLine="0"/>
              <w:jc w:val="center"/>
              <w:rPr>
                <w:b/>
                <w:sz w:val="18"/>
                <w:szCs w:val="18"/>
              </w:rPr>
            </w:pPr>
            <w:r w:rsidRPr="005F04FE">
              <w:rPr>
                <w:b/>
                <w:sz w:val="18"/>
                <w:szCs w:val="18"/>
              </w:rPr>
              <w:t>20x0下</w:t>
            </w:r>
          </w:p>
        </w:tc>
        <w:tc>
          <w:tcPr>
            <w:tcW w:w="437" w:type="pct"/>
            <w:tcBorders>
              <w:top w:val="single" w:sz="4" w:space="0" w:color="auto"/>
              <w:left w:val="nil"/>
              <w:bottom w:val="single" w:sz="4" w:space="0" w:color="auto"/>
              <w:right w:val="single" w:sz="4" w:space="0" w:color="auto"/>
            </w:tcBorders>
            <w:vAlign w:val="center"/>
          </w:tcPr>
          <w:p w14:paraId="38962B10" w14:textId="77777777" w:rsidR="005F04FE" w:rsidRPr="005F04FE" w:rsidRDefault="005F04FE" w:rsidP="005F04FE">
            <w:pPr>
              <w:pStyle w:val="13"/>
              <w:ind w:firstLineChars="0" w:firstLine="0"/>
              <w:jc w:val="center"/>
              <w:rPr>
                <w:b/>
                <w:sz w:val="18"/>
                <w:szCs w:val="18"/>
              </w:rPr>
            </w:pPr>
            <w:r w:rsidRPr="005F04FE">
              <w:rPr>
                <w:b/>
                <w:sz w:val="18"/>
                <w:szCs w:val="18"/>
              </w:rPr>
              <w:t>20x1</w:t>
            </w:r>
          </w:p>
        </w:tc>
        <w:tc>
          <w:tcPr>
            <w:tcW w:w="494" w:type="pct"/>
            <w:tcBorders>
              <w:top w:val="single" w:sz="4" w:space="0" w:color="auto"/>
              <w:left w:val="nil"/>
              <w:bottom w:val="single" w:sz="4" w:space="0" w:color="auto"/>
              <w:right w:val="single" w:sz="4" w:space="0" w:color="auto"/>
            </w:tcBorders>
            <w:vAlign w:val="center"/>
          </w:tcPr>
          <w:p w14:paraId="73FEE937" w14:textId="77777777" w:rsidR="005F04FE" w:rsidRPr="005F04FE" w:rsidRDefault="005F04FE" w:rsidP="005F04FE">
            <w:pPr>
              <w:pStyle w:val="13"/>
              <w:ind w:firstLineChars="0" w:firstLine="0"/>
              <w:jc w:val="center"/>
              <w:rPr>
                <w:b/>
                <w:sz w:val="18"/>
                <w:szCs w:val="18"/>
              </w:rPr>
            </w:pPr>
            <w:r w:rsidRPr="005F04FE">
              <w:rPr>
                <w:b/>
                <w:sz w:val="18"/>
                <w:szCs w:val="18"/>
              </w:rPr>
              <w:t>20x2</w:t>
            </w:r>
          </w:p>
        </w:tc>
        <w:tc>
          <w:tcPr>
            <w:tcW w:w="494" w:type="pct"/>
            <w:tcBorders>
              <w:top w:val="single" w:sz="4" w:space="0" w:color="auto"/>
              <w:left w:val="nil"/>
              <w:bottom w:val="single" w:sz="4" w:space="0" w:color="auto"/>
              <w:right w:val="single" w:sz="4" w:space="0" w:color="auto"/>
            </w:tcBorders>
            <w:vAlign w:val="center"/>
          </w:tcPr>
          <w:p w14:paraId="1545CC1C" w14:textId="77777777" w:rsidR="005F04FE" w:rsidRPr="005F04FE" w:rsidRDefault="005F04FE" w:rsidP="005F04FE">
            <w:pPr>
              <w:pStyle w:val="13"/>
              <w:ind w:firstLineChars="0" w:firstLine="0"/>
              <w:jc w:val="center"/>
              <w:rPr>
                <w:b/>
                <w:sz w:val="18"/>
                <w:szCs w:val="18"/>
              </w:rPr>
            </w:pPr>
            <w:r w:rsidRPr="005F04FE">
              <w:rPr>
                <w:b/>
                <w:sz w:val="18"/>
                <w:szCs w:val="18"/>
              </w:rPr>
              <w:t>20x3</w:t>
            </w:r>
          </w:p>
        </w:tc>
        <w:tc>
          <w:tcPr>
            <w:tcW w:w="494" w:type="pct"/>
            <w:tcBorders>
              <w:top w:val="single" w:sz="4" w:space="0" w:color="auto"/>
              <w:left w:val="nil"/>
              <w:bottom w:val="single" w:sz="4" w:space="0" w:color="auto"/>
              <w:right w:val="single" w:sz="4" w:space="0" w:color="auto"/>
            </w:tcBorders>
            <w:vAlign w:val="center"/>
          </w:tcPr>
          <w:p w14:paraId="31B3FBA8" w14:textId="77777777" w:rsidR="005F04FE" w:rsidRPr="005F04FE" w:rsidRDefault="005F04FE" w:rsidP="005F04FE">
            <w:pPr>
              <w:pStyle w:val="13"/>
              <w:ind w:firstLineChars="0" w:firstLine="0"/>
              <w:jc w:val="center"/>
              <w:rPr>
                <w:b/>
                <w:sz w:val="18"/>
                <w:szCs w:val="18"/>
              </w:rPr>
            </w:pPr>
            <w:r w:rsidRPr="005F04FE">
              <w:rPr>
                <w:b/>
                <w:sz w:val="18"/>
                <w:szCs w:val="18"/>
              </w:rPr>
              <w:t>20x4</w:t>
            </w:r>
          </w:p>
        </w:tc>
        <w:tc>
          <w:tcPr>
            <w:tcW w:w="494" w:type="pct"/>
            <w:tcBorders>
              <w:top w:val="single" w:sz="4" w:space="0" w:color="auto"/>
              <w:left w:val="nil"/>
              <w:bottom w:val="single" w:sz="4" w:space="0" w:color="auto"/>
              <w:right w:val="single" w:sz="4" w:space="0" w:color="auto"/>
            </w:tcBorders>
            <w:vAlign w:val="center"/>
          </w:tcPr>
          <w:p w14:paraId="60CA1952" w14:textId="77777777" w:rsidR="005F04FE" w:rsidRPr="005F04FE" w:rsidRDefault="005F04FE" w:rsidP="005F04FE">
            <w:pPr>
              <w:pStyle w:val="13"/>
              <w:ind w:firstLineChars="0" w:firstLine="0"/>
              <w:jc w:val="center"/>
              <w:rPr>
                <w:b/>
                <w:sz w:val="18"/>
                <w:szCs w:val="18"/>
              </w:rPr>
            </w:pPr>
            <w:r w:rsidRPr="005F04FE">
              <w:rPr>
                <w:b/>
                <w:sz w:val="18"/>
                <w:szCs w:val="18"/>
              </w:rPr>
              <w:t>20x5</w:t>
            </w:r>
          </w:p>
        </w:tc>
        <w:tc>
          <w:tcPr>
            <w:tcW w:w="494" w:type="pct"/>
            <w:tcBorders>
              <w:top w:val="single" w:sz="4" w:space="0" w:color="auto"/>
              <w:left w:val="nil"/>
              <w:bottom w:val="single" w:sz="4" w:space="0" w:color="auto"/>
              <w:right w:val="single" w:sz="4" w:space="0" w:color="auto"/>
            </w:tcBorders>
            <w:vAlign w:val="center"/>
          </w:tcPr>
          <w:p w14:paraId="443A4EF5" w14:textId="77777777" w:rsidR="005F04FE" w:rsidRPr="005F04FE" w:rsidRDefault="005F04FE" w:rsidP="005F04FE">
            <w:pPr>
              <w:pStyle w:val="13"/>
              <w:ind w:firstLineChars="0" w:firstLine="0"/>
              <w:jc w:val="center"/>
              <w:rPr>
                <w:b/>
                <w:sz w:val="18"/>
                <w:szCs w:val="18"/>
              </w:rPr>
            </w:pPr>
            <w:r w:rsidRPr="005F04FE">
              <w:rPr>
                <w:b/>
                <w:sz w:val="18"/>
                <w:szCs w:val="18"/>
              </w:rPr>
              <w:t>20x6</w:t>
            </w:r>
          </w:p>
        </w:tc>
        <w:tc>
          <w:tcPr>
            <w:tcW w:w="466" w:type="pct"/>
            <w:tcBorders>
              <w:top w:val="single" w:sz="4" w:space="0" w:color="auto"/>
              <w:left w:val="nil"/>
              <w:bottom w:val="single" w:sz="4" w:space="0" w:color="auto"/>
              <w:right w:val="single" w:sz="4" w:space="0" w:color="auto"/>
            </w:tcBorders>
            <w:vAlign w:val="center"/>
          </w:tcPr>
          <w:p w14:paraId="0BF3E3A0" w14:textId="77777777" w:rsidR="005F04FE" w:rsidRPr="005F04FE" w:rsidRDefault="005F04FE" w:rsidP="005F04FE">
            <w:pPr>
              <w:pStyle w:val="13"/>
              <w:ind w:firstLineChars="0" w:firstLine="0"/>
              <w:jc w:val="center"/>
              <w:rPr>
                <w:b/>
                <w:sz w:val="18"/>
                <w:szCs w:val="18"/>
              </w:rPr>
            </w:pPr>
            <w:r w:rsidRPr="005F04FE">
              <w:rPr>
                <w:b/>
                <w:sz w:val="18"/>
                <w:szCs w:val="18"/>
              </w:rPr>
              <w:t>20x7</w:t>
            </w:r>
          </w:p>
        </w:tc>
      </w:tr>
      <w:tr w:rsidR="005F04FE" w:rsidRPr="005F04FE" w14:paraId="58893EFE" w14:textId="77777777" w:rsidTr="005F04FE">
        <w:trPr>
          <w:trHeight w:val="210"/>
          <w:jc w:val="right"/>
        </w:trPr>
        <w:tc>
          <w:tcPr>
            <w:tcW w:w="1030" w:type="pct"/>
            <w:tcBorders>
              <w:top w:val="nil"/>
              <w:left w:val="single" w:sz="4" w:space="0" w:color="auto"/>
              <w:bottom w:val="single" w:sz="4" w:space="0" w:color="auto"/>
              <w:right w:val="single" w:sz="4" w:space="0" w:color="auto"/>
            </w:tcBorders>
            <w:vAlign w:val="center"/>
          </w:tcPr>
          <w:p w14:paraId="37167B2C" w14:textId="77777777" w:rsidR="005F04FE" w:rsidRPr="005F04FE" w:rsidRDefault="005F04FE" w:rsidP="005F04FE">
            <w:pPr>
              <w:pStyle w:val="13"/>
              <w:ind w:firstLineChars="0" w:firstLine="0"/>
              <w:rPr>
                <w:sz w:val="18"/>
                <w:szCs w:val="18"/>
              </w:rPr>
            </w:pPr>
            <w:r w:rsidRPr="005F04FE">
              <w:rPr>
                <w:sz w:val="18"/>
                <w:szCs w:val="18"/>
              </w:rPr>
              <w:t>结算与清算手续费</w:t>
            </w:r>
          </w:p>
        </w:tc>
        <w:tc>
          <w:tcPr>
            <w:tcW w:w="598" w:type="pct"/>
            <w:tcBorders>
              <w:top w:val="nil"/>
              <w:left w:val="nil"/>
              <w:bottom w:val="single" w:sz="4" w:space="0" w:color="auto"/>
              <w:right w:val="single" w:sz="4" w:space="0" w:color="auto"/>
            </w:tcBorders>
            <w:vAlign w:val="center"/>
          </w:tcPr>
          <w:p w14:paraId="74800519" w14:textId="77777777" w:rsidR="005F04FE" w:rsidRPr="005F04FE" w:rsidRDefault="005F04FE" w:rsidP="005F04FE">
            <w:pPr>
              <w:pStyle w:val="13"/>
              <w:ind w:firstLineChars="0" w:firstLine="0"/>
              <w:jc w:val="right"/>
              <w:rPr>
                <w:sz w:val="18"/>
                <w:szCs w:val="18"/>
              </w:rPr>
            </w:pPr>
            <w:r w:rsidRPr="005F04FE">
              <w:rPr>
                <w:sz w:val="18"/>
                <w:szCs w:val="18"/>
              </w:rPr>
              <w:t>24</w:t>
            </w:r>
          </w:p>
        </w:tc>
        <w:tc>
          <w:tcPr>
            <w:tcW w:w="437" w:type="pct"/>
            <w:tcBorders>
              <w:top w:val="nil"/>
              <w:left w:val="nil"/>
              <w:bottom w:val="single" w:sz="4" w:space="0" w:color="auto"/>
              <w:right w:val="single" w:sz="4" w:space="0" w:color="auto"/>
            </w:tcBorders>
            <w:vAlign w:val="center"/>
          </w:tcPr>
          <w:p w14:paraId="6E50802C" w14:textId="77777777" w:rsidR="005F04FE" w:rsidRPr="005F04FE" w:rsidRDefault="005F04FE" w:rsidP="005F04FE">
            <w:pPr>
              <w:pStyle w:val="13"/>
              <w:ind w:firstLineChars="0" w:firstLine="0"/>
              <w:jc w:val="right"/>
              <w:rPr>
                <w:sz w:val="18"/>
                <w:szCs w:val="18"/>
              </w:rPr>
            </w:pPr>
            <w:r w:rsidRPr="005F04FE">
              <w:rPr>
                <w:sz w:val="18"/>
                <w:szCs w:val="18"/>
              </w:rPr>
              <w:t>60</w:t>
            </w:r>
          </w:p>
        </w:tc>
        <w:tc>
          <w:tcPr>
            <w:tcW w:w="494" w:type="pct"/>
            <w:tcBorders>
              <w:top w:val="nil"/>
              <w:left w:val="nil"/>
              <w:bottom w:val="single" w:sz="4" w:space="0" w:color="auto"/>
              <w:right w:val="single" w:sz="4" w:space="0" w:color="auto"/>
            </w:tcBorders>
            <w:vAlign w:val="center"/>
          </w:tcPr>
          <w:p w14:paraId="21520E00" w14:textId="77777777" w:rsidR="005F04FE" w:rsidRPr="005F04FE" w:rsidRDefault="005F04FE" w:rsidP="005F04FE">
            <w:pPr>
              <w:pStyle w:val="13"/>
              <w:ind w:firstLineChars="0" w:firstLine="0"/>
              <w:jc w:val="right"/>
              <w:rPr>
                <w:sz w:val="18"/>
                <w:szCs w:val="18"/>
              </w:rPr>
            </w:pPr>
            <w:r w:rsidRPr="005F04FE">
              <w:rPr>
                <w:sz w:val="18"/>
                <w:szCs w:val="18"/>
              </w:rPr>
              <w:t>111</w:t>
            </w:r>
          </w:p>
        </w:tc>
        <w:tc>
          <w:tcPr>
            <w:tcW w:w="494" w:type="pct"/>
            <w:tcBorders>
              <w:top w:val="nil"/>
              <w:left w:val="nil"/>
              <w:bottom w:val="single" w:sz="4" w:space="0" w:color="auto"/>
              <w:right w:val="single" w:sz="4" w:space="0" w:color="auto"/>
            </w:tcBorders>
            <w:vAlign w:val="center"/>
          </w:tcPr>
          <w:p w14:paraId="63EFCCC5" w14:textId="77777777" w:rsidR="005F04FE" w:rsidRPr="005F04FE" w:rsidRDefault="005F04FE" w:rsidP="005F04FE">
            <w:pPr>
              <w:pStyle w:val="13"/>
              <w:ind w:firstLineChars="0" w:firstLine="0"/>
              <w:jc w:val="right"/>
              <w:rPr>
                <w:sz w:val="18"/>
                <w:szCs w:val="18"/>
              </w:rPr>
            </w:pPr>
            <w:r w:rsidRPr="005F04FE">
              <w:rPr>
                <w:sz w:val="18"/>
                <w:szCs w:val="18"/>
              </w:rPr>
              <w:t>164</w:t>
            </w:r>
          </w:p>
        </w:tc>
        <w:tc>
          <w:tcPr>
            <w:tcW w:w="494" w:type="pct"/>
            <w:tcBorders>
              <w:top w:val="nil"/>
              <w:left w:val="nil"/>
              <w:bottom w:val="single" w:sz="4" w:space="0" w:color="auto"/>
              <w:right w:val="single" w:sz="4" w:space="0" w:color="auto"/>
            </w:tcBorders>
            <w:vAlign w:val="center"/>
          </w:tcPr>
          <w:p w14:paraId="018F994E" w14:textId="77777777" w:rsidR="005F04FE" w:rsidRPr="005F04FE" w:rsidRDefault="005F04FE" w:rsidP="005F04FE">
            <w:pPr>
              <w:pStyle w:val="13"/>
              <w:ind w:firstLineChars="0" w:firstLine="0"/>
              <w:jc w:val="right"/>
              <w:rPr>
                <w:sz w:val="18"/>
                <w:szCs w:val="18"/>
              </w:rPr>
            </w:pPr>
            <w:r w:rsidRPr="005F04FE">
              <w:rPr>
                <w:sz w:val="18"/>
                <w:szCs w:val="18"/>
              </w:rPr>
              <w:t>212</w:t>
            </w:r>
          </w:p>
        </w:tc>
        <w:tc>
          <w:tcPr>
            <w:tcW w:w="494" w:type="pct"/>
            <w:tcBorders>
              <w:top w:val="nil"/>
              <w:left w:val="nil"/>
              <w:bottom w:val="single" w:sz="4" w:space="0" w:color="auto"/>
              <w:right w:val="single" w:sz="4" w:space="0" w:color="auto"/>
            </w:tcBorders>
            <w:vAlign w:val="center"/>
          </w:tcPr>
          <w:p w14:paraId="7CF902D9" w14:textId="77777777" w:rsidR="005F04FE" w:rsidRPr="005F04FE" w:rsidRDefault="005F04FE" w:rsidP="005F04FE">
            <w:pPr>
              <w:pStyle w:val="13"/>
              <w:ind w:firstLineChars="0" w:firstLine="0"/>
              <w:jc w:val="right"/>
              <w:rPr>
                <w:sz w:val="18"/>
                <w:szCs w:val="18"/>
              </w:rPr>
            </w:pPr>
            <w:r w:rsidRPr="005F04FE">
              <w:rPr>
                <w:sz w:val="18"/>
                <w:szCs w:val="18"/>
              </w:rPr>
              <w:t>259</w:t>
            </w:r>
          </w:p>
        </w:tc>
        <w:tc>
          <w:tcPr>
            <w:tcW w:w="494" w:type="pct"/>
            <w:tcBorders>
              <w:top w:val="nil"/>
              <w:left w:val="nil"/>
              <w:bottom w:val="single" w:sz="4" w:space="0" w:color="auto"/>
              <w:right w:val="single" w:sz="4" w:space="0" w:color="auto"/>
            </w:tcBorders>
            <w:vAlign w:val="center"/>
          </w:tcPr>
          <w:p w14:paraId="77EF43E7" w14:textId="77777777" w:rsidR="005F04FE" w:rsidRPr="005F04FE" w:rsidRDefault="005F04FE" w:rsidP="005F04FE">
            <w:pPr>
              <w:pStyle w:val="13"/>
              <w:ind w:firstLineChars="0" w:firstLine="0"/>
              <w:jc w:val="right"/>
              <w:rPr>
                <w:sz w:val="18"/>
                <w:szCs w:val="18"/>
              </w:rPr>
            </w:pPr>
            <w:r w:rsidRPr="005F04FE">
              <w:rPr>
                <w:sz w:val="18"/>
                <w:szCs w:val="18"/>
              </w:rPr>
              <w:t>313</w:t>
            </w:r>
          </w:p>
        </w:tc>
        <w:tc>
          <w:tcPr>
            <w:tcW w:w="466" w:type="pct"/>
            <w:tcBorders>
              <w:top w:val="nil"/>
              <w:left w:val="nil"/>
              <w:bottom w:val="single" w:sz="4" w:space="0" w:color="auto"/>
              <w:right w:val="single" w:sz="4" w:space="0" w:color="auto"/>
            </w:tcBorders>
            <w:vAlign w:val="center"/>
          </w:tcPr>
          <w:p w14:paraId="310CF113" w14:textId="77777777" w:rsidR="005F04FE" w:rsidRPr="005F04FE" w:rsidRDefault="005F04FE" w:rsidP="005F04FE">
            <w:pPr>
              <w:pStyle w:val="13"/>
              <w:ind w:firstLineChars="0" w:firstLine="0"/>
              <w:jc w:val="right"/>
              <w:rPr>
                <w:sz w:val="18"/>
                <w:szCs w:val="18"/>
              </w:rPr>
            </w:pPr>
            <w:r w:rsidRPr="005F04FE">
              <w:rPr>
                <w:sz w:val="18"/>
                <w:szCs w:val="18"/>
              </w:rPr>
              <w:t>376</w:t>
            </w:r>
          </w:p>
        </w:tc>
      </w:tr>
      <w:tr w:rsidR="005F04FE" w:rsidRPr="005F04FE" w14:paraId="173E4FB5" w14:textId="77777777" w:rsidTr="005F04FE">
        <w:trPr>
          <w:trHeight w:val="210"/>
          <w:jc w:val="right"/>
        </w:trPr>
        <w:tc>
          <w:tcPr>
            <w:tcW w:w="1030" w:type="pct"/>
            <w:tcBorders>
              <w:top w:val="nil"/>
              <w:left w:val="single" w:sz="4" w:space="0" w:color="auto"/>
              <w:bottom w:val="single" w:sz="4" w:space="0" w:color="auto"/>
              <w:right w:val="single" w:sz="4" w:space="0" w:color="auto"/>
            </w:tcBorders>
            <w:vAlign w:val="center"/>
          </w:tcPr>
          <w:p w14:paraId="24426EFE" w14:textId="77777777" w:rsidR="005F04FE" w:rsidRPr="005F04FE" w:rsidRDefault="005F04FE" w:rsidP="005F04FE">
            <w:pPr>
              <w:pStyle w:val="13"/>
              <w:ind w:firstLineChars="0" w:firstLine="0"/>
              <w:rPr>
                <w:sz w:val="18"/>
                <w:szCs w:val="18"/>
              </w:rPr>
            </w:pPr>
            <w:r w:rsidRPr="005F04FE">
              <w:rPr>
                <w:sz w:val="18"/>
                <w:szCs w:val="18"/>
              </w:rPr>
              <w:t>代理业务手续费</w:t>
            </w:r>
          </w:p>
        </w:tc>
        <w:tc>
          <w:tcPr>
            <w:tcW w:w="598" w:type="pct"/>
            <w:tcBorders>
              <w:top w:val="nil"/>
              <w:left w:val="nil"/>
              <w:bottom w:val="single" w:sz="4" w:space="0" w:color="auto"/>
              <w:right w:val="single" w:sz="4" w:space="0" w:color="auto"/>
            </w:tcBorders>
            <w:vAlign w:val="center"/>
          </w:tcPr>
          <w:p w14:paraId="23A8BC26" w14:textId="77777777" w:rsidR="005F04FE" w:rsidRPr="005F04FE" w:rsidRDefault="005F04FE" w:rsidP="005F04FE">
            <w:pPr>
              <w:pStyle w:val="13"/>
              <w:ind w:firstLineChars="0" w:firstLine="0"/>
              <w:jc w:val="right"/>
              <w:rPr>
                <w:sz w:val="18"/>
                <w:szCs w:val="18"/>
              </w:rPr>
            </w:pPr>
            <w:r w:rsidRPr="005F04FE">
              <w:rPr>
                <w:sz w:val="18"/>
                <w:szCs w:val="18"/>
              </w:rPr>
              <w:t>13</w:t>
            </w:r>
          </w:p>
        </w:tc>
        <w:tc>
          <w:tcPr>
            <w:tcW w:w="437" w:type="pct"/>
            <w:tcBorders>
              <w:top w:val="nil"/>
              <w:left w:val="nil"/>
              <w:bottom w:val="single" w:sz="4" w:space="0" w:color="auto"/>
              <w:right w:val="single" w:sz="4" w:space="0" w:color="auto"/>
            </w:tcBorders>
            <w:vAlign w:val="center"/>
          </w:tcPr>
          <w:p w14:paraId="1B46C849" w14:textId="77777777" w:rsidR="005F04FE" w:rsidRPr="005F04FE" w:rsidRDefault="005F04FE" w:rsidP="005F04FE">
            <w:pPr>
              <w:pStyle w:val="13"/>
              <w:ind w:firstLineChars="0" w:firstLine="0"/>
              <w:jc w:val="right"/>
              <w:rPr>
                <w:sz w:val="18"/>
                <w:szCs w:val="18"/>
              </w:rPr>
            </w:pPr>
            <w:r w:rsidRPr="005F04FE">
              <w:rPr>
                <w:sz w:val="18"/>
                <w:szCs w:val="18"/>
              </w:rPr>
              <w:t>37</w:t>
            </w:r>
          </w:p>
        </w:tc>
        <w:tc>
          <w:tcPr>
            <w:tcW w:w="494" w:type="pct"/>
            <w:tcBorders>
              <w:top w:val="nil"/>
              <w:left w:val="nil"/>
              <w:bottom w:val="single" w:sz="4" w:space="0" w:color="auto"/>
              <w:right w:val="single" w:sz="4" w:space="0" w:color="auto"/>
            </w:tcBorders>
            <w:vAlign w:val="center"/>
          </w:tcPr>
          <w:p w14:paraId="057E6121" w14:textId="77777777" w:rsidR="005F04FE" w:rsidRPr="005F04FE" w:rsidRDefault="005F04FE" w:rsidP="005F04FE">
            <w:pPr>
              <w:pStyle w:val="13"/>
              <w:ind w:firstLineChars="0" w:firstLine="0"/>
              <w:jc w:val="right"/>
              <w:rPr>
                <w:sz w:val="18"/>
                <w:szCs w:val="18"/>
              </w:rPr>
            </w:pPr>
            <w:r w:rsidRPr="005F04FE">
              <w:rPr>
                <w:sz w:val="18"/>
                <w:szCs w:val="18"/>
              </w:rPr>
              <w:t>44</w:t>
            </w:r>
          </w:p>
        </w:tc>
        <w:tc>
          <w:tcPr>
            <w:tcW w:w="494" w:type="pct"/>
            <w:tcBorders>
              <w:top w:val="nil"/>
              <w:left w:val="nil"/>
              <w:bottom w:val="single" w:sz="4" w:space="0" w:color="auto"/>
              <w:right w:val="single" w:sz="4" w:space="0" w:color="auto"/>
            </w:tcBorders>
            <w:vAlign w:val="center"/>
          </w:tcPr>
          <w:p w14:paraId="5C60E2D6" w14:textId="77777777" w:rsidR="005F04FE" w:rsidRPr="005F04FE" w:rsidRDefault="005F04FE" w:rsidP="005F04FE">
            <w:pPr>
              <w:pStyle w:val="13"/>
              <w:ind w:firstLineChars="0" w:firstLine="0"/>
              <w:jc w:val="right"/>
              <w:rPr>
                <w:sz w:val="18"/>
                <w:szCs w:val="18"/>
              </w:rPr>
            </w:pPr>
            <w:r w:rsidRPr="005F04FE">
              <w:rPr>
                <w:sz w:val="18"/>
                <w:szCs w:val="18"/>
              </w:rPr>
              <w:t>52</w:t>
            </w:r>
          </w:p>
        </w:tc>
        <w:tc>
          <w:tcPr>
            <w:tcW w:w="494" w:type="pct"/>
            <w:tcBorders>
              <w:top w:val="nil"/>
              <w:left w:val="nil"/>
              <w:bottom w:val="single" w:sz="4" w:space="0" w:color="auto"/>
              <w:right w:val="single" w:sz="4" w:space="0" w:color="auto"/>
            </w:tcBorders>
            <w:vAlign w:val="center"/>
          </w:tcPr>
          <w:p w14:paraId="0BEB2042" w14:textId="77777777" w:rsidR="005F04FE" w:rsidRPr="005F04FE" w:rsidRDefault="005F04FE" w:rsidP="005F04FE">
            <w:pPr>
              <w:pStyle w:val="13"/>
              <w:ind w:firstLineChars="0" w:firstLine="0"/>
              <w:jc w:val="right"/>
              <w:rPr>
                <w:sz w:val="18"/>
                <w:szCs w:val="18"/>
              </w:rPr>
            </w:pPr>
            <w:r w:rsidRPr="005F04FE">
              <w:rPr>
                <w:sz w:val="18"/>
                <w:szCs w:val="18"/>
              </w:rPr>
              <w:t>61</w:t>
            </w:r>
          </w:p>
        </w:tc>
        <w:tc>
          <w:tcPr>
            <w:tcW w:w="494" w:type="pct"/>
            <w:tcBorders>
              <w:top w:val="nil"/>
              <w:left w:val="nil"/>
              <w:bottom w:val="single" w:sz="4" w:space="0" w:color="auto"/>
              <w:right w:val="single" w:sz="4" w:space="0" w:color="auto"/>
            </w:tcBorders>
            <w:vAlign w:val="center"/>
          </w:tcPr>
          <w:p w14:paraId="564148C2" w14:textId="77777777" w:rsidR="005F04FE" w:rsidRPr="005F04FE" w:rsidRDefault="005F04FE" w:rsidP="005F04FE">
            <w:pPr>
              <w:pStyle w:val="13"/>
              <w:ind w:firstLineChars="0" w:firstLine="0"/>
              <w:jc w:val="right"/>
              <w:rPr>
                <w:sz w:val="18"/>
                <w:szCs w:val="18"/>
              </w:rPr>
            </w:pPr>
            <w:r w:rsidRPr="005F04FE">
              <w:rPr>
                <w:sz w:val="18"/>
                <w:szCs w:val="18"/>
              </w:rPr>
              <w:t>69</w:t>
            </w:r>
          </w:p>
        </w:tc>
        <w:tc>
          <w:tcPr>
            <w:tcW w:w="494" w:type="pct"/>
            <w:tcBorders>
              <w:top w:val="nil"/>
              <w:left w:val="nil"/>
              <w:bottom w:val="single" w:sz="4" w:space="0" w:color="auto"/>
              <w:right w:val="single" w:sz="4" w:space="0" w:color="auto"/>
            </w:tcBorders>
            <w:vAlign w:val="center"/>
          </w:tcPr>
          <w:p w14:paraId="219130F1" w14:textId="77777777" w:rsidR="005F04FE" w:rsidRPr="005F04FE" w:rsidRDefault="005F04FE" w:rsidP="005F04FE">
            <w:pPr>
              <w:pStyle w:val="13"/>
              <w:ind w:firstLineChars="0" w:firstLine="0"/>
              <w:jc w:val="right"/>
              <w:rPr>
                <w:sz w:val="18"/>
                <w:szCs w:val="18"/>
              </w:rPr>
            </w:pPr>
            <w:r w:rsidRPr="005F04FE">
              <w:rPr>
                <w:sz w:val="18"/>
                <w:szCs w:val="18"/>
              </w:rPr>
              <w:t>78</w:t>
            </w:r>
          </w:p>
        </w:tc>
        <w:tc>
          <w:tcPr>
            <w:tcW w:w="466" w:type="pct"/>
            <w:tcBorders>
              <w:top w:val="nil"/>
              <w:left w:val="nil"/>
              <w:bottom w:val="single" w:sz="4" w:space="0" w:color="auto"/>
              <w:right w:val="single" w:sz="4" w:space="0" w:color="auto"/>
            </w:tcBorders>
            <w:vAlign w:val="center"/>
          </w:tcPr>
          <w:p w14:paraId="5A0F47B2" w14:textId="77777777" w:rsidR="005F04FE" w:rsidRPr="005F04FE" w:rsidRDefault="005F04FE" w:rsidP="005F04FE">
            <w:pPr>
              <w:pStyle w:val="13"/>
              <w:ind w:firstLineChars="0" w:firstLine="0"/>
              <w:jc w:val="right"/>
              <w:rPr>
                <w:sz w:val="18"/>
                <w:szCs w:val="18"/>
              </w:rPr>
            </w:pPr>
            <w:r w:rsidRPr="005F04FE">
              <w:rPr>
                <w:sz w:val="18"/>
                <w:szCs w:val="18"/>
              </w:rPr>
              <w:t>88</w:t>
            </w:r>
          </w:p>
        </w:tc>
      </w:tr>
      <w:tr w:rsidR="005F04FE" w:rsidRPr="005F04FE" w14:paraId="39C8D009" w14:textId="77777777" w:rsidTr="005F04FE">
        <w:trPr>
          <w:trHeight w:val="210"/>
          <w:jc w:val="right"/>
        </w:trPr>
        <w:tc>
          <w:tcPr>
            <w:tcW w:w="1030" w:type="pct"/>
            <w:tcBorders>
              <w:top w:val="nil"/>
              <w:left w:val="single" w:sz="4" w:space="0" w:color="auto"/>
              <w:bottom w:val="single" w:sz="4" w:space="0" w:color="auto"/>
              <w:right w:val="single" w:sz="4" w:space="0" w:color="auto"/>
            </w:tcBorders>
            <w:vAlign w:val="center"/>
          </w:tcPr>
          <w:p w14:paraId="4C8496A3" w14:textId="77777777" w:rsidR="005F04FE" w:rsidRPr="005F04FE" w:rsidRDefault="005F04FE" w:rsidP="005F04FE">
            <w:pPr>
              <w:pStyle w:val="13"/>
              <w:ind w:firstLineChars="0" w:firstLine="0"/>
              <w:rPr>
                <w:sz w:val="18"/>
                <w:szCs w:val="18"/>
              </w:rPr>
            </w:pPr>
            <w:r w:rsidRPr="005F04FE">
              <w:rPr>
                <w:sz w:val="18"/>
                <w:szCs w:val="18"/>
              </w:rPr>
              <w:t>银行卡手续费</w:t>
            </w:r>
          </w:p>
        </w:tc>
        <w:tc>
          <w:tcPr>
            <w:tcW w:w="598" w:type="pct"/>
            <w:tcBorders>
              <w:top w:val="nil"/>
              <w:left w:val="nil"/>
              <w:bottom w:val="single" w:sz="4" w:space="0" w:color="auto"/>
              <w:right w:val="single" w:sz="4" w:space="0" w:color="auto"/>
            </w:tcBorders>
            <w:vAlign w:val="center"/>
          </w:tcPr>
          <w:p w14:paraId="1593DAC9" w14:textId="77777777" w:rsidR="005F04FE" w:rsidRPr="005F04FE" w:rsidRDefault="005F04FE" w:rsidP="005F04FE">
            <w:pPr>
              <w:pStyle w:val="13"/>
              <w:ind w:firstLineChars="0" w:firstLine="0"/>
              <w:jc w:val="right"/>
              <w:rPr>
                <w:sz w:val="18"/>
                <w:szCs w:val="18"/>
              </w:rPr>
            </w:pPr>
            <w:r w:rsidRPr="005F04FE">
              <w:rPr>
                <w:sz w:val="18"/>
                <w:szCs w:val="18"/>
              </w:rPr>
              <w:t>169</w:t>
            </w:r>
          </w:p>
        </w:tc>
        <w:tc>
          <w:tcPr>
            <w:tcW w:w="437" w:type="pct"/>
            <w:tcBorders>
              <w:top w:val="nil"/>
              <w:left w:val="nil"/>
              <w:bottom w:val="single" w:sz="4" w:space="0" w:color="auto"/>
              <w:right w:val="single" w:sz="4" w:space="0" w:color="auto"/>
            </w:tcBorders>
            <w:vAlign w:val="center"/>
          </w:tcPr>
          <w:p w14:paraId="643D1640" w14:textId="77777777" w:rsidR="005F04FE" w:rsidRPr="005F04FE" w:rsidRDefault="005F04FE" w:rsidP="005F04FE">
            <w:pPr>
              <w:pStyle w:val="13"/>
              <w:ind w:firstLineChars="0" w:firstLine="0"/>
              <w:jc w:val="right"/>
              <w:rPr>
                <w:sz w:val="18"/>
                <w:szCs w:val="18"/>
              </w:rPr>
            </w:pPr>
            <w:r w:rsidRPr="005F04FE">
              <w:rPr>
                <w:sz w:val="18"/>
                <w:szCs w:val="18"/>
              </w:rPr>
              <w:t>616</w:t>
            </w:r>
          </w:p>
        </w:tc>
        <w:tc>
          <w:tcPr>
            <w:tcW w:w="494" w:type="pct"/>
            <w:tcBorders>
              <w:top w:val="nil"/>
              <w:left w:val="nil"/>
              <w:bottom w:val="single" w:sz="4" w:space="0" w:color="auto"/>
              <w:right w:val="single" w:sz="4" w:space="0" w:color="auto"/>
            </w:tcBorders>
            <w:vAlign w:val="center"/>
          </w:tcPr>
          <w:p w14:paraId="168B8F29" w14:textId="77777777" w:rsidR="005F04FE" w:rsidRPr="005F04FE" w:rsidRDefault="005F04FE" w:rsidP="005F04FE">
            <w:pPr>
              <w:pStyle w:val="13"/>
              <w:ind w:firstLineChars="0" w:firstLine="0"/>
              <w:jc w:val="right"/>
              <w:rPr>
                <w:sz w:val="18"/>
                <w:szCs w:val="18"/>
              </w:rPr>
            </w:pPr>
            <w:r w:rsidRPr="005F04FE">
              <w:rPr>
                <w:sz w:val="18"/>
                <w:szCs w:val="18"/>
              </w:rPr>
              <w:t>1,078</w:t>
            </w:r>
          </w:p>
        </w:tc>
        <w:tc>
          <w:tcPr>
            <w:tcW w:w="494" w:type="pct"/>
            <w:tcBorders>
              <w:top w:val="nil"/>
              <w:left w:val="nil"/>
              <w:bottom w:val="single" w:sz="4" w:space="0" w:color="auto"/>
              <w:right w:val="single" w:sz="4" w:space="0" w:color="auto"/>
            </w:tcBorders>
            <w:vAlign w:val="center"/>
          </w:tcPr>
          <w:p w14:paraId="02FFDFAE" w14:textId="77777777" w:rsidR="005F04FE" w:rsidRPr="005F04FE" w:rsidRDefault="005F04FE" w:rsidP="005F04FE">
            <w:pPr>
              <w:pStyle w:val="13"/>
              <w:ind w:firstLineChars="0" w:firstLine="0"/>
              <w:jc w:val="right"/>
              <w:rPr>
                <w:sz w:val="18"/>
                <w:szCs w:val="18"/>
              </w:rPr>
            </w:pPr>
            <w:r w:rsidRPr="005F04FE">
              <w:rPr>
                <w:sz w:val="18"/>
                <w:szCs w:val="18"/>
              </w:rPr>
              <w:t>1,725</w:t>
            </w:r>
          </w:p>
        </w:tc>
        <w:tc>
          <w:tcPr>
            <w:tcW w:w="494" w:type="pct"/>
            <w:tcBorders>
              <w:top w:val="nil"/>
              <w:left w:val="nil"/>
              <w:bottom w:val="single" w:sz="4" w:space="0" w:color="auto"/>
              <w:right w:val="single" w:sz="4" w:space="0" w:color="auto"/>
            </w:tcBorders>
            <w:vAlign w:val="center"/>
          </w:tcPr>
          <w:p w14:paraId="2D34CA23" w14:textId="77777777" w:rsidR="005F04FE" w:rsidRPr="005F04FE" w:rsidRDefault="005F04FE" w:rsidP="005F04FE">
            <w:pPr>
              <w:pStyle w:val="13"/>
              <w:ind w:firstLineChars="0" w:firstLine="0"/>
              <w:jc w:val="right"/>
              <w:rPr>
                <w:sz w:val="18"/>
                <w:szCs w:val="18"/>
              </w:rPr>
            </w:pPr>
            <w:r w:rsidRPr="005F04FE">
              <w:rPr>
                <w:sz w:val="18"/>
                <w:szCs w:val="18"/>
              </w:rPr>
              <w:t>2,406</w:t>
            </w:r>
          </w:p>
        </w:tc>
        <w:tc>
          <w:tcPr>
            <w:tcW w:w="494" w:type="pct"/>
            <w:tcBorders>
              <w:top w:val="nil"/>
              <w:left w:val="nil"/>
              <w:bottom w:val="single" w:sz="4" w:space="0" w:color="auto"/>
              <w:right w:val="single" w:sz="4" w:space="0" w:color="auto"/>
            </w:tcBorders>
            <w:vAlign w:val="center"/>
          </w:tcPr>
          <w:p w14:paraId="5D3B75D6" w14:textId="77777777" w:rsidR="005F04FE" w:rsidRPr="005F04FE" w:rsidRDefault="005F04FE" w:rsidP="005F04FE">
            <w:pPr>
              <w:pStyle w:val="13"/>
              <w:ind w:firstLineChars="0" w:firstLine="0"/>
              <w:jc w:val="right"/>
              <w:rPr>
                <w:sz w:val="18"/>
                <w:szCs w:val="18"/>
              </w:rPr>
            </w:pPr>
            <w:r w:rsidRPr="005F04FE">
              <w:rPr>
                <w:sz w:val="18"/>
                <w:szCs w:val="18"/>
              </w:rPr>
              <w:t>3,272</w:t>
            </w:r>
          </w:p>
        </w:tc>
        <w:tc>
          <w:tcPr>
            <w:tcW w:w="494" w:type="pct"/>
            <w:tcBorders>
              <w:top w:val="nil"/>
              <w:left w:val="nil"/>
              <w:bottom w:val="single" w:sz="4" w:space="0" w:color="auto"/>
              <w:right w:val="single" w:sz="4" w:space="0" w:color="auto"/>
            </w:tcBorders>
            <w:vAlign w:val="center"/>
          </w:tcPr>
          <w:p w14:paraId="4D246A68" w14:textId="77777777" w:rsidR="005F04FE" w:rsidRPr="005F04FE" w:rsidRDefault="005F04FE" w:rsidP="005F04FE">
            <w:pPr>
              <w:pStyle w:val="13"/>
              <w:ind w:firstLineChars="0" w:firstLine="0"/>
              <w:jc w:val="right"/>
              <w:rPr>
                <w:sz w:val="18"/>
                <w:szCs w:val="18"/>
              </w:rPr>
            </w:pPr>
            <w:r w:rsidRPr="005F04FE">
              <w:rPr>
                <w:sz w:val="18"/>
                <w:szCs w:val="18"/>
              </w:rPr>
              <w:t>4,418</w:t>
            </w:r>
          </w:p>
        </w:tc>
        <w:tc>
          <w:tcPr>
            <w:tcW w:w="466" w:type="pct"/>
            <w:tcBorders>
              <w:top w:val="nil"/>
              <w:left w:val="nil"/>
              <w:bottom w:val="single" w:sz="4" w:space="0" w:color="auto"/>
              <w:right w:val="single" w:sz="4" w:space="0" w:color="auto"/>
            </w:tcBorders>
            <w:vAlign w:val="center"/>
          </w:tcPr>
          <w:p w14:paraId="0913058E" w14:textId="77777777" w:rsidR="005F04FE" w:rsidRPr="005F04FE" w:rsidRDefault="005F04FE" w:rsidP="005F04FE">
            <w:pPr>
              <w:pStyle w:val="13"/>
              <w:ind w:firstLineChars="0" w:firstLine="0"/>
              <w:jc w:val="right"/>
              <w:rPr>
                <w:sz w:val="18"/>
                <w:szCs w:val="18"/>
              </w:rPr>
            </w:pPr>
            <w:r w:rsidRPr="005F04FE">
              <w:rPr>
                <w:sz w:val="18"/>
                <w:szCs w:val="18"/>
              </w:rPr>
              <w:t>5,893</w:t>
            </w:r>
          </w:p>
        </w:tc>
      </w:tr>
      <w:tr w:rsidR="005F04FE" w:rsidRPr="005F04FE" w14:paraId="5238E6CB" w14:textId="77777777" w:rsidTr="005F04FE">
        <w:trPr>
          <w:trHeight w:val="210"/>
          <w:jc w:val="right"/>
        </w:trPr>
        <w:tc>
          <w:tcPr>
            <w:tcW w:w="1030" w:type="pct"/>
            <w:tcBorders>
              <w:top w:val="nil"/>
              <w:left w:val="single" w:sz="4" w:space="0" w:color="auto"/>
              <w:bottom w:val="single" w:sz="4" w:space="0" w:color="auto"/>
              <w:right w:val="single" w:sz="4" w:space="0" w:color="auto"/>
            </w:tcBorders>
            <w:vAlign w:val="center"/>
          </w:tcPr>
          <w:p w14:paraId="67E1ACA1" w14:textId="77777777" w:rsidR="005F04FE" w:rsidRPr="005F04FE" w:rsidRDefault="005F04FE" w:rsidP="005F04FE">
            <w:pPr>
              <w:pStyle w:val="13"/>
              <w:ind w:firstLineChars="0" w:firstLine="0"/>
              <w:rPr>
                <w:sz w:val="18"/>
                <w:szCs w:val="18"/>
              </w:rPr>
            </w:pPr>
            <w:r w:rsidRPr="005F04FE">
              <w:rPr>
                <w:sz w:val="18"/>
                <w:szCs w:val="18"/>
              </w:rPr>
              <w:t>托管及其他受托业务佣金</w:t>
            </w:r>
          </w:p>
        </w:tc>
        <w:tc>
          <w:tcPr>
            <w:tcW w:w="598" w:type="pct"/>
            <w:tcBorders>
              <w:top w:val="nil"/>
              <w:left w:val="nil"/>
              <w:bottom w:val="single" w:sz="4" w:space="0" w:color="auto"/>
              <w:right w:val="single" w:sz="4" w:space="0" w:color="auto"/>
            </w:tcBorders>
            <w:vAlign w:val="center"/>
          </w:tcPr>
          <w:p w14:paraId="57A881A4" w14:textId="77777777" w:rsidR="005F04FE" w:rsidRPr="005F04FE" w:rsidRDefault="005F04FE" w:rsidP="005F04FE">
            <w:pPr>
              <w:pStyle w:val="13"/>
              <w:ind w:firstLineChars="0" w:firstLine="0"/>
              <w:jc w:val="right"/>
              <w:rPr>
                <w:sz w:val="18"/>
                <w:szCs w:val="18"/>
              </w:rPr>
            </w:pPr>
            <w:r w:rsidRPr="005F04FE">
              <w:rPr>
                <w:sz w:val="18"/>
                <w:szCs w:val="18"/>
              </w:rPr>
              <w:t>84</w:t>
            </w:r>
          </w:p>
        </w:tc>
        <w:tc>
          <w:tcPr>
            <w:tcW w:w="437" w:type="pct"/>
            <w:tcBorders>
              <w:top w:val="nil"/>
              <w:left w:val="nil"/>
              <w:bottom w:val="single" w:sz="4" w:space="0" w:color="auto"/>
              <w:right w:val="single" w:sz="4" w:space="0" w:color="auto"/>
            </w:tcBorders>
            <w:vAlign w:val="center"/>
          </w:tcPr>
          <w:p w14:paraId="768252A8" w14:textId="77777777" w:rsidR="005F04FE" w:rsidRPr="005F04FE" w:rsidRDefault="005F04FE" w:rsidP="005F04FE">
            <w:pPr>
              <w:pStyle w:val="13"/>
              <w:ind w:firstLineChars="0" w:firstLine="0"/>
              <w:jc w:val="right"/>
              <w:rPr>
                <w:sz w:val="18"/>
                <w:szCs w:val="18"/>
              </w:rPr>
            </w:pPr>
            <w:r w:rsidRPr="005F04FE">
              <w:rPr>
                <w:sz w:val="18"/>
                <w:szCs w:val="18"/>
              </w:rPr>
              <w:t>227</w:t>
            </w:r>
          </w:p>
        </w:tc>
        <w:tc>
          <w:tcPr>
            <w:tcW w:w="494" w:type="pct"/>
            <w:tcBorders>
              <w:top w:val="nil"/>
              <w:left w:val="nil"/>
              <w:bottom w:val="single" w:sz="4" w:space="0" w:color="auto"/>
              <w:right w:val="single" w:sz="4" w:space="0" w:color="auto"/>
            </w:tcBorders>
            <w:vAlign w:val="center"/>
          </w:tcPr>
          <w:p w14:paraId="00A9EE52" w14:textId="77777777" w:rsidR="005F04FE" w:rsidRPr="005F04FE" w:rsidRDefault="005F04FE" w:rsidP="005F04FE">
            <w:pPr>
              <w:pStyle w:val="13"/>
              <w:ind w:firstLineChars="0" w:firstLine="0"/>
              <w:jc w:val="right"/>
              <w:rPr>
                <w:sz w:val="18"/>
                <w:szCs w:val="18"/>
              </w:rPr>
            </w:pPr>
            <w:r w:rsidRPr="005F04FE">
              <w:rPr>
                <w:sz w:val="18"/>
                <w:szCs w:val="18"/>
              </w:rPr>
              <w:t>431</w:t>
            </w:r>
          </w:p>
        </w:tc>
        <w:tc>
          <w:tcPr>
            <w:tcW w:w="494" w:type="pct"/>
            <w:tcBorders>
              <w:top w:val="nil"/>
              <w:left w:val="nil"/>
              <w:bottom w:val="single" w:sz="4" w:space="0" w:color="auto"/>
              <w:right w:val="single" w:sz="4" w:space="0" w:color="auto"/>
            </w:tcBorders>
            <w:vAlign w:val="center"/>
          </w:tcPr>
          <w:p w14:paraId="122879DD" w14:textId="77777777" w:rsidR="005F04FE" w:rsidRPr="005F04FE" w:rsidRDefault="005F04FE" w:rsidP="005F04FE">
            <w:pPr>
              <w:pStyle w:val="13"/>
              <w:ind w:firstLineChars="0" w:firstLine="0"/>
              <w:jc w:val="right"/>
              <w:rPr>
                <w:sz w:val="18"/>
                <w:szCs w:val="18"/>
              </w:rPr>
            </w:pPr>
            <w:r w:rsidRPr="005F04FE">
              <w:rPr>
                <w:sz w:val="18"/>
                <w:szCs w:val="18"/>
              </w:rPr>
              <w:t>712</w:t>
            </w:r>
          </w:p>
        </w:tc>
        <w:tc>
          <w:tcPr>
            <w:tcW w:w="494" w:type="pct"/>
            <w:tcBorders>
              <w:top w:val="nil"/>
              <w:left w:val="nil"/>
              <w:bottom w:val="single" w:sz="4" w:space="0" w:color="auto"/>
              <w:right w:val="single" w:sz="4" w:space="0" w:color="auto"/>
            </w:tcBorders>
            <w:vAlign w:val="center"/>
          </w:tcPr>
          <w:p w14:paraId="35D7BDFF" w14:textId="77777777" w:rsidR="005F04FE" w:rsidRPr="005F04FE" w:rsidRDefault="005F04FE" w:rsidP="005F04FE">
            <w:pPr>
              <w:pStyle w:val="13"/>
              <w:ind w:firstLineChars="0" w:firstLine="0"/>
              <w:jc w:val="right"/>
              <w:rPr>
                <w:sz w:val="18"/>
                <w:szCs w:val="18"/>
              </w:rPr>
            </w:pPr>
            <w:r w:rsidRPr="005F04FE">
              <w:rPr>
                <w:sz w:val="18"/>
                <w:szCs w:val="18"/>
              </w:rPr>
              <w:t>968</w:t>
            </w:r>
          </w:p>
        </w:tc>
        <w:tc>
          <w:tcPr>
            <w:tcW w:w="494" w:type="pct"/>
            <w:tcBorders>
              <w:top w:val="nil"/>
              <w:left w:val="nil"/>
              <w:bottom w:val="single" w:sz="4" w:space="0" w:color="auto"/>
              <w:right w:val="single" w:sz="4" w:space="0" w:color="auto"/>
            </w:tcBorders>
            <w:vAlign w:val="center"/>
          </w:tcPr>
          <w:p w14:paraId="30A0B325" w14:textId="77777777" w:rsidR="005F04FE" w:rsidRPr="005F04FE" w:rsidRDefault="005F04FE" w:rsidP="005F04FE">
            <w:pPr>
              <w:pStyle w:val="13"/>
              <w:ind w:firstLineChars="0" w:firstLine="0"/>
              <w:jc w:val="right"/>
              <w:rPr>
                <w:sz w:val="18"/>
                <w:szCs w:val="18"/>
              </w:rPr>
            </w:pPr>
            <w:r w:rsidRPr="005F04FE">
              <w:rPr>
                <w:sz w:val="18"/>
                <w:szCs w:val="18"/>
              </w:rPr>
              <w:t>1,258</w:t>
            </w:r>
          </w:p>
        </w:tc>
        <w:tc>
          <w:tcPr>
            <w:tcW w:w="494" w:type="pct"/>
            <w:tcBorders>
              <w:top w:val="nil"/>
              <w:left w:val="nil"/>
              <w:bottom w:val="single" w:sz="4" w:space="0" w:color="auto"/>
              <w:right w:val="single" w:sz="4" w:space="0" w:color="auto"/>
            </w:tcBorders>
            <w:vAlign w:val="center"/>
          </w:tcPr>
          <w:p w14:paraId="200569F6" w14:textId="77777777" w:rsidR="005F04FE" w:rsidRPr="005F04FE" w:rsidRDefault="005F04FE" w:rsidP="005F04FE">
            <w:pPr>
              <w:pStyle w:val="13"/>
              <w:ind w:firstLineChars="0" w:firstLine="0"/>
              <w:jc w:val="right"/>
              <w:rPr>
                <w:sz w:val="18"/>
                <w:szCs w:val="18"/>
              </w:rPr>
            </w:pPr>
            <w:r w:rsidRPr="005F04FE">
              <w:rPr>
                <w:sz w:val="18"/>
                <w:szCs w:val="18"/>
              </w:rPr>
              <w:t>1,616</w:t>
            </w:r>
          </w:p>
        </w:tc>
        <w:tc>
          <w:tcPr>
            <w:tcW w:w="466" w:type="pct"/>
            <w:tcBorders>
              <w:top w:val="nil"/>
              <w:left w:val="nil"/>
              <w:bottom w:val="single" w:sz="4" w:space="0" w:color="auto"/>
              <w:right w:val="single" w:sz="4" w:space="0" w:color="auto"/>
            </w:tcBorders>
            <w:vAlign w:val="center"/>
          </w:tcPr>
          <w:p w14:paraId="0ABEBBD7" w14:textId="77777777" w:rsidR="005F04FE" w:rsidRPr="005F04FE" w:rsidRDefault="005F04FE" w:rsidP="005F04FE">
            <w:pPr>
              <w:pStyle w:val="13"/>
              <w:ind w:firstLineChars="0" w:firstLine="0"/>
              <w:jc w:val="right"/>
              <w:rPr>
                <w:sz w:val="18"/>
                <w:szCs w:val="18"/>
              </w:rPr>
            </w:pPr>
            <w:r w:rsidRPr="005F04FE">
              <w:rPr>
                <w:sz w:val="18"/>
                <w:szCs w:val="18"/>
              </w:rPr>
              <w:t>2,036</w:t>
            </w:r>
          </w:p>
        </w:tc>
      </w:tr>
      <w:tr w:rsidR="005F04FE" w:rsidRPr="005F04FE" w14:paraId="553AE452" w14:textId="77777777" w:rsidTr="005F04FE">
        <w:trPr>
          <w:trHeight w:val="210"/>
          <w:jc w:val="right"/>
        </w:trPr>
        <w:tc>
          <w:tcPr>
            <w:tcW w:w="1030" w:type="pct"/>
            <w:tcBorders>
              <w:top w:val="nil"/>
              <w:left w:val="single" w:sz="4" w:space="0" w:color="auto"/>
              <w:bottom w:val="single" w:sz="4" w:space="0" w:color="auto"/>
              <w:right w:val="single" w:sz="4" w:space="0" w:color="auto"/>
            </w:tcBorders>
            <w:vAlign w:val="center"/>
          </w:tcPr>
          <w:p w14:paraId="6BFAE2B8" w14:textId="77777777" w:rsidR="005F04FE" w:rsidRPr="005F04FE" w:rsidRDefault="005F04FE" w:rsidP="005F04FE">
            <w:pPr>
              <w:pStyle w:val="13"/>
              <w:ind w:firstLineChars="0" w:firstLine="0"/>
              <w:rPr>
                <w:sz w:val="18"/>
                <w:szCs w:val="18"/>
              </w:rPr>
            </w:pPr>
            <w:r w:rsidRPr="005F04FE">
              <w:rPr>
                <w:sz w:val="18"/>
                <w:szCs w:val="18"/>
              </w:rPr>
              <w:t>其他</w:t>
            </w:r>
          </w:p>
        </w:tc>
        <w:tc>
          <w:tcPr>
            <w:tcW w:w="598" w:type="pct"/>
            <w:tcBorders>
              <w:top w:val="nil"/>
              <w:left w:val="nil"/>
              <w:bottom w:val="single" w:sz="4" w:space="0" w:color="auto"/>
              <w:right w:val="single" w:sz="4" w:space="0" w:color="auto"/>
            </w:tcBorders>
            <w:vAlign w:val="center"/>
          </w:tcPr>
          <w:p w14:paraId="12D8990B" w14:textId="77777777" w:rsidR="005F04FE" w:rsidRPr="005F04FE" w:rsidRDefault="005F04FE" w:rsidP="005F04FE">
            <w:pPr>
              <w:pStyle w:val="13"/>
              <w:ind w:firstLineChars="0" w:firstLine="0"/>
              <w:jc w:val="right"/>
              <w:rPr>
                <w:sz w:val="18"/>
                <w:szCs w:val="18"/>
              </w:rPr>
            </w:pPr>
            <w:r w:rsidRPr="005F04FE">
              <w:rPr>
                <w:sz w:val="18"/>
                <w:szCs w:val="18"/>
              </w:rPr>
              <w:t>28</w:t>
            </w:r>
          </w:p>
        </w:tc>
        <w:tc>
          <w:tcPr>
            <w:tcW w:w="437" w:type="pct"/>
            <w:tcBorders>
              <w:top w:val="nil"/>
              <w:left w:val="nil"/>
              <w:bottom w:val="single" w:sz="4" w:space="0" w:color="auto"/>
              <w:right w:val="single" w:sz="4" w:space="0" w:color="auto"/>
            </w:tcBorders>
            <w:vAlign w:val="center"/>
          </w:tcPr>
          <w:p w14:paraId="1A73F990" w14:textId="77777777" w:rsidR="005F04FE" w:rsidRPr="005F04FE" w:rsidRDefault="005F04FE" w:rsidP="005F04FE">
            <w:pPr>
              <w:pStyle w:val="13"/>
              <w:ind w:firstLineChars="0" w:firstLine="0"/>
              <w:jc w:val="right"/>
              <w:rPr>
                <w:sz w:val="18"/>
                <w:szCs w:val="18"/>
              </w:rPr>
            </w:pPr>
            <w:r w:rsidRPr="005F04FE">
              <w:rPr>
                <w:sz w:val="18"/>
                <w:szCs w:val="18"/>
              </w:rPr>
              <w:t>160</w:t>
            </w:r>
          </w:p>
        </w:tc>
        <w:tc>
          <w:tcPr>
            <w:tcW w:w="494" w:type="pct"/>
            <w:tcBorders>
              <w:top w:val="nil"/>
              <w:left w:val="nil"/>
              <w:bottom w:val="single" w:sz="4" w:space="0" w:color="auto"/>
              <w:right w:val="single" w:sz="4" w:space="0" w:color="auto"/>
            </w:tcBorders>
            <w:vAlign w:val="center"/>
          </w:tcPr>
          <w:p w14:paraId="6E39D67C" w14:textId="77777777" w:rsidR="005F04FE" w:rsidRPr="005F04FE" w:rsidRDefault="005F04FE" w:rsidP="005F04FE">
            <w:pPr>
              <w:pStyle w:val="13"/>
              <w:ind w:firstLineChars="0" w:firstLine="0"/>
              <w:jc w:val="right"/>
              <w:rPr>
                <w:sz w:val="18"/>
                <w:szCs w:val="18"/>
              </w:rPr>
            </w:pPr>
            <w:r w:rsidRPr="005F04FE">
              <w:rPr>
                <w:sz w:val="18"/>
                <w:szCs w:val="18"/>
              </w:rPr>
              <w:t>213</w:t>
            </w:r>
          </w:p>
        </w:tc>
        <w:tc>
          <w:tcPr>
            <w:tcW w:w="494" w:type="pct"/>
            <w:tcBorders>
              <w:top w:val="nil"/>
              <w:left w:val="nil"/>
              <w:bottom w:val="single" w:sz="4" w:space="0" w:color="auto"/>
              <w:right w:val="single" w:sz="4" w:space="0" w:color="auto"/>
            </w:tcBorders>
            <w:vAlign w:val="center"/>
          </w:tcPr>
          <w:p w14:paraId="3BE656B2" w14:textId="77777777" w:rsidR="005F04FE" w:rsidRPr="005F04FE" w:rsidRDefault="005F04FE" w:rsidP="005F04FE">
            <w:pPr>
              <w:pStyle w:val="13"/>
              <w:ind w:firstLineChars="0" w:firstLine="0"/>
              <w:jc w:val="right"/>
              <w:rPr>
                <w:sz w:val="18"/>
                <w:szCs w:val="18"/>
              </w:rPr>
            </w:pPr>
            <w:r w:rsidRPr="005F04FE">
              <w:rPr>
                <w:sz w:val="18"/>
                <w:szCs w:val="18"/>
              </w:rPr>
              <w:t>266</w:t>
            </w:r>
          </w:p>
        </w:tc>
        <w:tc>
          <w:tcPr>
            <w:tcW w:w="494" w:type="pct"/>
            <w:tcBorders>
              <w:top w:val="nil"/>
              <w:left w:val="nil"/>
              <w:bottom w:val="single" w:sz="4" w:space="0" w:color="auto"/>
              <w:right w:val="single" w:sz="4" w:space="0" w:color="auto"/>
            </w:tcBorders>
            <w:vAlign w:val="center"/>
          </w:tcPr>
          <w:p w14:paraId="0E98CA0D" w14:textId="77777777" w:rsidR="005F04FE" w:rsidRPr="005F04FE" w:rsidRDefault="005F04FE" w:rsidP="005F04FE">
            <w:pPr>
              <w:pStyle w:val="13"/>
              <w:ind w:firstLineChars="0" w:firstLine="0"/>
              <w:jc w:val="right"/>
              <w:rPr>
                <w:sz w:val="18"/>
                <w:szCs w:val="18"/>
              </w:rPr>
            </w:pPr>
            <w:r w:rsidRPr="005F04FE">
              <w:rPr>
                <w:sz w:val="18"/>
                <w:szCs w:val="18"/>
              </w:rPr>
              <w:t>314</w:t>
            </w:r>
          </w:p>
        </w:tc>
        <w:tc>
          <w:tcPr>
            <w:tcW w:w="494" w:type="pct"/>
            <w:tcBorders>
              <w:top w:val="nil"/>
              <w:left w:val="nil"/>
              <w:bottom w:val="single" w:sz="4" w:space="0" w:color="auto"/>
              <w:right w:val="single" w:sz="4" w:space="0" w:color="auto"/>
            </w:tcBorders>
            <w:vAlign w:val="center"/>
          </w:tcPr>
          <w:p w14:paraId="168C10F8" w14:textId="77777777" w:rsidR="005F04FE" w:rsidRPr="005F04FE" w:rsidRDefault="005F04FE" w:rsidP="005F04FE">
            <w:pPr>
              <w:pStyle w:val="13"/>
              <w:ind w:firstLineChars="0" w:firstLine="0"/>
              <w:jc w:val="right"/>
              <w:rPr>
                <w:sz w:val="18"/>
                <w:szCs w:val="18"/>
              </w:rPr>
            </w:pPr>
            <w:r w:rsidRPr="005F04FE">
              <w:rPr>
                <w:sz w:val="18"/>
                <w:szCs w:val="18"/>
              </w:rPr>
              <w:t>364</w:t>
            </w:r>
          </w:p>
        </w:tc>
        <w:tc>
          <w:tcPr>
            <w:tcW w:w="494" w:type="pct"/>
            <w:tcBorders>
              <w:top w:val="nil"/>
              <w:left w:val="nil"/>
              <w:bottom w:val="single" w:sz="4" w:space="0" w:color="auto"/>
              <w:right w:val="single" w:sz="4" w:space="0" w:color="auto"/>
            </w:tcBorders>
            <w:vAlign w:val="center"/>
          </w:tcPr>
          <w:p w14:paraId="1673AF12" w14:textId="77777777" w:rsidR="005F04FE" w:rsidRPr="005F04FE" w:rsidRDefault="005F04FE" w:rsidP="005F04FE">
            <w:pPr>
              <w:pStyle w:val="13"/>
              <w:ind w:firstLineChars="0" w:firstLine="0"/>
              <w:jc w:val="right"/>
              <w:rPr>
                <w:sz w:val="18"/>
                <w:szCs w:val="18"/>
              </w:rPr>
            </w:pPr>
            <w:r w:rsidRPr="005F04FE">
              <w:rPr>
                <w:sz w:val="18"/>
                <w:szCs w:val="18"/>
              </w:rPr>
              <w:t>419</w:t>
            </w:r>
          </w:p>
        </w:tc>
        <w:tc>
          <w:tcPr>
            <w:tcW w:w="466" w:type="pct"/>
            <w:tcBorders>
              <w:top w:val="nil"/>
              <w:left w:val="nil"/>
              <w:bottom w:val="single" w:sz="4" w:space="0" w:color="auto"/>
              <w:right w:val="single" w:sz="4" w:space="0" w:color="auto"/>
            </w:tcBorders>
            <w:vAlign w:val="center"/>
          </w:tcPr>
          <w:p w14:paraId="6F10091F" w14:textId="77777777" w:rsidR="005F04FE" w:rsidRPr="005F04FE" w:rsidRDefault="005F04FE" w:rsidP="005F04FE">
            <w:pPr>
              <w:pStyle w:val="13"/>
              <w:ind w:firstLineChars="0" w:firstLine="0"/>
              <w:jc w:val="right"/>
              <w:rPr>
                <w:sz w:val="18"/>
                <w:szCs w:val="18"/>
              </w:rPr>
            </w:pPr>
            <w:r w:rsidRPr="005F04FE">
              <w:rPr>
                <w:sz w:val="18"/>
                <w:szCs w:val="18"/>
              </w:rPr>
              <w:t>477</w:t>
            </w:r>
          </w:p>
        </w:tc>
      </w:tr>
    </w:tbl>
    <w:p w14:paraId="0347005B" w14:textId="77777777" w:rsidR="005F04FE" w:rsidRDefault="005F04FE" w:rsidP="005F04FE">
      <w:pPr>
        <w:pStyle w:val="ab"/>
        <w:spacing w:before="62" w:after="62"/>
        <w:ind w:firstLine="482"/>
      </w:pPr>
      <w:r>
        <w:rPr>
          <w:rFonts w:hint="eastAsia"/>
        </w:rPr>
        <w:t>案例四：证券公司的手续费收入预测</w:t>
      </w:r>
    </w:p>
    <w:p w14:paraId="55E561C6" w14:textId="77777777" w:rsidR="005F04FE" w:rsidRDefault="005F04FE" w:rsidP="005F04FE">
      <w:pPr>
        <w:pStyle w:val="13"/>
      </w:pPr>
      <w:r>
        <w:rPr>
          <w:rFonts w:hint="eastAsia"/>
        </w:rPr>
        <w:t>手续费及佣金净收入＝手续费及佣金收入－手续费及佣金支出。</w:t>
      </w:r>
    </w:p>
    <w:p w14:paraId="5BE4C40B" w14:textId="77777777" w:rsidR="005F04FE" w:rsidRDefault="005F04FE" w:rsidP="005F04FE">
      <w:pPr>
        <w:pStyle w:val="13"/>
      </w:pPr>
      <w:r>
        <w:rPr>
          <w:rFonts w:hint="eastAsia"/>
        </w:rPr>
        <w:t>手续费及佣金收入＝市场成交额×</w:t>
      </w:r>
      <w:r>
        <w:t>2×市场份额×平均佣金率</w:t>
      </w:r>
    </w:p>
    <w:p w14:paraId="7241C60A" w14:textId="77777777" w:rsidR="005F04FE" w:rsidRDefault="005F04FE" w:rsidP="005F04FE">
      <w:pPr>
        <w:pStyle w:val="13"/>
      </w:pPr>
      <w:r>
        <w:rPr>
          <w:rFonts w:hint="eastAsia"/>
        </w:rPr>
        <w:t>手续费及佣金支出＝代理买卖证券业务的收入×代理买卖证券的平均费用比率</w:t>
      </w:r>
    </w:p>
    <w:p w14:paraId="60576AFC" w14:textId="77777777" w:rsidR="005F04FE" w:rsidRDefault="005F04FE" w:rsidP="005F04FE">
      <w:pPr>
        <w:pStyle w:val="13"/>
      </w:pPr>
      <w:r>
        <w:t>1、市场成交额预测</w:t>
      </w:r>
    </w:p>
    <w:p w14:paraId="14B04168" w14:textId="77777777" w:rsidR="005F04FE" w:rsidRDefault="005F04FE" w:rsidP="005F04FE">
      <w:pPr>
        <w:pStyle w:val="13"/>
      </w:pPr>
      <w:r>
        <w:rPr>
          <w:rFonts w:hint="eastAsia"/>
        </w:rPr>
        <w:t>成交额是反映证券市场运行情况的重要参数之一，从我国证券行业发展的历史轨迹来看，证券交易的活跃程度与证券指数呈正相关，但更主要与市场股权结构、流通股票容量以及资金供求相关联。</w:t>
      </w:r>
    </w:p>
    <w:p w14:paraId="48C9EFEC" w14:textId="77777777" w:rsidR="005F04FE" w:rsidRDefault="005F04FE" w:rsidP="005F04FE">
      <w:pPr>
        <w:pStyle w:val="13"/>
        <w:jc w:val="center"/>
      </w:pPr>
      <w:r>
        <w:t>A股市场单边交易额统计表</w:t>
      </w:r>
    </w:p>
    <w:p w14:paraId="618921DB" w14:textId="060612F8" w:rsidR="00685D93" w:rsidRPr="005F04FE" w:rsidRDefault="005F04FE" w:rsidP="005F04FE">
      <w:pPr>
        <w:pStyle w:val="13"/>
        <w:ind w:firstLine="400"/>
        <w:jc w:val="right"/>
        <w:rPr>
          <w:sz w:val="20"/>
          <w:szCs w:val="20"/>
        </w:rPr>
      </w:pPr>
      <w:r w:rsidRPr="005F04FE">
        <w:rPr>
          <w:rFonts w:hint="eastAsia"/>
          <w:sz w:val="20"/>
          <w:szCs w:val="20"/>
        </w:rPr>
        <w:t>金额单位：人民币万元</w:t>
      </w:r>
    </w:p>
    <w:tbl>
      <w:tblPr>
        <w:tblW w:w="5000" w:type="pct"/>
        <w:tblLook w:val="04A0" w:firstRow="1" w:lastRow="0" w:firstColumn="1" w:lastColumn="0" w:noHBand="0" w:noVBand="1"/>
      </w:tblPr>
      <w:tblGrid>
        <w:gridCol w:w="3083"/>
        <w:gridCol w:w="1957"/>
        <w:gridCol w:w="1957"/>
        <w:gridCol w:w="1723"/>
      </w:tblGrid>
      <w:tr w:rsidR="005F04FE" w:rsidRPr="005F04FE" w14:paraId="219E154C" w14:textId="77777777" w:rsidTr="005F04FE">
        <w:trPr>
          <w:trHeight w:val="270"/>
        </w:trPr>
        <w:tc>
          <w:tcPr>
            <w:tcW w:w="1768" w:type="pct"/>
            <w:tcBorders>
              <w:top w:val="single" w:sz="4" w:space="0" w:color="auto"/>
              <w:left w:val="single" w:sz="4" w:space="0" w:color="auto"/>
              <w:bottom w:val="single" w:sz="4" w:space="0" w:color="auto"/>
              <w:right w:val="single" w:sz="4" w:space="0" w:color="auto"/>
            </w:tcBorders>
            <w:vAlign w:val="center"/>
          </w:tcPr>
          <w:p w14:paraId="2AA311C2" w14:textId="77777777" w:rsidR="005F04FE" w:rsidRPr="00E905CE" w:rsidRDefault="005F04FE" w:rsidP="005F04FE">
            <w:pPr>
              <w:pStyle w:val="13"/>
              <w:ind w:firstLineChars="0" w:firstLine="0"/>
              <w:jc w:val="center"/>
              <w:rPr>
                <w:b/>
                <w:bCs/>
                <w:sz w:val="21"/>
                <w:szCs w:val="21"/>
              </w:rPr>
            </w:pPr>
            <w:r w:rsidRPr="00E905CE">
              <w:rPr>
                <w:b/>
                <w:bCs/>
                <w:sz w:val="21"/>
                <w:szCs w:val="21"/>
              </w:rPr>
              <w:t>项目</w:t>
            </w:r>
          </w:p>
        </w:tc>
        <w:tc>
          <w:tcPr>
            <w:tcW w:w="1122" w:type="pct"/>
            <w:tcBorders>
              <w:top w:val="single" w:sz="4" w:space="0" w:color="auto"/>
              <w:left w:val="nil"/>
              <w:bottom w:val="single" w:sz="4" w:space="0" w:color="auto"/>
              <w:right w:val="single" w:sz="4" w:space="0" w:color="auto"/>
            </w:tcBorders>
            <w:vAlign w:val="center"/>
          </w:tcPr>
          <w:p w14:paraId="4CED0F47" w14:textId="77777777" w:rsidR="005F04FE" w:rsidRPr="00E905CE" w:rsidRDefault="005F04FE" w:rsidP="005F04FE">
            <w:pPr>
              <w:pStyle w:val="13"/>
              <w:ind w:firstLineChars="0" w:firstLine="0"/>
              <w:jc w:val="center"/>
              <w:rPr>
                <w:b/>
                <w:bCs/>
                <w:sz w:val="21"/>
                <w:szCs w:val="21"/>
              </w:rPr>
            </w:pPr>
            <w:r w:rsidRPr="00E905CE">
              <w:rPr>
                <w:b/>
                <w:bCs/>
                <w:sz w:val="21"/>
                <w:szCs w:val="21"/>
              </w:rPr>
              <w:t>20</w:t>
            </w:r>
            <w:r w:rsidRPr="00E905CE">
              <w:rPr>
                <w:rFonts w:hint="eastAsia"/>
                <w:b/>
                <w:bCs/>
                <w:sz w:val="21"/>
                <w:szCs w:val="21"/>
              </w:rPr>
              <w:t>y</w:t>
            </w:r>
            <w:r w:rsidRPr="00E905CE">
              <w:rPr>
                <w:b/>
                <w:bCs/>
                <w:sz w:val="21"/>
                <w:szCs w:val="21"/>
              </w:rPr>
              <w:t>9年</w:t>
            </w:r>
          </w:p>
        </w:tc>
        <w:tc>
          <w:tcPr>
            <w:tcW w:w="1122" w:type="pct"/>
            <w:tcBorders>
              <w:top w:val="single" w:sz="4" w:space="0" w:color="auto"/>
              <w:left w:val="nil"/>
              <w:bottom w:val="single" w:sz="4" w:space="0" w:color="auto"/>
              <w:right w:val="single" w:sz="4" w:space="0" w:color="auto"/>
            </w:tcBorders>
            <w:vAlign w:val="center"/>
          </w:tcPr>
          <w:p w14:paraId="3D6FE6EE" w14:textId="77777777" w:rsidR="005F04FE" w:rsidRPr="00E905CE" w:rsidRDefault="005F04FE" w:rsidP="005F04FE">
            <w:pPr>
              <w:pStyle w:val="13"/>
              <w:ind w:firstLineChars="0" w:firstLine="0"/>
              <w:jc w:val="center"/>
              <w:rPr>
                <w:b/>
                <w:bCs/>
                <w:sz w:val="21"/>
                <w:szCs w:val="21"/>
              </w:rPr>
            </w:pPr>
            <w:r w:rsidRPr="00E905CE">
              <w:rPr>
                <w:b/>
                <w:bCs/>
                <w:sz w:val="21"/>
                <w:szCs w:val="21"/>
              </w:rPr>
              <w:t>20x0年</w:t>
            </w:r>
          </w:p>
        </w:tc>
        <w:tc>
          <w:tcPr>
            <w:tcW w:w="988" w:type="pct"/>
            <w:tcBorders>
              <w:top w:val="single" w:sz="4" w:space="0" w:color="auto"/>
              <w:left w:val="nil"/>
              <w:bottom w:val="single" w:sz="4" w:space="0" w:color="auto"/>
              <w:right w:val="single" w:sz="4" w:space="0" w:color="auto"/>
            </w:tcBorders>
            <w:vAlign w:val="center"/>
          </w:tcPr>
          <w:p w14:paraId="08FB093D" w14:textId="77777777" w:rsidR="005F04FE" w:rsidRPr="00E905CE" w:rsidRDefault="005F04FE" w:rsidP="005F04FE">
            <w:pPr>
              <w:pStyle w:val="13"/>
              <w:ind w:firstLineChars="0" w:firstLine="0"/>
              <w:jc w:val="center"/>
              <w:rPr>
                <w:b/>
                <w:bCs/>
                <w:sz w:val="21"/>
                <w:szCs w:val="21"/>
              </w:rPr>
            </w:pPr>
            <w:r w:rsidRPr="00E905CE">
              <w:rPr>
                <w:b/>
                <w:bCs/>
                <w:sz w:val="21"/>
                <w:szCs w:val="21"/>
              </w:rPr>
              <w:t>20x1年</w:t>
            </w:r>
          </w:p>
        </w:tc>
      </w:tr>
      <w:tr w:rsidR="005F04FE" w:rsidRPr="005F04FE" w14:paraId="3C688F27" w14:textId="77777777" w:rsidTr="005F04FE">
        <w:trPr>
          <w:trHeight w:val="270"/>
        </w:trPr>
        <w:tc>
          <w:tcPr>
            <w:tcW w:w="1768" w:type="pct"/>
            <w:tcBorders>
              <w:top w:val="nil"/>
              <w:left w:val="single" w:sz="4" w:space="0" w:color="auto"/>
              <w:bottom w:val="single" w:sz="4" w:space="0" w:color="auto"/>
              <w:right w:val="single" w:sz="4" w:space="0" w:color="auto"/>
            </w:tcBorders>
            <w:vAlign w:val="center"/>
          </w:tcPr>
          <w:p w14:paraId="48A3B78F" w14:textId="77777777" w:rsidR="005F04FE" w:rsidRPr="00E905CE" w:rsidRDefault="005F04FE" w:rsidP="005F04FE">
            <w:pPr>
              <w:pStyle w:val="13"/>
              <w:ind w:firstLineChars="0" w:firstLine="0"/>
              <w:rPr>
                <w:sz w:val="21"/>
                <w:szCs w:val="21"/>
              </w:rPr>
            </w:pPr>
            <w:r w:rsidRPr="00E905CE">
              <w:rPr>
                <w:sz w:val="21"/>
                <w:szCs w:val="21"/>
              </w:rPr>
              <w:t>股票交易额</w:t>
            </w:r>
          </w:p>
        </w:tc>
        <w:tc>
          <w:tcPr>
            <w:tcW w:w="1122" w:type="pct"/>
            <w:tcBorders>
              <w:top w:val="nil"/>
              <w:left w:val="nil"/>
              <w:bottom w:val="single" w:sz="4" w:space="0" w:color="auto"/>
              <w:right w:val="single" w:sz="4" w:space="0" w:color="auto"/>
            </w:tcBorders>
            <w:vAlign w:val="center"/>
          </w:tcPr>
          <w:p w14:paraId="4BC5D692" w14:textId="77777777" w:rsidR="005F04FE" w:rsidRPr="00E905CE" w:rsidRDefault="005F04FE" w:rsidP="005F04FE">
            <w:pPr>
              <w:pStyle w:val="13"/>
              <w:ind w:firstLineChars="0" w:firstLine="0"/>
              <w:jc w:val="right"/>
              <w:rPr>
                <w:sz w:val="21"/>
                <w:szCs w:val="21"/>
              </w:rPr>
            </w:pPr>
            <w:r w:rsidRPr="00E905CE">
              <w:rPr>
                <w:sz w:val="21"/>
                <w:szCs w:val="21"/>
              </w:rPr>
              <w:t>1,065,220.97</w:t>
            </w:r>
          </w:p>
        </w:tc>
        <w:tc>
          <w:tcPr>
            <w:tcW w:w="1122" w:type="pct"/>
            <w:tcBorders>
              <w:top w:val="nil"/>
              <w:left w:val="nil"/>
              <w:bottom w:val="single" w:sz="4" w:space="0" w:color="auto"/>
              <w:right w:val="single" w:sz="4" w:space="0" w:color="auto"/>
            </w:tcBorders>
            <w:vAlign w:val="center"/>
          </w:tcPr>
          <w:p w14:paraId="7FC56EE9" w14:textId="77777777" w:rsidR="005F04FE" w:rsidRPr="00E905CE" w:rsidRDefault="005F04FE" w:rsidP="005F04FE">
            <w:pPr>
              <w:pStyle w:val="13"/>
              <w:ind w:firstLineChars="0" w:firstLine="0"/>
              <w:jc w:val="right"/>
              <w:rPr>
                <w:sz w:val="21"/>
                <w:szCs w:val="21"/>
              </w:rPr>
            </w:pPr>
            <w:r w:rsidRPr="00E905CE">
              <w:rPr>
                <w:sz w:val="21"/>
                <w:szCs w:val="21"/>
              </w:rPr>
              <w:t>1,084,347.40</w:t>
            </w:r>
          </w:p>
        </w:tc>
        <w:tc>
          <w:tcPr>
            <w:tcW w:w="988" w:type="pct"/>
            <w:tcBorders>
              <w:top w:val="nil"/>
              <w:left w:val="nil"/>
              <w:bottom w:val="single" w:sz="4" w:space="0" w:color="auto"/>
              <w:right w:val="single" w:sz="4" w:space="0" w:color="auto"/>
            </w:tcBorders>
            <w:vAlign w:val="center"/>
          </w:tcPr>
          <w:p w14:paraId="543CD29C" w14:textId="77777777" w:rsidR="005F04FE" w:rsidRPr="00E905CE" w:rsidRDefault="005F04FE" w:rsidP="005F04FE">
            <w:pPr>
              <w:pStyle w:val="13"/>
              <w:ind w:firstLineChars="0" w:firstLine="0"/>
              <w:jc w:val="right"/>
              <w:rPr>
                <w:sz w:val="21"/>
                <w:szCs w:val="21"/>
              </w:rPr>
            </w:pPr>
            <w:r w:rsidRPr="00E905CE">
              <w:rPr>
                <w:sz w:val="21"/>
                <w:szCs w:val="21"/>
              </w:rPr>
              <w:t>836,680.71</w:t>
            </w:r>
          </w:p>
        </w:tc>
      </w:tr>
      <w:tr w:rsidR="005F04FE" w:rsidRPr="005F04FE" w14:paraId="0831F300" w14:textId="77777777" w:rsidTr="005F04FE">
        <w:trPr>
          <w:trHeight w:val="270"/>
        </w:trPr>
        <w:tc>
          <w:tcPr>
            <w:tcW w:w="1768" w:type="pct"/>
            <w:tcBorders>
              <w:top w:val="nil"/>
              <w:left w:val="single" w:sz="4" w:space="0" w:color="auto"/>
              <w:bottom w:val="single" w:sz="4" w:space="0" w:color="auto"/>
              <w:right w:val="single" w:sz="4" w:space="0" w:color="auto"/>
            </w:tcBorders>
            <w:vAlign w:val="center"/>
          </w:tcPr>
          <w:p w14:paraId="124894E7" w14:textId="77777777" w:rsidR="005F04FE" w:rsidRPr="00E905CE" w:rsidRDefault="005F04FE" w:rsidP="005F04FE">
            <w:pPr>
              <w:pStyle w:val="13"/>
              <w:ind w:firstLineChars="0" w:firstLine="0"/>
              <w:rPr>
                <w:sz w:val="21"/>
                <w:szCs w:val="21"/>
              </w:rPr>
            </w:pPr>
            <w:r w:rsidRPr="00E905CE">
              <w:rPr>
                <w:sz w:val="21"/>
                <w:szCs w:val="21"/>
              </w:rPr>
              <w:t>基金交易额</w:t>
            </w:r>
          </w:p>
        </w:tc>
        <w:tc>
          <w:tcPr>
            <w:tcW w:w="1122" w:type="pct"/>
            <w:tcBorders>
              <w:top w:val="nil"/>
              <w:left w:val="nil"/>
              <w:bottom w:val="single" w:sz="4" w:space="0" w:color="auto"/>
              <w:right w:val="single" w:sz="4" w:space="0" w:color="auto"/>
            </w:tcBorders>
            <w:vAlign w:val="center"/>
          </w:tcPr>
          <w:p w14:paraId="05850B35" w14:textId="77777777" w:rsidR="005F04FE" w:rsidRPr="00E905CE" w:rsidRDefault="005F04FE" w:rsidP="005F04FE">
            <w:pPr>
              <w:pStyle w:val="13"/>
              <w:ind w:firstLineChars="0" w:firstLine="0"/>
              <w:jc w:val="right"/>
              <w:rPr>
                <w:sz w:val="21"/>
                <w:szCs w:val="21"/>
              </w:rPr>
            </w:pPr>
            <w:r w:rsidRPr="00E905CE">
              <w:rPr>
                <w:sz w:val="21"/>
                <w:szCs w:val="21"/>
              </w:rPr>
              <w:t>19,544.59</w:t>
            </w:r>
          </w:p>
        </w:tc>
        <w:tc>
          <w:tcPr>
            <w:tcW w:w="1122" w:type="pct"/>
            <w:tcBorders>
              <w:top w:val="nil"/>
              <w:left w:val="nil"/>
              <w:bottom w:val="single" w:sz="4" w:space="0" w:color="auto"/>
              <w:right w:val="single" w:sz="4" w:space="0" w:color="auto"/>
            </w:tcBorders>
            <w:vAlign w:val="center"/>
          </w:tcPr>
          <w:p w14:paraId="5C0BA6F3" w14:textId="77777777" w:rsidR="005F04FE" w:rsidRPr="00E905CE" w:rsidRDefault="005F04FE" w:rsidP="005F04FE">
            <w:pPr>
              <w:pStyle w:val="13"/>
              <w:ind w:firstLineChars="0" w:firstLine="0"/>
              <w:jc w:val="right"/>
              <w:rPr>
                <w:sz w:val="21"/>
                <w:szCs w:val="21"/>
              </w:rPr>
            </w:pPr>
            <w:r w:rsidRPr="00E905CE">
              <w:rPr>
                <w:sz w:val="21"/>
                <w:szCs w:val="21"/>
              </w:rPr>
              <w:t>17,027.77</w:t>
            </w:r>
          </w:p>
        </w:tc>
        <w:tc>
          <w:tcPr>
            <w:tcW w:w="988" w:type="pct"/>
            <w:tcBorders>
              <w:top w:val="nil"/>
              <w:left w:val="nil"/>
              <w:bottom w:val="single" w:sz="4" w:space="0" w:color="auto"/>
              <w:right w:val="single" w:sz="4" w:space="0" w:color="auto"/>
            </w:tcBorders>
            <w:vAlign w:val="center"/>
          </w:tcPr>
          <w:p w14:paraId="4610A90B" w14:textId="77777777" w:rsidR="005F04FE" w:rsidRPr="00E905CE" w:rsidRDefault="005F04FE" w:rsidP="005F04FE">
            <w:pPr>
              <w:pStyle w:val="13"/>
              <w:ind w:firstLineChars="0" w:firstLine="0"/>
              <w:jc w:val="right"/>
              <w:rPr>
                <w:sz w:val="21"/>
                <w:szCs w:val="21"/>
              </w:rPr>
            </w:pPr>
            <w:r w:rsidRPr="00E905CE">
              <w:rPr>
                <w:sz w:val="21"/>
                <w:szCs w:val="21"/>
              </w:rPr>
              <w:t>12,059.84</w:t>
            </w:r>
          </w:p>
        </w:tc>
      </w:tr>
      <w:tr w:rsidR="005F04FE" w:rsidRPr="005F04FE" w14:paraId="471D1017" w14:textId="77777777" w:rsidTr="005F04FE">
        <w:trPr>
          <w:trHeight w:val="270"/>
        </w:trPr>
        <w:tc>
          <w:tcPr>
            <w:tcW w:w="1768" w:type="pct"/>
            <w:tcBorders>
              <w:top w:val="nil"/>
              <w:left w:val="single" w:sz="4" w:space="0" w:color="auto"/>
              <w:bottom w:val="single" w:sz="4" w:space="0" w:color="auto"/>
              <w:right w:val="single" w:sz="4" w:space="0" w:color="auto"/>
            </w:tcBorders>
            <w:vAlign w:val="center"/>
          </w:tcPr>
          <w:p w14:paraId="7F43FEF8" w14:textId="77777777" w:rsidR="005F04FE" w:rsidRPr="00E905CE" w:rsidRDefault="005F04FE" w:rsidP="005F04FE">
            <w:pPr>
              <w:pStyle w:val="13"/>
              <w:ind w:firstLineChars="0" w:firstLine="0"/>
              <w:rPr>
                <w:sz w:val="21"/>
                <w:szCs w:val="21"/>
              </w:rPr>
            </w:pPr>
            <w:r w:rsidRPr="00E905CE">
              <w:rPr>
                <w:sz w:val="21"/>
                <w:szCs w:val="21"/>
              </w:rPr>
              <w:t>股票基金交易额合计</w:t>
            </w:r>
          </w:p>
        </w:tc>
        <w:tc>
          <w:tcPr>
            <w:tcW w:w="1122" w:type="pct"/>
            <w:tcBorders>
              <w:top w:val="nil"/>
              <w:left w:val="nil"/>
              <w:bottom w:val="single" w:sz="4" w:space="0" w:color="auto"/>
              <w:right w:val="single" w:sz="4" w:space="0" w:color="auto"/>
            </w:tcBorders>
            <w:vAlign w:val="center"/>
          </w:tcPr>
          <w:p w14:paraId="6E99643B" w14:textId="77777777" w:rsidR="005F04FE" w:rsidRPr="00E905CE" w:rsidRDefault="005F04FE" w:rsidP="005F04FE">
            <w:pPr>
              <w:pStyle w:val="13"/>
              <w:ind w:firstLineChars="0" w:firstLine="0"/>
              <w:jc w:val="right"/>
              <w:rPr>
                <w:sz w:val="21"/>
                <w:szCs w:val="21"/>
              </w:rPr>
            </w:pPr>
            <w:r w:rsidRPr="00E905CE">
              <w:rPr>
                <w:sz w:val="21"/>
                <w:szCs w:val="21"/>
              </w:rPr>
              <w:t>1,084,765.56</w:t>
            </w:r>
          </w:p>
        </w:tc>
        <w:tc>
          <w:tcPr>
            <w:tcW w:w="1122" w:type="pct"/>
            <w:tcBorders>
              <w:top w:val="nil"/>
              <w:left w:val="nil"/>
              <w:bottom w:val="single" w:sz="4" w:space="0" w:color="auto"/>
              <w:right w:val="single" w:sz="4" w:space="0" w:color="auto"/>
            </w:tcBorders>
            <w:vAlign w:val="center"/>
          </w:tcPr>
          <w:p w14:paraId="0DA71A42" w14:textId="77777777" w:rsidR="005F04FE" w:rsidRPr="00E905CE" w:rsidRDefault="005F04FE" w:rsidP="005F04FE">
            <w:pPr>
              <w:pStyle w:val="13"/>
              <w:ind w:firstLineChars="0" w:firstLine="0"/>
              <w:jc w:val="right"/>
              <w:rPr>
                <w:sz w:val="21"/>
                <w:szCs w:val="21"/>
              </w:rPr>
            </w:pPr>
            <w:r w:rsidRPr="00E905CE">
              <w:rPr>
                <w:sz w:val="21"/>
                <w:szCs w:val="21"/>
              </w:rPr>
              <w:t>1,101,375.17</w:t>
            </w:r>
          </w:p>
        </w:tc>
        <w:tc>
          <w:tcPr>
            <w:tcW w:w="988" w:type="pct"/>
            <w:tcBorders>
              <w:top w:val="nil"/>
              <w:left w:val="nil"/>
              <w:bottom w:val="single" w:sz="4" w:space="0" w:color="auto"/>
              <w:right w:val="single" w:sz="4" w:space="0" w:color="auto"/>
            </w:tcBorders>
            <w:vAlign w:val="center"/>
          </w:tcPr>
          <w:p w14:paraId="5EA6FBF7" w14:textId="77777777" w:rsidR="005F04FE" w:rsidRPr="00E905CE" w:rsidRDefault="005F04FE" w:rsidP="005F04FE">
            <w:pPr>
              <w:pStyle w:val="13"/>
              <w:ind w:firstLineChars="0" w:firstLine="0"/>
              <w:jc w:val="right"/>
              <w:rPr>
                <w:sz w:val="21"/>
                <w:szCs w:val="21"/>
              </w:rPr>
            </w:pPr>
            <w:r w:rsidRPr="00E905CE">
              <w:rPr>
                <w:sz w:val="21"/>
                <w:szCs w:val="21"/>
              </w:rPr>
              <w:t>848,740.55</w:t>
            </w:r>
          </w:p>
        </w:tc>
      </w:tr>
    </w:tbl>
    <w:p w14:paraId="37811029" w14:textId="5081180C" w:rsidR="00685D93" w:rsidRPr="005F04FE" w:rsidRDefault="005F04FE" w:rsidP="005F04FE">
      <w:pPr>
        <w:pStyle w:val="13"/>
        <w:ind w:firstLine="360"/>
        <w:jc w:val="right"/>
        <w:rPr>
          <w:sz w:val="18"/>
          <w:szCs w:val="18"/>
        </w:rPr>
      </w:pPr>
      <w:r w:rsidRPr="005F04FE">
        <w:rPr>
          <w:rFonts w:hint="eastAsia"/>
          <w:sz w:val="18"/>
          <w:szCs w:val="18"/>
        </w:rPr>
        <w:t>数据来源：</w:t>
      </w:r>
      <w:r w:rsidRPr="005F04FE">
        <w:rPr>
          <w:sz w:val="18"/>
          <w:szCs w:val="18"/>
        </w:rPr>
        <w:t>wind资讯</w:t>
      </w:r>
    </w:p>
    <w:p w14:paraId="75444148" w14:textId="77777777" w:rsidR="005F04FE" w:rsidRDefault="005F04FE" w:rsidP="005F04FE">
      <w:pPr>
        <w:pStyle w:val="13"/>
      </w:pPr>
      <w:r>
        <w:rPr>
          <w:rFonts w:hint="eastAsia"/>
        </w:rPr>
        <w:t>本次评估的预测是基于我国的证券资本市场的增长速度、历史年度的波动水平、同时结合到现在的证券市场的表现进行预测的。面对我国证券市场的不稳定性，资产评估师一方面考虑历史期的交易量，另一方面结合我国证券市场未来发展的走势，预测未来年度我国证券市场成交额以每年</w:t>
      </w:r>
      <w:r>
        <w:t>7.6%的速度增长。</w:t>
      </w:r>
    </w:p>
    <w:p w14:paraId="0FD4B4E1" w14:textId="56895680" w:rsidR="00685D93" w:rsidRDefault="005F04FE" w:rsidP="005F04FE">
      <w:pPr>
        <w:pStyle w:val="13"/>
        <w:jc w:val="center"/>
      </w:pPr>
      <w:r>
        <w:rPr>
          <w:rFonts w:hint="eastAsia"/>
        </w:rPr>
        <w:t>我国历年</w:t>
      </w:r>
      <w:r>
        <w:t>GDP增长速度表</w:t>
      </w:r>
    </w:p>
    <w:tbl>
      <w:tblPr>
        <w:tblW w:w="5000" w:type="pct"/>
        <w:tblLook w:val="04A0" w:firstRow="1" w:lastRow="0" w:firstColumn="1" w:lastColumn="0" w:noHBand="0" w:noVBand="1"/>
      </w:tblPr>
      <w:tblGrid>
        <w:gridCol w:w="3299"/>
        <w:gridCol w:w="3047"/>
        <w:gridCol w:w="2374"/>
      </w:tblGrid>
      <w:tr w:rsidR="005F04FE" w:rsidRPr="005F04FE" w14:paraId="26160D8A" w14:textId="77777777" w:rsidTr="005F04FE">
        <w:trPr>
          <w:trHeight w:val="270"/>
          <w:tblHeader/>
        </w:trPr>
        <w:tc>
          <w:tcPr>
            <w:tcW w:w="1892" w:type="pct"/>
            <w:tcBorders>
              <w:top w:val="single" w:sz="4" w:space="0" w:color="auto"/>
              <w:left w:val="single" w:sz="4" w:space="0" w:color="auto"/>
              <w:bottom w:val="single" w:sz="4" w:space="0" w:color="auto"/>
              <w:right w:val="single" w:sz="4" w:space="0" w:color="auto"/>
            </w:tcBorders>
            <w:vAlign w:val="center"/>
          </w:tcPr>
          <w:p w14:paraId="0D7FBACB" w14:textId="77777777" w:rsidR="005F04FE" w:rsidRPr="005F04FE" w:rsidRDefault="005F04FE" w:rsidP="005F04FE">
            <w:pPr>
              <w:pStyle w:val="13"/>
              <w:ind w:firstLineChars="0" w:firstLine="0"/>
              <w:jc w:val="center"/>
              <w:rPr>
                <w:sz w:val="21"/>
                <w:szCs w:val="21"/>
              </w:rPr>
            </w:pPr>
            <w:r w:rsidRPr="005F04FE">
              <w:rPr>
                <w:sz w:val="21"/>
                <w:szCs w:val="21"/>
              </w:rPr>
              <w:t>年份</w:t>
            </w:r>
          </w:p>
        </w:tc>
        <w:tc>
          <w:tcPr>
            <w:tcW w:w="1747" w:type="pct"/>
            <w:tcBorders>
              <w:top w:val="single" w:sz="4" w:space="0" w:color="auto"/>
              <w:left w:val="nil"/>
              <w:bottom w:val="single" w:sz="4" w:space="0" w:color="auto"/>
              <w:right w:val="single" w:sz="4" w:space="0" w:color="auto"/>
            </w:tcBorders>
            <w:vAlign w:val="center"/>
          </w:tcPr>
          <w:p w14:paraId="782DC334" w14:textId="77777777" w:rsidR="005F04FE" w:rsidRPr="005F04FE" w:rsidRDefault="005F04FE" w:rsidP="005F04FE">
            <w:pPr>
              <w:pStyle w:val="13"/>
              <w:ind w:firstLineChars="0" w:firstLine="0"/>
              <w:jc w:val="center"/>
              <w:rPr>
                <w:sz w:val="21"/>
                <w:szCs w:val="21"/>
              </w:rPr>
            </w:pPr>
            <w:r w:rsidRPr="005F04FE">
              <w:rPr>
                <w:sz w:val="21"/>
                <w:szCs w:val="21"/>
              </w:rPr>
              <w:t>GDP（亿元）</w:t>
            </w:r>
          </w:p>
        </w:tc>
        <w:tc>
          <w:tcPr>
            <w:tcW w:w="1361" w:type="pct"/>
            <w:tcBorders>
              <w:top w:val="single" w:sz="4" w:space="0" w:color="auto"/>
              <w:left w:val="nil"/>
              <w:bottom w:val="single" w:sz="4" w:space="0" w:color="auto"/>
              <w:right w:val="single" w:sz="4" w:space="0" w:color="auto"/>
            </w:tcBorders>
            <w:vAlign w:val="center"/>
          </w:tcPr>
          <w:p w14:paraId="0EA68A58" w14:textId="77777777" w:rsidR="005F04FE" w:rsidRPr="005F04FE" w:rsidRDefault="005F04FE" w:rsidP="005F04FE">
            <w:pPr>
              <w:pStyle w:val="13"/>
              <w:ind w:firstLineChars="0" w:firstLine="0"/>
              <w:jc w:val="center"/>
              <w:rPr>
                <w:sz w:val="21"/>
                <w:szCs w:val="21"/>
              </w:rPr>
            </w:pPr>
            <w:r w:rsidRPr="005F04FE">
              <w:rPr>
                <w:sz w:val="21"/>
                <w:szCs w:val="21"/>
              </w:rPr>
              <w:t>GDP:增长率%</w:t>
            </w:r>
          </w:p>
        </w:tc>
      </w:tr>
      <w:tr w:rsidR="005F04FE" w:rsidRPr="005F04FE" w14:paraId="779A7A9E"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37122A1F" w14:textId="77777777" w:rsidR="005F04FE" w:rsidRPr="005F04FE" w:rsidRDefault="005F04FE" w:rsidP="005F04FE">
            <w:pPr>
              <w:pStyle w:val="13"/>
              <w:ind w:firstLineChars="0" w:firstLine="0"/>
              <w:jc w:val="center"/>
              <w:rPr>
                <w:sz w:val="21"/>
                <w:szCs w:val="21"/>
              </w:rPr>
            </w:pPr>
            <w:bookmarkStart w:id="60" w:name="RANGE!A21:C34"/>
            <w:r w:rsidRPr="005F04FE">
              <w:rPr>
                <w:sz w:val="21"/>
                <w:szCs w:val="21"/>
              </w:rPr>
              <w:t>1999</w:t>
            </w:r>
            <w:bookmarkEnd w:id="60"/>
          </w:p>
        </w:tc>
        <w:tc>
          <w:tcPr>
            <w:tcW w:w="1747" w:type="pct"/>
            <w:tcBorders>
              <w:top w:val="nil"/>
              <w:left w:val="nil"/>
              <w:bottom w:val="single" w:sz="4" w:space="0" w:color="auto"/>
              <w:right w:val="single" w:sz="4" w:space="0" w:color="auto"/>
            </w:tcBorders>
            <w:vAlign w:val="center"/>
          </w:tcPr>
          <w:p w14:paraId="4EE6A993" w14:textId="77777777" w:rsidR="005F04FE" w:rsidRPr="005F04FE" w:rsidRDefault="005F04FE" w:rsidP="005F04FE">
            <w:pPr>
              <w:pStyle w:val="13"/>
              <w:ind w:firstLineChars="0" w:firstLine="0"/>
              <w:jc w:val="right"/>
              <w:rPr>
                <w:sz w:val="21"/>
                <w:szCs w:val="21"/>
              </w:rPr>
            </w:pPr>
            <w:r w:rsidRPr="005F04FE">
              <w:rPr>
                <w:sz w:val="21"/>
                <w:szCs w:val="21"/>
              </w:rPr>
              <w:t xml:space="preserve">89,677.05 </w:t>
            </w:r>
          </w:p>
        </w:tc>
        <w:tc>
          <w:tcPr>
            <w:tcW w:w="1361" w:type="pct"/>
            <w:tcBorders>
              <w:top w:val="nil"/>
              <w:left w:val="nil"/>
              <w:bottom w:val="single" w:sz="4" w:space="0" w:color="auto"/>
              <w:right w:val="single" w:sz="4" w:space="0" w:color="auto"/>
            </w:tcBorders>
            <w:vAlign w:val="center"/>
          </w:tcPr>
          <w:p w14:paraId="02043CBB" w14:textId="77777777" w:rsidR="005F04FE" w:rsidRPr="005F04FE" w:rsidRDefault="005F04FE" w:rsidP="005F04FE">
            <w:pPr>
              <w:pStyle w:val="13"/>
              <w:ind w:firstLineChars="0" w:firstLine="0"/>
              <w:jc w:val="right"/>
              <w:rPr>
                <w:sz w:val="21"/>
                <w:szCs w:val="21"/>
              </w:rPr>
            </w:pPr>
            <w:r w:rsidRPr="005F04FE">
              <w:rPr>
                <w:sz w:val="21"/>
                <w:szCs w:val="21"/>
              </w:rPr>
              <w:t xml:space="preserve">7.60 </w:t>
            </w:r>
          </w:p>
        </w:tc>
      </w:tr>
      <w:tr w:rsidR="005F04FE" w:rsidRPr="005F04FE" w14:paraId="1D09997C"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7C5EF170" w14:textId="77777777" w:rsidR="005F04FE" w:rsidRPr="005F04FE" w:rsidRDefault="005F04FE" w:rsidP="005F04FE">
            <w:pPr>
              <w:pStyle w:val="13"/>
              <w:ind w:firstLineChars="0" w:firstLine="0"/>
              <w:jc w:val="center"/>
              <w:rPr>
                <w:sz w:val="21"/>
                <w:szCs w:val="21"/>
              </w:rPr>
            </w:pPr>
            <w:r w:rsidRPr="005F04FE">
              <w:rPr>
                <w:sz w:val="21"/>
                <w:szCs w:val="21"/>
              </w:rPr>
              <w:t>2000</w:t>
            </w:r>
          </w:p>
        </w:tc>
        <w:tc>
          <w:tcPr>
            <w:tcW w:w="1747" w:type="pct"/>
            <w:tcBorders>
              <w:top w:val="nil"/>
              <w:left w:val="nil"/>
              <w:bottom w:val="single" w:sz="4" w:space="0" w:color="auto"/>
              <w:right w:val="single" w:sz="4" w:space="0" w:color="auto"/>
            </w:tcBorders>
            <w:vAlign w:val="center"/>
          </w:tcPr>
          <w:p w14:paraId="61615823" w14:textId="77777777" w:rsidR="005F04FE" w:rsidRPr="005F04FE" w:rsidRDefault="005F04FE" w:rsidP="005F04FE">
            <w:pPr>
              <w:pStyle w:val="13"/>
              <w:ind w:firstLineChars="0" w:firstLine="0"/>
              <w:jc w:val="right"/>
              <w:rPr>
                <w:sz w:val="21"/>
                <w:szCs w:val="21"/>
              </w:rPr>
            </w:pPr>
            <w:r w:rsidRPr="005F04FE">
              <w:rPr>
                <w:sz w:val="21"/>
                <w:szCs w:val="21"/>
              </w:rPr>
              <w:t xml:space="preserve">99,214.55 </w:t>
            </w:r>
          </w:p>
        </w:tc>
        <w:tc>
          <w:tcPr>
            <w:tcW w:w="1361" w:type="pct"/>
            <w:tcBorders>
              <w:top w:val="nil"/>
              <w:left w:val="nil"/>
              <w:bottom w:val="single" w:sz="4" w:space="0" w:color="auto"/>
              <w:right w:val="single" w:sz="4" w:space="0" w:color="auto"/>
            </w:tcBorders>
            <w:vAlign w:val="center"/>
          </w:tcPr>
          <w:p w14:paraId="6E7F19B1" w14:textId="77777777" w:rsidR="005F04FE" w:rsidRPr="005F04FE" w:rsidRDefault="005F04FE" w:rsidP="005F04FE">
            <w:pPr>
              <w:pStyle w:val="13"/>
              <w:ind w:firstLineChars="0" w:firstLine="0"/>
              <w:jc w:val="right"/>
              <w:rPr>
                <w:sz w:val="21"/>
                <w:szCs w:val="21"/>
              </w:rPr>
            </w:pPr>
            <w:r w:rsidRPr="005F04FE">
              <w:rPr>
                <w:sz w:val="21"/>
                <w:szCs w:val="21"/>
              </w:rPr>
              <w:t xml:space="preserve">8.40 </w:t>
            </w:r>
          </w:p>
        </w:tc>
      </w:tr>
      <w:tr w:rsidR="005F04FE" w:rsidRPr="005F04FE" w14:paraId="4866730D"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1451D908" w14:textId="77777777" w:rsidR="005F04FE" w:rsidRPr="005F04FE" w:rsidRDefault="005F04FE" w:rsidP="005F04FE">
            <w:pPr>
              <w:pStyle w:val="13"/>
              <w:ind w:firstLineChars="0" w:firstLine="0"/>
              <w:jc w:val="center"/>
              <w:rPr>
                <w:sz w:val="21"/>
                <w:szCs w:val="21"/>
              </w:rPr>
            </w:pPr>
            <w:r w:rsidRPr="005F04FE">
              <w:rPr>
                <w:sz w:val="21"/>
                <w:szCs w:val="21"/>
              </w:rPr>
              <w:t>2001</w:t>
            </w:r>
          </w:p>
        </w:tc>
        <w:tc>
          <w:tcPr>
            <w:tcW w:w="1747" w:type="pct"/>
            <w:tcBorders>
              <w:top w:val="nil"/>
              <w:left w:val="nil"/>
              <w:bottom w:val="single" w:sz="4" w:space="0" w:color="auto"/>
              <w:right w:val="single" w:sz="4" w:space="0" w:color="auto"/>
            </w:tcBorders>
            <w:vAlign w:val="center"/>
          </w:tcPr>
          <w:p w14:paraId="22FFB71D" w14:textId="77777777" w:rsidR="005F04FE" w:rsidRPr="005F04FE" w:rsidRDefault="005F04FE" w:rsidP="005F04FE">
            <w:pPr>
              <w:pStyle w:val="13"/>
              <w:ind w:firstLineChars="0" w:firstLine="0"/>
              <w:jc w:val="right"/>
              <w:rPr>
                <w:sz w:val="21"/>
                <w:szCs w:val="21"/>
              </w:rPr>
            </w:pPr>
            <w:r w:rsidRPr="005F04FE">
              <w:rPr>
                <w:sz w:val="21"/>
                <w:szCs w:val="21"/>
              </w:rPr>
              <w:t xml:space="preserve">109,655.17 </w:t>
            </w:r>
          </w:p>
        </w:tc>
        <w:tc>
          <w:tcPr>
            <w:tcW w:w="1361" w:type="pct"/>
            <w:tcBorders>
              <w:top w:val="nil"/>
              <w:left w:val="nil"/>
              <w:bottom w:val="single" w:sz="4" w:space="0" w:color="auto"/>
              <w:right w:val="single" w:sz="4" w:space="0" w:color="auto"/>
            </w:tcBorders>
            <w:vAlign w:val="center"/>
          </w:tcPr>
          <w:p w14:paraId="472097A5" w14:textId="77777777" w:rsidR="005F04FE" w:rsidRPr="005F04FE" w:rsidRDefault="005F04FE" w:rsidP="005F04FE">
            <w:pPr>
              <w:pStyle w:val="13"/>
              <w:ind w:firstLineChars="0" w:firstLine="0"/>
              <w:jc w:val="right"/>
              <w:rPr>
                <w:sz w:val="21"/>
                <w:szCs w:val="21"/>
              </w:rPr>
            </w:pPr>
            <w:r w:rsidRPr="005F04FE">
              <w:rPr>
                <w:sz w:val="21"/>
                <w:szCs w:val="21"/>
              </w:rPr>
              <w:t xml:space="preserve">8.30 </w:t>
            </w:r>
          </w:p>
        </w:tc>
      </w:tr>
      <w:tr w:rsidR="005F04FE" w:rsidRPr="005F04FE" w14:paraId="69572C16"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1D5898F5" w14:textId="77777777" w:rsidR="005F04FE" w:rsidRPr="005F04FE" w:rsidRDefault="005F04FE" w:rsidP="005F04FE">
            <w:pPr>
              <w:pStyle w:val="13"/>
              <w:ind w:firstLineChars="0" w:firstLine="0"/>
              <w:jc w:val="center"/>
              <w:rPr>
                <w:sz w:val="21"/>
                <w:szCs w:val="21"/>
              </w:rPr>
            </w:pPr>
            <w:r w:rsidRPr="005F04FE">
              <w:rPr>
                <w:sz w:val="21"/>
                <w:szCs w:val="21"/>
              </w:rPr>
              <w:lastRenderedPageBreak/>
              <w:t>2002</w:t>
            </w:r>
          </w:p>
        </w:tc>
        <w:tc>
          <w:tcPr>
            <w:tcW w:w="1747" w:type="pct"/>
            <w:tcBorders>
              <w:top w:val="nil"/>
              <w:left w:val="nil"/>
              <w:bottom w:val="single" w:sz="4" w:space="0" w:color="auto"/>
              <w:right w:val="single" w:sz="4" w:space="0" w:color="auto"/>
            </w:tcBorders>
            <w:vAlign w:val="center"/>
          </w:tcPr>
          <w:p w14:paraId="6AF0C3AC" w14:textId="77777777" w:rsidR="005F04FE" w:rsidRPr="005F04FE" w:rsidRDefault="005F04FE" w:rsidP="005F04FE">
            <w:pPr>
              <w:pStyle w:val="13"/>
              <w:ind w:firstLineChars="0" w:firstLine="0"/>
              <w:jc w:val="right"/>
              <w:rPr>
                <w:sz w:val="21"/>
                <w:szCs w:val="21"/>
              </w:rPr>
            </w:pPr>
            <w:r w:rsidRPr="005F04FE">
              <w:rPr>
                <w:sz w:val="21"/>
                <w:szCs w:val="21"/>
              </w:rPr>
              <w:t xml:space="preserve">120,332.69 </w:t>
            </w:r>
          </w:p>
        </w:tc>
        <w:tc>
          <w:tcPr>
            <w:tcW w:w="1361" w:type="pct"/>
            <w:tcBorders>
              <w:top w:val="nil"/>
              <w:left w:val="nil"/>
              <w:bottom w:val="single" w:sz="4" w:space="0" w:color="auto"/>
              <w:right w:val="single" w:sz="4" w:space="0" w:color="auto"/>
            </w:tcBorders>
            <w:vAlign w:val="center"/>
          </w:tcPr>
          <w:p w14:paraId="318F8111" w14:textId="77777777" w:rsidR="005F04FE" w:rsidRPr="005F04FE" w:rsidRDefault="005F04FE" w:rsidP="005F04FE">
            <w:pPr>
              <w:pStyle w:val="13"/>
              <w:ind w:firstLineChars="0" w:firstLine="0"/>
              <w:jc w:val="right"/>
              <w:rPr>
                <w:sz w:val="21"/>
                <w:szCs w:val="21"/>
              </w:rPr>
            </w:pPr>
            <w:r w:rsidRPr="005F04FE">
              <w:rPr>
                <w:sz w:val="21"/>
                <w:szCs w:val="21"/>
              </w:rPr>
              <w:t xml:space="preserve">9.10 </w:t>
            </w:r>
          </w:p>
        </w:tc>
      </w:tr>
      <w:tr w:rsidR="005F04FE" w:rsidRPr="005F04FE" w14:paraId="12C7320E"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504329B3" w14:textId="77777777" w:rsidR="005F04FE" w:rsidRPr="005F04FE" w:rsidRDefault="005F04FE" w:rsidP="005F04FE">
            <w:pPr>
              <w:pStyle w:val="13"/>
              <w:ind w:firstLineChars="0" w:firstLine="0"/>
              <w:jc w:val="center"/>
              <w:rPr>
                <w:sz w:val="21"/>
                <w:szCs w:val="21"/>
              </w:rPr>
            </w:pPr>
            <w:r w:rsidRPr="005F04FE">
              <w:rPr>
                <w:sz w:val="21"/>
                <w:szCs w:val="21"/>
              </w:rPr>
              <w:t>2003</w:t>
            </w:r>
          </w:p>
        </w:tc>
        <w:tc>
          <w:tcPr>
            <w:tcW w:w="1747" w:type="pct"/>
            <w:tcBorders>
              <w:top w:val="nil"/>
              <w:left w:val="nil"/>
              <w:bottom w:val="single" w:sz="4" w:space="0" w:color="auto"/>
              <w:right w:val="single" w:sz="4" w:space="0" w:color="auto"/>
            </w:tcBorders>
            <w:vAlign w:val="center"/>
          </w:tcPr>
          <w:p w14:paraId="3BA38C79" w14:textId="77777777" w:rsidR="005F04FE" w:rsidRPr="005F04FE" w:rsidRDefault="005F04FE" w:rsidP="005F04FE">
            <w:pPr>
              <w:pStyle w:val="13"/>
              <w:ind w:firstLineChars="0" w:firstLine="0"/>
              <w:jc w:val="right"/>
              <w:rPr>
                <w:sz w:val="21"/>
                <w:szCs w:val="21"/>
              </w:rPr>
            </w:pPr>
            <w:r w:rsidRPr="005F04FE">
              <w:rPr>
                <w:sz w:val="21"/>
                <w:szCs w:val="21"/>
              </w:rPr>
              <w:t xml:space="preserve">135,822.76 </w:t>
            </w:r>
          </w:p>
        </w:tc>
        <w:tc>
          <w:tcPr>
            <w:tcW w:w="1361" w:type="pct"/>
            <w:tcBorders>
              <w:top w:val="nil"/>
              <w:left w:val="nil"/>
              <w:bottom w:val="single" w:sz="4" w:space="0" w:color="auto"/>
              <w:right w:val="single" w:sz="4" w:space="0" w:color="auto"/>
            </w:tcBorders>
            <w:vAlign w:val="center"/>
          </w:tcPr>
          <w:p w14:paraId="0C50CCA3" w14:textId="77777777" w:rsidR="005F04FE" w:rsidRPr="005F04FE" w:rsidRDefault="005F04FE" w:rsidP="005F04FE">
            <w:pPr>
              <w:pStyle w:val="13"/>
              <w:ind w:firstLineChars="0" w:firstLine="0"/>
              <w:jc w:val="right"/>
              <w:rPr>
                <w:sz w:val="21"/>
                <w:szCs w:val="21"/>
              </w:rPr>
            </w:pPr>
            <w:r w:rsidRPr="005F04FE">
              <w:rPr>
                <w:sz w:val="21"/>
                <w:szCs w:val="21"/>
              </w:rPr>
              <w:t xml:space="preserve">10.00 </w:t>
            </w:r>
          </w:p>
        </w:tc>
      </w:tr>
      <w:tr w:rsidR="005F04FE" w:rsidRPr="005F04FE" w14:paraId="77D37BAC"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7ED7F655" w14:textId="77777777" w:rsidR="005F04FE" w:rsidRPr="005F04FE" w:rsidRDefault="005F04FE" w:rsidP="005F04FE">
            <w:pPr>
              <w:pStyle w:val="13"/>
              <w:ind w:firstLineChars="0" w:firstLine="0"/>
              <w:jc w:val="center"/>
              <w:rPr>
                <w:sz w:val="21"/>
                <w:szCs w:val="21"/>
              </w:rPr>
            </w:pPr>
            <w:r w:rsidRPr="005F04FE">
              <w:rPr>
                <w:sz w:val="21"/>
                <w:szCs w:val="21"/>
              </w:rPr>
              <w:t>2004</w:t>
            </w:r>
          </w:p>
        </w:tc>
        <w:tc>
          <w:tcPr>
            <w:tcW w:w="1747" w:type="pct"/>
            <w:tcBorders>
              <w:top w:val="nil"/>
              <w:left w:val="nil"/>
              <w:bottom w:val="single" w:sz="4" w:space="0" w:color="auto"/>
              <w:right w:val="single" w:sz="4" w:space="0" w:color="auto"/>
            </w:tcBorders>
            <w:vAlign w:val="center"/>
          </w:tcPr>
          <w:p w14:paraId="3E12245F" w14:textId="77777777" w:rsidR="005F04FE" w:rsidRPr="005F04FE" w:rsidRDefault="005F04FE" w:rsidP="005F04FE">
            <w:pPr>
              <w:pStyle w:val="13"/>
              <w:ind w:firstLineChars="0" w:firstLine="0"/>
              <w:jc w:val="right"/>
              <w:rPr>
                <w:sz w:val="21"/>
                <w:szCs w:val="21"/>
              </w:rPr>
            </w:pPr>
            <w:r w:rsidRPr="005F04FE">
              <w:rPr>
                <w:sz w:val="21"/>
                <w:szCs w:val="21"/>
              </w:rPr>
              <w:t xml:space="preserve">159,878.34 </w:t>
            </w:r>
          </w:p>
        </w:tc>
        <w:tc>
          <w:tcPr>
            <w:tcW w:w="1361" w:type="pct"/>
            <w:tcBorders>
              <w:top w:val="nil"/>
              <w:left w:val="nil"/>
              <w:bottom w:val="single" w:sz="4" w:space="0" w:color="auto"/>
              <w:right w:val="single" w:sz="4" w:space="0" w:color="auto"/>
            </w:tcBorders>
            <w:vAlign w:val="center"/>
          </w:tcPr>
          <w:p w14:paraId="590A3657" w14:textId="77777777" w:rsidR="005F04FE" w:rsidRPr="005F04FE" w:rsidRDefault="005F04FE" w:rsidP="005F04FE">
            <w:pPr>
              <w:pStyle w:val="13"/>
              <w:ind w:firstLineChars="0" w:firstLine="0"/>
              <w:jc w:val="right"/>
              <w:rPr>
                <w:sz w:val="21"/>
                <w:szCs w:val="21"/>
              </w:rPr>
            </w:pPr>
            <w:r w:rsidRPr="005F04FE">
              <w:rPr>
                <w:sz w:val="21"/>
                <w:szCs w:val="21"/>
              </w:rPr>
              <w:t xml:space="preserve">10.10 </w:t>
            </w:r>
          </w:p>
        </w:tc>
      </w:tr>
      <w:tr w:rsidR="005F04FE" w:rsidRPr="005F04FE" w14:paraId="143B7D40"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073C6E0C" w14:textId="77777777" w:rsidR="005F04FE" w:rsidRPr="005F04FE" w:rsidRDefault="005F04FE" w:rsidP="005F04FE">
            <w:pPr>
              <w:pStyle w:val="13"/>
              <w:ind w:firstLineChars="0" w:firstLine="0"/>
              <w:jc w:val="center"/>
              <w:rPr>
                <w:sz w:val="21"/>
                <w:szCs w:val="21"/>
              </w:rPr>
            </w:pPr>
            <w:r w:rsidRPr="005F04FE">
              <w:rPr>
                <w:sz w:val="21"/>
                <w:szCs w:val="21"/>
              </w:rPr>
              <w:t>2005</w:t>
            </w:r>
          </w:p>
        </w:tc>
        <w:tc>
          <w:tcPr>
            <w:tcW w:w="1747" w:type="pct"/>
            <w:tcBorders>
              <w:top w:val="nil"/>
              <w:left w:val="nil"/>
              <w:bottom w:val="single" w:sz="4" w:space="0" w:color="auto"/>
              <w:right w:val="single" w:sz="4" w:space="0" w:color="auto"/>
            </w:tcBorders>
            <w:vAlign w:val="center"/>
          </w:tcPr>
          <w:p w14:paraId="34567FE0" w14:textId="77777777" w:rsidR="005F04FE" w:rsidRPr="005F04FE" w:rsidRDefault="005F04FE" w:rsidP="005F04FE">
            <w:pPr>
              <w:pStyle w:val="13"/>
              <w:ind w:firstLineChars="0" w:firstLine="0"/>
              <w:jc w:val="right"/>
              <w:rPr>
                <w:sz w:val="21"/>
                <w:szCs w:val="21"/>
              </w:rPr>
            </w:pPr>
            <w:r w:rsidRPr="005F04FE">
              <w:rPr>
                <w:sz w:val="21"/>
                <w:szCs w:val="21"/>
              </w:rPr>
              <w:t xml:space="preserve">184,937.40 </w:t>
            </w:r>
          </w:p>
        </w:tc>
        <w:tc>
          <w:tcPr>
            <w:tcW w:w="1361" w:type="pct"/>
            <w:tcBorders>
              <w:top w:val="nil"/>
              <w:left w:val="nil"/>
              <w:bottom w:val="single" w:sz="4" w:space="0" w:color="auto"/>
              <w:right w:val="single" w:sz="4" w:space="0" w:color="auto"/>
            </w:tcBorders>
            <w:vAlign w:val="center"/>
          </w:tcPr>
          <w:p w14:paraId="75749315" w14:textId="77777777" w:rsidR="005F04FE" w:rsidRPr="005F04FE" w:rsidRDefault="005F04FE" w:rsidP="005F04FE">
            <w:pPr>
              <w:pStyle w:val="13"/>
              <w:ind w:firstLineChars="0" w:firstLine="0"/>
              <w:jc w:val="right"/>
              <w:rPr>
                <w:sz w:val="21"/>
                <w:szCs w:val="21"/>
              </w:rPr>
            </w:pPr>
            <w:r w:rsidRPr="005F04FE">
              <w:rPr>
                <w:sz w:val="21"/>
                <w:szCs w:val="21"/>
              </w:rPr>
              <w:t xml:space="preserve">11.30 </w:t>
            </w:r>
          </w:p>
        </w:tc>
      </w:tr>
      <w:tr w:rsidR="005F04FE" w:rsidRPr="005F04FE" w14:paraId="38594F0B"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4940B406" w14:textId="77777777" w:rsidR="005F04FE" w:rsidRPr="005F04FE" w:rsidRDefault="005F04FE" w:rsidP="005F04FE">
            <w:pPr>
              <w:pStyle w:val="13"/>
              <w:ind w:firstLineChars="0" w:firstLine="0"/>
              <w:jc w:val="center"/>
              <w:rPr>
                <w:sz w:val="21"/>
                <w:szCs w:val="21"/>
              </w:rPr>
            </w:pPr>
            <w:r w:rsidRPr="005F04FE">
              <w:rPr>
                <w:sz w:val="21"/>
                <w:szCs w:val="21"/>
              </w:rPr>
              <w:t>2006</w:t>
            </w:r>
          </w:p>
        </w:tc>
        <w:tc>
          <w:tcPr>
            <w:tcW w:w="1747" w:type="pct"/>
            <w:tcBorders>
              <w:top w:val="nil"/>
              <w:left w:val="nil"/>
              <w:bottom w:val="single" w:sz="4" w:space="0" w:color="auto"/>
              <w:right w:val="single" w:sz="4" w:space="0" w:color="auto"/>
            </w:tcBorders>
            <w:vAlign w:val="center"/>
          </w:tcPr>
          <w:p w14:paraId="524737B9" w14:textId="77777777" w:rsidR="005F04FE" w:rsidRPr="005F04FE" w:rsidRDefault="005F04FE" w:rsidP="005F04FE">
            <w:pPr>
              <w:pStyle w:val="13"/>
              <w:ind w:firstLineChars="0" w:firstLine="0"/>
              <w:jc w:val="right"/>
              <w:rPr>
                <w:sz w:val="21"/>
                <w:szCs w:val="21"/>
              </w:rPr>
            </w:pPr>
            <w:r w:rsidRPr="005F04FE">
              <w:rPr>
                <w:sz w:val="21"/>
                <w:szCs w:val="21"/>
              </w:rPr>
              <w:t xml:space="preserve">216,314.40 </w:t>
            </w:r>
          </w:p>
        </w:tc>
        <w:tc>
          <w:tcPr>
            <w:tcW w:w="1361" w:type="pct"/>
            <w:tcBorders>
              <w:top w:val="nil"/>
              <w:left w:val="nil"/>
              <w:bottom w:val="single" w:sz="4" w:space="0" w:color="auto"/>
              <w:right w:val="single" w:sz="4" w:space="0" w:color="auto"/>
            </w:tcBorders>
            <w:vAlign w:val="center"/>
          </w:tcPr>
          <w:p w14:paraId="1131A37B" w14:textId="77777777" w:rsidR="005F04FE" w:rsidRPr="005F04FE" w:rsidRDefault="005F04FE" w:rsidP="005F04FE">
            <w:pPr>
              <w:pStyle w:val="13"/>
              <w:ind w:firstLineChars="0" w:firstLine="0"/>
              <w:jc w:val="right"/>
              <w:rPr>
                <w:sz w:val="21"/>
                <w:szCs w:val="21"/>
              </w:rPr>
            </w:pPr>
            <w:r w:rsidRPr="005F04FE">
              <w:rPr>
                <w:sz w:val="21"/>
                <w:szCs w:val="21"/>
              </w:rPr>
              <w:t xml:space="preserve">12.70 </w:t>
            </w:r>
          </w:p>
        </w:tc>
      </w:tr>
      <w:tr w:rsidR="005F04FE" w:rsidRPr="005F04FE" w14:paraId="26F4055C" w14:textId="77777777" w:rsidTr="005F04FE">
        <w:trPr>
          <w:trHeight w:val="270"/>
        </w:trPr>
        <w:tc>
          <w:tcPr>
            <w:tcW w:w="1892" w:type="pct"/>
            <w:tcBorders>
              <w:top w:val="single" w:sz="4" w:space="0" w:color="auto"/>
              <w:left w:val="single" w:sz="4" w:space="0" w:color="auto"/>
              <w:bottom w:val="single" w:sz="4" w:space="0" w:color="auto"/>
              <w:right w:val="single" w:sz="4" w:space="0" w:color="auto"/>
            </w:tcBorders>
            <w:vAlign w:val="center"/>
          </w:tcPr>
          <w:p w14:paraId="553A3D06" w14:textId="77777777" w:rsidR="005F04FE" w:rsidRPr="005F04FE" w:rsidRDefault="005F04FE" w:rsidP="005F04FE">
            <w:pPr>
              <w:pStyle w:val="13"/>
              <w:ind w:firstLineChars="0" w:firstLine="0"/>
              <w:jc w:val="center"/>
              <w:rPr>
                <w:sz w:val="21"/>
                <w:szCs w:val="21"/>
              </w:rPr>
            </w:pPr>
            <w:r w:rsidRPr="005F04FE">
              <w:rPr>
                <w:sz w:val="21"/>
                <w:szCs w:val="21"/>
              </w:rPr>
              <w:t>2007</w:t>
            </w:r>
          </w:p>
        </w:tc>
        <w:tc>
          <w:tcPr>
            <w:tcW w:w="1747" w:type="pct"/>
            <w:tcBorders>
              <w:top w:val="single" w:sz="4" w:space="0" w:color="auto"/>
              <w:left w:val="single" w:sz="4" w:space="0" w:color="auto"/>
              <w:bottom w:val="single" w:sz="4" w:space="0" w:color="auto"/>
              <w:right w:val="single" w:sz="4" w:space="0" w:color="auto"/>
            </w:tcBorders>
            <w:vAlign w:val="center"/>
          </w:tcPr>
          <w:p w14:paraId="3643FBD4" w14:textId="77777777" w:rsidR="005F04FE" w:rsidRPr="005F04FE" w:rsidRDefault="005F04FE" w:rsidP="005F04FE">
            <w:pPr>
              <w:pStyle w:val="13"/>
              <w:ind w:firstLineChars="0" w:firstLine="0"/>
              <w:jc w:val="right"/>
              <w:rPr>
                <w:sz w:val="21"/>
                <w:szCs w:val="21"/>
              </w:rPr>
            </w:pPr>
            <w:r w:rsidRPr="005F04FE">
              <w:rPr>
                <w:sz w:val="21"/>
                <w:szCs w:val="21"/>
              </w:rPr>
              <w:t xml:space="preserve">265,810.30 </w:t>
            </w:r>
          </w:p>
        </w:tc>
        <w:tc>
          <w:tcPr>
            <w:tcW w:w="1361" w:type="pct"/>
            <w:tcBorders>
              <w:top w:val="single" w:sz="4" w:space="0" w:color="auto"/>
              <w:left w:val="single" w:sz="4" w:space="0" w:color="auto"/>
              <w:bottom w:val="single" w:sz="4" w:space="0" w:color="auto"/>
              <w:right w:val="single" w:sz="4" w:space="0" w:color="auto"/>
            </w:tcBorders>
            <w:vAlign w:val="center"/>
          </w:tcPr>
          <w:p w14:paraId="6920B606" w14:textId="77777777" w:rsidR="005F04FE" w:rsidRPr="005F04FE" w:rsidRDefault="005F04FE" w:rsidP="005F04FE">
            <w:pPr>
              <w:pStyle w:val="13"/>
              <w:ind w:firstLineChars="0" w:firstLine="0"/>
              <w:jc w:val="right"/>
              <w:rPr>
                <w:sz w:val="21"/>
                <w:szCs w:val="21"/>
              </w:rPr>
            </w:pPr>
            <w:r w:rsidRPr="005F04FE">
              <w:rPr>
                <w:sz w:val="21"/>
                <w:szCs w:val="21"/>
              </w:rPr>
              <w:t xml:space="preserve">14.20 </w:t>
            </w:r>
          </w:p>
        </w:tc>
      </w:tr>
      <w:tr w:rsidR="005F04FE" w:rsidRPr="005F04FE" w14:paraId="5EC0003E" w14:textId="77777777" w:rsidTr="005F04FE">
        <w:trPr>
          <w:trHeight w:val="270"/>
        </w:trPr>
        <w:tc>
          <w:tcPr>
            <w:tcW w:w="1892" w:type="pct"/>
            <w:tcBorders>
              <w:top w:val="single" w:sz="4" w:space="0" w:color="auto"/>
              <w:left w:val="single" w:sz="4" w:space="0" w:color="auto"/>
              <w:bottom w:val="single" w:sz="4" w:space="0" w:color="auto"/>
              <w:right w:val="single" w:sz="4" w:space="0" w:color="auto"/>
            </w:tcBorders>
            <w:vAlign w:val="center"/>
          </w:tcPr>
          <w:p w14:paraId="7A7E5397" w14:textId="77777777" w:rsidR="005F04FE" w:rsidRPr="005F04FE" w:rsidRDefault="005F04FE" w:rsidP="005F04FE">
            <w:pPr>
              <w:pStyle w:val="13"/>
              <w:ind w:firstLineChars="0" w:firstLine="0"/>
              <w:jc w:val="center"/>
              <w:rPr>
                <w:sz w:val="21"/>
                <w:szCs w:val="21"/>
              </w:rPr>
            </w:pPr>
            <w:r w:rsidRPr="005F04FE">
              <w:rPr>
                <w:sz w:val="21"/>
                <w:szCs w:val="21"/>
              </w:rPr>
              <w:t>2008</w:t>
            </w:r>
          </w:p>
        </w:tc>
        <w:tc>
          <w:tcPr>
            <w:tcW w:w="1747" w:type="pct"/>
            <w:tcBorders>
              <w:top w:val="single" w:sz="4" w:space="0" w:color="auto"/>
              <w:left w:val="nil"/>
              <w:bottom w:val="single" w:sz="4" w:space="0" w:color="auto"/>
              <w:right w:val="single" w:sz="4" w:space="0" w:color="auto"/>
            </w:tcBorders>
            <w:vAlign w:val="center"/>
          </w:tcPr>
          <w:p w14:paraId="5B59B865" w14:textId="77777777" w:rsidR="005F04FE" w:rsidRPr="005F04FE" w:rsidRDefault="005F04FE" w:rsidP="005F04FE">
            <w:pPr>
              <w:pStyle w:val="13"/>
              <w:ind w:firstLineChars="0" w:firstLine="0"/>
              <w:jc w:val="right"/>
              <w:rPr>
                <w:sz w:val="21"/>
                <w:szCs w:val="21"/>
              </w:rPr>
            </w:pPr>
            <w:r w:rsidRPr="005F04FE">
              <w:rPr>
                <w:sz w:val="21"/>
                <w:szCs w:val="21"/>
              </w:rPr>
              <w:t xml:space="preserve">314,045.40 </w:t>
            </w:r>
          </w:p>
        </w:tc>
        <w:tc>
          <w:tcPr>
            <w:tcW w:w="1361" w:type="pct"/>
            <w:tcBorders>
              <w:top w:val="single" w:sz="4" w:space="0" w:color="auto"/>
              <w:left w:val="nil"/>
              <w:bottom w:val="single" w:sz="4" w:space="0" w:color="auto"/>
              <w:right w:val="single" w:sz="4" w:space="0" w:color="auto"/>
            </w:tcBorders>
            <w:vAlign w:val="center"/>
          </w:tcPr>
          <w:p w14:paraId="1C03F44D" w14:textId="77777777" w:rsidR="005F04FE" w:rsidRPr="005F04FE" w:rsidRDefault="005F04FE" w:rsidP="005F04FE">
            <w:pPr>
              <w:pStyle w:val="13"/>
              <w:ind w:firstLineChars="0" w:firstLine="0"/>
              <w:jc w:val="right"/>
              <w:rPr>
                <w:sz w:val="21"/>
                <w:szCs w:val="21"/>
              </w:rPr>
            </w:pPr>
            <w:r w:rsidRPr="005F04FE">
              <w:rPr>
                <w:sz w:val="21"/>
                <w:szCs w:val="21"/>
              </w:rPr>
              <w:t xml:space="preserve">9.60 </w:t>
            </w:r>
          </w:p>
        </w:tc>
      </w:tr>
      <w:tr w:rsidR="005F04FE" w:rsidRPr="005F04FE" w14:paraId="02CA673F"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06D6354D" w14:textId="77777777" w:rsidR="005F04FE" w:rsidRPr="005F04FE" w:rsidRDefault="005F04FE" w:rsidP="005F04FE">
            <w:pPr>
              <w:pStyle w:val="13"/>
              <w:ind w:firstLineChars="0" w:firstLine="0"/>
              <w:jc w:val="center"/>
              <w:rPr>
                <w:sz w:val="21"/>
                <w:szCs w:val="21"/>
              </w:rPr>
            </w:pPr>
            <w:r w:rsidRPr="005F04FE">
              <w:rPr>
                <w:sz w:val="21"/>
                <w:szCs w:val="21"/>
              </w:rPr>
              <w:t>2009</w:t>
            </w:r>
          </w:p>
        </w:tc>
        <w:tc>
          <w:tcPr>
            <w:tcW w:w="1747" w:type="pct"/>
            <w:tcBorders>
              <w:top w:val="nil"/>
              <w:left w:val="nil"/>
              <w:bottom w:val="single" w:sz="4" w:space="0" w:color="auto"/>
              <w:right w:val="single" w:sz="4" w:space="0" w:color="auto"/>
            </w:tcBorders>
            <w:vAlign w:val="center"/>
          </w:tcPr>
          <w:p w14:paraId="62C7783A" w14:textId="77777777" w:rsidR="005F04FE" w:rsidRPr="005F04FE" w:rsidRDefault="005F04FE" w:rsidP="005F04FE">
            <w:pPr>
              <w:pStyle w:val="13"/>
              <w:ind w:firstLineChars="0" w:firstLine="0"/>
              <w:jc w:val="right"/>
              <w:rPr>
                <w:sz w:val="21"/>
                <w:szCs w:val="21"/>
              </w:rPr>
            </w:pPr>
            <w:r w:rsidRPr="005F04FE">
              <w:rPr>
                <w:sz w:val="21"/>
                <w:szCs w:val="21"/>
              </w:rPr>
              <w:t xml:space="preserve">340,902.81 </w:t>
            </w:r>
          </w:p>
        </w:tc>
        <w:tc>
          <w:tcPr>
            <w:tcW w:w="1361" w:type="pct"/>
            <w:tcBorders>
              <w:top w:val="nil"/>
              <w:left w:val="nil"/>
              <w:bottom w:val="single" w:sz="4" w:space="0" w:color="auto"/>
              <w:right w:val="single" w:sz="4" w:space="0" w:color="auto"/>
            </w:tcBorders>
            <w:vAlign w:val="center"/>
          </w:tcPr>
          <w:p w14:paraId="195C3E30" w14:textId="77777777" w:rsidR="005F04FE" w:rsidRPr="005F04FE" w:rsidRDefault="005F04FE" w:rsidP="005F04FE">
            <w:pPr>
              <w:pStyle w:val="13"/>
              <w:ind w:firstLineChars="0" w:firstLine="0"/>
              <w:jc w:val="right"/>
              <w:rPr>
                <w:sz w:val="21"/>
                <w:szCs w:val="21"/>
              </w:rPr>
            </w:pPr>
            <w:r w:rsidRPr="005F04FE">
              <w:rPr>
                <w:sz w:val="21"/>
                <w:szCs w:val="21"/>
              </w:rPr>
              <w:t xml:space="preserve">9.20 </w:t>
            </w:r>
          </w:p>
        </w:tc>
      </w:tr>
      <w:tr w:rsidR="005F04FE" w:rsidRPr="005F04FE" w14:paraId="5982FCF4"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29E78B05" w14:textId="77777777" w:rsidR="005F04FE" w:rsidRPr="005F04FE" w:rsidRDefault="005F04FE" w:rsidP="005F04FE">
            <w:pPr>
              <w:pStyle w:val="13"/>
              <w:ind w:firstLineChars="0" w:firstLine="0"/>
              <w:jc w:val="center"/>
              <w:rPr>
                <w:sz w:val="21"/>
                <w:szCs w:val="21"/>
              </w:rPr>
            </w:pPr>
            <w:r w:rsidRPr="005F04FE">
              <w:rPr>
                <w:sz w:val="21"/>
                <w:szCs w:val="21"/>
              </w:rPr>
              <w:t>2010</w:t>
            </w:r>
          </w:p>
        </w:tc>
        <w:tc>
          <w:tcPr>
            <w:tcW w:w="1747" w:type="pct"/>
            <w:tcBorders>
              <w:top w:val="nil"/>
              <w:left w:val="nil"/>
              <w:bottom w:val="single" w:sz="4" w:space="0" w:color="auto"/>
              <w:right w:val="single" w:sz="4" w:space="0" w:color="auto"/>
            </w:tcBorders>
            <w:vAlign w:val="center"/>
          </w:tcPr>
          <w:p w14:paraId="32CCFBF6" w14:textId="77777777" w:rsidR="005F04FE" w:rsidRPr="005F04FE" w:rsidRDefault="005F04FE" w:rsidP="005F04FE">
            <w:pPr>
              <w:pStyle w:val="13"/>
              <w:ind w:firstLineChars="0" w:firstLine="0"/>
              <w:jc w:val="right"/>
              <w:rPr>
                <w:sz w:val="21"/>
                <w:szCs w:val="21"/>
              </w:rPr>
            </w:pPr>
            <w:r w:rsidRPr="005F04FE">
              <w:rPr>
                <w:sz w:val="21"/>
                <w:szCs w:val="21"/>
              </w:rPr>
              <w:t xml:space="preserve">401,512.80 </w:t>
            </w:r>
          </w:p>
        </w:tc>
        <w:tc>
          <w:tcPr>
            <w:tcW w:w="1361" w:type="pct"/>
            <w:tcBorders>
              <w:top w:val="nil"/>
              <w:left w:val="nil"/>
              <w:bottom w:val="single" w:sz="4" w:space="0" w:color="auto"/>
              <w:right w:val="single" w:sz="4" w:space="0" w:color="auto"/>
            </w:tcBorders>
            <w:vAlign w:val="center"/>
          </w:tcPr>
          <w:p w14:paraId="7CEADF3C" w14:textId="77777777" w:rsidR="005F04FE" w:rsidRPr="005F04FE" w:rsidRDefault="005F04FE" w:rsidP="005F04FE">
            <w:pPr>
              <w:pStyle w:val="13"/>
              <w:ind w:firstLineChars="0" w:firstLine="0"/>
              <w:jc w:val="right"/>
              <w:rPr>
                <w:sz w:val="21"/>
                <w:szCs w:val="21"/>
              </w:rPr>
            </w:pPr>
            <w:r w:rsidRPr="005F04FE">
              <w:rPr>
                <w:sz w:val="21"/>
                <w:szCs w:val="21"/>
              </w:rPr>
              <w:t xml:space="preserve">10.40 </w:t>
            </w:r>
          </w:p>
        </w:tc>
      </w:tr>
      <w:tr w:rsidR="005F04FE" w:rsidRPr="005F04FE" w14:paraId="270E01FA"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112EF5BC" w14:textId="77777777" w:rsidR="005F04FE" w:rsidRPr="005F04FE" w:rsidRDefault="005F04FE" w:rsidP="005F04FE">
            <w:pPr>
              <w:pStyle w:val="13"/>
              <w:ind w:firstLineChars="0" w:firstLine="0"/>
              <w:jc w:val="center"/>
              <w:rPr>
                <w:sz w:val="21"/>
                <w:szCs w:val="21"/>
              </w:rPr>
            </w:pPr>
            <w:r w:rsidRPr="005F04FE">
              <w:rPr>
                <w:sz w:val="21"/>
                <w:szCs w:val="21"/>
              </w:rPr>
              <w:t>2011</w:t>
            </w:r>
          </w:p>
        </w:tc>
        <w:tc>
          <w:tcPr>
            <w:tcW w:w="1747" w:type="pct"/>
            <w:tcBorders>
              <w:top w:val="nil"/>
              <w:left w:val="nil"/>
              <w:bottom w:val="single" w:sz="4" w:space="0" w:color="auto"/>
              <w:right w:val="single" w:sz="4" w:space="0" w:color="auto"/>
            </w:tcBorders>
            <w:vAlign w:val="center"/>
          </w:tcPr>
          <w:p w14:paraId="5195DFA6" w14:textId="77777777" w:rsidR="005F04FE" w:rsidRPr="005F04FE" w:rsidRDefault="005F04FE" w:rsidP="005F04FE">
            <w:pPr>
              <w:pStyle w:val="13"/>
              <w:ind w:firstLineChars="0" w:firstLine="0"/>
              <w:jc w:val="right"/>
              <w:rPr>
                <w:sz w:val="21"/>
                <w:szCs w:val="21"/>
              </w:rPr>
            </w:pPr>
            <w:r w:rsidRPr="005F04FE">
              <w:rPr>
                <w:sz w:val="21"/>
                <w:szCs w:val="21"/>
              </w:rPr>
              <w:t xml:space="preserve">473,104.00 </w:t>
            </w:r>
          </w:p>
        </w:tc>
        <w:tc>
          <w:tcPr>
            <w:tcW w:w="1361" w:type="pct"/>
            <w:tcBorders>
              <w:top w:val="nil"/>
              <w:left w:val="nil"/>
              <w:bottom w:val="single" w:sz="4" w:space="0" w:color="auto"/>
              <w:right w:val="single" w:sz="4" w:space="0" w:color="auto"/>
            </w:tcBorders>
            <w:vAlign w:val="center"/>
          </w:tcPr>
          <w:p w14:paraId="7DB1BF8A" w14:textId="77777777" w:rsidR="005F04FE" w:rsidRPr="005F04FE" w:rsidRDefault="005F04FE" w:rsidP="005F04FE">
            <w:pPr>
              <w:pStyle w:val="13"/>
              <w:ind w:firstLineChars="0" w:firstLine="0"/>
              <w:jc w:val="right"/>
              <w:rPr>
                <w:sz w:val="21"/>
                <w:szCs w:val="21"/>
              </w:rPr>
            </w:pPr>
            <w:r w:rsidRPr="005F04FE">
              <w:rPr>
                <w:sz w:val="21"/>
                <w:szCs w:val="21"/>
              </w:rPr>
              <w:t xml:space="preserve">9.30 </w:t>
            </w:r>
          </w:p>
        </w:tc>
      </w:tr>
      <w:tr w:rsidR="005F04FE" w:rsidRPr="005F04FE" w14:paraId="495639AC" w14:textId="77777777" w:rsidTr="005F04FE">
        <w:trPr>
          <w:trHeight w:val="270"/>
        </w:trPr>
        <w:tc>
          <w:tcPr>
            <w:tcW w:w="1892" w:type="pct"/>
            <w:tcBorders>
              <w:top w:val="nil"/>
              <w:left w:val="single" w:sz="4" w:space="0" w:color="auto"/>
              <w:bottom w:val="single" w:sz="4" w:space="0" w:color="auto"/>
              <w:right w:val="single" w:sz="4" w:space="0" w:color="auto"/>
            </w:tcBorders>
            <w:vAlign w:val="center"/>
          </w:tcPr>
          <w:p w14:paraId="5F6E9C93" w14:textId="77777777" w:rsidR="005F04FE" w:rsidRPr="005F04FE" w:rsidRDefault="005F04FE" w:rsidP="005F04FE">
            <w:pPr>
              <w:pStyle w:val="13"/>
              <w:ind w:firstLineChars="0" w:firstLine="0"/>
              <w:jc w:val="center"/>
              <w:rPr>
                <w:sz w:val="21"/>
                <w:szCs w:val="21"/>
              </w:rPr>
            </w:pPr>
            <w:r w:rsidRPr="005F04FE">
              <w:rPr>
                <w:sz w:val="21"/>
                <w:szCs w:val="21"/>
              </w:rPr>
              <w:t>2012</w:t>
            </w:r>
          </w:p>
        </w:tc>
        <w:tc>
          <w:tcPr>
            <w:tcW w:w="1747" w:type="pct"/>
            <w:tcBorders>
              <w:top w:val="nil"/>
              <w:left w:val="nil"/>
              <w:bottom w:val="single" w:sz="4" w:space="0" w:color="auto"/>
              <w:right w:val="single" w:sz="4" w:space="0" w:color="auto"/>
            </w:tcBorders>
            <w:vAlign w:val="center"/>
          </w:tcPr>
          <w:p w14:paraId="31799B8E" w14:textId="77777777" w:rsidR="005F04FE" w:rsidRPr="005F04FE" w:rsidRDefault="005F04FE" w:rsidP="005F04FE">
            <w:pPr>
              <w:pStyle w:val="13"/>
              <w:ind w:firstLineChars="0" w:firstLine="0"/>
              <w:jc w:val="right"/>
              <w:rPr>
                <w:sz w:val="21"/>
                <w:szCs w:val="21"/>
              </w:rPr>
            </w:pPr>
            <w:r w:rsidRPr="005F04FE">
              <w:rPr>
                <w:sz w:val="21"/>
                <w:szCs w:val="21"/>
              </w:rPr>
              <w:t xml:space="preserve">519,322.10 </w:t>
            </w:r>
          </w:p>
        </w:tc>
        <w:tc>
          <w:tcPr>
            <w:tcW w:w="1361" w:type="pct"/>
            <w:tcBorders>
              <w:top w:val="nil"/>
              <w:left w:val="nil"/>
              <w:bottom w:val="single" w:sz="4" w:space="0" w:color="auto"/>
              <w:right w:val="single" w:sz="4" w:space="0" w:color="auto"/>
            </w:tcBorders>
            <w:vAlign w:val="center"/>
          </w:tcPr>
          <w:p w14:paraId="21515C7F" w14:textId="77777777" w:rsidR="005F04FE" w:rsidRPr="005F04FE" w:rsidRDefault="005F04FE" w:rsidP="005F04FE">
            <w:pPr>
              <w:pStyle w:val="13"/>
              <w:ind w:firstLineChars="0" w:firstLine="0"/>
              <w:jc w:val="right"/>
              <w:rPr>
                <w:sz w:val="21"/>
                <w:szCs w:val="21"/>
              </w:rPr>
            </w:pPr>
            <w:r w:rsidRPr="005F04FE">
              <w:rPr>
                <w:sz w:val="21"/>
                <w:szCs w:val="21"/>
              </w:rPr>
              <w:t xml:space="preserve">7.80 </w:t>
            </w:r>
          </w:p>
        </w:tc>
      </w:tr>
    </w:tbl>
    <w:p w14:paraId="203DD3BA" w14:textId="4A884906" w:rsidR="00685D93" w:rsidRPr="005F04FE" w:rsidRDefault="005F04FE" w:rsidP="005F04FE">
      <w:pPr>
        <w:pStyle w:val="13"/>
        <w:ind w:firstLine="420"/>
        <w:jc w:val="right"/>
        <w:rPr>
          <w:sz w:val="21"/>
          <w:szCs w:val="21"/>
        </w:rPr>
      </w:pPr>
      <w:r w:rsidRPr="005F04FE">
        <w:rPr>
          <w:rFonts w:hint="eastAsia"/>
          <w:sz w:val="21"/>
          <w:szCs w:val="21"/>
        </w:rPr>
        <w:t>数据来源：</w:t>
      </w:r>
      <w:r w:rsidRPr="005F04FE">
        <w:rPr>
          <w:sz w:val="21"/>
          <w:szCs w:val="21"/>
        </w:rPr>
        <w:t>wind资讯</w:t>
      </w:r>
    </w:p>
    <w:p w14:paraId="19B95986" w14:textId="77777777" w:rsidR="005F04FE" w:rsidRPr="005F04FE" w:rsidRDefault="005F04FE" w:rsidP="005F04FE">
      <w:pPr>
        <w:pStyle w:val="13"/>
      </w:pPr>
      <w:r w:rsidRPr="005F04FE">
        <w:rPr>
          <w:rFonts w:hint="eastAsia"/>
        </w:rPr>
        <w:t>2、</w:t>
      </w:r>
      <w:r w:rsidRPr="005F04FE">
        <w:t>市场份额的预测</w:t>
      </w:r>
    </w:p>
    <w:p w14:paraId="76AC3AE6" w14:textId="77777777" w:rsidR="005F04FE" w:rsidRPr="005F04FE" w:rsidRDefault="005F04FE" w:rsidP="005F04FE">
      <w:pPr>
        <w:pStyle w:val="13"/>
      </w:pPr>
      <w:r w:rsidRPr="005F04FE">
        <w:t>市场份额与证券公司的经营政策、资金实力等相关，同时各个营业部之间也因为地区、运作经验、管理等多方面的因素各有不同。</w:t>
      </w:r>
    </w:p>
    <w:p w14:paraId="485C85DC" w14:textId="77777777" w:rsidR="005F04FE" w:rsidRPr="005F04FE" w:rsidRDefault="005F04FE" w:rsidP="005F04FE">
      <w:pPr>
        <w:pStyle w:val="13"/>
      </w:pPr>
      <w:r w:rsidRPr="005F04FE">
        <w:rPr>
          <w:rFonts w:hint="eastAsia"/>
        </w:rPr>
        <w:t>x</w:t>
      </w:r>
      <w:r w:rsidRPr="005F04FE">
        <w:t>x证券公司是一家经营稳定的金融企业，具有较稳定的客户资源、完备的管理体制、成熟的团队及较高的市场开拓能力，自成立以来一直保持了稳定的成长速度。20</w:t>
      </w:r>
      <w:r w:rsidRPr="005F04FE">
        <w:rPr>
          <w:rFonts w:hint="eastAsia"/>
        </w:rPr>
        <w:t>y</w:t>
      </w:r>
      <w:r w:rsidRPr="005F04FE">
        <w:t>9年公司股票基金交易总金额为2,156.49亿元，20</w:t>
      </w:r>
      <w:r w:rsidRPr="005F04FE">
        <w:rPr>
          <w:rFonts w:hint="eastAsia"/>
        </w:rPr>
        <w:t>x</w:t>
      </w:r>
      <w:r w:rsidRPr="005F04FE">
        <w:t>0年交易总金额为1,770.74亿元，20x1年交易总金额为2,042.35亿元，20x2年1-9月交易总金额为1,568.03亿元。</w:t>
      </w:r>
      <w:r w:rsidRPr="005F04FE">
        <w:rPr>
          <w:rFonts w:hint="eastAsia"/>
        </w:rPr>
        <w:t>x</w:t>
      </w:r>
      <w:r w:rsidRPr="005F04FE">
        <w:t>x证券公司在20</w:t>
      </w:r>
      <w:r w:rsidRPr="005F04FE">
        <w:rPr>
          <w:rFonts w:hint="eastAsia"/>
        </w:rPr>
        <w:t>y</w:t>
      </w:r>
      <w:r w:rsidRPr="005F04FE">
        <w:t>9-20</w:t>
      </w:r>
      <w:r w:rsidRPr="005F04FE">
        <w:rPr>
          <w:rFonts w:hint="eastAsia"/>
        </w:rPr>
        <w:t>x</w:t>
      </w:r>
      <w:r w:rsidRPr="005F04FE">
        <w:t>2年市场份额分别为0.1988%、0.1608%、0.2406%、0.3688%，根据企业营销计划，预测20</w:t>
      </w:r>
      <w:r w:rsidRPr="005F04FE">
        <w:rPr>
          <w:rFonts w:hint="eastAsia"/>
        </w:rPr>
        <w:t>x</w:t>
      </w:r>
      <w:r w:rsidRPr="005F04FE">
        <w:t>3年到20</w:t>
      </w:r>
      <w:r w:rsidRPr="005F04FE">
        <w:rPr>
          <w:rFonts w:hint="eastAsia"/>
        </w:rPr>
        <w:t>x</w:t>
      </w:r>
      <w:r w:rsidRPr="005F04FE">
        <w:t>7年</w:t>
      </w:r>
      <w:r w:rsidRPr="005F04FE">
        <w:rPr>
          <w:rFonts w:hint="eastAsia"/>
        </w:rPr>
        <w:t>xx</w:t>
      </w:r>
      <w:r w:rsidRPr="005F04FE">
        <w:t>证券市场份额每年将以6%的速度增长，分别达0.3909%、0.4144%、0.4393%、0.4657%、0.4936%，至20</w:t>
      </w:r>
      <w:r w:rsidRPr="005F04FE">
        <w:rPr>
          <w:rFonts w:hint="eastAsia"/>
        </w:rPr>
        <w:t>x</w:t>
      </w:r>
      <w:r w:rsidRPr="005F04FE">
        <w:t>7之后稳定在0.4936%。</w:t>
      </w:r>
    </w:p>
    <w:p w14:paraId="20882FF3" w14:textId="77777777" w:rsidR="005F04FE" w:rsidRPr="005F04FE" w:rsidRDefault="005F04FE" w:rsidP="005F04FE">
      <w:pPr>
        <w:pStyle w:val="13"/>
      </w:pPr>
      <w:r w:rsidRPr="005F04FE">
        <w:rPr>
          <w:rFonts w:hint="eastAsia"/>
        </w:rPr>
        <w:t>3、</w:t>
      </w:r>
      <w:r w:rsidRPr="005F04FE">
        <w:t>平均佣金率的预测</w:t>
      </w:r>
    </w:p>
    <w:p w14:paraId="23A44DC1" w14:textId="77777777" w:rsidR="005F04FE" w:rsidRPr="005F04FE" w:rsidRDefault="005F04FE" w:rsidP="005F04FE">
      <w:pPr>
        <w:pStyle w:val="13"/>
      </w:pPr>
      <w:r w:rsidRPr="005F04FE">
        <w:t>各年的平均佣金率与证券市场的景气程度和临近营业部之间的竞争相关，根据xx证券公司的财务数据显示20</w:t>
      </w:r>
      <w:r w:rsidRPr="005F04FE">
        <w:rPr>
          <w:rFonts w:hint="eastAsia"/>
        </w:rPr>
        <w:t>x</w:t>
      </w:r>
      <w:r w:rsidRPr="005F04FE">
        <w:t>2年1-9月其佣金费率水平为万分之</w:t>
      </w:r>
      <w:proofErr w:type="gramStart"/>
      <w:r w:rsidRPr="005F04FE">
        <w:t>8</w:t>
      </w:r>
      <w:proofErr w:type="gramEnd"/>
      <w:r w:rsidRPr="005F04FE">
        <w:t>.0008。</w:t>
      </w:r>
    </w:p>
    <w:p w14:paraId="71479BBC" w14:textId="77777777" w:rsidR="005F04FE" w:rsidRPr="005F04FE" w:rsidRDefault="005F04FE" w:rsidP="005F04FE">
      <w:pPr>
        <w:pStyle w:val="13"/>
      </w:pPr>
      <w:r w:rsidRPr="005F04FE">
        <w:t>由于xx证券公司的营业部设立在一线城市，客户均为高净值客户，具有较高的客户忠诚度，因此能保持较市场平均佣金率略高的水平，我们随着未来市场面临竞争的不断加剧，</w:t>
      </w:r>
      <w:proofErr w:type="spellStart"/>
      <w:r w:rsidRPr="005F04FE">
        <w:t>xx</w:t>
      </w:r>
      <w:proofErr w:type="spellEnd"/>
      <w:r w:rsidRPr="005F04FE">
        <w:t>证券公司市场佣金率水平将保持在万分之八左右。</w:t>
      </w:r>
    </w:p>
    <w:p w14:paraId="632E6518" w14:textId="77777777" w:rsidR="005F04FE" w:rsidRPr="005F04FE" w:rsidRDefault="005F04FE" w:rsidP="005F04FE">
      <w:pPr>
        <w:pStyle w:val="13"/>
      </w:pPr>
      <w:r w:rsidRPr="005F04FE">
        <w:rPr>
          <w:rFonts w:hint="eastAsia"/>
        </w:rPr>
        <w:t>4、</w:t>
      </w:r>
      <w:r w:rsidRPr="005F04FE">
        <w:t>手续费及佣金支出</w:t>
      </w:r>
    </w:p>
    <w:p w14:paraId="05E935D8" w14:textId="77777777" w:rsidR="005F04FE" w:rsidRPr="005F04FE" w:rsidRDefault="005F04FE" w:rsidP="005F04FE">
      <w:pPr>
        <w:pStyle w:val="13"/>
      </w:pPr>
      <w:r w:rsidRPr="005F04FE">
        <w:t>20x0年-20x2年前三季度xx证券公司手续费及佣金支出占手续费佣金收入的比分别为3.44%、2.89%、3.04%。预计未来这一比例将保持在3.04%的水平。</w:t>
      </w:r>
    </w:p>
    <w:p w14:paraId="5EC35710" w14:textId="77777777" w:rsidR="005F04FE" w:rsidRPr="005F04FE" w:rsidRDefault="005F04FE" w:rsidP="005F04FE">
      <w:pPr>
        <w:pStyle w:val="13"/>
      </w:pPr>
      <w:r w:rsidRPr="005F04FE">
        <w:t>通过上述参数计算xx证券公司20x2年第四季度到20x7年各年的证券经纪业务</w:t>
      </w:r>
      <w:r w:rsidRPr="005F04FE">
        <w:lastRenderedPageBreak/>
        <w:t>手续费及佣金净收入如下：</w:t>
      </w:r>
    </w:p>
    <w:p w14:paraId="06EFF87A" w14:textId="77777777" w:rsidR="005F04FE" w:rsidRPr="005F04FE" w:rsidRDefault="005F04FE" w:rsidP="005F04FE">
      <w:pPr>
        <w:pStyle w:val="13"/>
        <w:jc w:val="center"/>
      </w:pPr>
      <w:r w:rsidRPr="005F04FE">
        <w:t>证券经纪业务手续费及佣金净收入预测表</w:t>
      </w:r>
    </w:p>
    <w:p w14:paraId="3F1C16DE" w14:textId="77777777" w:rsidR="005F04FE" w:rsidRPr="005F04FE" w:rsidRDefault="005F04FE" w:rsidP="005F04FE">
      <w:pPr>
        <w:pStyle w:val="13"/>
        <w:ind w:firstLine="360"/>
        <w:jc w:val="right"/>
        <w:rPr>
          <w:sz w:val="18"/>
          <w:szCs w:val="18"/>
        </w:rPr>
      </w:pPr>
      <w:r w:rsidRPr="005F04FE">
        <w:rPr>
          <w:rFonts w:hint="eastAsia"/>
          <w:sz w:val="18"/>
          <w:szCs w:val="18"/>
        </w:rPr>
        <w:t>金额单位：人民币万元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1149"/>
        <w:gridCol w:w="1149"/>
        <w:gridCol w:w="1149"/>
        <w:gridCol w:w="1149"/>
        <w:gridCol w:w="1149"/>
      </w:tblGrid>
      <w:tr w:rsidR="005F04FE" w:rsidRPr="005F04FE" w14:paraId="3543AB7C" w14:textId="77777777" w:rsidTr="005F04FE">
        <w:trPr>
          <w:trHeight w:val="390"/>
          <w:jc w:val="center"/>
        </w:trPr>
        <w:tc>
          <w:tcPr>
            <w:tcW w:w="1705" w:type="pct"/>
            <w:vAlign w:val="center"/>
          </w:tcPr>
          <w:p w14:paraId="2BE77A77" w14:textId="77777777" w:rsidR="005F04FE" w:rsidRPr="005F04FE" w:rsidRDefault="005F04FE" w:rsidP="005F04FE">
            <w:pPr>
              <w:pStyle w:val="13"/>
              <w:ind w:firstLineChars="0" w:firstLine="0"/>
              <w:jc w:val="center"/>
              <w:rPr>
                <w:b/>
                <w:sz w:val="18"/>
                <w:szCs w:val="18"/>
              </w:rPr>
            </w:pPr>
            <w:r w:rsidRPr="005F04FE">
              <w:rPr>
                <w:b/>
                <w:sz w:val="18"/>
                <w:szCs w:val="18"/>
              </w:rPr>
              <w:t>项目</w:t>
            </w:r>
          </w:p>
        </w:tc>
        <w:tc>
          <w:tcPr>
            <w:tcW w:w="659" w:type="pct"/>
            <w:vAlign w:val="center"/>
          </w:tcPr>
          <w:p w14:paraId="6A51E9FD" w14:textId="77777777" w:rsidR="005F04FE" w:rsidRPr="005F04FE" w:rsidRDefault="005F04FE" w:rsidP="005F04FE">
            <w:pPr>
              <w:pStyle w:val="13"/>
              <w:ind w:firstLineChars="0" w:firstLine="0"/>
              <w:jc w:val="center"/>
              <w:rPr>
                <w:b/>
                <w:sz w:val="18"/>
                <w:szCs w:val="18"/>
              </w:rPr>
            </w:pPr>
            <w:r w:rsidRPr="005F04FE">
              <w:rPr>
                <w:b/>
                <w:sz w:val="18"/>
                <w:szCs w:val="18"/>
              </w:rPr>
              <w:t>20x3年</w:t>
            </w:r>
          </w:p>
        </w:tc>
        <w:tc>
          <w:tcPr>
            <w:tcW w:w="659" w:type="pct"/>
            <w:vAlign w:val="center"/>
          </w:tcPr>
          <w:p w14:paraId="638A890B" w14:textId="77777777" w:rsidR="005F04FE" w:rsidRPr="005F04FE" w:rsidRDefault="005F04FE" w:rsidP="005F04FE">
            <w:pPr>
              <w:pStyle w:val="13"/>
              <w:ind w:firstLineChars="0" w:firstLine="0"/>
              <w:jc w:val="center"/>
              <w:rPr>
                <w:b/>
                <w:sz w:val="18"/>
                <w:szCs w:val="18"/>
              </w:rPr>
            </w:pPr>
            <w:r w:rsidRPr="005F04FE">
              <w:rPr>
                <w:b/>
                <w:sz w:val="18"/>
                <w:szCs w:val="18"/>
              </w:rPr>
              <w:t>20x4年</w:t>
            </w:r>
          </w:p>
        </w:tc>
        <w:tc>
          <w:tcPr>
            <w:tcW w:w="659" w:type="pct"/>
            <w:vAlign w:val="center"/>
          </w:tcPr>
          <w:p w14:paraId="54B847AE" w14:textId="77777777" w:rsidR="005F04FE" w:rsidRPr="005F04FE" w:rsidRDefault="005F04FE" w:rsidP="005F04FE">
            <w:pPr>
              <w:pStyle w:val="13"/>
              <w:ind w:firstLineChars="0" w:firstLine="0"/>
              <w:jc w:val="center"/>
              <w:rPr>
                <w:b/>
                <w:sz w:val="18"/>
                <w:szCs w:val="18"/>
              </w:rPr>
            </w:pPr>
            <w:r w:rsidRPr="005F04FE">
              <w:rPr>
                <w:b/>
                <w:sz w:val="18"/>
                <w:szCs w:val="18"/>
              </w:rPr>
              <w:t>20x5年</w:t>
            </w:r>
          </w:p>
        </w:tc>
        <w:tc>
          <w:tcPr>
            <w:tcW w:w="659" w:type="pct"/>
            <w:vAlign w:val="center"/>
          </w:tcPr>
          <w:p w14:paraId="3CA2D280" w14:textId="77777777" w:rsidR="005F04FE" w:rsidRPr="005F04FE" w:rsidRDefault="005F04FE" w:rsidP="005F04FE">
            <w:pPr>
              <w:pStyle w:val="13"/>
              <w:ind w:firstLineChars="0" w:firstLine="0"/>
              <w:jc w:val="center"/>
              <w:rPr>
                <w:b/>
                <w:sz w:val="18"/>
                <w:szCs w:val="18"/>
              </w:rPr>
            </w:pPr>
            <w:r w:rsidRPr="005F04FE">
              <w:rPr>
                <w:b/>
                <w:sz w:val="18"/>
                <w:szCs w:val="18"/>
              </w:rPr>
              <w:t>20x6年</w:t>
            </w:r>
          </w:p>
        </w:tc>
        <w:tc>
          <w:tcPr>
            <w:tcW w:w="659" w:type="pct"/>
            <w:vAlign w:val="center"/>
          </w:tcPr>
          <w:p w14:paraId="4D724EBE" w14:textId="77777777" w:rsidR="005F04FE" w:rsidRPr="005F04FE" w:rsidRDefault="005F04FE" w:rsidP="005F04FE">
            <w:pPr>
              <w:pStyle w:val="13"/>
              <w:ind w:firstLineChars="0" w:firstLine="0"/>
              <w:jc w:val="center"/>
              <w:rPr>
                <w:b/>
                <w:sz w:val="18"/>
                <w:szCs w:val="18"/>
              </w:rPr>
            </w:pPr>
            <w:r w:rsidRPr="005F04FE">
              <w:rPr>
                <w:b/>
                <w:sz w:val="18"/>
                <w:szCs w:val="18"/>
              </w:rPr>
              <w:t>20x7年</w:t>
            </w:r>
          </w:p>
        </w:tc>
      </w:tr>
      <w:tr w:rsidR="005F04FE" w:rsidRPr="005F04FE" w14:paraId="0BCB33F4" w14:textId="77777777" w:rsidTr="005F04FE">
        <w:trPr>
          <w:trHeight w:val="345"/>
          <w:jc w:val="center"/>
        </w:trPr>
        <w:tc>
          <w:tcPr>
            <w:tcW w:w="1705" w:type="pct"/>
            <w:vAlign w:val="center"/>
          </w:tcPr>
          <w:p w14:paraId="0016936F" w14:textId="77777777" w:rsidR="005F04FE" w:rsidRPr="005F04FE" w:rsidRDefault="005F04FE" w:rsidP="005F04FE">
            <w:pPr>
              <w:pStyle w:val="13"/>
              <w:ind w:firstLineChars="0" w:firstLine="0"/>
              <w:rPr>
                <w:sz w:val="18"/>
                <w:szCs w:val="18"/>
              </w:rPr>
            </w:pPr>
            <w:r w:rsidRPr="005F04FE">
              <w:rPr>
                <w:sz w:val="18"/>
                <w:szCs w:val="18"/>
              </w:rPr>
              <w:t>1、A股市场成交额（亿元）</w:t>
            </w:r>
          </w:p>
        </w:tc>
        <w:tc>
          <w:tcPr>
            <w:tcW w:w="659" w:type="pct"/>
            <w:vAlign w:val="center"/>
          </w:tcPr>
          <w:p w14:paraId="7D22C590" w14:textId="77777777" w:rsidR="005F04FE" w:rsidRPr="005F04FE" w:rsidRDefault="005F04FE" w:rsidP="005F04FE">
            <w:pPr>
              <w:pStyle w:val="13"/>
              <w:ind w:firstLineChars="0" w:firstLine="0"/>
              <w:jc w:val="right"/>
              <w:rPr>
                <w:sz w:val="18"/>
                <w:szCs w:val="18"/>
              </w:rPr>
            </w:pPr>
            <w:r w:rsidRPr="005F04FE">
              <w:rPr>
                <w:sz w:val="18"/>
                <w:szCs w:val="18"/>
              </w:rPr>
              <w:t>688,044.53</w:t>
            </w:r>
          </w:p>
        </w:tc>
        <w:tc>
          <w:tcPr>
            <w:tcW w:w="659" w:type="pct"/>
            <w:vAlign w:val="center"/>
          </w:tcPr>
          <w:p w14:paraId="3A022704" w14:textId="77777777" w:rsidR="005F04FE" w:rsidRPr="005F04FE" w:rsidRDefault="005F04FE" w:rsidP="005F04FE">
            <w:pPr>
              <w:pStyle w:val="13"/>
              <w:ind w:firstLineChars="0" w:firstLine="0"/>
              <w:jc w:val="right"/>
              <w:rPr>
                <w:sz w:val="18"/>
                <w:szCs w:val="18"/>
              </w:rPr>
            </w:pPr>
            <w:r w:rsidRPr="005F04FE">
              <w:rPr>
                <w:sz w:val="18"/>
                <w:szCs w:val="18"/>
              </w:rPr>
              <w:t>740,335.92</w:t>
            </w:r>
          </w:p>
        </w:tc>
        <w:tc>
          <w:tcPr>
            <w:tcW w:w="659" w:type="pct"/>
            <w:vAlign w:val="center"/>
          </w:tcPr>
          <w:p w14:paraId="7F9F95BF" w14:textId="77777777" w:rsidR="005F04FE" w:rsidRPr="005F04FE" w:rsidRDefault="005F04FE" w:rsidP="005F04FE">
            <w:pPr>
              <w:pStyle w:val="13"/>
              <w:ind w:firstLineChars="0" w:firstLine="0"/>
              <w:jc w:val="right"/>
              <w:rPr>
                <w:sz w:val="18"/>
                <w:szCs w:val="18"/>
              </w:rPr>
            </w:pPr>
            <w:r w:rsidRPr="005F04FE">
              <w:rPr>
                <w:sz w:val="18"/>
                <w:szCs w:val="18"/>
              </w:rPr>
              <w:t>796,601.45</w:t>
            </w:r>
          </w:p>
        </w:tc>
        <w:tc>
          <w:tcPr>
            <w:tcW w:w="659" w:type="pct"/>
            <w:vAlign w:val="center"/>
          </w:tcPr>
          <w:p w14:paraId="2840C3AA" w14:textId="77777777" w:rsidR="005F04FE" w:rsidRPr="005F04FE" w:rsidRDefault="005F04FE" w:rsidP="005F04FE">
            <w:pPr>
              <w:pStyle w:val="13"/>
              <w:ind w:firstLineChars="0" w:firstLine="0"/>
              <w:jc w:val="right"/>
              <w:rPr>
                <w:sz w:val="18"/>
                <w:szCs w:val="18"/>
              </w:rPr>
            </w:pPr>
            <w:r w:rsidRPr="005F04FE">
              <w:rPr>
                <w:sz w:val="18"/>
                <w:szCs w:val="18"/>
              </w:rPr>
              <w:t>857,143.16</w:t>
            </w:r>
          </w:p>
        </w:tc>
        <w:tc>
          <w:tcPr>
            <w:tcW w:w="659" w:type="pct"/>
            <w:vAlign w:val="center"/>
          </w:tcPr>
          <w:p w14:paraId="579F0D39" w14:textId="77777777" w:rsidR="005F04FE" w:rsidRPr="005F04FE" w:rsidRDefault="005F04FE" w:rsidP="005F04FE">
            <w:pPr>
              <w:pStyle w:val="13"/>
              <w:ind w:firstLineChars="0" w:firstLine="0"/>
              <w:jc w:val="right"/>
              <w:rPr>
                <w:sz w:val="18"/>
                <w:szCs w:val="18"/>
              </w:rPr>
            </w:pPr>
            <w:r w:rsidRPr="005F04FE">
              <w:rPr>
                <w:sz w:val="18"/>
                <w:szCs w:val="18"/>
              </w:rPr>
              <w:t>922,286.04</w:t>
            </w:r>
          </w:p>
        </w:tc>
      </w:tr>
      <w:tr w:rsidR="005F04FE" w:rsidRPr="005F04FE" w14:paraId="5D06C5E6" w14:textId="77777777" w:rsidTr="005F04FE">
        <w:trPr>
          <w:trHeight w:val="345"/>
          <w:jc w:val="center"/>
        </w:trPr>
        <w:tc>
          <w:tcPr>
            <w:tcW w:w="1705" w:type="pct"/>
            <w:vAlign w:val="center"/>
          </w:tcPr>
          <w:p w14:paraId="0D94CEDE" w14:textId="77777777" w:rsidR="005F04FE" w:rsidRPr="005F04FE" w:rsidRDefault="005F04FE" w:rsidP="005F04FE">
            <w:pPr>
              <w:pStyle w:val="13"/>
              <w:ind w:firstLineChars="0" w:firstLine="0"/>
              <w:rPr>
                <w:sz w:val="18"/>
                <w:szCs w:val="18"/>
              </w:rPr>
            </w:pPr>
            <w:r w:rsidRPr="005F04FE">
              <w:rPr>
                <w:sz w:val="18"/>
                <w:szCs w:val="18"/>
              </w:rPr>
              <w:t>2、xx证券公司市场份额</w:t>
            </w:r>
          </w:p>
        </w:tc>
        <w:tc>
          <w:tcPr>
            <w:tcW w:w="659" w:type="pct"/>
            <w:vAlign w:val="center"/>
          </w:tcPr>
          <w:p w14:paraId="20D0C91B" w14:textId="77777777" w:rsidR="005F04FE" w:rsidRPr="005F04FE" w:rsidRDefault="005F04FE" w:rsidP="005F04FE">
            <w:pPr>
              <w:pStyle w:val="13"/>
              <w:ind w:firstLineChars="0" w:firstLine="0"/>
              <w:jc w:val="right"/>
              <w:rPr>
                <w:sz w:val="18"/>
                <w:szCs w:val="18"/>
              </w:rPr>
            </w:pPr>
            <w:r w:rsidRPr="005F04FE">
              <w:rPr>
                <w:sz w:val="18"/>
                <w:szCs w:val="18"/>
              </w:rPr>
              <w:t>0.3909%</w:t>
            </w:r>
          </w:p>
        </w:tc>
        <w:tc>
          <w:tcPr>
            <w:tcW w:w="659" w:type="pct"/>
            <w:vAlign w:val="center"/>
          </w:tcPr>
          <w:p w14:paraId="04BFDBF7" w14:textId="77777777" w:rsidR="005F04FE" w:rsidRPr="005F04FE" w:rsidRDefault="005F04FE" w:rsidP="005F04FE">
            <w:pPr>
              <w:pStyle w:val="13"/>
              <w:ind w:firstLineChars="0" w:firstLine="0"/>
              <w:jc w:val="right"/>
              <w:rPr>
                <w:sz w:val="18"/>
                <w:szCs w:val="18"/>
              </w:rPr>
            </w:pPr>
            <w:r w:rsidRPr="005F04FE">
              <w:rPr>
                <w:sz w:val="18"/>
                <w:szCs w:val="18"/>
              </w:rPr>
              <w:t>0.4144%</w:t>
            </w:r>
          </w:p>
        </w:tc>
        <w:tc>
          <w:tcPr>
            <w:tcW w:w="659" w:type="pct"/>
            <w:vAlign w:val="center"/>
          </w:tcPr>
          <w:p w14:paraId="4F664D53" w14:textId="77777777" w:rsidR="005F04FE" w:rsidRPr="005F04FE" w:rsidRDefault="005F04FE" w:rsidP="005F04FE">
            <w:pPr>
              <w:pStyle w:val="13"/>
              <w:ind w:firstLineChars="0" w:firstLine="0"/>
              <w:jc w:val="right"/>
              <w:rPr>
                <w:sz w:val="18"/>
                <w:szCs w:val="18"/>
              </w:rPr>
            </w:pPr>
            <w:r w:rsidRPr="005F04FE">
              <w:rPr>
                <w:sz w:val="18"/>
                <w:szCs w:val="18"/>
              </w:rPr>
              <w:t>0.4393%</w:t>
            </w:r>
          </w:p>
        </w:tc>
        <w:tc>
          <w:tcPr>
            <w:tcW w:w="659" w:type="pct"/>
            <w:vAlign w:val="center"/>
          </w:tcPr>
          <w:p w14:paraId="22B144A4" w14:textId="77777777" w:rsidR="005F04FE" w:rsidRPr="005F04FE" w:rsidRDefault="005F04FE" w:rsidP="005F04FE">
            <w:pPr>
              <w:pStyle w:val="13"/>
              <w:ind w:firstLineChars="0" w:firstLine="0"/>
              <w:jc w:val="right"/>
              <w:rPr>
                <w:sz w:val="18"/>
                <w:szCs w:val="18"/>
              </w:rPr>
            </w:pPr>
            <w:r w:rsidRPr="005F04FE">
              <w:rPr>
                <w:sz w:val="18"/>
                <w:szCs w:val="18"/>
              </w:rPr>
              <w:t>0.4657%</w:t>
            </w:r>
          </w:p>
        </w:tc>
        <w:tc>
          <w:tcPr>
            <w:tcW w:w="659" w:type="pct"/>
            <w:vAlign w:val="center"/>
          </w:tcPr>
          <w:p w14:paraId="05A3191B" w14:textId="77777777" w:rsidR="005F04FE" w:rsidRPr="005F04FE" w:rsidRDefault="005F04FE" w:rsidP="005F04FE">
            <w:pPr>
              <w:pStyle w:val="13"/>
              <w:ind w:firstLineChars="0" w:firstLine="0"/>
              <w:jc w:val="right"/>
              <w:rPr>
                <w:sz w:val="18"/>
                <w:szCs w:val="18"/>
              </w:rPr>
            </w:pPr>
            <w:r w:rsidRPr="005F04FE">
              <w:rPr>
                <w:sz w:val="18"/>
                <w:szCs w:val="18"/>
              </w:rPr>
              <w:t>0.4936%</w:t>
            </w:r>
          </w:p>
        </w:tc>
      </w:tr>
      <w:tr w:rsidR="005F04FE" w:rsidRPr="005F04FE" w14:paraId="20C06D29" w14:textId="77777777" w:rsidTr="005F04FE">
        <w:trPr>
          <w:trHeight w:val="345"/>
          <w:jc w:val="center"/>
        </w:trPr>
        <w:tc>
          <w:tcPr>
            <w:tcW w:w="1705" w:type="pct"/>
            <w:vAlign w:val="center"/>
          </w:tcPr>
          <w:p w14:paraId="67E2DF05" w14:textId="77777777" w:rsidR="005F04FE" w:rsidRPr="005F04FE" w:rsidRDefault="005F04FE" w:rsidP="005F04FE">
            <w:pPr>
              <w:pStyle w:val="13"/>
              <w:ind w:firstLineChars="0" w:firstLine="0"/>
              <w:rPr>
                <w:sz w:val="18"/>
                <w:szCs w:val="18"/>
              </w:rPr>
            </w:pPr>
            <w:r w:rsidRPr="005F04FE">
              <w:rPr>
                <w:sz w:val="18"/>
                <w:szCs w:val="18"/>
              </w:rPr>
              <w:t>3、平均佣金率（万分之）</w:t>
            </w:r>
          </w:p>
        </w:tc>
        <w:tc>
          <w:tcPr>
            <w:tcW w:w="659" w:type="pct"/>
            <w:vAlign w:val="center"/>
          </w:tcPr>
          <w:p w14:paraId="0592B430" w14:textId="77777777" w:rsidR="005F04FE" w:rsidRPr="005F04FE" w:rsidRDefault="005F04FE" w:rsidP="005F04FE">
            <w:pPr>
              <w:pStyle w:val="13"/>
              <w:ind w:firstLineChars="0" w:firstLine="0"/>
              <w:jc w:val="right"/>
              <w:rPr>
                <w:sz w:val="18"/>
                <w:szCs w:val="18"/>
              </w:rPr>
            </w:pPr>
            <w:r w:rsidRPr="005F04FE">
              <w:rPr>
                <w:sz w:val="18"/>
                <w:szCs w:val="18"/>
              </w:rPr>
              <w:t>8.00</w:t>
            </w:r>
          </w:p>
        </w:tc>
        <w:tc>
          <w:tcPr>
            <w:tcW w:w="659" w:type="pct"/>
            <w:vAlign w:val="center"/>
          </w:tcPr>
          <w:p w14:paraId="68174218" w14:textId="77777777" w:rsidR="005F04FE" w:rsidRPr="005F04FE" w:rsidRDefault="005F04FE" w:rsidP="005F04FE">
            <w:pPr>
              <w:pStyle w:val="13"/>
              <w:ind w:firstLineChars="0" w:firstLine="0"/>
              <w:jc w:val="right"/>
              <w:rPr>
                <w:sz w:val="18"/>
                <w:szCs w:val="18"/>
              </w:rPr>
            </w:pPr>
            <w:r w:rsidRPr="005F04FE">
              <w:rPr>
                <w:sz w:val="18"/>
                <w:szCs w:val="18"/>
              </w:rPr>
              <w:t>8.00</w:t>
            </w:r>
          </w:p>
        </w:tc>
        <w:tc>
          <w:tcPr>
            <w:tcW w:w="659" w:type="pct"/>
            <w:vAlign w:val="center"/>
          </w:tcPr>
          <w:p w14:paraId="5F4F7672" w14:textId="77777777" w:rsidR="005F04FE" w:rsidRPr="005F04FE" w:rsidRDefault="005F04FE" w:rsidP="005F04FE">
            <w:pPr>
              <w:pStyle w:val="13"/>
              <w:ind w:firstLineChars="0" w:firstLine="0"/>
              <w:jc w:val="right"/>
              <w:rPr>
                <w:sz w:val="18"/>
                <w:szCs w:val="18"/>
              </w:rPr>
            </w:pPr>
            <w:r w:rsidRPr="005F04FE">
              <w:rPr>
                <w:sz w:val="18"/>
                <w:szCs w:val="18"/>
              </w:rPr>
              <w:t>8.00</w:t>
            </w:r>
          </w:p>
        </w:tc>
        <w:tc>
          <w:tcPr>
            <w:tcW w:w="659" w:type="pct"/>
            <w:vAlign w:val="center"/>
          </w:tcPr>
          <w:p w14:paraId="067FEA8E" w14:textId="77777777" w:rsidR="005F04FE" w:rsidRPr="005F04FE" w:rsidRDefault="005F04FE" w:rsidP="005F04FE">
            <w:pPr>
              <w:pStyle w:val="13"/>
              <w:ind w:firstLineChars="0" w:firstLine="0"/>
              <w:jc w:val="right"/>
              <w:rPr>
                <w:sz w:val="18"/>
                <w:szCs w:val="18"/>
              </w:rPr>
            </w:pPr>
            <w:r w:rsidRPr="005F04FE">
              <w:rPr>
                <w:sz w:val="18"/>
                <w:szCs w:val="18"/>
              </w:rPr>
              <w:t>8.00</w:t>
            </w:r>
          </w:p>
        </w:tc>
        <w:tc>
          <w:tcPr>
            <w:tcW w:w="659" w:type="pct"/>
            <w:vAlign w:val="center"/>
          </w:tcPr>
          <w:p w14:paraId="7455F5B7" w14:textId="77777777" w:rsidR="005F04FE" w:rsidRPr="005F04FE" w:rsidRDefault="005F04FE" w:rsidP="005F04FE">
            <w:pPr>
              <w:pStyle w:val="13"/>
              <w:ind w:firstLineChars="0" w:firstLine="0"/>
              <w:jc w:val="right"/>
              <w:rPr>
                <w:sz w:val="18"/>
                <w:szCs w:val="18"/>
              </w:rPr>
            </w:pPr>
            <w:r w:rsidRPr="005F04FE">
              <w:rPr>
                <w:sz w:val="18"/>
                <w:szCs w:val="18"/>
              </w:rPr>
              <w:t>8.00</w:t>
            </w:r>
          </w:p>
        </w:tc>
      </w:tr>
      <w:tr w:rsidR="005F04FE" w:rsidRPr="005F04FE" w14:paraId="3CA4734D" w14:textId="77777777" w:rsidTr="005F04FE">
        <w:trPr>
          <w:trHeight w:val="345"/>
          <w:jc w:val="center"/>
        </w:trPr>
        <w:tc>
          <w:tcPr>
            <w:tcW w:w="1705" w:type="pct"/>
            <w:vAlign w:val="center"/>
          </w:tcPr>
          <w:p w14:paraId="11288528" w14:textId="77777777" w:rsidR="005F04FE" w:rsidRPr="005F04FE" w:rsidRDefault="005F04FE" w:rsidP="005F04FE">
            <w:pPr>
              <w:pStyle w:val="13"/>
              <w:ind w:firstLineChars="0" w:firstLine="0"/>
              <w:rPr>
                <w:sz w:val="18"/>
                <w:szCs w:val="18"/>
              </w:rPr>
            </w:pPr>
            <w:r w:rsidRPr="005F04FE">
              <w:rPr>
                <w:sz w:val="18"/>
                <w:szCs w:val="18"/>
              </w:rPr>
              <w:t>4、证券经纪业务手续费收入</w:t>
            </w:r>
          </w:p>
        </w:tc>
        <w:tc>
          <w:tcPr>
            <w:tcW w:w="659" w:type="pct"/>
            <w:vAlign w:val="center"/>
          </w:tcPr>
          <w:p w14:paraId="5A88F90A" w14:textId="77777777" w:rsidR="005F04FE" w:rsidRPr="005F04FE" w:rsidRDefault="005F04FE" w:rsidP="005F04FE">
            <w:pPr>
              <w:pStyle w:val="13"/>
              <w:ind w:firstLineChars="0" w:firstLine="0"/>
              <w:jc w:val="right"/>
              <w:rPr>
                <w:sz w:val="18"/>
                <w:szCs w:val="18"/>
              </w:rPr>
            </w:pPr>
            <w:r w:rsidRPr="005F04FE">
              <w:rPr>
                <w:sz w:val="18"/>
                <w:szCs w:val="18"/>
              </w:rPr>
              <w:t>21,516.53</w:t>
            </w:r>
          </w:p>
        </w:tc>
        <w:tc>
          <w:tcPr>
            <w:tcW w:w="659" w:type="pct"/>
            <w:vAlign w:val="center"/>
          </w:tcPr>
          <w:p w14:paraId="53C6E699" w14:textId="77777777" w:rsidR="005F04FE" w:rsidRPr="005F04FE" w:rsidRDefault="005F04FE" w:rsidP="005F04FE">
            <w:pPr>
              <w:pStyle w:val="13"/>
              <w:ind w:firstLineChars="0" w:firstLine="0"/>
              <w:jc w:val="right"/>
              <w:rPr>
                <w:sz w:val="18"/>
                <w:szCs w:val="18"/>
              </w:rPr>
            </w:pPr>
            <w:r w:rsidRPr="005F04FE">
              <w:rPr>
                <w:sz w:val="18"/>
                <w:szCs w:val="18"/>
              </w:rPr>
              <w:t>24,543.62</w:t>
            </w:r>
          </w:p>
        </w:tc>
        <w:tc>
          <w:tcPr>
            <w:tcW w:w="659" w:type="pct"/>
            <w:vAlign w:val="center"/>
          </w:tcPr>
          <w:p w14:paraId="10895FFD" w14:textId="77777777" w:rsidR="005F04FE" w:rsidRPr="005F04FE" w:rsidRDefault="005F04FE" w:rsidP="005F04FE">
            <w:pPr>
              <w:pStyle w:val="13"/>
              <w:ind w:firstLineChars="0" w:firstLine="0"/>
              <w:jc w:val="right"/>
              <w:rPr>
                <w:sz w:val="18"/>
                <w:szCs w:val="18"/>
              </w:rPr>
            </w:pPr>
            <w:r w:rsidRPr="005F04FE">
              <w:rPr>
                <w:sz w:val="18"/>
                <w:szCs w:val="18"/>
              </w:rPr>
              <w:t>27,995.76</w:t>
            </w:r>
          </w:p>
        </w:tc>
        <w:tc>
          <w:tcPr>
            <w:tcW w:w="659" w:type="pct"/>
            <w:vAlign w:val="center"/>
          </w:tcPr>
          <w:p w14:paraId="01342FAD" w14:textId="77777777" w:rsidR="005F04FE" w:rsidRPr="005F04FE" w:rsidRDefault="005F04FE" w:rsidP="005F04FE">
            <w:pPr>
              <w:pStyle w:val="13"/>
              <w:ind w:firstLineChars="0" w:firstLine="0"/>
              <w:jc w:val="right"/>
              <w:rPr>
                <w:sz w:val="18"/>
                <w:szCs w:val="18"/>
              </w:rPr>
            </w:pPr>
            <w:r w:rsidRPr="005F04FE">
              <w:rPr>
                <w:sz w:val="18"/>
                <w:szCs w:val="18"/>
              </w:rPr>
              <w:t>31,933.73</w:t>
            </w:r>
          </w:p>
        </w:tc>
        <w:tc>
          <w:tcPr>
            <w:tcW w:w="659" w:type="pct"/>
            <w:vAlign w:val="center"/>
          </w:tcPr>
          <w:p w14:paraId="4A15AD41" w14:textId="77777777" w:rsidR="005F04FE" w:rsidRPr="005F04FE" w:rsidRDefault="005F04FE" w:rsidP="005F04FE">
            <w:pPr>
              <w:pStyle w:val="13"/>
              <w:ind w:firstLineChars="0" w:firstLine="0"/>
              <w:jc w:val="right"/>
              <w:rPr>
                <w:sz w:val="18"/>
                <w:szCs w:val="18"/>
              </w:rPr>
            </w:pPr>
            <w:r w:rsidRPr="005F04FE">
              <w:rPr>
                <w:sz w:val="18"/>
                <w:szCs w:val="18"/>
              </w:rPr>
              <w:t>36,419.23</w:t>
            </w:r>
          </w:p>
        </w:tc>
      </w:tr>
      <w:tr w:rsidR="005F04FE" w:rsidRPr="005F04FE" w14:paraId="174E2DEE" w14:textId="77777777" w:rsidTr="005F04FE">
        <w:trPr>
          <w:trHeight w:val="345"/>
          <w:jc w:val="center"/>
        </w:trPr>
        <w:tc>
          <w:tcPr>
            <w:tcW w:w="1705" w:type="pct"/>
            <w:vAlign w:val="center"/>
          </w:tcPr>
          <w:p w14:paraId="0BE82A5E" w14:textId="77777777" w:rsidR="005F04FE" w:rsidRPr="005F04FE" w:rsidRDefault="005F04FE" w:rsidP="005F04FE">
            <w:pPr>
              <w:pStyle w:val="13"/>
              <w:ind w:firstLineChars="0" w:firstLine="0"/>
              <w:rPr>
                <w:sz w:val="18"/>
                <w:szCs w:val="18"/>
              </w:rPr>
            </w:pPr>
            <w:r w:rsidRPr="005F04FE">
              <w:rPr>
                <w:sz w:val="18"/>
                <w:szCs w:val="18"/>
              </w:rPr>
              <w:t>5、手续费率</w:t>
            </w:r>
          </w:p>
        </w:tc>
        <w:tc>
          <w:tcPr>
            <w:tcW w:w="659" w:type="pct"/>
            <w:vAlign w:val="center"/>
          </w:tcPr>
          <w:p w14:paraId="64AE0002" w14:textId="77777777" w:rsidR="005F04FE" w:rsidRPr="005F04FE" w:rsidRDefault="005F04FE" w:rsidP="005F04FE">
            <w:pPr>
              <w:pStyle w:val="13"/>
              <w:ind w:firstLineChars="0" w:firstLine="0"/>
              <w:jc w:val="right"/>
              <w:rPr>
                <w:sz w:val="18"/>
                <w:szCs w:val="18"/>
              </w:rPr>
            </w:pPr>
            <w:r w:rsidRPr="005F04FE">
              <w:rPr>
                <w:sz w:val="18"/>
                <w:szCs w:val="18"/>
              </w:rPr>
              <w:t>3.04%</w:t>
            </w:r>
          </w:p>
        </w:tc>
        <w:tc>
          <w:tcPr>
            <w:tcW w:w="659" w:type="pct"/>
            <w:vAlign w:val="center"/>
          </w:tcPr>
          <w:p w14:paraId="02433ED9" w14:textId="77777777" w:rsidR="005F04FE" w:rsidRPr="005F04FE" w:rsidRDefault="005F04FE" w:rsidP="005F04FE">
            <w:pPr>
              <w:pStyle w:val="13"/>
              <w:ind w:firstLineChars="0" w:firstLine="0"/>
              <w:jc w:val="right"/>
              <w:rPr>
                <w:sz w:val="18"/>
                <w:szCs w:val="18"/>
              </w:rPr>
            </w:pPr>
            <w:r w:rsidRPr="005F04FE">
              <w:rPr>
                <w:sz w:val="18"/>
                <w:szCs w:val="18"/>
              </w:rPr>
              <w:t>3.04%</w:t>
            </w:r>
          </w:p>
        </w:tc>
        <w:tc>
          <w:tcPr>
            <w:tcW w:w="659" w:type="pct"/>
            <w:vAlign w:val="center"/>
          </w:tcPr>
          <w:p w14:paraId="68CEB072" w14:textId="77777777" w:rsidR="005F04FE" w:rsidRPr="005F04FE" w:rsidRDefault="005F04FE" w:rsidP="005F04FE">
            <w:pPr>
              <w:pStyle w:val="13"/>
              <w:ind w:firstLineChars="0" w:firstLine="0"/>
              <w:jc w:val="right"/>
              <w:rPr>
                <w:sz w:val="18"/>
                <w:szCs w:val="18"/>
              </w:rPr>
            </w:pPr>
            <w:r w:rsidRPr="005F04FE">
              <w:rPr>
                <w:sz w:val="18"/>
                <w:szCs w:val="18"/>
              </w:rPr>
              <w:t>3.04%</w:t>
            </w:r>
          </w:p>
        </w:tc>
        <w:tc>
          <w:tcPr>
            <w:tcW w:w="659" w:type="pct"/>
            <w:vAlign w:val="center"/>
          </w:tcPr>
          <w:p w14:paraId="5C53E64C" w14:textId="77777777" w:rsidR="005F04FE" w:rsidRPr="005F04FE" w:rsidRDefault="005F04FE" w:rsidP="005F04FE">
            <w:pPr>
              <w:pStyle w:val="13"/>
              <w:ind w:firstLineChars="0" w:firstLine="0"/>
              <w:jc w:val="right"/>
              <w:rPr>
                <w:sz w:val="18"/>
                <w:szCs w:val="18"/>
              </w:rPr>
            </w:pPr>
            <w:r w:rsidRPr="005F04FE">
              <w:rPr>
                <w:sz w:val="18"/>
                <w:szCs w:val="18"/>
              </w:rPr>
              <w:t>3.04%</w:t>
            </w:r>
          </w:p>
        </w:tc>
        <w:tc>
          <w:tcPr>
            <w:tcW w:w="659" w:type="pct"/>
            <w:vAlign w:val="center"/>
          </w:tcPr>
          <w:p w14:paraId="19B6DD22" w14:textId="77777777" w:rsidR="005F04FE" w:rsidRPr="005F04FE" w:rsidRDefault="005F04FE" w:rsidP="005F04FE">
            <w:pPr>
              <w:pStyle w:val="13"/>
              <w:ind w:firstLineChars="0" w:firstLine="0"/>
              <w:jc w:val="right"/>
              <w:rPr>
                <w:sz w:val="18"/>
                <w:szCs w:val="18"/>
              </w:rPr>
            </w:pPr>
            <w:r w:rsidRPr="005F04FE">
              <w:rPr>
                <w:sz w:val="18"/>
                <w:szCs w:val="18"/>
              </w:rPr>
              <w:t>3.04%</w:t>
            </w:r>
          </w:p>
        </w:tc>
      </w:tr>
      <w:tr w:rsidR="005F04FE" w:rsidRPr="005F04FE" w14:paraId="73489809" w14:textId="77777777" w:rsidTr="005F04FE">
        <w:trPr>
          <w:trHeight w:val="345"/>
          <w:jc w:val="center"/>
        </w:trPr>
        <w:tc>
          <w:tcPr>
            <w:tcW w:w="1705" w:type="pct"/>
            <w:vAlign w:val="center"/>
          </w:tcPr>
          <w:p w14:paraId="2D44CF5D" w14:textId="77777777" w:rsidR="005F04FE" w:rsidRPr="005F04FE" w:rsidRDefault="005F04FE" w:rsidP="005F04FE">
            <w:pPr>
              <w:pStyle w:val="13"/>
              <w:ind w:firstLineChars="0" w:firstLine="0"/>
              <w:rPr>
                <w:sz w:val="18"/>
                <w:szCs w:val="18"/>
              </w:rPr>
            </w:pPr>
            <w:r w:rsidRPr="005F04FE">
              <w:rPr>
                <w:sz w:val="18"/>
                <w:szCs w:val="18"/>
              </w:rPr>
              <w:t>6、证券经纪业务手续费支出</w:t>
            </w:r>
          </w:p>
        </w:tc>
        <w:tc>
          <w:tcPr>
            <w:tcW w:w="659" w:type="pct"/>
            <w:vAlign w:val="center"/>
          </w:tcPr>
          <w:p w14:paraId="43D3FCB3" w14:textId="77777777" w:rsidR="005F04FE" w:rsidRPr="005F04FE" w:rsidRDefault="005F04FE" w:rsidP="005F04FE">
            <w:pPr>
              <w:pStyle w:val="13"/>
              <w:ind w:firstLineChars="0" w:firstLine="0"/>
              <w:jc w:val="right"/>
              <w:rPr>
                <w:sz w:val="18"/>
                <w:szCs w:val="18"/>
              </w:rPr>
            </w:pPr>
            <w:r w:rsidRPr="005F04FE">
              <w:rPr>
                <w:sz w:val="18"/>
                <w:szCs w:val="18"/>
              </w:rPr>
              <w:t>654.10</w:t>
            </w:r>
          </w:p>
        </w:tc>
        <w:tc>
          <w:tcPr>
            <w:tcW w:w="659" w:type="pct"/>
            <w:vAlign w:val="center"/>
          </w:tcPr>
          <w:p w14:paraId="369237AB" w14:textId="77777777" w:rsidR="005F04FE" w:rsidRPr="005F04FE" w:rsidRDefault="005F04FE" w:rsidP="005F04FE">
            <w:pPr>
              <w:pStyle w:val="13"/>
              <w:ind w:firstLineChars="0" w:firstLine="0"/>
              <w:jc w:val="right"/>
              <w:rPr>
                <w:sz w:val="18"/>
                <w:szCs w:val="18"/>
              </w:rPr>
            </w:pPr>
            <w:r w:rsidRPr="005F04FE">
              <w:rPr>
                <w:sz w:val="18"/>
                <w:szCs w:val="18"/>
              </w:rPr>
              <w:t>746.13</w:t>
            </w:r>
          </w:p>
        </w:tc>
        <w:tc>
          <w:tcPr>
            <w:tcW w:w="659" w:type="pct"/>
            <w:vAlign w:val="center"/>
          </w:tcPr>
          <w:p w14:paraId="226E7064" w14:textId="77777777" w:rsidR="005F04FE" w:rsidRPr="005F04FE" w:rsidRDefault="005F04FE" w:rsidP="005F04FE">
            <w:pPr>
              <w:pStyle w:val="13"/>
              <w:ind w:firstLineChars="0" w:firstLine="0"/>
              <w:jc w:val="right"/>
              <w:rPr>
                <w:sz w:val="18"/>
                <w:szCs w:val="18"/>
              </w:rPr>
            </w:pPr>
            <w:r w:rsidRPr="005F04FE">
              <w:rPr>
                <w:sz w:val="18"/>
                <w:szCs w:val="18"/>
              </w:rPr>
              <w:t>851.07</w:t>
            </w:r>
          </w:p>
        </w:tc>
        <w:tc>
          <w:tcPr>
            <w:tcW w:w="659" w:type="pct"/>
            <w:vAlign w:val="center"/>
          </w:tcPr>
          <w:p w14:paraId="01DA7AEF" w14:textId="77777777" w:rsidR="005F04FE" w:rsidRPr="005F04FE" w:rsidRDefault="005F04FE" w:rsidP="005F04FE">
            <w:pPr>
              <w:pStyle w:val="13"/>
              <w:ind w:firstLineChars="0" w:firstLine="0"/>
              <w:jc w:val="right"/>
              <w:rPr>
                <w:sz w:val="18"/>
                <w:szCs w:val="18"/>
              </w:rPr>
            </w:pPr>
            <w:r w:rsidRPr="005F04FE">
              <w:rPr>
                <w:sz w:val="18"/>
                <w:szCs w:val="18"/>
              </w:rPr>
              <w:t>970.79</w:t>
            </w:r>
          </w:p>
        </w:tc>
        <w:tc>
          <w:tcPr>
            <w:tcW w:w="659" w:type="pct"/>
            <w:vAlign w:val="center"/>
          </w:tcPr>
          <w:p w14:paraId="35AAC4B1" w14:textId="77777777" w:rsidR="005F04FE" w:rsidRPr="005F04FE" w:rsidRDefault="005F04FE" w:rsidP="005F04FE">
            <w:pPr>
              <w:pStyle w:val="13"/>
              <w:ind w:firstLineChars="0" w:firstLine="0"/>
              <w:jc w:val="right"/>
              <w:rPr>
                <w:sz w:val="18"/>
                <w:szCs w:val="18"/>
              </w:rPr>
            </w:pPr>
            <w:r w:rsidRPr="005F04FE">
              <w:rPr>
                <w:sz w:val="18"/>
                <w:szCs w:val="18"/>
              </w:rPr>
              <w:t>1,107.14</w:t>
            </w:r>
          </w:p>
        </w:tc>
      </w:tr>
      <w:tr w:rsidR="005F04FE" w:rsidRPr="005F04FE" w14:paraId="1A59AC94" w14:textId="77777777" w:rsidTr="005F04FE">
        <w:trPr>
          <w:trHeight w:val="345"/>
          <w:jc w:val="center"/>
        </w:trPr>
        <w:tc>
          <w:tcPr>
            <w:tcW w:w="1705" w:type="pct"/>
            <w:vAlign w:val="center"/>
          </w:tcPr>
          <w:p w14:paraId="42FD8B07" w14:textId="77777777" w:rsidR="005F04FE" w:rsidRPr="005F04FE" w:rsidRDefault="005F04FE" w:rsidP="005F04FE">
            <w:pPr>
              <w:pStyle w:val="13"/>
              <w:ind w:firstLineChars="0" w:firstLine="0"/>
              <w:rPr>
                <w:sz w:val="18"/>
                <w:szCs w:val="18"/>
              </w:rPr>
            </w:pPr>
            <w:r w:rsidRPr="005F04FE">
              <w:rPr>
                <w:sz w:val="18"/>
                <w:szCs w:val="18"/>
              </w:rPr>
              <w:t>7、证券经纪业务手续费净收入</w:t>
            </w:r>
          </w:p>
        </w:tc>
        <w:tc>
          <w:tcPr>
            <w:tcW w:w="659" w:type="pct"/>
            <w:vAlign w:val="center"/>
          </w:tcPr>
          <w:p w14:paraId="13CB6BD4" w14:textId="77777777" w:rsidR="005F04FE" w:rsidRPr="005F04FE" w:rsidRDefault="005F04FE" w:rsidP="005F04FE">
            <w:pPr>
              <w:pStyle w:val="13"/>
              <w:ind w:firstLineChars="0" w:firstLine="0"/>
              <w:jc w:val="right"/>
              <w:rPr>
                <w:sz w:val="18"/>
                <w:szCs w:val="18"/>
              </w:rPr>
            </w:pPr>
            <w:r w:rsidRPr="005F04FE">
              <w:rPr>
                <w:sz w:val="18"/>
                <w:szCs w:val="18"/>
              </w:rPr>
              <w:t>20,862.43</w:t>
            </w:r>
          </w:p>
        </w:tc>
        <w:tc>
          <w:tcPr>
            <w:tcW w:w="659" w:type="pct"/>
            <w:vAlign w:val="center"/>
          </w:tcPr>
          <w:p w14:paraId="7DF46726" w14:textId="77777777" w:rsidR="005F04FE" w:rsidRPr="005F04FE" w:rsidRDefault="005F04FE" w:rsidP="005F04FE">
            <w:pPr>
              <w:pStyle w:val="13"/>
              <w:ind w:firstLineChars="0" w:firstLine="0"/>
              <w:jc w:val="right"/>
              <w:rPr>
                <w:sz w:val="18"/>
                <w:szCs w:val="18"/>
              </w:rPr>
            </w:pPr>
            <w:r w:rsidRPr="005F04FE">
              <w:rPr>
                <w:sz w:val="18"/>
                <w:szCs w:val="18"/>
              </w:rPr>
              <w:t>23,797.49</w:t>
            </w:r>
          </w:p>
        </w:tc>
        <w:tc>
          <w:tcPr>
            <w:tcW w:w="659" w:type="pct"/>
            <w:vAlign w:val="center"/>
          </w:tcPr>
          <w:p w14:paraId="2426136B" w14:textId="77777777" w:rsidR="005F04FE" w:rsidRPr="005F04FE" w:rsidRDefault="005F04FE" w:rsidP="005F04FE">
            <w:pPr>
              <w:pStyle w:val="13"/>
              <w:ind w:firstLineChars="0" w:firstLine="0"/>
              <w:jc w:val="right"/>
              <w:rPr>
                <w:sz w:val="18"/>
                <w:szCs w:val="18"/>
              </w:rPr>
            </w:pPr>
            <w:r w:rsidRPr="005F04FE">
              <w:rPr>
                <w:sz w:val="18"/>
                <w:szCs w:val="18"/>
              </w:rPr>
              <w:t>27,144.69</w:t>
            </w:r>
          </w:p>
        </w:tc>
        <w:tc>
          <w:tcPr>
            <w:tcW w:w="659" w:type="pct"/>
            <w:vAlign w:val="center"/>
          </w:tcPr>
          <w:p w14:paraId="63C3B806" w14:textId="77777777" w:rsidR="005F04FE" w:rsidRPr="005F04FE" w:rsidRDefault="005F04FE" w:rsidP="005F04FE">
            <w:pPr>
              <w:pStyle w:val="13"/>
              <w:ind w:firstLineChars="0" w:firstLine="0"/>
              <w:jc w:val="right"/>
              <w:rPr>
                <w:sz w:val="18"/>
                <w:szCs w:val="18"/>
              </w:rPr>
            </w:pPr>
            <w:r w:rsidRPr="005F04FE">
              <w:rPr>
                <w:sz w:val="18"/>
                <w:szCs w:val="18"/>
              </w:rPr>
              <w:t>30,962.94</w:t>
            </w:r>
          </w:p>
        </w:tc>
        <w:tc>
          <w:tcPr>
            <w:tcW w:w="659" w:type="pct"/>
            <w:vAlign w:val="center"/>
          </w:tcPr>
          <w:p w14:paraId="6677BB4F" w14:textId="77777777" w:rsidR="005F04FE" w:rsidRPr="005F04FE" w:rsidRDefault="005F04FE" w:rsidP="005F04FE">
            <w:pPr>
              <w:pStyle w:val="13"/>
              <w:ind w:firstLineChars="0" w:firstLine="0"/>
              <w:jc w:val="right"/>
              <w:rPr>
                <w:sz w:val="18"/>
                <w:szCs w:val="18"/>
              </w:rPr>
            </w:pPr>
            <w:r w:rsidRPr="005F04FE">
              <w:rPr>
                <w:sz w:val="18"/>
                <w:szCs w:val="18"/>
              </w:rPr>
              <w:t>35,312.09</w:t>
            </w:r>
          </w:p>
        </w:tc>
      </w:tr>
    </w:tbl>
    <w:p w14:paraId="5DA34A8E" w14:textId="77777777" w:rsidR="005F04FE" w:rsidRPr="005F04FE" w:rsidRDefault="005F04FE" w:rsidP="005F04FE">
      <w:pPr>
        <w:pStyle w:val="ab"/>
        <w:spacing w:before="62" w:after="62"/>
        <w:ind w:firstLine="482"/>
        <w:rPr>
          <w:lang w:val="zh-TW"/>
        </w:rPr>
      </w:pPr>
      <w:r w:rsidRPr="005F04FE">
        <w:rPr>
          <w:lang w:val="zh-TW"/>
        </w:rPr>
        <w:t>案例</w:t>
      </w:r>
      <w:r w:rsidRPr="005F04FE">
        <w:rPr>
          <w:rFonts w:hint="eastAsia"/>
          <w:lang w:val="zh-TW"/>
        </w:rPr>
        <w:t>五</w:t>
      </w:r>
      <w:r w:rsidRPr="005F04FE">
        <w:rPr>
          <w:lang w:val="zh-TW"/>
        </w:rPr>
        <w:t>：保险公司的已赚保费的预测</w:t>
      </w:r>
    </w:p>
    <w:p w14:paraId="5C70121C" w14:textId="77777777" w:rsidR="005F04FE" w:rsidRPr="005F04FE" w:rsidRDefault="005F04FE" w:rsidP="005F04FE">
      <w:pPr>
        <w:pStyle w:val="13"/>
      </w:pPr>
      <w:r w:rsidRPr="005F04FE">
        <w:t>已赚保费=保险业务收入-分出保费-提取未到期责任准备金</w:t>
      </w:r>
    </w:p>
    <w:p w14:paraId="5273A4EC" w14:textId="77777777" w:rsidR="005F04FE" w:rsidRPr="005F04FE" w:rsidRDefault="005F04FE" w:rsidP="005F04FE">
      <w:pPr>
        <w:pStyle w:val="13"/>
      </w:pPr>
      <w:r w:rsidRPr="005F04FE">
        <w:rPr>
          <w:rFonts w:hint="eastAsia"/>
        </w:rPr>
        <w:t>1、</w:t>
      </w:r>
      <w:r w:rsidRPr="005F04FE">
        <w:t>保险业务收入</w:t>
      </w:r>
    </w:p>
    <w:p w14:paraId="398AC907" w14:textId="77777777" w:rsidR="005F04FE" w:rsidRPr="005F04FE" w:rsidRDefault="005F04FE" w:rsidP="005F04FE">
      <w:pPr>
        <w:pStyle w:val="13"/>
      </w:pPr>
      <w:r w:rsidRPr="005F04FE">
        <w:t>xx保险公司的业务范围覆盖了人寿、养老、投资、教育、医疗等多个领域，为了实现可持续的、盈利性的增长，公司的产品经营策略主要集中于以销售期缴、保障型产品为主。20x1年至20x3期</w:t>
      </w:r>
      <w:proofErr w:type="gramStart"/>
      <w:r w:rsidRPr="005F04FE">
        <w:t>缴</w:t>
      </w:r>
      <w:proofErr w:type="gramEnd"/>
      <w:r w:rsidRPr="005F04FE">
        <w:t>保费收入占比达到了90%，且</w:t>
      </w:r>
      <w:proofErr w:type="gramStart"/>
      <w:r w:rsidRPr="005F04FE">
        <w:t>期缴新</w:t>
      </w:r>
      <w:proofErr w:type="gramEnd"/>
      <w:r w:rsidRPr="005F04FE">
        <w:t>业务保费收入月均增幅为68%。20x3年保费收入较20x2年增长了30.19%，其中续期的保费收入占比超过了60%，首年业务保费收入占到了约30%，与同规模公司相比处于较高水平。近三年xx保险公司各渠道保费收入情况如下表所示。</w:t>
      </w:r>
    </w:p>
    <w:p w14:paraId="1C4EDC79" w14:textId="77777777" w:rsidR="005F04FE" w:rsidRPr="005F04FE" w:rsidRDefault="005F04FE" w:rsidP="005F04FE">
      <w:pPr>
        <w:pStyle w:val="13"/>
      </w:pPr>
      <w:r w:rsidRPr="005F04FE">
        <w:t>20x1-20x3年各渠道保费收入情况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1952"/>
        <w:gridCol w:w="1952"/>
        <w:gridCol w:w="1950"/>
      </w:tblGrid>
      <w:tr w:rsidR="005F04FE" w:rsidRPr="005F04FE" w14:paraId="1E65D45A" w14:textId="77777777" w:rsidTr="003922A9">
        <w:trPr>
          <w:trHeight w:val="340"/>
        </w:trPr>
        <w:tc>
          <w:tcPr>
            <w:tcW w:w="1644" w:type="pct"/>
            <w:vAlign w:val="center"/>
          </w:tcPr>
          <w:p w14:paraId="186CDA03" w14:textId="77777777" w:rsidR="005F04FE" w:rsidRPr="005F04FE" w:rsidRDefault="005F04FE" w:rsidP="005F04FE">
            <w:pPr>
              <w:pStyle w:val="13"/>
              <w:ind w:firstLineChars="0" w:firstLine="0"/>
              <w:jc w:val="center"/>
              <w:rPr>
                <w:b/>
                <w:bCs/>
                <w:sz w:val="21"/>
                <w:szCs w:val="21"/>
              </w:rPr>
            </w:pPr>
            <w:proofErr w:type="gramStart"/>
            <w:r w:rsidRPr="005F04FE">
              <w:rPr>
                <w:b/>
                <w:bCs/>
                <w:sz w:val="21"/>
                <w:szCs w:val="21"/>
              </w:rPr>
              <w:t>按渠道</w:t>
            </w:r>
            <w:proofErr w:type="gramEnd"/>
            <w:r w:rsidRPr="005F04FE">
              <w:rPr>
                <w:b/>
                <w:bCs/>
                <w:sz w:val="21"/>
                <w:szCs w:val="21"/>
              </w:rPr>
              <w:t>划分</w:t>
            </w:r>
          </w:p>
        </w:tc>
        <w:tc>
          <w:tcPr>
            <w:tcW w:w="1119" w:type="pct"/>
            <w:vAlign w:val="center"/>
          </w:tcPr>
          <w:p w14:paraId="22F46694" w14:textId="6FAB00FC" w:rsidR="005F04FE" w:rsidRPr="005F04FE" w:rsidRDefault="005F04FE" w:rsidP="005F04FE">
            <w:pPr>
              <w:pStyle w:val="13"/>
              <w:ind w:firstLineChars="0" w:firstLine="0"/>
              <w:jc w:val="center"/>
              <w:rPr>
                <w:b/>
                <w:bCs/>
                <w:sz w:val="21"/>
                <w:szCs w:val="21"/>
              </w:rPr>
            </w:pPr>
            <w:r w:rsidRPr="005F04FE">
              <w:rPr>
                <w:b/>
                <w:bCs/>
                <w:sz w:val="21"/>
                <w:szCs w:val="21"/>
              </w:rPr>
              <w:t>20x1年</w:t>
            </w:r>
          </w:p>
        </w:tc>
        <w:tc>
          <w:tcPr>
            <w:tcW w:w="1119" w:type="pct"/>
            <w:vAlign w:val="center"/>
          </w:tcPr>
          <w:p w14:paraId="15100C2B" w14:textId="0E51BC09" w:rsidR="005F04FE" w:rsidRPr="005F04FE" w:rsidRDefault="005F04FE" w:rsidP="005F04FE">
            <w:pPr>
              <w:pStyle w:val="13"/>
              <w:ind w:firstLineChars="0" w:firstLine="0"/>
              <w:jc w:val="center"/>
              <w:rPr>
                <w:b/>
                <w:bCs/>
                <w:sz w:val="21"/>
                <w:szCs w:val="21"/>
              </w:rPr>
            </w:pPr>
            <w:r w:rsidRPr="005F04FE">
              <w:rPr>
                <w:b/>
                <w:bCs/>
                <w:sz w:val="21"/>
                <w:szCs w:val="21"/>
              </w:rPr>
              <w:t>20x2年</w:t>
            </w:r>
          </w:p>
        </w:tc>
        <w:tc>
          <w:tcPr>
            <w:tcW w:w="1118" w:type="pct"/>
            <w:vAlign w:val="center"/>
          </w:tcPr>
          <w:p w14:paraId="23AF7D47" w14:textId="5F7763E2" w:rsidR="005F04FE" w:rsidRPr="005F04FE" w:rsidRDefault="005F04FE" w:rsidP="005F04FE">
            <w:pPr>
              <w:pStyle w:val="13"/>
              <w:ind w:firstLineChars="0" w:firstLine="0"/>
              <w:jc w:val="center"/>
              <w:rPr>
                <w:b/>
                <w:bCs/>
                <w:sz w:val="21"/>
                <w:szCs w:val="21"/>
              </w:rPr>
            </w:pPr>
            <w:r w:rsidRPr="005F04FE">
              <w:rPr>
                <w:b/>
                <w:bCs/>
                <w:sz w:val="21"/>
                <w:szCs w:val="21"/>
              </w:rPr>
              <w:t>20x3年</w:t>
            </w:r>
          </w:p>
        </w:tc>
      </w:tr>
      <w:tr w:rsidR="005F04FE" w:rsidRPr="005F04FE" w14:paraId="39B5ABCF" w14:textId="77777777" w:rsidTr="003922A9">
        <w:trPr>
          <w:trHeight w:val="340"/>
        </w:trPr>
        <w:tc>
          <w:tcPr>
            <w:tcW w:w="1644" w:type="pct"/>
            <w:vAlign w:val="center"/>
          </w:tcPr>
          <w:p w14:paraId="43904614" w14:textId="77777777" w:rsidR="005F04FE" w:rsidRPr="005F04FE" w:rsidRDefault="005F04FE" w:rsidP="005F04FE">
            <w:pPr>
              <w:pStyle w:val="13"/>
              <w:ind w:firstLineChars="0" w:firstLine="0"/>
              <w:rPr>
                <w:sz w:val="21"/>
                <w:szCs w:val="21"/>
              </w:rPr>
            </w:pPr>
            <w:r w:rsidRPr="005F04FE">
              <w:rPr>
                <w:sz w:val="21"/>
                <w:szCs w:val="21"/>
              </w:rPr>
              <w:t>银行及邮政兼业代理</w:t>
            </w:r>
          </w:p>
        </w:tc>
        <w:tc>
          <w:tcPr>
            <w:tcW w:w="1119" w:type="pct"/>
            <w:vAlign w:val="center"/>
          </w:tcPr>
          <w:p w14:paraId="10DD4EC0" w14:textId="77777777" w:rsidR="005F04FE" w:rsidRPr="005F04FE" w:rsidRDefault="005F04FE" w:rsidP="005F04FE">
            <w:pPr>
              <w:pStyle w:val="13"/>
              <w:ind w:firstLineChars="0" w:firstLine="0"/>
              <w:jc w:val="right"/>
              <w:rPr>
                <w:sz w:val="21"/>
                <w:szCs w:val="21"/>
              </w:rPr>
            </w:pPr>
            <w:r w:rsidRPr="005F04FE">
              <w:rPr>
                <w:sz w:val="21"/>
                <w:szCs w:val="21"/>
              </w:rPr>
              <w:t xml:space="preserve">59,638.06 </w:t>
            </w:r>
          </w:p>
        </w:tc>
        <w:tc>
          <w:tcPr>
            <w:tcW w:w="1119" w:type="pct"/>
            <w:vAlign w:val="center"/>
          </w:tcPr>
          <w:p w14:paraId="1522DB4B" w14:textId="77777777" w:rsidR="005F04FE" w:rsidRPr="005F04FE" w:rsidRDefault="005F04FE" w:rsidP="005F04FE">
            <w:pPr>
              <w:pStyle w:val="13"/>
              <w:ind w:firstLineChars="0" w:firstLine="0"/>
              <w:jc w:val="right"/>
              <w:rPr>
                <w:sz w:val="21"/>
                <w:szCs w:val="21"/>
              </w:rPr>
            </w:pPr>
            <w:r w:rsidRPr="005F04FE">
              <w:rPr>
                <w:sz w:val="21"/>
                <w:szCs w:val="21"/>
              </w:rPr>
              <w:t>88,923.84</w:t>
            </w:r>
          </w:p>
        </w:tc>
        <w:tc>
          <w:tcPr>
            <w:tcW w:w="1118" w:type="pct"/>
            <w:vAlign w:val="center"/>
          </w:tcPr>
          <w:p w14:paraId="754380EB" w14:textId="77777777" w:rsidR="005F04FE" w:rsidRPr="005F04FE" w:rsidRDefault="005F04FE" w:rsidP="005F04FE">
            <w:pPr>
              <w:pStyle w:val="13"/>
              <w:ind w:firstLineChars="0" w:firstLine="0"/>
              <w:jc w:val="right"/>
              <w:rPr>
                <w:sz w:val="21"/>
                <w:szCs w:val="21"/>
              </w:rPr>
            </w:pPr>
            <w:r w:rsidRPr="005F04FE">
              <w:rPr>
                <w:sz w:val="21"/>
                <w:szCs w:val="21"/>
              </w:rPr>
              <w:t>115,735.16</w:t>
            </w:r>
          </w:p>
        </w:tc>
      </w:tr>
      <w:tr w:rsidR="005F04FE" w:rsidRPr="005F04FE" w14:paraId="7CDB9999" w14:textId="77777777" w:rsidTr="003922A9">
        <w:trPr>
          <w:trHeight w:val="340"/>
        </w:trPr>
        <w:tc>
          <w:tcPr>
            <w:tcW w:w="1644" w:type="pct"/>
            <w:vAlign w:val="center"/>
          </w:tcPr>
          <w:p w14:paraId="098D0888" w14:textId="77777777" w:rsidR="005F04FE" w:rsidRPr="005F04FE" w:rsidRDefault="005F04FE" w:rsidP="005F04FE">
            <w:pPr>
              <w:pStyle w:val="13"/>
              <w:ind w:firstLineChars="0" w:firstLine="0"/>
              <w:rPr>
                <w:sz w:val="21"/>
                <w:szCs w:val="21"/>
              </w:rPr>
            </w:pPr>
            <w:r w:rsidRPr="005F04FE">
              <w:rPr>
                <w:sz w:val="21"/>
                <w:szCs w:val="21"/>
              </w:rPr>
              <w:t>个人代理</w:t>
            </w:r>
          </w:p>
        </w:tc>
        <w:tc>
          <w:tcPr>
            <w:tcW w:w="1119" w:type="pct"/>
            <w:vAlign w:val="center"/>
          </w:tcPr>
          <w:p w14:paraId="028D0534" w14:textId="77777777" w:rsidR="005F04FE" w:rsidRPr="005F04FE" w:rsidRDefault="005F04FE" w:rsidP="005F04FE">
            <w:pPr>
              <w:pStyle w:val="13"/>
              <w:ind w:firstLineChars="0" w:firstLine="0"/>
              <w:jc w:val="right"/>
              <w:rPr>
                <w:sz w:val="21"/>
                <w:szCs w:val="21"/>
              </w:rPr>
            </w:pPr>
            <w:r w:rsidRPr="005F04FE">
              <w:rPr>
                <w:sz w:val="21"/>
                <w:szCs w:val="21"/>
              </w:rPr>
              <w:t xml:space="preserve">32,144.45 </w:t>
            </w:r>
          </w:p>
        </w:tc>
        <w:tc>
          <w:tcPr>
            <w:tcW w:w="1119" w:type="pct"/>
            <w:vAlign w:val="center"/>
          </w:tcPr>
          <w:p w14:paraId="770D4D6A" w14:textId="77777777" w:rsidR="005F04FE" w:rsidRPr="005F04FE" w:rsidRDefault="005F04FE" w:rsidP="005F04FE">
            <w:pPr>
              <w:pStyle w:val="13"/>
              <w:ind w:firstLineChars="0" w:firstLine="0"/>
              <w:jc w:val="right"/>
              <w:rPr>
                <w:sz w:val="21"/>
                <w:szCs w:val="21"/>
              </w:rPr>
            </w:pPr>
            <w:r w:rsidRPr="005F04FE">
              <w:rPr>
                <w:sz w:val="21"/>
                <w:szCs w:val="21"/>
              </w:rPr>
              <w:t>39,265.57</w:t>
            </w:r>
          </w:p>
        </w:tc>
        <w:tc>
          <w:tcPr>
            <w:tcW w:w="1118" w:type="pct"/>
            <w:vAlign w:val="center"/>
          </w:tcPr>
          <w:p w14:paraId="545FDE2F" w14:textId="77777777" w:rsidR="005F04FE" w:rsidRPr="005F04FE" w:rsidRDefault="005F04FE" w:rsidP="005F04FE">
            <w:pPr>
              <w:pStyle w:val="13"/>
              <w:ind w:firstLineChars="0" w:firstLine="0"/>
              <w:jc w:val="right"/>
              <w:rPr>
                <w:sz w:val="21"/>
                <w:szCs w:val="21"/>
              </w:rPr>
            </w:pPr>
            <w:r w:rsidRPr="005F04FE">
              <w:rPr>
                <w:sz w:val="21"/>
                <w:szCs w:val="21"/>
              </w:rPr>
              <w:t>47,972.09</w:t>
            </w:r>
          </w:p>
        </w:tc>
      </w:tr>
      <w:tr w:rsidR="005F04FE" w:rsidRPr="005F04FE" w14:paraId="788F41B4" w14:textId="77777777" w:rsidTr="003922A9">
        <w:trPr>
          <w:trHeight w:val="340"/>
        </w:trPr>
        <w:tc>
          <w:tcPr>
            <w:tcW w:w="1644" w:type="pct"/>
            <w:vAlign w:val="center"/>
          </w:tcPr>
          <w:p w14:paraId="0FA06B56" w14:textId="77777777" w:rsidR="005F04FE" w:rsidRPr="005F04FE" w:rsidRDefault="005F04FE" w:rsidP="005F04FE">
            <w:pPr>
              <w:pStyle w:val="13"/>
              <w:ind w:firstLineChars="0" w:firstLine="0"/>
              <w:rPr>
                <w:sz w:val="21"/>
                <w:szCs w:val="21"/>
              </w:rPr>
            </w:pPr>
            <w:r w:rsidRPr="005F04FE">
              <w:rPr>
                <w:sz w:val="21"/>
                <w:szCs w:val="21"/>
              </w:rPr>
              <w:t>保险中介代理</w:t>
            </w:r>
          </w:p>
        </w:tc>
        <w:tc>
          <w:tcPr>
            <w:tcW w:w="1119" w:type="pct"/>
            <w:vAlign w:val="center"/>
          </w:tcPr>
          <w:p w14:paraId="18427353" w14:textId="77777777" w:rsidR="005F04FE" w:rsidRPr="005F04FE" w:rsidRDefault="005F04FE" w:rsidP="005F04FE">
            <w:pPr>
              <w:pStyle w:val="13"/>
              <w:ind w:firstLineChars="0" w:firstLine="0"/>
              <w:jc w:val="right"/>
              <w:rPr>
                <w:sz w:val="21"/>
                <w:szCs w:val="21"/>
              </w:rPr>
            </w:pPr>
            <w:r w:rsidRPr="005F04FE">
              <w:rPr>
                <w:sz w:val="21"/>
                <w:szCs w:val="21"/>
              </w:rPr>
              <w:t xml:space="preserve">5,791.57 </w:t>
            </w:r>
          </w:p>
        </w:tc>
        <w:tc>
          <w:tcPr>
            <w:tcW w:w="1119" w:type="pct"/>
            <w:vAlign w:val="center"/>
          </w:tcPr>
          <w:p w14:paraId="484EE9A7" w14:textId="77777777" w:rsidR="005F04FE" w:rsidRPr="005F04FE" w:rsidRDefault="005F04FE" w:rsidP="005F04FE">
            <w:pPr>
              <w:pStyle w:val="13"/>
              <w:ind w:firstLineChars="0" w:firstLine="0"/>
              <w:jc w:val="right"/>
              <w:rPr>
                <w:sz w:val="21"/>
                <w:szCs w:val="21"/>
              </w:rPr>
            </w:pPr>
            <w:r w:rsidRPr="005F04FE">
              <w:rPr>
                <w:sz w:val="21"/>
                <w:szCs w:val="21"/>
              </w:rPr>
              <w:t>5,211.03</w:t>
            </w:r>
          </w:p>
        </w:tc>
        <w:tc>
          <w:tcPr>
            <w:tcW w:w="1118" w:type="pct"/>
            <w:vAlign w:val="center"/>
          </w:tcPr>
          <w:p w14:paraId="166695D8" w14:textId="77777777" w:rsidR="005F04FE" w:rsidRPr="005F04FE" w:rsidRDefault="005F04FE" w:rsidP="005F04FE">
            <w:pPr>
              <w:pStyle w:val="13"/>
              <w:ind w:firstLineChars="0" w:firstLine="0"/>
              <w:jc w:val="right"/>
              <w:rPr>
                <w:sz w:val="21"/>
                <w:szCs w:val="21"/>
              </w:rPr>
            </w:pPr>
            <w:r w:rsidRPr="005F04FE">
              <w:rPr>
                <w:sz w:val="21"/>
                <w:szCs w:val="21"/>
              </w:rPr>
              <w:t>9,606.64</w:t>
            </w:r>
          </w:p>
        </w:tc>
      </w:tr>
      <w:tr w:rsidR="005F04FE" w:rsidRPr="005F04FE" w14:paraId="6FD1A3E3" w14:textId="77777777" w:rsidTr="003922A9">
        <w:trPr>
          <w:trHeight w:val="340"/>
        </w:trPr>
        <w:tc>
          <w:tcPr>
            <w:tcW w:w="1644" w:type="pct"/>
            <w:vAlign w:val="center"/>
          </w:tcPr>
          <w:p w14:paraId="2AD8861C" w14:textId="77777777" w:rsidR="005F04FE" w:rsidRPr="005F04FE" w:rsidRDefault="005F04FE" w:rsidP="005F04FE">
            <w:pPr>
              <w:pStyle w:val="13"/>
              <w:ind w:firstLineChars="0" w:firstLine="0"/>
              <w:rPr>
                <w:sz w:val="21"/>
                <w:szCs w:val="21"/>
              </w:rPr>
            </w:pPr>
            <w:r w:rsidRPr="005F04FE">
              <w:rPr>
                <w:sz w:val="21"/>
                <w:szCs w:val="21"/>
              </w:rPr>
              <w:t>公司直销</w:t>
            </w:r>
          </w:p>
        </w:tc>
        <w:tc>
          <w:tcPr>
            <w:tcW w:w="1119" w:type="pct"/>
            <w:vAlign w:val="center"/>
          </w:tcPr>
          <w:p w14:paraId="4F9DB36B" w14:textId="77777777" w:rsidR="005F04FE" w:rsidRPr="005F04FE" w:rsidRDefault="005F04FE" w:rsidP="005F04FE">
            <w:pPr>
              <w:pStyle w:val="13"/>
              <w:ind w:firstLineChars="0" w:firstLine="0"/>
              <w:jc w:val="right"/>
              <w:rPr>
                <w:sz w:val="21"/>
                <w:szCs w:val="21"/>
              </w:rPr>
            </w:pPr>
            <w:r w:rsidRPr="005F04FE">
              <w:rPr>
                <w:sz w:val="21"/>
                <w:szCs w:val="21"/>
              </w:rPr>
              <w:t xml:space="preserve">2,915.46 </w:t>
            </w:r>
          </w:p>
        </w:tc>
        <w:tc>
          <w:tcPr>
            <w:tcW w:w="1119" w:type="pct"/>
            <w:vAlign w:val="center"/>
          </w:tcPr>
          <w:p w14:paraId="6FF8E224" w14:textId="77777777" w:rsidR="005F04FE" w:rsidRPr="005F04FE" w:rsidRDefault="005F04FE" w:rsidP="005F04FE">
            <w:pPr>
              <w:pStyle w:val="13"/>
              <w:ind w:firstLineChars="0" w:firstLine="0"/>
              <w:jc w:val="right"/>
              <w:rPr>
                <w:sz w:val="21"/>
                <w:szCs w:val="21"/>
              </w:rPr>
            </w:pPr>
            <w:r w:rsidRPr="005F04FE">
              <w:rPr>
                <w:sz w:val="21"/>
                <w:szCs w:val="21"/>
              </w:rPr>
              <w:t>4,384.32</w:t>
            </w:r>
          </w:p>
        </w:tc>
        <w:tc>
          <w:tcPr>
            <w:tcW w:w="1118" w:type="pct"/>
            <w:vAlign w:val="center"/>
          </w:tcPr>
          <w:p w14:paraId="3A0869DA" w14:textId="77777777" w:rsidR="005F04FE" w:rsidRPr="005F04FE" w:rsidRDefault="005F04FE" w:rsidP="005F04FE">
            <w:pPr>
              <w:pStyle w:val="13"/>
              <w:ind w:firstLineChars="0" w:firstLine="0"/>
              <w:jc w:val="right"/>
              <w:rPr>
                <w:sz w:val="21"/>
                <w:szCs w:val="21"/>
              </w:rPr>
            </w:pPr>
            <w:r w:rsidRPr="005F04FE">
              <w:rPr>
                <w:sz w:val="21"/>
                <w:szCs w:val="21"/>
              </w:rPr>
              <w:t>6,072.93</w:t>
            </w:r>
          </w:p>
        </w:tc>
      </w:tr>
      <w:tr w:rsidR="005F04FE" w:rsidRPr="005F04FE" w14:paraId="05B18D03" w14:textId="77777777" w:rsidTr="003922A9">
        <w:trPr>
          <w:trHeight w:val="340"/>
        </w:trPr>
        <w:tc>
          <w:tcPr>
            <w:tcW w:w="1644" w:type="pct"/>
            <w:vAlign w:val="center"/>
          </w:tcPr>
          <w:p w14:paraId="5889378B" w14:textId="77777777" w:rsidR="005F04FE" w:rsidRPr="005F04FE" w:rsidRDefault="005F04FE" w:rsidP="005F04FE">
            <w:pPr>
              <w:pStyle w:val="13"/>
              <w:ind w:firstLineChars="0" w:firstLine="0"/>
              <w:jc w:val="center"/>
              <w:rPr>
                <w:b/>
                <w:sz w:val="21"/>
                <w:szCs w:val="21"/>
              </w:rPr>
            </w:pPr>
            <w:r w:rsidRPr="005F04FE">
              <w:rPr>
                <w:b/>
                <w:sz w:val="21"/>
                <w:szCs w:val="21"/>
              </w:rPr>
              <w:t>总计</w:t>
            </w:r>
          </w:p>
        </w:tc>
        <w:tc>
          <w:tcPr>
            <w:tcW w:w="1119" w:type="pct"/>
            <w:vAlign w:val="center"/>
          </w:tcPr>
          <w:p w14:paraId="2324C7E8" w14:textId="77777777" w:rsidR="005F04FE" w:rsidRPr="005F04FE" w:rsidRDefault="005F04FE" w:rsidP="005F04FE">
            <w:pPr>
              <w:pStyle w:val="13"/>
              <w:ind w:firstLineChars="0" w:firstLine="0"/>
              <w:jc w:val="right"/>
              <w:rPr>
                <w:b/>
                <w:sz w:val="21"/>
                <w:szCs w:val="21"/>
              </w:rPr>
            </w:pPr>
            <w:r w:rsidRPr="005F04FE">
              <w:rPr>
                <w:b/>
                <w:sz w:val="21"/>
                <w:szCs w:val="21"/>
              </w:rPr>
              <w:t xml:space="preserve"> 100,489.54 </w:t>
            </w:r>
          </w:p>
        </w:tc>
        <w:tc>
          <w:tcPr>
            <w:tcW w:w="1119" w:type="pct"/>
            <w:vAlign w:val="center"/>
          </w:tcPr>
          <w:p w14:paraId="5515E526" w14:textId="77777777" w:rsidR="005F04FE" w:rsidRPr="005F04FE" w:rsidRDefault="005F04FE" w:rsidP="005F04FE">
            <w:pPr>
              <w:pStyle w:val="13"/>
              <w:ind w:firstLineChars="0" w:firstLine="0"/>
              <w:jc w:val="right"/>
              <w:rPr>
                <w:b/>
                <w:sz w:val="21"/>
                <w:szCs w:val="21"/>
              </w:rPr>
            </w:pPr>
            <w:r w:rsidRPr="005F04FE">
              <w:rPr>
                <w:b/>
                <w:sz w:val="21"/>
                <w:szCs w:val="21"/>
              </w:rPr>
              <w:t>137,784.76</w:t>
            </w:r>
          </w:p>
        </w:tc>
        <w:tc>
          <w:tcPr>
            <w:tcW w:w="1118" w:type="pct"/>
            <w:vAlign w:val="center"/>
          </w:tcPr>
          <w:p w14:paraId="4404C2CA" w14:textId="77777777" w:rsidR="005F04FE" w:rsidRPr="005F04FE" w:rsidRDefault="005F04FE" w:rsidP="005F04FE">
            <w:pPr>
              <w:pStyle w:val="13"/>
              <w:ind w:firstLineChars="0" w:firstLine="0"/>
              <w:jc w:val="right"/>
              <w:rPr>
                <w:b/>
                <w:sz w:val="21"/>
                <w:szCs w:val="21"/>
              </w:rPr>
            </w:pPr>
            <w:r w:rsidRPr="005F04FE">
              <w:rPr>
                <w:b/>
                <w:sz w:val="21"/>
                <w:szCs w:val="21"/>
              </w:rPr>
              <w:t>179,386.81</w:t>
            </w:r>
          </w:p>
        </w:tc>
      </w:tr>
    </w:tbl>
    <w:p w14:paraId="24168374" w14:textId="77777777" w:rsidR="005F04FE" w:rsidRPr="005F04FE" w:rsidRDefault="005F04FE" w:rsidP="005F04FE">
      <w:pPr>
        <w:pStyle w:val="13"/>
      </w:pPr>
      <w:r w:rsidRPr="005F04FE">
        <w:t>保险公司未来年度的毛保费收入来源于新</w:t>
      </w:r>
      <w:proofErr w:type="gramStart"/>
      <w:r w:rsidRPr="005F04FE">
        <w:t>业务期缴保费</w:t>
      </w:r>
      <w:proofErr w:type="gramEnd"/>
      <w:r w:rsidRPr="005F04FE">
        <w:t>收入、新业务趸缴保费收入、</w:t>
      </w:r>
      <w:proofErr w:type="gramStart"/>
      <w:r w:rsidRPr="005F04FE">
        <w:t>续年期缴保费</w:t>
      </w:r>
      <w:proofErr w:type="gramEnd"/>
      <w:r w:rsidRPr="005F04FE">
        <w:t>收入。</w:t>
      </w:r>
      <w:proofErr w:type="gramStart"/>
      <w:r w:rsidRPr="005F04FE">
        <w:t>续年期缴的</w:t>
      </w:r>
      <w:proofErr w:type="gramEnd"/>
      <w:r w:rsidRPr="005F04FE">
        <w:t>保费收入根据基准日有效保单在未来产生的保费收入进行预测，新业务</w:t>
      </w:r>
      <w:proofErr w:type="gramStart"/>
      <w:r w:rsidRPr="005F04FE">
        <w:t>期缴/</w:t>
      </w:r>
      <w:proofErr w:type="gramEnd"/>
      <w:r w:rsidRPr="005F04FE">
        <w:t>趸缴保费收入的预测则是通过</w:t>
      </w:r>
      <w:proofErr w:type="gramStart"/>
      <w:r w:rsidRPr="005F04FE">
        <w:t>对年化新</w:t>
      </w:r>
      <w:proofErr w:type="gramEnd"/>
      <w:r w:rsidRPr="005F04FE">
        <w:t>业务保费（ANP）增长率的预测进行。</w:t>
      </w:r>
      <w:proofErr w:type="gramStart"/>
      <w:r w:rsidRPr="005F04FE">
        <w:t>年化新</w:t>
      </w:r>
      <w:proofErr w:type="gramEnd"/>
      <w:r w:rsidRPr="005F04FE">
        <w:t>业务保费（ANP）是指</w:t>
      </w:r>
      <w:proofErr w:type="gramStart"/>
      <w:r w:rsidRPr="005F04FE">
        <w:t>首年期缴保费</w:t>
      </w:r>
      <w:proofErr w:type="gramEnd"/>
      <w:r w:rsidRPr="005F04FE">
        <w:t>收入加上10%</w:t>
      </w:r>
      <w:proofErr w:type="gramStart"/>
      <w:r w:rsidRPr="005F04FE">
        <w:t>的趸缴</w:t>
      </w:r>
      <w:proofErr w:type="gramEnd"/>
      <w:r w:rsidRPr="005F04FE">
        <w:t>保费收入。</w:t>
      </w:r>
    </w:p>
    <w:p w14:paraId="0EBDB0AA" w14:textId="77777777" w:rsidR="005F04FE" w:rsidRPr="005F04FE" w:rsidRDefault="005F04FE" w:rsidP="005F04FE">
      <w:pPr>
        <w:pStyle w:val="13"/>
      </w:pPr>
      <w:r w:rsidRPr="005F04FE">
        <w:t>中国人身保险业在20x0-20x3年保费收入年均增长率为20%，20x3年保险深度</w:t>
      </w:r>
      <w:r w:rsidRPr="005F04FE">
        <w:lastRenderedPageBreak/>
        <w:t>为1.9%。20x0-20x3年，xx保险公司实现毛保费收入年均增长率42%，</w:t>
      </w:r>
      <w:proofErr w:type="gramStart"/>
      <w:r w:rsidRPr="005F04FE">
        <w:t>年化新</w:t>
      </w:r>
      <w:proofErr w:type="gramEnd"/>
      <w:r w:rsidRPr="005F04FE">
        <w:t>业务保费（ANP）年均增长率为26%。据此，xx保险公司结合各渠道销售能力制定未来年度商业计划，预测了20x4-20</w:t>
      </w:r>
      <w:r w:rsidRPr="005F04FE">
        <w:rPr>
          <w:rFonts w:hint="eastAsia"/>
        </w:rPr>
        <w:t>y</w:t>
      </w:r>
      <w:r w:rsidRPr="005F04FE">
        <w:t>4年年化新业务保费。其中，20x4年的预测包含了到了20x4年1-3月份的实际经营状况。</w:t>
      </w:r>
    </w:p>
    <w:p w14:paraId="07DCB50D" w14:textId="70BBA103" w:rsidR="005F04FE" w:rsidRPr="005F04FE" w:rsidRDefault="005F04FE" w:rsidP="005F04FE">
      <w:pPr>
        <w:pStyle w:val="13"/>
        <w:jc w:val="center"/>
      </w:pPr>
      <w:r w:rsidRPr="005F04FE">
        <w:rPr>
          <w:rFonts w:hint="eastAsia"/>
        </w:rPr>
        <w:t>未来年度</w:t>
      </w:r>
      <w:r w:rsidRPr="005F04FE">
        <w:t>ANP分渠道预测表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80"/>
        <w:gridCol w:w="570"/>
        <w:gridCol w:w="570"/>
        <w:gridCol w:w="570"/>
        <w:gridCol w:w="570"/>
        <w:gridCol w:w="570"/>
        <w:gridCol w:w="570"/>
        <w:gridCol w:w="570"/>
        <w:gridCol w:w="570"/>
        <w:gridCol w:w="570"/>
        <w:gridCol w:w="570"/>
        <w:gridCol w:w="570"/>
        <w:gridCol w:w="570"/>
      </w:tblGrid>
      <w:tr w:rsidR="005F04FE" w:rsidRPr="005F04FE" w14:paraId="1AAB27B8" w14:textId="77777777" w:rsidTr="003922A9">
        <w:trPr>
          <w:trHeight w:val="186"/>
        </w:trPr>
        <w:tc>
          <w:tcPr>
            <w:tcW w:w="1078" w:type="pct"/>
            <w:tcMar>
              <w:top w:w="15" w:type="dxa"/>
              <w:left w:w="15" w:type="dxa"/>
              <w:bottom w:w="0" w:type="dxa"/>
              <w:right w:w="15" w:type="dxa"/>
            </w:tcMar>
            <w:vAlign w:val="center"/>
          </w:tcPr>
          <w:p w14:paraId="12548142" w14:textId="77777777" w:rsidR="005F04FE" w:rsidRPr="005F04FE" w:rsidRDefault="005F04FE" w:rsidP="003922A9">
            <w:pPr>
              <w:pStyle w:val="13"/>
              <w:ind w:firstLineChars="0" w:firstLine="0"/>
              <w:jc w:val="center"/>
              <w:rPr>
                <w:sz w:val="18"/>
                <w:szCs w:val="18"/>
              </w:rPr>
            </w:pPr>
            <w:r w:rsidRPr="005F04FE">
              <w:rPr>
                <w:b/>
                <w:bCs/>
                <w:sz w:val="18"/>
                <w:szCs w:val="18"/>
              </w:rPr>
              <w:t>营销</w:t>
            </w:r>
            <w:proofErr w:type="gramStart"/>
            <w:r w:rsidRPr="005F04FE">
              <w:rPr>
                <w:b/>
                <w:bCs/>
                <w:sz w:val="18"/>
                <w:szCs w:val="18"/>
              </w:rPr>
              <w:t>员渠道</w:t>
            </w:r>
            <w:proofErr w:type="gramEnd"/>
          </w:p>
        </w:tc>
        <w:tc>
          <w:tcPr>
            <w:tcW w:w="327" w:type="pct"/>
            <w:tcMar>
              <w:top w:w="15" w:type="dxa"/>
              <w:left w:w="15" w:type="dxa"/>
              <w:bottom w:w="0" w:type="dxa"/>
              <w:right w:w="15" w:type="dxa"/>
            </w:tcMar>
            <w:vAlign w:val="center"/>
          </w:tcPr>
          <w:p w14:paraId="4EEF6EAF" w14:textId="77777777" w:rsidR="005F04FE" w:rsidRPr="005F04FE" w:rsidRDefault="005F04FE" w:rsidP="003922A9">
            <w:pPr>
              <w:pStyle w:val="13"/>
              <w:ind w:firstLineChars="0" w:firstLine="0"/>
              <w:jc w:val="center"/>
              <w:rPr>
                <w:sz w:val="18"/>
                <w:szCs w:val="18"/>
              </w:rPr>
            </w:pPr>
            <w:r w:rsidRPr="005F04FE">
              <w:rPr>
                <w:b/>
                <w:bCs/>
                <w:sz w:val="18"/>
                <w:szCs w:val="18"/>
              </w:rPr>
              <w:t>20x3</w:t>
            </w:r>
          </w:p>
        </w:tc>
        <w:tc>
          <w:tcPr>
            <w:tcW w:w="327" w:type="pct"/>
            <w:tcMar>
              <w:top w:w="15" w:type="dxa"/>
              <w:left w:w="15" w:type="dxa"/>
              <w:bottom w:w="0" w:type="dxa"/>
              <w:right w:w="15" w:type="dxa"/>
            </w:tcMar>
            <w:vAlign w:val="center"/>
          </w:tcPr>
          <w:p w14:paraId="527601C5" w14:textId="77777777" w:rsidR="005F04FE" w:rsidRPr="005F04FE" w:rsidRDefault="005F04FE" w:rsidP="003922A9">
            <w:pPr>
              <w:pStyle w:val="13"/>
              <w:ind w:firstLineChars="0" w:firstLine="0"/>
              <w:jc w:val="center"/>
              <w:rPr>
                <w:sz w:val="18"/>
                <w:szCs w:val="18"/>
              </w:rPr>
            </w:pPr>
            <w:r w:rsidRPr="005F04FE">
              <w:rPr>
                <w:b/>
                <w:bCs/>
                <w:sz w:val="18"/>
                <w:szCs w:val="18"/>
              </w:rPr>
              <w:t>20x4</w:t>
            </w:r>
          </w:p>
        </w:tc>
        <w:tc>
          <w:tcPr>
            <w:tcW w:w="327" w:type="pct"/>
            <w:tcMar>
              <w:top w:w="15" w:type="dxa"/>
              <w:left w:w="15" w:type="dxa"/>
              <w:bottom w:w="0" w:type="dxa"/>
              <w:right w:w="15" w:type="dxa"/>
            </w:tcMar>
            <w:vAlign w:val="center"/>
          </w:tcPr>
          <w:p w14:paraId="142EC660" w14:textId="77777777" w:rsidR="005F04FE" w:rsidRPr="005F04FE" w:rsidRDefault="005F04FE" w:rsidP="003922A9">
            <w:pPr>
              <w:pStyle w:val="13"/>
              <w:ind w:firstLineChars="0" w:firstLine="0"/>
              <w:jc w:val="center"/>
              <w:rPr>
                <w:sz w:val="18"/>
                <w:szCs w:val="18"/>
              </w:rPr>
            </w:pPr>
            <w:r w:rsidRPr="005F04FE">
              <w:rPr>
                <w:b/>
                <w:bCs/>
                <w:sz w:val="18"/>
                <w:szCs w:val="18"/>
              </w:rPr>
              <w:t>20x5</w:t>
            </w:r>
          </w:p>
        </w:tc>
        <w:tc>
          <w:tcPr>
            <w:tcW w:w="327" w:type="pct"/>
            <w:tcMar>
              <w:top w:w="15" w:type="dxa"/>
              <w:left w:w="15" w:type="dxa"/>
              <w:bottom w:w="0" w:type="dxa"/>
              <w:right w:w="15" w:type="dxa"/>
            </w:tcMar>
            <w:vAlign w:val="center"/>
          </w:tcPr>
          <w:p w14:paraId="617D0240" w14:textId="77777777" w:rsidR="005F04FE" w:rsidRPr="005F04FE" w:rsidRDefault="005F04FE" w:rsidP="003922A9">
            <w:pPr>
              <w:pStyle w:val="13"/>
              <w:ind w:firstLineChars="0" w:firstLine="0"/>
              <w:jc w:val="center"/>
              <w:rPr>
                <w:sz w:val="18"/>
                <w:szCs w:val="18"/>
              </w:rPr>
            </w:pPr>
            <w:r w:rsidRPr="005F04FE">
              <w:rPr>
                <w:b/>
                <w:bCs/>
                <w:sz w:val="18"/>
                <w:szCs w:val="18"/>
              </w:rPr>
              <w:t>20x6</w:t>
            </w:r>
          </w:p>
        </w:tc>
        <w:tc>
          <w:tcPr>
            <w:tcW w:w="327" w:type="pct"/>
            <w:tcMar>
              <w:top w:w="15" w:type="dxa"/>
              <w:left w:w="15" w:type="dxa"/>
              <w:bottom w:w="0" w:type="dxa"/>
              <w:right w:w="15" w:type="dxa"/>
            </w:tcMar>
            <w:vAlign w:val="center"/>
          </w:tcPr>
          <w:p w14:paraId="13CC45FE" w14:textId="77777777" w:rsidR="005F04FE" w:rsidRPr="005F04FE" w:rsidRDefault="005F04FE" w:rsidP="003922A9">
            <w:pPr>
              <w:pStyle w:val="13"/>
              <w:ind w:firstLineChars="0" w:firstLine="0"/>
              <w:jc w:val="center"/>
              <w:rPr>
                <w:sz w:val="18"/>
                <w:szCs w:val="18"/>
              </w:rPr>
            </w:pPr>
            <w:r w:rsidRPr="005F04FE">
              <w:rPr>
                <w:b/>
                <w:bCs/>
                <w:sz w:val="18"/>
                <w:szCs w:val="18"/>
              </w:rPr>
              <w:t>20x7</w:t>
            </w:r>
          </w:p>
        </w:tc>
        <w:tc>
          <w:tcPr>
            <w:tcW w:w="327" w:type="pct"/>
            <w:tcMar>
              <w:top w:w="15" w:type="dxa"/>
              <w:left w:w="15" w:type="dxa"/>
              <w:bottom w:w="0" w:type="dxa"/>
              <w:right w:w="15" w:type="dxa"/>
            </w:tcMar>
            <w:vAlign w:val="center"/>
          </w:tcPr>
          <w:p w14:paraId="1EA5D49A" w14:textId="77777777" w:rsidR="005F04FE" w:rsidRPr="005F04FE" w:rsidRDefault="005F04FE" w:rsidP="003922A9">
            <w:pPr>
              <w:pStyle w:val="13"/>
              <w:ind w:firstLineChars="0" w:firstLine="0"/>
              <w:jc w:val="center"/>
              <w:rPr>
                <w:sz w:val="18"/>
                <w:szCs w:val="18"/>
              </w:rPr>
            </w:pPr>
            <w:r w:rsidRPr="005F04FE">
              <w:rPr>
                <w:b/>
                <w:bCs/>
                <w:sz w:val="18"/>
                <w:szCs w:val="18"/>
              </w:rPr>
              <w:t>20x8</w:t>
            </w:r>
          </w:p>
        </w:tc>
        <w:tc>
          <w:tcPr>
            <w:tcW w:w="327" w:type="pct"/>
            <w:tcMar>
              <w:top w:w="15" w:type="dxa"/>
              <w:left w:w="15" w:type="dxa"/>
              <w:bottom w:w="0" w:type="dxa"/>
              <w:right w:w="15" w:type="dxa"/>
            </w:tcMar>
            <w:vAlign w:val="center"/>
          </w:tcPr>
          <w:p w14:paraId="5AD9DBAE" w14:textId="77777777" w:rsidR="005F04FE" w:rsidRPr="005F04FE" w:rsidRDefault="005F04FE" w:rsidP="003922A9">
            <w:pPr>
              <w:pStyle w:val="13"/>
              <w:ind w:firstLineChars="0" w:firstLine="0"/>
              <w:jc w:val="center"/>
              <w:rPr>
                <w:sz w:val="18"/>
                <w:szCs w:val="18"/>
              </w:rPr>
            </w:pPr>
            <w:r w:rsidRPr="005F04FE">
              <w:rPr>
                <w:b/>
                <w:bCs/>
                <w:sz w:val="18"/>
                <w:szCs w:val="18"/>
              </w:rPr>
              <w:t>20x9</w:t>
            </w:r>
          </w:p>
        </w:tc>
        <w:tc>
          <w:tcPr>
            <w:tcW w:w="327" w:type="pct"/>
            <w:tcMar>
              <w:top w:w="15" w:type="dxa"/>
              <w:left w:w="15" w:type="dxa"/>
              <w:bottom w:w="0" w:type="dxa"/>
              <w:right w:w="15" w:type="dxa"/>
            </w:tcMar>
            <w:vAlign w:val="center"/>
          </w:tcPr>
          <w:p w14:paraId="72CD83D7" w14:textId="77777777" w:rsidR="005F04FE" w:rsidRPr="005F04FE" w:rsidRDefault="005F04FE" w:rsidP="003922A9">
            <w:pPr>
              <w:pStyle w:val="13"/>
              <w:ind w:firstLineChars="0" w:firstLine="0"/>
              <w:jc w:val="center"/>
              <w:rPr>
                <w:sz w:val="18"/>
                <w:szCs w:val="18"/>
              </w:rPr>
            </w:pPr>
            <w:r w:rsidRPr="005F04FE">
              <w:rPr>
                <w:b/>
                <w:bCs/>
                <w:sz w:val="18"/>
                <w:szCs w:val="18"/>
              </w:rPr>
              <w:t>20</w:t>
            </w:r>
            <w:r w:rsidRPr="005F04FE">
              <w:rPr>
                <w:rFonts w:hint="eastAsia"/>
                <w:b/>
                <w:bCs/>
                <w:sz w:val="18"/>
                <w:szCs w:val="18"/>
              </w:rPr>
              <w:t>y</w:t>
            </w:r>
            <w:r w:rsidRPr="005F04FE">
              <w:rPr>
                <w:b/>
                <w:bCs/>
                <w:sz w:val="18"/>
                <w:szCs w:val="18"/>
              </w:rPr>
              <w:t>0</w:t>
            </w:r>
          </w:p>
        </w:tc>
        <w:tc>
          <w:tcPr>
            <w:tcW w:w="327" w:type="pct"/>
            <w:tcMar>
              <w:top w:w="15" w:type="dxa"/>
              <w:left w:w="15" w:type="dxa"/>
              <w:bottom w:w="0" w:type="dxa"/>
              <w:right w:w="15" w:type="dxa"/>
            </w:tcMar>
            <w:vAlign w:val="center"/>
          </w:tcPr>
          <w:p w14:paraId="5147C2F2" w14:textId="77777777" w:rsidR="005F04FE" w:rsidRPr="005F04FE" w:rsidRDefault="005F04FE" w:rsidP="003922A9">
            <w:pPr>
              <w:pStyle w:val="13"/>
              <w:ind w:firstLineChars="0" w:firstLine="0"/>
              <w:jc w:val="center"/>
              <w:rPr>
                <w:sz w:val="18"/>
                <w:szCs w:val="18"/>
              </w:rPr>
            </w:pPr>
            <w:r w:rsidRPr="005F04FE">
              <w:rPr>
                <w:b/>
                <w:bCs/>
                <w:sz w:val="18"/>
                <w:szCs w:val="18"/>
              </w:rPr>
              <w:t>20</w:t>
            </w:r>
            <w:r w:rsidRPr="005F04FE">
              <w:rPr>
                <w:rFonts w:hint="eastAsia"/>
                <w:b/>
                <w:bCs/>
                <w:sz w:val="18"/>
                <w:szCs w:val="18"/>
              </w:rPr>
              <w:t>y</w:t>
            </w:r>
            <w:r w:rsidRPr="005F04FE">
              <w:rPr>
                <w:b/>
                <w:bCs/>
                <w:sz w:val="18"/>
                <w:szCs w:val="18"/>
              </w:rPr>
              <w:t>1</w:t>
            </w:r>
          </w:p>
        </w:tc>
        <w:tc>
          <w:tcPr>
            <w:tcW w:w="327" w:type="pct"/>
            <w:tcMar>
              <w:top w:w="15" w:type="dxa"/>
              <w:left w:w="15" w:type="dxa"/>
              <w:bottom w:w="0" w:type="dxa"/>
              <w:right w:w="15" w:type="dxa"/>
            </w:tcMar>
            <w:vAlign w:val="center"/>
          </w:tcPr>
          <w:p w14:paraId="490E90DC" w14:textId="77777777" w:rsidR="005F04FE" w:rsidRPr="005F04FE" w:rsidRDefault="005F04FE" w:rsidP="003922A9">
            <w:pPr>
              <w:pStyle w:val="13"/>
              <w:ind w:firstLineChars="0" w:firstLine="0"/>
              <w:jc w:val="center"/>
              <w:rPr>
                <w:sz w:val="18"/>
                <w:szCs w:val="18"/>
              </w:rPr>
            </w:pPr>
            <w:r w:rsidRPr="005F04FE">
              <w:rPr>
                <w:b/>
                <w:bCs/>
                <w:sz w:val="18"/>
                <w:szCs w:val="18"/>
              </w:rPr>
              <w:t>20</w:t>
            </w:r>
            <w:r w:rsidRPr="005F04FE">
              <w:rPr>
                <w:rFonts w:hint="eastAsia"/>
                <w:b/>
                <w:bCs/>
                <w:sz w:val="18"/>
                <w:szCs w:val="18"/>
              </w:rPr>
              <w:t>y</w:t>
            </w:r>
            <w:r w:rsidRPr="005F04FE">
              <w:rPr>
                <w:b/>
                <w:bCs/>
                <w:sz w:val="18"/>
                <w:szCs w:val="18"/>
              </w:rPr>
              <w:t>2</w:t>
            </w:r>
          </w:p>
        </w:tc>
        <w:tc>
          <w:tcPr>
            <w:tcW w:w="327" w:type="pct"/>
            <w:tcMar>
              <w:top w:w="15" w:type="dxa"/>
              <w:left w:w="15" w:type="dxa"/>
              <w:bottom w:w="0" w:type="dxa"/>
              <w:right w:w="15" w:type="dxa"/>
            </w:tcMar>
            <w:vAlign w:val="center"/>
          </w:tcPr>
          <w:p w14:paraId="4ED824AF" w14:textId="77777777" w:rsidR="005F04FE" w:rsidRPr="005F04FE" w:rsidRDefault="005F04FE" w:rsidP="003922A9">
            <w:pPr>
              <w:pStyle w:val="13"/>
              <w:ind w:firstLineChars="0" w:firstLine="0"/>
              <w:jc w:val="center"/>
              <w:rPr>
                <w:sz w:val="18"/>
                <w:szCs w:val="18"/>
              </w:rPr>
            </w:pPr>
            <w:r w:rsidRPr="005F04FE">
              <w:rPr>
                <w:b/>
                <w:bCs/>
                <w:sz w:val="18"/>
                <w:szCs w:val="18"/>
              </w:rPr>
              <w:t>20</w:t>
            </w:r>
            <w:r w:rsidRPr="005F04FE">
              <w:rPr>
                <w:rFonts w:hint="eastAsia"/>
                <w:b/>
                <w:bCs/>
                <w:sz w:val="18"/>
                <w:szCs w:val="18"/>
              </w:rPr>
              <w:t>y</w:t>
            </w:r>
            <w:r w:rsidRPr="005F04FE">
              <w:rPr>
                <w:b/>
                <w:bCs/>
                <w:sz w:val="18"/>
                <w:szCs w:val="18"/>
              </w:rPr>
              <w:t>3</w:t>
            </w:r>
          </w:p>
        </w:tc>
        <w:tc>
          <w:tcPr>
            <w:tcW w:w="327" w:type="pct"/>
            <w:tcMar>
              <w:top w:w="15" w:type="dxa"/>
              <w:left w:w="15" w:type="dxa"/>
              <w:bottom w:w="0" w:type="dxa"/>
              <w:right w:w="15" w:type="dxa"/>
            </w:tcMar>
            <w:vAlign w:val="center"/>
          </w:tcPr>
          <w:p w14:paraId="55042278" w14:textId="77777777" w:rsidR="005F04FE" w:rsidRPr="005F04FE" w:rsidRDefault="005F04FE" w:rsidP="003922A9">
            <w:pPr>
              <w:pStyle w:val="13"/>
              <w:ind w:firstLineChars="0" w:firstLine="0"/>
              <w:jc w:val="center"/>
              <w:rPr>
                <w:sz w:val="18"/>
                <w:szCs w:val="18"/>
              </w:rPr>
            </w:pPr>
            <w:r w:rsidRPr="005F04FE">
              <w:rPr>
                <w:b/>
                <w:bCs/>
                <w:sz w:val="18"/>
                <w:szCs w:val="18"/>
              </w:rPr>
              <w:t>20</w:t>
            </w:r>
            <w:r w:rsidRPr="005F04FE">
              <w:rPr>
                <w:rFonts w:hint="eastAsia"/>
                <w:b/>
                <w:bCs/>
                <w:sz w:val="18"/>
                <w:szCs w:val="18"/>
              </w:rPr>
              <w:t>y</w:t>
            </w:r>
            <w:r w:rsidRPr="005F04FE">
              <w:rPr>
                <w:b/>
                <w:bCs/>
                <w:sz w:val="18"/>
                <w:szCs w:val="18"/>
              </w:rPr>
              <w:t>4</w:t>
            </w:r>
          </w:p>
        </w:tc>
      </w:tr>
      <w:tr w:rsidR="005F04FE" w:rsidRPr="005F04FE" w14:paraId="735A1FE5" w14:textId="77777777" w:rsidTr="003922A9">
        <w:trPr>
          <w:trHeight w:val="186"/>
        </w:trPr>
        <w:tc>
          <w:tcPr>
            <w:tcW w:w="1078" w:type="pct"/>
            <w:tcMar>
              <w:top w:w="15" w:type="dxa"/>
              <w:left w:w="15" w:type="dxa"/>
              <w:bottom w:w="0" w:type="dxa"/>
              <w:right w:w="15" w:type="dxa"/>
            </w:tcMar>
            <w:vAlign w:val="center"/>
          </w:tcPr>
          <w:p w14:paraId="331F7451" w14:textId="77777777" w:rsidR="005F04FE" w:rsidRPr="005F04FE" w:rsidRDefault="005F04FE" w:rsidP="003922A9">
            <w:pPr>
              <w:pStyle w:val="13"/>
              <w:ind w:firstLineChars="0" w:firstLine="0"/>
              <w:rPr>
                <w:sz w:val="18"/>
                <w:szCs w:val="18"/>
              </w:rPr>
            </w:pPr>
            <w:r w:rsidRPr="005F04FE">
              <w:rPr>
                <w:sz w:val="18"/>
                <w:szCs w:val="18"/>
              </w:rPr>
              <w:t>人力总数</w:t>
            </w:r>
          </w:p>
        </w:tc>
        <w:tc>
          <w:tcPr>
            <w:tcW w:w="327" w:type="pct"/>
            <w:tcMar>
              <w:top w:w="15" w:type="dxa"/>
              <w:left w:w="15" w:type="dxa"/>
              <w:bottom w:w="0" w:type="dxa"/>
              <w:right w:w="15" w:type="dxa"/>
            </w:tcMar>
            <w:vAlign w:val="center"/>
          </w:tcPr>
          <w:p w14:paraId="58BE2349" w14:textId="77777777" w:rsidR="005F04FE" w:rsidRPr="005F04FE" w:rsidRDefault="005F04FE" w:rsidP="003922A9">
            <w:pPr>
              <w:pStyle w:val="13"/>
              <w:ind w:firstLineChars="0" w:firstLine="0"/>
              <w:jc w:val="right"/>
              <w:rPr>
                <w:sz w:val="18"/>
                <w:szCs w:val="18"/>
              </w:rPr>
            </w:pPr>
            <w:r w:rsidRPr="005F04FE">
              <w:rPr>
                <w:sz w:val="18"/>
                <w:szCs w:val="18"/>
              </w:rPr>
              <w:t>2,588</w:t>
            </w:r>
          </w:p>
        </w:tc>
        <w:tc>
          <w:tcPr>
            <w:tcW w:w="327" w:type="pct"/>
            <w:tcMar>
              <w:top w:w="15" w:type="dxa"/>
              <w:left w:w="15" w:type="dxa"/>
              <w:bottom w:w="0" w:type="dxa"/>
              <w:right w:w="15" w:type="dxa"/>
            </w:tcMar>
            <w:vAlign w:val="center"/>
          </w:tcPr>
          <w:p w14:paraId="115C9BE3" w14:textId="77777777" w:rsidR="005F04FE" w:rsidRPr="005F04FE" w:rsidRDefault="005F04FE" w:rsidP="003922A9">
            <w:pPr>
              <w:pStyle w:val="13"/>
              <w:ind w:firstLineChars="0" w:firstLine="0"/>
              <w:jc w:val="right"/>
              <w:rPr>
                <w:sz w:val="18"/>
                <w:szCs w:val="18"/>
              </w:rPr>
            </w:pPr>
            <w:r w:rsidRPr="005F04FE">
              <w:rPr>
                <w:sz w:val="18"/>
                <w:szCs w:val="18"/>
              </w:rPr>
              <w:t>2,710</w:t>
            </w:r>
          </w:p>
        </w:tc>
        <w:tc>
          <w:tcPr>
            <w:tcW w:w="327" w:type="pct"/>
            <w:tcMar>
              <w:top w:w="15" w:type="dxa"/>
              <w:left w:w="15" w:type="dxa"/>
              <w:bottom w:w="0" w:type="dxa"/>
              <w:right w:w="15" w:type="dxa"/>
            </w:tcMar>
            <w:vAlign w:val="center"/>
          </w:tcPr>
          <w:p w14:paraId="28D50A50" w14:textId="77777777" w:rsidR="005F04FE" w:rsidRPr="005F04FE" w:rsidRDefault="005F04FE" w:rsidP="003922A9">
            <w:pPr>
              <w:pStyle w:val="13"/>
              <w:ind w:firstLineChars="0" w:firstLine="0"/>
              <w:jc w:val="right"/>
              <w:rPr>
                <w:sz w:val="18"/>
                <w:szCs w:val="18"/>
              </w:rPr>
            </w:pPr>
            <w:r w:rsidRPr="005F04FE">
              <w:rPr>
                <w:sz w:val="18"/>
                <w:szCs w:val="18"/>
              </w:rPr>
              <w:t>2,888</w:t>
            </w:r>
          </w:p>
        </w:tc>
        <w:tc>
          <w:tcPr>
            <w:tcW w:w="327" w:type="pct"/>
            <w:tcMar>
              <w:top w:w="15" w:type="dxa"/>
              <w:left w:w="15" w:type="dxa"/>
              <w:bottom w:w="0" w:type="dxa"/>
              <w:right w:w="15" w:type="dxa"/>
            </w:tcMar>
            <w:vAlign w:val="center"/>
          </w:tcPr>
          <w:p w14:paraId="0FF97768" w14:textId="77777777" w:rsidR="005F04FE" w:rsidRPr="005F04FE" w:rsidRDefault="005F04FE" w:rsidP="003922A9">
            <w:pPr>
              <w:pStyle w:val="13"/>
              <w:ind w:firstLineChars="0" w:firstLine="0"/>
              <w:jc w:val="right"/>
              <w:rPr>
                <w:sz w:val="18"/>
                <w:szCs w:val="18"/>
              </w:rPr>
            </w:pPr>
            <w:r w:rsidRPr="005F04FE">
              <w:rPr>
                <w:sz w:val="18"/>
                <w:szCs w:val="18"/>
              </w:rPr>
              <w:t>3,105</w:t>
            </w:r>
          </w:p>
        </w:tc>
        <w:tc>
          <w:tcPr>
            <w:tcW w:w="327" w:type="pct"/>
            <w:tcMar>
              <w:top w:w="15" w:type="dxa"/>
              <w:left w:w="15" w:type="dxa"/>
              <w:bottom w:w="0" w:type="dxa"/>
              <w:right w:w="15" w:type="dxa"/>
            </w:tcMar>
            <w:vAlign w:val="center"/>
          </w:tcPr>
          <w:p w14:paraId="70668A2C" w14:textId="77777777" w:rsidR="005F04FE" w:rsidRPr="005F04FE" w:rsidRDefault="005F04FE" w:rsidP="003922A9">
            <w:pPr>
              <w:pStyle w:val="13"/>
              <w:ind w:firstLineChars="0" w:firstLine="0"/>
              <w:jc w:val="right"/>
              <w:rPr>
                <w:sz w:val="18"/>
                <w:szCs w:val="18"/>
              </w:rPr>
            </w:pPr>
            <w:r w:rsidRPr="005F04FE">
              <w:rPr>
                <w:sz w:val="18"/>
                <w:szCs w:val="18"/>
              </w:rPr>
              <w:t>3,339</w:t>
            </w:r>
          </w:p>
        </w:tc>
        <w:tc>
          <w:tcPr>
            <w:tcW w:w="327" w:type="pct"/>
            <w:tcMar>
              <w:top w:w="15" w:type="dxa"/>
              <w:left w:w="15" w:type="dxa"/>
              <w:bottom w:w="0" w:type="dxa"/>
              <w:right w:w="15" w:type="dxa"/>
            </w:tcMar>
            <w:vAlign w:val="center"/>
          </w:tcPr>
          <w:p w14:paraId="28CFBF6F" w14:textId="77777777" w:rsidR="005F04FE" w:rsidRPr="005F04FE" w:rsidRDefault="005F04FE" w:rsidP="003922A9">
            <w:pPr>
              <w:pStyle w:val="13"/>
              <w:ind w:firstLineChars="0" w:firstLine="0"/>
              <w:jc w:val="right"/>
              <w:rPr>
                <w:sz w:val="18"/>
                <w:szCs w:val="18"/>
              </w:rPr>
            </w:pPr>
            <w:r w:rsidRPr="005F04FE">
              <w:rPr>
                <w:sz w:val="18"/>
                <w:szCs w:val="18"/>
              </w:rPr>
              <w:t>3,590</w:t>
            </w:r>
          </w:p>
        </w:tc>
        <w:tc>
          <w:tcPr>
            <w:tcW w:w="327" w:type="pct"/>
            <w:tcMar>
              <w:top w:w="15" w:type="dxa"/>
              <w:left w:w="15" w:type="dxa"/>
              <w:bottom w:w="0" w:type="dxa"/>
              <w:right w:w="15" w:type="dxa"/>
            </w:tcMar>
            <w:vAlign w:val="center"/>
          </w:tcPr>
          <w:p w14:paraId="44EFCC22" w14:textId="77777777" w:rsidR="005F04FE" w:rsidRPr="005F04FE" w:rsidRDefault="005F04FE" w:rsidP="003922A9">
            <w:pPr>
              <w:pStyle w:val="13"/>
              <w:ind w:firstLineChars="0" w:firstLine="0"/>
              <w:jc w:val="right"/>
              <w:rPr>
                <w:sz w:val="18"/>
                <w:szCs w:val="18"/>
              </w:rPr>
            </w:pPr>
            <w:r w:rsidRPr="005F04FE">
              <w:rPr>
                <w:sz w:val="18"/>
                <w:szCs w:val="18"/>
              </w:rPr>
              <w:t>3,826</w:t>
            </w:r>
          </w:p>
        </w:tc>
        <w:tc>
          <w:tcPr>
            <w:tcW w:w="327" w:type="pct"/>
            <w:tcMar>
              <w:top w:w="15" w:type="dxa"/>
              <w:left w:w="15" w:type="dxa"/>
              <w:bottom w:w="0" w:type="dxa"/>
              <w:right w:w="15" w:type="dxa"/>
            </w:tcMar>
            <w:vAlign w:val="center"/>
          </w:tcPr>
          <w:p w14:paraId="3E7700C7" w14:textId="77777777" w:rsidR="005F04FE" w:rsidRPr="005F04FE" w:rsidRDefault="005F04FE" w:rsidP="003922A9">
            <w:pPr>
              <w:pStyle w:val="13"/>
              <w:ind w:firstLineChars="0" w:firstLine="0"/>
              <w:jc w:val="right"/>
              <w:rPr>
                <w:sz w:val="18"/>
                <w:szCs w:val="18"/>
              </w:rPr>
            </w:pPr>
            <w:r w:rsidRPr="005F04FE">
              <w:rPr>
                <w:sz w:val="18"/>
                <w:szCs w:val="18"/>
              </w:rPr>
              <w:t>4,078</w:t>
            </w:r>
          </w:p>
        </w:tc>
        <w:tc>
          <w:tcPr>
            <w:tcW w:w="327" w:type="pct"/>
            <w:tcMar>
              <w:top w:w="15" w:type="dxa"/>
              <w:left w:w="15" w:type="dxa"/>
              <w:bottom w:w="0" w:type="dxa"/>
              <w:right w:w="15" w:type="dxa"/>
            </w:tcMar>
            <w:vAlign w:val="center"/>
          </w:tcPr>
          <w:p w14:paraId="7665B69E" w14:textId="77777777" w:rsidR="005F04FE" w:rsidRPr="005F04FE" w:rsidRDefault="005F04FE" w:rsidP="003922A9">
            <w:pPr>
              <w:pStyle w:val="13"/>
              <w:ind w:firstLineChars="0" w:firstLine="0"/>
              <w:jc w:val="right"/>
              <w:rPr>
                <w:sz w:val="18"/>
                <w:szCs w:val="18"/>
              </w:rPr>
            </w:pPr>
            <w:r w:rsidRPr="005F04FE">
              <w:rPr>
                <w:sz w:val="18"/>
                <w:szCs w:val="18"/>
              </w:rPr>
              <w:t>4,308</w:t>
            </w:r>
          </w:p>
        </w:tc>
        <w:tc>
          <w:tcPr>
            <w:tcW w:w="327" w:type="pct"/>
            <w:tcMar>
              <w:top w:w="15" w:type="dxa"/>
              <w:left w:w="15" w:type="dxa"/>
              <w:bottom w:w="0" w:type="dxa"/>
              <w:right w:w="15" w:type="dxa"/>
            </w:tcMar>
            <w:vAlign w:val="center"/>
          </w:tcPr>
          <w:p w14:paraId="371BD3EB" w14:textId="77777777" w:rsidR="005F04FE" w:rsidRPr="005F04FE" w:rsidRDefault="005F04FE" w:rsidP="003922A9">
            <w:pPr>
              <w:pStyle w:val="13"/>
              <w:ind w:firstLineChars="0" w:firstLine="0"/>
              <w:jc w:val="right"/>
              <w:rPr>
                <w:sz w:val="18"/>
                <w:szCs w:val="18"/>
              </w:rPr>
            </w:pPr>
            <w:r w:rsidRPr="005F04FE">
              <w:rPr>
                <w:sz w:val="18"/>
                <w:szCs w:val="18"/>
              </w:rPr>
              <w:t>4,551</w:t>
            </w:r>
          </w:p>
        </w:tc>
        <w:tc>
          <w:tcPr>
            <w:tcW w:w="327" w:type="pct"/>
            <w:tcMar>
              <w:top w:w="15" w:type="dxa"/>
              <w:left w:w="15" w:type="dxa"/>
              <w:bottom w:w="0" w:type="dxa"/>
              <w:right w:w="15" w:type="dxa"/>
            </w:tcMar>
            <w:vAlign w:val="center"/>
          </w:tcPr>
          <w:p w14:paraId="419DB669" w14:textId="77777777" w:rsidR="005F04FE" w:rsidRPr="005F04FE" w:rsidRDefault="005F04FE" w:rsidP="003922A9">
            <w:pPr>
              <w:pStyle w:val="13"/>
              <w:ind w:firstLineChars="0" w:firstLine="0"/>
              <w:jc w:val="right"/>
              <w:rPr>
                <w:sz w:val="18"/>
                <w:szCs w:val="18"/>
              </w:rPr>
            </w:pPr>
            <w:r w:rsidRPr="005F04FE">
              <w:rPr>
                <w:sz w:val="18"/>
                <w:szCs w:val="18"/>
              </w:rPr>
              <w:t>4,765</w:t>
            </w:r>
          </w:p>
        </w:tc>
        <w:tc>
          <w:tcPr>
            <w:tcW w:w="327" w:type="pct"/>
            <w:tcMar>
              <w:top w:w="15" w:type="dxa"/>
              <w:left w:w="15" w:type="dxa"/>
              <w:bottom w:w="0" w:type="dxa"/>
              <w:right w:w="15" w:type="dxa"/>
            </w:tcMar>
            <w:vAlign w:val="center"/>
          </w:tcPr>
          <w:p w14:paraId="5A6BC464" w14:textId="77777777" w:rsidR="005F04FE" w:rsidRPr="005F04FE" w:rsidRDefault="005F04FE" w:rsidP="003922A9">
            <w:pPr>
              <w:pStyle w:val="13"/>
              <w:ind w:firstLineChars="0" w:firstLine="0"/>
              <w:jc w:val="right"/>
              <w:rPr>
                <w:sz w:val="18"/>
                <w:szCs w:val="18"/>
              </w:rPr>
            </w:pPr>
            <w:r w:rsidRPr="005F04FE">
              <w:rPr>
                <w:sz w:val="18"/>
                <w:szCs w:val="18"/>
              </w:rPr>
              <w:t>4,989</w:t>
            </w:r>
          </w:p>
        </w:tc>
      </w:tr>
      <w:tr w:rsidR="005F04FE" w:rsidRPr="005F04FE" w14:paraId="27C01705" w14:textId="77777777" w:rsidTr="003922A9">
        <w:trPr>
          <w:trHeight w:val="186"/>
        </w:trPr>
        <w:tc>
          <w:tcPr>
            <w:tcW w:w="1078" w:type="pct"/>
            <w:tcMar>
              <w:top w:w="15" w:type="dxa"/>
              <w:left w:w="15" w:type="dxa"/>
              <w:bottom w:w="0" w:type="dxa"/>
              <w:right w:w="15" w:type="dxa"/>
            </w:tcMar>
            <w:vAlign w:val="center"/>
          </w:tcPr>
          <w:p w14:paraId="63867FC9" w14:textId="77777777" w:rsidR="005F04FE" w:rsidRPr="005F04FE" w:rsidRDefault="005F04FE" w:rsidP="003922A9">
            <w:pPr>
              <w:pStyle w:val="13"/>
              <w:ind w:firstLineChars="0" w:firstLine="0"/>
              <w:rPr>
                <w:sz w:val="18"/>
                <w:szCs w:val="18"/>
              </w:rPr>
            </w:pPr>
            <w:r w:rsidRPr="005F04FE">
              <w:rPr>
                <w:sz w:val="18"/>
                <w:szCs w:val="18"/>
              </w:rPr>
              <w:t>人力增长率</w:t>
            </w:r>
          </w:p>
        </w:tc>
        <w:tc>
          <w:tcPr>
            <w:tcW w:w="327" w:type="pct"/>
            <w:tcMar>
              <w:top w:w="15" w:type="dxa"/>
              <w:left w:w="15" w:type="dxa"/>
              <w:bottom w:w="0" w:type="dxa"/>
              <w:right w:w="15" w:type="dxa"/>
            </w:tcMar>
            <w:vAlign w:val="center"/>
          </w:tcPr>
          <w:p w14:paraId="39E13BEE"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10C4E13F" w14:textId="77777777" w:rsidR="005F04FE" w:rsidRPr="005F04FE" w:rsidRDefault="005F04FE" w:rsidP="003922A9">
            <w:pPr>
              <w:pStyle w:val="13"/>
              <w:ind w:firstLineChars="0" w:firstLine="0"/>
              <w:jc w:val="right"/>
              <w:rPr>
                <w:sz w:val="18"/>
                <w:szCs w:val="18"/>
              </w:rPr>
            </w:pPr>
            <w:r w:rsidRPr="005F04FE">
              <w:rPr>
                <w:sz w:val="18"/>
                <w:szCs w:val="18"/>
              </w:rPr>
              <w:t>5%</w:t>
            </w:r>
          </w:p>
        </w:tc>
        <w:tc>
          <w:tcPr>
            <w:tcW w:w="327" w:type="pct"/>
            <w:tcMar>
              <w:top w:w="15" w:type="dxa"/>
              <w:left w:w="15" w:type="dxa"/>
              <w:bottom w:w="0" w:type="dxa"/>
              <w:right w:w="15" w:type="dxa"/>
            </w:tcMar>
            <w:vAlign w:val="center"/>
          </w:tcPr>
          <w:p w14:paraId="6C01E1CF" w14:textId="77777777" w:rsidR="005F04FE" w:rsidRPr="005F04FE" w:rsidRDefault="005F04FE" w:rsidP="003922A9">
            <w:pPr>
              <w:pStyle w:val="13"/>
              <w:ind w:firstLineChars="0" w:firstLine="0"/>
              <w:jc w:val="right"/>
              <w:rPr>
                <w:sz w:val="18"/>
                <w:szCs w:val="18"/>
              </w:rPr>
            </w:pPr>
            <w:r w:rsidRPr="005F04FE">
              <w:rPr>
                <w:sz w:val="18"/>
                <w:szCs w:val="18"/>
              </w:rPr>
              <w:t>7%</w:t>
            </w:r>
          </w:p>
        </w:tc>
        <w:tc>
          <w:tcPr>
            <w:tcW w:w="327" w:type="pct"/>
            <w:tcMar>
              <w:top w:w="15" w:type="dxa"/>
              <w:left w:w="15" w:type="dxa"/>
              <w:bottom w:w="0" w:type="dxa"/>
              <w:right w:w="15" w:type="dxa"/>
            </w:tcMar>
            <w:vAlign w:val="center"/>
          </w:tcPr>
          <w:p w14:paraId="1F40BDAF"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11B9A33E"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19B82BA3"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496EC2D6" w14:textId="77777777" w:rsidR="005F04FE" w:rsidRPr="005F04FE" w:rsidRDefault="005F04FE" w:rsidP="003922A9">
            <w:pPr>
              <w:pStyle w:val="13"/>
              <w:ind w:firstLineChars="0" w:firstLine="0"/>
              <w:jc w:val="right"/>
              <w:rPr>
                <w:sz w:val="18"/>
                <w:szCs w:val="18"/>
              </w:rPr>
            </w:pPr>
            <w:r w:rsidRPr="005F04FE">
              <w:rPr>
                <w:sz w:val="18"/>
                <w:szCs w:val="18"/>
              </w:rPr>
              <w:t>7%</w:t>
            </w:r>
          </w:p>
        </w:tc>
        <w:tc>
          <w:tcPr>
            <w:tcW w:w="327" w:type="pct"/>
            <w:tcMar>
              <w:top w:w="15" w:type="dxa"/>
              <w:left w:w="15" w:type="dxa"/>
              <w:bottom w:w="0" w:type="dxa"/>
              <w:right w:w="15" w:type="dxa"/>
            </w:tcMar>
            <w:vAlign w:val="center"/>
          </w:tcPr>
          <w:p w14:paraId="3935758B" w14:textId="77777777" w:rsidR="005F04FE" w:rsidRPr="005F04FE" w:rsidRDefault="005F04FE" w:rsidP="003922A9">
            <w:pPr>
              <w:pStyle w:val="13"/>
              <w:ind w:firstLineChars="0" w:firstLine="0"/>
              <w:jc w:val="right"/>
              <w:rPr>
                <w:sz w:val="18"/>
                <w:szCs w:val="18"/>
              </w:rPr>
            </w:pPr>
            <w:r w:rsidRPr="005F04FE">
              <w:rPr>
                <w:sz w:val="18"/>
                <w:szCs w:val="18"/>
              </w:rPr>
              <w:t>7%</w:t>
            </w:r>
          </w:p>
        </w:tc>
        <w:tc>
          <w:tcPr>
            <w:tcW w:w="327" w:type="pct"/>
            <w:tcMar>
              <w:top w:w="15" w:type="dxa"/>
              <w:left w:w="15" w:type="dxa"/>
              <w:bottom w:w="0" w:type="dxa"/>
              <w:right w:w="15" w:type="dxa"/>
            </w:tcMar>
            <w:vAlign w:val="center"/>
          </w:tcPr>
          <w:p w14:paraId="52EB1B41" w14:textId="77777777" w:rsidR="005F04FE" w:rsidRPr="005F04FE" w:rsidRDefault="005F04FE" w:rsidP="003922A9">
            <w:pPr>
              <w:pStyle w:val="13"/>
              <w:ind w:firstLineChars="0" w:firstLine="0"/>
              <w:jc w:val="right"/>
              <w:rPr>
                <w:sz w:val="18"/>
                <w:szCs w:val="18"/>
              </w:rPr>
            </w:pPr>
            <w:r w:rsidRPr="005F04FE">
              <w:rPr>
                <w:sz w:val="18"/>
                <w:szCs w:val="18"/>
              </w:rPr>
              <w:t>6%</w:t>
            </w:r>
          </w:p>
        </w:tc>
        <w:tc>
          <w:tcPr>
            <w:tcW w:w="327" w:type="pct"/>
            <w:tcMar>
              <w:top w:w="15" w:type="dxa"/>
              <w:left w:w="15" w:type="dxa"/>
              <w:bottom w:w="0" w:type="dxa"/>
              <w:right w:w="15" w:type="dxa"/>
            </w:tcMar>
            <w:vAlign w:val="center"/>
          </w:tcPr>
          <w:p w14:paraId="20816A93" w14:textId="77777777" w:rsidR="005F04FE" w:rsidRPr="005F04FE" w:rsidRDefault="005F04FE" w:rsidP="003922A9">
            <w:pPr>
              <w:pStyle w:val="13"/>
              <w:ind w:firstLineChars="0" w:firstLine="0"/>
              <w:jc w:val="right"/>
              <w:rPr>
                <w:sz w:val="18"/>
                <w:szCs w:val="18"/>
              </w:rPr>
            </w:pPr>
            <w:r w:rsidRPr="005F04FE">
              <w:rPr>
                <w:sz w:val="18"/>
                <w:szCs w:val="18"/>
              </w:rPr>
              <w:t>6%</w:t>
            </w:r>
          </w:p>
        </w:tc>
        <w:tc>
          <w:tcPr>
            <w:tcW w:w="327" w:type="pct"/>
            <w:tcMar>
              <w:top w:w="15" w:type="dxa"/>
              <w:left w:w="15" w:type="dxa"/>
              <w:bottom w:w="0" w:type="dxa"/>
              <w:right w:w="15" w:type="dxa"/>
            </w:tcMar>
            <w:vAlign w:val="center"/>
          </w:tcPr>
          <w:p w14:paraId="1FE25AB4" w14:textId="77777777" w:rsidR="005F04FE" w:rsidRPr="005F04FE" w:rsidRDefault="005F04FE" w:rsidP="003922A9">
            <w:pPr>
              <w:pStyle w:val="13"/>
              <w:ind w:firstLineChars="0" w:firstLine="0"/>
              <w:jc w:val="right"/>
              <w:rPr>
                <w:sz w:val="18"/>
                <w:szCs w:val="18"/>
              </w:rPr>
            </w:pPr>
            <w:r w:rsidRPr="005F04FE">
              <w:rPr>
                <w:sz w:val="18"/>
                <w:szCs w:val="18"/>
              </w:rPr>
              <w:t>5%</w:t>
            </w:r>
          </w:p>
        </w:tc>
        <w:tc>
          <w:tcPr>
            <w:tcW w:w="327" w:type="pct"/>
            <w:tcMar>
              <w:top w:w="15" w:type="dxa"/>
              <w:left w:w="15" w:type="dxa"/>
              <w:bottom w:w="0" w:type="dxa"/>
              <w:right w:w="15" w:type="dxa"/>
            </w:tcMar>
            <w:vAlign w:val="center"/>
          </w:tcPr>
          <w:p w14:paraId="49BE61F0" w14:textId="77777777" w:rsidR="005F04FE" w:rsidRPr="005F04FE" w:rsidRDefault="005F04FE" w:rsidP="003922A9">
            <w:pPr>
              <w:pStyle w:val="13"/>
              <w:ind w:firstLineChars="0" w:firstLine="0"/>
              <w:jc w:val="right"/>
              <w:rPr>
                <w:sz w:val="18"/>
                <w:szCs w:val="18"/>
              </w:rPr>
            </w:pPr>
            <w:r w:rsidRPr="005F04FE">
              <w:rPr>
                <w:sz w:val="18"/>
                <w:szCs w:val="18"/>
              </w:rPr>
              <w:t>5%</w:t>
            </w:r>
          </w:p>
        </w:tc>
      </w:tr>
      <w:tr w:rsidR="005F04FE" w:rsidRPr="005F04FE" w14:paraId="60279357" w14:textId="77777777" w:rsidTr="003922A9">
        <w:trPr>
          <w:trHeight w:val="186"/>
        </w:trPr>
        <w:tc>
          <w:tcPr>
            <w:tcW w:w="1078" w:type="pct"/>
            <w:tcMar>
              <w:top w:w="15" w:type="dxa"/>
              <w:left w:w="15" w:type="dxa"/>
              <w:bottom w:w="0" w:type="dxa"/>
              <w:right w:w="15" w:type="dxa"/>
            </w:tcMar>
            <w:vAlign w:val="center"/>
          </w:tcPr>
          <w:p w14:paraId="0F3FE4B3" w14:textId="77777777" w:rsidR="005F04FE" w:rsidRPr="005F04FE" w:rsidRDefault="005F04FE" w:rsidP="003922A9">
            <w:pPr>
              <w:pStyle w:val="13"/>
              <w:ind w:firstLineChars="0" w:firstLine="0"/>
              <w:rPr>
                <w:sz w:val="18"/>
                <w:szCs w:val="18"/>
              </w:rPr>
            </w:pPr>
            <w:r w:rsidRPr="005F04FE">
              <w:rPr>
                <w:sz w:val="18"/>
                <w:szCs w:val="18"/>
              </w:rPr>
              <w:t>人员活动率</w:t>
            </w:r>
          </w:p>
        </w:tc>
        <w:tc>
          <w:tcPr>
            <w:tcW w:w="327" w:type="pct"/>
            <w:tcMar>
              <w:top w:w="15" w:type="dxa"/>
              <w:left w:w="15" w:type="dxa"/>
              <w:bottom w:w="0" w:type="dxa"/>
              <w:right w:w="15" w:type="dxa"/>
            </w:tcMar>
            <w:vAlign w:val="center"/>
          </w:tcPr>
          <w:p w14:paraId="21355E40" w14:textId="77777777" w:rsidR="005F04FE" w:rsidRPr="005F04FE" w:rsidRDefault="005F04FE" w:rsidP="003922A9">
            <w:pPr>
              <w:pStyle w:val="13"/>
              <w:ind w:firstLineChars="0" w:firstLine="0"/>
              <w:jc w:val="right"/>
              <w:rPr>
                <w:sz w:val="18"/>
                <w:szCs w:val="18"/>
              </w:rPr>
            </w:pPr>
            <w:r w:rsidRPr="005F04FE">
              <w:rPr>
                <w:sz w:val="18"/>
                <w:szCs w:val="18"/>
              </w:rPr>
              <w:t>30%</w:t>
            </w:r>
          </w:p>
        </w:tc>
        <w:tc>
          <w:tcPr>
            <w:tcW w:w="327" w:type="pct"/>
            <w:tcMar>
              <w:top w:w="15" w:type="dxa"/>
              <w:left w:w="15" w:type="dxa"/>
              <w:bottom w:w="0" w:type="dxa"/>
              <w:right w:w="15" w:type="dxa"/>
            </w:tcMar>
            <w:vAlign w:val="center"/>
          </w:tcPr>
          <w:p w14:paraId="176D9212" w14:textId="77777777" w:rsidR="005F04FE" w:rsidRPr="005F04FE" w:rsidRDefault="005F04FE" w:rsidP="003922A9">
            <w:pPr>
              <w:pStyle w:val="13"/>
              <w:ind w:firstLineChars="0" w:firstLine="0"/>
              <w:jc w:val="right"/>
              <w:rPr>
                <w:sz w:val="18"/>
                <w:szCs w:val="18"/>
              </w:rPr>
            </w:pPr>
            <w:r w:rsidRPr="005F04FE">
              <w:rPr>
                <w:sz w:val="18"/>
                <w:szCs w:val="18"/>
              </w:rPr>
              <w:t>31%</w:t>
            </w:r>
          </w:p>
        </w:tc>
        <w:tc>
          <w:tcPr>
            <w:tcW w:w="327" w:type="pct"/>
            <w:tcMar>
              <w:top w:w="15" w:type="dxa"/>
              <w:left w:w="15" w:type="dxa"/>
              <w:bottom w:w="0" w:type="dxa"/>
              <w:right w:w="15" w:type="dxa"/>
            </w:tcMar>
            <w:vAlign w:val="center"/>
          </w:tcPr>
          <w:p w14:paraId="618987B1" w14:textId="77777777" w:rsidR="005F04FE" w:rsidRPr="005F04FE" w:rsidRDefault="005F04FE" w:rsidP="003922A9">
            <w:pPr>
              <w:pStyle w:val="13"/>
              <w:ind w:firstLineChars="0" w:firstLine="0"/>
              <w:jc w:val="right"/>
              <w:rPr>
                <w:sz w:val="18"/>
                <w:szCs w:val="18"/>
              </w:rPr>
            </w:pPr>
            <w:r w:rsidRPr="005F04FE">
              <w:rPr>
                <w:sz w:val="18"/>
                <w:szCs w:val="18"/>
              </w:rPr>
              <w:t>32%</w:t>
            </w:r>
          </w:p>
        </w:tc>
        <w:tc>
          <w:tcPr>
            <w:tcW w:w="327" w:type="pct"/>
            <w:tcMar>
              <w:top w:w="15" w:type="dxa"/>
              <w:left w:w="15" w:type="dxa"/>
              <w:bottom w:w="0" w:type="dxa"/>
              <w:right w:w="15" w:type="dxa"/>
            </w:tcMar>
            <w:vAlign w:val="center"/>
          </w:tcPr>
          <w:p w14:paraId="74277241" w14:textId="77777777" w:rsidR="005F04FE" w:rsidRPr="005F04FE" w:rsidRDefault="005F04FE" w:rsidP="003922A9">
            <w:pPr>
              <w:pStyle w:val="13"/>
              <w:ind w:firstLineChars="0" w:firstLine="0"/>
              <w:jc w:val="right"/>
              <w:rPr>
                <w:sz w:val="18"/>
                <w:szCs w:val="18"/>
              </w:rPr>
            </w:pPr>
            <w:r w:rsidRPr="005F04FE">
              <w:rPr>
                <w:sz w:val="18"/>
                <w:szCs w:val="18"/>
              </w:rPr>
              <w:t>33%</w:t>
            </w:r>
          </w:p>
        </w:tc>
        <w:tc>
          <w:tcPr>
            <w:tcW w:w="327" w:type="pct"/>
            <w:tcMar>
              <w:top w:w="15" w:type="dxa"/>
              <w:left w:w="15" w:type="dxa"/>
              <w:bottom w:w="0" w:type="dxa"/>
              <w:right w:w="15" w:type="dxa"/>
            </w:tcMar>
            <w:vAlign w:val="center"/>
          </w:tcPr>
          <w:p w14:paraId="28572977" w14:textId="77777777" w:rsidR="005F04FE" w:rsidRPr="005F04FE" w:rsidRDefault="005F04FE" w:rsidP="003922A9">
            <w:pPr>
              <w:pStyle w:val="13"/>
              <w:ind w:firstLineChars="0" w:firstLine="0"/>
              <w:jc w:val="right"/>
              <w:rPr>
                <w:sz w:val="18"/>
                <w:szCs w:val="18"/>
              </w:rPr>
            </w:pPr>
            <w:r w:rsidRPr="005F04FE">
              <w:rPr>
                <w:sz w:val="18"/>
                <w:szCs w:val="18"/>
              </w:rPr>
              <w:t>34%</w:t>
            </w:r>
          </w:p>
        </w:tc>
        <w:tc>
          <w:tcPr>
            <w:tcW w:w="327" w:type="pct"/>
            <w:tcMar>
              <w:top w:w="15" w:type="dxa"/>
              <w:left w:w="15" w:type="dxa"/>
              <w:bottom w:w="0" w:type="dxa"/>
              <w:right w:w="15" w:type="dxa"/>
            </w:tcMar>
            <w:vAlign w:val="center"/>
          </w:tcPr>
          <w:p w14:paraId="32DE8BD4" w14:textId="77777777" w:rsidR="005F04FE" w:rsidRPr="005F04FE" w:rsidRDefault="005F04FE" w:rsidP="003922A9">
            <w:pPr>
              <w:pStyle w:val="13"/>
              <w:ind w:firstLineChars="0" w:firstLine="0"/>
              <w:jc w:val="right"/>
              <w:rPr>
                <w:sz w:val="18"/>
                <w:szCs w:val="18"/>
              </w:rPr>
            </w:pPr>
            <w:r w:rsidRPr="005F04FE">
              <w:rPr>
                <w:sz w:val="18"/>
                <w:szCs w:val="18"/>
              </w:rPr>
              <w:t>35%</w:t>
            </w:r>
          </w:p>
        </w:tc>
        <w:tc>
          <w:tcPr>
            <w:tcW w:w="327" w:type="pct"/>
            <w:tcMar>
              <w:top w:w="15" w:type="dxa"/>
              <w:left w:w="15" w:type="dxa"/>
              <w:bottom w:w="0" w:type="dxa"/>
              <w:right w:w="15" w:type="dxa"/>
            </w:tcMar>
            <w:vAlign w:val="center"/>
          </w:tcPr>
          <w:p w14:paraId="1EA71670" w14:textId="77777777" w:rsidR="005F04FE" w:rsidRPr="005F04FE" w:rsidRDefault="005F04FE" w:rsidP="003922A9">
            <w:pPr>
              <w:pStyle w:val="13"/>
              <w:ind w:firstLineChars="0" w:firstLine="0"/>
              <w:jc w:val="right"/>
              <w:rPr>
                <w:sz w:val="18"/>
                <w:szCs w:val="18"/>
              </w:rPr>
            </w:pPr>
            <w:r w:rsidRPr="005F04FE">
              <w:rPr>
                <w:sz w:val="18"/>
                <w:szCs w:val="18"/>
              </w:rPr>
              <w:t>36%</w:t>
            </w:r>
          </w:p>
        </w:tc>
        <w:tc>
          <w:tcPr>
            <w:tcW w:w="327" w:type="pct"/>
            <w:tcMar>
              <w:top w:w="15" w:type="dxa"/>
              <w:left w:w="15" w:type="dxa"/>
              <w:bottom w:w="0" w:type="dxa"/>
              <w:right w:w="15" w:type="dxa"/>
            </w:tcMar>
            <w:vAlign w:val="center"/>
          </w:tcPr>
          <w:p w14:paraId="0B14990A" w14:textId="77777777" w:rsidR="005F04FE" w:rsidRPr="005F04FE" w:rsidRDefault="005F04FE" w:rsidP="003922A9">
            <w:pPr>
              <w:pStyle w:val="13"/>
              <w:ind w:firstLineChars="0" w:firstLine="0"/>
              <w:jc w:val="right"/>
              <w:rPr>
                <w:sz w:val="18"/>
                <w:szCs w:val="18"/>
              </w:rPr>
            </w:pPr>
            <w:r w:rsidRPr="005F04FE">
              <w:rPr>
                <w:sz w:val="18"/>
                <w:szCs w:val="18"/>
              </w:rPr>
              <w:t>37%</w:t>
            </w:r>
          </w:p>
        </w:tc>
        <w:tc>
          <w:tcPr>
            <w:tcW w:w="327" w:type="pct"/>
            <w:tcMar>
              <w:top w:w="15" w:type="dxa"/>
              <w:left w:w="15" w:type="dxa"/>
              <w:bottom w:w="0" w:type="dxa"/>
              <w:right w:w="15" w:type="dxa"/>
            </w:tcMar>
            <w:vAlign w:val="center"/>
          </w:tcPr>
          <w:p w14:paraId="303FB9A6" w14:textId="77777777" w:rsidR="005F04FE" w:rsidRPr="005F04FE" w:rsidRDefault="005F04FE" w:rsidP="003922A9">
            <w:pPr>
              <w:pStyle w:val="13"/>
              <w:ind w:firstLineChars="0" w:firstLine="0"/>
              <w:jc w:val="right"/>
              <w:rPr>
                <w:sz w:val="18"/>
                <w:szCs w:val="18"/>
              </w:rPr>
            </w:pPr>
            <w:r w:rsidRPr="005F04FE">
              <w:rPr>
                <w:sz w:val="18"/>
                <w:szCs w:val="18"/>
              </w:rPr>
              <w:t>38%</w:t>
            </w:r>
          </w:p>
        </w:tc>
        <w:tc>
          <w:tcPr>
            <w:tcW w:w="327" w:type="pct"/>
            <w:tcMar>
              <w:top w:w="15" w:type="dxa"/>
              <w:left w:w="15" w:type="dxa"/>
              <w:bottom w:w="0" w:type="dxa"/>
              <w:right w:w="15" w:type="dxa"/>
            </w:tcMar>
            <w:vAlign w:val="center"/>
          </w:tcPr>
          <w:p w14:paraId="17C1E4CE" w14:textId="77777777" w:rsidR="005F04FE" w:rsidRPr="005F04FE" w:rsidRDefault="005F04FE" w:rsidP="003922A9">
            <w:pPr>
              <w:pStyle w:val="13"/>
              <w:ind w:firstLineChars="0" w:firstLine="0"/>
              <w:jc w:val="right"/>
              <w:rPr>
                <w:sz w:val="18"/>
                <w:szCs w:val="18"/>
              </w:rPr>
            </w:pPr>
            <w:r w:rsidRPr="005F04FE">
              <w:rPr>
                <w:sz w:val="18"/>
                <w:szCs w:val="18"/>
              </w:rPr>
              <w:t>38%</w:t>
            </w:r>
          </w:p>
        </w:tc>
        <w:tc>
          <w:tcPr>
            <w:tcW w:w="327" w:type="pct"/>
            <w:tcMar>
              <w:top w:w="15" w:type="dxa"/>
              <w:left w:w="15" w:type="dxa"/>
              <w:bottom w:w="0" w:type="dxa"/>
              <w:right w:w="15" w:type="dxa"/>
            </w:tcMar>
            <w:vAlign w:val="center"/>
          </w:tcPr>
          <w:p w14:paraId="047381F7" w14:textId="77777777" w:rsidR="005F04FE" w:rsidRPr="005F04FE" w:rsidRDefault="005F04FE" w:rsidP="003922A9">
            <w:pPr>
              <w:pStyle w:val="13"/>
              <w:ind w:firstLineChars="0" w:firstLine="0"/>
              <w:jc w:val="right"/>
              <w:rPr>
                <w:sz w:val="18"/>
                <w:szCs w:val="18"/>
              </w:rPr>
            </w:pPr>
            <w:r w:rsidRPr="005F04FE">
              <w:rPr>
                <w:sz w:val="18"/>
                <w:szCs w:val="18"/>
              </w:rPr>
              <w:t>39%</w:t>
            </w:r>
          </w:p>
        </w:tc>
        <w:tc>
          <w:tcPr>
            <w:tcW w:w="327" w:type="pct"/>
            <w:tcMar>
              <w:top w:w="15" w:type="dxa"/>
              <w:left w:w="15" w:type="dxa"/>
              <w:bottom w:w="0" w:type="dxa"/>
              <w:right w:w="15" w:type="dxa"/>
            </w:tcMar>
            <w:vAlign w:val="center"/>
          </w:tcPr>
          <w:p w14:paraId="5E4D8D03" w14:textId="77777777" w:rsidR="005F04FE" w:rsidRPr="005F04FE" w:rsidRDefault="005F04FE" w:rsidP="003922A9">
            <w:pPr>
              <w:pStyle w:val="13"/>
              <w:ind w:firstLineChars="0" w:firstLine="0"/>
              <w:jc w:val="right"/>
              <w:rPr>
                <w:sz w:val="18"/>
                <w:szCs w:val="18"/>
              </w:rPr>
            </w:pPr>
            <w:r w:rsidRPr="005F04FE">
              <w:rPr>
                <w:sz w:val="18"/>
                <w:szCs w:val="18"/>
              </w:rPr>
              <w:t>39%</w:t>
            </w:r>
          </w:p>
        </w:tc>
      </w:tr>
      <w:tr w:rsidR="005F04FE" w:rsidRPr="005F04FE" w14:paraId="650CE1B1" w14:textId="77777777" w:rsidTr="003922A9">
        <w:trPr>
          <w:trHeight w:val="186"/>
        </w:trPr>
        <w:tc>
          <w:tcPr>
            <w:tcW w:w="1078" w:type="pct"/>
            <w:tcMar>
              <w:top w:w="15" w:type="dxa"/>
              <w:left w:w="15" w:type="dxa"/>
              <w:bottom w:w="0" w:type="dxa"/>
              <w:right w:w="15" w:type="dxa"/>
            </w:tcMar>
            <w:vAlign w:val="center"/>
          </w:tcPr>
          <w:p w14:paraId="694C55FB" w14:textId="77777777" w:rsidR="005F04FE" w:rsidRPr="005F04FE" w:rsidRDefault="005F04FE" w:rsidP="003922A9">
            <w:pPr>
              <w:pStyle w:val="13"/>
              <w:ind w:firstLineChars="0" w:firstLine="0"/>
              <w:rPr>
                <w:sz w:val="18"/>
                <w:szCs w:val="18"/>
              </w:rPr>
            </w:pPr>
            <w:r w:rsidRPr="005F04FE">
              <w:rPr>
                <w:sz w:val="18"/>
                <w:szCs w:val="18"/>
              </w:rPr>
              <w:t>活动人力月均产能（元）</w:t>
            </w:r>
          </w:p>
        </w:tc>
        <w:tc>
          <w:tcPr>
            <w:tcW w:w="327" w:type="pct"/>
            <w:tcMar>
              <w:top w:w="15" w:type="dxa"/>
              <w:left w:w="15" w:type="dxa"/>
              <w:bottom w:w="0" w:type="dxa"/>
              <w:right w:w="15" w:type="dxa"/>
            </w:tcMar>
            <w:vAlign w:val="center"/>
          </w:tcPr>
          <w:p w14:paraId="308B752C" w14:textId="77777777" w:rsidR="005F04FE" w:rsidRPr="005F04FE" w:rsidRDefault="005F04FE" w:rsidP="003922A9">
            <w:pPr>
              <w:pStyle w:val="13"/>
              <w:ind w:firstLineChars="0" w:firstLine="0"/>
              <w:jc w:val="right"/>
              <w:rPr>
                <w:sz w:val="18"/>
                <w:szCs w:val="18"/>
              </w:rPr>
            </w:pPr>
            <w:r w:rsidRPr="005F04FE">
              <w:rPr>
                <w:sz w:val="18"/>
                <w:szCs w:val="18"/>
              </w:rPr>
              <w:t>13,555</w:t>
            </w:r>
          </w:p>
        </w:tc>
        <w:tc>
          <w:tcPr>
            <w:tcW w:w="327" w:type="pct"/>
            <w:tcMar>
              <w:top w:w="15" w:type="dxa"/>
              <w:left w:w="15" w:type="dxa"/>
              <w:bottom w:w="0" w:type="dxa"/>
              <w:right w:w="15" w:type="dxa"/>
            </w:tcMar>
            <w:vAlign w:val="center"/>
          </w:tcPr>
          <w:p w14:paraId="711ADD8B" w14:textId="77777777" w:rsidR="005F04FE" w:rsidRPr="005F04FE" w:rsidRDefault="005F04FE" w:rsidP="003922A9">
            <w:pPr>
              <w:pStyle w:val="13"/>
              <w:ind w:firstLineChars="0" w:firstLine="0"/>
              <w:jc w:val="right"/>
              <w:rPr>
                <w:sz w:val="18"/>
                <w:szCs w:val="18"/>
              </w:rPr>
            </w:pPr>
            <w:r w:rsidRPr="005F04FE">
              <w:rPr>
                <w:sz w:val="18"/>
                <w:szCs w:val="18"/>
              </w:rPr>
              <w:t>14,187</w:t>
            </w:r>
          </w:p>
        </w:tc>
        <w:tc>
          <w:tcPr>
            <w:tcW w:w="327" w:type="pct"/>
            <w:tcMar>
              <w:top w:w="15" w:type="dxa"/>
              <w:left w:w="15" w:type="dxa"/>
              <w:bottom w:w="0" w:type="dxa"/>
              <w:right w:w="15" w:type="dxa"/>
            </w:tcMar>
            <w:vAlign w:val="center"/>
          </w:tcPr>
          <w:p w14:paraId="2EB1FF0E" w14:textId="77777777" w:rsidR="005F04FE" w:rsidRPr="005F04FE" w:rsidRDefault="005F04FE" w:rsidP="003922A9">
            <w:pPr>
              <w:pStyle w:val="13"/>
              <w:ind w:firstLineChars="0" w:firstLine="0"/>
              <w:jc w:val="right"/>
              <w:rPr>
                <w:sz w:val="18"/>
                <w:szCs w:val="18"/>
              </w:rPr>
            </w:pPr>
            <w:r w:rsidRPr="005F04FE">
              <w:rPr>
                <w:sz w:val="18"/>
                <w:szCs w:val="18"/>
              </w:rPr>
              <w:t>14,958</w:t>
            </w:r>
          </w:p>
        </w:tc>
        <w:tc>
          <w:tcPr>
            <w:tcW w:w="327" w:type="pct"/>
            <w:tcMar>
              <w:top w:w="15" w:type="dxa"/>
              <w:left w:w="15" w:type="dxa"/>
              <w:bottom w:w="0" w:type="dxa"/>
              <w:right w:w="15" w:type="dxa"/>
            </w:tcMar>
            <w:vAlign w:val="center"/>
          </w:tcPr>
          <w:p w14:paraId="7D9282BD" w14:textId="77777777" w:rsidR="005F04FE" w:rsidRPr="005F04FE" w:rsidRDefault="005F04FE" w:rsidP="003922A9">
            <w:pPr>
              <w:pStyle w:val="13"/>
              <w:ind w:firstLineChars="0" w:firstLine="0"/>
              <w:jc w:val="right"/>
              <w:rPr>
                <w:sz w:val="18"/>
                <w:szCs w:val="18"/>
              </w:rPr>
            </w:pPr>
            <w:r w:rsidRPr="005F04FE">
              <w:rPr>
                <w:sz w:val="18"/>
                <w:szCs w:val="18"/>
              </w:rPr>
              <w:t>15,379</w:t>
            </w:r>
          </w:p>
        </w:tc>
        <w:tc>
          <w:tcPr>
            <w:tcW w:w="327" w:type="pct"/>
            <w:tcMar>
              <w:top w:w="15" w:type="dxa"/>
              <w:left w:w="15" w:type="dxa"/>
              <w:bottom w:w="0" w:type="dxa"/>
              <w:right w:w="15" w:type="dxa"/>
            </w:tcMar>
            <w:vAlign w:val="center"/>
          </w:tcPr>
          <w:p w14:paraId="78AE97E0" w14:textId="77777777" w:rsidR="005F04FE" w:rsidRPr="005F04FE" w:rsidRDefault="005F04FE" w:rsidP="003922A9">
            <w:pPr>
              <w:pStyle w:val="13"/>
              <w:ind w:firstLineChars="0" w:firstLine="0"/>
              <w:jc w:val="right"/>
              <w:rPr>
                <w:sz w:val="18"/>
                <w:szCs w:val="18"/>
              </w:rPr>
            </w:pPr>
            <w:r w:rsidRPr="005F04FE">
              <w:rPr>
                <w:sz w:val="18"/>
                <w:szCs w:val="18"/>
              </w:rPr>
              <w:t>15,687</w:t>
            </w:r>
          </w:p>
        </w:tc>
        <w:tc>
          <w:tcPr>
            <w:tcW w:w="327" w:type="pct"/>
            <w:tcMar>
              <w:top w:w="15" w:type="dxa"/>
              <w:left w:w="15" w:type="dxa"/>
              <w:bottom w:w="0" w:type="dxa"/>
              <w:right w:w="15" w:type="dxa"/>
            </w:tcMar>
            <w:vAlign w:val="center"/>
          </w:tcPr>
          <w:p w14:paraId="5D055918" w14:textId="77777777" w:rsidR="005F04FE" w:rsidRPr="005F04FE" w:rsidRDefault="005F04FE" w:rsidP="003922A9">
            <w:pPr>
              <w:pStyle w:val="13"/>
              <w:ind w:firstLineChars="0" w:firstLine="0"/>
              <w:jc w:val="right"/>
              <w:rPr>
                <w:sz w:val="18"/>
                <w:szCs w:val="18"/>
              </w:rPr>
            </w:pPr>
            <w:r w:rsidRPr="005F04FE">
              <w:rPr>
                <w:sz w:val="18"/>
                <w:szCs w:val="18"/>
              </w:rPr>
              <w:t>15,873</w:t>
            </w:r>
          </w:p>
        </w:tc>
        <w:tc>
          <w:tcPr>
            <w:tcW w:w="327" w:type="pct"/>
            <w:tcMar>
              <w:top w:w="15" w:type="dxa"/>
              <w:left w:w="15" w:type="dxa"/>
              <w:bottom w:w="0" w:type="dxa"/>
              <w:right w:w="15" w:type="dxa"/>
            </w:tcMar>
            <w:vAlign w:val="center"/>
          </w:tcPr>
          <w:p w14:paraId="3137DD23" w14:textId="77777777" w:rsidR="005F04FE" w:rsidRPr="005F04FE" w:rsidRDefault="005F04FE" w:rsidP="003922A9">
            <w:pPr>
              <w:pStyle w:val="13"/>
              <w:ind w:firstLineChars="0" w:firstLine="0"/>
              <w:jc w:val="right"/>
              <w:rPr>
                <w:sz w:val="18"/>
                <w:szCs w:val="18"/>
              </w:rPr>
            </w:pPr>
            <w:r w:rsidRPr="005F04FE">
              <w:rPr>
                <w:sz w:val="18"/>
                <w:szCs w:val="18"/>
              </w:rPr>
              <w:t>16,072</w:t>
            </w:r>
          </w:p>
        </w:tc>
        <w:tc>
          <w:tcPr>
            <w:tcW w:w="327" w:type="pct"/>
            <w:tcMar>
              <w:top w:w="15" w:type="dxa"/>
              <w:left w:w="15" w:type="dxa"/>
              <w:bottom w:w="0" w:type="dxa"/>
              <w:right w:w="15" w:type="dxa"/>
            </w:tcMar>
            <w:vAlign w:val="center"/>
          </w:tcPr>
          <w:p w14:paraId="472B6560" w14:textId="77777777" w:rsidR="005F04FE" w:rsidRPr="005F04FE" w:rsidRDefault="005F04FE" w:rsidP="003922A9">
            <w:pPr>
              <w:pStyle w:val="13"/>
              <w:ind w:firstLineChars="0" w:firstLine="0"/>
              <w:jc w:val="right"/>
              <w:rPr>
                <w:sz w:val="18"/>
                <w:szCs w:val="18"/>
              </w:rPr>
            </w:pPr>
            <w:r w:rsidRPr="005F04FE">
              <w:rPr>
                <w:sz w:val="18"/>
                <w:szCs w:val="18"/>
              </w:rPr>
              <w:t>16,139</w:t>
            </w:r>
          </w:p>
        </w:tc>
        <w:tc>
          <w:tcPr>
            <w:tcW w:w="327" w:type="pct"/>
            <w:tcMar>
              <w:top w:w="15" w:type="dxa"/>
              <w:left w:w="15" w:type="dxa"/>
              <w:bottom w:w="0" w:type="dxa"/>
              <w:right w:w="15" w:type="dxa"/>
            </w:tcMar>
            <w:vAlign w:val="center"/>
          </w:tcPr>
          <w:p w14:paraId="66DCEFA9" w14:textId="77777777" w:rsidR="005F04FE" w:rsidRPr="005F04FE" w:rsidRDefault="005F04FE" w:rsidP="003922A9">
            <w:pPr>
              <w:pStyle w:val="13"/>
              <w:ind w:firstLineChars="0" w:firstLine="0"/>
              <w:jc w:val="right"/>
              <w:rPr>
                <w:sz w:val="18"/>
                <w:szCs w:val="18"/>
              </w:rPr>
            </w:pPr>
            <w:r w:rsidRPr="005F04FE">
              <w:rPr>
                <w:sz w:val="18"/>
                <w:szCs w:val="18"/>
              </w:rPr>
              <w:t>16,431</w:t>
            </w:r>
          </w:p>
        </w:tc>
        <w:tc>
          <w:tcPr>
            <w:tcW w:w="327" w:type="pct"/>
            <w:tcMar>
              <w:top w:w="15" w:type="dxa"/>
              <w:left w:w="15" w:type="dxa"/>
              <w:bottom w:w="0" w:type="dxa"/>
              <w:right w:w="15" w:type="dxa"/>
            </w:tcMar>
            <w:vAlign w:val="center"/>
          </w:tcPr>
          <w:p w14:paraId="44E313CA" w14:textId="77777777" w:rsidR="005F04FE" w:rsidRPr="005F04FE" w:rsidRDefault="005F04FE" w:rsidP="003922A9">
            <w:pPr>
              <w:pStyle w:val="13"/>
              <w:ind w:firstLineChars="0" w:firstLine="0"/>
              <w:jc w:val="right"/>
              <w:rPr>
                <w:sz w:val="18"/>
                <w:szCs w:val="18"/>
              </w:rPr>
            </w:pPr>
            <w:r w:rsidRPr="005F04FE">
              <w:rPr>
                <w:sz w:val="18"/>
                <w:szCs w:val="18"/>
              </w:rPr>
              <w:t>16,576</w:t>
            </w:r>
          </w:p>
        </w:tc>
        <w:tc>
          <w:tcPr>
            <w:tcW w:w="327" w:type="pct"/>
            <w:tcMar>
              <w:top w:w="15" w:type="dxa"/>
              <w:left w:w="15" w:type="dxa"/>
              <w:bottom w:w="0" w:type="dxa"/>
              <w:right w:w="15" w:type="dxa"/>
            </w:tcMar>
            <w:vAlign w:val="center"/>
          </w:tcPr>
          <w:p w14:paraId="567B0DB7" w14:textId="77777777" w:rsidR="005F04FE" w:rsidRPr="005F04FE" w:rsidRDefault="005F04FE" w:rsidP="003922A9">
            <w:pPr>
              <w:pStyle w:val="13"/>
              <w:ind w:firstLineChars="0" w:firstLine="0"/>
              <w:jc w:val="right"/>
              <w:rPr>
                <w:sz w:val="18"/>
                <w:szCs w:val="18"/>
              </w:rPr>
            </w:pPr>
            <w:r w:rsidRPr="005F04FE">
              <w:rPr>
                <w:sz w:val="18"/>
                <w:szCs w:val="18"/>
              </w:rPr>
              <w:t>16,720</w:t>
            </w:r>
          </w:p>
        </w:tc>
        <w:tc>
          <w:tcPr>
            <w:tcW w:w="327" w:type="pct"/>
            <w:tcMar>
              <w:top w:w="15" w:type="dxa"/>
              <w:left w:w="15" w:type="dxa"/>
              <w:bottom w:w="0" w:type="dxa"/>
              <w:right w:w="15" w:type="dxa"/>
            </w:tcMar>
            <w:vAlign w:val="center"/>
          </w:tcPr>
          <w:p w14:paraId="49C9FD72" w14:textId="77777777" w:rsidR="005F04FE" w:rsidRPr="005F04FE" w:rsidRDefault="005F04FE" w:rsidP="003922A9">
            <w:pPr>
              <w:pStyle w:val="13"/>
              <w:ind w:firstLineChars="0" w:firstLine="0"/>
              <w:jc w:val="right"/>
              <w:rPr>
                <w:sz w:val="18"/>
                <w:szCs w:val="18"/>
              </w:rPr>
            </w:pPr>
            <w:r w:rsidRPr="005F04FE">
              <w:rPr>
                <w:sz w:val="18"/>
                <w:szCs w:val="18"/>
              </w:rPr>
              <w:t>16,711</w:t>
            </w:r>
          </w:p>
        </w:tc>
      </w:tr>
      <w:tr w:rsidR="005F04FE" w:rsidRPr="005F04FE" w14:paraId="2384423E" w14:textId="77777777" w:rsidTr="003922A9">
        <w:trPr>
          <w:trHeight w:val="186"/>
        </w:trPr>
        <w:tc>
          <w:tcPr>
            <w:tcW w:w="1078" w:type="pct"/>
            <w:tcMar>
              <w:top w:w="15" w:type="dxa"/>
              <w:left w:w="15" w:type="dxa"/>
              <w:bottom w:w="0" w:type="dxa"/>
              <w:right w:w="15" w:type="dxa"/>
            </w:tcMar>
            <w:vAlign w:val="center"/>
          </w:tcPr>
          <w:p w14:paraId="3A3B36FE" w14:textId="77777777" w:rsidR="005F04FE" w:rsidRPr="005F04FE" w:rsidRDefault="005F04FE" w:rsidP="003922A9">
            <w:pPr>
              <w:pStyle w:val="13"/>
              <w:ind w:firstLineChars="0" w:firstLine="0"/>
              <w:rPr>
                <w:sz w:val="18"/>
                <w:szCs w:val="18"/>
              </w:rPr>
            </w:pPr>
            <w:r w:rsidRPr="005F04FE">
              <w:rPr>
                <w:sz w:val="18"/>
                <w:szCs w:val="18"/>
              </w:rPr>
              <w:t>活动人力月均</w:t>
            </w:r>
          </w:p>
          <w:p w14:paraId="0CB97323" w14:textId="77777777" w:rsidR="005F04FE" w:rsidRPr="005F04FE" w:rsidRDefault="005F04FE" w:rsidP="003922A9">
            <w:pPr>
              <w:pStyle w:val="13"/>
              <w:ind w:firstLineChars="0" w:firstLine="0"/>
              <w:rPr>
                <w:sz w:val="18"/>
                <w:szCs w:val="18"/>
              </w:rPr>
            </w:pPr>
            <w:r w:rsidRPr="005F04FE">
              <w:rPr>
                <w:sz w:val="18"/>
                <w:szCs w:val="18"/>
              </w:rPr>
              <w:t>产能增长率</w:t>
            </w:r>
          </w:p>
        </w:tc>
        <w:tc>
          <w:tcPr>
            <w:tcW w:w="327" w:type="pct"/>
            <w:tcMar>
              <w:top w:w="15" w:type="dxa"/>
              <w:left w:w="15" w:type="dxa"/>
              <w:bottom w:w="0" w:type="dxa"/>
              <w:right w:w="15" w:type="dxa"/>
            </w:tcMar>
            <w:vAlign w:val="center"/>
          </w:tcPr>
          <w:p w14:paraId="4182B66B"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4E9D0342" w14:textId="77777777" w:rsidR="005F04FE" w:rsidRPr="005F04FE" w:rsidRDefault="005F04FE" w:rsidP="003922A9">
            <w:pPr>
              <w:pStyle w:val="13"/>
              <w:ind w:firstLineChars="0" w:firstLine="0"/>
              <w:jc w:val="right"/>
              <w:rPr>
                <w:sz w:val="18"/>
                <w:szCs w:val="18"/>
              </w:rPr>
            </w:pPr>
            <w:r w:rsidRPr="005F04FE">
              <w:rPr>
                <w:sz w:val="18"/>
                <w:szCs w:val="18"/>
              </w:rPr>
              <w:t>5%</w:t>
            </w:r>
          </w:p>
        </w:tc>
        <w:tc>
          <w:tcPr>
            <w:tcW w:w="327" w:type="pct"/>
            <w:tcMar>
              <w:top w:w="15" w:type="dxa"/>
              <w:left w:w="15" w:type="dxa"/>
              <w:bottom w:w="0" w:type="dxa"/>
              <w:right w:w="15" w:type="dxa"/>
            </w:tcMar>
            <w:vAlign w:val="center"/>
          </w:tcPr>
          <w:p w14:paraId="7892D364" w14:textId="77777777" w:rsidR="005F04FE" w:rsidRPr="005F04FE" w:rsidRDefault="005F04FE" w:rsidP="003922A9">
            <w:pPr>
              <w:pStyle w:val="13"/>
              <w:ind w:firstLineChars="0" w:firstLine="0"/>
              <w:jc w:val="right"/>
              <w:rPr>
                <w:sz w:val="18"/>
                <w:szCs w:val="18"/>
              </w:rPr>
            </w:pPr>
            <w:r w:rsidRPr="005F04FE">
              <w:rPr>
                <w:sz w:val="18"/>
                <w:szCs w:val="18"/>
              </w:rPr>
              <w:t>5%</w:t>
            </w:r>
          </w:p>
        </w:tc>
        <w:tc>
          <w:tcPr>
            <w:tcW w:w="327" w:type="pct"/>
            <w:tcMar>
              <w:top w:w="15" w:type="dxa"/>
              <w:left w:w="15" w:type="dxa"/>
              <w:bottom w:w="0" w:type="dxa"/>
              <w:right w:w="15" w:type="dxa"/>
            </w:tcMar>
            <w:vAlign w:val="center"/>
          </w:tcPr>
          <w:p w14:paraId="33C48A0E" w14:textId="77777777" w:rsidR="005F04FE" w:rsidRPr="005F04FE" w:rsidRDefault="005F04FE" w:rsidP="003922A9">
            <w:pPr>
              <w:pStyle w:val="13"/>
              <w:ind w:firstLineChars="0" w:firstLine="0"/>
              <w:jc w:val="right"/>
              <w:rPr>
                <w:sz w:val="18"/>
                <w:szCs w:val="18"/>
              </w:rPr>
            </w:pPr>
            <w:r w:rsidRPr="005F04FE">
              <w:rPr>
                <w:sz w:val="18"/>
                <w:szCs w:val="18"/>
              </w:rPr>
              <w:t>3%</w:t>
            </w:r>
          </w:p>
        </w:tc>
        <w:tc>
          <w:tcPr>
            <w:tcW w:w="327" w:type="pct"/>
            <w:tcMar>
              <w:top w:w="15" w:type="dxa"/>
              <w:left w:w="15" w:type="dxa"/>
              <w:bottom w:w="0" w:type="dxa"/>
              <w:right w:w="15" w:type="dxa"/>
            </w:tcMar>
            <w:vAlign w:val="center"/>
          </w:tcPr>
          <w:p w14:paraId="15F11620" w14:textId="77777777" w:rsidR="005F04FE" w:rsidRPr="005F04FE" w:rsidRDefault="005F04FE" w:rsidP="003922A9">
            <w:pPr>
              <w:pStyle w:val="13"/>
              <w:ind w:firstLineChars="0" w:firstLine="0"/>
              <w:jc w:val="right"/>
              <w:rPr>
                <w:sz w:val="18"/>
                <w:szCs w:val="18"/>
              </w:rPr>
            </w:pPr>
            <w:r w:rsidRPr="005F04FE">
              <w:rPr>
                <w:sz w:val="18"/>
                <w:szCs w:val="18"/>
              </w:rPr>
              <w:t>2%</w:t>
            </w:r>
          </w:p>
        </w:tc>
        <w:tc>
          <w:tcPr>
            <w:tcW w:w="327" w:type="pct"/>
            <w:tcMar>
              <w:top w:w="15" w:type="dxa"/>
              <w:left w:w="15" w:type="dxa"/>
              <w:bottom w:w="0" w:type="dxa"/>
              <w:right w:w="15" w:type="dxa"/>
            </w:tcMar>
            <w:vAlign w:val="center"/>
          </w:tcPr>
          <w:p w14:paraId="5CEA97B3" w14:textId="77777777" w:rsidR="005F04FE" w:rsidRPr="005F04FE" w:rsidRDefault="005F04FE" w:rsidP="003922A9">
            <w:pPr>
              <w:pStyle w:val="13"/>
              <w:ind w:firstLineChars="0" w:firstLine="0"/>
              <w:jc w:val="right"/>
              <w:rPr>
                <w:sz w:val="18"/>
                <w:szCs w:val="18"/>
              </w:rPr>
            </w:pPr>
            <w:r w:rsidRPr="005F04FE">
              <w:rPr>
                <w:sz w:val="18"/>
                <w:szCs w:val="18"/>
              </w:rPr>
              <w:t>1%</w:t>
            </w:r>
          </w:p>
        </w:tc>
        <w:tc>
          <w:tcPr>
            <w:tcW w:w="327" w:type="pct"/>
            <w:tcMar>
              <w:top w:w="15" w:type="dxa"/>
              <w:left w:w="15" w:type="dxa"/>
              <w:bottom w:w="0" w:type="dxa"/>
              <w:right w:w="15" w:type="dxa"/>
            </w:tcMar>
            <w:vAlign w:val="center"/>
          </w:tcPr>
          <w:p w14:paraId="2ECA9235" w14:textId="77777777" w:rsidR="005F04FE" w:rsidRPr="005F04FE" w:rsidRDefault="005F04FE" w:rsidP="003922A9">
            <w:pPr>
              <w:pStyle w:val="13"/>
              <w:ind w:firstLineChars="0" w:firstLine="0"/>
              <w:jc w:val="right"/>
              <w:rPr>
                <w:sz w:val="18"/>
                <w:szCs w:val="18"/>
              </w:rPr>
            </w:pPr>
            <w:r w:rsidRPr="005F04FE">
              <w:rPr>
                <w:sz w:val="18"/>
                <w:szCs w:val="18"/>
              </w:rPr>
              <w:t>1%</w:t>
            </w:r>
          </w:p>
        </w:tc>
        <w:tc>
          <w:tcPr>
            <w:tcW w:w="327" w:type="pct"/>
            <w:tcMar>
              <w:top w:w="15" w:type="dxa"/>
              <w:left w:w="15" w:type="dxa"/>
              <w:bottom w:w="0" w:type="dxa"/>
              <w:right w:w="15" w:type="dxa"/>
            </w:tcMar>
            <w:vAlign w:val="center"/>
          </w:tcPr>
          <w:p w14:paraId="2C57CF7A" w14:textId="77777777" w:rsidR="005F04FE" w:rsidRPr="005F04FE" w:rsidRDefault="005F04FE" w:rsidP="003922A9">
            <w:pPr>
              <w:pStyle w:val="13"/>
              <w:ind w:firstLineChars="0" w:firstLine="0"/>
              <w:jc w:val="right"/>
              <w:rPr>
                <w:sz w:val="18"/>
                <w:szCs w:val="18"/>
              </w:rPr>
            </w:pPr>
            <w:r w:rsidRPr="005F04FE">
              <w:rPr>
                <w:sz w:val="18"/>
                <w:szCs w:val="18"/>
              </w:rPr>
              <w:t>0%</w:t>
            </w:r>
          </w:p>
        </w:tc>
        <w:tc>
          <w:tcPr>
            <w:tcW w:w="327" w:type="pct"/>
            <w:tcMar>
              <w:top w:w="15" w:type="dxa"/>
              <w:left w:w="15" w:type="dxa"/>
              <w:bottom w:w="0" w:type="dxa"/>
              <w:right w:w="15" w:type="dxa"/>
            </w:tcMar>
            <w:vAlign w:val="center"/>
          </w:tcPr>
          <w:p w14:paraId="3FBF3517" w14:textId="77777777" w:rsidR="005F04FE" w:rsidRPr="005F04FE" w:rsidRDefault="005F04FE" w:rsidP="003922A9">
            <w:pPr>
              <w:pStyle w:val="13"/>
              <w:ind w:firstLineChars="0" w:firstLine="0"/>
              <w:jc w:val="right"/>
              <w:rPr>
                <w:sz w:val="18"/>
                <w:szCs w:val="18"/>
              </w:rPr>
            </w:pPr>
            <w:r w:rsidRPr="005F04FE">
              <w:rPr>
                <w:sz w:val="18"/>
                <w:szCs w:val="18"/>
              </w:rPr>
              <w:t>2%</w:t>
            </w:r>
          </w:p>
        </w:tc>
        <w:tc>
          <w:tcPr>
            <w:tcW w:w="327" w:type="pct"/>
            <w:tcMar>
              <w:top w:w="15" w:type="dxa"/>
              <w:left w:w="15" w:type="dxa"/>
              <w:bottom w:w="0" w:type="dxa"/>
              <w:right w:w="15" w:type="dxa"/>
            </w:tcMar>
            <w:vAlign w:val="center"/>
          </w:tcPr>
          <w:p w14:paraId="25648EEB" w14:textId="77777777" w:rsidR="005F04FE" w:rsidRPr="005F04FE" w:rsidRDefault="005F04FE" w:rsidP="003922A9">
            <w:pPr>
              <w:pStyle w:val="13"/>
              <w:ind w:firstLineChars="0" w:firstLine="0"/>
              <w:jc w:val="right"/>
              <w:rPr>
                <w:sz w:val="18"/>
                <w:szCs w:val="18"/>
              </w:rPr>
            </w:pPr>
            <w:r w:rsidRPr="005F04FE">
              <w:rPr>
                <w:sz w:val="18"/>
                <w:szCs w:val="18"/>
              </w:rPr>
              <w:t>1%</w:t>
            </w:r>
          </w:p>
        </w:tc>
        <w:tc>
          <w:tcPr>
            <w:tcW w:w="327" w:type="pct"/>
            <w:tcMar>
              <w:top w:w="15" w:type="dxa"/>
              <w:left w:w="15" w:type="dxa"/>
              <w:bottom w:w="0" w:type="dxa"/>
              <w:right w:w="15" w:type="dxa"/>
            </w:tcMar>
            <w:vAlign w:val="center"/>
          </w:tcPr>
          <w:p w14:paraId="1DCBA5DD" w14:textId="77777777" w:rsidR="005F04FE" w:rsidRPr="005F04FE" w:rsidRDefault="005F04FE" w:rsidP="003922A9">
            <w:pPr>
              <w:pStyle w:val="13"/>
              <w:ind w:firstLineChars="0" w:firstLine="0"/>
              <w:jc w:val="right"/>
              <w:rPr>
                <w:sz w:val="18"/>
                <w:szCs w:val="18"/>
              </w:rPr>
            </w:pPr>
            <w:r w:rsidRPr="005F04FE">
              <w:rPr>
                <w:sz w:val="18"/>
                <w:szCs w:val="18"/>
              </w:rPr>
              <w:t>1%</w:t>
            </w:r>
          </w:p>
        </w:tc>
        <w:tc>
          <w:tcPr>
            <w:tcW w:w="327" w:type="pct"/>
            <w:tcMar>
              <w:top w:w="15" w:type="dxa"/>
              <w:left w:w="15" w:type="dxa"/>
              <w:bottom w:w="0" w:type="dxa"/>
              <w:right w:w="15" w:type="dxa"/>
            </w:tcMar>
            <w:vAlign w:val="center"/>
          </w:tcPr>
          <w:p w14:paraId="28A6D69E" w14:textId="77777777" w:rsidR="005F04FE" w:rsidRPr="005F04FE" w:rsidRDefault="005F04FE" w:rsidP="003922A9">
            <w:pPr>
              <w:pStyle w:val="13"/>
              <w:ind w:firstLineChars="0" w:firstLine="0"/>
              <w:jc w:val="right"/>
              <w:rPr>
                <w:sz w:val="18"/>
                <w:szCs w:val="18"/>
              </w:rPr>
            </w:pPr>
            <w:r w:rsidRPr="005F04FE">
              <w:rPr>
                <w:sz w:val="18"/>
                <w:szCs w:val="18"/>
              </w:rPr>
              <w:t>0%</w:t>
            </w:r>
          </w:p>
        </w:tc>
      </w:tr>
      <w:tr w:rsidR="005F04FE" w:rsidRPr="005F04FE" w14:paraId="26A99255" w14:textId="77777777" w:rsidTr="003922A9">
        <w:trPr>
          <w:trHeight w:val="186"/>
        </w:trPr>
        <w:tc>
          <w:tcPr>
            <w:tcW w:w="1078" w:type="pct"/>
            <w:tcMar>
              <w:top w:w="15" w:type="dxa"/>
              <w:left w:w="15" w:type="dxa"/>
              <w:bottom w:w="0" w:type="dxa"/>
              <w:right w:w="15" w:type="dxa"/>
            </w:tcMar>
            <w:vAlign w:val="center"/>
          </w:tcPr>
          <w:p w14:paraId="23EE0C02" w14:textId="77777777" w:rsidR="005F04FE" w:rsidRPr="005F04FE" w:rsidRDefault="005F04FE" w:rsidP="003922A9">
            <w:pPr>
              <w:pStyle w:val="13"/>
              <w:ind w:firstLineChars="0" w:firstLine="0"/>
              <w:rPr>
                <w:sz w:val="18"/>
                <w:szCs w:val="18"/>
              </w:rPr>
            </w:pPr>
            <w:r w:rsidRPr="005F04FE">
              <w:rPr>
                <w:sz w:val="18"/>
                <w:szCs w:val="18"/>
              </w:rPr>
              <w:t>ANP（百万元）</w:t>
            </w:r>
          </w:p>
        </w:tc>
        <w:tc>
          <w:tcPr>
            <w:tcW w:w="327" w:type="pct"/>
            <w:tcMar>
              <w:top w:w="15" w:type="dxa"/>
              <w:left w:w="15" w:type="dxa"/>
              <w:bottom w:w="0" w:type="dxa"/>
              <w:right w:w="15" w:type="dxa"/>
            </w:tcMar>
            <w:vAlign w:val="center"/>
          </w:tcPr>
          <w:p w14:paraId="7E4F6723" w14:textId="77777777" w:rsidR="005F04FE" w:rsidRPr="005F04FE" w:rsidRDefault="005F04FE" w:rsidP="003922A9">
            <w:pPr>
              <w:pStyle w:val="13"/>
              <w:ind w:firstLineChars="0" w:firstLine="0"/>
              <w:jc w:val="right"/>
              <w:rPr>
                <w:sz w:val="18"/>
                <w:szCs w:val="18"/>
              </w:rPr>
            </w:pPr>
            <w:r w:rsidRPr="005F04FE">
              <w:rPr>
                <w:sz w:val="18"/>
                <w:szCs w:val="18"/>
              </w:rPr>
              <w:t>126</w:t>
            </w:r>
          </w:p>
        </w:tc>
        <w:tc>
          <w:tcPr>
            <w:tcW w:w="327" w:type="pct"/>
            <w:tcMar>
              <w:top w:w="15" w:type="dxa"/>
              <w:left w:w="15" w:type="dxa"/>
              <w:bottom w:w="0" w:type="dxa"/>
              <w:right w:w="15" w:type="dxa"/>
            </w:tcMar>
            <w:vAlign w:val="center"/>
          </w:tcPr>
          <w:p w14:paraId="4734B5AE" w14:textId="77777777" w:rsidR="005F04FE" w:rsidRPr="005F04FE" w:rsidRDefault="005F04FE" w:rsidP="003922A9">
            <w:pPr>
              <w:pStyle w:val="13"/>
              <w:ind w:firstLineChars="0" w:firstLine="0"/>
              <w:jc w:val="right"/>
              <w:rPr>
                <w:sz w:val="18"/>
                <w:szCs w:val="18"/>
              </w:rPr>
            </w:pPr>
            <w:r w:rsidRPr="005F04FE">
              <w:rPr>
                <w:sz w:val="18"/>
                <w:szCs w:val="18"/>
              </w:rPr>
              <w:t>143</w:t>
            </w:r>
          </w:p>
        </w:tc>
        <w:tc>
          <w:tcPr>
            <w:tcW w:w="327" w:type="pct"/>
            <w:tcMar>
              <w:top w:w="15" w:type="dxa"/>
              <w:left w:w="15" w:type="dxa"/>
              <w:bottom w:w="0" w:type="dxa"/>
              <w:right w:w="15" w:type="dxa"/>
            </w:tcMar>
            <w:vAlign w:val="center"/>
          </w:tcPr>
          <w:p w14:paraId="4C2AB9BD" w14:textId="77777777" w:rsidR="005F04FE" w:rsidRPr="005F04FE" w:rsidRDefault="005F04FE" w:rsidP="003922A9">
            <w:pPr>
              <w:pStyle w:val="13"/>
              <w:ind w:firstLineChars="0" w:firstLine="0"/>
              <w:jc w:val="right"/>
              <w:rPr>
                <w:sz w:val="18"/>
                <w:szCs w:val="18"/>
              </w:rPr>
            </w:pPr>
            <w:r w:rsidRPr="005F04FE">
              <w:rPr>
                <w:sz w:val="18"/>
                <w:szCs w:val="18"/>
              </w:rPr>
              <w:t>166</w:t>
            </w:r>
          </w:p>
        </w:tc>
        <w:tc>
          <w:tcPr>
            <w:tcW w:w="327" w:type="pct"/>
            <w:tcMar>
              <w:top w:w="15" w:type="dxa"/>
              <w:left w:w="15" w:type="dxa"/>
              <w:bottom w:w="0" w:type="dxa"/>
              <w:right w:w="15" w:type="dxa"/>
            </w:tcMar>
            <w:vAlign w:val="center"/>
          </w:tcPr>
          <w:p w14:paraId="1E246639" w14:textId="77777777" w:rsidR="005F04FE" w:rsidRPr="005F04FE" w:rsidRDefault="005F04FE" w:rsidP="003922A9">
            <w:pPr>
              <w:pStyle w:val="13"/>
              <w:ind w:firstLineChars="0" w:firstLine="0"/>
              <w:jc w:val="right"/>
              <w:rPr>
                <w:sz w:val="18"/>
                <w:szCs w:val="18"/>
              </w:rPr>
            </w:pPr>
            <w:r w:rsidRPr="005F04FE">
              <w:rPr>
                <w:sz w:val="18"/>
                <w:szCs w:val="18"/>
              </w:rPr>
              <w:t>189</w:t>
            </w:r>
          </w:p>
        </w:tc>
        <w:tc>
          <w:tcPr>
            <w:tcW w:w="327" w:type="pct"/>
            <w:tcMar>
              <w:top w:w="15" w:type="dxa"/>
              <w:left w:w="15" w:type="dxa"/>
              <w:bottom w:w="0" w:type="dxa"/>
              <w:right w:w="15" w:type="dxa"/>
            </w:tcMar>
            <w:vAlign w:val="center"/>
          </w:tcPr>
          <w:p w14:paraId="75725505" w14:textId="77777777" w:rsidR="005F04FE" w:rsidRPr="005F04FE" w:rsidRDefault="005F04FE" w:rsidP="003922A9">
            <w:pPr>
              <w:pStyle w:val="13"/>
              <w:ind w:firstLineChars="0" w:firstLine="0"/>
              <w:jc w:val="right"/>
              <w:rPr>
                <w:sz w:val="18"/>
                <w:szCs w:val="18"/>
              </w:rPr>
            </w:pPr>
            <w:r w:rsidRPr="005F04FE">
              <w:rPr>
                <w:sz w:val="18"/>
                <w:szCs w:val="18"/>
              </w:rPr>
              <w:t>214</w:t>
            </w:r>
          </w:p>
        </w:tc>
        <w:tc>
          <w:tcPr>
            <w:tcW w:w="327" w:type="pct"/>
            <w:tcMar>
              <w:top w:w="15" w:type="dxa"/>
              <w:left w:w="15" w:type="dxa"/>
              <w:bottom w:w="0" w:type="dxa"/>
              <w:right w:w="15" w:type="dxa"/>
            </w:tcMar>
            <w:vAlign w:val="center"/>
          </w:tcPr>
          <w:p w14:paraId="3E34A97C" w14:textId="77777777" w:rsidR="005F04FE" w:rsidRPr="005F04FE" w:rsidRDefault="005F04FE" w:rsidP="003922A9">
            <w:pPr>
              <w:pStyle w:val="13"/>
              <w:ind w:firstLineChars="0" w:firstLine="0"/>
              <w:jc w:val="right"/>
              <w:rPr>
                <w:sz w:val="18"/>
                <w:szCs w:val="18"/>
              </w:rPr>
            </w:pPr>
            <w:r w:rsidRPr="005F04FE">
              <w:rPr>
                <w:sz w:val="18"/>
                <w:szCs w:val="18"/>
              </w:rPr>
              <w:t>239</w:t>
            </w:r>
          </w:p>
        </w:tc>
        <w:tc>
          <w:tcPr>
            <w:tcW w:w="327" w:type="pct"/>
            <w:tcMar>
              <w:top w:w="15" w:type="dxa"/>
              <w:left w:w="15" w:type="dxa"/>
              <w:bottom w:w="0" w:type="dxa"/>
              <w:right w:w="15" w:type="dxa"/>
            </w:tcMar>
            <w:vAlign w:val="center"/>
          </w:tcPr>
          <w:p w14:paraId="0556DFE1" w14:textId="77777777" w:rsidR="005F04FE" w:rsidRPr="005F04FE" w:rsidRDefault="005F04FE" w:rsidP="003922A9">
            <w:pPr>
              <w:pStyle w:val="13"/>
              <w:ind w:firstLineChars="0" w:firstLine="0"/>
              <w:jc w:val="right"/>
              <w:rPr>
                <w:sz w:val="18"/>
                <w:szCs w:val="18"/>
              </w:rPr>
            </w:pPr>
            <w:r w:rsidRPr="005F04FE">
              <w:rPr>
                <w:sz w:val="18"/>
                <w:szCs w:val="18"/>
              </w:rPr>
              <w:t>266</w:t>
            </w:r>
          </w:p>
        </w:tc>
        <w:tc>
          <w:tcPr>
            <w:tcW w:w="327" w:type="pct"/>
            <w:tcMar>
              <w:top w:w="15" w:type="dxa"/>
              <w:left w:w="15" w:type="dxa"/>
              <w:bottom w:w="0" w:type="dxa"/>
              <w:right w:w="15" w:type="dxa"/>
            </w:tcMar>
            <w:vAlign w:val="center"/>
          </w:tcPr>
          <w:p w14:paraId="70D76871" w14:textId="77777777" w:rsidR="005F04FE" w:rsidRPr="005F04FE" w:rsidRDefault="005F04FE" w:rsidP="003922A9">
            <w:pPr>
              <w:pStyle w:val="13"/>
              <w:ind w:firstLineChars="0" w:firstLine="0"/>
              <w:jc w:val="right"/>
              <w:rPr>
                <w:sz w:val="18"/>
                <w:szCs w:val="18"/>
              </w:rPr>
            </w:pPr>
            <w:r w:rsidRPr="005F04FE">
              <w:rPr>
                <w:sz w:val="18"/>
                <w:szCs w:val="18"/>
              </w:rPr>
              <w:t>292</w:t>
            </w:r>
          </w:p>
        </w:tc>
        <w:tc>
          <w:tcPr>
            <w:tcW w:w="327" w:type="pct"/>
            <w:tcMar>
              <w:top w:w="15" w:type="dxa"/>
              <w:left w:w="15" w:type="dxa"/>
              <w:bottom w:w="0" w:type="dxa"/>
              <w:right w:w="15" w:type="dxa"/>
            </w:tcMar>
            <w:vAlign w:val="center"/>
          </w:tcPr>
          <w:p w14:paraId="12CEAF9D" w14:textId="77777777" w:rsidR="005F04FE" w:rsidRPr="005F04FE" w:rsidRDefault="005F04FE" w:rsidP="003922A9">
            <w:pPr>
              <w:pStyle w:val="13"/>
              <w:ind w:firstLineChars="0" w:firstLine="0"/>
              <w:jc w:val="right"/>
              <w:rPr>
                <w:sz w:val="18"/>
                <w:szCs w:val="18"/>
              </w:rPr>
            </w:pPr>
            <w:r w:rsidRPr="005F04FE">
              <w:rPr>
                <w:sz w:val="18"/>
                <w:szCs w:val="18"/>
              </w:rPr>
              <w:t>319</w:t>
            </w:r>
          </w:p>
        </w:tc>
        <w:tc>
          <w:tcPr>
            <w:tcW w:w="327" w:type="pct"/>
            <w:tcMar>
              <w:top w:w="15" w:type="dxa"/>
              <w:left w:w="15" w:type="dxa"/>
              <w:bottom w:w="0" w:type="dxa"/>
              <w:right w:w="15" w:type="dxa"/>
            </w:tcMar>
            <w:vAlign w:val="center"/>
          </w:tcPr>
          <w:p w14:paraId="1E33D78E" w14:textId="77777777" w:rsidR="005F04FE" w:rsidRPr="005F04FE" w:rsidRDefault="005F04FE" w:rsidP="003922A9">
            <w:pPr>
              <w:pStyle w:val="13"/>
              <w:ind w:firstLineChars="0" w:firstLine="0"/>
              <w:jc w:val="right"/>
              <w:rPr>
                <w:sz w:val="18"/>
                <w:szCs w:val="18"/>
              </w:rPr>
            </w:pPr>
            <w:r w:rsidRPr="005F04FE">
              <w:rPr>
                <w:sz w:val="18"/>
                <w:szCs w:val="18"/>
              </w:rPr>
              <w:t>344</w:t>
            </w:r>
          </w:p>
        </w:tc>
        <w:tc>
          <w:tcPr>
            <w:tcW w:w="327" w:type="pct"/>
            <w:tcMar>
              <w:top w:w="15" w:type="dxa"/>
              <w:left w:w="15" w:type="dxa"/>
              <w:bottom w:w="0" w:type="dxa"/>
              <w:right w:w="15" w:type="dxa"/>
            </w:tcMar>
            <w:vAlign w:val="center"/>
          </w:tcPr>
          <w:p w14:paraId="45E11AEF" w14:textId="77777777" w:rsidR="005F04FE" w:rsidRPr="005F04FE" w:rsidRDefault="005F04FE" w:rsidP="003922A9">
            <w:pPr>
              <w:pStyle w:val="13"/>
              <w:ind w:firstLineChars="0" w:firstLine="0"/>
              <w:jc w:val="right"/>
              <w:rPr>
                <w:sz w:val="18"/>
                <w:szCs w:val="18"/>
              </w:rPr>
            </w:pPr>
            <w:r w:rsidRPr="005F04FE">
              <w:rPr>
                <w:sz w:val="18"/>
                <w:szCs w:val="18"/>
              </w:rPr>
              <w:t>368</w:t>
            </w:r>
          </w:p>
        </w:tc>
        <w:tc>
          <w:tcPr>
            <w:tcW w:w="327" w:type="pct"/>
            <w:tcMar>
              <w:top w:w="15" w:type="dxa"/>
              <w:left w:w="15" w:type="dxa"/>
              <w:bottom w:w="0" w:type="dxa"/>
              <w:right w:w="15" w:type="dxa"/>
            </w:tcMar>
            <w:vAlign w:val="center"/>
          </w:tcPr>
          <w:p w14:paraId="67D30D13" w14:textId="77777777" w:rsidR="005F04FE" w:rsidRPr="005F04FE" w:rsidRDefault="005F04FE" w:rsidP="003922A9">
            <w:pPr>
              <w:pStyle w:val="13"/>
              <w:ind w:firstLineChars="0" w:firstLine="0"/>
              <w:jc w:val="right"/>
              <w:rPr>
                <w:sz w:val="18"/>
                <w:szCs w:val="18"/>
              </w:rPr>
            </w:pPr>
            <w:r w:rsidRPr="005F04FE">
              <w:rPr>
                <w:sz w:val="18"/>
                <w:szCs w:val="18"/>
              </w:rPr>
              <w:t>390</w:t>
            </w:r>
          </w:p>
        </w:tc>
      </w:tr>
      <w:tr w:rsidR="005F04FE" w:rsidRPr="005F04FE" w14:paraId="490D154F" w14:textId="77777777" w:rsidTr="003922A9">
        <w:trPr>
          <w:trHeight w:val="186"/>
        </w:trPr>
        <w:tc>
          <w:tcPr>
            <w:tcW w:w="1078" w:type="pct"/>
            <w:tcMar>
              <w:top w:w="15" w:type="dxa"/>
              <w:left w:w="15" w:type="dxa"/>
              <w:bottom w:w="0" w:type="dxa"/>
              <w:right w:w="15" w:type="dxa"/>
            </w:tcMar>
            <w:vAlign w:val="center"/>
          </w:tcPr>
          <w:p w14:paraId="525F8717" w14:textId="77777777" w:rsidR="005F04FE" w:rsidRPr="005F04FE" w:rsidRDefault="005F04FE" w:rsidP="003922A9">
            <w:pPr>
              <w:pStyle w:val="13"/>
              <w:ind w:firstLineChars="0" w:firstLine="0"/>
              <w:jc w:val="center"/>
              <w:rPr>
                <w:sz w:val="18"/>
                <w:szCs w:val="18"/>
              </w:rPr>
            </w:pPr>
            <w:r w:rsidRPr="005F04FE">
              <w:rPr>
                <w:b/>
                <w:bCs/>
                <w:sz w:val="18"/>
                <w:szCs w:val="18"/>
              </w:rPr>
              <w:t>银</w:t>
            </w:r>
            <w:proofErr w:type="gramStart"/>
            <w:r w:rsidRPr="005F04FE">
              <w:rPr>
                <w:b/>
                <w:bCs/>
                <w:sz w:val="18"/>
                <w:szCs w:val="18"/>
              </w:rPr>
              <w:t>保渠道</w:t>
            </w:r>
            <w:proofErr w:type="gramEnd"/>
          </w:p>
        </w:tc>
        <w:tc>
          <w:tcPr>
            <w:tcW w:w="327" w:type="pct"/>
            <w:tcMar>
              <w:top w:w="15" w:type="dxa"/>
              <w:left w:w="15" w:type="dxa"/>
              <w:bottom w:w="0" w:type="dxa"/>
              <w:right w:w="15" w:type="dxa"/>
            </w:tcMar>
            <w:vAlign w:val="center"/>
          </w:tcPr>
          <w:p w14:paraId="35CE70BF"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4BC81EBC"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574FF9D9"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3230D4B9"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165D7D59"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1B9E8564"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2B7020CD"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07A7194A"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3081E3EE"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0211F635"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061F1371"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713994C4" w14:textId="77777777" w:rsidR="005F04FE" w:rsidRPr="005F04FE" w:rsidRDefault="005F04FE" w:rsidP="003922A9">
            <w:pPr>
              <w:pStyle w:val="13"/>
              <w:ind w:firstLineChars="0" w:firstLine="0"/>
              <w:jc w:val="right"/>
              <w:rPr>
                <w:sz w:val="18"/>
                <w:szCs w:val="18"/>
              </w:rPr>
            </w:pPr>
          </w:p>
        </w:tc>
      </w:tr>
      <w:tr w:rsidR="005F04FE" w:rsidRPr="005F04FE" w14:paraId="6C242DA1" w14:textId="77777777" w:rsidTr="003922A9">
        <w:trPr>
          <w:trHeight w:val="186"/>
        </w:trPr>
        <w:tc>
          <w:tcPr>
            <w:tcW w:w="1078" w:type="pct"/>
            <w:tcMar>
              <w:top w:w="15" w:type="dxa"/>
              <w:left w:w="15" w:type="dxa"/>
              <w:bottom w:w="0" w:type="dxa"/>
              <w:right w:w="15" w:type="dxa"/>
            </w:tcMar>
            <w:vAlign w:val="center"/>
          </w:tcPr>
          <w:p w14:paraId="15F75AD5" w14:textId="77777777" w:rsidR="005F04FE" w:rsidRPr="005F04FE" w:rsidRDefault="005F04FE" w:rsidP="003922A9">
            <w:pPr>
              <w:pStyle w:val="13"/>
              <w:ind w:firstLineChars="0" w:firstLine="0"/>
              <w:rPr>
                <w:sz w:val="18"/>
                <w:szCs w:val="18"/>
              </w:rPr>
            </w:pPr>
            <w:r w:rsidRPr="005F04FE">
              <w:rPr>
                <w:sz w:val="18"/>
                <w:szCs w:val="18"/>
              </w:rPr>
              <w:t>活动银行月均网点数量</w:t>
            </w:r>
          </w:p>
        </w:tc>
        <w:tc>
          <w:tcPr>
            <w:tcW w:w="327" w:type="pct"/>
            <w:tcMar>
              <w:top w:w="15" w:type="dxa"/>
              <w:left w:w="15" w:type="dxa"/>
              <w:bottom w:w="0" w:type="dxa"/>
              <w:right w:w="15" w:type="dxa"/>
            </w:tcMar>
            <w:vAlign w:val="center"/>
          </w:tcPr>
          <w:p w14:paraId="4D645CC5" w14:textId="77777777" w:rsidR="005F04FE" w:rsidRPr="005F04FE" w:rsidRDefault="005F04FE" w:rsidP="003922A9">
            <w:pPr>
              <w:pStyle w:val="13"/>
              <w:ind w:firstLineChars="0" w:firstLine="0"/>
              <w:jc w:val="right"/>
              <w:rPr>
                <w:sz w:val="18"/>
                <w:szCs w:val="18"/>
              </w:rPr>
            </w:pPr>
            <w:r w:rsidRPr="005F04FE">
              <w:rPr>
                <w:sz w:val="18"/>
                <w:szCs w:val="18"/>
              </w:rPr>
              <w:t>115</w:t>
            </w:r>
          </w:p>
        </w:tc>
        <w:tc>
          <w:tcPr>
            <w:tcW w:w="327" w:type="pct"/>
            <w:tcMar>
              <w:top w:w="15" w:type="dxa"/>
              <w:left w:w="15" w:type="dxa"/>
              <w:bottom w:w="0" w:type="dxa"/>
              <w:right w:w="15" w:type="dxa"/>
            </w:tcMar>
            <w:vAlign w:val="center"/>
          </w:tcPr>
          <w:p w14:paraId="1E47BEAC" w14:textId="77777777" w:rsidR="005F04FE" w:rsidRPr="005F04FE" w:rsidRDefault="005F04FE" w:rsidP="003922A9">
            <w:pPr>
              <w:pStyle w:val="13"/>
              <w:ind w:firstLineChars="0" w:firstLine="0"/>
              <w:jc w:val="right"/>
              <w:rPr>
                <w:sz w:val="18"/>
                <w:szCs w:val="18"/>
              </w:rPr>
            </w:pPr>
            <w:r w:rsidRPr="005F04FE">
              <w:rPr>
                <w:sz w:val="18"/>
                <w:szCs w:val="18"/>
              </w:rPr>
              <w:t>124</w:t>
            </w:r>
          </w:p>
        </w:tc>
        <w:tc>
          <w:tcPr>
            <w:tcW w:w="327" w:type="pct"/>
            <w:tcMar>
              <w:top w:w="15" w:type="dxa"/>
              <w:left w:w="15" w:type="dxa"/>
              <w:bottom w:w="0" w:type="dxa"/>
              <w:right w:w="15" w:type="dxa"/>
            </w:tcMar>
            <w:vAlign w:val="center"/>
          </w:tcPr>
          <w:p w14:paraId="416A7C70" w14:textId="77777777" w:rsidR="005F04FE" w:rsidRPr="005F04FE" w:rsidRDefault="005F04FE" w:rsidP="003922A9">
            <w:pPr>
              <w:pStyle w:val="13"/>
              <w:ind w:firstLineChars="0" w:firstLine="0"/>
              <w:jc w:val="right"/>
              <w:rPr>
                <w:sz w:val="18"/>
                <w:szCs w:val="18"/>
              </w:rPr>
            </w:pPr>
            <w:r w:rsidRPr="005F04FE">
              <w:rPr>
                <w:sz w:val="18"/>
                <w:szCs w:val="18"/>
              </w:rPr>
              <w:t>132</w:t>
            </w:r>
          </w:p>
        </w:tc>
        <w:tc>
          <w:tcPr>
            <w:tcW w:w="327" w:type="pct"/>
            <w:tcMar>
              <w:top w:w="15" w:type="dxa"/>
              <w:left w:w="15" w:type="dxa"/>
              <w:bottom w:w="0" w:type="dxa"/>
              <w:right w:w="15" w:type="dxa"/>
            </w:tcMar>
            <w:vAlign w:val="center"/>
          </w:tcPr>
          <w:p w14:paraId="2D34B81E" w14:textId="77777777" w:rsidR="005F04FE" w:rsidRPr="005F04FE" w:rsidRDefault="005F04FE" w:rsidP="003922A9">
            <w:pPr>
              <w:pStyle w:val="13"/>
              <w:ind w:firstLineChars="0" w:firstLine="0"/>
              <w:jc w:val="right"/>
              <w:rPr>
                <w:sz w:val="18"/>
                <w:szCs w:val="18"/>
              </w:rPr>
            </w:pPr>
            <w:r w:rsidRPr="005F04FE">
              <w:rPr>
                <w:sz w:val="18"/>
                <w:szCs w:val="18"/>
              </w:rPr>
              <w:t>142</w:t>
            </w:r>
          </w:p>
        </w:tc>
        <w:tc>
          <w:tcPr>
            <w:tcW w:w="327" w:type="pct"/>
            <w:tcMar>
              <w:top w:w="15" w:type="dxa"/>
              <w:left w:w="15" w:type="dxa"/>
              <w:bottom w:w="0" w:type="dxa"/>
              <w:right w:w="15" w:type="dxa"/>
            </w:tcMar>
            <w:vAlign w:val="center"/>
          </w:tcPr>
          <w:p w14:paraId="5A883229" w14:textId="77777777" w:rsidR="005F04FE" w:rsidRPr="005F04FE" w:rsidRDefault="005F04FE" w:rsidP="003922A9">
            <w:pPr>
              <w:pStyle w:val="13"/>
              <w:ind w:firstLineChars="0" w:firstLine="0"/>
              <w:jc w:val="right"/>
              <w:rPr>
                <w:sz w:val="18"/>
                <w:szCs w:val="18"/>
              </w:rPr>
            </w:pPr>
            <w:r w:rsidRPr="005F04FE">
              <w:rPr>
                <w:sz w:val="18"/>
                <w:szCs w:val="18"/>
              </w:rPr>
              <w:t>152</w:t>
            </w:r>
          </w:p>
        </w:tc>
        <w:tc>
          <w:tcPr>
            <w:tcW w:w="327" w:type="pct"/>
            <w:tcMar>
              <w:top w:w="15" w:type="dxa"/>
              <w:left w:w="15" w:type="dxa"/>
              <w:bottom w:w="0" w:type="dxa"/>
              <w:right w:w="15" w:type="dxa"/>
            </w:tcMar>
            <w:vAlign w:val="center"/>
          </w:tcPr>
          <w:p w14:paraId="35F931E0" w14:textId="77777777" w:rsidR="005F04FE" w:rsidRPr="005F04FE" w:rsidRDefault="005F04FE" w:rsidP="003922A9">
            <w:pPr>
              <w:pStyle w:val="13"/>
              <w:ind w:firstLineChars="0" w:firstLine="0"/>
              <w:jc w:val="right"/>
              <w:rPr>
                <w:sz w:val="18"/>
                <w:szCs w:val="18"/>
              </w:rPr>
            </w:pPr>
            <w:r w:rsidRPr="005F04FE">
              <w:rPr>
                <w:sz w:val="18"/>
                <w:szCs w:val="18"/>
              </w:rPr>
              <w:t>164</w:t>
            </w:r>
          </w:p>
        </w:tc>
        <w:tc>
          <w:tcPr>
            <w:tcW w:w="327" w:type="pct"/>
            <w:tcMar>
              <w:top w:w="15" w:type="dxa"/>
              <w:left w:w="15" w:type="dxa"/>
              <w:bottom w:w="0" w:type="dxa"/>
              <w:right w:w="15" w:type="dxa"/>
            </w:tcMar>
            <w:vAlign w:val="center"/>
          </w:tcPr>
          <w:p w14:paraId="33FB3631" w14:textId="77777777" w:rsidR="005F04FE" w:rsidRPr="005F04FE" w:rsidRDefault="005F04FE" w:rsidP="003922A9">
            <w:pPr>
              <w:pStyle w:val="13"/>
              <w:ind w:firstLineChars="0" w:firstLine="0"/>
              <w:jc w:val="right"/>
              <w:rPr>
                <w:sz w:val="18"/>
                <w:szCs w:val="18"/>
              </w:rPr>
            </w:pPr>
            <w:r w:rsidRPr="005F04FE">
              <w:rPr>
                <w:sz w:val="18"/>
                <w:szCs w:val="18"/>
              </w:rPr>
              <w:t>175</w:t>
            </w:r>
          </w:p>
        </w:tc>
        <w:tc>
          <w:tcPr>
            <w:tcW w:w="327" w:type="pct"/>
            <w:tcMar>
              <w:top w:w="15" w:type="dxa"/>
              <w:left w:w="15" w:type="dxa"/>
              <w:bottom w:w="0" w:type="dxa"/>
              <w:right w:w="15" w:type="dxa"/>
            </w:tcMar>
            <w:vAlign w:val="center"/>
          </w:tcPr>
          <w:p w14:paraId="475ACB25" w14:textId="77777777" w:rsidR="005F04FE" w:rsidRPr="005F04FE" w:rsidRDefault="005F04FE" w:rsidP="003922A9">
            <w:pPr>
              <w:pStyle w:val="13"/>
              <w:ind w:firstLineChars="0" w:firstLine="0"/>
              <w:jc w:val="right"/>
              <w:rPr>
                <w:sz w:val="18"/>
                <w:szCs w:val="18"/>
              </w:rPr>
            </w:pPr>
            <w:r w:rsidRPr="005F04FE">
              <w:rPr>
                <w:sz w:val="18"/>
                <w:szCs w:val="18"/>
              </w:rPr>
              <w:t>186</w:t>
            </w:r>
          </w:p>
        </w:tc>
        <w:tc>
          <w:tcPr>
            <w:tcW w:w="327" w:type="pct"/>
            <w:tcMar>
              <w:top w:w="15" w:type="dxa"/>
              <w:left w:w="15" w:type="dxa"/>
              <w:bottom w:w="0" w:type="dxa"/>
              <w:right w:w="15" w:type="dxa"/>
            </w:tcMar>
            <w:vAlign w:val="center"/>
          </w:tcPr>
          <w:p w14:paraId="01302004" w14:textId="77777777" w:rsidR="005F04FE" w:rsidRPr="005F04FE" w:rsidRDefault="005F04FE" w:rsidP="003922A9">
            <w:pPr>
              <w:pStyle w:val="13"/>
              <w:ind w:firstLineChars="0" w:firstLine="0"/>
              <w:jc w:val="right"/>
              <w:rPr>
                <w:sz w:val="18"/>
                <w:szCs w:val="18"/>
              </w:rPr>
            </w:pPr>
            <w:r w:rsidRPr="005F04FE">
              <w:rPr>
                <w:sz w:val="18"/>
                <w:szCs w:val="18"/>
              </w:rPr>
              <w:t>197</w:t>
            </w:r>
          </w:p>
        </w:tc>
        <w:tc>
          <w:tcPr>
            <w:tcW w:w="327" w:type="pct"/>
            <w:tcMar>
              <w:top w:w="15" w:type="dxa"/>
              <w:left w:w="15" w:type="dxa"/>
              <w:bottom w:w="0" w:type="dxa"/>
              <w:right w:w="15" w:type="dxa"/>
            </w:tcMar>
            <w:vAlign w:val="center"/>
          </w:tcPr>
          <w:p w14:paraId="2E48D733" w14:textId="77777777" w:rsidR="005F04FE" w:rsidRPr="005F04FE" w:rsidRDefault="005F04FE" w:rsidP="003922A9">
            <w:pPr>
              <w:pStyle w:val="13"/>
              <w:ind w:firstLineChars="0" w:firstLine="0"/>
              <w:jc w:val="right"/>
              <w:rPr>
                <w:sz w:val="18"/>
                <w:szCs w:val="18"/>
              </w:rPr>
            </w:pPr>
            <w:r w:rsidRPr="005F04FE">
              <w:rPr>
                <w:sz w:val="18"/>
                <w:szCs w:val="18"/>
              </w:rPr>
              <w:t>208</w:t>
            </w:r>
          </w:p>
        </w:tc>
        <w:tc>
          <w:tcPr>
            <w:tcW w:w="327" w:type="pct"/>
            <w:tcMar>
              <w:top w:w="15" w:type="dxa"/>
              <w:left w:w="15" w:type="dxa"/>
              <w:bottom w:w="0" w:type="dxa"/>
              <w:right w:w="15" w:type="dxa"/>
            </w:tcMar>
            <w:vAlign w:val="center"/>
          </w:tcPr>
          <w:p w14:paraId="3B749DA4" w14:textId="77777777" w:rsidR="005F04FE" w:rsidRPr="005F04FE" w:rsidRDefault="005F04FE" w:rsidP="003922A9">
            <w:pPr>
              <w:pStyle w:val="13"/>
              <w:ind w:firstLineChars="0" w:firstLine="0"/>
              <w:jc w:val="right"/>
              <w:rPr>
                <w:sz w:val="18"/>
                <w:szCs w:val="18"/>
              </w:rPr>
            </w:pPr>
            <w:r w:rsidRPr="005F04FE">
              <w:rPr>
                <w:sz w:val="18"/>
                <w:szCs w:val="18"/>
              </w:rPr>
              <w:t>217</w:t>
            </w:r>
          </w:p>
        </w:tc>
        <w:tc>
          <w:tcPr>
            <w:tcW w:w="327" w:type="pct"/>
            <w:tcMar>
              <w:top w:w="15" w:type="dxa"/>
              <w:left w:w="15" w:type="dxa"/>
              <w:bottom w:w="0" w:type="dxa"/>
              <w:right w:w="15" w:type="dxa"/>
            </w:tcMar>
            <w:vAlign w:val="center"/>
          </w:tcPr>
          <w:p w14:paraId="03D060F4" w14:textId="77777777" w:rsidR="005F04FE" w:rsidRPr="005F04FE" w:rsidRDefault="005F04FE" w:rsidP="003922A9">
            <w:pPr>
              <w:pStyle w:val="13"/>
              <w:ind w:firstLineChars="0" w:firstLine="0"/>
              <w:jc w:val="right"/>
              <w:rPr>
                <w:sz w:val="18"/>
                <w:szCs w:val="18"/>
              </w:rPr>
            </w:pPr>
            <w:r w:rsidRPr="005F04FE">
              <w:rPr>
                <w:sz w:val="18"/>
                <w:szCs w:val="18"/>
              </w:rPr>
              <w:t>228</w:t>
            </w:r>
          </w:p>
        </w:tc>
      </w:tr>
      <w:tr w:rsidR="005F04FE" w:rsidRPr="005F04FE" w14:paraId="1C56B900" w14:textId="77777777" w:rsidTr="003922A9">
        <w:trPr>
          <w:trHeight w:val="186"/>
        </w:trPr>
        <w:tc>
          <w:tcPr>
            <w:tcW w:w="1078" w:type="pct"/>
            <w:tcMar>
              <w:top w:w="15" w:type="dxa"/>
              <w:left w:w="15" w:type="dxa"/>
              <w:bottom w:w="0" w:type="dxa"/>
              <w:right w:w="15" w:type="dxa"/>
            </w:tcMar>
            <w:vAlign w:val="center"/>
          </w:tcPr>
          <w:p w14:paraId="42F77425" w14:textId="77777777" w:rsidR="005F04FE" w:rsidRPr="005F04FE" w:rsidRDefault="005F04FE" w:rsidP="003922A9">
            <w:pPr>
              <w:pStyle w:val="13"/>
              <w:ind w:firstLineChars="0" w:firstLine="0"/>
              <w:rPr>
                <w:sz w:val="18"/>
                <w:szCs w:val="18"/>
              </w:rPr>
            </w:pPr>
            <w:r w:rsidRPr="005F04FE">
              <w:rPr>
                <w:sz w:val="18"/>
                <w:szCs w:val="18"/>
              </w:rPr>
              <w:t>活动网点数增长率</w:t>
            </w:r>
          </w:p>
        </w:tc>
        <w:tc>
          <w:tcPr>
            <w:tcW w:w="327" w:type="pct"/>
            <w:tcMar>
              <w:top w:w="15" w:type="dxa"/>
              <w:left w:w="15" w:type="dxa"/>
              <w:bottom w:w="0" w:type="dxa"/>
              <w:right w:w="15" w:type="dxa"/>
            </w:tcMar>
            <w:vAlign w:val="center"/>
          </w:tcPr>
          <w:p w14:paraId="2A2F969F"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7EB209CE"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0F2F1EF2" w14:textId="77777777" w:rsidR="005F04FE" w:rsidRPr="005F04FE" w:rsidRDefault="005F04FE" w:rsidP="003922A9">
            <w:pPr>
              <w:pStyle w:val="13"/>
              <w:ind w:firstLineChars="0" w:firstLine="0"/>
              <w:jc w:val="right"/>
              <w:rPr>
                <w:sz w:val="18"/>
                <w:szCs w:val="18"/>
              </w:rPr>
            </w:pPr>
            <w:r w:rsidRPr="005F04FE">
              <w:rPr>
                <w:sz w:val="18"/>
                <w:szCs w:val="18"/>
              </w:rPr>
              <w:t>7%</w:t>
            </w:r>
          </w:p>
        </w:tc>
        <w:tc>
          <w:tcPr>
            <w:tcW w:w="327" w:type="pct"/>
            <w:tcMar>
              <w:top w:w="15" w:type="dxa"/>
              <w:left w:w="15" w:type="dxa"/>
              <w:bottom w:w="0" w:type="dxa"/>
              <w:right w:w="15" w:type="dxa"/>
            </w:tcMar>
            <w:vAlign w:val="center"/>
          </w:tcPr>
          <w:p w14:paraId="1DC2EE2D"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5A37FA08"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307FDBE6"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3423DBF9" w14:textId="77777777" w:rsidR="005F04FE" w:rsidRPr="005F04FE" w:rsidRDefault="005F04FE" w:rsidP="003922A9">
            <w:pPr>
              <w:pStyle w:val="13"/>
              <w:ind w:firstLineChars="0" w:firstLine="0"/>
              <w:jc w:val="right"/>
              <w:rPr>
                <w:sz w:val="18"/>
                <w:szCs w:val="18"/>
              </w:rPr>
            </w:pPr>
            <w:r w:rsidRPr="005F04FE">
              <w:rPr>
                <w:sz w:val="18"/>
                <w:szCs w:val="18"/>
              </w:rPr>
              <w:t>7%</w:t>
            </w:r>
          </w:p>
        </w:tc>
        <w:tc>
          <w:tcPr>
            <w:tcW w:w="327" w:type="pct"/>
            <w:tcMar>
              <w:top w:w="15" w:type="dxa"/>
              <w:left w:w="15" w:type="dxa"/>
              <w:bottom w:w="0" w:type="dxa"/>
              <w:right w:w="15" w:type="dxa"/>
            </w:tcMar>
            <w:vAlign w:val="center"/>
          </w:tcPr>
          <w:p w14:paraId="5EBABBFE" w14:textId="77777777" w:rsidR="005F04FE" w:rsidRPr="005F04FE" w:rsidRDefault="005F04FE" w:rsidP="003922A9">
            <w:pPr>
              <w:pStyle w:val="13"/>
              <w:ind w:firstLineChars="0" w:firstLine="0"/>
              <w:jc w:val="right"/>
              <w:rPr>
                <w:sz w:val="18"/>
                <w:szCs w:val="18"/>
              </w:rPr>
            </w:pPr>
            <w:r w:rsidRPr="005F04FE">
              <w:rPr>
                <w:sz w:val="18"/>
                <w:szCs w:val="18"/>
              </w:rPr>
              <w:t>7%</w:t>
            </w:r>
          </w:p>
        </w:tc>
        <w:tc>
          <w:tcPr>
            <w:tcW w:w="327" w:type="pct"/>
            <w:tcMar>
              <w:top w:w="15" w:type="dxa"/>
              <w:left w:w="15" w:type="dxa"/>
              <w:bottom w:w="0" w:type="dxa"/>
              <w:right w:w="15" w:type="dxa"/>
            </w:tcMar>
            <w:vAlign w:val="center"/>
          </w:tcPr>
          <w:p w14:paraId="3CCAE5A0" w14:textId="77777777" w:rsidR="005F04FE" w:rsidRPr="005F04FE" w:rsidRDefault="005F04FE" w:rsidP="003922A9">
            <w:pPr>
              <w:pStyle w:val="13"/>
              <w:ind w:firstLineChars="0" w:firstLine="0"/>
              <w:jc w:val="right"/>
              <w:rPr>
                <w:sz w:val="18"/>
                <w:szCs w:val="18"/>
              </w:rPr>
            </w:pPr>
            <w:r w:rsidRPr="005F04FE">
              <w:rPr>
                <w:sz w:val="18"/>
                <w:szCs w:val="18"/>
              </w:rPr>
              <w:t>6%</w:t>
            </w:r>
          </w:p>
        </w:tc>
        <w:tc>
          <w:tcPr>
            <w:tcW w:w="327" w:type="pct"/>
            <w:tcMar>
              <w:top w:w="15" w:type="dxa"/>
              <w:left w:w="15" w:type="dxa"/>
              <w:bottom w:w="0" w:type="dxa"/>
              <w:right w:w="15" w:type="dxa"/>
            </w:tcMar>
            <w:vAlign w:val="center"/>
          </w:tcPr>
          <w:p w14:paraId="4ED8099C" w14:textId="77777777" w:rsidR="005F04FE" w:rsidRPr="005F04FE" w:rsidRDefault="005F04FE" w:rsidP="003922A9">
            <w:pPr>
              <w:pStyle w:val="13"/>
              <w:ind w:firstLineChars="0" w:firstLine="0"/>
              <w:jc w:val="right"/>
              <w:rPr>
                <w:sz w:val="18"/>
                <w:szCs w:val="18"/>
              </w:rPr>
            </w:pPr>
            <w:r w:rsidRPr="005F04FE">
              <w:rPr>
                <w:sz w:val="18"/>
                <w:szCs w:val="18"/>
              </w:rPr>
              <w:t>6%</w:t>
            </w:r>
          </w:p>
        </w:tc>
        <w:tc>
          <w:tcPr>
            <w:tcW w:w="327" w:type="pct"/>
            <w:tcMar>
              <w:top w:w="15" w:type="dxa"/>
              <w:left w:w="15" w:type="dxa"/>
              <w:bottom w:w="0" w:type="dxa"/>
              <w:right w:w="15" w:type="dxa"/>
            </w:tcMar>
            <w:vAlign w:val="center"/>
          </w:tcPr>
          <w:p w14:paraId="50F58162" w14:textId="77777777" w:rsidR="005F04FE" w:rsidRPr="005F04FE" w:rsidRDefault="005F04FE" w:rsidP="003922A9">
            <w:pPr>
              <w:pStyle w:val="13"/>
              <w:ind w:firstLineChars="0" w:firstLine="0"/>
              <w:jc w:val="right"/>
              <w:rPr>
                <w:sz w:val="18"/>
                <w:szCs w:val="18"/>
              </w:rPr>
            </w:pPr>
            <w:r w:rsidRPr="005F04FE">
              <w:rPr>
                <w:sz w:val="18"/>
                <w:szCs w:val="18"/>
              </w:rPr>
              <w:t>5%</w:t>
            </w:r>
          </w:p>
        </w:tc>
        <w:tc>
          <w:tcPr>
            <w:tcW w:w="327" w:type="pct"/>
            <w:tcMar>
              <w:top w:w="15" w:type="dxa"/>
              <w:left w:w="15" w:type="dxa"/>
              <w:bottom w:w="0" w:type="dxa"/>
              <w:right w:w="15" w:type="dxa"/>
            </w:tcMar>
            <w:vAlign w:val="center"/>
          </w:tcPr>
          <w:p w14:paraId="75717307" w14:textId="77777777" w:rsidR="005F04FE" w:rsidRPr="005F04FE" w:rsidRDefault="005F04FE" w:rsidP="003922A9">
            <w:pPr>
              <w:pStyle w:val="13"/>
              <w:ind w:firstLineChars="0" w:firstLine="0"/>
              <w:jc w:val="right"/>
              <w:rPr>
                <w:sz w:val="18"/>
                <w:szCs w:val="18"/>
              </w:rPr>
            </w:pPr>
            <w:r w:rsidRPr="005F04FE">
              <w:rPr>
                <w:sz w:val="18"/>
                <w:szCs w:val="18"/>
              </w:rPr>
              <w:t>5%</w:t>
            </w:r>
          </w:p>
        </w:tc>
      </w:tr>
      <w:tr w:rsidR="005F04FE" w:rsidRPr="005F04FE" w14:paraId="30CC6618" w14:textId="77777777" w:rsidTr="003922A9">
        <w:trPr>
          <w:trHeight w:val="186"/>
        </w:trPr>
        <w:tc>
          <w:tcPr>
            <w:tcW w:w="1078" w:type="pct"/>
            <w:tcMar>
              <w:top w:w="15" w:type="dxa"/>
              <w:left w:w="15" w:type="dxa"/>
              <w:bottom w:w="0" w:type="dxa"/>
              <w:right w:w="15" w:type="dxa"/>
            </w:tcMar>
            <w:vAlign w:val="center"/>
          </w:tcPr>
          <w:p w14:paraId="4603E661" w14:textId="77777777" w:rsidR="005F04FE" w:rsidRPr="005F04FE" w:rsidRDefault="005F04FE" w:rsidP="003922A9">
            <w:pPr>
              <w:pStyle w:val="13"/>
              <w:ind w:firstLineChars="0" w:firstLine="0"/>
              <w:rPr>
                <w:sz w:val="18"/>
                <w:szCs w:val="18"/>
              </w:rPr>
            </w:pPr>
            <w:r w:rsidRPr="005F04FE">
              <w:rPr>
                <w:sz w:val="18"/>
                <w:szCs w:val="18"/>
              </w:rPr>
              <w:t>活动网点月均产能（千元）</w:t>
            </w:r>
          </w:p>
        </w:tc>
        <w:tc>
          <w:tcPr>
            <w:tcW w:w="327" w:type="pct"/>
            <w:tcMar>
              <w:top w:w="15" w:type="dxa"/>
              <w:left w:w="15" w:type="dxa"/>
              <w:bottom w:w="0" w:type="dxa"/>
              <w:right w:w="15" w:type="dxa"/>
            </w:tcMar>
            <w:vAlign w:val="center"/>
          </w:tcPr>
          <w:p w14:paraId="1EA9E59E" w14:textId="77777777" w:rsidR="005F04FE" w:rsidRPr="005F04FE" w:rsidRDefault="005F04FE" w:rsidP="003922A9">
            <w:pPr>
              <w:pStyle w:val="13"/>
              <w:ind w:firstLineChars="0" w:firstLine="0"/>
              <w:jc w:val="right"/>
              <w:rPr>
                <w:sz w:val="18"/>
                <w:szCs w:val="18"/>
              </w:rPr>
            </w:pPr>
            <w:r w:rsidRPr="005F04FE">
              <w:rPr>
                <w:sz w:val="18"/>
                <w:szCs w:val="18"/>
              </w:rPr>
              <w:t>263</w:t>
            </w:r>
          </w:p>
        </w:tc>
        <w:tc>
          <w:tcPr>
            <w:tcW w:w="327" w:type="pct"/>
            <w:tcMar>
              <w:top w:w="15" w:type="dxa"/>
              <w:left w:w="15" w:type="dxa"/>
              <w:bottom w:w="0" w:type="dxa"/>
              <w:right w:w="15" w:type="dxa"/>
            </w:tcMar>
            <w:vAlign w:val="center"/>
          </w:tcPr>
          <w:p w14:paraId="76DA91B9" w14:textId="77777777" w:rsidR="005F04FE" w:rsidRPr="005F04FE" w:rsidRDefault="005F04FE" w:rsidP="003922A9">
            <w:pPr>
              <w:pStyle w:val="13"/>
              <w:ind w:firstLineChars="0" w:firstLine="0"/>
              <w:jc w:val="right"/>
              <w:rPr>
                <w:sz w:val="18"/>
                <w:szCs w:val="18"/>
              </w:rPr>
            </w:pPr>
            <w:r w:rsidRPr="005F04FE">
              <w:rPr>
                <w:sz w:val="18"/>
                <w:szCs w:val="18"/>
              </w:rPr>
              <w:t>302</w:t>
            </w:r>
          </w:p>
        </w:tc>
        <w:tc>
          <w:tcPr>
            <w:tcW w:w="327" w:type="pct"/>
            <w:tcMar>
              <w:top w:w="15" w:type="dxa"/>
              <w:left w:w="15" w:type="dxa"/>
              <w:bottom w:w="0" w:type="dxa"/>
              <w:right w:w="15" w:type="dxa"/>
            </w:tcMar>
            <w:vAlign w:val="center"/>
          </w:tcPr>
          <w:p w14:paraId="3A15504E" w14:textId="77777777" w:rsidR="005F04FE" w:rsidRPr="005F04FE" w:rsidRDefault="005F04FE" w:rsidP="003922A9">
            <w:pPr>
              <w:pStyle w:val="13"/>
              <w:ind w:firstLineChars="0" w:firstLine="0"/>
              <w:jc w:val="right"/>
              <w:rPr>
                <w:sz w:val="18"/>
                <w:szCs w:val="18"/>
              </w:rPr>
            </w:pPr>
            <w:r w:rsidRPr="005F04FE">
              <w:rPr>
                <w:sz w:val="18"/>
                <w:szCs w:val="18"/>
              </w:rPr>
              <w:t>329</w:t>
            </w:r>
          </w:p>
        </w:tc>
        <w:tc>
          <w:tcPr>
            <w:tcW w:w="327" w:type="pct"/>
            <w:tcMar>
              <w:top w:w="15" w:type="dxa"/>
              <w:left w:w="15" w:type="dxa"/>
              <w:bottom w:w="0" w:type="dxa"/>
              <w:right w:w="15" w:type="dxa"/>
            </w:tcMar>
            <w:vAlign w:val="center"/>
          </w:tcPr>
          <w:p w14:paraId="5EB6A1F7" w14:textId="77777777" w:rsidR="005F04FE" w:rsidRPr="005F04FE" w:rsidRDefault="005F04FE" w:rsidP="003922A9">
            <w:pPr>
              <w:pStyle w:val="13"/>
              <w:ind w:firstLineChars="0" w:firstLine="0"/>
              <w:jc w:val="right"/>
              <w:rPr>
                <w:sz w:val="18"/>
                <w:szCs w:val="18"/>
              </w:rPr>
            </w:pPr>
            <w:r w:rsidRPr="005F04FE">
              <w:rPr>
                <w:sz w:val="18"/>
                <w:szCs w:val="18"/>
              </w:rPr>
              <w:t>344</w:t>
            </w:r>
          </w:p>
        </w:tc>
        <w:tc>
          <w:tcPr>
            <w:tcW w:w="327" w:type="pct"/>
            <w:tcMar>
              <w:top w:w="15" w:type="dxa"/>
              <w:left w:w="15" w:type="dxa"/>
              <w:bottom w:w="0" w:type="dxa"/>
              <w:right w:w="15" w:type="dxa"/>
            </w:tcMar>
            <w:vAlign w:val="center"/>
          </w:tcPr>
          <w:p w14:paraId="1F707492" w14:textId="77777777" w:rsidR="005F04FE" w:rsidRPr="005F04FE" w:rsidRDefault="005F04FE" w:rsidP="003922A9">
            <w:pPr>
              <w:pStyle w:val="13"/>
              <w:ind w:firstLineChars="0" w:firstLine="0"/>
              <w:jc w:val="right"/>
              <w:rPr>
                <w:sz w:val="18"/>
                <w:szCs w:val="18"/>
              </w:rPr>
            </w:pPr>
            <w:r w:rsidRPr="005F04FE">
              <w:rPr>
                <w:sz w:val="18"/>
                <w:szCs w:val="18"/>
              </w:rPr>
              <w:t>361</w:t>
            </w:r>
          </w:p>
        </w:tc>
        <w:tc>
          <w:tcPr>
            <w:tcW w:w="327" w:type="pct"/>
            <w:tcMar>
              <w:top w:w="15" w:type="dxa"/>
              <w:left w:w="15" w:type="dxa"/>
              <w:bottom w:w="0" w:type="dxa"/>
              <w:right w:w="15" w:type="dxa"/>
            </w:tcMar>
            <w:vAlign w:val="center"/>
          </w:tcPr>
          <w:p w14:paraId="3834D7D6" w14:textId="77777777" w:rsidR="005F04FE" w:rsidRPr="005F04FE" w:rsidRDefault="005F04FE" w:rsidP="003922A9">
            <w:pPr>
              <w:pStyle w:val="13"/>
              <w:ind w:firstLineChars="0" w:firstLine="0"/>
              <w:jc w:val="right"/>
              <w:rPr>
                <w:sz w:val="18"/>
                <w:szCs w:val="18"/>
              </w:rPr>
            </w:pPr>
            <w:r w:rsidRPr="005F04FE">
              <w:rPr>
                <w:sz w:val="18"/>
                <w:szCs w:val="18"/>
              </w:rPr>
              <w:t>376</w:t>
            </w:r>
          </w:p>
        </w:tc>
        <w:tc>
          <w:tcPr>
            <w:tcW w:w="327" w:type="pct"/>
            <w:tcMar>
              <w:top w:w="15" w:type="dxa"/>
              <w:left w:w="15" w:type="dxa"/>
              <w:bottom w:w="0" w:type="dxa"/>
              <w:right w:w="15" w:type="dxa"/>
            </w:tcMar>
            <w:vAlign w:val="center"/>
          </w:tcPr>
          <w:p w14:paraId="5E48FB91" w14:textId="77777777" w:rsidR="005F04FE" w:rsidRPr="005F04FE" w:rsidRDefault="005F04FE" w:rsidP="003922A9">
            <w:pPr>
              <w:pStyle w:val="13"/>
              <w:ind w:firstLineChars="0" w:firstLine="0"/>
              <w:jc w:val="right"/>
              <w:rPr>
                <w:sz w:val="18"/>
                <w:szCs w:val="18"/>
              </w:rPr>
            </w:pPr>
            <w:r w:rsidRPr="005F04FE">
              <w:rPr>
                <w:sz w:val="18"/>
                <w:szCs w:val="18"/>
              </w:rPr>
              <w:t>392</w:t>
            </w:r>
          </w:p>
        </w:tc>
        <w:tc>
          <w:tcPr>
            <w:tcW w:w="327" w:type="pct"/>
            <w:tcMar>
              <w:top w:w="15" w:type="dxa"/>
              <w:left w:w="15" w:type="dxa"/>
              <w:bottom w:w="0" w:type="dxa"/>
              <w:right w:w="15" w:type="dxa"/>
            </w:tcMar>
            <w:vAlign w:val="center"/>
          </w:tcPr>
          <w:p w14:paraId="30E7C6D0" w14:textId="77777777" w:rsidR="005F04FE" w:rsidRPr="005F04FE" w:rsidRDefault="005F04FE" w:rsidP="003922A9">
            <w:pPr>
              <w:pStyle w:val="13"/>
              <w:ind w:firstLineChars="0" w:firstLine="0"/>
              <w:jc w:val="right"/>
              <w:rPr>
                <w:sz w:val="18"/>
                <w:szCs w:val="18"/>
              </w:rPr>
            </w:pPr>
            <w:r w:rsidRPr="005F04FE">
              <w:rPr>
                <w:sz w:val="18"/>
                <w:szCs w:val="18"/>
              </w:rPr>
              <w:t>404</w:t>
            </w:r>
          </w:p>
        </w:tc>
        <w:tc>
          <w:tcPr>
            <w:tcW w:w="327" w:type="pct"/>
            <w:tcMar>
              <w:top w:w="15" w:type="dxa"/>
              <w:left w:w="15" w:type="dxa"/>
              <w:bottom w:w="0" w:type="dxa"/>
              <w:right w:w="15" w:type="dxa"/>
            </w:tcMar>
            <w:vAlign w:val="center"/>
          </w:tcPr>
          <w:p w14:paraId="46C2EAEF" w14:textId="77777777" w:rsidR="005F04FE" w:rsidRPr="005F04FE" w:rsidRDefault="005F04FE" w:rsidP="003922A9">
            <w:pPr>
              <w:pStyle w:val="13"/>
              <w:ind w:firstLineChars="0" w:firstLine="0"/>
              <w:jc w:val="right"/>
              <w:rPr>
                <w:sz w:val="18"/>
                <w:szCs w:val="18"/>
              </w:rPr>
            </w:pPr>
            <w:r w:rsidRPr="005F04FE">
              <w:rPr>
                <w:sz w:val="18"/>
                <w:szCs w:val="18"/>
              </w:rPr>
              <w:t>417</w:t>
            </w:r>
          </w:p>
        </w:tc>
        <w:tc>
          <w:tcPr>
            <w:tcW w:w="327" w:type="pct"/>
            <w:tcMar>
              <w:top w:w="15" w:type="dxa"/>
              <w:left w:w="15" w:type="dxa"/>
              <w:bottom w:w="0" w:type="dxa"/>
              <w:right w:w="15" w:type="dxa"/>
            </w:tcMar>
            <w:vAlign w:val="center"/>
          </w:tcPr>
          <w:p w14:paraId="3EBBB6B4" w14:textId="77777777" w:rsidR="005F04FE" w:rsidRPr="005F04FE" w:rsidRDefault="005F04FE" w:rsidP="003922A9">
            <w:pPr>
              <w:pStyle w:val="13"/>
              <w:ind w:firstLineChars="0" w:firstLine="0"/>
              <w:jc w:val="right"/>
              <w:rPr>
                <w:sz w:val="18"/>
                <w:szCs w:val="18"/>
              </w:rPr>
            </w:pPr>
            <w:r w:rsidRPr="005F04FE">
              <w:rPr>
                <w:sz w:val="18"/>
                <w:szCs w:val="18"/>
              </w:rPr>
              <w:t>427</w:t>
            </w:r>
          </w:p>
        </w:tc>
        <w:tc>
          <w:tcPr>
            <w:tcW w:w="327" w:type="pct"/>
            <w:tcMar>
              <w:top w:w="15" w:type="dxa"/>
              <w:left w:w="15" w:type="dxa"/>
              <w:bottom w:w="0" w:type="dxa"/>
              <w:right w:w="15" w:type="dxa"/>
            </w:tcMar>
            <w:vAlign w:val="center"/>
          </w:tcPr>
          <w:p w14:paraId="425CF61A" w14:textId="77777777" w:rsidR="005F04FE" w:rsidRPr="005F04FE" w:rsidRDefault="005F04FE" w:rsidP="003922A9">
            <w:pPr>
              <w:pStyle w:val="13"/>
              <w:ind w:firstLineChars="0" w:firstLine="0"/>
              <w:jc w:val="right"/>
              <w:rPr>
                <w:sz w:val="18"/>
                <w:szCs w:val="18"/>
              </w:rPr>
            </w:pPr>
            <w:r w:rsidRPr="005F04FE">
              <w:rPr>
                <w:sz w:val="18"/>
                <w:szCs w:val="18"/>
              </w:rPr>
              <w:t>436</w:t>
            </w:r>
          </w:p>
        </w:tc>
        <w:tc>
          <w:tcPr>
            <w:tcW w:w="327" w:type="pct"/>
            <w:tcMar>
              <w:top w:w="15" w:type="dxa"/>
              <w:left w:w="15" w:type="dxa"/>
              <w:bottom w:w="0" w:type="dxa"/>
              <w:right w:w="15" w:type="dxa"/>
            </w:tcMar>
            <w:vAlign w:val="center"/>
          </w:tcPr>
          <w:p w14:paraId="035A0DB4" w14:textId="77777777" w:rsidR="005F04FE" w:rsidRPr="005F04FE" w:rsidRDefault="005F04FE" w:rsidP="003922A9">
            <w:pPr>
              <w:pStyle w:val="13"/>
              <w:ind w:firstLineChars="0" w:firstLine="0"/>
              <w:jc w:val="right"/>
              <w:rPr>
                <w:sz w:val="18"/>
                <w:szCs w:val="18"/>
              </w:rPr>
            </w:pPr>
            <w:r w:rsidRPr="005F04FE">
              <w:rPr>
                <w:sz w:val="18"/>
                <w:szCs w:val="18"/>
              </w:rPr>
              <w:t>441</w:t>
            </w:r>
          </w:p>
        </w:tc>
      </w:tr>
      <w:tr w:rsidR="005F04FE" w:rsidRPr="005F04FE" w14:paraId="55902B3C" w14:textId="77777777" w:rsidTr="003922A9">
        <w:trPr>
          <w:trHeight w:val="186"/>
        </w:trPr>
        <w:tc>
          <w:tcPr>
            <w:tcW w:w="1078" w:type="pct"/>
            <w:tcMar>
              <w:top w:w="15" w:type="dxa"/>
              <w:left w:w="15" w:type="dxa"/>
              <w:bottom w:w="0" w:type="dxa"/>
              <w:right w:w="15" w:type="dxa"/>
            </w:tcMar>
            <w:vAlign w:val="center"/>
          </w:tcPr>
          <w:p w14:paraId="2C7566EF" w14:textId="77777777" w:rsidR="005F04FE" w:rsidRPr="005F04FE" w:rsidRDefault="005F04FE" w:rsidP="003922A9">
            <w:pPr>
              <w:pStyle w:val="13"/>
              <w:ind w:firstLineChars="0" w:firstLine="0"/>
              <w:rPr>
                <w:sz w:val="18"/>
                <w:szCs w:val="18"/>
              </w:rPr>
            </w:pPr>
            <w:r w:rsidRPr="005F04FE">
              <w:rPr>
                <w:sz w:val="18"/>
                <w:szCs w:val="18"/>
              </w:rPr>
              <w:t>网均产能增长率</w:t>
            </w:r>
          </w:p>
        </w:tc>
        <w:tc>
          <w:tcPr>
            <w:tcW w:w="327" w:type="pct"/>
            <w:tcMar>
              <w:top w:w="15" w:type="dxa"/>
              <w:left w:w="15" w:type="dxa"/>
              <w:bottom w:w="0" w:type="dxa"/>
              <w:right w:w="15" w:type="dxa"/>
            </w:tcMar>
            <w:vAlign w:val="center"/>
          </w:tcPr>
          <w:p w14:paraId="2EFAABDA"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619F998B" w14:textId="77777777" w:rsidR="005F04FE" w:rsidRPr="005F04FE" w:rsidRDefault="005F04FE" w:rsidP="003922A9">
            <w:pPr>
              <w:pStyle w:val="13"/>
              <w:ind w:firstLineChars="0" w:firstLine="0"/>
              <w:jc w:val="right"/>
              <w:rPr>
                <w:sz w:val="18"/>
                <w:szCs w:val="18"/>
              </w:rPr>
            </w:pPr>
            <w:r w:rsidRPr="005F04FE">
              <w:rPr>
                <w:sz w:val="18"/>
                <w:szCs w:val="18"/>
              </w:rPr>
              <w:t>15%</w:t>
            </w:r>
          </w:p>
        </w:tc>
        <w:tc>
          <w:tcPr>
            <w:tcW w:w="327" w:type="pct"/>
            <w:tcMar>
              <w:top w:w="15" w:type="dxa"/>
              <w:left w:w="15" w:type="dxa"/>
              <w:bottom w:w="0" w:type="dxa"/>
              <w:right w:w="15" w:type="dxa"/>
            </w:tcMar>
            <w:vAlign w:val="center"/>
          </w:tcPr>
          <w:p w14:paraId="42D2510C" w14:textId="77777777" w:rsidR="005F04FE" w:rsidRPr="005F04FE" w:rsidRDefault="005F04FE" w:rsidP="003922A9">
            <w:pPr>
              <w:pStyle w:val="13"/>
              <w:ind w:firstLineChars="0" w:firstLine="0"/>
              <w:jc w:val="right"/>
              <w:rPr>
                <w:sz w:val="18"/>
                <w:szCs w:val="18"/>
              </w:rPr>
            </w:pPr>
            <w:r w:rsidRPr="005F04FE">
              <w:rPr>
                <w:sz w:val="18"/>
                <w:szCs w:val="18"/>
              </w:rPr>
              <w:t>9%</w:t>
            </w:r>
          </w:p>
        </w:tc>
        <w:tc>
          <w:tcPr>
            <w:tcW w:w="327" w:type="pct"/>
            <w:tcMar>
              <w:top w:w="15" w:type="dxa"/>
              <w:left w:w="15" w:type="dxa"/>
              <w:bottom w:w="0" w:type="dxa"/>
              <w:right w:w="15" w:type="dxa"/>
            </w:tcMar>
            <w:vAlign w:val="center"/>
          </w:tcPr>
          <w:p w14:paraId="197C1440" w14:textId="77777777" w:rsidR="005F04FE" w:rsidRPr="005F04FE" w:rsidRDefault="005F04FE" w:rsidP="003922A9">
            <w:pPr>
              <w:pStyle w:val="13"/>
              <w:ind w:firstLineChars="0" w:firstLine="0"/>
              <w:jc w:val="right"/>
              <w:rPr>
                <w:sz w:val="18"/>
                <w:szCs w:val="18"/>
              </w:rPr>
            </w:pPr>
            <w:r w:rsidRPr="005F04FE">
              <w:rPr>
                <w:sz w:val="18"/>
                <w:szCs w:val="18"/>
              </w:rPr>
              <w:t>4%</w:t>
            </w:r>
          </w:p>
        </w:tc>
        <w:tc>
          <w:tcPr>
            <w:tcW w:w="327" w:type="pct"/>
            <w:tcMar>
              <w:top w:w="15" w:type="dxa"/>
              <w:left w:w="15" w:type="dxa"/>
              <w:bottom w:w="0" w:type="dxa"/>
              <w:right w:w="15" w:type="dxa"/>
            </w:tcMar>
            <w:vAlign w:val="center"/>
          </w:tcPr>
          <w:p w14:paraId="48219B63" w14:textId="77777777" w:rsidR="005F04FE" w:rsidRPr="005F04FE" w:rsidRDefault="005F04FE" w:rsidP="003922A9">
            <w:pPr>
              <w:pStyle w:val="13"/>
              <w:ind w:firstLineChars="0" w:firstLine="0"/>
              <w:jc w:val="right"/>
              <w:rPr>
                <w:sz w:val="18"/>
                <w:szCs w:val="18"/>
              </w:rPr>
            </w:pPr>
            <w:r w:rsidRPr="005F04FE">
              <w:rPr>
                <w:sz w:val="18"/>
                <w:szCs w:val="18"/>
              </w:rPr>
              <w:t>5%</w:t>
            </w:r>
          </w:p>
        </w:tc>
        <w:tc>
          <w:tcPr>
            <w:tcW w:w="327" w:type="pct"/>
            <w:tcMar>
              <w:top w:w="15" w:type="dxa"/>
              <w:left w:w="15" w:type="dxa"/>
              <w:bottom w:w="0" w:type="dxa"/>
              <w:right w:w="15" w:type="dxa"/>
            </w:tcMar>
            <w:vAlign w:val="center"/>
          </w:tcPr>
          <w:p w14:paraId="4C531163" w14:textId="77777777" w:rsidR="005F04FE" w:rsidRPr="005F04FE" w:rsidRDefault="005F04FE" w:rsidP="003922A9">
            <w:pPr>
              <w:pStyle w:val="13"/>
              <w:ind w:firstLineChars="0" w:firstLine="0"/>
              <w:jc w:val="right"/>
              <w:rPr>
                <w:sz w:val="18"/>
                <w:szCs w:val="18"/>
              </w:rPr>
            </w:pPr>
            <w:r w:rsidRPr="005F04FE">
              <w:rPr>
                <w:sz w:val="18"/>
                <w:szCs w:val="18"/>
              </w:rPr>
              <w:t>4%</w:t>
            </w:r>
          </w:p>
        </w:tc>
        <w:tc>
          <w:tcPr>
            <w:tcW w:w="327" w:type="pct"/>
            <w:tcMar>
              <w:top w:w="15" w:type="dxa"/>
              <w:left w:w="15" w:type="dxa"/>
              <w:bottom w:w="0" w:type="dxa"/>
              <w:right w:w="15" w:type="dxa"/>
            </w:tcMar>
            <w:vAlign w:val="center"/>
          </w:tcPr>
          <w:p w14:paraId="29CED670" w14:textId="77777777" w:rsidR="005F04FE" w:rsidRPr="005F04FE" w:rsidRDefault="005F04FE" w:rsidP="003922A9">
            <w:pPr>
              <w:pStyle w:val="13"/>
              <w:ind w:firstLineChars="0" w:firstLine="0"/>
              <w:jc w:val="right"/>
              <w:rPr>
                <w:sz w:val="18"/>
                <w:szCs w:val="18"/>
              </w:rPr>
            </w:pPr>
            <w:r w:rsidRPr="005F04FE">
              <w:rPr>
                <w:sz w:val="18"/>
                <w:szCs w:val="18"/>
              </w:rPr>
              <w:t>4%</w:t>
            </w:r>
          </w:p>
        </w:tc>
        <w:tc>
          <w:tcPr>
            <w:tcW w:w="327" w:type="pct"/>
            <w:tcMar>
              <w:top w:w="15" w:type="dxa"/>
              <w:left w:w="15" w:type="dxa"/>
              <w:bottom w:w="0" w:type="dxa"/>
              <w:right w:w="15" w:type="dxa"/>
            </w:tcMar>
            <w:vAlign w:val="center"/>
          </w:tcPr>
          <w:p w14:paraId="7F05477F" w14:textId="77777777" w:rsidR="005F04FE" w:rsidRPr="005F04FE" w:rsidRDefault="005F04FE" w:rsidP="003922A9">
            <w:pPr>
              <w:pStyle w:val="13"/>
              <w:ind w:firstLineChars="0" w:firstLine="0"/>
              <w:jc w:val="right"/>
              <w:rPr>
                <w:sz w:val="18"/>
                <w:szCs w:val="18"/>
              </w:rPr>
            </w:pPr>
            <w:r w:rsidRPr="005F04FE">
              <w:rPr>
                <w:sz w:val="18"/>
                <w:szCs w:val="18"/>
              </w:rPr>
              <w:t>3%</w:t>
            </w:r>
          </w:p>
        </w:tc>
        <w:tc>
          <w:tcPr>
            <w:tcW w:w="327" w:type="pct"/>
            <w:tcMar>
              <w:top w:w="15" w:type="dxa"/>
              <w:left w:w="15" w:type="dxa"/>
              <w:bottom w:w="0" w:type="dxa"/>
              <w:right w:w="15" w:type="dxa"/>
            </w:tcMar>
            <w:vAlign w:val="center"/>
          </w:tcPr>
          <w:p w14:paraId="0894D7EA" w14:textId="77777777" w:rsidR="005F04FE" w:rsidRPr="005F04FE" w:rsidRDefault="005F04FE" w:rsidP="003922A9">
            <w:pPr>
              <w:pStyle w:val="13"/>
              <w:ind w:firstLineChars="0" w:firstLine="0"/>
              <w:jc w:val="right"/>
              <w:rPr>
                <w:sz w:val="18"/>
                <w:szCs w:val="18"/>
              </w:rPr>
            </w:pPr>
            <w:r w:rsidRPr="005F04FE">
              <w:rPr>
                <w:sz w:val="18"/>
                <w:szCs w:val="18"/>
              </w:rPr>
              <w:t>3%</w:t>
            </w:r>
          </w:p>
        </w:tc>
        <w:tc>
          <w:tcPr>
            <w:tcW w:w="327" w:type="pct"/>
            <w:tcMar>
              <w:top w:w="15" w:type="dxa"/>
              <w:left w:w="15" w:type="dxa"/>
              <w:bottom w:w="0" w:type="dxa"/>
              <w:right w:w="15" w:type="dxa"/>
            </w:tcMar>
            <w:vAlign w:val="center"/>
          </w:tcPr>
          <w:p w14:paraId="512BDA63" w14:textId="77777777" w:rsidR="005F04FE" w:rsidRPr="005F04FE" w:rsidRDefault="005F04FE" w:rsidP="003922A9">
            <w:pPr>
              <w:pStyle w:val="13"/>
              <w:ind w:firstLineChars="0" w:firstLine="0"/>
              <w:jc w:val="right"/>
              <w:rPr>
                <w:sz w:val="18"/>
                <w:szCs w:val="18"/>
              </w:rPr>
            </w:pPr>
            <w:r w:rsidRPr="005F04FE">
              <w:rPr>
                <w:sz w:val="18"/>
                <w:szCs w:val="18"/>
              </w:rPr>
              <w:t>2%</w:t>
            </w:r>
          </w:p>
        </w:tc>
        <w:tc>
          <w:tcPr>
            <w:tcW w:w="327" w:type="pct"/>
            <w:tcMar>
              <w:top w:w="15" w:type="dxa"/>
              <w:left w:w="15" w:type="dxa"/>
              <w:bottom w:w="0" w:type="dxa"/>
              <w:right w:w="15" w:type="dxa"/>
            </w:tcMar>
            <w:vAlign w:val="center"/>
          </w:tcPr>
          <w:p w14:paraId="1A65F284" w14:textId="77777777" w:rsidR="005F04FE" w:rsidRPr="005F04FE" w:rsidRDefault="005F04FE" w:rsidP="003922A9">
            <w:pPr>
              <w:pStyle w:val="13"/>
              <w:ind w:firstLineChars="0" w:firstLine="0"/>
              <w:jc w:val="right"/>
              <w:rPr>
                <w:sz w:val="18"/>
                <w:szCs w:val="18"/>
              </w:rPr>
            </w:pPr>
            <w:r w:rsidRPr="005F04FE">
              <w:rPr>
                <w:sz w:val="18"/>
                <w:szCs w:val="18"/>
              </w:rPr>
              <w:t>2%</w:t>
            </w:r>
          </w:p>
        </w:tc>
        <w:tc>
          <w:tcPr>
            <w:tcW w:w="327" w:type="pct"/>
            <w:tcMar>
              <w:top w:w="15" w:type="dxa"/>
              <w:left w:w="15" w:type="dxa"/>
              <w:bottom w:w="0" w:type="dxa"/>
              <w:right w:w="15" w:type="dxa"/>
            </w:tcMar>
            <w:vAlign w:val="center"/>
          </w:tcPr>
          <w:p w14:paraId="541570AB" w14:textId="77777777" w:rsidR="005F04FE" w:rsidRPr="005F04FE" w:rsidRDefault="005F04FE" w:rsidP="003922A9">
            <w:pPr>
              <w:pStyle w:val="13"/>
              <w:ind w:firstLineChars="0" w:firstLine="0"/>
              <w:jc w:val="right"/>
              <w:rPr>
                <w:sz w:val="18"/>
                <w:szCs w:val="18"/>
              </w:rPr>
            </w:pPr>
            <w:r w:rsidRPr="005F04FE">
              <w:rPr>
                <w:sz w:val="18"/>
                <w:szCs w:val="18"/>
              </w:rPr>
              <w:t>1%</w:t>
            </w:r>
          </w:p>
        </w:tc>
      </w:tr>
      <w:tr w:rsidR="005F04FE" w:rsidRPr="005F04FE" w14:paraId="2FD4B429" w14:textId="77777777" w:rsidTr="003922A9">
        <w:trPr>
          <w:trHeight w:val="186"/>
        </w:trPr>
        <w:tc>
          <w:tcPr>
            <w:tcW w:w="1078" w:type="pct"/>
            <w:tcMar>
              <w:top w:w="15" w:type="dxa"/>
              <w:left w:w="15" w:type="dxa"/>
              <w:bottom w:w="0" w:type="dxa"/>
              <w:right w:w="15" w:type="dxa"/>
            </w:tcMar>
            <w:vAlign w:val="center"/>
          </w:tcPr>
          <w:p w14:paraId="16D771D8" w14:textId="77777777" w:rsidR="005F04FE" w:rsidRPr="005F04FE" w:rsidRDefault="005F04FE" w:rsidP="003922A9">
            <w:pPr>
              <w:pStyle w:val="13"/>
              <w:ind w:firstLineChars="0" w:firstLine="0"/>
              <w:rPr>
                <w:sz w:val="18"/>
                <w:szCs w:val="18"/>
              </w:rPr>
            </w:pPr>
            <w:r w:rsidRPr="005F04FE">
              <w:rPr>
                <w:sz w:val="18"/>
                <w:szCs w:val="18"/>
              </w:rPr>
              <w:t>ANP（百万元）</w:t>
            </w:r>
          </w:p>
        </w:tc>
        <w:tc>
          <w:tcPr>
            <w:tcW w:w="327" w:type="pct"/>
            <w:tcMar>
              <w:top w:w="15" w:type="dxa"/>
              <w:left w:w="15" w:type="dxa"/>
              <w:bottom w:w="0" w:type="dxa"/>
              <w:right w:w="15" w:type="dxa"/>
            </w:tcMar>
            <w:vAlign w:val="center"/>
          </w:tcPr>
          <w:p w14:paraId="62372529" w14:textId="77777777" w:rsidR="005F04FE" w:rsidRPr="005F04FE" w:rsidRDefault="005F04FE" w:rsidP="003922A9">
            <w:pPr>
              <w:pStyle w:val="13"/>
              <w:ind w:firstLineChars="0" w:firstLine="0"/>
              <w:jc w:val="right"/>
              <w:rPr>
                <w:sz w:val="18"/>
                <w:szCs w:val="18"/>
              </w:rPr>
            </w:pPr>
            <w:r w:rsidRPr="005F04FE">
              <w:rPr>
                <w:sz w:val="18"/>
                <w:szCs w:val="18"/>
              </w:rPr>
              <w:t>384</w:t>
            </w:r>
          </w:p>
        </w:tc>
        <w:tc>
          <w:tcPr>
            <w:tcW w:w="327" w:type="pct"/>
            <w:tcMar>
              <w:top w:w="15" w:type="dxa"/>
              <w:left w:w="15" w:type="dxa"/>
              <w:bottom w:w="0" w:type="dxa"/>
              <w:right w:w="15" w:type="dxa"/>
            </w:tcMar>
            <w:vAlign w:val="center"/>
          </w:tcPr>
          <w:p w14:paraId="789990D9" w14:textId="77777777" w:rsidR="005F04FE" w:rsidRPr="005F04FE" w:rsidRDefault="005F04FE" w:rsidP="003922A9">
            <w:pPr>
              <w:pStyle w:val="13"/>
              <w:ind w:firstLineChars="0" w:firstLine="0"/>
              <w:jc w:val="right"/>
              <w:rPr>
                <w:sz w:val="18"/>
                <w:szCs w:val="18"/>
              </w:rPr>
            </w:pPr>
            <w:r w:rsidRPr="005F04FE">
              <w:rPr>
                <w:sz w:val="18"/>
                <w:szCs w:val="18"/>
              </w:rPr>
              <w:t>449</w:t>
            </w:r>
          </w:p>
        </w:tc>
        <w:tc>
          <w:tcPr>
            <w:tcW w:w="327" w:type="pct"/>
            <w:tcMar>
              <w:top w:w="15" w:type="dxa"/>
              <w:left w:w="15" w:type="dxa"/>
              <w:bottom w:w="0" w:type="dxa"/>
              <w:right w:w="15" w:type="dxa"/>
            </w:tcMar>
            <w:vAlign w:val="center"/>
          </w:tcPr>
          <w:p w14:paraId="3656D7CF" w14:textId="77777777" w:rsidR="005F04FE" w:rsidRPr="005F04FE" w:rsidRDefault="005F04FE" w:rsidP="003922A9">
            <w:pPr>
              <w:pStyle w:val="13"/>
              <w:ind w:firstLineChars="0" w:firstLine="0"/>
              <w:jc w:val="right"/>
              <w:rPr>
                <w:sz w:val="18"/>
                <w:szCs w:val="18"/>
              </w:rPr>
            </w:pPr>
            <w:r w:rsidRPr="005F04FE">
              <w:rPr>
                <w:sz w:val="18"/>
                <w:szCs w:val="18"/>
              </w:rPr>
              <w:t>520</w:t>
            </w:r>
          </w:p>
        </w:tc>
        <w:tc>
          <w:tcPr>
            <w:tcW w:w="327" w:type="pct"/>
            <w:tcMar>
              <w:top w:w="15" w:type="dxa"/>
              <w:left w:w="15" w:type="dxa"/>
              <w:bottom w:w="0" w:type="dxa"/>
              <w:right w:w="15" w:type="dxa"/>
            </w:tcMar>
            <w:vAlign w:val="center"/>
          </w:tcPr>
          <w:p w14:paraId="3CA1E728" w14:textId="77777777" w:rsidR="005F04FE" w:rsidRPr="005F04FE" w:rsidRDefault="005F04FE" w:rsidP="003922A9">
            <w:pPr>
              <w:pStyle w:val="13"/>
              <w:ind w:firstLineChars="0" w:firstLine="0"/>
              <w:jc w:val="right"/>
              <w:rPr>
                <w:sz w:val="18"/>
                <w:szCs w:val="18"/>
              </w:rPr>
            </w:pPr>
            <w:r w:rsidRPr="005F04FE">
              <w:rPr>
                <w:sz w:val="18"/>
                <w:szCs w:val="18"/>
              </w:rPr>
              <w:t>585</w:t>
            </w:r>
          </w:p>
        </w:tc>
        <w:tc>
          <w:tcPr>
            <w:tcW w:w="327" w:type="pct"/>
            <w:tcMar>
              <w:top w:w="15" w:type="dxa"/>
              <w:left w:w="15" w:type="dxa"/>
              <w:bottom w:w="0" w:type="dxa"/>
              <w:right w:w="15" w:type="dxa"/>
            </w:tcMar>
            <w:vAlign w:val="center"/>
          </w:tcPr>
          <w:p w14:paraId="2A2DC3E5" w14:textId="77777777" w:rsidR="005F04FE" w:rsidRPr="005F04FE" w:rsidRDefault="005F04FE" w:rsidP="003922A9">
            <w:pPr>
              <w:pStyle w:val="13"/>
              <w:ind w:firstLineChars="0" w:firstLine="0"/>
              <w:jc w:val="right"/>
              <w:rPr>
                <w:sz w:val="18"/>
                <w:szCs w:val="18"/>
              </w:rPr>
            </w:pPr>
            <w:r w:rsidRPr="005F04FE">
              <w:rPr>
                <w:sz w:val="18"/>
                <w:szCs w:val="18"/>
              </w:rPr>
              <w:t>660</w:t>
            </w:r>
          </w:p>
        </w:tc>
        <w:tc>
          <w:tcPr>
            <w:tcW w:w="327" w:type="pct"/>
            <w:tcMar>
              <w:top w:w="15" w:type="dxa"/>
              <w:left w:w="15" w:type="dxa"/>
              <w:bottom w:w="0" w:type="dxa"/>
              <w:right w:w="15" w:type="dxa"/>
            </w:tcMar>
            <w:vAlign w:val="center"/>
          </w:tcPr>
          <w:p w14:paraId="38C10447" w14:textId="77777777" w:rsidR="005F04FE" w:rsidRPr="005F04FE" w:rsidRDefault="005F04FE" w:rsidP="003922A9">
            <w:pPr>
              <w:pStyle w:val="13"/>
              <w:ind w:firstLineChars="0" w:firstLine="0"/>
              <w:jc w:val="right"/>
              <w:rPr>
                <w:sz w:val="18"/>
                <w:szCs w:val="18"/>
              </w:rPr>
            </w:pPr>
            <w:r w:rsidRPr="005F04FE">
              <w:rPr>
                <w:sz w:val="18"/>
                <w:szCs w:val="18"/>
              </w:rPr>
              <w:t>740</w:t>
            </w:r>
          </w:p>
        </w:tc>
        <w:tc>
          <w:tcPr>
            <w:tcW w:w="327" w:type="pct"/>
            <w:tcMar>
              <w:top w:w="15" w:type="dxa"/>
              <w:left w:w="15" w:type="dxa"/>
              <w:bottom w:w="0" w:type="dxa"/>
              <w:right w:w="15" w:type="dxa"/>
            </w:tcMar>
            <w:vAlign w:val="center"/>
          </w:tcPr>
          <w:p w14:paraId="5FCDFAB2" w14:textId="77777777" w:rsidR="005F04FE" w:rsidRPr="005F04FE" w:rsidRDefault="005F04FE" w:rsidP="003922A9">
            <w:pPr>
              <w:pStyle w:val="13"/>
              <w:ind w:firstLineChars="0" w:firstLine="0"/>
              <w:jc w:val="right"/>
              <w:rPr>
                <w:sz w:val="18"/>
                <w:szCs w:val="18"/>
              </w:rPr>
            </w:pPr>
            <w:r w:rsidRPr="005F04FE">
              <w:rPr>
                <w:sz w:val="18"/>
                <w:szCs w:val="18"/>
              </w:rPr>
              <w:t>821</w:t>
            </w:r>
          </w:p>
        </w:tc>
        <w:tc>
          <w:tcPr>
            <w:tcW w:w="327" w:type="pct"/>
            <w:tcMar>
              <w:top w:w="15" w:type="dxa"/>
              <w:left w:w="15" w:type="dxa"/>
              <w:bottom w:w="0" w:type="dxa"/>
              <w:right w:w="15" w:type="dxa"/>
            </w:tcMar>
            <w:vAlign w:val="center"/>
          </w:tcPr>
          <w:p w14:paraId="7C1775DF" w14:textId="77777777" w:rsidR="005F04FE" w:rsidRPr="005F04FE" w:rsidRDefault="005F04FE" w:rsidP="003922A9">
            <w:pPr>
              <w:pStyle w:val="13"/>
              <w:ind w:firstLineChars="0" w:firstLine="0"/>
              <w:jc w:val="right"/>
              <w:rPr>
                <w:sz w:val="18"/>
                <w:szCs w:val="18"/>
              </w:rPr>
            </w:pPr>
            <w:r w:rsidRPr="005F04FE">
              <w:rPr>
                <w:sz w:val="18"/>
                <w:szCs w:val="18"/>
              </w:rPr>
              <w:t>903</w:t>
            </w:r>
          </w:p>
        </w:tc>
        <w:tc>
          <w:tcPr>
            <w:tcW w:w="327" w:type="pct"/>
            <w:tcMar>
              <w:top w:w="15" w:type="dxa"/>
              <w:left w:w="15" w:type="dxa"/>
              <w:bottom w:w="0" w:type="dxa"/>
              <w:right w:w="15" w:type="dxa"/>
            </w:tcMar>
            <w:vAlign w:val="center"/>
          </w:tcPr>
          <w:p w14:paraId="2B11EBD7" w14:textId="77777777" w:rsidR="005F04FE" w:rsidRPr="005F04FE" w:rsidRDefault="005F04FE" w:rsidP="003922A9">
            <w:pPr>
              <w:pStyle w:val="13"/>
              <w:ind w:firstLineChars="0" w:firstLine="0"/>
              <w:jc w:val="right"/>
              <w:rPr>
                <w:sz w:val="18"/>
                <w:szCs w:val="18"/>
              </w:rPr>
            </w:pPr>
            <w:r w:rsidRPr="005F04FE">
              <w:rPr>
                <w:sz w:val="18"/>
                <w:szCs w:val="18"/>
              </w:rPr>
              <w:t>985</w:t>
            </w:r>
          </w:p>
        </w:tc>
        <w:tc>
          <w:tcPr>
            <w:tcW w:w="327" w:type="pct"/>
            <w:tcMar>
              <w:top w:w="15" w:type="dxa"/>
              <w:left w:w="15" w:type="dxa"/>
              <w:bottom w:w="0" w:type="dxa"/>
              <w:right w:w="15" w:type="dxa"/>
            </w:tcMar>
            <w:vAlign w:val="center"/>
          </w:tcPr>
          <w:p w14:paraId="69916C72" w14:textId="77777777" w:rsidR="005F04FE" w:rsidRPr="005F04FE" w:rsidRDefault="005F04FE" w:rsidP="003922A9">
            <w:pPr>
              <w:pStyle w:val="13"/>
              <w:ind w:firstLineChars="0" w:firstLine="0"/>
              <w:jc w:val="right"/>
              <w:rPr>
                <w:sz w:val="18"/>
                <w:szCs w:val="18"/>
              </w:rPr>
            </w:pPr>
            <w:r w:rsidRPr="005F04FE">
              <w:rPr>
                <w:sz w:val="18"/>
                <w:szCs w:val="18"/>
              </w:rPr>
              <w:t>1,063</w:t>
            </w:r>
          </w:p>
        </w:tc>
        <w:tc>
          <w:tcPr>
            <w:tcW w:w="327" w:type="pct"/>
            <w:tcMar>
              <w:top w:w="15" w:type="dxa"/>
              <w:left w:w="15" w:type="dxa"/>
              <w:bottom w:w="0" w:type="dxa"/>
              <w:right w:w="15" w:type="dxa"/>
            </w:tcMar>
            <w:vAlign w:val="center"/>
          </w:tcPr>
          <w:p w14:paraId="0AFA4D59" w14:textId="77777777" w:rsidR="005F04FE" w:rsidRPr="005F04FE" w:rsidRDefault="005F04FE" w:rsidP="003922A9">
            <w:pPr>
              <w:pStyle w:val="13"/>
              <w:ind w:firstLineChars="0" w:firstLine="0"/>
              <w:jc w:val="right"/>
              <w:rPr>
                <w:sz w:val="18"/>
                <w:szCs w:val="18"/>
              </w:rPr>
            </w:pPr>
            <w:r w:rsidRPr="005F04FE">
              <w:rPr>
                <w:sz w:val="18"/>
                <w:szCs w:val="18"/>
              </w:rPr>
              <w:t>1,138</w:t>
            </w:r>
          </w:p>
        </w:tc>
        <w:tc>
          <w:tcPr>
            <w:tcW w:w="327" w:type="pct"/>
            <w:tcMar>
              <w:top w:w="15" w:type="dxa"/>
              <w:left w:w="15" w:type="dxa"/>
              <w:bottom w:w="0" w:type="dxa"/>
              <w:right w:w="15" w:type="dxa"/>
            </w:tcMar>
            <w:vAlign w:val="center"/>
          </w:tcPr>
          <w:p w14:paraId="3F761371" w14:textId="77777777" w:rsidR="005F04FE" w:rsidRPr="005F04FE" w:rsidRDefault="005F04FE" w:rsidP="003922A9">
            <w:pPr>
              <w:pStyle w:val="13"/>
              <w:ind w:firstLineChars="0" w:firstLine="0"/>
              <w:jc w:val="right"/>
              <w:rPr>
                <w:sz w:val="18"/>
                <w:szCs w:val="18"/>
              </w:rPr>
            </w:pPr>
            <w:r w:rsidRPr="005F04FE">
              <w:rPr>
                <w:sz w:val="18"/>
                <w:szCs w:val="18"/>
              </w:rPr>
              <w:t>1,206</w:t>
            </w:r>
          </w:p>
        </w:tc>
      </w:tr>
      <w:tr w:rsidR="005F04FE" w:rsidRPr="005F04FE" w14:paraId="2641E7D4" w14:textId="77777777" w:rsidTr="003922A9">
        <w:trPr>
          <w:trHeight w:val="166"/>
        </w:trPr>
        <w:tc>
          <w:tcPr>
            <w:tcW w:w="1078" w:type="pct"/>
            <w:tcMar>
              <w:top w:w="15" w:type="dxa"/>
              <w:left w:w="15" w:type="dxa"/>
              <w:bottom w:w="0" w:type="dxa"/>
              <w:right w:w="15" w:type="dxa"/>
            </w:tcMar>
            <w:vAlign w:val="center"/>
          </w:tcPr>
          <w:p w14:paraId="0E106822" w14:textId="77777777" w:rsidR="005F04FE" w:rsidRPr="005F04FE" w:rsidRDefault="005F04FE" w:rsidP="003922A9">
            <w:pPr>
              <w:pStyle w:val="13"/>
              <w:ind w:firstLineChars="0" w:firstLine="0"/>
              <w:jc w:val="center"/>
              <w:rPr>
                <w:sz w:val="18"/>
                <w:szCs w:val="18"/>
              </w:rPr>
            </w:pPr>
            <w:proofErr w:type="gramStart"/>
            <w:r w:rsidRPr="005F04FE">
              <w:rPr>
                <w:b/>
                <w:bCs/>
                <w:sz w:val="18"/>
                <w:szCs w:val="18"/>
              </w:rPr>
              <w:t>经代渠道</w:t>
            </w:r>
            <w:proofErr w:type="gramEnd"/>
          </w:p>
        </w:tc>
        <w:tc>
          <w:tcPr>
            <w:tcW w:w="327" w:type="pct"/>
            <w:tcMar>
              <w:top w:w="15" w:type="dxa"/>
              <w:left w:w="15" w:type="dxa"/>
              <w:bottom w:w="0" w:type="dxa"/>
              <w:right w:w="15" w:type="dxa"/>
            </w:tcMar>
            <w:vAlign w:val="center"/>
          </w:tcPr>
          <w:p w14:paraId="26778EA9"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53A8A69C"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080C97E0"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662B20BF"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1F943E51"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152777BB"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2628ED4B"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0B241E1B"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03A3ACB5"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39254664"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660A2B5D"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2F2E821A" w14:textId="77777777" w:rsidR="005F04FE" w:rsidRPr="005F04FE" w:rsidRDefault="005F04FE" w:rsidP="003922A9">
            <w:pPr>
              <w:pStyle w:val="13"/>
              <w:ind w:firstLineChars="0" w:firstLine="0"/>
              <w:jc w:val="right"/>
              <w:rPr>
                <w:sz w:val="18"/>
                <w:szCs w:val="18"/>
              </w:rPr>
            </w:pPr>
          </w:p>
        </w:tc>
      </w:tr>
      <w:tr w:rsidR="005F04FE" w:rsidRPr="005F04FE" w14:paraId="1DA6015C" w14:textId="77777777" w:rsidTr="003922A9">
        <w:trPr>
          <w:trHeight w:val="186"/>
        </w:trPr>
        <w:tc>
          <w:tcPr>
            <w:tcW w:w="1078" w:type="pct"/>
            <w:tcMar>
              <w:top w:w="15" w:type="dxa"/>
              <w:left w:w="15" w:type="dxa"/>
              <w:bottom w:w="0" w:type="dxa"/>
              <w:right w:w="15" w:type="dxa"/>
            </w:tcMar>
            <w:vAlign w:val="center"/>
          </w:tcPr>
          <w:p w14:paraId="49677553" w14:textId="77777777" w:rsidR="005F04FE" w:rsidRPr="005F04FE" w:rsidRDefault="005F04FE" w:rsidP="003922A9">
            <w:pPr>
              <w:pStyle w:val="13"/>
              <w:ind w:firstLineChars="0" w:firstLine="0"/>
              <w:rPr>
                <w:sz w:val="18"/>
                <w:szCs w:val="18"/>
              </w:rPr>
            </w:pPr>
            <w:proofErr w:type="gramStart"/>
            <w:r w:rsidRPr="005F04FE">
              <w:rPr>
                <w:sz w:val="18"/>
                <w:szCs w:val="18"/>
              </w:rPr>
              <w:t>活动经代公司</w:t>
            </w:r>
            <w:proofErr w:type="gramEnd"/>
            <w:r w:rsidRPr="005F04FE">
              <w:rPr>
                <w:sz w:val="18"/>
                <w:szCs w:val="18"/>
              </w:rPr>
              <w:t>数量</w:t>
            </w:r>
          </w:p>
        </w:tc>
        <w:tc>
          <w:tcPr>
            <w:tcW w:w="327" w:type="pct"/>
            <w:tcMar>
              <w:top w:w="15" w:type="dxa"/>
              <w:left w:w="15" w:type="dxa"/>
              <w:bottom w:w="0" w:type="dxa"/>
              <w:right w:w="15" w:type="dxa"/>
            </w:tcMar>
            <w:vAlign w:val="center"/>
          </w:tcPr>
          <w:p w14:paraId="210CCBAB" w14:textId="77777777" w:rsidR="005F04FE" w:rsidRPr="005F04FE" w:rsidRDefault="005F04FE" w:rsidP="003922A9">
            <w:pPr>
              <w:pStyle w:val="13"/>
              <w:ind w:firstLineChars="0" w:firstLine="0"/>
              <w:jc w:val="right"/>
              <w:rPr>
                <w:sz w:val="18"/>
                <w:szCs w:val="18"/>
              </w:rPr>
            </w:pPr>
            <w:r w:rsidRPr="005F04FE">
              <w:rPr>
                <w:sz w:val="18"/>
                <w:szCs w:val="18"/>
              </w:rPr>
              <w:t>37</w:t>
            </w:r>
          </w:p>
        </w:tc>
        <w:tc>
          <w:tcPr>
            <w:tcW w:w="327" w:type="pct"/>
            <w:tcMar>
              <w:top w:w="15" w:type="dxa"/>
              <w:left w:w="15" w:type="dxa"/>
              <w:bottom w:w="0" w:type="dxa"/>
              <w:right w:w="15" w:type="dxa"/>
            </w:tcMar>
            <w:vAlign w:val="center"/>
          </w:tcPr>
          <w:p w14:paraId="02EE22C9" w14:textId="77777777" w:rsidR="005F04FE" w:rsidRPr="005F04FE" w:rsidRDefault="005F04FE" w:rsidP="003922A9">
            <w:pPr>
              <w:pStyle w:val="13"/>
              <w:ind w:firstLineChars="0" w:firstLine="0"/>
              <w:jc w:val="right"/>
              <w:rPr>
                <w:sz w:val="18"/>
                <w:szCs w:val="18"/>
              </w:rPr>
            </w:pPr>
            <w:r w:rsidRPr="005F04FE">
              <w:rPr>
                <w:sz w:val="18"/>
                <w:szCs w:val="18"/>
              </w:rPr>
              <w:t>43</w:t>
            </w:r>
          </w:p>
        </w:tc>
        <w:tc>
          <w:tcPr>
            <w:tcW w:w="327" w:type="pct"/>
            <w:tcMar>
              <w:top w:w="15" w:type="dxa"/>
              <w:left w:w="15" w:type="dxa"/>
              <w:bottom w:w="0" w:type="dxa"/>
              <w:right w:w="15" w:type="dxa"/>
            </w:tcMar>
            <w:vAlign w:val="center"/>
          </w:tcPr>
          <w:p w14:paraId="04B92D53" w14:textId="77777777" w:rsidR="005F04FE" w:rsidRPr="005F04FE" w:rsidRDefault="005F04FE" w:rsidP="003922A9">
            <w:pPr>
              <w:pStyle w:val="13"/>
              <w:ind w:firstLineChars="0" w:firstLine="0"/>
              <w:jc w:val="right"/>
              <w:rPr>
                <w:sz w:val="18"/>
                <w:szCs w:val="18"/>
              </w:rPr>
            </w:pPr>
            <w:r w:rsidRPr="005F04FE">
              <w:rPr>
                <w:sz w:val="18"/>
                <w:szCs w:val="18"/>
              </w:rPr>
              <w:t>48</w:t>
            </w:r>
          </w:p>
        </w:tc>
        <w:tc>
          <w:tcPr>
            <w:tcW w:w="327" w:type="pct"/>
            <w:tcMar>
              <w:top w:w="15" w:type="dxa"/>
              <w:left w:w="15" w:type="dxa"/>
              <w:bottom w:w="0" w:type="dxa"/>
              <w:right w:w="15" w:type="dxa"/>
            </w:tcMar>
            <w:vAlign w:val="center"/>
          </w:tcPr>
          <w:p w14:paraId="4F0C7463" w14:textId="77777777" w:rsidR="005F04FE" w:rsidRPr="005F04FE" w:rsidRDefault="005F04FE" w:rsidP="003922A9">
            <w:pPr>
              <w:pStyle w:val="13"/>
              <w:ind w:firstLineChars="0" w:firstLine="0"/>
              <w:jc w:val="right"/>
              <w:rPr>
                <w:sz w:val="18"/>
                <w:szCs w:val="18"/>
              </w:rPr>
            </w:pPr>
            <w:r w:rsidRPr="005F04FE">
              <w:rPr>
                <w:sz w:val="18"/>
                <w:szCs w:val="18"/>
              </w:rPr>
              <w:t>54</w:t>
            </w:r>
          </w:p>
        </w:tc>
        <w:tc>
          <w:tcPr>
            <w:tcW w:w="327" w:type="pct"/>
            <w:tcMar>
              <w:top w:w="15" w:type="dxa"/>
              <w:left w:w="15" w:type="dxa"/>
              <w:bottom w:w="0" w:type="dxa"/>
              <w:right w:w="15" w:type="dxa"/>
            </w:tcMar>
            <w:vAlign w:val="center"/>
          </w:tcPr>
          <w:p w14:paraId="2BD9E362" w14:textId="77777777" w:rsidR="005F04FE" w:rsidRPr="005F04FE" w:rsidRDefault="005F04FE" w:rsidP="003922A9">
            <w:pPr>
              <w:pStyle w:val="13"/>
              <w:ind w:firstLineChars="0" w:firstLine="0"/>
              <w:jc w:val="right"/>
              <w:rPr>
                <w:sz w:val="18"/>
                <w:szCs w:val="18"/>
              </w:rPr>
            </w:pPr>
            <w:r w:rsidRPr="005F04FE">
              <w:rPr>
                <w:sz w:val="18"/>
                <w:szCs w:val="18"/>
              </w:rPr>
              <w:t>58</w:t>
            </w:r>
          </w:p>
        </w:tc>
        <w:tc>
          <w:tcPr>
            <w:tcW w:w="327" w:type="pct"/>
            <w:tcMar>
              <w:top w:w="15" w:type="dxa"/>
              <w:left w:w="15" w:type="dxa"/>
              <w:bottom w:w="0" w:type="dxa"/>
              <w:right w:w="15" w:type="dxa"/>
            </w:tcMar>
            <w:vAlign w:val="center"/>
          </w:tcPr>
          <w:p w14:paraId="60F4E098" w14:textId="77777777" w:rsidR="005F04FE" w:rsidRPr="005F04FE" w:rsidRDefault="005F04FE" w:rsidP="003922A9">
            <w:pPr>
              <w:pStyle w:val="13"/>
              <w:ind w:firstLineChars="0" w:firstLine="0"/>
              <w:jc w:val="right"/>
              <w:rPr>
                <w:sz w:val="18"/>
                <w:szCs w:val="18"/>
              </w:rPr>
            </w:pPr>
            <w:r w:rsidRPr="005F04FE">
              <w:rPr>
                <w:sz w:val="18"/>
                <w:szCs w:val="18"/>
              </w:rPr>
              <w:t>63</w:t>
            </w:r>
          </w:p>
        </w:tc>
        <w:tc>
          <w:tcPr>
            <w:tcW w:w="327" w:type="pct"/>
            <w:tcMar>
              <w:top w:w="15" w:type="dxa"/>
              <w:left w:w="15" w:type="dxa"/>
              <w:bottom w:w="0" w:type="dxa"/>
              <w:right w:w="15" w:type="dxa"/>
            </w:tcMar>
            <w:vAlign w:val="center"/>
          </w:tcPr>
          <w:p w14:paraId="2D5917B0" w14:textId="77777777" w:rsidR="005F04FE" w:rsidRPr="005F04FE" w:rsidRDefault="005F04FE" w:rsidP="003922A9">
            <w:pPr>
              <w:pStyle w:val="13"/>
              <w:ind w:firstLineChars="0" w:firstLine="0"/>
              <w:jc w:val="right"/>
              <w:rPr>
                <w:sz w:val="18"/>
                <w:szCs w:val="18"/>
              </w:rPr>
            </w:pPr>
            <w:r w:rsidRPr="005F04FE">
              <w:rPr>
                <w:sz w:val="18"/>
                <w:szCs w:val="18"/>
              </w:rPr>
              <w:t>68</w:t>
            </w:r>
          </w:p>
        </w:tc>
        <w:tc>
          <w:tcPr>
            <w:tcW w:w="327" w:type="pct"/>
            <w:tcMar>
              <w:top w:w="15" w:type="dxa"/>
              <w:left w:w="15" w:type="dxa"/>
              <w:bottom w:w="0" w:type="dxa"/>
              <w:right w:w="15" w:type="dxa"/>
            </w:tcMar>
            <w:vAlign w:val="center"/>
          </w:tcPr>
          <w:p w14:paraId="4DEE8710" w14:textId="77777777" w:rsidR="005F04FE" w:rsidRPr="005F04FE" w:rsidRDefault="005F04FE" w:rsidP="003922A9">
            <w:pPr>
              <w:pStyle w:val="13"/>
              <w:ind w:firstLineChars="0" w:firstLine="0"/>
              <w:jc w:val="right"/>
              <w:rPr>
                <w:sz w:val="18"/>
                <w:szCs w:val="18"/>
              </w:rPr>
            </w:pPr>
            <w:r w:rsidRPr="005F04FE">
              <w:rPr>
                <w:sz w:val="18"/>
                <w:szCs w:val="18"/>
              </w:rPr>
              <w:t>73</w:t>
            </w:r>
          </w:p>
        </w:tc>
        <w:tc>
          <w:tcPr>
            <w:tcW w:w="327" w:type="pct"/>
            <w:tcMar>
              <w:top w:w="15" w:type="dxa"/>
              <w:left w:w="15" w:type="dxa"/>
              <w:bottom w:w="0" w:type="dxa"/>
              <w:right w:w="15" w:type="dxa"/>
            </w:tcMar>
            <w:vAlign w:val="center"/>
          </w:tcPr>
          <w:p w14:paraId="52C05FA1" w14:textId="77777777" w:rsidR="005F04FE" w:rsidRPr="005F04FE" w:rsidRDefault="005F04FE" w:rsidP="003922A9">
            <w:pPr>
              <w:pStyle w:val="13"/>
              <w:ind w:firstLineChars="0" w:firstLine="0"/>
              <w:jc w:val="right"/>
              <w:rPr>
                <w:sz w:val="18"/>
                <w:szCs w:val="18"/>
              </w:rPr>
            </w:pPr>
            <w:r w:rsidRPr="005F04FE">
              <w:rPr>
                <w:sz w:val="18"/>
                <w:szCs w:val="18"/>
              </w:rPr>
              <w:t>78</w:t>
            </w:r>
          </w:p>
        </w:tc>
        <w:tc>
          <w:tcPr>
            <w:tcW w:w="327" w:type="pct"/>
            <w:tcMar>
              <w:top w:w="15" w:type="dxa"/>
              <w:left w:w="15" w:type="dxa"/>
              <w:bottom w:w="0" w:type="dxa"/>
              <w:right w:w="15" w:type="dxa"/>
            </w:tcMar>
            <w:vAlign w:val="center"/>
          </w:tcPr>
          <w:p w14:paraId="39219621" w14:textId="77777777" w:rsidR="005F04FE" w:rsidRPr="005F04FE" w:rsidRDefault="005F04FE" w:rsidP="003922A9">
            <w:pPr>
              <w:pStyle w:val="13"/>
              <w:ind w:firstLineChars="0" w:firstLine="0"/>
              <w:jc w:val="right"/>
              <w:rPr>
                <w:sz w:val="18"/>
                <w:szCs w:val="18"/>
              </w:rPr>
            </w:pPr>
            <w:r w:rsidRPr="005F04FE">
              <w:rPr>
                <w:sz w:val="18"/>
                <w:szCs w:val="18"/>
              </w:rPr>
              <w:t>83</w:t>
            </w:r>
          </w:p>
        </w:tc>
        <w:tc>
          <w:tcPr>
            <w:tcW w:w="327" w:type="pct"/>
            <w:tcMar>
              <w:top w:w="15" w:type="dxa"/>
              <w:left w:w="15" w:type="dxa"/>
              <w:bottom w:w="0" w:type="dxa"/>
              <w:right w:w="15" w:type="dxa"/>
            </w:tcMar>
            <w:vAlign w:val="center"/>
          </w:tcPr>
          <w:p w14:paraId="58894661" w14:textId="77777777" w:rsidR="005F04FE" w:rsidRPr="005F04FE" w:rsidRDefault="005F04FE" w:rsidP="003922A9">
            <w:pPr>
              <w:pStyle w:val="13"/>
              <w:ind w:firstLineChars="0" w:firstLine="0"/>
              <w:jc w:val="right"/>
              <w:rPr>
                <w:sz w:val="18"/>
                <w:szCs w:val="18"/>
              </w:rPr>
            </w:pPr>
            <w:r w:rsidRPr="005F04FE">
              <w:rPr>
                <w:sz w:val="18"/>
                <w:szCs w:val="18"/>
              </w:rPr>
              <w:t>87</w:t>
            </w:r>
          </w:p>
        </w:tc>
        <w:tc>
          <w:tcPr>
            <w:tcW w:w="327" w:type="pct"/>
            <w:tcMar>
              <w:top w:w="15" w:type="dxa"/>
              <w:left w:w="15" w:type="dxa"/>
              <w:bottom w:w="0" w:type="dxa"/>
              <w:right w:w="15" w:type="dxa"/>
            </w:tcMar>
            <w:vAlign w:val="center"/>
          </w:tcPr>
          <w:p w14:paraId="255DE1A3" w14:textId="77777777" w:rsidR="005F04FE" w:rsidRPr="005F04FE" w:rsidRDefault="005F04FE" w:rsidP="003922A9">
            <w:pPr>
              <w:pStyle w:val="13"/>
              <w:ind w:firstLineChars="0" w:firstLine="0"/>
              <w:jc w:val="right"/>
              <w:rPr>
                <w:sz w:val="18"/>
                <w:szCs w:val="18"/>
              </w:rPr>
            </w:pPr>
            <w:r w:rsidRPr="005F04FE">
              <w:rPr>
                <w:sz w:val="18"/>
                <w:szCs w:val="18"/>
              </w:rPr>
              <w:t>92</w:t>
            </w:r>
          </w:p>
        </w:tc>
      </w:tr>
      <w:tr w:rsidR="005F04FE" w:rsidRPr="005F04FE" w14:paraId="0F856599" w14:textId="77777777" w:rsidTr="003922A9">
        <w:trPr>
          <w:trHeight w:val="186"/>
        </w:trPr>
        <w:tc>
          <w:tcPr>
            <w:tcW w:w="1078" w:type="pct"/>
            <w:tcMar>
              <w:top w:w="15" w:type="dxa"/>
              <w:left w:w="15" w:type="dxa"/>
              <w:bottom w:w="0" w:type="dxa"/>
              <w:right w:w="15" w:type="dxa"/>
            </w:tcMar>
            <w:vAlign w:val="center"/>
          </w:tcPr>
          <w:p w14:paraId="048EE36B" w14:textId="77777777" w:rsidR="005F04FE" w:rsidRPr="005F04FE" w:rsidRDefault="005F04FE" w:rsidP="003922A9">
            <w:pPr>
              <w:pStyle w:val="13"/>
              <w:ind w:firstLineChars="0" w:firstLine="0"/>
              <w:rPr>
                <w:sz w:val="18"/>
                <w:szCs w:val="18"/>
              </w:rPr>
            </w:pPr>
            <w:proofErr w:type="gramStart"/>
            <w:r w:rsidRPr="005F04FE">
              <w:rPr>
                <w:sz w:val="18"/>
                <w:szCs w:val="18"/>
              </w:rPr>
              <w:t>活动经代公司</w:t>
            </w:r>
            <w:proofErr w:type="gramEnd"/>
          </w:p>
          <w:p w14:paraId="78B72DCD" w14:textId="77777777" w:rsidR="005F04FE" w:rsidRPr="005F04FE" w:rsidRDefault="005F04FE" w:rsidP="003922A9">
            <w:pPr>
              <w:pStyle w:val="13"/>
              <w:ind w:firstLineChars="0" w:firstLine="0"/>
              <w:rPr>
                <w:sz w:val="18"/>
                <w:szCs w:val="18"/>
              </w:rPr>
            </w:pPr>
            <w:r w:rsidRPr="005F04FE">
              <w:rPr>
                <w:sz w:val="18"/>
                <w:szCs w:val="18"/>
              </w:rPr>
              <w:t>数增长率</w:t>
            </w:r>
          </w:p>
        </w:tc>
        <w:tc>
          <w:tcPr>
            <w:tcW w:w="327" w:type="pct"/>
            <w:tcMar>
              <w:top w:w="15" w:type="dxa"/>
              <w:left w:w="15" w:type="dxa"/>
              <w:bottom w:w="0" w:type="dxa"/>
              <w:right w:w="15" w:type="dxa"/>
            </w:tcMar>
            <w:vAlign w:val="center"/>
          </w:tcPr>
          <w:p w14:paraId="2664F893"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0AA0F6D9" w14:textId="77777777" w:rsidR="005F04FE" w:rsidRPr="005F04FE" w:rsidRDefault="005F04FE" w:rsidP="003922A9">
            <w:pPr>
              <w:pStyle w:val="13"/>
              <w:ind w:firstLineChars="0" w:firstLine="0"/>
              <w:jc w:val="right"/>
              <w:rPr>
                <w:sz w:val="18"/>
                <w:szCs w:val="18"/>
              </w:rPr>
            </w:pPr>
            <w:r w:rsidRPr="005F04FE">
              <w:rPr>
                <w:sz w:val="18"/>
                <w:szCs w:val="18"/>
              </w:rPr>
              <w:t>17%</w:t>
            </w:r>
          </w:p>
        </w:tc>
        <w:tc>
          <w:tcPr>
            <w:tcW w:w="327" w:type="pct"/>
            <w:tcMar>
              <w:top w:w="15" w:type="dxa"/>
              <w:left w:w="15" w:type="dxa"/>
              <w:bottom w:w="0" w:type="dxa"/>
              <w:right w:w="15" w:type="dxa"/>
            </w:tcMar>
            <w:vAlign w:val="center"/>
          </w:tcPr>
          <w:p w14:paraId="5C2A9555" w14:textId="77777777" w:rsidR="005F04FE" w:rsidRPr="005F04FE" w:rsidRDefault="005F04FE" w:rsidP="003922A9">
            <w:pPr>
              <w:pStyle w:val="13"/>
              <w:ind w:firstLineChars="0" w:firstLine="0"/>
              <w:jc w:val="right"/>
              <w:rPr>
                <w:sz w:val="18"/>
                <w:szCs w:val="18"/>
              </w:rPr>
            </w:pPr>
            <w:r w:rsidRPr="005F04FE">
              <w:rPr>
                <w:sz w:val="18"/>
                <w:szCs w:val="18"/>
              </w:rPr>
              <w:t>11%</w:t>
            </w:r>
          </w:p>
        </w:tc>
        <w:tc>
          <w:tcPr>
            <w:tcW w:w="327" w:type="pct"/>
            <w:tcMar>
              <w:top w:w="15" w:type="dxa"/>
              <w:left w:w="15" w:type="dxa"/>
              <w:bottom w:w="0" w:type="dxa"/>
              <w:right w:w="15" w:type="dxa"/>
            </w:tcMar>
            <w:vAlign w:val="center"/>
          </w:tcPr>
          <w:p w14:paraId="68AFC80D" w14:textId="77777777" w:rsidR="005F04FE" w:rsidRPr="005F04FE" w:rsidRDefault="005F04FE" w:rsidP="003922A9">
            <w:pPr>
              <w:pStyle w:val="13"/>
              <w:ind w:firstLineChars="0" w:firstLine="0"/>
              <w:jc w:val="right"/>
              <w:rPr>
                <w:sz w:val="18"/>
                <w:szCs w:val="18"/>
              </w:rPr>
            </w:pPr>
            <w:r w:rsidRPr="005F04FE">
              <w:rPr>
                <w:sz w:val="18"/>
                <w:szCs w:val="18"/>
              </w:rPr>
              <w:t>15%</w:t>
            </w:r>
          </w:p>
        </w:tc>
        <w:tc>
          <w:tcPr>
            <w:tcW w:w="327" w:type="pct"/>
            <w:tcMar>
              <w:top w:w="15" w:type="dxa"/>
              <w:left w:w="15" w:type="dxa"/>
              <w:bottom w:w="0" w:type="dxa"/>
              <w:right w:w="15" w:type="dxa"/>
            </w:tcMar>
            <w:vAlign w:val="center"/>
          </w:tcPr>
          <w:p w14:paraId="3A9A8353"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54ACD082"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04C7DE67"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02ABBA5D" w14:textId="77777777" w:rsidR="005F04FE" w:rsidRPr="005F04FE" w:rsidRDefault="005F04FE" w:rsidP="003922A9">
            <w:pPr>
              <w:pStyle w:val="13"/>
              <w:ind w:firstLineChars="0" w:firstLine="0"/>
              <w:jc w:val="right"/>
              <w:rPr>
                <w:sz w:val="18"/>
                <w:szCs w:val="18"/>
              </w:rPr>
            </w:pPr>
            <w:r w:rsidRPr="005F04FE">
              <w:rPr>
                <w:sz w:val="18"/>
                <w:szCs w:val="18"/>
              </w:rPr>
              <w:t>8%</w:t>
            </w:r>
          </w:p>
        </w:tc>
        <w:tc>
          <w:tcPr>
            <w:tcW w:w="327" w:type="pct"/>
            <w:tcMar>
              <w:top w:w="15" w:type="dxa"/>
              <w:left w:w="15" w:type="dxa"/>
              <w:bottom w:w="0" w:type="dxa"/>
              <w:right w:w="15" w:type="dxa"/>
            </w:tcMar>
            <w:vAlign w:val="center"/>
          </w:tcPr>
          <w:p w14:paraId="111923F5" w14:textId="77777777" w:rsidR="005F04FE" w:rsidRPr="005F04FE" w:rsidRDefault="005F04FE" w:rsidP="003922A9">
            <w:pPr>
              <w:pStyle w:val="13"/>
              <w:ind w:firstLineChars="0" w:firstLine="0"/>
              <w:jc w:val="right"/>
              <w:rPr>
                <w:sz w:val="18"/>
                <w:szCs w:val="18"/>
              </w:rPr>
            </w:pPr>
            <w:r w:rsidRPr="005F04FE">
              <w:rPr>
                <w:sz w:val="18"/>
                <w:szCs w:val="18"/>
              </w:rPr>
              <w:t>7%</w:t>
            </w:r>
          </w:p>
        </w:tc>
        <w:tc>
          <w:tcPr>
            <w:tcW w:w="327" w:type="pct"/>
            <w:tcMar>
              <w:top w:w="15" w:type="dxa"/>
              <w:left w:w="15" w:type="dxa"/>
              <w:bottom w:w="0" w:type="dxa"/>
              <w:right w:w="15" w:type="dxa"/>
            </w:tcMar>
            <w:vAlign w:val="center"/>
          </w:tcPr>
          <w:p w14:paraId="0C851AE4" w14:textId="77777777" w:rsidR="005F04FE" w:rsidRPr="005F04FE" w:rsidRDefault="005F04FE" w:rsidP="003922A9">
            <w:pPr>
              <w:pStyle w:val="13"/>
              <w:ind w:firstLineChars="0" w:firstLine="0"/>
              <w:jc w:val="right"/>
              <w:rPr>
                <w:sz w:val="18"/>
                <w:szCs w:val="18"/>
              </w:rPr>
            </w:pPr>
            <w:r w:rsidRPr="005F04FE">
              <w:rPr>
                <w:sz w:val="18"/>
                <w:szCs w:val="18"/>
              </w:rPr>
              <w:t>7%</w:t>
            </w:r>
          </w:p>
        </w:tc>
        <w:tc>
          <w:tcPr>
            <w:tcW w:w="327" w:type="pct"/>
            <w:tcMar>
              <w:top w:w="15" w:type="dxa"/>
              <w:left w:w="15" w:type="dxa"/>
              <w:bottom w:w="0" w:type="dxa"/>
              <w:right w:w="15" w:type="dxa"/>
            </w:tcMar>
            <w:vAlign w:val="center"/>
          </w:tcPr>
          <w:p w14:paraId="69655FBD" w14:textId="77777777" w:rsidR="005F04FE" w:rsidRPr="005F04FE" w:rsidRDefault="005F04FE" w:rsidP="003922A9">
            <w:pPr>
              <w:pStyle w:val="13"/>
              <w:ind w:firstLineChars="0" w:firstLine="0"/>
              <w:jc w:val="right"/>
              <w:rPr>
                <w:sz w:val="18"/>
                <w:szCs w:val="18"/>
              </w:rPr>
            </w:pPr>
            <w:r w:rsidRPr="005F04FE">
              <w:rPr>
                <w:sz w:val="18"/>
                <w:szCs w:val="18"/>
              </w:rPr>
              <w:t>6%</w:t>
            </w:r>
          </w:p>
        </w:tc>
        <w:tc>
          <w:tcPr>
            <w:tcW w:w="327" w:type="pct"/>
            <w:tcMar>
              <w:top w:w="15" w:type="dxa"/>
              <w:left w:w="15" w:type="dxa"/>
              <w:bottom w:w="0" w:type="dxa"/>
              <w:right w:w="15" w:type="dxa"/>
            </w:tcMar>
            <w:vAlign w:val="center"/>
          </w:tcPr>
          <w:p w14:paraId="7116B75D" w14:textId="77777777" w:rsidR="005F04FE" w:rsidRPr="005F04FE" w:rsidRDefault="005F04FE" w:rsidP="003922A9">
            <w:pPr>
              <w:pStyle w:val="13"/>
              <w:ind w:firstLineChars="0" w:firstLine="0"/>
              <w:jc w:val="right"/>
              <w:rPr>
                <w:sz w:val="18"/>
                <w:szCs w:val="18"/>
              </w:rPr>
            </w:pPr>
            <w:r w:rsidRPr="005F04FE">
              <w:rPr>
                <w:sz w:val="18"/>
                <w:szCs w:val="18"/>
              </w:rPr>
              <w:t>6%</w:t>
            </w:r>
          </w:p>
        </w:tc>
      </w:tr>
      <w:tr w:rsidR="005F04FE" w:rsidRPr="005F04FE" w14:paraId="030AB9C2" w14:textId="77777777" w:rsidTr="003922A9">
        <w:trPr>
          <w:trHeight w:val="186"/>
        </w:trPr>
        <w:tc>
          <w:tcPr>
            <w:tcW w:w="1078" w:type="pct"/>
            <w:tcMar>
              <w:top w:w="15" w:type="dxa"/>
              <w:left w:w="15" w:type="dxa"/>
              <w:bottom w:w="0" w:type="dxa"/>
              <w:right w:w="15" w:type="dxa"/>
            </w:tcMar>
            <w:vAlign w:val="center"/>
          </w:tcPr>
          <w:p w14:paraId="0B9746F9" w14:textId="77777777" w:rsidR="005F04FE" w:rsidRPr="005F04FE" w:rsidRDefault="005F04FE" w:rsidP="003922A9">
            <w:pPr>
              <w:pStyle w:val="13"/>
              <w:ind w:firstLineChars="0" w:firstLine="0"/>
              <w:rPr>
                <w:sz w:val="18"/>
                <w:szCs w:val="18"/>
              </w:rPr>
            </w:pPr>
            <w:r w:rsidRPr="005F04FE">
              <w:rPr>
                <w:sz w:val="18"/>
                <w:szCs w:val="18"/>
              </w:rPr>
              <w:t>活动经月均产能（千元）</w:t>
            </w:r>
          </w:p>
        </w:tc>
        <w:tc>
          <w:tcPr>
            <w:tcW w:w="327" w:type="pct"/>
            <w:tcMar>
              <w:top w:w="15" w:type="dxa"/>
              <w:left w:w="15" w:type="dxa"/>
              <w:bottom w:w="0" w:type="dxa"/>
              <w:right w:w="15" w:type="dxa"/>
            </w:tcMar>
            <w:vAlign w:val="center"/>
          </w:tcPr>
          <w:p w14:paraId="458A6E43" w14:textId="77777777" w:rsidR="005F04FE" w:rsidRPr="005F04FE" w:rsidRDefault="005F04FE" w:rsidP="003922A9">
            <w:pPr>
              <w:pStyle w:val="13"/>
              <w:ind w:firstLineChars="0" w:firstLine="0"/>
              <w:jc w:val="right"/>
              <w:rPr>
                <w:sz w:val="18"/>
                <w:szCs w:val="18"/>
              </w:rPr>
            </w:pPr>
            <w:r w:rsidRPr="005F04FE">
              <w:rPr>
                <w:sz w:val="18"/>
                <w:szCs w:val="18"/>
              </w:rPr>
              <w:t>98</w:t>
            </w:r>
          </w:p>
        </w:tc>
        <w:tc>
          <w:tcPr>
            <w:tcW w:w="327" w:type="pct"/>
            <w:tcMar>
              <w:top w:w="15" w:type="dxa"/>
              <w:left w:w="15" w:type="dxa"/>
              <w:bottom w:w="0" w:type="dxa"/>
              <w:right w:w="15" w:type="dxa"/>
            </w:tcMar>
            <w:vAlign w:val="center"/>
          </w:tcPr>
          <w:p w14:paraId="6AB4D5D5" w14:textId="77777777" w:rsidR="005F04FE" w:rsidRPr="005F04FE" w:rsidRDefault="005F04FE" w:rsidP="003922A9">
            <w:pPr>
              <w:pStyle w:val="13"/>
              <w:ind w:firstLineChars="0" w:firstLine="0"/>
              <w:jc w:val="right"/>
              <w:rPr>
                <w:sz w:val="18"/>
                <w:szCs w:val="18"/>
              </w:rPr>
            </w:pPr>
            <w:r w:rsidRPr="005F04FE">
              <w:rPr>
                <w:sz w:val="18"/>
                <w:szCs w:val="18"/>
              </w:rPr>
              <w:t>113</w:t>
            </w:r>
          </w:p>
        </w:tc>
        <w:tc>
          <w:tcPr>
            <w:tcW w:w="327" w:type="pct"/>
            <w:tcMar>
              <w:top w:w="15" w:type="dxa"/>
              <w:left w:w="15" w:type="dxa"/>
              <w:bottom w:w="0" w:type="dxa"/>
              <w:right w:w="15" w:type="dxa"/>
            </w:tcMar>
            <w:vAlign w:val="center"/>
          </w:tcPr>
          <w:p w14:paraId="367C2FE2" w14:textId="77777777" w:rsidR="005F04FE" w:rsidRPr="005F04FE" w:rsidRDefault="005F04FE" w:rsidP="003922A9">
            <w:pPr>
              <w:pStyle w:val="13"/>
              <w:ind w:firstLineChars="0" w:firstLine="0"/>
              <w:jc w:val="right"/>
              <w:rPr>
                <w:sz w:val="18"/>
                <w:szCs w:val="18"/>
              </w:rPr>
            </w:pPr>
            <w:r w:rsidRPr="005F04FE">
              <w:rPr>
                <w:sz w:val="18"/>
                <w:szCs w:val="18"/>
              </w:rPr>
              <w:t>117</w:t>
            </w:r>
          </w:p>
        </w:tc>
        <w:tc>
          <w:tcPr>
            <w:tcW w:w="327" w:type="pct"/>
            <w:tcMar>
              <w:top w:w="15" w:type="dxa"/>
              <w:left w:w="15" w:type="dxa"/>
              <w:bottom w:w="0" w:type="dxa"/>
              <w:right w:w="15" w:type="dxa"/>
            </w:tcMar>
            <w:vAlign w:val="center"/>
          </w:tcPr>
          <w:p w14:paraId="5545D355" w14:textId="77777777" w:rsidR="005F04FE" w:rsidRPr="005F04FE" w:rsidRDefault="005F04FE" w:rsidP="003922A9">
            <w:pPr>
              <w:pStyle w:val="13"/>
              <w:ind w:firstLineChars="0" w:firstLine="0"/>
              <w:jc w:val="right"/>
              <w:rPr>
                <w:sz w:val="18"/>
                <w:szCs w:val="18"/>
              </w:rPr>
            </w:pPr>
            <w:r w:rsidRPr="005F04FE">
              <w:rPr>
                <w:sz w:val="18"/>
                <w:szCs w:val="18"/>
              </w:rPr>
              <w:t>134</w:t>
            </w:r>
          </w:p>
        </w:tc>
        <w:tc>
          <w:tcPr>
            <w:tcW w:w="327" w:type="pct"/>
            <w:tcMar>
              <w:top w:w="15" w:type="dxa"/>
              <w:left w:w="15" w:type="dxa"/>
              <w:bottom w:w="0" w:type="dxa"/>
              <w:right w:w="15" w:type="dxa"/>
            </w:tcMar>
            <w:vAlign w:val="center"/>
          </w:tcPr>
          <w:p w14:paraId="72C942BC" w14:textId="77777777" w:rsidR="005F04FE" w:rsidRPr="005F04FE" w:rsidRDefault="005F04FE" w:rsidP="003922A9">
            <w:pPr>
              <w:pStyle w:val="13"/>
              <w:ind w:firstLineChars="0" w:firstLine="0"/>
              <w:jc w:val="right"/>
              <w:rPr>
                <w:sz w:val="18"/>
                <w:szCs w:val="18"/>
              </w:rPr>
            </w:pPr>
            <w:r w:rsidRPr="005F04FE">
              <w:rPr>
                <w:sz w:val="18"/>
                <w:szCs w:val="18"/>
              </w:rPr>
              <w:t>139</w:t>
            </w:r>
          </w:p>
        </w:tc>
        <w:tc>
          <w:tcPr>
            <w:tcW w:w="327" w:type="pct"/>
            <w:tcMar>
              <w:top w:w="15" w:type="dxa"/>
              <w:left w:w="15" w:type="dxa"/>
              <w:bottom w:w="0" w:type="dxa"/>
              <w:right w:w="15" w:type="dxa"/>
            </w:tcMar>
            <w:vAlign w:val="center"/>
          </w:tcPr>
          <w:p w14:paraId="2E1224DA" w14:textId="77777777" w:rsidR="005F04FE" w:rsidRPr="005F04FE" w:rsidRDefault="005F04FE" w:rsidP="003922A9">
            <w:pPr>
              <w:pStyle w:val="13"/>
              <w:ind w:firstLineChars="0" w:firstLine="0"/>
              <w:jc w:val="right"/>
              <w:rPr>
                <w:sz w:val="18"/>
                <w:szCs w:val="18"/>
              </w:rPr>
            </w:pPr>
            <w:r w:rsidRPr="005F04FE">
              <w:rPr>
                <w:sz w:val="18"/>
                <w:szCs w:val="18"/>
              </w:rPr>
              <w:t>144</w:t>
            </w:r>
          </w:p>
        </w:tc>
        <w:tc>
          <w:tcPr>
            <w:tcW w:w="327" w:type="pct"/>
            <w:tcMar>
              <w:top w:w="15" w:type="dxa"/>
              <w:left w:w="15" w:type="dxa"/>
              <w:bottom w:w="0" w:type="dxa"/>
              <w:right w:w="15" w:type="dxa"/>
            </w:tcMar>
            <w:vAlign w:val="center"/>
          </w:tcPr>
          <w:p w14:paraId="091C9118" w14:textId="77777777" w:rsidR="005F04FE" w:rsidRPr="005F04FE" w:rsidRDefault="005F04FE" w:rsidP="003922A9">
            <w:pPr>
              <w:pStyle w:val="13"/>
              <w:ind w:firstLineChars="0" w:firstLine="0"/>
              <w:jc w:val="right"/>
              <w:rPr>
                <w:sz w:val="18"/>
                <w:szCs w:val="18"/>
              </w:rPr>
            </w:pPr>
            <w:r w:rsidRPr="005F04FE">
              <w:rPr>
                <w:sz w:val="18"/>
                <w:szCs w:val="18"/>
              </w:rPr>
              <w:t>148</w:t>
            </w:r>
          </w:p>
        </w:tc>
        <w:tc>
          <w:tcPr>
            <w:tcW w:w="327" w:type="pct"/>
            <w:tcMar>
              <w:top w:w="15" w:type="dxa"/>
              <w:left w:w="15" w:type="dxa"/>
              <w:bottom w:w="0" w:type="dxa"/>
              <w:right w:w="15" w:type="dxa"/>
            </w:tcMar>
            <w:vAlign w:val="center"/>
          </w:tcPr>
          <w:p w14:paraId="27F70DA7" w14:textId="77777777" w:rsidR="005F04FE" w:rsidRPr="005F04FE" w:rsidRDefault="005F04FE" w:rsidP="003922A9">
            <w:pPr>
              <w:pStyle w:val="13"/>
              <w:ind w:firstLineChars="0" w:firstLine="0"/>
              <w:jc w:val="right"/>
              <w:rPr>
                <w:sz w:val="18"/>
                <w:szCs w:val="18"/>
              </w:rPr>
            </w:pPr>
            <w:r w:rsidRPr="005F04FE">
              <w:rPr>
                <w:sz w:val="18"/>
                <w:szCs w:val="18"/>
              </w:rPr>
              <w:t>152</w:t>
            </w:r>
          </w:p>
        </w:tc>
        <w:tc>
          <w:tcPr>
            <w:tcW w:w="327" w:type="pct"/>
            <w:tcMar>
              <w:top w:w="15" w:type="dxa"/>
              <w:left w:w="15" w:type="dxa"/>
              <w:bottom w:w="0" w:type="dxa"/>
              <w:right w:w="15" w:type="dxa"/>
            </w:tcMar>
            <w:vAlign w:val="center"/>
          </w:tcPr>
          <w:p w14:paraId="4BD38188" w14:textId="77777777" w:rsidR="005F04FE" w:rsidRPr="005F04FE" w:rsidRDefault="005F04FE" w:rsidP="003922A9">
            <w:pPr>
              <w:pStyle w:val="13"/>
              <w:ind w:firstLineChars="0" w:firstLine="0"/>
              <w:jc w:val="right"/>
              <w:rPr>
                <w:sz w:val="18"/>
                <w:szCs w:val="18"/>
              </w:rPr>
            </w:pPr>
            <w:r w:rsidRPr="005F04FE">
              <w:rPr>
                <w:sz w:val="18"/>
                <w:szCs w:val="18"/>
              </w:rPr>
              <w:t>155</w:t>
            </w:r>
          </w:p>
        </w:tc>
        <w:tc>
          <w:tcPr>
            <w:tcW w:w="327" w:type="pct"/>
            <w:tcMar>
              <w:top w:w="15" w:type="dxa"/>
              <w:left w:w="15" w:type="dxa"/>
              <w:bottom w:w="0" w:type="dxa"/>
              <w:right w:w="15" w:type="dxa"/>
            </w:tcMar>
            <w:vAlign w:val="center"/>
          </w:tcPr>
          <w:p w14:paraId="0C1D0B49" w14:textId="77777777" w:rsidR="005F04FE" w:rsidRPr="005F04FE" w:rsidRDefault="005F04FE" w:rsidP="003922A9">
            <w:pPr>
              <w:pStyle w:val="13"/>
              <w:ind w:firstLineChars="0" w:firstLine="0"/>
              <w:jc w:val="right"/>
              <w:rPr>
                <w:sz w:val="18"/>
                <w:szCs w:val="18"/>
              </w:rPr>
            </w:pPr>
            <w:r w:rsidRPr="005F04FE">
              <w:rPr>
                <w:sz w:val="18"/>
                <w:szCs w:val="18"/>
              </w:rPr>
              <w:t>157</w:t>
            </w:r>
          </w:p>
        </w:tc>
        <w:tc>
          <w:tcPr>
            <w:tcW w:w="327" w:type="pct"/>
            <w:tcMar>
              <w:top w:w="15" w:type="dxa"/>
              <w:left w:w="15" w:type="dxa"/>
              <w:bottom w:w="0" w:type="dxa"/>
              <w:right w:w="15" w:type="dxa"/>
            </w:tcMar>
            <w:vAlign w:val="center"/>
          </w:tcPr>
          <w:p w14:paraId="5146B0EE" w14:textId="77777777" w:rsidR="005F04FE" w:rsidRPr="005F04FE" w:rsidRDefault="005F04FE" w:rsidP="003922A9">
            <w:pPr>
              <w:pStyle w:val="13"/>
              <w:ind w:firstLineChars="0" w:firstLine="0"/>
              <w:jc w:val="right"/>
              <w:rPr>
                <w:sz w:val="18"/>
                <w:szCs w:val="18"/>
              </w:rPr>
            </w:pPr>
            <w:r w:rsidRPr="005F04FE">
              <w:rPr>
                <w:sz w:val="18"/>
                <w:szCs w:val="18"/>
              </w:rPr>
              <w:t>159</w:t>
            </w:r>
          </w:p>
        </w:tc>
        <w:tc>
          <w:tcPr>
            <w:tcW w:w="327" w:type="pct"/>
            <w:tcMar>
              <w:top w:w="15" w:type="dxa"/>
              <w:left w:w="15" w:type="dxa"/>
              <w:bottom w:w="0" w:type="dxa"/>
              <w:right w:w="15" w:type="dxa"/>
            </w:tcMar>
            <w:vAlign w:val="center"/>
          </w:tcPr>
          <w:p w14:paraId="1FFE8A42" w14:textId="77777777" w:rsidR="005F04FE" w:rsidRPr="005F04FE" w:rsidRDefault="005F04FE" w:rsidP="003922A9">
            <w:pPr>
              <w:pStyle w:val="13"/>
              <w:ind w:firstLineChars="0" w:firstLine="0"/>
              <w:jc w:val="right"/>
              <w:rPr>
                <w:sz w:val="18"/>
                <w:szCs w:val="18"/>
              </w:rPr>
            </w:pPr>
            <w:r w:rsidRPr="005F04FE">
              <w:rPr>
                <w:sz w:val="18"/>
                <w:szCs w:val="18"/>
              </w:rPr>
              <w:t>160</w:t>
            </w:r>
          </w:p>
        </w:tc>
      </w:tr>
      <w:tr w:rsidR="005F04FE" w:rsidRPr="005F04FE" w14:paraId="3F0FDD15" w14:textId="77777777" w:rsidTr="003922A9">
        <w:trPr>
          <w:trHeight w:val="186"/>
        </w:trPr>
        <w:tc>
          <w:tcPr>
            <w:tcW w:w="1078" w:type="pct"/>
            <w:tcMar>
              <w:top w:w="15" w:type="dxa"/>
              <w:left w:w="15" w:type="dxa"/>
              <w:bottom w:w="0" w:type="dxa"/>
              <w:right w:w="15" w:type="dxa"/>
            </w:tcMar>
            <w:vAlign w:val="center"/>
          </w:tcPr>
          <w:p w14:paraId="4D84E84B" w14:textId="77777777" w:rsidR="005F04FE" w:rsidRPr="005F04FE" w:rsidRDefault="005F04FE" w:rsidP="003922A9">
            <w:pPr>
              <w:pStyle w:val="13"/>
              <w:ind w:firstLineChars="0" w:firstLine="0"/>
              <w:rPr>
                <w:sz w:val="18"/>
                <w:szCs w:val="18"/>
              </w:rPr>
            </w:pPr>
            <w:proofErr w:type="gramStart"/>
            <w:r w:rsidRPr="005F04FE">
              <w:rPr>
                <w:sz w:val="18"/>
                <w:szCs w:val="18"/>
              </w:rPr>
              <w:t>活动经代公司</w:t>
            </w:r>
            <w:proofErr w:type="gramEnd"/>
            <w:r w:rsidRPr="005F04FE">
              <w:rPr>
                <w:sz w:val="18"/>
                <w:szCs w:val="18"/>
              </w:rPr>
              <w:t>产能增长率</w:t>
            </w:r>
          </w:p>
        </w:tc>
        <w:tc>
          <w:tcPr>
            <w:tcW w:w="327" w:type="pct"/>
            <w:tcMar>
              <w:top w:w="15" w:type="dxa"/>
              <w:left w:w="15" w:type="dxa"/>
              <w:bottom w:w="0" w:type="dxa"/>
              <w:right w:w="15" w:type="dxa"/>
            </w:tcMar>
            <w:vAlign w:val="center"/>
          </w:tcPr>
          <w:p w14:paraId="7ED07483" w14:textId="77777777" w:rsidR="005F04FE" w:rsidRPr="005F04FE" w:rsidRDefault="005F04FE" w:rsidP="003922A9">
            <w:pPr>
              <w:pStyle w:val="13"/>
              <w:ind w:firstLineChars="0" w:firstLine="0"/>
              <w:jc w:val="right"/>
              <w:rPr>
                <w:sz w:val="18"/>
                <w:szCs w:val="18"/>
              </w:rPr>
            </w:pPr>
          </w:p>
        </w:tc>
        <w:tc>
          <w:tcPr>
            <w:tcW w:w="327" w:type="pct"/>
            <w:tcMar>
              <w:top w:w="15" w:type="dxa"/>
              <w:left w:w="15" w:type="dxa"/>
              <w:bottom w:w="0" w:type="dxa"/>
              <w:right w:w="15" w:type="dxa"/>
            </w:tcMar>
            <w:vAlign w:val="center"/>
          </w:tcPr>
          <w:p w14:paraId="1E12D2AF" w14:textId="77777777" w:rsidR="005F04FE" w:rsidRPr="005F04FE" w:rsidRDefault="005F04FE" w:rsidP="003922A9">
            <w:pPr>
              <w:pStyle w:val="13"/>
              <w:ind w:firstLineChars="0" w:firstLine="0"/>
              <w:jc w:val="right"/>
              <w:rPr>
                <w:sz w:val="18"/>
                <w:szCs w:val="18"/>
              </w:rPr>
            </w:pPr>
            <w:r w:rsidRPr="005F04FE">
              <w:rPr>
                <w:sz w:val="18"/>
                <w:szCs w:val="18"/>
              </w:rPr>
              <w:t>15%</w:t>
            </w:r>
          </w:p>
        </w:tc>
        <w:tc>
          <w:tcPr>
            <w:tcW w:w="327" w:type="pct"/>
            <w:tcMar>
              <w:top w:w="15" w:type="dxa"/>
              <w:left w:w="15" w:type="dxa"/>
              <w:bottom w:w="0" w:type="dxa"/>
              <w:right w:w="15" w:type="dxa"/>
            </w:tcMar>
            <w:vAlign w:val="center"/>
          </w:tcPr>
          <w:p w14:paraId="5329383F" w14:textId="77777777" w:rsidR="005F04FE" w:rsidRPr="005F04FE" w:rsidRDefault="005F04FE" w:rsidP="003922A9">
            <w:pPr>
              <w:pStyle w:val="13"/>
              <w:ind w:firstLineChars="0" w:firstLine="0"/>
              <w:jc w:val="right"/>
              <w:rPr>
                <w:sz w:val="18"/>
                <w:szCs w:val="18"/>
              </w:rPr>
            </w:pPr>
            <w:r w:rsidRPr="005F04FE">
              <w:rPr>
                <w:sz w:val="18"/>
                <w:szCs w:val="18"/>
              </w:rPr>
              <w:t>4%</w:t>
            </w:r>
          </w:p>
        </w:tc>
        <w:tc>
          <w:tcPr>
            <w:tcW w:w="327" w:type="pct"/>
            <w:tcMar>
              <w:top w:w="15" w:type="dxa"/>
              <w:left w:w="15" w:type="dxa"/>
              <w:bottom w:w="0" w:type="dxa"/>
              <w:right w:w="15" w:type="dxa"/>
            </w:tcMar>
            <w:vAlign w:val="center"/>
          </w:tcPr>
          <w:p w14:paraId="6F5FBD53" w14:textId="77777777" w:rsidR="005F04FE" w:rsidRPr="005F04FE" w:rsidRDefault="005F04FE" w:rsidP="003922A9">
            <w:pPr>
              <w:pStyle w:val="13"/>
              <w:ind w:firstLineChars="0" w:firstLine="0"/>
              <w:jc w:val="right"/>
              <w:rPr>
                <w:sz w:val="18"/>
                <w:szCs w:val="18"/>
              </w:rPr>
            </w:pPr>
            <w:r w:rsidRPr="005F04FE">
              <w:rPr>
                <w:sz w:val="18"/>
                <w:szCs w:val="18"/>
              </w:rPr>
              <w:t>10%</w:t>
            </w:r>
          </w:p>
        </w:tc>
        <w:tc>
          <w:tcPr>
            <w:tcW w:w="327" w:type="pct"/>
            <w:tcMar>
              <w:top w:w="15" w:type="dxa"/>
              <w:left w:w="15" w:type="dxa"/>
              <w:bottom w:w="0" w:type="dxa"/>
              <w:right w:w="15" w:type="dxa"/>
            </w:tcMar>
            <w:vAlign w:val="center"/>
          </w:tcPr>
          <w:p w14:paraId="46EEFD55" w14:textId="77777777" w:rsidR="005F04FE" w:rsidRPr="005F04FE" w:rsidRDefault="005F04FE" w:rsidP="003922A9">
            <w:pPr>
              <w:pStyle w:val="13"/>
              <w:ind w:firstLineChars="0" w:firstLine="0"/>
              <w:jc w:val="right"/>
              <w:rPr>
                <w:sz w:val="18"/>
                <w:szCs w:val="18"/>
              </w:rPr>
            </w:pPr>
            <w:r w:rsidRPr="005F04FE">
              <w:rPr>
                <w:sz w:val="18"/>
                <w:szCs w:val="18"/>
              </w:rPr>
              <w:t>4%</w:t>
            </w:r>
          </w:p>
        </w:tc>
        <w:tc>
          <w:tcPr>
            <w:tcW w:w="327" w:type="pct"/>
            <w:tcMar>
              <w:top w:w="15" w:type="dxa"/>
              <w:left w:w="15" w:type="dxa"/>
              <w:bottom w:w="0" w:type="dxa"/>
              <w:right w:w="15" w:type="dxa"/>
            </w:tcMar>
            <w:vAlign w:val="center"/>
          </w:tcPr>
          <w:p w14:paraId="59797A2C" w14:textId="77777777" w:rsidR="005F04FE" w:rsidRPr="005F04FE" w:rsidRDefault="005F04FE" w:rsidP="003922A9">
            <w:pPr>
              <w:pStyle w:val="13"/>
              <w:ind w:firstLineChars="0" w:firstLine="0"/>
              <w:jc w:val="right"/>
              <w:rPr>
                <w:sz w:val="18"/>
                <w:szCs w:val="18"/>
              </w:rPr>
            </w:pPr>
            <w:r w:rsidRPr="005F04FE">
              <w:rPr>
                <w:sz w:val="18"/>
                <w:szCs w:val="18"/>
              </w:rPr>
              <w:t>3%</w:t>
            </w:r>
          </w:p>
        </w:tc>
        <w:tc>
          <w:tcPr>
            <w:tcW w:w="327" w:type="pct"/>
            <w:tcMar>
              <w:top w:w="15" w:type="dxa"/>
              <w:left w:w="15" w:type="dxa"/>
              <w:bottom w:w="0" w:type="dxa"/>
              <w:right w:w="15" w:type="dxa"/>
            </w:tcMar>
            <w:vAlign w:val="center"/>
          </w:tcPr>
          <w:p w14:paraId="2450D116" w14:textId="77777777" w:rsidR="005F04FE" w:rsidRPr="005F04FE" w:rsidRDefault="005F04FE" w:rsidP="003922A9">
            <w:pPr>
              <w:pStyle w:val="13"/>
              <w:ind w:firstLineChars="0" w:firstLine="0"/>
              <w:jc w:val="right"/>
              <w:rPr>
                <w:sz w:val="18"/>
                <w:szCs w:val="18"/>
              </w:rPr>
            </w:pPr>
            <w:r w:rsidRPr="005F04FE">
              <w:rPr>
                <w:sz w:val="18"/>
                <w:szCs w:val="18"/>
              </w:rPr>
              <w:t>3%</w:t>
            </w:r>
          </w:p>
        </w:tc>
        <w:tc>
          <w:tcPr>
            <w:tcW w:w="327" w:type="pct"/>
            <w:tcMar>
              <w:top w:w="15" w:type="dxa"/>
              <w:left w:w="15" w:type="dxa"/>
              <w:bottom w:w="0" w:type="dxa"/>
              <w:right w:w="15" w:type="dxa"/>
            </w:tcMar>
            <w:vAlign w:val="center"/>
          </w:tcPr>
          <w:p w14:paraId="4B72106F" w14:textId="77777777" w:rsidR="005F04FE" w:rsidRPr="005F04FE" w:rsidRDefault="005F04FE" w:rsidP="003922A9">
            <w:pPr>
              <w:pStyle w:val="13"/>
              <w:ind w:firstLineChars="0" w:firstLine="0"/>
              <w:jc w:val="right"/>
              <w:rPr>
                <w:sz w:val="18"/>
                <w:szCs w:val="18"/>
              </w:rPr>
            </w:pPr>
            <w:r w:rsidRPr="005F04FE">
              <w:rPr>
                <w:sz w:val="18"/>
                <w:szCs w:val="18"/>
              </w:rPr>
              <w:t>2%</w:t>
            </w:r>
          </w:p>
        </w:tc>
        <w:tc>
          <w:tcPr>
            <w:tcW w:w="327" w:type="pct"/>
            <w:tcMar>
              <w:top w:w="15" w:type="dxa"/>
              <w:left w:w="15" w:type="dxa"/>
              <w:bottom w:w="0" w:type="dxa"/>
              <w:right w:w="15" w:type="dxa"/>
            </w:tcMar>
            <w:vAlign w:val="center"/>
          </w:tcPr>
          <w:p w14:paraId="71ED4B30" w14:textId="77777777" w:rsidR="005F04FE" w:rsidRPr="005F04FE" w:rsidRDefault="005F04FE" w:rsidP="003922A9">
            <w:pPr>
              <w:pStyle w:val="13"/>
              <w:ind w:firstLineChars="0" w:firstLine="0"/>
              <w:jc w:val="right"/>
              <w:rPr>
                <w:sz w:val="18"/>
                <w:szCs w:val="18"/>
              </w:rPr>
            </w:pPr>
            <w:r w:rsidRPr="005F04FE">
              <w:rPr>
                <w:sz w:val="18"/>
                <w:szCs w:val="18"/>
              </w:rPr>
              <w:t>2%</w:t>
            </w:r>
          </w:p>
        </w:tc>
        <w:tc>
          <w:tcPr>
            <w:tcW w:w="327" w:type="pct"/>
            <w:tcMar>
              <w:top w:w="15" w:type="dxa"/>
              <w:left w:w="15" w:type="dxa"/>
              <w:bottom w:w="0" w:type="dxa"/>
              <w:right w:w="15" w:type="dxa"/>
            </w:tcMar>
            <w:vAlign w:val="center"/>
          </w:tcPr>
          <w:p w14:paraId="376A5A9D" w14:textId="77777777" w:rsidR="005F04FE" w:rsidRPr="005F04FE" w:rsidRDefault="005F04FE" w:rsidP="003922A9">
            <w:pPr>
              <w:pStyle w:val="13"/>
              <w:ind w:firstLineChars="0" w:firstLine="0"/>
              <w:jc w:val="right"/>
              <w:rPr>
                <w:sz w:val="18"/>
                <w:szCs w:val="18"/>
              </w:rPr>
            </w:pPr>
            <w:r w:rsidRPr="005F04FE">
              <w:rPr>
                <w:sz w:val="18"/>
                <w:szCs w:val="18"/>
              </w:rPr>
              <w:t>1%</w:t>
            </w:r>
          </w:p>
        </w:tc>
        <w:tc>
          <w:tcPr>
            <w:tcW w:w="327" w:type="pct"/>
            <w:tcMar>
              <w:top w:w="15" w:type="dxa"/>
              <w:left w:w="15" w:type="dxa"/>
              <w:bottom w:w="0" w:type="dxa"/>
              <w:right w:w="15" w:type="dxa"/>
            </w:tcMar>
            <w:vAlign w:val="center"/>
          </w:tcPr>
          <w:p w14:paraId="0622FB5A" w14:textId="77777777" w:rsidR="005F04FE" w:rsidRPr="005F04FE" w:rsidRDefault="005F04FE" w:rsidP="003922A9">
            <w:pPr>
              <w:pStyle w:val="13"/>
              <w:ind w:firstLineChars="0" w:firstLine="0"/>
              <w:jc w:val="right"/>
              <w:rPr>
                <w:sz w:val="18"/>
                <w:szCs w:val="18"/>
              </w:rPr>
            </w:pPr>
            <w:r w:rsidRPr="005F04FE">
              <w:rPr>
                <w:sz w:val="18"/>
                <w:szCs w:val="18"/>
              </w:rPr>
              <w:t>1%</w:t>
            </w:r>
          </w:p>
        </w:tc>
        <w:tc>
          <w:tcPr>
            <w:tcW w:w="327" w:type="pct"/>
            <w:tcMar>
              <w:top w:w="15" w:type="dxa"/>
              <w:left w:w="15" w:type="dxa"/>
              <w:bottom w:w="0" w:type="dxa"/>
              <w:right w:w="15" w:type="dxa"/>
            </w:tcMar>
            <w:vAlign w:val="center"/>
          </w:tcPr>
          <w:p w14:paraId="071155A9" w14:textId="77777777" w:rsidR="005F04FE" w:rsidRPr="005F04FE" w:rsidRDefault="005F04FE" w:rsidP="003922A9">
            <w:pPr>
              <w:pStyle w:val="13"/>
              <w:ind w:firstLineChars="0" w:firstLine="0"/>
              <w:jc w:val="right"/>
              <w:rPr>
                <w:sz w:val="18"/>
                <w:szCs w:val="18"/>
              </w:rPr>
            </w:pPr>
            <w:r w:rsidRPr="005F04FE">
              <w:rPr>
                <w:sz w:val="18"/>
                <w:szCs w:val="18"/>
              </w:rPr>
              <w:t>0%</w:t>
            </w:r>
          </w:p>
        </w:tc>
      </w:tr>
      <w:tr w:rsidR="005F04FE" w:rsidRPr="005F04FE" w14:paraId="7B3123E2" w14:textId="77777777" w:rsidTr="003922A9">
        <w:trPr>
          <w:trHeight w:val="186"/>
        </w:trPr>
        <w:tc>
          <w:tcPr>
            <w:tcW w:w="1078" w:type="pct"/>
            <w:tcMar>
              <w:top w:w="15" w:type="dxa"/>
              <w:left w:w="15" w:type="dxa"/>
              <w:bottom w:w="0" w:type="dxa"/>
              <w:right w:w="15" w:type="dxa"/>
            </w:tcMar>
            <w:vAlign w:val="center"/>
          </w:tcPr>
          <w:p w14:paraId="5EA13A4E" w14:textId="77777777" w:rsidR="005F04FE" w:rsidRPr="005F04FE" w:rsidRDefault="005F04FE" w:rsidP="003922A9">
            <w:pPr>
              <w:pStyle w:val="13"/>
              <w:ind w:firstLineChars="0" w:firstLine="0"/>
              <w:rPr>
                <w:sz w:val="18"/>
                <w:szCs w:val="18"/>
              </w:rPr>
            </w:pPr>
            <w:r w:rsidRPr="005F04FE">
              <w:rPr>
                <w:sz w:val="18"/>
                <w:szCs w:val="18"/>
              </w:rPr>
              <w:t>ANP（百万元）</w:t>
            </w:r>
          </w:p>
        </w:tc>
        <w:tc>
          <w:tcPr>
            <w:tcW w:w="327" w:type="pct"/>
            <w:tcMar>
              <w:top w:w="15" w:type="dxa"/>
              <w:left w:w="15" w:type="dxa"/>
              <w:bottom w:w="0" w:type="dxa"/>
              <w:right w:w="15" w:type="dxa"/>
            </w:tcMar>
            <w:vAlign w:val="center"/>
          </w:tcPr>
          <w:p w14:paraId="6A46ADB5" w14:textId="77777777" w:rsidR="005F04FE" w:rsidRPr="005F04FE" w:rsidRDefault="005F04FE" w:rsidP="003922A9">
            <w:pPr>
              <w:pStyle w:val="13"/>
              <w:ind w:firstLineChars="0" w:firstLine="0"/>
              <w:jc w:val="right"/>
              <w:rPr>
                <w:sz w:val="18"/>
                <w:szCs w:val="18"/>
              </w:rPr>
            </w:pPr>
            <w:r w:rsidRPr="005F04FE">
              <w:rPr>
                <w:sz w:val="18"/>
                <w:szCs w:val="18"/>
              </w:rPr>
              <w:t>44</w:t>
            </w:r>
          </w:p>
        </w:tc>
        <w:tc>
          <w:tcPr>
            <w:tcW w:w="327" w:type="pct"/>
            <w:tcMar>
              <w:top w:w="15" w:type="dxa"/>
              <w:left w:w="15" w:type="dxa"/>
              <w:bottom w:w="0" w:type="dxa"/>
              <w:right w:w="15" w:type="dxa"/>
            </w:tcMar>
            <w:vAlign w:val="center"/>
          </w:tcPr>
          <w:p w14:paraId="3482DDC2" w14:textId="77777777" w:rsidR="005F04FE" w:rsidRPr="005F04FE" w:rsidRDefault="005F04FE" w:rsidP="003922A9">
            <w:pPr>
              <w:pStyle w:val="13"/>
              <w:ind w:firstLineChars="0" w:firstLine="0"/>
              <w:jc w:val="right"/>
              <w:rPr>
                <w:sz w:val="18"/>
                <w:szCs w:val="18"/>
              </w:rPr>
            </w:pPr>
            <w:r w:rsidRPr="005F04FE">
              <w:rPr>
                <w:sz w:val="18"/>
                <w:szCs w:val="18"/>
              </w:rPr>
              <w:t>59</w:t>
            </w:r>
          </w:p>
        </w:tc>
        <w:tc>
          <w:tcPr>
            <w:tcW w:w="327" w:type="pct"/>
            <w:tcMar>
              <w:top w:w="15" w:type="dxa"/>
              <w:left w:w="15" w:type="dxa"/>
              <w:bottom w:w="0" w:type="dxa"/>
              <w:right w:w="15" w:type="dxa"/>
            </w:tcMar>
            <w:vAlign w:val="center"/>
          </w:tcPr>
          <w:p w14:paraId="1B822FA0" w14:textId="77777777" w:rsidR="005F04FE" w:rsidRPr="005F04FE" w:rsidRDefault="005F04FE" w:rsidP="003922A9">
            <w:pPr>
              <w:pStyle w:val="13"/>
              <w:ind w:firstLineChars="0" w:firstLine="0"/>
              <w:jc w:val="right"/>
              <w:rPr>
                <w:sz w:val="18"/>
                <w:szCs w:val="18"/>
              </w:rPr>
            </w:pPr>
            <w:r w:rsidRPr="005F04FE">
              <w:rPr>
                <w:sz w:val="18"/>
                <w:szCs w:val="18"/>
              </w:rPr>
              <w:t>68</w:t>
            </w:r>
          </w:p>
        </w:tc>
        <w:tc>
          <w:tcPr>
            <w:tcW w:w="327" w:type="pct"/>
            <w:tcMar>
              <w:top w:w="15" w:type="dxa"/>
              <w:left w:w="15" w:type="dxa"/>
              <w:bottom w:w="0" w:type="dxa"/>
              <w:right w:w="15" w:type="dxa"/>
            </w:tcMar>
            <w:vAlign w:val="center"/>
          </w:tcPr>
          <w:p w14:paraId="6C69BFED" w14:textId="77777777" w:rsidR="005F04FE" w:rsidRPr="005F04FE" w:rsidRDefault="005F04FE" w:rsidP="003922A9">
            <w:pPr>
              <w:pStyle w:val="13"/>
              <w:ind w:firstLineChars="0" w:firstLine="0"/>
              <w:jc w:val="right"/>
              <w:rPr>
                <w:sz w:val="18"/>
                <w:szCs w:val="18"/>
              </w:rPr>
            </w:pPr>
            <w:r w:rsidRPr="005F04FE">
              <w:rPr>
                <w:sz w:val="18"/>
                <w:szCs w:val="18"/>
              </w:rPr>
              <w:t>86</w:t>
            </w:r>
          </w:p>
        </w:tc>
        <w:tc>
          <w:tcPr>
            <w:tcW w:w="327" w:type="pct"/>
            <w:tcMar>
              <w:top w:w="15" w:type="dxa"/>
              <w:left w:w="15" w:type="dxa"/>
              <w:bottom w:w="0" w:type="dxa"/>
              <w:right w:w="15" w:type="dxa"/>
            </w:tcMar>
            <w:vAlign w:val="center"/>
          </w:tcPr>
          <w:p w14:paraId="2FF4C6C8" w14:textId="77777777" w:rsidR="005F04FE" w:rsidRPr="005F04FE" w:rsidRDefault="005F04FE" w:rsidP="003922A9">
            <w:pPr>
              <w:pStyle w:val="13"/>
              <w:ind w:firstLineChars="0" w:firstLine="0"/>
              <w:jc w:val="right"/>
              <w:rPr>
                <w:sz w:val="18"/>
                <w:szCs w:val="18"/>
              </w:rPr>
            </w:pPr>
            <w:r w:rsidRPr="005F04FE">
              <w:rPr>
                <w:sz w:val="18"/>
                <w:szCs w:val="18"/>
              </w:rPr>
              <w:t>97</w:t>
            </w:r>
          </w:p>
        </w:tc>
        <w:tc>
          <w:tcPr>
            <w:tcW w:w="327" w:type="pct"/>
            <w:tcMar>
              <w:top w:w="15" w:type="dxa"/>
              <w:left w:w="15" w:type="dxa"/>
              <w:bottom w:w="0" w:type="dxa"/>
              <w:right w:w="15" w:type="dxa"/>
            </w:tcMar>
            <w:vAlign w:val="center"/>
          </w:tcPr>
          <w:p w14:paraId="5C7ABED8" w14:textId="77777777" w:rsidR="005F04FE" w:rsidRPr="005F04FE" w:rsidRDefault="005F04FE" w:rsidP="003922A9">
            <w:pPr>
              <w:pStyle w:val="13"/>
              <w:ind w:firstLineChars="0" w:firstLine="0"/>
              <w:jc w:val="right"/>
              <w:rPr>
                <w:sz w:val="18"/>
                <w:szCs w:val="18"/>
              </w:rPr>
            </w:pPr>
            <w:r w:rsidRPr="005F04FE">
              <w:rPr>
                <w:sz w:val="18"/>
                <w:szCs w:val="18"/>
              </w:rPr>
              <w:t>109</w:t>
            </w:r>
          </w:p>
        </w:tc>
        <w:tc>
          <w:tcPr>
            <w:tcW w:w="327" w:type="pct"/>
            <w:tcMar>
              <w:top w:w="15" w:type="dxa"/>
              <w:left w:w="15" w:type="dxa"/>
              <w:bottom w:w="0" w:type="dxa"/>
              <w:right w:w="15" w:type="dxa"/>
            </w:tcMar>
            <w:vAlign w:val="center"/>
          </w:tcPr>
          <w:p w14:paraId="6BF85CA7" w14:textId="77777777" w:rsidR="005F04FE" w:rsidRPr="005F04FE" w:rsidRDefault="005F04FE" w:rsidP="003922A9">
            <w:pPr>
              <w:pStyle w:val="13"/>
              <w:ind w:firstLineChars="0" w:firstLine="0"/>
              <w:jc w:val="right"/>
              <w:rPr>
                <w:sz w:val="18"/>
                <w:szCs w:val="18"/>
              </w:rPr>
            </w:pPr>
            <w:r w:rsidRPr="005F04FE">
              <w:rPr>
                <w:sz w:val="18"/>
                <w:szCs w:val="18"/>
              </w:rPr>
              <w:t>121</w:t>
            </w:r>
          </w:p>
        </w:tc>
        <w:tc>
          <w:tcPr>
            <w:tcW w:w="327" w:type="pct"/>
            <w:tcMar>
              <w:top w:w="15" w:type="dxa"/>
              <w:left w:w="15" w:type="dxa"/>
              <w:bottom w:w="0" w:type="dxa"/>
              <w:right w:w="15" w:type="dxa"/>
            </w:tcMar>
            <w:vAlign w:val="center"/>
          </w:tcPr>
          <w:p w14:paraId="320759FF" w14:textId="77777777" w:rsidR="005F04FE" w:rsidRPr="005F04FE" w:rsidRDefault="005F04FE" w:rsidP="003922A9">
            <w:pPr>
              <w:pStyle w:val="13"/>
              <w:ind w:firstLineChars="0" w:firstLine="0"/>
              <w:jc w:val="right"/>
              <w:rPr>
                <w:sz w:val="18"/>
                <w:szCs w:val="18"/>
              </w:rPr>
            </w:pPr>
            <w:r w:rsidRPr="005F04FE">
              <w:rPr>
                <w:sz w:val="18"/>
                <w:szCs w:val="18"/>
              </w:rPr>
              <w:t>133</w:t>
            </w:r>
          </w:p>
        </w:tc>
        <w:tc>
          <w:tcPr>
            <w:tcW w:w="327" w:type="pct"/>
            <w:tcMar>
              <w:top w:w="15" w:type="dxa"/>
              <w:left w:w="15" w:type="dxa"/>
              <w:bottom w:w="0" w:type="dxa"/>
              <w:right w:w="15" w:type="dxa"/>
            </w:tcMar>
            <w:vAlign w:val="center"/>
          </w:tcPr>
          <w:p w14:paraId="5F1451B1" w14:textId="77777777" w:rsidR="005F04FE" w:rsidRPr="005F04FE" w:rsidRDefault="005F04FE" w:rsidP="003922A9">
            <w:pPr>
              <w:pStyle w:val="13"/>
              <w:ind w:firstLineChars="0" w:firstLine="0"/>
              <w:jc w:val="right"/>
              <w:rPr>
                <w:sz w:val="18"/>
                <w:szCs w:val="18"/>
              </w:rPr>
            </w:pPr>
            <w:r w:rsidRPr="005F04FE">
              <w:rPr>
                <w:sz w:val="18"/>
                <w:szCs w:val="18"/>
              </w:rPr>
              <w:t>145</w:t>
            </w:r>
          </w:p>
        </w:tc>
        <w:tc>
          <w:tcPr>
            <w:tcW w:w="327" w:type="pct"/>
            <w:tcMar>
              <w:top w:w="15" w:type="dxa"/>
              <w:left w:w="15" w:type="dxa"/>
              <w:bottom w:w="0" w:type="dxa"/>
              <w:right w:w="15" w:type="dxa"/>
            </w:tcMar>
            <w:vAlign w:val="center"/>
          </w:tcPr>
          <w:p w14:paraId="298EED23" w14:textId="77777777" w:rsidR="005F04FE" w:rsidRPr="005F04FE" w:rsidRDefault="005F04FE" w:rsidP="003922A9">
            <w:pPr>
              <w:pStyle w:val="13"/>
              <w:ind w:firstLineChars="0" w:firstLine="0"/>
              <w:jc w:val="right"/>
              <w:rPr>
                <w:sz w:val="18"/>
                <w:szCs w:val="18"/>
              </w:rPr>
            </w:pPr>
            <w:r w:rsidRPr="005F04FE">
              <w:rPr>
                <w:sz w:val="18"/>
                <w:szCs w:val="18"/>
              </w:rPr>
              <w:t>156</w:t>
            </w:r>
          </w:p>
        </w:tc>
        <w:tc>
          <w:tcPr>
            <w:tcW w:w="327" w:type="pct"/>
            <w:tcMar>
              <w:top w:w="15" w:type="dxa"/>
              <w:left w:w="15" w:type="dxa"/>
              <w:bottom w:w="0" w:type="dxa"/>
              <w:right w:w="15" w:type="dxa"/>
            </w:tcMar>
            <w:vAlign w:val="center"/>
          </w:tcPr>
          <w:p w14:paraId="6B2C1887" w14:textId="77777777" w:rsidR="005F04FE" w:rsidRPr="005F04FE" w:rsidRDefault="005F04FE" w:rsidP="003922A9">
            <w:pPr>
              <w:pStyle w:val="13"/>
              <w:ind w:firstLineChars="0" w:firstLine="0"/>
              <w:jc w:val="right"/>
              <w:rPr>
                <w:sz w:val="18"/>
                <w:szCs w:val="18"/>
              </w:rPr>
            </w:pPr>
            <w:r w:rsidRPr="005F04FE">
              <w:rPr>
                <w:sz w:val="18"/>
                <w:szCs w:val="18"/>
              </w:rPr>
              <w:t>167</w:t>
            </w:r>
          </w:p>
        </w:tc>
        <w:tc>
          <w:tcPr>
            <w:tcW w:w="327" w:type="pct"/>
            <w:tcMar>
              <w:top w:w="15" w:type="dxa"/>
              <w:left w:w="15" w:type="dxa"/>
              <w:bottom w:w="0" w:type="dxa"/>
              <w:right w:w="15" w:type="dxa"/>
            </w:tcMar>
            <w:vAlign w:val="center"/>
          </w:tcPr>
          <w:p w14:paraId="15B5D175" w14:textId="77777777" w:rsidR="005F04FE" w:rsidRPr="005F04FE" w:rsidRDefault="005F04FE" w:rsidP="003922A9">
            <w:pPr>
              <w:pStyle w:val="13"/>
              <w:ind w:firstLineChars="0" w:firstLine="0"/>
              <w:jc w:val="right"/>
              <w:rPr>
                <w:sz w:val="18"/>
                <w:szCs w:val="18"/>
              </w:rPr>
            </w:pPr>
            <w:r w:rsidRPr="005F04FE">
              <w:rPr>
                <w:sz w:val="18"/>
                <w:szCs w:val="18"/>
              </w:rPr>
              <w:t>177</w:t>
            </w:r>
          </w:p>
        </w:tc>
      </w:tr>
      <w:tr w:rsidR="005F04FE" w:rsidRPr="005F04FE" w14:paraId="4DEBC682" w14:textId="77777777" w:rsidTr="003922A9">
        <w:trPr>
          <w:trHeight w:val="197"/>
        </w:trPr>
        <w:tc>
          <w:tcPr>
            <w:tcW w:w="1078" w:type="pct"/>
            <w:tcMar>
              <w:top w:w="15" w:type="dxa"/>
              <w:left w:w="15" w:type="dxa"/>
              <w:bottom w:w="0" w:type="dxa"/>
              <w:right w:w="15" w:type="dxa"/>
            </w:tcMar>
            <w:vAlign w:val="center"/>
          </w:tcPr>
          <w:p w14:paraId="273A7FA7" w14:textId="77777777" w:rsidR="005F04FE" w:rsidRPr="005F04FE" w:rsidRDefault="005F04FE" w:rsidP="003922A9">
            <w:pPr>
              <w:pStyle w:val="13"/>
              <w:ind w:firstLineChars="0" w:firstLine="0"/>
              <w:jc w:val="center"/>
              <w:rPr>
                <w:sz w:val="18"/>
                <w:szCs w:val="18"/>
              </w:rPr>
            </w:pPr>
            <w:r w:rsidRPr="005F04FE">
              <w:rPr>
                <w:b/>
                <w:bCs/>
                <w:sz w:val="18"/>
                <w:szCs w:val="18"/>
              </w:rPr>
              <w:t>ANP合计</w:t>
            </w:r>
          </w:p>
        </w:tc>
        <w:tc>
          <w:tcPr>
            <w:tcW w:w="327" w:type="pct"/>
            <w:tcMar>
              <w:top w:w="15" w:type="dxa"/>
              <w:left w:w="15" w:type="dxa"/>
              <w:bottom w:w="0" w:type="dxa"/>
              <w:right w:w="15" w:type="dxa"/>
            </w:tcMar>
            <w:vAlign w:val="center"/>
          </w:tcPr>
          <w:p w14:paraId="0A3FE889" w14:textId="77777777" w:rsidR="005F04FE" w:rsidRPr="005F04FE" w:rsidRDefault="005F04FE" w:rsidP="003922A9">
            <w:pPr>
              <w:pStyle w:val="13"/>
              <w:ind w:firstLineChars="0" w:firstLine="0"/>
              <w:jc w:val="right"/>
              <w:rPr>
                <w:sz w:val="18"/>
                <w:szCs w:val="18"/>
              </w:rPr>
            </w:pPr>
            <w:r w:rsidRPr="005F04FE">
              <w:rPr>
                <w:b/>
                <w:bCs/>
                <w:sz w:val="18"/>
                <w:szCs w:val="18"/>
              </w:rPr>
              <w:t>554</w:t>
            </w:r>
          </w:p>
        </w:tc>
        <w:tc>
          <w:tcPr>
            <w:tcW w:w="327" w:type="pct"/>
            <w:tcMar>
              <w:top w:w="15" w:type="dxa"/>
              <w:left w:w="15" w:type="dxa"/>
              <w:bottom w:w="0" w:type="dxa"/>
              <w:right w:w="15" w:type="dxa"/>
            </w:tcMar>
            <w:vAlign w:val="center"/>
          </w:tcPr>
          <w:p w14:paraId="50C89274" w14:textId="77777777" w:rsidR="005F04FE" w:rsidRPr="005F04FE" w:rsidRDefault="005F04FE" w:rsidP="003922A9">
            <w:pPr>
              <w:pStyle w:val="13"/>
              <w:ind w:firstLineChars="0" w:firstLine="0"/>
              <w:jc w:val="right"/>
              <w:rPr>
                <w:sz w:val="18"/>
                <w:szCs w:val="18"/>
              </w:rPr>
            </w:pPr>
            <w:r w:rsidRPr="005F04FE">
              <w:rPr>
                <w:b/>
                <w:bCs/>
                <w:sz w:val="18"/>
                <w:szCs w:val="18"/>
              </w:rPr>
              <w:t>650</w:t>
            </w:r>
          </w:p>
        </w:tc>
        <w:tc>
          <w:tcPr>
            <w:tcW w:w="327" w:type="pct"/>
            <w:tcMar>
              <w:top w:w="15" w:type="dxa"/>
              <w:left w:w="15" w:type="dxa"/>
              <w:bottom w:w="0" w:type="dxa"/>
              <w:right w:w="15" w:type="dxa"/>
            </w:tcMar>
            <w:vAlign w:val="center"/>
          </w:tcPr>
          <w:p w14:paraId="39A75F4E" w14:textId="77777777" w:rsidR="005F04FE" w:rsidRPr="005F04FE" w:rsidRDefault="005F04FE" w:rsidP="003922A9">
            <w:pPr>
              <w:pStyle w:val="13"/>
              <w:ind w:firstLineChars="0" w:firstLine="0"/>
              <w:jc w:val="right"/>
              <w:rPr>
                <w:sz w:val="18"/>
                <w:szCs w:val="18"/>
              </w:rPr>
            </w:pPr>
            <w:r w:rsidRPr="005F04FE">
              <w:rPr>
                <w:b/>
                <w:bCs/>
                <w:sz w:val="18"/>
                <w:szCs w:val="18"/>
              </w:rPr>
              <w:t>754</w:t>
            </w:r>
          </w:p>
        </w:tc>
        <w:tc>
          <w:tcPr>
            <w:tcW w:w="327" w:type="pct"/>
            <w:tcMar>
              <w:top w:w="15" w:type="dxa"/>
              <w:left w:w="15" w:type="dxa"/>
              <w:bottom w:w="0" w:type="dxa"/>
              <w:right w:w="15" w:type="dxa"/>
            </w:tcMar>
            <w:vAlign w:val="center"/>
          </w:tcPr>
          <w:p w14:paraId="65001424" w14:textId="77777777" w:rsidR="005F04FE" w:rsidRPr="005F04FE" w:rsidRDefault="005F04FE" w:rsidP="003922A9">
            <w:pPr>
              <w:pStyle w:val="13"/>
              <w:ind w:firstLineChars="0" w:firstLine="0"/>
              <w:jc w:val="right"/>
              <w:rPr>
                <w:sz w:val="18"/>
                <w:szCs w:val="18"/>
              </w:rPr>
            </w:pPr>
            <w:r w:rsidRPr="005F04FE">
              <w:rPr>
                <w:b/>
                <w:bCs/>
                <w:sz w:val="18"/>
                <w:szCs w:val="18"/>
              </w:rPr>
              <w:t>860</w:t>
            </w:r>
          </w:p>
        </w:tc>
        <w:tc>
          <w:tcPr>
            <w:tcW w:w="327" w:type="pct"/>
            <w:tcMar>
              <w:top w:w="15" w:type="dxa"/>
              <w:left w:w="15" w:type="dxa"/>
              <w:bottom w:w="0" w:type="dxa"/>
              <w:right w:w="15" w:type="dxa"/>
            </w:tcMar>
            <w:vAlign w:val="center"/>
          </w:tcPr>
          <w:p w14:paraId="4F119CFE" w14:textId="77777777" w:rsidR="005F04FE" w:rsidRPr="005F04FE" w:rsidRDefault="005F04FE" w:rsidP="003922A9">
            <w:pPr>
              <w:pStyle w:val="13"/>
              <w:ind w:firstLineChars="0" w:firstLine="0"/>
              <w:jc w:val="right"/>
              <w:rPr>
                <w:sz w:val="18"/>
                <w:szCs w:val="18"/>
              </w:rPr>
            </w:pPr>
            <w:r w:rsidRPr="005F04FE">
              <w:rPr>
                <w:b/>
                <w:bCs/>
                <w:sz w:val="18"/>
                <w:szCs w:val="18"/>
              </w:rPr>
              <w:t>971</w:t>
            </w:r>
          </w:p>
        </w:tc>
        <w:tc>
          <w:tcPr>
            <w:tcW w:w="327" w:type="pct"/>
            <w:tcMar>
              <w:top w:w="15" w:type="dxa"/>
              <w:left w:w="15" w:type="dxa"/>
              <w:bottom w:w="0" w:type="dxa"/>
              <w:right w:w="15" w:type="dxa"/>
            </w:tcMar>
            <w:vAlign w:val="center"/>
          </w:tcPr>
          <w:p w14:paraId="71C09609" w14:textId="77777777" w:rsidR="005F04FE" w:rsidRPr="005F04FE" w:rsidRDefault="005F04FE" w:rsidP="003922A9">
            <w:pPr>
              <w:pStyle w:val="13"/>
              <w:ind w:firstLineChars="0" w:firstLine="0"/>
              <w:jc w:val="right"/>
              <w:rPr>
                <w:sz w:val="18"/>
                <w:szCs w:val="18"/>
              </w:rPr>
            </w:pPr>
            <w:r w:rsidRPr="005F04FE">
              <w:rPr>
                <w:b/>
                <w:bCs/>
                <w:sz w:val="18"/>
                <w:szCs w:val="18"/>
              </w:rPr>
              <w:t>1,088</w:t>
            </w:r>
          </w:p>
        </w:tc>
        <w:tc>
          <w:tcPr>
            <w:tcW w:w="327" w:type="pct"/>
            <w:tcMar>
              <w:top w:w="15" w:type="dxa"/>
              <w:left w:w="15" w:type="dxa"/>
              <w:bottom w:w="0" w:type="dxa"/>
              <w:right w:w="15" w:type="dxa"/>
            </w:tcMar>
            <w:vAlign w:val="center"/>
          </w:tcPr>
          <w:p w14:paraId="0448C857" w14:textId="77777777" w:rsidR="005F04FE" w:rsidRPr="005F04FE" w:rsidRDefault="005F04FE" w:rsidP="003922A9">
            <w:pPr>
              <w:pStyle w:val="13"/>
              <w:ind w:firstLineChars="0" w:firstLine="0"/>
              <w:jc w:val="right"/>
              <w:rPr>
                <w:sz w:val="18"/>
                <w:szCs w:val="18"/>
              </w:rPr>
            </w:pPr>
            <w:r w:rsidRPr="005F04FE">
              <w:rPr>
                <w:b/>
                <w:bCs/>
                <w:sz w:val="18"/>
                <w:szCs w:val="18"/>
              </w:rPr>
              <w:t>1,208</w:t>
            </w:r>
          </w:p>
        </w:tc>
        <w:tc>
          <w:tcPr>
            <w:tcW w:w="327" w:type="pct"/>
            <w:tcMar>
              <w:top w:w="15" w:type="dxa"/>
              <w:left w:w="15" w:type="dxa"/>
              <w:bottom w:w="0" w:type="dxa"/>
              <w:right w:w="15" w:type="dxa"/>
            </w:tcMar>
            <w:vAlign w:val="center"/>
          </w:tcPr>
          <w:p w14:paraId="773A68D3" w14:textId="77777777" w:rsidR="005F04FE" w:rsidRPr="005F04FE" w:rsidRDefault="005F04FE" w:rsidP="003922A9">
            <w:pPr>
              <w:pStyle w:val="13"/>
              <w:ind w:firstLineChars="0" w:firstLine="0"/>
              <w:jc w:val="right"/>
              <w:rPr>
                <w:sz w:val="18"/>
                <w:szCs w:val="18"/>
              </w:rPr>
            </w:pPr>
            <w:r w:rsidRPr="005F04FE">
              <w:rPr>
                <w:b/>
                <w:bCs/>
                <w:sz w:val="18"/>
                <w:szCs w:val="18"/>
              </w:rPr>
              <w:t>1,328</w:t>
            </w:r>
          </w:p>
        </w:tc>
        <w:tc>
          <w:tcPr>
            <w:tcW w:w="327" w:type="pct"/>
            <w:tcMar>
              <w:top w:w="15" w:type="dxa"/>
              <w:left w:w="15" w:type="dxa"/>
              <w:bottom w:w="0" w:type="dxa"/>
              <w:right w:w="15" w:type="dxa"/>
            </w:tcMar>
            <w:vAlign w:val="center"/>
          </w:tcPr>
          <w:p w14:paraId="16D461D6" w14:textId="77777777" w:rsidR="005F04FE" w:rsidRPr="005F04FE" w:rsidRDefault="005F04FE" w:rsidP="003922A9">
            <w:pPr>
              <w:pStyle w:val="13"/>
              <w:ind w:firstLineChars="0" w:firstLine="0"/>
              <w:jc w:val="right"/>
              <w:rPr>
                <w:sz w:val="18"/>
                <w:szCs w:val="18"/>
              </w:rPr>
            </w:pPr>
            <w:r w:rsidRPr="005F04FE">
              <w:rPr>
                <w:b/>
                <w:bCs/>
                <w:sz w:val="18"/>
                <w:szCs w:val="18"/>
              </w:rPr>
              <w:t>1,448</w:t>
            </w:r>
          </w:p>
        </w:tc>
        <w:tc>
          <w:tcPr>
            <w:tcW w:w="327" w:type="pct"/>
            <w:tcMar>
              <w:top w:w="15" w:type="dxa"/>
              <w:left w:w="15" w:type="dxa"/>
              <w:bottom w:w="0" w:type="dxa"/>
              <w:right w:w="15" w:type="dxa"/>
            </w:tcMar>
            <w:vAlign w:val="center"/>
          </w:tcPr>
          <w:p w14:paraId="6CBA19E5" w14:textId="77777777" w:rsidR="005F04FE" w:rsidRPr="005F04FE" w:rsidRDefault="005F04FE" w:rsidP="003922A9">
            <w:pPr>
              <w:pStyle w:val="13"/>
              <w:ind w:firstLineChars="0" w:firstLine="0"/>
              <w:jc w:val="right"/>
              <w:rPr>
                <w:sz w:val="18"/>
                <w:szCs w:val="18"/>
              </w:rPr>
            </w:pPr>
            <w:r w:rsidRPr="005F04FE">
              <w:rPr>
                <w:b/>
                <w:bCs/>
                <w:sz w:val="18"/>
                <w:szCs w:val="18"/>
              </w:rPr>
              <w:t>1,564</w:t>
            </w:r>
          </w:p>
        </w:tc>
        <w:tc>
          <w:tcPr>
            <w:tcW w:w="327" w:type="pct"/>
            <w:tcMar>
              <w:top w:w="15" w:type="dxa"/>
              <w:left w:w="15" w:type="dxa"/>
              <w:bottom w:w="0" w:type="dxa"/>
              <w:right w:w="15" w:type="dxa"/>
            </w:tcMar>
            <w:vAlign w:val="center"/>
          </w:tcPr>
          <w:p w14:paraId="3A804726" w14:textId="77777777" w:rsidR="005F04FE" w:rsidRPr="005F04FE" w:rsidRDefault="005F04FE" w:rsidP="003922A9">
            <w:pPr>
              <w:pStyle w:val="13"/>
              <w:ind w:firstLineChars="0" w:firstLine="0"/>
              <w:jc w:val="right"/>
              <w:rPr>
                <w:sz w:val="18"/>
                <w:szCs w:val="18"/>
              </w:rPr>
            </w:pPr>
            <w:r w:rsidRPr="005F04FE">
              <w:rPr>
                <w:b/>
                <w:bCs/>
                <w:sz w:val="18"/>
                <w:szCs w:val="18"/>
              </w:rPr>
              <w:t>1,673</w:t>
            </w:r>
          </w:p>
        </w:tc>
        <w:tc>
          <w:tcPr>
            <w:tcW w:w="327" w:type="pct"/>
            <w:tcMar>
              <w:top w:w="15" w:type="dxa"/>
              <w:left w:w="15" w:type="dxa"/>
              <w:bottom w:w="0" w:type="dxa"/>
              <w:right w:w="15" w:type="dxa"/>
            </w:tcMar>
            <w:vAlign w:val="center"/>
          </w:tcPr>
          <w:p w14:paraId="66365871" w14:textId="77777777" w:rsidR="005F04FE" w:rsidRPr="005F04FE" w:rsidRDefault="005F04FE" w:rsidP="003922A9">
            <w:pPr>
              <w:pStyle w:val="13"/>
              <w:ind w:firstLineChars="0" w:firstLine="0"/>
              <w:jc w:val="right"/>
              <w:rPr>
                <w:sz w:val="18"/>
                <w:szCs w:val="18"/>
              </w:rPr>
            </w:pPr>
            <w:r w:rsidRPr="005F04FE">
              <w:rPr>
                <w:b/>
                <w:bCs/>
                <w:sz w:val="18"/>
                <w:szCs w:val="18"/>
              </w:rPr>
              <w:t>1,773</w:t>
            </w:r>
          </w:p>
        </w:tc>
      </w:tr>
    </w:tbl>
    <w:p w14:paraId="43C24F0A" w14:textId="1D230026" w:rsidR="005F04FE" w:rsidRDefault="003922A9" w:rsidP="00EF0BC2">
      <w:pPr>
        <w:pStyle w:val="13"/>
      </w:pPr>
      <w:r w:rsidRPr="003922A9">
        <w:rPr>
          <w:rFonts w:hint="eastAsia"/>
        </w:rPr>
        <w:t>参考</w:t>
      </w:r>
      <w:r w:rsidRPr="003922A9">
        <w:t>xx保险公司在过去10多年平均增长速度远高于行业平均水平的经验，精算师对其商业计划进行了复核，认为其预计增长率水平可行、有效。保险业务收入的预测详见保费收入预测表。</w:t>
      </w:r>
    </w:p>
    <w:p w14:paraId="267491E7" w14:textId="610E0FDA" w:rsidR="005F04FE" w:rsidRDefault="005F04FE" w:rsidP="00EF0BC2">
      <w:pPr>
        <w:pStyle w:val="13"/>
      </w:pPr>
    </w:p>
    <w:p w14:paraId="7382FC3A" w14:textId="5254D361" w:rsidR="005F04FE" w:rsidRDefault="003922A9" w:rsidP="003922A9">
      <w:pPr>
        <w:pStyle w:val="13"/>
        <w:ind w:firstLineChars="0" w:firstLine="0"/>
        <w:jc w:val="center"/>
      </w:pPr>
      <w:r w:rsidRPr="003922A9">
        <w:lastRenderedPageBreak/>
        <w:t>xx保险公司20x4-20y4年年化新业务保费增长率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674"/>
        <w:gridCol w:w="674"/>
        <w:gridCol w:w="674"/>
        <w:gridCol w:w="673"/>
        <w:gridCol w:w="673"/>
        <w:gridCol w:w="673"/>
        <w:gridCol w:w="673"/>
        <w:gridCol w:w="673"/>
        <w:gridCol w:w="673"/>
        <w:gridCol w:w="673"/>
        <w:gridCol w:w="673"/>
      </w:tblGrid>
      <w:tr w:rsidR="003922A9" w:rsidRPr="003922A9" w14:paraId="653A6BB3" w14:textId="77777777" w:rsidTr="003922A9">
        <w:trPr>
          <w:trHeight w:val="255"/>
        </w:trPr>
        <w:tc>
          <w:tcPr>
            <w:tcW w:w="753" w:type="pct"/>
            <w:vAlign w:val="center"/>
          </w:tcPr>
          <w:p w14:paraId="763F3B65" w14:textId="77777777" w:rsidR="003922A9" w:rsidRPr="003922A9" w:rsidRDefault="003922A9" w:rsidP="003922A9">
            <w:pPr>
              <w:pStyle w:val="13"/>
              <w:ind w:firstLineChars="0" w:firstLine="0"/>
              <w:rPr>
                <w:b/>
                <w:sz w:val="18"/>
                <w:szCs w:val="18"/>
              </w:rPr>
            </w:pPr>
            <w:r w:rsidRPr="003922A9">
              <w:rPr>
                <w:b/>
                <w:sz w:val="18"/>
                <w:szCs w:val="18"/>
              </w:rPr>
              <w:t>年份</w:t>
            </w:r>
          </w:p>
        </w:tc>
        <w:tc>
          <w:tcPr>
            <w:tcW w:w="386" w:type="pct"/>
            <w:vAlign w:val="center"/>
          </w:tcPr>
          <w:p w14:paraId="72D6915E"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x</w:t>
            </w:r>
            <w:r w:rsidRPr="003922A9">
              <w:rPr>
                <w:b/>
                <w:sz w:val="18"/>
                <w:szCs w:val="18"/>
              </w:rPr>
              <w:t>4</w:t>
            </w:r>
          </w:p>
        </w:tc>
        <w:tc>
          <w:tcPr>
            <w:tcW w:w="386" w:type="pct"/>
            <w:vAlign w:val="center"/>
          </w:tcPr>
          <w:p w14:paraId="2C93B0C5"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x</w:t>
            </w:r>
            <w:r w:rsidRPr="003922A9">
              <w:rPr>
                <w:b/>
                <w:sz w:val="18"/>
                <w:szCs w:val="18"/>
              </w:rPr>
              <w:t>5</w:t>
            </w:r>
          </w:p>
        </w:tc>
        <w:tc>
          <w:tcPr>
            <w:tcW w:w="386" w:type="pct"/>
            <w:vAlign w:val="center"/>
          </w:tcPr>
          <w:p w14:paraId="38F14584"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x</w:t>
            </w:r>
            <w:r w:rsidRPr="003922A9">
              <w:rPr>
                <w:b/>
                <w:sz w:val="18"/>
                <w:szCs w:val="18"/>
              </w:rPr>
              <w:t>6</w:t>
            </w:r>
          </w:p>
        </w:tc>
        <w:tc>
          <w:tcPr>
            <w:tcW w:w="386" w:type="pct"/>
            <w:vAlign w:val="center"/>
          </w:tcPr>
          <w:p w14:paraId="1B04AB87"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x</w:t>
            </w:r>
            <w:r w:rsidRPr="003922A9">
              <w:rPr>
                <w:b/>
                <w:sz w:val="18"/>
                <w:szCs w:val="18"/>
              </w:rPr>
              <w:t>7</w:t>
            </w:r>
          </w:p>
        </w:tc>
        <w:tc>
          <w:tcPr>
            <w:tcW w:w="386" w:type="pct"/>
            <w:vAlign w:val="center"/>
          </w:tcPr>
          <w:p w14:paraId="1D3513F7"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x</w:t>
            </w:r>
            <w:r w:rsidRPr="003922A9">
              <w:rPr>
                <w:b/>
                <w:sz w:val="18"/>
                <w:szCs w:val="18"/>
              </w:rPr>
              <w:t>8</w:t>
            </w:r>
          </w:p>
        </w:tc>
        <w:tc>
          <w:tcPr>
            <w:tcW w:w="386" w:type="pct"/>
            <w:vAlign w:val="center"/>
          </w:tcPr>
          <w:p w14:paraId="184BADDE"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x</w:t>
            </w:r>
            <w:r w:rsidRPr="003922A9">
              <w:rPr>
                <w:b/>
                <w:sz w:val="18"/>
                <w:szCs w:val="18"/>
              </w:rPr>
              <w:t>9</w:t>
            </w:r>
          </w:p>
        </w:tc>
        <w:tc>
          <w:tcPr>
            <w:tcW w:w="386" w:type="pct"/>
            <w:vAlign w:val="center"/>
          </w:tcPr>
          <w:p w14:paraId="2A59EDE6"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y</w:t>
            </w:r>
            <w:r w:rsidRPr="003922A9">
              <w:rPr>
                <w:b/>
                <w:sz w:val="18"/>
                <w:szCs w:val="18"/>
              </w:rPr>
              <w:t>0</w:t>
            </w:r>
          </w:p>
        </w:tc>
        <w:tc>
          <w:tcPr>
            <w:tcW w:w="386" w:type="pct"/>
            <w:vAlign w:val="center"/>
          </w:tcPr>
          <w:p w14:paraId="570858A2"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y</w:t>
            </w:r>
            <w:r w:rsidRPr="003922A9">
              <w:rPr>
                <w:b/>
                <w:sz w:val="18"/>
                <w:szCs w:val="18"/>
              </w:rPr>
              <w:t>1</w:t>
            </w:r>
          </w:p>
        </w:tc>
        <w:tc>
          <w:tcPr>
            <w:tcW w:w="386" w:type="pct"/>
            <w:vAlign w:val="center"/>
          </w:tcPr>
          <w:p w14:paraId="763D3503"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y</w:t>
            </w:r>
            <w:r w:rsidRPr="003922A9">
              <w:rPr>
                <w:b/>
                <w:sz w:val="18"/>
                <w:szCs w:val="18"/>
              </w:rPr>
              <w:t>2</w:t>
            </w:r>
          </w:p>
        </w:tc>
        <w:tc>
          <w:tcPr>
            <w:tcW w:w="386" w:type="pct"/>
            <w:vAlign w:val="center"/>
          </w:tcPr>
          <w:p w14:paraId="25279F17"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y</w:t>
            </w:r>
            <w:r w:rsidRPr="003922A9">
              <w:rPr>
                <w:b/>
                <w:sz w:val="18"/>
                <w:szCs w:val="18"/>
              </w:rPr>
              <w:t>3</w:t>
            </w:r>
          </w:p>
        </w:tc>
        <w:tc>
          <w:tcPr>
            <w:tcW w:w="386" w:type="pct"/>
            <w:vAlign w:val="center"/>
          </w:tcPr>
          <w:p w14:paraId="7C0EF784" w14:textId="77777777" w:rsidR="003922A9" w:rsidRPr="003922A9" w:rsidRDefault="003922A9" w:rsidP="003922A9">
            <w:pPr>
              <w:pStyle w:val="13"/>
              <w:ind w:firstLineChars="0" w:firstLine="0"/>
              <w:rPr>
                <w:b/>
                <w:sz w:val="18"/>
                <w:szCs w:val="18"/>
              </w:rPr>
            </w:pPr>
            <w:r w:rsidRPr="003922A9">
              <w:rPr>
                <w:b/>
                <w:sz w:val="18"/>
                <w:szCs w:val="18"/>
              </w:rPr>
              <w:t>20</w:t>
            </w:r>
            <w:r w:rsidRPr="003922A9">
              <w:rPr>
                <w:rFonts w:hint="eastAsia"/>
                <w:b/>
                <w:sz w:val="18"/>
                <w:szCs w:val="18"/>
              </w:rPr>
              <w:t>y</w:t>
            </w:r>
            <w:r w:rsidRPr="003922A9">
              <w:rPr>
                <w:b/>
                <w:sz w:val="18"/>
                <w:szCs w:val="18"/>
              </w:rPr>
              <w:t>4</w:t>
            </w:r>
          </w:p>
        </w:tc>
      </w:tr>
      <w:tr w:rsidR="003922A9" w:rsidRPr="003922A9" w14:paraId="432F8751" w14:textId="77777777" w:rsidTr="003922A9">
        <w:trPr>
          <w:trHeight w:val="255"/>
        </w:trPr>
        <w:tc>
          <w:tcPr>
            <w:tcW w:w="753" w:type="pct"/>
            <w:vAlign w:val="center"/>
          </w:tcPr>
          <w:p w14:paraId="0D42AFD6" w14:textId="77777777" w:rsidR="003922A9" w:rsidRPr="003922A9" w:rsidRDefault="003922A9" w:rsidP="003922A9">
            <w:pPr>
              <w:pStyle w:val="13"/>
              <w:ind w:firstLineChars="0" w:firstLine="0"/>
              <w:rPr>
                <w:sz w:val="18"/>
                <w:szCs w:val="18"/>
              </w:rPr>
            </w:pPr>
            <w:r w:rsidRPr="003922A9">
              <w:rPr>
                <w:sz w:val="18"/>
                <w:szCs w:val="18"/>
              </w:rPr>
              <w:t>ANP增长率</w:t>
            </w:r>
          </w:p>
        </w:tc>
        <w:tc>
          <w:tcPr>
            <w:tcW w:w="386" w:type="pct"/>
            <w:vAlign w:val="center"/>
          </w:tcPr>
          <w:p w14:paraId="5260573E" w14:textId="77777777" w:rsidR="003922A9" w:rsidRPr="003922A9" w:rsidRDefault="003922A9" w:rsidP="003922A9">
            <w:pPr>
              <w:pStyle w:val="13"/>
              <w:ind w:firstLineChars="0" w:firstLine="0"/>
              <w:rPr>
                <w:sz w:val="18"/>
                <w:szCs w:val="18"/>
              </w:rPr>
            </w:pPr>
            <w:r w:rsidRPr="003922A9">
              <w:rPr>
                <w:sz w:val="18"/>
                <w:szCs w:val="18"/>
              </w:rPr>
              <w:t>17%</w:t>
            </w:r>
          </w:p>
        </w:tc>
        <w:tc>
          <w:tcPr>
            <w:tcW w:w="386" w:type="pct"/>
            <w:vAlign w:val="center"/>
          </w:tcPr>
          <w:p w14:paraId="54FFCFB2" w14:textId="77777777" w:rsidR="003922A9" w:rsidRPr="003922A9" w:rsidRDefault="003922A9" w:rsidP="003922A9">
            <w:pPr>
              <w:pStyle w:val="13"/>
              <w:ind w:firstLineChars="0" w:firstLine="0"/>
              <w:rPr>
                <w:sz w:val="18"/>
                <w:szCs w:val="18"/>
              </w:rPr>
            </w:pPr>
            <w:r w:rsidRPr="003922A9">
              <w:rPr>
                <w:sz w:val="18"/>
                <w:szCs w:val="18"/>
              </w:rPr>
              <w:t>16%</w:t>
            </w:r>
          </w:p>
        </w:tc>
        <w:tc>
          <w:tcPr>
            <w:tcW w:w="386" w:type="pct"/>
            <w:vAlign w:val="center"/>
          </w:tcPr>
          <w:p w14:paraId="74CFC843" w14:textId="77777777" w:rsidR="003922A9" w:rsidRPr="003922A9" w:rsidRDefault="003922A9" w:rsidP="003922A9">
            <w:pPr>
              <w:pStyle w:val="13"/>
              <w:ind w:firstLineChars="0" w:firstLine="0"/>
              <w:rPr>
                <w:sz w:val="18"/>
                <w:szCs w:val="18"/>
              </w:rPr>
            </w:pPr>
            <w:r w:rsidRPr="003922A9">
              <w:rPr>
                <w:sz w:val="18"/>
                <w:szCs w:val="18"/>
              </w:rPr>
              <w:t>14%</w:t>
            </w:r>
          </w:p>
        </w:tc>
        <w:tc>
          <w:tcPr>
            <w:tcW w:w="386" w:type="pct"/>
            <w:vAlign w:val="center"/>
          </w:tcPr>
          <w:p w14:paraId="6242A20E" w14:textId="77777777" w:rsidR="003922A9" w:rsidRPr="003922A9" w:rsidRDefault="003922A9" w:rsidP="003922A9">
            <w:pPr>
              <w:pStyle w:val="13"/>
              <w:ind w:firstLineChars="0" w:firstLine="0"/>
              <w:rPr>
                <w:sz w:val="18"/>
                <w:szCs w:val="18"/>
              </w:rPr>
            </w:pPr>
            <w:r w:rsidRPr="003922A9">
              <w:rPr>
                <w:sz w:val="18"/>
                <w:szCs w:val="18"/>
              </w:rPr>
              <w:t>13%</w:t>
            </w:r>
          </w:p>
        </w:tc>
        <w:tc>
          <w:tcPr>
            <w:tcW w:w="386" w:type="pct"/>
            <w:vAlign w:val="center"/>
          </w:tcPr>
          <w:p w14:paraId="314FECB2" w14:textId="77777777" w:rsidR="003922A9" w:rsidRPr="003922A9" w:rsidRDefault="003922A9" w:rsidP="003922A9">
            <w:pPr>
              <w:pStyle w:val="13"/>
              <w:ind w:firstLineChars="0" w:firstLine="0"/>
              <w:rPr>
                <w:sz w:val="18"/>
                <w:szCs w:val="18"/>
              </w:rPr>
            </w:pPr>
            <w:r w:rsidRPr="003922A9">
              <w:rPr>
                <w:sz w:val="18"/>
                <w:szCs w:val="18"/>
              </w:rPr>
              <w:t>12%</w:t>
            </w:r>
          </w:p>
        </w:tc>
        <w:tc>
          <w:tcPr>
            <w:tcW w:w="386" w:type="pct"/>
            <w:vAlign w:val="center"/>
          </w:tcPr>
          <w:p w14:paraId="62383AEF" w14:textId="77777777" w:rsidR="003922A9" w:rsidRPr="003922A9" w:rsidRDefault="003922A9" w:rsidP="003922A9">
            <w:pPr>
              <w:pStyle w:val="13"/>
              <w:ind w:firstLineChars="0" w:firstLine="0"/>
              <w:rPr>
                <w:sz w:val="18"/>
                <w:szCs w:val="18"/>
              </w:rPr>
            </w:pPr>
            <w:r w:rsidRPr="003922A9">
              <w:rPr>
                <w:sz w:val="18"/>
                <w:szCs w:val="18"/>
              </w:rPr>
              <w:t>11%</w:t>
            </w:r>
          </w:p>
        </w:tc>
        <w:tc>
          <w:tcPr>
            <w:tcW w:w="386" w:type="pct"/>
            <w:vAlign w:val="center"/>
          </w:tcPr>
          <w:p w14:paraId="2239CD99" w14:textId="77777777" w:rsidR="003922A9" w:rsidRPr="003922A9" w:rsidRDefault="003922A9" w:rsidP="003922A9">
            <w:pPr>
              <w:pStyle w:val="13"/>
              <w:ind w:firstLineChars="0" w:firstLine="0"/>
              <w:rPr>
                <w:sz w:val="18"/>
                <w:szCs w:val="18"/>
              </w:rPr>
            </w:pPr>
            <w:r w:rsidRPr="003922A9">
              <w:rPr>
                <w:sz w:val="18"/>
                <w:szCs w:val="18"/>
              </w:rPr>
              <w:t>10%</w:t>
            </w:r>
          </w:p>
        </w:tc>
        <w:tc>
          <w:tcPr>
            <w:tcW w:w="386" w:type="pct"/>
            <w:vAlign w:val="center"/>
          </w:tcPr>
          <w:p w14:paraId="1E913A34" w14:textId="77777777" w:rsidR="003922A9" w:rsidRPr="003922A9" w:rsidRDefault="003922A9" w:rsidP="003922A9">
            <w:pPr>
              <w:pStyle w:val="13"/>
              <w:ind w:firstLineChars="0" w:firstLine="0"/>
              <w:rPr>
                <w:sz w:val="18"/>
                <w:szCs w:val="18"/>
              </w:rPr>
            </w:pPr>
            <w:r w:rsidRPr="003922A9">
              <w:rPr>
                <w:sz w:val="18"/>
                <w:szCs w:val="18"/>
              </w:rPr>
              <w:t>9%</w:t>
            </w:r>
          </w:p>
        </w:tc>
        <w:tc>
          <w:tcPr>
            <w:tcW w:w="386" w:type="pct"/>
            <w:vAlign w:val="center"/>
          </w:tcPr>
          <w:p w14:paraId="4472ABA4" w14:textId="77777777" w:rsidR="003922A9" w:rsidRPr="003922A9" w:rsidRDefault="003922A9" w:rsidP="003922A9">
            <w:pPr>
              <w:pStyle w:val="13"/>
              <w:ind w:firstLineChars="0" w:firstLine="0"/>
              <w:rPr>
                <w:sz w:val="18"/>
                <w:szCs w:val="18"/>
              </w:rPr>
            </w:pPr>
            <w:r w:rsidRPr="003922A9">
              <w:rPr>
                <w:sz w:val="18"/>
                <w:szCs w:val="18"/>
              </w:rPr>
              <w:t>8%</w:t>
            </w:r>
          </w:p>
        </w:tc>
        <w:tc>
          <w:tcPr>
            <w:tcW w:w="386" w:type="pct"/>
            <w:vAlign w:val="center"/>
          </w:tcPr>
          <w:p w14:paraId="7E2F88BE" w14:textId="77777777" w:rsidR="003922A9" w:rsidRPr="003922A9" w:rsidRDefault="003922A9" w:rsidP="003922A9">
            <w:pPr>
              <w:pStyle w:val="13"/>
              <w:ind w:firstLineChars="0" w:firstLine="0"/>
              <w:rPr>
                <w:sz w:val="18"/>
                <w:szCs w:val="18"/>
              </w:rPr>
            </w:pPr>
            <w:r w:rsidRPr="003922A9">
              <w:rPr>
                <w:sz w:val="18"/>
                <w:szCs w:val="18"/>
              </w:rPr>
              <w:t>7%</w:t>
            </w:r>
          </w:p>
        </w:tc>
        <w:tc>
          <w:tcPr>
            <w:tcW w:w="386" w:type="pct"/>
            <w:vAlign w:val="center"/>
          </w:tcPr>
          <w:p w14:paraId="009DDCE2" w14:textId="77777777" w:rsidR="003922A9" w:rsidRPr="003922A9" w:rsidRDefault="003922A9" w:rsidP="003922A9">
            <w:pPr>
              <w:pStyle w:val="13"/>
              <w:ind w:firstLineChars="0" w:firstLine="0"/>
              <w:rPr>
                <w:sz w:val="18"/>
                <w:szCs w:val="18"/>
              </w:rPr>
            </w:pPr>
            <w:r w:rsidRPr="003922A9">
              <w:rPr>
                <w:sz w:val="18"/>
                <w:szCs w:val="18"/>
              </w:rPr>
              <w:t>6%</w:t>
            </w:r>
          </w:p>
        </w:tc>
      </w:tr>
    </w:tbl>
    <w:p w14:paraId="483EAAF1" w14:textId="77777777" w:rsidR="003922A9" w:rsidRDefault="003922A9" w:rsidP="003922A9">
      <w:pPr>
        <w:pStyle w:val="13"/>
      </w:pPr>
      <w:r>
        <w:rPr>
          <w:rFonts w:hint="eastAsia"/>
        </w:rPr>
        <w:t>本次评估以目前所经营的业务类别为基础，参照</w:t>
      </w:r>
      <w:r>
        <w:t>xx保险公司未来年度商业计划，在20x3年的基础上，考虑国民经济的整体发展和保险深度的加强，对不同产品的保险业务收入进行预测。</w:t>
      </w:r>
    </w:p>
    <w:p w14:paraId="13E61AF8" w14:textId="2730BA24" w:rsidR="005F04FE" w:rsidRDefault="003922A9" w:rsidP="003922A9">
      <w:pPr>
        <w:pStyle w:val="13"/>
      </w:pPr>
      <w:r>
        <w:t>2、分出保费与未到期责任准备金</w:t>
      </w:r>
    </w:p>
    <w:p w14:paraId="15488728" w14:textId="77777777" w:rsidR="003922A9" w:rsidRDefault="003922A9" w:rsidP="003922A9">
      <w:pPr>
        <w:pStyle w:val="13"/>
      </w:pPr>
      <w:r>
        <w:rPr>
          <w:rFonts w:hint="eastAsia"/>
        </w:rPr>
        <w:t>分出保费是保险公司为了控制风险、提高偿付能力充足率，将部分</w:t>
      </w:r>
      <w:proofErr w:type="gramStart"/>
      <w:r>
        <w:rPr>
          <w:rFonts w:hint="eastAsia"/>
        </w:rPr>
        <w:t>风险向再保险公司</w:t>
      </w:r>
      <w:proofErr w:type="gramEnd"/>
      <w:r>
        <w:rPr>
          <w:rFonts w:hint="eastAsia"/>
        </w:rPr>
        <w:t>分出（也叫再保险），由此产生了分出保费。</w:t>
      </w:r>
      <w:r>
        <w:t>xx保险公司存在8个有效财务再保险合同。xx保险公司目前的主要保费分出方为xx再保险公司、xx再保险公司及xx再保险公司。20x2年分出保费较20x1年减少或5.78%，主要原因为：20x1年为收取再保佣金，减少亏损，提高偿付能力，导致分出保费规模较大。20x2年业务规模增长很大，分出保费规模下降。20x3年xx保险公司分出保费的金额为93,214.63万元，较20x2年增长8%。本次评估在xx</w:t>
      </w:r>
      <w:r>
        <w:rPr>
          <w:rFonts w:hint="eastAsia"/>
        </w:rPr>
        <w:t>保险公司商业计划的基础上对未来年度分出保费进行预测，</w:t>
      </w:r>
      <w:r>
        <w:t>xx保险公司在</w:t>
      </w:r>
      <w:proofErr w:type="gramStart"/>
      <w:r>
        <w:t>估计再</w:t>
      </w:r>
      <w:proofErr w:type="gramEnd"/>
      <w:r>
        <w:t>保险影响时，仅考虑目前已生效的再保险合同，未来不增加再保险合同。分出保费的预测详见保费收入预测表。</w:t>
      </w:r>
    </w:p>
    <w:p w14:paraId="1A75B405" w14:textId="77777777" w:rsidR="003922A9" w:rsidRDefault="003922A9" w:rsidP="003922A9">
      <w:pPr>
        <w:pStyle w:val="13"/>
      </w:pPr>
      <w:r>
        <w:rPr>
          <w:rFonts w:hint="eastAsia"/>
        </w:rPr>
        <w:t>未到期责任准备金指公司一年以内的财产险、意外伤害险、健康险业务按规定从本期保险责任尚未到期，应属于下一年度的部分保险费中提取出来形成的准备金。</w:t>
      </w:r>
      <w:r>
        <w:t>20x2年提取未到期责任准备金为34万，较20x1年下降85.87%。主要原因是：未到期责任准备金针对的是短期险，20x1年短期保险有较大增长，20x2年该类业务量变动不大，引起准备金变动较小。按照我国保险精算规定：会计年度末未到期责任准备金按照本会计年度自留毛保费的50%提取。本次评估对未到期责任准备金的预测按照保险精算规定进行提取。未到期责任准备金的预测详见保费收</w:t>
      </w:r>
      <w:r>
        <w:rPr>
          <w:rFonts w:hint="eastAsia"/>
        </w:rPr>
        <w:t>入预测表。</w:t>
      </w:r>
    </w:p>
    <w:p w14:paraId="3087D6EB" w14:textId="77777777" w:rsidR="003922A9" w:rsidRDefault="003922A9" w:rsidP="003922A9">
      <w:pPr>
        <w:pStyle w:val="13"/>
      </w:pPr>
      <w:r>
        <w:t>3、已赚保费</w:t>
      </w:r>
    </w:p>
    <w:p w14:paraId="664CCA90" w14:textId="77777777" w:rsidR="003922A9" w:rsidRDefault="003922A9" w:rsidP="003922A9">
      <w:pPr>
        <w:pStyle w:val="13"/>
      </w:pPr>
      <w:r>
        <w:rPr>
          <w:rFonts w:hint="eastAsia"/>
        </w:rPr>
        <w:t>当年的保费收入扣除分出保费和提取未到期责任准备金之后，得到公司当年的已赚保费。详见下表：</w:t>
      </w:r>
    </w:p>
    <w:p w14:paraId="4D68747E" w14:textId="2B03E44F" w:rsidR="005F04FE" w:rsidRDefault="003922A9" w:rsidP="003922A9">
      <w:pPr>
        <w:pStyle w:val="13"/>
        <w:ind w:firstLineChars="0" w:firstLine="0"/>
        <w:jc w:val="center"/>
      </w:pPr>
      <w:r>
        <w:t>20x4年-20y4年保费收入及已赚保费预测表</w:t>
      </w:r>
    </w:p>
    <w:p w14:paraId="1E0E44F3" w14:textId="50EF689F" w:rsidR="005F04FE" w:rsidRPr="003922A9" w:rsidRDefault="003922A9" w:rsidP="003922A9">
      <w:pPr>
        <w:pStyle w:val="13"/>
        <w:ind w:firstLine="360"/>
        <w:jc w:val="right"/>
        <w:rPr>
          <w:sz w:val="18"/>
          <w:szCs w:val="18"/>
        </w:rPr>
      </w:pPr>
      <w:r w:rsidRPr="003922A9">
        <w:rPr>
          <w:rFonts w:hint="eastAsia"/>
          <w:sz w:val="18"/>
          <w:szCs w:val="18"/>
        </w:rPr>
        <w:t>金额单位：人民币亿元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670"/>
        <w:gridCol w:w="670"/>
        <w:gridCol w:w="670"/>
        <w:gridCol w:w="670"/>
        <w:gridCol w:w="670"/>
        <w:gridCol w:w="670"/>
        <w:gridCol w:w="670"/>
        <w:gridCol w:w="670"/>
        <w:gridCol w:w="670"/>
        <w:gridCol w:w="670"/>
        <w:gridCol w:w="670"/>
      </w:tblGrid>
      <w:tr w:rsidR="003922A9" w:rsidRPr="003922A9" w14:paraId="385A8209" w14:textId="77777777" w:rsidTr="003922A9">
        <w:trPr>
          <w:trHeight w:val="285"/>
        </w:trPr>
        <w:tc>
          <w:tcPr>
            <w:tcW w:w="774" w:type="pct"/>
            <w:vAlign w:val="center"/>
          </w:tcPr>
          <w:p w14:paraId="02C1BB98" w14:textId="77777777" w:rsidR="003922A9" w:rsidRPr="003922A9" w:rsidRDefault="003922A9" w:rsidP="003922A9">
            <w:pPr>
              <w:pStyle w:val="13"/>
              <w:ind w:firstLineChars="0" w:firstLine="0"/>
              <w:jc w:val="center"/>
              <w:rPr>
                <w:b/>
                <w:sz w:val="18"/>
                <w:szCs w:val="18"/>
              </w:rPr>
            </w:pPr>
            <w:r w:rsidRPr="003922A9">
              <w:rPr>
                <w:b/>
                <w:sz w:val="18"/>
                <w:szCs w:val="18"/>
              </w:rPr>
              <w:t>年份</w:t>
            </w:r>
          </w:p>
        </w:tc>
        <w:tc>
          <w:tcPr>
            <w:tcW w:w="384" w:type="pct"/>
            <w:vAlign w:val="center"/>
          </w:tcPr>
          <w:p w14:paraId="5D467515" w14:textId="77777777" w:rsidR="003922A9" w:rsidRPr="003922A9" w:rsidRDefault="003922A9" w:rsidP="003922A9">
            <w:pPr>
              <w:pStyle w:val="13"/>
              <w:ind w:firstLineChars="0" w:firstLine="0"/>
              <w:jc w:val="center"/>
              <w:rPr>
                <w:b/>
                <w:sz w:val="18"/>
                <w:szCs w:val="18"/>
              </w:rPr>
            </w:pPr>
            <w:r w:rsidRPr="003922A9">
              <w:rPr>
                <w:b/>
                <w:sz w:val="18"/>
                <w:szCs w:val="18"/>
              </w:rPr>
              <w:t>20x4</w:t>
            </w:r>
          </w:p>
        </w:tc>
        <w:tc>
          <w:tcPr>
            <w:tcW w:w="384" w:type="pct"/>
            <w:vAlign w:val="center"/>
          </w:tcPr>
          <w:p w14:paraId="73068FAE" w14:textId="77777777" w:rsidR="003922A9" w:rsidRPr="003922A9" w:rsidRDefault="003922A9" w:rsidP="003922A9">
            <w:pPr>
              <w:pStyle w:val="13"/>
              <w:ind w:firstLineChars="0" w:firstLine="0"/>
              <w:jc w:val="center"/>
              <w:rPr>
                <w:b/>
                <w:sz w:val="18"/>
                <w:szCs w:val="18"/>
              </w:rPr>
            </w:pPr>
            <w:r w:rsidRPr="003922A9">
              <w:rPr>
                <w:b/>
                <w:sz w:val="18"/>
                <w:szCs w:val="18"/>
              </w:rPr>
              <w:t>20x5</w:t>
            </w:r>
          </w:p>
        </w:tc>
        <w:tc>
          <w:tcPr>
            <w:tcW w:w="384" w:type="pct"/>
            <w:vAlign w:val="center"/>
          </w:tcPr>
          <w:p w14:paraId="5DC2EA04" w14:textId="77777777" w:rsidR="003922A9" w:rsidRPr="003922A9" w:rsidRDefault="003922A9" w:rsidP="003922A9">
            <w:pPr>
              <w:pStyle w:val="13"/>
              <w:ind w:firstLineChars="0" w:firstLine="0"/>
              <w:jc w:val="center"/>
              <w:rPr>
                <w:b/>
                <w:sz w:val="18"/>
                <w:szCs w:val="18"/>
              </w:rPr>
            </w:pPr>
            <w:r w:rsidRPr="003922A9">
              <w:rPr>
                <w:b/>
                <w:sz w:val="18"/>
                <w:szCs w:val="18"/>
              </w:rPr>
              <w:t>20x6</w:t>
            </w:r>
          </w:p>
        </w:tc>
        <w:tc>
          <w:tcPr>
            <w:tcW w:w="384" w:type="pct"/>
            <w:vAlign w:val="center"/>
          </w:tcPr>
          <w:p w14:paraId="19987332" w14:textId="77777777" w:rsidR="003922A9" w:rsidRPr="003922A9" w:rsidRDefault="003922A9" w:rsidP="003922A9">
            <w:pPr>
              <w:pStyle w:val="13"/>
              <w:ind w:firstLineChars="0" w:firstLine="0"/>
              <w:jc w:val="center"/>
              <w:rPr>
                <w:b/>
                <w:sz w:val="18"/>
                <w:szCs w:val="18"/>
              </w:rPr>
            </w:pPr>
            <w:r w:rsidRPr="003922A9">
              <w:rPr>
                <w:b/>
                <w:sz w:val="18"/>
                <w:szCs w:val="18"/>
              </w:rPr>
              <w:t>20x7</w:t>
            </w:r>
          </w:p>
        </w:tc>
        <w:tc>
          <w:tcPr>
            <w:tcW w:w="384" w:type="pct"/>
            <w:vAlign w:val="center"/>
          </w:tcPr>
          <w:p w14:paraId="0888138B" w14:textId="77777777" w:rsidR="003922A9" w:rsidRPr="003922A9" w:rsidRDefault="003922A9" w:rsidP="003922A9">
            <w:pPr>
              <w:pStyle w:val="13"/>
              <w:ind w:firstLineChars="0" w:firstLine="0"/>
              <w:jc w:val="center"/>
              <w:rPr>
                <w:b/>
                <w:sz w:val="18"/>
                <w:szCs w:val="18"/>
              </w:rPr>
            </w:pPr>
            <w:r w:rsidRPr="003922A9">
              <w:rPr>
                <w:b/>
                <w:sz w:val="18"/>
                <w:szCs w:val="18"/>
              </w:rPr>
              <w:t>20x8</w:t>
            </w:r>
          </w:p>
        </w:tc>
        <w:tc>
          <w:tcPr>
            <w:tcW w:w="384" w:type="pct"/>
            <w:vAlign w:val="center"/>
          </w:tcPr>
          <w:p w14:paraId="67626ED2" w14:textId="77777777" w:rsidR="003922A9" w:rsidRPr="003922A9" w:rsidRDefault="003922A9" w:rsidP="003922A9">
            <w:pPr>
              <w:pStyle w:val="13"/>
              <w:ind w:firstLineChars="0" w:firstLine="0"/>
              <w:jc w:val="center"/>
              <w:rPr>
                <w:b/>
                <w:sz w:val="18"/>
                <w:szCs w:val="18"/>
              </w:rPr>
            </w:pPr>
            <w:r w:rsidRPr="003922A9">
              <w:rPr>
                <w:b/>
                <w:sz w:val="18"/>
                <w:szCs w:val="18"/>
              </w:rPr>
              <w:t>20x9</w:t>
            </w:r>
          </w:p>
        </w:tc>
        <w:tc>
          <w:tcPr>
            <w:tcW w:w="384" w:type="pct"/>
            <w:vAlign w:val="center"/>
          </w:tcPr>
          <w:p w14:paraId="46425863" w14:textId="77777777" w:rsidR="003922A9" w:rsidRPr="003922A9" w:rsidRDefault="003922A9" w:rsidP="003922A9">
            <w:pPr>
              <w:pStyle w:val="13"/>
              <w:ind w:firstLineChars="0" w:firstLine="0"/>
              <w:jc w:val="center"/>
              <w:rPr>
                <w:b/>
                <w:sz w:val="18"/>
                <w:szCs w:val="18"/>
              </w:rPr>
            </w:pPr>
            <w:r w:rsidRPr="003922A9">
              <w:rPr>
                <w:b/>
                <w:sz w:val="18"/>
                <w:szCs w:val="18"/>
              </w:rPr>
              <w:t>20</w:t>
            </w:r>
            <w:r w:rsidRPr="003922A9">
              <w:rPr>
                <w:rFonts w:hint="eastAsia"/>
                <w:b/>
                <w:sz w:val="18"/>
                <w:szCs w:val="18"/>
              </w:rPr>
              <w:t>y</w:t>
            </w:r>
            <w:r w:rsidRPr="003922A9">
              <w:rPr>
                <w:b/>
                <w:sz w:val="18"/>
                <w:szCs w:val="18"/>
              </w:rPr>
              <w:t>0</w:t>
            </w:r>
          </w:p>
        </w:tc>
        <w:tc>
          <w:tcPr>
            <w:tcW w:w="384" w:type="pct"/>
            <w:vAlign w:val="center"/>
          </w:tcPr>
          <w:p w14:paraId="7A45AF98" w14:textId="77777777" w:rsidR="003922A9" w:rsidRPr="003922A9" w:rsidRDefault="003922A9" w:rsidP="003922A9">
            <w:pPr>
              <w:pStyle w:val="13"/>
              <w:ind w:firstLineChars="0" w:firstLine="0"/>
              <w:jc w:val="center"/>
              <w:rPr>
                <w:b/>
                <w:sz w:val="18"/>
                <w:szCs w:val="18"/>
              </w:rPr>
            </w:pPr>
            <w:r w:rsidRPr="003922A9">
              <w:rPr>
                <w:b/>
                <w:sz w:val="18"/>
                <w:szCs w:val="18"/>
              </w:rPr>
              <w:t>20</w:t>
            </w:r>
            <w:r w:rsidRPr="003922A9">
              <w:rPr>
                <w:rFonts w:hint="eastAsia"/>
                <w:b/>
                <w:sz w:val="18"/>
                <w:szCs w:val="18"/>
              </w:rPr>
              <w:t>y</w:t>
            </w:r>
            <w:r w:rsidRPr="003922A9">
              <w:rPr>
                <w:b/>
                <w:sz w:val="18"/>
                <w:szCs w:val="18"/>
              </w:rPr>
              <w:t>1</w:t>
            </w:r>
          </w:p>
        </w:tc>
        <w:tc>
          <w:tcPr>
            <w:tcW w:w="384" w:type="pct"/>
            <w:vAlign w:val="center"/>
          </w:tcPr>
          <w:p w14:paraId="5E6E4E0E" w14:textId="77777777" w:rsidR="003922A9" w:rsidRPr="003922A9" w:rsidRDefault="003922A9" w:rsidP="003922A9">
            <w:pPr>
              <w:pStyle w:val="13"/>
              <w:ind w:firstLineChars="0" w:firstLine="0"/>
              <w:jc w:val="center"/>
              <w:rPr>
                <w:b/>
                <w:sz w:val="18"/>
                <w:szCs w:val="18"/>
              </w:rPr>
            </w:pPr>
            <w:r w:rsidRPr="003922A9">
              <w:rPr>
                <w:b/>
                <w:sz w:val="18"/>
                <w:szCs w:val="18"/>
              </w:rPr>
              <w:t>20</w:t>
            </w:r>
            <w:r w:rsidRPr="003922A9">
              <w:rPr>
                <w:rFonts w:hint="eastAsia"/>
                <w:b/>
                <w:sz w:val="18"/>
                <w:szCs w:val="18"/>
              </w:rPr>
              <w:t>y</w:t>
            </w:r>
            <w:r w:rsidRPr="003922A9">
              <w:rPr>
                <w:b/>
                <w:sz w:val="18"/>
                <w:szCs w:val="18"/>
              </w:rPr>
              <w:t>2</w:t>
            </w:r>
          </w:p>
        </w:tc>
        <w:tc>
          <w:tcPr>
            <w:tcW w:w="384" w:type="pct"/>
            <w:vAlign w:val="center"/>
          </w:tcPr>
          <w:p w14:paraId="48B56865" w14:textId="77777777" w:rsidR="003922A9" w:rsidRPr="003922A9" w:rsidRDefault="003922A9" w:rsidP="003922A9">
            <w:pPr>
              <w:pStyle w:val="13"/>
              <w:ind w:firstLineChars="0" w:firstLine="0"/>
              <w:jc w:val="center"/>
              <w:rPr>
                <w:b/>
                <w:sz w:val="18"/>
                <w:szCs w:val="18"/>
              </w:rPr>
            </w:pPr>
            <w:r w:rsidRPr="003922A9">
              <w:rPr>
                <w:b/>
                <w:sz w:val="18"/>
                <w:szCs w:val="18"/>
              </w:rPr>
              <w:t>20</w:t>
            </w:r>
            <w:r w:rsidRPr="003922A9">
              <w:rPr>
                <w:rFonts w:hint="eastAsia"/>
                <w:b/>
                <w:sz w:val="18"/>
                <w:szCs w:val="18"/>
              </w:rPr>
              <w:t>y</w:t>
            </w:r>
            <w:r w:rsidRPr="003922A9">
              <w:rPr>
                <w:b/>
                <w:sz w:val="18"/>
                <w:szCs w:val="18"/>
              </w:rPr>
              <w:t>3</w:t>
            </w:r>
          </w:p>
        </w:tc>
        <w:tc>
          <w:tcPr>
            <w:tcW w:w="384" w:type="pct"/>
            <w:vAlign w:val="center"/>
          </w:tcPr>
          <w:p w14:paraId="7272C773" w14:textId="77777777" w:rsidR="003922A9" w:rsidRPr="003922A9" w:rsidRDefault="003922A9" w:rsidP="003922A9">
            <w:pPr>
              <w:pStyle w:val="13"/>
              <w:ind w:firstLineChars="0" w:firstLine="0"/>
              <w:jc w:val="center"/>
              <w:rPr>
                <w:b/>
                <w:sz w:val="18"/>
                <w:szCs w:val="18"/>
              </w:rPr>
            </w:pPr>
            <w:r w:rsidRPr="003922A9">
              <w:rPr>
                <w:b/>
                <w:sz w:val="18"/>
                <w:szCs w:val="18"/>
              </w:rPr>
              <w:t>20</w:t>
            </w:r>
            <w:r w:rsidRPr="003922A9">
              <w:rPr>
                <w:rFonts w:hint="eastAsia"/>
                <w:b/>
                <w:sz w:val="18"/>
                <w:szCs w:val="18"/>
              </w:rPr>
              <w:t>y</w:t>
            </w:r>
            <w:r w:rsidRPr="003922A9">
              <w:rPr>
                <w:b/>
                <w:sz w:val="18"/>
                <w:szCs w:val="18"/>
              </w:rPr>
              <w:t>4</w:t>
            </w:r>
          </w:p>
        </w:tc>
      </w:tr>
      <w:tr w:rsidR="003922A9" w:rsidRPr="003922A9" w14:paraId="5A4FA119" w14:textId="77777777" w:rsidTr="003922A9">
        <w:trPr>
          <w:trHeight w:val="285"/>
        </w:trPr>
        <w:tc>
          <w:tcPr>
            <w:tcW w:w="774" w:type="pct"/>
            <w:vAlign w:val="center"/>
          </w:tcPr>
          <w:p w14:paraId="033B6578" w14:textId="77777777" w:rsidR="003922A9" w:rsidRPr="003922A9" w:rsidRDefault="003922A9" w:rsidP="003922A9">
            <w:pPr>
              <w:pStyle w:val="13"/>
              <w:ind w:firstLineChars="0" w:firstLine="0"/>
              <w:rPr>
                <w:b/>
                <w:sz w:val="18"/>
                <w:szCs w:val="18"/>
              </w:rPr>
            </w:pPr>
            <w:r w:rsidRPr="003922A9">
              <w:rPr>
                <w:b/>
                <w:sz w:val="18"/>
                <w:szCs w:val="18"/>
              </w:rPr>
              <w:t>保险业务收入</w:t>
            </w:r>
          </w:p>
        </w:tc>
        <w:tc>
          <w:tcPr>
            <w:tcW w:w="384" w:type="pct"/>
            <w:vAlign w:val="center"/>
          </w:tcPr>
          <w:p w14:paraId="18B06A0A" w14:textId="77777777" w:rsidR="003922A9" w:rsidRPr="003922A9" w:rsidRDefault="003922A9" w:rsidP="003922A9">
            <w:pPr>
              <w:pStyle w:val="13"/>
              <w:ind w:firstLineChars="0" w:firstLine="0"/>
              <w:jc w:val="right"/>
              <w:rPr>
                <w:sz w:val="18"/>
                <w:szCs w:val="18"/>
              </w:rPr>
            </w:pPr>
            <w:r w:rsidRPr="003922A9">
              <w:rPr>
                <w:sz w:val="18"/>
                <w:szCs w:val="18"/>
              </w:rPr>
              <w:t>21.61</w:t>
            </w:r>
          </w:p>
        </w:tc>
        <w:tc>
          <w:tcPr>
            <w:tcW w:w="384" w:type="pct"/>
            <w:vAlign w:val="center"/>
          </w:tcPr>
          <w:p w14:paraId="42E0B303" w14:textId="77777777" w:rsidR="003922A9" w:rsidRPr="003922A9" w:rsidRDefault="003922A9" w:rsidP="003922A9">
            <w:pPr>
              <w:pStyle w:val="13"/>
              <w:ind w:firstLineChars="0" w:firstLine="0"/>
              <w:jc w:val="right"/>
              <w:rPr>
                <w:sz w:val="18"/>
                <w:szCs w:val="18"/>
              </w:rPr>
            </w:pPr>
            <w:r w:rsidRPr="003922A9">
              <w:rPr>
                <w:sz w:val="18"/>
                <w:szCs w:val="18"/>
              </w:rPr>
              <w:t>24.67</w:t>
            </w:r>
          </w:p>
        </w:tc>
        <w:tc>
          <w:tcPr>
            <w:tcW w:w="384" w:type="pct"/>
            <w:vAlign w:val="center"/>
          </w:tcPr>
          <w:p w14:paraId="41405F78" w14:textId="77777777" w:rsidR="003922A9" w:rsidRPr="003922A9" w:rsidRDefault="003922A9" w:rsidP="003922A9">
            <w:pPr>
              <w:pStyle w:val="13"/>
              <w:ind w:firstLineChars="0" w:firstLine="0"/>
              <w:jc w:val="right"/>
              <w:rPr>
                <w:sz w:val="18"/>
                <w:szCs w:val="18"/>
              </w:rPr>
            </w:pPr>
            <w:r w:rsidRPr="003922A9">
              <w:rPr>
                <w:sz w:val="18"/>
                <w:szCs w:val="18"/>
              </w:rPr>
              <w:t>29.20</w:t>
            </w:r>
          </w:p>
        </w:tc>
        <w:tc>
          <w:tcPr>
            <w:tcW w:w="384" w:type="pct"/>
            <w:vAlign w:val="center"/>
          </w:tcPr>
          <w:p w14:paraId="5D9B4F37" w14:textId="77777777" w:rsidR="003922A9" w:rsidRPr="003922A9" w:rsidRDefault="003922A9" w:rsidP="003922A9">
            <w:pPr>
              <w:pStyle w:val="13"/>
              <w:ind w:firstLineChars="0" w:firstLine="0"/>
              <w:jc w:val="right"/>
              <w:rPr>
                <w:sz w:val="18"/>
                <w:szCs w:val="18"/>
              </w:rPr>
            </w:pPr>
            <w:r w:rsidRPr="003922A9">
              <w:rPr>
                <w:sz w:val="18"/>
                <w:szCs w:val="18"/>
              </w:rPr>
              <w:t>34.26</w:t>
            </w:r>
          </w:p>
        </w:tc>
        <w:tc>
          <w:tcPr>
            <w:tcW w:w="384" w:type="pct"/>
            <w:vAlign w:val="center"/>
          </w:tcPr>
          <w:p w14:paraId="2A3ADBE8" w14:textId="77777777" w:rsidR="003922A9" w:rsidRPr="003922A9" w:rsidRDefault="003922A9" w:rsidP="003922A9">
            <w:pPr>
              <w:pStyle w:val="13"/>
              <w:ind w:firstLineChars="0" w:firstLine="0"/>
              <w:jc w:val="right"/>
              <w:rPr>
                <w:sz w:val="18"/>
                <w:szCs w:val="18"/>
              </w:rPr>
            </w:pPr>
            <w:r w:rsidRPr="003922A9">
              <w:rPr>
                <w:sz w:val="18"/>
                <w:szCs w:val="18"/>
              </w:rPr>
              <w:t>39.78</w:t>
            </w:r>
          </w:p>
        </w:tc>
        <w:tc>
          <w:tcPr>
            <w:tcW w:w="384" w:type="pct"/>
            <w:vAlign w:val="center"/>
          </w:tcPr>
          <w:p w14:paraId="2F130E7A" w14:textId="77777777" w:rsidR="003922A9" w:rsidRPr="003922A9" w:rsidRDefault="003922A9" w:rsidP="003922A9">
            <w:pPr>
              <w:pStyle w:val="13"/>
              <w:ind w:firstLineChars="0" w:firstLine="0"/>
              <w:jc w:val="right"/>
              <w:rPr>
                <w:sz w:val="18"/>
                <w:szCs w:val="18"/>
              </w:rPr>
            </w:pPr>
            <w:r w:rsidRPr="003922A9">
              <w:rPr>
                <w:sz w:val="18"/>
                <w:szCs w:val="18"/>
              </w:rPr>
              <w:t>45.21</w:t>
            </w:r>
          </w:p>
        </w:tc>
        <w:tc>
          <w:tcPr>
            <w:tcW w:w="384" w:type="pct"/>
            <w:vAlign w:val="center"/>
          </w:tcPr>
          <w:p w14:paraId="091F24D5" w14:textId="77777777" w:rsidR="003922A9" w:rsidRPr="003922A9" w:rsidRDefault="003922A9" w:rsidP="003922A9">
            <w:pPr>
              <w:pStyle w:val="13"/>
              <w:ind w:firstLineChars="0" w:firstLine="0"/>
              <w:jc w:val="right"/>
              <w:rPr>
                <w:sz w:val="18"/>
                <w:szCs w:val="18"/>
              </w:rPr>
            </w:pPr>
            <w:r w:rsidRPr="003922A9">
              <w:rPr>
                <w:sz w:val="18"/>
                <w:szCs w:val="18"/>
              </w:rPr>
              <w:t>50.67</w:t>
            </w:r>
          </w:p>
        </w:tc>
        <w:tc>
          <w:tcPr>
            <w:tcW w:w="384" w:type="pct"/>
            <w:vAlign w:val="center"/>
          </w:tcPr>
          <w:p w14:paraId="0AD4AFF0" w14:textId="77777777" w:rsidR="003922A9" w:rsidRPr="003922A9" w:rsidRDefault="003922A9" w:rsidP="003922A9">
            <w:pPr>
              <w:pStyle w:val="13"/>
              <w:ind w:firstLineChars="0" w:firstLine="0"/>
              <w:jc w:val="right"/>
              <w:rPr>
                <w:sz w:val="18"/>
                <w:szCs w:val="18"/>
              </w:rPr>
            </w:pPr>
            <w:r w:rsidRPr="003922A9">
              <w:rPr>
                <w:sz w:val="18"/>
                <w:szCs w:val="18"/>
              </w:rPr>
              <w:t>56.32</w:t>
            </w:r>
          </w:p>
        </w:tc>
        <w:tc>
          <w:tcPr>
            <w:tcW w:w="384" w:type="pct"/>
            <w:vAlign w:val="center"/>
          </w:tcPr>
          <w:p w14:paraId="1C6E3247" w14:textId="77777777" w:rsidR="003922A9" w:rsidRPr="003922A9" w:rsidRDefault="003922A9" w:rsidP="003922A9">
            <w:pPr>
              <w:pStyle w:val="13"/>
              <w:ind w:firstLineChars="0" w:firstLine="0"/>
              <w:jc w:val="right"/>
              <w:rPr>
                <w:sz w:val="18"/>
                <w:szCs w:val="18"/>
              </w:rPr>
            </w:pPr>
            <w:r w:rsidRPr="003922A9">
              <w:rPr>
                <w:sz w:val="18"/>
                <w:szCs w:val="18"/>
              </w:rPr>
              <w:t>61.68</w:t>
            </w:r>
          </w:p>
        </w:tc>
        <w:tc>
          <w:tcPr>
            <w:tcW w:w="384" w:type="pct"/>
            <w:vAlign w:val="center"/>
          </w:tcPr>
          <w:p w14:paraId="4A8B8816" w14:textId="77777777" w:rsidR="003922A9" w:rsidRPr="003922A9" w:rsidRDefault="003922A9" w:rsidP="003922A9">
            <w:pPr>
              <w:pStyle w:val="13"/>
              <w:ind w:firstLineChars="0" w:firstLine="0"/>
              <w:jc w:val="right"/>
              <w:rPr>
                <w:sz w:val="18"/>
                <w:szCs w:val="18"/>
              </w:rPr>
            </w:pPr>
            <w:r w:rsidRPr="003922A9">
              <w:rPr>
                <w:sz w:val="18"/>
                <w:szCs w:val="18"/>
              </w:rPr>
              <w:t>67.48</w:t>
            </w:r>
          </w:p>
        </w:tc>
        <w:tc>
          <w:tcPr>
            <w:tcW w:w="384" w:type="pct"/>
            <w:vAlign w:val="center"/>
          </w:tcPr>
          <w:p w14:paraId="65F099F8" w14:textId="77777777" w:rsidR="003922A9" w:rsidRPr="003922A9" w:rsidRDefault="003922A9" w:rsidP="003922A9">
            <w:pPr>
              <w:pStyle w:val="13"/>
              <w:ind w:firstLineChars="0" w:firstLine="0"/>
              <w:jc w:val="right"/>
              <w:rPr>
                <w:sz w:val="18"/>
                <w:szCs w:val="18"/>
              </w:rPr>
            </w:pPr>
            <w:r w:rsidRPr="003922A9">
              <w:rPr>
                <w:sz w:val="18"/>
                <w:szCs w:val="18"/>
              </w:rPr>
              <w:t>73.29</w:t>
            </w:r>
          </w:p>
        </w:tc>
      </w:tr>
      <w:tr w:rsidR="003922A9" w:rsidRPr="003922A9" w14:paraId="13E868BA" w14:textId="77777777" w:rsidTr="003922A9">
        <w:trPr>
          <w:trHeight w:val="285"/>
        </w:trPr>
        <w:tc>
          <w:tcPr>
            <w:tcW w:w="774" w:type="pct"/>
            <w:vAlign w:val="center"/>
          </w:tcPr>
          <w:p w14:paraId="3BE42C66" w14:textId="77777777" w:rsidR="003922A9" w:rsidRPr="003922A9" w:rsidRDefault="003922A9" w:rsidP="003922A9">
            <w:pPr>
              <w:pStyle w:val="13"/>
              <w:ind w:firstLineChars="0" w:firstLine="0"/>
              <w:rPr>
                <w:b/>
                <w:sz w:val="18"/>
                <w:szCs w:val="18"/>
              </w:rPr>
            </w:pPr>
            <w:r w:rsidRPr="003922A9">
              <w:rPr>
                <w:b/>
                <w:sz w:val="18"/>
                <w:szCs w:val="18"/>
              </w:rPr>
              <w:t>分出保费</w:t>
            </w:r>
          </w:p>
        </w:tc>
        <w:tc>
          <w:tcPr>
            <w:tcW w:w="384" w:type="pct"/>
            <w:vAlign w:val="center"/>
          </w:tcPr>
          <w:p w14:paraId="3B88299C" w14:textId="77777777" w:rsidR="003922A9" w:rsidRPr="003922A9" w:rsidRDefault="003922A9" w:rsidP="003922A9">
            <w:pPr>
              <w:pStyle w:val="13"/>
              <w:ind w:firstLineChars="0" w:firstLine="0"/>
              <w:jc w:val="right"/>
              <w:rPr>
                <w:sz w:val="18"/>
                <w:szCs w:val="18"/>
              </w:rPr>
            </w:pPr>
            <w:r w:rsidRPr="003922A9">
              <w:rPr>
                <w:sz w:val="18"/>
                <w:szCs w:val="18"/>
              </w:rPr>
              <w:t>11.23</w:t>
            </w:r>
          </w:p>
        </w:tc>
        <w:tc>
          <w:tcPr>
            <w:tcW w:w="384" w:type="pct"/>
            <w:vAlign w:val="center"/>
          </w:tcPr>
          <w:p w14:paraId="71B1165E" w14:textId="77777777" w:rsidR="003922A9" w:rsidRPr="003922A9" w:rsidRDefault="003922A9" w:rsidP="003922A9">
            <w:pPr>
              <w:pStyle w:val="13"/>
              <w:ind w:firstLineChars="0" w:firstLine="0"/>
              <w:jc w:val="right"/>
              <w:rPr>
                <w:sz w:val="18"/>
                <w:szCs w:val="18"/>
              </w:rPr>
            </w:pPr>
            <w:r w:rsidRPr="003922A9">
              <w:rPr>
                <w:sz w:val="18"/>
                <w:szCs w:val="18"/>
              </w:rPr>
              <w:t>9.00</w:t>
            </w:r>
          </w:p>
        </w:tc>
        <w:tc>
          <w:tcPr>
            <w:tcW w:w="384" w:type="pct"/>
            <w:vAlign w:val="center"/>
          </w:tcPr>
          <w:p w14:paraId="31B4060A" w14:textId="77777777" w:rsidR="003922A9" w:rsidRPr="003922A9" w:rsidRDefault="003922A9" w:rsidP="003922A9">
            <w:pPr>
              <w:pStyle w:val="13"/>
              <w:ind w:firstLineChars="0" w:firstLine="0"/>
              <w:jc w:val="right"/>
              <w:rPr>
                <w:sz w:val="18"/>
                <w:szCs w:val="18"/>
              </w:rPr>
            </w:pPr>
            <w:r w:rsidRPr="003922A9">
              <w:rPr>
                <w:sz w:val="18"/>
                <w:szCs w:val="18"/>
              </w:rPr>
              <w:t>7.27</w:t>
            </w:r>
          </w:p>
        </w:tc>
        <w:tc>
          <w:tcPr>
            <w:tcW w:w="384" w:type="pct"/>
            <w:vAlign w:val="center"/>
          </w:tcPr>
          <w:p w14:paraId="62588B11" w14:textId="77777777" w:rsidR="003922A9" w:rsidRPr="003922A9" w:rsidRDefault="003922A9" w:rsidP="003922A9">
            <w:pPr>
              <w:pStyle w:val="13"/>
              <w:ind w:firstLineChars="0" w:firstLine="0"/>
              <w:jc w:val="right"/>
              <w:rPr>
                <w:sz w:val="18"/>
                <w:szCs w:val="18"/>
              </w:rPr>
            </w:pPr>
            <w:r w:rsidRPr="003922A9">
              <w:rPr>
                <w:sz w:val="18"/>
                <w:szCs w:val="18"/>
              </w:rPr>
              <w:t>6.39</w:t>
            </w:r>
          </w:p>
        </w:tc>
        <w:tc>
          <w:tcPr>
            <w:tcW w:w="384" w:type="pct"/>
            <w:vAlign w:val="center"/>
          </w:tcPr>
          <w:p w14:paraId="79DBF86B" w14:textId="77777777" w:rsidR="003922A9" w:rsidRPr="003922A9" w:rsidRDefault="003922A9" w:rsidP="003922A9">
            <w:pPr>
              <w:pStyle w:val="13"/>
              <w:ind w:firstLineChars="0" w:firstLine="0"/>
              <w:jc w:val="right"/>
              <w:rPr>
                <w:sz w:val="18"/>
                <w:szCs w:val="18"/>
              </w:rPr>
            </w:pPr>
            <w:r w:rsidRPr="003922A9">
              <w:rPr>
                <w:sz w:val="18"/>
                <w:szCs w:val="18"/>
              </w:rPr>
              <w:t>5.65</w:t>
            </w:r>
          </w:p>
        </w:tc>
        <w:tc>
          <w:tcPr>
            <w:tcW w:w="384" w:type="pct"/>
            <w:vAlign w:val="center"/>
          </w:tcPr>
          <w:p w14:paraId="06D61AA2" w14:textId="77777777" w:rsidR="003922A9" w:rsidRPr="003922A9" w:rsidRDefault="003922A9" w:rsidP="003922A9">
            <w:pPr>
              <w:pStyle w:val="13"/>
              <w:ind w:firstLineChars="0" w:firstLine="0"/>
              <w:jc w:val="right"/>
              <w:rPr>
                <w:sz w:val="18"/>
                <w:szCs w:val="18"/>
              </w:rPr>
            </w:pPr>
            <w:r w:rsidRPr="003922A9">
              <w:rPr>
                <w:sz w:val="18"/>
                <w:szCs w:val="18"/>
              </w:rPr>
              <w:t>5.18</w:t>
            </w:r>
          </w:p>
        </w:tc>
        <w:tc>
          <w:tcPr>
            <w:tcW w:w="384" w:type="pct"/>
            <w:vAlign w:val="center"/>
          </w:tcPr>
          <w:p w14:paraId="5EC872C5" w14:textId="77777777" w:rsidR="003922A9" w:rsidRPr="003922A9" w:rsidRDefault="003922A9" w:rsidP="003922A9">
            <w:pPr>
              <w:pStyle w:val="13"/>
              <w:ind w:firstLineChars="0" w:firstLine="0"/>
              <w:jc w:val="right"/>
              <w:rPr>
                <w:sz w:val="18"/>
                <w:szCs w:val="18"/>
              </w:rPr>
            </w:pPr>
            <w:r w:rsidRPr="003922A9">
              <w:rPr>
                <w:sz w:val="18"/>
                <w:szCs w:val="18"/>
              </w:rPr>
              <w:t>4.83</w:t>
            </w:r>
          </w:p>
        </w:tc>
        <w:tc>
          <w:tcPr>
            <w:tcW w:w="384" w:type="pct"/>
            <w:vAlign w:val="center"/>
          </w:tcPr>
          <w:p w14:paraId="4AE7D911" w14:textId="77777777" w:rsidR="003922A9" w:rsidRPr="003922A9" w:rsidRDefault="003922A9" w:rsidP="003922A9">
            <w:pPr>
              <w:pStyle w:val="13"/>
              <w:ind w:firstLineChars="0" w:firstLine="0"/>
              <w:jc w:val="right"/>
              <w:rPr>
                <w:sz w:val="18"/>
                <w:szCs w:val="18"/>
              </w:rPr>
            </w:pPr>
            <w:r w:rsidRPr="003922A9">
              <w:rPr>
                <w:sz w:val="18"/>
                <w:szCs w:val="18"/>
              </w:rPr>
              <w:t>3.95</w:t>
            </w:r>
          </w:p>
        </w:tc>
        <w:tc>
          <w:tcPr>
            <w:tcW w:w="384" w:type="pct"/>
            <w:vAlign w:val="center"/>
          </w:tcPr>
          <w:p w14:paraId="3B7F316D" w14:textId="77777777" w:rsidR="003922A9" w:rsidRPr="003922A9" w:rsidRDefault="003922A9" w:rsidP="003922A9">
            <w:pPr>
              <w:pStyle w:val="13"/>
              <w:ind w:firstLineChars="0" w:firstLine="0"/>
              <w:jc w:val="right"/>
              <w:rPr>
                <w:sz w:val="18"/>
                <w:szCs w:val="18"/>
              </w:rPr>
            </w:pPr>
            <w:r w:rsidRPr="003922A9">
              <w:rPr>
                <w:sz w:val="18"/>
                <w:szCs w:val="18"/>
              </w:rPr>
              <w:t>1.74</w:t>
            </w:r>
          </w:p>
        </w:tc>
        <w:tc>
          <w:tcPr>
            <w:tcW w:w="384" w:type="pct"/>
            <w:vAlign w:val="center"/>
          </w:tcPr>
          <w:p w14:paraId="1997EAAE" w14:textId="77777777" w:rsidR="003922A9" w:rsidRPr="003922A9" w:rsidRDefault="003922A9" w:rsidP="003922A9">
            <w:pPr>
              <w:pStyle w:val="13"/>
              <w:ind w:firstLineChars="0" w:firstLine="0"/>
              <w:jc w:val="right"/>
              <w:rPr>
                <w:sz w:val="18"/>
                <w:szCs w:val="18"/>
              </w:rPr>
            </w:pPr>
            <w:r w:rsidRPr="003922A9">
              <w:rPr>
                <w:sz w:val="18"/>
                <w:szCs w:val="18"/>
              </w:rPr>
              <w:t>1.09</w:t>
            </w:r>
          </w:p>
        </w:tc>
        <w:tc>
          <w:tcPr>
            <w:tcW w:w="384" w:type="pct"/>
            <w:vAlign w:val="center"/>
          </w:tcPr>
          <w:p w14:paraId="7412E502" w14:textId="77777777" w:rsidR="003922A9" w:rsidRPr="003922A9" w:rsidRDefault="003922A9" w:rsidP="003922A9">
            <w:pPr>
              <w:pStyle w:val="13"/>
              <w:ind w:firstLineChars="0" w:firstLine="0"/>
              <w:jc w:val="right"/>
              <w:rPr>
                <w:sz w:val="18"/>
                <w:szCs w:val="18"/>
              </w:rPr>
            </w:pPr>
            <w:r w:rsidRPr="003922A9">
              <w:rPr>
                <w:sz w:val="18"/>
                <w:szCs w:val="18"/>
              </w:rPr>
              <w:t>0.59</w:t>
            </w:r>
          </w:p>
        </w:tc>
      </w:tr>
      <w:tr w:rsidR="003922A9" w:rsidRPr="003922A9" w14:paraId="4712F5E2" w14:textId="77777777" w:rsidTr="003922A9">
        <w:trPr>
          <w:trHeight w:val="285"/>
        </w:trPr>
        <w:tc>
          <w:tcPr>
            <w:tcW w:w="774" w:type="pct"/>
            <w:vAlign w:val="center"/>
          </w:tcPr>
          <w:p w14:paraId="560669BB" w14:textId="77777777" w:rsidR="003922A9" w:rsidRPr="003922A9" w:rsidRDefault="003922A9" w:rsidP="003922A9">
            <w:pPr>
              <w:pStyle w:val="13"/>
              <w:ind w:firstLineChars="0" w:firstLine="0"/>
              <w:rPr>
                <w:b/>
                <w:sz w:val="18"/>
                <w:szCs w:val="18"/>
              </w:rPr>
            </w:pPr>
            <w:r w:rsidRPr="003922A9">
              <w:rPr>
                <w:b/>
                <w:sz w:val="18"/>
                <w:szCs w:val="18"/>
              </w:rPr>
              <w:t>提取未到期</w:t>
            </w:r>
          </w:p>
          <w:p w14:paraId="4F1313AF" w14:textId="77777777" w:rsidR="003922A9" w:rsidRPr="003922A9" w:rsidRDefault="003922A9" w:rsidP="003922A9">
            <w:pPr>
              <w:pStyle w:val="13"/>
              <w:ind w:firstLineChars="0" w:firstLine="0"/>
              <w:rPr>
                <w:b/>
                <w:sz w:val="18"/>
                <w:szCs w:val="18"/>
              </w:rPr>
            </w:pPr>
            <w:r w:rsidRPr="003922A9">
              <w:rPr>
                <w:b/>
                <w:sz w:val="18"/>
                <w:szCs w:val="18"/>
              </w:rPr>
              <w:t>责任准备金</w:t>
            </w:r>
          </w:p>
        </w:tc>
        <w:tc>
          <w:tcPr>
            <w:tcW w:w="384" w:type="pct"/>
            <w:vAlign w:val="center"/>
          </w:tcPr>
          <w:p w14:paraId="29E6F7DE" w14:textId="77777777" w:rsidR="003922A9" w:rsidRPr="003922A9" w:rsidRDefault="003922A9" w:rsidP="003922A9">
            <w:pPr>
              <w:pStyle w:val="13"/>
              <w:ind w:firstLineChars="0" w:firstLine="0"/>
              <w:jc w:val="right"/>
              <w:rPr>
                <w:sz w:val="18"/>
                <w:szCs w:val="18"/>
              </w:rPr>
            </w:pPr>
            <w:r w:rsidRPr="003922A9">
              <w:rPr>
                <w:sz w:val="18"/>
                <w:szCs w:val="18"/>
              </w:rPr>
              <w:t>0.03</w:t>
            </w:r>
          </w:p>
        </w:tc>
        <w:tc>
          <w:tcPr>
            <w:tcW w:w="384" w:type="pct"/>
            <w:vAlign w:val="center"/>
          </w:tcPr>
          <w:p w14:paraId="1CBFCA94" w14:textId="77777777" w:rsidR="003922A9" w:rsidRPr="003922A9" w:rsidRDefault="003922A9" w:rsidP="003922A9">
            <w:pPr>
              <w:pStyle w:val="13"/>
              <w:ind w:firstLineChars="0" w:firstLine="0"/>
              <w:jc w:val="right"/>
              <w:rPr>
                <w:sz w:val="18"/>
                <w:szCs w:val="18"/>
              </w:rPr>
            </w:pPr>
            <w:r w:rsidRPr="003922A9">
              <w:rPr>
                <w:sz w:val="18"/>
                <w:szCs w:val="18"/>
              </w:rPr>
              <w:t>0.04</w:t>
            </w:r>
          </w:p>
        </w:tc>
        <w:tc>
          <w:tcPr>
            <w:tcW w:w="384" w:type="pct"/>
            <w:vAlign w:val="center"/>
          </w:tcPr>
          <w:p w14:paraId="04CB5BD2" w14:textId="77777777" w:rsidR="003922A9" w:rsidRPr="003922A9" w:rsidRDefault="003922A9" w:rsidP="003922A9">
            <w:pPr>
              <w:pStyle w:val="13"/>
              <w:ind w:firstLineChars="0" w:firstLine="0"/>
              <w:jc w:val="right"/>
              <w:rPr>
                <w:sz w:val="18"/>
                <w:szCs w:val="18"/>
              </w:rPr>
            </w:pPr>
            <w:r w:rsidRPr="003922A9">
              <w:rPr>
                <w:sz w:val="18"/>
                <w:szCs w:val="18"/>
              </w:rPr>
              <w:t>0.04</w:t>
            </w:r>
          </w:p>
        </w:tc>
        <w:tc>
          <w:tcPr>
            <w:tcW w:w="384" w:type="pct"/>
            <w:vAlign w:val="center"/>
          </w:tcPr>
          <w:p w14:paraId="088E48C8" w14:textId="77777777" w:rsidR="003922A9" w:rsidRPr="003922A9" w:rsidRDefault="003922A9" w:rsidP="003922A9">
            <w:pPr>
              <w:pStyle w:val="13"/>
              <w:ind w:firstLineChars="0" w:firstLine="0"/>
              <w:jc w:val="right"/>
              <w:rPr>
                <w:sz w:val="18"/>
                <w:szCs w:val="18"/>
              </w:rPr>
            </w:pPr>
            <w:r w:rsidRPr="003922A9">
              <w:rPr>
                <w:sz w:val="18"/>
                <w:szCs w:val="18"/>
              </w:rPr>
              <w:t>0.04</w:t>
            </w:r>
          </w:p>
        </w:tc>
        <w:tc>
          <w:tcPr>
            <w:tcW w:w="384" w:type="pct"/>
            <w:vAlign w:val="center"/>
          </w:tcPr>
          <w:p w14:paraId="558ACAB1" w14:textId="77777777" w:rsidR="003922A9" w:rsidRPr="003922A9" w:rsidRDefault="003922A9" w:rsidP="003922A9">
            <w:pPr>
              <w:pStyle w:val="13"/>
              <w:ind w:firstLineChars="0" w:firstLine="0"/>
              <w:jc w:val="right"/>
              <w:rPr>
                <w:sz w:val="18"/>
                <w:szCs w:val="18"/>
              </w:rPr>
            </w:pPr>
            <w:r w:rsidRPr="003922A9">
              <w:rPr>
                <w:sz w:val="18"/>
                <w:szCs w:val="18"/>
              </w:rPr>
              <w:t>0.05</w:t>
            </w:r>
          </w:p>
        </w:tc>
        <w:tc>
          <w:tcPr>
            <w:tcW w:w="384" w:type="pct"/>
            <w:vAlign w:val="center"/>
          </w:tcPr>
          <w:p w14:paraId="488EBE51" w14:textId="77777777" w:rsidR="003922A9" w:rsidRPr="003922A9" w:rsidRDefault="003922A9" w:rsidP="003922A9">
            <w:pPr>
              <w:pStyle w:val="13"/>
              <w:ind w:firstLineChars="0" w:firstLine="0"/>
              <w:jc w:val="right"/>
              <w:rPr>
                <w:sz w:val="18"/>
                <w:szCs w:val="18"/>
              </w:rPr>
            </w:pPr>
            <w:r w:rsidRPr="003922A9">
              <w:rPr>
                <w:sz w:val="18"/>
                <w:szCs w:val="18"/>
              </w:rPr>
              <w:t>0.05</w:t>
            </w:r>
          </w:p>
        </w:tc>
        <w:tc>
          <w:tcPr>
            <w:tcW w:w="384" w:type="pct"/>
            <w:vAlign w:val="center"/>
          </w:tcPr>
          <w:p w14:paraId="27281759" w14:textId="77777777" w:rsidR="003922A9" w:rsidRPr="003922A9" w:rsidRDefault="003922A9" w:rsidP="003922A9">
            <w:pPr>
              <w:pStyle w:val="13"/>
              <w:ind w:firstLineChars="0" w:firstLine="0"/>
              <w:jc w:val="right"/>
              <w:rPr>
                <w:sz w:val="18"/>
                <w:szCs w:val="18"/>
              </w:rPr>
            </w:pPr>
            <w:r w:rsidRPr="003922A9">
              <w:rPr>
                <w:sz w:val="18"/>
                <w:szCs w:val="18"/>
              </w:rPr>
              <w:t>0.06</w:t>
            </w:r>
          </w:p>
        </w:tc>
        <w:tc>
          <w:tcPr>
            <w:tcW w:w="384" w:type="pct"/>
            <w:vAlign w:val="center"/>
          </w:tcPr>
          <w:p w14:paraId="481476B7" w14:textId="77777777" w:rsidR="003922A9" w:rsidRPr="003922A9" w:rsidRDefault="003922A9" w:rsidP="003922A9">
            <w:pPr>
              <w:pStyle w:val="13"/>
              <w:ind w:firstLineChars="0" w:firstLine="0"/>
              <w:jc w:val="right"/>
              <w:rPr>
                <w:sz w:val="18"/>
                <w:szCs w:val="18"/>
              </w:rPr>
            </w:pPr>
            <w:r w:rsidRPr="003922A9">
              <w:rPr>
                <w:sz w:val="18"/>
                <w:szCs w:val="18"/>
              </w:rPr>
              <w:t>0.07</w:t>
            </w:r>
          </w:p>
        </w:tc>
        <w:tc>
          <w:tcPr>
            <w:tcW w:w="384" w:type="pct"/>
            <w:vAlign w:val="center"/>
          </w:tcPr>
          <w:p w14:paraId="541B2BF6" w14:textId="77777777" w:rsidR="003922A9" w:rsidRPr="003922A9" w:rsidRDefault="003922A9" w:rsidP="003922A9">
            <w:pPr>
              <w:pStyle w:val="13"/>
              <w:ind w:firstLineChars="0" w:firstLine="0"/>
              <w:jc w:val="right"/>
              <w:rPr>
                <w:sz w:val="18"/>
                <w:szCs w:val="18"/>
              </w:rPr>
            </w:pPr>
            <w:r w:rsidRPr="003922A9">
              <w:rPr>
                <w:sz w:val="18"/>
                <w:szCs w:val="18"/>
              </w:rPr>
              <w:t>0.07</w:t>
            </w:r>
          </w:p>
        </w:tc>
        <w:tc>
          <w:tcPr>
            <w:tcW w:w="384" w:type="pct"/>
            <w:vAlign w:val="center"/>
          </w:tcPr>
          <w:p w14:paraId="31726245" w14:textId="77777777" w:rsidR="003922A9" w:rsidRPr="003922A9" w:rsidRDefault="003922A9" w:rsidP="003922A9">
            <w:pPr>
              <w:pStyle w:val="13"/>
              <w:ind w:firstLineChars="0" w:firstLine="0"/>
              <w:jc w:val="right"/>
              <w:rPr>
                <w:sz w:val="18"/>
                <w:szCs w:val="18"/>
              </w:rPr>
            </w:pPr>
            <w:r w:rsidRPr="003922A9">
              <w:rPr>
                <w:sz w:val="18"/>
                <w:szCs w:val="18"/>
              </w:rPr>
              <w:t>0.08</w:t>
            </w:r>
          </w:p>
        </w:tc>
        <w:tc>
          <w:tcPr>
            <w:tcW w:w="384" w:type="pct"/>
            <w:vAlign w:val="center"/>
          </w:tcPr>
          <w:p w14:paraId="0C30CC1C" w14:textId="77777777" w:rsidR="003922A9" w:rsidRPr="003922A9" w:rsidRDefault="003922A9" w:rsidP="003922A9">
            <w:pPr>
              <w:pStyle w:val="13"/>
              <w:ind w:firstLineChars="0" w:firstLine="0"/>
              <w:jc w:val="right"/>
              <w:rPr>
                <w:sz w:val="18"/>
                <w:szCs w:val="18"/>
              </w:rPr>
            </w:pPr>
            <w:r w:rsidRPr="003922A9">
              <w:rPr>
                <w:sz w:val="18"/>
                <w:szCs w:val="18"/>
              </w:rPr>
              <w:t>0.09</w:t>
            </w:r>
          </w:p>
        </w:tc>
      </w:tr>
      <w:tr w:rsidR="003922A9" w:rsidRPr="003922A9" w14:paraId="44BF86EE" w14:textId="77777777" w:rsidTr="003922A9">
        <w:trPr>
          <w:trHeight w:val="285"/>
        </w:trPr>
        <w:tc>
          <w:tcPr>
            <w:tcW w:w="774" w:type="pct"/>
            <w:vAlign w:val="center"/>
          </w:tcPr>
          <w:p w14:paraId="3D6FC348" w14:textId="77777777" w:rsidR="003922A9" w:rsidRPr="003922A9" w:rsidRDefault="003922A9" w:rsidP="003922A9">
            <w:pPr>
              <w:pStyle w:val="13"/>
              <w:ind w:firstLineChars="0" w:firstLine="0"/>
              <w:rPr>
                <w:b/>
                <w:sz w:val="18"/>
                <w:szCs w:val="18"/>
              </w:rPr>
            </w:pPr>
            <w:r w:rsidRPr="003922A9">
              <w:rPr>
                <w:b/>
                <w:sz w:val="18"/>
                <w:szCs w:val="18"/>
              </w:rPr>
              <w:t>已赚保费</w:t>
            </w:r>
          </w:p>
        </w:tc>
        <w:tc>
          <w:tcPr>
            <w:tcW w:w="384" w:type="pct"/>
            <w:vAlign w:val="center"/>
          </w:tcPr>
          <w:p w14:paraId="03A37561" w14:textId="77777777" w:rsidR="003922A9" w:rsidRPr="003922A9" w:rsidRDefault="003922A9" w:rsidP="003922A9">
            <w:pPr>
              <w:pStyle w:val="13"/>
              <w:ind w:firstLineChars="0" w:firstLine="0"/>
              <w:jc w:val="right"/>
              <w:rPr>
                <w:b/>
                <w:sz w:val="18"/>
                <w:szCs w:val="18"/>
              </w:rPr>
            </w:pPr>
            <w:r w:rsidRPr="003922A9">
              <w:rPr>
                <w:b/>
                <w:sz w:val="18"/>
                <w:szCs w:val="18"/>
              </w:rPr>
              <w:t>10.35</w:t>
            </w:r>
          </w:p>
        </w:tc>
        <w:tc>
          <w:tcPr>
            <w:tcW w:w="384" w:type="pct"/>
            <w:vAlign w:val="center"/>
          </w:tcPr>
          <w:p w14:paraId="30DAC402" w14:textId="77777777" w:rsidR="003922A9" w:rsidRPr="003922A9" w:rsidRDefault="003922A9" w:rsidP="003922A9">
            <w:pPr>
              <w:pStyle w:val="13"/>
              <w:ind w:firstLineChars="0" w:firstLine="0"/>
              <w:jc w:val="right"/>
              <w:rPr>
                <w:b/>
                <w:sz w:val="18"/>
                <w:szCs w:val="18"/>
              </w:rPr>
            </w:pPr>
            <w:r w:rsidRPr="003922A9">
              <w:rPr>
                <w:b/>
                <w:sz w:val="18"/>
                <w:szCs w:val="18"/>
              </w:rPr>
              <w:t>15.64</w:t>
            </w:r>
          </w:p>
        </w:tc>
        <w:tc>
          <w:tcPr>
            <w:tcW w:w="384" w:type="pct"/>
            <w:vAlign w:val="center"/>
          </w:tcPr>
          <w:p w14:paraId="539E5C4A" w14:textId="77777777" w:rsidR="003922A9" w:rsidRPr="003922A9" w:rsidRDefault="003922A9" w:rsidP="003922A9">
            <w:pPr>
              <w:pStyle w:val="13"/>
              <w:ind w:firstLineChars="0" w:firstLine="0"/>
              <w:jc w:val="right"/>
              <w:rPr>
                <w:b/>
                <w:sz w:val="18"/>
                <w:szCs w:val="18"/>
              </w:rPr>
            </w:pPr>
            <w:r w:rsidRPr="003922A9">
              <w:rPr>
                <w:b/>
                <w:sz w:val="18"/>
                <w:szCs w:val="18"/>
              </w:rPr>
              <w:t>21.89</w:t>
            </w:r>
          </w:p>
        </w:tc>
        <w:tc>
          <w:tcPr>
            <w:tcW w:w="384" w:type="pct"/>
            <w:vAlign w:val="center"/>
          </w:tcPr>
          <w:p w14:paraId="7D475B5F" w14:textId="77777777" w:rsidR="003922A9" w:rsidRPr="003922A9" w:rsidRDefault="003922A9" w:rsidP="003922A9">
            <w:pPr>
              <w:pStyle w:val="13"/>
              <w:ind w:firstLineChars="0" w:firstLine="0"/>
              <w:jc w:val="right"/>
              <w:rPr>
                <w:b/>
                <w:sz w:val="18"/>
                <w:szCs w:val="18"/>
              </w:rPr>
            </w:pPr>
            <w:r w:rsidRPr="003922A9">
              <w:rPr>
                <w:b/>
                <w:sz w:val="18"/>
                <w:szCs w:val="18"/>
              </w:rPr>
              <w:t>27.83</w:t>
            </w:r>
          </w:p>
        </w:tc>
        <w:tc>
          <w:tcPr>
            <w:tcW w:w="384" w:type="pct"/>
            <w:vAlign w:val="center"/>
          </w:tcPr>
          <w:p w14:paraId="35893935" w14:textId="77777777" w:rsidR="003922A9" w:rsidRPr="003922A9" w:rsidRDefault="003922A9" w:rsidP="003922A9">
            <w:pPr>
              <w:pStyle w:val="13"/>
              <w:ind w:firstLineChars="0" w:firstLine="0"/>
              <w:jc w:val="right"/>
              <w:rPr>
                <w:b/>
                <w:sz w:val="18"/>
                <w:szCs w:val="18"/>
              </w:rPr>
            </w:pPr>
            <w:r w:rsidRPr="003922A9">
              <w:rPr>
                <w:b/>
                <w:sz w:val="18"/>
                <w:szCs w:val="18"/>
              </w:rPr>
              <w:t>34.08</w:t>
            </w:r>
          </w:p>
        </w:tc>
        <w:tc>
          <w:tcPr>
            <w:tcW w:w="384" w:type="pct"/>
            <w:vAlign w:val="center"/>
          </w:tcPr>
          <w:p w14:paraId="6C647D18" w14:textId="77777777" w:rsidR="003922A9" w:rsidRPr="003922A9" w:rsidRDefault="003922A9" w:rsidP="003922A9">
            <w:pPr>
              <w:pStyle w:val="13"/>
              <w:ind w:firstLineChars="0" w:firstLine="0"/>
              <w:jc w:val="right"/>
              <w:rPr>
                <w:b/>
                <w:sz w:val="18"/>
                <w:szCs w:val="18"/>
              </w:rPr>
            </w:pPr>
            <w:r w:rsidRPr="003922A9">
              <w:rPr>
                <w:b/>
                <w:sz w:val="18"/>
                <w:szCs w:val="18"/>
              </w:rPr>
              <w:t>39.98</w:t>
            </w:r>
          </w:p>
        </w:tc>
        <w:tc>
          <w:tcPr>
            <w:tcW w:w="384" w:type="pct"/>
            <w:vAlign w:val="center"/>
          </w:tcPr>
          <w:p w14:paraId="661FEF90" w14:textId="77777777" w:rsidR="003922A9" w:rsidRPr="003922A9" w:rsidRDefault="003922A9" w:rsidP="003922A9">
            <w:pPr>
              <w:pStyle w:val="13"/>
              <w:ind w:firstLineChars="0" w:firstLine="0"/>
              <w:jc w:val="right"/>
              <w:rPr>
                <w:b/>
                <w:sz w:val="18"/>
                <w:szCs w:val="18"/>
              </w:rPr>
            </w:pPr>
            <w:r w:rsidRPr="003922A9">
              <w:rPr>
                <w:b/>
                <w:sz w:val="18"/>
                <w:szCs w:val="18"/>
              </w:rPr>
              <w:t>45.78</w:t>
            </w:r>
          </w:p>
        </w:tc>
        <w:tc>
          <w:tcPr>
            <w:tcW w:w="384" w:type="pct"/>
            <w:vAlign w:val="center"/>
          </w:tcPr>
          <w:p w14:paraId="72364C3D" w14:textId="77777777" w:rsidR="003922A9" w:rsidRPr="003922A9" w:rsidRDefault="003922A9" w:rsidP="003922A9">
            <w:pPr>
              <w:pStyle w:val="13"/>
              <w:ind w:firstLineChars="0" w:firstLine="0"/>
              <w:jc w:val="right"/>
              <w:rPr>
                <w:b/>
                <w:sz w:val="18"/>
                <w:szCs w:val="18"/>
              </w:rPr>
            </w:pPr>
            <w:r w:rsidRPr="003922A9">
              <w:rPr>
                <w:b/>
                <w:sz w:val="18"/>
                <w:szCs w:val="18"/>
              </w:rPr>
              <w:t>52.30</w:t>
            </w:r>
          </w:p>
        </w:tc>
        <w:tc>
          <w:tcPr>
            <w:tcW w:w="384" w:type="pct"/>
            <w:vAlign w:val="center"/>
          </w:tcPr>
          <w:p w14:paraId="2817B3B4" w14:textId="77777777" w:rsidR="003922A9" w:rsidRPr="003922A9" w:rsidRDefault="003922A9" w:rsidP="003922A9">
            <w:pPr>
              <w:pStyle w:val="13"/>
              <w:ind w:firstLineChars="0" w:firstLine="0"/>
              <w:jc w:val="right"/>
              <w:rPr>
                <w:b/>
                <w:sz w:val="18"/>
                <w:szCs w:val="18"/>
              </w:rPr>
            </w:pPr>
            <w:r w:rsidRPr="003922A9">
              <w:rPr>
                <w:b/>
                <w:sz w:val="18"/>
                <w:szCs w:val="18"/>
              </w:rPr>
              <w:t>59.87</w:t>
            </w:r>
          </w:p>
        </w:tc>
        <w:tc>
          <w:tcPr>
            <w:tcW w:w="384" w:type="pct"/>
            <w:vAlign w:val="center"/>
          </w:tcPr>
          <w:p w14:paraId="3055B777" w14:textId="77777777" w:rsidR="003922A9" w:rsidRPr="003922A9" w:rsidRDefault="003922A9" w:rsidP="003922A9">
            <w:pPr>
              <w:pStyle w:val="13"/>
              <w:ind w:firstLineChars="0" w:firstLine="0"/>
              <w:jc w:val="right"/>
              <w:rPr>
                <w:b/>
                <w:sz w:val="18"/>
                <w:szCs w:val="18"/>
              </w:rPr>
            </w:pPr>
            <w:r w:rsidRPr="003922A9">
              <w:rPr>
                <w:b/>
                <w:sz w:val="18"/>
                <w:szCs w:val="18"/>
              </w:rPr>
              <w:t>66.31</w:t>
            </w:r>
          </w:p>
        </w:tc>
        <w:tc>
          <w:tcPr>
            <w:tcW w:w="384" w:type="pct"/>
            <w:vAlign w:val="center"/>
          </w:tcPr>
          <w:p w14:paraId="636C171C" w14:textId="77777777" w:rsidR="003922A9" w:rsidRPr="003922A9" w:rsidRDefault="003922A9" w:rsidP="003922A9">
            <w:pPr>
              <w:pStyle w:val="13"/>
              <w:ind w:firstLineChars="0" w:firstLine="0"/>
              <w:jc w:val="right"/>
              <w:rPr>
                <w:b/>
                <w:sz w:val="18"/>
                <w:szCs w:val="18"/>
              </w:rPr>
            </w:pPr>
            <w:r w:rsidRPr="003922A9">
              <w:rPr>
                <w:b/>
                <w:sz w:val="18"/>
                <w:szCs w:val="18"/>
              </w:rPr>
              <w:t>72.62</w:t>
            </w:r>
          </w:p>
        </w:tc>
      </w:tr>
    </w:tbl>
    <w:p w14:paraId="44687C5C" w14:textId="77777777" w:rsidR="003922A9" w:rsidRDefault="003922A9" w:rsidP="003922A9">
      <w:pPr>
        <w:pStyle w:val="ab"/>
        <w:spacing w:before="62" w:after="62"/>
        <w:ind w:firstLine="482"/>
      </w:pPr>
      <w:r>
        <w:rPr>
          <w:rFonts w:hint="eastAsia"/>
        </w:rPr>
        <w:lastRenderedPageBreak/>
        <w:t>案例六：信托公司信托业务手续费及佣金收入的预测</w:t>
      </w:r>
    </w:p>
    <w:p w14:paraId="7777B8C6" w14:textId="77777777" w:rsidR="003922A9" w:rsidRDefault="003922A9" w:rsidP="003922A9">
      <w:pPr>
        <w:pStyle w:val="13"/>
      </w:pPr>
      <w:r>
        <w:rPr>
          <w:rFonts w:hint="eastAsia"/>
        </w:rPr>
        <w:t>信托业务手续费及佣金收入</w:t>
      </w:r>
      <w:r>
        <w:t>=信托资产规模×手续费率</w:t>
      </w:r>
    </w:p>
    <w:p w14:paraId="46F87E96" w14:textId="77777777" w:rsidR="003922A9" w:rsidRDefault="003922A9" w:rsidP="003922A9">
      <w:pPr>
        <w:pStyle w:val="13"/>
      </w:pPr>
      <w:r>
        <w:t>xx信托公司信托资产包括集合类信托、单一类信托、财产信托三种。根据对xx公司基准日前一期的三类信托资产的规模和手续费收入分析，评估基准日集合类信托、单一类信托、财产信托手续费率分别为1.6386%、0.1358%、0.3117%，各类信托业务手续费费率差距较大。因此，资产评估师对三类信托业务资产规模分别进行预测。</w:t>
      </w:r>
    </w:p>
    <w:p w14:paraId="461D27AB" w14:textId="77777777" w:rsidR="003922A9" w:rsidRDefault="003922A9" w:rsidP="003922A9">
      <w:pPr>
        <w:pStyle w:val="13"/>
      </w:pPr>
      <w:r>
        <w:t>1、信托资产规模预测</w:t>
      </w:r>
    </w:p>
    <w:p w14:paraId="6787A987" w14:textId="77777777" w:rsidR="003922A9" w:rsidRDefault="003922A9" w:rsidP="003922A9">
      <w:pPr>
        <w:pStyle w:val="13"/>
      </w:pPr>
      <w:r>
        <w:rPr>
          <w:rFonts w:hint="eastAsia"/>
        </w:rPr>
        <w:t>对</w:t>
      </w:r>
      <w:r>
        <w:t>xx信托公司信托资产规模预测基于整个信托行业信托资产规模及xx信托公司的信托业务市场份额。</w:t>
      </w:r>
    </w:p>
    <w:p w14:paraId="5A7F9B26" w14:textId="77777777" w:rsidR="003922A9" w:rsidRDefault="003922A9" w:rsidP="003922A9">
      <w:pPr>
        <w:pStyle w:val="13"/>
      </w:pPr>
      <w:r>
        <w:rPr>
          <w:rFonts w:hint="eastAsia"/>
        </w:rPr>
        <w:t>（</w:t>
      </w:r>
      <w:r>
        <w:t>1）信托行业信托资产规模预测</w:t>
      </w:r>
    </w:p>
    <w:p w14:paraId="6C6FEB5A" w14:textId="77777777" w:rsidR="003922A9" w:rsidRDefault="003922A9" w:rsidP="003922A9">
      <w:pPr>
        <w:pStyle w:val="13"/>
      </w:pPr>
      <w:r>
        <w:rPr>
          <w:rFonts w:hint="eastAsia"/>
        </w:rPr>
        <w:t>我们查阅了相关经济学研究文献，结合经济学相关原理，综合分析了对信托规模产生影响的相关因素，包括城乡居民储蓄余额、固定资产投资总额、社会融资总额、新增人民币贷款、货币供应量和利率七个变量，我们选取了从</w:t>
      </w:r>
      <w:r>
        <w:t>200x年-201x年的七个变量的年度数据，除信托规模数据取自《信托业发展报告20xx》外，其余数据均取自wind数据，根据数据计量分析结果，新增人民币贷款、货币供应量和利率三个变量，并没有表现出与信托规模的良好的长期均衡关系，故我们将其剔除。最后通过计量我们建立了信托规模、城乡居民储蓄余额、固定资产投资总额和社</w:t>
      </w:r>
      <w:r>
        <w:rPr>
          <w:rFonts w:hint="eastAsia"/>
        </w:rPr>
        <w:t>会融资总额四个时间序列</w:t>
      </w:r>
      <w:proofErr w:type="gramStart"/>
      <w:r>
        <w:rPr>
          <w:rFonts w:hint="eastAsia"/>
        </w:rPr>
        <w:t>的协整方程</w:t>
      </w:r>
      <w:proofErr w:type="gramEnd"/>
      <w:r>
        <w:rPr>
          <w:rFonts w:hint="eastAsia"/>
        </w:rPr>
        <w:t>模型。方程如下：</w:t>
      </w:r>
    </w:p>
    <w:p w14:paraId="1CA4C0C7" w14:textId="77777777" w:rsidR="003922A9" w:rsidRDefault="003922A9" w:rsidP="003922A9">
      <w:pPr>
        <w:pStyle w:val="13"/>
      </w:pPr>
      <w:r>
        <w:t>LNTS=3.126LNFI -3.193LNRS +1.017LNSCx</w:t>
      </w:r>
    </w:p>
    <w:p w14:paraId="7784471D" w14:textId="77777777" w:rsidR="003922A9" w:rsidRDefault="003922A9" w:rsidP="003922A9">
      <w:pPr>
        <w:pStyle w:val="13"/>
      </w:pPr>
      <w:r>
        <w:rPr>
          <w:rFonts w:hint="eastAsia"/>
        </w:rPr>
        <w:t>其中，</w:t>
      </w:r>
      <w:r>
        <w:t>LNTS为信托规模，LNFI为固定资产投资总额，LNRS为城乡居民储蓄余额，</w:t>
      </w:r>
      <w:proofErr w:type="spellStart"/>
      <w:r>
        <w:t>LNSCx</w:t>
      </w:r>
      <w:proofErr w:type="spellEnd"/>
      <w:r>
        <w:t>为社会融资总额，这里的社会融资总额是剔除了社会融资总额统计中的信托贷款额度的修正数据。</w:t>
      </w:r>
    </w:p>
    <w:p w14:paraId="28A925EA" w14:textId="77777777" w:rsidR="003922A9" w:rsidRDefault="003922A9" w:rsidP="003922A9">
      <w:pPr>
        <w:pStyle w:val="13"/>
      </w:pPr>
      <w:r>
        <w:rPr>
          <w:rFonts w:hint="eastAsia"/>
        </w:rPr>
        <w:t>从方程中我们可以看到，固定资产投资总额、社会融资总额与信托规模表现出正相关关系。信托融资中很大一部分都投向了固定资产投资，从统计数据来看，信托资产投向基础产业和房地产业的总和达到了信托总规模</w:t>
      </w:r>
      <w:r>
        <w:t>30%以上，固定资产投资对信托规模产生较大影响，和计量分析结果一致。而剔除了信托贷款统计的社会融资总额与信托规模也表现出了正相关关系，虽然信托和其他方式的社会融资存在一定程度的替代效应，但社会融资总额的增长表现出了社会对融资总体的需求，当这种需求远大于融资方式的替代效应时，就表现出了社会融资总额与信托规模的同步增长态势，</w:t>
      </w:r>
      <w:r>
        <w:rPr>
          <w:rFonts w:hint="eastAsia"/>
        </w:rPr>
        <w:t>但这种影响却远没有固定资产投资的大，从计量结果来看，只有固定资产投资影响的三分之一。</w:t>
      </w:r>
    </w:p>
    <w:p w14:paraId="7C203794" w14:textId="77777777" w:rsidR="003922A9" w:rsidRDefault="003922A9" w:rsidP="003922A9">
      <w:pPr>
        <w:pStyle w:val="13"/>
      </w:pPr>
      <w:r>
        <w:rPr>
          <w:rFonts w:hint="eastAsia"/>
        </w:rPr>
        <w:t>从计量结果来看，城乡居民储蓄余额与信托规模表现出了负相关关系，因为对信托产品的购买直接促使了存款的下降。</w:t>
      </w:r>
    </w:p>
    <w:p w14:paraId="7B012418" w14:textId="77777777" w:rsidR="003922A9" w:rsidRDefault="003922A9" w:rsidP="003922A9">
      <w:pPr>
        <w:pStyle w:val="13"/>
      </w:pPr>
      <w:r>
        <w:rPr>
          <w:rFonts w:hint="eastAsia"/>
        </w:rPr>
        <w:lastRenderedPageBreak/>
        <w:t>从中国宏观形势来看，过去那种过度依靠投资拉动、信贷拉动的粗放式经济增长模式会逐步转变，过去货币供应量的大幅增长也将会放缓，李克强总理也强调了“控制增量、用好存量”的指导方针。过去城乡居民储蓄余额表现出了平稳增长，过去</w:t>
      </w:r>
      <w:r>
        <w:t>10年的平均增速在16.28%，即使未来货币供应量增速放缓的情况下，考虑到国家对提高居民收入的政策导向，城乡居民储蓄余额预计也将保持这一增速。固定资产投资总额过去10年一直保持快速增长，平均增速达到27%，但在地方政府债务高企、增长模式急需转变的情况下，这一增速很难维持，预计未来增速将会维持在20%左右的水平上。信托业近年来发展较为迅速，目前整体规模已经超越保险业，成为金融行业中即银行业之后规模最大的行业，但在整体规模达到一定量级后其增速也会逐步放缓。纵观信托业的发展历程来看，信托行业的发展也并非一帆风顺，中国信托业共经历了5次大的政策调整，从历史数据来看，大的调整周期一般在两年左右，在调整期内信托资产整体规模会有10%-20%的下降。考虑到国家对影子银行管控的加强，以及对地方政府融资平台的控制，预计信托业在经历了过去10年的高速发展后，将很快迎来一次大的调整。</w:t>
      </w:r>
    </w:p>
    <w:p w14:paraId="242F655B" w14:textId="75D2AC52" w:rsidR="005F04FE" w:rsidRDefault="003922A9" w:rsidP="003922A9">
      <w:pPr>
        <w:pStyle w:val="13"/>
      </w:pPr>
      <w:r>
        <w:rPr>
          <w:rFonts w:hint="eastAsia"/>
        </w:rPr>
        <w:t>结合经济发展规律，根据计量模型分析，我们预计未来信托业信托规模未来</w:t>
      </w:r>
      <w:r>
        <w:t>5年增速如下表所示。</w:t>
      </w:r>
    </w:p>
    <w:p w14:paraId="20FB44E3" w14:textId="3C5B12D4" w:rsidR="005F04FE" w:rsidRDefault="003922A9" w:rsidP="003922A9">
      <w:pPr>
        <w:pStyle w:val="13"/>
        <w:ind w:firstLineChars="0" w:firstLine="0"/>
        <w:jc w:val="center"/>
      </w:pPr>
      <w:r w:rsidRPr="003922A9">
        <w:rPr>
          <w:rFonts w:hint="eastAsia"/>
        </w:rPr>
        <w:t>未来信托业信托规模增速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324"/>
        <w:gridCol w:w="1432"/>
        <w:gridCol w:w="1324"/>
        <w:gridCol w:w="1324"/>
        <w:gridCol w:w="1165"/>
        <w:gridCol w:w="1165"/>
      </w:tblGrid>
      <w:tr w:rsidR="003922A9" w:rsidRPr="003922A9" w14:paraId="4D8C47E0" w14:textId="77777777" w:rsidTr="003922A9">
        <w:tc>
          <w:tcPr>
            <w:tcW w:w="565" w:type="pct"/>
            <w:vAlign w:val="center"/>
          </w:tcPr>
          <w:p w14:paraId="6E224934" w14:textId="77777777" w:rsidR="003922A9" w:rsidRPr="003922A9" w:rsidRDefault="003922A9" w:rsidP="003922A9">
            <w:pPr>
              <w:pStyle w:val="13"/>
              <w:ind w:firstLineChars="0" w:firstLine="0"/>
              <w:jc w:val="center"/>
              <w:rPr>
                <w:b/>
                <w:sz w:val="18"/>
                <w:szCs w:val="18"/>
              </w:rPr>
            </w:pPr>
            <w:r w:rsidRPr="003922A9">
              <w:rPr>
                <w:b/>
                <w:sz w:val="18"/>
                <w:szCs w:val="18"/>
              </w:rPr>
              <w:t>年份</w:t>
            </w:r>
          </w:p>
        </w:tc>
        <w:tc>
          <w:tcPr>
            <w:tcW w:w="759" w:type="pct"/>
            <w:vAlign w:val="center"/>
          </w:tcPr>
          <w:p w14:paraId="345F472E" w14:textId="77777777" w:rsidR="003922A9" w:rsidRPr="003922A9" w:rsidRDefault="003922A9" w:rsidP="003922A9">
            <w:pPr>
              <w:pStyle w:val="13"/>
              <w:ind w:firstLineChars="0" w:firstLine="0"/>
              <w:jc w:val="center"/>
              <w:rPr>
                <w:b/>
                <w:sz w:val="18"/>
                <w:szCs w:val="18"/>
              </w:rPr>
            </w:pPr>
            <w:r w:rsidRPr="003922A9">
              <w:rPr>
                <w:b/>
                <w:sz w:val="18"/>
                <w:szCs w:val="18"/>
              </w:rPr>
              <w:t>20x3</w:t>
            </w:r>
          </w:p>
        </w:tc>
        <w:tc>
          <w:tcPr>
            <w:tcW w:w="821" w:type="pct"/>
            <w:vAlign w:val="center"/>
          </w:tcPr>
          <w:p w14:paraId="463A7552" w14:textId="77777777" w:rsidR="003922A9" w:rsidRPr="003922A9" w:rsidRDefault="003922A9" w:rsidP="003922A9">
            <w:pPr>
              <w:pStyle w:val="13"/>
              <w:ind w:firstLineChars="0" w:firstLine="0"/>
              <w:jc w:val="center"/>
              <w:rPr>
                <w:b/>
                <w:sz w:val="18"/>
                <w:szCs w:val="18"/>
              </w:rPr>
            </w:pPr>
            <w:r w:rsidRPr="003922A9">
              <w:rPr>
                <w:b/>
                <w:sz w:val="18"/>
                <w:szCs w:val="18"/>
              </w:rPr>
              <w:t>20x4</w:t>
            </w:r>
          </w:p>
        </w:tc>
        <w:tc>
          <w:tcPr>
            <w:tcW w:w="759" w:type="pct"/>
            <w:vAlign w:val="center"/>
          </w:tcPr>
          <w:p w14:paraId="4BB39AD0" w14:textId="77777777" w:rsidR="003922A9" w:rsidRPr="003922A9" w:rsidRDefault="003922A9" w:rsidP="003922A9">
            <w:pPr>
              <w:pStyle w:val="13"/>
              <w:ind w:firstLineChars="0" w:firstLine="0"/>
              <w:jc w:val="center"/>
              <w:rPr>
                <w:b/>
                <w:sz w:val="18"/>
                <w:szCs w:val="18"/>
              </w:rPr>
            </w:pPr>
            <w:r w:rsidRPr="003922A9">
              <w:rPr>
                <w:b/>
                <w:sz w:val="18"/>
                <w:szCs w:val="18"/>
              </w:rPr>
              <w:t>20x5</w:t>
            </w:r>
          </w:p>
        </w:tc>
        <w:tc>
          <w:tcPr>
            <w:tcW w:w="759" w:type="pct"/>
            <w:vAlign w:val="center"/>
          </w:tcPr>
          <w:p w14:paraId="4446F71A" w14:textId="77777777" w:rsidR="003922A9" w:rsidRPr="003922A9" w:rsidRDefault="003922A9" w:rsidP="003922A9">
            <w:pPr>
              <w:pStyle w:val="13"/>
              <w:ind w:firstLineChars="0" w:firstLine="0"/>
              <w:jc w:val="center"/>
              <w:rPr>
                <w:b/>
                <w:sz w:val="18"/>
                <w:szCs w:val="18"/>
              </w:rPr>
            </w:pPr>
            <w:r w:rsidRPr="003922A9">
              <w:rPr>
                <w:b/>
                <w:sz w:val="18"/>
                <w:szCs w:val="18"/>
              </w:rPr>
              <w:t>20x6</w:t>
            </w:r>
          </w:p>
        </w:tc>
        <w:tc>
          <w:tcPr>
            <w:tcW w:w="668" w:type="pct"/>
            <w:vAlign w:val="center"/>
          </w:tcPr>
          <w:p w14:paraId="71827C9B" w14:textId="77777777" w:rsidR="003922A9" w:rsidRPr="003922A9" w:rsidRDefault="003922A9" w:rsidP="003922A9">
            <w:pPr>
              <w:pStyle w:val="13"/>
              <w:ind w:firstLineChars="0" w:firstLine="0"/>
              <w:jc w:val="center"/>
              <w:rPr>
                <w:b/>
                <w:sz w:val="18"/>
                <w:szCs w:val="18"/>
              </w:rPr>
            </w:pPr>
            <w:r w:rsidRPr="003922A9">
              <w:rPr>
                <w:b/>
                <w:sz w:val="18"/>
                <w:szCs w:val="18"/>
              </w:rPr>
              <w:t>20x7</w:t>
            </w:r>
          </w:p>
        </w:tc>
        <w:tc>
          <w:tcPr>
            <w:tcW w:w="668" w:type="pct"/>
            <w:vAlign w:val="center"/>
          </w:tcPr>
          <w:p w14:paraId="35F3302F" w14:textId="77777777" w:rsidR="003922A9" w:rsidRPr="003922A9" w:rsidRDefault="003922A9" w:rsidP="003922A9">
            <w:pPr>
              <w:pStyle w:val="13"/>
              <w:ind w:firstLineChars="0" w:firstLine="0"/>
              <w:jc w:val="center"/>
              <w:rPr>
                <w:b/>
                <w:sz w:val="18"/>
                <w:szCs w:val="18"/>
              </w:rPr>
            </w:pPr>
            <w:r w:rsidRPr="003922A9">
              <w:rPr>
                <w:b/>
                <w:sz w:val="18"/>
                <w:szCs w:val="18"/>
              </w:rPr>
              <w:t>20x8</w:t>
            </w:r>
          </w:p>
        </w:tc>
      </w:tr>
      <w:tr w:rsidR="003922A9" w:rsidRPr="003922A9" w14:paraId="67276AC4" w14:textId="77777777" w:rsidTr="003922A9">
        <w:tc>
          <w:tcPr>
            <w:tcW w:w="565" w:type="pct"/>
            <w:vAlign w:val="center"/>
          </w:tcPr>
          <w:p w14:paraId="19AE3D2F" w14:textId="77777777" w:rsidR="003922A9" w:rsidRPr="003922A9" w:rsidRDefault="003922A9" w:rsidP="003922A9">
            <w:pPr>
              <w:pStyle w:val="13"/>
              <w:ind w:firstLineChars="0" w:firstLine="0"/>
              <w:jc w:val="center"/>
              <w:rPr>
                <w:b/>
                <w:sz w:val="18"/>
                <w:szCs w:val="18"/>
              </w:rPr>
            </w:pPr>
            <w:r w:rsidRPr="003922A9">
              <w:rPr>
                <w:b/>
                <w:sz w:val="18"/>
                <w:szCs w:val="18"/>
              </w:rPr>
              <w:t>增速</w:t>
            </w:r>
          </w:p>
        </w:tc>
        <w:tc>
          <w:tcPr>
            <w:tcW w:w="759" w:type="pct"/>
            <w:vAlign w:val="center"/>
          </w:tcPr>
          <w:p w14:paraId="4C6E01A0" w14:textId="77777777" w:rsidR="003922A9" w:rsidRPr="003922A9" w:rsidRDefault="003922A9" w:rsidP="003922A9">
            <w:pPr>
              <w:pStyle w:val="13"/>
              <w:ind w:firstLineChars="0" w:firstLine="0"/>
              <w:jc w:val="right"/>
              <w:rPr>
                <w:sz w:val="18"/>
                <w:szCs w:val="18"/>
              </w:rPr>
            </w:pPr>
            <w:r w:rsidRPr="003922A9">
              <w:rPr>
                <w:sz w:val="18"/>
                <w:szCs w:val="18"/>
              </w:rPr>
              <w:t>27.41%</w:t>
            </w:r>
          </w:p>
        </w:tc>
        <w:tc>
          <w:tcPr>
            <w:tcW w:w="821" w:type="pct"/>
            <w:vAlign w:val="center"/>
          </w:tcPr>
          <w:p w14:paraId="334130E4" w14:textId="77777777" w:rsidR="003922A9" w:rsidRPr="003922A9" w:rsidRDefault="003922A9" w:rsidP="003922A9">
            <w:pPr>
              <w:pStyle w:val="13"/>
              <w:ind w:firstLineChars="0" w:firstLine="0"/>
              <w:jc w:val="right"/>
              <w:rPr>
                <w:sz w:val="18"/>
                <w:szCs w:val="18"/>
              </w:rPr>
            </w:pPr>
            <w:r w:rsidRPr="003922A9">
              <w:rPr>
                <w:sz w:val="18"/>
                <w:szCs w:val="18"/>
              </w:rPr>
              <w:t>-13.95%</w:t>
            </w:r>
          </w:p>
        </w:tc>
        <w:tc>
          <w:tcPr>
            <w:tcW w:w="759" w:type="pct"/>
            <w:vAlign w:val="center"/>
          </w:tcPr>
          <w:p w14:paraId="66FD6588" w14:textId="77777777" w:rsidR="003922A9" w:rsidRPr="003922A9" w:rsidRDefault="003922A9" w:rsidP="003922A9">
            <w:pPr>
              <w:pStyle w:val="13"/>
              <w:ind w:firstLineChars="0" w:firstLine="0"/>
              <w:jc w:val="right"/>
              <w:rPr>
                <w:sz w:val="18"/>
                <w:szCs w:val="18"/>
              </w:rPr>
            </w:pPr>
            <w:r w:rsidRPr="003922A9">
              <w:rPr>
                <w:sz w:val="18"/>
                <w:szCs w:val="18"/>
              </w:rPr>
              <w:t>21.47%</w:t>
            </w:r>
          </w:p>
        </w:tc>
        <w:tc>
          <w:tcPr>
            <w:tcW w:w="759" w:type="pct"/>
            <w:vAlign w:val="center"/>
          </w:tcPr>
          <w:p w14:paraId="222CEFEB" w14:textId="77777777" w:rsidR="003922A9" w:rsidRPr="003922A9" w:rsidRDefault="003922A9" w:rsidP="003922A9">
            <w:pPr>
              <w:pStyle w:val="13"/>
              <w:ind w:firstLineChars="0" w:firstLine="0"/>
              <w:jc w:val="right"/>
              <w:rPr>
                <w:sz w:val="18"/>
                <w:szCs w:val="18"/>
              </w:rPr>
            </w:pPr>
            <w:r w:rsidRPr="003922A9">
              <w:rPr>
                <w:sz w:val="18"/>
                <w:szCs w:val="18"/>
              </w:rPr>
              <w:t>14.16%</w:t>
            </w:r>
          </w:p>
        </w:tc>
        <w:tc>
          <w:tcPr>
            <w:tcW w:w="668" w:type="pct"/>
            <w:vAlign w:val="center"/>
          </w:tcPr>
          <w:p w14:paraId="30FCD839" w14:textId="77777777" w:rsidR="003922A9" w:rsidRPr="003922A9" w:rsidRDefault="003922A9" w:rsidP="003922A9">
            <w:pPr>
              <w:pStyle w:val="13"/>
              <w:ind w:firstLineChars="0" w:firstLine="0"/>
              <w:jc w:val="right"/>
              <w:rPr>
                <w:sz w:val="18"/>
                <w:szCs w:val="18"/>
              </w:rPr>
            </w:pPr>
            <w:r w:rsidRPr="003922A9">
              <w:rPr>
                <w:sz w:val="18"/>
                <w:szCs w:val="18"/>
              </w:rPr>
              <w:t>3.97%</w:t>
            </w:r>
          </w:p>
        </w:tc>
        <w:tc>
          <w:tcPr>
            <w:tcW w:w="668" w:type="pct"/>
            <w:vAlign w:val="center"/>
          </w:tcPr>
          <w:p w14:paraId="6EFFD1FB" w14:textId="77777777" w:rsidR="003922A9" w:rsidRPr="003922A9" w:rsidRDefault="003922A9" w:rsidP="003922A9">
            <w:pPr>
              <w:pStyle w:val="13"/>
              <w:ind w:firstLineChars="0" w:firstLine="0"/>
              <w:jc w:val="right"/>
              <w:rPr>
                <w:sz w:val="18"/>
                <w:szCs w:val="18"/>
              </w:rPr>
            </w:pPr>
            <w:r w:rsidRPr="003922A9">
              <w:rPr>
                <w:sz w:val="18"/>
                <w:szCs w:val="18"/>
              </w:rPr>
              <w:t>1.98%</w:t>
            </w:r>
          </w:p>
        </w:tc>
      </w:tr>
    </w:tbl>
    <w:p w14:paraId="6B6D2ECC" w14:textId="77777777" w:rsidR="003922A9" w:rsidRDefault="003922A9" w:rsidP="003922A9">
      <w:pPr>
        <w:pStyle w:val="13"/>
      </w:pPr>
      <w:r>
        <w:rPr>
          <w:rFonts w:hint="eastAsia"/>
        </w:rPr>
        <w:t>（</w:t>
      </w:r>
      <w:r>
        <w:t>2）xx信托公司信托资产规模预测</w:t>
      </w:r>
    </w:p>
    <w:p w14:paraId="61ECA4A6" w14:textId="56A9265E" w:rsidR="00685D93" w:rsidRDefault="003922A9" w:rsidP="003922A9">
      <w:pPr>
        <w:pStyle w:val="13"/>
      </w:pPr>
      <w:r>
        <w:rPr>
          <w:rFonts w:hint="eastAsia"/>
        </w:rPr>
        <w:t>我们对</w:t>
      </w:r>
      <w:r>
        <w:t>xx信托公司业务规划访谈了解到，xx信托公司信托资产在预测期将保持目前类型结构比例不变，且市场份额规划目标为保持评估基准日的水平。对xx信托未来年度信托规模预测数据如下表所示。</w:t>
      </w:r>
    </w:p>
    <w:tbl>
      <w:tblPr>
        <w:tblW w:w="5000" w:type="pct"/>
        <w:tblLook w:val="04A0" w:firstRow="1" w:lastRow="0" w:firstColumn="1" w:lastColumn="0" w:noHBand="0" w:noVBand="1"/>
      </w:tblPr>
      <w:tblGrid>
        <w:gridCol w:w="855"/>
        <w:gridCol w:w="1573"/>
        <w:gridCol w:w="1573"/>
        <w:gridCol w:w="1573"/>
        <w:gridCol w:w="1573"/>
        <w:gridCol w:w="1573"/>
      </w:tblGrid>
      <w:tr w:rsidR="003922A9" w:rsidRPr="003922A9" w14:paraId="53E3F059" w14:textId="77777777" w:rsidTr="003922A9">
        <w:trPr>
          <w:trHeight w:val="240"/>
          <w:tblHeader/>
        </w:trPr>
        <w:tc>
          <w:tcPr>
            <w:tcW w:w="490" w:type="pct"/>
            <w:tcBorders>
              <w:top w:val="single" w:sz="4" w:space="0" w:color="auto"/>
              <w:left w:val="single" w:sz="4" w:space="0" w:color="auto"/>
              <w:bottom w:val="single" w:sz="4" w:space="0" w:color="auto"/>
              <w:right w:val="single" w:sz="4" w:space="0" w:color="auto"/>
            </w:tcBorders>
            <w:vAlign w:val="center"/>
          </w:tcPr>
          <w:p w14:paraId="229F58A2" w14:textId="77777777" w:rsidR="003922A9" w:rsidRPr="003922A9" w:rsidRDefault="003922A9" w:rsidP="003922A9">
            <w:pPr>
              <w:pStyle w:val="13"/>
              <w:ind w:firstLineChars="0" w:firstLine="0"/>
              <w:jc w:val="center"/>
              <w:rPr>
                <w:b/>
                <w:sz w:val="18"/>
                <w:szCs w:val="18"/>
              </w:rPr>
            </w:pPr>
            <w:r w:rsidRPr="003922A9">
              <w:rPr>
                <w:b/>
                <w:sz w:val="18"/>
                <w:szCs w:val="18"/>
              </w:rPr>
              <w:t>年份</w:t>
            </w:r>
          </w:p>
        </w:tc>
        <w:tc>
          <w:tcPr>
            <w:tcW w:w="902" w:type="pct"/>
            <w:tcBorders>
              <w:top w:val="single" w:sz="4" w:space="0" w:color="auto"/>
              <w:left w:val="nil"/>
              <w:bottom w:val="single" w:sz="4" w:space="0" w:color="auto"/>
              <w:right w:val="single" w:sz="4" w:space="0" w:color="auto"/>
            </w:tcBorders>
            <w:vAlign w:val="center"/>
          </w:tcPr>
          <w:p w14:paraId="5617F819" w14:textId="77777777" w:rsidR="003922A9" w:rsidRPr="003922A9" w:rsidRDefault="003922A9" w:rsidP="003922A9">
            <w:pPr>
              <w:pStyle w:val="13"/>
              <w:ind w:firstLineChars="0" w:firstLine="0"/>
              <w:jc w:val="center"/>
              <w:rPr>
                <w:b/>
                <w:sz w:val="18"/>
                <w:szCs w:val="18"/>
              </w:rPr>
            </w:pPr>
            <w:r w:rsidRPr="003922A9">
              <w:rPr>
                <w:b/>
                <w:sz w:val="18"/>
                <w:szCs w:val="18"/>
              </w:rPr>
              <w:t>20x4年</w:t>
            </w:r>
          </w:p>
        </w:tc>
        <w:tc>
          <w:tcPr>
            <w:tcW w:w="902" w:type="pct"/>
            <w:tcBorders>
              <w:top w:val="single" w:sz="4" w:space="0" w:color="auto"/>
              <w:left w:val="nil"/>
              <w:bottom w:val="single" w:sz="4" w:space="0" w:color="auto"/>
              <w:right w:val="single" w:sz="4" w:space="0" w:color="auto"/>
            </w:tcBorders>
            <w:vAlign w:val="center"/>
          </w:tcPr>
          <w:p w14:paraId="7095A83A" w14:textId="77777777" w:rsidR="003922A9" w:rsidRPr="003922A9" w:rsidRDefault="003922A9" w:rsidP="003922A9">
            <w:pPr>
              <w:pStyle w:val="13"/>
              <w:ind w:firstLineChars="0" w:firstLine="0"/>
              <w:jc w:val="center"/>
              <w:rPr>
                <w:b/>
                <w:sz w:val="18"/>
                <w:szCs w:val="18"/>
              </w:rPr>
            </w:pPr>
            <w:r w:rsidRPr="003922A9">
              <w:rPr>
                <w:b/>
                <w:sz w:val="18"/>
                <w:szCs w:val="18"/>
              </w:rPr>
              <w:t>20x5年</w:t>
            </w:r>
          </w:p>
        </w:tc>
        <w:tc>
          <w:tcPr>
            <w:tcW w:w="902" w:type="pct"/>
            <w:tcBorders>
              <w:top w:val="single" w:sz="4" w:space="0" w:color="auto"/>
              <w:left w:val="nil"/>
              <w:bottom w:val="single" w:sz="4" w:space="0" w:color="auto"/>
              <w:right w:val="single" w:sz="4" w:space="0" w:color="auto"/>
            </w:tcBorders>
            <w:vAlign w:val="center"/>
          </w:tcPr>
          <w:p w14:paraId="3863AE69" w14:textId="77777777" w:rsidR="003922A9" w:rsidRPr="003922A9" w:rsidRDefault="003922A9" w:rsidP="003922A9">
            <w:pPr>
              <w:pStyle w:val="13"/>
              <w:ind w:firstLineChars="0" w:firstLine="0"/>
              <w:jc w:val="center"/>
              <w:rPr>
                <w:b/>
                <w:sz w:val="18"/>
                <w:szCs w:val="18"/>
              </w:rPr>
            </w:pPr>
            <w:r w:rsidRPr="003922A9">
              <w:rPr>
                <w:b/>
                <w:sz w:val="18"/>
                <w:szCs w:val="18"/>
              </w:rPr>
              <w:t>20x6年</w:t>
            </w:r>
          </w:p>
        </w:tc>
        <w:tc>
          <w:tcPr>
            <w:tcW w:w="902" w:type="pct"/>
            <w:tcBorders>
              <w:top w:val="single" w:sz="4" w:space="0" w:color="auto"/>
              <w:left w:val="nil"/>
              <w:bottom w:val="single" w:sz="4" w:space="0" w:color="auto"/>
              <w:right w:val="single" w:sz="4" w:space="0" w:color="auto"/>
            </w:tcBorders>
            <w:vAlign w:val="center"/>
          </w:tcPr>
          <w:p w14:paraId="6326B700" w14:textId="77777777" w:rsidR="003922A9" w:rsidRPr="003922A9" w:rsidRDefault="003922A9" w:rsidP="003922A9">
            <w:pPr>
              <w:pStyle w:val="13"/>
              <w:ind w:firstLineChars="0" w:firstLine="0"/>
              <w:jc w:val="center"/>
              <w:rPr>
                <w:b/>
                <w:sz w:val="18"/>
                <w:szCs w:val="18"/>
              </w:rPr>
            </w:pPr>
            <w:r w:rsidRPr="003922A9">
              <w:rPr>
                <w:b/>
                <w:sz w:val="18"/>
                <w:szCs w:val="18"/>
              </w:rPr>
              <w:t>20x7年</w:t>
            </w:r>
          </w:p>
        </w:tc>
        <w:tc>
          <w:tcPr>
            <w:tcW w:w="902" w:type="pct"/>
            <w:tcBorders>
              <w:top w:val="single" w:sz="4" w:space="0" w:color="auto"/>
              <w:left w:val="nil"/>
              <w:bottom w:val="single" w:sz="4" w:space="0" w:color="auto"/>
              <w:right w:val="single" w:sz="4" w:space="0" w:color="auto"/>
            </w:tcBorders>
            <w:vAlign w:val="center"/>
          </w:tcPr>
          <w:p w14:paraId="5F47786E" w14:textId="77777777" w:rsidR="003922A9" w:rsidRPr="003922A9" w:rsidRDefault="003922A9" w:rsidP="003922A9">
            <w:pPr>
              <w:pStyle w:val="13"/>
              <w:ind w:firstLineChars="0" w:firstLine="0"/>
              <w:jc w:val="center"/>
              <w:rPr>
                <w:b/>
                <w:sz w:val="18"/>
                <w:szCs w:val="18"/>
              </w:rPr>
            </w:pPr>
            <w:r w:rsidRPr="003922A9">
              <w:rPr>
                <w:b/>
                <w:sz w:val="18"/>
                <w:szCs w:val="18"/>
              </w:rPr>
              <w:t>20x8年</w:t>
            </w:r>
          </w:p>
        </w:tc>
      </w:tr>
      <w:tr w:rsidR="003922A9" w:rsidRPr="003922A9" w14:paraId="4599E99C" w14:textId="77777777" w:rsidTr="003922A9">
        <w:trPr>
          <w:trHeight w:val="240"/>
        </w:trPr>
        <w:tc>
          <w:tcPr>
            <w:tcW w:w="490" w:type="pct"/>
            <w:tcBorders>
              <w:top w:val="single" w:sz="4" w:space="0" w:color="auto"/>
              <w:left w:val="single" w:sz="4" w:space="0" w:color="auto"/>
              <w:bottom w:val="single" w:sz="4" w:space="0" w:color="auto"/>
              <w:right w:val="single" w:sz="4" w:space="0" w:color="auto"/>
            </w:tcBorders>
            <w:vAlign w:val="center"/>
          </w:tcPr>
          <w:p w14:paraId="6A885EBF" w14:textId="77777777" w:rsidR="003922A9" w:rsidRPr="003922A9" w:rsidRDefault="003922A9" w:rsidP="003922A9">
            <w:pPr>
              <w:pStyle w:val="13"/>
              <w:ind w:firstLineChars="0" w:firstLine="0"/>
              <w:jc w:val="center"/>
              <w:rPr>
                <w:b/>
                <w:sz w:val="18"/>
                <w:szCs w:val="18"/>
              </w:rPr>
            </w:pPr>
            <w:r w:rsidRPr="003922A9">
              <w:rPr>
                <w:b/>
                <w:sz w:val="18"/>
                <w:szCs w:val="18"/>
              </w:rPr>
              <w:t>集合类</w:t>
            </w:r>
          </w:p>
        </w:tc>
        <w:tc>
          <w:tcPr>
            <w:tcW w:w="902" w:type="pct"/>
            <w:tcBorders>
              <w:top w:val="single" w:sz="4" w:space="0" w:color="auto"/>
              <w:left w:val="nil"/>
              <w:bottom w:val="single" w:sz="4" w:space="0" w:color="auto"/>
              <w:right w:val="single" w:sz="4" w:space="0" w:color="auto"/>
            </w:tcBorders>
            <w:vAlign w:val="center"/>
          </w:tcPr>
          <w:p w14:paraId="0CA7AC1E" w14:textId="77777777" w:rsidR="003922A9" w:rsidRPr="003922A9" w:rsidRDefault="003922A9" w:rsidP="003922A9">
            <w:pPr>
              <w:pStyle w:val="13"/>
              <w:ind w:firstLineChars="0" w:firstLine="0"/>
              <w:jc w:val="right"/>
              <w:rPr>
                <w:sz w:val="18"/>
                <w:szCs w:val="18"/>
              </w:rPr>
            </w:pPr>
            <w:r w:rsidRPr="003922A9">
              <w:rPr>
                <w:sz w:val="18"/>
                <w:szCs w:val="18"/>
              </w:rPr>
              <w:t>942,506.75</w:t>
            </w:r>
          </w:p>
        </w:tc>
        <w:tc>
          <w:tcPr>
            <w:tcW w:w="902" w:type="pct"/>
            <w:tcBorders>
              <w:top w:val="single" w:sz="4" w:space="0" w:color="auto"/>
              <w:left w:val="nil"/>
              <w:bottom w:val="single" w:sz="4" w:space="0" w:color="auto"/>
              <w:right w:val="single" w:sz="4" w:space="0" w:color="auto"/>
            </w:tcBorders>
            <w:vAlign w:val="center"/>
          </w:tcPr>
          <w:p w14:paraId="1782AF80" w14:textId="77777777" w:rsidR="003922A9" w:rsidRPr="003922A9" w:rsidRDefault="003922A9" w:rsidP="003922A9">
            <w:pPr>
              <w:pStyle w:val="13"/>
              <w:ind w:firstLineChars="0" w:firstLine="0"/>
              <w:jc w:val="right"/>
              <w:rPr>
                <w:sz w:val="18"/>
                <w:szCs w:val="18"/>
              </w:rPr>
            </w:pPr>
            <w:r w:rsidRPr="003922A9">
              <w:rPr>
                <w:sz w:val="18"/>
                <w:szCs w:val="18"/>
              </w:rPr>
              <w:t>1,144,862.95</w:t>
            </w:r>
          </w:p>
        </w:tc>
        <w:tc>
          <w:tcPr>
            <w:tcW w:w="902" w:type="pct"/>
            <w:tcBorders>
              <w:top w:val="single" w:sz="4" w:space="0" w:color="auto"/>
              <w:left w:val="nil"/>
              <w:bottom w:val="single" w:sz="4" w:space="0" w:color="auto"/>
              <w:right w:val="single" w:sz="4" w:space="0" w:color="auto"/>
            </w:tcBorders>
            <w:vAlign w:val="center"/>
          </w:tcPr>
          <w:p w14:paraId="0B93889C" w14:textId="77777777" w:rsidR="003922A9" w:rsidRPr="003922A9" w:rsidRDefault="003922A9" w:rsidP="003922A9">
            <w:pPr>
              <w:pStyle w:val="13"/>
              <w:ind w:firstLineChars="0" w:firstLine="0"/>
              <w:jc w:val="right"/>
              <w:rPr>
                <w:sz w:val="18"/>
                <w:szCs w:val="18"/>
              </w:rPr>
            </w:pPr>
            <w:r w:rsidRPr="003922A9">
              <w:rPr>
                <w:sz w:val="18"/>
                <w:szCs w:val="18"/>
              </w:rPr>
              <w:t>1,306,975.54</w:t>
            </w:r>
          </w:p>
        </w:tc>
        <w:tc>
          <w:tcPr>
            <w:tcW w:w="902" w:type="pct"/>
            <w:tcBorders>
              <w:top w:val="single" w:sz="4" w:space="0" w:color="auto"/>
              <w:left w:val="nil"/>
              <w:bottom w:val="single" w:sz="4" w:space="0" w:color="auto"/>
              <w:right w:val="single" w:sz="4" w:space="0" w:color="auto"/>
            </w:tcBorders>
            <w:vAlign w:val="center"/>
          </w:tcPr>
          <w:p w14:paraId="35EC8A9C" w14:textId="77777777" w:rsidR="003922A9" w:rsidRPr="003922A9" w:rsidRDefault="003922A9" w:rsidP="003922A9">
            <w:pPr>
              <w:pStyle w:val="13"/>
              <w:ind w:firstLineChars="0" w:firstLine="0"/>
              <w:jc w:val="right"/>
              <w:rPr>
                <w:sz w:val="18"/>
                <w:szCs w:val="18"/>
              </w:rPr>
            </w:pPr>
            <w:r w:rsidRPr="003922A9">
              <w:rPr>
                <w:sz w:val="18"/>
                <w:szCs w:val="18"/>
              </w:rPr>
              <w:t>1,358,862.46</w:t>
            </w:r>
          </w:p>
        </w:tc>
        <w:tc>
          <w:tcPr>
            <w:tcW w:w="902" w:type="pct"/>
            <w:tcBorders>
              <w:top w:val="single" w:sz="4" w:space="0" w:color="auto"/>
              <w:left w:val="nil"/>
              <w:bottom w:val="single" w:sz="4" w:space="0" w:color="auto"/>
              <w:right w:val="single" w:sz="4" w:space="0" w:color="auto"/>
            </w:tcBorders>
            <w:vAlign w:val="center"/>
          </w:tcPr>
          <w:p w14:paraId="4E8E5684" w14:textId="77777777" w:rsidR="003922A9" w:rsidRPr="003922A9" w:rsidRDefault="003922A9" w:rsidP="003922A9">
            <w:pPr>
              <w:pStyle w:val="13"/>
              <w:ind w:firstLineChars="0" w:firstLine="0"/>
              <w:jc w:val="right"/>
              <w:rPr>
                <w:sz w:val="18"/>
                <w:szCs w:val="18"/>
              </w:rPr>
            </w:pPr>
            <w:r w:rsidRPr="003922A9">
              <w:rPr>
                <w:sz w:val="18"/>
                <w:szCs w:val="18"/>
              </w:rPr>
              <w:t>1,385,767.93</w:t>
            </w:r>
          </w:p>
        </w:tc>
      </w:tr>
      <w:tr w:rsidR="003922A9" w:rsidRPr="003922A9" w14:paraId="6070FB30" w14:textId="77777777" w:rsidTr="003922A9">
        <w:trPr>
          <w:trHeight w:val="240"/>
        </w:trPr>
        <w:tc>
          <w:tcPr>
            <w:tcW w:w="490" w:type="pct"/>
            <w:tcBorders>
              <w:top w:val="nil"/>
              <w:left w:val="single" w:sz="4" w:space="0" w:color="auto"/>
              <w:bottom w:val="single" w:sz="4" w:space="0" w:color="auto"/>
              <w:right w:val="single" w:sz="4" w:space="0" w:color="auto"/>
            </w:tcBorders>
            <w:vAlign w:val="center"/>
          </w:tcPr>
          <w:p w14:paraId="3CA3CF7A" w14:textId="77777777" w:rsidR="003922A9" w:rsidRPr="003922A9" w:rsidRDefault="003922A9" w:rsidP="003922A9">
            <w:pPr>
              <w:pStyle w:val="13"/>
              <w:ind w:firstLineChars="0" w:firstLine="0"/>
              <w:jc w:val="center"/>
              <w:rPr>
                <w:b/>
                <w:sz w:val="18"/>
                <w:szCs w:val="18"/>
              </w:rPr>
            </w:pPr>
            <w:r w:rsidRPr="003922A9">
              <w:rPr>
                <w:b/>
                <w:sz w:val="18"/>
                <w:szCs w:val="18"/>
              </w:rPr>
              <w:t>单一类</w:t>
            </w:r>
          </w:p>
        </w:tc>
        <w:tc>
          <w:tcPr>
            <w:tcW w:w="902" w:type="pct"/>
            <w:tcBorders>
              <w:top w:val="nil"/>
              <w:left w:val="nil"/>
              <w:bottom w:val="single" w:sz="4" w:space="0" w:color="auto"/>
              <w:right w:val="single" w:sz="4" w:space="0" w:color="auto"/>
            </w:tcBorders>
            <w:vAlign w:val="center"/>
          </w:tcPr>
          <w:p w14:paraId="735B51EF" w14:textId="77777777" w:rsidR="003922A9" w:rsidRPr="003922A9" w:rsidRDefault="003922A9" w:rsidP="003922A9">
            <w:pPr>
              <w:pStyle w:val="13"/>
              <w:ind w:firstLineChars="0" w:firstLine="0"/>
              <w:jc w:val="right"/>
              <w:rPr>
                <w:sz w:val="18"/>
                <w:szCs w:val="18"/>
              </w:rPr>
            </w:pPr>
            <w:r w:rsidRPr="003922A9">
              <w:rPr>
                <w:sz w:val="18"/>
                <w:szCs w:val="18"/>
              </w:rPr>
              <w:t>15,551,878.34</w:t>
            </w:r>
          </w:p>
        </w:tc>
        <w:tc>
          <w:tcPr>
            <w:tcW w:w="902" w:type="pct"/>
            <w:tcBorders>
              <w:top w:val="nil"/>
              <w:left w:val="nil"/>
              <w:bottom w:val="single" w:sz="4" w:space="0" w:color="auto"/>
              <w:right w:val="single" w:sz="4" w:space="0" w:color="auto"/>
            </w:tcBorders>
            <w:vAlign w:val="center"/>
          </w:tcPr>
          <w:p w14:paraId="11633D21" w14:textId="77777777" w:rsidR="003922A9" w:rsidRPr="003922A9" w:rsidRDefault="003922A9" w:rsidP="003922A9">
            <w:pPr>
              <w:pStyle w:val="13"/>
              <w:ind w:firstLineChars="0" w:firstLine="0"/>
              <w:jc w:val="right"/>
              <w:rPr>
                <w:sz w:val="18"/>
                <w:szCs w:val="18"/>
              </w:rPr>
            </w:pPr>
            <w:r w:rsidRPr="003922A9">
              <w:rPr>
                <w:sz w:val="18"/>
                <w:szCs w:val="18"/>
              </w:rPr>
              <w:t>18,890,866.62</w:t>
            </w:r>
          </w:p>
        </w:tc>
        <w:tc>
          <w:tcPr>
            <w:tcW w:w="902" w:type="pct"/>
            <w:tcBorders>
              <w:top w:val="nil"/>
              <w:left w:val="nil"/>
              <w:bottom w:val="single" w:sz="4" w:space="0" w:color="auto"/>
              <w:right w:val="single" w:sz="4" w:space="0" w:color="auto"/>
            </w:tcBorders>
            <w:vAlign w:val="center"/>
          </w:tcPr>
          <w:p w14:paraId="272CE5D8" w14:textId="77777777" w:rsidR="003922A9" w:rsidRPr="003922A9" w:rsidRDefault="003922A9" w:rsidP="003922A9">
            <w:pPr>
              <w:pStyle w:val="13"/>
              <w:ind w:firstLineChars="0" w:firstLine="0"/>
              <w:jc w:val="right"/>
              <w:rPr>
                <w:sz w:val="18"/>
                <w:szCs w:val="18"/>
              </w:rPr>
            </w:pPr>
            <w:r w:rsidRPr="003922A9">
              <w:rPr>
                <w:sz w:val="18"/>
                <w:szCs w:val="18"/>
              </w:rPr>
              <w:t>21,565,813.33</w:t>
            </w:r>
          </w:p>
        </w:tc>
        <w:tc>
          <w:tcPr>
            <w:tcW w:w="902" w:type="pct"/>
            <w:tcBorders>
              <w:top w:val="nil"/>
              <w:left w:val="nil"/>
              <w:bottom w:val="single" w:sz="4" w:space="0" w:color="auto"/>
              <w:right w:val="single" w:sz="4" w:space="0" w:color="auto"/>
            </w:tcBorders>
            <w:vAlign w:val="center"/>
          </w:tcPr>
          <w:p w14:paraId="007A548F" w14:textId="77777777" w:rsidR="003922A9" w:rsidRPr="003922A9" w:rsidRDefault="003922A9" w:rsidP="003922A9">
            <w:pPr>
              <w:pStyle w:val="13"/>
              <w:ind w:firstLineChars="0" w:firstLine="0"/>
              <w:jc w:val="right"/>
              <w:rPr>
                <w:sz w:val="18"/>
                <w:szCs w:val="18"/>
              </w:rPr>
            </w:pPr>
            <w:r w:rsidRPr="003922A9">
              <w:rPr>
                <w:sz w:val="18"/>
                <w:szCs w:val="18"/>
              </w:rPr>
              <w:t>22,421,976.11</w:t>
            </w:r>
          </w:p>
        </w:tc>
        <w:tc>
          <w:tcPr>
            <w:tcW w:w="902" w:type="pct"/>
            <w:tcBorders>
              <w:top w:val="nil"/>
              <w:left w:val="nil"/>
              <w:bottom w:val="single" w:sz="4" w:space="0" w:color="auto"/>
              <w:right w:val="single" w:sz="4" w:space="0" w:color="auto"/>
            </w:tcBorders>
            <w:vAlign w:val="center"/>
          </w:tcPr>
          <w:p w14:paraId="700A9131" w14:textId="77777777" w:rsidR="003922A9" w:rsidRPr="003922A9" w:rsidRDefault="003922A9" w:rsidP="003922A9">
            <w:pPr>
              <w:pStyle w:val="13"/>
              <w:ind w:firstLineChars="0" w:firstLine="0"/>
              <w:jc w:val="right"/>
              <w:rPr>
                <w:sz w:val="18"/>
                <w:szCs w:val="18"/>
              </w:rPr>
            </w:pPr>
            <w:r w:rsidRPr="003922A9">
              <w:rPr>
                <w:sz w:val="18"/>
                <w:szCs w:val="18"/>
              </w:rPr>
              <w:t>22,865,931.24</w:t>
            </w:r>
          </w:p>
        </w:tc>
      </w:tr>
      <w:tr w:rsidR="003922A9" w:rsidRPr="003922A9" w14:paraId="6EB70058" w14:textId="77777777" w:rsidTr="003922A9">
        <w:trPr>
          <w:trHeight w:val="240"/>
        </w:trPr>
        <w:tc>
          <w:tcPr>
            <w:tcW w:w="490" w:type="pct"/>
            <w:tcBorders>
              <w:top w:val="nil"/>
              <w:left w:val="single" w:sz="4" w:space="0" w:color="auto"/>
              <w:bottom w:val="single" w:sz="4" w:space="0" w:color="auto"/>
              <w:right w:val="single" w:sz="4" w:space="0" w:color="auto"/>
            </w:tcBorders>
            <w:vAlign w:val="center"/>
          </w:tcPr>
          <w:p w14:paraId="69614583" w14:textId="77777777" w:rsidR="003922A9" w:rsidRPr="003922A9" w:rsidRDefault="003922A9" w:rsidP="003922A9">
            <w:pPr>
              <w:pStyle w:val="13"/>
              <w:ind w:firstLineChars="0" w:firstLine="0"/>
              <w:jc w:val="center"/>
              <w:rPr>
                <w:b/>
                <w:sz w:val="18"/>
                <w:szCs w:val="18"/>
              </w:rPr>
            </w:pPr>
            <w:r w:rsidRPr="003922A9">
              <w:rPr>
                <w:b/>
                <w:sz w:val="18"/>
                <w:szCs w:val="18"/>
              </w:rPr>
              <w:t>财产类</w:t>
            </w:r>
          </w:p>
        </w:tc>
        <w:tc>
          <w:tcPr>
            <w:tcW w:w="902" w:type="pct"/>
            <w:tcBorders>
              <w:top w:val="nil"/>
              <w:left w:val="nil"/>
              <w:bottom w:val="single" w:sz="4" w:space="0" w:color="auto"/>
              <w:right w:val="single" w:sz="4" w:space="0" w:color="auto"/>
            </w:tcBorders>
            <w:vAlign w:val="center"/>
          </w:tcPr>
          <w:p w14:paraId="53B4B411" w14:textId="77777777" w:rsidR="003922A9" w:rsidRPr="003922A9" w:rsidRDefault="003922A9" w:rsidP="003922A9">
            <w:pPr>
              <w:pStyle w:val="13"/>
              <w:ind w:firstLineChars="0" w:firstLine="0"/>
              <w:jc w:val="right"/>
              <w:rPr>
                <w:sz w:val="18"/>
                <w:szCs w:val="18"/>
              </w:rPr>
            </w:pPr>
            <w:r w:rsidRPr="003922A9">
              <w:rPr>
                <w:sz w:val="18"/>
                <w:szCs w:val="18"/>
              </w:rPr>
              <w:t>1,235,567.60</w:t>
            </w:r>
          </w:p>
        </w:tc>
        <w:tc>
          <w:tcPr>
            <w:tcW w:w="902" w:type="pct"/>
            <w:tcBorders>
              <w:top w:val="nil"/>
              <w:left w:val="nil"/>
              <w:bottom w:val="single" w:sz="4" w:space="0" w:color="auto"/>
              <w:right w:val="single" w:sz="4" w:space="0" w:color="auto"/>
            </w:tcBorders>
            <w:vAlign w:val="center"/>
          </w:tcPr>
          <w:p w14:paraId="566CC538" w14:textId="77777777" w:rsidR="003922A9" w:rsidRPr="003922A9" w:rsidRDefault="003922A9" w:rsidP="003922A9">
            <w:pPr>
              <w:pStyle w:val="13"/>
              <w:ind w:firstLineChars="0" w:firstLine="0"/>
              <w:jc w:val="right"/>
              <w:rPr>
                <w:sz w:val="18"/>
                <w:szCs w:val="18"/>
              </w:rPr>
            </w:pPr>
            <w:r w:rsidRPr="003922A9">
              <w:rPr>
                <w:sz w:val="18"/>
                <w:szCs w:val="18"/>
              </w:rPr>
              <w:t>1,500,843.96</w:t>
            </w:r>
          </w:p>
        </w:tc>
        <w:tc>
          <w:tcPr>
            <w:tcW w:w="902" w:type="pct"/>
            <w:tcBorders>
              <w:top w:val="nil"/>
              <w:left w:val="nil"/>
              <w:bottom w:val="single" w:sz="4" w:space="0" w:color="auto"/>
              <w:right w:val="single" w:sz="4" w:space="0" w:color="auto"/>
            </w:tcBorders>
            <w:vAlign w:val="center"/>
          </w:tcPr>
          <w:p w14:paraId="25D6D567" w14:textId="77777777" w:rsidR="003922A9" w:rsidRPr="003922A9" w:rsidRDefault="003922A9" w:rsidP="003922A9">
            <w:pPr>
              <w:pStyle w:val="13"/>
              <w:ind w:firstLineChars="0" w:firstLine="0"/>
              <w:jc w:val="right"/>
              <w:rPr>
                <w:sz w:val="18"/>
                <w:szCs w:val="18"/>
              </w:rPr>
            </w:pPr>
            <w:r w:rsidRPr="003922A9">
              <w:rPr>
                <w:sz w:val="18"/>
                <w:szCs w:val="18"/>
              </w:rPr>
              <w:t>1,713,363.46</w:t>
            </w:r>
          </w:p>
        </w:tc>
        <w:tc>
          <w:tcPr>
            <w:tcW w:w="902" w:type="pct"/>
            <w:tcBorders>
              <w:top w:val="nil"/>
              <w:left w:val="nil"/>
              <w:bottom w:val="single" w:sz="4" w:space="0" w:color="auto"/>
              <w:right w:val="single" w:sz="4" w:space="0" w:color="auto"/>
            </w:tcBorders>
            <w:vAlign w:val="center"/>
          </w:tcPr>
          <w:p w14:paraId="3DC5A503" w14:textId="77777777" w:rsidR="003922A9" w:rsidRPr="003922A9" w:rsidRDefault="003922A9" w:rsidP="003922A9">
            <w:pPr>
              <w:pStyle w:val="13"/>
              <w:ind w:firstLineChars="0" w:firstLine="0"/>
              <w:jc w:val="right"/>
              <w:rPr>
                <w:sz w:val="18"/>
                <w:szCs w:val="18"/>
              </w:rPr>
            </w:pPr>
            <w:r w:rsidRPr="003922A9">
              <w:rPr>
                <w:sz w:val="18"/>
                <w:szCs w:val="18"/>
              </w:rPr>
              <w:t>1,781,383.99</w:t>
            </w:r>
          </w:p>
        </w:tc>
        <w:tc>
          <w:tcPr>
            <w:tcW w:w="902" w:type="pct"/>
            <w:tcBorders>
              <w:top w:val="nil"/>
              <w:left w:val="nil"/>
              <w:bottom w:val="single" w:sz="4" w:space="0" w:color="auto"/>
              <w:right w:val="single" w:sz="4" w:space="0" w:color="auto"/>
            </w:tcBorders>
            <w:vAlign w:val="center"/>
          </w:tcPr>
          <w:p w14:paraId="625840B3" w14:textId="77777777" w:rsidR="003922A9" w:rsidRPr="003922A9" w:rsidRDefault="003922A9" w:rsidP="003922A9">
            <w:pPr>
              <w:pStyle w:val="13"/>
              <w:ind w:firstLineChars="0" w:firstLine="0"/>
              <w:jc w:val="right"/>
              <w:rPr>
                <w:sz w:val="18"/>
                <w:szCs w:val="18"/>
              </w:rPr>
            </w:pPr>
            <w:r w:rsidRPr="003922A9">
              <w:rPr>
                <w:sz w:val="18"/>
                <w:szCs w:val="18"/>
              </w:rPr>
              <w:t>1,816,655.39</w:t>
            </w:r>
          </w:p>
        </w:tc>
      </w:tr>
      <w:tr w:rsidR="003922A9" w:rsidRPr="003922A9" w14:paraId="32631ACF" w14:textId="77777777" w:rsidTr="003922A9">
        <w:trPr>
          <w:trHeight w:val="240"/>
        </w:trPr>
        <w:tc>
          <w:tcPr>
            <w:tcW w:w="490" w:type="pct"/>
            <w:tcBorders>
              <w:top w:val="nil"/>
              <w:left w:val="single" w:sz="4" w:space="0" w:color="auto"/>
              <w:bottom w:val="single" w:sz="4" w:space="0" w:color="auto"/>
              <w:right w:val="single" w:sz="4" w:space="0" w:color="auto"/>
            </w:tcBorders>
            <w:vAlign w:val="center"/>
          </w:tcPr>
          <w:p w14:paraId="7D9530B1" w14:textId="77777777" w:rsidR="003922A9" w:rsidRPr="003922A9" w:rsidRDefault="003922A9" w:rsidP="003922A9">
            <w:pPr>
              <w:pStyle w:val="13"/>
              <w:ind w:firstLineChars="0" w:firstLine="0"/>
              <w:jc w:val="center"/>
              <w:rPr>
                <w:b/>
                <w:sz w:val="18"/>
                <w:szCs w:val="18"/>
              </w:rPr>
            </w:pPr>
            <w:r w:rsidRPr="003922A9">
              <w:rPr>
                <w:b/>
                <w:sz w:val="18"/>
                <w:szCs w:val="18"/>
              </w:rPr>
              <w:t>合计</w:t>
            </w:r>
          </w:p>
        </w:tc>
        <w:tc>
          <w:tcPr>
            <w:tcW w:w="902" w:type="pct"/>
            <w:tcBorders>
              <w:top w:val="nil"/>
              <w:left w:val="nil"/>
              <w:bottom w:val="single" w:sz="4" w:space="0" w:color="auto"/>
              <w:right w:val="single" w:sz="4" w:space="0" w:color="auto"/>
            </w:tcBorders>
            <w:vAlign w:val="center"/>
          </w:tcPr>
          <w:p w14:paraId="5F79F8E6" w14:textId="77777777" w:rsidR="003922A9" w:rsidRPr="003922A9" w:rsidRDefault="003922A9" w:rsidP="003922A9">
            <w:pPr>
              <w:pStyle w:val="13"/>
              <w:ind w:firstLineChars="0" w:firstLine="0"/>
              <w:jc w:val="right"/>
              <w:rPr>
                <w:sz w:val="18"/>
                <w:szCs w:val="18"/>
              </w:rPr>
            </w:pPr>
            <w:r w:rsidRPr="003922A9">
              <w:rPr>
                <w:sz w:val="18"/>
                <w:szCs w:val="18"/>
              </w:rPr>
              <w:t>17,729,952.69</w:t>
            </w:r>
          </w:p>
        </w:tc>
        <w:tc>
          <w:tcPr>
            <w:tcW w:w="902" w:type="pct"/>
            <w:tcBorders>
              <w:top w:val="nil"/>
              <w:left w:val="nil"/>
              <w:bottom w:val="single" w:sz="4" w:space="0" w:color="auto"/>
              <w:right w:val="single" w:sz="4" w:space="0" w:color="auto"/>
            </w:tcBorders>
            <w:vAlign w:val="center"/>
          </w:tcPr>
          <w:p w14:paraId="654E8078" w14:textId="77777777" w:rsidR="003922A9" w:rsidRPr="003922A9" w:rsidRDefault="003922A9" w:rsidP="003922A9">
            <w:pPr>
              <w:pStyle w:val="13"/>
              <w:ind w:firstLineChars="0" w:firstLine="0"/>
              <w:jc w:val="right"/>
              <w:rPr>
                <w:sz w:val="18"/>
                <w:szCs w:val="18"/>
              </w:rPr>
            </w:pPr>
            <w:r w:rsidRPr="003922A9">
              <w:rPr>
                <w:sz w:val="18"/>
                <w:szCs w:val="18"/>
              </w:rPr>
              <w:t>21,536,573.53</w:t>
            </w:r>
          </w:p>
        </w:tc>
        <w:tc>
          <w:tcPr>
            <w:tcW w:w="902" w:type="pct"/>
            <w:tcBorders>
              <w:top w:val="nil"/>
              <w:left w:val="nil"/>
              <w:bottom w:val="single" w:sz="4" w:space="0" w:color="auto"/>
              <w:right w:val="single" w:sz="4" w:space="0" w:color="auto"/>
            </w:tcBorders>
            <w:vAlign w:val="center"/>
          </w:tcPr>
          <w:p w14:paraId="0FA37189" w14:textId="77777777" w:rsidR="003922A9" w:rsidRPr="003922A9" w:rsidRDefault="003922A9" w:rsidP="003922A9">
            <w:pPr>
              <w:pStyle w:val="13"/>
              <w:ind w:firstLineChars="0" w:firstLine="0"/>
              <w:jc w:val="right"/>
              <w:rPr>
                <w:sz w:val="18"/>
                <w:szCs w:val="18"/>
              </w:rPr>
            </w:pPr>
            <w:r w:rsidRPr="003922A9">
              <w:rPr>
                <w:sz w:val="18"/>
                <w:szCs w:val="18"/>
              </w:rPr>
              <w:t>24,586,152.33</w:t>
            </w:r>
          </w:p>
        </w:tc>
        <w:tc>
          <w:tcPr>
            <w:tcW w:w="902" w:type="pct"/>
            <w:tcBorders>
              <w:top w:val="nil"/>
              <w:left w:val="nil"/>
              <w:bottom w:val="single" w:sz="4" w:space="0" w:color="auto"/>
              <w:right w:val="single" w:sz="4" w:space="0" w:color="auto"/>
            </w:tcBorders>
            <w:vAlign w:val="center"/>
          </w:tcPr>
          <w:p w14:paraId="0C474481" w14:textId="77777777" w:rsidR="003922A9" w:rsidRPr="003922A9" w:rsidRDefault="003922A9" w:rsidP="003922A9">
            <w:pPr>
              <w:pStyle w:val="13"/>
              <w:ind w:firstLineChars="0" w:firstLine="0"/>
              <w:jc w:val="right"/>
              <w:rPr>
                <w:sz w:val="18"/>
                <w:szCs w:val="18"/>
              </w:rPr>
            </w:pPr>
            <w:r w:rsidRPr="003922A9">
              <w:rPr>
                <w:sz w:val="18"/>
                <w:szCs w:val="18"/>
              </w:rPr>
              <w:t>25,562,222.56</w:t>
            </w:r>
          </w:p>
        </w:tc>
        <w:tc>
          <w:tcPr>
            <w:tcW w:w="902" w:type="pct"/>
            <w:tcBorders>
              <w:top w:val="nil"/>
              <w:left w:val="nil"/>
              <w:bottom w:val="single" w:sz="4" w:space="0" w:color="auto"/>
              <w:right w:val="single" w:sz="4" w:space="0" w:color="auto"/>
            </w:tcBorders>
            <w:vAlign w:val="center"/>
          </w:tcPr>
          <w:p w14:paraId="251BB107" w14:textId="77777777" w:rsidR="003922A9" w:rsidRPr="003922A9" w:rsidRDefault="003922A9" w:rsidP="003922A9">
            <w:pPr>
              <w:pStyle w:val="13"/>
              <w:ind w:firstLineChars="0" w:firstLine="0"/>
              <w:jc w:val="right"/>
              <w:rPr>
                <w:sz w:val="18"/>
                <w:szCs w:val="18"/>
              </w:rPr>
            </w:pPr>
            <w:r w:rsidRPr="003922A9">
              <w:rPr>
                <w:sz w:val="18"/>
                <w:szCs w:val="18"/>
              </w:rPr>
              <w:t>26,068,354.56</w:t>
            </w:r>
          </w:p>
        </w:tc>
      </w:tr>
    </w:tbl>
    <w:p w14:paraId="264A9A66" w14:textId="77777777" w:rsidR="003922A9" w:rsidRDefault="003922A9" w:rsidP="003922A9">
      <w:pPr>
        <w:pStyle w:val="13"/>
      </w:pPr>
      <w:r>
        <w:t>2、信托手续费收入预测</w:t>
      </w:r>
    </w:p>
    <w:p w14:paraId="085D0F6C" w14:textId="17120456" w:rsidR="00685D93" w:rsidRDefault="003922A9" w:rsidP="003922A9">
      <w:pPr>
        <w:pStyle w:val="13"/>
      </w:pPr>
      <w:r>
        <w:rPr>
          <w:rFonts w:hint="eastAsia"/>
        </w:rPr>
        <w:t>由</w:t>
      </w:r>
      <w:r>
        <w:t>xx信托公司评估基准日的财务数据，其单一类、集合类、财产类信托的报酬率分别为1.64%、0.14%、0.31%。假设未来年度各类信托业务报酬率不变，据此预测xx信托未来年度信托手续费及佣金收入数据下表所示。</w:t>
      </w:r>
    </w:p>
    <w:tbl>
      <w:tblPr>
        <w:tblW w:w="5000" w:type="pct"/>
        <w:jc w:val="right"/>
        <w:tblLook w:val="04A0" w:firstRow="1" w:lastRow="0" w:firstColumn="1" w:lastColumn="0" w:noHBand="0" w:noVBand="1"/>
      </w:tblPr>
      <w:tblGrid>
        <w:gridCol w:w="1108"/>
        <w:gridCol w:w="1497"/>
        <w:gridCol w:w="1496"/>
        <w:gridCol w:w="1496"/>
        <w:gridCol w:w="1496"/>
        <w:gridCol w:w="1627"/>
      </w:tblGrid>
      <w:tr w:rsidR="003922A9" w:rsidRPr="003922A9" w14:paraId="53493AC6" w14:textId="77777777" w:rsidTr="003922A9">
        <w:trPr>
          <w:trHeight w:val="270"/>
          <w:tblHeader/>
          <w:jc w:val="right"/>
        </w:trPr>
        <w:tc>
          <w:tcPr>
            <w:tcW w:w="635" w:type="pct"/>
            <w:tcBorders>
              <w:top w:val="single" w:sz="4" w:space="0" w:color="auto"/>
              <w:left w:val="single" w:sz="4" w:space="0" w:color="auto"/>
              <w:bottom w:val="single" w:sz="4" w:space="0" w:color="auto"/>
              <w:right w:val="single" w:sz="4" w:space="0" w:color="auto"/>
            </w:tcBorders>
            <w:vAlign w:val="center"/>
          </w:tcPr>
          <w:p w14:paraId="30648AB3" w14:textId="77777777" w:rsidR="003922A9" w:rsidRPr="003922A9" w:rsidRDefault="003922A9" w:rsidP="003922A9">
            <w:pPr>
              <w:pStyle w:val="13"/>
              <w:ind w:firstLineChars="0" w:firstLine="0"/>
              <w:jc w:val="center"/>
              <w:rPr>
                <w:b/>
                <w:bCs/>
                <w:sz w:val="18"/>
                <w:szCs w:val="18"/>
              </w:rPr>
            </w:pPr>
            <w:r w:rsidRPr="003922A9">
              <w:rPr>
                <w:b/>
                <w:bCs/>
                <w:sz w:val="18"/>
                <w:szCs w:val="18"/>
              </w:rPr>
              <w:t>年份</w:t>
            </w:r>
          </w:p>
        </w:tc>
        <w:tc>
          <w:tcPr>
            <w:tcW w:w="858" w:type="pct"/>
            <w:tcBorders>
              <w:top w:val="single" w:sz="4" w:space="0" w:color="auto"/>
              <w:left w:val="nil"/>
              <w:bottom w:val="single" w:sz="4" w:space="0" w:color="auto"/>
              <w:right w:val="single" w:sz="4" w:space="0" w:color="auto"/>
            </w:tcBorders>
            <w:vAlign w:val="center"/>
          </w:tcPr>
          <w:p w14:paraId="1C29CD12" w14:textId="77777777" w:rsidR="003922A9" w:rsidRPr="003922A9" w:rsidRDefault="003922A9" w:rsidP="003922A9">
            <w:pPr>
              <w:pStyle w:val="13"/>
              <w:ind w:firstLineChars="0" w:firstLine="0"/>
              <w:jc w:val="center"/>
              <w:rPr>
                <w:b/>
                <w:bCs/>
                <w:sz w:val="18"/>
                <w:szCs w:val="18"/>
              </w:rPr>
            </w:pPr>
            <w:r w:rsidRPr="003922A9">
              <w:rPr>
                <w:b/>
                <w:bCs/>
                <w:sz w:val="18"/>
                <w:szCs w:val="18"/>
              </w:rPr>
              <w:t>20x4年</w:t>
            </w:r>
          </w:p>
        </w:tc>
        <w:tc>
          <w:tcPr>
            <w:tcW w:w="858" w:type="pct"/>
            <w:tcBorders>
              <w:top w:val="single" w:sz="4" w:space="0" w:color="auto"/>
              <w:left w:val="nil"/>
              <w:bottom w:val="single" w:sz="4" w:space="0" w:color="auto"/>
              <w:right w:val="single" w:sz="4" w:space="0" w:color="auto"/>
            </w:tcBorders>
            <w:vAlign w:val="center"/>
          </w:tcPr>
          <w:p w14:paraId="0AACEF6D" w14:textId="77777777" w:rsidR="003922A9" w:rsidRPr="003922A9" w:rsidRDefault="003922A9" w:rsidP="003922A9">
            <w:pPr>
              <w:pStyle w:val="13"/>
              <w:ind w:firstLineChars="0" w:firstLine="0"/>
              <w:jc w:val="center"/>
              <w:rPr>
                <w:b/>
                <w:bCs/>
                <w:sz w:val="18"/>
                <w:szCs w:val="18"/>
              </w:rPr>
            </w:pPr>
            <w:r w:rsidRPr="003922A9">
              <w:rPr>
                <w:b/>
                <w:bCs/>
                <w:sz w:val="18"/>
                <w:szCs w:val="18"/>
              </w:rPr>
              <w:t>20x5年</w:t>
            </w:r>
          </w:p>
        </w:tc>
        <w:tc>
          <w:tcPr>
            <w:tcW w:w="858" w:type="pct"/>
            <w:tcBorders>
              <w:top w:val="single" w:sz="4" w:space="0" w:color="auto"/>
              <w:left w:val="nil"/>
              <w:bottom w:val="single" w:sz="4" w:space="0" w:color="auto"/>
              <w:right w:val="single" w:sz="4" w:space="0" w:color="auto"/>
            </w:tcBorders>
            <w:vAlign w:val="center"/>
          </w:tcPr>
          <w:p w14:paraId="2769F1CE" w14:textId="77777777" w:rsidR="003922A9" w:rsidRPr="003922A9" w:rsidRDefault="003922A9" w:rsidP="003922A9">
            <w:pPr>
              <w:pStyle w:val="13"/>
              <w:ind w:firstLineChars="0" w:firstLine="0"/>
              <w:jc w:val="center"/>
              <w:rPr>
                <w:b/>
                <w:bCs/>
                <w:sz w:val="18"/>
                <w:szCs w:val="18"/>
              </w:rPr>
            </w:pPr>
            <w:r w:rsidRPr="003922A9">
              <w:rPr>
                <w:b/>
                <w:bCs/>
                <w:sz w:val="18"/>
                <w:szCs w:val="18"/>
              </w:rPr>
              <w:t>20x6年</w:t>
            </w:r>
          </w:p>
        </w:tc>
        <w:tc>
          <w:tcPr>
            <w:tcW w:w="858" w:type="pct"/>
            <w:tcBorders>
              <w:top w:val="single" w:sz="4" w:space="0" w:color="auto"/>
              <w:left w:val="nil"/>
              <w:bottom w:val="single" w:sz="4" w:space="0" w:color="auto"/>
              <w:right w:val="single" w:sz="4" w:space="0" w:color="auto"/>
            </w:tcBorders>
            <w:vAlign w:val="center"/>
          </w:tcPr>
          <w:p w14:paraId="266E3112" w14:textId="77777777" w:rsidR="003922A9" w:rsidRPr="003922A9" w:rsidRDefault="003922A9" w:rsidP="003922A9">
            <w:pPr>
              <w:pStyle w:val="13"/>
              <w:ind w:firstLineChars="0" w:firstLine="0"/>
              <w:jc w:val="center"/>
              <w:rPr>
                <w:b/>
                <w:bCs/>
                <w:sz w:val="18"/>
                <w:szCs w:val="18"/>
              </w:rPr>
            </w:pPr>
            <w:r w:rsidRPr="003922A9">
              <w:rPr>
                <w:b/>
                <w:bCs/>
                <w:sz w:val="18"/>
                <w:szCs w:val="18"/>
              </w:rPr>
              <w:t>20x7年</w:t>
            </w:r>
          </w:p>
        </w:tc>
        <w:tc>
          <w:tcPr>
            <w:tcW w:w="933" w:type="pct"/>
            <w:tcBorders>
              <w:top w:val="single" w:sz="4" w:space="0" w:color="auto"/>
              <w:left w:val="nil"/>
              <w:bottom w:val="single" w:sz="4" w:space="0" w:color="auto"/>
              <w:right w:val="single" w:sz="4" w:space="0" w:color="auto"/>
            </w:tcBorders>
            <w:vAlign w:val="center"/>
          </w:tcPr>
          <w:p w14:paraId="6C5D5315" w14:textId="77777777" w:rsidR="003922A9" w:rsidRPr="003922A9" w:rsidRDefault="003922A9" w:rsidP="003922A9">
            <w:pPr>
              <w:pStyle w:val="13"/>
              <w:ind w:firstLineChars="0" w:firstLine="0"/>
              <w:jc w:val="center"/>
              <w:rPr>
                <w:b/>
                <w:bCs/>
                <w:sz w:val="18"/>
                <w:szCs w:val="18"/>
              </w:rPr>
            </w:pPr>
            <w:r w:rsidRPr="003922A9">
              <w:rPr>
                <w:b/>
                <w:bCs/>
                <w:sz w:val="18"/>
                <w:szCs w:val="18"/>
              </w:rPr>
              <w:t>20x8年</w:t>
            </w:r>
          </w:p>
        </w:tc>
      </w:tr>
      <w:tr w:rsidR="003922A9" w:rsidRPr="003922A9" w14:paraId="2190EBDF" w14:textId="77777777" w:rsidTr="003922A9">
        <w:trPr>
          <w:trHeight w:val="270"/>
          <w:jc w:val="right"/>
        </w:trPr>
        <w:tc>
          <w:tcPr>
            <w:tcW w:w="635" w:type="pct"/>
            <w:tcBorders>
              <w:top w:val="single" w:sz="4" w:space="0" w:color="auto"/>
              <w:left w:val="single" w:sz="4" w:space="0" w:color="auto"/>
              <w:bottom w:val="single" w:sz="4" w:space="0" w:color="auto"/>
              <w:right w:val="single" w:sz="4" w:space="0" w:color="auto"/>
            </w:tcBorders>
            <w:vAlign w:val="center"/>
          </w:tcPr>
          <w:p w14:paraId="3B60985E" w14:textId="77777777" w:rsidR="003922A9" w:rsidRPr="003922A9" w:rsidRDefault="003922A9" w:rsidP="003922A9">
            <w:pPr>
              <w:pStyle w:val="13"/>
              <w:ind w:firstLineChars="0" w:firstLine="0"/>
              <w:jc w:val="center"/>
              <w:rPr>
                <w:b/>
                <w:bCs/>
                <w:sz w:val="18"/>
                <w:szCs w:val="18"/>
              </w:rPr>
            </w:pPr>
            <w:r w:rsidRPr="003922A9">
              <w:rPr>
                <w:b/>
                <w:bCs/>
                <w:sz w:val="18"/>
                <w:szCs w:val="18"/>
              </w:rPr>
              <w:t>集合类</w:t>
            </w:r>
          </w:p>
        </w:tc>
        <w:tc>
          <w:tcPr>
            <w:tcW w:w="858" w:type="pct"/>
            <w:tcBorders>
              <w:top w:val="single" w:sz="4" w:space="0" w:color="auto"/>
              <w:left w:val="single" w:sz="4" w:space="0" w:color="auto"/>
              <w:bottom w:val="single" w:sz="4" w:space="0" w:color="auto"/>
              <w:right w:val="single" w:sz="4" w:space="0" w:color="auto"/>
            </w:tcBorders>
            <w:vAlign w:val="center"/>
          </w:tcPr>
          <w:p w14:paraId="03C23135" w14:textId="77777777" w:rsidR="003922A9" w:rsidRPr="003922A9" w:rsidRDefault="003922A9" w:rsidP="003922A9">
            <w:pPr>
              <w:pStyle w:val="13"/>
              <w:ind w:firstLineChars="0" w:firstLine="0"/>
              <w:jc w:val="right"/>
              <w:rPr>
                <w:sz w:val="18"/>
                <w:szCs w:val="18"/>
              </w:rPr>
            </w:pPr>
            <w:r w:rsidRPr="003922A9">
              <w:rPr>
                <w:sz w:val="18"/>
                <w:szCs w:val="18"/>
              </w:rPr>
              <w:t xml:space="preserve">15,443.92 </w:t>
            </w:r>
          </w:p>
        </w:tc>
        <w:tc>
          <w:tcPr>
            <w:tcW w:w="858" w:type="pct"/>
            <w:tcBorders>
              <w:top w:val="single" w:sz="4" w:space="0" w:color="auto"/>
              <w:left w:val="single" w:sz="4" w:space="0" w:color="auto"/>
              <w:bottom w:val="single" w:sz="4" w:space="0" w:color="auto"/>
              <w:right w:val="single" w:sz="4" w:space="0" w:color="auto"/>
            </w:tcBorders>
            <w:vAlign w:val="center"/>
          </w:tcPr>
          <w:p w14:paraId="4BE676AD" w14:textId="77777777" w:rsidR="003922A9" w:rsidRPr="003922A9" w:rsidRDefault="003922A9" w:rsidP="003922A9">
            <w:pPr>
              <w:pStyle w:val="13"/>
              <w:ind w:firstLineChars="0" w:firstLine="0"/>
              <w:jc w:val="right"/>
              <w:rPr>
                <w:sz w:val="18"/>
                <w:szCs w:val="18"/>
              </w:rPr>
            </w:pPr>
            <w:r w:rsidRPr="003922A9">
              <w:rPr>
                <w:sz w:val="18"/>
                <w:szCs w:val="18"/>
              </w:rPr>
              <w:t xml:space="preserve">18,759.72 </w:t>
            </w:r>
          </w:p>
        </w:tc>
        <w:tc>
          <w:tcPr>
            <w:tcW w:w="858" w:type="pct"/>
            <w:tcBorders>
              <w:top w:val="single" w:sz="4" w:space="0" w:color="auto"/>
              <w:left w:val="single" w:sz="4" w:space="0" w:color="auto"/>
              <w:bottom w:val="single" w:sz="4" w:space="0" w:color="auto"/>
              <w:right w:val="single" w:sz="4" w:space="0" w:color="auto"/>
            </w:tcBorders>
            <w:vAlign w:val="center"/>
          </w:tcPr>
          <w:p w14:paraId="63639C11" w14:textId="77777777" w:rsidR="003922A9" w:rsidRPr="003922A9" w:rsidRDefault="003922A9" w:rsidP="003922A9">
            <w:pPr>
              <w:pStyle w:val="13"/>
              <w:ind w:firstLineChars="0" w:firstLine="0"/>
              <w:jc w:val="right"/>
              <w:rPr>
                <w:sz w:val="18"/>
                <w:szCs w:val="18"/>
              </w:rPr>
            </w:pPr>
            <w:r w:rsidRPr="003922A9">
              <w:rPr>
                <w:sz w:val="18"/>
                <w:szCs w:val="18"/>
              </w:rPr>
              <w:t xml:space="preserve">21,416.10 </w:t>
            </w:r>
          </w:p>
        </w:tc>
        <w:tc>
          <w:tcPr>
            <w:tcW w:w="858" w:type="pct"/>
            <w:tcBorders>
              <w:top w:val="single" w:sz="4" w:space="0" w:color="auto"/>
              <w:left w:val="single" w:sz="4" w:space="0" w:color="auto"/>
              <w:bottom w:val="single" w:sz="4" w:space="0" w:color="auto"/>
              <w:right w:val="single" w:sz="4" w:space="0" w:color="auto"/>
            </w:tcBorders>
            <w:vAlign w:val="center"/>
          </w:tcPr>
          <w:p w14:paraId="7F67347A" w14:textId="77777777" w:rsidR="003922A9" w:rsidRPr="003922A9" w:rsidRDefault="003922A9" w:rsidP="003922A9">
            <w:pPr>
              <w:pStyle w:val="13"/>
              <w:ind w:firstLineChars="0" w:firstLine="0"/>
              <w:jc w:val="right"/>
              <w:rPr>
                <w:sz w:val="18"/>
                <w:szCs w:val="18"/>
              </w:rPr>
            </w:pPr>
            <w:r w:rsidRPr="003922A9">
              <w:rPr>
                <w:sz w:val="18"/>
                <w:szCs w:val="18"/>
              </w:rPr>
              <w:t xml:space="preserve">22,266.32 </w:t>
            </w:r>
          </w:p>
        </w:tc>
        <w:tc>
          <w:tcPr>
            <w:tcW w:w="933" w:type="pct"/>
            <w:tcBorders>
              <w:top w:val="single" w:sz="4" w:space="0" w:color="auto"/>
              <w:left w:val="single" w:sz="4" w:space="0" w:color="auto"/>
              <w:bottom w:val="single" w:sz="4" w:space="0" w:color="auto"/>
              <w:right w:val="single" w:sz="4" w:space="0" w:color="auto"/>
            </w:tcBorders>
            <w:vAlign w:val="center"/>
          </w:tcPr>
          <w:p w14:paraId="355539A3" w14:textId="77777777" w:rsidR="003922A9" w:rsidRPr="003922A9" w:rsidRDefault="003922A9" w:rsidP="003922A9">
            <w:pPr>
              <w:pStyle w:val="13"/>
              <w:ind w:firstLineChars="0" w:firstLine="0"/>
              <w:jc w:val="right"/>
              <w:rPr>
                <w:sz w:val="18"/>
                <w:szCs w:val="18"/>
              </w:rPr>
            </w:pPr>
            <w:r w:rsidRPr="003922A9">
              <w:rPr>
                <w:sz w:val="18"/>
                <w:szCs w:val="18"/>
              </w:rPr>
              <w:t xml:space="preserve">22,707.19 </w:t>
            </w:r>
          </w:p>
        </w:tc>
      </w:tr>
      <w:tr w:rsidR="003922A9" w:rsidRPr="003922A9" w14:paraId="4863452A" w14:textId="77777777" w:rsidTr="003922A9">
        <w:trPr>
          <w:trHeight w:val="270"/>
          <w:jc w:val="right"/>
        </w:trPr>
        <w:tc>
          <w:tcPr>
            <w:tcW w:w="635" w:type="pct"/>
            <w:tcBorders>
              <w:top w:val="single" w:sz="4" w:space="0" w:color="auto"/>
              <w:left w:val="single" w:sz="4" w:space="0" w:color="auto"/>
              <w:bottom w:val="single" w:sz="4" w:space="0" w:color="auto"/>
              <w:right w:val="single" w:sz="4" w:space="0" w:color="auto"/>
            </w:tcBorders>
            <w:vAlign w:val="center"/>
          </w:tcPr>
          <w:p w14:paraId="4FB592B1" w14:textId="77777777" w:rsidR="003922A9" w:rsidRPr="003922A9" w:rsidRDefault="003922A9" w:rsidP="003922A9">
            <w:pPr>
              <w:pStyle w:val="13"/>
              <w:ind w:firstLineChars="0" w:firstLine="0"/>
              <w:jc w:val="center"/>
              <w:rPr>
                <w:b/>
                <w:bCs/>
                <w:sz w:val="18"/>
                <w:szCs w:val="18"/>
              </w:rPr>
            </w:pPr>
            <w:r w:rsidRPr="003922A9">
              <w:rPr>
                <w:b/>
                <w:bCs/>
                <w:sz w:val="18"/>
                <w:szCs w:val="18"/>
              </w:rPr>
              <w:lastRenderedPageBreak/>
              <w:t>单一类</w:t>
            </w:r>
          </w:p>
        </w:tc>
        <w:tc>
          <w:tcPr>
            <w:tcW w:w="858" w:type="pct"/>
            <w:tcBorders>
              <w:top w:val="single" w:sz="4" w:space="0" w:color="auto"/>
              <w:left w:val="nil"/>
              <w:bottom w:val="single" w:sz="4" w:space="0" w:color="auto"/>
              <w:right w:val="single" w:sz="4" w:space="0" w:color="auto"/>
            </w:tcBorders>
            <w:vAlign w:val="center"/>
          </w:tcPr>
          <w:p w14:paraId="03C9717D" w14:textId="77777777" w:rsidR="003922A9" w:rsidRPr="003922A9" w:rsidRDefault="003922A9" w:rsidP="003922A9">
            <w:pPr>
              <w:pStyle w:val="13"/>
              <w:ind w:firstLineChars="0" w:firstLine="0"/>
              <w:jc w:val="right"/>
              <w:rPr>
                <w:sz w:val="18"/>
                <w:szCs w:val="18"/>
              </w:rPr>
            </w:pPr>
            <w:r w:rsidRPr="003922A9">
              <w:rPr>
                <w:sz w:val="18"/>
                <w:szCs w:val="18"/>
              </w:rPr>
              <w:t xml:space="preserve">21,119.45 </w:t>
            </w:r>
          </w:p>
        </w:tc>
        <w:tc>
          <w:tcPr>
            <w:tcW w:w="858" w:type="pct"/>
            <w:tcBorders>
              <w:top w:val="single" w:sz="4" w:space="0" w:color="auto"/>
              <w:left w:val="nil"/>
              <w:bottom w:val="single" w:sz="4" w:space="0" w:color="auto"/>
              <w:right w:val="single" w:sz="4" w:space="0" w:color="auto"/>
            </w:tcBorders>
            <w:vAlign w:val="center"/>
          </w:tcPr>
          <w:p w14:paraId="62136C13" w14:textId="77777777" w:rsidR="003922A9" w:rsidRPr="003922A9" w:rsidRDefault="003922A9" w:rsidP="003922A9">
            <w:pPr>
              <w:pStyle w:val="13"/>
              <w:ind w:firstLineChars="0" w:firstLine="0"/>
              <w:jc w:val="right"/>
              <w:rPr>
                <w:sz w:val="18"/>
                <w:szCs w:val="18"/>
              </w:rPr>
            </w:pPr>
            <w:r w:rsidRPr="003922A9">
              <w:rPr>
                <w:sz w:val="18"/>
                <w:szCs w:val="18"/>
              </w:rPr>
              <w:t xml:space="preserve">25,653.80 </w:t>
            </w:r>
          </w:p>
        </w:tc>
        <w:tc>
          <w:tcPr>
            <w:tcW w:w="858" w:type="pct"/>
            <w:tcBorders>
              <w:top w:val="single" w:sz="4" w:space="0" w:color="auto"/>
              <w:left w:val="nil"/>
              <w:bottom w:val="single" w:sz="4" w:space="0" w:color="auto"/>
              <w:right w:val="single" w:sz="4" w:space="0" w:color="auto"/>
            </w:tcBorders>
            <w:vAlign w:val="center"/>
          </w:tcPr>
          <w:p w14:paraId="1E26006D" w14:textId="77777777" w:rsidR="003922A9" w:rsidRPr="003922A9" w:rsidRDefault="003922A9" w:rsidP="003922A9">
            <w:pPr>
              <w:pStyle w:val="13"/>
              <w:ind w:firstLineChars="0" w:firstLine="0"/>
              <w:jc w:val="right"/>
              <w:rPr>
                <w:sz w:val="18"/>
                <w:szCs w:val="18"/>
              </w:rPr>
            </w:pPr>
            <w:r w:rsidRPr="003922A9">
              <w:rPr>
                <w:sz w:val="18"/>
                <w:szCs w:val="18"/>
              </w:rPr>
              <w:t xml:space="preserve">29,286.37 </w:t>
            </w:r>
          </w:p>
        </w:tc>
        <w:tc>
          <w:tcPr>
            <w:tcW w:w="858" w:type="pct"/>
            <w:tcBorders>
              <w:top w:val="single" w:sz="4" w:space="0" w:color="auto"/>
              <w:left w:val="nil"/>
              <w:bottom w:val="single" w:sz="4" w:space="0" w:color="auto"/>
              <w:right w:val="single" w:sz="4" w:space="0" w:color="auto"/>
            </w:tcBorders>
            <w:vAlign w:val="center"/>
          </w:tcPr>
          <w:p w14:paraId="32EB222D" w14:textId="77777777" w:rsidR="003922A9" w:rsidRPr="003922A9" w:rsidRDefault="003922A9" w:rsidP="003922A9">
            <w:pPr>
              <w:pStyle w:val="13"/>
              <w:ind w:firstLineChars="0" w:firstLine="0"/>
              <w:jc w:val="right"/>
              <w:rPr>
                <w:sz w:val="18"/>
                <w:szCs w:val="18"/>
              </w:rPr>
            </w:pPr>
            <w:r w:rsidRPr="003922A9">
              <w:rPr>
                <w:sz w:val="18"/>
                <w:szCs w:val="18"/>
              </w:rPr>
              <w:t xml:space="preserve">30,449.04 </w:t>
            </w:r>
          </w:p>
        </w:tc>
        <w:tc>
          <w:tcPr>
            <w:tcW w:w="933" w:type="pct"/>
            <w:tcBorders>
              <w:top w:val="single" w:sz="4" w:space="0" w:color="auto"/>
              <w:left w:val="nil"/>
              <w:bottom w:val="single" w:sz="4" w:space="0" w:color="auto"/>
              <w:right w:val="single" w:sz="4" w:space="0" w:color="auto"/>
            </w:tcBorders>
            <w:vAlign w:val="center"/>
          </w:tcPr>
          <w:p w14:paraId="018AE441" w14:textId="77777777" w:rsidR="003922A9" w:rsidRPr="003922A9" w:rsidRDefault="003922A9" w:rsidP="003922A9">
            <w:pPr>
              <w:pStyle w:val="13"/>
              <w:ind w:firstLineChars="0" w:firstLine="0"/>
              <w:jc w:val="right"/>
              <w:rPr>
                <w:sz w:val="18"/>
                <w:szCs w:val="18"/>
              </w:rPr>
            </w:pPr>
            <w:r w:rsidRPr="003922A9">
              <w:rPr>
                <w:sz w:val="18"/>
                <w:szCs w:val="18"/>
              </w:rPr>
              <w:t xml:space="preserve"> 31,051.93 </w:t>
            </w:r>
          </w:p>
        </w:tc>
      </w:tr>
      <w:tr w:rsidR="003922A9" w:rsidRPr="003922A9" w14:paraId="37149AE7" w14:textId="77777777" w:rsidTr="003922A9">
        <w:trPr>
          <w:trHeight w:val="270"/>
          <w:jc w:val="right"/>
        </w:trPr>
        <w:tc>
          <w:tcPr>
            <w:tcW w:w="635" w:type="pct"/>
            <w:tcBorders>
              <w:top w:val="nil"/>
              <w:left w:val="single" w:sz="4" w:space="0" w:color="auto"/>
              <w:bottom w:val="single" w:sz="4" w:space="0" w:color="auto"/>
              <w:right w:val="single" w:sz="4" w:space="0" w:color="auto"/>
            </w:tcBorders>
            <w:vAlign w:val="center"/>
          </w:tcPr>
          <w:p w14:paraId="236134E7" w14:textId="77777777" w:rsidR="003922A9" w:rsidRPr="003922A9" w:rsidRDefault="003922A9" w:rsidP="003922A9">
            <w:pPr>
              <w:pStyle w:val="13"/>
              <w:ind w:firstLineChars="0" w:firstLine="0"/>
              <w:jc w:val="center"/>
              <w:rPr>
                <w:b/>
                <w:bCs/>
                <w:sz w:val="18"/>
                <w:szCs w:val="18"/>
              </w:rPr>
            </w:pPr>
            <w:r w:rsidRPr="003922A9">
              <w:rPr>
                <w:b/>
                <w:bCs/>
                <w:sz w:val="18"/>
                <w:szCs w:val="18"/>
              </w:rPr>
              <w:t>财产类</w:t>
            </w:r>
          </w:p>
        </w:tc>
        <w:tc>
          <w:tcPr>
            <w:tcW w:w="858" w:type="pct"/>
            <w:tcBorders>
              <w:top w:val="nil"/>
              <w:left w:val="nil"/>
              <w:bottom w:val="single" w:sz="4" w:space="0" w:color="auto"/>
              <w:right w:val="single" w:sz="4" w:space="0" w:color="auto"/>
            </w:tcBorders>
            <w:vAlign w:val="center"/>
          </w:tcPr>
          <w:p w14:paraId="63373C49" w14:textId="77777777" w:rsidR="003922A9" w:rsidRPr="003922A9" w:rsidRDefault="003922A9" w:rsidP="003922A9">
            <w:pPr>
              <w:pStyle w:val="13"/>
              <w:ind w:firstLineChars="0" w:firstLine="0"/>
              <w:jc w:val="right"/>
              <w:rPr>
                <w:sz w:val="18"/>
                <w:szCs w:val="18"/>
              </w:rPr>
            </w:pPr>
            <w:r w:rsidRPr="003922A9">
              <w:rPr>
                <w:sz w:val="18"/>
                <w:szCs w:val="18"/>
              </w:rPr>
              <w:t xml:space="preserve">3,851.26 </w:t>
            </w:r>
          </w:p>
        </w:tc>
        <w:tc>
          <w:tcPr>
            <w:tcW w:w="858" w:type="pct"/>
            <w:tcBorders>
              <w:top w:val="nil"/>
              <w:left w:val="nil"/>
              <w:bottom w:val="single" w:sz="4" w:space="0" w:color="auto"/>
              <w:right w:val="single" w:sz="4" w:space="0" w:color="auto"/>
            </w:tcBorders>
            <w:vAlign w:val="center"/>
          </w:tcPr>
          <w:p w14:paraId="5910A977" w14:textId="77777777" w:rsidR="003922A9" w:rsidRPr="003922A9" w:rsidRDefault="003922A9" w:rsidP="003922A9">
            <w:pPr>
              <w:pStyle w:val="13"/>
              <w:ind w:firstLineChars="0" w:firstLine="0"/>
              <w:jc w:val="right"/>
              <w:rPr>
                <w:sz w:val="18"/>
                <w:szCs w:val="18"/>
              </w:rPr>
            </w:pPr>
            <w:r w:rsidRPr="003922A9">
              <w:rPr>
                <w:sz w:val="18"/>
                <w:szCs w:val="18"/>
              </w:rPr>
              <w:t xml:space="preserve">4,678.13 </w:t>
            </w:r>
          </w:p>
        </w:tc>
        <w:tc>
          <w:tcPr>
            <w:tcW w:w="858" w:type="pct"/>
            <w:tcBorders>
              <w:top w:val="nil"/>
              <w:left w:val="nil"/>
              <w:bottom w:val="single" w:sz="4" w:space="0" w:color="auto"/>
              <w:right w:val="single" w:sz="4" w:space="0" w:color="auto"/>
            </w:tcBorders>
            <w:vAlign w:val="center"/>
          </w:tcPr>
          <w:p w14:paraId="6F42181D" w14:textId="77777777" w:rsidR="003922A9" w:rsidRPr="003922A9" w:rsidRDefault="003922A9" w:rsidP="003922A9">
            <w:pPr>
              <w:pStyle w:val="13"/>
              <w:ind w:firstLineChars="0" w:firstLine="0"/>
              <w:jc w:val="right"/>
              <w:rPr>
                <w:sz w:val="18"/>
                <w:szCs w:val="18"/>
              </w:rPr>
            </w:pPr>
            <w:r w:rsidRPr="003922A9">
              <w:rPr>
                <w:sz w:val="18"/>
                <w:szCs w:val="18"/>
              </w:rPr>
              <w:t xml:space="preserve">5,340.55 </w:t>
            </w:r>
          </w:p>
        </w:tc>
        <w:tc>
          <w:tcPr>
            <w:tcW w:w="858" w:type="pct"/>
            <w:tcBorders>
              <w:top w:val="nil"/>
              <w:left w:val="nil"/>
              <w:bottom w:val="single" w:sz="4" w:space="0" w:color="auto"/>
              <w:right w:val="single" w:sz="4" w:space="0" w:color="auto"/>
            </w:tcBorders>
            <w:vAlign w:val="center"/>
          </w:tcPr>
          <w:p w14:paraId="55A4013A" w14:textId="77777777" w:rsidR="003922A9" w:rsidRPr="003922A9" w:rsidRDefault="003922A9" w:rsidP="003922A9">
            <w:pPr>
              <w:pStyle w:val="13"/>
              <w:ind w:firstLineChars="0" w:firstLine="0"/>
              <w:jc w:val="right"/>
              <w:rPr>
                <w:sz w:val="18"/>
                <w:szCs w:val="18"/>
              </w:rPr>
            </w:pPr>
            <w:r w:rsidRPr="003922A9">
              <w:rPr>
                <w:sz w:val="18"/>
                <w:szCs w:val="18"/>
              </w:rPr>
              <w:t xml:space="preserve">5,552.57 </w:t>
            </w:r>
          </w:p>
        </w:tc>
        <w:tc>
          <w:tcPr>
            <w:tcW w:w="933" w:type="pct"/>
            <w:tcBorders>
              <w:top w:val="nil"/>
              <w:left w:val="nil"/>
              <w:bottom w:val="single" w:sz="4" w:space="0" w:color="auto"/>
              <w:right w:val="single" w:sz="4" w:space="0" w:color="auto"/>
            </w:tcBorders>
            <w:vAlign w:val="center"/>
          </w:tcPr>
          <w:p w14:paraId="0FCFEF1B" w14:textId="77777777" w:rsidR="003922A9" w:rsidRPr="003922A9" w:rsidRDefault="003922A9" w:rsidP="003922A9">
            <w:pPr>
              <w:pStyle w:val="13"/>
              <w:ind w:firstLineChars="0" w:firstLine="0"/>
              <w:jc w:val="right"/>
              <w:rPr>
                <w:sz w:val="18"/>
                <w:szCs w:val="18"/>
              </w:rPr>
            </w:pPr>
            <w:r w:rsidRPr="003922A9">
              <w:rPr>
                <w:sz w:val="18"/>
                <w:szCs w:val="18"/>
              </w:rPr>
              <w:t xml:space="preserve">5,662.51 </w:t>
            </w:r>
          </w:p>
        </w:tc>
      </w:tr>
      <w:tr w:rsidR="003922A9" w:rsidRPr="003922A9" w14:paraId="21DC367C" w14:textId="77777777" w:rsidTr="003922A9">
        <w:trPr>
          <w:trHeight w:val="270"/>
          <w:jc w:val="right"/>
        </w:trPr>
        <w:tc>
          <w:tcPr>
            <w:tcW w:w="635" w:type="pct"/>
            <w:tcBorders>
              <w:top w:val="nil"/>
              <w:left w:val="single" w:sz="4" w:space="0" w:color="auto"/>
              <w:bottom w:val="single" w:sz="4" w:space="0" w:color="auto"/>
              <w:right w:val="single" w:sz="4" w:space="0" w:color="auto"/>
            </w:tcBorders>
            <w:vAlign w:val="center"/>
          </w:tcPr>
          <w:p w14:paraId="2C875D52" w14:textId="77777777" w:rsidR="003922A9" w:rsidRPr="003922A9" w:rsidRDefault="003922A9" w:rsidP="003922A9">
            <w:pPr>
              <w:pStyle w:val="13"/>
              <w:ind w:firstLineChars="0" w:firstLine="0"/>
              <w:jc w:val="center"/>
              <w:rPr>
                <w:b/>
                <w:bCs/>
                <w:sz w:val="18"/>
                <w:szCs w:val="18"/>
              </w:rPr>
            </w:pPr>
            <w:r w:rsidRPr="003922A9">
              <w:rPr>
                <w:b/>
                <w:bCs/>
                <w:sz w:val="18"/>
                <w:szCs w:val="18"/>
              </w:rPr>
              <w:t>合计</w:t>
            </w:r>
          </w:p>
        </w:tc>
        <w:tc>
          <w:tcPr>
            <w:tcW w:w="858" w:type="pct"/>
            <w:tcBorders>
              <w:top w:val="nil"/>
              <w:left w:val="nil"/>
              <w:bottom w:val="single" w:sz="4" w:space="0" w:color="auto"/>
              <w:right w:val="single" w:sz="4" w:space="0" w:color="auto"/>
            </w:tcBorders>
            <w:vAlign w:val="center"/>
          </w:tcPr>
          <w:p w14:paraId="6013DE9D" w14:textId="77777777" w:rsidR="003922A9" w:rsidRPr="003922A9" w:rsidRDefault="003922A9" w:rsidP="003922A9">
            <w:pPr>
              <w:pStyle w:val="13"/>
              <w:ind w:firstLineChars="0" w:firstLine="0"/>
              <w:jc w:val="right"/>
              <w:rPr>
                <w:sz w:val="18"/>
                <w:szCs w:val="18"/>
              </w:rPr>
            </w:pPr>
            <w:r w:rsidRPr="003922A9">
              <w:rPr>
                <w:sz w:val="18"/>
                <w:szCs w:val="18"/>
              </w:rPr>
              <w:t xml:space="preserve">40,414.63 </w:t>
            </w:r>
          </w:p>
        </w:tc>
        <w:tc>
          <w:tcPr>
            <w:tcW w:w="858" w:type="pct"/>
            <w:tcBorders>
              <w:top w:val="nil"/>
              <w:left w:val="nil"/>
              <w:bottom w:val="single" w:sz="4" w:space="0" w:color="auto"/>
              <w:right w:val="single" w:sz="4" w:space="0" w:color="auto"/>
            </w:tcBorders>
            <w:vAlign w:val="center"/>
          </w:tcPr>
          <w:p w14:paraId="75502657" w14:textId="77777777" w:rsidR="003922A9" w:rsidRPr="003922A9" w:rsidRDefault="003922A9" w:rsidP="003922A9">
            <w:pPr>
              <w:pStyle w:val="13"/>
              <w:ind w:firstLineChars="0" w:firstLine="0"/>
              <w:jc w:val="right"/>
              <w:rPr>
                <w:sz w:val="18"/>
                <w:szCs w:val="18"/>
              </w:rPr>
            </w:pPr>
            <w:r w:rsidRPr="003922A9">
              <w:rPr>
                <w:sz w:val="18"/>
                <w:szCs w:val="18"/>
              </w:rPr>
              <w:t xml:space="preserve">49,091.65 </w:t>
            </w:r>
          </w:p>
        </w:tc>
        <w:tc>
          <w:tcPr>
            <w:tcW w:w="858" w:type="pct"/>
            <w:tcBorders>
              <w:top w:val="nil"/>
              <w:left w:val="nil"/>
              <w:bottom w:val="single" w:sz="4" w:space="0" w:color="auto"/>
              <w:right w:val="single" w:sz="4" w:space="0" w:color="auto"/>
            </w:tcBorders>
            <w:vAlign w:val="center"/>
          </w:tcPr>
          <w:p w14:paraId="1EDBDABB" w14:textId="77777777" w:rsidR="003922A9" w:rsidRPr="003922A9" w:rsidRDefault="003922A9" w:rsidP="003922A9">
            <w:pPr>
              <w:pStyle w:val="13"/>
              <w:ind w:firstLineChars="0" w:firstLine="0"/>
              <w:jc w:val="right"/>
              <w:rPr>
                <w:sz w:val="18"/>
                <w:szCs w:val="18"/>
              </w:rPr>
            </w:pPr>
            <w:r w:rsidRPr="003922A9">
              <w:rPr>
                <w:sz w:val="18"/>
                <w:szCs w:val="18"/>
              </w:rPr>
              <w:t xml:space="preserve">56,043.02 </w:t>
            </w:r>
          </w:p>
        </w:tc>
        <w:tc>
          <w:tcPr>
            <w:tcW w:w="858" w:type="pct"/>
            <w:tcBorders>
              <w:top w:val="nil"/>
              <w:left w:val="nil"/>
              <w:bottom w:val="single" w:sz="4" w:space="0" w:color="auto"/>
              <w:right w:val="single" w:sz="4" w:space="0" w:color="auto"/>
            </w:tcBorders>
            <w:vAlign w:val="center"/>
          </w:tcPr>
          <w:p w14:paraId="73630CF9" w14:textId="77777777" w:rsidR="003922A9" w:rsidRPr="003922A9" w:rsidRDefault="003922A9" w:rsidP="003922A9">
            <w:pPr>
              <w:pStyle w:val="13"/>
              <w:ind w:firstLineChars="0" w:firstLine="0"/>
              <w:jc w:val="right"/>
              <w:rPr>
                <w:sz w:val="18"/>
                <w:szCs w:val="18"/>
              </w:rPr>
            </w:pPr>
            <w:r w:rsidRPr="003922A9">
              <w:rPr>
                <w:sz w:val="18"/>
                <w:szCs w:val="18"/>
              </w:rPr>
              <w:t xml:space="preserve">58,267.93 </w:t>
            </w:r>
          </w:p>
        </w:tc>
        <w:tc>
          <w:tcPr>
            <w:tcW w:w="933" w:type="pct"/>
            <w:tcBorders>
              <w:top w:val="nil"/>
              <w:left w:val="nil"/>
              <w:bottom w:val="single" w:sz="4" w:space="0" w:color="auto"/>
              <w:right w:val="single" w:sz="4" w:space="0" w:color="auto"/>
            </w:tcBorders>
            <w:vAlign w:val="center"/>
          </w:tcPr>
          <w:p w14:paraId="39F5B2E1" w14:textId="77777777" w:rsidR="003922A9" w:rsidRPr="003922A9" w:rsidRDefault="003922A9" w:rsidP="003922A9">
            <w:pPr>
              <w:pStyle w:val="13"/>
              <w:ind w:firstLineChars="0" w:firstLine="0"/>
              <w:jc w:val="right"/>
              <w:rPr>
                <w:sz w:val="18"/>
                <w:szCs w:val="18"/>
              </w:rPr>
            </w:pPr>
            <w:r w:rsidRPr="003922A9">
              <w:rPr>
                <w:sz w:val="18"/>
                <w:szCs w:val="18"/>
              </w:rPr>
              <w:t xml:space="preserve">59,421.63 </w:t>
            </w:r>
          </w:p>
        </w:tc>
      </w:tr>
    </w:tbl>
    <w:p w14:paraId="2D140FD5" w14:textId="77777777" w:rsidR="003922A9" w:rsidRPr="003922A9" w:rsidRDefault="003922A9" w:rsidP="003922A9">
      <w:pPr>
        <w:pStyle w:val="ab"/>
        <w:spacing w:before="62" w:after="62"/>
        <w:ind w:firstLine="482"/>
        <w:rPr>
          <w:lang w:val="zh-TW"/>
        </w:rPr>
      </w:pPr>
      <w:r w:rsidRPr="003922A9">
        <w:rPr>
          <w:lang w:val="zh-TW"/>
        </w:rPr>
        <w:t>案例</w:t>
      </w:r>
      <w:r w:rsidRPr="003922A9">
        <w:rPr>
          <w:rFonts w:hint="eastAsia"/>
          <w:lang w:val="zh-TW"/>
        </w:rPr>
        <w:t>七</w:t>
      </w:r>
      <w:r w:rsidRPr="003922A9">
        <w:rPr>
          <w:lang w:val="zh-TW"/>
        </w:rPr>
        <w:t>：</w:t>
      </w:r>
      <w:r w:rsidRPr="003922A9">
        <w:rPr>
          <w:rFonts w:hint="eastAsia"/>
          <w:lang w:val="zh-TW"/>
        </w:rPr>
        <w:t>业务及管理费</w:t>
      </w:r>
      <w:r w:rsidRPr="003922A9">
        <w:rPr>
          <w:lang w:val="zh-TW"/>
        </w:rPr>
        <w:t>预测的合理性分析</w:t>
      </w:r>
    </w:p>
    <w:p w14:paraId="75B0275B" w14:textId="77777777" w:rsidR="003922A9" w:rsidRPr="003922A9" w:rsidRDefault="003922A9" w:rsidP="003922A9">
      <w:pPr>
        <w:pStyle w:val="13"/>
      </w:pPr>
      <w:r w:rsidRPr="003922A9">
        <w:t>xx证券公司业务及管理费包括人员工资薪金、场地及设备租赁费用、日常运营费用、固定资产折旧费、无形资产摊销、业务费用等</w:t>
      </w:r>
      <w:r w:rsidRPr="003922A9">
        <w:rPr>
          <w:rFonts w:hint="eastAsia"/>
        </w:rPr>
        <w:t>。其中，人员工资薪金是可变成本，和绩效挂钩。其他费用支出较为刚性。</w:t>
      </w:r>
      <w:r w:rsidRPr="003922A9">
        <w:t>xx证券设立了资产负债配置决策小组，加强资金平衡分析研究，将成本收入比纳入分支机构和各业务单位绩效考核，提高了投入产出意识，深入组织开展“对标挖潜、增收节支”活动，强力推进营业部“降转退”等措施，全方位控制成本，提高产出。</w:t>
      </w:r>
    </w:p>
    <w:p w14:paraId="01E2CB1E" w14:textId="77777777" w:rsidR="003922A9" w:rsidRPr="003922A9" w:rsidRDefault="003922A9" w:rsidP="003922A9">
      <w:pPr>
        <w:pStyle w:val="13"/>
      </w:pPr>
      <w:r w:rsidRPr="003922A9">
        <w:t>参考xx证券公司历史年度管理费率水平，并结合企业控制成本的措施，预测未来年度业务及管理费。其中，员工成本与员工的招聘计划及平均工资相关；租金支出按全国房租增长率的平均水平确定增长率；业务拓展支出与业务扩张和主营收入存在一定程度的正相关，但会出于税收政策及费用节约的需求占营业收入的比重逐年有所下降直至行业平均水平，行政办公支出与人员增速存在一定程度的正相关，其他各项支出基本保持不变。</w:t>
      </w:r>
    </w:p>
    <w:p w14:paraId="7496F784" w14:textId="77777777" w:rsidR="003922A9" w:rsidRPr="003922A9" w:rsidRDefault="003922A9" w:rsidP="003922A9">
      <w:pPr>
        <w:pStyle w:val="13"/>
      </w:pPr>
      <w:r w:rsidRPr="003922A9">
        <w:t>预测期业务及管理费占营业收入的比重如下表所示。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1017"/>
        <w:gridCol w:w="1015"/>
        <w:gridCol w:w="1015"/>
        <w:gridCol w:w="1015"/>
        <w:gridCol w:w="1015"/>
      </w:tblGrid>
      <w:tr w:rsidR="003922A9" w:rsidRPr="003922A9" w14:paraId="34DC7D29" w14:textId="77777777" w:rsidTr="003922A9">
        <w:trPr>
          <w:trHeight w:val="300"/>
          <w:jc w:val="center"/>
        </w:trPr>
        <w:tc>
          <w:tcPr>
            <w:tcW w:w="2089" w:type="pct"/>
            <w:vAlign w:val="center"/>
          </w:tcPr>
          <w:p w14:paraId="5EA276F1" w14:textId="77777777" w:rsidR="003922A9" w:rsidRPr="003922A9" w:rsidRDefault="003922A9" w:rsidP="003922A9">
            <w:pPr>
              <w:pStyle w:val="13"/>
              <w:ind w:firstLineChars="0" w:firstLine="0"/>
              <w:jc w:val="center"/>
              <w:rPr>
                <w:sz w:val="18"/>
                <w:szCs w:val="18"/>
              </w:rPr>
            </w:pPr>
            <w:r w:rsidRPr="003922A9">
              <w:rPr>
                <w:sz w:val="18"/>
                <w:szCs w:val="18"/>
              </w:rPr>
              <w:t>预测期</w:t>
            </w:r>
          </w:p>
        </w:tc>
        <w:tc>
          <w:tcPr>
            <w:tcW w:w="583" w:type="pct"/>
            <w:vAlign w:val="center"/>
          </w:tcPr>
          <w:p w14:paraId="19B9F35D" w14:textId="77777777" w:rsidR="003922A9" w:rsidRPr="003922A9" w:rsidRDefault="003922A9" w:rsidP="003922A9">
            <w:pPr>
              <w:pStyle w:val="13"/>
              <w:ind w:firstLineChars="0" w:firstLine="0"/>
              <w:jc w:val="center"/>
              <w:rPr>
                <w:sz w:val="18"/>
                <w:szCs w:val="18"/>
              </w:rPr>
            </w:pPr>
            <w:r w:rsidRPr="003922A9">
              <w:rPr>
                <w:sz w:val="18"/>
                <w:szCs w:val="18"/>
              </w:rPr>
              <w:t>20x4</w:t>
            </w:r>
          </w:p>
        </w:tc>
        <w:tc>
          <w:tcPr>
            <w:tcW w:w="582" w:type="pct"/>
            <w:vAlign w:val="center"/>
          </w:tcPr>
          <w:p w14:paraId="0DB9FB46" w14:textId="77777777" w:rsidR="003922A9" w:rsidRPr="003922A9" w:rsidRDefault="003922A9" w:rsidP="003922A9">
            <w:pPr>
              <w:pStyle w:val="13"/>
              <w:ind w:firstLineChars="0" w:firstLine="0"/>
              <w:jc w:val="center"/>
              <w:rPr>
                <w:sz w:val="18"/>
                <w:szCs w:val="18"/>
              </w:rPr>
            </w:pPr>
            <w:r w:rsidRPr="003922A9">
              <w:rPr>
                <w:sz w:val="18"/>
                <w:szCs w:val="18"/>
              </w:rPr>
              <w:t>20x5</w:t>
            </w:r>
          </w:p>
        </w:tc>
        <w:tc>
          <w:tcPr>
            <w:tcW w:w="582" w:type="pct"/>
            <w:vAlign w:val="center"/>
          </w:tcPr>
          <w:p w14:paraId="32E960A8" w14:textId="77777777" w:rsidR="003922A9" w:rsidRPr="003922A9" w:rsidRDefault="003922A9" w:rsidP="003922A9">
            <w:pPr>
              <w:pStyle w:val="13"/>
              <w:ind w:firstLineChars="0" w:firstLine="0"/>
              <w:jc w:val="center"/>
              <w:rPr>
                <w:sz w:val="18"/>
                <w:szCs w:val="18"/>
              </w:rPr>
            </w:pPr>
            <w:r w:rsidRPr="003922A9">
              <w:rPr>
                <w:sz w:val="18"/>
                <w:szCs w:val="18"/>
              </w:rPr>
              <w:t>20x6</w:t>
            </w:r>
          </w:p>
        </w:tc>
        <w:tc>
          <w:tcPr>
            <w:tcW w:w="582" w:type="pct"/>
            <w:vAlign w:val="center"/>
          </w:tcPr>
          <w:p w14:paraId="3E2DD7A9" w14:textId="77777777" w:rsidR="003922A9" w:rsidRPr="003922A9" w:rsidRDefault="003922A9" w:rsidP="003922A9">
            <w:pPr>
              <w:pStyle w:val="13"/>
              <w:ind w:firstLineChars="0" w:firstLine="0"/>
              <w:jc w:val="center"/>
              <w:rPr>
                <w:sz w:val="18"/>
                <w:szCs w:val="18"/>
              </w:rPr>
            </w:pPr>
            <w:r w:rsidRPr="003922A9">
              <w:rPr>
                <w:sz w:val="18"/>
                <w:szCs w:val="18"/>
              </w:rPr>
              <w:t>20x7</w:t>
            </w:r>
          </w:p>
        </w:tc>
        <w:tc>
          <w:tcPr>
            <w:tcW w:w="582" w:type="pct"/>
            <w:vAlign w:val="center"/>
          </w:tcPr>
          <w:p w14:paraId="7FB744EF" w14:textId="77777777" w:rsidR="003922A9" w:rsidRPr="003922A9" w:rsidRDefault="003922A9" w:rsidP="003922A9">
            <w:pPr>
              <w:pStyle w:val="13"/>
              <w:ind w:firstLineChars="0" w:firstLine="0"/>
              <w:jc w:val="center"/>
              <w:rPr>
                <w:sz w:val="18"/>
                <w:szCs w:val="18"/>
              </w:rPr>
            </w:pPr>
            <w:r w:rsidRPr="003922A9">
              <w:rPr>
                <w:sz w:val="18"/>
                <w:szCs w:val="18"/>
              </w:rPr>
              <w:t>20x8</w:t>
            </w:r>
          </w:p>
        </w:tc>
      </w:tr>
      <w:tr w:rsidR="003922A9" w:rsidRPr="003922A9" w14:paraId="0C4FD35E" w14:textId="77777777" w:rsidTr="003922A9">
        <w:trPr>
          <w:trHeight w:val="300"/>
          <w:jc w:val="center"/>
        </w:trPr>
        <w:tc>
          <w:tcPr>
            <w:tcW w:w="2089" w:type="pct"/>
            <w:vAlign w:val="center"/>
          </w:tcPr>
          <w:p w14:paraId="09BA5CF3" w14:textId="77777777" w:rsidR="003922A9" w:rsidRPr="003922A9" w:rsidRDefault="003922A9" w:rsidP="003922A9">
            <w:pPr>
              <w:pStyle w:val="13"/>
              <w:ind w:firstLineChars="0" w:firstLine="0"/>
              <w:jc w:val="center"/>
              <w:rPr>
                <w:sz w:val="18"/>
                <w:szCs w:val="18"/>
              </w:rPr>
            </w:pPr>
            <w:r w:rsidRPr="003922A9">
              <w:rPr>
                <w:sz w:val="18"/>
                <w:szCs w:val="18"/>
              </w:rPr>
              <w:t>业务及管理费/营业收入</w:t>
            </w:r>
          </w:p>
        </w:tc>
        <w:tc>
          <w:tcPr>
            <w:tcW w:w="583" w:type="pct"/>
            <w:vAlign w:val="center"/>
          </w:tcPr>
          <w:p w14:paraId="4D8C7B97" w14:textId="77777777" w:rsidR="003922A9" w:rsidRPr="003922A9" w:rsidRDefault="003922A9" w:rsidP="003922A9">
            <w:pPr>
              <w:pStyle w:val="13"/>
              <w:ind w:firstLineChars="0" w:firstLine="0"/>
              <w:jc w:val="right"/>
              <w:rPr>
                <w:sz w:val="18"/>
                <w:szCs w:val="18"/>
              </w:rPr>
            </w:pPr>
            <w:r w:rsidRPr="003922A9">
              <w:rPr>
                <w:sz w:val="18"/>
                <w:szCs w:val="18"/>
              </w:rPr>
              <w:t>61%</w:t>
            </w:r>
          </w:p>
        </w:tc>
        <w:tc>
          <w:tcPr>
            <w:tcW w:w="582" w:type="pct"/>
            <w:vAlign w:val="center"/>
          </w:tcPr>
          <w:p w14:paraId="216E3B3B" w14:textId="77777777" w:rsidR="003922A9" w:rsidRPr="003922A9" w:rsidRDefault="003922A9" w:rsidP="003922A9">
            <w:pPr>
              <w:pStyle w:val="13"/>
              <w:ind w:firstLineChars="0" w:firstLine="0"/>
              <w:jc w:val="right"/>
              <w:rPr>
                <w:sz w:val="18"/>
                <w:szCs w:val="18"/>
              </w:rPr>
            </w:pPr>
            <w:r w:rsidRPr="003922A9">
              <w:rPr>
                <w:sz w:val="18"/>
                <w:szCs w:val="18"/>
              </w:rPr>
              <w:t>57%</w:t>
            </w:r>
          </w:p>
        </w:tc>
        <w:tc>
          <w:tcPr>
            <w:tcW w:w="582" w:type="pct"/>
            <w:vAlign w:val="center"/>
          </w:tcPr>
          <w:p w14:paraId="1CE30513" w14:textId="77777777" w:rsidR="003922A9" w:rsidRPr="003922A9" w:rsidRDefault="003922A9" w:rsidP="003922A9">
            <w:pPr>
              <w:pStyle w:val="13"/>
              <w:ind w:firstLineChars="0" w:firstLine="0"/>
              <w:jc w:val="right"/>
              <w:rPr>
                <w:sz w:val="18"/>
                <w:szCs w:val="18"/>
              </w:rPr>
            </w:pPr>
            <w:r w:rsidRPr="003922A9">
              <w:rPr>
                <w:sz w:val="18"/>
                <w:szCs w:val="18"/>
              </w:rPr>
              <w:t>54%</w:t>
            </w:r>
          </w:p>
        </w:tc>
        <w:tc>
          <w:tcPr>
            <w:tcW w:w="582" w:type="pct"/>
            <w:vAlign w:val="center"/>
          </w:tcPr>
          <w:p w14:paraId="4C467E0C" w14:textId="77777777" w:rsidR="003922A9" w:rsidRPr="003922A9" w:rsidRDefault="003922A9" w:rsidP="003922A9">
            <w:pPr>
              <w:pStyle w:val="13"/>
              <w:ind w:firstLineChars="0" w:firstLine="0"/>
              <w:jc w:val="right"/>
              <w:rPr>
                <w:sz w:val="18"/>
                <w:szCs w:val="18"/>
              </w:rPr>
            </w:pPr>
            <w:r w:rsidRPr="003922A9">
              <w:rPr>
                <w:sz w:val="18"/>
                <w:szCs w:val="18"/>
              </w:rPr>
              <w:t>51%</w:t>
            </w:r>
          </w:p>
        </w:tc>
        <w:tc>
          <w:tcPr>
            <w:tcW w:w="582" w:type="pct"/>
            <w:vAlign w:val="center"/>
          </w:tcPr>
          <w:p w14:paraId="475E6B86" w14:textId="77777777" w:rsidR="003922A9" w:rsidRPr="003922A9" w:rsidRDefault="003922A9" w:rsidP="003922A9">
            <w:pPr>
              <w:pStyle w:val="13"/>
              <w:ind w:firstLineChars="0" w:firstLine="0"/>
              <w:jc w:val="right"/>
              <w:rPr>
                <w:sz w:val="18"/>
                <w:szCs w:val="18"/>
              </w:rPr>
            </w:pPr>
            <w:r w:rsidRPr="003922A9">
              <w:rPr>
                <w:sz w:val="18"/>
                <w:szCs w:val="18"/>
              </w:rPr>
              <w:t>49%</w:t>
            </w:r>
          </w:p>
        </w:tc>
      </w:tr>
    </w:tbl>
    <w:p w14:paraId="73E75EC5" w14:textId="77777777" w:rsidR="003922A9" w:rsidRPr="003922A9" w:rsidRDefault="003922A9" w:rsidP="003922A9">
      <w:pPr>
        <w:pStyle w:val="13"/>
      </w:pPr>
      <w:r w:rsidRPr="003922A9">
        <w:t>在预测期内，由于业务规模的扩张，营业收入增长较快，而费用节约效应明显，费用占收入的比重在预测期会平稳下降，在预测期末达到较稳定的水平。</w:t>
      </w:r>
    </w:p>
    <w:p w14:paraId="0E2B9718" w14:textId="77777777" w:rsidR="003922A9" w:rsidRPr="003922A9" w:rsidRDefault="003922A9" w:rsidP="003922A9">
      <w:pPr>
        <w:pStyle w:val="13"/>
      </w:pPr>
      <w:r w:rsidRPr="003922A9">
        <w:t>一般认为，上市公司是同行业内相对处于成熟期的企业，其财务指标一定程度代表行业水平。选取</w:t>
      </w:r>
      <w:r w:rsidRPr="003922A9">
        <w:rPr>
          <w:rFonts w:hint="eastAsia"/>
        </w:rPr>
        <w:t>20y8-20x3年证券行业</w:t>
      </w:r>
      <w:r w:rsidRPr="003922A9">
        <w:t>上市公司</w:t>
      </w:r>
      <w:r w:rsidRPr="003922A9">
        <w:rPr>
          <w:rFonts w:hint="eastAsia"/>
        </w:rPr>
        <w:t>管理</w:t>
      </w:r>
      <w:r w:rsidRPr="003922A9">
        <w:t>费用/营业收入指标对营业费用预测的合理性进行验证。</w:t>
      </w:r>
    </w:p>
    <w:p w14:paraId="51029199" w14:textId="77777777" w:rsidR="003922A9" w:rsidRPr="003922A9" w:rsidRDefault="003922A9" w:rsidP="003922A9">
      <w:pPr>
        <w:pStyle w:val="13"/>
        <w:ind w:firstLineChars="0" w:firstLine="0"/>
        <w:jc w:val="center"/>
      </w:pPr>
      <w:r w:rsidRPr="003922A9">
        <w:rPr>
          <w:rFonts w:hint="eastAsia"/>
        </w:rPr>
        <w:t>20y8-20x3年证券行业上市公司管理费用占营业收入比重</w:t>
      </w:r>
    </w:p>
    <w:tbl>
      <w:tblPr>
        <w:tblW w:w="5000" w:type="pct"/>
        <w:tblLook w:val="04A0" w:firstRow="1" w:lastRow="0" w:firstColumn="1" w:lastColumn="0" w:noHBand="0" w:noVBand="1"/>
      </w:tblPr>
      <w:tblGrid>
        <w:gridCol w:w="1089"/>
        <w:gridCol w:w="986"/>
        <w:gridCol w:w="1108"/>
        <w:gridCol w:w="1108"/>
        <w:gridCol w:w="1108"/>
        <w:gridCol w:w="1107"/>
        <w:gridCol w:w="1107"/>
        <w:gridCol w:w="1107"/>
      </w:tblGrid>
      <w:tr w:rsidR="003922A9" w:rsidRPr="003922A9" w14:paraId="3AC75010" w14:textId="77777777" w:rsidTr="003922A9">
        <w:trPr>
          <w:trHeight w:val="416"/>
          <w:tblHeader/>
        </w:trPr>
        <w:tc>
          <w:tcPr>
            <w:tcW w:w="624" w:type="pct"/>
            <w:tcBorders>
              <w:top w:val="single" w:sz="4" w:space="0" w:color="auto"/>
              <w:left w:val="single" w:sz="4" w:space="0" w:color="auto"/>
              <w:bottom w:val="single" w:sz="4" w:space="0" w:color="auto"/>
              <w:right w:val="single" w:sz="4" w:space="0" w:color="auto"/>
            </w:tcBorders>
            <w:vAlign w:val="center"/>
          </w:tcPr>
          <w:p w14:paraId="6A98705F" w14:textId="77777777" w:rsidR="003922A9" w:rsidRPr="003922A9" w:rsidRDefault="003922A9" w:rsidP="003922A9">
            <w:pPr>
              <w:pStyle w:val="13"/>
              <w:ind w:firstLineChars="0" w:firstLine="0"/>
              <w:jc w:val="center"/>
              <w:rPr>
                <w:sz w:val="18"/>
                <w:szCs w:val="18"/>
              </w:rPr>
            </w:pPr>
            <w:r w:rsidRPr="003922A9">
              <w:rPr>
                <w:sz w:val="18"/>
                <w:szCs w:val="18"/>
              </w:rPr>
              <w:t>证券代码</w:t>
            </w:r>
          </w:p>
        </w:tc>
        <w:tc>
          <w:tcPr>
            <w:tcW w:w="565" w:type="pct"/>
            <w:tcBorders>
              <w:top w:val="single" w:sz="4" w:space="0" w:color="auto"/>
              <w:left w:val="nil"/>
              <w:bottom w:val="single" w:sz="4" w:space="0" w:color="auto"/>
              <w:right w:val="single" w:sz="4" w:space="0" w:color="auto"/>
            </w:tcBorders>
            <w:vAlign w:val="center"/>
          </w:tcPr>
          <w:p w14:paraId="751BEBE3" w14:textId="77777777" w:rsidR="003922A9" w:rsidRPr="003922A9" w:rsidRDefault="003922A9" w:rsidP="003922A9">
            <w:pPr>
              <w:pStyle w:val="13"/>
              <w:ind w:firstLineChars="0" w:firstLine="0"/>
              <w:jc w:val="center"/>
              <w:rPr>
                <w:sz w:val="18"/>
                <w:szCs w:val="18"/>
              </w:rPr>
            </w:pPr>
            <w:r w:rsidRPr="003922A9">
              <w:rPr>
                <w:sz w:val="18"/>
                <w:szCs w:val="18"/>
              </w:rPr>
              <w:t>证券简称</w:t>
            </w:r>
          </w:p>
        </w:tc>
        <w:tc>
          <w:tcPr>
            <w:tcW w:w="635" w:type="pct"/>
            <w:tcBorders>
              <w:top w:val="single" w:sz="4" w:space="0" w:color="auto"/>
              <w:left w:val="nil"/>
              <w:bottom w:val="single" w:sz="4" w:space="0" w:color="auto"/>
              <w:right w:val="single" w:sz="4" w:space="0" w:color="auto"/>
            </w:tcBorders>
            <w:vAlign w:val="center"/>
          </w:tcPr>
          <w:p w14:paraId="4B355B93" w14:textId="77777777" w:rsidR="003922A9" w:rsidRPr="003922A9" w:rsidRDefault="003922A9" w:rsidP="003922A9">
            <w:pPr>
              <w:pStyle w:val="13"/>
              <w:ind w:firstLineChars="0" w:firstLine="0"/>
              <w:jc w:val="center"/>
              <w:rPr>
                <w:sz w:val="18"/>
                <w:szCs w:val="18"/>
              </w:rPr>
            </w:pPr>
            <w:r w:rsidRPr="003922A9">
              <w:rPr>
                <w:sz w:val="18"/>
                <w:szCs w:val="18"/>
              </w:rPr>
              <w:t>20</w:t>
            </w:r>
            <w:r w:rsidRPr="003922A9">
              <w:rPr>
                <w:rFonts w:hint="eastAsia"/>
                <w:sz w:val="18"/>
                <w:szCs w:val="18"/>
              </w:rPr>
              <w:t>y</w:t>
            </w:r>
            <w:r w:rsidRPr="003922A9">
              <w:rPr>
                <w:sz w:val="18"/>
                <w:szCs w:val="18"/>
              </w:rPr>
              <w:t>8</w:t>
            </w:r>
          </w:p>
        </w:tc>
        <w:tc>
          <w:tcPr>
            <w:tcW w:w="635" w:type="pct"/>
            <w:tcBorders>
              <w:top w:val="single" w:sz="4" w:space="0" w:color="auto"/>
              <w:left w:val="nil"/>
              <w:bottom w:val="single" w:sz="4" w:space="0" w:color="auto"/>
              <w:right w:val="single" w:sz="4" w:space="0" w:color="auto"/>
            </w:tcBorders>
            <w:vAlign w:val="center"/>
          </w:tcPr>
          <w:p w14:paraId="5906F6D5" w14:textId="77777777" w:rsidR="003922A9" w:rsidRPr="003922A9" w:rsidRDefault="003922A9" w:rsidP="003922A9">
            <w:pPr>
              <w:pStyle w:val="13"/>
              <w:ind w:firstLineChars="0" w:firstLine="0"/>
              <w:jc w:val="center"/>
              <w:rPr>
                <w:sz w:val="18"/>
                <w:szCs w:val="18"/>
              </w:rPr>
            </w:pPr>
            <w:r w:rsidRPr="003922A9">
              <w:rPr>
                <w:sz w:val="18"/>
                <w:szCs w:val="18"/>
              </w:rPr>
              <w:t>20</w:t>
            </w:r>
            <w:r w:rsidRPr="003922A9">
              <w:rPr>
                <w:rFonts w:hint="eastAsia"/>
                <w:sz w:val="18"/>
                <w:szCs w:val="18"/>
              </w:rPr>
              <w:t>y</w:t>
            </w:r>
            <w:r w:rsidRPr="003922A9">
              <w:rPr>
                <w:sz w:val="18"/>
                <w:szCs w:val="18"/>
              </w:rPr>
              <w:t>9</w:t>
            </w:r>
          </w:p>
        </w:tc>
        <w:tc>
          <w:tcPr>
            <w:tcW w:w="635" w:type="pct"/>
            <w:tcBorders>
              <w:top w:val="single" w:sz="4" w:space="0" w:color="auto"/>
              <w:left w:val="nil"/>
              <w:bottom w:val="single" w:sz="4" w:space="0" w:color="auto"/>
              <w:right w:val="single" w:sz="4" w:space="0" w:color="auto"/>
            </w:tcBorders>
            <w:vAlign w:val="center"/>
          </w:tcPr>
          <w:p w14:paraId="7B3840D0" w14:textId="77777777" w:rsidR="003922A9" w:rsidRPr="003922A9" w:rsidRDefault="003922A9" w:rsidP="003922A9">
            <w:pPr>
              <w:pStyle w:val="13"/>
              <w:ind w:firstLineChars="0" w:firstLine="0"/>
              <w:jc w:val="center"/>
              <w:rPr>
                <w:sz w:val="18"/>
                <w:szCs w:val="18"/>
              </w:rPr>
            </w:pPr>
            <w:r w:rsidRPr="003922A9">
              <w:rPr>
                <w:sz w:val="18"/>
                <w:szCs w:val="18"/>
              </w:rPr>
              <w:t>20</w:t>
            </w:r>
            <w:r w:rsidRPr="003922A9">
              <w:rPr>
                <w:rFonts w:hint="eastAsia"/>
                <w:sz w:val="18"/>
                <w:szCs w:val="18"/>
              </w:rPr>
              <w:t>x</w:t>
            </w:r>
            <w:r w:rsidRPr="003922A9">
              <w:rPr>
                <w:sz w:val="18"/>
                <w:szCs w:val="18"/>
              </w:rPr>
              <w:t>0</w:t>
            </w:r>
          </w:p>
        </w:tc>
        <w:tc>
          <w:tcPr>
            <w:tcW w:w="635" w:type="pct"/>
            <w:tcBorders>
              <w:top w:val="single" w:sz="4" w:space="0" w:color="auto"/>
              <w:left w:val="nil"/>
              <w:bottom w:val="single" w:sz="4" w:space="0" w:color="auto"/>
              <w:right w:val="single" w:sz="4" w:space="0" w:color="auto"/>
            </w:tcBorders>
            <w:vAlign w:val="center"/>
          </w:tcPr>
          <w:p w14:paraId="381B59EF" w14:textId="77777777" w:rsidR="003922A9" w:rsidRPr="003922A9" w:rsidRDefault="003922A9" w:rsidP="003922A9">
            <w:pPr>
              <w:pStyle w:val="13"/>
              <w:ind w:firstLineChars="0" w:firstLine="0"/>
              <w:jc w:val="center"/>
              <w:rPr>
                <w:sz w:val="18"/>
                <w:szCs w:val="18"/>
              </w:rPr>
            </w:pPr>
            <w:r w:rsidRPr="003922A9">
              <w:rPr>
                <w:sz w:val="18"/>
                <w:szCs w:val="18"/>
              </w:rPr>
              <w:t>20</w:t>
            </w:r>
            <w:r w:rsidRPr="003922A9">
              <w:rPr>
                <w:rFonts w:hint="eastAsia"/>
                <w:sz w:val="18"/>
                <w:szCs w:val="18"/>
              </w:rPr>
              <w:t>x</w:t>
            </w:r>
            <w:r w:rsidRPr="003922A9">
              <w:rPr>
                <w:sz w:val="18"/>
                <w:szCs w:val="18"/>
              </w:rPr>
              <w:t>1</w:t>
            </w:r>
          </w:p>
        </w:tc>
        <w:tc>
          <w:tcPr>
            <w:tcW w:w="635" w:type="pct"/>
            <w:tcBorders>
              <w:top w:val="single" w:sz="4" w:space="0" w:color="auto"/>
              <w:left w:val="nil"/>
              <w:bottom w:val="single" w:sz="4" w:space="0" w:color="auto"/>
              <w:right w:val="single" w:sz="4" w:space="0" w:color="auto"/>
            </w:tcBorders>
            <w:vAlign w:val="center"/>
          </w:tcPr>
          <w:p w14:paraId="0C55EEBC" w14:textId="77777777" w:rsidR="003922A9" w:rsidRPr="003922A9" w:rsidRDefault="003922A9" w:rsidP="003922A9">
            <w:pPr>
              <w:pStyle w:val="13"/>
              <w:ind w:firstLineChars="0" w:firstLine="0"/>
              <w:jc w:val="center"/>
              <w:rPr>
                <w:sz w:val="18"/>
                <w:szCs w:val="18"/>
              </w:rPr>
            </w:pPr>
            <w:r w:rsidRPr="003922A9">
              <w:rPr>
                <w:sz w:val="18"/>
                <w:szCs w:val="18"/>
              </w:rPr>
              <w:t>20</w:t>
            </w:r>
            <w:r w:rsidRPr="003922A9">
              <w:rPr>
                <w:rFonts w:hint="eastAsia"/>
                <w:sz w:val="18"/>
                <w:szCs w:val="18"/>
              </w:rPr>
              <w:t>x</w:t>
            </w:r>
            <w:r w:rsidRPr="003922A9">
              <w:rPr>
                <w:sz w:val="18"/>
                <w:szCs w:val="18"/>
              </w:rPr>
              <w:t>2</w:t>
            </w:r>
          </w:p>
        </w:tc>
        <w:tc>
          <w:tcPr>
            <w:tcW w:w="635" w:type="pct"/>
            <w:tcBorders>
              <w:top w:val="single" w:sz="4" w:space="0" w:color="auto"/>
              <w:left w:val="nil"/>
              <w:bottom w:val="single" w:sz="4" w:space="0" w:color="auto"/>
              <w:right w:val="single" w:sz="4" w:space="0" w:color="auto"/>
            </w:tcBorders>
            <w:vAlign w:val="center"/>
          </w:tcPr>
          <w:p w14:paraId="57B44BA8" w14:textId="77777777" w:rsidR="003922A9" w:rsidRPr="003922A9" w:rsidRDefault="003922A9" w:rsidP="003922A9">
            <w:pPr>
              <w:pStyle w:val="13"/>
              <w:ind w:firstLineChars="0" w:firstLine="0"/>
              <w:jc w:val="center"/>
              <w:rPr>
                <w:sz w:val="18"/>
                <w:szCs w:val="18"/>
              </w:rPr>
            </w:pPr>
            <w:r w:rsidRPr="003922A9">
              <w:rPr>
                <w:sz w:val="18"/>
                <w:szCs w:val="18"/>
              </w:rPr>
              <w:t>20</w:t>
            </w:r>
            <w:r w:rsidRPr="003922A9">
              <w:rPr>
                <w:rFonts w:hint="eastAsia"/>
                <w:sz w:val="18"/>
                <w:szCs w:val="18"/>
              </w:rPr>
              <w:t>x</w:t>
            </w:r>
            <w:r w:rsidRPr="003922A9">
              <w:rPr>
                <w:sz w:val="18"/>
                <w:szCs w:val="18"/>
              </w:rPr>
              <w:t>3</w:t>
            </w:r>
          </w:p>
        </w:tc>
      </w:tr>
      <w:tr w:rsidR="003922A9" w:rsidRPr="003922A9" w14:paraId="55225296"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0B573C19" w14:textId="77777777" w:rsidR="003922A9" w:rsidRPr="003922A9" w:rsidRDefault="003922A9" w:rsidP="003922A9">
            <w:pPr>
              <w:pStyle w:val="13"/>
              <w:ind w:firstLineChars="0" w:firstLine="0"/>
              <w:jc w:val="center"/>
              <w:rPr>
                <w:sz w:val="18"/>
                <w:szCs w:val="18"/>
              </w:rPr>
            </w:pPr>
            <w:r w:rsidRPr="003922A9">
              <w:rPr>
                <w:sz w:val="18"/>
                <w:szCs w:val="18"/>
              </w:rPr>
              <w:t>000166.SZ</w:t>
            </w:r>
          </w:p>
        </w:tc>
        <w:tc>
          <w:tcPr>
            <w:tcW w:w="565" w:type="pct"/>
            <w:tcBorders>
              <w:top w:val="nil"/>
              <w:left w:val="nil"/>
              <w:bottom w:val="single" w:sz="4" w:space="0" w:color="auto"/>
              <w:right w:val="single" w:sz="4" w:space="0" w:color="auto"/>
            </w:tcBorders>
            <w:vAlign w:val="center"/>
          </w:tcPr>
          <w:p w14:paraId="2CA94D18" w14:textId="77777777" w:rsidR="003922A9" w:rsidRPr="003922A9" w:rsidRDefault="003922A9" w:rsidP="003922A9">
            <w:pPr>
              <w:pStyle w:val="13"/>
              <w:ind w:firstLineChars="0" w:firstLine="0"/>
              <w:jc w:val="center"/>
              <w:rPr>
                <w:sz w:val="18"/>
                <w:szCs w:val="18"/>
              </w:rPr>
            </w:pPr>
            <w:proofErr w:type="gramStart"/>
            <w:r w:rsidRPr="003922A9">
              <w:rPr>
                <w:sz w:val="18"/>
                <w:szCs w:val="18"/>
              </w:rPr>
              <w:t>申万宏</w:t>
            </w:r>
            <w:proofErr w:type="gramEnd"/>
            <w:r w:rsidRPr="003922A9">
              <w:rPr>
                <w:sz w:val="18"/>
                <w:szCs w:val="18"/>
              </w:rPr>
              <w:t>源</w:t>
            </w:r>
          </w:p>
        </w:tc>
        <w:tc>
          <w:tcPr>
            <w:tcW w:w="635" w:type="pct"/>
            <w:tcBorders>
              <w:top w:val="nil"/>
              <w:left w:val="nil"/>
              <w:bottom w:val="single" w:sz="4" w:space="0" w:color="auto"/>
              <w:right w:val="single" w:sz="4" w:space="0" w:color="auto"/>
            </w:tcBorders>
            <w:vAlign w:val="center"/>
          </w:tcPr>
          <w:p w14:paraId="75FF6C87" w14:textId="77777777" w:rsidR="003922A9" w:rsidRPr="003922A9" w:rsidRDefault="003922A9" w:rsidP="003922A9">
            <w:pPr>
              <w:pStyle w:val="13"/>
              <w:ind w:firstLineChars="0" w:firstLine="0"/>
              <w:jc w:val="right"/>
              <w:rPr>
                <w:sz w:val="18"/>
                <w:szCs w:val="18"/>
              </w:rPr>
            </w:pPr>
            <w:r w:rsidRPr="003922A9">
              <w:rPr>
                <w:sz w:val="18"/>
                <w:szCs w:val="18"/>
              </w:rPr>
              <w:t>37.23%</w:t>
            </w:r>
          </w:p>
        </w:tc>
        <w:tc>
          <w:tcPr>
            <w:tcW w:w="635" w:type="pct"/>
            <w:tcBorders>
              <w:top w:val="nil"/>
              <w:left w:val="nil"/>
              <w:bottom w:val="single" w:sz="4" w:space="0" w:color="auto"/>
              <w:right w:val="single" w:sz="4" w:space="0" w:color="auto"/>
            </w:tcBorders>
            <w:vAlign w:val="center"/>
          </w:tcPr>
          <w:p w14:paraId="62F37CF0" w14:textId="77777777" w:rsidR="003922A9" w:rsidRPr="003922A9" w:rsidRDefault="003922A9" w:rsidP="003922A9">
            <w:pPr>
              <w:pStyle w:val="13"/>
              <w:ind w:firstLineChars="0" w:firstLine="0"/>
              <w:jc w:val="right"/>
              <w:rPr>
                <w:sz w:val="18"/>
                <w:szCs w:val="18"/>
              </w:rPr>
            </w:pPr>
            <w:r w:rsidRPr="003922A9">
              <w:rPr>
                <w:sz w:val="18"/>
                <w:szCs w:val="18"/>
              </w:rPr>
              <w:t>28.29%</w:t>
            </w:r>
          </w:p>
        </w:tc>
        <w:tc>
          <w:tcPr>
            <w:tcW w:w="635" w:type="pct"/>
            <w:tcBorders>
              <w:top w:val="nil"/>
              <w:left w:val="nil"/>
              <w:bottom w:val="single" w:sz="4" w:space="0" w:color="auto"/>
              <w:right w:val="single" w:sz="4" w:space="0" w:color="auto"/>
            </w:tcBorders>
            <w:vAlign w:val="center"/>
          </w:tcPr>
          <w:p w14:paraId="320CF3CE" w14:textId="77777777" w:rsidR="003922A9" w:rsidRPr="003922A9" w:rsidRDefault="003922A9" w:rsidP="003922A9">
            <w:pPr>
              <w:pStyle w:val="13"/>
              <w:ind w:firstLineChars="0" w:firstLine="0"/>
              <w:jc w:val="right"/>
              <w:rPr>
                <w:sz w:val="18"/>
                <w:szCs w:val="18"/>
              </w:rPr>
            </w:pPr>
            <w:r w:rsidRPr="003922A9">
              <w:rPr>
                <w:sz w:val="18"/>
                <w:szCs w:val="18"/>
              </w:rPr>
              <w:t>36.44%</w:t>
            </w:r>
          </w:p>
        </w:tc>
        <w:tc>
          <w:tcPr>
            <w:tcW w:w="635" w:type="pct"/>
            <w:tcBorders>
              <w:top w:val="nil"/>
              <w:left w:val="nil"/>
              <w:bottom w:val="single" w:sz="4" w:space="0" w:color="auto"/>
              <w:right w:val="single" w:sz="4" w:space="0" w:color="auto"/>
            </w:tcBorders>
            <w:vAlign w:val="center"/>
          </w:tcPr>
          <w:p w14:paraId="35F1FFE7" w14:textId="77777777" w:rsidR="003922A9" w:rsidRPr="003922A9" w:rsidRDefault="003922A9" w:rsidP="003922A9">
            <w:pPr>
              <w:pStyle w:val="13"/>
              <w:ind w:firstLineChars="0" w:firstLine="0"/>
              <w:jc w:val="right"/>
              <w:rPr>
                <w:sz w:val="18"/>
                <w:szCs w:val="18"/>
              </w:rPr>
            </w:pPr>
            <w:r w:rsidRPr="003922A9">
              <w:rPr>
                <w:sz w:val="18"/>
                <w:szCs w:val="18"/>
              </w:rPr>
              <w:t>44.82%</w:t>
            </w:r>
          </w:p>
        </w:tc>
        <w:tc>
          <w:tcPr>
            <w:tcW w:w="635" w:type="pct"/>
            <w:tcBorders>
              <w:top w:val="nil"/>
              <w:left w:val="nil"/>
              <w:bottom w:val="single" w:sz="4" w:space="0" w:color="auto"/>
              <w:right w:val="single" w:sz="4" w:space="0" w:color="auto"/>
            </w:tcBorders>
            <w:vAlign w:val="center"/>
          </w:tcPr>
          <w:p w14:paraId="1FF30122" w14:textId="77777777" w:rsidR="003922A9" w:rsidRPr="003922A9" w:rsidRDefault="003922A9" w:rsidP="003922A9">
            <w:pPr>
              <w:pStyle w:val="13"/>
              <w:ind w:firstLineChars="0" w:firstLine="0"/>
              <w:jc w:val="right"/>
              <w:rPr>
                <w:sz w:val="18"/>
                <w:szCs w:val="18"/>
              </w:rPr>
            </w:pPr>
            <w:r w:rsidRPr="003922A9">
              <w:rPr>
                <w:sz w:val="18"/>
                <w:szCs w:val="18"/>
              </w:rPr>
              <w:t>50.26%</w:t>
            </w:r>
          </w:p>
        </w:tc>
        <w:tc>
          <w:tcPr>
            <w:tcW w:w="635" w:type="pct"/>
            <w:tcBorders>
              <w:top w:val="nil"/>
              <w:left w:val="nil"/>
              <w:bottom w:val="single" w:sz="4" w:space="0" w:color="auto"/>
              <w:right w:val="single" w:sz="4" w:space="0" w:color="auto"/>
            </w:tcBorders>
            <w:vAlign w:val="center"/>
          </w:tcPr>
          <w:p w14:paraId="487F4261" w14:textId="77777777" w:rsidR="003922A9" w:rsidRPr="003922A9" w:rsidRDefault="003922A9" w:rsidP="003922A9">
            <w:pPr>
              <w:pStyle w:val="13"/>
              <w:ind w:firstLineChars="0" w:firstLine="0"/>
              <w:jc w:val="right"/>
              <w:rPr>
                <w:sz w:val="18"/>
                <w:szCs w:val="18"/>
              </w:rPr>
            </w:pPr>
            <w:r w:rsidRPr="003922A9">
              <w:rPr>
                <w:sz w:val="18"/>
                <w:szCs w:val="18"/>
              </w:rPr>
              <w:t>49.04%</w:t>
            </w:r>
          </w:p>
        </w:tc>
      </w:tr>
      <w:tr w:rsidR="003922A9" w:rsidRPr="003922A9" w14:paraId="4DD1D4E2"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20C72C0C" w14:textId="77777777" w:rsidR="003922A9" w:rsidRPr="003922A9" w:rsidRDefault="003922A9" w:rsidP="003922A9">
            <w:pPr>
              <w:pStyle w:val="13"/>
              <w:ind w:firstLineChars="0" w:firstLine="0"/>
              <w:jc w:val="center"/>
              <w:rPr>
                <w:sz w:val="18"/>
                <w:szCs w:val="18"/>
              </w:rPr>
            </w:pPr>
            <w:r w:rsidRPr="003922A9">
              <w:rPr>
                <w:sz w:val="18"/>
                <w:szCs w:val="18"/>
              </w:rPr>
              <w:t>000686.SZ</w:t>
            </w:r>
          </w:p>
        </w:tc>
        <w:tc>
          <w:tcPr>
            <w:tcW w:w="565" w:type="pct"/>
            <w:tcBorders>
              <w:top w:val="nil"/>
              <w:left w:val="nil"/>
              <w:bottom w:val="single" w:sz="4" w:space="0" w:color="auto"/>
              <w:right w:val="single" w:sz="4" w:space="0" w:color="auto"/>
            </w:tcBorders>
            <w:vAlign w:val="center"/>
          </w:tcPr>
          <w:p w14:paraId="13F17CE3" w14:textId="77777777" w:rsidR="003922A9" w:rsidRPr="003922A9" w:rsidRDefault="003922A9" w:rsidP="003922A9">
            <w:pPr>
              <w:pStyle w:val="13"/>
              <w:ind w:firstLineChars="0" w:firstLine="0"/>
              <w:jc w:val="center"/>
              <w:rPr>
                <w:sz w:val="18"/>
                <w:szCs w:val="18"/>
              </w:rPr>
            </w:pPr>
            <w:r w:rsidRPr="003922A9">
              <w:rPr>
                <w:sz w:val="18"/>
                <w:szCs w:val="18"/>
              </w:rPr>
              <w:t>东北证券</w:t>
            </w:r>
          </w:p>
        </w:tc>
        <w:tc>
          <w:tcPr>
            <w:tcW w:w="635" w:type="pct"/>
            <w:tcBorders>
              <w:top w:val="nil"/>
              <w:left w:val="nil"/>
              <w:bottom w:val="single" w:sz="4" w:space="0" w:color="auto"/>
              <w:right w:val="single" w:sz="4" w:space="0" w:color="auto"/>
            </w:tcBorders>
            <w:vAlign w:val="center"/>
          </w:tcPr>
          <w:p w14:paraId="3250D09B" w14:textId="77777777" w:rsidR="003922A9" w:rsidRPr="003922A9" w:rsidRDefault="003922A9" w:rsidP="003922A9">
            <w:pPr>
              <w:pStyle w:val="13"/>
              <w:ind w:firstLineChars="0" w:firstLine="0"/>
              <w:jc w:val="right"/>
              <w:rPr>
                <w:sz w:val="18"/>
                <w:szCs w:val="18"/>
              </w:rPr>
            </w:pPr>
            <w:r w:rsidRPr="003922A9">
              <w:rPr>
                <w:sz w:val="18"/>
                <w:szCs w:val="18"/>
              </w:rPr>
              <w:t>47.71%</w:t>
            </w:r>
          </w:p>
        </w:tc>
        <w:tc>
          <w:tcPr>
            <w:tcW w:w="635" w:type="pct"/>
            <w:tcBorders>
              <w:top w:val="nil"/>
              <w:left w:val="nil"/>
              <w:bottom w:val="single" w:sz="4" w:space="0" w:color="auto"/>
              <w:right w:val="single" w:sz="4" w:space="0" w:color="auto"/>
            </w:tcBorders>
            <w:vAlign w:val="center"/>
          </w:tcPr>
          <w:p w14:paraId="615F905D" w14:textId="77777777" w:rsidR="003922A9" w:rsidRPr="003922A9" w:rsidRDefault="003922A9" w:rsidP="003922A9">
            <w:pPr>
              <w:pStyle w:val="13"/>
              <w:ind w:firstLineChars="0" w:firstLine="0"/>
              <w:jc w:val="right"/>
              <w:rPr>
                <w:sz w:val="18"/>
                <w:szCs w:val="18"/>
              </w:rPr>
            </w:pPr>
            <w:r w:rsidRPr="003922A9">
              <w:rPr>
                <w:sz w:val="18"/>
                <w:szCs w:val="18"/>
              </w:rPr>
              <w:t>33.80%</w:t>
            </w:r>
          </w:p>
        </w:tc>
        <w:tc>
          <w:tcPr>
            <w:tcW w:w="635" w:type="pct"/>
            <w:tcBorders>
              <w:top w:val="nil"/>
              <w:left w:val="nil"/>
              <w:bottom w:val="single" w:sz="4" w:space="0" w:color="auto"/>
              <w:right w:val="single" w:sz="4" w:space="0" w:color="auto"/>
            </w:tcBorders>
            <w:vAlign w:val="center"/>
          </w:tcPr>
          <w:p w14:paraId="2A32399F" w14:textId="77777777" w:rsidR="003922A9" w:rsidRPr="003922A9" w:rsidRDefault="003922A9" w:rsidP="003922A9">
            <w:pPr>
              <w:pStyle w:val="13"/>
              <w:ind w:firstLineChars="0" w:firstLine="0"/>
              <w:jc w:val="right"/>
              <w:rPr>
                <w:sz w:val="18"/>
                <w:szCs w:val="18"/>
              </w:rPr>
            </w:pPr>
            <w:r w:rsidRPr="003922A9">
              <w:rPr>
                <w:sz w:val="18"/>
                <w:szCs w:val="18"/>
              </w:rPr>
              <w:t>52.58%</w:t>
            </w:r>
          </w:p>
        </w:tc>
        <w:tc>
          <w:tcPr>
            <w:tcW w:w="635" w:type="pct"/>
            <w:tcBorders>
              <w:top w:val="nil"/>
              <w:left w:val="nil"/>
              <w:bottom w:val="single" w:sz="4" w:space="0" w:color="auto"/>
              <w:right w:val="single" w:sz="4" w:space="0" w:color="auto"/>
            </w:tcBorders>
            <w:vAlign w:val="center"/>
          </w:tcPr>
          <w:p w14:paraId="63D94993" w14:textId="77777777" w:rsidR="003922A9" w:rsidRPr="003922A9" w:rsidRDefault="003922A9" w:rsidP="003922A9">
            <w:pPr>
              <w:pStyle w:val="13"/>
              <w:ind w:firstLineChars="0" w:firstLine="0"/>
              <w:jc w:val="right"/>
              <w:rPr>
                <w:sz w:val="18"/>
                <w:szCs w:val="18"/>
              </w:rPr>
            </w:pPr>
            <w:r w:rsidRPr="003922A9">
              <w:rPr>
                <w:sz w:val="18"/>
                <w:szCs w:val="18"/>
              </w:rPr>
              <w:t>119.37%</w:t>
            </w:r>
          </w:p>
        </w:tc>
        <w:tc>
          <w:tcPr>
            <w:tcW w:w="635" w:type="pct"/>
            <w:tcBorders>
              <w:top w:val="nil"/>
              <w:left w:val="nil"/>
              <w:bottom w:val="single" w:sz="4" w:space="0" w:color="auto"/>
              <w:right w:val="single" w:sz="4" w:space="0" w:color="auto"/>
            </w:tcBorders>
            <w:vAlign w:val="center"/>
          </w:tcPr>
          <w:p w14:paraId="21E86AD0" w14:textId="77777777" w:rsidR="003922A9" w:rsidRPr="003922A9" w:rsidRDefault="003922A9" w:rsidP="003922A9">
            <w:pPr>
              <w:pStyle w:val="13"/>
              <w:ind w:firstLineChars="0" w:firstLine="0"/>
              <w:jc w:val="right"/>
              <w:rPr>
                <w:sz w:val="18"/>
                <w:szCs w:val="18"/>
              </w:rPr>
            </w:pPr>
            <w:r w:rsidRPr="003922A9">
              <w:rPr>
                <w:sz w:val="18"/>
                <w:szCs w:val="18"/>
              </w:rPr>
              <w:t>83.49%</w:t>
            </w:r>
          </w:p>
        </w:tc>
        <w:tc>
          <w:tcPr>
            <w:tcW w:w="635" w:type="pct"/>
            <w:tcBorders>
              <w:top w:val="nil"/>
              <w:left w:val="nil"/>
              <w:bottom w:val="single" w:sz="4" w:space="0" w:color="auto"/>
              <w:right w:val="single" w:sz="4" w:space="0" w:color="auto"/>
            </w:tcBorders>
            <w:vAlign w:val="center"/>
          </w:tcPr>
          <w:p w14:paraId="6C56824E" w14:textId="77777777" w:rsidR="003922A9" w:rsidRPr="003922A9" w:rsidRDefault="003922A9" w:rsidP="003922A9">
            <w:pPr>
              <w:pStyle w:val="13"/>
              <w:ind w:firstLineChars="0" w:firstLine="0"/>
              <w:jc w:val="right"/>
              <w:rPr>
                <w:sz w:val="18"/>
                <w:szCs w:val="18"/>
              </w:rPr>
            </w:pPr>
            <w:r w:rsidRPr="003922A9">
              <w:rPr>
                <w:sz w:val="18"/>
                <w:szCs w:val="18"/>
              </w:rPr>
              <w:t>57.03%</w:t>
            </w:r>
          </w:p>
        </w:tc>
      </w:tr>
      <w:tr w:rsidR="003922A9" w:rsidRPr="003922A9" w14:paraId="3BE5C043"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05E0C755" w14:textId="77777777" w:rsidR="003922A9" w:rsidRPr="003922A9" w:rsidRDefault="003922A9" w:rsidP="003922A9">
            <w:pPr>
              <w:pStyle w:val="13"/>
              <w:ind w:firstLineChars="0" w:firstLine="0"/>
              <w:jc w:val="center"/>
              <w:rPr>
                <w:sz w:val="18"/>
                <w:szCs w:val="18"/>
              </w:rPr>
            </w:pPr>
            <w:r w:rsidRPr="003922A9">
              <w:rPr>
                <w:sz w:val="18"/>
                <w:szCs w:val="18"/>
              </w:rPr>
              <w:t>000728.SZ</w:t>
            </w:r>
          </w:p>
        </w:tc>
        <w:tc>
          <w:tcPr>
            <w:tcW w:w="565" w:type="pct"/>
            <w:tcBorders>
              <w:top w:val="nil"/>
              <w:left w:val="nil"/>
              <w:bottom w:val="single" w:sz="4" w:space="0" w:color="auto"/>
              <w:right w:val="single" w:sz="4" w:space="0" w:color="auto"/>
            </w:tcBorders>
            <w:vAlign w:val="center"/>
          </w:tcPr>
          <w:p w14:paraId="1B4BCA91" w14:textId="77777777" w:rsidR="003922A9" w:rsidRPr="003922A9" w:rsidRDefault="003922A9" w:rsidP="003922A9">
            <w:pPr>
              <w:pStyle w:val="13"/>
              <w:ind w:firstLineChars="0" w:firstLine="0"/>
              <w:jc w:val="center"/>
              <w:rPr>
                <w:sz w:val="18"/>
                <w:szCs w:val="18"/>
              </w:rPr>
            </w:pPr>
            <w:proofErr w:type="gramStart"/>
            <w:r w:rsidRPr="003922A9">
              <w:rPr>
                <w:sz w:val="18"/>
                <w:szCs w:val="18"/>
              </w:rPr>
              <w:t>国元证券</w:t>
            </w:r>
            <w:proofErr w:type="gramEnd"/>
          </w:p>
        </w:tc>
        <w:tc>
          <w:tcPr>
            <w:tcW w:w="635" w:type="pct"/>
            <w:tcBorders>
              <w:top w:val="nil"/>
              <w:left w:val="nil"/>
              <w:bottom w:val="single" w:sz="4" w:space="0" w:color="auto"/>
              <w:right w:val="single" w:sz="4" w:space="0" w:color="auto"/>
            </w:tcBorders>
            <w:vAlign w:val="center"/>
          </w:tcPr>
          <w:p w14:paraId="45A6E97A" w14:textId="77777777" w:rsidR="003922A9" w:rsidRPr="003922A9" w:rsidRDefault="003922A9" w:rsidP="003922A9">
            <w:pPr>
              <w:pStyle w:val="13"/>
              <w:ind w:firstLineChars="0" w:firstLine="0"/>
              <w:jc w:val="right"/>
              <w:rPr>
                <w:sz w:val="18"/>
                <w:szCs w:val="18"/>
              </w:rPr>
            </w:pPr>
            <w:r w:rsidRPr="003922A9">
              <w:rPr>
                <w:sz w:val="18"/>
                <w:szCs w:val="18"/>
              </w:rPr>
              <w:t>43.28%</w:t>
            </w:r>
          </w:p>
        </w:tc>
        <w:tc>
          <w:tcPr>
            <w:tcW w:w="635" w:type="pct"/>
            <w:tcBorders>
              <w:top w:val="nil"/>
              <w:left w:val="nil"/>
              <w:bottom w:val="single" w:sz="4" w:space="0" w:color="auto"/>
              <w:right w:val="single" w:sz="4" w:space="0" w:color="auto"/>
            </w:tcBorders>
            <w:vAlign w:val="center"/>
          </w:tcPr>
          <w:p w14:paraId="2F57CE21" w14:textId="77777777" w:rsidR="003922A9" w:rsidRPr="003922A9" w:rsidRDefault="003922A9" w:rsidP="003922A9">
            <w:pPr>
              <w:pStyle w:val="13"/>
              <w:ind w:firstLineChars="0" w:firstLine="0"/>
              <w:jc w:val="right"/>
              <w:rPr>
                <w:sz w:val="18"/>
                <w:szCs w:val="18"/>
              </w:rPr>
            </w:pPr>
            <w:r w:rsidRPr="003922A9">
              <w:rPr>
                <w:sz w:val="18"/>
                <w:szCs w:val="18"/>
              </w:rPr>
              <w:t>33.71%</w:t>
            </w:r>
          </w:p>
        </w:tc>
        <w:tc>
          <w:tcPr>
            <w:tcW w:w="635" w:type="pct"/>
            <w:tcBorders>
              <w:top w:val="nil"/>
              <w:left w:val="nil"/>
              <w:bottom w:val="single" w:sz="4" w:space="0" w:color="auto"/>
              <w:right w:val="single" w:sz="4" w:space="0" w:color="auto"/>
            </w:tcBorders>
            <w:vAlign w:val="center"/>
          </w:tcPr>
          <w:p w14:paraId="568B958A" w14:textId="77777777" w:rsidR="003922A9" w:rsidRPr="003922A9" w:rsidRDefault="003922A9" w:rsidP="003922A9">
            <w:pPr>
              <w:pStyle w:val="13"/>
              <w:ind w:firstLineChars="0" w:firstLine="0"/>
              <w:jc w:val="right"/>
              <w:rPr>
                <w:sz w:val="18"/>
                <w:szCs w:val="18"/>
              </w:rPr>
            </w:pPr>
            <w:r w:rsidRPr="003922A9">
              <w:rPr>
                <w:sz w:val="18"/>
                <w:szCs w:val="18"/>
              </w:rPr>
              <w:t>40.25%</w:t>
            </w:r>
          </w:p>
        </w:tc>
        <w:tc>
          <w:tcPr>
            <w:tcW w:w="635" w:type="pct"/>
            <w:tcBorders>
              <w:top w:val="nil"/>
              <w:left w:val="nil"/>
              <w:bottom w:val="single" w:sz="4" w:space="0" w:color="auto"/>
              <w:right w:val="single" w:sz="4" w:space="0" w:color="auto"/>
            </w:tcBorders>
            <w:vAlign w:val="center"/>
          </w:tcPr>
          <w:p w14:paraId="43F4A8E6" w14:textId="77777777" w:rsidR="003922A9" w:rsidRPr="003922A9" w:rsidRDefault="003922A9" w:rsidP="003922A9">
            <w:pPr>
              <w:pStyle w:val="13"/>
              <w:ind w:firstLineChars="0" w:firstLine="0"/>
              <w:jc w:val="right"/>
              <w:rPr>
                <w:sz w:val="18"/>
                <w:szCs w:val="18"/>
              </w:rPr>
            </w:pPr>
            <w:r w:rsidRPr="003922A9">
              <w:rPr>
                <w:sz w:val="18"/>
                <w:szCs w:val="18"/>
              </w:rPr>
              <w:t>51.73%</w:t>
            </w:r>
          </w:p>
        </w:tc>
        <w:tc>
          <w:tcPr>
            <w:tcW w:w="635" w:type="pct"/>
            <w:tcBorders>
              <w:top w:val="nil"/>
              <w:left w:val="nil"/>
              <w:bottom w:val="single" w:sz="4" w:space="0" w:color="auto"/>
              <w:right w:val="single" w:sz="4" w:space="0" w:color="auto"/>
            </w:tcBorders>
            <w:vAlign w:val="center"/>
          </w:tcPr>
          <w:p w14:paraId="1C004A43" w14:textId="77777777" w:rsidR="003922A9" w:rsidRPr="003922A9" w:rsidRDefault="003922A9" w:rsidP="003922A9">
            <w:pPr>
              <w:pStyle w:val="13"/>
              <w:ind w:firstLineChars="0" w:firstLine="0"/>
              <w:jc w:val="right"/>
              <w:rPr>
                <w:sz w:val="18"/>
                <w:szCs w:val="18"/>
              </w:rPr>
            </w:pPr>
            <w:r w:rsidRPr="003922A9">
              <w:rPr>
                <w:sz w:val="18"/>
                <w:szCs w:val="18"/>
              </w:rPr>
              <w:t>63.70%</w:t>
            </w:r>
          </w:p>
        </w:tc>
        <w:tc>
          <w:tcPr>
            <w:tcW w:w="635" w:type="pct"/>
            <w:tcBorders>
              <w:top w:val="nil"/>
              <w:left w:val="nil"/>
              <w:bottom w:val="single" w:sz="4" w:space="0" w:color="auto"/>
              <w:right w:val="single" w:sz="4" w:space="0" w:color="auto"/>
            </w:tcBorders>
            <w:vAlign w:val="center"/>
          </w:tcPr>
          <w:p w14:paraId="522DA37C" w14:textId="77777777" w:rsidR="003922A9" w:rsidRPr="003922A9" w:rsidRDefault="003922A9" w:rsidP="003922A9">
            <w:pPr>
              <w:pStyle w:val="13"/>
              <w:ind w:firstLineChars="0" w:firstLine="0"/>
              <w:jc w:val="right"/>
              <w:rPr>
                <w:sz w:val="18"/>
                <w:szCs w:val="18"/>
              </w:rPr>
            </w:pPr>
            <w:r w:rsidRPr="003922A9">
              <w:rPr>
                <w:sz w:val="18"/>
                <w:szCs w:val="18"/>
              </w:rPr>
              <w:t>57.80%</w:t>
            </w:r>
          </w:p>
        </w:tc>
      </w:tr>
      <w:tr w:rsidR="003922A9" w:rsidRPr="003922A9" w14:paraId="2A6013F6"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780D999C" w14:textId="77777777" w:rsidR="003922A9" w:rsidRPr="003922A9" w:rsidRDefault="003922A9" w:rsidP="003922A9">
            <w:pPr>
              <w:pStyle w:val="13"/>
              <w:ind w:firstLineChars="0" w:firstLine="0"/>
              <w:jc w:val="center"/>
              <w:rPr>
                <w:sz w:val="18"/>
                <w:szCs w:val="18"/>
              </w:rPr>
            </w:pPr>
            <w:r w:rsidRPr="003922A9">
              <w:rPr>
                <w:sz w:val="18"/>
                <w:szCs w:val="18"/>
              </w:rPr>
              <w:t>000750.SZ</w:t>
            </w:r>
          </w:p>
        </w:tc>
        <w:tc>
          <w:tcPr>
            <w:tcW w:w="565" w:type="pct"/>
            <w:tcBorders>
              <w:top w:val="nil"/>
              <w:left w:val="nil"/>
              <w:bottom w:val="single" w:sz="4" w:space="0" w:color="auto"/>
              <w:right w:val="single" w:sz="4" w:space="0" w:color="auto"/>
            </w:tcBorders>
            <w:vAlign w:val="center"/>
          </w:tcPr>
          <w:p w14:paraId="3CCAFC9E" w14:textId="77777777" w:rsidR="003922A9" w:rsidRPr="003922A9" w:rsidRDefault="003922A9" w:rsidP="003922A9">
            <w:pPr>
              <w:pStyle w:val="13"/>
              <w:ind w:firstLineChars="0" w:firstLine="0"/>
              <w:jc w:val="center"/>
              <w:rPr>
                <w:sz w:val="18"/>
                <w:szCs w:val="18"/>
              </w:rPr>
            </w:pPr>
            <w:r w:rsidRPr="003922A9">
              <w:rPr>
                <w:sz w:val="18"/>
                <w:szCs w:val="18"/>
              </w:rPr>
              <w:t>国</w:t>
            </w:r>
            <w:proofErr w:type="gramStart"/>
            <w:r w:rsidRPr="003922A9">
              <w:rPr>
                <w:sz w:val="18"/>
                <w:szCs w:val="18"/>
              </w:rPr>
              <w:t>海证券</w:t>
            </w:r>
            <w:proofErr w:type="gramEnd"/>
          </w:p>
        </w:tc>
        <w:tc>
          <w:tcPr>
            <w:tcW w:w="635" w:type="pct"/>
            <w:tcBorders>
              <w:top w:val="nil"/>
              <w:left w:val="nil"/>
              <w:bottom w:val="single" w:sz="4" w:space="0" w:color="auto"/>
              <w:right w:val="single" w:sz="4" w:space="0" w:color="auto"/>
            </w:tcBorders>
            <w:vAlign w:val="center"/>
          </w:tcPr>
          <w:p w14:paraId="524A187B" w14:textId="77777777" w:rsidR="003922A9" w:rsidRPr="003922A9" w:rsidRDefault="003922A9" w:rsidP="003922A9">
            <w:pPr>
              <w:pStyle w:val="13"/>
              <w:ind w:firstLineChars="0" w:firstLine="0"/>
              <w:jc w:val="right"/>
              <w:rPr>
                <w:sz w:val="18"/>
                <w:szCs w:val="18"/>
              </w:rPr>
            </w:pPr>
            <w:r w:rsidRPr="003922A9">
              <w:rPr>
                <w:sz w:val="18"/>
                <w:szCs w:val="18"/>
              </w:rPr>
              <w:t>120.65%</w:t>
            </w:r>
          </w:p>
        </w:tc>
        <w:tc>
          <w:tcPr>
            <w:tcW w:w="635" w:type="pct"/>
            <w:tcBorders>
              <w:top w:val="nil"/>
              <w:left w:val="nil"/>
              <w:bottom w:val="single" w:sz="4" w:space="0" w:color="auto"/>
              <w:right w:val="single" w:sz="4" w:space="0" w:color="auto"/>
            </w:tcBorders>
            <w:vAlign w:val="center"/>
          </w:tcPr>
          <w:p w14:paraId="7F9A13C7" w14:textId="77777777" w:rsidR="003922A9" w:rsidRPr="003922A9" w:rsidRDefault="003922A9" w:rsidP="003922A9">
            <w:pPr>
              <w:pStyle w:val="13"/>
              <w:ind w:firstLineChars="0" w:firstLine="0"/>
              <w:jc w:val="right"/>
              <w:rPr>
                <w:sz w:val="18"/>
                <w:szCs w:val="18"/>
              </w:rPr>
            </w:pPr>
            <w:r w:rsidRPr="003922A9">
              <w:rPr>
                <w:sz w:val="18"/>
                <w:szCs w:val="18"/>
              </w:rPr>
              <w:t>41.07%</w:t>
            </w:r>
          </w:p>
        </w:tc>
        <w:tc>
          <w:tcPr>
            <w:tcW w:w="635" w:type="pct"/>
            <w:tcBorders>
              <w:top w:val="nil"/>
              <w:left w:val="nil"/>
              <w:bottom w:val="single" w:sz="4" w:space="0" w:color="auto"/>
              <w:right w:val="single" w:sz="4" w:space="0" w:color="auto"/>
            </w:tcBorders>
            <w:vAlign w:val="center"/>
          </w:tcPr>
          <w:p w14:paraId="54F5A51D" w14:textId="77777777" w:rsidR="003922A9" w:rsidRPr="003922A9" w:rsidRDefault="003922A9" w:rsidP="003922A9">
            <w:pPr>
              <w:pStyle w:val="13"/>
              <w:ind w:firstLineChars="0" w:firstLine="0"/>
              <w:jc w:val="right"/>
              <w:rPr>
                <w:sz w:val="18"/>
                <w:szCs w:val="18"/>
              </w:rPr>
            </w:pPr>
            <w:r w:rsidRPr="003922A9">
              <w:rPr>
                <w:sz w:val="18"/>
                <w:szCs w:val="18"/>
              </w:rPr>
              <w:t>64.76%</w:t>
            </w:r>
          </w:p>
        </w:tc>
        <w:tc>
          <w:tcPr>
            <w:tcW w:w="635" w:type="pct"/>
            <w:tcBorders>
              <w:top w:val="nil"/>
              <w:left w:val="nil"/>
              <w:bottom w:val="single" w:sz="4" w:space="0" w:color="auto"/>
              <w:right w:val="single" w:sz="4" w:space="0" w:color="auto"/>
            </w:tcBorders>
            <w:vAlign w:val="center"/>
          </w:tcPr>
          <w:p w14:paraId="6ECC320F" w14:textId="77777777" w:rsidR="003922A9" w:rsidRPr="003922A9" w:rsidRDefault="003922A9" w:rsidP="003922A9">
            <w:pPr>
              <w:pStyle w:val="13"/>
              <w:ind w:firstLineChars="0" w:firstLine="0"/>
              <w:jc w:val="right"/>
              <w:rPr>
                <w:sz w:val="18"/>
                <w:szCs w:val="18"/>
              </w:rPr>
            </w:pPr>
            <w:r w:rsidRPr="003922A9">
              <w:rPr>
                <w:sz w:val="18"/>
                <w:szCs w:val="18"/>
              </w:rPr>
              <w:t>83.91%</w:t>
            </w:r>
          </w:p>
        </w:tc>
        <w:tc>
          <w:tcPr>
            <w:tcW w:w="635" w:type="pct"/>
            <w:tcBorders>
              <w:top w:val="nil"/>
              <w:left w:val="nil"/>
              <w:bottom w:val="single" w:sz="4" w:space="0" w:color="auto"/>
              <w:right w:val="single" w:sz="4" w:space="0" w:color="auto"/>
            </w:tcBorders>
            <w:vAlign w:val="center"/>
          </w:tcPr>
          <w:p w14:paraId="2AA95233" w14:textId="77777777" w:rsidR="003922A9" w:rsidRPr="003922A9" w:rsidRDefault="003922A9" w:rsidP="003922A9">
            <w:pPr>
              <w:pStyle w:val="13"/>
              <w:ind w:firstLineChars="0" w:firstLine="0"/>
              <w:jc w:val="right"/>
              <w:rPr>
                <w:sz w:val="18"/>
                <w:szCs w:val="18"/>
              </w:rPr>
            </w:pPr>
            <w:r w:rsidRPr="003922A9">
              <w:rPr>
                <w:sz w:val="18"/>
                <w:szCs w:val="18"/>
              </w:rPr>
              <w:t>81.32%</w:t>
            </w:r>
          </w:p>
        </w:tc>
        <w:tc>
          <w:tcPr>
            <w:tcW w:w="635" w:type="pct"/>
            <w:tcBorders>
              <w:top w:val="nil"/>
              <w:left w:val="nil"/>
              <w:bottom w:val="single" w:sz="4" w:space="0" w:color="auto"/>
              <w:right w:val="single" w:sz="4" w:space="0" w:color="auto"/>
            </w:tcBorders>
            <w:vAlign w:val="center"/>
          </w:tcPr>
          <w:p w14:paraId="3CC345F8" w14:textId="77777777" w:rsidR="003922A9" w:rsidRPr="003922A9" w:rsidRDefault="003922A9" w:rsidP="003922A9">
            <w:pPr>
              <w:pStyle w:val="13"/>
              <w:ind w:firstLineChars="0" w:firstLine="0"/>
              <w:jc w:val="right"/>
              <w:rPr>
                <w:sz w:val="18"/>
                <w:szCs w:val="18"/>
              </w:rPr>
            </w:pPr>
            <w:r w:rsidRPr="003922A9">
              <w:rPr>
                <w:sz w:val="18"/>
                <w:szCs w:val="18"/>
              </w:rPr>
              <w:t>65.65%</w:t>
            </w:r>
          </w:p>
        </w:tc>
      </w:tr>
      <w:tr w:rsidR="003922A9" w:rsidRPr="003922A9" w14:paraId="69D4F310"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42EA882D" w14:textId="77777777" w:rsidR="003922A9" w:rsidRPr="003922A9" w:rsidRDefault="003922A9" w:rsidP="003922A9">
            <w:pPr>
              <w:pStyle w:val="13"/>
              <w:ind w:firstLineChars="0" w:firstLine="0"/>
              <w:jc w:val="center"/>
              <w:rPr>
                <w:sz w:val="18"/>
                <w:szCs w:val="18"/>
              </w:rPr>
            </w:pPr>
            <w:r w:rsidRPr="003922A9">
              <w:rPr>
                <w:sz w:val="18"/>
                <w:szCs w:val="18"/>
              </w:rPr>
              <w:t>000776.SZ</w:t>
            </w:r>
          </w:p>
        </w:tc>
        <w:tc>
          <w:tcPr>
            <w:tcW w:w="565" w:type="pct"/>
            <w:tcBorders>
              <w:top w:val="nil"/>
              <w:left w:val="nil"/>
              <w:bottom w:val="single" w:sz="4" w:space="0" w:color="auto"/>
              <w:right w:val="single" w:sz="4" w:space="0" w:color="auto"/>
            </w:tcBorders>
            <w:vAlign w:val="center"/>
          </w:tcPr>
          <w:p w14:paraId="3A770EF3" w14:textId="77777777" w:rsidR="003922A9" w:rsidRPr="003922A9" w:rsidRDefault="003922A9" w:rsidP="003922A9">
            <w:pPr>
              <w:pStyle w:val="13"/>
              <w:ind w:firstLineChars="0" w:firstLine="0"/>
              <w:jc w:val="center"/>
              <w:rPr>
                <w:sz w:val="18"/>
                <w:szCs w:val="18"/>
              </w:rPr>
            </w:pPr>
            <w:r w:rsidRPr="003922A9">
              <w:rPr>
                <w:sz w:val="18"/>
                <w:szCs w:val="18"/>
              </w:rPr>
              <w:t>广发证券</w:t>
            </w:r>
          </w:p>
        </w:tc>
        <w:tc>
          <w:tcPr>
            <w:tcW w:w="635" w:type="pct"/>
            <w:tcBorders>
              <w:top w:val="nil"/>
              <w:left w:val="nil"/>
              <w:bottom w:val="single" w:sz="4" w:space="0" w:color="auto"/>
              <w:right w:val="single" w:sz="4" w:space="0" w:color="auto"/>
            </w:tcBorders>
            <w:vAlign w:val="center"/>
          </w:tcPr>
          <w:p w14:paraId="048549A3" w14:textId="77777777" w:rsidR="003922A9" w:rsidRPr="003922A9" w:rsidRDefault="003922A9" w:rsidP="003922A9">
            <w:pPr>
              <w:pStyle w:val="13"/>
              <w:ind w:firstLineChars="0" w:firstLine="0"/>
              <w:jc w:val="right"/>
              <w:rPr>
                <w:sz w:val="18"/>
                <w:szCs w:val="18"/>
              </w:rPr>
            </w:pPr>
            <w:r w:rsidRPr="003922A9">
              <w:rPr>
                <w:sz w:val="18"/>
                <w:szCs w:val="18"/>
              </w:rPr>
              <w:t>13.90%</w:t>
            </w:r>
          </w:p>
        </w:tc>
        <w:tc>
          <w:tcPr>
            <w:tcW w:w="635" w:type="pct"/>
            <w:tcBorders>
              <w:top w:val="nil"/>
              <w:left w:val="nil"/>
              <w:bottom w:val="single" w:sz="4" w:space="0" w:color="auto"/>
              <w:right w:val="single" w:sz="4" w:space="0" w:color="auto"/>
            </w:tcBorders>
            <w:vAlign w:val="center"/>
          </w:tcPr>
          <w:p w14:paraId="08669F07" w14:textId="77777777" w:rsidR="003922A9" w:rsidRPr="003922A9" w:rsidRDefault="003922A9" w:rsidP="003922A9">
            <w:pPr>
              <w:pStyle w:val="13"/>
              <w:ind w:firstLineChars="0" w:firstLine="0"/>
              <w:jc w:val="right"/>
              <w:rPr>
                <w:sz w:val="18"/>
                <w:szCs w:val="18"/>
              </w:rPr>
            </w:pPr>
            <w:r w:rsidRPr="003922A9">
              <w:rPr>
                <w:sz w:val="18"/>
                <w:szCs w:val="18"/>
              </w:rPr>
              <w:t>29.32%</w:t>
            </w:r>
          </w:p>
        </w:tc>
        <w:tc>
          <w:tcPr>
            <w:tcW w:w="635" w:type="pct"/>
            <w:tcBorders>
              <w:top w:val="nil"/>
              <w:left w:val="nil"/>
              <w:bottom w:val="single" w:sz="4" w:space="0" w:color="auto"/>
              <w:right w:val="single" w:sz="4" w:space="0" w:color="auto"/>
            </w:tcBorders>
            <w:vAlign w:val="center"/>
          </w:tcPr>
          <w:p w14:paraId="63EF747B" w14:textId="77777777" w:rsidR="003922A9" w:rsidRPr="003922A9" w:rsidRDefault="003922A9" w:rsidP="003922A9">
            <w:pPr>
              <w:pStyle w:val="13"/>
              <w:ind w:firstLineChars="0" w:firstLine="0"/>
              <w:jc w:val="right"/>
              <w:rPr>
                <w:sz w:val="18"/>
                <w:szCs w:val="18"/>
              </w:rPr>
            </w:pPr>
            <w:r w:rsidRPr="003922A9">
              <w:rPr>
                <w:sz w:val="18"/>
                <w:szCs w:val="18"/>
              </w:rPr>
              <w:t>35.72%</w:t>
            </w:r>
          </w:p>
        </w:tc>
        <w:tc>
          <w:tcPr>
            <w:tcW w:w="635" w:type="pct"/>
            <w:tcBorders>
              <w:top w:val="nil"/>
              <w:left w:val="nil"/>
              <w:bottom w:val="single" w:sz="4" w:space="0" w:color="auto"/>
              <w:right w:val="single" w:sz="4" w:space="0" w:color="auto"/>
            </w:tcBorders>
            <w:vAlign w:val="center"/>
          </w:tcPr>
          <w:p w14:paraId="74548193" w14:textId="77777777" w:rsidR="003922A9" w:rsidRPr="003922A9" w:rsidRDefault="003922A9" w:rsidP="003922A9">
            <w:pPr>
              <w:pStyle w:val="13"/>
              <w:ind w:firstLineChars="0" w:firstLine="0"/>
              <w:jc w:val="right"/>
              <w:rPr>
                <w:sz w:val="18"/>
                <w:szCs w:val="18"/>
              </w:rPr>
            </w:pPr>
            <w:r w:rsidRPr="003922A9">
              <w:rPr>
                <w:sz w:val="18"/>
                <w:szCs w:val="18"/>
              </w:rPr>
              <w:t>52.00%</w:t>
            </w:r>
          </w:p>
        </w:tc>
        <w:tc>
          <w:tcPr>
            <w:tcW w:w="635" w:type="pct"/>
            <w:tcBorders>
              <w:top w:val="nil"/>
              <w:left w:val="nil"/>
              <w:bottom w:val="single" w:sz="4" w:space="0" w:color="auto"/>
              <w:right w:val="single" w:sz="4" w:space="0" w:color="auto"/>
            </w:tcBorders>
            <w:vAlign w:val="center"/>
          </w:tcPr>
          <w:p w14:paraId="68FBDE02" w14:textId="77777777" w:rsidR="003922A9" w:rsidRPr="003922A9" w:rsidRDefault="003922A9" w:rsidP="003922A9">
            <w:pPr>
              <w:pStyle w:val="13"/>
              <w:ind w:firstLineChars="0" w:firstLine="0"/>
              <w:jc w:val="right"/>
              <w:rPr>
                <w:sz w:val="18"/>
                <w:szCs w:val="18"/>
              </w:rPr>
            </w:pPr>
            <w:r w:rsidRPr="003922A9">
              <w:rPr>
                <w:sz w:val="18"/>
                <w:szCs w:val="18"/>
              </w:rPr>
              <w:t>52.32%</w:t>
            </w:r>
          </w:p>
        </w:tc>
        <w:tc>
          <w:tcPr>
            <w:tcW w:w="635" w:type="pct"/>
            <w:tcBorders>
              <w:top w:val="nil"/>
              <w:left w:val="nil"/>
              <w:bottom w:val="single" w:sz="4" w:space="0" w:color="auto"/>
              <w:right w:val="single" w:sz="4" w:space="0" w:color="auto"/>
            </w:tcBorders>
            <w:vAlign w:val="center"/>
          </w:tcPr>
          <w:p w14:paraId="2180EB70" w14:textId="77777777" w:rsidR="003922A9" w:rsidRPr="003922A9" w:rsidRDefault="003922A9" w:rsidP="003922A9">
            <w:pPr>
              <w:pStyle w:val="13"/>
              <w:ind w:firstLineChars="0" w:firstLine="0"/>
              <w:jc w:val="right"/>
              <w:rPr>
                <w:sz w:val="18"/>
                <w:szCs w:val="18"/>
              </w:rPr>
            </w:pPr>
            <w:r w:rsidRPr="003922A9">
              <w:rPr>
                <w:sz w:val="18"/>
                <w:szCs w:val="18"/>
              </w:rPr>
              <w:t>52.39%</w:t>
            </w:r>
          </w:p>
        </w:tc>
      </w:tr>
      <w:tr w:rsidR="003922A9" w:rsidRPr="003922A9" w14:paraId="1287FB03"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297DA2AD" w14:textId="77777777" w:rsidR="003922A9" w:rsidRPr="003922A9" w:rsidRDefault="003922A9" w:rsidP="003922A9">
            <w:pPr>
              <w:pStyle w:val="13"/>
              <w:ind w:firstLineChars="0" w:firstLine="0"/>
              <w:jc w:val="center"/>
              <w:rPr>
                <w:sz w:val="18"/>
                <w:szCs w:val="18"/>
              </w:rPr>
            </w:pPr>
            <w:r w:rsidRPr="003922A9">
              <w:rPr>
                <w:sz w:val="18"/>
                <w:szCs w:val="18"/>
              </w:rPr>
              <w:t>000783.SZ</w:t>
            </w:r>
          </w:p>
        </w:tc>
        <w:tc>
          <w:tcPr>
            <w:tcW w:w="565" w:type="pct"/>
            <w:tcBorders>
              <w:top w:val="nil"/>
              <w:left w:val="nil"/>
              <w:bottom w:val="single" w:sz="4" w:space="0" w:color="auto"/>
              <w:right w:val="single" w:sz="4" w:space="0" w:color="auto"/>
            </w:tcBorders>
            <w:vAlign w:val="center"/>
          </w:tcPr>
          <w:p w14:paraId="53D695F9" w14:textId="77777777" w:rsidR="003922A9" w:rsidRPr="003922A9" w:rsidRDefault="003922A9" w:rsidP="003922A9">
            <w:pPr>
              <w:pStyle w:val="13"/>
              <w:ind w:firstLineChars="0" w:firstLine="0"/>
              <w:jc w:val="center"/>
              <w:rPr>
                <w:sz w:val="18"/>
                <w:szCs w:val="18"/>
              </w:rPr>
            </w:pPr>
            <w:r w:rsidRPr="003922A9">
              <w:rPr>
                <w:sz w:val="18"/>
                <w:szCs w:val="18"/>
              </w:rPr>
              <w:t>长江证券</w:t>
            </w:r>
          </w:p>
        </w:tc>
        <w:tc>
          <w:tcPr>
            <w:tcW w:w="635" w:type="pct"/>
            <w:tcBorders>
              <w:top w:val="nil"/>
              <w:left w:val="nil"/>
              <w:bottom w:val="single" w:sz="4" w:space="0" w:color="auto"/>
              <w:right w:val="single" w:sz="4" w:space="0" w:color="auto"/>
            </w:tcBorders>
            <w:vAlign w:val="center"/>
          </w:tcPr>
          <w:p w14:paraId="6A44441A" w14:textId="77777777" w:rsidR="003922A9" w:rsidRPr="003922A9" w:rsidRDefault="003922A9" w:rsidP="003922A9">
            <w:pPr>
              <w:pStyle w:val="13"/>
              <w:ind w:firstLineChars="0" w:firstLine="0"/>
              <w:jc w:val="right"/>
              <w:rPr>
                <w:sz w:val="18"/>
                <w:szCs w:val="18"/>
              </w:rPr>
            </w:pPr>
            <w:r w:rsidRPr="003922A9">
              <w:rPr>
                <w:sz w:val="18"/>
                <w:szCs w:val="18"/>
              </w:rPr>
              <w:t>39.65%</w:t>
            </w:r>
          </w:p>
        </w:tc>
        <w:tc>
          <w:tcPr>
            <w:tcW w:w="635" w:type="pct"/>
            <w:tcBorders>
              <w:top w:val="nil"/>
              <w:left w:val="nil"/>
              <w:bottom w:val="single" w:sz="4" w:space="0" w:color="auto"/>
              <w:right w:val="single" w:sz="4" w:space="0" w:color="auto"/>
            </w:tcBorders>
            <w:vAlign w:val="center"/>
          </w:tcPr>
          <w:p w14:paraId="57F580B2" w14:textId="77777777" w:rsidR="003922A9" w:rsidRPr="003922A9" w:rsidRDefault="003922A9" w:rsidP="003922A9">
            <w:pPr>
              <w:pStyle w:val="13"/>
              <w:ind w:firstLineChars="0" w:firstLine="0"/>
              <w:jc w:val="right"/>
              <w:rPr>
                <w:sz w:val="18"/>
                <w:szCs w:val="18"/>
              </w:rPr>
            </w:pPr>
            <w:r w:rsidRPr="003922A9">
              <w:rPr>
                <w:sz w:val="18"/>
                <w:szCs w:val="18"/>
              </w:rPr>
              <w:t>38.79%</w:t>
            </w:r>
          </w:p>
        </w:tc>
        <w:tc>
          <w:tcPr>
            <w:tcW w:w="635" w:type="pct"/>
            <w:tcBorders>
              <w:top w:val="nil"/>
              <w:left w:val="nil"/>
              <w:bottom w:val="single" w:sz="4" w:space="0" w:color="auto"/>
              <w:right w:val="single" w:sz="4" w:space="0" w:color="auto"/>
            </w:tcBorders>
            <w:vAlign w:val="center"/>
          </w:tcPr>
          <w:p w14:paraId="0057120C" w14:textId="77777777" w:rsidR="003922A9" w:rsidRPr="003922A9" w:rsidRDefault="003922A9" w:rsidP="003922A9">
            <w:pPr>
              <w:pStyle w:val="13"/>
              <w:ind w:firstLineChars="0" w:firstLine="0"/>
              <w:jc w:val="right"/>
              <w:rPr>
                <w:sz w:val="18"/>
                <w:szCs w:val="18"/>
              </w:rPr>
            </w:pPr>
            <w:r w:rsidRPr="003922A9">
              <w:rPr>
                <w:sz w:val="18"/>
                <w:szCs w:val="18"/>
              </w:rPr>
              <w:t>41.43%</w:t>
            </w:r>
          </w:p>
        </w:tc>
        <w:tc>
          <w:tcPr>
            <w:tcW w:w="635" w:type="pct"/>
            <w:tcBorders>
              <w:top w:val="nil"/>
              <w:left w:val="nil"/>
              <w:bottom w:val="single" w:sz="4" w:space="0" w:color="auto"/>
              <w:right w:val="single" w:sz="4" w:space="0" w:color="auto"/>
            </w:tcBorders>
            <w:vAlign w:val="center"/>
          </w:tcPr>
          <w:p w14:paraId="275C009F" w14:textId="77777777" w:rsidR="003922A9" w:rsidRPr="003922A9" w:rsidRDefault="003922A9" w:rsidP="003922A9">
            <w:pPr>
              <w:pStyle w:val="13"/>
              <w:ind w:firstLineChars="0" w:firstLine="0"/>
              <w:jc w:val="right"/>
              <w:rPr>
                <w:sz w:val="18"/>
                <w:szCs w:val="18"/>
              </w:rPr>
            </w:pPr>
            <w:r w:rsidRPr="003922A9">
              <w:rPr>
                <w:sz w:val="18"/>
                <w:szCs w:val="18"/>
              </w:rPr>
              <w:t>67.22%</w:t>
            </w:r>
          </w:p>
        </w:tc>
        <w:tc>
          <w:tcPr>
            <w:tcW w:w="635" w:type="pct"/>
            <w:tcBorders>
              <w:top w:val="nil"/>
              <w:left w:val="nil"/>
              <w:bottom w:val="single" w:sz="4" w:space="0" w:color="auto"/>
              <w:right w:val="single" w:sz="4" w:space="0" w:color="auto"/>
            </w:tcBorders>
            <w:vAlign w:val="center"/>
          </w:tcPr>
          <w:p w14:paraId="0F909853" w14:textId="77777777" w:rsidR="003922A9" w:rsidRPr="003922A9" w:rsidRDefault="003922A9" w:rsidP="003922A9">
            <w:pPr>
              <w:pStyle w:val="13"/>
              <w:ind w:firstLineChars="0" w:firstLine="0"/>
              <w:jc w:val="right"/>
              <w:rPr>
                <w:sz w:val="18"/>
                <w:szCs w:val="18"/>
              </w:rPr>
            </w:pPr>
            <w:r w:rsidRPr="003922A9">
              <w:rPr>
                <w:sz w:val="18"/>
                <w:szCs w:val="18"/>
              </w:rPr>
              <w:t>56.42%</w:t>
            </w:r>
          </w:p>
        </w:tc>
        <w:tc>
          <w:tcPr>
            <w:tcW w:w="635" w:type="pct"/>
            <w:tcBorders>
              <w:top w:val="nil"/>
              <w:left w:val="nil"/>
              <w:bottom w:val="single" w:sz="4" w:space="0" w:color="auto"/>
              <w:right w:val="single" w:sz="4" w:space="0" w:color="auto"/>
            </w:tcBorders>
            <w:vAlign w:val="center"/>
          </w:tcPr>
          <w:p w14:paraId="393071BC" w14:textId="77777777" w:rsidR="003922A9" w:rsidRPr="003922A9" w:rsidRDefault="003922A9" w:rsidP="003922A9">
            <w:pPr>
              <w:pStyle w:val="13"/>
              <w:ind w:firstLineChars="0" w:firstLine="0"/>
              <w:jc w:val="right"/>
              <w:rPr>
                <w:sz w:val="18"/>
                <w:szCs w:val="18"/>
              </w:rPr>
            </w:pPr>
            <w:r w:rsidRPr="003922A9">
              <w:rPr>
                <w:sz w:val="18"/>
                <w:szCs w:val="18"/>
              </w:rPr>
              <w:t>47.17%</w:t>
            </w:r>
          </w:p>
        </w:tc>
      </w:tr>
      <w:tr w:rsidR="003922A9" w:rsidRPr="003922A9" w14:paraId="633643AF"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05B56109" w14:textId="77777777" w:rsidR="003922A9" w:rsidRPr="003922A9" w:rsidRDefault="003922A9" w:rsidP="003922A9">
            <w:pPr>
              <w:pStyle w:val="13"/>
              <w:ind w:firstLineChars="0" w:firstLine="0"/>
              <w:jc w:val="center"/>
              <w:rPr>
                <w:sz w:val="18"/>
                <w:szCs w:val="18"/>
              </w:rPr>
            </w:pPr>
            <w:r w:rsidRPr="003922A9">
              <w:rPr>
                <w:sz w:val="18"/>
                <w:szCs w:val="18"/>
              </w:rPr>
              <w:lastRenderedPageBreak/>
              <w:t>002500.SZ</w:t>
            </w:r>
          </w:p>
        </w:tc>
        <w:tc>
          <w:tcPr>
            <w:tcW w:w="565" w:type="pct"/>
            <w:tcBorders>
              <w:top w:val="nil"/>
              <w:left w:val="nil"/>
              <w:bottom w:val="single" w:sz="4" w:space="0" w:color="auto"/>
              <w:right w:val="single" w:sz="4" w:space="0" w:color="auto"/>
            </w:tcBorders>
            <w:vAlign w:val="center"/>
          </w:tcPr>
          <w:p w14:paraId="1A583990" w14:textId="77777777" w:rsidR="003922A9" w:rsidRPr="003922A9" w:rsidRDefault="003922A9" w:rsidP="003922A9">
            <w:pPr>
              <w:pStyle w:val="13"/>
              <w:ind w:firstLineChars="0" w:firstLine="0"/>
              <w:jc w:val="center"/>
              <w:rPr>
                <w:sz w:val="18"/>
                <w:szCs w:val="18"/>
              </w:rPr>
            </w:pPr>
            <w:r w:rsidRPr="003922A9">
              <w:rPr>
                <w:sz w:val="18"/>
                <w:szCs w:val="18"/>
              </w:rPr>
              <w:t>山西证券</w:t>
            </w:r>
          </w:p>
        </w:tc>
        <w:tc>
          <w:tcPr>
            <w:tcW w:w="635" w:type="pct"/>
            <w:tcBorders>
              <w:top w:val="nil"/>
              <w:left w:val="nil"/>
              <w:bottom w:val="single" w:sz="4" w:space="0" w:color="auto"/>
              <w:right w:val="single" w:sz="4" w:space="0" w:color="auto"/>
            </w:tcBorders>
            <w:vAlign w:val="center"/>
          </w:tcPr>
          <w:p w14:paraId="45A511FE" w14:textId="77777777" w:rsidR="003922A9" w:rsidRPr="003922A9" w:rsidRDefault="003922A9" w:rsidP="003922A9">
            <w:pPr>
              <w:pStyle w:val="13"/>
              <w:ind w:firstLineChars="0" w:firstLine="0"/>
              <w:jc w:val="right"/>
              <w:rPr>
                <w:sz w:val="18"/>
                <w:szCs w:val="18"/>
              </w:rPr>
            </w:pPr>
            <w:r w:rsidRPr="003922A9">
              <w:rPr>
                <w:sz w:val="18"/>
                <w:szCs w:val="18"/>
              </w:rPr>
              <w:t>44.57%</w:t>
            </w:r>
          </w:p>
        </w:tc>
        <w:tc>
          <w:tcPr>
            <w:tcW w:w="635" w:type="pct"/>
            <w:tcBorders>
              <w:top w:val="nil"/>
              <w:left w:val="nil"/>
              <w:bottom w:val="single" w:sz="4" w:space="0" w:color="auto"/>
              <w:right w:val="single" w:sz="4" w:space="0" w:color="auto"/>
            </w:tcBorders>
            <w:vAlign w:val="center"/>
          </w:tcPr>
          <w:p w14:paraId="68B01E74" w14:textId="77777777" w:rsidR="003922A9" w:rsidRPr="003922A9" w:rsidRDefault="003922A9" w:rsidP="003922A9">
            <w:pPr>
              <w:pStyle w:val="13"/>
              <w:ind w:firstLineChars="0" w:firstLine="0"/>
              <w:jc w:val="right"/>
              <w:rPr>
                <w:sz w:val="18"/>
                <w:szCs w:val="18"/>
              </w:rPr>
            </w:pPr>
            <w:r w:rsidRPr="003922A9">
              <w:rPr>
                <w:sz w:val="18"/>
                <w:szCs w:val="18"/>
              </w:rPr>
              <w:t>36.44%</w:t>
            </w:r>
          </w:p>
        </w:tc>
        <w:tc>
          <w:tcPr>
            <w:tcW w:w="635" w:type="pct"/>
            <w:tcBorders>
              <w:top w:val="nil"/>
              <w:left w:val="nil"/>
              <w:bottom w:val="single" w:sz="4" w:space="0" w:color="auto"/>
              <w:right w:val="single" w:sz="4" w:space="0" w:color="auto"/>
            </w:tcBorders>
            <w:vAlign w:val="center"/>
          </w:tcPr>
          <w:p w14:paraId="478D3888" w14:textId="77777777" w:rsidR="003922A9" w:rsidRPr="003922A9" w:rsidRDefault="003922A9" w:rsidP="003922A9">
            <w:pPr>
              <w:pStyle w:val="13"/>
              <w:ind w:firstLineChars="0" w:firstLine="0"/>
              <w:jc w:val="right"/>
              <w:rPr>
                <w:sz w:val="18"/>
                <w:szCs w:val="18"/>
              </w:rPr>
            </w:pPr>
            <w:r w:rsidRPr="003922A9">
              <w:rPr>
                <w:sz w:val="18"/>
                <w:szCs w:val="18"/>
              </w:rPr>
              <w:t>45.55%</w:t>
            </w:r>
          </w:p>
        </w:tc>
        <w:tc>
          <w:tcPr>
            <w:tcW w:w="635" w:type="pct"/>
            <w:tcBorders>
              <w:top w:val="nil"/>
              <w:left w:val="nil"/>
              <w:bottom w:val="single" w:sz="4" w:space="0" w:color="auto"/>
              <w:right w:val="single" w:sz="4" w:space="0" w:color="auto"/>
            </w:tcBorders>
            <w:vAlign w:val="center"/>
          </w:tcPr>
          <w:p w14:paraId="0FBEA4EE" w14:textId="77777777" w:rsidR="003922A9" w:rsidRPr="003922A9" w:rsidRDefault="003922A9" w:rsidP="003922A9">
            <w:pPr>
              <w:pStyle w:val="13"/>
              <w:ind w:firstLineChars="0" w:firstLine="0"/>
              <w:jc w:val="right"/>
              <w:rPr>
                <w:sz w:val="18"/>
                <w:szCs w:val="18"/>
              </w:rPr>
            </w:pPr>
            <w:r w:rsidRPr="003922A9">
              <w:rPr>
                <w:sz w:val="18"/>
                <w:szCs w:val="18"/>
              </w:rPr>
              <w:t>63.07%</w:t>
            </w:r>
          </w:p>
        </w:tc>
        <w:tc>
          <w:tcPr>
            <w:tcW w:w="635" w:type="pct"/>
            <w:tcBorders>
              <w:top w:val="nil"/>
              <w:left w:val="nil"/>
              <w:bottom w:val="single" w:sz="4" w:space="0" w:color="auto"/>
              <w:right w:val="single" w:sz="4" w:space="0" w:color="auto"/>
            </w:tcBorders>
            <w:vAlign w:val="center"/>
          </w:tcPr>
          <w:p w14:paraId="1FCA0B0A" w14:textId="77777777" w:rsidR="003922A9" w:rsidRPr="003922A9" w:rsidRDefault="003922A9" w:rsidP="003922A9">
            <w:pPr>
              <w:pStyle w:val="13"/>
              <w:ind w:firstLineChars="0" w:firstLine="0"/>
              <w:jc w:val="right"/>
              <w:rPr>
                <w:sz w:val="18"/>
                <w:szCs w:val="18"/>
              </w:rPr>
            </w:pPr>
            <w:r w:rsidRPr="003922A9">
              <w:rPr>
                <w:sz w:val="18"/>
                <w:szCs w:val="18"/>
              </w:rPr>
              <w:t>69.17%</w:t>
            </w:r>
          </w:p>
        </w:tc>
        <w:tc>
          <w:tcPr>
            <w:tcW w:w="635" w:type="pct"/>
            <w:tcBorders>
              <w:top w:val="nil"/>
              <w:left w:val="nil"/>
              <w:bottom w:val="single" w:sz="4" w:space="0" w:color="auto"/>
              <w:right w:val="single" w:sz="4" w:space="0" w:color="auto"/>
            </w:tcBorders>
            <w:vAlign w:val="center"/>
          </w:tcPr>
          <w:p w14:paraId="25164A8A" w14:textId="77777777" w:rsidR="003922A9" w:rsidRPr="003922A9" w:rsidRDefault="003922A9" w:rsidP="003922A9">
            <w:pPr>
              <w:pStyle w:val="13"/>
              <w:ind w:firstLineChars="0" w:firstLine="0"/>
              <w:jc w:val="right"/>
              <w:rPr>
                <w:sz w:val="18"/>
                <w:szCs w:val="18"/>
              </w:rPr>
            </w:pPr>
            <w:r w:rsidRPr="003922A9">
              <w:rPr>
                <w:sz w:val="18"/>
                <w:szCs w:val="18"/>
              </w:rPr>
              <w:t>52.80%</w:t>
            </w:r>
          </w:p>
        </w:tc>
      </w:tr>
      <w:tr w:rsidR="003922A9" w:rsidRPr="003922A9" w14:paraId="5451C452"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33CF6937" w14:textId="77777777" w:rsidR="003922A9" w:rsidRPr="003922A9" w:rsidRDefault="003922A9" w:rsidP="003922A9">
            <w:pPr>
              <w:pStyle w:val="13"/>
              <w:ind w:firstLineChars="0" w:firstLine="0"/>
              <w:jc w:val="center"/>
              <w:rPr>
                <w:sz w:val="18"/>
                <w:szCs w:val="18"/>
              </w:rPr>
            </w:pPr>
            <w:r w:rsidRPr="003922A9">
              <w:rPr>
                <w:sz w:val="18"/>
                <w:szCs w:val="18"/>
              </w:rPr>
              <w:t>002673.SZ</w:t>
            </w:r>
          </w:p>
        </w:tc>
        <w:tc>
          <w:tcPr>
            <w:tcW w:w="565" w:type="pct"/>
            <w:tcBorders>
              <w:top w:val="nil"/>
              <w:left w:val="nil"/>
              <w:bottom w:val="single" w:sz="4" w:space="0" w:color="auto"/>
              <w:right w:val="single" w:sz="4" w:space="0" w:color="auto"/>
            </w:tcBorders>
            <w:vAlign w:val="center"/>
          </w:tcPr>
          <w:p w14:paraId="37043840" w14:textId="77777777" w:rsidR="003922A9" w:rsidRPr="003922A9" w:rsidRDefault="003922A9" w:rsidP="003922A9">
            <w:pPr>
              <w:pStyle w:val="13"/>
              <w:ind w:firstLineChars="0" w:firstLine="0"/>
              <w:jc w:val="center"/>
              <w:rPr>
                <w:sz w:val="18"/>
                <w:szCs w:val="18"/>
              </w:rPr>
            </w:pPr>
            <w:r w:rsidRPr="003922A9">
              <w:rPr>
                <w:sz w:val="18"/>
                <w:szCs w:val="18"/>
              </w:rPr>
              <w:t>西部证券</w:t>
            </w:r>
          </w:p>
        </w:tc>
        <w:tc>
          <w:tcPr>
            <w:tcW w:w="635" w:type="pct"/>
            <w:tcBorders>
              <w:top w:val="nil"/>
              <w:left w:val="nil"/>
              <w:bottom w:val="single" w:sz="4" w:space="0" w:color="auto"/>
              <w:right w:val="single" w:sz="4" w:space="0" w:color="auto"/>
            </w:tcBorders>
            <w:vAlign w:val="center"/>
          </w:tcPr>
          <w:p w14:paraId="37EEBDDA" w14:textId="77777777" w:rsidR="003922A9" w:rsidRPr="003922A9" w:rsidRDefault="003922A9" w:rsidP="003922A9">
            <w:pPr>
              <w:pStyle w:val="13"/>
              <w:ind w:firstLineChars="0" w:firstLine="0"/>
              <w:jc w:val="right"/>
              <w:rPr>
                <w:sz w:val="18"/>
                <w:szCs w:val="18"/>
              </w:rPr>
            </w:pPr>
            <w:r w:rsidRPr="003922A9">
              <w:rPr>
                <w:sz w:val="18"/>
                <w:szCs w:val="18"/>
              </w:rPr>
              <w:t>40.86%</w:t>
            </w:r>
          </w:p>
        </w:tc>
        <w:tc>
          <w:tcPr>
            <w:tcW w:w="635" w:type="pct"/>
            <w:tcBorders>
              <w:top w:val="nil"/>
              <w:left w:val="nil"/>
              <w:bottom w:val="single" w:sz="4" w:space="0" w:color="auto"/>
              <w:right w:val="single" w:sz="4" w:space="0" w:color="auto"/>
            </w:tcBorders>
            <w:vAlign w:val="center"/>
          </w:tcPr>
          <w:p w14:paraId="5CF61C6D" w14:textId="77777777" w:rsidR="003922A9" w:rsidRPr="003922A9" w:rsidRDefault="003922A9" w:rsidP="003922A9">
            <w:pPr>
              <w:pStyle w:val="13"/>
              <w:ind w:firstLineChars="0" w:firstLine="0"/>
              <w:jc w:val="right"/>
              <w:rPr>
                <w:sz w:val="18"/>
                <w:szCs w:val="18"/>
              </w:rPr>
            </w:pPr>
            <w:r w:rsidRPr="003922A9">
              <w:rPr>
                <w:sz w:val="18"/>
                <w:szCs w:val="18"/>
              </w:rPr>
              <w:t>34.14%</w:t>
            </w:r>
          </w:p>
        </w:tc>
        <w:tc>
          <w:tcPr>
            <w:tcW w:w="635" w:type="pct"/>
            <w:tcBorders>
              <w:top w:val="nil"/>
              <w:left w:val="nil"/>
              <w:bottom w:val="single" w:sz="4" w:space="0" w:color="auto"/>
              <w:right w:val="single" w:sz="4" w:space="0" w:color="auto"/>
            </w:tcBorders>
            <w:vAlign w:val="center"/>
          </w:tcPr>
          <w:p w14:paraId="68AD5F55" w14:textId="77777777" w:rsidR="003922A9" w:rsidRPr="003922A9" w:rsidRDefault="003922A9" w:rsidP="003922A9">
            <w:pPr>
              <w:pStyle w:val="13"/>
              <w:ind w:firstLineChars="0" w:firstLine="0"/>
              <w:jc w:val="right"/>
              <w:rPr>
                <w:sz w:val="18"/>
                <w:szCs w:val="18"/>
              </w:rPr>
            </w:pPr>
            <w:r w:rsidRPr="003922A9">
              <w:rPr>
                <w:sz w:val="18"/>
                <w:szCs w:val="18"/>
              </w:rPr>
              <w:t>48.21%</w:t>
            </w:r>
          </w:p>
        </w:tc>
        <w:tc>
          <w:tcPr>
            <w:tcW w:w="635" w:type="pct"/>
            <w:tcBorders>
              <w:top w:val="nil"/>
              <w:left w:val="nil"/>
              <w:bottom w:val="single" w:sz="4" w:space="0" w:color="auto"/>
              <w:right w:val="single" w:sz="4" w:space="0" w:color="auto"/>
            </w:tcBorders>
            <w:vAlign w:val="center"/>
          </w:tcPr>
          <w:p w14:paraId="5E2F22A2" w14:textId="77777777" w:rsidR="003922A9" w:rsidRPr="003922A9" w:rsidRDefault="003922A9" w:rsidP="003922A9">
            <w:pPr>
              <w:pStyle w:val="13"/>
              <w:ind w:firstLineChars="0" w:firstLine="0"/>
              <w:jc w:val="right"/>
              <w:rPr>
                <w:sz w:val="18"/>
                <w:szCs w:val="18"/>
              </w:rPr>
            </w:pPr>
            <w:r w:rsidRPr="003922A9">
              <w:rPr>
                <w:sz w:val="18"/>
                <w:szCs w:val="18"/>
              </w:rPr>
              <w:t>63.85%</w:t>
            </w:r>
          </w:p>
        </w:tc>
        <w:tc>
          <w:tcPr>
            <w:tcW w:w="635" w:type="pct"/>
            <w:tcBorders>
              <w:top w:val="nil"/>
              <w:left w:val="nil"/>
              <w:bottom w:val="single" w:sz="4" w:space="0" w:color="auto"/>
              <w:right w:val="single" w:sz="4" w:space="0" w:color="auto"/>
            </w:tcBorders>
            <w:vAlign w:val="center"/>
          </w:tcPr>
          <w:p w14:paraId="51508A20" w14:textId="77777777" w:rsidR="003922A9" w:rsidRPr="003922A9" w:rsidRDefault="003922A9" w:rsidP="003922A9">
            <w:pPr>
              <w:pStyle w:val="13"/>
              <w:ind w:firstLineChars="0" w:firstLine="0"/>
              <w:jc w:val="right"/>
              <w:rPr>
                <w:sz w:val="18"/>
                <w:szCs w:val="18"/>
              </w:rPr>
            </w:pPr>
            <w:r w:rsidRPr="003922A9">
              <w:rPr>
                <w:sz w:val="18"/>
                <w:szCs w:val="18"/>
              </w:rPr>
              <w:t>70.65%</w:t>
            </w:r>
          </w:p>
        </w:tc>
        <w:tc>
          <w:tcPr>
            <w:tcW w:w="635" w:type="pct"/>
            <w:tcBorders>
              <w:top w:val="nil"/>
              <w:left w:val="nil"/>
              <w:bottom w:val="single" w:sz="4" w:space="0" w:color="auto"/>
              <w:right w:val="single" w:sz="4" w:space="0" w:color="auto"/>
            </w:tcBorders>
            <w:vAlign w:val="center"/>
          </w:tcPr>
          <w:p w14:paraId="19CFCF56" w14:textId="77777777" w:rsidR="003922A9" w:rsidRPr="003922A9" w:rsidRDefault="003922A9" w:rsidP="003922A9">
            <w:pPr>
              <w:pStyle w:val="13"/>
              <w:ind w:firstLineChars="0" w:firstLine="0"/>
              <w:jc w:val="right"/>
              <w:rPr>
                <w:sz w:val="18"/>
                <w:szCs w:val="18"/>
              </w:rPr>
            </w:pPr>
            <w:r w:rsidRPr="003922A9">
              <w:rPr>
                <w:sz w:val="18"/>
                <w:szCs w:val="18"/>
              </w:rPr>
              <w:t>60.42%</w:t>
            </w:r>
          </w:p>
        </w:tc>
      </w:tr>
      <w:tr w:rsidR="003922A9" w:rsidRPr="003922A9" w14:paraId="13971C88"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5FE572D3" w14:textId="77777777" w:rsidR="003922A9" w:rsidRPr="003922A9" w:rsidRDefault="003922A9" w:rsidP="003922A9">
            <w:pPr>
              <w:pStyle w:val="13"/>
              <w:ind w:firstLineChars="0" w:firstLine="0"/>
              <w:jc w:val="center"/>
              <w:rPr>
                <w:sz w:val="18"/>
                <w:szCs w:val="18"/>
              </w:rPr>
            </w:pPr>
            <w:r w:rsidRPr="003922A9">
              <w:rPr>
                <w:sz w:val="18"/>
                <w:szCs w:val="18"/>
              </w:rPr>
              <w:t>002736.SZ</w:t>
            </w:r>
          </w:p>
        </w:tc>
        <w:tc>
          <w:tcPr>
            <w:tcW w:w="565" w:type="pct"/>
            <w:tcBorders>
              <w:top w:val="nil"/>
              <w:left w:val="nil"/>
              <w:bottom w:val="single" w:sz="4" w:space="0" w:color="auto"/>
              <w:right w:val="single" w:sz="4" w:space="0" w:color="auto"/>
            </w:tcBorders>
            <w:vAlign w:val="center"/>
          </w:tcPr>
          <w:p w14:paraId="0072FE38" w14:textId="77777777" w:rsidR="003922A9" w:rsidRPr="003922A9" w:rsidRDefault="003922A9" w:rsidP="003922A9">
            <w:pPr>
              <w:pStyle w:val="13"/>
              <w:ind w:firstLineChars="0" w:firstLine="0"/>
              <w:jc w:val="center"/>
              <w:rPr>
                <w:sz w:val="18"/>
                <w:szCs w:val="18"/>
              </w:rPr>
            </w:pPr>
            <w:r w:rsidRPr="003922A9">
              <w:rPr>
                <w:sz w:val="18"/>
                <w:szCs w:val="18"/>
              </w:rPr>
              <w:t>国信证券</w:t>
            </w:r>
          </w:p>
        </w:tc>
        <w:tc>
          <w:tcPr>
            <w:tcW w:w="635" w:type="pct"/>
            <w:tcBorders>
              <w:top w:val="nil"/>
              <w:left w:val="nil"/>
              <w:bottom w:val="single" w:sz="4" w:space="0" w:color="auto"/>
              <w:right w:val="single" w:sz="4" w:space="0" w:color="auto"/>
            </w:tcBorders>
            <w:vAlign w:val="center"/>
          </w:tcPr>
          <w:p w14:paraId="568F5D98" w14:textId="77777777" w:rsidR="003922A9" w:rsidRPr="003922A9" w:rsidRDefault="003922A9" w:rsidP="003922A9">
            <w:pPr>
              <w:pStyle w:val="13"/>
              <w:ind w:firstLineChars="0" w:firstLine="0"/>
              <w:jc w:val="right"/>
              <w:rPr>
                <w:sz w:val="18"/>
                <w:szCs w:val="18"/>
              </w:rPr>
            </w:pPr>
            <w:r w:rsidRPr="003922A9">
              <w:rPr>
                <w:sz w:val="18"/>
                <w:szCs w:val="18"/>
              </w:rPr>
              <w:t>42.47%</w:t>
            </w:r>
          </w:p>
        </w:tc>
        <w:tc>
          <w:tcPr>
            <w:tcW w:w="635" w:type="pct"/>
            <w:tcBorders>
              <w:top w:val="nil"/>
              <w:left w:val="nil"/>
              <w:bottom w:val="single" w:sz="4" w:space="0" w:color="auto"/>
              <w:right w:val="single" w:sz="4" w:space="0" w:color="auto"/>
            </w:tcBorders>
            <w:vAlign w:val="center"/>
          </w:tcPr>
          <w:p w14:paraId="55067359" w14:textId="77777777" w:rsidR="003922A9" w:rsidRPr="003922A9" w:rsidRDefault="003922A9" w:rsidP="003922A9">
            <w:pPr>
              <w:pStyle w:val="13"/>
              <w:ind w:firstLineChars="0" w:firstLine="0"/>
              <w:jc w:val="right"/>
              <w:rPr>
                <w:sz w:val="18"/>
                <w:szCs w:val="18"/>
              </w:rPr>
            </w:pPr>
            <w:r w:rsidRPr="003922A9">
              <w:rPr>
                <w:sz w:val="18"/>
                <w:szCs w:val="18"/>
              </w:rPr>
              <w:t>32.14%</w:t>
            </w:r>
          </w:p>
        </w:tc>
        <w:tc>
          <w:tcPr>
            <w:tcW w:w="635" w:type="pct"/>
            <w:tcBorders>
              <w:top w:val="nil"/>
              <w:left w:val="nil"/>
              <w:bottom w:val="single" w:sz="4" w:space="0" w:color="auto"/>
              <w:right w:val="single" w:sz="4" w:space="0" w:color="auto"/>
            </w:tcBorders>
            <w:vAlign w:val="center"/>
          </w:tcPr>
          <w:p w14:paraId="73840E8C" w14:textId="77777777" w:rsidR="003922A9" w:rsidRPr="003922A9" w:rsidRDefault="003922A9" w:rsidP="003922A9">
            <w:pPr>
              <w:pStyle w:val="13"/>
              <w:ind w:firstLineChars="0" w:firstLine="0"/>
              <w:jc w:val="right"/>
              <w:rPr>
                <w:sz w:val="18"/>
                <w:szCs w:val="18"/>
              </w:rPr>
            </w:pPr>
            <w:r w:rsidRPr="003922A9">
              <w:rPr>
                <w:sz w:val="18"/>
                <w:szCs w:val="18"/>
              </w:rPr>
              <w:t>42.35%</w:t>
            </w:r>
          </w:p>
        </w:tc>
        <w:tc>
          <w:tcPr>
            <w:tcW w:w="635" w:type="pct"/>
            <w:tcBorders>
              <w:top w:val="nil"/>
              <w:left w:val="nil"/>
              <w:bottom w:val="single" w:sz="4" w:space="0" w:color="auto"/>
              <w:right w:val="single" w:sz="4" w:space="0" w:color="auto"/>
            </w:tcBorders>
            <w:vAlign w:val="center"/>
          </w:tcPr>
          <w:p w14:paraId="2C2EFC4F" w14:textId="77777777" w:rsidR="003922A9" w:rsidRPr="003922A9" w:rsidRDefault="003922A9" w:rsidP="003922A9">
            <w:pPr>
              <w:pStyle w:val="13"/>
              <w:ind w:firstLineChars="0" w:firstLine="0"/>
              <w:jc w:val="right"/>
              <w:rPr>
                <w:sz w:val="18"/>
                <w:szCs w:val="18"/>
              </w:rPr>
            </w:pPr>
            <w:r w:rsidRPr="003922A9">
              <w:rPr>
                <w:sz w:val="18"/>
                <w:szCs w:val="18"/>
              </w:rPr>
              <w:t>54.46%</w:t>
            </w:r>
          </w:p>
        </w:tc>
        <w:tc>
          <w:tcPr>
            <w:tcW w:w="635" w:type="pct"/>
            <w:tcBorders>
              <w:top w:val="nil"/>
              <w:left w:val="nil"/>
              <w:bottom w:val="single" w:sz="4" w:space="0" w:color="auto"/>
              <w:right w:val="single" w:sz="4" w:space="0" w:color="auto"/>
            </w:tcBorders>
            <w:vAlign w:val="center"/>
          </w:tcPr>
          <w:p w14:paraId="21922876" w14:textId="77777777" w:rsidR="003922A9" w:rsidRPr="003922A9" w:rsidRDefault="003922A9" w:rsidP="003922A9">
            <w:pPr>
              <w:pStyle w:val="13"/>
              <w:ind w:firstLineChars="0" w:firstLine="0"/>
              <w:jc w:val="right"/>
              <w:rPr>
                <w:sz w:val="18"/>
                <w:szCs w:val="18"/>
              </w:rPr>
            </w:pPr>
            <w:r w:rsidRPr="003922A9">
              <w:rPr>
                <w:sz w:val="18"/>
                <w:szCs w:val="18"/>
              </w:rPr>
              <w:t>57.16%</w:t>
            </w:r>
          </w:p>
        </w:tc>
        <w:tc>
          <w:tcPr>
            <w:tcW w:w="635" w:type="pct"/>
            <w:tcBorders>
              <w:top w:val="nil"/>
              <w:left w:val="nil"/>
              <w:bottom w:val="single" w:sz="4" w:space="0" w:color="auto"/>
              <w:right w:val="single" w:sz="4" w:space="0" w:color="auto"/>
            </w:tcBorders>
            <w:vAlign w:val="center"/>
          </w:tcPr>
          <w:p w14:paraId="7F26EE76" w14:textId="77777777" w:rsidR="003922A9" w:rsidRPr="003922A9" w:rsidRDefault="003922A9" w:rsidP="003922A9">
            <w:pPr>
              <w:pStyle w:val="13"/>
              <w:ind w:firstLineChars="0" w:firstLine="0"/>
              <w:jc w:val="right"/>
              <w:rPr>
                <w:sz w:val="18"/>
                <w:szCs w:val="18"/>
              </w:rPr>
            </w:pPr>
            <w:r w:rsidRPr="003922A9">
              <w:rPr>
                <w:sz w:val="18"/>
                <w:szCs w:val="18"/>
              </w:rPr>
              <w:t>48.49%</w:t>
            </w:r>
          </w:p>
        </w:tc>
      </w:tr>
      <w:tr w:rsidR="003922A9" w:rsidRPr="003922A9" w14:paraId="04B2D5F1"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272E4408" w14:textId="77777777" w:rsidR="003922A9" w:rsidRPr="003922A9" w:rsidRDefault="003922A9" w:rsidP="003922A9">
            <w:pPr>
              <w:pStyle w:val="13"/>
              <w:ind w:firstLineChars="0" w:firstLine="0"/>
              <w:jc w:val="center"/>
              <w:rPr>
                <w:sz w:val="18"/>
                <w:szCs w:val="18"/>
              </w:rPr>
            </w:pPr>
            <w:r w:rsidRPr="003922A9">
              <w:rPr>
                <w:sz w:val="18"/>
                <w:szCs w:val="18"/>
              </w:rPr>
              <w:t>600030.SH</w:t>
            </w:r>
          </w:p>
        </w:tc>
        <w:tc>
          <w:tcPr>
            <w:tcW w:w="565" w:type="pct"/>
            <w:tcBorders>
              <w:top w:val="nil"/>
              <w:left w:val="nil"/>
              <w:bottom w:val="single" w:sz="4" w:space="0" w:color="auto"/>
              <w:right w:val="single" w:sz="4" w:space="0" w:color="auto"/>
            </w:tcBorders>
            <w:vAlign w:val="center"/>
          </w:tcPr>
          <w:p w14:paraId="34F4AA58" w14:textId="77777777" w:rsidR="003922A9" w:rsidRPr="003922A9" w:rsidRDefault="003922A9" w:rsidP="003922A9">
            <w:pPr>
              <w:pStyle w:val="13"/>
              <w:ind w:firstLineChars="0" w:firstLine="0"/>
              <w:jc w:val="center"/>
              <w:rPr>
                <w:sz w:val="18"/>
                <w:szCs w:val="18"/>
              </w:rPr>
            </w:pPr>
            <w:r w:rsidRPr="003922A9">
              <w:rPr>
                <w:sz w:val="18"/>
                <w:szCs w:val="18"/>
              </w:rPr>
              <w:t>中信证券</w:t>
            </w:r>
          </w:p>
        </w:tc>
        <w:tc>
          <w:tcPr>
            <w:tcW w:w="635" w:type="pct"/>
            <w:tcBorders>
              <w:top w:val="nil"/>
              <w:left w:val="nil"/>
              <w:bottom w:val="single" w:sz="4" w:space="0" w:color="auto"/>
              <w:right w:val="single" w:sz="4" w:space="0" w:color="auto"/>
            </w:tcBorders>
            <w:vAlign w:val="center"/>
          </w:tcPr>
          <w:p w14:paraId="2937B7BB" w14:textId="77777777" w:rsidR="003922A9" w:rsidRPr="003922A9" w:rsidRDefault="003922A9" w:rsidP="003922A9">
            <w:pPr>
              <w:pStyle w:val="13"/>
              <w:ind w:firstLineChars="0" w:firstLine="0"/>
              <w:jc w:val="right"/>
              <w:rPr>
                <w:sz w:val="18"/>
                <w:szCs w:val="18"/>
              </w:rPr>
            </w:pPr>
            <w:r w:rsidRPr="003922A9">
              <w:rPr>
                <w:sz w:val="18"/>
                <w:szCs w:val="18"/>
              </w:rPr>
              <w:t>23.25%</w:t>
            </w:r>
          </w:p>
        </w:tc>
        <w:tc>
          <w:tcPr>
            <w:tcW w:w="635" w:type="pct"/>
            <w:tcBorders>
              <w:top w:val="nil"/>
              <w:left w:val="nil"/>
              <w:bottom w:val="single" w:sz="4" w:space="0" w:color="auto"/>
              <w:right w:val="single" w:sz="4" w:space="0" w:color="auto"/>
            </w:tcBorders>
            <w:vAlign w:val="center"/>
          </w:tcPr>
          <w:p w14:paraId="59903887" w14:textId="77777777" w:rsidR="003922A9" w:rsidRPr="003922A9" w:rsidRDefault="003922A9" w:rsidP="003922A9">
            <w:pPr>
              <w:pStyle w:val="13"/>
              <w:ind w:firstLineChars="0" w:firstLine="0"/>
              <w:jc w:val="right"/>
              <w:rPr>
                <w:sz w:val="18"/>
                <w:szCs w:val="18"/>
              </w:rPr>
            </w:pPr>
            <w:r w:rsidRPr="003922A9">
              <w:rPr>
                <w:sz w:val="18"/>
                <w:szCs w:val="18"/>
              </w:rPr>
              <w:t>24.73%</w:t>
            </w:r>
          </w:p>
        </w:tc>
        <w:tc>
          <w:tcPr>
            <w:tcW w:w="635" w:type="pct"/>
            <w:tcBorders>
              <w:top w:val="nil"/>
              <w:left w:val="nil"/>
              <w:bottom w:val="single" w:sz="4" w:space="0" w:color="auto"/>
              <w:right w:val="single" w:sz="4" w:space="0" w:color="auto"/>
            </w:tcBorders>
            <w:vAlign w:val="center"/>
          </w:tcPr>
          <w:p w14:paraId="0CD58AB5" w14:textId="77777777" w:rsidR="003922A9" w:rsidRPr="003922A9" w:rsidRDefault="003922A9" w:rsidP="003922A9">
            <w:pPr>
              <w:pStyle w:val="13"/>
              <w:ind w:firstLineChars="0" w:firstLine="0"/>
              <w:jc w:val="right"/>
              <w:rPr>
                <w:sz w:val="18"/>
                <w:szCs w:val="18"/>
              </w:rPr>
            </w:pPr>
            <w:r w:rsidRPr="003922A9">
              <w:rPr>
                <w:sz w:val="18"/>
                <w:szCs w:val="18"/>
              </w:rPr>
              <w:t>22.92%</w:t>
            </w:r>
          </w:p>
        </w:tc>
        <w:tc>
          <w:tcPr>
            <w:tcW w:w="635" w:type="pct"/>
            <w:tcBorders>
              <w:top w:val="nil"/>
              <w:left w:val="nil"/>
              <w:bottom w:val="single" w:sz="4" w:space="0" w:color="auto"/>
              <w:right w:val="single" w:sz="4" w:space="0" w:color="auto"/>
            </w:tcBorders>
            <w:vAlign w:val="center"/>
          </w:tcPr>
          <w:p w14:paraId="7736F84C" w14:textId="77777777" w:rsidR="003922A9" w:rsidRPr="003922A9" w:rsidRDefault="003922A9" w:rsidP="003922A9">
            <w:pPr>
              <w:pStyle w:val="13"/>
              <w:ind w:firstLineChars="0" w:firstLine="0"/>
              <w:jc w:val="right"/>
              <w:rPr>
                <w:sz w:val="18"/>
                <w:szCs w:val="18"/>
              </w:rPr>
            </w:pPr>
            <w:r w:rsidRPr="003922A9">
              <w:rPr>
                <w:sz w:val="18"/>
                <w:szCs w:val="18"/>
              </w:rPr>
              <w:t>27.46%</w:t>
            </w:r>
          </w:p>
        </w:tc>
        <w:tc>
          <w:tcPr>
            <w:tcW w:w="635" w:type="pct"/>
            <w:tcBorders>
              <w:top w:val="nil"/>
              <w:left w:val="nil"/>
              <w:bottom w:val="single" w:sz="4" w:space="0" w:color="auto"/>
              <w:right w:val="single" w:sz="4" w:space="0" w:color="auto"/>
            </w:tcBorders>
            <w:vAlign w:val="center"/>
          </w:tcPr>
          <w:p w14:paraId="12E084CE" w14:textId="77777777" w:rsidR="003922A9" w:rsidRPr="003922A9" w:rsidRDefault="003922A9" w:rsidP="003922A9">
            <w:pPr>
              <w:pStyle w:val="13"/>
              <w:ind w:firstLineChars="0" w:firstLine="0"/>
              <w:jc w:val="right"/>
              <w:rPr>
                <w:sz w:val="18"/>
                <w:szCs w:val="18"/>
              </w:rPr>
            </w:pPr>
            <w:r w:rsidRPr="003922A9">
              <w:rPr>
                <w:sz w:val="18"/>
                <w:szCs w:val="18"/>
              </w:rPr>
              <w:t>45.37%</w:t>
            </w:r>
          </w:p>
        </w:tc>
        <w:tc>
          <w:tcPr>
            <w:tcW w:w="635" w:type="pct"/>
            <w:tcBorders>
              <w:top w:val="nil"/>
              <w:left w:val="nil"/>
              <w:bottom w:val="single" w:sz="4" w:space="0" w:color="auto"/>
              <w:right w:val="single" w:sz="4" w:space="0" w:color="auto"/>
            </w:tcBorders>
            <w:vAlign w:val="center"/>
          </w:tcPr>
          <w:p w14:paraId="4A539CCA" w14:textId="77777777" w:rsidR="003922A9" w:rsidRPr="003922A9" w:rsidRDefault="003922A9" w:rsidP="003922A9">
            <w:pPr>
              <w:pStyle w:val="13"/>
              <w:ind w:firstLineChars="0" w:firstLine="0"/>
              <w:jc w:val="right"/>
              <w:rPr>
                <w:sz w:val="18"/>
                <w:szCs w:val="18"/>
              </w:rPr>
            </w:pPr>
            <w:r w:rsidRPr="003922A9">
              <w:rPr>
                <w:sz w:val="18"/>
                <w:szCs w:val="18"/>
              </w:rPr>
              <w:t>44.78%</w:t>
            </w:r>
          </w:p>
        </w:tc>
      </w:tr>
      <w:tr w:rsidR="003922A9" w:rsidRPr="003922A9" w14:paraId="045BEFB3"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5BC628E2" w14:textId="77777777" w:rsidR="003922A9" w:rsidRPr="003922A9" w:rsidRDefault="003922A9" w:rsidP="003922A9">
            <w:pPr>
              <w:pStyle w:val="13"/>
              <w:ind w:firstLineChars="0" w:firstLine="0"/>
              <w:jc w:val="center"/>
              <w:rPr>
                <w:sz w:val="18"/>
                <w:szCs w:val="18"/>
              </w:rPr>
            </w:pPr>
            <w:r w:rsidRPr="003922A9">
              <w:rPr>
                <w:sz w:val="18"/>
                <w:szCs w:val="18"/>
              </w:rPr>
              <w:t>600109.SH</w:t>
            </w:r>
          </w:p>
        </w:tc>
        <w:tc>
          <w:tcPr>
            <w:tcW w:w="565" w:type="pct"/>
            <w:tcBorders>
              <w:top w:val="nil"/>
              <w:left w:val="nil"/>
              <w:bottom w:val="single" w:sz="4" w:space="0" w:color="auto"/>
              <w:right w:val="single" w:sz="4" w:space="0" w:color="auto"/>
            </w:tcBorders>
            <w:vAlign w:val="center"/>
          </w:tcPr>
          <w:p w14:paraId="5C1B57FE" w14:textId="77777777" w:rsidR="003922A9" w:rsidRPr="003922A9" w:rsidRDefault="003922A9" w:rsidP="003922A9">
            <w:pPr>
              <w:pStyle w:val="13"/>
              <w:ind w:firstLineChars="0" w:firstLine="0"/>
              <w:jc w:val="center"/>
              <w:rPr>
                <w:sz w:val="18"/>
                <w:szCs w:val="18"/>
              </w:rPr>
            </w:pPr>
            <w:r w:rsidRPr="003922A9">
              <w:rPr>
                <w:sz w:val="18"/>
                <w:szCs w:val="18"/>
              </w:rPr>
              <w:t>国金证券</w:t>
            </w:r>
          </w:p>
        </w:tc>
        <w:tc>
          <w:tcPr>
            <w:tcW w:w="635" w:type="pct"/>
            <w:tcBorders>
              <w:top w:val="nil"/>
              <w:left w:val="nil"/>
              <w:bottom w:val="single" w:sz="4" w:space="0" w:color="auto"/>
              <w:right w:val="single" w:sz="4" w:space="0" w:color="auto"/>
            </w:tcBorders>
            <w:vAlign w:val="center"/>
          </w:tcPr>
          <w:p w14:paraId="200B88B6" w14:textId="77777777" w:rsidR="003922A9" w:rsidRPr="003922A9" w:rsidRDefault="003922A9" w:rsidP="003922A9">
            <w:pPr>
              <w:pStyle w:val="13"/>
              <w:ind w:firstLineChars="0" w:firstLine="0"/>
              <w:jc w:val="right"/>
              <w:rPr>
                <w:sz w:val="18"/>
                <w:szCs w:val="18"/>
              </w:rPr>
            </w:pPr>
            <w:r w:rsidRPr="003922A9">
              <w:rPr>
                <w:sz w:val="18"/>
                <w:szCs w:val="18"/>
              </w:rPr>
              <w:t>30.20%</w:t>
            </w:r>
          </w:p>
        </w:tc>
        <w:tc>
          <w:tcPr>
            <w:tcW w:w="635" w:type="pct"/>
            <w:tcBorders>
              <w:top w:val="nil"/>
              <w:left w:val="nil"/>
              <w:bottom w:val="single" w:sz="4" w:space="0" w:color="auto"/>
              <w:right w:val="single" w:sz="4" w:space="0" w:color="auto"/>
            </w:tcBorders>
            <w:vAlign w:val="center"/>
          </w:tcPr>
          <w:p w14:paraId="758874FF" w14:textId="77777777" w:rsidR="003922A9" w:rsidRPr="003922A9" w:rsidRDefault="003922A9" w:rsidP="003922A9">
            <w:pPr>
              <w:pStyle w:val="13"/>
              <w:ind w:firstLineChars="0" w:firstLine="0"/>
              <w:jc w:val="right"/>
              <w:rPr>
                <w:sz w:val="18"/>
                <w:szCs w:val="18"/>
              </w:rPr>
            </w:pPr>
            <w:r w:rsidRPr="003922A9">
              <w:rPr>
                <w:sz w:val="18"/>
                <w:szCs w:val="18"/>
              </w:rPr>
              <w:t>46.50%</w:t>
            </w:r>
          </w:p>
        </w:tc>
        <w:tc>
          <w:tcPr>
            <w:tcW w:w="635" w:type="pct"/>
            <w:tcBorders>
              <w:top w:val="nil"/>
              <w:left w:val="nil"/>
              <w:bottom w:val="single" w:sz="4" w:space="0" w:color="auto"/>
              <w:right w:val="single" w:sz="4" w:space="0" w:color="auto"/>
            </w:tcBorders>
            <w:vAlign w:val="center"/>
          </w:tcPr>
          <w:p w14:paraId="0EFD5466" w14:textId="77777777" w:rsidR="003922A9" w:rsidRPr="003922A9" w:rsidRDefault="003922A9" w:rsidP="003922A9">
            <w:pPr>
              <w:pStyle w:val="13"/>
              <w:ind w:firstLineChars="0" w:firstLine="0"/>
              <w:jc w:val="right"/>
              <w:rPr>
                <w:sz w:val="18"/>
                <w:szCs w:val="18"/>
              </w:rPr>
            </w:pPr>
            <w:r w:rsidRPr="003922A9">
              <w:rPr>
                <w:sz w:val="18"/>
                <w:szCs w:val="18"/>
              </w:rPr>
              <w:t>56.68%</w:t>
            </w:r>
          </w:p>
        </w:tc>
        <w:tc>
          <w:tcPr>
            <w:tcW w:w="635" w:type="pct"/>
            <w:tcBorders>
              <w:top w:val="nil"/>
              <w:left w:val="nil"/>
              <w:bottom w:val="single" w:sz="4" w:space="0" w:color="auto"/>
              <w:right w:val="single" w:sz="4" w:space="0" w:color="auto"/>
            </w:tcBorders>
            <w:vAlign w:val="center"/>
          </w:tcPr>
          <w:p w14:paraId="279B86FA" w14:textId="77777777" w:rsidR="003922A9" w:rsidRPr="003922A9" w:rsidRDefault="003922A9" w:rsidP="003922A9">
            <w:pPr>
              <w:pStyle w:val="13"/>
              <w:ind w:firstLineChars="0" w:firstLine="0"/>
              <w:jc w:val="right"/>
              <w:rPr>
                <w:sz w:val="18"/>
                <w:szCs w:val="18"/>
              </w:rPr>
            </w:pPr>
            <w:r w:rsidRPr="003922A9">
              <w:rPr>
                <w:sz w:val="18"/>
                <w:szCs w:val="18"/>
              </w:rPr>
              <w:t>68.15%</w:t>
            </w:r>
          </w:p>
        </w:tc>
        <w:tc>
          <w:tcPr>
            <w:tcW w:w="635" w:type="pct"/>
            <w:tcBorders>
              <w:top w:val="nil"/>
              <w:left w:val="nil"/>
              <w:bottom w:val="single" w:sz="4" w:space="0" w:color="auto"/>
              <w:right w:val="single" w:sz="4" w:space="0" w:color="auto"/>
            </w:tcBorders>
            <w:vAlign w:val="center"/>
          </w:tcPr>
          <w:p w14:paraId="1495E7F6" w14:textId="77777777" w:rsidR="003922A9" w:rsidRPr="003922A9" w:rsidRDefault="003922A9" w:rsidP="003922A9">
            <w:pPr>
              <w:pStyle w:val="13"/>
              <w:ind w:firstLineChars="0" w:firstLine="0"/>
              <w:jc w:val="right"/>
              <w:rPr>
                <w:sz w:val="18"/>
                <w:szCs w:val="18"/>
              </w:rPr>
            </w:pPr>
            <w:r w:rsidRPr="003922A9">
              <w:rPr>
                <w:sz w:val="18"/>
                <w:szCs w:val="18"/>
              </w:rPr>
              <w:t>70.54%</w:t>
            </w:r>
          </w:p>
        </w:tc>
        <w:tc>
          <w:tcPr>
            <w:tcW w:w="635" w:type="pct"/>
            <w:tcBorders>
              <w:top w:val="nil"/>
              <w:left w:val="nil"/>
              <w:bottom w:val="single" w:sz="4" w:space="0" w:color="auto"/>
              <w:right w:val="single" w:sz="4" w:space="0" w:color="auto"/>
            </w:tcBorders>
            <w:vAlign w:val="center"/>
          </w:tcPr>
          <w:p w14:paraId="55F07240" w14:textId="77777777" w:rsidR="003922A9" w:rsidRPr="003922A9" w:rsidRDefault="003922A9" w:rsidP="003922A9">
            <w:pPr>
              <w:pStyle w:val="13"/>
              <w:ind w:firstLineChars="0" w:firstLine="0"/>
              <w:jc w:val="right"/>
              <w:rPr>
                <w:sz w:val="18"/>
                <w:szCs w:val="18"/>
              </w:rPr>
            </w:pPr>
            <w:r w:rsidRPr="003922A9">
              <w:rPr>
                <w:sz w:val="18"/>
                <w:szCs w:val="18"/>
              </w:rPr>
              <w:t>67.27%</w:t>
            </w:r>
          </w:p>
        </w:tc>
      </w:tr>
      <w:tr w:rsidR="003922A9" w:rsidRPr="003922A9" w14:paraId="00CDE0A1"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56074F76" w14:textId="77777777" w:rsidR="003922A9" w:rsidRPr="003922A9" w:rsidRDefault="003922A9" w:rsidP="003922A9">
            <w:pPr>
              <w:pStyle w:val="13"/>
              <w:ind w:firstLineChars="0" w:firstLine="0"/>
              <w:jc w:val="center"/>
              <w:rPr>
                <w:sz w:val="18"/>
                <w:szCs w:val="18"/>
              </w:rPr>
            </w:pPr>
            <w:r w:rsidRPr="003922A9">
              <w:rPr>
                <w:sz w:val="18"/>
                <w:szCs w:val="18"/>
              </w:rPr>
              <w:t>600369.SH</w:t>
            </w:r>
          </w:p>
        </w:tc>
        <w:tc>
          <w:tcPr>
            <w:tcW w:w="565" w:type="pct"/>
            <w:tcBorders>
              <w:top w:val="nil"/>
              <w:left w:val="nil"/>
              <w:bottom w:val="single" w:sz="4" w:space="0" w:color="auto"/>
              <w:right w:val="single" w:sz="4" w:space="0" w:color="auto"/>
            </w:tcBorders>
            <w:vAlign w:val="center"/>
          </w:tcPr>
          <w:p w14:paraId="71804CDD" w14:textId="77777777" w:rsidR="003922A9" w:rsidRPr="003922A9" w:rsidRDefault="003922A9" w:rsidP="003922A9">
            <w:pPr>
              <w:pStyle w:val="13"/>
              <w:ind w:firstLineChars="0" w:firstLine="0"/>
              <w:jc w:val="center"/>
              <w:rPr>
                <w:sz w:val="18"/>
                <w:szCs w:val="18"/>
              </w:rPr>
            </w:pPr>
            <w:r w:rsidRPr="003922A9">
              <w:rPr>
                <w:sz w:val="18"/>
                <w:szCs w:val="18"/>
              </w:rPr>
              <w:t>西南证券</w:t>
            </w:r>
          </w:p>
        </w:tc>
        <w:tc>
          <w:tcPr>
            <w:tcW w:w="635" w:type="pct"/>
            <w:tcBorders>
              <w:top w:val="nil"/>
              <w:left w:val="nil"/>
              <w:bottom w:val="single" w:sz="4" w:space="0" w:color="auto"/>
              <w:right w:val="single" w:sz="4" w:space="0" w:color="auto"/>
            </w:tcBorders>
            <w:vAlign w:val="center"/>
          </w:tcPr>
          <w:p w14:paraId="6211A2CF" w14:textId="77777777" w:rsidR="003922A9" w:rsidRPr="003922A9" w:rsidRDefault="003922A9" w:rsidP="003922A9">
            <w:pPr>
              <w:pStyle w:val="13"/>
              <w:ind w:firstLineChars="0" w:firstLine="0"/>
              <w:jc w:val="right"/>
              <w:rPr>
                <w:sz w:val="18"/>
                <w:szCs w:val="18"/>
              </w:rPr>
            </w:pPr>
            <w:r w:rsidRPr="003922A9">
              <w:rPr>
                <w:sz w:val="18"/>
                <w:szCs w:val="18"/>
              </w:rPr>
              <w:t>76.92%</w:t>
            </w:r>
          </w:p>
        </w:tc>
        <w:tc>
          <w:tcPr>
            <w:tcW w:w="635" w:type="pct"/>
            <w:tcBorders>
              <w:top w:val="nil"/>
              <w:left w:val="nil"/>
              <w:bottom w:val="single" w:sz="4" w:space="0" w:color="auto"/>
              <w:right w:val="single" w:sz="4" w:space="0" w:color="auto"/>
            </w:tcBorders>
            <w:vAlign w:val="center"/>
          </w:tcPr>
          <w:p w14:paraId="599FC806" w14:textId="77777777" w:rsidR="003922A9" w:rsidRPr="003922A9" w:rsidRDefault="003922A9" w:rsidP="003922A9">
            <w:pPr>
              <w:pStyle w:val="13"/>
              <w:ind w:firstLineChars="0" w:firstLine="0"/>
              <w:jc w:val="right"/>
              <w:rPr>
                <w:sz w:val="18"/>
                <w:szCs w:val="18"/>
              </w:rPr>
            </w:pPr>
            <w:r w:rsidRPr="003922A9">
              <w:rPr>
                <w:sz w:val="18"/>
                <w:szCs w:val="18"/>
              </w:rPr>
              <w:t>33.95%</w:t>
            </w:r>
          </w:p>
        </w:tc>
        <w:tc>
          <w:tcPr>
            <w:tcW w:w="635" w:type="pct"/>
            <w:tcBorders>
              <w:top w:val="nil"/>
              <w:left w:val="nil"/>
              <w:bottom w:val="single" w:sz="4" w:space="0" w:color="auto"/>
              <w:right w:val="single" w:sz="4" w:space="0" w:color="auto"/>
            </w:tcBorders>
            <w:vAlign w:val="center"/>
          </w:tcPr>
          <w:p w14:paraId="61C96C70" w14:textId="77777777" w:rsidR="003922A9" w:rsidRPr="003922A9" w:rsidRDefault="003922A9" w:rsidP="003922A9">
            <w:pPr>
              <w:pStyle w:val="13"/>
              <w:ind w:firstLineChars="0" w:firstLine="0"/>
              <w:jc w:val="right"/>
              <w:rPr>
                <w:sz w:val="18"/>
                <w:szCs w:val="18"/>
              </w:rPr>
            </w:pPr>
            <w:r w:rsidRPr="003922A9">
              <w:rPr>
                <w:sz w:val="18"/>
                <w:szCs w:val="18"/>
              </w:rPr>
              <w:t>40.31%</w:t>
            </w:r>
          </w:p>
        </w:tc>
        <w:tc>
          <w:tcPr>
            <w:tcW w:w="635" w:type="pct"/>
            <w:tcBorders>
              <w:top w:val="nil"/>
              <w:left w:val="nil"/>
              <w:bottom w:val="single" w:sz="4" w:space="0" w:color="auto"/>
              <w:right w:val="single" w:sz="4" w:space="0" w:color="auto"/>
            </w:tcBorders>
            <w:vAlign w:val="center"/>
          </w:tcPr>
          <w:p w14:paraId="0751F1DD" w14:textId="77777777" w:rsidR="003922A9" w:rsidRPr="003922A9" w:rsidRDefault="003922A9" w:rsidP="003922A9">
            <w:pPr>
              <w:pStyle w:val="13"/>
              <w:ind w:firstLineChars="0" w:firstLine="0"/>
              <w:jc w:val="right"/>
              <w:rPr>
                <w:sz w:val="18"/>
                <w:szCs w:val="18"/>
              </w:rPr>
            </w:pPr>
            <w:r w:rsidRPr="003922A9">
              <w:rPr>
                <w:sz w:val="18"/>
                <w:szCs w:val="18"/>
              </w:rPr>
              <w:t>81.50%</w:t>
            </w:r>
          </w:p>
        </w:tc>
        <w:tc>
          <w:tcPr>
            <w:tcW w:w="635" w:type="pct"/>
            <w:tcBorders>
              <w:top w:val="nil"/>
              <w:left w:val="nil"/>
              <w:bottom w:val="single" w:sz="4" w:space="0" w:color="auto"/>
              <w:right w:val="single" w:sz="4" w:space="0" w:color="auto"/>
            </w:tcBorders>
            <w:vAlign w:val="center"/>
          </w:tcPr>
          <w:p w14:paraId="6DB85159" w14:textId="77777777" w:rsidR="003922A9" w:rsidRPr="003922A9" w:rsidRDefault="003922A9" w:rsidP="003922A9">
            <w:pPr>
              <w:pStyle w:val="13"/>
              <w:ind w:firstLineChars="0" w:firstLine="0"/>
              <w:jc w:val="right"/>
              <w:rPr>
                <w:sz w:val="18"/>
                <w:szCs w:val="18"/>
              </w:rPr>
            </w:pPr>
            <w:r w:rsidRPr="003922A9">
              <w:rPr>
                <w:sz w:val="18"/>
                <w:szCs w:val="18"/>
              </w:rPr>
              <w:t>61.81%</w:t>
            </w:r>
          </w:p>
        </w:tc>
        <w:tc>
          <w:tcPr>
            <w:tcW w:w="635" w:type="pct"/>
            <w:tcBorders>
              <w:top w:val="nil"/>
              <w:left w:val="nil"/>
              <w:bottom w:val="single" w:sz="4" w:space="0" w:color="auto"/>
              <w:right w:val="single" w:sz="4" w:space="0" w:color="auto"/>
            </w:tcBorders>
            <w:vAlign w:val="center"/>
          </w:tcPr>
          <w:p w14:paraId="5315A7A9" w14:textId="77777777" w:rsidR="003922A9" w:rsidRPr="003922A9" w:rsidRDefault="003922A9" w:rsidP="003922A9">
            <w:pPr>
              <w:pStyle w:val="13"/>
              <w:ind w:firstLineChars="0" w:firstLine="0"/>
              <w:jc w:val="right"/>
              <w:rPr>
                <w:sz w:val="18"/>
                <w:szCs w:val="18"/>
              </w:rPr>
            </w:pPr>
            <w:r w:rsidRPr="003922A9">
              <w:rPr>
                <w:sz w:val="18"/>
                <w:szCs w:val="18"/>
              </w:rPr>
              <w:t>57.79%</w:t>
            </w:r>
          </w:p>
        </w:tc>
      </w:tr>
      <w:tr w:rsidR="003922A9" w:rsidRPr="003922A9" w14:paraId="54553707"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752F38FB" w14:textId="77777777" w:rsidR="003922A9" w:rsidRPr="003922A9" w:rsidRDefault="003922A9" w:rsidP="003922A9">
            <w:pPr>
              <w:pStyle w:val="13"/>
              <w:ind w:firstLineChars="0" w:firstLine="0"/>
              <w:jc w:val="center"/>
              <w:rPr>
                <w:sz w:val="18"/>
                <w:szCs w:val="18"/>
              </w:rPr>
            </w:pPr>
            <w:r w:rsidRPr="003922A9">
              <w:rPr>
                <w:sz w:val="18"/>
                <w:szCs w:val="18"/>
              </w:rPr>
              <w:t>600837.SH</w:t>
            </w:r>
          </w:p>
        </w:tc>
        <w:tc>
          <w:tcPr>
            <w:tcW w:w="565" w:type="pct"/>
            <w:tcBorders>
              <w:top w:val="nil"/>
              <w:left w:val="nil"/>
              <w:bottom w:val="single" w:sz="4" w:space="0" w:color="auto"/>
              <w:right w:val="single" w:sz="4" w:space="0" w:color="auto"/>
            </w:tcBorders>
            <w:vAlign w:val="center"/>
          </w:tcPr>
          <w:p w14:paraId="2FA9F3BD" w14:textId="77777777" w:rsidR="003922A9" w:rsidRPr="003922A9" w:rsidRDefault="003922A9" w:rsidP="003922A9">
            <w:pPr>
              <w:pStyle w:val="13"/>
              <w:ind w:firstLineChars="0" w:firstLine="0"/>
              <w:jc w:val="center"/>
              <w:rPr>
                <w:sz w:val="18"/>
                <w:szCs w:val="18"/>
              </w:rPr>
            </w:pPr>
            <w:r w:rsidRPr="003922A9">
              <w:rPr>
                <w:sz w:val="18"/>
                <w:szCs w:val="18"/>
              </w:rPr>
              <w:t>海通证券</w:t>
            </w:r>
          </w:p>
        </w:tc>
        <w:tc>
          <w:tcPr>
            <w:tcW w:w="635" w:type="pct"/>
            <w:tcBorders>
              <w:top w:val="nil"/>
              <w:left w:val="nil"/>
              <w:bottom w:val="single" w:sz="4" w:space="0" w:color="auto"/>
              <w:right w:val="single" w:sz="4" w:space="0" w:color="auto"/>
            </w:tcBorders>
            <w:vAlign w:val="center"/>
          </w:tcPr>
          <w:p w14:paraId="25F87719" w14:textId="77777777" w:rsidR="003922A9" w:rsidRPr="003922A9" w:rsidRDefault="003922A9" w:rsidP="003922A9">
            <w:pPr>
              <w:pStyle w:val="13"/>
              <w:ind w:firstLineChars="0" w:firstLine="0"/>
              <w:jc w:val="right"/>
              <w:rPr>
                <w:sz w:val="18"/>
                <w:szCs w:val="18"/>
              </w:rPr>
            </w:pPr>
            <w:r w:rsidRPr="003922A9">
              <w:rPr>
                <w:sz w:val="18"/>
                <w:szCs w:val="18"/>
              </w:rPr>
              <w:t>39.58%</w:t>
            </w:r>
          </w:p>
        </w:tc>
        <w:tc>
          <w:tcPr>
            <w:tcW w:w="635" w:type="pct"/>
            <w:tcBorders>
              <w:top w:val="nil"/>
              <w:left w:val="nil"/>
              <w:bottom w:val="single" w:sz="4" w:space="0" w:color="auto"/>
              <w:right w:val="single" w:sz="4" w:space="0" w:color="auto"/>
            </w:tcBorders>
            <w:vAlign w:val="center"/>
          </w:tcPr>
          <w:p w14:paraId="47FDC0F7" w14:textId="77777777" w:rsidR="003922A9" w:rsidRPr="003922A9" w:rsidRDefault="003922A9" w:rsidP="003922A9">
            <w:pPr>
              <w:pStyle w:val="13"/>
              <w:ind w:firstLineChars="0" w:firstLine="0"/>
              <w:jc w:val="right"/>
              <w:rPr>
                <w:sz w:val="18"/>
                <w:szCs w:val="18"/>
              </w:rPr>
            </w:pPr>
            <w:r w:rsidRPr="003922A9">
              <w:rPr>
                <w:sz w:val="18"/>
                <w:szCs w:val="18"/>
              </w:rPr>
              <w:t>35.12%</w:t>
            </w:r>
          </w:p>
        </w:tc>
        <w:tc>
          <w:tcPr>
            <w:tcW w:w="635" w:type="pct"/>
            <w:tcBorders>
              <w:top w:val="nil"/>
              <w:left w:val="nil"/>
              <w:bottom w:val="single" w:sz="4" w:space="0" w:color="auto"/>
              <w:right w:val="single" w:sz="4" w:space="0" w:color="auto"/>
            </w:tcBorders>
            <w:vAlign w:val="center"/>
          </w:tcPr>
          <w:p w14:paraId="6CE09720" w14:textId="77777777" w:rsidR="003922A9" w:rsidRPr="003922A9" w:rsidRDefault="003922A9" w:rsidP="003922A9">
            <w:pPr>
              <w:pStyle w:val="13"/>
              <w:ind w:firstLineChars="0" w:firstLine="0"/>
              <w:jc w:val="right"/>
              <w:rPr>
                <w:sz w:val="18"/>
                <w:szCs w:val="18"/>
              </w:rPr>
            </w:pPr>
            <w:r w:rsidRPr="003922A9">
              <w:rPr>
                <w:sz w:val="18"/>
                <w:szCs w:val="18"/>
              </w:rPr>
              <w:t>41.66%</w:t>
            </w:r>
          </w:p>
        </w:tc>
        <w:tc>
          <w:tcPr>
            <w:tcW w:w="635" w:type="pct"/>
            <w:tcBorders>
              <w:top w:val="nil"/>
              <w:left w:val="nil"/>
              <w:bottom w:val="single" w:sz="4" w:space="0" w:color="auto"/>
              <w:right w:val="single" w:sz="4" w:space="0" w:color="auto"/>
            </w:tcBorders>
            <w:vAlign w:val="center"/>
          </w:tcPr>
          <w:p w14:paraId="7F1286D4" w14:textId="77777777" w:rsidR="003922A9" w:rsidRPr="003922A9" w:rsidRDefault="003922A9" w:rsidP="003922A9">
            <w:pPr>
              <w:pStyle w:val="13"/>
              <w:ind w:firstLineChars="0" w:firstLine="0"/>
              <w:jc w:val="right"/>
              <w:rPr>
                <w:sz w:val="18"/>
                <w:szCs w:val="18"/>
              </w:rPr>
            </w:pPr>
            <w:r w:rsidRPr="003922A9">
              <w:rPr>
                <w:sz w:val="18"/>
                <w:szCs w:val="18"/>
              </w:rPr>
              <w:t>39.08%</w:t>
            </w:r>
          </w:p>
        </w:tc>
        <w:tc>
          <w:tcPr>
            <w:tcW w:w="635" w:type="pct"/>
            <w:tcBorders>
              <w:top w:val="nil"/>
              <w:left w:val="nil"/>
              <w:bottom w:val="single" w:sz="4" w:space="0" w:color="auto"/>
              <w:right w:val="single" w:sz="4" w:space="0" w:color="auto"/>
            </w:tcBorders>
            <w:vAlign w:val="center"/>
          </w:tcPr>
          <w:p w14:paraId="04CB7BEA" w14:textId="77777777" w:rsidR="003922A9" w:rsidRPr="003922A9" w:rsidRDefault="003922A9" w:rsidP="003922A9">
            <w:pPr>
              <w:pStyle w:val="13"/>
              <w:ind w:firstLineChars="0" w:firstLine="0"/>
              <w:jc w:val="right"/>
              <w:rPr>
                <w:sz w:val="18"/>
                <w:szCs w:val="18"/>
              </w:rPr>
            </w:pPr>
            <w:r w:rsidRPr="003922A9">
              <w:rPr>
                <w:sz w:val="18"/>
                <w:szCs w:val="18"/>
              </w:rPr>
              <w:t>37.47%</w:t>
            </w:r>
          </w:p>
        </w:tc>
        <w:tc>
          <w:tcPr>
            <w:tcW w:w="635" w:type="pct"/>
            <w:tcBorders>
              <w:top w:val="nil"/>
              <w:left w:val="nil"/>
              <w:bottom w:val="single" w:sz="4" w:space="0" w:color="auto"/>
              <w:right w:val="single" w:sz="4" w:space="0" w:color="auto"/>
            </w:tcBorders>
            <w:vAlign w:val="center"/>
          </w:tcPr>
          <w:p w14:paraId="0D5D6E18" w14:textId="77777777" w:rsidR="003922A9" w:rsidRPr="003922A9" w:rsidRDefault="003922A9" w:rsidP="003922A9">
            <w:pPr>
              <w:pStyle w:val="13"/>
              <w:ind w:firstLineChars="0" w:firstLine="0"/>
              <w:jc w:val="right"/>
              <w:rPr>
                <w:sz w:val="18"/>
                <w:szCs w:val="18"/>
              </w:rPr>
            </w:pPr>
            <w:r w:rsidRPr="003922A9">
              <w:rPr>
                <w:sz w:val="18"/>
                <w:szCs w:val="18"/>
              </w:rPr>
              <w:t>39.50%</w:t>
            </w:r>
          </w:p>
        </w:tc>
      </w:tr>
      <w:tr w:rsidR="003922A9" w:rsidRPr="003922A9" w14:paraId="3F11A488"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642CFD1B" w14:textId="77777777" w:rsidR="003922A9" w:rsidRPr="003922A9" w:rsidRDefault="003922A9" w:rsidP="003922A9">
            <w:pPr>
              <w:pStyle w:val="13"/>
              <w:ind w:firstLineChars="0" w:firstLine="0"/>
              <w:jc w:val="center"/>
              <w:rPr>
                <w:sz w:val="18"/>
                <w:szCs w:val="18"/>
              </w:rPr>
            </w:pPr>
            <w:r w:rsidRPr="003922A9">
              <w:rPr>
                <w:sz w:val="18"/>
                <w:szCs w:val="18"/>
              </w:rPr>
              <w:t>600999.SH</w:t>
            </w:r>
          </w:p>
        </w:tc>
        <w:tc>
          <w:tcPr>
            <w:tcW w:w="565" w:type="pct"/>
            <w:tcBorders>
              <w:top w:val="nil"/>
              <w:left w:val="nil"/>
              <w:bottom w:val="single" w:sz="4" w:space="0" w:color="auto"/>
              <w:right w:val="single" w:sz="4" w:space="0" w:color="auto"/>
            </w:tcBorders>
            <w:vAlign w:val="center"/>
          </w:tcPr>
          <w:p w14:paraId="2CF6CE6D" w14:textId="77777777" w:rsidR="003922A9" w:rsidRPr="003922A9" w:rsidRDefault="003922A9" w:rsidP="003922A9">
            <w:pPr>
              <w:pStyle w:val="13"/>
              <w:ind w:firstLineChars="0" w:firstLine="0"/>
              <w:jc w:val="center"/>
              <w:rPr>
                <w:sz w:val="18"/>
                <w:szCs w:val="18"/>
              </w:rPr>
            </w:pPr>
            <w:r w:rsidRPr="003922A9">
              <w:rPr>
                <w:sz w:val="18"/>
                <w:szCs w:val="18"/>
              </w:rPr>
              <w:t>招商证券</w:t>
            </w:r>
          </w:p>
        </w:tc>
        <w:tc>
          <w:tcPr>
            <w:tcW w:w="635" w:type="pct"/>
            <w:tcBorders>
              <w:top w:val="nil"/>
              <w:left w:val="nil"/>
              <w:bottom w:val="single" w:sz="4" w:space="0" w:color="auto"/>
              <w:right w:val="single" w:sz="4" w:space="0" w:color="auto"/>
            </w:tcBorders>
            <w:vAlign w:val="center"/>
          </w:tcPr>
          <w:p w14:paraId="1359E85E" w14:textId="77777777" w:rsidR="003922A9" w:rsidRPr="003922A9" w:rsidRDefault="003922A9" w:rsidP="003922A9">
            <w:pPr>
              <w:pStyle w:val="13"/>
              <w:ind w:firstLineChars="0" w:firstLine="0"/>
              <w:jc w:val="right"/>
              <w:rPr>
                <w:sz w:val="18"/>
                <w:szCs w:val="18"/>
              </w:rPr>
            </w:pPr>
            <w:r w:rsidRPr="003922A9">
              <w:rPr>
                <w:sz w:val="18"/>
                <w:szCs w:val="18"/>
              </w:rPr>
              <w:t>41.26%</w:t>
            </w:r>
          </w:p>
        </w:tc>
        <w:tc>
          <w:tcPr>
            <w:tcW w:w="635" w:type="pct"/>
            <w:tcBorders>
              <w:top w:val="nil"/>
              <w:left w:val="nil"/>
              <w:bottom w:val="single" w:sz="4" w:space="0" w:color="auto"/>
              <w:right w:val="single" w:sz="4" w:space="0" w:color="auto"/>
            </w:tcBorders>
            <w:vAlign w:val="center"/>
          </w:tcPr>
          <w:p w14:paraId="7B341D89" w14:textId="77777777" w:rsidR="003922A9" w:rsidRPr="003922A9" w:rsidRDefault="003922A9" w:rsidP="003922A9">
            <w:pPr>
              <w:pStyle w:val="13"/>
              <w:ind w:firstLineChars="0" w:firstLine="0"/>
              <w:jc w:val="right"/>
              <w:rPr>
                <w:sz w:val="18"/>
                <w:szCs w:val="18"/>
              </w:rPr>
            </w:pPr>
            <w:r w:rsidRPr="003922A9">
              <w:rPr>
                <w:sz w:val="18"/>
                <w:szCs w:val="18"/>
              </w:rPr>
              <w:t>34.30%</w:t>
            </w:r>
          </w:p>
        </w:tc>
        <w:tc>
          <w:tcPr>
            <w:tcW w:w="635" w:type="pct"/>
            <w:tcBorders>
              <w:top w:val="nil"/>
              <w:left w:val="nil"/>
              <w:bottom w:val="single" w:sz="4" w:space="0" w:color="auto"/>
              <w:right w:val="single" w:sz="4" w:space="0" w:color="auto"/>
            </w:tcBorders>
            <w:vAlign w:val="center"/>
          </w:tcPr>
          <w:p w14:paraId="195E043D" w14:textId="77777777" w:rsidR="003922A9" w:rsidRPr="003922A9" w:rsidRDefault="003922A9" w:rsidP="003922A9">
            <w:pPr>
              <w:pStyle w:val="13"/>
              <w:ind w:firstLineChars="0" w:firstLine="0"/>
              <w:jc w:val="right"/>
              <w:rPr>
                <w:sz w:val="18"/>
                <w:szCs w:val="18"/>
              </w:rPr>
            </w:pPr>
            <w:r w:rsidRPr="003922A9">
              <w:rPr>
                <w:sz w:val="18"/>
                <w:szCs w:val="18"/>
              </w:rPr>
              <w:t>34.08%</w:t>
            </w:r>
          </w:p>
        </w:tc>
        <w:tc>
          <w:tcPr>
            <w:tcW w:w="635" w:type="pct"/>
            <w:tcBorders>
              <w:top w:val="nil"/>
              <w:left w:val="nil"/>
              <w:bottom w:val="single" w:sz="4" w:space="0" w:color="auto"/>
              <w:right w:val="single" w:sz="4" w:space="0" w:color="auto"/>
            </w:tcBorders>
            <w:vAlign w:val="center"/>
          </w:tcPr>
          <w:p w14:paraId="46D54830" w14:textId="77777777" w:rsidR="003922A9" w:rsidRPr="003922A9" w:rsidRDefault="003922A9" w:rsidP="003922A9">
            <w:pPr>
              <w:pStyle w:val="13"/>
              <w:ind w:firstLineChars="0" w:firstLine="0"/>
              <w:jc w:val="right"/>
              <w:rPr>
                <w:sz w:val="18"/>
                <w:szCs w:val="18"/>
              </w:rPr>
            </w:pPr>
            <w:r w:rsidRPr="003922A9">
              <w:rPr>
                <w:sz w:val="18"/>
                <w:szCs w:val="18"/>
              </w:rPr>
              <w:t>44.62%</w:t>
            </w:r>
          </w:p>
        </w:tc>
        <w:tc>
          <w:tcPr>
            <w:tcW w:w="635" w:type="pct"/>
            <w:tcBorders>
              <w:top w:val="nil"/>
              <w:left w:val="nil"/>
              <w:bottom w:val="single" w:sz="4" w:space="0" w:color="auto"/>
              <w:right w:val="single" w:sz="4" w:space="0" w:color="auto"/>
            </w:tcBorders>
            <w:vAlign w:val="center"/>
          </w:tcPr>
          <w:p w14:paraId="7F3F43D5" w14:textId="77777777" w:rsidR="003922A9" w:rsidRPr="003922A9" w:rsidRDefault="003922A9" w:rsidP="003922A9">
            <w:pPr>
              <w:pStyle w:val="13"/>
              <w:ind w:firstLineChars="0" w:firstLine="0"/>
              <w:jc w:val="right"/>
              <w:rPr>
                <w:sz w:val="18"/>
                <w:szCs w:val="18"/>
              </w:rPr>
            </w:pPr>
            <w:r w:rsidRPr="003922A9">
              <w:rPr>
                <w:sz w:val="18"/>
                <w:szCs w:val="18"/>
              </w:rPr>
              <w:t>51.23%</w:t>
            </w:r>
          </w:p>
        </w:tc>
        <w:tc>
          <w:tcPr>
            <w:tcW w:w="635" w:type="pct"/>
            <w:tcBorders>
              <w:top w:val="nil"/>
              <w:left w:val="nil"/>
              <w:bottom w:val="single" w:sz="4" w:space="0" w:color="auto"/>
              <w:right w:val="single" w:sz="4" w:space="0" w:color="auto"/>
            </w:tcBorders>
            <w:vAlign w:val="center"/>
          </w:tcPr>
          <w:p w14:paraId="391A3FE2" w14:textId="77777777" w:rsidR="003922A9" w:rsidRPr="003922A9" w:rsidRDefault="003922A9" w:rsidP="003922A9">
            <w:pPr>
              <w:pStyle w:val="13"/>
              <w:ind w:firstLineChars="0" w:firstLine="0"/>
              <w:jc w:val="right"/>
              <w:rPr>
                <w:sz w:val="18"/>
                <w:szCs w:val="18"/>
              </w:rPr>
            </w:pPr>
            <w:r w:rsidRPr="003922A9">
              <w:rPr>
                <w:sz w:val="18"/>
                <w:szCs w:val="18"/>
              </w:rPr>
              <w:t>48.41%</w:t>
            </w:r>
          </w:p>
        </w:tc>
      </w:tr>
      <w:tr w:rsidR="003922A9" w:rsidRPr="003922A9" w14:paraId="6BA478D9"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22E1D0AC" w14:textId="77777777" w:rsidR="003922A9" w:rsidRPr="003922A9" w:rsidRDefault="003922A9" w:rsidP="003922A9">
            <w:pPr>
              <w:pStyle w:val="13"/>
              <w:ind w:firstLineChars="0" w:firstLine="0"/>
              <w:jc w:val="center"/>
              <w:rPr>
                <w:sz w:val="18"/>
                <w:szCs w:val="18"/>
              </w:rPr>
            </w:pPr>
            <w:r w:rsidRPr="003922A9">
              <w:rPr>
                <w:sz w:val="18"/>
                <w:szCs w:val="18"/>
              </w:rPr>
              <w:t>601099.SH</w:t>
            </w:r>
          </w:p>
        </w:tc>
        <w:tc>
          <w:tcPr>
            <w:tcW w:w="565" w:type="pct"/>
            <w:tcBorders>
              <w:top w:val="nil"/>
              <w:left w:val="nil"/>
              <w:bottom w:val="single" w:sz="4" w:space="0" w:color="auto"/>
              <w:right w:val="single" w:sz="4" w:space="0" w:color="auto"/>
            </w:tcBorders>
            <w:vAlign w:val="center"/>
          </w:tcPr>
          <w:p w14:paraId="4C0F131A" w14:textId="77777777" w:rsidR="003922A9" w:rsidRPr="003922A9" w:rsidRDefault="003922A9" w:rsidP="003922A9">
            <w:pPr>
              <w:pStyle w:val="13"/>
              <w:ind w:firstLineChars="0" w:firstLine="0"/>
              <w:jc w:val="center"/>
              <w:rPr>
                <w:sz w:val="18"/>
                <w:szCs w:val="18"/>
              </w:rPr>
            </w:pPr>
            <w:r w:rsidRPr="003922A9">
              <w:rPr>
                <w:sz w:val="18"/>
                <w:szCs w:val="18"/>
              </w:rPr>
              <w:t>太平洋</w:t>
            </w:r>
          </w:p>
        </w:tc>
        <w:tc>
          <w:tcPr>
            <w:tcW w:w="635" w:type="pct"/>
            <w:tcBorders>
              <w:top w:val="nil"/>
              <w:left w:val="nil"/>
              <w:bottom w:val="single" w:sz="4" w:space="0" w:color="auto"/>
              <w:right w:val="single" w:sz="4" w:space="0" w:color="auto"/>
            </w:tcBorders>
            <w:vAlign w:val="center"/>
          </w:tcPr>
          <w:p w14:paraId="795CA442" w14:textId="77777777" w:rsidR="003922A9" w:rsidRPr="003922A9" w:rsidRDefault="003922A9" w:rsidP="003922A9">
            <w:pPr>
              <w:pStyle w:val="13"/>
              <w:ind w:firstLineChars="0" w:firstLine="0"/>
              <w:jc w:val="right"/>
              <w:rPr>
                <w:sz w:val="18"/>
                <w:szCs w:val="18"/>
              </w:rPr>
            </w:pPr>
          </w:p>
        </w:tc>
        <w:tc>
          <w:tcPr>
            <w:tcW w:w="635" w:type="pct"/>
            <w:tcBorders>
              <w:top w:val="nil"/>
              <w:left w:val="nil"/>
              <w:bottom w:val="single" w:sz="4" w:space="0" w:color="auto"/>
              <w:right w:val="single" w:sz="4" w:space="0" w:color="auto"/>
            </w:tcBorders>
            <w:vAlign w:val="center"/>
          </w:tcPr>
          <w:p w14:paraId="721673AE" w14:textId="77777777" w:rsidR="003922A9" w:rsidRPr="003922A9" w:rsidRDefault="003922A9" w:rsidP="003922A9">
            <w:pPr>
              <w:pStyle w:val="13"/>
              <w:ind w:firstLineChars="0" w:firstLine="0"/>
              <w:jc w:val="right"/>
              <w:rPr>
                <w:sz w:val="18"/>
                <w:szCs w:val="18"/>
              </w:rPr>
            </w:pPr>
          </w:p>
        </w:tc>
        <w:tc>
          <w:tcPr>
            <w:tcW w:w="635" w:type="pct"/>
            <w:tcBorders>
              <w:top w:val="nil"/>
              <w:left w:val="nil"/>
              <w:bottom w:val="single" w:sz="4" w:space="0" w:color="auto"/>
              <w:right w:val="single" w:sz="4" w:space="0" w:color="auto"/>
            </w:tcBorders>
            <w:vAlign w:val="center"/>
          </w:tcPr>
          <w:p w14:paraId="6260D637" w14:textId="77777777" w:rsidR="003922A9" w:rsidRPr="003922A9" w:rsidRDefault="003922A9" w:rsidP="003922A9">
            <w:pPr>
              <w:pStyle w:val="13"/>
              <w:ind w:firstLineChars="0" w:firstLine="0"/>
              <w:jc w:val="right"/>
              <w:rPr>
                <w:sz w:val="18"/>
                <w:szCs w:val="18"/>
              </w:rPr>
            </w:pPr>
          </w:p>
        </w:tc>
        <w:tc>
          <w:tcPr>
            <w:tcW w:w="635" w:type="pct"/>
            <w:tcBorders>
              <w:top w:val="nil"/>
              <w:left w:val="nil"/>
              <w:bottom w:val="single" w:sz="4" w:space="0" w:color="auto"/>
              <w:right w:val="single" w:sz="4" w:space="0" w:color="auto"/>
            </w:tcBorders>
            <w:vAlign w:val="center"/>
          </w:tcPr>
          <w:p w14:paraId="3806ED7F" w14:textId="77777777" w:rsidR="003922A9" w:rsidRPr="003922A9" w:rsidRDefault="003922A9" w:rsidP="003922A9">
            <w:pPr>
              <w:pStyle w:val="13"/>
              <w:ind w:firstLineChars="0" w:firstLine="0"/>
              <w:jc w:val="right"/>
              <w:rPr>
                <w:sz w:val="18"/>
                <w:szCs w:val="18"/>
              </w:rPr>
            </w:pPr>
            <w:r w:rsidRPr="003922A9">
              <w:rPr>
                <w:sz w:val="18"/>
                <w:szCs w:val="18"/>
              </w:rPr>
              <w:t>63.73%</w:t>
            </w:r>
          </w:p>
        </w:tc>
        <w:tc>
          <w:tcPr>
            <w:tcW w:w="635" w:type="pct"/>
            <w:tcBorders>
              <w:top w:val="nil"/>
              <w:left w:val="nil"/>
              <w:bottom w:val="single" w:sz="4" w:space="0" w:color="auto"/>
              <w:right w:val="single" w:sz="4" w:space="0" w:color="auto"/>
            </w:tcBorders>
            <w:vAlign w:val="center"/>
          </w:tcPr>
          <w:p w14:paraId="7CD20217" w14:textId="77777777" w:rsidR="003922A9" w:rsidRPr="003922A9" w:rsidRDefault="003922A9" w:rsidP="003922A9">
            <w:pPr>
              <w:pStyle w:val="13"/>
              <w:ind w:firstLineChars="0" w:firstLine="0"/>
              <w:jc w:val="right"/>
              <w:rPr>
                <w:sz w:val="18"/>
                <w:szCs w:val="18"/>
              </w:rPr>
            </w:pPr>
            <w:r w:rsidRPr="003922A9">
              <w:rPr>
                <w:sz w:val="18"/>
                <w:szCs w:val="18"/>
              </w:rPr>
              <w:t>75.38%</w:t>
            </w:r>
          </w:p>
        </w:tc>
        <w:tc>
          <w:tcPr>
            <w:tcW w:w="635" w:type="pct"/>
            <w:tcBorders>
              <w:top w:val="nil"/>
              <w:left w:val="nil"/>
              <w:bottom w:val="single" w:sz="4" w:space="0" w:color="auto"/>
              <w:right w:val="single" w:sz="4" w:space="0" w:color="auto"/>
            </w:tcBorders>
            <w:vAlign w:val="center"/>
          </w:tcPr>
          <w:p w14:paraId="1FA72E35" w14:textId="77777777" w:rsidR="003922A9" w:rsidRPr="003922A9" w:rsidRDefault="003922A9" w:rsidP="003922A9">
            <w:pPr>
              <w:pStyle w:val="13"/>
              <w:ind w:firstLineChars="0" w:firstLine="0"/>
              <w:jc w:val="right"/>
              <w:rPr>
                <w:sz w:val="18"/>
                <w:szCs w:val="18"/>
              </w:rPr>
            </w:pPr>
            <w:r w:rsidRPr="003922A9">
              <w:rPr>
                <w:sz w:val="18"/>
                <w:szCs w:val="18"/>
              </w:rPr>
              <w:t>72.64%</w:t>
            </w:r>
          </w:p>
        </w:tc>
      </w:tr>
      <w:tr w:rsidR="003922A9" w:rsidRPr="003922A9" w14:paraId="37ADC11A"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1FBD159E" w14:textId="77777777" w:rsidR="003922A9" w:rsidRPr="003922A9" w:rsidRDefault="003922A9" w:rsidP="003922A9">
            <w:pPr>
              <w:pStyle w:val="13"/>
              <w:ind w:firstLineChars="0" w:firstLine="0"/>
              <w:jc w:val="center"/>
              <w:rPr>
                <w:sz w:val="18"/>
                <w:szCs w:val="18"/>
              </w:rPr>
            </w:pPr>
            <w:r w:rsidRPr="003922A9">
              <w:rPr>
                <w:sz w:val="18"/>
                <w:szCs w:val="18"/>
              </w:rPr>
              <w:t>601198.SH</w:t>
            </w:r>
          </w:p>
        </w:tc>
        <w:tc>
          <w:tcPr>
            <w:tcW w:w="565" w:type="pct"/>
            <w:tcBorders>
              <w:top w:val="nil"/>
              <w:left w:val="nil"/>
              <w:bottom w:val="single" w:sz="4" w:space="0" w:color="auto"/>
              <w:right w:val="single" w:sz="4" w:space="0" w:color="auto"/>
            </w:tcBorders>
            <w:vAlign w:val="center"/>
          </w:tcPr>
          <w:p w14:paraId="33F320BF" w14:textId="77777777" w:rsidR="003922A9" w:rsidRPr="003922A9" w:rsidRDefault="003922A9" w:rsidP="003922A9">
            <w:pPr>
              <w:pStyle w:val="13"/>
              <w:ind w:firstLineChars="0" w:firstLine="0"/>
              <w:jc w:val="center"/>
              <w:rPr>
                <w:sz w:val="18"/>
                <w:szCs w:val="18"/>
              </w:rPr>
            </w:pPr>
            <w:r w:rsidRPr="003922A9">
              <w:rPr>
                <w:sz w:val="18"/>
                <w:szCs w:val="18"/>
              </w:rPr>
              <w:t>东兴证券</w:t>
            </w:r>
          </w:p>
        </w:tc>
        <w:tc>
          <w:tcPr>
            <w:tcW w:w="635" w:type="pct"/>
            <w:tcBorders>
              <w:top w:val="nil"/>
              <w:left w:val="nil"/>
              <w:bottom w:val="single" w:sz="4" w:space="0" w:color="auto"/>
              <w:right w:val="single" w:sz="4" w:space="0" w:color="auto"/>
            </w:tcBorders>
            <w:vAlign w:val="center"/>
          </w:tcPr>
          <w:p w14:paraId="113C0AC5" w14:textId="77777777" w:rsidR="003922A9" w:rsidRPr="003922A9" w:rsidRDefault="003922A9" w:rsidP="003922A9">
            <w:pPr>
              <w:pStyle w:val="13"/>
              <w:ind w:firstLineChars="0" w:firstLine="0"/>
              <w:jc w:val="right"/>
              <w:rPr>
                <w:sz w:val="18"/>
                <w:szCs w:val="18"/>
              </w:rPr>
            </w:pPr>
            <w:r w:rsidRPr="003922A9">
              <w:rPr>
                <w:sz w:val="18"/>
                <w:szCs w:val="18"/>
              </w:rPr>
              <w:t>53.36%</w:t>
            </w:r>
          </w:p>
        </w:tc>
        <w:tc>
          <w:tcPr>
            <w:tcW w:w="635" w:type="pct"/>
            <w:tcBorders>
              <w:top w:val="nil"/>
              <w:left w:val="nil"/>
              <w:bottom w:val="single" w:sz="4" w:space="0" w:color="auto"/>
              <w:right w:val="single" w:sz="4" w:space="0" w:color="auto"/>
            </w:tcBorders>
            <w:vAlign w:val="center"/>
          </w:tcPr>
          <w:p w14:paraId="4775D0B4" w14:textId="77777777" w:rsidR="003922A9" w:rsidRPr="003922A9" w:rsidRDefault="003922A9" w:rsidP="003922A9">
            <w:pPr>
              <w:pStyle w:val="13"/>
              <w:ind w:firstLineChars="0" w:firstLine="0"/>
              <w:jc w:val="right"/>
              <w:rPr>
                <w:sz w:val="18"/>
                <w:szCs w:val="18"/>
              </w:rPr>
            </w:pPr>
            <w:r w:rsidRPr="003922A9">
              <w:rPr>
                <w:sz w:val="18"/>
                <w:szCs w:val="18"/>
              </w:rPr>
              <w:t>44.79%</w:t>
            </w:r>
          </w:p>
        </w:tc>
        <w:tc>
          <w:tcPr>
            <w:tcW w:w="635" w:type="pct"/>
            <w:tcBorders>
              <w:top w:val="nil"/>
              <w:left w:val="nil"/>
              <w:bottom w:val="single" w:sz="4" w:space="0" w:color="auto"/>
              <w:right w:val="single" w:sz="4" w:space="0" w:color="auto"/>
            </w:tcBorders>
            <w:vAlign w:val="center"/>
          </w:tcPr>
          <w:p w14:paraId="0DD45885" w14:textId="77777777" w:rsidR="003922A9" w:rsidRPr="003922A9" w:rsidRDefault="003922A9" w:rsidP="003922A9">
            <w:pPr>
              <w:pStyle w:val="13"/>
              <w:ind w:firstLineChars="0" w:firstLine="0"/>
              <w:jc w:val="right"/>
              <w:rPr>
                <w:sz w:val="18"/>
                <w:szCs w:val="18"/>
              </w:rPr>
            </w:pPr>
            <w:r w:rsidRPr="003922A9">
              <w:rPr>
                <w:sz w:val="18"/>
                <w:szCs w:val="18"/>
              </w:rPr>
              <w:t>50.05%</w:t>
            </w:r>
          </w:p>
        </w:tc>
        <w:tc>
          <w:tcPr>
            <w:tcW w:w="635" w:type="pct"/>
            <w:tcBorders>
              <w:top w:val="nil"/>
              <w:left w:val="nil"/>
              <w:bottom w:val="single" w:sz="4" w:space="0" w:color="auto"/>
              <w:right w:val="single" w:sz="4" w:space="0" w:color="auto"/>
            </w:tcBorders>
            <w:vAlign w:val="center"/>
          </w:tcPr>
          <w:p w14:paraId="2654929A" w14:textId="77777777" w:rsidR="003922A9" w:rsidRPr="003922A9" w:rsidRDefault="003922A9" w:rsidP="003922A9">
            <w:pPr>
              <w:pStyle w:val="13"/>
              <w:ind w:firstLineChars="0" w:firstLine="0"/>
              <w:jc w:val="right"/>
              <w:rPr>
                <w:sz w:val="18"/>
                <w:szCs w:val="18"/>
              </w:rPr>
            </w:pPr>
            <w:r w:rsidRPr="003922A9">
              <w:rPr>
                <w:sz w:val="18"/>
                <w:szCs w:val="18"/>
              </w:rPr>
              <w:t>49.43%</w:t>
            </w:r>
          </w:p>
        </w:tc>
        <w:tc>
          <w:tcPr>
            <w:tcW w:w="635" w:type="pct"/>
            <w:tcBorders>
              <w:top w:val="nil"/>
              <w:left w:val="nil"/>
              <w:bottom w:val="single" w:sz="4" w:space="0" w:color="auto"/>
              <w:right w:val="single" w:sz="4" w:space="0" w:color="auto"/>
            </w:tcBorders>
            <w:vAlign w:val="center"/>
          </w:tcPr>
          <w:p w14:paraId="1588DED6" w14:textId="77777777" w:rsidR="003922A9" w:rsidRPr="003922A9" w:rsidRDefault="003922A9" w:rsidP="003922A9">
            <w:pPr>
              <w:pStyle w:val="13"/>
              <w:ind w:firstLineChars="0" w:firstLine="0"/>
              <w:jc w:val="right"/>
              <w:rPr>
                <w:sz w:val="18"/>
                <w:szCs w:val="18"/>
              </w:rPr>
            </w:pPr>
            <w:r w:rsidRPr="003922A9">
              <w:rPr>
                <w:sz w:val="18"/>
                <w:szCs w:val="18"/>
              </w:rPr>
              <w:t>58.10%</w:t>
            </w:r>
          </w:p>
        </w:tc>
        <w:tc>
          <w:tcPr>
            <w:tcW w:w="635" w:type="pct"/>
            <w:tcBorders>
              <w:top w:val="nil"/>
              <w:left w:val="nil"/>
              <w:bottom w:val="single" w:sz="4" w:space="0" w:color="auto"/>
              <w:right w:val="single" w:sz="4" w:space="0" w:color="auto"/>
            </w:tcBorders>
            <w:vAlign w:val="center"/>
          </w:tcPr>
          <w:p w14:paraId="3ED976C2" w14:textId="77777777" w:rsidR="003922A9" w:rsidRPr="003922A9" w:rsidRDefault="003922A9" w:rsidP="003922A9">
            <w:pPr>
              <w:pStyle w:val="13"/>
              <w:ind w:firstLineChars="0" w:firstLine="0"/>
              <w:jc w:val="right"/>
              <w:rPr>
                <w:sz w:val="18"/>
                <w:szCs w:val="18"/>
              </w:rPr>
            </w:pPr>
            <w:r w:rsidRPr="003922A9">
              <w:rPr>
                <w:sz w:val="18"/>
                <w:szCs w:val="18"/>
              </w:rPr>
              <w:t>54.42%</w:t>
            </w:r>
          </w:p>
        </w:tc>
      </w:tr>
      <w:tr w:rsidR="003922A9" w:rsidRPr="003922A9" w14:paraId="4AB9F7C0"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1FD5C702" w14:textId="77777777" w:rsidR="003922A9" w:rsidRPr="003922A9" w:rsidRDefault="003922A9" w:rsidP="003922A9">
            <w:pPr>
              <w:pStyle w:val="13"/>
              <w:ind w:firstLineChars="0" w:firstLine="0"/>
              <w:jc w:val="center"/>
              <w:rPr>
                <w:sz w:val="18"/>
                <w:szCs w:val="18"/>
              </w:rPr>
            </w:pPr>
            <w:r w:rsidRPr="003922A9">
              <w:rPr>
                <w:sz w:val="18"/>
                <w:szCs w:val="18"/>
              </w:rPr>
              <w:t>601377.SH</w:t>
            </w:r>
          </w:p>
        </w:tc>
        <w:tc>
          <w:tcPr>
            <w:tcW w:w="565" w:type="pct"/>
            <w:tcBorders>
              <w:top w:val="nil"/>
              <w:left w:val="nil"/>
              <w:bottom w:val="single" w:sz="4" w:space="0" w:color="auto"/>
              <w:right w:val="single" w:sz="4" w:space="0" w:color="auto"/>
            </w:tcBorders>
            <w:vAlign w:val="center"/>
          </w:tcPr>
          <w:p w14:paraId="674052EB" w14:textId="77777777" w:rsidR="003922A9" w:rsidRPr="003922A9" w:rsidRDefault="003922A9" w:rsidP="003922A9">
            <w:pPr>
              <w:pStyle w:val="13"/>
              <w:ind w:firstLineChars="0" w:firstLine="0"/>
              <w:jc w:val="center"/>
              <w:rPr>
                <w:sz w:val="18"/>
                <w:szCs w:val="18"/>
              </w:rPr>
            </w:pPr>
            <w:r w:rsidRPr="003922A9">
              <w:rPr>
                <w:sz w:val="18"/>
                <w:szCs w:val="18"/>
              </w:rPr>
              <w:t>兴业证券</w:t>
            </w:r>
          </w:p>
        </w:tc>
        <w:tc>
          <w:tcPr>
            <w:tcW w:w="635" w:type="pct"/>
            <w:tcBorders>
              <w:top w:val="nil"/>
              <w:left w:val="nil"/>
              <w:bottom w:val="single" w:sz="4" w:space="0" w:color="auto"/>
              <w:right w:val="single" w:sz="4" w:space="0" w:color="auto"/>
            </w:tcBorders>
            <w:vAlign w:val="center"/>
          </w:tcPr>
          <w:p w14:paraId="29B9EE3E" w14:textId="77777777" w:rsidR="003922A9" w:rsidRPr="003922A9" w:rsidRDefault="003922A9" w:rsidP="003922A9">
            <w:pPr>
              <w:pStyle w:val="13"/>
              <w:ind w:firstLineChars="0" w:firstLine="0"/>
              <w:jc w:val="right"/>
              <w:rPr>
                <w:sz w:val="18"/>
                <w:szCs w:val="18"/>
              </w:rPr>
            </w:pPr>
            <w:r w:rsidRPr="003922A9">
              <w:rPr>
                <w:sz w:val="18"/>
                <w:szCs w:val="18"/>
              </w:rPr>
              <w:t>60.76%</w:t>
            </w:r>
          </w:p>
        </w:tc>
        <w:tc>
          <w:tcPr>
            <w:tcW w:w="635" w:type="pct"/>
            <w:tcBorders>
              <w:top w:val="nil"/>
              <w:left w:val="nil"/>
              <w:bottom w:val="single" w:sz="4" w:space="0" w:color="auto"/>
              <w:right w:val="single" w:sz="4" w:space="0" w:color="auto"/>
            </w:tcBorders>
            <w:vAlign w:val="center"/>
          </w:tcPr>
          <w:p w14:paraId="5CF59770" w14:textId="77777777" w:rsidR="003922A9" w:rsidRPr="003922A9" w:rsidRDefault="003922A9" w:rsidP="003922A9">
            <w:pPr>
              <w:pStyle w:val="13"/>
              <w:ind w:firstLineChars="0" w:firstLine="0"/>
              <w:jc w:val="right"/>
              <w:rPr>
                <w:sz w:val="18"/>
                <w:szCs w:val="18"/>
              </w:rPr>
            </w:pPr>
            <w:r w:rsidRPr="003922A9">
              <w:rPr>
                <w:sz w:val="18"/>
                <w:szCs w:val="18"/>
              </w:rPr>
              <w:t>41.61%</w:t>
            </w:r>
          </w:p>
        </w:tc>
        <w:tc>
          <w:tcPr>
            <w:tcW w:w="635" w:type="pct"/>
            <w:tcBorders>
              <w:top w:val="nil"/>
              <w:left w:val="nil"/>
              <w:bottom w:val="single" w:sz="4" w:space="0" w:color="auto"/>
              <w:right w:val="single" w:sz="4" w:space="0" w:color="auto"/>
            </w:tcBorders>
            <w:vAlign w:val="center"/>
          </w:tcPr>
          <w:p w14:paraId="54BF9880" w14:textId="77777777" w:rsidR="003922A9" w:rsidRPr="003922A9" w:rsidRDefault="003922A9" w:rsidP="003922A9">
            <w:pPr>
              <w:pStyle w:val="13"/>
              <w:ind w:firstLineChars="0" w:firstLine="0"/>
              <w:jc w:val="right"/>
              <w:rPr>
                <w:sz w:val="18"/>
                <w:szCs w:val="18"/>
              </w:rPr>
            </w:pPr>
            <w:r w:rsidRPr="003922A9">
              <w:rPr>
                <w:sz w:val="18"/>
                <w:szCs w:val="18"/>
              </w:rPr>
              <w:t>52.45%</w:t>
            </w:r>
          </w:p>
        </w:tc>
        <w:tc>
          <w:tcPr>
            <w:tcW w:w="635" w:type="pct"/>
            <w:tcBorders>
              <w:top w:val="nil"/>
              <w:left w:val="nil"/>
              <w:bottom w:val="single" w:sz="4" w:space="0" w:color="auto"/>
              <w:right w:val="single" w:sz="4" w:space="0" w:color="auto"/>
            </w:tcBorders>
            <w:vAlign w:val="center"/>
          </w:tcPr>
          <w:p w14:paraId="554A4728" w14:textId="77777777" w:rsidR="003922A9" w:rsidRPr="003922A9" w:rsidRDefault="003922A9" w:rsidP="003922A9">
            <w:pPr>
              <w:pStyle w:val="13"/>
              <w:ind w:firstLineChars="0" w:firstLine="0"/>
              <w:jc w:val="right"/>
              <w:rPr>
                <w:sz w:val="18"/>
                <w:szCs w:val="18"/>
              </w:rPr>
            </w:pPr>
            <w:r w:rsidRPr="003922A9">
              <w:rPr>
                <w:sz w:val="18"/>
                <w:szCs w:val="18"/>
              </w:rPr>
              <w:t>65.86%</w:t>
            </w:r>
          </w:p>
        </w:tc>
        <w:tc>
          <w:tcPr>
            <w:tcW w:w="635" w:type="pct"/>
            <w:tcBorders>
              <w:top w:val="nil"/>
              <w:left w:val="nil"/>
              <w:bottom w:val="single" w:sz="4" w:space="0" w:color="auto"/>
              <w:right w:val="single" w:sz="4" w:space="0" w:color="auto"/>
            </w:tcBorders>
            <w:vAlign w:val="center"/>
          </w:tcPr>
          <w:p w14:paraId="1D98AF83" w14:textId="77777777" w:rsidR="003922A9" w:rsidRPr="003922A9" w:rsidRDefault="003922A9" w:rsidP="003922A9">
            <w:pPr>
              <w:pStyle w:val="13"/>
              <w:ind w:firstLineChars="0" w:firstLine="0"/>
              <w:jc w:val="right"/>
              <w:rPr>
                <w:sz w:val="18"/>
                <w:szCs w:val="18"/>
              </w:rPr>
            </w:pPr>
            <w:r w:rsidRPr="003922A9">
              <w:rPr>
                <w:sz w:val="18"/>
                <w:szCs w:val="18"/>
              </w:rPr>
              <w:t>66.80%</w:t>
            </w:r>
          </w:p>
        </w:tc>
        <w:tc>
          <w:tcPr>
            <w:tcW w:w="635" w:type="pct"/>
            <w:tcBorders>
              <w:top w:val="nil"/>
              <w:left w:val="nil"/>
              <w:bottom w:val="single" w:sz="4" w:space="0" w:color="auto"/>
              <w:right w:val="single" w:sz="4" w:space="0" w:color="auto"/>
            </w:tcBorders>
            <w:vAlign w:val="center"/>
          </w:tcPr>
          <w:p w14:paraId="0591F03D" w14:textId="77777777" w:rsidR="003922A9" w:rsidRPr="003922A9" w:rsidRDefault="003922A9" w:rsidP="003922A9">
            <w:pPr>
              <w:pStyle w:val="13"/>
              <w:ind w:firstLineChars="0" w:firstLine="0"/>
              <w:jc w:val="right"/>
              <w:rPr>
                <w:sz w:val="18"/>
                <w:szCs w:val="18"/>
              </w:rPr>
            </w:pPr>
            <w:r w:rsidRPr="003922A9">
              <w:rPr>
                <w:sz w:val="18"/>
                <w:szCs w:val="18"/>
              </w:rPr>
              <w:t>62.21%</w:t>
            </w:r>
          </w:p>
        </w:tc>
      </w:tr>
      <w:tr w:rsidR="003922A9" w:rsidRPr="003922A9" w14:paraId="46B8827B"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5B62654D" w14:textId="77777777" w:rsidR="003922A9" w:rsidRPr="003922A9" w:rsidRDefault="003922A9" w:rsidP="003922A9">
            <w:pPr>
              <w:pStyle w:val="13"/>
              <w:ind w:firstLineChars="0" w:firstLine="0"/>
              <w:jc w:val="center"/>
              <w:rPr>
                <w:sz w:val="18"/>
                <w:szCs w:val="18"/>
              </w:rPr>
            </w:pPr>
            <w:r w:rsidRPr="003922A9">
              <w:rPr>
                <w:sz w:val="18"/>
                <w:szCs w:val="18"/>
              </w:rPr>
              <w:t>601555.SH</w:t>
            </w:r>
          </w:p>
        </w:tc>
        <w:tc>
          <w:tcPr>
            <w:tcW w:w="565" w:type="pct"/>
            <w:tcBorders>
              <w:top w:val="nil"/>
              <w:left w:val="nil"/>
              <w:bottom w:val="single" w:sz="4" w:space="0" w:color="auto"/>
              <w:right w:val="single" w:sz="4" w:space="0" w:color="auto"/>
            </w:tcBorders>
            <w:vAlign w:val="center"/>
          </w:tcPr>
          <w:p w14:paraId="68D53208" w14:textId="77777777" w:rsidR="003922A9" w:rsidRPr="003922A9" w:rsidRDefault="003922A9" w:rsidP="003922A9">
            <w:pPr>
              <w:pStyle w:val="13"/>
              <w:ind w:firstLineChars="0" w:firstLine="0"/>
              <w:jc w:val="center"/>
              <w:rPr>
                <w:sz w:val="18"/>
                <w:szCs w:val="18"/>
              </w:rPr>
            </w:pPr>
            <w:r w:rsidRPr="003922A9">
              <w:rPr>
                <w:sz w:val="18"/>
                <w:szCs w:val="18"/>
              </w:rPr>
              <w:t>东吴证券</w:t>
            </w:r>
          </w:p>
        </w:tc>
        <w:tc>
          <w:tcPr>
            <w:tcW w:w="635" w:type="pct"/>
            <w:tcBorders>
              <w:top w:val="nil"/>
              <w:left w:val="nil"/>
              <w:bottom w:val="single" w:sz="4" w:space="0" w:color="auto"/>
              <w:right w:val="single" w:sz="4" w:space="0" w:color="auto"/>
            </w:tcBorders>
            <w:vAlign w:val="center"/>
          </w:tcPr>
          <w:p w14:paraId="55ED4ECC" w14:textId="77777777" w:rsidR="003922A9" w:rsidRPr="003922A9" w:rsidRDefault="003922A9" w:rsidP="003922A9">
            <w:pPr>
              <w:pStyle w:val="13"/>
              <w:ind w:firstLineChars="0" w:firstLine="0"/>
              <w:jc w:val="right"/>
              <w:rPr>
                <w:sz w:val="18"/>
                <w:szCs w:val="18"/>
              </w:rPr>
            </w:pPr>
            <w:r w:rsidRPr="003922A9">
              <w:rPr>
                <w:sz w:val="18"/>
                <w:szCs w:val="18"/>
              </w:rPr>
              <w:t>54.67%</w:t>
            </w:r>
          </w:p>
        </w:tc>
        <w:tc>
          <w:tcPr>
            <w:tcW w:w="635" w:type="pct"/>
            <w:tcBorders>
              <w:top w:val="nil"/>
              <w:left w:val="nil"/>
              <w:bottom w:val="single" w:sz="4" w:space="0" w:color="auto"/>
              <w:right w:val="single" w:sz="4" w:space="0" w:color="auto"/>
            </w:tcBorders>
            <w:vAlign w:val="center"/>
          </w:tcPr>
          <w:p w14:paraId="0BF4C58C" w14:textId="77777777" w:rsidR="003922A9" w:rsidRPr="003922A9" w:rsidRDefault="003922A9" w:rsidP="003922A9">
            <w:pPr>
              <w:pStyle w:val="13"/>
              <w:ind w:firstLineChars="0" w:firstLine="0"/>
              <w:jc w:val="right"/>
              <w:rPr>
                <w:sz w:val="18"/>
                <w:szCs w:val="18"/>
              </w:rPr>
            </w:pPr>
            <w:r w:rsidRPr="003922A9">
              <w:rPr>
                <w:sz w:val="18"/>
                <w:szCs w:val="18"/>
              </w:rPr>
              <w:t>43.50%</w:t>
            </w:r>
          </w:p>
        </w:tc>
        <w:tc>
          <w:tcPr>
            <w:tcW w:w="635" w:type="pct"/>
            <w:tcBorders>
              <w:top w:val="nil"/>
              <w:left w:val="nil"/>
              <w:bottom w:val="single" w:sz="4" w:space="0" w:color="auto"/>
              <w:right w:val="single" w:sz="4" w:space="0" w:color="auto"/>
            </w:tcBorders>
            <w:vAlign w:val="center"/>
          </w:tcPr>
          <w:p w14:paraId="484B52BE" w14:textId="77777777" w:rsidR="003922A9" w:rsidRPr="003922A9" w:rsidRDefault="003922A9" w:rsidP="003922A9">
            <w:pPr>
              <w:pStyle w:val="13"/>
              <w:ind w:firstLineChars="0" w:firstLine="0"/>
              <w:jc w:val="right"/>
              <w:rPr>
                <w:sz w:val="18"/>
                <w:szCs w:val="18"/>
              </w:rPr>
            </w:pPr>
            <w:r w:rsidRPr="003922A9">
              <w:rPr>
                <w:sz w:val="18"/>
                <w:szCs w:val="18"/>
              </w:rPr>
              <w:t>51.08%</w:t>
            </w:r>
          </w:p>
        </w:tc>
        <w:tc>
          <w:tcPr>
            <w:tcW w:w="635" w:type="pct"/>
            <w:tcBorders>
              <w:top w:val="nil"/>
              <w:left w:val="nil"/>
              <w:bottom w:val="single" w:sz="4" w:space="0" w:color="auto"/>
              <w:right w:val="single" w:sz="4" w:space="0" w:color="auto"/>
            </w:tcBorders>
            <w:vAlign w:val="center"/>
          </w:tcPr>
          <w:p w14:paraId="0CB2166C" w14:textId="77777777" w:rsidR="003922A9" w:rsidRPr="003922A9" w:rsidRDefault="003922A9" w:rsidP="003922A9">
            <w:pPr>
              <w:pStyle w:val="13"/>
              <w:ind w:firstLineChars="0" w:firstLine="0"/>
              <w:jc w:val="right"/>
              <w:rPr>
                <w:sz w:val="18"/>
                <w:szCs w:val="18"/>
              </w:rPr>
            </w:pPr>
            <w:r w:rsidRPr="003922A9">
              <w:rPr>
                <w:sz w:val="18"/>
                <w:szCs w:val="18"/>
              </w:rPr>
              <w:t>68.53%</w:t>
            </w:r>
          </w:p>
        </w:tc>
        <w:tc>
          <w:tcPr>
            <w:tcW w:w="635" w:type="pct"/>
            <w:tcBorders>
              <w:top w:val="nil"/>
              <w:left w:val="nil"/>
              <w:bottom w:val="single" w:sz="4" w:space="0" w:color="auto"/>
              <w:right w:val="single" w:sz="4" w:space="0" w:color="auto"/>
            </w:tcBorders>
            <w:vAlign w:val="center"/>
          </w:tcPr>
          <w:p w14:paraId="2712E715" w14:textId="77777777" w:rsidR="003922A9" w:rsidRPr="003922A9" w:rsidRDefault="003922A9" w:rsidP="003922A9">
            <w:pPr>
              <w:pStyle w:val="13"/>
              <w:ind w:firstLineChars="0" w:firstLine="0"/>
              <w:jc w:val="right"/>
              <w:rPr>
                <w:sz w:val="18"/>
                <w:szCs w:val="18"/>
              </w:rPr>
            </w:pPr>
            <w:r w:rsidRPr="003922A9">
              <w:rPr>
                <w:sz w:val="18"/>
                <w:szCs w:val="18"/>
              </w:rPr>
              <w:t>69.90%</w:t>
            </w:r>
          </w:p>
        </w:tc>
        <w:tc>
          <w:tcPr>
            <w:tcW w:w="635" w:type="pct"/>
            <w:tcBorders>
              <w:top w:val="nil"/>
              <w:left w:val="nil"/>
              <w:bottom w:val="single" w:sz="4" w:space="0" w:color="auto"/>
              <w:right w:val="single" w:sz="4" w:space="0" w:color="auto"/>
            </w:tcBorders>
            <w:vAlign w:val="center"/>
          </w:tcPr>
          <w:p w14:paraId="1B37CCCD" w14:textId="77777777" w:rsidR="003922A9" w:rsidRPr="003922A9" w:rsidRDefault="003922A9" w:rsidP="003922A9">
            <w:pPr>
              <w:pStyle w:val="13"/>
              <w:ind w:firstLineChars="0" w:firstLine="0"/>
              <w:jc w:val="right"/>
              <w:rPr>
                <w:sz w:val="18"/>
                <w:szCs w:val="18"/>
              </w:rPr>
            </w:pPr>
            <w:r w:rsidRPr="003922A9">
              <w:rPr>
                <w:sz w:val="18"/>
                <w:szCs w:val="18"/>
              </w:rPr>
              <w:t>62.30%</w:t>
            </w:r>
          </w:p>
        </w:tc>
      </w:tr>
      <w:tr w:rsidR="003922A9" w:rsidRPr="003922A9" w14:paraId="7940FFD3"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2F727064" w14:textId="77777777" w:rsidR="003922A9" w:rsidRPr="003922A9" w:rsidRDefault="003922A9" w:rsidP="003922A9">
            <w:pPr>
              <w:pStyle w:val="13"/>
              <w:ind w:firstLineChars="0" w:firstLine="0"/>
              <w:jc w:val="center"/>
              <w:rPr>
                <w:sz w:val="18"/>
                <w:szCs w:val="18"/>
              </w:rPr>
            </w:pPr>
            <w:r w:rsidRPr="003922A9">
              <w:rPr>
                <w:sz w:val="18"/>
                <w:szCs w:val="18"/>
              </w:rPr>
              <w:t>601688.SH</w:t>
            </w:r>
          </w:p>
        </w:tc>
        <w:tc>
          <w:tcPr>
            <w:tcW w:w="565" w:type="pct"/>
            <w:tcBorders>
              <w:top w:val="nil"/>
              <w:left w:val="nil"/>
              <w:bottom w:val="single" w:sz="4" w:space="0" w:color="auto"/>
              <w:right w:val="single" w:sz="4" w:space="0" w:color="auto"/>
            </w:tcBorders>
            <w:vAlign w:val="center"/>
          </w:tcPr>
          <w:p w14:paraId="544E7FA6" w14:textId="77777777" w:rsidR="003922A9" w:rsidRPr="003922A9" w:rsidRDefault="003922A9" w:rsidP="003922A9">
            <w:pPr>
              <w:pStyle w:val="13"/>
              <w:ind w:firstLineChars="0" w:firstLine="0"/>
              <w:jc w:val="center"/>
              <w:rPr>
                <w:sz w:val="18"/>
                <w:szCs w:val="18"/>
              </w:rPr>
            </w:pPr>
            <w:r w:rsidRPr="003922A9">
              <w:rPr>
                <w:sz w:val="18"/>
                <w:szCs w:val="18"/>
              </w:rPr>
              <w:t>华泰证券</w:t>
            </w:r>
          </w:p>
        </w:tc>
        <w:tc>
          <w:tcPr>
            <w:tcW w:w="635" w:type="pct"/>
            <w:tcBorders>
              <w:top w:val="nil"/>
              <w:left w:val="nil"/>
              <w:bottom w:val="single" w:sz="4" w:space="0" w:color="auto"/>
              <w:right w:val="single" w:sz="4" w:space="0" w:color="auto"/>
            </w:tcBorders>
            <w:vAlign w:val="center"/>
          </w:tcPr>
          <w:p w14:paraId="6283DC8B" w14:textId="77777777" w:rsidR="003922A9" w:rsidRPr="003922A9" w:rsidRDefault="003922A9" w:rsidP="003922A9">
            <w:pPr>
              <w:pStyle w:val="13"/>
              <w:ind w:firstLineChars="0" w:firstLine="0"/>
              <w:jc w:val="right"/>
              <w:rPr>
                <w:sz w:val="18"/>
                <w:szCs w:val="18"/>
              </w:rPr>
            </w:pPr>
            <w:r w:rsidRPr="003922A9">
              <w:rPr>
                <w:sz w:val="18"/>
                <w:szCs w:val="18"/>
              </w:rPr>
              <w:t>38.94%</w:t>
            </w:r>
          </w:p>
        </w:tc>
        <w:tc>
          <w:tcPr>
            <w:tcW w:w="635" w:type="pct"/>
            <w:tcBorders>
              <w:top w:val="nil"/>
              <w:left w:val="nil"/>
              <w:bottom w:val="single" w:sz="4" w:space="0" w:color="auto"/>
              <w:right w:val="single" w:sz="4" w:space="0" w:color="auto"/>
            </w:tcBorders>
            <w:vAlign w:val="center"/>
          </w:tcPr>
          <w:p w14:paraId="77B0A725" w14:textId="77777777" w:rsidR="003922A9" w:rsidRPr="003922A9" w:rsidRDefault="003922A9" w:rsidP="003922A9">
            <w:pPr>
              <w:pStyle w:val="13"/>
              <w:ind w:firstLineChars="0" w:firstLine="0"/>
              <w:jc w:val="right"/>
              <w:rPr>
                <w:sz w:val="18"/>
                <w:szCs w:val="18"/>
              </w:rPr>
            </w:pPr>
            <w:r w:rsidRPr="003922A9">
              <w:rPr>
                <w:sz w:val="18"/>
                <w:szCs w:val="18"/>
              </w:rPr>
              <w:t>34.94%</w:t>
            </w:r>
          </w:p>
        </w:tc>
        <w:tc>
          <w:tcPr>
            <w:tcW w:w="635" w:type="pct"/>
            <w:tcBorders>
              <w:top w:val="nil"/>
              <w:left w:val="nil"/>
              <w:bottom w:val="single" w:sz="4" w:space="0" w:color="auto"/>
              <w:right w:val="single" w:sz="4" w:space="0" w:color="auto"/>
            </w:tcBorders>
            <w:vAlign w:val="center"/>
          </w:tcPr>
          <w:p w14:paraId="4F0930CC" w14:textId="77777777" w:rsidR="003922A9" w:rsidRPr="003922A9" w:rsidRDefault="003922A9" w:rsidP="003922A9">
            <w:pPr>
              <w:pStyle w:val="13"/>
              <w:ind w:firstLineChars="0" w:firstLine="0"/>
              <w:jc w:val="right"/>
              <w:rPr>
                <w:sz w:val="18"/>
                <w:szCs w:val="18"/>
              </w:rPr>
            </w:pPr>
            <w:r w:rsidRPr="003922A9">
              <w:rPr>
                <w:sz w:val="18"/>
                <w:szCs w:val="18"/>
              </w:rPr>
              <w:t>38.63%</w:t>
            </w:r>
          </w:p>
        </w:tc>
        <w:tc>
          <w:tcPr>
            <w:tcW w:w="635" w:type="pct"/>
            <w:tcBorders>
              <w:top w:val="nil"/>
              <w:left w:val="nil"/>
              <w:bottom w:val="single" w:sz="4" w:space="0" w:color="auto"/>
              <w:right w:val="single" w:sz="4" w:space="0" w:color="auto"/>
            </w:tcBorders>
            <w:vAlign w:val="center"/>
          </w:tcPr>
          <w:p w14:paraId="2EA1F3C7" w14:textId="77777777" w:rsidR="003922A9" w:rsidRPr="003922A9" w:rsidRDefault="003922A9" w:rsidP="003922A9">
            <w:pPr>
              <w:pStyle w:val="13"/>
              <w:ind w:firstLineChars="0" w:firstLine="0"/>
              <w:jc w:val="right"/>
              <w:rPr>
                <w:sz w:val="18"/>
                <w:szCs w:val="18"/>
              </w:rPr>
            </w:pPr>
            <w:r w:rsidRPr="003922A9">
              <w:rPr>
                <w:sz w:val="18"/>
                <w:szCs w:val="18"/>
              </w:rPr>
              <w:t>47.35%</w:t>
            </w:r>
          </w:p>
        </w:tc>
        <w:tc>
          <w:tcPr>
            <w:tcW w:w="635" w:type="pct"/>
            <w:tcBorders>
              <w:top w:val="nil"/>
              <w:left w:val="nil"/>
              <w:bottom w:val="single" w:sz="4" w:space="0" w:color="auto"/>
              <w:right w:val="single" w:sz="4" w:space="0" w:color="auto"/>
            </w:tcBorders>
            <w:vAlign w:val="center"/>
          </w:tcPr>
          <w:p w14:paraId="1611E1D4" w14:textId="77777777" w:rsidR="003922A9" w:rsidRPr="003922A9" w:rsidRDefault="003922A9" w:rsidP="003922A9">
            <w:pPr>
              <w:pStyle w:val="13"/>
              <w:ind w:firstLineChars="0" w:firstLine="0"/>
              <w:jc w:val="right"/>
              <w:rPr>
                <w:sz w:val="18"/>
                <w:szCs w:val="18"/>
              </w:rPr>
            </w:pPr>
            <w:r w:rsidRPr="003922A9">
              <w:rPr>
                <w:sz w:val="18"/>
                <w:szCs w:val="18"/>
              </w:rPr>
              <w:t>56.41%</w:t>
            </w:r>
          </w:p>
        </w:tc>
        <w:tc>
          <w:tcPr>
            <w:tcW w:w="635" w:type="pct"/>
            <w:tcBorders>
              <w:top w:val="nil"/>
              <w:left w:val="nil"/>
              <w:bottom w:val="single" w:sz="4" w:space="0" w:color="auto"/>
              <w:right w:val="single" w:sz="4" w:space="0" w:color="auto"/>
            </w:tcBorders>
            <w:vAlign w:val="center"/>
          </w:tcPr>
          <w:p w14:paraId="47112EE6" w14:textId="77777777" w:rsidR="003922A9" w:rsidRPr="003922A9" w:rsidRDefault="003922A9" w:rsidP="003922A9">
            <w:pPr>
              <w:pStyle w:val="13"/>
              <w:ind w:firstLineChars="0" w:firstLine="0"/>
              <w:jc w:val="right"/>
              <w:rPr>
                <w:sz w:val="18"/>
                <w:szCs w:val="18"/>
              </w:rPr>
            </w:pPr>
            <w:r w:rsidRPr="003922A9">
              <w:rPr>
                <w:sz w:val="18"/>
                <w:szCs w:val="18"/>
              </w:rPr>
              <w:t>49.55%</w:t>
            </w:r>
          </w:p>
        </w:tc>
      </w:tr>
      <w:tr w:rsidR="003922A9" w:rsidRPr="003922A9" w14:paraId="6CF853C9"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4DA32C6D" w14:textId="77777777" w:rsidR="003922A9" w:rsidRPr="003922A9" w:rsidRDefault="003922A9" w:rsidP="003922A9">
            <w:pPr>
              <w:pStyle w:val="13"/>
              <w:ind w:firstLineChars="0" w:firstLine="0"/>
              <w:jc w:val="center"/>
              <w:rPr>
                <w:sz w:val="18"/>
                <w:szCs w:val="18"/>
              </w:rPr>
            </w:pPr>
            <w:r w:rsidRPr="003922A9">
              <w:rPr>
                <w:sz w:val="18"/>
                <w:szCs w:val="18"/>
              </w:rPr>
              <w:t>601788.SH</w:t>
            </w:r>
          </w:p>
        </w:tc>
        <w:tc>
          <w:tcPr>
            <w:tcW w:w="565" w:type="pct"/>
            <w:tcBorders>
              <w:top w:val="nil"/>
              <w:left w:val="nil"/>
              <w:bottom w:val="single" w:sz="4" w:space="0" w:color="auto"/>
              <w:right w:val="single" w:sz="4" w:space="0" w:color="auto"/>
            </w:tcBorders>
            <w:vAlign w:val="center"/>
          </w:tcPr>
          <w:p w14:paraId="07EC254C" w14:textId="77777777" w:rsidR="003922A9" w:rsidRPr="003922A9" w:rsidRDefault="003922A9" w:rsidP="003922A9">
            <w:pPr>
              <w:pStyle w:val="13"/>
              <w:ind w:firstLineChars="0" w:firstLine="0"/>
              <w:jc w:val="center"/>
              <w:rPr>
                <w:sz w:val="18"/>
                <w:szCs w:val="18"/>
              </w:rPr>
            </w:pPr>
            <w:r w:rsidRPr="003922A9">
              <w:rPr>
                <w:sz w:val="18"/>
                <w:szCs w:val="18"/>
              </w:rPr>
              <w:t>光大证券</w:t>
            </w:r>
          </w:p>
        </w:tc>
        <w:tc>
          <w:tcPr>
            <w:tcW w:w="635" w:type="pct"/>
            <w:tcBorders>
              <w:top w:val="nil"/>
              <w:left w:val="nil"/>
              <w:bottom w:val="single" w:sz="4" w:space="0" w:color="auto"/>
              <w:right w:val="single" w:sz="4" w:space="0" w:color="auto"/>
            </w:tcBorders>
            <w:vAlign w:val="center"/>
          </w:tcPr>
          <w:p w14:paraId="095F83F8" w14:textId="77777777" w:rsidR="003922A9" w:rsidRPr="003922A9" w:rsidRDefault="003922A9" w:rsidP="003922A9">
            <w:pPr>
              <w:pStyle w:val="13"/>
              <w:ind w:firstLineChars="0" w:firstLine="0"/>
              <w:jc w:val="right"/>
              <w:rPr>
                <w:sz w:val="18"/>
                <w:szCs w:val="18"/>
              </w:rPr>
            </w:pPr>
            <w:r w:rsidRPr="003922A9">
              <w:rPr>
                <w:sz w:val="18"/>
                <w:szCs w:val="18"/>
              </w:rPr>
              <w:t>39.14%</w:t>
            </w:r>
          </w:p>
        </w:tc>
        <w:tc>
          <w:tcPr>
            <w:tcW w:w="635" w:type="pct"/>
            <w:tcBorders>
              <w:top w:val="nil"/>
              <w:left w:val="nil"/>
              <w:bottom w:val="single" w:sz="4" w:space="0" w:color="auto"/>
              <w:right w:val="single" w:sz="4" w:space="0" w:color="auto"/>
            </w:tcBorders>
            <w:vAlign w:val="center"/>
          </w:tcPr>
          <w:p w14:paraId="30566CC7" w14:textId="77777777" w:rsidR="003922A9" w:rsidRPr="003922A9" w:rsidRDefault="003922A9" w:rsidP="003922A9">
            <w:pPr>
              <w:pStyle w:val="13"/>
              <w:ind w:firstLineChars="0" w:firstLine="0"/>
              <w:jc w:val="right"/>
              <w:rPr>
                <w:sz w:val="18"/>
                <w:szCs w:val="18"/>
              </w:rPr>
            </w:pPr>
            <w:r w:rsidRPr="003922A9">
              <w:rPr>
                <w:sz w:val="18"/>
                <w:szCs w:val="18"/>
              </w:rPr>
              <w:t>28.62%</w:t>
            </w:r>
          </w:p>
        </w:tc>
        <w:tc>
          <w:tcPr>
            <w:tcW w:w="635" w:type="pct"/>
            <w:tcBorders>
              <w:top w:val="nil"/>
              <w:left w:val="nil"/>
              <w:bottom w:val="single" w:sz="4" w:space="0" w:color="auto"/>
              <w:right w:val="single" w:sz="4" w:space="0" w:color="auto"/>
            </w:tcBorders>
            <w:vAlign w:val="center"/>
          </w:tcPr>
          <w:p w14:paraId="7E97E428" w14:textId="77777777" w:rsidR="003922A9" w:rsidRPr="003922A9" w:rsidRDefault="003922A9" w:rsidP="003922A9">
            <w:pPr>
              <w:pStyle w:val="13"/>
              <w:ind w:firstLineChars="0" w:firstLine="0"/>
              <w:jc w:val="right"/>
              <w:rPr>
                <w:sz w:val="18"/>
                <w:szCs w:val="18"/>
              </w:rPr>
            </w:pPr>
            <w:r w:rsidRPr="003922A9">
              <w:rPr>
                <w:sz w:val="18"/>
                <w:szCs w:val="18"/>
              </w:rPr>
              <w:t>36.28%</w:t>
            </w:r>
          </w:p>
        </w:tc>
        <w:tc>
          <w:tcPr>
            <w:tcW w:w="635" w:type="pct"/>
            <w:tcBorders>
              <w:top w:val="nil"/>
              <w:left w:val="nil"/>
              <w:bottom w:val="single" w:sz="4" w:space="0" w:color="auto"/>
              <w:right w:val="single" w:sz="4" w:space="0" w:color="auto"/>
            </w:tcBorders>
            <w:vAlign w:val="center"/>
          </w:tcPr>
          <w:p w14:paraId="2418D8E1" w14:textId="77777777" w:rsidR="003922A9" w:rsidRPr="003922A9" w:rsidRDefault="003922A9" w:rsidP="003922A9">
            <w:pPr>
              <w:pStyle w:val="13"/>
              <w:ind w:firstLineChars="0" w:firstLine="0"/>
              <w:jc w:val="right"/>
              <w:rPr>
                <w:sz w:val="18"/>
                <w:szCs w:val="18"/>
              </w:rPr>
            </w:pPr>
            <w:r w:rsidRPr="003922A9">
              <w:rPr>
                <w:sz w:val="18"/>
                <w:szCs w:val="18"/>
              </w:rPr>
              <w:t>40.75%</w:t>
            </w:r>
          </w:p>
        </w:tc>
        <w:tc>
          <w:tcPr>
            <w:tcW w:w="635" w:type="pct"/>
            <w:tcBorders>
              <w:top w:val="nil"/>
              <w:left w:val="nil"/>
              <w:bottom w:val="single" w:sz="4" w:space="0" w:color="auto"/>
              <w:right w:val="single" w:sz="4" w:space="0" w:color="auto"/>
            </w:tcBorders>
            <w:vAlign w:val="center"/>
          </w:tcPr>
          <w:p w14:paraId="6844FD70" w14:textId="77777777" w:rsidR="003922A9" w:rsidRPr="003922A9" w:rsidRDefault="003922A9" w:rsidP="003922A9">
            <w:pPr>
              <w:pStyle w:val="13"/>
              <w:ind w:firstLineChars="0" w:firstLine="0"/>
              <w:jc w:val="right"/>
              <w:rPr>
                <w:sz w:val="18"/>
                <w:szCs w:val="18"/>
              </w:rPr>
            </w:pPr>
            <w:r w:rsidRPr="003922A9">
              <w:rPr>
                <w:sz w:val="18"/>
                <w:szCs w:val="18"/>
              </w:rPr>
              <w:t>56.60%</w:t>
            </w:r>
          </w:p>
        </w:tc>
        <w:tc>
          <w:tcPr>
            <w:tcW w:w="635" w:type="pct"/>
            <w:tcBorders>
              <w:top w:val="nil"/>
              <w:left w:val="nil"/>
              <w:bottom w:val="single" w:sz="4" w:space="0" w:color="auto"/>
              <w:right w:val="single" w:sz="4" w:space="0" w:color="auto"/>
            </w:tcBorders>
            <w:vAlign w:val="center"/>
          </w:tcPr>
          <w:p w14:paraId="39BB9964" w14:textId="77777777" w:rsidR="003922A9" w:rsidRPr="003922A9" w:rsidRDefault="003922A9" w:rsidP="003922A9">
            <w:pPr>
              <w:pStyle w:val="13"/>
              <w:ind w:firstLineChars="0" w:firstLine="0"/>
              <w:jc w:val="right"/>
              <w:rPr>
                <w:sz w:val="18"/>
                <w:szCs w:val="18"/>
              </w:rPr>
            </w:pPr>
            <w:r w:rsidRPr="003922A9">
              <w:rPr>
                <w:sz w:val="18"/>
                <w:szCs w:val="18"/>
              </w:rPr>
              <w:t>63.42%</w:t>
            </w:r>
          </w:p>
        </w:tc>
      </w:tr>
      <w:tr w:rsidR="003922A9" w:rsidRPr="003922A9" w14:paraId="53635631" w14:textId="77777777" w:rsidTr="003922A9">
        <w:trPr>
          <w:trHeight w:val="255"/>
        </w:trPr>
        <w:tc>
          <w:tcPr>
            <w:tcW w:w="624" w:type="pct"/>
            <w:tcBorders>
              <w:top w:val="nil"/>
              <w:left w:val="single" w:sz="4" w:space="0" w:color="auto"/>
              <w:bottom w:val="single" w:sz="4" w:space="0" w:color="auto"/>
              <w:right w:val="single" w:sz="4" w:space="0" w:color="auto"/>
            </w:tcBorders>
            <w:vAlign w:val="center"/>
          </w:tcPr>
          <w:p w14:paraId="0DB34AA5" w14:textId="77777777" w:rsidR="003922A9" w:rsidRPr="003922A9" w:rsidRDefault="003922A9" w:rsidP="003922A9">
            <w:pPr>
              <w:pStyle w:val="13"/>
              <w:ind w:firstLineChars="0" w:firstLine="0"/>
              <w:jc w:val="center"/>
              <w:rPr>
                <w:sz w:val="18"/>
                <w:szCs w:val="18"/>
              </w:rPr>
            </w:pPr>
            <w:r w:rsidRPr="003922A9">
              <w:rPr>
                <w:sz w:val="18"/>
                <w:szCs w:val="18"/>
              </w:rPr>
              <w:t>601901.SH</w:t>
            </w:r>
          </w:p>
        </w:tc>
        <w:tc>
          <w:tcPr>
            <w:tcW w:w="565" w:type="pct"/>
            <w:tcBorders>
              <w:top w:val="nil"/>
              <w:left w:val="nil"/>
              <w:bottom w:val="single" w:sz="4" w:space="0" w:color="auto"/>
              <w:right w:val="single" w:sz="4" w:space="0" w:color="auto"/>
            </w:tcBorders>
            <w:vAlign w:val="center"/>
          </w:tcPr>
          <w:p w14:paraId="324362E6" w14:textId="77777777" w:rsidR="003922A9" w:rsidRPr="003922A9" w:rsidRDefault="003922A9" w:rsidP="003922A9">
            <w:pPr>
              <w:pStyle w:val="13"/>
              <w:ind w:firstLineChars="0" w:firstLine="0"/>
              <w:jc w:val="center"/>
              <w:rPr>
                <w:sz w:val="18"/>
                <w:szCs w:val="18"/>
              </w:rPr>
            </w:pPr>
            <w:r w:rsidRPr="003922A9">
              <w:rPr>
                <w:sz w:val="18"/>
                <w:szCs w:val="18"/>
              </w:rPr>
              <w:t>方正证券</w:t>
            </w:r>
          </w:p>
        </w:tc>
        <w:tc>
          <w:tcPr>
            <w:tcW w:w="635" w:type="pct"/>
            <w:tcBorders>
              <w:top w:val="nil"/>
              <w:left w:val="nil"/>
              <w:bottom w:val="single" w:sz="4" w:space="0" w:color="auto"/>
              <w:right w:val="single" w:sz="4" w:space="0" w:color="auto"/>
            </w:tcBorders>
            <w:vAlign w:val="center"/>
          </w:tcPr>
          <w:p w14:paraId="5E35EBEB" w14:textId="77777777" w:rsidR="003922A9" w:rsidRPr="003922A9" w:rsidRDefault="003922A9" w:rsidP="003922A9">
            <w:pPr>
              <w:pStyle w:val="13"/>
              <w:ind w:firstLineChars="0" w:firstLine="0"/>
              <w:jc w:val="right"/>
              <w:rPr>
                <w:sz w:val="18"/>
                <w:szCs w:val="18"/>
              </w:rPr>
            </w:pPr>
            <w:r w:rsidRPr="003922A9">
              <w:rPr>
                <w:sz w:val="18"/>
                <w:szCs w:val="18"/>
              </w:rPr>
              <w:t>48.82%</w:t>
            </w:r>
          </w:p>
        </w:tc>
        <w:tc>
          <w:tcPr>
            <w:tcW w:w="635" w:type="pct"/>
            <w:tcBorders>
              <w:top w:val="nil"/>
              <w:left w:val="nil"/>
              <w:bottom w:val="single" w:sz="4" w:space="0" w:color="auto"/>
              <w:right w:val="single" w:sz="4" w:space="0" w:color="auto"/>
            </w:tcBorders>
            <w:vAlign w:val="center"/>
          </w:tcPr>
          <w:p w14:paraId="55A87275" w14:textId="77777777" w:rsidR="003922A9" w:rsidRPr="003922A9" w:rsidRDefault="003922A9" w:rsidP="003922A9">
            <w:pPr>
              <w:pStyle w:val="13"/>
              <w:ind w:firstLineChars="0" w:firstLine="0"/>
              <w:jc w:val="right"/>
              <w:rPr>
                <w:sz w:val="18"/>
                <w:szCs w:val="18"/>
              </w:rPr>
            </w:pPr>
            <w:r w:rsidRPr="003922A9">
              <w:rPr>
                <w:sz w:val="18"/>
                <w:szCs w:val="18"/>
              </w:rPr>
              <w:t>36.04%</w:t>
            </w:r>
          </w:p>
        </w:tc>
        <w:tc>
          <w:tcPr>
            <w:tcW w:w="635" w:type="pct"/>
            <w:tcBorders>
              <w:top w:val="nil"/>
              <w:left w:val="nil"/>
              <w:bottom w:val="single" w:sz="4" w:space="0" w:color="auto"/>
              <w:right w:val="single" w:sz="4" w:space="0" w:color="auto"/>
            </w:tcBorders>
            <w:vAlign w:val="center"/>
          </w:tcPr>
          <w:p w14:paraId="3A3BD569" w14:textId="77777777" w:rsidR="003922A9" w:rsidRPr="003922A9" w:rsidRDefault="003922A9" w:rsidP="003922A9">
            <w:pPr>
              <w:pStyle w:val="13"/>
              <w:ind w:firstLineChars="0" w:firstLine="0"/>
              <w:jc w:val="right"/>
              <w:rPr>
                <w:sz w:val="18"/>
                <w:szCs w:val="18"/>
              </w:rPr>
            </w:pPr>
            <w:r w:rsidRPr="003922A9">
              <w:rPr>
                <w:sz w:val="18"/>
                <w:szCs w:val="18"/>
              </w:rPr>
              <w:t>35.85%</w:t>
            </w:r>
          </w:p>
        </w:tc>
        <w:tc>
          <w:tcPr>
            <w:tcW w:w="635" w:type="pct"/>
            <w:tcBorders>
              <w:top w:val="nil"/>
              <w:left w:val="nil"/>
              <w:bottom w:val="single" w:sz="4" w:space="0" w:color="auto"/>
              <w:right w:val="single" w:sz="4" w:space="0" w:color="auto"/>
            </w:tcBorders>
            <w:vAlign w:val="center"/>
          </w:tcPr>
          <w:p w14:paraId="2476EDFF" w14:textId="77777777" w:rsidR="003922A9" w:rsidRPr="003922A9" w:rsidRDefault="003922A9" w:rsidP="003922A9">
            <w:pPr>
              <w:pStyle w:val="13"/>
              <w:ind w:firstLineChars="0" w:firstLine="0"/>
              <w:jc w:val="right"/>
              <w:rPr>
                <w:sz w:val="18"/>
                <w:szCs w:val="18"/>
              </w:rPr>
            </w:pPr>
            <w:r w:rsidRPr="003922A9">
              <w:rPr>
                <w:sz w:val="18"/>
                <w:szCs w:val="18"/>
              </w:rPr>
              <w:t>79.47%</w:t>
            </w:r>
          </w:p>
        </w:tc>
        <w:tc>
          <w:tcPr>
            <w:tcW w:w="635" w:type="pct"/>
            <w:tcBorders>
              <w:top w:val="nil"/>
              <w:left w:val="nil"/>
              <w:bottom w:val="single" w:sz="4" w:space="0" w:color="auto"/>
              <w:right w:val="single" w:sz="4" w:space="0" w:color="auto"/>
            </w:tcBorders>
            <w:vAlign w:val="center"/>
          </w:tcPr>
          <w:p w14:paraId="019502BE" w14:textId="77777777" w:rsidR="003922A9" w:rsidRPr="003922A9" w:rsidRDefault="003922A9" w:rsidP="003922A9">
            <w:pPr>
              <w:pStyle w:val="13"/>
              <w:ind w:firstLineChars="0" w:firstLine="0"/>
              <w:jc w:val="right"/>
              <w:rPr>
                <w:sz w:val="18"/>
                <w:szCs w:val="18"/>
              </w:rPr>
            </w:pPr>
            <w:r w:rsidRPr="003922A9">
              <w:rPr>
                <w:sz w:val="18"/>
                <w:szCs w:val="18"/>
              </w:rPr>
              <w:t>59.52%</w:t>
            </w:r>
          </w:p>
        </w:tc>
        <w:tc>
          <w:tcPr>
            <w:tcW w:w="635" w:type="pct"/>
            <w:tcBorders>
              <w:top w:val="nil"/>
              <w:left w:val="nil"/>
              <w:bottom w:val="single" w:sz="4" w:space="0" w:color="auto"/>
              <w:right w:val="single" w:sz="4" w:space="0" w:color="auto"/>
            </w:tcBorders>
            <w:vAlign w:val="center"/>
          </w:tcPr>
          <w:p w14:paraId="4C96E1DA" w14:textId="77777777" w:rsidR="003922A9" w:rsidRPr="003922A9" w:rsidRDefault="003922A9" w:rsidP="003922A9">
            <w:pPr>
              <w:pStyle w:val="13"/>
              <w:ind w:firstLineChars="0" w:firstLine="0"/>
              <w:jc w:val="right"/>
              <w:rPr>
                <w:sz w:val="18"/>
                <w:szCs w:val="18"/>
              </w:rPr>
            </w:pPr>
            <w:r w:rsidRPr="003922A9">
              <w:rPr>
                <w:sz w:val="18"/>
                <w:szCs w:val="18"/>
              </w:rPr>
              <w:t>41.30%</w:t>
            </w:r>
          </w:p>
        </w:tc>
      </w:tr>
    </w:tbl>
    <w:p w14:paraId="69F01BBD" w14:textId="77777777" w:rsidR="003922A9" w:rsidRPr="003922A9" w:rsidRDefault="003922A9" w:rsidP="003922A9">
      <w:pPr>
        <w:pStyle w:val="13"/>
      </w:pPr>
      <w:r w:rsidRPr="003922A9">
        <w:rPr>
          <w:rFonts w:hint="eastAsia"/>
        </w:rPr>
        <w:t>将各年度各上市公司管理费用/营业收入比值绘制成散点图，可见这一比重大部分落在40%-60%区间内，平均值在50%左右。可以认定业务及管理费预测较为合理。</w:t>
      </w:r>
    </w:p>
    <w:p w14:paraId="1C2D80B4" w14:textId="472BACDB" w:rsidR="003C1F46" w:rsidRPr="003922A9" w:rsidRDefault="003922A9" w:rsidP="00EF0BC2">
      <w:pPr>
        <w:pStyle w:val="13"/>
        <w:ind w:firstLine="560"/>
      </w:pPr>
      <w:r>
        <w:rPr>
          <w:rFonts w:ascii="Times New Roman" w:hAnsi="Times New Roman"/>
          <w:noProof/>
          <w:sz w:val="28"/>
          <w:szCs w:val="28"/>
        </w:rPr>
        <w:drawing>
          <wp:inline distT="0" distB="0" distL="0" distR="0" wp14:anchorId="3BFE9017" wp14:editId="3405376A">
            <wp:extent cx="4572000" cy="274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187CBAC" w14:textId="77777777" w:rsidR="003922A9" w:rsidRDefault="003922A9" w:rsidP="003922A9">
      <w:pPr>
        <w:pStyle w:val="13"/>
      </w:pPr>
      <w:r>
        <w:rPr>
          <w:rFonts w:hint="eastAsia"/>
        </w:rPr>
        <w:t>更进一步，将</w:t>
      </w:r>
      <w:r>
        <w:t>20y8-20x3年证券行业上市公司业务及管理费和营业收入进行线性回归分析，得到如下线性方程：</w:t>
      </w:r>
    </w:p>
    <w:p w14:paraId="619D66E4" w14:textId="77777777" w:rsidR="003922A9" w:rsidRDefault="003922A9" w:rsidP="003922A9">
      <w:pPr>
        <w:pStyle w:val="13"/>
      </w:pPr>
      <w:r>
        <w:t>y = 0.3017x + 400000000</w:t>
      </w:r>
    </w:p>
    <w:p w14:paraId="6E8117C2" w14:textId="77777777" w:rsidR="003922A9" w:rsidRDefault="003922A9" w:rsidP="003922A9">
      <w:pPr>
        <w:pStyle w:val="13"/>
      </w:pPr>
      <w:r>
        <w:t>R² = 0.8378</w:t>
      </w:r>
    </w:p>
    <w:p w14:paraId="697972FF" w14:textId="77777777" w:rsidR="003922A9" w:rsidRDefault="003922A9" w:rsidP="003922A9">
      <w:pPr>
        <w:pStyle w:val="13"/>
      </w:pPr>
      <w:r>
        <w:rPr>
          <w:rFonts w:hint="eastAsia"/>
        </w:rPr>
        <w:t>其中：</w:t>
      </w:r>
      <w:r>
        <w:t>y=管理费用</w:t>
      </w:r>
    </w:p>
    <w:p w14:paraId="733D94D9" w14:textId="77777777" w:rsidR="003922A9" w:rsidRDefault="003922A9" w:rsidP="003922A9">
      <w:pPr>
        <w:pStyle w:val="13"/>
      </w:pPr>
      <w:r>
        <w:lastRenderedPageBreak/>
        <w:t xml:space="preserve">      x=营业收入</w:t>
      </w:r>
    </w:p>
    <w:p w14:paraId="327DEF9B" w14:textId="1C843E79" w:rsidR="007E4B49" w:rsidRDefault="003922A9" w:rsidP="003922A9">
      <w:pPr>
        <w:pStyle w:val="13"/>
      </w:pPr>
      <w:r>
        <w:rPr>
          <w:rFonts w:hint="eastAsia"/>
        </w:rPr>
        <w:t>可见管理费用和营业收入间存在良好的线性关系。</w:t>
      </w:r>
    </w:p>
    <w:p w14:paraId="3E32143D" w14:textId="0DF2C7E7" w:rsidR="007E4B49" w:rsidRDefault="003D4E1B" w:rsidP="00EF0BC2">
      <w:pPr>
        <w:pStyle w:val="13"/>
        <w:ind w:firstLine="560"/>
      </w:pPr>
      <w:r>
        <w:rPr>
          <w:rFonts w:ascii="Times New Roman" w:hAnsi="Times New Roman"/>
          <w:noProof/>
          <w:sz w:val="28"/>
          <w:szCs w:val="28"/>
        </w:rPr>
        <w:drawing>
          <wp:inline distT="0" distB="0" distL="0" distR="0" wp14:anchorId="2B33A8B3" wp14:editId="60B8005D">
            <wp:extent cx="4276725" cy="25241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2524125"/>
                    </a:xfrm>
                    <a:prstGeom prst="rect">
                      <a:avLst/>
                    </a:prstGeom>
                    <a:noFill/>
                    <a:ln>
                      <a:noFill/>
                    </a:ln>
                  </pic:spPr>
                </pic:pic>
              </a:graphicData>
            </a:graphic>
          </wp:inline>
        </w:drawing>
      </w:r>
    </w:p>
    <w:p w14:paraId="7D71E7F4" w14:textId="51C54046" w:rsidR="005A79E9" w:rsidRDefault="005A79E9" w:rsidP="005A79E9">
      <w:pPr>
        <w:pStyle w:val="31"/>
        <w:spacing w:before="156" w:after="62"/>
      </w:pPr>
      <w:bookmarkStart w:id="61" w:name="_Toc81833333"/>
      <w:r>
        <w:rPr>
          <w:rFonts w:hint="eastAsia"/>
        </w:rPr>
        <w:t>资产评估专家指引第</w:t>
      </w:r>
      <w:r>
        <w:t>4号—金融企业市场法评估模型与参数确定</w:t>
      </w:r>
      <w:r>
        <w:br/>
        <w:t>（</w:t>
      </w:r>
      <w:proofErr w:type="gramStart"/>
      <w:r>
        <w:t>中评协</w:t>
      </w:r>
      <w:proofErr w:type="gramEnd"/>
      <w:r>
        <w:t>〔2015〕65号）</w:t>
      </w:r>
      <w:bookmarkEnd w:id="61"/>
    </w:p>
    <w:p w14:paraId="15DC7148" w14:textId="77777777" w:rsidR="005A79E9" w:rsidRDefault="005A79E9" w:rsidP="005A79E9">
      <w:pPr>
        <w:pStyle w:val="13"/>
        <w:ind w:firstLineChars="0" w:firstLine="0"/>
      </w:pPr>
      <w:r>
        <w:rPr>
          <w:rFonts w:hint="eastAsia"/>
        </w:rPr>
        <w:t>各省、自治区、直辖市、计划单列市资产评估协会（注册会计师协会），具有证券评估业务资格的资产评估机构：</w:t>
      </w:r>
    </w:p>
    <w:p w14:paraId="44F29187" w14:textId="77777777" w:rsidR="005A79E9" w:rsidRDefault="005A79E9" w:rsidP="005A79E9">
      <w:pPr>
        <w:pStyle w:val="13"/>
      </w:pPr>
      <w:r>
        <w:rPr>
          <w:rFonts w:hint="eastAsia"/>
        </w:rPr>
        <w:t>为指导评估机构执行金融企业评估业务，提升评估行业服务质量，在财政部金融司指导下，中国资产评估协会组织专家制定了《资产评估专家指引第</w:t>
      </w:r>
      <w:r>
        <w:t xml:space="preserve"> 4号—金融企业市场法评估模型与参数确定》，现予以发布，供评估机构和资产评估</w:t>
      </w:r>
      <w:proofErr w:type="gramStart"/>
      <w:r>
        <w:t>师执行</w:t>
      </w:r>
      <w:proofErr w:type="gramEnd"/>
      <w:r>
        <w:t>金融企业评估业务时参考。</w:t>
      </w:r>
    </w:p>
    <w:p w14:paraId="28C5AEA1" w14:textId="77777777" w:rsidR="005A79E9" w:rsidRDefault="005A79E9" w:rsidP="005A79E9">
      <w:pPr>
        <w:pStyle w:val="13"/>
      </w:pPr>
      <w:r>
        <w:rPr>
          <w:rFonts w:hint="eastAsia"/>
        </w:rPr>
        <w:t>专家指引由中国资产评估协会组织具有丰富理论和实践经验的专家进行起草。专家指引来自于专家自身经验和以往案例，是优秀评估实践的具体体现。但由于评估业务因不同经济行为、交易目的存在多样复杂的情况，专家指引可能会具有一定的局限性。因此，专家指引不作为执业的强制性标准。</w:t>
      </w:r>
    </w:p>
    <w:p w14:paraId="42C90E03" w14:textId="77777777" w:rsidR="005A79E9" w:rsidRDefault="005A79E9" w:rsidP="005A79E9">
      <w:pPr>
        <w:pStyle w:val="13"/>
      </w:pPr>
      <w:r>
        <w:rPr>
          <w:rFonts w:hint="eastAsia"/>
        </w:rPr>
        <w:t>请各地</w:t>
      </w:r>
      <w:proofErr w:type="gramStart"/>
      <w:r>
        <w:rPr>
          <w:rFonts w:hint="eastAsia"/>
        </w:rPr>
        <w:t>方协会</w:t>
      </w:r>
      <w:proofErr w:type="gramEnd"/>
      <w:r>
        <w:rPr>
          <w:rFonts w:hint="eastAsia"/>
        </w:rPr>
        <w:t>将《资产评估专家指引第</w:t>
      </w:r>
      <w:r>
        <w:t xml:space="preserve"> 4号—金融企业市场法评估模型与参数确定》及时转发评估机构。</w:t>
      </w:r>
    </w:p>
    <w:p w14:paraId="362B536B" w14:textId="77777777" w:rsidR="005A79E9" w:rsidRDefault="005A79E9" w:rsidP="005A79E9">
      <w:pPr>
        <w:pStyle w:val="13"/>
        <w:jc w:val="right"/>
      </w:pPr>
      <w:r>
        <w:rPr>
          <w:rFonts w:hint="eastAsia"/>
        </w:rPr>
        <w:t>中国资产评估协会</w:t>
      </w:r>
    </w:p>
    <w:p w14:paraId="29977981" w14:textId="52F9373A" w:rsidR="00EF0BC2" w:rsidRDefault="005A79E9" w:rsidP="005A79E9">
      <w:pPr>
        <w:pStyle w:val="13"/>
        <w:jc w:val="right"/>
      </w:pPr>
      <w:r>
        <w:t>2015</w:t>
      </w:r>
      <w:r w:rsidR="003068F8">
        <w:t>年</w:t>
      </w:r>
      <w:r>
        <w:t>7</w:t>
      </w:r>
      <w:r w:rsidR="003068F8">
        <w:t>月</w:t>
      </w:r>
      <w:r>
        <w:t>22</w:t>
      </w:r>
      <w:r w:rsidR="003068F8">
        <w:t>日</w:t>
      </w:r>
    </w:p>
    <w:p w14:paraId="7E153766" w14:textId="6525C125" w:rsidR="00EF0BC2" w:rsidRDefault="005A79E9" w:rsidP="00AF7342">
      <w:pPr>
        <w:pStyle w:val="a9"/>
        <w:spacing w:before="62" w:after="62"/>
      </w:pPr>
      <w:r>
        <w:rPr>
          <w:rFonts w:hint="eastAsia"/>
        </w:rPr>
        <w:t>资产评估专家指引第</w:t>
      </w:r>
      <w:r>
        <w:t>4号——金融企业</w:t>
      </w:r>
      <w:r>
        <w:rPr>
          <w:rFonts w:hint="eastAsia"/>
        </w:rPr>
        <w:t>市场法评估模型与参数确定</w:t>
      </w:r>
    </w:p>
    <w:p w14:paraId="1CF7AB09" w14:textId="77777777" w:rsidR="005A79E9" w:rsidRDefault="005A79E9" w:rsidP="005A79E9">
      <w:pPr>
        <w:pStyle w:val="13"/>
      </w:pPr>
      <w:proofErr w:type="gramStart"/>
      <w:r>
        <w:rPr>
          <w:rFonts w:hint="eastAsia"/>
        </w:rPr>
        <w:t>本专家</w:t>
      </w:r>
      <w:proofErr w:type="gramEnd"/>
      <w:r>
        <w:rPr>
          <w:rFonts w:hint="eastAsia"/>
        </w:rPr>
        <w:t>指引是一种专家建议。评估机构执行资产评估业务，可以参照</w:t>
      </w:r>
      <w:proofErr w:type="gramStart"/>
      <w:r>
        <w:rPr>
          <w:rFonts w:hint="eastAsia"/>
        </w:rPr>
        <w:t>本专家</w:t>
      </w:r>
      <w:proofErr w:type="gramEnd"/>
      <w:r>
        <w:rPr>
          <w:rFonts w:hint="eastAsia"/>
        </w:rPr>
        <w:t>指引，也可以根据具体情况采用其他适当的做法。中国资产评估协会将根据业务发展，对</w:t>
      </w:r>
      <w:proofErr w:type="gramStart"/>
      <w:r>
        <w:rPr>
          <w:rFonts w:hint="eastAsia"/>
        </w:rPr>
        <w:t>本专家</w:t>
      </w:r>
      <w:proofErr w:type="gramEnd"/>
      <w:r>
        <w:rPr>
          <w:rFonts w:hint="eastAsia"/>
        </w:rPr>
        <w:t>指引进行更新。</w:t>
      </w:r>
    </w:p>
    <w:p w14:paraId="646937CF" w14:textId="5461FF38" w:rsidR="005A79E9" w:rsidRDefault="004E3EBB" w:rsidP="005A79E9">
      <w:pPr>
        <w:pStyle w:val="13"/>
        <w:ind w:firstLine="482"/>
      </w:pPr>
      <w:r w:rsidRPr="004E3EBB">
        <w:rPr>
          <w:rFonts w:hint="eastAsia"/>
          <w:b/>
          <w:bCs/>
        </w:rPr>
        <w:t xml:space="preserve">第一条 </w:t>
      </w:r>
      <w:r w:rsidR="005A79E9">
        <w:t>为了指导市场法评估金融企业的执业行为，合理选择市场法的评估模型、</w:t>
      </w:r>
      <w:r w:rsidR="005A79E9">
        <w:lastRenderedPageBreak/>
        <w:t>确定评估参数，提高执业质量，依据资产评估相关准则，中国资产评估协会组织制定了</w:t>
      </w:r>
      <w:proofErr w:type="gramStart"/>
      <w:r w:rsidR="005A79E9">
        <w:t>本专家</w:t>
      </w:r>
      <w:proofErr w:type="gramEnd"/>
      <w:r w:rsidR="005A79E9">
        <w:t>指引。</w:t>
      </w:r>
    </w:p>
    <w:p w14:paraId="338EDB3D" w14:textId="022422E8" w:rsidR="005A79E9" w:rsidRDefault="004E3EBB" w:rsidP="005A79E9">
      <w:pPr>
        <w:pStyle w:val="13"/>
        <w:ind w:firstLine="482"/>
      </w:pPr>
      <w:r w:rsidRPr="004E3EBB">
        <w:rPr>
          <w:rFonts w:hint="eastAsia"/>
          <w:b/>
          <w:bCs/>
        </w:rPr>
        <w:t xml:space="preserve">第二条 </w:t>
      </w:r>
      <w:r w:rsidR="005A79E9">
        <w:t xml:space="preserve">在使用市场法评估金融企业时，常用的两种具体方法是上市公司比较法和交易案例比较法。 </w:t>
      </w:r>
    </w:p>
    <w:p w14:paraId="0A7D813D" w14:textId="3EB6B63C" w:rsidR="005A79E9" w:rsidRDefault="004E3EBB" w:rsidP="005A79E9">
      <w:pPr>
        <w:pStyle w:val="13"/>
        <w:ind w:firstLine="482"/>
      </w:pPr>
      <w:r w:rsidRPr="004E3EBB">
        <w:rPr>
          <w:rFonts w:hint="eastAsia"/>
          <w:b/>
          <w:bCs/>
        </w:rPr>
        <w:t xml:space="preserve">第三条 </w:t>
      </w:r>
      <w:r w:rsidR="005A79E9">
        <w:t>在使用市场法评估金融企业时，应关注宏观系统性经济因素，如：广义货币（M2）、市场利率、汇率等对金融企业市场交易价格的影响。</w:t>
      </w:r>
    </w:p>
    <w:p w14:paraId="0BD3BEFB" w14:textId="75D1C5B0" w:rsidR="005A79E9" w:rsidRDefault="004E3EBB" w:rsidP="005A79E9">
      <w:pPr>
        <w:pStyle w:val="13"/>
        <w:ind w:firstLine="482"/>
      </w:pPr>
      <w:r w:rsidRPr="004E3EBB">
        <w:rPr>
          <w:rFonts w:hint="eastAsia"/>
          <w:b/>
          <w:bCs/>
        </w:rPr>
        <w:t xml:space="preserve">第四条 </w:t>
      </w:r>
      <w:r w:rsidR="005A79E9">
        <w:t>运用市场法评估金融企业，涉及对资本市场的选择时，应首选与评估对象注册地处于相同国家、地区的市场，如确需选择不同国家、地区的资本市场，应考虑对其差异进行修正。</w:t>
      </w:r>
    </w:p>
    <w:p w14:paraId="5552510A" w14:textId="33F7C45A" w:rsidR="005A79E9" w:rsidRDefault="004E3EBB" w:rsidP="005A79E9">
      <w:pPr>
        <w:pStyle w:val="13"/>
        <w:ind w:firstLine="482"/>
      </w:pPr>
      <w:r w:rsidRPr="004E3EBB">
        <w:rPr>
          <w:rFonts w:hint="eastAsia"/>
          <w:b/>
          <w:bCs/>
        </w:rPr>
        <w:t xml:space="preserve">第五条 </w:t>
      </w:r>
      <w:r w:rsidR="005A79E9">
        <w:t>采用上市公司比较法选择可比上市公司时，应慎选如下上市公司：</w:t>
      </w:r>
    </w:p>
    <w:p w14:paraId="51FBCCC4" w14:textId="77777777" w:rsidR="005A79E9" w:rsidRDefault="005A79E9" w:rsidP="005A79E9">
      <w:pPr>
        <w:pStyle w:val="13"/>
      </w:pPr>
      <w:r>
        <w:t>1.近期发生有重大并购重组行为，导致公司股权结构、业务结构、未来盈利状况、行业类别等发生重大改变的公司；</w:t>
      </w:r>
    </w:p>
    <w:p w14:paraId="43EB56C4" w14:textId="77777777" w:rsidR="005A79E9" w:rsidRDefault="005A79E9" w:rsidP="005A79E9">
      <w:pPr>
        <w:pStyle w:val="13"/>
      </w:pPr>
      <w:r>
        <w:t>2.新上市公司；</w:t>
      </w:r>
    </w:p>
    <w:p w14:paraId="366C75B2" w14:textId="77777777" w:rsidR="005A79E9" w:rsidRDefault="005A79E9" w:rsidP="005A79E9">
      <w:pPr>
        <w:pStyle w:val="13"/>
      </w:pPr>
      <w:r>
        <w:t>3.近期股价异常波动的公司；</w:t>
      </w:r>
    </w:p>
    <w:p w14:paraId="79EBF4FE" w14:textId="77777777" w:rsidR="005A79E9" w:rsidRDefault="005A79E9" w:rsidP="005A79E9">
      <w:pPr>
        <w:pStyle w:val="13"/>
      </w:pPr>
      <w:r>
        <w:t>4.近期发生严重亏损的公司；</w:t>
      </w:r>
    </w:p>
    <w:p w14:paraId="6C22B17A" w14:textId="77777777" w:rsidR="005A79E9" w:rsidRDefault="005A79E9" w:rsidP="005A79E9">
      <w:pPr>
        <w:pStyle w:val="13"/>
      </w:pPr>
      <w:r>
        <w:t>5.近期出现有暂停交易，或因累计涨、跌幅限制而导致临时盘中终止交易的公司。</w:t>
      </w:r>
    </w:p>
    <w:p w14:paraId="09FF833E" w14:textId="77777777" w:rsidR="005A79E9" w:rsidRDefault="005A79E9" w:rsidP="005A79E9">
      <w:pPr>
        <w:pStyle w:val="13"/>
      </w:pPr>
      <w:r>
        <w:rPr>
          <w:rFonts w:hint="eastAsia"/>
        </w:rPr>
        <w:t>运用交易案例比较法时，交易案例的交易行为应为公开市场上的正常交易。</w:t>
      </w:r>
    </w:p>
    <w:p w14:paraId="2A5AA6FC" w14:textId="022809FB" w:rsidR="005A79E9" w:rsidRDefault="004E3EBB" w:rsidP="005A79E9">
      <w:pPr>
        <w:pStyle w:val="13"/>
        <w:ind w:firstLine="482"/>
      </w:pPr>
      <w:r w:rsidRPr="004E3EBB">
        <w:rPr>
          <w:rFonts w:hint="eastAsia"/>
          <w:b/>
          <w:bCs/>
        </w:rPr>
        <w:t xml:space="preserve">第六条 </w:t>
      </w:r>
      <w:r w:rsidR="005A79E9">
        <w:t>选取可比公司时，应关注可比公司与评估对象的可比性。这种可比性通常体现在行业、企业规模、业务结构、经营及盈利模式、盈利状况、资产配置和使用情况、企业所处经营阶段、经营风险、财务风险等方面。</w:t>
      </w:r>
    </w:p>
    <w:p w14:paraId="72C4D3A1" w14:textId="68FB1784" w:rsidR="005A79E9" w:rsidRDefault="004E3EBB" w:rsidP="005A79E9">
      <w:pPr>
        <w:pStyle w:val="13"/>
        <w:ind w:firstLine="482"/>
      </w:pPr>
      <w:r w:rsidRPr="004E3EBB">
        <w:rPr>
          <w:rFonts w:hint="eastAsia"/>
          <w:b/>
          <w:bCs/>
        </w:rPr>
        <w:t xml:space="preserve">第七条 </w:t>
      </w:r>
      <w:r w:rsidR="005A79E9">
        <w:t>金融企业市场法评估参数的选取应突出行业及评估对象的特点，从盈利、资产、收入、风险、行业监管等角度，选择有利于合理确定评估对象价值的因素。可比公司与评估对象的数据口径及计算方法、交易方式、交易条件、交易时间等交易因素应一致，存在差异的应进行相应的调整。</w:t>
      </w:r>
    </w:p>
    <w:p w14:paraId="03F7CFA3" w14:textId="26075B26" w:rsidR="005A79E9" w:rsidRDefault="004E3EBB" w:rsidP="005A79E9">
      <w:pPr>
        <w:pStyle w:val="13"/>
        <w:ind w:firstLine="482"/>
      </w:pPr>
      <w:r w:rsidRPr="004E3EBB">
        <w:rPr>
          <w:rFonts w:hint="eastAsia"/>
          <w:b/>
          <w:bCs/>
        </w:rPr>
        <w:t xml:space="preserve">第八条 </w:t>
      </w:r>
      <w:r w:rsidR="005A79E9">
        <w:t>采用市场法评估金融企业时，在样本数量充足且满足统计分析要求的前提下，可以使用统计分析方法，以减少主观因素对价值比率乘数选取及其对评估结论的影响，提高评估结论的客观性。</w:t>
      </w:r>
    </w:p>
    <w:p w14:paraId="54E55557" w14:textId="47FE57E1" w:rsidR="005A79E9" w:rsidRDefault="00E05BDA" w:rsidP="005A79E9">
      <w:pPr>
        <w:pStyle w:val="13"/>
        <w:ind w:firstLine="482"/>
      </w:pPr>
      <w:r w:rsidRPr="00E05BDA">
        <w:rPr>
          <w:rFonts w:hint="eastAsia"/>
          <w:b/>
          <w:bCs/>
        </w:rPr>
        <w:t xml:space="preserve">第九条 </w:t>
      </w:r>
      <w:r w:rsidR="005A79E9">
        <w:t>运用统计分析方法评估金融企业价值时，通常包括单因素模型和多因素模型。单因素模型是指运用与企业价值高度相关或者显著相关的某个单一参数，通过计算市场参照物的市场价值与该参数的比例关系，得到某个价值比率乘数，将评估对象的相关参数与</w:t>
      </w:r>
      <w:proofErr w:type="gramStart"/>
      <w:r w:rsidR="005A79E9">
        <w:t>该价值</w:t>
      </w:r>
      <w:proofErr w:type="gramEnd"/>
      <w:r w:rsidR="005A79E9">
        <w:t>比率乘数相乘得到评估对象价值的评估模型。多因素模型是指在金融企业存在多个价值影响因素的情况下，所构建的反映金融企业价值与多个影响因素之间关系的回归模型。</w:t>
      </w:r>
    </w:p>
    <w:p w14:paraId="7D07BC20" w14:textId="1E7D5D71" w:rsidR="005A79E9" w:rsidRDefault="00E05BDA" w:rsidP="005A79E9">
      <w:pPr>
        <w:pStyle w:val="13"/>
        <w:ind w:firstLine="482"/>
      </w:pPr>
      <w:r w:rsidRPr="00E05BDA">
        <w:rPr>
          <w:rFonts w:hint="eastAsia"/>
          <w:b/>
          <w:bCs/>
        </w:rPr>
        <w:lastRenderedPageBreak/>
        <w:t xml:space="preserve">第十条 </w:t>
      </w:r>
      <w:r w:rsidR="005A79E9">
        <w:t>因金融企业收入构成与其他企业不同，市销率较少被使用，目前单因素模型评估金融企业价值多采用市盈率、</w:t>
      </w:r>
      <w:proofErr w:type="gramStart"/>
      <w:r w:rsidR="005A79E9">
        <w:t>市净率</w:t>
      </w:r>
      <w:proofErr w:type="gramEnd"/>
      <w:r w:rsidR="005A79E9">
        <w:t>指标。也可根据评估对象特点选取适用于金融企业的其他特殊价值比率乘数。</w:t>
      </w:r>
    </w:p>
    <w:p w14:paraId="2CC90971" w14:textId="77777777" w:rsidR="005A79E9" w:rsidRDefault="005A79E9" w:rsidP="005A79E9">
      <w:pPr>
        <w:pStyle w:val="13"/>
      </w:pPr>
      <w:r>
        <w:rPr>
          <w:rFonts w:hint="eastAsia"/>
        </w:rPr>
        <w:t>如果难以直观判断影响企业价值的主要因素，可以借助统计分析方法，分析企业价值与影响企业价值的潜在因素之间是否存在相关关系。</w:t>
      </w:r>
    </w:p>
    <w:p w14:paraId="377C0A98" w14:textId="72FF1524" w:rsidR="005A79E9" w:rsidRDefault="00E05BDA" w:rsidP="005A79E9">
      <w:pPr>
        <w:pStyle w:val="13"/>
        <w:ind w:firstLine="482"/>
      </w:pPr>
      <w:r w:rsidRPr="00E05BDA">
        <w:rPr>
          <w:rFonts w:hint="eastAsia"/>
          <w:b/>
          <w:bCs/>
        </w:rPr>
        <w:t xml:space="preserve">第十一条 </w:t>
      </w:r>
      <w:r w:rsidR="005A79E9">
        <w:t>某些类型金融企业的价值可能不仅与利润、净资产相关，还同时存在影响企业价值的其他参数。如果影响企业价值的重要相关因素并不唯一，建议采用多因素模型。</w:t>
      </w:r>
    </w:p>
    <w:p w14:paraId="2CAF3B31" w14:textId="7BC2D6AD" w:rsidR="005A79E9" w:rsidRDefault="00E05BDA" w:rsidP="005A79E9">
      <w:pPr>
        <w:pStyle w:val="13"/>
        <w:ind w:firstLine="482"/>
      </w:pPr>
      <w:r w:rsidRPr="00E05BDA">
        <w:rPr>
          <w:rFonts w:hint="eastAsia"/>
          <w:b/>
          <w:bCs/>
        </w:rPr>
        <w:t xml:space="preserve">第十二条 </w:t>
      </w:r>
      <w:r w:rsidR="005A79E9">
        <w:t>运用统计分析方法进行相关性分析的步骤通常是：</w:t>
      </w:r>
    </w:p>
    <w:p w14:paraId="597E95B3" w14:textId="77777777" w:rsidR="005A79E9" w:rsidRDefault="005A79E9" w:rsidP="005A79E9">
      <w:pPr>
        <w:pStyle w:val="13"/>
      </w:pPr>
      <w:r>
        <w:t>1.选择并确定样本公司；</w:t>
      </w:r>
    </w:p>
    <w:p w14:paraId="6841D821" w14:textId="77777777" w:rsidR="005A79E9" w:rsidRDefault="005A79E9" w:rsidP="005A79E9">
      <w:pPr>
        <w:pStyle w:val="13"/>
      </w:pPr>
      <w:r>
        <w:t>2.初步确定可能会影响企业价值的参数；</w:t>
      </w:r>
    </w:p>
    <w:p w14:paraId="410D5D9A" w14:textId="77777777" w:rsidR="005A79E9" w:rsidRDefault="005A79E9" w:rsidP="005A79E9">
      <w:pPr>
        <w:pStyle w:val="13"/>
      </w:pPr>
      <w:r>
        <w:t>3.运用统计分析手段量化企业价值与所选参数之间的相关程度；</w:t>
      </w:r>
    </w:p>
    <w:p w14:paraId="38CCC133" w14:textId="77777777" w:rsidR="005A79E9" w:rsidRDefault="005A79E9" w:rsidP="005A79E9">
      <w:pPr>
        <w:pStyle w:val="13"/>
      </w:pPr>
      <w:r>
        <w:t>4.根据相关性分析结果确定评估所采用的具体参数。</w:t>
      </w:r>
    </w:p>
    <w:p w14:paraId="221C9CB8" w14:textId="54FDF510" w:rsidR="005A79E9" w:rsidRDefault="00E05BDA" w:rsidP="005A79E9">
      <w:pPr>
        <w:pStyle w:val="13"/>
        <w:ind w:firstLine="482"/>
      </w:pPr>
      <w:r w:rsidRPr="00E05BDA">
        <w:rPr>
          <w:rFonts w:hint="eastAsia"/>
          <w:b/>
          <w:bCs/>
        </w:rPr>
        <w:t xml:space="preserve">第十三条 </w:t>
      </w:r>
      <w:r w:rsidR="005A79E9">
        <w:t>影响不同类型金融企业价值的参数不尽相同。</w:t>
      </w:r>
      <w:proofErr w:type="gramStart"/>
      <w:r w:rsidR="005A79E9">
        <w:t>本专家</w:t>
      </w:r>
      <w:proofErr w:type="gramEnd"/>
      <w:r w:rsidR="005A79E9">
        <w:t>指引建议，对不同类型金融企业所应关注的价值影响参数包括但不限于：</w:t>
      </w:r>
    </w:p>
    <w:p w14:paraId="3EB4F47E" w14:textId="77777777" w:rsidR="005A79E9" w:rsidRDefault="005A79E9" w:rsidP="005A79E9">
      <w:pPr>
        <w:pStyle w:val="13"/>
      </w:pPr>
      <w:r>
        <w:t>1.商业银行</w:t>
      </w:r>
    </w:p>
    <w:p w14:paraId="3F1461B6" w14:textId="77777777" w:rsidR="005A79E9" w:rsidRDefault="005A79E9" w:rsidP="005A79E9">
      <w:pPr>
        <w:pStyle w:val="13"/>
      </w:pPr>
      <w:r>
        <w:rPr>
          <w:rFonts w:hint="eastAsia"/>
        </w:rPr>
        <w:t>净资产、利润、拨备覆盖率、利润增长率、净资产平均增长率、净利润平均增长率、资本保值增值率、净息差、净利差、资本利润率、加权平均净资产收益率、单一最大客户贷款比例、最大十家客户贷款比例、成本收入比、存贷款比例、资本充足率、核心资本充足率、资产利润率、资产流动性比例、总资产、不良贷款率、核心资本、营业网点数量、排名等。</w:t>
      </w:r>
    </w:p>
    <w:p w14:paraId="0BF55817" w14:textId="77777777" w:rsidR="005A79E9" w:rsidRDefault="005A79E9" w:rsidP="005A79E9">
      <w:pPr>
        <w:pStyle w:val="13"/>
      </w:pPr>
      <w:r>
        <w:t>2.保险公司</w:t>
      </w:r>
    </w:p>
    <w:p w14:paraId="5E411D15" w14:textId="77777777" w:rsidR="005A79E9" w:rsidRDefault="005A79E9" w:rsidP="005A79E9">
      <w:pPr>
        <w:pStyle w:val="13"/>
      </w:pPr>
      <w:r>
        <w:rPr>
          <w:rFonts w:hint="eastAsia"/>
        </w:rPr>
        <w:t>净资产、利润、收入利润率、支出利润率、总资产、净资产收益率、利润增长率、实际资本、综合成本率（产险业务）、综合赔付率（产险业务）、资本保值增值率、净利润平均增长率、净资产平均增长率、净投资收益率、总资产报酬率、总投资收益率、应收账款比率、退保率（寿险业务）、偿付能力充足率、保险渠道销售代理网点数量等。</w:t>
      </w:r>
    </w:p>
    <w:p w14:paraId="03058759" w14:textId="77777777" w:rsidR="005A79E9" w:rsidRDefault="005A79E9" w:rsidP="005A79E9">
      <w:pPr>
        <w:pStyle w:val="13"/>
      </w:pPr>
      <w:r>
        <w:t>3.证券公司</w:t>
      </w:r>
    </w:p>
    <w:p w14:paraId="06261736" w14:textId="77777777" w:rsidR="005A79E9" w:rsidRDefault="005A79E9" w:rsidP="005A79E9">
      <w:pPr>
        <w:pStyle w:val="13"/>
      </w:pPr>
      <w:r>
        <w:rPr>
          <w:rFonts w:hint="eastAsia"/>
        </w:rPr>
        <w:t>净资产、利润、利润增长率、资本保值增值率、净资本与净资产比率、资产利润率、加权平均净资产收益率、总资产、净资本、支出利润率、净资本与风险准备比率、收入利润率、净资产平均增长率、净资本负债率、净资产负债率、资产负债率、净利润平均增长率、营业部家数、证监会评级等。</w:t>
      </w:r>
    </w:p>
    <w:p w14:paraId="7E5516BB" w14:textId="77777777" w:rsidR="005A79E9" w:rsidRDefault="005A79E9" w:rsidP="005A79E9">
      <w:pPr>
        <w:pStyle w:val="13"/>
      </w:pPr>
      <w:r>
        <w:t>4.其他金融企业</w:t>
      </w:r>
    </w:p>
    <w:p w14:paraId="215609E6" w14:textId="77777777" w:rsidR="005A79E9" w:rsidRDefault="005A79E9" w:rsidP="005A79E9">
      <w:pPr>
        <w:pStyle w:val="13"/>
      </w:pPr>
      <w:r>
        <w:rPr>
          <w:rFonts w:hint="eastAsia"/>
        </w:rPr>
        <w:t>其他金融企业包括信托、期货、基金、担保、金融租赁公司等。建议关注相关企</w:t>
      </w:r>
      <w:r>
        <w:rPr>
          <w:rFonts w:hint="eastAsia"/>
        </w:rPr>
        <w:lastRenderedPageBreak/>
        <w:t>业的规模、盈利能力、经营增长状况、资产质量状况、偿付能力、风险控制能力、经营管理能力等因素，以及其他常用行业价值比率指标，如</w:t>
      </w:r>
      <w:r>
        <w:t>P/AUM等。</w:t>
      </w:r>
    </w:p>
    <w:p w14:paraId="7CC67E90" w14:textId="71EA1170" w:rsidR="005A79E9" w:rsidRDefault="00E05BDA" w:rsidP="005A79E9">
      <w:pPr>
        <w:pStyle w:val="13"/>
        <w:ind w:firstLine="482"/>
      </w:pPr>
      <w:r w:rsidRPr="00E05BDA">
        <w:rPr>
          <w:rFonts w:hint="eastAsia"/>
          <w:b/>
          <w:bCs/>
        </w:rPr>
        <w:t xml:space="preserve">第十四条 </w:t>
      </w:r>
      <w:r w:rsidR="005A79E9">
        <w:t>运用统计分析方法评估金融企业价值，需在分析参数相关性的基础上，利用回归方法量化相关参数与评估对象价值之间的关系，并对由此构建的回归模型进行必要的精度检验。</w:t>
      </w:r>
    </w:p>
    <w:p w14:paraId="65F25B7D" w14:textId="4E3889AF" w:rsidR="005A79E9" w:rsidRDefault="00E05BDA" w:rsidP="005A79E9">
      <w:pPr>
        <w:pStyle w:val="13"/>
        <w:ind w:firstLine="482"/>
      </w:pPr>
      <w:r w:rsidRPr="00E05BDA">
        <w:rPr>
          <w:rFonts w:hint="eastAsia"/>
          <w:b/>
          <w:bCs/>
        </w:rPr>
        <w:t xml:space="preserve">第十五条 </w:t>
      </w:r>
      <w:r w:rsidR="005A79E9">
        <w:t>运用上市公司比较法评估金融企业价值时，还应关注可比公司与评估对象间流动性的差异，考虑缺少流动性折扣，并在适当及切实可行的情况下考虑由于具有控制权或者缺乏控制权可能产生的溢价或者折价。</w:t>
      </w:r>
    </w:p>
    <w:p w14:paraId="1DACA9F2" w14:textId="77777777" w:rsidR="005A79E9" w:rsidRDefault="005A79E9" w:rsidP="005A79E9">
      <w:pPr>
        <w:pStyle w:val="13"/>
      </w:pPr>
      <w:r>
        <w:rPr>
          <w:rFonts w:hint="eastAsia"/>
        </w:rPr>
        <w:t>运用交易案例比较法评估金融企业价值时，应尽量选取与评估对象的控股权状态相同或相近的交易案例。</w:t>
      </w:r>
    </w:p>
    <w:p w14:paraId="04007319" w14:textId="5B131725" w:rsidR="005A79E9" w:rsidRDefault="00E05BDA" w:rsidP="005A79E9">
      <w:pPr>
        <w:pStyle w:val="13"/>
        <w:ind w:firstLine="482"/>
      </w:pPr>
      <w:r w:rsidRPr="00E05BDA">
        <w:rPr>
          <w:rFonts w:hint="eastAsia"/>
          <w:b/>
          <w:bCs/>
        </w:rPr>
        <w:t xml:space="preserve">第十六条 </w:t>
      </w:r>
      <w:r w:rsidR="005A79E9">
        <w:t>资产评估</w:t>
      </w:r>
      <w:proofErr w:type="gramStart"/>
      <w:r w:rsidR="005A79E9">
        <w:t>师应当</w:t>
      </w:r>
      <w:proofErr w:type="gramEnd"/>
      <w:r w:rsidR="005A79E9">
        <w:t>知晓，</w:t>
      </w:r>
      <w:proofErr w:type="gramStart"/>
      <w:r w:rsidR="005A79E9">
        <w:t>本专家</w:t>
      </w:r>
      <w:proofErr w:type="gramEnd"/>
      <w:r w:rsidR="005A79E9">
        <w:t>指引所介绍的只是诸多评估方法的一种，意在为资产评估师解决价值比率乘数与评估结论的相关性及模型量化的客观性提供一种技术解决思路。对于样本数量不足或其他不适用于统计分析方法的情形，资产评估师应采用其他适用的方法。</w:t>
      </w:r>
    </w:p>
    <w:p w14:paraId="204C32D1" w14:textId="77777777" w:rsidR="005A79E9" w:rsidRDefault="005A79E9" w:rsidP="005A79E9">
      <w:pPr>
        <w:pStyle w:val="13"/>
      </w:pPr>
      <w:proofErr w:type="gramStart"/>
      <w:r>
        <w:rPr>
          <w:rFonts w:hint="eastAsia"/>
        </w:rPr>
        <w:t>本专家</w:t>
      </w:r>
      <w:proofErr w:type="gramEnd"/>
      <w:r>
        <w:rPr>
          <w:rFonts w:hint="eastAsia"/>
        </w:rPr>
        <w:t>指引及所附案例的分析、回归模型仅是诸多统计分析方法中可供选择的具体应用形式。资产评估师也可根据评估对象特点及统计方法的适用条件，选择其他方法。</w:t>
      </w:r>
    </w:p>
    <w:p w14:paraId="56CFDCA9" w14:textId="447AD582" w:rsidR="00EF0BC2" w:rsidRDefault="005A79E9" w:rsidP="005A79E9">
      <w:pPr>
        <w:pStyle w:val="13"/>
      </w:pPr>
      <w:r>
        <w:rPr>
          <w:rFonts w:hint="eastAsia"/>
        </w:rPr>
        <w:t>附：金融企业市场法评估统计分析方法模型构建示例</w:t>
      </w:r>
    </w:p>
    <w:p w14:paraId="375DB1CC" w14:textId="132F20D5" w:rsidR="005A79E9" w:rsidRPr="005A79E9" w:rsidRDefault="005A79E9" w:rsidP="005A79E9">
      <w:pPr>
        <w:pStyle w:val="13"/>
        <w:ind w:firstLineChars="0" w:firstLine="0"/>
        <w:rPr>
          <w:b/>
          <w:bCs/>
        </w:rPr>
      </w:pPr>
      <w:r w:rsidRPr="005A79E9">
        <w:rPr>
          <w:rFonts w:hint="eastAsia"/>
          <w:b/>
          <w:bCs/>
        </w:rPr>
        <w:t>附：</w:t>
      </w:r>
    </w:p>
    <w:p w14:paraId="36823CEE" w14:textId="77777777" w:rsidR="005A79E9" w:rsidRDefault="005A79E9" w:rsidP="00AF7342">
      <w:pPr>
        <w:pStyle w:val="a9"/>
        <w:spacing w:before="62" w:after="62"/>
      </w:pPr>
      <w:r>
        <w:rPr>
          <w:rFonts w:hint="eastAsia"/>
        </w:rPr>
        <w:t>金融企业市场法评估统计分析方法模型构建示例</w:t>
      </w:r>
    </w:p>
    <w:p w14:paraId="63F4C1A1" w14:textId="77777777" w:rsidR="005A79E9" w:rsidRDefault="005A79E9" w:rsidP="005A79E9">
      <w:pPr>
        <w:pStyle w:val="13"/>
      </w:pPr>
      <w:r>
        <w:rPr>
          <w:rFonts w:hint="eastAsia"/>
        </w:rPr>
        <w:t>所附案例的结论仅反映撰写时点样本数据的特征，并非最终结论。资产评估</w:t>
      </w:r>
      <w:proofErr w:type="gramStart"/>
      <w:r>
        <w:rPr>
          <w:rFonts w:hint="eastAsia"/>
        </w:rPr>
        <w:t>师应当</w:t>
      </w:r>
      <w:proofErr w:type="gramEnd"/>
      <w:r>
        <w:rPr>
          <w:rFonts w:hint="eastAsia"/>
        </w:rPr>
        <w:t>在评估实务中，根据实际情况选择样本，选取适用于具体评估业务所需的参数及模型。</w:t>
      </w:r>
    </w:p>
    <w:p w14:paraId="3FB520EB" w14:textId="77777777" w:rsidR="005A79E9" w:rsidRPr="005A79E9" w:rsidRDefault="005A79E9" w:rsidP="005A79E9">
      <w:pPr>
        <w:pStyle w:val="13"/>
        <w:ind w:firstLine="482"/>
        <w:rPr>
          <w:b/>
          <w:bCs/>
        </w:rPr>
      </w:pPr>
      <w:r w:rsidRPr="005A79E9">
        <w:rPr>
          <w:rFonts w:hint="eastAsia"/>
          <w:b/>
          <w:bCs/>
        </w:rPr>
        <w:t>案例</w:t>
      </w:r>
      <w:r w:rsidRPr="005A79E9">
        <w:rPr>
          <w:b/>
          <w:bCs/>
        </w:rPr>
        <w:t>1：</w:t>
      </w:r>
    </w:p>
    <w:p w14:paraId="22BCB2A3" w14:textId="77777777" w:rsidR="005A79E9" w:rsidRDefault="005A79E9" w:rsidP="00AF7342">
      <w:pPr>
        <w:pStyle w:val="a9"/>
        <w:spacing w:before="62" w:after="62"/>
      </w:pPr>
      <w:r>
        <w:rPr>
          <w:rFonts w:hint="eastAsia"/>
        </w:rPr>
        <w:t>证券公司企业价值市场法评估模型的构建（节选）</w:t>
      </w:r>
    </w:p>
    <w:p w14:paraId="3C1DD3D5" w14:textId="77777777" w:rsidR="005A79E9" w:rsidRDefault="005A79E9" w:rsidP="005A79E9">
      <w:pPr>
        <w:pStyle w:val="13"/>
      </w:pPr>
      <w:r>
        <w:t>1.各参数的相关性分析</w:t>
      </w:r>
    </w:p>
    <w:p w14:paraId="63FD1315" w14:textId="650B86FF" w:rsidR="00EF0BC2" w:rsidRDefault="005A79E9" w:rsidP="005A79E9">
      <w:pPr>
        <w:pStyle w:val="13"/>
      </w:pPr>
      <w:r>
        <w:rPr>
          <w:rFonts w:hint="eastAsia"/>
        </w:rPr>
        <w:t>选用评估基准日沪、深两市若干证券公司的样本作为可比对象，选取</w:t>
      </w:r>
      <w:r>
        <w:t>19个可能与企业价值相关的参数，对可比对象每股单价与这19个参数进行相关性分析，筛选得到如下分析结果：</w:t>
      </w:r>
    </w:p>
    <w:p w14:paraId="0646D987" w14:textId="529F342A" w:rsidR="005A79E9" w:rsidRPr="005A79E9" w:rsidRDefault="005A79E9" w:rsidP="005A79E9">
      <w:pPr>
        <w:pStyle w:val="13"/>
        <w:ind w:firstLineChars="0" w:firstLine="0"/>
        <w:jc w:val="center"/>
      </w:pPr>
      <w:r>
        <w:rPr>
          <w:rFonts w:ascii="仿宋_GB2312" w:hAnsi="仿宋"/>
          <w:noProof/>
          <w:sz w:val="32"/>
          <w:szCs w:val="32"/>
        </w:rPr>
        <w:lastRenderedPageBreak/>
        <w:drawing>
          <wp:inline distT="0" distB="0" distL="0" distR="0" wp14:anchorId="6CD45813" wp14:editId="66833543">
            <wp:extent cx="3162300" cy="2686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2300" cy="2686050"/>
                    </a:xfrm>
                    <a:prstGeom prst="rect">
                      <a:avLst/>
                    </a:prstGeom>
                    <a:noFill/>
                    <a:ln>
                      <a:noFill/>
                    </a:ln>
                  </pic:spPr>
                </pic:pic>
              </a:graphicData>
            </a:graphic>
          </wp:inline>
        </w:drawing>
      </w:r>
    </w:p>
    <w:p w14:paraId="3DA6B12A" w14:textId="77777777" w:rsidR="005A79E9" w:rsidRDefault="005A79E9" w:rsidP="005A79E9">
      <w:pPr>
        <w:pStyle w:val="13"/>
      </w:pPr>
      <w:r>
        <w:rPr>
          <w:rFonts w:hint="eastAsia"/>
        </w:rPr>
        <w:t>根据上述相关性分析结果，认为每股净资产与股价显著相关，因此，评估中选用每股净资产作为单因素模型的指标。</w:t>
      </w:r>
    </w:p>
    <w:p w14:paraId="3EE770C0" w14:textId="77777777" w:rsidR="005A79E9" w:rsidRDefault="005A79E9" w:rsidP="005A79E9">
      <w:pPr>
        <w:pStyle w:val="13"/>
      </w:pPr>
      <w:r>
        <w:t>2.构建单因素模型</w:t>
      </w:r>
    </w:p>
    <w:p w14:paraId="7E517F30" w14:textId="4FDD3D15" w:rsidR="005A79E9" w:rsidRDefault="005A79E9" w:rsidP="005A79E9">
      <w:pPr>
        <w:pStyle w:val="13"/>
      </w:pPr>
      <w:r>
        <w:rPr>
          <w:rFonts w:hint="eastAsia"/>
        </w:rPr>
        <w:t>每股净资产对股价影响的相关性可以下图表示：</w:t>
      </w:r>
    </w:p>
    <w:p w14:paraId="0BC89A96" w14:textId="1BDB5692" w:rsidR="005A79E9" w:rsidRDefault="005A79E9" w:rsidP="005A79E9">
      <w:pPr>
        <w:pStyle w:val="13"/>
      </w:pPr>
      <w:r>
        <w:rPr>
          <w:noProof/>
        </w:rPr>
        <w:drawing>
          <wp:inline distT="0" distB="0" distL="0" distR="0" wp14:anchorId="5392E9D4" wp14:editId="75140229">
            <wp:extent cx="2617645" cy="1905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0038" cy="1906742"/>
                    </a:xfrm>
                    <a:prstGeom prst="rect">
                      <a:avLst/>
                    </a:prstGeom>
                    <a:noFill/>
                  </pic:spPr>
                </pic:pic>
              </a:graphicData>
            </a:graphic>
          </wp:inline>
        </w:drawing>
      </w:r>
      <w:r>
        <w:rPr>
          <w:noProof/>
        </w:rPr>
        <w:drawing>
          <wp:inline distT="0" distB="0" distL="0" distR="0" wp14:anchorId="65461F6B" wp14:editId="313CCA9C">
            <wp:extent cx="2549071" cy="191452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9501" cy="1914848"/>
                    </a:xfrm>
                    <a:prstGeom prst="rect">
                      <a:avLst/>
                    </a:prstGeom>
                    <a:noFill/>
                  </pic:spPr>
                </pic:pic>
              </a:graphicData>
            </a:graphic>
          </wp:inline>
        </w:drawing>
      </w:r>
    </w:p>
    <w:p w14:paraId="6F6A23CF" w14:textId="112CFB0E" w:rsidR="005A79E9" w:rsidRDefault="005A79E9" w:rsidP="005A79E9">
      <w:pPr>
        <w:pStyle w:val="13"/>
      </w:pPr>
      <w:r w:rsidRPr="005A79E9">
        <w:rPr>
          <w:rFonts w:hint="eastAsia"/>
        </w:rPr>
        <w:t>上图所示，虽然每股净资产离散度较高，但与收盘价分布呈现较强相关性，因此评估选用每股净资产指标进行回归分析，运用</w:t>
      </w:r>
      <w:r w:rsidRPr="005A79E9">
        <w:t>SPSS统计分析软件所构建的回归方程及相关检验结果如下：</w:t>
      </w:r>
    </w:p>
    <w:p w14:paraId="714A63AF" w14:textId="6116E5BF" w:rsidR="005A79E9" w:rsidRDefault="005A79E9" w:rsidP="005A79E9">
      <w:pPr>
        <w:pStyle w:val="13"/>
        <w:ind w:firstLineChars="0" w:firstLine="0"/>
        <w:jc w:val="center"/>
      </w:pPr>
      <w:r>
        <w:rPr>
          <w:rFonts w:ascii="仿宋_GB2312" w:hAnsi="Times New Roman"/>
          <w:noProof/>
          <w:spacing w:val="-2"/>
          <w:sz w:val="32"/>
          <w:szCs w:val="32"/>
        </w:rPr>
        <w:drawing>
          <wp:inline distT="0" distB="0" distL="0" distR="0" wp14:anchorId="21A87514" wp14:editId="1C32BA04">
            <wp:extent cx="3314700" cy="733425"/>
            <wp:effectExtent l="0" t="0" r="0" b="9525"/>
            <wp:docPr id="14" name="图片 14" desc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733425"/>
                    </a:xfrm>
                    <a:prstGeom prst="rect">
                      <a:avLst/>
                    </a:prstGeom>
                    <a:noFill/>
                    <a:ln>
                      <a:noFill/>
                    </a:ln>
                  </pic:spPr>
                </pic:pic>
              </a:graphicData>
            </a:graphic>
          </wp:inline>
        </w:drawing>
      </w:r>
    </w:p>
    <w:p w14:paraId="284E9962" w14:textId="6654CABA" w:rsidR="005A79E9" w:rsidRDefault="005A79E9" w:rsidP="005A79E9">
      <w:pPr>
        <w:pStyle w:val="13"/>
        <w:ind w:firstLineChars="0" w:firstLine="0"/>
        <w:jc w:val="center"/>
      </w:pPr>
      <w:r>
        <w:rPr>
          <w:rFonts w:ascii="仿宋_GB2312" w:hAnsi="Times New Roman"/>
          <w:noProof/>
          <w:spacing w:val="-2"/>
          <w:sz w:val="32"/>
          <w:szCs w:val="32"/>
        </w:rPr>
        <w:drawing>
          <wp:inline distT="0" distB="0" distL="0" distR="0" wp14:anchorId="232E60EF" wp14:editId="0A908BED">
            <wp:extent cx="3886200" cy="723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r="22598"/>
                    <a:stretch>
                      <a:fillRect/>
                    </a:stretch>
                  </pic:blipFill>
                  <pic:spPr bwMode="auto">
                    <a:xfrm>
                      <a:off x="0" y="0"/>
                      <a:ext cx="3886200" cy="723900"/>
                    </a:xfrm>
                    <a:prstGeom prst="rect">
                      <a:avLst/>
                    </a:prstGeom>
                    <a:noFill/>
                    <a:ln>
                      <a:noFill/>
                    </a:ln>
                  </pic:spPr>
                </pic:pic>
              </a:graphicData>
            </a:graphic>
          </wp:inline>
        </w:drawing>
      </w:r>
    </w:p>
    <w:p w14:paraId="3846EB26" w14:textId="77777777" w:rsidR="005A79E9" w:rsidRDefault="005A79E9" w:rsidP="005A79E9">
      <w:pPr>
        <w:pStyle w:val="13"/>
      </w:pPr>
      <w:r>
        <w:rPr>
          <w:rFonts w:hint="eastAsia"/>
        </w:rPr>
        <w:t>每股价值</w:t>
      </w:r>
      <w:r>
        <w:t>=4.729+1.087×每股净资产</w:t>
      </w:r>
    </w:p>
    <w:p w14:paraId="5B0EEA07" w14:textId="13B7ED7E" w:rsidR="005A79E9" w:rsidRDefault="005A79E9" w:rsidP="005A79E9">
      <w:pPr>
        <w:pStyle w:val="13"/>
      </w:pPr>
      <w:r>
        <w:rPr>
          <w:rFonts w:hint="eastAsia"/>
        </w:rPr>
        <w:t>由上表可见，</w:t>
      </w:r>
      <w:r>
        <w:t>R值为0.563，每股净资产t值为3.539，模型整体拟合精度较高，</w:t>
      </w:r>
      <w:r>
        <w:lastRenderedPageBreak/>
        <w:t>每股净资产系数较为显著。对模型进行样本</w:t>
      </w:r>
      <w:proofErr w:type="gramStart"/>
      <w:r>
        <w:t>内预测</w:t>
      </w:r>
      <w:proofErr w:type="gramEnd"/>
      <w:r>
        <w:t>检验结果如下表所示：</w:t>
      </w:r>
    </w:p>
    <w:p w14:paraId="18929474" w14:textId="5A6F766F" w:rsidR="005A79E9" w:rsidRDefault="005A79E9" w:rsidP="005A79E9">
      <w:pPr>
        <w:pStyle w:val="13"/>
        <w:ind w:firstLineChars="0" w:firstLine="0"/>
        <w:jc w:val="center"/>
      </w:pPr>
      <w:r>
        <w:rPr>
          <w:noProof/>
        </w:rPr>
        <w:drawing>
          <wp:inline distT="0" distB="0" distL="0" distR="0" wp14:anchorId="303C883B" wp14:editId="60CE03AA">
            <wp:extent cx="3256915" cy="52381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6915" cy="5238115"/>
                    </a:xfrm>
                    <a:prstGeom prst="rect">
                      <a:avLst/>
                    </a:prstGeom>
                    <a:noFill/>
                  </pic:spPr>
                </pic:pic>
              </a:graphicData>
            </a:graphic>
          </wp:inline>
        </w:drawing>
      </w:r>
    </w:p>
    <w:p w14:paraId="69A42DC5" w14:textId="77777777" w:rsidR="005A79E9" w:rsidRPr="005A79E9" w:rsidRDefault="005A79E9" w:rsidP="005A79E9">
      <w:pPr>
        <w:pStyle w:val="13"/>
        <w:ind w:firstLine="482"/>
        <w:rPr>
          <w:b/>
          <w:bCs/>
        </w:rPr>
      </w:pPr>
      <w:r w:rsidRPr="005A79E9">
        <w:rPr>
          <w:rFonts w:hint="eastAsia"/>
          <w:b/>
          <w:bCs/>
        </w:rPr>
        <w:t>案例</w:t>
      </w:r>
      <w:r w:rsidRPr="005A79E9">
        <w:rPr>
          <w:b/>
          <w:bCs/>
        </w:rPr>
        <w:t>2：</w:t>
      </w:r>
    </w:p>
    <w:p w14:paraId="5A7CDEEB" w14:textId="77777777" w:rsidR="005A79E9" w:rsidRDefault="005A79E9" w:rsidP="00AF7342">
      <w:pPr>
        <w:pStyle w:val="a9"/>
        <w:spacing w:before="62" w:after="62"/>
      </w:pPr>
      <w:r>
        <w:rPr>
          <w:rFonts w:hint="eastAsia"/>
        </w:rPr>
        <w:t>商业银行企业价值市场法评估模型的构建（节选）</w:t>
      </w:r>
    </w:p>
    <w:p w14:paraId="0380BCFC" w14:textId="77777777" w:rsidR="005A79E9" w:rsidRDefault="005A79E9" w:rsidP="005A79E9">
      <w:pPr>
        <w:pStyle w:val="13"/>
      </w:pPr>
      <w:r>
        <w:t>1.各参数的相关性分析</w:t>
      </w:r>
    </w:p>
    <w:p w14:paraId="7CDEBA54" w14:textId="77777777" w:rsidR="005A79E9" w:rsidRDefault="005A79E9" w:rsidP="005A79E9">
      <w:pPr>
        <w:pStyle w:val="13"/>
      </w:pPr>
      <w:r>
        <w:rPr>
          <w:rFonts w:hint="eastAsia"/>
        </w:rPr>
        <w:t>选用评估基准日沪、深两市若干商业银行作为样本，选择可能与商业银行价值存在影响的</w:t>
      </w:r>
      <w:r>
        <w:t>25个参数值作为自变量，分析每一个变量与商业银行价值的相关性。</w:t>
      </w:r>
    </w:p>
    <w:p w14:paraId="5E86C628" w14:textId="079F1DDB" w:rsidR="005A79E9" w:rsidRDefault="005A79E9" w:rsidP="005A79E9">
      <w:pPr>
        <w:pStyle w:val="13"/>
      </w:pPr>
      <w:r>
        <w:rPr>
          <w:rFonts w:hint="eastAsia"/>
        </w:rPr>
        <w:t>通过量化以上指标与股价的相关程度，筛选得到如下分析结果：</w:t>
      </w:r>
    </w:p>
    <w:p w14:paraId="33EB23AB" w14:textId="5AE5CA5D" w:rsidR="005A79E9" w:rsidRDefault="005A79E9" w:rsidP="005A79E9">
      <w:pPr>
        <w:pStyle w:val="13"/>
        <w:ind w:firstLineChars="0" w:firstLine="0"/>
        <w:jc w:val="center"/>
      </w:pPr>
      <w:r>
        <w:rPr>
          <w:noProof/>
        </w:rPr>
        <w:lastRenderedPageBreak/>
        <w:drawing>
          <wp:inline distT="0" distB="0" distL="0" distR="0" wp14:anchorId="63AFE90A" wp14:editId="207245A0">
            <wp:extent cx="3275965" cy="370459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5965" cy="3704590"/>
                    </a:xfrm>
                    <a:prstGeom prst="rect">
                      <a:avLst/>
                    </a:prstGeom>
                    <a:noFill/>
                  </pic:spPr>
                </pic:pic>
              </a:graphicData>
            </a:graphic>
          </wp:inline>
        </w:drawing>
      </w:r>
    </w:p>
    <w:p w14:paraId="27DC1BF0" w14:textId="4862F47C" w:rsidR="005A79E9" w:rsidRDefault="005A79E9" w:rsidP="005A79E9">
      <w:pPr>
        <w:pStyle w:val="13"/>
      </w:pPr>
      <w:r w:rsidRPr="005A79E9">
        <w:rPr>
          <w:rFonts w:hint="eastAsia"/>
        </w:rPr>
        <w:t>根据上述相关性分析结果，认为每股收益、每股净资产与股价高度相关（散点图如下），拨备覆盖率与股价显著相关。由于影响商业银行企业价值的因素并不唯一，此次将采用多因素模型评估标的商业银行的企业价值，并初步选用每股收益、每股净资产、拨备覆盖率（在后续多因素回归分析时，通过</w:t>
      </w:r>
      <w:r w:rsidRPr="005A79E9">
        <w:t>T检验发现此变量对被解释变量的贡献度非常小,最终予以剔除）作为多因素模型的指标。</w:t>
      </w:r>
    </w:p>
    <w:p w14:paraId="282BE546" w14:textId="01190B16" w:rsidR="005A79E9" w:rsidRDefault="005A79E9" w:rsidP="005A79E9">
      <w:pPr>
        <w:pStyle w:val="13"/>
      </w:pPr>
      <w:r>
        <w:rPr>
          <w:noProof/>
        </w:rPr>
        <w:drawing>
          <wp:inline distT="0" distB="0" distL="0" distR="0" wp14:anchorId="1CAEE6A5" wp14:editId="1B3CE2F7">
            <wp:extent cx="2505075" cy="20002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2000250"/>
                    </a:xfrm>
                    <a:prstGeom prst="rect">
                      <a:avLst/>
                    </a:prstGeom>
                    <a:noFill/>
                  </pic:spPr>
                </pic:pic>
              </a:graphicData>
            </a:graphic>
          </wp:inline>
        </w:drawing>
      </w:r>
      <w:r>
        <w:rPr>
          <w:noProof/>
        </w:rPr>
        <w:drawing>
          <wp:inline distT="0" distB="0" distL="0" distR="0" wp14:anchorId="74F0AC40" wp14:editId="53D72E53">
            <wp:extent cx="2476500" cy="1981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1981200"/>
                    </a:xfrm>
                    <a:prstGeom prst="rect">
                      <a:avLst/>
                    </a:prstGeom>
                    <a:noFill/>
                  </pic:spPr>
                </pic:pic>
              </a:graphicData>
            </a:graphic>
          </wp:inline>
        </w:drawing>
      </w:r>
    </w:p>
    <w:p w14:paraId="43649FF5" w14:textId="77777777" w:rsidR="005A79E9" w:rsidRDefault="005A79E9" w:rsidP="005A79E9">
      <w:pPr>
        <w:pStyle w:val="13"/>
      </w:pPr>
      <w:r>
        <w:t>2.构建多因素模型</w:t>
      </w:r>
    </w:p>
    <w:p w14:paraId="065954F8" w14:textId="77777777" w:rsidR="005A79E9" w:rsidRDefault="005A79E9" w:rsidP="005A79E9">
      <w:pPr>
        <w:pStyle w:val="13"/>
      </w:pPr>
      <w:r>
        <w:rPr>
          <w:rFonts w:hint="eastAsia"/>
        </w:rPr>
        <w:t>采用逐步回归的方式构建模型，构建过程中，首先选取高度相关的两个自变量，即每股净资产、每股收益建立与因变量股价间的回归方程，然后将其他的自变量参数分别代入方程，来优化模型。通过对</w:t>
      </w:r>
      <w:proofErr w:type="gramStart"/>
      <w:r>
        <w:rPr>
          <w:rFonts w:hint="eastAsia"/>
        </w:rPr>
        <w:t>各回归</w:t>
      </w:r>
      <w:proofErr w:type="gramEnd"/>
      <w:r>
        <w:rPr>
          <w:rFonts w:hint="eastAsia"/>
        </w:rPr>
        <w:t>模型总体拟合优度及</w:t>
      </w:r>
      <w:r>
        <w:t>T检验的分析发现，以上所选取的其他变量（如拨备覆盖率等）对被解释变量的贡献度非常小,可以排除。</w:t>
      </w:r>
    </w:p>
    <w:p w14:paraId="33BC3681" w14:textId="2C1D7534" w:rsidR="005A79E9" w:rsidRDefault="005A79E9" w:rsidP="005A79E9">
      <w:pPr>
        <w:pStyle w:val="13"/>
      </w:pPr>
      <w:r>
        <w:rPr>
          <w:rFonts w:hint="eastAsia"/>
        </w:rPr>
        <w:t>在以上分析的基础上，通过运用</w:t>
      </w:r>
      <w:r>
        <w:t>SPSS统计分析软件对自变量每股净资产、每股</w:t>
      </w:r>
      <w:r>
        <w:lastRenderedPageBreak/>
        <w:t>收益进行回归分析，最终获取如下回归方程（此方程已通过多重共线性、F、W检验）：</w:t>
      </w:r>
    </w:p>
    <w:p w14:paraId="159C51BE" w14:textId="2F3A89E2" w:rsidR="005A79E9" w:rsidRDefault="005A79E9" w:rsidP="005A79E9">
      <w:pPr>
        <w:pStyle w:val="13"/>
        <w:ind w:firstLineChars="0" w:firstLine="0"/>
        <w:jc w:val="center"/>
      </w:pPr>
      <w:r>
        <w:rPr>
          <w:noProof/>
        </w:rPr>
        <w:drawing>
          <wp:inline distT="0" distB="0" distL="0" distR="0" wp14:anchorId="77E5824D" wp14:editId="709C1766">
            <wp:extent cx="3695065" cy="942975"/>
            <wp:effectExtent l="0" t="0" r="63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5065" cy="942975"/>
                    </a:xfrm>
                    <a:prstGeom prst="rect">
                      <a:avLst/>
                    </a:prstGeom>
                    <a:noFill/>
                  </pic:spPr>
                </pic:pic>
              </a:graphicData>
            </a:graphic>
          </wp:inline>
        </w:drawing>
      </w:r>
    </w:p>
    <w:p w14:paraId="66A97833" w14:textId="602E8609" w:rsidR="005A79E9" w:rsidRDefault="005A79E9" w:rsidP="005A79E9">
      <w:pPr>
        <w:pStyle w:val="13"/>
        <w:ind w:firstLineChars="0" w:firstLine="0"/>
        <w:jc w:val="center"/>
      </w:pPr>
      <w:r>
        <w:rPr>
          <w:noProof/>
        </w:rPr>
        <w:drawing>
          <wp:inline distT="0" distB="0" distL="0" distR="0" wp14:anchorId="1B832368" wp14:editId="05065D1B">
            <wp:extent cx="3742690" cy="10953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2690" cy="1095375"/>
                    </a:xfrm>
                    <a:prstGeom prst="rect">
                      <a:avLst/>
                    </a:prstGeom>
                    <a:noFill/>
                  </pic:spPr>
                </pic:pic>
              </a:graphicData>
            </a:graphic>
          </wp:inline>
        </w:drawing>
      </w:r>
    </w:p>
    <w:p w14:paraId="13D297F7" w14:textId="77777777" w:rsidR="005A79E9" w:rsidRDefault="005A79E9" w:rsidP="005A79E9">
      <w:pPr>
        <w:pStyle w:val="13"/>
      </w:pPr>
      <w:r>
        <w:t>Y=0.299+0.648×X1+2.644×X2</w:t>
      </w:r>
    </w:p>
    <w:p w14:paraId="111C9894" w14:textId="77777777" w:rsidR="005A79E9" w:rsidRDefault="005A79E9" w:rsidP="005A79E9">
      <w:pPr>
        <w:pStyle w:val="13"/>
      </w:pPr>
      <w:r>
        <w:t>Y：股价</w:t>
      </w:r>
    </w:p>
    <w:p w14:paraId="111621F0" w14:textId="77777777" w:rsidR="005A79E9" w:rsidRDefault="005A79E9" w:rsidP="005A79E9">
      <w:pPr>
        <w:pStyle w:val="13"/>
      </w:pPr>
      <w:r>
        <w:t>X1：每股净资产</w:t>
      </w:r>
    </w:p>
    <w:p w14:paraId="1920A232" w14:textId="77777777" w:rsidR="005A79E9" w:rsidRDefault="005A79E9" w:rsidP="005A79E9">
      <w:pPr>
        <w:pStyle w:val="13"/>
      </w:pPr>
      <w:r>
        <w:t>X2：每股收益</w:t>
      </w:r>
    </w:p>
    <w:p w14:paraId="423A6885" w14:textId="13FB1FE0" w:rsidR="005A79E9" w:rsidRDefault="005A79E9" w:rsidP="005A79E9">
      <w:pPr>
        <w:pStyle w:val="13"/>
      </w:pPr>
      <w:r>
        <w:rPr>
          <w:rFonts w:hint="eastAsia"/>
        </w:rPr>
        <w:t>由上表可见，</w:t>
      </w:r>
      <w:r>
        <w:t>R值为0.933，每股净资产t值为3.115，每股收益t值为2.727，模型整体拟合精度较高，每股净资产、每股收益系数较为显著。对模型进行样本</w:t>
      </w:r>
      <w:proofErr w:type="gramStart"/>
      <w:r>
        <w:t>内预测</w:t>
      </w:r>
      <w:proofErr w:type="gramEnd"/>
      <w:r>
        <w:t>检验结果如下表所示：</w:t>
      </w:r>
    </w:p>
    <w:p w14:paraId="0AB69B8D" w14:textId="0F7A0C1E" w:rsidR="005A79E9" w:rsidRDefault="005A79E9" w:rsidP="005A79E9">
      <w:pPr>
        <w:pStyle w:val="13"/>
        <w:jc w:val="center"/>
      </w:pPr>
      <w:r w:rsidRPr="005A79E9">
        <w:rPr>
          <w:rFonts w:hint="eastAsia"/>
        </w:rPr>
        <w:t>检验结果</w:t>
      </w:r>
    </w:p>
    <w:p w14:paraId="5B6A93AE" w14:textId="332011A3" w:rsidR="005A79E9" w:rsidRDefault="005A79E9" w:rsidP="007605DB">
      <w:pPr>
        <w:pStyle w:val="13"/>
      </w:pPr>
      <w:r>
        <w:rPr>
          <w:noProof/>
        </w:rPr>
        <w:drawing>
          <wp:inline distT="0" distB="0" distL="0" distR="0" wp14:anchorId="1E882C85" wp14:editId="24D499FE">
            <wp:extent cx="2210162" cy="42005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1870" cy="4203772"/>
                    </a:xfrm>
                    <a:prstGeom prst="rect">
                      <a:avLst/>
                    </a:prstGeom>
                    <a:noFill/>
                  </pic:spPr>
                </pic:pic>
              </a:graphicData>
            </a:graphic>
          </wp:inline>
        </w:drawing>
      </w:r>
      <w:r w:rsidR="007605DB">
        <w:rPr>
          <w:rFonts w:hint="eastAsia"/>
        </w:rPr>
        <w:t xml:space="preserve"> </w:t>
      </w:r>
      <w:r w:rsidR="007605DB">
        <w:t xml:space="preserve"> </w:t>
      </w:r>
      <w:r w:rsidR="007605DB">
        <w:rPr>
          <w:rFonts w:ascii="仿宋_GB2312"/>
          <w:noProof/>
          <w:sz w:val="32"/>
          <w:szCs w:val="32"/>
        </w:rPr>
        <w:drawing>
          <wp:inline distT="0" distB="0" distL="0" distR="0" wp14:anchorId="27411926" wp14:editId="38CCA033">
            <wp:extent cx="26479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2114550"/>
                    </a:xfrm>
                    <a:prstGeom prst="rect">
                      <a:avLst/>
                    </a:prstGeom>
                    <a:noFill/>
                    <a:ln>
                      <a:noFill/>
                    </a:ln>
                  </pic:spPr>
                </pic:pic>
              </a:graphicData>
            </a:graphic>
          </wp:inline>
        </w:drawing>
      </w:r>
    </w:p>
    <w:p w14:paraId="637832AA" w14:textId="33EFCD29" w:rsidR="005A79E9" w:rsidRDefault="007605DB" w:rsidP="007605DB">
      <w:pPr>
        <w:pStyle w:val="31"/>
        <w:spacing w:before="156" w:after="62"/>
      </w:pPr>
      <w:bookmarkStart w:id="62" w:name="_Toc81833334"/>
      <w:r>
        <w:rPr>
          <w:rFonts w:hint="eastAsia"/>
        </w:rPr>
        <w:lastRenderedPageBreak/>
        <w:t>资</w:t>
      </w:r>
      <w:r w:rsidRPr="007605DB">
        <w:rPr>
          <w:rFonts w:hint="eastAsia"/>
        </w:rPr>
        <w:t>产评估专家指引第</w:t>
      </w:r>
      <w:r w:rsidRPr="007605DB">
        <w:t>5号—寿险公司内部精算报告及价值评估中的利用</w:t>
      </w:r>
      <w:r>
        <w:br/>
      </w:r>
      <w:r w:rsidRPr="007605DB">
        <w:t>（</w:t>
      </w:r>
      <w:proofErr w:type="gramStart"/>
      <w:r w:rsidRPr="007605DB">
        <w:t>中评协</w:t>
      </w:r>
      <w:proofErr w:type="gramEnd"/>
      <w:r w:rsidRPr="007605DB">
        <w:t>〔2015〕66号）</w:t>
      </w:r>
      <w:bookmarkEnd w:id="62"/>
    </w:p>
    <w:p w14:paraId="12FF6143" w14:textId="77777777" w:rsidR="007605DB" w:rsidRDefault="007605DB" w:rsidP="007605DB">
      <w:pPr>
        <w:pStyle w:val="13"/>
        <w:ind w:firstLineChars="0" w:firstLine="0"/>
      </w:pPr>
      <w:r>
        <w:rPr>
          <w:rFonts w:hint="eastAsia"/>
        </w:rPr>
        <w:t>各省、自治区、直辖市、计划单列市资产评估协会（注册会计师协会），具有证券评估业务资格的资产评估机构：</w:t>
      </w:r>
    </w:p>
    <w:p w14:paraId="78C8CD96" w14:textId="3404B711" w:rsidR="007605DB" w:rsidRDefault="007605DB" w:rsidP="007605DB">
      <w:pPr>
        <w:pStyle w:val="13"/>
      </w:pPr>
      <w:r>
        <w:rPr>
          <w:rFonts w:hint="eastAsia"/>
        </w:rPr>
        <w:t>为指导评估机构执行金融企业评估业务，提升评估行业服务质量，在财政部金融司指导下，中国资产评估协会组织专家制定了《资产评估专家指引第</w:t>
      </w:r>
      <w:r>
        <w:t>5号—寿险公司内部精算报告及价值评估中的利用》，现予以发布，供评估机构和资产评估</w:t>
      </w:r>
      <w:proofErr w:type="gramStart"/>
      <w:r>
        <w:t>师执行</w:t>
      </w:r>
      <w:proofErr w:type="gramEnd"/>
      <w:r>
        <w:t>金融企业评估业务时参考。</w:t>
      </w:r>
    </w:p>
    <w:p w14:paraId="4A83FE2F" w14:textId="77777777" w:rsidR="007605DB" w:rsidRDefault="007605DB" w:rsidP="007605DB">
      <w:pPr>
        <w:pStyle w:val="13"/>
      </w:pPr>
      <w:r>
        <w:rPr>
          <w:rFonts w:hint="eastAsia"/>
        </w:rPr>
        <w:t>专家指引由中国资产评估协会组织具有丰富理论和实践经验的专家进行起草。专家指引来自于专家自身经验和以往案例，是优秀评估实践的具体体现。但由于评估业务因不同经济行为、交易目的存在多样复杂的情况，专家指引可能会具有一定的局限性。因此，专家指引不作为执业的强制性标准。</w:t>
      </w:r>
    </w:p>
    <w:p w14:paraId="44BB334E" w14:textId="119E6A66" w:rsidR="007605DB" w:rsidRDefault="007605DB" w:rsidP="007605DB">
      <w:pPr>
        <w:pStyle w:val="13"/>
      </w:pPr>
      <w:r>
        <w:rPr>
          <w:rFonts w:hint="eastAsia"/>
        </w:rPr>
        <w:t>请各地</w:t>
      </w:r>
      <w:proofErr w:type="gramStart"/>
      <w:r>
        <w:rPr>
          <w:rFonts w:hint="eastAsia"/>
        </w:rPr>
        <w:t>方协会</w:t>
      </w:r>
      <w:proofErr w:type="gramEnd"/>
      <w:r>
        <w:rPr>
          <w:rFonts w:hint="eastAsia"/>
        </w:rPr>
        <w:t>将《资产评估专家指引第</w:t>
      </w:r>
      <w:r>
        <w:t>5号—寿险公司内部精算报告及价值评估中的利用》及时转发评估机构。</w:t>
      </w:r>
    </w:p>
    <w:p w14:paraId="5CAC1632" w14:textId="77777777" w:rsidR="007605DB" w:rsidRDefault="007605DB" w:rsidP="007605DB">
      <w:pPr>
        <w:pStyle w:val="13"/>
        <w:jc w:val="right"/>
      </w:pPr>
      <w:r>
        <w:rPr>
          <w:rFonts w:hint="eastAsia"/>
        </w:rPr>
        <w:t>中国资产评估协会</w:t>
      </w:r>
    </w:p>
    <w:p w14:paraId="5214A9EB" w14:textId="526C9A4E" w:rsidR="005A79E9" w:rsidRDefault="007605DB" w:rsidP="007605DB">
      <w:pPr>
        <w:pStyle w:val="13"/>
        <w:jc w:val="right"/>
      </w:pPr>
      <w:r>
        <w:t>2015</w:t>
      </w:r>
      <w:r w:rsidR="003068F8">
        <w:t>年</w:t>
      </w:r>
      <w:r>
        <w:t>7</w:t>
      </w:r>
      <w:r w:rsidR="003068F8">
        <w:t>月</w:t>
      </w:r>
      <w:r>
        <w:t>22</w:t>
      </w:r>
      <w:r w:rsidR="003068F8">
        <w:t>日</w:t>
      </w:r>
    </w:p>
    <w:p w14:paraId="739BDAC5" w14:textId="77777777" w:rsidR="007605DB" w:rsidRDefault="007605DB" w:rsidP="007605DB">
      <w:pPr>
        <w:pStyle w:val="13"/>
      </w:pPr>
      <w:proofErr w:type="gramStart"/>
      <w:r>
        <w:rPr>
          <w:rFonts w:hint="eastAsia"/>
        </w:rPr>
        <w:t>本专家</w:t>
      </w:r>
      <w:proofErr w:type="gramEnd"/>
      <w:r>
        <w:rPr>
          <w:rFonts w:hint="eastAsia"/>
        </w:rPr>
        <w:t>指引是一种专家建议。评估机构执行资产评估业务，可以参照</w:t>
      </w:r>
      <w:proofErr w:type="gramStart"/>
      <w:r>
        <w:rPr>
          <w:rFonts w:hint="eastAsia"/>
        </w:rPr>
        <w:t>本专家</w:t>
      </w:r>
      <w:proofErr w:type="gramEnd"/>
      <w:r>
        <w:rPr>
          <w:rFonts w:hint="eastAsia"/>
        </w:rPr>
        <w:t>指引，也可以根据具体情况采用其他适当的做法。中国资产评估协会将根据业务发展，对</w:t>
      </w:r>
      <w:proofErr w:type="gramStart"/>
      <w:r>
        <w:rPr>
          <w:rFonts w:hint="eastAsia"/>
        </w:rPr>
        <w:t>本专家</w:t>
      </w:r>
      <w:proofErr w:type="gramEnd"/>
      <w:r>
        <w:rPr>
          <w:rFonts w:hint="eastAsia"/>
        </w:rPr>
        <w:t>指引进行更新。</w:t>
      </w:r>
    </w:p>
    <w:p w14:paraId="3D24BDEA" w14:textId="0AAEFE74" w:rsidR="007605DB" w:rsidRDefault="007605DB" w:rsidP="00AF7342">
      <w:pPr>
        <w:pStyle w:val="a9"/>
        <w:spacing w:before="62" w:after="62"/>
      </w:pPr>
      <w:r>
        <w:rPr>
          <w:rFonts w:hint="eastAsia"/>
        </w:rPr>
        <w:t>第一章</w:t>
      </w:r>
      <w:r>
        <w:t xml:space="preserve"> 引言</w:t>
      </w:r>
    </w:p>
    <w:p w14:paraId="459687B5" w14:textId="7308A731" w:rsidR="007605DB" w:rsidRDefault="004E3EBB" w:rsidP="007605DB">
      <w:pPr>
        <w:pStyle w:val="13"/>
        <w:ind w:firstLine="482"/>
      </w:pPr>
      <w:r w:rsidRPr="004E3EBB">
        <w:rPr>
          <w:rFonts w:hint="eastAsia"/>
          <w:b/>
          <w:bCs/>
        </w:rPr>
        <w:t xml:space="preserve">第一条 </w:t>
      </w:r>
      <w:r w:rsidR="007605DB">
        <w:t>为规范寿险公司价值评估业务，针对寿险公司特点，结合目前实际操作中的部分难点及要点，中国资产评估协会组织制定了</w:t>
      </w:r>
      <w:proofErr w:type="gramStart"/>
      <w:r w:rsidR="007605DB">
        <w:t>本专家</w:t>
      </w:r>
      <w:proofErr w:type="gramEnd"/>
      <w:r w:rsidR="007605DB">
        <w:t>指引。</w:t>
      </w:r>
    </w:p>
    <w:p w14:paraId="3AE11275" w14:textId="3F5CFEBB" w:rsidR="007605DB" w:rsidRDefault="004E3EBB" w:rsidP="007605DB">
      <w:pPr>
        <w:pStyle w:val="13"/>
        <w:ind w:firstLine="482"/>
      </w:pPr>
      <w:r w:rsidRPr="004E3EBB">
        <w:rPr>
          <w:rFonts w:hint="eastAsia"/>
          <w:b/>
          <w:bCs/>
        </w:rPr>
        <w:t xml:space="preserve">第二条 </w:t>
      </w:r>
      <w:proofErr w:type="gramStart"/>
      <w:r w:rsidR="007605DB">
        <w:t>本专家</w:t>
      </w:r>
      <w:proofErr w:type="gramEnd"/>
      <w:r w:rsidR="007605DB">
        <w:t>指引所指寿险公司是指在中国境内经中国保险监督管理委员会（以下简称“中国保监会”）批准设立，并依法登记注册的人身保险公司。</w:t>
      </w:r>
    </w:p>
    <w:p w14:paraId="678DD4F7" w14:textId="1E078669" w:rsidR="007605DB" w:rsidRDefault="004E3EBB" w:rsidP="007605DB">
      <w:pPr>
        <w:pStyle w:val="13"/>
        <w:ind w:firstLine="482"/>
      </w:pPr>
      <w:r w:rsidRPr="004E3EBB">
        <w:rPr>
          <w:rFonts w:hint="eastAsia"/>
          <w:b/>
          <w:bCs/>
        </w:rPr>
        <w:t xml:space="preserve">第三条 </w:t>
      </w:r>
      <w:proofErr w:type="gramStart"/>
      <w:r w:rsidR="007605DB">
        <w:t>本专家</w:t>
      </w:r>
      <w:proofErr w:type="gramEnd"/>
      <w:r w:rsidR="007605DB">
        <w:t>指引所指寿险公司内部精算报告是指寿险公司根据《中华人民共和国保险法》（以下简称“保险法”）和中国保监会相关要求，编报的年度精算报告。</w:t>
      </w:r>
    </w:p>
    <w:p w14:paraId="472FE5FD" w14:textId="76644D9A" w:rsidR="007605DB" w:rsidRDefault="007605DB" w:rsidP="00AF7342">
      <w:pPr>
        <w:pStyle w:val="a9"/>
        <w:spacing w:before="62" w:after="62"/>
      </w:pPr>
      <w:r>
        <w:rPr>
          <w:rFonts w:hint="eastAsia"/>
        </w:rPr>
        <w:t>第二章</w:t>
      </w:r>
      <w:r>
        <w:t xml:space="preserve"> 关注寿险公司特点</w:t>
      </w:r>
    </w:p>
    <w:p w14:paraId="13970815" w14:textId="28552B66" w:rsidR="007605DB" w:rsidRDefault="004E3EBB" w:rsidP="007605DB">
      <w:pPr>
        <w:pStyle w:val="13"/>
        <w:ind w:firstLine="482"/>
      </w:pPr>
      <w:r w:rsidRPr="004E3EBB">
        <w:rPr>
          <w:rFonts w:hint="eastAsia"/>
          <w:b/>
          <w:bCs/>
        </w:rPr>
        <w:t xml:space="preserve">第四条 </w:t>
      </w:r>
      <w:r w:rsidR="007605DB">
        <w:t>进行寿险公司价值评估需要充分了解其业务特点。寿险公司作为经营风险的企业，其经营流程与一般企业存在差异。即其收入在先，成本在后。公司根据保险事故发生的频率、损失金额、公司费用和利润要求确定保险费率，出售保单，向投保人收取保费，保险事故发生时支付保险金。如果是寿险公司的年金产品，则在约定的年金领取日支付年金，直至被保险人身故或保险期满。</w:t>
      </w:r>
    </w:p>
    <w:p w14:paraId="241DDA0F" w14:textId="77777777" w:rsidR="007605DB" w:rsidRDefault="007605DB" w:rsidP="007605DB">
      <w:pPr>
        <w:pStyle w:val="13"/>
      </w:pPr>
      <w:r>
        <w:rPr>
          <w:rFonts w:hint="eastAsia"/>
        </w:rPr>
        <w:t>寿险合同责任准备金是指寿险公司售出的保单中约定的保险责任，在向受益人</w:t>
      </w:r>
      <w:r>
        <w:rPr>
          <w:rFonts w:hint="eastAsia"/>
        </w:rPr>
        <w:lastRenderedPageBreak/>
        <w:t>支付赔偿或给付以前公司提取的偿付准备，它是在任何时候为保证保险给付所需要准备的金额，是对保险单所有人的负债，也是寿险原保险合同的一项主要负债。</w:t>
      </w:r>
    </w:p>
    <w:p w14:paraId="28432F6B" w14:textId="77777777" w:rsidR="007605DB" w:rsidRDefault="007605DB" w:rsidP="007605DB">
      <w:pPr>
        <w:pStyle w:val="13"/>
      </w:pPr>
      <w:r>
        <w:rPr>
          <w:rFonts w:hint="eastAsia"/>
        </w:rPr>
        <w:t>会计利润的金额大小与责任准备金水平有关，责任准备金提取额高，则当年利润少</w:t>
      </w:r>
      <w:r>
        <w:t>;责任准备金提取额低，当年利润多。</w:t>
      </w:r>
    </w:p>
    <w:p w14:paraId="347ED7AA" w14:textId="508B68C3" w:rsidR="007605DB" w:rsidRDefault="004E3EBB" w:rsidP="007605DB">
      <w:pPr>
        <w:pStyle w:val="13"/>
        <w:ind w:firstLine="482"/>
      </w:pPr>
      <w:r w:rsidRPr="004E3EBB">
        <w:rPr>
          <w:rFonts w:hint="eastAsia"/>
          <w:b/>
          <w:bCs/>
        </w:rPr>
        <w:t xml:space="preserve">第五条 </w:t>
      </w:r>
      <w:r w:rsidR="007605DB">
        <w:t>基于寿险公司经营特点，处于不同发展阶段的寿险公司资产构成比例、利润、现金流等都存在较大差异。需要特别关注相关法律规范对寿险公司的约束，包括经营资格、产品及销售渠道、销售人员资格、风险监管、投资渠道、偿付能力、财务和会计核算等方面。</w:t>
      </w:r>
    </w:p>
    <w:p w14:paraId="01246CA7" w14:textId="6919C052" w:rsidR="007605DB" w:rsidRDefault="004E3EBB" w:rsidP="007605DB">
      <w:pPr>
        <w:pStyle w:val="13"/>
        <w:ind w:firstLine="482"/>
      </w:pPr>
      <w:r w:rsidRPr="004E3EBB">
        <w:rPr>
          <w:rFonts w:hint="eastAsia"/>
          <w:b/>
          <w:bCs/>
        </w:rPr>
        <w:t xml:space="preserve">第六条 </w:t>
      </w:r>
      <w:r w:rsidR="007605DB">
        <w:t>寿险公司最重要的负债为责任准备金。责任准备金的确定，需要精算人员根据对未来保险风险用统计方法和精算技术来估计，估计的结果是否准确依赖于风险的稳定性、数据的充足性和精算人员个人的经验。保险公司的利润由责任准备金的评估金额确定，而责任准备金又是基于各种假设估计得来，因此，保险公司的利润具有很强的预计性。</w:t>
      </w:r>
    </w:p>
    <w:p w14:paraId="6D68F89D" w14:textId="77777777" w:rsidR="007605DB" w:rsidRDefault="007605DB" w:rsidP="007605DB">
      <w:pPr>
        <w:pStyle w:val="13"/>
      </w:pPr>
      <w:r>
        <w:rPr>
          <w:rFonts w:hint="eastAsia"/>
        </w:rPr>
        <w:t>法定责任准备金是根据保监会相关规定计算的最低金额，寿险公司责任准备金不能低于此金额。寿险公司会计报表中的责任准备金不同于法定责任准备金，两者的假设前提和计算基础（如毛保费或纯保费、死亡率、利息率、费用率）、用途、目标、披露要求、计量方法、计量单元等都存在差异，在寿险公司价值评估中需要了解这些差异，并能够在评估时进行合理区分和正确使用。</w:t>
      </w:r>
    </w:p>
    <w:p w14:paraId="6F1696D8" w14:textId="77777777" w:rsidR="007605DB" w:rsidRDefault="007605DB" w:rsidP="007605DB">
      <w:pPr>
        <w:pStyle w:val="13"/>
      </w:pPr>
      <w:r>
        <w:rPr>
          <w:rFonts w:hint="eastAsia"/>
        </w:rPr>
        <w:t>法定责任准备金是保监会精算报告要求中规定的计算方法，基础为纯保费，其金额高，更谨慎。会计报表中的保险合同准备金，是按照相关规定所要求方法计算，是合理估计负债、风险边际和剩余边际之</w:t>
      </w:r>
      <w:proofErr w:type="gramStart"/>
      <w:r>
        <w:rPr>
          <w:rFonts w:hint="eastAsia"/>
        </w:rPr>
        <w:t>和</w:t>
      </w:r>
      <w:proofErr w:type="gramEnd"/>
      <w:r>
        <w:rPr>
          <w:rFonts w:hint="eastAsia"/>
        </w:rPr>
        <w:t>。寿险公司价值评估时，需要考虑企业会计准则（以下简称“会计准则”）和监管准则的要求。在以会计报表为基础进行寿险公司价值评估时，需要考虑会计准则相关要求。</w:t>
      </w:r>
    </w:p>
    <w:p w14:paraId="50A5D2EE" w14:textId="31420B31" w:rsidR="007605DB" w:rsidRPr="007605DB" w:rsidRDefault="007605DB" w:rsidP="00AF7342">
      <w:pPr>
        <w:pStyle w:val="a9"/>
        <w:spacing w:before="62" w:after="62"/>
      </w:pPr>
      <w:r w:rsidRPr="007605DB">
        <w:rPr>
          <w:rFonts w:hint="eastAsia"/>
        </w:rPr>
        <w:t>第三章</w:t>
      </w:r>
      <w:r w:rsidRPr="007605DB">
        <w:t xml:space="preserve"> 理解内部精算报告</w:t>
      </w:r>
    </w:p>
    <w:p w14:paraId="0499D50C" w14:textId="44AFA20C" w:rsidR="007605DB" w:rsidRDefault="004E3EBB" w:rsidP="007605DB">
      <w:pPr>
        <w:pStyle w:val="13"/>
        <w:ind w:firstLine="482"/>
      </w:pPr>
      <w:r w:rsidRPr="004E3EBB">
        <w:rPr>
          <w:rFonts w:hint="eastAsia"/>
          <w:b/>
          <w:bCs/>
        </w:rPr>
        <w:t xml:space="preserve">第七条 </w:t>
      </w:r>
      <w:r w:rsidR="007605DB">
        <w:t>开展寿险公司价值评估，应充分了解寿险行业相关法律法规及相关产业政策，理解保监会对内部精算报告的要求，并有能力理解内部精算报告的相关概念的内涵。</w:t>
      </w:r>
    </w:p>
    <w:p w14:paraId="1C8EE602" w14:textId="77777777" w:rsidR="007605DB" w:rsidRDefault="007605DB" w:rsidP="007605DB">
      <w:pPr>
        <w:pStyle w:val="13"/>
      </w:pPr>
      <w:r>
        <w:rPr>
          <w:rFonts w:hint="eastAsia"/>
        </w:rPr>
        <w:t>内部精算报告一般由八部分组成：责任准备金及保单相关负债和受托资产及投资管理资产报告、业务统计报告、分红保险业务报告、万能保险</w:t>
      </w:r>
      <w:r>
        <w:t>/投资连结保险/企业年金业务报告、偿付能力报告、总精算师备忘录及准备金充足性分析报告、内含价值报告和利源分析报告。其中责任准备金、偿付能力、内含价值等报告是在寿险公司价值评估中可能会利用的主要内容。</w:t>
      </w:r>
    </w:p>
    <w:p w14:paraId="311A9A7E" w14:textId="5D93DEFA" w:rsidR="007605DB" w:rsidRDefault="004E3EBB" w:rsidP="007605DB">
      <w:pPr>
        <w:pStyle w:val="13"/>
        <w:ind w:firstLine="482"/>
      </w:pPr>
      <w:r w:rsidRPr="004E3EBB">
        <w:rPr>
          <w:rFonts w:hint="eastAsia"/>
          <w:b/>
          <w:bCs/>
        </w:rPr>
        <w:t xml:space="preserve">第八条 </w:t>
      </w:r>
      <w:r w:rsidR="007605DB">
        <w:t>由于会计准则规定和监管要求目标不同，按照保监会要求编报的内部精算报告，与会计准则要求之间存在口径方面的差异。在利用内部精算报告时，需要关</w:t>
      </w:r>
      <w:r w:rsidR="007605DB">
        <w:lastRenderedPageBreak/>
        <w:t>注差异，并提请寿险公司对财务报告与内部精算报告对应项目如责任准备金等的差异进行说明。</w:t>
      </w:r>
    </w:p>
    <w:p w14:paraId="64A59D5A" w14:textId="1CCE40EE" w:rsidR="007605DB" w:rsidRDefault="00E05BDA" w:rsidP="007605DB">
      <w:pPr>
        <w:pStyle w:val="13"/>
        <w:ind w:firstLine="482"/>
      </w:pPr>
      <w:r w:rsidRPr="00E05BDA">
        <w:rPr>
          <w:rFonts w:hint="eastAsia"/>
          <w:b/>
          <w:bCs/>
        </w:rPr>
        <w:t xml:space="preserve">第九条 </w:t>
      </w:r>
      <w:r w:rsidR="007605DB">
        <w:t>内部精算报告中的内含价值，是指在充分考虑总体风险的情况下，</w:t>
      </w:r>
      <w:proofErr w:type="gramStart"/>
      <w:r w:rsidR="007605DB">
        <w:t>适用业务</w:t>
      </w:r>
      <w:proofErr w:type="gramEnd"/>
      <w:r w:rsidR="007605DB">
        <w:t>对应的资产未来产生的收益中可以分配给股东的利益的现值。内含价值由以下三部分组成：</w:t>
      </w:r>
    </w:p>
    <w:p w14:paraId="40926DC5" w14:textId="77777777" w:rsidR="007605DB" w:rsidRDefault="007605DB" w:rsidP="007605DB">
      <w:pPr>
        <w:pStyle w:val="13"/>
      </w:pPr>
      <w:r>
        <w:t>(一)分配给</w:t>
      </w:r>
      <w:proofErr w:type="gramStart"/>
      <w:r>
        <w:t>适用业务</w:t>
      </w:r>
      <w:proofErr w:type="gramEnd"/>
      <w:r>
        <w:t>的自由盈余；</w:t>
      </w:r>
    </w:p>
    <w:p w14:paraId="4C8A03DE" w14:textId="77777777" w:rsidR="007605DB" w:rsidRDefault="007605DB" w:rsidP="007605DB">
      <w:pPr>
        <w:pStyle w:val="13"/>
      </w:pPr>
      <w:r>
        <w:t>(二)要求资本，扣除持有要求资本的成本；</w:t>
      </w:r>
    </w:p>
    <w:p w14:paraId="65C34BAA" w14:textId="77777777" w:rsidR="007605DB" w:rsidRDefault="007605DB" w:rsidP="007605DB">
      <w:pPr>
        <w:pStyle w:val="13"/>
      </w:pPr>
      <w:r>
        <w:t>(三)</w:t>
      </w:r>
      <w:proofErr w:type="gramStart"/>
      <w:r>
        <w:t>有效业务</w:t>
      </w:r>
      <w:proofErr w:type="gramEnd"/>
      <w:r>
        <w:t>现值。</w:t>
      </w:r>
    </w:p>
    <w:p w14:paraId="103AA7CE" w14:textId="77777777" w:rsidR="007605DB" w:rsidRDefault="007605DB" w:rsidP="007605DB">
      <w:pPr>
        <w:pStyle w:val="13"/>
      </w:pPr>
      <w:r>
        <w:rPr>
          <w:rFonts w:hint="eastAsia"/>
        </w:rPr>
        <w:t>自由盈余，是指</w:t>
      </w:r>
      <w:proofErr w:type="gramStart"/>
      <w:r>
        <w:rPr>
          <w:rFonts w:hint="eastAsia"/>
        </w:rPr>
        <w:t>适用业务</w:t>
      </w:r>
      <w:proofErr w:type="gramEnd"/>
      <w:r>
        <w:rPr>
          <w:rFonts w:hint="eastAsia"/>
        </w:rPr>
        <w:t>对应的资产的市场价值扣除相应负债，超过该</w:t>
      </w:r>
      <w:proofErr w:type="gramStart"/>
      <w:r>
        <w:rPr>
          <w:rFonts w:hint="eastAsia"/>
        </w:rPr>
        <w:t>适用业务</w:t>
      </w:r>
      <w:proofErr w:type="gramEnd"/>
      <w:r>
        <w:rPr>
          <w:rFonts w:hint="eastAsia"/>
        </w:rPr>
        <w:t>要求资本的金额。不分配于</w:t>
      </w:r>
      <w:proofErr w:type="gramStart"/>
      <w:r>
        <w:rPr>
          <w:rFonts w:hint="eastAsia"/>
        </w:rPr>
        <w:t>适用业务</w:t>
      </w:r>
      <w:proofErr w:type="gramEnd"/>
      <w:r>
        <w:rPr>
          <w:rFonts w:hint="eastAsia"/>
        </w:rPr>
        <w:t>的自由盈余不应包含在内含价值中。</w:t>
      </w:r>
    </w:p>
    <w:p w14:paraId="354444A8" w14:textId="77777777" w:rsidR="007605DB" w:rsidRDefault="007605DB" w:rsidP="007605DB">
      <w:pPr>
        <w:pStyle w:val="13"/>
      </w:pPr>
      <w:r>
        <w:rPr>
          <w:rFonts w:hint="eastAsia"/>
        </w:rPr>
        <w:t>要求资本，是指</w:t>
      </w:r>
      <w:proofErr w:type="gramStart"/>
      <w:r>
        <w:rPr>
          <w:rFonts w:hint="eastAsia"/>
        </w:rPr>
        <w:t>适用业务</w:t>
      </w:r>
      <w:proofErr w:type="gramEnd"/>
      <w:r>
        <w:rPr>
          <w:rFonts w:hint="eastAsia"/>
        </w:rPr>
        <w:t>对应的所有资产的市场价值扣除相应负债后，在评估日受到限制，不能分配给股东的金额。要求资本不能低于法定最低偿付能力额度。保险公司可以使用比法定要求更严格的要求资本。</w:t>
      </w:r>
    </w:p>
    <w:p w14:paraId="170AAB10" w14:textId="77777777" w:rsidR="007605DB" w:rsidRDefault="007605DB" w:rsidP="007605DB">
      <w:pPr>
        <w:pStyle w:val="13"/>
      </w:pPr>
      <w:proofErr w:type="gramStart"/>
      <w:r>
        <w:rPr>
          <w:rFonts w:hint="eastAsia"/>
        </w:rPr>
        <w:t>有效业务</w:t>
      </w:r>
      <w:proofErr w:type="gramEnd"/>
      <w:r>
        <w:rPr>
          <w:rFonts w:hint="eastAsia"/>
        </w:rPr>
        <w:t>现值，是指</w:t>
      </w:r>
      <w:proofErr w:type="gramStart"/>
      <w:r>
        <w:rPr>
          <w:rFonts w:hint="eastAsia"/>
        </w:rPr>
        <w:t>有效业务</w:t>
      </w:r>
      <w:proofErr w:type="gramEnd"/>
      <w:r>
        <w:rPr>
          <w:rFonts w:hint="eastAsia"/>
        </w:rPr>
        <w:t>对应的资产所产生的未来股东现金流的现值。</w:t>
      </w:r>
    </w:p>
    <w:p w14:paraId="0F5149FA" w14:textId="3BC8AE90" w:rsidR="007605DB" w:rsidRDefault="00E05BDA" w:rsidP="007605DB">
      <w:pPr>
        <w:pStyle w:val="13"/>
        <w:ind w:firstLine="482"/>
      </w:pPr>
      <w:r w:rsidRPr="00E05BDA">
        <w:rPr>
          <w:rFonts w:hint="eastAsia"/>
          <w:b/>
          <w:bCs/>
        </w:rPr>
        <w:t xml:space="preserve">第十条 </w:t>
      </w:r>
      <w:r w:rsidR="007605DB">
        <w:t>内含价值是没有考虑公司未来新业务销售能力的情况</w:t>
      </w:r>
      <w:proofErr w:type="gramStart"/>
      <w:r w:rsidR="007605DB">
        <w:t>下现有</w:t>
      </w:r>
      <w:proofErr w:type="gramEnd"/>
      <w:r w:rsidR="007605DB">
        <w:t>公司的价值。可以把内含价值看作是寿险公司进行清算转让时的价值，也可以看作寿险公司最小经济价值。内含价值直接反映了寿险公司当前的经营成果，构成寿险公司的核心价值。</w:t>
      </w:r>
    </w:p>
    <w:p w14:paraId="3C8FA209" w14:textId="72509820" w:rsidR="007605DB" w:rsidRDefault="00E05BDA" w:rsidP="007605DB">
      <w:pPr>
        <w:pStyle w:val="13"/>
        <w:ind w:firstLine="482"/>
      </w:pPr>
      <w:r w:rsidRPr="00E05BDA">
        <w:rPr>
          <w:rFonts w:hint="eastAsia"/>
          <w:b/>
          <w:bCs/>
        </w:rPr>
        <w:t xml:space="preserve">第十一条 </w:t>
      </w:r>
      <w:r w:rsidR="007605DB">
        <w:t>内部精算报告中的新业务价值，是指在报告期间销售的新保单在签单时的价值。计算新业务价值时，应当考虑持有要求资本的成本。新业务价值应包括新业务预期续保和预期合同变动的价值。一般而言，新业务具有以下特征：</w:t>
      </w:r>
    </w:p>
    <w:p w14:paraId="6D47FF2B" w14:textId="77777777" w:rsidR="007605DB" w:rsidRDefault="007605DB" w:rsidP="007605DB">
      <w:pPr>
        <w:pStyle w:val="13"/>
      </w:pPr>
      <w:r>
        <w:t>(</w:t>
      </w:r>
      <w:proofErr w:type="gramStart"/>
      <w:r>
        <w:t>一</w:t>
      </w:r>
      <w:proofErr w:type="gramEnd"/>
      <w:r>
        <w:t>)签发新保单；</w:t>
      </w:r>
    </w:p>
    <w:p w14:paraId="7E1514E5" w14:textId="77777777" w:rsidR="007605DB" w:rsidRDefault="007605DB" w:rsidP="007605DB">
      <w:pPr>
        <w:pStyle w:val="13"/>
      </w:pPr>
      <w:r>
        <w:t>(二)实行核保；</w:t>
      </w:r>
    </w:p>
    <w:p w14:paraId="09CF9433" w14:textId="77777777" w:rsidR="007605DB" w:rsidRDefault="007605DB" w:rsidP="007605DB">
      <w:pPr>
        <w:pStyle w:val="13"/>
      </w:pPr>
      <w:r>
        <w:t>(三)将新保单或新保险客户的详细资料录入管理系统；</w:t>
      </w:r>
    </w:p>
    <w:p w14:paraId="7B751781" w14:textId="77777777" w:rsidR="007605DB" w:rsidRDefault="007605DB" w:rsidP="007605DB">
      <w:pPr>
        <w:pStyle w:val="13"/>
      </w:pPr>
      <w:r>
        <w:t>(四)向营销人员支付较高的佣金；</w:t>
      </w:r>
    </w:p>
    <w:p w14:paraId="5613ABCB" w14:textId="77777777" w:rsidR="007605DB" w:rsidRDefault="007605DB" w:rsidP="007605DB">
      <w:pPr>
        <w:pStyle w:val="13"/>
      </w:pPr>
      <w:r>
        <w:t>(五)产品定价基础考虑了市场和销售的全部成本。</w:t>
      </w:r>
    </w:p>
    <w:p w14:paraId="4BB2755E" w14:textId="77777777" w:rsidR="007605DB" w:rsidRDefault="007605DB" w:rsidP="007605DB">
      <w:pPr>
        <w:pStyle w:val="13"/>
      </w:pPr>
      <w:r>
        <w:rPr>
          <w:rFonts w:hint="eastAsia"/>
        </w:rPr>
        <w:t>寿险公司价值评估中，如利用到未来新业务价值，需要结合上述新业务特征和被评估企业财务核算资料，对被评估企业提供的最近一年新业务价值进行核实，以核实后一年新业务价值作为新业务价值计算基础。</w:t>
      </w:r>
    </w:p>
    <w:p w14:paraId="184D8333" w14:textId="6B5EFA3A" w:rsidR="007605DB" w:rsidRDefault="00E05BDA" w:rsidP="007605DB">
      <w:pPr>
        <w:pStyle w:val="13"/>
        <w:ind w:firstLine="482"/>
      </w:pPr>
      <w:r w:rsidRPr="00E05BDA">
        <w:rPr>
          <w:rFonts w:hint="eastAsia"/>
          <w:b/>
          <w:bCs/>
        </w:rPr>
        <w:t xml:space="preserve">第十二条 </w:t>
      </w:r>
      <w:r w:rsidR="007605DB">
        <w:t>寿险公司内含价值与寿险公司股东全部权益价值具有不同的内涵。寿险公司股东全部权益价值，依赖于过去投资所形成的销售网络、客户群体、保险合同、公司品牌、技术及管理团队及资金、固定资产等各类无形、有形资产，体现为未来利润的持续实现和增长。在假设前提完全一致的情况下，寿险公司股东全部权益价值相当于调整后内含价值加上调整后未来新业务价值。</w:t>
      </w:r>
    </w:p>
    <w:p w14:paraId="70AEEC27" w14:textId="4F95775D" w:rsidR="007605DB" w:rsidRPr="007605DB" w:rsidRDefault="007605DB" w:rsidP="00AF7342">
      <w:pPr>
        <w:pStyle w:val="a9"/>
        <w:spacing w:before="62" w:after="62"/>
      </w:pPr>
      <w:r w:rsidRPr="007605DB">
        <w:rPr>
          <w:rFonts w:hint="eastAsia"/>
        </w:rPr>
        <w:lastRenderedPageBreak/>
        <w:t>第四章</w:t>
      </w:r>
      <w:r w:rsidRPr="007605DB">
        <w:t xml:space="preserve">  价值评估中对内部精算报告的利用</w:t>
      </w:r>
    </w:p>
    <w:p w14:paraId="01A68FF4" w14:textId="383BCDBC" w:rsidR="007605DB" w:rsidRDefault="00E05BDA" w:rsidP="007605DB">
      <w:pPr>
        <w:pStyle w:val="13"/>
        <w:ind w:firstLine="482"/>
      </w:pPr>
      <w:r w:rsidRPr="00E05BDA">
        <w:rPr>
          <w:rFonts w:hint="eastAsia"/>
          <w:b/>
          <w:bCs/>
        </w:rPr>
        <w:t xml:space="preserve">第十三条 </w:t>
      </w:r>
      <w:r w:rsidR="007605DB">
        <w:t>评估寿险公司价值应当结合宏观经济发展，寿险行业发展情况，寿险公司成立及业务开展时间，企业资产情况，企业经营和财务情况，销售网络，客户群体，已签保单数量等，充分分析收益法、市场法和资产基础法在寿险公司的适用性。</w:t>
      </w:r>
    </w:p>
    <w:p w14:paraId="6DED39D0" w14:textId="4B0B6B5B" w:rsidR="007605DB" w:rsidRDefault="00E05BDA" w:rsidP="007605DB">
      <w:pPr>
        <w:pStyle w:val="13"/>
        <w:ind w:firstLine="482"/>
      </w:pPr>
      <w:r w:rsidRPr="00E05BDA">
        <w:rPr>
          <w:rFonts w:hint="eastAsia"/>
          <w:b/>
          <w:bCs/>
        </w:rPr>
        <w:t xml:space="preserve">第十四条 </w:t>
      </w:r>
      <w:r w:rsidR="007605DB">
        <w:t>采用收益法对寿险公司价值进行评估，一般采用股权现金流模型。股权现金流以寿险公司会计净利润为基础，并考虑预测期间的权益资本变动。资本变动需要符合法定资本、偿付能力监管要求的最低资本。</w:t>
      </w:r>
    </w:p>
    <w:p w14:paraId="40CFC6EA" w14:textId="77777777" w:rsidR="007605DB" w:rsidRDefault="007605DB" w:rsidP="007605DB">
      <w:pPr>
        <w:pStyle w:val="13"/>
      </w:pPr>
      <w:r>
        <w:rPr>
          <w:rFonts w:hint="eastAsia"/>
        </w:rPr>
        <w:t>采用的预测表一般包括利润表、资产负债表及股权现金流计算表，并且需要保持各表之间的平衡关系及一致性。</w:t>
      </w:r>
    </w:p>
    <w:p w14:paraId="7E0EE907" w14:textId="77777777" w:rsidR="007605DB" w:rsidRDefault="007605DB" w:rsidP="007605DB">
      <w:pPr>
        <w:pStyle w:val="13"/>
      </w:pPr>
      <w:r>
        <w:rPr>
          <w:rFonts w:hint="eastAsia"/>
        </w:rPr>
        <w:t>在对寿险公司提供的收益预测进行分析、判断和调整时，需要考虑《资产评估准则</w:t>
      </w:r>
      <w:r>
        <w:t>-企业价值》的相关要求，并特别关注：</w:t>
      </w:r>
    </w:p>
    <w:p w14:paraId="1D0EB292" w14:textId="77777777" w:rsidR="007605DB" w:rsidRDefault="007605DB" w:rsidP="007605DB">
      <w:pPr>
        <w:pStyle w:val="13"/>
      </w:pPr>
      <w:r>
        <w:rPr>
          <w:rFonts w:hint="eastAsia"/>
        </w:rPr>
        <w:t>（一）寿险公司产品类型，关注寿险公司收入构成内容及比例，寿险公司保险合同收入的核算方法，成本计量模式等，以及这些项目在预测时具体过程。</w:t>
      </w:r>
    </w:p>
    <w:p w14:paraId="57E55CC9" w14:textId="77777777" w:rsidR="007605DB" w:rsidRDefault="007605DB" w:rsidP="007605DB">
      <w:pPr>
        <w:pStyle w:val="13"/>
      </w:pPr>
      <w:r>
        <w:rPr>
          <w:rFonts w:hint="eastAsia"/>
        </w:rPr>
        <w:t>（二）预测的费用支出、责任准备金提取要基于会计准则要求，假设前提与评估假设保持一致。如果存在差异，需要进行相应调整。</w:t>
      </w:r>
    </w:p>
    <w:p w14:paraId="15256B61" w14:textId="77777777" w:rsidR="007605DB" w:rsidRDefault="007605DB" w:rsidP="007605DB">
      <w:pPr>
        <w:pStyle w:val="13"/>
      </w:pPr>
      <w:r>
        <w:rPr>
          <w:rFonts w:hint="eastAsia"/>
        </w:rPr>
        <w:t>（三）寿险公司业务收入一般包括保费收入、管理费收入和投资收益。不同公司各业务收入所占比例不同。营业支出一般包括责任准备金和营业费用（税金、管理费、销售费、退保及赔付支出等），一般收益预测时，可以按照收入一定比率确定营业费用支出。</w:t>
      </w:r>
    </w:p>
    <w:p w14:paraId="57953257" w14:textId="22F9D412" w:rsidR="007605DB" w:rsidRDefault="00E05BDA" w:rsidP="007605DB">
      <w:pPr>
        <w:pStyle w:val="13"/>
        <w:ind w:firstLine="482"/>
      </w:pPr>
      <w:r w:rsidRPr="00E05BDA">
        <w:rPr>
          <w:rFonts w:hint="eastAsia"/>
          <w:b/>
          <w:bCs/>
        </w:rPr>
        <w:t xml:space="preserve">第十五条 </w:t>
      </w:r>
      <w:r w:rsidR="007605DB">
        <w:t>寿险公司收益法，也可以采用以内部精算报告中内含价值为基础的方法。采用此方法，需要对内含价值、一年新业务价值计算时的相关假设与资产评估不一致的项目进行调整，确定调整后内含价值和调整后一年新业务价值。</w:t>
      </w:r>
    </w:p>
    <w:p w14:paraId="11B92619" w14:textId="77777777" w:rsidR="007605DB" w:rsidRDefault="007605DB" w:rsidP="007605DB">
      <w:pPr>
        <w:pStyle w:val="13"/>
      </w:pPr>
      <w:proofErr w:type="gramStart"/>
      <w:r>
        <w:rPr>
          <w:rFonts w:hint="eastAsia"/>
        </w:rPr>
        <w:t>有效业务</w:t>
      </w:r>
      <w:proofErr w:type="gramEnd"/>
      <w:r>
        <w:rPr>
          <w:rFonts w:hint="eastAsia"/>
        </w:rPr>
        <w:t>价值计算中的费用假设，需要按照持续经营前提和评估方的未来业务规划进行确定。</w:t>
      </w:r>
    </w:p>
    <w:p w14:paraId="06F7558B" w14:textId="77777777" w:rsidR="007605DB" w:rsidRDefault="007605DB" w:rsidP="007605DB">
      <w:pPr>
        <w:pStyle w:val="13"/>
      </w:pPr>
      <w:r>
        <w:rPr>
          <w:rFonts w:hint="eastAsia"/>
        </w:rPr>
        <w:t>采用“一年新业务价值×新业务乘数”方法确定未来新业务价值的，需要考虑一年新业务测算假设与评估假设的一致性，并对新业务乘数的确定过程、依据进行明确说明。</w:t>
      </w:r>
    </w:p>
    <w:p w14:paraId="59995B69" w14:textId="77777777" w:rsidR="007605DB" w:rsidRDefault="007605DB" w:rsidP="007605DB">
      <w:pPr>
        <w:pStyle w:val="13"/>
      </w:pPr>
      <w:r>
        <w:rPr>
          <w:rFonts w:hint="eastAsia"/>
        </w:rPr>
        <w:t>内含价值测算采用的折现率与新业务价值测算采用的折现率存在差异。计算现有保单未来的法定利润，类似于保险公司的应收账款，主要存在：退保风险、死亡风险和投资收益风险等。新业务价值折现率由于包含未来保单签订的不确定风险，因此类似与金融企业风险，会高于内含价值计算的折现率。</w:t>
      </w:r>
    </w:p>
    <w:p w14:paraId="6B54A189" w14:textId="77777777" w:rsidR="007605DB" w:rsidRDefault="007605DB" w:rsidP="007605DB">
      <w:pPr>
        <w:pStyle w:val="13"/>
      </w:pPr>
      <w:r>
        <w:rPr>
          <w:rFonts w:hint="eastAsia"/>
        </w:rPr>
        <w:t>寿险公司主要风险包括流动性风险、信用风险、市场风险、战略风险、保险风险、声誉风险、操作风险等内容，具体可参考保监会关于寿险公司全面风险管理的相关规定。在确定寿险公司折现率时，需要考虑上述风险因素。</w:t>
      </w:r>
    </w:p>
    <w:p w14:paraId="28C5EF2B" w14:textId="6DDC25EA" w:rsidR="007605DB" w:rsidRDefault="00E05BDA" w:rsidP="007605DB">
      <w:pPr>
        <w:pStyle w:val="13"/>
        <w:ind w:firstLine="482"/>
      </w:pPr>
      <w:r w:rsidRPr="00E05BDA">
        <w:rPr>
          <w:rFonts w:hint="eastAsia"/>
          <w:b/>
          <w:bCs/>
        </w:rPr>
        <w:lastRenderedPageBreak/>
        <w:t xml:space="preserve">第十六条 </w:t>
      </w:r>
      <w:r w:rsidR="007605DB">
        <w:t>收益预测期限可以为有限期，也可以是永续经营。有限年期一般考虑到现有有效保单结束期限，该期限对于寿险公司一般时间较长。永续经营情况下，预测期需要到公司稳定经营期限。寿险公司稳定经营期限可以考虑各年度权益报酬率、公司经营费率达到稳定为标志。</w:t>
      </w:r>
    </w:p>
    <w:p w14:paraId="4C751BC3" w14:textId="77777777" w:rsidR="007605DB" w:rsidRDefault="007605DB" w:rsidP="007605DB">
      <w:pPr>
        <w:pStyle w:val="13"/>
      </w:pPr>
      <w:r>
        <w:rPr>
          <w:rFonts w:hint="eastAsia"/>
        </w:rPr>
        <w:t>内含价值折现率口径与股权现金流折现率口径存在差异。内含价值折现率中的风险仅考虑了退保风险、死亡风险和投资收益风险等。股权现金流折现率还需要考虑未来预测新增保单收入实现的不确定性风险等因素。因此股权现金流模型中，折现率不宜直接采用内含价值报告的折现率。一般情况下，对同一个公司、在同一基准日，股权现金流折现率会高于内含价值折现率。寿险公司价值评估时，需要对评估所采用折现率的确定过程进行详细分析，并说明折现率与现金流口径的一致性。</w:t>
      </w:r>
    </w:p>
    <w:p w14:paraId="43B6EB32" w14:textId="7E7E4954" w:rsidR="007605DB" w:rsidRDefault="00E05BDA" w:rsidP="007605DB">
      <w:pPr>
        <w:pStyle w:val="13"/>
        <w:ind w:firstLine="482"/>
      </w:pPr>
      <w:r w:rsidRPr="00E05BDA">
        <w:rPr>
          <w:rFonts w:hint="eastAsia"/>
          <w:b/>
          <w:bCs/>
        </w:rPr>
        <w:t xml:space="preserve">第十七条 </w:t>
      </w:r>
      <w:r w:rsidR="007605DB">
        <w:t>采用市场法评估寿险公司价值时，应充分分析所选择交易案例或上市公司与被评估企业的可比性，包括公司成立时间、市场范围、客户质量与数量、营业网点、销售人员数量、产品类别等方面。</w:t>
      </w:r>
    </w:p>
    <w:p w14:paraId="5B69B175" w14:textId="30C2F364" w:rsidR="007605DB" w:rsidRDefault="00E05BDA" w:rsidP="007605DB">
      <w:pPr>
        <w:pStyle w:val="13"/>
        <w:ind w:firstLine="482"/>
      </w:pPr>
      <w:r w:rsidRPr="00E05BDA">
        <w:rPr>
          <w:rFonts w:hint="eastAsia"/>
          <w:b/>
          <w:bCs/>
        </w:rPr>
        <w:t xml:space="preserve">第十八条 </w:t>
      </w:r>
      <w:r w:rsidR="007605DB">
        <w:t>由于当期保费收入与同期手续费、佣金支出之间不完全配比，新成立公司与经营期限较长的寿险公司之间可比性较差。采用市场法评估寿险公司价值时，应重点以寿险企业所持有的有效保单和能够带来新签保单的营销网络和企业品牌为分析基础，确定可比案例与被评估企业在收入规模、产品品种、市场范围、公司成立时间、销售网点及销售人员数量、内含价值、一年新业务价值、偿付能力分类等等方面的可比性，并同时关注交易方式、交易时间、企业性质、经营方式等方面的可比性。</w:t>
      </w:r>
    </w:p>
    <w:p w14:paraId="00C9BC9C" w14:textId="7F070EA6" w:rsidR="007605DB" w:rsidRDefault="00E05BDA" w:rsidP="007605DB">
      <w:pPr>
        <w:pStyle w:val="13"/>
        <w:ind w:firstLine="482"/>
      </w:pPr>
      <w:r w:rsidRPr="00E05BDA">
        <w:rPr>
          <w:rFonts w:hint="eastAsia"/>
          <w:b/>
          <w:bCs/>
        </w:rPr>
        <w:t xml:space="preserve">第十九条 </w:t>
      </w:r>
      <w:r w:rsidR="007605DB">
        <w:t>价值比率采用要与寿险公司业务特点一致，通常可采用“股票价格/公司内含价值”“股票价格/内含价值利润”等资产、盈利</w:t>
      </w:r>
      <w:proofErr w:type="gramStart"/>
      <w:r w:rsidR="007605DB">
        <w:t>类价值</w:t>
      </w:r>
      <w:proofErr w:type="gramEnd"/>
      <w:r w:rsidR="007605DB">
        <w:t>比率。</w:t>
      </w:r>
    </w:p>
    <w:p w14:paraId="56555DC0" w14:textId="52FC2215" w:rsidR="007605DB" w:rsidRDefault="00E05BDA" w:rsidP="007605DB">
      <w:pPr>
        <w:pStyle w:val="13"/>
        <w:ind w:firstLine="482"/>
      </w:pPr>
      <w:r w:rsidRPr="00E05BDA">
        <w:rPr>
          <w:rFonts w:hint="eastAsia"/>
          <w:b/>
          <w:bCs/>
        </w:rPr>
        <w:t xml:space="preserve">第二十条 </w:t>
      </w:r>
      <w:r w:rsidR="007605DB">
        <w:t>采用资产基础法评估寿险公司价值，需要关注表外资产，采用合理的方法对表外资产进行识别、清查和评估。寿险公司表外资产一般包括销售网络，建立和维持的具有寿险销售资格的人员队伍，获取的寿险相关业务资格，研发投入和相关技术，知识产权等无形资产。已签有效保单（保险合同）存续期比较长，是寿险公司未来利润主要来源，按照会计准则要求，企业会计报表核算的是有效保单已实现利润，该部分有效保单未来价值未被计量在评估基准日会计报表中，因此寿险公司基准日有效保单未来价值形成的资产也是需要关注的一类表外资产。</w:t>
      </w:r>
    </w:p>
    <w:p w14:paraId="23FA679E" w14:textId="77777777" w:rsidR="007605DB" w:rsidRDefault="007605DB" w:rsidP="007605DB">
      <w:pPr>
        <w:pStyle w:val="13"/>
      </w:pPr>
      <w:r>
        <w:rPr>
          <w:rFonts w:hint="eastAsia"/>
        </w:rPr>
        <w:t>在评估上述可能存在的表外资产价值时，应当注意避免各资产、负债之间价值的重复或遗漏。</w:t>
      </w:r>
    </w:p>
    <w:p w14:paraId="5865E7AC" w14:textId="77777777" w:rsidR="007605DB" w:rsidRDefault="007605DB" w:rsidP="007605DB">
      <w:pPr>
        <w:pStyle w:val="13"/>
      </w:pPr>
      <w:r>
        <w:rPr>
          <w:rFonts w:hint="eastAsia"/>
        </w:rPr>
        <w:t>采用资产基础法评估单项资产或负债，涉及利用内部精算报告的，需要考虑评估假设与精算假设之间的一致性。存在不一致的，需要对精算假设进行相应调整，并利用调整后的结果。主要的调整可能涉及经济发展水平、费用率、折现率等方面。</w:t>
      </w:r>
    </w:p>
    <w:p w14:paraId="58759211" w14:textId="4934CB07" w:rsidR="007605DB" w:rsidRDefault="00E05BDA" w:rsidP="007605DB">
      <w:pPr>
        <w:pStyle w:val="13"/>
        <w:ind w:firstLine="482"/>
      </w:pPr>
      <w:r w:rsidRPr="00E05BDA">
        <w:rPr>
          <w:rFonts w:hint="eastAsia"/>
          <w:b/>
          <w:bCs/>
        </w:rPr>
        <w:t xml:space="preserve">第二十一条 </w:t>
      </w:r>
      <w:r w:rsidR="007605DB">
        <w:t>采用资产基础法评估寿险公司价值，需要关注寿险责任准备金科目，</w:t>
      </w:r>
      <w:r w:rsidR="007605DB">
        <w:lastRenderedPageBreak/>
        <w:t>并采用合适的方法评估。应当知晓，寿险责任准备金是通过精算方法确定的，需要了解会计报告与内部精算报告中寿险责任准备金计算口径的差异，明确主要参数设定的各种假设及假设之间的一致性。需要在报告中对清查核实及评估测算工作内容及过程进行说明，一般应包括寿险责任准备金计算的方法（未来法还是过去法），准备金计算采用的死亡率、利率和费用率，准备金计算基础是纯保费还是毛保费，准备金计量单元是单项保险合同还是具有同质保险风险的保险合同组合等。具体可参考《财</w:t>
      </w:r>
      <w:r w:rsidR="007605DB">
        <w:rPr>
          <w:rFonts w:hint="eastAsia"/>
        </w:rPr>
        <w:t>政部关于印发</w:t>
      </w:r>
      <w:r w:rsidR="007605DB">
        <w:t>&lt;保险合同相关会计处理规定&gt;的通知》（财会〔2009〕15号）中对保险合同准备金披露的相关要求。</w:t>
      </w:r>
    </w:p>
    <w:p w14:paraId="31717530" w14:textId="77777777" w:rsidR="007605DB" w:rsidRDefault="007605DB" w:rsidP="007605DB">
      <w:pPr>
        <w:pStyle w:val="13"/>
      </w:pPr>
      <w:r>
        <w:rPr>
          <w:rFonts w:hint="eastAsia"/>
        </w:rPr>
        <w:t>如果存在对评估对象价值有重大影响且难以识别的表外资产和负债，应当考虑资产基础法的适用性。</w:t>
      </w:r>
    </w:p>
    <w:p w14:paraId="68A97233" w14:textId="08E3565B" w:rsidR="007605DB" w:rsidRDefault="00E05BDA" w:rsidP="007605DB">
      <w:pPr>
        <w:pStyle w:val="13"/>
        <w:ind w:firstLine="482"/>
      </w:pPr>
      <w:r w:rsidRPr="00E05BDA">
        <w:rPr>
          <w:rFonts w:hint="eastAsia"/>
          <w:b/>
          <w:bCs/>
        </w:rPr>
        <w:t xml:space="preserve">第二十二条 </w:t>
      </w:r>
      <w:r w:rsidR="007605DB">
        <w:t>在采用多种评估方法时，考虑各种评估方法的基本思路、各种评估方法所对应评估结论的假设前提、各种评估方法所对应的评估参数选取情况、主要资产在各种评估方法的价值体现方式、可能影响评估结论的事项在各种评估方法中的处理方式等因素后，确定评估结果。</w:t>
      </w:r>
    </w:p>
    <w:p w14:paraId="478EFE78" w14:textId="7D8E875C" w:rsidR="007605DB" w:rsidRDefault="00E05BDA" w:rsidP="007605DB">
      <w:pPr>
        <w:pStyle w:val="13"/>
        <w:ind w:firstLine="482"/>
      </w:pPr>
      <w:r w:rsidRPr="00E05BDA">
        <w:rPr>
          <w:rFonts w:hint="eastAsia"/>
          <w:b/>
          <w:bCs/>
        </w:rPr>
        <w:t xml:space="preserve">第二十三条 </w:t>
      </w:r>
      <w:r w:rsidR="007605DB">
        <w:t>利用内部精算报告，除按照《资产评估准则——利用专家工作》要求进行披露外，还需要明确披露所利用专业报告涉及的具体资产、负债或权益价值，明确是否直接采用相关专业报告结论作为评估结论；涉及对相关专业报告结论进行调整的，需要明确主要的调整事项，披露评估假设、精算假设和会计假设之间的差异，说明主要的调整过程。</w:t>
      </w:r>
    </w:p>
    <w:p w14:paraId="69453952" w14:textId="53C529AB" w:rsidR="005A79E9" w:rsidRDefault="007605DB" w:rsidP="007605DB">
      <w:pPr>
        <w:pStyle w:val="13"/>
      </w:pPr>
      <w:r>
        <w:rPr>
          <w:rFonts w:hint="eastAsia"/>
        </w:rPr>
        <w:t>附：寿险公司股权价值评估中利用内含价值调整的案例</w:t>
      </w:r>
    </w:p>
    <w:p w14:paraId="5F6A1A28" w14:textId="65460919" w:rsidR="00C220B3" w:rsidRPr="00C220B3" w:rsidRDefault="00C220B3" w:rsidP="00C220B3">
      <w:pPr>
        <w:pStyle w:val="13"/>
        <w:ind w:firstLineChars="0" w:firstLine="0"/>
        <w:rPr>
          <w:b/>
          <w:bCs/>
        </w:rPr>
      </w:pPr>
      <w:r w:rsidRPr="00C220B3">
        <w:rPr>
          <w:rFonts w:hint="eastAsia"/>
          <w:b/>
          <w:bCs/>
        </w:rPr>
        <w:t>附：</w:t>
      </w:r>
    </w:p>
    <w:p w14:paraId="7A26504B" w14:textId="2DA649CD" w:rsidR="005A79E9" w:rsidRPr="00C220B3" w:rsidRDefault="00C220B3" w:rsidP="00AF7342">
      <w:pPr>
        <w:pStyle w:val="a9"/>
        <w:spacing w:before="62" w:after="62"/>
      </w:pPr>
      <w:r w:rsidRPr="00C220B3">
        <w:rPr>
          <w:rFonts w:hint="eastAsia"/>
        </w:rPr>
        <w:t>寿险公司股权价值评估中利用内含价值调整的案例</w:t>
      </w:r>
    </w:p>
    <w:p w14:paraId="5997E585" w14:textId="77777777" w:rsidR="00C220B3" w:rsidRPr="00C220B3" w:rsidRDefault="00C220B3" w:rsidP="00E905CE">
      <w:pPr>
        <w:pStyle w:val="ab"/>
        <w:spacing w:before="62" w:after="62"/>
        <w:ind w:firstLine="482"/>
      </w:pPr>
      <w:r w:rsidRPr="00C220B3">
        <w:rPr>
          <w:rFonts w:hint="eastAsia"/>
        </w:rPr>
        <w:t>一、内含价值报告内容</w:t>
      </w:r>
    </w:p>
    <w:p w14:paraId="334D0A9D" w14:textId="77777777" w:rsidR="00C220B3" w:rsidRDefault="00C220B3" w:rsidP="00C220B3">
      <w:pPr>
        <w:pStyle w:val="13"/>
      </w:pPr>
      <w:r>
        <w:rPr>
          <w:rFonts w:hint="eastAsia"/>
        </w:rPr>
        <w:t>根据“中国保险监督管理委员会关于印发《人身保险内含价值报告编制指引》的通知（保监发〔</w:t>
      </w:r>
      <w:r>
        <w:t>2005〕83号）”规定，内含价值报告至少应包括以下内容：</w:t>
      </w:r>
    </w:p>
    <w:p w14:paraId="2D9D0712" w14:textId="77777777" w:rsidR="00C220B3" w:rsidRDefault="00C220B3" w:rsidP="00C220B3">
      <w:pPr>
        <w:pStyle w:val="13"/>
      </w:pPr>
      <w:r>
        <w:t>(</w:t>
      </w:r>
      <w:proofErr w:type="gramStart"/>
      <w:r>
        <w:t>一</w:t>
      </w:r>
      <w:proofErr w:type="gramEnd"/>
      <w:r>
        <w:t>)计算结果</w:t>
      </w:r>
    </w:p>
    <w:p w14:paraId="7C2515CD" w14:textId="77777777" w:rsidR="00C220B3" w:rsidRDefault="00C220B3" w:rsidP="00C220B3">
      <w:pPr>
        <w:pStyle w:val="13"/>
      </w:pPr>
      <w:r>
        <w:t>1．自由盈余；</w:t>
      </w:r>
    </w:p>
    <w:p w14:paraId="35C258A0" w14:textId="77777777" w:rsidR="00C220B3" w:rsidRDefault="00C220B3" w:rsidP="00C220B3">
      <w:pPr>
        <w:pStyle w:val="13"/>
      </w:pPr>
      <w:r>
        <w:t>2．要求资本，持有要求资本的成本；</w:t>
      </w:r>
    </w:p>
    <w:p w14:paraId="7BCED567" w14:textId="77777777" w:rsidR="00C220B3" w:rsidRDefault="00C220B3" w:rsidP="00C220B3">
      <w:pPr>
        <w:pStyle w:val="13"/>
      </w:pPr>
      <w:r>
        <w:t>3．</w:t>
      </w:r>
      <w:proofErr w:type="gramStart"/>
      <w:r>
        <w:t>有效业务</w:t>
      </w:r>
      <w:proofErr w:type="gramEnd"/>
      <w:r>
        <w:t>现值；</w:t>
      </w:r>
    </w:p>
    <w:p w14:paraId="48DDC41B" w14:textId="77777777" w:rsidR="00C220B3" w:rsidRDefault="00C220B3" w:rsidP="00C220B3">
      <w:pPr>
        <w:pStyle w:val="13"/>
      </w:pPr>
      <w:r>
        <w:t>4．内含价值；</w:t>
      </w:r>
    </w:p>
    <w:p w14:paraId="7EB92B07" w14:textId="77777777" w:rsidR="00C220B3" w:rsidRDefault="00C220B3" w:rsidP="00C220B3">
      <w:pPr>
        <w:pStyle w:val="13"/>
      </w:pPr>
      <w:r>
        <w:t>5．新业务价值。</w:t>
      </w:r>
    </w:p>
    <w:p w14:paraId="20B4A8FA" w14:textId="77777777" w:rsidR="00C220B3" w:rsidRDefault="00C220B3" w:rsidP="00C220B3">
      <w:pPr>
        <w:pStyle w:val="13"/>
      </w:pPr>
      <w:r>
        <w:t>(二)计算方法</w:t>
      </w:r>
    </w:p>
    <w:p w14:paraId="4DC334FE" w14:textId="77777777" w:rsidR="00C220B3" w:rsidRDefault="00C220B3" w:rsidP="00C220B3">
      <w:pPr>
        <w:pStyle w:val="13"/>
      </w:pPr>
      <w:r>
        <w:t>1．适用业务；</w:t>
      </w:r>
    </w:p>
    <w:p w14:paraId="54D4DAA0" w14:textId="77777777" w:rsidR="00C220B3" w:rsidRDefault="00C220B3" w:rsidP="00C220B3">
      <w:pPr>
        <w:pStyle w:val="13"/>
      </w:pPr>
      <w:r>
        <w:t>2．红利分配方法；</w:t>
      </w:r>
    </w:p>
    <w:p w14:paraId="04D40A9D" w14:textId="77777777" w:rsidR="00C220B3" w:rsidRDefault="00C220B3" w:rsidP="00C220B3">
      <w:pPr>
        <w:pStyle w:val="13"/>
      </w:pPr>
      <w:r>
        <w:lastRenderedPageBreak/>
        <w:t>3．持有要求资本的成本的计算方法；</w:t>
      </w:r>
    </w:p>
    <w:p w14:paraId="55A7DE62" w14:textId="77777777" w:rsidR="00C220B3" w:rsidRDefault="00C220B3" w:rsidP="00C220B3">
      <w:pPr>
        <w:pStyle w:val="13"/>
      </w:pPr>
      <w:r>
        <w:t>4．新业务的确定方法；</w:t>
      </w:r>
    </w:p>
    <w:p w14:paraId="240B3C08" w14:textId="77777777" w:rsidR="00C220B3" w:rsidRDefault="00C220B3" w:rsidP="00C220B3">
      <w:pPr>
        <w:pStyle w:val="13"/>
      </w:pPr>
      <w:r>
        <w:t>5．费用模式。</w:t>
      </w:r>
    </w:p>
    <w:p w14:paraId="5E0ABDFF" w14:textId="77777777" w:rsidR="00C220B3" w:rsidRDefault="00C220B3" w:rsidP="00C220B3">
      <w:pPr>
        <w:pStyle w:val="13"/>
      </w:pPr>
      <w:r>
        <w:t>(三)计算假设</w:t>
      </w:r>
    </w:p>
    <w:p w14:paraId="5D27B73A" w14:textId="77777777" w:rsidR="00C220B3" w:rsidRDefault="00C220B3" w:rsidP="00C220B3">
      <w:pPr>
        <w:pStyle w:val="13"/>
      </w:pPr>
      <w:r>
        <w:t>1．主要假设的描述，包括但不限于：收益率、风险贴现率、资产分布及其收益假设、死亡率、残疾率、失效率及费用；</w:t>
      </w:r>
    </w:p>
    <w:p w14:paraId="57AD12DF" w14:textId="77777777" w:rsidR="00C220B3" w:rsidRDefault="00C220B3" w:rsidP="00C220B3">
      <w:pPr>
        <w:pStyle w:val="13"/>
      </w:pPr>
      <w:r>
        <w:t>2．假设确定的依据；</w:t>
      </w:r>
    </w:p>
    <w:p w14:paraId="25B9D6F2" w14:textId="77777777" w:rsidR="00C220B3" w:rsidRDefault="00C220B3" w:rsidP="00C220B3">
      <w:pPr>
        <w:pStyle w:val="13"/>
      </w:pPr>
      <w:r>
        <w:t>3．改变假设的原因。</w:t>
      </w:r>
    </w:p>
    <w:p w14:paraId="6577C4E6" w14:textId="77777777" w:rsidR="00C220B3" w:rsidRDefault="00C220B3" w:rsidP="00C220B3">
      <w:pPr>
        <w:pStyle w:val="13"/>
      </w:pPr>
      <w:r>
        <w:t>(四)相关分析</w:t>
      </w:r>
    </w:p>
    <w:p w14:paraId="3EC9943B" w14:textId="77777777" w:rsidR="00C220B3" w:rsidRDefault="00C220B3" w:rsidP="00C220B3">
      <w:pPr>
        <w:pStyle w:val="13"/>
      </w:pPr>
      <w:r>
        <w:t>1．内含价值分析，建议采用附件所示的报表格式；</w:t>
      </w:r>
    </w:p>
    <w:p w14:paraId="56486BC1" w14:textId="77777777" w:rsidR="00C220B3" w:rsidRDefault="00C220B3" w:rsidP="00C220B3">
      <w:pPr>
        <w:pStyle w:val="13"/>
      </w:pPr>
      <w:r>
        <w:t>2．资本的变动；</w:t>
      </w:r>
    </w:p>
    <w:p w14:paraId="335AC087" w14:textId="77777777" w:rsidR="00C220B3" w:rsidRDefault="00C220B3" w:rsidP="00C220B3">
      <w:pPr>
        <w:pStyle w:val="13"/>
      </w:pPr>
      <w:r>
        <w:t>3．新业务价值；</w:t>
      </w:r>
    </w:p>
    <w:p w14:paraId="3B98C6B9" w14:textId="77777777" w:rsidR="00C220B3" w:rsidRDefault="00C220B3" w:rsidP="00C220B3">
      <w:pPr>
        <w:pStyle w:val="13"/>
      </w:pPr>
      <w:r>
        <w:t>4．主要假设与实际经验的偏差；</w:t>
      </w:r>
    </w:p>
    <w:p w14:paraId="6F0C6C37" w14:textId="77777777" w:rsidR="00C220B3" w:rsidRDefault="00C220B3" w:rsidP="00C220B3">
      <w:pPr>
        <w:pStyle w:val="13"/>
      </w:pPr>
      <w:r>
        <w:t>5．自由盈余回报；</w:t>
      </w:r>
    </w:p>
    <w:p w14:paraId="4AA05EFC" w14:textId="77777777" w:rsidR="00C220B3" w:rsidRDefault="00C220B3" w:rsidP="00C220B3">
      <w:pPr>
        <w:pStyle w:val="13"/>
      </w:pPr>
      <w:r>
        <w:t>6．主要假设变动的影响；</w:t>
      </w:r>
    </w:p>
    <w:p w14:paraId="0568BDB2" w14:textId="77777777" w:rsidR="00C220B3" w:rsidRDefault="00C220B3" w:rsidP="00C220B3">
      <w:pPr>
        <w:pStyle w:val="13"/>
      </w:pPr>
      <w:r>
        <w:t>7．费用；</w:t>
      </w:r>
    </w:p>
    <w:p w14:paraId="1E420878" w14:textId="77777777" w:rsidR="00C220B3" w:rsidRDefault="00C220B3" w:rsidP="00C220B3">
      <w:pPr>
        <w:pStyle w:val="13"/>
      </w:pPr>
      <w:r>
        <w:t>8．其他重要项目。</w:t>
      </w:r>
    </w:p>
    <w:p w14:paraId="664B9CE9" w14:textId="77777777" w:rsidR="00C220B3" w:rsidRDefault="00C220B3" w:rsidP="00C220B3">
      <w:pPr>
        <w:pStyle w:val="13"/>
      </w:pPr>
      <w:r>
        <w:t>(五)敏感性测试</w:t>
      </w:r>
    </w:p>
    <w:p w14:paraId="7DCF951F" w14:textId="77777777" w:rsidR="00C220B3" w:rsidRDefault="00C220B3" w:rsidP="00C220B3">
      <w:pPr>
        <w:pStyle w:val="13"/>
      </w:pPr>
      <w:r>
        <w:t>1．风险贴现率；</w:t>
      </w:r>
    </w:p>
    <w:p w14:paraId="1F98B77B" w14:textId="77777777" w:rsidR="00C220B3" w:rsidRDefault="00C220B3" w:rsidP="00C220B3">
      <w:pPr>
        <w:pStyle w:val="13"/>
      </w:pPr>
      <w:r>
        <w:t>2．投资收益率；</w:t>
      </w:r>
    </w:p>
    <w:p w14:paraId="40C3AED8" w14:textId="77777777" w:rsidR="00C220B3" w:rsidRDefault="00C220B3" w:rsidP="00C220B3">
      <w:pPr>
        <w:pStyle w:val="13"/>
      </w:pPr>
      <w:r>
        <w:t>3．费用；</w:t>
      </w:r>
    </w:p>
    <w:p w14:paraId="2E17610C" w14:textId="77777777" w:rsidR="00C220B3" w:rsidRDefault="00C220B3" w:rsidP="00C220B3">
      <w:pPr>
        <w:pStyle w:val="13"/>
      </w:pPr>
      <w:r>
        <w:t>4．中国保监会要求的其他假设。</w:t>
      </w:r>
    </w:p>
    <w:p w14:paraId="6A44E75F" w14:textId="51F2D543" w:rsidR="005A79E9" w:rsidRPr="00C220B3" w:rsidRDefault="00C220B3" w:rsidP="00E905CE">
      <w:pPr>
        <w:pStyle w:val="ab"/>
        <w:spacing w:before="62" w:after="62"/>
        <w:ind w:firstLine="482"/>
      </w:pPr>
      <w:r w:rsidRPr="00C220B3">
        <w:rPr>
          <w:rFonts w:hint="eastAsia"/>
        </w:rPr>
        <w:t>二、寿险公司内含价值报告实例——</w:t>
      </w:r>
      <w:r w:rsidRPr="00C220B3">
        <w:t>xx人寿2013年内含价值报告</w:t>
      </w:r>
    </w:p>
    <w:p w14:paraId="60484AE1" w14:textId="2944F608" w:rsidR="00C220B3" w:rsidRPr="00C220B3" w:rsidRDefault="00C220B3" w:rsidP="00C220B3">
      <w:pPr>
        <w:pStyle w:val="13"/>
        <w:numPr>
          <w:ilvl w:val="0"/>
          <w:numId w:val="2"/>
        </w:numPr>
        <w:ind w:firstLineChars="0"/>
        <w:rPr>
          <w:b/>
          <w:bCs/>
        </w:rPr>
      </w:pPr>
      <w:r w:rsidRPr="00C220B3">
        <w:rPr>
          <w:b/>
          <w:bCs/>
        </w:rPr>
        <w:t>背景</w:t>
      </w:r>
    </w:p>
    <w:p w14:paraId="506D81AA" w14:textId="77777777" w:rsidR="00C220B3" w:rsidRDefault="00C220B3" w:rsidP="00C220B3">
      <w:pPr>
        <w:pStyle w:val="13"/>
      </w:pPr>
      <w:r>
        <w:rPr>
          <w:rFonts w:hint="eastAsia"/>
        </w:rPr>
        <w:t>本公司按照相关会计准则为公众投资者编制了财务报表。内含价值方法可以提供对人寿保险公司价值和盈利性的另一种衡量。内含价值是基于一组关于未来经验的假设，以精算方法估算的一家保险公司的经济价值。一年新业务价值代表了基于一组关于未来经验的假设，在评估日前一年里售出的新业务所产生的经济价值。内含价值不包含评估日后未来新业务所贡献的价值。</w:t>
      </w:r>
    </w:p>
    <w:p w14:paraId="14142E21" w14:textId="77777777" w:rsidR="00C220B3" w:rsidRDefault="00C220B3" w:rsidP="00C220B3">
      <w:pPr>
        <w:pStyle w:val="13"/>
      </w:pPr>
      <w:r>
        <w:rPr>
          <w:rFonts w:hint="eastAsia"/>
        </w:rPr>
        <w:t>本公司相信公司的内含价值和一年新业务价值报告能够从两个方面为投资者提供有用的信息。第一，公司的</w:t>
      </w:r>
      <w:proofErr w:type="gramStart"/>
      <w:r>
        <w:rPr>
          <w:rFonts w:hint="eastAsia"/>
        </w:rPr>
        <w:t>有效业务</w:t>
      </w:r>
      <w:proofErr w:type="gramEnd"/>
      <w:r>
        <w:rPr>
          <w:rFonts w:hint="eastAsia"/>
        </w:rPr>
        <w:t>现值代表了按照所采用假设，预期未来产生的可分配利润总额的贴现价值。第二，一年新业务价值提供了基于所采用假设，对于由新业务活动为投资者所创造的价值的一个指标，从而也提供了公司业务潜力的一个指标。但是，有关内含价值和一年新业务价值的信息不应被视为按照任何会计准则所</w:t>
      </w:r>
      <w:r>
        <w:rPr>
          <w:rFonts w:hint="eastAsia"/>
        </w:rPr>
        <w:lastRenderedPageBreak/>
        <w:t>编制的财务衡量的替代品。投资者也不应该单纯根据内含价值和一年新业务价值的信息做出投资决定。</w:t>
      </w:r>
    </w:p>
    <w:p w14:paraId="653A5385" w14:textId="77777777" w:rsidR="00C220B3" w:rsidRDefault="00C220B3" w:rsidP="00C220B3">
      <w:pPr>
        <w:pStyle w:val="13"/>
      </w:pPr>
      <w:r>
        <w:rPr>
          <w:rFonts w:hint="eastAsia"/>
        </w:rPr>
        <w:t>特别要指出的是，计算内含价值的精算标准仍在演变中，迄今并没有全球统一采用的标准来定义一家保险公司的内含价值的形式、计算方法或报告格式。因此，在定义、方法、假设、会计基准以及披露方面的差异可能导致在比较不同公司的结果时存在不一致性。</w:t>
      </w:r>
    </w:p>
    <w:p w14:paraId="09A3039D" w14:textId="77777777" w:rsidR="00C220B3" w:rsidRDefault="00C220B3" w:rsidP="00C220B3">
      <w:pPr>
        <w:pStyle w:val="13"/>
      </w:pPr>
      <w:r>
        <w:rPr>
          <w:rFonts w:hint="eastAsia"/>
        </w:rPr>
        <w:t>此外，内含价值的计算涉及大量复杂的技术，对内含价值和一年新业务价值的估算会随着关键假设的变化而发生重大变化。因此，建议读者在理解内含价值的结果时应该特别小心谨慎。</w:t>
      </w:r>
    </w:p>
    <w:p w14:paraId="4DCE5FE6" w14:textId="77777777" w:rsidR="00C220B3" w:rsidRDefault="00C220B3" w:rsidP="00C220B3">
      <w:pPr>
        <w:pStyle w:val="13"/>
      </w:pPr>
      <w:r>
        <w:rPr>
          <w:rFonts w:hint="eastAsia"/>
        </w:rPr>
        <w:t>在下面显示的价值没有考虑本公司和集团公司、国寿投资控股有限公司、资产管理子公司、养老保险子公司、财产险公司等之间的交易所带来的未来的财务影响。</w:t>
      </w:r>
    </w:p>
    <w:p w14:paraId="0141C76F" w14:textId="47C289C0" w:rsidR="00C220B3" w:rsidRPr="00C220B3" w:rsidRDefault="00C220B3" w:rsidP="00C220B3">
      <w:pPr>
        <w:pStyle w:val="13"/>
        <w:numPr>
          <w:ilvl w:val="0"/>
          <w:numId w:val="2"/>
        </w:numPr>
        <w:ind w:firstLineChars="0"/>
        <w:rPr>
          <w:b/>
          <w:bCs/>
        </w:rPr>
      </w:pPr>
      <w:r w:rsidRPr="00C220B3">
        <w:rPr>
          <w:b/>
          <w:bCs/>
        </w:rPr>
        <w:t>内含价值和一年新业务价值的定义</w:t>
      </w:r>
    </w:p>
    <w:p w14:paraId="538CAEBC" w14:textId="77777777" w:rsidR="00C220B3" w:rsidRDefault="00C220B3" w:rsidP="00C220B3">
      <w:pPr>
        <w:pStyle w:val="13"/>
      </w:pPr>
      <w:r>
        <w:rPr>
          <w:rFonts w:hint="eastAsia"/>
        </w:rPr>
        <w:t>人寿保险公司的内含价值的定义是，经调整的净资产价值与考虑了用于支持公司所欲维持的偿付能力额度成本后的</w:t>
      </w:r>
      <w:proofErr w:type="gramStart"/>
      <w:r>
        <w:rPr>
          <w:rFonts w:hint="eastAsia"/>
        </w:rPr>
        <w:t>有效业务</w:t>
      </w:r>
      <w:proofErr w:type="gramEnd"/>
      <w:r>
        <w:rPr>
          <w:rFonts w:hint="eastAsia"/>
        </w:rPr>
        <w:t>现值两者之</w:t>
      </w:r>
      <w:proofErr w:type="gramStart"/>
      <w:r>
        <w:rPr>
          <w:rFonts w:hint="eastAsia"/>
        </w:rPr>
        <w:t>和</w:t>
      </w:r>
      <w:proofErr w:type="gramEnd"/>
      <w:r>
        <w:rPr>
          <w:rFonts w:hint="eastAsia"/>
        </w:rPr>
        <w:t>。</w:t>
      </w:r>
    </w:p>
    <w:p w14:paraId="57185217" w14:textId="77777777" w:rsidR="00C220B3" w:rsidRDefault="00C220B3" w:rsidP="00C220B3">
      <w:pPr>
        <w:pStyle w:val="13"/>
      </w:pPr>
      <w:r>
        <w:rPr>
          <w:rFonts w:hint="eastAsia"/>
        </w:rPr>
        <w:t>“经调整的净资产价值”等于下面两项之和：</w:t>
      </w:r>
    </w:p>
    <w:p w14:paraId="5B1221F5" w14:textId="77777777" w:rsidR="00C220B3" w:rsidRDefault="00C220B3" w:rsidP="00C220B3">
      <w:pPr>
        <w:pStyle w:val="13"/>
      </w:pPr>
      <w:r>
        <w:rPr>
          <w:rFonts w:hint="eastAsia"/>
        </w:rPr>
        <w:t>净资产，定义为资产减去中国偿付能力准备金（注：本部分内容引自该公司年度报告，此处中国偿付能力准备金应理解为法定责任准备金，下同）和其他负债；和对于资产的市场价值和账面价值之间税后差异所作的相关调整以及对于某些负债的相关税后调整。</w:t>
      </w:r>
    </w:p>
    <w:p w14:paraId="61AD9988" w14:textId="77777777" w:rsidR="00C220B3" w:rsidRDefault="00C220B3" w:rsidP="00C220B3">
      <w:pPr>
        <w:pStyle w:val="13"/>
      </w:pPr>
      <w:r>
        <w:rPr>
          <w:rFonts w:hint="eastAsia"/>
        </w:rPr>
        <w:t>由于受市场环境的影响，资产市值可能会随时间发生较大的变化，因此经调整的净资产价值在不同评估日也可能发生较大的变化。</w:t>
      </w:r>
    </w:p>
    <w:p w14:paraId="5BE7D4F7" w14:textId="77777777" w:rsidR="00C220B3" w:rsidRDefault="00C220B3" w:rsidP="00C220B3">
      <w:pPr>
        <w:pStyle w:val="13"/>
      </w:pPr>
      <w:r>
        <w:rPr>
          <w:rFonts w:hint="eastAsia"/>
        </w:rPr>
        <w:t>“有效业务现值”和“一年新业务价值”在这里是定义为分别把在评估日（注：“评估日”是该公司年度报告原文，可理解为资产评估的“评估基准日”）现有的</w:t>
      </w:r>
      <w:proofErr w:type="gramStart"/>
      <w:r>
        <w:rPr>
          <w:rFonts w:hint="eastAsia"/>
        </w:rPr>
        <w:t>有效业务</w:t>
      </w:r>
      <w:proofErr w:type="gramEnd"/>
      <w:r>
        <w:rPr>
          <w:rFonts w:hint="eastAsia"/>
        </w:rPr>
        <w:t>和截至评估日前一年的新业务预期产生的未来可分配税后利润贴现的计算价值。可分配利润是指那些反映了中国偿付能力准备金和以法定最低标准计算的偿付能力额度之后产生的利润。</w:t>
      </w:r>
    </w:p>
    <w:p w14:paraId="67E1EA69" w14:textId="77777777" w:rsidR="00C220B3" w:rsidRDefault="00C220B3" w:rsidP="00C220B3">
      <w:pPr>
        <w:pStyle w:val="13"/>
      </w:pPr>
      <w:proofErr w:type="gramStart"/>
      <w:r>
        <w:rPr>
          <w:rFonts w:hint="eastAsia"/>
        </w:rPr>
        <w:t>有效业务</w:t>
      </w:r>
      <w:proofErr w:type="gramEnd"/>
      <w:r>
        <w:rPr>
          <w:rFonts w:hint="eastAsia"/>
        </w:rPr>
        <w:t>现值和一年新业务价值是采用传统确定性的现金流贴现的方法计算的。这种方法通过使用风险调整后的贴现率来对投资保证和保单持有人选择权的成本、资产负债不匹配的风险、信用风险、运营经验波动的风险和资本的经济成本作隐含的反映。</w:t>
      </w:r>
    </w:p>
    <w:p w14:paraId="60EAA073" w14:textId="45ECE200" w:rsidR="00C220B3" w:rsidRPr="00C220B3" w:rsidRDefault="00C220B3" w:rsidP="00C220B3">
      <w:pPr>
        <w:pStyle w:val="13"/>
        <w:numPr>
          <w:ilvl w:val="0"/>
          <w:numId w:val="2"/>
        </w:numPr>
        <w:ind w:firstLineChars="0"/>
        <w:rPr>
          <w:b/>
          <w:bCs/>
        </w:rPr>
      </w:pPr>
      <w:r w:rsidRPr="00C220B3">
        <w:rPr>
          <w:b/>
          <w:bCs/>
        </w:rPr>
        <w:t>编制和审阅</w:t>
      </w:r>
    </w:p>
    <w:p w14:paraId="241A419B" w14:textId="77777777" w:rsidR="00C220B3" w:rsidRDefault="00C220B3" w:rsidP="00C220B3">
      <w:pPr>
        <w:pStyle w:val="13"/>
      </w:pPr>
      <w:r>
        <w:rPr>
          <w:rFonts w:hint="eastAsia"/>
        </w:rPr>
        <w:t>内含价值和一年新业务价值由本公司编制，编制依据了中国保险监督管理委员会颁布的《人身保险内含价值报告编制指引》的相关规定。</w:t>
      </w:r>
      <w:r>
        <w:t>Towers Watson（</w:t>
      </w:r>
      <w:proofErr w:type="gramStart"/>
      <w:r>
        <w:t>韬睿</w:t>
      </w:r>
      <w:proofErr w:type="gramEnd"/>
      <w:r>
        <w:t>惠悦）为本公司的内含价值和一年新业务价值作了审阅，其审阅声明请见“</w:t>
      </w:r>
      <w:proofErr w:type="gramStart"/>
      <w:r>
        <w:t>韬睿</w:t>
      </w:r>
      <w:proofErr w:type="gramEnd"/>
      <w:r>
        <w:t>惠悦关</w:t>
      </w:r>
      <w:r>
        <w:lastRenderedPageBreak/>
        <w:t>于内含价值的审阅报告”。</w:t>
      </w:r>
    </w:p>
    <w:p w14:paraId="1E53AB61" w14:textId="77777777" w:rsidR="00C220B3" w:rsidRDefault="00C220B3" w:rsidP="00C220B3">
      <w:pPr>
        <w:pStyle w:val="13"/>
      </w:pPr>
      <w:r>
        <w:t>2012年5月15日，财政部与国家税务总局发布了《关于保险公司准备金支出企业所得税税前扣除有关政策问题的通知》（财税〔2012〕45 号），要求以会计利润作为税基。基于上述规定，本公司在编制2013 年度内含价值报告时，在经调整的净资产价值中反映了以会计利润为税基的纳税实务。在计算</w:t>
      </w:r>
      <w:proofErr w:type="gramStart"/>
      <w:r>
        <w:t>有效业务</w:t>
      </w:r>
      <w:proofErr w:type="gramEnd"/>
      <w:r>
        <w:t>现值和一年新业务价值时，由于未来不同评估时点的会计准备金评估假设（例如评估利率）存在多种可能情形，未来会计利润也对应着多种可能结果，因此，目前我们仍采用基于偿付能力准备金的利润作为未来应税所得额。同时，我们在“敏感性结果”</w:t>
      </w:r>
      <w:r>
        <w:rPr>
          <w:rFonts w:hint="eastAsia"/>
        </w:rPr>
        <w:t>部分的表四中披露了“应税所得额为按照《保险合同相关会计处理规定》计算的一种情景下的会计利润”对应的</w:t>
      </w:r>
      <w:proofErr w:type="gramStart"/>
      <w:r>
        <w:rPr>
          <w:rFonts w:hint="eastAsia"/>
        </w:rPr>
        <w:t>有效业务</w:t>
      </w:r>
      <w:proofErr w:type="gramEnd"/>
      <w:r>
        <w:rPr>
          <w:rFonts w:hint="eastAsia"/>
        </w:rPr>
        <w:t>现值和一年新业务价值，以供信息使用者参考。</w:t>
      </w:r>
    </w:p>
    <w:p w14:paraId="0AE27A70" w14:textId="065A8164" w:rsidR="00C220B3" w:rsidRPr="00C220B3" w:rsidRDefault="00C220B3" w:rsidP="00C220B3">
      <w:pPr>
        <w:pStyle w:val="13"/>
        <w:numPr>
          <w:ilvl w:val="0"/>
          <w:numId w:val="2"/>
        </w:numPr>
        <w:ind w:firstLineChars="0"/>
        <w:rPr>
          <w:b/>
          <w:bCs/>
        </w:rPr>
      </w:pPr>
      <w:r w:rsidRPr="00C220B3">
        <w:rPr>
          <w:b/>
          <w:bCs/>
        </w:rPr>
        <w:t>假设</w:t>
      </w:r>
    </w:p>
    <w:p w14:paraId="2D7FD821" w14:textId="77777777" w:rsidR="00C220B3" w:rsidRDefault="00C220B3" w:rsidP="00C220B3">
      <w:pPr>
        <w:pStyle w:val="13"/>
      </w:pPr>
      <w:r>
        <w:rPr>
          <w:rFonts w:hint="eastAsia"/>
        </w:rPr>
        <w:t>经济假设：所得税率假设为</w:t>
      </w:r>
      <w:r>
        <w:t>25%；投资回报率假设从2013 年的5.1%，逐年增长到2017年的5.5%，之后保持不变；</w:t>
      </w:r>
    </w:p>
    <w:p w14:paraId="1C9341BB" w14:textId="77777777" w:rsidR="00C220B3" w:rsidRDefault="00C220B3" w:rsidP="00C220B3">
      <w:pPr>
        <w:pStyle w:val="13"/>
      </w:pPr>
      <w:r>
        <w:rPr>
          <w:rFonts w:hint="eastAsia"/>
        </w:rPr>
        <w:t>投资收益中豁免所得税的比例，从</w:t>
      </w:r>
      <w:r>
        <w:t>2013年的14%，逐年改变到2018年的17%，之后保持不变；假设的投资回报率和投资收益中豁免所得税的比例是基于公司的战略资产组合和预期未来回报设定的。所采用的风险调整后的贴现率为11%。</w:t>
      </w:r>
    </w:p>
    <w:p w14:paraId="584D714F" w14:textId="77777777" w:rsidR="00C220B3" w:rsidRDefault="00C220B3" w:rsidP="00C220B3">
      <w:pPr>
        <w:pStyle w:val="13"/>
      </w:pPr>
      <w:r>
        <w:rPr>
          <w:rFonts w:hint="eastAsia"/>
        </w:rPr>
        <w:t>死亡率、发病率、退保率和费用率等运营假设综合考虑了本公司最新的运营经验和未来预期等因素。</w:t>
      </w:r>
    </w:p>
    <w:p w14:paraId="2E00BD64" w14:textId="0829FF99" w:rsidR="00C220B3" w:rsidRPr="00C220B3" w:rsidRDefault="00C220B3" w:rsidP="00C220B3">
      <w:pPr>
        <w:pStyle w:val="13"/>
        <w:numPr>
          <w:ilvl w:val="0"/>
          <w:numId w:val="2"/>
        </w:numPr>
        <w:ind w:firstLineChars="0"/>
        <w:rPr>
          <w:b/>
          <w:bCs/>
        </w:rPr>
      </w:pPr>
      <w:r w:rsidRPr="00C220B3">
        <w:rPr>
          <w:b/>
          <w:bCs/>
        </w:rPr>
        <w:t>结果总结</w:t>
      </w:r>
    </w:p>
    <w:p w14:paraId="23776D3C" w14:textId="6D6E6910" w:rsidR="005A79E9" w:rsidRDefault="00C220B3" w:rsidP="00C220B3">
      <w:pPr>
        <w:pStyle w:val="13"/>
      </w:pPr>
      <w:r>
        <w:rPr>
          <w:rFonts w:hint="eastAsia"/>
        </w:rPr>
        <w:t>截至</w:t>
      </w:r>
      <w:r>
        <w:t>2013年12月31日的内含价值和一年新业务价值与截至2012年12月31日的对应结果：</w:t>
      </w:r>
    </w:p>
    <w:p w14:paraId="0702717A" w14:textId="65700E14" w:rsidR="005A79E9" w:rsidRDefault="00C220B3" w:rsidP="00C220B3">
      <w:pPr>
        <w:pStyle w:val="13"/>
        <w:ind w:firstLineChars="0" w:firstLine="0"/>
        <w:jc w:val="center"/>
      </w:pPr>
      <w:r>
        <w:rPr>
          <w:rFonts w:ascii="仿宋_GB2312" w:cs="宋体"/>
          <w:noProof/>
          <w:kern w:val="0"/>
          <w:sz w:val="32"/>
          <w:szCs w:val="32"/>
        </w:rPr>
        <w:drawing>
          <wp:inline distT="0" distB="0" distL="0" distR="0" wp14:anchorId="77884461" wp14:editId="4B1AF7D3">
            <wp:extent cx="4910764" cy="3362325"/>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0466" cy="3389509"/>
                    </a:xfrm>
                    <a:prstGeom prst="rect">
                      <a:avLst/>
                    </a:prstGeom>
                    <a:noFill/>
                    <a:ln>
                      <a:noFill/>
                    </a:ln>
                  </pic:spPr>
                </pic:pic>
              </a:graphicData>
            </a:graphic>
          </wp:inline>
        </w:drawing>
      </w:r>
    </w:p>
    <w:p w14:paraId="1E2FEA15" w14:textId="20497BE1" w:rsidR="00C220B3" w:rsidRPr="00C220B3" w:rsidRDefault="00C220B3" w:rsidP="00C220B3">
      <w:pPr>
        <w:pStyle w:val="13"/>
        <w:numPr>
          <w:ilvl w:val="0"/>
          <w:numId w:val="2"/>
        </w:numPr>
        <w:ind w:firstLineChars="0"/>
        <w:rPr>
          <w:b/>
          <w:bCs/>
        </w:rPr>
      </w:pPr>
      <w:r w:rsidRPr="00C220B3">
        <w:rPr>
          <w:b/>
          <w:bCs/>
        </w:rPr>
        <w:lastRenderedPageBreak/>
        <w:t>分渠道一年新业务价值</w:t>
      </w:r>
    </w:p>
    <w:p w14:paraId="2779393D" w14:textId="2F33EA51" w:rsidR="00C220B3" w:rsidRDefault="00C220B3" w:rsidP="00C220B3">
      <w:pPr>
        <w:pStyle w:val="13"/>
      </w:pPr>
      <w:r>
        <w:rPr>
          <w:rFonts w:hint="eastAsia"/>
        </w:rPr>
        <w:t>下表展示了分渠道的一年新业务价值：</w:t>
      </w:r>
    </w:p>
    <w:p w14:paraId="37F5B036" w14:textId="52735FE7" w:rsidR="00C220B3" w:rsidRDefault="00C220B3" w:rsidP="00C220B3">
      <w:pPr>
        <w:pStyle w:val="13"/>
        <w:ind w:firstLineChars="0" w:firstLine="0"/>
      </w:pPr>
      <w:r>
        <w:rPr>
          <w:rFonts w:ascii="仿宋_GB2312" w:cs="宋体"/>
          <w:noProof/>
          <w:kern w:val="0"/>
          <w:sz w:val="32"/>
          <w:szCs w:val="32"/>
        </w:rPr>
        <w:drawing>
          <wp:inline distT="0" distB="0" distL="0" distR="0" wp14:anchorId="5DCF8286" wp14:editId="31D70282">
            <wp:extent cx="5486248" cy="249555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8141" cy="2514606"/>
                    </a:xfrm>
                    <a:prstGeom prst="rect">
                      <a:avLst/>
                    </a:prstGeom>
                    <a:noFill/>
                    <a:ln>
                      <a:noFill/>
                    </a:ln>
                  </pic:spPr>
                </pic:pic>
              </a:graphicData>
            </a:graphic>
          </wp:inline>
        </w:drawing>
      </w:r>
    </w:p>
    <w:p w14:paraId="415BBCD6" w14:textId="49750822" w:rsidR="00C220B3" w:rsidRPr="00C220B3" w:rsidRDefault="00C220B3" w:rsidP="00C220B3">
      <w:pPr>
        <w:pStyle w:val="13"/>
        <w:numPr>
          <w:ilvl w:val="0"/>
          <w:numId w:val="2"/>
        </w:numPr>
        <w:ind w:firstLineChars="0"/>
        <w:rPr>
          <w:b/>
          <w:bCs/>
        </w:rPr>
      </w:pPr>
      <w:r w:rsidRPr="00C220B3">
        <w:rPr>
          <w:b/>
          <w:bCs/>
        </w:rPr>
        <w:t>变动分析</w:t>
      </w:r>
    </w:p>
    <w:p w14:paraId="2DB0B5B3" w14:textId="77683362" w:rsidR="00C220B3" w:rsidRDefault="00C220B3" w:rsidP="00C220B3">
      <w:pPr>
        <w:pStyle w:val="13"/>
      </w:pPr>
      <w:r>
        <w:rPr>
          <w:rFonts w:hint="eastAsia"/>
        </w:rPr>
        <w:t>下面的分析列示了内含价值从报告期开始日到结束日的变动情况。</w:t>
      </w:r>
    </w:p>
    <w:p w14:paraId="38B31B08" w14:textId="462FD11D" w:rsidR="00C220B3" w:rsidRDefault="00C220B3" w:rsidP="00C220B3">
      <w:pPr>
        <w:pStyle w:val="13"/>
        <w:ind w:firstLineChars="0" w:firstLine="0"/>
      </w:pPr>
      <w:r>
        <w:rPr>
          <w:rFonts w:ascii="仿宋_GB2312" w:cs="宋体"/>
          <w:noProof/>
          <w:kern w:val="0"/>
          <w:sz w:val="32"/>
          <w:szCs w:val="32"/>
        </w:rPr>
        <w:drawing>
          <wp:inline distT="0" distB="0" distL="0" distR="0" wp14:anchorId="14651A9F" wp14:editId="1AA850C8">
            <wp:extent cx="5303520" cy="384048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3520" cy="3840480"/>
                    </a:xfrm>
                    <a:prstGeom prst="rect">
                      <a:avLst/>
                    </a:prstGeom>
                    <a:noFill/>
                    <a:ln>
                      <a:noFill/>
                    </a:ln>
                  </pic:spPr>
                </pic:pic>
              </a:graphicData>
            </a:graphic>
          </wp:inline>
        </w:drawing>
      </w:r>
    </w:p>
    <w:p w14:paraId="33D876E9" w14:textId="77777777" w:rsidR="00C220B3" w:rsidRDefault="00C220B3" w:rsidP="00C220B3">
      <w:pPr>
        <w:pStyle w:val="13"/>
        <w:ind w:firstLineChars="0" w:firstLine="0"/>
      </w:pPr>
      <w:r>
        <w:rPr>
          <w:rFonts w:hint="eastAsia"/>
        </w:rPr>
        <w:t>注：对</w:t>
      </w:r>
      <w:r>
        <w:t>B至J项的解释：</w:t>
      </w:r>
    </w:p>
    <w:p w14:paraId="125685CA" w14:textId="77777777" w:rsidR="00C220B3" w:rsidRDefault="00C220B3" w:rsidP="00C220B3">
      <w:pPr>
        <w:pStyle w:val="13"/>
      </w:pPr>
      <w:r>
        <w:t>B 反映了年初</w:t>
      </w:r>
      <w:proofErr w:type="gramStart"/>
      <w:r>
        <w:t>有效业务</w:t>
      </w:r>
      <w:proofErr w:type="gramEnd"/>
      <w:r>
        <w:t>现值和2013年一年新业务价值在2013 年的预期回报，以及净资产的预期投资回报之</w:t>
      </w:r>
      <w:proofErr w:type="gramStart"/>
      <w:r>
        <w:t>和</w:t>
      </w:r>
      <w:proofErr w:type="gramEnd"/>
      <w:r>
        <w:t>。</w:t>
      </w:r>
    </w:p>
    <w:p w14:paraId="1C575241" w14:textId="77777777" w:rsidR="00C220B3" w:rsidRDefault="00C220B3" w:rsidP="00C220B3">
      <w:pPr>
        <w:pStyle w:val="13"/>
      </w:pPr>
      <w:r>
        <w:t>C 2013年一年新业务价值。</w:t>
      </w:r>
    </w:p>
    <w:p w14:paraId="5CFB401C" w14:textId="77777777" w:rsidR="00C220B3" w:rsidRDefault="00C220B3" w:rsidP="00C220B3">
      <w:pPr>
        <w:pStyle w:val="13"/>
      </w:pPr>
      <w:r>
        <w:t>D 2013年实际运营经验（如死亡率、疾病发生率、退保率、费用率）和对应假</w:t>
      </w:r>
      <w:r>
        <w:lastRenderedPageBreak/>
        <w:t>设的差异。</w:t>
      </w:r>
    </w:p>
    <w:p w14:paraId="2DD74A5D" w14:textId="77777777" w:rsidR="00C220B3" w:rsidRDefault="00C220B3" w:rsidP="00C220B3">
      <w:pPr>
        <w:pStyle w:val="13"/>
      </w:pPr>
      <w:r>
        <w:t>E 2013年实际投资回报与投资假设的差异。</w:t>
      </w:r>
    </w:p>
    <w:p w14:paraId="374CA39C" w14:textId="77777777" w:rsidR="00C220B3" w:rsidRDefault="00C220B3" w:rsidP="00C220B3">
      <w:pPr>
        <w:pStyle w:val="13"/>
      </w:pPr>
      <w:r>
        <w:t>F 反映了评估方法、模型和假设的变化。</w:t>
      </w:r>
    </w:p>
    <w:p w14:paraId="122D58A3" w14:textId="77777777" w:rsidR="00C220B3" w:rsidRDefault="00C220B3" w:rsidP="00C220B3">
      <w:pPr>
        <w:pStyle w:val="13"/>
      </w:pPr>
      <w:r>
        <w:t>G 反映了2013年从期初到期末市场价值调整的变化及其他相关调整。</w:t>
      </w:r>
    </w:p>
    <w:p w14:paraId="70AE2B32" w14:textId="77777777" w:rsidR="00C220B3" w:rsidRDefault="00C220B3" w:rsidP="00C220B3">
      <w:pPr>
        <w:pStyle w:val="13"/>
      </w:pPr>
      <w:r>
        <w:t>H 汇率变动。</w:t>
      </w:r>
    </w:p>
    <w:p w14:paraId="6B4FEC66" w14:textId="64BC1007" w:rsidR="00C220B3" w:rsidRDefault="00C220B3" w:rsidP="00C220B3">
      <w:pPr>
        <w:pStyle w:val="13"/>
      </w:pPr>
      <w:r>
        <w:t>I 2013年派发的股东现金红利。</w:t>
      </w:r>
    </w:p>
    <w:p w14:paraId="7C3B5D39" w14:textId="707B34BF" w:rsidR="00C220B3" w:rsidRDefault="00C220B3" w:rsidP="005A79E9">
      <w:pPr>
        <w:pStyle w:val="13"/>
      </w:pPr>
      <w:r w:rsidRPr="00C220B3">
        <w:t>J 其他因素。</w:t>
      </w:r>
    </w:p>
    <w:p w14:paraId="745D05C3" w14:textId="0DE07EB9" w:rsidR="00C220B3" w:rsidRPr="00C220B3" w:rsidRDefault="00C220B3" w:rsidP="00C220B3">
      <w:pPr>
        <w:pStyle w:val="13"/>
        <w:numPr>
          <w:ilvl w:val="0"/>
          <w:numId w:val="2"/>
        </w:numPr>
        <w:ind w:firstLineChars="0"/>
        <w:rPr>
          <w:b/>
          <w:bCs/>
        </w:rPr>
      </w:pPr>
      <w:r w:rsidRPr="00C220B3">
        <w:rPr>
          <w:b/>
          <w:bCs/>
        </w:rPr>
        <w:t>敏感性结果</w:t>
      </w:r>
    </w:p>
    <w:p w14:paraId="64FAAC71" w14:textId="2FB2FC1B" w:rsidR="00C220B3" w:rsidRDefault="00C220B3" w:rsidP="00C220B3">
      <w:pPr>
        <w:pStyle w:val="13"/>
      </w:pPr>
      <w:r>
        <w:rPr>
          <w:rFonts w:hint="eastAsia"/>
        </w:rPr>
        <w:t>敏感性测试是在一系列不同的假设基础上完成的。在每一项敏感性测试中，只有相关的假设会发生变化，其他假设保持不变。这些敏感性测试的结果总结如下：</w:t>
      </w:r>
    </w:p>
    <w:p w14:paraId="127462DA" w14:textId="748C7DD2" w:rsidR="00C220B3" w:rsidRDefault="00C220B3" w:rsidP="00C220B3">
      <w:pPr>
        <w:pStyle w:val="13"/>
        <w:ind w:firstLineChars="0" w:firstLine="0"/>
      </w:pPr>
      <w:r>
        <w:rPr>
          <w:rFonts w:ascii="仿宋_GB2312" w:cs="宋体"/>
          <w:noProof/>
          <w:kern w:val="0"/>
          <w:sz w:val="32"/>
          <w:szCs w:val="32"/>
        </w:rPr>
        <w:drawing>
          <wp:inline distT="0" distB="0" distL="0" distR="0" wp14:anchorId="0CCF483C" wp14:editId="45CAFCA4">
            <wp:extent cx="5276850" cy="5667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5667375"/>
                    </a:xfrm>
                    <a:prstGeom prst="rect">
                      <a:avLst/>
                    </a:prstGeom>
                    <a:noFill/>
                    <a:ln>
                      <a:noFill/>
                    </a:ln>
                  </pic:spPr>
                </pic:pic>
              </a:graphicData>
            </a:graphic>
          </wp:inline>
        </w:drawing>
      </w:r>
    </w:p>
    <w:p w14:paraId="0D9350C9" w14:textId="77777777" w:rsidR="00C220B3" w:rsidRPr="00C220B3" w:rsidRDefault="00C220B3" w:rsidP="00E905CE">
      <w:pPr>
        <w:pStyle w:val="ab"/>
        <w:spacing w:before="62" w:after="62"/>
        <w:ind w:firstLine="482"/>
      </w:pPr>
      <w:r w:rsidRPr="00C220B3">
        <w:rPr>
          <w:rFonts w:hint="eastAsia"/>
        </w:rPr>
        <w:lastRenderedPageBreak/>
        <w:t>三、内含价值调整为企业全部股权价值的分析过程</w:t>
      </w:r>
    </w:p>
    <w:p w14:paraId="678EE018" w14:textId="77777777" w:rsidR="00C220B3" w:rsidRDefault="00C220B3" w:rsidP="00C220B3">
      <w:pPr>
        <w:pStyle w:val="13"/>
      </w:pPr>
      <w:r>
        <w:rPr>
          <w:rFonts w:hint="eastAsia"/>
        </w:rPr>
        <w:t>假设以</w:t>
      </w:r>
      <w:r>
        <w:t>2013年12月31日为评估基准日，采用内含价值调整方法确定被评估企业股权价值。</w:t>
      </w:r>
    </w:p>
    <w:p w14:paraId="6F37F7F2" w14:textId="77777777" w:rsidR="00C220B3" w:rsidRDefault="00C220B3" w:rsidP="00C220B3">
      <w:pPr>
        <w:pStyle w:val="13"/>
      </w:pPr>
      <w:r>
        <w:rPr>
          <w:rFonts w:hint="eastAsia"/>
        </w:rPr>
        <w:t>主要有下面三个步骤</w:t>
      </w:r>
    </w:p>
    <w:p w14:paraId="512FE916" w14:textId="77777777" w:rsidR="00C220B3" w:rsidRDefault="00C220B3" w:rsidP="00C220B3">
      <w:pPr>
        <w:pStyle w:val="13"/>
      </w:pPr>
      <w:r>
        <w:rPr>
          <w:rFonts w:hint="eastAsia"/>
        </w:rPr>
        <w:t>首先，获取被评估公司的内含价值报告，获得该公司内含价值和当年新业务价值，并确定实际计算中采取的重要假设。</w:t>
      </w:r>
    </w:p>
    <w:p w14:paraId="360DD9AB" w14:textId="77777777" w:rsidR="00C220B3" w:rsidRDefault="00C220B3" w:rsidP="00C220B3">
      <w:pPr>
        <w:pStyle w:val="13"/>
      </w:pPr>
      <w:r>
        <w:rPr>
          <w:rFonts w:hint="eastAsia"/>
        </w:rPr>
        <w:t>第二，对内含价值与当年新业务价值相关假设与评估假设差异进行调整，不仅包括经济假设，还包括风险贴现率的假设。</w:t>
      </w:r>
    </w:p>
    <w:p w14:paraId="3EB82B80" w14:textId="4C644572" w:rsidR="00C220B3" w:rsidRDefault="00C220B3" w:rsidP="00C220B3">
      <w:pPr>
        <w:pStyle w:val="13"/>
      </w:pPr>
      <w:r>
        <w:rPr>
          <w:rFonts w:hint="eastAsia"/>
        </w:rPr>
        <w:t>第三，在调整内含价值上加上未来业务的现值得到公司股权评估价值，而未来业务价值通常可以用调整后当年新业务价值乘以一个乘数得到。</w:t>
      </w:r>
    </w:p>
    <w:p w14:paraId="02F7BE43" w14:textId="18976E89" w:rsidR="00C220B3" w:rsidRDefault="00C220B3" w:rsidP="00C220B3">
      <w:pPr>
        <w:pStyle w:val="13"/>
        <w:ind w:firstLineChars="0" w:firstLine="0"/>
      </w:pPr>
      <w:r w:rsidRPr="00C220B3">
        <w:rPr>
          <w:noProof/>
        </w:rPr>
        <w:drawing>
          <wp:inline distT="0" distB="0" distL="0" distR="0" wp14:anchorId="463AA3D5" wp14:editId="23F321FC">
            <wp:extent cx="5543550" cy="14509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3550" cy="1450975"/>
                    </a:xfrm>
                    <a:prstGeom prst="rect">
                      <a:avLst/>
                    </a:prstGeom>
                    <a:noFill/>
                    <a:ln>
                      <a:noFill/>
                    </a:ln>
                  </pic:spPr>
                </pic:pic>
              </a:graphicData>
            </a:graphic>
          </wp:inline>
        </w:drawing>
      </w:r>
    </w:p>
    <w:p w14:paraId="365C5271" w14:textId="77777777" w:rsidR="00C220B3" w:rsidRDefault="00C220B3" w:rsidP="00C220B3">
      <w:pPr>
        <w:pStyle w:val="13"/>
      </w:pPr>
      <w:r>
        <w:rPr>
          <w:rFonts w:hint="eastAsia"/>
        </w:rPr>
        <w:t>（一）</w:t>
      </w:r>
      <w:r>
        <w:t>xx人寿2013年12月31日内含价值及一年新业务价值数据</w:t>
      </w:r>
    </w:p>
    <w:p w14:paraId="0ED39092" w14:textId="77777777" w:rsidR="00C220B3" w:rsidRDefault="00C220B3" w:rsidP="00C220B3">
      <w:pPr>
        <w:pStyle w:val="13"/>
      </w:pPr>
      <w:r>
        <w:rPr>
          <w:rFonts w:hint="eastAsia"/>
        </w:rPr>
        <w:t>根据内含价值报告，</w:t>
      </w:r>
      <w:r>
        <w:t>xx人寿2013年12月31日，经调整的净资产价值，107522</w:t>
      </w:r>
      <w:proofErr w:type="gramStart"/>
      <w:r>
        <w:t>百万</w:t>
      </w:r>
      <w:proofErr w:type="gramEnd"/>
      <w:r>
        <w:t>元，扣除偿付能力额度成本之前的</w:t>
      </w:r>
      <w:proofErr w:type="gramStart"/>
      <w:r>
        <w:t>有效业务</w:t>
      </w:r>
      <w:proofErr w:type="gramEnd"/>
      <w:r>
        <w:t>现值271837</w:t>
      </w:r>
      <w:proofErr w:type="gramStart"/>
      <w:r>
        <w:t>百万</w:t>
      </w:r>
      <w:proofErr w:type="gramEnd"/>
      <w:r>
        <w:t>元，偿付能力额度成本-37135</w:t>
      </w:r>
      <w:proofErr w:type="gramStart"/>
      <w:r>
        <w:t>百万</w:t>
      </w:r>
      <w:proofErr w:type="gramEnd"/>
      <w:r>
        <w:t>元，内含价值342224</w:t>
      </w:r>
      <w:proofErr w:type="gramStart"/>
      <w:r>
        <w:t>百万</w:t>
      </w:r>
      <w:proofErr w:type="gramEnd"/>
      <w:r>
        <w:t>元。</w:t>
      </w:r>
    </w:p>
    <w:p w14:paraId="655DEA82" w14:textId="77777777" w:rsidR="00C220B3" w:rsidRDefault="00C220B3" w:rsidP="00C220B3">
      <w:pPr>
        <w:pStyle w:val="13"/>
      </w:pPr>
      <w:r>
        <w:rPr>
          <w:rFonts w:hint="eastAsia"/>
        </w:rPr>
        <w:t>扣除偿付能力额度成本之前的一年新业务价值</w:t>
      </w:r>
      <w:r>
        <w:t>24421</w:t>
      </w:r>
      <w:proofErr w:type="gramStart"/>
      <w:r>
        <w:t>百万</w:t>
      </w:r>
      <w:proofErr w:type="gramEnd"/>
      <w:r>
        <w:t>元，偿付能力额度成本-3120</w:t>
      </w:r>
      <w:proofErr w:type="gramStart"/>
      <w:r>
        <w:t>百万</w:t>
      </w:r>
      <w:proofErr w:type="gramEnd"/>
      <w:r>
        <w:t>元，一年新业务价值21300</w:t>
      </w:r>
      <w:proofErr w:type="gramStart"/>
      <w:r>
        <w:t>百万</w:t>
      </w:r>
      <w:proofErr w:type="gramEnd"/>
      <w:r>
        <w:t>元。</w:t>
      </w:r>
    </w:p>
    <w:p w14:paraId="46BF83C4" w14:textId="77777777" w:rsidR="00C220B3" w:rsidRDefault="00C220B3" w:rsidP="00C220B3">
      <w:pPr>
        <w:pStyle w:val="13"/>
      </w:pPr>
      <w:r>
        <w:rPr>
          <w:rFonts w:hint="eastAsia"/>
        </w:rPr>
        <w:t>（二）对内含价值及新业务价值的分析与调整</w:t>
      </w:r>
    </w:p>
    <w:p w14:paraId="5229E4DF" w14:textId="3C2EE266" w:rsidR="00C220B3" w:rsidRDefault="00C220B3" w:rsidP="00C220B3">
      <w:pPr>
        <w:pStyle w:val="13"/>
      </w:pPr>
      <w:r>
        <w:t>1.假设可能存在的差异分析与调整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2851"/>
        <w:gridCol w:w="2410"/>
        <w:gridCol w:w="2628"/>
      </w:tblGrid>
      <w:tr w:rsidR="00C220B3" w:rsidRPr="00C220B3" w14:paraId="423C36A2" w14:textId="77777777" w:rsidTr="007A3C56">
        <w:trPr>
          <w:trHeight w:val="706"/>
          <w:tblHeader/>
        </w:trPr>
        <w:tc>
          <w:tcPr>
            <w:tcW w:w="476" w:type="pct"/>
            <w:vAlign w:val="center"/>
          </w:tcPr>
          <w:p w14:paraId="1A5E5ECD" w14:textId="77777777" w:rsidR="00C220B3" w:rsidRPr="00C220B3" w:rsidRDefault="00C220B3" w:rsidP="00C220B3">
            <w:pPr>
              <w:pStyle w:val="13"/>
              <w:ind w:firstLineChars="0" w:firstLine="0"/>
              <w:jc w:val="center"/>
              <w:rPr>
                <w:sz w:val="18"/>
                <w:szCs w:val="18"/>
              </w:rPr>
            </w:pPr>
            <w:r w:rsidRPr="00C220B3">
              <w:rPr>
                <w:rFonts w:hint="eastAsia"/>
                <w:sz w:val="18"/>
                <w:szCs w:val="18"/>
              </w:rPr>
              <w:t>主要</w:t>
            </w:r>
          </w:p>
          <w:p w14:paraId="316798D8" w14:textId="77777777" w:rsidR="00C220B3" w:rsidRPr="00C220B3" w:rsidRDefault="00C220B3" w:rsidP="00C220B3">
            <w:pPr>
              <w:pStyle w:val="13"/>
              <w:ind w:firstLineChars="0" w:firstLine="0"/>
              <w:jc w:val="center"/>
              <w:rPr>
                <w:sz w:val="18"/>
                <w:szCs w:val="18"/>
              </w:rPr>
            </w:pPr>
            <w:r w:rsidRPr="00C220B3">
              <w:rPr>
                <w:rFonts w:hint="eastAsia"/>
                <w:sz w:val="18"/>
                <w:szCs w:val="18"/>
              </w:rPr>
              <w:t>参数</w:t>
            </w:r>
          </w:p>
        </w:tc>
        <w:tc>
          <w:tcPr>
            <w:tcW w:w="1634" w:type="pct"/>
            <w:vAlign w:val="center"/>
          </w:tcPr>
          <w:p w14:paraId="6E5F5D0C" w14:textId="77777777" w:rsidR="00C220B3" w:rsidRPr="00C220B3" w:rsidRDefault="00C220B3" w:rsidP="00C220B3">
            <w:pPr>
              <w:pStyle w:val="13"/>
              <w:ind w:firstLineChars="0" w:firstLine="0"/>
              <w:jc w:val="center"/>
              <w:rPr>
                <w:sz w:val="18"/>
                <w:szCs w:val="18"/>
              </w:rPr>
            </w:pPr>
            <w:r w:rsidRPr="00C220B3">
              <w:rPr>
                <w:rFonts w:hint="eastAsia"/>
                <w:sz w:val="18"/>
                <w:szCs w:val="18"/>
              </w:rPr>
              <w:t>内含价值</w:t>
            </w:r>
          </w:p>
          <w:p w14:paraId="5B81999B" w14:textId="77777777" w:rsidR="00C220B3" w:rsidRPr="00C220B3" w:rsidRDefault="00C220B3" w:rsidP="00C220B3">
            <w:pPr>
              <w:pStyle w:val="13"/>
              <w:ind w:firstLineChars="0" w:firstLine="0"/>
              <w:jc w:val="center"/>
              <w:rPr>
                <w:sz w:val="18"/>
                <w:szCs w:val="18"/>
              </w:rPr>
            </w:pPr>
            <w:r w:rsidRPr="00C220B3">
              <w:rPr>
                <w:rFonts w:hint="eastAsia"/>
                <w:sz w:val="18"/>
                <w:szCs w:val="18"/>
              </w:rPr>
              <w:t>（监管准则）假设</w:t>
            </w:r>
          </w:p>
        </w:tc>
        <w:tc>
          <w:tcPr>
            <w:tcW w:w="1382" w:type="pct"/>
            <w:vAlign w:val="center"/>
          </w:tcPr>
          <w:p w14:paraId="15EEC014" w14:textId="77777777" w:rsidR="00C220B3" w:rsidRPr="00C220B3" w:rsidRDefault="00C220B3" w:rsidP="00C220B3">
            <w:pPr>
              <w:pStyle w:val="13"/>
              <w:ind w:firstLineChars="0" w:firstLine="0"/>
              <w:jc w:val="center"/>
              <w:rPr>
                <w:sz w:val="18"/>
                <w:szCs w:val="18"/>
              </w:rPr>
            </w:pPr>
            <w:r w:rsidRPr="00C220B3">
              <w:rPr>
                <w:rFonts w:hint="eastAsia"/>
                <w:sz w:val="18"/>
                <w:szCs w:val="18"/>
              </w:rPr>
              <w:t>评估价值</w:t>
            </w:r>
          </w:p>
          <w:p w14:paraId="034B80E8" w14:textId="77777777" w:rsidR="00C220B3" w:rsidRPr="00C220B3" w:rsidRDefault="00C220B3" w:rsidP="00C220B3">
            <w:pPr>
              <w:pStyle w:val="13"/>
              <w:ind w:firstLineChars="0" w:firstLine="0"/>
              <w:jc w:val="center"/>
              <w:rPr>
                <w:sz w:val="18"/>
                <w:szCs w:val="18"/>
              </w:rPr>
            </w:pPr>
            <w:r w:rsidRPr="00C220B3">
              <w:rPr>
                <w:rFonts w:hint="eastAsia"/>
                <w:sz w:val="18"/>
                <w:szCs w:val="18"/>
              </w:rPr>
              <w:t>（会计准则）假设</w:t>
            </w:r>
          </w:p>
        </w:tc>
        <w:tc>
          <w:tcPr>
            <w:tcW w:w="1507" w:type="pct"/>
            <w:vAlign w:val="center"/>
          </w:tcPr>
          <w:p w14:paraId="029CFC42" w14:textId="77777777" w:rsidR="00C220B3" w:rsidRPr="00C220B3" w:rsidRDefault="00C220B3" w:rsidP="00C220B3">
            <w:pPr>
              <w:pStyle w:val="13"/>
              <w:ind w:firstLineChars="0" w:firstLine="0"/>
              <w:jc w:val="center"/>
              <w:rPr>
                <w:sz w:val="18"/>
                <w:szCs w:val="18"/>
              </w:rPr>
            </w:pPr>
            <w:r w:rsidRPr="00C220B3">
              <w:rPr>
                <w:rFonts w:hint="eastAsia"/>
                <w:sz w:val="18"/>
                <w:szCs w:val="18"/>
              </w:rPr>
              <w:t>差异分析</w:t>
            </w:r>
          </w:p>
          <w:p w14:paraId="5B861764" w14:textId="77777777" w:rsidR="00C220B3" w:rsidRPr="00C220B3" w:rsidRDefault="00C220B3" w:rsidP="00C220B3">
            <w:pPr>
              <w:pStyle w:val="13"/>
              <w:ind w:firstLineChars="0" w:firstLine="0"/>
              <w:jc w:val="center"/>
              <w:rPr>
                <w:sz w:val="18"/>
                <w:szCs w:val="18"/>
              </w:rPr>
            </w:pPr>
            <w:r w:rsidRPr="00C220B3">
              <w:rPr>
                <w:rFonts w:hint="eastAsia"/>
                <w:sz w:val="18"/>
                <w:szCs w:val="18"/>
              </w:rPr>
              <w:t>及调整结论</w:t>
            </w:r>
          </w:p>
        </w:tc>
      </w:tr>
      <w:tr w:rsidR="00C220B3" w:rsidRPr="00C220B3" w14:paraId="4EA4182A" w14:textId="77777777" w:rsidTr="007A3C56">
        <w:trPr>
          <w:trHeight w:val="844"/>
        </w:trPr>
        <w:tc>
          <w:tcPr>
            <w:tcW w:w="476" w:type="pct"/>
            <w:vAlign w:val="center"/>
          </w:tcPr>
          <w:p w14:paraId="07913303" w14:textId="77777777" w:rsidR="00E04C89" w:rsidRDefault="00C220B3" w:rsidP="00E04C89">
            <w:pPr>
              <w:pStyle w:val="13"/>
              <w:ind w:firstLineChars="0" w:firstLine="0"/>
              <w:jc w:val="center"/>
              <w:rPr>
                <w:sz w:val="18"/>
                <w:szCs w:val="18"/>
              </w:rPr>
            </w:pPr>
            <w:r w:rsidRPr="00C220B3">
              <w:rPr>
                <w:rFonts w:hint="eastAsia"/>
                <w:sz w:val="18"/>
                <w:szCs w:val="18"/>
              </w:rPr>
              <w:t>所得</w:t>
            </w:r>
          </w:p>
          <w:p w14:paraId="38A82810" w14:textId="7959DD71" w:rsidR="00C220B3" w:rsidRPr="00C220B3" w:rsidRDefault="00C220B3" w:rsidP="00E04C89">
            <w:pPr>
              <w:pStyle w:val="13"/>
              <w:ind w:firstLineChars="0" w:firstLine="0"/>
              <w:jc w:val="center"/>
              <w:rPr>
                <w:sz w:val="18"/>
                <w:szCs w:val="18"/>
              </w:rPr>
            </w:pPr>
            <w:r w:rsidRPr="00C220B3">
              <w:rPr>
                <w:rFonts w:hint="eastAsia"/>
                <w:sz w:val="18"/>
                <w:szCs w:val="18"/>
              </w:rPr>
              <w:t>税率</w:t>
            </w:r>
          </w:p>
        </w:tc>
        <w:tc>
          <w:tcPr>
            <w:tcW w:w="1634" w:type="pct"/>
            <w:vAlign w:val="center"/>
          </w:tcPr>
          <w:p w14:paraId="2615AF60" w14:textId="77777777" w:rsidR="00C220B3" w:rsidRPr="00C220B3" w:rsidRDefault="00C220B3" w:rsidP="00C220B3">
            <w:pPr>
              <w:pStyle w:val="13"/>
              <w:ind w:firstLineChars="0" w:firstLine="0"/>
              <w:rPr>
                <w:sz w:val="18"/>
                <w:szCs w:val="18"/>
              </w:rPr>
            </w:pPr>
            <w:r w:rsidRPr="00C220B3">
              <w:rPr>
                <w:rFonts w:hint="eastAsia"/>
                <w:sz w:val="18"/>
                <w:szCs w:val="18"/>
              </w:rPr>
              <w:t>25%</w:t>
            </w:r>
          </w:p>
        </w:tc>
        <w:tc>
          <w:tcPr>
            <w:tcW w:w="1382" w:type="pct"/>
            <w:vAlign w:val="center"/>
          </w:tcPr>
          <w:p w14:paraId="28F5CD3E" w14:textId="77777777" w:rsidR="00C220B3" w:rsidRPr="00C220B3" w:rsidRDefault="00C220B3" w:rsidP="00C220B3">
            <w:pPr>
              <w:pStyle w:val="13"/>
              <w:ind w:firstLineChars="0" w:firstLine="0"/>
              <w:rPr>
                <w:sz w:val="18"/>
                <w:szCs w:val="18"/>
              </w:rPr>
            </w:pPr>
            <w:r w:rsidRPr="00C220B3">
              <w:rPr>
                <w:rFonts w:hint="eastAsia"/>
                <w:sz w:val="18"/>
                <w:szCs w:val="18"/>
              </w:rPr>
              <w:t>25%</w:t>
            </w:r>
          </w:p>
        </w:tc>
        <w:tc>
          <w:tcPr>
            <w:tcW w:w="1507" w:type="pct"/>
            <w:vAlign w:val="center"/>
          </w:tcPr>
          <w:p w14:paraId="78CF956B" w14:textId="77777777" w:rsidR="00C220B3" w:rsidRPr="00C220B3" w:rsidRDefault="00C220B3" w:rsidP="00C220B3">
            <w:pPr>
              <w:pStyle w:val="13"/>
              <w:ind w:firstLineChars="0" w:firstLine="0"/>
              <w:rPr>
                <w:sz w:val="18"/>
                <w:szCs w:val="18"/>
              </w:rPr>
            </w:pPr>
            <w:r w:rsidRPr="00C220B3">
              <w:rPr>
                <w:rFonts w:hint="eastAsia"/>
                <w:sz w:val="18"/>
                <w:szCs w:val="18"/>
              </w:rPr>
              <w:t>一致，无需调整</w:t>
            </w:r>
          </w:p>
        </w:tc>
      </w:tr>
      <w:tr w:rsidR="00C220B3" w:rsidRPr="00C220B3" w14:paraId="77410D57" w14:textId="77777777" w:rsidTr="007A3C56">
        <w:tc>
          <w:tcPr>
            <w:tcW w:w="476" w:type="pct"/>
            <w:vAlign w:val="center"/>
          </w:tcPr>
          <w:p w14:paraId="083FEB7D" w14:textId="77777777" w:rsidR="00C220B3" w:rsidRPr="00C220B3" w:rsidRDefault="00C220B3" w:rsidP="00C220B3">
            <w:pPr>
              <w:pStyle w:val="13"/>
              <w:ind w:firstLineChars="0" w:firstLine="0"/>
              <w:jc w:val="center"/>
              <w:rPr>
                <w:sz w:val="18"/>
                <w:szCs w:val="18"/>
              </w:rPr>
            </w:pPr>
            <w:r w:rsidRPr="00C220B3">
              <w:rPr>
                <w:rFonts w:hint="eastAsia"/>
                <w:sz w:val="18"/>
                <w:szCs w:val="18"/>
              </w:rPr>
              <w:t>投资回报率</w:t>
            </w:r>
          </w:p>
        </w:tc>
        <w:tc>
          <w:tcPr>
            <w:tcW w:w="1634" w:type="pct"/>
          </w:tcPr>
          <w:p w14:paraId="1739C0ED" w14:textId="77777777" w:rsidR="00C220B3" w:rsidRPr="00C220B3" w:rsidRDefault="00C220B3" w:rsidP="00E04C89">
            <w:pPr>
              <w:pStyle w:val="13"/>
              <w:ind w:firstLineChars="0" w:firstLine="0"/>
              <w:jc w:val="center"/>
              <w:rPr>
                <w:sz w:val="18"/>
                <w:szCs w:val="18"/>
              </w:rPr>
            </w:pPr>
            <w:r w:rsidRPr="00C220B3">
              <w:rPr>
                <w:rFonts w:hint="eastAsia"/>
                <w:sz w:val="18"/>
                <w:szCs w:val="18"/>
              </w:rPr>
              <w:t>2013—2017</w:t>
            </w:r>
          </w:p>
          <w:p w14:paraId="1DAB0583" w14:textId="77777777" w:rsidR="00C220B3" w:rsidRPr="00C220B3" w:rsidRDefault="00C220B3" w:rsidP="00E04C89">
            <w:pPr>
              <w:pStyle w:val="13"/>
              <w:ind w:firstLineChars="0" w:firstLine="0"/>
              <w:jc w:val="center"/>
              <w:rPr>
                <w:sz w:val="18"/>
                <w:szCs w:val="18"/>
              </w:rPr>
            </w:pPr>
            <w:r w:rsidRPr="00C220B3">
              <w:rPr>
                <w:rFonts w:hint="eastAsia"/>
                <w:sz w:val="18"/>
                <w:szCs w:val="18"/>
              </w:rPr>
              <w:t>5.1%—5.5%</w:t>
            </w:r>
          </w:p>
          <w:p w14:paraId="44FF3C05" w14:textId="77777777" w:rsidR="00C220B3" w:rsidRPr="00C220B3" w:rsidRDefault="00C220B3" w:rsidP="00C220B3">
            <w:pPr>
              <w:pStyle w:val="13"/>
              <w:ind w:firstLineChars="0" w:firstLine="0"/>
              <w:rPr>
                <w:sz w:val="18"/>
                <w:szCs w:val="18"/>
              </w:rPr>
            </w:pPr>
            <w:r w:rsidRPr="00C220B3">
              <w:rPr>
                <w:rFonts w:hint="eastAsia"/>
                <w:sz w:val="18"/>
                <w:szCs w:val="18"/>
              </w:rPr>
              <w:t>投资收益中豁免所得税的比例，从2013 年的14%，逐年改变到2018 年的17%，之后保持不变；假设的</w:t>
            </w:r>
            <w:r w:rsidRPr="00C220B3">
              <w:rPr>
                <w:rFonts w:hint="eastAsia"/>
                <w:sz w:val="18"/>
                <w:szCs w:val="18"/>
              </w:rPr>
              <w:lastRenderedPageBreak/>
              <w:t>投资回报率和投资收益中豁免所得税的比例是基于公司的战略资产组合和预期未来回报设定的。</w:t>
            </w:r>
          </w:p>
        </w:tc>
        <w:tc>
          <w:tcPr>
            <w:tcW w:w="1382" w:type="pct"/>
          </w:tcPr>
          <w:p w14:paraId="0EAE65F5" w14:textId="77777777" w:rsidR="00C220B3" w:rsidRPr="00C220B3" w:rsidRDefault="00C220B3" w:rsidP="00C220B3">
            <w:pPr>
              <w:pStyle w:val="13"/>
              <w:ind w:firstLineChars="0" w:firstLine="0"/>
              <w:rPr>
                <w:sz w:val="18"/>
                <w:szCs w:val="18"/>
              </w:rPr>
            </w:pPr>
            <w:r w:rsidRPr="00C220B3">
              <w:rPr>
                <w:rFonts w:hint="eastAsia"/>
                <w:sz w:val="18"/>
                <w:szCs w:val="18"/>
              </w:rPr>
              <w:lastRenderedPageBreak/>
              <w:t>公司年报未披露</w:t>
            </w:r>
          </w:p>
        </w:tc>
        <w:tc>
          <w:tcPr>
            <w:tcW w:w="1507" w:type="pct"/>
          </w:tcPr>
          <w:p w14:paraId="538A2F2F" w14:textId="77777777" w:rsidR="00C220B3" w:rsidRPr="00C220B3" w:rsidRDefault="00C220B3" w:rsidP="00C220B3">
            <w:pPr>
              <w:pStyle w:val="13"/>
              <w:ind w:firstLineChars="0" w:firstLine="0"/>
              <w:rPr>
                <w:sz w:val="18"/>
                <w:szCs w:val="18"/>
              </w:rPr>
            </w:pPr>
            <w:r w:rsidRPr="00C220B3">
              <w:rPr>
                <w:rFonts w:hint="eastAsia"/>
                <w:sz w:val="18"/>
                <w:szCs w:val="18"/>
              </w:rPr>
              <w:t>需要从被评估公司获取相应资料，核实是否一致，若有差异，需要将内含价值计算采用的投资收益率进行调整</w:t>
            </w:r>
          </w:p>
        </w:tc>
      </w:tr>
      <w:tr w:rsidR="00C220B3" w:rsidRPr="00C220B3" w14:paraId="5950B746" w14:textId="77777777" w:rsidTr="007A3C56">
        <w:tc>
          <w:tcPr>
            <w:tcW w:w="476" w:type="pct"/>
            <w:vAlign w:val="center"/>
          </w:tcPr>
          <w:p w14:paraId="15A9B8B2" w14:textId="77777777" w:rsidR="00C220B3" w:rsidRPr="00C220B3" w:rsidRDefault="00C220B3" w:rsidP="00C220B3">
            <w:pPr>
              <w:pStyle w:val="13"/>
              <w:ind w:firstLineChars="0" w:firstLine="0"/>
              <w:jc w:val="center"/>
              <w:rPr>
                <w:sz w:val="18"/>
                <w:szCs w:val="18"/>
              </w:rPr>
            </w:pPr>
            <w:r w:rsidRPr="00C220B3">
              <w:rPr>
                <w:rFonts w:hint="eastAsia"/>
                <w:sz w:val="18"/>
                <w:szCs w:val="18"/>
              </w:rPr>
              <w:t>折现率</w:t>
            </w:r>
          </w:p>
        </w:tc>
        <w:tc>
          <w:tcPr>
            <w:tcW w:w="1634" w:type="pct"/>
          </w:tcPr>
          <w:p w14:paraId="2B1F4255" w14:textId="77777777" w:rsidR="00C220B3" w:rsidRPr="00C220B3" w:rsidRDefault="00C220B3" w:rsidP="00C220B3">
            <w:pPr>
              <w:pStyle w:val="13"/>
              <w:ind w:firstLineChars="0" w:firstLine="0"/>
              <w:rPr>
                <w:sz w:val="18"/>
                <w:szCs w:val="18"/>
              </w:rPr>
            </w:pPr>
            <w:r w:rsidRPr="00C220B3">
              <w:rPr>
                <w:rFonts w:hint="eastAsia"/>
                <w:sz w:val="18"/>
                <w:szCs w:val="18"/>
              </w:rPr>
              <w:t>内含价值中的</w:t>
            </w:r>
            <w:proofErr w:type="gramStart"/>
            <w:r w:rsidRPr="00C220B3">
              <w:rPr>
                <w:rFonts w:hint="eastAsia"/>
                <w:sz w:val="18"/>
                <w:szCs w:val="18"/>
              </w:rPr>
              <w:t>有效业务</w:t>
            </w:r>
            <w:proofErr w:type="gramEnd"/>
            <w:r w:rsidRPr="00C220B3">
              <w:rPr>
                <w:rFonts w:hint="eastAsia"/>
                <w:sz w:val="18"/>
                <w:szCs w:val="18"/>
              </w:rPr>
              <w:t>现值与一年新业务价值采用相同折现率，即风险调整后折现率11%。</w:t>
            </w:r>
          </w:p>
          <w:p w14:paraId="69407D29" w14:textId="77777777" w:rsidR="00C220B3" w:rsidRPr="00C220B3" w:rsidRDefault="00C220B3" w:rsidP="00C220B3">
            <w:pPr>
              <w:pStyle w:val="13"/>
              <w:ind w:firstLineChars="0" w:firstLine="0"/>
              <w:rPr>
                <w:sz w:val="18"/>
                <w:szCs w:val="18"/>
              </w:rPr>
            </w:pPr>
            <w:r w:rsidRPr="00C220B3">
              <w:rPr>
                <w:rFonts w:hint="eastAsia"/>
                <w:sz w:val="18"/>
                <w:szCs w:val="18"/>
              </w:rPr>
              <w:t>折现率=无风险利率+风险调整值。</w:t>
            </w:r>
          </w:p>
          <w:p w14:paraId="6A0E7644" w14:textId="77777777" w:rsidR="00C220B3" w:rsidRPr="00C220B3" w:rsidRDefault="00C220B3" w:rsidP="00C220B3">
            <w:pPr>
              <w:pStyle w:val="13"/>
              <w:ind w:firstLineChars="0" w:firstLine="0"/>
              <w:rPr>
                <w:sz w:val="18"/>
                <w:szCs w:val="18"/>
              </w:rPr>
            </w:pPr>
            <w:r w:rsidRPr="00C220B3">
              <w:rPr>
                <w:rFonts w:hint="eastAsia"/>
                <w:sz w:val="18"/>
                <w:szCs w:val="18"/>
              </w:rPr>
              <w:t>根据《人身保险内含价值报告编制指引》（保监发2005</w:t>
            </w:r>
            <w:proofErr w:type="gramStart"/>
            <w:r w:rsidRPr="00C220B3">
              <w:rPr>
                <w:rFonts w:hint="eastAsia"/>
                <w:sz w:val="18"/>
                <w:szCs w:val="18"/>
              </w:rPr>
              <w:t>〕</w:t>
            </w:r>
            <w:proofErr w:type="gramEnd"/>
            <w:r w:rsidRPr="00C220B3">
              <w:rPr>
                <w:rFonts w:hint="eastAsia"/>
                <w:sz w:val="18"/>
                <w:szCs w:val="18"/>
              </w:rPr>
              <w:t>83号）规定，风险调整反映了投资保证和保单持有人选择权的成本、资产负债不匹配的风险、信用风险、运营经验波动的风险和资本的经济成本。</w:t>
            </w:r>
          </w:p>
          <w:p w14:paraId="47DC0FE1" w14:textId="77777777" w:rsidR="00C220B3" w:rsidRPr="00C220B3" w:rsidRDefault="00C220B3" w:rsidP="00C220B3">
            <w:pPr>
              <w:pStyle w:val="13"/>
              <w:ind w:firstLineChars="0" w:firstLine="0"/>
              <w:rPr>
                <w:sz w:val="18"/>
                <w:szCs w:val="18"/>
              </w:rPr>
            </w:pPr>
            <w:r w:rsidRPr="00C220B3">
              <w:rPr>
                <w:rFonts w:hint="eastAsia"/>
                <w:sz w:val="18"/>
                <w:szCs w:val="18"/>
              </w:rPr>
              <w:t>保险公司应当根据十年期国债收益率确定采用的无风险利率。</w:t>
            </w:r>
          </w:p>
          <w:p w14:paraId="605A0A45" w14:textId="77777777" w:rsidR="00C220B3" w:rsidRPr="00C220B3" w:rsidRDefault="00C220B3" w:rsidP="00C220B3">
            <w:pPr>
              <w:pStyle w:val="13"/>
              <w:ind w:firstLineChars="0" w:firstLine="0"/>
              <w:rPr>
                <w:sz w:val="18"/>
                <w:szCs w:val="18"/>
              </w:rPr>
            </w:pPr>
            <w:r w:rsidRPr="00C220B3">
              <w:rPr>
                <w:rFonts w:hint="eastAsia"/>
                <w:sz w:val="18"/>
                <w:szCs w:val="18"/>
              </w:rPr>
              <w:t>保险公司应当根据自身的业务、市场和投资风险情况确定使用的风险额度。一般而言，保险公司使用的风险额度不应低于5%，不应高于10%。风险程度较高的保险公司，使用的风险额度可以高于10%。</w:t>
            </w:r>
          </w:p>
        </w:tc>
        <w:tc>
          <w:tcPr>
            <w:tcW w:w="1382" w:type="pct"/>
          </w:tcPr>
          <w:p w14:paraId="7948E99B" w14:textId="77777777" w:rsidR="00C220B3" w:rsidRPr="00C220B3" w:rsidRDefault="00C220B3" w:rsidP="00C220B3">
            <w:pPr>
              <w:pStyle w:val="13"/>
              <w:ind w:firstLineChars="0" w:firstLine="0"/>
              <w:rPr>
                <w:sz w:val="18"/>
                <w:szCs w:val="18"/>
              </w:rPr>
            </w:pPr>
            <w:r w:rsidRPr="00C220B3">
              <w:rPr>
                <w:rFonts w:hint="eastAsia"/>
                <w:sz w:val="18"/>
                <w:szCs w:val="18"/>
              </w:rPr>
              <w:t>折现率由无风险利率与风险调整值构成。即折现率=无风险利率+风险调整值。但风险调整内容有差异。</w:t>
            </w:r>
          </w:p>
          <w:p w14:paraId="7D36D8C4" w14:textId="77777777" w:rsidR="00C220B3" w:rsidRPr="00C220B3" w:rsidRDefault="00C220B3" w:rsidP="00C220B3">
            <w:pPr>
              <w:pStyle w:val="13"/>
              <w:ind w:firstLineChars="0" w:firstLine="0"/>
              <w:rPr>
                <w:sz w:val="18"/>
                <w:szCs w:val="18"/>
              </w:rPr>
            </w:pPr>
            <w:r w:rsidRPr="00C220B3">
              <w:rPr>
                <w:rFonts w:hint="eastAsia"/>
                <w:sz w:val="18"/>
                <w:szCs w:val="18"/>
              </w:rPr>
              <w:t>根据“中国保监会关于印发《人身保险公司全面风险管理实施指引》的通知（保监发2010〕89号）”，寿险公司主要风险包括流动性风险、信用风险、市场风险、战略风险、保险风险、声誉风险、操作风险等内容。在确定寿险公司折现率时，需要考虑上述风险因素。</w:t>
            </w:r>
          </w:p>
          <w:p w14:paraId="3C26C1FA" w14:textId="77777777" w:rsidR="00C220B3" w:rsidRPr="00C220B3" w:rsidRDefault="00C220B3" w:rsidP="00C220B3">
            <w:pPr>
              <w:pStyle w:val="13"/>
              <w:ind w:firstLineChars="0" w:firstLine="0"/>
              <w:rPr>
                <w:sz w:val="18"/>
                <w:szCs w:val="18"/>
              </w:rPr>
            </w:pPr>
          </w:p>
        </w:tc>
        <w:tc>
          <w:tcPr>
            <w:tcW w:w="1507" w:type="pct"/>
          </w:tcPr>
          <w:p w14:paraId="35EC6784" w14:textId="77777777" w:rsidR="00C220B3" w:rsidRPr="00C220B3" w:rsidRDefault="00C220B3" w:rsidP="00C220B3">
            <w:pPr>
              <w:pStyle w:val="13"/>
              <w:ind w:firstLineChars="0" w:firstLine="0"/>
              <w:rPr>
                <w:b/>
                <w:sz w:val="18"/>
                <w:szCs w:val="18"/>
              </w:rPr>
            </w:pPr>
            <w:r w:rsidRPr="00C220B3">
              <w:rPr>
                <w:rFonts w:hint="eastAsia"/>
                <w:sz w:val="18"/>
                <w:szCs w:val="18"/>
              </w:rPr>
              <w:t>由于</w:t>
            </w:r>
            <w:proofErr w:type="gramStart"/>
            <w:r w:rsidRPr="00C220B3">
              <w:rPr>
                <w:rFonts w:hint="eastAsia"/>
                <w:sz w:val="18"/>
                <w:szCs w:val="18"/>
              </w:rPr>
              <w:t>有效业务</w:t>
            </w:r>
            <w:proofErr w:type="gramEnd"/>
            <w:r w:rsidRPr="00C220B3">
              <w:rPr>
                <w:rFonts w:hint="eastAsia"/>
                <w:sz w:val="18"/>
                <w:szCs w:val="18"/>
              </w:rPr>
              <w:t>现值与一年新业务价值均是针对已签保单未来年份利润，类似于应收账款，主要存在退保风险、死亡率风险和投资收益风险。因此采用内含价值调整方法时，对</w:t>
            </w:r>
            <w:proofErr w:type="gramStart"/>
            <w:r w:rsidRPr="00C220B3">
              <w:rPr>
                <w:rFonts w:hint="eastAsia"/>
                <w:sz w:val="18"/>
                <w:szCs w:val="18"/>
              </w:rPr>
              <w:t>有效业务</w:t>
            </w:r>
            <w:proofErr w:type="gramEnd"/>
            <w:r w:rsidRPr="00C220B3">
              <w:rPr>
                <w:rFonts w:hint="eastAsia"/>
                <w:sz w:val="18"/>
                <w:szCs w:val="18"/>
              </w:rPr>
              <w:t>现值与一年新业务价值计算采用的折现率，在充分了解其风险调整内容及考虑因素的情况下，</w:t>
            </w:r>
            <w:r w:rsidRPr="00C220B3">
              <w:rPr>
                <w:rFonts w:hint="eastAsia"/>
                <w:b/>
                <w:sz w:val="18"/>
                <w:szCs w:val="18"/>
              </w:rPr>
              <w:t>可以根据具体情况进行调整。</w:t>
            </w:r>
          </w:p>
          <w:p w14:paraId="494C08AC" w14:textId="77777777" w:rsidR="00C220B3" w:rsidRPr="00C220B3" w:rsidRDefault="00C220B3" w:rsidP="00C220B3">
            <w:pPr>
              <w:pStyle w:val="13"/>
              <w:ind w:firstLineChars="0" w:firstLine="0"/>
              <w:rPr>
                <w:sz w:val="18"/>
                <w:szCs w:val="18"/>
              </w:rPr>
            </w:pPr>
            <w:r w:rsidRPr="00C220B3">
              <w:rPr>
                <w:rFonts w:hint="eastAsia"/>
                <w:sz w:val="18"/>
                <w:szCs w:val="18"/>
              </w:rPr>
              <w:t>但对于持续经营的寿险公司整体，未来收益包含已签保单带来的贡献，也包含未签保单将带来的贡献。由于未售出保单利润能否实现的风险更高，即包含的风险项目更多。因此未来新业务价值的风险折现率与一般金融企业类似，要高于计算</w:t>
            </w:r>
            <w:proofErr w:type="gramStart"/>
            <w:r w:rsidRPr="00C220B3">
              <w:rPr>
                <w:rFonts w:hint="eastAsia"/>
                <w:sz w:val="18"/>
                <w:szCs w:val="18"/>
              </w:rPr>
              <w:t>有效业务</w:t>
            </w:r>
            <w:proofErr w:type="gramEnd"/>
            <w:r w:rsidRPr="00C220B3">
              <w:rPr>
                <w:rFonts w:hint="eastAsia"/>
                <w:sz w:val="18"/>
                <w:szCs w:val="18"/>
              </w:rPr>
              <w:t>现值和一年新业务价值的折现率。</w:t>
            </w:r>
          </w:p>
          <w:p w14:paraId="04F58089" w14:textId="77777777" w:rsidR="00C220B3" w:rsidRPr="00C220B3" w:rsidRDefault="00C220B3" w:rsidP="00C220B3">
            <w:pPr>
              <w:pStyle w:val="13"/>
              <w:ind w:firstLineChars="0" w:firstLine="0"/>
              <w:rPr>
                <w:b/>
                <w:sz w:val="18"/>
                <w:szCs w:val="18"/>
              </w:rPr>
            </w:pPr>
            <w:r w:rsidRPr="00C220B3">
              <w:rPr>
                <w:rFonts w:hint="eastAsia"/>
                <w:b/>
                <w:sz w:val="18"/>
                <w:szCs w:val="18"/>
              </w:rPr>
              <w:t>计算新业务乘数时，一般不能采用与计算</w:t>
            </w:r>
            <w:proofErr w:type="gramStart"/>
            <w:r w:rsidRPr="00C220B3">
              <w:rPr>
                <w:rFonts w:hint="eastAsia"/>
                <w:b/>
                <w:sz w:val="18"/>
                <w:szCs w:val="18"/>
              </w:rPr>
              <w:t>有效业务</w:t>
            </w:r>
            <w:proofErr w:type="gramEnd"/>
            <w:r w:rsidRPr="00C220B3">
              <w:rPr>
                <w:rFonts w:hint="eastAsia"/>
                <w:b/>
                <w:sz w:val="18"/>
                <w:szCs w:val="18"/>
              </w:rPr>
              <w:t>现值和一年新业务价值的折现率，应当采用较高折现率。</w:t>
            </w:r>
          </w:p>
        </w:tc>
      </w:tr>
      <w:tr w:rsidR="00C220B3" w:rsidRPr="00C220B3" w14:paraId="4F2DB51C" w14:textId="77777777" w:rsidTr="007A3C56">
        <w:tc>
          <w:tcPr>
            <w:tcW w:w="476" w:type="pct"/>
            <w:vAlign w:val="center"/>
          </w:tcPr>
          <w:p w14:paraId="0893D86B" w14:textId="77777777" w:rsidR="00C220B3" w:rsidRPr="00C220B3" w:rsidRDefault="00C220B3" w:rsidP="00C220B3">
            <w:pPr>
              <w:pStyle w:val="13"/>
              <w:ind w:firstLineChars="0" w:firstLine="0"/>
              <w:jc w:val="center"/>
              <w:rPr>
                <w:sz w:val="18"/>
                <w:szCs w:val="18"/>
              </w:rPr>
            </w:pPr>
            <w:r w:rsidRPr="00C220B3">
              <w:rPr>
                <w:rFonts w:hint="eastAsia"/>
                <w:sz w:val="18"/>
                <w:szCs w:val="18"/>
              </w:rPr>
              <w:t>死亡率、</w:t>
            </w:r>
          </w:p>
          <w:p w14:paraId="2AE22823" w14:textId="77777777" w:rsidR="00C220B3" w:rsidRPr="00C220B3" w:rsidRDefault="00C220B3" w:rsidP="00C220B3">
            <w:pPr>
              <w:pStyle w:val="13"/>
              <w:ind w:firstLineChars="0" w:firstLine="0"/>
              <w:jc w:val="center"/>
              <w:rPr>
                <w:sz w:val="18"/>
                <w:szCs w:val="18"/>
              </w:rPr>
            </w:pPr>
            <w:r w:rsidRPr="00C220B3">
              <w:rPr>
                <w:rFonts w:hint="eastAsia"/>
                <w:sz w:val="18"/>
                <w:szCs w:val="18"/>
              </w:rPr>
              <w:t>发病率</w:t>
            </w:r>
          </w:p>
        </w:tc>
        <w:tc>
          <w:tcPr>
            <w:tcW w:w="1634" w:type="pct"/>
          </w:tcPr>
          <w:p w14:paraId="412A8116" w14:textId="77777777" w:rsidR="00C220B3" w:rsidRPr="00C220B3" w:rsidRDefault="00C220B3" w:rsidP="00C220B3">
            <w:pPr>
              <w:pStyle w:val="13"/>
              <w:ind w:firstLineChars="0" w:firstLine="0"/>
              <w:rPr>
                <w:sz w:val="18"/>
                <w:szCs w:val="18"/>
              </w:rPr>
            </w:pPr>
            <w:r w:rsidRPr="00C220B3">
              <w:rPr>
                <w:rFonts w:hint="eastAsia"/>
                <w:sz w:val="18"/>
                <w:szCs w:val="18"/>
              </w:rPr>
              <w:t>内含价值报告披露“死亡率、发病率、退保率和费用率等运营假设综合考虑了本公司最新的运营经验和未来预期等因素。”，但无其他具</w:t>
            </w:r>
            <w:r w:rsidRPr="00C220B3">
              <w:rPr>
                <w:rFonts w:hint="eastAsia"/>
                <w:sz w:val="18"/>
                <w:szCs w:val="18"/>
              </w:rPr>
              <w:lastRenderedPageBreak/>
              <w:t>体说明。</w:t>
            </w:r>
          </w:p>
          <w:p w14:paraId="16A6EF94" w14:textId="77777777" w:rsidR="00C220B3" w:rsidRPr="00C220B3" w:rsidRDefault="00C220B3" w:rsidP="00C220B3">
            <w:pPr>
              <w:pStyle w:val="13"/>
              <w:ind w:firstLineChars="0" w:firstLine="0"/>
              <w:rPr>
                <w:sz w:val="18"/>
                <w:szCs w:val="18"/>
              </w:rPr>
            </w:pPr>
            <w:r w:rsidRPr="00C220B3">
              <w:rPr>
                <w:rFonts w:hint="eastAsia"/>
                <w:sz w:val="18"/>
                <w:szCs w:val="18"/>
              </w:rPr>
              <w:t>根据《人身保险内含价值报告编制指引》（保监发2005</w:t>
            </w:r>
            <w:proofErr w:type="gramStart"/>
            <w:r w:rsidRPr="00C220B3">
              <w:rPr>
                <w:rFonts w:hint="eastAsia"/>
                <w:sz w:val="18"/>
                <w:szCs w:val="18"/>
              </w:rPr>
              <w:t>〕</w:t>
            </w:r>
            <w:proofErr w:type="gramEnd"/>
            <w:r w:rsidRPr="00C220B3">
              <w:rPr>
                <w:rFonts w:hint="eastAsia"/>
                <w:sz w:val="18"/>
                <w:szCs w:val="18"/>
              </w:rPr>
              <w:t>83号）规定，死亡率、失效率、残疾率、其他事故发生率应当使用最佳估计，根据历史经验和未来趋势确定，并与其他预测假设一致。</w:t>
            </w:r>
          </w:p>
        </w:tc>
        <w:tc>
          <w:tcPr>
            <w:tcW w:w="1382" w:type="pct"/>
          </w:tcPr>
          <w:p w14:paraId="1D41B84A" w14:textId="77777777" w:rsidR="00C220B3" w:rsidRPr="00C220B3" w:rsidRDefault="00C220B3" w:rsidP="00C220B3">
            <w:pPr>
              <w:pStyle w:val="13"/>
              <w:ind w:firstLineChars="0" w:firstLine="0"/>
              <w:rPr>
                <w:sz w:val="18"/>
                <w:szCs w:val="18"/>
              </w:rPr>
            </w:pPr>
            <w:r w:rsidRPr="00C220B3">
              <w:rPr>
                <w:rFonts w:hint="eastAsia"/>
                <w:sz w:val="18"/>
                <w:szCs w:val="18"/>
              </w:rPr>
              <w:lastRenderedPageBreak/>
              <w:t>年度财务报告披露“本集团根据xx人寿保险业2000-2003 年经验生命表确定死亡率假设，并作适当调整以</w:t>
            </w:r>
            <w:r w:rsidRPr="00C220B3">
              <w:rPr>
                <w:rFonts w:hint="eastAsia"/>
                <w:sz w:val="18"/>
                <w:szCs w:val="18"/>
              </w:rPr>
              <w:lastRenderedPageBreak/>
              <w:t>反映本集团长期的历史死亡率经验。</w:t>
            </w:r>
          </w:p>
          <w:p w14:paraId="7D47B935" w14:textId="77777777" w:rsidR="00C220B3" w:rsidRPr="00C220B3" w:rsidRDefault="00C220B3" w:rsidP="00C220B3">
            <w:pPr>
              <w:pStyle w:val="13"/>
              <w:ind w:firstLineChars="0" w:firstLine="0"/>
              <w:rPr>
                <w:sz w:val="18"/>
                <w:szCs w:val="18"/>
              </w:rPr>
            </w:pPr>
            <w:r w:rsidRPr="00C220B3">
              <w:rPr>
                <w:rFonts w:hint="eastAsia"/>
                <w:sz w:val="18"/>
                <w:szCs w:val="18"/>
              </w:rPr>
              <w:t>本集团根据对历史经验的分析和对未来发展的预测来确定重大疾病保险的发病率假设。</w:t>
            </w:r>
          </w:p>
          <w:p w14:paraId="43992DA6" w14:textId="77777777" w:rsidR="00C220B3" w:rsidRPr="00C220B3" w:rsidRDefault="00C220B3" w:rsidP="00C220B3">
            <w:pPr>
              <w:pStyle w:val="13"/>
              <w:ind w:firstLineChars="0" w:firstLine="0"/>
              <w:rPr>
                <w:sz w:val="18"/>
                <w:szCs w:val="18"/>
              </w:rPr>
            </w:pPr>
            <w:r w:rsidRPr="00C220B3">
              <w:rPr>
                <w:rFonts w:hint="eastAsia"/>
                <w:sz w:val="18"/>
                <w:szCs w:val="18"/>
              </w:rPr>
              <w:t>本集团使用的死亡率和发病率的假设考虑了风险边际。”</w:t>
            </w:r>
          </w:p>
        </w:tc>
        <w:tc>
          <w:tcPr>
            <w:tcW w:w="1507" w:type="pct"/>
          </w:tcPr>
          <w:p w14:paraId="66791BD5" w14:textId="77777777" w:rsidR="00C220B3" w:rsidRPr="00C220B3" w:rsidRDefault="00C220B3" w:rsidP="00C220B3">
            <w:pPr>
              <w:pStyle w:val="13"/>
              <w:ind w:firstLineChars="0" w:firstLine="0"/>
              <w:rPr>
                <w:sz w:val="18"/>
                <w:szCs w:val="18"/>
              </w:rPr>
            </w:pPr>
            <w:r w:rsidRPr="00C220B3">
              <w:rPr>
                <w:rFonts w:hint="eastAsia"/>
                <w:sz w:val="18"/>
                <w:szCs w:val="18"/>
              </w:rPr>
              <w:lastRenderedPageBreak/>
              <w:t>核实死亡率、发病率假设是否一致。由于内含价值是基于法定会计准则，采用准清算假设，即假设公司未来不再接受新业</w:t>
            </w:r>
            <w:r w:rsidRPr="00C220B3">
              <w:rPr>
                <w:rFonts w:hint="eastAsia"/>
                <w:sz w:val="18"/>
                <w:szCs w:val="18"/>
              </w:rPr>
              <w:lastRenderedPageBreak/>
              <w:t>务，只管理已有保单至保险合同结束。资产评估及会计准则是持续经营假设。基于不同假设，各种比率可能会存在差异。如果有差异，需要根据具体情况进行调整。</w:t>
            </w:r>
          </w:p>
        </w:tc>
      </w:tr>
      <w:tr w:rsidR="00C220B3" w:rsidRPr="00C220B3" w14:paraId="40D6E8B9" w14:textId="77777777" w:rsidTr="007A3C56">
        <w:tc>
          <w:tcPr>
            <w:tcW w:w="476" w:type="pct"/>
            <w:vAlign w:val="center"/>
          </w:tcPr>
          <w:p w14:paraId="2789E13E" w14:textId="77777777" w:rsidR="00C220B3" w:rsidRPr="00C220B3" w:rsidRDefault="00C220B3" w:rsidP="00C220B3">
            <w:pPr>
              <w:pStyle w:val="13"/>
              <w:ind w:firstLineChars="0" w:firstLine="0"/>
              <w:jc w:val="center"/>
              <w:rPr>
                <w:sz w:val="18"/>
                <w:szCs w:val="18"/>
              </w:rPr>
            </w:pPr>
            <w:r w:rsidRPr="00C220B3">
              <w:rPr>
                <w:rFonts w:hint="eastAsia"/>
                <w:sz w:val="18"/>
                <w:szCs w:val="18"/>
              </w:rPr>
              <w:lastRenderedPageBreak/>
              <w:t>退保率</w:t>
            </w:r>
          </w:p>
        </w:tc>
        <w:tc>
          <w:tcPr>
            <w:tcW w:w="1634" w:type="pct"/>
          </w:tcPr>
          <w:p w14:paraId="6F92DAD7" w14:textId="77777777" w:rsidR="00C220B3" w:rsidRPr="00C220B3" w:rsidRDefault="00C220B3" w:rsidP="00C220B3">
            <w:pPr>
              <w:pStyle w:val="13"/>
              <w:ind w:firstLineChars="0" w:firstLine="0"/>
              <w:rPr>
                <w:sz w:val="18"/>
                <w:szCs w:val="18"/>
              </w:rPr>
            </w:pPr>
            <w:r w:rsidRPr="00C220B3">
              <w:rPr>
                <w:rFonts w:hint="eastAsia"/>
                <w:sz w:val="18"/>
                <w:szCs w:val="18"/>
              </w:rPr>
              <w:t>内含价值报告披露“死亡率、发病率、退保率和费用率等运营假设综合考虑了本公司最新的运营经验和未来预期等因素。”，但无其他具体说明。</w:t>
            </w:r>
          </w:p>
        </w:tc>
        <w:tc>
          <w:tcPr>
            <w:tcW w:w="1382" w:type="pct"/>
          </w:tcPr>
          <w:p w14:paraId="6FE269B5" w14:textId="77777777" w:rsidR="00C220B3" w:rsidRPr="00C220B3" w:rsidRDefault="00C220B3" w:rsidP="00C220B3">
            <w:pPr>
              <w:pStyle w:val="13"/>
              <w:ind w:firstLineChars="0" w:firstLine="0"/>
              <w:rPr>
                <w:sz w:val="18"/>
                <w:szCs w:val="18"/>
              </w:rPr>
            </w:pPr>
            <w:r w:rsidRPr="00C220B3">
              <w:rPr>
                <w:rFonts w:hint="eastAsia"/>
                <w:sz w:val="18"/>
                <w:szCs w:val="18"/>
              </w:rPr>
              <w:t>年度财务报告披露“退保率假设受未来宏观经济、可替代金融工具、市场竞争等因素影响，存在不确定性。本集团根据过去可信赖的经验、当前状况和对未来的预期为基础，确定退保率假设。”</w:t>
            </w:r>
          </w:p>
        </w:tc>
        <w:tc>
          <w:tcPr>
            <w:tcW w:w="1507" w:type="pct"/>
          </w:tcPr>
          <w:p w14:paraId="5BFE2B7B" w14:textId="77777777" w:rsidR="00C220B3" w:rsidRPr="00C220B3" w:rsidRDefault="00C220B3" w:rsidP="00C220B3">
            <w:pPr>
              <w:pStyle w:val="13"/>
              <w:ind w:firstLineChars="0" w:firstLine="0"/>
              <w:rPr>
                <w:sz w:val="18"/>
                <w:szCs w:val="18"/>
              </w:rPr>
            </w:pPr>
            <w:r w:rsidRPr="00C220B3">
              <w:rPr>
                <w:rFonts w:hint="eastAsia"/>
                <w:sz w:val="18"/>
                <w:szCs w:val="18"/>
              </w:rPr>
              <w:t>同上</w:t>
            </w:r>
          </w:p>
        </w:tc>
      </w:tr>
      <w:tr w:rsidR="00C220B3" w:rsidRPr="00C220B3" w14:paraId="1FCEE291" w14:textId="77777777" w:rsidTr="007A3C56">
        <w:tc>
          <w:tcPr>
            <w:tcW w:w="476" w:type="pct"/>
            <w:vAlign w:val="center"/>
          </w:tcPr>
          <w:p w14:paraId="0FAACF49" w14:textId="77777777" w:rsidR="00C220B3" w:rsidRPr="00C220B3" w:rsidRDefault="00C220B3" w:rsidP="00C220B3">
            <w:pPr>
              <w:pStyle w:val="13"/>
              <w:ind w:firstLineChars="0" w:firstLine="0"/>
              <w:jc w:val="center"/>
              <w:rPr>
                <w:sz w:val="18"/>
                <w:szCs w:val="18"/>
              </w:rPr>
            </w:pPr>
            <w:r w:rsidRPr="00C220B3">
              <w:rPr>
                <w:rFonts w:hint="eastAsia"/>
                <w:sz w:val="18"/>
                <w:szCs w:val="18"/>
              </w:rPr>
              <w:t>费用率</w:t>
            </w:r>
          </w:p>
        </w:tc>
        <w:tc>
          <w:tcPr>
            <w:tcW w:w="1634" w:type="pct"/>
          </w:tcPr>
          <w:p w14:paraId="26DEE156" w14:textId="77777777" w:rsidR="00C220B3" w:rsidRPr="00C220B3" w:rsidRDefault="00C220B3" w:rsidP="00C220B3">
            <w:pPr>
              <w:pStyle w:val="13"/>
              <w:ind w:firstLineChars="0" w:firstLine="0"/>
              <w:rPr>
                <w:sz w:val="18"/>
                <w:szCs w:val="18"/>
              </w:rPr>
            </w:pPr>
            <w:r w:rsidRPr="00C220B3">
              <w:rPr>
                <w:rFonts w:hint="eastAsia"/>
                <w:sz w:val="18"/>
                <w:szCs w:val="18"/>
              </w:rPr>
              <w:t>内含价值报告披露“死亡率、发病率、退保率和费用率等运营假设综合考虑了本公司最新的运营经验和未来预期等因素。”，但无其他具体说明。</w:t>
            </w:r>
          </w:p>
        </w:tc>
        <w:tc>
          <w:tcPr>
            <w:tcW w:w="1382" w:type="pct"/>
          </w:tcPr>
          <w:p w14:paraId="4F777476" w14:textId="77777777" w:rsidR="00C220B3" w:rsidRPr="00C220B3" w:rsidRDefault="00C220B3" w:rsidP="00C220B3">
            <w:pPr>
              <w:pStyle w:val="13"/>
              <w:ind w:firstLineChars="0" w:firstLine="0"/>
              <w:rPr>
                <w:sz w:val="18"/>
                <w:szCs w:val="18"/>
              </w:rPr>
            </w:pPr>
            <w:r w:rsidRPr="00C220B3">
              <w:rPr>
                <w:rFonts w:hint="eastAsia"/>
                <w:sz w:val="18"/>
                <w:szCs w:val="18"/>
              </w:rPr>
              <w:t>年度财务报告披露“费用假设基于预计的保单单位成本，考虑以往的费用分析和未来的发展变化趋势确定。费用假设受未来通货膨胀和市场竞争等因素影响，存在不确定性。本集团考虑风险边际因素，以资产负债表日可获取的当前信息为基础确定费用假设。”（具体数据略）</w:t>
            </w:r>
          </w:p>
        </w:tc>
        <w:tc>
          <w:tcPr>
            <w:tcW w:w="1507" w:type="pct"/>
          </w:tcPr>
          <w:p w14:paraId="34BBB300" w14:textId="77777777" w:rsidR="00C220B3" w:rsidRPr="00C220B3" w:rsidRDefault="00C220B3" w:rsidP="00C220B3">
            <w:pPr>
              <w:pStyle w:val="13"/>
              <w:ind w:firstLineChars="0" w:firstLine="0"/>
              <w:rPr>
                <w:sz w:val="18"/>
                <w:szCs w:val="18"/>
              </w:rPr>
            </w:pPr>
            <w:r w:rsidRPr="00C220B3">
              <w:rPr>
                <w:rFonts w:hint="eastAsia"/>
                <w:sz w:val="18"/>
                <w:szCs w:val="18"/>
              </w:rPr>
              <w:t>同上</w:t>
            </w:r>
          </w:p>
        </w:tc>
      </w:tr>
    </w:tbl>
    <w:p w14:paraId="6C47DE47" w14:textId="77777777" w:rsidR="00E04C89" w:rsidRDefault="00E04C89" w:rsidP="00E04C89">
      <w:pPr>
        <w:pStyle w:val="13"/>
      </w:pPr>
      <w:r>
        <w:t>2.内含价值中各项</w:t>
      </w:r>
      <w:proofErr w:type="gramStart"/>
      <w:r>
        <w:t>目构成</w:t>
      </w:r>
      <w:proofErr w:type="gramEnd"/>
      <w:r>
        <w:t>及调整</w:t>
      </w:r>
    </w:p>
    <w:p w14:paraId="1C273578" w14:textId="77777777" w:rsidR="00E04C89" w:rsidRDefault="00E04C89" w:rsidP="00E04C89">
      <w:pPr>
        <w:pStyle w:val="13"/>
      </w:pPr>
      <w:r>
        <w:t>2.1</w:t>
      </w:r>
      <w:proofErr w:type="gramStart"/>
      <w:r>
        <w:t>有效业务</w:t>
      </w:r>
      <w:proofErr w:type="gramEnd"/>
      <w:r>
        <w:t>现值</w:t>
      </w:r>
    </w:p>
    <w:p w14:paraId="273AF0D2" w14:textId="77777777" w:rsidR="00E04C89" w:rsidRDefault="00E04C89" w:rsidP="00E04C89">
      <w:pPr>
        <w:pStyle w:val="13"/>
      </w:pPr>
      <w:r>
        <w:rPr>
          <w:rFonts w:hint="eastAsia"/>
        </w:rPr>
        <w:t>①基本公式</w:t>
      </w:r>
    </w:p>
    <w:p w14:paraId="1B3572EC" w14:textId="77777777" w:rsidR="00E04C89" w:rsidRDefault="00E04C89" w:rsidP="00E04C89">
      <w:pPr>
        <w:pStyle w:val="13"/>
      </w:pPr>
      <w:proofErr w:type="gramStart"/>
      <w:r>
        <w:rPr>
          <w:rFonts w:hint="eastAsia"/>
        </w:rPr>
        <w:t>有效业务</w:t>
      </w:r>
      <w:proofErr w:type="gramEnd"/>
      <w:r>
        <w:rPr>
          <w:rFonts w:hint="eastAsia"/>
        </w:rPr>
        <w:t>现值等于评估时点</w:t>
      </w:r>
      <w:proofErr w:type="gramStart"/>
      <w:r>
        <w:rPr>
          <w:rFonts w:hint="eastAsia"/>
        </w:rPr>
        <w:t>有效业务</w:t>
      </w:r>
      <w:proofErr w:type="gramEnd"/>
      <w:r>
        <w:rPr>
          <w:rFonts w:hint="eastAsia"/>
        </w:rPr>
        <w:t>未来法定税后利润用一定贴现率贴现后的现值。</w:t>
      </w:r>
    </w:p>
    <w:p w14:paraId="6C8677E9" w14:textId="77777777" w:rsidR="00E04C89" w:rsidRDefault="00E04C89" w:rsidP="00E04C89">
      <w:pPr>
        <w:pStyle w:val="13"/>
      </w:pPr>
      <w:r>
        <w:rPr>
          <w:rFonts w:hint="eastAsia"/>
        </w:rPr>
        <w:t>具体公式为：</w:t>
      </w:r>
    </w:p>
    <w:p w14:paraId="7F5B2039" w14:textId="7D1BE8A9" w:rsidR="00C220B3" w:rsidRDefault="00E04C89" w:rsidP="005A79E9">
      <w:pPr>
        <w:pStyle w:val="13"/>
        <w:ind w:firstLine="640"/>
      </w:pPr>
      <w:r>
        <w:rPr>
          <w:rFonts w:ascii="仿宋_GB2312" w:hint="eastAsia"/>
          <w:position w:val="-28"/>
          <w:sz w:val="32"/>
          <w:szCs w:val="32"/>
        </w:rPr>
        <w:object w:dxaOrig="1817" w:dyaOrig="687" w14:anchorId="1057386A">
          <v:shape id="_x0000_i1027" type="#_x0000_t75" style="width:101.25pt;height:39.75pt;mso-wrap-style:square;mso-position-horizontal-relative:page;mso-position-vertical-relative:page" o:ole="">
            <v:imagedata r:id="rId50" o:title=""/>
          </v:shape>
          <o:OLEObject Type="Embed" ProgID="Equation.3" ShapeID="_x0000_i1027" DrawAspect="Content" ObjectID="_1728719971" r:id="rId51"/>
        </w:object>
      </w:r>
    </w:p>
    <w:p w14:paraId="5F40A0E5" w14:textId="77777777" w:rsidR="00E04C89" w:rsidRDefault="00E04C89" w:rsidP="00E04C89">
      <w:pPr>
        <w:pStyle w:val="13"/>
      </w:pPr>
      <w:r>
        <w:rPr>
          <w:rFonts w:hint="eastAsia"/>
        </w:rPr>
        <w:t>式中：</w:t>
      </w:r>
    </w:p>
    <w:p w14:paraId="4D696D32" w14:textId="77777777" w:rsidR="00E04C89" w:rsidRDefault="00E04C89" w:rsidP="00E04C89">
      <w:pPr>
        <w:pStyle w:val="13"/>
        <w:ind w:firstLineChars="400" w:firstLine="960"/>
      </w:pPr>
      <w:r>
        <w:t>VBIF</w:t>
      </w:r>
      <w:proofErr w:type="gramStart"/>
      <w:r>
        <w:t>—有效业务</w:t>
      </w:r>
      <w:proofErr w:type="gramEnd"/>
      <w:r>
        <w:t>现值</w:t>
      </w:r>
    </w:p>
    <w:p w14:paraId="608F089B" w14:textId="77777777" w:rsidR="00E04C89" w:rsidRDefault="00E04C89" w:rsidP="00E04C89">
      <w:pPr>
        <w:pStyle w:val="13"/>
        <w:ind w:firstLineChars="400" w:firstLine="960"/>
      </w:pPr>
      <w:proofErr w:type="spellStart"/>
      <w:r>
        <w:t>Profti</w:t>
      </w:r>
      <w:proofErr w:type="spellEnd"/>
      <w:r>
        <w:t>—未来第</w:t>
      </w:r>
      <w:proofErr w:type="spellStart"/>
      <w:r>
        <w:t>i</w:t>
      </w:r>
      <w:proofErr w:type="spellEnd"/>
      <w:r>
        <w:t>年的预测法定税后利润</w:t>
      </w:r>
    </w:p>
    <w:p w14:paraId="6A49FC4C" w14:textId="77777777" w:rsidR="00E04C89" w:rsidRDefault="00E04C89" w:rsidP="00E04C89">
      <w:pPr>
        <w:pStyle w:val="13"/>
        <w:ind w:firstLineChars="400" w:firstLine="960"/>
      </w:pPr>
      <w:r>
        <w:t>r—折现率</w:t>
      </w:r>
    </w:p>
    <w:p w14:paraId="4A5776A2" w14:textId="3360CF38" w:rsidR="00C220B3" w:rsidRDefault="00E04C89" w:rsidP="00E04C89">
      <w:pPr>
        <w:pStyle w:val="13"/>
        <w:ind w:firstLineChars="400" w:firstLine="960"/>
      </w:pPr>
      <w:proofErr w:type="spellStart"/>
      <w:r>
        <w:t>i</w:t>
      </w:r>
      <w:proofErr w:type="spellEnd"/>
      <w:r>
        <w:t>—收益年期，</w:t>
      </w:r>
      <w:proofErr w:type="spellStart"/>
      <w:r>
        <w:t>i</w:t>
      </w:r>
      <w:proofErr w:type="spellEnd"/>
      <w:r>
        <w:t>=1，2，3，……，n（通常到现有保单全部到期为止）</w:t>
      </w:r>
    </w:p>
    <w:p w14:paraId="06780B67" w14:textId="77777777" w:rsidR="00E04C89" w:rsidRDefault="00E04C89" w:rsidP="00E04C89">
      <w:pPr>
        <w:pStyle w:val="13"/>
      </w:pPr>
      <w:r>
        <w:rPr>
          <w:rFonts w:hint="eastAsia"/>
        </w:rPr>
        <w:t>其中：预测法定税后利润</w:t>
      </w:r>
      <w:r>
        <w:t>=保费收入+投资收入-退保支出-赔付支出-准备金提转差-费用支出-营业税金及附加-所得税-分红</w:t>
      </w:r>
    </w:p>
    <w:p w14:paraId="465A1D9F" w14:textId="77777777" w:rsidR="00E04C89" w:rsidRDefault="00E04C89" w:rsidP="00E04C89">
      <w:pPr>
        <w:pStyle w:val="13"/>
      </w:pPr>
      <w:r>
        <w:rPr>
          <w:rFonts w:hint="eastAsia"/>
        </w:rPr>
        <w:t>需要注意的是，法定税后利润是按照法定会计准则（即保监会要求的监管要求计算）要求计算各项收入、支出后得出的。</w:t>
      </w:r>
      <w:r>
        <w:t>2012年5月15日，财政部与国家税务总局发布了《关于保险公司准备金支出企业所得税税前扣除有关政策问题的通知》（财税〔2012〕45号），规定“保险公司按国务院财政部门的相关规定提取的未到期责任准备金、寿险责任准备金、长期健康险责任准备金、已发生已报案未决赔款准备金和已发生未报案未决赔款准备金，准予在税前扣除。</w:t>
      </w:r>
      <w:proofErr w:type="gramStart"/>
      <w:r>
        <w:t>”其中</w:t>
      </w:r>
      <w:proofErr w:type="gramEnd"/>
      <w:r>
        <w:t>“1.未到期责任准备金、寿险责任准备金、长期健康险责任准备金依据经中国保监会核准任职资格</w:t>
      </w:r>
      <w:r>
        <w:rPr>
          <w:rFonts w:hint="eastAsia"/>
        </w:rPr>
        <w:t>的精算师或出具专项审计报告的中介机构确定的金额提取。未到期责任准备金，是指保险人为尚未终止的非寿险保险责任提取的准备金。寿险责任准备金，是指保险人为尚未终止的人寿保险责任提取的准备金。长期健康险责任准备金，是指保险人为尚未终止的长期健康保险责任提取的准备金。</w:t>
      </w:r>
    </w:p>
    <w:p w14:paraId="73985034" w14:textId="0A2F473D" w:rsidR="00C220B3" w:rsidRDefault="00E04C89" w:rsidP="00E04C89">
      <w:pPr>
        <w:pStyle w:val="13"/>
      </w:pPr>
      <w:r>
        <w:rPr>
          <w:rFonts w:hint="eastAsia"/>
        </w:rPr>
        <w:t>即在法定准则报表中，所得税也应以会计利润作为税基。如果仍采用基于偿付能力准备金的利润作为未来应税所得额，则需要考虑进行调整。</w:t>
      </w:r>
    </w:p>
    <w:p w14:paraId="3E0AFD5C" w14:textId="77777777" w:rsidR="00E04C89" w:rsidRDefault="00E04C89" w:rsidP="00E04C89">
      <w:pPr>
        <w:pStyle w:val="13"/>
      </w:pPr>
      <w:r>
        <w:rPr>
          <w:rFonts w:hint="eastAsia"/>
        </w:rPr>
        <w:t>②调整事项</w:t>
      </w:r>
    </w:p>
    <w:p w14:paraId="46A69122" w14:textId="77777777" w:rsidR="00E04C89" w:rsidRDefault="00E04C89" w:rsidP="00E04C89">
      <w:pPr>
        <w:pStyle w:val="13"/>
      </w:pPr>
      <w:r>
        <w:rPr>
          <w:rFonts w:hint="eastAsia"/>
        </w:rPr>
        <w:t>根据上述假设条件分析，在预测的法定利润、折现率中对需要调整的参数，按照原计算方式，分别调整。这些调整通常情况下需要由被评估企业精算人员通过精算软件进行。</w:t>
      </w:r>
    </w:p>
    <w:p w14:paraId="7F1A8F9A" w14:textId="77777777" w:rsidR="00E04C89" w:rsidRDefault="00E04C89" w:rsidP="00E04C89">
      <w:pPr>
        <w:pStyle w:val="13"/>
      </w:pPr>
      <w:r>
        <w:rPr>
          <w:rFonts w:hint="eastAsia"/>
        </w:rPr>
        <w:t>对于折现率的调整，可以由被评估企业按照精算软件导出</w:t>
      </w:r>
      <w:r>
        <w:t>excel格式的现金流表，资产评估师根据被评估企业未来风险情况综合确定折现率后，按照调整后折现率进行折现，得出</w:t>
      </w:r>
      <w:proofErr w:type="gramStart"/>
      <w:r>
        <w:t>有效业务</w:t>
      </w:r>
      <w:proofErr w:type="gramEnd"/>
      <w:r>
        <w:t>现值。</w:t>
      </w:r>
    </w:p>
    <w:p w14:paraId="39040760" w14:textId="77777777" w:rsidR="00E04C89" w:rsidRDefault="00E04C89" w:rsidP="00E04C89">
      <w:pPr>
        <w:pStyle w:val="13"/>
      </w:pPr>
      <w:r>
        <w:t>2.2经调整的净资产价值</w:t>
      </w:r>
    </w:p>
    <w:p w14:paraId="6A9BAE3C" w14:textId="77777777" w:rsidR="00E04C89" w:rsidRDefault="00E04C89" w:rsidP="00E04C89">
      <w:pPr>
        <w:pStyle w:val="13"/>
      </w:pPr>
      <w:r>
        <w:rPr>
          <w:rFonts w:hint="eastAsia"/>
        </w:rPr>
        <w:t>①基本公式</w:t>
      </w:r>
    </w:p>
    <w:p w14:paraId="7178351F" w14:textId="77777777" w:rsidR="00E04C89" w:rsidRDefault="00E04C89" w:rsidP="00E04C89">
      <w:pPr>
        <w:pStyle w:val="13"/>
      </w:pPr>
      <w:r>
        <w:rPr>
          <w:rFonts w:hint="eastAsia"/>
        </w:rPr>
        <w:t>“经调整的净资产价值”等于下面两项之和：</w:t>
      </w:r>
    </w:p>
    <w:p w14:paraId="2B9AD3BC" w14:textId="77777777" w:rsidR="00E04C89" w:rsidRDefault="00E04C89" w:rsidP="00E04C89">
      <w:pPr>
        <w:pStyle w:val="13"/>
      </w:pPr>
      <w:r>
        <w:rPr>
          <w:rFonts w:hint="eastAsia"/>
        </w:rPr>
        <w:t>净资产，定义为资产减去中国偿付能力准备金和其他负债；和对于资产的市场价值和账面价值之间税后差异所作的相关调整以及对于某些负债的相关税后调整。</w:t>
      </w:r>
    </w:p>
    <w:p w14:paraId="6DB9954E" w14:textId="77777777" w:rsidR="00E04C89" w:rsidRDefault="00E04C89" w:rsidP="00E04C89">
      <w:pPr>
        <w:pStyle w:val="13"/>
      </w:pPr>
      <w:r>
        <w:rPr>
          <w:rFonts w:hint="eastAsia"/>
        </w:rPr>
        <w:lastRenderedPageBreak/>
        <w:t>调整后净资产也可以表示为自由盈余、要求资本两者之</w:t>
      </w:r>
      <w:proofErr w:type="gramStart"/>
      <w:r>
        <w:rPr>
          <w:rFonts w:hint="eastAsia"/>
        </w:rPr>
        <w:t>和</w:t>
      </w:r>
      <w:proofErr w:type="gramEnd"/>
      <w:r>
        <w:rPr>
          <w:rFonts w:hint="eastAsia"/>
        </w:rPr>
        <w:t>。其中：自由盈余为</w:t>
      </w:r>
      <w:proofErr w:type="gramStart"/>
      <w:r>
        <w:rPr>
          <w:rFonts w:hint="eastAsia"/>
        </w:rPr>
        <w:t>适用业务</w:t>
      </w:r>
      <w:proofErr w:type="gramEnd"/>
      <w:r>
        <w:rPr>
          <w:rFonts w:hint="eastAsia"/>
        </w:rPr>
        <w:t>对应的资产的市场价值，扣除相应负债，超过该</w:t>
      </w:r>
      <w:proofErr w:type="gramStart"/>
      <w:r>
        <w:rPr>
          <w:rFonts w:hint="eastAsia"/>
        </w:rPr>
        <w:t>适用业务</w:t>
      </w:r>
      <w:proofErr w:type="gramEnd"/>
      <w:r>
        <w:rPr>
          <w:rFonts w:hint="eastAsia"/>
        </w:rPr>
        <w:t>要求资本的金额；要求资本为</w:t>
      </w:r>
      <w:proofErr w:type="gramStart"/>
      <w:r>
        <w:rPr>
          <w:rFonts w:hint="eastAsia"/>
        </w:rPr>
        <w:t>适用业务</w:t>
      </w:r>
      <w:proofErr w:type="gramEnd"/>
      <w:r>
        <w:rPr>
          <w:rFonts w:hint="eastAsia"/>
        </w:rPr>
        <w:t>对应的所有资产的市场价值，扣除相应负债，在评估日受到限制，不能分配给股东的金额，要求资本不能低于法定最低偿付能力额度。</w:t>
      </w:r>
    </w:p>
    <w:p w14:paraId="03A1D284" w14:textId="77777777" w:rsidR="00E04C89" w:rsidRDefault="00E04C89" w:rsidP="00E04C89">
      <w:pPr>
        <w:pStyle w:val="13"/>
      </w:pPr>
      <w:r>
        <w:rPr>
          <w:rFonts w:hint="eastAsia"/>
        </w:rPr>
        <w:t>通常，在评估基准日，被评估企业会根据法定会计准则认定资产和负债要求，编制监管报表，反映调整后的各项资产和负债</w:t>
      </w:r>
      <w:r>
        <w:t>(按法定会计准则认定资产和负债)及调整后净资产（=资产总计-负债总计=要求资本+自由盈余）。</w:t>
      </w:r>
    </w:p>
    <w:p w14:paraId="7215CB1F" w14:textId="77777777" w:rsidR="00E04C89" w:rsidRDefault="00E04C89" w:rsidP="00E04C89">
      <w:pPr>
        <w:pStyle w:val="13"/>
      </w:pPr>
      <w:r>
        <w:rPr>
          <w:rFonts w:hint="eastAsia"/>
        </w:rPr>
        <w:t>评估中，通常按照中国保监会发布的《保险公司偿付能力管理规定》及“关于实施《保险公司偿付能力管理规定》有关事项的通知（保监发〔</w:t>
      </w:r>
      <w:r>
        <w:t>2008〕89号）”的要求计算最低资本要求，实际持有的要求资本按规定不低于最低资本。(按法定会计准则认定资产和负债)。则自由盈余=调整后净资产-最低资本。</w:t>
      </w:r>
    </w:p>
    <w:p w14:paraId="491E54CE" w14:textId="77777777" w:rsidR="00E04C89" w:rsidRDefault="00E04C89" w:rsidP="00E04C89">
      <w:pPr>
        <w:pStyle w:val="13"/>
      </w:pPr>
      <w:r>
        <w:rPr>
          <w:rFonts w:hint="eastAsia"/>
        </w:rPr>
        <w:t>②调整事项</w:t>
      </w:r>
    </w:p>
    <w:p w14:paraId="2BA83615" w14:textId="77777777" w:rsidR="00E04C89" w:rsidRDefault="00E04C89" w:rsidP="00E04C89">
      <w:pPr>
        <w:pStyle w:val="13"/>
      </w:pPr>
      <w:r>
        <w:rPr>
          <w:rFonts w:hint="eastAsia"/>
        </w:rPr>
        <w:t>根据前述“财税〔</w:t>
      </w:r>
      <w:r>
        <w:t>2012〕45号”文件规定，需要在经调整的净资产价值中反映以会计利润为税基的纳税额。如果所得税不是按照此规定要求计算，需要进行相应调整。</w:t>
      </w:r>
    </w:p>
    <w:p w14:paraId="6F2F95E6" w14:textId="77777777" w:rsidR="00E04C89" w:rsidRDefault="00E04C89" w:rsidP="00E04C89">
      <w:pPr>
        <w:pStyle w:val="13"/>
      </w:pPr>
      <w:r>
        <w:t>2.3偿付能力额度成本（持有要求资本的成本）</w:t>
      </w:r>
    </w:p>
    <w:p w14:paraId="0F968355" w14:textId="77777777" w:rsidR="00E04C89" w:rsidRDefault="00E04C89" w:rsidP="00E04C89">
      <w:pPr>
        <w:pStyle w:val="13"/>
      </w:pPr>
      <w:r>
        <w:rPr>
          <w:rFonts w:hint="eastAsia"/>
        </w:rPr>
        <w:t>①基本公式</w:t>
      </w:r>
    </w:p>
    <w:p w14:paraId="6E2D5077" w14:textId="1C390137" w:rsidR="00C220B3" w:rsidRDefault="00E04C89" w:rsidP="00E04C89">
      <w:pPr>
        <w:pStyle w:val="13"/>
      </w:pPr>
      <w:r>
        <w:rPr>
          <w:rFonts w:hint="eastAsia"/>
        </w:rPr>
        <w:t>按照中国保监会发布的《保险公司偿付能力管理规定》及“关于实施《保险公司偿付能力管理规定》有关事项的通知（保监发〔</w:t>
      </w:r>
      <w:r>
        <w:t>2008〕89号）”的要求计算最低资本要求，实际持有的要求资本按规定不低于最低资本，则持有要求资本的成本由以下公式确定：</w:t>
      </w:r>
    </w:p>
    <w:p w14:paraId="2C22E136" w14:textId="2D002378" w:rsidR="00C220B3" w:rsidRDefault="00E04C89" w:rsidP="005A79E9">
      <w:pPr>
        <w:pStyle w:val="13"/>
        <w:ind w:firstLine="640"/>
      </w:pPr>
      <w:r>
        <w:rPr>
          <w:rFonts w:ascii="仿宋_GB2312" w:hint="eastAsia"/>
          <w:position w:val="-28"/>
          <w:sz w:val="32"/>
          <w:szCs w:val="32"/>
        </w:rPr>
        <w:object w:dxaOrig="3803" w:dyaOrig="680" w14:anchorId="49A729EC">
          <v:shape id="Picture 2" o:spid="_x0000_i1028" type="#_x0000_t75" style="width:3in;height:39.75pt;mso-wrap-style:square;mso-position-horizontal-relative:page;mso-position-vertical-relative:page" o:ole="">
            <v:imagedata r:id="rId52" o:title=""/>
          </v:shape>
          <o:OLEObject Type="Embed" ProgID="Equation.3" ShapeID="Picture 2" DrawAspect="Content" ObjectID="_1728719972" r:id="rId53"/>
        </w:object>
      </w:r>
    </w:p>
    <w:p w14:paraId="1B070F85" w14:textId="77777777" w:rsidR="00E04C89" w:rsidRDefault="00E04C89" w:rsidP="00E04C89">
      <w:pPr>
        <w:pStyle w:val="13"/>
      </w:pPr>
      <w:r>
        <w:rPr>
          <w:rFonts w:hint="eastAsia"/>
        </w:rPr>
        <w:t>式中：</w:t>
      </w:r>
    </w:p>
    <w:p w14:paraId="78EB1131" w14:textId="77777777" w:rsidR="00E04C89" w:rsidRDefault="00E04C89" w:rsidP="00E04C89">
      <w:pPr>
        <w:pStyle w:val="13"/>
        <w:ind w:firstLineChars="400" w:firstLine="960"/>
      </w:pPr>
      <w:r>
        <w:t>CoC—持有要求资本的成本</w:t>
      </w:r>
    </w:p>
    <w:p w14:paraId="6CFF87A0" w14:textId="77777777" w:rsidR="00E04C89" w:rsidRDefault="00E04C89" w:rsidP="00E04C89">
      <w:pPr>
        <w:pStyle w:val="13"/>
        <w:ind w:firstLineChars="400" w:firstLine="960"/>
      </w:pPr>
      <w:r>
        <w:t>RC—要求资本</w:t>
      </w:r>
    </w:p>
    <w:p w14:paraId="2202E4A9" w14:textId="77777777" w:rsidR="00E04C89" w:rsidRDefault="00E04C89" w:rsidP="00E04C89">
      <w:pPr>
        <w:pStyle w:val="13"/>
        <w:ind w:firstLineChars="400" w:firstLine="960"/>
      </w:pPr>
      <w:r>
        <w:t>r—折现率</w:t>
      </w:r>
    </w:p>
    <w:p w14:paraId="640AF1A6" w14:textId="77777777" w:rsidR="00E04C89" w:rsidRDefault="00E04C89" w:rsidP="00E04C89">
      <w:pPr>
        <w:pStyle w:val="13"/>
        <w:ind w:firstLineChars="400" w:firstLine="960"/>
      </w:pPr>
      <w:r>
        <w:t>t—收益年期，t =1，2，3，……，n（通常到现有保单全部到期为止）</w:t>
      </w:r>
    </w:p>
    <w:p w14:paraId="12E5475F" w14:textId="77777777" w:rsidR="00E04C89" w:rsidRDefault="00E04C89" w:rsidP="00E04C89">
      <w:pPr>
        <w:pStyle w:val="13"/>
        <w:ind w:firstLineChars="400" w:firstLine="960"/>
      </w:pPr>
      <w:proofErr w:type="spellStart"/>
      <w:r>
        <w:t>i</w:t>
      </w:r>
      <w:proofErr w:type="spellEnd"/>
      <w:r>
        <w:t>—投资收益率</w:t>
      </w:r>
    </w:p>
    <w:p w14:paraId="520E468C" w14:textId="00EFC7BB" w:rsidR="00C220B3" w:rsidRDefault="00E04C89" w:rsidP="00E04C89">
      <w:pPr>
        <w:pStyle w:val="13"/>
      </w:pPr>
      <w:r>
        <w:rPr>
          <w:rFonts w:hint="eastAsia"/>
        </w:rPr>
        <w:t>②调整事项</w:t>
      </w:r>
    </w:p>
    <w:p w14:paraId="3016D8CF" w14:textId="1531FF7A" w:rsidR="00C220B3" w:rsidRPr="00E04C89" w:rsidRDefault="00E04C89" w:rsidP="005A79E9">
      <w:pPr>
        <w:pStyle w:val="13"/>
      </w:pPr>
      <w:r w:rsidRPr="00E04C89">
        <w:rPr>
          <w:rFonts w:hint="eastAsia"/>
        </w:rPr>
        <w:t>留存在分红账户中的、尚未向投保人和股东派发的盈余累积可以用来满足监管机构对保险公司偿付能力的要求。但是，该部分资金还未派发给股东</w:t>
      </w:r>
      <w:r w:rsidRPr="00E04C89">
        <w:t>(即还未体现在</w:t>
      </w:r>
      <w:proofErr w:type="gramStart"/>
      <w:r w:rsidRPr="00E04C89">
        <w:t>有效业务</w:t>
      </w:r>
      <w:proofErr w:type="gramEnd"/>
      <w:r w:rsidRPr="00E04C89">
        <w:t>现值的计算中)，对股东而言不存在机会成本，因此持有要求资本中如果包括这部分内容，计算持有要求资本的成本时应作相应的调整。</w:t>
      </w:r>
    </w:p>
    <w:p w14:paraId="1958D38A" w14:textId="77777777" w:rsidR="00E04C89" w:rsidRDefault="00E04C89" w:rsidP="00E04C89">
      <w:pPr>
        <w:pStyle w:val="13"/>
      </w:pPr>
      <w:r>
        <w:rPr>
          <w:rFonts w:hint="eastAsia"/>
        </w:rPr>
        <w:lastRenderedPageBreak/>
        <w:t>同上分析，根据上述假设条件分析，在预测的要求资本、折现率中对需要调整的参数，按照原计算方式，分别调整。这些调整通常情况下需要由被评估企业精算人员通过精算软件进行。</w:t>
      </w:r>
    </w:p>
    <w:p w14:paraId="7FB8163E" w14:textId="77777777" w:rsidR="00E04C89" w:rsidRDefault="00E04C89" w:rsidP="00E04C89">
      <w:pPr>
        <w:pStyle w:val="13"/>
      </w:pPr>
      <w:r>
        <w:t>3.一年新业务价值</w:t>
      </w:r>
    </w:p>
    <w:p w14:paraId="543A42CE" w14:textId="77777777" w:rsidR="00E04C89" w:rsidRDefault="00E04C89" w:rsidP="00E04C89">
      <w:pPr>
        <w:pStyle w:val="13"/>
      </w:pPr>
      <w:r>
        <w:t>a．相关定义</w:t>
      </w:r>
    </w:p>
    <w:p w14:paraId="03EF502F" w14:textId="5A21C375" w:rsidR="005A79E9" w:rsidRDefault="00E04C89" w:rsidP="00E04C89">
      <w:pPr>
        <w:pStyle w:val="13"/>
      </w:pPr>
      <w:r>
        <w:rPr>
          <w:rFonts w:hint="eastAsia"/>
        </w:rPr>
        <w:t>一年新业务价值为距评估时点最近的过去一年新签保单的价值，具体为该年新签保单在未来年度可实现的税后利润用一定贴现率贴现后的现值，扣除要求资本成本，并加上当年该部分新业务已实现的实际利润或亏损。公式如下：</w:t>
      </w:r>
    </w:p>
    <w:p w14:paraId="52867F44" w14:textId="3C532DE4" w:rsidR="005A79E9" w:rsidRDefault="00E04C89" w:rsidP="005A79E9">
      <w:pPr>
        <w:pStyle w:val="13"/>
        <w:ind w:firstLine="640"/>
      </w:pPr>
      <w:r>
        <w:rPr>
          <w:rFonts w:ascii="仿宋_GB2312" w:hint="eastAsia"/>
          <w:color w:val="FF0000"/>
          <w:position w:val="-28"/>
          <w:sz w:val="32"/>
          <w:szCs w:val="32"/>
        </w:rPr>
        <w:object w:dxaOrig="2900" w:dyaOrig="680" w14:anchorId="45D5F635">
          <v:shape id="Picture 3" o:spid="_x0000_i1029" type="#_x0000_t75" style="width:165.75pt;height:39.75pt;mso-wrap-style:square;mso-position-horizontal-relative:page;mso-position-vertical-relative:page" o:ole="">
            <v:imagedata r:id="rId54" o:title=""/>
          </v:shape>
          <o:OLEObject Type="Embed" ProgID="Equation.3" ShapeID="Picture 3" DrawAspect="Content" ObjectID="_1728719973" r:id="rId55"/>
        </w:object>
      </w:r>
    </w:p>
    <w:p w14:paraId="2C303E47" w14:textId="0C158488" w:rsidR="00E04C89" w:rsidRDefault="00E04C89" w:rsidP="00E04C89">
      <w:pPr>
        <w:pStyle w:val="13"/>
      </w:pPr>
      <w:r>
        <w:rPr>
          <w:rFonts w:hint="eastAsia"/>
        </w:rPr>
        <w:t>式中：</w:t>
      </w:r>
    </w:p>
    <w:p w14:paraId="51D1F6D2" w14:textId="77777777" w:rsidR="00E04C89" w:rsidRDefault="00E04C89" w:rsidP="00E04C89">
      <w:pPr>
        <w:pStyle w:val="13"/>
        <w:ind w:firstLineChars="400" w:firstLine="960"/>
      </w:pPr>
      <w:r>
        <w:t>PV0—一年新业务价值</w:t>
      </w:r>
    </w:p>
    <w:p w14:paraId="7EF6A5A2" w14:textId="77777777" w:rsidR="00E04C89" w:rsidRDefault="00E04C89" w:rsidP="00E04C89">
      <w:pPr>
        <w:pStyle w:val="13"/>
        <w:ind w:firstLineChars="400" w:firstLine="960"/>
      </w:pPr>
      <w:r>
        <w:t>Gi—新业务在未来第</w:t>
      </w:r>
      <w:proofErr w:type="spellStart"/>
      <w:r>
        <w:t>i</w:t>
      </w:r>
      <w:proofErr w:type="spellEnd"/>
      <w:r>
        <w:t>年的预期法定税后利润</w:t>
      </w:r>
    </w:p>
    <w:p w14:paraId="573D45C4" w14:textId="77777777" w:rsidR="00E04C89" w:rsidRDefault="00E04C89" w:rsidP="00E04C89">
      <w:pPr>
        <w:pStyle w:val="13"/>
        <w:ind w:firstLineChars="400" w:firstLine="960"/>
      </w:pPr>
      <w:r>
        <w:t>r—折现率</w:t>
      </w:r>
    </w:p>
    <w:p w14:paraId="64AA4B3D" w14:textId="77777777" w:rsidR="00E04C89" w:rsidRDefault="00E04C89" w:rsidP="00E04C89">
      <w:pPr>
        <w:pStyle w:val="13"/>
        <w:ind w:firstLineChars="400" w:firstLine="960"/>
      </w:pPr>
      <w:proofErr w:type="spellStart"/>
      <w:r>
        <w:t>i</w:t>
      </w:r>
      <w:proofErr w:type="spellEnd"/>
      <w:r>
        <w:t>—收益年期，</w:t>
      </w:r>
      <w:proofErr w:type="spellStart"/>
      <w:r>
        <w:t>i</w:t>
      </w:r>
      <w:proofErr w:type="spellEnd"/>
      <w:r>
        <w:t>=1，2，3，……，n（通常到现有保单全部到期为止）</w:t>
      </w:r>
    </w:p>
    <w:p w14:paraId="74155799" w14:textId="77777777" w:rsidR="00E04C89" w:rsidRDefault="00E04C89" w:rsidP="00E04C89">
      <w:pPr>
        <w:pStyle w:val="13"/>
        <w:ind w:firstLineChars="400" w:firstLine="960"/>
      </w:pPr>
      <w:r>
        <w:t>CoC—要求资本成本</w:t>
      </w:r>
    </w:p>
    <w:p w14:paraId="71CE6CC2" w14:textId="77777777" w:rsidR="00E04C89" w:rsidRDefault="00E04C89" w:rsidP="00E04C89">
      <w:pPr>
        <w:pStyle w:val="13"/>
        <w:ind w:firstLineChars="400" w:firstLine="960"/>
      </w:pPr>
      <w:r>
        <w:t>AP0—新业务的实际利润或亏损</w:t>
      </w:r>
    </w:p>
    <w:p w14:paraId="39A33947" w14:textId="172F4923" w:rsidR="005A79E9" w:rsidRDefault="00E04C89" w:rsidP="00E04C89">
      <w:pPr>
        <w:pStyle w:val="13"/>
      </w:pPr>
      <w:r>
        <w:rPr>
          <w:rFonts w:hint="eastAsia"/>
        </w:rPr>
        <w:t>其中：法定税后利润</w:t>
      </w:r>
      <w:r>
        <w:t>(G) =保费收入+投资收入-退保支出-赔付支出-准备金提转差-费用支出-营业税金及附加-所得税-分红</w:t>
      </w:r>
    </w:p>
    <w:p w14:paraId="219CA1DF" w14:textId="77777777" w:rsidR="00E04C89" w:rsidRDefault="00E04C89" w:rsidP="00E04C89">
      <w:pPr>
        <w:pStyle w:val="13"/>
      </w:pPr>
      <w:r>
        <w:t>b．计算过程及结果</w:t>
      </w:r>
    </w:p>
    <w:p w14:paraId="10FAADA0" w14:textId="77777777" w:rsidR="00E04C89" w:rsidRDefault="00E04C89" w:rsidP="00E04C89">
      <w:pPr>
        <w:pStyle w:val="13"/>
      </w:pPr>
      <w:r>
        <w:rPr>
          <w:rFonts w:hint="eastAsia"/>
        </w:rPr>
        <w:t>根据上述定义及计算公式，通过企业过去最近一年新签保单在未来年度的收入、支出、费用等精算数据，计算新业务未来年度的法定税后利润，并用折现率进行折现求和得出可分配利润折现合计；对要求资本，按中国保监会有关要求资本规定计算得出</w:t>
      </w:r>
      <w:r>
        <w:t>(该数据为按精算模型计算得出，由企业提供)；对持有要求资本的成本，通过计算</w:t>
      </w:r>
      <w:proofErr w:type="gramStart"/>
      <w:r>
        <w:t>有效业务</w:t>
      </w:r>
      <w:proofErr w:type="gramEnd"/>
      <w:r>
        <w:t>保单未来年度的要求资本(按中国保监会有关要求资本规定计算得出，该数据由企业提供)，根据折现率和投资收益率，计算得出未来年度的要求资本成本，并用折现率进行折现求和得出持有要求资本的成本(计算过程</w:t>
      </w:r>
      <w:proofErr w:type="gramStart"/>
      <w:r>
        <w:t>同有效业务</w:t>
      </w:r>
      <w:proofErr w:type="gramEnd"/>
      <w:r>
        <w:t>现值中的</w:t>
      </w:r>
      <w:r>
        <w:rPr>
          <w:rFonts w:hint="eastAsia"/>
        </w:rPr>
        <w:t>要求资本成本</w:t>
      </w:r>
      <w:r>
        <w:t>)</w:t>
      </w:r>
    </w:p>
    <w:p w14:paraId="7BE37CC8" w14:textId="77777777" w:rsidR="00E04C89" w:rsidRDefault="00E04C89" w:rsidP="00E04C89">
      <w:pPr>
        <w:pStyle w:val="13"/>
      </w:pPr>
      <w:r>
        <w:rPr>
          <w:rFonts w:hint="eastAsia"/>
        </w:rPr>
        <w:t>（三）计算公式股权价值</w:t>
      </w:r>
    </w:p>
    <w:p w14:paraId="6137048F" w14:textId="77777777" w:rsidR="00E04C89" w:rsidRDefault="00E04C89" w:rsidP="00E04C89">
      <w:pPr>
        <w:pStyle w:val="13"/>
      </w:pPr>
      <w:r>
        <w:t>1.新业务价值乘数确定</w:t>
      </w:r>
    </w:p>
    <w:p w14:paraId="16B6BE30" w14:textId="77777777" w:rsidR="00E04C89" w:rsidRDefault="00E04C89" w:rsidP="00E04C89">
      <w:pPr>
        <w:pStyle w:val="13"/>
      </w:pPr>
      <w:r>
        <w:rPr>
          <w:rFonts w:hint="eastAsia"/>
        </w:rPr>
        <w:t>乘数倍数</w:t>
      </w:r>
      <w:r>
        <w:t>(at)的作用是把预测年期的新业务价值贴现到评估基准日。新业务乘数依赖于两个假设:未来新业务销售时恰当的风险折现率和新业务未来的增长率。这些参数需要对被评估企业基本面进行分析，结合行业分析确定。可以有不同的方法确定新业务价值乘数。</w:t>
      </w:r>
    </w:p>
    <w:p w14:paraId="7BAB01EA" w14:textId="77777777" w:rsidR="00E04C89" w:rsidRDefault="00E04C89" w:rsidP="00E04C89">
      <w:pPr>
        <w:pStyle w:val="13"/>
      </w:pPr>
      <w:r>
        <w:lastRenderedPageBreak/>
        <w:t>1.1传统新业务乘数倍数确定方法</w:t>
      </w:r>
    </w:p>
    <w:p w14:paraId="6A755CF9" w14:textId="77777777" w:rsidR="00E04C89" w:rsidRDefault="00E04C89" w:rsidP="00E04C89">
      <w:pPr>
        <w:pStyle w:val="13"/>
      </w:pPr>
      <w:r>
        <w:rPr>
          <w:rFonts w:hint="eastAsia"/>
        </w:rPr>
        <w:t>①永续增长模型</w:t>
      </w:r>
    </w:p>
    <w:p w14:paraId="5F5AB0F3" w14:textId="4A15D41E" w:rsidR="00E04C89" w:rsidRDefault="00E04C89" w:rsidP="00E04C89">
      <w:pPr>
        <w:pStyle w:val="13"/>
      </w:pPr>
      <w:r>
        <w:rPr>
          <w:rFonts w:hint="eastAsia"/>
        </w:rPr>
        <w:t>如果假设公司未来业务永续增长，则新业务乘数</w:t>
      </w:r>
    </w:p>
    <w:p w14:paraId="7049DC83" w14:textId="734A659F" w:rsidR="00E04C89" w:rsidRDefault="00E04C89" w:rsidP="00E04C89">
      <w:pPr>
        <w:pStyle w:val="13"/>
        <w:ind w:firstLineChars="0" w:firstLine="0"/>
        <w:jc w:val="center"/>
      </w:pPr>
      <w:r>
        <w:rPr>
          <w:rFonts w:ascii="仿宋_GB2312" w:eastAsia="仿宋_GB2312" w:hAnsi="仿宋_GB2312" w:cs="仿宋_GB2312" w:hint="eastAsia"/>
          <w:kern w:val="0"/>
          <w:position w:val="-28"/>
          <w:sz w:val="32"/>
          <w:szCs w:val="32"/>
        </w:rPr>
        <w:object w:dxaOrig="1043" w:dyaOrig="662" w14:anchorId="3BDEF42E">
          <v:shape id="图片 28" o:spid="_x0000_i1030" type="#_x0000_t75" style="width:128.25pt;height:36.75pt;mso-wrap-style:square;mso-position-horizontal-relative:page;mso-position-vertical-relative:page;v-text-anchor:top" o:ole="">
            <v:imagedata r:id="rId56" o:title=""/>
          </v:shape>
          <o:OLEObject Type="Embed" ProgID="Equation.KSEE3" ShapeID="图片 28" DrawAspect="Content" ObjectID="_1728719974" r:id="rId57">
            <o:FieldCodes>\* MERGEFORMAT</o:FieldCodes>
          </o:OLEObject>
        </w:object>
      </w:r>
    </w:p>
    <w:p w14:paraId="334EB794" w14:textId="77777777" w:rsidR="00E04C89" w:rsidRDefault="00E04C89" w:rsidP="00E04C89">
      <w:pPr>
        <w:pStyle w:val="13"/>
        <w:ind w:firstLineChars="400" w:firstLine="960"/>
      </w:pPr>
      <w:r>
        <w:t>k—新业务折现率（比持有保单折现率要高）</w:t>
      </w:r>
    </w:p>
    <w:p w14:paraId="2360F5FA" w14:textId="6DE56B13" w:rsidR="00E04C89" w:rsidRDefault="00E04C89" w:rsidP="00E04C89">
      <w:pPr>
        <w:pStyle w:val="13"/>
        <w:ind w:firstLineChars="400" w:firstLine="960"/>
      </w:pPr>
      <w:r>
        <w:t>g—新业务增长率</w:t>
      </w:r>
    </w:p>
    <w:p w14:paraId="6B1F1B28" w14:textId="77777777" w:rsidR="00E04C89" w:rsidRDefault="00E04C89" w:rsidP="00E04C89">
      <w:pPr>
        <w:pStyle w:val="13"/>
      </w:pPr>
      <w:r>
        <w:rPr>
          <w:rFonts w:hint="eastAsia"/>
        </w:rPr>
        <w:t>②两阶段增长模型</w:t>
      </w:r>
    </w:p>
    <w:p w14:paraId="19D04345" w14:textId="2361C797" w:rsidR="00E04C89" w:rsidRDefault="00E04C89" w:rsidP="00E04C89">
      <w:pPr>
        <w:pStyle w:val="13"/>
      </w:pPr>
      <w:r>
        <w:rPr>
          <w:rFonts w:hint="eastAsia"/>
        </w:rPr>
        <w:t>对于寿险公司来说，这是一种评估新增业务价值的合适方法。评估中需要了解被评估企业精算中对该乘数倍数的定义，结合寿险行业乘数倍数的计算方法，确定评估中乘数倍数的计算公式如下：</w:t>
      </w:r>
    </w:p>
    <w:p w14:paraId="628D30EE" w14:textId="15EAC922" w:rsidR="00E04C89" w:rsidRDefault="00E04C89" w:rsidP="005A79E9">
      <w:pPr>
        <w:pStyle w:val="13"/>
      </w:pPr>
      <w:r>
        <w:rPr>
          <w:rFonts w:hint="eastAsia"/>
          <w:noProof/>
          <w:szCs w:val="32"/>
        </w:rPr>
        <w:drawing>
          <wp:inline distT="0" distB="0" distL="0" distR="0" wp14:anchorId="59A4E517" wp14:editId="623E9519">
            <wp:extent cx="5276850" cy="5238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6850" cy="523875"/>
                    </a:xfrm>
                    <a:prstGeom prst="rect">
                      <a:avLst/>
                    </a:prstGeom>
                    <a:noFill/>
                    <a:ln>
                      <a:noFill/>
                    </a:ln>
                  </pic:spPr>
                </pic:pic>
              </a:graphicData>
            </a:graphic>
          </wp:inline>
        </w:drawing>
      </w:r>
    </w:p>
    <w:p w14:paraId="36B1A74F" w14:textId="77777777" w:rsidR="00E04C89" w:rsidRDefault="00E04C89" w:rsidP="00E04C89">
      <w:pPr>
        <w:pStyle w:val="13"/>
      </w:pPr>
      <w:r>
        <w:rPr>
          <w:rFonts w:hint="eastAsia"/>
        </w:rPr>
        <w:t>式中：</w:t>
      </w:r>
    </w:p>
    <w:p w14:paraId="586C504C" w14:textId="77777777" w:rsidR="00E04C89" w:rsidRDefault="00E04C89" w:rsidP="00E04C89">
      <w:pPr>
        <w:pStyle w:val="13"/>
        <w:ind w:firstLineChars="400" w:firstLine="960"/>
      </w:pPr>
      <w:r>
        <w:t>at—乘数倍数</w:t>
      </w:r>
    </w:p>
    <w:p w14:paraId="4E516234" w14:textId="77777777" w:rsidR="00E04C89" w:rsidRDefault="00E04C89" w:rsidP="00E04C89">
      <w:pPr>
        <w:pStyle w:val="13"/>
        <w:ind w:firstLineChars="400" w:firstLine="960"/>
      </w:pPr>
      <w:r>
        <w:t>g1、g2—企业未来年度新业务增长率</w:t>
      </w:r>
    </w:p>
    <w:p w14:paraId="233142A1" w14:textId="77777777" w:rsidR="00E04C89" w:rsidRDefault="00E04C89" w:rsidP="00E04C89">
      <w:pPr>
        <w:pStyle w:val="13"/>
        <w:ind w:firstLineChars="400" w:firstLine="960"/>
      </w:pPr>
      <w:r>
        <w:t>k—新业务适用折现率</w:t>
      </w:r>
    </w:p>
    <w:p w14:paraId="33D5D6E2" w14:textId="77777777" w:rsidR="00E04C89" w:rsidRDefault="00E04C89" w:rsidP="00E04C89">
      <w:pPr>
        <w:pStyle w:val="13"/>
        <w:ind w:firstLineChars="400" w:firstLine="960"/>
      </w:pPr>
      <w:proofErr w:type="spellStart"/>
      <w:r>
        <w:t>i</w:t>
      </w:r>
      <w:proofErr w:type="spellEnd"/>
      <w:r>
        <w:t>—收益年期，</w:t>
      </w:r>
      <w:proofErr w:type="spellStart"/>
      <w:r>
        <w:t>i</w:t>
      </w:r>
      <w:proofErr w:type="spellEnd"/>
      <w:r>
        <w:t>=1，2，3，……，</w:t>
      </w:r>
    </w:p>
    <w:p w14:paraId="2171E7E8" w14:textId="2DA15F04" w:rsidR="00E04C89" w:rsidRDefault="00E04C89" w:rsidP="00E04C89">
      <w:pPr>
        <w:pStyle w:val="13"/>
      </w:pPr>
      <w:r>
        <w:rPr>
          <w:rFonts w:hint="eastAsia"/>
        </w:rPr>
        <w:t>通常情况下，</w:t>
      </w:r>
      <w:r>
        <w:t>g2&lt;k，则上述公式简化为</w:t>
      </w:r>
    </w:p>
    <w:p w14:paraId="3E02307F" w14:textId="092684B5" w:rsidR="00E04C89" w:rsidRDefault="00E04C89" w:rsidP="005A79E9">
      <w:pPr>
        <w:pStyle w:val="13"/>
      </w:pPr>
      <w:r>
        <w:rPr>
          <w:noProof/>
          <w:szCs w:val="32"/>
        </w:rPr>
        <w:drawing>
          <wp:inline distT="0" distB="0" distL="0" distR="0" wp14:anchorId="7F0527D2" wp14:editId="12595BE1">
            <wp:extent cx="5276850" cy="5238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6850" cy="523875"/>
                    </a:xfrm>
                    <a:prstGeom prst="rect">
                      <a:avLst/>
                    </a:prstGeom>
                    <a:noFill/>
                    <a:ln>
                      <a:noFill/>
                    </a:ln>
                  </pic:spPr>
                </pic:pic>
              </a:graphicData>
            </a:graphic>
          </wp:inline>
        </w:drawing>
      </w:r>
    </w:p>
    <w:p w14:paraId="4EB950F7" w14:textId="7DA2A25E" w:rsidR="00E04C89" w:rsidRDefault="00E04C89" w:rsidP="005A79E9">
      <w:pPr>
        <w:pStyle w:val="13"/>
      </w:pPr>
      <w:r w:rsidRPr="00E04C89">
        <w:rPr>
          <w:rFonts w:hint="eastAsia"/>
        </w:rPr>
        <w:t>确定乘数倍数，需要对寿险行业新业务增长情况进行客观分析，参考寿险行业原保险保费收入增长率情况，结合被评估企业历史年度新业务增长比率及对未来年度新业务的规划，综合确定被评估企业新业务未来增长率。通常，考虑到未来年度寿险行业的发展及被评估企业业务发展情况存在的不确定性，基于谨慎性原则，可按企业和寿险公司评估价值估算的惯例，将乘数倍数中的相关年限定义为未来</w:t>
      </w:r>
      <w:r w:rsidRPr="00E04C89">
        <w:t>10年。</w:t>
      </w:r>
    </w:p>
    <w:p w14:paraId="6018EF6F" w14:textId="77777777" w:rsidR="00E04C89" w:rsidRDefault="00E04C89" w:rsidP="00E04C89">
      <w:pPr>
        <w:pStyle w:val="13"/>
      </w:pPr>
      <w:r>
        <w:rPr>
          <w:rFonts w:hint="eastAsia"/>
        </w:rPr>
        <w:t>需要注意的是，此处新业务适用折现率</w:t>
      </w:r>
      <w:r>
        <w:t>k与一般金融企业类似，其包含的风险因素更多，要高于计算</w:t>
      </w:r>
      <w:proofErr w:type="gramStart"/>
      <w:r>
        <w:t>有效业务</w:t>
      </w:r>
      <w:proofErr w:type="gramEnd"/>
      <w:r>
        <w:t>现值和一年新业务价值的折现率r。</w:t>
      </w:r>
    </w:p>
    <w:p w14:paraId="37A65755" w14:textId="77777777" w:rsidR="00E04C89" w:rsidRDefault="00E04C89" w:rsidP="00E04C89">
      <w:pPr>
        <w:pStyle w:val="13"/>
      </w:pPr>
      <w:r>
        <w:rPr>
          <w:rFonts w:hint="eastAsia"/>
        </w:rPr>
        <w:t>③有限年增长模型</w:t>
      </w:r>
    </w:p>
    <w:p w14:paraId="33F0FC74" w14:textId="037121D6" w:rsidR="00E04C89" w:rsidRDefault="00E04C89" w:rsidP="00E04C89">
      <w:pPr>
        <w:pStyle w:val="13"/>
      </w:pPr>
      <w:r>
        <w:rPr>
          <w:rFonts w:hint="eastAsia"/>
        </w:rPr>
        <w:t>在实务中，还有一些寿险公司采用有限年期增长模型，确定新业务价值乘数。</w:t>
      </w:r>
    </w:p>
    <w:p w14:paraId="243DE761" w14:textId="42BBDDB3" w:rsidR="00E04C89" w:rsidRDefault="00E04C89" w:rsidP="005A79E9">
      <w:pPr>
        <w:pStyle w:val="13"/>
      </w:pPr>
      <w:r>
        <w:rPr>
          <w:noProof/>
          <w:szCs w:val="32"/>
        </w:rPr>
        <w:drawing>
          <wp:inline distT="0" distB="0" distL="0" distR="0" wp14:anchorId="3C0AB42F" wp14:editId="249351F5">
            <wp:extent cx="5276850" cy="514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6850" cy="514350"/>
                    </a:xfrm>
                    <a:prstGeom prst="rect">
                      <a:avLst/>
                    </a:prstGeom>
                    <a:noFill/>
                    <a:ln>
                      <a:noFill/>
                    </a:ln>
                  </pic:spPr>
                </pic:pic>
              </a:graphicData>
            </a:graphic>
          </wp:inline>
        </w:drawing>
      </w:r>
    </w:p>
    <w:p w14:paraId="6F75E050" w14:textId="77777777" w:rsidR="00E04C89" w:rsidRDefault="00E04C89" w:rsidP="00E04C89">
      <w:pPr>
        <w:pStyle w:val="13"/>
      </w:pPr>
      <w:r>
        <w:rPr>
          <w:rFonts w:hint="eastAsia"/>
        </w:rPr>
        <w:t>式中：</w:t>
      </w:r>
    </w:p>
    <w:p w14:paraId="182B5480" w14:textId="77777777" w:rsidR="00E04C89" w:rsidRDefault="00E04C89" w:rsidP="00E04C89">
      <w:pPr>
        <w:pStyle w:val="13"/>
        <w:ind w:firstLineChars="400" w:firstLine="960"/>
      </w:pPr>
      <w:r>
        <w:lastRenderedPageBreak/>
        <w:t>at—乘数倍数</w:t>
      </w:r>
    </w:p>
    <w:p w14:paraId="51557AA8" w14:textId="77777777" w:rsidR="00E04C89" w:rsidRDefault="00E04C89" w:rsidP="00E04C89">
      <w:pPr>
        <w:pStyle w:val="13"/>
        <w:ind w:firstLineChars="400" w:firstLine="960"/>
      </w:pPr>
      <w:r>
        <w:t>g—企业未来年度新业务增长率</w:t>
      </w:r>
    </w:p>
    <w:p w14:paraId="574F55CC" w14:textId="77777777" w:rsidR="00E04C89" w:rsidRDefault="00E04C89" w:rsidP="00E04C89">
      <w:pPr>
        <w:pStyle w:val="13"/>
        <w:ind w:firstLineChars="400" w:firstLine="960"/>
      </w:pPr>
      <w:r>
        <w:t>k—新业务适用折现率</w:t>
      </w:r>
    </w:p>
    <w:p w14:paraId="199B59FD" w14:textId="77777777" w:rsidR="00E04C89" w:rsidRDefault="00E04C89" w:rsidP="00E04C89">
      <w:pPr>
        <w:pStyle w:val="13"/>
        <w:ind w:firstLineChars="400" w:firstLine="960"/>
      </w:pPr>
      <w:proofErr w:type="spellStart"/>
      <w:r>
        <w:t>i</w:t>
      </w:r>
      <w:proofErr w:type="spellEnd"/>
      <w:r>
        <w:t>—收益年期，</w:t>
      </w:r>
      <w:proofErr w:type="spellStart"/>
      <w:r>
        <w:t>i</w:t>
      </w:r>
      <w:proofErr w:type="spellEnd"/>
      <w:r>
        <w:t>=1，2，3，……，n</w:t>
      </w:r>
    </w:p>
    <w:p w14:paraId="77D80172" w14:textId="77777777" w:rsidR="00E04C89" w:rsidRDefault="00E04C89" w:rsidP="00E04C89">
      <w:pPr>
        <w:pStyle w:val="13"/>
      </w:pPr>
      <w:r>
        <w:rPr>
          <w:rFonts w:hint="eastAsia"/>
        </w:rPr>
        <w:t>基于谨慎性原则，乘数倍数中的相关年限定义为未来</w:t>
      </w:r>
      <w:r>
        <w:t>10年，即n=9。并假设10年以后不再增长，同时不考虑两阶段模型的第二段增长。</w:t>
      </w:r>
    </w:p>
    <w:p w14:paraId="34BC57A5" w14:textId="77777777" w:rsidR="00E04C89" w:rsidRDefault="00E04C89" w:rsidP="00E04C89">
      <w:pPr>
        <w:pStyle w:val="13"/>
      </w:pPr>
      <w:r>
        <w:t>1.2基于DCF的新业务乘数确定方法</w:t>
      </w:r>
    </w:p>
    <w:p w14:paraId="04B4F422" w14:textId="387B17B4" w:rsidR="00E04C89" w:rsidRDefault="00E04C89" w:rsidP="00E04C89">
      <w:pPr>
        <w:pStyle w:val="13"/>
      </w:pPr>
      <w:r>
        <w:rPr>
          <w:rFonts w:hint="eastAsia"/>
        </w:rPr>
        <w:t>基于</w:t>
      </w:r>
      <w:r>
        <w:t>DCF的新业务乘数公式为：</w:t>
      </w:r>
    </w:p>
    <w:p w14:paraId="6AAC6D4E" w14:textId="5ECDEA34" w:rsidR="00E04C89" w:rsidRDefault="00E04C89" w:rsidP="00E04C89">
      <w:pPr>
        <w:pStyle w:val="13"/>
        <w:ind w:firstLineChars="0" w:firstLine="0"/>
        <w:jc w:val="center"/>
      </w:pPr>
      <w:r>
        <w:rPr>
          <w:rFonts w:ascii="仿宋_GB2312" w:eastAsia="仿宋_GB2312" w:hint="eastAsia"/>
          <w:kern w:val="0"/>
          <w:position w:val="-30"/>
          <w:sz w:val="32"/>
          <w:szCs w:val="32"/>
        </w:rPr>
        <w:object w:dxaOrig="1988" w:dyaOrig="682" w14:anchorId="16A8A4FB">
          <v:shape id="图片 40" o:spid="_x0000_i1031" type="#_x0000_t75" style="width:99pt;height:33.75pt;mso-wrap-style:square;mso-position-horizontal-relative:page;mso-position-vertical-relative:page" o:ole="">
            <v:imagedata r:id="rId61" o:title=""/>
          </v:shape>
          <o:OLEObject Type="Embed" ProgID="Equation.KSEE3" ShapeID="图片 40" DrawAspect="Content" ObjectID="_1728719975" r:id="rId62">
            <o:FieldCodes>\* MERGEFORMAT</o:FieldCodes>
          </o:OLEObject>
        </w:object>
      </w:r>
    </w:p>
    <w:p w14:paraId="119A302C" w14:textId="77777777" w:rsidR="00E04C89" w:rsidRDefault="00E04C89" w:rsidP="00E04C89">
      <w:pPr>
        <w:pStyle w:val="13"/>
      </w:pPr>
      <w:r>
        <w:rPr>
          <w:rFonts w:hint="eastAsia"/>
        </w:rPr>
        <w:t>式中：</w:t>
      </w:r>
    </w:p>
    <w:p w14:paraId="6336CEB7" w14:textId="06A809DF" w:rsidR="00E04C89" w:rsidRDefault="00E04C89" w:rsidP="00E04C89">
      <w:pPr>
        <w:pStyle w:val="13"/>
        <w:ind w:firstLineChars="400" w:firstLine="960"/>
      </w:pPr>
      <w:r>
        <w:t>AV—市场价值</w:t>
      </w:r>
    </w:p>
    <w:p w14:paraId="48A52E4D" w14:textId="778F5433" w:rsidR="00E04C89" w:rsidRDefault="00E04C89" w:rsidP="00E04C89">
      <w:pPr>
        <w:pStyle w:val="13"/>
        <w:ind w:firstLineChars="400" w:firstLine="960"/>
      </w:pPr>
      <w:r>
        <w:t>NA—调整后净资产</w:t>
      </w:r>
    </w:p>
    <w:p w14:paraId="03EE286D" w14:textId="509E1E77" w:rsidR="00E04C89" w:rsidRDefault="00E04C89" w:rsidP="00E04C89">
      <w:pPr>
        <w:pStyle w:val="13"/>
        <w:ind w:firstLineChars="400" w:firstLine="960"/>
      </w:pPr>
      <w:r>
        <w:t>EV—内含价值</w:t>
      </w:r>
    </w:p>
    <w:p w14:paraId="7E0E450F" w14:textId="62919904" w:rsidR="00E04C89" w:rsidRDefault="00E04C89" w:rsidP="00E04C89">
      <w:pPr>
        <w:pStyle w:val="13"/>
        <w:ind w:firstLineChars="400" w:firstLine="960"/>
      </w:pPr>
      <w:r>
        <w:t>PV0</w:t>
      </w:r>
      <w:proofErr w:type="gramStart"/>
      <w:r>
        <w:t>—当年</w:t>
      </w:r>
      <w:proofErr w:type="gramEnd"/>
      <w:r>
        <w:t>新业务价值</w:t>
      </w:r>
    </w:p>
    <w:p w14:paraId="6EE56FC6" w14:textId="77777777" w:rsidR="00E04C89" w:rsidRDefault="00E04C89" w:rsidP="00E04C89">
      <w:pPr>
        <w:pStyle w:val="13"/>
      </w:pPr>
      <w:r>
        <w:rPr>
          <w:rFonts w:hint="eastAsia"/>
        </w:rPr>
        <w:t>首先，选择已上市的寿险公司作为可比公司，从该公司的内含价值报告及年度报告中找出内含价值</w:t>
      </w:r>
      <w:r>
        <w:t>EV、</w:t>
      </w:r>
      <w:proofErr w:type="gramStart"/>
      <w:r>
        <w:t>有效业务</w:t>
      </w:r>
      <w:proofErr w:type="gramEnd"/>
      <w:r>
        <w:t>现值VBIF、调整后净资产NA、当年新业务价值PV0以及内含价值评估日股票价格、普通股数量和其他相关指标。</w:t>
      </w:r>
    </w:p>
    <w:p w14:paraId="72FDF730" w14:textId="77777777" w:rsidR="00E04C89" w:rsidRDefault="00E04C89" w:rsidP="00E04C89">
      <w:pPr>
        <w:pStyle w:val="13"/>
      </w:pPr>
      <w:r>
        <w:rPr>
          <w:rFonts w:hint="eastAsia"/>
        </w:rPr>
        <w:t>然后，根据寿险公司在评估日股票价格和普通股数量可以得到其评估日市场价值，以此代表公司的评估价值</w:t>
      </w:r>
      <w:r>
        <w:t>AV。</w:t>
      </w:r>
    </w:p>
    <w:p w14:paraId="1400DACF" w14:textId="77777777" w:rsidR="00E04C89" w:rsidRDefault="00E04C89" w:rsidP="00E04C89">
      <w:pPr>
        <w:pStyle w:val="13"/>
      </w:pPr>
      <w:r>
        <w:rPr>
          <w:rFonts w:hint="eastAsia"/>
        </w:rPr>
        <w:t>根据公式计算得出市场隐含的新业务乘数，作为被评估企业新业务乘数。</w:t>
      </w:r>
    </w:p>
    <w:p w14:paraId="7FD7001A" w14:textId="77777777" w:rsidR="00E04C89" w:rsidRDefault="00E04C89" w:rsidP="00E04C89">
      <w:pPr>
        <w:pStyle w:val="13"/>
      </w:pPr>
      <w:r>
        <w:t>1.3根据市盈率确定新业务乘数</w:t>
      </w:r>
    </w:p>
    <w:p w14:paraId="762BDB88" w14:textId="77777777" w:rsidR="00E04C89" w:rsidRDefault="00E04C89" w:rsidP="00E04C89">
      <w:pPr>
        <w:pStyle w:val="13"/>
      </w:pPr>
      <w:r>
        <w:rPr>
          <w:rFonts w:hint="eastAsia"/>
        </w:rPr>
        <w:t>还有一种简化的方式，即参考上市寿险公司平均市盈率，直接作为被评估企业新业务乘数。这种方法可以比较简便确定新业务价值，但与被评估企业具体经营情况会存在一定差异。如果能够针对被评估企业进行一些调整，可能会更好。但这种调整从理论上看，会涉及较多因素，在实务中操作比较困难。</w:t>
      </w:r>
    </w:p>
    <w:p w14:paraId="0B91D470" w14:textId="01AC672A" w:rsidR="00E04C89" w:rsidRDefault="00E04C89" w:rsidP="00E04C89">
      <w:pPr>
        <w:pStyle w:val="13"/>
      </w:pPr>
      <w:r>
        <w:t>2</w:t>
      </w:r>
      <w:r w:rsidR="00865B2E">
        <w:t>.</w:t>
      </w:r>
      <w:r>
        <w:t>企业全部股权价值确定</w:t>
      </w:r>
    </w:p>
    <w:p w14:paraId="748F930B" w14:textId="77777777" w:rsidR="00E04C89" w:rsidRDefault="00E04C89" w:rsidP="00E04C89">
      <w:pPr>
        <w:pStyle w:val="13"/>
      </w:pPr>
      <w:r>
        <w:rPr>
          <w:rFonts w:hint="eastAsia"/>
        </w:rPr>
        <w:t>按照上述过程，案例具体确定</w:t>
      </w:r>
      <w:r>
        <w:t>xx人寿2013年12月31日企业全部股权价值如下。</w:t>
      </w:r>
    </w:p>
    <w:p w14:paraId="4308FC57" w14:textId="77777777" w:rsidR="00E04C89" w:rsidRDefault="00E04C89" w:rsidP="00E04C89">
      <w:pPr>
        <w:pStyle w:val="13"/>
      </w:pPr>
      <w:r>
        <w:rPr>
          <w:rFonts w:hint="eastAsia"/>
        </w:rPr>
        <w:t>①</w:t>
      </w:r>
      <w:proofErr w:type="gramStart"/>
      <w:r>
        <w:rPr>
          <w:rFonts w:hint="eastAsia"/>
        </w:rPr>
        <w:t>有效业务</w:t>
      </w:r>
      <w:proofErr w:type="gramEnd"/>
      <w:r>
        <w:rPr>
          <w:rFonts w:hint="eastAsia"/>
        </w:rPr>
        <w:t>现值与一年新业务价值</w:t>
      </w:r>
    </w:p>
    <w:p w14:paraId="4AC56C72" w14:textId="77777777" w:rsidR="00E04C89" w:rsidRDefault="00E04C89" w:rsidP="00E04C89">
      <w:pPr>
        <w:pStyle w:val="13"/>
      </w:pPr>
      <w:r>
        <w:rPr>
          <w:rFonts w:hint="eastAsia"/>
        </w:rPr>
        <w:t>假设通过分析，</w:t>
      </w:r>
      <w:r>
        <w:t>xx人寿具有较好的信誉，且保险市场未来整体发展情况较好，现有保单未来实现利润风险较低，则11%的折现率对于xx人寿来说比较高，将风险折现率调整为9%。若实际对xx人寿进行评估，则可以由企业提供导出excel格式的</w:t>
      </w:r>
      <w:proofErr w:type="gramStart"/>
      <w:r>
        <w:t>有效业务</w:t>
      </w:r>
      <w:proofErr w:type="gramEnd"/>
      <w:r>
        <w:t>未来现金流，最近一年新签保单未来现金流。但目前受条件限制，我们根据</w:t>
      </w:r>
      <w:r>
        <w:lastRenderedPageBreak/>
        <w:t>内含价值报告中折现率敏感性分析数据来模拟折现率变动后</w:t>
      </w:r>
      <w:proofErr w:type="gramStart"/>
      <w:r>
        <w:t>有效业务</w:t>
      </w:r>
      <w:proofErr w:type="gramEnd"/>
      <w:r>
        <w:t>现值和一年新业务价值。</w:t>
      </w:r>
    </w:p>
    <w:p w14:paraId="3159DAF7" w14:textId="12DE3F43" w:rsidR="00E04C89" w:rsidRDefault="00E04C89" w:rsidP="00E04C89">
      <w:pPr>
        <w:pStyle w:val="13"/>
      </w:pPr>
      <w:r>
        <w:t>2013年内含价值报告中，折现率不同情境下，</w:t>
      </w:r>
      <w:proofErr w:type="gramStart"/>
      <w:r>
        <w:t>有效业务</w:t>
      </w:r>
      <w:proofErr w:type="gramEnd"/>
      <w:r>
        <w:t>现值（扣除持有资本成本）金额分别见下表</w:t>
      </w:r>
    </w:p>
    <w:tbl>
      <w:tblPr>
        <w:tblW w:w="0" w:type="auto"/>
        <w:tblLayout w:type="fixed"/>
        <w:tblLook w:val="0000" w:firstRow="0" w:lastRow="0" w:firstColumn="0" w:lastColumn="0" w:noHBand="0" w:noVBand="0"/>
      </w:tblPr>
      <w:tblGrid>
        <w:gridCol w:w="3736"/>
        <w:gridCol w:w="1595"/>
        <w:gridCol w:w="1595"/>
        <w:gridCol w:w="1596"/>
      </w:tblGrid>
      <w:tr w:rsidR="00E04C89" w:rsidRPr="00E04C89" w14:paraId="7811E04F" w14:textId="77777777" w:rsidTr="00E04C89">
        <w:trPr>
          <w:trHeight w:val="255"/>
        </w:trPr>
        <w:tc>
          <w:tcPr>
            <w:tcW w:w="3736" w:type="dxa"/>
            <w:tcBorders>
              <w:top w:val="single" w:sz="4" w:space="0" w:color="auto"/>
              <w:left w:val="single" w:sz="4" w:space="0" w:color="auto"/>
              <w:bottom w:val="single" w:sz="4" w:space="0" w:color="auto"/>
              <w:right w:val="single" w:sz="4" w:space="0" w:color="auto"/>
            </w:tcBorders>
            <w:vAlign w:val="center"/>
          </w:tcPr>
          <w:p w14:paraId="75F14ED2" w14:textId="77777777" w:rsidR="00E04C89" w:rsidRPr="00E04C89" w:rsidRDefault="00E04C89" w:rsidP="00E04C89">
            <w:pPr>
              <w:pStyle w:val="13"/>
              <w:ind w:firstLineChars="0" w:firstLine="0"/>
              <w:rPr>
                <w:sz w:val="21"/>
                <w:szCs w:val="21"/>
              </w:rPr>
            </w:pPr>
            <w:proofErr w:type="gramStart"/>
            <w:r w:rsidRPr="00E04C89">
              <w:rPr>
                <w:rFonts w:hint="eastAsia"/>
                <w:sz w:val="21"/>
                <w:szCs w:val="21"/>
              </w:rPr>
              <w:t>有效业务</w:t>
            </w:r>
            <w:proofErr w:type="gramEnd"/>
            <w:r w:rsidRPr="00E04C89">
              <w:rPr>
                <w:rFonts w:hint="eastAsia"/>
                <w:sz w:val="21"/>
                <w:szCs w:val="21"/>
              </w:rPr>
              <w:t>现值（亿元）</w:t>
            </w:r>
          </w:p>
        </w:tc>
        <w:tc>
          <w:tcPr>
            <w:tcW w:w="1595" w:type="dxa"/>
            <w:tcBorders>
              <w:top w:val="single" w:sz="4" w:space="0" w:color="auto"/>
              <w:left w:val="nil"/>
              <w:bottom w:val="single" w:sz="4" w:space="0" w:color="auto"/>
              <w:right w:val="single" w:sz="4" w:space="0" w:color="auto"/>
            </w:tcBorders>
            <w:vAlign w:val="center"/>
          </w:tcPr>
          <w:p w14:paraId="4569B7B7" w14:textId="77777777" w:rsidR="00E04C89" w:rsidRPr="00E04C89" w:rsidRDefault="00E04C89" w:rsidP="00E04C89">
            <w:pPr>
              <w:pStyle w:val="13"/>
              <w:ind w:firstLineChars="0" w:firstLine="0"/>
              <w:jc w:val="right"/>
              <w:rPr>
                <w:sz w:val="21"/>
                <w:szCs w:val="21"/>
              </w:rPr>
            </w:pPr>
            <w:r w:rsidRPr="00E04C89">
              <w:rPr>
                <w:rFonts w:hint="eastAsia"/>
                <w:sz w:val="21"/>
                <w:szCs w:val="21"/>
              </w:rPr>
              <w:t>2468.03</w:t>
            </w:r>
          </w:p>
        </w:tc>
        <w:tc>
          <w:tcPr>
            <w:tcW w:w="1595" w:type="dxa"/>
            <w:tcBorders>
              <w:top w:val="single" w:sz="4" w:space="0" w:color="auto"/>
              <w:left w:val="nil"/>
              <w:bottom w:val="single" w:sz="4" w:space="0" w:color="auto"/>
              <w:right w:val="single" w:sz="4" w:space="0" w:color="auto"/>
            </w:tcBorders>
            <w:vAlign w:val="center"/>
          </w:tcPr>
          <w:p w14:paraId="03B9B0D7" w14:textId="77777777" w:rsidR="00E04C89" w:rsidRPr="00E04C89" w:rsidRDefault="00E04C89" w:rsidP="00E04C89">
            <w:pPr>
              <w:pStyle w:val="13"/>
              <w:ind w:firstLineChars="0" w:firstLine="0"/>
              <w:jc w:val="right"/>
              <w:rPr>
                <w:sz w:val="21"/>
                <w:szCs w:val="21"/>
              </w:rPr>
            </w:pPr>
            <w:r w:rsidRPr="00E04C89">
              <w:rPr>
                <w:rFonts w:hint="eastAsia"/>
                <w:sz w:val="21"/>
                <w:szCs w:val="21"/>
              </w:rPr>
              <w:t>2347.02</w:t>
            </w:r>
          </w:p>
        </w:tc>
        <w:tc>
          <w:tcPr>
            <w:tcW w:w="1596" w:type="dxa"/>
            <w:tcBorders>
              <w:top w:val="single" w:sz="4" w:space="0" w:color="auto"/>
              <w:left w:val="nil"/>
              <w:bottom w:val="single" w:sz="4" w:space="0" w:color="auto"/>
              <w:right w:val="single" w:sz="4" w:space="0" w:color="auto"/>
            </w:tcBorders>
            <w:vAlign w:val="center"/>
          </w:tcPr>
          <w:p w14:paraId="05C1D4EB" w14:textId="77777777" w:rsidR="00E04C89" w:rsidRPr="00E04C89" w:rsidRDefault="00E04C89" w:rsidP="00E04C89">
            <w:pPr>
              <w:pStyle w:val="13"/>
              <w:ind w:firstLineChars="0" w:firstLine="0"/>
              <w:jc w:val="right"/>
              <w:rPr>
                <w:sz w:val="21"/>
                <w:szCs w:val="21"/>
              </w:rPr>
            </w:pPr>
            <w:r w:rsidRPr="00E04C89">
              <w:rPr>
                <w:rFonts w:hint="eastAsia"/>
                <w:sz w:val="21"/>
                <w:szCs w:val="21"/>
              </w:rPr>
              <w:t>2234.32</w:t>
            </w:r>
          </w:p>
        </w:tc>
      </w:tr>
      <w:tr w:rsidR="00E04C89" w:rsidRPr="00E04C89" w14:paraId="445CBC0D" w14:textId="77777777" w:rsidTr="00E04C89">
        <w:trPr>
          <w:trHeight w:val="255"/>
        </w:trPr>
        <w:tc>
          <w:tcPr>
            <w:tcW w:w="3736" w:type="dxa"/>
            <w:tcBorders>
              <w:top w:val="nil"/>
              <w:left w:val="single" w:sz="4" w:space="0" w:color="auto"/>
              <w:bottom w:val="single" w:sz="4" w:space="0" w:color="auto"/>
              <w:right w:val="single" w:sz="4" w:space="0" w:color="auto"/>
            </w:tcBorders>
            <w:vAlign w:val="center"/>
          </w:tcPr>
          <w:p w14:paraId="60D72597" w14:textId="77777777" w:rsidR="00E04C89" w:rsidRPr="00E04C89" w:rsidRDefault="00E04C89" w:rsidP="00E04C89">
            <w:pPr>
              <w:pStyle w:val="13"/>
              <w:ind w:firstLineChars="0" w:firstLine="0"/>
              <w:rPr>
                <w:sz w:val="21"/>
                <w:szCs w:val="21"/>
              </w:rPr>
            </w:pPr>
            <w:r w:rsidRPr="00E04C89">
              <w:rPr>
                <w:rFonts w:hint="eastAsia"/>
                <w:sz w:val="21"/>
                <w:szCs w:val="21"/>
              </w:rPr>
              <w:t>折现率</w:t>
            </w:r>
          </w:p>
        </w:tc>
        <w:tc>
          <w:tcPr>
            <w:tcW w:w="1595" w:type="dxa"/>
            <w:tcBorders>
              <w:top w:val="nil"/>
              <w:left w:val="nil"/>
              <w:bottom w:val="single" w:sz="4" w:space="0" w:color="auto"/>
              <w:right w:val="single" w:sz="4" w:space="0" w:color="auto"/>
            </w:tcBorders>
            <w:vAlign w:val="center"/>
          </w:tcPr>
          <w:p w14:paraId="38CA0B77" w14:textId="77777777" w:rsidR="00E04C89" w:rsidRPr="00E04C89" w:rsidRDefault="00E04C89" w:rsidP="00E04C89">
            <w:pPr>
              <w:pStyle w:val="13"/>
              <w:ind w:firstLineChars="0" w:firstLine="0"/>
              <w:jc w:val="right"/>
              <w:rPr>
                <w:sz w:val="21"/>
                <w:szCs w:val="21"/>
              </w:rPr>
            </w:pPr>
            <w:r w:rsidRPr="00E04C89">
              <w:rPr>
                <w:rFonts w:hint="eastAsia"/>
                <w:sz w:val="21"/>
                <w:szCs w:val="21"/>
              </w:rPr>
              <w:t>10.50%</w:t>
            </w:r>
          </w:p>
        </w:tc>
        <w:tc>
          <w:tcPr>
            <w:tcW w:w="1595" w:type="dxa"/>
            <w:tcBorders>
              <w:top w:val="nil"/>
              <w:left w:val="nil"/>
              <w:bottom w:val="single" w:sz="4" w:space="0" w:color="auto"/>
              <w:right w:val="single" w:sz="4" w:space="0" w:color="auto"/>
            </w:tcBorders>
            <w:vAlign w:val="center"/>
          </w:tcPr>
          <w:p w14:paraId="3A26A681" w14:textId="77777777" w:rsidR="00E04C89" w:rsidRPr="00E04C89" w:rsidRDefault="00E04C89" w:rsidP="00E04C89">
            <w:pPr>
              <w:pStyle w:val="13"/>
              <w:ind w:firstLineChars="0" w:firstLine="0"/>
              <w:jc w:val="right"/>
              <w:rPr>
                <w:sz w:val="21"/>
                <w:szCs w:val="21"/>
              </w:rPr>
            </w:pPr>
            <w:r w:rsidRPr="00E04C89">
              <w:rPr>
                <w:rFonts w:hint="eastAsia"/>
                <w:sz w:val="21"/>
                <w:szCs w:val="21"/>
              </w:rPr>
              <w:t>11%</w:t>
            </w:r>
          </w:p>
        </w:tc>
        <w:tc>
          <w:tcPr>
            <w:tcW w:w="1596" w:type="dxa"/>
            <w:tcBorders>
              <w:top w:val="nil"/>
              <w:left w:val="nil"/>
              <w:bottom w:val="single" w:sz="4" w:space="0" w:color="auto"/>
              <w:right w:val="single" w:sz="4" w:space="0" w:color="auto"/>
            </w:tcBorders>
            <w:vAlign w:val="center"/>
          </w:tcPr>
          <w:p w14:paraId="77CE6745" w14:textId="77777777" w:rsidR="00E04C89" w:rsidRPr="00E04C89" w:rsidRDefault="00E04C89" w:rsidP="00E04C89">
            <w:pPr>
              <w:pStyle w:val="13"/>
              <w:ind w:firstLineChars="0" w:firstLine="0"/>
              <w:jc w:val="right"/>
              <w:rPr>
                <w:sz w:val="21"/>
                <w:szCs w:val="21"/>
              </w:rPr>
            </w:pPr>
            <w:r w:rsidRPr="00E04C89">
              <w:rPr>
                <w:rFonts w:hint="eastAsia"/>
                <w:sz w:val="21"/>
                <w:szCs w:val="21"/>
              </w:rPr>
              <w:t>11.50%</w:t>
            </w:r>
          </w:p>
        </w:tc>
      </w:tr>
      <w:tr w:rsidR="00E04C89" w:rsidRPr="00E04C89" w14:paraId="5CA4C9A6" w14:textId="77777777" w:rsidTr="00E04C89">
        <w:trPr>
          <w:trHeight w:val="255"/>
        </w:trPr>
        <w:tc>
          <w:tcPr>
            <w:tcW w:w="3736" w:type="dxa"/>
            <w:tcBorders>
              <w:top w:val="nil"/>
              <w:left w:val="single" w:sz="4" w:space="0" w:color="auto"/>
              <w:bottom w:val="single" w:sz="4" w:space="0" w:color="auto"/>
              <w:right w:val="single" w:sz="4" w:space="0" w:color="auto"/>
            </w:tcBorders>
            <w:vAlign w:val="center"/>
          </w:tcPr>
          <w:p w14:paraId="34A70D79" w14:textId="77777777" w:rsidR="00E04C89" w:rsidRPr="00E04C89" w:rsidRDefault="00E04C89" w:rsidP="00E04C89">
            <w:pPr>
              <w:pStyle w:val="13"/>
              <w:ind w:firstLineChars="0" w:firstLine="0"/>
              <w:rPr>
                <w:sz w:val="21"/>
                <w:szCs w:val="21"/>
              </w:rPr>
            </w:pPr>
            <w:r w:rsidRPr="00E04C89">
              <w:rPr>
                <w:rFonts w:hint="eastAsia"/>
                <w:sz w:val="21"/>
                <w:szCs w:val="21"/>
              </w:rPr>
              <w:t>一年新业务价值（亿元）</w:t>
            </w:r>
          </w:p>
        </w:tc>
        <w:tc>
          <w:tcPr>
            <w:tcW w:w="1595" w:type="dxa"/>
            <w:tcBorders>
              <w:top w:val="nil"/>
              <w:left w:val="nil"/>
              <w:bottom w:val="single" w:sz="4" w:space="0" w:color="auto"/>
              <w:right w:val="single" w:sz="4" w:space="0" w:color="auto"/>
            </w:tcBorders>
            <w:vAlign w:val="center"/>
          </w:tcPr>
          <w:p w14:paraId="07BCB121" w14:textId="77777777" w:rsidR="00E04C89" w:rsidRPr="00E04C89" w:rsidRDefault="00E04C89" w:rsidP="00E04C89">
            <w:pPr>
              <w:pStyle w:val="13"/>
              <w:ind w:firstLineChars="0" w:firstLine="0"/>
              <w:jc w:val="right"/>
              <w:rPr>
                <w:sz w:val="21"/>
                <w:szCs w:val="21"/>
              </w:rPr>
            </w:pPr>
            <w:r w:rsidRPr="00E04C89">
              <w:rPr>
                <w:rFonts w:hint="eastAsia"/>
                <w:sz w:val="21"/>
                <w:szCs w:val="21"/>
              </w:rPr>
              <w:t>225.54</w:t>
            </w:r>
          </w:p>
        </w:tc>
        <w:tc>
          <w:tcPr>
            <w:tcW w:w="1595" w:type="dxa"/>
            <w:tcBorders>
              <w:top w:val="nil"/>
              <w:left w:val="nil"/>
              <w:bottom w:val="single" w:sz="4" w:space="0" w:color="auto"/>
              <w:right w:val="single" w:sz="4" w:space="0" w:color="auto"/>
            </w:tcBorders>
            <w:vAlign w:val="center"/>
          </w:tcPr>
          <w:p w14:paraId="6CE3EE1E" w14:textId="77777777" w:rsidR="00E04C89" w:rsidRPr="00E04C89" w:rsidRDefault="00E04C89" w:rsidP="00E04C89">
            <w:pPr>
              <w:pStyle w:val="13"/>
              <w:ind w:firstLineChars="0" w:firstLine="0"/>
              <w:jc w:val="right"/>
              <w:rPr>
                <w:sz w:val="21"/>
                <w:szCs w:val="21"/>
              </w:rPr>
            </w:pPr>
            <w:r w:rsidRPr="00E04C89">
              <w:rPr>
                <w:rFonts w:hint="eastAsia"/>
                <w:sz w:val="21"/>
                <w:szCs w:val="21"/>
              </w:rPr>
              <w:t>213</w:t>
            </w:r>
          </w:p>
        </w:tc>
        <w:tc>
          <w:tcPr>
            <w:tcW w:w="1596" w:type="dxa"/>
            <w:tcBorders>
              <w:top w:val="nil"/>
              <w:left w:val="nil"/>
              <w:bottom w:val="single" w:sz="4" w:space="0" w:color="auto"/>
              <w:right w:val="single" w:sz="4" w:space="0" w:color="auto"/>
            </w:tcBorders>
            <w:vAlign w:val="center"/>
          </w:tcPr>
          <w:p w14:paraId="7F32D866" w14:textId="77777777" w:rsidR="00E04C89" w:rsidRPr="00E04C89" w:rsidRDefault="00E04C89" w:rsidP="00E04C89">
            <w:pPr>
              <w:pStyle w:val="13"/>
              <w:ind w:firstLineChars="0" w:firstLine="0"/>
              <w:jc w:val="right"/>
              <w:rPr>
                <w:sz w:val="21"/>
                <w:szCs w:val="21"/>
              </w:rPr>
            </w:pPr>
            <w:r w:rsidRPr="00E04C89">
              <w:rPr>
                <w:rFonts w:hint="eastAsia"/>
                <w:sz w:val="21"/>
                <w:szCs w:val="21"/>
              </w:rPr>
              <w:t>201.36</w:t>
            </w:r>
          </w:p>
        </w:tc>
      </w:tr>
    </w:tbl>
    <w:p w14:paraId="491AD3B6" w14:textId="77777777" w:rsidR="00E04C89" w:rsidRDefault="00E04C89" w:rsidP="00E04C89">
      <w:pPr>
        <w:pStyle w:val="13"/>
      </w:pPr>
      <w:r>
        <w:rPr>
          <w:rFonts w:hint="eastAsia"/>
        </w:rPr>
        <w:t>对这些数据进行回归，得出拟合方程为</w:t>
      </w:r>
    </w:p>
    <w:p w14:paraId="2538D6EB" w14:textId="77777777" w:rsidR="00E04C89" w:rsidRDefault="00E04C89" w:rsidP="00E04C89">
      <w:pPr>
        <w:pStyle w:val="13"/>
      </w:pPr>
      <w:proofErr w:type="gramStart"/>
      <w:r>
        <w:rPr>
          <w:rFonts w:hint="eastAsia"/>
        </w:rPr>
        <w:t>有效业务</w:t>
      </w:r>
      <w:proofErr w:type="gramEnd"/>
      <w:r>
        <w:rPr>
          <w:rFonts w:hint="eastAsia"/>
        </w:rPr>
        <w:t>现值</w:t>
      </w:r>
      <w:r>
        <w:t>y = 7013.4e-9.948x   R² = 1，</w:t>
      </w:r>
    </w:p>
    <w:p w14:paraId="1099BB22" w14:textId="77777777" w:rsidR="00E04C89" w:rsidRDefault="00E04C89" w:rsidP="00E04C89">
      <w:pPr>
        <w:pStyle w:val="13"/>
      </w:pPr>
      <w:r>
        <w:rPr>
          <w:rFonts w:hint="eastAsia"/>
        </w:rPr>
        <w:t>一年新业务价值</w:t>
      </w:r>
      <w:r>
        <w:t xml:space="preserve">y = 741.79e-11.34x   R² = 1 </w:t>
      </w:r>
    </w:p>
    <w:p w14:paraId="74ACBEF2" w14:textId="77777777" w:rsidR="00E04C89" w:rsidRDefault="00E04C89" w:rsidP="00E04C89">
      <w:pPr>
        <w:pStyle w:val="13"/>
      </w:pPr>
      <w:r>
        <w:rPr>
          <w:rFonts w:hint="eastAsia"/>
        </w:rPr>
        <w:t>则当折现率为</w:t>
      </w:r>
      <w:r>
        <w:t>9%时，得出</w:t>
      </w:r>
      <w:proofErr w:type="gramStart"/>
      <w:r>
        <w:t>有效业务</w:t>
      </w:r>
      <w:proofErr w:type="gramEnd"/>
      <w:r>
        <w:t>现值为2864.65亿元、一年新业务价值267.33亿元。</w:t>
      </w:r>
    </w:p>
    <w:p w14:paraId="22264194" w14:textId="77777777" w:rsidR="00E04C89" w:rsidRDefault="00E04C89" w:rsidP="00E04C89">
      <w:pPr>
        <w:pStyle w:val="13"/>
      </w:pPr>
      <w:r>
        <w:rPr>
          <w:rFonts w:hint="eastAsia"/>
        </w:rPr>
        <w:t>②调整后净资产</w:t>
      </w:r>
    </w:p>
    <w:p w14:paraId="30AE8164" w14:textId="77777777" w:rsidR="00E04C89" w:rsidRDefault="00E04C89" w:rsidP="00E04C89">
      <w:pPr>
        <w:pStyle w:val="13"/>
      </w:pPr>
      <w:r>
        <w:rPr>
          <w:rFonts w:hint="eastAsia"/>
        </w:rPr>
        <w:t>假设调整后净资产金额不进行调整，仍为</w:t>
      </w:r>
      <w:r>
        <w:t>1075.22亿元。</w:t>
      </w:r>
    </w:p>
    <w:p w14:paraId="31A69CC4" w14:textId="77777777" w:rsidR="00E04C89" w:rsidRDefault="00E04C89" w:rsidP="00E04C89">
      <w:pPr>
        <w:pStyle w:val="13"/>
      </w:pPr>
      <w:r>
        <w:rPr>
          <w:rFonts w:hint="eastAsia"/>
        </w:rPr>
        <w:t>③新业务乘数</w:t>
      </w:r>
    </w:p>
    <w:p w14:paraId="5FD8D0F6" w14:textId="77777777" w:rsidR="00E04C89" w:rsidRDefault="00E04C89" w:rsidP="00E04C89">
      <w:pPr>
        <w:pStyle w:val="13"/>
      </w:pPr>
      <w:r>
        <w:rPr>
          <w:rFonts w:hint="eastAsia"/>
        </w:rPr>
        <w:t>考虑到</w:t>
      </w:r>
      <w:r>
        <w:t>xx人寿发展阶段、未来业务增长情况等因素，本次分别采用基于DCF的新业务乘数18.87，两阶段增长模型的新业务乘数12.66。相关数据来源于四家上市保险公司中国平安、新华保险、中国太保、xx人寿2009-2013年年度报告及年度内含价值报告数据，分别按照四家对应数据的算术平均值计算得出。其中第一阶段增长率按照四家历史年度新业务增长率平均值为6.05%，第一阶段采用10年期限。第二阶段假设永续增长3%。新业务折现率假设为11%。</w:t>
      </w:r>
    </w:p>
    <w:p w14:paraId="1BD54B54" w14:textId="77777777" w:rsidR="00E04C89" w:rsidRDefault="00E04C89" w:rsidP="00E04C89">
      <w:pPr>
        <w:pStyle w:val="13"/>
      </w:pPr>
      <w:r>
        <w:rPr>
          <w:rFonts w:hint="eastAsia"/>
        </w:rPr>
        <w:t>④确定股权价值</w:t>
      </w:r>
    </w:p>
    <w:p w14:paraId="60B7A6D0" w14:textId="77777777" w:rsidR="00E04C89" w:rsidRDefault="00E04C89" w:rsidP="00E04C89">
      <w:pPr>
        <w:pStyle w:val="13"/>
      </w:pPr>
      <w:r>
        <w:rPr>
          <w:rFonts w:hint="eastAsia"/>
        </w:rPr>
        <w:t>关于股权价值是否应当包含调整净资产，保险理论界存在一定分歧。有学者认为应当扣除调整净资产，否则会造成重复计算。我们可以分别看一下内含价值及新业务价值计算公式：</w:t>
      </w:r>
    </w:p>
    <w:p w14:paraId="0087567A" w14:textId="77777777" w:rsidR="00E04C89" w:rsidRDefault="00E04C89" w:rsidP="00E04C89">
      <w:pPr>
        <w:pStyle w:val="13"/>
      </w:pPr>
      <w:r>
        <w:rPr>
          <w:rFonts w:hint="eastAsia"/>
        </w:rPr>
        <w:t>内含价值</w:t>
      </w:r>
      <w:r>
        <w:t>=自由盈余+持有资本-持有资本成本+</w:t>
      </w:r>
      <w:proofErr w:type="gramStart"/>
      <w:r>
        <w:t>有效业务</w:t>
      </w:r>
      <w:proofErr w:type="gramEnd"/>
      <w:r>
        <w:t>价值=调整净资产+（</w:t>
      </w:r>
      <w:proofErr w:type="gramStart"/>
      <w:r>
        <w:t>有效业务</w:t>
      </w:r>
      <w:proofErr w:type="gramEnd"/>
      <w:r>
        <w:t>价值-持有资本成本）</w:t>
      </w:r>
    </w:p>
    <w:p w14:paraId="630D42C9" w14:textId="77777777" w:rsidR="00E04C89" w:rsidRDefault="00E04C89" w:rsidP="00E04C89">
      <w:pPr>
        <w:pStyle w:val="13"/>
      </w:pPr>
      <w:r>
        <w:rPr>
          <w:rFonts w:hint="eastAsia"/>
        </w:rPr>
        <w:t>新业务价值</w:t>
      </w:r>
      <w:r>
        <w:t>=一年新业务价值（已扣除持有资本成本）×新业务乘数</w:t>
      </w:r>
    </w:p>
    <w:p w14:paraId="1E8945D8" w14:textId="0EC80944" w:rsidR="00E04C89" w:rsidRDefault="00E04C89" w:rsidP="00E04C89">
      <w:pPr>
        <w:pStyle w:val="13"/>
      </w:pPr>
      <w:r>
        <w:rPr>
          <w:rFonts w:hint="eastAsia"/>
        </w:rPr>
        <w:t>其中，按照通常两阶段新业务乘数模型</w:t>
      </w:r>
    </w:p>
    <w:p w14:paraId="785B493F" w14:textId="1FA3B351" w:rsidR="00E04C89" w:rsidRDefault="00E04C89" w:rsidP="005A79E9">
      <w:pPr>
        <w:pStyle w:val="13"/>
      </w:pPr>
      <w:r w:rsidRPr="00E04C89">
        <w:rPr>
          <w:rFonts w:hint="eastAsia"/>
        </w:rPr>
        <w:t>新业务乘数</w:t>
      </w:r>
    </w:p>
    <w:p w14:paraId="6EBAB8A5" w14:textId="77777777" w:rsidR="00E04C89" w:rsidRDefault="00E04C89" w:rsidP="00E04C89">
      <w:pPr>
        <w:pStyle w:val="13"/>
      </w:pPr>
      <w:r>
        <w:rPr>
          <w:rFonts w:hint="eastAsia"/>
        </w:rPr>
        <w:t>如果股权价值</w:t>
      </w:r>
      <w:r>
        <w:t>=内含价值+新业务价值=调整净资产+（</w:t>
      </w:r>
      <w:proofErr w:type="gramStart"/>
      <w:r>
        <w:t>有效业务</w:t>
      </w:r>
      <w:proofErr w:type="gramEnd"/>
      <w:r>
        <w:t>价值-持有资本成本）+一年新业务价值（已扣除持有资本成本）×新业务乘数</w:t>
      </w:r>
    </w:p>
    <w:p w14:paraId="0C4A7F31" w14:textId="77777777" w:rsidR="00E04C89" w:rsidRDefault="00E04C89" w:rsidP="00E04C89">
      <w:pPr>
        <w:pStyle w:val="13"/>
      </w:pPr>
      <w:r>
        <w:rPr>
          <w:rFonts w:hint="eastAsia"/>
        </w:rPr>
        <w:t>显然在</w:t>
      </w:r>
      <w:proofErr w:type="gramStart"/>
      <w:r>
        <w:rPr>
          <w:rFonts w:hint="eastAsia"/>
        </w:rPr>
        <w:t>有效业务</w:t>
      </w:r>
      <w:proofErr w:type="gramEnd"/>
      <w:r>
        <w:rPr>
          <w:rFonts w:hint="eastAsia"/>
        </w:rPr>
        <w:t>价值及新业务价值计算中，都已经考虑现有投资（调整净资产）在未来的贡献收益折现值，如果再计调整净资产，会造成重复。因此，在本案例中，</w:t>
      </w:r>
      <w:r>
        <w:rPr>
          <w:rFonts w:hint="eastAsia"/>
        </w:rPr>
        <w:lastRenderedPageBreak/>
        <w:t>我们采用了扣除调整净资产的结果，即</w:t>
      </w:r>
    </w:p>
    <w:p w14:paraId="20FE27FC" w14:textId="77777777" w:rsidR="00E04C89" w:rsidRDefault="00E04C89" w:rsidP="00E04C89">
      <w:pPr>
        <w:pStyle w:val="13"/>
      </w:pPr>
      <w:r>
        <w:rPr>
          <w:rFonts w:hint="eastAsia"/>
        </w:rPr>
        <w:t>股权价值</w:t>
      </w:r>
      <w:r>
        <w:t>=调整后内含价值+调整后新业务价值-调整净资产=调整后</w:t>
      </w:r>
      <w:proofErr w:type="gramStart"/>
      <w:r>
        <w:t>有效业务</w:t>
      </w:r>
      <w:proofErr w:type="gramEnd"/>
      <w:r>
        <w:t>现值+调整后一年新业务价值×新业务乘数</w:t>
      </w:r>
    </w:p>
    <w:p w14:paraId="5150B654" w14:textId="77777777" w:rsidR="00E04C89" w:rsidRDefault="00E04C89" w:rsidP="00E04C89">
      <w:pPr>
        <w:pStyle w:val="13"/>
      </w:pPr>
      <w:r>
        <w:rPr>
          <w:rFonts w:hint="eastAsia"/>
        </w:rPr>
        <w:t>将上述参数代入公式，则分别计算股权价值为</w:t>
      </w:r>
    </w:p>
    <w:p w14:paraId="206F8ECE" w14:textId="77777777" w:rsidR="00E04C89" w:rsidRDefault="00E04C89" w:rsidP="00E04C89">
      <w:pPr>
        <w:pStyle w:val="13"/>
      </w:pPr>
      <w:r>
        <w:rPr>
          <w:rFonts w:hint="eastAsia"/>
        </w:rPr>
        <w:t>股权价值</w:t>
      </w:r>
      <w:r>
        <w:t>1=2864.65亿元+267.33亿元×18.87=7909.57亿元</w:t>
      </w:r>
    </w:p>
    <w:p w14:paraId="72C649F4" w14:textId="77777777" w:rsidR="00E04C89" w:rsidRDefault="00E04C89" w:rsidP="00E04C89">
      <w:pPr>
        <w:pStyle w:val="13"/>
      </w:pPr>
      <w:r>
        <w:rPr>
          <w:rFonts w:hint="eastAsia"/>
        </w:rPr>
        <w:t>股权价值</w:t>
      </w:r>
      <w:r>
        <w:t>2=2864.65亿元+267.33亿元×12.66=6248.00亿元</w:t>
      </w:r>
    </w:p>
    <w:p w14:paraId="3C0FFCAB" w14:textId="77777777" w:rsidR="00E04C89" w:rsidRDefault="00E04C89" w:rsidP="00E04C89">
      <w:pPr>
        <w:pStyle w:val="13"/>
      </w:pPr>
      <w:r>
        <w:rPr>
          <w:rFonts w:hint="eastAsia"/>
        </w:rPr>
        <w:t>即，</w:t>
      </w:r>
      <w:r>
        <w:t>xx人寿2013年股权价值在6248.00亿元至7909.57亿元之间。</w:t>
      </w:r>
    </w:p>
    <w:p w14:paraId="4C5CFCAB" w14:textId="77777777" w:rsidR="00E04C89" w:rsidRDefault="00E04C89" w:rsidP="00E04C89">
      <w:pPr>
        <w:pStyle w:val="13"/>
      </w:pPr>
      <w:r>
        <w:rPr>
          <w:rFonts w:hint="eastAsia"/>
        </w:rPr>
        <w:t>按照</w:t>
      </w:r>
      <w:r>
        <w:t>2013年12月31日xx</w:t>
      </w:r>
      <w:proofErr w:type="gramStart"/>
      <w:r>
        <w:t>人寿总</w:t>
      </w:r>
      <w:proofErr w:type="gramEnd"/>
      <w:r>
        <w:t>股数28,264,705,000计，则每股价值在22.10元到27.98元之间，高于当日收盘价15.13元。这之间差别存在该公司股票被市场低估的因素，也有相关假设设定的差异。</w:t>
      </w:r>
    </w:p>
    <w:p w14:paraId="26561014" w14:textId="77777777" w:rsidR="00E04C89" w:rsidRDefault="00E04C89" w:rsidP="00E04C89">
      <w:pPr>
        <w:pStyle w:val="13"/>
      </w:pPr>
      <w:r>
        <w:rPr>
          <w:rFonts w:hint="eastAsia"/>
        </w:rPr>
        <w:t>根据部分公开</w:t>
      </w:r>
      <w:proofErr w:type="gramStart"/>
      <w:r>
        <w:rPr>
          <w:rFonts w:hint="eastAsia"/>
        </w:rPr>
        <w:t>研</w:t>
      </w:r>
      <w:proofErr w:type="gramEnd"/>
      <w:r>
        <w:rPr>
          <w:rFonts w:hint="eastAsia"/>
        </w:rPr>
        <w:t>报，海通证券分析师</w:t>
      </w:r>
      <w:r>
        <w:t>2013年12月31日撰文给出的估值为19.52元的目标价；瑞银证券分析师2013年12月27日撰文给出19.41元的目标价。2014年02月19日又将目标价调高为20.36元。给出的建议均为买入。</w:t>
      </w:r>
    </w:p>
    <w:p w14:paraId="4EB38E94" w14:textId="77777777" w:rsidR="00E04C89" w:rsidRPr="00E04C89" w:rsidRDefault="00E04C89" w:rsidP="00E905CE">
      <w:pPr>
        <w:pStyle w:val="ab"/>
        <w:spacing w:before="62" w:after="62"/>
        <w:ind w:firstLine="482"/>
      </w:pPr>
      <w:r w:rsidRPr="00E04C89">
        <w:rPr>
          <w:rFonts w:hint="eastAsia"/>
        </w:rPr>
        <w:t>四、使用提示</w:t>
      </w:r>
    </w:p>
    <w:p w14:paraId="20F9546A" w14:textId="12AFA36E" w:rsidR="00E04C89" w:rsidRDefault="00E04C89" w:rsidP="00E04C89">
      <w:pPr>
        <w:pStyle w:val="13"/>
      </w:pPr>
      <w:r>
        <w:rPr>
          <w:rFonts w:hint="eastAsia"/>
        </w:rPr>
        <w:t>由于本案例只是为使用者更好理解内含价值调整过程，假设及相关参数选择并没有</w:t>
      </w:r>
      <w:proofErr w:type="gramStart"/>
      <w:r>
        <w:rPr>
          <w:rFonts w:hint="eastAsia"/>
        </w:rPr>
        <w:t>基于被</w:t>
      </w:r>
      <w:proofErr w:type="gramEnd"/>
      <w:r>
        <w:rPr>
          <w:rFonts w:hint="eastAsia"/>
        </w:rPr>
        <w:t>评估企业进行深入分析，因此模拟计算结论不具有实际意义。实际评估工作中，需要对折现率、增长率、可比上市公司选择等进行详细分析，并且披露需要符合《资产评估准则——企业价值》等要求。提请使用者关注。</w:t>
      </w:r>
    </w:p>
    <w:p w14:paraId="771D653C" w14:textId="77777777" w:rsidR="00E905CE" w:rsidRDefault="00E905CE" w:rsidP="00E04C89">
      <w:pPr>
        <w:pStyle w:val="13"/>
      </w:pPr>
    </w:p>
    <w:p w14:paraId="6B4BB9F0" w14:textId="4A6B2D85" w:rsidR="00E04C89" w:rsidRDefault="00E04C89" w:rsidP="00E04C89">
      <w:pPr>
        <w:pStyle w:val="31"/>
        <w:spacing w:before="156" w:after="62"/>
      </w:pPr>
      <w:bookmarkStart w:id="63" w:name="_Toc81833335"/>
      <w:r>
        <w:rPr>
          <w:rFonts w:hint="eastAsia"/>
        </w:rPr>
        <w:t>资产评估专家指引第</w:t>
      </w:r>
      <w:r>
        <w:t>6号</w:t>
      </w:r>
      <w:proofErr w:type="gramStart"/>
      <w:r>
        <w:t>—上市</w:t>
      </w:r>
      <w:proofErr w:type="gramEnd"/>
      <w:r>
        <w:t>公司重大资产重组评估报告披露</w:t>
      </w:r>
      <w:r>
        <w:br/>
        <w:t>（</w:t>
      </w:r>
      <w:proofErr w:type="gramStart"/>
      <w:r>
        <w:t>中评协</w:t>
      </w:r>
      <w:proofErr w:type="gramEnd"/>
      <w:r>
        <w:t>〔2015〕67号</w:t>
      </w:r>
      <w:r w:rsidR="00FD3BB1">
        <w:rPr>
          <w:rFonts w:hint="eastAsia"/>
        </w:rPr>
        <w:t>）</w:t>
      </w:r>
      <w:bookmarkEnd w:id="63"/>
    </w:p>
    <w:p w14:paraId="53290A5F" w14:textId="77777777" w:rsidR="00E04C89" w:rsidRDefault="00E04C89" w:rsidP="00E04C89">
      <w:pPr>
        <w:pStyle w:val="13"/>
        <w:ind w:firstLineChars="0" w:firstLine="0"/>
      </w:pPr>
      <w:r>
        <w:rPr>
          <w:rFonts w:hint="eastAsia"/>
        </w:rPr>
        <w:t>各省、自治区、直辖市、计划单列市资产评估协会（注册会计师协会），具有证券评估业务资格的资产评估机构：</w:t>
      </w:r>
    </w:p>
    <w:p w14:paraId="687FC4C9" w14:textId="27CD3A67" w:rsidR="00E04C89" w:rsidRDefault="00E04C89" w:rsidP="00E04C89">
      <w:pPr>
        <w:pStyle w:val="13"/>
      </w:pPr>
      <w:r>
        <w:rPr>
          <w:rFonts w:hint="eastAsia"/>
        </w:rPr>
        <w:t>为进一步提高上市公司重大资产重组评估报告信息披露质量，防范执业风险，体现资产评估师职业资格管理制度改革相关要求，中国资产评估协会组织专家在修订《资产评估操作专家提示—上市公司重大资产重组评估报告披露》（</w:t>
      </w:r>
      <w:proofErr w:type="gramStart"/>
      <w:r>
        <w:rPr>
          <w:rFonts w:hint="eastAsia"/>
        </w:rPr>
        <w:t>中评协</w:t>
      </w:r>
      <w:proofErr w:type="gramEnd"/>
      <w:r>
        <w:rPr>
          <w:rFonts w:hint="eastAsia"/>
        </w:rPr>
        <w:t>〔</w:t>
      </w:r>
      <w:r>
        <w:t>2012〕246号） 的基础上，制定了《资产评估专家指引第6号—上市公司重大资产重组评估报告披露》</w:t>
      </w:r>
      <w:r w:rsidR="00DA29FF">
        <w:t>，</w:t>
      </w:r>
      <w:r>
        <w:t>现予以发布，供评估机构和资产评估</w:t>
      </w:r>
      <w:proofErr w:type="gramStart"/>
      <w:r>
        <w:t>师执行</w:t>
      </w:r>
      <w:proofErr w:type="gramEnd"/>
      <w:r>
        <w:t>上市公司重大资产重组评估业务时参考。</w:t>
      </w:r>
    </w:p>
    <w:p w14:paraId="08AD50E7" w14:textId="428BEA94" w:rsidR="00E04C89" w:rsidRDefault="00E04C89" w:rsidP="00E04C89">
      <w:pPr>
        <w:pStyle w:val="13"/>
      </w:pPr>
      <w:r>
        <w:rPr>
          <w:rFonts w:hint="eastAsia"/>
        </w:rPr>
        <w:t>请各地</w:t>
      </w:r>
      <w:proofErr w:type="gramStart"/>
      <w:r>
        <w:rPr>
          <w:rFonts w:hint="eastAsia"/>
        </w:rPr>
        <w:t>方协会</w:t>
      </w:r>
      <w:proofErr w:type="gramEnd"/>
      <w:r>
        <w:rPr>
          <w:rFonts w:hint="eastAsia"/>
        </w:rPr>
        <w:t>将《资产评估专家指引第</w:t>
      </w:r>
      <w:r>
        <w:t>6号—上市公司重大资产重组评估报告披露》及时转发评估机构。</w:t>
      </w:r>
    </w:p>
    <w:p w14:paraId="7C056762" w14:textId="6392EEF5" w:rsidR="00E04C89" w:rsidRDefault="00E04C89" w:rsidP="00E04C89">
      <w:pPr>
        <w:pStyle w:val="13"/>
      </w:pPr>
      <w:r>
        <w:rPr>
          <w:rFonts w:hint="eastAsia"/>
        </w:rPr>
        <w:t>中国资产评估协会于</w:t>
      </w:r>
      <w:r>
        <w:t xml:space="preserve"> 2012</w:t>
      </w:r>
      <w:r w:rsidR="003068F8">
        <w:t>年</w:t>
      </w:r>
      <w:r>
        <w:t>12</w:t>
      </w:r>
      <w:r w:rsidR="003068F8">
        <w:t>月</w:t>
      </w:r>
      <w:r>
        <w:t>28</w:t>
      </w:r>
      <w:r w:rsidR="003068F8">
        <w:t>日</w:t>
      </w:r>
      <w:r>
        <w:t>发布的《资产评估操作专家提示—上市公司重大资产重组评估报告披露》（</w:t>
      </w:r>
      <w:proofErr w:type="gramStart"/>
      <w:r>
        <w:t>中评协</w:t>
      </w:r>
      <w:proofErr w:type="gramEnd"/>
      <w:r>
        <w:t>〔2012〕246号）自</w:t>
      </w:r>
      <w:proofErr w:type="gramStart"/>
      <w:r>
        <w:t>本专家</w:t>
      </w:r>
      <w:proofErr w:type="gramEnd"/>
      <w:r>
        <w:t>指引发布时</w:t>
      </w:r>
      <w:r>
        <w:lastRenderedPageBreak/>
        <w:t>起同时废止。</w:t>
      </w:r>
    </w:p>
    <w:p w14:paraId="765C2704" w14:textId="77777777" w:rsidR="00E04C89" w:rsidRDefault="00E04C89" w:rsidP="00E04C89">
      <w:pPr>
        <w:pStyle w:val="13"/>
        <w:jc w:val="right"/>
      </w:pPr>
      <w:r>
        <w:rPr>
          <w:rFonts w:hint="eastAsia"/>
        </w:rPr>
        <w:t>中国资产评估协会</w:t>
      </w:r>
    </w:p>
    <w:p w14:paraId="4851AD94" w14:textId="126D74F6" w:rsidR="00E04C89" w:rsidRDefault="00E04C89" w:rsidP="00E04C89">
      <w:pPr>
        <w:pStyle w:val="13"/>
        <w:jc w:val="right"/>
      </w:pPr>
      <w:r>
        <w:t>2015</w:t>
      </w:r>
      <w:r w:rsidR="003068F8">
        <w:t>年</w:t>
      </w:r>
      <w:r>
        <w:t>7</w:t>
      </w:r>
      <w:r w:rsidR="003068F8">
        <w:t>月</w:t>
      </w:r>
      <w:r>
        <w:t>22</w:t>
      </w:r>
      <w:r w:rsidR="003068F8">
        <w:t>日</w:t>
      </w:r>
    </w:p>
    <w:p w14:paraId="35AC82BA" w14:textId="0CBE2069" w:rsidR="005A79E9" w:rsidRDefault="008E060A" w:rsidP="00AF7342">
      <w:pPr>
        <w:pStyle w:val="a9"/>
        <w:spacing w:before="62" w:after="62"/>
      </w:pPr>
      <w:r>
        <w:rPr>
          <w:rFonts w:hint="eastAsia"/>
        </w:rPr>
        <w:t>资产评估专家指引第</w:t>
      </w:r>
      <w:r>
        <w:t>6号</w:t>
      </w:r>
      <w:proofErr w:type="gramStart"/>
      <w:r>
        <w:t>—上市</w:t>
      </w:r>
      <w:proofErr w:type="gramEnd"/>
      <w:r>
        <w:t>公司</w:t>
      </w:r>
      <w:r>
        <w:rPr>
          <w:rFonts w:hint="eastAsia"/>
        </w:rPr>
        <w:t>重大资产重组评估报告披露</w:t>
      </w:r>
    </w:p>
    <w:p w14:paraId="6E92AC8A" w14:textId="77777777" w:rsidR="00557811" w:rsidRDefault="00557811" w:rsidP="00557811">
      <w:pPr>
        <w:pStyle w:val="13"/>
      </w:pPr>
      <w:proofErr w:type="gramStart"/>
      <w:r>
        <w:rPr>
          <w:rFonts w:hint="eastAsia"/>
        </w:rPr>
        <w:t>本专家</w:t>
      </w:r>
      <w:proofErr w:type="gramEnd"/>
      <w:r>
        <w:rPr>
          <w:rFonts w:hint="eastAsia"/>
        </w:rPr>
        <w:t>指引是一种专家建议。评估机构执行资产评估业务，可以参照</w:t>
      </w:r>
      <w:proofErr w:type="gramStart"/>
      <w:r>
        <w:rPr>
          <w:rFonts w:hint="eastAsia"/>
        </w:rPr>
        <w:t>本专家</w:t>
      </w:r>
      <w:proofErr w:type="gramEnd"/>
      <w:r>
        <w:rPr>
          <w:rFonts w:hint="eastAsia"/>
        </w:rPr>
        <w:t>指引，也可以根据具体情况采用其他适当的做法。中国资产评估协会将根据业务发展，对</w:t>
      </w:r>
      <w:proofErr w:type="gramStart"/>
      <w:r>
        <w:rPr>
          <w:rFonts w:hint="eastAsia"/>
        </w:rPr>
        <w:t>本专家</w:t>
      </w:r>
      <w:proofErr w:type="gramEnd"/>
      <w:r>
        <w:rPr>
          <w:rFonts w:hint="eastAsia"/>
        </w:rPr>
        <w:t>指引进行更新。</w:t>
      </w:r>
    </w:p>
    <w:p w14:paraId="0BF2246B" w14:textId="4582C481" w:rsidR="00557811" w:rsidRDefault="004E3EBB" w:rsidP="00557811">
      <w:pPr>
        <w:pStyle w:val="13"/>
        <w:ind w:firstLine="482"/>
      </w:pPr>
      <w:r w:rsidRPr="004E3EBB">
        <w:rPr>
          <w:rFonts w:hint="eastAsia"/>
          <w:b/>
          <w:bCs/>
        </w:rPr>
        <w:t xml:space="preserve">第一条 </w:t>
      </w:r>
      <w:r w:rsidR="00557811">
        <w:t>为进一步提高上市公司重大资产重组评估报告信息披露质量，使监管部门和评估报告使用者能够充分理解评估结论，中国资产评估协会组织制定了</w:t>
      </w:r>
      <w:proofErr w:type="gramStart"/>
      <w:r w:rsidR="00557811">
        <w:t>本专家</w:t>
      </w:r>
      <w:proofErr w:type="gramEnd"/>
      <w:r w:rsidR="00557811">
        <w:t>指引。</w:t>
      </w:r>
    </w:p>
    <w:p w14:paraId="636BE121" w14:textId="72E37765" w:rsidR="00557811" w:rsidRDefault="004E3EBB" w:rsidP="00557811">
      <w:pPr>
        <w:pStyle w:val="13"/>
        <w:ind w:firstLine="482"/>
      </w:pPr>
      <w:r w:rsidRPr="004E3EBB">
        <w:rPr>
          <w:rFonts w:hint="eastAsia"/>
          <w:b/>
          <w:bCs/>
        </w:rPr>
        <w:t xml:space="preserve">第二条 </w:t>
      </w:r>
      <w:r w:rsidR="00557811">
        <w:t>上市公司重大资产重组评估报告，是指中国证监会上市公司重大资产重组相关规定涉及的评估报告。</w:t>
      </w:r>
    </w:p>
    <w:p w14:paraId="3CA89B09" w14:textId="4D892EBB" w:rsidR="00557811" w:rsidRDefault="004E3EBB" w:rsidP="00557811">
      <w:pPr>
        <w:pStyle w:val="13"/>
        <w:ind w:firstLine="482"/>
      </w:pPr>
      <w:r w:rsidRPr="004E3EBB">
        <w:rPr>
          <w:rFonts w:hint="eastAsia"/>
          <w:b/>
          <w:bCs/>
        </w:rPr>
        <w:t xml:space="preserve">第三条 </w:t>
      </w:r>
      <w:r w:rsidR="00557811">
        <w:t>上市公司重大资产重组评估业务可能涉及多种资产类型和多重监管，资产评估师编写上市公司重大资产重组评估报告时，应当遵守相关监管规定和评估准则对于信息披露的格式和内容的要求。</w:t>
      </w:r>
    </w:p>
    <w:p w14:paraId="2B507F43" w14:textId="424D9D26" w:rsidR="00557811" w:rsidRDefault="004E3EBB" w:rsidP="00557811">
      <w:pPr>
        <w:pStyle w:val="13"/>
        <w:ind w:firstLine="482"/>
      </w:pPr>
      <w:r w:rsidRPr="004E3EBB">
        <w:rPr>
          <w:rFonts w:hint="eastAsia"/>
          <w:b/>
          <w:bCs/>
        </w:rPr>
        <w:t xml:space="preserve">第四条 </w:t>
      </w:r>
      <w:r w:rsidR="00557811">
        <w:t>上市公司重大资产重组评估报告，应当关注相关审计报告的审计目标、审计范围及审计意见。</w:t>
      </w:r>
    </w:p>
    <w:p w14:paraId="4A2F02C2" w14:textId="77777777" w:rsidR="00557811" w:rsidRDefault="00557811" w:rsidP="00557811">
      <w:pPr>
        <w:pStyle w:val="13"/>
      </w:pPr>
      <w:r>
        <w:rPr>
          <w:rFonts w:hint="eastAsia"/>
        </w:rPr>
        <w:t>审计意见为带强调事项段的无保留意见或者保留意见时，资产评估</w:t>
      </w:r>
      <w:proofErr w:type="gramStart"/>
      <w:r>
        <w:rPr>
          <w:rFonts w:hint="eastAsia"/>
        </w:rPr>
        <w:t>师应当</w:t>
      </w:r>
      <w:proofErr w:type="gramEnd"/>
      <w:r>
        <w:rPr>
          <w:rFonts w:hint="eastAsia"/>
        </w:rPr>
        <w:t>关注并恰当考虑强调事项或者保留事项对评估结论的影响，并在评估报告中进行披露。</w:t>
      </w:r>
    </w:p>
    <w:p w14:paraId="0889A904" w14:textId="77777777" w:rsidR="00557811" w:rsidRDefault="00557811" w:rsidP="00557811">
      <w:pPr>
        <w:pStyle w:val="13"/>
      </w:pPr>
      <w:r>
        <w:rPr>
          <w:rFonts w:hint="eastAsia"/>
        </w:rPr>
        <w:t>审计意见为否定意见或无法表示意见时，资产评估</w:t>
      </w:r>
      <w:proofErr w:type="gramStart"/>
      <w:r>
        <w:rPr>
          <w:rFonts w:hint="eastAsia"/>
        </w:rPr>
        <w:t>师应当</w:t>
      </w:r>
      <w:proofErr w:type="gramEnd"/>
      <w:r>
        <w:rPr>
          <w:rFonts w:hint="eastAsia"/>
        </w:rPr>
        <w:t>在评估报告中对相关事项及评估处理方式进行披露。</w:t>
      </w:r>
    </w:p>
    <w:p w14:paraId="2425BE72" w14:textId="77777777" w:rsidR="00557811" w:rsidRDefault="00557811" w:rsidP="00557811">
      <w:pPr>
        <w:pStyle w:val="13"/>
      </w:pPr>
      <w:r>
        <w:rPr>
          <w:rFonts w:hint="eastAsia"/>
        </w:rPr>
        <w:t>上市公司重大资产重组评估报告中，评估对象是完整经营性实体的，应当披露评估对象涉及的资产、负债与已经审计财务报表之间的对应关系；评估对象不是完整经营性实体的，应当披露委托评估范围和被审计单位财务报表的关系。</w:t>
      </w:r>
    </w:p>
    <w:p w14:paraId="5707D389" w14:textId="79A5B363" w:rsidR="00557811" w:rsidRDefault="004E3EBB" w:rsidP="00557811">
      <w:pPr>
        <w:pStyle w:val="13"/>
        <w:ind w:firstLine="482"/>
      </w:pPr>
      <w:r w:rsidRPr="004E3EBB">
        <w:rPr>
          <w:rFonts w:hint="eastAsia"/>
          <w:b/>
          <w:bCs/>
        </w:rPr>
        <w:t xml:space="preserve">第五条 </w:t>
      </w:r>
      <w:r w:rsidR="00557811">
        <w:t>资产评估中涉及土地使用权评估，评估报告通常披露如下内容：</w:t>
      </w:r>
    </w:p>
    <w:p w14:paraId="624B0A7B" w14:textId="77777777" w:rsidR="00557811" w:rsidRDefault="00557811" w:rsidP="00557811">
      <w:pPr>
        <w:pStyle w:val="13"/>
      </w:pPr>
      <w:r>
        <w:rPr>
          <w:rFonts w:hint="eastAsia"/>
        </w:rPr>
        <w:t>（一）土地使用权评估基准日现状状态与评估设定状态，包括宗数、面积、用途、剩余年限、取得方式、取得成本、相关费用缴纳等；相关费用的承担方式以及对评估值的影响；</w:t>
      </w:r>
    </w:p>
    <w:p w14:paraId="73DDF71C" w14:textId="77777777" w:rsidR="00557811" w:rsidRDefault="00557811" w:rsidP="00557811">
      <w:pPr>
        <w:pStyle w:val="13"/>
      </w:pPr>
      <w:r>
        <w:rPr>
          <w:rFonts w:hint="eastAsia"/>
        </w:rPr>
        <w:t>（二）土地使用权权属资料，包括土地证、出让协议、使用协议等；土地使用状态，法规或政策限制交易、抵押等权利限制或者诉讼等权利争议事项；</w:t>
      </w:r>
    </w:p>
    <w:p w14:paraId="255DD2A0" w14:textId="77777777" w:rsidR="00557811" w:rsidRDefault="00557811" w:rsidP="00557811">
      <w:pPr>
        <w:pStyle w:val="13"/>
      </w:pPr>
      <w:r>
        <w:rPr>
          <w:rFonts w:hint="eastAsia"/>
        </w:rPr>
        <w:t>存在抵押、担保等权利限制情形的，评估报告应当披露处理方式。</w:t>
      </w:r>
    </w:p>
    <w:p w14:paraId="1B661BDE" w14:textId="78B50F08" w:rsidR="00557811" w:rsidRDefault="004E3EBB" w:rsidP="00557811">
      <w:pPr>
        <w:pStyle w:val="13"/>
        <w:ind w:firstLine="482"/>
      </w:pPr>
      <w:r w:rsidRPr="004E3EBB">
        <w:rPr>
          <w:rFonts w:hint="eastAsia"/>
          <w:b/>
          <w:bCs/>
        </w:rPr>
        <w:t xml:space="preserve">第六条 </w:t>
      </w:r>
      <w:r w:rsidR="00557811">
        <w:t>资产评估中涉及矿业权评估，评估报告通常披露如下内容：</w:t>
      </w:r>
    </w:p>
    <w:p w14:paraId="3747E206" w14:textId="01A3483C" w:rsidR="00557811" w:rsidRDefault="00557811" w:rsidP="00557811">
      <w:pPr>
        <w:pStyle w:val="13"/>
      </w:pPr>
      <w:r>
        <w:rPr>
          <w:rFonts w:hint="eastAsia"/>
        </w:rPr>
        <w:t>（一）矿业权评估范围，包括矿产资源勘查许可证或采矿许可证取得时间、有效期、勘查或开采矿种、开采方式、矿区面积、开采深度、生产规模等；取得方式；取</w:t>
      </w:r>
      <w:r>
        <w:rPr>
          <w:rFonts w:hint="eastAsia"/>
        </w:rPr>
        <w:lastRenderedPageBreak/>
        <w:t>得成本；有偿处置情况及相关税费，包括矿产资源补偿费、资源税、探矿权使用费、采矿权使用费等的缴纳情况</w:t>
      </w:r>
      <w:r w:rsidR="003068F8">
        <w:rPr>
          <w:rFonts w:hint="eastAsia"/>
        </w:rPr>
        <w:t>；</w:t>
      </w:r>
      <w:r>
        <w:t xml:space="preserve">  </w:t>
      </w:r>
    </w:p>
    <w:p w14:paraId="5BB6D9DE" w14:textId="77777777" w:rsidR="00557811" w:rsidRDefault="00557811" w:rsidP="00557811">
      <w:pPr>
        <w:pStyle w:val="13"/>
      </w:pPr>
      <w:r>
        <w:rPr>
          <w:rFonts w:hint="eastAsia"/>
        </w:rPr>
        <w:t>对于无偿取得的矿业权，披露矿业权价款对资产评估结论的影响；</w:t>
      </w:r>
    </w:p>
    <w:p w14:paraId="10D103C0" w14:textId="77777777" w:rsidR="00557811" w:rsidRDefault="00557811" w:rsidP="00557811">
      <w:pPr>
        <w:pStyle w:val="13"/>
      </w:pPr>
      <w:r>
        <w:rPr>
          <w:rFonts w:hint="eastAsia"/>
        </w:rPr>
        <w:t>对于以出让方式取得的矿业权，披露矿业权出让的合同、批准文件，矿业权价款缴纳情况；</w:t>
      </w:r>
    </w:p>
    <w:p w14:paraId="3D899805" w14:textId="77777777" w:rsidR="00557811" w:rsidRDefault="00557811" w:rsidP="00557811">
      <w:pPr>
        <w:pStyle w:val="13"/>
      </w:pPr>
      <w:r>
        <w:rPr>
          <w:rFonts w:hint="eastAsia"/>
        </w:rPr>
        <w:t>对于以转让方式取得的矿业权，披露矿业权交易价格及依据；</w:t>
      </w:r>
    </w:p>
    <w:p w14:paraId="6299C54A" w14:textId="77777777" w:rsidR="00557811" w:rsidRDefault="00557811" w:rsidP="00557811">
      <w:pPr>
        <w:pStyle w:val="13"/>
      </w:pPr>
      <w:r>
        <w:rPr>
          <w:rFonts w:hint="eastAsia"/>
        </w:rPr>
        <w:t>矿业权人出资勘查形成的矿产地，披露目前勘查及其投入情况；</w:t>
      </w:r>
    </w:p>
    <w:p w14:paraId="4032A10B" w14:textId="77777777" w:rsidR="00557811" w:rsidRDefault="00557811" w:rsidP="00557811">
      <w:pPr>
        <w:pStyle w:val="13"/>
      </w:pPr>
      <w:r>
        <w:rPr>
          <w:rFonts w:hint="eastAsia"/>
        </w:rPr>
        <w:t>上市公司购买拥有矿业权公司的股权，如果矿业权处置价款已确定，披露是否存在未付的款项并已足额记为负债；如果矿业权应当处置而未处置并且涉及价款的，披露未来支付的相关协议或者意向以及支付方式，及其对评估结论的影响。</w:t>
      </w:r>
    </w:p>
    <w:p w14:paraId="7158F1D1" w14:textId="77777777" w:rsidR="00557811" w:rsidRDefault="00557811" w:rsidP="00557811">
      <w:pPr>
        <w:pStyle w:val="13"/>
      </w:pPr>
      <w:r>
        <w:rPr>
          <w:rFonts w:hint="eastAsia"/>
        </w:rPr>
        <w:t>（二）矿业权权属文件，包括《矿产资源勘查许可证》、《采矿许可证》、“矿区范围划定批复文件”、与矿业权管理部门签署的“探矿权采矿权出让合同”等，矿业权权属是否存在抵押等权利限制或者诉讼等权属争议；</w:t>
      </w:r>
    </w:p>
    <w:p w14:paraId="7C41E26C" w14:textId="77777777" w:rsidR="00557811" w:rsidRDefault="00557811" w:rsidP="00557811">
      <w:pPr>
        <w:pStyle w:val="13"/>
      </w:pPr>
      <w:r>
        <w:rPr>
          <w:rFonts w:hint="eastAsia"/>
        </w:rPr>
        <w:t>已经付清相关费用或不属于国家出资勘查探明矿产、但尚未取得《矿产资源勘查许可证》或《采矿许可证》的，披露对应的矿种、面积、评估价值、相应权证办理进展情况、相关费用承担方式，以及对评估结论的影响；</w:t>
      </w:r>
    </w:p>
    <w:p w14:paraId="0698410C" w14:textId="77777777" w:rsidR="00557811" w:rsidRDefault="00557811" w:rsidP="00557811">
      <w:pPr>
        <w:pStyle w:val="13"/>
      </w:pPr>
      <w:r>
        <w:rPr>
          <w:rFonts w:hint="eastAsia"/>
        </w:rPr>
        <w:t>《矿产资源勘查许可证》或《采矿许可证》存在抵押等权利限制等情形的，披露对评估结论的影响。</w:t>
      </w:r>
    </w:p>
    <w:p w14:paraId="1A042DEC" w14:textId="77777777" w:rsidR="00557811" w:rsidRDefault="00557811" w:rsidP="00557811">
      <w:pPr>
        <w:pStyle w:val="13"/>
      </w:pPr>
      <w:r>
        <w:rPr>
          <w:rFonts w:hint="eastAsia"/>
        </w:rPr>
        <w:t>（三）矿产资源储量评审备案情况，评审意见书及备案证明的时间和</w:t>
      </w:r>
      <w:proofErr w:type="gramStart"/>
      <w:r>
        <w:rPr>
          <w:rFonts w:hint="eastAsia"/>
        </w:rPr>
        <w:t>文号</w:t>
      </w:r>
      <w:proofErr w:type="gramEnd"/>
      <w:r>
        <w:rPr>
          <w:rFonts w:hint="eastAsia"/>
        </w:rPr>
        <w:t>等；最近三年内最后一次储量核实与本次储量评审的差异情况。</w:t>
      </w:r>
    </w:p>
    <w:p w14:paraId="2D6271EE" w14:textId="77777777" w:rsidR="00557811" w:rsidRDefault="00557811" w:rsidP="00557811">
      <w:pPr>
        <w:pStyle w:val="13"/>
      </w:pPr>
      <w:r>
        <w:rPr>
          <w:rFonts w:hint="eastAsia"/>
        </w:rPr>
        <w:t>（四）确定的收益期长于《采矿许可证》有效期，或处于申办《采矿许可证》而《矿产资源勘查许可证》到期的“探转采”矿产的，披露到期续展情况或“探转采”是否涉及矿业权价款及相关费用的缴纳，及其对评估结论的影响。</w:t>
      </w:r>
    </w:p>
    <w:p w14:paraId="34B97DF8" w14:textId="11C49F20" w:rsidR="00557811" w:rsidRDefault="004E3EBB" w:rsidP="00557811">
      <w:pPr>
        <w:pStyle w:val="13"/>
        <w:ind w:firstLine="482"/>
      </w:pPr>
      <w:r w:rsidRPr="004E3EBB">
        <w:rPr>
          <w:rFonts w:hint="eastAsia"/>
          <w:b/>
          <w:bCs/>
        </w:rPr>
        <w:t xml:space="preserve">第七条 </w:t>
      </w:r>
      <w:r w:rsidR="00557811">
        <w:t>上市公司重大资产重组评估报告中，评估对象是完整经营性实体的，应当根据《资产评估准则——企业价值》的要求恰当选择评估方法，并结合评估方法的适用性，披露评估方法选择的理由。</w:t>
      </w:r>
    </w:p>
    <w:p w14:paraId="4B226A03" w14:textId="77777777" w:rsidR="00557811" w:rsidRDefault="00557811" w:rsidP="00557811">
      <w:pPr>
        <w:pStyle w:val="13"/>
      </w:pPr>
      <w:r>
        <w:rPr>
          <w:rFonts w:hint="eastAsia"/>
        </w:rPr>
        <w:t>评估对象不是完整经营性实体的，披露主要资产的评估方法及选择理由。</w:t>
      </w:r>
    </w:p>
    <w:p w14:paraId="0249C38B" w14:textId="3E576B83" w:rsidR="00557811" w:rsidRDefault="004E3EBB" w:rsidP="00557811">
      <w:pPr>
        <w:pStyle w:val="13"/>
        <w:ind w:firstLine="482"/>
      </w:pPr>
      <w:r w:rsidRPr="004E3EBB">
        <w:rPr>
          <w:rFonts w:hint="eastAsia"/>
          <w:b/>
          <w:bCs/>
        </w:rPr>
        <w:t xml:space="preserve">第八条 </w:t>
      </w:r>
      <w:r w:rsidR="00557811">
        <w:t>采用收益法进行企业价值评估，评估报告应当披露：</w:t>
      </w:r>
    </w:p>
    <w:p w14:paraId="62DF65CA" w14:textId="77777777" w:rsidR="00557811" w:rsidRDefault="00557811" w:rsidP="00557811">
      <w:pPr>
        <w:pStyle w:val="13"/>
      </w:pPr>
      <w:r>
        <w:rPr>
          <w:rFonts w:hint="eastAsia"/>
        </w:rPr>
        <w:t>（一）结合所选择的具体方法，披露评估结论测算时涉及的相关表格。当采用现金流量折现法时，通常包括资产调整表、负债调整表、折现现金流量测算表、营业收入预测表、营业成本预测表、营业税金及附加预测表、销售费用预测表、管理费用预测表、财务费用预测表、营运资金预测表、折旧摊销预测表、资本性支出预测表、负债预测表等；</w:t>
      </w:r>
    </w:p>
    <w:p w14:paraId="2F50DC5D" w14:textId="77777777" w:rsidR="00557811" w:rsidRDefault="00557811" w:rsidP="00557811">
      <w:pPr>
        <w:pStyle w:val="13"/>
      </w:pPr>
      <w:r>
        <w:rPr>
          <w:rFonts w:hint="eastAsia"/>
        </w:rPr>
        <w:t>折现现金流测算表中，建议将历史数据与预测数据按可比口径列示在同一张表</w:t>
      </w:r>
      <w:r>
        <w:rPr>
          <w:rFonts w:hint="eastAsia"/>
        </w:rPr>
        <w:lastRenderedPageBreak/>
        <w:t>格中，并列示营业收入增长率，营业成本、销售费用、管理费用等占销售收入比例；</w:t>
      </w:r>
    </w:p>
    <w:p w14:paraId="4C22AE6E" w14:textId="77777777" w:rsidR="00557811" w:rsidRDefault="00557811" w:rsidP="00557811">
      <w:pPr>
        <w:pStyle w:val="13"/>
      </w:pPr>
      <w:r>
        <w:rPr>
          <w:rFonts w:hint="eastAsia"/>
        </w:rPr>
        <w:t>（二）资产、负债调整表中溢余资产、非经营性资产、负债以及付息负债的情况；</w:t>
      </w:r>
    </w:p>
    <w:p w14:paraId="698A9936" w14:textId="77777777" w:rsidR="00557811" w:rsidRDefault="00557811" w:rsidP="00557811">
      <w:pPr>
        <w:pStyle w:val="13"/>
      </w:pPr>
      <w:r>
        <w:rPr>
          <w:rFonts w:hint="eastAsia"/>
        </w:rPr>
        <w:t>（三）业绩承诺期前后预测趋势存在重大差异的原因及其合理性；</w:t>
      </w:r>
    </w:p>
    <w:p w14:paraId="05249200" w14:textId="77777777" w:rsidR="00557811" w:rsidRDefault="00557811" w:rsidP="00557811">
      <w:pPr>
        <w:pStyle w:val="13"/>
      </w:pPr>
      <w:r>
        <w:rPr>
          <w:rFonts w:hint="eastAsia"/>
        </w:rPr>
        <w:t>（四）折现率模型或估算方法，以及无风险利率、风险溢价、个别风险或行业收益率、附加风险的估算过程及结果；引用数据的出处，可比公司的选择标准和选择结果。</w:t>
      </w:r>
    </w:p>
    <w:p w14:paraId="6701B442" w14:textId="4C8FF40F" w:rsidR="00557811" w:rsidRDefault="00E05BDA" w:rsidP="00557811">
      <w:pPr>
        <w:pStyle w:val="13"/>
        <w:ind w:firstLine="482"/>
      </w:pPr>
      <w:r w:rsidRPr="00E05BDA">
        <w:rPr>
          <w:rFonts w:hint="eastAsia"/>
          <w:b/>
          <w:bCs/>
        </w:rPr>
        <w:t xml:space="preserve">第九条 </w:t>
      </w:r>
      <w:r w:rsidR="00557811">
        <w:t>采用市场法评估企业价值，评估报告应当披露：</w:t>
      </w:r>
    </w:p>
    <w:p w14:paraId="476D32E6" w14:textId="77777777" w:rsidR="00557811" w:rsidRDefault="00557811" w:rsidP="00557811">
      <w:pPr>
        <w:pStyle w:val="13"/>
      </w:pPr>
      <w:r>
        <w:rPr>
          <w:rFonts w:hint="eastAsia"/>
        </w:rPr>
        <w:t>（一）可比上市公司的选择标准、股票简称及代码；</w:t>
      </w:r>
    </w:p>
    <w:p w14:paraId="4346831D" w14:textId="77777777" w:rsidR="00557811" w:rsidRDefault="00557811" w:rsidP="00557811">
      <w:pPr>
        <w:pStyle w:val="13"/>
      </w:pPr>
      <w:r>
        <w:rPr>
          <w:rFonts w:hint="eastAsia"/>
        </w:rPr>
        <w:t>（二）交易案例选择标准、案例来源及相关信息，案例相关信息通常包括交易目的、交易时间、交易股权比例等；</w:t>
      </w:r>
    </w:p>
    <w:p w14:paraId="0320B60C" w14:textId="77777777" w:rsidR="00557811" w:rsidRDefault="00557811" w:rsidP="00557811">
      <w:pPr>
        <w:pStyle w:val="13"/>
      </w:pPr>
      <w:r>
        <w:rPr>
          <w:rFonts w:hint="eastAsia"/>
        </w:rPr>
        <w:t>（三）价值比率选择过程、调整过程及结果。</w:t>
      </w:r>
    </w:p>
    <w:p w14:paraId="18F49AEA" w14:textId="7A34E8C6" w:rsidR="00557811" w:rsidRDefault="00E05BDA" w:rsidP="00557811">
      <w:pPr>
        <w:pStyle w:val="13"/>
        <w:ind w:firstLine="482"/>
      </w:pPr>
      <w:r w:rsidRPr="00E05BDA">
        <w:rPr>
          <w:rFonts w:hint="eastAsia"/>
          <w:b/>
          <w:bCs/>
        </w:rPr>
        <w:t xml:space="preserve">第十条 </w:t>
      </w:r>
      <w:r w:rsidR="00557811">
        <w:t>采用资产基础法评估企业价值，评估报告应当披露对评估对象价值有重大影响的表外资产、负债的识别过程和结论；主要单项资产的评估方法及选择理由。</w:t>
      </w:r>
    </w:p>
    <w:p w14:paraId="7AE7D175" w14:textId="3E308E98" w:rsidR="00557811" w:rsidRDefault="00E05BDA" w:rsidP="00557811">
      <w:pPr>
        <w:pStyle w:val="13"/>
        <w:ind w:firstLine="482"/>
      </w:pPr>
      <w:r w:rsidRPr="00E05BDA">
        <w:rPr>
          <w:rFonts w:hint="eastAsia"/>
          <w:b/>
          <w:bCs/>
        </w:rPr>
        <w:t xml:space="preserve">第十一条 </w:t>
      </w:r>
      <w:r w:rsidR="00557811">
        <w:t>上市公司重大资产重组评估报告中，引用土地、矿业权等单项资产评估报告作为资产评估结论的组成部分，评估报告应当披露：</w:t>
      </w:r>
    </w:p>
    <w:p w14:paraId="2A5B6D2B" w14:textId="77777777" w:rsidR="00557811" w:rsidRDefault="00557811" w:rsidP="00557811">
      <w:pPr>
        <w:pStyle w:val="13"/>
      </w:pPr>
      <w:r>
        <w:rPr>
          <w:rFonts w:hint="eastAsia"/>
        </w:rPr>
        <w:t>（一）引用评估报告的评估机构名称、资质、报告编号、出具日期、备案情况；</w:t>
      </w:r>
    </w:p>
    <w:p w14:paraId="1077C13F" w14:textId="77777777" w:rsidR="00557811" w:rsidRDefault="00557811" w:rsidP="00557811">
      <w:pPr>
        <w:pStyle w:val="13"/>
      </w:pPr>
      <w:r>
        <w:rPr>
          <w:rFonts w:hint="eastAsia"/>
        </w:rPr>
        <w:t>（二）引用评估报告的资产类型、数量、产权权属、取得成本、会计核算、相关负债以及账面价值；</w:t>
      </w:r>
    </w:p>
    <w:p w14:paraId="5D3D5152" w14:textId="77777777" w:rsidR="00557811" w:rsidRDefault="00557811" w:rsidP="00557811">
      <w:pPr>
        <w:pStyle w:val="13"/>
      </w:pPr>
      <w:r>
        <w:rPr>
          <w:rFonts w:hint="eastAsia"/>
        </w:rPr>
        <w:t>（三）引用评估报告采用的评估方法、披露的假设前提、使用限制及相关事项；</w:t>
      </w:r>
    </w:p>
    <w:p w14:paraId="1465A2EA" w14:textId="77777777" w:rsidR="00557811" w:rsidRDefault="00557811" w:rsidP="00557811">
      <w:pPr>
        <w:pStyle w:val="13"/>
      </w:pPr>
      <w:r>
        <w:rPr>
          <w:rFonts w:hint="eastAsia"/>
        </w:rPr>
        <w:t>（四）引用评估报告披露的评估结论数据，以及对于可能存在相关负债的处理情况；</w:t>
      </w:r>
    </w:p>
    <w:p w14:paraId="1A27A29B" w14:textId="77777777" w:rsidR="00557811" w:rsidRDefault="00557811" w:rsidP="00557811">
      <w:pPr>
        <w:pStyle w:val="13"/>
      </w:pPr>
      <w:r>
        <w:rPr>
          <w:rFonts w:hint="eastAsia"/>
        </w:rPr>
        <w:t>（五）其他需要披露的重要事项。</w:t>
      </w:r>
    </w:p>
    <w:p w14:paraId="7D95E59A" w14:textId="1CD5E102" w:rsidR="00557811" w:rsidRDefault="00E05BDA" w:rsidP="00557811">
      <w:pPr>
        <w:pStyle w:val="13"/>
        <w:ind w:firstLine="482"/>
      </w:pPr>
      <w:r w:rsidRPr="00E05BDA">
        <w:rPr>
          <w:rFonts w:hint="eastAsia"/>
          <w:b/>
          <w:bCs/>
        </w:rPr>
        <w:t xml:space="preserve">第十二条 </w:t>
      </w:r>
      <w:r w:rsidR="00557811">
        <w:t>评估结论形成过程应当披露：</w:t>
      </w:r>
    </w:p>
    <w:p w14:paraId="7A964837" w14:textId="77777777" w:rsidR="00557811" w:rsidRDefault="00557811" w:rsidP="00557811">
      <w:pPr>
        <w:pStyle w:val="13"/>
      </w:pPr>
      <w:r>
        <w:rPr>
          <w:rFonts w:hint="eastAsia"/>
        </w:rPr>
        <w:t>（一）不同评估方法的结果差异及原因分析；</w:t>
      </w:r>
    </w:p>
    <w:p w14:paraId="725D6F2C" w14:textId="77777777" w:rsidR="00557811" w:rsidRDefault="00557811" w:rsidP="00557811">
      <w:pPr>
        <w:pStyle w:val="13"/>
      </w:pPr>
      <w:r>
        <w:rPr>
          <w:rFonts w:hint="eastAsia"/>
        </w:rPr>
        <w:t>（二）形成评估结论的过程和理由；</w:t>
      </w:r>
    </w:p>
    <w:p w14:paraId="057EDB4E" w14:textId="77777777" w:rsidR="00557811" w:rsidRDefault="00557811" w:rsidP="00557811">
      <w:pPr>
        <w:pStyle w:val="13"/>
      </w:pPr>
      <w:r>
        <w:rPr>
          <w:rFonts w:hint="eastAsia"/>
        </w:rPr>
        <w:t>（三）评估结果考虑了具有控制权溢价或者缺乏控制权折价，或流动性对评估对象价值影响的，应当披露溢价或折价数值的测算过程及确定依据，并对相关差异进行分析说明；</w:t>
      </w:r>
    </w:p>
    <w:p w14:paraId="6EAFFD99" w14:textId="77777777" w:rsidR="00557811" w:rsidRDefault="00557811" w:rsidP="00557811">
      <w:pPr>
        <w:pStyle w:val="13"/>
      </w:pPr>
      <w:r>
        <w:rPr>
          <w:rFonts w:hint="eastAsia"/>
        </w:rPr>
        <w:t>（四）评估对象涉及境外资产的，应当披露评估假设、重要参数的选取是否考虑了资产所在地的市场环境、人员、技术、法律、税收等方面的因素；</w:t>
      </w:r>
    </w:p>
    <w:p w14:paraId="70A0D49C" w14:textId="77777777" w:rsidR="00557811" w:rsidRDefault="00557811" w:rsidP="00557811">
      <w:pPr>
        <w:pStyle w:val="13"/>
      </w:pPr>
      <w:r>
        <w:rPr>
          <w:rFonts w:hint="eastAsia"/>
        </w:rPr>
        <w:t>（五）可以结合对应的重组方式分析评估结论合理性。</w:t>
      </w:r>
    </w:p>
    <w:p w14:paraId="65095297" w14:textId="5132A77D" w:rsidR="00557811" w:rsidRDefault="00E05BDA" w:rsidP="00557811">
      <w:pPr>
        <w:pStyle w:val="13"/>
        <w:ind w:firstLine="482"/>
      </w:pPr>
      <w:r w:rsidRPr="00E05BDA">
        <w:rPr>
          <w:rFonts w:hint="eastAsia"/>
          <w:b/>
          <w:bCs/>
        </w:rPr>
        <w:t xml:space="preserve">第十三条 </w:t>
      </w:r>
      <w:r w:rsidR="00557811">
        <w:t>应当披露主要资产的瑕疵事项。当瑕疵事项对评估结论可能存在重大影响时，还应当披露是否考虑瑕疵事项对评估结论的影响，存在瑕疵事项的资产评估值占总资产评估值以及评估结论的比例，相关方对瑕疵事项的承诺。</w:t>
      </w:r>
    </w:p>
    <w:p w14:paraId="31B256AE" w14:textId="124EAB2B" w:rsidR="00557811" w:rsidRDefault="00E05BDA" w:rsidP="00557811">
      <w:pPr>
        <w:pStyle w:val="13"/>
        <w:ind w:firstLine="482"/>
      </w:pPr>
      <w:r w:rsidRPr="00E05BDA">
        <w:rPr>
          <w:rFonts w:hint="eastAsia"/>
          <w:b/>
          <w:bCs/>
        </w:rPr>
        <w:lastRenderedPageBreak/>
        <w:t xml:space="preserve">第十四条 </w:t>
      </w:r>
      <w:r w:rsidR="00557811">
        <w:t>应当披露影响评估对象价值的重大不确定性事项，以及对该事项的处理方式。</w:t>
      </w:r>
    </w:p>
    <w:p w14:paraId="21B4134D" w14:textId="4F91294D" w:rsidR="00557811" w:rsidRDefault="00E05BDA" w:rsidP="00557811">
      <w:pPr>
        <w:pStyle w:val="13"/>
        <w:ind w:firstLine="482"/>
      </w:pPr>
      <w:r w:rsidRPr="00E05BDA">
        <w:rPr>
          <w:rFonts w:hint="eastAsia"/>
          <w:b/>
          <w:bCs/>
        </w:rPr>
        <w:t xml:space="preserve">第十五条 </w:t>
      </w:r>
      <w:r w:rsidR="00557811">
        <w:t>应当披露评估基准日至评估报告日期间发生的影响评估结论的重大事项，以及对该事项的处理方式。</w:t>
      </w:r>
    </w:p>
    <w:p w14:paraId="0E573E53" w14:textId="7E97CD43" w:rsidR="00E04C89" w:rsidRDefault="00E05BDA" w:rsidP="00557811">
      <w:pPr>
        <w:pStyle w:val="13"/>
        <w:ind w:firstLine="482"/>
      </w:pPr>
      <w:r w:rsidRPr="00E05BDA">
        <w:rPr>
          <w:rFonts w:hint="eastAsia"/>
          <w:b/>
          <w:bCs/>
        </w:rPr>
        <w:t xml:space="preserve">第十六条 </w:t>
      </w:r>
      <w:proofErr w:type="gramStart"/>
      <w:r w:rsidR="00557811">
        <w:t>本专家</w:t>
      </w:r>
      <w:proofErr w:type="gramEnd"/>
      <w:r w:rsidR="00557811">
        <w:t>指引是以上市公司重大资产重组业务中的评估实践为基础，针对此类评估业务评估报告披露的重点、难点提出的建议。</w:t>
      </w:r>
      <w:proofErr w:type="gramStart"/>
      <w:r w:rsidR="00557811">
        <w:t>本专家</w:t>
      </w:r>
      <w:proofErr w:type="gramEnd"/>
      <w:r w:rsidR="00557811">
        <w:t>指引不涉及评估报告格式及评估报告基本内容的建议，未包括此类业务评估报告应该披露的全部内容。</w:t>
      </w:r>
      <w:proofErr w:type="gramStart"/>
      <w:r w:rsidR="00557811">
        <w:t>本专家</w:t>
      </w:r>
      <w:proofErr w:type="gramEnd"/>
      <w:r w:rsidR="00557811">
        <w:t>指引不是对相关资产评估准则和上市公司信息披露有关规定的修正，也不是一项新的评估报告准则。</w:t>
      </w:r>
    </w:p>
    <w:p w14:paraId="152A25B7" w14:textId="47F4A1AB" w:rsidR="00557811" w:rsidRDefault="00557811" w:rsidP="00557811">
      <w:pPr>
        <w:pStyle w:val="31"/>
        <w:spacing w:before="156" w:after="62"/>
      </w:pPr>
      <w:bookmarkStart w:id="64" w:name="_Toc81833336"/>
      <w:r>
        <w:rPr>
          <w:rFonts w:hint="eastAsia"/>
        </w:rPr>
        <w:t>资产评估专家指引第</w:t>
      </w:r>
      <w:r>
        <w:t>7号—中小评估机构业务质量控制（</w:t>
      </w:r>
      <w:proofErr w:type="gramStart"/>
      <w:r>
        <w:t>中评协</w:t>
      </w:r>
      <w:proofErr w:type="gramEnd"/>
      <w:r>
        <w:t>〔2015〕68号）</w:t>
      </w:r>
      <w:bookmarkEnd w:id="64"/>
    </w:p>
    <w:p w14:paraId="53B6EAF8" w14:textId="669C4C5B" w:rsidR="00557811" w:rsidRDefault="00557811" w:rsidP="00557811">
      <w:pPr>
        <w:pStyle w:val="13"/>
        <w:ind w:firstLineChars="0" w:firstLine="0"/>
      </w:pPr>
      <w:r>
        <w:t>各省、自治区、直辖市、计划单列市资产评估协会（注册会计师协会），具有证券评估业务资格的资产评估机构：</w:t>
      </w:r>
    </w:p>
    <w:p w14:paraId="2B610363" w14:textId="0EEAF3F7" w:rsidR="00557811" w:rsidRDefault="00557811" w:rsidP="00557811">
      <w:pPr>
        <w:pStyle w:val="13"/>
      </w:pPr>
      <w:r>
        <w:rPr>
          <w:rFonts w:hint="eastAsia"/>
        </w:rPr>
        <w:t>为指导中小评估机构建立健全业务质量控制制度和程序，防范执业风险，体现资产评估师职业资格管理制度改革相关要求，中国资产评估协会组织专家在修订《资产评估操作专家提示—中小评估机构业务质量控制》（</w:t>
      </w:r>
      <w:proofErr w:type="gramStart"/>
      <w:r>
        <w:rPr>
          <w:rFonts w:hint="eastAsia"/>
        </w:rPr>
        <w:t>中评协</w:t>
      </w:r>
      <w:proofErr w:type="gramEnd"/>
      <w:r>
        <w:rPr>
          <w:rFonts w:hint="eastAsia"/>
        </w:rPr>
        <w:t>〔</w:t>
      </w:r>
      <w:r>
        <w:t>2012〕247号）的基础上，制定了《资产评估专家指引第7号—中小评估机构业务质量控制》，现予以发布，供参照执行《评估机构业务质量控制指南》（</w:t>
      </w:r>
      <w:proofErr w:type="gramStart"/>
      <w:r>
        <w:t>中评协</w:t>
      </w:r>
      <w:proofErr w:type="gramEnd"/>
      <w:r>
        <w:t>〔2010〕214号）的评估机构参考。</w:t>
      </w:r>
    </w:p>
    <w:p w14:paraId="4FF0B56C" w14:textId="669E1236" w:rsidR="00557811" w:rsidRDefault="00557811" w:rsidP="00557811">
      <w:pPr>
        <w:pStyle w:val="13"/>
      </w:pPr>
      <w:r>
        <w:rPr>
          <w:rFonts w:hint="eastAsia"/>
        </w:rPr>
        <w:t>请各地</w:t>
      </w:r>
      <w:proofErr w:type="gramStart"/>
      <w:r>
        <w:rPr>
          <w:rFonts w:hint="eastAsia"/>
        </w:rPr>
        <w:t>方协会</w:t>
      </w:r>
      <w:proofErr w:type="gramEnd"/>
      <w:r>
        <w:rPr>
          <w:rFonts w:hint="eastAsia"/>
        </w:rPr>
        <w:t>将《资产评估专家指引第</w:t>
      </w:r>
      <w:r>
        <w:t>7号—中小评估机构业务质量控制》及时转发评估机构。</w:t>
      </w:r>
    </w:p>
    <w:p w14:paraId="606CD430" w14:textId="2C365C38" w:rsidR="00557811" w:rsidRDefault="00557811" w:rsidP="00557811">
      <w:pPr>
        <w:pStyle w:val="13"/>
      </w:pPr>
      <w:r>
        <w:rPr>
          <w:rFonts w:hint="eastAsia"/>
        </w:rPr>
        <w:t>中国资产评估协会于</w:t>
      </w:r>
      <w:r>
        <w:t xml:space="preserve"> 2012</w:t>
      </w:r>
      <w:r w:rsidR="003068F8">
        <w:t>年</w:t>
      </w:r>
      <w:r>
        <w:t>12</w:t>
      </w:r>
      <w:r w:rsidR="003068F8">
        <w:t>月</w:t>
      </w:r>
      <w:r>
        <w:t>28</w:t>
      </w:r>
      <w:r w:rsidR="003068F8">
        <w:t>日</w:t>
      </w:r>
      <w:r>
        <w:t>发布的《资产评估操作专家提示—中小评估机构业务质量控制》（</w:t>
      </w:r>
      <w:proofErr w:type="gramStart"/>
      <w:r>
        <w:t>中评协</w:t>
      </w:r>
      <w:proofErr w:type="gramEnd"/>
      <w:r>
        <w:t>〔2012〕247号），自</w:t>
      </w:r>
      <w:proofErr w:type="gramStart"/>
      <w:r>
        <w:t>本专家</w:t>
      </w:r>
      <w:proofErr w:type="gramEnd"/>
      <w:r>
        <w:t>指引发布时起同时废止。</w:t>
      </w:r>
    </w:p>
    <w:p w14:paraId="4A151B1D" w14:textId="77777777" w:rsidR="00557811" w:rsidRDefault="00557811" w:rsidP="00557811">
      <w:pPr>
        <w:pStyle w:val="13"/>
        <w:jc w:val="right"/>
      </w:pPr>
      <w:r>
        <w:rPr>
          <w:rFonts w:hint="eastAsia"/>
        </w:rPr>
        <w:t>中国资产评估协会</w:t>
      </w:r>
    </w:p>
    <w:p w14:paraId="1CFA88F0" w14:textId="10837955" w:rsidR="00E04C89" w:rsidRDefault="00557811" w:rsidP="00557811">
      <w:pPr>
        <w:pStyle w:val="13"/>
        <w:jc w:val="right"/>
      </w:pPr>
      <w:r>
        <w:t>2015</w:t>
      </w:r>
      <w:r w:rsidR="003068F8">
        <w:t>年</w:t>
      </w:r>
      <w:r>
        <w:t>7</w:t>
      </w:r>
      <w:r w:rsidR="003068F8">
        <w:t>月</w:t>
      </w:r>
      <w:r>
        <w:t>22</w:t>
      </w:r>
      <w:r w:rsidR="003068F8">
        <w:t>日</w:t>
      </w:r>
    </w:p>
    <w:p w14:paraId="6529CA0C" w14:textId="646FBFF9" w:rsidR="00E04C89" w:rsidRDefault="00AA68F5" w:rsidP="00AF7342">
      <w:pPr>
        <w:pStyle w:val="a9"/>
        <w:spacing w:before="62" w:after="62"/>
      </w:pPr>
      <w:r>
        <w:rPr>
          <w:rFonts w:hint="eastAsia"/>
        </w:rPr>
        <w:t>资产评估专家指引第</w:t>
      </w:r>
      <w:r>
        <w:t>7号——中小评估</w:t>
      </w:r>
      <w:r>
        <w:rPr>
          <w:rFonts w:hint="eastAsia"/>
        </w:rPr>
        <w:t>机构业务质量控制</w:t>
      </w:r>
    </w:p>
    <w:p w14:paraId="58B6095B" w14:textId="77777777" w:rsidR="00AA68F5" w:rsidRPr="00AA68F5" w:rsidRDefault="00AA68F5" w:rsidP="00AA68F5">
      <w:pPr>
        <w:pStyle w:val="13"/>
      </w:pPr>
      <w:proofErr w:type="gramStart"/>
      <w:r w:rsidRPr="00AA68F5">
        <w:rPr>
          <w:rFonts w:hint="eastAsia"/>
        </w:rPr>
        <w:t>本专家</w:t>
      </w:r>
      <w:proofErr w:type="gramEnd"/>
      <w:r w:rsidRPr="00AA68F5">
        <w:rPr>
          <w:rFonts w:hint="eastAsia"/>
        </w:rPr>
        <w:t>指引是一种专家建议。评估机构执行资产评估业务，可以参照</w:t>
      </w:r>
      <w:proofErr w:type="gramStart"/>
      <w:r w:rsidRPr="00AA68F5">
        <w:rPr>
          <w:rFonts w:hint="eastAsia"/>
        </w:rPr>
        <w:t>本专家</w:t>
      </w:r>
      <w:proofErr w:type="gramEnd"/>
      <w:r w:rsidRPr="00AA68F5">
        <w:rPr>
          <w:rFonts w:hint="eastAsia"/>
        </w:rPr>
        <w:t>指引，也可以根据具体情况采用其他适当的做法。中国资产评估协会将根据业务发展，对</w:t>
      </w:r>
      <w:proofErr w:type="gramStart"/>
      <w:r w:rsidRPr="00AA68F5">
        <w:rPr>
          <w:rFonts w:hint="eastAsia"/>
        </w:rPr>
        <w:t>本专家</w:t>
      </w:r>
      <w:proofErr w:type="gramEnd"/>
      <w:r w:rsidRPr="00AA68F5">
        <w:rPr>
          <w:rFonts w:hint="eastAsia"/>
        </w:rPr>
        <w:t>指引进行更新。</w:t>
      </w:r>
    </w:p>
    <w:p w14:paraId="5A91D6BA" w14:textId="349E4BEA" w:rsidR="00AA68F5" w:rsidRPr="00AA68F5" w:rsidRDefault="00AA68F5" w:rsidP="00AF7342">
      <w:pPr>
        <w:pStyle w:val="a9"/>
        <w:spacing w:before="62" w:after="62"/>
      </w:pPr>
      <w:r w:rsidRPr="00AA68F5">
        <w:rPr>
          <w:rFonts w:hint="eastAsia"/>
        </w:rPr>
        <w:t>第一章 引言</w:t>
      </w:r>
    </w:p>
    <w:p w14:paraId="27E78247" w14:textId="19202D24" w:rsidR="00AA68F5" w:rsidRPr="00AA68F5" w:rsidRDefault="004E3EBB" w:rsidP="00AA68F5">
      <w:pPr>
        <w:pStyle w:val="13"/>
        <w:ind w:firstLine="482"/>
        <w:rPr>
          <w:bCs/>
        </w:rPr>
      </w:pPr>
      <w:r w:rsidRPr="004E3EBB">
        <w:rPr>
          <w:rFonts w:hint="eastAsia"/>
          <w:b/>
          <w:bCs/>
        </w:rPr>
        <w:t xml:space="preserve">第一条 </w:t>
      </w:r>
      <w:r w:rsidR="00AA68F5" w:rsidRPr="00AA68F5">
        <w:rPr>
          <w:rFonts w:hint="eastAsia"/>
        </w:rPr>
        <w:t>为指导</w:t>
      </w:r>
      <w:r w:rsidR="00AA68F5" w:rsidRPr="00AA68F5">
        <w:rPr>
          <w:rFonts w:hint="eastAsia"/>
          <w:bCs/>
        </w:rPr>
        <w:t>中小评估机构建立健全业务质量控制制度和程序，促进中小评估机构实现业务质量控制目标，中国资产评估协会组织制定了</w:t>
      </w:r>
      <w:proofErr w:type="gramStart"/>
      <w:r w:rsidR="00AA68F5" w:rsidRPr="00AA68F5">
        <w:rPr>
          <w:rFonts w:hint="eastAsia"/>
          <w:bCs/>
        </w:rPr>
        <w:t>本专家</w:t>
      </w:r>
      <w:proofErr w:type="gramEnd"/>
      <w:r w:rsidR="00AA68F5" w:rsidRPr="00AA68F5">
        <w:rPr>
          <w:rFonts w:hint="eastAsia"/>
          <w:bCs/>
        </w:rPr>
        <w:t>指引。</w:t>
      </w:r>
    </w:p>
    <w:p w14:paraId="777D9610" w14:textId="09DC1A80" w:rsidR="00AA68F5" w:rsidRPr="00AA68F5" w:rsidRDefault="004E3EBB" w:rsidP="00AA68F5">
      <w:pPr>
        <w:pStyle w:val="13"/>
        <w:ind w:firstLine="482"/>
        <w:rPr>
          <w:bCs/>
        </w:rPr>
      </w:pPr>
      <w:r w:rsidRPr="004E3EBB">
        <w:rPr>
          <w:rFonts w:hint="eastAsia"/>
          <w:b/>
          <w:bCs/>
        </w:rPr>
        <w:t xml:space="preserve">第二条 </w:t>
      </w:r>
      <w:r w:rsidR="00AA68F5" w:rsidRPr="00AA68F5">
        <w:rPr>
          <w:rFonts w:hint="eastAsia"/>
          <w:bCs/>
        </w:rPr>
        <w:t>中小评估机构的业务质量控制目标包括以下内容：</w:t>
      </w:r>
    </w:p>
    <w:p w14:paraId="27F2CD77" w14:textId="77777777" w:rsidR="00AA68F5" w:rsidRPr="00AA68F5" w:rsidRDefault="00AA68F5" w:rsidP="00AA68F5">
      <w:pPr>
        <w:pStyle w:val="13"/>
        <w:rPr>
          <w:bCs/>
        </w:rPr>
      </w:pPr>
      <w:r w:rsidRPr="00AA68F5">
        <w:rPr>
          <w:rFonts w:hint="eastAsia"/>
          <w:bCs/>
        </w:rPr>
        <w:lastRenderedPageBreak/>
        <w:t>（一）中小评估机构及其相关人员遵守法律法规、资产评估准则的规定；</w:t>
      </w:r>
    </w:p>
    <w:p w14:paraId="28C10634" w14:textId="77777777" w:rsidR="00AA68F5" w:rsidRPr="00AA68F5" w:rsidRDefault="00AA68F5" w:rsidP="00AA68F5">
      <w:pPr>
        <w:pStyle w:val="13"/>
        <w:rPr>
          <w:bCs/>
        </w:rPr>
      </w:pPr>
      <w:r w:rsidRPr="00AA68F5">
        <w:rPr>
          <w:rFonts w:hint="eastAsia"/>
          <w:bCs/>
        </w:rPr>
        <w:t>（二）中小评估机构及其相关人员勤勉尽责，保证业务质量，防范执业风险。</w:t>
      </w:r>
    </w:p>
    <w:p w14:paraId="1017C6AB" w14:textId="059489EA" w:rsidR="00AA68F5" w:rsidRPr="00AA68F5" w:rsidRDefault="004E3EBB" w:rsidP="00AA68F5">
      <w:pPr>
        <w:pStyle w:val="13"/>
        <w:ind w:firstLine="482"/>
      </w:pPr>
      <w:r w:rsidRPr="004E3EBB">
        <w:rPr>
          <w:rFonts w:hint="eastAsia"/>
          <w:b/>
          <w:bCs/>
        </w:rPr>
        <w:t xml:space="preserve">第三条 </w:t>
      </w:r>
      <w:r w:rsidR="00AA68F5" w:rsidRPr="00AA68F5">
        <w:rPr>
          <w:rFonts w:hint="eastAsia"/>
        </w:rPr>
        <w:t>中小评估机构应当制定质量控制制度，为执行质量控制制度设计必要程序，具体包括以下内容：</w:t>
      </w:r>
    </w:p>
    <w:p w14:paraId="7B2D566C" w14:textId="77777777" w:rsidR="00AA68F5" w:rsidRPr="00AA68F5" w:rsidRDefault="00AA68F5" w:rsidP="00AA68F5">
      <w:pPr>
        <w:pStyle w:val="13"/>
        <w:rPr>
          <w:bCs/>
        </w:rPr>
      </w:pPr>
      <w:r w:rsidRPr="00AA68F5">
        <w:rPr>
          <w:rFonts w:hint="eastAsia"/>
          <w:bCs/>
        </w:rPr>
        <w:t>（一）质量控制责任；</w:t>
      </w:r>
    </w:p>
    <w:p w14:paraId="1559784E" w14:textId="77777777" w:rsidR="00AA68F5" w:rsidRPr="00AA68F5" w:rsidRDefault="00AA68F5" w:rsidP="00AA68F5">
      <w:pPr>
        <w:pStyle w:val="13"/>
        <w:rPr>
          <w:bCs/>
        </w:rPr>
      </w:pPr>
      <w:r w:rsidRPr="00AA68F5">
        <w:rPr>
          <w:rFonts w:hint="eastAsia"/>
          <w:bCs/>
        </w:rPr>
        <w:t>（二）职业道德；</w:t>
      </w:r>
    </w:p>
    <w:p w14:paraId="2469009C" w14:textId="77777777" w:rsidR="00AA68F5" w:rsidRPr="00AA68F5" w:rsidRDefault="00AA68F5" w:rsidP="00AA68F5">
      <w:pPr>
        <w:pStyle w:val="13"/>
        <w:rPr>
          <w:bCs/>
        </w:rPr>
      </w:pPr>
      <w:r w:rsidRPr="00AA68F5">
        <w:rPr>
          <w:rFonts w:hint="eastAsia"/>
          <w:bCs/>
        </w:rPr>
        <w:t>（三）人力资源；</w:t>
      </w:r>
    </w:p>
    <w:p w14:paraId="6B4923F5" w14:textId="77777777" w:rsidR="00AA68F5" w:rsidRPr="00AA68F5" w:rsidRDefault="00AA68F5" w:rsidP="00AA68F5">
      <w:pPr>
        <w:pStyle w:val="13"/>
        <w:rPr>
          <w:bCs/>
        </w:rPr>
      </w:pPr>
      <w:r w:rsidRPr="00AA68F5">
        <w:rPr>
          <w:rFonts w:hint="eastAsia"/>
          <w:bCs/>
        </w:rPr>
        <w:t>（四）评估业务承接；</w:t>
      </w:r>
    </w:p>
    <w:p w14:paraId="6FF54C30" w14:textId="77777777" w:rsidR="00AA68F5" w:rsidRPr="00AA68F5" w:rsidRDefault="00AA68F5" w:rsidP="00AA68F5">
      <w:pPr>
        <w:pStyle w:val="13"/>
        <w:rPr>
          <w:bCs/>
        </w:rPr>
      </w:pPr>
      <w:r w:rsidRPr="00AA68F5">
        <w:rPr>
          <w:rFonts w:hint="eastAsia"/>
          <w:bCs/>
        </w:rPr>
        <w:t>（五）评估业务计划；</w:t>
      </w:r>
    </w:p>
    <w:p w14:paraId="3078B3B7" w14:textId="77777777" w:rsidR="00AA68F5" w:rsidRPr="00AA68F5" w:rsidRDefault="00AA68F5" w:rsidP="00AA68F5">
      <w:pPr>
        <w:pStyle w:val="13"/>
        <w:rPr>
          <w:bCs/>
        </w:rPr>
      </w:pPr>
      <w:r w:rsidRPr="00AA68F5">
        <w:rPr>
          <w:rFonts w:hint="eastAsia"/>
          <w:bCs/>
        </w:rPr>
        <w:t>（六）评估业务实施和报告出具；</w:t>
      </w:r>
    </w:p>
    <w:p w14:paraId="21934B13" w14:textId="77777777" w:rsidR="00AA68F5" w:rsidRPr="00AA68F5" w:rsidRDefault="00AA68F5" w:rsidP="00AA68F5">
      <w:pPr>
        <w:pStyle w:val="13"/>
        <w:rPr>
          <w:bCs/>
        </w:rPr>
      </w:pPr>
      <w:r w:rsidRPr="00AA68F5">
        <w:rPr>
          <w:rFonts w:hint="eastAsia"/>
          <w:bCs/>
        </w:rPr>
        <w:t>（七）监控和改进；</w:t>
      </w:r>
    </w:p>
    <w:p w14:paraId="2AB3D858" w14:textId="77777777" w:rsidR="00AA68F5" w:rsidRPr="00AA68F5" w:rsidRDefault="00AA68F5" w:rsidP="00AA68F5">
      <w:pPr>
        <w:pStyle w:val="13"/>
        <w:rPr>
          <w:bCs/>
        </w:rPr>
      </w:pPr>
      <w:r w:rsidRPr="00AA68F5">
        <w:rPr>
          <w:rFonts w:hint="eastAsia"/>
          <w:bCs/>
        </w:rPr>
        <w:t>（八）文件和记录。</w:t>
      </w:r>
    </w:p>
    <w:p w14:paraId="507F6389" w14:textId="2ED38155" w:rsidR="00AA68F5" w:rsidRPr="00AA68F5" w:rsidRDefault="004E3EBB" w:rsidP="00AA68F5">
      <w:pPr>
        <w:pStyle w:val="13"/>
        <w:ind w:firstLine="482"/>
      </w:pPr>
      <w:r w:rsidRPr="004E3EBB">
        <w:rPr>
          <w:rFonts w:hint="eastAsia"/>
          <w:b/>
          <w:bCs/>
        </w:rPr>
        <w:t xml:space="preserve">第四条 </w:t>
      </w:r>
      <w:r w:rsidR="00AA68F5" w:rsidRPr="00AA68F5">
        <w:rPr>
          <w:rFonts w:hint="eastAsia"/>
          <w:bCs/>
        </w:rPr>
        <w:t>中小</w:t>
      </w:r>
      <w:r w:rsidR="00AA68F5" w:rsidRPr="00AA68F5">
        <w:rPr>
          <w:rFonts w:hint="eastAsia"/>
        </w:rPr>
        <w:t>评估机构应当将质量控制制度和程序形成书面文件，传达到全体人员，记录制度和程序的执行情况。</w:t>
      </w:r>
    </w:p>
    <w:p w14:paraId="421A681E" w14:textId="77777777" w:rsidR="00AA68F5" w:rsidRPr="00AA68F5" w:rsidRDefault="00AA68F5" w:rsidP="00AA68F5">
      <w:pPr>
        <w:pStyle w:val="13"/>
      </w:pPr>
      <w:r w:rsidRPr="00AA68F5">
        <w:rPr>
          <w:rFonts w:hint="eastAsia"/>
        </w:rPr>
        <w:t>中小评估机构人员应当根据岗位职责要求，掌握和执行这些制度和程序，及时向所在评估机构反馈对质量控制制度和程序的意见和建议。</w:t>
      </w:r>
    </w:p>
    <w:p w14:paraId="0A192F94" w14:textId="5DC99EFA" w:rsidR="00AA68F5" w:rsidRPr="00AA68F5" w:rsidRDefault="00AA68F5" w:rsidP="00AF7342">
      <w:pPr>
        <w:pStyle w:val="a9"/>
        <w:spacing w:before="62" w:after="62"/>
      </w:pPr>
      <w:bookmarkStart w:id="65" w:name="_Toc332433907"/>
      <w:r w:rsidRPr="00AA68F5">
        <w:rPr>
          <w:rFonts w:hint="eastAsia"/>
        </w:rPr>
        <w:t>第二章 质量控制责任</w:t>
      </w:r>
      <w:bookmarkEnd w:id="65"/>
    </w:p>
    <w:p w14:paraId="0342EABB" w14:textId="7BB5E678" w:rsidR="00AA68F5" w:rsidRPr="00AA68F5" w:rsidRDefault="004E3EBB" w:rsidP="00AA68F5">
      <w:pPr>
        <w:pStyle w:val="13"/>
        <w:ind w:firstLine="482"/>
        <w:rPr>
          <w:bCs/>
        </w:rPr>
      </w:pPr>
      <w:r w:rsidRPr="004E3EBB">
        <w:rPr>
          <w:rFonts w:hint="eastAsia"/>
          <w:b/>
          <w:bCs/>
        </w:rPr>
        <w:t xml:space="preserve">第五条 </w:t>
      </w:r>
      <w:r w:rsidR="00AA68F5" w:rsidRPr="00AA68F5">
        <w:rPr>
          <w:rFonts w:hint="eastAsia"/>
          <w:bCs/>
        </w:rPr>
        <w:t>中小评估机构应当合理界定质量控制主体承担的质量控制责任，并建立和落实责任追究机制。控制主体通常包括：</w:t>
      </w:r>
    </w:p>
    <w:p w14:paraId="3933B09F" w14:textId="77777777" w:rsidR="00AA68F5" w:rsidRPr="00AA68F5" w:rsidRDefault="00AA68F5" w:rsidP="00AA68F5">
      <w:pPr>
        <w:pStyle w:val="13"/>
        <w:rPr>
          <w:bCs/>
        </w:rPr>
      </w:pPr>
      <w:r w:rsidRPr="00AA68F5">
        <w:rPr>
          <w:rFonts w:hint="eastAsia"/>
          <w:bCs/>
        </w:rPr>
        <w:t>（一）最高管理层；</w:t>
      </w:r>
    </w:p>
    <w:p w14:paraId="0F0B8F72" w14:textId="77777777" w:rsidR="00AA68F5" w:rsidRPr="00AA68F5" w:rsidRDefault="00AA68F5" w:rsidP="00AA68F5">
      <w:pPr>
        <w:pStyle w:val="13"/>
        <w:rPr>
          <w:bCs/>
        </w:rPr>
      </w:pPr>
      <w:r w:rsidRPr="00AA68F5">
        <w:rPr>
          <w:rFonts w:hint="eastAsia"/>
          <w:bCs/>
        </w:rPr>
        <w:t>（二）首席评估师；</w:t>
      </w:r>
    </w:p>
    <w:p w14:paraId="498ABE10" w14:textId="77777777" w:rsidR="00AA68F5" w:rsidRPr="00AA68F5" w:rsidRDefault="00AA68F5" w:rsidP="00AA68F5">
      <w:pPr>
        <w:pStyle w:val="13"/>
        <w:rPr>
          <w:bCs/>
        </w:rPr>
      </w:pPr>
      <w:r w:rsidRPr="00AA68F5">
        <w:rPr>
          <w:rFonts w:hint="eastAsia"/>
          <w:bCs/>
        </w:rPr>
        <w:t>（三）项目负责人；</w:t>
      </w:r>
    </w:p>
    <w:p w14:paraId="6AAA47BF" w14:textId="77777777" w:rsidR="00AA68F5" w:rsidRPr="00AA68F5" w:rsidRDefault="00AA68F5" w:rsidP="00AA68F5">
      <w:pPr>
        <w:pStyle w:val="13"/>
        <w:rPr>
          <w:bCs/>
        </w:rPr>
      </w:pPr>
      <w:r w:rsidRPr="00AA68F5">
        <w:rPr>
          <w:rFonts w:hint="eastAsia"/>
          <w:bCs/>
        </w:rPr>
        <w:t>（四）项目审核人员；</w:t>
      </w:r>
    </w:p>
    <w:p w14:paraId="218F65B9" w14:textId="77777777" w:rsidR="00AA68F5" w:rsidRPr="00AA68F5" w:rsidRDefault="00AA68F5" w:rsidP="00AA68F5">
      <w:pPr>
        <w:pStyle w:val="13"/>
        <w:rPr>
          <w:bCs/>
        </w:rPr>
      </w:pPr>
      <w:r w:rsidRPr="00AA68F5">
        <w:rPr>
          <w:rFonts w:hint="eastAsia"/>
          <w:bCs/>
        </w:rPr>
        <w:t>（五）项目团队成员；</w:t>
      </w:r>
    </w:p>
    <w:p w14:paraId="153E1CF0" w14:textId="77777777" w:rsidR="00AA68F5" w:rsidRPr="00AA68F5" w:rsidRDefault="00AA68F5" w:rsidP="00AA68F5">
      <w:pPr>
        <w:pStyle w:val="13"/>
        <w:rPr>
          <w:bCs/>
        </w:rPr>
      </w:pPr>
      <w:r w:rsidRPr="00AA68F5">
        <w:rPr>
          <w:rFonts w:hint="eastAsia"/>
          <w:bCs/>
        </w:rPr>
        <w:t>（六）评估机构其他人员。</w:t>
      </w:r>
    </w:p>
    <w:p w14:paraId="0AE8D58B" w14:textId="2FB0BEC8" w:rsidR="00AA68F5" w:rsidRPr="00AA68F5" w:rsidRDefault="004E3EBB" w:rsidP="00AA68F5">
      <w:pPr>
        <w:pStyle w:val="13"/>
        <w:ind w:firstLine="482"/>
        <w:rPr>
          <w:bCs/>
        </w:rPr>
      </w:pPr>
      <w:r w:rsidRPr="004E3EBB">
        <w:rPr>
          <w:rFonts w:hint="eastAsia"/>
          <w:b/>
          <w:bCs/>
        </w:rPr>
        <w:t xml:space="preserve">第六条 </w:t>
      </w:r>
      <w:r w:rsidR="00AA68F5" w:rsidRPr="00AA68F5">
        <w:rPr>
          <w:rFonts w:hint="eastAsia"/>
          <w:bCs/>
        </w:rPr>
        <w:t>最高管理层是指在中小评估机构内部指挥和控制评估机构的一个人或者一组人。最高管理层对业务质量控制承担最终责任。中小评估机构可以根据自身情况，确定最高管理层组成人员。</w:t>
      </w:r>
      <w:proofErr w:type="gramStart"/>
      <w:r w:rsidR="00AA68F5" w:rsidRPr="00AA68F5">
        <w:rPr>
          <w:rFonts w:hint="eastAsia"/>
          <w:bCs/>
        </w:rPr>
        <w:t>当最高</w:t>
      </w:r>
      <w:proofErr w:type="gramEnd"/>
      <w:r w:rsidR="00AA68F5" w:rsidRPr="00AA68F5">
        <w:rPr>
          <w:rFonts w:hint="eastAsia"/>
          <w:bCs/>
        </w:rPr>
        <w:t>管理层为一个人时，公司制评估机构的最高管理层为法定代表人；合伙制评估机构的最高管理层为首席合伙人。</w:t>
      </w:r>
    </w:p>
    <w:p w14:paraId="2154EB5F" w14:textId="77777777" w:rsidR="00AA68F5" w:rsidRPr="00AA68F5" w:rsidRDefault="00AA68F5" w:rsidP="00AA68F5">
      <w:pPr>
        <w:pStyle w:val="13"/>
        <w:rPr>
          <w:bCs/>
        </w:rPr>
      </w:pPr>
      <w:r w:rsidRPr="00AA68F5">
        <w:rPr>
          <w:rFonts w:hint="eastAsia"/>
          <w:bCs/>
        </w:rPr>
        <w:t>最高管理层应当在股东会（或者合伙人会议）授权的或者章程（或者合伙协议）规定的范围内行使职权，并承担以下职责：</w:t>
      </w:r>
    </w:p>
    <w:p w14:paraId="51D665FD" w14:textId="77777777" w:rsidR="00AA68F5" w:rsidRPr="00AA68F5" w:rsidRDefault="00AA68F5" w:rsidP="00AA68F5">
      <w:pPr>
        <w:pStyle w:val="13"/>
        <w:rPr>
          <w:bCs/>
        </w:rPr>
      </w:pPr>
      <w:r w:rsidRPr="00AA68F5">
        <w:rPr>
          <w:rFonts w:hint="eastAsia"/>
          <w:bCs/>
        </w:rPr>
        <w:t>（一）树立质量管理意识，让全体人员充分认识到业务质量控制的重要性，确保全员参与，以达到质量控制目标；</w:t>
      </w:r>
    </w:p>
    <w:p w14:paraId="291389E1" w14:textId="77777777" w:rsidR="00AA68F5" w:rsidRPr="00AA68F5" w:rsidRDefault="00AA68F5" w:rsidP="00AA68F5">
      <w:pPr>
        <w:pStyle w:val="13"/>
        <w:rPr>
          <w:bCs/>
        </w:rPr>
      </w:pPr>
      <w:r w:rsidRPr="00AA68F5">
        <w:rPr>
          <w:rFonts w:hint="eastAsia"/>
          <w:bCs/>
        </w:rPr>
        <w:t>（二）贯彻中小评估机构的服务宗旨，确保全体人员理解服务宗旨的内涵，并评</w:t>
      </w:r>
      <w:r w:rsidRPr="00AA68F5">
        <w:rPr>
          <w:rFonts w:hint="eastAsia"/>
          <w:bCs/>
        </w:rPr>
        <w:lastRenderedPageBreak/>
        <w:t>审其持续适宜性；</w:t>
      </w:r>
    </w:p>
    <w:p w14:paraId="6D9D56F3" w14:textId="77777777" w:rsidR="00AA68F5" w:rsidRPr="00AA68F5" w:rsidRDefault="00AA68F5" w:rsidP="00AA68F5">
      <w:pPr>
        <w:pStyle w:val="13"/>
        <w:rPr>
          <w:bCs/>
        </w:rPr>
      </w:pPr>
      <w:r w:rsidRPr="00AA68F5">
        <w:rPr>
          <w:rFonts w:hint="eastAsia"/>
          <w:bCs/>
        </w:rPr>
        <w:t>（三）制定各职能部门质量控制目标，质量控制目标应当具体、可测量和</w:t>
      </w:r>
      <w:proofErr w:type="gramStart"/>
      <w:r w:rsidRPr="00AA68F5">
        <w:rPr>
          <w:rFonts w:hint="eastAsia"/>
          <w:bCs/>
        </w:rPr>
        <w:t>可</w:t>
      </w:r>
      <w:proofErr w:type="gramEnd"/>
      <w:r w:rsidRPr="00AA68F5">
        <w:rPr>
          <w:rFonts w:hint="eastAsia"/>
          <w:bCs/>
        </w:rPr>
        <w:t>实现，并与服务宗旨保持一致；</w:t>
      </w:r>
    </w:p>
    <w:p w14:paraId="481D9CCA" w14:textId="77777777" w:rsidR="00AA68F5" w:rsidRPr="00AA68F5" w:rsidRDefault="00AA68F5" w:rsidP="00AA68F5">
      <w:pPr>
        <w:pStyle w:val="13"/>
        <w:rPr>
          <w:bCs/>
        </w:rPr>
      </w:pPr>
      <w:r w:rsidRPr="00AA68F5">
        <w:rPr>
          <w:rFonts w:hint="eastAsia"/>
          <w:bCs/>
        </w:rPr>
        <w:t>（四）策划组织架构，设计质量控制制度和程序，对其进行定期评审，确保其处于适宜、充分和有效的状态。</w:t>
      </w:r>
    </w:p>
    <w:p w14:paraId="3314DC9B" w14:textId="4956F69B" w:rsidR="00AA68F5" w:rsidRPr="00AA68F5" w:rsidRDefault="004E3EBB" w:rsidP="00AA68F5">
      <w:pPr>
        <w:pStyle w:val="13"/>
        <w:ind w:firstLine="482"/>
        <w:rPr>
          <w:bCs/>
        </w:rPr>
      </w:pPr>
      <w:r w:rsidRPr="004E3EBB">
        <w:rPr>
          <w:rFonts w:hint="eastAsia"/>
          <w:b/>
        </w:rPr>
        <w:t xml:space="preserve">第七条 </w:t>
      </w:r>
      <w:r w:rsidR="00AA68F5" w:rsidRPr="00AA68F5">
        <w:rPr>
          <w:rFonts w:hint="eastAsia"/>
          <w:bCs/>
        </w:rPr>
        <w:t>首席评估师是指最高管理层在业务质量控制方面的代表。首席评估</w:t>
      </w:r>
      <w:proofErr w:type="gramStart"/>
      <w:r w:rsidR="00AA68F5" w:rsidRPr="00AA68F5">
        <w:rPr>
          <w:rFonts w:hint="eastAsia"/>
          <w:bCs/>
        </w:rPr>
        <w:t>师应当</w:t>
      </w:r>
      <w:proofErr w:type="gramEnd"/>
      <w:r w:rsidR="00AA68F5" w:rsidRPr="00AA68F5">
        <w:rPr>
          <w:rFonts w:hint="eastAsia"/>
          <w:bCs/>
        </w:rPr>
        <w:t>是评估机构的股东（或者合伙人），且应当具备履行职责所需要的经验和能力。首席评估师由最高管理层指定并授予其管理权限，直接对最高管理层负责。首席评估师承担以下职责：</w:t>
      </w:r>
    </w:p>
    <w:p w14:paraId="425FFD60" w14:textId="77777777" w:rsidR="00AA68F5" w:rsidRPr="00AA68F5" w:rsidRDefault="00AA68F5" w:rsidP="00AA68F5">
      <w:pPr>
        <w:pStyle w:val="13"/>
        <w:rPr>
          <w:bCs/>
        </w:rPr>
      </w:pPr>
      <w:r w:rsidRPr="00AA68F5">
        <w:rPr>
          <w:rFonts w:hint="eastAsia"/>
          <w:bCs/>
        </w:rPr>
        <w:t>（一）确保质量控制制度和程序的建立、实施和保持；</w:t>
      </w:r>
    </w:p>
    <w:p w14:paraId="77882842" w14:textId="77777777" w:rsidR="00AA68F5" w:rsidRPr="00AA68F5" w:rsidRDefault="00AA68F5" w:rsidP="00AA68F5">
      <w:pPr>
        <w:pStyle w:val="13"/>
        <w:rPr>
          <w:bCs/>
        </w:rPr>
      </w:pPr>
      <w:r w:rsidRPr="00AA68F5">
        <w:rPr>
          <w:rFonts w:hint="eastAsia"/>
          <w:bCs/>
        </w:rPr>
        <w:t>（二）监控质量控制制度和程序的运行情况，向最高管理</w:t>
      </w:r>
      <w:proofErr w:type="gramStart"/>
      <w:r w:rsidRPr="00AA68F5">
        <w:rPr>
          <w:rFonts w:hint="eastAsia"/>
          <w:bCs/>
        </w:rPr>
        <w:t>层报告</w:t>
      </w:r>
      <w:proofErr w:type="gramEnd"/>
      <w:r w:rsidRPr="00AA68F5">
        <w:rPr>
          <w:rFonts w:hint="eastAsia"/>
          <w:bCs/>
        </w:rPr>
        <w:t>并提出改进的建议和方案；</w:t>
      </w:r>
    </w:p>
    <w:p w14:paraId="3D7D6AC1" w14:textId="77777777" w:rsidR="00AA68F5" w:rsidRPr="00AA68F5" w:rsidRDefault="00AA68F5" w:rsidP="00AA68F5">
      <w:pPr>
        <w:pStyle w:val="13"/>
        <w:rPr>
          <w:bCs/>
        </w:rPr>
      </w:pPr>
      <w:r w:rsidRPr="00AA68F5">
        <w:rPr>
          <w:rFonts w:hint="eastAsia"/>
          <w:bCs/>
        </w:rPr>
        <w:t>（三）促进全体人员不断提高业务质量意识。</w:t>
      </w:r>
    </w:p>
    <w:p w14:paraId="0F7554D8" w14:textId="1A43DA55" w:rsidR="00AA68F5" w:rsidRPr="00AA68F5" w:rsidRDefault="004E3EBB" w:rsidP="00AA68F5">
      <w:pPr>
        <w:pStyle w:val="13"/>
        <w:ind w:firstLine="482"/>
        <w:rPr>
          <w:bCs/>
        </w:rPr>
      </w:pPr>
      <w:r w:rsidRPr="004E3EBB">
        <w:rPr>
          <w:rFonts w:hint="eastAsia"/>
          <w:b/>
        </w:rPr>
        <w:t xml:space="preserve">第八条 </w:t>
      </w:r>
      <w:r w:rsidR="00AA68F5" w:rsidRPr="00AA68F5">
        <w:rPr>
          <w:rFonts w:hint="eastAsia"/>
          <w:bCs/>
        </w:rPr>
        <w:t>项目负责人是指负责某项业务及其执行，并在评估报告上签字的资产评估师。项目负责人承担以下职责：</w:t>
      </w:r>
    </w:p>
    <w:p w14:paraId="23449712" w14:textId="77777777" w:rsidR="00AA68F5" w:rsidRPr="00AA68F5" w:rsidRDefault="00AA68F5" w:rsidP="00AA68F5">
      <w:pPr>
        <w:pStyle w:val="13"/>
        <w:rPr>
          <w:bCs/>
        </w:rPr>
      </w:pPr>
      <w:r w:rsidRPr="00AA68F5">
        <w:rPr>
          <w:rFonts w:hint="eastAsia"/>
          <w:bCs/>
        </w:rPr>
        <w:t>（一）评估计划的制订和组织实施；</w:t>
      </w:r>
    </w:p>
    <w:p w14:paraId="196454A6" w14:textId="77777777" w:rsidR="00AA68F5" w:rsidRPr="00AA68F5" w:rsidRDefault="00AA68F5" w:rsidP="00AA68F5">
      <w:pPr>
        <w:pStyle w:val="13"/>
        <w:rPr>
          <w:bCs/>
        </w:rPr>
      </w:pPr>
      <w:r w:rsidRPr="00AA68F5">
        <w:rPr>
          <w:rFonts w:hint="eastAsia"/>
          <w:bCs/>
        </w:rPr>
        <w:t>（二）评估业务实施中的协调和沟通；</w:t>
      </w:r>
    </w:p>
    <w:p w14:paraId="3910263E" w14:textId="77777777" w:rsidR="00AA68F5" w:rsidRPr="00AA68F5" w:rsidRDefault="00AA68F5" w:rsidP="00AA68F5">
      <w:pPr>
        <w:pStyle w:val="13"/>
        <w:rPr>
          <w:bCs/>
        </w:rPr>
      </w:pPr>
      <w:r w:rsidRPr="00AA68F5">
        <w:rPr>
          <w:rFonts w:hint="eastAsia"/>
          <w:bCs/>
        </w:rPr>
        <w:t>（三）按照程序报告与评估业务相关的重要信息；</w:t>
      </w:r>
    </w:p>
    <w:p w14:paraId="3B97EC5E" w14:textId="77777777" w:rsidR="00AA68F5" w:rsidRPr="00AA68F5" w:rsidRDefault="00AA68F5" w:rsidP="00AA68F5">
      <w:pPr>
        <w:pStyle w:val="13"/>
        <w:rPr>
          <w:bCs/>
        </w:rPr>
      </w:pPr>
      <w:r w:rsidRPr="00AA68F5">
        <w:rPr>
          <w:rFonts w:hint="eastAsia"/>
          <w:bCs/>
        </w:rPr>
        <w:t>（四）组织复核项目团队成员的工作；</w:t>
      </w:r>
    </w:p>
    <w:p w14:paraId="4E53B5CD" w14:textId="77777777" w:rsidR="00AA68F5" w:rsidRPr="00AA68F5" w:rsidRDefault="00AA68F5" w:rsidP="00AA68F5">
      <w:pPr>
        <w:pStyle w:val="13"/>
        <w:rPr>
          <w:bCs/>
        </w:rPr>
      </w:pPr>
      <w:r w:rsidRPr="00AA68F5">
        <w:rPr>
          <w:rFonts w:hint="eastAsia"/>
          <w:bCs/>
        </w:rPr>
        <w:t>（五）对专家的工作成果进行分析判断，确信其合理性；</w:t>
      </w:r>
    </w:p>
    <w:p w14:paraId="7C7269A3" w14:textId="77777777" w:rsidR="00AA68F5" w:rsidRPr="00AA68F5" w:rsidRDefault="00AA68F5" w:rsidP="00AA68F5">
      <w:pPr>
        <w:pStyle w:val="13"/>
        <w:rPr>
          <w:bCs/>
        </w:rPr>
      </w:pPr>
      <w:r w:rsidRPr="00AA68F5">
        <w:rPr>
          <w:rFonts w:hint="eastAsia"/>
          <w:bCs/>
        </w:rPr>
        <w:t>（六）组织编制评估报告，并审核相关内容；</w:t>
      </w:r>
    </w:p>
    <w:p w14:paraId="4C4B8F32" w14:textId="77777777" w:rsidR="00AA68F5" w:rsidRPr="00AA68F5" w:rsidRDefault="00AA68F5" w:rsidP="00AA68F5">
      <w:pPr>
        <w:pStyle w:val="13"/>
        <w:rPr>
          <w:bCs/>
        </w:rPr>
      </w:pPr>
      <w:r w:rsidRPr="00AA68F5">
        <w:rPr>
          <w:rFonts w:hint="eastAsia"/>
          <w:bCs/>
        </w:rPr>
        <w:t>（七）组织处理委托方或者委托方许可的相关当事方反馈的意见；</w:t>
      </w:r>
    </w:p>
    <w:p w14:paraId="09C14A1C" w14:textId="77777777" w:rsidR="00AA68F5" w:rsidRPr="00AA68F5" w:rsidRDefault="00AA68F5" w:rsidP="00AA68F5">
      <w:pPr>
        <w:pStyle w:val="13"/>
        <w:rPr>
          <w:bCs/>
        </w:rPr>
      </w:pPr>
      <w:r w:rsidRPr="00AA68F5">
        <w:rPr>
          <w:rFonts w:hint="eastAsia"/>
          <w:bCs/>
        </w:rPr>
        <w:t>（八）在出具的评估报告上签字盖章；</w:t>
      </w:r>
    </w:p>
    <w:p w14:paraId="5744B896" w14:textId="77777777" w:rsidR="00AA68F5" w:rsidRPr="00AA68F5" w:rsidRDefault="00AA68F5" w:rsidP="00AA68F5">
      <w:pPr>
        <w:pStyle w:val="13"/>
        <w:rPr>
          <w:bCs/>
        </w:rPr>
      </w:pPr>
      <w:r w:rsidRPr="00AA68F5">
        <w:rPr>
          <w:rFonts w:hint="eastAsia"/>
          <w:bCs/>
        </w:rPr>
        <w:t>（九）组织评估业务工作底稿归档。</w:t>
      </w:r>
    </w:p>
    <w:p w14:paraId="026A36FA" w14:textId="1C637DD8" w:rsidR="00AA68F5" w:rsidRPr="00AA68F5" w:rsidRDefault="00E05BDA" w:rsidP="00AA68F5">
      <w:pPr>
        <w:pStyle w:val="13"/>
        <w:ind w:firstLine="482"/>
        <w:rPr>
          <w:bCs/>
        </w:rPr>
      </w:pPr>
      <w:r w:rsidRPr="00E05BDA">
        <w:rPr>
          <w:rFonts w:hint="eastAsia"/>
          <w:b/>
        </w:rPr>
        <w:t xml:space="preserve">第九条 </w:t>
      </w:r>
      <w:r w:rsidR="00AA68F5" w:rsidRPr="00AA68F5">
        <w:rPr>
          <w:rFonts w:hint="eastAsia"/>
          <w:bCs/>
        </w:rPr>
        <w:t>项目审核人员是指项目团队以外，具有足够的技术专长和执业经验以及适当的权限，对项目团队工作进行独立、客观审核的人员。项目审核人员承担以下职责：</w:t>
      </w:r>
    </w:p>
    <w:p w14:paraId="3FCBB830" w14:textId="77777777" w:rsidR="00AA68F5" w:rsidRPr="00AA68F5" w:rsidRDefault="00AA68F5" w:rsidP="00AA68F5">
      <w:pPr>
        <w:pStyle w:val="13"/>
        <w:rPr>
          <w:bCs/>
        </w:rPr>
      </w:pPr>
      <w:r w:rsidRPr="00AA68F5">
        <w:rPr>
          <w:rFonts w:hint="eastAsia"/>
          <w:bCs/>
        </w:rPr>
        <w:t>（一）审核评估程序执行情况；</w:t>
      </w:r>
    </w:p>
    <w:p w14:paraId="0565D918" w14:textId="77777777" w:rsidR="00AA68F5" w:rsidRPr="00AA68F5" w:rsidRDefault="00AA68F5" w:rsidP="00AA68F5">
      <w:pPr>
        <w:pStyle w:val="13"/>
        <w:rPr>
          <w:bCs/>
        </w:rPr>
      </w:pPr>
      <w:r w:rsidRPr="00AA68F5">
        <w:rPr>
          <w:rFonts w:hint="eastAsia"/>
          <w:bCs/>
        </w:rPr>
        <w:t>（二）审核拟出具的评估报告；</w:t>
      </w:r>
    </w:p>
    <w:p w14:paraId="2F46150F" w14:textId="77777777" w:rsidR="00AA68F5" w:rsidRPr="00AA68F5" w:rsidRDefault="00AA68F5" w:rsidP="00AA68F5">
      <w:pPr>
        <w:pStyle w:val="13"/>
        <w:rPr>
          <w:bCs/>
        </w:rPr>
      </w:pPr>
      <w:r w:rsidRPr="00AA68F5">
        <w:rPr>
          <w:rFonts w:hint="eastAsia"/>
          <w:bCs/>
        </w:rPr>
        <w:t>（三）审核工作底稿；</w:t>
      </w:r>
    </w:p>
    <w:p w14:paraId="2EA2A1CA" w14:textId="77777777" w:rsidR="00AA68F5" w:rsidRPr="00AA68F5" w:rsidRDefault="00AA68F5" w:rsidP="00AA68F5">
      <w:pPr>
        <w:pStyle w:val="13"/>
        <w:rPr>
          <w:bCs/>
        </w:rPr>
      </w:pPr>
      <w:r w:rsidRPr="00AA68F5">
        <w:rPr>
          <w:rFonts w:hint="eastAsia"/>
          <w:bCs/>
        </w:rPr>
        <w:t>（四）综合评价项目风险，提出出具评估报告的明确意见。</w:t>
      </w:r>
    </w:p>
    <w:p w14:paraId="302584D8" w14:textId="67ECE51E" w:rsidR="00AA68F5" w:rsidRPr="00AA68F5" w:rsidRDefault="00E05BDA" w:rsidP="00AA68F5">
      <w:pPr>
        <w:pStyle w:val="13"/>
        <w:ind w:firstLine="482"/>
        <w:rPr>
          <w:bCs/>
        </w:rPr>
      </w:pPr>
      <w:r w:rsidRPr="00E05BDA">
        <w:rPr>
          <w:rFonts w:hint="eastAsia"/>
          <w:b/>
        </w:rPr>
        <w:t xml:space="preserve">第十条 </w:t>
      </w:r>
      <w:r w:rsidR="00AA68F5" w:rsidRPr="00AA68F5">
        <w:rPr>
          <w:rFonts w:hint="eastAsia"/>
          <w:bCs/>
        </w:rPr>
        <w:t>项目团队是指中小评估机构组建的为执行某项评估业务的一组人，项目团队由项目负责人管理。项目团队成员一般包括承担或者参与评估业务工作的资产评估师、业务助理人员。项目团队成员承担以下职责：</w:t>
      </w:r>
    </w:p>
    <w:p w14:paraId="2A6630BB" w14:textId="77777777" w:rsidR="00AA68F5" w:rsidRPr="00AA68F5" w:rsidRDefault="00AA68F5" w:rsidP="00AA68F5">
      <w:pPr>
        <w:pStyle w:val="13"/>
        <w:rPr>
          <w:bCs/>
        </w:rPr>
      </w:pPr>
      <w:r w:rsidRPr="00AA68F5">
        <w:rPr>
          <w:rFonts w:hint="eastAsia"/>
          <w:bCs/>
        </w:rPr>
        <w:lastRenderedPageBreak/>
        <w:t>（一）接受项目负责人的管理，了解</w:t>
      </w:r>
      <w:proofErr w:type="gramStart"/>
      <w:r w:rsidRPr="00AA68F5">
        <w:rPr>
          <w:rFonts w:hint="eastAsia"/>
          <w:bCs/>
        </w:rPr>
        <w:t>拟执行</w:t>
      </w:r>
      <w:proofErr w:type="gramEnd"/>
      <w:r w:rsidRPr="00AA68F5">
        <w:rPr>
          <w:rFonts w:hint="eastAsia"/>
          <w:bCs/>
        </w:rPr>
        <w:t>工作的目标，理解项目负责人的工作指令；</w:t>
      </w:r>
    </w:p>
    <w:p w14:paraId="2D683CBE" w14:textId="77777777" w:rsidR="00AA68F5" w:rsidRPr="00AA68F5" w:rsidRDefault="00AA68F5" w:rsidP="00AA68F5">
      <w:pPr>
        <w:pStyle w:val="13"/>
        <w:rPr>
          <w:bCs/>
        </w:rPr>
      </w:pPr>
      <w:r w:rsidRPr="00AA68F5">
        <w:rPr>
          <w:rFonts w:hint="eastAsia"/>
          <w:bCs/>
        </w:rPr>
        <w:t>（二）按照评估机构质量控制制度和程序的要求从事具体评估业务工作，形成工作底稿；</w:t>
      </w:r>
    </w:p>
    <w:p w14:paraId="12EF1174" w14:textId="77777777" w:rsidR="00AA68F5" w:rsidRPr="00AA68F5" w:rsidRDefault="00AA68F5" w:rsidP="00AA68F5">
      <w:pPr>
        <w:pStyle w:val="13"/>
        <w:rPr>
          <w:bCs/>
        </w:rPr>
      </w:pPr>
      <w:r w:rsidRPr="00AA68F5">
        <w:rPr>
          <w:rFonts w:hint="eastAsia"/>
          <w:bCs/>
        </w:rPr>
        <w:t>（三）汇报执行业务过程中发现的重大问题；</w:t>
      </w:r>
    </w:p>
    <w:p w14:paraId="787D4D1A" w14:textId="77777777" w:rsidR="00AA68F5" w:rsidRPr="00AA68F5" w:rsidRDefault="00AA68F5" w:rsidP="00AA68F5">
      <w:pPr>
        <w:pStyle w:val="13"/>
        <w:rPr>
          <w:bCs/>
        </w:rPr>
      </w:pPr>
      <w:r w:rsidRPr="00AA68F5">
        <w:rPr>
          <w:rFonts w:hint="eastAsia"/>
          <w:bCs/>
        </w:rPr>
        <w:t>（四）复核已经完成的工作底稿并接受审核。</w:t>
      </w:r>
    </w:p>
    <w:p w14:paraId="7A03E6F6" w14:textId="5E5DBD52" w:rsidR="00AA68F5" w:rsidRPr="00AA68F5" w:rsidRDefault="00E05BDA" w:rsidP="00AA68F5">
      <w:pPr>
        <w:pStyle w:val="13"/>
        <w:ind w:firstLine="482"/>
        <w:rPr>
          <w:bCs/>
        </w:rPr>
      </w:pPr>
      <w:r w:rsidRPr="00E05BDA">
        <w:rPr>
          <w:rFonts w:hint="eastAsia"/>
          <w:b/>
        </w:rPr>
        <w:t xml:space="preserve">第十一条 </w:t>
      </w:r>
      <w:r w:rsidR="00AA68F5" w:rsidRPr="00AA68F5">
        <w:rPr>
          <w:rFonts w:hint="eastAsia"/>
          <w:bCs/>
        </w:rPr>
        <w:t>中小评估机构应当明确其他人员与质量控制相关的职责，该类人员通常包括：</w:t>
      </w:r>
    </w:p>
    <w:p w14:paraId="02C069C6" w14:textId="77777777" w:rsidR="00AA68F5" w:rsidRPr="00AA68F5" w:rsidRDefault="00AA68F5" w:rsidP="00AA68F5">
      <w:pPr>
        <w:pStyle w:val="13"/>
        <w:rPr>
          <w:bCs/>
        </w:rPr>
      </w:pPr>
      <w:r w:rsidRPr="00AA68F5">
        <w:rPr>
          <w:rFonts w:hint="eastAsia"/>
          <w:bCs/>
        </w:rPr>
        <w:t>（一）业务洽谈人员；</w:t>
      </w:r>
    </w:p>
    <w:p w14:paraId="2AA694E4" w14:textId="77777777" w:rsidR="00AA68F5" w:rsidRPr="00AA68F5" w:rsidRDefault="00AA68F5" w:rsidP="00AA68F5">
      <w:pPr>
        <w:pStyle w:val="13"/>
        <w:rPr>
          <w:bCs/>
        </w:rPr>
      </w:pPr>
      <w:r w:rsidRPr="00AA68F5">
        <w:rPr>
          <w:rFonts w:hint="eastAsia"/>
          <w:bCs/>
        </w:rPr>
        <w:t>（二）业务部门负责人；</w:t>
      </w:r>
    </w:p>
    <w:p w14:paraId="53AABF01" w14:textId="77777777" w:rsidR="00AA68F5" w:rsidRPr="00AA68F5" w:rsidRDefault="00AA68F5" w:rsidP="00AA68F5">
      <w:pPr>
        <w:pStyle w:val="13"/>
        <w:rPr>
          <w:bCs/>
        </w:rPr>
      </w:pPr>
      <w:r w:rsidRPr="00AA68F5">
        <w:rPr>
          <w:rFonts w:hint="eastAsia"/>
          <w:bCs/>
        </w:rPr>
        <w:t>（三）人力资源管理人员；</w:t>
      </w:r>
    </w:p>
    <w:p w14:paraId="586E617A" w14:textId="77777777" w:rsidR="00AA68F5" w:rsidRPr="00AA68F5" w:rsidRDefault="00AA68F5" w:rsidP="00AA68F5">
      <w:pPr>
        <w:pStyle w:val="13"/>
        <w:rPr>
          <w:bCs/>
        </w:rPr>
      </w:pPr>
      <w:r w:rsidRPr="00AA68F5">
        <w:rPr>
          <w:rFonts w:hint="eastAsia"/>
          <w:bCs/>
        </w:rPr>
        <w:t>（四）信息管理人员；</w:t>
      </w:r>
    </w:p>
    <w:p w14:paraId="1D9E768A" w14:textId="77777777" w:rsidR="00AA68F5" w:rsidRPr="00AA68F5" w:rsidRDefault="00AA68F5" w:rsidP="00AA68F5">
      <w:pPr>
        <w:pStyle w:val="13"/>
        <w:rPr>
          <w:bCs/>
        </w:rPr>
      </w:pPr>
      <w:r w:rsidRPr="00AA68F5">
        <w:rPr>
          <w:rFonts w:hint="eastAsia"/>
          <w:bCs/>
        </w:rPr>
        <w:t>（五）档案管理人员；</w:t>
      </w:r>
    </w:p>
    <w:p w14:paraId="63365137" w14:textId="77777777" w:rsidR="00AA68F5" w:rsidRPr="00AA68F5" w:rsidRDefault="00AA68F5" w:rsidP="00AA68F5">
      <w:pPr>
        <w:pStyle w:val="13"/>
        <w:rPr>
          <w:bCs/>
        </w:rPr>
      </w:pPr>
      <w:r w:rsidRPr="00AA68F5">
        <w:rPr>
          <w:rFonts w:hint="eastAsia"/>
          <w:bCs/>
        </w:rPr>
        <w:t>（六）文秘人员。</w:t>
      </w:r>
      <w:bookmarkStart w:id="66" w:name="_Toc332433908"/>
    </w:p>
    <w:p w14:paraId="35D696F4" w14:textId="1438B021" w:rsidR="00AA68F5" w:rsidRPr="00AA68F5" w:rsidRDefault="00AA68F5" w:rsidP="00AF7342">
      <w:pPr>
        <w:pStyle w:val="a9"/>
        <w:spacing w:before="62" w:after="62"/>
      </w:pPr>
      <w:r w:rsidRPr="00AA68F5">
        <w:rPr>
          <w:rFonts w:hint="eastAsia"/>
        </w:rPr>
        <w:t>第三章 职业道德</w:t>
      </w:r>
      <w:bookmarkEnd w:id="66"/>
    </w:p>
    <w:p w14:paraId="0469DEAB" w14:textId="461D6DF8" w:rsidR="00AA68F5" w:rsidRPr="00AA68F5" w:rsidRDefault="00E05BDA" w:rsidP="00AA68F5">
      <w:pPr>
        <w:pStyle w:val="13"/>
        <w:ind w:firstLine="482"/>
        <w:rPr>
          <w:bCs/>
        </w:rPr>
      </w:pPr>
      <w:r w:rsidRPr="00E05BDA">
        <w:rPr>
          <w:rFonts w:hint="eastAsia"/>
          <w:b/>
        </w:rPr>
        <w:t xml:space="preserve">第十二条 </w:t>
      </w:r>
      <w:r w:rsidR="00AA68F5" w:rsidRPr="00AA68F5">
        <w:rPr>
          <w:rFonts w:hint="eastAsia"/>
          <w:bCs/>
        </w:rPr>
        <w:t>中小评估机构应当制定制度和程序，并采取相应措施，以确保全体人员遵守《资产评估职业道德准则——基本准则》及相关资产评估准则。</w:t>
      </w:r>
    </w:p>
    <w:p w14:paraId="6C8FF94B" w14:textId="6558E1F0" w:rsidR="00AA68F5" w:rsidRPr="00AA68F5" w:rsidRDefault="00E05BDA" w:rsidP="00AA68F5">
      <w:pPr>
        <w:pStyle w:val="13"/>
        <w:ind w:firstLine="482"/>
        <w:rPr>
          <w:bCs/>
        </w:rPr>
      </w:pPr>
      <w:r w:rsidRPr="00E05BDA">
        <w:rPr>
          <w:rFonts w:hint="eastAsia"/>
          <w:b/>
        </w:rPr>
        <w:t xml:space="preserve">第十三条 </w:t>
      </w:r>
      <w:r w:rsidR="00AA68F5" w:rsidRPr="00AA68F5">
        <w:rPr>
          <w:rFonts w:hint="eastAsia"/>
          <w:bCs/>
        </w:rPr>
        <w:t>中小评估机构管理层应当遵守《资产评估职业道德准则——基本准则》及相关资产评估准则，通过行为示范在评估机构内部形成重视职业道德的氛围。</w:t>
      </w:r>
    </w:p>
    <w:p w14:paraId="6A5BB4C5" w14:textId="52525B92" w:rsidR="00AA68F5" w:rsidRPr="00AA68F5" w:rsidRDefault="00E05BDA" w:rsidP="00AA68F5">
      <w:pPr>
        <w:pStyle w:val="13"/>
        <w:ind w:firstLine="482"/>
        <w:rPr>
          <w:bCs/>
        </w:rPr>
      </w:pPr>
      <w:r w:rsidRPr="00E05BDA">
        <w:rPr>
          <w:rFonts w:hint="eastAsia"/>
          <w:b/>
        </w:rPr>
        <w:t xml:space="preserve">第十四条 </w:t>
      </w:r>
      <w:r w:rsidR="00AA68F5" w:rsidRPr="00AA68F5">
        <w:rPr>
          <w:rFonts w:hint="eastAsia"/>
          <w:bCs/>
        </w:rPr>
        <w:t>中小评估机构应当对全体人员提出遵守职业道德的具体要求。</w:t>
      </w:r>
    </w:p>
    <w:p w14:paraId="5B32D397" w14:textId="4E4E35D8" w:rsidR="00AA68F5" w:rsidRPr="00AA68F5" w:rsidRDefault="00E05BDA" w:rsidP="00AA68F5">
      <w:pPr>
        <w:pStyle w:val="13"/>
        <w:ind w:firstLine="482"/>
        <w:rPr>
          <w:bCs/>
        </w:rPr>
      </w:pPr>
      <w:r w:rsidRPr="00E05BDA">
        <w:rPr>
          <w:rFonts w:hint="eastAsia"/>
          <w:b/>
        </w:rPr>
        <w:t xml:space="preserve">第十五条 </w:t>
      </w:r>
      <w:r w:rsidR="00AA68F5" w:rsidRPr="00AA68F5">
        <w:rPr>
          <w:rFonts w:hint="eastAsia"/>
          <w:bCs/>
        </w:rPr>
        <w:t>中小评估机构应当通过专门教育和培训，确保资产评估师和相关人员具备相应的专业知识和经验，保持应有的专业胜任能力。</w:t>
      </w:r>
    </w:p>
    <w:p w14:paraId="47EC2285" w14:textId="485FDF00" w:rsidR="00AA68F5" w:rsidRPr="00AA68F5" w:rsidRDefault="00E05BDA" w:rsidP="00AA68F5">
      <w:pPr>
        <w:pStyle w:val="13"/>
        <w:ind w:firstLine="482"/>
        <w:rPr>
          <w:bCs/>
        </w:rPr>
      </w:pPr>
      <w:r w:rsidRPr="00E05BDA">
        <w:rPr>
          <w:rFonts w:hint="eastAsia"/>
          <w:b/>
        </w:rPr>
        <w:t xml:space="preserve">第十六条 </w:t>
      </w:r>
      <w:r w:rsidR="00AA68F5" w:rsidRPr="00AA68F5">
        <w:rPr>
          <w:rFonts w:hint="eastAsia"/>
          <w:bCs/>
        </w:rPr>
        <w:t>中小评估机构应当要求评估人员在签订劳动合同的同时签署遵守职业道德规范承诺函，并且每年对评估人员所签署的职业道德规范承诺函的遵守情况进行全面检查。</w:t>
      </w:r>
    </w:p>
    <w:p w14:paraId="48F519EA" w14:textId="41B62B2F" w:rsidR="00AA68F5" w:rsidRPr="00AA68F5" w:rsidRDefault="00E05BDA" w:rsidP="00AA68F5">
      <w:pPr>
        <w:pStyle w:val="13"/>
        <w:ind w:firstLine="482"/>
      </w:pPr>
      <w:r w:rsidRPr="00E05BDA">
        <w:rPr>
          <w:rFonts w:hint="eastAsia"/>
          <w:b/>
        </w:rPr>
        <w:t xml:space="preserve">第十七条 </w:t>
      </w:r>
      <w:r w:rsidR="00AA68F5" w:rsidRPr="00AA68F5">
        <w:rPr>
          <w:rFonts w:hint="eastAsia"/>
        </w:rPr>
        <w:t>中小</w:t>
      </w:r>
      <w:r w:rsidR="00AA68F5" w:rsidRPr="00AA68F5">
        <w:rPr>
          <w:rFonts w:hint="eastAsia"/>
          <w:bCs/>
        </w:rPr>
        <w:t>评估机构应当保持必要的职业审慎态度，识别可能影响独立性的情形，合理判断其对独立性的影响，采取恰当措施保证独立性贯穿评估程序始终。</w:t>
      </w:r>
    </w:p>
    <w:p w14:paraId="7DEFF86D" w14:textId="1923EF87" w:rsidR="00AA68F5" w:rsidRPr="00AA68F5" w:rsidRDefault="00E05BDA" w:rsidP="00AA68F5">
      <w:pPr>
        <w:pStyle w:val="13"/>
        <w:ind w:firstLine="482"/>
        <w:rPr>
          <w:bCs/>
        </w:rPr>
      </w:pPr>
      <w:r w:rsidRPr="00E05BDA">
        <w:rPr>
          <w:rFonts w:hint="eastAsia"/>
          <w:b/>
        </w:rPr>
        <w:t xml:space="preserve">第十八条 </w:t>
      </w:r>
      <w:r w:rsidR="00AA68F5" w:rsidRPr="00AA68F5">
        <w:rPr>
          <w:rFonts w:hint="eastAsia"/>
          <w:bCs/>
        </w:rPr>
        <w:t>中小评估机构执业人员和其他相关人员对国家秘密、委托方和相关当事方的商业秘密、所在机构的商业秘密负有保密义务。除下列人员和机构可以依法从评估机构获取和保留国家秘密及商业秘密外，不得向他人泄露在执业过程中获得的不应当公开的信息以及评估结论：</w:t>
      </w:r>
    </w:p>
    <w:p w14:paraId="7A1A664E" w14:textId="77777777" w:rsidR="00AA68F5" w:rsidRPr="00AA68F5" w:rsidRDefault="00AA68F5" w:rsidP="00AA68F5">
      <w:pPr>
        <w:pStyle w:val="13"/>
        <w:rPr>
          <w:bCs/>
        </w:rPr>
      </w:pPr>
      <w:r w:rsidRPr="00AA68F5">
        <w:rPr>
          <w:rFonts w:hint="eastAsia"/>
          <w:bCs/>
        </w:rPr>
        <w:t>（一）委托方或者由委托方书面许可的人；</w:t>
      </w:r>
    </w:p>
    <w:p w14:paraId="61D3B026" w14:textId="77777777" w:rsidR="00AA68F5" w:rsidRPr="00AA68F5" w:rsidRDefault="00AA68F5" w:rsidP="00AA68F5">
      <w:pPr>
        <w:pStyle w:val="13"/>
        <w:rPr>
          <w:bCs/>
        </w:rPr>
      </w:pPr>
      <w:r w:rsidRPr="00AA68F5">
        <w:rPr>
          <w:rFonts w:hint="eastAsia"/>
          <w:bCs/>
        </w:rPr>
        <w:t>（二）法律、行政法规允许的第三方；</w:t>
      </w:r>
    </w:p>
    <w:p w14:paraId="11199EB7" w14:textId="77777777" w:rsidR="00AA68F5" w:rsidRPr="00AA68F5" w:rsidRDefault="00AA68F5" w:rsidP="00AA68F5">
      <w:pPr>
        <w:pStyle w:val="13"/>
        <w:rPr>
          <w:bCs/>
        </w:rPr>
      </w:pPr>
      <w:r w:rsidRPr="00AA68F5">
        <w:rPr>
          <w:rFonts w:hint="eastAsia"/>
          <w:bCs/>
        </w:rPr>
        <w:t>（三）具有管辖权的监管机构、行业协会。</w:t>
      </w:r>
    </w:p>
    <w:p w14:paraId="1EEA7E17" w14:textId="77777777" w:rsidR="00AA68F5" w:rsidRPr="00AA68F5" w:rsidRDefault="00AA68F5" w:rsidP="00AA68F5">
      <w:pPr>
        <w:pStyle w:val="13"/>
      </w:pPr>
      <w:r w:rsidRPr="00AA68F5">
        <w:rPr>
          <w:rFonts w:hint="eastAsia"/>
        </w:rPr>
        <w:lastRenderedPageBreak/>
        <w:t>执业人员和其他相关人员在为委托方和相关当事</w:t>
      </w:r>
      <w:proofErr w:type="gramStart"/>
      <w:r w:rsidRPr="00AA68F5">
        <w:rPr>
          <w:rFonts w:hint="eastAsia"/>
        </w:rPr>
        <w:t>方服务</w:t>
      </w:r>
      <w:proofErr w:type="gramEnd"/>
      <w:r w:rsidRPr="00AA68F5">
        <w:rPr>
          <w:rFonts w:hint="eastAsia"/>
        </w:rPr>
        <w:t>结束或者离开所在评估机构后，应当按照有关规定或者合同约定承担保密义务。</w:t>
      </w:r>
      <w:bookmarkStart w:id="67" w:name="_Toc332433909"/>
    </w:p>
    <w:p w14:paraId="24F40742" w14:textId="7B79F5A4" w:rsidR="00AA68F5" w:rsidRPr="00AA68F5" w:rsidRDefault="00E05BDA" w:rsidP="00AA68F5">
      <w:pPr>
        <w:pStyle w:val="13"/>
        <w:ind w:firstLine="482"/>
      </w:pPr>
      <w:r w:rsidRPr="00E05BDA">
        <w:rPr>
          <w:rFonts w:hint="eastAsia"/>
          <w:b/>
        </w:rPr>
        <w:t xml:space="preserve">第十九条 </w:t>
      </w:r>
      <w:r w:rsidR="00AA68F5" w:rsidRPr="00AA68F5">
        <w:rPr>
          <w:rFonts w:hint="eastAsia"/>
          <w:bCs/>
        </w:rPr>
        <w:t>中小评估机构应当对违反职业道德要求的员工进行处理并记录处理结果。</w:t>
      </w:r>
    </w:p>
    <w:p w14:paraId="40C72CB8" w14:textId="1AE4D77B" w:rsidR="00AA68F5" w:rsidRPr="00AA68F5" w:rsidRDefault="00AA68F5" w:rsidP="00AF7342">
      <w:pPr>
        <w:pStyle w:val="a9"/>
        <w:spacing w:before="62" w:after="62"/>
      </w:pPr>
      <w:r w:rsidRPr="00AA68F5">
        <w:rPr>
          <w:rFonts w:hint="eastAsia"/>
        </w:rPr>
        <w:t>第四章 人力资源</w:t>
      </w:r>
      <w:bookmarkEnd w:id="67"/>
    </w:p>
    <w:p w14:paraId="340B5C19" w14:textId="79F60C7B" w:rsidR="00AA68F5" w:rsidRPr="00AA68F5" w:rsidRDefault="00E05BDA" w:rsidP="00AA68F5">
      <w:pPr>
        <w:pStyle w:val="13"/>
        <w:ind w:firstLine="482"/>
        <w:rPr>
          <w:bCs/>
        </w:rPr>
      </w:pPr>
      <w:r w:rsidRPr="00E05BDA">
        <w:rPr>
          <w:rFonts w:hint="eastAsia"/>
          <w:b/>
        </w:rPr>
        <w:t xml:space="preserve">第二十条 </w:t>
      </w:r>
      <w:r w:rsidR="00AA68F5" w:rsidRPr="00AA68F5">
        <w:rPr>
          <w:rFonts w:hint="eastAsia"/>
          <w:bCs/>
        </w:rPr>
        <w:t>中小评估机构应当合理配置必需的人力资源，并根据业务的变化，对人力资源进行调整和更新。</w:t>
      </w:r>
    </w:p>
    <w:p w14:paraId="32D8E8F9" w14:textId="68005962" w:rsidR="00AA68F5" w:rsidRPr="00AA68F5" w:rsidRDefault="00E05BDA" w:rsidP="00AA68F5">
      <w:pPr>
        <w:pStyle w:val="13"/>
        <w:ind w:firstLine="482"/>
        <w:rPr>
          <w:bCs/>
        </w:rPr>
      </w:pPr>
      <w:r w:rsidRPr="00E05BDA">
        <w:rPr>
          <w:rFonts w:hint="eastAsia"/>
          <w:b/>
        </w:rPr>
        <w:t xml:space="preserve">第二十一条 </w:t>
      </w:r>
      <w:r w:rsidR="00AA68F5" w:rsidRPr="00AA68F5">
        <w:rPr>
          <w:rFonts w:hint="eastAsia"/>
          <w:bCs/>
        </w:rPr>
        <w:t>中小评估机构应当明确各岗位职责和任职要求，制定并不断完善员工招聘制度、培训制度、绩效考评制度、薪酬及晋升制度。</w:t>
      </w:r>
    </w:p>
    <w:p w14:paraId="466E73A5" w14:textId="77777777" w:rsidR="00AA68F5" w:rsidRPr="00AA68F5" w:rsidRDefault="00AA68F5" w:rsidP="00AA68F5">
      <w:pPr>
        <w:pStyle w:val="13"/>
        <w:rPr>
          <w:bCs/>
        </w:rPr>
      </w:pPr>
      <w:r w:rsidRPr="00AA68F5">
        <w:rPr>
          <w:rFonts w:hint="eastAsia"/>
          <w:bCs/>
        </w:rPr>
        <w:t>（一）中小评估机构应当制定适宜的招聘制度，根据自身及业务发展的实际需要，招聘具备执行业务所需的专业胜任能力的人员。中小评估机构按照所需岗位的职位描述对应聘人员进行初步筛选，从专业胜任能力方面对应聘者进行评价，形成综合评价意见。</w:t>
      </w:r>
    </w:p>
    <w:p w14:paraId="16575CF5" w14:textId="77777777" w:rsidR="00AA68F5" w:rsidRPr="00AA68F5" w:rsidRDefault="00AA68F5" w:rsidP="00AA68F5">
      <w:pPr>
        <w:pStyle w:val="13"/>
        <w:rPr>
          <w:bCs/>
        </w:rPr>
      </w:pPr>
      <w:r w:rsidRPr="00AA68F5">
        <w:rPr>
          <w:rFonts w:hint="eastAsia"/>
          <w:bCs/>
        </w:rPr>
        <w:t>（二）中小评估机构应当根据自身业务特点建立和完善员工培训制度，确保各级业务人员及时熟悉并掌握相关法律法规和评估准则，更新和提高专业知识，保持和完善专业技能，不断提高专业胜任能力。培训制度应当包括以下内容：</w:t>
      </w:r>
    </w:p>
    <w:p w14:paraId="3095D894" w14:textId="77777777" w:rsidR="00AA68F5" w:rsidRPr="00AA68F5" w:rsidRDefault="00AA68F5" w:rsidP="00AA68F5">
      <w:pPr>
        <w:pStyle w:val="13"/>
        <w:rPr>
          <w:bCs/>
        </w:rPr>
      </w:pPr>
      <w:r w:rsidRPr="00AA68F5">
        <w:rPr>
          <w:rFonts w:hint="eastAsia"/>
          <w:bCs/>
        </w:rPr>
        <w:t>1.员工培训计划；</w:t>
      </w:r>
    </w:p>
    <w:p w14:paraId="7FA27ABB" w14:textId="77777777" w:rsidR="00AA68F5" w:rsidRPr="00AA68F5" w:rsidRDefault="00AA68F5" w:rsidP="00AA68F5">
      <w:pPr>
        <w:pStyle w:val="13"/>
        <w:rPr>
          <w:bCs/>
        </w:rPr>
      </w:pPr>
      <w:r w:rsidRPr="00AA68F5">
        <w:rPr>
          <w:rFonts w:hint="eastAsia"/>
          <w:bCs/>
        </w:rPr>
        <w:t>2.参加并完成资产评估行业协会、相关管理部门要求的继续教育；</w:t>
      </w:r>
    </w:p>
    <w:p w14:paraId="174B5764" w14:textId="77777777" w:rsidR="00AA68F5" w:rsidRPr="00AA68F5" w:rsidRDefault="00AA68F5" w:rsidP="00AA68F5">
      <w:pPr>
        <w:pStyle w:val="13"/>
        <w:rPr>
          <w:bCs/>
        </w:rPr>
      </w:pPr>
      <w:r w:rsidRPr="00AA68F5">
        <w:rPr>
          <w:rFonts w:hint="eastAsia"/>
          <w:bCs/>
        </w:rPr>
        <w:t>3.举办内部培训；</w:t>
      </w:r>
    </w:p>
    <w:p w14:paraId="406449C1" w14:textId="77777777" w:rsidR="00AA68F5" w:rsidRPr="00AA68F5" w:rsidRDefault="00AA68F5" w:rsidP="00AA68F5">
      <w:pPr>
        <w:pStyle w:val="13"/>
        <w:rPr>
          <w:bCs/>
        </w:rPr>
      </w:pPr>
      <w:r w:rsidRPr="00AA68F5">
        <w:rPr>
          <w:rFonts w:hint="eastAsia"/>
          <w:bCs/>
        </w:rPr>
        <w:t>4.书面记录各级评估人员参加培训情况，定期检查、评价培训的内容和效果。</w:t>
      </w:r>
    </w:p>
    <w:p w14:paraId="626E5451" w14:textId="77777777" w:rsidR="00AA68F5" w:rsidRPr="00AA68F5" w:rsidRDefault="00AA68F5" w:rsidP="00AA68F5">
      <w:pPr>
        <w:pStyle w:val="13"/>
        <w:rPr>
          <w:bCs/>
        </w:rPr>
      </w:pPr>
      <w:r w:rsidRPr="00AA68F5">
        <w:rPr>
          <w:rFonts w:hint="eastAsia"/>
          <w:bCs/>
        </w:rPr>
        <w:t>（三）中小评估机构根据自身发展目标的需求，建立和完善员工绩效考评制度，优化人力资源结构，提升员工的满意程度和未来期望。绩效考评制度通常包括以下内容：</w:t>
      </w:r>
    </w:p>
    <w:p w14:paraId="3DA59426" w14:textId="77777777" w:rsidR="00AA68F5" w:rsidRPr="00AA68F5" w:rsidRDefault="00AA68F5" w:rsidP="00AA68F5">
      <w:pPr>
        <w:pStyle w:val="13"/>
        <w:rPr>
          <w:bCs/>
        </w:rPr>
      </w:pPr>
      <w:r w:rsidRPr="00AA68F5">
        <w:rPr>
          <w:rFonts w:hint="eastAsia"/>
          <w:bCs/>
        </w:rPr>
        <w:t>1.每年至少进行一次员工绩效考评。绩效考评按不同职务级别、不同岗位进行；</w:t>
      </w:r>
    </w:p>
    <w:p w14:paraId="14313ECA" w14:textId="77777777" w:rsidR="00AA68F5" w:rsidRPr="00AA68F5" w:rsidRDefault="00AA68F5" w:rsidP="00AA68F5">
      <w:pPr>
        <w:pStyle w:val="13"/>
        <w:rPr>
          <w:bCs/>
        </w:rPr>
      </w:pPr>
      <w:r w:rsidRPr="00AA68F5">
        <w:rPr>
          <w:rFonts w:hint="eastAsia"/>
          <w:bCs/>
        </w:rPr>
        <w:t>2.绩效考评可以采取上级评价下级、集体无记名打分等评价方式，对员工年度内的工作态度、工作能力、工作成绩、综合能力及素质进行综合性评价；</w:t>
      </w:r>
    </w:p>
    <w:p w14:paraId="40427BB6" w14:textId="77777777" w:rsidR="00AA68F5" w:rsidRPr="00AA68F5" w:rsidRDefault="00AA68F5" w:rsidP="00AA68F5">
      <w:pPr>
        <w:pStyle w:val="13"/>
        <w:rPr>
          <w:bCs/>
        </w:rPr>
      </w:pPr>
      <w:r w:rsidRPr="00AA68F5">
        <w:rPr>
          <w:rFonts w:hint="eastAsia"/>
          <w:bCs/>
        </w:rPr>
        <w:t>3.绩效考评结果与薪酬调整、职级升降和续聘辞退挂钩。</w:t>
      </w:r>
    </w:p>
    <w:p w14:paraId="5190D506" w14:textId="77777777" w:rsidR="00AA68F5" w:rsidRPr="00AA68F5" w:rsidRDefault="00AA68F5" w:rsidP="00AA68F5">
      <w:pPr>
        <w:pStyle w:val="13"/>
        <w:rPr>
          <w:bCs/>
        </w:rPr>
      </w:pPr>
      <w:r w:rsidRPr="00AA68F5">
        <w:rPr>
          <w:rFonts w:hint="eastAsia"/>
          <w:bCs/>
        </w:rPr>
        <w:t>（四）中小评估机构应当本着责任与报酬相配比，风险与补偿相对应，考核与激励相结合，绩效与奖惩相挂钩的原则，建立和</w:t>
      </w:r>
      <w:proofErr w:type="gramStart"/>
      <w:r w:rsidRPr="00AA68F5">
        <w:rPr>
          <w:rFonts w:hint="eastAsia"/>
          <w:bCs/>
        </w:rPr>
        <w:t>完善员工薪酬</w:t>
      </w:r>
      <w:proofErr w:type="gramEnd"/>
      <w:r w:rsidRPr="00AA68F5">
        <w:rPr>
          <w:rFonts w:hint="eastAsia"/>
          <w:bCs/>
        </w:rPr>
        <w:t>制度。</w:t>
      </w:r>
    </w:p>
    <w:p w14:paraId="3C493433" w14:textId="54F4FA27" w:rsidR="00AA68F5" w:rsidRPr="00AA68F5" w:rsidRDefault="00E05BDA" w:rsidP="00AA68F5">
      <w:pPr>
        <w:pStyle w:val="13"/>
        <w:ind w:firstLine="482"/>
        <w:rPr>
          <w:bCs/>
        </w:rPr>
      </w:pPr>
      <w:r w:rsidRPr="00E05BDA">
        <w:rPr>
          <w:rFonts w:hint="eastAsia"/>
          <w:b/>
        </w:rPr>
        <w:t xml:space="preserve">第二十二条 </w:t>
      </w:r>
      <w:r w:rsidR="00AA68F5" w:rsidRPr="00AA68F5">
        <w:rPr>
          <w:rFonts w:hint="eastAsia"/>
          <w:bCs/>
        </w:rPr>
        <w:t>中小评估机构在制定组建项目团队的制度和程序时，应当要求项目团队成员具备下列条件：</w:t>
      </w:r>
    </w:p>
    <w:p w14:paraId="5F646D61" w14:textId="77777777" w:rsidR="00AA68F5" w:rsidRPr="00AA68F5" w:rsidRDefault="00AA68F5" w:rsidP="00AA68F5">
      <w:pPr>
        <w:pStyle w:val="13"/>
        <w:rPr>
          <w:bCs/>
        </w:rPr>
      </w:pPr>
      <w:r w:rsidRPr="00AA68F5">
        <w:rPr>
          <w:rFonts w:hint="eastAsia"/>
          <w:bCs/>
        </w:rPr>
        <w:t>（一）必要的职业道德，能够保持独立性；</w:t>
      </w:r>
    </w:p>
    <w:p w14:paraId="2AC50ED0" w14:textId="77777777" w:rsidR="00AA68F5" w:rsidRPr="00AA68F5" w:rsidRDefault="00AA68F5" w:rsidP="00AA68F5">
      <w:pPr>
        <w:pStyle w:val="13"/>
        <w:rPr>
          <w:bCs/>
        </w:rPr>
      </w:pPr>
      <w:r w:rsidRPr="00AA68F5">
        <w:rPr>
          <w:rFonts w:hint="eastAsia"/>
          <w:bCs/>
        </w:rPr>
        <w:t>（二）必要的专业知识、执业能力、专业经验；</w:t>
      </w:r>
    </w:p>
    <w:p w14:paraId="64D5FC9B" w14:textId="77777777" w:rsidR="00AA68F5" w:rsidRPr="00AA68F5" w:rsidRDefault="00AA68F5" w:rsidP="00AA68F5">
      <w:pPr>
        <w:pStyle w:val="13"/>
        <w:rPr>
          <w:bCs/>
        </w:rPr>
      </w:pPr>
      <w:r w:rsidRPr="00AA68F5">
        <w:rPr>
          <w:rFonts w:hint="eastAsia"/>
          <w:bCs/>
        </w:rPr>
        <w:t>（三）遵守评估机构业务质量控制制度和程序的意识。</w:t>
      </w:r>
    </w:p>
    <w:p w14:paraId="0048A53F" w14:textId="720175A2" w:rsidR="00AA68F5" w:rsidRPr="00AA68F5" w:rsidRDefault="00E05BDA" w:rsidP="00AA68F5">
      <w:pPr>
        <w:pStyle w:val="13"/>
        <w:ind w:firstLine="482"/>
      </w:pPr>
      <w:r w:rsidRPr="00E05BDA">
        <w:rPr>
          <w:rFonts w:hint="eastAsia"/>
          <w:b/>
        </w:rPr>
        <w:lastRenderedPageBreak/>
        <w:t xml:space="preserve">第二十三条 </w:t>
      </w:r>
      <w:r w:rsidR="00AA68F5" w:rsidRPr="00AA68F5">
        <w:rPr>
          <w:rFonts w:hint="eastAsia"/>
          <w:bCs/>
        </w:rPr>
        <w:t>中小评估机构应当结合自身情况，建立健全聘请专家和外部人员协助工作的制度和程序，以确信专家和外部人员工作的合理性。</w:t>
      </w:r>
      <w:bookmarkStart w:id="68" w:name="_Toc332433910"/>
    </w:p>
    <w:p w14:paraId="7DF81AAE" w14:textId="77777777" w:rsidR="00AA68F5" w:rsidRPr="00AA68F5" w:rsidRDefault="00AA68F5" w:rsidP="00AF7342">
      <w:pPr>
        <w:pStyle w:val="a9"/>
        <w:spacing w:before="62" w:after="62"/>
      </w:pPr>
      <w:r w:rsidRPr="00AA68F5">
        <w:rPr>
          <w:rFonts w:hint="eastAsia"/>
        </w:rPr>
        <w:t>第五章  评估业务承接</w:t>
      </w:r>
      <w:bookmarkEnd w:id="68"/>
    </w:p>
    <w:p w14:paraId="32247947" w14:textId="6671B0E9" w:rsidR="00AA68F5" w:rsidRPr="00AA68F5" w:rsidRDefault="00E05BDA" w:rsidP="00AA68F5">
      <w:pPr>
        <w:pStyle w:val="13"/>
        <w:ind w:firstLine="482"/>
        <w:rPr>
          <w:bCs/>
        </w:rPr>
      </w:pPr>
      <w:r w:rsidRPr="00E05BDA">
        <w:rPr>
          <w:rFonts w:hint="eastAsia"/>
          <w:b/>
        </w:rPr>
        <w:t xml:space="preserve">第二十四条 </w:t>
      </w:r>
      <w:r w:rsidR="00AA68F5" w:rsidRPr="00AA68F5">
        <w:rPr>
          <w:rFonts w:hint="eastAsia"/>
          <w:bCs/>
        </w:rPr>
        <w:t>中小评估机构应当根据自身特点谨慎地选择客户和业务，在业务承接环节应当考虑以下方面：</w:t>
      </w:r>
    </w:p>
    <w:p w14:paraId="3C4D6898" w14:textId="77777777" w:rsidR="00AA68F5" w:rsidRPr="00AA68F5" w:rsidRDefault="00AA68F5" w:rsidP="00AA68F5">
      <w:pPr>
        <w:pStyle w:val="13"/>
        <w:rPr>
          <w:bCs/>
        </w:rPr>
      </w:pPr>
      <w:r w:rsidRPr="00AA68F5">
        <w:rPr>
          <w:rFonts w:hint="eastAsia"/>
          <w:bCs/>
        </w:rPr>
        <w:t>（一）评估业务的基本事项、委托方的要求、被评估单位（产权持有单位）的情况；</w:t>
      </w:r>
    </w:p>
    <w:p w14:paraId="00B253DB" w14:textId="77777777" w:rsidR="00AA68F5" w:rsidRPr="00AA68F5" w:rsidRDefault="00AA68F5" w:rsidP="00AA68F5">
      <w:pPr>
        <w:pStyle w:val="13"/>
        <w:rPr>
          <w:bCs/>
        </w:rPr>
      </w:pPr>
      <w:r w:rsidRPr="00AA68F5">
        <w:rPr>
          <w:rFonts w:hint="eastAsia"/>
          <w:bCs/>
        </w:rPr>
        <w:t>（二）具有执行该项业务的专业胜任能力、时间和资源；</w:t>
      </w:r>
    </w:p>
    <w:p w14:paraId="5447BAB8" w14:textId="77777777" w:rsidR="00AA68F5" w:rsidRPr="00AA68F5" w:rsidRDefault="00AA68F5" w:rsidP="00AA68F5">
      <w:pPr>
        <w:pStyle w:val="13"/>
        <w:rPr>
          <w:bCs/>
        </w:rPr>
      </w:pPr>
      <w:r w:rsidRPr="00AA68F5">
        <w:rPr>
          <w:rFonts w:hint="eastAsia"/>
          <w:bCs/>
        </w:rPr>
        <w:t>（三）能够遵守职业道德，与委托方或者相关当事方不存在可能影响独立性的情形；</w:t>
      </w:r>
    </w:p>
    <w:p w14:paraId="5ED30D98" w14:textId="77777777" w:rsidR="00AA68F5" w:rsidRPr="00AA68F5" w:rsidRDefault="00AA68F5" w:rsidP="00AA68F5">
      <w:pPr>
        <w:pStyle w:val="13"/>
        <w:rPr>
          <w:bCs/>
        </w:rPr>
      </w:pPr>
      <w:r w:rsidRPr="00AA68F5">
        <w:rPr>
          <w:rFonts w:hint="eastAsia"/>
          <w:bCs/>
        </w:rPr>
        <w:t>（四）对委托业务风险进行评价，该项业务的承接不会给评估机构带来不可控制的风险；</w:t>
      </w:r>
    </w:p>
    <w:p w14:paraId="61BD62F9" w14:textId="77777777" w:rsidR="00AA68F5" w:rsidRPr="00AA68F5" w:rsidRDefault="00AA68F5" w:rsidP="00AA68F5">
      <w:pPr>
        <w:pStyle w:val="13"/>
        <w:rPr>
          <w:bCs/>
        </w:rPr>
      </w:pPr>
      <w:r w:rsidRPr="00AA68F5">
        <w:rPr>
          <w:rFonts w:hint="eastAsia"/>
          <w:bCs/>
        </w:rPr>
        <w:t>（五）考虑工作量，预计项目成本，合理确定项目收费。</w:t>
      </w:r>
    </w:p>
    <w:p w14:paraId="398AD3BB" w14:textId="62627A9F" w:rsidR="00AA68F5" w:rsidRPr="00AA68F5" w:rsidRDefault="00E05BDA" w:rsidP="00AA68F5">
      <w:pPr>
        <w:pStyle w:val="13"/>
        <w:ind w:firstLine="482"/>
        <w:rPr>
          <w:bCs/>
        </w:rPr>
      </w:pPr>
      <w:r w:rsidRPr="00E05BDA">
        <w:rPr>
          <w:rFonts w:hint="eastAsia"/>
          <w:b/>
        </w:rPr>
        <w:t xml:space="preserve">第二十五条 </w:t>
      </w:r>
      <w:r w:rsidR="00AA68F5" w:rsidRPr="00AA68F5">
        <w:rPr>
          <w:rFonts w:hint="eastAsia"/>
          <w:bCs/>
        </w:rPr>
        <w:t>业务洽谈人员对评估业务进行初步评价，可以接受的评估业务，报法定代表人（或者首席合伙人）批准；当评估业务存在较大风险时，业务洽谈人员提请首席评估师处理；首席评估师不能解决的，应当向最高管理层报告，最高管理层认为有必要时，中小评估机构应当召开由法定代表人（或者首席合伙人）主持，首席评估师、业务洽谈人员、拟委派的项目负责人、签字资产评估师和项目审核人员等参加的会议，决定是否承接。会议应当形成记录并归档。</w:t>
      </w:r>
    </w:p>
    <w:p w14:paraId="1DE98EA4" w14:textId="13116A1A" w:rsidR="00AA68F5" w:rsidRPr="00AA68F5" w:rsidRDefault="00E05BDA" w:rsidP="00AA68F5">
      <w:pPr>
        <w:pStyle w:val="13"/>
        <w:ind w:firstLine="482"/>
        <w:rPr>
          <w:bCs/>
        </w:rPr>
      </w:pPr>
      <w:r w:rsidRPr="00E05BDA">
        <w:rPr>
          <w:rFonts w:hint="eastAsia"/>
          <w:b/>
        </w:rPr>
        <w:t xml:space="preserve">第二十六条 </w:t>
      </w:r>
      <w:r w:rsidR="00AA68F5" w:rsidRPr="00AA68F5">
        <w:rPr>
          <w:rFonts w:hint="eastAsia"/>
          <w:bCs/>
        </w:rPr>
        <w:t>项目负责人在获知可能存在风险的情形或者变更、中止、终止业务约定书的信息时，应当提请首席评估师处理；首席评估师不能解决的，应当</w:t>
      </w:r>
      <w:proofErr w:type="gramStart"/>
      <w:r w:rsidR="00AA68F5" w:rsidRPr="00AA68F5">
        <w:rPr>
          <w:rFonts w:hint="eastAsia"/>
          <w:bCs/>
        </w:rPr>
        <w:t>报最高</w:t>
      </w:r>
      <w:proofErr w:type="gramEnd"/>
      <w:r w:rsidR="00AA68F5" w:rsidRPr="00AA68F5">
        <w:rPr>
          <w:rFonts w:hint="eastAsia"/>
          <w:bCs/>
        </w:rPr>
        <w:t>管理层；最高管理层认为必要时，召开由法定代表人（或者首席合伙人）主持，首席评估师、业务洽谈人员、项目负责人、签字资产评估师和项目审核人员等参加的会议，决定是否变更、中止、终止该项业务约定书。会议应当形成记录并归档。</w:t>
      </w:r>
    </w:p>
    <w:p w14:paraId="2411FE06" w14:textId="7528F9C6" w:rsidR="00AA68F5" w:rsidRPr="00AA68F5" w:rsidRDefault="00E05BDA" w:rsidP="00AA68F5">
      <w:pPr>
        <w:pStyle w:val="13"/>
        <w:ind w:firstLine="482"/>
      </w:pPr>
      <w:r w:rsidRPr="00E05BDA">
        <w:rPr>
          <w:rFonts w:hint="eastAsia"/>
          <w:b/>
        </w:rPr>
        <w:t xml:space="preserve">第二十七条 </w:t>
      </w:r>
      <w:r w:rsidR="00AA68F5" w:rsidRPr="00AA68F5">
        <w:rPr>
          <w:rFonts w:hint="eastAsia"/>
        </w:rPr>
        <w:t>如果</w:t>
      </w:r>
      <w:r w:rsidR="00AA68F5" w:rsidRPr="00AA68F5">
        <w:rPr>
          <w:rFonts w:hint="eastAsia"/>
          <w:bCs/>
        </w:rPr>
        <w:t>变更、中止、终止该项业务</w:t>
      </w:r>
      <w:r w:rsidR="00AA68F5" w:rsidRPr="00AA68F5">
        <w:rPr>
          <w:rFonts w:hint="eastAsia"/>
        </w:rPr>
        <w:t>，中小评估机构的相关人员应当就拟采取的行动及原因与客户进行沟通。</w:t>
      </w:r>
    </w:p>
    <w:p w14:paraId="614AFADA" w14:textId="398F1F94" w:rsidR="00AA68F5" w:rsidRPr="00AA68F5" w:rsidRDefault="00AA68F5" w:rsidP="00AF7342">
      <w:pPr>
        <w:pStyle w:val="a9"/>
        <w:spacing w:before="62" w:after="62"/>
      </w:pPr>
      <w:bookmarkStart w:id="69" w:name="_Toc332433911"/>
      <w:r w:rsidRPr="00AA68F5">
        <w:rPr>
          <w:rFonts w:hint="eastAsia"/>
        </w:rPr>
        <w:t>第六章 评估业务计划</w:t>
      </w:r>
      <w:bookmarkEnd w:id="69"/>
    </w:p>
    <w:p w14:paraId="148672C3" w14:textId="2CD8E6E8" w:rsidR="00AA68F5" w:rsidRPr="00AA68F5" w:rsidRDefault="00E05BDA" w:rsidP="00AA68F5">
      <w:pPr>
        <w:pStyle w:val="13"/>
        <w:ind w:firstLine="482"/>
      </w:pPr>
      <w:r w:rsidRPr="00E05BDA">
        <w:rPr>
          <w:rFonts w:hint="eastAsia"/>
          <w:b/>
        </w:rPr>
        <w:t xml:space="preserve">第二十八条 </w:t>
      </w:r>
      <w:r w:rsidR="00AA68F5" w:rsidRPr="00AA68F5">
        <w:rPr>
          <w:rFonts w:hint="eastAsia"/>
        </w:rPr>
        <w:t>中小评估机构应当制定评估业务计划的控制制度和程序，并采取相应措施，以确保：</w:t>
      </w:r>
    </w:p>
    <w:p w14:paraId="04ED5618" w14:textId="77777777" w:rsidR="00AA68F5" w:rsidRPr="00AA68F5" w:rsidRDefault="00AA68F5" w:rsidP="00AA68F5">
      <w:pPr>
        <w:pStyle w:val="13"/>
      </w:pPr>
      <w:r w:rsidRPr="00AA68F5">
        <w:rPr>
          <w:rFonts w:hint="eastAsia"/>
        </w:rPr>
        <w:t>（一）项目团队成员了解工作内容、工作目标、重点关注领域；</w:t>
      </w:r>
    </w:p>
    <w:p w14:paraId="200C937D" w14:textId="77777777" w:rsidR="00AA68F5" w:rsidRPr="00AA68F5" w:rsidRDefault="00AA68F5" w:rsidP="00AA68F5">
      <w:pPr>
        <w:pStyle w:val="13"/>
      </w:pPr>
      <w:r w:rsidRPr="00AA68F5">
        <w:rPr>
          <w:rFonts w:hint="eastAsia"/>
        </w:rPr>
        <w:t>（二）项目负责人有效组织和管理评估业务；</w:t>
      </w:r>
    </w:p>
    <w:p w14:paraId="1D82E1CD" w14:textId="77777777" w:rsidR="00AA68F5" w:rsidRPr="00AA68F5" w:rsidRDefault="00AA68F5" w:rsidP="00AA68F5">
      <w:pPr>
        <w:pStyle w:val="13"/>
      </w:pPr>
      <w:r w:rsidRPr="00AA68F5">
        <w:rPr>
          <w:rFonts w:hint="eastAsia"/>
        </w:rPr>
        <w:t>（三）管理层人员有效监控评估业务；</w:t>
      </w:r>
    </w:p>
    <w:p w14:paraId="411D4293" w14:textId="77777777" w:rsidR="00AA68F5" w:rsidRPr="00AA68F5" w:rsidRDefault="00AA68F5" w:rsidP="00AA68F5">
      <w:pPr>
        <w:pStyle w:val="13"/>
      </w:pPr>
      <w:r w:rsidRPr="00AA68F5">
        <w:rPr>
          <w:rFonts w:hint="eastAsia"/>
        </w:rPr>
        <w:t>（四）委托方和相关当事方了解评估计划的内容，配合项目团队工作。</w:t>
      </w:r>
    </w:p>
    <w:p w14:paraId="1A8FD7B9" w14:textId="3022DCFC" w:rsidR="00AA68F5" w:rsidRPr="00AA68F5" w:rsidRDefault="00E05BDA" w:rsidP="00AA68F5">
      <w:pPr>
        <w:pStyle w:val="13"/>
        <w:ind w:firstLine="482"/>
        <w:rPr>
          <w:bCs/>
        </w:rPr>
      </w:pPr>
      <w:r w:rsidRPr="00E05BDA">
        <w:rPr>
          <w:rFonts w:hint="eastAsia"/>
          <w:b/>
        </w:rPr>
        <w:lastRenderedPageBreak/>
        <w:t xml:space="preserve">第二十九条 </w:t>
      </w:r>
      <w:r w:rsidR="00AA68F5" w:rsidRPr="00AA68F5">
        <w:rPr>
          <w:rFonts w:hint="eastAsia"/>
          <w:bCs/>
        </w:rPr>
        <w:t>评估计划应当由项目负责人编制，在编制评估计划</w:t>
      </w:r>
      <w:proofErr w:type="gramStart"/>
      <w:r w:rsidR="00AA68F5" w:rsidRPr="00AA68F5">
        <w:rPr>
          <w:rFonts w:hint="eastAsia"/>
          <w:bCs/>
        </w:rPr>
        <w:t>前项目</w:t>
      </w:r>
      <w:proofErr w:type="gramEnd"/>
      <w:r w:rsidR="00AA68F5" w:rsidRPr="00AA68F5">
        <w:rPr>
          <w:rFonts w:hint="eastAsia"/>
          <w:bCs/>
        </w:rPr>
        <w:t>负责人应当完成以下事项：</w:t>
      </w:r>
    </w:p>
    <w:p w14:paraId="1B539147" w14:textId="77777777" w:rsidR="00AA68F5" w:rsidRPr="00AA68F5" w:rsidRDefault="00AA68F5" w:rsidP="00AA68F5">
      <w:pPr>
        <w:pStyle w:val="13"/>
        <w:rPr>
          <w:bCs/>
        </w:rPr>
      </w:pPr>
      <w:r w:rsidRPr="00AA68F5">
        <w:rPr>
          <w:rFonts w:hint="eastAsia"/>
          <w:bCs/>
        </w:rPr>
        <w:t>（一）进一步明确评估业务基本事项；</w:t>
      </w:r>
    </w:p>
    <w:p w14:paraId="6FF905B1" w14:textId="77777777" w:rsidR="00AA68F5" w:rsidRPr="00AA68F5" w:rsidRDefault="00AA68F5" w:rsidP="00AA68F5">
      <w:pPr>
        <w:pStyle w:val="13"/>
        <w:rPr>
          <w:bCs/>
        </w:rPr>
      </w:pPr>
      <w:r w:rsidRPr="00AA68F5">
        <w:rPr>
          <w:rFonts w:hint="eastAsia"/>
          <w:bCs/>
        </w:rPr>
        <w:t>（二）为编制评估计划、开展后续工作组织资源；</w:t>
      </w:r>
    </w:p>
    <w:p w14:paraId="3F5C3A48" w14:textId="77777777" w:rsidR="00AA68F5" w:rsidRPr="00AA68F5" w:rsidRDefault="00AA68F5" w:rsidP="00AA68F5">
      <w:pPr>
        <w:pStyle w:val="13"/>
        <w:rPr>
          <w:bCs/>
        </w:rPr>
      </w:pPr>
      <w:r w:rsidRPr="00AA68F5">
        <w:rPr>
          <w:rFonts w:hint="eastAsia"/>
          <w:bCs/>
        </w:rPr>
        <w:t>（三）确定是否对委托方和相关当事方进行必要的业务指导；</w:t>
      </w:r>
    </w:p>
    <w:p w14:paraId="5034B40C" w14:textId="77777777" w:rsidR="00AA68F5" w:rsidRPr="00AA68F5" w:rsidRDefault="00AA68F5" w:rsidP="00AA68F5">
      <w:pPr>
        <w:pStyle w:val="13"/>
        <w:rPr>
          <w:bCs/>
        </w:rPr>
      </w:pPr>
      <w:r w:rsidRPr="00AA68F5">
        <w:rPr>
          <w:rFonts w:hint="eastAsia"/>
          <w:bCs/>
        </w:rPr>
        <w:t>（四）确定是否对项目团队成员进行适当的培训；</w:t>
      </w:r>
    </w:p>
    <w:p w14:paraId="10EC0CAD" w14:textId="77777777" w:rsidR="00AA68F5" w:rsidRPr="00AA68F5" w:rsidRDefault="00AA68F5" w:rsidP="00AA68F5">
      <w:pPr>
        <w:pStyle w:val="13"/>
        <w:rPr>
          <w:bCs/>
        </w:rPr>
      </w:pPr>
      <w:r w:rsidRPr="00AA68F5">
        <w:rPr>
          <w:rFonts w:hint="eastAsia"/>
          <w:bCs/>
        </w:rPr>
        <w:t>（五）确定是否开展初步评估活动。</w:t>
      </w:r>
    </w:p>
    <w:p w14:paraId="4AAEF3EE" w14:textId="0D9DBA74" w:rsidR="00AA68F5" w:rsidRPr="00AA68F5" w:rsidRDefault="00E05BDA" w:rsidP="00AA68F5">
      <w:pPr>
        <w:pStyle w:val="13"/>
        <w:ind w:firstLine="482"/>
        <w:rPr>
          <w:bCs/>
        </w:rPr>
      </w:pPr>
      <w:r w:rsidRPr="00E05BDA">
        <w:rPr>
          <w:rFonts w:hint="eastAsia"/>
          <w:b/>
        </w:rPr>
        <w:t xml:space="preserve">第三十条 </w:t>
      </w:r>
      <w:r w:rsidR="00AA68F5" w:rsidRPr="00AA68F5">
        <w:rPr>
          <w:rFonts w:hint="eastAsia"/>
          <w:bCs/>
        </w:rPr>
        <w:t>评估计划应当涵盖评估业务实施全过程，一般包括现场调查、收集评估资料、评定估算、编制和提交评估报告等。评估计划主要内容通常包括：</w:t>
      </w:r>
    </w:p>
    <w:p w14:paraId="34D0DC4F" w14:textId="77777777" w:rsidR="00AA68F5" w:rsidRPr="00AA68F5" w:rsidRDefault="00AA68F5" w:rsidP="00AA68F5">
      <w:pPr>
        <w:pStyle w:val="13"/>
        <w:rPr>
          <w:bCs/>
        </w:rPr>
      </w:pPr>
      <w:r w:rsidRPr="00AA68F5">
        <w:rPr>
          <w:rFonts w:hint="eastAsia"/>
          <w:bCs/>
        </w:rPr>
        <w:t>（一）评估目的；</w:t>
      </w:r>
    </w:p>
    <w:p w14:paraId="4BA09D4A" w14:textId="77777777" w:rsidR="00AA68F5" w:rsidRPr="00AA68F5" w:rsidRDefault="00AA68F5" w:rsidP="00AA68F5">
      <w:pPr>
        <w:pStyle w:val="13"/>
        <w:rPr>
          <w:bCs/>
        </w:rPr>
      </w:pPr>
      <w:r w:rsidRPr="00AA68F5">
        <w:rPr>
          <w:rFonts w:hint="eastAsia"/>
          <w:bCs/>
        </w:rPr>
        <w:t>（二）评估对象和范围；</w:t>
      </w:r>
    </w:p>
    <w:p w14:paraId="6BBEEA82" w14:textId="77777777" w:rsidR="00AA68F5" w:rsidRPr="00AA68F5" w:rsidRDefault="00AA68F5" w:rsidP="00AA68F5">
      <w:pPr>
        <w:pStyle w:val="13"/>
        <w:rPr>
          <w:bCs/>
        </w:rPr>
      </w:pPr>
      <w:r w:rsidRPr="00AA68F5">
        <w:rPr>
          <w:rFonts w:hint="eastAsia"/>
          <w:bCs/>
        </w:rPr>
        <w:t>（三）价值类型；</w:t>
      </w:r>
    </w:p>
    <w:p w14:paraId="16377A23" w14:textId="77777777" w:rsidR="00AA68F5" w:rsidRPr="00AA68F5" w:rsidRDefault="00AA68F5" w:rsidP="00AA68F5">
      <w:pPr>
        <w:pStyle w:val="13"/>
        <w:rPr>
          <w:bCs/>
        </w:rPr>
      </w:pPr>
      <w:r w:rsidRPr="00AA68F5">
        <w:rPr>
          <w:rFonts w:hint="eastAsia"/>
          <w:bCs/>
        </w:rPr>
        <w:t>（四）评估基准日；</w:t>
      </w:r>
    </w:p>
    <w:p w14:paraId="69553C65" w14:textId="77777777" w:rsidR="00AA68F5" w:rsidRPr="00AA68F5" w:rsidRDefault="00AA68F5" w:rsidP="00AA68F5">
      <w:pPr>
        <w:pStyle w:val="13"/>
        <w:rPr>
          <w:bCs/>
        </w:rPr>
      </w:pPr>
      <w:r w:rsidRPr="00AA68F5">
        <w:rPr>
          <w:rFonts w:hint="eastAsia"/>
          <w:bCs/>
        </w:rPr>
        <w:t>（五）主要程序的时间进度；</w:t>
      </w:r>
    </w:p>
    <w:p w14:paraId="05FAEAED" w14:textId="77777777" w:rsidR="00AA68F5" w:rsidRPr="00AA68F5" w:rsidRDefault="00AA68F5" w:rsidP="00AA68F5">
      <w:pPr>
        <w:pStyle w:val="13"/>
        <w:rPr>
          <w:bCs/>
        </w:rPr>
      </w:pPr>
      <w:r w:rsidRPr="00AA68F5">
        <w:rPr>
          <w:rFonts w:hint="eastAsia"/>
          <w:bCs/>
        </w:rPr>
        <w:t>（六）人员安排；</w:t>
      </w:r>
    </w:p>
    <w:p w14:paraId="06133FB9" w14:textId="77777777" w:rsidR="00AA68F5" w:rsidRPr="00AA68F5" w:rsidRDefault="00AA68F5" w:rsidP="00AA68F5">
      <w:pPr>
        <w:pStyle w:val="13"/>
        <w:rPr>
          <w:bCs/>
        </w:rPr>
      </w:pPr>
      <w:r w:rsidRPr="00AA68F5">
        <w:rPr>
          <w:rFonts w:hint="eastAsia"/>
          <w:bCs/>
        </w:rPr>
        <w:t>（七）评估方法；</w:t>
      </w:r>
    </w:p>
    <w:p w14:paraId="2B804379" w14:textId="77777777" w:rsidR="00AA68F5" w:rsidRPr="00AA68F5" w:rsidRDefault="00AA68F5" w:rsidP="00AA68F5">
      <w:pPr>
        <w:pStyle w:val="13"/>
        <w:rPr>
          <w:bCs/>
        </w:rPr>
      </w:pPr>
      <w:r w:rsidRPr="00AA68F5">
        <w:rPr>
          <w:rFonts w:hint="eastAsia"/>
          <w:bCs/>
        </w:rPr>
        <w:t>（八）技术方案；</w:t>
      </w:r>
    </w:p>
    <w:p w14:paraId="72A93353" w14:textId="77777777" w:rsidR="00AA68F5" w:rsidRPr="00AA68F5" w:rsidRDefault="00AA68F5" w:rsidP="00AA68F5">
      <w:pPr>
        <w:pStyle w:val="13"/>
        <w:rPr>
          <w:bCs/>
        </w:rPr>
      </w:pPr>
      <w:r w:rsidRPr="00AA68F5">
        <w:rPr>
          <w:rFonts w:hint="eastAsia"/>
          <w:bCs/>
        </w:rPr>
        <w:t>（九）是否需要利用专家工作。</w:t>
      </w:r>
    </w:p>
    <w:p w14:paraId="6022E419" w14:textId="680AADBC" w:rsidR="00AA68F5" w:rsidRPr="00AA68F5" w:rsidRDefault="003B2FB1" w:rsidP="00AA68F5">
      <w:pPr>
        <w:pStyle w:val="13"/>
        <w:ind w:firstLine="482"/>
        <w:rPr>
          <w:bCs/>
        </w:rPr>
      </w:pPr>
      <w:r w:rsidRPr="003B2FB1">
        <w:rPr>
          <w:rFonts w:hint="eastAsia"/>
          <w:b/>
        </w:rPr>
        <w:t xml:space="preserve">第三十一条 </w:t>
      </w:r>
      <w:r w:rsidR="00AA68F5" w:rsidRPr="00AA68F5">
        <w:rPr>
          <w:rFonts w:hint="eastAsia"/>
          <w:bCs/>
        </w:rPr>
        <w:t>评估计划应当经过最高管理层成员批准后实施。如果在业务执行过程中发生重大调整，应当重新报批。</w:t>
      </w:r>
    </w:p>
    <w:p w14:paraId="3595711E" w14:textId="6FE80046" w:rsidR="00AA68F5" w:rsidRPr="00AA68F5" w:rsidRDefault="003B2FB1" w:rsidP="00AA68F5">
      <w:pPr>
        <w:pStyle w:val="13"/>
        <w:ind w:firstLine="482"/>
      </w:pPr>
      <w:r w:rsidRPr="003B2FB1">
        <w:rPr>
          <w:rFonts w:hint="eastAsia"/>
          <w:b/>
        </w:rPr>
        <w:t xml:space="preserve">第三十二条 </w:t>
      </w:r>
      <w:r w:rsidR="00AA68F5" w:rsidRPr="00AA68F5">
        <w:rPr>
          <w:rFonts w:hint="eastAsia"/>
        </w:rPr>
        <w:t>对大型、复杂的评估业务，应当编制详细的评估计划。</w:t>
      </w:r>
      <w:bookmarkStart w:id="70" w:name="_Toc332433912"/>
    </w:p>
    <w:p w14:paraId="4121642A" w14:textId="42BB3866" w:rsidR="00AA68F5" w:rsidRPr="00AA68F5" w:rsidRDefault="00AA68F5" w:rsidP="00AF7342">
      <w:pPr>
        <w:pStyle w:val="a9"/>
        <w:spacing w:before="62" w:after="62"/>
      </w:pPr>
      <w:r w:rsidRPr="00AA68F5">
        <w:rPr>
          <w:rFonts w:hint="eastAsia"/>
        </w:rPr>
        <w:t>第七章 评估业务实施和报告出具</w:t>
      </w:r>
      <w:bookmarkEnd w:id="70"/>
    </w:p>
    <w:p w14:paraId="390C780C" w14:textId="4431F143" w:rsidR="00AA68F5" w:rsidRPr="00AA68F5" w:rsidRDefault="003B2FB1" w:rsidP="00AA68F5">
      <w:pPr>
        <w:pStyle w:val="13"/>
        <w:ind w:firstLine="482"/>
        <w:rPr>
          <w:bCs/>
        </w:rPr>
      </w:pPr>
      <w:r w:rsidRPr="003B2FB1">
        <w:rPr>
          <w:rFonts w:hint="eastAsia"/>
          <w:b/>
        </w:rPr>
        <w:t xml:space="preserve">第三十三条 </w:t>
      </w:r>
      <w:r w:rsidR="00AA68F5" w:rsidRPr="00AA68F5">
        <w:rPr>
          <w:rFonts w:hint="eastAsia"/>
          <w:bCs/>
        </w:rPr>
        <w:t>中小评估机构应当制定评估业务实施和报告出具环节的制度和程序，针对以下方面采取相应措施，保证评估业务正确执行，满足出具评估报告的要求：</w:t>
      </w:r>
    </w:p>
    <w:p w14:paraId="2E664791" w14:textId="77777777" w:rsidR="00AA68F5" w:rsidRPr="00AA68F5" w:rsidRDefault="00AA68F5" w:rsidP="00AA68F5">
      <w:pPr>
        <w:pStyle w:val="13"/>
        <w:rPr>
          <w:bCs/>
        </w:rPr>
      </w:pPr>
      <w:r w:rsidRPr="00AA68F5">
        <w:rPr>
          <w:rFonts w:hint="eastAsia"/>
          <w:bCs/>
        </w:rPr>
        <w:t>（一）项目团队组建及工作委派；</w:t>
      </w:r>
    </w:p>
    <w:p w14:paraId="24D44C09" w14:textId="77777777" w:rsidR="00AA68F5" w:rsidRPr="00AA68F5" w:rsidRDefault="00AA68F5" w:rsidP="00AA68F5">
      <w:pPr>
        <w:pStyle w:val="13"/>
        <w:rPr>
          <w:bCs/>
        </w:rPr>
      </w:pPr>
      <w:r w:rsidRPr="00AA68F5">
        <w:rPr>
          <w:rFonts w:hint="eastAsia"/>
          <w:bCs/>
        </w:rPr>
        <w:t>（二）现场调查、评估资料收集和评定估算；</w:t>
      </w:r>
    </w:p>
    <w:p w14:paraId="7F75BE3F" w14:textId="77777777" w:rsidR="00AA68F5" w:rsidRPr="00AA68F5" w:rsidRDefault="00AA68F5" w:rsidP="00AA68F5">
      <w:pPr>
        <w:pStyle w:val="13"/>
        <w:rPr>
          <w:bCs/>
        </w:rPr>
      </w:pPr>
      <w:r w:rsidRPr="00AA68F5">
        <w:rPr>
          <w:rFonts w:hint="eastAsia"/>
          <w:bCs/>
        </w:rPr>
        <w:t>（三）评估报告编制；</w:t>
      </w:r>
    </w:p>
    <w:p w14:paraId="631073F1" w14:textId="77777777" w:rsidR="00AA68F5" w:rsidRPr="00AA68F5" w:rsidRDefault="00AA68F5" w:rsidP="00AA68F5">
      <w:pPr>
        <w:pStyle w:val="13"/>
        <w:rPr>
          <w:bCs/>
        </w:rPr>
      </w:pPr>
      <w:r w:rsidRPr="00AA68F5">
        <w:rPr>
          <w:rFonts w:hint="eastAsia"/>
          <w:bCs/>
        </w:rPr>
        <w:t>（四）利用专家工作；</w:t>
      </w:r>
    </w:p>
    <w:p w14:paraId="093CC48A" w14:textId="77777777" w:rsidR="00AA68F5" w:rsidRPr="00AA68F5" w:rsidRDefault="00AA68F5" w:rsidP="00AA68F5">
      <w:pPr>
        <w:pStyle w:val="13"/>
        <w:rPr>
          <w:bCs/>
        </w:rPr>
      </w:pPr>
      <w:r w:rsidRPr="00AA68F5">
        <w:rPr>
          <w:rFonts w:hint="eastAsia"/>
          <w:bCs/>
        </w:rPr>
        <w:t>（五）疑难问题的咨询及解决；</w:t>
      </w:r>
    </w:p>
    <w:p w14:paraId="7B4C8964" w14:textId="77777777" w:rsidR="00AA68F5" w:rsidRPr="00AA68F5" w:rsidRDefault="00AA68F5" w:rsidP="00AA68F5">
      <w:pPr>
        <w:pStyle w:val="13"/>
        <w:rPr>
          <w:bCs/>
        </w:rPr>
      </w:pPr>
      <w:r w:rsidRPr="00AA68F5">
        <w:rPr>
          <w:rFonts w:hint="eastAsia"/>
          <w:bCs/>
        </w:rPr>
        <w:t>（六）争议事项的解决；</w:t>
      </w:r>
    </w:p>
    <w:p w14:paraId="423FC86D" w14:textId="77777777" w:rsidR="00AA68F5" w:rsidRPr="00AA68F5" w:rsidRDefault="00AA68F5" w:rsidP="00AA68F5">
      <w:pPr>
        <w:pStyle w:val="13"/>
        <w:rPr>
          <w:bCs/>
        </w:rPr>
      </w:pPr>
      <w:r w:rsidRPr="00AA68F5">
        <w:rPr>
          <w:rFonts w:hint="eastAsia"/>
          <w:bCs/>
        </w:rPr>
        <w:t>（七）项目负责人的指导与监督；</w:t>
      </w:r>
    </w:p>
    <w:p w14:paraId="23F8C442" w14:textId="77777777" w:rsidR="00AA68F5" w:rsidRPr="00AA68F5" w:rsidRDefault="00AA68F5" w:rsidP="00AA68F5">
      <w:pPr>
        <w:pStyle w:val="13"/>
        <w:rPr>
          <w:bCs/>
        </w:rPr>
      </w:pPr>
      <w:r w:rsidRPr="00AA68F5">
        <w:rPr>
          <w:rFonts w:hint="eastAsia"/>
          <w:bCs/>
        </w:rPr>
        <w:t>（八）内部审核；</w:t>
      </w:r>
    </w:p>
    <w:p w14:paraId="198DD678" w14:textId="77777777" w:rsidR="00AA68F5" w:rsidRPr="00AA68F5" w:rsidRDefault="00AA68F5" w:rsidP="00AA68F5">
      <w:pPr>
        <w:pStyle w:val="13"/>
        <w:rPr>
          <w:bCs/>
        </w:rPr>
      </w:pPr>
      <w:r w:rsidRPr="00AA68F5">
        <w:rPr>
          <w:rFonts w:hint="eastAsia"/>
          <w:bCs/>
        </w:rPr>
        <w:t>（九）评估报告签发及提交。</w:t>
      </w:r>
    </w:p>
    <w:p w14:paraId="71697FCD" w14:textId="6757E1CF" w:rsidR="00AA68F5" w:rsidRPr="00AA68F5" w:rsidRDefault="003B2FB1" w:rsidP="00AA68F5">
      <w:pPr>
        <w:pStyle w:val="13"/>
        <w:ind w:firstLine="482"/>
        <w:rPr>
          <w:bCs/>
        </w:rPr>
      </w:pPr>
      <w:r w:rsidRPr="003B2FB1">
        <w:rPr>
          <w:rFonts w:hint="eastAsia"/>
          <w:b/>
        </w:rPr>
        <w:t xml:space="preserve">第三十四条 </w:t>
      </w:r>
      <w:r w:rsidR="00AA68F5" w:rsidRPr="00AA68F5">
        <w:rPr>
          <w:rFonts w:hint="eastAsia"/>
          <w:bCs/>
        </w:rPr>
        <w:t>中小评估机构应当根据评估业务的规模、难易程度等确定项目负责</w:t>
      </w:r>
      <w:r w:rsidR="00AA68F5" w:rsidRPr="00AA68F5">
        <w:rPr>
          <w:rFonts w:hint="eastAsia"/>
          <w:bCs/>
        </w:rPr>
        <w:lastRenderedPageBreak/>
        <w:t>人，根据项目负责人的建议组建项目团队，明确项目团队成员的职责、权限分工。</w:t>
      </w:r>
    </w:p>
    <w:p w14:paraId="7758BCE0" w14:textId="77777777" w:rsidR="00AA68F5" w:rsidRPr="00AA68F5" w:rsidRDefault="00AA68F5" w:rsidP="00AA68F5">
      <w:pPr>
        <w:pStyle w:val="13"/>
        <w:rPr>
          <w:bCs/>
        </w:rPr>
      </w:pPr>
      <w:r w:rsidRPr="00AA68F5">
        <w:rPr>
          <w:rFonts w:hint="eastAsia"/>
          <w:bCs/>
        </w:rPr>
        <w:t>（一）项目负责人应当符合下列要求：</w:t>
      </w:r>
    </w:p>
    <w:p w14:paraId="2252E2AD" w14:textId="77777777" w:rsidR="00AA68F5" w:rsidRPr="00AA68F5" w:rsidRDefault="00AA68F5" w:rsidP="00AA68F5">
      <w:pPr>
        <w:pStyle w:val="13"/>
        <w:rPr>
          <w:bCs/>
        </w:rPr>
      </w:pPr>
      <w:r w:rsidRPr="00AA68F5">
        <w:rPr>
          <w:rFonts w:hint="eastAsia"/>
          <w:bCs/>
        </w:rPr>
        <w:t>1.具有资产评估师资格；</w:t>
      </w:r>
    </w:p>
    <w:p w14:paraId="60CEBFB7" w14:textId="77777777" w:rsidR="00AA68F5" w:rsidRPr="00AA68F5" w:rsidRDefault="00AA68F5" w:rsidP="00AA68F5">
      <w:pPr>
        <w:pStyle w:val="13"/>
        <w:rPr>
          <w:bCs/>
        </w:rPr>
      </w:pPr>
      <w:r w:rsidRPr="00AA68F5">
        <w:rPr>
          <w:rFonts w:hint="eastAsia"/>
          <w:bCs/>
        </w:rPr>
        <w:t>2.具备履行职责所需的职业道德、专业知识、执业能力、专业经验；</w:t>
      </w:r>
    </w:p>
    <w:p w14:paraId="769DCA82" w14:textId="77777777" w:rsidR="00AA68F5" w:rsidRPr="00AA68F5" w:rsidRDefault="00AA68F5" w:rsidP="00AA68F5">
      <w:pPr>
        <w:pStyle w:val="13"/>
        <w:rPr>
          <w:bCs/>
        </w:rPr>
      </w:pPr>
      <w:r w:rsidRPr="00AA68F5">
        <w:rPr>
          <w:rFonts w:hint="eastAsia"/>
          <w:bCs/>
        </w:rPr>
        <w:t>3.对大型、复杂的评估业务，项目负责人应当由具有专业胜任能力的股东（或者合伙人）担任。</w:t>
      </w:r>
    </w:p>
    <w:p w14:paraId="1E6EE72C" w14:textId="77777777" w:rsidR="00AA68F5" w:rsidRPr="00AA68F5" w:rsidRDefault="00AA68F5" w:rsidP="00AA68F5">
      <w:pPr>
        <w:pStyle w:val="13"/>
        <w:rPr>
          <w:bCs/>
        </w:rPr>
      </w:pPr>
      <w:r w:rsidRPr="00AA68F5">
        <w:rPr>
          <w:rFonts w:hint="eastAsia"/>
          <w:bCs/>
        </w:rPr>
        <w:t>（二）项目团队其他成员应当具有完成评估业务必备的专业胜任能力和经验。</w:t>
      </w:r>
    </w:p>
    <w:p w14:paraId="1FA745E6" w14:textId="21FD120E" w:rsidR="00AA68F5" w:rsidRPr="00AA68F5" w:rsidRDefault="003B2FB1" w:rsidP="00AA68F5">
      <w:pPr>
        <w:pStyle w:val="13"/>
        <w:ind w:firstLine="482"/>
      </w:pPr>
      <w:r w:rsidRPr="003B2FB1">
        <w:rPr>
          <w:rFonts w:hint="eastAsia"/>
          <w:b/>
        </w:rPr>
        <w:t xml:space="preserve">第三十五条 </w:t>
      </w:r>
      <w:r w:rsidR="00AA68F5" w:rsidRPr="00AA68F5">
        <w:rPr>
          <w:rFonts w:hint="eastAsia"/>
          <w:bCs/>
        </w:rPr>
        <w:t>中小评估机构</w:t>
      </w:r>
      <w:r w:rsidR="00AA68F5" w:rsidRPr="00AA68F5">
        <w:rPr>
          <w:rFonts w:hint="eastAsia"/>
        </w:rPr>
        <w:t>应当针对不同特征资产（企业）的现场调查、收集评估资料、评定估算以及编制评估报告情况，制定控制制度和程序：</w:t>
      </w:r>
    </w:p>
    <w:p w14:paraId="6F3143E5" w14:textId="77777777" w:rsidR="00AA68F5" w:rsidRPr="00AA68F5" w:rsidRDefault="00AA68F5" w:rsidP="00AA68F5">
      <w:pPr>
        <w:pStyle w:val="13"/>
      </w:pPr>
      <w:r w:rsidRPr="00AA68F5">
        <w:rPr>
          <w:rFonts w:hint="eastAsia"/>
        </w:rPr>
        <w:t>（一）根据业务现场情况制定可行的现场工作方案，组织项目团队成员进行现场调查，收集、整理相关资料，按评估计划完成现场工作，并有完整记录；</w:t>
      </w:r>
    </w:p>
    <w:p w14:paraId="5006A300" w14:textId="77777777" w:rsidR="00AA68F5" w:rsidRPr="00AA68F5" w:rsidRDefault="00AA68F5" w:rsidP="00AA68F5">
      <w:pPr>
        <w:pStyle w:val="13"/>
      </w:pPr>
      <w:r w:rsidRPr="00AA68F5">
        <w:rPr>
          <w:rFonts w:hint="eastAsia"/>
        </w:rPr>
        <w:t>（二）谨慎选择收集资料的渠道，对委托方及被评估单位（产权持有单位）提供的资料，现场调查收集的资料，直接从市场等渠道独立获取的资料，以及从政府部门、各类专业机构和其他相关部门获取的资料进行分析，并重点关注评估资料的相关性和可靠性；</w:t>
      </w:r>
    </w:p>
    <w:p w14:paraId="29A805C0" w14:textId="77777777" w:rsidR="00AA68F5" w:rsidRPr="00AA68F5" w:rsidRDefault="00AA68F5" w:rsidP="00AA68F5">
      <w:pPr>
        <w:pStyle w:val="13"/>
      </w:pPr>
      <w:r w:rsidRPr="00AA68F5">
        <w:rPr>
          <w:rFonts w:hint="eastAsia"/>
        </w:rPr>
        <w:t>（三）根据评估对象、评估目的、价值类型、资料收集情况，分析、判断评估方法的恰当性，进行评定估算，对评估结论的合理性进行分析，记录评估方法、参数的选取及评估结论的确定过程。</w:t>
      </w:r>
    </w:p>
    <w:p w14:paraId="2DF16CEB" w14:textId="144457C5" w:rsidR="00AA68F5" w:rsidRPr="00AA68F5" w:rsidRDefault="003B2FB1" w:rsidP="00AA68F5">
      <w:pPr>
        <w:pStyle w:val="13"/>
        <w:ind w:firstLine="482"/>
      </w:pPr>
      <w:r w:rsidRPr="003B2FB1">
        <w:rPr>
          <w:rFonts w:hint="eastAsia"/>
          <w:b/>
        </w:rPr>
        <w:t xml:space="preserve">第三十六条 </w:t>
      </w:r>
      <w:r w:rsidR="00AA68F5" w:rsidRPr="00AA68F5">
        <w:rPr>
          <w:rFonts w:hint="eastAsia"/>
        </w:rPr>
        <w:t>评估报告应当由项目负责人组织编制，在评估报告编制前应当对已经完成的工作底稿进行整理、分析、审核，对评估结论进行综合评价。评估报告应当全面、客观反映评估过程和评估结论，内容完整，格式规范。</w:t>
      </w:r>
    </w:p>
    <w:p w14:paraId="21EC48DE" w14:textId="2A4155BC" w:rsidR="00AA68F5" w:rsidRPr="00AA68F5" w:rsidRDefault="003B2FB1" w:rsidP="00AA68F5">
      <w:pPr>
        <w:pStyle w:val="13"/>
        <w:ind w:firstLine="482"/>
        <w:rPr>
          <w:bCs/>
        </w:rPr>
      </w:pPr>
      <w:r w:rsidRPr="003B2FB1">
        <w:rPr>
          <w:rFonts w:hint="eastAsia"/>
          <w:b/>
        </w:rPr>
        <w:t xml:space="preserve">第三十七条 </w:t>
      </w:r>
      <w:r w:rsidR="00AA68F5" w:rsidRPr="00AA68F5">
        <w:rPr>
          <w:rFonts w:hint="eastAsia"/>
          <w:bCs/>
        </w:rPr>
        <w:t>中小评估机构在评估业务执行过程中，如果需要专家协助工作，项目负责人应当与专家充分沟通，确保专家理解工作目标，履行评估程序。</w:t>
      </w:r>
    </w:p>
    <w:p w14:paraId="00B429CB" w14:textId="42B39306" w:rsidR="00AA68F5" w:rsidRPr="00AA68F5" w:rsidRDefault="003B2FB1" w:rsidP="00AA68F5">
      <w:pPr>
        <w:pStyle w:val="13"/>
        <w:ind w:firstLine="482"/>
        <w:rPr>
          <w:bCs/>
        </w:rPr>
      </w:pPr>
      <w:r w:rsidRPr="003B2FB1">
        <w:rPr>
          <w:rFonts w:hint="eastAsia"/>
          <w:b/>
        </w:rPr>
        <w:t xml:space="preserve">第三十八条 </w:t>
      </w:r>
      <w:r w:rsidR="00AA68F5" w:rsidRPr="00AA68F5">
        <w:rPr>
          <w:rFonts w:hint="eastAsia"/>
          <w:bCs/>
        </w:rPr>
        <w:t>中小评估机构制定的引用其他专业报告结论的控制制度和程序，通常包括下列内容：</w:t>
      </w:r>
    </w:p>
    <w:p w14:paraId="1AB40C9E" w14:textId="77777777" w:rsidR="00AA68F5" w:rsidRPr="00AA68F5" w:rsidRDefault="00AA68F5" w:rsidP="00AA68F5">
      <w:pPr>
        <w:pStyle w:val="13"/>
        <w:rPr>
          <w:bCs/>
        </w:rPr>
      </w:pPr>
      <w:r w:rsidRPr="00AA68F5">
        <w:rPr>
          <w:rFonts w:hint="eastAsia"/>
          <w:bCs/>
        </w:rPr>
        <w:t>（一）对出具专业报告的机构资质进行核实；</w:t>
      </w:r>
    </w:p>
    <w:p w14:paraId="0854C1E6" w14:textId="77777777" w:rsidR="00AA68F5" w:rsidRPr="00AA68F5" w:rsidRDefault="00AA68F5" w:rsidP="00AA68F5">
      <w:pPr>
        <w:pStyle w:val="13"/>
        <w:rPr>
          <w:bCs/>
        </w:rPr>
      </w:pPr>
      <w:r w:rsidRPr="00AA68F5">
        <w:rPr>
          <w:rFonts w:hint="eastAsia"/>
          <w:bCs/>
        </w:rPr>
        <w:t>（二）对拟引用专业报告的重大事项进行必要关注；</w:t>
      </w:r>
    </w:p>
    <w:p w14:paraId="369F51E2" w14:textId="77777777" w:rsidR="00AA68F5" w:rsidRPr="00AA68F5" w:rsidRDefault="00AA68F5" w:rsidP="00AA68F5">
      <w:pPr>
        <w:pStyle w:val="13"/>
        <w:rPr>
          <w:bCs/>
        </w:rPr>
      </w:pPr>
      <w:r w:rsidRPr="00AA68F5">
        <w:rPr>
          <w:rFonts w:hint="eastAsia"/>
          <w:bCs/>
        </w:rPr>
        <w:t>（三）引用的情形、方式及其在评估报告中的披露。</w:t>
      </w:r>
    </w:p>
    <w:p w14:paraId="19152B93" w14:textId="23BC10D8" w:rsidR="00AA68F5" w:rsidRPr="00AA68F5" w:rsidRDefault="003B2FB1" w:rsidP="00AA68F5">
      <w:pPr>
        <w:pStyle w:val="13"/>
        <w:ind w:firstLine="482"/>
      </w:pPr>
      <w:r w:rsidRPr="003B2FB1">
        <w:rPr>
          <w:rFonts w:hint="eastAsia"/>
          <w:b/>
        </w:rPr>
        <w:t xml:space="preserve">第三十九条 </w:t>
      </w:r>
      <w:r w:rsidR="00AA68F5" w:rsidRPr="00AA68F5">
        <w:rPr>
          <w:rFonts w:hint="eastAsia"/>
          <w:bCs/>
        </w:rPr>
        <w:t>中小评估机构应当制定</w:t>
      </w:r>
      <w:r w:rsidR="00AA68F5" w:rsidRPr="00AA68F5">
        <w:rPr>
          <w:rFonts w:hint="eastAsia"/>
        </w:rPr>
        <w:t>疑难问题解决</w:t>
      </w:r>
      <w:r w:rsidR="00AA68F5" w:rsidRPr="00AA68F5">
        <w:rPr>
          <w:rFonts w:hint="eastAsia"/>
          <w:bCs/>
        </w:rPr>
        <w:t>制度和程序，</w:t>
      </w:r>
      <w:r w:rsidR="00AA68F5" w:rsidRPr="00AA68F5">
        <w:rPr>
          <w:rFonts w:hint="eastAsia"/>
        </w:rPr>
        <w:t>对于在评估业务执行过程中遇到的疑难问题，应当考虑以适当方式和渠道进行咨询，避免随意处理或者回避。</w:t>
      </w:r>
    </w:p>
    <w:p w14:paraId="5C3567BD" w14:textId="77777777" w:rsidR="00AA68F5" w:rsidRPr="00AA68F5" w:rsidRDefault="00AA68F5" w:rsidP="00AA68F5">
      <w:pPr>
        <w:pStyle w:val="13"/>
      </w:pPr>
      <w:r w:rsidRPr="00AA68F5">
        <w:rPr>
          <w:rFonts w:hint="eastAsia"/>
        </w:rPr>
        <w:t>（一）项目团队内部应当形成良好的咨询、研讨氛围，评估人员遇到疑难问题时，应当及时向项目负责人或者项目团队其他成员咨询。如果疑难问题在项目团队内部无法得到解决，项目负责人应当将问题以及所有相关的事项报首席评估师；</w:t>
      </w:r>
    </w:p>
    <w:p w14:paraId="07D9A67D" w14:textId="77777777" w:rsidR="00AA68F5" w:rsidRPr="00AA68F5" w:rsidRDefault="00AA68F5" w:rsidP="00AA68F5">
      <w:pPr>
        <w:pStyle w:val="13"/>
      </w:pPr>
      <w:r w:rsidRPr="00AA68F5">
        <w:rPr>
          <w:rFonts w:hint="eastAsia"/>
        </w:rPr>
        <w:lastRenderedPageBreak/>
        <w:t>（二）首席评估</w:t>
      </w:r>
      <w:proofErr w:type="gramStart"/>
      <w:r w:rsidRPr="00AA68F5">
        <w:rPr>
          <w:rFonts w:hint="eastAsia"/>
        </w:rPr>
        <w:t>师应当</w:t>
      </w:r>
      <w:proofErr w:type="gramEnd"/>
      <w:r w:rsidRPr="00AA68F5">
        <w:rPr>
          <w:rFonts w:hint="eastAsia"/>
        </w:rPr>
        <w:t>及时解答项目团队提交的问题，并以适当的形式反馈咨询意见。对于首席评估</w:t>
      </w:r>
      <w:proofErr w:type="gramStart"/>
      <w:r w:rsidRPr="00AA68F5">
        <w:rPr>
          <w:rFonts w:hint="eastAsia"/>
        </w:rPr>
        <w:t>师无法</w:t>
      </w:r>
      <w:proofErr w:type="gramEnd"/>
      <w:r w:rsidRPr="00AA68F5">
        <w:rPr>
          <w:rFonts w:hint="eastAsia"/>
        </w:rPr>
        <w:t>解决的疑难事项，可向评估机构外部其他具备适当知识、资历和经验的专业人士咨询；</w:t>
      </w:r>
    </w:p>
    <w:p w14:paraId="43D4C14F" w14:textId="77777777" w:rsidR="00AA68F5" w:rsidRPr="00AA68F5" w:rsidRDefault="00AA68F5" w:rsidP="00AA68F5">
      <w:pPr>
        <w:pStyle w:val="13"/>
      </w:pPr>
      <w:r w:rsidRPr="00AA68F5">
        <w:rPr>
          <w:rFonts w:hint="eastAsia"/>
        </w:rPr>
        <w:t>（三）项目团队应当完整、详细地记录寻求咨询的事项及咨询的结果。</w:t>
      </w:r>
    </w:p>
    <w:p w14:paraId="5408BA81" w14:textId="77777777" w:rsidR="00AA68F5" w:rsidRPr="00AA68F5" w:rsidRDefault="00AA68F5" w:rsidP="00AA68F5">
      <w:pPr>
        <w:pStyle w:val="13"/>
      </w:pPr>
      <w:r w:rsidRPr="00AA68F5">
        <w:rPr>
          <w:rFonts w:hint="eastAsia"/>
        </w:rPr>
        <w:t>项目团队各级人员应当切实履行职责，其职责不</w:t>
      </w:r>
      <w:proofErr w:type="gramStart"/>
      <w:r w:rsidRPr="00AA68F5">
        <w:rPr>
          <w:rFonts w:hint="eastAsia"/>
        </w:rPr>
        <w:t>因咨询</w:t>
      </w:r>
      <w:proofErr w:type="gramEnd"/>
      <w:r w:rsidRPr="00AA68F5">
        <w:rPr>
          <w:rFonts w:hint="eastAsia"/>
        </w:rPr>
        <w:t>而改变。</w:t>
      </w:r>
    </w:p>
    <w:p w14:paraId="6DE7D9A7" w14:textId="4D128D43" w:rsidR="00AA68F5" w:rsidRPr="00AA68F5" w:rsidRDefault="003B2FB1" w:rsidP="00AA68F5">
      <w:pPr>
        <w:pStyle w:val="13"/>
        <w:ind w:firstLine="482"/>
      </w:pPr>
      <w:r w:rsidRPr="003B2FB1">
        <w:rPr>
          <w:rFonts w:hint="eastAsia"/>
          <w:b/>
        </w:rPr>
        <w:t xml:space="preserve">第四十条 </w:t>
      </w:r>
      <w:r w:rsidR="00AA68F5" w:rsidRPr="00AA68F5">
        <w:rPr>
          <w:rFonts w:hint="eastAsia"/>
        </w:rPr>
        <w:t>中小评估机构应当制定意见分歧解决制度和程序，处理和解决签字的资产评估师之间的意见分歧，项目负责人与项目审核人员、首席评估师之间的意见分歧。形成的结论应当执行并记录。</w:t>
      </w:r>
    </w:p>
    <w:p w14:paraId="7295BFFF" w14:textId="77777777" w:rsidR="00AA68F5" w:rsidRPr="00AA68F5" w:rsidRDefault="00AA68F5" w:rsidP="00AA68F5">
      <w:pPr>
        <w:pStyle w:val="13"/>
        <w:rPr>
          <w:bCs/>
        </w:rPr>
      </w:pPr>
      <w:r w:rsidRPr="00AA68F5">
        <w:rPr>
          <w:rFonts w:hint="eastAsia"/>
        </w:rPr>
        <w:t>（一）签字的资产评估师之间、项目负责人与项目审核人员之间、项目负责人与首席评估师之间的意见分歧，由首席评估师负责协调处理；</w:t>
      </w:r>
    </w:p>
    <w:p w14:paraId="75F37BDD" w14:textId="77777777" w:rsidR="00AA68F5" w:rsidRPr="00AA68F5" w:rsidRDefault="00AA68F5" w:rsidP="00AA68F5">
      <w:pPr>
        <w:pStyle w:val="13"/>
        <w:rPr>
          <w:bCs/>
        </w:rPr>
      </w:pPr>
      <w:r w:rsidRPr="00AA68F5">
        <w:rPr>
          <w:rFonts w:hint="eastAsia"/>
        </w:rPr>
        <w:t>（二）在意见分歧未得到解决之前，评估机构不得出具评估报告。</w:t>
      </w:r>
    </w:p>
    <w:p w14:paraId="18E3D296" w14:textId="6771CEB1" w:rsidR="00AA68F5" w:rsidRPr="00AA68F5" w:rsidRDefault="003B2FB1" w:rsidP="00AA68F5">
      <w:pPr>
        <w:pStyle w:val="13"/>
        <w:ind w:firstLine="482"/>
        <w:rPr>
          <w:bCs/>
        </w:rPr>
      </w:pPr>
      <w:r w:rsidRPr="003B2FB1">
        <w:rPr>
          <w:rFonts w:hint="eastAsia"/>
          <w:b/>
        </w:rPr>
        <w:t xml:space="preserve">第四十一条 </w:t>
      </w:r>
      <w:r w:rsidR="00AA68F5" w:rsidRPr="00AA68F5">
        <w:rPr>
          <w:rFonts w:hint="eastAsia"/>
          <w:bCs/>
        </w:rPr>
        <w:t>中小评估机构应当制定项目负责人制度和程序，要求项目负责人对项目团队成员的评估业务工作给予充分的指导和监督，合理保证其按照法律法规、资产评估准则的规定执行业务，并根据具体情况出具客观、公正的报告。</w:t>
      </w:r>
    </w:p>
    <w:p w14:paraId="77127D5C" w14:textId="77777777" w:rsidR="00AA68F5" w:rsidRPr="00AA68F5" w:rsidRDefault="00AA68F5" w:rsidP="00AA68F5">
      <w:pPr>
        <w:pStyle w:val="13"/>
        <w:rPr>
          <w:bCs/>
        </w:rPr>
      </w:pPr>
      <w:r w:rsidRPr="00AA68F5">
        <w:rPr>
          <w:rFonts w:hint="eastAsia"/>
          <w:bCs/>
        </w:rPr>
        <w:t>（一）项目负责人应当根据项目团队成员的专业胜任能力、经验进行合理分工，通过适当的培训，使项目团队成员清楚了解所分派工作的目标，指导其完成所分派的工作，以保证项目团队成员明确下列事项：</w:t>
      </w:r>
    </w:p>
    <w:p w14:paraId="1B602D75" w14:textId="77777777" w:rsidR="00AA68F5" w:rsidRPr="00AA68F5" w:rsidRDefault="00AA68F5" w:rsidP="00AA68F5">
      <w:pPr>
        <w:pStyle w:val="13"/>
        <w:rPr>
          <w:bCs/>
        </w:rPr>
      </w:pPr>
      <w:r w:rsidRPr="00AA68F5">
        <w:rPr>
          <w:rFonts w:hint="eastAsia"/>
          <w:bCs/>
        </w:rPr>
        <w:t>1.各自的职责；</w:t>
      </w:r>
    </w:p>
    <w:p w14:paraId="53BC9EDF" w14:textId="77777777" w:rsidR="00AA68F5" w:rsidRPr="00AA68F5" w:rsidRDefault="00AA68F5" w:rsidP="00AA68F5">
      <w:pPr>
        <w:pStyle w:val="13"/>
        <w:rPr>
          <w:bCs/>
        </w:rPr>
      </w:pPr>
      <w:r w:rsidRPr="00AA68F5">
        <w:rPr>
          <w:rFonts w:hint="eastAsia"/>
          <w:bCs/>
        </w:rPr>
        <w:t>2.评估业务基本情况；</w:t>
      </w:r>
    </w:p>
    <w:p w14:paraId="0627A1CA" w14:textId="77777777" w:rsidR="00AA68F5" w:rsidRPr="00AA68F5" w:rsidRDefault="00AA68F5" w:rsidP="00AA68F5">
      <w:pPr>
        <w:pStyle w:val="13"/>
        <w:rPr>
          <w:bCs/>
        </w:rPr>
      </w:pPr>
      <w:r w:rsidRPr="00AA68F5">
        <w:rPr>
          <w:rFonts w:hint="eastAsia"/>
          <w:bCs/>
        </w:rPr>
        <w:t>3.评估计划；</w:t>
      </w:r>
    </w:p>
    <w:p w14:paraId="39766E84" w14:textId="77777777" w:rsidR="00AA68F5" w:rsidRPr="00AA68F5" w:rsidRDefault="00AA68F5" w:rsidP="00AA68F5">
      <w:pPr>
        <w:pStyle w:val="13"/>
        <w:rPr>
          <w:bCs/>
        </w:rPr>
      </w:pPr>
      <w:r w:rsidRPr="00AA68F5">
        <w:rPr>
          <w:rFonts w:hint="eastAsia"/>
          <w:bCs/>
        </w:rPr>
        <w:t>4.与风险相关的事项；</w:t>
      </w:r>
    </w:p>
    <w:p w14:paraId="0F7A9745" w14:textId="77777777" w:rsidR="00AA68F5" w:rsidRPr="00AA68F5" w:rsidRDefault="00AA68F5" w:rsidP="00AA68F5">
      <w:pPr>
        <w:pStyle w:val="13"/>
        <w:rPr>
          <w:bCs/>
        </w:rPr>
      </w:pPr>
      <w:r w:rsidRPr="00AA68F5">
        <w:rPr>
          <w:rFonts w:hint="eastAsia"/>
          <w:bCs/>
        </w:rPr>
        <w:t>5.可能出现的问题。</w:t>
      </w:r>
    </w:p>
    <w:p w14:paraId="6D09F952" w14:textId="77777777" w:rsidR="00AA68F5" w:rsidRPr="00AA68F5" w:rsidRDefault="00AA68F5" w:rsidP="00AA68F5">
      <w:pPr>
        <w:pStyle w:val="13"/>
        <w:rPr>
          <w:bCs/>
        </w:rPr>
      </w:pPr>
      <w:r w:rsidRPr="00AA68F5">
        <w:rPr>
          <w:rFonts w:hint="eastAsia"/>
          <w:bCs/>
        </w:rPr>
        <w:t>（二）项目负责人应当监督评估业务的执行，主要监督工作包括：</w:t>
      </w:r>
    </w:p>
    <w:p w14:paraId="32AEB507" w14:textId="77777777" w:rsidR="00AA68F5" w:rsidRPr="00AA68F5" w:rsidRDefault="00AA68F5" w:rsidP="00AA68F5">
      <w:pPr>
        <w:pStyle w:val="13"/>
        <w:rPr>
          <w:bCs/>
        </w:rPr>
      </w:pPr>
      <w:r w:rsidRPr="00AA68F5">
        <w:rPr>
          <w:rFonts w:hint="eastAsia"/>
          <w:bCs/>
        </w:rPr>
        <w:t>1.对项目团队成员承担的工作进行检查，掌握其工作进展情况；</w:t>
      </w:r>
    </w:p>
    <w:p w14:paraId="7363994B" w14:textId="77777777" w:rsidR="00AA68F5" w:rsidRPr="00AA68F5" w:rsidRDefault="00AA68F5" w:rsidP="00AA68F5">
      <w:pPr>
        <w:pStyle w:val="13"/>
        <w:rPr>
          <w:bCs/>
        </w:rPr>
      </w:pPr>
      <w:r w:rsidRPr="00AA68F5">
        <w:rPr>
          <w:rFonts w:hint="eastAsia"/>
          <w:bCs/>
        </w:rPr>
        <w:t>2.对项目团队成员承担的工作进行协调、管理；</w:t>
      </w:r>
    </w:p>
    <w:p w14:paraId="4EFCC496" w14:textId="77777777" w:rsidR="00AA68F5" w:rsidRPr="00AA68F5" w:rsidRDefault="00AA68F5" w:rsidP="00AA68F5">
      <w:pPr>
        <w:pStyle w:val="13"/>
        <w:rPr>
          <w:bCs/>
        </w:rPr>
      </w:pPr>
      <w:r w:rsidRPr="00AA68F5">
        <w:rPr>
          <w:rFonts w:hint="eastAsia"/>
          <w:bCs/>
        </w:rPr>
        <w:t>3.项目团队内部复核。</w:t>
      </w:r>
    </w:p>
    <w:p w14:paraId="520E8F86" w14:textId="7CC65BC9" w:rsidR="00AA68F5" w:rsidRPr="00AA68F5" w:rsidRDefault="003B2FB1" w:rsidP="00AA68F5">
      <w:pPr>
        <w:pStyle w:val="13"/>
        <w:ind w:firstLine="482"/>
      </w:pPr>
      <w:r w:rsidRPr="003B2FB1">
        <w:rPr>
          <w:rFonts w:hint="eastAsia"/>
          <w:b/>
        </w:rPr>
        <w:t xml:space="preserve">第四十二条 </w:t>
      </w:r>
      <w:r w:rsidR="00AA68F5" w:rsidRPr="00AA68F5">
        <w:rPr>
          <w:rFonts w:hint="eastAsia"/>
          <w:bCs/>
        </w:rPr>
        <w:t>中小</w:t>
      </w:r>
      <w:r w:rsidR="00AA68F5" w:rsidRPr="00AA68F5">
        <w:rPr>
          <w:rFonts w:hint="eastAsia"/>
        </w:rPr>
        <w:t>评估机构应当制定评估业务内部审核制度和程序，项目负责人应当对编制完成的评估报告相关内容进行审核，经过项目团队其他签字资产评估师复核后，提交项目审核人员审核，重大评估业务在项目审核人员审核后报首席评估师审核。应当确保未经审核合格的事项不得进入下一程序，审核过程、结论应当记录并归档。</w:t>
      </w:r>
    </w:p>
    <w:p w14:paraId="13A4EA23" w14:textId="77777777" w:rsidR="00AA68F5" w:rsidRPr="00AA68F5" w:rsidRDefault="00AA68F5" w:rsidP="00AA68F5">
      <w:pPr>
        <w:pStyle w:val="13"/>
      </w:pPr>
      <w:r w:rsidRPr="00AA68F5">
        <w:rPr>
          <w:rFonts w:hint="eastAsia"/>
        </w:rPr>
        <w:t>（一）项目审核人员应当重点审核以下内容</w:t>
      </w:r>
      <w:r w:rsidRPr="00AA68F5">
        <w:rPr>
          <w:rFonts w:hint="eastAsia"/>
          <w:bCs/>
        </w:rPr>
        <w:t>，综合评价评估业务</w:t>
      </w:r>
      <w:r w:rsidRPr="00AA68F5">
        <w:rPr>
          <w:rFonts w:hint="eastAsia"/>
        </w:rPr>
        <w:t>风险，提出出具评估报告的明确意见：</w:t>
      </w:r>
    </w:p>
    <w:p w14:paraId="38B70E1E" w14:textId="77777777" w:rsidR="00AA68F5" w:rsidRPr="00AA68F5" w:rsidRDefault="00AA68F5" w:rsidP="00AA68F5">
      <w:pPr>
        <w:pStyle w:val="13"/>
      </w:pPr>
      <w:r w:rsidRPr="00AA68F5">
        <w:rPr>
          <w:rFonts w:hint="eastAsia"/>
        </w:rPr>
        <w:t>1.项目团队内部是否已经进行复核；</w:t>
      </w:r>
    </w:p>
    <w:p w14:paraId="61A560B9" w14:textId="77777777" w:rsidR="00AA68F5" w:rsidRPr="00AA68F5" w:rsidRDefault="00AA68F5" w:rsidP="00AA68F5">
      <w:pPr>
        <w:pStyle w:val="13"/>
      </w:pPr>
      <w:r w:rsidRPr="00AA68F5">
        <w:rPr>
          <w:rFonts w:hint="eastAsia"/>
        </w:rPr>
        <w:lastRenderedPageBreak/>
        <w:t>2.是否已经按资产评估准则的要求履行了必要的评估程序，完成了评估计划全部工作；</w:t>
      </w:r>
    </w:p>
    <w:p w14:paraId="207C9285" w14:textId="77777777" w:rsidR="00AA68F5" w:rsidRPr="00AA68F5" w:rsidRDefault="00AA68F5" w:rsidP="00AA68F5">
      <w:pPr>
        <w:pStyle w:val="13"/>
      </w:pPr>
      <w:r w:rsidRPr="00AA68F5">
        <w:rPr>
          <w:rFonts w:hint="eastAsia"/>
        </w:rPr>
        <w:t>3.获取的证据是否充分、适当，足以支持形成的结论；采用的评估方法是否恰当，选取的参数是否合理，测算过程是否清晰；评估报告是否已经正确完整编制，措辞是否恰当，重大事项是否在评估报告中已经完整披露，是否符合出具评估报告的要求；</w:t>
      </w:r>
    </w:p>
    <w:p w14:paraId="660DAEB6" w14:textId="77777777" w:rsidR="00AA68F5" w:rsidRPr="00AA68F5" w:rsidRDefault="00AA68F5" w:rsidP="00AA68F5">
      <w:pPr>
        <w:pStyle w:val="13"/>
        <w:rPr>
          <w:bCs/>
        </w:rPr>
      </w:pPr>
      <w:r w:rsidRPr="00AA68F5">
        <w:rPr>
          <w:rFonts w:hint="eastAsia"/>
        </w:rPr>
        <w:t>4.支持评估结论的相关证据及评估过程是否已经形成工作底稿，工作底稿</w:t>
      </w:r>
      <w:r w:rsidRPr="00AA68F5">
        <w:rPr>
          <w:rFonts w:hint="eastAsia"/>
          <w:bCs/>
        </w:rPr>
        <w:t>形式上是否做到要素齐全、格式规范、标识一致、记录清晰；内容上是否做到资料完整、信息准确、繁简得当、结论明确。</w:t>
      </w:r>
    </w:p>
    <w:p w14:paraId="35F47760" w14:textId="77777777" w:rsidR="00AA68F5" w:rsidRPr="00AA68F5" w:rsidRDefault="00AA68F5" w:rsidP="00AA68F5">
      <w:pPr>
        <w:pStyle w:val="13"/>
      </w:pPr>
      <w:r w:rsidRPr="00AA68F5">
        <w:rPr>
          <w:rFonts w:hint="eastAsia"/>
        </w:rPr>
        <w:t>（二）首席评估</w:t>
      </w:r>
      <w:proofErr w:type="gramStart"/>
      <w:r w:rsidRPr="00AA68F5">
        <w:rPr>
          <w:rFonts w:hint="eastAsia"/>
        </w:rPr>
        <w:t>师应当</w:t>
      </w:r>
      <w:proofErr w:type="gramEnd"/>
      <w:r w:rsidRPr="00AA68F5">
        <w:rPr>
          <w:rFonts w:hint="eastAsia"/>
        </w:rPr>
        <w:t>重点审核以下内容：</w:t>
      </w:r>
    </w:p>
    <w:p w14:paraId="7E946FFE" w14:textId="77777777" w:rsidR="00AA68F5" w:rsidRPr="00AA68F5" w:rsidRDefault="00AA68F5" w:rsidP="00AA68F5">
      <w:pPr>
        <w:pStyle w:val="13"/>
      </w:pPr>
      <w:r w:rsidRPr="00AA68F5">
        <w:rPr>
          <w:rFonts w:hint="eastAsia"/>
        </w:rPr>
        <w:t>1.项目审核人员的工作是否恰当，审核结论是否合理；</w:t>
      </w:r>
    </w:p>
    <w:p w14:paraId="1F99667A" w14:textId="77777777" w:rsidR="00AA68F5" w:rsidRPr="00AA68F5" w:rsidRDefault="00AA68F5" w:rsidP="00AA68F5">
      <w:pPr>
        <w:pStyle w:val="13"/>
      </w:pPr>
      <w:r w:rsidRPr="00AA68F5">
        <w:rPr>
          <w:rFonts w:hint="eastAsia"/>
        </w:rPr>
        <w:t>2.项目团队的工作是否已经按照法律法规、资产评估准则的规定执行；</w:t>
      </w:r>
    </w:p>
    <w:p w14:paraId="5AFD0BE5" w14:textId="77777777" w:rsidR="00AA68F5" w:rsidRPr="00AA68F5" w:rsidRDefault="00AA68F5" w:rsidP="00AA68F5">
      <w:pPr>
        <w:pStyle w:val="13"/>
      </w:pPr>
      <w:r w:rsidRPr="00AA68F5">
        <w:rPr>
          <w:rFonts w:hint="eastAsia"/>
        </w:rPr>
        <w:t>3.重要事项和重大风险问题的判断和处理是否恰当，评估结论是否合理。</w:t>
      </w:r>
    </w:p>
    <w:p w14:paraId="38BE2529" w14:textId="77777777" w:rsidR="00AA68F5" w:rsidRPr="00AA68F5" w:rsidRDefault="00AA68F5" w:rsidP="00AA68F5">
      <w:pPr>
        <w:pStyle w:val="13"/>
      </w:pPr>
      <w:r w:rsidRPr="00AA68F5">
        <w:rPr>
          <w:rFonts w:hint="eastAsia"/>
        </w:rPr>
        <w:t>项目审核人员、首席评估</w:t>
      </w:r>
      <w:proofErr w:type="gramStart"/>
      <w:r w:rsidRPr="00AA68F5">
        <w:rPr>
          <w:rFonts w:hint="eastAsia"/>
        </w:rPr>
        <w:t>师应当</w:t>
      </w:r>
      <w:proofErr w:type="gramEnd"/>
      <w:r w:rsidRPr="00AA68F5">
        <w:rPr>
          <w:rFonts w:hint="eastAsia"/>
        </w:rPr>
        <w:t>在审核记录上签署姓名及日期。</w:t>
      </w:r>
    </w:p>
    <w:p w14:paraId="71A46EFB" w14:textId="2634BAAA" w:rsidR="00AA68F5" w:rsidRPr="00AA68F5" w:rsidRDefault="003B2FB1" w:rsidP="00AA68F5">
      <w:pPr>
        <w:pStyle w:val="13"/>
        <w:ind w:firstLine="482"/>
        <w:rPr>
          <w:bCs/>
        </w:rPr>
      </w:pPr>
      <w:r w:rsidRPr="003B2FB1">
        <w:rPr>
          <w:rFonts w:hint="eastAsia"/>
          <w:b/>
        </w:rPr>
        <w:t xml:space="preserve">第四十三条 </w:t>
      </w:r>
      <w:r w:rsidR="00AA68F5" w:rsidRPr="00AA68F5">
        <w:rPr>
          <w:rFonts w:hint="eastAsia"/>
          <w:bCs/>
        </w:rPr>
        <w:t>中小评估机构应当制定评估报告签发及提交制度和程序，通常包括：</w:t>
      </w:r>
    </w:p>
    <w:p w14:paraId="4C429243" w14:textId="77777777" w:rsidR="00AA68F5" w:rsidRPr="00AA68F5" w:rsidRDefault="00AA68F5" w:rsidP="00AA68F5">
      <w:pPr>
        <w:pStyle w:val="13"/>
        <w:rPr>
          <w:bCs/>
        </w:rPr>
      </w:pPr>
      <w:r w:rsidRPr="00AA68F5">
        <w:rPr>
          <w:rFonts w:hint="eastAsia"/>
          <w:bCs/>
        </w:rPr>
        <w:t>（一）评估报告签发及提交流程；</w:t>
      </w:r>
    </w:p>
    <w:p w14:paraId="30F1F094" w14:textId="77777777" w:rsidR="00AA68F5" w:rsidRPr="00AA68F5" w:rsidRDefault="00AA68F5" w:rsidP="00AA68F5">
      <w:pPr>
        <w:pStyle w:val="13"/>
        <w:rPr>
          <w:bCs/>
        </w:rPr>
      </w:pPr>
      <w:r w:rsidRPr="00AA68F5">
        <w:rPr>
          <w:rFonts w:hint="eastAsia"/>
          <w:bCs/>
        </w:rPr>
        <w:t>（二）发现已经提交的评估报告存在对评估结论产生重大影响的瑕疵、错误等问题时应当采取处理措施。通常包括：</w:t>
      </w:r>
    </w:p>
    <w:p w14:paraId="4CA7283E" w14:textId="77777777" w:rsidR="00AA68F5" w:rsidRPr="00AA68F5" w:rsidRDefault="00AA68F5" w:rsidP="00AA68F5">
      <w:pPr>
        <w:pStyle w:val="13"/>
        <w:rPr>
          <w:bCs/>
        </w:rPr>
      </w:pPr>
      <w:r w:rsidRPr="00AA68F5">
        <w:rPr>
          <w:rFonts w:hint="eastAsia"/>
          <w:bCs/>
        </w:rPr>
        <w:t>1.收回评估报告，针对发现的问题进行修改，重新提交评估报告；</w:t>
      </w:r>
    </w:p>
    <w:p w14:paraId="43BFC17E" w14:textId="77777777" w:rsidR="00AA68F5" w:rsidRPr="00AA68F5" w:rsidRDefault="00AA68F5" w:rsidP="00AA68F5">
      <w:pPr>
        <w:pStyle w:val="13"/>
      </w:pPr>
      <w:r w:rsidRPr="00AA68F5">
        <w:rPr>
          <w:rFonts w:hint="eastAsia"/>
        </w:rPr>
        <w:t>2.不能收回评估报告且评估报告未使用的，应当重新出具评估报告，同时声明原评估报告作废；</w:t>
      </w:r>
    </w:p>
    <w:p w14:paraId="2E6ED8FD" w14:textId="77777777" w:rsidR="00AA68F5" w:rsidRPr="00AA68F5" w:rsidRDefault="00AA68F5" w:rsidP="00AA68F5">
      <w:pPr>
        <w:pStyle w:val="13"/>
      </w:pPr>
      <w:r w:rsidRPr="00AA68F5">
        <w:rPr>
          <w:rFonts w:hint="eastAsia"/>
        </w:rPr>
        <w:t>3.评估报告已经使用的，应当出具正式文件说明发现的问题和产生错误的原因及正确的结果。</w:t>
      </w:r>
      <w:bookmarkStart w:id="71" w:name="_Toc332433913"/>
    </w:p>
    <w:p w14:paraId="6D87300F" w14:textId="1A23B2D6" w:rsidR="00AA68F5" w:rsidRPr="00AA68F5" w:rsidRDefault="00AA68F5" w:rsidP="00AF7342">
      <w:pPr>
        <w:pStyle w:val="a9"/>
        <w:spacing w:before="62" w:after="62"/>
      </w:pPr>
      <w:r w:rsidRPr="00AA68F5">
        <w:rPr>
          <w:rFonts w:hint="eastAsia"/>
        </w:rPr>
        <w:t>第八章 监控和改进</w:t>
      </w:r>
      <w:bookmarkEnd w:id="71"/>
    </w:p>
    <w:p w14:paraId="764B9A98" w14:textId="77981D0D" w:rsidR="00AA68F5" w:rsidRPr="00AA68F5" w:rsidRDefault="003B2FB1" w:rsidP="00AA68F5">
      <w:pPr>
        <w:pStyle w:val="13"/>
        <w:ind w:firstLine="482"/>
      </w:pPr>
      <w:r w:rsidRPr="003B2FB1">
        <w:rPr>
          <w:rFonts w:hint="eastAsia"/>
          <w:b/>
        </w:rPr>
        <w:t xml:space="preserve">第四十四条 </w:t>
      </w:r>
      <w:r w:rsidR="00AA68F5" w:rsidRPr="00AA68F5">
        <w:rPr>
          <w:rFonts w:hint="eastAsia"/>
          <w:bCs/>
        </w:rPr>
        <w:t>中小评估机构应当</w:t>
      </w:r>
      <w:r w:rsidR="00AA68F5" w:rsidRPr="00AA68F5">
        <w:rPr>
          <w:rFonts w:hint="eastAsia"/>
        </w:rPr>
        <w:t>对质量控制制度和程序的遵守情况进行监控，以合理保证这些制度和程序有效运行并得到及时修订。</w:t>
      </w:r>
    </w:p>
    <w:p w14:paraId="4D76AFD4" w14:textId="1B557959" w:rsidR="00AA68F5" w:rsidRPr="00AA68F5" w:rsidRDefault="003B2FB1" w:rsidP="00AA68F5">
      <w:pPr>
        <w:pStyle w:val="13"/>
        <w:ind w:firstLine="482"/>
        <w:rPr>
          <w:bCs/>
        </w:rPr>
      </w:pPr>
      <w:r w:rsidRPr="003B2FB1">
        <w:rPr>
          <w:rFonts w:hint="eastAsia"/>
          <w:b/>
        </w:rPr>
        <w:t xml:space="preserve">第四十五条 </w:t>
      </w:r>
      <w:r w:rsidR="00AA68F5" w:rsidRPr="00AA68F5">
        <w:rPr>
          <w:rFonts w:hint="eastAsia"/>
          <w:bCs/>
        </w:rPr>
        <w:t>中小评估机构应当针对以下重点内容对质量控制制度和程序运行情况进行监控：</w:t>
      </w:r>
    </w:p>
    <w:p w14:paraId="5D444689" w14:textId="77777777" w:rsidR="00AA68F5" w:rsidRPr="00AA68F5" w:rsidRDefault="00AA68F5" w:rsidP="00AA68F5">
      <w:pPr>
        <w:pStyle w:val="13"/>
        <w:rPr>
          <w:bCs/>
        </w:rPr>
      </w:pPr>
      <w:r w:rsidRPr="00AA68F5">
        <w:rPr>
          <w:rFonts w:hint="eastAsia"/>
          <w:bCs/>
        </w:rPr>
        <w:t>（一）是否符合评估机构的实际；</w:t>
      </w:r>
    </w:p>
    <w:p w14:paraId="1F52CC8A" w14:textId="77777777" w:rsidR="00AA68F5" w:rsidRPr="00AA68F5" w:rsidRDefault="00AA68F5" w:rsidP="00AA68F5">
      <w:pPr>
        <w:pStyle w:val="13"/>
        <w:rPr>
          <w:bCs/>
        </w:rPr>
      </w:pPr>
      <w:r w:rsidRPr="00AA68F5">
        <w:rPr>
          <w:rFonts w:hint="eastAsia"/>
          <w:bCs/>
        </w:rPr>
        <w:t>（二）是否达到了质量控制目标；</w:t>
      </w:r>
    </w:p>
    <w:p w14:paraId="467D8AA5" w14:textId="77777777" w:rsidR="00AA68F5" w:rsidRPr="00AA68F5" w:rsidRDefault="00AA68F5" w:rsidP="00AA68F5">
      <w:pPr>
        <w:pStyle w:val="13"/>
        <w:rPr>
          <w:bCs/>
        </w:rPr>
      </w:pPr>
      <w:r w:rsidRPr="00AA68F5">
        <w:rPr>
          <w:rFonts w:hint="eastAsia"/>
          <w:bCs/>
        </w:rPr>
        <w:t>（三）是否得到有效的实施和保持。</w:t>
      </w:r>
    </w:p>
    <w:p w14:paraId="593CC4D7" w14:textId="30A875D3" w:rsidR="00AA68F5" w:rsidRPr="00AA68F5" w:rsidRDefault="003B2FB1" w:rsidP="00AA68F5">
      <w:pPr>
        <w:pStyle w:val="13"/>
        <w:ind w:firstLine="482"/>
      </w:pPr>
      <w:r w:rsidRPr="003B2FB1">
        <w:rPr>
          <w:rFonts w:hint="eastAsia"/>
          <w:b/>
        </w:rPr>
        <w:t xml:space="preserve">第四十六条 </w:t>
      </w:r>
      <w:r w:rsidR="00AA68F5" w:rsidRPr="00AA68F5">
        <w:rPr>
          <w:rFonts w:hint="eastAsia"/>
        </w:rPr>
        <w:t>中小评估机构应当每年对质量控制制度和程序设计的适当性和运行的有效性进行全面自查。检查人员应当具备适当专业胜任能力和经验，参与评估业务执行的人员不得承担该项业务的检查工作。</w:t>
      </w:r>
    </w:p>
    <w:p w14:paraId="0B585156" w14:textId="3412E379" w:rsidR="00AA68F5" w:rsidRPr="00AA68F5" w:rsidRDefault="003B2FB1" w:rsidP="00AA68F5">
      <w:pPr>
        <w:pStyle w:val="13"/>
        <w:ind w:firstLine="482"/>
      </w:pPr>
      <w:r w:rsidRPr="003B2FB1">
        <w:rPr>
          <w:rFonts w:hint="eastAsia"/>
          <w:b/>
        </w:rPr>
        <w:t xml:space="preserve">第四十七条 </w:t>
      </w:r>
      <w:r w:rsidR="00AA68F5" w:rsidRPr="00AA68F5">
        <w:rPr>
          <w:rFonts w:hint="eastAsia"/>
          <w:bCs/>
        </w:rPr>
        <w:t>中小评估机构应当收集、管理和利用不同渠道来源的相关信息，对</w:t>
      </w:r>
      <w:r w:rsidR="00AA68F5" w:rsidRPr="00AA68F5">
        <w:rPr>
          <w:rFonts w:hint="eastAsia"/>
          <w:bCs/>
        </w:rPr>
        <w:lastRenderedPageBreak/>
        <w:t>质量控制制度和程序加以改进，并将改进内容传达到全体人员，确保质量控制制度和程序的有效实施。重点考虑以下内容：</w:t>
      </w:r>
    </w:p>
    <w:p w14:paraId="563512ED" w14:textId="77777777" w:rsidR="00AA68F5" w:rsidRPr="00AA68F5" w:rsidRDefault="00AA68F5" w:rsidP="00AA68F5">
      <w:pPr>
        <w:pStyle w:val="13"/>
        <w:rPr>
          <w:bCs/>
        </w:rPr>
      </w:pPr>
      <w:r w:rsidRPr="00AA68F5">
        <w:rPr>
          <w:rFonts w:hint="eastAsia"/>
          <w:bCs/>
        </w:rPr>
        <w:t>（一）根据法律法规、资产评估准则的变化情况及时进行修订；</w:t>
      </w:r>
    </w:p>
    <w:p w14:paraId="4D240143" w14:textId="77777777" w:rsidR="00AA68F5" w:rsidRPr="00AA68F5" w:rsidRDefault="00AA68F5" w:rsidP="00AA68F5">
      <w:pPr>
        <w:pStyle w:val="13"/>
      </w:pPr>
      <w:r w:rsidRPr="00AA68F5">
        <w:rPr>
          <w:rFonts w:hint="eastAsia"/>
          <w:bCs/>
        </w:rPr>
        <w:t>（二）</w:t>
      </w:r>
      <w:r w:rsidRPr="00AA68F5">
        <w:rPr>
          <w:rFonts w:hint="eastAsia"/>
        </w:rPr>
        <w:t>对业务执行过程中发现的执业质量问题，首席评估</w:t>
      </w:r>
      <w:proofErr w:type="gramStart"/>
      <w:r w:rsidRPr="00AA68F5">
        <w:rPr>
          <w:rFonts w:hint="eastAsia"/>
        </w:rPr>
        <w:t>师应当</w:t>
      </w:r>
      <w:proofErr w:type="gramEnd"/>
      <w:r w:rsidRPr="00AA68F5">
        <w:rPr>
          <w:rFonts w:hint="eastAsia"/>
        </w:rPr>
        <w:t>及时与项目负责人沟通，指出问题或者不足，并提出修改制度和程序的建议；</w:t>
      </w:r>
    </w:p>
    <w:p w14:paraId="79514825" w14:textId="77777777" w:rsidR="00AA68F5" w:rsidRPr="00AA68F5" w:rsidRDefault="00AA68F5" w:rsidP="00AA68F5">
      <w:pPr>
        <w:pStyle w:val="13"/>
      </w:pPr>
      <w:r w:rsidRPr="00AA68F5">
        <w:rPr>
          <w:rFonts w:hint="eastAsia"/>
        </w:rPr>
        <w:t>（三）对于在质量控制制度理解方面存在的问题，应当及时对相关人员进行培训；</w:t>
      </w:r>
    </w:p>
    <w:p w14:paraId="3E49A75B" w14:textId="77777777" w:rsidR="00AA68F5" w:rsidRPr="00AA68F5" w:rsidRDefault="00AA68F5" w:rsidP="00AA68F5">
      <w:pPr>
        <w:pStyle w:val="13"/>
      </w:pPr>
      <w:r w:rsidRPr="00AA68F5">
        <w:rPr>
          <w:rFonts w:hint="eastAsia"/>
          <w:bCs/>
        </w:rPr>
        <w:t>（四）</w:t>
      </w:r>
      <w:r w:rsidRPr="00AA68F5">
        <w:rPr>
          <w:rFonts w:hint="eastAsia"/>
        </w:rPr>
        <w:t>对于质量控制制度和程序设计上存在的缺陷或者薄弱环节，应当及时修订；</w:t>
      </w:r>
    </w:p>
    <w:p w14:paraId="2AA627E6" w14:textId="77777777" w:rsidR="00AA68F5" w:rsidRPr="00AA68F5" w:rsidRDefault="00AA68F5" w:rsidP="00AA68F5">
      <w:pPr>
        <w:pStyle w:val="13"/>
      </w:pPr>
      <w:r w:rsidRPr="00AA68F5">
        <w:rPr>
          <w:rFonts w:hint="eastAsia"/>
        </w:rPr>
        <w:t>（五）对严重违反评估机构业务质量控制制度和程序的人员，应当按照本评估机构人力资源管理制度的相关规定对其进行处理。</w:t>
      </w:r>
    </w:p>
    <w:p w14:paraId="4355743A" w14:textId="669088EB" w:rsidR="00AA68F5" w:rsidRPr="00AA68F5" w:rsidRDefault="00AA68F5" w:rsidP="00AF7342">
      <w:pPr>
        <w:pStyle w:val="a9"/>
        <w:spacing w:before="62" w:after="62"/>
      </w:pPr>
      <w:bookmarkStart w:id="72" w:name="_Toc332433914"/>
      <w:r w:rsidRPr="00AA68F5">
        <w:rPr>
          <w:rFonts w:hint="eastAsia"/>
        </w:rPr>
        <w:t>第九章 文件和记录</w:t>
      </w:r>
      <w:bookmarkEnd w:id="72"/>
    </w:p>
    <w:p w14:paraId="4058AE76" w14:textId="4F7FC450" w:rsidR="00AA68F5" w:rsidRPr="00AA68F5" w:rsidRDefault="00AA68F5" w:rsidP="00AA68F5">
      <w:pPr>
        <w:pStyle w:val="13"/>
        <w:ind w:firstLine="482"/>
        <w:rPr>
          <w:bCs/>
        </w:rPr>
      </w:pPr>
      <w:r w:rsidRPr="00AA68F5">
        <w:rPr>
          <w:rFonts w:hint="eastAsia"/>
          <w:b/>
        </w:rPr>
        <w:t>第四十八</w:t>
      </w:r>
      <w:r w:rsidR="00793E5D">
        <w:rPr>
          <w:rFonts w:hint="eastAsia"/>
          <w:b/>
        </w:rPr>
        <w:t xml:space="preserve">条 </w:t>
      </w:r>
      <w:r w:rsidRPr="00AA68F5">
        <w:rPr>
          <w:rFonts w:hint="eastAsia"/>
          <w:bCs/>
        </w:rPr>
        <w:t>中小评估机构应当制定文件控制制度和程序，确保质量控制制度和程序使用的文件均为有效版本，防止误用失效或者废止的文件和资料。</w:t>
      </w:r>
    </w:p>
    <w:p w14:paraId="2529B318" w14:textId="1D855706" w:rsidR="00AA68F5" w:rsidRPr="00AA68F5" w:rsidRDefault="00AA68F5" w:rsidP="00AA68F5">
      <w:pPr>
        <w:pStyle w:val="13"/>
        <w:ind w:firstLine="482"/>
        <w:rPr>
          <w:bCs/>
        </w:rPr>
      </w:pPr>
      <w:r w:rsidRPr="00AA68F5">
        <w:rPr>
          <w:rFonts w:hint="eastAsia"/>
          <w:b/>
        </w:rPr>
        <w:t>第四十九</w:t>
      </w:r>
      <w:r w:rsidR="00793E5D">
        <w:rPr>
          <w:rFonts w:hint="eastAsia"/>
          <w:b/>
        </w:rPr>
        <w:t xml:space="preserve">条 </w:t>
      </w:r>
      <w:r w:rsidRPr="00AA68F5">
        <w:rPr>
          <w:rFonts w:hint="eastAsia"/>
          <w:bCs/>
        </w:rPr>
        <w:t>中小评估机构应当制定业务质量控制记录制度和程序，保持业务质量控制的相关记录并及时归档。</w:t>
      </w:r>
    </w:p>
    <w:p w14:paraId="4BC86B79" w14:textId="77777777" w:rsidR="00AA68F5" w:rsidRPr="00AA68F5" w:rsidRDefault="00AA68F5" w:rsidP="00AA68F5">
      <w:pPr>
        <w:pStyle w:val="13"/>
        <w:rPr>
          <w:bCs/>
        </w:rPr>
      </w:pPr>
      <w:r w:rsidRPr="00AA68F5">
        <w:rPr>
          <w:rFonts w:hint="eastAsia"/>
          <w:bCs/>
        </w:rPr>
        <w:t>记录控制的制度和程序应当规定记录的标识、存储、保护、检索、保存期限和超期后的处置所需的控制。</w:t>
      </w:r>
    </w:p>
    <w:p w14:paraId="62CFCCEF" w14:textId="7E98C198" w:rsidR="00AA68F5" w:rsidRPr="00AA68F5" w:rsidRDefault="00AA68F5" w:rsidP="00AA68F5">
      <w:pPr>
        <w:pStyle w:val="13"/>
        <w:ind w:firstLine="482"/>
        <w:rPr>
          <w:bCs/>
        </w:rPr>
      </w:pPr>
      <w:r w:rsidRPr="00AA68F5">
        <w:rPr>
          <w:rFonts w:hint="eastAsia"/>
          <w:b/>
        </w:rPr>
        <w:t>第五十</w:t>
      </w:r>
      <w:r w:rsidR="00793E5D">
        <w:rPr>
          <w:rFonts w:hint="eastAsia"/>
          <w:b/>
        </w:rPr>
        <w:t xml:space="preserve">条 </w:t>
      </w:r>
      <w:r w:rsidRPr="00AA68F5">
        <w:rPr>
          <w:rFonts w:hint="eastAsia"/>
          <w:bCs/>
        </w:rPr>
        <w:t>业务质量控制记录主要包括：</w:t>
      </w:r>
    </w:p>
    <w:p w14:paraId="58F5CDB5" w14:textId="77777777" w:rsidR="00AA68F5" w:rsidRPr="00AA68F5" w:rsidRDefault="00AA68F5" w:rsidP="00AA68F5">
      <w:pPr>
        <w:pStyle w:val="13"/>
        <w:rPr>
          <w:bCs/>
        </w:rPr>
      </w:pPr>
      <w:r w:rsidRPr="00AA68F5">
        <w:rPr>
          <w:rFonts w:hint="eastAsia"/>
          <w:bCs/>
        </w:rPr>
        <w:t>（一）人力资源管理记录；</w:t>
      </w:r>
    </w:p>
    <w:p w14:paraId="68E16D45" w14:textId="77777777" w:rsidR="00AA68F5" w:rsidRPr="00AA68F5" w:rsidRDefault="00AA68F5" w:rsidP="00AA68F5">
      <w:pPr>
        <w:pStyle w:val="13"/>
        <w:rPr>
          <w:bCs/>
        </w:rPr>
      </w:pPr>
      <w:r w:rsidRPr="00AA68F5">
        <w:rPr>
          <w:rFonts w:hint="eastAsia"/>
          <w:bCs/>
        </w:rPr>
        <w:t>（二）评估业务工作底稿；</w:t>
      </w:r>
    </w:p>
    <w:p w14:paraId="2B29EC13" w14:textId="77777777" w:rsidR="00AA68F5" w:rsidRPr="00AA68F5" w:rsidRDefault="00AA68F5" w:rsidP="00AA68F5">
      <w:pPr>
        <w:pStyle w:val="13"/>
        <w:rPr>
          <w:bCs/>
        </w:rPr>
      </w:pPr>
      <w:r w:rsidRPr="00AA68F5">
        <w:rPr>
          <w:rFonts w:hint="eastAsia"/>
          <w:bCs/>
        </w:rPr>
        <w:t>（三）监控和改进记录；</w:t>
      </w:r>
    </w:p>
    <w:p w14:paraId="02525FFC" w14:textId="77777777" w:rsidR="00AA68F5" w:rsidRPr="00AA68F5" w:rsidRDefault="00AA68F5" w:rsidP="00AA68F5">
      <w:pPr>
        <w:pStyle w:val="13"/>
        <w:rPr>
          <w:bCs/>
        </w:rPr>
      </w:pPr>
      <w:r w:rsidRPr="00AA68F5">
        <w:rPr>
          <w:rFonts w:hint="eastAsia"/>
          <w:bCs/>
        </w:rPr>
        <w:t>（四）质量控制制度和程序评审记录。</w:t>
      </w:r>
    </w:p>
    <w:p w14:paraId="2D38FA2D" w14:textId="3DC1AA6E" w:rsidR="00AA68F5" w:rsidRDefault="00AA68F5" w:rsidP="00AA68F5">
      <w:pPr>
        <w:pStyle w:val="13"/>
        <w:ind w:firstLine="482"/>
      </w:pPr>
      <w:r w:rsidRPr="00AA68F5">
        <w:rPr>
          <w:rFonts w:hint="eastAsia"/>
          <w:b/>
        </w:rPr>
        <w:t>第五十一</w:t>
      </w:r>
      <w:r w:rsidR="00793E5D">
        <w:rPr>
          <w:rFonts w:hint="eastAsia"/>
          <w:b/>
        </w:rPr>
        <w:t xml:space="preserve">条 </w:t>
      </w:r>
      <w:r w:rsidRPr="00AA68F5">
        <w:rPr>
          <w:rFonts w:hint="eastAsia"/>
        </w:rPr>
        <w:t>业务质量控制记录应当根据重要性和必要性设计其内容，以满足法律法规、资产评估准则及相关的要求。</w:t>
      </w:r>
    </w:p>
    <w:p w14:paraId="49B40CB6" w14:textId="77777777" w:rsidR="00E905CE" w:rsidRPr="00AA68F5" w:rsidRDefault="00E905CE" w:rsidP="00AA68F5">
      <w:pPr>
        <w:pStyle w:val="13"/>
      </w:pPr>
    </w:p>
    <w:p w14:paraId="58C9C85C" w14:textId="47211CCE" w:rsidR="00AA68F5" w:rsidRDefault="00AA68F5" w:rsidP="00AA68F5">
      <w:pPr>
        <w:pStyle w:val="31"/>
        <w:spacing w:before="156" w:after="62"/>
      </w:pPr>
      <w:bookmarkStart w:id="73" w:name="_Toc81833337"/>
      <w:r>
        <w:rPr>
          <w:rFonts w:hint="eastAsia"/>
        </w:rPr>
        <w:t>资产评估专家指引第</w:t>
      </w:r>
      <w:r>
        <w:t>8号—资产评估中的核查验证（</w:t>
      </w:r>
      <w:proofErr w:type="gramStart"/>
      <w:r>
        <w:t>中评协</w:t>
      </w:r>
      <w:proofErr w:type="gramEnd"/>
      <w:r>
        <w:t>〔2019〕39号）</w:t>
      </w:r>
      <w:bookmarkEnd w:id="73"/>
    </w:p>
    <w:p w14:paraId="2C172371" w14:textId="4864A990" w:rsidR="00AA68F5" w:rsidRDefault="00AA68F5" w:rsidP="00AA68F5">
      <w:pPr>
        <w:pStyle w:val="13"/>
        <w:ind w:firstLineChars="0" w:firstLine="0"/>
      </w:pPr>
      <w:r>
        <w:t>各省、自治区、直辖市、计划单列市资产评估协会（注册会计师协会）：</w:t>
      </w:r>
    </w:p>
    <w:p w14:paraId="0EB7661E" w14:textId="2BD541F3" w:rsidR="00AA68F5" w:rsidRDefault="00AA68F5" w:rsidP="00AA68F5">
      <w:pPr>
        <w:pStyle w:val="13"/>
      </w:pPr>
      <w:r>
        <w:rPr>
          <w:rFonts w:hint="eastAsia"/>
        </w:rPr>
        <w:t>为指导资产评估机构及其资产评估专业人员在执业过程中履行适当的核查验证程序，中国资产评估协会制定了《资产评估专家指引第</w:t>
      </w:r>
      <w:r>
        <w:t>8号—资产评估中的核查验证》</w:t>
      </w:r>
      <w:r w:rsidR="00DA29FF">
        <w:t>，</w:t>
      </w:r>
      <w:r>
        <w:t>现予印发，</w:t>
      </w:r>
      <w:proofErr w:type="gramStart"/>
      <w:r>
        <w:t>供资产</w:t>
      </w:r>
      <w:proofErr w:type="gramEnd"/>
      <w:r>
        <w:t>评估机构及其资产评估专业人员执行资产评估业务时参考。</w:t>
      </w:r>
    </w:p>
    <w:p w14:paraId="2CD54BFD" w14:textId="26039285" w:rsidR="00AA68F5" w:rsidRDefault="00AA68F5" w:rsidP="00AA68F5">
      <w:pPr>
        <w:pStyle w:val="13"/>
      </w:pPr>
      <w:r>
        <w:rPr>
          <w:rFonts w:hint="eastAsia"/>
        </w:rPr>
        <w:t>请各地</w:t>
      </w:r>
      <w:proofErr w:type="gramStart"/>
      <w:r>
        <w:rPr>
          <w:rFonts w:hint="eastAsia"/>
        </w:rPr>
        <w:t>方协会</w:t>
      </w:r>
      <w:proofErr w:type="gramEnd"/>
      <w:r>
        <w:rPr>
          <w:rFonts w:hint="eastAsia"/>
        </w:rPr>
        <w:t>将《资产评估专家指引第</w:t>
      </w:r>
      <w:r>
        <w:t>8号—资产评估中的核查验证》及时转发资产评估机构。</w:t>
      </w:r>
    </w:p>
    <w:p w14:paraId="0DD10081" w14:textId="5C5AE4AC" w:rsidR="00AA68F5" w:rsidRDefault="00AA68F5" w:rsidP="00AA68F5">
      <w:pPr>
        <w:pStyle w:val="13"/>
      </w:pPr>
      <w:r>
        <w:rPr>
          <w:rFonts w:hint="eastAsia"/>
        </w:rPr>
        <w:lastRenderedPageBreak/>
        <w:t>附件：资产评估专家指引第</w:t>
      </w:r>
      <w:r>
        <w:t>8号—资产评估中的核查验证</w:t>
      </w:r>
    </w:p>
    <w:p w14:paraId="5EF70CE7" w14:textId="77777777" w:rsidR="00AA68F5" w:rsidRDefault="00AA68F5" w:rsidP="00AA68F5">
      <w:pPr>
        <w:pStyle w:val="13"/>
        <w:jc w:val="right"/>
      </w:pPr>
      <w:r>
        <w:rPr>
          <w:rFonts w:hint="eastAsia"/>
        </w:rPr>
        <w:t>中国资产评估协会</w:t>
      </w:r>
    </w:p>
    <w:p w14:paraId="1D0FFAC4" w14:textId="0C445AAB" w:rsidR="00E04C89" w:rsidRPr="00AA68F5" w:rsidRDefault="00AA68F5" w:rsidP="00AA68F5">
      <w:pPr>
        <w:pStyle w:val="13"/>
        <w:jc w:val="right"/>
      </w:pPr>
      <w:r>
        <w:t>2019</w:t>
      </w:r>
      <w:r w:rsidR="003068F8">
        <w:t>年</w:t>
      </w:r>
      <w:r>
        <w:t>12</w:t>
      </w:r>
      <w:r w:rsidR="003068F8">
        <w:t>月</w:t>
      </w:r>
      <w:r>
        <w:t>31</w:t>
      </w:r>
      <w:r w:rsidR="003068F8">
        <w:t>日</w:t>
      </w:r>
    </w:p>
    <w:p w14:paraId="66633F74" w14:textId="77777777" w:rsidR="00AA68F5" w:rsidRDefault="00AA68F5" w:rsidP="00AF7342">
      <w:pPr>
        <w:pStyle w:val="a9"/>
        <w:spacing w:before="62" w:after="62"/>
      </w:pPr>
      <w:r>
        <w:rPr>
          <w:rFonts w:hint="eastAsia"/>
        </w:rPr>
        <w:t>资产评估专家指引第</w:t>
      </w:r>
      <w:r>
        <w:t xml:space="preserve"> 8号—资产评估中的核查验证</w:t>
      </w:r>
    </w:p>
    <w:p w14:paraId="08862FC4" w14:textId="25F213C8" w:rsidR="00AA68F5" w:rsidRDefault="00AA68F5" w:rsidP="00AA68F5">
      <w:pPr>
        <w:pStyle w:val="13"/>
      </w:pPr>
      <w:proofErr w:type="gramStart"/>
      <w:r>
        <w:rPr>
          <w:rFonts w:hint="eastAsia"/>
        </w:rPr>
        <w:t>本专家</w:t>
      </w:r>
      <w:proofErr w:type="gramEnd"/>
      <w:r>
        <w:rPr>
          <w:rFonts w:hint="eastAsia"/>
        </w:rPr>
        <w:t>指引是一种专家建议。评估机构执行资产评估业务，可以参照</w:t>
      </w:r>
      <w:proofErr w:type="gramStart"/>
      <w:r>
        <w:rPr>
          <w:rFonts w:hint="eastAsia"/>
        </w:rPr>
        <w:t>本专家</w:t>
      </w:r>
      <w:proofErr w:type="gramEnd"/>
      <w:r>
        <w:rPr>
          <w:rFonts w:hint="eastAsia"/>
        </w:rPr>
        <w:t>指引</w:t>
      </w:r>
      <w:r w:rsidR="00DA29FF">
        <w:rPr>
          <w:rFonts w:hint="eastAsia"/>
        </w:rPr>
        <w:t>，</w:t>
      </w:r>
      <w:r>
        <w:t>也可以根据具体情况采用其他适当的做法。中国资产评估协会将根据业务发展，对</w:t>
      </w:r>
      <w:proofErr w:type="gramStart"/>
      <w:r>
        <w:t>本专家</w:t>
      </w:r>
      <w:proofErr w:type="gramEnd"/>
      <w:r>
        <w:t>指引进行更新。</w:t>
      </w:r>
    </w:p>
    <w:p w14:paraId="1EE337E4" w14:textId="77777777" w:rsidR="00AA68F5" w:rsidRDefault="00AA68F5" w:rsidP="00AF7342">
      <w:pPr>
        <w:pStyle w:val="a9"/>
        <w:spacing w:before="62" w:after="62"/>
      </w:pPr>
      <w:r>
        <w:rPr>
          <w:rFonts w:hint="eastAsia"/>
        </w:rPr>
        <w:t>第一章</w:t>
      </w:r>
      <w:r>
        <w:t xml:space="preserve"> 引言</w:t>
      </w:r>
    </w:p>
    <w:p w14:paraId="0DE3D676" w14:textId="2F6ABEA1" w:rsidR="00AA68F5" w:rsidRDefault="004E3EBB" w:rsidP="00AA68F5">
      <w:pPr>
        <w:pStyle w:val="13"/>
        <w:ind w:firstLine="482"/>
      </w:pPr>
      <w:r w:rsidRPr="004E3EBB">
        <w:rPr>
          <w:rFonts w:hint="eastAsia"/>
          <w:b/>
          <w:bCs/>
        </w:rPr>
        <w:t xml:space="preserve">第一条 </w:t>
      </w:r>
      <w:r w:rsidR="00AA68F5">
        <w:t>根据《中华人民共和国资产评估法》和《资产评估基本准则》的规定，资产评估专业人员应当依法对资产评估活动中使用的有关文件、证明和资料的真实性、准确性、完整性进行核查和验证。为指导资产评估专业人员在执业过程中履行适当的核查验证程序，中国资产评估协会组织制定了</w:t>
      </w:r>
      <w:proofErr w:type="gramStart"/>
      <w:r w:rsidR="00AA68F5">
        <w:t>本专家</w:t>
      </w:r>
      <w:proofErr w:type="gramEnd"/>
      <w:r w:rsidR="00AA68F5">
        <w:t>指引。</w:t>
      </w:r>
    </w:p>
    <w:p w14:paraId="78A71BEB" w14:textId="534699F7" w:rsidR="00AA68F5" w:rsidRDefault="004E3EBB" w:rsidP="00AA68F5">
      <w:pPr>
        <w:pStyle w:val="13"/>
        <w:ind w:firstLine="482"/>
      </w:pPr>
      <w:r w:rsidRPr="004E3EBB">
        <w:rPr>
          <w:rFonts w:hint="eastAsia"/>
          <w:b/>
          <w:bCs/>
        </w:rPr>
        <w:t xml:space="preserve">第二条 </w:t>
      </w:r>
      <w:r w:rsidR="00AA68F5">
        <w:t>核查验证对象是指资产评估专业人员在执行资产评估业务时可以通过合法途径获得并使用的有关文件、证明和资料，包括权属证明资料、财务报表、会计凭证、价格信息以及相关的专业报告等。核查验证对象可以是资产评估相关当事人提供的，也可以是资产评估专业人员独立收集的，或者是政府部门、各类专业机构以及其他组织发布的。</w:t>
      </w:r>
    </w:p>
    <w:p w14:paraId="3DE70945" w14:textId="77777777" w:rsidR="00AA68F5" w:rsidRDefault="00AA68F5" w:rsidP="00AF7342">
      <w:pPr>
        <w:pStyle w:val="a9"/>
        <w:spacing w:before="62" w:after="62"/>
      </w:pPr>
      <w:r>
        <w:rPr>
          <w:rFonts w:hint="eastAsia"/>
        </w:rPr>
        <w:t>第二章</w:t>
      </w:r>
      <w:r>
        <w:t xml:space="preserve"> 基本遵循</w:t>
      </w:r>
    </w:p>
    <w:p w14:paraId="54FD3F18" w14:textId="5330F8E9" w:rsidR="00AA68F5" w:rsidRDefault="004E3EBB" w:rsidP="00AA68F5">
      <w:pPr>
        <w:pStyle w:val="13"/>
        <w:ind w:firstLine="482"/>
      </w:pPr>
      <w:r w:rsidRPr="004E3EBB">
        <w:rPr>
          <w:rFonts w:hint="eastAsia"/>
          <w:b/>
          <w:bCs/>
        </w:rPr>
        <w:t xml:space="preserve">第三条 </w:t>
      </w:r>
      <w:r w:rsidR="00AA68F5">
        <w:t>核查验证是评估程序中的一个重要环节。资产评估专业人员在执行核查验</w:t>
      </w:r>
      <w:r w:rsidR="00AA68F5">
        <w:rPr>
          <w:rFonts w:hint="eastAsia"/>
        </w:rPr>
        <w:t>证程序时，可以在符合项目风险以及业务质量控制要求的前提下，根据核查验证对象对评估结论的重要性水平确定核查验证的范围。重要性水平由资产评估专业人员根据评估目的、被评估单位内部控制状况、相关资料收集情况、评估对象金额和数量等因素进行综合分析后予以确定。</w:t>
      </w:r>
    </w:p>
    <w:p w14:paraId="126A6525" w14:textId="67531F0B" w:rsidR="00AA68F5" w:rsidRDefault="004E3EBB" w:rsidP="00AA68F5">
      <w:pPr>
        <w:pStyle w:val="13"/>
        <w:ind w:firstLine="482"/>
      </w:pPr>
      <w:r w:rsidRPr="004E3EBB">
        <w:rPr>
          <w:rFonts w:hint="eastAsia"/>
          <w:b/>
          <w:bCs/>
        </w:rPr>
        <w:t xml:space="preserve">第四条 </w:t>
      </w:r>
      <w:r w:rsidR="00AA68F5">
        <w:t>资产评估专业人员在分析判断某核查验证对象的真实性、准确性和完整性时，通常需要针对该核查验证对象特点采取相应的核查验证实施方式。如果计划采用的核查验证实施方式无法执行，资产评估专业人员应当对该具体事项进行评判，确定是否需要采取其他替代措施完成核查验证工作。</w:t>
      </w:r>
    </w:p>
    <w:p w14:paraId="16B705B9" w14:textId="16313EB8" w:rsidR="00AA68F5" w:rsidRDefault="004E3EBB" w:rsidP="00AA68F5">
      <w:pPr>
        <w:pStyle w:val="13"/>
        <w:ind w:firstLine="482"/>
      </w:pPr>
      <w:r w:rsidRPr="004E3EBB">
        <w:rPr>
          <w:rFonts w:hint="eastAsia"/>
          <w:b/>
          <w:bCs/>
        </w:rPr>
        <w:t xml:space="preserve">第五条 </w:t>
      </w:r>
      <w:r w:rsidR="00AA68F5">
        <w:t>对超出资产评估专业人员胜任能力的核查验证事项，资产评估机构可以委托或者要求委托人委托相关专业机构出具专业意见。资产评估专业人员应当了解相关机构的执业资格、独立性，核查专业报告作为评估依据的可靠性、时效性。因法律法规规定、客观条件限制无法实施核查验证的事项，资产评估专业人员应当在工作底稿中予以说明，分析其对评估结论的影响程度，确信不足以对评估结论产生重大影响的前提下</w:t>
      </w:r>
      <w:r w:rsidR="00DA29FF">
        <w:t>，</w:t>
      </w:r>
      <w:r w:rsidR="00AA68F5">
        <w:t>在资产评估报告中予以披露。如果上述事项对评估结论产生重大影响或</w:t>
      </w:r>
      <w:r w:rsidR="00AA68F5">
        <w:lastRenderedPageBreak/>
        <w:t>者无法判断其影响程度，资产评估机构不得出具资产评估报告。</w:t>
      </w:r>
    </w:p>
    <w:p w14:paraId="2BF6C992" w14:textId="00B5220D" w:rsidR="00AA68F5" w:rsidRDefault="004E3EBB" w:rsidP="00AA68F5">
      <w:pPr>
        <w:pStyle w:val="13"/>
        <w:ind w:firstLine="482"/>
      </w:pPr>
      <w:r w:rsidRPr="004E3EBB">
        <w:rPr>
          <w:rFonts w:hint="eastAsia"/>
          <w:b/>
          <w:bCs/>
        </w:rPr>
        <w:t xml:space="preserve">第六条 </w:t>
      </w:r>
      <w:r w:rsidR="00AA68F5">
        <w:t>履行核查验证程序的资产评估专业人员应当具备必要的专业知识和实践经</w:t>
      </w:r>
      <w:r w:rsidR="00AA68F5">
        <w:rPr>
          <w:rFonts w:hint="eastAsia"/>
        </w:rPr>
        <w:t>验。</w:t>
      </w:r>
    </w:p>
    <w:p w14:paraId="359FAE32" w14:textId="24DA0FAD" w:rsidR="00AA68F5" w:rsidRDefault="004E3EBB" w:rsidP="00AA68F5">
      <w:pPr>
        <w:pStyle w:val="13"/>
        <w:ind w:firstLine="482"/>
      </w:pPr>
      <w:r w:rsidRPr="004E3EBB">
        <w:rPr>
          <w:rFonts w:hint="eastAsia"/>
          <w:b/>
          <w:bCs/>
        </w:rPr>
        <w:t xml:space="preserve">第七条 </w:t>
      </w:r>
      <w:r w:rsidR="00AA68F5">
        <w:t>对核查验证程序执行情况的内部审核，应当关注核查验证所采用的实施方式或者选取的替代措施是否适用、恰当、有效。</w:t>
      </w:r>
    </w:p>
    <w:p w14:paraId="49EA8AEE" w14:textId="1A8BC811" w:rsidR="00AA68F5" w:rsidRDefault="004E3EBB" w:rsidP="00AA68F5">
      <w:pPr>
        <w:pStyle w:val="13"/>
        <w:ind w:firstLine="482"/>
      </w:pPr>
      <w:r w:rsidRPr="004E3EBB">
        <w:rPr>
          <w:rFonts w:hint="eastAsia"/>
          <w:b/>
          <w:bCs/>
        </w:rPr>
        <w:t xml:space="preserve">第八条 </w:t>
      </w:r>
      <w:r w:rsidR="00AA68F5">
        <w:t>资产评估专业人员执行核查验证程序形成的工作底稿的内容，因评估目的、评估对象、评估方法和核查验证实施方式等不同可以有所差异。</w:t>
      </w:r>
    </w:p>
    <w:p w14:paraId="45E0B356" w14:textId="77777777" w:rsidR="00AA68F5" w:rsidRDefault="00AA68F5" w:rsidP="00AF7342">
      <w:pPr>
        <w:pStyle w:val="a9"/>
        <w:spacing w:before="62" w:after="62"/>
      </w:pPr>
      <w:r>
        <w:rPr>
          <w:rFonts w:hint="eastAsia"/>
        </w:rPr>
        <w:t>第三章</w:t>
      </w:r>
      <w:r>
        <w:t xml:space="preserve"> 不同评估资料的核查验证</w:t>
      </w:r>
    </w:p>
    <w:p w14:paraId="164CF14F" w14:textId="2C98FAC9" w:rsidR="00AA68F5" w:rsidRDefault="00E05BDA" w:rsidP="009C1ACF">
      <w:pPr>
        <w:pStyle w:val="13"/>
        <w:ind w:firstLine="482"/>
      </w:pPr>
      <w:r w:rsidRPr="00E05BDA">
        <w:rPr>
          <w:rFonts w:hint="eastAsia"/>
          <w:b/>
        </w:rPr>
        <w:t xml:space="preserve">第九条 </w:t>
      </w:r>
      <w:r w:rsidR="00AA68F5">
        <w:t>核查验证的实施方式通常包括观察、询问、书面审查、实地调查、查询、函证、复核等。资产评估专业人员应当根据各类资料的特点，合理确定核查验证的实施方式。</w:t>
      </w:r>
      <w:r w:rsidR="00AA68F5">
        <w:rPr>
          <w:rFonts w:hint="eastAsia"/>
        </w:rPr>
        <w:t>对某些复杂的资料，可以采取多种方式相结合的形式进行。</w:t>
      </w:r>
    </w:p>
    <w:p w14:paraId="68D71D57" w14:textId="30E251CF" w:rsidR="00AA68F5" w:rsidRDefault="00AA68F5" w:rsidP="009C1ACF">
      <w:pPr>
        <w:pStyle w:val="13"/>
      </w:pPr>
      <w:r>
        <w:rPr>
          <w:rFonts w:hint="eastAsia"/>
        </w:rPr>
        <w:t>（一）资产评估专业人员采用观察方式进行核查验证，应当关注观察方式的有效性和充分性。如果仅用观察方式不足以确认核查验证对象是否真实、准确和完整，还应当追加采用其他方式进行核查验证。对于重要的观察事项，应当记录观察对象、观察时间、观察地点、观察人员和观察结果，并对观察到的现象与核查验证对象是否一致发表明确意见。</w:t>
      </w:r>
    </w:p>
    <w:p w14:paraId="1F8D83D3" w14:textId="77777777" w:rsidR="00AA68F5" w:rsidRDefault="00AA68F5" w:rsidP="00AA68F5">
      <w:pPr>
        <w:pStyle w:val="13"/>
      </w:pPr>
      <w:r>
        <w:rPr>
          <w:rFonts w:hint="eastAsia"/>
        </w:rPr>
        <w:t>（二）资产评估专业人员采用询问方式进行核查验证，应当形成询问记录，并要求询问人和被询问人对询问记录采用签字或者盖章等方式予以确认。如果被询问人拒绝签字或者拒绝以其他方式予以确认，资产评估专业人员应当在书面记录中注明。</w:t>
      </w:r>
    </w:p>
    <w:p w14:paraId="1306FABD" w14:textId="77777777" w:rsidR="00AA68F5" w:rsidRDefault="00AA68F5" w:rsidP="00AA68F5">
      <w:pPr>
        <w:pStyle w:val="13"/>
      </w:pPr>
      <w:r>
        <w:rPr>
          <w:rFonts w:hint="eastAsia"/>
        </w:rPr>
        <w:t>（三）资产评估专业人员采用书面审查方式进行核查验证，应当分析相关书面信息来源的可靠性，并通过核对原件等方式对书面信息的准确性和完整性进行核查，同时要求提供方在复印件上盖章。</w:t>
      </w:r>
    </w:p>
    <w:p w14:paraId="0DCDEA46" w14:textId="77777777" w:rsidR="00AA68F5" w:rsidRDefault="00AA68F5" w:rsidP="00AA68F5">
      <w:pPr>
        <w:pStyle w:val="13"/>
      </w:pPr>
      <w:r>
        <w:rPr>
          <w:rFonts w:hint="eastAsia"/>
        </w:rPr>
        <w:t>（四）资产评估专业人员采用实地调查的方式进行核查验证，应当将实地调查情况形成书面记录，由相关当事人签字。如果实地调查涉及的单位为企业法人，需要根据调查事项的重要性和相关性判断是否需要单位盖章确认。如果相关当事人拒绝签字或者盖章，资产评估专业人员应当在书面记录中注明。</w:t>
      </w:r>
    </w:p>
    <w:p w14:paraId="2FA12917" w14:textId="77777777" w:rsidR="00AA68F5" w:rsidRDefault="00AA68F5" w:rsidP="00AA68F5">
      <w:pPr>
        <w:pStyle w:val="13"/>
      </w:pPr>
      <w:r>
        <w:rPr>
          <w:rFonts w:hint="eastAsia"/>
        </w:rPr>
        <w:t>（五）资产评估专业人员采用查询方式进行核查验证，应当查询公告、网页或者其他载体相关信息，通过对不同来源的信息进行对比、分析形成结论，并就查询的信息内容、时间、网址、载体等有关事项形成查询记录。</w:t>
      </w:r>
    </w:p>
    <w:p w14:paraId="54B230E5" w14:textId="7D1B63CD" w:rsidR="00AA68F5" w:rsidRDefault="00AA68F5" w:rsidP="00AA68F5">
      <w:pPr>
        <w:pStyle w:val="13"/>
      </w:pPr>
      <w:r>
        <w:rPr>
          <w:rFonts w:hint="eastAsia"/>
        </w:rPr>
        <w:t>（六）资产评估专业人员采用</w:t>
      </w:r>
      <w:proofErr w:type="gramStart"/>
      <w:r>
        <w:rPr>
          <w:rFonts w:hint="eastAsia"/>
        </w:rPr>
        <w:t>函证方式</w:t>
      </w:r>
      <w:proofErr w:type="gramEnd"/>
      <w:r>
        <w:rPr>
          <w:rFonts w:hint="eastAsia"/>
        </w:rPr>
        <w:t>进行核查验证，可以采用邮寄、快递、跟函</w:t>
      </w:r>
      <w:r w:rsidR="003068F8">
        <w:rPr>
          <w:rFonts w:hint="eastAsia"/>
        </w:rPr>
        <w:t>、</w:t>
      </w:r>
      <w:r>
        <w:t>电子形式函证（包括传真、电子邮件、直接访问网站等）等方式发出和收回。信件回执</w:t>
      </w:r>
      <w:r w:rsidR="003068F8">
        <w:t>、</w:t>
      </w:r>
      <w:r>
        <w:t>查询信函底稿和对方回函等资料应当由经办的资产评估专业人员签字。被</w:t>
      </w:r>
      <w:proofErr w:type="gramStart"/>
      <w:r>
        <w:t>询</w:t>
      </w:r>
      <w:proofErr w:type="gramEnd"/>
      <w:r>
        <w:t>证人以传真、电子邮件等方式回函的，可以要求被</w:t>
      </w:r>
      <w:proofErr w:type="gramStart"/>
      <w:r>
        <w:t>询</w:t>
      </w:r>
      <w:proofErr w:type="gramEnd"/>
      <w:r>
        <w:t>证人寄回</w:t>
      </w:r>
      <w:proofErr w:type="gramStart"/>
      <w:r>
        <w:t>询证函</w:t>
      </w:r>
      <w:proofErr w:type="gramEnd"/>
      <w:r>
        <w:t>原件。被</w:t>
      </w:r>
      <w:proofErr w:type="gramStart"/>
      <w:r>
        <w:t>询</w:t>
      </w:r>
      <w:proofErr w:type="gramEnd"/>
      <w:r>
        <w:t>证人未签署回执、未 予签收或者</w:t>
      </w:r>
      <w:proofErr w:type="gramStart"/>
      <w:r>
        <w:t>在函证规定</w:t>
      </w:r>
      <w:proofErr w:type="gramEnd"/>
      <w:r>
        <w:t>的期限内未回复的，由经办的资产评估专业</w:t>
      </w:r>
      <w:r>
        <w:lastRenderedPageBreak/>
        <w:t>人员对相关情况做出 书面说明。</w:t>
      </w:r>
    </w:p>
    <w:p w14:paraId="530A9D5A" w14:textId="77777777" w:rsidR="00AA68F5" w:rsidRDefault="00AA68F5" w:rsidP="00AA68F5">
      <w:pPr>
        <w:pStyle w:val="13"/>
      </w:pPr>
      <w:r>
        <w:rPr>
          <w:rFonts w:hint="eastAsia"/>
        </w:rPr>
        <w:t>（七）资产评估专业人员采用复核方式进行核查验证，应当结合核查验证对象的特点，采取验算、校对等具体措施判断核查验证对象的真实性、准确性和完整性。对于重要的复核事项，应当记录复核过程、采取的措施、复核依据和复核结果，并且由复核人员进行签字确认。</w:t>
      </w:r>
    </w:p>
    <w:p w14:paraId="59436F91" w14:textId="77777777" w:rsidR="00AA68F5" w:rsidRDefault="00AA68F5" w:rsidP="00AF7342">
      <w:pPr>
        <w:pStyle w:val="a9"/>
        <w:spacing w:before="62" w:after="62"/>
      </w:pPr>
      <w:r>
        <w:rPr>
          <w:rFonts w:hint="eastAsia"/>
        </w:rPr>
        <w:t>第一节</w:t>
      </w:r>
      <w:r>
        <w:t xml:space="preserve"> 权属证明资料</w:t>
      </w:r>
    </w:p>
    <w:p w14:paraId="6EDB373D" w14:textId="5E433610" w:rsidR="009C1ACF" w:rsidRDefault="00E05BDA" w:rsidP="009C1ACF">
      <w:pPr>
        <w:pStyle w:val="13"/>
        <w:ind w:firstLine="482"/>
      </w:pPr>
      <w:r w:rsidRPr="00E05BDA">
        <w:rPr>
          <w:rFonts w:hint="eastAsia"/>
          <w:b/>
          <w:bCs/>
        </w:rPr>
        <w:t xml:space="preserve">第十条 </w:t>
      </w:r>
      <w:r w:rsidR="00AA68F5">
        <w:t>权属证明资料的核查验证是对资产法律权属凭证、权威部门出具的权属证</w:t>
      </w:r>
      <w:r w:rsidR="00AA68F5">
        <w:rPr>
          <w:rFonts w:hint="eastAsia"/>
        </w:rPr>
        <w:t>明资料以及能够间接证明资产归属的其他资料的核实。</w:t>
      </w:r>
    </w:p>
    <w:p w14:paraId="387DF0D1" w14:textId="7F305BEC" w:rsidR="00AA68F5" w:rsidRDefault="00E05BDA" w:rsidP="009C1ACF">
      <w:pPr>
        <w:pStyle w:val="13"/>
        <w:ind w:firstLine="482"/>
      </w:pPr>
      <w:r w:rsidRPr="00E05BDA">
        <w:rPr>
          <w:rFonts w:hint="eastAsia"/>
          <w:b/>
          <w:bCs/>
        </w:rPr>
        <w:t xml:space="preserve">第十一条 </w:t>
      </w:r>
      <w:r w:rsidR="00AA68F5">
        <w:t>不动产权属证明资料的核查验证。</w:t>
      </w:r>
    </w:p>
    <w:p w14:paraId="528C4DAD" w14:textId="77777777" w:rsidR="00AA68F5" w:rsidRDefault="00AA68F5" w:rsidP="00AA68F5">
      <w:pPr>
        <w:pStyle w:val="13"/>
      </w:pPr>
      <w:r>
        <w:rPr>
          <w:rFonts w:hint="eastAsia"/>
        </w:rPr>
        <w:t>（一）本条所称不动产不包括海域、森林资源资产、矿业权等。</w:t>
      </w:r>
    </w:p>
    <w:p w14:paraId="6B8CD830" w14:textId="77777777" w:rsidR="00AA68F5" w:rsidRDefault="00AA68F5" w:rsidP="00AA68F5">
      <w:pPr>
        <w:pStyle w:val="13"/>
      </w:pPr>
      <w:r>
        <w:rPr>
          <w:rFonts w:hint="eastAsia"/>
        </w:rPr>
        <w:t>（二）不动产权属证明资料主要为不动产权证，没有颁发不动产权证的可以是国有土地使用权证、集体土地所有权证、集体土地使用证、土地他项权利证明书、农村土地承包经营权证、用地通知书、国有建设用地出让合同、划拨决定书、房屋所有权证、房屋他项权证、土地房屋权证、房地产权证、在建工程抵押登记证明等。</w:t>
      </w:r>
    </w:p>
    <w:p w14:paraId="154E8A53" w14:textId="77777777" w:rsidR="00AA68F5" w:rsidRDefault="00AA68F5" w:rsidP="00AA68F5">
      <w:pPr>
        <w:pStyle w:val="13"/>
      </w:pPr>
      <w:r>
        <w:rPr>
          <w:rFonts w:hint="eastAsia"/>
        </w:rPr>
        <w:t>（三）资产评估专业人员采用书面审查的方式核查上述权属证明资料的，应当查阅并核对评估对象的不动产权属原件、复印件是否一致。处于受理状态中的证明资料，资产评估专业人员可以根据需要要求评估对象产权持有人到不动产所在地的市、县人民政府不动产登记机构查询评估对象权属证明资料并取得查询结果。</w:t>
      </w:r>
    </w:p>
    <w:p w14:paraId="011D4063" w14:textId="77777777" w:rsidR="00AA68F5" w:rsidRDefault="00AA68F5" w:rsidP="00AA68F5">
      <w:pPr>
        <w:pStyle w:val="13"/>
      </w:pPr>
      <w:r>
        <w:rPr>
          <w:rFonts w:hint="eastAsia"/>
        </w:rPr>
        <w:t>（四）如果评估对象没有办理产权证，资产评估专业人员应当查验取得不动产的相关证明文件、发票以及合同等资料，并根据具体情况和重要性原则在资产评估报告中披露评估对象未办理产权证的原因、核查处理方法以及可能对评估结论产生的影响。</w:t>
      </w:r>
    </w:p>
    <w:p w14:paraId="5A3BCC36" w14:textId="02363071" w:rsidR="00AA68F5" w:rsidRDefault="00E05BDA" w:rsidP="00AA68F5">
      <w:pPr>
        <w:pStyle w:val="13"/>
        <w:ind w:firstLine="482"/>
      </w:pPr>
      <w:r w:rsidRPr="00E05BDA">
        <w:rPr>
          <w:rFonts w:hint="eastAsia"/>
          <w:b/>
          <w:bCs/>
        </w:rPr>
        <w:t xml:space="preserve">第十二条 </w:t>
      </w:r>
      <w:r w:rsidR="00AA68F5">
        <w:t>森林资源权属证明资料的核查验证。</w:t>
      </w:r>
    </w:p>
    <w:p w14:paraId="431620F0" w14:textId="77777777" w:rsidR="00AA68F5" w:rsidRDefault="00AA68F5" w:rsidP="00AA68F5">
      <w:pPr>
        <w:pStyle w:val="13"/>
      </w:pPr>
      <w:r>
        <w:rPr>
          <w:rFonts w:hint="eastAsia"/>
        </w:rPr>
        <w:t>（一）森林资源权属证明资料主要为不动产权证，没有颁发不动产权证的可以是林权证、林木使用权证、森林资源资产抵押登记证等。</w:t>
      </w:r>
    </w:p>
    <w:p w14:paraId="42FA7D04" w14:textId="77777777" w:rsidR="00AA68F5" w:rsidRDefault="00AA68F5" w:rsidP="00AA68F5">
      <w:pPr>
        <w:pStyle w:val="13"/>
      </w:pPr>
      <w:r>
        <w:rPr>
          <w:rFonts w:hint="eastAsia"/>
        </w:rPr>
        <w:t>（二）资产评估专业人员采用书面审查的方式核查上述权属证明资料的，应当查阅并核对评估对象的不动产权证、林权证原件、复印件是否一致。处于受理状态中的证明资料，资产评估专业人员可以根据需要要求评估对象产权持有人到不动产所在地的市、县人民政府不动产登记机构查询评估对象权属证明资料并取得查询结果。</w:t>
      </w:r>
    </w:p>
    <w:p w14:paraId="1E9AD686" w14:textId="77777777" w:rsidR="00AA68F5" w:rsidRDefault="00AA68F5" w:rsidP="00AA68F5">
      <w:pPr>
        <w:pStyle w:val="13"/>
      </w:pPr>
      <w:r>
        <w:rPr>
          <w:rFonts w:hint="eastAsia"/>
        </w:rPr>
        <w:t>（三）如果评估对象没有办理产权证，应当查验取得森林资源的相关证明文件、合同等资料，并根据具体情况和重要性原则在评估报告中披露评估对象未办理产权证的原因、核查处理方法以及可能对评估结论产生的影响。</w:t>
      </w:r>
    </w:p>
    <w:p w14:paraId="3524A4E1" w14:textId="4BC967CD" w:rsidR="00AA68F5" w:rsidRDefault="00E05BDA" w:rsidP="00AA68F5">
      <w:pPr>
        <w:pStyle w:val="13"/>
        <w:ind w:firstLine="482"/>
      </w:pPr>
      <w:r w:rsidRPr="00E05BDA">
        <w:rPr>
          <w:rFonts w:hint="eastAsia"/>
          <w:b/>
          <w:bCs/>
        </w:rPr>
        <w:t xml:space="preserve">第十三条 </w:t>
      </w:r>
      <w:r w:rsidR="00AA68F5">
        <w:t>矿业权权属证明资料的核查验证。</w:t>
      </w:r>
    </w:p>
    <w:p w14:paraId="59D6092E" w14:textId="77777777" w:rsidR="00AA68F5" w:rsidRDefault="00AA68F5" w:rsidP="00AA68F5">
      <w:pPr>
        <w:pStyle w:val="13"/>
      </w:pPr>
      <w:r>
        <w:rPr>
          <w:rFonts w:hint="eastAsia"/>
        </w:rPr>
        <w:t>（一）矿业权权属证明资料主要包括：划定矿区范围批复、采矿权许可证、矿产</w:t>
      </w:r>
      <w:r>
        <w:rPr>
          <w:rFonts w:hint="eastAsia"/>
        </w:rPr>
        <w:lastRenderedPageBreak/>
        <w:t>资源勘查许可证、矿业权出让（转让）合同以及相关付款凭证、矿业权抵押备案相关资料等。</w:t>
      </w:r>
    </w:p>
    <w:p w14:paraId="2DA8C6AE" w14:textId="77777777" w:rsidR="00AA68F5" w:rsidRDefault="00AA68F5" w:rsidP="00AA68F5">
      <w:pPr>
        <w:pStyle w:val="13"/>
      </w:pPr>
      <w:r>
        <w:rPr>
          <w:rFonts w:hint="eastAsia"/>
        </w:rPr>
        <w:t>（二）资产评估专业人员采用书面审查的方式核查上述权属证明文件的，应当核对证书（或者资料）原件、复印件是否一致，资产评估专业人员可以根据需要通过矿业权行政管理部门官方网站查询相关信息，对资产权属相关数据的一致性进行核查。</w:t>
      </w:r>
    </w:p>
    <w:p w14:paraId="3EDAD9DA" w14:textId="77777777" w:rsidR="00AA68F5" w:rsidRDefault="00AA68F5" w:rsidP="00AA68F5">
      <w:pPr>
        <w:pStyle w:val="13"/>
      </w:pPr>
      <w:r>
        <w:rPr>
          <w:rFonts w:hint="eastAsia"/>
        </w:rPr>
        <w:t>（三）如果评估对象没有办理产权证，应当查验取得矿业权的相关证明文件、合同</w:t>
      </w:r>
      <w:r>
        <w:t xml:space="preserve"> 等资料，并根据具体情况和重要性原则在评估报告中披露评估对象未办理产权证的原因、核查处理方法以及可能对评估结论产生的影响。</w:t>
      </w:r>
    </w:p>
    <w:p w14:paraId="6CE45576" w14:textId="7557365A" w:rsidR="00AA68F5" w:rsidRDefault="00E05BDA" w:rsidP="00AA68F5">
      <w:pPr>
        <w:pStyle w:val="13"/>
        <w:ind w:firstLine="482"/>
      </w:pPr>
      <w:r w:rsidRPr="00E05BDA">
        <w:rPr>
          <w:rFonts w:hint="eastAsia"/>
          <w:b/>
          <w:bCs/>
        </w:rPr>
        <w:t xml:space="preserve">第十四条 </w:t>
      </w:r>
      <w:r w:rsidR="00AA68F5">
        <w:t>机器设备权属证明资料的核查验证。</w:t>
      </w:r>
    </w:p>
    <w:p w14:paraId="0EAF84D5" w14:textId="77777777" w:rsidR="00AA68F5" w:rsidRDefault="00AA68F5" w:rsidP="00AA68F5">
      <w:pPr>
        <w:pStyle w:val="13"/>
      </w:pPr>
      <w:r>
        <w:rPr>
          <w:rFonts w:hint="eastAsia"/>
        </w:rPr>
        <w:t>（一）机器设备权属证明资料主要包括：机动车登记证、船舶所有权证书、船舶国籍证书；外购机器设备的购置合同、购置发票、付款凭据、进口设备报关单；自制机器设备主要材料以及外购件的采购合同和发票、竣工决算资料；融资租赁设备的融资租赁合同、发票；由法院判决形成的设备资产的法院判决书、资产交接单；抵（质）押机器设备的抵（质）押合同、抵（质）</w:t>
      </w:r>
      <w:proofErr w:type="gramStart"/>
      <w:r>
        <w:rPr>
          <w:rFonts w:hint="eastAsia"/>
        </w:rPr>
        <w:t>押登记</w:t>
      </w:r>
      <w:proofErr w:type="gramEnd"/>
      <w:r>
        <w:rPr>
          <w:rFonts w:hint="eastAsia"/>
        </w:rPr>
        <w:t>证书；国有资产划转材料、调拨单。</w:t>
      </w:r>
    </w:p>
    <w:p w14:paraId="7E87A7AE" w14:textId="77777777" w:rsidR="00AA68F5" w:rsidRDefault="00AA68F5" w:rsidP="00AA68F5">
      <w:pPr>
        <w:pStyle w:val="13"/>
      </w:pPr>
      <w:r>
        <w:rPr>
          <w:rFonts w:hint="eastAsia"/>
        </w:rPr>
        <w:t>（二）资产评估专业人员采用书面审查的方式核查上述权属证明资料的，应当查阅并核对权属证明资料的原件、复印件是否一致；如果权属证明资料原件留存于他处，资产评估专业人员可以向原件留存方查询或者函证；资产评估专业人员根据需要要求产权持有人到相关权属主管部门配合查询评估对象法律权属登记情况；对于重要设备的购买合同、发票（及报关单、装箱单等）、竣工决算资料等，资产评估专业人员根据经济行为特点、产权持有人信用情况以及重要性原则，自行判断是否采取其它延伸核查方式。</w:t>
      </w:r>
    </w:p>
    <w:p w14:paraId="3538C947" w14:textId="60D8DA45" w:rsidR="00AA68F5" w:rsidRDefault="00AA68F5" w:rsidP="00AA68F5">
      <w:pPr>
        <w:pStyle w:val="13"/>
      </w:pPr>
      <w:r>
        <w:rPr>
          <w:rFonts w:hint="eastAsia"/>
        </w:rPr>
        <w:t>（三）对权属资料不完备、毁损、丢失等瑕疵事项，以及资产评估专业人员根据重</w:t>
      </w:r>
      <w:r>
        <w:t xml:space="preserve"> 要性原则应当收集但未能取得的相关权属资料，可以要求产权持有人提供产权归属承诺</w:t>
      </w:r>
      <w:r w:rsidR="00DA29FF">
        <w:t>，</w:t>
      </w:r>
      <w:r>
        <w:t>并在评估报告中披露相关事项。</w:t>
      </w:r>
    </w:p>
    <w:p w14:paraId="5E8E876D" w14:textId="758C6FCA" w:rsidR="00AA68F5" w:rsidRDefault="00E05BDA" w:rsidP="00AA68F5">
      <w:pPr>
        <w:pStyle w:val="13"/>
        <w:ind w:firstLine="482"/>
      </w:pPr>
      <w:r w:rsidRPr="00E05BDA">
        <w:rPr>
          <w:rFonts w:hint="eastAsia"/>
          <w:b/>
          <w:bCs/>
        </w:rPr>
        <w:t xml:space="preserve">第十五条 </w:t>
      </w:r>
      <w:r w:rsidR="00AA68F5">
        <w:t>知识产权权属证明资料的核查验证。</w:t>
      </w:r>
    </w:p>
    <w:p w14:paraId="14E696FF" w14:textId="6AE31685" w:rsidR="00AA68F5" w:rsidRDefault="00AA68F5" w:rsidP="009C1ACF">
      <w:pPr>
        <w:pStyle w:val="13"/>
      </w:pPr>
      <w:r>
        <w:rPr>
          <w:rFonts w:hint="eastAsia"/>
        </w:rPr>
        <w:t>（一）知识产权权属证明资料主要包括：专利证书、专利登记簿副本、最近一期的专利年费缴费凭证、实用新型、外观设计专利权评价报告或者专利权利要求书、专利说明书以及附图；委托人或者相关权利人提供的专有技术形成说明材料；注册商标证书、商标历史获奖证书、商标授权使用登记备案材料；著作权登记证书，著作权作品原稿、职务创作的相关合同、与著作权有关权利的情况说明、委托人和著作权人的身份证明文件和承诺函；植物新品种权证书；集成电路布图设计登记证书、延长期限请求费付款凭证；有效期内的知识产权年费缴费凭证、涉及到的转让合同（购买协议）、授权使用协议、变更登记、付款记录等资料。</w:t>
      </w:r>
    </w:p>
    <w:p w14:paraId="6D3B73F3" w14:textId="77777777" w:rsidR="00AA68F5" w:rsidRDefault="00AA68F5" w:rsidP="00AA68F5">
      <w:pPr>
        <w:pStyle w:val="13"/>
      </w:pPr>
      <w:r>
        <w:rPr>
          <w:rFonts w:hint="eastAsia"/>
        </w:rPr>
        <w:t>（二）资产评估专业人员采用书面审查的方式核查上述权属证明资料的，应当查</w:t>
      </w:r>
      <w:r>
        <w:rPr>
          <w:rFonts w:hint="eastAsia"/>
        </w:rPr>
        <w:lastRenderedPageBreak/>
        <w:t>阅并核对权属证明资料的原件、复印件是否一致，查验权属材料的所有权人、取得方式、权利范围、有效期、他项权利（是否质押）等相关信息。对知识产权的权属信息可以与国家相关政府网站公示信息核对是否一致，以确认评估基准</w:t>
      </w:r>
      <w:proofErr w:type="gramStart"/>
      <w:r>
        <w:rPr>
          <w:rFonts w:hint="eastAsia"/>
        </w:rPr>
        <w:t>日真实</w:t>
      </w:r>
      <w:proofErr w:type="gramEnd"/>
      <w:r>
        <w:rPr>
          <w:rFonts w:hint="eastAsia"/>
        </w:rPr>
        <w:t>有效的权属状态。</w:t>
      </w:r>
    </w:p>
    <w:p w14:paraId="1CDC1DC7" w14:textId="77777777" w:rsidR="00AA68F5" w:rsidRDefault="00AA68F5" w:rsidP="00AA68F5">
      <w:pPr>
        <w:pStyle w:val="13"/>
      </w:pPr>
      <w:r>
        <w:rPr>
          <w:rFonts w:hint="eastAsia"/>
        </w:rPr>
        <w:t>（三）对许可使用的知识产权使用权，资产评估专业人员应当查阅授权协议以及付款记录，必要时可以向权利</w:t>
      </w:r>
      <w:proofErr w:type="gramStart"/>
      <w:r>
        <w:rPr>
          <w:rFonts w:hint="eastAsia"/>
        </w:rPr>
        <w:t>人函证</w:t>
      </w:r>
      <w:proofErr w:type="gramEnd"/>
      <w:r>
        <w:rPr>
          <w:rFonts w:hint="eastAsia"/>
        </w:rPr>
        <w:t>，确认该类使用权的许可期限、许可范围、使用条件、许可费支付等相关条款的约定。</w:t>
      </w:r>
    </w:p>
    <w:p w14:paraId="436F0F5E" w14:textId="77777777" w:rsidR="00AA68F5" w:rsidRDefault="00AA68F5" w:rsidP="00AA68F5">
      <w:pPr>
        <w:pStyle w:val="13"/>
      </w:pPr>
      <w:r>
        <w:rPr>
          <w:rFonts w:hint="eastAsia"/>
        </w:rPr>
        <w:t>（四）如果评估对象没有取得知识产权权属文件，应当查验取得知识产权的相关证明文件以及合同等资料，并根据具体情况和重要性原则在评估报告中披露评估对象未办理产权证的原因、核查处理方法以及可能对评估结论产生的影响。</w:t>
      </w:r>
    </w:p>
    <w:p w14:paraId="16AD6C35" w14:textId="77777777" w:rsidR="00AA68F5" w:rsidRDefault="00AA68F5" w:rsidP="00AF7342">
      <w:pPr>
        <w:pStyle w:val="a9"/>
        <w:spacing w:before="62" w:after="62"/>
      </w:pPr>
      <w:r>
        <w:rPr>
          <w:rFonts w:hint="eastAsia"/>
        </w:rPr>
        <w:t>第二节</w:t>
      </w:r>
      <w:r>
        <w:t xml:space="preserve"> 财务会计信息资料</w:t>
      </w:r>
    </w:p>
    <w:p w14:paraId="161CE5AE" w14:textId="51842676" w:rsidR="00AA68F5" w:rsidRDefault="00E05BDA" w:rsidP="00AA68F5">
      <w:pPr>
        <w:pStyle w:val="13"/>
        <w:ind w:firstLine="482"/>
      </w:pPr>
      <w:r w:rsidRPr="00E05BDA">
        <w:rPr>
          <w:rFonts w:hint="eastAsia"/>
          <w:b/>
          <w:bCs/>
        </w:rPr>
        <w:t xml:space="preserve">第十六条 </w:t>
      </w:r>
      <w:r w:rsidR="00AA68F5">
        <w:t>财务会计信息资料通常包括：由委托人和其他相关当事人提供的已经审计的财务报表及其附注、未经审计的财务资料、会计凭证以及会计账簿等。</w:t>
      </w:r>
    </w:p>
    <w:p w14:paraId="6DA3EF11" w14:textId="0E003117" w:rsidR="00AA68F5" w:rsidRDefault="00E05BDA" w:rsidP="00AA68F5">
      <w:pPr>
        <w:pStyle w:val="13"/>
        <w:ind w:firstLine="482"/>
      </w:pPr>
      <w:r w:rsidRPr="00E05BDA">
        <w:rPr>
          <w:rFonts w:hint="eastAsia"/>
          <w:b/>
          <w:bCs/>
        </w:rPr>
        <w:t xml:space="preserve">第十七条 </w:t>
      </w:r>
      <w:r w:rsidR="00AA68F5">
        <w:t>资产评估专业人员采用询问、书面审查、复核等方式对已经审计的财务报表及其附注进行核查，应当了解出具审计报告的会计师事务所的执业资质和独立性。</w:t>
      </w:r>
    </w:p>
    <w:p w14:paraId="45175B7B" w14:textId="72F4905E" w:rsidR="00AA68F5" w:rsidRDefault="00E05BDA" w:rsidP="00AA68F5">
      <w:pPr>
        <w:pStyle w:val="13"/>
        <w:ind w:firstLine="482"/>
      </w:pPr>
      <w:r w:rsidRPr="00E05BDA">
        <w:rPr>
          <w:rFonts w:hint="eastAsia"/>
          <w:b/>
          <w:bCs/>
        </w:rPr>
        <w:t xml:space="preserve">第十八条 </w:t>
      </w:r>
      <w:r w:rsidR="00AA68F5">
        <w:t>资产评估专业人员采用询问、书面审查以及复核等方式对未经审计的财务资料进行核查，应当对财务报表变动趋势、财务指标构成比例进行分析，将财务报表各项目的数据与有关的账簿进行核对。根据重要性原则采用抽样方法对相关会计凭证进行查阅，结合对评估对象的调查结论或者其他文件、证明和资料的核查验证结论检查财务数据的一致性。</w:t>
      </w:r>
    </w:p>
    <w:p w14:paraId="2C1D64B6" w14:textId="52233B8A" w:rsidR="00AA68F5" w:rsidRDefault="00E05BDA" w:rsidP="00AA68F5">
      <w:pPr>
        <w:pStyle w:val="13"/>
        <w:ind w:firstLine="482"/>
      </w:pPr>
      <w:r w:rsidRPr="00E05BDA">
        <w:rPr>
          <w:rFonts w:hint="eastAsia"/>
          <w:b/>
          <w:bCs/>
        </w:rPr>
        <w:t xml:space="preserve">第十九条 </w:t>
      </w:r>
      <w:r w:rsidR="00AA68F5">
        <w:t>资产评估专业人员采用实地调查、书面审查等方式对现金、票据以及实物性资产等涉及的各类资料进行核查，应当将相关调查情况或者审查情况形成书面记录</w:t>
      </w:r>
      <w:r w:rsidR="00DA29FF">
        <w:t>，</w:t>
      </w:r>
      <w:r w:rsidR="00AA68F5">
        <w:t>由参与调查的资产评估专业人员、被评估单位的相关人员签字确认。</w:t>
      </w:r>
    </w:p>
    <w:p w14:paraId="7874CD7B" w14:textId="79F3FB12" w:rsidR="00AA68F5" w:rsidRDefault="00E05BDA" w:rsidP="009C1ACF">
      <w:pPr>
        <w:pStyle w:val="13"/>
        <w:ind w:firstLine="482"/>
      </w:pPr>
      <w:r w:rsidRPr="00E05BDA">
        <w:rPr>
          <w:rFonts w:hint="eastAsia"/>
          <w:b/>
          <w:bCs/>
        </w:rPr>
        <w:t xml:space="preserve">第二十条 </w:t>
      </w:r>
      <w:r w:rsidR="00AA68F5">
        <w:t>资产评估专业人员采用</w:t>
      </w:r>
      <w:proofErr w:type="gramStart"/>
      <w:r w:rsidR="00AA68F5">
        <w:t>函证方式</w:t>
      </w:r>
      <w:proofErr w:type="gramEnd"/>
      <w:r w:rsidR="00AA68F5">
        <w:t>对银行存款、异地存货、往来账款、交易性金融资产等涉及的各类资料进行核查的，对利用第三方机构</w:t>
      </w:r>
      <w:proofErr w:type="gramStart"/>
      <w:r w:rsidR="00AA68F5">
        <w:t>询证函结果</w:t>
      </w:r>
      <w:proofErr w:type="gramEnd"/>
      <w:r w:rsidR="00AA68F5">
        <w:t>的，应当记录取得第三方机构</w:t>
      </w:r>
      <w:proofErr w:type="gramStart"/>
      <w:r w:rsidR="00AA68F5">
        <w:t>函证结果</w:t>
      </w:r>
      <w:proofErr w:type="gramEnd"/>
      <w:r w:rsidR="00AA68F5">
        <w:t>的过程、分析该函</w:t>
      </w:r>
      <w:proofErr w:type="gramStart"/>
      <w:r w:rsidR="00AA68F5">
        <w:t>证行为</w:t>
      </w:r>
      <w:proofErr w:type="gramEnd"/>
      <w:r w:rsidR="00AA68F5">
        <w:t>的目的、</w:t>
      </w:r>
      <w:proofErr w:type="gramStart"/>
      <w:r w:rsidR="00AA68F5">
        <w:t>核实函证基准</w:t>
      </w:r>
      <w:proofErr w:type="gramEnd"/>
      <w:r w:rsidR="00AA68F5">
        <w:t>日、了解第三</w:t>
      </w:r>
      <w:r w:rsidR="00AA68F5">
        <w:rPr>
          <w:rFonts w:hint="eastAsia"/>
        </w:rPr>
        <w:t>方机构</w:t>
      </w:r>
      <w:proofErr w:type="gramStart"/>
      <w:r w:rsidR="00AA68F5">
        <w:rPr>
          <w:rFonts w:hint="eastAsia"/>
        </w:rPr>
        <w:t>对函证</w:t>
      </w:r>
      <w:proofErr w:type="gramEnd"/>
      <w:r w:rsidR="00AA68F5">
        <w:rPr>
          <w:rFonts w:hint="eastAsia"/>
        </w:rPr>
        <w:t>的控制措施等。无法获取上述信息的，应当实施替代程序并获取相关证据</w:t>
      </w:r>
      <w:r w:rsidR="00DA29FF">
        <w:rPr>
          <w:rFonts w:hint="eastAsia"/>
        </w:rPr>
        <w:t>，</w:t>
      </w:r>
      <w:r w:rsidR="00AA68F5">
        <w:t>对该函</w:t>
      </w:r>
      <w:proofErr w:type="gramStart"/>
      <w:r w:rsidR="00AA68F5">
        <w:t>证结果</w:t>
      </w:r>
      <w:proofErr w:type="gramEnd"/>
      <w:r w:rsidR="00AA68F5">
        <w:t>的可靠性进行分析判断。</w:t>
      </w:r>
    </w:p>
    <w:p w14:paraId="33FBDFB8" w14:textId="77777777" w:rsidR="00AA68F5" w:rsidRDefault="00AA68F5" w:rsidP="00AF7342">
      <w:pPr>
        <w:pStyle w:val="a9"/>
        <w:spacing w:before="62" w:after="62"/>
      </w:pPr>
      <w:r>
        <w:rPr>
          <w:rFonts w:hint="eastAsia"/>
        </w:rPr>
        <w:t>第三节</w:t>
      </w:r>
      <w:r>
        <w:t xml:space="preserve"> 其他相关资料</w:t>
      </w:r>
    </w:p>
    <w:p w14:paraId="60C26F62" w14:textId="6096CB5C" w:rsidR="00AA68F5" w:rsidRDefault="00E05BDA" w:rsidP="00AA68F5">
      <w:pPr>
        <w:pStyle w:val="13"/>
        <w:ind w:firstLine="482"/>
      </w:pPr>
      <w:r w:rsidRPr="00E05BDA">
        <w:rPr>
          <w:rFonts w:hint="eastAsia"/>
          <w:b/>
          <w:bCs/>
        </w:rPr>
        <w:t xml:space="preserve">第二十一条 </w:t>
      </w:r>
      <w:r w:rsidR="00AA68F5">
        <w:t>资产评估专业人员采用查询、查阅、核对等方式对询价资料、交易案例、检查记录、鉴定报告、行业资讯、政府文件等其他相关信息资料进行核查，应当将通过文献查阅以及查询相关网址信息等获取的结论形成书面记录。</w:t>
      </w:r>
    </w:p>
    <w:p w14:paraId="1E37DEC4" w14:textId="4D3C9D43" w:rsidR="00AA68F5" w:rsidRDefault="00E05BDA" w:rsidP="00AA68F5">
      <w:pPr>
        <w:pStyle w:val="13"/>
        <w:ind w:firstLine="482"/>
      </w:pPr>
      <w:r w:rsidRPr="00E05BDA">
        <w:rPr>
          <w:rFonts w:hint="eastAsia"/>
          <w:b/>
          <w:bCs/>
        </w:rPr>
        <w:lastRenderedPageBreak/>
        <w:t xml:space="preserve">第二十二条 </w:t>
      </w:r>
      <w:r w:rsidR="00AA68F5">
        <w:t>资产评估专业人员采用询问、书面审查以及复核等方式对其他专业机构提供的专业报告以及引用的单项资产评估报告进行核查，应当了解专业机构的业务范围、执业资质以及独立性，检查专业报告以及引用的单项资产评估报告出具的时效性</w:t>
      </w:r>
      <w:r w:rsidR="00DA29FF">
        <w:t>，</w:t>
      </w:r>
      <w:r w:rsidR="00AA68F5">
        <w:t>分析是否满足资产评估业务的需要。</w:t>
      </w:r>
    </w:p>
    <w:p w14:paraId="6069C8B6" w14:textId="5F00518E" w:rsidR="00AA68F5" w:rsidRDefault="00E05BDA" w:rsidP="00AA68F5">
      <w:pPr>
        <w:pStyle w:val="13"/>
        <w:ind w:firstLine="482"/>
      </w:pPr>
      <w:r w:rsidRPr="00E05BDA">
        <w:rPr>
          <w:rFonts w:hint="eastAsia"/>
          <w:b/>
          <w:bCs/>
        </w:rPr>
        <w:t xml:space="preserve">第二十三条 </w:t>
      </w:r>
      <w:r w:rsidR="00AA68F5">
        <w:t>资产评估专业人员采用书面审查、查询等方式对被评估单位对外担保进行核查，应当获取被评估单位出具有关对外担保事项声明以及担保合同、协议等资料</w:t>
      </w:r>
      <w:r w:rsidR="00DA29FF">
        <w:t>，</w:t>
      </w:r>
      <w:r w:rsidR="00AA68F5">
        <w:t>利用央行全国联网的企业征信系统进行查询。</w:t>
      </w:r>
    </w:p>
    <w:p w14:paraId="5545E135" w14:textId="44F21A9C" w:rsidR="00AA68F5" w:rsidRDefault="00E05BDA" w:rsidP="00AA68F5">
      <w:pPr>
        <w:pStyle w:val="13"/>
        <w:ind w:firstLine="482"/>
      </w:pPr>
      <w:r w:rsidRPr="00E05BDA">
        <w:rPr>
          <w:rFonts w:hint="eastAsia"/>
          <w:b/>
          <w:bCs/>
        </w:rPr>
        <w:t xml:space="preserve">第二十四条 </w:t>
      </w:r>
      <w:r w:rsidR="00AA68F5">
        <w:t>资产评估专业人员采用书面审查、查询、复核等方式对被评估单位涉及的诉讼、仲裁进行核查，应当查阅被评估单位出具的有关诉讼、仲裁事项声明书，并与公告或者网站披露的信息进行核对，以了解被评估单位诉讼、仲裁事项发生的背景、涉及的金额以及可能对评估结论产生的影响。</w:t>
      </w:r>
    </w:p>
    <w:p w14:paraId="71BAD263" w14:textId="66C9F79A" w:rsidR="00AA68F5" w:rsidRDefault="00E05BDA" w:rsidP="009C1ACF">
      <w:pPr>
        <w:pStyle w:val="13"/>
        <w:ind w:firstLine="482"/>
      </w:pPr>
      <w:r w:rsidRPr="00E05BDA">
        <w:rPr>
          <w:rFonts w:hint="eastAsia"/>
          <w:b/>
          <w:bCs/>
        </w:rPr>
        <w:t xml:space="preserve">第二十五条 </w:t>
      </w:r>
      <w:r w:rsidR="00AA68F5">
        <w:t>资产评估专业人员采用书面审查方式对被评估单位存在抵（质）押的资产进行核查，应当查阅被评估单位提供的抵（质）</w:t>
      </w:r>
      <w:proofErr w:type="gramStart"/>
      <w:r w:rsidR="00AA68F5">
        <w:t>押合同</w:t>
      </w:r>
      <w:proofErr w:type="gramEnd"/>
      <w:r w:rsidR="00AA68F5">
        <w:t>以及相关的主债权合同、抵</w:t>
      </w:r>
      <w:r w:rsidR="00AA68F5">
        <w:rPr>
          <w:rFonts w:hint="eastAsia"/>
        </w:rPr>
        <w:t>（质）</w:t>
      </w:r>
      <w:proofErr w:type="gramStart"/>
      <w:r w:rsidR="00AA68F5">
        <w:rPr>
          <w:rFonts w:hint="eastAsia"/>
        </w:rPr>
        <w:t>押资产</w:t>
      </w:r>
      <w:proofErr w:type="gramEnd"/>
      <w:r w:rsidR="00AA68F5">
        <w:rPr>
          <w:rFonts w:hint="eastAsia"/>
        </w:rPr>
        <w:t>清单以及说明。如果需要，可以向抵（质）</w:t>
      </w:r>
      <w:proofErr w:type="gramStart"/>
      <w:r w:rsidR="00AA68F5">
        <w:rPr>
          <w:rFonts w:hint="eastAsia"/>
        </w:rPr>
        <w:t>押单位</w:t>
      </w:r>
      <w:proofErr w:type="gramEnd"/>
      <w:r w:rsidR="00AA68F5">
        <w:rPr>
          <w:rFonts w:hint="eastAsia"/>
        </w:rPr>
        <w:t>进行查询。</w:t>
      </w:r>
    </w:p>
    <w:p w14:paraId="27261FDF" w14:textId="77777777" w:rsidR="00AA68F5" w:rsidRDefault="00AA68F5" w:rsidP="00AF7342">
      <w:pPr>
        <w:pStyle w:val="a9"/>
        <w:spacing w:before="62" w:after="62"/>
      </w:pPr>
      <w:r>
        <w:rPr>
          <w:rFonts w:hint="eastAsia"/>
        </w:rPr>
        <w:t>第四章</w:t>
      </w:r>
      <w:r>
        <w:t xml:space="preserve"> 企业价值评估中的核查验证</w:t>
      </w:r>
    </w:p>
    <w:p w14:paraId="7CA163E2" w14:textId="5181B839" w:rsidR="00AA68F5" w:rsidRDefault="00E05BDA" w:rsidP="00AA68F5">
      <w:pPr>
        <w:pStyle w:val="13"/>
        <w:ind w:firstLine="482"/>
      </w:pPr>
      <w:r w:rsidRPr="00E05BDA">
        <w:rPr>
          <w:rFonts w:hint="eastAsia"/>
          <w:b/>
          <w:bCs/>
        </w:rPr>
        <w:t xml:space="preserve">第二十六条 </w:t>
      </w:r>
      <w:r w:rsidR="00AA68F5">
        <w:t>企业价值</w:t>
      </w:r>
      <w:proofErr w:type="gramStart"/>
      <w:r w:rsidR="00AA68F5">
        <w:t>评估因</w:t>
      </w:r>
      <w:proofErr w:type="gramEnd"/>
      <w:r w:rsidR="00AA68F5">
        <w:t>企业类型和评估方法的不同，核查验证的对象和实施方式有所不同。</w:t>
      </w:r>
    </w:p>
    <w:p w14:paraId="5681C5F1" w14:textId="51D615C9" w:rsidR="00AA68F5" w:rsidRDefault="00E05BDA" w:rsidP="00AA68F5">
      <w:pPr>
        <w:pStyle w:val="13"/>
        <w:ind w:firstLine="482"/>
      </w:pPr>
      <w:r w:rsidRPr="00E05BDA">
        <w:rPr>
          <w:rFonts w:hint="eastAsia"/>
          <w:b/>
          <w:bCs/>
        </w:rPr>
        <w:t xml:space="preserve">第二十七条 </w:t>
      </w:r>
      <w:r w:rsidR="00AA68F5">
        <w:t>宏观经济资料、区域经济资料、行业现状和发展前景资料，来自政府部门、行业协会的，应当从有关权威发布平台取得，一般可以视为具有权威性，可以直接引用，但应当关注该类资料的时效性。</w:t>
      </w:r>
    </w:p>
    <w:p w14:paraId="2898B101" w14:textId="7C239301" w:rsidR="00AA68F5" w:rsidRDefault="00E05BDA" w:rsidP="009C1ACF">
      <w:pPr>
        <w:pStyle w:val="13"/>
        <w:ind w:firstLine="482"/>
      </w:pPr>
      <w:r w:rsidRPr="00E05BDA">
        <w:rPr>
          <w:rFonts w:hint="eastAsia"/>
          <w:b/>
          <w:bCs/>
        </w:rPr>
        <w:t xml:space="preserve">第二十八条 </w:t>
      </w:r>
      <w:r w:rsidR="00AA68F5">
        <w:t>资产评估专业人员采用书面审查、实地调查、查询等方式，对企业提供的投资协议、公司章程、公司制度、股权买卖协议或者回购协议等资料进行核查，应当</w:t>
      </w:r>
      <w:r w:rsidR="00AA68F5">
        <w:rPr>
          <w:rFonts w:hint="eastAsia"/>
        </w:rPr>
        <w:t>查看相关印章、签字是否清晰、完整，与企业管理层进行访谈，利用“国家企业信用信息公示系统”查询公开信息。如果需要，还可以到市场监督管理等政府部门查询相关资料。</w:t>
      </w:r>
    </w:p>
    <w:p w14:paraId="04CB4CE8" w14:textId="26F4420D" w:rsidR="00AA68F5" w:rsidRDefault="00E05BDA" w:rsidP="00AA68F5">
      <w:pPr>
        <w:pStyle w:val="13"/>
        <w:ind w:firstLine="482"/>
      </w:pPr>
      <w:r w:rsidRPr="00E05BDA">
        <w:rPr>
          <w:rFonts w:hint="eastAsia"/>
          <w:b/>
          <w:bCs/>
        </w:rPr>
        <w:t xml:space="preserve">第二十九条 </w:t>
      </w:r>
      <w:r w:rsidR="00AA68F5">
        <w:t>对于来自证券市场、产权交易市场等市场的资料进行核查验证，可以考虑的做法包括：</w:t>
      </w:r>
    </w:p>
    <w:p w14:paraId="06521615" w14:textId="77777777" w:rsidR="00AA68F5" w:rsidRDefault="00AA68F5" w:rsidP="00AA68F5">
      <w:pPr>
        <w:pStyle w:val="13"/>
      </w:pPr>
      <w:r>
        <w:rPr>
          <w:rFonts w:hint="eastAsia"/>
        </w:rPr>
        <w:t>（一）</w:t>
      </w:r>
      <w:r>
        <w:t xml:space="preserve"> 对于直接从上市公司年报获取的数据资料，由于该数据资料已经经过注册会计师审计，资产评估专业人员在进行必要分析调整后可以直接采用。</w:t>
      </w:r>
    </w:p>
    <w:p w14:paraId="5E691427" w14:textId="1625E724" w:rsidR="00E04C89" w:rsidRDefault="00AA68F5" w:rsidP="00AA68F5">
      <w:pPr>
        <w:pStyle w:val="13"/>
      </w:pPr>
      <w:r>
        <w:rPr>
          <w:rFonts w:hint="eastAsia"/>
        </w:rPr>
        <w:t>（二）</w:t>
      </w:r>
      <w:r>
        <w:t xml:space="preserve"> 对于来自不同资讯网站的数据或者研究成果，资产评估专业人员可以结合网站的知名度和权威性综合判断获取的数据或者研究成果的可靠性。对于从浏览量较少的网站获取的数据或者研究成果，必要时获取两个以上途径的有效数据，从而相互验证其可靠性。</w:t>
      </w:r>
    </w:p>
    <w:p w14:paraId="752088B6" w14:textId="17E9C59A" w:rsidR="000A4228" w:rsidRDefault="000A4228" w:rsidP="000A4228">
      <w:pPr>
        <w:pStyle w:val="31"/>
        <w:spacing w:before="156" w:after="62"/>
      </w:pPr>
      <w:bookmarkStart w:id="74" w:name="_Toc81833338"/>
      <w:r>
        <w:rPr>
          <w:rFonts w:hint="eastAsia"/>
        </w:rPr>
        <w:lastRenderedPageBreak/>
        <w:t>资产评估专家指引第</w:t>
      </w:r>
      <w:r>
        <w:t>9号</w:t>
      </w:r>
      <w:proofErr w:type="gramStart"/>
      <w:r>
        <w:t>—数据</w:t>
      </w:r>
      <w:proofErr w:type="gramEnd"/>
      <w:r>
        <w:t>资产评估（</w:t>
      </w:r>
      <w:proofErr w:type="gramStart"/>
      <w:r>
        <w:t>中评协</w:t>
      </w:r>
      <w:proofErr w:type="gramEnd"/>
      <w:r>
        <w:t>〔2019〕40号）</w:t>
      </w:r>
      <w:bookmarkEnd w:id="74"/>
    </w:p>
    <w:p w14:paraId="2C79778C" w14:textId="58A961FA" w:rsidR="000A4228" w:rsidRDefault="000A4228" w:rsidP="000A4228">
      <w:pPr>
        <w:pStyle w:val="13"/>
        <w:ind w:firstLineChars="0" w:firstLine="0"/>
      </w:pPr>
      <w:r>
        <w:t>各省、自治区、直辖市、计划单列市资产评估协会（注册会计师协会）：</w:t>
      </w:r>
    </w:p>
    <w:p w14:paraId="4AEBFACB" w14:textId="7C595C42" w:rsidR="000A4228" w:rsidRDefault="000A4228" w:rsidP="000A4228">
      <w:pPr>
        <w:pStyle w:val="13"/>
      </w:pPr>
      <w:r>
        <w:rPr>
          <w:rFonts w:hint="eastAsia"/>
        </w:rPr>
        <w:t>为指导资产评估机构及其资产评估专业人员执行数据资产评估业务，中国资产评估协会制定了《资产评估专家指引第</w:t>
      </w:r>
      <w:r>
        <w:t>9号—数据资产评估》，现予印发，</w:t>
      </w:r>
      <w:proofErr w:type="gramStart"/>
      <w:r>
        <w:t>供资产</w:t>
      </w:r>
      <w:proofErr w:type="gramEnd"/>
      <w:r>
        <w:t>评估机构及其资产评估专业人员执行数据资产评估业务时参考。</w:t>
      </w:r>
    </w:p>
    <w:p w14:paraId="5A011BC8" w14:textId="0B355055" w:rsidR="000A4228" w:rsidRDefault="000A4228" w:rsidP="000A4228">
      <w:pPr>
        <w:pStyle w:val="13"/>
      </w:pPr>
      <w:r>
        <w:rPr>
          <w:rFonts w:hint="eastAsia"/>
        </w:rPr>
        <w:t>请各地</w:t>
      </w:r>
      <w:proofErr w:type="gramStart"/>
      <w:r>
        <w:rPr>
          <w:rFonts w:hint="eastAsia"/>
        </w:rPr>
        <w:t>方协会</w:t>
      </w:r>
      <w:proofErr w:type="gramEnd"/>
      <w:r>
        <w:rPr>
          <w:rFonts w:hint="eastAsia"/>
        </w:rPr>
        <w:t>将《资产评估专家指引第</w:t>
      </w:r>
      <w:r>
        <w:t>9号—数据资产评估》及时转发资产评估机构。</w:t>
      </w:r>
    </w:p>
    <w:p w14:paraId="77939FEB" w14:textId="17578634" w:rsidR="000A4228" w:rsidRDefault="000A4228" w:rsidP="000A4228">
      <w:pPr>
        <w:pStyle w:val="13"/>
      </w:pPr>
      <w:r>
        <w:rPr>
          <w:rFonts w:hint="eastAsia"/>
        </w:rPr>
        <w:t>附件：资产评估专家指引第</w:t>
      </w:r>
      <w:r>
        <w:t>9号</w:t>
      </w:r>
      <w:proofErr w:type="gramStart"/>
      <w:r>
        <w:t>—数据</w:t>
      </w:r>
      <w:proofErr w:type="gramEnd"/>
      <w:r>
        <w:t>资产评估</w:t>
      </w:r>
    </w:p>
    <w:p w14:paraId="4CA7E6C5" w14:textId="77777777" w:rsidR="000A4228" w:rsidRDefault="000A4228" w:rsidP="000A4228">
      <w:pPr>
        <w:pStyle w:val="13"/>
        <w:jc w:val="right"/>
      </w:pPr>
      <w:r>
        <w:rPr>
          <w:rFonts w:hint="eastAsia"/>
        </w:rPr>
        <w:t>中国资产评估协会</w:t>
      </w:r>
    </w:p>
    <w:p w14:paraId="5A4B9C95" w14:textId="67BDA1E6" w:rsidR="00E04C89" w:rsidRDefault="000A4228" w:rsidP="000A4228">
      <w:pPr>
        <w:pStyle w:val="13"/>
        <w:jc w:val="right"/>
      </w:pPr>
      <w:r>
        <w:t>2019</w:t>
      </w:r>
      <w:r w:rsidR="003068F8">
        <w:t>年</w:t>
      </w:r>
      <w:r>
        <w:t>12</w:t>
      </w:r>
      <w:r w:rsidR="003068F8">
        <w:t>月</w:t>
      </w:r>
      <w:r>
        <w:t>31</w:t>
      </w:r>
      <w:r w:rsidR="003068F8">
        <w:t>日</w:t>
      </w:r>
    </w:p>
    <w:p w14:paraId="7BD2CCE7" w14:textId="6BC1940B" w:rsidR="000A4228" w:rsidRDefault="000A4228" w:rsidP="00AF7342">
      <w:pPr>
        <w:pStyle w:val="a9"/>
        <w:spacing w:before="62" w:after="62"/>
      </w:pPr>
      <w:r>
        <w:rPr>
          <w:rFonts w:hint="eastAsia"/>
        </w:rPr>
        <w:t>资产评估专家指引第</w:t>
      </w:r>
      <w:r>
        <w:t>9号</w:t>
      </w:r>
      <w:proofErr w:type="gramStart"/>
      <w:r>
        <w:t>—</w:t>
      </w:r>
      <w:r>
        <w:rPr>
          <w:rFonts w:hint="eastAsia"/>
        </w:rPr>
        <w:t>数据</w:t>
      </w:r>
      <w:proofErr w:type="gramEnd"/>
      <w:r>
        <w:rPr>
          <w:rFonts w:hint="eastAsia"/>
        </w:rPr>
        <w:t>资产评估</w:t>
      </w:r>
    </w:p>
    <w:p w14:paraId="38379CEB" w14:textId="35535916" w:rsidR="000A4228" w:rsidRDefault="000A4228" w:rsidP="000A4228">
      <w:pPr>
        <w:pStyle w:val="13"/>
      </w:pPr>
      <w:proofErr w:type="gramStart"/>
      <w:r>
        <w:rPr>
          <w:rFonts w:hint="eastAsia"/>
        </w:rPr>
        <w:t>本专家</w:t>
      </w:r>
      <w:proofErr w:type="gramEnd"/>
      <w:r>
        <w:rPr>
          <w:rFonts w:hint="eastAsia"/>
        </w:rPr>
        <w:t>指引是一种专家建议。评估机构执行资产评估业务，可以参照</w:t>
      </w:r>
      <w:proofErr w:type="gramStart"/>
      <w:r>
        <w:rPr>
          <w:rFonts w:hint="eastAsia"/>
        </w:rPr>
        <w:t>本专家</w:t>
      </w:r>
      <w:proofErr w:type="gramEnd"/>
      <w:r>
        <w:rPr>
          <w:rFonts w:hint="eastAsia"/>
        </w:rPr>
        <w:t>指引</w:t>
      </w:r>
      <w:r w:rsidR="00DA29FF">
        <w:rPr>
          <w:rFonts w:hint="eastAsia"/>
        </w:rPr>
        <w:t>，</w:t>
      </w:r>
      <w:r>
        <w:t>也可以根据具体情况采用其他适当的做法。中国资产评估协会将根据业务发展，对</w:t>
      </w:r>
      <w:proofErr w:type="gramStart"/>
      <w:r>
        <w:t>本专家</w:t>
      </w:r>
      <w:proofErr w:type="gramEnd"/>
      <w:r>
        <w:t>指引进行更新。</w:t>
      </w:r>
    </w:p>
    <w:p w14:paraId="60630D6F" w14:textId="43023B6B" w:rsidR="000A4228" w:rsidRDefault="000A4228" w:rsidP="00AF7342">
      <w:pPr>
        <w:pStyle w:val="a9"/>
        <w:spacing w:before="62" w:after="62"/>
      </w:pPr>
      <w:r>
        <w:rPr>
          <w:rFonts w:hint="eastAsia"/>
        </w:rPr>
        <w:t>第一章</w:t>
      </w:r>
      <w:r>
        <w:t xml:space="preserve"> 引言</w:t>
      </w:r>
    </w:p>
    <w:p w14:paraId="53073443" w14:textId="3DB6F657" w:rsidR="000A4228" w:rsidRDefault="004E3EBB" w:rsidP="000A4228">
      <w:pPr>
        <w:pStyle w:val="13"/>
        <w:ind w:firstLine="482"/>
      </w:pPr>
      <w:r w:rsidRPr="004E3EBB">
        <w:rPr>
          <w:rFonts w:hint="eastAsia"/>
          <w:b/>
        </w:rPr>
        <w:t xml:space="preserve">第一条 </w:t>
      </w:r>
      <w:r w:rsidR="000A4228">
        <w:t>针对数据资产特点，结合目前实际操作中的部分难点和要点，中国资产评估协会组织制定了</w:t>
      </w:r>
      <w:proofErr w:type="gramStart"/>
      <w:r w:rsidR="000A4228">
        <w:t>本专家</w:t>
      </w:r>
      <w:proofErr w:type="gramEnd"/>
      <w:r w:rsidR="000A4228">
        <w:t>指引。</w:t>
      </w:r>
    </w:p>
    <w:p w14:paraId="566CDF7B" w14:textId="0F67CF10" w:rsidR="000A4228" w:rsidRDefault="004E3EBB" w:rsidP="000A4228">
      <w:pPr>
        <w:pStyle w:val="13"/>
        <w:ind w:firstLine="482"/>
      </w:pPr>
      <w:r w:rsidRPr="004E3EBB">
        <w:rPr>
          <w:rFonts w:hint="eastAsia"/>
          <w:b/>
        </w:rPr>
        <w:t xml:space="preserve">第二条 </w:t>
      </w:r>
      <w:proofErr w:type="gramStart"/>
      <w:r w:rsidR="000A4228">
        <w:t>本专家指引所指数</w:t>
      </w:r>
      <w:proofErr w:type="gramEnd"/>
      <w:r w:rsidR="000A4228">
        <w:t>据资产是由特定主体合法拥有或者控制，能持续发挥作用并且能带来直接或者间接经济利益的数据资源。</w:t>
      </w:r>
    </w:p>
    <w:p w14:paraId="29C6562A" w14:textId="12CBD658" w:rsidR="000A4228" w:rsidRDefault="004E3EBB" w:rsidP="000A4228">
      <w:pPr>
        <w:pStyle w:val="13"/>
        <w:ind w:firstLine="482"/>
      </w:pPr>
      <w:r w:rsidRPr="004E3EBB">
        <w:rPr>
          <w:rFonts w:hint="eastAsia"/>
          <w:b/>
        </w:rPr>
        <w:t xml:space="preserve">第三条 </w:t>
      </w:r>
      <w:proofErr w:type="gramStart"/>
      <w:r w:rsidR="000A4228">
        <w:t>本专家指引所指数</w:t>
      </w:r>
      <w:proofErr w:type="gramEnd"/>
      <w:r w:rsidR="000A4228">
        <w:t>据资产评估，是资产评估机构及其资产评估专业人员遵守法律、行政法规和资产评估准则，接受委托对评估基准日特定目的下的数据资产价值进行评定和估算，并出具资产评估报告的专业服务行为。</w:t>
      </w:r>
    </w:p>
    <w:p w14:paraId="38E452FD" w14:textId="77777777" w:rsidR="000A4228" w:rsidRDefault="000A4228" w:rsidP="00AF7342">
      <w:pPr>
        <w:pStyle w:val="a9"/>
        <w:spacing w:before="62" w:after="62"/>
      </w:pPr>
      <w:r>
        <w:rPr>
          <w:rFonts w:hint="eastAsia"/>
        </w:rPr>
        <w:t>第二章</w:t>
      </w:r>
      <w:r>
        <w:t xml:space="preserve"> 评估对象</w:t>
      </w:r>
    </w:p>
    <w:p w14:paraId="2A508390" w14:textId="36A50694" w:rsidR="000A4228" w:rsidRDefault="004E3EBB" w:rsidP="000A4228">
      <w:pPr>
        <w:pStyle w:val="13"/>
        <w:ind w:firstLine="482"/>
      </w:pPr>
      <w:r w:rsidRPr="004E3EBB">
        <w:rPr>
          <w:rFonts w:hint="eastAsia"/>
          <w:b/>
        </w:rPr>
        <w:t xml:space="preserve">第四条 </w:t>
      </w:r>
      <w:r w:rsidR="000A4228">
        <w:t>数据资产的基本状况通常包括：数据名称、数据来源、数据规模、产生时间、更新时间、数据类型、呈现形式、时效性、应用范围等。执行数据资产评估业务时</w:t>
      </w:r>
      <w:r w:rsidR="00DA29FF">
        <w:t>，</w:t>
      </w:r>
      <w:r w:rsidR="000A4228">
        <w:t>资产评估专业人员可以通过委托人提供、相关当事人提供、自主收集等方式获取数据资产的基本状况。</w:t>
      </w:r>
    </w:p>
    <w:p w14:paraId="6DD3E202" w14:textId="7BC7E062" w:rsidR="000A4228" w:rsidRDefault="004E3EBB" w:rsidP="000A4228">
      <w:pPr>
        <w:pStyle w:val="13"/>
        <w:ind w:firstLine="482"/>
      </w:pPr>
      <w:r w:rsidRPr="004E3EBB">
        <w:rPr>
          <w:rFonts w:hint="eastAsia"/>
          <w:b/>
        </w:rPr>
        <w:t xml:space="preserve">第五条 </w:t>
      </w:r>
      <w:r w:rsidR="000A4228">
        <w:t>数据资产的基本特征通常包括：非实体性、依托性、多样性、可加工性、价值易变性等。通过对数据资产基本特征的了解，可以帮助资产评估专业人员分析基本特征对数据资产价值评估的影响。</w:t>
      </w:r>
    </w:p>
    <w:p w14:paraId="7492577E" w14:textId="77777777" w:rsidR="000A4228" w:rsidRDefault="000A4228" w:rsidP="000A4228">
      <w:pPr>
        <w:pStyle w:val="13"/>
      </w:pPr>
      <w:r>
        <w:rPr>
          <w:rFonts w:hint="eastAsia"/>
        </w:rPr>
        <w:t>（一）非实体性：数据资产无实物形态，虽然需要依托实物载体，但决定数据资产价值的是数据本身。数据的非实体性导致了数据的无消耗性，即数据不会因为使用频率的增加而磨损、消耗。这一点与其他传统无形资产相似。</w:t>
      </w:r>
    </w:p>
    <w:p w14:paraId="2D3364DA" w14:textId="77777777" w:rsidR="000A4228" w:rsidRDefault="000A4228" w:rsidP="000A4228">
      <w:pPr>
        <w:pStyle w:val="13"/>
      </w:pPr>
      <w:r>
        <w:rPr>
          <w:rFonts w:hint="eastAsia"/>
        </w:rPr>
        <w:lastRenderedPageBreak/>
        <w:t>（二）依托性：数据必须存储在一定的介质里。介质的种类多种多样，例如，纸、磁盘、磁带、光盘、硬盘等，甚至可以是化学介质或者生物介质。同一数据可以以不同形式同时存在于多种介质。</w:t>
      </w:r>
    </w:p>
    <w:p w14:paraId="27B0BE36" w14:textId="1E23F481" w:rsidR="000A4228" w:rsidRDefault="000A4228" w:rsidP="000A4228">
      <w:pPr>
        <w:pStyle w:val="13"/>
      </w:pPr>
      <w:r>
        <w:rPr>
          <w:rFonts w:hint="eastAsia"/>
        </w:rPr>
        <w:t>（三）多样性：数据的表现形式多种多样，可以是数字、表格、图像、声音、视频、文字、光电信号、化学反应、甚至是生物信息等。数据资产的多样性，还表现在数据与数据处理技术的融合，形成融合形态数据资产。例如，数据库技术与数据，数字媒体与数字制作特技等融合产生的数据资产。多样的信息可以通过不同的方法进行互相转换</w:t>
      </w:r>
      <w:r w:rsidR="00DA29FF">
        <w:rPr>
          <w:rFonts w:hint="eastAsia"/>
        </w:rPr>
        <w:t>，</w:t>
      </w:r>
      <w:r>
        <w:t>从而满足不同数据消费者的需求。该多样性表现在数据消费者上，则是使用方式的不确定性。不同数据类型拥有不同的处理方式，同一数据资产也可以有多种使用方式。</w:t>
      </w:r>
    </w:p>
    <w:p w14:paraId="67BAF018" w14:textId="77777777" w:rsidR="000A4228" w:rsidRDefault="000A4228" w:rsidP="000A4228">
      <w:pPr>
        <w:pStyle w:val="13"/>
      </w:pPr>
      <w:r>
        <w:rPr>
          <w:rFonts w:hint="eastAsia"/>
        </w:rPr>
        <w:t>数据应用的不确定性，导致数据资产的价值变化波动较大。</w:t>
      </w:r>
    </w:p>
    <w:p w14:paraId="0999ADA7" w14:textId="77777777" w:rsidR="000A4228" w:rsidRDefault="000A4228" w:rsidP="000A4228">
      <w:pPr>
        <w:pStyle w:val="13"/>
      </w:pPr>
      <w:r>
        <w:rPr>
          <w:rFonts w:hint="eastAsia"/>
        </w:rPr>
        <w:t>（四）可加工性：数据可以被维护、更新、补充，增加数据量；也可以被删除、合并、归集，消除冗余；还可以被分析、提炼、挖掘，加工得到更深层次的数据资源。</w:t>
      </w:r>
    </w:p>
    <w:p w14:paraId="67A7867B" w14:textId="77777777" w:rsidR="000A4228" w:rsidRDefault="000A4228" w:rsidP="000A4228">
      <w:pPr>
        <w:pStyle w:val="13"/>
      </w:pPr>
      <w:r>
        <w:rPr>
          <w:rFonts w:hint="eastAsia"/>
        </w:rPr>
        <w:t>（五）价值易变性：数据资产的价值受多种不同因素影响，这些因素随时间的推移不断变化，某些数据当前看来可能没有价值，但随着时代进步可能会产生更大的价值。</w:t>
      </w:r>
    </w:p>
    <w:p w14:paraId="20DEF9F9" w14:textId="78065A61" w:rsidR="000A4228" w:rsidRDefault="000A4228" w:rsidP="000A4228">
      <w:pPr>
        <w:pStyle w:val="13"/>
      </w:pPr>
      <w:r>
        <w:rPr>
          <w:rFonts w:hint="eastAsia"/>
        </w:rPr>
        <w:t>另外，随着技术的进步或者同类数据库的发展，可能会导致数据资产出现无形损耗</w:t>
      </w:r>
      <w:r w:rsidR="00DA29FF">
        <w:rPr>
          <w:rFonts w:hint="eastAsia"/>
        </w:rPr>
        <w:t>，</w:t>
      </w:r>
      <w:r>
        <w:t>表现为价值降低。</w:t>
      </w:r>
    </w:p>
    <w:p w14:paraId="25287E68" w14:textId="42AFD273" w:rsidR="000A4228" w:rsidRDefault="004E3EBB" w:rsidP="000A4228">
      <w:pPr>
        <w:pStyle w:val="13"/>
        <w:ind w:firstLine="482"/>
      </w:pPr>
      <w:r w:rsidRPr="004E3EBB">
        <w:rPr>
          <w:rFonts w:hint="eastAsia"/>
          <w:b/>
        </w:rPr>
        <w:t xml:space="preserve">第六条 </w:t>
      </w:r>
      <w:r w:rsidR="000A4228">
        <w:t>数据资产的价值影响因素包括技术因素、数据容量、数据价值密度、数据应用的商业模式和其他因素。</w:t>
      </w:r>
    </w:p>
    <w:p w14:paraId="1D86110F" w14:textId="77777777" w:rsidR="000A4228" w:rsidRDefault="000A4228" w:rsidP="000A4228">
      <w:pPr>
        <w:pStyle w:val="13"/>
      </w:pPr>
      <w:r>
        <w:rPr>
          <w:rFonts w:hint="eastAsia"/>
        </w:rPr>
        <w:t>其中技术因素通常包括数据获取、数据存储、数据加工、数据挖掘、数据保护、数据共享等。</w:t>
      </w:r>
    </w:p>
    <w:p w14:paraId="3B49258C" w14:textId="55D8D2E5" w:rsidR="000A4228" w:rsidRDefault="004E3EBB" w:rsidP="000A4228">
      <w:pPr>
        <w:pStyle w:val="13"/>
        <w:ind w:firstLine="482"/>
      </w:pPr>
      <w:r w:rsidRPr="004E3EBB">
        <w:rPr>
          <w:rFonts w:hint="eastAsia"/>
          <w:b/>
        </w:rPr>
        <w:t xml:space="preserve">第七条 </w:t>
      </w:r>
      <w:r w:rsidR="000A4228">
        <w:t>数据资产可以按照数据应用所在的行业进行划分，不同行业的数据资产具有不同的特征，这些特征可能会对数据资产的价值产生较大的影响。以下列举的是部分行业数据资产的特征。</w:t>
      </w:r>
    </w:p>
    <w:p w14:paraId="00322F13" w14:textId="77777777" w:rsidR="000A4228" w:rsidRDefault="000A4228" w:rsidP="000A4228">
      <w:pPr>
        <w:pStyle w:val="13"/>
      </w:pPr>
      <w:r>
        <w:rPr>
          <w:rFonts w:hint="eastAsia"/>
        </w:rPr>
        <w:t>（一）金融行业数据资产的特征通常包括：</w:t>
      </w:r>
    </w:p>
    <w:p w14:paraId="20449CC2" w14:textId="3F765F48" w:rsidR="000A4228" w:rsidRDefault="000A4228" w:rsidP="000A4228">
      <w:pPr>
        <w:pStyle w:val="13"/>
      </w:pPr>
      <w:r>
        <w:t>1.高效性：金融数据资产的高效性体现在能够提高金融系统运行效率，降低系统运行成本和维护成本，为数据库终端拥有人带来超额利润。数据库终端以科学技术为核心</w:t>
      </w:r>
      <w:r w:rsidR="00DA29FF">
        <w:t>，</w:t>
      </w:r>
      <w:r>
        <w:t>不断进步的技术可以降低数据库终端的维护成本。</w:t>
      </w:r>
    </w:p>
    <w:p w14:paraId="033E8271" w14:textId="3B32359B" w:rsidR="000A4228" w:rsidRDefault="000A4228" w:rsidP="000A4228">
      <w:pPr>
        <w:pStyle w:val="13"/>
      </w:pPr>
      <w:r>
        <w:t>2.风险性：金融数据资产的风险性主要包括研发风险和收益风险。研发风险是指在研究开发过程中，研究开发方虽然作了最大限度努力，但由于现有的认识水平、技术水平、科学知识以及其他现有条件的限制，仍然发生了无法预见、无法克服的技术困难</w:t>
      </w:r>
      <w:r w:rsidR="00DA29FF">
        <w:t>，</w:t>
      </w:r>
      <w:r>
        <w:t>导致研究开发全部或者部分失败，因而引起的财产上的风险；数据库终端是在经历一系列研发失败之后的阶段性成果，研发失败的支出作为费用处理，账面的资产</w:t>
      </w:r>
      <w:r>
        <w:lastRenderedPageBreak/>
        <w:t>价值与研发成本具有弱对应性。金融数据资产的收益风险是指数据库终端的经济寿命受技术进步和市场不确定性因素的影响较大，竞争对手新开发或者升级的数</w:t>
      </w:r>
      <w:r>
        <w:rPr>
          <w:rFonts w:hint="eastAsia"/>
        </w:rPr>
        <w:t>据库终端有可能使得权利人的该项资产价值下降。</w:t>
      </w:r>
    </w:p>
    <w:p w14:paraId="10A6A699" w14:textId="69E316C4" w:rsidR="000A4228" w:rsidRDefault="000A4228" w:rsidP="00DA29FF">
      <w:pPr>
        <w:pStyle w:val="13"/>
      </w:pPr>
      <w:r>
        <w:t>3.共益性：金融数据资产的</w:t>
      </w:r>
      <w:proofErr w:type="gramStart"/>
      <w:r>
        <w:t>共益性是</w:t>
      </w:r>
      <w:proofErr w:type="gramEnd"/>
      <w:r>
        <w:t>指数据库终端可以在同一时间不同地点由不同的主体同时使用。例如，数据库终端有不同的账号和密码，不同的个人账号和密码可以</w:t>
      </w:r>
      <w:r>
        <w:rPr>
          <w:rFonts w:hint="eastAsia"/>
        </w:rPr>
        <w:t>同时登录使用，机构的同一个账号和密码也可以同时由机构内不同人员登录使用。</w:t>
      </w:r>
    </w:p>
    <w:p w14:paraId="6451E757" w14:textId="77777777" w:rsidR="000A4228" w:rsidRDefault="000A4228" w:rsidP="000A4228">
      <w:pPr>
        <w:pStyle w:val="13"/>
      </w:pPr>
      <w:r>
        <w:rPr>
          <w:rFonts w:hint="eastAsia"/>
        </w:rPr>
        <w:t>（二）电信行业数据资产的特征通常包括：</w:t>
      </w:r>
    </w:p>
    <w:p w14:paraId="3524D171" w14:textId="47ED4E1F" w:rsidR="000A4228" w:rsidRDefault="000A4228" w:rsidP="000A4228">
      <w:pPr>
        <w:pStyle w:val="13"/>
      </w:pPr>
      <w:r>
        <w:t>1.关联性：电信行业数据几乎承载了用户所有的通信行为，并且数据之间存在着天然的关联基因。</w:t>
      </w:r>
    </w:p>
    <w:p w14:paraId="6083B7E9" w14:textId="662CE743" w:rsidR="000A4228" w:rsidRDefault="000A4228" w:rsidP="000A4228">
      <w:pPr>
        <w:pStyle w:val="13"/>
      </w:pPr>
      <w:r>
        <w:t>2.复杂性：电信行业数据不仅包括结构化数据，也包括非结构化数据以及混合结构数据。</w:t>
      </w:r>
    </w:p>
    <w:p w14:paraId="38335A02" w14:textId="77777777" w:rsidR="000A4228" w:rsidRDefault="000A4228" w:rsidP="000A4228">
      <w:pPr>
        <w:pStyle w:val="13"/>
      </w:pPr>
      <w:r>
        <w:rPr>
          <w:rFonts w:hint="eastAsia"/>
        </w:rPr>
        <w:t>（三）政府数据资产的特征通常包括：数量庞大，领域广泛，异构性强。政府数据跨越了农业、气候、教育、能源、金融、地理空间、全球发展、医疗卫生、工作就业、公共安全、科学研究、气象气候等领域。这些来源广泛、数量巨大、非结构化的异质数据，增加了政府管理的难度。</w:t>
      </w:r>
    </w:p>
    <w:p w14:paraId="2510DBF0" w14:textId="77777777" w:rsidR="000A4228" w:rsidRDefault="000A4228" w:rsidP="000A4228">
      <w:pPr>
        <w:pStyle w:val="13"/>
      </w:pPr>
      <w:r>
        <w:rPr>
          <w:rFonts w:hint="eastAsia"/>
        </w:rPr>
        <w:t>数据资产对政府公共管理的潜在利用价值大。尽管数据资产能在各个领域显著提高创新力、竞争力和产出率，但对于不同部门而言，数据资产所带来的收益程度不同。政府数据资产的构成和特点分析表明，政府在数据占有方面具有天然的优势。占有巨量数据是从数据中挖掘出巨大价值的前提，但由于政府数据资产来自于横向的不同部门或者管理领域以及纵向的不同层级，其数据资产管理面临着巨大的难度，这一难度既有数据资产及其技术发展方面的障碍，也有政府组织之间相互独立的限制和</w:t>
      </w:r>
      <w:proofErr w:type="gramStart"/>
      <w:r>
        <w:rPr>
          <w:rFonts w:hint="eastAsia"/>
        </w:rPr>
        <w:t>跨职能</w:t>
      </w:r>
      <w:proofErr w:type="gramEnd"/>
      <w:r>
        <w:rPr>
          <w:rFonts w:hint="eastAsia"/>
        </w:rPr>
        <w:t>部门交流的障碍。</w:t>
      </w:r>
    </w:p>
    <w:p w14:paraId="12D25E88" w14:textId="74B12C00" w:rsidR="000A4228" w:rsidRDefault="004E3EBB" w:rsidP="000A4228">
      <w:pPr>
        <w:pStyle w:val="13"/>
        <w:ind w:firstLine="482"/>
      </w:pPr>
      <w:r w:rsidRPr="004E3EBB">
        <w:rPr>
          <w:rFonts w:hint="eastAsia"/>
          <w:b/>
        </w:rPr>
        <w:t xml:space="preserve">第八条 </w:t>
      </w:r>
      <w:r w:rsidR="000A4228">
        <w:t>相同的数据资产，由于其应用领域、使用方法、获利方式的不同，会造成其价值差异。因此对数据资产商业模式的关注，可以帮助资产评估专业人员了解数据资产活动获取收益的方式。目前以数据资产为核心的商业模式主要有：</w:t>
      </w:r>
    </w:p>
    <w:p w14:paraId="2B8140CE" w14:textId="77777777" w:rsidR="000A4228" w:rsidRDefault="000A4228" w:rsidP="000A4228">
      <w:pPr>
        <w:pStyle w:val="13"/>
      </w:pPr>
      <w:r>
        <w:rPr>
          <w:rFonts w:hint="eastAsia"/>
        </w:rPr>
        <w:t>（一）提供数据服务模式：该模式的企业主营业务为出售经广泛收集、精心过滤的时效性强的数据，为用户提供各种商业机会。</w:t>
      </w:r>
    </w:p>
    <w:p w14:paraId="189FD78F" w14:textId="77777777" w:rsidR="000A4228" w:rsidRDefault="000A4228" w:rsidP="000A4228">
      <w:pPr>
        <w:pStyle w:val="13"/>
      </w:pPr>
      <w:r>
        <w:rPr>
          <w:rFonts w:hint="eastAsia"/>
        </w:rPr>
        <w:t>（二）提供信息服务模式：该模式的企业聚焦某个行业，通过广泛收集相关数据、深度整合萃取信息，以庞大的数据中心加上专用的数据终端，形成数据采集、信息萃取、价值传递的完整链条，通过为用户提供信息服务的形式获利。</w:t>
      </w:r>
    </w:p>
    <w:p w14:paraId="471D4FAE" w14:textId="2C48CAC2" w:rsidR="000A4228" w:rsidRDefault="000A4228" w:rsidP="000A4228">
      <w:pPr>
        <w:pStyle w:val="13"/>
      </w:pPr>
      <w:r>
        <w:rPr>
          <w:rFonts w:hint="eastAsia"/>
        </w:rPr>
        <w:t>（三）数字媒体模式：数字媒体公司通过多媒体服务，面向个体，广泛搜集数据</w:t>
      </w:r>
      <w:r w:rsidR="00DA29FF">
        <w:rPr>
          <w:rFonts w:hint="eastAsia"/>
        </w:rPr>
        <w:t>，</w:t>
      </w:r>
      <w:r>
        <w:t>发挥数据技术的预测能力，开展精准的自营业务和第三</w:t>
      </w:r>
      <w:proofErr w:type="gramStart"/>
      <w:r>
        <w:t>方推广</w:t>
      </w:r>
      <w:proofErr w:type="gramEnd"/>
      <w:r>
        <w:t>营销业务。</w:t>
      </w:r>
    </w:p>
    <w:p w14:paraId="198C1CDF" w14:textId="63B0D818" w:rsidR="000A4228" w:rsidRDefault="000A4228" w:rsidP="00DA29FF">
      <w:pPr>
        <w:pStyle w:val="13"/>
      </w:pPr>
      <w:r>
        <w:rPr>
          <w:rFonts w:hint="eastAsia"/>
        </w:rPr>
        <w:t>（四）数据资产服务模式：通过提供软件和硬件等技术开发服务，根据用户需求，</w:t>
      </w:r>
      <w:r>
        <w:rPr>
          <w:rFonts w:hint="eastAsia"/>
        </w:rPr>
        <w:lastRenderedPageBreak/>
        <w:t>从指导、安全认证、应用开发和数据表设计等方面提供全方位数据开发和运行保障服务</w:t>
      </w:r>
      <w:r w:rsidR="00DA29FF">
        <w:rPr>
          <w:rFonts w:hint="eastAsia"/>
        </w:rPr>
        <w:t>，</w:t>
      </w:r>
      <w:r>
        <w:t>满足用户业务需求，提升客户营运能力。并通过评估数据集群运行状态优化运行方案</w:t>
      </w:r>
      <w:r w:rsidR="00DA29FF">
        <w:t>，</w:t>
      </w:r>
      <w:r>
        <w:t>以充分发挥客户数据资产的使用价值，帮助客户将数据资产转化为实际的生产力。</w:t>
      </w:r>
    </w:p>
    <w:p w14:paraId="2F3C6696" w14:textId="77777777" w:rsidR="000A4228" w:rsidRDefault="000A4228" w:rsidP="000A4228">
      <w:pPr>
        <w:pStyle w:val="13"/>
      </w:pPr>
      <w:r>
        <w:rPr>
          <w:rFonts w:hint="eastAsia"/>
        </w:rPr>
        <w:t>（五）数据空间运营模式：该模式的企业主要为第三方提供专业的数据存储服务业</w:t>
      </w:r>
    </w:p>
    <w:p w14:paraId="3B385E96" w14:textId="77777777" w:rsidR="000A4228" w:rsidRDefault="000A4228" w:rsidP="000A4228">
      <w:pPr>
        <w:pStyle w:val="13"/>
      </w:pPr>
      <w:proofErr w:type="gramStart"/>
      <w:r>
        <w:rPr>
          <w:rFonts w:hint="eastAsia"/>
        </w:rPr>
        <w:t>务</w:t>
      </w:r>
      <w:proofErr w:type="gramEnd"/>
      <w:r>
        <w:rPr>
          <w:rFonts w:hint="eastAsia"/>
        </w:rPr>
        <w:t>。</w:t>
      </w:r>
    </w:p>
    <w:p w14:paraId="7C916F03" w14:textId="77777777" w:rsidR="000A4228" w:rsidRDefault="000A4228" w:rsidP="000A4228">
      <w:pPr>
        <w:pStyle w:val="13"/>
      </w:pPr>
      <w:r>
        <w:rPr>
          <w:rFonts w:hint="eastAsia"/>
        </w:rPr>
        <w:t>（六）数据资产技术服务模式：该模式的企业为第三方提供开发数据资产所需的应用技术和技术支持作为商业模式。</w:t>
      </w:r>
    </w:p>
    <w:p w14:paraId="725CD414" w14:textId="77777777" w:rsidR="000A4228" w:rsidRDefault="000A4228" w:rsidP="000A4228">
      <w:pPr>
        <w:pStyle w:val="13"/>
      </w:pPr>
      <w:r>
        <w:rPr>
          <w:rFonts w:hint="eastAsia"/>
        </w:rPr>
        <w:t>例如，提供数据管理以及处理技术、多媒体编解码技术，语音语义识别技术，数据传输与控制技术等。</w:t>
      </w:r>
    </w:p>
    <w:p w14:paraId="6E40E532" w14:textId="5190B666" w:rsidR="000A4228" w:rsidRDefault="00E05BDA" w:rsidP="000A4228">
      <w:pPr>
        <w:pStyle w:val="13"/>
        <w:ind w:firstLine="482"/>
      </w:pPr>
      <w:r w:rsidRPr="00E05BDA">
        <w:rPr>
          <w:rFonts w:hint="eastAsia"/>
          <w:b/>
        </w:rPr>
        <w:t xml:space="preserve">第九条 </w:t>
      </w:r>
      <w:r w:rsidR="000A4228">
        <w:t>数据资产的法律因素通常包括数据资产的权利属性以及权利限制、数据资产的保护方式等。关注数据资产所有权的具体形式、以往使用和转让的情况对数据资产价值的影响、数据资产的历史诉讼情况等法律因素情况，可以帮助评估专业人员判断法律因素对数据资产价值的影响程度。</w:t>
      </w:r>
    </w:p>
    <w:p w14:paraId="4AA59896" w14:textId="1E934282" w:rsidR="000A4228" w:rsidRDefault="00E05BDA" w:rsidP="000A4228">
      <w:pPr>
        <w:pStyle w:val="13"/>
        <w:ind w:firstLine="482"/>
      </w:pPr>
      <w:r w:rsidRPr="00E05BDA">
        <w:rPr>
          <w:rFonts w:hint="eastAsia"/>
          <w:b/>
        </w:rPr>
        <w:t xml:space="preserve">第十条 </w:t>
      </w:r>
      <w:r w:rsidR="000A4228">
        <w:t>数据资产的经济因素通常包括数据资产的取得成本、获利状况、类似资产的交易价格、市场应用情况、市场规模情况、市场占有率、竞争情况等。通过对经济因素情况的分析，资产评估专业人员可以判断经济因素对数据资产价值的影响程度。</w:t>
      </w:r>
    </w:p>
    <w:p w14:paraId="4DDBA236" w14:textId="1DCE2F7D" w:rsidR="000A4228" w:rsidRDefault="00E05BDA" w:rsidP="000A4228">
      <w:pPr>
        <w:pStyle w:val="13"/>
        <w:ind w:firstLine="482"/>
      </w:pPr>
      <w:r w:rsidRPr="00E05BDA">
        <w:rPr>
          <w:rFonts w:hint="eastAsia"/>
          <w:b/>
        </w:rPr>
        <w:t xml:space="preserve">第十一条 </w:t>
      </w:r>
      <w:r w:rsidR="000A4228">
        <w:t>数据资产的使用过程中存在隐私保护方面的风险。部分数据如果使用不当，可能会产生损害国家安全、泄露商业秘密、侵犯个人隐私等问题。数据资产在实际应用中需要考虑合法性，资产评估专业人员应当关注此类事项对数据资产评估的影响。</w:t>
      </w:r>
    </w:p>
    <w:p w14:paraId="7DEAC4C9" w14:textId="77777777" w:rsidR="000A4228" w:rsidRDefault="000A4228" w:rsidP="00AF7342">
      <w:pPr>
        <w:pStyle w:val="a9"/>
        <w:spacing w:before="62" w:after="62"/>
      </w:pPr>
      <w:r>
        <w:rPr>
          <w:rFonts w:hint="eastAsia"/>
        </w:rPr>
        <w:t>第三章</w:t>
      </w:r>
      <w:r>
        <w:t xml:space="preserve"> 数据资产的评估方法</w:t>
      </w:r>
    </w:p>
    <w:p w14:paraId="328C44B0" w14:textId="66A23119" w:rsidR="000A4228" w:rsidRDefault="00E05BDA" w:rsidP="000A4228">
      <w:pPr>
        <w:pStyle w:val="13"/>
        <w:ind w:firstLine="482"/>
      </w:pPr>
      <w:r w:rsidRPr="00E05BDA">
        <w:rPr>
          <w:rFonts w:hint="eastAsia"/>
          <w:b/>
        </w:rPr>
        <w:t xml:space="preserve">第十二条 </w:t>
      </w:r>
      <w:r w:rsidR="000A4228">
        <w:t>数据资产价值的评估方法包括成本法、收益法和市场法三种基本方法及其衍生方法。</w:t>
      </w:r>
    </w:p>
    <w:p w14:paraId="4A33DC8B" w14:textId="7AE88D33" w:rsidR="000A4228" w:rsidRDefault="00E05BDA" w:rsidP="000A4228">
      <w:pPr>
        <w:pStyle w:val="13"/>
        <w:ind w:firstLine="482"/>
      </w:pPr>
      <w:r w:rsidRPr="00E05BDA">
        <w:rPr>
          <w:rFonts w:hint="eastAsia"/>
          <w:b/>
        </w:rPr>
        <w:t xml:space="preserve">第十三条 </w:t>
      </w:r>
      <w:r w:rsidR="000A4228">
        <w:t>执行数据资产评估业务，应当根据评估目的、评估对象、价值类型、资料收集等情况，分析上述三种基本方法的适用性，选择评估方法。数据资产评估方法的选择应当注意方法的适用性，不可机械地按某种模式或者某种顺序进行选择。</w:t>
      </w:r>
    </w:p>
    <w:p w14:paraId="42A09AB6" w14:textId="77777777" w:rsidR="000A4228" w:rsidRDefault="000A4228" w:rsidP="000A4228">
      <w:pPr>
        <w:pStyle w:val="13"/>
      </w:pPr>
      <w:r>
        <w:rPr>
          <w:rFonts w:hint="eastAsia"/>
        </w:rPr>
        <w:t>成本法是根据形成数据资产的成本进行评估。尽管无形资产的成本和价值先天具有弱对应性且其成本具有</w:t>
      </w:r>
      <w:proofErr w:type="gramStart"/>
      <w:r>
        <w:rPr>
          <w:rFonts w:hint="eastAsia"/>
        </w:rPr>
        <w:t>不</w:t>
      </w:r>
      <w:proofErr w:type="gramEnd"/>
      <w:r>
        <w:rPr>
          <w:rFonts w:hint="eastAsia"/>
        </w:rPr>
        <w:t>完整性，但一些数据资产应用成本法评估其价值存在一定合理性。</w:t>
      </w:r>
    </w:p>
    <w:p w14:paraId="4A6F1DC1" w14:textId="77777777" w:rsidR="000A4228" w:rsidRDefault="000A4228" w:rsidP="000A4228">
      <w:pPr>
        <w:pStyle w:val="13"/>
      </w:pPr>
      <w:r>
        <w:rPr>
          <w:rFonts w:hint="eastAsia"/>
        </w:rPr>
        <w:t>收益法是通过预计数据资产带来的收益估计其价值。这种方法在实际中比较容易操作。该方法是目前对数据资产评估比较容易接受的一种方法。虽然目前使用数据</w:t>
      </w:r>
      <w:r>
        <w:rPr>
          <w:rFonts w:hint="eastAsia"/>
        </w:rPr>
        <w:lastRenderedPageBreak/>
        <w:t>资产直接取得收益的情况比较少，但根据数据交易中心提供的交易数据，还是能够对部分企业数据资产的收益进行了解。</w:t>
      </w:r>
    </w:p>
    <w:p w14:paraId="23D54D28" w14:textId="69C16275" w:rsidR="000A4228" w:rsidRDefault="000A4228" w:rsidP="000A4228">
      <w:pPr>
        <w:pStyle w:val="13"/>
      </w:pPr>
      <w:r>
        <w:rPr>
          <w:rFonts w:hint="eastAsia"/>
        </w:rPr>
        <w:t>市场法是根据相同或者相似的数据资产的近期或者</w:t>
      </w:r>
      <w:proofErr w:type="gramStart"/>
      <w:r>
        <w:rPr>
          <w:rFonts w:hint="eastAsia"/>
        </w:rPr>
        <w:t>往期成交</w:t>
      </w:r>
      <w:proofErr w:type="gramEnd"/>
      <w:r>
        <w:rPr>
          <w:rFonts w:hint="eastAsia"/>
        </w:rPr>
        <w:t>价格，通过对比分析</w:t>
      </w:r>
      <w:r w:rsidR="00DA29FF">
        <w:rPr>
          <w:rFonts w:hint="eastAsia"/>
        </w:rPr>
        <w:t>，</w:t>
      </w:r>
      <w:r>
        <w:t>评估数据资产价值的方法。根据数据资产价值的影响因素，可以利用市场法对不同属性的数据资产的价值进行对比和分析调整，反映出被评估数据资产的价值。</w:t>
      </w:r>
    </w:p>
    <w:p w14:paraId="48FDBB6B" w14:textId="30993AC9" w:rsidR="000A4228" w:rsidRDefault="00E05BDA" w:rsidP="000A4228">
      <w:pPr>
        <w:pStyle w:val="13"/>
        <w:ind w:firstLine="482"/>
      </w:pPr>
      <w:r w:rsidRPr="00E05BDA">
        <w:rPr>
          <w:rFonts w:hint="eastAsia"/>
          <w:b/>
        </w:rPr>
        <w:t xml:space="preserve">第十四条 </w:t>
      </w:r>
      <w:r w:rsidR="000A4228">
        <w:t>对于成本法，数据资产的价值由该资产的重置成本扣减各项贬值确定。其基本计算公式为：</w:t>
      </w:r>
    </w:p>
    <w:p w14:paraId="60A966FA" w14:textId="77777777" w:rsidR="00DA29FF" w:rsidRDefault="000A4228" w:rsidP="000A4228">
      <w:pPr>
        <w:pStyle w:val="13"/>
      </w:pPr>
      <w:r>
        <w:rPr>
          <w:rFonts w:hint="eastAsia"/>
        </w:rPr>
        <w:t>评估值＝重置成本×（</w:t>
      </w:r>
      <w:r>
        <w:t>1-贬值率）或者评估值=重置成本-功能性贬值-经济性贬值</w:t>
      </w:r>
    </w:p>
    <w:p w14:paraId="62FAE17F" w14:textId="2EA33796" w:rsidR="000A4228" w:rsidRDefault="00E05BDA" w:rsidP="00DA29FF">
      <w:pPr>
        <w:pStyle w:val="13"/>
        <w:ind w:firstLine="482"/>
      </w:pPr>
      <w:r w:rsidRPr="00E05BDA">
        <w:rPr>
          <w:b/>
        </w:rPr>
        <w:t xml:space="preserve">第十五条 </w:t>
      </w:r>
      <w:r w:rsidR="000A4228">
        <w:t>使用成本法执行数据资产评估业务时，首先要根据数据资产形成的全部</w:t>
      </w:r>
      <w:r w:rsidR="000A4228">
        <w:rPr>
          <w:rFonts w:hint="eastAsia"/>
        </w:rPr>
        <w:t>投入，分析数据资产价值与成本的相关程度，考虑成本法的适用性。然后要确定数据资产的重置成本。数据资产的重置成本包括合理的成本、利润和相关税费。合理的成本则包括直接成本和间接费用。</w:t>
      </w:r>
    </w:p>
    <w:p w14:paraId="4DA9BF0B" w14:textId="675C19A4" w:rsidR="000A4228" w:rsidRDefault="00E05BDA" w:rsidP="000A4228">
      <w:pPr>
        <w:pStyle w:val="13"/>
        <w:ind w:firstLine="482"/>
      </w:pPr>
      <w:r w:rsidRPr="00E05BDA">
        <w:rPr>
          <w:rFonts w:hint="eastAsia"/>
          <w:b/>
        </w:rPr>
        <w:t xml:space="preserve">第十六条 </w:t>
      </w:r>
      <w:r w:rsidR="000A4228">
        <w:t>在成本法中，数据资产的取得成本需要根据创建数据资产生命的流程特点，分阶段进行统计。尽管数据资产的存储、分析、挖掘技术复杂多变，但目前普遍使用的流程可以概括为四步，即数据采集、数据导入和预处理、数据统计和分析、数据挖掘。其中，数据采集属于数据资产获取阶段，后三个步骤属于数据资产研发阶段。</w:t>
      </w:r>
    </w:p>
    <w:p w14:paraId="0412F725" w14:textId="088D122B" w:rsidR="000A4228" w:rsidRDefault="000A4228" w:rsidP="000A4228">
      <w:pPr>
        <w:pStyle w:val="13"/>
      </w:pPr>
      <w:r>
        <w:rPr>
          <w:rFonts w:hint="eastAsia"/>
        </w:rPr>
        <w:t>数据获取可能是主动获取，也可能是被动获取。数据主动获取可能发生的成本有：</w:t>
      </w:r>
      <w:r>
        <w:t>向数据持有人购买数据的价款、注册费、手续费，通过其他渠道获取数据时发生的市场调查、访谈、实验观察等费用，以及在数据采集阶段发生的人工工资、场地租金、打印费、网络费等相关费用。被动获取的数据包括企业生产经营中获得的数据、相关部门开放并经确认的数据、企业相互合作共享的数据等。从企业角度看，被动获取的数据如果要形成数据资产，还需要企业自身进行大量资源数据的清洗、研发和深挖掘，在数据获取阶段企业付出的成本较小，因此在获取阶段，可以只考虑发生的</w:t>
      </w:r>
      <w:r>
        <w:rPr>
          <w:rFonts w:hint="eastAsia"/>
        </w:rPr>
        <w:t>数据存储等费用，成本重心落在数据资产研发阶段。研发阶段发生的成本通常包括设备折旧、研发人员工资等费用。采用成本法进行数据资产评估时，需要合理确定贬值。数据资产贬值主要包括：</w:t>
      </w:r>
      <w:r>
        <w:t xml:space="preserve"> 功能性贬值和经济性贬值。</w:t>
      </w:r>
    </w:p>
    <w:p w14:paraId="67079668" w14:textId="0956EA79" w:rsidR="000A4228" w:rsidRDefault="00E05BDA" w:rsidP="000A4228">
      <w:pPr>
        <w:pStyle w:val="13"/>
        <w:ind w:firstLine="482"/>
      </w:pPr>
      <w:r w:rsidRPr="00E05BDA">
        <w:rPr>
          <w:rFonts w:hint="eastAsia"/>
          <w:b/>
        </w:rPr>
        <w:t xml:space="preserve">第十七条 </w:t>
      </w:r>
      <w:r w:rsidR="000A4228">
        <w:t>在传统无形资产成本法的基础上，可以综合考虑数据资产的成本与预期使用溢价，加入数据资产价值影响因素对资产价值进行修正，建立一种数据资产价值评估成本法模型。成本法模型的表达式为：</w:t>
      </w:r>
    </w:p>
    <w:p w14:paraId="08FBB63E" w14:textId="3BF5032F" w:rsidR="00137FD3" w:rsidRDefault="00137FD3" w:rsidP="000A4228">
      <w:pPr>
        <w:pStyle w:val="13"/>
        <w:rPr>
          <w:rFonts w:ascii="Cambria Math" w:hAnsi="Cambria Math" w:cs="Cambria Math"/>
        </w:rPr>
      </w:pPr>
      <w:r>
        <w:t>P=TC×(1+</w:t>
      </w:r>
      <w:proofErr w:type="gramStart"/>
      <w:r>
        <w:t>R)×</w:t>
      </w:r>
      <w:proofErr w:type="gramEnd"/>
      <w:r>
        <w:t>U</w:t>
      </w:r>
    </w:p>
    <w:p w14:paraId="2A14E120" w14:textId="77777777" w:rsidR="000A4228" w:rsidRDefault="000A4228" w:rsidP="000A4228">
      <w:pPr>
        <w:pStyle w:val="13"/>
      </w:pPr>
      <w:r>
        <w:rPr>
          <w:rFonts w:hint="eastAsia"/>
        </w:rPr>
        <w:t>其中：</w:t>
      </w:r>
    </w:p>
    <w:p w14:paraId="7E0D4038" w14:textId="77777777" w:rsidR="000A4228" w:rsidRDefault="000A4228" w:rsidP="000A4228">
      <w:pPr>
        <w:pStyle w:val="13"/>
      </w:pPr>
      <w:r>
        <w:t>P—评估值；</w:t>
      </w:r>
    </w:p>
    <w:p w14:paraId="5D659C01" w14:textId="77777777" w:rsidR="000A4228" w:rsidRDefault="000A4228" w:rsidP="000A4228">
      <w:pPr>
        <w:pStyle w:val="13"/>
      </w:pPr>
      <w:r>
        <w:lastRenderedPageBreak/>
        <w:t>TC</w:t>
      </w:r>
      <w:proofErr w:type="gramStart"/>
      <w:r>
        <w:t>—数据</w:t>
      </w:r>
      <w:proofErr w:type="gramEnd"/>
      <w:r>
        <w:t>资产总成本；</w:t>
      </w:r>
    </w:p>
    <w:p w14:paraId="37A1BC88" w14:textId="77777777" w:rsidR="00137FD3" w:rsidRDefault="000A4228" w:rsidP="000A4228">
      <w:pPr>
        <w:pStyle w:val="13"/>
      </w:pPr>
      <w:r>
        <w:t>R</w:t>
      </w:r>
      <w:proofErr w:type="gramStart"/>
      <w:r>
        <w:t>—数据</w:t>
      </w:r>
      <w:proofErr w:type="gramEnd"/>
      <w:r>
        <w:t>资产成本投资回报率；</w:t>
      </w:r>
    </w:p>
    <w:p w14:paraId="1E1EAF5A" w14:textId="36A373E4" w:rsidR="000A4228" w:rsidRDefault="000A4228" w:rsidP="000A4228">
      <w:pPr>
        <w:pStyle w:val="13"/>
      </w:pPr>
      <w:r>
        <w:t>U</w:t>
      </w:r>
      <w:proofErr w:type="gramStart"/>
      <w:r>
        <w:t>—数据</w:t>
      </w:r>
      <w:proofErr w:type="gramEnd"/>
      <w:r>
        <w:t>效用。</w:t>
      </w:r>
    </w:p>
    <w:p w14:paraId="1A39D322" w14:textId="3920014E" w:rsidR="000A4228" w:rsidRDefault="00E05BDA" w:rsidP="000A4228">
      <w:pPr>
        <w:pStyle w:val="13"/>
        <w:ind w:firstLine="482"/>
      </w:pPr>
      <w:r w:rsidRPr="00E05BDA">
        <w:rPr>
          <w:rFonts w:hint="eastAsia"/>
          <w:b/>
        </w:rPr>
        <w:t xml:space="preserve">第十八条 </w:t>
      </w:r>
      <w:r w:rsidR="000A4228">
        <w:t>在上述评估模型中，数据资产总成本TC表示数据资产从产生到评估基准日所发生的总成本。数据资产总成本可以通过系统开发委托合同和实际支出进行计算</w:t>
      </w:r>
      <w:r w:rsidR="00DA29FF">
        <w:t>，</w:t>
      </w:r>
      <w:r w:rsidR="000A4228">
        <w:t>主要包括建设成本、运</w:t>
      </w:r>
      <w:proofErr w:type="gramStart"/>
      <w:r w:rsidR="000A4228">
        <w:t>维成本</w:t>
      </w:r>
      <w:proofErr w:type="gramEnd"/>
      <w:r w:rsidR="000A4228">
        <w:t>和管理成本三类，并且不同的数据资产所包含的建设费用 和运</w:t>
      </w:r>
      <w:proofErr w:type="gramStart"/>
      <w:r w:rsidR="000A4228">
        <w:t>维费用</w:t>
      </w:r>
      <w:proofErr w:type="gramEnd"/>
      <w:r w:rsidR="000A4228">
        <w:t>的比例是不同的。因此，每一个评估项对数据资产价值产生多大的影响，必须给出一个比较合理的权重。其中建设成本是指数据规划、采集获取、数据确认、数据描述等方面的内容；运</w:t>
      </w:r>
      <w:proofErr w:type="gramStart"/>
      <w:r w:rsidR="000A4228">
        <w:t>维成本</w:t>
      </w:r>
      <w:proofErr w:type="gramEnd"/>
      <w:r w:rsidR="000A4228">
        <w:t>包含着数据存储、数据整合、知识发现等评价指标；管理 成本主要由人力成本、间接成本以及服务外包成</w:t>
      </w:r>
      <w:r w:rsidR="000A4228">
        <w:rPr>
          <w:rFonts w:hint="eastAsia"/>
        </w:rPr>
        <w:t>本构成。</w:t>
      </w:r>
    </w:p>
    <w:p w14:paraId="3765851C" w14:textId="76CA92CE" w:rsidR="000A4228" w:rsidRDefault="00E05BDA" w:rsidP="000A4228">
      <w:pPr>
        <w:pStyle w:val="13"/>
        <w:ind w:firstLine="482"/>
      </w:pPr>
      <w:r w:rsidRPr="00E05BDA">
        <w:rPr>
          <w:rFonts w:hint="eastAsia"/>
          <w:b/>
        </w:rPr>
        <w:t xml:space="preserve">第十九条 </w:t>
      </w:r>
      <w:r w:rsidR="000A4228">
        <w:t>在上述评估模型中，数据效用U是影响数据价值实现因素的集合，用于修正数据资产成本投资回报率R。</w:t>
      </w:r>
    </w:p>
    <w:p w14:paraId="4CB06122" w14:textId="7972C921" w:rsidR="000A4228" w:rsidRDefault="000A4228" w:rsidP="000A4228">
      <w:pPr>
        <w:pStyle w:val="13"/>
      </w:pPr>
      <w:r>
        <w:rPr>
          <w:rFonts w:hint="eastAsia"/>
        </w:rPr>
        <w:t>数据质量、数据基数、数据流通以及数据价值实现风险均会对数据效用</w:t>
      </w:r>
      <w:r>
        <w:t xml:space="preserve"> U 产生影响。定义数据效用的表达式为：</w:t>
      </w:r>
    </w:p>
    <w:p w14:paraId="439B00A2" w14:textId="3F50D1DC" w:rsidR="00137FD3" w:rsidRDefault="00137FD3" w:rsidP="000A4228">
      <w:pPr>
        <w:pStyle w:val="13"/>
      </w:pPr>
      <w:r>
        <w:t>U</w:t>
      </w:r>
      <w:r>
        <w:sym w:font="Symbol" w:char="F03D"/>
      </w:r>
      <w:r>
        <w:rPr>
          <w:rFonts w:ascii="Cambria Math" w:hAnsi="Cambria Math" w:cs="Cambria Math"/>
        </w:rPr>
        <w:t>𝛼𝛽</w:t>
      </w:r>
      <w:r>
        <w:t>(1</w:t>
      </w:r>
      <w:r>
        <w:sym w:font="Symbol" w:char="F02B"/>
      </w:r>
      <w:proofErr w:type="gramStart"/>
      <w:r>
        <w:rPr>
          <w:rFonts w:ascii="Cambria Math" w:hAnsi="Cambria Math" w:cs="Cambria Math"/>
        </w:rPr>
        <w:t>𝑙</w:t>
      </w:r>
      <w:r>
        <w:t>)(</w:t>
      </w:r>
      <w:proofErr w:type="gramEnd"/>
      <w:r>
        <w:t>1</w:t>
      </w:r>
      <w:r>
        <w:sym w:font="Symbol" w:char="F02D"/>
      </w:r>
      <w:r>
        <w:rPr>
          <w:rFonts w:ascii="Cambria Math" w:hAnsi="Cambria Math" w:cs="Cambria Math"/>
        </w:rPr>
        <w:t>𝑟</w:t>
      </w:r>
      <w:r>
        <w:t>)</w:t>
      </w:r>
    </w:p>
    <w:p w14:paraId="21279FD0" w14:textId="66248C56" w:rsidR="000A4228" w:rsidRDefault="000A4228" w:rsidP="000A4228">
      <w:pPr>
        <w:pStyle w:val="13"/>
      </w:pPr>
      <w:r>
        <w:rPr>
          <w:rFonts w:hint="eastAsia"/>
        </w:rPr>
        <w:t>其中：</w:t>
      </w:r>
    </w:p>
    <w:p w14:paraId="082AB872" w14:textId="77777777" w:rsidR="000A4228" w:rsidRDefault="000A4228" w:rsidP="000A4228">
      <w:pPr>
        <w:pStyle w:val="13"/>
      </w:pPr>
      <w:r>
        <w:rPr>
          <w:rFonts w:ascii="Cambria Math" w:hAnsi="Cambria Math" w:cs="Cambria Math"/>
        </w:rPr>
        <w:t>𝛼</w:t>
      </w:r>
      <w:r>
        <w:t>—数据质量系数；</w:t>
      </w:r>
    </w:p>
    <w:p w14:paraId="69F2A4A2" w14:textId="77777777" w:rsidR="000A4228" w:rsidRDefault="000A4228" w:rsidP="000A4228">
      <w:pPr>
        <w:pStyle w:val="13"/>
      </w:pPr>
      <w:r>
        <w:rPr>
          <w:rFonts w:ascii="Cambria Math" w:hAnsi="Cambria Math" w:cs="Cambria Math"/>
        </w:rPr>
        <w:t>𝛽</w:t>
      </w:r>
      <w:proofErr w:type="gramStart"/>
      <w:r>
        <w:t>—数据</w:t>
      </w:r>
      <w:proofErr w:type="gramEnd"/>
      <w:r>
        <w:t>流通系数；</w:t>
      </w:r>
    </w:p>
    <w:p w14:paraId="1CA2D609" w14:textId="77777777" w:rsidR="000A4228" w:rsidRDefault="000A4228" w:rsidP="000A4228">
      <w:pPr>
        <w:pStyle w:val="13"/>
      </w:pPr>
      <w:r>
        <w:rPr>
          <w:rFonts w:ascii="Cambria Math" w:hAnsi="Cambria Math" w:cs="Cambria Math"/>
        </w:rPr>
        <w:t>𝑙</w:t>
      </w:r>
      <w:proofErr w:type="gramStart"/>
      <w:r>
        <w:t>—数据</w:t>
      </w:r>
      <w:proofErr w:type="gramEnd"/>
      <w:r>
        <w:t>垄断系数；</w:t>
      </w:r>
    </w:p>
    <w:p w14:paraId="2DF9E26D" w14:textId="77777777" w:rsidR="000A4228" w:rsidRDefault="000A4228" w:rsidP="000A4228">
      <w:pPr>
        <w:pStyle w:val="13"/>
      </w:pPr>
      <w:r>
        <w:rPr>
          <w:rFonts w:ascii="Cambria Math" w:hAnsi="Cambria Math" w:cs="Cambria Math"/>
        </w:rPr>
        <w:t>𝑟</w:t>
      </w:r>
      <w:proofErr w:type="gramStart"/>
      <w:r>
        <w:t>—数据</w:t>
      </w:r>
      <w:proofErr w:type="gramEnd"/>
      <w:r>
        <w:t>价值实现风险系数。</w:t>
      </w:r>
    </w:p>
    <w:p w14:paraId="66702A31" w14:textId="77777777" w:rsidR="000A4228" w:rsidRDefault="000A4228" w:rsidP="000A4228">
      <w:pPr>
        <w:pStyle w:val="13"/>
      </w:pPr>
      <w:r>
        <w:rPr>
          <w:rFonts w:hint="eastAsia"/>
        </w:rPr>
        <w:t>（一）数据质量系数</w:t>
      </w:r>
      <w:r>
        <w:rPr>
          <w:rFonts w:ascii="Cambria Math" w:hAnsi="Cambria Math" w:cs="Cambria Math"/>
        </w:rPr>
        <w:t>𝛼</w:t>
      </w:r>
    </w:p>
    <w:p w14:paraId="14CB35DC" w14:textId="1A8FC98E" w:rsidR="000A4228" w:rsidRDefault="000A4228" w:rsidP="00137FD3">
      <w:pPr>
        <w:pStyle w:val="13"/>
      </w:pPr>
      <w:r>
        <w:rPr>
          <w:rFonts w:hint="eastAsia"/>
        </w:rPr>
        <w:t>数据质量是指数据固有质量，可以通过对数据完整性、数据准确性和数据有效性三方面设立约束规则，利用统计分析数据是否满足约束规则完成量化。基于统计学的思想</w:t>
      </w:r>
      <w:r w:rsidR="00DA29FF">
        <w:rPr>
          <w:rFonts w:hint="eastAsia"/>
        </w:rPr>
        <w:t>，</w:t>
      </w:r>
      <w:r>
        <w:t>数据质量为满足要求的数据在数据系统中的百分比。数据质量的评价办法由数据模块、规则模块和评价模块三者组成。</w:t>
      </w:r>
    </w:p>
    <w:p w14:paraId="52DDF384" w14:textId="77777777" w:rsidR="000A4228" w:rsidRDefault="000A4228" w:rsidP="000A4228">
      <w:pPr>
        <w:pStyle w:val="13"/>
      </w:pPr>
      <w:r>
        <w:rPr>
          <w:rFonts w:hint="eastAsia"/>
        </w:rPr>
        <w:t>数据模块是数据资产价值评估的对象，即待评估数据资产的合集。</w:t>
      </w:r>
    </w:p>
    <w:p w14:paraId="27D3EA71" w14:textId="77777777" w:rsidR="000A4228" w:rsidRDefault="000A4228" w:rsidP="000A4228">
      <w:pPr>
        <w:pStyle w:val="13"/>
      </w:pPr>
      <w:r>
        <w:rPr>
          <w:rFonts w:hint="eastAsia"/>
        </w:rPr>
        <w:t>规则模块用于生成数据的检验标准，即数据的约束规则。约束规则应当根据具体的业务内容和数据自身规则（如值域约束和语法约束）提炼出基本约束，并归纳形成规则库。</w:t>
      </w:r>
    </w:p>
    <w:p w14:paraId="07D5C294" w14:textId="77777777" w:rsidR="000A4228" w:rsidRDefault="000A4228" w:rsidP="000A4228">
      <w:pPr>
        <w:pStyle w:val="13"/>
      </w:pPr>
      <w:r>
        <w:rPr>
          <w:rFonts w:hint="eastAsia"/>
        </w:rPr>
        <w:t>在对数据质量进行评价时，约束规则是对数据进行检测的依据。</w:t>
      </w:r>
    </w:p>
    <w:p w14:paraId="2E964CDB" w14:textId="77777777" w:rsidR="000A4228" w:rsidRDefault="000A4228" w:rsidP="000A4228">
      <w:pPr>
        <w:pStyle w:val="13"/>
      </w:pPr>
      <w:r>
        <w:rPr>
          <w:rFonts w:hint="eastAsia"/>
        </w:rPr>
        <w:t>评价模块是数据质量评估办法的关键模块，目的是利用规则模块中的约束规则对数据进行检验并分析汇总。各个规则模块获取的结果需要加权汇总以获得最终的数据质量系数。</w:t>
      </w:r>
    </w:p>
    <w:p w14:paraId="570F4406" w14:textId="77777777" w:rsidR="000A4228" w:rsidRDefault="000A4228" w:rsidP="000A4228">
      <w:pPr>
        <w:pStyle w:val="13"/>
      </w:pPr>
      <w:r>
        <w:rPr>
          <w:rFonts w:hint="eastAsia"/>
        </w:rPr>
        <w:t>（二）数据流通系数</w:t>
      </w:r>
      <w:r>
        <w:rPr>
          <w:rFonts w:ascii="Cambria Math" w:hAnsi="Cambria Math" w:cs="Cambria Math"/>
        </w:rPr>
        <w:t>𝛽</w:t>
      </w:r>
    </w:p>
    <w:p w14:paraId="7FB18B8B" w14:textId="77777777" w:rsidR="000A4228" w:rsidRDefault="000A4228" w:rsidP="000A4228">
      <w:pPr>
        <w:pStyle w:val="13"/>
      </w:pPr>
      <w:r>
        <w:rPr>
          <w:rFonts w:hint="eastAsia"/>
        </w:rPr>
        <w:lastRenderedPageBreak/>
        <w:t>数据资产按流通类型可以分为开放数据、公开数据、共享数据和非共享数据四类。因此，在考察数据流通效率时，首先通过可流通数据量占总数据量的比重确定数据对外开放共享程度；然后，考虑到不同的数据流通类型对数据接受者范围的影响，需要将数据传播系数考虑进来。传播系数是指数据的传播广度，即数据在网络中被他人接受的总人次，可以通过查看系统访问量、网站访问量获得。</w:t>
      </w:r>
    </w:p>
    <w:p w14:paraId="59434CE1" w14:textId="77777777" w:rsidR="000A4228" w:rsidRDefault="000A4228" w:rsidP="000A4228">
      <w:pPr>
        <w:pStyle w:val="13"/>
      </w:pPr>
      <w:r>
        <w:rPr>
          <w:rFonts w:hint="eastAsia"/>
        </w:rPr>
        <w:t>数据流通系数表示为：</w:t>
      </w:r>
    </w:p>
    <w:p w14:paraId="05E93779" w14:textId="77777777" w:rsidR="000A4228" w:rsidRDefault="000A4228" w:rsidP="000A4228">
      <w:pPr>
        <w:pStyle w:val="13"/>
      </w:pPr>
      <w:r>
        <w:rPr>
          <w:rFonts w:hint="eastAsia"/>
        </w:rPr>
        <w:t>数据流通系数</w:t>
      </w:r>
      <w:r>
        <w:t>=（传播系数 可流通的数据量）/总数据量</w:t>
      </w:r>
    </w:p>
    <w:p w14:paraId="5F01C75D" w14:textId="7A9FDB3B" w:rsidR="000A4228" w:rsidRDefault="000A4228" w:rsidP="00137FD3">
      <w:pPr>
        <w:pStyle w:val="13"/>
        <w:ind w:firstLineChars="800" w:firstLine="1920"/>
      </w:pPr>
      <w:r>
        <w:t>=（a×开放数据量+</w:t>
      </w:r>
      <w:r>
        <w:rPr>
          <w:rFonts w:ascii="Cambria Math" w:hAnsi="Cambria Math" w:cs="Cambria Math"/>
        </w:rPr>
        <w:t>𝑏</w:t>
      </w:r>
      <w:r>
        <w:t>×公开数据量+</w:t>
      </w:r>
      <w:r>
        <w:rPr>
          <w:rFonts w:ascii="Cambria Math" w:hAnsi="Cambria Math" w:cs="Cambria Math"/>
        </w:rPr>
        <w:t>𝑐</w:t>
      </w:r>
      <w:r>
        <w:t>×共享数据量）/总数据量</w:t>
      </w:r>
    </w:p>
    <w:p w14:paraId="624A33A5" w14:textId="77777777" w:rsidR="000A4228" w:rsidRDefault="000A4228" w:rsidP="000A4228">
      <w:pPr>
        <w:pStyle w:val="13"/>
      </w:pPr>
      <w:r>
        <w:rPr>
          <w:rFonts w:hint="eastAsia"/>
        </w:rPr>
        <w:t>其中，</w:t>
      </w:r>
      <w:r>
        <w:t>a、b、c 分别为开放、公开和共享三种数据流通类型的传播系数，非共享数据流通限制过强，对整体流通效率影响忽略不计。</w:t>
      </w:r>
    </w:p>
    <w:p w14:paraId="53AC1A41" w14:textId="77777777" w:rsidR="000A4228" w:rsidRDefault="000A4228" w:rsidP="000A4228">
      <w:pPr>
        <w:pStyle w:val="13"/>
      </w:pPr>
      <w:r>
        <w:rPr>
          <w:rFonts w:hint="eastAsia"/>
        </w:rPr>
        <w:t>（三）数据垄断系数</w:t>
      </w:r>
      <w:r>
        <w:rPr>
          <w:rFonts w:ascii="Cambria Math" w:hAnsi="Cambria Math" w:cs="Cambria Math"/>
        </w:rPr>
        <w:t>𝑙</w:t>
      </w:r>
    </w:p>
    <w:p w14:paraId="0C781D3D" w14:textId="77777777" w:rsidR="000A4228" w:rsidRDefault="000A4228" w:rsidP="000A4228">
      <w:pPr>
        <w:pStyle w:val="13"/>
      </w:pPr>
      <w:r>
        <w:rPr>
          <w:rFonts w:hint="eastAsia"/>
        </w:rPr>
        <w:t>数据资产的垄断程度是由数据基数决定，即该数据资产所拥有的数据量占该类型数据总量的比例，可以通过某类别数据在整个行业领域内的数据占比衡量，即通过比较同类数据总量来确定。</w:t>
      </w:r>
    </w:p>
    <w:p w14:paraId="770656AB" w14:textId="77777777" w:rsidR="000A4228" w:rsidRDefault="000A4228" w:rsidP="000A4228">
      <w:pPr>
        <w:pStyle w:val="13"/>
      </w:pPr>
      <w:r>
        <w:rPr>
          <w:rFonts w:hint="eastAsia"/>
        </w:rPr>
        <w:t>数据垄断系数表示为：</w:t>
      </w:r>
    </w:p>
    <w:p w14:paraId="4937D016" w14:textId="77777777" w:rsidR="000A4228" w:rsidRDefault="000A4228" w:rsidP="000A4228">
      <w:pPr>
        <w:pStyle w:val="13"/>
      </w:pPr>
      <w:r>
        <w:rPr>
          <w:rFonts w:hint="eastAsia"/>
        </w:rPr>
        <w:t>数据垄断系数</w:t>
      </w:r>
      <w:r>
        <w:t>=系统数据量/行业总数据量</w:t>
      </w:r>
    </w:p>
    <w:p w14:paraId="3530AD8E" w14:textId="77777777" w:rsidR="000A4228" w:rsidRDefault="000A4228" w:rsidP="000A4228">
      <w:pPr>
        <w:pStyle w:val="13"/>
      </w:pPr>
      <w:r>
        <w:rPr>
          <w:rFonts w:hint="eastAsia"/>
        </w:rPr>
        <w:t>数据是现实事物的客观描述。衡量某种数据的垄断性不仅受限于所属行业，还可能与其所处的地域相关。</w:t>
      </w:r>
    </w:p>
    <w:p w14:paraId="277EEAFE" w14:textId="77777777" w:rsidR="000A4228" w:rsidRDefault="000A4228" w:rsidP="000A4228">
      <w:pPr>
        <w:pStyle w:val="13"/>
      </w:pPr>
      <w:r>
        <w:rPr>
          <w:rFonts w:hint="eastAsia"/>
        </w:rPr>
        <w:t>（四）数据价值实现风险系数</w:t>
      </w:r>
      <w:r>
        <w:rPr>
          <w:rFonts w:ascii="Cambria Math" w:hAnsi="Cambria Math" w:cs="Cambria Math"/>
        </w:rPr>
        <w:t>𝑟</w:t>
      </w:r>
    </w:p>
    <w:p w14:paraId="4B09D3E9" w14:textId="77777777" w:rsidR="000A4228" w:rsidRDefault="000A4228" w:rsidP="000A4228">
      <w:pPr>
        <w:pStyle w:val="13"/>
      </w:pPr>
      <w:r>
        <w:rPr>
          <w:rFonts w:hint="eastAsia"/>
        </w:rPr>
        <w:t>在数据价值链上的各个环节都存在影响数据价值实现的风险。数据价值实现风险分为数据管理风险、数据流通风险、增值开发风险和数据安全风险四个二级指标和设备故障、数据描述不当、系统不兼容、政策影响、应用需求、数据开发水平、数据泄露、数据损坏八个三级指标。由于数据资产价值实现环节较多且评估过程复杂，可以采用专家打分法与层次分析法获得其风险系数。</w:t>
      </w:r>
    </w:p>
    <w:p w14:paraId="53136FFA" w14:textId="6B97F737" w:rsidR="000A4228" w:rsidRDefault="00E05BDA" w:rsidP="000A4228">
      <w:pPr>
        <w:pStyle w:val="13"/>
        <w:ind w:firstLine="482"/>
      </w:pPr>
      <w:r w:rsidRPr="00E05BDA">
        <w:rPr>
          <w:rFonts w:hint="eastAsia"/>
          <w:b/>
        </w:rPr>
        <w:t xml:space="preserve">第二十条 </w:t>
      </w:r>
      <w:r w:rsidR="000A4228">
        <w:t>收益法评估数据资产时，数据资产作为经营资产直接或者间接产生收益</w:t>
      </w:r>
      <w:r w:rsidR="00DA29FF">
        <w:t>，</w:t>
      </w:r>
      <w:r w:rsidR="000A4228">
        <w:t>其价值实现方式包括数据分析、数据挖掘、应用开发等。收益法较真实、准确地反映了数据资产本金化的价值，更容易被交易各方所接受。</w:t>
      </w:r>
    </w:p>
    <w:p w14:paraId="2BBBBDF6" w14:textId="0B2888C0" w:rsidR="000A4228" w:rsidRDefault="00E05BDA" w:rsidP="000A4228">
      <w:pPr>
        <w:pStyle w:val="13"/>
        <w:ind w:firstLine="482"/>
      </w:pPr>
      <w:r w:rsidRPr="00E05BDA">
        <w:rPr>
          <w:rFonts w:hint="eastAsia"/>
          <w:b/>
        </w:rPr>
        <w:t xml:space="preserve">第二十一条 </w:t>
      </w:r>
      <w:r w:rsidR="000A4228">
        <w:t>收益法评估的基本计算公式为：</w:t>
      </w:r>
    </w:p>
    <w:p w14:paraId="105650A0" w14:textId="6955B2B3" w:rsidR="000A4228" w:rsidRDefault="00137FD3" w:rsidP="000A4228">
      <w:pPr>
        <w:pStyle w:val="13"/>
      </w:pPr>
      <w:r>
        <w:rPr>
          <w:noProof/>
        </w:rPr>
        <w:drawing>
          <wp:inline distT="0" distB="0" distL="0" distR="0" wp14:anchorId="17B56C39" wp14:editId="7EB388CA">
            <wp:extent cx="1409700" cy="6122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13767" cy="613979"/>
                    </a:xfrm>
                    <a:prstGeom prst="rect">
                      <a:avLst/>
                    </a:prstGeom>
                  </pic:spPr>
                </pic:pic>
              </a:graphicData>
            </a:graphic>
          </wp:inline>
        </w:drawing>
      </w:r>
    </w:p>
    <w:p w14:paraId="15E0A556" w14:textId="009B0CD1" w:rsidR="00137FD3" w:rsidRDefault="00137FD3" w:rsidP="000A4228">
      <w:pPr>
        <w:pStyle w:val="13"/>
      </w:pPr>
      <w:r>
        <w:rPr>
          <w:rFonts w:hint="eastAsia"/>
        </w:rPr>
        <w:t>其</w:t>
      </w:r>
      <w:r w:rsidR="000A4228">
        <w:t>中：</w:t>
      </w:r>
    </w:p>
    <w:p w14:paraId="5A5FC9F6" w14:textId="7A66D31D" w:rsidR="000A4228" w:rsidRDefault="000A4228" w:rsidP="000A4228">
      <w:pPr>
        <w:pStyle w:val="13"/>
      </w:pPr>
      <w:r>
        <w:t>P－评估值</w:t>
      </w:r>
      <w:r w:rsidR="00137FD3">
        <w:rPr>
          <w:rFonts w:hint="eastAsia"/>
        </w:rPr>
        <w:t>；</w:t>
      </w:r>
    </w:p>
    <w:p w14:paraId="27D3D948" w14:textId="651933E7" w:rsidR="000A4228" w:rsidRDefault="000A4228" w:rsidP="000A4228">
      <w:pPr>
        <w:pStyle w:val="13"/>
      </w:pPr>
      <w:r>
        <w:t>F</w:t>
      </w:r>
      <w:r w:rsidR="00137FD3" w:rsidRPr="00137FD3">
        <w:rPr>
          <w:rFonts w:hint="eastAsia"/>
          <w:vertAlign w:val="subscript"/>
        </w:rPr>
        <w:t>t</w:t>
      </w:r>
      <w:r>
        <w:t>－未来第t</w:t>
      </w:r>
      <w:proofErr w:type="gramStart"/>
      <w:r>
        <w:t>个</w:t>
      </w:r>
      <w:proofErr w:type="gramEnd"/>
      <w:r>
        <w:t>收益期的收益额</w:t>
      </w:r>
      <w:r w:rsidR="00137FD3">
        <w:rPr>
          <w:rFonts w:hint="eastAsia"/>
        </w:rPr>
        <w:t>；</w:t>
      </w:r>
    </w:p>
    <w:p w14:paraId="1CDCAF40" w14:textId="1A84B127" w:rsidR="00137FD3" w:rsidRDefault="000A4228" w:rsidP="000A4228">
      <w:pPr>
        <w:pStyle w:val="13"/>
      </w:pPr>
      <w:r>
        <w:lastRenderedPageBreak/>
        <w:t>n－剩余经济寿命期</w:t>
      </w:r>
      <w:r w:rsidR="00137FD3">
        <w:rPr>
          <w:rFonts w:hint="eastAsia"/>
        </w:rPr>
        <w:t>；</w:t>
      </w:r>
    </w:p>
    <w:p w14:paraId="2107651A" w14:textId="0226AE27" w:rsidR="00137FD3" w:rsidRDefault="000A4228" w:rsidP="000A4228">
      <w:pPr>
        <w:pStyle w:val="13"/>
      </w:pPr>
      <w:r>
        <w:t>t－未来第t年</w:t>
      </w:r>
      <w:r w:rsidR="00137FD3">
        <w:rPr>
          <w:rFonts w:hint="eastAsia"/>
        </w:rPr>
        <w:t>；</w:t>
      </w:r>
    </w:p>
    <w:p w14:paraId="05435CC0" w14:textId="49005B67" w:rsidR="000A4228" w:rsidRDefault="000A4228" w:rsidP="000A4228">
      <w:pPr>
        <w:pStyle w:val="13"/>
      </w:pPr>
      <w:proofErr w:type="spellStart"/>
      <w:r>
        <w:t>i</w:t>
      </w:r>
      <w:proofErr w:type="spellEnd"/>
      <w:r>
        <w:t>－折现率</w:t>
      </w:r>
      <w:r w:rsidR="00137FD3">
        <w:rPr>
          <w:rFonts w:hint="eastAsia"/>
        </w:rPr>
        <w:t>。</w:t>
      </w:r>
    </w:p>
    <w:p w14:paraId="50AACEA9" w14:textId="77777777" w:rsidR="000A4228" w:rsidRDefault="000A4228" w:rsidP="000A4228">
      <w:pPr>
        <w:pStyle w:val="13"/>
      </w:pPr>
      <w:r>
        <w:rPr>
          <w:rFonts w:hint="eastAsia"/>
        </w:rPr>
        <w:t>根据收益法基本公式，在获取数据资产相关信息的基础上，根据该数据资产或者类似数据资产的历史应用情况以及未来应用前景，结合数据资产应用的商业模式，重点分析数据资产经济收益的可预测性，考虑收益法的适用性。</w:t>
      </w:r>
    </w:p>
    <w:p w14:paraId="4E6CB9E8" w14:textId="5FCE0E9B" w:rsidR="00E04C89" w:rsidRDefault="00E05BDA" w:rsidP="000A4228">
      <w:pPr>
        <w:pStyle w:val="13"/>
        <w:ind w:firstLine="482"/>
      </w:pPr>
      <w:r w:rsidRPr="00E05BDA">
        <w:rPr>
          <w:rFonts w:hint="eastAsia"/>
          <w:b/>
        </w:rPr>
        <w:t xml:space="preserve">第二十二条 </w:t>
      </w:r>
      <w:r w:rsidR="000A4228">
        <w:t>在估算数据资产带来的预期收益时，需要区分数据资产和其他资产所获得的收益，分析与之有关的预期变动、收益期限、成本费用、配套资产、现金流量、风险因素等。</w:t>
      </w:r>
    </w:p>
    <w:p w14:paraId="6AE7DA69" w14:textId="344C7140" w:rsidR="00137FD3" w:rsidRDefault="00137FD3" w:rsidP="00137FD3">
      <w:pPr>
        <w:pStyle w:val="13"/>
      </w:pPr>
      <w:r>
        <w:rPr>
          <w:rFonts w:hint="eastAsia"/>
        </w:rPr>
        <w:t>数据资产的预期收益是因数据资产的使用而额外带来的收益，数据资产收益现金流是全部收益扣除其他资产的贡献后归属于数据资产的现金流。数据资产的获利形式通常包括：</w:t>
      </w:r>
    </w:p>
    <w:p w14:paraId="5BB2CD14" w14:textId="77777777" w:rsidR="00137FD3" w:rsidRDefault="00137FD3" w:rsidP="00137FD3">
      <w:pPr>
        <w:pStyle w:val="13"/>
      </w:pPr>
      <w:r>
        <w:rPr>
          <w:rFonts w:hint="eastAsia"/>
        </w:rPr>
        <w:t>对企业顾客群体细分、模拟实境、提高投入回报率、数据存储空间出租、管理客户关系、个性化精准推荐、数据搜索等。</w:t>
      </w:r>
    </w:p>
    <w:p w14:paraId="7572577F" w14:textId="77777777" w:rsidR="00137FD3" w:rsidRDefault="00137FD3" w:rsidP="00137FD3">
      <w:pPr>
        <w:pStyle w:val="13"/>
      </w:pPr>
      <w:r>
        <w:rPr>
          <w:rFonts w:hint="eastAsia"/>
        </w:rPr>
        <w:t>目前确定数据资产现金流的方法有增量收益、收益分成或者超额收益等方式。确定预期收益时，注意区分并剔除与委托评估的数据资产无关的业务产生的收益，并关注数据资产产品或者服务所属行业的市场规模、市场地位以及相关企业的经营情况。</w:t>
      </w:r>
    </w:p>
    <w:p w14:paraId="3E939E2B" w14:textId="4E1EA799" w:rsidR="00137FD3" w:rsidRDefault="00E05BDA" w:rsidP="00137FD3">
      <w:pPr>
        <w:pStyle w:val="13"/>
        <w:ind w:firstLine="482"/>
      </w:pPr>
      <w:r w:rsidRPr="00E05BDA">
        <w:rPr>
          <w:rFonts w:hint="eastAsia"/>
          <w:b/>
        </w:rPr>
        <w:t xml:space="preserve">第二十三条 </w:t>
      </w:r>
      <w:r w:rsidR="00137FD3">
        <w:t>使用收益法执行数据资产评估业务时，需要综合考虑法律保护期限、相关合同约定期限、数据资产的产生时间、数据资产的更新时间、数据资产的时效性以及数据资产的权利状况等因素确定收益期限。收益期限不得超出产品或者服务的合理收益期。</w:t>
      </w:r>
    </w:p>
    <w:p w14:paraId="4027BB5A" w14:textId="1D562D74" w:rsidR="00137FD3" w:rsidRDefault="00E05BDA" w:rsidP="00137FD3">
      <w:pPr>
        <w:pStyle w:val="13"/>
        <w:ind w:firstLine="482"/>
      </w:pPr>
      <w:r w:rsidRPr="00E05BDA">
        <w:rPr>
          <w:rFonts w:hint="eastAsia"/>
          <w:b/>
        </w:rPr>
        <w:t xml:space="preserve">第二十四条 </w:t>
      </w:r>
      <w:r w:rsidR="00137FD3">
        <w:t>使用收益法执行数据资产评估业务时，应当合理确定折现率。折现率可以通过分析评估基准日的利率、投资回报率，以及数据资产权利实施过程中的技术、经营、市场、资金等因素确定。数据资产折现率可以采用无风险</w:t>
      </w:r>
      <w:proofErr w:type="gramStart"/>
      <w:r w:rsidR="00137FD3">
        <w:t>报酬率加风险</w:t>
      </w:r>
      <w:proofErr w:type="gramEnd"/>
      <w:r w:rsidR="00137FD3">
        <w:t>报酬率的方式确定。数据资产折现率与预期收益的口径保持一致。</w:t>
      </w:r>
    </w:p>
    <w:p w14:paraId="4F4B3C78" w14:textId="66EC2653" w:rsidR="00137FD3" w:rsidRDefault="00E05BDA" w:rsidP="00137FD3">
      <w:pPr>
        <w:pStyle w:val="13"/>
        <w:ind w:firstLine="482"/>
      </w:pPr>
      <w:r w:rsidRPr="00E05BDA">
        <w:rPr>
          <w:rFonts w:hint="eastAsia"/>
          <w:b/>
        </w:rPr>
        <w:t xml:space="preserve">第二十五条 </w:t>
      </w:r>
      <w:r w:rsidR="00137FD3">
        <w:t>执行数据资产评估业务，选用市场法的前提条件是具有公开并活跃的交易市场。</w:t>
      </w:r>
    </w:p>
    <w:p w14:paraId="145B9A18" w14:textId="2C84609C" w:rsidR="00137FD3" w:rsidRDefault="00E05BDA" w:rsidP="00137FD3">
      <w:pPr>
        <w:pStyle w:val="13"/>
        <w:ind w:firstLine="482"/>
      </w:pPr>
      <w:r w:rsidRPr="00E05BDA">
        <w:rPr>
          <w:rFonts w:hint="eastAsia"/>
          <w:b/>
        </w:rPr>
        <w:t xml:space="preserve">第二十六条 </w:t>
      </w:r>
      <w:r w:rsidR="00137FD3">
        <w:t>市场法通过以下公式中的因素修正评估数据资产价值：</w:t>
      </w:r>
    </w:p>
    <w:p w14:paraId="19333DAC" w14:textId="77777777" w:rsidR="00137FD3" w:rsidRDefault="00137FD3" w:rsidP="00137FD3">
      <w:pPr>
        <w:pStyle w:val="13"/>
      </w:pPr>
      <w:r>
        <w:rPr>
          <w:rFonts w:hint="eastAsia"/>
        </w:rPr>
        <w:t>被评估数据资产的价值</w:t>
      </w:r>
      <w:r>
        <w:t>=可比案例数据资产的价值×技术修正系数×价值密度修正系数×期日修正系数×容量修正系数×其他修正系数</w:t>
      </w:r>
    </w:p>
    <w:p w14:paraId="5DD1B6BD" w14:textId="5702DE22" w:rsidR="00137FD3" w:rsidRDefault="00E05BDA" w:rsidP="00137FD3">
      <w:pPr>
        <w:pStyle w:val="13"/>
        <w:ind w:firstLine="482"/>
      </w:pPr>
      <w:r w:rsidRPr="00E05BDA">
        <w:rPr>
          <w:rFonts w:hint="eastAsia"/>
          <w:b/>
        </w:rPr>
        <w:t xml:space="preserve">第二十七条 </w:t>
      </w:r>
      <w:r w:rsidR="00137FD3">
        <w:t>使用市场法执行数据资产评估业务时，在充分了解被评估数据资产的情况后，需要搜集类似数据资产交易案例相关信息，包括交易价格、交易时间、交易条件等信息，并从中选取可比案例。对于类似数据资产，可以从相近数据类型和相近数据用途两个方面获取。目前比较常见的数据类型包括：用户关系数据、基于用户</w:t>
      </w:r>
      <w:r w:rsidR="00137FD3">
        <w:lastRenderedPageBreak/>
        <w:t>关系产生的社交数据、交易数据、信用数据、移动数据、用户搜索表征的需求数据等。目前比较常见的数据用途包括：精准化营销、产品销售预测和需求管理、客户关系管理、风险管控等。</w:t>
      </w:r>
    </w:p>
    <w:p w14:paraId="0EC57A0D" w14:textId="48E09DFF" w:rsidR="00137FD3" w:rsidRDefault="00E05BDA" w:rsidP="005D786E">
      <w:pPr>
        <w:pStyle w:val="13"/>
        <w:ind w:firstLine="482"/>
      </w:pPr>
      <w:r w:rsidRPr="00E05BDA">
        <w:rPr>
          <w:rFonts w:hint="eastAsia"/>
          <w:b/>
        </w:rPr>
        <w:t xml:space="preserve">第二十八条 </w:t>
      </w:r>
      <w:r w:rsidR="00137FD3">
        <w:t>使用市场法执行数据资产评估业务时，应当收集足够的可比交易案例，</w:t>
      </w:r>
      <w:r w:rsidR="00137FD3">
        <w:rPr>
          <w:rFonts w:hint="eastAsia"/>
        </w:rPr>
        <w:t>并根据数据资产特性对交易信息进行必要调整，调整参数一般可以包括技术修正系数、价值密度修正系数、期日修正系数、容量修正系数和其他修正系数。</w:t>
      </w:r>
    </w:p>
    <w:p w14:paraId="48E7FB0C" w14:textId="77777777" w:rsidR="00137FD3" w:rsidRDefault="00137FD3" w:rsidP="00137FD3">
      <w:pPr>
        <w:pStyle w:val="13"/>
      </w:pPr>
      <w:r>
        <w:rPr>
          <w:rFonts w:hint="eastAsia"/>
        </w:rPr>
        <w:t>其中，技术修正系数主要考虑因技术因素带来的数据资产价值差异，通常包括数据获取、数据存储、数据加工、数据挖掘、数据保护、数据共享等因素。</w:t>
      </w:r>
    </w:p>
    <w:p w14:paraId="0696C94A" w14:textId="77777777" w:rsidR="00137FD3" w:rsidRDefault="00137FD3" w:rsidP="00137FD3">
      <w:pPr>
        <w:pStyle w:val="13"/>
      </w:pPr>
      <w:r>
        <w:rPr>
          <w:rFonts w:hint="eastAsia"/>
        </w:rPr>
        <w:t>期日修正系数主要考虑评估基准日与可比案例交易日期的不同带来的数据资产价值差异。一般来说，离评估基准日越近，越能反应相近商业环境下的成交价，其价值差异越小。</w:t>
      </w:r>
    </w:p>
    <w:p w14:paraId="61B4CBC3" w14:textId="77777777" w:rsidR="00137FD3" w:rsidRDefault="00137FD3" w:rsidP="00137FD3">
      <w:pPr>
        <w:pStyle w:val="13"/>
      </w:pPr>
      <w:r>
        <w:rPr>
          <w:rFonts w:hint="eastAsia"/>
        </w:rPr>
        <w:t>期日修正系数的基本公式为：期日修正系数</w:t>
      </w:r>
      <w:r>
        <w:t>=评估基准日价格指数/可比案例交易日价格指数。</w:t>
      </w:r>
    </w:p>
    <w:p w14:paraId="5E526D5B" w14:textId="68FF9EAA" w:rsidR="00137FD3" w:rsidRDefault="00137FD3" w:rsidP="005D786E">
      <w:pPr>
        <w:pStyle w:val="13"/>
      </w:pPr>
      <w:r>
        <w:rPr>
          <w:rFonts w:hint="eastAsia"/>
        </w:rPr>
        <w:t>容量修正系数主要考虑不同数据容量带来的数据资产价值差异，其基本逻辑为：一般情况下，价值密度接近时，容量越大，数据资产总价值越高。容量修正系数的基本公式为：容量修正系数</w:t>
      </w:r>
      <w:r>
        <w:t>=评估对象的容量/可比案例的容量。当评估对象和可比案例的价值密度相同或者相近时，一般只需要考虑数据容量对资产价值的影响；当评估对象和可比案例的价值密度差异较大时，除需要考虑数据容量之外，还需要考虑价值密度对资产价值的影响。</w:t>
      </w:r>
    </w:p>
    <w:p w14:paraId="1B3A1EBE" w14:textId="77777777" w:rsidR="00137FD3" w:rsidRDefault="00137FD3" w:rsidP="00137FD3">
      <w:pPr>
        <w:pStyle w:val="13"/>
      </w:pPr>
      <w:r>
        <w:rPr>
          <w:rFonts w:hint="eastAsia"/>
        </w:rPr>
        <w:t>价值密度修正系数主要考虑有效数据占总体数据比例不同带来的数据资产价值差异。价值密度用单位数据的价值来衡量，价值密度修正系数的逻辑为：有效数据（指在总体数据中对整体价值有贡献的那部分数据）占总体数据量比重越大，</w:t>
      </w:r>
      <w:proofErr w:type="gramStart"/>
      <w:r>
        <w:rPr>
          <w:rFonts w:hint="eastAsia"/>
        </w:rPr>
        <w:t>则数据</w:t>
      </w:r>
      <w:proofErr w:type="gramEnd"/>
      <w:r>
        <w:rPr>
          <w:rFonts w:hint="eastAsia"/>
        </w:rPr>
        <w:t>资产总价值越高。如果一项数据资产可以进一步拆分为多项子数据资产，每一项子数据资产可能具有不同的价值密度，那么总体的价值密度应当考虑每个子数据资产的价值密度。</w:t>
      </w:r>
    </w:p>
    <w:p w14:paraId="1FBA1AF8" w14:textId="77777777" w:rsidR="00137FD3" w:rsidRDefault="00137FD3" w:rsidP="00137FD3">
      <w:pPr>
        <w:pStyle w:val="13"/>
      </w:pPr>
      <w:r>
        <w:rPr>
          <w:rFonts w:hint="eastAsia"/>
        </w:rPr>
        <w:t>其他修正系数主要考虑数据资产评估实务中，根据具体数据资产的情况，影响数据资产价值差异的其他因素，例如，市场供需状况差异。可以根据实际情况考虑可比案例差异，选择修正系数。</w:t>
      </w:r>
    </w:p>
    <w:p w14:paraId="41A95B8F" w14:textId="317F4460" w:rsidR="00137FD3" w:rsidRDefault="00E05BDA" w:rsidP="00137FD3">
      <w:pPr>
        <w:pStyle w:val="13"/>
        <w:ind w:firstLine="482"/>
      </w:pPr>
      <w:r w:rsidRPr="00E05BDA">
        <w:rPr>
          <w:rFonts w:hint="eastAsia"/>
          <w:b/>
        </w:rPr>
        <w:t xml:space="preserve">第二十九条 </w:t>
      </w:r>
      <w:r w:rsidR="00137FD3">
        <w:t>当前正值数据资产市场建设期，交易透明度、信息公开度还需要时间来提升，有些数据资产不是在企业经营中形成直接收益，直接预测收益有一定难度，需要进行大量的市场调研、应用推演和实践检验。在上述条件下，可以考虑使用成本法</w:t>
      </w:r>
      <w:r w:rsidR="003068F8">
        <w:t>，</w:t>
      </w:r>
      <w:r w:rsidR="00137FD3">
        <w:t>而收益法和市场法通常适用于交易性和收益性较好的数据资产评估。</w:t>
      </w:r>
    </w:p>
    <w:p w14:paraId="6A589DEE" w14:textId="0DBF0687" w:rsidR="00137FD3" w:rsidRDefault="00E05BDA" w:rsidP="00137FD3">
      <w:pPr>
        <w:pStyle w:val="13"/>
        <w:ind w:firstLine="482"/>
      </w:pPr>
      <w:r w:rsidRPr="00E05BDA">
        <w:rPr>
          <w:rFonts w:hint="eastAsia"/>
          <w:b/>
        </w:rPr>
        <w:t xml:space="preserve">第三十条 </w:t>
      </w:r>
      <w:r w:rsidR="00137FD3">
        <w:t>资产评估专业人员执行数据资产评估业务时，不论选择哪种评估方法进行评估，都应当保证评估目的与评估所依据的各种假设、前提条件，所使用的各种</w:t>
      </w:r>
      <w:r w:rsidR="00137FD3">
        <w:lastRenderedPageBreak/>
        <w:t>参数</w:t>
      </w:r>
      <w:r w:rsidR="003068F8">
        <w:t>，</w:t>
      </w:r>
      <w:r w:rsidR="00137FD3">
        <w:t>在性质和逻辑上的一致。尤其是在运用多种评估方法评估同一评估对象时，更要保证每种评估方法运用中所依据的各种假设、前提条件，数据参数的可比性，以便能够使运用不同评估方法所得到的测算结果具有可比性和相互可验证性。</w:t>
      </w:r>
    </w:p>
    <w:p w14:paraId="64AFA833" w14:textId="77777777" w:rsidR="00137FD3" w:rsidRDefault="00137FD3" w:rsidP="00AF7342">
      <w:pPr>
        <w:pStyle w:val="a9"/>
        <w:spacing w:before="62" w:after="62"/>
      </w:pPr>
      <w:r>
        <w:rPr>
          <w:rFonts w:hint="eastAsia"/>
        </w:rPr>
        <w:t>第四章</w:t>
      </w:r>
      <w:r>
        <w:t xml:space="preserve"> 数据资产评估报告的编制</w:t>
      </w:r>
    </w:p>
    <w:p w14:paraId="41D48637" w14:textId="3A6754CB" w:rsidR="00137FD3" w:rsidRDefault="003B2FB1" w:rsidP="00137FD3">
      <w:pPr>
        <w:pStyle w:val="13"/>
        <w:ind w:firstLine="482"/>
      </w:pPr>
      <w:r w:rsidRPr="003B2FB1">
        <w:rPr>
          <w:rFonts w:hint="eastAsia"/>
          <w:b/>
        </w:rPr>
        <w:t xml:space="preserve">第三十一条 </w:t>
      </w:r>
      <w:r w:rsidR="00137FD3">
        <w:t>鉴于我国数据资产的产权还没有专门的法律法规予以明确，在编制数据资产评估报告时，可以</w:t>
      </w:r>
      <w:proofErr w:type="gramStart"/>
      <w:r w:rsidR="00137FD3">
        <w:t>就数据</w:t>
      </w:r>
      <w:proofErr w:type="gramEnd"/>
      <w:r w:rsidR="00137FD3">
        <w:t>资产的来源、加工、形成进行描述，关注资产评估相关准则对评估对象产权描述的规定。</w:t>
      </w:r>
    </w:p>
    <w:p w14:paraId="112DD615" w14:textId="10C30B4D" w:rsidR="00137FD3" w:rsidRDefault="003B2FB1" w:rsidP="00137FD3">
      <w:pPr>
        <w:pStyle w:val="13"/>
        <w:ind w:firstLine="482"/>
      </w:pPr>
      <w:r w:rsidRPr="003B2FB1">
        <w:rPr>
          <w:rFonts w:hint="eastAsia"/>
          <w:b/>
        </w:rPr>
        <w:t xml:space="preserve">第三十二条 </w:t>
      </w:r>
      <w:r w:rsidR="00137FD3">
        <w:t>在编制数据资产评估报告时，不得违法披露数据资产涉及的国家安全、商业秘密、个人隐私等数据。</w:t>
      </w:r>
    </w:p>
    <w:p w14:paraId="267A9EE6" w14:textId="13458D88" w:rsidR="00137FD3" w:rsidRDefault="003B2FB1" w:rsidP="00137FD3">
      <w:pPr>
        <w:pStyle w:val="13"/>
        <w:ind w:firstLine="482"/>
      </w:pPr>
      <w:r w:rsidRPr="003B2FB1">
        <w:rPr>
          <w:rFonts w:hint="eastAsia"/>
          <w:b/>
        </w:rPr>
        <w:t xml:space="preserve">第三十三条 </w:t>
      </w:r>
      <w:r w:rsidR="00137FD3">
        <w:t>编制数据资产评估报告需要反映数据资产的特点，通常包括下列内容：</w:t>
      </w:r>
    </w:p>
    <w:p w14:paraId="492EAB08" w14:textId="77777777" w:rsidR="00137FD3" w:rsidRDefault="00137FD3" w:rsidP="00137FD3">
      <w:pPr>
        <w:pStyle w:val="13"/>
      </w:pPr>
      <w:r>
        <w:rPr>
          <w:rFonts w:hint="eastAsia"/>
        </w:rPr>
        <w:t>（一）评估对象的详细情况，通常包括数据资产的名称、来源、数据规模、产生时间、更新时间、数据类型、呈现形式、时效性、应用范围、权利属性、使用权具体形式以及法律状态等；</w:t>
      </w:r>
    </w:p>
    <w:p w14:paraId="1E6424B4" w14:textId="77777777" w:rsidR="00137FD3" w:rsidRDefault="00137FD3" w:rsidP="00137FD3">
      <w:pPr>
        <w:pStyle w:val="13"/>
      </w:pPr>
      <w:r>
        <w:rPr>
          <w:rFonts w:hint="eastAsia"/>
        </w:rPr>
        <w:t>（二）数据资产应用的商业模式；</w:t>
      </w:r>
    </w:p>
    <w:p w14:paraId="02E0DC38" w14:textId="77777777" w:rsidR="00137FD3" w:rsidRDefault="00137FD3" w:rsidP="00137FD3">
      <w:pPr>
        <w:pStyle w:val="13"/>
      </w:pPr>
      <w:r>
        <w:rPr>
          <w:rFonts w:hint="eastAsia"/>
        </w:rPr>
        <w:t>（三）对影响数据资产价值的基本因素、法律因素、经济因素的分析过程；</w:t>
      </w:r>
    </w:p>
    <w:p w14:paraId="076D071F" w14:textId="77777777" w:rsidR="00137FD3" w:rsidRDefault="00137FD3" w:rsidP="00137FD3">
      <w:pPr>
        <w:pStyle w:val="13"/>
      </w:pPr>
      <w:r>
        <w:rPr>
          <w:rFonts w:hint="eastAsia"/>
        </w:rPr>
        <w:t>（四）使用的评估假设和前提条件；</w:t>
      </w:r>
    </w:p>
    <w:p w14:paraId="7CB6DB45" w14:textId="77777777" w:rsidR="00137FD3" w:rsidRDefault="00137FD3" w:rsidP="00137FD3">
      <w:pPr>
        <w:pStyle w:val="13"/>
      </w:pPr>
      <w:r>
        <w:rPr>
          <w:rFonts w:hint="eastAsia"/>
        </w:rPr>
        <w:t>（五）数据资产的许可使用、转让、诉讼和质押情况；</w:t>
      </w:r>
    </w:p>
    <w:p w14:paraId="0E06E0F1" w14:textId="77777777" w:rsidR="00137FD3" w:rsidRDefault="00137FD3" w:rsidP="00137FD3">
      <w:pPr>
        <w:pStyle w:val="13"/>
      </w:pPr>
      <w:r>
        <w:rPr>
          <w:rFonts w:hint="eastAsia"/>
        </w:rPr>
        <w:t>（六）有关评估方法的主要内容，包括评估方法的选取及其理由，评估方法中的运算和逻辑推理公式，各重要参数的来源、分析、比较与测算过程，对测算结果进行分析并形成评估结论的过程；</w:t>
      </w:r>
    </w:p>
    <w:p w14:paraId="38F0440F" w14:textId="77777777" w:rsidR="00137FD3" w:rsidRDefault="00137FD3" w:rsidP="00137FD3">
      <w:pPr>
        <w:pStyle w:val="13"/>
      </w:pPr>
      <w:r>
        <w:rPr>
          <w:rFonts w:hint="eastAsia"/>
        </w:rPr>
        <w:t>（七）其他必要信息。</w:t>
      </w:r>
    </w:p>
    <w:p w14:paraId="7FB34698" w14:textId="3A99AB46" w:rsidR="00137FD3" w:rsidRDefault="00137FD3" w:rsidP="00137FD3">
      <w:pPr>
        <w:pStyle w:val="31"/>
        <w:spacing w:before="156" w:after="62"/>
      </w:pPr>
      <w:bookmarkStart w:id="75" w:name="_Toc81833339"/>
      <w:r>
        <w:rPr>
          <w:rFonts w:hint="eastAsia"/>
        </w:rPr>
        <w:t>资产评估专家指引第</w:t>
      </w:r>
      <w:r>
        <w:t>10号—在新冠肺炎疫情期间</w:t>
      </w:r>
      <w:proofErr w:type="gramStart"/>
      <w:r>
        <w:t>合理履行</w:t>
      </w:r>
      <w:proofErr w:type="gramEnd"/>
      <w:r>
        <w:t>资产评估程序</w:t>
      </w:r>
      <w:r>
        <w:br/>
        <w:t>（</w:t>
      </w:r>
      <w:proofErr w:type="gramStart"/>
      <w:r>
        <w:t>中评协</w:t>
      </w:r>
      <w:proofErr w:type="gramEnd"/>
      <w:r>
        <w:t>〔2020〕6号）</w:t>
      </w:r>
      <w:bookmarkEnd w:id="75"/>
    </w:p>
    <w:p w14:paraId="1BA83C51" w14:textId="77777777" w:rsidR="00137FD3" w:rsidRDefault="00137FD3" w:rsidP="00137FD3">
      <w:pPr>
        <w:pStyle w:val="13"/>
      </w:pPr>
      <w:r>
        <w:rPr>
          <w:rFonts w:hint="eastAsia"/>
        </w:rPr>
        <w:t>为指导资产评估机构及其资产评估专业人员在新冠肺炎疫情期间</w:t>
      </w:r>
      <w:proofErr w:type="gramStart"/>
      <w:r>
        <w:rPr>
          <w:rFonts w:hint="eastAsia"/>
        </w:rPr>
        <w:t>合理履行</w:t>
      </w:r>
      <w:proofErr w:type="gramEnd"/>
      <w:r>
        <w:rPr>
          <w:rFonts w:hint="eastAsia"/>
        </w:rPr>
        <w:t>资产评估程序，中国资产评估协会制定了《资产评估专家指引第</w:t>
      </w:r>
      <w:r>
        <w:t>10号—在新冠肺炎疫情期间合理履行资产评估程序》，现予印发，</w:t>
      </w:r>
      <w:proofErr w:type="gramStart"/>
      <w:r>
        <w:t>供资产</w:t>
      </w:r>
      <w:proofErr w:type="gramEnd"/>
      <w:r>
        <w:t>评估机构及其资产评估专业人员在新冠肺炎疫情期间执行资产评估业务时参考。</w:t>
      </w:r>
    </w:p>
    <w:p w14:paraId="553C287B" w14:textId="77777777" w:rsidR="00137FD3" w:rsidRDefault="00137FD3" w:rsidP="00137FD3">
      <w:pPr>
        <w:pStyle w:val="13"/>
      </w:pPr>
      <w:r>
        <w:rPr>
          <w:rFonts w:hint="eastAsia"/>
        </w:rPr>
        <w:t>请各地</w:t>
      </w:r>
      <w:proofErr w:type="gramStart"/>
      <w:r>
        <w:rPr>
          <w:rFonts w:hint="eastAsia"/>
        </w:rPr>
        <w:t>方协会</w:t>
      </w:r>
      <w:proofErr w:type="gramEnd"/>
      <w:r>
        <w:rPr>
          <w:rFonts w:hint="eastAsia"/>
        </w:rPr>
        <w:t>将《资产评估专家指引第</w:t>
      </w:r>
      <w:r>
        <w:t>10号—在新冠肺炎疫情期间合理履行资产评估程序》及时转发资产评估机构。</w:t>
      </w:r>
    </w:p>
    <w:p w14:paraId="7FE9E340" w14:textId="77777777" w:rsidR="00137FD3" w:rsidRDefault="00137FD3" w:rsidP="00137FD3">
      <w:pPr>
        <w:pStyle w:val="13"/>
      </w:pPr>
      <w:r>
        <w:rPr>
          <w:rFonts w:hint="eastAsia"/>
        </w:rPr>
        <w:t>附件：资产评估专家指引第</w:t>
      </w:r>
      <w:r>
        <w:t>10号—在新冠肺炎疫情期间</w:t>
      </w:r>
      <w:proofErr w:type="gramStart"/>
      <w:r>
        <w:t>合理履行</w:t>
      </w:r>
      <w:proofErr w:type="gramEnd"/>
      <w:r>
        <w:t>资产评估程序</w:t>
      </w:r>
    </w:p>
    <w:p w14:paraId="4AC01605" w14:textId="77777777" w:rsidR="00137FD3" w:rsidRDefault="00137FD3" w:rsidP="005D786E">
      <w:pPr>
        <w:pStyle w:val="13"/>
        <w:jc w:val="right"/>
      </w:pPr>
      <w:r>
        <w:rPr>
          <w:rFonts w:hint="eastAsia"/>
        </w:rPr>
        <w:t>中国资产评估协会</w:t>
      </w:r>
    </w:p>
    <w:p w14:paraId="6B56E2D8" w14:textId="46199CC0" w:rsidR="00E04C89" w:rsidRDefault="00137FD3" w:rsidP="005D786E">
      <w:pPr>
        <w:pStyle w:val="13"/>
        <w:jc w:val="right"/>
      </w:pPr>
      <w:r>
        <w:t>2020年3月11日</w:t>
      </w:r>
    </w:p>
    <w:p w14:paraId="410EAB93" w14:textId="17268969" w:rsidR="00E04C89" w:rsidRDefault="005D786E" w:rsidP="00AF7342">
      <w:pPr>
        <w:pStyle w:val="a9"/>
        <w:spacing w:before="62" w:after="62"/>
      </w:pPr>
      <w:r>
        <w:rPr>
          <w:rFonts w:hint="eastAsia"/>
        </w:rPr>
        <w:lastRenderedPageBreak/>
        <w:t>资产评估专家指引第</w:t>
      </w:r>
      <w:r>
        <w:t>10号—在新冠肺炎</w:t>
      </w:r>
      <w:r>
        <w:rPr>
          <w:rFonts w:hint="eastAsia"/>
        </w:rPr>
        <w:t>疫情期间</w:t>
      </w:r>
      <w:proofErr w:type="gramStart"/>
      <w:r>
        <w:rPr>
          <w:rFonts w:hint="eastAsia"/>
        </w:rPr>
        <w:t>合理履行</w:t>
      </w:r>
      <w:proofErr w:type="gramEnd"/>
      <w:r>
        <w:rPr>
          <w:rFonts w:hint="eastAsia"/>
        </w:rPr>
        <w:t>资产评估程序</w:t>
      </w:r>
    </w:p>
    <w:p w14:paraId="63F1CFF0" w14:textId="77777777" w:rsidR="005D786E" w:rsidRDefault="005D786E" w:rsidP="005D786E">
      <w:pPr>
        <w:pStyle w:val="13"/>
      </w:pPr>
      <w:proofErr w:type="gramStart"/>
      <w:r>
        <w:rPr>
          <w:rFonts w:hint="eastAsia"/>
        </w:rPr>
        <w:t>本专家</w:t>
      </w:r>
      <w:proofErr w:type="gramEnd"/>
      <w:r>
        <w:rPr>
          <w:rFonts w:hint="eastAsia"/>
        </w:rPr>
        <w:t>指引是一种专家建议。评估机构执行资产评估业务，可以参照</w:t>
      </w:r>
      <w:proofErr w:type="gramStart"/>
      <w:r>
        <w:rPr>
          <w:rFonts w:hint="eastAsia"/>
        </w:rPr>
        <w:t>本专家</w:t>
      </w:r>
      <w:proofErr w:type="gramEnd"/>
      <w:r>
        <w:rPr>
          <w:rFonts w:hint="eastAsia"/>
        </w:rPr>
        <w:t>指引，也可以根据具体情况采用其他适当的做法。中国资产评估协会将根据业务发展，对</w:t>
      </w:r>
      <w:proofErr w:type="gramStart"/>
      <w:r>
        <w:rPr>
          <w:rFonts w:hint="eastAsia"/>
        </w:rPr>
        <w:t>本专家</w:t>
      </w:r>
      <w:proofErr w:type="gramEnd"/>
      <w:r>
        <w:rPr>
          <w:rFonts w:hint="eastAsia"/>
        </w:rPr>
        <w:t>指引进行更新。</w:t>
      </w:r>
    </w:p>
    <w:p w14:paraId="4EC31A94" w14:textId="77777777" w:rsidR="005D786E" w:rsidRDefault="005D786E" w:rsidP="005D786E">
      <w:pPr>
        <w:pStyle w:val="13"/>
      </w:pPr>
      <w:r>
        <w:rPr>
          <w:rFonts w:hint="eastAsia"/>
        </w:rPr>
        <w:t>为指导资产评估机构及其资产评估专业人员在新冠肺炎疫情期间</w:t>
      </w:r>
      <w:proofErr w:type="gramStart"/>
      <w:r>
        <w:rPr>
          <w:rFonts w:hint="eastAsia"/>
        </w:rPr>
        <w:t>合理履行</w:t>
      </w:r>
      <w:proofErr w:type="gramEnd"/>
      <w:r>
        <w:rPr>
          <w:rFonts w:hint="eastAsia"/>
        </w:rPr>
        <w:t>资产评估程序，中国资产评估协会制定了</w:t>
      </w:r>
      <w:proofErr w:type="gramStart"/>
      <w:r>
        <w:rPr>
          <w:rFonts w:hint="eastAsia"/>
        </w:rPr>
        <w:t>本专家</w:t>
      </w:r>
      <w:proofErr w:type="gramEnd"/>
      <w:r>
        <w:rPr>
          <w:rFonts w:hint="eastAsia"/>
        </w:rPr>
        <w:t>指引。</w:t>
      </w:r>
    </w:p>
    <w:p w14:paraId="0EA661B9" w14:textId="77777777" w:rsidR="005D786E" w:rsidRPr="005D786E" w:rsidRDefault="005D786E" w:rsidP="005D786E">
      <w:pPr>
        <w:pStyle w:val="ab"/>
        <w:spacing w:before="62" w:after="62"/>
        <w:ind w:firstLine="482"/>
      </w:pPr>
      <w:r w:rsidRPr="005D786E">
        <w:rPr>
          <w:rFonts w:hint="eastAsia"/>
        </w:rPr>
        <w:t>一、执行资产评估业务应当遵守资产评估准则</w:t>
      </w:r>
    </w:p>
    <w:p w14:paraId="2DDF8B4A" w14:textId="37A6A21F" w:rsidR="005D786E" w:rsidRDefault="005D786E" w:rsidP="005D786E">
      <w:pPr>
        <w:pStyle w:val="13"/>
      </w:pPr>
      <w:r>
        <w:rPr>
          <w:rFonts w:hint="eastAsia"/>
        </w:rPr>
        <w:t>根据《资产评估法》《资产评估行业财政监督管理办法》和《资产评估基本准则》，资产评估准则是资产评估执业的标准。资产评估准则的规定，是资产评估行业、监管部门和资产评估报告使用人等相关各方的共识。</w:t>
      </w:r>
    </w:p>
    <w:p w14:paraId="73EF6275" w14:textId="77777777" w:rsidR="005D786E" w:rsidRDefault="005D786E" w:rsidP="005D786E">
      <w:pPr>
        <w:pStyle w:val="13"/>
      </w:pPr>
      <w:r>
        <w:rPr>
          <w:rFonts w:hint="eastAsia"/>
        </w:rPr>
        <w:t>资产评估机构及其资产评估专业人员执行资产评估业务，应当遵守资产评估准则。</w:t>
      </w:r>
    </w:p>
    <w:p w14:paraId="2C4045B7" w14:textId="77777777" w:rsidR="005D786E" w:rsidRDefault="005D786E" w:rsidP="005D786E">
      <w:pPr>
        <w:pStyle w:val="ab"/>
        <w:spacing w:before="62" w:after="62"/>
        <w:ind w:firstLine="482"/>
      </w:pPr>
      <w:r>
        <w:rPr>
          <w:rFonts w:hint="eastAsia"/>
        </w:rPr>
        <w:t>二、评估程序受限时应当及时与委托人沟通，合理采取弥补措施</w:t>
      </w:r>
    </w:p>
    <w:p w14:paraId="41A114C5" w14:textId="1FFF9D3F" w:rsidR="005D786E" w:rsidRDefault="005D786E" w:rsidP="005D786E">
      <w:pPr>
        <w:pStyle w:val="13"/>
      </w:pPr>
      <w:r>
        <w:rPr>
          <w:rFonts w:hint="eastAsia"/>
        </w:rPr>
        <w:t>与平时相比，疫情期间的主要执业难点在于现场调查程序和核查验证程序受到较大限制。对此，资产评估机构及其资产评估专业人员可以采取以下措施：</w:t>
      </w:r>
    </w:p>
    <w:p w14:paraId="5BA6A38E" w14:textId="77777777" w:rsidR="005D786E" w:rsidRDefault="005D786E" w:rsidP="005D786E">
      <w:pPr>
        <w:pStyle w:val="13"/>
      </w:pPr>
      <w:r>
        <w:t>1.及时与委托人沟通，合理确定现场调查、核查验证时间。</w:t>
      </w:r>
    </w:p>
    <w:p w14:paraId="22DD5E32" w14:textId="77777777" w:rsidR="005D786E" w:rsidRDefault="005D786E" w:rsidP="005D786E">
      <w:pPr>
        <w:pStyle w:val="13"/>
      </w:pPr>
      <w:r>
        <w:rPr>
          <w:rFonts w:hint="eastAsia"/>
        </w:rPr>
        <w:t>资产评估机构及其资产评估专业人员，应当及时与委托人沟通，根据被评估单位所在地域的疫情防控要求以及业务具体情况，可以延后现场调查、核查验证时间，避开防疫</w:t>
      </w:r>
      <w:proofErr w:type="gramStart"/>
      <w:r>
        <w:rPr>
          <w:rFonts w:hint="eastAsia"/>
        </w:rPr>
        <w:t>管控期和</w:t>
      </w:r>
      <w:proofErr w:type="gramEnd"/>
      <w:r>
        <w:rPr>
          <w:rFonts w:hint="eastAsia"/>
        </w:rPr>
        <w:t>人员隔离期。</w:t>
      </w:r>
    </w:p>
    <w:p w14:paraId="21737550" w14:textId="77777777" w:rsidR="005D786E" w:rsidRDefault="005D786E" w:rsidP="005D786E">
      <w:pPr>
        <w:pStyle w:val="13"/>
      </w:pPr>
      <w:r>
        <w:t>2.无法开展现场调查和核查验证的，应当采取适当的弥补措施。</w:t>
      </w:r>
    </w:p>
    <w:p w14:paraId="201E221A" w14:textId="279A210C" w:rsidR="005D786E" w:rsidRDefault="005D786E" w:rsidP="005D786E">
      <w:pPr>
        <w:pStyle w:val="13"/>
      </w:pPr>
      <w:r>
        <w:rPr>
          <w:rFonts w:hint="eastAsia"/>
        </w:rPr>
        <w:t>根据《资产评估执业准则—资产评估程序》，“执行资产评估业务，因法律法规规定、客观条件限制，无法或者不能完全履行资产评估基本程序，经采取措施弥补程序缺失，且未对评估结论产生重大影响时，资产评估机构及其资产评估专业人员可以继续开展业务，对评估结论产生重大影响或者无法判断其影响程度的，不得出具资产评估报告。”</w:t>
      </w:r>
    </w:p>
    <w:p w14:paraId="3F0EFDB6" w14:textId="77777777" w:rsidR="005D786E" w:rsidRDefault="005D786E" w:rsidP="005D786E">
      <w:pPr>
        <w:pStyle w:val="13"/>
      </w:pPr>
      <w:r>
        <w:rPr>
          <w:rFonts w:hint="eastAsia"/>
        </w:rPr>
        <w:t>根据当地政府部门发布的疫情防控、交通管制公告等，确实因疫情防控无法开展现场调查或者核查验证的，属于相关程序履行受到客观条件限制的情形，资产评估机构及其资产评估专业人员应当在符合疫情防控要求的前提下采取措施弥补程序缺失，并判断对评估结论产生的影响。</w:t>
      </w:r>
    </w:p>
    <w:p w14:paraId="3D2806C9" w14:textId="77777777" w:rsidR="005D786E" w:rsidRDefault="005D786E" w:rsidP="005D786E">
      <w:pPr>
        <w:pStyle w:val="13"/>
      </w:pPr>
      <w:r>
        <w:t>3.如实记录并充分披露评估程序受限情况和弥补措施。</w:t>
      </w:r>
    </w:p>
    <w:p w14:paraId="4399146D" w14:textId="77777777" w:rsidR="005D786E" w:rsidRDefault="005D786E" w:rsidP="005D786E">
      <w:pPr>
        <w:pStyle w:val="13"/>
      </w:pPr>
      <w:r>
        <w:rPr>
          <w:rFonts w:hint="eastAsia"/>
        </w:rPr>
        <w:t>《资产评估执业准则—资产评估程序》规定，“因法律法规规定、客观条件限制无法实施核查验证的事项，资产评估专业人员应当在工作底稿中予以说明，分析其对评估结论的影响程度</w:t>
      </w:r>
      <w:r>
        <w:t>,并在资产评估报告中予以披露。”《资产评估执业准则—资产</w:t>
      </w:r>
      <w:r>
        <w:lastRenderedPageBreak/>
        <w:t>评估报告》规定，“因法律法规规定、客观条件限制，无法或者不能完全履行资产评估基本程序，经采取措施弥补程序缺失，且未对评估结论产生重大影响的，可以出具资产评估报告，但应当在资产评估报告中说明资产评估程序受限情况、处理方式及其对评估结论的影响。”</w:t>
      </w:r>
    </w:p>
    <w:p w14:paraId="62B17768" w14:textId="77777777" w:rsidR="005D786E" w:rsidRDefault="005D786E" w:rsidP="005D786E">
      <w:pPr>
        <w:pStyle w:val="13"/>
      </w:pPr>
      <w:r>
        <w:rPr>
          <w:rFonts w:hint="eastAsia"/>
        </w:rPr>
        <w:t>资产评估机构及其资产评估专业人员先行通过电子邮件、视频、</w:t>
      </w:r>
      <w:proofErr w:type="gramStart"/>
      <w:r>
        <w:rPr>
          <w:rFonts w:hint="eastAsia"/>
        </w:rPr>
        <w:t>微信等</w:t>
      </w:r>
      <w:proofErr w:type="gramEnd"/>
      <w:r>
        <w:rPr>
          <w:rFonts w:hint="eastAsia"/>
        </w:rPr>
        <w:t>现代通讯方式获取资料，开展基础核查工作，并待疫情结束再补充现场核查工作的，应当作好相关评估工作计划。</w:t>
      </w:r>
    </w:p>
    <w:p w14:paraId="4D3EBA81" w14:textId="77777777" w:rsidR="005D786E" w:rsidRDefault="005D786E" w:rsidP="005D786E">
      <w:pPr>
        <w:pStyle w:val="13"/>
      </w:pPr>
      <w:r>
        <w:rPr>
          <w:rFonts w:hint="eastAsia"/>
        </w:rPr>
        <w:t>对于开展基础核查工作后认为资产评估程序受限对评估结论不产生重大影响，并且确实亟需出具资产评估报告的，经委托人、有关监管部门和资产评估报告使用人同意，资产评估机构及其资产评估专业人员可以先行出具资产评估报告，待疫情结束再后续开展现场核查工作，并在资产评估报告中对受限事项予以披露，提请资产评估报告使用人对未履行现场核查程序予以特别关注。</w:t>
      </w:r>
    </w:p>
    <w:p w14:paraId="79F09788" w14:textId="42600C7A" w:rsidR="005D786E" w:rsidRDefault="005D786E" w:rsidP="00ED7434">
      <w:pPr>
        <w:pStyle w:val="13"/>
      </w:pPr>
      <w:r>
        <w:rPr>
          <w:rFonts w:hint="eastAsia"/>
        </w:rPr>
        <w:t>资产评估程序受限情况消除后，在资产评估报告未使用前，资产评估机构及其资产评估专业人员应当在补充相关现场核查程序后，判断是否需要调整评估结论和资产评估报告。如果需要调整，应当在资产评估报告中披露调整情况，并将调整后的资产评估报告提交委托人。</w:t>
      </w:r>
    </w:p>
    <w:p w14:paraId="1FB76022" w14:textId="79CB7311" w:rsidR="005D786E" w:rsidRDefault="005D786E" w:rsidP="00ED7434">
      <w:pPr>
        <w:pStyle w:val="13"/>
      </w:pPr>
      <w:r>
        <w:rPr>
          <w:rFonts w:hint="eastAsia"/>
        </w:rPr>
        <w:t>资产评估程序受限情况消除后，如果资产评估报告已经使用，资产评估机构及其资产评估专业人员应当在补充相关现场核查程序后，出具关于对评估结论影响情况的说明，并提交委托人。</w:t>
      </w:r>
    </w:p>
    <w:p w14:paraId="58EFBC9C" w14:textId="77777777" w:rsidR="005D786E" w:rsidRDefault="005D786E" w:rsidP="005D786E">
      <w:pPr>
        <w:pStyle w:val="13"/>
      </w:pPr>
      <w:r>
        <w:rPr>
          <w:rFonts w:hint="eastAsia"/>
        </w:rPr>
        <w:t>资产评估机构及其资产评估专业人员应当在工作底稿中如实记录并在资产评估报告中充分披露资产评估程序受限情况和采取的弥补措施，以及对评估结论的影响。</w:t>
      </w:r>
    </w:p>
    <w:p w14:paraId="002398B9" w14:textId="77777777" w:rsidR="005D786E" w:rsidRDefault="005D786E" w:rsidP="005D786E">
      <w:pPr>
        <w:pStyle w:val="13"/>
      </w:pPr>
      <w:r>
        <w:t>4.加强特殊介质工作底稿的管理。</w:t>
      </w:r>
    </w:p>
    <w:p w14:paraId="70A6A1D5" w14:textId="77777777" w:rsidR="005D786E" w:rsidRDefault="005D786E" w:rsidP="005D786E">
      <w:pPr>
        <w:pStyle w:val="13"/>
      </w:pPr>
      <w:r>
        <w:rPr>
          <w:rFonts w:hint="eastAsia"/>
        </w:rPr>
        <w:t>《资产评估执业准则—资产评估档案》规定，“工作底稿可以是纸质文档、电子文档或者其他介质形式的文档，资产评估机构及其资产评估专业人员应当根据资产评估业务具体情况和工作底稿介质的理化特性谨慎选择工作底稿的介质形式。”</w:t>
      </w:r>
    </w:p>
    <w:p w14:paraId="439B6429" w14:textId="77777777" w:rsidR="005D786E" w:rsidRDefault="005D786E" w:rsidP="005D786E">
      <w:pPr>
        <w:pStyle w:val="13"/>
      </w:pPr>
      <w:r>
        <w:rPr>
          <w:rFonts w:hint="eastAsia"/>
        </w:rPr>
        <w:t>资产评估机构及其资产评估专业人员应当根据采取的弥补措施合理选择工作底稿的介质形式。形成特殊介质工作底稿的，资产评估机构及其资产评估专业人员应当加强管理，保证工作底稿安全、可追溯。</w:t>
      </w:r>
    </w:p>
    <w:p w14:paraId="3B5E63D1" w14:textId="77777777" w:rsidR="005D786E" w:rsidRDefault="005D786E" w:rsidP="005D786E">
      <w:pPr>
        <w:pStyle w:val="13"/>
      </w:pPr>
      <w:r>
        <w:rPr>
          <w:rFonts w:hint="eastAsia"/>
        </w:rPr>
        <w:t>补充相关现场核查程序所形成的补充性工作底稿，和资产评估报告出具前的工作底稿具有相同的作用。</w:t>
      </w:r>
    </w:p>
    <w:p w14:paraId="2F282A7C" w14:textId="77777777" w:rsidR="005D786E" w:rsidRDefault="005D786E" w:rsidP="005D786E">
      <w:pPr>
        <w:pStyle w:val="13"/>
      </w:pPr>
      <w:r>
        <w:t>5.加强风险管理，合理维护合法权益。</w:t>
      </w:r>
    </w:p>
    <w:p w14:paraId="32F29D8E" w14:textId="77777777" w:rsidR="005D786E" w:rsidRDefault="005D786E" w:rsidP="005D786E">
      <w:pPr>
        <w:pStyle w:val="13"/>
      </w:pPr>
      <w:r>
        <w:rPr>
          <w:rFonts w:hint="eastAsia"/>
        </w:rPr>
        <w:t>当前我国发生的新冠肺炎疫情属于不能预见、不能避免并不能克服的不可抗力。疫情期间，业务委托合同的履行可能会受到影响，资产评估机构及其资产评估专业人员应当加强风险管理。</w:t>
      </w:r>
    </w:p>
    <w:p w14:paraId="20932781" w14:textId="77777777" w:rsidR="005D786E" w:rsidRDefault="005D786E" w:rsidP="005D786E">
      <w:pPr>
        <w:pStyle w:val="13"/>
      </w:pPr>
      <w:r>
        <w:rPr>
          <w:rFonts w:hint="eastAsia"/>
        </w:rPr>
        <w:lastRenderedPageBreak/>
        <w:t>我们提倡资产评估机构发挥专业精神，服务经济和社会，在疫情期间承担社会责任。但是，如果确需解除或者变更相关业务委托合同，资产评估机构可以引用不可抗力因素，与委托人协商处理委托合同的解除或者变更事项，依法维护自身合法权益。</w:t>
      </w:r>
    </w:p>
    <w:p w14:paraId="0568FFD3" w14:textId="77777777" w:rsidR="005D786E" w:rsidRDefault="005D786E" w:rsidP="00ED7434">
      <w:pPr>
        <w:pStyle w:val="31"/>
        <w:spacing w:before="156" w:after="62"/>
      </w:pPr>
      <w:bookmarkStart w:id="76" w:name="_Toc81833340"/>
      <w:r>
        <w:rPr>
          <w:rFonts w:hint="eastAsia"/>
        </w:rPr>
        <w:t>资产评估专家指引第</w:t>
      </w:r>
      <w:r>
        <w:t>11号—商誉减值测试评估（</w:t>
      </w:r>
      <w:proofErr w:type="gramStart"/>
      <w:r>
        <w:t>中评协</w:t>
      </w:r>
      <w:proofErr w:type="gramEnd"/>
      <w:r>
        <w:t>〔2020〕37号）</w:t>
      </w:r>
      <w:bookmarkEnd w:id="76"/>
    </w:p>
    <w:p w14:paraId="282AFD4C" w14:textId="77777777" w:rsidR="005D786E" w:rsidRDefault="005D786E" w:rsidP="00ED7434">
      <w:pPr>
        <w:pStyle w:val="13"/>
        <w:ind w:firstLineChars="0" w:firstLine="0"/>
      </w:pPr>
      <w:r>
        <w:rPr>
          <w:rFonts w:hint="eastAsia"/>
        </w:rPr>
        <w:t>各省、自治区、直辖市、计划单列市资产评估协会（注册会计师协会）：</w:t>
      </w:r>
    </w:p>
    <w:p w14:paraId="14441691" w14:textId="77777777" w:rsidR="005D786E" w:rsidRDefault="005D786E" w:rsidP="005D786E">
      <w:pPr>
        <w:pStyle w:val="13"/>
      </w:pPr>
      <w:r>
        <w:rPr>
          <w:rFonts w:hint="eastAsia"/>
        </w:rPr>
        <w:t>为指导资产评估机构及其资产评估专业人员执行企业商誉减值测试评估业务，中国资产评估协会制定了《资产评估专家指引第</w:t>
      </w:r>
      <w:r>
        <w:t>11号—商誉减值测试评估》，现予印发，</w:t>
      </w:r>
      <w:proofErr w:type="gramStart"/>
      <w:r>
        <w:t>供资产</w:t>
      </w:r>
      <w:proofErr w:type="gramEnd"/>
      <w:r>
        <w:t>评估机构及其资产评估专业人员执行企业商誉减值测试评估业务时参考。</w:t>
      </w:r>
    </w:p>
    <w:p w14:paraId="132276DF" w14:textId="77777777" w:rsidR="005D786E" w:rsidRDefault="005D786E" w:rsidP="005D786E">
      <w:pPr>
        <w:pStyle w:val="13"/>
      </w:pPr>
      <w:r>
        <w:rPr>
          <w:rFonts w:hint="eastAsia"/>
        </w:rPr>
        <w:t>请各地</w:t>
      </w:r>
      <w:proofErr w:type="gramStart"/>
      <w:r>
        <w:rPr>
          <w:rFonts w:hint="eastAsia"/>
        </w:rPr>
        <w:t>方协会</w:t>
      </w:r>
      <w:proofErr w:type="gramEnd"/>
      <w:r>
        <w:rPr>
          <w:rFonts w:hint="eastAsia"/>
        </w:rPr>
        <w:t>将《资产评估专家指引第</w:t>
      </w:r>
      <w:r>
        <w:t>11号—商誉减值测试评估》及时转发资产评估机构。</w:t>
      </w:r>
    </w:p>
    <w:p w14:paraId="6A1D9D5B" w14:textId="5FA0A865" w:rsidR="005D786E" w:rsidRDefault="005D786E" w:rsidP="005D786E">
      <w:pPr>
        <w:pStyle w:val="13"/>
      </w:pPr>
      <w:r>
        <w:t>附件：资产评估专家指引第11号—商誉减值测试评估</w:t>
      </w:r>
    </w:p>
    <w:p w14:paraId="0D2A994F" w14:textId="77777777" w:rsidR="005D786E" w:rsidRDefault="005D786E" w:rsidP="00ED7434">
      <w:pPr>
        <w:pStyle w:val="13"/>
        <w:jc w:val="right"/>
      </w:pPr>
      <w:r>
        <w:rPr>
          <w:rFonts w:hint="eastAsia"/>
        </w:rPr>
        <w:t>中国资产评估协会</w:t>
      </w:r>
    </w:p>
    <w:p w14:paraId="364818BB" w14:textId="77777777" w:rsidR="005D786E" w:rsidRDefault="005D786E" w:rsidP="00ED7434">
      <w:pPr>
        <w:pStyle w:val="13"/>
        <w:jc w:val="right"/>
      </w:pPr>
      <w:r>
        <w:t>2020年12月29日</w:t>
      </w:r>
    </w:p>
    <w:p w14:paraId="06E99E25" w14:textId="77777777" w:rsidR="005D786E" w:rsidRDefault="005D786E" w:rsidP="00AF7342">
      <w:pPr>
        <w:pStyle w:val="a9"/>
        <w:spacing w:before="62" w:after="62"/>
      </w:pPr>
      <w:r>
        <w:rPr>
          <w:rFonts w:hint="eastAsia"/>
        </w:rPr>
        <w:t>资产评估专家指引第</w:t>
      </w:r>
      <w:r>
        <w:t>11号—商誉减值测试评估</w:t>
      </w:r>
    </w:p>
    <w:p w14:paraId="4B64AD9C" w14:textId="77777777" w:rsidR="005D786E" w:rsidRDefault="005D786E" w:rsidP="005D786E">
      <w:pPr>
        <w:pStyle w:val="13"/>
      </w:pPr>
      <w:proofErr w:type="gramStart"/>
      <w:r>
        <w:rPr>
          <w:rFonts w:hint="eastAsia"/>
        </w:rPr>
        <w:t>本专家</w:t>
      </w:r>
      <w:proofErr w:type="gramEnd"/>
      <w:r>
        <w:rPr>
          <w:rFonts w:hint="eastAsia"/>
        </w:rPr>
        <w:t>指引是一种专家建议。资产评估机构执行资产评估业务，可以参照</w:t>
      </w:r>
      <w:proofErr w:type="gramStart"/>
      <w:r>
        <w:rPr>
          <w:rFonts w:hint="eastAsia"/>
        </w:rPr>
        <w:t>本专家</w:t>
      </w:r>
      <w:proofErr w:type="gramEnd"/>
      <w:r>
        <w:rPr>
          <w:rFonts w:hint="eastAsia"/>
        </w:rPr>
        <w:t>指引。中国资产评估协会将根据业务发展，对</w:t>
      </w:r>
      <w:proofErr w:type="gramStart"/>
      <w:r>
        <w:rPr>
          <w:rFonts w:hint="eastAsia"/>
        </w:rPr>
        <w:t>本专家</w:t>
      </w:r>
      <w:proofErr w:type="gramEnd"/>
      <w:r>
        <w:rPr>
          <w:rFonts w:hint="eastAsia"/>
        </w:rPr>
        <w:t>指引进行更新。</w:t>
      </w:r>
    </w:p>
    <w:p w14:paraId="70650E0A" w14:textId="77777777" w:rsidR="005D786E" w:rsidRDefault="005D786E" w:rsidP="00AF7342">
      <w:pPr>
        <w:pStyle w:val="a9"/>
        <w:spacing w:before="62" w:after="62"/>
      </w:pPr>
      <w:r>
        <w:rPr>
          <w:rFonts w:hint="eastAsia"/>
        </w:rPr>
        <w:t>第一章</w:t>
      </w:r>
      <w:r>
        <w:t xml:space="preserve"> 引言</w:t>
      </w:r>
    </w:p>
    <w:p w14:paraId="6FD883B3" w14:textId="5D5FC561" w:rsidR="005D786E" w:rsidRDefault="004E3EBB" w:rsidP="005D786E">
      <w:pPr>
        <w:pStyle w:val="13"/>
        <w:ind w:firstLine="482"/>
      </w:pPr>
      <w:r w:rsidRPr="004E3EBB">
        <w:rPr>
          <w:rFonts w:hint="eastAsia"/>
          <w:b/>
        </w:rPr>
        <w:t xml:space="preserve">第一条 </w:t>
      </w:r>
      <w:r w:rsidR="005D786E">
        <w:t>为指导资产评估机构执行企业商誉减值测试评估业务，根据《以财务报告为目的的评估指南》，中国资产评估协会组织制定了</w:t>
      </w:r>
      <w:proofErr w:type="gramStart"/>
      <w:r w:rsidR="005D786E">
        <w:t>本专家</w:t>
      </w:r>
      <w:proofErr w:type="gramEnd"/>
      <w:r w:rsidR="005D786E">
        <w:t>指引。</w:t>
      </w:r>
    </w:p>
    <w:p w14:paraId="604163C9" w14:textId="5B032007" w:rsidR="005D786E" w:rsidRDefault="004E3EBB" w:rsidP="005D786E">
      <w:pPr>
        <w:pStyle w:val="13"/>
        <w:ind w:firstLine="482"/>
      </w:pPr>
      <w:r w:rsidRPr="004E3EBB">
        <w:rPr>
          <w:rFonts w:hint="eastAsia"/>
          <w:b/>
        </w:rPr>
        <w:t xml:space="preserve">第二条 </w:t>
      </w:r>
      <w:r w:rsidR="005D786E">
        <w:t>根据《企业会计准则第8号—资产减值》的规定，因企业合并形成的商誉应在每年年度终了或在会计期间内出现减值迹象时进行减值测试，商誉减值测试应当估计包含商誉的资产组或资产组组合的可收回金额，以判断商誉是否发生减值或计算商誉减值金额。</w:t>
      </w:r>
    </w:p>
    <w:p w14:paraId="479DF64D" w14:textId="77777777" w:rsidR="005D786E" w:rsidRDefault="005D786E" w:rsidP="005D786E">
      <w:pPr>
        <w:pStyle w:val="13"/>
      </w:pPr>
      <w:proofErr w:type="gramStart"/>
      <w:r>
        <w:rPr>
          <w:rFonts w:hint="eastAsia"/>
        </w:rPr>
        <w:t>本专家</w:t>
      </w:r>
      <w:proofErr w:type="gramEnd"/>
      <w:r>
        <w:rPr>
          <w:rFonts w:hint="eastAsia"/>
        </w:rPr>
        <w:t>指引所称商誉减值测试评估，仅指资产评估机构接受企业委托，根据企业商誉减值测试的需要，对包含商誉的资产组或资产组组合的可收回金额进行估算并出具资产评估报告的专业服务行为。</w:t>
      </w:r>
    </w:p>
    <w:p w14:paraId="11FED17A" w14:textId="77777777" w:rsidR="005D786E" w:rsidRDefault="005D786E" w:rsidP="005D786E">
      <w:pPr>
        <w:pStyle w:val="13"/>
      </w:pPr>
      <w:r>
        <w:rPr>
          <w:rFonts w:hint="eastAsia"/>
        </w:rPr>
        <w:t>资产评估专业人员接受委托执行的其他商誉减值测试相关业务，可以参照</w:t>
      </w:r>
      <w:proofErr w:type="gramStart"/>
      <w:r>
        <w:rPr>
          <w:rFonts w:hint="eastAsia"/>
        </w:rPr>
        <w:t>本专家</w:t>
      </w:r>
      <w:proofErr w:type="gramEnd"/>
      <w:r>
        <w:rPr>
          <w:rFonts w:hint="eastAsia"/>
        </w:rPr>
        <w:t>指引。</w:t>
      </w:r>
    </w:p>
    <w:p w14:paraId="77B6DF34" w14:textId="343AA458" w:rsidR="005D786E" w:rsidRDefault="004E3EBB" w:rsidP="005D786E">
      <w:pPr>
        <w:pStyle w:val="13"/>
        <w:ind w:firstLine="482"/>
      </w:pPr>
      <w:r w:rsidRPr="004E3EBB">
        <w:rPr>
          <w:rFonts w:hint="eastAsia"/>
          <w:b/>
        </w:rPr>
        <w:t xml:space="preserve">第三条 </w:t>
      </w:r>
      <w:r w:rsidR="005D786E">
        <w:t>资产评估专业人员需要了解企业商誉减值测试的基本程序，理解会计准则中商誉减值测试评估有关会计准则条款与资产评估的关系，具备相应的商誉减值测试评估专业知识，能够胜任商誉减值测试评估业务。</w:t>
      </w:r>
    </w:p>
    <w:p w14:paraId="3D9DBC56" w14:textId="77777777" w:rsidR="005D786E" w:rsidRDefault="005D786E" w:rsidP="00AF7342">
      <w:pPr>
        <w:pStyle w:val="a9"/>
        <w:spacing w:before="62" w:after="62"/>
      </w:pPr>
      <w:r>
        <w:rPr>
          <w:rFonts w:hint="eastAsia"/>
        </w:rPr>
        <w:lastRenderedPageBreak/>
        <w:t>第二章</w:t>
      </w:r>
      <w:r>
        <w:t xml:space="preserve"> 接受委托关注的事项</w:t>
      </w:r>
    </w:p>
    <w:p w14:paraId="674EFF30" w14:textId="6262BBE8" w:rsidR="005D786E" w:rsidRDefault="004E3EBB" w:rsidP="005D786E">
      <w:pPr>
        <w:pStyle w:val="13"/>
        <w:ind w:firstLine="482"/>
      </w:pPr>
      <w:r w:rsidRPr="004E3EBB">
        <w:rPr>
          <w:rFonts w:hint="eastAsia"/>
          <w:b/>
        </w:rPr>
        <w:t xml:space="preserve">第四条 </w:t>
      </w:r>
      <w:r w:rsidR="005D786E">
        <w:t>资产评估机构承接商誉减值测试评估业务，应当与企业沟通商誉减值测试评估目的、评估基准日，以企业委托的评估对象和评估范围为基础，确定价值类型等评估要素，并在业务委托合同中予以明确。</w:t>
      </w:r>
    </w:p>
    <w:p w14:paraId="5CA0CD5F" w14:textId="6D138B27" w:rsidR="005D786E" w:rsidRDefault="004E3EBB" w:rsidP="005D786E">
      <w:pPr>
        <w:pStyle w:val="13"/>
        <w:ind w:firstLine="482"/>
      </w:pPr>
      <w:r w:rsidRPr="004E3EBB">
        <w:rPr>
          <w:rFonts w:hint="eastAsia"/>
          <w:b/>
        </w:rPr>
        <w:t xml:space="preserve">第五条 </w:t>
      </w:r>
      <w:r w:rsidR="005D786E">
        <w:t>资产评估专业人员应当知晓商誉减值测试评估目的是为企业商誉减值测试确定包含商誉资产组或资产组组合的可收回金额提供价值参考。</w:t>
      </w:r>
    </w:p>
    <w:p w14:paraId="1FF395CC" w14:textId="4542F6B1" w:rsidR="005D786E" w:rsidRDefault="004E3EBB" w:rsidP="005D786E">
      <w:pPr>
        <w:pStyle w:val="13"/>
        <w:ind w:firstLine="482"/>
      </w:pPr>
      <w:r w:rsidRPr="004E3EBB">
        <w:rPr>
          <w:rFonts w:hint="eastAsia"/>
          <w:b/>
        </w:rPr>
        <w:t xml:space="preserve">第六条 </w:t>
      </w:r>
      <w:r w:rsidR="005D786E">
        <w:t>商誉减值测试评估基准日通常为资产负债表日。</w:t>
      </w:r>
    </w:p>
    <w:p w14:paraId="7EB31F22" w14:textId="77777777" w:rsidR="005D786E" w:rsidRDefault="005D786E" w:rsidP="005D786E">
      <w:pPr>
        <w:pStyle w:val="13"/>
      </w:pPr>
      <w:r>
        <w:rPr>
          <w:rFonts w:hint="eastAsia"/>
        </w:rPr>
        <w:t>当企业判断包含商誉资产组或资产组组合发生特定减值迹象而委托资产评估机构进行评估时，资产评估专业人员需要了解企业确定的评估基准日、特定减值迹象具体表现以及特定减值迹象出现的时点。</w:t>
      </w:r>
    </w:p>
    <w:p w14:paraId="38BE49CC" w14:textId="24F618C7" w:rsidR="005D786E" w:rsidRDefault="004E3EBB" w:rsidP="005D786E">
      <w:pPr>
        <w:pStyle w:val="13"/>
        <w:ind w:firstLine="482"/>
      </w:pPr>
      <w:r w:rsidRPr="004E3EBB">
        <w:rPr>
          <w:rFonts w:hint="eastAsia"/>
          <w:b/>
        </w:rPr>
        <w:t xml:space="preserve">第七条 </w:t>
      </w:r>
      <w:r w:rsidR="005D786E">
        <w:t>商誉减值测试评估价值类型是可收回金额。可收回金额应当根据包含商誉资产组或资产组组合公允价值减去处置费用后的净额与预计未来现金流量的现值两者之间较高者确定。</w:t>
      </w:r>
    </w:p>
    <w:p w14:paraId="7721E70E" w14:textId="77777777" w:rsidR="005D786E" w:rsidRDefault="005D786E" w:rsidP="005D786E">
      <w:pPr>
        <w:pStyle w:val="13"/>
      </w:pPr>
      <w:r>
        <w:rPr>
          <w:rFonts w:hint="eastAsia"/>
        </w:rPr>
        <w:t>已确信包含商誉资产组或资产组组合公允价值减去处置费用后的净额、预计未来现金流量的现值两者中任意一项金额已超过评估对象账面价值时，可以以该金额为依据确定评估结论。</w:t>
      </w:r>
    </w:p>
    <w:p w14:paraId="6AA9FD05" w14:textId="77777777" w:rsidR="005D786E" w:rsidRDefault="005D786E" w:rsidP="005D786E">
      <w:pPr>
        <w:pStyle w:val="13"/>
      </w:pPr>
      <w:r>
        <w:rPr>
          <w:rFonts w:hint="eastAsia"/>
        </w:rPr>
        <w:t>包含商誉资产组或资产组组合的公允价值减去处置费用后的净额如果无法可靠估计，可以以预计未来现金流量的现值作为可收回金额。</w:t>
      </w:r>
    </w:p>
    <w:p w14:paraId="165C8941" w14:textId="77777777" w:rsidR="005D786E" w:rsidRDefault="005D786E" w:rsidP="005D786E">
      <w:pPr>
        <w:pStyle w:val="13"/>
      </w:pPr>
      <w:r>
        <w:rPr>
          <w:rFonts w:hint="eastAsia"/>
        </w:rPr>
        <w:t>如果包含商誉资产组或资产组组合可收回金额的</w:t>
      </w:r>
      <w:proofErr w:type="gramStart"/>
      <w:r>
        <w:rPr>
          <w:rFonts w:hint="eastAsia"/>
        </w:rPr>
        <w:t>评估仅</w:t>
      </w:r>
      <w:proofErr w:type="gramEnd"/>
      <w:r>
        <w:rPr>
          <w:rFonts w:hint="eastAsia"/>
        </w:rPr>
        <w:t>依据公允价值减去处置费用后的净额或预计未来现金流量的现值中一种方式确定，评估结论应当表述为包含商誉的资产组或资产组组合可收回金额不低于该金额。</w:t>
      </w:r>
    </w:p>
    <w:p w14:paraId="770A2D52" w14:textId="77777777" w:rsidR="005D786E" w:rsidRDefault="005D786E" w:rsidP="00AF7342">
      <w:pPr>
        <w:pStyle w:val="a9"/>
        <w:spacing w:before="62" w:after="62"/>
      </w:pPr>
      <w:r>
        <w:rPr>
          <w:rFonts w:hint="eastAsia"/>
        </w:rPr>
        <w:t>第三章</w:t>
      </w:r>
      <w:r>
        <w:t xml:space="preserve"> 评估对象和评估范围</w:t>
      </w:r>
    </w:p>
    <w:p w14:paraId="5C799128" w14:textId="1E791C39" w:rsidR="005D786E" w:rsidRDefault="004E3EBB" w:rsidP="005D786E">
      <w:pPr>
        <w:pStyle w:val="13"/>
        <w:ind w:firstLine="482"/>
      </w:pPr>
      <w:r w:rsidRPr="004E3EBB">
        <w:rPr>
          <w:rFonts w:hint="eastAsia"/>
          <w:b/>
        </w:rPr>
        <w:t xml:space="preserve">第八条 </w:t>
      </w:r>
      <w:r w:rsidR="005D786E">
        <w:t>商誉减值测试评估对象是包含商誉的资产组或资产组组合。评估范围包括商誉、商誉相关资产组或资产组组合。</w:t>
      </w:r>
    </w:p>
    <w:p w14:paraId="3EC29ACD" w14:textId="77777777" w:rsidR="005D786E" w:rsidRDefault="005D786E" w:rsidP="005D786E">
      <w:pPr>
        <w:pStyle w:val="13"/>
      </w:pPr>
      <w:r>
        <w:rPr>
          <w:rFonts w:hint="eastAsia"/>
        </w:rPr>
        <w:t>其中，商誉是完全商誉，既包括归属于母公司股东权益的商誉，也包括归属于少数股东权益的商誉。</w:t>
      </w:r>
    </w:p>
    <w:p w14:paraId="4AB97A32" w14:textId="4F925EC8" w:rsidR="005D786E" w:rsidRDefault="00E05BDA" w:rsidP="005D786E">
      <w:pPr>
        <w:pStyle w:val="13"/>
        <w:ind w:firstLine="482"/>
      </w:pPr>
      <w:r w:rsidRPr="00E05BDA">
        <w:rPr>
          <w:rFonts w:hint="eastAsia"/>
          <w:b/>
        </w:rPr>
        <w:t xml:space="preserve">第九条 </w:t>
      </w:r>
      <w:r w:rsidR="005D786E">
        <w:t>资产评估专业人员需要知晓企业确定商誉相关资产组或资产组组合时的会计准则内涵，通常包括下列方面：</w:t>
      </w:r>
    </w:p>
    <w:p w14:paraId="4891B431" w14:textId="77777777" w:rsidR="005D786E" w:rsidRDefault="005D786E" w:rsidP="005D786E">
      <w:pPr>
        <w:pStyle w:val="13"/>
      </w:pPr>
      <w:r>
        <w:rPr>
          <w:rFonts w:hint="eastAsia"/>
        </w:rPr>
        <w:t>（一）商誉相关资产组或资产组组合应当是企业可以认定的最小资产组或最小资产组组合，其产生的现金流入应当基本独立于其他资产或资产组。</w:t>
      </w:r>
    </w:p>
    <w:p w14:paraId="18BAA873" w14:textId="77777777" w:rsidR="005D786E" w:rsidRDefault="005D786E" w:rsidP="005D786E">
      <w:pPr>
        <w:pStyle w:val="13"/>
      </w:pPr>
      <w:r>
        <w:rPr>
          <w:rFonts w:hint="eastAsia"/>
        </w:rPr>
        <w:t>（二）商誉相关资产组或资产组组合应当是能够从企业合并的协同效应中受益的资产组或资产组组合。</w:t>
      </w:r>
    </w:p>
    <w:p w14:paraId="4BDD05CA" w14:textId="77777777" w:rsidR="005D786E" w:rsidRDefault="005D786E" w:rsidP="005D786E">
      <w:pPr>
        <w:pStyle w:val="13"/>
      </w:pPr>
      <w:r>
        <w:rPr>
          <w:rFonts w:hint="eastAsia"/>
        </w:rPr>
        <w:t>（三）包含商誉资产组或资产组组合账面价值通常不应当包括已确认负债的账面价值，但如果不考虑该负债金额就无法确定资产组可收回金额的除外。</w:t>
      </w:r>
    </w:p>
    <w:p w14:paraId="49109F48" w14:textId="31691C22" w:rsidR="005D786E" w:rsidRDefault="005D786E" w:rsidP="00ED7434">
      <w:pPr>
        <w:pStyle w:val="13"/>
      </w:pPr>
      <w:r>
        <w:rPr>
          <w:rFonts w:hint="eastAsia"/>
        </w:rPr>
        <w:lastRenderedPageBreak/>
        <w:t>（四）商誉相关资产组的认定应当考虑企业管理层管理生产经营活动的方式（如是按照生产线、业务种类还是按照地区或者区域等），以及企业管理层对资产的持续使用或者处置的决策方式等。</w:t>
      </w:r>
    </w:p>
    <w:p w14:paraId="1DBB6739" w14:textId="77777777" w:rsidR="005D786E" w:rsidRDefault="005D786E" w:rsidP="005D786E">
      <w:pPr>
        <w:pStyle w:val="13"/>
      </w:pPr>
      <w:r>
        <w:rPr>
          <w:rFonts w:hint="eastAsia"/>
        </w:rPr>
        <w:t>（五）商誉相关资产组或资产组组合不应当大于按照《企业会计准则第</w:t>
      </w:r>
      <w:r>
        <w:t>35号—分部报告》所确定的报告分部。</w:t>
      </w:r>
    </w:p>
    <w:p w14:paraId="3973B5EC" w14:textId="77777777" w:rsidR="005D786E" w:rsidRDefault="005D786E" w:rsidP="005D786E">
      <w:pPr>
        <w:pStyle w:val="13"/>
      </w:pPr>
      <w:r>
        <w:rPr>
          <w:rFonts w:hint="eastAsia"/>
        </w:rPr>
        <w:t>商誉相关资产组一经确定，各个会计期间应当保持一致，不得随意变更。如需变更，企业管理层应当证明该变更是合理的。</w:t>
      </w:r>
    </w:p>
    <w:p w14:paraId="2716EBC3" w14:textId="33C3360A" w:rsidR="005D786E" w:rsidRDefault="00E05BDA" w:rsidP="005D786E">
      <w:pPr>
        <w:pStyle w:val="13"/>
        <w:ind w:firstLine="482"/>
      </w:pPr>
      <w:r w:rsidRPr="00E05BDA">
        <w:rPr>
          <w:rFonts w:hint="eastAsia"/>
          <w:b/>
        </w:rPr>
        <w:t xml:space="preserve">第十条 </w:t>
      </w:r>
      <w:r w:rsidR="005D786E">
        <w:t>资产评估专业人员应当对企业确定的商誉减值测试评估范围进行核实。通常商誉减值测试评估范围符合下列要求：</w:t>
      </w:r>
    </w:p>
    <w:p w14:paraId="355F6731" w14:textId="77777777" w:rsidR="005D786E" w:rsidRDefault="005D786E" w:rsidP="005D786E">
      <w:pPr>
        <w:pStyle w:val="13"/>
      </w:pPr>
      <w:r>
        <w:rPr>
          <w:rFonts w:hint="eastAsia"/>
        </w:rPr>
        <w:t>（一）包含商誉资产组或资产组组合通常情况下不包括流动资产、流动负债，但如果不考虑相关资产和负债就无法合理确定评估对象可收回金额的除外。</w:t>
      </w:r>
    </w:p>
    <w:p w14:paraId="280683FD" w14:textId="77777777" w:rsidR="005D786E" w:rsidRDefault="005D786E" w:rsidP="005D786E">
      <w:pPr>
        <w:pStyle w:val="13"/>
      </w:pPr>
      <w:r>
        <w:rPr>
          <w:rFonts w:hint="eastAsia"/>
        </w:rPr>
        <w:t>（二）评估范围不应当包括与预计未来现金流量无关的资产、负债，如溢</w:t>
      </w:r>
      <w:proofErr w:type="gramStart"/>
      <w:r>
        <w:rPr>
          <w:rFonts w:hint="eastAsia"/>
        </w:rPr>
        <w:t>余资产</w:t>
      </w:r>
      <w:proofErr w:type="gramEnd"/>
      <w:r>
        <w:rPr>
          <w:rFonts w:hint="eastAsia"/>
        </w:rPr>
        <w:t>或负债、非经营性资产或负债。</w:t>
      </w:r>
    </w:p>
    <w:p w14:paraId="1D025BCD" w14:textId="77777777" w:rsidR="005D786E" w:rsidRDefault="005D786E" w:rsidP="005D786E">
      <w:pPr>
        <w:pStyle w:val="13"/>
      </w:pPr>
      <w:r>
        <w:rPr>
          <w:rFonts w:hint="eastAsia"/>
        </w:rPr>
        <w:t>（三）评估范围不应当包括付息债务等已确认负债，但如果不考虑该负债就无法确定评估对象可收回金额的除外。</w:t>
      </w:r>
    </w:p>
    <w:p w14:paraId="7E88879C" w14:textId="77777777" w:rsidR="005D786E" w:rsidRDefault="005D786E" w:rsidP="005D786E">
      <w:pPr>
        <w:pStyle w:val="13"/>
      </w:pPr>
      <w:r>
        <w:rPr>
          <w:rFonts w:hint="eastAsia"/>
        </w:rPr>
        <w:t>（四）与包含商誉资产组或资产组组合业务相关的开发过程中的在建工程、无形资产，如果达到预定生产能力尚需投资金额，完工后现金流可以合理计量，且经企业确认是与商誉相关的资产组，应当纳入评估范围。</w:t>
      </w:r>
    </w:p>
    <w:p w14:paraId="56C75818" w14:textId="77777777" w:rsidR="005D786E" w:rsidRDefault="005D786E" w:rsidP="005D786E">
      <w:pPr>
        <w:pStyle w:val="13"/>
      </w:pPr>
      <w:r>
        <w:rPr>
          <w:rFonts w:hint="eastAsia"/>
        </w:rPr>
        <w:t>（五）商誉相关资产组或资产组组合的账面价值应当与企业合并报表口径保持一致。</w:t>
      </w:r>
    </w:p>
    <w:p w14:paraId="388B6444" w14:textId="77777777" w:rsidR="005D786E" w:rsidRDefault="005D786E" w:rsidP="005D786E">
      <w:pPr>
        <w:pStyle w:val="13"/>
      </w:pPr>
      <w:r>
        <w:rPr>
          <w:rFonts w:hint="eastAsia"/>
        </w:rPr>
        <w:t>资产评估专业人员需要获取企业提供的评估范围及其对应的资产账面价值、资产类别、资产数量清单，并与企业、审计机构就包含商誉的资产组或资产组组合的范围进行沟通，取得企业、审计机构确认。如果资产评估专业人员与企业、审计机构意见不一致，可以采纳企业、审计机构的意见。</w:t>
      </w:r>
    </w:p>
    <w:p w14:paraId="56924C7C" w14:textId="77777777" w:rsidR="005D786E" w:rsidRDefault="005D786E" w:rsidP="00AF7342">
      <w:pPr>
        <w:pStyle w:val="a9"/>
        <w:spacing w:before="62" w:after="62"/>
      </w:pPr>
      <w:r>
        <w:rPr>
          <w:rFonts w:hint="eastAsia"/>
        </w:rPr>
        <w:t>第四章</w:t>
      </w:r>
      <w:r>
        <w:t xml:space="preserve"> 现场调查和核查验证</w:t>
      </w:r>
    </w:p>
    <w:p w14:paraId="458D0B56" w14:textId="50D42F84" w:rsidR="005D786E" w:rsidRDefault="00E05BDA" w:rsidP="005D786E">
      <w:pPr>
        <w:pStyle w:val="13"/>
        <w:ind w:firstLine="482"/>
      </w:pPr>
      <w:r w:rsidRPr="00E05BDA">
        <w:rPr>
          <w:rFonts w:hint="eastAsia"/>
          <w:b/>
        </w:rPr>
        <w:t xml:space="preserve">第十一条 </w:t>
      </w:r>
      <w:r w:rsidR="005D786E">
        <w:t>资产评估专业人员应当对包含商誉资产组或资产组组合进行现场调查，并对收集的资料进行必要的核查验证，以了解包含商誉资产组或资产组组合独立产生现金流的能力。</w:t>
      </w:r>
    </w:p>
    <w:p w14:paraId="1352AB41" w14:textId="4C327F0A" w:rsidR="005D786E" w:rsidRDefault="00E05BDA" w:rsidP="00ED7434">
      <w:pPr>
        <w:pStyle w:val="13"/>
        <w:ind w:firstLine="482"/>
      </w:pPr>
      <w:r w:rsidRPr="00E05BDA">
        <w:rPr>
          <w:rFonts w:hint="eastAsia"/>
          <w:b/>
        </w:rPr>
        <w:t xml:space="preserve">第十二条 </w:t>
      </w:r>
      <w:r w:rsidR="005D786E">
        <w:rPr>
          <w:rFonts w:hint="eastAsia"/>
        </w:rPr>
        <w:t>资产评估专业人员应当关注企业提供的包含商誉资产组或资产组组合与商誉初始确认、以前会计期间商誉减值测试时是否一致，如果不一致，应当提示企业说明包含商誉资产组或资产组组合变动的原因及其是否符合《企业会计准则第</w:t>
      </w:r>
      <w:r w:rsidR="005D786E">
        <w:t>8号—</w:t>
      </w:r>
      <w:r w:rsidR="005D786E">
        <w:rPr>
          <w:rFonts w:hint="eastAsia"/>
        </w:rPr>
        <w:t>资产减值》的相关规定。</w:t>
      </w:r>
    </w:p>
    <w:p w14:paraId="6580933C" w14:textId="64A7AC94" w:rsidR="005D786E" w:rsidRDefault="00E05BDA" w:rsidP="005D786E">
      <w:pPr>
        <w:pStyle w:val="13"/>
        <w:ind w:firstLine="482"/>
      </w:pPr>
      <w:r w:rsidRPr="00E05BDA">
        <w:rPr>
          <w:rFonts w:hint="eastAsia"/>
          <w:b/>
        </w:rPr>
        <w:t xml:space="preserve">第十三条 </w:t>
      </w:r>
      <w:r w:rsidR="005D786E">
        <w:rPr>
          <w:rFonts w:hint="eastAsia"/>
        </w:rPr>
        <w:t>资产评估专业人员对包含商誉资产组或资产组组合独立产生现金流能力的核查，通常包括下列四个方面：</w:t>
      </w:r>
    </w:p>
    <w:p w14:paraId="109D4E99" w14:textId="77777777" w:rsidR="005D786E" w:rsidRDefault="005D786E" w:rsidP="005D786E">
      <w:pPr>
        <w:pStyle w:val="13"/>
      </w:pPr>
      <w:r>
        <w:rPr>
          <w:rFonts w:hint="eastAsia"/>
        </w:rPr>
        <w:lastRenderedPageBreak/>
        <w:t>（一）关注法律权属。资产评估专业人员可以通过审阅、核对或者访谈等手段，对评估范围内主要资产权属是否存在权属不清、存在瑕疵，权属关系复杂、权属资料不完备等予以关注，判断其对评估对象产生现金流能力的影响。</w:t>
      </w:r>
    </w:p>
    <w:p w14:paraId="7DDD0956" w14:textId="77777777" w:rsidR="005D786E" w:rsidRDefault="005D786E" w:rsidP="005D786E">
      <w:pPr>
        <w:pStyle w:val="13"/>
      </w:pPr>
      <w:r>
        <w:rPr>
          <w:rFonts w:hint="eastAsia"/>
        </w:rPr>
        <w:t>（二）关注物理状况。资产评估专业人员可以通过现场勘查、实地调查或者询问等手段，对评估范围内主要资产的实际使用状况予以关注，判断主要资产物理状况与其产生现金流的关系。</w:t>
      </w:r>
    </w:p>
    <w:p w14:paraId="23BC2C91" w14:textId="77777777" w:rsidR="005D786E" w:rsidRDefault="005D786E" w:rsidP="005D786E">
      <w:pPr>
        <w:pStyle w:val="13"/>
      </w:pPr>
      <w:r>
        <w:rPr>
          <w:rFonts w:hint="eastAsia"/>
        </w:rPr>
        <w:t>（三）关注技术状况。资产评估专业人员可以通过查阅文件、访谈、核对或者利用专家工作等手段，对评估范围主要资产生产技术水平予以关注，判断主要资产技术竞争力水平对其产生现金流的影响。</w:t>
      </w:r>
    </w:p>
    <w:p w14:paraId="05068820" w14:textId="77777777" w:rsidR="005D786E" w:rsidRDefault="005D786E" w:rsidP="005D786E">
      <w:pPr>
        <w:pStyle w:val="13"/>
      </w:pPr>
      <w:r>
        <w:rPr>
          <w:rFonts w:hint="eastAsia"/>
        </w:rPr>
        <w:t>（四）关注经济状况。资产评估专业人员可以通过历史财务数据分析、核对或者访谈等手段，关注评估范围内主要资产与其产生现金流能力的关系。</w:t>
      </w:r>
    </w:p>
    <w:p w14:paraId="66A0F81C" w14:textId="77777777" w:rsidR="005D786E" w:rsidRDefault="005D786E" w:rsidP="00AF7342">
      <w:pPr>
        <w:pStyle w:val="a9"/>
        <w:spacing w:before="62" w:after="62"/>
      </w:pPr>
      <w:r>
        <w:rPr>
          <w:rFonts w:hint="eastAsia"/>
        </w:rPr>
        <w:t>第五章</w:t>
      </w:r>
      <w:r>
        <w:t xml:space="preserve"> 评估方法</w:t>
      </w:r>
    </w:p>
    <w:p w14:paraId="485B24C3" w14:textId="673C1CCB" w:rsidR="005D786E" w:rsidRDefault="00E05BDA" w:rsidP="005D786E">
      <w:pPr>
        <w:pStyle w:val="13"/>
        <w:ind w:firstLine="482"/>
      </w:pPr>
      <w:r w:rsidRPr="00E05BDA">
        <w:rPr>
          <w:rFonts w:hint="eastAsia"/>
          <w:b/>
        </w:rPr>
        <w:t xml:space="preserve">第十四条 </w:t>
      </w:r>
      <w:r w:rsidR="005D786E">
        <w:t>执行商誉减值测试评估业务，资产评估专业人员应当根据企业委托评估目的、价值类型、资料收集情况、数据来源等，参照会计准则相关规定，考虑评估方法适用前提，选择恰当的评估方法。</w:t>
      </w:r>
    </w:p>
    <w:p w14:paraId="6B9E1777" w14:textId="58768C19" w:rsidR="005D786E" w:rsidRDefault="00E05BDA" w:rsidP="005D786E">
      <w:pPr>
        <w:pStyle w:val="13"/>
        <w:ind w:firstLine="482"/>
      </w:pPr>
      <w:r w:rsidRPr="00E05BDA">
        <w:rPr>
          <w:rFonts w:hint="eastAsia"/>
          <w:b/>
        </w:rPr>
        <w:t xml:space="preserve">第十五条 </w:t>
      </w:r>
      <w:r w:rsidR="005D786E">
        <w:t>资产评估专业人员应当知晓商誉减值测试评估方法应当与以前会计期间商誉减值测试采用的评估方法保持一致，除非有证据显示变更后的评估方法得出的评估结论更具合理性，或者因以前会计期间采用评估方法依据的市场数据发生重大变化而不再适用。</w:t>
      </w:r>
    </w:p>
    <w:p w14:paraId="2AF72D23" w14:textId="5562951E" w:rsidR="005D786E" w:rsidRDefault="00E05BDA" w:rsidP="005D786E">
      <w:pPr>
        <w:pStyle w:val="13"/>
        <w:ind w:firstLine="482"/>
      </w:pPr>
      <w:r w:rsidRPr="00E05BDA">
        <w:rPr>
          <w:rFonts w:hint="eastAsia"/>
          <w:b/>
        </w:rPr>
        <w:t xml:space="preserve">第十六条 </w:t>
      </w:r>
      <w:r w:rsidR="005D786E">
        <w:t>商誉减值测试评估需要计算公允价值减去处置费用后的净额时，资产评估专业人员可以采用市场法、收益法、成本法计算包含商誉资产组或资产组组合的公允价值。</w:t>
      </w:r>
    </w:p>
    <w:p w14:paraId="477D86BD" w14:textId="74CCBAF6" w:rsidR="005D786E" w:rsidRDefault="005D786E" w:rsidP="00ED7434">
      <w:pPr>
        <w:pStyle w:val="13"/>
      </w:pPr>
      <w:r>
        <w:rPr>
          <w:rFonts w:hint="eastAsia"/>
        </w:rPr>
        <w:t>（一）采用市场法计算包含商誉资产组或资产组组合公允价值时，资产评估专业人员需要关注可比对象实际交易所在市场和评估对象模拟有序交易所在的主要市场或最有利市场是否一致。若选择从事</w:t>
      </w:r>
      <w:proofErr w:type="gramStart"/>
      <w:r>
        <w:rPr>
          <w:rFonts w:hint="eastAsia"/>
        </w:rPr>
        <w:t>相似业务</w:t>
      </w:r>
      <w:proofErr w:type="gramEnd"/>
      <w:r>
        <w:rPr>
          <w:rFonts w:hint="eastAsia"/>
        </w:rPr>
        <w:t>的上市公司作为可比对象，需要知晓作为资产组或资产组组合的评估对象与作为股权的可比上市公司在资产性质及价值内涵方面的差异，并在计算价值比率时进行相应调整。</w:t>
      </w:r>
    </w:p>
    <w:p w14:paraId="35A6CE49" w14:textId="7FF36A41" w:rsidR="005D786E" w:rsidRDefault="005D786E" w:rsidP="005D786E">
      <w:pPr>
        <w:pStyle w:val="13"/>
      </w:pPr>
      <w:r>
        <w:rPr>
          <w:rFonts w:hint="eastAsia"/>
        </w:rPr>
        <w:t>（二）采用收益法计算包含商誉资产组或资产组组合公允价值时，资产评估专业人员应当从主要市场（最有利市场）中市场参与者的角度确定评估对象的最</w:t>
      </w:r>
      <w:r>
        <w:t>佳用途，并考虑其对评估对象未来收益预测的影响。通常情况下，评估对象的现行用途可以视为最佳用途，</w:t>
      </w:r>
      <w:proofErr w:type="gramStart"/>
      <w:r>
        <w:t>除非市场</w:t>
      </w:r>
      <w:proofErr w:type="gramEnd"/>
      <w:r>
        <w:t>因素或者其他因素表明市场参与者按照其他用途使用该资产可以实现价值最大化。</w:t>
      </w:r>
    </w:p>
    <w:p w14:paraId="5B44A740" w14:textId="77777777" w:rsidR="005D786E" w:rsidRDefault="005D786E" w:rsidP="005D786E">
      <w:pPr>
        <w:pStyle w:val="13"/>
      </w:pPr>
      <w:r>
        <w:rPr>
          <w:rFonts w:hint="eastAsia"/>
        </w:rPr>
        <w:t>（三）采用成本法计算包含商誉资产组或资产组组合公允价值时，由于商誉无法单独评估，该方法通常仅适用于资产</w:t>
      </w:r>
      <w:proofErr w:type="gramStart"/>
      <w:r>
        <w:rPr>
          <w:rFonts w:hint="eastAsia"/>
        </w:rPr>
        <w:t>组部分</w:t>
      </w:r>
      <w:proofErr w:type="gramEnd"/>
      <w:r>
        <w:rPr>
          <w:rFonts w:hint="eastAsia"/>
        </w:rPr>
        <w:t>资产公允价值高于评估对象账面价值的</w:t>
      </w:r>
      <w:r>
        <w:rPr>
          <w:rFonts w:hint="eastAsia"/>
        </w:rPr>
        <w:lastRenderedPageBreak/>
        <w:t>特殊情形。在此情形下，资产评估专业人员需要取得企业对商誉资产组或资产组组合价值可以通过未来运营得以全额收回的承诺，并在资产评估报告中提示评估结论仅在此前提下成立。</w:t>
      </w:r>
    </w:p>
    <w:p w14:paraId="73D12F31" w14:textId="77777777" w:rsidR="005D786E" w:rsidRDefault="005D786E" w:rsidP="005D786E">
      <w:pPr>
        <w:pStyle w:val="13"/>
      </w:pPr>
      <w:r>
        <w:rPr>
          <w:rFonts w:hint="eastAsia"/>
        </w:rPr>
        <w:t>公允价值减去处置费用后的净额计算中，资产评估专业人员通常需要考虑的处置费用包括与评估对象处置有关的法律费用、相关税费等。</w:t>
      </w:r>
    </w:p>
    <w:p w14:paraId="3B0C6F0D" w14:textId="205B9E93" w:rsidR="005D786E" w:rsidRDefault="00E05BDA" w:rsidP="005D786E">
      <w:pPr>
        <w:pStyle w:val="13"/>
        <w:ind w:firstLine="482"/>
      </w:pPr>
      <w:r w:rsidRPr="00E05BDA">
        <w:rPr>
          <w:rFonts w:hint="eastAsia"/>
          <w:b/>
        </w:rPr>
        <w:t xml:space="preserve">第十七条 </w:t>
      </w:r>
      <w:r w:rsidR="005D786E">
        <w:t>商誉减值测试评估需要计算预计未来现金流量的现值时，资产评估专业人员应当取得商誉相关资产组或资产组组合所在企业管理层最近批准的包含商誉资产组或资产组组合的财务预测数据，访谈企业相关人员、了解企业管理层确定的评估假设内容和依据，结合企业内部、外部经营环境，分析历史财务数据，判断企业财务预测数据的可行性。以评估对象账面价值确定基础与可收回金额确定方式一致性为原则，计算包含商誉资产组或资产组组合预计未来现金流量的现值。</w:t>
      </w:r>
    </w:p>
    <w:p w14:paraId="670D1020" w14:textId="77777777" w:rsidR="005D786E" w:rsidRDefault="005D786E" w:rsidP="005D786E">
      <w:pPr>
        <w:pStyle w:val="13"/>
      </w:pPr>
      <w:r>
        <w:rPr>
          <w:rFonts w:hint="eastAsia"/>
        </w:rPr>
        <w:t>对取得的经管理层批准的财务预测数据进行核查验证时，如果企业未提供重要参数确定的依据，资产评估专业人员需要判断其对评估结论的影响。如果构成重大影响，不得出具资产评估报告。</w:t>
      </w:r>
    </w:p>
    <w:p w14:paraId="7B30839F" w14:textId="77777777" w:rsidR="005D786E" w:rsidRDefault="005D786E" w:rsidP="00AF7342">
      <w:pPr>
        <w:pStyle w:val="a9"/>
        <w:spacing w:before="62" w:after="62"/>
      </w:pPr>
      <w:r>
        <w:rPr>
          <w:rFonts w:hint="eastAsia"/>
        </w:rPr>
        <w:t>第六章</w:t>
      </w:r>
      <w:r>
        <w:t xml:space="preserve"> 评估参数</w:t>
      </w:r>
    </w:p>
    <w:p w14:paraId="0F366F77" w14:textId="4D77C7A3" w:rsidR="005D786E" w:rsidRDefault="00E05BDA" w:rsidP="005D786E">
      <w:pPr>
        <w:pStyle w:val="13"/>
        <w:ind w:firstLine="482"/>
      </w:pPr>
      <w:r w:rsidRPr="00E05BDA">
        <w:rPr>
          <w:rFonts w:hint="eastAsia"/>
          <w:b/>
        </w:rPr>
        <w:t xml:space="preserve">第十八条 </w:t>
      </w:r>
      <w:r w:rsidR="005D786E">
        <w:t>资产评估专业人员应当关注企业提供的预计未来现金流量的预测基础是否与包含商誉资产组或资产组组合的账面价值确定基础一致，即二者内涵需对应相同的资产（负债），按照与包含商誉资产组或资产组组合内资产（负债）一致的基础预测未来现金流量。</w:t>
      </w:r>
    </w:p>
    <w:p w14:paraId="178C807C" w14:textId="3D7EDB59" w:rsidR="005D786E" w:rsidRDefault="00E05BDA" w:rsidP="00ED7434">
      <w:pPr>
        <w:pStyle w:val="13"/>
        <w:ind w:firstLine="482"/>
      </w:pPr>
      <w:r w:rsidRPr="00E05BDA">
        <w:rPr>
          <w:rFonts w:hint="eastAsia"/>
          <w:b/>
        </w:rPr>
        <w:t xml:space="preserve">第十九条 </w:t>
      </w:r>
      <w:r w:rsidR="005D786E">
        <w:t>资产评估专业人员需要关注企业提供的预计未来现金流量应当以资产当前状况为基础、以税前口径为依据，分析销量、价格、成本、费用、增长率等关键参</w:t>
      </w:r>
      <w:r w:rsidR="005D786E">
        <w:rPr>
          <w:rFonts w:hint="eastAsia"/>
        </w:rPr>
        <w:t>数预测的合理性。</w:t>
      </w:r>
    </w:p>
    <w:p w14:paraId="0429CDC6" w14:textId="77777777" w:rsidR="005D786E" w:rsidRDefault="005D786E" w:rsidP="005D786E">
      <w:pPr>
        <w:pStyle w:val="13"/>
      </w:pPr>
      <w:r>
        <w:rPr>
          <w:rFonts w:hint="eastAsia"/>
        </w:rPr>
        <w:t>资产评估专业人员需要关注以前会计期间企业预测财务数据的实现情况。如果以前会计期间预测财务数据与实际实现存在重大偏差，需要了解企业管理层识别出的导致偏差的主要原因，关注当期预测财务数据是否充分考虑了相关因素的影响，并调整了当期财务数据预测基础。</w:t>
      </w:r>
    </w:p>
    <w:p w14:paraId="52C7C54C" w14:textId="0A55984F" w:rsidR="005D786E" w:rsidRDefault="00E05BDA" w:rsidP="005D786E">
      <w:pPr>
        <w:pStyle w:val="13"/>
        <w:ind w:firstLine="482"/>
      </w:pPr>
      <w:r w:rsidRPr="00E05BDA">
        <w:rPr>
          <w:rFonts w:hint="eastAsia"/>
          <w:b/>
        </w:rPr>
        <w:t xml:space="preserve">第二十条 </w:t>
      </w:r>
      <w:r w:rsidR="005D786E">
        <w:t>资产评估专业人员应当知晓预计包含商誉资产组或资产组组合的未来现金流量不应当考虑将来可能发生的、尚未</w:t>
      </w:r>
      <w:proofErr w:type="gramStart"/>
      <w:r w:rsidR="005D786E">
        <w:t>作出</w:t>
      </w:r>
      <w:proofErr w:type="gramEnd"/>
      <w:r w:rsidR="005D786E">
        <w:t>承诺的重组事项或者与资产改良有关的事项，但评估基准日已发生支出的与包含商誉资产组或资产组组合业务相关的在建工程、开发过程中的无形资产等事项对未来现金流量的影响应当予以考虑，同时应当考虑预期为使该资产达到预定可使用或者可销售状态发生的全部现金流出。</w:t>
      </w:r>
    </w:p>
    <w:p w14:paraId="54E8E06E" w14:textId="77777777" w:rsidR="005D786E" w:rsidRDefault="005D786E" w:rsidP="005D786E">
      <w:pPr>
        <w:pStyle w:val="13"/>
      </w:pPr>
      <w:r>
        <w:rPr>
          <w:rFonts w:hint="eastAsia"/>
        </w:rPr>
        <w:t>预计包含商誉资产组或资产组组合的未来现金流量也不应当包括筹资活动产生的现金流入或者流出以及与所得税收</w:t>
      </w:r>
      <w:proofErr w:type="gramStart"/>
      <w:r>
        <w:rPr>
          <w:rFonts w:hint="eastAsia"/>
        </w:rPr>
        <w:t>付有关</w:t>
      </w:r>
      <w:proofErr w:type="gramEnd"/>
      <w:r>
        <w:rPr>
          <w:rFonts w:hint="eastAsia"/>
        </w:rPr>
        <w:t>的现金流量。</w:t>
      </w:r>
    </w:p>
    <w:p w14:paraId="04F6C46A" w14:textId="4A9625E0" w:rsidR="005D786E" w:rsidRDefault="00E05BDA" w:rsidP="005D786E">
      <w:pPr>
        <w:pStyle w:val="13"/>
        <w:ind w:firstLine="482"/>
      </w:pPr>
      <w:r w:rsidRPr="00E05BDA">
        <w:rPr>
          <w:rFonts w:hint="eastAsia"/>
          <w:b/>
        </w:rPr>
        <w:t xml:space="preserve">第二十一条 </w:t>
      </w:r>
      <w:r w:rsidR="005D786E">
        <w:t>当预计未来现金流量受内部转移价格影响时，资产评估专业人员需</w:t>
      </w:r>
      <w:r w:rsidR="005D786E">
        <w:lastRenderedPageBreak/>
        <w:t>要提醒企业管理</w:t>
      </w:r>
      <w:proofErr w:type="gramStart"/>
      <w:r w:rsidR="005D786E">
        <w:t>层按照</w:t>
      </w:r>
      <w:proofErr w:type="gramEnd"/>
      <w:r w:rsidR="005D786E">
        <w:t xml:space="preserve">在公平交易中对未来价格的最 </w:t>
      </w:r>
      <w:proofErr w:type="gramStart"/>
      <w:r w:rsidR="005D786E">
        <w:t>佳估计</w:t>
      </w:r>
      <w:proofErr w:type="gramEnd"/>
      <w:r w:rsidR="005D786E">
        <w:t>数确定未来现金流量。</w:t>
      </w:r>
    </w:p>
    <w:p w14:paraId="09D9D1EE" w14:textId="1F3EAEB8" w:rsidR="005D786E" w:rsidRDefault="00E05BDA" w:rsidP="005D786E">
      <w:pPr>
        <w:pStyle w:val="13"/>
        <w:ind w:firstLine="482"/>
      </w:pPr>
      <w:r w:rsidRPr="00E05BDA">
        <w:rPr>
          <w:rFonts w:hint="eastAsia"/>
          <w:b/>
        </w:rPr>
        <w:t xml:space="preserve">第二十二条 </w:t>
      </w:r>
      <w:r w:rsidR="005D786E">
        <w:t>资产评估专业人员取得的经企业管理层批准的预计未来现金流量详细预测期通常涵盖5年，如涵盖更长期间，应当取得企业管理层的合理性说明。</w:t>
      </w:r>
    </w:p>
    <w:p w14:paraId="04574C84" w14:textId="77777777" w:rsidR="005D786E" w:rsidRDefault="005D786E" w:rsidP="005D786E">
      <w:pPr>
        <w:pStyle w:val="13"/>
      </w:pPr>
      <w:r>
        <w:rPr>
          <w:rFonts w:hint="eastAsia"/>
        </w:rPr>
        <w:t>预计未来现金流量收益期通常以包含商誉资产组的核心资产（商誉）为依据确定。商誉未来收益期不可确定，但包含商誉资产组或资产组组合未来经营期限受法律、协议等因素影响的，如矿业企业资产组、签订经营期限企业资产组等，应当以法律、协议约定的年限为基础计算确定预计未来现金流量的收益期。</w:t>
      </w:r>
    </w:p>
    <w:p w14:paraId="241F0825" w14:textId="77777777" w:rsidR="005D786E" w:rsidRDefault="005D786E" w:rsidP="005D786E">
      <w:pPr>
        <w:pStyle w:val="13"/>
      </w:pPr>
      <w:r>
        <w:rPr>
          <w:rFonts w:hint="eastAsia"/>
        </w:rPr>
        <w:t>预计未来现金流量资本性支出应当以维持包含商誉资产组或资产组组合正常运转或原定正常产出水平为基础确定。同时商誉相关资产组包括与其业务相关的已发生支出的在建工程或者开发过程中的无形资产等事项时，应当将为使该资产达到预定可使用或可销售状态发生的现金流出作为资本性支出。</w:t>
      </w:r>
    </w:p>
    <w:p w14:paraId="55884304" w14:textId="595B2FE0" w:rsidR="005D786E" w:rsidRDefault="00E05BDA" w:rsidP="005D786E">
      <w:pPr>
        <w:pStyle w:val="13"/>
        <w:ind w:firstLine="482"/>
      </w:pPr>
      <w:r w:rsidRPr="00E05BDA">
        <w:rPr>
          <w:rFonts w:hint="eastAsia"/>
          <w:b/>
        </w:rPr>
        <w:t xml:space="preserve">第二十三条 </w:t>
      </w:r>
      <w:r w:rsidR="005D786E">
        <w:t>资产评估专业人员应当知晓详细预测期之后预计现金流量可以保持稳定的或递减的增长率，如果企业管理层提供证据表明递增的增长率是合理的，可以以递增的增长率为基础。</w:t>
      </w:r>
    </w:p>
    <w:p w14:paraId="4CB8123A" w14:textId="10C96A1C" w:rsidR="005D786E" w:rsidRDefault="005D786E" w:rsidP="00ED7434">
      <w:pPr>
        <w:pStyle w:val="13"/>
      </w:pPr>
      <w:r>
        <w:rPr>
          <w:rFonts w:hint="eastAsia"/>
        </w:rPr>
        <w:t>详细预测期之后增长率，不应当超过企业经营的产品、市场、所处的行业或者所在国家或者地区的长期平均增长率，或者包含商誉资产组或资产组组合所处市场的长期平均增长率。</w:t>
      </w:r>
    </w:p>
    <w:p w14:paraId="4CA01CED" w14:textId="29DB5500" w:rsidR="005D786E" w:rsidRDefault="00E05BDA" w:rsidP="005D786E">
      <w:pPr>
        <w:pStyle w:val="13"/>
        <w:ind w:firstLine="482"/>
      </w:pPr>
      <w:r w:rsidRPr="00E05BDA">
        <w:rPr>
          <w:rFonts w:hint="eastAsia"/>
          <w:b/>
        </w:rPr>
        <w:t xml:space="preserve">第二十四条 </w:t>
      </w:r>
      <w:r w:rsidR="005D786E">
        <w:t>折现率的确定应当以该资产的市场利率为依据。该折现率是企业作为市场参与者在购置或者投资资产时所要求的必要报酬率。</w:t>
      </w:r>
    </w:p>
    <w:p w14:paraId="3582927B" w14:textId="77777777" w:rsidR="005D786E" w:rsidRDefault="005D786E" w:rsidP="005D786E">
      <w:pPr>
        <w:pStyle w:val="13"/>
      </w:pPr>
      <w:r>
        <w:rPr>
          <w:rFonts w:hint="eastAsia"/>
        </w:rPr>
        <w:t>无法从市场获得的，可以使用替代利率估计折现率。替代利率可以根据加权平均资金成本或者其他相关市场利率作适当调整后确定。</w:t>
      </w:r>
    </w:p>
    <w:p w14:paraId="6D3A3F1D" w14:textId="77777777" w:rsidR="005D786E" w:rsidRDefault="005D786E" w:rsidP="005D786E">
      <w:pPr>
        <w:pStyle w:val="13"/>
      </w:pPr>
      <w:r>
        <w:rPr>
          <w:rFonts w:hint="eastAsia"/>
        </w:rPr>
        <w:t>对折现率的计算，资产评估专业人员应当关注是否与相应的宏观、行业、地域、特定市场、特定市场主体的风险因素相匹配。</w:t>
      </w:r>
    </w:p>
    <w:p w14:paraId="6E9431D8" w14:textId="77777777" w:rsidR="005D786E" w:rsidRDefault="005D786E" w:rsidP="005D786E">
      <w:pPr>
        <w:pStyle w:val="13"/>
      </w:pPr>
      <w:r>
        <w:rPr>
          <w:rFonts w:hint="eastAsia"/>
        </w:rPr>
        <w:t>在计算预计未来现金流量现值时，如果用于计算折现率的基础是税后的，应当将其调整为税前的折现率。但计算公允价值时，资产评估专业人员应当知晓可以采用税后折现率。</w:t>
      </w:r>
    </w:p>
    <w:p w14:paraId="7F0943A5" w14:textId="39E90C52" w:rsidR="005D786E" w:rsidRDefault="00E05BDA" w:rsidP="005D786E">
      <w:pPr>
        <w:pStyle w:val="13"/>
        <w:ind w:firstLine="482"/>
      </w:pPr>
      <w:r w:rsidRPr="00E05BDA">
        <w:rPr>
          <w:rFonts w:hint="eastAsia"/>
          <w:b/>
        </w:rPr>
        <w:t xml:space="preserve">第二十五条 </w:t>
      </w:r>
      <w:r w:rsidR="005D786E">
        <w:rPr>
          <w:rFonts w:hint="eastAsia"/>
        </w:rPr>
        <w:t>预计未来现金流量涉及外币的，资产评估专业人员需要以包含商誉资产组或资产组组合所产生的未来现金流量的结算货币为基础，按照该货币适用的折现率计算现值，然后将该外币现值按照评估基准日的即期汇率进行折算。</w:t>
      </w:r>
    </w:p>
    <w:p w14:paraId="2174FD4A" w14:textId="77777777" w:rsidR="005D786E" w:rsidRDefault="005D786E" w:rsidP="00AF7342">
      <w:pPr>
        <w:pStyle w:val="a9"/>
        <w:spacing w:before="62" w:after="62"/>
      </w:pPr>
      <w:r>
        <w:rPr>
          <w:rFonts w:hint="eastAsia"/>
        </w:rPr>
        <w:t>第七章</w:t>
      </w:r>
      <w:r>
        <w:t xml:space="preserve"> 报告披露</w:t>
      </w:r>
    </w:p>
    <w:p w14:paraId="2025CC89" w14:textId="21A19FB8" w:rsidR="005D786E" w:rsidRDefault="00E05BDA" w:rsidP="005D786E">
      <w:pPr>
        <w:pStyle w:val="13"/>
        <w:ind w:firstLine="482"/>
      </w:pPr>
      <w:r w:rsidRPr="00E05BDA">
        <w:rPr>
          <w:rFonts w:hint="eastAsia"/>
          <w:b/>
        </w:rPr>
        <w:t xml:space="preserve">第二十六条 </w:t>
      </w:r>
      <w:r w:rsidR="005D786E">
        <w:t>资产评估报告应当披露与商誉减值测试相关的评估要素、关键评估参数以及其他对评估结论有重要影响的信息，以使资产评估报告使用人能够正确理解评估结论。通常重点披露下列内容：</w:t>
      </w:r>
    </w:p>
    <w:p w14:paraId="652476A3" w14:textId="77777777" w:rsidR="005D786E" w:rsidRDefault="005D786E" w:rsidP="005D786E">
      <w:pPr>
        <w:pStyle w:val="13"/>
      </w:pPr>
      <w:r>
        <w:rPr>
          <w:rFonts w:hint="eastAsia"/>
        </w:rPr>
        <w:t>（一）企业委托评估目的，应当与业务委托合同约定服务内容一致；</w:t>
      </w:r>
    </w:p>
    <w:p w14:paraId="42E8475F" w14:textId="77777777" w:rsidR="005D786E" w:rsidRDefault="005D786E" w:rsidP="005D786E">
      <w:pPr>
        <w:pStyle w:val="13"/>
      </w:pPr>
      <w:r>
        <w:rPr>
          <w:rFonts w:hint="eastAsia"/>
        </w:rPr>
        <w:lastRenderedPageBreak/>
        <w:t>（二）评估对象和评估范围的具体描述，包括包含商誉资产组或资产组组合构成、账面价值等；</w:t>
      </w:r>
    </w:p>
    <w:p w14:paraId="6406E086" w14:textId="77777777" w:rsidR="005D786E" w:rsidRDefault="005D786E" w:rsidP="005D786E">
      <w:pPr>
        <w:pStyle w:val="13"/>
      </w:pPr>
      <w:r>
        <w:rPr>
          <w:rFonts w:hint="eastAsia"/>
        </w:rPr>
        <w:t>（三）价值类型的定义；</w:t>
      </w:r>
    </w:p>
    <w:p w14:paraId="76E06CC9" w14:textId="77777777" w:rsidR="005D786E" w:rsidRDefault="005D786E" w:rsidP="005D786E">
      <w:pPr>
        <w:pStyle w:val="13"/>
      </w:pPr>
      <w:r>
        <w:rPr>
          <w:rFonts w:hint="eastAsia"/>
        </w:rPr>
        <w:t>（四）评估方法的选择、具体测算思路，以及本次评估方法与以前会计期间选取的评估方法是否一致，如果不一致，应当披露评估方法变更的原因；</w:t>
      </w:r>
    </w:p>
    <w:p w14:paraId="1ABA61BE" w14:textId="77777777" w:rsidR="005D786E" w:rsidRDefault="005D786E" w:rsidP="005D786E">
      <w:pPr>
        <w:pStyle w:val="13"/>
      </w:pPr>
      <w:r>
        <w:rPr>
          <w:rFonts w:hint="eastAsia"/>
        </w:rPr>
        <w:t>（五）重要评估假设及前提；</w:t>
      </w:r>
    </w:p>
    <w:p w14:paraId="7B448046" w14:textId="77777777" w:rsidR="005D786E" w:rsidRDefault="005D786E" w:rsidP="005D786E">
      <w:pPr>
        <w:pStyle w:val="13"/>
      </w:pPr>
      <w:r>
        <w:rPr>
          <w:rFonts w:hint="eastAsia"/>
        </w:rPr>
        <w:t>（六）关键评估参数测算依据，包括逻辑计算过程、重要评估数据获取来源等；</w:t>
      </w:r>
    </w:p>
    <w:p w14:paraId="0DF9FDDC" w14:textId="77777777" w:rsidR="005D786E" w:rsidRDefault="005D786E" w:rsidP="005D786E">
      <w:pPr>
        <w:pStyle w:val="13"/>
      </w:pPr>
      <w:r>
        <w:rPr>
          <w:rFonts w:hint="eastAsia"/>
        </w:rPr>
        <w:t>（七）对评估结论有重要影响的事项，包括评估程序受限、可能对评估结论产生重要影响的瑕疵事项等。</w:t>
      </w:r>
    </w:p>
    <w:p w14:paraId="752D8427" w14:textId="2BD0BFCB" w:rsidR="005D786E" w:rsidRDefault="00E05BDA" w:rsidP="00ED7434">
      <w:pPr>
        <w:pStyle w:val="13"/>
        <w:ind w:firstLine="482"/>
      </w:pPr>
      <w:r w:rsidRPr="00E05BDA">
        <w:rPr>
          <w:rFonts w:hint="eastAsia"/>
          <w:b/>
        </w:rPr>
        <w:t xml:space="preserve">第二十七条 </w:t>
      </w:r>
      <w:r w:rsidR="005D786E">
        <w:t>资产评估专业人员应当关注评估基准日至资产评估报告日之间发生的</w:t>
      </w:r>
      <w:r w:rsidR="005D786E">
        <w:rPr>
          <w:rFonts w:hint="eastAsia"/>
        </w:rPr>
        <w:t>与评估对象相关的重大期后事项，包括内外部环境的重大变化、重大诉讼与仲裁的最</w:t>
      </w:r>
      <w:r w:rsidR="005D786E">
        <w:t xml:space="preserve"> 新进展等，并在资产评估报告特别事项说明中披露该事项及其对评估结论的影响。</w:t>
      </w:r>
    </w:p>
    <w:p w14:paraId="6E33B477" w14:textId="77777777" w:rsidR="005D786E" w:rsidRDefault="005D786E" w:rsidP="005D786E">
      <w:pPr>
        <w:pStyle w:val="13"/>
      </w:pPr>
      <w:r>
        <w:rPr>
          <w:rFonts w:hint="eastAsia"/>
        </w:rPr>
        <w:t>资产评估专业人员需要根据会计准则关于资产负债表日后事项的调整事项和非调整事项的规范内容，考虑对评估对象可收回金额的影响。</w:t>
      </w:r>
    </w:p>
    <w:p w14:paraId="509F3370" w14:textId="1DBE6BFC" w:rsidR="005D786E" w:rsidRDefault="005D786E" w:rsidP="00ED7434">
      <w:pPr>
        <w:pStyle w:val="31"/>
        <w:spacing w:before="156" w:after="62"/>
      </w:pPr>
      <w:bookmarkStart w:id="77" w:name="_Toc81833341"/>
      <w:r>
        <w:rPr>
          <w:rFonts w:hint="eastAsia"/>
        </w:rPr>
        <w:t>资产评估专家指引第</w:t>
      </w:r>
      <w:r>
        <w:t>12号—收益法评估企业价值中折现率的测算</w:t>
      </w:r>
      <w:r w:rsidR="00ED7434">
        <w:br/>
      </w:r>
      <w:r>
        <w:t>（</w:t>
      </w:r>
      <w:proofErr w:type="gramStart"/>
      <w:r>
        <w:t>中评协</w:t>
      </w:r>
      <w:proofErr w:type="gramEnd"/>
      <w:r>
        <w:t>〔2020〕38号）</w:t>
      </w:r>
      <w:bookmarkEnd w:id="77"/>
    </w:p>
    <w:p w14:paraId="0685336C" w14:textId="77777777" w:rsidR="005D786E" w:rsidRDefault="005D786E" w:rsidP="00ED7434">
      <w:pPr>
        <w:pStyle w:val="13"/>
        <w:ind w:firstLineChars="0" w:firstLine="0"/>
      </w:pPr>
      <w:r>
        <w:rPr>
          <w:rFonts w:hint="eastAsia"/>
        </w:rPr>
        <w:t>各省、自治区、直辖市、计划单列市资产评估协会（注册会计师协会）：</w:t>
      </w:r>
    </w:p>
    <w:p w14:paraId="3F1260A5" w14:textId="77777777" w:rsidR="005D786E" w:rsidRDefault="005D786E" w:rsidP="005D786E">
      <w:pPr>
        <w:pStyle w:val="13"/>
      </w:pPr>
      <w:r>
        <w:rPr>
          <w:rFonts w:hint="eastAsia"/>
        </w:rPr>
        <w:t>为指导资产评估机构及其资产评估专业人员在使用收益法评估企业价值</w:t>
      </w:r>
      <w:proofErr w:type="gramStart"/>
      <w:r>
        <w:rPr>
          <w:rFonts w:hint="eastAsia"/>
        </w:rPr>
        <w:t>时合理</w:t>
      </w:r>
      <w:proofErr w:type="gramEnd"/>
      <w:r>
        <w:rPr>
          <w:rFonts w:hint="eastAsia"/>
        </w:rPr>
        <w:t>测算预期收益的折现率，中国资产评估协会制定了《资产评估专家指引第</w:t>
      </w:r>
      <w:r>
        <w:t>12号—收益法评估企业价值中折现率的测算》，现予印发，</w:t>
      </w:r>
      <w:proofErr w:type="gramStart"/>
      <w:r>
        <w:t>供资产</w:t>
      </w:r>
      <w:proofErr w:type="gramEnd"/>
      <w:r>
        <w:t>评估机构及其资产评估专业人员执行资产评估业务时参考。</w:t>
      </w:r>
    </w:p>
    <w:p w14:paraId="3F126C70" w14:textId="337A5000" w:rsidR="005D786E" w:rsidRDefault="005D786E" w:rsidP="005D786E">
      <w:pPr>
        <w:pStyle w:val="13"/>
      </w:pPr>
      <w:r>
        <w:rPr>
          <w:rFonts w:hint="eastAsia"/>
        </w:rPr>
        <w:t>请各地</w:t>
      </w:r>
      <w:proofErr w:type="gramStart"/>
      <w:r>
        <w:rPr>
          <w:rFonts w:hint="eastAsia"/>
        </w:rPr>
        <w:t>方协会</w:t>
      </w:r>
      <w:proofErr w:type="gramEnd"/>
      <w:r>
        <w:rPr>
          <w:rFonts w:hint="eastAsia"/>
        </w:rPr>
        <w:t>将《资产评估专家指引第</w:t>
      </w:r>
      <w:r>
        <w:t>12号—收益法评估企业价值中折现率的测算》及时转发资产评估机构。</w:t>
      </w:r>
    </w:p>
    <w:p w14:paraId="3F0CCFF1" w14:textId="77777777" w:rsidR="00ED7434" w:rsidRDefault="00ED7434" w:rsidP="00ED7434">
      <w:pPr>
        <w:pStyle w:val="13"/>
      </w:pPr>
      <w:r>
        <w:rPr>
          <w:rFonts w:hint="eastAsia"/>
        </w:rPr>
        <w:t>附件</w:t>
      </w:r>
      <w:r>
        <w:t xml:space="preserve"> </w:t>
      </w:r>
      <w:r>
        <w:rPr>
          <w:rFonts w:hint="eastAsia"/>
        </w:rPr>
        <w:t>资产评估专家指引第</w:t>
      </w:r>
      <w:r>
        <w:t>12号—收益法评估企业价值中折现率的测算</w:t>
      </w:r>
    </w:p>
    <w:p w14:paraId="40D6DE01" w14:textId="77777777" w:rsidR="005D786E" w:rsidRDefault="005D786E" w:rsidP="00ED7434">
      <w:pPr>
        <w:pStyle w:val="13"/>
        <w:jc w:val="right"/>
      </w:pPr>
      <w:r>
        <w:rPr>
          <w:rFonts w:hint="eastAsia"/>
        </w:rPr>
        <w:t>中国资产评估协会</w:t>
      </w:r>
    </w:p>
    <w:p w14:paraId="0E0F93A0" w14:textId="77777777" w:rsidR="005D786E" w:rsidRDefault="005D786E" w:rsidP="00ED7434">
      <w:pPr>
        <w:pStyle w:val="13"/>
        <w:jc w:val="right"/>
      </w:pPr>
      <w:r>
        <w:t>2020年12月30日</w:t>
      </w:r>
    </w:p>
    <w:p w14:paraId="1E67DAD2" w14:textId="699228BD" w:rsidR="005D786E" w:rsidRDefault="005D786E" w:rsidP="00AF7342">
      <w:pPr>
        <w:pStyle w:val="a9"/>
        <w:spacing w:before="62" w:after="62"/>
      </w:pPr>
      <w:r>
        <w:rPr>
          <w:rFonts w:hint="eastAsia"/>
        </w:rPr>
        <w:t>资产评估专家指引第</w:t>
      </w:r>
      <w:r>
        <w:t>12号—收益法评估企业价值中折现率的测算</w:t>
      </w:r>
    </w:p>
    <w:p w14:paraId="11426855" w14:textId="77777777" w:rsidR="005D786E" w:rsidRDefault="005D786E" w:rsidP="005D786E">
      <w:pPr>
        <w:pStyle w:val="13"/>
      </w:pPr>
      <w:proofErr w:type="gramStart"/>
      <w:r>
        <w:rPr>
          <w:rFonts w:hint="eastAsia"/>
        </w:rPr>
        <w:t>本专家</w:t>
      </w:r>
      <w:proofErr w:type="gramEnd"/>
      <w:r>
        <w:rPr>
          <w:rFonts w:hint="eastAsia"/>
        </w:rPr>
        <w:t>指引是一种专家建议。资产评估机构执行资产评估业务，可以参照</w:t>
      </w:r>
      <w:proofErr w:type="gramStart"/>
      <w:r>
        <w:rPr>
          <w:rFonts w:hint="eastAsia"/>
        </w:rPr>
        <w:t>本专家</w:t>
      </w:r>
      <w:proofErr w:type="gramEnd"/>
      <w:r>
        <w:rPr>
          <w:rFonts w:hint="eastAsia"/>
        </w:rPr>
        <w:t>指引。中国资产评估协会将根据业务发展，对</w:t>
      </w:r>
      <w:proofErr w:type="gramStart"/>
      <w:r>
        <w:rPr>
          <w:rFonts w:hint="eastAsia"/>
        </w:rPr>
        <w:t>本专家</w:t>
      </w:r>
      <w:proofErr w:type="gramEnd"/>
      <w:r>
        <w:rPr>
          <w:rFonts w:hint="eastAsia"/>
        </w:rPr>
        <w:t>指引进行更新。</w:t>
      </w:r>
    </w:p>
    <w:p w14:paraId="3BA947A4" w14:textId="77777777" w:rsidR="005D786E" w:rsidRDefault="005D786E" w:rsidP="00AF7342">
      <w:pPr>
        <w:pStyle w:val="a9"/>
        <w:spacing w:before="62" w:after="62"/>
      </w:pPr>
      <w:r>
        <w:rPr>
          <w:rFonts w:hint="eastAsia"/>
        </w:rPr>
        <w:t>第一章</w:t>
      </w:r>
      <w:r>
        <w:t xml:space="preserve"> 引言</w:t>
      </w:r>
    </w:p>
    <w:p w14:paraId="682E3259" w14:textId="04B370CE" w:rsidR="005D786E" w:rsidRDefault="004E3EBB" w:rsidP="005D786E">
      <w:pPr>
        <w:pStyle w:val="13"/>
        <w:ind w:firstLine="482"/>
      </w:pPr>
      <w:r w:rsidRPr="004E3EBB">
        <w:rPr>
          <w:rFonts w:hint="eastAsia"/>
          <w:b/>
        </w:rPr>
        <w:t xml:space="preserve">第一条 </w:t>
      </w:r>
      <w:r w:rsidR="005D786E">
        <w:rPr>
          <w:rFonts w:hint="eastAsia"/>
        </w:rPr>
        <w:t>为指导资产评估专业人员在运用收益法评估企业价值</w:t>
      </w:r>
      <w:proofErr w:type="gramStart"/>
      <w:r w:rsidR="005D786E">
        <w:rPr>
          <w:rFonts w:hint="eastAsia"/>
        </w:rPr>
        <w:t>时合理</w:t>
      </w:r>
      <w:proofErr w:type="gramEnd"/>
      <w:r w:rsidR="005D786E">
        <w:rPr>
          <w:rFonts w:hint="eastAsia"/>
        </w:rPr>
        <w:t>测算预期收益的折现率，中国资产评估协会组织制定了</w:t>
      </w:r>
      <w:proofErr w:type="gramStart"/>
      <w:r w:rsidR="005D786E">
        <w:rPr>
          <w:rFonts w:hint="eastAsia"/>
        </w:rPr>
        <w:t>本专家</w:t>
      </w:r>
      <w:proofErr w:type="gramEnd"/>
      <w:r w:rsidR="005D786E">
        <w:rPr>
          <w:rFonts w:hint="eastAsia"/>
        </w:rPr>
        <w:t>指引。</w:t>
      </w:r>
    </w:p>
    <w:p w14:paraId="4F4E5D05" w14:textId="24B08025" w:rsidR="005D786E" w:rsidRDefault="004E3EBB" w:rsidP="005D786E">
      <w:pPr>
        <w:pStyle w:val="13"/>
        <w:ind w:firstLine="482"/>
      </w:pPr>
      <w:r w:rsidRPr="004E3EBB">
        <w:rPr>
          <w:rFonts w:hint="eastAsia"/>
          <w:b/>
        </w:rPr>
        <w:lastRenderedPageBreak/>
        <w:t xml:space="preserve">第二条 </w:t>
      </w:r>
      <w:proofErr w:type="gramStart"/>
      <w:r w:rsidR="005D786E">
        <w:t>本专家指引仅</w:t>
      </w:r>
      <w:proofErr w:type="gramEnd"/>
      <w:r w:rsidR="005D786E">
        <w:t>针对收益法中运用资本资产定价模型（CAPM）、加权平均资本成本（WACC）计算折现率所涉及的无风险利率、市场风险溢价、贝塔系数、特定风险报酬率、债权期望报酬率等参数的确定。CAPM、WACC的公式分别表示如下：</w:t>
      </w:r>
    </w:p>
    <w:p w14:paraId="21CDC758" w14:textId="7BA2EF84" w:rsidR="00ED7434" w:rsidRDefault="00ED7434" w:rsidP="005D786E">
      <w:pPr>
        <w:pStyle w:val="13"/>
      </w:pPr>
      <w:r>
        <w:rPr>
          <w:noProof/>
        </w:rPr>
        <w:drawing>
          <wp:inline distT="0" distB="0" distL="0" distR="0" wp14:anchorId="52446F98" wp14:editId="554CBAB1">
            <wp:extent cx="4524375" cy="8436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31974" cy="863732"/>
                    </a:xfrm>
                    <a:prstGeom prst="rect">
                      <a:avLst/>
                    </a:prstGeom>
                  </pic:spPr>
                </pic:pic>
              </a:graphicData>
            </a:graphic>
          </wp:inline>
        </w:drawing>
      </w:r>
    </w:p>
    <w:p w14:paraId="34CB8547" w14:textId="71D20428" w:rsidR="00ED7434" w:rsidRDefault="00ED7434" w:rsidP="00ED7434">
      <w:pPr>
        <w:pStyle w:val="13"/>
      </w:pPr>
      <w:r>
        <w:rPr>
          <w:rFonts w:ascii="Cambria Math" w:hAnsi="Cambria Math" w:cs="Cambria Math"/>
        </w:rPr>
        <w:t>𝑅</w:t>
      </w:r>
      <w:r w:rsidRPr="00ED7434">
        <w:rPr>
          <w:rFonts w:ascii="Cambria Math" w:hAnsi="Cambria Math" w:cs="Cambria Math"/>
          <w:vertAlign w:val="subscript"/>
        </w:rPr>
        <w:t>𝑒</w:t>
      </w:r>
      <w:r>
        <w:t>表示股权期望报酬率，</w:t>
      </w:r>
      <w:r>
        <w:rPr>
          <w:rFonts w:ascii="Cambria Math" w:hAnsi="Cambria Math" w:cs="Cambria Math"/>
        </w:rPr>
        <w:t>𝑅</w:t>
      </w:r>
      <w:r w:rsidRPr="00ED7434">
        <w:rPr>
          <w:rFonts w:ascii="Cambria Math" w:hAnsi="Cambria Math" w:cs="Cambria Math"/>
          <w:vertAlign w:val="subscript"/>
        </w:rPr>
        <w:t>𝑓</w:t>
      </w:r>
      <w:r>
        <w:t>表示无风险利率，</w:t>
      </w:r>
      <w:r>
        <w:rPr>
          <w:rFonts w:ascii="Cambria Math" w:hAnsi="Cambria Math" w:cs="Cambria Math"/>
        </w:rPr>
        <w:t>𝛽</w:t>
      </w:r>
      <w:r>
        <w:t>表示股</w:t>
      </w:r>
      <w:r>
        <w:rPr>
          <w:rFonts w:hint="eastAsia"/>
        </w:rPr>
        <w:t>权系统性风险调整系数，</w:t>
      </w:r>
      <w:r>
        <w:t>(</w:t>
      </w:r>
      <w:r>
        <w:rPr>
          <w:rFonts w:ascii="Cambria Math" w:hAnsi="Cambria Math" w:cs="Cambria Math"/>
        </w:rPr>
        <w:t>𝑅</w:t>
      </w:r>
      <w:r w:rsidRPr="00ED7434">
        <w:rPr>
          <w:rFonts w:ascii="Cambria Math" w:hAnsi="Cambria Math" w:cs="Cambria Math"/>
          <w:vertAlign w:val="subscript"/>
        </w:rPr>
        <w:t>𝑚</w:t>
      </w:r>
      <w:r>
        <w:rPr>
          <w:rFonts w:ascii="微软雅黑" w:eastAsia="微软雅黑" w:hAnsi="微软雅黑" w:cs="微软雅黑" w:hint="eastAsia"/>
        </w:rPr>
        <w:t>−</w:t>
      </w:r>
      <w:r>
        <w:rPr>
          <w:rFonts w:ascii="Cambria Math" w:hAnsi="Cambria Math" w:cs="Cambria Math"/>
        </w:rPr>
        <w:t>𝑅</w:t>
      </w:r>
      <w:r w:rsidRPr="00ED7434">
        <w:rPr>
          <w:rFonts w:ascii="Cambria Math" w:hAnsi="Cambria Math" w:cs="Cambria Math"/>
          <w:vertAlign w:val="subscript"/>
        </w:rPr>
        <w:t>𝑓</w:t>
      </w:r>
      <w:r>
        <w:t>)表示市场风险溢价，ε表</w:t>
      </w:r>
      <w:r>
        <w:rPr>
          <w:rFonts w:hint="eastAsia"/>
        </w:rPr>
        <w:t>示特定风险报酬率，</w:t>
      </w:r>
      <w:r>
        <w:rPr>
          <w:rFonts w:ascii="Cambria Math" w:hAnsi="Cambria Math" w:cs="Cambria Math"/>
        </w:rPr>
        <w:t>𝑅</w:t>
      </w:r>
      <w:r w:rsidRPr="00ED7434">
        <w:rPr>
          <w:rFonts w:ascii="Cambria Math" w:hAnsi="Cambria Math" w:cs="Cambria Math"/>
          <w:vertAlign w:val="subscript"/>
        </w:rPr>
        <w:t>𝑑</w:t>
      </w:r>
      <w:r>
        <w:t>表示债权期望报酬率，D表示债权价</w:t>
      </w:r>
      <w:r>
        <w:rPr>
          <w:rFonts w:hint="eastAsia"/>
        </w:rPr>
        <w:t>值，</w:t>
      </w:r>
      <w:r>
        <w:t>E表示股权价值，T表示所得税税率。</w:t>
      </w:r>
    </w:p>
    <w:p w14:paraId="460AB55B" w14:textId="7B40D26B" w:rsidR="005D786E" w:rsidRDefault="004E3EBB" w:rsidP="005D786E">
      <w:pPr>
        <w:pStyle w:val="13"/>
        <w:ind w:firstLine="482"/>
      </w:pPr>
      <w:r w:rsidRPr="004E3EBB">
        <w:rPr>
          <w:rFonts w:hint="eastAsia"/>
          <w:b/>
        </w:rPr>
        <w:t xml:space="preserve">第三条 </w:t>
      </w:r>
      <w:r w:rsidR="005D786E">
        <w:t>采用风险累加法等其他方法计算折现率，涉及相同参数的测算时可以参照</w:t>
      </w:r>
      <w:proofErr w:type="gramStart"/>
      <w:r w:rsidR="005D786E">
        <w:t>本专家</w:t>
      </w:r>
      <w:proofErr w:type="gramEnd"/>
      <w:r w:rsidR="005D786E">
        <w:t>指引。</w:t>
      </w:r>
    </w:p>
    <w:p w14:paraId="23DC3369" w14:textId="77777777" w:rsidR="005D786E" w:rsidRDefault="005D786E" w:rsidP="00AF7342">
      <w:pPr>
        <w:pStyle w:val="a9"/>
        <w:spacing w:before="62" w:after="62"/>
      </w:pPr>
      <w:r>
        <w:rPr>
          <w:rFonts w:hint="eastAsia"/>
        </w:rPr>
        <w:t>第二章</w:t>
      </w:r>
      <w:r>
        <w:t xml:space="preserve"> 基本遵循</w:t>
      </w:r>
    </w:p>
    <w:p w14:paraId="51AD0455" w14:textId="3A117A22" w:rsidR="005D786E" w:rsidRDefault="004E3EBB" w:rsidP="005D786E">
      <w:pPr>
        <w:pStyle w:val="13"/>
        <w:ind w:firstLine="482"/>
      </w:pPr>
      <w:r w:rsidRPr="004E3EBB">
        <w:rPr>
          <w:rFonts w:hint="eastAsia"/>
          <w:b/>
        </w:rPr>
        <w:t xml:space="preserve">第四条 </w:t>
      </w:r>
      <w:r w:rsidR="005D786E">
        <w:rPr>
          <w:rFonts w:hint="eastAsia"/>
        </w:rPr>
        <w:t>资产评估机构应当研究确定内部统一的折现率测算原则与方法，并在执业过程中保持折现率测算原则与方法的一致性。</w:t>
      </w:r>
    </w:p>
    <w:p w14:paraId="758C0BC4" w14:textId="04370679" w:rsidR="005D786E" w:rsidRDefault="004E3EBB" w:rsidP="005D786E">
      <w:pPr>
        <w:pStyle w:val="13"/>
        <w:ind w:firstLine="482"/>
      </w:pPr>
      <w:r w:rsidRPr="004E3EBB">
        <w:rPr>
          <w:rFonts w:hint="eastAsia"/>
          <w:b/>
        </w:rPr>
        <w:t xml:space="preserve">第五条 </w:t>
      </w:r>
      <w:r w:rsidR="005D786E">
        <w:t>执行资产减值测试等延续性评估项目，需要关注不同评估基准日折现率测算的合理性。</w:t>
      </w:r>
    </w:p>
    <w:p w14:paraId="18AC44B5" w14:textId="292ADB46" w:rsidR="005D786E" w:rsidRDefault="004E3EBB" w:rsidP="005D786E">
      <w:pPr>
        <w:pStyle w:val="13"/>
        <w:ind w:firstLine="482"/>
      </w:pPr>
      <w:r w:rsidRPr="004E3EBB">
        <w:rPr>
          <w:rFonts w:hint="eastAsia"/>
          <w:b/>
        </w:rPr>
        <w:t xml:space="preserve">第六条 </w:t>
      </w:r>
      <w:r w:rsidR="005D786E">
        <w:t>资产评估专业人员需要关注折现率口径与预期收益口径的一致性，以及折现率计算公式中各参数的一致性。</w:t>
      </w:r>
    </w:p>
    <w:p w14:paraId="23D499D0" w14:textId="77777777" w:rsidR="005D786E" w:rsidRDefault="005D786E" w:rsidP="00AF7342">
      <w:pPr>
        <w:pStyle w:val="a9"/>
        <w:spacing w:before="62" w:after="62"/>
      </w:pPr>
      <w:r>
        <w:rPr>
          <w:rFonts w:hint="eastAsia"/>
        </w:rPr>
        <w:t>第三章</w:t>
      </w:r>
      <w:r>
        <w:t xml:space="preserve"> 无风险利率</w:t>
      </w:r>
    </w:p>
    <w:p w14:paraId="2E1D9409" w14:textId="6856A8B3" w:rsidR="005D786E" w:rsidRDefault="004E3EBB" w:rsidP="005D786E">
      <w:pPr>
        <w:pStyle w:val="13"/>
        <w:ind w:firstLine="482"/>
      </w:pPr>
      <w:r w:rsidRPr="004E3EBB">
        <w:rPr>
          <w:rFonts w:hint="eastAsia"/>
          <w:b/>
        </w:rPr>
        <w:t xml:space="preserve">第七条 </w:t>
      </w:r>
      <w:r w:rsidR="005D786E">
        <w:rPr>
          <w:rFonts w:hint="eastAsia"/>
        </w:rPr>
        <w:t>无风险利率是指投资者投资无风险资产的期望报酬率，该无风险资产不存在违约风险。</w:t>
      </w:r>
    </w:p>
    <w:p w14:paraId="3FC4DE15" w14:textId="58B045F9" w:rsidR="005D786E" w:rsidRDefault="004E3EBB" w:rsidP="005D786E">
      <w:pPr>
        <w:pStyle w:val="13"/>
        <w:ind w:firstLine="482"/>
      </w:pPr>
      <w:r w:rsidRPr="004E3EBB">
        <w:rPr>
          <w:rFonts w:hint="eastAsia"/>
          <w:b/>
        </w:rPr>
        <w:t xml:space="preserve">第八条 </w:t>
      </w:r>
      <w:r w:rsidR="005D786E">
        <w:t>无风险利率通常可以用国债的到期收益率表示，选择国债时应当考虑其剩余到期年限与企业现金</w:t>
      </w:r>
      <w:proofErr w:type="gramStart"/>
      <w:r w:rsidR="005D786E">
        <w:t>流时间</w:t>
      </w:r>
      <w:proofErr w:type="gramEnd"/>
      <w:r w:rsidR="005D786E">
        <w:t>期限的匹配性。</w:t>
      </w:r>
    </w:p>
    <w:p w14:paraId="7E88AA09" w14:textId="0045D0A6" w:rsidR="005D786E" w:rsidRDefault="00E05BDA" w:rsidP="005D786E">
      <w:pPr>
        <w:pStyle w:val="13"/>
        <w:ind w:firstLine="482"/>
      </w:pPr>
      <w:r w:rsidRPr="00E05BDA">
        <w:rPr>
          <w:rFonts w:hint="eastAsia"/>
          <w:b/>
        </w:rPr>
        <w:t xml:space="preserve">第九条 </w:t>
      </w:r>
      <w:r w:rsidR="005D786E">
        <w:t>持续经营假设前提下的企业价值评估可以采用剩余期限为十年期或十年期以上国债的到期收益率作为无风险利率。</w:t>
      </w:r>
    </w:p>
    <w:p w14:paraId="5BF01660" w14:textId="77777777" w:rsidR="005D786E" w:rsidRDefault="005D786E" w:rsidP="00AF7342">
      <w:pPr>
        <w:pStyle w:val="a9"/>
        <w:spacing w:before="62" w:after="62"/>
      </w:pPr>
      <w:r>
        <w:rPr>
          <w:rFonts w:hint="eastAsia"/>
        </w:rPr>
        <w:t>第四章</w:t>
      </w:r>
      <w:r>
        <w:t xml:space="preserve"> 市场风险溢价</w:t>
      </w:r>
    </w:p>
    <w:p w14:paraId="16106912" w14:textId="1A927274" w:rsidR="005D786E" w:rsidRDefault="00E05BDA" w:rsidP="00ED7434">
      <w:pPr>
        <w:pStyle w:val="13"/>
        <w:ind w:firstLine="482"/>
      </w:pPr>
      <w:r w:rsidRPr="00E05BDA">
        <w:rPr>
          <w:rFonts w:hint="eastAsia"/>
          <w:b/>
        </w:rPr>
        <w:t xml:space="preserve">第十条 </w:t>
      </w:r>
      <w:r w:rsidR="005D786E">
        <w:t>市场风险溢价是指投资者对与整体市场平均风险相同的股权投资所要求的预期超额收益，即超过无风险利率的风险补偿。市场风险溢价通常可以利用市场的历</w:t>
      </w:r>
      <w:r w:rsidR="005D786E">
        <w:rPr>
          <w:rFonts w:hint="eastAsia"/>
        </w:rPr>
        <w:t>史风险溢价数据进行测算。</w:t>
      </w:r>
    </w:p>
    <w:p w14:paraId="0E9B8699" w14:textId="7C1AE2B5" w:rsidR="005D786E" w:rsidRDefault="00E05BDA" w:rsidP="005D786E">
      <w:pPr>
        <w:pStyle w:val="13"/>
        <w:ind w:firstLine="482"/>
      </w:pPr>
      <w:r w:rsidRPr="00E05BDA">
        <w:rPr>
          <w:rFonts w:hint="eastAsia"/>
          <w:b/>
        </w:rPr>
        <w:t xml:space="preserve">第十一条 </w:t>
      </w:r>
      <w:r w:rsidR="005D786E">
        <w:t>中国市场风险溢价一般可以通过下列几种途径确定：</w:t>
      </w:r>
    </w:p>
    <w:p w14:paraId="7F8751C0" w14:textId="77777777" w:rsidR="005D786E" w:rsidRDefault="005D786E" w:rsidP="005D786E">
      <w:pPr>
        <w:pStyle w:val="13"/>
      </w:pPr>
      <w:r>
        <w:rPr>
          <w:rFonts w:hint="eastAsia"/>
        </w:rPr>
        <w:t>（一）利用中国的证券市场指数的历史风险溢价数据计算；</w:t>
      </w:r>
    </w:p>
    <w:p w14:paraId="05583F78" w14:textId="77777777" w:rsidR="005D786E" w:rsidRDefault="005D786E" w:rsidP="005D786E">
      <w:pPr>
        <w:pStyle w:val="13"/>
      </w:pPr>
      <w:r>
        <w:rPr>
          <w:rFonts w:hint="eastAsia"/>
        </w:rPr>
        <w:t>（二）采用其他成熟资本市场风险溢价调整方法；</w:t>
      </w:r>
    </w:p>
    <w:p w14:paraId="258796DE" w14:textId="77777777" w:rsidR="005D786E" w:rsidRDefault="005D786E" w:rsidP="005D786E">
      <w:pPr>
        <w:pStyle w:val="13"/>
      </w:pPr>
      <w:r>
        <w:rPr>
          <w:rFonts w:hint="eastAsia"/>
        </w:rPr>
        <w:lastRenderedPageBreak/>
        <w:t>（三）引用相关专家学者或者专业机构研究发布的数据。</w:t>
      </w:r>
    </w:p>
    <w:p w14:paraId="5DB385EF" w14:textId="6E866D85" w:rsidR="005D786E" w:rsidRDefault="00E05BDA" w:rsidP="005D786E">
      <w:pPr>
        <w:pStyle w:val="13"/>
        <w:ind w:firstLine="482"/>
      </w:pPr>
      <w:r w:rsidRPr="00E05BDA">
        <w:rPr>
          <w:rFonts w:hint="eastAsia"/>
          <w:b/>
        </w:rPr>
        <w:t xml:space="preserve">第十二条 </w:t>
      </w:r>
      <w:r w:rsidR="005D786E">
        <w:t>利用中国的证券市场指数计算市场风险溢价时，通常选择有代表性的指数，例如沪深300指数、上海证券综合指数等，计算指数一段历史时间内的超额收益率，时间跨度可以选择10年以上、数据频率可以选择周数据或者月数据、计算方法可以采取算术平均或者几何平均。</w:t>
      </w:r>
    </w:p>
    <w:p w14:paraId="4B260002" w14:textId="4FD73F7D" w:rsidR="005D786E" w:rsidRDefault="00E05BDA" w:rsidP="005D786E">
      <w:pPr>
        <w:pStyle w:val="13"/>
        <w:ind w:firstLine="482"/>
      </w:pPr>
      <w:r w:rsidRPr="00E05BDA">
        <w:rPr>
          <w:rFonts w:hint="eastAsia"/>
          <w:b/>
        </w:rPr>
        <w:t xml:space="preserve">第十三条 </w:t>
      </w:r>
      <w:r w:rsidR="005D786E">
        <w:t>采用其他成熟资本市场风险溢价调整方法是在其他成熟资本市场风险溢价的基础上，考虑中国国家风险补偿得到中国市场风险溢价，基本计算公式可以表示为：</w:t>
      </w:r>
    </w:p>
    <w:p w14:paraId="4FB73DA6" w14:textId="77777777" w:rsidR="00ED7434" w:rsidRDefault="005D786E" w:rsidP="005D786E">
      <w:pPr>
        <w:pStyle w:val="13"/>
      </w:pPr>
      <w:r>
        <w:t>市场风险溢价</w:t>
      </w:r>
      <w:r w:rsidRPr="00ED7434">
        <w:rPr>
          <w:vertAlign w:val="subscript"/>
        </w:rPr>
        <w:t>中国</w:t>
      </w:r>
      <w:r>
        <w:t>=市场风险溢价</w:t>
      </w:r>
      <w:r w:rsidRPr="00ED7434">
        <w:rPr>
          <w:vertAlign w:val="subscript"/>
        </w:rPr>
        <w:t>其他成熟资本市场</w:t>
      </w:r>
      <w:r>
        <w:t>+国家风险补偿</w:t>
      </w:r>
      <w:r w:rsidRPr="00ED7434">
        <w:rPr>
          <w:vertAlign w:val="subscript"/>
        </w:rPr>
        <w:t>中国</w:t>
      </w:r>
    </w:p>
    <w:p w14:paraId="0BDB32EF" w14:textId="3A8CB265" w:rsidR="005D786E" w:rsidRDefault="00E05BDA" w:rsidP="005D786E">
      <w:pPr>
        <w:pStyle w:val="13"/>
        <w:ind w:firstLine="482"/>
      </w:pPr>
      <w:r w:rsidRPr="00E05BDA">
        <w:rPr>
          <w:b/>
        </w:rPr>
        <w:t xml:space="preserve">第十四条 </w:t>
      </w:r>
      <w:r w:rsidR="005D786E">
        <w:t>其他成熟资本市场的市场风险溢价可以通过其证券市场指数的历史风险溢价数据等计算得到，也可以直接采用相关专家学者或者专业机构研究发布的数据。</w:t>
      </w:r>
    </w:p>
    <w:p w14:paraId="733DA502" w14:textId="571D1D8D" w:rsidR="005D786E" w:rsidRDefault="00E05BDA" w:rsidP="005D786E">
      <w:pPr>
        <w:pStyle w:val="13"/>
        <w:ind w:firstLine="482"/>
      </w:pPr>
      <w:r w:rsidRPr="00E05BDA">
        <w:rPr>
          <w:rFonts w:hint="eastAsia"/>
          <w:b/>
        </w:rPr>
        <w:t xml:space="preserve">第十五条 </w:t>
      </w:r>
      <w:r w:rsidR="005D786E">
        <w:t>中国国家风险补偿表示中国股票市场相对于其他成熟资本市场的国家风险溢价。中国国家风险补偿取值可以直接采用相关专家学者或者专业机构研究发布的中国国家风险补偿数据，也可以利用其发布的国家违约利差数</w:t>
      </w:r>
      <w:proofErr w:type="gramStart"/>
      <w:r w:rsidR="005D786E">
        <w:t>据调整</w:t>
      </w:r>
      <w:proofErr w:type="gramEnd"/>
      <w:r w:rsidR="005D786E">
        <w:t>得到，基本计算公式如下：</w:t>
      </w:r>
    </w:p>
    <w:p w14:paraId="34F196B8" w14:textId="22C8B13C" w:rsidR="00ED7434" w:rsidRDefault="001F020C" w:rsidP="001F020C">
      <w:pPr>
        <w:pStyle w:val="13"/>
        <w:jc w:val="center"/>
      </w:pPr>
      <w:r>
        <w:t>国家风险补偿</w:t>
      </w:r>
      <w:r w:rsidRPr="001F020C">
        <w:rPr>
          <w:vertAlign w:val="subscript"/>
        </w:rPr>
        <w:t>中国</w:t>
      </w:r>
      <w:r>
        <w:t xml:space="preserve"> = 国家违约利差</w:t>
      </w:r>
      <w:r w:rsidRPr="001F020C">
        <w:rPr>
          <w:vertAlign w:val="subscript"/>
        </w:rPr>
        <w:t>中国</w:t>
      </w:r>
      <w:r>
        <w:t>×</w:t>
      </w:r>
      <m:oMath>
        <m:f>
          <m:fPr>
            <m:ctrlPr>
              <w:rPr>
                <w:rFonts w:ascii="Cambria Math" w:hAnsi="Cambria Math"/>
                <w:i/>
              </w:rPr>
            </m:ctrlPr>
          </m:fPr>
          <m:num>
            <m:sSub>
              <m:sSubPr>
                <m:ctrlPr>
                  <w:rPr>
                    <w:rFonts w:ascii="Cambria Math" w:hAnsi="Cambria Math"/>
                    <w:vertAlign w:val="subscript"/>
                  </w:rPr>
                </m:ctrlPr>
              </m:sSubPr>
              <m:e>
                <m:r>
                  <m:rPr>
                    <m:sty m:val="p"/>
                  </m:rPr>
                  <w:rPr>
                    <w:rFonts w:ascii="Cambria Math" w:hAnsi="Cambria Math" w:cs="Cambria Math"/>
                  </w:rPr>
                  <m:t>σ</m:t>
                </m:r>
              </m:e>
              <m:sub>
                <m:r>
                  <m:rPr>
                    <m:sty m:val="p"/>
                  </m:rPr>
                  <w:rPr>
                    <w:rFonts w:ascii="Cambria Math" w:hAnsi="Cambria Math"/>
                    <w:vertAlign w:val="subscript"/>
                  </w:rPr>
                  <m:t>股</m:t>
                </m:r>
                <m:r>
                  <m:rPr>
                    <m:sty m:val="p"/>
                  </m:rPr>
                  <w:rPr>
                    <w:rFonts w:ascii="Cambria Math" w:hAnsi="Cambria Math" w:hint="eastAsia"/>
                    <w:vertAlign w:val="subscript"/>
                  </w:rPr>
                  <m:t>票</m:t>
                </m:r>
              </m:sub>
            </m:sSub>
          </m:num>
          <m:den>
            <m:sSub>
              <m:sSubPr>
                <m:ctrlPr>
                  <w:rPr>
                    <w:rFonts w:ascii="Cambria Math" w:hAnsi="Cambria Math"/>
                    <w:vertAlign w:val="subscript"/>
                  </w:rPr>
                </m:ctrlPr>
              </m:sSubPr>
              <m:e>
                <m:r>
                  <m:rPr>
                    <m:sty m:val="p"/>
                  </m:rPr>
                  <w:rPr>
                    <w:rFonts w:ascii="Cambria Math" w:hAnsi="Cambria Math" w:cs="Cambria Math"/>
                  </w:rPr>
                  <m:t>σ</m:t>
                </m:r>
              </m:e>
              <m:sub>
                <m:r>
                  <m:rPr>
                    <m:sty m:val="p"/>
                  </m:rPr>
                  <w:rPr>
                    <w:rFonts w:ascii="Cambria Math" w:hAnsi="Cambria Math" w:hint="eastAsia"/>
                    <w:vertAlign w:val="subscript"/>
                  </w:rPr>
                  <m:t>国债</m:t>
                </m:r>
              </m:sub>
            </m:sSub>
          </m:den>
        </m:f>
      </m:oMath>
    </w:p>
    <w:p w14:paraId="4C7C9916" w14:textId="0D0A6A66" w:rsidR="00ED7434" w:rsidRDefault="00ED7434" w:rsidP="00ED7434">
      <w:pPr>
        <w:pStyle w:val="13"/>
      </w:pPr>
      <w:r>
        <w:rPr>
          <w:rFonts w:ascii="Cambria Math" w:hAnsi="Cambria Math" w:cs="Cambria Math"/>
        </w:rPr>
        <w:t>𝜎</w:t>
      </w:r>
      <w:r w:rsidRPr="00ED7434">
        <w:rPr>
          <w:vertAlign w:val="subscript"/>
        </w:rPr>
        <w:t>股票</w:t>
      </w:r>
      <w:r>
        <w:t>表示中国股票市场收益率的标准差，</w:t>
      </w:r>
      <w:r>
        <w:rPr>
          <w:rFonts w:ascii="Cambria Math" w:hAnsi="Cambria Math" w:cs="Cambria Math"/>
        </w:rPr>
        <w:t>𝜎</w:t>
      </w:r>
      <w:r w:rsidRPr="00ED7434">
        <w:rPr>
          <w:vertAlign w:val="subscript"/>
        </w:rPr>
        <w:t>国债</w:t>
      </w:r>
      <w:r>
        <w:t>表示中国</w:t>
      </w:r>
      <w:r>
        <w:rPr>
          <w:rFonts w:hint="eastAsia"/>
        </w:rPr>
        <w:t>国债市场收益率的标准差。</w:t>
      </w:r>
    </w:p>
    <w:p w14:paraId="1EF021AF" w14:textId="7705292D" w:rsidR="005D786E" w:rsidRDefault="005D786E" w:rsidP="00AF7342">
      <w:pPr>
        <w:pStyle w:val="a9"/>
        <w:spacing w:before="62" w:after="62"/>
      </w:pPr>
      <w:r>
        <w:t>第五章 贝塔系数</w:t>
      </w:r>
    </w:p>
    <w:p w14:paraId="403CED01" w14:textId="004480F7" w:rsidR="005D786E" w:rsidRDefault="00E05BDA" w:rsidP="001F020C">
      <w:pPr>
        <w:pStyle w:val="13"/>
        <w:ind w:firstLine="482"/>
      </w:pPr>
      <w:r w:rsidRPr="00E05BDA">
        <w:rPr>
          <w:rFonts w:hint="eastAsia"/>
          <w:b/>
        </w:rPr>
        <w:t xml:space="preserve">第十六条 </w:t>
      </w:r>
      <w:r w:rsidR="005D786E">
        <w:t>贝塔系数（</w:t>
      </w:r>
      <w:r w:rsidR="001F020C">
        <w:rPr>
          <w:rFonts w:ascii="Cambria Math" w:hAnsi="Cambria Math" w:cs="Cambria Math"/>
        </w:rPr>
        <w:t>𝛽</w:t>
      </w:r>
      <w:r w:rsidR="005D786E">
        <w:t>系数）表示系统性因素给股权投资者带来的不可分散的风</w:t>
      </w:r>
      <w:r w:rsidR="005D786E">
        <w:rPr>
          <w:rFonts w:hint="eastAsia"/>
        </w:rPr>
        <w:t>险，由股票收益率与市场收益率的协方差除以市场收益率的方差得到，</w:t>
      </w:r>
      <w:r w:rsidR="001F020C">
        <w:rPr>
          <w:rFonts w:ascii="Cambria Math" w:hAnsi="Cambria Math" w:cs="Cambria Math"/>
        </w:rPr>
        <w:t>𝛽</w:t>
      </w:r>
      <w:r w:rsidR="005D786E">
        <w:rPr>
          <w:rFonts w:hint="eastAsia"/>
        </w:rPr>
        <w:t>系数等于</w:t>
      </w:r>
      <w:r w:rsidR="005D786E">
        <w:t>1，</w:t>
      </w:r>
      <w:r w:rsidR="005D786E">
        <w:rPr>
          <w:rFonts w:hint="eastAsia"/>
        </w:rPr>
        <w:t>表示股权投资风险与整体市场风险相当，</w:t>
      </w:r>
      <w:r w:rsidR="001F020C">
        <w:rPr>
          <w:rFonts w:ascii="Cambria Math" w:hAnsi="Cambria Math" w:cs="Cambria Math"/>
        </w:rPr>
        <w:t>𝛽</w:t>
      </w:r>
      <w:r w:rsidR="005D786E">
        <w:rPr>
          <w:rFonts w:hint="eastAsia"/>
        </w:rPr>
        <w:t>系数大于</w:t>
      </w:r>
      <w:r w:rsidR="005D786E">
        <w:t>1（或者小于1）</w:t>
      </w:r>
      <w:r w:rsidR="005D786E">
        <w:rPr>
          <w:rFonts w:hint="eastAsia"/>
        </w:rPr>
        <w:t>表示股权投资风险大于（或者小于）整体市场。</w:t>
      </w:r>
    </w:p>
    <w:p w14:paraId="612493D4" w14:textId="0DF9F286" w:rsidR="001F020C" w:rsidRDefault="00E05BDA" w:rsidP="001F020C">
      <w:pPr>
        <w:pStyle w:val="13"/>
        <w:ind w:firstLine="482"/>
      </w:pPr>
      <w:r w:rsidRPr="00E05BDA">
        <w:rPr>
          <w:rFonts w:hint="eastAsia"/>
          <w:b/>
        </w:rPr>
        <w:t xml:space="preserve">第十七条 </w:t>
      </w:r>
      <w:r w:rsidR="001F020C">
        <w:t>非上市公司的股权</w:t>
      </w:r>
      <w:r w:rsidR="001F020C">
        <w:rPr>
          <w:rFonts w:ascii="Cambria Math" w:hAnsi="Cambria Math" w:cs="Cambria Math"/>
        </w:rPr>
        <w:t>𝛽</w:t>
      </w:r>
      <w:r w:rsidR="001F020C" w:rsidRPr="001F020C">
        <w:rPr>
          <w:rFonts w:ascii="Cambria Math" w:hAnsi="Cambria Math" w:cs="Cambria Math"/>
        </w:rPr>
        <w:t xml:space="preserve"> </w:t>
      </w:r>
      <w:r w:rsidR="001F020C">
        <w:t>系数通常由多家可比上</w:t>
      </w:r>
      <w:r w:rsidR="001F020C">
        <w:rPr>
          <w:rFonts w:hint="eastAsia"/>
        </w:rPr>
        <w:t>市公司的平均股权</w:t>
      </w:r>
      <w:r w:rsidR="001F020C">
        <w:rPr>
          <w:rFonts w:ascii="Cambria Math" w:hAnsi="Cambria Math" w:cs="Cambria Math"/>
        </w:rPr>
        <w:t>𝛽</w:t>
      </w:r>
      <w:r w:rsidR="001F020C">
        <w:t>系数调整得到，即计算可比上市公司带</w:t>
      </w:r>
      <w:r w:rsidR="001F020C">
        <w:rPr>
          <w:rFonts w:hint="eastAsia"/>
        </w:rPr>
        <w:t>杠杆的</w:t>
      </w:r>
      <w:r w:rsidR="001F020C">
        <w:rPr>
          <w:rFonts w:ascii="Cambria Math" w:hAnsi="Cambria Math" w:cs="Cambria Math"/>
        </w:rPr>
        <w:t>𝛽</w:t>
      </w:r>
      <w:r w:rsidR="001F020C" w:rsidRPr="001F020C">
        <w:rPr>
          <w:rFonts w:ascii="Cambria Math" w:hAnsi="Cambria Math" w:cs="Cambria Math"/>
          <w:vertAlign w:val="subscript"/>
        </w:rPr>
        <w:t>𝐿</w:t>
      </w:r>
      <w:r w:rsidR="001F020C">
        <w:t>并调整为不带杠杆的</w:t>
      </w:r>
      <w:r w:rsidR="001F020C">
        <w:rPr>
          <w:rFonts w:ascii="Cambria Math" w:hAnsi="Cambria Math" w:cs="Cambria Math"/>
        </w:rPr>
        <w:t>𝛽</w:t>
      </w:r>
      <w:r w:rsidR="001F020C" w:rsidRPr="001F020C">
        <w:rPr>
          <w:rFonts w:ascii="Cambria Math" w:hAnsi="Cambria Math" w:cs="Cambria Math"/>
          <w:vertAlign w:val="subscript"/>
        </w:rPr>
        <w:t>𝑈</w:t>
      </w:r>
      <w:r w:rsidR="001F020C">
        <w:t>，在此基础上通过取平均值、</w:t>
      </w:r>
      <w:r w:rsidR="001F020C">
        <w:rPr>
          <w:rFonts w:hint="eastAsia"/>
        </w:rPr>
        <w:t>中位数等方法得到被评估企业的</w:t>
      </w:r>
      <w:r w:rsidR="001F020C">
        <w:rPr>
          <w:rFonts w:ascii="Cambria Math" w:hAnsi="Cambria Math" w:cs="Cambria Math"/>
        </w:rPr>
        <w:t>𝛽</w:t>
      </w:r>
      <w:r w:rsidR="001F020C" w:rsidRPr="001F020C">
        <w:rPr>
          <w:rFonts w:ascii="Cambria Math" w:hAnsi="Cambria Math" w:cs="Cambria Math"/>
          <w:vertAlign w:val="subscript"/>
        </w:rPr>
        <w:t>𝑈</w:t>
      </w:r>
      <w:r w:rsidR="001F020C">
        <w:t>，最后考虑被评估企业适</w:t>
      </w:r>
      <w:r w:rsidR="001F020C">
        <w:rPr>
          <w:rFonts w:hint="eastAsia"/>
        </w:rPr>
        <w:t>用的资本结构得到其</w:t>
      </w:r>
      <w:r w:rsidR="001F020C">
        <w:rPr>
          <w:rFonts w:ascii="Cambria Math" w:hAnsi="Cambria Math" w:cs="Cambria Math"/>
        </w:rPr>
        <w:t>𝛽</w:t>
      </w:r>
      <w:r w:rsidR="001F020C" w:rsidRPr="001F020C">
        <w:rPr>
          <w:rFonts w:ascii="Cambria Math" w:hAnsi="Cambria Math" w:cs="Cambria Math"/>
          <w:vertAlign w:val="subscript"/>
        </w:rPr>
        <w:t>𝐿</w:t>
      </w:r>
      <w:r w:rsidR="001F020C">
        <w:t>，计算公式如下：</w:t>
      </w:r>
    </w:p>
    <w:p w14:paraId="0DD60B92" w14:textId="72BBED7E" w:rsidR="001F020C" w:rsidRDefault="001F020C" w:rsidP="001F020C">
      <w:pPr>
        <w:pStyle w:val="13"/>
        <w:jc w:val="center"/>
      </w:pPr>
      <w:r>
        <w:rPr>
          <w:noProof/>
        </w:rPr>
        <w:drawing>
          <wp:inline distT="0" distB="0" distL="0" distR="0" wp14:anchorId="2E930218" wp14:editId="3B4E131A">
            <wp:extent cx="1712595" cy="925195"/>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28335" cy="933698"/>
                    </a:xfrm>
                    <a:prstGeom prst="rect">
                      <a:avLst/>
                    </a:prstGeom>
                  </pic:spPr>
                </pic:pic>
              </a:graphicData>
            </a:graphic>
          </wp:inline>
        </w:drawing>
      </w:r>
    </w:p>
    <w:p w14:paraId="18638B2C" w14:textId="3A61D186" w:rsidR="005D786E" w:rsidRDefault="00E05BDA" w:rsidP="001F020C">
      <w:pPr>
        <w:pStyle w:val="13"/>
        <w:ind w:firstLine="482"/>
      </w:pPr>
      <w:r w:rsidRPr="00E05BDA">
        <w:rPr>
          <w:rFonts w:hint="eastAsia"/>
          <w:b/>
        </w:rPr>
        <w:t xml:space="preserve">第十八条 </w:t>
      </w:r>
      <w:r w:rsidR="005D786E">
        <w:t>被评估企业适用的资本结构一般可以通过下列几种途径确定：</w:t>
      </w:r>
    </w:p>
    <w:p w14:paraId="3DDED45A" w14:textId="77777777" w:rsidR="005D786E" w:rsidRDefault="005D786E" w:rsidP="005D786E">
      <w:pPr>
        <w:pStyle w:val="13"/>
      </w:pPr>
      <w:r>
        <w:rPr>
          <w:rFonts w:hint="eastAsia"/>
        </w:rPr>
        <w:t>（一）采用被评估企业评估基准日的真实资本结构，前提是企业发展趋于稳定；</w:t>
      </w:r>
    </w:p>
    <w:p w14:paraId="28855178" w14:textId="77777777" w:rsidR="005D786E" w:rsidRDefault="005D786E" w:rsidP="005D786E">
      <w:pPr>
        <w:pStyle w:val="13"/>
      </w:pPr>
      <w:r>
        <w:rPr>
          <w:rFonts w:hint="eastAsia"/>
        </w:rPr>
        <w:lastRenderedPageBreak/>
        <w:t>（二）采用目标资本结构，取值可以参考可比公司或者行业资本结构水平，并分析企业真实资本结构与目标资本结构的差异及其对债权期望报酬率、股权期望报酬率的影响，考虑是否需要采取过渡性调整等措施。</w:t>
      </w:r>
    </w:p>
    <w:p w14:paraId="1D933B18" w14:textId="2D0560E4" w:rsidR="005D786E" w:rsidRDefault="00E05BDA" w:rsidP="005D786E">
      <w:pPr>
        <w:pStyle w:val="13"/>
        <w:ind w:firstLine="482"/>
      </w:pPr>
      <w:r w:rsidRPr="00E05BDA">
        <w:rPr>
          <w:rFonts w:hint="eastAsia"/>
          <w:b/>
        </w:rPr>
        <w:t xml:space="preserve">第十九条 </w:t>
      </w:r>
      <w:r w:rsidR="005D786E">
        <w:t>评估专业人员在选择可比公司时，一般需要综合考虑可比公司与被评估企业在业务类型、企业规模、盈利能力、成长性、行业竞争力、企业发展阶段等多方面的可比性。</w:t>
      </w:r>
    </w:p>
    <w:p w14:paraId="344EBAAC" w14:textId="4F5E9914" w:rsidR="005D786E" w:rsidRDefault="00E05BDA" w:rsidP="005D786E">
      <w:pPr>
        <w:pStyle w:val="13"/>
        <w:ind w:firstLine="482"/>
      </w:pPr>
      <w:r w:rsidRPr="00E05BDA">
        <w:rPr>
          <w:rFonts w:hint="eastAsia"/>
          <w:b/>
        </w:rPr>
        <w:t xml:space="preserve">第二十条 </w:t>
      </w:r>
      <w:r w:rsidR="005D786E">
        <w:t>可比上市公司的β系数可以通过回归方法计算得到，也可以从相关数据平台查询获取。</w:t>
      </w:r>
    </w:p>
    <w:p w14:paraId="4B5C1FBE" w14:textId="65ED9A49" w:rsidR="005D786E" w:rsidRDefault="00E05BDA" w:rsidP="005D786E">
      <w:pPr>
        <w:pStyle w:val="13"/>
        <w:ind w:firstLine="482"/>
      </w:pPr>
      <w:r w:rsidRPr="00E05BDA">
        <w:rPr>
          <w:rFonts w:hint="eastAsia"/>
          <w:b/>
        </w:rPr>
        <w:t xml:space="preserve">第二十一条 </w:t>
      </w:r>
      <w:r w:rsidR="005D786E">
        <w:t>可比上市公司的β系数计算或查询结果与证券市场指数的选择密切相关，评估专业人员应当合理选择证券市场指数，并关注其与市场风险溢价的匹配性。</w:t>
      </w:r>
    </w:p>
    <w:p w14:paraId="6915C228" w14:textId="77777777" w:rsidR="005D786E" w:rsidRDefault="005D786E" w:rsidP="00AF7342">
      <w:pPr>
        <w:pStyle w:val="a9"/>
        <w:spacing w:before="62" w:after="62"/>
      </w:pPr>
      <w:r>
        <w:rPr>
          <w:rFonts w:hint="eastAsia"/>
        </w:rPr>
        <w:t>第六章</w:t>
      </w:r>
      <w:r>
        <w:t xml:space="preserve"> 其他参数</w:t>
      </w:r>
    </w:p>
    <w:p w14:paraId="0EE825F4" w14:textId="6D355216" w:rsidR="005D786E" w:rsidRDefault="00E05BDA" w:rsidP="005D786E">
      <w:pPr>
        <w:pStyle w:val="13"/>
        <w:ind w:firstLine="482"/>
      </w:pPr>
      <w:r w:rsidRPr="00E05BDA">
        <w:rPr>
          <w:rFonts w:hint="eastAsia"/>
          <w:b/>
        </w:rPr>
        <w:t xml:space="preserve">第二十三条 </w:t>
      </w:r>
      <w:r w:rsidR="005D786E">
        <w:t>特定风险报酬率一般可以通过下列几种方法确定：</w:t>
      </w:r>
    </w:p>
    <w:p w14:paraId="7B04AF0C" w14:textId="77777777" w:rsidR="005D786E" w:rsidRDefault="005D786E" w:rsidP="005D786E">
      <w:pPr>
        <w:pStyle w:val="13"/>
      </w:pPr>
      <w:r>
        <w:rPr>
          <w:rFonts w:hint="eastAsia"/>
        </w:rPr>
        <w:t>（一）通过多因素回归分析等数理统计方法计算得到；</w:t>
      </w:r>
    </w:p>
    <w:p w14:paraId="7DBC530C" w14:textId="77777777" w:rsidR="005D786E" w:rsidRDefault="005D786E" w:rsidP="005D786E">
      <w:pPr>
        <w:pStyle w:val="13"/>
      </w:pPr>
      <w:r>
        <w:rPr>
          <w:rFonts w:hint="eastAsia"/>
        </w:rPr>
        <w:t>（二）将特定风险报酬率拆分为规模溢价和其他特定风险溢价。规模溢价可以利用资本市场数据通过统计分析得到，也可以参考相关专家学者或者专业机构研究发布的数据；其他特定风险溢价一般可以通过经验判断分析确定；</w:t>
      </w:r>
    </w:p>
    <w:p w14:paraId="3CCADE95" w14:textId="77777777" w:rsidR="005D786E" w:rsidRDefault="005D786E" w:rsidP="005D786E">
      <w:pPr>
        <w:pStyle w:val="13"/>
      </w:pPr>
      <w:r>
        <w:rPr>
          <w:rFonts w:hint="eastAsia"/>
        </w:rPr>
        <w:t>（三）在对企业的规模、核心竞争力、对大客户和关键供应商的依赖等因素进行综合分析的基础上，根据经验判断确定。</w:t>
      </w:r>
    </w:p>
    <w:p w14:paraId="4DC9D145" w14:textId="094486FA" w:rsidR="005D786E" w:rsidRDefault="00E05BDA" w:rsidP="005D786E">
      <w:pPr>
        <w:pStyle w:val="13"/>
        <w:ind w:firstLine="482"/>
      </w:pPr>
      <w:r w:rsidRPr="00E05BDA">
        <w:rPr>
          <w:rFonts w:hint="eastAsia"/>
          <w:b/>
        </w:rPr>
        <w:t xml:space="preserve">第二十四条 </w:t>
      </w:r>
      <w:r w:rsidR="005D786E">
        <w:t>债权期望报酬率是企业债务融资的资本成本，一般可以通过下列几种途径确定：</w:t>
      </w:r>
    </w:p>
    <w:p w14:paraId="526E276C" w14:textId="77777777" w:rsidR="005D786E" w:rsidRDefault="005D786E" w:rsidP="005D786E">
      <w:pPr>
        <w:pStyle w:val="13"/>
      </w:pPr>
      <w:r>
        <w:rPr>
          <w:rFonts w:hint="eastAsia"/>
        </w:rPr>
        <w:t>（一）以全国银行间同业拆借中心公布的贷款市场报价利率（</w:t>
      </w:r>
      <w:r>
        <w:t>LPR）为基础调整得到；</w:t>
      </w:r>
    </w:p>
    <w:p w14:paraId="66EB2E87" w14:textId="77777777" w:rsidR="005D786E" w:rsidRDefault="005D786E" w:rsidP="005D786E">
      <w:pPr>
        <w:pStyle w:val="13"/>
      </w:pPr>
      <w:r>
        <w:rPr>
          <w:rFonts w:hint="eastAsia"/>
        </w:rPr>
        <w:t>（二）采用企业债务的实际利率，前提是其利率水平与市场利率不存在较大偏差。</w:t>
      </w:r>
    </w:p>
    <w:p w14:paraId="6764D824" w14:textId="25FEEFCE" w:rsidR="005D786E" w:rsidRDefault="00E05BDA" w:rsidP="005D786E">
      <w:pPr>
        <w:pStyle w:val="13"/>
        <w:ind w:firstLine="482"/>
      </w:pPr>
      <w:r w:rsidRPr="00E05BDA">
        <w:rPr>
          <w:rFonts w:hint="eastAsia"/>
          <w:b/>
        </w:rPr>
        <w:t xml:space="preserve">第二十五条 </w:t>
      </w:r>
      <w:r w:rsidR="005D786E">
        <w:t>折现率计算中采用的债权价值和股权价值为市场价值。</w:t>
      </w:r>
    </w:p>
    <w:p w14:paraId="22C4DAE3" w14:textId="77777777" w:rsidR="005D786E" w:rsidRDefault="005D786E" w:rsidP="00AF7342">
      <w:pPr>
        <w:pStyle w:val="a9"/>
        <w:spacing w:before="62" w:after="62"/>
      </w:pPr>
      <w:r>
        <w:rPr>
          <w:rFonts w:hint="eastAsia"/>
        </w:rPr>
        <w:t>第七章</w:t>
      </w:r>
      <w:r>
        <w:t xml:space="preserve"> 披露要求</w:t>
      </w:r>
    </w:p>
    <w:p w14:paraId="750DE8F7" w14:textId="518C3C40" w:rsidR="005D786E" w:rsidRDefault="00E05BDA" w:rsidP="005D786E">
      <w:pPr>
        <w:pStyle w:val="13"/>
        <w:ind w:firstLine="482"/>
      </w:pPr>
      <w:r w:rsidRPr="00E05BDA">
        <w:rPr>
          <w:rFonts w:hint="eastAsia"/>
          <w:b/>
        </w:rPr>
        <w:t xml:space="preserve">第二十六条 </w:t>
      </w:r>
      <w:r w:rsidR="005D786E">
        <w:t>资产评估报告中应当披露折现率计算采用的模型及各参数的确定方法。</w:t>
      </w:r>
    </w:p>
    <w:p w14:paraId="31AF35E8" w14:textId="68A98F31" w:rsidR="005D786E" w:rsidRDefault="00E05BDA" w:rsidP="005D786E">
      <w:pPr>
        <w:pStyle w:val="13"/>
        <w:ind w:firstLine="482"/>
      </w:pPr>
      <w:r w:rsidRPr="00E05BDA">
        <w:rPr>
          <w:rFonts w:hint="eastAsia"/>
          <w:b/>
        </w:rPr>
        <w:t xml:space="preserve">第二十七条 </w:t>
      </w:r>
      <w:r w:rsidR="005D786E">
        <w:t>引用相关专家学者、专业机构或者数据平台发布的数据作为参数值的，资产评估报告中应当披露数据来源。</w:t>
      </w:r>
    </w:p>
    <w:p w14:paraId="29B3C798" w14:textId="77777777" w:rsidR="005D786E" w:rsidRDefault="005D786E" w:rsidP="005D786E">
      <w:pPr>
        <w:pStyle w:val="13"/>
      </w:pPr>
      <w:r>
        <w:rPr>
          <w:rFonts w:hint="eastAsia"/>
        </w:rPr>
        <w:t>引用的参数应当能够通过评估档案追溯其数据来源及查询方法。</w:t>
      </w:r>
    </w:p>
    <w:p w14:paraId="70FCE28A" w14:textId="3DE90AAB" w:rsidR="005D786E" w:rsidRDefault="00E05BDA" w:rsidP="005D786E">
      <w:pPr>
        <w:pStyle w:val="13"/>
        <w:ind w:firstLine="482"/>
      </w:pPr>
      <w:r w:rsidRPr="00E05BDA">
        <w:rPr>
          <w:rFonts w:hint="eastAsia"/>
          <w:b/>
        </w:rPr>
        <w:t xml:space="preserve">第二十八条 </w:t>
      </w:r>
      <w:r w:rsidR="005D786E">
        <w:t>通过市场公开数据计算得到市场风险溢价、β系数、规模溢价等参</w:t>
      </w:r>
      <w:r w:rsidR="005D786E">
        <w:lastRenderedPageBreak/>
        <w:t>数值的，资产评估报告中应当披露计算方法。</w:t>
      </w:r>
    </w:p>
    <w:p w14:paraId="308BBD8C" w14:textId="77777777" w:rsidR="005D786E" w:rsidRDefault="005D786E" w:rsidP="005D786E">
      <w:pPr>
        <w:pStyle w:val="13"/>
      </w:pPr>
      <w:r>
        <w:rPr>
          <w:rFonts w:hint="eastAsia"/>
        </w:rPr>
        <w:t>计算的参数应当能够通过评估档案复核其计算结果。</w:t>
      </w:r>
    </w:p>
    <w:p w14:paraId="7BF36F9C" w14:textId="5843E94C" w:rsidR="005D786E" w:rsidRDefault="00E05BDA" w:rsidP="005D786E">
      <w:pPr>
        <w:pStyle w:val="13"/>
        <w:ind w:firstLine="482"/>
      </w:pPr>
      <w:r w:rsidRPr="00E05BDA">
        <w:rPr>
          <w:rFonts w:hint="eastAsia"/>
          <w:b/>
        </w:rPr>
        <w:t xml:space="preserve">第二十九条 </w:t>
      </w:r>
      <w:r w:rsidR="005D786E">
        <w:t>通过经验判断等主观分析方法得到参数值的，资产评估报告中应当披露分析方法。</w:t>
      </w:r>
    </w:p>
    <w:p w14:paraId="23AB8806" w14:textId="20E40CB6" w:rsidR="008C40AA" w:rsidRDefault="00E05BDA" w:rsidP="005D786E">
      <w:pPr>
        <w:pStyle w:val="13"/>
        <w:ind w:firstLine="482"/>
      </w:pPr>
      <w:r w:rsidRPr="00E05BDA">
        <w:rPr>
          <w:rFonts w:hint="eastAsia"/>
          <w:b/>
        </w:rPr>
        <w:t xml:space="preserve">第三十条 </w:t>
      </w:r>
      <w:r w:rsidR="005D786E">
        <w:t>对存在不确定性因素的参数，资产评估专业人员可以通过敏感性分析等方法分析其对评估结论的影响，并在资产评估报告中予以披露。</w:t>
      </w:r>
    </w:p>
    <w:p w14:paraId="123B4C30" w14:textId="57634E1A" w:rsidR="00E04C89" w:rsidRDefault="008C40AA" w:rsidP="008C40AA">
      <w:pPr>
        <w:pStyle w:val="21"/>
        <w:spacing w:before="156" w:after="93"/>
      </w:pPr>
      <w:bookmarkStart w:id="78" w:name="_Toc81833342"/>
      <w:r w:rsidRPr="008C40AA">
        <w:rPr>
          <w:rFonts w:hint="eastAsia"/>
        </w:rPr>
        <w:t>资产评估操作专家</w:t>
      </w:r>
      <w:r>
        <w:rPr>
          <w:rFonts w:hint="eastAsia"/>
        </w:rPr>
        <w:t>提示</w:t>
      </w:r>
      <w:bookmarkEnd w:id="78"/>
    </w:p>
    <w:p w14:paraId="71940E79" w14:textId="77777777" w:rsidR="00E905CE" w:rsidRPr="00BF3AE2" w:rsidRDefault="00E905CE" w:rsidP="00E905CE">
      <w:pPr>
        <w:pStyle w:val="31"/>
        <w:spacing w:before="156" w:after="62"/>
      </w:pPr>
      <w:bookmarkStart w:id="79" w:name="_Toc81833343"/>
      <w:r w:rsidRPr="00BF3AE2">
        <w:rPr>
          <w:rFonts w:hint="eastAsia"/>
        </w:rPr>
        <w:t>资产评估操作专家提示—收益法中的敏感性分析（征求意见稿）</w:t>
      </w:r>
      <w:r>
        <w:br/>
      </w:r>
      <w:bookmarkStart w:id="80" w:name="_Hlk80021157"/>
      <w:r w:rsidRPr="00BF3AE2">
        <w:rPr>
          <w:rFonts w:hint="eastAsia"/>
        </w:rPr>
        <w:t>（</w:t>
      </w:r>
      <w:proofErr w:type="gramStart"/>
      <w:r w:rsidRPr="00BF3AE2">
        <w:rPr>
          <w:rFonts w:hint="eastAsia"/>
        </w:rPr>
        <w:t>中评协</w:t>
      </w:r>
      <w:proofErr w:type="gramEnd"/>
      <w:r w:rsidRPr="00BF3AE2">
        <w:rPr>
          <w:rFonts w:hint="eastAsia"/>
        </w:rPr>
        <w:t>〔</w:t>
      </w:r>
      <w:r w:rsidRPr="00BF3AE2">
        <w:t>201</w:t>
      </w:r>
      <w:r>
        <w:t>3</w:t>
      </w:r>
      <w:r w:rsidRPr="00BF3AE2">
        <w:t>〕172号）</w:t>
      </w:r>
      <w:bookmarkEnd w:id="79"/>
      <w:bookmarkEnd w:id="80"/>
    </w:p>
    <w:p w14:paraId="57FC3ADB" w14:textId="77777777" w:rsidR="00E905CE" w:rsidRDefault="00E905CE" w:rsidP="00E905CE">
      <w:pPr>
        <w:pStyle w:val="13"/>
      </w:pPr>
      <w:proofErr w:type="gramStart"/>
      <w:r>
        <w:rPr>
          <w:rFonts w:hint="eastAsia"/>
        </w:rPr>
        <w:t>本专家</w:t>
      </w:r>
      <w:proofErr w:type="gramEnd"/>
      <w:r>
        <w:rPr>
          <w:rFonts w:hint="eastAsia"/>
        </w:rPr>
        <w:t>提示是一种专家意见。评估机构和注册资产评估</w:t>
      </w:r>
      <w:proofErr w:type="gramStart"/>
      <w:r>
        <w:rPr>
          <w:rFonts w:hint="eastAsia"/>
        </w:rPr>
        <w:t>师执行</w:t>
      </w:r>
      <w:proofErr w:type="gramEnd"/>
      <w:r>
        <w:rPr>
          <w:rFonts w:hint="eastAsia"/>
        </w:rPr>
        <w:t>资产评估业务，可以参照</w:t>
      </w:r>
      <w:proofErr w:type="gramStart"/>
      <w:r>
        <w:rPr>
          <w:rFonts w:hint="eastAsia"/>
        </w:rPr>
        <w:t>本专家</w:t>
      </w:r>
      <w:proofErr w:type="gramEnd"/>
      <w:r>
        <w:rPr>
          <w:rFonts w:hint="eastAsia"/>
        </w:rPr>
        <w:t>提示，也可以根据具体情况采用其他适当的做法。中国资产评估协会将根据业务发展，对</w:t>
      </w:r>
      <w:proofErr w:type="gramStart"/>
      <w:r>
        <w:rPr>
          <w:rFonts w:hint="eastAsia"/>
        </w:rPr>
        <w:t>本专家</w:t>
      </w:r>
      <w:proofErr w:type="gramEnd"/>
      <w:r>
        <w:rPr>
          <w:rFonts w:hint="eastAsia"/>
        </w:rPr>
        <w:t>提示进行更新。</w:t>
      </w:r>
    </w:p>
    <w:p w14:paraId="026AC9FD" w14:textId="77777777" w:rsidR="00E905CE" w:rsidRDefault="00E905CE" w:rsidP="00E905CE">
      <w:pPr>
        <w:pStyle w:val="13"/>
        <w:ind w:firstLine="482"/>
      </w:pPr>
      <w:r w:rsidRPr="004E3EBB">
        <w:rPr>
          <w:rFonts w:hint="eastAsia"/>
          <w:b/>
        </w:rPr>
        <w:t xml:space="preserve">第一条 </w:t>
      </w:r>
      <w:r>
        <w:t>为指导注册资产评估师在收益法评估业务中恰当运用敏感性分析方法，中国资产评估协会组织制定了</w:t>
      </w:r>
      <w:proofErr w:type="gramStart"/>
      <w:r>
        <w:t>本专家</w:t>
      </w:r>
      <w:proofErr w:type="gramEnd"/>
      <w:r>
        <w:t>提示。</w:t>
      </w:r>
    </w:p>
    <w:p w14:paraId="55D3AE00" w14:textId="77777777" w:rsidR="00E905CE" w:rsidRDefault="00E905CE" w:rsidP="00E905CE">
      <w:pPr>
        <w:pStyle w:val="13"/>
      </w:pPr>
      <w:r>
        <w:rPr>
          <w:rFonts w:hint="eastAsia"/>
        </w:rPr>
        <w:t>敏感性分析不是按照资产评估准则规定必须履行的评估程序。当委托方以及评估报告使用者有需要或注册资产评估师认为有必要时，可以运用敏感性分析方法对评估结论进行相关分析，帮助委托方以及评估报告使用者正确理解评估结论。</w:t>
      </w:r>
    </w:p>
    <w:p w14:paraId="34C70D98" w14:textId="77777777" w:rsidR="00E905CE" w:rsidRDefault="00E905CE" w:rsidP="00E905CE">
      <w:pPr>
        <w:pStyle w:val="13"/>
        <w:ind w:firstLine="482"/>
      </w:pPr>
      <w:r w:rsidRPr="004E3EBB">
        <w:rPr>
          <w:rFonts w:hint="eastAsia"/>
          <w:b/>
        </w:rPr>
        <w:t xml:space="preserve">第二条 </w:t>
      </w:r>
      <w:r>
        <w:t>敏感性分析是从定量角度研究一定数据模型中的输入变量变化对输出变量的影响程度的一种不确定性分析技术。</w:t>
      </w:r>
    </w:p>
    <w:p w14:paraId="536157A9" w14:textId="77777777" w:rsidR="00E905CE" w:rsidRDefault="00E905CE" w:rsidP="00E905CE">
      <w:pPr>
        <w:pStyle w:val="13"/>
      </w:pPr>
      <w:r>
        <w:rPr>
          <w:rFonts w:hint="eastAsia"/>
        </w:rPr>
        <w:t>进行敏感性分析时，一般选择主要输入变量加以考察，通过在可能的取值范围内改变相关输入变量的数值，来获取输出变量受此影响大小的分析结果。相比较而言，如果某输入变量的较小幅度变化能导致输出变量的较大幅度变化，则称此输入变量为敏感性因素，反之则称其为非敏感性因素。</w:t>
      </w:r>
    </w:p>
    <w:p w14:paraId="586CC742" w14:textId="77777777" w:rsidR="00E905CE" w:rsidRDefault="00E905CE" w:rsidP="00E905CE">
      <w:pPr>
        <w:pStyle w:val="13"/>
      </w:pPr>
      <w:r>
        <w:rPr>
          <w:rFonts w:hint="eastAsia"/>
        </w:rPr>
        <w:t>根据每次改变输入变量数目的多少，敏感性分析可以分为单因素敏感性分析和多因素敏感性分析。每次只变动一个输入变量而其他输入变量保持不变时所做的敏感性分析，</w:t>
      </w:r>
      <w:r>
        <w:t>为单因素敏感性分析；每次同时变动多个输入变量时所做的敏感性分析，为多因素敏感性分析。</w:t>
      </w:r>
    </w:p>
    <w:p w14:paraId="60251926" w14:textId="77777777" w:rsidR="00E905CE" w:rsidRDefault="00E905CE" w:rsidP="00E905CE">
      <w:pPr>
        <w:pStyle w:val="13"/>
      </w:pPr>
      <w:r>
        <w:rPr>
          <w:rFonts w:hint="eastAsia"/>
        </w:rPr>
        <w:t>在单因素敏感性分析中，输出变量数值变动率与引起该变动的某输入变量数值变动率之间的比值，称为该输入变量的敏感性系数。如果某输入变量与输出变量之间存在线性关系，则该输入变量的敏感性系数为一常数；如果某输入变量与输出变量之间不存在线性关系，则该输入变量的敏感性系数往往不恒定。</w:t>
      </w:r>
    </w:p>
    <w:p w14:paraId="0A42AF68" w14:textId="77777777" w:rsidR="00E905CE" w:rsidRDefault="00E905CE" w:rsidP="00E905CE">
      <w:pPr>
        <w:pStyle w:val="13"/>
        <w:ind w:firstLine="482"/>
      </w:pPr>
      <w:r w:rsidRPr="004E3EBB">
        <w:rPr>
          <w:rFonts w:hint="eastAsia"/>
          <w:b/>
        </w:rPr>
        <w:t xml:space="preserve">第三条 </w:t>
      </w:r>
      <w:r>
        <w:t>收益法中的敏感性分析，是为揭示相关评估参数（即输入变量）变动对评估结论（即输出变量）的影响程度，以及评估结论的不确定性，而不是为验证评估</w:t>
      </w:r>
      <w:r>
        <w:lastRenderedPageBreak/>
        <w:t>结论的合理性，也不是为预测评估结论在未来时点可能发生的价值波动。</w:t>
      </w:r>
    </w:p>
    <w:p w14:paraId="3B4FF223" w14:textId="77777777" w:rsidR="00E905CE" w:rsidRDefault="00E905CE" w:rsidP="00E905CE">
      <w:pPr>
        <w:pStyle w:val="13"/>
        <w:ind w:firstLine="482"/>
      </w:pPr>
      <w:r w:rsidRPr="004E3EBB">
        <w:rPr>
          <w:rFonts w:hint="eastAsia"/>
          <w:b/>
        </w:rPr>
        <w:t xml:space="preserve">第四条 </w:t>
      </w:r>
      <w:r>
        <w:t>收益法中的敏感性分析，一般在评估结论估算完成之后，按照识别敏感性因素、计算敏感性因素变动情况下的评估值取值区间、总结披露分析结果三个步骤进行。</w:t>
      </w:r>
    </w:p>
    <w:p w14:paraId="0508FBE4" w14:textId="77777777" w:rsidR="00E905CE" w:rsidRDefault="00E905CE" w:rsidP="00E905CE">
      <w:pPr>
        <w:pStyle w:val="13"/>
        <w:ind w:firstLine="482"/>
      </w:pPr>
      <w:r w:rsidRPr="004E3EBB">
        <w:rPr>
          <w:rFonts w:hint="eastAsia"/>
          <w:b/>
        </w:rPr>
        <w:t xml:space="preserve">第五条 </w:t>
      </w:r>
      <w:r>
        <w:t>收益法中的主评估参数一般包括预期收益额、收益期、折现率和终值，次级评估参数可能包括营业收入（业务单价、业务数量）、固定成本及费用、变动成本及费用、各种增长率、各种成本费用收入比率、营运资金需求额、资本性支出额、税率、利率、市场风险溢价、个别风险溢价、负债权益比例、其他假设性评估参数等。进行敏感性分析时，既不可能也无必要对所有的评估参数都进行考察，可以根据评估业务的具体情况，并考虑评估参数的经济意义，从众多评估参数中分析筛选出存在估计偏差的可能性较大且对评估结论影响作用较大者，作为拟考察的评估参数。</w:t>
      </w:r>
    </w:p>
    <w:p w14:paraId="44B3FEC5" w14:textId="77777777" w:rsidR="00E905CE" w:rsidRDefault="00E905CE" w:rsidP="00E905CE">
      <w:pPr>
        <w:pStyle w:val="13"/>
      </w:pPr>
      <w:r>
        <w:rPr>
          <w:rFonts w:hint="eastAsia"/>
        </w:rPr>
        <w:t>与收益法评估结论相对应的各评估参数的取值，称为基准值。需要注意的是，这里所谓的估计偏差，可以理解为基准值与最佳估计值之间的偏差。例如，对于折现率而言，其估计偏差是指其基准值与衡量预期收益风险大小的理论准确值之间的偏差；对于收益额或影响收益额的评估参数而言，其估计偏差是指其基准值与其理论上的数学期望之间的偏差，而与其概率分布密度或者概率分布方差大小无关。</w:t>
      </w:r>
    </w:p>
    <w:p w14:paraId="48419419" w14:textId="77777777" w:rsidR="00E905CE" w:rsidRDefault="00E905CE" w:rsidP="00E905CE">
      <w:pPr>
        <w:pStyle w:val="13"/>
        <w:ind w:firstLine="482"/>
      </w:pPr>
      <w:r w:rsidRPr="004E3EBB">
        <w:rPr>
          <w:rFonts w:hint="eastAsia"/>
          <w:b/>
        </w:rPr>
        <w:t xml:space="preserve">第六条 </w:t>
      </w:r>
      <w:r>
        <w:t>识别敏感性因素，一般采用单因素敏感性分析方法，通过计算并比较各评估参数的敏感性系数来进行。根据评估业务的具体情况，选取敏感性系数较高的一个或多个</w:t>
      </w:r>
      <w:r>
        <w:rPr>
          <w:rFonts w:hint="eastAsia"/>
        </w:rPr>
        <w:t>评估参数作为敏感性因素。</w:t>
      </w:r>
    </w:p>
    <w:p w14:paraId="16DB5655" w14:textId="77777777" w:rsidR="00E905CE" w:rsidRDefault="00E905CE" w:rsidP="00E905CE">
      <w:pPr>
        <w:pStyle w:val="13"/>
      </w:pPr>
      <w:r>
        <w:rPr>
          <w:rFonts w:hint="eastAsia"/>
        </w:rPr>
        <w:t>计算比较各评估参数的敏感性系数时，应当对各评估参数的变动采用一致的相对变动幅度。</w:t>
      </w:r>
    </w:p>
    <w:p w14:paraId="778BA6C9" w14:textId="77777777" w:rsidR="00E905CE" w:rsidRDefault="00E905CE" w:rsidP="00E905CE">
      <w:pPr>
        <w:pStyle w:val="13"/>
      </w:pPr>
      <w:r>
        <w:rPr>
          <w:rFonts w:hint="eastAsia"/>
        </w:rPr>
        <w:t>设定评估参数的变动幅度时，要根据实际情况，并充分考虑评估参数的经济意义，围绕基准值考虑估计偏差的可能大小，合理确定变动范围。例如，预期收益的风险已经反映在折现率之中，因此，在设定预期收益相关评估参数的变动幅度时，不能再考虑其风险因素的影响，而应当关注于其基准值与其理论上的数学期望之间的偏差。过大或过小的变动范围可能夸大或减弱对评估结论不确定性程度的阐释。</w:t>
      </w:r>
    </w:p>
    <w:p w14:paraId="438A57CB" w14:textId="77777777" w:rsidR="00E905CE" w:rsidRDefault="00E905CE" w:rsidP="00E905CE">
      <w:pPr>
        <w:pStyle w:val="13"/>
      </w:pPr>
      <w:r>
        <w:rPr>
          <w:rFonts w:hint="eastAsia"/>
        </w:rPr>
        <w:t>敏感性因素之间应当保持相互独立不相关，否则会产生重复计算问题。例如，如果选取了业务收入，就不能再选取业务单价或业务数量，因为后两者与前者相关。</w:t>
      </w:r>
    </w:p>
    <w:p w14:paraId="2D56DA71" w14:textId="77777777" w:rsidR="00E905CE" w:rsidRDefault="00E905CE" w:rsidP="00E905CE">
      <w:pPr>
        <w:pStyle w:val="13"/>
      </w:pPr>
      <w:r>
        <w:rPr>
          <w:rFonts w:hint="eastAsia"/>
        </w:rPr>
        <w:t>在实务中，折现率、收益额永续增长率、价格水平、业务量、收益期限等是常见的敏感性因素。</w:t>
      </w:r>
    </w:p>
    <w:p w14:paraId="7806F6C4" w14:textId="77777777" w:rsidR="00E905CE" w:rsidRDefault="00E905CE" w:rsidP="00E905CE">
      <w:pPr>
        <w:pStyle w:val="13"/>
        <w:ind w:firstLine="482"/>
      </w:pPr>
      <w:r w:rsidRPr="004E3EBB">
        <w:rPr>
          <w:rFonts w:hint="eastAsia"/>
          <w:b/>
        </w:rPr>
        <w:t xml:space="preserve">第七条 </w:t>
      </w:r>
      <w:r>
        <w:t>计算敏感性因素变动情况下的评估值取值区间，可以采用枚举的方法，将全部敏感性因素按所设定的各种相对或绝对变动幅度同时变动，针对各种变动情况一一分别计算评估值。</w:t>
      </w:r>
    </w:p>
    <w:p w14:paraId="3E35B59D" w14:textId="77777777" w:rsidR="00E905CE" w:rsidRDefault="00E905CE" w:rsidP="00E905CE">
      <w:pPr>
        <w:pStyle w:val="13"/>
      </w:pPr>
      <w:r>
        <w:rPr>
          <w:rFonts w:hint="eastAsia"/>
        </w:rPr>
        <w:t>当敏感性因素与变动幅度的组合数量较多而不便于进行枚举计算时，可以选择</w:t>
      </w:r>
      <w:r>
        <w:rPr>
          <w:rFonts w:hint="eastAsia"/>
        </w:rPr>
        <w:lastRenderedPageBreak/>
        <w:t>其中一部分进行计算，但应当包括评估值的极大值和极小值两种情形。</w:t>
      </w:r>
    </w:p>
    <w:p w14:paraId="2D851DFB" w14:textId="77777777" w:rsidR="00E905CE" w:rsidRDefault="00E905CE" w:rsidP="00E905CE">
      <w:pPr>
        <w:pStyle w:val="13"/>
        <w:ind w:firstLine="482"/>
      </w:pPr>
      <w:r w:rsidRPr="004E3EBB">
        <w:rPr>
          <w:rFonts w:hint="eastAsia"/>
          <w:b/>
        </w:rPr>
        <w:t xml:space="preserve">第八条 </w:t>
      </w:r>
      <w:r>
        <w:t>注册资产评估师可以考虑委托方、有关监管部门和报告使用者的要求，将敏感性分析计算结果作为可能影响评估值的不确定因素，在评估报告的特别事项说明部分进行披露。披露时，应当以文字和数字形式清晰描述敏感性因素变动情况下的评估值取值区间。</w:t>
      </w:r>
    </w:p>
    <w:p w14:paraId="66DBE6C5" w14:textId="77777777" w:rsidR="00E905CE" w:rsidRDefault="00E905CE" w:rsidP="00E905CE">
      <w:pPr>
        <w:pStyle w:val="13"/>
        <w:ind w:firstLine="482"/>
      </w:pPr>
      <w:r w:rsidRPr="00E05BDA">
        <w:rPr>
          <w:rFonts w:hint="eastAsia"/>
          <w:b/>
        </w:rPr>
        <w:t xml:space="preserve">第九条 </w:t>
      </w:r>
      <w:proofErr w:type="gramStart"/>
      <w:r>
        <w:t>本专家</w:t>
      </w:r>
      <w:proofErr w:type="gramEnd"/>
      <w:r>
        <w:t>提示是以有关评估实践为基础，针对收益法评估中运用敏感性分析方法的操作和披露要点提出的建议。</w:t>
      </w:r>
      <w:proofErr w:type="gramStart"/>
      <w:r>
        <w:t>本专家</w:t>
      </w:r>
      <w:proofErr w:type="gramEnd"/>
      <w:r>
        <w:t>提示不是对相关资产评估准则和评估报告信息披露有关监管规定的补充和修正，也不是一项新的资产评估准则。</w:t>
      </w:r>
    </w:p>
    <w:p w14:paraId="1D310370" w14:textId="77777777" w:rsidR="00E905CE" w:rsidRDefault="00E905CE" w:rsidP="00E905CE">
      <w:pPr>
        <w:pStyle w:val="13"/>
      </w:pPr>
      <w:r>
        <w:rPr>
          <w:rFonts w:hint="eastAsia"/>
        </w:rPr>
        <w:t>附录：示例</w:t>
      </w:r>
    </w:p>
    <w:p w14:paraId="7C5D9A6E" w14:textId="77777777" w:rsidR="00E905CE" w:rsidRDefault="00E905CE" w:rsidP="00AF7342">
      <w:pPr>
        <w:pStyle w:val="a9"/>
        <w:spacing w:before="62" w:after="62"/>
      </w:pPr>
      <w:r>
        <w:rPr>
          <w:rFonts w:hint="eastAsia"/>
        </w:rPr>
        <w:t>示例一</w:t>
      </w:r>
    </w:p>
    <w:p w14:paraId="2DFA5763" w14:textId="77777777" w:rsidR="00E905CE" w:rsidRDefault="00E905CE" w:rsidP="00E905CE">
      <w:pPr>
        <w:pStyle w:val="ab"/>
        <w:spacing w:before="62" w:after="62"/>
        <w:ind w:firstLine="482"/>
      </w:pPr>
      <w:r>
        <w:rPr>
          <w:rFonts w:hint="eastAsia"/>
        </w:rPr>
        <w:t>一、有关数据及评估结论</w:t>
      </w:r>
    </w:p>
    <w:p w14:paraId="77F73A51" w14:textId="77777777" w:rsidR="00E905CE" w:rsidRDefault="00E905CE" w:rsidP="00E905CE">
      <w:pPr>
        <w:pStyle w:val="13"/>
      </w:pPr>
      <w:r>
        <w:rPr>
          <w:rFonts w:hint="eastAsia"/>
        </w:rPr>
        <w:t>评估对象为一座供出租的写字楼，总建筑面积</w:t>
      </w:r>
      <w:r>
        <w:t>52000平方米，可出租面积31200平方米。</w:t>
      </w:r>
      <w:r>
        <w:rPr>
          <w:rFonts w:hint="eastAsia"/>
        </w:rPr>
        <w:t>租金按可出租面积计每平方米每日</w:t>
      </w:r>
      <w:r>
        <w:t>5元。空置率为年平均10%。管理人员工资、水电、空调、维修、清洁、保安等日常费用每年300万元。房产税按租金收入的12%计取，营业税、土地使用税等税费等按租金收入的6%计取。至评估基准日，该写字楼所在土地的出让年限尚余35年。假设土地使用年限届满后，土地使用权及地上建筑物由国家无偿收回。</w:t>
      </w:r>
    </w:p>
    <w:p w14:paraId="62852EF5" w14:textId="77777777" w:rsidR="00E905CE" w:rsidRDefault="00E905CE" w:rsidP="00E905CE">
      <w:pPr>
        <w:pStyle w:val="13"/>
      </w:pPr>
      <w:r>
        <w:rPr>
          <w:rFonts w:hint="eastAsia"/>
        </w:rPr>
        <w:t>该写字楼的评估值计算如下：</w:t>
      </w:r>
    </w:p>
    <w:p w14:paraId="2A675ED2" w14:textId="77777777" w:rsidR="00E905CE" w:rsidRDefault="00E905CE" w:rsidP="00E905CE">
      <w:pPr>
        <w:pStyle w:val="13"/>
      </w:pPr>
      <w:r>
        <w:rPr>
          <w:rFonts w:hint="eastAsia"/>
        </w:rPr>
        <w:t>年有效毛收入</w:t>
      </w:r>
      <w:r>
        <w:t>=31200×5×365×（1-10%）</w:t>
      </w:r>
    </w:p>
    <w:p w14:paraId="5AAD74C1" w14:textId="77777777" w:rsidR="00E905CE" w:rsidRDefault="00E905CE" w:rsidP="00E905CE">
      <w:pPr>
        <w:pStyle w:val="13"/>
        <w:ind w:firstLineChars="800" w:firstLine="1920"/>
      </w:pPr>
      <w:r>
        <w:t>=5124.6（万元）；</w:t>
      </w:r>
    </w:p>
    <w:p w14:paraId="4B65017B" w14:textId="77777777" w:rsidR="00E905CE" w:rsidRDefault="00E905CE" w:rsidP="00E905CE">
      <w:pPr>
        <w:pStyle w:val="13"/>
      </w:pPr>
      <w:r>
        <w:rPr>
          <w:rFonts w:hint="eastAsia"/>
        </w:rPr>
        <w:t>年运营费用</w:t>
      </w:r>
      <w:r>
        <w:t>=300+5124.6×12%+5124.6×6%</w:t>
      </w:r>
    </w:p>
    <w:p w14:paraId="7CF69EB3" w14:textId="77777777" w:rsidR="00E905CE" w:rsidRDefault="00E905CE" w:rsidP="00E905CE">
      <w:pPr>
        <w:pStyle w:val="13"/>
        <w:ind w:firstLineChars="700" w:firstLine="1680"/>
      </w:pPr>
      <w:r>
        <w:t>=1222.428（万元）；</w:t>
      </w:r>
    </w:p>
    <w:p w14:paraId="1C33431F" w14:textId="77777777" w:rsidR="00E905CE" w:rsidRDefault="00E905CE" w:rsidP="00E905CE">
      <w:pPr>
        <w:pStyle w:val="13"/>
      </w:pPr>
      <w:r>
        <w:t>年收益=5124.6-1222.428</w:t>
      </w:r>
    </w:p>
    <w:p w14:paraId="75A2CD1B" w14:textId="77777777" w:rsidR="00E905CE" w:rsidRDefault="00E905CE" w:rsidP="00E905CE">
      <w:pPr>
        <w:pStyle w:val="13"/>
        <w:ind w:firstLineChars="500" w:firstLine="1200"/>
      </w:pPr>
      <w:r>
        <w:t>=3902.172（万元）；</w:t>
      </w:r>
    </w:p>
    <w:p w14:paraId="01A384A4" w14:textId="77777777" w:rsidR="00E905CE" w:rsidRDefault="00E905CE" w:rsidP="00E905CE">
      <w:pPr>
        <w:pStyle w:val="13"/>
      </w:pPr>
      <w:r>
        <w:rPr>
          <w:rFonts w:hint="eastAsia"/>
        </w:rPr>
        <w:t>考虑评估对象所在市场的风险因素，取折现率为</w:t>
      </w:r>
      <w:r>
        <w:t>9%；</w:t>
      </w:r>
    </w:p>
    <w:p w14:paraId="7924368E" w14:textId="77777777" w:rsidR="00E905CE" w:rsidRDefault="00E905CE" w:rsidP="00E905CE">
      <w:pPr>
        <w:pStyle w:val="13"/>
      </w:pPr>
      <w:r>
        <w:rPr>
          <w:rFonts w:hint="eastAsia"/>
        </w:rPr>
        <w:t>不考虑租金及其他价格变动因素，收益期取</w:t>
      </w:r>
      <w:r>
        <w:t>35年，则计算评估值可采用年金现值计算公式：</w:t>
      </w:r>
    </w:p>
    <w:p w14:paraId="7D4DE184" w14:textId="77777777" w:rsidR="00E905CE" w:rsidRDefault="00E905CE" w:rsidP="00E905CE">
      <w:pPr>
        <w:pStyle w:val="13"/>
        <w:jc w:val="center"/>
      </w:pPr>
      <w:r w:rsidRPr="00041804">
        <w:rPr>
          <w:rFonts w:cs="Calibri"/>
          <w:position w:val="-32"/>
        </w:rPr>
        <w:object w:dxaOrig="3140" w:dyaOrig="760" w14:anchorId="3AE8C501">
          <v:shape id="_x0000_i1032" type="#_x0000_t75" style="width:186.75pt;height:45.75pt" o:ole="">
            <v:imagedata r:id="rId66" o:title=""/>
          </v:shape>
          <o:OLEObject Type="Embed" ProgID="Equation.3" ShapeID="_x0000_i1032" DrawAspect="Content" ObjectID="_1728719976" r:id="rId67"/>
        </w:object>
      </w:r>
    </w:p>
    <w:p w14:paraId="2FD17AF7" w14:textId="77777777" w:rsidR="00E905CE" w:rsidRDefault="00E905CE" w:rsidP="00E905CE">
      <w:pPr>
        <w:pStyle w:val="13"/>
      </w:pPr>
      <w:r w:rsidRPr="005472F9">
        <w:rPr>
          <w:rFonts w:hint="eastAsia"/>
        </w:rPr>
        <w:t>式中，</w:t>
      </w:r>
      <w:r w:rsidRPr="005472F9">
        <w:t>V为评估值，A为年收益，r为折现率，n为收益期；</w:t>
      </w:r>
    </w:p>
    <w:p w14:paraId="126732DF" w14:textId="77777777" w:rsidR="00E905CE" w:rsidRDefault="00E905CE" w:rsidP="00E905CE">
      <w:pPr>
        <w:pStyle w:val="13"/>
        <w:jc w:val="center"/>
      </w:pPr>
      <w:r w:rsidRPr="00041804">
        <w:rPr>
          <w:rFonts w:cs="Calibri"/>
          <w:position w:val="-32"/>
        </w:rPr>
        <w:object w:dxaOrig="4880" w:dyaOrig="760" w14:anchorId="0EDA8E5C">
          <v:shape id="_x0000_i1033" type="#_x0000_t75" style="width:289.5pt;height:45.75pt" o:ole="">
            <v:imagedata r:id="rId68" o:title=""/>
          </v:shape>
          <o:OLEObject Type="Embed" ProgID="Equation.3" ShapeID="_x0000_i1033" DrawAspect="Content" ObjectID="_1728719977" r:id="rId69"/>
        </w:object>
      </w:r>
    </w:p>
    <w:p w14:paraId="1C174006" w14:textId="77777777" w:rsidR="00E905CE" w:rsidRDefault="00E905CE" w:rsidP="00E905CE">
      <w:pPr>
        <w:pStyle w:val="ab"/>
        <w:spacing w:before="62" w:after="62"/>
        <w:ind w:firstLine="482"/>
      </w:pPr>
      <w:r>
        <w:rPr>
          <w:rFonts w:hint="eastAsia"/>
        </w:rPr>
        <w:lastRenderedPageBreak/>
        <w:t>二、敏感性分析</w:t>
      </w:r>
    </w:p>
    <w:p w14:paraId="42FFE3B2" w14:textId="77777777" w:rsidR="00E905CE" w:rsidRDefault="00E905CE" w:rsidP="00E905CE">
      <w:pPr>
        <w:pStyle w:val="13"/>
      </w:pPr>
      <w:r>
        <w:rPr>
          <w:rFonts w:hint="eastAsia"/>
        </w:rPr>
        <w:t>（一）识别敏感性因素</w:t>
      </w:r>
    </w:p>
    <w:p w14:paraId="6DCF025F" w14:textId="77777777" w:rsidR="00E905CE" w:rsidRDefault="00E905CE" w:rsidP="00E905CE">
      <w:pPr>
        <w:pStyle w:val="13"/>
      </w:pPr>
      <w:r>
        <w:rPr>
          <w:rFonts w:hint="eastAsia"/>
        </w:rPr>
        <w:t>首先根据实际情况，充分考虑各主要评估参数的经济意义，对主要评估参数进行分析筛选。在上述评估参数中，可出租面积、各种税率和收益期的确定性较强，而租金水平、空置率、日常费用和折现率的估计存在一定的不确定性，作为考察对象。</w:t>
      </w:r>
    </w:p>
    <w:p w14:paraId="399AE721" w14:textId="77777777" w:rsidR="00E905CE" w:rsidRDefault="00E905CE" w:rsidP="00E905CE">
      <w:pPr>
        <w:pStyle w:val="13"/>
      </w:pPr>
      <w:r>
        <w:rPr>
          <w:rFonts w:hint="eastAsia"/>
        </w:rPr>
        <w:t>对各参数分别取±</w:t>
      </w:r>
      <w:r>
        <w:t>5%、±10%的相对变动幅度，计算各种变动情况下的评估值、评估值变动率，得到各参数的敏感性系数，如下表所示：</w:t>
      </w:r>
    </w:p>
    <w:tbl>
      <w:tblPr>
        <w:tblW w:w="5000" w:type="pct"/>
        <w:tblLook w:val="04A0" w:firstRow="1" w:lastRow="0" w:firstColumn="1" w:lastColumn="0" w:noHBand="0" w:noVBand="1"/>
      </w:tblPr>
      <w:tblGrid>
        <w:gridCol w:w="1587"/>
        <w:gridCol w:w="1465"/>
        <w:gridCol w:w="1299"/>
        <w:gridCol w:w="101"/>
        <w:gridCol w:w="1322"/>
        <w:gridCol w:w="79"/>
        <w:gridCol w:w="1330"/>
        <w:gridCol w:w="70"/>
        <w:gridCol w:w="1421"/>
        <w:gridCol w:w="56"/>
      </w:tblGrid>
      <w:tr w:rsidR="00E905CE" w:rsidRPr="005472F9" w14:paraId="04FB342D" w14:textId="77777777" w:rsidTr="005472F9">
        <w:trPr>
          <w:gridAfter w:val="1"/>
          <w:wAfter w:w="32" w:type="pct"/>
          <w:trHeight w:val="270"/>
        </w:trPr>
        <w:tc>
          <w:tcPr>
            <w:tcW w:w="4968" w:type="pct"/>
            <w:gridSpan w:val="9"/>
            <w:tcBorders>
              <w:bottom w:val="single" w:sz="4" w:space="0" w:color="auto"/>
            </w:tcBorders>
            <w:shd w:val="clear" w:color="auto" w:fill="auto"/>
            <w:noWrap/>
            <w:vAlign w:val="center"/>
            <w:hideMark/>
          </w:tcPr>
          <w:p w14:paraId="06A1B721" w14:textId="77777777" w:rsidR="00E905CE" w:rsidRPr="005472F9" w:rsidRDefault="00E905CE" w:rsidP="00C41313">
            <w:pPr>
              <w:pStyle w:val="13"/>
              <w:ind w:firstLineChars="0" w:firstLine="0"/>
              <w:jc w:val="center"/>
              <w:rPr>
                <w:sz w:val="21"/>
                <w:szCs w:val="21"/>
              </w:rPr>
            </w:pPr>
            <w:r w:rsidRPr="005472F9">
              <w:rPr>
                <w:sz w:val="21"/>
                <w:szCs w:val="21"/>
              </w:rPr>
              <w:t>各参数分别变动下的评估值（万元）</w:t>
            </w:r>
          </w:p>
        </w:tc>
      </w:tr>
      <w:tr w:rsidR="00E905CE" w:rsidRPr="005472F9" w14:paraId="2C7B46E4" w14:textId="77777777" w:rsidTr="005472F9">
        <w:trPr>
          <w:gridAfter w:val="1"/>
          <w:wAfter w:w="32" w:type="pct"/>
          <w:trHeight w:val="270"/>
        </w:trPr>
        <w:tc>
          <w:tcPr>
            <w:tcW w:w="909" w:type="pc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340D44E4" w14:textId="77777777" w:rsidR="00E905CE" w:rsidRPr="005472F9" w:rsidRDefault="00E905CE" w:rsidP="00C41313">
            <w:pPr>
              <w:pStyle w:val="13"/>
              <w:ind w:firstLineChars="0" w:firstLine="0"/>
              <w:rPr>
                <w:sz w:val="21"/>
                <w:szCs w:val="21"/>
              </w:rPr>
            </w:pP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8AE8C" w14:textId="77777777" w:rsidR="00E905CE" w:rsidRPr="005472F9" w:rsidRDefault="00E905CE" w:rsidP="00C41313">
            <w:pPr>
              <w:pStyle w:val="13"/>
              <w:ind w:firstLineChars="0" w:firstLine="0"/>
              <w:jc w:val="right"/>
              <w:rPr>
                <w:sz w:val="21"/>
                <w:szCs w:val="21"/>
              </w:rPr>
            </w:pPr>
            <w:r w:rsidRPr="005472F9">
              <w:rPr>
                <w:sz w:val="21"/>
                <w:szCs w:val="21"/>
              </w:rPr>
              <w:t>-10%</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D3B40" w14:textId="77777777" w:rsidR="00E905CE" w:rsidRPr="005472F9" w:rsidRDefault="00E905CE" w:rsidP="00C41313">
            <w:pPr>
              <w:pStyle w:val="13"/>
              <w:ind w:firstLineChars="0" w:firstLine="0"/>
              <w:jc w:val="right"/>
              <w:rPr>
                <w:sz w:val="21"/>
                <w:szCs w:val="21"/>
              </w:rPr>
            </w:pPr>
            <w:r w:rsidRPr="005472F9">
              <w:rPr>
                <w:sz w:val="21"/>
                <w:szCs w:val="21"/>
              </w:rPr>
              <w:t>-5%</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6F2F8" w14:textId="77777777" w:rsidR="00E905CE" w:rsidRPr="005472F9" w:rsidRDefault="00E905CE" w:rsidP="00C41313">
            <w:pPr>
              <w:pStyle w:val="13"/>
              <w:ind w:firstLineChars="0" w:firstLine="0"/>
              <w:jc w:val="right"/>
              <w:rPr>
                <w:sz w:val="21"/>
                <w:szCs w:val="21"/>
              </w:rPr>
            </w:pPr>
            <w:r w:rsidRPr="005472F9">
              <w:rPr>
                <w:sz w:val="21"/>
                <w:szCs w:val="21"/>
              </w:rPr>
              <w:t>0%</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40371" w14:textId="77777777" w:rsidR="00E905CE" w:rsidRPr="005472F9" w:rsidRDefault="00E905CE" w:rsidP="00C41313">
            <w:pPr>
              <w:pStyle w:val="13"/>
              <w:ind w:firstLineChars="0" w:firstLine="0"/>
              <w:jc w:val="right"/>
              <w:rPr>
                <w:sz w:val="21"/>
                <w:szCs w:val="21"/>
              </w:rPr>
            </w:pPr>
            <w:r w:rsidRPr="005472F9">
              <w:rPr>
                <w:sz w:val="21"/>
                <w:szCs w:val="21"/>
              </w:rPr>
              <w:t>5%</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4B688" w14:textId="77777777" w:rsidR="00E905CE" w:rsidRPr="005472F9" w:rsidRDefault="00E905CE" w:rsidP="00C41313">
            <w:pPr>
              <w:pStyle w:val="13"/>
              <w:ind w:firstLineChars="0" w:firstLine="0"/>
              <w:jc w:val="right"/>
              <w:rPr>
                <w:sz w:val="21"/>
                <w:szCs w:val="21"/>
              </w:rPr>
            </w:pPr>
            <w:r w:rsidRPr="005472F9">
              <w:rPr>
                <w:sz w:val="21"/>
                <w:szCs w:val="21"/>
              </w:rPr>
              <w:t>10%</w:t>
            </w:r>
          </w:p>
        </w:tc>
      </w:tr>
      <w:tr w:rsidR="00E905CE" w:rsidRPr="005472F9" w14:paraId="4DA54658" w14:textId="77777777" w:rsidTr="005472F9">
        <w:trPr>
          <w:gridAfter w:val="1"/>
          <w:wAfter w:w="32" w:type="pct"/>
          <w:trHeight w:val="270"/>
        </w:trPr>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573F" w14:textId="77777777" w:rsidR="00E905CE" w:rsidRPr="005472F9" w:rsidRDefault="00E905CE" w:rsidP="00C41313">
            <w:pPr>
              <w:pStyle w:val="13"/>
              <w:ind w:firstLineChars="0" w:firstLine="0"/>
              <w:rPr>
                <w:sz w:val="21"/>
                <w:szCs w:val="21"/>
              </w:rPr>
            </w:pPr>
            <w:r w:rsidRPr="005472F9">
              <w:rPr>
                <w:sz w:val="21"/>
                <w:szCs w:val="21"/>
              </w:rPr>
              <w:t>租金</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ECB21" w14:textId="77777777" w:rsidR="00E905CE" w:rsidRPr="005472F9" w:rsidRDefault="00E905CE" w:rsidP="00C41313">
            <w:pPr>
              <w:pStyle w:val="13"/>
              <w:ind w:firstLineChars="0" w:firstLine="0"/>
              <w:jc w:val="right"/>
              <w:rPr>
                <w:sz w:val="21"/>
                <w:szCs w:val="21"/>
              </w:rPr>
            </w:pPr>
            <w:r w:rsidRPr="005472F9">
              <w:rPr>
                <w:sz w:val="21"/>
                <w:szCs w:val="21"/>
              </w:rPr>
              <w:t xml:space="preserve">36,793.19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37027" w14:textId="77777777" w:rsidR="00E905CE" w:rsidRPr="005472F9" w:rsidRDefault="00E905CE" w:rsidP="00C41313">
            <w:pPr>
              <w:pStyle w:val="13"/>
              <w:ind w:firstLineChars="0" w:firstLine="0"/>
              <w:jc w:val="right"/>
              <w:rPr>
                <w:sz w:val="21"/>
                <w:szCs w:val="21"/>
              </w:rPr>
            </w:pPr>
            <w:r w:rsidRPr="005472F9">
              <w:rPr>
                <w:sz w:val="21"/>
                <w:szCs w:val="21"/>
              </w:rPr>
              <w:t xml:space="preserve">39,013.37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66BA" w14:textId="77777777" w:rsidR="00E905CE" w:rsidRPr="005472F9" w:rsidRDefault="00E905CE" w:rsidP="00C41313">
            <w:pPr>
              <w:pStyle w:val="13"/>
              <w:ind w:firstLineChars="0" w:firstLine="0"/>
              <w:jc w:val="right"/>
              <w:rPr>
                <w:sz w:val="21"/>
                <w:szCs w:val="21"/>
              </w:rPr>
            </w:pPr>
            <w:r w:rsidRPr="005472F9">
              <w:rPr>
                <w:sz w:val="21"/>
                <w:szCs w:val="21"/>
              </w:rPr>
              <w:t xml:space="preserve">41,233.55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D066" w14:textId="77777777" w:rsidR="00E905CE" w:rsidRPr="005472F9" w:rsidRDefault="00E905CE" w:rsidP="00C41313">
            <w:pPr>
              <w:pStyle w:val="13"/>
              <w:ind w:firstLineChars="0" w:firstLine="0"/>
              <w:jc w:val="right"/>
              <w:rPr>
                <w:sz w:val="21"/>
                <w:szCs w:val="21"/>
              </w:rPr>
            </w:pPr>
            <w:r w:rsidRPr="005472F9">
              <w:rPr>
                <w:sz w:val="21"/>
                <w:szCs w:val="21"/>
              </w:rPr>
              <w:t xml:space="preserve">43,453.73 </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6C94D" w14:textId="77777777" w:rsidR="00E905CE" w:rsidRPr="005472F9" w:rsidRDefault="00E905CE" w:rsidP="00C41313">
            <w:pPr>
              <w:pStyle w:val="13"/>
              <w:ind w:firstLineChars="0" w:firstLine="0"/>
              <w:jc w:val="right"/>
              <w:rPr>
                <w:sz w:val="21"/>
                <w:szCs w:val="21"/>
              </w:rPr>
            </w:pPr>
            <w:r w:rsidRPr="005472F9">
              <w:rPr>
                <w:sz w:val="21"/>
                <w:szCs w:val="21"/>
              </w:rPr>
              <w:t xml:space="preserve">45,673.92 </w:t>
            </w:r>
          </w:p>
        </w:tc>
      </w:tr>
      <w:tr w:rsidR="00E905CE" w:rsidRPr="005472F9" w14:paraId="6E517A1E" w14:textId="77777777" w:rsidTr="005472F9">
        <w:trPr>
          <w:gridAfter w:val="1"/>
          <w:wAfter w:w="32" w:type="pct"/>
          <w:trHeight w:val="270"/>
        </w:trPr>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880BA" w14:textId="77777777" w:rsidR="00E905CE" w:rsidRPr="005472F9" w:rsidRDefault="00E905CE" w:rsidP="00C41313">
            <w:pPr>
              <w:pStyle w:val="13"/>
              <w:ind w:firstLineChars="0" w:firstLine="0"/>
              <w:rPr>
                <w:sz w:val="21"/>
                <w:szCs w:val="21"/>
              </w:rPr>
            </w:pPr>
            <w:r w:rsidRPr="005472F9">
              <w:rPr>
                <w:sz w:val="21"/>
                <w:szCs w:val="21"/>
              </w:rPr>
              <w:t>空置率</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F397D" w14:textId="77777777" w:rsidR="00E905CE" w:rsidRPr="005472F9" w:rsidRDefault="00E905CE" w:rsidP="00C41313">
            <w:pPr>
              <w:pStyle w:val="13"/>
              <w:ind w:firstLineChars="0" w:firstLine="0"/>
              <w:jc w:val="right"/>
              <w:rPr>
                <w:sz w:val="21"/>
                <w:szCs w:val="21"/>
              </w:rPr>
            </w:pPr>
            <w:r w:rsidRPr="005472F9">
              <w:rPr>
                <w:sz w:val="21"/>
                <w:szCs w:val="21"/>
              </w:rPr>
              <w:t xml:space="preserve">41,726.93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D22B0" w14:textId="77777777" w:rsidR="00E905CE" w:rsidRPr="005472F9" w:rsidRDefault="00E905CE" w:rsidP="00C41313">
            <w:pPr>
              <w:pStyle w:val="13"/>
              <w:ind w:firstLineChars="0" w:firstLine="0"/>
              <w:jc w:val="right"/>
              <w:rPr>
                <w:sz w:val="21"/>
                <w:szCs w:val="21"/>
              </w:rPr>
            </w:pPr>
            <w:r w:rsidRPr="005472F9">
              <w:rPr>
                <w:sz w:val="21"/>
                <w:szCs w:val="21"/>
              </w:rPr>
              <w:t xml:space="preserve">41,480.24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88F34" w14:textId="77777777" w:rsidR="00E905CE" w:rsidRPr="005472F9" w:rsidRDefault="00E905CE" w:rsidP="00C41313">
            <w:pPr>
              <w:pStyle w:val="13"/>
              <w:ind w:firstLineChars="0" w:firstLine="0"/>
              <w:jc w:val="right"/>
              <w:rPr>
                <w:sz w:val="21"/>
                <w:szCs w:val="21"/>
              </w:rPr>
            </w:pPr>
            <w:r w:rsidRPr="005472F9">
              <w:rPr>
                <w:sz w:val="21"/>
                <w:szCs w:val="21"/>
              </w:rPr>
              <w:t xml:space="preserve">41,233.55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AB2DB" w14:textId="77777777" w:rsidR="00E905CE" w:rsidRPr="005472F9" w:rsidRDefault="00E905CE" w:rsidP="00C41313">
            <w:pPr>
              <w:pStyle w:val="13"/>
              <w:ind w:firstLineChars="0" w:firstLine="0"/>
              <w:jc w:val="right"/>
              <w:rPr>
                <w:sz w:val="21"/>
                <w:szCs w:val="21"/>
              </w:rPr>
            </w:pPr>
            <w:r w:rsidRPr="005472F9">
              <w:rPr>
                <w:sz w:val="21"/>
                <w:szCs w:val="21"/>
              </w:rPr>
              <w:t xml:space="preserve">40,986.87 </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C43CB" w14:textId="77777777" w:rsidR="00E905CE" w:rsidRPr="005472F9" w:rsidRDefault="00E905CE" w:rsidP="00C41313">
            <w:pPr>
              <w:pStyle w:val="13"/>
              <w:ind w:firstLineChars="0" w:firstLine="0"/>
              <w:jc w:val="right"/>
              <w:rPr>
                <w:sz w:val="21"/>
                <w:szCs w:val="21"/>
              </w:rPr>
            </w:pPr>
            <w:r w:rsidRPr="005472F9">
              <w:rPr>
                <w:sz w:val="21"/>
                <w:szCs w:val="21"/>
              </w:rPr>
              <w:t xml:space="preserve">40,740.18 </w:t>
            </w:r>
          </w:p>
        </w:tc>
      </w:tr>
      <w:tr w:rsidR="00E905CE" w:rsidRPr="005472F9" w14:paraId="17961CE6" w14:textId="77777777" w:rsidTr="005472F9">
        <w:trPr>
          <w:gridAfter w:val="1"/>
          <w:wAfter w:w="32" w:type="pct"/>
          <w:trHeight w:val="270"/>
        </w:trPr>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6B3A7" w14:textId="77777777" w:rsidR="00E905CE" w:rsidRPr="005472F9" w:rsidRDefault="00E905CE" w:rsidP="00C41313">
            <w:pPr>
              <w:pStyle w:val="13"/>
              <w:ind w:firstLineChars="0" w:firstLine="0"/>
              <w:rPr>
                <w:sz w:val="21"/>
                <w:szCs w:val="21"/>
              </w:rPr>
            </w:pPr>
            <w:r w:rsidRPr="005472F9">
              <w:rPr>
                <w:sz w:val="21"/>
                <w:szCs w:val="21"/>
              </w:rPr>
              <w:t>日常费用</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6F717" w14:textId="77777777" w:rsidR="00E905CE" w:rsidRPr="005472F9" w:rsidRDefault="00E905CE" w:rsidP="00C41313">
            <w:pPr>
              <w:pStyle w:val="13"/>
              <w:ind w:firstLineChars="0" w:firstLine="0"/>
              <w:jc w:val="right"/>
              <w:rPr>
                <w:sz w:val="21"/>
                <w:szCs w:val="21"/>
              </w:rPr>
            </w:pPr>
            <w:r w:rsidRPr="005472F9">
              <w:rPr>
                <w:sz w:val="21"/>
                <w:szCs w:val="21"/>
              </w:rPr>
              <w:t xml:space="preserve">41,550.56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1CFF" w14:textId="77777777" w:rsidR="00E905CE" w:rsidRPr="005472F9" w:rsidRDefault="00E905CE" w:rsidP="00C41313">
            <w:pPr>
              <w:pStyle w:val="13"/>
              <w:ind w:firstLineChars="0" w:firstLine="0"/>
              <w:jc w:val="right"/>
              <w:rPr>
                <w:sz w:val="21"/>
                <w:szCs w:val="21"/>
              </w:rPr>
            </w:pPr>
            <w:r w:rsidRPr="005472F9">
              <w:rPr>
                <w:sz w:val="21"/>
                <w:szCs w:val="21"/>
              </w:rPr>
              <w:t xml:space="preserve">41,392.06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F5533" w14:textId="77777777" w:rsidR="00E905CE" w:rsidRPr="005472F9" w:rsidRDefault="00E905CE" w:rsidP="00C41313">
            <w:pPr>
              <w:pStyle w:val="13"/>
              <w:ind w:firstLineChars="0" w:firstLine="0"/>
              <w:jc w:val="right"/>
              <w:rPr>
                <w:sz w:val="21"/>
                <w:szCs w:val="21"/>
              </w:rPr>
            </w:pPr>
            <w:r w:rsidRPr="005472F9">
              <w:rPr>
                <w:sz w:val="21"/>
                <w:szCs w:val="21"/>
              </w:rPr>
              <w:t xml:space="preserve">41,233.55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47B50" w14:textId="77777777" w:rsidR="00E905CE" w:rsidRPr="005472F9" w:rsidRDefault="00E905CE" w:rsidP="00C41313">
            <w:pPr>
              <w:pStyle w:val="13"/>
              <w:ind w:firstLineChars="0" w:firstLine="0"/>
              <w:jc w:val="right"/>
              <w:rPr>
                <w:sz w:val="21"/>
                <w:szCs w:val="21"/>
              </w:rPr>
            </w:pPr>
            <w:r w:rsidRPr="005472F9">
              <w:rPr>
                <w:sz w:val="21"/>
                <w:szCs w:val="21"/>
              </w:rPr>
              <w:t xml:space="preserve">41,075.05 </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9A96" w14:textId="77777777" w:rsidR="00E905CE" w:rsidRPr="005472F9" w:rsidRDefault="00E905CE" w:rsidP="00C41313">
            <w:pPr>
              <w:pStyle w:val="13"/>
              <w:ind w:firstLineChars="0" w:firstLine="0"/>
              <w:jc w:val="right"/>
              <w:rPr>
                <w:sz w:val="21"/>
                <w:szCs w:val="21"/>
              </w:rPr>
            </w:pPr>
            <w:r w:rsidRPr="005472F9">
              <w:rPr>
                <w:sz w:val="21"/>
                <w:szCs w:val="21"/>
              </w:rPr>
              <w:t xml:space="preserve">40,916.55 </w:t>
            </w:r>
          </w:p>
        </w:tc>
      </w:tr>
      <w:tr w:rsidR="00E905CE" w:rsidRPr="005472F9" w14:paraId="4B9E82C6" w14:textId="77777777" w:rsidTr="005472F9">
        <w:trPr>
          <w:gridAfter w:val="1"/>
          <w:wAfter w:w="32" w:type="pct"/>
          <w:trHeight w:val="270"/>
        </w:trPr>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F6411" w14:textId="77777777" w:rsidR="00E905CE" w:rsidRPr="005472F9" w:rsidRDefault="00E905CE" w:rsidP="00C41313">
            <w:pPr>
              <w:pStyle w:val="13"/>
              <w:ind w:firstLineChars="0" w:firstLine="0"/>
              <w:rPr>
                <w:sz w:val="21"/>
                <w:szCs w:val="21"/>
              </w:rPr>
            </w:pPr>
            <w:r w:rsidRPr="005472F9">
              <w:rPr>
                <w:sz w:val="21"/>
                <w:szCs w:val="21"/>
              </w:rPr>
              <w:t>折现率</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EC913" w14:textId="77777777" w:rsidR="00E905CE" w:rsidRPr="005472F9" w:rsidRDefault="00E905CE" w:rsidP="00C41313">
            <w:pPr>
              <w:pStyle w:val="13"/>
              <w:ind w:firstLineChars="0" w:firstLine="0"/>
              <w:jc w:val="right"/>
              <w:rPr>
                <w:sz w:val="21"/>
                <w:szCs w:val="21"/>
              </w:rPr>
            </w:pPr>
            <w:r w:rsidRPr="005472F9">
              <w:rPr>
                <w:sz w:val="21"/>
                <w:szCs w:val="21"/>
              </w:rPr>
              <w:t xml:space="preserve">45,020.52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4C322" w14:textId="77777777" w:rsidR="00E905CE" w:rsidRPr="005472F9" w:rsidRDefault="00E905CE" w:rsidP="00C41313">
            <w:pPr>
              <w:pStyle w:val="13"/>
              <w:ind w:firstLineChars="0" w:firstLine="0"/>
              <w:jc w:val="right"/>
              <w:rPr>
                <w:sz w:val="21"/>
                <w:szCs w:val="21"/>
              </w:rPr>
            </w:pPr>
            <w:r w:rsidRPr="005472F9">
              <w:rPr>
                <w:sz w:val="21"/>
                <w:szCs w:val="21"/>
              </w:rPr>
              <w:t xml:space="preserve">43,055.42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B209" w14:textId="77777777" w:rsidR="00E905CE" w:rsidRPr="005472F9" w:rsidRDefault="00E905CE" w:rsidP="00C41313">
            <w:pPr>
              <w:pStyle w:val="13"/>
              <w:ind w:firstLineChars="0" w:firstLine="0"/>
              <w:jc w:val="right"/>
              <w:rPr>
                <w:sz w:val="21"/>
                <w:szCs w:val="21"/>
              </w:rPr>
            </w:pPr>
            <w:r w:rsidRPr="005472F9">
              <w:rPr>
                <w:sz w:val="21"/>
                <w:szCs w:val="21"/>
              </w:rPr>
              <w:t xml:space="preserve">41,233.55 </w:t>
            </w:r>
          </w:p>
        </w:tc>
        <w:tc>
          <w:tcPr>
            <w:tcW w:w="8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0F670" w14:textId="77777777" w:rsidR="00E905CE" w:rsidRPr="005472F9" w:rsidRDefault="00E905CE" w:rsidP="00C41313">
            <w:pPr>
              <w:pStyle w:val="13"/>
              <w:ind w:firstLineChars="0" w:firstLine="0"/>
              <w:jc w:val="right"/>
              <w:rPr>
                <w:sz w:val="21"/>
                <w:szCs w:val="21"/>
              </w:rPr>
            </w:pPr>
            <w:r w:rsidRPr="005472F9">
              <w:rPr>
                <w:sz w:val="21"/>
                <w:szCs w:val="21"/>
              </w:rPr>
              <w:t xml:space="preserve">39,541.68 </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AE134" w14:textId="77777777" w:rsidR="00E905CE" w:rsidRPr="005472F9" w:rsidRDefault="00E905CE" w:rsidP="00C41313">
            <w:pPr>
              <w:pStyle w:val="13"/>
              <w:ind w:firstLineChars="0" w:firstLine="0"/>
              <w:jc w:val="right"/>
              <w:rPr>
                <w:sz w:val="21"/>
                <w:szCs w:val="21"/>
              </w:rPr>
            </w:pPr>
            <w:r w:rsidRPr="005472F9">
              <w:rPr>
                <w:sz w:val="21"/>
                <w:szCs w:val="21"/>
              </w:rPr>
              <w:t xml:space="preserve">37,967.93 </w:t>
            </w:r>
          </w:p>
        </w:tc>
      </w:tr>
      <w:tr w:rsidR="00E905CE" w:rsidRPr="005472F9" w14:paraId="2C27C17B" w14:textId="77777777" w:rsidTr="005472F9">
        <w:trPr>
          <w:trHeight w:val="618"/>
        </w:trPr>
        <w:tc>
          <w:tcPr>
            <w:tcW w:w="5000" w:type="pct"/>
            <w:gridSpan w:val="10"/>
            <w:tcBorders>
              <w:bottom w:val="single" w:sz="4" w:space="0" w:color="auto"/>
            </w:tcBorders>
            <w:shd w:val="clear" w:color="auto" w:fill="auto"/>
            <w:noWrap/>
            <w:vAlign w:val="center"/>
          </w:tcPr>
          <w:p w14:paraId="1B0BBB93" w14:textId="77777777" w:rsidR="00E905CE" w:rsidRPr="005472F9" w:rsidRDefault="00E905CE" w:rsidP="00C41313">
            <w:pPr>
              <w:pStyle w:val="13"/>
              <w:ind w:firstLineChars="0" w:firstLine="0"/>
              <w:jc w:val="center"/>
              <w:rPr>
                <w:sz w:val="21"/>
                <w:szCs w:val="21"/>
              </w:rPr>
            </w:pPr>
            <w:r w:rsidRPr="005472F9">
              <w:rPr>
                <w:sz w:val="21"/>
                <w:szCs w:val="21"/>
              </w:rPr>
              <w:t>各参数分别变动下的评估值变动率</w:t>
            </w:r>
          </w:p>
        </w:tc>
      </w:tr>
      <w:tr w:rsidR="00E905CE" w:rsidRPr="005472F9" w14:paraId="0C6752A5" w14:textId="77777777" w:rsidTr="005472F9">
        <w:trPr>
          <w:trHeight w:val="270"/>
        </w:trPr>
        <w:tc>
          <w:tcPr>
            <w:tcW w:w="909" w:type="pc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0C3665AD" w14:textId="77777777" w:rsidR="00E905CE" w:rsidRPr="005472F9" w:rsidRDefault="00E905CE" w:rsidP="00C41313">
            <w:pPr>
              <w:pStyle w:val="13"/>
              <w:ind w:firstLineChars="0" w:firstLine="0"/>
              <w:rPr>
                <w:sz w:val="21"/>
                <w:szCs w:val="21"/>
              </w:rPr>
            </w:pP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75718" w14:textId="77777777" w:rsidR="00E905CE" w:rsidRPr="005472F9" w:rsidRDefault="00E905CE" w:rsidP="00C41313">
            <w:pPr>
              <w:pStyle w:val="13"/>
              <w:ind w:firstLineChars="0" w:firstLine="0"/>
              <w:jc w:val="right"/>
              <w:rPr>
                <w:sz w:val="21"/>
                <w:szCs w:val="21"/>
              </w:rPr>
            </w:pPr>
            <w:r w:rsidRPr="005472F9">
              <w:rPr>
                <w:sz w:val="21"/>
                <w:szCs w:val="21"/>
              </w:rPr>
              <w:t>-10%</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504DE" w14:textId="77777777" w:rsidR="00E905CE" w:rsidRPr="005472F9" w:rsidRDefault="00E905CE" w:rsidP="00C41313">
            <w:pPr>
              <w:pStyle w:val="13"/>
              <w:ind w:firstLineChars="0" w:firstLine="0"/>
              <w:jc w:val="right"/>
              <w:rPr>
                <w:sz w:val="21"/>
                <w:szCs w:val="21"/>
              </w:rPr>
            </w:pPr>
            <w:r w:rsidRPr="005472F9">
              <w:rPr>
                <w:sz w:val="21"/>
                <w:szCs w:val="21"/>
              </w:rPr>
              <w:t>-5%</w:t>
            </w:r>
          </w:p>
        </w:tc>
        <w:tc>
          <w:tcPr>
            <w:tcW w:w="8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87A0" w14:textId="77777777" w:rsidR="00E905CE" w:rsidRPr="005472F9" w:rsidRDefault="00E905CE" w:rsidP="00C41313">
            <w:pPr>
              <w:pStyle w:val="13"/>
              <w:ind w:firstLineChars="0" w:firstLine="0"/>
              <w:jc w:val="right"/>
              <w:rPr>
                <w:sz w:val="21"/>
                <w:szCs w:val="21"/>
              </w:rPr>
            </w:pPr>
            <w:r w:rsidRPr="005472F9">
              <w:rPr>
                <w:sz w:val="21"/>
                <w:szCs w:val="21"/>
              </w:rPr>
              <w:t>0%</w:t>
            </w:r>
          </w:p>
        </w:tc>
        <w:tc>
          <w:tcPr>
            <w:tcW w:w="8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7C9D6" w14:textId="77777777" w:rsidR="00E905CE" w:rsidRPr="005472F9" w:rsidRDefault="00E905CE" w:rsidP="00C41313">
            <w:pPr>
              <w:pStyle w:val="13"/>
              <w:ind w:firstLineChars="0" w:firstLine="0"/>
              <w:jc w:val="right"/>
              <w:rPr>
                <w:sz w:val="21"/>
                <w:szCs w:val="21"/>
              </w:rPr>
            </w:pPr>
            <w:r w:rsidRPr="005472F9">
              <w:rPr>
                <w:sz w:val="21"/>
                <w:szCs w:val="21"/>
              </w:rPr>
              <w:t>5%</w:t>
            </w:r>
          </w:p>
        </w:tc>
        <w:tc>
          <w:tcPr>
            <w:tcW w:w="8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6DFE0" w14:textId="77777777" w:rsidR="00E905CE" w:rsidRPr="005472F9" w:rsidRDefault="00E905CE" w:rsidP="00C41313">
            <w:pPr>
              <w:pStyle w:val="13"/>
              <w:ind w:firstLineChars="0" w:firstLine="0"/>
              <w:jc w:val="right"/>
              <w:rPr>
                <w:sz w:val="21"/>
                <w:szCs w:val="21"/>
              </w:rPr>
            </w:pPr>
            <w:r w:rsidRPr="005472F9">
              <w:rPr>
                <w:sz w:val="21"/>
                <w:szCs w:val="21"/>
              </w:rPr>
              <w:t>10%</w:t>
            </w:r>
          </w:p>
        </w:tc>
      </w:tr>
      <w:tr w:rsidR="00E905CE" w:rsidRPr="005472F9" w14:paraId="54077495" w14:textId="77777777" w:rsidTr="005472F9">
        <w:trPr>
          <w:trHeight w:val="270"/>
        </w:trPr>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A353E" w14:textId="77777777" w:rsidR="00E905CE" w:rsidRPr="005472F9" w:rsidRDefault="00E905CE" w:rsidP="00C41313">
            <w:pPr>
              <w:pStyle w:val="13"/>
              <w:ind w:firstLineChars="0" w:firstLine="0"/>
              <w:rPr>
                <w:sz w:val="21"/>
                <w:szCs w:val="21"/>
              </w:rPr>
            </w:pPr>
            <w:r w:rsidRPr="005472F9">
              <w:rPr>
                <w:sz w:val="21"/>
                <w:szCs w:val="21"/>
              </w:rPr>
              <w:t>租金</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9794B" w14:textId="77777777" w:rsidR="00E905CE" w:rsidRPr="005472F9" w:rsidRDefault="00E905CE" w:rsidP="00C41313">
            <w:pPr>
              <w:pStyle w:val="13"/>
              <w:ind w:firstLineChars="0" w:firstLine="0"/>
              <w:jc w:val="right"/>
              <w:rPr>
                <w:sz w:val="21"/>
                <w:szCs w:val="21"/>
              </w:rPr>
            </w:pPr>
            <w:r w:rsidRPr="005472F9">
              <w:rPr>
                <w:sz w:val="21"/>
                <w:szCs w:val="21"/>
              </w:rPr>
              <w:t>-10.77%</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F1022" w14:textId="77777777" w:rsidR="00E905CE" w:rsidRPr="005472F9" w:rsidRDefault="00E905CE" w:rsidP="00C41313">
            <w:pPr>
              <w:pStyle w:val="13"/>
              <w:ind w:firstLineChars="0" w:firstLine="0"/>
              <w:jc w:val="right"/>
              <w:rPr>
                <w:sz w:val="21"/>
                <w:szCs w:val="21"/>
              </w:rPr>
            </w:pPr>
            <w:r w:rsidRPr="005472F9">
              <w:rPr>
                <w:sz w:val="21"/>
                <w:szCs w:val="21"/>
              </w:rPr>
              <w:t>-5.38%</w:t>
            </w:r>
          </w:p>
        </w:tc>
        <w:tc>
          <w:tcPr>
            <w:tcW w:w="8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AB2AE" w14:textId="77777777" w:rsidR="00E905CE" w:rsidRPr="005472F9" w:rsidRDefault="00E905CE" w:rsidP="00C41313">
            <w:pPr>
              <w:pStyle w:val="13"/>
              <w:ind w:firstLineChars="0" w:firstLine="0"/>
              <w:jc w:val="right"/>
              <w:rPr>
                <w:sz w:val="21"/>
                <w:szCs w:val="21"/>
              </w:rPr>
            </w:pPr>
            <w:r w:rsidRPr="005472F9">
              <w:rPr>
                <w:sz w:val="21"/>
                <w:szCs w:val="21"/>
              </w:rPr>
              <w:t>0.00%</w:t>
            </w:r>
          </w:p>
        </w:tc>
        <w:tc>
          <w:tcPr>
            <w:tcW w:w="8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59E3F" w14:textId="77777777" w:rsidR="00E905CE" w:rsidRPr="005472F9" w:rsidRDefault="00E905CE" w:rsidP="00C41313">
            <w:pPr>
              <w:pStyle w:val="13"/>
              <w:ind w:firstLineChars="0" w:firstLine="0"/>
              <w:jc w:val="right"/>
              <w:rPr>
                <w:sz w:val="21"/>
                <w:szCs w:val="21"/>
              </w:rPr>
            </w:pPr>
            <w:r w:rsidRPr="005472F9">
              <w:rPr>
                <w:sz w:val="21"/>
                <w:szCs w:val="21"/>
              </w:rPr>
              <w:t>5.38%</w:t>
            </w:r>
          </w:p>
        </w:tc>
        <w:tc>
          <w:tcPr>
            <w:tcW w:w="8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492FB" w14:textId="77777777" w:rsidR="00E905CE" w:rsidRPr="005472F9" w:rsidRDefault="00E905CE" w:rsidP="00C41313">
            <w:pPr>
              <w:pStyle w:val="13"/>
              <w:ind w:firstLineChars="0" w:firstLine="0"/>
              <w:jc w:val="right"/>
              <w:rPr>
                <w:sz w:val="21"/>
                <w:szCs w:val="21"/>
              </w:rPr>
            </w:pPr>
            <w:r w:rsidRPr="005472F9">
              <w:rPr>
                <w:sz w:val="21"/>
                <w:szCs w:val="21"/>
              </w:rPr>
              <w:t>10.77%</w:t>
            </w:r>
          </w:p>
        </w:tc>
      </w:tr>
      <w:tr w:rsidR="00E905CE" w:rsidRPr="005472F9" w14:paraId="5C347BBD" w14:textId="77777777" w:rsidTr="005472F9">
        <w:trPr>
          <w:trHeight w:val="270"/>
        </w:trPr>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6A52" w14:textId="77777777" w:rsidR="00E905CE" w:rsidRPr="005472F9" w:rsidRDefault="00E905CE" w:rsidP="00C41313">
            <w:pPr>
              <w:pStyle w:val="13"/>
              <w:ind w:firstLineChars="0" w:firstLine="0"/>
              <w:rPr>
                <w:sz w:val="21"/>
                <w:szCs w:val="21"/>
              </w:rPr>
            </w:pPr>
            <w:r w:rsidRPr="005472F9">
              <w:rPr>
                <w:sz w:val="21"/>
                <w:szCs w:val="21"/>
              </w:rPr>
              <w:t>空置率</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B9EBC" w14:textId="77777777" w:rsidR="00E905CE" w:rsidRPr="005472F9" w:rsidRDefault="00E905CE" w:rsidP="00C41313">
            <w:pPr>
              <w:pStyle w:val="13"/>
              <w:ind w:firstLineChars="0" w:firstLine="0"/>
              <w:jc w:val="right"/>
              <w:rPr>
                <w:sz w:val="21"/>
                <w:szCs w:val="21"/>
              </w:rPr>
            </w:pPr>
            <w:r w:rsidRPr="005472F9">
              <w:rPr>
                <w:sz w:val="21"/>
                <w:szCs w:val="21"/>
              </w:rPr>
              <w:t>1.20%</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56F0F" w14:textId="77777777" w:rsidR="00E905CE" w:rsidRPr="005472F9" w:rsidRDefault="00E905CE" w:rsidP="00C41313">
            <w:pPr>
              <w:pStyle w:val="13"/>
              <w:ind w:firstLineChars="0" w:firstLine="0"/>
              <w:jc w:val="right"/>
              <w:rPr>
                <w:sz w:val="21"/>
                <w:szCs w:val="21"/>
              </w:rPr>
            </w:pPr>
            <w:r w:rsidRPr="005472F9">
              <w:rPr>
                <w:sz w:val="21"/>
                <w:szCs w:val="21"/>
              </w:rPr>
              <w:t>0.60%</w:t>
            </w:r>
          </w:p>
        </w:tc>
        <w:tc>
          <w:tcPr>
            <w:tcW w:w="8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26758" w14:textId="77777777" w:rsidR="00E905CE" w:rsidRPr="005472F9" w:rsidRDefault="00E905CE" w:rsidP="00C41313">
            <w:pPr>
              <w:pStyle w:val="13"/>
              <w:ind w:firstLineChars="0" w:firstLine="0"/>
              <w:jc w:val="right"/>
              <w:rPr>
                <w:sz w:val="21"/>
                <w:szCs w:val="21"/>
              </w:rPr>
            </w:pPr>
            <w:r w:rsidRPr="005472F9">
              <w:rPr>
                <w:sz w:val="21"/>
                <w:szCs w:val="21"/>
              </w:rPr>
              <w:t>0.00%</w:t>
            </w:r>
          </w:p>
        </w:tc>
        <w:tc>
          <w:tcPr>
            <w:tcW w:w="8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6D16" w14:textId="77777777" w:rsidR="00E905CE" w:rsidRPr="005472F9" w:rsidRDefault="00E905CE" w:rsidP="00C41313">
            <w:pPr>
              <w:pStyle w:val="13"/>
              <w:ind w:firstLineChars="0" w:firstLine="0"/>
              <w:jc w:val="right"/>
              <w:rPr>
                <w:sz w:val="21"/>
                <w:szCs w:val="21"/>
              </w:rPr>
            </w:pPr>
            <w:r w:rsidRPr="005472F9">
              <w:rPr>
                <w:sz w:val="21"/>
                <w:szCs w:val="21"/>
              </w:rPr>
              <w:t>-0.60%</w:t>
            </w:r>
          </w:p>
        </w:tc>
        <w:tc>
          <w:tcPr>
            <w:tcW w:w="8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CE830" w14:textId="77777777" w:rsidR="00E905CE" w:rsidRPr="005472F9" w:rsidRDefault="00E905CE" w:rsidP="00C41313">
            <w:pPr>
              <w:pStyle w:val="13"/>
              <w:ind w:firstLineChars="0" w:firstLine="0"/>
              <w:jc w:val="right"/>
              <w:rPr>
                <w:sz w:val="21"/>
                <w:szCs w:val="21"/>
              </w:rPr>
            </w:pPr>
            <w:r w:rsidRPr="005472F9">
              <w:rPr>
                <w:sz w:val="21"/>
                <w:szCs w:val="21"/>
              </w:rPr>
              <w:t>-1.20%</w:t>
            </w:r>
          </w:p>
        </w:tc>
      </w:tr>
      <w:tr w:rsidR="00E905CE" w:rsidRPr="005472F9" w14:paraId="65DFBE10" w14:textId="77777777" w:rsidTr="005472F9">
        <w:trPr>
          <w:trHeight w:val="270"/>
        </w:trPr>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BD6B4" w14:textId="77777777" w:rsidR="00E905CE" w:rsidRPr="005472F9" w:rsidRDefault="00E905CE" w:rsidP="00C41313">
            <w:pPr>
              <w:pStyle w:val="13"/>
              <w:ind w:firstLineChars="0" w:firstLine="0"/>
              <w:rPr>
                <w:sz w:val="21"/>
                <w:szCs w:val="21"/>
              </w:rPr>
            </w:pPr>
            <w:r w:rsidRPr="005472F9">
              <w:rPr>
                <w:sz w:val="21"/>
                <w:szCs w:val="21"/>
              </w:rPr>
              <w:t>日常费用</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89772" w14:textId="77777777" w:rsidR="00E905CE" w:rsidRPr="005472F9" w:rsidRDefault="00E905CE" w:rsidP="00C41313">
            <w:pPr>
              <w:pStyle w:val="13"/>
              <w:ind w:firstLineChars="0" w:firstLine="0"/>
              <w:jc w:val="right"/>
              <w:rPr>
                <w:sz w:val="21"/>
                <w:szCs w:val="21"/>
              </w:rPr>
            </w:pPr>
            <w:r w:rsidRPr="005472F9">
              <w:rPr>
                <w:sz w:val="21"/>
                <w:szCs w:val="21"/>
              </w:rPr>
              <w:t>0.77%</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6EB5F" w14:textId="77777777" w:rsidR="00E905CE" w:rsidRPr="005472F9" w:rsidRDefault="00E905CE" w:rsidP="00C41313">
            <w:pPr>
              <w:pStyle w:val="13"/>
              <w:ind w:firstLineChars="0" w:firstLine="0"/>
              <w:jc w:val="right"/>
              <w:rPr>
                <w:sz w:val="21"/>
                <w:szCs w:val="21"/>
              </w:rPr>
            </w:pPr>
            <w:r w:rsidRPr="005472F9">
              <w:rPr>
                <w:sz w:val="21"/>
                <w:szCs w:val="21"/>
              </w:rPr>
              <w:t>0.38%</w:t>
            </w:r>
          </w:p>
        </w:tc>
        <w:tc>
          <w:tcPr>
            <w:tcW w:w="8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07833" w14:textId="77777777" w:rsidR="00E905CE" w:rsidRPr="005472F9" w:rsidRDefault="00E905CE" w:rsidP="00C41313">
            <w:pPr>
              <w:pStyle w:val="13"/>
              <w:ind w:firstLineChars="0" w:firstLine="0"/>
              <w:jc w:val="right"/>
              <w:rPr>
                <w:sz w:val="21"/>
                <w:szCs w:val="21"/>
              </w:rPr>
            </w:pPr>
            <w:r w:rsidRPr="005472F9">
              <w:rPr>
                <w:sz w:val="21"/>
                <w:szCs w:val="21"/>
              </w:rPr>
              <w:t>0.00%</w:t>
            </w:r>
          </w:p>
        </w:tc>
        <w:tc>
          <w:tcPr>
            <w:tcW w:w="8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00A75" w14:textId="77777777" w:rsidR="00E905CE" w:rsidRPr="005472F9" w:rsidRDefault="00E905CE" w:rsidP="00C41313">
            <w:pPr>
              <w:pStyle w:val="13"/>
              <w:ind w:firstLineChars="0" w:firstLine="0"/>
              <w:jc w:val="right"/>
              <w:rPr>
                <w:sz w:val="21"/>
                <w:szCs w:val="21"/>
              </w:rPr>
            </w:pPr>
            <w:r w:rsidRPr="005472F9">
              <w:rPr>
                <w:sz w:val="21"/>
                <w:szCs w:val="21"/>
              </w:rPr>
              <w:t>-0.38%</w:t>
            </w:r>
          </w:p>
        </w:tc>
        <w:tc>
          <w:tcPr>
            <w:tcW w:w="8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DA62" w14:textId="77777777" w:rsidR="00E905CE" w:rsidRPr="005472F9" w:rsidRDefault="00E905CE" w:rsidP="00C41313">
            <w:pPr>
              <w:pStyle w:val="13"/>
              <w:ind w:firstLineChars="0" w:firstLine="0"/>
              <w:jc w:val="right"/>
              <w:rPr>
                <w:sz w:val="21"/>
                <w:szCs w:val="21"/>
              </w:rPr>
            </w:pPr>
            <w:r w:rsidRPr="005472F9">
              <w:rPr>
                <w:sz w:val="21"/>
                <w:szCs w:val="21"/>
              </w:rPr>
              <w:t>-0.77%</w:t>
            </w:r>
          </w:p>
        </w:tc>
      </w:tr>
      <w:tr w:rsidR="00E905CE" w:rsidRPr="005472F9" w14:paraId="54C9F0EE" w14:textId="77777777" w:rsidTr="005472F9">
        <w:trPr>
          <w:trHeight w:val="270"/>
        </w:trPr>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B4B32" w14:textId="77777777" w:rsidR="00E905CE" w:rsidRPr="005472F9" w:rsidRDefault="00E905CE" w:rsidP="00C41313">
            <w:pPr>
              <w:pStyle w:val="13"/>
              <w:ind w:firstLineChars="0" w:firstLine="0"/>
              <w:rPr>
                <w:sz w:val="21"/>
                <w:szCs w:val="21"/>
              </w:rPr>
            </w:pPr>
            <w:r w:rsidRPr="005472F9">
              <w:rPr>
                <w:sz w:val="21"/>
                <w:szCs w:val="21"/>
              </w:rPr>
              <w:t>折现率</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9FC6" w14:textId="77777777" w:rsidR="00E905CE" w:rsidRPr="005472F9" w:rsidRDefault="00E905CE" w:rsidP="00C41313">
            <w:pPr>
              <w:pStyle w:val="13"/>
              <w:ind w:firstLineChars="0" w:firstLine="0"/>
              <w:jc w:val="right"/>
              <w:rPr>
                <w:sz w:val="21"/>
                <w:szCs w:val="21"/>
              </w:rPr>
            </w:pPr>
            <w:r w:rsidRPr="005472F9">
              <w:rPr>
                <w:sz w:val="21"/>
                <w:szCs w:val="21"/>
              </w:rPr>
              <w:t>9.18%</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E23E7" w14:textId="77777777" w:rsidR="00E905CE" w:rsidRPr="005472F9" w:rsidRDefault="00E905CE" w:rsidP="00C41313">
            <w:pPr>
              <w:pStyle w:val="13"/>
              <w:ind w:firstLineChars="0" w:firstLine="0"/>
              <w:jc w:val="right"/>
              <w:rPr>
                <w:sz w:val="21"/>
                <w:szCs w:val="21"/>
              </w:rPr>
            </w:pPr>
            <w:r w:rsidRPr="005472F9">
              <w:rPr>
                <w:sz w:val="21"/>
                <w:szCs w:val="21"/>
              </w:rPr>
              <w:t>4.42%</w:t>
            </w:r>
          </w:p>
        </w:tc>
        <w:tc>
          <w:tcPr>
            <w:tcW w:w="8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43EDD" w14:textId="77777777" w:rsidR="00E905CE" w:rsidRPr="005472F9" w:rsidRDefault="00E905CE" w:rsidP="00C41313">
            <w:pPr>
              <w:pStyle w:val="13"/>
              <w:ind w:firstLineChars="0" w:firstLine="0"/>
              <w:jc w:val="right"/>
              <w:rPr>
                <w:sz w:val="21"/>
                <w:szCs w:val="21"/>
              </w:rPr>
            </w:pPr>
            <w:r w:rsidRPr="005472F9">
              <w:rPr>
                <w:sz w:val="21"/>
                <w:szCs w:val="21"/>
              </w:rPr>
              <w:t>0.00%</w:t>
            </w:r>
          </w:p>
        </w:tc>
        <w:tc>
          <w:tcPr>
            <w:tcW w:w="8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C9E57" w14:textId="77777777" w:rsidR="00E905CE" w:rsidRPr="005472F9" w:rsidRDefault="00E905CE" w:rsidP="00C41313">
            <w:pPr>
              <w:pStyle w:val="13"/>
              <w:ind w:firstLineChars="0" w:firstLine="0"/>
              <w:jc w:val="right"/>
              <w:rPr>
                <w:sz w:val="21"/>
                <w:szCs w:val="21"/>
              </w:rPr>
            </w:pPr>
            <w:r w:rsidRPr="005472F9">
              <w:rPr>
                <w:sz w:val="21"/>
                <w:szCs w:val="21"/>
              </w:rPr>
              <w:t>-4.10%</w:t>
            </w:r>
          </w:p>
        </w:tc>
        <w:tc>
          <w:tcPr>
            <w:tcW w:w="8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36BC3" w14:textId="77777777" w:rsidR="00E905CE" w:rsidRPr="005472F9" w:rsidRDefault="00E905CE" w:rsidP="00C41313">
            <w:pPr>
              <w:pStyle w:val="13"/>
              <w:ind w:firstLineChars="0" w:firstLine="0"/>
              <w:jc w:val="right"/>
              <w:rPr>
                <w:sz w:val="21"/>
                <w:szCs w:val="21"/>
              </w:rPr>
            </w:pPr>
            <w:r w:rsidRPr="005472F9">
              <w:rPr>
                <w:sz w:val="21"/>
                <w:szCs w:val="21"/>
              </w:rPr>
              <w:t>-7.92%</w:t>
            </w:r>
          </w:p>
        </w:tc>
      </w:tr>
    </w:tbl>
    <w:p w14:paraId="622CB32D" w14:textId="77777777" w:rsidR="00E905CE" w:rsidRDefault="00E905CE" w:rsidP="00E905CE">
      <w:pPr>
        <w:pStyle w:val="13"/>
      </w:pPr>
    </w:p>
    <w:tbl>
      <w:tblPr>
        <w:tblW w:w="5000" w:type="pct"/>
        <w:tblLook w:val="04A0" w:firstRow="1" w:lastRow="0" w:firstColumn="1" w:lastColumn="0" w:noHBand="0" w:noVBand="1"/>
      </w:tblPr>
      <w:tblGrid>
        <w:gridCol w:w="1680"/>
        <w:gridCol w:w="1552"/>
        <w:gridCol w:w="1374"/>
        <w:gridCol w:w="1374"/>
        <w:gridCol w:w="1374"/>
        <w:gridCol w:w="1376"/>
      </w:tblGrid>
      <w:tr w:rsidR="00E905CE" w:rsidRPr="005472F9" w14:paraId="7C5DC1F8" w14:textId="77777777" w:rsidTr="005472F9">
        <w:trPr>
          <w:trHeight w:val="270"/>
        </w:trPr>
        <w:tc>
          <w:tcPr>
            <w:tcW w:w="5000" w:type="pct"/>
            <w:gridSpan w:val="6"/>
            <w:tcBorders>
              <w:top w:val="nil"/>
              <w:left w:val="nil"/>
              <w:bottom w:val="single" w:sz="4" w:space="0" w:color="auto"/>
              <w:right w:val="nil"/>
            </w:tcBorders>
            <w:shd w:val="clear" w:color="auto" w:fill="auto"/>
            <w:noWrap/>
            <w:vAlign w:val="center"/>
            <w:hideMark/>
          </w:tcPr>
          <w:p w14:paraId="67E2A195" w14:textId="77777777" w:rsidR="00E905CE" w:rsidRPr="005472F9" w:rsidRDefault="00E905CE" w:rsidP="00C41313">
            <w:pPr>
              <w:pStyle w:val="13"/>
              <w:ind w:firstLineChars="0" w:firstLine="0"/>
              <w:jc w:val="center"/>
              <w:rPr>
                <w:sz w:val="21"/>
                <w:szCs w:val="21"/>
              </w:rPr>
            </w:pPr>
            <w:r w:rsidRPr="005472F9">
              <w:rPr>
                <w:sz w:val="21"/>
                <w:szCs w:val="21"/>
              </w:rPr>
              <w:t>各参数的敏感性系数</w:t>
            </w:r>
          </w:p>
        </w:tc>
      </w:tr>
      <w:tr w:rsidR="00E905CE" w:rsidRPr="005472F9" w14:paraId="63DAC7F0" w14:textId="77777777" w:rsidTr="005472F9">
        <w:trPr>
          <w:trHeight w:val="270"/>
        </w:trPr>
        <w:tc>
          <w:tcPr>
            <w:tcW w:w="962" w:type="pc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33E73610" w14:textId="77777777" w:rsidR="00E905CE" w:rsidRPr="005472F9" w:rsidRDefault="00E905CE" w:rsidP="00C41313">
            <w:pPr>
              <w:pStyle w:val="13"/>
              <w:ind w:firstLineChars="0" w:firstLine="0"/>
              <w:rPr>
                <w:sz w:val="21"/>
                <w:szCs w:val="21"/>
              </w:rPr>
            </w:pP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1DE1A" w14:textId="77777777" w:rsidR="00E905CE" w:rsidRPr="005472F9" w:rsidRDefault="00E905CE" w:rsidP="00C41313">
            <w:pPr>
              <w:pStyle w:val="13"/>
              <w:ind w:firstLineChars="0" w:firstLine="0"/>
              <w:jc w:val="right"/>
              <w:rPr>
                <w:sz w:val="21"/>
                <w:szCs w:val="21"/>
              </w:rPr>
            </w:pPr>
            <w:r w:rsidRPr="005472F9">
              <w:rPr>
                <w:sz w:val="21"/>
                <w:szCs w:val="21"/>
              </w:rPr>
              <w:t>-10%</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26090" w14:textId="77777777" w:rsidR="00E905CE" w:rsidRPr="005472F9" w:rsidRDefault="00E905CE" w:rsidP="00C41313">
            <w:pPr>
              <w:pStyle w:val="13"/>
              <w:ind w:firstLineChars="0" w:firstLine="0"/>
              <w:jc w:val="right"/>
              <w:rPr>
                <w:sz w:val="21"/>
                <w:szCs w:val="21"/>
              </w:rPr>
            </w:pPr>
            <w:r w:rsidRPr="005472F9">
              <w:rPr>
                <w:sz w:val="21"/>
                <w:szCs w:val="21"/>
              </w:rPr>
              <w:t>-5%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F5B57" w14:textId="77777777" w:rsidR="00E905CE" w:rsidRPr="005472F9" w:rsidRDefault="00E905CE" w:rsidP="00C41313">
            <w:pPr>
              <w:pStyle w:val="13"/>
              <w:ind w:firstLineChars="0" w:firstLine="0"/>
              <w:jc w:val="right"/>
              <w:rPr>
                <w:sz w:val="21"/>
                <w:szCs w:val="21"/>
              </w:rPr>
            </w:pPr>
            <w:r w:rsidRPr="005472F9">
              <w:rPr>
                <w:sz w:val="21"/>
                <w:szCs w:val="21"/>
              </w:rPr>
              <w:t>0%</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FE927" w14:textId="77777777" w:rsidR="00E905CE" w:rsidRPr="005472F9" w:rsidRDefault="00E905CE" w:rsidP="00C41313">
            <w:pPr>
              <w:pStyle w:val="13"/>
              <w:ind w:firstLineChars="0" w:firstLine="0"/>
              <w:jc w:val="right"/>
              <w:rPr>
                <w:sz w:val="21"/>
                <w:szCs w:val="21"/>
              </w:rPr>
            </w:pPr>
            <w:r w:rsidRPr="005472F9">
              <w:rPr>
                <w:sz w:val="21"/>
                <w:szCs w:val="21"/>
              </w:rPr>
              <w:t>5%</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0611E" w14:textId="77777777" w:rsidR="00E905CE" w:rsidRPr="005472F9" w:rsidRDefault="00E905CE" w:rsidP="00C41313">
            <w:pPr>
              <w:pStyle w:val="13"/>
              <w:ind w:firstLineChars="0" w:firstLine="0"/>
              <w:jc w:val="right"/>
              <w:rPr>
                <w:sz w:val="21"/>
                <w:szCs w:val="21"/>
              </w:rPr>
            </w:pPr>
            <w:r w:rsidRPr="005472F9">
              <w:rPr>
                <w:sz w:val="21"/>
                <w:szCs w:val="21"/>
              </w:rPr>
              <w:t>10%</w:t>
            </w:r>
          </w:p>
        </w:tc>
      </w:tr>
      <w:tr w:rsidR="00E905CE" w:rsidRPr="005472F9" w14:paraId="10AF1B8C" w14:textId="77777777" w:rsidTr="005472F9">
        <w:trPr>
          <w:trHeight w:val="270"/>
        </w:trPr>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52EC2" w14:textId="77777777" w:rsidR="00E905CE" w:rsidRPr="005472F9" w:rsidRDefault="00E905CE" w:rsidP="00C41313">
            <w:pPr>
              <w:pStyle w:val="13"/>
              <w:ind w:firstLineChars="0" w:firstLine="0"/>
              <w:rPr>
                <w:sz w:val="21"/>
                <w:szCs w:val="21"/>
              </w:rPr>
            </w:pPr>
            <w:r w:rsidRPr="005472F9">
              <w:rPr>
                <w:sz w:val="21"/>
                <w:szCs w:val="21"/>
              </w:rPr>
              <w:t>租金</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FA9E3" w14:textId="77777777" w:rsidR="00E905CE" w:rsidRPr="005472F9" w:rsidRDefault="00E905CE" w:rsidP="00C41313">
            <w:pPr>
              <w:pStyle w:val="13"/>
              <w:ind w:firstLineChars="0" w:firstLine="0"/>
              <w:jc w:val="right"/>
              <w:rPr>
                <w:sz w:val="21"/>
                <w:szCs w:val="21"/>
              </w:rPr>
            </w:pPr>
            <w:r w:rsidRPr="005472F9">
              <w:rPr>
                <w:sz w:val="21"/>
                <w:szCs w:val="21"/>
              </w:rPr>
              <w:t>107.69%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52209" w14:textId="77777777" w:rsidR="00E905CE" w:rsidRPr="005472F9" w:rsidRDefault="00E905CE" w:rsidP="00C41313">
            <w:pPr>
              <w:pStyle w:val="13"/>
              <w:ind w:firstLineChars="0" w:firstLine="0"/>
              <w:jc w:val="right"/>
              <w:rPr>
                <w:sz w:val="21"/>
                <w:szCs w:val="21"/>
              </w:rPr>
            </w:pPr>
            <w:r w:rsidRPr="005472F9">
              <w:rPr>
                <w:sz w:val="21"/>
                <w:szCs w:val="21"/>
              </w:rPr>
              <w:t>107.69%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7926E" w14:textId="77777777" w:rsidR="00E905CE" w:rsidRPr="005472F9" w:rsidRDefault="00E905CE" w:rsidP="00C41313">
            <w:pPr>
              <w:pStyle w:val="13"/>
              <w:ind w:firstLineChars="0" w:firstLine="0"/>
              <w:jc w:val="right"/>
              <w:rPr>
                <w:sz w:val="21"/>
                <w:szCs w:val="21"/>
              </w:rPr>
            </w:pPr>
            <w:r w:rsidRPr="005472F9">
              <w:rPr>
                <w:sz w:val="21"/>
                <w:szCs w:val="21"/>
              </w:rPr>
              <w:t>-</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953AA" w14:textId="77777777" w:rsidR="00E905CE" w:rsidRPr="005472F9" w:rsidRDefault="00E905CE" w:rsidP="00C41313">
            <w:pPr>
              <w:pStyle w:val="13"/>
              <w:ind w:firstLineChars="0" w:firstLine="0"/>
              <w:jc w:val="right"/>
              <w:rPr>
                <w:sz w:val="21"/>
                <w:szCs w:val="21"/>
              </w:rPr>
            </w:pPr>
            <w:r w:rsidRPr="005472F9">
              <w:rPr>
                <w:sz w:val="21"/>
                <w:szCs w:val="21"/>
              </w:rPr>
              <w:t>107.69%</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B6218" w14:textId="77777777" w:rsidR="00E905CE" w:rsidRPr="005472F9" w:rsidRDefault="00E905CE" w:rsidP="00C41313">
            <w:pPr>
              <w:pStyle w:val="13"/>
              <w:ind w:firstLineChars="0" w:firstLine="0"/>
              <w:jc w:val="right"/>
              <w:rPr>
                <w:sz w:val="21"/>
                <w:szCs w:val="21"/>
              </w:rPr>
            </w:pPr>
            <w:r w:rsidRPr="005472F9">
              <w:rPr>
                <w:sz w:val="21"/>
                <w:szCs w:val="21"/>
              </w:rPr>
              <w:t>107.69%</w:t>
            </w:r>
          </w:p>
        </w:tc>
      </w:tr>
      <w:tr w:rsidR="00E905CE" w:rsidRPr="005472F9" w14:paraId="0FEB6EC3" w14:textId="77777777" w:rsidTr="005472F9">
        <w:trPr>
          <w:trHeight w:val="270"/>
        </w:trPr>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081C2" w14:textId="77777777" w:rsidR="00E905CE" w:rsidRPr="005472F9" w:rsidRDefault="00E905CE" w:rsidP="00C41313">
            <w:pPr>
              <w:pStyle w:val="13"/>
              <w:ind w:firstLineChars="0" w:firstLine="0"/>
              <w:rPr>
                <w:sz w:val="21"/>
                <w:szCs w:val="21"/>
              </w:rPr>
            </w:pPr>
            <w:r w:rsidRPr="005472F9">
              <w:rPr>
                <w:sz w:val="21"/>
                <w:szCs w:val="21"/>
              </w:rPr>
              <w:t>空置率</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EB648" w14:textId="77777777" w:rsidR="00E905CE" w:rsidRPr="005472F9" w:rsidRDefault="00E905CE" w:rsidP="00C41313">
            <w:pPr>
              <w:pStyle w:val="13"/>
              <w:ind w:firstLineChars="0" w:firstLine="0"/>
              <w:jc w:val="right"/>
              <w:rPr>
                <w:sz w:val="21"/>
                <w:szCs w:val="21"/>
              </w:rPr>
            </w:pPr>
            <w:r w:rsidRPr="005472F9">
              <w:rPr>
                <w:sz w:val="21"/>
                <w:szCs w:val="21"/>
              </w:rPr>
              <w:t>-11.97%</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3DAF3" w14:textId="77777777" w:rsidR="00E905CE" w:rsidRPr="005472F9" w:rsidRDefault="00E905CE" w:rsidP="00C41313">
            <w:pPr>
              <w:pStyle w:val="13"/>
              <w:ind w:firstLineChars="0" w:firstLine="0"/>
              <w:jc w:val="right"/>
              <w:rPr>
                <w:sz w:val="21"/>
                <w:szCs w:val="21"/>
              </w:rPr>
            </w:pPr>
            <w:r w:rsidRPr="005472F9">
              <w:rPr>
                <w:sz w:val="21"/>
                <w:szCs w:val="21"/>
              </w:rPr>
              <w:t>-11.97%</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35A3F" w14:textId="77777777" w:rsidR="00E905CE" w:rsidRPr="005472F9" w:rsidRDefault="00E905CE" w:rsidP="00C41313">
            <w:pPr>
              <w:pStyle w:val="13"/>
              <w:ind w:firstLineChars="0" w:firstLine="0"/>
              <w:jc w:val="right"/>
              <w:rPr>
                <w:sz w:val="21"/>
                <w:szCs w:val="21"/>
              </w:rPr>
            </w:pPr>
            <w:r w:rsidRPr="005472F9">
              <w:rPr>
                <w:sz w:val="21"/>
                <w:szCs w:val="21"/>
              </w:rPr>
              <w:t>-</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DEAE" w14:textId="77777777" w:rsidR="00E905CE" w:rsidRPr="005472F9" w:rsidRDefault="00E905CE" w:rsidP="00C41313">
            <w:pPr>
              <w:pStyle w:val="13"/>
              <w:ind w:firstLineChars="0" w:firstLine="0"/>
              <w:jc w:val="right"/>
              <w:rPr>
                <w:sz w:val="21"/>
                <w:szCs w:val="21"/>
              </w:rPr>
            </w:pPr>
            <w:r w:rsidRPr="005472F9">
              <w:rPr>
                <w:sz w:val="21"/>
                <w:szCs w:val="21"/>
              </w:rPr>
              <w:t>-11.97%</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0911A" w14:textId="77777777" w:rsidR="00E905CE" w:rsidRPr="005472F9" w:rsidRDefault="00E905CE" w:rsidP="00C41313">
            <w:pPr>
              <w:pStyle w:val="13"/>
              <w:ind w:firstLineChars="0" w:firstLine="0"/>
              <w:jc w:val="right"/>
              <w:rPr>
                <w:sz w:val="21"/>
                <w:szCs w:val="21"/>
              </w:rPr>
            </w:pPr>
            <w:r w:rsidRPr="005472F9">
              <w:rPr>
                <w:sz w:val="21"/>
                <w:szCs w:val="21"/>
              </w:rPr>
              <w:t>-11.97%</w:t>
            </w:r>
          </w:p>
        </w:tc>
      </w:tr>
      <w:tr w:rsidR="00E905CE" w:rsidRPr="005472F9" w14:paraId="512FE101" w14:textId="77777777" w:rsidTr="005472F9">
        <w:trPr>
          <w:trHeight w:val="270"/>
        </w:trPr>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4D9EC" w14:textId="77777777" w:rsidR="00E905CE" w:rsidRPr="005472F9" w:rsidRDefault="00E905CE" w:rsidP="00C41313">
            <w:pPr>
              <w:pStyle w:val="13"/>
              <w:ind w:firstLineChars="0" w:firstLine="0"/>
              <w:rPr>
                <w:sz w:val="21"/>
                <w:szCs w:val="21"/>
              </w:rPr>
            </w:pPr>
            <w:r w:rsidRPr="005472F9">
              <w:rPr>
                <w:sz w:val="21"/>
                <w:szCs w:val="21"/>
              </w:rPr>
              <w:t>日常费用</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91D96" w14:textId="77777777" w:rsidR="00E905CE" w:rsidRPr="005472F9" w:rsidRDefault="00E905CE" w:rsidP="00C41313">
            <w:pPr>
              <w:pStyle w:val="13"/>
              <w:ind w:firstLineChars="0" w:firstLine="0"/>
              <w:jc w:val="right"/>
              <w:rPr>
                <w:sz w:val="21"/>
                <w:szCs w:val="21"/>
              </w:rPr>
            </w:pPr>
            <w:r w:rsidRPr="005472F9">
              <w:rPr>
                <w:sz w:val="21"/>
                <w:szCs w:val="21"/>
              </w:rPr>
              <w:t>-7.69%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0B7B8" w14:textId="77777777" w:rsidR="00E905CE" w:rsidRPr="005472F9" w:rsidRDefault="00E905CE" w:rsidP="00C41313">
            <w:pPr>
              <w:pStyle w:val="13"/>
              <w:ind w:firstLineChars="0" w:firstLine="0"/>
              <w:jc w:val="right"/>
              <w:rPr>
                <w:sz w:val="21"/>
                <w:szCs w:val="21"/>
              </w:rPr>
            </w:pPr>
            <w:r w:rsidRPr="005472F9">
              <w:rPr>
                <w:sz w:val="21"/>
                <w:szCs w:val="21"/>
              </w:rPr>
              <w:t>-7.69%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4D879" w14:textId="77777777" w:rsidR="00E905CE" w:rsidRPr="005472F9" w:rsidRDefault="00E905CE" w:rsidP="00C41313">
            <w:pPr>
              <w:pStyle w:val="13"/>
              <w:ind w:firstLineChars="0" w:firstLine="0"/>
              <w:jc w:val="right"/>
              <w:rPr>
                <w:sz w:val="21"/>
                <w:szCs w:val="21"/>
              </w:rPr>
            </w:pPr>
            <w:r w:rsidRPr="005472F9">
              <w:rPr>
                <w:sz w:val="21"/>
                <w:szCs w:val="21"/>
              </w:rPr>
              <w:t>-</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1707F" w14:textId="77777777" w:rsidR="00E905CE" w:rsidRPr="005472F9" w:rsidRDefault="00E905CE" w:rsidP="00C41313">
            <w:pPr>
              <w:pStyle w:val="13"/>
              <w:ind w:firstLineChars="0" w:firstLine="0"/>
              <w:jc w:val="right"/>
              <w:rPr>
                <w:sz w:val="21"/>
                <w:szCs w:val="21"/>
              </w:rPr>
            </w:pPr>
            <w:r w:rsidRPr="005472F9">
              <w:rPr>
                <w:sz w:val="21"/>
                <w:szCs w:val="21"/>
              </w:rPr>
              <w:t>-7.69%</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5B079" w14:textId="77777777" w:rsidR="00E905CE" w:rsidRPr="005472F9" w:rsidRDefault="00E905CE" w:rsidP="00C41313">
            <w:pPr>
              <w:pStyle w:val="13"/>
              <w:ind w:firstLineChars="0" w:firstLine="0"/>
              <w:jc w:val="right"/>
              <w:rPr>
                <w:sz w:val="21"/>
                <w:szCs w:val="21"/>
              </w:rPr>
            </w:pPr>
            <w:r w:rsidRPr="005472F9">
              <w:rPr>
                <w:sz w:val="21"/>
                <w:szCs w:val="21"/>
              </w:rPr>
              <w:t>-7.69%</w:t>
            </w:r>
          </w:p>
        </w:tc>
      </w:tr>
      <w:tr w:rsidR="00E905CE" w:rsidRPr="005472F9" w14:paraId="25D6F3F5" w14:textId="77777777" w:rsidTr="005472F9">
        <w:trPr>
          <w:trHeight w:val="270"/>
        </w:trPr>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7D568" w14:textId="77777777" w:rsidR="00E905CE" w:rsidRPr="005472F9" w:rsidRDefault="00E905CE" w:rsidP="00C41313">
            <w:pPr>
              <w:pStyle w:val="13"/>
              <w:ind w:firstLineChars="0" w:firstLine="0"/>
              <w:rPr>
                <w:sz w:val="21"/>
                <w:szCs w:val="21"/>
              </w:rPr>
            </w:pPr>
            <w:r w:rsidRPr="005472F9">
              <w:rPr>
                <w:sz w:val="21"/>
                <w:szCs w:val="21"/>
              </w:rPr>
              <w:t>折现率</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2BBCA" w14:textId="77777777" w:rsidR="00E905CE" w:rsidRPr="005472F9" w:rsidRDefault="00E905CE" w:rsidP="00C41313">
            <w:pPr>
              <w:pStyle w:val="13"/>
              <w:ind w:firstLineChars="0" w:firstLine="0"/>
              <w:jc w:val="right"/>
              <w:rPr>
                <w:sz w:val="21"/>
                <w:szCs w:val="21"/>
              </w:rPr>
            </w:pPr>
            <w:r w:rsidRPr="005472F9">
              <w:rPr>
                <w:sz w:val="21"/>
                <w:szCs w:val="21"/>
              </w:rPr>
              <w:t>-91.84%</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B1962" w14:textId="77777777" w:rsidR="00E905CE" w:rsidRPr="005472F9" w:rsidRDefault="00E905CE" w:rsidP="00C41313">
            <w:pPr>
              <w:pStyle w:val="13"/>
              <w:ind w:firstLineChars="0" w:firstLine="0"/>
              <w:jc w:val="right"/>
              <w:rPr>
                <w:sz w:val="21"/>
                <w:szCs w:val="21"/>
              </w:rPr>
            </w:pPr>
            <w:r w:rsidRPr="005472F9">
              <w:rPr>
                <w:sz w:val="21"/>
                <w:szCs w:val="21"/>
              </w:rPr>
              <w:t>-88.37%</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9BF1B" w14:textId="77777777" w:rsidR="00E905CE" w:rsidRPr="005472F9" w:rsidRDefault="00E905CE" w:rsidP="00C41313">
            <w:pPr>
              <w:pStyle w:val="13"/>
              <w:ind w:firstLineChars="0" w:firstLine="0"/>
              <w:jc w:val="right"/>
              <w:rPr>
                <w:sz w:val="21"/>
                <w:szCs w:val="21"/>
              </w:rPr>
            </w:pPr>
            <w:r w:rsidRPr="005472F9">
              <w:rPr>
                <w:sz w:val="21"/>
                <w:szCs w:val="21"/>
              </w:rPr>
              <w:t>-</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6E57" w14:textId="77777777" w:rsidR="00E905CE" w:rsidRPr="005472F9" w:rsidRDefault="00E905CE" w:rsidP="00C41313">
            <w:pPr>
              <w:pStyle w:val="13"/>
              <w:ind w:firstLineChars="0" w:firstLine="0"/>
              <w:jc w:val="right"/>
              <w:rPr>
                <w:sz w:val="21"/>
                <w:szCs w:val="21"/>
              </w:rPr>
            </w:pPr>
            <w:r w:rsidRPr="005472F9">
              <w:rPr>
                <w:sz w:val="21"/>
                <w:szCs w:val="21"/>
              </w:rPr>
              <w:t>-82.06%</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B913" w14:textId="77777777" w:rsidR="00E905CE" w:rsidRPr="005472F9" w:rsidRDefault="00E905CE" w:rsidP="00C41313">
            <w:pPr>
              <w:pStyle w:val="13"/>
              <w:ind w:firstLineChars="0" w:firstLine="0"/>
              <w:jc w:val="right"/>
              <w:rPr>
                <w:sz w:val="21"/>
                <w:szCs w:val="21"/>
              </w:rPr>
            </w:pPr>
            <w:r w:rsidRPr="005472F9">
              <w:rPr>
                <w:sz w:val="21"/>
                <w:szCs w:val="21"/>
              </w:rPr>
              <w:t>-79.20%</w:t>
            </w:r>
          </w:p>
        </w:tc>
      </w:tr>
    </w:tbl>
    <w:p w14:paraId="4259C09E" w14:textId="77777777" w:rsidR="00E905CE" w:rsidRDefault="00E905CE" w:rsidP="00E905CE">
      <w:pPr>
        <w:pStyle w:val="13"/>
      </w:pPr>
      <w:r>
        <w:rPr>
          <w:rFonts w:hint="eastAsia"/>
        </w:rPr>
        <w:t>从上表中可看出，租金的敏感性系数最大，折现率的敏感性系数次之，空置率和日常费用的敏感性系数较小。因此，将租金和折现率确定为敏感性因素。</w:t>
      </w:r>
    </w:p>
    <w:p w14:paraId="083F333C" w14:textId="501946FF" w:rsidR="00E905CE" w:rsidRDefault="00E905CE" w:rsidP="00E905CE">
      <w:pPr>
        <w:pStyle w:val="13"/>
      </w:pPr>
      <w:r>
        <w:rPr>
          <w:rFonts w:hint="eastAsia"/>
        </w:rPr>
        <w:t>（二）计算敏感性因素变动情况下的评估值取值区间，计算结果如下表：</w:t>
      </w:r>
    </w:p>
    <w:p w14:paraId="444B8318" w14:textId="16245341" w:rsidR="00C34C28" w:rsidRPr="00C34C28" w:rsidRDefault="00C34C28" w:rsidP="00C34C28">
      <w:pPr>
        <w:widowControl/>
        <w:jc w:val="left"/>
        <w:rPr>
          <w:rFonts w:ascii="宋体" w:hAnsi="宋体"/>
          <w:sz w:val="24"/>
          <w:szCs w:val="24"/>
        </w:rPr>
      </w:pPr>
      <w:r>
        <w:br w:type="page"/>
      </w:r>
    </w:p>
    <w:tbl>
      <w:tblPr>
        <w:tblW w:w="8637" w:type="dxa"/>
        <w:tblInd w:w="93" w:type="dxa"/>
        <w:tblLook w:val="04A0" w:firstRow="1" w:lastRow="0" w:firstColumn="1" w:lastColumn="0" w:noHBand="0" w:noVBand="1"/>
      </w:tblPr>
      <w:tblGrid>
        <w:gridCol w:w="757"/>
        <w:gridCol w:w="937"/>
        <w:gridCol w:w="1387"/>
        <w:gridCol w:w="1387"/>
        <w:gridCol w:w="1395"/>
        <w:gridCol w:w="1387"/>
        <w:gridCol w:w="1387"/>
      </w:tblGrid>
      <w:tr w:rsidR="00E905CE" w:rsidRPr="005472F9" w14:paraId="5B2E13F6" w14:textId="77777777" w:rsidTr="005472F9">
        <w:trPr>
          <w:trHeight w:val="615"/>
        </w:trPr>
        <w:tc>
          <w:tcPr>
            <w:tcW w:w="8637" w:type="dxa"/>
            <w:gridSpan w:val="7"/>
            <w:tcBorders>
              <w:top w:val="single" w:sz="4" w:space="0" w:color="FFFFFF"/>
              <w:left w:val="nil"/>
              <w:bottom w:val="single" w:sz="4" w:space="0" w:color="auto"/>
              <w:right w:val="nil"/>
            </w:tcBorders>
            <w:vAlign w:val="center"/>
          </w:tcPr>
          <w:p w14:paraId="7B9D435C" w14:textId="77777777" w:rsidR="00E905CE" w:rsidRPr="005472F9" w:rsidRDefault="00E905CE" w:rsidP="00C41313">
            <w:pPr>
              <w:pStyle w:val="13"/>
              <w:ind w:firstLineChars="0" w:firstLine="0"/>
              <w:jc w:val="center"/>
              <w:rPr>
                <w:sz w:val="21"/>
                <w:szCs w:val="21"/>
              </w:rPr>
            </w:pPr>
            <w:r w:rsidRPr="005472F9">
              <w:rPr>
                <w:sz w:val="21"/>
                <w:szCs w:val="21"/>
              </w:rPr>
              <w:lastRenderedPageBreak/>
              <w:t>各</w:t>
            </w:r>
            <w:r w:rsidRPr="005472F9">
              <w:rPr>
                <w:rFonts w:hint="eastAsia"/>
                <w:sz w:val="21"/>
                <w:szCs w:val="21"/>
              </w:rPr>
              <w:t>敏感性因素</w:t>
            </w:r>
            <w:r w:rsidRPr="005472F9">
              <w:rPr>
                <w:sz w:val="21"/>
                <w:szCs w:val="21"/>
              </w:rPr>
              <w:t>分别变动</w:t>
            </w:r>
            <w:r w:rsidRPr="005472F9">
              <w:rPr>
                <w:rFonts w:hint="eastAsia"/>
                <w:sz w:val="21"/>
                <w:szCs w:val="21"/>
              </w:rPr>
              <w:t>下</w:t>
            </w:r>
            <w:r w:rsidRPr="005472F9">
              <w:rPr>
                <w:sz w:val="21"/>
                <w:szCs w:val="21"/>
              </w:rPr>
              <w:t>的评估值（万元）</w:t>
            </w:r>
          </w:p>
        </w:tc>
      </w:tr>
      <w:tr w:rsidR="00E905CE" w:rsidRPr="005472F9" w14:paraId="3A9CC03D" w14:textId="77777777" w:rsidTr="005472F9">
        <w:trPr>
          <w:trHeight w:val="113"/>
        </w:trPr>
        <w:tc>
          <w:tcPr>
            <w:tcW w:w="1694"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11C0A1CE" w14:textId="77777777" w:rsidR="00E905CE" w:rsidRPr="005472F9" w:rsidRDefault="00E905CE" w:rsidP="00C41313">
            <w:pPr>
              <w:pStyle w:val="13"/>
              <w:ind w:firstLineChars="0" w:firstLine="0"/>
              <w:rPr>
                <w:sz w:val="21"/>
                <w:szCs w:val="21"/>
              </w:rPr>
            </w:pPr>
          </w:p>
        </w:tc>
        <w:tc>
          <w:tcPr>
            <w:tcW w:w="6943" w:type="dxa"/>
            <w:gridSpan w:val="5"/>
            <w:tcBorders>
              <w:top w:val="single" w:sz="4" w:space="0" w:color="auto"/>
              <w:left w:val="single" w:sz="4" w:space="0" w:color="auto"/>
              <w:right w:val="single" w:sz="4" w:space="0" w:color="auto"/>
            </w:tcBorders>
            <w:vAlign w:val="center"/>
          </w:tcPr>
          <w:p w14:paraId="260C22B8" w14:textId="77777777" w:rsidR="00E905CE" w:rsidRPr="005472F9" w:rsidRDefault="00E905CE" w:rsidP="00C41313">
            <w:pPr>
              <w:pStyle w:val="13"/>
              <w:ind w:firstLineChars="0" w:firstLine="0"/>
              <w:jc w:val="center"/>
              <w:rPr>
                <w:sz w:val="21"/>
                <w:szCs w:val="21"/>
              </w:rPr>
            </w:pPr>
            <w:r w:rsidRPr="005472F9">
              <w:rPr>
                <w:sz w:val="21"/>
                <w:szCs w:val="21"/>
              </w:rPr>
              <w:t>折现率</w:t>
            </w:r>
          </w:p>
        </w:tc>
      </w:tr>
      <w:tr w:rsidR="00E905CE" w:rsidRPr="005472F9" w14:paraId="31586360" w14:textId="77777777" w:rsidTr="005472F9">
        <w:trPr>
          <w:trHeight w:val="113"/>
        </w:trPr>
        <w:tc>
          <w:tcPr>
            <w:tcW w:w="1694" w:type="dxa"/>
            <w:gridSpan w:val="2"/>
            <w:vMerge/>
            <w:tcBorders>
              <w:left w:val="single" w:sz="4" w:space="0" w:color="auto"/>
              <w:bottom w:val="single" w:sz="4" w:space="0" w:color="auto"/>
              <w:right w:val="single" w:sz="4" w:space="0" w:color="auto"/>
            </w:tcBorders>
            <w:shd w:val="clear" w:color="auto" w:fill="auto"/>
            <w:noWrap/>
            <w:vAlign w:val="center"/>
            <w:hideMark/>
          </w:tcPr>
          <w:p w14:paraId="2A87C45F" w14:textId="77777777" w:rsidR="00E905CE" w:rsidRPr="005472F9" w:rsidRDefault="00E905CE" w:rsidP="00C41313">
            <w:pPr>
              <w:pStyle w:val="13"/>
              <w:ind w:firstLineChars="0" w:firstLine="0"/>
              <w:rPr>
                <w:sz w:val="21"/>
                <w:szCs w:val="21"/>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52CAE" w14:textId="77777777" w:rsidR="00E905CE" w:rsidRPr="005472F9" w:rsidRDefault="00E905CE" w:rsidP="00C41313">
            <w:pPr>
              <w:pStyle w:val="13"/>
              <w:ind w:firstLineChars="0" w:firstLine="0"/>
              <w:jc w:val="center"/>
              <w:rPr>
                <w:sz w:val="21"/>
                <w:szCs w:val="21"/>
              </w:rPr>
            </w:pPr>
            <w:r w:rsidRPr="005472F9">
              <w:rPr>
                <w:sz w:val="21"/>
                <w:szCs w:val="21"/>
              </w:rPr>
              <w:t>8%</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E394" w14:textId="77777777" w:rsidR="00E905CE" w:rsidRPr="005472F9" w:rsidRDefault="00E905CE" w:rsidP="00C41313">
            <w:pPr>
              <w:pStyle w:val="13"/>
              <w:ind w:firstLineChars="0" w:firstLine="0"/>
              <w:jc w:val="center"/>
              <w:rPr>
                <w:sz w:val="21"/>
                <w:szCs w:val="21"/>
              </w:rPr>
            </w:pPr>
            <w:r w:rsidRPr="005472F9">
              <w:rPr>
                <w:sz w:val="21"/>
                <w:szCs w:val="21"/>
              </w:rPr>
              <w:t>8.5%</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A92D5" w14:textId="77777777" w:rsidR="00E905CE" w:rsidRPr="005472F9" w:rsidRDefault="00E905CE" w:rsidP="00C41313">
            <w:pPr>
              <w:pStyle w:val="13"/>
              <w:ind w:firstLineChars="0" w:firstLine="0"/>
              <w:jc w:val="center"/>
              <w:rPr>
                <w:sz w:val="21"/>
                <w:szCs w:val="21"/>
              </w:rPr>
            </w:pPr>
            <w:r w:rsidRPr="005472F9">
              <w:rPr>
                <w:sz w:val="21"/>
                <w:szCs w:val="21"/>
              </w:rPr>
              <w:t>9%</w:t>
            </w:r>
          </w:p>
        </w:tc>
        <w:tc>
          <w:tcPr>
            <w:tcW w:w="1387" w:type="dxa"/>
            <w:tcBorders>
              <w:top w:val="single" w:sz="4" w:space="0" w:color="auto"/>
              <w:left w:val="single" w:sz="4" w:space="0" w:color="auto"/>
              <w:bottom w:val="single" w:sz="4" w:space="0" w:color="auto"/>
              <w:right w:val="single" w:sz="4" w:space="0" w:color="auto"/>
            </w:tcBorders>
            <w:vAlign w:val="center"/>
          </w:tcPr>
          <w:p w14:paraId="69FFEF0F" w14:textId="77777777" w:rsidR="00E905CE" w:rsidRPr="005472F9" w:rsidRDefault="00E905CE" w:rsidP="00C41313">
            <w:pPr>
              <w:pStyle w:val="13"/>
              <w:ind w:firstLineChars="0" w:firstLine="0"/>
              <w:jc w:val="center"/>
              <w:rPr>
                <w:sz w:val="21"/>
                <w:szCs w:val="21"/>
              </w:rPr>
            </w:pPr>
            <w:r w:rsidRPr="005472F9">
              <w:rPr>
                <w:sz w:val="21"/>
                <w:szCs w:val="21"/>
              </w:rPr>
              <w:t>9.5%</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3120E" w14:textId="77777777" w:rsidR="00E905CE" w:rsidRPr="005472F9" w:rsidRDefault="00E905CE" w:rsidP="00C41313">
            <w:pPr>
              <w:pStyle w:val="13"/>
              <w:ind w:firstLineChars="0" w:firstLine="0"/>
              <w:jc w:val="center"/>
              <w:rPr>
                <w:sz w:val="21"/>
                <w:szCs w:val="21"/>
              </w:rPr>
            </w:pPr>
            <w:r w:rsidRPr="005472F9">
              <w:rPr>
                <w:sz w:val="21"/>
                <w:szCs w:val="21"/>
              </w:rPr>
              <w:t>10%</w:t>
            </w:r>
          </w:p>
        </w:tc>
      </w:tr>
      <w:tr w:rsidR="00E905CE" w:rsidRPr="005472F9" w14:paraId="3C069E4F" w14:textId="77777777" w:rsidTr="005472F9">
        <w:trPr>
          <w:trHeight w:val="113"/>
        </w:trPr>
        <w:tc>
          <w:tcPr>
            <w:tcW w:w="757" w:type="dxa"/>
            <w:vMerge w:val="restart"/>
            <w:tcBorders>
              <w:top w:val="single" w:sz="4" w:space="0" w:color="auto"/>
              <w:left w:val="single" w:sz="4" w:space="0" w:color="auto"/>
              <w:right w:val="single" w:sz="4" w:space="0" w:color="auto"/>
            </w:tcBorders>
            <w:shd w:val="clear" w:color="auto" w:fill="auto"/>
            <w:noWrap/>
            <w:vAlign w:val="center"/>
            <w:hideMark/>
          </w:tcPr>
          <w:p w14:paraId="26E92DDF" w14:textId="77777777" w:rsidR="00E905CE" w:rsidRPr="005472F9" w:rsidRDefault="00E905CE" w:rsidP="00C41313">
            <w:pPr>
              <w:pStyle w:val="13"/>
              <w:ind w:firstLineChars="0" w:firstLine="0"/>
              <w:jc w:val="center"/>
              <w:rPr>
                <w:sz w:val="21"/>
                <w:szCs w:val="21"/>
              </w:rPr>
            </w:pPr>
            <w:r w:rsidRPr="005472F9">
              <w:rPr>
                <w:sz w:val="21"/>
                <w:szCs w:val="21"/>
              </w:rPr>
              <w:t>租金</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18F3D" w14:textId="77777777" w:rsidR="00E905CE" w:rsidRPr="005472F9" w:rsidRDefault="00E905CE" w:rsidP="00C41313">
            <w:pPr>
              <w:pStyle w:val="13"/>
              <w:ind w:firstLineChars="0" w:firstLine="0"/>
              <w:jc w:val="right"/>
              <w:rPr>
                <w:sz w:val="21"/>
                <w:szCs w:val="21"/>
              </w:rPr>
            </w:pPr>
            <w:r w:rsidRPr="005472F9">
              <w:rPr>
                <w:sz w:val="21"/>
                <w:szCs w:val="21"/>
              </w:rPr>
              <w:t>4.5</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FF17" w14:textId="77777777" w:rsidR="00E905CE" w:rsidRPr="005472F9" w:rsidRDefault="00E905CE" w:rsidP="00C41313">
            <w:pPr>
              <w:pStyle w:val="13"/>
              <w:ind w:firstLineChars="0" w:firstLine="0"/>
              <w:jc w:val="right"/>
              <w:rPr>
                <w:sz w:val="21"/>
                <w:szCs w:val="21"/>
              </w:rPr>
            </w:pPr>
            <w:r w:rsidRPr="005472F9">
              <w:rPr>
                <w:sz w:val="21"/>
                <w:szCs w:val="21"/>
              </w:rPr>
              <w:t xml:space="preserve">40,580.68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6C65B" w14:textId="77777777" w:rsidR="00E905CE" w:rsidRPr="005472F9" w:rsidRDefault="00E905CE" w:rsidP="00C41313">
            <w:pPr>
              <w:pStyle w:val="13"/>
              <w:ind w:firstLineChars="0" w:firstLine="0"/>
              <w:jc w:val="right"/>
              <w:rPr>
                <w:sz w:val="21"/>
                <w:szCs w:val="21"/>
              </w:rPr>
            </w:pPr>
            <w:r w:rsidRPr="005472F9">
              <w:rPr>
                <w:sz w:val="21"/>
                <w:szCs w:val="21"/>
              </w:rPr>
              <w:t xml:space="preserve">38,607.15 </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48952" w14:textId="77777777" w:rsidR="00E905CE" w:rsidRPr="005472F9" w:rsidRDefault="00E905CE" w:rsidP="00C41313">
            <w:pPr>
              <w:pStyle w:val="13"/>
              <w:ind w:firstLineChars="0" w:firstLine="0"/>
              <w:jc w:val="right"/>
              <w:rPr>
                <w:sz w:val="21"/>
                <w:szCs w:val="21"/>
              </w:rPr>
            </w:pPr>
            <w:r w:rsidRPr="005472F9">
              <w:rPr>
                <w:sz w:val="21"/>
                <w:szCs w:val="21"/>
              </w:rPr>
              <w:t xml:space="preserve">36,793.19 </w:t>
            </w:r>
          </w:p>
        </w:tc>
        <w:tc>
          <w:tcPr>
            <w:tcW w:w="1387" w:type="dxa"/>
            <w:tcBorders>
              <w:top w:val="single" w:sz="4" w:space="0" w:color="auto"/>
              <w:left w:val="single" w:sz="4" w:space="0" w:color="auto"/>
              <w:bottom w:val="single" w:sz="4" w:space="0" w:color="auto"/>
              <w:right w:val="single" w:sz="4" w:space="0" w:color="auto"/>
            </w:tcBorders>
            <w:vAlign w:val="center"/>
          </w:tcPr>
          <w:p w14:paraId="3374D6CC" w14:textId="77777777" w:rsidR="00E905CE" w:rsidRPr="005472F9" w:rsidRDefault="00E905CE" w:rsidP="00C41313">
            <w:pPr>
              <w:pStyle w:val="13"/>
              <w:ind w:firstLineChars="0" w:firstLine="0"/>
              <w:jc w:val="right"/>
              <w:rPr>
                <w:sz w:val="21"/>
                <w:szCs w:val="21"/>
              </w:rPr>
            </w:pPr>
            <w:r w:rsidRPr="005472F9">
              <w:rPr>
                <w:sz w:val="21"/>
                <w:szCs w:val="21"/>
              </w:rPr>
              <w:t xml:space="preserve">35,122.46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118F1" w14:textId="77777777" w:rsidR="00E905CE" w:rsidRPr="005472F9" w:rsidRDefault="00E905CE" w:rsidP="00C41313">
            <w:pPr>
              <w:pStyle w:val="13"/>
              <w:ind w:firstLineChars="0" w:firstLine="0"/>
              <w:jc w:val="right"/>
              <w:rPr>
                <w:sz w:val="21"/>
                <w:szCs w:val="21"/>
              </w:rPr>
            </w:pPr>
            <w:r w:rsidRPr="005472F9">
              <w:rPr>
                <w:sz w:val="21"/>
                <w:szCs w:val="21"/>
              </w:rPr>
              <w:t xml:space="preserve">33,580.53 </w:t>
            </w:r>
          </w:p>
        </w:tc>
      </w:tr>
      <w:tr w:rsidR="00E905CE" w:rsidRPr="005472F9" w14:paraId="3545A848" w14:textId="77777777" w:rsidTr="005472F9">
        <w:trPr>
          <w:trHeight w:val="113"/>
        </w:trPr>
        <w:tc>
          <w:tcPr>
            <w:tcW w:w="757" w:type="dxa"/>
            <w:vMerge/>
            <w:tcBorders>
              <w:left w:val="single" w:sz="4" w:space="0" w:color="auto"/>
              <w:right w:val="single" w:sz="4" w:space="0" w:color="auto"/>
            </w:tcBorders>
            <w:shd w:val="clear" w:color="auto" w:fill="auto"/>
            <w:noWrap/>
            <w:vAlign w:val="center"/>
            <w:hideMark/>
          </w:tcPr>
          <w:p w14:paraId="64F3FE7C" w14:textId="77777777" w:rsidR="00E905CE" w:rsidRPr="005472F9" w:rsidRDefault="00E905CE" w:rsidP="00C41313">
            <w:pPr>
              <w:pStyle w:val="13"/>
              <w:ind w:firstLineChars="0" w:firstLine="0"/>
              <w:rPr>
                <w:sz w:val="21"/>
                <w:szCs w:val="21"/>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6C751" w14:textId="77777777" w:rsidR="00E905CE" w:rsidRPr="005472F9" w:rsidRDefault="00E905CE" w:rsidP="00C41313">
            <w:pPr>
              <w:pStyle w:val="13"/>
              <w:ind w:firstLineChars="0" w:firstLine="0"/>
              <w:jc w:val="right"/>
              <w:rPr>
                <w:sz w:val="21"/>
                <w:szCs w:val="21"/>
              </w:rPr>
            </w:pPr>
            <w:r w:rsidRPr="005472F9">
              <w:rPr>
                <w:sz w:val="21"/>
                <w:szCs w:val="21"/>
              </w:rPr>
              <w:t xml:space="preserve">4.75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95A53" w14:textId="77777777" w:rsidR="00E905CE" w:rsidRPr="005472F9" w:rsidRDefault="00E905CE" w:rsidP="00C41313">
            <w:pPr>
              <w:pStyle w:val="13"/>
              <w:ind w:firstLineChars="0" w:firstLine="0"/>
              <w:jc w:val="right"/>
              <w:rPr>
                <w:sz w:val="21"/>
                <w:szCs w:val="21"/>
              </w:rPr>
            </w:pPr>
            <w:r w:rsidRPr="005472F9">
              <w:rPr>
                <w:sz w:val="21"/>
                <w:szCs w:val="21"/>
              </w:rPr>
              <w:t xml:space="preserve">43,029.40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AEB35" w14:textId="77777777" w:rsidR="00E905CE" w:rsidRPr="005472F9" w:rsidRDefault="00E905CE" w:rsidP="00C41313">
            <w:pPr>
              <w:pStyle w:val="13"/>
              <w:ind w:firstLineChars="0" w:firstLine="0"/>
              <w:jc w:val="right"/>
              <w:rPr>
                <w:sz w:val="21"/>
                <w:szCs w:val="21"/>
              </w:rPr>
            </w:pPr>
            <w:r w:rsidRPr="005472F9">
              <w:rPr>
                <w:sz w:val="21"/>
                <w:szCs w:val="21"/>
              </w:rPr>
              <w:t xml:space="preserve">40,936.79 </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E2DE9" w14:textId="77777777" w:rsidR="00E905CE" w:rsidRPr="005472F9" w:rsidRDefault="00E905CE" w:rsidP="00C41313">
            <w:pPr>
              <w:pStyle w:val="13"/>
              <w:ind w:firstLineChars="0" w:firstLine="0"/>
              <w:jc w:val="right"/>
              <w:rPr>
                <w:sz w:val="21"/>
                <w:szCs w:val="21"/>
              </w:rPr>
            </w:pPr>
            <w:r w:rsidRPr="005472F9">
              <w:rPr>
                <w:sz w:val="21"/>
                <w:szCs w:val="21"/>
              </w:rPr>
              <w:t xml:space="preserve">39,013.37 </w:t>
            </w:r>
          </w:p>
        </w:tc>
        <w:tc>
          <w:tcPr>
            <w:tcW w:w="1387" w:type="dxa"/>
            <w:tcBorders>
              <w:top w:val="single" w:sz="4" w:space="0" w:color="auto"/>
              <w:left w:val="single" w:sz="4" w:space="0" w:color="auto"/>
              <w:bottom w:val="single" w:sz="4" w:space="0" w:color="auto"/>
              <w:right w:val="single" w:sz="4" w:space="0" w:color="auto"/>
            </w:tcBorders>
            <w:vAlign w:val="center"/>
          </w:tcPr>
          <w:p w14:paraId="277445CC" w14:textId="77777777" w:rsidR="00E905CE" w:rsidRPr="005472F9" w:rsidRDefault="00E905CE" w:rsidP="00C41313">
            <w:pPr>
              <w:pStyle w:val="13"/>
              <w:ind w:firstLineChars="0" w:firstLine="0"/>
              <w:jc w:val="right"/>
              <w:rPr>
                <w:sz w:val="21"/>
                <w:szCs w:val="21"/>
              </w:rPr>
            </w:pPr>
            <w:r w:rsidRPr="005472F9">
              <w:rPr>
                <w:sz w:val="21"/>
                <w:szCs w:val="21"/>
              </w:rPr>
              <w:t xml:space="preserve">37,241.82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6A38" w14:textId="77777777" w:rsidR="00E905CE" w:rsidRPr="005472F9" w:rsidRDefault="00E905CE" w:rsidP="00C41313">
            <w:pPr>
              <w:pStyle w:val="13"/>
              <w:ind w:firstLineChars="0" w:firstLine="0"/>
              <w:jc w:val="right"/>
              <w:rPr>
                <w:sz w:val="21"/>
                <w:szCs w:val="21"/>
              </w:rPr>
            </w:pPr>
            <w:r w:rsidRPr="005472F9">
              <w:rPr>
                <w:sz w:val="21"/>
                <w:szCs w:val="21"/>
              </w:rPr>
              <w:t xml:space="preserve">35,606.85 </w:t>
            </w:r>
          </w:p>
        </w:tc>
      </w:tr>
      <w:tr w:rsidR="00E905CE" w:rsidRPr="005472F9" w14:paraId="5CEB5A84" w14:textId="77777777" w:rsidTr="005472F9">
        <w:trPr>
          <w:trHeight w:val="113"/>
        </w:trPr>
        <w:tc>
          <w:tcPr>
            <w:tcW w:w="757" w:type="dxa"/>
            <w:vMerge/>
            <w:tcBorders>
              <w:left w:val="single" w:sz="4" w:space="0" w:color="auto"/>
              <w:right w:val="single" w:sz="4" w:space="0" w:color="auto"/>
            </w:tcBorders>
            <w:shd w:val="clear" w:color="auto" w:fill="auto"/>
            <w:noWrap/>
            <w:vAlign w:val="center"/>
            <w:hideMark/>
          </w:tcPr>
          <w:p w14:paraId="4C55A600" w14:textId="77777777" w:rsidR="00E905CE" w:rsidRPr="005472F9" w:rsidRDefault="00E905CE" w:rsidP="00C41313">
            <w:pPr>
              <w:pStyle w:val="13"/>
              <w:ind w:firstLineChars="0" w:firstLine="0"/>
              <w:rPr>
                <w:sz w:val="21"/>
                <w:szCs w:val="21"/>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E31A8" w14:textId="77777777" w:rsidR="00E905CE" w:rsidRPr="005472F9" w:rsidRDefault="00E905CE" w:rsidP="00C41313">
            <w:pPr>
              <w:pStyle w:val="13"/>
              <w:ind w:firstLineChars="0" w:firstLine="0"/>
              <w:jc w:val="right"/>
              <w:rPr>
                <w:sz w:val="21"/>
                <w:szCs w:val="21"/>
              </w:rPr>
            </w:pPr>
            <w:r w:rsidRPr="005472F9">
              <w:rPr>
                <w:sz w:val="21"/>
                <w:szCs w:val="21"/>
              </w:rPr>
              <w:t xml:space="preserve">5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3C3D6" w14:textId="77777777" w:rsidR="00E905CE" w:rsidRPr="005472F9" w:rsidRDefault="00E905CE" w:rsidP="00C41313">
            <w:pPr>
              <w:pStyle w:val="13"/>
              <w:ind w:firstLineChars="0" w:firstLine="0"/>
              <w:jc w:val="right"/>
              <w:rPr>
                <w:sz w:val="21"/>
                <w:szCs w:val="21"/>
              </w:rPr>
            </w:pPr>
            <w:r w:rsidRPr="005472F9">
              <w:rPr>
                <w:sz w:val="21"/>
                <w:szCs w:val="21"/>
              </w:rPr>
              <w:t xml:space="preserve">45,478.13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CBF5B" w14:textId="77777777" w:rsidR="00E905CE" w:rsidRPr="005472F9" w:rsidRDefault="00E905CE" w:rsidP="00C41313">
            <w:pPr>
              <w:pStyle w:val="13"/>
              <w:ind w:firstLineChars="0" w:firstLine="0"/>
              <w:jc w:val="right"/>
              <w:rPr>
                <w:sz w:val="21"/>
                <w:szCs w:val="21"/>
              </w:rPr>
            </w:pPr>
            <w:r w:rsidRPr="005472F9">
              <w:rPr>
                <w:sz w:val="21"/>
                <w:szCs w:val="21"/>
              </w:rPr>
              <w:t xml:space="preserve">43,266.43 </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6055D" w14:textId="77777777" w:rsidR="00E905CE" w:rsidRPr="005472F9" w:rsidRDefault="00E905CE" w:rsidP="00C41313">
            <w:pPr>
              <w:pStyle w:val="13"/>
              <w:ind w:firstLineChars="0" w:firstLine="0"/>
              <w:jc w:val="right"/>
              <w:rPr>
                <w:b/>
                <w:bCs/>
                <w:sz w:val="21"/>
                <w:szCs w:val="21"/>
              </w:rPr>
            </w:pPr>
            <w:r w:rsidRPr="005472F9">
              <w:rPr>
                <w:b/>
                <w:bCs/>
                <w:sz w:val="21"/>
                <w:szCs w:val="21"/>
              </w:rPr>
              <w:t xml:space="preserve">41,233.55 </w:t>
            </w:r>
          </w:p>
        </w:tc>
        <w:tc>
          <w:tcPr>
            <w:tcW w:w="1387" w:type="dxa"/>
            <w:tcBorders>
              <w:top w:val="single" w:sz="4" w:space="0" w:color="auto"/>
              <w:left w:val="single" w:sz="4" w:space="0" w:color="auto"/>
              <w:bottom w:val="single" w:sz="4" w:space="0" w:color="auto"/>
              <w:right w:val="single" w:sz="4" w:space="0" w:color="auto"/>
            </w:tcBorders>
            <w:vAlign w:val="center"/>
          </w:tcPr>
          <w:p w14:paraId="79588BA3" w14:textId="77777777" w:rsidR="00E905CE" w:rsidRPr="005472F9" w:rsidRDefault="00E905CE" w:rsidP="00C41313">
            <w:pPr>
              <w:pStyle w:val="13"/>
              <w:ind w:firstLineChars="0" w:firstLine="0"/>
              <w:jc w:val="right"/>
              <w:rPr>
                <w:sz w:val="21"/>
                <w:szCs w:val="21"/>
              </w:rPr>
            </w:pPr>
            <w:r w:rsidRPr="005472F9">
              <w:rPr>
                <w:sz w:val="21"/>
                <w:szCs w:val="21"/>
              </w:rPr>
              <w:t xml:space="preserve">39,361.19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D7A9" w14:textId="77777777" w:rsidR="00E905CE" w:rsidRPr="005472F9" w:rsidRDefault="00E905CE" w:rsidP="00C41313">
            <w:pPr>
              <w:pStyle w:val="13"/>
              <w:ind w:firstLineChars="0" w:firstLine="0"/>
              <w:jc w:val="right"/>
              <w:rPr>
                <w:sz w:val="21"/>
                <w:szCs w:val="21"/>
              </w:rPr>
            </w:pPr>
            <w:r w:rsidRPr="005472F9">
              <w:rPr>
                <w:sz w:val="21"/>
                <w:szCs w:val="21"/>
              </w:rPr>
              <w:t xml:space="preserve">37,633.17 </w:t>
            </w:r>
          </w:p>
        </w:tc>
      </w:tr>
      <w:tr w:rsidR="00E905CE" w:rsidRPr="005472F9" w14:paraId="7FA94008" w14:textId="77777777" w:rsidTr="005472F9">
        <w:trPr>
          <w:trHeight w:val="113"/>
        </w:trPr>
        <w:tc>
          <w:tcPr>
            <w:tcW w:w="757" w:type="dxa"/>
            <w:vMerge/>
            <w:tcBorders>
              <w:left w:val="single" w:sz="4" w:space="0" w:color="auto"/>
              <w:right w:val="single" w:sz="4" w:space="0" w:color="auto"/>
            </w:tcBorders>
            <w:shd w:val="clear" w:color="auto" w:fill="auto"/>
            <w:noWrap/>
            <w:vAlign w:val="center"/>
            <w:hideMark/>
          </w:tcPr>
          <w:p w14:paraId="4BFC57EA" w14:textId="77777777" w:rsidR="00E905CE" w:rsidRPr="005472F9" w:rsidRDefault="00E905CE" w:rsidP="00C41313">
            <w:pPr>
              <w:pStyle w:val="13"/>
              <w:ind w:firstLineChars="0" w:firstLine="0"/>
              <w:rPr>
                <w:sz w:val="21"/>
                <w:szCs w:val="21"/>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57D4E" w14:textId="77777777" w:rsidR="00E905CE" w:rsidRPr="005472F9" w:rsidRDefault="00E905CE" w:rsidP="00C41313">
            <w:pPr>
              <w:pStyle w:val="13"/>
              <w:ind w:firstLineChars="0" w:firstLine="0"/>
              <w:jc w:val="right"/>
              <w:rPr>
                <w:sz w:val="21"/>
                <w:szCs w:val="21"/>
              </w:rPr>
            </w:pPr>
            <w:r w:rsidRPr="005472F9">
              <w:rPr>
                <w:sz w:val="21"/>
                <w:szCs w:val="21"/>
              </w:rPr>
              <w:t xml:space="preserve">5.25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4F63E" w14:textId="77777777" w:rsidR="00E905CE" w:rsidRPr="005472F9" w:rsidRDefault="00E905CE" w:rsidP="00C41313">
            <w:pPr>
              <w:pStyle w:val="13"/>
              <w:ind w:firstLineChars="0" w:firstLine="0"/>
              <w:jc w:val="right"/>
              <w:rPr>
                <w:sz w:val="21"/>
                <w:szCs w:val="21"/>
              </w:rPr>
            </w:pPr>
            <w:r w:rsidRPr="005472F9">
              <w:rPr>
                <w:sz w:val="21"/>
                <w:szCs w:val="21"/>
              </w:rPr>
              <w:t xml:space="preserve">47,926.85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7B1B8" w14:textId="77777777" w:rsidR="00E905CE" w:rsidRPr="005472F9" w:rsidRDefault="00E905CE" w:rsidP="00C41313">
            <w:pPr>
              <w:pStyle w:val="13"/>
              <w:ind w:firstLineChars="0" w:firstLine="0"/>
              <w:jc w:val="right"/>
              <w:rPr>
                <w:sz w:val="21"/>
                <w:szCs w:val="21"/>
              </w:rPr>
            </w:pPr>
            <w:r w:rsidRPr="005472F9">
              <w:rPr>
                <w:sz w:val="21"/>
                <w:szCs w:val="21"/>
              </w:rPr>
              <w:t xml:space="preserve">45,596.07 </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A9CD" w14:textId="77777777" w:rsidR="00E905CE" w:rsidRPr="005472F9" w:rsidRDefault="00E905CE" w:rsidP="00C41313">
            <w:pPr>
              <w:pStyle w:val="13"/>
              <w:ind w:firstLineChars="0" w:firstLine="0"/>
              <w:jc w:val="right"/>
              <w:rPr>
                <w:sz w:val="21"/>
                <w:szCs w:val="21"/>
              </w:rPr>
            </w:pPr>
            <w:r w:rsidRPr="005472F9">
              <w:rPr>
                <w:sz w:val="21"/>
                <w:szCs w:val="21"/>
              </w:rPr>
              <w:t xml:space="preserve">43,453.73 </w:t>
            </w:r>
          </w:p>
        </w:tc>
        <w:tc>
          <w:tcPr>
            <w:tcW w:w="1387" w:type="dxa"/>
            <w:tcBorders>
              <w:top w:val="single" w:sz="4" w:space="0" w:color="auto"/>
              <w:left w:val="single" w:sz="4" w:space="0" w:color="auto"/>
              <w:bottom w:val="single" w:sz="4" w:space="0" w:color="auto"/>
              <w:right w:val="single" w:sz="4" w:space="0" w:color="auto"/>
            </w:tcBorders>
            <w:vAlign w:val="center"/>
          </w:tcPr>
          <w:p w14:paraId="1073DBAB" w14:textId="77777777" w:rsidR="00E905CE" w:rsidRPr="005472F9" w:rsidRDefault="00E905CE" w:rsidP="00C41313">
            <w:pPr>
              <w:pStyle w:val="13"/>
              <w:ind w:firstLineChars="0" w:firstLine="0"/>
              <w:jc w:val="right"/>
              <w:rPr>
                <w:sz w:val="21"/>
                <w:szCs w:val="21"/>
              </w:rPr>
            </w:pPr>
            <w:r w:rsidRPr="005472F9">
              <w:rPr>
                <w:sz w:val="21"/>
                <w:szCs w:val="21"/>
              </w:rPr>
              <w:t xml:space="preserve">41,480.55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ED975" w14:textId="77777777" w:rsidR="00E905CE" w:rsidRPr="005472F9" w:rsidRDefault="00E905CE" w:rsidP="00C41313">
            <w:pPr>
              <w:pStyle w:val="13"/>
              <w:ind w:firstLineChars="0" w:firstLine="0"/>
              <w:jc w:val="right"/>
              <w:rPr>
                <w:sz w:val="21"/>
                <w:szCs w:val="21"/>
              </w:rPr>
            </w:pPr>
            <w:r w:rsidRPr="005472F9">
              <w:rPr>
                <w:sz w:val="21"/>
                <w:szCs w:val="21"/>
              </w:rPr>
              <w:t xml:space="preserve">39,659.49 </w:t>
            </w:r>
          </w:p>
        </w:tc>
      </w:tr>
      <w:tr w:rsidR="00E905CE" w:rsidRPr="005472F9" w14:paraId="7144225C" w14:textId="77777777" w:rsidTr="005472F9">
        <w:trPr>
          <w:trHeight w:val="113"/>
        </w:trPr>
        <w:tc>
          <w:tcPr>
            <w:tcW w:w="757" w:type="dxa"/>
            <w:vMerge/>
            <w:tcBorders>
              <w:left w:val="single" w:sz="4" w:space="0" w:color="auto"/>
              <w:bottom w:val="single" w:sz="4" w:space="0" w:color="auto"/>
              <w:right w:val="single" w:sz="4" w:space="0" w:color="auto"/>
            </w:tcBorders>
            <w:shd w:val="clear" w:color="auto" w:fill="auto"/>
            <w:noWrap/>
            <w:vAlign w:val="center"/>
            <w:hideMark/>
          </w:tcPr>
          <w:p w14:paraId="1B0A6DA4" w14:textId="77777777" w:rsidR="00E905CE" w:rsidRPr="005472F9" w:rsidRDefault="00E905CE" w:rsidP="00C41313">
            <w:pPr>
              <w:pStyle w:val="13"/>
              <w:ind w:firstLineChars="0" w:firstLine="0"/>
              <w:rPr>
                <w:sz w:val="21"/>
                <w:szCs w:val="21"/>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CF46E" w14:textId="77777777" w:rsidR="00E905CE" w:rsidRPr="005472F9" w:rsidRDefault="00E905CE" w:rsidP="00C41313">
            <w:pPr>
              <w:pStyle w:val="13"/>
              <w:ind w:firstLineChars="0" w:firstLine="0"/>
              <w:jc w:val="right"/>
              <w:rPr>
                <w:sz w:val="21"/>
                <w:szCs w:val="21"/>
              </w:rPr>
            </w:pPr>
            <w:r w:rsidRPr="005472F9">
              <w:rPr>
                <w:sz w:val="21"/>
                <w:szCs w:val="21"/>
              </w:rPr>
              <w:t xml:space="preserve">5.5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A2795" w14:textId="77777777" w:rsidR="00E905CE" w:rsidRPr="005472F9" w:rsidRDefault="00E905CE" w:rsidP="00C41313">
            <w:pPr>
              <w:pStyle w:val="13"/>
              <w:ind w:firstLineChars="0" w:firstLine="0"/>
              <w:jc w:val="right"/>
              <w:rPr>
                <w:sz w:val="21"/>
                <w:szCs w:val="21"/>
              </w:rPr>
            </w:pPr>
            <w:r w:rsidRPr="005472F9">
              <w:rPr>
                <w:sz w:val="21"/>
                <w:szCs w:val="21"/>
              </w:rPr>
              <w:t xml:space="preserve">50,375.58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D5047" w14:textId="77777777" w:rsidR="00E905CE" w:rsidRPr="005472F9" w:rsidRDefault="00E905CE" w:rsidP="00C41313">
            <w:pPr>
              <w:pStyle w:val="13"/>
              <w:ind w:firstLineChars="0" w:firstLine="0"/>
              <w:jc w:val="right"/>
              <w:rPr>
                <w:sz w:val="21"/>
                <w:szCs w:val="21"/>
              </w:rPr>
            </w:pPr>
            <w:r w:rsidRPr="005472F9">
              <w:rPr>
                <w:sz w:val="21"/>
                <w:szCs w:val="21"/>
              </w:rPr>
              <w:t xml:space="preserve">47,925.71 </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D82C5" w14:textId="77777777" w:rsidR="00E905CE" w:rsidRPr="005472F9" w:rsidRDefault="00E905CE" w:rsidP="00C41313">
            <w:pPr>
              <w:pStyle w:val="13"/>
              <w:ind w:firstLineChars="0" w:firstLine="0"/>
              <w:jc w:val="right"/>
              <w:rPr>
                <w:sz w:val="21"/>
                <w:szCs w:val="21"/>
              </w:rPr>
            </w:pPr>
            <w:r w:rsidRPr="005472F9">
              <w:rPr>
                <w:sz w:val="21"/>
                <w:szCs w:val="21"/>
              </w:rPr>
              <w:t xml:space="preserve">45,673.92 </w:t>
            </w:r>
          </w:p>
        </w:tc>
        <w:tc>
          <w:tcPr>
            <w:tcW w:w="1387" w:type="dxa"/>
            <w:tcBorders>
              <w:top w:val="single" w:sz="4" w:space="0" w:color="auto"/>
              <w:left w:val="single" w:sz="4" w:space="0" w:color="auto"/>
              <w:bottom w:val="single" w:sz="4" w:space="0" w:color="auto"/>
              <w:right w:val="single" w:sz="4" w:space="0" w:color="auto"/>
            </w:tcBorders>
            <w:vAlign w:val="center"/>
          </w:tcPr>
          <w:p w14:paraId="303E8447" w14:textId="77777777" w:rsidR="00E905CE" w:rsidRPr="005472F9" w:rsidRDefault="00E905CE" w:rsidP="00C41313">
            <w:pPr>
              <w:pStyle w:val="13"/>
              <w:ind w:firstLineChars="0" w:firstLine="0"/>
              <w:jc w:val="right"/>
              <w:rPr>
                <w:sz w:val="21"/>
                <w:szCs w:val="21"/>
              </w:rPr>
            </w:pPr>
            <w:r w:rsidRPr="005472F9">
              <w:rPr>
                <w:sz w:val="21"/>
                <w:szCs w:val="21"/>
              </w:rPr>
              <w:t xml:space="preserve">43,599.92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60EC" w14:textId="77777777" w:rsidR="00E905CE" w:rsidRPr="005472F9" w:rsidRDefault="00E905CE" w:rsidP="00C41313">
            <w:pPr>
              <w:pStyle w:val="13"/>
              <w:ind w:firstLineChars="0" w:firstLine="0"/>
              <w:jc w:val="right"/>
              <w:rPr>
                <w:sz w:val="21"/>
                <w:szCs w:val="21"/>
              </w:rPr>
            </w:pPr>
            <w:r w:rsidRPr="005472F9">
              <w:rPr>
                <w:sz w:val="21"/>
                <w:szCs w:val="21"/>
              </w:rPr>
              <w:t xml:space="preserve">41,685.81 </w:t>
            </w:r>
          </w:p>
        </w:tc>
      </w:tr>
    </w:tbl>
    <w:p w14:paraId="5DE72173" w14:textId="77777777" w:rsidR="00E905CE" w:rsidRPr="005472F9" w:rsidRDefault="00E905CE" w:rsidP="00E905CE">
      <w:pPr>
        <w:pStyle w:val="13"/>
      </w:pPr>
      <w:r w:rsidRPr="005472F9">
        <w:rPr>
          <w:rFonts w:hint="eastAsia"/>
        </w:rPr>
        <w:t>（三）</w:t>
      </w:r>
      <w:r w:rsidRPr="005472F9">
        <w:t>总结披露分析结果</w:t>
      </w:r>
    </w:p>
    <w:p w14:paraId="06FB26B3" w14:textId="77777777" w:rsidR="00E905CE" w:rsidRPr="005472F9" w:rsidRDefault="00E905CE" w:rsidP="00E905CE">
      <w:pPr>
        <w:pStyle w:val="13"/>
      </w:pPr>
      <w:r w:rsidRPr="005472F9">
        <w:rPr>
          <w:rFonts w:hint="eastAsia"/>
        </w:rPr>
        <w:t>在评估报告的</w:t>
      </w:r>
      <w:r w:rsidRPr="005472F9">
        <w:t>特别事项说明</w:t>
      </w:r>
      <w:r w:rsidRPr="005472F9">
        <w:rPr>
          <w:rFonts w:hint="eastAsia"/>
        </w:rPr>
        <w:t>部分，对敏感性分析结果</w:t>
      </w:r>
      <w:proofErr w:type="gramStart"/>
      <w:r w:rsidRPr="005472F9">
        <w:rPr>
          <w:rFonts w:hint="eastAsia"/>
        </w:rPr>
        <w:t>作出</w:t>
      </w:r>
      <w:proofErr w:type="gramEnd"/>
      <w:r w:rsidRPr="005472F9">
        <w:rPr>
          <w:rFonts w:hint="eastAsia"/>
        </w:rPr>
        <w:t>如下披露：</w:t>
      </w:r>
    </w:p>
    <w:p w14:paraId="6C086669" w14:textId="77777777" w:rsidR="00E905CE" w:rsidRPr="005472F9" w:rsidRDefault="00E905CE" w:rsidP="00E905CE">
      <w:pPr>
        <w:pStyle w:val="13"/>
      </w:pPr>
      <w:r w:rsidRPr="005472F9">
        <w:rPr>
          <w:rFonts w:hint="eastAsia"/>
        </w:rPr>
        <w:t>对评估参数的估计客观上存在一定的不确定性。经分析比较，确定租金和折现率为敏感性因素。</w:t>
      </w:r>
    </w:p>
    <w:p w14:paraId="194DABA1" w14:textId="77777777" w:rsidR="00E905CE" w:rsidRPr="005472F9" w:rsidRDefault="00E905CE" w:rsidP="00E905CE">
      <w:pPr>
        <w:pStyle w:val="13"/>
      </w:pPr>
      <w:r w:rsidRPr="005472F9">
        <w:rPr>
          <w:rFonts w:hint="eastAsia"/>
        </w:rPr>
        <w:t>在本次评估中，租金取值为</w:t>
      </w:r>
      <w:r w:rsidRPr="005472F9">
        <w:t>每平方米每日5元</w:t>
      </w:r>
      <w:r w:rsidRPr="005472F9">
        <w:rPr>
          <w:rFonts w:hint="eastAsia"/>
        </w:rPr>
        <w:t>，折现率取值为9%，评估结论为41233.55万元。当租金取5.5元，折现率取8%时，评估值计算结果为50375.58万元；当租金取4.5元，折现率取10%时，评估值计算结果为33580.53万元。敏感性计算具体结果如下表：</w:t>
      </w:r>
    </w:p>
    <w:tbl>
      <w:tblPr>
        <w:tblW w:w="5000" w:type="pct"/>
        <w:tblLook w:val="04A0" w:firstRow="1" w:lastRow="0" w:firstColumn="1" w:lastColumn="0" w:noHBand="0" w:noVBand="1"/>
      </w:tblPr>
      <w:tblGrid>
        <w:gridCol w:w="765"/>
        <w:gridCol w:w="948"/>
        <w:gridCol w:w="1402"/>
        <w:gridCol w:w="1402"/>
        <w:gridCol w:w="1411"/>
        <w:gridCol w:w="1402"/>
        <w:gridCol w:w="1400"/>
      </w:tblGrid>
      <w:tr w:rsidR="00E905CE" w:rsidRPr="005472F9" w14:paraId="3AF06A74" w14:textId="77777777" w:rsidTr="005472F9">
        <w:trPr>
          <w:trHeight w:val="615"/>
        </w:trPr>
        <w:tc>
          <w:tcPr>
            <w:tcW w:w="5000" w:type="pct"/>
            <w:gridSpan w:val="7"/>
            <w:tcBorders>
              <w:top w:val="single" w:sz="4" w:space="0" w:color="FFFFFF"/>
              <w:left w:val="nil"/>
              <w:bottom w:val="single" w:sz="4" w:space="0" w:color="auto"/>
              <w:right w:val="nil"/>
            </w:tcBorders>
          </w:tcPr>
          <w:p w14:paraId="53BDFF1A" w14:textId="77777777" w:rsidR="00E905CE" w:rsidRPr="005472F9" w:rsidRDefault="00E905CE" w:rsidP="00C41313">
            <w:pPr>
              <w:pStyle w:val="13"/>
              <w:ind w:firstLineChars="0" w:firstLine="0"/>
              <w:rPr>
                <w:sz w:val="21"/>
                <w:szCs w:val="21"/>
              </w:rPr>
            </w:pPr>
            <w:r w:rsidRPr="005472F9">
              <w:rPr>
                <w:sz w:val="21"/>
                <w:szCs w:val="21"/>
              </w:rPr>
              <w:t>各</w:t>
            </w:r>
            <w:r w:rsidRPr="005472F9">
              <w:rPr>
                <w:rFonts w:hint="eastAsia"/>
                <w:sz w:val="21"/>
                <w:szCs w:val="21"/>
              </w:rPr>
              <w:t>敏感性因素</w:t>
            </w:r>
            <w:r w:rsidRPr="005472F9">
              <w:rPr>
                <w:sz w:val="21"/>
                <w:szCs w:val="21"/>
              </w:rPr>
              <w:t>分别变动</w:t>
            </w:r>
            <w:r w:rsidRPr="005472F9">
              <w:rPr>
                <w:rFonts w:hint="eastAsia"/>
                <w:sz w:val="21"/>
                <w:szCs w:val="21"/>
              </w:rPr>
              <w:t>下</w:t>
            </w:r>
            <w:r w:rsidRPr="005472F9">
              <w:rPr>
                <w:sz w:val="21"/>
                <w:szCs w:val="21"/>
              </w:rPr>
              <w:t>的评估值（万元）</w:t>
            </w:r>
          </w:p>
        </w:tc>
      </w:tr>
      <w:tr w:rsidR="00E905CE" w:rsidRPr="005472F9" w14:paraId="1F515521" w14:textId="77777777" w:rsidTr="005472F9">
        <w:trPr>
          <w:trHeight w:val="270"/>
        </w:trPr>
        <w:tc>
          <w:tcPr>
            <w:tcW w:w="981" w:type="pct"/>
            <w:gridSpan w:val="2"/>
            <w:vMerge w:val="restart"/>
            <w:tcBorders>
              <w:top w:val="single" w:sz="4" w:space="0" w:color="auto"/>
              <w:left w:val="single" w:sz="4" w:space="0" w:color="auto"/>
              <w:right w:val="single" w:sz="4" w:space="0" w:color="auto"/>
            </w:tcBorders>
            <w:shd w:val="clear" w:color="auto" w:fill="auto"/>
            <w:noWrap/>
            <w:vAlign w:val="center"/>
            <w:hideMark/>
          </w:tcPr>
          <w:p w14:paraId="3430AE19" w14:textId="77777777" w:rsidR="00E905CE" w:rsidRPr="005472F9" w:rsidRDefault="00E905CE" w:rsidP="00C41313">
            <w:pPr>
              <w:pStyle w:val="13"/>
              <w:ind w:firstLineChars="0" w:firstLine="0"/>
              <w:rPr>
                <w:sz w:val="21"/>
                <w:szCs w:val="21"/>
              </w:rPr>
            </w:pPr>
          </w:p>
        </w:tc>
        <w:tc>
          <w:tcPr>
            <w:tcW w:w="4019" w:type="pct"/>
            <w:gridSpan w:val="5"/>
            <w:tcBorders>
              <w:top w:val="single" w:sz="4" w:space="0" w:color="auto"/>
              <w:left w:val="single" w:sz="4" w:space="0" w:color="auto"/>
              <w:right w:val="single" w:sz="4" w:space="0" w:color="auto"/>
            </w:tcBorders>
            <w:vAlign w:val="center"/>
          </w:tcPr>
          <w:p w14:paraId="4A93B346" w14:textId="77777777" w:rsidR="00E905CE" w:rsidRPr="005472F9" w:rsidRDefault="00E905CE" w:rsidP="00C41313">
            <w:pPr>
              <w:pStyle w:val="13"/>
              <w:ind w:firstLineChars="0" w:firstLine="0"/>
              <w:jc w:val="center"/>
              <w:rPr>
                <w:sz w:val="21"/>
                <w:szCs w:val="21"/>
              </w:rPr>
            </w:pPr>
            <w:r w:rsidRPr="005472F9">
              <w:rPr>
                <w:sz w:val="21"/>
                <w:szCs w:val="21"/>
              </w:rPr>
              <w:t>折现率</w:t>
            </w:r>
          </w:p>
        </w:tc>
      </w:tr>
      <w:tr w:rsidR="00E905CE" w:rsidRPr="005472F9" w14:paraId="71BBCB72" w14:textId="77777777" w:rsidTr="005472F9">
        <w:trPr>
          <w:trHeight w:val="270"/>
        </w:trPr>
        <w:tc>
          <w:tcPr>
            <w:tcW w:w="981" w:type="pct"/>
            <w:gridSpan w:val="2"/>
            <w:vMerge/>
            <w:tcBorders>
              <w:left w:val="single" w:sz="4" w:space="0" w:color="auto"/>
              <w:bottom w:val="single" w:sz="4" w:space="0" w:color="auto"/>
              <w:right w:val="single" w:sz="4" w:space="0" w:color="auto"/>
            </w:tcBorders>
            <w:shd w:val="clear" w:color="auto" w:fill="auto"/>
            <w:noWrap/>
            <w:vAlign w:val="center"/>
            <w:hideMark/>
          </w:tcPr>
          <w:p w14:paraId="0E3B9E85" w14:textId="77777777" w:rsidR="00E905CE" w:rsidRPr="005472F9" w:rsidRDefault="00E905CE" w:rsidP="00C41313">
            <w:pPr>
              <w:pStyle w:val="13"/>
              <w:ind w:firstLineChars="0" w:firstLine="0"/>
              <w:rPr>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D0B64" w14:textId="77777777" w:rsidR="00E905CE" w:rsidRPr="005472F9" w:rsidRDefault="00E905CE" w:rsidP="00C41313">
            <w:pPr>
              <w:pStyle w:val="13"/>
              <w:ind w:firstLineChars="0" w:firstLine="0"/>
              <w:jc w:val="center"/>
              <w:rPr>
                <w:sz w:val="21"/>
                <w:szCs w:val="21"/>
              </w:rPr>
            </w:pPr>
            <w:r w:rsidRPr="005472F9">
              <w:rPr>
                <w:sz w:val="21"/>
                <w:szCs w:val="21"/>
              </w:rPr>
              <w:t>8%</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AC235" w14:textId="77777777" w:rsidR="00E905CE" w:rsidRPr="005472F9" w:rsidRDefault="00E905CE" w:rsidP="00C41313">
            <w:pPr>
              <w:pStyle w:val="13"/>
              <w:ind w:firstLineChars="0" w:firstLine="0"/>
              <w:jc w:val="center"/>
              <w:rPr>
                <w:sz w:val="21"/>
                <w:szCs w:val="21"/>
              </w:rPr>
            </w:pPr>
            <w:r w:rsidRPr="005472F9">
              <w:rPr>
                <w:sz w:val="21"/>
                <w:szCs w:val="21"/>
              </w:rPr>
              <w:t>8.5%</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96504" w14:textId="77777777" w:rsidR="00E905CE" w:rsidRPr="005472F9" w:rsidRDefault="00E905CE" w:rsidP="00C41313">
            <w:pPr>
              <w:pStyle w:val="13"/>
              <w:ind w:firstLineChars="0" w:firstLine="0"/>
              <w:jc w:val="center"/>
              <w:rPr>
                <w:sz w:val="21"/>
                <w:szCs w:val="21"/>
              </w:rPr>
            </w:pPr>
            <w:r w:rsidRPr="005472F9">
              <w:rPr>
                <w:sz w:val="21"/>
                <w:szCs w:val="21"/>
              </w:rPr>
              <w:t>9%</w:t>
            </w:r>
          </w:p>
        </w:tc>
        <w:tc>
          <w:tcPr>
            <w:tcW w:w="803" w:type="pct"/>
            <w:tcBorders>
              <w:top w:val="single" w:sz="4" w:space="0" w:color="auto"/>
              <w:left w:val="single" w:sz="4" w:space="0" w:color="auto"/>
              <w:bottom w:val="single" w:sz="4" w:space="0" w:color="auto"/>
              <w:right w:val="single" w:sz="4" w:space="0" w:color="auto"/>
            </w:tcBorders>
            <w:vAlign w:val="center"/>
          </w:tcPr>
          <w:p w14:paraId="3415044C" w14:textId="77777777" w:rsidR="00E905CE" w:rsidRPr="005472F9" w:rsidRDefault="00E905CE" w:rsidP="00C41313">
            <w:pPr>
              <w:pStyle w:val="13"/>
              <w:ind w:firstLineChars="0" w:firstLine="0"/>
              <w:jc w:val="center"/>
              <w:rPr>
                <w:sz w:val="21"/>
                <w:szCs w:val="21"/>
              </w:rPr>
            </w:pPr>
            <w:r w:rsidRPr="005472F9">
              <w:rPr>
                <w:sz w:val="21"/>
                <w:szCs w:val="21"/>
              </w:rPr>
              <w:t>9.5%</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2BA24" w14:textId="77777777" w:rsidR="00E905CE" w:rsidRPr="005472F9" w:rsidRDefault="00E905CE" w:rsidP="00C41313">
            <w:pPr>
              <w:pStyle w:val="13"/>
              <w:ind w:firstLineChars="0" w:firstLine="0"/>
              <w:jc w:val="center"/>
              <w:rPr>
                <w:sz w:val="21"/>
                <w:szCs w:val="21"/>
              </w:rPr>
            </w:pPr>
            <w:r w:rsidRPr="005472F9">
              <w:rPr>
                <w:sz w:val="21"/>
                <w:szCs w:val="21"/>
              </w:rPr>
              <w:t>10%</w:t>
            </w:r>
          </w:p>
        </w:tc>
      </w:tr>
      <w:tr w:rsidR="00E905CE" w:rsidRPr="005472F9" w14:paraId="0CB9A922" w14:textId="77777777" w:rsidTr="005472F9">
        <w:trPr>
          <w:trHeight w:val="270"/>
        </w:trPr>
        <w:tc>
          <w:tcPr>
            <w:tcW w:w="438" w:type="pct"/>
            <w:vMerge w:val="restart"/>
            <w:tcBorders>
              <w:top w:val="single" w:sz="4" w:space="0" w:color="auto"/>
              <w:left w:val="single" w:sz="4" w:space="0" w:color="auto"/>
              <w:right w:val="single" w:sz="4" w:space="0" w:color="auto"/>
            </w:tcBorders>
            <w:shd w:val="clear" w:color="auto" w:fill="auto"/>
            <w:noWrap/>
            <w:vAlign w:val="center"/>
            <w:hideMark/>
          </w:tcPr>
          <w:p w14:paraId="4C78C27C" w14:textId="77777777" w:rsidR="00E905CE" w:rsidRPr="005472F9" w:rsidRDefault="00E905CE" w:rsidP="00C41313">
            <w:pPr>
              <w:pStyle w:val="13"/>
              <w:ind w:firstLineChars="0" w:firstLine="0"/>
              <w:jc w:val="center"/>
              <w:rPr>
                <w:sz w:val="21"/>
                <w:szCs w:val="21"/>
              </w:rPr>
            </w:pPr>
            <w:r w:rsidRPr="005472F9">
              <w:rPr>
                <w:sz w:val="21"/>
                <w:szCs w:val="21"/>
              </w:rPr>
              <w:t>租金</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9E271" w14:textId="77777777" w:rsidR="00E905CE" w:rsidRPr="005472F9" w:rsidRDefault="00E905CE" w:rsidP="00C41313">
            <w:pPr>
              <w:pStyle w:val="13"/>
              <w:ind w:firstLineChars="0" w:firstLine="0"/>
              <w:jc w:val="right"/>
              <w:rPr>
                <w:sz w:val="21"/>
                <w:szCs w:val="21"/>
              </w:rPr>
            </w:pPr>
            <w:r w:rsidRPr="005472F9">
              <w:rPr>
                <w:sz w:val="21"/>
                <w:szCs w:val="21"/>
              </w:rPr>
              <w:t>4.5</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0E943" w14:textId="77777777" w:rsidR="00E905CE" w:rsidRPr="005472F9" w:rsidRDefault="00E905CE" w:rsidP="00C41313">
            <w:pPr>
              <w:pStyle w:val="13"/>
              <w:ind w:firstLineChars="0" w:firstLine="0"/>
              <w:jc w:val="right"/>
              <w:rPr>
                <w:sz w:val="21"/>
                <w:szCs w:val="21"/>
              </w:rPr>
            </w:pPr>
            <w:r w:rsidRPr="005472F9">
              <w:rPr>
                <w:sz w:val="21"/>
                <w:szCs w:val="21"/>
              </w:rPr>
              <w:t xml:space="preserve">40,580.68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16B82" w14:textId="77777777" w:rsidR="00E905CE" w:rsidRPr="005472F9" w:rsidRDefault="00E905CE" w:rsidP="00C41313">
            <w:pPr>
              <w:pStyle w:val="13"/>
              <w:ind w:firstLineChars="0" w:firstLine="0"/>
              <w:jc w:val="right"/>
              <w:rPr>
                <w:sz w:val="21"/>
                <w:szCs w:val="21"/>
              </w:rPr>
            </w:pPr>
            <w:r w:rsidRPr="005472F9">
              <w:rPr>
                <w:sz w:val="21"/>
                <w:szCs w:val="21"/>
              </w:rPr>
              <w:t xml:space="preserve">38,607.15 </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62E99" w14:textId="77777777" w:rsidR="00E905CE" w:rsidRPr="005472F9" w:rsidRDefault="00E905CE" w:rsidP="00C41313">
            <w:pPr>
              <w:pStyle w:val="13"/>
              <w:ind w:firstLineChars="0" w:firstLine="0"/>
              <w:jc w:val="right"/>
              <w:rPr>
                <w:sz w:val="21"/>
                <w:szCs w:val="21"/>
              </w:rPr>
            </w:pPr>
            <w:r w:rsidRPr="005472F9">
              <w:rPr>
                <w:sz w:val="21"/>
                <w:szCs w:val="21"/>
              </w:rPr>
              <w:t xml:space="preserve">36,793.19 </w:t>
            </w:r>
          </w:p>
        </w:tc>
        <w:tc>
          <w:tcPr>
            <w:tcW w:w="803" w:type="pct"/>
            <w:tcBorders>
              <w:top w:val="single" w:sz="4" w:space="0" w:color="auto"/>
              <w:left w:val="single" w:sz="4" w:space="0" w:color="auto"/>
              <w:bottom w:val="single" w:sz="4" w:space="0" w:color="auto"/>
              <w:right w:val="single" w:sz="4" w:space="0" w:color="auto"/>
            </w:tcBorders>
            <w:vAlign w:val="center"/>
          </w:tcPr>
          <w:p w14:paraId="1CB66B4A" w14:textId="77777777" w:rsidR="00E905CE" w:rsidRPr="005472F9" w:rsidRDefault="00E905CE" w:rsidP="00C41313">
            <w:pPr>
              <w:pStyle w:val="13"/>
              <w:ind w:firstLineChars="0" w:firstLine="0"/>
              <w:jc w:val="right"/>
              <w:rPr>
                <w:sz w:val="21"/>
                <w:szCs w:val="21"/>
              </w:rPr>
            </w:pPr>
            <w:r w:rsidRPr="005472F9">
              <w:rPr>
                <w:sz w:val="21"/>
                <w:szCs w:val="21"/>
              </w:rPr>
              <w:t xml:space="preserve">35,122.46 </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EC935" w14:textId="77777777" w:rsidR="00E905CE" w:rsidRPr="005472F9" w:rsidRDefault="00E905CE" w:rsidP="00C41313">
            <w:pPr>
              <w:pStyle w:val="13"/>
              <w:ind w:firstLineChars="0" w:firstLine="0"/>
              <w:jc w:val="right"/>
              <w:rPr>
                <w:sz w:val="21"/>
                <w:szCs w:val="21"/>
              </w:rPr>
            </w:pPr>
            <w:r w:rsidRPr="005472F9">
              <w:rPr>
                <w:sz w:val="21"/>
                <w:szCs w:val="21"/>
              </w:rPr>
              <w:t xml:space="preserve">33,580.53 </w:t>
            </w:r>
          </w:p>
        </w:tc>
      </w:tr>
      <w:tr w:rsidR="00E905CE" w:rsidRPr="005472F9" w14:paraId="7A201CA5" w14:textId="77777777" w:rsidTr="005472F9">
        <w:trPr>
          <w:trHeight w:val="270"/>
        </w:trPr>
        <w:tc>
          <w:tcPr>
            <w:tcW w:w="438" w:type="pct"/>
            <w:vMerge/>
            <w:tcBorders>
              <w:left w:val="single" w:sz="4" w:space="0" w:color="auto"/>
              <w:right w:val="single" w:sz="4" w:space="0" w:color="auto"/>
            </w:tcBorders>
            <w:shd w:val="clear" w:color="auto" w:fill="auto"/>
            <w:noWrap/>
            <w:vAlign w:val="center"/>
            <w:hideMark/>
          </w:tcPr>
          <w:p w14:paraId="499A3DA4" w14:textId="77777777" w:rsidR="00E905CE" w:rsidRPr="005472F9" w:rsidRDefault="00E905CE" w:rsidP="00C41313">
            <w:pPr>
              <w:pStyle w:val="13"/>
              <w:ind w:firstLineChars="0" w:firstLine="0"/>
              <w:rPr>
                <w:sz w:val="21"/>
                <w:szCs w:val="21"/>
              </w:rPr>
            </w:pP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B9093" w14:textId="77777777" w:rsidR="00E905CE" w:rsidRPr="005472F9" w:rsidRDefault="00E905CE" w:rsidP="00C41313">
            <w:pPr>
              <w:pStyle w:val="13"/>
              <w:ind w:firstLineChars="0" w:firstLine="0"/>
              <w:jc w:val="right"/>
              <w:rPr>
                <w:sz w:val="21"/>
                <w:szCs w:val="21"/>
              </w:rPr>
            </w:pPr>
            <w:r w:rsidRPr="005472F9">
              <w:rPr>
                <w:sz w:val="21"/>
                <w:szCs w:val="21"/>
              </w:rPr>
              <w:t xml:space="preserve">4.75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22A2" w14:textId="77777777" w:rsidR="00E905CE" w:rsidRPr="005472F9" w:rsidRDefault="00E905CE" w:rsidP="00C41313">
            <w:pPr>
              <w:pStyle w:val="13"/>
              <w:ind w:firstLineChars="0" w:firstLine="0"/>
              <w:jc w:val="right"/>
              <w:rPr>
                <w:sz w:val="21"/>
                <w:szCs w:val="21"/>
              </w:rPr>
            </w:pPr>
            <w:r w:rsidRPr="005472F9">
              <w:rPr>
                <w:sz w:val="21"/>
                <w:szCs w:val="21"/>
              </w:rPr>
              <w:t xml:space="preserve">43,029.40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B626B" w14:textId="77777777" w:rsidR="00E905CE" w:rsidRPr="005472F9" w:rsidRDefault="00E905CE" w:rsidP="00C41313">
            <w:pPr>
              <w:pStyle w:val="13"/>
              <w:ind w:firstLineChars="0" w:firstLine="0"/>
              <w:jc w:val="right"/>
              <w:rPr>
                <w:sz w:val="21"/>
                <w:szCs w:val="21"/>
              </w:rPr>
            </w:pPr>
            <w:r w:rsidRPr="005472F9">
              <w:rPr>
                <w:sz w:val="21"/>
                <w:szCs w:val="21"/>
              </w:rPr>
              <w:t xml:space="preserve">40,936.79 </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B53E1" w14:textId="77777777" w:rsidR="00E905CE" w:rsidRPr="005472F9" w:rsidRDefault="00E905CE" w:rsidP="00C41313">
            <w:pPr>
              <w:pStyle w:val="13"/>
              <w:ind w:firstLineChars="0" w:firstLine="0"/>
              <w:jc w:val="right"/>
              <w:rPr>
                <w:sz w:val="21"/>
                <w:szCs w:val="21"/>
              </w:rPr>
            </w:pPr>
            <w:r w:rsidRPr="005472F9">
              <w:rPr>
                <w:sz w:val="21"/>
                <w:szCs w:val="21"/>
              </w:rPr>
              <w:t xml:space="preserve">39,013.37 </w:t>
            </w:r>
          </w:p>
        </w:tc>
        <w:tc>
          <w:tcPr>
            <w:tcW w:w="803" w:type="pct"/>
            <w:tcBorders>
              <w:top w:val="single" w:sz="4" w:space="0" w:color="auto"/>
              <w:left w:val="single" w:sz="4" w:space="0" w:color="auto"/>
              <w:bottom w:val="single" w:sz="4" w:space="0" w:color="auto"/>
              <w:right w:val="single" w:sz="4" w:space="0" w:color="auto"/>
            </w:tcBorders>
            <w:vAlign w:val="center"/>
          </w:tcPr>
          <w:p w14:paraId="1D5D8A46" w14:textId="77777777" w:rsidR="00E905CE" w:rsidRPr="005472F9" w:rsidRDefault="00E905CE" w:rsidP="00C41313">
            <w:pPr>
              <w:pStyle w:val="13"/>
              <w:ind w:firstLineChars="0" w:firstLine="0"/>
              <w:jc w:val="right"/>
              <w:rPr>
                <w:sz w:val="21"/>
                <w:szCs w:val="21"/>
              </w:rPr>
            </w:pPr>
            <w:r w:rsidRPr="005472F9">
              <w:rPr>
                <w:sz w:val="21"/>
                <w:szCs w:val="21"/>
              </w:rPr>
              <w:t xml:space="preserve">37,241.82 </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E675D" w14:textId="77777777" w:rsidR="00E905CE" w:rsidRPr="005472F9" w:rsidRDefault="00E905CE" w:rsidP="00C41313">
            <w:pPr>
              <w:pStyle w:val="13"/>
              <w:ind w:firstLineChars="0" w:firstLine="0"/>
              <w:jc w:val="right"/>
              <w:rPr>
                <w:sz w:val="21"/>
                <w:szCs w:val="21"/>
              </w:rPr>
            </w:pPr>
            <w:r w:rsidRPr="005472F9">
              <w:rPr>
                <w:sz w:val="21"/>
                <w:szCs w:val="21"/>
              </w:rPr>
              <w:t xml:space="preserve">35,606.85 </w:t>
            </w:r>
          </w:p>
        </w:tc>
      </w:tr>
      <w:tr w:rsidR="00E905CE" w:rsidRPr="005472F9" w14:paraId="165FFDED" w14:textId="77777777" w:rsidTr="005472F9">
        <w:trPr>
          <w:trHeight w:val="270"/>
        </w:trPr>
        <w:tc>
          <w:tcPr>
            <w:tcW w:w="438" w:type="pct"/>
            <w:vMerge/>
            <w:tcBorders>
              <w:left w:val="single" w:sz="4" w:space="0" w:color="auto"/>
              <w:right w:val="single" w:sz="4" w:space="0" w:color="auto"/>
            </w:tcBorders>
            <w:shd w:val="clear" w:color="auto" w:fill="auto"/>
            <w:noWrap/>
            <w:vAlign w:val="center"/>
            <w:hideMark/>
          </w:tcPr>
          <w:p w14:paraId="3CF7D92F" w14:textId="77777777" w:rsidR="00E905CE" w:rsidRPr="005472F9" w:rsidRDefault="00E905CE" w:rsidP="00C41313">
            <w:pPr>
              <w:pStyle w:val="13"/>
              <w:ind w:firstLineChars="0" w:firstLine="0"/>
              <w:rPr>
                <w:sz w:val="21"/>
                <w:szCs w:val="21"/>
              </w:rPr>
            </w:pP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3A1A4" w14:textId="77777777" w:rsidR="00E905CE" w:rsidRPr="005472F9" w:rsidRDefault="00E905CE" w:rsidP="00C41313">
            <w:pPr>
              <w:pStyle w:val="13"/>
              <w:ind w:firstLineChars="0" w:firstLine="0"/>
              <w:jc w:val="right"/>
              <w:rPr>
                <w:sz w:val="21"/>
                <w:szCs w:val="21"/>
              </w:rPr>
            </w:pPr>
            <w:r w:rsidRPr="005472F9">
              <w:rPr>
                <w:sz w:val="21"/>
                <w:szCs w:val="21"/>
              </w:rPr>
              <w:t xml:space="preserve">5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CC195" w14:textId="77777777" w:rsidR="00E905CE" w:rsidRPr="005472F9" w:rsidRDefault="00E905CE" w:rsidP="00C41313">
            <w:pPr>
              <w:pStyle w:val="13"/>
              <w:ind w:firstLineChars="0" w:firstLine="0"/>
              <w:jc w:val="right"/>
              <w:rPr>
                <w:sz w:val="21"/>
                <w:szCs w:val="21"/>
              </w:rPr>
            </w:pPr>
            <w:r w:rsidRPr="005472F9">
              <w:rPr>
                <w:sz w:val="21"/>
                <w:szCs w:val="21"/>
              </w:rPr>
              <w:t xml:space="preserve">45,478.13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B4307" w14:textId="77777777" w:rsidR="00E905CE" w:rsidRPr="005472F9" w:rsidRDefault="00E905CE" w:rsidP="00C41313">
            <w:pPr>
              <w:pStyle w:val="13"/>
              <w:ind w:firstLineChars="0" w:firstLine="0"/>
              <w:jc w:val="right"/>
              <w:rPr>
                <w:sz w:val="21"/>
                <w:szCs w:val="21"/>
              </w:rPr>
            </w:pPr>
            <w:r w:rsidRPr="005472F9">
              <w:rPr>
                <w:sz w:val="21"/>
                <w:szCs w:val="21"/>
              </w:rPr>
              <w:t xml:space="preserve">43,266.43 </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72B78" w14:textId="77777777" w:rsidR="00E905CE" w:rsidRPr="005472F9" w:rsidRDefault="00E905CE" w:rsidP="00C41313">
            <w:pPr>
              <w:pStyle w:val="13"/>
              <w:ind w:firstLineChars="0" w:firstLine="0"/>
              <w:jc w:val="right"/>
              <w:rPr>
                <w:b/>
                <w:sz w:val="21"/>
                <w:szCs w:val="21"/>
              </w:rPr>
            </w:pPr>
            <w:r w:rsidRPr="005472F9">
              <w:rPr>
                <w:b/>
                <w:sz w:val="21"/>
                <w:szCs w:val="21"/>
              </w:rPr>
              <w:t xml:space="preserve">41,233.55 </w:t>
            </w:r>
          </w:p>
        </w:tc>
        <w:tc>
          <w:tcPr>
            <w:tcW w:w="803" w:type="pct"/>
            <w:tcBorders>
              <w:top w:val="single" w:sz="4" w:space="0" w:color="auto"/>
              <w:left w:val="single" w:sz="4" w:space="0" w:color="auto"/>
              <w:bottom w:val="single" w:sz="4" w:space="0" w:color="auto"/>
              <w:right w:val="single" w:sz="4" w:space="0" w:color="auto"/>
            </w:tcBorders>
            <w:vAlign w:val="center"/>
          </w:tcPr>
          <w:p w14:paraId="4E2BA92F" w14:textId="77777777" w:rsidR="00E905CE" w:rsidRPr="005472F9" w:rsidRDefault="00E905CE" w:rsidP="00C41313">
            <w:pPr>
              <w:pStyle w:val="13"/>
              <w:ind w:firstLineChars="0" w:firstLine="0"/>
              <w:jc w:val="right"/>
              <w:rPr>
                <w:sz w:val="21"/>
                <w:szCs w:val="21"/>
              </w:rPr>
            </w:pPr>
            <w:r w:rsidRPr="005472F9">
              <w:rPr>
                <w:sz w:val="21"/>
                <w:szCs w:val="21"/>
              </w:rPr>
              <w:t xml:space="preserve">39,361.19 </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63D06" w14:textId="77777777" w:rsidR="00E905CE" w:rsidRPr="005472F9" w:rsidRDefault="00E905CE" w:rsidP="00C41313">
            <w:pPr>
              <w:pStyle w:val="13"/>
              <w:ind w:firstLineChars="0" w:firstLine="0"/>
              <w:jc w:val="right"/>
              <w:rPr>
                <w:sz w:val="21"/>
                <w:szCs w:val="21"/>
              </w:rPr>
            </w:pPr>
            <w:r w:rsidRPr="005472F9">
              <w:rPr>
                <w:sz w:val="21"/>
                <w:szCs w:val="21"/>
              </w:rPr>
              <w:t xml:space="preserve">37,633.17 </w:t>
            </w:r>
          </w:p>
        </w:tc>
      </w:tr>
      <w:tr w:rsidR="00E905CE" w:rsidRPr="005472F9" w14:paraId="457E39F8" w14:textId="77777777" w:rsidTr="005472F9">
        <w:trPr>
          <w:trHeight w:val="270"/>
        </w:trPr>
        <w:tc>
          <w:tcPr>
            <w:tcW w:w="438" w:type="pct"/>
            <w:vMerge/>
            <w:tcBorders>
              <w:left w:val="single" w:sz="4" w:space="0" w:color="auto"/>
              <w:right w:val="single" w:sz="4" w:space="0" w:color="auto"/>
            </w:tcBorders>
            <w:shd w:val="clear" w:color="auto" w:fill="auto"/>
            <w:noWrap/>
            <w:vAlign w:val="center"/>
            <w:hideMark/>
          </w:tcPr>
          <w:p w14:paraId="7B9D328E" w14:textId="77777777" w:rsidR="00E905CE" w:rsidRPr="005472F9" w:rsidRDefault="00E905CE" w:rsidP="00C41313">
            <w:pPr>
              <w:pStyle w:val="13"/>
              <w:ind w:firstLineChars="0" w:firstLine="0"/>
              <w:rPr>
                <w:sz w:val="21"/>
                <w:szCs w:val="21"/>
              </w:rPr>
            </w:pP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95A09" w14:textId="77777777" w:rsidR="00E905CE" w:rsidRPr="005472F9" w:rsidRDefault="00E905CE" w:rsidP="00C41313">
            <w:pPr>
              <w:pStyle w:val="13"/>
              <w:ind w:firstLineChars="0" w:firstLine="0"/>
              <w:jc w:val="right"/>
              <w:rPr>
                <w:sz w:val="21"/>
                <w:szCs w:val="21"/>
              </w:rPr>
            </w:pPr>
            <w:r w:rsidRPr="005472F9">
              <w:rPr>
                <w:sz w:val="21"/>
                <w:szCs w:val="21"/>
              </w:rPr>
              <w:t xml:space="preserve">5.25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FED33" w14:textId="77777777" w:rsidR="00E905CE" w:rsidRPr="005472F9" w:rsidRDefault="00E905CE" w:rsidP="00C41313">
            <w:pPr>
              <w:pStyle w:val="13"/>
              <w:ind w:firstLineChars="0" w:firstLine="0"/>
              <w:jc w:val="right"/>
              <w:rPr>
                <w:sz w:val="21"/>
                <w:szCs w:val="21"/>
              </w:rPr>
            </w:pPr>
            <w:r w:rsidRPr="005472F9">
              <w:rPr>
                <w:sz w:val="21"/>
                <w:szCs w:val="21"/>
              </w:rPr>
              <w:t xml:space="preserve">47,926.85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BA6E0" w14:textId="77777777" w:rsidR="00E905CE" w:rsidRPr="005472F9" w:rsidRDefault="00E905CE" w:rsidP="00C41313">
            <w:pPr>
              <w:pStyle w:val="13"/>
              <w:ind w:firstLineChars="0" w:firstLine="0"/>
              <w:jc w:val="right"/>
              <w:rPr>
                <w:sz w:val="21"/>
                <w:szCs w:val="21"/>
              </w:rPr>
            </w:pPr>
            <w:r w:rsidRPr="005472F9">
              <w:rPr>
                <w:sz w:val="21"/>
                <w:szCs w:val="21"/>
              </w:rPr>
              <w:t xml:space="preserve">45,596.07 </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DC832" w14:textId="77777777" w:rsidR="00E905CE" w:rsidRPr="005472F9" w:rsidRDefault="00E905CE" w:rsidP="00C41313">
            <w:pPr>
              <w:pStyle w:val="13"/>
              <w:ind w:firstLineChars="0" w:firstLine="0"/>
              <w:jc w:val="right"/>
              <w:rPr>
                <w:sz w:val="21"/>
                <w:szCs w:val="21"/>
              </w:rPr>
            </w:pPr>
            <w:r w:rsidRPr="005472F9">
              <w:rPr>
                <w:sz w:val="21"/>
                <w:szCs w:val="21"/>
              </w:rPr>
              <w:t xml:space="preserve">43,453.73 </w:t>
            </w:r>
          </w:p>
        </w:tc>
        <w:tc>
          <w:tcPr>
            <w:tcW w:w="803" w:type="pct"/>
            <w:tcBorders>
              <w:top w:val="single" w:sz="4" w:space="0" w:color="auto"/>
              <w:left w:val="single" w:sz="4" w:space="0" w:color="auto"/>
              <w:bottom w:val="single" w:sz="4" w:space="0" w:color="auto"/>
              <w:right w:val="single" w:sz="4" w:space="0" w:color="auto"/>
            </w:tcBorders>
            <w:vAlign w:val="center"/>
          </w:tcPr>
          <w:p w14:paraId="0F262ACA" w14:textId="77777777" w:rsidR="00E905CE" w:rsidRPr="005472F9" w:rsidRDefault="00E905CE" w:rsidP="00C41313">
            <w:pPr>
              <w:pStyle w:val="13"/>
              <w:ind w:firstLineChars="0" w:firstLine="0"/>
              <w:jc w:val="right"/>
              <w:rPr>
                <w:sz w:val="21"/>
                <w:szCs w:val="21"/>
              </w:rPr>
            </w:pPr>
            <w:r w:rsidRPr="005472F9">
              <w:rPr>
                <w:sz w:val="21"/>
                <w:szCs w:val="21"/>
              </w:rPr>
              <w:t xml:space="preserve">41,480.55 </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44E57" w14:textId="77777777" w:rsidR="00E905CE" w:rsidRPr="005472F9" w:rsidRDefault="00E905CE" w:rsidP="00C41313">
            <w:pPr>
              <w:pStyle w:val="13"/>
              <w:ind w:firstLineChars="0" w:firstLine="0"/>
              <w:jc w:val="right"/>
              <w:rPr>
                <w:sz w:val="21"/>
                <w:szCs w:val="21"/>
              </w:rPr>
            </w:pPr>
            <w:r w:rsidRPr="005472F9">
              <w:rPr>
                <w:sz w:val="21"/>
                <w:szCs w:val="21"/>
              </w:rPr>
              <w:t xml:space="preserve">39,659.49 </w:t>
            </w:r>
          </w:p>
        </w:tc>
      </w:tr>
      <w:tr w:rsidR="00E905CE" w:rsidRPr="005472F9" w14:paraId="0257C799" w14:textId="77777777" w:rsidTr="005472F9">
        <w:trPr>
          <w:trHeight w:val="270"/>
        </w:trPr>
        <w:tc>
          <w:tcPr>
            <w:tcW w:w="438" w:type="pct"/>
            <w:vMerge/>
            <w:tcBorders>
              <w:left w:val="single" w:sz="4" w:space="0" w:color="auto"/>
              <w:bottom w:val="single" w:sz="4" w:space="0" w:color="auto"/>
              <w:right w:val="single" w:sz="4" w:space="0" w:color="auto"/>
            </w:tcBorders>
            <w:shd w:val="clear" w:color="auto" w:fill="auto"/>
            <w:noWrap/>
            <w:vAlign w:val="center"/>
            <w:hideMark/>
          </w:tcPr>
          <w:p w14:paraId="1682BB2F" w14:textId="77777777" w:rsidR="00E905CE" w:rsidRPr="005472F9" w:rsidRDefault="00E905CE" w:rsidP="00C41313">
            <w:pPr>
              <w:pStyle w:val="13"/>
              <w:ind w:firstLineChars="0" w:firstLine="0"/>
              <w:rPr>
                <w:sz w:val="21"/>
                <w:szCs w:val="21"/>
              </w:rPr>
            </w:pP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3B69E" w14:textId="77777777" w:rsidR="00E905CE" w:rsidRPr="005472F9" w:rsidRDefault="00E905CE" w:rsidP="00C41313">
            <w:pPr>
              <w:pStyle w:val="13"/>
              <w:ind w:firstLineChars="0" w:firstLine="0"/>
              <w:jc w:val="right"/>
              <w:rPr>
                <w:sz w:val="21"/>
                <w:szCs w:val="21"/>
              </w:rPr>
            </w:pPr>
            <w:r w:rsidRPr="005472F9">
              <w:rPr>
                <w:sz w:val="21"/>
                <w:szCs w:val="21"/>
              </w:rPr>
              <w:t xml:space="preserve">5.5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19C40" w14:textId="77777777" w:rsidR="00E905CE" w:rsidRPr="005472F9" w:rsidRDefault="00E905CE" w:rsidP="00C41313">
            <w:pPr>
              <w:pStyle w:val="13"/>
              <w:ind w:firstLineChars="0" w:firstLine="0"/>
              <w:jc w:val="right"/>
              <w:rPr>
                <w:sz w:val="21"/>
                <w:szCs w:val="21"/>
              </w:rPr>
            </w:pPr>
            <w:r w:rsidRPr="005472F9">
              <w:rPr>
                <w:sz w:val="21"/>
                <w:szCs w:val="21"/>
              </w:rPr>
              <w:t xml:space="preserve">50,375.58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3F659" w14:textId="77777777" w:rsidR="00E905CE" w:rsidRPr="005472F9" w:rsidRDefault="00E905CE" w:rsidP="00C41313">
            <w:pPr>
              <w:pStyle w:val="13"/>
              <w:ind w:firstLineChars="0" w:firstLine="0"/>
              <w:jc w:val="right"/>
              <w:rPr>
                <w:sz w:val="21"/>
                <w:szCs w:val="21"/>
              </w:rPr>
            </w:pPr>
            <w:r w:rsidRPr="005472F9">
              <w:rPr>
                <w:sz w:val="21"/>
                <w:szCs w:val="21"/>
              </w:rPr>
              <w:t xml:space="preserve">47,925.71 </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EAFE3" w14:textId="77777777" w:rsidR="00E905CE" w:rsidRPr="005472F9" w:rsidRDefault="00E905CE" w:rsidP="00C41313">
            <w:pPr>
              <w:pStyle w:val="13"/>
              <w:ind w:firstLineChars="0" w:firstLine="0"/>
              <w:jc w:val="right"/>
              <w:rPr>
                <w:sz w:val="21"/>
                <w:szCs w:val="21"/>
              </w:rPr>
            </w:pPr>
            <w:r w:rsidRPr="005472F9">
              <w:rPr>
                <w:sz w:val="21"/>
                <w:szCs w:val="21"/>
              </w:rPr>
              <w:t xml:space="preserve">45,673.92 </w:t>
            </w:r>
          </w:p>
        </w:tc>
        <w:tc>
          <w:tcPr>
            <w:tcW w:w="803" w:type="pct"/>
            <w:tcBorders>
              <w:top w:val="single" w:sz="4" w:space="0" w:color="auto"/>
              <w:left w:val="single" w:sz="4" w:space="0" w:color="auto"/>
              <w:bottom w:val="single" w:sz="4" w:space="0" w:color="auto"/>
              <w:right w:val="single" w:sz="4" w:space="0" w:color="auto"/>
            </w:tcBorders>
            <w:vAlign w:val="center"/>
          </w:tcPr>
          <w:p w14:paraId="119E858A" w14:textId="77777777" w:rsidR="00E905CE" w:rsidRPr="005472F9" w:rsidRDefault="00E905CE" w:rsidP="00C41313">
            <w:pPr>
              <w:pStyle w:val="13"/>
              <w:ind w:firstLineChars="0" w:firstLine="0"/>
              <w:jc w:val="right"/>
              <w:rPr>
                <w:sz w:val="21"/>
                <w:szCs w:val="21"/>
              </w:rPr>
            </w:pPr>
            <w:r w:rsidRPr="005472F9">
              <w:rPr>
                <w:sz w:val="21"/>
                <w:szCs w:val="21"/>
              </w:rPr>
              <w:t xml:space="preserve">43,599.92 </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5AC18" w14:textId="77777777" w:rsidR="00E905CE" w:rsidRPr="005472F9" w:rsidRDefault="00E905CE" w:rsidP="00C41313">
            <w:pPr>
              <w:pStyle w:val="13"/>
              <w:ind w:firstLineChars="0" w:firstLine="0"/>
              <w:jc w:val="right"/>
              <w:rPr>
                <w:sz w:val="21"/>
                <w:szCs w:val="21"/>
              </w:rPr>
            </w:pPr>
            <w:r w:rsidRPr="005472F9">
              <w:rPr>
                <w:sz w:val="21"/>
                <w:szCs w:val="21"/>
              </w:rPr>
              <w:t xml:space="preserve">41,685.81 </w:t>
            </w:r>
          </w:p>
        </w:tc>
      </w:tr>
    </w:tbl>
    <w:p w14:paraId="7C90F8DE" w14:textId="77777777" w:rsidR="00E905CE" w:rsidRPr="005472F9" w:rsidRDefault="00E905CE" w:rsidP="00E905CE">
      <w:pPr>
        <w:pStyle w:val="13"/>
      </w:pPr>
      <w:r w:rsidRPr="005472F9">
        <w:rPr>
          <w:rFonts w:hint="eastAsia"/>
        </w:rPr>
        <w:t>上述敏感性分析计算仅为揭示评估参数估计的不确定性对评估值的影响，以及说明评估结论存在的不确定性，</w:t>
      </w:r>
      <w:proofErr w:type="gramStart"/>
      <w:r w:rsidRPr="005472F9">
        <w:rPr>
          <w:rFonts w:hint="eastAsia"/>
        </w:rPr>
        <w:t>供委托</w:t>
      </w:r>
      <w:proofErr w:type="gramEnd"/>
      <w:r w:rsidRPr="005472F9">
        <w:rPr>
          <w:rFonts w:hint="eastAsia"/>
        </w:rPr>
        <w:t>方和评估报告使用者参考，但并不影响评估师基于已掌握的信息资料对相关评估参数</w:t>
      </w:r>
      <w:proofErr w:type="gramStart"/>
      <w:r w:rsidRPr="005472F9">
        <w:rPr>
          <w:rFonts w:hint="eastAsia"/>
        </w:rPr>
        <w:t>作出</w:t>
      </w:r>
      <w:proofErr w:type="gramEnd"/>
      <w:r w:rsidRPr="005472F9">
        <w:rPr>
          <w:rFonts w:hint="eastAsia"/>
        </w:rPr>
        <w:t>的估计判断，也不影响评估结论的成立。</w:t>
      </w:r>
    </w:p>
    <w:p w14:paraId="60A85702" w14:textId="77777777" w:rsidR="00E905CE" w:rsidRPr="005472F9" w:rsidRDefault="00E905CE" w:rsidP="00AF7342">
      <w:pPr>
        <w:pStyle w:val="a9"/>
        <w:spacing w:before="62" w:after="62"/>
      </w:pPr>
      <w:r w:rsidRPr="005472F9">
        <w:t>示例</w:t>
      </w:r>
      <w:r w:rsidRPr="005472F9">
        <w:rPr>
          <w:rFonts w:hint="eastAsia"/>
        </w:rPr>
        <w:t>二</w:t>
      </w:r>
    </w:p>
    <w:p w14:paraId="351EC9F5" w14:textId="77777777" w:rsidR="00E905CE" w:rsidRPr="005472F9" w:rsidRDefault="00E905CE" w:rsidP="00C34C28">
      <w:pPr>
        <w:pStyle w:val="ab"/>
        <w:spacing w:before="62" w:after="62"/>
        <w:ind w:firstLine="482"/>
      </w:pPr>
      <w:r w:rsidRPr="005472F9">
        <w:t>一、有关数据及评估结论</w:t>
      </w:r>
    </w:p>
    <w:p w14:paraId="79369ADC" w14:textId="120FA770" w:rsidR="00C34C28" w:rsidRDefault="00E905CE" w:rsidP="00E905CE">
      <w:pPr>
        <w:pStyle w:val="13"/>
      </w:pPr>
      <w:r w:rsidRPr="005472F9">
        <w:t>评估对象为</w:t>
      </w:r>
      <w:r w:rsidRPr="005472F9">
        <w:rPr>
          <w:rFonts w:hint="eastAsia"/>
        </w:rPr>
        <w:t>某公司股东全部权益。采用企业自由现金流折现模型进行评估。主要数据及计算过程如下（单位：万元）：</w:t>
      </w:r>
    </w:p>
    <w:p w14:paraId="68DD6F9C" w14:textId="2E6C7DE6" w:rsidR="00E905CE" w:rsidRPr="00C34C28" w:rsidRDefault="00C34C28" w:rsidP="00C34C28">
      <w:pPr>
        <w:widowControl/>
        <w:jc w:val="left"/>
        <w:rPr>
          <w:rFonts w:ascii="宋体" w:hAnsi="宋体"/>
          <w:sz w:val="24"/>
          <w:szCs w:val="24"/>
        </w:rPr>
      </w:pPr>
      <w:r>
        <w:br w:type="page"/>
      </w:r>
    </w:p>
    <w:tbl>
      <w:tblPr>
        <w:tblW w:w="6088" w:type="dxa"/>
        <w:jc w:val="center"/>
        <w:tblLook w:val="04A0" w:firstRow="1" w:lastRow="0" w:firstColumn="1" w:lastColumn="0" w:noHBand="0" w:noVBand="1"/>
      </w:tblPr>
      <w:tblGrid>
        <w:gridCol w:w="3896"/>
        <w:gridCol w:w="1096"/>
        <w:gridCol w:w="1096"/>
      </w:tblGrid>
      <w:tr w:rsidR="00E905CE" w:rsidRPr="005472F9" w14:paraId="1D8D53A8"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3EDFE87A" w14:textId="77777777" w:rsidR="00E905CE" w:rsidRPr="005472F9" w:rsidRDefault="00E905CE" w:rsidP="00C41313">
            <w:pPr>
              <w:pStyle w:val="13"/>
              <w:spacing w:line="288" w:lineRule="auto"/>
              <w:ind w:firstLineChars="0" w:firstLine="0"/>
              <w:jc w:val="center"/>
              <w:rPr>
                <w:b/>
                <w:bCs/>
                <w:sz w:val="21"/>
                <w:szCs w:val="21"/>
              </w:rPr>
            </w:pPr>
            <w:r w:rsidRPr="005472F9">
              <w:rPr>
                <w:rFonts w:hint="eastAsia"/>
                <w:b/>
                <w:bCs/>
                <w:sz w:val="21"/>
                <w:szCs w:val="21"/>
              </w:rPr>
              <w:lastRenderedPageBreak/>
              <w:t>项目</w:t>
            </w:r>
          </w:p>
        </w:tc>
        <w:tc>
          <w:tcPr>
            <w:tcW w:w="1096" w:type="dxa"/>
            <w:tcBorders>
              <w:top w:val="nil"/>
              <w:left w:val="nil"/>
              <w:bottom w:val="nil"/>
              <w:right w:val="nil"/>
            </w:tcBorders>
            <w:shd w:val="clear" w:color="auto" w:fill="auto"/>
            <w:noWrap/>
            <w:vAlign w:val="center"/>
            <w:hideMark/>
          </w:tcPr>
          <w:p w14:paraId="2EE66238" w14:textId="77777777" w:rsidR="00E905CE" w:rsidRPr="005472F9" w:rsidRDefault="00E905CE" w:rsidP="00C41313">
            <w:pPr>
              <w:pStyle w:val="13"/>
              <w:spacing w:line="288" w:lineRule="auto"/>
              <w:ind w:firstLineChars="0" w:firstLine="0"/>
              <w:jc w:val="center"/>
              <w:rPr>
                <w:b/>
                <w:bCs/>
                <w:sz w:val="21"/>
                <w:szCs w:val="21"/>
              </w:rPr>
            </w:pPr>
            <w:r w:rsidRPr="005472F9">
              <w:rPr>
                <w:rFonts w:hint="eastAsia"/>
                <w:b/>
                <w:bCs/>
                <w:sz w:val="21"/>
                <w:szCs w:val="21"/>
              </w:rPr>
              <w:t>预测期</w:t>
            </w:r>
          </w:p>
        </w:tc>
        <w:tc>
          <w:tcPr>
            <w:tcW w:w="1096" w:type="dxa"/>
            <w:tcBorders>
              <w:top w:val="nil"/>
              <w:left w:val="nil"/>
              <w:bottom w:val="nil"/>
              <w:right w:val="nil"/>
            </w:tcBorders>
            <w:shd w:val="clear" w:color="auto" w:fill="auto"/>
            <w:noWrap/>
            <w:vAlign w:val="center"/>
            <w:hideMark/>
          </w:tcPr>
          <w:p w14:paraId="5752C646" w14:textId="77777777" w:rsidR="00E905CE" w:rsidRPr="005472F9" w:rsidRDefault="00E905CE" w:rsidP="00C41313">
            <w:pPr>
              <w:pStyle w:val="13"/>
              <w:spacing w:line="288" w:lineRule="auto"/>
              <w:ind w:firstLineChars="0" w:firstLine="0"/>
              <w:jc w:val="center"/>
              <w:rPr>
                <w:b/>
                <w:bCs/>
                <w:sz w:val="21"/>
                <w:szCs w:val="21"/>
              </w:rPr>
            </w:pPr>
            <w:r w:rsidRPr="005472F9">
              <w:rPr>
                <w:rFonts w:hint="eastAsia"/>
                <w:b/>
                <w:bCs/>
                <w:sz w:val="21"/>
                <w:szCs w:val="21"/>
              </w:rPr>
              <w:t>永续期</w:t>
            </w:r>
          </w:p>
        </w:tc>
      </w:tr>
      <w:tr w:rsidR="00E905CE" w:rsidRPr="005472F9" w14:paraId="534A25E0"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51CF20E8"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业务单价（元）</w:t>
            </w:r>
          </w:p>
        </w:tc>
        <w:tc>
          <w:tcPr>
            <w:tcW w:w="1096" w:type="dxa"/>
            <w:tcBorders>
              <w:top w:val="nil"/>
              <w:left w:val="nil"/>
              <w:bottom w:val="nil"/>
              <w:right w:val="nil"/>
            </w:tcBorders>
            <w:shd w:val="clear" w:color="auto" w:fill="auto"/>
            <w:noWrap/>
            <w:vAlign w:val="center"/>
            <w:hideMark/>
          </w:tcPr>
          <w:p w14:paraId="122E4C0F"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32.00 </w:t>
            </w:r>
          </w:p>
        </w:tc>
        <w:tc>
          <w:tcPr>
            <w:tcW w:w="1096" w:type="dxa"/>
            <w:tcBorders>
              <w:top w:val="nil"/>
              <w:left w:val="nil"/>
              <w:bottom w:val="nil"/>
              <w:right w:val="nil"/>
            </w:tcBorders>
            <w:shd w:val="clear" w:color="auto" w:fill="auto"/>
            <w:noWrap/>
            <w:vAlign w:val="center"/>
            <w:hideMark/>
          </w:tcPr>
          <w:p w14:paraId="1528A4E2"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32.00 </w:t>
            </w:r>
          </w:p>
        </w:tc>
      </w:tr>
      <w:tr w:rsidR="00E905CE" w:rsidRPr="005472F9" w14:paraId="6BFEE600"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5E9BEFEB"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业务量（万个）</w:t>
            </w:r>
          </w:p>
        </w:tc>
        <w:tc>
          <w:tcPr>
            <w:tcW w:w="1096" w:type="dxa"/>
            <w:tcBorders>
              <w:top w:val="nil"/>
              <w:left w:val="nil"/>
              <w:bottom w:val="nil"/>
              <w:right w:val="nil"/>
            </w:tcBorders>
            <w:shd w:val="clear" w:color="auto" w:fill="auto"/>
            <w:noWrap/>
            <w:vAlign w:val="center"/>
            <w:hideMark/>
          </w:tcPr>
          <w:p w14:paraId="1F4FF9A4"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152.00 </w:t>
            </w:r>
          </w:p>
        </w:tc>
        <w:tc>
          <w:tcPr>
            <w:tcW w:w="1096" w:type="dxa"/>
            <w:tcBorders>
              <w:top w:val="nil"/>
              <w:left w:val="nil"/>
              <w:bottom w:val="nil"/>
              <w:right w:val="nil"/>
            </w:tcBorders>
            <w:shd w:val="clear" w:color="auto" w:fill="auto"/>
            <w:noWrap/>
            <w:vAlign w:val="center"/>
            <w:hideMark/>
          </w:tcPr>
          <w:p w14:paraId="5A28D84D"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152.00 </w:t>
            </w:r>
          </w:p>
        </w:tc>
      </w:tr>
      <w:tr w:rsidR="00E905CE" w:rsidRPr="005472F9" w14:paraId="19D5B1A1" w14:textId="77777777" w:rsidTr="005472F9">
        <w:trPr>
          <w:trHeight w:val="225"/>
          <w:jc w:val="center"/>
        </w:trPr>
        <w:tc>
          <w:tcPr>
            <w:tcW w:w="3896" w:type="dxa"/>
            <w:tcBorders>
              <w:top w:val="nil"/>
              <w:left w:val="nil"/>
              <w:bottom w:val="single" w:sz="4" w:space="0" w:color="auto"/>
              <w:right w:val="nil"/>
            </w:tcBorders>
            <w:shd w:val="clear" w:color="auto" w:fill="auto"/>
            <w:noWrap/>
            <w:vAlign w:val="center"/>
            <w:hideMark/>
          </w:tcPr>
          <w:p w14:paraId="2CCA7AA6"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单位变动成本（元）</w:t>
            </w:r>
          </w:p>
        </w:tc>
        <w:tc>
          <w:tcPr>
            <w:tcW w:w="1096" w:type="dxa"/>
            <w:tcBorders>
              <w:top w:val="nil"/>
              <w:left w:val="nil"/>
              <w:bottom w:val="single" w:sz="4" w:space="0" w:color="auto"/>
              <w:right w:val="nil"/>
            </w:tcBorders>
            <w:shd w:val="clear" w:color="auto" w:fill="auto"/>
            <w:noWrap/>
            <w:vAlign w:val="center"/>
            <w:hideMark/>
          </w:tcPr>
          <w:p w14:paraId="6ECFF477" w14:textId="77777777" w:rsidR="00E905CE" w:rsidRPr="005472F9" w:rsidRDefault="00E905CE" w:rsidP="00C41313">
            <w:pPr>
              <w:pStyle w:val="13"/>
              <w:spacing w:line="288" w:lineRule="auto"/>
              <w:ind w:firstLineChars="0" w:firstLine="0"/>
              <w:jc w:val="right"/>
              <w:rPr>
                <w:sz w:val="21"/>
                <w:szCs w:val="21"/>
              </w:rPr>
            </w:pPr>
            <w:r w:rsidRPr="005472F9">
              <w:rPr>
                <w:rFonts w:hint="eastAsia"/>
                <w:sz w:val="21"/>
                <w:szCs w:val="21"/>
              </w:rPr>
              <w:t>16</w:t>
            </w:r>
            <w:r w:rsidRPr="005472F9">
              <w:rPr>
                <w:sz w:val="21"/>
                <w:szCs w:val="21"/>
              </w:rPr>
              <w:t xml:space="preserve">.00 </w:t>
            </w:r>
          </w:p>
        </w:tc>
        <w:tc>
          <w:tcPr>
            <w:tcW w:w="1096" w:type="dxa"/>
            <w:tcBorders>
              <w:top w:val="nil"/>
              <w:left w:val="nil"/>
              <w:bottom w:val="single" w:sz="4" w:space="0" w:color="auto"/>
              <w:right w:val="nil"/>
            </w:tcBorders>
            <w:shd w:val="clear" w:color="auto" w:fill="auto"/>
            <w:noWrap/>
            <w:vAlign w:val="center"/>
            <w:hideMark/>
          </w:tcPr>
          <w:p w14:paraId="3AE261FB" w14:textId="77777777" w:rsidR="00E905CE" w:rsidRPr="005472F9" w:rsidRDefault="00E905CE" w:rsidP="00C41313">
            <w:pPr>
              <w:pStyle w:val="13"/>
              <w:spacing w:line="288" w:lineRule="auto"/>
              <w:ind w:firstLineChars="0" w:firstLine="0"/>
              <w:jc w:val="right"/>
              <w:rPr>
                <w:sz w:val="21"/>
                <w:szCs w:val="21"/>
              </w:rPr>
            </w:pPr>
            <w:r w:rsidRPr="005472F9">
              <w:rPr>
                <w:rFonts w:hint="eastAsia"/>
                <w:sz w:val="21"/>
                <w:szCs w:val="21"/>
              </w:rPr>
              <w:t>16</w:t>
            </w:r>
            <w:r w:rsidRPr="005472F9">
              <w:rPr>
                <w:sz w:val="21"/>
                <w:szCs w:val="21"/>
              </w:rPr>
              <w:t xml:space="preserve">.00 </w:t>
            </w:r>
          </w:p>
        </w:tc>
      </w:tr>
      <w:tr w:rsidR="00E905CE" w:rsidRPr="005472F9" w14:paraId="72DFC5C9" w14:textId="77777777" w:rsidTr="005472F9">
        <w:trPr>
          <w:trHeight w:val="225"/>
          <w:jc w:val="center"/>
        </w:trPr>
        <w:tc>
          <w:tcPr>
            <w:tcW w:w="3896" w:type="dxa"/>
            <w:tcBorders>
              <w:top w:val="single" w:sz="4" w:space="0" w:color="auto"/>
              <w:left w:val="nil"/>
              <w:bottom w:val="nil"/>
              <w:right w:val="nil"/>
            </w:tcBorders>
            <w:shd w:val="clear" w:color="auto" w:fill="auto"/>
            <w:noWrap/>
            <w:vAlign w:val="center"/>
            <w:hideMark/>
          </w:tcPr>
          <w:p w14:paraId="360C1FFE"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营业收入</w:t>
            </w:r>
          </w:p>
        </w:tc>
        <w:tc>
          <w:tcPr>
            <w:tcW w:w="1096" w:type="dxa"/>
            <w:tcBorders>
              <w:top w:val="single" w:sz="4" w:space="0" w:color="auto"/>
              <w:left w:val="nil"/>
              <w:bottom w:val="nil"/>
              <w:right w:val="nil"/>
            </w:tcBorders>
            <w:shd w:val="clear" w:color="auto" w:fill="auto"/>
            <w:noWrap/>
            <w:vAlign w:val="center"/>
            <w:hideMark/>
          </w:tcPr>
          <w:p w14:paraId="0A341716"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4864.00 </w:t>
            </w:r>
          </w:p>
        </w:tc>
        <w:tc>
          <w:tcPr>
            <w:tcW w:w="1096" w:type="dxa"/>
            <w:tcBorders>
              <w:top w:val="single" w:sz="4" w:space="0" w:color="auto"/>
              <w:left w:val="nil"/>
              <w:bottom w:val="nil"/>
              <w:right w:val="nil"/>
            </w:tcBorders>
            <w:shd w:val="clear" w:color="auto" w:fill="auto"/>
            <w:noWrap/>
            <w:vAlign w:val="center"/>
            <w:hideMark/>
          </w:tcPr>
          <w:p w14:paraId="0B66693B"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4864.00 </w:t>
            </w:r>
          </w:p>
        </w:tc>
      </w:tr>
      <w:tr w:rsidR="00E905CE" w:rsidRPr="005472F9" w14:paraId="1E5C2673"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0DB3A98E"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减：营业成本</w:t>
            </w:r>
          </w:p>
        </w:tc>
        <w:tc>
          <w:tcPr>
            <w:tcW w:w="1096" w:type="dxa"/>
            <w:tcBorders>
              <w:top w:val="nil"/>
              <w:left w:val="nil"/>
              <w:bottom w:val="nil"/>
              <w:right w:val="nil"/>
            </w:tcBorders>
            <w:shd w:val="clear" w:color="auto" w:fill="auto"/>
            <w:noWrap/>
            <w:vAlign w:val="center"/>
            <w:hideMark/>
          </w:tcPr>
          <w:p w14:paraId="407C780A"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3012.00 </w:t>
            </w:r>
          </w:p>
        </w:tc>
        <w:tc>
          <w:tcPr>
            <w:tcW w:w="1096" w:type="dxa"/>
            <w:tcBorders>
              <w:top w:val="nil"/>
              <w:left w:val="nil"/>
              <w:bottom w:val="nil"/>
              <w:right w:val="nil"/>
            </w:tcBorders>
            <w:shd w:val="clear" w:color="auto" w:fill="auto"/>
            <w:noWrap/>
            <w:vAlign w:val="center"/>
            <w:hideMark/>
          </w:tcPr>
          <w:p w14:paraId="0215EE1B"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3012.00 </w:t>
            </w:r>
          </w:p>
        </w:tc>
      </w:tr>
      <w:tr w:rsidR="00E905CE" w:rsidRPr="005472F9" w14:paraId="46B697AB"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503BDCCD"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 xml:space="preserve">    营业税金及附加</w:t>
            </w:r>
          </w:p>
        </w:tc>
        <w:tc>
          <w:tcPr>
            <w:tcW w:w="1096" w:type="dxa"/>
            <w:tcBorders>
              <w:top w:val="nil"/>
              <w:left w:val="nil"/>
              <w:bottom w:val="nil"/>
              <w:right w:val="nil"/>
            </w:tcBorders>
            <w:shd w:val="clear" w:color="auto" w:fill="auto"/>
            <w:noWrap/>
            <w:vAlign w:val="center"/>
            <w:hideMark/>
          </w:tcPr>
          <w:p w14:paraId="239278D8"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267.52 </w:t>
            </w:r>
          </w:p>
        </w:tc>
        <w:tc>
          <w:tcPr>
            <w:tcW w:w="1096" w:type="dxa"/>
            <w:tcBorders>
              <w:top w:val="nil"/>
              <w:left w:val="nil"/>
              <w:bottom w:val="nil"/>
              <w:right w:val="nil"/>
            </w:tcBorders>
            <w:shd w:val="clear" w:color="auto" w:fill="auto"/>
            <w:noWrap/>
            <w:vAlign w:val="center"/>
            <w:hideMark/>
          </w:tcPr>
          <w:p w14:paraId="4532BE2D"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267.52 </w:t>
            </w:r>
          </w:p>
        </w:tc>
      </w:tr>
      <w:tr w:rsidR="00E905CE" w:rsidRPr="005472F9" w14:paraId="726792C8"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65E5545C"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 xml:space="preserve">    营业费用</w:t>
            </w:r>
          </w:p>
        </w:tc>
        <w:tc>
          <w:tcPr>
            <w:tcW w:w="1096" w:type="dxa"/>
            <w:tcBorders>
              <w:top w:val="nil"/>
              <w:left w:val="nil"/>
              <w:bottom w:val="nil"/>
              <w:right w:val="nil"/>
            </w:tcBorders>
            <w:shd w:val="clear" w:color="auto" w:fill="auto"/>
            <w:noWrap/>
            <w:vAlign w:val="center"/>
            <w:hideMark/>
          </w:tcPr>
          <w:p w14:paraId="29E23413"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100.00 </w:t>
            </w:r>
          </w:p>
        </w:tc>
        <w:tc>
          <w:tcPr>
            <w:tcW w:w="1096" w:type="dxa"/>
            <w:tcBorders>
              <w:top w:val="nil"/>
              <w:left w:val="nil"/>
              <w:bottom w:val="nil"/>
              <w:right w:val="nil"/>
            </w:tcBorders>
            <w:shd w:val="clear" w:color="auto" w:fill="auto"/>
            <w:noWrap/>
            <w:vAlign w:val="center"/>
            <w:hideMark/>
          </w:tcPr>
          <w:p w14:paraId="65F490E5"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100.00 </w:t>
            </w:r>
          </w:p>
        </w:tc>
      </w:tr>
      <w:tr w:rsidR="00E905CE" w:rsidRPr="005472F9" w14:paraId="71C11217"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0A76EA96"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 xml:space="preserve">    管理费用</w:t>
            </w:r>
          </w:p>
        </w:tc>
        <w:tc>
          <w:tcPr>
            <w:tcW w:w="1096" w:type="dxa"/>
            <w:tcBorders>
              <w:top w:val="nil"/>
              <w:left w:val="nil"/>
              <w:bottom w:val="nil"/>
              <w:right w:val="nil"/>
            </w:tcBorders>
            <w:shd w:val="clear" w:color="auto" w:fill="auto"/>
            <w:noWrap/>
            <w:vAlign w:val="center"/>
            <w:hideMark/>
          </w:tcPr>
          <w:p w14:paraId="0F122D93"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150.00 </w:t>
            </w:r>
          </w:p>
        </w:tc>
        <w:tc>
          <w:tcPr>
            <w:tcW w:w="1096" w:type="dxa"/>
            <w:tcBorders>
              <w:top w:val="nil"/>
              <w:left w:val="nil"/>
              <w:bottom w:val="nil"/>
              <w:right w:val="nil"/>
            </w:tcBorders>
            <w:shd w:val="clear" w:color="auto" w:fill="auto"/>
            <w:noWrap/>
            <w:vAlign w:val="center"/>
            <w:hideMark/>
          </w:tcPr>
          <w:p w14:paraId="476B12E7"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150.00 </w:t>
            </w:r>
          </w:p>
        </w:tc>
      </w:tr>
      <w:tr w:rsidR="00E905CE" w:rsidRPr="005472F9" w14:paraId="14D33286"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16DFE4F5"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 xml:space="preserve">    财务费用</w:t>
            </w:r>
          </w:p>
        </w:tc>
        <w:tc>
          <w:tcPr>
            <w:tcW w:w="1096" w:type="dxa"/>
            <w:tcBorders>
              <w:top w:val="nil"/>
              <w:left w:val="nil"/>
              <w:bottom w:val="nil"/>
              <w:right w:val="nil"/>
            </w:tcBorders>
            <w:shd w:val="clear" w:color="auto" w:fill="auto"/>
            <w:noWrap/>
            <w:vAlign w:val="center"/>
            <w:hideMark/>
          </w:tcPr>
          <w:p w14:paraId="265F545C"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35.00 </w:t>
            </w:r>
          </w:p>
        </w:tc>
        <w:tc>
          <w:tcPr>
            <w:tcW w:w="1096" w:type="dxa"/>
            <w:tcBorders>
              <w:top w:val="nil"/>
              <w:left w:val="nil"/>
              <w:bottom w:val="nil"/>
              <w:right w:val="nil"/>
            </w:tcBorders>
            <w:shd w:val="clear" w:color="auto" w:fill="auto"/>
            <w:noWrap/>
            <w:vAlign w:val="center"/>
            <w:hideMark/>
          </w:tcPr>
          <w:p w14:paraId="32342098"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35.00 </w:t>
            </w:r>
          </w:p>
        </w:tc>
      </w:tr>
      <w:tr w:rsidR="00E905CE" w:rsidRPr="005472F9" w14:paraId="2B763F5C"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05460737"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营业利润</w:t>
            </w:r>
          </w:p>
        </w:tc>
        <w:tc>
          <w:tcPr>
            <w:tcW w:w="1096" w:type="dxa"/>
            <w:tcBorders>
              <w:top w:val="nil"/>
              <w:left w:val="nil"/>
              <w:bottom w:val="nil"/>
              <w:right w:val="nil"/>
            </w:tcBorders>
            <w:shd w:val="clear" w:color="auto" w:fill="auto"/>
            <w:noWrap/>
            <w:vAlign w:val="center"/>
            <w:hideMark/>
          </w:tcPr>
          <w:p w14:paraId="6A8F75DC"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1299.48 </w:t>
            </w:r>
          </w:p>
        </w:tc>
        <w:tc>
          <w:tcPr>
            <w:tcW w:w="1096" w:type="dxa"/>
            <w:tcBorders>
              <w:top w:val="nil"/>
              <w:left w:val="nil"/>
              <w:bottom w:val="nil"/>
              <w:right w:val="nil"/>
            </w:tcBorders>
            <w:shd w:val="clear" w:color="auto" w:fill="auto"/>
            <w:noWrap/>
            <w:vAlign w:val="center"/>
            <w:hideMark/>
          </w:tcPr>
          <w:p w14:paraId="1CA9718F"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1299.48 </w:t>
            </w:r>
          </w:p>
        </w:tc>
      </w:tr>
      <w:tr w:rsidR="00E905CE" w:rsidRPr="005472F9" w14:paraId="3E9F11F3"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7269800A"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减：所得税</w:t>
            </w:r>
          </w:p>
        </w:tc>
        <w:tc>
          <w:tcPr>
            <w:tcW w:w="1096" w:type="dxa"/>
            <w:tcBorders>
              <w:top w:val="nil"/>
              <w:left w:val="nil"/>
              <w:bottom w:val="nil"/>
              <w:right w:val="nil"/>
            </w:tcBorders>
            <w:shd w:val="clear" w:color="auto" w:fill="auto"/>
            <w:noWrap/>
            <w:vAlign w:val="center"/>
            <w:hideMark/>
          </w:tcPr>
          <w:p w14:paraId="5461F4BF"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324.87 </w:t>
            </w:r>
          </w:p>
        </w:tc>
        <w:tc>
          <w:tcPr>
            <w:tcW w:w="1096" w:type="dxa"/>
            <w:tcBorders>
              <w:top w:val="nil"/>
              <w:left w:val="nil"/>
              <w:bottom w:val="nil"/>
              <w:right w:val="nil"/>
            </w:tcBorders>
            <w:shd w:val="clear" w:color="auto" w:fill="auto"/>
            <w:noWrap/>
            <w:vAlign w:val="center"/>
            <w:hideMark/>
          </w:tcPr>
          <w:p w14:paraId="4CF719A1"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324.87 </w:t>
            </w:r>
          </w:p>
        </w:tc>
      </w:tr>
      <w:tr w:rsidR="00E905CE" w:rsidRPr="005472F9" w14:paraId="1BD81031"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778076A8" w14:textId="77777777" w:rsidR="00E905CE" w:rsidRPr="005472F9" w:rsidRDefault="00E905CE" w:rsidP="00C41313">
            <w:pPr>
              <w:pStyle w:val="13"/>
              <w:spacing w:line="288" w:lineRule="auto"/>
              <w:ind w:firstLineChars="0" w:firstLine="0"/>
              <w:rPr>
                <w:bCs/>
                <w:sz w:val="21"/>
                <w:szCs w:val="21"/>
              </w:rPr>
            </w:pPr>
            <w:r w:rsidRPr="005472F9">
              <w:rPr>
                <w:rFonts w:hint="eastAsia"/>
                <w:bCs/>
                <w:sz w:val="21"/>
                <w:szCs w:val="21"/>
              </w:rPr>
              <w:t>净利润</w:t>
            </w:r>
          </w:p>
        </w:tc>
        <w:tc>
          <w:tcPr>
            <w:tcW w:w="1096" w:type="dxa"/>
            <w:tcBorders>
              <w:top w:val="nil"/>
              <w:left w:val="nil"/>
              <w:bottom w:val="nil"/>
              <w:right w:val="nil"/>
            </w:tcBorders>
            <w:shd w:val="clear" w:color="auto" w:fill="auto"/>
            <w:noWrap/>
            <w:vAlign w:val="center"/>
            <w:hideMark/>
          </w:tcPr>
          <w:p w14:paraId="16551401" w14:textId="77777777" w:rsidR="00E905CE" w:rsidRPr="005472F9" w:rsidRDefault="00E905CE" w:rsidP="00C41313">
            <w:pPr>
              <w:pStyle w:val="13"/>
              <w:spacing w:line="288" w:lineRule="auto"/>
              <w:ind w:firstLineChars="0" w:firstLine="0"/>
              <w:jc w:val="right"/>
              <w:rPr>
                <w:bCs/>
                <w:sz w:val="21"/>
                <w:szCs w:val="21"/>
              </w:rPr>
            </w:pPr>
            <w:r w:rsidRPr="005472F9">
              <w:rPr>
                <w:bCs/>
                <w:sz w:val="21"/>
                <w:szCs w:val="21"/>
              </w:rPr>
              <w:t xml:space="preserve">974.61 </w:t>
            </w:r>
          </w:p>
        </w:tc>
        <w:tc>
          <w:tcPr>
            <w:tcW w:w="1096" w:type="dxa"/>
            <w:tcBorders>
              <w:top w:val="nil"/>
              <w:left w:val="nil"/>
              <w:bottom w:val="nil"/>
              <w:right w:val="nil"/>
            </w:tcBorders>
            <w:shd w:val="clear" w:color="auto" w:fill="auto"/>
            <w:noWrap/>
            <w:vAlign w:val="center"/>
            <w:hideMark/>
          </w:tcPr>
          <w:p w14:paraId="58ED1F56" w14:textId="77777777" w:rsidR="00E905CE" w:rsidRPr="005472F9" w:rsidRDefault="00E905CE" w:rsidP="00C41313">
            <w:pPr>
              <w:pStyle w:val="13"/>
              <w:spacing w:line="288" w:lineRule="auto"/>
              <w:ind w:firstLineChars="0" w:firstLine="0"/>
              <w:jc w:val="right"/>
              <w:rPr>
                <w:bCs/>
                <w:sz w:val="21"/>
                <w:szCs w:val="21"/>
              </w:rPr>
            </w:pPr>
            <w:r w:rsidRPr="005472F9">
              <w:rPr>
                <w:bCs/>
                <w:sz w:val="21"/>
                <w:szCs w:val="21"/>
              </w:rPr>
              <w:t xml:space="preserve">974.61 </w:t>
            </w:r>
          </w:p>
        </w:tc>
      </w:tr>
      <w:tr w:rsidR="00E905CE" w:rsidRPr="005472F9" w14:paraId="59E9B32D"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4AF1FB7F"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加：扣税利息</w:t>
            </w:r>
          </w:p>
        </w:tc>
        <w:tc>
          <w:tcPr>
            <w:tcW w:w="1096" w:type="dxa"/>
            <w:tcBorders>
              <w:top w:val="nil"/>
              <w:left w:val="nil"/>
              <w:bottom w:val="nil"/>
              <w:right w:val="nil"/>
            </w:tcBorders>
            <w:shd w:val="clear" w:color="auto" w:fill="auto"/>
            <w:noWrap/>
            <w:vAlign w:val="center"/>
            <w:hideMark/>
          </w:tcPr>
          <w:p w14:paraId="404A0CDB"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26.25 </w:t>
            </w:r>
          </w:p>
        </w:tc>
        <w:tc>
          <w:tcPr>
            <w:tcW w:w="1096" w:type="dxa"/>
            <w:tcBorders>
              <w:top w:val="nil"/>
              <w:left w:val="nil"/>
              <w:bottom w:val="nil"/>
              <w:right w:val="nil"/>
            </w:tcBorders>
            <w:shd w:val="clear" w:color="auto" w:fill="auto"/>
            <w:noWrap/>
            <w:vAlign w:val="center"/>
            <w:hideMark/>
          </w:tcPr>
          <w:p w14:paraId="73DBFF9A"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26.25 </w:t>
            </w:r>
          </w:p>
        </w:tc>
      </w:tr>
      <w:tr w:rsidR="00E905CE" w:rsidRPr="005472F9" w14:paraId="3FE4E850"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758BA57A" w14:textId="77777777" w:rsidR="00E905CE" w:rsidRPr="005472F9" w:rsidRDefault="00E905CE" w:rsidP="00C41313">
            <w:pPr>
              <w:pStyle w:val="13"/>
              <w:spacing w:line="288" w:lineRule="auto"/>
              <w:ind w:firstLineChars="0" w:firstLine="0"/>
              <w:rPr>
                <w:sz w:val="21"/>
                <w:szCs w:val="21"/>
              </w:rPr>
            </w:pPr>
            <w:r w:rsidRPr="005472F9">
              <w:rPr>
                <w:sz w:val="21"/>
                <w:szCs w:val="21"/>
              </w:rPr>
              <w:t xml:space="preserve">      </w:t>
            </w:r>
            <w:r w:rsidRPr="005472F9">
              <w:rPr>
                <w:rFonts w:hint="eastAsia"/>
                <w:sz w:val="21"/>
                <w:szCs w:val="21"/>
              </w:rPr>
              <w:t>折旧</w:t>
            </w:r>
            <w:r w:rsidRPr="005472F9">
              <w:rPr>
                <w:sz w:val="21"/>
                <w:szCs w:val="21"/>
              </w:rPr>
              <w:t>/</w:t>
            </w:r>
            <w:r w:rsidRPr="005472F9">
              <w:rPr>
                <w:rFonts w:hint="eastAsia"/>
                <w:sz w:val="21"/>
                <w:szCs w:val="21"/>
              </w:rPr>
              <w:t>摊销</w:t>
            </w:r>
          </w:p>
        </w:tc>
        <w:tc>
          <w:tcPr>
            <w:tcW w:w="1096" w:type="dxa"/>
            <w:tcBorders>
              <w:top w:val="nil"/>
              <w:left w:val="nil"/>
              <w:bottom w:val="nil"/>
              <w:right w:val="nil"/>
            </w:tcBorders>
            <w:shd w:val="clear" w:color="auto" w:fill="auto"/>
            <w:noWrap/>
            <w:vAlign w:val="center"/>
            <w:hideMark/>
          </w:tcPr>
          <w:p w14:paraId="09583B40"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500.00 </w:t>
            </w:r>
          </w:p>
        </w:tc>
        <w:tc>
          <w:tcPr>
            <w:tcW w:w="1096" w:type="dxa"/>
            <w:tcBorders>
              <w:top w:val="nil"/>
              <w:left w:val="nil"/>
              <w:bottom w:val="nil"/>
              <w:right w:val="nil"/>
            </w:tcBorders>
            <w:shd w:val="clear" w:color="auto" w:fill="auto"/>
            <w:noWrap/>
            <w:vAlign w:val="center"/>
            <w:hideMark/>
          </w:tcPr>
          <w:p w14:paraId="18E5B888"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500.00 </w:t>
            </w:r>
          </w:p>
        </w:tc>
      </w:tr>
      <w:tr w:rsidR="00E905CE" w:rsidRPr="005472F9" w14:paraId="0E754FB3"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4BB113A9"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减：资本性支出</w:t>
            </w:r>
          </w:p>
        </w:tc>
        <w:tc>
          <w:tcPr>
            <w:tcW w:w="1096" w:type="dxa"/>
            <w:tcBorders>
              <w:top w:val="nil"/>
              <w:left w:val="nil"/>
              <w:bottom w:val="nil"/>
              <w:right w:val="nil"/>
            </w:tcBorders>
            <w:shd w:val="clear" w:color="auto" w:fill="auto"/>
            <w:noWrap/>
            <w:vAlign w:val="center"/>
            <w:hideMark/>
          </w:tcPr>
          <w:p w14:paraId="634C28FD"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1000.00 </w:t>
            </w:r>
          </w:p>
        </w:tc>
        <w:tc>
          <w:tcPr>
            <w:tcW w:w="1096" w:type="dxa"/>
            <w:tcBorders>
              <w:top w:val="nil"/>
              <w:left w:val="nil"/>
              <w:bottom w:val="nil"/>
              <w:right w:val="nil"/>
            </w:tcBorders>
            <w:shd w:val="clear" w:color="auto" w:fill="auto"/>
            <w:noWrap/>
            <w:vAlign w:val="center"/>
            <w:hideMark/>
          </w:tcPr>
          <w:p w14:paraId="7BCD4FA4"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520.00 </w:t>
            </w:r>
          </w:p>
        </w:tc>
      </w:tr>
      <w:tr w:rsidR="00E905CE" w:rsidRPr="005472F9" w14:paraId="35EA4D4C"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457F4917" w14:textId="77777777" w:rsidR="00E905CE" w:rsidRPr="005472F9" w:rsidRDefault="00E905CE" w:rsidP="00C41313">
            <w:pPr>
              <w:pStyle w:val="13"/>
              <w:spacing w:line="288" w:lineRule="auto"/>
              <w:ind w:firstLineChars="0" w:firstLine="0"/>
              <w:rPr>
                <w:sz w:val="21"/>
                <w:szCs w:val="21"/>
              </w:rPr>
            </w:pPr>
            <w:r w:rsidRPr="005472F9">
              <w:rPr>
                <w:sz w:val="21"/>
                <w:szCs w:val="21"/>
              </w:rPr>
              <w:t xml:space="preserve">      </w:t>
            </w:r>
            <w:r w:rsidRPr="005472F9">
              <w:rPr>
                <w:rFonts w:hint="eastAsia"/>
                <w:sz w:val="21"/>
                <w:szCs w:val="21"/>
              </w:rPr>
              <w:t>营运资金增加</w:t>
            </w:r>
          </w:p>
        </w:tc>
        <w:tc>
          <w:tcPr>
            <w:tcW w:w="1096" w:type="dxa"/>
            <w:tcBorders>
              <w:top w:val="nil"/>
              <w:left w:val="nil"/>
              <w:bottom w:val="nil"/>
              <w:right w:val="nil"/>
            </w:tcBorders>
            <w:shd w:val="clear" w:color="auto" w:fill="auto"/>
            <w:noWrap/>
            <w:vAlign w:val="center"/>
            <w:hideMark/>
          </w:tcPr>
          <w:p w14:paraId="3F23C0A3"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17.61 </w:t>
            </w:r>
          </w:p>
        </w:tc>
        <w:tc>
          <w:tcPr>
            <w:tcW w:w="1096" w:type="dxa"/>
            <w:tcBorders>
              <w:top w:val="nil"/>
              <w:left w:val="nil"/>
              <w:bottom w:val="nil"/>
              <w:right w:val="nil"/>
            </w:tcBorders>
            <w:shd w:val="clear" w:color="auto" w:fill="auto"/>
            <w:noWrap/>
            <w:vAlign w:val="center"/>
            <w:hideMark/>
          </w:tcPr>
          <w:p w14:paraId="59A1F96A"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0.00 </w:t>
            </w:r>
          </w:p>
        </w:tc>
      </w:tr>
      <w:tr w:rsidR="00E905CE" w:rsidRPr="005472F9" w14:paraId="3660F3BC" w14:textId="77777777" w:rsidTr="005472F9">
        <w:trPr>
          <w:trHeight w:val="225"/>
          <w:jc w:val="center"/>
        </w:trPr>
        <w:tc>
          <w:tcPr>
            <w:tcW w:w="3896" w:type="dxa"/>
            <w:tcBorders>
              <w:top w:val="nil"/>
              <w:left w:val="nil"/>
              <w:bottom w:val="single" w:sz="4" w:space="0" w:color="auto"/>
              <w:right w:val="nil"/>
            </w:tcBorders>
            <w:shd w:val="clear" w:color="auto" w:fill="auto"/>
            <w:noWrap/>
            <w:vAlign w:val="center"/>
            <w:hideMark/>
          </w:tcPr>
          <w:p w14:paraId="78A424C3" w14:textId="77777777" w:rsidR="00E905CE" w:rsidRPr="005472F9" w:rsidRDefault="00E905CE" w:rsidP="00C41313">
            <w:pPr>
              <w:pStyle w:val="13"/>
              <w:spacing w:line="288" w:lineRule="auto"/>
              <w:ind w:firstLineChars="0" w:firstLine="0"/>
              <w:rPr>
                <w:bCs/>
                <w:sz w:val="21"/>
                <w:szCs w:val="21"/>
              </w:rPr>
            </w:pPr>
            <w:r w:rsidRPr="005472F9">
              <w:rPr>
                <w:rFonts w:hint="eastAsia"/>
                <w:bCs/>
                <w:sz w:val="21"/>
                <w:szCs w:val="21"/>
              </w:rPr>
              <w:t>企业自由现金流</w:t>
            </w:r>
          </w:p>
        </w:tc>
        <w:tc>
          <w:tcPr>
            <w:tcW w:w="1096" w:type="dxa"/>
            <w:tcBorders>
              <w:top w:val="nil"/>
              <w:left w:val="nil"/>
              <w:bottom w:val="single" w:sz="4" w:space="0" w:color="auto"/>
              <w:right w:val="nil"/>
            </w:tcBorders>
            <w:shd w:val="clear" w:color="auto" w:fill="auto"/>
            <w:noWrap/>
            <w:vAlign w:val="center"/>
            <w:hideMark/>
          </w:tcPr>
          <w:p w14:paraId="4C2349F8"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483.25 </w:t>
            </w:r>
          </w:p>
        </w:tc>
        <w:tc>
          <w:tcPr>
            <w:tcW w:w="1096" w:type="dxa"/>
            <w:tcBorders>
              <w:top w:val="nil"/>
              <w:left w:val="nil"/>
              <w:bottom w:val="single" w:sz="4" w:space="0" w:color="auto"/>
              <w:right w:val="nil"/>
            </w:tcBorders>
            <w:shd w:val="clear" w:color="auto" w:fill="auto"/>
            <w:noWrap/>
            <w:vAlign w:val="center"/>
            <w:hideMark/>
          </w:tcPr>
          <w:p w14:paraId="00D99620"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980.86 </w:t>
            </w:r>
          </w:p>
        </w:tc>
      </w:tr>
      <w:tr w:rsidR="00E905CE" w:rsidRPr="005472F9" w14:paraId="57248712" w14:textId="77777777" w:rsidTr="005472F9">
        <w:trPr>
          <w:trHeight w:val="225"/>
          <w:jc w:val="center"/>
        </w:trPr>
        <w:tc>
          <w:tcPr>
            <w:tcW w:w="3896" w:type="dxa"/>
            <w:tcBorders>
              <w:top w:val="single" w:sz="4" w:space="0" w:color="auto"/>
              <w:left w:val="nil"/>
              <w:bottom w:val="nil"/>
              <w:right w:val="nil"/>
            </w:tcBorders>
            <w:shd w:val="clear" w:color="auto" w:fill="auto"/>
            <w:noWrap/>
            <w:vAlign w:val="center"/>
            <w:hideMark/>
          </w:tcPr>
          <w:p w14:paraId="40735049"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无风险报酬率</w:t>
            </w:r>
            <w:r w:rsidRPr="005472F9">
              <w:rPr>
                <w:sz w:val="21"/>
                <w:szCs w:val="21"/>
              </w:rPr>
              <w:t xml:space="preserve"> Rf</w:t>
            </w:r>
          </w:p>
        </w:tc>
        <w:tc>
          <w:tcPr>
            <w:tcW w:w="1096" w:type="dxa"/>
            <w:tcBorders>
              <w:top w:val="single" w:sz="4" w:space="0" w:color="auto"/>
              <w:left w:val="nil"/>
              <w:bottom w:val="nil"/>
              <w:right w:val="nil"/>
            </w:tcBorders>
            <w:shd w:val="clear" w:color="auto" w:fill="auto"/>
            <w:noWrap/>
            <w:vAlign w:val="center"/>
            <w:hideMark/>
          </w:tcPr>
          <w:p w14:paraId="22DBCF6C"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4%</w:t>
            </w:r>
          </w:p>
        </w:tc>
        <w:tc>
          <w:tcPr>
            <w:tcW w:w="1096" w:type="dxa"/>
            <w:tcBorders>
              <w:top w:val="single" w:sz="4" w:space="0" w:color="auto"/>
              <w:left w:val="nil"/>
              <w:bottom w:val="nil"/>
              <w:right w:val="nil"/>
            </w:tcBorders>
            <w:shd w:val="clear" w:color="auto" w:fill="auto"/>
            <w:noWrap/>
            <w:vAlign w:val="center"/>
            <w:hideMark/>
          </w:tcPr>
          <w:p w14:paraId="65B11FF9"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44AC84AE"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2F5EA1CB"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市场风险溢价</w:t>
            </w:r>
            <w:r w:rsidRPr="005472F9">
              <w:rPr>
                <w:sz w:val="21"/>
                <w:szCs w:val="21"/>
              </w:rPr>
              <w:t>MRP</w:t>
            </w:r>
            <w:r>
              <w:rPr>
                <w:sz w:val="21"/>
                <w:szCs w:val="21"/>
              </w:rPr>
              <w:t xml:space="preserve"> </w:t>
            </w:r>
            <w:r w:rsidRPr="005472F9">
              <w:rPr>
                <w:sz w:val="21"/>
                <w:szCs w:val="21"/>
              </w:rPr>
              <w:t>Market risk premium</w:t>
            </w:r>
          </w:p>
        </w:tc>
        <w:tc>
          <w:tcPr>
            <w:tcW w:w="1096" w:type="dxa"/>
            <w:tcBorders>
              <w:top w:val="nil"/>
              <w:left w:val="nil"/>
              <w:bottom w:val="nil"/>
              <w:right w:val="nil"/>
            </w:tcBorders>
            <w:shd w:val="clear" w:color="auto" w:fill="auto"/>
            <w:noWrap/>
            <w:vAlign w:val="center"/>
            <w:hideMark/>
          </w:tcPr>
          <w:p w14:paraId="5C71C3EF"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7%</w:t>
            </w:r>
          </w:p>
        </w:tc>
        <w:tc>
          <w:tcPr>
            <w:tcW w:w="1096" w:type="dxa"/>
            <w:tcBorders>
              <w:top w:val="nil"/>
              <w:left w:val="nil"/>
              <w:bottom w:val="nil"/>
              <w:right w:val="nil"/>
            </w:tcBorders>
            <w:shd w:val="clear" w:color="auto" w:fill="auto"/>
            <w:noWrap/>
            <w:vAlign w:val="center"/>
            <w:hideMark/>
          </w:tcPr>
          <w:p w14:paraId="137683D7" w14:textId="77777777" w:rsidR="00E905CE" w:rsidRPr="005472F9" w:rsidRDefault="00E905CE" w:rsidP="00C41313">
            <w:pPr>
              <w:pStyle w:val="13"/>
              <w:spacing w:line="288" w:lineRule="auto"/>
              <w:ind w:firstLineChars="0" w:firstLine="0"/>
              <w:jc w:val="right"/>
              <w:rPr>
                <w:b/>
                <w:bCs/>
                <w:sz w:val="21"/>
                <w:szCs w:val="21"/>
              </w:rPr>
            </w:pPr>
          </w:p>
        </w:tc>
      </w:tr>
      <w:tr w:rsidR="00E905CE" w:rsidRPr="005472F9" w14:paraId="686C6BAC"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296ADC2E" w14:textId="77777777" w:rsidR="00E905CE" w:rsidRPr="005472F9" w:rsidRDefault="00E905CE" w:rsidP="00C41313">
            <w:pPr>
              <w:pStyle w:val="13"/>
              <w:spacing w:line="288" w:lineRule="auto"/>
              <w:ind w:firstLineChars="0" w:firstLine="0"/>
              <w:rPr>
                <w:sz w:val="21"/>
                <w:szCs w:val="21"/>
              </w:rPr>
            </w:pPr>
            <w:r w:rsidRPr="005472F9">
              <w:rPr>
                <w:sz w:val="21"/>
                <w:szCs w:val="21"/>
              </w:rPr>
              <w:t>Beta U</w:t>
            </w:r>
          </w:p>
        </w:tc>
        <w:tc>
          <w:tcPr>
            <w:tcW w:w="1096" w:type="dxa"/>
            <w:tcBorders>
              <w:top w:val="nil"/>
              <w:left w:val="nil"/>
              <w:bottom w:val="nil"/>
              <w:right w:val="nil"/>
            </w:tcBorders>
            <w:shd w:val="clear" w:color="auto" w:fill="auto"/>
            <w:noWrap/>
            <w:vAlign w:val="center"/>
            <w:hideMark/>
          </w:tcPr>
          <w:p w14:paraId="038DA9CE"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1.12</w:t>
            </w:r>
          </w:p>
        </w:tc>
        <w:tc>
          <w:tcPr>
            <w:tcW w:w="1096" w:type="dxa"/>
            <w:tcBorders>
              <w:top w:val="nil"/>
              <w:left w:val="nil"/>
              <w:bottom w:val="nil"/>
              <w:right w:val="nil"/>
            </w:tcBorders>
            <w:shd w:val="clear" w:color="auto" w:fill="auto"/>
            <w:noWrap/>
            <w:vAlign w:val="center"/>
            <w:hideMark/>
          </w:tcPr>
          <w:p w14:paraId="6CB7F62F"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4AF90EAC"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226B9667"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所得税率</w:t>
            </w:r>
            <w:r w:rsidRPr="005472F9">
              <w:rPr>
                <w:sz w:val="21"/>
                <w:szCs w:val="21"/>
              </w:rPr>
              <w:t>t</w:t>
            </w:r>
          </w:p>
        </w:tc>
        <w:tc>
          <w:tcPr>
            <w:tcW w:w="1096" w:type="dxa"/>
            <w:tcBorders>
              <w:top w:val="nil"/>
              <w:left w:val="nil"/>
              <w:bottom w:val="nil"/>
              <w:right w:val="nil"/>
            </w:tcBorders>
            <w:shd w:val="clear" w:color="auto" w:fill="auto"/>
            <w:noWrap/>
            <w:vAlign w:val="center"/>
            <w:hideMark/>
          </w:tcPr>
          <w:p w14:paraId="1475BCFF"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25%</w:t>
            </w:r>
          </w:p>
        </w:tc>
        <w:tc>
          <w:tcPr>
            <w:tcW w:w="1096" w:type="dxa"/>
            <w:tcBorders>
              <w:top w:val="nil"/>
              <w:left w:val="nil"/>
              <w:bottom w:val="nil"/>
              <w:right w:val="nil"/>
            </w:tcBorders>
            <w:shd w:val="clear" w:color="auto" w:fill="auto"/>
            <w:noWrap/>
            <w:vAlign w:val="center"/>
            <w:hideMark/>
          </w:tcPr>
          <w:p w14:paraId="03E0325F"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1C684888"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4FB4C41C"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付息债务市值</w:t>
            </w:r>
            <w:r w:rsidRPr="005472F9">
              <w:rPr>
                <w:sz w:val="21"/>
                <w:szCs w:val="21"/>
              </w:rPr>
              <w:t xml:space="preserve"> D</w:t>
            </w:r>
          </w:p>
        </w:tc>
        <w:tc>
          <w:tcPr>
            <w:tcW w:w="1096" w:type="dxa"/>
            <w:tcBorders>
              <w:top w:val="nil"/>
              <w:left w:val="nil"/>
              <w:bottom w:val="nil"/>
              <w:right w:val="nil"/>
            </w:tcBorders>
            <w:shd w:val="clear" w:color="auto" w:fill="auto"/>
            <w:noWrap/>
            <w:vAlign w:val="center"/>
            <w:hideMark/>
          </w:tcPr>
          <w:p w14:paraId="64D44807"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500.00 </w:t>
            </w:r>
          </w:p>
        </w:tc>
        <w:tc>
          <w:tcPr>
            <w:tcW w:w="1096" w:type="dxa"/>
            <w:tcBorders>
              <w:top w:val="nil"/>
              <w:left w:val="nil"/>
              <w:bottom w:val="nil"/>
              <w:right w:val="nil"/>
            </w:tcBorders>
            <w:shd w:val="clear" w:color="auto" w:fill="auto"/>
            <w:noWrap/>
            <w:vAlign w:val="center"/>
            <w:hideMark/>
          </w:tcPr>
          <w:p w14:paraId="3EDC16ED"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0FCB0912"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67B3595A" w14:textId="77777777" w:rsidR="00E905CE" w:rsidRPr="005472F9" w:rsidRDefault="00E905CE" w:rsidP="00C41313">
            <w:pPr>
              <w:pStyle w:val="13"/>
              <w:spacing w:line="288" w:lineRule="auto"/>
              <w:ind w:firstLineChars="0" w:firstLine="0"/>
              <w:rPr>
                <w:b/>
                <w:sz w:val="21"/>
                <w:szCs w:val="21"/>
              </w:rPr>
            </w:pPr>
            <w:r w:rsidRPr="005472F9">
              <w:rPr>
                <w:rFonts w:hint="eastAsia"/>
                <w:b/>
                <w:sz w:val="21"/>
                <w:szCs w:val="21"/>
              </w:rPr>
              <w:t>股权市值</w:t>
            </w:r>
            <w:r w:rsidRPr="005472F9">
              <w:rPr>
                <w:b/>
                <w:sz w:val="21"/>
                <w:szCs w:val="21"/>
              </w:rPr>
              <w:t xml:space="preserve"> E</w:t>
            </w:r>
          </w:p>
        </w:tc>
        <w:tc>
          <w:tcPr>
            <w:tcW w:w="1096" w:type="dxa"/>
            <w:tcBorders>
              <w:top w:val="nil"/>
              <w:left w:val="nil"/>
              <w:bottom w:val="nil"/>
              <w:right w:val="nil"/>
            </w:tcBorders>
            <w:shd w:val="clear" w:color="auto" w:fill="auto"/>
            <w:noWrap/>
            <w:vAlign w:val="center"/>
            <w:hideMark/>
          </w:tcPr>
          <w:p w14:paraId="6677CAA1" w14:textId="77777777" w:rsidR="00E905CE" w:rsidRPr="005472F9" w:rsidRDefault="00E905CE" w:rsidP="00C41313">
            <w:pPr>
              <w:pStyle w:val="13"/>
              <w:spacing w:line="288" w:lineRule="auto"/>
              <w:ind w:firstLineChars="0" w:firstLine="0"/>
              <w:jc w:val="right"/>
              <w:rPr>
                <w:b/>
                <w:bCs/>
                <w:sz w:val="21"/>
                <w:szCs w:val="21"/>
              </w:rPr>
            </w:pPr>
            <w:r w:rsidRPr="005472F9">
              <w:rPr>
                <w:b/>
                <w:bCs/>
                <w:sz w:val="21"/>
                <w:szCs w:val="21"/>
              </w:rPr>
              <w:t xml:space="preserve">7370.86 </w:t>
            </w:r>
          </w:p>
        </w:tc>
        <w:tc>
          <w:tcPr>
            <w:tcW w:w="1096" w:type="dxa"/>
            <w:tcBorders>
              <w:top w:val="nil"/>
              <w:left w:val="nil"/>
              <w:bottom w:val="nil"/>
              <w:right w:val="nil"/>
            </w:tcBorders>
            <w:shd w:val="clear" w:color="auto" w:fill="auto"/>
            <w:noWrap/>
            <w:vAlign w:val="center"/>
            <w:hideMark/>
          </w:tcPr>
          <w:p w14:paraId="1CA562C6"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39B85877"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7B27A16C" w14:textId="77777777" w:rsidR="00E905CE" w:rsidRPr="005472F9" w:rsidRDefault="00E905CE" w:rsidP="00C41313">
            <w:pPr>
              <w:pStyle w:val="13"/>
              <w:spacing w:line="288" w:lineRule="auto"/>
              <w:ind w:firstLineChars="0" w:firstLine="0"/>
              <w:rPr>
                <w:sz w:val="21"/>
                <w:szCs w:val="21"/>
              </w:rPr>
            </w:pPr>
            <w:r w:rsidRPr="005472F9">
              <w:rPr>
                <w:sz w:val="21"/>
                <w:szCs w:val="21"/>
              </w:rPr>
              <w:t>D/E</w:t>
            </w:r>
          </w:p>
        </w:tc>
        <w:tc>
          <w:tcPr>
            <w:tcW w:w="1096" w:type="dxa"/>
            <w:tcBorders>
              <w:top w:val="nil"/>
              <w:left w:val="nil"/>
              <w:bottom w:val="nil"/>
              <w:right w:val="nil"/>
            </w:tcBorders>
            <w:shd w:val="clear" w:color="auto" w:fill="auto"/>
            <w:noWrap/>
            <w:vAlign w:val="center"/>
            <w:hideMark/>
          </w:tcPr>
          <w:p w14:paraId="3A689AAE"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6.78%</w:t>
            </w:r>
          </w:p>
        </w:tc>
        <w:tc>
          <w:tcPr>
            <w:tcW w:w="1096" w:type="dxa"/>
            <w:tcBorders>
              <w:top w:val="nil"/>
              <w:left w:val="nil"/>
              <w:bottom w:val="nil"/>
              <w:right w:val="nil"/>
            </w:tcBorders>
            <w:shd w:val="clear" w:color="auto" w:fill="auto"/>
            <w:noWrap/>
            <w:vAlign w:val="center"/>
            <w:hideMark/>
          </w:tcPr>
          <w:p w14:paraId="5A02D528"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60ED8063"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7026AD83"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企业整体价值</w:t>
            </w:r>
            <w:r w:rsidRPr="005472F9">
              <w:rPr>
                <w:sz w:val="21"/>
                <w:szCs w:val="21"/>
              </w:rPr>
              <w:t xml:space="preserve"> V=D+E</w:t>
            </w:r>
          </w:p>
        </w:tc>
        <w:tc>
          <w:tcPr>
            <w:tcW w:w="1096" w:type="dxa"/>
            <w:tcBorders>
              <w:top w:val="nil"/>
              <w:left w:val="nil"/>
              <w:bottom w:val="nil"/>
              <w:right w:val="nil"/>
            </w:tcBorders>
            <w:shd w:val="clear" w:color="auto" w:fill="auto"/>
            <w:noWrap/>
            <w:vAlign w:val="center"/>
            <w:hideMark/>
          </w:tcPr>
          <w:p w14:paraId="16DB6417"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7870.86 </w:t>
            </w:r>
          </w:p>
        </w:tc>
        <w:tc>
          <w:tcPr>
            <w:tcW w:w="1096" w:type="dxa"/>
            <w:tcBorders>
              <w:top w:val="nil"/>
              <w:left w:val="nil"/>
              <w:bottom w:val="nil"/>
              <w:right w:val="nil"/>
            </w:tcBorders>
            <w:shd w:val="clear" w:color="auto" w:fill="auto"/>
            <w:noWrap/>
            <w:vAlign w:val="center"/>
            <w:hideMark/>
          </w:tcPr>
          <w:p w14:paraId="799B969A" w14:textId="77777777" w:rsidR="00E905CE" w:rsidRPr="005472F9" w:rsidRDefault="00E905CE" w:rsidP="00C41313">
            <w:pPr>
              <w:pStyle w:val="13"/>
              <w:spacing w:line="288" w:lineRule="auto"/>
              <w:ind w:firstLineChars="0" w:firstLine="0"/>
              <w:jc w:val="right"/>
              <w:rPr>
                <w:b/>
                <w:bCs/>
                <w:sz w:val="21"/>
                <w:szCs w:val="21"/>
              </w:rPr>
            </w:pPr>
          </w:p>
        </w:tc>
      </w:tr>
      <w:tr w:rsidR="00E905CE" w:rsidRPr="005472F9" w14:paraId="238727AD"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12634C48" w14:textId="77777777" w:rsidR="00E905CE" w:rsidRPr="005472F9" w:rsidRDefault="00E905CE" w:rsidP="00C41313">
            <w:pPr>
              <w:pStyle w:val="13"/>
              <w:spacing w:line="288" w:lineRule="auto"/>
              <w:ind w:firstLineChars="0" w:firstLine="0"/>
              <w:rPr>
                <w:sz w:val="21"/>
                <w:szCs w:val="21"/>
              </w:rPr>
            </w:pPr>
            <w:r w:rsidRPr="005472F9">
              <w:rPr>
                <w:sz w:val="21"/>
                <w:szCs w:val="21"/>
              </w:rPr>
              <w:t>Beta L=Beta U*(1+(1-</w:t>
            </w:r>
            <w:proofErr w:type="gramStart"/>
            <w:r w:rsidRPr="005472F9">
              <w:rPr>
                <w:sz w:val="21"/>
                <w:szCs w:val="21"/>
              </w:rPr>
              <w:t>t)*</w:t>
            </w:r>
            <w:proofErr w:type="gramEnd"/>
            <w:r w:rsidRPr="005472F9">
              <w:rPr>
                <w:sz w:val="21"/>
                <w:szCs w:val="21"/>
              </w:rPr>
              <w:t>D/E)</w:t>
            </w:r>
          </w:p>
        </w:tc>
        <w:tc>
          <w:tcPr>
            <w:tcW w:w="1096" w:type="dxa"/>
            <w:tcBorders>
              <w:top w:val="nil"/>
              <w:left w:val="nil"/>
              <w:bottom w:val="nil"/>
              <w:right w:val="nil"/>
            </w:tcBorders>
            <w:shd w:val="clear" w:color="auto" w:fill="auto"/>
            <w:noWrap/>
            <w:vAlign w:val="center"/>
            <w:hideMark/>
          </w:tcPr>
          <w:p w14:paraId="0672125E"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1.1770 </w:t>
            </w:r>
          </w:p>
        </w:tc>
        <w:tc>
          <w:tcPr>
            <w:tcW w:w="1096" w:type="dxa"/>
            <w:tcBorders>
              <w:top w:val="nil"/>
              <w:left w:val="nil"/>
              <w:bottom w:val="nil"/>
              <w:right w:val="nil"/>
            </w:tcBorders>
            <w:shd w:val="clear" w:color="auto" w:fill="auto"/>
            <w:noWrap/>
            <w:vAlign w:val="center"/>
            <w:hideMark/>
          </w:tcPr>
          <w:p w14:paraId="61375A11"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48185A29"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1309E819"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特别风险系数</w:t>
            </w:r>
            <w:proofErr w:type="spellStart"/>
            <w:r w:rsidRPr="005472F9">
              <w:rPr>
                <w:sz w:val="21"/>
                <w:szCs w:val="21"/>
              </w:rPr>
              <w:t>Rc</w:t>
            </w:r>
            <w:proofErr w:type="spellEnd"/>
          </w:p>
        </w:tc>
        <w:tc>
          <w:tcPr>
            <w:tcW w:w="1096" w:type="dxa"/>
            <w:tcBorders>
              <w:top w:val="nil"/>
              <w:left w:val="nil"/>
              <w:bottom w:val="nil"/>
              <w:right w:val="nil"/>
            </w:tcBorders>
            <w:shd w:val="clear" w:color="auto" w:fill="auto"/>
            <w:noWrap/>
            <w:vAlign w:val="center"/>
            <w:hideMark/>
          </w:tcPr>
          <w:p w14:paraId="7E19CF29"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0%</w:t>
            </w:r>
          </w:p>
        </w:tc>
        <w:tc>
          <w:tcPr>
            <w:tcW w:w="1096" w:type="dxa"/>
            <w:tcBorders>
              <w:top w:val="nil"/>
              <w:left w:val="nil"/>
              <w:bottom w:val="nil"/>
              <w:right w:val="nil"/>
            </w:tcBorders>
            <w:shd w:val="clear" w:color="auto" w:fill="auto"/>
            <w:noWrap/>
            <w:vAlign w:val="center"/>
            <w:hideMark/>
          </w:tcPr>
          <w:p w14:paraId="3F2D4E0F"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0220B236"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6947A006"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股权资本成本</w:t>
            </w:r>
            <w:r w:rsidRPr="005472F9">
              <w:rPr>
                <w:sz w:val="21"/>
                <w:szCs w:val="21"/>
              </w:rPr>
              <w:t xml:space="preserve"> </w:t>
            </w:r>
            <w:proofErr w:type="spellStart"/>
            <w:r w:rsidRPr="005472F9">
              <w:rPr>
                <w:sz w:val="21"/>
                <w:szCs w:val="21"/>
              </w:rPr>
              <w:t>Ke</w:t>
            </w:r>
            <w:proofErr w:type="spellEnd"/>
            <w:r w:rsidRPr="005472F9">
              <w:rPr>
                <w:sz w:val="21"/>
                <w:szCs w:val="21"/>
              </w:rPr>
              <w:t>=</w:t>
            </w:r>
            <w:proofErr w:type="spellStart"/>
            <w:r w:rsidRPr="005472F9">
              <w:rPr>
                <w:sz w:val="21"/>
                <w:szCs w:val="21"/>
              </w:rPr>
              <w:t>Rf+Beta</w:t>
            </w:r>
            <w:proofErr w:type="spellEnd"/>
            <w:r w:rsidRPr="005472F9">
              <w:rPr>
                <w:sz w:val="21"/>
                <w:szCs w:val="21"/>
              </w:rPr>
              <w:t xml:space="preserve"> L*</w:t>
            </w:r>
            <w:proofErr w:type="spellStart"/>
            <w:r w:rsidRPr="005472F9">
              <w:rPr>
                <w:sz w:val="21"/>
                <w:szCs w:val="21"/>
              </w:rPr>
              <w:t>MRP+Rc</w:t>
            </w:r>
            <w:proofErr w:type="spellEnd"/>
          </w:p>
        </w:tc>
        <w:tc>
          <w:tcPr>
            <w:tcW w:w="1096" w:type="dxa"/>
            <w:tcBorders>
              <w:top w:val="nil"/>
              <w:left w:val="nil"/>
              <w:bottom w:val="nil"/>
              <w:right w:val="nil"/>
            </w:tcBorders>
            <w:shd w:val="clear" w:color="auto" w:fill="auto"/>
            <w:noWrap/>
            <w:vAlign w:val="center"/>
            <w:hideMark/>
          </w:tcPr>
          <w:p w14:paraId="7BD2EACE"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12.24%</w:t>
            </w:r>
          </w:p>
        </w:tc>
        <w:tc>
          <w:tcPr>
            <w:tcW w:w="1096" w:type="dxa"/>
            <w:tcBorders>
              <w:top w:val="nil"/>
              <w:left w:val="nil"/>
              <w:bottom w:val="nil"/>
              <w:right w:val="nil"/>
            </w:tcBorders>
            <w:shd w:val="clear" w:color="auto" w:fill="auto"/>
            <w:noWrap/>
            <w:vAlign w:val="center"/>
            <w:hideMark/>
          </w:tcPr>
          <w:p w14:paraId="6586DEDD"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44683603"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3B6160A3"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债权资本成本</w:t>
            </w:r>
            <w:r w:rsidRPr="005472F9">
              <w:rPr>
                <w:sz w:val="21"/>
                <w:szCs w:val="21"/>
              </w:rPr>
              <w:t xml:space="preserve"> </w:t>
            </w:r>
            <w:proofErr w:type="spellStart"/>
            <w:r w:rsidRPr="005472F9">
              <w:rPr>
                <w:sz w:val="21"/>
                <w:szCs w:val="21"/>
              </w:rPr>
              <w:t>Kd</w:t>
            </w:r>
            <w:proofErr w:type="spellEnd"/>
          </w:p>
        </w:tc>
        <w:tc>
          <w:tcPr>
            <w:tcW w:w="1096" w:type="dxa"/>
            <w:tcBorders>
              <w:top w:val="nil"/>
              <w:left w:val="nil"/>
              <w:bottom w:val="nil"/>
              <w:right w:val="nil"/>
            </w:tcBorders>
            <w:shd w:val="clear" w:color="auto" w:fill="auto"/>
            <w:noWrap/>
            <w:vAlign w:val="center"/>
            <w:hideMark/>
          </w:tcPr>
          <w:p w14:paraId="21C52EB3"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7%</w:t>
            </w:r>
          </w:p>
        </w:tc>
        <w:tc>
          <w:tcPr>
            <w:tcW w:w="1096" w:type="dxa"/>
            <w:tcBorders>
              <w:top w:val="nil"/>
              <w:left w:val="nil"/>
              <w:bottom w:val="nil"/>
              <w:right w:val="nil"/>
            </w:tcBorders>
            <w:shd w:val="clear" w:color="auto" w:fill="auto"/>
            <w:noWrap/>
            <w:vAlign w:val="center"/>
            <w:hideMark/>
          </w:tcPr>
          <w:p w14:paraId="249D5F92"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76FC04A4" w14:textId="77777777" w:rsidTr="005472F9">
        <w:trPr>
          <w:trHeight w:val="225"/>
          <w:jc w:val="center"/>
        </w:trPr>
        <w:tc>
          <w:tcPr>
            <w:tcW w:w="3896" w:type="dxa"/>
            <w:tcBorders>
              <w:top w:val="nil"/>
              <w:left w:val="nil"/>
              <w:bottom w:val="single" w:sz="4" w:space="0" w:color="auto"/>
              <w:right w:val="nil"/>
            </w:tcBorders>
            <w:shd w:val="clear" w:color="auto" w:fill="auto"/>
            <w:noWrap/>
            <w:vAlign w:val="center"/>
            <w:hideMark/>
          </w:tcPr>
          <w:p w14:paraId="6CECDFFD"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折现率</w:t>
            </w:r>
            <w:r w:rsidRPr="005472F9">
              <w:rPr>
                <w:sz w:val="21"/>
                <w:szCs w:val="21"/>
              </w:rPr>
              <w:t>WACC=</w:t>
            </w:r>
            <w:proofErr w:type="spellStart"/>
            <w:r w:rsidRPr="005472F9">
              <w:rPr>
                <w:sz w:val="21"/>
                <w:szCs w:val="21"/>
              </w:rPr>
              <w:t>Ke</w:t>
            </w:r>
            <w:proofErr w:type="spellEnd"/>
            <w:r w:rsidRPr="005472F9">
              <w:rPr>
                <w:sz w:val="21"/>
                <w:szCs w:val="21"/>
              </w:rPr>
              <w:t>*E/</w:t>
            </w:r>
            <w:proofErr w:type="spellStart"/>
            <w:r w:rsidRPr="005472F9">
              <w:rPr>
                <w:sz w:val="21"/>
                <w:szCs w:val="21"/>
              </w:rPr>
              <w:t>V+Kd</w:t>
            </w:r>
            <w:proofErr w:type="spellEnd"/>
            <w:r w:rsidRPr="005472F9">
              <w:rPr>
                <w:sz w:val="21"/>
                <w:szCs w:val="21"/>
              </w:rPr>
              <w:t>*(1-t)*D/V</w:t>
            </w:r>
          </w:p>
        </w:tc>
        <w:tc>
          <w:tcPr>
            <w:tcW w:w="1096" w:type="dxa"/>
            <w:tcBorders>
              <w:top w:val="nil"/>
              <w:left w:val="nil"/>
              <w:bottom w:val="single" w:sz="4" w:space="0" w:color="auto"/>
              <w:right w:val="nil"/>
            </w:tcBorders>
            <w:shd w:val="clear" w:color="auto" w:fill="auto"/>
            <w:noWrap/>
            <w:vAlign w:val="center"/>
            <w:hideMark/>
          </w:tcPr>
          <w:p w14:paraId="5659D103"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11.79%</w:t>
            </w:r>
          </w:p>
        </w:tc>
        <w:tc>
          <w:tcPr>
            <w:tcW w:w="1096" w:type="dxa"/>
            <w:tcBorders>
              <w:top w:val="nil"/>
              <w:left w:val="nil"/>
              <w:bottom w:val="single" w:sz="4" w:space="0" w:color="auto"/>
              <w:right w:val="nil"/>
            </w:tcBorders>
            <w:shd w:val="clear" w:color="auto" w:fill="auto"/>
            <w:noWrap/>
            <w:vAlign w:val="center"/>
            <w:hideMark/>
          </w:tcPr>
          <w:p w14:paraId="4EB453B4"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1A34B00D" w14:textId="77777777" w:rsidTr="005472F9">
        <w:trPr>
          <w:trHeight w:val="225"/>
          <w:jc w:val="center"/>
        </w:trPr>
        <w:tc>
          <w:tcPr>
            <w:tcW w:w="3896" w:type="dxa"/>
            <w:tcBorders>
              <w:top w:val="single" w:sz="4" w:space="0" w:color="auto"/>
              <w:left w:val="nil"/>
              <w:bottom w:val="nil"/>
              <w:right w:val="nil"/>
            </w:tcBorders>
            <w:shd w:val="clear" w:color="auto" w:fill="auto"/>
            <w:noWrap/>
            <w:vAlign w:val="center"/>
            <w:hideMark/>
          </w:tcPr>
          <w:p w14:paraId="3D4B0921"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折现系数</w:t>
            </w:r>
          </w:p>
        </w:tc>
        <w:tc>
          <w:tcPr>
            <w:tcW w:w="1096" w:type="dxa"/>
            <w:tcBorders>
              <w:top w:val="single" w:sz="4" w:space="0" w:color="auto"/>
              <w:left w:val="nil"/>
              <w:bottom w:val="nil"/>
              <w:right w:val="nil"/>
            </w:tcBorders>
            <w:shd w:val="clear" w:color="auto" w:fill="auto"/>
            <w:noWrap/>
            <w:vAlign w:val="center"/>
            <w:hideMark/>
          </w:tcPr>
          <w:p w14:paraId="02AA1314"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0.8945 </w:t>
            </w:r>
          </w:p>
        </w:tc>
        <w:tc>
          <w:tcPr>
            <w:tcW w:w="1096" w:type="dxa"/>
            <w:tcBorders>
              <w:top w:val="single" w:sz="4" w:space="0" w:color="auto"/>
              <w:left w:val="nil"/>
              <w:bottom w:val="nil"/>
              <w:right w:val="nil"/>
            </w:tcBorders>
            <w:shd w:val="clear" w:color="auto" w:fill="auto"/>
            <w:noWrap/>
            <w:vAlign w:val="center"/>
            <w:hideMark/>
          </w:tcPr>
          <w:p w14:paraId="51AAA2CF"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7.5837 </w:t>
            </w:r>
          </w:p>
        </w:tc>
      </w:tr>
      <w:tr w:rsidR="00E905CE" w:rsidRPr="005472F9" w14:paraId="2B319FD5"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7252ACD3"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折现值</w:t>
            </w:r>
          </w:p>
        </w:tc>
        <w:tc>
          <w:tcPr>
            <w:tcW w:w="1096" w:type="dxa"/>
            <w:tcBorders>
              <w:top w:val="nil"/>
              <w:left w:val="nil"/>
              <w:bottom w:val="nil"/>
              <w:right w:val="nil"/>
            </w:tcBorders>
            <w:shd w:val="clear" w:color="auto" w:fill="auto"/>
            <w:noWrap/>
            <w:vAlign w:val="center"/>
            <w:hideMark/>
          </w:tcPr>
          <w:p w14:paraId="68BD0D24"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432.26</w:t>
            </w:r>
          </w:p>
        </w:tc>
        <w:tc>
          <w:tcPr>
            <w:tcW w:w="1096" w:type="dxa"/>
            <w:tcBorders>
              <w:top w:val="nil"/>
              <w:left w:val="nil"/>
              <w:bottom w:val="nil"/>
              <w:right w:val="nil"/>
            </w:tcBorders>
            <w:shd w:val="clear" w:color="auto" w:fill="auto"/>
            <w:noWrap/>
            <w:vAlign w:val="center"/>
            <w:hideMark/>
          </w:tcPr>
          <w:p w14:paraId="37AE0CE6"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7438.59</w:t>
            </w:r>
          </w:p>
        </w:tc>
      </w:tr>
      <w:tr w:rsidR="00E905CE" w:rsidRPr="005472F9" w14:paraId="080E3B5F"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29CD84C6"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企业整体价值</w:t>
            </w:r>
            <w:r w:rsidRPr="005472F9">
              <w:rPr>
                <w:sz w:val="21"/>
                <w:szCs w:val="21"/>
              </w:rPr>
              <w:t>V</w:t>
            </w:r>
          </w:p>
        </w:tc>
        <w:tc>
          <w:tcPr>
            <w:tcW w:w="1096" w:type="dxa"/>
            <w:tcBorders>
              <w:top w:val="nil"/>
              <w:left w:val="nil"/>
              <w:bottom w:val="nil"/>
              <w:right w:val="nil"/>
            </w:tcBorders>
            <w:shd w:val="clear" w:color="auto" w:fill="auto"/>
            <w:noWrap/>
            <w:vAlign w:val="center"/>
            <w:hideMark/>
          </w:tcPr>
          <w:p w14:paraId="4C6B63F7"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7870.86 </w:t>
            </w:r>
          </w:p>
        </w:tc>
        <w:tc>
          <w:tcPr>
            <w:tcW w:w="1096" w:type="dxa"/>
            <w:tcBorders>
              <w:top w:val="nil"/>
              <w:left w:val="nil"/>
              <w:bottom w:val="nil"/>
              <w:right w:val="nil"/>
            </w:tcBorders>
            <w:shd w:val="clear" w:color="auto" w:fill="auto"/>
            <w:noWrap/>
            <w:vAlign w:val="center"/>
            <w:hideMark/>
          </w:tcPr>
          <w:p w14:paraId="4EE6D1DF"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4C048F89"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25085972" w14:textId="77777777" w:rsidR="00E905CE" w:rsidRPr="005472F9" w:rsidRDefault="00E905CE" w:rsidP="00C41313">
            <w:pPr>
              <w:pStyle w:val="13"/>
              <w:spacing w:line="288" w:lineRule="auto"/>
              <w:ind w:firstLineChars="0" w:firstLine="0"/>
              <w:rPr>
                <w:sz w:val="21"/>
                <w:szCs w:val="21"/>
              </w:rPr>
            </w:pPr>
            <w:r w:rsidRPr="005472F9">
              <w:rPr>
                <w:rFonts w:hint="eastAsia"/>
                <w:sz w:val="21"/>
                <w:szCs w:val="21"/>
              </w:rPr>
              <w:t>付息债务市值</w:t>
            </w:r>
            <w:r w:rsidRPr="005472F9">
              <w:rPr>
                <w:sz w:val="21"/>
                <w:szCs w:val="21"/>
              </w:rPr>
              <w:t>D</w:t>
            </w:r>
          </w:p>
        </w:tc>
        <w:tc>
          <w:tcPr>
            <w:tcW w:w="1096" w:type="dxa"/>
            <w:tcBorders>
              <w:top w:val="nil"/>
              <w:left w:val="nil"/>
              <w:bottom w:val="nil"/>
              <w:right w:val="nil"/>
            </w:tcBorders>
            <w:shd w:val="clear" w:color="auto" w:fill="auto"/>
            <w:noWrap/>
            <w:vAlign w:val="center"/>
            <w:hideMark/>
          </w:tcPr>
          <w:p w14:paraId="4C5C2B27" w14:textId="77777777" w:rsidR="00E905CE" w:rsidRPr="005472F9" w:rsidRDefault="00E905CE" w:rsidP="00C41313">
            <w:pPr>
              <w:pStyle w:val="13"/>
              <w:spacing w:line="288" w:lineRule="auto"/>
              <w:ind w:firstLineChars="0" w:firstLine="0"/>
              <w:jc w:val="right"/>
              <w:rPr>
                <w:sz w:val="21"/>
                <w:szCs w:val="21"/>
              </w:rPr>
            </w:pPr>
            <w:r w:rsidRPr="005472F9">
              <w:rPr>
                <w:sz w:val="21"/>
                <w:szCs w:val="21"/>
              </w:rPr>
              <w:t xml:space="preserve">500.00 </w:t>
            </w:r>
          </w:p>
        </w:tc>
        <w:tc>
          <w:tcPr>
            <w:tcW w:w="1096" w:type="dxa"/>
            <w:tcBorders>
              <w:top w:val="nil"/>
              <w:left w:val="nil"/>
              <w:bottom w:val="nil"/>
              <w:right w:val="nil"/>
            </w:tcBorders>
            <w:shd w:val="clear" w:color="auto" w:fill="auto"/>
            <w:noWrap/>
            <w:vAlign w:val="center"/>
            <w:hideMark/>
          </w:tcPr>
          <w:p w14:paraId="06F04E9D" w14:textId="77777777" w:rsidR="00E905CE" w:rsidRPr="005472F9" w:rsidRDefault="00E905CE" w:rsidP="00C41313">
            <w:pPr>
              <w:pStyle w:val="13"/>
              <w:spacing w:line="288" w:lineRule="auto"/>
              <w:ind w:firstLineChars="0" w:firstLine="0"/>
              <w:jc w:val="right"/>
              <w:rPr>
                <w:sz w:val="21"/>
                <w:szCs w:val="21"/>
              </w:rPr>
            </w:pPr>
          </w:p>
        </w:tc>
      </w:tr>
      <w:tr w:rsidR="00E905CE" w:rsidRPr="005472F9" w14:paraId="49E80EDA" w14:textId="77777777" w:rsidTr="005472F9">
        <w:trPr>
          <w:trHeight w:val="225"/>
          <w:jc w:val="center"/>
        </w:trPr>
        <w:tc>
          <w:tcPr>
            <w:tcW w:w="3896" w:type="dxa"/>
            <w:tcBorders>
              <w:top w:val="nil"/>
              <w:left w:val="nil"/>
              <w:bottom w:val="nil"/>
              <w:right w:val="nil"/>
            </w:tcBorders>
            <w:shd w:val="clear" w:color="auto" w:fill="auto"/>
            <w:noWrap/>
            <w:vAlign w:val="center"/>
            <w:hideMark/>
          </w:tcPr>
          <w:p w14:paraId="660364F1" w14:textId="77777777" w:rsidR="00E905CE" w:rsidRPr="005472F9" w:rsidRDefault="00E905CE" w:rsidP="00C41313">
            <w:pPr>
              <w:pStyle w:val="13"/>
              <w:spacing w:line="288" w:lineRule="auto"/>
              <w:ind w:firstLineChars="0" w:firstLine="0"/>
              <w:rPr>
                <w:b/>
                <w:bCs/>
                <w:sz w:val="21"/>
                <w:szCs w:val="21"/>
              </w:rPr>
            </w:pPr>
            <w:r w:rsidRPr="005472F9">
              <w:rPr>
                <w:rFonts w:hint="eastAsia"/>
                <w:b/>
                <w:bCs/>
                <w:sz w:val="21"/>
                <w:szCs w:val="21"/>
              </w:rPr>
              <w:t>股权评估价值</w:t>
            </w:r>
            <w:r w:rsidRPr="005472F9">
              <w:rPr>
                <w:b/>
                <w:bCs/>
                <w:sz w:val="21"/>
                <w:szCs w:val="21"/>
              </w:rPr>
              <w:t>E=V-D</w:t>
            </w:r>
          </w:p>
        </w:tc>
        <w:tc>
          <w:tcPr>
            <w:tcW w:w="1096" w:type="dxa"/>
            <w:tcBorders>
              <w:top w:val="nil"/>
              <w:left w:val="nil"/>
              <w:bottom w:val="nil"/>
              <w:right w:val="nil"/>
            </w:tcBorders>
            <w:shd w:val="clear" w:color="auto" w:fill="auto"/>
            <w:noWrap/>
            <w:vAlign w:val="center"/>
            <w:hideMark/>
          </w:tcPr>
          <w:p w14:paraId="2B445A27" w14:textId="77777777" w:rsidR="00E905CE" w:rsidRPr="005472F9" w:rsidRDefault="00E905CE" w:rsidP="00C41313">
            <w:pPr>
              <w:pStyle w:val="13"/>
              <w:spacing w:line="288" w:lineRule="auto"/>
              <w:ind w:firstLineChars="0" w:firstLine="0"/>
              <w:jc w:val="right"/>
              <w:rPr>
                <w:b/>
                <w:bCs/>
                <w:sz w:val="21"/>
                <w:szCs w:val="21"/>
              </w:rPr>
            </w:pPr>
            <w:r w:rsidRPr="005472F9">
              <w:rPr>
                <w:b/>
                <w:bCs/>
                <w:sz w:val="21"/>
                <w:szCs w:val="21"/>
              </w:rPr>
              <w:t xml:space="preserve">7370.86 </w:t>
            </w:r>
          </w:p>
        </w:tc>
        <w:tc>
          <w:tcPr>
            <w:tcW w:w="1096" w:type="dxa"/>
            <w:tcBorders>
              <w:top w:val="nil"/>
              <w:left w:val="nil"/>
              <w:bottom w:val="nil"/>
              <w:right w:val="nil"/>
            </w:tcBorders>
            <w:shd w:val="clear" w:color="auto" w:fill="auto"/>
            <w:noWrap/>
            <w:vAlign w:val="center"/>
            <w:hideMark/>
          </w:tcPr>
          <w:p w14:paraId="78435385" w14:textId="77777777" w:rsidR="00E905CE" w:rsidRPr="005472F9" w:rsidRDefault="00E905CE" w:rsidP="00C41313">
            <w:pPr>
              <w:pStyle w:val="13"/>
              <w:spacing w:line="288" w:lineRule="auto"/>
              <w:ind w:firstLineChars="0" w:firstLine="0"/>
              <w:jc w:val="right"/>
              <w:rPr>
                <w:sz w:val="21"/>
                <w:szCs w:val="21"/>
              </w:rPr>
            </w:pPr>
          </w:p>
        </w:tc>
      </w:tr>
    </w:tbl>
    <w:p w14:paraId="668E8CA5" w14:textId="77777777" w:rsidR="00E905CE" w:rsidRPr="005472F9" w:rsidRDefault="00E905CE" w:rsidP="00E905CE">
      <w:pPr>
        <w:pStyle w:val="13"/>
      </w:pPr>
    </w:p>
    <w:p w14:paraId="05B692C7" w14:textId="77777777" w:rsidR="00E905CE" w:rsidRDefault="00E905CE" w:rsidP="00C34C28">
      <w:pPr>
        <w:pStyle w:val="ab"/>
        <w:spacing w:before="62" w:after="62"/>
        <w:ind w:firstLine="482"/>
      </w:pPr>
      <w:r>
        <w:rPr>
          <w:rFonts w:hint="eastAsia"/>
        </w:rPr>
        <w:lastRenderedPageBreak/>
        <w:t>二、敏感性分析</w:t>
      </w:r>
    </w:p>
    <w:p w14:paraId="482980EF" w14:textId="77777777" w:rsidR="00E905CE" w:rsidRDefault="00E905CE" w:rsidP="00E905CE">
      <w:pPr>
        <w:pStyle w:val="13"/>
      </w:pPr>
      <w:r>
        <w:rPr>
          <w:rFonts w:hint="eastAsia"/>
        </w:rPr>
        <w:t>（一）识别敏感性因素</w:t>
      </w:r>
    </w:p>
    <w:p w14:paraId="7B4423D7" w14:textId="77777777" w:rsidR="00E905CE" w:rsidRDefault="00E905CE" w:rsidP="00E905CE">
      <w:pPr>
        <w:pStyle w:val="13"/>
      </w:pPr>
      <w:r>
        <w:rPr>
          <w:rFonts w:hint="eastAsia"/>
        </w:rPr>
        <w:t>首先根据实际情况，充分考虑各主要评估参数的经济意义，对主要评估参数进行分析筛选。</w:t>
      </w:r>
    </w:p>
    <w:p w14:paraId="001FF934" w14:textId="77777777" w:rsidR="00E905CE" w:rsidRDefault="00E905CE" w:rsidP="00E905CE">
      <w:pPr>
        <w:pStyle w:val="13"/>
      </w:pPr>
      <w:r>
        <w:rPr>
          <w:rFonts w:hint="eastAsia"/>
        </w:rPr>
        <w:t>在与现金</w:t>
      </w:r>
      <w:proofErr w:type="gramStart"/>
      <w:r>
        <w:rPr>
          <w:rFonts w:hint="eastAsia"/>
        </w:rPr>
        <w:t>流有关</w:t>
      </w:r>
      <w:proofErr w:type="gramEnd"/>
      <w:r>
        <w:rPr>
          <w:rFonts w:hint="eastAsia"/>
        </w:rPr>
        <w:t>的参数中，选择业务单价、业务量、单位可变成本和永续期资本性支出作为考察对象。由于固定成本相对较小，各项费用总额较低，税率和利率固定，因此对这些参数不需考察。</w:t>
      </w:r>
    </w:p>
    <w:p w14:paraId="65A7EA5F" w14:textId="77777777" w:rsidR="00E905CE" w:rsidRDefault="00E905CE" w:rsidP="00E905CE">
      <w:pPr>
        <w:pStyle w:val="13"/>
      </w:pPr>
      <w:r>
        <w:rPr>
          <w:rFonts w:hint="eastAsia"/>
        </w:rPr>
        <w:t>在与折现率有关的参数中，无风险报酬率、贝塔系数、所得税率和债务市值等都有明确取值依据或来源，故选择市场风险溢价作为考察对象。</w:t>
      </w:r>
    </w:p>
    <w:p w14:paraId="75D73E56" w14:textId="77777777" w:rsidR="00E905CE" w:rsidRDefault="00E905CE" w:rsidP="00E905CE">
      <w:pPr>
        <w:pStyle w:val="13"/>
      </w:pPr>
      <w:r>
        <w:rPr>
          <w:rFonts w:hint="eastAsia"/>
        </w:rPr>
        <w:t>对各参数分别取±</w:t>
      </w:r>
      <w:r>
        <w:t>5%的相对变动幅度，计算各种变动情况下的评估值、评估值变动率，得到各参数的敏感性系数，如下表所示。</w:t>
      </w:r>
    </w:p>
    <w:tbl>
      <w:tblPr>
        <w:tblW w:w="6644" w:type="dxa"/>
        <w:jc w:val="center"/>
        <w:tblLook w:val="04A0" w:firstRow="1" w:lastRow="0" w:firstColumn="1" w:lastColumn="0" w:noHBand="0" w:noVBand="1"/>
      </w:tblPr>
      <w:tblGrid>
        <w:gridCol w:w="2636"/>
        <w:gridCol w:w="1336"/>
        <w:gridCol w:w="1336"/>
        <w:gridCol w:w="1336"/>
      </w:tblGrid>
      <w:tr w:rsidR="00E905CE" w:rsidRPr="005472F9" w14:paraId="7D72BB58" w14:textId="77777777" w:rsidTr="005472F9">
        <w:trPr>
          <w:trHeight w:val="270"/>
          <w:jc w:val="center"/>
        </w:trPr>
        <w:tc>
          <w:tcPr>
            <w:tcW w:w="6644" w:type="dxa"/>
            <w:gridSpan w:val="4"/>
            <w:tcBorders>
              <w:bottom w:val="single" w:sz="4" w:space="0" w:color="auto"/>
            </w:tcBorders>
            <w:shd w:val="clear" w:color="auto" w:fill="auto"/>
            <w:noWrap/>
            <w:vAlign w:val="center"/>
            <w:hideMark/>
          </w:tcPr>
          <w:p w14:paraId="5D7F732F" w14:textId="77777777" w:rsidR="00E905CE" w:rsidRPr="005472F9" w:rsidRDefault="00E905CE" w:rsidP="00C41313">
            <w:pPr>
              <w:pStyle w:val="13"/>
              <w:ind w:firstLineChars="0" w:firstLine="0"/>
              <w:jc w:val="center"/>
              <w:rPr>
                <w:sz w:val="21"/>
                <w:szCs w:val="21"/>
              </w:rPr>
            </w:pPr>
            <w:r w:rsidRPr="005472F9">
              <w:rPr>
                <w:sz w:val="21"/>
                <w:szCs w:val="21"/>
              </w:rPr>
              <w:t>各参数分别变动下的评估值（万元）</w:t>
            </w:r>
          </w:p>
        </w:tc>
      </w:tr>
      <w:tr w:rsidR="00E905CE" w:rsidRPr="005472F9" w14:paraId="3C1ACB5D" w14:textId="77777777" w:rsidTr="005472F9">
        <w:trPr>
          <w:trHeight w:val="270"/>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A270A" w14:textId="77777777" w:rsidR="00E905CE" w:rsidRPr="005472F9" w:rsidRDefault="00E905CE" w:rsidP="00C41313">
            <w:pPr>
              <w:pStyle w:val="13"/>
              <w:ind w:firstLineChars="0" w:firstLine="0"/>
              <w:rPr>
                <w:sz w:val="21"/>
                <w:szCs w:val="21"/>
              </w:rPr>
            </w:pP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87F15" w14:textId="77777777" w:rsidR="00E905CE" w:rsidRPr="005472F9" w:rsidRDefault="00E905CE" w:rsidP="00C41313">
            <w:pPr>
              <w:pStyle w:val="13"/>
              <w:ind w:firstLineChars="0" w:firstLine="0"/>
              <w:jc w:val="right"/>
              <w:rPr>
                <w:sz w:val="21"/>
                <w:szCs w:val="21"/>
              </w:rPr>
            </w:pPr>
            <w:r w:rsidRPr="005472F9">
              <w:rPr>
                <w:sz w:val="21"/>
                <w:szCs w:val="21"/>
              </w:rPr>
              <w:t>-5%</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FF0F1" w14:textId="77777777" w:rsidR="00E905CE" w:rsidRPr="005472F9" w:rsidRDefault="00E905CE" w:rsidP="00C41313">
            <w:pPr>
              <w:pStyle w:val="13"/>
              <w:ind w:firstLineChars="0" w:firstLine="0"/>
              <w:jc w:val="right"/>
              <w:rPr>
                <w:sz w:val="21"/>
                <w:szCs w:val="21"/>
              </w:rPr>
            </w:pPr>
            <w:r w:rsidRPr="005472F9">
              <w:rPr>
                <w:sz w:val="21"/>
                <w:szCs w:val="21"/>
              </w:rPr>
              <w:t>0%</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B1CBF" w14:textId="77777777" w:rsidR="00E905CE" w:rsidRPr="005472F9" w:rsidRDefault="00E905CE" w:rsidP="00C41313">
            <w:pPr>
              <w:pStyle w:val="13"/>
              <w:ind w:firstLineChars="0" w:firstLine="0"/>
              <w:jc w:val="right"/>
              <w:rPr>
                <w:sz w:val="21"/>
                <w:szCs w:val="21"/>
              </w:rPr>
            </w:pPr>
            <w:r w:rsidRPr="005472F9">
              <w:rPr>
                <w:sz w:val="21"/>
                <w:szCs w:val="21"/>
              </w:rPr>
              <w:t>5%</w:t>
            </w:r>
          </w:p>
        </w:tc>
      </w:tr>
      <w:tr w:rsidR="00E905CE" w:rsidRPr="005472F9" w14:paraId="6AA95EDB" w14:textId="77777777" w:rsidTr="005472F9">
        <w:trPr>
          <w:trHeight w:val="270"/>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891EA" w14:textId="77777777" w:rsidR="00E905CE" w:rsidRPr="005472F9" w:rsidRDefault="00E905CE" w:rsidP="00C41313">
            <w:pPr>
              <w:pStyle w:val="13"/>
              <w:ind w:firstLineChars="0" w:firstLine="0"/>
              <w:rPr>
                <w:sz w:val="21"/>
                <w:szCs w:val="21"/>
              </w:rPr>
            </w:pPr>
            <w:r w:rsidRPr="005472F9">
              <w:rPr>
                <w:rFonts w:hint="eastAsia"/>
                <w:sz w:val="21"/>
                <w:szCs w:val="21"/>
              </w:rPr>
              <w:t>业务单价</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2A3C2" w14:textId="77777777" w:rsidR="00E905CE" w:rsidRPr="005472F9" w:rsidRDefault="00E905CE" w:rsidP="00C41313">
            <w:pPr>
              <w:pStyle w:val="13"/>
              <w:ind w:firstLineChars="0" w:firstLine="0"/>
              <w:jc w:val="right"/>
              <w:rPr>
                <w:sz w:val="21"/>
                <w:szCs w:val="21"/>
              </w:rPr>
            </w:pPr>
            <w:r w:rsidRPr="005472F9">
              <w:rPr>
                <w:sz w:val="21"/>
                <w:szCs w:val="21"/>
              </w:rPr>
              <w:t>5923.73</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13D17" w14:textId="77777777" w:rsidR="00E905CE" w:rsidRPr="005472F9" w:rsidRDefault="00E905CE" w:rsidP="00C41313">
            <w:pPr>
              <w:pStyle w:val="13"/>
              <w:ind w:firstLineChars="0" w:firstLine="0"/>
              <w:jc w:val="right"/>
              <w:rPr>
                <w:sz w:val="21"/>
                <w:szCs w:val="21"/>
              </w:rPr>
            </w:pPr>
            <w:r w:rsidRPr="005472F9">
              <w:rPr>
                <w:sz w:val="21"/>
                <w:szCs w:val="21"/>
              </w:rPr>
              <w:t>7370.86</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17F9C" w14:textId="77777777" w:rsidR="00E905CE" w:rsidRPr="005472F9" w:rsidRDefault="00E905CE" w:rsidP="00C41313">
            <w:pPr>
              <w:pStyle w:val="13"/>
              <w:ind w:firstLineChars="0" w:firstLine="0"/>
              <w:jc w:val="right"/>
              <w:rPr>
                <w:sz w:val="21"/>
                <w:szCs w:val="21"/>
              </w:rPr>
            </w:pPr>
            <w:r w:rsidRPr="005472F9">
              <w:rPr>
                <w:sz w:val="21"/>
                <w:szCs w:val="21"/>
              </w:rPr>
              <w:t xml:space="preserve">8818.97  </w:t>
            </w:r>
          </w:p>
        </w:tc>
      </w:tr>
      <w:tr w:rsidR="00E905CE" w:rsidRPr="005472F9" w14:paraId="5454D97D" w14:textId="77777777" w:rsidTr="005472F9">
        <w:trPr>
          <w:trHeight w:val="270"/>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8F9EE" w14:textId="77777777" w:rsidR="00E905CE" w:rsidRPr="005472F9" w:rsidRDefault="00E905CE" w:rsidP="00C41313">
            <w:pPr>
              <w:pStyle w:val="13"/>
              <w:ind w:firstLineChars="0" w:firstLine="0"/>
              <w:rPr>
                <w:sz w:val="21"/>
                <w:szCs w:val="21"/>
              </w:rPr>
            </w:pPr>
            <w:r w:rsidRPr="005472F9">
              <w:rPr>
                <w:rFonts w:hint="eastAsia"/>
                <w:sz w:val="21"/>
                <w:szCs w:val="21"/>
              </w:rPr>
              <w:t>业务量</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921C3" w14:textId="77777777" w:rsidR="00E905CE" w:rsidRPr="005472F9" w:rsidRDefault="00E905CE" w:rsidP="00C41313">
            <w:pPr>
              <w:pStyle w:val="13"/>
              <w:ind w:firstLineChars="0" w:firstLine="0"/>
              <w:jc w:val="right"/>
              <w:rPr>
                <w:sz w:val="21"/>
                <w:szCs w:val="21"/>
              </w:rPr>
            </w:pPr>
            <w:r w:rsidRPr="005472F9">
              <w:rPr>
                <w:sz w:val="21"/>
                <w:szCs w:val="21"/>
              </w:rPr>
              <w:t xml:space="preserve">6690.07  </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10AE3" w14:textId="77777777" w:rsidR="00E905CE" w:rsidRPr="005472F9" w:rsidRDefault="00E905CE" w:rsidP="00C41313">
            <w:pPr>
              <w:pStyle w:val="13"/>
              <w:ind w:firstLineChars="0" w:firstLine="0"/>
              <w:jc w:val="right"/>
              <w:rPr>
                <w:sz w:val="21"/>
                <w:szCs w:val="21"/>
              </w:rPr>
            </w:pPr>
            <w:r w:rsidRPr="005472F9">
              <w:rPr>
                <w:sz w:val="21"/>
                <w:szCs w:val="21"/>
              </w:rPr>
              <w:t>7370.86</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B602A" w14:textId="77777777" w:rsidR="00E905CE" w:rsidRPr="005472F9" w:rsidRDefault="00E905CE" w:rsidP="00C41313">
            <w:pPr>
              <w:pStyle w:val="13"/>
              <w:ind w:firstLineChars="0" w:firstLine="0"/>
              <w:jc w:val="right"/>
              <w:rPr>
                <w:sz w:val="21"/>
                <w:szCs w:val="21"/>
              </w:rPr>
            </w:pPr>
            <w:r w:rsidRPr="005472F9">
              <w:rPr>
                <w:sz w:val="21"/>
                <w:szCs w:val="21"/>
              </w:rPr>
              <w:t xml:space="preserve">8052.56  </w:t>
            </w:r>
          </w:p>
        </w:tc>
      </w:tr>
      <w:tr w:rsidR="00E905CE" w:rsidRPr="005472F9" w14:paraId="1751ED9A" w14:textId="77777777" w:rsidTr="005472F9">
        <w:trPr>
          <w:trHeight w:val="270"/>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86D05" w14:textId="77777777" w:rsidR="00E905CE" w:rsidRPr="005472F9" w:rsidRDefault="00E905CE" w:rsidP="00C41313">
            <w:pPr>
              <w:pStyle w:val="13"/>
              <w:ind w:firstLineChars="0" w:firstLine="0"/>
              <w:rPr>
                <w:sz w:val="21"/>
                <w:szCs w:val="21"/>
              </w:rPr>
            </w:pPr>
            <w:r w:rsidRPr="005472F9">
              <w:rPr>
                <w:rFonts w:hint="eastAsia"/>
                <w:sz w:val="21"/>
                <w:szCs w:val="21"/>
              </w:rPr>
              <w:t>单位变动成本</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B4622" w14:textId="77777777" w:rsidR="00E905CE" w:rsidRPr="005472F9" w:rsidRDefault="00E905CE" w:rsidP="00C41313">
            <w:pPr>
              <w:pStyle w:val="13"/>
              <w:ind w:firstLineChars="0" w:firstLine="0"/>
              <w:jc w:val="right"/>
              <w:rPr>
                <w:sz w:val="21"/>
                <w:szCs w:val="21"/>
              </w:rPr>
            </w:pPr>
            <w:r w:rsidRPr="005472F9">
              <w:rPr>
                <w:sz w:val="21"/>
                <w:szCs w:val="21"/>
              </w:rPr>
              <w:t xml:space="preserve">8137.25  </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E8714" w14:textId="77777777" w:rsidR="00E905CE" w:rsidRPr="005472F9" w:rsidRDefault="00E905CE" w:rsidP="00C41313">
            <w:pPr>
              <w:pStyle w:val="13"/>
              <w:ind w:firstLineChars="0" w:firstLine="0"/>
              <w:jc w:val="right"/>
              <w:rPr>
                <w:sz w:val="21"/>
                <w:szCs w:val="21"/>
              </w:rPr>
            </w:pPr>
            <w:r w:rsidRPr="005472F9">
              <w:rPr>
                <w:sz w:val="21"/>
                <w:szCs w:val="21"/>
              </w:rPr>
              <w:t>7370.86</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0E65B" w14:textId="77777777" w:rsidR="00E905CE" w:rsidRPr="005472F9" w:rsidRDefault="00E905CE" w:rsidP="00C41313">
            <w:pPr>
              <w:pStyle w:val="13"/>
              <w:ind w:firstLineChars="0" w:firstLine="0"/>
              <w:jc w:val="right"/>
              <w:rPr>
                <w:sz w:val="21"/>
                <w:szCs w:val="21"/>
              </w:rPr>
            </w:pPr>
            <w:r w:rsidRPr="005472F9">
              <w:rPr>
                <w:sz w:val="21"/>
                <w:szCs w:val="21"/>
              </w:rPr>
              <w:t xml:space="preserve">6604.49  </w:t>
            </w:r>
          </w:p>
        </w:tc>
      </w:tr>
      <w:tr w:rsidR="00E905CE" w:rsidRPr="005472F9" w14:paraId="6E74C383" w14:textId="77777777" w:rsidTr="005472F9">
        <w:trPr>
          <w:trHeight w:val="270"/>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4FDCB" w14:textId="77777777" w:rsidR="00E905CE" w:rsidRPr="005472F9" w:rsidRDefault="00E905CE" w:rsidP="00C41313">
            <w:pPr>
              <w:pStyle w:val="13"/>
              <w:ind w:firstLineChars="0" w:firstLine="0"/>
              <w:rPr>
                <w:sz w:val="21"/>
                <w:szCs w:val="21"/>
              </w:rPr>
            </w:pPr>
            <w:r w:rsidRPr="005472F9">
              <w:rPr>
                <w:rFonts w:hint="eastAsia"/>
                <w:sz w:val="21"/>
                <w:szCs w:val="21"/>
              </w:rPr>
              <w:t>永续期资本性支出</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92E35" w14:textId="77777777" w:rsidR="00E905CE" w:rsidRPr="005472F9" w:rsidRDefault="00E905CE" w:rsidP="00C41313">
            <w:pPr>
              <w:pStyle w:val="13"/>
              <w:ind w:firstLineChars="0" w:firstLine="0"/>
              <w:jc w:val="right"/>
              <w:rPr>
                <w:sz w:val="21"/>
                <w:szCs w:val="21"/>
              </w:rPr>
            </w:pPr>
            <w:r w:rsidRPr="005472F9">
              <w:rPr>
                <w:sz w:val="21"/>
                <w:szCs w:val="21"/>
              </w:rPr>
              <w:t xml:space="preserve">7567.41  </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EA2D0" w14:textId="77777777" w:rsidR="00E905CE" w:rsidRPr="005472F9" w:rsidRDefault="00E905CE" w:rsidP="00C41313">
            <w:pPr>
              <w:pStyle w:val="13"/>
              <w:ind w:firstLineChars="0" w:firstLine="0"/>
              <w:jc w:val="right"/>
              <w:rPr>
                <w:sz w:val="21"/>
                <w:szCs w:val="21"/>
              </w:rPr>
            </w:pPr>
            <w:r w:rsidRPr="005472F9">
              <w:rPr>
                <w:sz w:val="21"/>
                <w:szCs w:val="21"/>
              </w:rPr>
              <w:t>7370.86</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8CD31" w14:textId="77777777" w:rsidR="00E905CE" w:rsidRPr="005472F9" w:rsidRDefault="00E905CE" w:rsidP="00C41313">
            <w:pPr>
              <w:pStyle w:val="13"/>
              <w:ind w:firstLineChars="0" w:firstLine="0"/>
              <w:jc w:val="right"/>
              <w:rPr>
                <w:sz w:val="21"/>
                <w:szCs w:val="21"/>
              </w:rPr>
            </w:pPr>
            <w:r w:rsidRPr="005472F9">
              <w:rPr>
                <w:sz w:val="21"/>
                <w:szCs w:val="21"/>
              </w:rPr>
              <w:t xml:space="preserve">7174.47  </w:t>
            </w:r>
          </w:p>
        </w:tc>
      </w:tr>
      <w:tr w:rsidR="00E905CE" w:rsidRPr="005472F9" w14:paraId="5AB24B57" w14:textId="77777777" w:rsidTr="005472F9">
        <w:trPr>
          <w:trHeight w:val="270"/>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D7C64" w14:textId="77777777" w:rsidR="00E905CE" w:rsidRPr="005472F9" w:rsidRDefault="00E905CE" w:rsidP="00C41313">
            <w:pPr>
              <w:pStyle w:val="13"/>
              <w:ind w:firstLineChars="0" w:firstLine="0"/>
              <w:rPr>
                <w:sz w:val="21"/>
                <w:szCs w:val="21"/>
              </w:rPr>
            </w:pPr>
            <w:r w:rsidRPr="005472F9">
              <w:rPr>
                <w:rFonts w:hint="eastAsia"/>
                <w:sz w:val="21"/>
                <w:szCs w:val="21"/>
              </w:rPr>
              <w:t>市场风险溢价</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9CF49" w14:textId="77777777" w:rsidR="00E905CE" w:rsidRPr="005472F9" w:rsidRDefault="00E905CE" w:rsidP="00C41313">
            <w:pPr>
              <w:pStyle w:val="13"/>
              <w:ind w:firstLineChars="0" w:firstLine="0"/>
              <w:jc w:val="right"/>
              <w:rPr>
                <w:sz w:val="21"/>
                <w:szCs w:val="21"/>
              </w:rPr>
            </w:pPr>
            <w:r w:rsidRPr="005472F9">
              <w:rPr>
                <w:sz w:val="21"/>
                <w:szCs w:val="21"/>
              </w:rPr>
              <w:t xml:space="preserve">7621.57  </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1FDE2" w14:textId="77777777" w:rsidR="00E905CE" w:rsidRPr="005472F9" w:rsidRDefault="00E905CE" w:rsidP="00C41313">
            <w:pPr>
              <w:pStyle w:val="13"/>
              <w:ind w:firstLineChars="0" w:firstLine="0"/>
              <w:jc w:val="right"/>
              <w:rPr>
                <w:sz w:val="21"/>
                <w:szCs w:val="21"/>
              </w:rPr>
            </w:pPr>
            <w:r w:rsidRPr="005472F9">
              <w:rPr>
                <w:sz w:val="21"/>
                <w:szCs w:val="21"/>
              </w:rPr>
              <w:t>7370.86</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5A330" w14:textId="77777777" w:rsidR="00E905CE" w:rsidRPr="005472F9" w:rsidRDefault="00E905CE" w:rsidP="00C41313">
            <w:pPr>
              <w:pStyle w:val="13"/>
              <w:ind w:firstLineChars="0" w:firstLine="0"/>
              <w:jc w:val="right"/>
              <w:rPr>
                <w:sz w:val="21"/>
                <w:szCs w:val="21"/>
              </w:rPr>
            </w:pPr>
            <w:r w:rsidRPr="005472F9">
              <w:rPr>
                <w:sz w:val="21"/>
                <w:szCs w:val="21"/>
              </w:rPr>
              <w:t xml:space="preserve">7136.21  </w:t>
            </w:r>
          </w:p>
        </w:tc>
      </w:tr>
    </w:tbl>
    <w:p w14:paraId="05013FD2" w14:textId="77777777" w:rsidR="00E905CE" w:rsidRPr="00286895" w:rsidRDefault="00E905CE" w:rsidP="00E905CE">
      <w:pPr>
        <w:pStyle w:val="13"/>
        <w:ind w:firstLineChars="0" w:firstLine="0"/>
        <w:jc w:val="center"/>
        <w:rPr>
          <w:sz w:val="21"/>
          <w:szCs w:val="21"/>
        </w:rPr>
      </w:pPr>
      <w:r w:rsidRPr="00286895">
        <w:rPr>
          <w:rFonts w:hint="eastAsia"/>
          <w:sz w:val="21"/>
          <w:szCs w:val="21"/>
        </w:rPr>
        <w:t>各参数分别变动下的评估值变动率</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417"/>
        <w:gridCol w:w="1276"/>
        <w:gridCol w:w="1413"/>
      </w:tblGrid>
      <w:tr w:rsidR="00E905CE" w:rsidRPr="005472F9" w14:paraId="0CC703DF" w14:textId="77777777" w:rsidTr="00C34C28">
        <w:trPr>
          <w:trHeight w:val="390"/>
          <w:jc w:val="center"/>
        </w:trPr>
        <w:tc>
          <w:tcPr>
            <w:tcW w:w="2552" w:type="dxa"/>
            <w:shd w:val="clear" w:color="auto" w:fill="auto"/>
            <w:noWrap/>
            <w:vAlign w:val="center"/>
            <w:hideMark/>
          </w:tcPr>
          <w:p w14:paraId="1BFA0E65" w14:textId="77777777" w:rsidR="00E905CE" w:rsidRPr="005472F9" w:rsidRDefault="00E905CE" w:rsidP="00C41313">
            <w:pPr>
              <w:widowControl/>
              <w:jc w:val="left"/>
              <w:rPr>
                <w:rFonts w:ascii="宋体" w:hAnsi="宋体" w:cs="Calibri"/>
                <w:color w:val="000000"/>
                <w:kern w:val="0"/>
                <w:szCs w:val="21"/>
              </w:rPr>
            </w:pPr>
          </w:p>
        </w:tc>
        <w:tc>
          <w:tcPr>
            <w:tcW w:w="1417" w:type="dxa"/>
            <w:shd w:val="clear" w:color="auto" w:fill="auto"/>
            <w:noWrap/>
            <w:vAlign w:val="center"/>
            <w:hideMark/>
          </w:tcPr>
          <w:p w14:paraId="6306E785"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-5%</w:t>
            </w:r>
          </w:p>
        </w:tc>
        <w:tc>
          <w:tcPr>
            <w:tcW w:w="1276" w:type="dxa"/>
            <w:shd w:val="clear" w:color="auto" w:fill="auto"/>
            <w:noWrap/>
            <w:vAlign w:val="center"/>
            <w:hideMark/>
          </w:tcPr>
          <w:p w14:paraId="1AECC750"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0%</w:t>
            </w:r>
          </w:p>
        </w:tc>
        <w:tc>
          <w:tcPr>
            <w:tcW w:w="1413" w:type="dxa"/>
            <w:shd w:val="clear" w:color="auto" w:fill="auto"/>
            <w:noWrap/>
            <w:vAlign w:val="center"/>
            <w:hideMark/>
          </w:tcPr>
          <w:p w14:paraId="08A7146B"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5%</w:t>
            </w:r>
          </w:p>
        </w:tc>
      </w:tr>
      <w:tr w:rsidR="00E905CE" w:rsidRPr="005472F9" w14:paraId="761CEC00" w14:textId="77777777" w:rsidTr="00C34C28">
        <w:trPr>
          <w:trHeight w:val="390"/>
          <w:jc w:val="center"/>
        </w:trPr>
        <w:tc>
          <w:tcPr>
            <w:tcW w:w="2552" w:type="dxa"/>
            <w:shd w:val="clear" w:color="auto" w:fill="auto"/>
            <w:noWrap/>
            <w:vAlign w:val="center"/>
            <w:hideMark/>
          </w:tcPr>
          <w:p w14:paraId="49EC41ED" w14:textId="77777777" w:rsidR="00E905CE" w:rsidRPr="005472F9" w:rsidRDefault="00E905CE" w:rsidP="00C41313">
            <w:pPr>
              <w:widowControl/>
              <w:jc w:val="left"/>
              <w:rPr>
                <w:rFonts w:ascii="宋体" w:hAnsi="宋体" w:cs="宋体"/>
                <w:color w:val="000000"/>
                <w:kern w:val="0"/>
                <w:szCs w:val="21"/>
              </w:rPr>
            </w:pPr>
            <w:r w:rsidRPr="005472F9">
              <w:rPr>
                <w:rFonts w:ascii="宋体" w:hAnsi="宋体" w:cs="宋体" w:hint="eastAsia"/>
                <w:color w:val="000000"/>
                <w:kern w:val="0"/>
                <w:szCs w:val="21"/>
              </w:rPr>
              <w:t>业务单价</w:t>
            </w:r>
          </w:p>
        </w:tc>
        <w:tc>
          <w:tcPr>
            <w:tcW w:w="1417" w:type="dxa"/>
            <w:shd w:val="clear" w:color="auto" w:fill="auto"/>
            <w:noWrap/>
            <w:vAlign w:val="center"/>
            <w:hideMark/>
          </w:tcPr>
          <w:p w14:paraId="07A9F89E"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-19.63%</w:t>
            </w:r>
          </w:p>
        </w:tc>
        <w:tc>
          <w:tcPr>
            <w:tcW w:w="1276" w:type="dxa"/>
            <w:shd w:val="clear" w:color="auto" w:fill="auto"/>
            <w:noWrap/>
            <w:vAlign w:val="center"/>
            <w:hideMark/>
          </w:tcPr>
          <w:p w14:paraId="1EB37EDF"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0.00%</w:t>
            </w:r>
          </w:p>
        </w:tc>
        <w:tc>
          <w:tcPr>
            <w:tcW w:w="1413" w:type="dxa"/>
            <w:shd w:val="clear" w:color="auto" w:fill="auto"/>
            <w:noWrap/>
            <w:vAlign w:val="center"/>
            <w:hideMark/>
          </w:tcPr>
          <w:p w14:paraId="6716F0B3"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19.65%</w:t>
            </w:r>
          </w:p>
        </w:tc>
      </w:tr>
      <w:tr w:rsidR="00E905CE" w:rsidRPr="005472F9" w14:paraId="05DC41A2" w14:textId="77777777" w:rsidTr="00C34C28">
        <w:trPr>
          <w:trHeight w:val="390"/>
          <w:jc w:val="center"/>
        </w:trPr>
        <w:tc>
          <w:tcPr>
            <w:tcW w:w="2552" w:type="dxa"/>
            <w:shd w:val="clear" w:color="auto" w:fill="auto"/>
            <w:noWrap/>
            <w:vAlign w:val="center"/>
            <w:hideMark/>
          </w:tcPr>
          <w:p w14:paraId="4E96A832" w14:textId="77777777" w:rsidR="00E905CE" w:rsidRPr="005472F9" w:rsidRDefault="00E905CE" w:rsidP="00C41313">
            <w:pPr>
              <w:widowControl/>
              <w:jc w:val="left"/>
              <w:rPr>
                <w:rFonts w:ascii="宋体" w:hAnsi="宋体" w:cs="宋体"/>
                <w:color w:val="000000"/>
                <w:kern w:val="0"/>
                <w:szCs w:val="21"/>
              </w:rPr>
            </w:pPr>
            <w:r w:rsidRPr="005472F9">
              <w:rPr>
                <w:rFonts w:ascii="宋体" w:hAnsi="宋体" w:cs="宋体" w:hint="eastAsia"/>
                <w:color w:val="000000"/>
                <w:kern w:val="0"/>
                <w:szCs w:val="21"/>
              </w:rPr>
              <w:t>业务量</w:t>
            </w:r>
          </w:p>
        </w:tc>
        <w:tc>
          <w:tcPr>
            <w:tcW w:w="1417" w:type="dxa"/>
            <w:shd w:val="clear" w:color="auto" w:fill="auto"/>
            <w:noWrap/>
            <w:vAlign w:val="center"/>
            <w:hideMark/>
          </w:tcPr>
          <w:p w14:paraId="04BF6B19"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-9.24%</w:t>
            </w:r>
          </w:p>
        </w:tc>
        <w:tc>
          <w:tcPr>
            <w:tcW w:w="1276" w:type="dxa"/>
            <w:shd w:val="clear" w:color="auto" w:fill="auto"/>
            <w:noWrap/>
            <w:vAlign w:val="center"/>
            <w:hideMark/>
          </w:tcPr>
          <w:p w14:paraId="3E7C44E5"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0.00%</w:t>
            </w:r>
          </w:p>
        </w:tc>
        <w:tc>
          <w:tcPr>
            <w:tcW w:w="1413" w:type="dxa"/>
            <w:shd w:val="clear" w:color="auto" w:fill="auto"/>
            <w:noWrap/>
            <w:vAlign w:val="center"/>
            <w:hideMark/>
          </w:tcPr>
          <w:p w14:paraId="406BE27A"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9.25%</w:t>
            </w:r>
          </w:p>
        </w:tc>
      </w:tr>
      <w:tr w:rsidR="00E905CE" w:rsidRPr="005472F9" w14:paraId="5501AB10" w14:textId="77777777" w:rsidTr="00C34C28">
        <w:trPr>
          <w:trHeight w:val="390"/>
          <w:jc w:val="center"/>
        </w:trPr>
        <w:tc>
          <w:tcPr>
            <w:tcW w:w="2552" w:type="dxa"/>
            <w:shd w:val="clear" w:color="auto" w:fill="auto"/>
            <w:noWrap/>
            <w:vAlign w:val="center"/>
            <w:hideMark/>
          </w:tcPr>
          <w:p w14:paraId="6DCE9920" w14:textId="77777777" w:rsidR="00E905CE" w:rsidRPr="005472F9" w:rsidRDefault="00E905CE" w:rsidP="00C41313">
            <w:pPr>
              <w:widowControl/>
              <w:jc w:val="left"/>
              <w:rPr>
                <w:rFonts w:ascii="宋体" w:hAnsi="宋体" w:cs="宋体"/>
                <w:color w:val="000000"/>
                <w:kern w:val="0"/>
                <w:szCs w:val="21"/>
              </w:rPr>
            </w:pPr>
            <w:r w:rsidRPr="005472F9">
              <w:rPr>
                <w:rFonts w:ascii="宋体" w:hAnsi="宋体" w:cs="宋体" w:hint="eastAsia"/>
                <w:color w:val="000000"/>
                <w:kern w:val="0"/>
                <w:szCs w:val="21"/>
              </w:rPr>
              <w:t>单位变动成本</w:t>
            </w:r>
          </w:p>
        </w:tc>
        <w:tc>
          <w:tcPr>
            <w:tcW w:w="1417" w:type="dxa"/>
            <w:shd w:val="clear" w:color="auto" w:fill="auto"/>
            <w:noWrap/>
            <w:vAlign w:val="center"/>
            <w:hideMark/>
          </w:tcPr>
          <w:p w14:paraId="29D54016"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10.40%</w:t>
            </w:r>
          </w:p>
        </w:tc>
        <w:tc>
          <w:tcPr>
            <w:tcW w:w="1276" w:type="dxa"/>
            <w:shd w:val="clear" w:color="auto" w:fill="auto"/>
            <w:noWrap/>
            <w:vAlign w:val="center"/>
            <w:hideMark/>
          </w:tcPr>
          <w:p w14:paraId="75084F5A"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0.00%</w:t>
            </w:r>
          </w:p>
        </w:tc>
        <w:tc>
          <w:tcPr>
            <w:tcW w:w="1413" w:type="dxa"/>
            <w:shd w:val="clear" w:color="auto" w:fill="auto"/>
            <w:noWrap/>
            <w:vAlign w:val="center"/>
            <w:hideMark/>
          </w:tcPr>
          <w:p w14:paraId="5AD914D9"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-10.40%</w:t>
            </w:r>
          </w:p>
        </w:tc>
      </w:tr>
      <w:tr w:rsidR="00E905CE" w:rsidRPr="005472F9" w14:paraId="2CFB23C3" w14:textId="77777777" w:rsidTr="00C34C28">
        <w:trPr>
          <w:trHeight w:val="390"/>
          <w:jc w:val="center"/>
        </w:trPr>
        <w:tc>
          <w:tcPr>
            <w:tcW w:w="2552" w:type="dxa"/>
            <w:shd w:val="clear" w:color="auto" w:fill="auto"/>
            <w:noWrap/>
            <w:vAlign w:val="center"/>
            <w:hideMark/>
          </w:tcPr>
          <w:p w14:paraId="3C0C63AC" w14:textId="77777777" w:rsidR="00E905CE" w:rsidRPr="005472F9" w:rsidRDefault="00E905CE" w:rsidP="00C41313">
            <w:pPr>
              <w:widowControl/>
              <w:jc w:val="left"/>
              <w:rPr>
                <w:rFonts w:ascii="宋体" w:hAnsi="宋体" w:cs="宋体"/>
                <w:color w:val="000000"/>
                <w:kern w:val="0"/>
                <w:szCs w:val="21"/>
              </w:rPr>
            </w:pPr>
            <w:r w:rsidRPr="005472F9">
              <w:rPr>
                <w:rFonts w:ascii="宋体" w:hAnsi="宋体" w:cs="宋体" w:hint="eastAsia"/>
                <w:color w:val="000000"/>
                <w:kern w:val="0"/>
                <w:szCs w:val="21"/>
              </w:rPr>
              <w:t>永续期资本性支出</w:t>
            </w:r>
          </w:p>
        </w:tc>
        <w:tc>
          <w:tcPr>
            <w:tcW w:w="1417" w:type="dxa"/>
            <w:shd w:val="clear" w:color="auto" w:fill="auto"/>
            <w:noWrap/>
            <w:vAlign w:val="center"/>
            <w:hideMark/>
          </w:tcPr>
          <w:p w14:paraId="425895AD"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2.66%</w:t>
            </w:r>
          </w:p>
        </w:tc>
        <w:tc>
          <w:tcPr>
            <w:tcW w:w="1276" w:type="dxa"/>
            <w:shd w:val="clear" w:color="auto" w:fill="auto"/>
            <w:noWrap/>
            <w:vAlign w:val="center"/>
            <w:hideMark/>
          </w:tcPr>
          <w:p w14:paraId="5B72DFAB"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0.00%</w:t>
            </w:r>
          </w:p>
        </w:tc>
        <w:tc>
          <w:tcPr>
            <w:tcW w:w="1413" w:type="dxa"/>
            <w:shd w:val="clear" w:color="auto" w:fill="auto"/>
            <w:noWrap/>
            <w:vAlign w:val="center"/>
            <w:hideMark/>
          </w:tcPr>
          <w:p w14:paraId="60FB8A72"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-2.66%</w:t>
            </w:r>
          </w:p>
        </w:tc>
      </w:tr>
      <w:tr w:rsidR="00E905CE" w:rsidRPr="005472F9" w14:paraId="784F3811" w14:textId="77777777" w:rsidTr="00C34C28">
        <w:trPr>
          <w:trHeight w:val="390"/>
          <w:jc w:val="center"/>
        </w:trPr>
        <w:tc>
          <w:tcPr>
            <w:tcW w:w="2552" w:type="dxa"/>
            <w:shd w:val="clear" w:color="auto" w:fill="auto"/>
            <w:noWrap/>
            <w:vAlign w:val="center"/>
            <w:hideMark/>
          </w:tcPr>
          <w:p w14:paraId="3997BC58" w14:textId="77777777" w:rsidR="00E905CE" w:rsidRPr="005472F9" w:rsidRDefault="00E905CE" w:rsidP="00C41313">
            <w:pPr>
              <w:widowControl/>
              <w:jc w:val="left"/>
              <w:rPr>
                <w:rFonts w:ascii="宋体" w:hAnsi="宋体" w:cs="宋体"/>
                <w:color w:val="000000"/>
                <w:kern w:val="0"/>
                <w:szCs w:val="21"/>
              </w:rPr>
            </w:pPr>
            <w:r w:rsidRPr="005472F9">
              <w:rPr>
                <w:rFonts w:ascii="宋体" w:hAnsi="宋体" w:cs="宋体" w:hint="eastAsia"/>
                <w:color w:val="000000"/>
                <w:kern w:val="0"/>
                <w:szCs w:val="21"/>
              </w:rPr>
              <w:t>市场风险溢价</w:t>
            </w:r>
          </w:p>
        </w:tc>
        <w:tc>
          <w:tcPr>
            <w:tcW w:w="1417" w:type="dxa"/>
            <w:shd w:val="clear" w:color="auto" w:fill="auto"/>
            <w:noWrap/>
            <w:vAlign w:val="center"/>
            <w:hideMark/>
          </w:tcPr>
          <w:p w14:paraId="0D2140E8"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3.40%</w:t>
            </w:r>
          </w:p>
        </w:tc>
        <w:tc>
          <w:tcPr>
            <w:tcW w:w="1276" w:type="dxa"/>
            <w:shd w:val="clear" w:color="auto" w:fill="auto"/>
            <w:noWrap/>
            <w:vAlign w:val="center"/>
            <w:hideMark/>
          </w:tcPr>
          <w:p w14:paraId="4FC3BBF4"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0.00%</w:t>
            </w:r>
          </w:p>
        </w:tc>
        <w:tc>
          <w:tcPr>
            <w:tcW w:w="1413" w:type="dxa"/>
            <w:shd w:val="clear" w:color="auto" w:fill="auto"/>
            <w:noWrap/>
            <w:vAlign w:val="center"/>
            <w:hideMark/>
          </w:tcPr>
          <w:p w14:paraId="230E57E9" w14:textId="77777777" w:rsidR="00E905CE" w:rsidRPr="005472F9" w:rsidRDefault="00E905CE" w:rsidP="00C41313">
            <w:pPr>
              <w:widowControl/>
              <w:jc w:val="right"/>
              <w:rPr>
                <w:rFonts w:ascii="宋体" w:hAnsi="宋体"/>
                <w:color w:val="000000"/>
                <w:kern w:val="0"/>
                <w:szCs w:val="21"/>
              </w:rPr>
            </w:pPr>
            <w:r w:rsidRPr="005472F9">
              <w:rPr>
                <w:rFonts w:ascii="宋体" w:hAnsi="宋体"/>
                <w:color w:val="000000"/>
                <w:kern w:val="0"/>
                <w:szCs w:val="21"/>
              </w:rPr>
              <w:t>-3.18%</w:t>
            </w:r>
          </w:p>
        </w:tc>
      </w:tr>
    </w:tbl>
    <w:p w14:paraId="1226EDBF" w14:textId="77777777" w:rsidR="00E905CE" w:rsidRPr="00286895" w:rsidRDefault="00E905CE" w:rsidP="00E905CE">
      <w:pPr>
        <w:pStyle w:val="13"/>
        <w:ind w:firstLineChars="0" w:firstLine="0"/>
        <w:jc w:val="center"/>
        <w:rPr>
          <w:sz w:val="21"/>
          <w:szCs w:val="21"/>
        </w:rPr>
      </w:pPr>
      <w:r w:rsidRPr="00286895">
        <w:rPr>
          <w:rFonts w:hint="eastAsia"/>
          <w:sz w:val="21"/>
          <w:szCs w:val="21"/>
        </w:rPr>
        <w:t>各参数的敏感性系数</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334"/>
        <w:gridCol w:w="940"/>
        <w:gridCol w:w="1396"/>
      </w:tblGrid>
      <w:tr w:rsidR="00E905CE" w:rsidRPr="00286895" w14:paraId="4C80FDD6" w14:textId="77777777" w:rsidTr="00C34C28">
        <w:trPr>
          <w:trHeight w:val="390"/>
          <w:jc w:val="center"/>
        </w:trPr>
        <w:tc>
          <w:tcPr>
            <w:tcW w:w="2988" w:type="dxa"/>
            <w:shd w:val="clear" w:color="auto" w:fill="auto"/>
            <w:noWrap/>
            <w:vAlign w:val="center"/>
            <w:hideMark/>
          </w:tcPr>
          <w:p w14:paraId="7A7B7EBE" w14:textId="77777777" w:rsidR="00E905CE" w:rsidRPr="00286895" w:rsidRDefault="00E905CE" w:rsidP="00C41313">
            <w:pPr>
              <w:widowControl/>
              <w:jc w:val="left"/>
              <w:rPr>
                <w:rFonts w:ascii="宋体" w:hAnsi="宋体" w:cs="Calibri"/>
                <w:color w:val="000000"/>
                <w:kern w:val="0"/>
                <w:szCs w:val="21"/>
              </w:rPr>
            </w:pPr>
          </w:p>
        </w:tc>
        <w:tc>
          <w:tcPr>
            <w:tcW w:w="1334" w:type="dxa"/>
            <w:shd w:val="clear" w:color="auto" w:fill="auto"/>
            <w:noWrap/>
            <w:vAlign w:val="center"/>
            <w:hideMark/>
          </w:tcPr>
          <w:p w14:paraId="6EBA2E5D"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-5%</w:t>
            </w:r>
          </w:p>
        </w:tc>
        <w:tc>
          <w:tcPr>
            <w:tcW w:w="940" w:type="dxa"/>
            <w:shd w:val="clear" w:color="auto" w:fill="auto"/>
            <w:noWrap/>
            <w:vAlign w:val="center"/>
            <w:hideMark/>
          </w:tcPr>
          <w:p w14:paraId="7791A2FD"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0%</w:t>
            </w:r>
          </w:p>
        </w:tc>
        <w:tc>
          <w:tcPr>
            <w:tcW w:w="1396" w:type="dxa"/>
            <w:shd w:val="clear" w:color="auto" w:fill="auto"/>
            <w:noWrap/>
            <w:vAlign w:val="center"/>
            <w:hideMark/>
          </w:tcPr>
          <w:p w14:paraId="2926B1D5"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5%</w:t>
            </w:r>
          </w:p>
        </w:tc>
      </w:tr>
      <w:tr w:rsidR="00E905CE" w:rsidRPr="00286895" w14:paraId="27A3DC4C" w14:textId="77777777" w:rsidTr="00C34C28">
        <w:trPr>
          <w:trHeight w:val="390"/>
          <w:jc w:val="center"/>
        </w:trPr>
        <w:tc>
          <w:tcPr>
            <w:tcW w:w="2988" w:type="dxa"/>
            <w:shd w:val="clear" w:color="auto" w:fill="auto"/>
            <w:noWrap/>
            <w:vAlign w:val="center"/>
            <w:hideMark/>
          </w:tcPr>
          <w:p w14:paraId="0B96E332" w14:textId="77777777" w:rsidR="00E905CE" w:rsidRPr="00286895" w:rsidRDefault="00E905CE" w:rsidP="00C41313">
            <w:pPr>
              <w:widowControl/>
              <w:jc w:val="left"/>
              <w:rPr>
                <w:rFonts w:ascii="宋体" w:hAnsi="宋体" w:cs="宋体"/>
                <w:color w:val="000000"/>
                <w:kern w:val="0"/>
                <w:szCs w:val="21"/>
              </w:rPr>
            </w:pPr>
            <w:r w:rsidRPr="00286895">
              <w:rPr>
                <w:rFonts w:ascii="宋体" w:hAnsi="宋体" w:cs="宋体" w:hint="eastAsia"/>
                <w:color w:val="000000"/>
                <w:kern w:val="0"/>
                <w:szCs w:val="21"/>
              </w:rPr>
              <w:t>业务单价</w:t>
            </w:r>
          </w:p>
        </w:tc>
        <w:tc>
          <w:tcPr>
            <w:tcW w:w="1334" w:type="dxa"/>
            <w:shd w:val="clear" w:color="auto" w:fill="auto"/>
            <w:noWrap/>
            <w:vAlign w:val="center"/>
            <w:hideMark/>
          </w:tcPr>
          <w:p w14:paraId="3696B095"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392.66%</w:t>
            </w:r>
          </w:p>
        </w:tc>
        <w:tc>
          <w:tcPr>
            <w:tcW w:w="940" w:type="dxa"/>
            <w:shd w:val="clear" w:color="auto" w:fill="auto"/>
            <w:noWrap/>
            <w:vAlign w:val="center"/>
            <w:hideMark/>
          </w:tcPr>
          <w:p w14:paraId="4E011F8A" w14:textId="77777777" w:rsidR="00E905CE" w:rsidRPr="00286895" w:rsidRDefault="00E905CE" w:rsidP="00C41313">
            <w:pPr>
              <w:widowControl/>
              <w:jc w:val="center"/>
              <w:rPr>
                <w:rFonts w:ascii="宋体" w:hAnsi="宋体"/>
                <w:color w:val="000000"/>
                <w:kern w:val="0"/>
                <w:szCs w:val="21"/>
              </w:rPr>
            </w:pPr>
            <w:r w:rsidRPr="00286895">
              <w:rPr>
                <w:rFonts w:ascii="宋体" w:hAnsi="宋体" w:hint="eastAsia"/>
                <w:color w:val="000000"/>
                <w:kern w:val="0"/>
                <w:szCs w:val="21"/>
              </w:rPr>
              <w:t>-</w:t>
            </w:r>
          </w:p>
        </w:tc>
        <w:tc>
          <w:tcPr>
            <w:tcW w:w="1396" w:type="dxa"/>
            <w:shd w:val="clear" w:color="auto" w:fill="auto"/>
            <w:noWrap/>
            <w:vAlign w:val="center"/>
            <w:hideMark/>
          </w:tcPr>
          <w:p w14:paraId="1C23E20D"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392.93%</w:t>
            </w:r>
          </w:p>
        </w:tc>
      </w:tr>
      <w:tr w:rsidR="00E905CE" w:rsidRPr="00286895" w14:paraId="74905A22" w14:textId="77777777" w:rsidTr="00C34C28">
        <w:trPr>
          <w:trHeight w:val="390"/>
          <w:jc w:val="center"/>
        </w:trPr>
        <w:tc>
          <w:tcPr>
            <w:tcW w:w="2988" w:type="dxa"/>
            <w:shd w:val="clear" w:color="auto" w:fill="auto"/>
            <w:noWrap/>
            <w:vAlign w:val="center"/>
            <w:hideMark/>
          </w:tcPr>
          <w:p w14:paraId="544725B3" w14:textId="77777777" w:rsidR="00E905CE" w:rsidRPr="00286895" w:rsidRDefault="00E905CE" w:rsidP="00C41313">
            <w:pPr>
              <w:widowControl/>
              <w:jc w:val="left"/>
              <w:rPr>
                <w:rFonts w:ascii="宋体" w:hAnsi="宋体" w:cs="宋体"/>
                <w:color w:val="000000"/>
                <w:kern w:val="0"/>
                <w:szCs w:val="21"/>
              </w:rPr>
            </w:pPr>
            <w:r w:rsidRPr="00286895">
              <w:rPr>
                <w:rFonts w:ascii="宋体" w:hAnsi="宋体" w:cs="宋体" w:hint="eastAsia"/>
                <w:color w:val="000000"/>
                <w:kern w:val="0"/>
                <w:szCs w:val="21"/>
              </w:rPr>
              <w:t>业务量</w:t>
            </w:r>
          </w:p>
        </w:tc>
        <w:tc>
          <w:tcPr>
            <w:tcW w:w="1334" w:type="dxa"/>
            <w:shd w:val="clear" w:color="auto" w:fill="auto"/>
            <w:noWrap/>
            <w:vAlign w:val="center"/>
            <w:hideMark/>
          </w:tcPr>
          <w:p w14:paraId="487E38EA"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184.73%</w:t>
            </w:r>
          </w:p>
        </w:tc>
        <w:tc>
          <w:tcPr>
            <w:tcW w:w="940" w:type="dxa"/>
            <w:shd w:val="clear" w:color="auto" w:fill="auto"/>
            <w:noWrap/>
            <w:vAlign w:val="center"/>
            <w:hideMark/>
          </w:tcPr>
          <w:p w14:paraId="2D5A50A3" w14:textId="77777777" w:rsidR="00E905CE" w:rsidRPr="00286895" w:rsidRDefault="00E905CE" w:rsidP="00C41313">
            <w:pPr>
              <w:widowControl/>
              <w:jc w:val="center"/>
              <w:rPr>
                <w:rFonts w:ascii="宋体" w:hAnsi="宋体"/>
                <w:color w:val="000000"/>
                <w:kern w:val="0"/>
                <w:szCs w:val="21"/>
              </w:rPr>
            </w:pPr>
            <w:r w:rsidRPr="00286895">
              <w:rPr>
                <w:rFonts w:ascii="宋体" w:hAnsi="宋体" w:hint="eastAsia"/>
                <w:color w:val="000000"/>
                <w:kern w:val="0"/>
                <w:szCs w:val="21"/>
              </w:rPr>
              <w:t>-</w:t>
            </w:r>
          </w:p>
        </w:tc>
        <w:tc>
          <w:tcPr>
            <w:tcW w:w="1396" w:type="dxa"/>
            <w:shd w:val="clear" w:color="auto" w:fill="auto"/>
            <w:noWrap/>
            <w:vAlign w:val="center"/>
            <w:hideMark/>
          </w:tcPr>
          <w:p w14:paraId="7CD438B4"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184.97%</w:t>
            </w:r>
          </w:p>
        </w:tc>
      </w:tr>
      <w:tr w:rsidR="00E905CE" w:rsidRPr="00286895" w14:paraId="17AA11A2" w14:textId="77777777" w:rsidTr="00C34C28">
        <w:trPr>
          <w:trHeight w:val="390"/>
          <w:jc w:val="center"/>
        </w:trPr>
        <w:tc>
          <w:tcPr>
            <w:tcW w:w="2988" w:type="dxa"/>
            <w:shd w:val="clear" w:color="auto" w:fill="auto"/>
            <w:noWrap/>
            <w:vAlign w:val="center"/>
            <w:hideMark/>
          </w:tcPr>
          <w:p w14:paraId="60DEB738" w14:textId="77777777" w:rsidR="00E905CE" w:rsidRPr="00286895" w:rsidRDefault="00E905CE" w:rsidP="00C41313">
            <w:pPr>
              <w:widowControl/>
              <w:jc w:val="left"/>
              <w:rPr>
                <w:rFonts w:ascii="宋体" w:hAnsi="宋体" w:cs="宋体"/>
                <w:color w:val="000000"/>
                <w:kern w:val="0"/>
                <w:szCs w:val="21"/>
              </w:rPr>
            </w:pPr>
            <w:r w:rsidRPr="00286895">
              <w:rPr>
                <w:rFonts w:ascii="宋体" w:hAnsi="宋体" w:cs="宋体" w:hint="eastAsia"/>
                <w:color w:val="000000"/>
                <w:kern w:val="0"/>
                <w:szCs w:val="21"/>
              </w:rPr>
              <w:t>单位变动成本</w:t>
            </w:r>
          </w:p>
        </w:tc>
        <w:tc>
          <w:tcPr>
            <w:tcW w:w="1334" w:type="dxa"/>
            <w:shd w:val="clear" w:color="auto" w:fill="auto"/>
            <w:noWrap/>
            <w:vAlign w:val="center"/>
            <w:hideMark/>
          </w:tcPr>
          <w:p w14:paraId="5B27DCB3"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-207.95%</w:t>
            </w:r>
          </w:p>
        </w:tc>
        <w:tc>
          <w:tcPr>
            <w:tcW w:w="940" w:type="dxa"/>
            <w:shd w:val="clear" w:color="auto" w:fill="auto"/>
            <w:noWrap/>
            <w:vAlign w:val="center"/>
            <w:hideMark/>
          </w:tcPr>
          <w:p w14:paraId="234A9473" w14:textId="77777777" w:rsidR="00E905CE" w:rsidRPr="00286895" w:rsidRDefault="00E905CE" w:rsidP="00C41313">
            <w:pPr>
              <w:widowControl/>
              <w:jc w:val="center"/>
              <w:rPr>
                <w:rFonts w:ascii="宋体" w:hAnsi="宋体"/>
                <w:color w:val="000000"/>
                <w:kern w:val="0"/>
                <w:szCs w:val="21"/>
              </w:rPr>
            </w:pPr>
            <w:r w:rsidRPr="00286895">
              <w:rPr>
                <w:rFonts w:ascii="宋体" w:hAnsi="宋体" w:hint="eastAsia"/>
                <w:color w:val="000000"/>
                <w:kern w:val="0"/>
                <w:szCs w:val="21"/>
              </w:rPr>
              <w:t>-</w:t>
            </w:r>
          </w:p>
        </w:tc>
        <w:tc>
          <w:tcPr>
            <w:tcW w:w="1396" w:type="dxa"/>
            <w:shd w:val="clear" w:color="auto" w:fill="auto"/>
            <w:noWrap/>
            <w:vAlign w:val="center"/>
            <w:hideMark/>
          </w:tcPr>
          <w:p w14:paraId="7F2DB5F2"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-207.94%</w:t>
            </w:r>
          </w:p>
        </w:tc>
      </w:tr>
      <w:tr w:rsidR="00E905CE" w:rsidRPr="00286895" w14:paraId="5E6CE1AC" w14:textId="77777777" w:rsidTr="00C34C28">
        <w:trPr>
          <w:trHeight w:val="390"/>
          <w:jc w:val="center"/>
        </w:trPr>
        <w:tc>
          <w:tcPr>
            <w:tcW w:w="2988" w:type="dxa"/>
            <w:shd w:val="clear" w:color="auto" w:fill="auto"/>
            <w:noWrap/>
            <w:vAlign w:val="center"/>
            <w:hideMark/>
          </w:tcPr>
          <w:p w14:paraId="72732C1F" w14:textId="77777777" w:rsidR="00E905CE" w:rsidRPr="00286895" w:rsidRDefault="00E905CE" w:rsidP="00C41313">
            <w:pPr>
              <w:widowControl/>
              <w:jc w:val="left"/>
              <w:rPr>
                <w:rFonts w:ascii="宋体" w:hAnsi="宋体" w:cs="宋体"/>
                <w:color w:val="000000"/>
                <w:kern w:val="0"/>
                <w:szCs w:val="21"/>
              </w:rPr>
            </w:pPr>
            <w:r w:rsidRPr="00286895">
              <w:rPr>
                <w:rFonts w:ascii="宋体" w:hAnsi="宋体" w:cs="宋体" w:hint="eastAsia"/>
                <w:color w:val="000000"/>
                <w:kern w:val="0"/>
                <w:szCs w:val="21"/>
              </w:rPr>
              <w:t>永续期资本性支出</w:t>
            </w:r>
          </w:p>
        </w:tc>
        <w:tc>
          <w:tcPr>
            <w:tcW w:w="1334" w:type="dxa"/>
            <w:shd w:val="clear" w:color="auto" w:fill="auto"/>
            <w:noWrap/>
            <w:vAlign w:val="center"/>
            <w:hideMark/>
          </w:tcPr>
          <w:p w14:paraId="47708AE9"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-53.29%</w:t>
            </w:r>
          </w:p>
        </w:tc>
        <w:tc>
          <w:tcPr>
            <w:tcW w:w="940" w:type="dxa"/>
            <w:shd w:val="clear" w:color="auto" w:fill="auto"/>
            <w:noWrap/>
            <w:vAlign w:val="center"/>
            <w:hideMark/>
          </w:tcPr>
          <w:p w14:paraId="438DEAFB" w14:textId="77777777" w:rsidR="00E905CE" w:rsidRPr="00286895" w:rsidRDefault="00E905CE" w:rsidP="00C41313">
            <w:pPr>
              <w:widowControl/>
              <w:jc w:val="center"/>
              <w:rPr>
                <w:rFonts w:ascii="宋体" w:hAnsi="宋体"/>
                <w:color w:val="000000"/>
                <w:kern w:val="0"/>
                <w:szCs w:val="21"/>
              </w:rPr>
            </w:pPr>
            <w:r w:rsidRPr="00286895">
              <w:rPr>
                <w:rFonts w:ascii="宋体" w:hAnsi="宋体" w:hint="eastAsia"/>
                <w:color w:val="000000"/>
                <w:kern w:val="0"/>
                <w:szCs w:val="21"/>
              </w:rPr>
              <w:t>-</w:t>
            </w:r>
          </w:p>
        </w:tc>
        <w:tc>
          <w:tcPr>
            <w:tcW w:w="1396" w:type="dxa"/>
            <w:shd w:val="clear" w:color="auto" w:fill="auto"/>
            <w:noWrap/>
            <w:vAlign w:val="center"/>
            <w:hideMark/>
          </w:tcPr>
          <w:p w14:paraId="367C6CF6"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-53.29%</w:t>
            </w:r>
          </w:p>
        </w:tc>
      </w:tr>
      <w:tr w:rsidR="00E905CE" w:rsidRPr="00286895" w14:paraId="6060E0F6" w14:textId="77777777" w:rsidTr="00C34C28">
        <w:trPr>
          <w:trHeight w:val="390"/>
          <w:jc w:val="center"/>
        </w:trPr>
        <w:tc>
          <w:tcPr>
            <w:tcW w:w="2988" w:type="dxa"/>
            <w:shd w:val="clear" w:color="auto" w:fill="auto"/>
            <w:noWrap/>
            <w:vAlign w:val="center"/>
            <w:hideMark/>
          </w:tcPr>
          <w:p w14:paraId="121A6831" w14:textId="77777777" w:rsidR="00E905CE" w:rsidRPr="00286895" w:rsidRDefault="00E905CE" w:rsidP="00C41313">
            <w:pPr>
              <w:widowControl/>
              <w:jc w:val="left"/>
              <w:rPr>
                <w:rFonts w:ascii="宋体" w:hAnsi="宋体" w:cs="宋体"/>
                <w:color w:val="000000"/>
                <w:kern w:val="0"/>
                <w:szCs w:val="21"/>
              </w:rPr>
            </w:pPr>
            <w:r w:rsidRPr="00286895">
              <w:rPr>
                <w:rFonts w:ascii="宋体" w:hAnsi="宋体" w:cs="宋体" w:hint="eastAsia"/>
                <w:color w:val="000000"/>
                <w:kern w:val="0"/>
                <w:szCs w:val="21"/>
              </w:rPr>
              <w:t>市场风险溢价</w:t>
            </w:r>
          </w:p>
        </w:tc>
        <w:tc>
          <w:tcPr>
            <w:tcW w:w="1334" w:type="dxa"/>
            <w:shd w:val="clear" w:color="auto" w:fill="auto"/>
            <w:noWrap/>
            <w:vAlign w:val="center"/>
            <w:hideMark/>
          </w:tcPr>
          <w:p w14:paraId="1A1BD813"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-68.03%</w:t>
            </w:r>
          </w:p>
        </w:tc>
        <w:tc>
          <w:tcPr>
            <w:tcW w:w="940" w:type="dxa"/>
            <w:shd w:val="clear" w:color="auto" w:fill="auto"/>
            <w:noWrap/>
            <w:vAlign w:val="center"/>
            <w:hideMark/>
          </w:tcPr>
          <w:p w14:paraId="393D1430" w14:textId="77777777" w:rsidR="00E905CE" w:rsidRPr="00286895" w:rsidRDefault="00E905CE" w:rsidP="00C41313">
            <w:pPr>
              <w:widowControl/>
              <w:jc w:val="center"/>
              <w:rPr>
                <w:rFonts w:ascii="宋体" w:hAnsi="宋体"/>
                <w:color w:val="000000"/>
                <w:kern w:val="0"/>
                <w:szCs w:val="21"/>
              </w:rPr>
            </w:pPr>
            <w:r w:rsidRPr="00286895">
              <w:rPr>
                <w:rFonts w:ascii="宋体" w:hAnsi="宋体" w:hint="eastAsia"/>
                <w:color w:val="000000"/>
                <w:kern w:val="0"/>
                <w:szCs w:val="21"/>
              </w:rPr>
              <w:t>-</w:t>
            </w:r>
          </w:p>
        </w:tc>
        <w:tc>
          <w:tcPr>
            <w:tcW w:w="1396" w:type="dxa"/>
            <w:shd w:val="clear" w:color="auto" w:fill="auto"/>
            <w:noWrap/>
            <w:vAlign w:val="center"/>
            <w:hideMark/>
          </w:tcPr>
          <w:p w14:paraId="773C539F" w14:textId="77777777" w:rsidR="00E905CE" w:rsidRPr="00286895" w:rsidRDefault="00E905CE" w:rsidP="00C41313">
            <w:pPr>
              <w:widowControl/>
              <w:jc w:val="right"/>
              <w:rPr>
                <w:rFonts w:ascii="宋体" w:hAnsi="宋体"/>
                <w:color w:val="000000"/>
                <w:kern w:val="0"/>
                <w:szCs w:val="21"/>
              </w:rPr>
            </w:pPr>
            <w:r w:rsidRPr="00286895">
              <w:rPr>
                <w:rFonts w:ascii="宋体" w:hAnsi="宋体"/>
                <w:color w:val="000000"/>
                <w:kern w:val="0"/>
                <w:szCs w:val="21"/>
              </w:rPr>
              <w:t>-63.67%</w:t>
            </w:r>
          </w:p>
        </w:tc>
      </w:tr>
    </w:tbl>
    <w:p w14:paraId="7FA33446" w14:textId="77777777" w:rsidR="00E905CE" w:rsidRDefault="00E905CE" w:rsidP="00E905CE">
      <w:pPr>
        <w:pStyle w:val="13"/>
      </w:pPr>
      <w:r>
        <w:rPr>
          <w:rFonts w:hint="eastAsia"/>
        </w:rPr>
        <w:t>从上表中可看出，业务单价的敏感性系数最大，单位变动成本、业务量的敏感性系数次之，市场风险溢价和永续期资本性支出的敏感性系数相对较小。考虑到市场风</w:t>
      </w:r>
      <w:r>
        <w:rPr>
          <w:rFonts w:hint="eastAsia"/>
        </w:rPr>
        <w:lastRenderedPageBreak/>
        <w:t>险溢价估计的不确定性程度可能较高，将业务单价、单位变动成本、业务量和市场风险溢价确定为敏感性因素。</w:t>
      </w:r>
    </w:p>
    <w:p w14:paraId="33196BC0" w14:textId="77777777" w:rsidR="00E905CE" w:rsidRDefault="00E905CE" w:rsidP="00E905CE">
      <w:pPr>
        <w:pStyle w:val="13"/>
      </w:pPr>
      <w:r>
        <w:rPr>
          <w:rFonts w:hint="eastAsia"/>
        </w:rPr>
        <w:t>（二）计算敏感性因素变动情况下的评估值取值区间</w:t>
      </w:r>
    </w:p>
    <w:p w14:paraId="71476436" w14:textId="77777777" w:rsidR="00E905CE" w:rsidRDefault="00E905CE" w:rsidP="00E905CE">
      <w:pPr>
        <w:pStyle w:val="13"/>
      </w:pPr>
      <w:r>
        <w:rPr>
          <w:rFonts w:hint="eastAsia"/>
        </w:rPr>
        <w:t>由于敏感性因素有四个，若考虑同时变动，即便每个因素只发生</w:t>
      </w:r>
      <w:r>
        <w:t>+5%和-5%两种变动，也会有80种计算结果（3的</w:t>
      </w:r>
      <w:proofErr w:type="gramStart"/>
      <w:r>
        <w:t>四次方减</w:t>
      </w:r>
      <w:proofErr w:type="gramEnd"/>
      <w:r>
        <w:t>1）。因此本例中仅计算两种极值情况，即业务单价和业务量取值增加5%、单位变动成本和市场风险溢价取值减少5%产生最大评估值，业务单价和业务量取值减少5%、单位变动成本和市场风险溢价取值增加5%产生最小评估值。计算具体结果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261"/>
        <w:gridCol w:w="2118"/>
        <w:gridCol w:w="2118"/>
        <w:gridCol w:w="1688"/>
      </w:tblGrid>
      <w:tr w:rsidR="00E905CE" w:rsidRPr="00286895" w14:paraId="5443D311" w14:textId="77777777" w:rsidTr="00286895">
        <w:trPr>
          <w:trHeight w:val="612"/>
          <w:jc w:val="center"/>
        </w:trPr>
        <w:tc>
          <w:tcPr>
            <w:tcW w:w="5000" w:type="pct"/>
            <w:gridSpan w:val="5"/>
            <w:tcBorders>
              <w:top w:val="single" w:sz="4" w:space="0" w:color="FFFFFF"/>
              <w:left w:val="nil"/>
              <w:right w:val="nil"/>
            </w:tcBorders>
            <w:shd w:val="clear" w:color="auto" w:fill="auto"/>
            <w:noWrap/>
            <w:vAlign w:val="center"/>
          </w:tcPr>
          <w:p w14:paraId="5ADC660C" w14:textId="77777777" w:rsidR="00E905CE" w:rsidRPr="00286895" w:rsidRDefault="00E905CE" w:rsidP="00C41313">
            <w:pPr>
              <w:pStyle w:val="13"/>
              <w:spacing w:line="240" w:lineRule="auto"/>
              <w:ind w:firstLineChars="0" w:firstLine="0"/>
              <w:jc w:val="center"/>
              <w:rPr>
                <w:sz w:val="21"/>
                <w:szCs w:val="21"/>
              </w:rPr>
            </w:pPr>
            <w:r w:rsidRPr="00286895">
              <w:rPr>
                <w:sz w:val="21"/>
                <w:szCs w:val="21"/>
              </w:rPr>
              <w:t>各</w:t>
            </w:r>
            <w:r w:rsidRPr="00286895">
              <w:rPr>
                <w:rFonts w:hint="eastAsia"/>
                <w:sz w:val="21"/>
                <w:szCs w:val="21"/>
              </w:rPr>
              <w:t>敏感性因素</w:t>
            </w:r>
            <w:r w:rsidRPr="00286895">
              <w:rPr>
                <w:sz w:val="21"/>
                <w:szCs w:val="21"/>
              </w:rPr>
              <w:t>分别变动</w:t>
            </w:r>
            <w:r w:rsidRPr="00286895">
              <w:rPr>
                <w:rFonts w:hint="eastAsia"/>
                <w:sz w:val="21"/>
                <w:szCs w:val="21"/>
              </w:rPr>
              <w:t>下</w:t>
            </w:r>
            <w:r w:rsidRPr="00286895">
              <w:rPr>
                <w:sz w:val="21"/>
                <w:szCs w:val="21"/>
              </w:rPr>
              <w:t>的评估值（万元）</w:t>
            </w:r>
          </w:p>
        </w:tc>
      </w:tr>
      <w:tr w:rsidR="00E905CE" w:rsidRPr="00286895" w14:paraId="40BD50DD" w14:textId="77777777" w:rsidTr="00286895">
        <w:trPr>
          <w:trHeight w:val="390"/>
          <w:jc w:val="center"/>
        </w:trPr>
        <w:tc>
          <w:tcPr>
            <w:tcW w:w="885" w:type="pct"/>
            <w:shd w:val="clear" w:color="auto" w:fill="auto"/>
            <w:noWrap/>
            <w:vAlign w:val="center"/>
            <w:hideMark/>
          </w:tcPr>
          <w:p w14:paraId="490524EB" w14:textId="77777777" w:rsidR="00E905CE" w:rsidRPr="00286895" w:rsidRDefault="00E905CE" w:rsidP="00C41313">
            <w:pPr>
              <w:pStyle w:val="13"/>
              <w:spacing w:line="240" w:lineRule="auto"/>
              <w:ind w:firstLineChars="0" w:firstLine="0"/>
              <w:jc w:val="center"/>
              <w:rPr>
                <w:sz w:val="21"/>
                <w:szCs w:val="21"/>
              </w:rPr>
            </w:pPr>
            <w:r w:rsidRPr="00286895">
              <w:rPr>
                <w:sz w:val="21"/>
                <w:szCs w:val="21"/>
              </w:rPr>
              <w:t>业务单价</w:t>
            </w:r>
          </w:p>
        </w:tc>
        <w:tc>
          <w:tcPr>
            <w:tcW w:w="722" w:type="pct"/>
            <w:shd w:val="clear" w:color="auto" w:fill="auto"/>
            <w:noWrap/>
            <w:vAlign w:val="center"/>
            <w:hideMark/>
          </w:tcPr>
          <w:p w14:paraId="65661ADE" w14:textId="77777777" w:rsidR="00E905CE" w:rsidRPr="00286895" w:rsidRDefault="00E905CE" w:rsidP="00C41313">
            <w:pPr>
              <w:pStyle w:val="13"/>
              <w:spacing w:line="240" w:lineRule="auto"/>
              <w:ind w:firstLineChars="0" w:firstLine="0"/>
              <w:jc w:val="center"/>
              <w:rPr>
                <w:sz w:val="21"/>
                <w:szCs w:val="21"/>
              </w:rPr>
            </w:pPr>
            <w:r w:rsidRPr="00286895">
              <w:rPr>
                <w:sz w:val="21"/>
                <w:szCs w:val="21"/>
              </w:rPr>
              <w:t>业务量</w:t>
            </w:r>
          </w:p>
        </w:tc>
        <w:tc>
          <w:tcPr>
            <w:tcW w:w="1213" w:type="pct"/>
            <w:shd w:val="clear" w:color="auto" w:fill="auto"/>
            <w:noWrap/>
            <w:vAlign w:val="center"/>
            <w:hideMark/>
          </w:tcPr>
          <w:p w14:paraId="1921AC24" w14:textId="77777777" w:rsidR="00E905CE" w:rsidRPr="00286895" w:rsidRDefault="00E905CE" w:rsidP="00C41313">
            <w:pPr>
              <w:pStyle w:val="13"/>
              <w:spacing w:line="240" w:lineRule="auto"/>
              <w:ind w:firstLineChars="0" w:firstLine="0"/>
              <w:jc w:val="center"/>
              <w:rPr>
                <w:sz w:val="21"/>
                <w:szCs w:val="21"/>
              </w:rPr>
            </w:pPr>
            <w:r w:rsidRPr="00286895">
              <w:rPr>
                <w:sz w:val="21"/>
                <w:szCs w:val="21"/>
              </w:rPr>
              <w:t>单位变动成本</w:t>
            </w:r>
          </w:p>
        </w:tc>
        <w:tc>
          <w:tcPr>
            <w:tcW w:w="1213" w:type="pct"/>
            <w:shd w:val="clear" w:color="auto" w:fill="auto"/>
            <w:noWrap/>
            <w:vAlign w:val="center"/>
            <w:hideMark/>
          </w:tcPr>
          <w:p w14:paraId="3BD58D5D" w14:textId="77777777" w:rsidR="00E905CE" w:rsidRPr="00286895" w:rsidRDefault="00E905CE" w:rsidP="00C41313">
            <w:pPr>
              <w:pStyle w:val="13"/>
              <w:spacing w:line="240" w:lineRule="auto"/>
              <w:ind w:firstLineChars="0" w:firstLine="0"/>
              <w:jc w:val="center"/>
              <w:rPr>
                <w:sz w:val="21"/>
                <w:szCs w:val="21"/>
              </w:rPr>
            </w:pPr>
            <w:r w:rsidRPr="00286895">
              <w:rPr>
                <w:sz w:val="21"/>
                <w:szCs w:val="21"/>
              </w:rPr>
              <w:t>市场风险溢价</w:t>
            </w:r>
          </w:p>
        </w:tc>
        <w:tc>
          <w:tcPr>
            <w:tcW w:w="966" w:type="pct"/>
            <w:shd w:val="clear" w:color="auto" w:fill="auto"/>
            <w:noWrap/>
            <w:vAlign w:val="center"/>
            <w:hideMark/>
          </w:tcPr>
          <w:p w14:paraId="0A9CE9AD" w14:textId="77777777" w:rsidR="00E905CE" w:rsidRPr="00286895" w:rsidRDefault="00E905CE" w:rsidP="00C41313">
            <w:pPr>
              <w:pStyle w:val="13"/>
              <w:spacing w:line="240" w:lineRule="auto"/>
              <w:ind w:firstLineChars="0" w:firstLine="0"/>
              <w:jc w:val="center"/>
              <w:rPr>
                <w:sz w:val="21"/>
                <w:szCs w:val="21"/>
              </w:rPr>
            </w:pPr>
            <w:r w:rsidRPr="00286895">
              <w:rPr>
                <w:sz w:val="21"/>
                <w:szCs w:val="21"/>
              </w:rPr>
              <w:t>评估值</w:t>
            </w:r>
          </w:p>
        </w:tc>
      </w:tr>
      <w:tr w:rsidR="00E905CE" w:rsidRPr="00286895" w14:paraId="793FB501" w14:textId="77777777" w:rsidTr="00286895">
        <w:trPr>
          <w:trHeight w:val="390"/>
          <w:jc w:val="center"/>
        </w:trPr>
        <w:tc>
          <w:tcPr>
            <w:tcW w:w="885" w:type="pct"/>
            <w:shd w:val="clear" w:color="auto" w:fill="auto"/>
            <w:noWrap/>
            <w:vAlign w:val="center"/>
            <w:hideMark/>
          </w:tcPr>
          <w:p w14:paraId="39D3FEE9"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5%</w:t>
            </w:r>
          </w:p>
        </w:tc>
        <w:tc>
          <w:tcPr>
            <w:tcW w:w="722" w:type="pct"/>
            <w:shd w:val="clear" w:color="auto" w:fill="auto"/>
            <w:noWrap/>
            <w:vAlign w:val="center"/>
            <w:hideMark/>
          </w:tcPr>
          <w:p w14:paraId="14E6F535"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5%</w:t>
            </w:r>
          </w:p>
        </w:tc>
        <w:tc>
          <w:tcPr>
            <w:tcW w:w="1213" w:type="pct"/>
            <w:shd w:val="clear" w:color="auto" w:fill="auto"/>
            <w:noWrap/>
            <w:vAlign w:val="center"/>
            <w:hideMark/>
          </w:tcPr>
          <w:p w14:paraId="7B59AD72"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-5%</w:t>
            </w:r>
          </w:p>
        </w:tc>
        <w:tc>
          <w:tcPr>
            <w:tcW w:w="1213" w:type="pct"/>
            <w:shd w:val="clear" w:color="auto" w:fill="auto"/>
            <w:noWrap/>
            <w:vAlign w:val="center"/>
            <w:hideMark/>
          </w:tcPr>
          <w:p w14:paraId="3A5FDB49"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-5%</w:t>
            </w:r>
          </w:p>
        </w:tc>
        <w:tc>
          <w:tcPr>
            <w:tcW w:w="966" w:type="pct"/>
            <w:shd w:val="clear" w:color="auto" w:fill="auto"/>
            <w:noWrap/>
            <w:vAlign w:val="center"/>
            <w:hideMark/>
          </w:tcPr>
          <w:p w14:paraId="0A6C5684"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 xml:space="preserve">10721.49 </w:t>
            </w:r>
          </w:p>
        </w:tc>
      </w:tr>
      <w:tr w:rsidR="00E905CE" w:rsidRPr="00286895" w14:paraId="70B4123E" w14:textId="77777777" w:rsidTr="00286895">
        <w:trPr>
          <w:trHeight w:val="390"/>
          <w:jc w:val="center"/>
        </w:trPr>
        <w:tc>
          <w:tcPr>
            <w:tcW w:w="885" w:type="pct"/>
            <w:shd w:val="clear" w:color="auto" w:fill="auto"/>
            <w:noWrap/>
            <w:vAlign w:val="center"/>
            <w:hideMark/>
          </w:tcPr>
          <w:p w14:paraId="1C0FEA44"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0%</w:t>
            </w:r>
          </w:p>
        </w:tc>
        <w:tc>
          <w:tcPr>
            <w:tcW w:w="722" w:type="pct"/>
            <w:shd w:val="clear" w:color="auto" w:fill="auto"/>
            <w:noWrap/>
            <w:vAlign w:val="center"/>
            <w:hideMark/>
          </w:tcPr>
          <w:p w14:paraId="299AF2C5"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0%</w:t>
            </w:r>
          </w:p>
        </w:tc>
        <w:tc>
          <w:tcPr>
            <w:tcW w:w="1213" w:type="pct"/>
            <w:shd w:val="clear" w:color="auto" w:fill="auto"/>
            <w:noWrap/>
            <w:vAlign w:val="center"/>
            <w:hideMark/>
          </w:tcPr>
          <w:p w14:paraId="38602EA8"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0%</w:t>
            </w:r>
          </w:p>
        </w:tc>
        <w:tc>
          <w:tcPr>
            <w:tcW w:w="1213" w:type="pct"/>
            <w:shd w:val="clear" w:color="auto" w:fill="auto"/>
            <w:noWrap/>
            <w:vAlign w:val="center"/>
            <w:hideMark/>
          </w:tcPr>
          <w:p w14:paraId="5CEABA9F"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0%</w:t>
            </w:r>
          </w:p>
        </w:tc>
        <w:tc>
          <w:tcPr>
            <w:tcW w:w="966" w:type="pct"/>
            <w:shd w:val="clear" w:color="auto" w:fill="auto"/>
            <w:noWrap/>
            <w:vAlign w:val="center"/>
            <w:hideMark/>
          </w:tcPr>
          <w:p w14:paraId="34064C90"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 xml:space="preserve">7370.86 </w:t>
            </w:r>
          </w:p>
        </w:tc>
      </w:tr>
      <w:tr w:rsidR="00E905CE" w:rsidRPr="00286895" w14:paraId="49ED7579" w14:textId="77777777" w:rsidTr="00286895">
        <w:trPr>
          <w:trHeight w:val="390"/>
          <w:jc w:val="center"/>
        </w:trPr>
        <w:tc>
          <w:tcPr>
            <w:tcW w:w="885" w:type="pct"/>
            <w:shd w:val="clear" w:color="auto" w:fill="auto"/>
            <w:noWrap/>
            <w:vAlign w:val="center"/>
            <w:hideMark/>
          </w:tcPr>
          <w:p w14:paraId="472CBDDF"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-5%</w:t>
            </w:r>
          </w:p>
        </w:tc>
        <w:tc>
          <w:tcPr>
            <w:tcW w:w="722" w:type="pct"/>
            <w:shd w:val="clear" w:color="auto" w:fill="auto"/>
            <w:noWrap/>
            <w:vAlign w:val="center"/>
            <w:hideMark/>
          </w:tcPr>
          <w:p w14:paraId="1A7CFCD7"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-5%</w:t>
            </w:r>
          </w:p>
        </w:tc>
        <w:tc>
          <w:tcPr>
            <w:tcW w:w="1213" w:type="pct"/>
            <w:shd w:val="clear" w:color="auto" w:fill="auto"/>
            <w:noWrap/>
            <w:vAlign w:val="center"/>
            <w:hideMark/>
          </w:tcPr>
          <w:p w14:paraId="47FC7C00"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5%</w:t>
            </w:r>
          </w:p>
        </w:tc>
        <w:tc>
          <w:tcPr>
            <w:tcW w:w="1213" w:type="pct"/>
            <w:shd w:val="clear" w:color="auto" w:fill="auto"/>
            <w:noWrap/>
            <w:vAlign w:val="center"/>
            <w:hideMark/>
          </w:tcPr>
          <w:p w14:paraId="3C2DF92C"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5%</w:t>
            </w:r>
          </w:p>
        </w:tc>
        <w:tc>
          <w:tcPr>
            <w:tcW w:w="966" w:type="pct"/>
            <w:shd w:val="clear" w:color="auto" w:fill="auto"/>
            <w:noWrap/>
            <w:vAlign w:val="center"/>
            <w:hideMark/>
          </w:tcPr>
          <w:p w14:paraId="4ABCD969" w14:textId="77777777" w:rsidR="00E905CE" w:rsidRPr="00286895" w:rsidRDefault="00E905CE" w:rsidP="00C41313">
            <w:pPr>
              <w:pStyle w:val="13"/>
              <w:spacing w:line="240" w:lineRule="auto"/>
              <w:ind w:firstLineChars="0" w:firstLine="0"/>
              <w:jc w:val="right"/>
              <w:rPr>
                <w:sz w:val="21"/>
                <w:szCs w:val="21"/>
              </w:rPr>
            </w:pPr>
            <w:r w:rsidRPr="00286895">
              <w:rPr>
                <w:sz w:val="21"/>
                <w:szCs w:val="21"/>
              </w:rPr>
              <w:t xml:space="preserve">4432.52 </w:t>
            </w:r>
          </w:p>
        </w:tc>
      </w:tr>
    </w:tbl>
    <w:p w14:paraId="35C0851D" w14:textId="77777777" w:rsidR="00E905CE" w:rsidRDefault="00E905CE" w:rsidP="00E905CE">
      <w:pPr>
        <w:pStyle w:val="13"/>
      </w:pPr>
      <w:r>
        <w:rPr>
          <w:rFonts w:hint="eastAsia"/>
        </w:rPr>
        <w:t>（三）总结披露分析结果</w:t>
      </w:r>
    </w:p>
    <w:p w14:paraId="35BF816D" w14:textId="77777777" w:rsidR="00E905CE" w:rsidRDefault="00E905CE" w:rsidP="00E905CE">
      <w:pPr>
        <w:pStyle w:val="13"/>
      </w:pPr>
      <w:r>
        <w:rPr>
          <w:rFonts w:hint="eastAsia"/>
        </w:rPr>
        <w:t>在评估报告的特别事项说明部分，对敏感性分析结果</w:t>
      </w:r>
      <w:proofErr w:type="gramStart"/>
      <w:r>
        <w:rPr>
          <w:rFonts w:hint="eastAsia"/>
        </w:rPr>
        <w:t>作出</w:t>
      </w:r>
      <w:proofErr w:type="gramEnd"/>
      <w:r>
        <w:rPr>
          <w:rFonts w:hint="eastAsia"/>
        </w:rPr>
        <w:t>如下披露：</w:t>
      </w:r>
    </w:p>
    <w:p w14:paraId="0ED50EEA" w14:textId="77777777" w:rsidR="00E905CE" w:rsidRDefault="00E905CE" w:rsidP="00E905CE">
      <w:pPr>
        <w:pStyle w:val="13"/>
      </w:pPr>
      <w:r>
        <w:rPr>
          <w:rFonts w:hint="eastAsia"/>
        </w:rPr>
        <w:t>“对评估参数的估计客观上存在一定的不确定性。经分析比较，确定业务单价、业务量、单位变动成本和市场风险溢价为敏感性因素。</w:t>
      </w:r>
    </w:p>
    <w:p w14:paraId="1EA9D218" w14:textId="77777777" w:rsidR="00E905CE" w:rsidRDefault="00E905CE" w:rsidP="00E905CE">
      <w:pPr>
        <w:pStyle w:val="13"/>
      </w:pPr>
      <w:r>
        <w:rPr>
          <w:rFonts w:hint="eastAsia"/>
        </w:rPr>
        <w:t>在本次评估中，业务单价取值为</w:t>
      </w:r>
      <w:r>
        <w:t>32元，业务量取值为152万个，单位变动成本取值为16元，市场风险溢价取值为7%，评估结论为7370.86万元。当业务单价和业务量取值增加5%</w:t>
      </w:r>
      <w:proofErr w:type="gramStart"/>
      <w:r>
        <w:t>且单位</w:t>
      </w:r>
      <w:proofErr w:type="gramEnd"/>
      <w:r>
        <w:t>变动成本和市场风险溢价取值减少5%时，评估值计算结果为10721.49万元；当业务单价和业务量取值减少5%</w:t>
      </w:r>
      <w:proofErr w:type="gramStart"/>
      <w:r>
        <w:t>且单位</w:t>
      </w:r>
      <w:proofErr w:type="gramEnd"/>
      <w:r>
        <w:t>变动成本和市场风险溢价取值增加5%时，评估值计算结果为4432.52万元。</w:t>
      </w:r>
    </w:p>
    <w:p w14:paraId="73EDA733" w14:textId="77777777" w:rsidR="00E905CE" w:rsidRDefault="00E905CE" w:rsidP="00E905CE">
      <w:pPr>
        <w:pStyle w:val="13"/>
      </w:pPr>
      <w:r>
        <w:rPr>
          <w:rFonts w:hint="eastAsia"/>
        </w:rPr>
        <w:t>上述敏感性分析计算仅为揭示评估参数估计的不确定性对评估值的影响，以及说明评估结论存在的不确定性，</w:t>
      </w:r>
      <w:proofErr w:type="gramStart"/>
      <w:r>
        <w:rPr>
          <w:rFonts w:hint="eastAsia"/>
        </w:rPr>
        <w:t>供委托</w:t>
      </w:r>
      <w:proofErr w:type="gramEnd"/>
      <w:r>
        <w:rPr>
          <w:rFonts w:hint="eastAsia"/>
        </w:rPr>
        <w:t>方和评估报告使用者参考，但并不影响评估师基于已掌握的信息资料对相关评估参数</w:t>
      </w:r>
      <w:proofErr w:type="gramStart"/>
      <w:r>
        <w:rPr>
          <w:rFonts w:hint="eastAsia"/>
        </w:rPr>
        <w:t>作出</w:t>
      </w:r>
      <w:proofErr w:type="gramEnd"/>
      <w:r>
        <w:rPr>
          <w:rFonts w:hint="eastAsia"/>
        </w:rPr>
        <w:t>的估计判断，也不影响评估结论的成立</w:t>
      </w:r>
      <w:proofErr w:type="gramStart"/>
      <w:r>
        <w:rPr>
          <w:rFonts w:hint="eastAsia"/>
        </w:rPr>
        <w:t>”</w:t>
      </w:r>
      <w:proofErr w:type="gramEnd"/>
      <w:r>
        <w:rPr>
          <w:rFonts w:hint="eastAsia"/>
        </w:rPr>
        <w:t>。</w:t>
      </w:r>
    </w:p>
    <w:p w14:paraId="7F34507A" w14:textId="77777777" w:rsidR="00E905CE" w:rsidRPr="00286895" w:rsidRDefault="00E905CE" w:rsidP="00AF7342">
      <w:pPr>
        <w:pStyle w:val="a9"/>
        <w:spacing w:before="62" w:after="62"/>
        <w:rPr>
          <w:spacing w:val="-4"/>
        </w:rPr>
      </w:pPr>
      <w:r w:rsidRPr="00286895">
        <w:rPr>
          <w:rFonts w:hint="eastAsia"/>
          <w:spacing w:val="-4"/>
        </w:rPr>
        <w:t>关于《资产评估操作专家提示—</w:t>
      </w:r>
      <w:r w:rsidRPr="00286895">
        <w:rPr>
          <w:spacing w:val="-4"/>
        </w:rPr>
        <w:t>收益法中的敏感性分析（征求意见稿）》的起草说明</w:t>
      </w:r>
    </w:p>
    <w:p w14:paraId="15004964" w14:textId="77777777" w:rsidR="00E905CE" w:rsidRDefault="00E905CE" w:rsidP="00E905CE">
      <w:pPr>
        <w:pStyle w:val="13"/>
      </w:pPr>
      <w:r>
        <w:rPr>
          <w:rFonts w:hint="eastAsia"/>
        </w:rPr>
        <w:t>为指导注册资产评估师开展评估结论敏感性分析，中国资产评估协会组织起草了《资产评估操作专家提示——收益法中的敏感性分析（征求意见稿）》（以下简称“专家提示”）</w:t>
      </w:r>
      <w:r>
        <w:t xml:space="preserve"> 。为方便评估机构和注册资产评估师以及相关部门、人士理解征求意见稿内容，现将有关起草情况说明如下。</w:t>
      </w:r>
    </w:p>
    <w:p w14:paraId="470C388D" w14:textId="77777777" w:rsidR="00E905CE" w:rsidRDefault="00E905CE" w:rsidP="00E905CE">
      <w:pPr>
        <w:pStyle w:val="ab"/>
        <w:spacing w:before="62" w:after="62"/>
        <w:ind w:firstLine="482"/>
      </w:pPr>
      <w:r>
        <w:rPr>
          <w:rFonts w:hint="eastAsia"/>
        </w:rPr>
        <w:t>一、制定专家提示的必要性</w:t>
      </w:r>
    </w:p>
    <w:p w14:paraId="3AE24E0B" w14:textId="77777777" w:rsidR="00E905CE" w:rsidRDefault="00E905CE" w:rsidP="00E905CE">
      <w:pPr>
        <w:pStyle w:val="13"/>
      </w:pPr>
      <w:r>
        <w:rPr>
          <w:rFonts w:hint="eastAsia"/>
        </w:rPr>
        <w:t>在采用收益法进行资产评估时，无论是建立何种具体计算模型，经常需要对一些不确定因素进行分析与预测，或者做出一些假设，例如产品的售价、成本、销量、预</w:t>
      </w:r>
      <w:r>
        <w:rPr>
          <w:rFonts w:hint="eastAsia"/>
        </w:rPr>
        <w:lastRenderedPageBreak/>
        <w:t>计资本性支出、营运资金需求、利率、汇率、风险及其对应的折现率等。在进行分析预测时，除了尽可能参考外部客观依据之外，必然也要依靠较多的主观经验判断。预测或假设结果往往被认定为最佳或最优估计，但事实上可能并非如此。对这些不确定因素做出不同的估计，会对评估结论产生不同程度的影响，其中，一些敏感性因素的估计变动很可能会对评估结论这一关键指标产生非常显著的影响。</w:t>
      </w:r>
    </w:p>
    <w:p w14:paraId="16D8C727" w14:textId="77777777" w:rsidR="00E905CE" w:rsidRDefault="00E905CE" w:rsidP="00E905CE">
      <w:pPr>
        <w:pStyle w:val="13"/>
      </w:pPr>
      <w:r>
        <w:rPr>
          <w:rFonts w:hint="eastAsia"/>
        </w:rPr>
        <w:t>为了能够帮助监管部门和报告使用者更加充分地理解收益法评估结论及其不确定性信息，有必要时可以采用敏感性分析的方法，分析并揭示关键评估参数的变动对收益法评估结论的影响。</w:t>
      </w:r>
    </w:p>
    <w:p w14:paraId="155CDDC4" w14:textId="77777777" w:rsidR="00E905CE" w:rsidRDefault="00E905CE" w:rsidP="00E905CE">
      <w:pPr>
        <w:pStyle w:val="13"/>
      </w:pPr>
      <w:r>
        <w:rPr>
          <w:rFonts w:hint="eastAsia"/>
        </w:rPr>
        <w:t>以资产评估操作专家提示的形式，对收益法中的敏感性分析的操作方法以及披露要点方面做出提示，指导评估机构和注册资产评估师在收益法评估业务中恰当运用敏感性分析方法，具有其现实作用和意义。</w:t>
      </w:r>
    </w:p>
    <w:p w14:paraId="26B45D54" w14:textId="77777777" w:rsidR="00E905CE" w:rsidRDefault="00E905CE" w:rsidP="00E905CE">
      <w:pPr>
        <w:pStyle w:val="ab"/>
        <w:spacing w:before="62" w:after="62"/>
        <w:ind w:firstLine="482"/>
      </w:pPr>
      <w:r>
        <w:rPr>
          <w:rFonts w:hint="eastAsia"/>
        </w:rPr>
        <w:t>二、国外相关规范情况分析</w:t>
      </w:r>
    </w:p>
    <w:p w14:paraId="706D3109" w14:textId="77777777" w:rsidR="00E905CE" w:rsidRDefault="00E905CE" w:rsidP="00E905CE">
      <w:pPr>
        <w:pStyle w:val="13"/>
      </w:pPr>
      <w:r>
        <w:rPr>
          <w:rFonts w:hint="eastAsia"/>
        </w:rPr>
        <w:t>目前，对于敏感性分析，包括国际评估准则（</w:t>
      </w:r>
      <w:r>
        <w:t>IVS）、美国评估准则（USPAP）、欧洲评估准则（EVS）等在内的国外主要评估准则大都未做出明确规定和要求，仅英国皇家特许测量师学会《RICS评估准则》有所提及。《RICS评估准则》的《指南1：评估结论确定性》（GN 1 Valuation certainty）中指出，“如果发现存在对评估结论的确定性具有实质性影响的因素，可能比较谨慎的做法是进行敏感性分析，以阐明这些变量的变动对评估结论产生的影响”。</w:t>
      </w:r>
    </w:p>
    <w:p w14:paraId="27FF1816" w14:textId="77777777" w:rsidR="00E905CE" w:rsidRDefault="00E905CE" w:rsidP="00E905CE">
      <w:pPr>
        <w:pStyle w:val="13"/>
      </w:pPr>
      <w:r>
        <w:rPr>
          <w:rFonts w:hint="eastAsia"/>
        </w:rPr>
        <w:t>国际评估准则理事会（</w:t>
      </w:r>
      <w:r>
        <w:t>IVSC）于2012年11月发布技术信息文件（Technical Information Papers）《评估结论的不确定性（征求意见稿）》（Valuation Uncertainty）。该文件指出敏感性分析是定量描述评估结论不确定性的一种手段，并建议在采用关键输入值的最可能取值来获得评估结论的同时，进行敏感性分析，以揭示关键输入值的可能取值范围对评估结论的影响。</w:t>
      </w:r>
    </w:p>
    <w:p w14:paraId="004BDA8A" w14:textId="77777777" w:rsidR="00E905CE" w:rsidRDefault="00E905CE" w:rsidP="00E905CE">
      <w:pPr>
        <w:pStyle w:val="ab"/>
        <w:spacing w:before="62" w:after="62"/>
        <w:ind w:firstLine="482"/>
      </w:pPr>
      <w:r>
        <w:rPr>
          <w:rFonts w:hint="eastAsia"/>
        </w:rPr>
        <w:t>三、起草指导思想</w:t>
      </w:r>
    </w:p>
    <w:p w14:paraId="790B8BBD" w14:textId="77777777" w:rsidR="00E905CE" w:rsidRDefault="00E905CE" w:rsidP="00E905CE">
      <w:pPr>
        <w:pStyle w:val="13"/>
      </w:pPr>
      <w:r>
        <w:rPr>
          <w:rFonts w:hint="eastAsia"/>
        </w:rPr>
        <w:t>起草过程中主要遵循了以下指导思想：</w:t>
      </w:r>
    </w:p>
    <w:p w14:paraId="4AFCC6ED" w14:textId="77777777" w:rsidR="00E905CE" w:rsidRDefault="00E905CE" w:rsidP="00E905CE">
      <w:pPr>
        <w:pStyle w:val="13"/>
      </w:pPr>
      <w:r>
        <w:t>1.</w:t>
      </w:r>
      <w:proofErr w:type="gramStart"/>
      <w:r>
        <w:t>本专家</w:t>
      </w:r>
      <w:proofErr w:type="gramEnd"/>
      <w:r>
        <w:t>提示是一种专家意见，并非评估准则或对评估准则的补充或修正，</w:t>
      </w:r>
      <w:proofErr w:type="gramStart"/>
      <w:r>
        <w:t>仅建议</w:t>
      </w:r>
      <w:proofErr w:type="gramEnd"/>
      <w:r>
        <w:t>评估机构和注册资产评估师参考使用，故在用词上谨慎使用“应当”字样。</w:t>
      </w:r>
    </w:p>
    <w:p w14:paraId="5E683E4C" w14:textId="77777777" w:rsidR="00E905CE" w:rsidRDefault="00E905CE" w:rsidP="00E905CE">
      <w:pPr>
        <w:pStyle w:val="13"/>
      </w:pPr>
      <w:r>
        <w:t>2.敏感性分析的作用不是为了形成或者验证评估结论，也不是为预测评估结论在未来时点可能发生的价值波动，而是对已有评估结论作进一步的分析和解释。</w:t>
      </w:r>
    </w:p>
    <w:p w14:paraId="602ADF65" w14:textId="77777777" w:rsidR="00E905CE" w:rsidRDefault="00E905CE" w:rsidP="00E905CE">
      <w:pPr>
        <w:pStyle w:val="13"/>
      </w:pPr>
      <w:r>
        <w:t>3.收益法中的敏感性分析不同于自然科学、工程技术、宏观经济以及项目投资决策可行性研究等领域中的数据敏感性分析，其函数关系简单明确，故主要抓住操作和披露要点，对技术方法本身不做更深入的讨论。</w:t>
      </w:r>
    </w:p>
    <w:p w14:paraId="67C91435" w14:textId="77777777" w:rsidR="00E905CE" w:rsidRDefault="00E905CE" w:rsidP="00E905CE">
      <w:pPr>
        <w:pStyle w:val="13"/>
      </w:pPr>
      <w:r>
        <w:t>4.考虑具体操作的简便性和有效性。</w:t>
      </w:r>
    </w:p>
    <w:p w14:paraId="28193263" w14:textId="77777777" w:rsidR="00E905CE" w:rsidRDefault="00E905CE" w:rsidP="00E905CE">
      <w:pPr>
        <w:pStyle w:val="13"/>
      </w:pPr>
      <w:r>
        <w:lastRenderedPageBreak/>
        <w:t>5.鉴于内容比较集中，体例上不再分章。</w:t>
      </w:r>
    </w:p>
    <w:p w14:paraId="69AEC07A" w14:textId="77777777" w:rsidR="00E905CE" w:rsidRDefault="00E905CE" w:rsidP="00E905CE">
      <w:pPr>
        <w:pStyle w:val="ab"/>
        <w:spacing w:before="62" w:after="62"/>
        <w:ind w:firstLine="482"/>
      </w:pPr>
      <w:r>
        <w:rPr>
          <w:rFonts w:hint="eastAsia"/>
        </w:rPr>
        <w:t>四、起草过程</w:t>
      </w:r>
    </w:p>
    <w:p w14:paraId="701AF138" w14:textId="77777777" w:rsidR="00E905CE" w:rsidRDefault="00E905CE" w:rsidP="00E905CE">
      <w:pPr>
        <w:pStyle w:val="13"/>
      </w:pPr>
      <w:r>
        <w:t>2013年初，中国资产评估协会成立项目组。项目组成员查阅和收集了国内外现有评估准则规范关于敏感性分析的相关规定。对自然科学、工程技术、宏观经济以及项目投资决策可行性研究等领域中的数据敏感性分析进行了调查，对相关技术方法工具进行了了解，分析讨论了上述领域中的敏感性分析与收益法中的敏感性分析的联系与区别。通过查阅部分评估报告或估值报告，了解敏感性分析在评估实务中的运用情况。在此基础上，明确了收益法中的敏感性分析的实质作用，研究讨论具体操作和披露要点，尤其针对实务中可能存在的误区做出明确提示，草拟形成初稿。再经项</w:t>
      </w:r>
      <w:r>
        <w:rPr>
          <w:rFonts w:hint="eastAsia"/>
        </w:rPr>
        <w:t>目组多次研讨，数次修改完善，形成征求意见稿。</w:t>
      </w:r>
    </w:p>
    <w:p w14:paraId="54A4D692" w14:textId="77777777" w:rsidR="00E905CE" w:rsidRDefault="00E905CE" w:rsidP="00E905CE">
      <w:pPr>
        <w:pStyle w:val="ab"/>
        <w:spacing w:before="62" w:after="62"/>
        <w:ind w:firstLine="482"/>
      </w:pPr>
      <w:r>
        <w:rPr>
          <w:rFonts w:hint="eastAsia"/>
        </w:rPr>
        <w:t>五、起草中的主要意见和解决方式</w:t>
      </w:r>
    </w:p>
    <w:p w14:paraId="52C8882A" w14:textId="77777777" w:rsidR="00E905CE" w:rsidRDefault="00E905CE" w:rsidP="00E905CE">
      <w:pPr>
        <w:pStyle w:val="13"/>
      </w:pPr>
      <w:r>
        <w:t>1.收益法中的敏感性分析的根本目的是分析并揭示关键评估参数的变动对收益法评估结论的影响，反映评估结论的不确定性信息。敏感性分析是对已有评估结论做进一步的分析和解释，而不是为了形成或验证评估结论，从一定意义上讲，属于报告信息披露范畴。</w:t>
      </w:r>
    </w:p>
    <w:p w14:paraId="721C8706" w14:textId="77777777" w:rsidR="00E905CE" w:rsidRDefault="00E905CE" w:rsidP="00E905CE">
      <w:pPr>
        <w:pStyle w:val="13"/>
      </w:pPr>
      <w:r>
        <w:t>2.在进行敏感性分析时，要充分考虑各评估参数的经济意义，并且要充分认清预期收益额与折现率之间的逻辑关系。</w:t>
      </w:r>
    </w:p>
    <w:p w14:paraId="4B74F43B" w14:textId="77777777" w:rsidR="00E905CE" w:rsidRDefault="00E905CE" w:rsidP="00E905CE">
      <w:pPr>
        <w:pStyle w:val="13"/>
      </w:pPr>
      <w:r>
        <w:rPr>
          <w:rFonts w:hint="eastAsia"/>
        </w:rPr>
        <w:t>折现率是对预期收益</w:t>
      </w:r>
      <w:proofErr w:type="gramStart"/>
      <w:r>
        <w:rPr>
          <w:rFonts w:hint="eastAsia"/>
        </w:rPr>
        <w:t>额风险</w:t>
      </w:r>
      <w:proofErr w:type="gramEnd"/>
      <w:r>
        <w:rPr>
          <w:rFonts w:hint="eastAsia"/>
        </w:rPr>
        <w:t>程度的衡量。预期收益额应当是预期收益在一定概率分布情况下的数学期望值，既不是悲观保守情景下的预计值，也不是乐观激进情景下的预计值，而是对各种概率下的平均值的估计，折现率则是对预期收益额离散程度的衡量。从理论上看，合理的折现率应当已经充分反映了预期收益额可能发生的各种概率。所以，要注意不能将敏感性分析与概率分析相混淆。在选择评估参数和设定评估参数变动幅度时，应当考虑的是预期收益额的取值与其理论数学期望值之间的偏差，而不是预期收益</w:t>
      </w:r>
      <w:proofErr w:type="gramStart"/>
      <w:r>
        <w:rPr>
          <w:rFonts w:hint="eastAsia"/>
        </w:rPr>
        <w:t>额本身</w:t>
      </w:r>
      <w:proofErr w:type="gramEnd"/>
      <w:r>
        <w:rPr>
          <w:rFonts w:hint="eastAsia"/>
        </w:rPr>
        <w:t>的波动，否则会造成对预期收益额不确定性的重复计算。相应的，对于折现率应当考虑的是其取值与衡量预期收益风险大小的理论准确值之间的偏差。</w:t>
      </w:r>
    </w:p>
    <w:p w14:paraId="60CA496F" w14:textId="77777777" w:rsidR="00E905CE" w:rsidRDefault="00E905CE" w:rsidP="00E905CE">
      <w:pPr>
        <w:pStyle w:val="13"/>
      </w:pPr>
      <w:r>
        <w:t>3.收益法中的敏感性分析不同于自然科学、工程技术、宏观经济以及项目投资决策可行性研究等领域中的数据敏感性分析。</w:t>
      </w:r>
    </w:p>
    <w:p w14:paraId="4B700489" w14:textId="77777777" w:rsidR="00E905CE" w:rsidRDefault="00E905CE" w:rsidP="00E905CE">
      <w:pPr>
        <w:pStyle w:val="13"/>
      </w:pPr>
      <w:r>
        <w:rPr>
          <w:rFonts w:hint="eastAsia"/>
        </w:rPr>
        <w:t>自然科学、工程技术、宏观经济以及项目投资决策可行性研究等领域中的敏感性分析，其主要目的是找出参数（输入变量）的敏感性程度，以便采取相对应的措施，确保指标（输出变量）值落在一定区间。而收益法中的敏感性分析的主要目的，则是找出敏感性较高的评估参数后，将这些参数对评估结论的影响反映出来，对评估结论的不确定性做出一定描述。</w:t>
      </w:r>
    </w:p>
    <w:p w14:paraId="236AD41D" w14:textId="77777777" w:rsidR="00E905CE" w:rsidRDefault="00E905CE" w:rsidP="00E905CE">
      <w:pPr>
        <w:pStyle w:val="13"/>
      </w:pPr>
      <w:r>
        <w:rPr>
          <w:rFonts w:hint="eastAsia"/>
        </w:rPr>
        <w:lastRenderedPageBreak/>
        <w:t>在自然科学、工程技术、宏观经济领域中的敏感性分析数学模型中，参数与指标之间的函数关系往往不明确</w:t>
      </w:r>
      <w:proofErr w:type="gramStart"/>
      <w:r>
        <w:rPr>
          <w:rFonts w:hint="eastAsia"/>
        </w:rPr>
        <w:t>或是很</w:t>
      </w:r>
      <w:proofErr w:type="gramEnd"/>
      <w:r>
        <w:rPr>
          <w:rFonts w:hint="eastAsia"/>
        </w:rPr>
        <w:t>复杂，需要根据一些客观实验数据来推断各参数的敏感性。在现实中，只有某一个参数变化其他参数不变化的情况几乎不可能发生，因此需要考虑参数同时变动，即采用多因素敏感性分析方法（如正交试验法、综合图示法、多元回归法、函数法、人工神经网络法）进行研究，才能得出各参数敏感性程度。</w:t>
      </w:r>
    </w:p>
    <w:p w14:paraId="545815EE" w14:textId="77777777" w:rsidR="00E905CE" w:rsidRDefault="00E905CE" w:rsidP="00E905CE">
      <w:pPr>
        <w:pStyle w:val="13"/>
      </w:pPr>
      <w:r>
        <w:rPr>
          <w:rFonts w:hint="eastAsia"/>
        </w:rPr>
        <w:t>在项目投资决策中的敏感性分析数学模型中，虽然函数关系比较明确，也不存在采用客观实验数据条件的限制，但当指标为内部收益率时，参数与指标之间就会呈现隐函数关系，大大增加了求解的复杂性。并且，往往还需要判断决策临界点以及方案可行时的参数取值区间，以便在方案实施过程中关注关键点并采取相应对策，保证方案的可行性。这时，只有采用多因素敏感性分析方法才能达成目的。</w:t>
      </w:r>
    </w:p>
    <w:p w14:paraId="524E2A8B" w14:textId="77777777" w:rsidR="00E905CE" w:rsidRDefault="00E905CE" w:rsidP="00E905CE">
      <w:pPr>
        <w:pStyle w:val="13"/>
      </w:pPr>
      <w:r>
        <w:rPr>
          <w:rFonts w:hint="eastAsia"/>
        </w:rPr>
        <w:t>而在收益法中的敏感性分析数学模型中，评估参数与评估结论之间的函数关系十分明确，且这种函数关系为幂函数或指数函数关系（当将收益期作为评估参数时），其计算相对简单。</w:t>
      </w:r>
    </w:p>
    <w:p w14:paraId="1BC30398" w14:textId="77777777" w:rsidR="00E905CE" w:rsidRDefault="00E905CE" w:rsidP="00E905CE">
      <w:pPr>
        <w:pStyle w:val="13"/>
      </w:pPr>
      <w:r>
        <w:rPr>
          <w:rFonts w:hint="eastAsia"/>
        </w:rPr>
        <w:t>比较来看，在收益法中的敏感性分析中，采用单因素敏感性分析方法可以直接有效地得出各评估参数的敏感性程度。即使在计算多个参数同时变动情况下的评估结果时，也可以采用枚举的方法，不需要借用函数近似模拟。即使当多个参数同时变动的组合较多时，也只要计算出有关极值，就可以描述评估值变化区间。</w:t>
      </w:r>
    </w:p>
    <w:p w14:paraId="236DA3AE" w14:textId="77777777" w:rsidR="00E905CE" w:rsidRDefault="00E905CE" w:rsidP="00E905CE">
      <w:pPr>
        <w:pStyle w:val="13"/>
      </w:pPr>
      <w:r>
        <w:t>4.在评估报告的特别事项说明部分披露敏感性分析计算结果。</w:t>
      </w:r>
    </w:p>
    <w:p w14:paraId="402D0C4C" w14:textId="77777777" w:rsidR="00E905CE" w:rsidRDefault="00E905CE" w:rsidP="00E905CE">
      <w:pPr>
        <w:pStyle w:val="13"/>
      </w:pPr>
      <w:r>
        <w:rPr>
          <w:rFonts w:hint="eastAsia"/>
        </w:rPr>
        <w:t>《资产评估准则——评估报告》第二十六条规定，“评估报告的特别事项说明通常包括下列内容：（一）产权瑕疵；（二）未决事项、法律纠纷等不确定因素；（三）重大期后事项；（四）在不违背资产评估准则基本要求的情况下，采用的不同于资产评估准则规定的程序和方法。注册资产评估师应当说明特别事项可能对评估结论产生的影响，并重点提示评估报告使用者予以关注”。</w:t>
      </w:r>
    </w:p>
    <w:p w14:paraId="1B3DA165" w14:textId="77777777" w:rsidR="00E905CE" w:rsidRDefault="00E905CE" w:rsidP="00E905CE">
      <w:pPr>
        <w:pStyle w:val="13"/>
      </w:pPr>
      <w:r>
        <w:rPr>
          <w:rFonts w:hint="eastAsia"/>
        </w:rPr>
        <w:t>考虑到敏感性分析结果是评估结论的不确定性的反映，但并不构成评估结论的一部分，故参考上述规定，将敏感性分析计算结果作为可能影响评估结论的不确定因素，在评估报告的特别事项说明部分进行披露。</w:t>
      </w:r>
    </w:p>
    <w:p w14:paraId="266554BE" w14:textId="77777777" w:rsidR="00E905CE" w:rsidRDefault="00E905CE" w:rsidP="00E905CE">
      <w:pPr>
        <w:pStyle w:val="ab"/>
        <w:spacing w:before="62" w:after="62"/>
        <w:ind w:firstLine="482"/>
      </w:pPr>
      <w:r>
        <w:rPr>
          <w:rFonts w:hint="eastAsia"/>
        </w:rPr>
        <w:t>六、需要重点关注或提出意见的内容</w:t>
      </w:r>
    </w:p>
    <w:p w14:paraId="1870C794" w14:textId="77777777" w:rsidR="00E905CE" w:rsidRDefault="00E905CE" w:rsidP="00E905CE">
      <w:pPr>
        <w:pStyle w:val="13"/>
      </w:pPr>
      <w:r>
        <w:rPr>
          <w:rFonts w:hint="eastAsia"/>
        </w:rPr>
        <w:t>除上述主要意见中有关内容之外，还提请关注如下问题：</w:t>
      </w:r>
    </w:p>
    <w:p w14:paraId="39A54857" w14:textId="77777777" w:rsidR="00E905CE" w:rsidRDefault="00E905CE" w:rsidP="00E905CE">
      <w:pPr>
        <w:pStyle w:val="13"/>
      </w:pPr>
      <w:r>
        <w:t>1.有专家提出，</w:t>
      </w:r>
      <w:proofErr w:type="gramStart"/>
      <w:r>
        <w:t>宜针对</w:t>
      </w:r>
      <w:proofErr w:type="gramEnd"/>
      <w:r>
        <w:t>评估对象所涉及行业的不同特点，对敏感性因素的选取给出具体建议。后经项目组研究认为，敏感性因素的选取一般是结合具体的评估测算模型来进行，敏感性因素与行业特点之间并不一定存在显著而稳定的关联，难以全面</w:t>
      </w:r>
      <w:proofErr w:type="gramStart"/>
      <w:r>
        <w:t>准确总结</w:t>
      </w:r>
      <w:proofErr w:type="gramEnd"/>
      <w:r>
        <w:t>有关规律。故本征求</w:t>
      </w:r>
      <w:proofErr w:type="gramStart"/>
      <w:r>
        <w:t>意见稿未作</w:t>
      </w:r>
      <w:proofErr w:type="gramEnd"/>
      <w:r>
        <w:t>考虑。</w:t>
      </w:r>
    </w:p>
    <w:p w14:paraId="14D507B3" w14:textId="77777777" w:rsidR="00E905CE" w:rsidRDefault="00E905CE" w:rsidP="00E905CE">
      <w:pPr>
        <w:pStyle w:val="13"/>
      </w:pPr>
      <w:r>
        <w:t>2.有专家曾考虑将敏感性分析按照涉及企业价值评估、各类单项资产（资产组</w:t>
      </w:r>
      <w:r>
        <w:lastRenderedPageBreak/>
        <w:t>合）评估等区别处理。后经项目组研究认为，敏感性分析本质上并非一种评估方法，而是一种数学分析工具，它与评估测算模型中的函数关系、逻辑结构以及输入值有关，而与评估对象本身并无直接关联。故本稿未作考虑。</w:t>
      </w:r>
    </w:p>
    <w:p w14:paraId="4B952C8D" w14:textId="0FC4524A" w:rsidR="00E905CE" w:rsidRDefault="00E905CE" w:rsidP="00E905CE">
      <w:pPr>
        <w:pStyle w:val="31"/>
        <w:spacing w:before="156" w:after="62"/>
      </w:pPr>
      <w:bookmarkStart w:id="81" w:name="_Toc81833344"/>
      <w:r>
        <w:rPr>
          <w:rFonts w:hint="eastAsia"/>
        </w:rPr>
        <w:t>资产评估操作专家提示—采掘业企业评估（征求意见稿）</w:t>
      </w:r>
      <w:r>
        <w:br/>
      </w:r>
      <w:r w:rsidRPr="00882ED4">
        <w:rPr>
          <w:rFonts w:hint="eastAsia"/>
        </w:rPr>
        <w:t>（</w:t>
      </w:r>
      <w:proofErr w:type="gramStart"/>
      <w:r w:rsidRPr="00882ED4">
        <w:rPr>
          <w:rFonts w:hint="eastAsia"/>
        </w:rPr>
        <w:t>中评协</w:t>
      </w:r>
      <w:proofErr w:type="gramEnd"/>
      <w:r w:rsidRPr="00882ED4">
        <w:rPr>
          <w:rFonts w:hint="eastAsia"/>
        </w:rPr>
        <w:t>〔</w:t>
      </w:r>
      <w:r w:rsidRPr="00882ED4">
        <w:t>2013〕172号）</w:t>
      </w:r>
      <w:bookmarkEnd w:id="81"/>
    </w:p>
    <w:p w14:paraId="34DB04D9" w14:textId="77777777" w:rsidR="00E905CE" w:rsidRDefault="00E905CE" w:rsidP="00E905CE">
      <w:pPr>
        <w:pStyle w:val="13"/>
      </w:pPr>
      <w:proofErr w:type="gramStart"/>
      <w:r>
        <w:rPr>
          <w:rFonts w:hint="eastAsia"/>
        </w:rPr>
        <w:t>本专家</w:t>
      </w:r>
      <w:proofErr w:type="gramEnd"/>
      <w:r>
        <w:rPr>
          <w:rFonts w:hint="eastAsia"/>
        </w:rPr>
        <w:t>提示是一种专家意见。评估机构和注册资产评估</w:t>
      </w:r>
      <w:proofErr w:type="gramStart"/>
      <w:r>
        <w:rPr>
          <w:rFonts w:hint="eastAsia"/>
        </w:rPr>
        <w:t>师执行</w:t>
      </w:r>
      <w:proofErr w:type="gramEnd"/>
      <w:r>
        <w:rPr>
          <w:rFonts w:hint="eastAsia"/>
        </w:rPr>
        <w:t>资产评估业务，可以参照</w:t>
      </w:r>
      <w:proofErr w:type="gramStart"/>
      <w:r>
        <w:rPr>
          <w:rFonts w:hint="eastAsia"/>
        </w:rPr>
        <w:t>本专家</w:t>
      </w:r>
      <w:proofErr w:type="gramEnd"/>
      <w:r>
        <w:rPr>
          <w:rFonts w:hint="eastAsia"/>
        </w:rPr>
        <w:t>提示，也可以根据具体情况采用其他适当的做法。中国资产评估协会将根据业务发展，对</w:t>
      </w:r>
      <w:proofErr w:type="gramStart"/>
      <w:r>
        <w:rPr>
          <w:rFonts w:hint="eastAsia"/>
        </w:rPr>
        <w:t>本专家</w:t>
      </w:r>
      <w:proofErr w:type="gramEnd"/>
      <w:r>
        <w:rPr>
          <w:rFonts w:hint="eastAsia"/>
        </w:rPr>
        <w:t>提示进行更新。</w:t>
      </w:r>
    </w:p>
    <w:p w14:paraId="5155DAB0" w14:textId="77777777" w:rsidR="00E905CE" w:rsidRDefault="00E905CE" w:rsidP="00AF7342">
      <w:pPr>
        <w:pStyle w:val="a9"/>
        <w:spacing w:before="62" w:after="62"/>
      </w:pPr>
      <w:r>
        <w:rPr>
          <w:rFonts w:hint="eastAsia"/>
        </w:rPr>
        <w:t>第一章</w:t>
      </w:r>
      <w:r>
        <w:t xml:space="preserve"> 引言</w:t>
      </w:r>
    </w:p>
    <w:p w14:paraId="65B37451" w14:textId="77777777" w:rsidR="00E905CE" w:rsidRDefault="00E905CE" w:rsidP="00E905CE">
      <w:pPr>
        <w:pStyle w:val="13"/>
        <w:ind w:firstLine="482"/>
      </w:pPr>
      <w:r w:rsidRPr="004E3EBB">
        <w:rPr>
          <w:rFonts w:hint="eastAsia"/>
          <w:b/>
        </w:rPr>
        <w:t xml:space="preserve">第一条 </w:t>
      </w:r>
      <w:r>
        <w:t>为指导注册资产评估</w:t>
      </w:r>
      <w:proofErr w:type="gramStart"/>
      <w:r>
        <w:t>师执行</w:t>
      </w:r>
      <w:proofErr w:type="gramEnd"/>
      <w:r>
        <w:t>采掘业企业评估业务，针对采掘业企业特点，结合目前实际操作中的部分难点及要点，中国资产评估协会组织制定了</w:t>
      </w:r>
      <w:proofErr w:type="gramStart"/>
      <w:r>
        <w:t>本专家</w:t>
      </w:r>
      <w:proofErr w:type="gramEnd"/>
      <w:r>
        <w:t>提示。</w:t>
      </w:r>
    </w:p>
    <w:p w14:paraId="30823439" w14:textId="77777777" w:rsidR="00E905CE" w:rsidRDefault="00E905CE" w:rsidP="00E905CE">
      <w:pPr>
        <w:pStyle w:val="13"/>
        <w:ind w:firstLine="482"/>
      </w:pPr>
      <w:r w:rsidRPr="004E3EBB">
        <w:rPr>
          <w:rFonts w:hint="eastAsia"/>
          <w:b/>
        </w:rPr>
        <w:t xml:space="preserve">第二条 </w:t>
      </w:r>
      <w:proofErr w:type="gramStart"/>
      <w:r>
        <w:t>本专家</w:t>
      </w:r>
      <w:proofErr w:type="gramEnd"/>
      <w:r>
        <w:t>提示所指采掘业企业是指从事自然资源开采的矿业企业，一般包括各种金属和非金属矿（如煤炭、铁矿、石油与天然气、化学矿等）的采选企业。</w:t>
      </w:r>
    </w:p>
    <w:p w14:paraId="0E1A3EA9" w14:textId="77777777" w:rsidR="00E905CE" w:rsidRDefault="00E905CE" w:rsidP="00E905CE">
      <w:pPr>
        <w:pStyle w:val="13"/>
        <w:ind w:firstLine="482"/>
      </w:pPr>
      <w:r w:rsidRPr="004E3EBB">
        <w:rPr>
          <w:rFonts w:hint="eastAsia"/>
          <w:b/>
        </w:rPr>
        <w:t xml:space="preserve">第三条 </w:t>
      </w:r>
      <w:proofErr w:type="gramStart"/>
      <w:r>
        <w:t>本专家</w:t>
      </w:r>
      <w:proofErr w:type="gramEnd"/>
      <w:r>
        <w:t>提示所指采掘业企业评估是指注册资产评估</w:t>
      </w:r>
      <w:proofErr w:type="gramStart"/>
      <w:r>
        <w:t>师依据</w:t>
      </w:r>
      <w:proofErr w:type="gramEnd"/>
      <w:r>
        <w:t>相关法律、法规和资产评估准则，对评估基准日下的采掘业企业价值进行分析、估算并发表专业意见的行为和过程。</w:t>
      </w:r>
    </w:p>
    <w:p w14:paraId="1FE2859B" w14:textId="77777777" w:rsidR="00E905CE" w:rsidRDefault="00E905CE" w:rsidP="00E905CE">
      <w:pPr>
        <w:pStyle w:val="13"/>
        <w:ind w:firstLine="482"/>
      </w:pPr>
      <w:r w:rsidRPr="004E3EBB">
        <w:rPr>
          <w:rFonts w:hint="eastAsia"/>
          <w:b/>
        </w:rPr>
        <w:t xml:space="preserve">第四条 </w:t>
      </w:r>
      <w:r>
        <w:t>注册资产评估师在进行采掘业企业评估时，应充分了解采掘业相关法律法规及相关产业政策，认识到矿业权是采掘业企业的重要资产，并有能力理解矿业权的概念内涵，理解所引用相关专业报告的行业要求及报告内容。</w:t>
      </w:r>
    </w:p>
    <w:p w14:paraId="502C453A" w14:textId="77777777" w:rsidR="00E905CE" w:rsidRDefault="00E905CE" w:rsidP="00E905CE">
      <w:pPr>
        <w:pStyle w:val="13"/>
        <w:ind w:firstLine="482"/>
      </w:pPr>
      <w:r w:rsidRPr="004E3EBB">
        <w:rPr>
          <w:rFonts w:hint="eastAsia"/>
          <w:b/>
        </w:rPr>
        <w:t xml:space="preserve">第五条 </w:t>
      </w:r>
      <w:r>
        <w:t>在评估假设中，注册资产评估</w:t>
      </w:r>
      <w:proofErr w:type="gramStart"/>
      <w:r>
        <w:t>师不得</w:t>
      </w:r>
      <w:proofErr w:type="gramEnd"/>
      <w:r>
        <w:t>主观、随意设定评估假设，如不符合实际情况的生产能力假设、矿业权范围内的储量假设、矿业权价款的假设、产品销售价格及成本的假设、不切合实际情况的矿产资源开发利用的假设、对于国家限制开采或保护性开采的假设等。</w:t>
      </w:r>
    </w:p>
    <w:p w14:paraId="4D68AB92" w14:textId="77777777" w:rsidR="00E905CE" w:rsidRDefault="00E905CE" w:rsidP="00AF7342">
      <w:pPr>
        <w:pStyle w:val="a9"/>
        <w:spacing w:before="62" w:after="62"/>
      </w:pPr>
      <w:r>
        <w:rPr>
          <w:rFonts w:hint="eastAsia"/>
        </w:rPr>
        <w:t>第二章</w:t>
      </w:r>
      <w:r>
        <w:t xml:space="preserve"> 对评估对象法律权属的关注</w:t>
      </w:r>
    </w:p>
    <w:p w14:paraId="438AD04A" w14:textId="77777777" w:rsidR="00E905CE" w:rsidRDefault="00E905CE" w:rsidP="00E905CE">
      <w:pPr>
        <w:pStyle w:val="13"/>
        <w:ind w:firstLine="482"/>
      </w:pPr>
      <w:r w:rsidRPr="004E3EBB">
        <w:rPr>
          <w:rFonts w:hint="eastAsia"/>
          <w:b/>
        </w:rPr>
        <w:t xml:space="preserve">第六条 </w:t>
      </w:r>
      <w:r>
        <w:t>注册资产评估师进行采掘业企业评估，首先关注矿业权的取得方式：</w:t>
      </w:r>
    </w:p>
    <w:p w14:paraId="3F656EF7" w14:textId="77777777" w:rsidR="00E905CE" w:rsidRDefault="00E905CE" w:rsidP="00E905CE">
      <w:pPr>
        <w:pStyle w:val="13"/>
      </w:pPr>
      <w:r>
        <w:rPr>
          <w:rFonts w:hint="eastAsia"/>
        </w:rPr>
        <w:t>（一）对于无偿取得的矿业权，重点关注是否为国家出资并形成矿产地、是否有发证机关出具的相关采矿权价款不需缴纳的文件如：“空白地查询信息”、“自有资金勘探形成矿产地”、“矿区内生产勘探新增储量”等，关注以上事项对评估对象评估结论的影响。</w:t>
      </w:r>
    </w:p>
    <w:p w14:paraId="315EC988" w14:textId="77777777" w:rsidR="00E905CE" w:rsidRDefault="00E905CE" w:rsidP="00E905CE">
      <w:pPr>
        <w:pStyle w:val="13"/>
      </w:pPr>
      <w:r>
        <w:rPr>
          <w:rFonts w:hint="eastAsia"/>
        </w:rPr>
        <w:t>（二）对于以出让方式取得的矿业权，重点关注矿业权出让的合同、矿业权出让评估报告、矿业权出让评估报告备案证明、矿业权价款缴纳通知书等文件以及已处置的矿业权价款缴纳时间及相对应的储量</w:t>
      </w:r>
      <w:r>
        <w:t>/资源量情况。</w:t>
      </w:r>
    </w:p>
    <w:p w14:paraId="1C662B0B" w14:textId="77777777" w:rsidR="00E905CE" w:rsidRDefault="00E905CE" w:rsidP="00E905CE">
      <w:pPr>
        <w:pStyle w:val="13"/>
      </w:pPr>
      <w:r>
        <w:rPr>
          <w:rFonts w:hint="eastAsia"/>
        </w:rPr>
        <w:t>（三）对于以转让方式取得的矿业权，重点关注矿业权是否符合转让条件、转让</w:t>
      </w:r>
      <w:r>
        <w:rPr>
          <w:rFonts w:hint="eastAsia"/>
        </w:rPr>
        <w:lastRenderedPageBreak/>
        <w:t>时矿业权价款处置情况、转让合同是否经发证机关的审批、转让矿业权交易价格及依据等。</w:t>
      </w:r>
    </w:p>
    <w:p w14:paraId="168E0729" w14:textId="77777777" w:rsidR="00E905CE" w:rsidRDefault="00E905CE" w:rsidP="00E905CE">
      <w:pPr>
        <w:pStyle w:val="13"/>
        <w:ind w:firstLine="482"/>
      </w:pPr>
      <w:r w:rsidRPr="004E3EBB">
        <w:rPr>
          <w:rFonts w:hint="eastAsia"/>
          <w:b/>
        </w:rPr>
        <w:t xml:space="preserve">第七条 </w:t>
      </w:r>
      <w:r>
        <w:t>注册资产评估师应关注已取得的矿业权存在的企业未缴纳或未足额缴纳矿业权价款的权属瑕疵事项，并考虑对评估结果的影响。</w:t>
      </w:r>
    </w:p>
    <w:p w14:paraId="61B57247" w14:textId="77777777" w:rsidR="00E905CE" w:rsidRDefault="00E905CE" w:rsidP="00E905CE">
      <w:pPr>
        <w:pStyle w:val="13"/>
        <w:ind w:firstLine="482"/>
      </w:pPr>
      <w:r w:rsidRPr="004E3EBB">
        <w:rPr>
          <w:rFonts w:hint="eastAsia"/>
          <w:b/>
        </w:rPr>
        <w:t xml:space="preserve">第八条 </w:t>
      </w:r>
      <w:r>
        <w:t>注册资产评估师应关注采掘业企业最新的股东协议或章程中对权益和义务的特殊条款，如协议中对矿业权价款的约定、矿业权勘查开发的约定、矿业权转让情况的约定、股权的变更是否涉及矿业权变更、股权变更过程中所涉及的资产范围、股东出资的矿业权权属是否符合出资要求、矿业权出资定价的依据等，并考虑此类事项对评估结果的影响。</w:t>
      </w:r>
    </w:p>
    <w:p w14:paraId="08EE0B74" w14:textId="77777777" w:rsidR="00E905CE" w:rsidRDefault="00E905CE" w:rsidP="00E905CE">
      <w:pPr>
        <w:pStyle w:val="13"/>
        <w:ind w:firstLine="482"/>
      </w:pPr>
      <w:r w:rsidRPr="00E05BDA">
        <w:rPr>
          <w:rFonts w:hint="eastAsia"/>
          <w:b/>
        </w:rPr>
        <w:t xml:space="preserve">第九条 </w:t>
      </w:r>
      <w:r>
        <w:t>注册资产评估师对采掘业企业重要资产的清查及市场调研，重点关注以下事项：</w:t>
      </w:r>
    </w:p>
    <w:p w14:paraId="2F3A05B5" w14:textId="77777777" w:rsidR="00E905CE" w:rsidRDefault="00E905CE" w:rsidP="00E905CE">
      <w:pPr>
        <w:pStyle w:val="13"/>
      </w:pPr>
      <w:r>
        <w:rPr>
          <w:rFonts w:hint="eastAsia"/>
        </w:rPr>
        <w:t>（一）重点清查核实矿产资源勘查许可证或采矿许可证、划定矿区范围批复等文件的取得时间、有效期、勘查或开采矿种、开采方式、矿区面积、开采深度、生产规模等；取得成本；有偿处置情况及相关税费，包括矿业权价款、矿产资源补偿费、资源税、矿业权使用费等的缴纳情况，矿业权权属是否存在抵押等权利限制或者诉讼等权属争议。</w:t>
      </w:r>
    </w:p>
    <w:p w14:paraId="5FF9BCCE" w14:textId="77777777" w:rsidR="00E905CE" w:rsidRDefault="00E905CE" w:rsidP="00E905CE">
      <w:pPr>
        <w:pStyle w:val="13"/>
      </w:pPr>
      <w:r>
        <w:rPr>
          <w:rFonts w:hint="eastAsia"/>
        </w:rPr>
        <w:t>（二）重点清查核实矿产资源储量评审备案情况，评审意见书及备案证明的时间和</w:t>
      </w:r>
      <w:proofErr w:type="gramStart"/>
      <w:r>
        <w:rPr>
          <w:rFonts w:hint="eastAsia"/>
        </w:rPr>
        <w:t>文号</w:t>
      </w:r>
      <w:proofErr w:type="gramEnd"/>
      <w:r>
        <w:rPr>
          <w:rFonts w:hint="eastAsia"/>
        </w:rPr>
        <w:t>等；最近三年内最后一次储量核实与本次储量评审的差异情况等。</w:t>
      </w:r>
    </w:p>
    <w:p w14:paraId="0ACD12B1" w14:textId="77777777" w:rsidR="00E905CE" w:rsidRDefault="00E905CE" w:rsidP="00E905CE">
      <w:pPr>
        <w:pStyle w:val="13"/>
      </w:pPr>
      <w:r>
        <w:rPr>
          <w:rFonts w:hint="eastAsia"/>
        </w:rPr>
        <w:t>（三）核实采掘业企业的收益期是否长于《采矿许可证》有效期，或《勘查许可证》到期需要申请《采矿许可证》的，清查了解到期续展情况或“探转采”是否涉及矿业权价款及相关费用的缴纳，及其对评估结论的影响。</w:t>
      </w:r>
    </w:p>
    <w:p w14:paraId="7852BA55" w14:textId="77777777" w:rsidR="00E905CE" w:rsidRDefault="00E905CE" w:rsidP="00E905CE">
      <w:pPr>
        <w:pStyle w:val="13"/>
      </w:pPr>
      <w:r>
        <w:rPr>
          <w:rFonts w:hint="eastAsia"/>
        </w:rPr>
        <w:t>（四）核实矿业权证载生产能力与采掘业实际生能力的差异，重点关注其差异形成的原因，如审批机关不同所引起的差异、自行扩能所引起的差异、国家限制开采或保护开采矿种的产能限制情况。不建议采用未经任何部门批复的实际（扩产）生产能力。</w:t>
      </w:r>
    </w:p>
    <w:p w14:paraId="18C34B43" w14:textId="77777777" w:rsidR="00E905CE" w:rsidRDefault="00E905CE" w:rsidP="00E905CE">
      <w:pPr>
        <w:pStyle w:val="13"/>
      </w:pPr>
      <w:r>
        <w:rPr>
          <w:rFonts w:hint="eastAsia"/>
        </w:rPr>
        <w:t>（五）关注矿产品产销存情况、矿产品销售价格的历史变动情况、矿产品生产成本情况、采掘业自身盈利能力情况、国家及采掘业所属地区税收情况、近期矿业权交易市场情况、国家对于采掘</w:t>
      </w:r>
      <w:proofErr w:type="gramStart"/>
      <w:r>
        <w:rPr>
          <w:rFonts w:hint="eastAsia"/>
        </w:rPr>
        <w:t>业目标</w:t>
      </w:r>
      <w:proofErr w:type="gramEnd"/>
      <w:r>
        <w:rPr>
          <w:rFonts w:hint="eastAsia"/>
        </w:rPr>
        <w:t>矿种产能限制情况及其他产业政策、采掘业项目建设所需的各种技经资料及其审批（备案）文件、国家对矿产资源的总体规划及区域规划等。</w:t>
      </w:r>
    </w:p>
    <w:p w14:paraId="172B10E6" w14:textId="77777777" w:rsidR="00E905CE" w:rsidRDefault="00E905CE" w:rsidP="00E905CE">
      <w:pPr>
        <w:pStyle w:val="13"/>
        <w:ind w:firstLine="482"/>
      </w:pPr>
      <w:r w:rsidRPr="00E05BDA">
        <w:rPr>
          <w:rFonts w:hint="eastAsia"/>
          <w:b/>
        </w:rPr>
        <w:t xml:space="preserve">第十条 </w:t>
      </w:r>
      <w:r>
        <w:t>对于境外采掘业企业评估，重点关注矿业权权属性质、主权国家对于矿产资源的权利金制度、主权国家对采掘业的各项法律（法规）、采掘业的税收情况、采掘业的财务制度、矿产品销售途径、矿业权所在区域的基础设施、交通条件、矿产品出口及原材料、固定资产进口的关税制度等。</w:t>
      </w:r>
    </w:p>
    <w:p w14:paraId="6A340CF0" w14:textId="77777777" w:rsidR="00E905CE" w:rsidRDefault="00E905CE" w:rsidP="00AF7342">
      <w:pPr>
        <w:pStyle w:val="a9"/>
        <w:spacing w:before="62" w:after="62"/>
      </w:pPr>
      <w:r>
        <w:rPr>
          <w:rFonts w:hint="eastAsia"/>
        </w:rPr>
        <w:lastRenderedPageBreak/>
        <w:t>第三章</w:t>
      </w:r>
      <w:r>
        <w:t xml:space="preserve"> 评估方法的应用关注点</w:t>
      </w:r>
    </w:p>
    <w:p w14:paraId="69E134AB" w14:textId="77777777" w:rsidR="00E905CE" w:rsidRDefault="00E905CE" w:rsidP="00E905CE">
      <w:pPr>
        <w:pStyle w:val="13"/>
        <w:ind w:firstLine="482"/>
      </w:pPr>
      <w:r w:rsidRPr="00E05BDA">
        <w:rPr>
          <w:rFonts w:hint="eastAsia"/>
          <w:b/>
        </w:rPr>
        <w:t xml:space="preserve">第十一条 </w:t>
      </w:r>
      <w:r>
        <w:t>注册资产评估应当结合宏观经济发展、采掘业行业发展情况、企业资产情况、企业经营和财务情况、市场情况等充分分析资产基础法、收益法和市场法在采掘业企业的适用性。</w:t>
      </w:r>
    </w:p>
    <w:p w14:paraId="7FAE6A05" w14:textId="77777777" w:rsidR="00E905CE" w:rsidRDefault="00E905CE" w:rsidP="00E905CE">
      <w:pPr>
        <w:pStyle w:val="13"/>
        <w:ind w:firstLine="482"/>
      </w:pPr>
      <w:r w:rsidRPr="00E05BDA">
        <w:rPr>
          <w:rFonts w:hint="eastAsia"/>
          <w:b/>
        </w:rPr>
        <w:t xml:space="preserve">第十二条 </w:t>
      </w:r>
      <w:r>
        <w:t>资产基础法中对于特殊资产的尚可使用年限的处理：</w:t>
      </w:r>
    </w:p>
    <w:p w14:paraId="61264337" w14:textId="77777777" w:rsidR="00E905CE" w:rsidRDefault="00E905CE" w:rsidP="00E905CE">
      <w:pPr>
        <w:pStyle w:val="13"/>
      </w:pPr>
      <w:r>
        <w:rPr>
          <w:rFonts w:hint="eastAsia"/>
        </w:rPr>
        <w:t>（一）区别开拓巷道、</w:t>
      </w:r>
      <w:proofErr w:type="gramStart"/>
      <w:r>
        <w:rPr>
          <w:rFonts w:hint="eastAsia"/>
        </w:rPr>
        <w:t>采准巷道</w:t>
      </w:r>
      <w:proofErr w:type="gramEnd"/>
      <w:r>
        <w:rPr>
          <w:rFonts w:hint="eastAsia"/>
        </w:rPr>
        <w:t>、回采巷道，分别依据三种不同类型巷道所控制或服务的剩余可采储量（即三级矿量）所对应的生产能力，计算三种巷道的尚可使用年限，不宜采用全矿山的可采储量、生产规模计算尚可使用年限。</w:t>
      </w:r>
    </w:p>
    <w:p w14:paraId="13ED897F" w14:textId="77777777" w:rsidR="00E905CE" w:rsidRDefault="00E905CE" w:rsidP="00E905CE">
      <w:pPr>
        <w:pStyle w:val="13"/>
      </w:pPr>
      <w:r>
        <w:rPr>
          <w:rFonts w:hint="eastAsia"/>
        </w:rPr>
        <w:t>（二）合理辨识开拓巷道、</w:t>
      </w:r>
      <w:proofErr w:type="gramStart"/>
      <w:r>
        <w:rPr>
          <w:rFonts w:hint="eastAsia"/>
        </w:rPr>
        <w:t>采准巷道</w:t>
      </w:r>
      <w:proofErr w:type="gramEnd"/>
      <w:r>
        <w:rPr>
          <w:rFonts w:hint="eastAsia"/>
        </w:rPr>
        <w:t>、回采巷道，并注意三种不同巷道之间的比例关系，防止固定资产中出现大量回采巷道或探矿巷道。</w:t>
      </w:r>
    </w:p>
    <w:p w14:paraId="1AC091EC" w14:textId="77777777" w:rsidR="00E905CE" w:rsidRDefault="00E905CE" w:rsidP="00E905CE">
      <w:pPr>
        <w:pStyle w:val="13"/>
      </w:pPr>
      <w:r>
        <w:rPr>
          <w:rFonts w:hint="eastAsia"/>
        </w:rPr>
        <w:t>（三）井下设备中，除可移动、有异地安装使用价值或去除拆运费用后仍有变现余值的主要设备外，类似于管路、控制电缆等系统性设施其尚可使用年限不应大于所依附巷道的尚可使用年限。</w:t>
      </w:r>
    </w:p>
    <w:p w14:paraId="68AADAD5" w14:textId="77777777" w:rsidR="00E905CE" w:rsidRDefault="00E905CE" w:rsidP="00E905CE">
      <w:pPr>
        <w:pStyle w:val="13"/>
      </w:pPr>
      <w:r>
        <w:rPr>
          <w:rFonts w:hint="eastAsia"/>
        </w:rPr>
        <w:t>（四）尾矿库对应的资产，如大坝、管路、事故池、值班室、上坝公路等资产，应以原设计文件设计最终库容量减去投运后历年尾矿已入库量，考虑近年来年均尾矿入矿量或收益法、采矿</w:t>
      </w:r>
      <w:proofErr w:type="gramStart"/>
      <w:r>
        <w:rPr>
          <w:rFonts w:hint="eastAsia"/>
        </w:rPr>
        <w:t>权采用</w:t>
      </w:r>
      <w:proofErr w:type="gramEnd"/>
      <w:r>
        <w:rPr>
          <w:rFonts w:hint="eastAsia"/>
        </w:rPr>
        <w:t>的生产规模对应的尾矿产量，确定尾矿库尚可使用年限。</w:t>
      </w:r>
    </w:p>
    <w:p w14:paraId="7D99FDE2" w14:textId="77777777" w:rsidR="00E905CE" w:rsidRDefault="00E905CE" w:rsidP="00E905CE">
      <w:pPr>
        <w:pStyle w:val="13"/>
        <w:ind w:firstLine="482"/>
      </w:pPr>
      <w:r w:rsidRPr="00E05BDA">
        <w:rPr>
          <w:rFonts w:hint="eastAsia"/>
          <w:b/>
        </w:rPr>
        <w:t xml:space="preserve">第十三条 </w:t>
      </w:r>
      <w:r>
        <w:t>对于资产评估中涉及探矿工程的，应谨慎辨识基建探矿、生产探矿、地质探矿，合理确定各类探矿工程的资产归属。</w:t>
      </w:r>
    </w:p>
    <w:p w14:paraId="17ADC582" w14:textId="77777777" w:rsidR="00E905CE" w:rsidRDefault="00E905CE" w:rsidP="00E905CE">
      <w:pPr>
        <w:pStyle w:val="13"/>
      </w:pPr>
      <w:r>
        <w:rPr>
          <w:rFonts w:hint="eastAsia"/>
        </w:rPr>
        <w:t>其中，基建探矿工程在竣工决算中以其它费用方式转入固定资产。</w:t>
      </w:r>
    </w:p>
    <w:p w14:paraId="007ED031" w14:textId="77777777" w:rsidR="00E905CE" w:rsidRDefault="00E905CE" w:rsidP="00E905CE">
      <w:pPr>
        <w:pStyle w:val="13"/>
      </w:pPr>
      <w:r>
        <w:rPr>
          <w:rFonts w:hint="eastAsia"/>
        </w:rPr>
        <w:t>坑内钻探、探矿巷道等生产探矿工程结转当期生产成本。</w:t>
      </w:r>
    </w:p>
    <w:p w14:paraId="1C05919D" w14:textId="77777777" w:rsidR="00E905CE" w:rsidRDefault="00E905CE" w:rsidP="00E905CE">
      <w:pPr>
        <w:pStyle w:val="13"/>
      </w:pPr>
      <w:r>
        <w:rPr>
          <w:rFonts w:hint="eastAsia"/>
        </w:rPr>
        <w:t>矿区周边、深部地质探矿工程转入无形资产或勘探支出。</w:t>
      </w:r>
    </w:p>
    <w:p w14:paraId="1CAFF527" w14:textId="77777777" w:rsidR="00E905CE" w:rsidRDefault="00E905CE" w:rsidP="00E905CE">
      <w:pPr>
        <w:pStyle w:val="13"/>
        <w:ind w:firstLine="482"/>
      </w:pPr>
      <w:r w:rsidRPr="00E05BDA">
        <w:rPr>
          <w:rFonts w:hint="eastAsia"/>
          <w:b/>
        </w:rPr>
        <w:t xml:space="preserve">第十四条 </w:t>
      </w:r>
      <w:r>
        <w:t>当运用资产基础法时，对于重要实物资产，如井下设施、隐蔽的管道沟槽等无法现场清查时，应采用替代程序对采掘业历史生产数据、技术图纸等各类技术经济指标进行详尽的调查分析，以便确定其存在真实性、可靠性、现存性能情况，并在此基础上做出专业判断，并重点披露替代程序的实施过程，如无法进行替代程序，请考虑资产基础法的适用性。</w:t>
      </w:r>
    </w:p>
    <w:p w14:paraId="255C923A" w14:textId="77777777" w:rsidR="00E905CE" w:rsidRDefault="00E905CE" w:rsidP="00E905CE">
      <w:pPr>
        <w:pStyle w:val="13"/>
        <w:ind w:firstLine="482"/>
      </w:pPr>
      <w:r w:rsidRPr="00E05BDA">
        <w:rPr>
          <w:rFonts w:hint="eastAsia"/>
          <w:b/>
        </w:rPr>
        <w:t xml:space="preserve">第十五条 </w:t>
      </w:r>
      <w:r>
        <w:t>注册资产评估</w:t>
      </w:r>
      <w:proofErr w:type="gramStart"/>
      <w:r>
        <w:t>师采用</w:t>
      </w:r>
      <w:proofErr w:type="gramEnd"/>
      <w:r>
        <w:t xml:space="preserve">收益法对采掘业企业价值进行评估，根据采掘业行业的周期性特点一般采用现金流量折现法。关注国家产业政策对采掘业企业未来发展的影响、企业合法拥有的评估利用储量是否可靠确定、采掘业企业未来收益预测的合理性等。 </w:t>
      </w:r>
    </w:p>
    <w:p w14:paraId="6B628DFA" w14:textId="77777777" w:rsidR="00E905CE" w:rsidRDefault="00E905CE" w:rsidP="00E905CE">
      <w:pPr>
        <w:pStyle w:val="13"/>
        <w:ind w:firstLine="482"/>
      </w:pPr>
      <w:r w:rsidRPr="00E05BDA">
        <w:rPr>
          <w:rFonts w:hint="eastAsia"/>
          <w:b/>
        </w:rPr>
        <w:t xml:space="preserve">第十六条 </w:t>
      </w:r>
      <w:r>
        <w:t>对于行业周期性亏损或账面亏损时，详尽分析企业亏损原因，充分利用历史数据，分析其是否为政策性亏损、经营管理性亏损、市场亏损等，剔除其不符合市场的因素以便重新确定收益法的各项参数取值。</w:t>
      </w:r>
    </w:p>
    <w:p w14:paraId="3EED9C48" w14:textId="77777777" w:rsidR="00E905CE" w:rsidRDefault="00E905CE" w:rsidP="00E905CE">
      <w:pPr>
        <w:pStyle w:val="13"/>
        <w:ind w:firstLine="482"/>
      </w:pPr>
      <w:r w:rsidRPr="00E05BDA">
        <w:rPr>
          <w:rFonts w:hint="eastAsia"/>
          <w:b/>
        </w:rPr>
        <w:lastRenderedPageBreak/>
        <w:t xml:space="preserve">第十七条 </w:t>
      </w:r>
      <w:r>
        <w:t>在预测企业未来收益时，由于采掘业企业存在的周期性特点，应考虑市场需求和价格的变动趋势，合理对企业未来产品销售情况和价格水平做出判断，特别是对预测期后长期销售价格和数量的预测，避免采用波峰或波谷价格和销量等不具有代表性的指标来预测收入水平。</w:t>
      </w:r>
    </w:p>
    <w:p w14:paraId="3C9139F8" w14:textId="77777777" w:rsidR="00E905CE" w:rsidRDefault="00E905CE" w:rsidP="00E905CE">
      <w:pPr>
        <w:pStyle w:val="13"/>
        <w:ind w:firstLine="482"/>
      </w:pPr>
      <w:r w:rsidRPr="00E05BDA">
        <w:rPr>
          <w:rFonts w:hint="eastAsia"/>
          <w:b/>
        </w:rPr>
        <w:t xml:space="preserve">第十八条 </w:t>
      </w:r>
      <w:r>
        <w:t>当确定企业的未来收益年限时，一般采用与矿业权价款一致的企业合法拥有的资源储量、经相关部门批复的生产能力。</w:t>
      </w:r>
    </w:p>
    <w:p w14:paraId="2A69A155" w14:textId="77777777" w:rsidR="00E905CE" w:rsidRDefault="00E905CE" w:rsidP="00E905CE">
      <w:pPr>
        <w:pStyle w:val="13"/>
        <w:ind w:firstLine="482"/>
      </w:pPr>
      <w:r w:rsidRPr="00E05BDA">
        <w:rPr>
          <w:rFonts w:hint="eastAsia"/>
          <w:b/>
        </w:rPr>
        <w:t xml:space="preserve">第十九条 </w:t>
      </w:r>
      <w:r>
        <w:t>采用收益法时，关注采掘业企业适用的资源税、矿产资源补偿费、采矿权探矿权使用费、探矿权采矿权价款、矿山地质环境治理保证金、土地复垦费、水土流失设施费等各项税费在收益法中的计算方式。</w:t>
      </w:r>
    </w:p>
    <w:p w14:paraId="315F033C" w14:textId="77777777" w:rsidR="00E905CE" w:rsidRDefault="00E905CE" w:rsidP="00E905CE">
      <w:pPr>
        <w:pStyle w:val="13"/>
        <w:ind w:firstLine="482"/>
      </w:pPr>
      <w:r w:rsidRPr="00E05BDA">
        <w:rPr>
          <w:rFonts w:hint="eastAsia"/>
          <w:b/>
        </w:rPr>
        <w:t xml:space="preserve">第二十条 </w:t>
      </w:r>
      <w:r>
        <w:t>采用收益法时确定成本时关注：</w:t>
      </w:r>
    </w:p>
    <w:p w14:paraId="250BE7F8" w14:textId="77777777" w:rsidR="00E905CE" w:rsidRDefault="00E905CE" w:rsidP="00E905CE">
      <w:pPr>
        <w:pStyle w:val="13"/>
      </w:pPr>
      <w:r>
        <w:rPr>
          <w:rFonts w:hint="eastAsia"/>
        </w:rPr>
        <w:t>（一）折旧和维简费在会计处理中的不同，并考虑其对评估结果的影响。</w:t>
      </w:r>
    </w:p>
    <w:p w14:paraId="54CEE065" w14:textId="77777777" w:rsidR="00E905CE" w:rsidRDefault="00E905CE" w:rsidP="00E905CE">
      <w:pPr>
        <w:pStyle w:val="13"/>
      </w:pPr>
      <w:r>
        <w:rPr>
          <w:rFonts w:hint="eastAsia"/>
        </w:rPr>
        <w:t>（二）与企业采矿相关人员了解企业矿体产状等地质因素对未来采掘成本的影响。</w:t>
      </w:r>
    </w:p>
    <w:p w14:paraId="1F837196" w14:textId="77777777" w:rsidR="00E905CE" w:rsidRDefault="00E905CE" w:rsidP="00E905CE">
      <w:pPr>
        <w:pStyle w:val="13"/>
        <w:ind w:firstLine="482"/>
      </w:pPr>
      <w:r w:rsidRPr="00E05BDA">
        <w:rPr>
          <w:rFonts w:hint="eastAsia"/>
          <w:b/>
        </w:rPr>
        <w:t xml:space="preserve">第二十一条 </w:t>
      </w:r>
      <w:r>
        <w:t>对于生产型矿山，注册资产评估师应关注矿业权证载生产能力与企业实际生产能力的差异、分析其差异产生的原因，并在收益法评估中采用合理的生产能力进行测算。</w:t>
      </w:r>
    </w:p>
    <w:p w14:paraId="10A95ABE" w14:textId="77777777" w:rsidR="00E905CE" w:rsidRDefault="00E905CE" w:rsidP="00E905CE">
      <w:pPr>
        <w:pStyle w:val="13"/>
      </w:pPr>
      <w:r>
        <w:rPr>
          <w:rFonts w:hint="eastAsia"/>
        </w:rPr>
        <w:t>对于处于改扩建期的生产型矿山，注册资产评估师应以合法、可靠的相关审批文件为依据，合理考虑改扩建行为对矿山未来生产能力的影响，应考虑生产能力变更对矿业权价款的影响。</w:t>
      </w:r>
    </w:p>
    <w:p w14:paraId="4C0AD6EE" w14:textId="77777777" w:rsidR="00E905CE" w:rsidRDefault="00E905CE" w:rsidP="00E905CE">
      <w:pPr>
        <w:pStyle w:val="13"/>
        <w:ind w:firstLine="482"/>
      </w:pPr>
      <w:r w:rsidRPr="00E05BDA">
        <w:rPr>
          <w:rFonts w:hint="eastAsia"/>
          <w:b/>
        </w:rPr>
        <w:t xml:space="preserve">第二十二条 </w:t>
      </w:r>
      <w:r>
        <w:t>注册资产评估师应充分分析可比交易案例或可比上市公司与被评估单位的可比性，包括矿种、储量规模、生产方式、产品类别等方面，确定是否可以采用市场法进行评估。</w:t>
      </w:r>
    </w:p>
    <w:p w14:paraId="56E4533C" w14:textId="77777777" w:rsidR="00E905CE" w:rsidRDefault="00E905CE" w:rsidP="00E905CE">
      <w:pPr>
        <w:pStyle w:val="13"/>
        <w:ind w:firstLine="482"/>
      </w:pPr>
      <w:r w:rsidRPr="00E05BDA">
        <w:rPr>
          <w:rFonts w:hint="eastAsia"/>
          <w:b/>
        </w:rPr>
        <w:t xml:space="preserve">第二十三条 </w:t>
      </w:r>
      <w:r>
        <w:t>采用市场法时，运用上市公司比较法中可比上市公司法的选择应从资源储量规模、产品品种、年销售规模等方面特别考虑考虑；交易案例比较法中对于可比案例企业的选择应考虑可比案例背景、可比案例时间、可比案例企业与被评估单位的可比性等方面。</w:t>
      </w:r>
    </w:p>
    <w:p w14:paraId="1059F86C" w14:textId="77777777" w:rsidR="00E905CE" w:rsidRDefault="00E905CE" w:rsidP="00E905CE">
      <w:pPr>
        <w:pStyle w:val="13"/>
        <w:ind w:firstLine="482"/>
      </w:pPr>
      <w:r w:rsidRPr="00E05BDA">
        <w:rPr>
          <w:rFonts w:hint="eastAsia"/>
          <w:b/>
        </w:rPr>
        <w:t xml:space="preserve">第二十四条 </w:t>
      </w:r>
      <w:r>
        <w:t>采用市场法时，应重点以采掘业所控制的有效矿产资源为基本分析原则，确定可比案例与采掘业所控制的有效资源充分考虑开采矿种（含共、伴生矿种）、矿床成因、矿体的赋存条件、矿石类型、矿石的采选冶工艺及相关生产技术指标、工程地质条件、水文地质条件、环境地质条件、储量规模、生产能力、品位、产品价格、采掘业所处区域及基础设施、交通情况等方面的可比性，并同时关注交易方式、交易时间、企业性质、经营方式等方面的可比性。</w:t>
      </w:r>
    </w:p>
    <w:p w14:paraId="669BEF9E" w14:textId="77777777" w:rsidR="00E905CE" w:rsidRDefault="00E905CE" w:rsidP="00E905CE">
      <w:pPr>
        <w:pStyle w:val="13"/>
        <w:ind w:firstLine="482"/>
      </w:pPr>
      <w:r w:rsidRPr="00E05BDA">
        <w:rPr>
          <w:rFonts w:hint="eastAsia"/>
          <w:b/>
        </w:rPr>
        <w:t xml:space="preserve">第二十五条 </w:t>
      </w:r>
      <w:r>
        <w:t>在采用多种评估方法时，考虑各种评估方法的基本思路、各种评估方法所对应评估结论的假设前提、各种评估方法所对应的评估参数选取情况、主要资</w:t>
      </w:r>
      <w:r>
        <w:lastRenderedPageBreak/>
        <w:t>产在各种评估方法的价值体现方式、可能影响评估结论的事项在各种评估方法中的处理方式等因素后，确定评估结果。</w:t>
      </w:r>
    </w:p>
    <w:p w14:paraId="07447CEF" w14:textId="77777777" w:rsidR="00E905CE" w:rsidRDefault="00E905CE" w:rsidP="00AF7342">
      <w:pPr>
        <w:pStyle w:val="a9"/>
        <w:spacing w:before="62" w:after="62"/>
      </w:pPr>
      <w:r>
        <w:rPr>
          <w:rFonts w:hint="eastAsia"/>
        </w:rPr>
        <w:t>第四章</w:t>
      </w:r>
      <w:r>
        <w:t xml:space="preserve"> 评估报告的披露</w:t>
      </w:r>
    </w:p>
    <w:p w14:paraId="69798BF4" w14:textId="77777777" w:rsidR="00E905CE" w:rsidRDefault="00E905CE" w:rsidP="00E905CE">
      <w:pPr>
        <w:pStyle w:val="13"/>
        <w:ind w:firstLine="482"/>
      </w:pPr>
      <w:r w:rsidRPr="00E05BDA">
        <w:rPr>
          <w:rFonts w:hint="eastAsia"/>
          <w:b/>
        </w:rPr>
        <w:t xml:space="preserve">第二十六条 </w:t>
      </w:r>
      <w:r>
        <w:t>评估报告应披露重要资产的清查情况，评估对象涉及境外资产的，披露评估假设、重要参数的选取是否考虑了资产所在地的市场环境、人员、技术、法律、税收等方面的因素；是否对境外资产进行了实地勘查，如果不能实地勘查，应说明采取了何种替代措施，以及对评估结论的影响。</w:t>
      </w:r>
    </w:p>
    <w:p w14:paraId="76FAF324" w14:textId="77777777" w:rsidR="00E905CE" w:rsidRDefault="00E905CE" w:rsidP="00E905CE">
      <w:pPr>
        <w:pStyle w:val="13"/>
        <w:ind w:firstLine="482"/>
      </w:pPr>
      <w:r w:rsidRPr="00E05BDA">
        <w:rPr>
          <w:rFonts w:hint="eastAsia"/>
          <w:b/>
        </w:rPr>
        <w:t xml:space="preserve">第二十七条 </w:t>
      </w:r>
      <w:r>
        <w:t>当瑕疵事项对评估结论可能存在重大影响时，应披露是否考虑瑕疵事项对评估结论的影响，存在瑕疵事项的资产评估值占总资产评估值以及评估结论的比例，相关方对瑕疵事项的承诺。</w:t>
      </w:r>
    </w:p>
    <w:p w14:paraId="144EB4AD" w14:textId="77777777" w:rsidR="00E905CE" w:rsidRDefault="00E905CE" w:rsidP="00AF7342">
      <w:pPr>
        <w:pStyle w:val="a9"/>
        <w:spacing w:before="62" w:after="62"/>
      </w:pPr>
      <w:r>
        <w:rPr>
          <w:rFonts w:hint="eastAsia"/>
        </w:rPr>
        <w:t>第五章</w:t>
      </w:r>
      <w:r>
        <w:t xml:space="preserve">  引用单项资产评估报告</w:t>
      </w:r>
    </w:p>
    <w:p w14:paraId="2A76096C" w14:textId="77777777" w:rsidR="00E905CE" w:rsidRDefault="00E905CE" w:rsidP="00E905CE">
      <w:pPr>
        <w:pStyle w:val="13"/>
        <w:ind w:firstLine="482"/>
      </w:pPr>
      <w:r w:rsidRPr="00E05BDA">
        <w:rPr>
          <w:rFonts w:hint="eastAsia"/>
          <w:b/>
        </w:rPr>
        <w:t xml:space="preserve">第二十八条 </w:t>
      </w:r>
      <w:r>
        <w:t>引用土地、矿业权等单项资产评估报告作为评估结论的组成部分，评估报告应当披露：</w:t>
      </w:r>
    </w:p>
    <w:p w14:paraId="0D542D09" w14:textId="77777777" w:rsidR="00E905CE" w:rsidRDefault="00E905CE" w:rsidP="00E905CE">
      <w:pPr>
        <w:pStyle w:val="13"/>
      </w:pPr>
      <w:r>
        <w:rPr>
          <w:rFonts w:hint="eastAsia"/>
        </w:rPr>
        <w:t>（一）引用评估报告的评估机构名称、资质、报告编号、出具日期、备案情况；</w:t>
      </w:r>
    </w:p>
    <w:p w14:paraId="7150599B" w14:textId="77777777" w:rsidR="00E905CE" w:rsidRDefault="00E905CE" w:rsidP="00E905CE">
      <w:pPr>
        <w:pStyle w:val="13"/>
      </w:pPr>
      <w:r>
        <w:rPr>
          <w:rFonts w:hint="eastAsia"/>
        </w:rPr>
        <w:t>（二）引用评估报告的资产类型、数量、产权权属；</w:t>
      </w:r>
    </w:p>
    <w:p w14:paraId="328A7703" w14:textId="77777777" w:rsidR="00E905CE" w:rsidRDefault="00E905CE" w:rsidP="00E905CE">
      <w:pPr>
        <w:pStyle w:val="13"/>
      </w:pPr>
      <w:r>
        <w:rPr>
          <w:rFonts w:hint="eastAsia"/>
        </w:rPr>
        <w:t>（三）引用评估报告采用的评估方法、披露的假设前提、使用限制及相关事项。</w:t>
      </w:r>
    </w:p>
    <w:p w14:paraId="0504708E" w14:textId="77777777" w:rsidR="00E905CE" w:rsidRDefault="00E905CE" w:rsidP="00E905CE">
      <w:pPr>
        <w:pStyle w:val="13"/>
        <w:ind w:firstLine="482"/>
      </w:pPr>
      <w:r w:rsidRPr="00E05BDA">
        <w:rPr>
          <w:rFonts w:hint="eastAsia"/>
          <w:b/>
        </w:rPr>
        <w:t xml:space="preserve">第二十九条 </w:t>
      </w:r>
      <w:r>
        <w:t>引用矿业权评估报告，应全面理解以下内容：</w:t>
      </w:r>
    </w:p>
    <w:p w14:paraId="165EAF7C" w14:textId="77777777" w:rsidR="00E905CE" w:rsidRDefault="00E905CE" w:rsidP="00E905CE">
      <w:pPr>
        <w:pStyle w:val="13"/>
      </w:pPr>
      <w:r>
        <w:rPr>
          <w:rFonts w:hint="eastAsia"/>
        </w:rPr>
        <w:t>（一）关于矿业权评估范围，包括矿产资源勘查许可证或采矿</w:t>
      </w:r>
      <w:proofErr w:type="gramStart"/>
      <w:r>
        <w:rPr>
          <w:rFonts w:hint="eastAsia"/>
        </w:rPr>
        <w:t>许可证证载内容</w:t>
      </w:r>
      <w:proofErr w:type="gramEnd"/>
      <w:r>
        <w:rPr>
          <w:rFonts w:hint="eastAsia"/>
        </w:rPr>
        <w:t>，具体包括取得时间、有效期、勘查或开采矿种、开采方式、矿区面积、生产规模、拐点坐标、开采报告等；取得方式；取得成本；年检情况。</w:t>
      </w:r>
    </w:p>
    <w:p w14:paraId="497EEEDB" w14:textId="77777777" w:rsidR="00E905CE" w:rsidRDefault="00E905CE" w:rsidP="00E905CE">
      <w:pPr>
        <w:pStyle w:val="13"/>
      </w:pPr>
      <w:r>
        <w:rPr>
          <w:rFonts w:hint="eastAsia"/>
        </w:rPr>
        <w:t>矿业权人出资勘查形成的矿产地，知晓目前勘查及其投入情况、形成的地质勘察成果。</w:t>
      </w:r>
    </w:p>
    <w:p w14:paraId="259E13FD" w14:textId="77777777" w:rsidR="00E905CE" w:rsidRDefault="00E905CE" w:rsidP="00E905CE">
      <w:pPr>
        <w:pStyle w:val="13"/>
      </w:pPr>
      <w:r>
        <w:rPr>
          <w:rFonts w:hint="eastAsia"/>
        </w:rPr>
        <w:t>（二）矿产资源储量评审备案情况，评审意见书及备案证明的时间和</w:t>
      </w:r>
      <w:proofErr w:type="gramStart"/>
      <w:r>
        <w:rPr>
          <w:rFonts w:hint="eastAsia"/>
        </w:rPr>
        <w:t>文号</w:t>
      </w:r>
      <w:proofErr w:type="gramEnd"/>
      <w:r>
        <w:rPr>
          <w:rFonts w:hint="eastAsia"/>
        </w:rPr>
        <w:t>等；最近三年内最后一次储量核实与本次储量评审的差异情况。</w:t>
      </w:r>
    </w:p>
    <w:p w14:paraId="3C718EE0" w14:textId="77777777" w:rsidR="00E905CE" w:rsidRDefault="00E905CE" w:rsidP="00E905CE">
      <w:pPr>
        <w:pStyle w:val="13"/>
      </w:pPr>
      <w:r>
        <w:rPr>
          <w:rFonts w:hint="eastAsia"/>
        </w:rPr>
        <w:t>（三）处于申办《采矿许可证》而《矿产资源勘查许可证》到期的“探转采”矿产的，知晓到期续展情况或“探转采”是否涉及矿业权价款及相关费用的缴纳，及其对评估结论的影响。</w:t>
      </w:r>
    </w:p>
    <w:p w14:paraId="6B830987" w14:textId="77777777" w:rsidR="00E905CE" w:rsidRDefault="00E905CE" w:rsidP="00AF7342">
      <w:pPr>
        <w:pStyle w:val="a9"/>
        <w:spacing w:before="62" w:after="62"/>
      </w:pPr>
      <w:r>
        <w:rPr>
          <w:rFonts w:hint="eastAsia"/>
        </w:rPr>
        <w:t>第六章</w:t>
      </w:r>
      <w:r>
        <w:t xml:space="preserve"> 附 则</w:t>
      </w:r>
    </w:p>
    <w:p w14:paraId="1D117E4D" w14:textId="77777777" w:rsidR="00E905CE" w:rsidRDefault="00E905CE" w:rsidP="00E905CE">
      <w:pPr>
        <w:pStyle w:val="13"/>
        <w:ind w:firstLine="482"/>
      </w:pPr>
      <w:r w:rsidRPr="00E05BDA">
        <w:rPr>
          <w:rFonts w:hint="eastAsia"/>
          <w:b/>
        </w:rPr>
        <w:t xml:space="preserve">第三十条 </w:t>
      </w:r>
      <w:r>
        <w:t xml:space="preserve"> </w:t>
      </w:r>
      <w:proofErr w:type="gramStart"/>
      <w:r>
        <w:t>本专家</w:t>
      </w:r>
      <w:proofErr w:type="gramEnd"/>
      <w:r>
        <w:t>提示是以采掘业企业整体评估中的实践为基础，针对此类评估业务提出的建议。</w:t>
      </w:r>
      <w:proofErr w:type="gramStart"/>
      <w:r>
        <w:t>本专家</w:t>
      </w:r>
      <w:proofErr w:type="gramEnd"/>
      <w:r>
        <w:t>提示不是对相关资产评估准则等规定的修正，也不是一项新的评估报告准则。</w:t>
      </w:r>
    </w:p>
    <w:p w14:paraId="432705FF" w14:textId="77777777" w:rsidR="00E905CE" w:rsidRDefault="00E905CE" w:rsidP="00E905CE">
      <w:pPr>
        <w:pStyle w:val="13"/>
        <w:ind w:firstLine="482"/>
      </w:pPr>
      <w:r w:rsidRPr="003B2FB1">
        <w:rPr>
          <w:rFonts w:hint="eastAsia"/>
          <w:b/>
        </w:rPr>
        <w:t xml:space="preserve">第三十一条 </w:t>
      </w:r>
      <w:r>
        <w:t xml:space="preserve"> </w:t>
      </w:r>
      <w:proofErr w:type="gramStart"/>
      <w:r>
        <w:t>本专家提示自</w:t>
      </w:r>
      <w:proofErr w:type="gramEnd"/>
      <w:r>
        <w:t>公布之日起施行。</w:t>
      </w:r>
    </w:p>
    <w:p w14:paraId="4B1DE00D" w14:textId="77777777" w:rsidR="00E905CE" w:rsidRPr="00882ED4" w:rsidRDefault="00E905CE" w:rsidP="00AF7342">
      <w:pPr>
        <w:pStyle w:val="a9"/>
        <w:spacing w:before="62" w:after="62"/>
      </w:pPr>
      <w:r>
        <w:rPr>
          <w:rFonts w:hint="eastAsia"/>
        </w:rPr>
        <w:lastRenderedPageBreak/>
        <w:t>关于《资产评估操作专家提示——采掘业企业评估（征求意见稿）》的起草说明</w:t>
      </w:r>
    </w:p>
    <w:p w14:paraId="54293973" w14:textId="77777777" w:rsidR="00E905CE" w:rsidRPr="00E04C89" w:rsidRDefault="00E905CE" w:rsidP="00E905CE">
      <w:pPr>
        <w:pStyle w:val="13"/>
      </w:pPr>
      <w:r w:rsidRPr="00882ED4">
        <w:rPr>
          <w:rFonts w:hint="eastAsia"/>
        </w:rPr>
        <w:t>采掘业企业涉及多种特殊资产、经营特点鲜明、资产评估业务复杂，为了进一步增强注册资产评估师执业能力，针对采掘业企业评估的特点，结合采掘业企业评估实际操作中的问题，中国资产评估协会组织起草了《资产评估操作专家提示——采掘业评估（征求意见稿）》（以下简称“专家提示”）。为便于评估机构和注册资产评估师以及相关部门全面理解</w:t>
      </w:r>
      <w:proofErr w:type="gramStart"/>
      <w:r w:rsidRPr="00882ED4">
        <w:rPr>
          <w:rFonts w:hint="eastAsia"/>
        </w:rPr>
        <w:t>本专家</w:t>
      </w:r>
      <w:proofErr w:type="gramEnd"/>
      <w:r w:rsidRPr="00882ED4">
        <w:rPr>
          <w:rFonts w:hint="eastAsia"/>
        </w:rPr>
        <w:t>提示，现将有关起草情况说明如下。</w:t>
      </w:r>
    </w:p>
    <w:p w14:paraId="4C8DCBBD" w14:textId="77777777" w:rsidR="00E905CE" w:rsidRPr="00882ED4" w:rsidRDefault="00E905CE" w:rsidP="00E905CE">
      <w:pPr>
        <w:pStyle w:val="13"/>
        <w:ind w:firstLine="482"/>
        <w:rPr>
          <w:b/>
          <w:bCs/>
        </w:rPr>
      </w:pPr>
      <w:r w:rsidRPr="00882ED4">
        <w:rPr>
          <w:rFonts w:hint="eastAsia"/>
          <w:b/>
          <w:bCs/>
        </w:rPr>
        <w:t>一、制定专家提示的必要性</w:t>
      </w:r>
    </w:p>
    <w:p w14:paraId="76CDFF21" w14:textId="77777777" w:rsidR="00E905CE" w:rsidRDefault="00E905CE" w:rsidP="00E905CE">
      <w:pPr>
        <w:pStyle w:val="13"/>
      </w:pPr>
      <w:r>
        <w:rPr>
          <w:rFonts w:hint="eastAsia"/>
        </w:rPr>
        <w:t>采掘业企业范围包括各种金属和非金属矿采选等，采掘业行业企业无论在生产经营方面还是资产构成方面都具有鲜明的特点，相应采掘业评估具有非常强的专业性，同时还经常涉及引用单项资产评估报告的情况。</w:t>
      </w:r>
    </w:p>
    <w:p w14:paraId="57C17D4A" w14:textId="77777777" w:rsidR="00E905CE" w:rsidRDefault="00E905CE" w:rsidP="00E905CE">
      <w:pPr>
        <w:pStyle w:val="13"/>
      </w:pPr>
      <w:r>
        <w:rPr>
          <w:rFonts w:hint="eastAsia"/>
        </w:rPr>
        <w:t>目前我国的准则体系中，《资产评估准则——企业价值》对包括采掘业企业在内的各类企业的评估</w:t>
      </w:r>
      <w:proofErr w:type="gramStart"/>
      <w:r>
        <w:rPr>
          <w:rFonts w:hint="eastAsia"/>
        </w:rPr>
        <w:t>作出</w:t>
      </w:r>
      <w:proofErr w:type="gramEnd"/>
      <w:r>
        <w:rPr>
          <w:rFonts w:hint="eastAsia"/>
        </w:rPr>
        <w:t>了规定，但专门针对采掘业企业评估的要求不充分。</w:t>
      </w:r>
    </w:p>
    <w:p w14:paraId="34F053BB" w14:textId="77777777" w:rsidR="00E905CE" w:rsidRDefault="00E905CE" w:rsidP="00E905CE">
      <w:pPr>
        <w:pStyle w:val="13"/>
      </w:pPr>
      <w:r>
        <w:rPr>
          <w:rFonts w:hint="eastAsia"/>
        </w:rPr>
        <w:t>国际评估准则（</w:t>
      </w:r>
      <w:r>
        <w:t>2005年版）评估指南14专门针对采掘业企业评估进行了规范，对采掘业评估中的基本概念、资格和公平性、采掘业评估的特殊问题及报告披露的相关内容进行了规范。但随着国际评估准则2011的实施，国际评估准则体系重新进行了界定，准则体系中未单独对采掘业企业评估进行规范。</w:t>
      </w:r>
    </w:p>
    <w:p w14:paraId="02C8EA3B" w14:textId="77777777" w:rsidR="00E905CE" w:rsidRDefault="00E905CE" w:rsidP="00E905CE">
      <w:pPr>
        <w:pStyle w:val="13"/>
      </w:pPr>
      <w:r>
        <w:rPr>
          <w:rFonts w:hint="eastAsia"/>
        </w:rPr>
        <w:t>在此情况下，为进一步指导注册资产评估师开展采掘业企业评估业务行为，中国资产评估协会以专家提示的方式对采掘业企业评估提供参考意见，对指导评估机构从事采掘业企业评估提供技术支持。</w:t>
      </w:r>
    </w:p>
    <w:p w14:paraId="70CE7CDF" w14:textId="77777777" w:rsidR="00E905CE" w:rsidRPr="00882ED4" w:rsidRDefault="00E905CE" w:rsidP="00E905CE">
      <w:pPr>
        <w:pStyle w:val="13"/>
        <w:ind w:firstLine="482"/>
        <w:rPr>
          <w:b/>
          <w:bCs/>
        </w:rPr>
      </w:pPr>
      <w:r w:rsidRPr="00882ED4">
        <w:rPr>
          <w:rFonts w:hint="eastAsia"/>
          <w:b/>
          <w:bCs/>
        </w:rPr>
        <w:t>二、起草指导思想</w:t>
      </w:r>
    </w:p>
    <w:p w14:paraId="3C9973FF" w14:textId="77777777" w:rsidR="00E905CE" w:rsidRDefault="00E905CE" w:rsidP="00E905CE">
      <w:pPr>
        <w:pStyle w:val="13"/>
      </w:pPr>
      <w:proofErr w:type="gramStart"/>
      <w:r>
        <w:rPr>
          <w:rFonts w:hint="eastAsia"/>
        </w:rPr>
        <w:t>本专家</w:t>
      </w:r>
      <w:proofErr w:type="gramEnd"/>
      <w:r>
        <w:rPr>
          <w:rFonts w:hint="eastAsia"/>
        </w:rPr>
        <w:t>提示在起草过程中遵循以下指导思想：</w:t>
      </w:r>
    </w:p>
    <w:p w14:paraId="6603C74A" w14:textId="77777777" w:rsidR="00E905CE" w:rsidRDefault="00E905CE" w:rsidP="00E905CE">
      <w:pPr>
        <w:pStyle w:val="13"/>
      </w:pPr>
      <w:r>
        <w:t>1.</w:t>
      </w:r>
      <w:proofErr w:type="gramStart"/>
      <w:r>
        <w:t>本专家</w:t>
      </w:r>
      <w:proofErr w:type="gramEnd"/>
      <w:r>
        <w:t>提示是针对目前存在的阶段性采掘业企业评估中的特殊问题出具的专家提示，与全面性的资产评估准则要求不同。</w:t>
      </w:r>
    </w:p>
    <w:p w14:paraId="3A0150ED" w14:textId="77777777" w:rsidR="00E905CE" w:rsidRDefault="00E905CE" w:rsidP="00E905CE">
      <w:pPr>
        <w:pStyle w:val="13"/>
      </w:pPr>
      <w:r>
        <w:t>2.</w:t>
      </w:r>
      <w:proofErr w:type="gramStart"/>
      <w:r>
        <w:t>本专家</w:t>
      </w:r>
      <w:proofErr w:type="gramEnd"/>
      <w:r>
        <w:t>提示的制定以资产评估准则及其他规范为基础，在基本概念、框架等方面保持与评估准则的一致性。</w:t>
      </w:r>
    </w:p>
    <w:p w14:paraId="5F8A7547" w14:textId="77777777" w:rsidR="00E905CE" w:rsidRDefault="00E905CE" w:rsidP="00E905CE">
      <w:pPr>
        <w:pStyle w:val="13"/>
      </w:pPr>
      <w:r>
        <w:t>3.针对采掘业企业评估实际操作过程中的具体问题和特殊情况进行细化，侧重于采掘业评估实际应用，力图为评估机构从事采掘业企业评估提供实际操作的技术指导。</w:t>
      </w:r>
    </w:p>
    <w:p w14:paraId="5DC2152F" w14:textId="77777777" w:rsidR="00E905CE" w:rsidRDefault="00E905CE" w:rsidP="00E905CE">
      <w:pPr>
        <w:pStyle w:val="13"/>
      </w:pPr>
      <w:r>
        <w:t>4.对于目前评估准则或其他规范文件中已经明确涉及的内容，在</w:t>
      </w:r>
      <w:proofErr w:type="gramStart"/>
      <w:r>
        <w:t>本专家</w:t>
      </w:r>
      <w:proofErr w:type="gramEnd"/>
      <w:r>
        <w:t>提示中不再涉及。</w:t>
      </w:r>
    </w:p>
    <w:p w14:paraId="79B39798" w14:textId="77777777" w:rsidR="00E905CE" w:rsidRPr="00882ED4" w:rsidRDefault="00E905CE" w:rsidP="00E905CE">
      <w:pPr>
        <w:pStyle w:val="13"/>
        <w:ind w:firstLine="482"/>
        <w:rPr>
          <w:b/>
          <w:bCs/>
        </w:rPr>
      </w:pPr>
      <w:r w:rsidRPr="00882ED4">
        <w:rPr>
          <w:rFonts w:hint="eastAsia"/>
          <w:b/>
          <w:bCs/>
        </w:rPr>
        <w:t>三、起草过程</w:t>
      </w:r>
    </w:p>
    <w:p w14:paraId="79CB9528" w14:textId="77777777" w:rsidR="00E905CE" w:rsidRDefault="00E905CE" w:rsidP="00E905CE">
      <w:pPr>
        <w:pStyle w:val="13"/>
      </w:pPr>
      <w:r>
        <w:t>2013年初，中国资产评估协会成立项目组。项目组整理了目前已经发布的涉及采掘业企业评估的评估规范内容，经过多次讨论形成了初稿，征求了部分行业专家的意见，经过反复的斟酌、修改，形成了征求意见稿。</w:t>
      </w:r>
    </w:p>
    <w:p w14:paraId="122611F3" w14:textId="77777777" w:rsidR="00E905CE" w:rsidRPr="00882ED4" w:rsidRDefault="00E905CE" w:rsidP="00E905CE">
      <w:pPr>
        <w:pStyle w:val="13"/>
        <w:ind w:firstLine="482"/>
        <w:rPr>
          <w:b/>
          <w:bCs/>
        </w:rPr>
      </w:pPr>
      <w:r w:rsidRPr="00882ED4">
        <w:rPr>
          <w:rFonts w:hint="eastAsia"/>
          <w:b/>
          <w:bCs/>
        </w:rPr>
        <w:lastRenderedPageBreak/>
        <w:t>四、结构和主要内容</w:t>
      </w:r>
    </w:p>
    <w:p w14:paraId="598B58D7" w14:textId="77777777" w:rsidR="00E905CE" w:rsidRDefault="00E905CE" w:rsidP="00E905CE">
      <w:pPr>
        <w:pStyle w:val="13"/>
      </w:pPr>
      <w:proofErr w:type="gramStart"/>
      <w:r>
        <w:rPr>
          <w:rFonts w:hint="eastAsia"/>
        </w:rPr>
        <w:t>本专家</w:t>
      </w:r>
      <w:proofErr w:type="gramEnd"/>
      <w:r>
        <w:rPr>
          <w:rFonts w:hint="eastAsia"/>
        </w:rPr>
        <w:t>提示各章节主要内容如下：</w:t>
      </w:r>
    </w:p>
    <w:p w14:paraId="51DC0779" w14:textId="77777777" w:rsidR="00E905CE" w:rsidRDefault="00E905CE" w:rsidP="00E905CE">
      <w:pPr>
        <w:pStyle w:val="13"/>
      </w:pPr>
      <w:r>
        <w:t>1.引言：对</w:t>
      </w:r>
      <w:proofErr w:type="gramStart"/>
      <w:r>
        <w:t>本专家</w:t>
      </w:r>
      <w:proofErr w:type="gramEnd"/>
      <w:r>
        <w:t>提示涉及的采掘业和采掘业企业评估的概念进行了界定，对评估中的基本要求进行了提示。</w:t>
      </w:r>
    </w:p>
    <w:p w14:paraId="01177EDC" w14:textId="77777777" w:rsidR="00E905CE" w:rsidRDefault="00E905CE" w:rsidP="00E905CE">
      <w:pPr>
        <w:pStyle w:val="13"/>
      </w:pPr>
      <w:r>
        <w:t>2.对评估对象法律权属的关注：矿业权产权的关注重点、矿业权价款问题的关注、采掘业企业重要资产清查关注点、国外采掘业评估关注点等。</w:t>
      </w:r>
    </w:p>
    <w:p w14:paraId="7D6A5F7D" w14:textId="77777777" w:rsidR="00E905CE" w:rsidRDefault="00E905CE" w:rsidP="00E905CE">
      <w:pPr>
        <w:pStyle w:val="13"/>
      </w:pPr>
      <w:r>
        <w:t>3.评估方法的应用关注点：分别从资产基础法、收益法和市场法应用中的难点和关注点进行了提示。</w:t>
      </w:r>
    </w:p>
    <w:p w14:paraId="74DE26A2" w14:textId="77777777" w:rsidR="00E905CE" w:rsidRDefault="00E905CE" w:rsidP="00E905CE">
      <w:pPr>
        <w:pStyle w:val="13"/>
      </w:pPr>
      <w:r>
        <w:t>4.评估报告的披露：重点关注特别披露事项。</w:t>
      </w:r>
    </w:p>
    <w:p w14:paraId="097D13B5" w14:textId="77777777" w:rsidR="00E905CE" w:rsidRDefault="00E905CE" w:rsidP="00E905CE">
      <w:pPr>
        <w:pStyle w:val="13"/>
      </w:pPr>
      <w:r>
        <w:t>5.引用单项资产评估报告：引用土地、矿业权评估报告时披露的内容、对矿业权评估的全面理解的关注点。</w:t>
      </w:r>
    </w:p>
    <w:p w14:paraId="1E69CE2A" w14:textId="77777777" w:rsidR="00E905CE" w:rsidRDefault="00E905CE" w:rsidP="00E905CE">
      <w:pPr>
        <w:pStyle w:val="13"/>
      </w:pPr>
      <w:r>
        <w:t>6.附则： 主要明确生效日期。</w:t>
      </w:r>
    </w:p>
    <w:p w14:paraId="5C16D8B4" w14:textId="77777777" w:rsidR="00E905CE" w:rsidRPr="00882ED4" w:rsidRDefault="00E905CE" w:rsidP="00E905CE">
      <w:pPr>
        <w:pStyle w:val="13"/>
        <w:ind w:firstLine="482"/>
        <w:rPr>
          <w:b/>
          <w:bCs/>
        </w:rPr>
      </w:pPr>
      <w:r w:rsidRPr="00882ED4">
        <w:rPr>
          <w:rFonts w:hint="eastAsia"/>
          <w:b/>
          <w:bCs/>
        </w:rPr>
        <w:t>五、重点关注事项</w:t>
      </w:r>
    </w:p>
    <w:p w14:paraId="73845B1D" w14:textId="77777777" w:rsidR="00E905CE" w:rsidRDefault="00E905CE" w:rsidP="00E905CE">
      <w:pPr>
        <w:pStyle w:val="13"/>
      </w:pPr>
      <w:r>
        <w:rPr>
          <w:rFonts w:hint="eastAsia"/>
        </w:rPr>
        <w:t>专家提示重点关注事项如下：</w:t>
      </w:r>
    </w:p>
    <w:p w14:paraId="37A84CB0" w14:textId="77777777" w:rsidR="00E905CE" w:rsidRDefault="00E905CE" w:rsidP="00E905CE">
      <w:pPr>
        <w:pStyle w:val="13"/>
      </w:pPr>
      <w:r>
        <w:t>1.采掘业企业评估涉及的法律法规等规范性文件较多，注册资产评估师需要重点关注其行业涉及的相关规定，并充分考虑对评估结果的影响。</w:t>
      </w:r>
    </w:p>
    <w:p w14:paraId="4E92DE2B" w14:textId="77777777" w:rsidR="00E905CE" w:rsidRDefault="00E905CE" w:rsidP="00E905CE">
      <w:pPr>
        <w:pStyle w:val="13"/>
      </w:pPr>
      <w:r>
        <w:t>2.对采掘业企业的产权状况予以充分关注，主要涉及其合法拥有的资源量的关注。</w:t>
      </w:r>
    </w:p>
    <w:p w14:paraId="7361F67A" w14:textId="77777777" w:rsidR="00E905CE" w:rsidRDefault="00E905CE" w:rsidP="00E905CE">
      <w:pPr>
        <w:pStyle w:val="13"/>
      </w:pPr>
      <w:r>
        <w:t>3.对于企业价值评估中三种方法应用中的特别关注的事项，注册资产评估师要充分考虑其在具体评估业务中的处理，并考虑特殊事项对评估结论的影响。</w:t>
      </w:r>
    </w:p>
    <w:p w14:paraId="1039A4E1" w14:textId="77777777" w:rsidR="00E905CE" w:rsidRDefault="00E905CE" w:rsidP="00E905CE">
      <w:pPr>
        <w:pStyle w:val="13"/>
      </w:pPr>
      <w:r>
        <w:t>4.对于评估报告中的披露内容需要重点关注矿业权相关披露重点，同时关注其他事项，同时注册资产评估师应具备全面理解矿业权评估报告的能力。</w:t>
      </w:r>
    </w:p>
    <w:p w14:paraId="3DA49960" w14:textId="04F589D1" w:rsidR="008C40AA" w:rsidRPr="008C40AA" w:rsidRDefault="008C40AA" w:rsidP="008C40AA">
      <w:pPr>
        <w:pStyle w:val="31"/>
        <w:spacing w:before="156" w:after="62"/>
        <w:rPr>
          <w:spacing w:val="-2"/>
        </w:rPr>
      </w:pPr>
      <w:bookmarkStart w:id="82" w:name="_Toc81833345"/>
      <w:r w:rsidRPr="008C40AA">
        <w:rPr>
          <w:rFonts w:hint="eastAsia"/>
          <w:spacing w:val="-2"/>
        </w:rPr>
        <w:t>资产评估操作专家提示—抵（质）押品评估（征求意见稿）（</w:t>
      </w:r>
      <w:proofErr w:type="gramStart"/>
      <w:r w:rsidRPr="008C40AA">
        <w:rPr>
          <w:rFonts w:hint="eastAsia"/>
          <w:spacing w:val="-2"/>
        </w:rPr>
        <w:t>中评协</w:t>
      </w:r>
      <w:proofErr w:type="gramEnd"/>
      <w:r w:rsidRPr="008C40AA">
        <w:rPr>
          <w:spacing w:val="-2"/>
        </w:rPr>
        <w:t>[2014]209号</w:t>
      </w:r>
      <w:r w:rsidRPr="008C40AA">
        <w:rPr>
          <w:rFonts w:hint="eastAsia"/>
          <w:spacing w:val="-2"/>
        </w:rPr>
        <w:t>）</w:t>
      </w:r>
      <w:bookmarkEnd w:id="82"/>
    </w:p>
    <w:p w14:paraId="0D96F427" w14:textId="77777777" w:rsidR="008C40AA" w:rsidRDefault="008C40AA" w:rsidP="008C40AA">
      <w:pPr>
        <w:pStyle w:val="13"/>
      </w:pPr>
      <w:proofErr w:type="gramStart"/>
      <w:r>
        <w:rPr>
          <w:rFonts w:hint="eastAsia"/>
        </w:rPr>
        <w:t>本专家</w:t>
      </w:r>
      <w:proofErr w:type="gramEnd"/>
      <w:r>
        <w:rPr>
          <w:rFonts w:hint="eastAsia"/>
        </w:rPr>
        <w:t>提示是一种专家意见。评估机构执行资产评估业务，可以参照</w:t>
      </w:r>
      <w:proofErr w:type="gramStart"/>
      <w:r>
        <w:rPr>
          <w:rFonts w:hint="eastAsia"/>
        </w:rPr>
        <w:t>本专家</w:t>
      </w:r>
      <w:proofErr w:type="gramEnd"/>
      <w:r>
        <w:rPr>
          <w:rFonts w:hint="eastAsia"/>
        </w:rPr>
        <w:t>提示，也可以根据具体情况采用其他适当的做法。中国资产评估协会将根据业务发展，对</w:t>
      </w:r>
      <w:proofErr w:type="gramStart"/>
      <w:r>
        <w:rPr>
          <w:rFonts w:hint="eastAsia"/>
        </w:rPr>
        <w:t>本专家</w:t>
      </w:r>
      <w:proofErr w:type="gramEnd"/>
      <w:r>
        <w:rPr>
          <w:rFonts w:hint="eastAsia"/>
        </w:rPr>
        <w:t>提示进行更新。</w:t>
      </w:r>
    </w:p>
    <w:p w14:paraId="5B6CDBC4" w14:textId="2996A67B" w:rsidR="008C40AA" w:rsidRDefault="004E3EBB" w:rsidP="008C40AA">
      <w:pPr>
        <w:pStyle w:val="13"/>
        <w:ind w:firstLine="482"/>
      </w:pPr>
      <w:r w:rsidRPr="004E3EBB">
        <w:rPr>
          <w:rFonts w:hint="eastAsia"/>
          <w:b/>
        </w:rPr>
        <w:t xml:space="preserve">第一条 </w:t>
      </w:r>
      <w:r w:rsidR="008C40AA">
        <w:t>为指导抵（质）</w:t>
      </w:r>
      <w:proofErr w:type="gramStart"/>
      <w:r w:rsidR="008C40AA">
        <w:t>押活动</w:t>
      </w:r>
      <w:proofErr w:type="gramEnd"/>
      <w:r w:rsidR="008C40AA">
        <w:t>中的押品评估业务，中国资产评估协会组织起草了</w:t>
      </w:r>
      <w:proofErr w:type="gramStart"/>
      <w:r w:rsidR="008C40AA">
        <w:t>本专家</w:t>
      </w:r>
      <w:proofErr w:type="gramEnd"/>
      <w:r w:rsidR="008C40AA">
        <w:t>提示。</w:t>
      </w:r>
    </w:p>
    <w:p w14:paraId="7A37E004" w14:textId="4583133D" w:rsidR="008C40AA" w:rsidRDefault="004E3EBB" w:rsidP="008C40AA">
      <w:pPr>
        <w:pStyle w:val="13"/>
        <w:ind w:firstLine="482"/>
      </w:pPr>
      <w:r w:rsidRPr="004E3EBB">
        <w:rPr>
          <w:rFonts w:hint="eastAsia"/>
          <w:b/>
        </w:rPr>
        <w:t xml:space="preserve">第二条 </w:t>
      </w:r>
      <w:r w:rsidR="008C40AA">
        <w:t>押品评估业务涉及《担保法》等多项法律法规和相关金融机构的内部规定。押品评估业务应当遵循相关监管规定和评估准则。</w:t>
      </w:r>
    </w:p>
    <w:p w14:paraId="4C99F649" w14:textId="77777777" w:rsidR="008C40AA" w:rsidRDefault="008C40AA" w:rsidP="008C40AA">
      <w:pPr>
        <w:pStyle w:val="13"/>
      </w:pPr>
      <w:proofErr w:type="gramStart"/>
      <w:r>
        <w:rPr>
          <w:rFonts w:hint="eastAsia"/>
        </w:rPr>
        <w:t>本专家</w:t>
      </w:r>
      <w:proofErr w:type="gramEnd"/>
      <w:r>
        <w:rPr>
          <w:rFonts w:hint="eastAsia"/>
        </w:rPr>
        <w:t>提示是以押品评估实践和有关金融机构的需求为基础，针对此类评估业务评估要素中的关注点提出的建议。</w:t>
      </w:r>
    </w:p>
    <w:p w14:paraId="498A19AC" w14:textId="11D29DCF" w:rsidR="008C40AA" w:rsidRDefault="004E3EBB" w:rsidP="008C40AA">
      <w:pPr>
        <w:pStyle w:val="13"/>
        <w:ind w:firstLine="482"/>
      </w:pPr>
      <w:r w:rsidRPr="004E3EBB">
        <w:rPr>
          <w:rFonts w:hint="eastAsia"/>
          <w:b/>
        </w:rPr>
        <w:t xml:space="preserve">第三条 </w:t>
      </w:r>
      <w:proofErr w:type="gramStart"/>
      <w:r w:rsidR="008C40AA">
        <w:t>本专家</w:t>
      </w:r>
      <w:proofErr w:type="gramEnd"/>
      <w:r w:rsidR="008C40AA">
        <w:t>提示所称押品评估是指依据相关法律、法规和资产评估准则，对</w:t>
      </w:r>
      <w:r w:rsidR="008C40AA">
        <w:lastRenderedPageBreak/>
        <w:t>用于抵押或质押财产或权利（以下简称押品）的价值进行分析、估算并发表专业意见的过程。常见押品按登记管理方式有动产、不动产、矿业权、林权、知识产权、股权等。</w:t>
      </w:r>
    </w:p>
    <w:p w14:paraId="5207BC71" w14:textId="210A9506" w:rsidR="008C40AA" w:rsidRDefault="004E3EBB" w:rsidP="008C40AA">
      <w:pPr>
        <w:pStyle w:val="13"/>
        <w:ind w:firstLine="482"/>
      </w:pPr>
      <w:r w:rsidRPr="004E3EBB">
        <w:rPr>
          <w:rFonts w:hint="eastAsia"/>
          <w:b/>
        </w:rPr>
        <w:t xml:space="preserve">第四条 </w:t>
      </w:r>
      <w:r w:rsidR="008C40AA">
        <w:t>从事押品评估业务，应当关注抵押与质押在性质上存在差异，评估报告应明确披露评估对象已设定或将要设定的权利。</w:t>
      </w:r>
    </w:p>
    <w:p w14:paraId="0DD5168B" w14:textId="77777777" w:rsidR="008C40AA" w:rsidRDefault="008C40AA" w:rsidP="008C40AA">
      <w:pPr>
        <w:pStyle w:val="13"/>
      </w:pPr>
      <w:r>
        <w:rPr>
          <w:rFonts w:hint="eastAsia"/>
        </w:rPr>
        <w:t>执行特定押品评估业务需要特殊专业知识和经验时，可以聘请相关专家协助工作，并对聘请专家的独立性与专业性进行必要的判断。</w:t>
      </w:r>
    </w:p>
    <w:p w14:paraId="42CE7DA8" w14:textId="7006BCB6" w:rsidR="008C40AA" w:rsidRDefault="004E3EBB" w:rsidP="008C40AA">
      <w:pPr>
        <w:pStyle w:val="13"/>
        <w:ind w:firstLine="482"/>
      </w:pPr>
      <w:r w:rsidRPr="004E3EBB">
        <w:rPr>
          <w:rFonts w:hint="eastAsia"/>
          <w:b/>
        </w:rPr>
        <w:t xml:space="preserve">第五条 </w:t>
      </w:r>
      <w:r w:rsidR="008C40AA">
        <w:rPr>
          <w:rFonts w:hint="eastAsia"/>
        </w:rPr>
        <w:t>押品评估时应当根据相关法律规定，结合押品特点，考虑权利设定条款、行使方式、可能变现方式等因素，合理选择价值类型和假设前提。</w:t>
      </w:r>
    </w:p>
    <w:p w14:paraId="06B7617D" w14:textId="6CBD2D7E" w:rsidR="008C40AA" w:rsidRDefault="008C40AA" w:rsidP="008C40AA">
      <w:pPr>
        <w:pStyle w:val="13"/>
      </w:pPr>
      <w:r>
        <w:t>不同交易市场的价格水平可能存在差异，应当根据采用的价值类型，选择合适的交易市场数据作为评估输入，并在评估报告中予以披露。</w:t>
      </w:r>
    </w:p>
    <w:p w14:paraId="4423A884" w14:textId="41052273" w:rsidR="008C40AA" w:rsidRDefault="004E3EBB" w:rsidP="008C40AA">
      <w:pPr>
        <w:pStyle w:val="13"/>
        <w:ind w:firstLine="482"/>
      </w:pPr>
      <w:r w:rsidRPr="004E3EBB">
        <w:rPr>
          <w:b/>
        </w:rPr>
        <w:t xml:space="preserve">第六条 </w:t>
      </w:r>
      <w:r w:rsidR="008C40AA">
        <w:t>在选用适当的价值类型、评估方法后，应注意</w:t>
      </w:r>
      <w:proofErr w:type="gramStart"/>
      <w:r w:rsidR="008C40AA">
        <w:t>押</w:t>
      </w:r>
      <w:proofErr w:type="gramEnd"/>
      <w:r w:rsidR="008C40AA">
        <w:t>品评估价值中相关税费的计算原则。并在评估报告中披露是否考虑与押品处置相关的处置、保管、运输、安装、调试、基础、配套软件、税收等成本费用及其计算方式。</w:t>
      </w:r>
    </w:p>
    <w:p w14:paraId="27049AF5" w14:textId="1CB55D5B" w:rsidR="008C40AA" w:rsidRDefault="004E3EBB" w:rsidP="008C40AA">
      <w:pPr>
        <w:pStyle w:val="13"/>
        <w:ind w:firstLine="482"/>
      </w:pPr>
      <w:r w:rsidRPr="004E3EBB">
        <w:rPr>
          <w:rFonts w:hint="eastAsia"/>
          <w:b/>
        </w:rPr>
        <w:t xml:space="preserve">第七条 </w:t>
      </w:r>
      <w:r w:rsidR="008C40AA">
        <w:rPr>
          <w:rFonts w:hint="eastAsia"/>
        </w:rPr>
        <w:t>押品评估委托时，应当明确评估对象、评估范围、抵（质）</w:t>
      </w:r>
      <w:proofErr w:type="gramStart"/>
      <w:r w:rsidR="008C40AA">
        <w:rPr>
          <w:rFonts w:hint="eastAsia"/>
        </w:rPr>
        <w:t>押权设定</w:t>
      </w:r>
      <w:proofErr w:type="gramEnd"/>
      <w:r w:rsidR="008C40AA">
        <w:rPr>
          <w:rFonts w:hint="eastAsia"/>
        </w:rPr>
        <w:t>方式、行权条件等相关事项。应当关注评估对象的法律、经济、技术等具体特征，评估对象抵（质）</w:t>
      </w:r>
      <w:proofErr w:type="gramStart"/>
      <w:r w:rsidR="008C40AA">
        <w:rPr>
          <w:rFonts w:hint="eastAsia"/>
        </w:rPr>
        <w:t>押权的</w:t>
      </w:r>
      <w:proofErr w:type="gramEnd"/>
      <w:r w:rsidR="008C40AA">
        <w:rPr>
          <w:rFonts w:hint="eastAsia"/>
        </w:rPr>
        <w:t>设定情况，评估对象已设定的抵（质）</w:t>
      </w:r>
      <w:proofErr w:type="gramStart"/>
      <w:r w:rsidR="008C40AA">
        <w:rPr>
          <w:rFonts w:hint="eastAsia"/>
        </w:rPr>
        <w:t>押权登记</w:t>
      </w:r>
      <w:proofErr w:type="gramEnd"/>
      <w:r w:rsidR="008C40AA">
        <w:rPr>
          <w:rFonts w:hint="eastAsia"/>
        </w:rPr>
        <w:t>情况，及其</w:t>
      </w:r>
      <w:proofErr w:type="gramStart"/>
      <w:r w:rsidR="008C40AA">
        <w:rPr>
          <w:rFonts w:hint="eastAsia"/>
        </w:rPr>
        <w:t>可能对押品</w:t>
      </w:r>
      <w:proofErr w:type="gramEnd"/>
      <w:r w:rsidR="008C40AA">
        <w:rPr>
          <w:rFonts w:hint="eastAsia"/>
        </w:rPr>
        <w:t>价值产生的影响。</w:t>
      </w:r>
      <w:r w:rsidR="002D3258">
        <w:rPr>
          <w:rFonts w:hint="eastAsia"/>
        </w:rPr>
        <w:t xml:space="preserve"> </w:t>
      </w:r>
    </w:p>
    <w:p w14:paraId="76B97C05" w14:textId="77777777" w:rsidR="008C40AA" w:rsidRDefault="008C40AA" w:rsidP="008C40AA">
      <w:pPr>
        <w:pStyle w:val="13"/>
      </w:pPr>
      <w:r>
        <w:rPr>
          <w:rFonts w:hint="eastAsia"/>
        </w:rPr>
        <w:t>涉及境外押品评估的业务，还应该关注不同国家或地区相关法规存在的差异，及其</w:t>
      </w:r>
      <w:proofErr w:type="gramStart"/>
      <w:r>
        <w:rPr>
          <w:rFonts w:hint="eastAsia"/>
        </w:rPr>
        <w:t>可能对押品</w:t>
      </w:r>
      <w:proofErr w:type="gramEnd"/>
      <w:r>
        <w:rPr>
          <w:rFonts w:hint="eastAsia"/>
        </w:rPr>
        <w:t>价值产生的影响。</w:t>
      </w:r>
    </w:p>
    <w:p w14:paraId="44D7D5E9" w14:textId="77777777" w:rsidR="008C40AA" w:rsidRDefault="008C40AA" w:rsidP="008C40AA">
      <w:pPr>
        <w:pStyle w:val="13"/>
      </w:pPr>
      <w:r>
        <w:rPr>
          <w:rFonts w:hint="eastAsia"/>
        </w:rPr>
        <w:t>应当关注押品抵（质）押的合法性、变现的可能性。</w:t>
      </w:r>
    </w:p>
    <w:p w14:paraId="27361C7E" w14:textId="2DEA8F89" w:rsidR="008C40AA" w:rsidRDefault="004E3EBB" w:rsidP="008C40AA">
      <w:pPr>
        <w:pStyle w:val="13"/>
        <w:ind w:firstLine="482"/>
      </w:pPr>
      <w:r w:rsidRPr="004E3EBB">
        <w:rPr>
          <w:rFonts w:hint="eastAsia"/>
          <w:b/>
        </w:rPr>
        <w:t xml:space="preserve">第八条 </w:t>
      </w:r>
      <w:r w:rsidR="008C40AA">
        <w:rPr>
          <w:rFonts w:hint="eastAsia"/>
        </w:rPr>
        <w:t>接受押品评估委托时，应当根据评估报告预期用途，与委托方协商确定评估前提，在评估业务约定书中明确业务类型和相关责任。评估前提包括初评、</w:t>
      </w:r>
      <w:proofErr w:type="gramStart"/>
      <w:r w:rsidR="008C40AA">
        <w:rPr>
          <w:rFonts w:hint="eastAsia"/>
        </w:rPr>
        <w:t>重估和处置</w:t>
      </w:r>
      <w:proofErr w:type="gramEnd"/>
      <w:r w:rsidR="008C40AA">
        <w:rPr>
          <w:rFonts w:hint="eastAsia"/>
        </w:rPr>
        <w:t>评估。</w:t>
      </w:r>
    </w:p>
    <w:p w14:paraId="61EFE73C" w14:textId="7D231FE7" w:rsidR="008C40AA" w:rsidRDefault="00E05BDA" w:rsidP="008C40AA">
      <w:pPr>
        <w:pStyle w:val="13"/>
        <w:ind w:firstLine="482"/>
      </w:pPr>
      <w:r w:rsidRPr="00E05BDA">
        <w:rPr>
          <w:rFonts w:hint="eastAsia"/>
          <w:b/>
        </w:rPr>
        <w:t xml:space="preserve">第九条 </w:t>
      </w:r>
      <w:r w:rsidR="008C40AA">
        <w:t>押品的初评是指对拟设定抵（质）</w:t>
      </w:r>
      <w:proofErr w:type="gramStart"/>
      <w:r w:rsidR="008C40AA">
        <w:t>押权的</w:t>
      </w:r>
      <w:proofErr w:type="gramEnd"/>
      <w:r w:rsidR="008C40AA">
        <w:t>评估对象，以抵（质）押为目的进行的价值评估。</w:t>
      </w:r>
    </w:p>
    <w:p w14:paraId="4B86E45A" w14:textId="77777777" w:rsidR="008C40AA" w:rsidRDefault="008C40AA" w:rsidP="008C40AA">
      <w:pPr>
        <w:pStyle w:val="13"/>
      </w:pPr>
      <w:proofErr w:type="gramStart"/>
      <w:r>
        <w:rPr>
          <w:rFonts w:hint="eastAsia"/>
        </w:rPr>
        <w:t>对押品</w:t>
      </w:r>
      <w:proofErr w:type="gramEnd"/>
      <w:r>
        <w:rPr>
          <w:rFonts w:hint="eastAsia"/>
        </w:rPr>
        <w:t>的初评，应当按照法律、法规和相关评估准则，执行必要的评估程序。</w:t>
      </w:r>
    </w:p>
    <w:p w14:paraId="10F33EB1" w14:textId="799CD0CB" w:rsidR="008C40AA" w:rsidRDefault="00E05BDA" w:rsidP="008C40AA">
      <w:pPr>
        <w:pStyle w:val="13"/>
        <w:ind w:firstLine="482"/>
      </w:pPr>
      <w:r w:rsidRPr="00E05BDA">
        <w:rPr>
          <w:rFonts w:hint="eastAsia"/>
          <w:b/>
        </w:rPr>
        <w:t xml:space="preserve">第十条 </w:t>
      </w:r>
      <w:r w:rsidR="008C40AA">
        <w:t>押品的重估是指根据委托方的要求，对其所持有押品的相关价值，按委托方的特定要求进行的价值评估。</w:t>
      </w:r>
    </w:p>
    <w:p w14:paraId="5EB8D8A7" w14:textId="77777777" w:rsidR="008C40AA" w:rsidRDefault="008C40AA" w:rsidP="008C40AA">
      <w:pPr>
        <w:pStyle w:val="13"/>
      </w:pPr>
      <w:r>
        <w:rPr>
          <w:rFonts w:hint="eastAsia"/>
        </w:rPr>
        <w:t>重</w:t>
      </w:r>
      <w:proofErr w:type="gramStart"/>
      <w:r>
        <w:rPr>
          <w:rFonts w:hint="eastAsia"/>
        </w:rPr>
        <w:t>估业务</w:t>
      </w:r>
      <w:proofErr w:type="gramEnd"/>
      <w:r>
        <w:rPr>
          <w:rFonts w:hint="eastAsia"/>
        </w:rPr>
        <w:t>应当关注押</w:t>
      </w:r>
      <w:proofErr w:type="gramStart"/>
      <w:r>
        <w:rPr>
          <w:rFonts w:hint="eastAsia"/>
        </w:rPr>
        <w:t>品相关</w:t>
      </w:r>
      <w:proofErr w:type="gramEnd"/>
      <w:r>
        <w:rPr>
          <w:rFonts w:hint="eastAsia"/>
        </w:rPr>
        <w:t>法律权属变化情况、押品物理属性、政策环境、市场环境、技术发展等的</w:t>
      </w:r>
      <w:proofErr w:type="gramStart"/>
      <w:r>
        <w:rPr>
          <w:rFonts w:hint="eastAsia"/>
        </w:rPr>
        <w:t>变化对押品</w:t>
      </w:r>
      <w:proofErr w:type="gramEnd"/>
      <w:r>
        <w:rPr>
          <w:rFonts w:hint="eastAsia"/>
        </w:rPr>
        <w:t>价值的影响；</w:t>
      </w:r>
      <w:proofErr w:type="gramStart"/>
      <w:r>
        <w:rPr>
          <w:rFonts w:hint="eastAsia"/>
        </w:rPr>
        <w:t>关注重估与</w:t>
      </w:r>
      <w:proofErr w:type="gramEnd"/>
      <w:r>
        <w:rPr>
          <w:rFonts w:hint="eastAsia"/>
        </w:rPr>
        <w:t>初评价值变动的原因。</w:t>
      </w:r>
    </w:p>
    <w:p w14:paraId="745C5C07" w14:textId="76AC2C29" w:rsidR="008C40AA" w:rsidRDefault="008C40AA" w:rsidP="008C40AA">
      <w:pPr>
        <w:pStyle w:val="13"/>
      </w:pPr>
      <w:proofErr w:type="gramStart"/>
      <w:r>
        <w:t>对押品</w:t>
      </w:r>
      <w:proofErr w:type="gramEnd"/>
      <w:r>
        <w:t>的重估，一般应采用与初评采用相同的价值类型。</w:t>
      </w:r>
    </w:p>
    <w:p w14:paraId="16435ED3" w14:textId="77777777" w:rsidR="008C40AA" w:rsidRDefault="008C40AA" w:rsidP="008C40AA">
      <w:pPr>
        <w:pStyle w:val="13"/>
      </w:pPr>
      <w:proofErr w:type="gramStart"/>
      <w:r>
        <w:rPr>
          <w:rFonts w:hint="eastAsia"/>
        </w:rPr>
        <w:t>对押品</w:t>
      </w:r>
      <w:proofErr w:type="gramEnd"/>
      <w:r>
        <w:rPr>
          <w:rFonts w:hint="eastAsia"/>
        </w:rPr>
        <w:t>的重估，可以根据与初评的时间间隔、资料掌握情况、对市场环境和评估对象状况变化情况的判断，合理简化评估工作内容。</w:t>
      </w:r>
    </w:p>
    <w:p w14:paraId="319975E2" w14:textId="55B0399C" w:rsidR="008C40AA" w:rsidRDefault="00E05BDA" w:rsidP="008C40AA">
      <w:pPr>
        <w:pStyle w:val="13"/>
        <w:ind w:firstLine="482"/>
      </w:pPr>
      <w:r w:rsidRPr="00E05BDA">
        <w:rPr>
          <w:rFonts w:hint="eastAsia"/>
          <w:b/>
        </w:rPr>
        <w:lastRenderedPageBreak/>
        <w:t xml:space="preserve">第十一条 </w:t>
      </w:r>
      <w:r w:rsidR="008C40AA">
        <w:t>处置评估是指债务人出现违约，债权人或相关方</w:t>
      </w:r>
      <w:proofErr w:type="gramStart"/>
      <w:r w:rsidR="008C40AA">
        <w:t>拟对押品</w:t>
      </w:r>
      <w:proofErr w:type="gramEnd"/>
      <w:r w:rsidR="008C40AA">
        <w:t>处置而进行的价值评估。</w:t>
      </w:r>
    </w:p>
    <w:p w14:paraId="674C1F8A" w14:textId="77777777" w:rsidR="008C40AA" w:rsidRDefault="008C40AA" w:rsidP="008C40AA">
      <w:pPr>
        <w:pStyle w:val="13"/>
      </w:pPr>
      <w:r>
        <w:rPr>
          <w:rFonts w:hint="eastAsia"/>
        </w:rPr>
        <w:t>处置评估可以参照《金融不良资产评估指导意见》和其他相关准则的规定。</w:t>
      </w:r>
    </w:p>
    <w:p w14:paraId="6E62D310" w14:textId="32250E6D" w:rsidR="008C40AA" w:rsidRDefault="00E05BDA" w:rsidP="008C40AA">
      <w:pPr>
        <w:pStyle w:val="13"/>
        <w:ind w:firstLine="482"/>
      </w:pPr>
      <w:r w:rsidRPr="00E05BDA">
        <w:rPr>
          <w:b/>
        </w:rPr>
        <w:t xml:space="preserve">第十二条 </w:t>
      </w:r>
      <w:r w:rsidR="008C40AA">
        <w:t>当采用未来时点评估基准日时，应在合理设定评估前提和假设基础上，谨慎判断未来市场环境、评估对象的状况和变化趋势，并针对影响评估价值主要因素进行敏感性分析。</w:t>
      </w:r>
    </w:p>
    <w:p w14:paraId="6047F629" w14:textId="40B25B1A" w:rsidR="008C40AA" w:rsidRDefault="00E05BDA" w:rsidP="008C40AA">
      <w:pPr>
        <w:pStyle w:val="13"/>
        <w:ind w:firstLine="482"/>
      </w:pPr>
      <w:r w:rsidRPr="00E05BDA">
        <w:rPr>
          <w:rFonts w:hint="eastAsia"/>
          <w:b/>
        </w:rPr>
        <w:t xml:space="preserve">第十三条 </w:t>
      </w:r>
      <w:r w:rsidR="008C40AA">
        <w:rPr>
          <w:rFonts w:hint="eastAsia"/>
        </w:rPr>
        <w:t>以市场价值作为押品评估的价值类型的，应当是以未设立法定优先受偿权利下的市场价值减去已知悉的法定优先受偿款。</w:t>
      </w:r>
    </w:p>
    <w:p w14:paraId="43BB6BB8" w14:textId="3F791964" w:rsidR="008C40AA" w:rsidRDefault="00E05BDA" w:rsidP="008C40AA">
      <w:pPr>
        <w:pStyle w:val="13"/>
        <w:ind w:firstLine="482"/>
      </w:pPr>
      <w:r w:rsidRPr="00E05BDA">
        <w:rPr>
          <w:rFonts w:hint="eastAsia"/>
          <w:b/>
        </w:rPr>
        <w:t xml:space="preserve">第十四条 </w:t>
      </w:r>
      <w:r w:rsidR="008C40AA">
        <w:rPr>
          <w:rFonts w:hint="eastAsia"/>
        </w:rPr>
        <w:t>应当根据评估对象特点、价值类型、资料搜集情况等条件，合理选择收益法、市场法、成本法（涉及企业价值评估时为资产基础法）中一种或多种方法，并选择恰当的方式得出最终评估结论。</w:t>
      </w:r>
    </w:p>
    <w:p w14:paraId="0820501B" w14:textId="07F9D67B" w:rsidR="008C40AA" w:rsidRDefault="00E05BDA" w:rsidP="008C40AA">
      <w:pPr>
        <w:pStyle w:val="13"/>
        <w:ind w:firstLine="482"/>
      </w:pPr>
      <w:r w:rsidRPr="00E05BDA">
        <w:rPr>
          <w:rFonts w:hint="eastAsia"/>
          <w:b/>
        </w:rPr>
        <w:t xml:space="preserve">第十五条 </w:t>
      </w:r>
      <w:r w:rsidR="008C40AA">
        <w:t>评估报告应当提醒委托方及其他评估报告使用者，评估结论是评估对象在报告披露的评估目的、前提与假设下，在评估基准日选定的价值类型下的价值参考意见。评估结论不是对抵（质）</w:t>
      </w:r>
      <w:proofErr w:type="gramStart"/>
      <w:r w:rsidR="008C40AA">
        <w:t>押权行使</w:t>
      </w:r>
      <w:proofErr w:type="gramEnd"/>
      <w:r w:rsidR="008C40AA">
        <w:t>结果的保证。同一押品在初评、</w:t>
      </w:r>
      <w:proofErr w:type="gramStart"/>
      <w:r w:rsidR="008C40AA">
        <w:t>重估和处置</w:t>
      </w:r>
      <w:proofErr w:type="gramEnd"/>
      <w:r w:rsidR="008C40AA">
        <w:t>评估时，物理状态、数量、性能、自然环境等原因，可能导致评估价值存在差异。</w:t>
      </w:r>
    </w:p>
    <w:p w14:paraId="5AADE29D" w14:textId="4E0167A0" w:rsidR="008C40AA" w:rsidRDefault="008C40AA" w:rsidP="008C40AA">
      <w:pPr>
        <w:pStyle w:val="13"/>
      </w:pPr>
      <w:r>
        <w:rPr>
          <w:rFonts w:hint="eastAsia"/>
        </w:rPr>
        <w:t>押品评估出具正式评估报告的，除遵循《资产评估准则</w:t>
      </w:r>
      <w:r>
        <w:t>-评估报告》外，还应该明确说明下列内容：（1）押品评估范围，与设定的抵（质）</w:t>
      </w:r>
      <w:proofErr w:type="gramStart"/>
      <w:r>
        <w:t>押权的</w:t>
      </w:r>
      <w:proofErr w:type="gramEnd"/>
      <w:r>
        <w:t>关系；（2）押品评估选择的价值类型及其具体定义；（3）评估前提或假设条件；（4）评估程序及是否简化了工作内容；（5）评估依据的信息来源及相关方的责任；（6）特殊事项说明。</w:t>
      </w:r>
    </w:p>
    <w:p w14:paraId="5BDB93D3" w14:textId="2776C855" w:rsidR="008C40AA" w:rsidRDefault="00E05BDA" w:rsidP="008C40AA">
      <w:pPr>
        <w:pStyle w:val="13"/>
        <w:ind w:firstLine="482"/>
      </w:pPr>
      <w:r w:rsidRPr="00E05BDA">
        <w:rPr>
          <w:rFonts w:hint="eastAsia"/>
          <w:b/>
        </w:rPr>
        <w:t xml:space="preserve">第十六条 </w:t>
      </w:r>
      <w:r w:rsidR="008C40AA">
        <w:rPr>
          <w:rFonts w:hint="eastAsia"/>
        </w:rPr>
        <w:t>押品评估时应当关注影响押品价值的特殊事项，合理考虑特殊</w:t>
      </w:r>
      <w:proofErr w:type="gramStart"/>
      <w:r w:rsidR="008C40AA">
        <w:rPr>
          <w:rFonts w:hint="eastAsia"/>
        </w:rPr>
        <w:t>事项对押品评</w:t>
      </w:r>
      <w:proofErr w:type="gramEnd"/>
      <w:r w:rsidR="008C40AA">
        <w:rPr>
          <w:rFonts w:hint="eastAsia"/>
        </w:rPr>
        <w:t>估值的影响，并在评估报告书中披露对特殊事项的考虑方式及结果。</w:t>
      </w:r>
    </w:p>
    <w:p w14:paraId="11C2E9FC" w14:textId="77777777" w:rsidR="008C40AA" w:rsidRDefault="008C40AA" w:rsidP="008C40AA">
      <w:pPr>
        <w:pStyle w:val="13"/>
      </w:pPr>
      <w:r>
        <w:rPr>
          <w:rFonts w:hint="eastAsia"/>
        </w:rPr>
        <w:t>押品评估中常见的特殊事项有：押品的产权归属、法定优先受偿权利，以及押品使用与转让受到的国家产业政策、环境保护政策的影响。</w:t>
      </w:r>
    </w:p>
    <w:p w14:paraId="7D972456" w14:textId="258081D4" w:rsidR="008C40AA" w:rsidRDefault="008C40AA" w:rsidP="008C40AA">
      <w:pPr>
        <w:pStyle w:val="13"/>
      </w:pPr>
      <w:r>
        <w:t>以下按抵（质）</w:t>
      </w:r>
      <w:proofErr w:type="gramStart"/>
      <w:r>
        <w:t>押登记</w:t>
      </w:r>
      <w:proofErr w:type="gramEnd"/>
      <w:r>
        <w:t>的分类，说明常见押品评估的关注要点。</w:t>
      </w:r>
    </w:p>
    <w:p w14:paraId="2A59F57F" w14:textId="77777777" w:rsidR="008C40AA" w:rsidRDefault="008C40AA" w:rsidP="00793E5D">
      <w:pPr>
        <w:pStyle w:val="ab"/>
        <w:spacing w:before="62" w:after="62"/>
        <w:ind w:firstLine="482"/>
      </w:pPr>
      <w:r>
        <w:t>1、动产抵(质)押评估</w:t>
      </w:r>
    </w:p>
    <w:p w14:paraId="582BE586" w14:textId="6271FBC1" w:rsidR="008C40AA" w:rsidRDefault="00E05BDA" w:rsidP="008C40AA">
      <w:pPr>
        <w:pStyle w:val="13"/>
        <w:ind w:firstLine="482"/>
      </w:pPr>
      <w:r w:rsidRPr="00E05BDA">
        <w:rPr>
          <w:b/>
        </w:rPr>
        <w:t xml:space="preserve">第十七条 </w:t>
      </w:r>
      <w:r w:rsidR="008C40AA">
        <w:t>动产抵（质）</w:t>
      </w:r>
      <w:proofErr w:type="gramStart"/>
      <w:r w:rsidR="008C40AA">
        <w:t>押价值</w:t>
      </w:r>
      <w:proofErr w:type="gramEnd"/>
      <w:r w:rsidR="008C40AA">
        <w:t>评估应当明确评估对象类型、实物范围、现实状况和权益状况。常见用于抵（质）押的类型包括生产设备、原材料、半成品、产品等。</w:t>
      </w:r>
    </w:p>
    <w:p w14:paraId="27111E19" w14:textId="5842DAF1" w:rsidR="008C40AA" w:rsidRDefault="00E05BDA" w:rsidP="008C40AA">
      <w:pPr>
        <w:pStyle w:val="13"/>
        <w:ind w:firstLine="482"/>
      </w:pPr>
      <w:r w:rsidRPr="00E05BDA">
        <w:rPr>
          <w:b/>
        </w:rPr>
        <w:t xml:space="preserve">第十八条 </w:t>
      </w:r>
      <w:r w:rsidR="008C40AA">
        <w:t>通过对评估对象进行现场勘察核实，在动产抵押价值评估报告说明评估对象在评估基准日的实物范围，包括存放地点、存放形式、清查核实方式、核实数量等；实物的现实状况，如外观、使用/运行、检验记录、质量分类、性能等情况；查验或获取的权属证明、他项权利登记情况。</w:t>
      </w:r>
    </w:p>
    <w:p w14:paraId="56BC6572" w14:textId="6264D9E9" w:rsidR="008C40AA" w:rsidRDefault="00E05BDA" w:rsidP="008C40AA">
      <w:pPr>
        <w:pStyle w:val="13"/>
        <w:ind w:firstLine="482"/>
      </w:pPr>
      <w:r w:rsidRPr="00E05BDA">
        <w:rPr>
          <w:b/>
        </w:rPr>
        <w:t xml:space="preserve">第十九条 </w:t>
      </w:r>
      <w:r w:rsidR="008C40AA">
        <w:t>押品评估的价值类型、评估假设不同，评估计价范围也有区别。</w:t>
      </w:r>
    </w:p>
    <w:p w14:paraId="148CA161" w14:textId="2072757E" w:rsidR="008C40AA" w:rsidRDefault="008C40AA" w:rsidP="008C40AA">
      <w:pPr>
        <w:pStyle w:val="13"/>
      </w:pPr>
      <w:r>
        <w:t>选用有序变现、快速变现前提评估动产押品时，评估范围应为抵押的包括生产设备、原材料、半成品、产品等本身，不应包含生产设备的安装、基础费用，原材料、</w:t>
      </w:r>
      <w:r>
        <w:lastRenderedPageBreak/>
        <w:t>产品的包装、运输等费用。</w:t>
      </w:r>
    </w:p>
    <w:p w14:paraId="7217CD58" w14:textId="331EE352" w:rsidR="008C40AA" w:rsidRDefault="008C40AA" w:rsidP="008C40AA">
      <w:pPr>
        <w:pStyle w:val="13"/>
      </w:pPr>
      <w:r>
        <w:t>选用原地续用前提评估抵押品时，评估范围除抵押的生产设备外，还应关注生产设备必须的安装、基础、附属设施，并应考虑是否包括软件、技术服务、技术资料等无形资产。</w:t>
      </w:r>
    </w:p>
    <w:p w14:paraId="162D9146" w14:textId="18C8390B" w:rsidR="008C40AA" w:rsidRDefault="00E05BDA" w:rsidP="008C40AA">
      <w:pPr>
        <w:pStyle w:val="13"/>
        <w:ind w:firstLine="482"/>
      </w:pPr>
      <w:r w:rsidRPr="00E05BDA">
        <w:rPr>
          <w:b/>
        </w:rPr>
        <w:t xml:space="preserve">第二十条 </w:t>
      </w:r>
      <w:r w:rsidR="008C40AA">
        <w:t>动产押品评估一般优先采用市场法。选择成本法和收益法评估动产抵押品价值时，应结合抵押品的特点和采用的价值类型，合理计算抵押品的变现成本、变现折扣，并在评估报告</w:t>
      </w:r>
      <w:proofErr w:type="gramStart"/>
      <w:r w:rsidR="008C40AA">
        <w:t>中对变现成</w:t>
      </w:r>
      <w:proofErr w:type="gramEnd"/>
      <w:r w:rsidR="008C40AA">
        <w:t>本、变现折扣和其他变现的影响因素予以披露。</w:t>
      </w:r>
    </w:p>
    <w:p w14:paraId="6D2AD7E9" w14:textId="77777777" w:rsidR="008C40AA" w:rsidRDefault="008C40AA" w:rsidP="00793E5D">
      <w:pPr>
        <w:pStyle w:val="ab"/>
        <w:spacing w:before="62" w:after="62"/>
        <w:ind w:firstLine="482"/>
      </w:pPr>
      <w:r>
        <w:t>2、交通运输工具抵押评估</w:t>
      </w:r>
    </w:p>
    <w:p w14:paraId="1FA9E94D" w14:textId="548D54FD" w:rsidR="008C40AA" w:rsidRDefault="00E05BDA" w:rsidP="008C40AA">
      <w:pPr>
        <w:pStyle w:val="13"/>
        <w:ind w:firstLine="482"/>
      </w:pPr>
      <w:r w:rsidRPr="00E05BDA">
        <w:rPr>
          <w:b/>
        </w:rPr>
        <w:t xml:space="preserve">第二十一条 </w:t>
      </w:r>
      <w:r w:rsidR="008C40AA">
        <w:t>已抵押或拟抵押交通运输工具在不同管理部门进行抵押登记，适用于不同的法律规定。常见的可以抵押的交通运输工具有机动车、船舶（包括一般船舶、渔业船舶）、航空器。</w:t>
      </w:r>
    </w:p>
    <w:p w14:paraId="5467F8ED" w14:textId="1449A1C6" w:rsidR="008C40AA" w:rsidRDefault="00E05BDA" w:rsidP="008C40AA">
      <w:pPr>
        <w:pStyle w:val="13"/>
        <w:ind w:firstLine="482"/>
      </w:pPr>
      <w:r w:rsidRPr="00E05BDA">
        <w:rPr>
          <w:rFonts w:hint="eastAsia"/>
          <w:b/>
        </w:rPr>
        <w:t xml:space="preserve">第二十二条 </w:t>
      </w:r>
      <w:r w:rsidR="008C40AA">
        <w:t>应当了解与被评估运输工具相关的协议和约定，是否包含优先于抵押权人获取收益的权利，如租赁、担保、保险协议等，以及法律规定的优先权益；关注这些权益对运输工具抵押价值的影响。</w:t>
      </w:r>
    </w:p>
    <w:p w14:paraId="33C580A7" w14:textId="2281D270" w:rsidR="008C40AA" w:rsidRDefault="00E05BDA" w:rsidP="008C40AA">
      <w:pPr>
        <w:pStyle w:val="13"/>
        <w:ind w:firstLine="482"/>
      </w:pPr>
      <w:r w:rsidRPr="00E05BDA">
        <w:rPr>
          <w:b/>
        </w:rPr>
        <w:t xml:space="preserve">第二十三条 </w:t>
      </w:r>
      <w:r w:rsidR="008C40AA">
        <w:t>机动车的权属证明包括登记证明、购置证明。登记证明是申领机动车号牌、行驶证时，机动车所有人从住所地的车辆管理所获得的注册登记凭证，登记证明表明机动车的类型、性能参数和使用性质。</w:t>
      </w:r>
    </w:p>
    <w:p w14:paraId="3AE5575E" w14:textId="45853613" w:rsidR="008C40AA" w:rsidRDefault="00E05BDA" w:rsidP="008C40AA">
      <w:pPr>
        <w:pStyle w:val="13"/>
        <w:ind w:firstLine="482"/>
      </w:pPr>
      <w:r w:rsidRPr="00E05BDA">
        <w:rPr>
          <w:b/>
        </w:rPr>
        <w:t xml:space="preserve">第二十四条 </w:t>
      </w:r>
      <w:r w:rsidR="008C40AA">
        <w:t>对于有活跃交易市场机动车类型抵押评估时，应优先采用市场法。对于没有交易市场的专门用途机动车、定制机动车的评估可以采用成本法或收益法评估。采用成本法或收益法评估的，应当关注相关环保政策、产业政策等，对于机动车使用寿命年限或收益期限的影响。</w:t>
      </w:r>
    </w:p>
    <w:p w14:paraId="0B557CAE" w14:textId="4EE1F7F9" w:rsidR="008C40AA" w:rsidRDefault="00E05BDA" w:rsidP="008C40AA">
      <w:pPr>
        <w:pStyle w:val="13"/>
        <w:ind w:firstLine="482"/>
      </w:pPr>
      <w:r w:rsidRPr="00E05BDA">
        <w:rPr>
          <w:b/>
        </w:rPr>
        <w:t xml:space="preserve">第二十五条 </w:t>
      </w:r>
      <w:r w:rsidR="008C40AA">
        <w:t>执行机动车抵押评估应当对机动车进行查勘，了解机动车使用和维修保养状况，必要时进行专项技术检验，并披露检验结果对评估结论的影响。</w:t>
      </w:r>
    </w:p>
    <w:p w14:paraId="699CD648" w14:textId="19E032FB" w:rsidR="008C40AA" w:rsidRDefault="00E05BDA" w:rsidP="008C40AA">
      <w:pPr>
        <w:pStyle w:val="13"/>
        <w:ind w:firstLine="482"/>
      </w:pPr>
      <w:r w:rsidRPr="00E05BDA">
        <w:rPr>
          <w:b/>
        </w:rPr>
        <w:t xml:space="preserve">第二十六条 </w:t>
      </w:r>
      <w:r w:rsidR="008C40AA">
        <w:t>船舶的所有权人与船籍可能分属不同国家或地区，不同的司法管辖区适用不同的法律体系，对于船舶的价值产生特别影响。</w:t>
      </w:r>
    </w:p>
    <w:p w14:paraId="40D57567" w14:textId="63D7FA52" w:rsidR="008C40AA" w:rsidRDefault="008C40AA" w:rsidP="008C40AA">
      <w:pPr>
        <w:pStyle w:val="13"/>
      </w:pPr>
      <w:r>
        <w:t>应当</w:t>
      </w:r>
      <w:proofErr w:type="gramStart"/>
      <w:r>
        <w:t>明确拟</w:t>
      </w:r>
      <w:proofErr w:type="gramEnd"/>
      <w:r>
        <w:t>行使抵押人与船舶所有人的关系。常见行使抵押人包括，船东、船舶建造者（在建船舶）。</w:t>
      </w:r>
    </w:p>
    <w:p w14:paraId="5805C3D0" w14:textId="0FDF8DA9" w:rsidR="008C40AA" w:rsidRDefault="008C40AA" w:rsidP="008C40AA">
      <w:pPr>
        <w:pStyle w:val="13"/>
      </w:pPr>
      <w:r>
        <w:t>应当获取船舶登记机构、船舶检验机构对被评估船舶的建造、使用、维修等记录信息或查验证据。</w:t>
      </w:r>
    </w:p>
    <w:p w14:paraId="7035E2C5" w14:textId="7FFC5327" w:rsidR="008C40AA" w:rsidRDefault="00E05BDA" w:rsidP="008C40AA">
      <w:pPr>
        <w:pStyle w:val="13"/>
        <w:ind w:firstLine="482"/>
      </w:pPr>
      <w:r w:rsidRPr="00E05BDA">
        <w:rPr>
          <w:b/>
        </w:rPr>
        <w:t xml:space="preserve">第二十七条 </w:t>
      </w:r>
      <w:r w:rsidR="008C40AA">
        <w:t>一般应对被评估船舶进行现场勘查。</w:t>
      </w:r>
      <w:proofErr w:type="gramStart"/>
      <w:r w:rsidR="008C40AA">
        <w:t>当无法</w:t>
      </w:r>
      <w:proofErr w:type="gramEnd"/>
      <w:r w:rsidR="008C40AA">
        <w:t>进行现场勘查时，应当判断依据委托方提供的资料、过往勘查记录，或第三</w:t>
      </w:r>
      <w:proofErr w:type="gramStart"/>
      <w:r w:rsidR="008C40AA">
        <w:t>方专业</w:t>
      </w:r>
      <w:proofErr w:type="gramEnd"/>
      <w:r w:rsidR="008C40AA">
        <w:t>机构出具的近期检验报告，是否可以估算船舶用于抵押目的的价值。评估报告应当对未履行勘查程序的风险及价值判断依据进行披露。</w:t>
      </w:r>
    </w:p>
    <w:p w14:paraId="5E498218" w14:textId="4C59FF97" w:rsidR="008C40AA" w:rsidRDefault="00E05BDA" w:rsidP="008C40AA">
      <w:pPr>
        <w:pStyle w:val="13"/>
        <w:ind w:firstLine="482"/>
      </w:pPr>
      <w:r w:rsidRPr="00E05BDA">
        <w:rPr>
          <w:b/>
        </w:rPr>
        <w:t xml:space="preserve">第二十八条 </w:t>
      </w:r>
      <w:r w:rsidR="008C40AA">
        <w:t>民用航空器的权属证明为民用航空器权利登记簿，统一记载民用航</w:t>
      </w:r>
      <w:r w:rsidR="008C40AA">
        <w:lastRenderedPageBreak/>
        <w:t>空器权利登记事项。包括国籍、国籍标志和登记标志，所有人姓名或者名称、地址及其法定代表人姓名，共有人的共有情况，所有权的取得方式和取得日期，制造人名称、制造日期和制造地点，价值、机体材料和主要技术数据，抵押权的设定情况等。</w:t>
      </w:r>
    </w:p>
    <w:p w14:paraId="4510CD87" w14:textId="77777777" w:rsidR="008C40AA" w:rsidRDefault="008C40AA" w:rsidP="008C40AA">
      <w:pPr>
        <w:pStyle w:val="13"/>
      </w:pPr>
      <w:r>
        <w:rPr>
          <w:rFonts w:hint="eastAsia"/>
        </w:rPr>
        <w:t>应当从航空器登记机构、专业检验机构或专业维修机构获取被评估航空器的购买、使用、维修等记录信息或查验证据。</w:t>
      </w:r>
    </w:p>
    <w:p w14:paraId="30A982B8" w14:textId="6504680C" w:rsidR="008C40AA" w:rsidRDefault="008C40AA" w:rsidP="008C40AA">
      <w:pPr>
        <w:pStyle w:val="13"/>
      </w:pPr>
      <w:r>
        <w:t>两架以上民用航空器可以共同设定一项抵押权，同一民用航空器也可以设定两项以上抵押权。</w:t>
      </w:r>
    </w:p>
    <w:p w14:paraId="72089C0A" w14:textId="536B0649" w:rsidR="008C40AA" w:rsidRDefault="00E05BDA" w:rsidP="008C40AA">
      <w:pPr>
        <w:pStyle w:val="13"/>
        <w:ind w:firstLine="482"/>
      </w:pPr>
      <w:r w:rsidRPr="00E05BDA">
        <w:rPr>
          <w:b/>
        </w:rPr>
        <w:t xml:space="preserve">第二十九条 </w:t>
      </w:r>
      <w:r w:rsidR="008C40AA">
        <w:t>对于已设定抵押权的民用航空器评估时，应当了解抵押权人和抵押人的姓名或者名称、地址及其法定代表人的姓名，抵押所担保的债权数额、利息率、受偿期限，抵押权登记日期，分析并披露该抵押权对于本次民用航空器评估值的影响。</w:t>
      </w:r>
    </w:p>
    <w:p w14:paraId="4F572B9C" w14:textId="0E45DA57" w:rsidR="008C40AA" w:rsidRDefault="00E05BDA" w:rsidP="008C40AA">
      <w:pPr>
        <w:pStyle w:val="13"/>
        <w:ind w:firstLine="482"/>
      </w:pPr>
      <w:r w:rsidRPr="00E05BDA">
        <w:rPr>
          <w:b/>
        </w:rPr>
        <w:t xml:space="preserve">第三十条 </w:t>
      </w:r>
      <w:r w:rsidR="008C40AA">
        <w:t>评估时一般应对被评估航空器进行现场状况勘查。</w:t>
      </w:r>
      <w:proofErr w:type="gramStart"/>
      <w:r w:rsidR="008C40AA">
        <w:t>当无法</w:t>
      </w:r>
      <w:proofErr w:type="gramEnd"/>
      <w:r w:rsidR="008C40AA">
        <w:t>进行现场勘查时，应当判断依据委托方提供的资料、过往勘查记录，或第三</w:t>
      </w:r>
      <w:proofErr w:type="gramStart"/>
      <w:r w:rsidR="008C40AA">
        <w:t>方专业</w:t>
      </w:r>
      <w:proofErr w:type="gramEnd"/>
      <w:r w:rsidR="008C40AA">
        <w:t>机构出具的近期检验报告，是否可以估算航空器用于抵押目的的价值。评估报告应当对未履行勘查程序的风险及价值判断依据进行披露。</w:t>
      </w:r>
    </w:p>
    <w:p w14:paraId="5E30E2CD" w14:textId="77777777" w:rsidR="008C40AA" w:rsidRDefault="008C40AA" w:rsidP="00793E5D">
      <w:pPr>
        <w:pStyle w:val="ab"/>
        <w:spacing w:before="62" w:after="62"/>
        <w:ind w:firstLine="482"/>
      </w:pPr>
      <w:r>
        <w:t>3、不动产抵押评估</w:t>
      </w:r>
    </w:p>
    <w:p w14:paraId="1479B83A" w14:textId="363E512A" w:rsidR="008C40AA" w:rsidRDefault="003B2FB1" w:rsidP="008C40AA">
      <w:pPr>
        <w:pStyle w:val="13"/>
        <w:ind w:firstLine="482"/>
      </w:pPr>
      <w:r w:rsidRPr="003B2FB1">
        <w:rPr>
          <w:rFonts w:hint="eastAsia"/>
          <w:b/>
        </w:rPr>
        <w:t xml:space="preserve">第三十一条 </w:t>
      </w:r>
      <w:r w:rsidR="008C40AA">
        <w:rPr>
          <w:rFonts w:hint="eastAsia"/>
        </w:rPr>
        <w:t>不动产押品评估应当明确评估对象的实物范围、法定用途、实际用途、收益范围和权益状况。</w:t>
      </w:r>
    </w:p>
    <w:p w14:paraId="1C9D562D" w14:textId="7FE4181D" w:rsidR="008C40AA" w:rsidRDefault="008C40AA" w:rsidP="008C40AA">
      <w:pPr>
        <w:pStyle w:val="13"/>
      </w:pPr>
      <w:r>
        <w:t>法律、法规规定不得抵押的不动产、不能作为不动产附属权益的资产，不应作为抵押估价对象或纳入评估范围。</w:t>
      </w:r>
    </w:p>
    <w:p w14:paraId="5AFFAC4D" w14:textId="2DA3BACF" w:rsidR="008C40AA" w:rsidRDefault="008C40AA" w:rsidP="008C40AA">
      <w:pPr>
        <w:pStyle w:val="13"/>
      </w:pPr>
      <w:r>
        <w:t>不同类型不动产，如投资性不动产、自用不动产、专用不动产、经营性不动产、开发性不动产等，具有不同的风险因素和价值特征，应当充分考虑租约、空置率、持有期等因素对价值的影响。</w:t>
      </w:r>
    </w:p>
    <w:p w14:paraId="1D81E968" w14:textId="676E0E45" w:rsidR="008C40AA" w:rsidRDefault="003B2FB1" w:rsidP="008C40AA">
      <w:pPr>
        <w:pStyle w:val="13"/>
        <w:ind w:firstLine="482"/>
      </w:pPr>
      <w:r w:rsidRPr="003B2FB1">
        <w:rPr>
          <w:b/>
        </w:rPr>
        <w:t xml:space="preserve">第三十二条 </w:t>
      </w:r>
      <w:r w:rsidR="008C40AA">
        <w:t>应当根据评估对象法律状况、不动产特点、已设定抵押权情况、已知优先受偿款、处置方案等，对市场环境、评估对象范围、评估基准日评估对象状况、未来可能权利和义务、其他不确定性因素等，设定必要的前提，做出合理假设。</w:t>
      </w:r>
    </w:p>
    <w:p w14:paraId="1BE3EFAF" w14:textId="0BEB53C5" w:rsidR="008C40AA" w:rsidRDefault="003B2FB1" w:rsidP="008C40AA">
      <w:pPr>
        <w:pStyle w:val="13"/>
        <w:ind w:firstLine="482"/>
      </w:pPr>
      <w:r w:rsidRPr="003B2FB1">
        <w:rPr>
          <w:b/>
        </w:rPr>
        <w:t xml:space="preserve">第三十三条 </w:t>
      </w:r>
      <w:r w:rsidR="008C40AA">
        <w:t>存在不确定因素时应当保持必要的职业谨慎，充分估计抵押不动产处置时可能受到的限制、未来可能发生的风险和损失、已知的法定优先受偿款、土地出让金补缴，并在评估报告中予以披露并做出必要的风险提示。</w:t>
      </w:r>
    </w:p>
    <w:p w14:paraId="126EC932" w14:textId="6B7FC6E2" w:rsidR="008C40AA" w:rsidRDefault="008C40AA" w:rsidP="008C40AA">
      <w:pPr>
        <w:pStyle w:val="13"/>
      </w:pPr>
      <w:r>
        <w:t>根据委托方的要求，可以采用敏感性分析、情景分析等工具，对不确定性对于评估对象价值的影响进行分析，在评估报告中予以披露并做出必要的风险提示。</w:t>
      </w:r>
    </w:p>
    <w:p w14:paraId="3F29349E" w14:textId="62B06C3B" w:rsidR="008C40AA" w:rsidRDefault="003B2FB1" w:rsidP="008C40AA">
      <w:pPr>
        <w:pStyle w:val="13"/>
        <w:ind w:firstLine="482"/>
      </w:pPr>
      <w:r w:rsidRPr="003B2FB1">
        <w:rPr>
          <w:b/>
        </w:rPr>
        <w:t xml:space="preserve">第三十四条 </w:t>
      </w:r>
      <w:r w:rsidR="008C40AA">
        <w:t>应当了解评估对象在评估基准日是否存在法定优先受偿权利等情况，法定优先受偿权利对于评估价值的影响应该在评估报告中予以披露。</w:t>
      </w:r>
    </w:p>
    <w:p w14:paraId="2AD466BE" w14:textId="19487BA3" w:rsidR="008C40AA" w:rsidRDefault="003B2FB1" w:rsidP="008C40AA">
      <w:pPr>
        <w:pStyle w:val="13"/>
        <w:ind w:firstLine="482"/>
      </w:pPr>
      <w:r w:rsidRPr="003B2FB1">
        <w:rPr>
          <w:rFonts w:hint="eastAsia"/>
          <w:b/>
        </w:rPr>
        <w:t xml:space="preserve">第三十五条 </w:t>
      </w:r>
      <w:r w:rsidR="008C40AA">
        <w:rPr>
          <w:rFonts w:hint="eastAsia"/>
        </w:rPr>
        <w:t>不动产抵押评估应当执行必要的评估程序，逐项进行现场查勘，形</w:t>
      </w:r>
      <w:r w:rsidR="008C40AA">
        <w:rPr>
          <w:rFonts w:hint="eastAsia"/>
        </w:rPr>
        <w:lastRenderedPageBreak/>
        <w:t>成记录。</w:t>
      </w:r>
    </w:p>
    <w:p w14:paraId="31765C98" w14:textId="7E6010B5" w:rsidR="008C40AA" w:rsidRDefault="008C40AA" w:rsidP="008C40AA">
      <w:pPr>
        <w:pStyle w:val="13"/>
      </w:pPr>
      <w:r>
        <w:t>不动产抵押的处置评估，应当进行变现能力分析。变现能力分析包括但不限于对抵押不动产的通用性、独立使用性或者可分割转让性，假定在评估基准日拍卖或者变卖时最可能实现的价格与评估价值的差异程度，变现的时间长短以及费用、税金的种类、数额和清偿顺序等。</w:t>
      </w:r>
    </w:p>
    <w:p w14:paraId="24CAF755" w14:textId="77777777" w:rsidR="008C40AA" w:rsidRDefault="008C40AA" w:rsidP="00793E5D">
      <w:pPr>
        <w:pStyle w:val="ab"/>
        <w:spacing w:before="62" w:after="62"/>
        <w:ind w:firstLine="482"/>
      </w:pPr>
      <w:r>
        <w:t>4、矿业权抵押评估</w:t>
      </w:r>
    </w:p>
    <w:p w14:paraId="197F2FA1" w14:textId="0376CA6A" w:rsidR="008C40AA" w:rsidRDefault="003B2FB1" w:rsidP="008C40AA">
      <w:pPr>
        <w:pStyle w:val="13"/>
        <w:ind w:firstLine="482"/>
      </w:pPr>
      <w:r w:rsidRPr="003B2FB1">
        <w:rPr>
          <w:rFonts w:hint="eastAsia"/>
          <w:b/>
        </w:rPr>
        <w:t xml:space="preserve">第三十六条 </w:t>
      </w:r>
      <w:r w:rsidR="008C40AA">
        <w:t>应当关注矿业</w:t>
      </w:r>
      <w:proofErr w:type="gramStart"/>
      <w:r w:rsidR="008C40AA">
        <w:t>权资产</w:t>
      </w:r>
      <w:proofErr w:type="gramEnd"/>
      <w:r w:rsidR="008C40AA">
        <w:t>权属状态，如压覆矿产资源、矿业权范围重叠、矿业权争议与纠纷、矿业权被查封、冻结、资源整合、《矿产资源勘查许可证》和《采矿许可证》有效期、已设定的抵押权等。</w:t>
      </w:r>
    </w:p>
    <w:p w14:paraId="3F52EC5C" w14:textId="60B6C03E" w:rsidR="008C40AA" w:rsidRDefault="003B2FB1" w:rsidP="008C40AA">
      <w:pPr>
        <w:pStyle w:val="13"/>
        <w:ind w:firstLine="482"/>
      </w:pPr>
      <w:r w:rsidRPr="003B2FB1">
        <w:rPr>
          <w:rFonts w:hint="eastAsia"/>
          <w:b/>
        </w:rPr>
        <w:t xml:space="preserve">第三十七条 </w:t>
      </w:r>
      <w:r w:rsidR="008C40AA">
        <w:t>探矿权抵押评估时应当关注：</w:t>
      </w:r>
    </w:p>
    <w:p w14:paraId="6B425A17" w14:textId="5C191B7A" w:rsidR="008C40AA" w:rsidRDefault="008C40AA" w:rsidP="008C40AA">
      <w:pPr>
        <w:pStyle w:val="13"/>
      </w:pPr>
      <w:r>
        <w:t>（1）探矿权抵押是否符合相关规定；</w:t>
      </w:r>
    </w:p>
    <w:p w14:paraId="6B8707EF" w14:textId="35B459F6" w:rsidR="008C40AA" w:rsidRDefault="008C40AA" w:rsidP="008C40AA">
      <w:pPr>
        <w:pStyle w:val="13"/>
      </w:pPr>
      <w:r>
        <w:t>（2）探矿权依法转为采矿权的可能性并</w:t>
      </w:r>
      <w:proofErr w:type="gramStart"/>
      <w:r>
        <w:t>作出</w:t>
      </w:r>
      <w:proofErr w:type="gramEnd"/>
      <w:r>
        <w:t>合理假设前提</w:t>
      </w:r>
      <w:r w:rsidR="003068F8">
        <w:t>；</w:t>
      </w:r>
    </w:p>
    <w:p w14:paraId="36484519" w14:textId="4AA24DC0" w:rsidR="008C40AA" w:rsidRDefault="008C40AA" w:rsidP="008C40AA">
      <w:pPr>
        <w:pStyle w:val="13"/>
      </w:pPr>
      <w:r>
        <w:t>（3）勘查成本与探明资源储量的对应关系对评估结论的影响。</w:t>
      </w:r>
    </w:p>
    <w:p w14:paraId="0D8FB1DE" w14:textId="17E9A9D0" w:rsidR="008C40AA" w:rsidRDefault="003B2FB1" w:rsidP="008C40AA">
      <w:pPr>
        <w:pStyle w:val="13"/>
        <w:ind w:firstLine="482"/>
      </w:pPr>
      <w:r w:rsidRPr="003B2FB1">
        <w:rPr>
          <w:rFonts w:hint="eastAsia"/>
          <w:b/>
        </w:rPr>
        <w:t xml:space="preserve">第三十八条 </w:t>
      </w:r>
      <w:r w:rsidR="008C40AA">
        <w:t>矿业权抵押评估可以利用专业报告确定评估参数，但应当分析专业报告的可靠性、时效性。</w:t>
      </w:r>
    </w:p>
    <w:p w14:paraId="5CA746B2" w14:textId="05C1E239" w:rsidR="008C40AA" w:rsidRDefault="003B2FB1" w:rsidP="008C40AA">
      <w:pPr>
        <w:pStyle w:val="13"/>
        <w:ind w:firstLine="482"/>
      </w:pPr>
      <w:r w:rsidRPr="003B2FB1">
        <w:rPr>
          <w:b/>
        </w:rPr>
        <w:t xml:space="preserve">第三十九条 </w:t>
      </w:r>
      <w:r w:rsidR="008C40AA">
        <w:t>根据评估对象的特点、矿产勘查开发阶段、价值类型、资料收集情况等相关条件，分析市场法、收益法和成本法三种资产评估基本方法的适用性。恰当选择勘查成本效用法、地质</w:t>
      </w:r>
      <w:proofErr w:type="gramStart"/>
      <w:r w:rsidR="008C40AA">
        <w:t>要素评序法</w:t>
      </w:r>
      <w:proofErr w:type="gramEnd"/>
      <w:r w:rsidR="008C40AA">
        <w:t>、折现现金流量法、折现现金流量风险系数调整法、可比销售法、单位面积探矿</w:t>
      </w:r>
      <w:proofErr w:type="gramStart"/>
      <w:r w:rsidR="008C40AA">
        <w:t>权价值</w:t>
      </w:r>
      <w:proofErr w:type="gramEnd"/>
      <w:r w:rsidR="008C40AA">
        <w:t>评判法、资源品级探矿</w:t>
      </w:r>
      <w:proofErr w:type="gramStart"/>
      <w:r w:rsidR="008C40AA">
        <w:t>权价值</w:t>
      </w:r>
      <w:proofErr w:type="gramEnd"/>
      <w:r w:rsidR="008C40AA">
        <w:t>估算法等具体评估方法。</w:t>
      </w:r>
    </w:p>
    <w:p w14:paraId="18500B95" w14:textId="41679990" w:rsidR="008C40AA" w:rsidRDefault="003B2FB1" w:rsidP="008C40AA">
      <w:pPr>
        <w:pStyle w:val="13"/>
        <w:ind w:firstLine="482"/>
      </w:pPr>
      <w:r w:rsidRPr="003B2FB1">
        <w:rPr>
          <w:b/>
        </w:rPr>
        <w:t xml:space="preserve">第四十条 </w:t>
      </w:r>
      <w:r w:rsidR="008C40AA">
        <w:t>采用收益法评估矿业权时，应当关注矿产资源储量的利用和变化情况。包括矿产资源储量报告的评审备案情况、有偿处置价款缴纳情况、未处置部分储量对应的价款承担方、内蕴经济储量的可利用程度、生产动用储量等。</w:t>
      </w:r>
    </w:p>
    <w:p w14:paraId="51D922B4" w14:textId="30DB9854" w:rsidR="008C40AA" w:rsidRDefault="008C40AA" w:rsidP="008C40AA">
      <w:pPr>
        <w:pStyle w:val="13"/>
      </w:pPr>
      <w:r>
        <w:t>结合有效的设计文件资料、批准动用储量和对生产规模和保护性开采的相关规定，合理确定生产能力、收益期限和建设需要的资本性支出。</w:t>
      </w:r>
    </w:p>
    <w:p w14:paraId="1215297D" w14:textId="42D6D4CE" w:rsidR="008C40AA" w:rsidRDefault="003B2FB1" w:rsidP="008C40AA">
      <w:pPr>
        <w:pStyle w:val="13"/>
        <w:ind w:firstLine="482"/>
      </w:pPr>
      <w:r w:rsidRPr="003B2FB1">
        <w:rPr>
          <w:rFonts w:hint="eastAsia"/>
          <w:b/>
        </w:rPr>
        <w:t xml:space="preserve">第四十一条 </w:t>
      </w:r>
      <w:r w:rsidR="008C40AA">
        <w:t>采用成本法评估探矿权时，应当根据《矿产资源勘查许可证》载明的目标矿种，确定相关勘查实物工作作为费用项目。根据相关矿种勘查规范要求，确定有效实物工作量。</w:t>
      </w:r>
    </w:p>
    <w:p w14:paraId="50E54892" w14:textId="2D93DA79" w:rsidR="008C40AA" w:rsidRDefault="003B2FB1" w:rsidP="008C40AA">
      <w:pPr>
        <w:pStyle w:val="13"/>
        <w:ind w:firstLine="482"/>
      </w:pPr>
      <w:r w:rsidRPr="003B2FB1">
        <w:rPr>
          <w:rFonts w:hint="eastAsia"/>
          <w:b/>
        </w:rPr>
        <w:t xml:space="preserve">第四十二条 </w:t>
      </w:r>
      <w:r w:rsidR="008C40AA">
        <w:t>采用市场法评估矿业权时，应当考虑到不同的矿产地和勘查区，其矿体赋存状态及其开采技术条件、矿石特征及其选（冶）加工条件、矿山建设外部条件等的差异，对可比对象选择的重大影响。</w:t>
      </w:r>
    </w:p>
    <w:p w14:paraId="071DF0AB" w14:textId="589EACD5" w:rsidR="008C40AA" w:rsidRDefault="003B2FB1" w:rsidP="008C40AA">
      <w:pPr>
        <w:pStyle w:val="13"/>
        <w:ind w:firstLine="482"/>
      </w:pPr>
      <w:r w:rsidRPr="003B2FB1">
        <w:rPr>
          <w:rFonts w:hint="eastAsia"/>
          <w:b/>
        </w:rPr>
        <w:t xml:space="preserve">第四十三条 </w:t>
      </w:r>
      <w:r w:rsidR="008C40AA">
        <w:t>评估报告中应当披露可能存在的应交未交的矿业权价款对矿业权评估结论的影响。</w:t>
      </w:r>
    </w:p>
    <w:p w14:paraId="22A68B9E" w14:textId="77777777" w:rsidR="008C40AA" w:rsidRPr="00793E5D" w:rsidRDefault="008C40AA" w:rsidP="00793E5D">
      <w:pPr>
        <w:pStyle w:val="ab"/>
        <w:spacing w:before="62" w:after="62"/>
        <w:ind w:firstLine="482"/>
        <w:rPr>
          <w:rStyle w:val="ac"/>
        </w:rPr>
      </w:pPr>
      <w:r>
        <w:lastRenderedPageBreak/>
        <w:t>5、林权资产抵押评估</w:t>
      </w:r>
    </w:p>
    <w:p w14:paraId="6A46E86A" w14:textId="7D39F216" w:rsidR="008C40AA" w:rsidRDefault="003B2FB1" w:rsidP="008C40AA">
      <w:pPr>
        <w:pStyle w:val="13"/>
        <w:ind w:firstLine="482"/>
      </w:pPr>
      <w:r w:rsidRPr="003B2FB1">
        <w:rPr>
          <w:b/>
        </w:rPr>
        <w:t xml:space="preserve">第四十四条 </w:t>
      </w:r>
      <w:r w:rsidR="008C40AA">
        <w:t>可抵押林权资产包括用材林、经济林、薪炭林的林木所有权和使用权及相应林地使用权；用材林、经济林、薪炭林的采伐迹地、火烧迹地的林地使用权；国家规定可以抵押的其他森林、林木所有权、使用权和林地使用权。</w:t>
      </w:r>
    </w:p>
    <w:p w14:paraId="3D4F174E" w14:textId="2B987825" w:rsidR="008C40AA" w:rsidRDefault="003B2FB1" w:rsidP="008C40AA">
      <w:pPr>
        <w:pStyle w:val="13"/>
        <w:ind w:firstLine="482"/>
      </w:pPr>
      <w:r w:rsidRPr="003B2FB1">
        <w:rPr>
          <w:rFonts w:hint="eastAsia"/>
          <w:b/>
        </w:rPr>
        <w:t xml:space="preserve">第四十五条 </w:t>
      </w:r>
      <w:r w:rsidR="008C40AA">
        <w:rPr>
          <w:rFonts w:hint="eastAsia"/>
        </w:rPr>
        <w:t>应当注意以下特殊事项对评估结论的影响：</w:t>
      </w:r>
    </w:p>
    <w:p w14:paraId="1E3DDB49" w14:textId="53FD1360" w:rsidR="008C40AA" w:rsidRDefault="008C40AA" w:rsidP="008C40AA">
      <w:pPr>
        <w:pStyle w:val="13"/>
      </w:pPr>
      <w:r>
        <w:t>（一）林权资产可能存在的权属争议；</w:t>
      </w:r>
    </w:p>
    <w:p w14:paraId="46125217" w14:textId="76C97CF7" w:rsidR="008C40AA" w:rsidRDefault="008C40AA" w:rsidP="008C40AA">
      <w:pPr>
        <w:pStyle w:val="13"/>
      </w:pPr>
      <w:r>
        <w:t>（二）在评估基准日后，林权资产经营方式、经营强度和使用目的变动；</w:t>
      </w:r>
    </w:p>
    <w:p w14:paraId="47E41CA3" w14:textId="70F97C17" w:rsidR="008C40AA" w:rsidRDefault="008C40AA" w:rsidP="008C40AA">
      <w:pPr>
        <w:pStyle w:val="13"/>
      </w:pPr>
      <w:r>
        <w:t>（三）法律法规、林业政策对林权资产评估结论的影响</w:t>
      </w:r>
    </w:p>
    <w:p w14:paraId="152B82B8" w14:textId="46654914" w:rsidR="008C40AA" w:rsidRDefault="008C40AA" w:rsidP="008C40AA">
      <w:pPr>
        <w:pStyle w:val="13"/>
      </w:pPr>
      <w:r>
        <w:t>（四）林地使用权和林木使用权取得的方式和使用期限不同对林权资产评估结论的影响；</w:t>
      </w:r>
    </w:p>
    <w:p w14:paraId="414276BB" w14:textId="4B99B8D2" w:rsidR="008C40AA" w:rsidRDefault="008C40AA" w:rsidP="008C40AA">
      <w:pPr>
        <w:pStyle w:val="13"/>
      </w:pPr>
      <w:r>
        <w:t>（五）林权资产规模经营条件的不同对林权资产评估结论的影响；</w:t>
      </w:r>
    </w:p>
    <w:p w14:paraId="2DD1AC04" w14:textId="2D3A78AC" w:rsidR="008C40AA" w:rsidRDefault="008C40AA" w:rsidP="008C40AA">
      <w:pPr>
        <w:pStyle w:val="13"/>
      </w:pPr>
      <w:r>
        <w:t>（六）林权资源资产清单是否满足林权资源资产评估的需要。</w:t>
      </w:r>
    </w:p>
    <w:p w14:paraId="5FC0E540" w14:textId="77777777" w:rsidR="008C40AA" w:rsidRDefault="008C40AA" w:rsidP="00793E5D">
      <w:pPr>
        <w:pStyle w:val="ab"/>
        <w:spacing w:before="62" w:after="62"/>
        <w:ind w:firstLine="482"/>
      </w:pPr>
      <w:r>
        <w:t>6、知识产权质押评估</w:t>
      </w:r>
    </w:p>
    <w:p w14:paraId="0627B340" w14:textId="71464DBF" w:rsidR="008C40AA" w:rsidRDefault="003B2FB1" w:rsidP="008C40AA">
      <w:pPr>
        <w:pStyle w:val="13"/>
        <w:ind w:firstLine="482"/>
      </w:pPr>
      <w:r w:rsidRPr="003B2FB1">
        <w:rPr>
          <w:b/>
        </w:rPr>
        <w:t xml:space="preserve">第四十六条 </w:t>
      </w:r>
      <w:r w:rsidR="008C40AA">
        <w:t>应该明确出质人的姓名或名称、出质知识产权的种类、名称、数量、范围、法律状态及法定有效期限，当事人约定的其他事项。</w:t>
      </w:r>
    </w:p>
    <w:p w14:paraId="3C14606A" w14:textId="3857856B" w:rsidR="008C40AA" w:rsidRDefault="008C40AA" w:rsidP="008C40AA">
      <w:pPr>
        <w:pStyle w:val="13"/>
      </w:pPr>
      <w:r>
        <w:t>对于同一出质人的在相同领域内注册的商标应一并纳入评估范围。</w:t>
      </w:r>
    </w:p>
    <w:p w14:paraId="74C384E4" w14:textId="4072E9C6" w:rsidR="008C40AA" w:rsidRDefault="003B2FB1" w:rsidP="008C40AA">
      <w:pPr>
        <w:pStyle w:val="13"/>
        <w:ind w:firstLine="482"/>
      </w:pPr>
      <w:r w:rsidRPr="003B2FB1">
        <w:rPr>
          <w:b/>
        </w:rPr>
        <w:t xml:space="preserve">第四十七条 </w:t>
      </w:r>
      <w:r w:rsidR="008C40AA">
        <w:t>应当对评估对象转让和出质的合法性、时效性、可分割性设定合理的前提；对评估对象对应企业未来经营状况设定合理假设。</w:t>
      </w:r>
    </w:p>
    <w:p w14:paraId="0BCE1C7D" w14:textId="07A50F3C" w:rsidR="008C40AA" w:rsidRDefault="008C40AA" w:rsidP="008C40AA">
      <w:pPr>
        <w:pStyle w:val="13"/>
        <w:ind w:firstLine="482"/>
      </w:pPr>
      <w:r w:rsidRPr="003B2FB1">
        <w:rPr>
          <w:rFonts w:hint="eastAsia"/>
          <w:b/>
          <w:bCs/>
        </w:rPr>
        <w:t>第四十八</w:t>
      </w:r>
      <w:r w:rsidR="00793E5D" w:rsidRPr="003B2FB1">
        <w:rPr>
          <w:rFonts w:hint="eastAsia"/>
          <w:b/>
          <w:bCs/>
        </w:rPr>
        <w:t>条</w:t>
      </w:r>
      <w:r w:rsidR="00793E5D">
        <w:rPr>
          <w:rFonts w:hint="eastAsia"/>
        </w:rPr>
        <w:t xml:space="preserve"> </w:t>
      </w:r>
      <w:r>
        <w:rPr>
          <w:rFonts w:hint="eastAsia"/>
        </w:rPr>
        <w:t>应当关注同一权利人控制的与评估对象同类型的其他知识产权情况，并在评估报告中予以披露。</w:t>
      </w:r>
    </w:p>
    <w:p w14:paraId="7D278C0C" w14:textId="77777777" w:rsidR="008C40AA" w:rsidRDefault="008C40AA" w:rsidP="008C40AA">
      <w:pPr>
        <w:pStyle w:val="13"/>
      </w:pPr>
      <w:r>
        <w:rPr>
          <w:rFonts w:hint="eastAsia"/>
        </w:rPr>
        <w:t>对于评估对象为实用新型专利和外观设计专利的，应当要求委托方提供专利检索报告。</w:t>
      </w:r>
    </w:p>
    <w:p w14:paraId="7134A1BE" w14:textId="77777777" w:rsidR="008C40AA" w:rsidRDefault="008C40AA" w:rsidP="008C40AA">
      <w:pPr>
        <w:pStyle w:val="13"/>
      </w:pPr>
      <w:r>
        <w:rPr>
          <w:rFonts w:hint="eastAsia"/>
        </w:rPr>
        <w:t>对于评估对象已经转让或许可给他人使用的，应当收集相关资料，并分析其对评估结论的影响。</w:t>
      </w:r>
    </w:p>
    <w:p w14:paraId="0B2DD9C2" w14:textId="3640F63E" w:rsidR="008C40AA" w:rsidRDefault="008C40AA" w:rsidP="008C40AA">
      <w:pPr>
        <w:pStyle w:val="13"/>
        <w:ind w:firstLine="482"/>
      </w:pPr>
      <w:r w:rsidRPr="003B2FB1">
        <w:rPr>
          <w:rFonts w:hint="eastAsia"/>
          <w:b/>
          <w:bCs/>
        </w:rPr>
        <w:t>第四十九</w:t>
      </w:r>
      <w:r w:rsidR="00793E5D" w:rsidRPr="003B2FB1">
        <w:rPr>
          <w:rFonts w:hint="eastAsia"/>
          <w:b/>
          <w:bCs/>
        </w:rPr>
        <w:t>条</w:t>
      </w:r>
      <w:r w:rsidR="00793E5D">
        <w:rPr>
          <w:rFonts w:hint="eastAsia"/>
        </w:rPr>
        <w:t xml:space="preserve"> </w:t>
      </w:r>
      <w:r>
        <w:t>应当关注押品是否存在尚在有效期之内的许可第三方使用的许可协议，并考虑这些第三方使用许可协议对知识产权质押价值的影响。</w:t>
      </w:r>
    </w:p>
    <w:p w14:paraId="790791F5" w14:textId="77777777" w:rsidR="008C40AA" w:rsidRDefault="008C40AA" w:rsidP="00793E5D">
      <w:pPr>
        <w:pStyle w:val="ab"/>
        <w:spacing w:before="62" w:after="62"/>
        <w:ind w:firstLine="482"/>
      </w:pPr>
      <w:r>
        <w:t>7、股权（股票）质押评估</w:t>
      </w:r>
    </w:p>
    <w:p w14:paraId="327763D5" w14:textId="537642F5" w:rsidR="008C40AA" w:rsidRDefault="008C40AA" w:rsidP="008C40AA">
      <w:pPr>
        <w:pStyle w:val="13"/>
      </w:pPr>
      <w:r>
        <w:rPr>
          <w:rFonts w:hint="eastAsia"/>
        </w:rPr>
        <w:t>第五十</w:t>
      </w:r>
      <w:r w:rsidR="00793E5D">
        <w:rPr>
          <w:rFonts w:hint="eastAsia"/>
        </w:rPr>
        <w:t xml:space="preserve">条 </w:t>
      </w:r>
      <w:r>
        <w:rPr>
          <w:rFonts w:hint="eastAsia"/>
        </w:rPr>
        <w:t>应当核实质押股权出质人的姓名或名称、出质股权所在公司的名称、出质股权的数额、出质股权的类型（上市或非上市公司股权，流通估或限制流通股，普通股或优先股）。</w:t>
      </w:r>
    </w:p>
    <w:p w14:paraId="293DB7B9" w14:textId="6D6443A7" w:rsidR="008C40AA" w:rsidRDefault="008C40AA" w:rsidP="008C40AA">
      <w:pPr>
        <w:pStyle w:val="13"/>
        <w:ind w:firstLine="482"/>
      </w:pPr>
      <w:r w:rsidRPr="003B2FB1">
        <w:rPr>
          <w:rFonts w:hint="eastAsia"/>
          <w:b/>
          <w:bCs/>
        </w:rPr>
        <w:t>第五十一</w:t>
      </w:r>
      <w:r w:rsidR="00793E5D" w:rsidRPr="003B2FB1">
        <w:rPr>
          <w:rFonts w:hint="eastAsia"/>
          <w:b/>
          <w:bCs/>
        </w:rPr>
        <w:t>条</w:t>
      </w:r>
      <w:r w:rsidR="00793E5D">
        <w:rPr>
          <w:rFonts w:hint="eastAsia"/>
        </w:rPr>
        <w:t xml:space="preserve"> </w:t>
      </w:r>
      <w:r>
        <w:rPr>
          <w:rFonts w:hint="eastAsia"/>
        </w:rPr>
        <w:t>股权质押评估应当谨慎使用市场价值以外的价值类型。</w:t>
      </w:r>
    </w:p>
    <w:p w14:paraId="3FBE09C7" w14:textId="02D88859" w:rsidR="008C40AA" w:rsidRDefault="008C40AA" w:rsidP="008C40AA">
      <w:pPr>
        <w:pStyle w:val="13"/>
        <w:ind w:firstLine="482"/>
      </w:pPr>
      <w:r w:rsidRPr="003B2FB1">
        <w:rPr>
          <w:rFonts w:hint="eastAsia"/>
          <w:b/>
          <w:bCs/>
        </w:rPr>
        <w:t>第五十二</w:t>
      </w:r>
      <w:r w:rsidR="00793E5D" w:rsidRPr="003B2FB1">
        <w:rPr>
          <w:rFonts w:hint="eastAsia"/>
          <w:b/>
          <w:bCs/>
        </w:rPr>
        <w:t>条</w:t>
      </w:r>
      <w:r w:rsidR="00793E5D">
        <w:rPr>
          <w:rFonts w:hint="eastAsia"/>
        </w:rPr>
        <w:t xml:space="preserve"> </w:t>
      </w:r>
      <w:r>
        <w:rPr>
          <w:rFonts w:hint="eastAsia"/>
        </w:rPr>
        <w:t>应当对评估对象转让和出质的合法性、时效性、可分割性设定合理的前提；对评估对象对应企业未来经营状况设定合理假设。</w:t>
      </w:r>
    </w:p>
    <w:p w14:paraId="7889DB66" w14:textId="63366ECB" w:rsidR="008C40AA" w:rsidRDefault="008C40AA" w:rsidP="008C40AA">
      <w:pPr>
        <w:pStyle w:val="13"/>
        <w:ind w:firstLine="482"/>
      </w:pPr>
      <w:r w:rsidRPr="003B2FB1">
        <w:rPr>
          <w:rFonts w:hint="eastAsia"/>
          <w:b/>
          <w:bCs/>
        </w:rPr>
        <w:lastRenderedPageBreak/>
        <w:t>第五十三</w:t>
      </w:r>
      <w:r w:rsidR="00793E5D" w:rsidRPr="003B2FB1">
        <w:rPr>
          <w:rFonts w:hint="eastAsia"/>
          <w:b/>
          <w:bCs/>
        </w:rPr>
        <w:t>条</w:t>
      </w:r>
      <w:r w:rsidR="00793E5D">
        <w:rPr>
          <w:rFonts w:hint="eastAsia"/>
        </w:rPr>
        <w:t xml:space="preserve"> </w:t>
      </w:r>
      <w:r>
        <w:rPr>
          <w:rFonts w:hint="eastAsia"/>
        </w:rPr>
        <w:t>应当根据质押股权对应企业经营状况、质押权人行权能力、质押保证措施、约定或可能的行权方式等，合理选择收益法、成本法、市场法和期权法一种或多种评估方法。</w:t>
      </w:r>
    </w:p>
    <w:p w14:paraId="5BB2DC87" w14:textId="77777777" w:rsidR="008C40AA" w:rsidRDefault="008C40AA" w:rsidP="008C40AA">
      <w:pPr>
        <w:pStyle w:val="13"/>
      </w:pPr>
      <w:r>
        <w:rPr>
          <w:rFonts w:hint="eastAsia"/>
        </w:rPr>
        <w:t>对于持续经营或质押权行使后按原方式持续经营的企业股权的评估，应当在按照《资产评估准则——企业价值》的要求进行质押股权评估基础上，考虑质押权行权的相关成本。</w:t>
      </w:r>
    </w:p>
    <w:p w14:paraId="77C30646" w14:textId="77777777" w:rsidR="008C40AA" w:rsidRDefault="008C40AA" w:rsidP="008C40AA">
      <w:pPr>
        <w:pStyle w:val="13"/>
      </w:pPr>
      <w:r>
        <w:rPr>
          <w:rFonts w:hint="eastAsia"/>
        </w:rPr>
        <w:t>对于有活跃交易市场的质押股权评估，应当优先考虑市场法评估，并合理考虑交易数量、股权转让限制</w:t>
      </w:r>
      <w:proofErr w:type="gramStart"/>
      <w:r>
        <w:rPr>
          <w:rFonts w:hint="eastAsia"/>
        </w:rPr>
        <w:t>条件对押品</w:t>
      </w:r>
      <w:proofErr w:type="gramEnd"/>
      <w:r>
        <w:rPr>
          <w:rFonts w:hint="eastAsia"/>
        </w:rPr>
        <w:t>价值的影响。</w:t>
      </w:r>
    </w:p>
    <w:p w14:paraId="0FD4A677" w14:textId="0D7EB5FF" w:rsidR="008C40AA" w:rsidRDefault="008C40AA" w:rsidP="008C40AA">
      <w:pPr>
        <w:pStyle w:val="13"/>
        <w:ind w:firstLine="482"/>
      </w:pPr>
      <w:r w:rsidRPr="003B2FB1">
        <w:rPr>
          <w:rFonts w:hint="eastAsia"/>
          <w:b/>
          <w:bCs/>
        </w:rPr>
        <w:t>第五十四</w:t>
      </w:r>
      <w:r w:rsidR="00793E5D" w:rsidRPr="003B2FB1">
        <w:rPr>
          <w:rFonts w:hint="eastAsia"/>
          <w:b/>
          <w:bCs/>
        </w:rPr>
        <w:t>条</w:t>
      </w:r>
      <w:r w:rsidR="00793E5D">
        <w:rPr>
          <w:rFonts w:hint="eastAsia"/>
        </w:rPr>
        <w:t xml:space="preserve"> </w:t>
      </w:r>
      <w:r>
        <w:rPr>
          <w:rFonts w:hint="eastAsia"/>
        </w:rPr>
        <w:t>应当关注评估对象同一质押人在出质股权所在公司股权质押情况、评估对象质押变更登记、撤销登记情况，并在评估报告中予以披露。</w:t>
      </w:r>
    </w:p>
    <w:p w14:paraId="6C02E098" w14:textId="74DADB7B" w:rsidR="008C40AA" w:rsidRDefault="008C40AA" w:rsidP="00793E5D">
      <w:pPr>
        <w:pStyle w:val="ab"/>
        <w:spacing w:before="62" w:after="62"/>
        <w:ind w:firstLine="482"/>
      </w:pPr>
      <w:r>
        <w:t>8、其他财产和权利的抵（质）押评估</w:t>
      </w:r>
    </w:p>
    <w:p w14:paraId="456F1E5B" w14:textId="5498CB7F" w:rsidR="008C40AA" w:rsidRDefault="008C40AA" w:rsidP="008C40AA">
      <w:pPr>
        <w:pStyle w:val="13"/>
        <w:ind w:firstLine="482"/>
      </w:pPr>
      <w:r w:rsidRPr="003B2FB1">
        <w:rPr>
          <w:b/>
          <w:bCs/>
        </w:rPr>
        <w:t>第五十五</w:t>
      </w:r>
      <w:r w:rsidR="00793E5D" w:rsidRPr="003B2FB1">
        <w:rPr>
          <w:b/>
          <w:bCs/>
        </w:rPr>
        <w:t>条</w:t>
      </w:r>
      <w:r w:rsidR="00793E5D">
        <w:t xml:space="preserve"> </w:t>
      </w:r>
      <w:r>
        <w:t>其他抵押物是指按照《担保法》规定的“其他财产”，包括下列内容：(1)个人、事业单位、社会团体和其他非企业组织所有的机械设备、牲畜等生产资料；(2)位于农村的个人私有房产；(3)个人所有的家具、家用电器、金银珠宝及其制品等生活资料；(4)其他除《担保法》第三十七条和第四十二条规定之外的财产。</w:t>
      </w:r>
    </w:p>
    <w:p w14:paraId="52EC5BB4" w14:textId="0D24BB22" w:rsidR="008C40AA" w:rsidRDefault="008C40AA" w:rsidP="008C40AA">
      <w:pPr>
        <w:pStyle w:val="13"/>
        <w:ind w:firstLine="482"/>
      </w:pPr>
      <w:r w:rsidRPr="003B2FB1">
        <w:rPr>
          <w:rFonts w:hint="eastAsia"/>
          <w:b/>
          <w:bCs/>
        </w:rPr>
        <w:t>第五十六</w:t>
      </w:r>
      <w:r w:rsidR="00793E5D" w:rsidRPr="003B2FB1">
        <w:rPr>
          <w:rFonts w:hint="eastAsia"/>
          <w:b/>
          <w:bCs/>
        </w:rPr>
        <w:t>条</w:t>
      </w:r>
      <w:r w:rsidR="00793E5D">
        <w:rPr>
          <w:rFonts w:hint="eastAsia"/>
        </w:rPr>
        <w:t xml:space="preserve"> </w:t>
      </w:r>
      <w:r>
        <w:t>其他质押物是指按照《担保法》规定的，</w:t>
      </w:r>
      <w:proofErr w:type="gramStart"/>
      <w:r>
        <w:t>本专家</w:t>
      </w:r>
      <w:proofErr w:type="gramEnd"/>
      <w:r>
        <w:t>提示已单独列示权利之外的其他权利，包括内容有：汇票、支票、本票、债券、存款单、仓单、提单；依法可以质押的其他权利。</w:t>
      </w:r>
    </w:p>
    <w:p w14:paraId="5086EFA4" w14:textId="04C39A9C" w:rsidR="008C40AA" w:rsidRDefault="008C40AA" w:rsidP="008C40AA">
      <w:pPr>
        <w:pStyle w:val="13"/>
        <w:ind w:firstLine="482"/>
      </w:pPr>
      <w:r w:rsidRPr="003B2FB1">
        <w:rPr>
          <w:b/>
          <w:bCs/>
        </w:rPr>
        <w:t>第五十七</w:t>
      </w:r>
      <w:r w:rsidR="00793E5D" w:rsidRPr="003B2FB1">
        <w:rPr>
          <w:b/>
          <w:bCs/>
        </w:rPr>
        <w:t>条</w:t>
      </w:r>
      <w:r w:rsidR="00793E5D">
        <w:t xml:space="preserve"> </w:t>
      </w:r>
      <w:r>
        <w:t>押品评估时应当关注财产的权属和状况，包括： (1)所有权为个人的，应载明其姓名、性别、出生日期、身份证明号码、工作单位、住址、联系方式等；所有权为法人或其他组织的，应载明法人或其他组织的名称、地址、法定代表人或负责人和代理人的姓名、性别、职务、联系方式；（2）抵押物的名称、数量、质量、状况、所在地、所有权或者使用权权属；（3）拟抵押担保的范围；（4）抵押物</w:t>
      </w:r>
      <w:proofErr w:type="gramStart"/>
      <w:r>
        <w:t>属再次</w:t>
      </w:r>
      <w:proofErr w:type="gramEnd"/>
      <w:r>
        <w:t>抵押的，应载明再次抵押的情况；（5）其他需要说明的权属相关问题。</w:t>
      </w:r>
    </w:p>
    <w:p w14:paraId="63A44BF4" w14:textId="7D976FEE" w:rsidR="008C40AA" w:rsidRDefault="008C40AA" w:rsidP="008C40AA">
      <w:pPr>
        <w:pStyle w:val="13"/>
        <w:ind w:firstLine="482"/>
      </w:pPr>
      <w:r w:rsidRPr="003B2FB1">
        <w:rPr>
          <w:rFonts w:hint="eastAsia"/>
          <w:b/>
          <w:bCs/>
        </w:rPr>
        <w:t>第五十八</w:t>
      </w:r>
      <w:r w:rsidR="00793E5D" w:rsidRPr="003B2FB1">
        <w:rPr>
          <w:rFonts w:hint="eastAsia"/>
          <w:b/>
          <w:bCs/>
        </w:rPr>
        <w:t>条</w:t>
      </w:r>
      <w:r w:rsidR="00793E5D">
        <w:rPr>
          <w:rFonts w:hint="eastAsia"/>
        </w:rPr>
        <w:t xml:space="preserve"> </w:t>
      </w:r>
      <w:r>
        <w:t>应结合其他财产的性质、特点，设定合理的假设和前提，选择适当的方法进行评估，应当考虑相关政策、规定、约定，对于抵押物价值实现的影响。</w:t>
      </w:r>
    </w:p>
    <w:p w14:paraId="528AD30C" w14:textId="77777777" w:rsidR="008C40AA" w:rsidRDefault="008C40AA" w:rsidP="00AF7342">
      <w:pPr>
        <w:pStyle w:val="a9"/>
        <w:spacing w:before="62" w:after="62"/>
      </w:pPr>
      <w:r>
        <w:rPr>
          <w:rFonts w:hint="eastAsia"/>
        </w:rPr>
        <w:t>《资产评估操作专家提示——抵（质）押品评估（征求意见稿）》起草说明</w:t>
      </w:r>
    </w:p>
    <w:p w14:paraId="56F981E1" w14:textId="77777777" w:rsidR="008C40AA" w:rsidRDefault="008C40AA" w:rsidP="00793E5D">
      <w:pPr>
        <w:pStyle w:val="ab"/>
        <w:spacing w:before="62" w:after="62"/>
        <w:ind w:firstLine="482"/>
      </w:pPr>
      <w:r>
        <w:rPr>
          <w:rFonts w:hint="eastAsia"/>
        </w:rPr>
        <w:t>一、制定专家提示的必要性</w:t>
      </w:r>
    </w:p>
    <w:p w14:paraId="3CF86BA8" w14:textId="77777777" w:rsidR="008C40AA" w:rsidRDefault="008C40AA" w:rsidP="008C40AA">
      <w:pPr>
        <w:pStyle w:val="13"/>
      </w:pPr>
      <w:r>
        <w:rPr>
          <w:rFonts w:hint="eastAsia"/>
        </w:rPr>
        <w:t>随着我国金融体制的改革，商业银行贷款抵（质）押的模式进一步丰富，押品的种类多样化。同时，其他形式的融资，如信托、小额信贷等更加灵活的形式也日益增加。从原来的主要以不动产抵押为主，发展为动产、知识产权、矿业权、林权、股权、收费权抵（质）押等多种形式。抵（质）押品的价值越来越多的需要第三</w:t>
      </w:r>
      <w:proofErr w:type="gramStart"/>
      <w:r>
        <w:rPr>
          <w:rFonts w:hint="eastAsia"/>
        </w:rPr>
        <w:t>方专业</w:t>
      </w:r>
      <w:proofErr w:type="gramEnd"/>
      <w:r>
        <w:rPr>
          <w:rFonts w:hint="eastAsia"/>
        </w:rPr>
        <w:t>机构出具专业报告，作为抵押方和融资方确定抵质押品（以下简称押品）价值的主要依据。</w:t>
      </w:r>
      <w:r>
        <w:rPr>
          <w:rFonts w:hint="eastAsia"/>
        </w:rPr>
        <w:lastRenderedPageBreak/>
        <w:t>通过第三方评估机构对抵押品进行评估，起到了保护抵质押方和融资方各自合法权益的作用，同时也有利于我国金融秩序的稳定。</w:t>
      </w:r>
    </w:p>
    <w:p w14:paraId="2146DA7C" w14:textId="77777777" w:rsidR="008C40AA" w:rsidRDefault="008C40AA" w:rsidP="008C40AA">
      <w:pPr>
        <w:pStyle w:val="13"/>
      </w:pPr>
      <w:r>
        <w:rPr>
          <w:rFonts w:hint="eastAsia"/>
        </w:rPr>
        <w:t>押品评估与其他经济行为的评估业务相比，具有其特殊性。同一件押品，在初次贷款、连续贷款、变现押品时，需要按照有不同的技术路径和价值基础进行估算。</w:t>
      </w:r>
    </w:p>
    <w:p w14:paraId="36388158" w14:textId="77777777" w:rsidR="008C40AA" w:rsidRDefault="008C40AA" w:rsidP="008C40AA">
      <w:pPr>
        <w:pStyle w:val="13"/>
      </w:pPr>
      <w:r>
        <w:rPr>
          <w:rFonts w:hint="eastAsia"/>
        </w:rPr>
        <w:t>涉及抵押、质押的法规很多，如《担保法》、《合同法》、《物权法》等法律和《土地登记办法》</w:t>
      </w:r>
      <w:proofErr w:type="gramStart"/>
      <w:r>
        <w:rPr>
          <w:rFonts w:hint="eastAsia"/>
        </w:rPr>
        <w:t>等管类资产</w:t>
      </w:r>
      <w:proofErr w:type="gramEnd"/>
      <w:r>
        <w:rPr>
          <w:rFonts w:hint="eastAsia"/>
        </w:rPr>
        <w:t>抵（质）</w:t>
      </w:r>
      <w:proofErr w:type="gramStart"/>
      <w:r>
        <w:rPr>
          <w:rFonts w:hint="eastAsia"/>
        </w:rPr>
        <w:t>押登记</w:t>
      </w:r>
      <w:proofErr w:type="gramEnd"/>
      <w:r>
        <w:rPr>
          <w:rFonts w:hint="eastAsia"/>
        </w:rPr>
        <w:t>规定，</w:t>
      </w:r>
      <w:proofErr w:type="gramStart"/>
      <w:r>
        <w:rPr>
          <w:rFonts w:hint="eastAsia"/>
        </w:rPr>
        <w:t>但对押品</w:t>
      </w:r>
      <w:proofErr w:type="gramEnd"/>
      <w:r>
        <w:rPr>
          <w:rFonts w:hint="eastAsia"/>
        </w:rPr>
        <w:t>的评估的规范非常少。因此，出台一项专家提示有利于对现阶段押品评估进行指导，以形成适应市场业务需求的逐渐规范化的押品评估路径。</w:t>
      </w:r>
    </w:p>
    <w:p w14:paraId="30C6CC96" w14:textId="77777777" w:rsidR="008C40AA" w:rsidRDefault="008C40AA" w:rsidP="00793E5D">
      <w:pPr>
        <w:pStyle w:val="ab"/>
        <w:spacing w:before="62" w:after="62"/>
        <w:ind w:firstLine="482"/>
      </w:pPr>
      <w:r>
        <w:rPr>
          <w:rFonts w:hint="eastAsia"/>
        </w:rPr>
        <w:t>二、国内外相关规范情况分析</w:t>
      </w:r>
    </w:p>
    <w:p w14:paraId="55A35222" w14:textId="77777777" w:rsidR="008C40AA" w:rsidRDefault="008C40AA" w:rsidP="008C40AA">
      <w:pPr>
        <w:pStyle w:val="13"/>
      </w:pPr>
      <w:r>
        <w:rPr>
          <w:rFonts w:hint="eastAsia"/>
        </w:rPr>
        <w:t>（一）国际评估界的规范</w:t>
      </w:r>
    </w:p>
    <w:p w14:paraId="7592D2AB" w14:textId="77777777" w:rsidR="008C40AA" w:rsidRDefault="008C40AA" w:rsidP="008C40AA">
      <w:pPr>
        <w:pStyle w:val="13"/>
      </w:pPr>
      <w:r>
        <w:rPr>
          <w:rFonts w:hint="eastAsia"/>
        </w:rPr>
        <w:t>欧洲评估准则中对不动产专门定义了抵押贷款价值，并在准则文件的技术附件中列示了欧盟关于不动产抵押评估的相关规定。国际评估准则评估应用“</w:t>
      </w:r>
      <w:r>
        <w:t>IVS310 以担保贷款为目的的不动产权益评估”中，采用市场价值类型，但说明可以设定特殊假设说明强制出售或限制出售等对市场价值的影响。</w:t>
      </w:r>
    </w:p>
    <w:p w14:paraId="1CA8CEAD" w14:textId="77777777" w:rsidR="008C40AA" w:rsidRDefault="008C40AA" w:rsidP="008C40AA">
      <w:pPr>
        <w:pStyle w:val="13"/>
      </w:pPr>
      <w:r>
        <w:rPr>
          <w:rFonts w:hint="eastAsia"/>
        </w:rPr>
        <w:t>（二）国内现有规范和研究成果</w:t>
      </w:r>
    </w:p>
    <w:p w14:paraId="130D93B3" w14:textId="77777777" w:rsidR="008C40AA" w:rsidRDefault="008C40AA" w:rsidP="008C40AA">
      <w:pPr>
        <w:pStyle w:val="13"/>
      </w:pPr>
      <w:r>
        <w:rPr>
          <w:rFonts w:hint="eastAsia"/>
        </w:rPr>
        <w:t>国内现有规范主要有中国房地产估价师学会编制的《房地产抵押估价指导意见》。该指导意见仅适用于房地产抵押，采用的价值定义为“房地产抵押价值为抵押房地产在估价时点的市场价值，等于假定未设立法定优先受偿权利下的市场价值减去房地产估价师知悉的法定优先受偿款。”与欧洲评估准则基本一致。</w:t>
      </w:r>
    </w:p>
    <w:p w14:paraId="0AE7ED22" w14:textId="77777777" w:rsidR="008C40AA" w:rsidRDefault="008C40AA" w:rsidP="008C40AA">
      <w:pPr>
        <w:pStyle w:val="13"/>
      </w:pPr>
      <w:r>
        <w:rPr>
          <w:rFonts w:hint="eastAsia"/>
        </w:rPr>
        <w:t>一些研究文章讨论了押品评估面临的主要问题，但并没有理论基础稳定、与现有评估路径兼容、操作性很强的结论和建议。</w:t>
      </w:r>
    </w:p>
    <w:p w14:paraId="7E80E02E" w14:textId="77777777" w:rsidR="008C40AA" w:rsidRDefault="008C40AA" w:rsidP="00793E5D">
      <w:pPr>
        <w:pStyle w:val="ab"/>
        <w:spacing w:before="62" w:after="62"/>
        <w:ind w:firstLine="482"/>
      </w:pPr>
      <w:r>
        <w:rPr>
          <w:rFonts w:hint="eastAsia"/>
        </w:rPr>
        <w:t>三、起草指导思想</w:t>
      </w:r>
    </w:p>
    <w:p w14:paraId="312532B5" w14:textId="77777777" w:rsidR="008C40AA" w:rsidRDefault="008C40AA" w:rsidP="008C40AA">
      <w:pPr>
        <w:pStyle w:val="13"/>
      </w:pPr>
      <w:proofErr w:type="gramStart"/>
      <w:r>
        <w:rPr>
          <w:rFonts w:hint="eastAsia"/>
        </w:rPr>
        <w:t>本专家</w:t>
      </w:r>
      <w:proofErr w:type="gramEnd"/>
      <w:r>
        <w:rPr>
          <w:rFonts w:hint="eastAsia"/>
        </w:rPr>
        <w:t>提示的指导思想是，根据押品评估的特点、业务需求和监管要求，</w:t>
      </w:r>
      <w:proofErr w:type="gramStart"/>
      <w:r>
        <w:rPr>
          <w:rFonts w:hint="eastAsia"/>
        </w:rPr>
        <w:t>对押品</w:t>
      </w:r>
      <w:proofErr w:type="gramEnd"/>
      <w:r>
        <w:rPr>
          <w:rFonts w:hint="eastAsia"/>
        </w:rPr>
        <w:t>评估中现有准则体系中没有细化但应予关注的问题提供指导意见。</w:t>
      </w:r>
    </w:p>
    <w:p w14:paraId="7B17161A" w14:textId="77777777" w:rsidR="008C40AA" w:rsidRDefault="008C40AA" w:rsidP="008C40AA">
      <w:pPr>
        <w:pStyle w:val="13"/>
      </w:pPr>
      <w:r>
        <w:rPr>
          <w:rFonts w:hint="eastAsia"/>
        </w:rPr>
        <w:t>对于抵（质）押评估这一特殊目的评估来说，评估工作有必要对整个抵押</w:t>
      </w:r>
      <w:proofErr w:type="gramStart"/>
      <w:r>
        <w:rPr>
          <w:rFonts w:hint="eastAsia"/>
        </w:rPr>
        <w:t>过程中押品</w:t>
      </w:r>
      <w:proofErr w:type="gramEnd"/>
      <w:r>
        <w:rPr>
          <w:rFonts w:hint="eastAsia"/>
        </w:rPr>
        <w:t>价值进行判断。因此完善的抵押评估工作应该是涉及到抵押设立时，抵押进行中，押品处置时三个阶段。本评估专家提示旨在适用于各类常见的押品评估，提出在价值类型、评估程序、不同阶段、各类资产评估关注点上应当关注的原则性建议。</w:t>
      </w:r>
    </w:p>
    <w:p w14:paraId="3FB7E72B" w14:textId="77777777" w:rsidR="008C40AA" w:rsidRDefault="008C40AA" w:rsidP="00793E5D">
      <w:pPr>
        <w:pStyle w:val="ab"/>
        <w:spacing w:before="62" w:after="62"/>
        <w:ind w:firstLine="482"/>
      </w:pPr>
      <w:r>
        <w:rPr>
          <w:rFonts w:hint="eastAsia"/>
        </w:rPr>
        <w:t>四、起草过程</w:t>
      </w:r>
    </w:p>
    <w:p w14:paraId="0D2C430D" w14:textId="23D54303" w:rsidR="008C40AA" w:rsidRDefault="008C40AA" w:rsidP="008C40AA">
      <w:pPr>
        <w:pStyle w:val="13"/>
      </w:pPr>
      <w:r>
        <w:t>2013年4月立项。 2013年9月初提交初稿。2013年9月中旬，</w:t>
      </w:r>
      <w:proofErr w:type="gramStart"/>
      <w:r>
        <w:t>中评协</w:t>
      </w:r>
      <w:proofErr w:type="gramEnd"/>
      <w:r>
        <w:t>召开专家会论证初稿。后经多次讨论修改</w:t>
      </w:r>
      <w:r w:rsidR="003068F8">
        <w:t>，</w:t>
      </w:r>
      <w:r>
        <w:t>2014年9月中旬，完成征求意见稿。</w:t>
      </w:r>
    </w:p>
    <w:p w14:paraId="761508CF" w14:textId="77777777" w:rsidR="008C40AA" w:rsidRDefault="008C40AA" w:rsidP="00793E5D">
      <w:pPr>
        <w:pStyle w:val="ab"/>
        <w:spacing w:before="62" w:after="62"/>
        <w:ind w:firstLine="482"/>
      </w:pPr>
      <w:r>
        <w:rPr>
          <w:rFonts w:hint="eastAsia"/>
        </w:rPr>
        <w:t>五、起草中的主要意见和专家提示中的解决方式</w:t>
      </w:r>
    </w:p>
    <w:p w14:paraId="1FFFEB28" w14:textId="7516EE1A" w:rsidR="008C40AA" w:rsidRDefault="008C40AA" w:rsidP="008C40AA">
      <w:pPr>
        <w:pStyle w:val="13"/>
      </w:pPr>
      <w:r>
        <w:t>1、</w:t>
      </w:r>
      <w:proofErr w:type="gramStart"/>
      <w:r>
        <w:t>本专家</w:t>
      </w:r>
      <w:proofErr w:type="gramEnd"/>
      <w:r>
        <w:t>提示拟应用</w:t>
      </w:r>
      <w:proofErr w:type="gramStart"/>
      <w:r>
        <w:t>各类押品</w:t>
      </w:r>
      <w:proofErr w:type="gramEnd"/>
      <w:r>
        <w:t>价值评估，为银行、担保公司、信托公司、小额</w:t>
      </w:r>
      <w:r>
        <w:lastRenderedPageBreak/>
        <w:t>贷款公司、典当公司等多种报告使用者服务</w:t>
      </w:r>
      <w:r w:rsidR="003068F8">
        <w:t>，</w:t>
      </w:r>
    </w:p>
    <w:p w14:paraId="37ED1E0C" w14:textId="77777777" w:rsidR="008C40AA" w:rsidRDefault="008C40AA" w:rsidP="008C40AA">
      <w:pPr>
        <w:pStyle w:val="13"/>
      </w:pPr>
      <w:r>
        <w:t>2、因为涉及抵（质）押品管理的部门较多，如不动产（房地产管理）、动产（工商管理）、宅基地、机动车、股权（工商部门）、专利权（专利管理）、著作权（版权管理）、林权（林业管理）、矿权（国土资源管理）、航空器（民用航空管理）、船舶（船级社）、应收账款（征信管理）等，关于抵（质）</w:t>
      </w:r>
      <w:proofErr w:type="gramStart"/>
      <w:r>
        <w:t>押活动</w:t>
      </w:r>
      <w:proofErr w:type="gramEnd"/>
      <w:r>
        <w:t>的管理法律法规也各部相同。专家提示题目最终改为《抵（质）押品评估》。</w:t>
      </w:r>
    </w:p>
    <w:p w14:paraId="1EA674E6" w14:textId="77777777" w:rsidR="008C40AA" w:rsidRDefault="008C40AA" w:rsidP="008C40AA">
      <w:pPr>
        <w:pStyle w:val="13"/>
      </w:pPr>
      <w:r>
        <w:t>3、考虑到</w:t>
      </w:r>
      <w:proofErr w:type="gramStart"/>
      <w:r>
        <w:t>本专家</w:t>
      </w:r>
      <w:proofErr w:type="gramEnd"/>
      <w:r>
        <w:t>提示应用包括不动产的</w:t>
      </w:r>
      <w:proofErr w:type="gramStart"/>
      <w:r>
        <w:t>各类押品</w:t>
      </w:r>
      <w:proofErr w:type="gramEnd"/>
      <w:r>
        <w:t>价值评估，且《房地产抵押估价指导意见》采用的也是市场价值类型，</w:t>
      </w:r>
      <w:proofErr w:type="gramStart"/>
      <w:r>
        <w:t>本专家</w:t>
      </w:r>
      <w:proofErr w:type="gramEnd"/>
      <w:r>
        <w:t>提示也采用市场价值标准，抵押评估的特殊性采用设定评估假设和前提的方式解决。</w:t>
      </w:r>
    </w:p>
    <w:p w14:paraId="72DF5A6B" w14:textId="77777777" w:rsidR="008C40AA" w:rsidRDefault="008C40AA" w:rsidP="00793E5D">
      <w:pPr>
        <w:pStyle w:val="ab"/>
        <w:spacing w:before="62" w:after="62"/>
        <w:ind w:firstLine="482"/>
      </w:pPr>
      <w:r>
        <w:rPr>
          <w:rFonts w:hint="eastAsia"/>
        </w:rPr>
        <w:t>六、专家提示的主要创新和重要内容介绍</w:t>
      </w:r>
    </w:p>
    <w:p w14:paraId="7D9CA3EB" w14:textId="77777777" w:rsidR="008C40AA" w:rsidRDefault="008C40AA" w:rsidP="008C40AA">
      <w:pPr>
        <w:pStyle w:val="13"/>
      </w:pPr>
      <w:r>
        <w:t>1、实务中抵押贷款评估分为初评（贷前）、重估（贷中）和处置（违约）三种情形。经专家论证，</w:t>
      </w:r>
      <w:proofErr w:type="gramStart"/>
      <w:r>
        <w:t>本专家</w:t>
      </w:r>
      <w:proofErr w:type="gramEnd"/>
      <w:r>
        <w:t>提示最终以初评为基础编写。重估的方式由于依赖于各银行的具体要求，专家提示设置一条，原则上允许适当简化评估程序。处置评估则建议评估师参考金融不良资产的评估方法。</w:t>
      </w:r>
    </w:p>
    <w:p w14:paraId="7D4961AF" w14:textId="77777777" w:rsidR="008C40AA" w:rsidRDefault="008C40AA" w:rsidP="008C40AA">
      <w:pPr>
        <w:pStyle w:val="13"/>
      </w:pPr>
      <w:r>
        <w:t>2、考虑不同类型资产的特点，专家提示</w:t>
      </w:r>
      <w:proofErr w:type="gramStart"/>
      <w:r>
        <w:t>先对押品</w:t>
      </w:r>
      <w:proofErr w:type="gramEnd"/>
      <w:r>
        <w:t>评估的共性问题统一提出建议。然后对主要有特点的资产类型，不动产、矿业权、林权、知识产权分节说明。</w:t>
      </w:r>
    </w:p>
    <w:p w14:paraId="03356566" w14:textId="77777777" w:rsidR="008C40AA" w:rsidRDefault="008C40AA" w:rsidP="008C40AA">
      <w:pPr>
        <w:pStyle w:val="13"/>
      </w:pPr>
      <w:r>
        <w:t>3、明确提出“评估报告应当提醒委托方及其他报告使用者，评估结论是评估对象在报告披露的评估目的、前提与假设下，在评估基准日选定的价值类型下的价值参考意见。评估结论不是对抵（质）押权行使结果的保证。”解决实务中是否应该由评估报告决定抵（质）押率、变现折扣的问题。</w:t>
      </w:r>
    </w:p>
    <w:p w14:paraId="317C1C37" w14:textId="327FA00B" w:rsidR="00E04C89" w:rsidRDefault="008C40AA" w:rsidP="008C40AA">
      <w:pPr>
        <w:pStyle w:val="13"/>
      </w:pPr>
      <w:r>
        <w:t>4、借鉴国际评估准则，提醒关注不同类型不动产作为押品评估时的特征和差异。</w:t>
      </w:r>
    </w:p>
    <w:p w14:paraId="702A3A4E" w14:textId="0A7167F1" w:rsidR="00E04C89" w:rsidRDefault="008C59B6" w:rsidP="008C59B6">
      <w:pPr>
        <w:pStyle w:val="31"/>
        <w:spacing w:before="156" w:after="62"/>
      </w:pPr>
      <w:bookmarkStart w:id="83" w:name="_Toc81833346"/>
      <w:r>
        <w:rPr>
          <w:rFonts w:hint="eastAsia"/>
        </w:rPr>
        <w:t>资产评估操作专家提示—评估假设的使用与披露（征求意见稿）</w:t>
      </w:r>
      <w:r>
        <w:br/>
      </w:r>
      <w:r w:rsidRPr="008C59B6">
        <w:rPr>
          <w:rFonts w:hint="eastAsia"/>
        </w:rPr>
        <w:t>（</w:t>
      </w:r>
      <w:proofErr w:type="gramStart"/>
      <w:r w:rsidRPr="008C59B6">
        <w:rPr>
          <w:rFonts w:hint="eastAsia"/>
        </w:rPr>
        <w:t>中评协</w:t>
      </w:r>
      <w:proofErr w:type="gramEnd"/>
      <w:r w:rsidRPr="008C59B6">
        <w:rPr>
          <w:rFonts w:hint="eastAsia"/>
        </w:rPr>
        <w:t>〔</w:t>
      </w:r>
      <w:r w:rsidRPr="008C59B6">
        <w:t>2014〕209号）</w:t>
      </w:r>
      <w:bookmarkEnd w:id="83"/>
    </w:p>
    <w:p w14:paraId="21724293" w14:textId="60D582DC" w:rsidR="00E04C89" w:rsidRDefault="008C59B6" w:rsidP="005A79E9">
      <w:pPr>
        <w:pStyle w:val="13"/>
      </w:pPr>
      <w:proofErr w:type="gramStart"/>
      <w:r w:rsidRPr="008C59B6">
        <w:rPr>
          <w:rFonts w:hint="eastAsia"/>
        </w:rPr>
        <w:t>本专家</w:t>
      </w:r>
      <w:proofErr w:type="gramEnd"/>
      <w:r w:rsidRPr="008C59B6">
        <w:rPr>
          <w:rFonts w:hint="eastAsia"/>
        </w:rPr>
        <w:t>提示是一种专家意见。评估机构执行相关评估业务，可以参照</w:t>
      </w:r>
      <w:proofErr w:type="gramStart"/>
      <w:r w:rsidRPr="008C59B6">
        <w:rPr>
          <w:rFonts w:hint="eastAsia"/>
        </w:rPr>
        <w:t>本专家</w:t>
      </w:r>
      <w:proofErr w:type="gramEnd"/>
      <w:r w:rsidRPr="008C59B6">
        <w:rPr>
          <w:rFonts w:hint="eastAsia"/>
        </w:rPr>
        <w:t>提示</w:t>
      </w:r>
      <w:r w:rsidR="003068F8">
        <w:rPr>
          <w:rFonts w:hint="eastAsia"/>
        </w:rPr>
        <w:t>，</w:t>
      </w:r>
      <w:r w:rsidRPr="008C59B6">
        <w:t>也可以根据具体情况采用其他适当的做法。中国资产评估协会将根据业务发展，对</w:t>
      </w:r>
      <w:proofErr w:type="gramStart"/>
      <w:r w:rsidRPr="008C59B6">
        <w:t>本专家</w:t>
      </w:r>
      <w:proofErr w:type="gramEnd"/>
      <w:r w:rsidRPr="008C59B6">
        <w:t>提示进行更新。</w:t>
      </w:r>
    </w:p>
    <w:p w14:paraId="32AB9FFA" w14:textId="77777777" w:rsidR="008C59B6" w:rsidRPr="008C59B6" w:rsidRDefault="008C59B6" w:rsidP="008C59B6">
      <w:pPr>
        <w:pStyle w:val="13"/>
        <w:ind w:firstLine="482"/>
        <w:rPr>
          <w:b/>
          <w:bCs/>
        </w:rPr>
      </w:pPr>
      <w:r w:rsidRPr="008C59B6">
        <w:rPr>
          <w:rFonts w:hint="eastAsia"/>
          <w:b/>
          <w:bCs/>
        </w:rPr>
        <w:t>一、评估假设理解</w:t>
      </w:r>
    </w:p>
    <w:p w14:paraId="7D251814" w14:textId="77777777" w:rsidR="008C59B6" w:rsidRPr="008C59B6" w:rsidRDefault="008C59B6" w:rsidP="008C59B6">
      <w:pPr>
        <w:pStyle w:val="13"/>
      </w:pPr>
      <w:r w:rsidRPr="008C59B6">
        <w:rPr>
          <w:rFonts w:hint="eastAsia"/>
        </w:rPr>
        <w:t>1．相关文献有关评估假设的定义综述如下：</w:t>
      </w:r>
    </w:p>
    <w:p w14:paraId="1319A470" w14:textId="77777777" w:rsidR="008C59B6" w:rsidRPr="008C59B6" w:rsidRDefault="008C59B6" w:rsidP="008C59B6">
      <w:pPr>
        <w:pStyle w:val="13"/>
      </w:pPr>
      <w:r w:rsidRPr="008C59B6">
        <w:rPr>
          <w:rFonts w:hint="eastAsia"/>
        </w:rPr>
        <w:t>中国资产评估协会出版的《资产评估学》，评估假设是指对评估过程中某些未被确切认识的事物，根据客观的正常情况或发展趋势所作的合乎情理的推断。评估假设也是评估结论成立的前提条件。“《资产评估准则——评估报告》讲解”，依据已掌握的数据资料对某一事物的某些特征或全部事实做出合乎逻辑的推断。这种依据有限事实，通过一系列推理，对于所研究的事物做出合乎逻辑的假定说明就叫假设。</w:t>
      </w:r>
    </w:p>
    <w:p w14:paraId="59C62930" w14:textId="77777777" w:rsidR="008C59B6" w:rsidRPr="008C59B6" w:rsidRDefault="008C59B6" w:rsidP="008C59B6">
      <w:pPr>
        <w:pStyle w:val="13"/>
      </w:pPr>
      <w:r w:rsidRPr="008C59B6">
        <w:rPr>
          <w:rFonts w:hint="eastAsia"/>
        </w:rPr>
        <w:lastRenderedPageBreak/>
        <w:t>2．</w:t>
      </w:r>
      <w:proofErr w:type="gramStart"/>
      <w:r w:rsidRPr="008C59B6">
        <w:rPr>
          <w:rFonts w:hint="eastAsia"/>
        </w:rPr>
        <w:t>本专家</w:t>
      </w:r>
      <w:proofErr w:type="gramEnd"/>
      <w:r w:rsidRPr="008C59B6">
        <w:rPr>
          <w:rFonts w:hint="eastAsia"/>
        </w:rPr>
        <w:t>提示关于评估假设的定义如下：</w:t>
      </w:r>
    </w:p>
    <w:p w14:paraId="222701BD" w14:textId="77777777" w:rsidR="008C59B6" w:rsidRPr="008C59B6" w:rsidRDefault="008C59B6" w:rsidP="008C59B6">
      <w:pPr>
        <w:pStyle w:val="13"/>
      </w:pPr>
      <w:r w:rsidRPr="008C59B6">
        <w:rPr>
          <w:rFonts w:hint="eastAsia"/>
        </w:rPr>
        <w:t>评估结论的得出以及评估结论的成立，都具有一定的前提。</w:t>
      </w:r>
      <w:proofErr w:type="gramStart"/>
      <w:r w:rsidRPr="008C59B6">
        <w:rPr>
          <w:rFonts w:hint="eastAsia"/>
        </w:rPr>
        <w:t>该前提</w:t>
      </w:r>
      <w:proofErr w:type="gramEnd"/>
      <w:r w:rsidRPr="008C59B6">
        <w:rPr>
          <w:rFonts w:hint="eastAsia"/>
        </w:rPr>
        <w:t>一部分是真实客观的事实；另一部分是根据客观的正常情况或发展趋势所作的合乎逻辑的推断。前者属于事实前提，后者属于假设前提。</w:t>
      </w:r>
    </w:p>
    <w:p w14:paraId="7E52D9CE" w14:textId="049F03AC" w:rsidR="00E04C89" w:rsidRDefault="008C59B6" w:rsidP="008C59B6">
      <w:pPr>
        <w:pStyle w:val="13"/>
        <w:ind w:firstLineChars="0" w:firstLine="0"/>
        <w:jc w:val="center"/>
      </w:pPr>
      <w:r w:rsidRPr="008C59B6">
        <w:rPr>
          <w:noProof/>
        </w:rPr>
        <mc:AlternateContent>
          <mc:Choice Requires="wpg">
            <w:drawing>
              <wp:inline distT="0" distB="0" distL="0" distR="0" wp14:anchorId="1B10E804" wp14:editId="7738AD40">
                <wp:extent cx="2515776" cy="1791689"/>
                <wp:effectExtent l="0" t="0" r="18415" b="18415"/>
                <wp:docPr id="11"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776" cy="1791689"/>
                          <a:chOff x="1949" y="3503"/>
                          <a:chExt cx="5016" cy="2351"/>
                        </a:xfrm>
                      </wpg:grpSpPr>
                      <wps:wsp>
                        <wps:cNvPr id="27" name="矩形 3"/>
                        <wps:cNvSpPr>
                          <a:spLocks noChangeArrowheads="1"/>
                        </wps:cNvSpPr>
                        <wps:spPr bwMode="auto">
                          <a:xfrm>
                            <a:off x="1966" y="3503"/>
                            <a:ext cx="2076" cy="62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3AFDEA17" w14:textId="77777777" w:rsidR="008C59B6" w:rsidRPr="008C59B6" w:rsidRDefault="008C59B6" w:rsidP="008C59B6">
                              <w:pPr>
                                <w:pStyle w:val="aff3"/>
                                <w:jc w:val="center"/>
                                <w:rPr>
                                  <w:sz w:val="18"/>
                                  <w:szCs w:val="18"/>
                                </w:rPr>
                              </w:pPr>
                              <w:r w:rsidRPr="008C59B6">
                                <w:rPr>
                                  <w:rFonts w:ascii="黑体" w:eastAsia="黑体" w:cs="黑体" w:hint="eastAsia"/>
                                  <w:color w:val="000000"/>
                                  <w:kern w:val="24"/>
                                  <w:sz w:val="32"/>
                                  <w:szCs w:val="32"/>
                                </w:rPr>
                                <w:t>事实前提</w:t>
                              </w:r>
                            </w:p>
                          </w:txbxContent>
                        </wps:txbx>
                        <wps:bodyPr rot="0" vert="horz" wrap="square" lIns="91440" tIns="45720" rIns="91440" bIns="45720" anchor="t" anchorCtr="0" upright="1">
                          <a:noAutofit/>
                        </wps:bodyPr>
                      </wps:wsp>
                      <wps:wsp>
                        <wps:cNvPr id="29" name="矩形 4"/>
                        <wps:cNvSpPr>
                          <a:spLocks noChangeArrowheads="1"/>
                        </wps:cNvSpPr>
                        <wps:spPr bwMode="auto">
                          <a:xfrm>
                            <a:off x="1949" y="5173"/>
                            <a:ext cx="2076" cy="681"/>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39E7D482" w14:textId="77777777" w:rsidR="008C59B6" w:rsidRPr="008C59B6" w:rsidRDefault="008C59B6" w:rsidP="008C59B6">
                              <w:pPr>
                                <w:pStyle w:val="aff3"/>
                                <w:jc w:val="center"/>
                                <w:rPr>
                                  <w:rFonts w:ascii="黑体" w:eastAsia="黑体" w:cs="黑体"/>
                                  <w:color w:val="000000"/>
                                  <w:kern w:val="24"/>
                                  <w:sz w:val="32"/>
                                  <w:szCs w:val="32"/>
                                </w:rPr>
                              </w:pPr>
                              <w:r w:rsidRPr="008C59B6">
                                <w:rPr>
                                  <w:rFonts w:ascii="黑体" w:eastAsia="黑体" w:cs="黑体" w:hint="eastAsia"/>
                                  <w:color w:val="000000"/>
                                  <w:kern w:val="24"/>
                                  <w:sz w:val="32"/>
                                  <w:szCs w:val="32"/>
                                </w:rPr>
                                <w:t>假设前提</w:t>
                              </w:r>
                            </w:p>
                          </w:txbxContent>
                        </wps:txbx>
                        <wps:bodyPr rot="0" vert="horz" wrap="square" lIns="91440" tIns="45720" rIns="91440" bIns="45720" anchor="t" anchorCtr="0" upright="1">
                          <a:noAutofit/>
                        </wps:bodyPr>
                      </wps:wsp>
                      <wps:wsp>
                        <wps:cNvPr id="30" name="直接连接符 5"/>
                        <wps:cNvCnPr>
                          <a:cxnSpLocks noChangeShapeType="1"/>
                        </wps:cNvCnPr>
                        <wps:spPr bwMode="auto">
                          <a:xfrm>
                            <a:off x="4042" y="3745"/>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直接连接符 6"/>
                        <wps:cNvCnPr>
                          <a:cxnSpLocks noChangeShapeType="1"/>
                        </wps:cNvCnPr>
                        <wps:spPr bwMode="auto">
                          <a:xfrm>
                            <a:off x="4042" y="529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直接连接符 7"/>
                        <wps:cNvCnPr>
                          <a:cxnSpLocks noChangeShapeType="1"/>
                        </wps:cNvCnPr>
                        <wps:spPr bwMode="auto">
                          <a:xfrm>
                            <a:off x="4378" y="3745"/>
                            <a:ext cx="3" cy="1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直接连接符 8"/>
                        <wps:cNvCnPr>
                          <a:cxnSpLocks noChangeShapeType="1"/>
                        </wps:cNvCnPr>
                        <wps:spPr bwMode="auto">
                          <a:xfrm>
                            <a:off x="4365" y="449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矩形 9"/>
                        <wps:cNvSpPr>
                          <a:spLocks noChangeArrowheads="1"/>
                        </wps:cNvSpPr>
                        <wps:spPr bwMode="auto">
                          <a:xfrm>
                            <a:off x="4705" y="4132"/>
                            <a:ext cx="2260" cy="66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0A9FCDC0" w14:textId="77777777" w:rsidR="008C59B6" w:rsidRPr="008C59B6" w:rsidRDefault="008C59B6" w:rsidP="008C59B6">
                              <w:pPr>
                                <w:pStyle w:val="aff3"/>
                                <w:jc w:val="center"/>
                                <w:rPr>
                                  <w:rFonts w:ascii="黑体" w:eastAsia="黑体" w:cs="黑体"/>
                                  <w:color w:val="000000"/>
                                  <w:kern w:val="24"/>
                                  <w:sz w:val="32"/>
                                  <w:szCs w:val="32"/>
                                </w:rPr>
                              </w:pPr>
                              <w:r w:rsidRPr="008C59B6">
                                <w:rPr>
                                  <w:rFonts w:ascii="黑体" w:eastAsia="黑体" w:cs="黑体" w:hint="eastAsia"/>
                                  <w:color w:val="000000"/>
                                  <w:kern w:val="24"/>
                                  <w:sz w:val="32"/>
                                  <w:szCs w:val="32"/>
                                </w:rPr>
                                <w:t>评估结论</w:t>
                              </w:r>
                            </w:p>
                          </w:txbxContent>
                        </wps:txbx>
                        <wps:bodyPr rot="0" vert="horz" wrap="square" lIns="91440" tIns="45720" rIns="91440" bIns="45720" anchor="t" anchorCtr="0" upright="1">
                          <a:noAutofit/>
                        </wps:bodyPr>
                      </wps:wsp>
                      <wps:wsp>
                        <wps:cNvPr id="35" name="矩形 10"/>
                        <wps:cNvSpPr>
                          <a:spLocks noChangeArrowheads="1"/>
                        </wps:cNvSpPr>
                        <wps:spPr bwMode="auto">
                          <a:xfrm>
                            <a:off x="5177" y="5245"/>
                            <a:ext cx="1309" cy="60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67D616C1" w14:textId="77777777" w:rsidR="008C59B6" w:rsidRPr="008C59B6" w:rsidRDefault="008C59B6" w:rsidP="008C59B6">
                              <w:pPr>
                                <w:pStyle w:val="aff3"/>
                                <w:jc w:val="center"/>
                                <w:rPr>
                                  <w:rFonts w:ascii="黑体" w:eastAsia="黑体" w:cs="黑体"/>
                                  <w:color w:val="000000"/>
                                  <w:kern w:val="24"/>
                                  <w:sz w:val="32"/>
                                  <w:szCs w:val="32"/>
                                </w:rPr>
                              </w:pPr>
                              <w:r w:rsidRPr="008C59B6">
                                <w:rPr>
                                  <w:rFonts w:ascii="黑体" w:eastAsia="黑体" w:cs="黑体" w:hint="eastAsia"/>
                                  <w:color w:val="000000"/>
                                  <w:kern w:val="24"/>
                                  <w:sz w:val="32"/>
                                  <w:szCs w:val="32"/>
                                </w:rPr>
                                <w:t>变化</w:t>
                              </w:r>
                            </w:p>
                          </w:txbxContent>
                        </wps:txbx>
                        <wps:bodyPr rot="0" vert="horz" wrap="square" lIns="91440" tIns="45720" rIns="91440" bIns="45720" anchor="t" anchorCtr="0" upright="1">
                          <a:noAutofit/>
                        </wps:bodyPr>
                      </wps:wsp>
                      <wps:wsp>
                        <wps:cNvPr id="36" name="直接箭头连接符 11"/>
                        <wps:cNvCnPr>
                          <a:cxnSpLocks noChangeShapeType="1"/>
                          <a:endCxn id="35" idx="1"/>
                        </wps:cNvCnPr>
                        <wps:spPr bwMode="auto">
                          <a:xfrm>
                            <a:off x="4042" y="5546"/>
                            <a:ext cx="1135" cy="1"/>
                          </a:xfrm>
                          <a:prstGeom prst="straightConnector1">
                            <a:avLst/>
                          </a:prstGeom>
                          <a:noFill/>
                          <a:ln w="9525">
                            <a:solidFill>
                              <a:srgbClr val="000000"/>
                            </a:solidFill>
                            <a:round/>
                            <a:headEnd/>
                            <a:tailEnd type="arrow" w="med" len="med"/>
                          </a:ln>
                        </wps:spPr>
                        <wps:bodyPr/>
                      </wps:wsp>
                      <wps:wsp>
                        <wps:cNvPr id="37" name="直接箭头连接符 12"/>
                        <wps:cNvCnPr>
                          <a:cxnSpLocks noChangeShapeType="1"/>
                          <a:stCxn id="35" idx="0"/>
                          <a:endCxn id="34" idx="2"/>
                        </wps:cNvCnPr>
                        <wps:spPr bwMode="auto">
                          <a:xfrm flipV="1">
                            <a:off x="5832" y="4792"/>
                            <a:ext cx="3" cy="453"/>
                          </a:xfrm>
                          <a:prstGeom prst="straightConnector1">
                            <a:avLst/>
                          </a:prstGeom>
                          <a:noFill/>
                          <a:ln w="9525">
                            <a:solidFill>
                              <a:srgbClr val="000000"/>
                            </a:solidFill>
                            <a:round/>
                            <a:headEnd/>
                            <a:tailEnd type="arrow" w="med" len="med"/>
                          </a:ln>
                        </wps:spPr>
                        <wps:bodyPr/>
                      </wps:wsp>
                    </wpg:wgp>
                  </a:graphicData>
                </a:graphic>
              </wp:inline>
            </w:drawing>
          </mc:Choice>
          <mc:Fallback>
            <w:pict>
              <v:group w14:anchorId="1B10E804" id="组合 11" o:spid="_x0000_s1027" style="width:198.1pt;height:141.1pt;mso-position-horizontal-relative:char;mso-position-vertical-relative:line" coordorigin="1949,3503" coordsize="5016,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">
                <v:rect id="矩形 3" o:spid="_x0000_s1028" style="position:absolute;left:1966;top:3503;width:207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" filled="f">
                  <v:stroke miterlimit="2"/>
                  <v:textbox>
                    <w:txbxContent>
                      <w:p w14:paraId="3AFDEA17" w14:textId="77777777" w:rsidR="008C59B6" w:rsidRPr="008C59B6" w:rsidRDefault="008C59B6" w:rsidP="008C59B6">
                        <w:pPr>
                          <w:pStyle w:val="aff3"/>
                          <w:jc w:val="center"/>
                          <w:rPr>
                            <w:sz w:val="18"/>
                            <w:szCs w:val="18"/>
                          </w:rPr>
                        </w:pPr>
                        <w:r w:rsidRPr="008C59B6">
                          <w:rPr>
                            <w:rFonts w:ascii="黑体" w:eastAsia="黑体" w:cs="黑体" w:hint="eastAsia"/>
                            <w:color w:val="000000"/>
                            <w:kern w:val="24"/>
                            <w:sz w:val="32"/>
                            <w:szCs w:val="32"/>
                          </w:rPr>
                          <w:t>事实前提</w:t>
                        </w:r>
                      </w:p>
                    </w:txbxContent>
                  </v:textbox>
                </v:rect>
                <v:rect id="矩形 4" o:spid="_x0000_s1029" style="position:absolute;left:1949;top:5173;width:207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" filled="f">
                  <v:stroke miterlimit="2"/>
                  <v:textbox>
                    <w:txbxContent>
                      <w:p w14:paraId="39E7D482" w14:textId="77777777" w:rsidR="008C59B6" w:rsidRPr="008C59B6" w:rsidRDefault="008C59B6" w:rsidP="008C59B6">
                        <w:pPr>
                          <w:pStyle w:val="aff3"/>
                          <w:jc w:val="center"/>
                          <w:rPr>
                            <w:rFonts w:ascii="黑体" w:eastAsia="黑体" w:cs="黑体"/>
                            <w:color w:val="000000"/>
                            <w:kern w:val="24"/>
                            <w:sz w:val="32"/>
                            <w:szCs w:val="32"/>
                          </w:rPr>
                        </w:pPr>
                        <w:r w:rsidRPr="008C59B6">
                          <w:rPr>
                            <w:rFonts w:ascii="黑体" w:eastAsia="黑体" w:cs="黑体" w:hint="eastAsia"/>
                            <w:color w:val="000000"/>
                            <w:kern w:val="24"/>
                            <w:sz w:val="32"/>
                            <w:szCs w:val="32"/>
                          </w:rPr>
                          <w:t>假设前提</w:t>
                        </w:r>
                      </w:p>
                    </w:txbxContent>
                  </v:textbox>
                </v:rect>
                <v:line id="直接连接符 5" o:spid="_x0000_s1030" style="position:absolute;visibility:visible;mso-wrap-style:square" from="4042,3745" to="4382,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直接连接符 6" o:spid="_x0000_s1031" style="position:absolute;visibility:visible;mso-wrap-style:square" from="4042,5294" to="438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直接连接符 7" o:spid="_x0000_s1032" style="position:absolute;visibility:visible;mso-wrap-style:square" from="4378,3745" to="438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直接连接符 8" o:spid="_x0000_s1033" style="position:absolute;visibility:visible;mso-wrap-style:square" from="4365,4494" to="4705,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rect id="矩形 9" o:spid="_x0000_s1034" style="position:absolute;left:4705;top:4132;width:2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" filled="f">
                  <v:stroke miterlimit="2"/>
                  <v:textbox>
                    <w:txbxContent>
                      <w:p w14:paraId="0A9FCDC0" w14:textId="77777777" w:rsidR="008C59B6" w:rsidRPr="008C59B6" w:rsidRDefault="008C59B6" w:rsidP="008C59B6">
                        <w:pPr>
                          <w:pStyle w:val="aff3"/>
                          <w:jc w:val="center"/>
                          <w:rPr>
                            <w:rFonts w:ascii="黑体" w:eastAsia="黑体" w:cs="黑体"/>
                            <w:color w:val="000000"/>
                            <w:kern w:val="24"/>
                            <w:sz w:val="32"/>
                            <w:szCs w:val="32"/>
                          </w:rPr>
                        </w:pPr>
                        <w:r w:rsidRPr="008C59B6">
                          <w:rPr>
                            <w:rFonts w:ascii="黑体" w:eastAsia="黑体" w:cs="黑体" w:hint="eastAsia"/>
                            <w:color w:val="000000"/>
                            <w:kern w:val="24"/>
                            <w:sz w:val="32"/>
                            <w:szCs w:val="32"/>
                          </w:rPr>
                          <w:t>评估结论</w:t>
                        </w:r>
                      </w:p>
                    </w:txbxContent>
                  </v:textbox>
                </v:rect>
                <v:rect id="矩形 10" o:spid="_x0000_s1035" style="position:absolute;left:5177;top:5245;width:1309;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" filled="f">
                  <v:stroke miterlimit="2"/>
                  <v:textbox>
                    <w:txbxContent>
                      <w:p w14:paraId="67D616C1" w14:textId="77777777" w:rsidR="008C59B6" w:rsidRPr="008C59B6" w:rsidRDefault="008C59B6" w:rsidP="008C59B6">
                        <w:pPr>
                          <w:pStyle w:val="aff3"/>
                          <w:jc w:val="center"/>
                          <w:rPr>
                            <w:rFonts w:ascii="黑体" w:eastAsia="黑体" w:cs="黑体"/>
                            <w:color w:val="000000"/>
                            <w:kern w:val="24"/>
                            <w:sz w:val="32"/>
                            <w:szCs w:val="32"/>
                          </w:rPr>
                        </w:pPr>
                        <w:r w:rsidRPr="008C59B6">
                          <w:rPr>
                            <w:rFonts w:ascii="黑体" w:eastAsia="黑体" w:cs="黑体" w:hint="eastAsia"/>
                            <w:color w:val="000000"/>
                            <w:kern w:val="24"/>
                            <w:sz w:val="32"/>
                            <w:szCs w:val="32"/>
                          </w:rPr>
                          <w:t>变化</w:t>
                        </w:r>
                      </w:p>
                    </w:txbxContent>
                  </v:textbox>
                </v:rect>
                <v:shapetype id="_x0000_t32" coordsize="21600,21600" o:spt="32" o:oned="t" path="m,l21600,21600e" filled="f">
                  <v:path arrowok="t" fillok="f" o:connecttype="none"/>
                  <o:lock v:ext="edit" shapetype="t"/>
                </v:shapetype>
                <v:shape id="直接箭头连接符 11" o:spid="_x0000_s1036" type="#_x0000_t32" style="position:absolute;left:4042;top:5546;width:11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">
                  <v:stroke endarrow="open"/>
                </v:shape>
                <v:shape id="直接箭头连接符 12" o:spid="_x0000_s1037" type="#_x0000_t32" style="position:absolute;left:5832;top:4792;width:3;height: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">
                  <v:stroke endarrow="open"/>
                </v:shape>
                <w10:anchorlock/>
              </v:group>
            </w:pict>
          </mc:Fallback>
        </mc:AlternateContent>
      </w:r>
    </w:p>
    <w:p w14:paraId="32188A99" w14:textId="77777777" w:rsidR="008C59B6" w:rsidRPr="008C59B6" w:rsidRDefault="008C59B6" w:rsidP="008C59B6">
      <w:pPr>
        <w:pStyle w:val="13"/>
      </w:pPr>
      <w:r w:rsidRPr="008C59B6">
        <w:rPr>
          <w:rFonts w:hint="eastAsia"/>
        </w:rPr>
        <w:t>3、评估假设的作用如下：</w:t>
      </w:r>
    </w:p>
    <w:p w14:paraId="7289DD94" w14:textId="77777777" w:rsidR="008C59B6" w:rsidRPr="008C59B6" w:rsidRDefault="008C59B6" w:rsidP="008C59B6">
      <w:pPr>
        <w:pStyle w:val="13"/>
      </w:pPr>
      <w:r w:rsidRPr="008C59B6">
        <w:rPr>
          <w:rFonts w:hint="eastAsia"/>
        </w:rPr>
        <w:t>通过假设，排除或固化评估对象实体、法律和经济属性方面的不确定性；排除或固化评估对象市场条件或趋势这些外部环境的不确定性；排除评估分析中所使用委托方数据资料完整性方面的不确定性，设定上述要素都是确实的，是进行评估必不可少的环节。</w:t>
      </w:r>
    </w:p>
    <w:p w14:paraId="2E067A57" w14:textId="77777777" w:rsidR="008C59B6" w:rsidRPr="008C59B6" w:rsidRDefault="008C59B6" w:rsidP="008C59B6">
      <w:pPr>
        <w:pStyle w:val="13"/>
      </w:pPr>
      <w:r w:rsidRPr="008C59B6">
        <w:rPr>
          <w:rFonts w:hint="eastAsia"/>
        </w:rPr>
        <w:t>收益预测假设，是未来收益指标预测结果的成立的前提；其实质是企业未来经营中的众多“变量”，一部分需要进行预测，另一部分需要进行固化，即假设。通常将有关评估外部环境“固化”：如宏观政治、经济、社会环境的稳定性，涉及的汇率、利率、税赋、物价或通货膨胀、人口、产业政策的变化趋势，外界不可抗力因素的影响等；将企业经营状态或环境“固化”：如企业的税收、管理、经营业务类型、方式、规模等。需要进行预测的变量，预测时也存在假设。</w:t>
      </w:r>
    </w:p>
    <w:p w14:paraId="499033F2" w14:textId="77777777" w:rsidR="008C59B6" w:rsidRPr="008C59B6" w:rsidRDefault="008C59B6" w:rsidP="008C59B6">
      <w:pPr>
        <w:pStyle w:val="13"/>
      </w:pPr>
      <w:r w:rsidRPr="008C59B6">
        <w:rPr>
          <w:rFonts w:hint="eastAsia"/>
        </w:rPr>
        <w:t>评估假设直接与评估结论相关，评估假设变化，评估结论变化；评估假设重大变化，评估结论不成立。</w:t>
      </w:r>
    </w:p>
    <w:p w14:paraId="3C25AAAC" w14:textId="77777777" w:rsidR="008C59B6" w:rsidRPr="008C59B6" w:rsidRDefault="008C59B6" w:rsidP="008C59B6">
      <w:pPr>
        <w:pStyle w:val="13"/>
        <w:ind w:firstLine="482"/>
        <w:rPr>
          <w:b/>
          <w:bCs/>
        </w:rPr>
      </w:pPr>
      <w:r w:rsidRPr="008C59B6">
        <w:rPr>
          <w:rFonts w:hint="eastAsia"/>
          <w:b/>
          <w:bCs/>
        </w:rPr>
        <w:t>二、评估假设类型</w:t>
      </w:r>
    </w:p>
    <w:p w14:paraId="0C116792" w14:textId="77777777" w:rsidR="008C59B6" w:rsidRPr="008C59B6" w:rsidRDefault="008C59B6" w:rsidP="008C59B6">
      <w:pPr>
        <w:pStyle w:val="13"/>
      </w:pPr>
      <w:r w:rsidRPr="008C59B6">
        <w:rPr>
          <w:rFonts w:hint="eastAsia"/>
        </w:rPr>
        <w:t>1．相关文献有关评估假设的分类综述如下：</w:t>
      </w:r>
    </w:p>
    <w:p w14:paraId="12BF12C6" w14:textId="77777777" w:rsidR="008C59B6" w:rsidRPr="008C59B6" w:rsidRDefault="008C59B6" w:rsidP="008C59B6">
      <w:pPr>
        <w:pStyle w:val="13"/>
      </w:pPr>
      <w:r w:rsidRPr="008C59B6">
        <w:rPr>
          <w:rFonts w:hint="eastAsia"/>
        </w:rPr>
        <w:t>中国资产评估协会出版的《资产评估学》，适用资产评估的假设有以下几种：（1）交易假设。交易假设是资产评估得以进行的一个最基本的前提假设，它是假定所有待</w:t>
      </w:r>
      <w:proofErr w:type="gramStart"/>
      <w:r w:rsidRPr="008C59B6">
        <w:rPr>
          <w:rFonts w:hint="eastAsia"/>
        </w:rPr>
        <w:t>评资产</w:t>
      </w:r>
      <w:proofErr w:type="gramEnd"/>
      <w:r w:rsidRPr="008C59B6">
        <w:rPr>
          <w:rFonts w:hint="eastAsia"/>
        </w:rPr>
        <w:t>已经处在交易过程中，评估师根据待评估资产的交易条件等模拟市场进行估价。（2）公开市场假设。公开市场假设是</w:t>
      </w:r>
      <w:proofErr w:type="gramStart"/>
      <w:r w:rsidRPr="008C59B6">
        <w:rPr>
          <w:rFonts w:hint="eastAsia"/>
        </w:rPr>
        <w:t>对资拟进入</w:t>
      </w:r>
      <w:proofErr w:type="gramEnd"/>
      <w:r w:rsidRPr="008C59B6">
        <w:rPr>
          <w:rFonts w:hint="eastAsia"/>
        </w:rPr>
        <w:t>的市场条件，以及资产在这样的市场条件下接受何种影响的一种假说明或限定。（3）持续使用假设。持续使用假设也是对资产拟进入的市场条件，以及在这样的市场条件下的资产状态的一种假定性描述或说明。持续使用假设又细分为三种具体情况：一是在用续用；二是转用续用；三</w:t>
      </w:r>
      <w:r w:rsidRPr="008C59B6">
        <w:rPr>
          <w:rFonts w:hint="eastAsia"/>
        </w:rPr>
        <w:lastRenderedPageBreak/>
        <w:t>是移地续用。（4）清算假设。清算假设是对资产在非公开市场条件下被迫出售或快速变现条件的假定说明。</w:t>
      </w:r>
    </w:p>
    <w:p w14:paraId="473FFB63" w14:textId="77777777" w:rsidR="008C59B6" w:rsidRPr="008C59B6" w:rsidRDefault="008C59B6" w:rsidP="008C59B6">
      <w:pPr>
        <w:pStyle w:val="13"/>
      </w:pPr>
      <w:r w:rsidRPr="008C59B6">
        <w:rPr>
          <w:rFonts w:hint="eastAsia"/>
        </w:rPr>
        <w:t>2．评估实务中常见的评估假设类型如下：</w:t>
      </w:r>
    </w:p>
    <w:p w14:paraId="7C9BED69" w14:textId="77777777" w:rsidR="008C59B6" w:rsidRPr="008C59B6" w:rsidRDefault="008C59B6" w:rsidP="008C59B6">
      <w:pPr>
        <w:pStyle w:val="13"/>
      </w:pPr>
      <w:r w:rsidRPr="008C59B6">
        <w:rPr>
          <w:rFonts w:hint="eastAsia"/>
        </w:rPr>
        <w:t>（1）按照假设实现可能性（或概率），有推测性假设和逆向假设。</w:t>
      </w:r>
    </w:p>
    <w:p w14:paraId="04EFDD4B" w14:textId="77777777" w:rsidR="008C59B6" w:rsidRPr="008C59B6" w:rsidRDefault="008C59B6" w:rsidP="008C59B6">
      <w:pPr>
        <w:pStyle w:val="13"/>
      </w:pPr>
      <w:r w:rsidRPr="008C59B6">
        <w:rPr>
          <w:rFonts w:hint="eastAsia"/>
        </w:rPr>
        <w:t>（2）按照</w:t>
      </w:r>
      <w:r w:rsidRPr="008C59B6">
        <w:t>市场环境：</w:t>
      </w:r>
      <w:r w:rsidRPr="008C59B6">
        <w:rPr>
          <w:rFonts w:hint="eastAsia"/>
        </w:rPr>
        <w:t>有宏观政治、经济、社会环境的稳定性，涉及的汇率、利率、税赋、物价或通货膨胀、人口、产业政策的变化趋势，外界不可抗力因素的影响等；</w:t>
      </w:r>
    </w:p>
    <w:p w14:paraId="01093B60" w14:textId="77777777" w:rsidR="008C59B6" w:rsidRPr="008C59B6" w:rsidRDefault="008C59B6" w:rsidP="008C59B6">
      <w:pPr>
        <w:pStyle w:val="13"/>
      </w:pPr>
      <w:r w:rsidRPr="008C59B6">
        <w:rPr>
          <w:rFonts w:hint="eastAsia"/>
        </w:rPr>
        <w:t>（3）按照</w:t>
      </w:r>
      <w:r w:rsidRPr="008C59B6">
        <w:t>交易方式：</w:t>
      </w:r>
      <w:r w:rsidRPr="008C59B6">
        <w:rPr>
          <w:rFonts w:hint="eastAsia"/>
        </w:rPr>
        <w:t>有</w:t>
      </w:r>
      <w:r w:rsidRPr="008C59B6">
        <w:t>公开市场假设、非公开市场假设等；</w:t>
      </w:r>
      <w:r w:rsidRPr="008C59B6">
        <w:rPr>
          <w:rFonts w:hint="eastAsia"/>
        </w:rPr>
        <w:t>正常交易、强制出售。</w:t>
      </w:r>
    </w:p>
    <w:p w14:paraId="5A377D08" w14:textId="77777777" w:rsidR="008C59B6" w:rsidRPr="008C59B6" w:rsidRDefault="008C59B6" w:rsidP="008C59B6">
      <w:pPr>
        <w:pStyle w:val="13"/>
      </w:pPr>
      <w:r w:rsidRPr="008C59B6">
        <w:rPr>
          <w:rFonts w:hint="eastAsia"/>
        </w:rPr>
        <w:t>（4）按照</w:t>
      </w:r>
      <w:r w:rsidRPr="008C59B6">
        <w:t>企业存续状态：</w:t>
      </w:r>
      <w:r w:rsidRPr="008C59B6">
        <w:rPr>
          <w:rFonts w:hint="eastAsia"/>
        </w:rPr>
        <w:t>有</w:t>
      </w:r>
      <w:r w:rsidRPr="008C59B6">
        <w:t>持续经营假设、产权主体变动假设、破产清算假设、结业清算假设、改变经营方式假设、调整产品结构假设、改变主营业务假设等；</w:t>
      </w:r>
    </w:p>
    <w:p w14:paraId="1DC48DBA" w14:textId="77777777" w:rsidR="008C59B6" w:rsidRPr="008C59B6" w:rsidRDefault="008C59B6" w:rsidP="008C59B6">
      <w:pPr>
        <w:pStyle w:val="13"/>
      </w:pPr>
      <w:r w:rsidRPr="008C59B6">
        <w:rPr>
          <w:rFonts w:hint="eastAsia"/>
        </w:rPr>
        <w:t>（5）按照</w:t>
      </w:r>
      <w:r w:rsidRPr="008C59B6">
        <w:t>资产使用状态</w:t>
      </w:r>
      <w:r w:rsidRPr="008C59B6">
        <w:rPr>
          <w:rFonts w:hint="eastAsia"/>
        </w:rPr>
        <w:t>：继续使用或者变现；原地使用或者移地使用；现行用途使用或者改变用途使用。</w:t>
      </w:r>
    </w:p>
    <w:p w14:paraId="187DD424" w14:textId="77777777" w:rsidR="008C59B6" w:rsidRPr="008C59B6" w:rsidRDefault="008C59B6" w:rsidP="008C59B6">
      <w:pPr>
        <w:pStyle w:val="13"/>
      </w:pPr>
      <w:r w:rsidRPr="008C59B6">
        <w:rPr>
          <w:rFonts w:hint="eastAsia"/>
        </w:rPr>
        <w:t>3．评估操作应综合使用上述假设。</w:t>
      </w:r>
      <w:proofErr w:type="gramStart"/>
      <w:r w:rsidRPr="008C59B6">
        <w:rPr>
          <w:rFonts w:hint="eastAsia"/>
        </w:rPr>
        <w:t>本专家</w:t>
      </w:r>
      <w:proofErr w:type="gramEnd"/>
      <w:r w:rsidRPr="008C59B6">
        <w:rPr>
          <w:rFonts w:hint="eastAsia"/>
        </w:rPr>
        <w:t>提示从评估实务角度，提出常见的假设类型可分为四类：A类假设、B类假设、C类假设和D类假设。</w:t>
      </w:r>
    </w:p>
    <w:tbl>
      <w:tblPr>
        <w:tblStyle w:val="af"/>
        <w:tblpPr w:leftFromText="180" w:rightFromText="180" w:vertAnchor="text" w:tblpY="1"/>
        <w:tblOverlap w:val="never"/>
        <w:tblW w:w="5000" w:type="pct"/>
        <w:tblLook w:val="04A0" w:firstRow="1" w:lastRow="0" w:firstColumn="1" w:lastColumn="0" w:noHBand="0" w:noVBand="1"/>
      </w:tblPr>
      <w:tblGrid>
        <w:gridCol w:w="542"/>
        <w:gridCol w:w="903"/>
        <w:gridCol w:w="1280"/>
        <w:gridCol w:w="1932"/>
        <w:gridCol w:w="429"/>
        <w:gridCol w:w="3634"/>
      </w:tblGrid>
      <w:tr w:rsidR="008C59B6" w:rsidRPr="008C59B6" w14:paraId="34426D33" w14:textId="77777777" w:rsidTr="00C34C28">
        <w:trPr>
          <w:trHeight w:val="20"/>
          <w:tblHeader/>
        </w:trPr>
        <w:tc>
          <w:tcPr>
            <w:tcW w:w="827" w:type="pct"/>
            <w:gridSpan w:val="2"/>
            <w:vMerge w:val="restart"/>
            <w:tcBorders>
              <w:top w:val="single" w:sz="4" w:space="0" w:color="auto"/>
              <w:left w:val="single" w:sz="4" w:space="0" w:color="auto"/>
              <w:bottom w:val="single" w:sz="4" w:space="0" w:color="auto"/>
              <w:right w:val="single" w:sz="4" w:space="0" w:color="auto"/>
            </w:tcBorders>
            <w:vAlign w:val="center"/>
          </w:tcPr>
          <w:p w14:paraId="2023205D" w14:textId="4AEE763A" w:rsidR="008C59B6" w:rsidRPr="008C59B6" w:rsidRDefault="008C59B6" w:rsidP="00BF1AFC">
            <w:pPr>
              <w:pStyle w:val="13"/>
              <w:spacing w:line="240" w:lineRule="auto"/>
              <w:ind w:firstLineChars="0" w:firstLine="0"/>
              <w:rPr>
                <w:b/>
                <w:bCs/>
                <w:sz w:val="18"/>
                <w:szCs w:val="18"/>
              </w:rPr>
            </w:pPr>
          </w:p>
        </w:tc>
        <w:tc>
          <w:tcPr>
            <w:tcW w:w="734" w:type="pct"/>
            <w:vMerge w:val="restart"/>
            <w:tcBorders>
              <w:left w:val="single" w:sz="4" w:space="0" w:color="auto"/>
            </w:tcBorders>
            <w:vAlign w:val="center"/>
          </w:tcPr>
          <w:p w14:paraId="7E9D4D26" w14:textId="77777777" w:rsidR="008C59B6" w:rsidRPr="008C59B6" w:rsidRDefault="008C59B6" w:rsidP="00BF1AFC">
            <w:pPr>
              <w:pStyle w:val="13"/>
              <w:spacing w:line="240" w:lineRule="auto"/>
              <w:ind w:firstLineChars="0" w:firstLine="0"/>
              <w:jc w:val="center"/>
              <w:rPr>
                <w:sz w:val="18"/>
                <w:szCs w:val="18"/>
              </w:rPr>
            </w:pPr>
            <w:r w:rsidRPr="008C59B6">
              <w:rPr>
                <w:rFonts w:hint="eastAsia"/>
                <w:b/>
                <w:bCs/>
                <w:sz w:val="18"/>
                <w:szCs w:val="18"/>
              </w:rPr>
              <w:t>说明</w:t>
            </w:r>
          </w:p>
        </w:tc>
        <w:tc>
          <w:tcPr>
            <w:tcW w:w="3439" w:type="pct"/>
            <w:gridSpan w:val="3"/>
            <w:vAlign w:val="center"/>
          </w:tcPr>
          <w:p w14:paraId="73A5A1F0" w14:textId="77777777" w:rsidR="008C59B6" w:rsidRPr="008C59B6" w:rsidRDefault="008C59B6" w:rsidP="00BF1AFC">
            <w:pPr>
              <w:pStyle w:val="13"/>
              <w:spacing w:line="240" w:lineRule="auto"/>
              <w:ind w:firstLineChars="0" w:firstLine="0"/>
              <w:jc w:val="center"/>
              <w:rPr>
                <w:sz w:val="18"/>
                <w:szCs w:val="18"/>
              </w:rPr>
            </w:pPr>
            <w:r w:rsidRPr="008C59B6">
              <w:rPr>
                <w:rFonts w:hint="eastAsia"/>
                <w:b/>
                <w:bCs/>
                <w:sz w:val="18"/>
                <w:szCs w:val="18"/>
              </w:rPr>
              <w:t>假设分类</w:t>
            </w:r>
          </w:p>
        </w:tc>
      </w:tr>
      <w:tr w:rsidR="008C59B6" w:rsidRPr="008C59B6" w14:paraId="4927B9B7" w14:textId="77777777" w:rsidTr="00C34C28">
        <w:trPr>
          <w:trHeight w:val="20"/>
          <w:tblHeader/>
        </w:trPr>
        <w:tc>
          <w:tcPr>
            <w:tcW w:w="827" w:type="pct"/>
            <w:gridSpan w:val="2"/>
            <w:vMerge/>
            <w:tcBorders>
              <w:top w:val="single" w:sz="4" w:space="0" w:color="auto"/>
              <w:left w:val="single" w:sz="4" w:space="0" w:color="auto"/>
              <w:bottom w:val="single" w:sz="4" w:space="0" w:color="auto"/>
              <w:right w:val="single" w:sz="4" w:space="0" w:color="auto"/>
            </w:tcBorders>
          </w:tcPr>
          <w:p w14:paraId="7363FE7D" w14:textId="77777777" w:rsidR="008C59B6" w:rsidRPr="008C59B6" w:rsidRDefault="008C59B6" w:rsidP="00BF1AFC">
            <w:pPr>
              <w:pStyle w:val="13"/>
              <w:spacing w:line="240" w:lineRule="auto"/>
              <w:ind w:firstLineChars="0" w:firstLine="0"/>
              <w:rPr>
                <w:sz w:val="18"/>
                <w:szCs w:val="18"/>
              </w:rPr>
            </w:pPr>
          </w:p>
        </w:tc>
        <w:tc>
          <w:tcPr>
            <w:tcW w:w="734" w:type="pct"/>
            <w:vMerge/>
            <w:tcBorders>
              <w:left w:val="single" w:sz="4" w:space="0" w:color="auto"/>
            </w:tcBorders>
            <w:vAlign w:val="center"/>
          </w:tcPr>
          <w:p w14:paraId="5E26EDC1" w14:textId="77777777" w:rsidR="008C59B6" w:rsidRPr="008C59B6" w:rsidRDefault="008C59B6" w:rsidP="00BF1AFC">
            <w:pPr>
              <w:pStyle w:val="13"/>
              <w:spacing w:line="240" w:lineRule="auto"/>
              <w:ind w:firstLineChars="0" w:firstLine="0"/>
              <w:jc w:val="center"/>
              <w:rPr>
                <w:sz w:val="18"/>
                <w:szCs w:val="18"/>
              </w:rPr>
            </w:pPr>
          </w:p>
        </w:tc>
        <w:tc>
          <w:tcPr>
            <w:tcW w:w="1108" w:type="pct"/>
            <w:vAlign w:val="center"/>
          </w:tcPr>
          <w:p w14:paraId="167BF822" w14:textId="77777777" w:rsidR="008C59B6" w:rsidRPr="008C59B6" w:rsidRDefault="008C59B6" w:rsidP="00BF1AFC">
            <w:pPr>
              <w:pStyle w:val="13"/>
              <w:spacing w:line="240" w:lineRule="auto"/>
              <w:ind w:firstLineChars="0" w:firstLine="0"/>
              <w:jc w:val="center"/>
              <w:rPr>
                <w:sz w:val="18"/>
                <w:szCs w:val="18"/>
              </w:rPr>
            </w:pPr>
            <w:r w:rsidRPr="008C59B6">
              <w:rPr>
                <w:rFonts w:hint="eastAsia"/>
                <w:b/>
                <w:bCs/>
                <w:sz w:val="18"/>
                <w:szCs w:val="18"/>
              </w:rPr>
              <w:t>分类</w:t>
            </w:r>
          </w:p>
        </w:tc>
        <w:tc>
          <w:tcPr>
            <w:tcW w:w="2331" w:type="pct"/>
            <w:gridSpan w:val="2"/>
            <w:vAlign w:val="center"/>
          </w:tcPr>
          <w:p w14:paraId="2CEADCDC" w14:textId="77777777" w:rsidR="008C59B6" w:rsidRPr="008C59B6" w:rsidRDefault="008C59B6" w:rsidP="00BF1AFC">
            <w:pPr>
              <w:pStyle w:val="13"/>
              <w:spacing w:line="240" w:lineRule="auto"/>
              <w:ind w:firstLineChars="0" w:firstLine="0"/>
              <w:jc w:val="center"/>
              <w:rPr>
                <w:sz w:val="18"/>
                <w:szCs w:val="18"/>
              </w:rPr>
            </w:pPr>
            <w:r w:rsidRPr="008C59B6">
              <w:rPr>
                <w:rFonts w:hint="eastAsia"/>
                <w:b/>
                <w:bCs/>
                <w:sz w:val="18"/>
                <w:szCs w:val="18"/>
              </w:rPr>
              <w:t>内容（例）</w:t>
            </w:r>
          </w:p>
        </w:tc>
      </w:tr>
      <w:tr w:rsidR="008C59B6" w:rsidRPr="008C59B6" w14:paraId="6A5B0AD9" w14:textId="77777777" w:rsidTr="00C34C28">
        <w:trPr>
          <w:trHeight w:val="20"/>
        </w:trPr>
        <w:tc>
          <w:tcPr>
            <w:tcW w:w="310" w:type="pct"/>
            <w:vMerge w:val="restart"/>
            <w:tcBorders>
              <w:top w:val="single" w:sz="4" w:space="0" w:color="auto"/>
            </w:tcBorders>
            <w:vAlign w:val="center"/>
          </w:tcPr>
          <w:p w14:paraId="140C7A80"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A类</w:t>
            </w:r>
          </w:p>
        </w:tc>
        <w:tc>
          <w:tcPr>
            <w:tcW w:w="518" w:type="pct"/>
            <w:vMerge w:val="restart"/>
            <w:tcBorders>
              <w:top w:val="single" w:sz="4" w:space="0" w:color="auto"/>
            </w:tcBorders>
            <w:vAlign w:val="center"/>
          </w:tcPr>
          <w:p w14:paraId="25F03835" w14:textId="77777777" w:rsidR="008C59B6" w:rsidRDefault="008C59B6" w:rsidP="00BF1AFC">
            <w:pPr>
              <w:pStyle w:val="13"/>
              <w:spacing w:line="240" w:lineRule="auto"/>
              <w:ind w:firstLineChars="100" w:firstLine="180"/>
              <w:rPr>
                <w:sz w:val="18"/>
                <w:szCs w:val="18"/>
              </w:rPr>
            </w:pPr>
            <w:r w:rsidRPr="008C59B6">
              <w:rPr>
                <w:rFonts w:hint="eastAsia"/>
                <w:sz w:val="18"/>
                <w:szCs w:val="18"/>
              </w:rPr>
              <w:t>宏观</w:t>
            </w:r>
          </w:p>
          <w:p w14:paraId="29D45D76" w14:textId="2B9C4AD9" w:rsidR="008C59B6" w:rsidRPr="008C59B6" w:rsidRDefault="008C59B6" w:rsidP="00BF1AFC">
            <w:pPr>
              <w:pStyle w:val="13"/>
              <w:spacing w:line="240" w:lineRule="auto"/>
              <w:ind w:firstLineChars="0" w:firstLine="0"/>
              <w:rPr>
                <w:sz w:val="18"/>
                <w:szCs w:val="18"/>
              </w:rPr>
            </w:pPr>
            <w:r w:rsidRPr="008C59B6">
              <w:rPr>
                <w:rFonts w:hint="eastAsia"/>
                <w:sz w:val="18"/>
                <w:szCs w:val="18"/>
              </w:rPr>
              <w:t>（国家）</w:t>
            </w:r>
          </w:p>
        </w:tc>
        <w:tc>
          <w:tcPr>
            <w:tcW w:w="734" w:type="pct"/>
            <w:vMerge w:val="restart"/>
            <w:vAlign w:val="center"/>
          </w:tcPr>
          <w:p w14:paraId="531241F8"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针对一个国家（或地区）的所有行业、所有企业 </w:t>
            </w:r>
          </w:p>
        </w:tc>
        <w:tc>
          <w:tcPr>
            <w:tcW w:w="1108" w:type="pct"/>
            <w:vMerge w:val="restart"/>
            <w:vAlign w:val="center"/>
          </w:tcPr>
          <w:p w14:paraId="7E79B995"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同一国家或地区时，属于一般性假设；不同国家或地区（跨国）属于针对性假设 </w:t>
            </w:r>
          </w:p>
        </w:tc>
        <w:tc>
          <w:tcPr>
            <w:tcW w:w="246" w:type="pct"/>
            <w:vAlign w:val="center"/>
          </w:tcPr>
          <w:p w14:paraId="1ED177F3" w14:textId="5F04A98C"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1</w:t>
            </w:r>
          </w:p>
        </w:tc>
        <w:tc>
          <w:tcPr>
            <w:tcW w:w="2085" w:type="pct"/>
            <w:vAlign w:val="center"/>
          </w:tcPr>
          <w:p w14:paraId="64F371A1"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政治、经济、文化体制及相关政策 </w:t>
            </w:r>
          </w:p>
        </w:tc>
      </w:tr>
      <w:tr w:rsidR="008C59B6" w:rsidRPr="008C59B6" w14:paraId="108B72AF" w14:textId="77777777" w:rsidTr="00C34C28">
        <w:trPr>
          <w:trHeight w:val="20"/>
        </w:trPr>
        <w:tc>
          <w:tcPr>
            <w:tcW w:w="310" w:type="pct"/>
            <w:vMerge/>
            <w:vAlign w:val="center"/>
          </w:tcPr>
          <w:p w14:paraId="41BC0D1C"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664FC2B0"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1CECB9C6"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409FA09E"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46E1B65F" w14:textId="50E95233"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2</w:t>
            </w:r>
          </w:p>
        </w:tc>
        <w:tc>
          <w:tcPr>
            <w:tcW w:w="2085" w:type="pct"/>
            <w:vAlign w:val="center"/>
          </w:tcPr>
          <w:p w14:paraId="5C1E46B5"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货币政策（利率）、汇率 </w:t>
            </w:r>
          </w:p>
        </w:tc>
      </w:tr>
      <w:tr w:rsidR="008C59B6" w:rsidRPr="008C59B6" w14:paraId="31ADF789" w14:textId="77777777" w:rsidTr="00C34C28">
        <w:trPr>
          <w:trHeight w:val="20"/>
        </w:trPr>
        <w:tc>
          <w:tcPr>
            <w:tcW w:w="310" w:type="pct"/>
            <w:vMerge/>
            <w:vAlign w:val="center"/>
          </w:tcPr>
          <w:p w14:paraId="50BB70C0"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41E15309"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7C3B5F93"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0CCE8C68"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6AED2AF3" w14:textId="22034F69"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3</w:t>
            </w:r>
          </w:p>
        </w:tc>
        <w:tc>
          <w:tcPr>
            <w:tcW w:w="2085" w:type="pct"/>
            <w:vAlign w:val="center"/>
          </w:tcPr>
          <w:p w14:paraId="27959CD2"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财政政策 </w:t>
            </w:r>
          </w:p>
        </w:tc>
      </w:tr>
      <w:tr w:rsidR="008C59B6" w:rsidRPr="008C59B6" w14:paraId="3BD3B3F4" w14:textId="77777777" w:rsidTr="00C34C28">
        <w:trPr>
          <w:trHeight w:val="20"/>
        </w:trPr>
        <w:tc>
          <w:tcPr>
            <w:tcW w:w="310" w:type="pct"/>
            <w:vMerge w:val="restart"/>
            <w:vAlign w:val="center"/>
          </w:tcPr>
          <w:p w14:paraId="79FE150A"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B类</w:t>
            </w:r>
          </w:p>
        </w:tc>
        <w:tc>
          <w:tcPr>
            <w:tcW w:w="518" w:type="pct"/>
            <w:vMerge w:val="restart"/>
            <w:vAlign w:val="center"/>
          </w:tcPr>
          <w:p w14:paraId="237A0B68" w14:textId="77777777" w:rsidR="008C59B6" w:rsidRPr="008C59B6" w:rsidRDefault="008C59B6" w:rsidP="00BF1AFC">
            <w:pPr>
              <w:pStyle w:val="13"/>
              <w:spacing w:line="240" w:lineRule="auto"/>
              <w:ind w:firstLineChars="100" w:firstLine="180"/>
              <w:rPr>
                <w:sz w:val="18"/>
                <w:szCs w:val="18"/>
              </w:rPr>
            </w:pPr>
            <w:r w:rsidRPr="008C59B6">
              <w:rPr>
                <w:rFonts w:hint="eastAsia"/>
                <w:sz w:val="18"/>
                <w:szCs w:val="18"/>
              </w:rPr>
              <w:t>中观</w:t>
            </w:r>
          </w:p>
          <w:p w14:paraId="1C14687B"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（行业）</w:t>
            </w:r>
          </w:p>
        </w:tc>
        <w:tc>
          <w:tcPr>
            <w:tcW w:w="734" w:type="pct"/>
            <w:vMerge w:val="restart"/>
            <w:vAlign w:val="center"/>
          </w:tcPr>
          <w:p w14:paraId="55F8E60A"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针对同一行业（或地区）的所有企业 </w:t>
            </w:r>
          </w:p>
        </w:tc>
        <w:tc>
          <w:tcPr>
            <w:tcW w:w="1108" w:type="pct"/>
            <w:vMerge w:val="restart"/>
            <w:vAlign w:val="center"/>
          </w:tcPr>
          <w:p w14:paraId="489DDFAE"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同一行业或地区时，属于一般性假设；不同行业或地区（跨国）属于针对性假设 </w:t>
            </w:r>
          </w:p>
        </w:tc>
        <w:tc>
          <w:tcPr>
            <w:tcW w:w="246" w:type="pct"/>
            <w:vAlign w:val="center"/>
          </w:tcPr>
          <w:p w14:paraId="6B9AEC14" w14:textId="740A43A9"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1</w:t>
            </w:r>
          </w:p>
        </w:tc>
        <w:tc>
          <w:tcPr>
            <w:tcW w:w="2085" w:type="pct"/>
            <w:vAlign w:val="center"/>
          </w:tcPr>
          <w:p w14:paraId="315F9B40"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产业政策 </w:t>
            </w:r>
          </w:p>
        </w:tc>
      </w:tr>
      <w:tr w:rsidR="008C59B6" w:rsidRPr="008C59B6" w14:paraId="552A9AC0" w14:textId="77777777" w:rsidTr="00C34C28">
        <w:trPr>
          <w:trHeight w:val="20"/>
        </w:trPr>
        <w:tc>
          <w:tcPr>
            <w:tcW w:w="310" w:type="pct"/>
            <w:vMerge/>
            <w:vAlign w:val="center"/>
          </w:tcPr>
          <w:p w14:paraId="43AB58FA"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1F8157A6"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400C3334"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2F1518B3"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57615774" w14:textId="48D2A66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2</w:t>
            </w:r>
          </w:p>
        </w:tc>
        <w:tc>
          <w:tcPr>
            <w:tcW w:w="2085" w:type="pct"/>
            <w:vAlign w:val="center"/>
          </w:tcPr>
          <w:p w14:paraId="4C64E178"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行业准入 </w:t>
            </w:r>
          </w:p>
        </w:tc>
      </w:tr>
      <w:tr w:rsidR="008C59B6" w:rsidRPr="008C59B6" w14:paraId="03EA6BFB" w14:textId="77777777" w:rsidTr="00C34C28">
        <w:trPr>
          <w:trHeight w:val="20"/>
        </w:trPr>
        <w:tc>
          <w:tcPr>
            <w:tcW w:w="310" w:type="pct"/>
            <w:vMerge/>
            <w:vAlign w:val="center"/>
          </w:tcPr>
          <w:p w14:paraId="5E7F8FA4"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5EB662E3"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15FC9647"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161DE648"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14180C62" w14:textId="54468892"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3</w:t>
            </w:r>
          </w:p>
        </w:tc>
        <w:tc>
          <w:tcPr>
            <w:tcW w:w="2085" w:type="pct"/>
            <w:vAlign w:val="center"/>
          </w:tcPr>
          <w:p w14:paraId="799FD63A"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差别利率 </w:t>
            </w:r>
          </w:p>
        </w:tc>
      </w:tr>
      <w:tr w:rsidR="008C59B6" w:rsidRPr="008C59B6" w14:paraId="6377A9C7" w14:textId="77777777" w:rsidTr="00C34C28">
        <w:trPr>
          <w:trHeight w:val="20"/>
        </w:trPr>
        <w:tc>
          <w:tcPr>
            <w:tcW w:w="310" w:type="pct"/>
            <w:vMerge/>
            <w:vAlign w:val="center"/>
          </w:tcPr>
          <w:p w14:paraId="533D27DE"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6C2F4584"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6C8AB8EF"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20E59CE4"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23C0983E" w14:textId="30F229FF"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4</w:t>
            </w:r>
          </w:p>
        </w:tc>
        <w:tc>
          <w:tcPr>
            <w:tcW w:w="2085" w:type="pct"/>
            <w:vAlign w:val="center"/>
          </w:tcPr>
          <w:p w14:paraId="2E9D4BF4"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区域经济政策（新区、开发区、振兴区） </w:t>
            </w:r>
          </w:p>
        </w:tc>
      </w:tr>
      <w:tr w:rsidR="008C59B6" w:rsidRPr="008C59B6" w14:paraId="0568AC37" w14:textId="77777777" w:rsidTr="00C34C28">
        <w:trPr>
          <w:trHeight w:val="20"/>
        </w:trPr>
        <w:tc>
          <w:tcPr>
            <w:tcW w:w="310" w:type="pct"/>
            <w:vMerge/>
            <w:vAlign w:val="center"/>
          </w:tcPr>
          <w:p w14:paraId="00B924D8"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59C71502"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457DE3D1"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0999920F"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638507B6" w14:textId="5541F720"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5</w:t>
            </w:r>
          </w:p>
        </w:tc>
        <w:tc>
          <w:tcPr>
            <w:tcW w:w="2085" w:type="pct"/>
            <w:vAlign w:val="center"/>
          </w:tcPr>
          <w:p w14:paraId="0185CF27"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环保、土地 </w:t>
            </w:r>
          </w:p>
        </w:tc>
      </w:tr>
      <w:tr w:rsidR="008C59B6" w:rsidRPr="008C59B6" w14:paraId="7EB2FA7A" w14:textId="77777777" w:rsidTr="00C34C28">
        <w:trPr>
          <w:trHeight w:val="20"/>
        </w:trPr>
        <w:tc>
          <w:tcPr>
            <w:tcW w:w="310" w:type="pct"/>
            <w:vMerge w:val="restart"/>
            <w:vAlign w:val="center"/>
          </w:tcPr>
          <w:p w14:paraId="1BA3716E"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C类</w:t>
            </w:r>
          </w:p>
        </w:tc>
        <w:tc>
          <w:tcPr>
            <w:tcW w:w="518" w:type="pct"/>
            <w:vMerge w:val="restart"/>
            <w:vAlign w:val="center"/>
          </w:tcPr>
          <w:p w14:paraId="684357D1"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企业</w:t>
            </w:r>
          </w:p>
        </w:tc>
        <w:tc>
          <w:tcPr>
            <w:tcW w:w="734" w:type="pct"/>
            <w:vMerge w:val="restart"/>
            <w:vAlign w:val="center"/>
          </w:tcPr>
          <w:p w14:paraId="7A8CD915"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针对企业 </w:t>
            </w:r>
          </w:p>
        </w:tc>
        <w:tc>
          <w:tcPr>
            <w:tcW w:w="1108" w:type="pct"/>
            <w:vMerge w:val="restart"/>
            <w:vAlign w:val="center"/>
          </w:tcPr>
          <w:p w14:paraId="0870EF39"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属于针对性假设 </w:t>
            </w:r>
          </w:p>
        </w:tc>
        <w:tc>
          <w:tcPr>
            <w:tcW w:w="246" w:type="pct"/>
            <w:vAlign w:val="center"/>
          </w:tcPr>
          <w:p w14:paraId="6F960318" w14:textId="5EB25825"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1</w:t>
            </w:r>
          </w:p>
        </w:tc>
        <w:tc>
          <w:tcPr>
            <w:tcW w:w="2085" w:type="pct"/>
            <w:vAlign w:val="center"/>
          </w:tcPr>
          <w:p w14:paraId="6901A20F"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生产经营模式 </w:t>
            </w:r>
          </w:p>
        </w:tc>
      </w:tr>
      <w:tr w:rsidR="008C59B6" w:rsidRPr="008C59B6" w14:paraId="2D5F56E9" w14:textId="77777777" w:rsidTr="00C34C28">
        <w:trPr>
          <w:trHeight w:val="20"/>
        </w:trPr>
        <w:tc>
          <w:tcPr>
            <w:tcW w:w="310" w:type="pct"/>
            <w:vMerge/>
            <w:vAlign w:val="center"/>
          </w:tcPr>
          <w:p w14:paraId="33402324"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3E90E9A1"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585F9F40"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676D4B51"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66EF3FEF" w14:textId="7AEC7541"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2</w:t>
            </w:r>
          </w:p>
        </w:tc>
        <w:tc>
          <w:tcPr>
            <w:tcW w:w="2085" w:type="pct"/>
            <w:vAlign w:val="center"/>
          </w:tcPr>
          <w:p w14:paraId="0374A80B"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业务（产品）种类 </w:t>
            </w:r>
          </w:p>
        </w:tc>
      </w:tr>
      <w:tr w:rsidR="008C59B6" w:rsidRPr="008C59B6" w14:paraId="244218F6" w14:textId="77777777" w:rsidTr="00C34C28">
        <w:trPr>
          <w:trHeight w:val="20"/>
        </w:trPr>
        <w:tc>
          <w:tcPr>
            <w:tcW w:w="310" w:type="pct"/>
            <w:vMerge/>
            <w:vAlign w:val="center"/>
          </w:tcPr>
          <w:p w14:paraId="3D95E2DD"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3A2D174B"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6EE37E5F"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2873F275"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0329345F" w14:textId="5C5B3B71"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3</w:t>
            </w:r>
          </w:p>
        </w:tc>
        <w:tc>
          <w:tcPr>
            <w:tcW w:w="2085" w:type="pct"/>
            <w:vAlign w:val="center"/>
          </w:tcPr>
          <w:p w14:paraId="5ECAC706"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业务规模、经营计划 </w:t>
            </w:r>
          </w:p>
        </w:tc>
      </w:tr>
      <w:tr w:rsidR="008C59B6" w:rsidRPr="008C59B6" w14:paraId="278A92CE" w14:textId="77777777" w:rsidTr="00C34C28">
        <w:trPr>
          <w:trHeight w:val="20"/>
        </w:trPr>
        <w:tc>
          <w:tcPr>
            <w:tcW w:w="310" w:type="pct"/>
            <w:vMerge/>
            <w:vAlign w:val="center"/>
          </w:tcPr>
          <w:p w14:paraId="16C44F71"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04284CC4"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19159CD9"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6D2EF9A9"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3E2CB783" w14:textId="33044F91"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4</w:t>
            </w:r>
          </w:p>
        </w:tc>
        <w:tc>
          <w:tcPr>
            <w:tcW w:w="2085" w:type="pct"/>
            <w:vAlign w:val="center"/>
          </w:tcPr>
          <w:p w14:paraId="548904D0"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行业地位 </w:t>
            </w:r>
          </w:p>
        </w:tc>
      </w:tr>
      <w:tr w:rsidR="008C59B6" w:rsidRPr="008C59B6" w14:paraId="6C07C8A8" w14:textId="77777777" w:rsidTr="00C34C28">
        <w:trPr>
          <w:trHeight w:val="20"/>
        </w:trPr>
        <w:tc>
          <w:tcPr>
            <w:tcW w:w="310" w:type="pct"/>
            <w:vMerge/>
            <w:vAlign w:val="center"/>
          </w:tcPr>
          <w:p w14:paraId="0A2EAA40"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3B4622AE"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0CAD475A"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6E970EE0"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342296A5" w14:textId="476D4EA2"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5</w:t>
            </w:r>
          </w:p>
        </w:tc>
        <w:tc>
          <w:tcPr>
            <w:tcW w:w="2085" w:type="pct"/>
            <w:vAlign w:val="center"/>
          </w:tcPr>
          <w:p w14:paraId="2DFA07BE"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经营管理方式、管理水平 </w:t>
            </w:r>
          </w:p>
        </w:tc>
      </w:tr>
      <w:tr w:rsidR="008C59B6" w:rsidRPr="008C59B6" w14:paraId="3E3D7C19" w14:textId="77777777" w:rsidTr="00C34C28">
        <w:trPr>
          <w:trHeight w:val="20"/>
        </w:trPr>
        <w:tc>
          <w:tcPr>
            <w:tcW w:w="310" w:type="pct"/>
            <w:vMerge/>
            <w:vAlign w:val="center"/>
          </w:tcPr>
          <w:p w14:paraId="01A9BD8F"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67D9D969"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2B766F68"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799CBB0D"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0CC0CC80" w14:textId="476E785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6</w:t>
            </w:r>
          </w:p>
        </w:tc>
        <w:tc>
          <w:tcPr>
            <w:tcW w:w="2085" w:type="pct"/>
            <w:vAlign w:val="center"/>
          </w:tcPr>
          <w:p w14:paraId="5B71F7D5"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会计政策 </w:t>
            </w:r>
          </w:p>
        </w:tc>
      </w:tr>
      <w:tr w:rsidR="008C59B6" w:rsidRPr="008C59B6" w14:paraId="632ED360" w14:textId="77777777" w:rsidTr="00C34C28">
        <w:trPr>
          <w:trHeight w:val="20"/>
        </w:trPr>
        <w:tc>
          <w:tcPr>
            <w:tcW w:w="310" w:type="pct"/>
            <w:vMerge/>
            <w:vAlign w:val="center"/>
          </w:tcPr>
          <w:p w14:paraId="57CE9D21"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2C6ED0DC"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324F418B"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25923F20"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768C68FE" w14:textId="740B7320"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7</w:t>
            </w:r>
          </w:p>
        </w:tc>
        <w:tc>
          <w:tcPr>
            <w:tcW w:w="2085" w:type="pct"/>
            <w:vAlign w:val="center"/>
          </w:tcPr>
          <w:p w14:paraId="03A4C539"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税收优惠/减免政策；汇率 </w:t>
            </w:r>
          </w:p>
        </w:tc>
      </w:tr>
      <w:tr w:rsidR="008C59B6" w:rsidRPr="008C59B6" w14:paraId="78A480F4" w14:textId="77777777" w:rsidTr="00C34C28">
        <w:trPr>
          <w:trHeight w:val="20"/>
        </w:trPr>
        <w:tc>
          <w:tcPr>
            <w:tcW w:w="310" w:type="pct"/>
            <w:vMerge/>
            <w:vAlign w:val="center"/>
          </w:tcPr>
          <w:p w14:paraId="16700882"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630315A7"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08628AE0"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477679BC"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2728EA47" w14:textId="764C8470"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8</w:t>
            </w:r>
          </w:p>
        </w:tc>
        <w:tc>
          <w:tcPr>
            <w:tcW w:w="2085" w:type="pct"/>
            <w:vAlign w:val="center"/>
          </w:tcPr>
          <w:p w14:paraId="67B07C7C"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政府补贴 </w:t>
            </w:r>
          </w:p>
        </w:tc>
      </w:tr>
      <w:tr w:rsidR="008C59B6" w:rsidRPr="008C59B6" w14:paraId="0B05B3CA" w14:textId="77777777" w:rsidTr="00C34C28">
        <w:trPr>
          <w:trHeight w:val="213"/>
        </w:trPr>
        <w:tc>
          <w:tcPr>
            <w:tcW w:w="310" w:type="pct"/>
            <w:vMerge/>
            <w:vAlign w:val="center"/>
          </w:tcPr>
          <w:p w14:paraId="59F3FDA9" w14:textId="77777777" w:rsidR="008C59B6" w:rsidRPr="008C59B6" w:rsidRDefault="008C59B6" w:rsidP="00BF1AFC">
            <w:pPr>
              <w:pStyle w:val="13"/>
              <w:spacing w:line="240" w:lineRule="auto"/>
              <w:ind w:firstLineChars="0" w:firstLine="0"/>
              <w:jc w:val="center"/>
              <w:rPr>
                <w:sz w:val="18"/>
                <w:szCs w:val="18"/>
              </w:rPr>
            </w:pPr>
          </w:p>
        </w:tc>
        <w:tc>
          <w:tcPr>
            <w:tcW w:w="518" w:type="pct"/>
            <w:vMerge/>
            <w:vAlign w:val="center"/>
          </w:tcPr>
          <w:p w14:paraId="00572154" w14:textId="77777777" w:rsidR="008C59B6" w:rsidRPr="008C59B6" w:rsidRDefault="008C59B6" w:rsidP="00BF1AFC">
            <w:pPr>
              <w:pStyle w:val="13"/>
              <w:spacing w:line="240" w:lineRule="auto"/>
              <w:ind w:firstLineChars="0" w:firstLine="0"/>
              <w:jc w:val="center"/>
              <w:rPr>
                <w:sz w:val="18"/>
                <w:szCs w:val="18"/>
              </w:rPr>
            </w:pPr>
          </w:p>
        </w:tc>
        <w:tc>
          <w:tcPr>
            <w:tcW w:w="734" w:type="pct"/>
            <w:vMerge/>
            <w:vAlign w:val="center"/>
          </w:tcPr>
          <w:p w14:paraId="29A63A55" w14:textId="77777777" w:rsidR="008C59B6" w:rsidRPr="008C59B6" w:rsidRDefault="008C59B6" w:rsidP="00BF1AFC">
            <w:pPr>
              <w:pStyle w:val="13"/>
              <w:spacing w:line="240" w:lineRule="auto"/>
              <w:ind w:firstLineChars="0" w:firstLine="0"/>
              <w:rPr>
                <w:sz w:val="18"/>
                <w:szCs w:val="18"/>
              </w:rPr>
            </w:pPr>
          </w:p>
        </w:tc>
        <w:tc>
          <w:tcPr>
            <w:tcW w:w="1108" w:type="pct"/>
            <w:vMerge/>
            <w:vAlign w:val="center"/>
          </w:tcPr>
          <w:p w14:paraId="691885CD"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6CD1F72A" w14:textId="7081B99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9</w:t>
            </w:r>
          </w:p>
        </w:tc>
        <w:tc>
          <w:tcPr>
            <w:tcW w:w="2085" w:type="pct"/>
            <w:vAlign w:val="center"/>
          </w:tcPr>
          <w:p w14:paraId="4E040376"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 xml:space="preserve">其他假设（如相关收益方式和分类协议） </w:t>
            </w:r>
          </w:p>
        </w:tc>
      </w:tr>
      <w:tr w:rsidR="008C59B6" w:rsidRPr="008C59B6" w14:paraId="70390129" w14:textId="77777777" w:rsidTr="00C34C28">
        <w:trPr>
          <w:trHeight w:val="20"/>
        </w:trPr>
        <w:tc>
          <w:tcPr>
            <w:tcW w:w="310" w:type="pct"/>
            <w:vMerge w:val="restart"/>
            <w:vAlign w:val="center"/>
          </w:tcPr>
          <w:p w14:paraId="74CF11C3"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D类</w:t>
            </w:r>
          </w:p>
        </w:tc>
        <w:tc>
          <w:tcPr>
            <w:tcW w:w="518" w:type="pct"/>
            <w:vMerge w:val="restart"/>
            <w:vAlign w:val="center"/>
          </w:tcPr>
          <w:p w14:paraId="46E96DAF"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资产</w:t>
            </w:r>
          </w:p>
        </w:tc>
        <w:tc>
          <w:tcPr>
            <w:tcW w:w="734" w:type="pct"/>
            <w:vMerge w:val="restart"/>
            <w:vAlign w:val="center"/>
          </w:tcPr>
          <w:p w14:paraId="0421B88E"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针对资产</w:t>
            </w:r>
          </w:p>
        </w:tc>
        <w:tc>
          <w:tcPr>
            <w:tcW w:w="1108" w:type="pct"/>
            <w:vMerge w:val="restart"/>
            <w:vAlign w:val="center"/>
          </w:tcPr>
          <w:p w14:paraId="1CB1DB3B"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属于针对性假设</w:t>
            </w:r>
          </w:p>
        </w:tc>
        <w:tc>
          <w:tcPr>
            <w:tcW w:w="246" w:type="pct"/>
            <w:vAlign w:val="center"/>
          </w:tcPr>
          <w:p w14:paraId="6E343063"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1</w:t>
            </w:r>
          </w:p>
        </w:tc>
        <w:tc>
          <w:tcPr>
            <w:tcW w:w="2085" w:type="pct"/>
            <w:vAlign w:val="center"/>
          </w:tcPr>
          <w:p w14:paraId="63312A84"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继续使用或者变现</w:t>
            </w:r>
          </w:p>
        </w:tc>
      </w:tr>
      <w:tr w:rsidR="008C59B6" w:rsidRPr="008C59B6" w14:paraId="0633D1BB" w14:textId="77777777" w:rsidTr="00C34C28">
        <w:trPr>
          <w:trHeight w:val="20"/>
        </w:trPr>
        <w:tc>
          <w:tcPr>
            <w:tcW w:w="310" w:type="pct"/>
            <w:vMerge/>
          </w:tcPr>
          <w:p w14:paraId="55EE81B9" w14:textId="77777777" w:rsidR="008C59B6" w:rsidRPr="008C59B6" w:rsidRDefault="008C59B6" w:rsidP="00BF1AFC">
            <w:pPr>
              <w:pStyle w:val="13"/>
              <w:spacing w:line="240" w:lineRule="auto"/>
              <w:ind w:firstLineChars="0" w:firstLine="0"/>
              <w:rPr>
                <w:sz w:val="18"/>
                <w:szCs w:val="18"/>
              </w:rPr>
            </w:pPr>
          </w:p>
        </w:tc>
        <w:tc>
          <w:tcPr>
            <w:tcW w:w="518" w:type="pct"/>
            <w:vMerge/>
          </w:tcPr>
          <w:p w14:paraId="39F36B8D" w14:textId="77777777" w:rsidR="008C59B6" w:rsidRPr="008C59B6" w:rsidRDefault="008C59B6" w:rsidP="00BF1AFC">
            <w:pPr>
              <w:pStyle w:val="13"/>
              <w:spacing w:line="240" w:lineRule="auto"/>
              <w:ind w:firstLineChars="0" w:firstLine="0"/>
              <w:rPr>
                <w:sz w:val="18"/>
                <w:szCs w:val="18"/>
              </w:rPr>
            </w:pPr>
          </w:p>
        </w:tc>
        <w:tc>
          <w:tcPr>
            <w:tcW w:w="734" w:type="pct"/>
            <w:vMerge/>
          </w:tcPr>
          <w:p w14:paraId="4A71D5CA" w14:textId="77777777" w:rsidR="008C59B6" w:rsidRPr="008C59B6" w:rsidRDefault="008C59B6" w:rsidP="00BF1AFC">
            <w:pPr>
              <w:pStyle w:val="13"/>
              <w:spacing w:line="240" w:lineRule="auto"/>
              <w:ind w:firstLineChars="0" w:firstLine="0"/>
              <w:rPr>
                <w:sz w:val="18"/>
                <w:szCs w:val="18"/>
              </w:rPr>
            </w:pPr>
          </w:p>
        </w:tc>
        <w:tc>
          <w:tcPr>
            <w:tcW w:w="1108" w:type="pct"/>
            <w:vMerge/>
          </w:tcPr>
          <w:p w14:paraId="0C2390DC"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4B78FFAB"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2</w:t>
            </w:r>
          </w:p>
        </w:tc>
        <w:tc>
          <w:tcPr>
            <w:tcW w:w="2085" w:type="pct"/>
            <w:vAlign w:val="center"/>
          </w:tcPr>
          <w:p w14:paraId="7BF5225A"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原地使用或者移地使用</w:t>
            </w:r>
          </w:p>
        </w:tc>
      </w:tr>
      <w:tr w:rsidR="008C59B6" w:rsidRPr="008C59B6" w14:paraId="5F71ACE3" w14:textId="77777777" w:rsidTr="00C34C28">
        <w:trPr>
          <w:trHeight w:val="20"/>
        </w:trPr>
        <w:tc>
          <w:tcPr>
            <w:tcW w:w="310" w:type="pct"/>
            <w:vMerge/>
          </w:tcPr>
          <w:p w14:paraId="0D01B04E" w14:textId="77777777" w:rsidR="008C59B6" w:rsidRPr="008C59B6" w:rsidRDefault="008C59B6" w:rsidP="00BF1AFC">
            <w:pPr>
              <w:pStyle w:val="13"/>
              <w:spacing w:line="240" w:lineRule="auto"/>
              <w:ind w:firstLineChars="0" w:firstLine="0"/>
              <w:rPr>
                <w:sz w:val="18"/>
                <w:szCs w:val="18"/>
              </w:rPr>
            </w:pPr>
          </w:p>
        </w:tc>
        <w:tc>
          <w:tcPr>
            <w:tcW w:w="518" w:type="pct"/>
            <w:vMerge/>
          </w:tcPr>
          <w:p w14:paraId="14D54AC0" w14:textId="77777777" w:rsidR="008C59B6" w:rsidRPr="008C59B6" w:rsidRDefault="008C59B6" w:rsidP="00BF1AFC">
            <w:pPr>
              <w:pStyle w:val="13"/>
              <w:spacing w:line="240" w:lineRule="auto"/>
              <w:ind w:firstLineChars="0" w:firstLine="0"/>
              <w:rPr>
                <w:sz w:val="18"/>
                <w:szCs w:val="18"/>
              </w:rPr>
            </w:pPr>
          </w:p>
        </w:tc>
        <w:tc>
          <w:tcPr>
            <w:tcW w:w="734" w:type="pct"/>
            <w:vMerge/>
          </w:tcPr>
          <w:p w14:paraId="55A153E2" w14:textId="77777777" w:rsidR="008C59B6" w:rsidRPr="008C59B6" w:rsidRDefault="008C59B6" w:rsidP="00BF1AFC">
            <w:pPr>
              <w:pStyle w:val="13"/>
              <w:spacing w:line="240" w:lineRule="auto"/>
              <w:ind w:firstLineChars="0" w:firstLine="0"/>
              <w:rPr>
                <w:sz w:val="18"/>
                <w:szCs w:val="18"/>
              </w:rPr>
            </w:pPr>
          </w:p>
        </w:tc>
        <w:tc>
          <w:tcPr>
            <w:tcW w:w="1108" w:type="pct"/>
            <w:vMerge/>
          </w:tcPr>
          <w:p w14:paraId="291BDE6B"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2D307621"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3</w:t>
            </w:r>
          </w:p>
        </w:tc>
        <w:tc>
          <w:tcPr>
            <w:tcW w:w="2085" w:type="pct"/>
            <w:vAlign w:val="center"/>
          </w:tcPr>
          <w:p w14:paraId="37309FDD"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现行用途使用或者改变用途使用</w:t>
            </w:r>
          </w:p>
        </w:tc>
      </w:tr>
      <w:tr w:rsidR="008C59B6" w:rsidRPr="008C59B6" w14:paraId="41610FA4" w14:textId="77777777" w:rsidTr="00C34C28">
        <w:trPr>
          <w:trHeight w:val="20"/>
        </w:trPr>
        <w:tc>
          <w:tcPr>
            <w:tcW w:w="310" w:type="pct"/>
          </w:tcPr>
          <w:p w14:paraId="270264DF" w14:textId="77777777" w:rsidR="008C59B6" w:rsidRPr="008C59B6" w:rsidRDefault="008C59B6" w:rsidP="00BF1AFC">
            <w:pPr>
              <w:pStyle w:val="13"/>
              <w:spacing w:line="240" w:lineRule="auto"/>
              <w:ind w:firstLineChars="0" w:firstLine="0"/>
              <w:rPr>
                <w:sz w:val="18"/>
                <w:szCs w:val="18"/>
              </w:rPr>
            </w:pPr>
          </w:p>
        </w:tc>
        <w:tc>
          <w:tcPr>
            <w:tcW w:w="518" w:type="pct"/>
          </w:tcPr>
          <w:p w14:paraId="21E481C6" w14:textId="77777777" w:rsidR="008C59B6" w:rsidRPr="008C59B6" w:rsidRDefault="008C59B6" w:rsidP="00BF1AFC">
            <w:pPr>
              <w:pStyle w:val="13"/>
              <w:spacing w:line="240" w:lineRule="auto"/>
              <w:ind w:firstLineChars="0" w:firstLine="0"/>
              <w:rPr>
                <w:sz w:val="18"/>
                <w:szCs w:val="18"/>
              </w:rPr>
            </w:pPr>
          </w:p>
        </w:tc>
        <w:tc>
          <w:tcPr>
            <w:tcW w:w="734" w:type="pct"/>
          </w:tcPr>
          <w:p w14:paraId="56535CB3" w14:textId="77777777" w:rsidR="008C59B6" w:rsidRPr="008C59B6" w:rsidRDefault="008C59B6" w:rsidP="00BF1AFC">
            <w:pPr>
              <w:pStyle w:val="13"/>
              <w:spacing w:line="240" w:lineRule="auto"/>
              <w:ind w:firstLineChars="0" w:firstLine="0"/>
              <w:rPr>
                <w:sz w:val="18"/>
                <w:szCs w:val="18"/>
              </w:rPr>
            </w:pPr>
          </w:p>
        </w:tc>
        <w:tc>
          <w:tcPr>
            <w:tcW w:w="1108" w:type="pct"/>
          </w:tcPr>
          <w:p w14:paraId="57181BB6" w14:textId="77777777" w:rsidR="008C59B6" w:rsidRPr="008C59B6" w:rsidRDefault="008C59B6" w:rsidP="00BF1AFC">
            <w:pPr>
              <w:pStyle w:val="13"/>
              <w:spacing w:line="240" w:lineRule="auto"/>
              <w:ind w:firstLineChars="0" w:firstLine="0"/>
              <w:rPr>
                <w:sz w:val="18"/>
                <w:szCs w:val="18"/>
              </w:rPr>
            </w:pPr>
          </w:p>
        </w:tc>
        <w:tc>
          <w:tcPr>
            <w:tcW w:w="246" w:type="pct"/>
            <w:vAlign w:val="center"/>
          </w:tcPr>
          <w:p w14:paraId="52EC0968" w14:textId="77777777" w:rsidR="008C59B6" w:rsidRPr="008C59B6" w:rsidRDefault="008C59B6" w:rsidP="00BF1AFC">
            <w:pPr>
              <w:pStyle w:val="13"/>
              <w:spacing w:line="240" w:lineRule="auto"/>
              <w:ind w:firstLineChars="0" w:firstLine="0"/>
              <w:jc w:val="center"/>
              <w:rPr>
                <w:sz w:val="18"/>
                <w:szCs w:val="18"/>
              </w:rPr>
            </w:pPr>
            <w:r w:rsidRPr="008C59B6">
              <w:rPr>
                <w:rFonts w:hint="eastAsia"/>
                <w:sz w:val="18"/>
                <w:szCs w:val="18"/>
              </w:rPr>
              <w:t>4</w:t>
            </w:r>
          </w:p>
        </w:tc>
        <w:tc>
          <w:tcPr>
            <w:tcW w:w="2085" w:type="pct"/>
            <w:vAlign w:val="center"/>
          </w:tcPr>
          <w:p w14:paraId="4431B106" w14:textId="77777777" w:rsidR="008C59B6" w:rsidRPr="008C59B6" w:rsidRDefault="008C59B6" w:rsidP="00BF1AFC">
            <w:pPr>
              <w:pStyle w:val="13"/>
              <w:spacing w:line="240" w:lineRule="auto"/>
              <w:ind w:firstLineChars="0" w:firstLine="0"/>
              <w:rPr>
                <w:sz w:val="18"/>
                <w:szCs w:val="18"/>
              </w:rPr>
            </w:pPr>
            <w:r w:rsidRPr="008C59B6">
              <w:rPr>
                <w:rFonts w:hint="eastAsia"/>
                <w:sz w:val="18"/>
                <w:szCs w:val="18"/>
              </w:rPr>
              <w:t>其他假设（如资产用途）</w:t>
            </w:r>
          </w:p>
        </w:tc>
      </w:tr>
    </w:tbl>
    <w:p w14:paraId="32085ACA" w14:textId="77777777" w:rsidR="00D935FC" w:rsidRPr="00D935FC" w:rsidRDefault="00D935FC" w:rsidP="00D935FC">
      <w:pPr>
        <w:pStyle w:val="13"/>
      </w:pPr>
      <w:r w:rsidRPr="00D935FC">
        <w:rPr>
          <w:rFonts w:hint="eastAsia"/>
        </w:rPr>
        <w:lastRenderedPageBreak/>
        <w:t>但是，上述假设不是一个具体评估项目应当包括的假设。</w:t>
      </w:r>
    </w:p>
    <w:p w14:paraId="058FC6BC" w14:textId="77777777" w:rsidR="00D935FC" w:rsidRPr="00D935FC" w:rsidRDefault="00D935FC" w:rsidP="00D935FC">
      <w:pPr>
        <w:pStyle w:val="13"/>
        <w:ind w:firstLine="482"/>
        <w:rPr>
          <w:b/>
          <w:bCs/>
        </w:rPr>
      </w:pPr>
      <w:r w:rsidRPr="00D935FC">
        <w:rPr>
          <w:rFonts w:hint="eastAsia"/>
          <w:b/>
          <w:bCs/>
        </w:rPr>
        <w:t>三、评估假设使用</w:t>
      </w:r>
    </w:p>
    <w:p w14:paraId="77C7DB7B" w14:textId="77777777" w:rsidR="00D935FC" w:rsidRPr="00D935FC" w:rsidRDefault="00D935FC" w:rsidP="00D935FC">
      <w:pPr>
        <w:pStyle w:val="13"/>
      </w:pPr>
      <w:r w:rsidRPr="00D935FC">
        <w:rPr>
          <w:rFonts w:hint="eastAsia"/>
        </w:rPr>
        <w:t>1．评估</w:t>
      </w:r>
      <w:r w:rsidRPr="00D935FC">
        <w:t>假设使用</w:t>
      </w:r>
      <w:r w:rsidRPr="00D935FC">
        <w:rPr>
          <w:rFonts w:hint="eastAsia"/>
        </w:rPr>
        <w:t>的基本</w:t>
      </w:r>
      <w:r w:rsidRPr="00D935FC">
        <w:t>原则</w:t>
      </w:r>
    </w:p>
    <w:p w14:paraId="493BFEEF" w14:textId="77777777" w:rsidR="00D935FC" w:rsidRPr="00D935FC" w:rsidRDefault="00D935FC" w:rsidP="00D935FC">
      <w:pPr>
        <w:pStyle w:val="13"/>
      </w:pPr>
      <w:r w:rsidRPr="00D935FC">
        <w:t>合理性。使用的评估假设，都应建立在</w:t>
      </w:r>
      <w:r w:rsidRPr="00D935FC">
        <w:rPr>
          <w:rFonts w:hint="eastAsia"/>
        </w:rPr>
        <w:t>一定依据、</w:t>
      </w:r>
      <w:r w:rsidRPr="00D935FC">
        <w:t>合理推断、逻辑推理的前提下，设定的假设都存在发生的可能性，假设不可能发生的情形，是不合理的假设；</w:t>
      </w:r>
    </w:p>
    <w:p w14:paraId="1DAFFD67" w14:textId="77777777" w:rsidR="00D935FC" w:rsidRPr="00D935FC" w:rsidRDefault="00D935FC" w:rsidP="00D935FC">
      <w:pPr>
        <w:pStyle w:val="13"/>
      </w:pPr>
      <w:r w:rsidRPr="00D935FC">
        <w:t>针对性。</w:t>
      </w:r>
      <w:r w:rsidRPr="00D935FC">
        <w:rPr>
          <w:rFonts w:hint="eastAsia"/>
        </w:rPr>
        <w:t>评估假设与收益法评估中的未来</w:t>
      </w:r>
      <w:r w:rsidRPr="00D935FC">
        <w:t>收益预测</w:t>
      </w:r>
      <w:r w:rsidRPr="00D935FC">
        <w:rPr>
          <w:rFonts w:hint="eastAsia"/>
        </w:rPr>
        <w:t>假设不同。</w:t>
      </w:r>
      <w:r w:rsidRPr="00D935FC">
        <w:t>对企业收益参数的预测存在确定基准，使用的评估假设应当</w:t>
      </w:r>
      <w:r w:rsidRPr="00D935FC">
        <w:rPr>
          <w:rFonts w:hint="eastAsia"/>
        </w:rPr>
        <w:t>具有针对性，即</w:t>
      </w:r>
      <w:r w:rsidRPr="00D935FC">
        <w:t>针对具体</w:t>
      </w:r>
      <w:r w:rsidRPr="00D935FC">
        <w:rPr>
          <w:rFonts w:hint="eastAsia"/>
        </w:rPr>
        <w:t>预测</w:t>
      </w:r>
      <w:r w:rsidRPr="00D935FC">
        <w:t>参数。如以企业销售收入一定比例预测管理费用的基准是企业经营管理方式不变；</w:t>
      </w:r>
    </w:p>
    <w:p w14:paraId="03992573" w14:textId="77777777" w:rsidR="00D935FC" w:rsidRPr="00D935FC" w:rsidRDefault="00D935FC" w:rsidP="00D935FC">
      <w:pPr>
        <w:pStyle w:val="13"/>
      </w:pPr>
      <w:r w:rsidRPr="00D935FC">
        <w:t>相关性。使用的评估假设与评估项目实际情况相关；与评估结论形成过程相关；</w:t>
      </w:r>
    </w:p>
    <w:p w14:paraId="253E55C4" w14:textId="77777777" w:rsidR="00D935FC" w:rsidRPr="00D935FC" w:rsidRDefault="00D935FC" w:rsidP="00D935FC">
      <w:pPr>
        <w:pStyle w:val="13"/>
      </w:pPr>
      <w:r w:rsidRPr="00D935FC">
        <w:t>全面性。使用的评估假设应当包括与评估结论形成相关的各个方面；</w:t>
      </w:r>
    </w:p>
    <w:p w14:paraId="636D0164" w14:textId="77777777" w:rsidR="00D935FC" w:rsidRPr="00D935FC" w:rsidRDefault="00D935FC" w:rsidP="00D935FC">
      <w:pPr>
        <w:pStyle w:val="13"/>
      </w:pPr>
      <w:r w:rsidRPr="00D935FC">
        <w:rPr>
          <w:rFonts w:hint="eastAsia"/>
        </w:rPr>
        <w:t>2．评估</w:t>
      </w:r>
      <w:r w:rsidRPr="00D935FC">
        <w:t>假设使用考虑</w:t>
      </w:r>
      <w:r w:rsidRPr="00D935FC">
        <w:rPr>
          <w:rFonts w:hint="eastAsia"/>
        </w:rPr>
        <w:t>的基本</w:t>
      </w:r>
      <w:r w:rsidRPr="00D935FC">
        <w:t>因素</w:t>
      </w:r>
    </w:p>
    <w:p w14:paraId="67DB3437" w14:textId="77777777" w:rsidR="00D935FC" w:rsidRPr="00D935FC" w:rsidRDefault="00D935FC" w:rsidP="00D935FC">
      <w:pPr>
        <w:pStyle w:val="13"/>
      </w:pPr>
      <w:r w:rsidRPr="00D935FC">
        <w:t>评估目的：不同的评估目的，市场环境条件、交易方式、企业存续状态、资产状态等不同，评估报告的作用以及评估结论的使用方式不同，设定评估假设应结合评估目的设定；</w:t>
      </w:r>
    </w:p>
    <w:p w14:paraId="5F6F087B" w14:textId="77777777" w:rsidR="00D935FC" w:rsidRPr="00D935FC" w:rsidRDefault="00D935FC" w:rsidP="00D935FC">
      <w:pPr>
        <w:pStyle w:val="13"/>
      </w:pPr>
      <w:r w:rsidRPr="00D935FC">
        <w:rPr>
          <w:rFonts w:hint="eastAsia"/>
        </w:rPr>
        <w:t>评估对象：单项资产评估假设，适用于资产使用状态假设，企业价值评估假设，适用于企业经营状态假设。</w:t>
      </w:r>
    </w:p>
    <w:p w14:paraId="41A5431B" w14:textId="116CC3A8" w:rsidR="00D935FC" w:rsidRPr="00D935FC" w:rsidRDefault="00D935FC" w:rsidP="00D935FC">
      <w:pPr>
        <w:pStyle w:val="13"/>
      </w:pPr>
      <w:r w:rsidRPr="00D935FC">
        <w:t>价值类型：不同的价值类型，市场交易条件不同</w:t>
      </w:r>
      <w:r w:rsidRPr="00D935FC">
        <w:rPr>
          <w:rFonts w:hint="eastAsia"/>
        </w:rPr>
        <w:t>。</w:t>
      </w:r>
      <w:r w:rsidRPr="00D935FC">
        <w:t>如使用投资价值类型评估并购标的企业价值，应设定企业并购方式和并购后整合措施</w:t>
      </w:r>
      <w:r w:rsidRPr="00D935FC">
        <w:rPr>
          <w:rFonts w:hint="eastAsia"/>
        </w:rPr>
        <w:t>且如期实现</w:t>
      </w:r>
      <w:r w:rsidRPr="00D935FC">
        <w:t>，作为协同效应价值估算的前提；如使用清算价值类型评估企业债务价值，应设定企业终止经营后，资产被迫出售、快速变现等市场条件，作为资产变现价值估算的前提</w:t>
      </w:r>
      <w:r w:rsidR="003068F8">
        <w:t>；</w:t>
      </w:r>
    </w:p>
    <w:p w14:paraId="1E909FE5" w14:textId="77777777" w:rsidR="00D935FC" w:rsidRDefault="00D935FC" w:rsidP="00D935FC">
      <w:pPr>
        <w:pStyle w:val="13"/>
      </w:pPr>
      <w:r>
        <w:rPr>
          <w:rFonts w:hint="eastAsia"/>
        </w:rPr>
        <w:t>评估方法：不同的评估方法，适用前提不同，如市场法应设定市场的有效性、活跃性、确定可比性标准前提下的交易实例等作为前提；收益法应设定企业按现行经营模式和规模持续经营；</w:t>
      </w:r>
    </w:p>
    <w:p w14:paraId="2D52E471" w14:textId="77777777" w:rsidR="00D935FC" w:rsidRDefault="00D935FC" w:rsidP="00D935FC">
      <w:pPr>
        <w:pStyle w:val="13"/>
      </w:pPr>
      <w:r>
        <w:rPr>
          <w:rFonts w:hint="eastAsia"/>
        </w:rPr>
        <w:t>评估资料：评估资料的是否完整是一个相对概念，评估资料必要性是一个绝对概念，必要的评估资料是评估的前提条件，依据不同的评估资料有时会得出不同的评估结论，评估依据的数据资料的完整性存在不确定性，评估应设定资料完整性的假设；</w:t>
      </w:r>
    </w:p>
    <w:p w14:paraId="60128B21" w14:textId="77777777" w:rsidR="00D935FC" w:rsidRDefault="00D935FC" w:rsidP="00D935FC">
      <w:pPr>
        <w:pStyle w:val="13"/>
      </w:pPr>
      <w:r>
        <w:t>3．如何合理使用A类、B类评估假设</w:t>
      </w:r>
    </w:p>
    <w:p w14:paraId="42706726" w14:textId="77777777" w:rsidR="00D935FC" w:rsidRDefault="00D935FC" w:rsidP="00D935FC">
      <w:pPr>
        <w:pStyle w:val="13"/>
      </w:pPr>
      <w:r>
        <w:rPr>
          <w:rFonts w:hint="eastAsia"/>
        </w:rPr>
        <w:t>针对一个国家（或地区）的所有行业、所有企业的，如对于政治、经济、文化体制及相关政策货币政策（利率）、汇率财政政策的不变的假设，境内评估项目，评估实务中可作为“一般假设”；境外评估项目，建议分析资产（企业）所在地政治、经济、文化体制及相关政策货币政策（利率）、汇率财政政策的变化，不能机械作为“一般使用”，有时可能成为</w:t>
      </w:r>
      <w:r>
        <w:t>C类或B类假设。</w:t>
      </w:r>
    </w:p>
    <w:p w14:paraId="6D3207CD" w14:textId="77777777" w:rsidR="00D935FC" w:rsidRDefault="00D935FC" w:rsidP="00D935FC">
      <w:pPr>
        <w:pStyle w:val="13"/>
      </w:pPr>
      <w:r>
        <w:rPr>
          <w:rFonts w:hint="eastAsia"/>
        </w:rPr>
        <w:t>针对同一行业（或地区）的所有企业的，如产业政策</w:t>
      </w:r>
      <w:r>
        <w:t xml:space="preserve"> 、行业准入 、差别利率 、区域经济政策（新区、开发区、振兴区） 、环保、土地等政策的不变的假设，境内</w:t>
      </w:r>
      <w:r>
        <w:lastRenderedPageBreak/>
        <w:t>评估项目，评估实务中可作为“一般假设”；境外评估项目或一些特殊的境内项目，建议分析资产（企业）所在行业政策的变化，不能机械作为“一般使用”，有时可能成为C类或B类假设。</w:t>
      </w:r>
    </w:p>
    <w:p w14:paraId="33622C00" w14:textId="77777777" w:rsidR="00D935FC" w:rsidRDefault="00D935FC" w:rsidP="00D935FC">
      <w:pPr>
        <w:pStyle w:val="13"/>
      </w:pPr>
      <w:r>
        <w:t>4．如何合理使用C类评估假设</w:t>
      </w:r>
    </w:p>
    <w:p w14:paraId="24EEF72F" w14:textId="583EBE76" w:rsidR="00E04C89" w:rsidRDefault="00D935FC" w:rsidP="00D935FC">
      <w:pPr>
        <w:pStyle w:val="13"/>
      </w:pPr>
      <w:r>
        <w:rPr>
          <w:rFonts w:hint="eastAsia"/>
        </w:rPr>
        <w:t>委托方假设的使用：</w:t>
      </w:r>
    </w:p>
    <w:p w14:paraId="27D631C9" w14:textId="77777777" w:rsidR="00D935FC" w:rsidRDefault="00D935FC" w:rsidP="00D935FC">
      <w:pPr>
        <w:pStyle w:val="13"/>
      </w:pPr>
      <w:r>
        <w:rPr>
          <w:rFonts w:hint="eastAsia"/>
        </w:rPr>
        <w:t>区别于历史和现实的企业投（融）</w:t>
      </w:r>
      <w:proofErr w:type="gramStart"/>
      <w:r>
        <w:rPr>
          <w:rFonts w:hint="eastAsia"/>
        </w:rPr>
        <w:t>资规划</w:t>
      </w:r>
      <w:proofErr w:type="gramEnd"/>
      <w:r>
        <w:rPr>
          <w:rFonts w:hint="eastAsia"/>
        </w:rPr>
        <w:t>和生产经营计划决策及其实施结果，不是评估能够推断和预计的。评估时，从是否符合宏观经济政策、产业政策、投资来源、市场潜力，企业管理经营团队是否能够保证企业投（融）</w:t>
      </w:r>
      <w:proofErr w:type="gramStart"/>
      <w:r>
        <w:rPr>
          <w:rFonts w:hint="eastAsia"/>
        </w:rPr>
        <w:t>资规划</w:t>
      </w:r>
      <w:proofErr w:type="gramEnd"/>
      <w:r>
        <w:rPr>
          <w:rFonts w:hint="eastAsia"/>
        </w:rPr>
        <w:t>和生产计划的实施等方面判断，确信委托方假设及依次进行的预测的合理性，直接作为评估假设。</w:t>
      </w:r>
    </w:p>
    <w:p w14:paraId="5F40A44A" w14:textId="77777777" w:rsidR="00D935FC" w:rsidRDefault="00D935FC" w:rsidP="00D935FC">
      <w:pPr>
        <w:pStyle w:val="13"/>
      </w:pPr>
      <w:r>
        <w:rPr>
          <w:rFonts w:hint="eastAsia"/>
        </w:rPr>
        <w:t>【例</w:t>
      </w:r>
      <w:r>
        <w:t>1】某工业生产企业未达产，但制定有明确的达</w:t>
      </w:r>
      <w:proofErr w:type="gramStart"/>
      <w:r>
        <w:t>产投资</w:t>
      </w:r>
      <w:proofErr w:type="gramEnd"/>
      <w:r>
        <w:t>计划，经分析企业投资符合国家产业政策，投资来源落实，收益预测假设可假设企业达产。反之，收益预测假设可假设企业按现状产能生产。</w:t>
      </w:r>
    </w:p>
    <w:p w14:paraId="4DEB9488" w14:textId="77777777" w:rsidR="00D935FC" w:rsidRDefault="00D935FC" w:rsidP="00D935FC">
      <w:pPr>
        <w:pStyle w:val="13"/>
      </w:pPr>
      <w:r>
        <w:rPr>
          <w:rFonts w:hint="eastAsia"/>
        </w:rPr>
        <w:t>推测性假设的使用：</w:t>
      </w:r>
    </w:p>
    <w:p w14:paraId="797C9918" w14:textId="77777777" w:rsidR="00D935FC" w:rsidRDefault="00D935FC" w:rsidP="00D935FC">
      <w:pPr>
        <w:pStyle w:val="13"/>
      </w:pPr>
      <w:r>
        <w:rPr>
          <w:rFonts w:hint="eastAsia"/>
        </w:rPr>
        <w:t>是针对评估对象实体、法律、经济属性方面不确定性；资产市场条件与趋势的外部环境不确定性，选择发生概率最大的一种的情形。</w:t>
      </w:r>
      <w:r>
        <w:t xml:space="preserve"> 未来情形存在多种可能性时，选择最有可</w:t>
      </w:r>
      <w:r>
        <w:rPr>
          <w:rFonts w:hint="eastAsia"/>
        </w:rPr>
        <w:t>能发生或发生概率最大的情形作为评估前提，是最常见的评估假设。</w:t>
      </w:r>
    </w:p>
    <w:p w14:paraId="168AF03B" w14:textId="3C0A3471" w:rsidR="00E04C89" w:rsidRDefault="00D935FC" w:rsidP="00D935FC">
      <w:pPr>
        <w:pStyle w:val="13"/>
      </w:pPr>
      <w:r>
        <w:rPr>
          <w:rFonts w:hint="eastAsia"/>
        </w:rPr>
        <w:t>【例</w:t>
      </w:r>
      <w:r>
        <w:t>2】某企业享受所有税优惠政策，但享受年限短于评估收益年限，优惠政策到期后，有两种可能性，一种是继续享受，一种是不继续享受。评估分析认为没有不继续享受的证据或理由，亦即享受所得税优惠的可能性较大，收益预测假设可假设企业继续享受所得税优惠政策。反之，评估分析认为没有继续享受的证据或理由，亦即享受所得税优惠的可能性不大，收益预测假设可假设企业享受所得税优惠政策到期后按税法规定计税。</w:t>
      </w:r>
    </w:p>
    <w:p w14:paraId="1781BBAD" w14:textId="77777777" w:rsidR="00D935FC" w:rsidRDefault="00D935FC" w:rsidP="00D935FC">
      <w:pPr>
        <w:pStyle w:val="13"/>
      </w:pPr>
      <w:r>
        <w:rPr>
          <w:rFonts w:hint="eastAsia"/>
        </w:rPr>
        <w:t>【例</w:t>
      </w:r>
      <w:r>
        <w:t>3】某药品生产企业，产能充足，因行业竞争激烈、药品销售网络缺陷、销售模式不符合市场变化，历史经营收益状况不佳。企业股权转让评估时，评估假设企业改进销售网络缺陷、优化销售模式等，缺乏假设依据，假设推理不正确。</w:t>
      </w:r>
    </w:p>
    <w:p w14:paraId="6709A99F" w14:textId="77777777" w:rsidR="00D935FC" w:rsidRDefault="00D935FC" w:rsidP="00D935FC">
      <w:pPr>
        <w:pStyle w:val="13"/>
      </w:pPr>
      <w:r>
        <w:rPr>
          <w:rFonts w:hint="eastAsia"/>
        </w:rPr>
        <w:t>【例</w:t>
      </w:r>
      <w:r>
        <w:t>4】某火力发电企业价值评估，已取得相关部门上网电价批复，并按此进行上产经营，收益法评估收益预测可假设电价政策不变，电价不变。反之，评估假设电力政策调整，电价上涨，缺乏假设依据，假设推理不正确。</w:t>
      </w:r>
    </w:p>
    <w:p w14:paraId="78BD276D" w14:textId="77777777" w:rsidR="00D935FC" w:rsidRDefault="00D935FC" w:rsidP="00D935FC">
      <w:pPr>
        <w:pStyle w:val="13"/>
      </w:pPr>
      <w:r>
        <w:rPr>
          <w:rFonts w:hint="eastAsia"/>
        </w:rPr>
        <w:t>【例</w:t>
      </w:r>
      <w:r>
        <w:t>5】某评估项目，评估按照企业提供的预测资料进行，并假设企业未来按照企业提出的计划如期实现，是假设的假设，缺乏假设依据，假设推理不符合实际。</w:t>
      </w:r>
    </w:p>
    <w:p w14:paraId="0B9E8BAB" w14:textId="77777777" w:rsidR="00D935FC" w:rsidRDefault="00D935FC" w:rsidP="00D935FC">
      <w:pPr>
        <w:pStyle w:val="13"/>
      </w:pPr>
      <w:r>
        <w:rPr>
          <w:rFonts w:hint="eastAsia"/>
        </w:rPr>
        <w:t>交易方式假设的使用：</w:t>
      </w:r>
    </w:p>
    <w:p w14:paraId="5C60D764" w14:textId="77777777" w:rsidR="00D935FC" w:rsidRDefault="00D935FC" w:rsidP="00D935FC">
      <w:pPr>
        <w:pStyle w:val="13"/>
      </w:pPr>
      <w:r>
        <w:rPr>
          <w:rFonts w:hint="eastAsia"/>
        </w:rPr>
        <w:t>评估对象交易方式包括公开市场、非公开市场；正常交易、强制出售。评估对象交易方式决定了评估目的，决定了价值类型，不同的交易方式评估结论不同。评估对象交易方式假设的使用，一般主要考虑评估目的和价值类型。</w:t>
      </w:r>
    </w:p>
    <w:p w14:paraId="0A3400FB" w14:textId="77777777" w:rsidR="00D935FC" w:rsidRDefault="00D935FC" w:rsidP="00D935FC">
      <w:pPr>
        <w:pStyle w:val="13"/>
      </w:pPr>
      <w:r>
        <w:rPr>
          <w:rFonts w:hint="eastAsia"/>
        </w:rPr>
        <w:lastRenderedPageBreak/>
        <w:t>【例</w:t>
      </w:r>
      <w:r>
        <w:t>6】某企业并购项目投资价值评估，并购企业制定了并购方案及并购整合措施，对并购标的公司的投资价值评估使用两个假设：（1）投资并购方案实现。（2）并购整合如期实现。</w:t>
      </w:r>
    </w:p>
    <w:p w14:paraId="08165502" w14:textId="77777777" w:rsidR="00D935FC" w:rsidRDefault="00D935FC" w:rsidP="00D935FC">
      <w:pPr>
        <w:pStyle w:val="13"/>
      </w:pPr>
      <w:r>
        <w:rPr>
          <w:rFonts w:hint="eastAsia"/>
        </w:rPr>
        <w:t>【例</w:t>
      </w:r>
      <w:r>
        <w:t>7】某企业破产清算评估项目，清算组制定、并经债权人会议表决通过的清算方案，在限定时间内处置可变现资产，对可变现资产评估，可假设为强制出售。反之，没有时间限定的处置可变现资产，对可变现资产评估，可假设为正常市场出售。</w:t>
      </w:r>
    </w:p>
    <w:p w14:paraId="5BC7ED90" w14:textId="77777777" w:rsidR="00D935FC" w:rsidRDefault="00D935FC" w:rsidP="00D935FC">
      <w:pPr>
        <w:pStyle w:val="13"/>
      </w:pPr>
      <w:r>
        <w:rPr>
          <w:rFonts w:hint="eastAsia"/>
        </w:rPr>
        <w:t>企业存续状态假设的使用：企业存续状态一般包括持续经营、产权主体变动、破产清算、结业清算、改变经营方式、调整产品结构、改变主营业务等。企业存续状态与评估目的关系密切。企业存续状态假设的使用，一般考虑评估目的，也考虑价值类型。</w:t>
      </w:r>
    </w:p>
    <w:p w14:paraId="1FF1A43A" w14:textId="77777777" w:rsidR="00D935FC" w:rsidRDefault="00D935FC" w:rsidP="00D935FC">
      <w:pPr>
        <w:pStyle w:val="13"/>
      </w:pPr>
      <w:r>
        <w:rPr>
          <w:rFonts w:hint="eastAsia"/>
        </w:rPr>
        <w:t>【例</w:t>
      </w:r>
      <w:r>
        <w:t>8】某企业具有持续稳定的经营历史及财务记录，企业未来收益预测中，以管理费用占销售收入的比例历史数据，作为未来管理费用预测，评估假设可为企业不改变生产经营管理方式，不改变企业管理模式。</w:t>
      </w:r>
    </w:p>
    <w:p w14:paraId="143602AA" w14:textId="77777777" w:rsidR="00D935FC" w:rsidRDefault="00D935FC" w:rsidP="00D935FC">
      <w:pPr>
        <w:pStyle w:val="13"/>
      </w:pPr>
      <w:r>
        <w:rPr>
          <w:rFonts w:hint="eastAsia"/>
        </w:rPr>
        <w:t>【例</w:t>
      </w:r>
      <w:r>
        <w:t>9】某金融不良资产处置评估项目，采用假设清算法评估，选择清算价值类型，对各可变现资产的可变现净值的评估，评估假设可为企业清算、资产变现处置。</w:t>
      </w:r>
    </w:p>
    <w:p w14:paraId="7710F312" w14:textId="77777777" w:rsidR="00D935FC" w:rsidRDefault="00D935FC" w:rsidP="00D935FC">
      <w:pPr>
        <w:pStyle w:val="13"/>
      </w:pPr>
      <w:r>
        <w:rPr>
          <w:rFonts w:hint="eastAsia"/>
        </w:rPr>
        <w:t>【例</w:t>
      </w:r>
      <w:r>
        <w:t>10】某企业境外并购评估项目，选择投资价值类型对标的企业价值进行评估，标的企业预期收益预测，可假设标的企业按并购完成且整合后的生产经营方式并以此持续经营。</w:t>
      </w:r>
    </w:p>
    <w:p w14:paraId="6049E609" w14:textId="77777777" w:rsidR="00D935FC" w:rsidRDefault="00D935FC" w:rsidP="00D935FC">
      <w:pPr>
        <w:pStyle w:val="13"/>
      </w:pPr>
      <w:r>
        <w:rPr>
          <w:rFonts w:hint="eastAsia"/>
        </w:rPr>
        <w:t>【例</w:t>
      </w:r>
      <w:r>
        <w:t>11】某矿业公司拟通过资产重组进入上市公司，企业实际生产中，采矿采取外包方式，评估基准日企业已经开始研究改变外包采矿为自行采矿方式，企业价值评估收益预测中，评估假设可为企业按自行采矿方式并以此持续经营。反之，评估假设可为企业按现行实际采矿外包方式并以此持续经营。</w:t>
      </w:r>
    </w:p>
    <w:p w14:paraId="0E0AC1B6" w14:textId="77777777" w:rsidR="00D935FC" w:rsidRDefault="00D935FC" w:rsidP="00D935FC">
      <w:pPr>
        <w:pStyle w:val="13"/>
      </w:pPr>
      <w:r>
        <w:rPr>
          <w:rFonts w:hint="eastAsia"/>
        </w:rPr>
        <w:t>【例</w:t>
      </w:r>
      <w:r>
        <w:t>12】某企业收购评估项目，标的公司采用收入分成比例与其控股股东结算收入方式经营，收购后不再采用收入分成比例方式，采用收益法评估标的公司企业价值，收益预测假设，可为假设继续采用收入分成比例方式经营假设。</w:t>
      </w:r>
    </w:p>
    <w:p w14:paraId="4DB61FCF" w14:textId="77777777" w:rsidR="00D935FC" w:rsidRDefault="00D935FC" w:rsidP="00D935FC">
      <w:pPr>
        <w:pStyle w:val="13"/>
      </w:pPr>
      <w:r>
        <w:rPr>
          <w:rFonts w:hint="eastAsia"/>
        </w:rPr>
        <w:t>【例</w:t>
      </w:r>
      <w:r>
        <w:t>13】某铜矿矿业公司股权转让，原生产产品为原矿石，评估基准日时已开始建设选矿厂，生产铜精矿。该投资计划符合产业政策、投资来源可靠，企业管理经营团队能够保证铜精矿生产经营，收益预测假设可为假设企业生产铜精矿。反之，该投资不确定，或企业管理经营团队不能够保证铜精矿生产经营，收益预测假设可为假设企业继续</w:t>
      </w:r>
      <w:proofErr w:type="gramStart"/>
      <w:r>
        <w:t>生产铜原矿石</w:t>
      </w:r>
      <w:proofErr w:type="gramEnd"/>
      <w:r>
        <w:t>持续经营。</w:t>
      </w:r>
    </w:p>
    <w:p w14:paraId="5EEF26FB" w14:textId="77777777" w:rsidR="00D935FC" w:rsidRDefault="00D935FC" w:rsidP="00D935FC">
      <w:pPr>
        <w:pStyle w:val="13"/>
      </w:pPr>
      <w:r>
        <w:t>5．如何合理使用D类评估假设</w:t>
      </w:r>
    </w:p>
    <w:p w14:paraId="17B762C6" w14:textId="77777777" w:rsidR="00D935FC" w:rsidRDefault="00D935FC" w:rsidP="00D935FC">
      <w:pPr>
        <w:pStyle w:val="13"/>
      </w:pPr>
      <w:r>
        <w:rPr>
          <w:rFonts w:hint="eastAsia"/>
        </w:rPr>
        <w:t>资产使用状态假设的使用：资产使用状态的假设一般包括继续使用或者变现；原地使用或者移地使用；现行用途使用或者改变用途使用等。资产使用状态假设的使用，一般主要考虑评估目的设定，有时也考虑委托方的要求。多用于机器设备、房地</w:t>
      </w:r>
      <w:r>
        <w:rPr>
          <w:rFonts w:hint="eastAsia"/>
        </w:rPr>
        <w:lastRenderedPageBreak/>
        <w:t>产等单项资产的评估。</w:t>
      </w:r>
    </w:p>
    <w:p w14:paraId="7154F582" w14:textId="77777777" w:rsidR="00D935FC" w:rsidRDefault="00D935FC" w:rsidP="00D935FC">
      <w:pPr>
        <w:pStyle w:val="13"/>
      </w:pPr>
      <w:r>
        <w:rPr>
          <w:rFonts w:hint="eastAsia"/>
        </w:rPr>
        <w:t>更新重置成本评估时，对资产建造材料、建筑标准、设计、规格等要求与建造时不同，不是资产使用状态的假设。</w:t>
      </w:r>
    </w:p>
    <w:p w14:paraId="635B632D" w14:textId="77777777" w:rsidR="00D935FC" w:rsidRDefault="00D935FC" w:rsidP="00D935FC">
      <w:pPr>
        <w:pStyle w:val="13"/>
      </w:pPr>
      <w:r>
        <w:rPr>
          <w:rFonts w:hint="eastAsia"/>
        </w:rPr>
        <w:t>【例</w:t>
      </w:r>
      <w:r>
        <w:t>14】某企业因城市建设规划搬迁，涉及对企业资产补偿和收益损失补偿评估，评估假设企业持续经营至所配置资产经济寿命结束的企业价值；涉及搬迁企业价值评估，企业制定有搬迁后生产工艺优化和生产规模、生产经营方式的调整计划，对其拥有的机器设备，评估假设为撤除变现；涉及搬迁企业价值评估，企业按原有生产工艺、生产规模、生产经营方式经营，对其拥有并正常使用的机器设备，评估假设可为继续、移地、按现行用途使用。</w:t>
      </w:r>
    </w:p>
    <w:p w14:paraId="43F8A55E" w14:textId="77777777" w:rsidR="00D935FC" w:rsidRDefault="00D935FC" w:rsidP="00D935FC">
      <w:pPr>
        <w:pStyle w:val="13"/>
      </w:pPr>
      <w:r>
        <w:rPr>
          <w:rFonts w:hint="eastAsia"/>
        </w:rPr>
        <w:t>【例</w:t>
      </w:r>
      <w:r>
        <w:t>15】某工业企业合法并拥有的土地使用权，国有土地使用权</w:t>
      </w:r>
      <w:proofErr w:type="gramStart"/>
      <w:r>
        <w:t>使用证载用途</w:t>
      </w:r>
      <w:proofErr w:type="gramEnd"/>
      <w:r>
        <w:t>为工业用地，实际用途为商业。评估假设可为商业用地用途。</w:t>
      </w:r>
    </w:p>
    <w:p w14:paraId="34ECCFD4" w14:textId="77777777" w:rsidR="00D935FC" w:rsidRDefault="00D935FC" w:rsidP="00D935FC">
      <w:pPr>
        <w:pStyle w:val="13"/>
      </w:pPr>
      <w:r>
        <w:rPr>
          <w:rFonts w:hint="eastAsia"/>
        </w:rPr>
        <w:t>【例</w:t>
      </w:r>
      <w:r>
        <w:t>16】某国有土地使用权宗地所在区域规划正在修编，评估国有土地使用权可</w:t>
      </w:r>
      <w:proofErr w:type="gramStart"/>
      <w:r>
        <w:t>假设按</w:t>
      </w:r>
      <w:proofErr w:type="gramEnd"/>
      <w:r>
        <w:t>原规划条件。如规划条件已经明确，评估国有土地使用权可</w:t>
      </w:r>
      <w:proofErr w:type="gramStart"/>
      <w:r>
        <w:t>假设按</w:t>
      </w:r>
      <w:proofErr w:type="gramEnd"/>
      <w:r>
        <w:t>新的规划条件。</w:t>
      </w:r>
    </w:p>
    <w:p w14:paraId="7BEDD932" w14:textId="77777777" w:rsidR="00D935FC" w:rsidRPr="00D935FC" w:rsidRDefault="00D935FC" w:rsidP="00D935FC">
      <w:pPr>
        <w:pStyle w:val="13"/>
        <w:ind w:firstLine="482"/>
        <w:rPr>
          <w:b/>
          <w:bCs/>
        </w:rPr>
      </w:pPr>
      <w:r w:rsidRPr="00D935FC">
        <w:rPr>
          <w:rFonts w:hint="eastAsia"/>
          <w:b/>
          <w:bCs/>
        </w:rPr>
        <w:t>四、评估假设披露</w:t>
      </w:r>
    </w:p>
    <w:p w14:paraId="6EB2438E" w14:textId="77777777" w:rsidR="00D935FC" w:rsidRDefault="00D935FC" w:rsidP="00D935FC">
      <w:pPr>
        <w:pStyle w:val="13"/>
      </w:pPr>
      <w:r>
        <w:t>1．充分披露资产评估中所依据和使用的评估假设既是编制评估报告的基本要求，也是评估报告使用者正确理解和使用评估结论的必备条件。</w:t>
      </w:r>
    </w:p>
    <w:p w14:paraId="47D68A1C" w14:textId="77777777" w:rsidR="00D935FC" w:rsidRDefault="00D935FC" w:rsidP="00D935FC">
      <w:pPr>
        <w:pStyle w:val="13"/>
      </w:pPr>
      <w:r>
        <w:t>2．资产评估报告评估假设，建议披露A类假设、B类假设；企业价值评估收益预测，建议披露C类假设；单项资产评估假设，建议选择披露D类假设。</w:t>
      </w:r>
    </w:p>
    <w:p w14:paraId="0C7D20D4" w14:textId="77777777" w:rsidR="00D935FC" w:rsidRDefault="00D935FC" w:rsidP="00D935FC">
      <w:pPr>
        <w:pStyle w:val="13"/>
      </w:pPr>
      <w:r>
        <w:t>3．C类、D类评估假设披露，包括评估结论形成所采用的评估假设及其对评估结论的影响，以及评估结论成立的评估假设（或假设前提）</w:t>
      </w:r>
    </w:p>
    <w:p w14:paraId="37611186" w14:textId="77777777" w:rsidR="00D935FC" w:rsidRDefault="00D935FC" w:rsidP="00D935FC">
      <w:pPr>
        <w:pStyle w:val="13"/>
      </w:pPr>
      <w:r>
        <w:t>4．建议在评估报告中说明如果评估假设改变，将对评估结论产生重大影响。</w:t>
      </w:r>
    </w:p>
    <w:p w14:paraId="3DECD3BD" w14:textId="21EA177A" w:rsidR="00D935FC" w:rsidRDefault="00D935FC" w:rsidP="00D935FC">
      <w:pPr>
        <w:pStyle w:val="13"/>
      </w:pPr>
      <w:proofErr w:type="gramStart"/>
      <w:r>
        <w:rPr>
          <w:rFonts w:hint="eastAsia"/>
        </w:rPr>
        <w:t>本专家</w:t>
      </w:r>
      <w:proofErr w:type="gramEnd"/>
      <w:r>
        <w:rPr>
          <w:rFonts w:hint="eastAsia"/>
        </w:rPr>
        <w:t>提示是以评估实践为基础，针对评估假设使用和披露提出的建议。其中的示例仅供相关内容理解使用，建议不要套用。</w:t>
      </w:r>
      <w:proofErr w:type="gramStart"/>
      <w:r>
        <w:rPr>
          <w:rFonts w:hint="eastAsia"/>
        </w:rPr>
        <w:t>本专家</w:t>
      </w:r>
      <w:proofErr w:type="gramEnd"/>
      <w:r>
        <w:rPr>
          <w:rFonts w:hint="eastAsia"/>
        </w:rPr>
        <w:t>提示不涉及对评估准则中评估假设规范的修正或解释。</w:t>
      </w:r>
    </w:p>
    <w:p w14:paraId="7A35DD15" w14:textId="1CDE9AF3" w:rsidR="00D935FC" w:rsidRDefault="00D935FC" w:rsidP="00AF7342">
      <w:pPr>
        <w:pStyle w:val="a9"/>
        <w:spacing w:before="62" w:after="62"/>
      </w:pPr>
      <w:r w:rsidRPr="00D935FC">
        <w:rPr>
          <w:rFonts w:hint="eastAsia"/>
        </w:rPr>
        <w:t>《资产评估操作专家提示——评估假设的使用与披露（征求意见稿）》起草说明</w:t>
      </w:r>
    </w:p>
    <w:p w14:paraId="7ECFED75" w14:textId="77777777" w:rsidR="00D935FC" w:rsidRPr="00D935FC" w:rsidRDefault="00D935FC" w:rsidP="00D935FC">
      <w:pPr>
        <w:pStyle w:val="13"/>
      </w:pPr>
      <w:r w:rsidRPr="00D935FC">
        <w:rPr>
          <w:rFonts w:hint="eastAsia"/>
        </w:rPr>
        <w:t>为保证评估业务质量，防范评估执业风险，指导评估假设的使用和披露行为，中国资产评估协会组织起草了《资产评估操作专家提示——评估假设的使用与披露》。现将有关起草情况说明如下。</w:t>
      </w:r>
    </w:p>
    <w:p w14:paraId="09D5ACF3" w14:textId="77777777" w:rsidR="00D935FC" w:rsidRPr="00D935FC" w:rsidRDefault="00D935FC" w:rsidP="00D935FC">
      <w:pPr>
        <w:pStyle w:val="13"/>
        <w:ind w:firstLine="482"/>
        <w:rPr>
          <w:b/>
          <w:bCs/>
        </w:rPr>
      </w:pPr>
      <w:r w:rsidRPr="00D935FC">
        <w:rPr>
          <w:rFonts w:hint="eastAsia"/>
          <w:b/>
          <w:bCs/>
        </w:rPr>
        <w:t>一、制定《资产评估操作专家提示——评估假设的使用与披露》的必要性</w:t>
      </w:r>
    </w:p>
    <w:p w14:paraId="65589B1A" w14:textId="77777777" w:rsidR="00D935FC" w:rsidRPr="00D935FC" w:rsidRDefault="00D935FC" w:rsidP="00D935FC">
      <w:pPr>
        <w:pStyle w:val="13"/>
      </w:pPr>
      <w:r w:rsidRPr="00D935FC">
        <w:rPr>
          <w:rFonts w:hint="eastAsia"/>
        </w:rPr>
        <w:t>在评估执业过程中，评估人员面对不断变化的市场，以及不断变化着的影响资产价值的种种因素，需要借助适当的假设，将市场条件及影响资产价值的相关不确定因素暂时“凝固”在某种状态下，以便对资产价值进行判断，否则无法形成价值意见。因此，评估假设是评估服务的重要基础，离开评估假设，评估人员将无法完成评估业</w:t>
      </w:r>
      <w:r w:rsidRPr="00D935FC">
        <w:rPr>
          <w:rFonts w:hint="eastAsia"/>
        </w:rPr>
        <w:lastRenderedPageBreak/>
        <w:t>务。做出合理的评估假设是各国评估界对评估人员执业的基本要求之一。</w:t>
      </w:r>
    </w:p>
    <w:p w14:paraId="13431076" w14:textId="77777777" w:rsidR="00D935FC" w:rsidRPr="00D935FC" w:rsidRDefault="00D935FC" w:rsidP="00D935FC">
      <w:pPr>
        <w:pStyle w:val="13"/>
      </w:pPr>
      <w:r w:rsidRPr="00D935FC">
        <w:rPr>
          <w:rFonts w:hint="eastAsia"/>
        </w:rPr>
        <w:t>相关监管部门一直高度重视评估假设。包括上市公司并购重组评估项目、企业国有资产评估项目在内的评估项目监管部门，对于使用收益法对企业价值进行评估，特别是与账面价值相比评估增值较大的评估项目，一直十分关注使用的评估假设是否合理，在审核评估项目中也提出要求解释评估假设使用的合理性。</w:t>
      </w:r>
    </w:p>
    <w:p w14:paraId="0EDB3472" w14:textId="77777777" w:rsidR="00D935FC" w:rsidRPr="00D935FC" w:rsidRDefault="00D935FC" w:rsidP="00D935FC">
      <w:pPr>
        <w:pStyle w:val="13"/>
      </w:pPr>
      <w:r w:rsidRPr="00D935FC">
        <w:rPr>
          <w:rFonts w:hint="eastAsia"/>
        </w:rPr>
        <w:t>评估假设的研究相对薄弱。国外对评估假设的研究比较系统成熟，特别是对于评估假设内涵的理解、还有评估假设层次的界定，研究的较为深入。如美国评估准则（USPAP）指出，资产评估的特定前提是直接与某一具体评价项目在其评价结果生效日的情况相关的前提假设，它排除了所评估财产的实体、法律和经济属性方面的不确定性，或是排除了财产市场条件或趋势这些外部环境的不确定性，或是否定了评估分析中所使用数据资料完整性方面的不确定性，设定上述要素都是确实的。英国皇家特许测量师学会的《评估准则》中，明确定义了假设及特殊假设的内涵，指出：评估无需专门调查即可合理认定为真实的某些事项可作为假设，应就可能包含在评估报告中的假设与客户达成一致并将其包含在约定条款中。</w:t>
      </w:r>
    </w:p>
    <w:p w14:paraId="0A77A806" w14:textId="77777777" w:rsidR="00D935FC" w:rsidRPr="00D935FC" w:rsidRDefault="00D935FC" w:rsidP="00D935FC">
      <w:pPr>
        <w:pStyle w:val="13"/>
      </w:pPr>
      <w:r w:rsidRPr="00D935FC">
        <w:rPr>
          <w:rFonts w:hint="eastAsia"/>
        </w:rPr>
        <w:t>评估准则对评估假设有原则性规范，但就指导评估实践而言，急需细化，特别是如何使用评估假设。我国也不断对评估假设进行研究，但重点研究假设的分类。对于评估假设的合理性，如何使用评估假设等研究较少。目前发布实施的26项评估准则中有21项对评估假设做出了原则要求。对合理使用假设做了统一的、明确的规定，在操作要求方面也做了合理使用评估假设的提示性规定，在评估披露方面，也要求披露“评估假设及其对评估结论的影响”。但对于如何具体使用、如何披露评估假设，没有具体规范。</w:t>
      </w:r>
    </w:p>
    <w:p w14:paraId="2B75A0E8" w14:textId="5923C44F" w:rsidR="00D935FC" w:rsidRPr="00D935FC" w:rsidRDefault="00D935FC" w:rsidP="00D935FC">
      <w:pPr>
        <w:pStyle w:val="13"/>
      </w:pPr>
      <w:r w:rsidRPr="00D935FC">
        <w:rPr>
          <w:rFonts w:hint="eastAsia"/>
        </w:rPr>
        <w:t>评估实践中，评估假设的使用和披露形式化。经过对2007年到2013年上半年的1298份评估报告的随机抽查和分析表明</w:t>
      </w:r>
      <w:r w:rsidR="003068F8">
        <w:rPr>
          <w:rFonts w:hint="eastAsia"/>
        </w:rPr>
        <w:t>，</w:t>
      </w:r>
      <w:r w:rsidRPr="00D935FC">
        <w:rPr>
          <w:rFonts w:hint="eastAsia"/>
        </w:rPr>
        <w:t>2009年下</w:t>
      </w:r>
      <w:proofErr w:type="gramStart"/>
      <w:r w:rsidRPr="00D935FC">
        <w:rPr>
          <w:rFonts w:hint="eastAsia"/>
        </w:rPr>
        <w:t>半年自《企业国有资产评估报告指南》</w:t>
      </w:r>
      <w:proofErr w:type="gramEnd"/>
      <w:r w:rsidRPr="00D935FC">
        <w:rPr>
          <w:rFonts w:hint="eastAsia"/>
        </w:rPr>
        <w:t>发布实施后</w:t>
      </w:r>
      <w:r w:rsidR="003068F8">
        <w:rPr>
          <w:rFonts w:hint="eastAsia"/>
        </w:rPr>
        <w:t>，</w:t>
      </w:r>
      <w:r w:rsidRPr="00D935FC">
        <w:rPr>
          <w:rFonts w:hint="eastAsia"/>
        </w:rPr>
        <w:t>95%评估报告列示了公开市场假设、持续经营假设和交易假设；收益法评估说明，列示了宏观经济环境、汇率、利率、企业经营班子尽职尽责等评估假设；单项资产评估说明有30%左右披露了资产评估假设。但也不难发现，评估假设仅为罗列评估假设；评估报告和评估说明中的假设简单重复；评估假设高度雷同，千篇一律；基本上未披露评估假设的影响；评估假设未体现与经济行为的相关性；评估假设与评估对象缺乏相关性；评估假设与价值类型、评估方法没有关联性。</w:t>
      </w:r>
    </w:p>
    <w:p w14:paraId="5AAABCFF" w14:textId="77777777" w:rsidR="00D935FC" w:rsidRPr="00D935FC" w:rsidRDefault="00D935FC" w:rsidP="00D935FC">
      <w:pPr>
        <w:pStyle w:val="13"/>
      </w:pPr>
      <w:r w:rsidRPr="00D935FC">
        <w:rPr>
          <w:rFonts w:hint="eastAsia"/>
        </w:rPr>
        <w:t>因此，无论从评估理论、评估监管、评估实践、评估准则等方面，都存在进一步细化规范的必要性。归纳假设的一般规律、做出假设的应用提示体系，对于推动评估实践的规范化，提升评估实践的专业性，进一步提升评估专业的社会公信力，具有重大的现实意义。对于进一步完善评估准则体系，具有十分重要的意义。对于完善中国资产评估理论体系，具有一定的推动作用。</w:t>
      </w:r>
    </w:p>
    <w:p w14:paraId="63215EDF" w14:textId="77777777" w:rsidR="00D935FC" w:rsidRPr="00D935FC" w:rsidRDefault="00D935FC" w:rsidP="00D935FC">
      <w:pPr>
        <w:pStyle w:val="13"/>
        <w:ind w:firstLine="482"/>
        <w:rPr>
          <w:b/>
          <w:bCs/>
        </w:rPr>
      </w:pPr>
      <w:r w:rsidRPr="00D935FC">
        <w:rPr>
          <w:rFonts w:hint="eastAsia"/>
          <w:b/>
          <w:bCs/>
        </w:rPr>
        <w:lastRenderedPageBreak/>
        <w:t>二、起草《资产评估操作专家提示——评估假设的使用与披露》的指导思想</w:t>
      </w:r>
    </w:p>
    <w:p w14:paraId="124181DB" w14:textId="334DCCEE" w:rsidR="00D935FC" w:rsidRPr="00D935FC" w:rsidRDefault="00D935FC" w:rsidP="00D935FC">
      <w:pPr>
        <w:pStyle w:val="13"/>
      </w:pPr>
      <w:r w:rsidRPr="00D935FC">
        <w:rPr>
          <w:rFonts w:hint="eastAsia"/>
        </w:rPr>
        <w:t>1</w:t>
      </w:r>
      <w:r w:rsidR="00865B2E">
        <w:rPr>
          <w:rFonts w:hint="eastAsia"/>
        </w:rPr>
        <w:t>.</w:t>
      </w:r>
      <w:r w:rsidRPr="00D935FC">
        <w:rPr>
          <w:rFonts w:hint="eastAsia"/>
        </w:rPr>
        <w:t xml:space="preserve">明确定位，相互协调。评估假设是已经发布的评估准则规定的重要原则规范内容之一，也是评估执业过程中所普遍面临的评估操作问题，特别是如何使用和披露评估假设，需要进一步细化完善。因此，《资产评估操作专家提示——评估假设的使用与披露》是对已经发布评估准则评估假设原则规定的进一步细化。具体来说，在对评估假设进行分类的基础上，对评估假设使用和操作和披露问题，进行较为详细的提示。 </w:t>
      </w:r>
    </w:p>
    <w:p w14:paraId="761F7729" w14:textId="77777777" w:rsidR="00D935FC" w:rsidRPr="00D935FC" w:rsidRDefault="00D935FC" w:rsidP="00D935FC">
      <w:pPr>
        <w:pStyle w:val="13"/>
      </w:pPr>
      <w:r w:rsidRPr="00D935FC">
        <w:rPr>
          <w:rFonts w:hint="eastAsia"/>
        </w:rPr>
        <w:t>2、立足实践，分类规范。评估假设是全方位的。在评估实践中，每一个环节都隐含和显现评估假设。如何合理使用评估假设、充分披露评估假设，需要从评估实践角度，提出专家意见。</w:t>
      </w:r>
    </w:p>
    <w:p w14:paraId="302B6079" w14:textId="77777777" w:rsidR="00D935FC" w:rsidRPr="00D935FC" w:rsidRDefault="00D935FC" w:rsidP="00D935FC">
      <w:pPr>
        <w:pStyle w:val="13"/>
      </w:pPr>
      <w:r w:rsidRPr="00D935FC">
        <w:rPr>
          <w:rFonts w:hint="eastAsia"/>
        </w:rPr>
        <w:t>3、增强可操作性，减少过多的原则规范。评估实践中，对于评估假设，一直是评估人员非常关注的问题，特别是收益预测领域。目前，评估实践中的做法也五花八门，披露的内容也千差万别。因此，为了解决评估实践中的问题，降低、减少甚至避免评估执业风险，采用专家提示的方式，细化的、操作性的规范方式，明确评估人员使用和披露评估假设问题等，不但能够指导评估人员恰当使用评估假设的实践操作，更为重要的是增加评估专业公信力和评估结论的说服力。</w:t>
      </w:r>
    </w:p>
    <w:p w14:paraId="0B20D01C" w14:textId="77777777" w:rsidR="00D935FC" w:rsidRPr="00D935FC" w:rsidRDefault="00D935FC" w:rsidP="00D935FC">
      <w:pPr>
        <w:pStyle w:val="13"/>
        <w:ind w:firstLine="482"/>
        <w:rPr>
          <w:b/>
          <w:bCs/>
        </w:rPr>
      </w:pPr>
      <w:r w:rsidRPr="00D935FC">
        <w:rPr>
          <w:rFonts w:hint="eastAsia"/>
          <w:b/>
          <w:bCs/>
        </w:rPr>
        <w:t>三、起草过程</w:t>
      </w:r>
    </w:p>
    <w:p w14:paraId="04DC86F6" w14:textId="77777777" w:rsidR="00D935FC" w:rsidRPr="00D935FC" w:rsidRDefault="00D935FC" w:rsidP="00D935FC">
      <w:pPr>
        <w:pStyle w:val="13"/>
      </w:pPr>
      <w:r w:rsidRPr="00D935FC">
        <w:rPr>
          <w:rFonts w:hint="eastAsia"/>
        </w:rPr>
        <w:t>2014年2月，中国资产评估协会启动《资产评估操作专家提示——评估假设的使用与披露》项目。项目组首先对国外相关资料进行收集、翻译、研究和筛选，并对国内情况进行了研究，包括：（1）相关文献；（2）已发布资产评估准则中关于评估假设条款；（3）与资产评估行业相类似的注册会计师行业相关条款；（4）评估实务工作总结。在此基础上，先后组织业内专家进行讨论修改，集思广益。2014年10月形成征求意见稿。</w:t>
      </w:r>
    </w:p>
    <w:p w14:paraId="1B32351B" w14:textId="77777777" w:rsidR="00D935FC" w:rsidRPr="00D935FC" w:rsidRDefault="00D935FC" w:rsidP="00D935FC">
      <w:pPr>
        <w:pStyle w:val="13"/>
        <w:ind w:firstLine="482"/>
        <w:rPr>
          <w:b/>
          <w:bCs/>
        </w:rPr>
      </w:pPr>
      <w:r w:rsidRPr="00D935FC">
        <w:rPr>
          <w:rFonts w:hint="eastAsia"/>
          <w:b/>
          <w:bCs/>
        </w:rPr>
        <w:t>四、主要内容</w:t>
      </w:r>
    </w:p>
    <w:p w14:paraId="702C06F3" w14:textId="48E47B17" w:rsidR="00D935FC" w:rsidRPr="00D935FC" w:rsidRDefault="00D935FC" w:rsidP="00D935FC">
      <w:pPr>
        <w:pStyle w:val="13"/>
      </w:pPr>
      <w:proofErr w:type="gramStart"/>
      <w:r w:rsidRPr="00D935FC">
        <w:rPr>
          <w:rFonts w:hint="eastAsia"/>
        </w:rPr>
        <w:t>本专家</w:t>
      </w:r>
      <w:proofErr w:type="gramEnd"/>
      <w:r w:rsidRPr="00D935FC">
        <w:rPr>
          <w:rFonts w:hint="eastAsia"/>
        </w:rPr>
        <w:t>提示包括“评估假设理解”</w:t>
      </w:r>
      <w:r w:rsidR="003068F8">
        <w:rPr>
          <w:rFonts w:hint="eastAsia"/>
        </w:rPr>
        <w:t>、</w:t>
      </w:r>
      <w:r w:rsidRPr="00D935FC">
        <w:rPr>
          <w:rFonts w:hint="eastAsia"/>
        </w:rPr>
        <w:t>“评估假设类型”、“评估假设使用”、“评估假设披露”四个部分的内容。</w:t>
      </w:r>
    </w:p>
    <w:p w14:paraId="641396AE" w14:textId="77777777" w:rsidR="00D935FC" w:rsidRPr="00D935FC" w:rsidRDefault="00D935FC" w:rsidP="00D935FC">
      <w:pPr>
        <w:pStyle w:val="13"/>
      </w:pPr>
      <w:r w:rsidRPr="00D935FC">
        <w:rPr>
          <w:rFonts w:hint="eastAsia"/>
        </w:rPr>
        <w:t>“评估假设理解”的主要内容包括：评估假设的概念，评估假设的作用，收益预测假设的作用等。</w:t>
      </w:r>
    </w:p>
    <w:p w14:paraId="5E887B88" w14:textId="77777777" w:rsidR="00D935FC" w:rsidRPr="00D935FC" w:rsidRDefault="00D935FC" w:rsidP="00D935FC">
      <w:pPr>
        <w:pStyle w:val="13"/>
      </w:pPr>
      <w:r w:rsidRPr="00D935FC">
        <w:rPr>
          <w:rFonts w:hint="eastAsia"/>
        </w:rPr>
        <w:t>“评估假设类型”，提出了评估实务操作分类。包括按照评估中使用的假设主体分类；按照假设实现可能性（或概率）分类；按照假设对象分类（</w:t>
      </w:r>
      <w:r w:rsidRPr="00D935FC">
        <w:t>市场环境</w:t>
      </w:r>
      <w:r w:rsidRPr="00D935FC">
        <w:rPr>
          <w:rFonts w:hint="eastAsia"/>
        </w:rPr>
        <w:t>、</w:t>
      </w:r>
      <w:r w:rsidRPr="00D935FC">
        <w:t>交易方式</w:t>
      </w:r>
      <w:r w:rsidRPr="00D935FC">
        <w:rPr>
          <w:rFonts w:hint="eastAsia"/>
        </w:rPr>
        <w:t>、</w:t>
      </w:r>
      <w:r w:rsidRPr="00D935FC">
        <w:t>企业存续状态</w:t>
      </w:r>
      <w:r w:rsidRPr="00D935FC">
        <w:rPr>
          <w:rFonts w:hint="eastAsia"/>
        </w:rPr>
        <w:t>、</w:t>
      </w:r>
      <w:r w:rsidRPr="00D935FC">
        <w:t>资产状态</w:t>
      </w:r>
      <w:r w:rsidRPr="00D935FC">
        <w:rPr>
          <w:rFonts w:hint="eastAsia"/>
        </w:rPr>
        <w:t>）资料真实性。</w:t>
      </w:r>
    </w:p>
    <w:p w14:paraId="34F806F2" w14:textId="77777777" w:rsidR="00D935FC" w:rsidRPr="00D935FC" w:rsidRDefault="00D935FC" w:rsidP="00D935FC">
      <w:pPr>
        <w:pStyle w:val="13"/>
      </w:pPr>
      <w:r w:rsidRPr="00D935FC">
        <w:rPr>
          <w:rFonts w:hint="eastAsia"/>
        </w:rPr>
        <w:t>“评估假设使用”，在评估假设分类的基础上，提出了评估假设使用的基本原则、考虑的基本因素。对针对性假设如何合理使用，如针对委托方假设、推测性假设、市场环境假设、交易方式假设、企业存续状态假设、强制出售假设、资产使用状态假设、</w:t>
      </w:r>
      <w:r w:rsidRPr="00D935FC">
        <w:rPr>
          <w:rFonts w:hint="eastAsia"/>
        </w:rPr>
        <w:lastRenderedPageBreak/>
        <w:t>资料真实性假设，进行了操作性提示。</w:t>
      </w:r>
    </w:p>
    <w:p w14:paraId="2A2F3307" w14:textId="77777777" w:rsidR="00D935FC" w:rsidRPr="00D935FC" w:rsidRDefault="00D935FC" w:rsidP="00D935FC">
      <w:pPr>
        <w:pStyle w:val="13"/>
      </w:pPr>
      <w:r w:rsidRPr="00D935FC">
        <w:rPr>
          <w:rFonts w:hint="eastAsia"/>
        </w:rPr>
        <w:t>“评估假设披露”，提出了</w:t>
      </w:r>
      <w:r w:rsidRPr="00D935FC">
        <w:t>资产评估报告披露评估假设</w:t>
      </w:r>
      <w:r w:rsidRPr="00D935FC">
        <w:rPr>
          <w:rFonts w:hint="eastAsia"/>
        </w:rPr>
        <w:t>注意要点。</w:t>
      </w:r>
    </w:p>
    <w:p w14:paraId="6FC56776" w14:textId="77777777" w:rsidR="00D935FC" w:rsidRPr="00D935FC" w:rsidRDefault="00D935FC" w:rsidP="00D935FC">
      <w:pPr>
        <w:pStyle w:val="13"/>
        <w:ind w:firstLine="482"/>
        <w:rPr>
          <w:b/>
          <w:bCs/>
        </w:rPr>
      </w:pPr>
      <w:r w:rsidRPr="00D935FC">
        <w:rPr>
          <w:rFonts w:hint="eastAsia"/>
          <w:b/>
          <w:bCs/>
        </w:rPr>
        <w:t>五、重要事项的说明</w:t>
      </w:r>
    </w:p>
    <w:p w14:paraId="031F047F" w14:textId="77777777" w:rsidR="00D935FC" w:rsidRPr="00D935FC" w:rsidRDefault="00D935FC" w:rsidP="00D935FC">
      <w:pPr>
        <w:pStyle w:val="13"/>
      </w:pPr>
      <w:r w:rsidRPr="00D935FC">
        <w:rPr>
          <w:rFonts w:hint="eastAsia"/>
        </w:rPr>
        <w:t>1关于评估假设分类</w:t>
      </w:r>
    </w:p>
    <w:p w14:paraId="57FC1B88" w14:textId="77777777" w:rsidR="00D935FC" w:rsidRPr="00D935FC" w:rsidRDefault="00D935FC" w:rsidP="00D935FC">
      <w:pPr>
        <w:pStyle w:val="13"/>
      </w:pPr>
      <w:r w:rsidRPr="00D935FC">
        <w:rPr>
          <w:rFonts w:hint="eastAsia"/>
        </w:rPr>
        <w:t>目前，评估理论界对评估假设的研究，主要集中在评估假设的分类方面，但未形成认识相对一致的看法或结论。有的认为，</w:t>
      </w:r>
      <w:r w:rsidRPr="00D935FC">
        <w:t>评估假设应包括公开市场假设、持续经营假设和清算假设</w:t>
      </w:r>
      <w:r w:rsidRPr="00D935FC">
        <w:rPr>
          <w:rFonts w:hint="eastAsia"/>
        </w:rPr>
        <w:t>；有的认为</w:t>
      </w:r>
      <w:r w:rsidRPr="00D935FC">
        <w:t>评估假设应</w:t>
      </w:r>
      <w:r w:rsidRPr="00D935FC">
        <w:rPr>
          <w:rFonts w:hint="eastAsia"/>
        </w:rPr>
        <w:t>包括</w:t>
      </w:r>
      <w:r w:rsidRPr="00D935FC">
        <w:t>持续经营假设、产权主体利益变动假设和有效市场假设</w:t>
      </w:r>
      <w:r w:rsidRPr="00D935FC">
        <w:rPr>
          <w:rFonts w:hint="eastAsia"/>
        </w:rPr>
        <w:t>；有的认为</w:t>
      </w:r>
      <w:r w:rsidRPr="00D935FC">
        <w:t>评估基本假设应该</w:t>
      </w:r>
      <w:proofErr w:type="gramStart"/>
      <w:r w:rsidRPr="00D935FC">
        <w:t>分利益</w:t>
      </w:r>
      <w:proofErr w:type="gramEnd"/>
      <w:r w:rsidRPr="00D935FC">
        <w:t>主体变动假设、资产持续经营假设、有效市场存在假设和理性评估行为假设</w:t>
      </w:r>
      <w:r w:rsidRPr="00D935FC">
        <w:rPr>
          <w:rFonts w:hint="eastAsia"/>
        </w:rPr>
        <w:t>，</w:t>
      </w:r>
      <w:r w:rsidRPr="00D935FC">
        <w:t>这一观点的特点是将人的行为假设作为资产评估的基本假设之一</w:t>
      </w:r>
      <w:r w:rsidRPr="00D935FC">
        <w:rPr>
          <w:rFonts w:hint="eastAsia"/>
        </w:rPr>
        <w:t>；有的学者</w:t>
      </w:r>
      <w:r w:rsidRPr="00D935FC">
        <w:t>将评估假设列为交易假设、公开市场假设、持续使用假设和清算假设四种</w:t>
      </w:r>
      <w:r w:rsidRPr="00D935FC">
        <w:rPr>
          <w:rFonts w:hint="eastAsia"/>
        </w:rPr>
        <w:t>，</w:t>
      </w:r>
      <w:r w:rsidRPr="00D935FC">
        <w:t>这种划分与全国评估</w:t>
      </w:r>
      <w:r w:rsidRPr="00D935FC">
        <w:rPr>
          <w:rFonts w:hint="eastAsia"/>
        </w:rPr>
        <w:t>师</w:t>
      </w:r>
      <w:r w:rsidRPr="00D935FC">
        <w:t>考试用书上列示的四个基本假设基本相同</w:t>
      </w:r>
      <w:r w:rsidRPr="00D935FC">
        <w:rPr>
          <w:rFonts w:hint="eastAsia"/>
        </w:rPr>
        <w:t>；有学者</w:t>
      </w:r>
      <w:r w:rsidRPr="00D935FC">
        <w:t>将评估假设分为两个层次和三个假设，第一层次是存在假设即交易假设，第二个层次是拟进入的市场条件即公开市场假设和资产使用状态即持续使用假设。其分析体现了逻辑上的一致性和层次性。</w:t>
      </w:r>
    </w:p>
    <w:p w14:paraId="7DB90E5D" w14:textId="77777777" w:rsidR="00D935FC" w:rsidRPr="00D935FC" w:rsidRDefault="00D935FC" w:rsidP="00D935FC">
      <w:pPr>
        <w:pStyle w:val="13"/>
      </w:pPr>
      <w:r w:rsidRPr="00D935FC">
        <w:rPr>
          <w:rFonts w:hint="eastAsia"/>
        </w:rPr>
        <w:t>评估假设在评估师考试用书《资产评估学》的第一章总论的第三节专门做了阐述，“资产评估中的假设可以从不同角度分类，其中，按照假设设定的条件内容分类，评估假设可以划分为情景假设、市场条件假设、评估对象使用方式及状态假设和其他条件假设。另外，按照假设评估基准日时的真实性情况划分，评估假设又可以被划分为真实性假设、非真实性条件假设和特别假设”。</w:t>
      </w:r>
    </w:p>
    <w:p w14:paraId="3F691473" w14:textId="77777777" w:rsidR="00D935FC" w:rsidRPr="00D935FC" w:rsidRDefault="00D935FC" w:rsidP="00D935FC">
      <w:pPr>
        <w:pStyle w:val="13"/>
      </w:pPr>
      <w:r w:rsidRPr="00D935FC">
        <w:rPr>
          <w:rFonts w:hint="eastAsia"/>
        </w:rPr>
        <w:t>《资产评估准则——评估报告准则讲解》提出：评估所使用的假设包括了评估前提假设、评估环境假设、资产利用程度假设、资产使用范围假设、资产利用效果假设等。讲解中把评估</w:t>
      </w:r>
      <w:proofErr w:type="gramStart"/>
      <w:r w:rsidRPr="00D935FC">
        <w:rPr>
          <w:rFonts w:hint="eastAsia"/>
        </w:rPr>
        <w:t>假设分</w:t>
      </w:r>
      <w:proofErr w:type="gramEnd"/>
      <w:r w:rsidRPr="00D935FC">
        <w:rPr>
          <w:rFonts w:hint="eastAsia"/>
        </w:rPr>
        <w:t>为了前提假设和其他假设，并列举了部分假设事项。《讲解》重在报告中评估假设的披露，而不是假设本身的研究。</w:t>
      </w:r>
    </w:p>
    <w:p w14:paraId="3D42539F" w14:textId="77777777" w:rsidR="00D935FC" w:rsidRPr="00D935FC" w:rsidRDefault="00D935FC" w:rsidP="00D935FC">
      <w:pPr>
        <w:pStyle w:val="13"/>
      </w:pPr>
      <w:r w:rsidRPr="00D935FC">
        <w:rPr>
          <w:rFonts w:hint="eastAsia"/>
        </w:rPr>
        <w:t>对评估假设进行一个细化的、科学的分类，是评估假设使用和披露的重要基础。但目前看来，在该专家提示中提出一个认识一致的评估假设分类，较为困难。我们仅从评估实践的角度、增加该提示操作性的角度，提出多角度的分类方式，主要考虑了全面性。</w:t>
      </w:r>
    </w:p>
    <w:p w14:paraId="348EDE6B" w14:textId="77777777" w:rsidR="00D935FC" w:rsidRPr="00D935FC" w:rsidRDefault="00D935FC" w:rsidP="00D935FC">
      <w:pPr>
        <w:pStyle w:val="13"/>
      </w:pPr>
      <w:r w:rsidRPr="00D935FC">
        <w:rPr>
          <w:rFonts w:hint="eastAsia"/>
        </w:rPr>
        <w:t>2、关于评估假设的合理性</w:t>
      </w:r>
    </w:p>
    <w:p w14:paraId="67F778AC" w14:textId="77777777" w:rsidR="00D935FC" w:rsidRPr="00D935FC" w:rsidRDefault="00D935FC" w:rsidP="00D935FC">
      <w:pPr>
        <w:pStyle w:val="13"/>
      </w:pPr>
      <w:r w:rsidRPr="00D935FC">
        <w:rPr>
          <w:rFonts w:hint="eastAsia"/>
        </w:rPr>
        <w:t>评估假设的合理性，是评估假设</w:t>
      </w:r>
      <w:proofErr w:type="gramStart"/>
      <w:r w:rsidRPr="00D935FC">
        <w:rPr>
          <w:rFonts w:hint="eastAsia"/>
        </w:rPr>
        <w:t>最为最</w:t>
      </w:r>
      <w:proofErr w:type="gramEnd"/>
      <w:r w:rsidRPr="00D935FC">
        <w:rPr>
          <w:rFonts w:hint="eastAsia"/>
        </w:rPr>
        <w:t>要的问题，也是一个十分复杂的问题。对评估实践来说，做出何种评估假设才是合理的，首先需要一个假设合理性的标准作为基础。但是，我们认识到，不同类型的假设，其合理性判断不能是同一个标准，而同一个假设在不同评估目的、不同价值类型、不同评估对象的合理性又不同。在</w:t>
      </w:r>
      <w:proofErr w:type="gramStart"/>
      <w:r w:rsidRPr="00D935FC">
        <w:rPr>
          <w:rFonts w:hint="eastAsia"/>
        </w:rPr>
        <w:t>本专家</w:t>
      </w:r>
      <w:proofErr w:type="gramEnd"/>
      <w:r w:rsidRPr="00D935FC">
        <w:rPr>
          <w:rFonts w:hint="eastAsia"/>
        </w:rPr>
        <w:t>提示中提出一个评估假设合理性的概念，提出一套较为细化的合理性标准，十分困难。因此，</w:t>
      </w:r>
      <w:proofErr w:type="gramStart"/>
      <w:r w:rsidRPr="00D935FC">
        <w:rPr>
          <w:rFonts w:hint="eastAsia"/>
        </w:rPr>
        <w:t>本专家</w:t>
      </w:r>
      <w:proofErr w:type="gramEnd"/>
      <w:r w:rsidRPr="00D935FC">
        <w:rPr>
          <w:rFonts w:hint="eastAsia"/>
        </w:rPr>
        <w:t>提示提出了一个评估假设合理性标准的基本原则。</w:t>
      </w:r>
    </w:p>
    <w:p w14:paraId="1BDD5B78" w14:textId="77777777" w:rsidR="00D935FC" w:rsidRPr="00D935FC" w:rsidRDefault="00D935FC" w:rsidP="00D935FC">
      <w:pPr>
        <w:pStyle w:val="13"/>
      </w:pPr>
      <w:r w:rsidRPr="00D935FC">
        <w:rPr>
          <w:rFonts w:hint="eastAsia"/>
        </w:rPr>
        <w:lastRenderedPageBreak/>
        <w:t>3、关于评估假设的使用提示</w:t>
      </w:r>
    </w:p>
    <w:p w14:paraId="160ABD2C" w14:textId="77777777" w:rsidR="00D935FC" w:rsidRPr="00D935FC" w:rsidRDefault="00D935FC" w:rsidP="00D935FC">
      <w:pPr>
        <w:pStyle w:val="13"/>
      </w:pPr>
      <w:r w:rsidRPr="00D935FC">
        <w:rPr>
          <w:rFonts w:hint="eastAsia"/>
        </w:rPr>
        <w:t>研究制定本专家提示的根本目的，就是提出各种不同的假设如何使用供评估实践参考。而某一评估假设如何使用，又与不同评估业务相关，即评估假设使用与不同的评估目的、不同价值类型和不同评估对象等紧密相关。因此，关于评估假设的使用专家提示内容，由“评估假设使用要点”和“示例”两部分构成。特别指出，“示例”仅仅为帮助理解，不能套用，使用相应评估假设时，需要结合评估项目的具体情况分析使用。</w:t>
      </w:r>
    </w:p>
    <w:p w14:paraId="6EBCCCFD" w14:textId="3359EDD3" w:rsidR="00D935FC" w:rsidRPr="00D935FC" w:rsidRDefault="00D935FC" w:rsidP="00D935FC">
      <w:pPr>
        <w:pStyle w:val="31"/>
        <w:spacing w:before="156" w:after="62"/>
      </w:pPr>
      <w:bookmarkStart w:id="84" w:name="_Toc81833347"/>
      <w:r>
        <w:rPr>
          <w:rFonts w:hint="eastAsia"/>
        </w:rPr>
        <w:t>资产评估操作专家提示</w:t>
      </w:r>
      <w:proofErr w:type="gramStart"/>
      <w:r>
        <w:rPr>
          <w:rFonts w:hint="eastAsia"/>
        </w:rPr>
        <w:t>—司法</w:t>
      </w:r>
      <w:proofErr w:type="gramEnd"/>
      <w:r>
        <w:rPr>
          <w:rFonts w:hint="eastAsia"/>
        </w:rPr>
        <w:t>涉案目的评估（征求意见稿）</w:t>
      </w:r>
      <w:r w:rsidRPr="008C40AA">
        <w:rPr>
          <w:rFonts w:hint="eastAsia"/>
          <w:spacing w:val="-2"/>
        </w:rPr>
        <w:t>（</w:t>
      </w:r>
      <w:proofErr w:type="gramStart"/>
      <w:r w:rsidRPr="008C40AA">
        <w:rPr>
          <w:rFonts w:hint="eastAsia"/>
          <w:spacing w:val="-2"/>
        </w:rPr>
        <w:t>中评协</w:t>
      </w:r>
      <w:proofErr w:type="gramEnd"/>
      <w:r w:rsidRPr="008C40AA">
        <w:rPr>
          <w:spacing w:val="-2"/>
        </w:rPr>
        <w:t>[2014]209号</w:t>
      </w:r>
      <w:r w:rsidRPr="008C40AA">
        <w:rPr>
          <w:rFonts w:hint="eastAsia"/>
          <w:spacing w:val="-2"/>
        </w:rPr>
        <w:t>）</w:t>
      </w:r>
      <w:bookmarkEnd w:id="84"/>
    </w:p>
    <w:p w14:paraId="55395362" w14:textId="77777777" w:rsidR="00D935FC" w:rsidRPr="00D935FC" w:rsidRDefault="00D935FC" w:rsidP="00D935FC">
      <w:pPr>
        <w:pStyle w:val="13"/>
      </w:pPr>
      <w:proofErr w:type="gramStart"/>
      <w:r w:rsidRPr="00D935FC">
        <w:rPr>
          <w:rFonts w:hint="eastAsia"/>
        </w:rPr>
        <w:t>本专家</w:t>
      </w:r>
      <w:proofErr w:type="gramEnd"/>
      <w:r w:rsidRPr="00D935FC">
        <w:rPr>
          <w:rFonts w:hint="eastAsia"/>
        </w:rPr>
        <w:t>提示是一种专家意见。评估机构执行相关评估业务，可以参照</w:t>
      </w:r>
      <w:proofErr w:type="gramStart"/>
      <w:r w:rsidRPr="00D935FC">
        <w:rPr>
          <w:rFonts w:hint="eastAsia"/>
        </w:rPr>
        <w:t>本专家</w:t>
      </w:r>
      <w:proofErr w:type="gramEnd"/>
      <w:r w:rsidRPr="00D935FC">
        <w:rPr>
          <w:rFonts w:hint="eastAsia"/>
        </w:rPr>
        <w:t>提示，也可以根据具体情况采用其他适当的做法。中国资产评估协会将根据业务发展，对</w:t>
      </w:r>
      <w:proofErr w:type="gramStart"/>
      <w:r w:rsidRPr="00D935FC">
        <w:rPr>
          <w:rFonts w:hint="eastAsia"/>
        </w:rPr>
        <w:t>本专家</w:t>
      </w:r>
      <w:proofErr w:type="gramEnd"/>
      <w:r w:rsidRPr="00D935FC">
        <w:rPr>
          <w:rFonts w:hint="eastAsia"/>
        </w:rPr>
        <w:t>提示进行更新。</w:t>
      </w:r>
    </w:p>
    <w:p w14:paraId="34C06516" w14:textId="19237EE6" w:rsidR="00D935FC" w:rsidRPr="00D935FC" w:rsidRDefault="00D935FC" w:rsidP="00AF7342">
      <w:pPr>
        <w:pStyle w:val="a9"/>
        <w:spacing w:before="62" w:after="62"/>
      </w:pPr>
      <w:r w:rsidRPr="00D935FC">
        <w:rPr>
          <w:rFonts w:hint="eastAsia"/>
        </w:rPr>
        <w:t>第一章</w:t>
      </w:r>
      <w:r>
        <w:t xml:space="preserve"> </w:t>
      </w:r>
      <w:r w:rsidRPr="00D935FC">
        <w:rPr>
          <w:rFonts w:hint="eastAsia"/>
        </w:rPr>
        <w:t>引言</w:t>
      </w:r>
    </w:p>
    <w:p w14:paraId="53F2BCC1" w14:textId="5243F887" w:rsidR="00D935FC" w:rsidRPr="00D935FC" w:rsidRDefault="004E3EBB" w:rsidP="00D935FC">
      <w:pPr>
        <w:pStyle w:val="13"/>
        <w:ind w:firstLine="482"/>
      </w:pPr>
      <w:r w:rsidRPr="004E3EBB">
        <w:rPr>
          <w:rFonts w:hint="eastAsia"/>
          <w:b/>
        </w:rPr>
        <w:t xml:space="preserve">第一条 </w:t>
      </w:r>
      <w:r w:rsidR="00D935FC" w:rsidRPr="00D935FC">
        <w:rPr>
          <w:rFonts w:hint="eastAsia"/>
        </w:rPr>
        <w:t>为指导司法涉案目的评估业务行为，提高相关评估业务质量，中国资产评估协会组织制定了</w:t>
      </w:r>
      <w:proofErr w:type="gramStart"/>
      <w:r w:rsidR="00D935FC" w:rsidRPr="00D935FC">
        <w:rPr>
          <w:rFonts w:hint="eastAsia"/>
        </w:rPr>
        <w:t>本专家</w:t>
      </w:r>
      <w:proofErr w:type="gramEnd"/>
      <w:r w:rsidR="00D935FC" w:rsidRPr="00D935FC">
        <w:rPr>
          <w:rFonts w:hint="eastAsia"/>
        </w:rPr>
        <w:t>提示。</w:t>
      </w:r>
    </w:p>
    <w:p w14:paraId="2240280F" w14:textId="3B10E9C9" w:rsidR="00D935FC" w:rsidRPr="00D935FC" w:rsidRDefault="004E3EBB" w:rsidP="00D935FC">
      <w:pPr>
        <w:pStyle w:val="13"/>
        <w:ind w:firstLine="482"/>
      </w:pPr>
      <w:r w:rsidRPr="004E3EBB">
        <w:rPr>
          <w:rFonts w:hint="eastAsia"/>
          <w:b/>
        </w:rPr>
        <w:t xml:space="preserve">第二条 </w:t>
      </w:r>
      <w:r w:rsidR="00D935FC" w:rsidRPr="00D935FC">
        <w:rPr>
          <w:rFonts w:hint="eastAsia"/>
        </w:rPr>
        <w:t>司法涉案目的评估是指评估机构接受委托方委托，依据相关法律、法规和资产评估准则，运用专业知识和技术，对涉案资产及其他相关经济利益的价值进行分析、估算，并发表专业意见的行为和过程。</w:t>
      </w:r>
    </w:p>
    <w:p w14:paraId="124D892A" w14:textId="77777777" w:rsidR="00D935FC" w:rsidRPr="00D935FC" w:rsidRDefault="00D935FC" w:rsidP="00D935FC">
      <w:pPr>
        <w:pStyle w:val="13"/>
      </w:pPr>
      <w:proofErr w:type="gramStart"/>
      <w:r w:rsidRPr="00D935FC">
        <w:rPr>
          <w:rFonts w:hint="eastAsia"/>
        </w:rPr>
        <w:t>本专家</w:t>
      </w:r>
      <w:proofErr w:type="gramEnd"/>
      <w:r w:rsidRPr="00D935FC">
        <w:rPr>
          <w:rFonts w:hint="eastAsia"/>
        </w:rPr>
        <w:t>提示所称委托方，是指人民法院、人民检察院、公安机关等部门，或者司法案件的当事人等。</w:t>
      </w:r>
    </w:p>
    <w:p w14:paraId="1880A12F" w14:textId="7352BC69" w:rsidR="00D935FC" w:rsidRPr="00D935FC" w:rsidRDefault="00D935FC" w:rsidP="00AF7342">
      <w:pPr>
        <w:pStyle w:val="a9"/>
        <w:spacing w:before="62" w:after="62"/>
      </w:pPr>
      <w:r w:rsidRPr="00D935FC">
        <w:rPr>
          <w:rFonts w:hint="eastAsia"/>
        </w:rPr>
        <w:t>第二章</w:t>
      </w:r>
      <w:r>
        <w:rPr>
          <w:rFonts w:hint="eastAsia"/>
        </w:rPr>
        <w:t xml:space="preserve"> </w:t>
      </w:r>
      <w:r w:rsidRPr="00D935FC">
        <w:rPr>
          <w:rFonts w:hint="eastAsia"/>
        </w:rPr>
        <w:t>基本要求</w:t>
      </w:r>
    </w:p>
    <w:p w14:paraId="19B450C2" w14:textId="1828B54E" w:rsidR="00D935FC" w:rsidRPr="00D935FC" w:rsidRDefault="004E3EBB" w:rsidP="00D935FC">
      <w:pPr>
        <w:pStyle w:val="13"/>
        <w:ind w:firstLine="482"/>
      </w:pPr>
      <w:r w:rsidRPr="004E3EBB">
        <w:rPr>
          <w:rFonts w:hint="eastAsia"/>
          <w:b/>
        </w:rPr>
        <w:t xml:space="preserve">第三条 </w:t>
      </w:r>
      <w:r w:rsidR="00D935FC" w:rsidRPr="00D935FC">
        <w:rPr>
          <w:rFonts w:hint="eastAsia"/>
        </w:rPr>
        <w:t>执行司法涉案目的评估业务，应当遵守相关法律、法规和资产评估准则，恪守独立、客观、公正的原则，勤勉尽责，保持应有的职业谨慎，不得以预先设定的价值作为评估结论。</w:t>
      </w:r>
    </w:p>
    <w:p w14:paraId="358ADD4C" w14:textId="6178610E" w:rsidR="00D935FC" w:rsidRPr="00D935FC" w:rsidRDefault="004E3EBB" w:rsidP="00D935FC">
      <w:pPr>
        <w:pStyle w:val="13"/>
        <w:ind w:firstLine="482"/>
      </w:pPr>
      <w:r w:rsidRPr="004E3EBB">
        <w:rPr>
          <w:rFonts w:hint="eastAsia"/>
          <w:b/>
        </w:rPr>
        <w:t xml:space="preserve">第四条 </w:t>
      </w:r>
      <w:r w:rsidR="00D935FC" w:rsidRPr="00D935FC">
        <w:rPr>
          <w:rFonts w:hint="eastAsia"/>
        </w:rPr>
        <w:t>执行司法涉案目的评估业务，应当熟悉相关法律法规，具备相应的专业知识和经验，能够胜任所执行的司法涉案目的评估业务。</w:t>
      </w:r>
    </w:p>
    <w:p w14:paraId="2B5876A4" w14:textId="238218FE" w:rsidR="00D935FC" w:rsidRPr="00D935FC" w:rsidRDefault="004E3EBB" w:rsidP="00D935FC">
      <w:pPr>
        <w:pStyle w:val="13"/>
        <w:ind w:firstLine="482"/>
      </w:pPr>
      <w:r w:rsidRPr="004E3EBB">
        <w:rPr>
          <w:rFonts w:hint="eastAsia"/>
          <w:b/>
        </w:rPr>
        <w:t xml:space="preserve">第五条 </w:t>
      </w:r>
      <w:r w:rsidR="00D935FC" w:rsidRPr="00D935FC">
        <w:rPr>
          <w:rFonts w:hint="eastAsia"/>
        </w:rPr>
        <w:t>执行司法涉案目的评估业务，应当获取充分信息，并进行审慎分析。</w:t>
      </w:r>
    </w:p>
    <w:p w14:paraId="7BCC36BC" w14:textId="2306BE6A" w:rsidR="00D935FC" w:rsidRPr="00D935FC" w:rsidRDefault="004E3EBB" w:rsidP="00D935FC">
      <w:pPr>
        <w:pStyle w:val="13"/>
        <w:ind w:firstLine="482"/>
      </w:pPr>
      <w:r w:rsidRPr="004E3EBB">
        <w:rPr>
          <w:rFonts w:hint="eastAsia"/>
          <w:b/>
        </w:rPr>
        <w:t xml:space="preserve">第六条 </w:t>
      </w:r>
      <w:r w:rsidR="00D935FC" w:rsidRPr="00D935FC">
        <w:rPr>
          <w:rFonts w:hint="eastAsia"/>
        </w:rPr>
        <w:t>执行司法涉案目的评估业务，应当要求委托方和相关当事方提供必要的资料并对其真实性、合法性和完整性负责。</w:t>
      </w:r>
    </w:p>
    <w:p w14:paraId="645CBD3C" w14:textId="2F18615B" w:rsidR="00D935FC" w:rsidRPr="00D935FC" w:rsidRDefault="004E3EBB" w:rsidP="00D935FC">
      <w:pPr>
        <w:pStyle w:val="13"/>
        <w:ind w:firstLine="482"/>
      </w:pPr>
      <w:r w:rsidRPr="004E3EBB">
        <w:rPr>
          <w:rFonts w:hint="eastAsia"/>
          <w:b/>
        </w:rPr>
        <w:t xml:space="preserve">第七条 </w:t>
      </w:r>
      <w:r w:rsidR="00D935FC" w:rsidRPr="00D935FC">
        <w:rPr>
          <w:rFonts w:hint="eastAsia"/>
        </w:rPr>
        <w:t>执行司法涉案目的评估业务，应当合理使用评估假设和限定条件。</w:t>
      </w:r>
    </w:p>
    <w:p w14:paraId="54D49936" w14:textId="50966250" w:rsidR="00D935FC" w:rsidRPr="00D935FC" w:rsidRDefault="004E3EBB" w:rsidP="00D935FC">
      <w:pPr>
        <w:pStyle w:val="13"/>
        <w:ind w:firstLine="482"/>
      </w:pPr>
      <w:r w:rsidRPr="004E3EBB">
        <w:rPr>
          <w:rFonts w:hint="eastAsia"/>
          <w:b/>
        </w:rPr>
        <w:t xml:space="preserve">第八条 </w:t>
      </w:r>
      <w:r w:rsidR="00D935FC" w:rsidRPr="00D935FC">
        <w:rPr>
          <w:rFonts w:hint="eastAsia"/>
        </w:rPr>
        <w:t>执行司法涉案目的评估业务，应当要求委托方和相关当事方对评估机构执行业务予以配合，不干涉评估机构正常执业。在相关当事方配合存在问题时，委托方应当予以必要协调。</w:t>
      </w:r>
    </w:p>
    <w:p w14:paraId="7B069477" w14:textId="5D52D008" w:rsidR="00D935FC" w:rsidRPr="00D935FC" w:rsidRDefault="00E05BDA" w:rsidP="00D935FC">
      <w:pPr>
        <w:pStyle w:val="13"/>
        <w:ind w:firstLine="482"/>
      </w:pPr>
      <w:r w:rsidRPr="00E05BDA">
        <w:rPr>
          <w:rFonts w:hint="eastAsia"/>
          <w:b/>
        </w:rPr>
        <w:t xml:space="preserve">第九条 </w:t>
      </w:r>
      <w:r w:rsidR="00D935FC" w:rsidRPr="00D935FC">
        <w:rPr>
          <w:rFonts w:hint="eastAsia"/>
        </w:rPr>
        <w:t>执行司法涉案目的评估业务，可以利用专家工作，但应当采取必要措施</w:t>
      </w:r>
      <w:r w:rsidR="00D935FC" w:rsidRPr="00D935FC">
        <w:rPr>
          <w:rFonts w:hint="eastAsia"/>
        </w:rPr>
        <w:lastRenderedPageBreak/>
        <w:t>保证专家工作的合理性。</w:t>
      </w:r>
    </w:p>
    <w:p w14:paraId="467A8FFE" w14:textId="5DE466E2" w:rsidR="00D935FC" w:rsidRPr="00D935FC" w:rsidRDefault="00E05BDA" w:rsidP="00D935FC">
      <w:pPr>
        <w:pStyle w:val="13"/>
        <w:ind w:firstLine="482"/>
      </w:pPr>
      <w:r w:rsidRPr="00E05BDA">
        <w:rPr>
          <w:rFonts w:hint="eastAsia"/>
          <w:b/>
        </w:rPr>
        <w:t xml:space="preserve">第十条 </w:t>
      </w:r>
      <w:r w:rsidR="00D935FC" w:rsidRPr="00D935FC">
        <w:rPr>
          <w:rFonts w:hint="eastAsia"/>
        </w:rPr>
        <w:t>执行司法涉案目的评估业务，应当根据相关法律法规和委托方的要求，对评估过程中接触的任何未公开的信息，承担保密义务。</w:t>
      </w:r>
    </w:p>
    <w:p w14:paraId="0D89B9AD" w14:textId="25FC4D9F" w:rsidR="00D935FC" w:rsidRPr="00D935FC" w:rsidRDefault="00D935FC" w:rsidP="00AF7342">
      <w:pPr>
        <w:pStyle w:val="a9"/>
        <w:spacing w:before="62" w:after="62"/>
      </w:pPr>
      <w:r w:rsidRPr="00D935FC">
        <w:rPr>
          <w:rFonts w:hint="eastAsia"/>
        </w:rPr>
        <w:t>第三章</w:t>
      </w:r>
      <w:r>
        <w:rPr>
          <w:rFonts w:hint="eastAsia"/>
        </w:rPr>
        <w:t xml:space="preserve"> </w:t>
      </w:r>
      <w:r w:rsidRPr="00D935FC">
        <w:rPr>
          <w:rFonts w:hint="eastAsia"/>
        </w:rPr>
        <w:t>评估对象</w:t>
      </w:r>
    </w:p>
    <w:p w14:paraId="77A4E31B" w14:textId="448D35C4" w:rsidR="00D935FC" w:rsidRPr="00D935FC" w:rsidRDefault="00E05BDA" w:rsidP="00D935FC">
      <w:pPr>
        <w:pStyle w:val="13"/>
        <w:ind w:firstLine="482"/>
      </w:pPr>
      <w:r w:rsidRPr="00E05BDA">
        <w:rPr>
          <w:rFonts w:hint="eastAsia"/>
          <w:b/>
        </w:rPr>
        <w:t xml:space="preserve">第十一条 </w:t>
      </w:r>
      <w:r w:rsidR="00D935FC" w:rsidRPr="00D935FC">
        <w:rPr>
          <w:rFonts w:hint="eastAsia"/>
        </w:rPr>
        <w:t>执行司法涉案目的评估业务，应当与委托方和相关当事方进行充分沟通，并且通过现场调查和资料收集等确认评估对象及评估范围，通常包括涉案资产及其他相关经济利益。</w:t>
      </w:r>
    </w:p>
    <w:p w14:paraId="0BA98B08" w14:textId="75E90DD0" w:rsidR="00D935FC" w:rsidRPr="00D935FC" w:rsidRDefault="00E05BDA" w:rsidP="00D935FC">
      <w:pPr>
        <w:pStyle w:val="13"/>
        <w:ind w:firstLine="482"/>
      </w:pPr>
      <w:r w:rsidRPr="00E05BDA">
        <w:rPr>
          <w:rFonts w:hint="eastAsia"/>
          <w:b/>
        </w:rPr>
        <w:t xml:space="preserve">第十二条 </w:t>
      </w:r>
      <w:r w:rsidR="00D935FC" w:rsidRPr="00D935FC">
        <w:rPr>
          <w:rFonts w:hint="eastAsia"/>
        </w:rPr>
        <w:t>涉案资产是指司法案件中受到损害或拟用于赔偿、分配等涉及的资产，通常包括房屋建筑物及构筑物、车辆、机器设备、珠宝首饰、艺术品、土地使用权、专利权、专有技术、商标权、著作权、合同权益、企业整体资产、股权、债权、期权等。</w:t>
      </w:r>
    </w:p>
    <w:p w14:paraId="02476E14" w14:textId="4BA2ADF9" w:rsidR="00D935FC" w:rsidRPr="00D935FC" w:rsidRDefault="00E05BDA" w:rsidP="00D935FC">
      <w:pPr>
        <w:pStyle w:val="13"/>
        <w:ind w:firstLine="482"/>
      </w:pPr>
      <w:r w:rsidRPr="00E05BDA">
        <w:rPr>
          <w:rFonts w:hint="eastAsia"/>
          <w:b/>
        </w:rPr>
        <w:t xml:space="preserve">第十三条 </w:t>
      </w:r>
      <w:r w:rsidR="00D935FC" w:rsidRPr="00D935FC">
        <w:rPr>
          <w:rFonts w:hint="eastAsia"/>
        </w:rPr>
        <w:t>其他相关经济利益是指一方当事人的行为给另一方当事人造成的经济损失以及费用增加等，通常包括侵权损失、资产损害，以及由于个人或法人经营、合同纠纷、环境污染、征收、征用、搬迁等行为引起的相关经济利益变化。</w:t>
      </w:r>
    </w:p>
    <w:p w14:paraId="0956A346" w14:textId="7B8BD622" w:rsidR="00D935FC" w:rsidRPr="00D935FC" w:rsidRDefault="00E05BDA" w:rsidP="00D935FC">
      <w:pPr>
        <w:pStyle w:val="13"/>
        <w:ind w:firstLine="482"/>
      </w:pPr>
      <w:r w:rsidRPr="00E05BDA">
        <w:rPr>
          <w:rFonts w:hint="eastAsia"/>
          <w:b/>
        </w:rPr>
        <w:t xml:space="preserve">第十四条 </w:t>
      </w:r>
      <w:r w:rsidR="00D935FC" w:rsidRPr="00D935FC">
        <w:rPr>
          <w:rFonts w:hint="eastAsia"/>
        </w:rPr>
        <w:t>执行司法涉案目的评估业务，应当关注评估对象的具体形态及范围，考虑资产是否完整、是否灭失、有无实物形态等对评估的影响。</w:t>
      </w:r>
    </w:p>
    <w:p w14:paraId="4453BBF4" w14:textId="620392B0" w:rsidR="00D935FC" w:rsidRPr="00D935FC" w:rsidRDefault="00D935FC" w:rsidP="00AF7342">
      <w:pPr>
        <w:pStyle w:val="a9"/>
        <w:spacing w:before="62" w:after="62"/>
      </w:pPr>
      <w:r w:rsidRPr="00D935FC">
        <w:rPr>
          <w:rFonts w:hint="eastAsia"/>
        </w:rPr>
        <w:t>第四章 操作要求</w:t>
      </w:r>
    </w:p>
    <w:p w14:paraId="5B5E5C53" w14:textId="7544AEAD" w:rsidR="00D935FC" w:rsidRPr="00D935FC" w:rsidRDefault="00E05BDA" w:rsidP="00D935FC">
      <w:pPr>
        <w:pStyle w:val="13"/>
        <w:ind w:firstLine="482"/>
      </w:pPr>
      <w:r w:rsidRPr="00E05BDA">
        <w:rPr>
          <w:rFonts w:hint="eastAsia"/>
          <w:b/>
        </w:rPr>
        <w:t xml:space="preserve">第十五条 </w:t>
      </w:r>
      <w:r w:rsidR="00D935FC" w:rsidRPr="00D935FC">
        <w:rPr>
          <w:rFonts w:hint="eastAsia"/>
        </w:rPr>
        <w:t>执行司法涉案目的评估业务，应当履行必要的评估程序。</w:t>
      </w:r>
    </w:p>
    <w:p w14:paraId="4E08D071" w14:textId="2252F0AB" w:rsidR="00D935FC" w:rsidRPr="00D935FC" w:rsidRDefault="00E05BDA" w:rsidP="00D935FC">
      <w:pPr>
        <w:pStyle w:val="13"/>
        <w:ind w:firstLine="482"/>
      </w:pPr>
      <w:r w:rsidRPr="00E05BDA">
        <w:rPr>
          <w:rFonts w:hint="eastAsia"/>
          <w:b/>
        </w:rPr>
        <w:t xml:space="preserve">第十六条 </w:t>
      </w:r>
      <w:r w:rsidR="00D935FC" w:rsidRPr="00D935FC">
        <w:rPr>
          <w:rFonts w:hint="eastAsia"/>
        </w:rPr>
        <w:t>承接司法涉案目的评估业务之前，应当与委托方进行充分沟通，了解司法案件的基本情况，对评估业务基本事项进行必要的分析，综合考虑案件和评估对象的特点以及自身的情况确定是否接受该委托。</w:t>
      </w:r>
    </w:p>
    <w:p w14:paraId="4331554B" w14:textId="650133F2" w:rsidR="00D935FC" w:rsidRPr="00D935FC" w:rsidRDefault="00E05BDA" w:rsidP="00D935FC">
      <w:pPr>
        <w:pStyle w:val="13"/>
        <w:ind w:firstLine="482"/>
      </w:pPr>
      <w:r w:rsidRPr="00E05BDA">
        <w:rPr>
          <w:rFonts w:hint="eastAsia"/>
          <w:b/>
        </w:rPr>
        <w:t xml:space="preserve">第十七条 </w:t>
      </w:r>
      <w:r w:rsidR="00D935FC" w:rsidRPr="00D935FC">
        <w:rPr>
          <w:rFonts w:hint="eastAsia"/>
        </w:rPr>
        <w:t>承接司法涉案目的评估业务时，应当与委托方签订业务约定书。若委托方为人民法院、人民检察院、公安机关等部门，无法签订业务约定书，以其他书面形式发出委托要约的，应当在要约中明确评估基本事项，通常包括评估目的、评估对象、评估范围、评估基准日、价值类型、评估假设和前提等。</w:t>
      </w:r>
    </w:p>
    <w:p w14:paraId="56A1FAB5" w14:textId="77777777" w:rsidR="00D935FC" w:rsidRPr="00D935FC" w:rsidRDefault="00D935FC" w:rsidP="00D935FC">
      <w:pPr>
        <w:pStyle w:val="13"/>
      </w:pPr>
      <w:r w:rsidRPr="00D935FC">
        <w:rPr>
          <w:rFonts w:hint="eastAsia"/>
        </w:rPr>
        <w:t>评估机构接受委托后，若发现评估基本事项与委托事项存在差异，应当就相关事项签订补充协议或重新签订业务约定书；以其他书面形式进行委托要约的，应当以书面形式向委托方说明，并要求委托方进行确认并在报告中进行恰当披露。</w:t>
      </w:r>
    </w:p>
    <w:p w14:paraId="1F1BD124" w14:textId="0FEFFCA1" w:rsidR="00D935FC" w:rsidRPr="00D935FC" w:rsidRDefault="00E05BDA" w:rsidP="00D935FC">
      <w:pPr>
        <w:pStyle w:val="13"/>
        <w:ind w:firstLine="482"/>
      </w:pPr>
      <w:r w:rsidRPr="00E05BDA">
        <w:rPr>
          <w:rFonts w:hint="eastAsia"/>
          <w:b/>
        </w:rPr>
        <w:t xml:space="preserve">第十八条 </w:t>
      </w:r>
      <w:r w:rsidR="00D935FC" w:rsidRPr="00D935FC">
        <w:rPr>
          <w:rFonts w:hint="eastAsia"/>
        </w:rPr>
        <w:t>承接司法涉案目的评估业务时，应当提醒委托方，在执行业务过程中，因受到限制、无法履行必要评估程序等因素引起评估结论得不到合理保证的情况下，可以终止协议或者与委托方进行协商，采取出具价值分析报告等其他解决方式。</w:t>
      </w:r>
    </w:p>
    <w:p w14:paraId="09330E53" w14:textId="3090093A" w:rsidR="00D935FC" w:rsidRPr="00D935FC" w:rsidRDefault="00E05BDA" w:rsidP="00D935FC">
      <w:pPr>
        <w:pStyle w:val="13"/>
        <w:ind w:firstLine="482"/>
      </w:pPr>
      <w:r w:rsidRPr="00E05BDA">
        <w:rPr>
          <w:rFonts w:hint="eastAsia"/>
          <w:b/>
        </w:rPr>
        <w:t xml:space="preserve">第十九条 </w:t>
      </w:r>
      <w:r w:rsidR="00D935FC" w:rsidRPr="00D935FC">
        <w:rPr>
          <w:rFonts w:hint="eastAsia"/>
        </w:rPr>
        <w:t>评估机构应当提醒委托方根据评估对象和具体案件的不同合理确定评估基准日。评估基准日可以是过去或现在的某一时点。</w:t>
      </w:r>
    </w:p>
    <w:p w14:paraId="06B93B21" w14:textId="6255E147" w:rsidR="00D935FC" w:rsidRPr="00D935FC" w:rsidRDefault="00E05BDA" w:rsidP="00D935FC">
      <w:pPr>
        <w:pStyle w:val="13"/>
        <w:ind w:firstLine="482"/>
      </w:pPr>
      <w:r w:rsidRPr="00E05BDA">
        <w:rPr>
          <w:rFonts w:hint="eastAsia"/>
          <w:b/>
        </w:rPr>
        <w:lastRenderedPageBreak/>
        <w:t xml:space="preserve">第二十条 </w:t>
      </w:r>
      <w:r w:rsidR="00D935FC" w:rsidRPr="00D935FC">
        <w:rPr>
          <w:rFonts w:hint="eastAsia"/>
        </w:rPr>
        <w:t>评估机构应当提醒委托方根据评估目的、评估对象、案件具体情况及所处阶段等的不同，合理确定涉案资产评估的价值类型。</w:t>
      </w:r>
    </w:p>
    <w:p w14:paraId="0B1E2494" w14:textId="6B3CA5C8" w:rsidR="00D935FC" w:rsidRPr="00D935FC" w:rsidRDefault="00E05BDA" w:rsidP="00D935FC">
      <w:pPr>
        <w:pStyle w:val="13"/>
        <w:ind w:firstLine="482"/>
      </w:pPr>
      <w:r w:rsidRPr="00E05BDA">
        <w:rPr>
          <w:rFonts w:hint="eastAsia"/>
          <w:b/>
        </w:rPr>
        <w:t xml:space="preserve">第二十一条 </w:t>
      </w:r>
      <w:r w:rsidR="00D935FC" w:rsidRPr="00D935FC">
        <w:rPr>
          <w:rFonts w:hint="eastAsia"/>
        </w:rPr>
        <w:t>执行司法涉案目的评估业务，应当在委托方、相关当事方的配合下进行现场调查。</w:t>
      </w:r>
    </w:p>
    <w:p w14:paraId="1E6DEF1A" w14:textId="77777777" w:rsidR="00D935FC" w:rsidRPr="00D935FC" w:rsidRDefault="00D935FC" w:rsidP="00D935FC">
      <w:pPr>
        <w:pStyle w:val="13"/>
      </w:pPr>
      <w:r w:rsidRPr="00D935FC">
        <w:rPr>
          <w:rFonts w:hint="eastAsia"/>
        </w:rPr>
        <w:t>现场调查时应当保留必要的文字、语音、照片、影像等资料,以书面形式记录调查的时间、地点、过程、结果等，并且由评估机构、委托方、相关当事方等共同确认。</w:t>
      </w:r>
    </w:p>
    <w:p w14:paraId="7A7A67CC" w14:textId="77777777" w:rsidR="00D935FC" w:rsidRPr="00D935FC" w:rsidRDefault="00D935FC" w:rsidP="00D935FC">
      <w:pPr>
        <w:pStyle w:val="13"/>
      </w:pPr>
      <w:r w:rsidRPr="00D935FC">
        <w:rPr>
          <w:rFonts w:hint="eastAsia"/>
        </w:rPr>
        <w:t>若出现调查时委托方或相关当事方不在现场，或者相关人员不予配合等情况，评估机构应当详细记录现场情况，收集必要的证据资料，并在报告中予以披露。</w:t>
      </w:r>
    </w:p>
    <w:p w14:paraId="44ECF585" w14:textId="2DC88220" w:rsidR="00D935FC" w:rsidRPr="00D935FC" w:rsidRDefault="00E05BDA" w:rsidP="00D935FC">
      <w:pPr>
        <w:pStyle w:val="13"/>
        <w:ind w:firstLine="482"/>
      </w:pPr>
      <w:r w:rsidRPr="00E05BDA">
        <w:rPr>
          <w:rFonts w:hint="eastAsia"/>
          <w:b/>
        </w:rPr>
        <w:t xml:space="preserve">第二十二条 </w:t>
      </w:r>
      <w:r w:rsidR="00D935FC" w:rsidRPr="00D935FC">
        <w:rPr>
          <w:rFonts w:hint="eastAsia"/>
        </w:rPr>
        <w:t>执行司法涉案目的评估业务，应当要求委托方和相关当事方提供相关资料，通过市场调查，专家访谈等方式收集评估所需要的资料。</w:t>
      </w:r>
    </w:p>
    <w:p w14:paraId="5193C542" w14:textId="77777777" w:rsidR="00D935FC" w:rsidRPr="00D935FC" w:rsidRDefault="00D935FC" w:rsidP="00D935FC">
      <w:pPr>
        <w:pStyle w:val="13"/>
      </w:pPr>
      <w:r w:rsidRPr="00D935FC">
        <w:rPr>
          <w:rFonts w:hint="eastAsia"/>
        </w:rPr>
        <w:t>评估机构应当要求委托方和相关当事方对提交资料的真实性、合法性、完整性进行确认。</w:t>
      </w:r>
    </w:p>
    <w:p w14:paraId="74EA82F6" w14:textId="42FF94FD" w:rsidR="00D935FC" w:rsidRPr="00D935FC" w:rsidRDefault="00D935FC" w:rsidP="00AF7342">
      <w:pPr>
        <w:pStyle w:val="a9"/>
        <w:spacing w:before="62" w:after="62"/>
      </w:pPr>
      <w:r w:rsidRPr="00D935FC">
        <w:rPr>
          <w:rFonts w:hint="eastAsia"/>
        </w:rPr>
        <w:t>第五章</w:t>
      </w:r>
      <w:r>
        <w:rPr>
          <w:rFonts w:hint="eastAsia"/>
        </w:rPr>
        <w:t xml:space="preserve"> </w:t>
      </w:r>
      <w:r w:rsidRPr="00D935FC">
        <w:rPr>
          <w:rFonts w:hint="eastAsia"/>
        </w:rPr>
        <w:t>评估方法</w:t>
      </w:r>
    </w:p>
    <w:p w14:paraId="63AF1ED6" w14:textId="75651131" w:rsidR="00D935FC" w:rsidRPr="00D935FC" w:rsidRDefault="00E05BDA" w:rsidP="00D935FC">
      <w:pPr>
        <w:pStyle w:val="13"/>
        <w:ind w:firstLine="482"/>
      </w:pPr>
      <w:r w:rsidRPr="00E05BDA">
        <w:rPr>
          <w:rFonts w:hint="eastAsia"/>
          <w:b/>
        </w:rPr>
        <w:t xml:space="preserve">第二十三条 </w:t>
      </w:r>
      <w:r w:rsidR="00D935FC" w:rsidRPr="00D935FC">
        <w:rPr>
          <w:rFonts w:hint="eastAsia"/>
        </w:rPr>
        <w:t>对涉案资产的价值进行评估时，应当根据评估目的、评估对象、价值类型、资料收集情况等相关条件，合理分析市场法、收益法和成本法等方法的适用性，恰当选择评估方法。</w:t>
      </w:r>
    </w:p>
    <w:p w14:paraId="503EE12A" w14:textId="7E6D874B" w:rsidR="00D935FC" w:rsidRPr="00D935FC" w:rsidRDefault="00E05BDA" w:rsidP="00D935FC">
      <w:pPr>
        <w:pStyle w:val="13"/>
        <w:ind w:firstLine="482"/>
      </w:pPr>
      <w:r w:rsidRPr="00E05BDA">
        <w:rPr>
          <w:rFonts w:hint="eastAsia"/>
          <w:b/>
        </w:rPr>
        <w:t xml:space="preserve">第二十四条 </w:t>
      </w:r>
      <w:r w:rsidR="00D935FC" w:rsidRPr="00D935FC">
        <w:rPr>
          <w:rFonts w:hint="eastAsia"/>
        </w:rPr>
        <w:t>运用市场法进行涉案资产评估时，应当依据评估基准日时涉案资产的物理、法律、经济等状态和价值影响因素合理选择可比对象。</w:t>
      </w:r>
    </w:p>
    <w:p w14:paraId="1750F7E7" w14:textId="7D728253" w:rsidR="00D935FC" w:rsidRPr="00D935FC" w:rsidRDefault="00E05BDA" w:rsidP="00D935FC">
      <w:pPr>
        <w:pStyle w:val="13"/>
        <w:ind w:firstLine="482"/>
      </w:pPr>
      <w:r w:rsidRPr="00E05BDA">
        <w:rPr>
          <w:rFonts w:hint="eastAsia"/>
          <w:b/>
        </w:rPr>
        <w:t xml:space="preserve">第二十五条 </w:t>
      </w:r>
      <w:r w:rsidR="00D935FC" w:rsidRPr="00D935FC">
        <w:rPr>
          <w:rFonts w:hint="eastAsia"/>
        </w:rPr>
        <w:t>运用收益法进行涉案资产评估时，应当充分收集与涉案资产收益相关的资料，并且充分考虑各种情况发生的可能性及其影响，选择恰当的收益口径、收益期和折现率。</w:t>
      </w:r>
    </w:p>
    <w:p w14:paraId="1843251F" w14:textId="77777777" w:rsidR="00D935FC" w:rsidRPr="00D935FC" w:rsidRDefault="00D935FC" w:rsidP="00D935FC">
      <w:pPr>
        <w:pStyle w:val="13"/>
      </w:pPr>
      <w:r w:rsidRPr="00D935FC">
        <w:rPr>
          <w:rFonts w:hint="eastAsia"/>
        </w:rPr>
        <w:t>涉案资产的预期收益、收益期和折现率，应当基于评估基准日可以获得或合理推定的相关信息确定。</w:t>
      </w:r>
    </w:p>
    <w:p w14:paraId="62F3E5AF" w14:textId="17D6FBBA" w:rsidR="00D935FC" w:rsidRPr="00D935FC" w:rsidRDefault="00E05BDA" w:rsidP="00D935FC">
      <w:pPr>
        <w:pStyle w:val="13"/>
        <w:ind w:firstLine="482"/>
      </w:pPr>
      <w:r w:rsidRPr="00E05BDA">
        <w:rPr>
          <w:rFonts w:hint="eastAsia"/>
          <w:b/>
        </w:rPr>
        <w:t xml:space="preserve">第二十六条 </w:t>
      </w:r>
      <w:r w:rsidR="00D935FC" w:rsidRPr="00D935FC">
        <w:rPr>
          <w:rFonts w:hint="eastAsia"/>
        </w:rPr>
        <w:t>运用成本法进行涉案资产评估时，应当关注影响资产实体性贬值、功能性贬值和经济性贬值的各种因素，合理确定各种贬值。</w:t>
      </w:r>
    </w:p>
    <w:p w14:paraId="41BF5918" w14:textId="77777777" w:rsidR="00D935FC" w:rsidRPr="00D935FC" w:rsidRDefault="00D935FC" w:rsidP="00D935FC">
      <w:pPr>
        <w:pStyle w:val="13"/>
      </w:pPr>
      <w:r w:rsidRPr="00D935FC">
        <w:rPr>
          <w:rFonts w:hint="eastAsia"/>
        </w:rPr>
        <w:t>评估机构应当知晓成本法中复原重置成本与更新重置成本的区别，并且根据评估目的等因素，恰当选用复原重置成本或更新重置成本。</w:t>
      </w:r>
    </w:p>
    <w:p w14:paraId="64C9C47C" w14:textId="6E008CEF" w:rsidR="00D935FC" w:rsidRPr="00D935FC" w:rsidRDefault="00E05BDA" w:rsidP="00D935FC">
      <w:pPr>
        <w:pStyle w:val="13"/>
        <w:ind w:firstLine="482"/>
      </w:pPr>
      <w:r w:rsidRPr="00E05BDA">
        <w:rPr>
          <w:rFonts w:hint="eastAsia"/>
          <w:b/>
        </w:rPr>
        <w:t xml:space="preserve">第二十七条 </w:t>
      </w:r>
      <w:r w:rsidR="00D935FC" w:rsidRPr="00D935FC">
        <w:rPr>
          <w:rFonts w:hint="eastAsia"/>
        </w:rPr>
        <w:t>对涉案的其他相关经济利益进行估算时，可以参考市场法、收益法和成本法等评估方法，或者借鉴会计核算中常用的方法。</w:t>
      </w:r>
    </w:p>
    <w:p w14:paraId="2B83AFED" w14:textId="61AB34F8" w:rsidR="00D935FC" w:rsidRPr="00D935FC" w:rsidRDefault="00E05BDA" w:rsidP="00D935FC">
      <w:pPr>
        <w:pStyle w:val="13"/>
        <w:ind w:firstLine="482"/>
      </w:pPr>
      <w:r w:rsidRPr="00E05BDA">
        <w:rPr>
          <w:rFonts w:hint="eastAsia"/>
          <w:b/>
        </w:rPr>
        <w:t xml:space="preserve">第二十八条 </w:t>
      </w:r>
      <w:r w:rsidR="00D935FC" w:rsidRPr="00D935FC">
        <w:rPr>
          <w:rFonts w:hint="eastAsia"/>
        </w:rPr>
        <w:t>对涉案的其他相关经济利益进行估算时，除重点关注案件中涉及的直接经济损失、实际发生费用等，还需要关注合理的、能够可靠计算的间接经济损失、其他费用等。</w:t>
      </w:r>
    </w:p>
    <w:p w14:paraId="19AA0115" w14:textId="376D5844" w:rsidR="00D935FC" w:rsidRPr="00D935FC" w:rsidRDefault="00D935FC" w:rsidP="00AF7342">
      <w:pPr>
        <w:pStyle w:val="a9"/>
        <w:spacing w:before="62" w:after="62"/>
      </w:pPr>
      <w:r w:rsidRPr="00D935FC">
        <w:rPr>
          <w:rFonts w:hint="eastAsia"/>
        </w:rPr>
        <w:lastRenderedPageBreak/>
        <w:t>第六章</w:t>
      </w:r>
      <w:r>
        <w:rPr>
          <w:rFonts w:hint="eastAsia"/>
        </w:rPr>
        <w:t xml:space="preserve"> </w:t>
      </w:r>
      <w:r w:rsidRPr="00D935FC">
        <w:rPr>
          <w:rFonts w:hint="eastAsia"/>
        </w:rPr>
        <w:t>披露要求</w:t>
      </w:r>
    </w:p>
    <w:p w14:paraId="29F84564" w14:textId="775051AB" w:rsidR="00D935FC" w:rsidRPr="00D935FC" w:rsidRDefault="00E05BDA" w:rsidP="00D935FC">
      <w:pPr>
        <w:pStyle w:val="13"/>
        <w:ind w:firstLine="482"/>
      </w:pPr>
      <w:r w:rsidRPr="00E05BDA">
        <w:rPr>
          <w:rFonts w:hint="eastAsia"/>
          <w:b/>
        </w:rPr>
        <w:t xml:space="preserve">第二十九条 </w:t>
      </w:r>
      <w:r w:rsidR="00D935FC" w:rsidRPr="00D935FC">
        <w:rPr>
          <w:rFonts w:hint="eastAsia"/>
        </w:rPr>
        <w:t>执行司法涉案目的评估业务，应当在履行必要的评估程序后，根据相关法律、法规和资产评估准则的要求，编制评估报告。</w:t>
      </w:r>
    </w:p>
    <w:p w14:paraId="348AE119" w14:textId="30FA190C" w:rsidR="00D935FC" w:rsidRPr="00D935FC" w:rsidRDefault="00E05BDA" w:rsidP="00D935FC">
      <w:pPr>
        <w:pStyle w:val="13"/>
        <w:ind w:firstLine="482"/>
      </w:pPr>
      <w:r w:rsidRPr="00E05BDA">
        <w:rPr>
          <w:rFonts w:hint="eastAsia"/>
          <w:b/>
        </w:rPr>
        <w:t xml:space="preserve">第三十条 </w:t>
      </w:r>
      <w:r w:rsidR="00D935FC" w:rsidRPr="00D935FC">
        <w:rPr>
          <w:rFonts w:hint="eastAsia"/>
        </w:rPr>
        <w:t>评估报告中应当充分披露必要信息，使报告使用者能够</w:t>
      </w:r>
      <w:proofErr w:type="gramStart"/>
      <w:r w:rsidR="00D935FC" w:rsidRPr="00D935FC">
        <w:rPr>
          <w:rFonts w:hint="eastAsia"/>
        </w:rPr>
        <w:t>合理理解</w:t>
      </w:r>
      <w:proofErr w:type="gramEnd"/>
      <w:r w:rsidR="00D935FC" w:rsidRPr="00D935FC">
        <w:rPr>
          <w:rFonts w:hint="eastAsia"/>
        </w:rPr>
        <w:t>评估结论。</w:t>
      </w:r>
    </w:p>
    <w:p w14:paraId="4EEA58C5" w14:textId="502C5B87" w:rsidR="00D935FC" w:rsidRPr="00D935FC" w:rsidRDefault="003B2FB1" w:rsidP="00D935FC">
      <w:pPr>
        <w:pStyle w:val="13"/>
        <w:ind w:firstLine="482"/>
      </w:pPr>
      <w:r w:rsidRPr="003B2FB1">
        <w:rPr>
          <w:rFonts w:hint="eastAsia"/>
          <w:b/>
        </w:rPr>
        <w:t xml:space="preserve">第三十一条 </w:t>
      </w:r>
      <w:r w:rsidR="00D935FC" w:rsidRPr="00D935FC">
        <w:rPr>
          <w:rFonts w:hint="eastAsia"/>
        </w:rPr>
        <w:t>编制司法涉案目的评估报告时，应当披露评估过程中反映司法涉案目的评估项目自身特点的内容，通常包括：</w:t>
      </w:r>
    </w:p>
    <w:p w14:paraId="0F5C4B7F" w14:textId="77777777" w:rsidR="00D935FC" w:rsidRPr="00D935FC" w:rsidRDefault="00D935FC" w:rsidP="00D935FC">
      <w:pPr>
        <w:pStyle w:val="13"/>
      </w:pPr>
      <w:r w:rsidRPr="00D935FC">
        <w:rPr>
          <w:rFonts w:hint="eastAsia"/>
        </w:rPr>
        <w:t>（一）是否存在业务约定书（委托要约）对评估基本事项约定不明确，或评估对象和评估范围与业务约定书（委托要约）约定不一致的情形；</w:t>
      </w:r>
    </w:p>
    <w:p w14:paraId="62C8F704" w14:textId="77777777" w:rsidR="00D935FC" w:rsidRPr="00D935FC" w:rsidRDefault="00D935FC" w:rsidP="00D935FC">
      <w:pPr>
        <w:pStyle w:val="13"/>
      </w:pPr>
      <w:r w:rsidRPr="00D935FC">
        <w:rPr>
          <w:rFonts w:hint="eastAsia"/>
        </w:rPr>
        <w:t>（二）涉案资产及其他相关经济利益的具体内容以及价值构成；</w:t>
      </w:r>
    </w:p>
    <w:p w14:paraId="52B930EA" w14:textId="77777777" w:rsidR="00D935FC" w:rsidRPr="00D935FC" w:rsidRDefault="00D935FC" w:rsidP="00D935FC">
      <w:pPr>
        <w:pStyle w:val="13"/>
      </w:pPr>
      <w:r w:rsidRPr="00D935FC">
        <w:rPr>
          <w:rFonts w:hint="eastAsia"/>
        </w:rPr>
        <w:t>（三）现场调查和资料收集过程中委托方和相关当事方的配合情况；</w:t>
      </w:r>
    </w:p>
    <w:p w14:paraId="25966065" w14:textId="77777777" w:rsidR="00D935FC" w:rsidRPr="00D935FC" w:rsidRDefault="00D935FC" w:rsidP="00D935FC">
      <w:pPr>
        <w:pStyle w:val="13"/>
      </w:pPr>
      <w:r w:rsidRPr="00D935FC">
        <w:rPr>
          <w:rFonts w:hint="eastAsia"/>
        </w:rPr>
        <w:t>（四）其他可能影响理解评估结论和报告使用的事项。</w:t>
      </w:r>
    </w:p>
    <w:p w14:paraId="14FCBEF0" w14:textId="4D1BD133" w:rsidR="00D935FC" w:rsidRPr="00D935FC" w:rsidRDefault="003B2FB1" w:rsidP="00D935FC">
      <w:pPr>
        <w:pStyle w:val="13"/>
        <w:ind w:firstLine="482"/>
      </w:pPr>
      <w:r w:rsidRPr="003B2FB1">
        <w:rPr>
          <w:rFonts w:hint="eastAsia"/>
          <w:b/>
        </w:rPr>
        <w:t xml:space="preserve">第三十二条 </w:t>
      </w:r>
      <w:r w:rsidR="00D935FC" w:rsidRPr="00D935FC">
        <w:rPr>
          <w:rFonts w:hint="eastAsia"/>
        </w:rPr>
        <w:t>执行司法涉案目的评估业务，应当在评估报告中披露评估结论成立的前提条件以及所受到的限制情况及其对评估结论的影响，并提醒委托方及其他评估报告使用者予以关注。</w:t>
      </w:r>
    </w:p>
    <w:p w14:paraId="7A1349A8" w14:textId="366A8B56" w:rsidR="00D935FC" w:rsidRPr="00D935FC" w:rsidRDefault="00D935FC" w:rsidP="00AF7342">
      <w:pPr>
        <w:pStyle w:val="a9"/>
        <w:spacing w:before="62" w:after="62"/>
      </w:pPr>
      <w:r w:rsidRPr="00D935FC">
        <w:rPr>
          <w:rFonts w:hint="eastAsia"/>
        </w:rPr>
        <w:t>《资产评估操作专家提示——司法涉案目的评估（征求意见稿）》起草说明</w:t>
      </w:r>
    </w:p>
    <w:p w14:paraId="1E2E066F" w14:textId="77777777" w:rsidR="00D935FC" w:rsidRPr="00D935FC" w:rsidRDefault="00D935FC" w:rsidP="00D935FC">
      <w:pPr>
        <w:pStyle w:val="13"/>
      </w:pPr>
      <w:r w:rsidRPr="00D935FC">
        <w:rPr>
          <w:rFonts w:hint="eastAsia"/>
        </w:rPr>
        <w:t>为指导司法涉案目的评估业务，提高相关评估业务质量，中国资产评估协会组织起草了《资产评估操作专家提示——司法涉案目的评估（征求意见稿）》（以下简称“本专家提示”）。为方便评估机构以及相关部门、人士理解本指南内容，现将有关起草情况说明如下。</w:t>
      </w:r>
    </w:p>
    <w:p w14:paraId="66B9861F" w14:textId="77777777" w:rsidR="00D935FC" w:rsidRPr="00D935FC" w:rsidRDefault="00D935FC" w:rsidP="00D935FC">
      <w:pPr>
        <w:pStyle w:val="ab"/>
        <w:spacing w:before="62" w:after="62"/>
        <w:ind w:firstLine="482"/>
      </w:pPr>
      <w:r w:rsidRPr="00D935FC">
        <w:rPr>
          <w:rFonts w:hint="eastAsia"/>
        </w:rPr>
        <w:t>一、必要性和现实意义</w:t>
      </w:r>
    </w:p>
    <w:p w14:paraId="765B5423" w14:textId="77777777" w:rsidR="00D935FC" w:rsidRPr="00D935FC" w:rsidRDefault="00D935FC" w:rsidP="00D935FC">
      <w:pPr>
        <w:pStyle w:val="13"/>
      </w:pPr>
      <w:r w:rsidRPr="00D935FC">
        <w:rPr>
          <w:rFonts w:hint="eastAsia"/>
        </w:rPr>
        <w:t>随着经济社会的不断发展、社会法制化水平的不断提高和人们法律意识的不断提升，经济活动、社会管理和日常生活中的各种法律事项也随之增加。法院在审理相关案件中涉及到的价值估算、核实等问题也越来越多。公安机关、检察院、仲裁、纪委等机构以及案件当事人等对价值评估工作的需求也在不断增加。资产评估机构凭借自身的专业力量提供的司法涉案目的评估业务日渐成为司法活动中不可缺少的辅助手段之一。</w:t>
      </w:r>
    </w:p>
    <w:p w14:paraId="28B7ACBD" w14:textId="77777777" w:rsidR="00D935FC" w:rsidRPr="00D935FC" w:rsidRDefault="00D935FC" w:rsidP="00D935FC">
      <w:pPr>
        <w:pStyle w:val="13"/>
      </w:pPr>
      <w:r w:rsidRPr="00D935FC">
        <w:rPr>
          <w:rFonts w:hint="eastAsia"/>
        </w:rPr>
        <w:t>作为一个特殊的评估服务领域，司法涉案目的评估业务在理论和实践方面与其他类型评估业务有着许多不同之处,在执业要求、关注重点、评估方法选择、报告披露事项等方面有其特殊之处，实践中产生的问题也复杂多样，如委托手续较为简单、评估基准日、评估范围等基本事项不明确、当事人不配合、评估资料收集困难、评估报告不规范等，亟需解决和规范。</w:t>
      </w:r>
    </w:p>
    <w:p w14:paraId="296AA966" w14:textId="77777777" w:rsidR="00D935FC" w:rsidRPr="00D935FC" w:rsidRDefault="00D935FC" w:rsidP="00D935FC">
      <w:pPr>
        <w:pStyle w:val="13"/>
      </w:pPr>
      <w:r w:rsidRPr="00D935FC">
        <w:rPr>
          <w:rFonts w:hint="eastAsia"/>
        </w:rPr>
        <w:t>目前，国内外在司法领域的评估实践越来越多，但是理论研究却滞后于实践的发</w:t>
      </w:r>
      <w:r w:rsidRPr="00D935FC">
        <w:rPr>
          <w:rFonts w:hint="eastAsia"/>
        </w:rPr>
        <w:lastRenderedPageBreak/>
        <w:t>展，行业规范也尚待完善。为指导司法涉案目的评估，提高司法涉案目的评估业务的执业水平，更好地服务于经济和社会发展，评估行业迫切需要有专门的专家意见指导司法涉案目的评估实践。</w:t>
      </w:r>
    </w:p>
    <w:p w14:paraId="7BF1869E" w14:textId="77777777" w:rsidR="00D935FC" w:rsidRPr="00D935FC" w:rsidRDefault="00D935FC" w:rsidP="00D935FC">
      <w:pPr>
        <w:pStyle w:val="13"/>
      </w:pPr>
      <w:proofErr w:type="gramStart"/>
      <w:r w:rsidRPr="00D935FC">
        <w:rPr>
          <w:rFonts w:hint="eastAsia"/>
        </w:rPr>
        <w:t>本专家</w:t>
      </w:r>
      <w:proofErr w:type="gramEnd"/>
      <w:r w:rsidRPr="00D935FC">
        <w:rPr>
          <w:rFonts w:hint="eastAsia"/>
        </w:rPr>
        <w:t>提示在指导评估机构执业行为的基础上，为评估机构明确执业责任、履行执业义务提供了重要依据，不仅起到合理防范执业风险的作用，还有利于维护各方当事人的合法权益。</w:t>
      </w:r>
    </w:p>
    <w:p w14:paraId="7BC6500F" w14:textId="77777777" w:rsidR="00D935FC" w:rsidRPr="00D935FC" w:rsidRDefault="00D935FC" w:rsidP="00D935FC">
      <w:pPr>
        <w:pStyle w:val="ab"/>
        <w:spacing w:before="62" w:after="62"/>
        <w:ind w:firstLine="482"/>
      </w:pPr>
      <w:r w:rsidRPr="00D935FC">
        <w:rPr>
          <w:rFonts w:hint="eastAsia"/>
        </w:rPr>
        <w:t>二、起草的指导思想</w:t>
      </w:r>
    </w:p>
    <w:p w14:paraId="01FA489D" w14:textId="77777777" w:rsidR="00D935FC" w:rsidRPr="00D935FC" w:rsidRDefault="00D935FC" w:rsidP="00D935FC">
      <w:pPr>
        <w:pStyle w:val="13"/>
      </w:pPr>
      <w:proofErr w:type="gramStart"/>
      <w:r w:rsidRPr="00D935FC">
        <w:rPr>
          <w:rFonts w:hint="eastAsia"/>
        </w:rPr>
        <w:t>本专家</w:t>
      </w:r>
      <w:proofErr w:type="gramEnd"/>
      <w:r w:rsidRPr="00D935FC">
        <w:rPr>
          <w:rFonts w:hint="eastAsia"/>
        </w:rPr>
        <w:t>提示在起草过程中，遵循了以下指导思想：</w:t>
      </w:r>
    </w:p>
    <w:p w14:paraId="79C05791" w14:textId="77777777" w:rsidR="00D935FC" w:rsidRPr="00D935FC" w:rsidRDefault="00D935FC" w:rsidP="00D935FC">
      <w:pPr>
        <w:pStyle w:val="13"/>
      </w:pPr>
      <w:r w:rsidRPr="00D935FC">
        <w:rPr>
          <w:rFonts w:hint="eastAsia"/>
        </w:rPr>
        <w:t>（一）定位准确</w:t>
      </w:r>
    </w:p>
    <w:p w14:paraId="62EC6025" w14:textId="77777777" w:rsidR="00D935FC" w:rsidRPr="00D935FC" w:rsidRDefault="00D935FC" w:rsidP="00D935FC">
      <w:pPr>
        <w:pStyle w:val="13"/>
      </w:pPr>
      <w:proofErr w:type="gramStart"/>
      <w:r w:rsidRPr="00D935FC">
        <w:rPr>
          <w:rFonts w:hint="eastAsia"/>
        </w:rPr>
        <w:t>本专家</w:t>
      </w:r>
      <w:proofErr w:type="gramEnd"/>
      <w:r w:rsidRPr="00D935FC">
        <w:rPr>
          <w:rFonts w:hint="eastAsia"/>
        </w:rPr>
        <w:t>提示制定过程中，始终以资产评估基本准则为导向，在基本概念、基本术语上与基本准则保持一致，并注重与其他评估准则的衔接。</w:t>
      </w:r>
    </w:p>
    <w:p w14:paraId="21314FC6" w14:textId="77777777" w:rsidR="00D935FC" w:rsidRPr="00D935FC" w:rsidRDefault="00D935FC" w:rsidP="00D935FC">
      <w:pPr>
        <w:pStyle w:val="13"/>
      </w:pPr>
      <w:r w:rsidRPr="00D935FC">
        <w:rPr>
          <w:rFonts w:hint="eastAsia"/>
        </w:rPr>
        <w:t>（二）突出专业性</w:t>
      </w:r>
    </w:p>
    <w:p w14:paraId="7BCE1AB8" w14:textId="77777777" w:rsidR="00D935FC" w:rsidRPr="00D935FC" w:rsidRDefault="00D935FC" w:rsidP="00D935FC">
      <w:pPr>
        <w:pStyle w:val="13"/>
      </w:pPr>
      <w:proofErr w:type="gramStart"/>
      <w:r w:rsidRPr="00D935FC">
        <w:rPr>
          <w:rFonts w:hint="eastAsia"/>
        </w:rPr>
        <w:t>本专家</w:t>
      </w:r>
      <w:proofErr w:type="gramEnd"/>
      <w:r w:rsidRPr="00D935FC">
        <w:rPr>
          <w:rFonts w:hint="eastAsia"/>
        </w:rPr>
        <w:t>提示在充分总结司法涉案目的评估业务特点以及实践中遇到的具体问题的基础上，充分考虑了司法部门及相关监管部门的要求，侧重对执行司法涉案目的应当关注的重点问题、评估程序的履行、评估方法的使用等方面加以规范和指导。</w:t>
      </w:r>
    </w:p>
    <w:p w14:paraId="2CE40319" w14:textId="77777777" w:rsidR="00D935FC" w:rsidRPr="00D935FC" w:rsidRDefault="00D935FC" w:rsidP="00D935FC">
      <w:pPr>
        <w:pStyle w:val="13"/>
      </w:pPr>
      <w:r w:rsidRPr="00D935FC">
        <w:rPr>
          <w:rFonts w:hint="eastAsia"/>
        </w:rPr>
        <w:t>（三）充分借鉴相关法律法规</w:t>
      </w:r>
    </w:p>
    <w:p w14:paraId="4257B278" w14:textId="77777777" w:rsidR="00D935FC" w:rsidRPr="00D935FC" w:rsidRDefault="00D935FC" w:rsidP="00D935FC">
      <w:pPr>
        <w:pStyle w:val="13"/>
      </w:pPr>
      <w:proofErr w:type="gramStart"/>
      <w:r w:rsidRPr="00D935FC">
        <w:rPr>
          <w:rFonts w:hint="eastAsia"/>
        </w:rPr>
        <w:t>本专家</w:t>
      </w:r>
      <w:proofErr w:type="gramEnd"/>
      <w:r w:rsidRPr="00D935FC">
        <w:rPr>
          <w:rFonts w:hint="eastAsia"/>
        </w:rPr>
        <w:t>提示充分借鉴了《最高人民检察院、公安部关于经济犯罪案件追诉标准的规定》、《关于人民检察院直接受理立案侦查案件立案标准的规定(试行）》中关于经济损失的界定和核算，以及《最高人民法院关于人民法院委托评估、拍卖和变卖工作的若干规定》等规定中关于法院委托评估应当注意的有关事项。</w:t>
      </w:r>
    </w:p>
    <w:p w14:paraId="39667E03" w14:textId="77777777" w:rsidR="00D935FC" w:rsidRPr="00D935FC" w:rsidRDefault="00D935FC" w:rsidP="00D935FC">
      <w:pPr>
        <w:pStyle w:val="ab"/>
        <w:spacing w:before="62" w:after="62"/>
        <w:ind w:firstLine="482"/>
      </w:pPr>
      <w:r w:rsidRPr="00D935FC">
        <w:rPr>
          <w:rFonts w:hint="eastAsia"/>
        </w:rPr>
        <w:t>三、起草过程</w:t>
      </w:r>
    </w:p>
    <w:p w14:paraId="2BFCF974" w14:textId="77777777" w:rsidR="00D935FC" w:rsidRPr="00D935FC" w:rsidRDefault="00D935FC" w:rsidP="00D935FC">
      <w:pPr>
        <w:pStyle w:val="13"/>
      </w:pPr>
      <w:proofErr w:type="gramStart"/>
      <w:r w:rsidRPr="00D935FC">
        <w:rPr>
          <w:rFonts w:hint="eastAsia"/>
        </w:rPr>
        <w:t>中评协</w:t>
      </w:r>
      <w:proofErr w:type="gramEnd"/>
      <w:r w:rsidRPr="00D935FC">
        <w:rPr>
          <w:rFonts w:hint="eastAsia"/>
        </w:rPr>
        <w:t>2013年初成立了由行业协会、评估机构、司法部门等方面共同组成的起草项目组。项目组收集了国内外司法涉案目的评估方面的大量资料，系统学习和分析了相关文献资料、制度和法律法规，对司法涉案价值评估相关的重要概念、术语、评估对象、价值类型、评估方法及评估理论等系列问题进行了深入研究。同时，采取调查问卷、实地调研、案例分析等多种形式，进行多次专题调研，进一步了解了司法涉案目的评估的基本情况和常见问题。通过总结、归纳、提炼国内外司法涉案目的评估的实践经验和研究成果，形成了征求意见稿。</w:t>
      </w:r>
    </w:p>
    <w:p w14:paraId="22FAB21B" w14:textId="77777777" w:rsidR="00D935FC" w:rsidRPr="00D935FC" w:rsidRDefault="00D935FC" w:rsidP="00D935FC">
      <w:pPr>
        <w:pStyle w:val="ab"/>
        <w:spacing w:before="62" w:after="62"/>
        <w:ind w:firstLine="482"/>
      </w:pPr>
      <w:r w:rsidRPr="00D935FC">
        <w:rPr>
          <w:rFonts w:hint="eastAsia"/>
        </w:rPr>
        <w:t>四、结构和主要内容</w:t>
      </w:r>
    </w:p>
    <w:p w14:paraId="068F7CEB" w14:textId="77777777" w:rsidR="00D935FC" w:rsidRPr="00D935FC" w:rsidRDefault="00D935FC" w:rsidP="00D935FC">
      <w:pPr>
        <w:pStyle w:val="13"/>
      </w:pPr>
      <w:r w:rsidRPr="00D935FC">
        <w:rPr>
          <w:rFonts w:hint="eastAsia"/>
        </w:rPr>
        <w:t>根据评估准则结构安排的一般规定，结合司法涉案目的评估自身的特点，为了更好地指导司法评估实践，专家提示着重对评估实务中应当履行的基本程序，对评估对象的区分、评估方法的使用、报告的披露要求等事项予以说明。</w:t>
      </w:r>
      <w:proofErr w:type="gramStart"/>
      <w:r w:rsidRPr="00D935FC">
        <w:rPr>
          <w:rFonts w:hint="eastAsia"/>
        </w:rPr>
        <w:t>本专家</w:t>
      </w:r>
      <w:proofErr w:type="gramEnd"/>
      <w:r w:rsidRPr="00D935FC">
        <w:rPr>
          <w:rFonts w:hint="eastAsia"/>
        </w:rPr>
        <w:t>提示由引言、基本要求、评估对象、操作要求、评估方法、披露要求六部分构成。</w:t>
      </w:r>
    </w:p>
    <w:p w14:paraId="49B8054F" w14:textId="77777777" w:rsidR="00D935FC" w:rsidRPr="00D935FC" w:rsidRDefault="00D935FC" w:rsidP="00D935FC">
      <w:pPr>
        <w:pStyle w:val="13"/>
      </w:pPr>
      <w:r w:rsidRPr="00D935FC">
        <w:rPr>
          <w:rFonts w:hint="eastAsia"/>
        </w:rPr>
        <w:lastRenderedPageBreak/>
        <w:t>（一）引言</w:t>
      </w:r>
    </w:p>
    <w:p w14:paraId="33B07B8C" w14:textId="77777777" w:rsidR="00D935FC" w:rsidRPr="00D935FC" w:rsidRDefault="00D935FC" w:rsidP="00D935FC">
      <w:pPr>
        <w:pStyle w:val="13"/>
      </w:pPr>
      <w:r w:rsidRPr="00D935FC">
        <w:rPr>
          <w:rFonts w:hint="eastAsia"/>
        </w:rPr>
        <w:t>明确了</w:t>
      </w:r>
      <w:proofErr w:type="gramStart"/>
      <w:r w:rsidRPr="00D935FC">
        <w:rPr>
          <w:rFonts w:hint="eastAsia"/>
        </w:rPr>
        <w:t>本专家</w:t>
      </w:r>
      <w:proofErr w:type="gramEnd"/>
      <w:r w:rsidRPr="00D935FC">
        <w:rPr>
          <w:rFonts w:hint="eastAsia"/>
        </w:rPr>
        <w:t>提示的制定目的和依据，司法涉案目的评估业务的定义和内容。</w:t>
      </w:r>
    </w:p>
    <w:p w14:paraId="14806727" w14:textId="77777777" w:rsidR="00D935FC" w:rsidRPr="00D935FC" w:rsidRDefault="00D935FC" w:rsidP="00D935FC">
      <w:pPr>
        <w:pStyle w:val="13"/>
      </w:pPr>
      <w:r w:rsidRPr="00D935FC">
        <w:rPr>
          <w:rFonts w:hint="eastAsia"/>
        </w:rPr>
        <w:t>（二）基本要求</w:t>
      </w:r>
    </w:p>
    <w:p w14:paraId="1D020CFA" w14:textId="77777777" w:rsidR="00D935FC" w:rsidRPr="00D935FC" w:rsidRDefault="00D935FC" w:rsidP="00D935FC">
      <w:pPr>
        <w:pStyle w:val="13"/>
      </w:pPr>
      <w:r w:rsidRPr="00D935FC">
        <w:rPr>
          <w:rFonts w:hint="eastAsia"/>
        </w:rPr>
        <w:t>规定了执行司法涉案目的评估业务的职业道德、胜任能力，充分收集信息，合理使用评估假设和限定条件，委托方和相关当事方应当积极配合，聘请专家协助工作，承担保密义务等。</w:t>
      </w:r>
    </w:p>
    <w:p w14:paraId="72B88312" w14:textId="77777777" w:rsidR="00D935FC" w:rsidRPr="00D935FC" w:rsidRDefault="00D935FC" w:rsidP="00D935FC">
      <w:pPr>
        <w:pStyle w:val="13"/>
      </w:pPr>
      <w:r w:rsidRPr="00D935FC">
        <w:rPr>
          <w:rFonts w:hint="eastAsia"/>
        </w:rPr>
        <w:t>（三）评估对象</w:t>
      </w:r>
    </w:p>
    <w:p w14:paraId="2B8948D8" w14:textId="77777777" w:rsidR="00D935FC" w:rsidRPr="00D935FC" w:rsidRDefault="00D935FC" w:rsidP="00D935FC">
      <w:pPr>
        <w:pStyle w:val="13"/>
      </w:pPr>
      <w:r w:rsidRPr="00D935FC">
        <w:rPr>
          <w:rFonts w:hint="eastAsia"/>
        </w:rPr>
        <w:t>对评估对象相关的事项予以说明，包括评估对象的明确，评估对象的分类及具体内容，评估对象的具体特征等。</w:t>
      </w:r>
    </w:p>
    <w:p w14:paraId="4CBC5152" w14:textId="77777777" w:rsidR="00D935FC" w:rsidRPr="00D935FC" w:rsidRDefault="00D935FC" w:rsidP="00D935FC">
      <w:pPr>
        <w:pStyle w:val="13"/>
      </w:pPr>
      <w:r w:rsidRPr="00D935FC">
        <w:rPr>
          <w:rFonts w:hint="eastAsia"/>
        </w:rPr>
        <w:t>（四）操作要求</w:t>
      </w:r>
    </w:p>
    <w:p w14:paraId="6F88A23C" w14:textId="77777777" w:rsidR="00D935FC" w:rsidRPr="00D935FC" w:rsidRDefault="00D935FC" w:rsidP="00D935FC">
      <w:pPr>
        <w:pStyle w:val="13"/>
      </w:pPr>
      <w:r w:rsidRPr="00D935FC">
        <w:rPr>
          <w:rFonts w:hint="eastAsia"/>
        </w:rPr>
        <w:t>对执行司法涉案目的评估业务提出操作要求，包括履行必要的评估程序、明确评估基本事项、接受委托、确定评估基准日、现场调查、资料收集、明确价值类型、编制和出具报告等具体事项。</w:t>
      </w:r>
    </w:p>
    <w:p w14:paraId="67C4C3C4" w14:textId="77777777" w:rsidR="00D935FC" w:rsidRPr="00D935FC" w:rsidRDefault="00D935FC" w:rsidP="00D935FC">
      <w:pPr>
        <w:pStyle w:val="13"/>
      </w:pPr>
      <w:r w:rsidRPr="00D935FC">
        <w:rPr>
          <w:rFonts w:hint="eastAsia"/>
        </w:rPr>
        <w:t>（五）评估方法</w:t>
      </w:r>
    </w:p>
    <w:p w14:paraId="02972CAB" w14:textId="77777777" w:rsidR="00D935FC" w:rsidRPr="00D935FC" w:rsidRDefault="00D935FC" w:rsidP="00D935FC">
      <w:pPr>
        <w:pStyle w:val="13"/>
      </w:pPr>
      <w:r w:rsidRPr="00D935FC">
        <w:rPr>
          <w:rFonts w:hint="eastAsia"/>
        </w:rPr>
        <w:t>对司法涉案目的评估业务涉及的评估方法进行了规范，包括各种评估方法选择、运用、基本要求及重点关注的事项。</w:t>
      </w:r>
    </w:p>
    <w:p w14:paraId="7C995643" w14:textId="77777777" w:rsidR="00D935FC" w:rsidRPr="00D935FC" w:rsidRDefault="00D935FC" w:rsidP="00D935FC">
      <w:pPr>
        <w:pStyle w:val="13"/>
      </w:pPr>
      <w:r w:rsidRPr="00D935FC">
        <w:rPr>
          <w:rFonts w:hint="eastAsia"/>
        </w:rPr>
        <w:t>（六）披露要求</w:t>
      </w:r>
    </w:p>
    <w:p w14:paraId="218F46C0" w14:textId="77777777" w:rsidR="00D935FC" w:rsidRPr="00D935FC" w:rsidRDefault="00D935FC" w:rsidP="00D935FC">
      <w:pPr>
        <w:pStyle w:val="13"/>
      </w:pPr>
      <w:r w:rsidRPr="00D935FC">
        <w:rPr>
          <w:rFonts w:hint="eastAsia"/>
        </w:rPr>
        <w:t>提出了司法涉案目的评估业务的披露要求，包括评估报告中的必要信息披露、应当重点披露的事项、披露结论受到的限制等具体内容。</w:t>
      </w:r>
    </w:p>
    <w:p w14:paraId="1099E847" w14:textId="79562185" w:rsidR="00D935FC" w:rsidRPr="00D935FC" w:rsidRDefault="00D935FC" w:rsidP="00D935FC">
      <w:pPr>
        <w:pStyle w:val="ab"/>
        <w:spacing w:before="62" w:after="62"/>
        <w:ind w:firstLine="482"/>
      </w:pPr>
      <w:r w:rsidRPr="00D935FC">
        <w:rPr>
          <w:rFonts w:hint="eastAsia"/>
        </w:rPr>
        <w:t>五、重要事项说明</w:t>
      </w:r>
    </w:p>
    <w:p w14:paraId="7B70ABEE" w14:textId="77777777" w:rsidR="00D935FC" w:rsidRPr="00D935FC" w:rsidRDefault="00D935FC" w:rsidP="00D935FC">
      <w:pPr>
        <w:pStyle w:val="13"/>
      </w:pPr>
      <w:r w:rsidRPr="00D935FC">
        <w:rPr>
          <w:rFonts w:hint="eastAsia"/>
        </w:rPr>
        <w:t>（一）关于司法涉案目的评估业务的范围界定</w:t>
      </w:r>
    </w:p>
    <w:p w14:paraId="2C80B5E2" w14:textId="77777777" w:rsidR="00D935FC" w:rsidRPr="00D935FC" w:rsidRDefault="00D935FC" w:rsidP="00D935FC">
      <w:pPr>
        <w:pStyle w:val="13"/>
      </w:pPr>
      <w:r w:rsidRPr="00D935FC">
        <w:rPr>
          <w:rFonts w:hint="eastAsia"/>
        </w:rPr>
        <w:t>目前司法案件目的评估业务的委托方主要是法院，随着评估实践的发展，委托方的范围会不断扩大。</w:t>
      </w:r>
      <w:proofErr w:type="gramStart"/>
      <w:r w:rsidRPr="00D935FC">
        <w:rPr>
          <w:rFonts w:hint="eastAsia"/>
        </w:rPr>
        <w:t>本专家</w:t>
      </w:r>
      <w:proofErr w:type="gramEnd"/>
      <w:r w:rsidRPr="00D935FC">
        <w:rPr>
          <w:rFonts w:hint="eastAsia"/>
        </w:rPr>
        <w:t>提示所指的涉案目的评估不仅包括由人民法院委托的司法评估，还包括由人民检察院、公安机关以及案件当事人等委托的对司法案件中涉及的资产及其他相关经济利益的价值进行评定估算。</w:t>
      </w:r>
    </w:p>
    <w:p w14:paraId="60CE72A5" w14:textId="77777777" w:rsidR="00D935FC" w:rsidRPr="00D935FC" w:rsidRDefault="00D935FC" w:rsidP="00D935FC">
      <w:pPr>
        <w:pStyle w:val="13"/>
      </w:pPr>
      <w:r w:rsidRPr="00D935FC">
        <w:rPr>
          <w:rFonts w:hint="eastAsia"/>
        </w:rPr>
        <w:t>（二）关于业务约定书</w:t>
      </w:r>
    </w:p>
    <w:p w14:paraId="6B111215" w14:textId="77777777" w:rsidR="00D935FC" w:rsidRPr="00D935FC" w:rsidRDefault="00D935FC" w:rsidP="00D935FC">
      <w:pPr>
        <w:pStyle w:val="13"/>
      </w:pPr>
      <w:r w:rsidRPr="00D935FC">
        <w:rPr>
          <w:rFonts w:hint="eastAsia"/>
        </w:rPr>
        <w:t>在司法涉案目的评估实务中，法院委托评估时一般不签订业务约定书，而是采用委托函的方式发出委托要约。考虑到基本评估准则的要求，</w:t>
      </w:r>
      <w:proofErr w:type="gramStart"/>
      <w:r w:rsidRPr="00D935FC">
        <w:rPr>
          <w:rFonts w:hint="eastAsia"/>
        </w:rPr>
        <w:t>本专家</w:t>
      </w:r>
      <w:proofErr w:type="gramEnd"/>
      <w:r w:rsidRPr="00D935FC">
        <w:rPr>
          <w:rFonts w:hint="eastAsia"/>
        </w:rPr>
        <w:t>提示要求资产评估机构承接司法涉案目的评估业务时应当签订业务约定书。实务中存在以委托函的方式发出委托要约的情形。为提醒评估机构关注由此产生的约定不足的风险，</w:t>
      </w:r>
      <w:proofErr w:type="gramStart"/>
      <w:r w:rsidRPr="00D935FC">
        <w:rPr>
          <w:rFonts w:hint="eastAsia"/>
        </w:rPr>
        <w:t>本专家</w:t>
      </w:r>
      <w:proofErr w:type="gramEnd"/>
      <w:r w:rsidRPr="00D935FC">
        <w:rPr>
          <w:rFonts w:hint="eastAsia"/>
        </w:rPr>
        <w:t>提示中建议评估机构与委托方协商采取适当方式</w:t>
      </w:r>
      <w:proofErr w:type="gramStart"/>
      <w:r w:rsidRPr="00D935FC">
        <w:rPr>
          <w:rFonts w:hint="eastAsia"/>
        </w:rPr>
        <w:t>作出</w:t>
      </w:r>
      <w:proofErr w:type="gramEnd"/>
      <w:r w:rsidRPr="00D935FC">
        <w:rPr>
          <w:rFonts w:hint="eastAsia"/>
        </w:rPr>
        <w:t>补充约定，明确评估基本事项、双方的权利和义务等内容。</w:t>
      </w:r>
    </w:p>
    <w:p w14:paraId="08EFB049" w14:textId="77777777" w:rsidR="00D935FC" w:rsidRPr="00D935FC" w:rsidRDefault="00D935FC" w:rsidP="00D935FC">
      <w:pPr>
        <w:pStyle w:val="13"/>
      </w:pPr>
      <w:r w:rsidRPr="00D935FC">
        <w:rPr>
          <w:rFonts w:hint="eastAsia"/>
        </w:rPr>
        <w:t>（三）关于评估对象</w:t>
      </w:r>
    </w:p>
    <w:p w14:paraId="6E4A8F59" w14:textId="77777777" w:rsidR="00D935FC" w:rsidRPr="00D935FC" w:rsidRDefault="00D935FC" w:rsidP="00D935FC">
      <w:pPr>
        <w:pStyle w:val="13"/>
      </w:pPr>
      <w:r w:rsidRPr="00D935FC">
        <w:rPr>
          <w:rFonts w:hint="eastAsia"/>
        </w:rPr>
        <w:t>由于司法涉案目的评估的特殊性和复杂性，明确评估对象和评估范围是十分重</w:t>
      </w:r>
      <w:r w:rsidRPr="00D935FC">
        <w:rPr>
          <w:rFonts w:hint="eastAsia"/>
        </w:rPr>
        <w:lastRenderedPageBreak/>
        <w:t>要的工作。</w:t>
      </w:r>
      <w:proofErr w:type="gramStart"/>
      <w:r w:rsidRPr="00D935FC">
        <w:rPr>
          <w:rFonts w:hint="eastAsia"/>
        </w:rPr>
        <w:t>本专家</w:t>
      </w:r>
      <w:proofErr w:type="gramEnd"/>
      <w:r w:rsidRPr="00D935FC">
        <w:rPr>
          <w:rFonts w:hint="eastAsia"/>
        </w:rPr>
        <w:t>提示将评估对象单独作为一章加以规范，要求资产评估机构与委托方充分协商，明确评估对象的具体内容及主要特征。</w:t>
      </w:r>
    </w:p>
    <w:p w14:paraId="3D6A3754" w14:textId="77777777" w:rsidR="00D935FC" w:rsidRPr="00D935FC" w:rsidRDefault="00D935FC" w:rsidP="00D935FC">
      <w:pPr>
        <w:pStyle w:val="13"/>
      </w:pPr>
      <w:r w:rsidRPr="00D935FC">
        <w:rPr>
          <w:rFonts w:hint="eastAsia"/>
        </w:rPr>
        <w:t>（四）关于操作要求</w:t>
      </w:r>
    </w:p>
    <w:p w14:paraId="2ED95DDE" w14:textId="77777777" w:rsidR="00D935FC" w:rsidRPr="00D935FC" w:rsidRDefault="00D935FC" w:rsidP="00D935FC">
      <w:pPr>
        <w:pStyle w:val="13"/>
      </w:pPr>
      <w:r w:rsidRPr="00D935FC">
        <w:rPr>
          <w:rFonts w:hint="eastAsia"/>
        </w:rPr>
        <w:t>鉴于司法涉案目的评估实践中存在的特殊问题，</w:t>
      </w:r>
      <w:proofErr w:type="gramStart"/>
      <w:r w:rsidRPr="00D935FC">
        <w:rPr>
          <w:rFonts w:hint="eastAsia"/>
        </w:rPr>
        <w:t>本专家</w:t>
      </w:r>
      <w:proofErr w:type="gramEnd"/>
      <w:r w:rsidRPr="00D935FC">
        <w:rPr>
          <w:rFonts w:hint="eastAsia"/>
        </w:rPr>
        <w:t>提示要求资产评估机构与委托方进行充分沟通，明确评估目的、评估对象、评估基准日、价值类型等各种评估基本事项，并且要求执行评估业务时实施必要的评估程序。</w:t>
      </w:r>
    </w:p>
    <w:p w14:paraId="2BD465C6" w14:textId="203764E7" w:rsidR="00D935FC" w:rsidRPr="00D935FC" w:rsidRDefault="00D935FC" w:rsidP="00D935FC">
      <w:pPr>
        <w:pStyle w:val="31"/>
        <w:spacing w:before="156" w:after="62"/>
      </w:pPr>
      <w:bookmarkStart w:id="85" w:name="_Toc81833348"/>
      <w:r>
        <w:rPr>
          <w:rFonts w:hint="eastAsia"/>
        </w:rPr>
        <w:t>资产评估操作专家提示—以并购为目的的投资价值（征求意见稿）</w:t>
      </w:r>
      <w:r w:rsidR="00BF3AE2">
        <w:br/>
      </w:r>
      <w:r w:rsidRPr="00D935FC">
        <w:rPr>
          <w:rFonts w:hint="eastAsia"/>
        </w:rPr>
        <w:t>（</w:t>
      </w:r>
      <w:proofErr w:type="gramStart"/>
      <w:r w:rsidRPr="00D935FC">
        <w:rPr>
          <w:rFonts w:hint="eastAsia"/>
        </w:rPr>
        <w:t>中评协</w:t>
      </w:r>
      <w:proofErr w:type="gramEnd"/>
      <w:r w:rsidRPr="00D935FC">
        <w:t>[2014]209号）</w:t>
      </w:r>
      <w:bookmarkEnd w:id="85"/>
    </w:p>
    <w:p w14:paraId="107EB1A9" w14:textId="77777777" w:rsidR="00BF3AE2" w:rsidRPr="00BF3AE2" w:rsidRDefault="00BF3AE2" w:rsidP="00BF3AE2">
      <w:pPr>
        <w:pStyle w:val="13"/>
      </w:pPr>
      <w:proofErr w:type="gramStart"/>
      <w:r w:rsidRPr="00BF3AE2">
        <w:rPr>
          <w:rFonts w:hint="eastAsia"/>
        </w:rPr>
        <w:t>本专家</w:t>
      </w:r>
      <w:proofErr w:type="gramEnd"/>
      <w:r w:rsidRPr="00BF3AE2">
        <w:rPr>
          <w:rFonts w:hint="eastAsia"/>
        </w:rPr>
        <w:t>提示是一种专家意见。评估机构执行资产评估业务，可以参照</w:t>
      </w:r>
      <w:proofErr w:type="gramStart"/>
      <w:r w:rsidRPr="00BF3AE2">
        <w:rPr>
          <w:rFonts w:hint="eastAsia"/>
        </w:rPr>
        <w:t>本专家</w:t>
      </w:r>
      <w:proofErr w:type="gramEnd"/>
      <w:r w:rsidRPr="00BF3AE2">
        <w:rPr>
          <w:rFonts w:hint="eastAsia"/>
        </w:rPr>
        <w:t>提示，也可以根据具体情况采用其他适当的做法。中国资产评估协会将根据业务发展，对</w:t>
      </w:r>
      <w:proofErr w:type="gramStart"/>
      <w:r w:rsidRPr="00BF3AE2">
        <w:rPr>
          <w:rFonts w:hint="eastAsia"/>
        </w:rPr>
        <w:t>本专家</w:t>
      </w:r>
      <w:proofErr w:type="gramEnd"/>
      <w:r w:rsidRPr="00BF3AE2">
        <w:rPr>
          <w:rFonts w:hint="eastAsia"/>
        </w:rPr>
        <w:t>提示进行更新。</w:t>
      </w:r>
    </w:p>
    <w:p w14:paraId="28DFF9FC" w14:textId="2B2AFC96" w:rsidR="00BF3AE2" w:rsidRPr="00BF3AE2" w:rsidRDefault="004E3EBB" w:rsidP="00BF3AE2">
      <w:pPr>
        <w:pStyle w:val="13"/>
        <w:ind w:firstLine="482"/>
      </w:pPr>
      <w:r w:rsidRPr="004E3EBB">
        <w:rPr>
          <w:rFonts w:hint="eastAsia"/>
          <w:b/>
        </w:rPr>
        <w:t xml:space="preserve">第一条 </w:t>
      </w:r>
      <w:r w:rsidR="00BF3AE2" w:rsidRPr="00BF3AE2">
        <w:rPr>
          <w:rFonts w:hint="eastAsia"/>
        </w:rPr>
        <w:t>为指导在执行以并购为目的的评估业务中使用投资价值类型，更好的为特定投资者的并购行为提供合理有效的投资决策依据，中国资产评估协会组织制定了</w:t>
      </w:r>
      <w:proofErr w:type="gramStart"/>
      <w:r w:rsidR="00BF3AE2" w:rsidRPr="00BF3AE2">
        <w:rPr>
          <w:rFonts w:hint="eastAsia"/>
        </w:rPr>
        <w:t>本专家</w:t>
      </w:r>
      <w:proofErr w:type="gramEnd"/>
      <w:r w:rsidR="00BF3AE2" w:rsidRPr="00BF3AE2">
        <w:rPr>
          <w:rFonts w:hint="eastAsia"/>
        </w:rPr>
        <w:t>提示。</w:t>
      </w:r>
    </w:p>
    <w:p w14:paraId="33860FC4" w14:textId="0D4D7974" w:rsidR="00BF3AE2" w:rsidRPr="00BF3AE2" w:rsidRDefault="004E3EBB" w:rsidP="00BF3AE2">
      <w:pPr>
        <w:pStyle w:val="13"/>
        <w:ind w:firstLine="482"/>
      </w:pPr>
      <w:r w:rsidRPr="004E3EBB">
        <w:rPr>
          <w:rFonts w:hint="eastAsia"/>
          <w:b/>
        </w:rPr>
        <w:t xml:space="preserve">第二条 </w:t>
      </w:r>
      <w:r w:rsidR="00BF3AE2" w:rsidRPr="00BF3AE2">
        <w:rPr>
          <w:rFonts w:hint="eastAsia"/>
        </w:rPr>
        <w:t>投资价值是指评估对象对于具有明确投资目标的特定投资者或者某一类投资者所具有的价值估计数额，亦称特定投资者价值。</w:t>
      </w:r>
    </w:p>
    <w:p w14:paraId="3917962A" w14:textId="261405E9" w:rsidR="00BF3AE2" w:rsidRPr="00BF3AE2" w:rsidRDefault="004E3EBB" w:rsidP="00BF3AE2">
      <w:pPr>
        <w:pStyle w:val="13"/>
        <w:ind w:firstLine="482"/>
      </w:pPr>
      <w:r w:rsidRPr="004E3EBB">
        <w:rPr>
          <w:rFonts w:hint="eastAsia"/>
          <w:b/>
        </w:rPr>
        <w:t xml:space="preserve">第三条 </w:t>
      </w:r>
      <w:proofErr w:type="gramStart"/>
      <w:r w:rsidR="00BF3AE2" w:rsidRPr="00BF3AE2">
        <w:rPr>
          <w:rFonts w:hint="eastAsia"/>
        </w:rPr>
        <w:t>本专家</w:t>
      </w:r>
      <w:proofErr w:type="gramEnd"/>
      <w:r w:rsidR="00BF3AE2" w:rsidRPr="00BF3AE2">
        <w:rPr>
          <w:rFonts w:hint="eastAsia"/>
        </w:rPr>
        <w:t>提示所称以并购为目的的投资价值评估，是指接受委托方委托，依据相关法律、法规和资产评估准则，基于明确的并购目的，对确定的评估对象的投资价值进行的分析、估算并发表专业意见的行为和过程。</w:t>
      </w:r>
    </w:p>
    <w:p w14:paraId="58E8996E" w14:textId="6D9D096A" w:rsidR="00BF3AE2" w:rsidRPr="00BF3AE2" w:rsidRDefault="004E3EBB" w:rsidP="00BF3AE2">
      <w:pPr>
        <w:pStyle w:val="13"/>
        <w:ind w:firstLine="482"/>
      </w:pPr>
      <w:r w:rsidRPr="004E3EBB">
        <w:rPr>
          <w:rFonts w:hint="eastAsia"/>
          <w:b/>
        </w:rPr>
        <w:t xml:space="preserve">第四条 </w:t>
      </w:r>
      <w:r w:rsidR="00BF3AE2" w:rsidRPr="00BF3AE2">
        <w:rPr>
          <w:rFonts w:hint="eastAsia"/>
        </w:rPr>
        <w:t>承接以并购为目的的投资价值评估业务时，应当事前明确潜在的并购方及被并购对象，投资价值评估的结论是针对特定投资者或某一类投资者的，不适用于其他投资者。</w:t>
      </w:r>
    </w:p>
    <w:p w14:paraId="6E52F86F" w14:textId="5B9CD895" w:rsidR="00BF3AE2" w:rsidRPr="00BF3AE2" w:rsidRDefault="004E3EBB" w:rsidP="00BF3AE2">
      <w:pPr>
        <w:pStyle w:val="13"/>
        <w:ind w:firstLine="482"/>
      </w:pPr>
      <w:r w:rsidRPr="004E3EBB">
        <w:rPr>
          <w:rFonts w:hint="eastAsia"/>
          <w:b/>
        </w:rPr>
        <w:t xml:space="preserve">第五条 </w:t>
      </w:r>
      <w:r w:rsidR="00BF3AE2" w:rsidRPr="00BF3AE2">
        <w:rPr>
          <w:rFonts w:hint="eastAsia"/>
        </w:rPr>
        <w:t>投资价值与市场价值的主要区别在于并购行为实施后所能产生的附加价值，一般通过量化预期并购后双方能产生的协同效应价值来反映。协同效应是指并购行为实施后，并购后企业的预期总体经营效益与并购前各自独立经营时的预期效益之和的差异部分，主要包括管理协同效应、经营协同效应、财务协同效应，以及其他可能影响业绩的途径。</w:t>
      </w:r>
    </w:p>
    <w:p w14:paraId="0011B49D" w14:textId="7315383F" w:rsidR="00BF3AE2" w:rsidRPr="00BF3AE2" w:rsidRDefault="004E3EBB" w:rsidP="00BF3AE2">
      <w:pPr>
        <w:pStyle w:val="13"/>
        <w:ind w:firstLine="482"/>
      </w:pPr>
      <w:r w:rsidRPr="004E3EBB">
        <w:rPr>
          <w:rFonts w:hint="eastAsia"/>
          <w:b/>
        </w:rPr>
        <w:t xml:space="preserve">第六条 </w:t>
      </w:r>
      <w:r w:rsidR="00BF3AE2" w:rsidRPr="00BF3AE2">
        <w:rPr>
          <w:rFonts w:hint="eastAsia"/>
        </w:rPr>
        <w:t>适用于估算投资价值的协同效应只是针对特定投资者或某一类投资者的协同效应，适用于一般市场参与者的普遍协同效应是市场价值的组成部分。</w:t>
      </w:r>
    </w:p>
    <w:p w14:paraId="424A88EF" w14:textId="3B5EF992" w:rsidR="00BF3AE2" w:rsidRPr="00BF3AE2" w:rsidRDefault="004E3EBB" w:rsidP="00BF3AE2">
      <w:pPr>
        <w:pStyle w:val="13"/>
        <w:ind w:firstLine="482"/>
      </w:pPr>
      <w:r w:rsidRPr="004E3EBB">
        <w:rPr>
          <w:rFonts w:hint="eastAsia"/>
          <w:b/>
        </w:rPr>
        <w:t xml:space="preserve">第七条 </w:t>
      </w:r>
      <w:r w:rsidR="00BF3AE2" w:rsidRPr="00BF3AE2">
        <w:rPr>
          <w:rFonts w:hint="eastAsia"/>
        </w:rPr>
        <w:t>协同效应可能体现在被并购对象、并购方或并购方所控制的其他对象中，具体需要根据并购双方的实际情况、并购方案、并购目的和资产业务的特点等进行综合分析和判断。</w:t>
      </w:r>
    </w:p>
    <w:p w14:paraId="4073FE82" w14:textId="10573DB6" w:rsidR="00BF3AE2" w:rsidRPr="00BF3AE2" w:rsidRDefault="004E3EBB" w:rsidP="00BF3AE2">
      <w:pPr>
        <w:pStyle w:val="13"/>
        <w:ind w:firstLine="482"/>
      </w:pPr>
      <w:r w:rsidRPr="004E3EBB">
        <w:rPr>
          <w:rFonts w:hint="eastAsia"/>
          <w:b/>
        </w:rPr>
        <w:t xml:space="preserve">第八条 </w:t>
      </w:r>
      <w:r w:rsidR="00BF3AE2" w:rsidRPr="00BF3AE2">
        <w:rPr>
          <w:rFonts w:hint="eastAsia"/>
        </w:rPr>
        <w:t>执行以并购为目的的投资价值评估业务时，需要充分了解并披露并购方</w:t>
      </w:r>
      <w:r w:rsidR="00BF3AE2" w:rsidRPr="00BF3AE2">
        <w:rPr>
          <w:rFonts w:hint="eastAsia"/>
        </w:rPr>
        <w:lastRenderedPageBreak/>
        <w:t>的并购目的以及并购方案，不同的并购预期目标和并购方案，可能会形成不同的投资价值评估结论。</w:t>
      </w:r>
    </w:p>
    <w:p w14:paraId="3CF7A5DB" w14:textId="2013EC61" w:rsidR="00BF3AE2" w:rsidRPr="00BF3AE2" w:rsidRDefault="00E05BDA" w:rsidP="00BF3AE2">
      <w:pPr>
        <w:pStyle w:val="13"/>
        <w:ind w:firstLine="482"/>
      </w:pPr>
      <w:r w:rsidRPr="00E05BDA">
        <w:rPr>
          <w:rFonts w:hint="eastAsia"/>
          <w:b/>
        </w:rPr>
        <w:t xml:space="preserve">第九条 </w:t>
      </w:r>
      <w:r w:rsidR="00BF3AE2" w:rsidRPr="00BF3AE2">
        <w:rPr>
          <w:rFonts w:hint="eastAsia"/>
        </w:rPr>
        <w:t>执行以并购为目的的投资价值评估业务时，可以在充分了解并购行为所涉及各方信息的基础上，分析各种协同效应产生的可能性和具体的表现形式，并合理量化所产生协同效应的经济价值。</w:t>
      </w:r>
    </w:p>
    <w:p w14:paraId="03A29A3B" w14:textId="77777777" w:rsidR="00BF3AE2" w:rsidRPr="00BF3AE2" w:rsidRDefault="00BF3AE2" w:rsidP="00BF3AE2">
      <w:pPr>
        <w:pStyle w:val="13"/>
      </w:pPr>
      <w:r w:rsidRPr="00BF3AE2">
        <w:rPr>
          <w:rFonts w:hint="eastAsia"/>
        </w:rPr>
        <w:t>管理协同效应是指并购给企业管理活动在效率方面带来的变化以及效率的提高所产生的效益；主要表现为企业可以提高运营效率以及充分利用过剩的</w:t>
      </w:r>
      <w:hyperlink r:id="rId70" w:tooltip="管理资源" w:history="1">
        <w:r w:rsidRPr="00BF3AE2">
          <w:rPr>
            <w:rStyle w:val="aff0"/>
            <w:rFonts w:hint="eastAsia"/>
          </w:rPr>
          <w:t>管理资源</w:t>
        </w:r>
      </w:hyperlink>
      <w:r w:rsidRPr="00BF3AE2">
        <w:rPr>
          <w:rFonts w:hint="eastAsia"/>
        </w:rPr>
        <w:t>，从而节省管理费用。</w:t>
      </w:r>
    </w:p>
    <w:p w14:paraId="10036A7B" w14:textId="77777777" w:rsidR="00BF3AE2" w:rsidRPr="00BF3AE2" w:rsidRDefault="00BF3AE2" w:rsidP="00BF3AE2">
      <w:pPr>
        <w:pStyle w:val="13"/>
      </w:pPr>
      <w:r w:rsidRPr="00BF3AE2">
        <w:rPr>
          <w:rFonts w:hint="eastAsia"/>
        </w:rPr>
        <w:t>经营协同效应是指并购给企业生产经营活动在效率方面带来的变化及效率的提高所产生的效益；主要表现为企业可以获取规模经济效应、纵向一体化效应、市场力或垄断权、资源互补等，从而增加收入、降低成本。</w:t>
      </w:r>
    </w:p>
    <w:p w14:paraId="6E18A821" w14:textId="77777777" w:rsidR="00BF3AE2" w:rsidRPr="00BF3AE2" w:rsidRDefault="00BF3AE2" w:rsidP="00BF3AE2">
      <w:pPr>
        <w:pStyle w:val="13"/>
      </w:pPr>
      <w:r w:rsidRPr="00BF3AE2">
        <w:rPr>
          <w:rFonts w:hint="eastAsia"/>
        </w:rPr>
        <w:t>财务协同效应是指并购使得企业</w:t>
      </w:r>
      <w:proofErr w:type="gramStart"/>
      <w:r w:rsidRPr="00BF3AE2">
        <w:rPr>
          <w:rFonts w:hint="eastAsia"/>
        </w:rPr>
        <w:t>低资本</w:t>
      </w:r>
      <w:proofErr w:type="gramEnd"/>
      <w:r w:rsidRPr="00BF3AE2">
        <w:rPr>
          <w:rFonts w:hint="eastAsia"/>
        </w:rPr>
        <w:t>成本的内部资金可以投资于高效益项目，提高了企业资金使用效益；主要表现为并购后可以节约资本成本、提高资本收益率、合理避税和降低筹资成本等。</w:t>
      </w:r>
    </w:p>
    <w:p w14:paraId="42F6E3B6" w14:textId="77777777" w:rsidR="00BF3AE2" w:rsidRPr="00BF3AE2" w:rsidRDefault="00BF3AE2" w:rsidP="00BF3AE2">
      <w:pPr>
        <w:pStyle w:val="13"/>
      </w:pPr>
      <w:r w:rsidRPr="00BF3AE2">
        <w:rPr>
          <w:rFonts w:hint="eastAsia"/>
        </w:rPr>
        <w:t>当确实存在可能无法合理量化的其他协同效应时，可考虑在评估报告中以适当方式进行客观披露。</w:t>
      </w:r>
    </w:p>
    <w:p w14:paraId="148AA259" w14:textId="77777777" w:rsidR="00BF3AE2" w:rsidRPr="00BF3AE2" w:rsidRDefault="00BF3AE2" w:rsidP="00BF3AE2">
      <w:pPr>
        <w:pStyle w:val="13"/>
      </w:pPr>
      <w:r w:rsidRPr="00BF3AE2">
        <w:rPr>
          <w:rFonts w:hint="eastAsia"/>
        </w:rPr>
        <w:t>多种协同效应综合后的企业整体协同效应和单个协同效应均可能存在正协同或负协同两种情形。</w:t>
      </w:r>
    </w:p>
    <w:p w14:paraId="2582F305" w14:textId="602B6FB9" w:rsidR="00BF3AE2" w:rsidRPr="00BF3AE2" w:rsidRDefault="00E05BDA" w:rsidP="00BF3AE2">
      <w:pPr>
        <w:pStyle w:val="13"/>
        <w:ind w:firstLine="482"/>
      </w:pPr>
      <w:r w:rsidRPr="00E05BDA">
        <w:rPr>
          <w:rFonts w:hint="eastAsia"/>
          <w:b/>
        </w:rPr>
        <w:t xml:space="preserve">第十条 </w:t>
      </w:r>
      <w:r w:rsidR="00BF3AE2" w:rsidRPr="00BF3AE2">
        <w:rPr>
          <w:rFonts w:hint="eastAsia"/>
        </w:rPr>
        <w:t>执行以并购为目的的投资价值评估业务时，在综合分析并购目的、评估对象实际情况、可量化的协同效应、后续整合方案以及拟实施的评估途径后，应当在报告书中相应披露设定的评估假设，评估假设应该获得委托方的确认。</w:t>
      </w:r>
    </w:p>
    <w:p w14:paraId="2BB1D39F" w14:textId="5A28BD32" w:rsidR="00BF3AE2" w:rsidRPr="00BF3AE2" w:rsidRDefault="00E05BDA" w:rsidP="00BF3AE2">
      <w:pPr>
        <w:pStyle w:val="13"/>
        <w:ind w:firstLine="482"/>
      </w:pPr>
      <w:r w:rsidRPr="00E05BDA">
        <w:rPr>
          <w:rFonts w:hint="eastAsia"/>
          <w:b/>
        </w:rPr>
        <w:t xml:space="preserve">第十一条 </w:t>
      </w:r>
      <w:r w:rsidR="00BF3AE2" w:rsidRPr="00BF3AE2">
        <w:rPr>
          <w:rFonts w:hint="eastAsia"/>
        </w:rPr>
        <w:t>以并购为目的的投资价值评估重点是对协同效应价值的合理量化，对投资价值的评估主要有直接和间接两种评估路线：</w:t>
      </w:r>
    </w:p>
    <w:p w14:paraId="60103534" w14:textId="77777777" w:rsidR="00BF3AE2" w:rsidRPr="00BF3AE2" w:rsidRDefault="00BF3AE2" w:rsidP="00BF3AE2">
      <w:pPr>
        <w:pStyle w:val="13"/>
      </w:pPr>
      <w:r w:rsidRPr="00BF3AE2">
        <w:rPr>
          <w:rFonts w:hint="eastAsia"/>
        </w:rPr>
        <w:t>直接路线是指直接将各种协同因素考虑在并购后的评估对象中进行测算得出评估对象的投资价值。</w:t>
      </w:r>
    </w:p>
    <w:p w14:paraId="68D5FFCD" w14:textId="77777777" w:rsidR="00BF3AE2" w:rsidRPr="00BF3AE2" w:rsidRDefault="00BF3AE2" w:rsidP="00BF3AE2">
      <w:pPr>
        <w:pStyle w:val="13"/>
      </w:pPr>
      <w:r w:rsidRPr="00BF3AE2">
        <w:rPr>
          <w:rFonts w:hint="eastAsia"/>
        </w:rPr>
        <w:t>间接路线有两种方法：一是投资价值等于评估对象的市场价值、评估对象作为被并购主体获得的特定协同效应、以及评估对象给并购</w:t>
      </w:r>
      <w:proofErr w:type="gramStart"/>
      <w:r w:rsidRPr="00BF3AE2">
        <w:rPr>
          <w:rFonts w:hint="eastAsia"/>
        </w:rPr>
        <w:t>方带来</w:t>
      </w:r>
      <w:proofErr w:type="gramEnd"/>
      <w:r w:rsidRPr="00BF3AE2">
        <w:rPr>
          <w:rFonts w:hint="eastAsia"/>
        </w:rPr>
        <w:t>的协同效应这三者价值之和，即评估对象投资价值=评估对象市场价值+评估对象特定协同效应价值+并购方特定协同效应价值；二是评估对象投资价值等于并购后企业总体市场价值（即并购后并购对象及并购方的总体价值）扣减并购方企业并购前的市场价值之后的价值，即评估对象投资价值=并购后企业总体市场价值–并购方企业并购前的市场价值。</w:t>
      </w:r>
    </w:p>
    <w:p w14:paraId="74C35B99" w14:textId="5E572315" w:rsidR="00BF3AE2" w:rsidRPr="00BF3AE2" w:rsidRDefault="00E05BDA" w:rsidP="00BF3AE2">
      <w:pPr>
        <w:pStyle w:val="13"/>
        <w:ind w:firstLine="482"/>
      </w:pPr>
      <w:r w:rsidRPr="00E05BDA">
        <w:rPr>
          <w:rFonts w:hint="eastAsia"/>
          <w:b/>
        </w:rPr>
        <w:t xml:space="preserve">第十二条 </w:t>
      </w:r>
      <w:r w:rsidR="00BF3AE2" w:rsidRPr="00BF3AE2">
        <w:rPr>
          <w:rFonts w:hint="eastAsia"/>
        </w:rPr>
        <w:t>执行以并购为目的的投资价值评估业务时，可以根据评估对象、并购方案、资料收集等相关条件，综合分析收益法、市场法和成本法的适用性后选用恰当的评估方法。</w:t>
      </w:r>
    </w:p>
    <w:p w14:paraId="059DEDA7" w14:textId="00E30B0C" w:rsidR="00BF3AE2" w:rsidRPr="00BF3AE2" w:rsidRDefault="00E05BDA" w:rsidP="00BF3AE2">
      <w:pPr>
        <w:pStyle w:val="13"/>
        <w:ind w:firstLine="482"/>
      </w:pPr>
      <w:r w:rsidRPr="00E05BDA">
        <w:rPr>
          <w:rFonts w:hint="eastAsia"/>
          <w:b/>
        </w:rPr>
        <w:lastRenderedPageBreak/>
        <w:t xml:space="preserve">第十三条 </w:t>
      </w:r>
      <w:r w:rsidR="00BF3AE2" w:rsidRPr="00BF3AE2">
        <w:rPr>
          <w:rFonts w:hint="eastAsia"/>
        </w:rPr>
        <w:t>执行以并购为目的的投资价值评估业务时，应当披露确定的并购方案主要内容，如果存在几种并购方案，可以逐一披露方案的主要内容，以及与评估结论的对应关系。</w:t>
      </w:r>
    </w:p>
    <w:p w14:paraId="16B2D6E5" w14:textId="076CDE94" w:rsidR="00BF3AE2" w:rsidRPr="00BF3AE2" w:rsidRDefault="00E05BDA" w:rsidP="00BF3AE2">
      <w:pPr>
        <w:pStyle w:val="13"/>
        <w:ind w:firstLine="482"/>
      </w:pPr>
      <w:r w:rsidRPr="00E05BDA">
        <w:rPr>
          <w:rFonts w:hint="eastAsia"/>
          <w:b/>
        </w:rPr>
        <w:t xml:space="preserve">第十四条 </w:t>
      </w:r>
      <w:r w:rsidR="00BF3AE2" w:rsidRPr="00BF3AE2">
        <w:rPr>
          <w:rFonts w:hint="eastAsia"/>
        </w:rPr>
        <w:t>执行以并购为目的的投资价值评估业务时，可以根据委托方要求，在评估报告中披露协同效应的分析和判断过程，包括协同效应的类型表现形式、协同效应的来源和实现方式、协同效应量化计算所依据的数据来源等。</w:t>
      </w:r>
    </w:p>
    <w:p w14:paraId="65EABDA5" w14:textId="5584C0EB" w:rsidR="00BF3AE2" w:rsidRPr="00BF3AE2" w:rsidRDefault="00E05BDA" w:rsidP="00BF3AE2">
      <w:pPr>
        <w:pStyle w:val="13"/>
        <w:ind w:firstLine="482"/>
      </w:pPr>
      <w:r w:rsidRPr="00E05BDA">
        <w:rPr>
          <w:rFonts w:hint="eastAsia"/>
          <w:b/>
        </w:rPr>
        <w:t xml:space="preserve">第十五条 </w:t>
      </w:r>
      <w:r w:rsidR="00BF3AE2" w:rsidRPr="00BF3AE2">
        <w:rPr>
          <w:rFonts w:hint="eastAsia"/>
        </w:rPr>
        <w:t>执行以并购为目的的投资价值评估业务时，应与委托方约定，是否需要获取评估对象的市场价值，并在报告中披露市场价值评估结论及其来源，以及影响市场价值结论的重大假设条件和特殊事项，在报告中同时披露市场价值和投资价值，并分析差异存在的主要方面及其合理性。</w:t>
      </w:r>
    </w:p>
    <w:p w14:paraId="797A5474" w14:textId="6A95C960" w:rsidR="00BF3AE2" w:rsidRPr="00BF3AE2" w:rsidRDefault="00E05BDA" w:rsidP="00BF3AE2">
      <w:pPr>
        <w:pStyle w:val="13"/>
        <w:ind w:firstLine="482"/>
      </w:pPr>
      <w:r w:rsidRPr="00E05BDA">
        <w:rPr>
          <w:rFonts w:hint="eastAsia"/>
          <w:b/>
        </w:rPr>
        <w:t xml:space="preserve">第十六条 </w:t>
      </w:r>
      <w:r w:rsidR="00BF3AE2" w:rsidRPr="00BF3AE2">
        <w:rPr>
          <w:rFonts w:hint="eastAsia"/>
        </w:rPr>
        <w:t>执行以并购为目的的投资价值评估业务时，可以分析影响评估结论的重大不确定性因素，针对具体的不确定性因素及其发生的可能性进行适当判断，并对评估结论进行必要的敏感性分析，在评估报告的特别事项说明部分进行披露。</w:t>
      </w:r>
    </w:p>
    <w:p w14:paraId="6506ED76" w14:textId="0820212A" w:rsidR="00BF3AE2" w:rsidRPr="00BF3AE2" w:rsidRDefault="00E05BDA" w:rsidP="00BF3AE2">
      <w:pPr>
        <w:pStyle w:val="13"/>
        <w:ind w:firstLine="482"/>
      </w:pPr>
      <w:r w:rsidRPr="00E05BDA">
        <w:rPr>
          <w:rFonts w:hint="eastAsia"/>
          <w:b/>
        </w:rPr>
        <w:t xml:space="preserve">第十七条 </w:t>
      </w:r>
      <w:proofErr w:type="gramStart"/>
      <w:r w:rsidR="00BF3AE2" w:rsidRPr="00BF3AE2">
        <w:rPr>
          <w:rFonts w:hint="eastAsia"/>
        </w:rPr>
        <w:t>本专家</w:t>
      </w:r>
      <w:proofErr w:type="gramEnd"/>
      <w:r w:rsidR="00BF3AE2" w:rsidRPr="00BF3AE2">
        <w:rPr>
          <w:rFonts w:hint="eastAsia"/>
        </w:rPr>
        <w:t>提示是以有关评估实践为基础，针对以并购为目的的投资价值的操作和披露要点提出的建议。</w:t>
      </w:r>
      <w:proofErr w:type="gramStart"/>
      <w:r w:rsidR="00BF3AE2" w:rsidRPr="00BF3AE2">
        <w:rPr>
          <w:rFonts w:hint="eastAsia"/>
        </w:rPr>
        <w:t>本专家</w:t>
      </w:r>
      <w:proofErr w:type="gramEnd"/>
      <w:r w:rsidR="00BF3AE2" w:rsidRPr="00BF3AE2">
        <w:rPr>
          <w:rFonts w:hint="eastAsia"/>
        </w:rPr>
        <w:t>提示不是对相关资产评估准则和评估报告信息披露有关监管规定的补充和修正，也不是一项新的资产评估准则。</w:t>
      </w:r>
    </w:p>
    <w:p w14:paraId="12CD2AEF" w14:textId="10F32F7F" w:rsidR="00D935FC" w:rsidRPr="00BF3AE2" w:rsidRDefault="00BF3AE2" w:rsidP="00AF7342">
      <w:pPr>
        <w:pStyle w:val="a9"/>
        <w:spacing w:before="62" w:after="62"/>
      </w:pPr>
      <w:r w:rsidRPr="00BF3AE2">
        <w:rPr>
          <w:rFonts w:hint="eastAsia"/>
        </w:rPr>
        <w:t>《资产评估操作专家提示—以并购为目的的投资价值（征求意见稿）》起草说明</w:t>
      </w:r>
    </w:p>
    <w:p w14:paraId="049139C2" w14:textId="77777777" w:rsidR="00BF3AE2" w:rsidRPr="00BF3AE2" w:rsidRDefault="00BF3AE2" w:rsidP="00BF3AE2">
      <w:pPr>
        <w:pStyle w:val="13"/>
      </w:pPr>
      <w:r w:rsidRPr="00BF3AE2">
        <w:rPr>
          <w:rFonts w:hint="eastAsia"/>
        </w:rPr>
        <w:t>为指导执行以并购为目的的投资价值评估业务，更好的为特定投资者或某一类投资者提供并购对象合理有效的投资价值决策参考，中国资产评估协会（以下简称“中评协”）组织起草了《资产评估操作专家提示—以并购为目的的投资价值》（征求意见稿）（以下简称《专家提示》）。为便于评估业务执行人员，以及相关部门、人士全面理解《专家提示》，现将有关起草情况说明如下：</w:t>
      </w:r>
    </w:p>
    <w:p w14:paraId="526167B2" w14:textId="77777777" w:rsidR="00BF3AE2" w:rsidRPr="00BF3AE2" w:rsidRDefault="00BF3AE2" w:rsidP="00BF3AE2">
      <w:pPr>
        <w:pStyle w:val="13"/>
        <w:ind w:firstLine="482"/>
        <w:rPr>
          <w:b/>
          <w:bCs/>
        </w:rPr>
      </w:pPr>
      <w:r w:rsidRPr="00BF3AE2">
        <w:rPr>
          <w:rFonts w:hint="eastAsia"/>
          <w:b/>
          <w:bCs/>
        </w:rPr>
        <w:t>一、制定《专家提示》的必要性</w:t>
      </w:r>
    </w:p>
    <w:p w14:paraId="7DD3F58C" w14:textId="77777777" w:rsidR="00BF3AE2" w:rsidRPr="00BF3AE2" w:rsidRDefault="00BF3AE2" w:rsidP="00BF3AE2">
      <w:pPr>
        <w:pStyle w:val="13"/>
      </w:pPr>
      <w:r w:rsidRPr="00BF3AE2">
        <w:rPr>
          <w:rFonts w:hint="eastAsia"/>
        </w:rPr>
        <w:t>经过评估业界多年来的努力，服务于企业市场价值评估体系日趋完备并且广受认同，但对投资价值的研究和实务操作却相对滞后。目前的评估准则及一些规范中已经明确了市场价值和非市场价值等多种价值类型的存在，对投资价值也有了一定的描述，但基本处于原则性介绍层面，尚没有较为详尽的评估准则或操作指南、细则等，客观上造成了执行投资价值评估时无据可循。伴随着国内资本市场的发展日益成熟，以及市场价值评估所积累的丰富评估经验，使得我们有需求、有条件、也有能力从对投资价值的理论研究走向实务操作。</w:t>
      </w:r>
    </w:p>
    <w:p w14:paraId="477FEC8D" w14:textId="77777777" w:rsidR="00BF3AE2" w:rsidRPr="00BF3AE2" w:rsidRDefault="00BF3AE2" w:rsidP="00BF3AE2">
      <w:pPr>
        <w:pStyle w:val="13"/>
        <w:ind w:firstLine="482"/>
        <w:rPr>
          <w:b/>
          <w:bCs/>
        </w:rPr>
      </w:pPr>
      <w:r w:rsidRPr="00BF3AE2">
        <w:rPr>
          <w:rFonts w:hint="eastAsia"/>
          <w:b/>
          <w:bCs/>
        </w:rPr>
        <w:t>二、国内外相关规范情况分析</w:t>
      </w:r>
    </w:p>
    <w:p w14:paraId="11A2BE42" w14:textId="77777777" w:rsidR="00BF3AE2" w:rsidRPr="00BF3AE2" w:rsidRDefault="00BF3AE2" w:rsidP="00BF3AE2">
      <w:pPr>
        <w:pStyle w:val="13"/>
      </w:pPr>
      <w:r w:rsidRPr="00BF3AE2">
        <w:rPr>
          <w:rFonts w:hint="eastAsia"/>
        </w:rPr>
        <w:t>国外的商业并购中出于价值发现与价值再造的并购目的，大部分情况下投资人会有投资价值估值的需求，在《国际评估准则》、英国《RICS评估准则》等中均有对投资价值的定义，但都尚未有专门对于投资价值在假设、方法、披露和结论等方面规</w:t>
      </w:r>
      <w:r w:rsidRPr="00BF3AE2">
        <w:rPr>
          <w:rFonts w:hint="eastAsia"/>
        </w:rPr>
        <w:lastRenderedPageBreak/>
        <w:t>范性的内容。</w:t>
      </w:r>
    </w:p>
    <w:p w14:paraId="2B69A612" w14:textId="77777777" w:rsidR="00BF3AE2" w:rsidRPr="00BF3AE2" w:rsidRDefault="00BF3AE2" w:rsidP="00BF3AE2">
      <w:pPr>
        <w:pStyle w:val="13"/>
      </w:pPr>
      <w:r w:rsidRPr="00BF3AE2">
        <w:rPr>
          <w:rFonts w:hint="eastAsia"/>
        </w:rPr>
        <w:t>国内关于投资价值的研究和应用总体上较之国外要有限和滞后。目前的企业国有资产评估项目和资本市场资产评估项目，特别是涉及产权管理领域中的评估项目中采用投资价值类型的尚不多见，一般都还是选择市场价值类型。在部分特殊情形下，例如近年来在海外实施的一些战略并购项目中，企业需要从投资咨询角度出发，寻找和分析并购活动对并购对象的投资价值，开始了对投资价值估值的实践与探索。</w:t>
      </w:r>
    </w:p>
    <w:p w14:paraId="0F14CDF1" w14:textId="77777777" w:rsidR="00BF3AE2" w:rsidRPr="00BF3AE2" w:rsidRDefault="00BF3AE2" w:rsidP="00BF3AE2">
      <w:pPr>
        <w:pStyle w:val="13"/>
        <w:ind w:firstLine="482"/>
        <w:rPr>
          <w:b/>
          <w:bCs/>
        </w:rPr>
      </w:pPr>
      <w:r w:rsidRPr="00BF3AE2">
        <w:rPr>
          <w:rFonts w:hint="eastAsia"/>
          <w:b/>
          <w:bCs/>
        </w:rPr>
        <w:t>三、起草指导思想</w:t>
      </w:r>
    </w:p>
    <w:p w14:paraId="2C2D6261" w14:textId="77777777" w:rsidR="00BF3AE2" w:rsidRPr="00BF3AE2" w:rsidRDefault="00BF3AE2" w:rsidP="00BF3AE2">
      <w:pPr>
        <w:pStyle w:val="13"/>
      </w:pPr>
      <w:r w:rsidRPr="00BF3AE2">
        <w:rPr>
          <w:rFonts w:hint="eastAsia"/>
        </w:rPr>
        <w:t>《专家提示》在起草过程中，遵循了以下指导思想：</w:t>
      </w:r>
    </w:p>
    <w:p w14:paraId="6423F62F" w14:textId="77777777" w:rsidR="00BF3AE2" w:rsidRPr="00BF3AE2" w:rsidRDefault="00BF3AE2" w:rsidP="00BF3AE2">
      <w:pPr>
        <w:pStyle w:val="13"/>
      </w:pPr>
      <w:r w:rsidRPr="00BF3AE2">
        <w:rPr>
          <w:rFonts w:hint="eastAsia"/>
        </w:rPr>
        <w:t>（一）准确定位</w:t>
      </w:r>
    </w:p>
    <w:p w14:paraId="52A845D6" w14:textId="77777777" w:rsidR="00BF3AE2" w:rsidRPr="00BF3AE2" w:rsidRDefault="00BF3AE2" w:rsidP="00BF3AE2">
      <w:pPr>
        <w:pStyle w:val="13"/>
      </w:pPr>
      <w:r w:rsidRPr="00BF3AE2">
        <w:rPr>
          <w:rFonts w:hint="eastAsia"/>
        </w:rPr>
        <w:t>《专家提示》是为了适应国内外资本市场战略并购的新形势与业务发展需要而制定的。在《专家提示》制定过程中，在基本概念、基本术语上与基本准则保持一致，并注重与相关法律法规、资产评估相关准则的相互衔接。但</w:t>
      </w:r>
      <w:proofErr w:type="gramStart"/>
      <w:r w:rsidRPr="00BF3AE2">
        <w:rPr>
          <w:rFonts w:hint="eastAsia"/>
        </w:rPr>
        <w:t>本专家</w:t>
      </w:r>
      <w:proofErr w:type="gramEnd"/>
      <w:r w:rsidRPr="00BF3AE2">
        <w:rPr>
          <w:rFonts w:hint="eastAsia"/>
        </w:rPr>
        <w:t>提示是一种专家意见，并非评估准则或对评估准则的补充或修正，</w:t>
      </w:r>
      <w:proofErr w:type="gramStart"/>
      <w:r w:rsidRPr="00BF3AE2">
        <w:rPr>
          <w:rFonts w:hint="eastAsia"/>
        </w:rPr>
        <w:t>仅建议</w:t>
      </w:r>
      <w:proofErr w:type="gramEnd"/>
      <w:r w:rsidRPr="00BF3AE2">
        <w:rPr>
          <w:rFonts w:hint="eastAsia"/>
        </w:rPr>
        <w:t>执行以并购为目的的投资价值评估业务时参考使用，故在用词上较多使用“指导”、“可以”和“建议”等字样。</w:t>
      </w:r>
    </w:p>
    <w:p w14:paraId="1C8BF7A3" w14:textId="77777777" w:rsidR="00BF3AE2" w:rsidRPr="00BF3AE2" w:rsidRDefault="00BF3AE2" w:rsidP="00BF3AE2">
      <w:pPr>
        <w:pStyle w:val="13"/>
      </w:pPr>
      <w:r w:rsidRPr="00BF3AE2">
        <w:rPr>
          <w:rFonts w:hint="eastAsia"/>
        </w:rPr>
        <w:t>（二）突出专业性与特殊性</w:t>
      </w:r>
    </w:p>
    <w:p w14:paraId="40A7FA56" w14:textId="77777777" w:rsidR="00BF3AE2" w:rsidRPr="00BF3AE2" w:rsidRDefault="00BF3AE2" w:rsidP="00BF3AE2">
      <w:pPr>
        <w:pStyle w:val="13"/>
      </w:pPr>
      <w:r w:rsidRPr="00BF3AE2">
        <w:rPr>
          <w:rFonts w:hint="eastAsia"/>
        </w:rPr>
        <w:t>《专家提示》力求充分体现投资价值评估的特点，强调并购当中投资价值评估的专业性与特殊性，对于与市场价值相同的操作部分，因《资产评估准则——企业价值》中已有详尽表述，本次相对简化不再重复。在体例上不再分章表述。</w:t>
      </w:r>
    </w:p>
    <w:p w14:paraId="073B9215" w14:textId="77777777" w:rsidR="00BF3AE2" w:rsidRPr="00BF3AE2" w:rsidRDefault="00BF3AE2" w:rsidP="00BF3AE2">
      <w:pPr>
        <w:pStyle w:val="13"/>
      </w:pPr>
      <w:r w:rsidRPr="00BF3AE2">
        <w:rPr>
          <w:rFonts w:hint="eastAsia"/>
        </w:rPr>
        <w:t>（三）突出指导性和可操作性</w:t>
      </w:r>
    </w:p>
    <w:p w14:paraId="135FE521" w14:textId="77777777" w:rsidR="00BF3AE2" w:rsidRPr="00BF3AE2" w:rsidRDefault="00BF3AE2" w:rsidP="00BF3AE2">
      <w:pPr>
        <w:pStyle w:val="13"/>
      </w:pPr>
      <w:r w:rsidRPr="00BF3AE2">
        <w:rPr>
          <w:rFonts w:hint="eastAsia"/>
        </w:rPr>
        <w:t>并购中的投资价值评估是随着市场化商业并购应运而生的，在目前的评估准则体系中尚未制定与其直接相关的准则、指南或指导意见。因此，《专家提示》充分考虑相关各方的需求，既强调指导性，对执业人员工作中关注的重点方面加以指导，又注重实务操作性，为各</w:t>
      </w:r>
      <w:proofErr w:type="gramStart"/>
      <w:r w:rsidRPr="00BF3AE2">
        <w:rPr>
          <w:rFonts w:hint="eastAsia"/>
        </w:rPr>
        <w:t>类委托</w:t>
      </w:r>
      <w:proofErr w:type="gramEnd"/>
      <w:r w:rsidRPr="00BF3AE2">
        <w:rPr>
          <w:rFonts w:hint="eastAsia"/>
        </w:rPr>
        <w:t>方能更加认可和有效的使用投资价值评估报告和评估结论提供依据。</w:t>
      </w:r>
    </w:p>
    <w:p w14:paraId="60E5F0FD" w14:textId="77777777" w:rsidR="00BF3AE2" w:rsidRPr="00BF3AE2" w:rsidRDefault="00BF3AE2" w:rsidP="00BF3AE2">
      <w:pPr>
        <w:pStyle w:val="13"/>
        <w:ind w:firstLine="482"/>
        <w:rPr>
          <w:b/>
          <w:bCs/>
        </w:rPr>
      </w:pPr>
      <w:r w:rsidRPr="00BF3AE2">
        <w:rPr>
          <w:rFonts w:hint="eastAsia"/>
          <w:b/>
          <w:bCs/>
        </w:rPr>
        <w:t>四、起草过程</w:t>
      </w:r>
    </w:p>
    <w:p w14:paraId="705AF71E" w14:textId="77777777" w:rsidR="00BF3AE2" w:rsidRPr="00BF3AE2" w:rsidRDefault="00BF3AE2" w:rsidP="00BF3AE2">
      <w:pPr>
        <w:pStyle w:val="13"/>
      </w:pPr>
      <w:r w:rsidRPr="00BF3AE2">
        <w:rPr>
          <w:rFonts w:hint="eastAsia"/>
        </w:rPr>
        <w:t>2013年5月，</w:t>
      </w:r>
      <w:proofErr w:type="gramStart"/>
      <w:r w:rsidRPr="00BF3AE2">
        <w:rPr>
          <w:rFonts w:hint="eastAsia"/>
        </w:rPr>
        <w:t>中评协</w:t>
      </w:r>
      <w:proofErr w:type="gramEnd"/>
      <w:r w:rsidRPr="00BF3AE2">
        <w:rPr>
          <w:rFonts w:hint="eastAsia"/>
        </w:rPr>
        <w:t>成立项目组。项目组广泛搜集了相关法律法规、评估准则及相关理论研究成果，重点分析典型的并购案例，对并购目的、并购方案、整合方案等系列问题、过程进行了深入研究，总结在并购中投资价值评估实践经验形成草稿。之后征求相关专家的意见，在融合各方意见的基础上，并经过多次讨论修改，形成本征求意见稿。</w:t>
      </w:r>
    </w:p>
    <w:p w14:paraId="6CC7389A" w14:textId="77777777" w:rsidR="00BF3AE2" w:rsidRPr="00BF3AE2" w:rsidRDefault="00BF3AE2" w:rsidP="00BF3AE2">
      <w:pPr>
        <w:pStyle w:val="13"/>
        <w:ind w:firstLine="482"/>
        <w:rPr>
          <w:b/>
          <w:bCs/>
        </w:rPr>
      </w:pPr>
      <w:r w:rsidRPr="00BF3AE2">
        <w:rPr>
          <w:rFonts w:hint="eastAsia"/>
          <w:b/>
          <w:bCs/>
        </w:rPr>
        <w:t>五、起草中的主要意见和专家意见中的解决方式</w:t>
      </w:r>
    </w:p>
    <w:p w14:paraId="31D34BC8" w14:textId="77777777" w:rsidR="00BF3AE2" w:rsidRPr="00BF3AE2" w:rsidRDefault="00BF3AE2" w:rsidP="00BF3AE2">
      <w:pPr>
        <w:pStyle w:val="13"/>
      </w:pPr>
      <w:r w:rsidRPr="00BF3AE2">
        <w:rPr>
          <w:rFonts w:hint="eastAsia"/>
        </w:rPr>
        <w:t>（一）适用范围比较全面</w:t>
      </w:r>
    </w:p>
    <w:p w14:paraId="120EF76C" w14:textId="77777777" w:rsidR="00BF3AE2" w:rsidRPr="00BF3AE2" w:rsidRDefault="00BF3AE2" w:rsidP="00BF3AE2">
      <w:pPr>
        <w:pStyle w:val="13"/>
      </w:pPr>
      <w:r w:rsidRPr="00BF3AE2">
        <w:rPr>
          <w:rFonts w:hint="eastAsia"/>
        </w:rPr>
        <w:t>本次《专家提示》最终将并购的适用范围对象定义为基于并购目的的评估业务，即是广义的并购，可以包含全部或部分股权，也可以包括以非同比例增资形式获得目</w:t>
      </w:r>
      <w:r w:rsidRPr="00BF3AE2">
        <w:rPr>
          <w:rFonts w:hint="eastAsia"/>
        </w:rPr>
        <w:lastRenderedPageBreak/>
        <w:t>标企业股权的形式，此外，还包括收购业务和有独立盈利能力的资产及资产组合等。这样基本涵盖了企业商业并购的绝大部分形式，比较全面。</w:t>
      </w:r>
    </w:p>
    <w:p w14:paraId="6336B3D0" w14:textId="77777777" w:rsidR="00BF3AE2" w:rsidRPr="00BF3AE2" w:rsidRDefault="00BF3AE2" w:rsidP="00BF3AE2">
      <w:pPr>
        <w:pStyle w:val="13"/>
      </w:pPr>
      <w:r w:rsidRPr="00BF3AE2">
        <w:rPr>
          <w:rFonts w:hint="eastAsia"/>
        </w:rPr>
        <w:t>（二）评估的结论是针对特定投资者或某一类投资者的</w:t>
      </w:r>
    </w:p>
    <w:p w14:paraId="449D1AA3" w14:textId="77777777" w:rsidR="00BF3AE2" w:rsidRPr="00BF3AE2" w:rsidRDefault="00BF3AE2" w:rsidP="00BF3AE2">
      <w:pPr>
        <w:pStyle w:val="13"/>
      </w:pPr>
      <w:r w:rsidRPr="00BF3AE2">
        <w:rPr>
          <w:rFonts w:hint="eastAsia"/>
        </w:rPr>
        <w:t>在商业并购中，不同的投资者会对同一个评估对象形成不同的协同效应，所以也会形成不同的评估结论，为防止报告结论被误用，所以《专家提示》明确了承接以并购为目的的投资价值评估业务时，应当事前明确潜在的并购方及被并购对象，投资价值评估的结论是针对特定投资者或某一类投资者的，不适用于其他投资者。</w:t>
      </w:r>
    </w:p>
    <w:p w14:paraId="5A13C484" w14:textId="77777777" w:rsidR="00BF3AE2" w:rsidRPr="00BF3AE2" w:rsidRDefault="00BF3AE2" w:rsidP="00BF3AE2">
      <w:pPr>
        <w:pStyle w:val="13"/>
      </w:pPr>
      <w:r w:rsidRPr="00BF3AE2">
        <w:rPr>
          <w:rFonts w:hint="eastAsia"/>
        </w:rPr>
        <w:t>（三）关于投资价值的评估方法</w:t>
      </w:r>
    </w:p>
    <w:p w14:paraId="4366EBF9" w14:textId="77777777" w:rsidR="00BF3AE2" w:rsidRPr="00BF3AE2" w:rsidRDefault="00BF3AE2" w:rsidP="00BF3AE2">
      <w:pPr>
        <w:pStyle w:val="13"/>
      </w:pPr>
      <w:r w:rsidRPr="00BF3AE2">
        <w:rPr>
          <w:rFonts w:hint="eastAsia"/>
        </w:rPr>
        <w:t>基于对未来预计产生的协同效应的价值量化，收益法、市场法是比较适用的，在对并购预计能产生的协同效应的价值量化时，成本</w:t>
      </w:r>
      <w:proofErr w:type="gramStart"/>
      <w:r w:rsidRPr="00BF3AE2">
        <w:rPr>
          <w:rFonts w:hint="eastAsia"/>
        </w:rPr>
        <w:t>法显得</w:t>
      </w:r>
      <w:proofErr w:type="gramEnd"/>
      <w:r w:rsidRPr="00BF3AE2">
        <w:rPr>
          <w:rFonts w:hint="eastAsia"/>
        </w:rPr>
        <w:t>不是很适合，但成本法作为一种基本的评估方法，在特殊情况下还有使用的情形，故本次并未将成本法排除在投资价值的评估方法之外。</w:t>
      </w:r>
    </w:p>
    <w:p w14:paraId="5E777823" w14:textId="77777777" w:rsidR="00BF3AE2" w:rsidRPr="00BF3AE2" w:rsidRDefault="00BF3AE2" w:rsidP="00BF3AE2">
      <w:pPr>
        <w:pStyle w:val="13"/>
        <w:ind w:firstLine="482"/>
        <w:rPr>
          <w:b/>
          <w:bCs/>
        </w:rPr>
      </w:pPr>
      <w:r w:rsidRPr="00BF3AE2">
        <w:rPr>
          <w:rFonts w:hint="eastAsia"/>
          <w:b/>
          <w:bCs/>
        </w:rPr>
        <w:t>六、需要重点关注或提出意见的内容</w:t>
      </w:r>
    </w:p>
    <w:p w14:paraId="2848B7E6" w14:textId="77777777" w:rsidR="00BF3AE2" w:rsidRPr="00BF3AE2" w:rsidRDefault="00BF3AE2" w:rsidP="00BF3AE2">
      <w:pPr>
        <w:pStyle w:val="13"/>
      </w:pPr>
      <w:r w:rsidRPr="00BF3AE2">
        <w:rPr>
          <w:rFonts w:hint="eastAsia"/>
        </w:rPr>
        <w:t>（一）投资价值评估的核心是协同效应的合理量化</w:t>
      </w:r>
    </w:p>
    <w:p w14:paraId="08C3BC96" w14:textId="77777777" w:rsidR="00BF3AE2" w:rsidRPr="00BF3AE2" w:rsidRDefault="00BF3AE2" w:rsidP="00BF3AE2">
      <w:pPr>
        <w:pStyle w:val="13"/>
      </w:pPr>
      <w:r w:rsidRPr="00BF3AE2">
        <w:rPr>
          <w:rFonts w:hint="eastAsia"/>
        </w:rPr>
        <w:t>在《专家提示》中，重点提示了协同效应的分析判断、操作途径以及注意事项。建议执行以并购为目的的投资价值时，在充分了解并购行为各方信息后，着重分析各种协同效应产生的可能性和协同效应的表现形式。</w:t>
      </w:r>
    </w:p>
    <w:p w14:paraId="58268BA6" w14:textId="77777777" w:rsidR="00BF3AE2" w:rsidRPr="00BF3AE2" w:rsidRDefault="00BF3AE2" w:rsidP="00BF3AE2">
      <w:pPr>
        <w:pStyle w:val="13"/>
      </w:pPr>
      <w:r w:rsidRPr="00BF3AE2">
        <w:rPr>
          <w:rFonts w:hint="eastAsia"/>
        </w:rPr>
        <w:t>（二）与市场价值的衔接</w:t>
      </w:r>
    </w:p>
    <w:p w14:paraId="59C8523E" w14:textId="77777777" w:rsidR="00BF3AE2" w:rsidRPr="00BF3AE2" w:rsidRDefault="00BF3AE2" w:rsidP="00BF3AE2">
      <w:pPr>
        <w:pStyle w:val="13"/>
      </w:pPr>
      <w:r w:rsidRPr="00BF3AE2">
        <w:rPr>
          <w:rFonts w:hint="eastAsia"/>
        </w:rPr>
        <w:t>基于前期的多方调研和沟通，较多报告使用者希望能在获得投资价值的同时了解市场价值的结果，以利于合理确定谈判区间。为增加投资价值报告的实用性，《专家提示》提出在执行以并购为目的的投资价值评估业务时，应与委托方约定，是否需要获取评估对象的市场价值，并在报告中披露市场价值评估结论及其来源，以及影响市场价值结论的重大假设条件和特殊事项，在报告中同时披露市场价值和投资价值，并分析差异存在的主要方面及其合理性。</w:t>
      </w:r>
    </w:p>
    <w:p w14:paraId="750806C9" w14:textId="77777777" w:rsidR="00BF3AE2" w:rsidRPr="00BF3AE2" w:rsidRDefault="00BF3AE2" w:rsidP="00BF3AE2">
      <w:pPr>
        <w:pStyle w:val="13"/>
        <w:ind w:firstLine="482"/>
        <w:rPr>
          <w:b/>
          <w:bCs/>
        </w:rPr>
      </w:pPr>
      <w:r w:rsidRPr="00BF3AE2">
        <w:rPr>
          <w:rFonts w:hint="eastAsia"/>
          <w:b/>
          <w:bCs/>
        </w:rPr>
        <w:t>七、专家意见的主要创新和重要内容介绍</w:t>
      </w:r>
    </w:p>
    <w:p w14:paraId="4FF94D4C" w14:textId="77777777" w:rsidR="00BF3AE2" w:rsidRPr="00BF3AE2" w:rsidRDefault="00BF3AE2" w:rsidP="00BF3AE2">
      <w:pPr>
        <w:pStyle w:val="13"/>
      </w:pPr>
      <w:r w:rsidRPr="00BF3AE2">
        <w:rPr>
          <w:rFonts w:hint="eastAsia"/>
        </w:rPr>
        <w:t>（一）评估结论表达方式</w:t>
      </w:r>
    </w:p>
    <w:p w14:paraId="2A173540" w14:textId="77777777" w:rsidR="00BF3AE2" w:rsidRPr="00BF3AE2" w:rsidRDefault="00BF3AE2" w:rsidP="00BF3AE2">
      <w:pPr>
        <w:pStyle w:val="13"/>
      </w:pPr>
      <w:r w:rsidRPr="00BF3AE2">
        <w:rPr>
          <w:rFonts w:hint="eastAsia"/>
        </w:rPr>
        <w:t>在评估结论的表达方式上，站在委托方立场上，为了让评估报告结论更加有参考意义，采用多种表达方式：</w:t>
      </w:r>
    </w:p>
    <w:p w14:paraId="5762AD84" w14:textId="77777777" w:rsidR="00BF3AE2" w:rsidRPr="00BF3AE2" w:rsidRDefault="00BF3AE2" w:rsidP="00BF3AE2">
      <w:pPr>
        <w:pStyle w:val="13"/>
      </w:pPr>
      <w:r w:rsidRPr="00BF3AE2">
        <w:rPr>
          <w:rFonts w:hint="eastAsia"/>
        </w:rPr>
        <w:t>1.评估结论可以根据不同的并购方案分别来逐一对应披露；</w:t>
      </w:r>
    </w:p>
    <w:p w14:paraId="7FA795EA" w14:textId="77777777" w:rsidR="00BF3AE2" w:rsidRPr="00BF3AE2" w:rsidRDefault="00BF3AE2" w:rsidP="00BF3AE2">
      <w:pPr>
        <w:pStyle w:val="13"/>
      </w:pPr>
      <w:r w:rsidRPr="00BF3AE2">
        <w:rPr>
          <w:rFonts w:hint="eastAsia"/>
        </w:rPr>
        <w:t>2.评估结论可以根据与委托方的约定同时列示市场价值和投资价值。</w:t>
      </w:r>
    </w:p>
    <w:p w14:paraId="5B2F209A" w14:textId="77777777" w:rsidR="00BF3AE2" w:rsidRPr="00BF3AE2" w:rsidRDefault="00BF3AE2" w:rsidP="00BF3AE2">
      <w:pPr>
        <w:pStyle w:val="13"/>
      </w:pPr>
      <w:r w:rsidRPr="00BF3AE2">
        <w:rPr>
          <w:rFonts w:hint="eastAsia"/>
        </w:rPr>
        <w:t>（二）敏感性分析</w:t>
      </w:r>
    </w:p>
    <w:p w14:paraId="3A0291AE" w14:textId="77777777" w:rsidR="00BF3AE2" w:rsidRPr="00BF3AE2" w:rsidRDefault="00BF3AE2" w:rsidP="00BF3AE2">
      <w:pPr>
        <w:pStyle w:val="13"/>
      </w:pPr>
      <w:r w:rsidRPr="00BF3AE2">
        <w:rPr>
          <w:rFonts w:hint="eastAsia"/>
        </w:rPr>
        <w:t>投资价值评估在评估程序、资料取得、分析判断上可能与正常的市场价值评估存在较大区别，很大程度上基于主观的分析和判断。所以在有些情况下，会存在较多的不确定性因素。但是委托方在商务谈判时，这些不确定因素必须进行必要量化后才能</w:t>
      </w:r>
      <w:r w:rsidRPr="00BF3AE2">
        <w:rPr>
          <w:rFonts w:hint="eastAsia"/>
        </w:rPr>
        <w:lastRenderedPageBreak/>
        <w:t>进行合理报价，所以专家提示专门提出了建议进行敏感性分析。</w:t>
      </w:r>
    </w:p>
    <w:p w14:paraId="6C2AF0FA" w14:textId="0B877D58" w:rsidR="00882ED4" w:rsidRDefault="00882ED4" w:rsidP="00882ED4">
      <w:pPr>
        <w:pStyle w:val="21"/>
        <w:spacing w:before="156" w:after="93"/>
      </w:pPr>
      <w:bookmarkStart w:id="86" w:name="_Toc81833349"/>
      <w:r w:rsidRPr="00882ED4">
        <w:rPr>
          <w:rFonts w:hint="eastAsia"/>
        </w:rPr>
        <w:t>监管机构</w:t>
      </w:r>
      <w:bookmarkEnd w:id="86"/>
    </w:p>
    <w:p w14:paraId="275B8C50" w14:textId="29AEAFE8" w:rsidR="00882ED4" w:rsidRDefault="00882ED4" w:rsidP="00882ED4">
      <w:pPr>
        <w:pStyle w:val="31"/>
        <w:spacing w:before="156" w:after="62"/>
      </w:pPr>
      <w:bookmarkStart w:id="87" w:name="_Toc81833350"/>
      <w:r w:rsidRPr="00882ED4">
        <w:rPr>
          <w:rFonts w:hint="eastAsia"/>
        </w:rPr>
        <w:t>会计监管风险提示第</w:t>
      </w:r>
      <w:r w:rsidRPr="00882ED4">
        <w:t>1号—政府补助</w:t>
      </w:r>
      <w:bookmarkEnd w:id="87"/>
    </w:p>
    <w:p w14:paraId="77C8743E" w14:textId="77777777" w:rsidR="00882ED4" w:rsidRDefault="00882ED4" w:rsidP="00882ED4">
      <w:pPr>
        <w:pStyle w:val="13"/>
      </w:pPr>
      <w:r>
        <w:rPr>
          <w:rFonts w:hint="eastAsia"/>
        </w:rPr>
        <w:t>目前，政府补助在部分上市公司及拟上市公司利润中占有较大比重，日益成为注册会计师审计的重要领域，也是会计监管工作中应重点关注的风险领域。现对政府补助相关会计监管风险进行提示。</w:t>
      </w:r>
    </w:p>
    <w:p w14:paraId="5370737E" w14:textId="77777777" w:rsidR="00882ED4" w:rsidRDefault="00882ED4" w:rsidP="00865B2E">
      <w:pPr>
        <w:pStyle w:val="ab"/>
        <w:spacing w:before="62" w:after="62"/>
        <w:ind w:firstLine="482"/>
      </w:pPr>
      <w:r>
        <w:rPr>
          <w:rFonts w:hint="eastAsia"/>
        </w:rPr>
        <w:t>一、政府补助会计处理的常见问题</w:t>
      </w:r>
    </w:p>
    <w:p w14:paraId="0084B3E0" w14:textId="77777777" w:rsidR="00882ED4" w:rsidRDefault="00882ED4" w:rsidP="00882ED4">
      <w:pPr>
        <w:pStyle w:val="13"/>
      </w:pPr>
      <w:r>
        <w:rPr>
          <w:rFonts w:hint="eastAsia"/>
        </w:rPr>
        <w:t>《企业会计准则第</w:t>
      </w:r>
      <w:r>
        <w:t>16号—政府补助》规定，政府补助是指企业从政府无偿取得货币性资产或非货币性资产，但不包括政府作为企业所有者投入的资本。政府补助分为与资产相关的政府补助和与收益相关的政府补助。此外，《企业会计准则解释第3号》对特定类型的政府补助及其会计处理作了进一步规定。实践中，公司对政府补助的会计处理通常存在以下问题：</w:t>
      </w:r>
    </w:p>
    <w:p w14:paraId="46299ED8" w14:textId="77777777" w:rsidR="00882ED4" w:rsidRDefault="00882ED4" w:rsidP="00882ED4">
      <w:pPr>
        <w:pStyle w:val="13"/>
      </w:pPr>
      <w:r>
        <w:rPr>
          <w:rFonts w:hint="eastAsia"/>
        </w:rPr>
        <w:t>（一）将政府有偿投入作为政府补助。例如，将政府作为公司所有者投入的资本或政府要求无形资产权利的研发费补贴等作为政府补助。</w:t>
      </w:r>
    </w:p>
    <w:p w14:paraId="61CA5E26" w14:textId="77777777" w:rsidR="00882ED4" w:rsidRDefault="00882ED4" w:rsidP="00882ED4">
      <w:pPr>
        <w:pStyle w:val="13"/>
      </w:pPr>
      <w:r>
        <w:rPr>
          <w:rFonts w:hint="eastAsia"/>
        </w:rPr>
        <w:t>（二）公司通过非常规渠道与相关部门达成协定，将实质上来自于控股股东或集团内其他公司的捐赠作为政府补助。例如，控股股东或其他关联方将资产通过政府以补助形式转移给公司。</w:t>
      </w:r>
    </w:p>
    <w:p w14:paraId="0357D269" w14:textId="77777777" w:rsidR="00882ED4" w:rsidRDefault="00882ED4" w:rsidP="00882ED4">
      <w:pPr>
        <w:pStyle w:val="13"/>
      </w:pPr>
      <w:r>
        <w:rPr>
          <w:rFonts w:hint="eastAsia"/>
        </w:rPr>
        <w:t>（三）对政府补助的分类不正确。例如，将与资产相关的政府补助认定为与收益相关的政府补助，将可以区分的综合性政府补助认定为难以区分的综合性政府补助。</w:t>
      </w:r>
    </w:p>
    <w:p w14:paraId="4FF9A58E" w14:textId="77777777" w:rsidR="00882ED4" w:rsidRDefault="00882ED4" w:rsidP="00882ED4">
      <w:pPr>
        <w:pStyle w:val="13"/>
      </w:pPr>
      <w:r>
        <w:rPr>
          <w:rFonts w:hint="eastAsia"/>
        </w:rPr>
        <w:t>（四）将未达到确认条件的政府补助予以确认。例如，公司在未达到政府补助文件所附条件时即确认补助收入；对于不是按照固定的定额标准取得的政府补助，在未收到补助金额时即确认补助收入；对于补偿公司以后期间费用的政府补助，在费用尚未发生时即确认补助收入。</w:t>
      </w:r>
    </w:p>
    <w:p w14:paraId="3D8A2245" w14:textId="77777777" w:rsidR="00882ED4" w:rsidRDefault="00882ED4" w:rsidP="00882ED4">
      <w:pPr>
        <w:pStyle w:val="13"/>
      </w:pPr>
      <w:r>
        <w:rPr>
          <w:rFonts w:hint="eastAsia"/>
        </w:rPr>
        <w:t>（五）将已达到确认条件的政府补助不予确认。例如，将本期已经达到确认条件的政府补助推迟到后续会计期间确认。</w:t>
      </w:r>
    </w:p>
    <w:p w14:paraId="0B931741" w14:textId="77777777" w:rsidR="00882ED4" w:rsidRDefault="00882ED4" w:rsidP="00882ED4">
      <w:pPr>
        <w:pStyle w:val="13"/>
      </w:pPr>
      <w:r>
        <w:rPr>
          <w:rFonts w:hint="eastAsia"/>
        </w:rPr>
        <w:t>（六）政府补助披露不完整和不准确。例如，将不符合经常性损益的政府补助披露为经常性损益。</w:t>
      </w:r>
    </w:p>
    <w:p w14:paraId="1E5E6110" w14:textId="77777777" w:rsidR="00882ED4" w:rsidRDefault="00882ED4" w:rsidP="00865B2E">
      <w:pPr>
        <w:pStyle w:val="ab"/>
        <w:spacing w:before="62" w:after="62"/>
        <w:ind w:firstLine="482"/>
      </w:pPr>
      <w:r>
        <w:rPr>
          <w:rFonts w:hint="eastAsia"/>
        </w:rPr>
        <w:t>二、政府补助审计的常见问题</w:t>
      </w:r>
    </w:p>
    <w:p w14:paraId="16E0AE6E" w14:textId="77777777" w:rsidR="00882ED4" w:rsidRDefault="00882ED4" w:rsidP="00882ED4">
      <w:pPr>
        <w:pStyle w:val="13"/>
      </w:pPr>
      <w:r>
        <w:rPr>
          <w:rFonts w:hint="eastAsia"/>
        </w:rPr>
        <w:t>会计监管中，注册会计师在对政府补助审计时通常存在以下问题：</w:t>
      </w:r>
    </w:p>
    <w:p w14:paraId="74ACB30B" w14:textId="77777777" w:rsidR="00882ED4" w:rsidRDefault="00882ED4" w:rsidP="00882ED4">
      <w:pPr>
        <w:pStyle w:val="13"/>
      </w:pPr>
      <w:r>
        <w:rPr>
          <w:rFonts w:hint="eastAsia"/>
        </w:rPr>
        <w:t>（一）</w:t>
      </w:r>
      <w:proofErr w:type="gramStart"/>
      <w:r>
        <w:rPr>
          <w:rFonts w:hint="eastAsia"/>
        </w:rPr>
        <w:t>未关注</w:t>
      </w:r>
      <w:proofErr w:type="gramEnd"/>
      <w:r>
        <w:rPr>
          <w:rFonts w:hint="eastAsia"/>
        </w:rPr>
        <w:t>公司认定的政府补助实质上是否符合政府补助的定义，对补助资产是否直接从政府取得关注不足。</w:t>
      </w:r>
    </w:p>
    <w:p w14:paraId="43999CFC" w14:textId="77777777" w:rsidR="00882ED4" w:rsidRDefault="00882ED4" w:rsidP="00882ED4">
      <w:pPr>
        <w:pStyle w:val="13"/>
      </w:pPr>
      <w:r>
        <w:rPr>
          <w:rFonts w:hint="eastAsia"/>
        </w:rPr>
        <w:t>（二）未收集充分、适当的证据支持公司对于政府补助分类的判断；对政府补助</w:t>
      </w:r>
      <w:r>
        <w:rPr>
          <w:rFonts w:hint="eastAsia"/>
        </w:rPr>
        <w:lastRenderedPageBreak/>
        <w:t>文件规定不明确的情况，未进行充分的分析和判断。</w:t>
      </w:r>
    </w:p>
    <w:p w14:paraId="5D07A9FE" w14:textId="77777777" w:rsidR="00882ED4" w:rsidRDefault="00882ED4" w:rsidP="00882ED4">
      <w:pPr>
        <w:pStyle w:val="13"/>
      </w:pPr>
      <w:r>
        <w:rPr>
          <w:rFonts w:hint="eastAsia"/>
        </w:rPr>
        <w:t>（三）未收集充分、适当的证据支持公司已满足政府补助确认条件。一是未能支持公司已满足或能够满足政府补助文件所附条件；二是未能支持公司已经收到政府补助金额（按照固定的定额标准取得的政府补助除外）。</w:t>
      </w:r>
    </w:p>
    <w:p w14:paraId="573CC460" w14:textId="77777777" w:rsidR="00882ED4" w:rsidRDefault="00882ED4" w:rsidP="00882ED4">
      <w:pPr>
        <w:pStyle w:val="13"/>
      </w:pPr>
      <w:r>
        <w:rPr>
          <w:rFonts w:hint="eastAsia"/>
        </w:rPr>
        <w:t>（四）</w:t>
      </w:r>
      <w:proofErr w:type="gramStart"/>
      <w:r>
        <w:rPr>
          <w:rFonts w:hint="eastAsia"/>
        </w:rPr>
        <w:t>未关注</w:t>
      </w:r>
      <w:proofErr w:type="gramEnd"/>
      <w:r>
        <w:rPr>
          <w:rFonts w:hint="eastAsia"/>
        </w:rPr>
        <w:t>政府补助资金来源的适当性。如</w:t>
      </w:r>
      <w:proofErr w:type="gramStart"/>
      <w:r>
        <w:rPr>
          <w:rFonts w:hint="eastAsia"/>
        </w:rPr>
        <w:t>未关注</w:t>
      </w:r>
      <w:proofErr w:type="gramEnd"/>
      <w:r>
        <w:rPr>
          <w:rFonts w:hint="eastAsia"/>
        </w:rPr>
        <w:t>政府资金的付款单位和资金来源是否异常，是否与有关批准文件一致。</w:t>
      </w:r>
    </w:p>
    <w:p w14:paraId="1875961A" w14:textId="77777777" w:rsidR="00882ED4" w:rsidRDefault="00882ED4" w:rsidP="00882ED4">
      <w:pPr>
        <w:pStyle w:val="13"/>
      </w:pPr>
      <w:r>
        <w:rPr>
          <w:rFonts w:hint="eastAsia"/>
        </w:rPr>
        <w:t>（五）</w:t>
      </w:r>
      <w:proofErr w:type="gramStart"/>
      <w:r>
        <w:rPr>
          <w:rFonts w:hint="eastAsia"/>
        </w:rPr>
        <w:t>未关注</w:t>
      </w:r>
      <w:proofErr w:type="gramEnd"/>
      <w:r>
        <w:rPr>
          <w:rFonts w:hint="eastAsia"/>
        </w:rPr>
        <w:t>与收益相关的政府补助所补偿费用对应的期间，未检查相关费用是否已经发生。</w:t>
      </w:r>
    </w:p>
    <w:p w14:paraId="54E3ACE3" w14:textId="77777777" w:rsidR="00882ED4" w:rsidRDefault="00882ED4" w:rsidP="00882ED4">
      <w:pPr>
        <w:pStyle w:val="13"/>
      </w:pPr>
      <w:r>
        <w:rPr>
          <w:rFonts w:hint="eastAsia"/>
        </w:rPr>
        <w:t>（六）未检查公司对政府补助的列报是否恰当、披露是否完整。</w:t>
      </w:r>
    </w:p>
    <w:p w14:paraId="040D0EC4" w14:textId="77777777" w:rsidR="00882ED4" w:rsidRDefault="00882ED4" w:rsidP="00882ED4">
      <w:pPr>
        <w:pStyle w:val="13"/>
      </w:pPr>
      <w:r>
        <w:rPr>
          <w:rFonts w:hint="eastAsia"/>
        </w:rPr>
        <w:t>（七）工作底稿记录不完善，不能体现注册会计师所执行的程序和得出结论的依据。</w:t>
      </w:r>
    </w:p>
    <w:p w14:paraId="7BFC2984" w14:textId="77777777" w:rsidR="00882ED4" w:rsidRDefault="00882ED4" w:rsidP="00865B2E">
      <w:pPr>
        <w:pStyle w:val="ab"/>
        <w:spacing w:before="62" w:after="62"/>
        <w:ind w:firstLine="482"/>
      </w:pPr>
      <w:r>
        <w:rPr>
          <w:rFonts w:hint="eastAsia"/>
        </w:rPr>
        <w:t>三、会计监管关注事项</w:t>
      </w:r>
    </w:p>
    <w:p w14:paraId="6F0C1C58" w14:textId="77777777" w:rsidR="00882ED4" w:rsidRDefault="00882ED4" w:rsidP="00882ED4">
      <w:pPr>
        <w:pStyle w:val="13"/>
      </w:pPr>
      <w:r>
        <w:rPr>
          <w:rFonts w:hint="eastAsia"/>
        </w:rPr>
        <w:t>在政府补助对财务报告有重大影响时，会计监管工作中应关注并督促注册会计师采取相应措施，防范与政府补助相关的重大错报风险：</w:t>
      </w:r>
    </w:p>
    <w:p w14:paraId="589A9BB3" w14:textId="6BD6A198" w:rsidR="00882ED4" w:rsidRDefault="00882ED4" w:rsidP="00882ED4">
      <w:pPr>
        <w:pStyle w:val="13"/>
      </w:pPr>
      <w:r>
        <w:rPr>
          <w:rFonts w:hint="eastAsia"/>
        </w:rPr>
        <w:t>（一）注册会计师是否重点分析公司以下粉饰财务报表的舞弊动机，主要包括：</w:t>
      </w:r>
      <w:r>
        <w:t>1</w:t>
      </w:r>
      <w:r w:rsidR="00865B2E">
        <w:t>.</w:t>
      </w:r>
      <w:r>
        <w:t>避免被特别处理或退市；2</w:t>
      </w:r>
      <w:r w:rsidR="00865B2E">
        <w:t>.</w:t>
      </w:r>
      <w:r>
        <w:t>满足融资业绩条件；3</w:t>
      </w:r>
      <w:r w:rsidR="00865B2E">
        <w:t>.</w:t>
      </w:r>
      <w:r>
        <w:t>避免上市后业绩迅速下降；4</w:t>
      </w:r>
      <w:r w:rsidR="00865B2E">
        <w:t>.</w:t>
      </w:r>
      <w:r>
        <w:t>满足股权激励行权条件；5</w:t>
      </w:r>
      <w:r w:rsidR="00865B2E">
        <w:t>.</w:t>
      </w:r>
      <w:r>
        <w:t>满足重组承诺的业绩条件；6</w:t>
      </w:r>
      <w:r w:rsidR="00865B2E">
        <w:t>.</w:t>
      </w:r>
      <w:r>
        <w:t>迎合市场业绩预期；7</w:t>
      </w:r>
      <w:r w:rsidR="00865B2E">
        <w:t>.</w:t>
      </w:r>
      <w:r>
        <w:t>谋求以业绩为基础的私人报酬；8</w:t>
      </w:r>
      <w:r w:rsidR="00865B2E">
        <w:t>.</w:t>
      </w:r>
      <w:r>
        <w:t>满足有关部门考核要求。</w:t>
      </w:r>
    </w:p>
    <w:p w14:paraId="35F270D5" w14:textId="77777777" w:rsidR="00882ED4" w:rsidRDefault="00882ED4" w:rsidP="00882ED4">
      <w:pPr>
        <w:pStyle w:val="13"/>
      </w:pPr>
      <w:r>
        <w:rPr>
          <w:rFonts w:hint="eastAsia"/>
        </w:rPr>
        <w:t>（二）注册会计师是否充分了解公司利润的构成及主要来源。如果存在对财务报告影响重大的政府补助，会计师事务所是否将其作为重点关注领域并安排有足够胜任能力的人员对其进行审计。</w:t>
      </w:r>
    </w:p>
    <w:p w14:paraId="0508B4E5" w14:textId="77777777" w:rsidR="00882ED4" w:rsidRDefault="00882ED4" w:rsidP="00882ED4">
      <w:pPr>
        <w:pStyle w:val="13"/>
      </w:pPr>
      <w:r>
        <w:rPr>
          <w:rFonts w:hint="eastAsia"/>
        </w:rPr>
        <w:t>（三）注册会计师是否认真检查政府补助相关文件，通常至少包括政府出具的补助文件和公司已获得相关资产的凭据。必要时，注册会计师是否查验公司申请文件、项目验收报告和重要会议纪要等相关材料，并将相关项目资料与政府文件内容进行比对。</w:t>
      </w:r>
    </w:p>
    <w:p w14:paraId="2169E6DB" w14:textId="77777777" w:rsidR="00882ED4" w:rsidRDefault="00882ED4" w:rsidP="00882ED4">
      <w:pPr>
        <w:pStyle w:val="13"/>
      </w:pPr>
      <w:r>
        <w:rPr>
          <w:rFonts w:hint="eastAsia"/>
        </w:rPr>
        <w:t>（四）注册会计师是否对政府补助的真实性保持合理怀疑态度，并考虑补助项目是否明显违背国家产业政策和相关法律法规的规定，是否存在明显不合理的情形。</w:t>
      </w:r>
    </w:p>
    <w:p w14:paraId="461A3A76" w14:textId="77777777" w:rsidR="00882ED4" w:rsidRDefault="00882ED4" w:rsidP="00882ED4">
      <w:pPr>
        <w:pStyle w:val="13"/>
      </w:pPr>
      <w:r>
        <w:rPr>
          <w:rFonts w:hint="eastAsia"/>
        </w:rPr>
        <w:t>（五）注册会计师是否按照政府补助的定义认真核对公司认定的政府补助事项、是否对补助资产的来源单位及其与政府文件规定的一致性进行查验。</w:t>
      </w:r>
    </w:p>
    <w:p w14:paraId="2A4EE9A3" w14:textId="77777777" w:rsidR="00882ED4" w:rsidRDefault="00882ED4" w:rsidP="00882ED4">
      <w:pPr>
        <w:pStyle w:val="13"/>
      </w:pPr>
      <w:r>
        <w:rPr>
          <w:rFonts w:hint="eastAsia"/>
        </w:rPr>
        <w:t>（六）注册会计师是否核对分析公司满足政府补助的确认条件并达到或者可以达到政府补助的所附条件、检查补助金额收到与否。</w:t>
      </w:r>
    </w:p>
    <w:p w14:paraId="4C385F25" w14:textId="77777777" w:rsidR="00882ED4" w:rsidRDefault="00882ED4" w:rsidP="00882ED4">
      <w:pPr>
        <w:pStyle w:val="13"/>
      </w:pPr>
      <w:r>
        <w:rPr>
          <w:rFonts w:hint="eastAsia"/>
        </w:rPr>
        <w:t>（七）注册会计师是否对公司政府补助分类的恰当性进行充分核对，尤其是核对公司认定为与收益相关的政府补助中是否存在与资产相关的成分、公司认定为难以区分的政府补助是否确实难以区分。</w:t>
      </w:r>
    </w:p>
    <w:p w14:paraId="02272F79" w14:textId="77777777" w:rsidR="00882ED4" w:rsidRDefault="00882ED4" w:rsidP="00882ED4">
      <w:pPr>
        <w:pStyle w:val="13"/>
      </w:pPr>
      <w:r>
        <w:rPr>
          <w:rFonts w:hint="eastAsia"/>
        </w:rPr>
        <w:lastRenderedPageBreak/>
        <w:t>（八）注册会计师是否充分核对公司政府补助的列报与披露的准确性、完整性，特别是核对将政府补助作为经常性损益列报的依据是否充分。</w:t>
      </w:r>
    </w:p>
    <w:p w14:paraId="366BD2C3" w14:textId="77777777" w:rsidR="00882ED4" w:rsidRDefault="00882ED4" w:rsidP="00882ED4">
      <w:pPr>
        <w:pStyle w:val="13"/>
      </w:pPr>
      <w:r>
        <w:rPr>
          <w:rFonts w:hint="eastAsia"/>
        </w:rPr>
        <w:t>（九）注册会计师是否将所执行的审计程序、分析判断过程和得出的结论完整地记录于工作底稿中。</w:t>
      </w:r>
    </w:p>
    <w:p w14:paraId="37E4D261" w14:textId="77777777" w:rsidR="00882ED4" w:rsidRDefault="00882ED4" w:rsidP="00882ED4">
      <w:pPr>
        <w:pStyle w:val="13"/>
      </w:pPr>
      <w:r>
        <w:rPr>
          <w:rFonts w:hint="eastAsia"/>
        </w:rPr>
        <w:t>（十）政府补助文件规定不明确或存在明显不合理迹象时，注册会计师是否与相关政府部门沟通或</w:t>
      </w:r>
      <w:proofErr w:type="gramStart"/>
      <w:r>
        <w:rPr>
          <w:rFonts w:hint="eastAsia"/>
        </w:rPr>
        <w:t>执行函证程序</w:t>
      </w:r>
      <w:proofErr w:type="gramEnd"/>
      <w:r>
        <w:rPr>
          <w:rFonts w:hint="eastAsia"/>
        </w:rPr>
        <w:t>，或在必要时聘请律师或其他外部专家提供意见。</w:t>
      </w:r>
    </w:p>
    <w:p w14:paraId="119857BA" w14:textId="6B057C6D" w:rsidR="00882ED4" w:rsidRPr="00882ED4" w:rsidRDefault="00865B2E" w:rsidP="00865B2E">
      <w:pPr>
        <w:pStyle w:val="31"/>
        <w:spacing w:before="156" w:after="62"/>
      </w:pPr>
      <w:bookmarkStart w:id="88" w:name="_Toc81833351"/>
      <w:r w:rsidRPr="00865B2E">
        <w:rPr>
          <w:rFonts w:hint="eastAsia"/>
        </w:rPr>
        <w:t>会计监管风险提示第</w:t>
      </w:r>
      <w:r w:rsidRPr="00865B2E">
        <w:t>2号</w:t>
      </w:r>
      <w:proofErr w:type="gramStart"/>
      <w:r w:rsidRPr="00865B2E">
        <w:t>—通过</w:t>
      </w:r>
      <w:proofErr w:type="gramEnd"/>
      <w:r w:rsidRPr="00865B2E">
        <w:t>未披露关联方实施的舞弊风险</w:t>
      </w:r>
      <w:bookmarkEnd w:id="88"/>
    </w:p>
    <w:p w14:paraId="6B5FC804" w14:textId="77777777" w:rsidR="00865B2E" w:rsidRDefault="00865B2E" w:rsidP="00865B2E">
      <w:pPr>
        <w:pStyle w:val="13"/>
      </w:pPr>
      <w:r>
        <w:rPr>
          <w:rFonts w:hint="eastAsia"/>
        </w:rPr>
        <w:t>近年来，资本市场的财务报表舞弊案件涉及管理层未识别出或未向注册会计师披露的关联方关系及其交易的情况呈增长趋势。由于未披露关联方关系或交易大都经过精心策划或蓄意隐瞒，注册会计师往往难以识别和认定。通过未披露关联方实施的舞弊已成为注册会计师执业面临的主要审计风险之一，也是会计监管工作中应重点关注的风险领域之一。现对通过未披露关联方实施舞弊的常见形式、主要特征及其会计监管风险进行提示。</w:t>
      </w:r>
    </w:p>
    <w:p w14:paraId="30C83A6E" w14:textId="77777777" w:rsidR="00865B2E" w:rsidRDefault="00865B2E" w:rsidP="00865B2E">
      <w:pPr>
        <w:pStyle w:val="ab"/>
        <w:spacing w:before="62" w:after="62"/>
        <w:ind w:firstLine="482"/>
      </w:pPr>
      <w:r>
        <w:rPr>
          <w:rFonts w:hint="eastAsia"/>
        </w:rPr>
        <w:t>一、通过未披露关联方舞弊的常见形式和主要特征</w:t>
      </w:r>
    </w:p>
    <w:p w14:paraId="367309E5" w14:textId="77777777" w:rsidR="00865B2E" w:rsidRDefault="00865B2E" w:rsidP="00865B2E">
      <w:pPr>
        <w:pStyle w:val="13"/>
      </w:pPr>
      <w:r>
        <w:rPr>
          <w:rFonts w:hint="eastAsia"/>
        </w:rPr>
        <w:t>（一）通过未披露关联方舞弊的常见形式</w:t>
      </w:r>
    </w:p>
    <w:p w14:paraId="5E7BAC3E" w14:textId="77777777" w:rsidR="00865B2E" w:rsidRDefault="00865B2E" w:rsidP="00865B2E">
      <w:pPr>
        <w:pStyle w:val="13"/>
      </w:pPr>
      <w:r>
        <w:rPr>
          <w:rFonts w:hint="eastAsia"/>
        </w:rPr>
        <w:t>上市公司及拟上市公司通过未披露关联方实施的舞弊主要有以下几种常见形式：</w:t>
      </w:r>
    </w:p>
    <w:p w14:paraId="104E3686" w14:textId="45510584" w:rsidR="00865B2E" w:rsidRDefault="00865B2E" w:rsidP="00865B2E">
      <w:pPr>
        <w:pStyle w:val="13"/>
      </w:pPr>
      <w:r>
        <w:t>1.以显失公允的价格与未披露关联方之间进行交易。例如，以明显异常于其他客户的价格向未披露关联</w:t>
      </w:r>
      <w:proofErr w:type="gramStart"/>
      <w:r>
        <w:t>方销售</w:t>
      </w:r>
      <w:proofErr w:type="gramEnd"/>
      <w:r>
        <w:t>商品或以明显异常于其他供应商的价格从未披露关联方采购商品；以明显异常于市场的价格向未披露关联方出售资产、股权等。</w:t>
      </w:r>
    </w:p>
    <w:p w14:paraId="2ACF08BD" w14:textId="43E6A230" w:rsidR="00865B2E" w:rsidRDefault="00865B2E" w:rsidP="00865B2E">
      <w:pPr>
        <w:pStyle w:val="13"/>
      </w:pPr>
      <w:r>
        <w:t>2.利用与未披露关联方之间的资金循环虚构交易。例如，公司通过分别控制客户和供应商，一方面伪造销售采购合同、收发货记录虚构交易，另一方面由所控制的客户向公司付款，公司向所控制的供应商付款，所控制的客户和供应商再通过交易形成资金往来，从而完成虚构交易。</w:t>
      </w:r>
    </w:p>
    <w:p w14:paraId="7E387C0A" w14:textId="5FFB3797" w:rsidR="00865B2E" w:rsidRDefault="00865B2E" w:rsidP="00865B2E">
      <w:pPr>
        <w:pStyle w:val="13"/>
      </w:pPr>
      <w:r>
        <w:t>3.利用未披露关联方分担公司成本费用。例如，由未披露关联方向公司无偿提供资金使用或由其招聘员工无偿为公司提供劳务；通过第三方直接开票给未披露关联方来承担公司成本费用等。</w:t>
      </w:r>
    </w:p>
    <w:p w14:paraId="64B54A94" w14:textId="1BA64C4F" w:rsidR="00865B2E" w:rsidRDefault="00865B2E" w:rsidP="00865B2E">
      <w:pPr>
        <w:pStyle w:val="13"/>
      </w:pPr>
      <w:r>
        <w:t>4.接受未披露关联方的捐赠。例如，未披露关联方向公司直接捐赠资金或实物资产；未披露关联方豁免公司欠款，公司将应付该关联方的款项作为无法支付款项计入当期损益等。</w:t>
      </w:r>
    </w:p>
    <w:p w14:paraId="4C9571D0" w14:textId="4BFB6669" w:rsidR="00865B2E" w:rsidRDefault="00865B2E" w:rsidP="00865B2E">
      <w:pPr>
        <w:pStyle w:val="13"/>
      </w:pPr>
      <w:r>
        <w:t>5.利用未披露关联方占用公司的资金。例如，以预付账款形式向未披露关联方支付</w:t>
      </w:r>
      <w:proofErr w:type="gramStart"/>
      <w:r>
        <w:t>采购款</w:t>
      </w:r>
      <w:proofErr w:type="gramEnd"/>
      <w:r>
        <w:t>而长期不进行结算。</w:t>
      </w:r>
    </w:p>
    <w:p w14:paraId="482D647E" w14:textId="77777777" w:rsidR="00865B2E" w:rsidRDefault="00865B2E" w:rsidP="00865B2E">
      <w:pPr>
        <w:pStyle w:val="13"/>
      </w:pPr>
      <w:r>
        <w:rPr>
          <w:rFonts w:hint="eastAsia"/>
        </w:rPr>
        <w:t>（二）未披露关联方关系的主要特征</w:t>
      </w:r>
    </w:p>
    <w:p w14:paraId="78D309F3" w14:textId="77777777" w:rsidR="00865B2E" w:rsidRDefault="00865B2E" w:rsidP="00865B2E">
      <w:pPr>
        <w:pStyle w:val="13"/>
      </w:pPr>
      <w:r>
        <w:rPr>
          <w:rFonts w:hint="eastAsia"/>
        </w:rPr>
        <w:t>未披露关联方关系通常具有以下一项或几项特征：</w:t>
      </w:r>
    </w:p>
    <w:p w14:paraId="33DDF6BD" w14:textId="0E38D9AC" w:rsidR="00865B2E" w:rsidRDefault="00865B2E" w:rsidP="00865B2E">
      <w:pPr>
        <w:pStyle w:val="13"/>
      </w:pPr>
      <w:r>
        <w:lastRenderedPageBreak/>
        <w:t>1.交易对方曾经与公司或其主要控制人、关键管理人员等存在关联关系。</w:t>
      </w:r>
    </w:p>
    <w:p w14:paraId="37B7BFB7" w14:textId="38E4BA6F" w:rsidR="00865B2E" w:rsidRDefault="00865B2E" w:rsidP="00865B2E">
      <w:pPr>
        <w:pStyle w:val="13"/>
      </w:pPr>
      <w:r>
        <w:t>2.交易对方注册地址或办公地址与公司或其集团成员在同一地点或接近。</w:t>
      </w:r>
    </w:p>
    <w:p w14:paraId="5B18E3F4" w14:textId="2521A709" w:rsidR="00865B2E" w:rsidRDefault="00865B2E" w:rsidP="00865B2E">
      <w:pPr>
        <w:pStyle w:val="13"/>
      </w:pPr>
      <w:r>
        <w:t>3.交易对方网站地址或其IP地址、邮箱域名等与公司或其集团成员相同或接近。</w:t>
      </w:r>
    </w:p>
    <w:p w14:paraId="144C24BB" w14:textId="1E5E2514" w:rsidR="00865B2E" w:rsidRDefault="00865B2E" w:rsidP="00865B2E">
      <w:pPr>
        <w:pStyle w:val="13"/>
      </w:pPr>
      <w:r>
        <w:t>4.交易对方名称与公司或其集团成员名称相似。</w:t>
      </w:r>
    </w:p>
    <w:p w14:paraId="075DDF73" w14:textId="3998F548" w:rsidR="00865B2E" w:rsidRDefault="00865B2E" w:rsidP="00865B2E">
      <w:pPr>
        <w:pStyle w:val="13"/>
      </w:pPr>
      <w:r>
        <w:t>5.交易对方主要控制人、关键管理人员或购销等关键环节的员工姓名结构与公司管理层相近。</w:t>
      </w:r>
    </w:p>
    <w:p w14:paraId="5D012235" w14:textId="641771C6" w:rsidR="00865B2E" w:rsidRDefault="00865B2E" w:rsidP="00865B2E">
      <w:pPr>
        <w:pStyle w:val="13"/>
      </w:pPr>
      <w:r>
        <w:t>6.交易对方和公司之间的交易与其经营范围不相关。</w:t>
      </w:r>
    </w:p>
    <w:p w14:paraId="440B20E1" w14:textId="01E6AAED" w:rsidR="00865B2E" w:rsidRDefault="00865B2E" w:rsidP="00865B2E">
      <w:pPr>
        <w:pStyle w:val="13"/>
      </w:pPr>
      <w:r>
        <w:t>7.互联网难以检索到交易对方的相关资料。</w:t>
      </w:r>
    </w:p>
    <w:p w14:paraId="67BEEEA2" w14:textId="42B6565B" w:rsidR="00865B2E" w:rsidRDefault="00865B2E" w:rsidP="00865B2E">
      <w:pPr>
        <w:pStyle w:val="13"/>
      </w:pPr>
      <w:r>
        <w:t>8.交易对方长期拖欠公司款项，但公司仍继续与其交易。</w:t>
      </w:r>
    </w:p>
    <w:p w14:paraId="7BB45FE9" w14:textId="07C702C8" w:rsidR="00865B2E" w:rsidRDefault="00865B2E" w:rsidP="00865B2E">
      <w:pPr>
        <w:pStyle w:val="13"/>
      </w:pPr>
      <w:r>
        <w:t>9.交易对方是当年新增的重要客户或重要供应商。</w:t>
      </w:r>
    </w:p>
    <w:p w14:paraId="449169E3" w14:textId="77777777" w:rsidR="00865B2E" w:rsidRDefault="00865B2E" w:rsidP="00865B2E">
      <w:pPr>
        <w:pStyle w:val="13"/>
      </w:pPr>
      <w:r>
        <w:rPr>
          <w:rFonts w:hint="eastAsia"/>
        </w:rPr>
        <w:t>（三）未披露关联方交易的主要特征</w:t>
      </w:r>
    </w:p>
    <w:p w14:paraId="7A501BA6" w14:textId="77777777" w:rsidR="00865B2E" w:rsidRDefault="00865B2E" w:rsidP="00865B2E">
      <w:pPr>
        <w:pStyle w:val="13"/>
      </w:pPr>
      <w:r>
        <w:rPr>
          <w:rFonts w:hint="eastAsia"/>
        </w:rPr>
        <w:t>识别未披露关联方交易是注册会计师识别未披露关联方关系的一个重要途径，未披露关联方交易通常具有以下一项或多项特征：</w:t>
      </w:r>
    </w:p>
    <w:p w14:paraId="66AF5A26" w14:textId="578F7899" w:rsidR="00865B2E" w:rsidRDefault="00865B2E" w:rsidP="00865B2E">
      <w:pPr>
        <w:pStyle w:val="13"/>
      </w:pPr>
      <w:r>
        <w:t>1.交易金额通常较大，为公司带来大额利润。</w:t>
      </w:r>
    </w:p>
    <w:p w14:paraId="71387FD8" w14:textId="793CCB67" w:rsidR="00865B2E" w:rsidRDefault="00865B2E" w:rsidP="00865B2E">
      <w:pPr>
        <w:pStyle w:val="13"/>
      </w:pPr>
      <w:r>
        <w:t>2.交易时间往往接近资产负债表日，发生频次较少。</w:t>
      </w:r>
    </w:p>
    <w:p w14:paraId="13A5EA5F" w14:textId="35CF4D06" w:rsidR="00865B2E" w:rsidRDefault="00865B2E" w:rsidP="00865B2E">
      <w:pPr>
        <w:pStyle w:val="13"/>
      </w:pPr>
      <w:r>
        <w:t>3.交易价格、交付方式及付款条件等商业条款往往与其他正常客户明显不同。</w:t>
      </w:r>
    </w:p>
    <w:p w14:paraId="7553DEE1" w14:textId="38F4DD4F" w:rsidR="00865B2E" w:rsidRDefault="00865B2E" w:rsidP="00865B2E">
      <w:pPr>
        <w:pStyle w:val="13"/>
      </w:pPr>
      <w:r>
        <w:t>4.交易一般不通过银行转账结算，而是采用现金交易或多方债权债务</w:t>
      </w:r>
      <w:proofErr w:type="gramStart"/>
      <w:r>
        <w:t>抵销</w:t>
      </w:r>
      <w:proofErr w:type="gramEnd"/>
      <w:r>
        <w:t>方式结算。</w:t>
      </w:r>
    </w:p>
    <w:p w14:paraId="15AE1CC0" w14:textId="7BFADEF6" w:rsidR="00865B2E" w:rsidRDefault="00865B2E" w:rsidP="00865B2E">
      <w:pPr>
        <w:pStyle w:val="13"/>
      </w:pPr>
      <w:r>
        <w:t>5.付款人与销售合同、发票所显示的客户名称不一致。</w:t>
      </w:r>
    </w:p>
    <w:p w14:paraId="19C96237" w14:textId="12F7C946" w:rsidR="00865B2E" w:rsidRDefault="00865B2E" w:rsidP="00865B2E">
      <w:pPr>
        <w:pStyle w:val="13"/>
      </w:pPr>
      <w:r>
        <w:t>6.与自然人发生的大额交易。</w:t>
      </w:r>
    </w:p>
    <w:p w14:paraId="1714C365" w14:textId="2D2F8828" w:rsidR="00865B2E" w:rsidRDefault="00865B2E" w:rsidP="00865B2E">
      <w:pPr>
        <w:pStyle w:val="13"/>
      </w:pPr>
      <w:r>
        <w:t>7.与同一客户或其关联公司同时发生销售和采购业务。</w:t>
      </w:r>
    </w:p>
    <w:p w14:paraId="08F29CDF" w14:textId="4292DE2A" w:rsidR="00865B2E" w:rsidRDefault="00865B2E" w:rsidP="00865B2E">
      <w:pPr>
        <w:pStyle w:val="13"/>
      </w:pPr>
      <w:r>
        <w:t>8.交易对象与交易对方的经营范围明显不符。</w:t>
      </w:r>
    </w:p>
    <w:p w14:paraId="5A5356B6" w14:textId="1CD07A3B" w:rsidR="00865B2E" w:rsidRDefault="00865B2E" w:rsidP="00865B2E">
      <w:pPr>
        <w:pStyle w:val="13"/>
      </w:pPr>
      <w:r>
        <w:t>9.交易规模与交易对方业务规模明显不符。</w:t>
      </w:r>
    </w:p>
    <w:p w14:paraId="0B2B5C15" w14:textId="38375AAA" w:rsidR="00865B2E" w:rsidRDefault="00865B2E" w:rsidP="00865B2E">
      <w:pPr>
        <w:pStyle w:val="13"/>
      </w:pPr>
      <w:r>
        <w:t>10.合同条款明显不符合商业惯例或形式要件不齐备。</w:t>
      </w:r>
    </w:p>
    <w:p w14:paraId="3647CB40" w14:textId="4FAE2BBA" w:rsidR="00865B2E" w:rsidRDefault="00865B2E" w:rsidP="00865B2E">
      <w:pPr>
        <w:pStyle w:val="13"/>
      </w:pPr>
      <w:r>
        <w:t>11.实际履行情况与合同约定明显不符，如未按约定日期发货或未按结算期付款。</w:t>
      </w:r>
    </w:p>
    <w:p w14:paraId="57388232" w14:textId="402CD6B0" w:rsidR="00865B2E" w:rsidRDefault="00865B2E" w:rsidP="00865B2E">
      <w:pPr>
        <w:pStyle w:val="13"/>
      </w:pPr>
      <w:r>
        <w:t>12.交易形成的款项长期以债权债务形式存在，购销货款久拖不结。</w:t>
      </w:r>
    </w:p>
    <w:p w14:paraId="29CD2B89" w14:textId="6EBCA55F" w:rsidR="00865B2E" w:rsidRDefault="00865B2E" w:rsidP="00865B2E">
      <w:pPr>
        <w:pStyle w:val="13"/>
      </w:pPr>
      <w:r>
        <w:t>13.其他商业理由明显不充分的交易。</w:t>
      </w:r>
    </w:p>
    <w:p w14:paraId="467560E7" w14:textId="77777777" w:rsidR="00865B2E" w:rsidRDefault="00865B2E" w:rsidP="00865B2E">
      <w:pPr>
        <w:pStyle w:val="ab"/>
        <w:spacing w:before="62" w:after="62"/>
        <w:ind w:firstLine="482"/>
      </w:pPr>
      <w:r>
        <w:rPr>
          <w:rFonts w:hint="eastAsia"/>
        </w:rPr>
        <w:t>二、审计的常见问题</w:t>
      </w:r>
    </w:p>
    <w:p w14:paraId="1F2655A7" w14:textId="77777777" w:rsidR="00865B2E" w:rsidRDefault="00865B2E" w:rsidP="00865B2E">
      <w:pPr>
        <w:pStyle w:val="13"/>
      </w:pPr>
      <w:r>
        <w:rPr>
          <w:rFonts w:hint="eastAsia"/>
        </w:rPr>
        <w:t>会计监管中，注册会计师在审计中存在的以下问题，可能导致其无法有效防范通过未披露关联方实施舞弊的审计风险：</w:t>
      </w:r>
    </w:p>
    <w:p w14:paraId="4224FF1C" w14:textId="77777777" w:rsidR="00865B2E" w:rsidRDefault="00865B2E" w:rsidP="00865B2E">
      <w:pPr>
        <w:pStyle w:val="13"/>
      </w:pPr>
      <w:r>
        <w:rPr>
          <w:rFonts w:hint="eastAsia"/>
        </w:rPr>
        <w:t>（一）风险评估程序执行不到位。一是不进行舞弊风险评估，例如不分析实施舞弊的动机或压力等风险因素；二是不更新对公司及其环境的了解和评估，尤其不关注与关联方及其交易的内部控制的设计及运行情况；三是不重视对公司内部控制有效性的评估。</w:t>
      </w:r>
    </w:p>
    <w:p w14:paraId="761131E2" w14:textId="77777777" w:rsidR="00865B2E" w:rsidRDefault="00865B2E" w:rsidP="00865B2E">
      <w:pPr>
        <w:pStyle w:val="13"/>
      </w:pPr>
      <w:r>
        <w:rPr>
          <w:rFonts w:hint="eastAsia"/>
        </w:rPr>
        <w:lastRenderedPageBreak/>
        <w:t>（二）分析程序流于形式。一是不重视分析财务数据与非财务数据之间的关系；二是对于识别出的异常或偏离预期的关系不进行调查或简单认可管理层的解释；三是会计师较少设定独立的预期。</w:t>
      </w:r>
    </w:p>
    <w:p w14:paraId="61F3B5C6" w14:textId="77777777" w:rsidR="00865B2E" w:rsidRDefault="00865B2E" w:rsidP="00865B2E">
      <w:pPr>
        <w:pStyle w:val="13"/>
      </w:pPr>
      <w:r>
        <w:rPr>
          <w:rFonts w:hint="eastAsia"/>
        </w:rPr>
        <w:t>（三）关联方识别程序缺失。一是未向管理层或内部其他人员询问有关关联方的信息；二是未通过检查重要会议纪要等方式识别未披露关联方；三是对异常交易关注不足，未采取有效措施核实异常交易的对手方是否是未披露关联方。</w:t>
      </w:r>
    </w:p>
    <w:p w14:paraId="2B62CD93" w14:textId="77777777" w:rsidR="00865B2E" w:rsidRDefault="00865B2E" w:rsidP="00865B2E">
      <w:pPr>
        <w:pStyle w:val="13"/>
      </w:pPr>
      <w:r>
        <w:rPr>
          <w:rFonts w:hint="eastAsia"/>
        </w:rPr>
        <w:t>（四）其他重要审计程序不到位。一是</w:t>
      </w:r>
      <w:proofErr w:type="gramStart"/>
      <w:r>
        <w:rPr>
          <w:rFonts w:hint="eastAsia"/>
        </w:rPr>
        <w:t>函证程序</w:t>
      </w:r>
      <w:proofErr w:type="gramEnd"/>
      <w:r>
        <w:rPr>
          <w:rFonts w:hint="eastAsia"/>
        </w:rPr>
        <w:t>不到位，未能通过</w:t>
      </w:r>
      <w:proofErr w:type="gramStart"/>
      <w:r>
        <w:rPr>
          <w:rFonts w:hint="eastAsia"/>
        </w:rPr>
        <w:t>函证程序</w:t>
      </w:r>
      <w:proofErr w:type="gramEnd"/>
      <w:r>
        <w:rPr>
          <w:rFonts w:hint="eastAsia"/>
        </w:rPr>
        <w:t>发现资金、交易往来等通过未披露关联方实施舞弊的线索；二是对</w:t>
      </w:r>
      <w:proofErr w:type="gramStart"/>
      <w:r>
        <w:rPr>
          <w:rFonts w:hint="eastAsia"/>
        </w:rPr>
        <w:t>存货监盘程序</w:t>
      </w:r>
      <w:proofErr w:type="gramEnd"/>
      <w:r>
        <w:rPr>
          <w:rFonts w:hint="eastAsia"/>
        </w:rPr>
        <w:t>不到位，未能有效利用收入、成本和期末库存之间的关系识别通过未披露关联方实施的虚假购销业务；三是不注重利用专家的工作，特别是对某些交易存在重大疑虑时未考虑利用专家的工作以识别未披露的关联方。</w:t>
      </w:r>
    </w:p>
    <w:p w14:paraId="1539DA8F" w14:textId="77777777" w:rsidR="00865B2E" w:rsidRDefault="00865B2E" w:rsidP="00865B2E">
      <w:pPr>
        <w:pStyle w:val="ab"/>
        <w:spacing w:before="62" w:after="62"/>
        <w:ind w:firstLine="482"/>
      </w:pPr>
      <w:r>
        <w:rPr>
          <w:rFonts w:hint="eastAsia"/>
        </w:rPr>
        <w:t>三、会计监管关注事项</w:t>
      </w:r>
    </w:p>
    <w:p w14:paraId="0CD2F944" w14:textId="77777777" w:rsidR="00865B2E" w:rsidRDefault="00865B2E" w:rsidP="00865B2E">
      <w:pPr>
        <w:pStyle w:val="13"/>
      </w:pPr>
      <w:r>
        <w:rPr>
          <w:rFonts w:hint="eastAsia"/>
        </w:rPr>
        <w:t>会计监管中，对于关联方及其交易相关问题，应当关注并督促注册会计师采取相应措施，防范通过未披露关联方实施的舞弊风险：</w:t>
      </w:r>
    </w:p>
    <w:p w14:paraId="7366637E" w14:textId="60B9D697" w:rsidR="00865B2E" w:rsidRDefault="00865B2E" w:rsidP="00865B2E">
      <w:pPr>
        <w:pStyle w:val="13"/>
      </w:pPr>
      <w:r>
        <w:rPr>
          <w:rFonts w:hint="eastAsia"/>
        </w:rPr>
        <w:t>（一）分析舞弊动机。注册会计师是否对公司以下舞弊动机进行重点分析，充分评估公司舞弊风险：</w:t>
      </w:r>
      <w:r>
        <w:t>1.避免被特别处理或退市；2.满足融资业绩条件；3.避免上市后业绩迅速下降；4.满足股权激励行权条件；5.满足重组承诺的业绩条件；6.迎合市场业绩预期；7.谋求以业绩为基础的私人报酬；8.满足有关部门的考核要求。</w:t>
      </w:r>
    </w:p>
    <w:p w14:paraId="3D690605" w14:textId="77777777" w:rsidR="00865B2E" w:rsidRDefault="00865B2E" w:rsidP="00865B2E">
      <w:pPr>
        <w:pStyle w:val="13"/>
      </w:pPr>
      <w:r>
        <w:rPr>
          <w:rFonts w:hint="eastAsia"/>
        </w:rPr>
        <w:t>（二）了解并评价内部控制。注册会计师是否了解公司识别、记录、汇总和披露关联方的内部控制，评估其设计合理性，测试其运行有效性，并充分关注是否存在管理层凌驾于内部控制之上而导致的重大错报风险。</w:t>
      </w:r>
    </w:p>
    <w:p w14:paraId="2B3811AB" w14:textId="77777777" w:rsidR="00865B2E" w:rsidRDefault="00865B2E" w:rsidP="00865B2E">
      <w:pPr>
        <w:pStyle w:val="13"/>
      </w:pPr>
      <w:r>
        <w:rPr>
          <w:rFonts w:hint="eastAsia"/>
        </w:rPr>
        <w:t>（三）执行分析程序。注册会计师是否重视分析程序在识别收入舞弊中的作用，加强对产能、水电能耗、劳动生产率等非财务信息和财务数据之间关系的分析，注重收入与现金流匹配情况的分析；是否分析公司的重要财务信息指标与同行业其他公司的显著差异。若分析发现异常波动或偏离预期，是否认真调查原因。</w:t>
      </w:r>
    </w:p>
    <w:p w14:paraId="2BFF9EBB" w14:textId="77777777" w:rsidR="00865B2E" w:rsidRDefault="00865B2E" w:rsidP="00865B2E">
      <w:pPr>
        <w:pStyle w:val="13"/>
      </w:pPr>
      <w:r>
        <w:rPr>
          <w:rFonts w:hint="eastAsia"/>
        </w:rPr>
        <w:t>（四）关注重大异常交易。在整个审计过程中注册会计师是否保持合理的职业怀疑态度，重点关注重大交易是否具备未披露关联方交易的特征，考虑该交易是否属于利用未披露关联方实施舞弊的常见形式。此外，在询问管理层或检查相关文件时是否特别关注不一致的信息，并将重大异常交易的有关信息和项目组其他成员分享。</w:t>
      </w:r>
    </w:p>
    <w:p w14:paraId="2BE5E7AA" w14:textId="77777777" w:rsidR="00865B2E" w:rsidRDefault="00865B2E" w:rsidP="00865B2E">
      <w:pPr>
        <w:pStyle w:val="13"/>
      </w:pPr>
      <w:r>
        <w:rPr>
          <w:rFonts w:hint="eastAsia"/>
        </w:rPr>
        <w:t>（五）进一步核实未披露关联方关系。如果存在未披露关联方迹象，注册会计师是否恰当采取以下措施进一步核实未披露关联方关系的存在性：调查重要交易对方的背景信息，如股东情况、关键管理人员、业务规模和办公地址等信息；询问直接参与交易的基层员工交易对方是否与公司存在不寻常的关系；对存在疑虑的重要客户及供应商进行实地走访；查询互联网或外部商业数据库。必要时注册会计师是否考虑</w:t>
      </w:r>
      <w:r>
        <w:rPr>
          <w:rFonts w:hint="eastAsia"/>
        </w:rPr>
        <w:lastRenderedPageBreak/>
        <w:t>聘请信用调查机构或律师协助调取工商资料。</w:t>
      </w:r>
    </w:p>
    <w:p w14:paraId="321AD017" w14:textId="77777777" w:rsidR="00865B2E" w:rsidRDefault="00865B2E" w:rsidP="00865B2E">
      <w:pPr>
        <w:pStyle w:val="13"/>
      </w:pPr>
      <w:r>
        <w:rPr>
          <w:rFonts w:hint="eastAsia"/>
        </w:rPr>
        <w:t>（六）进一步核实未披露关联方交易。如果存在未披露关联方交易迹象，注册会计师是否恰当采取以下措施进一步核实未披露关联方交易的存在性：查验已记录的大额资金往来，关注资金往来是否有真实的商业背景；检查银行对账单和大额现金交易，关注是否存在</w:t>
      </w:r>
      <w:proofErr w:type="gramStart"/>
      <w:r>
        <w:rPr>
          <w:rFonts w:hint="eastAsia"/>
        </w:rPr>
        <w:t>异常资金</w:t>
      </w:r>
      <w:proofErr w:type="gramEnd"/>
      <w:r>
        <w:rPr>
          <w:rFonts w:hint="eastAsia"/>
        </w:rPr>
        <w:t>流动；向重要股东和关键管理</w:t>
      </w:r>
      <w:proofErr w:type="gramStart"/>
      <w:r>
        <w:rPr>
          <w:rFonts w:hint="eastAsia"/>
        </w:rPr>
        <w:t>人员函证以</w:t>
      </w:r>
      <w:proofErr w:type="gramEnd"/>
      <w:r>
        <w:rPr>
          <w:rFonts w:hint="eastAsia"/>
        </w:rPr>
        <w:t>确认是否存在尚未识别的关联方关系及其交易。</w:t>
      </w:r>
    </w:p>
    <w:p w14:paraId="2C9EFA84" w14:textId="77777777" w:rsidR="00865B2E" w:rsidRDefault="00865B2E" w:rsidP="00865B2E">
      <w:pPr>
        <w:pStyle w:val="13"/>
      </w:pPr>
      <w:r>
        <w:rPr>
          <w:rFonts w:hint="eastAsia"/>
        </w:rPr>
        <w:t>（七）核查实物资产。以虚增利润为目的的舞弊往往造成实物资产的虚增，注册会计师是否重视对实物资产的核查，尤其是否严格</w:t>
      </w:r>
      <w:proofErr w:type="gramStart"/>
      <w:r>
        <w:rPr>
          <w:rFonts w:hint="eastAsia"/>
        </w:rPr>
        <w:t>履行监盘程序</w:t>
      </w:r>
      <w:proofErr w:type="gramEnd"/>
      <w:r>
        <w:rPr>
          <w:rFonts w:hint="eastAsia"/>
        </w:rPr>
        <w:t>。注册会计师是否认真了解公司的存货存放位置和</w:t>
      </w:r>
      <w:proofErr w:type="gramStart"/>
      <w:r>
        <w:rPr>
          <w:rFonts w:hint="eastAsia"/>
        </w:rPr>
        <w:t>监盘</w:t>
      </w:r>
      <w:proofErr w:type="gramEnd"/>
      <w:r>
        <w:rPr>
          <w:rFonts w:hint="eastAsia"/>
        </w:rPr>
        <w:t>计划，关注由于性质、位置无法</w:t>
      </w:r>
      <w:proofErr w:type="gramStart"/>
      <w:r>
        <w:rPr>
          <w:rFonts w:hint="eastAsia"/>
        </w:rPr>
        <w:t>实施监盘的</w:t>
      </w:r>
      <w:proofErr w:type="gramEnd"/>
      <w:r>
        <w:rPr>
          <w:rFonts w:hint="eastAsia"/>
        </w:rPr>
        <w:t>存货是否确实无法监盘，管理层如何确认存货的数量和状态，并实施充分的替代审计程序。</w:t>
      </w:r>
    </w:p>
    <w:p w14:paraId="309212BD" w14:textId="546A3669" w:rsidR="00882ED4" w:rsidRDefault="00865B2E" w:rsidP="00865B2E">
      <w:pPr>
        <w:pStyle w:val="13"/>
      </w:pPr>
      <w:r>
        <w:t>（八）重视与有关各方的沟通。注册会计师在公司审计中如果识别出舞弊或怀疑存在舞弊，是否与公司治理层及时沟通，并考虑征询法律意见，同时根据法律法规的要求，确定是否向监管机构报告重大舞弊。</w:t>
      </w:r>
    </w:p>
    <w:p w14:paraId="14041223" w14:textId="0006431D" w:rsidR="00865B2E" w:rsidRDefault="00865B2E" w:rsidP="00865B2E">
      <w:pPr>
        <w:pStyle w:val="31"/>
        <w:spacing w:before="156" w:after="62"/>
      </w:pPr>
      <w:bookmarkStart w:id="89" w:name="_Toc81833352"/>
      <w:r w:rsidRPr="00865B2E">
        <w:rPr>
          <w:rFonts w:hint="eastAsia"/>
        </w:rPr>
        <w:t>会计监管风险提示第</w:t>
      </w:r>
      <w:r w:rsidRPr="00865B2E">
        <w:t>3号—审计项目复核</w:t>
      </w:r>
      <w:bookmarkEnd w:id="89"/>
    </w:p>
    <w:p w14:paraId="12E4F3E4" w14:textId="77777777" w:rsidR="00865B2E" w:rsidRDefault="00865B2E" w:rsidP="00865B2E">
      <w:pPr>
        <w:pStyle w:val="13"/>
      </w:pPr>
      <w:r>
        <w:rPr>
          <w:rFonts w:hint="eastAsia"/>
        </w:rPr>
        <w:t>复核是控制项目审计质量的重要手段。在审计实务中，存在复核制度设计不合理、执行流于形式的情况，未能发现审计中存在的重大问题，未将审计风险降低至可接受的较低水平。在会计监管工作中应高度重视审计项目复核相关问题，督促会计师事务所进一步提高复核质量。现对与复核相关的质量控制政策和程序及会计监管风险进行提示。</w:t>
      </w:r>
    </w:p>
    <w:p w14:paraId="1A317387" w14:textId="77777777" w:rsidR="00865B2E" w:rsidRDefault="00865B2E" w:rsidP="00865B2E">
      <w:pPr>
        <w:pStyle w:val="ab"/>
        <w:spacing w:before="62" w:after="62"/>
        <w:ind w:firstLine="482"/>
      </w:pPr>
      <w:r>
        <w:rPr>
          <w:rFonts w:hint="eastAsia"/>
        </w:rPr>
        <w:t>一、复核政策和程序</w:t>
      </w:r>
    </w:p>
    <w:p w14:paraId="3B92650E" w14:textId="77777777" w:rsidR="00865B2E" w:rsidRDefault="00865B2E" w:rsidP="00865B2E">
      <w:pPr>
        <w:pStyle w:val="13"/>
      </w:pPr>
      <w:r>
        <w:rPr>
          <w:rFonts w:hint="eastAsia"/>
        </w:rPr>
        <w:t>按照《中国注册会计师执业准则》的规定，会计师事务所应当结合自身组织架构特点和质量控制体系建设需要，强化分所在内的统一质量控制管理，制定包括复核在内的质量控制政策和程序，明确现场负责人、项目合伙人及项目质量控制复核人员等各级复核人员的复核重点、范围及复核责任。复核工作包括项目组内部复核和独立于项目组的项目质量控制复核。项目的总体质量由项目合伙人负责。</w:t>
      </w:r>
    </w:p>
    <w:p w14:paraId="5BD61ABC" w14:textId="77777777" w:rsidR="00865B2E" w:rsidRDefault="00865B2E" w:rsidP="00865B2E">
      <w:pPr>
        <w:pStyle w:val="13"/>
      </w:pPr>
      <w:r>
        <w:rPr>
          <w:rFonts w:hint="eastAsia"/>
        </w:rPr>
        <w:t>复核工作应当按照经验较丰富的人员对经验较少人员的工作进行复核的原则进行，分别由具备专业胜任能力的不同级别人员对审计项目开展内部复核和项目质量控制复核。项目质量控制复核人员选拔与设置也应满足经验较丰富人员对经验较少人员的工作进行复核的原则。复核工作应当围绕审计工作底稿和审计报告等重点内容展开，确保审计工作记录真实、完整，财务报表合</w:t>
      </w:r>
      <w:proofErr w:type="gramStart"/>
      <w:r>
        <w:rPr>
          <w:rFonts w:hint="eastAsia"/>
        </w:rPr>
        <w:t>规</w:t>
      </w:r>
      <w:proofErr w:type="gramEnd"/>
      <w:r>
        <w:rPr>
          <w:rFonts w:hint="eastAsia"/>
        </w:rPr>
        <w:t>且公允反映，审计结论恰当并具备充分、适当的证据基础。</w:t>
      </w:r>
    </w:p>
    <w:p w14:paraId="25938113" w14:textId="77777777" w:rsidR="00865B2E" w:rsidRDefault="00865B2E" w:rsidP="00865B2E">
      <w:pPr>
        <w:pStyle w:val="13"/>
      </w:pPr>
      <w:r>
        <w:rPr>
          <w:rFonts w:hint="eastAsia"/>
        </w:rPr>
        <w:t>在对会计师事务所内部质量控制实施监管时，应重点关注会计师事务所是否建立健全有效的复核政策和充分履行适当的复核程序。会计师事务所复核工作至少包</w:t>
      </w:r>
      <w:r>
        <w:rPr>
          <w:rFonts w:hint="eastAsia"/>
        </w:rPr>
        <w:lastRenderedPageBreak/>
        <w:t>括以下要素：</w:t>
      </w:r>
    </w:p>
    <w:p w14:paraId="667F29EC" w14:textId="77777777" w:rsidR="00865B2E" w:rsidRDefault="00865B2E" w:rsidP="00865B2E">
      <w:pPr>
        <w:pStyle w:val="13"/>
      </w:pPr>
      <w:r>
        <w:rPr>
          <w:rFonts w:hint="eastAsia"/>
        </w:rPr>
        <w:t>（一）项目组内部复核</w:t>
      </w:r>
    </w:p>
    <w:p w14:paraId="1A1A54F8" w14:textId="276A348A" w:rsidR="00865B2E" w:rsidRDefault="00865B2E" w:rsidP="00865B2E">
      <w:pPr>
        <w:pStyle w:val="13"/>
      </w:pPr>
      <w:r>
        <w:t>1</w:t>
      </w:r>
      <w:r w:rsidR="003442B1">
        <w:t>.</w:t>
      </w:r>
      <w:r>
        <w:t>在外勤工作实施阶段的复核。现场负责人在现场工作的时间充分足够，能够确保对助理人员工作的有效复核。主要通过对助理人员工作底稿的逐张复核，确认既定的审计程序是否已全部执行，收集的审计证据是否充分、适当，审计结论与审计证据是否一致，审计工作底稿之间的勾</w:t>
      </w:r>
      <w:proofErr w:type="gramStart"/>
      <w:r>
        <w:t>稽</w:t>
      </w:r>
      <w:proofErr w:type="gramEnd"/>
      <w:r>
        <w:t>关系是否清晰、正确，审计工作底稿项目填写是否完整，现场负责人提出的修改意见是否执行完毕等。</w:t>
      </w:r>
    </w:p>
    <w:p w14:paraId="7DE62DE6" w14:textId="11BEDFDB" w:rsidR="00865B2E" w:rsidRDefault="00865B2E" w:rsidP="00865B2E">
      <w:pPr>
        <w:pStyle w:val="13"/>
      </w:pPr>
      <w:r>
        <w:t>2</w:t>
      </w:r>
      <w:r w:rsidR="003442B1">
        <w:t>.</w:t>
      </w:r>
      <w:r>
        <w:t>外勤工作临近结束时的复核。主要通过对重要会计账项的审计、重要审计程序的执行以及建议被审计单位调整事项等进行复核，确认针对审计重点的选择与安排是否合理，重要审计程序的执行情况是否达到预期目的，建议被审计单位调整事项的证据是否充分，建议被审计单位调整事项的会计处理是否恰当等。</w:t>
      </w:r>
    </w:p>
    <w:p w14:paraId="600D965D" w14:textId="7756ED1E" w:rsidR="00865B2E" w:rsidRDefault="00865B2E" w:rsidP="00865B2E">
      <w:pPr>
        <w:pStyle w:val="13"/>
      </w:pPr>
      <w:r>
        <w:t>3</w:t>
      </w:r>
      <w:r w:rsidR="003442B1">
        <w:t>.</w:t>
      </w:r>
      <w:r>
        <w:t>审计意见形成阶段的复核。主要通过对审计中的重大会计审计问题、重大审计调整事项及重要审计工作底稿进行复核，确认对财务报表重要项目认定的审计判断是否恰当，重大审计调整事项是否适当，重要审计工作底稿是否完整齐备等。</w:t>
      </w:r>
    </w:p>
    <w:p w14:paraId="4D29AAC1" w14:textId="77777777" w:rsidR="00865B2E" w:rsidRDefault="00865B2E" w:rsidP="00865B2E">
      <w:pPr>
        <w:pStyle w:val="13"/>
      </w:pPr>
      <w:r>
        <w:rPr>
          <w:rFonts w:hint="eastAsia"/>
        </w:rPr>
        <w:t>（二）项目质量控制复核</w:t>
      </w:r>
    </w:p>
    <w:p w14:paraId="58C3851B" w14:textId="77777777" w:rsidR="00865B2E" w:rsidRDefault="00865B2E" w:rsidP="00865B2E">
      <w:pPr>
        <w:pStyle w:val="13"/>
      </w:pPr>
      <w:r>
        <w:rPr>
          <w:rFonts w:hint="eastAsia"/>
        </w:rPr>
        <w:t>项目质量控制复核由独立于审计项目组的合伙人或符合条件的其他人员实施，对项目</w:t>
      </w:r>
      <w:proofErr w:type="gramStart"/>
      <w:r>
        <w:rPr>
          <w:rFonts w:hint="eastAsia"/>
        </w:rPr>
        <w:t>组做出</w:t>
      </w:r>
      <w:proofErr w:type="gramEnd"/>
      <w:r>
        <w:rPr>
          <w:rFonts w:hint="eastAsia"/>
        </w:rPr>
        <w:t>的重大判断和在编制审计报告时得出的结论进行客观评价。评价工作包括与项目合伙人讨论重大事项、复核财务报表和</w:t>
      </w:r>
      <w:proofErr w:type="gramStart"/>
      <w:r>
        <w:rPr>
          <w:rFonts w:hint="eastAsia"/>
        </w:rPr>
        <w:t>拟出具</w:t>
      </w:r>
      <w:proofErr w:type="gramEnd"/>
      <w:r>
        <w:rPr>
          <w:rFonts w:hint="eastAsia"/>
        </w:rPr>
        <w:t>的审计报告、复核重大判断相关的审计工作底稿等。</w:t>
      </w:r>
    </w:p>
    <w:p w14:paraId="3C50DE0F" w14:textId="77777777" w:rsidR="00865B2E" w:rsidRDefault="00865B2E" w:rsidP="00865B2E">
      <w:pPr>
        <w:pStyle w:val="ab"/>
        <w:spacing w:before="62" w:after="62"/>
        <w:ind w:firstLine="482"/>
      </w:pPr>
      <w:r>
        <w:rPr>
          <w:rFonts w:hint="eastAsia"/>
        </w:rPr>
        <w:t>二、复核存在的常见问题</w:t>
      </w:r>
    </w:p>
    <w:p w14:paraId="5BF0EB1C" w14:textId="0BCE44DF" w:rsidR="00865B2E" w:rsidRDefault="00865B2E" w:rsidP="00865B2E">
      <w:pPr>
        <w:pStyle w:val="13"/>
      </w:pPr>
      <w:r>
        <w:rPr>
          <w:rFonts w:hint="eastAsia"/>
        </w:rPr>
        <w:t>会计师事务所复核制度通常存在如下问题：</w:t>
      </w:r>
      <w:r>
        <w:t>1</w:t>
      </w:r>
      <w:r w:rsidR="003442B1">
        <w:t>.</w:t>
      </w:r>
      <w:r>
        <w:t>制度上没有明确复核的层级和各层级复核的内容，以及对复核人员的要求。2</w:t>
      </w:r>
      <w:r w:rsidR="003442B1">
        <w:t>.</w:t>
      </w:r>
      <w:r>
        <w:t>质量控制复核人员的薪酬考核机制存在问题，例如复核人员与项目</w:t>
      </w:r>
      <w:proofErr w:type="gramStart"/>
      <w:r>
        <w:t>组经济</w:t>
      </w:r>
      <w:proofErr w:type="gramEnd"/>
      <w:r>
        <w:t>利益一致，导致复核人员难以保持独立性。3</w:t>
      </w:r>
      <w:r w:rsidR="003442B1">
        <w:t>.</w:t>
      </w:r>
      <w:r>
        <w:t>未对各级人员复核工作记录进行详细规定。4</w:t>
      </w:r>
      <w:r w:rsidR="003442B1">
        <w:t>.</w:t>
      </w:r>
      <w:r>
        <w:t>对未勤勉尽责的复核人员没有相应的责任追究机制。</w:t>
      </w:r>
    </w:p>
    <w:p w14:paraId="5BD35692" w14:textId="318D9FD6" w:rsidR="00865B2E" w:rsidRDefault="00865B2E" w:rsidP="00865B2E">
      <w:pPr>
        <w:pStyle w:val="13"/>
      </w:pPr>
      <w:r>
        <w:rPr>
          <w:rFonts w:hint="eastAsia"/>
        </w:rPr>
        <w:t>会计师事务所复核工作执行通常存在如下问题：</w:t>
      </w:r>
      <w:r>
        <w:t>1</w:t>
      </w:r>
      <w:r w:rsidR="003442B1">
        <w:t>.</w:t>
      </w:r>
      <w:r>
        <w:t>事务所未合理配置具备专业胜任能力的复核人员。2</w:t>
      </w:r>
      <w:r w:rsidR="003442B1">
        <w:t>.</w:t>
      </w:r>
      <w:r>
        <w:t>对重点领域复核关注程度不够。部分项目总体审计策略、具体审计计划及确定的高风险领域审计工作未经复核；部分重大会计处理、审计调整是否恰当缺乏复核。3</w:t>
      </w:r>
      <w:r w:rsidR="003442B1">
        <w:t>.</w:t>
      </w:r>
      <w:r>
        <w:t>审计证据复核不足。事务所较普遍存在</w:t>
      </w:r>
      <w:proofErr w:type="gramStart"/>
      <w:r>
        <w:t>重报告</w:t>
      </w:r>
      <w:proofErr w:type="gramEnd"/>
      <w:r>
        <w:t>复核、轻审计证据复核的情况，或审计报告与审计证据、审计程序与审计证据复核相脱节等，导致审计意见缺乏必要的证据基础。4</w:t>
      </w:r>
      <w:r w:rsidR="003442B1">
        <w:t>.</w:t>
      </w:r>
      <w:r>
        <w:t>没有复核记录或复核记录不完整。5</w:t>
      </w:r>
      <w:r w:rsidR="003442B1">
        <w:t>.</w:t>
      </w:r>
      <w:r>
        <w:t>项目组对各级复核人员复核意见未及时回复或回复不完整。</w:t>
      </w:r>
    </w:p>
    <w:p w14:paraId="68029F57" w14:textId="77777777" w:rsidR="00865B2E" w:rsidRDefault="00865B2E" w:rsidP="00865B2E">
      <w:pPr>
        <w:pStyle w:val="ab"/>
        <w:spacing w:before="62" w:after="62"/>
        <w:ind w:firstLine="482"/>
      </w:pPr>
      <w:r>
        <w:rPr>
          <w:rFonts w:hint="eastAsia"/>
        </w:rPr>
        <w:lastRenderedPageBreak/>
        <w:t>三、会计监管关注事项</w:t>
      </w:r>
    </w:p>
    <w:p w14:paraId="0735E33E" w14:textId="77777777" w:rsidR="00865B2E" w:rsidRDefault="00865B2E" w:rsidP="00865B2E">
      <w:pPr>
        <w:pStyle w:val="13"/>
      </w:pPr>
      <w:r>
        <w:rPr>
          <w:rFonts w:hint="eastAsia"/>
        </w:rPr>
        <w:t>会计监管工作中应关注并督促会计师事务所采取相应措施，完善复核制度、强化复核工作，防范相关风险：</w:t>
      </w:r>
    </w:p>
    <w:p w14:paraId="0595C7D0" w14:textId="77777777" w:rsidR="00865B2E" w:rsidRDefault="00865B2E" w:rsidP="00865B2E">
      <w:pPr>
        <w:pStyle w:val="13"/>
      </w:pPr>
      <w:r>
        <w:rPr>
          <w:rFonts w:hint="eastAsia"/>
        </w:rPr>
        <w:t>（一）建立健全复核制度。会计师事务所是否系统梳理查找复核制度存在的不足，按照执业准则的要求完善复核相关的质量控制制度，明确复核的层级、各层级复核的内容及对复核人员的要求，并对各级人员复核记录提出明确要求，建立复核责任追究机制。</w:t>
      </w:r>
    </w:p>
    <w:p w14:paraId="6C68D5A1" w14:textId="77777777" w:rsidR="00865B2E" w:rsidRDefault="00865B2E" w:rsidP="00865B2E">
      <w:pPr>
        <w:pStyle w:val="13"/>
      </w:pPr>
      <w:r>
        <w:rPr>
          <w:rFonts w:hint="eastAsia"/>
        </w:rPr>
        <w:t>（二）委派适当的复核人员。会计师事务所和项目组是否选拔和委派具有专业胜任能力的人员从事复核工作，确保复核人员具备相关行业经验和专业知识。同时，是否排除项目合伙人对项目质量控制复核人的影响，确保其独立性。</w:t>
      </w:r>
    </w:p>
    <w:p w14:paraId="68813A38" w14:textId="77777777" w:rsidR="00865B2E" w:rsidRDefault="00865B2E" w:rsidP="00865B2E">
      <w:pPr>
        <w:pStyle w:val="13"/>
      </w:pPr>
      <w:r>
        <w:rPr>
          <w:rFonts w:hint="eastAsia"/>
        </w:rPr>
        <w:t>（三）加强重点领域的复核。各级复核人员是否按照事务所制定的具体要求开展复核工作。项目合伙人是否充分关注重大会计审计问题、重大审计调整事项及重要审计工作底稿；项目质量控制复核人员是否充分关注审计意见的恰当性、财务报表的合</w:t>
      </w:r>
      <w:proofErr w:type="gramStart"/>
      <w:r>
        <w:rPr>
          <w:rFonts w:hint="eastAsia"/>
        </w:rPr>
        <w:t>规</w:t>
      </w:r>
      <w:proofErr w:type="gramEnd"/>
      <w:r>
        <w:rPr>
          <w:rFonts w:hint="eastAsia"/>
        </w:rPr>
        <w:t>性和公允性、重大问题审计证据的充分性和适当性。</w:t>
      </w:r>
    </w:p>
    <w:p w14:paraId="56F6EDD6" w14:textId="77777777" w:rsidR="00865B2E" w:rsidRDefault="00865B2E" w:rsidP="00865B2E">
      <w:pPr>
        <w:pStyle w:val="13"/>
      </w:pPr>
      <w:r>
        <w:rPr>
          <w:rFonts w:hint="eastAsia"/>
        </w:rPr>
        <w:t>（四）强化复核记录。各级复核人员对复核工作是否有明晰的复核记录，是否对复核工作开展情况、复核发现的问题、解决情况等进行必要记录并存放于审计工作底稿。</w:t>
      </w:r>
    </w:p>
    <w:p w14:paraId="2C824CE7" w14:textId="31B671C0" w:rsidR="00865B2E" w:rsidRDefault="00865B2E" w:rsidP="00865B2E">
      <w:pPr>
        <w:pStyle w:val="13"/>
      </w:pPr>
      <w:r>
        <w:t>（五）加大复核不到位的责任追究。会计师事务所是否采取措施检查复核工作执行情况，将检查结果与相关人员考核晋升挂钩，加大对复核不到位人员的责任追究。</w:t>
      </w:r>
    </w:p>
    <w:p w14:paraId="5E98B55D" w14:textId="62C5049E" w:rsidR="00865B2E" w:rsidRDefault="00865B2E" w:rsidP="00865B2E">
      <w:pPr>
        <w:pStyle w:val="31"/>
        <w:spacing w:before="156" w:after="62"/>
      </w:pPr>
      <w:bookmarkStart w:id="90" w:name="_Toc81833353"/>
      <w:r w:rsidRPr="00865B2E">
        <w:rPr>
          <w:rFonts w:hint="eastAsia"/>
        </w:rPr>
        <w:t>会计监管风险提示第</w:t>
      </w:r>
      <w:r w:rsidRPr="00865B2E">
        <w:t>4号</w:t>
      </w:r>
      <w:proofErr w:type="gramStart"/>
      <w:r w:rsidRPr="00865B2E">
        <w:t>—首次</w:t>
      </w:r>
      <w:proofErr w:type="gramEnd"/>
      <w:r w:rsidRPr="00865B2E">
        <w:t>公开发行股票公司审计</w:t>
      </w:r>
      <w:bookmarkEnd w:id="90"/>
    </w:p>
    <w:p w14:paraId="04ACFDDE" w14:textId="77777777" w:rsidR="00865B2E" w:rsidRDefault="00865B2E" w:rsidP="00865B2E">
      <w:pPr>
        <w:pStyle w:val="13"/>
      </w:pPr>
      <w:r>
        <w:rPr>
          <w:rFonts w:hint="eastAsia"/>
        </w:rPr>
        <w:t>为落实《关于进一步提高首次公开发行股票公司财务信息披露质量有关问题的意见》（证监会公告〔</w:t>
      </w:r>
      <w:r>
        <w:t>2012〕14号），促进新股发行中会计师事务所归位尽责，进一步提高首次公开发行股票公司财务信息披露质量，现就会计师事务所执行首次公开发行股票（IPO）公司审计业务的监管风险进行提示。</w:t>
      </w:r>
    </w:p>
    <w:p w14:paraId="73025C5D" w14:textId="77777777" w:rsidR="00865B2E" w:rsidRDefault="00865B2E" w:rsidP="00F90938">
      <w:pPr>
        <w:pStyle w:val="ab"/>
        <w:spacing w:before="62" w:after="62"/>
        <w:ind w:firstLine="482"/>
      </w:pPr>
      <w:r>
        <w:rPr>
          <w:rFonts w:hint="eastAsia"/>
        </w:rPr>
        <w:t>一、会计师事务所</w:t>
      </w:r>
      <w:r>
        <w:t>IPO审计项目质量控制</w:t>
      </w:r>
    </w:p>
    <w:p w14:paraId="20925DCD" w14:textId="77777777" w:rsidR="00865B2E" w:rsidRDefault="00865B2E" w:rsidP="00865B2E">
      <w:pPr>
        <w:pStyle w:val="13"/>
      </w:pPr>
      <w:r>
        <w:rPr>
          <w:rFonts w:hint="eastAsia"/>
        </w:rPr>
        <w:t>会计师事务所应当遵照《中国注册会计师执业准则》和《会计监管风险提示第</w:t>
      </w:r>
      <w:r>
        <w:t>3号——审计项目复核》的要求，完善并强化会计师事务所IPO审计项目质量控制制度及其执行。</w:t>
      </w:r>
    </w:p>
    <w:p w14:paraId="70D1BB6C" w14:textId="77777777" w:rsidR="00865B2E" w:rsidRDefault="00865B2E" w:rsidP="00865B2E">
      <w:pPr>
        <w:pStyle w:val="13"/>
      </w:pPr>
      <w:r>
        <w:rPr>
          <w:rFonts w:hint="eastAsia"/>
        </w:rPr>
        <w:t>（一）常见问题</w:t>
      </w:r>
    </w:p>
    <w:p w14:paraId="35FD1372" w14:textId="77777777" w:rsidR="00865B2E" w:rsidRDefault="00865B2E" w:rsidP="00865B2E">
      <w:pPr>
        <w:pStyle w:val="13"/>
      </w:pPr>
      <w:r>
        <w:rPr>
          <w:rFonts w:hint="eastAsia"/>
        </w:rPr>
        <w:t>会计师事务所在</w:t>
      </w:r>
      <w:r>
        <w:t>IPO审计项目质量控制中，主要存在以下问题：</w:t>
      </w:r>
    </w:p>
    <w:p w14:paraId="4AD593B2" w14:textId="77777777" w:rsidR="00865B2E" w:rsidRDefault="00865B2E" w:rsidP="00865B2E">
      <w:pPr>
        <w:pStyle w:val="13"/>
      </w:pPr>
      <w:r>
        <w:rPr>
          <w:rFonts w:hint="eastAsia"/>
        </w:rPr>
        <w:t>第一，在承接</w:t>
      </w:r>
      <w:r>
        <w:t>IPO审计业务时，未充分了解、分析发行人所处环境、公司治理、内部控制、财务状况、上市动机和管理层诚信情况；未充分了解发行人可能存在重大风险的领域并适当评估会计师事务所是否具有足够的胜任能力；未充分关注发行人</w:t>
      </w:r>
      <w:r>
        <w:lastRenderedPageBreak/>
        <w:t>在</w:t>
      </w:r>
      <w:proofErr w:type="spellStart"/>
      <w:r>
        <w:t>IPO</w:t>
      </w:r>
      <w:proofErr w:type="spellEnd"/>
      <w:r>
        <w:t>过程中更换注册会计师的行为，未与前任注册会计师进行充分沟通。</w:t>
      </w:r>
    </w:p>
    <w:p w14:paraId="71F926A5" w14:textId="77777777" w:rsidR="00865B2E" w:rsidRDefault="00865B2E" w:rsidP="00865B2E">
      <w:pPr>
        <w:pStyle w:val="13"/>
      </w:pPr>
      <w:r>
        <w:rPr>
          <w:rFonts w:hint="eastAsia"/>
        </w:rPr>
        <w:t>第二，在选派项目组成员时，未充分识别和评价会计师事务所、</w:t>
      </w:r>
      <w:r>
        <w:t>IPO审计项目组成员的独立性和专业胜任能力。</w:t>
      </w:r>
    </w:p>
    <w:p w14:paraId="587A4BE9" w14:textId="77777777" w:rsidR="00865B2E" w:rsidRDefault="00865B2E" w:rsidP="00865B2E">
      <w:pPr>
        <w:pStyle w:val="13"/>
      </w:pPr>
      <w:r>
        <w:rPr>
          <w:rFonts w:hint="eastAsia"/>
        </w:rPr>
        <w:t>第三，在</w:t>
      </w:r>
      <w:r>
        <w:t>IPO审计业务执行阶段，会计师事务所未完善有关监督、咨询、复核的体系；质量控制复核人员往往介入过晚，复核工作未充分关注发行人经营模式和经营特点对会计处理和财务报表的影响。</w:t>
      </w:r>
    </w:p>
    <w:p w14:paraId="4D50CB8A" w14:textId="77777777" w:rsidR="00865B2E" w:rsidRDefault="00865B2E" w:rsidP="00865B2E">
      <w:pPr>
        <w:pStyle w:val="13"/>
      </w:pPr>
      <w:r>
        <w:rPr>
          <w:rFonts w:hint="eastAsia"/>
        </w:rPr>
        <w:t>第四，在会计师事务所分所执行</w:t>
      </w:r>
      <w:r>
        <w:t>IPO审计业务时，总所未对分所执行IPO审计业务进行充分的业务指导，未对其IPO审计项目执业质量进行必要的复核和检查。</w:t>
      </w:r>
    </w:p>
    <w:p w14:paraId="417EBBB2" w14:textId="77777777" w:rsidR="00865B2E" w:rsidRDefault="00865B2E" w:rsidP="00865B2E">
      <w:pPr>
        <w:pStyle w:val="13"/>
      </w:pPr>
      <w:r>
        <w:rPr>
          <w:rFonts w:hint="eastAsia"/>
        </w:rPr>
        <w:t>（二）会计监管关注事项</w:t>
      </w:r>
    </w:p>
    <w:p w14:paraId="5806A680" w14:textId="77777777" w:rsidR="00865B2E" w:rsidRDefault="00865B2E" w:rsidP="00865B2E">
      <w:pPr>
        <w:pStyle w:val="13"/>
      </w:pPr>
      <w:r>
        <w:rPr>
          <w:rFonts w:hint="eastAsia"/>
        </w:rPr>
        <w:t>在会计监管工作中，应当对会计师事务所执行</w:t>
      </w:r>
      <w:r>
        <w:t>IPO审计业务质量控制情况予以重点关注：</w:t>
      </w:r>
    </w:p>
    <w:p w14:paraId="1770D0BF" w14:textId="77777777" w:rsidR="00865B2E" w:rsidRDefault="00865B2E" w:rsidP="00865B2E">
      <w:pPr>
        <w:pStyle w:val="13"/>
      </w:pPr>
      <w:r>
        <w:rPr>
          <w:rFonts w:hint="eastAsia"/>
        </w:rPr>
        <w:t>第一，在承接</w:t>
      </w:r>
      <w:r>
        <w:t>IPO审计业务时，应当对发行人上市动机、所处行业的基本情况及其行业地位、可能存在的高风险领域、公司治理情况及申报期基本财务指标等进行调查。对于发行人存在欺诈上市嫌疑或者注册会计师无法应对重大审计风险的情况，会计师事务所应坚决拒绝接受委托。如果发行人在IPO过程中曾经更换过注册会计师，后任注册会计师应就发行人更换注册会计师的原因与前任注册会计师进行沟通，以了解发行人管理层的诚信情况，发行人与前任注册会计师存在重大分歧的会计、审计问题及其他可能对审计造成重大影响的事项。</w:t>
      </w:r>
    </w:p>
    <w:p w14:paraId="7BEA90AE" w14:textId="77777777" w:rsidR="00865B2E" w:rsidRDefault="00865B2E" w:rsidP="00865B2E">
      <w:pPr>
        <w:pStyle w:val="13"/>
      </w:pPr>
      <w:r>
        <w:rPr>
          <w:rFonts w:hint="eastAsia"/>
        </w:rPr>
        <w:t>第二，在选派项目组成员时，应检查会计师事务所、</w:t>
      </w:r>
      <w:r>
        <w:t>IPO审计项目组成员等是否与发行人存在关联关系或直接经济利益关系等影响独立性的行为；根据对审计风险的评估，检查项目组成员是否具有包括相应技术知识、相关行业审计实务经验等在内的专业胜任能力。</w:t>
      </w:r>
    </w:p>
    <w:p w14:paraId="2A290773" w14:textId="77777777" w:rsidR="00865B2E" w:rsidRDefault="00865B2E" w:rsidP="00865B2E">
      <w:pPr>
        <w:pStyle w:val="13"/>
      </w:pPr>
      <w:r>
        <w:rPr>
          <w:rFonts w:hint="eastAsia"/>
        </w:rPr>
        <w:t>第三，在</w:t>
      </w:r>
      <w:r>
        <w:t>IPO审计业务执行阶段，会计师事务所应建立健全与监督、咨询和复核等有关的质量控制体系，始终将审计风险控制在可接受的范围。质量控制复核人员可尽早介入，结合行业特点、行业同期基本情况，全面分析发行人的经营模式、经营特点和在申报期内的变化情况，以及发行人会计处理的合理性和会计处理在申报期内的变化情况，以确定可能存在舞弊和重大错报风险的领域及其对财务报告的影响程度。</w:t>
      </w:r>
    </w:p>
    <w:p w14:paraId="0735FA3C" w14:textId="77777777" w:rsidR="00865B2E" w:rsidRDefault="00865B2E" w:rsidP="00865B2E">
      <w:pPr>
        <w:pStyle w:val="13"/>
      </w:pPr>
      <w:r>
        <w:rPr>
          <w:rFonts w:hint="eastAsia"/>
        </w:rPr>
        <w:t>第四，会计师事务所总所应加强对其分所</w:t>
      </w:r>
      <w:r>
        <w:t>IPO审计业务执业质量的管理，定期对各分所进行执业质量培训和质量控制检查，提升分所IPO审计业务执业质量。</w:t>
      </w:r>
    </w:p>
    <w:p w14:paraId="30971B1A" w14:textId="77777777" w:rsidR="00865B2E" w:rsidRDefault="00865B2E" w:rsidP="00F90938">
      <w:pPr>
        <w:pStyle w:val="ab"/>
        <w:spacing w:before="62" w:after="62"/>
        <w:ind w:firstLine="482"/>
      </w:pPr>
      <w:r>
        <w:rPr>
          <w:rFonts w:hint="eastAsia"/>
        </w:rPr>
        <w:t>二、了解内部控制并进行内控测试</w:t>
      </w:r>
    </w:p>
    <w:p w14:paraId="42EFE82C" w14:textId="77777777" w:rsidR="00865B2E" w:rsidRDefault="00865B2E" w:rsidP="00865B2E">
      <w:pPr>
        <w:pStyle w:val="13"/>
      </w:pPr>
      <w:r>
        <w:rPr>
          <w:rFonts w:hint="eastAsia"/>
        </w:rPr>
        <w:t>注册会计师</w:t>
      </w:r>
      <w:proofErr w:type="gramStart"/>
      <w:r>
        <w:rPr>
          <w:rFonts w:hint="eastAsia"/>
        </w:rPr>
        <w:t>应评价</w:t>
      </w:r>
      <w:proofErr w:type="gramEnd"/>
      <w:r>
        <w:rPr>
          <w:rFonts w:hint="eastAsia"/>
        </w:rPr>
        <w:t>内部控制设计的合理性和执行的有效性，据以确定实质性测试的性质、时间和范围；同时还应当对发行人与财务报告相关的内部控制的有效性发表意见，并根据要求单独出具内部控制</w:t>
      </w:r>
      <w:proofErr w:type="gramStart"/>
      <w:r>
        <w:rPr>
          <w:rFonts w:hint="eastAsia"/>
        </w:rPr>
        <w:t>鉴证</w:t>
      </w:r>
      <w:proofErr w:type="gramEnd"/>
      <w:r>
        <w:rPr>
          <w:rFonts w:hint="eastAsia"/>
        </w:rPr>
        <w:t>报告或内部控制审计报告。</w:t>
      </w:r>
    </w:p>
    <w:p w14:paraId="17BECFCD" w14:textId="77777777" w:rsidR="00865B2E" w:rsidRDefault="00865B2E" w:rsidP="00865B2E">
      <w:pPr>
        <w:pStyle w:val="13"/>
      </w:pPr>
      <w:r>
        <w:rPr>
          <w:rFonts w:hint="eastAsia"/>
        </w:rPr>
        <w:lastRenderedPageBreak/>
        <w:t>（一）常见问题</w:t>
      </w:r>
    </w:p>
    <w:p w14:paraId="6473544C" w14:textId="77777777" w:rsidR="00865B2E" w:rsidRDefault="00865B2E" w:rsidP="00865B2E">
      <w:pPr>
        <w:pStyle w:val="13"/>
      </w:pPr>
      <w:r>
        <w:rPr>
          <w:rFonts w:hint="eastAsia"/>
        </w:rPr>
        <w:t>注册会计师在评价发行人内部控制有效性及其对财务报表的影响时，通常存在以下问题：</w:t>
      </w:r>
    </w:p>
    <w:p w14:paraId="3BEFC5EC" w14:textId="77777777" w:rsidR="00865B2E" w:rsidRDefault="00865B2E" w:rsidP="00865B2E">
      <w:pPr>
        <w:pStyle w:val="13"/>
      </w:pPr>
      <w:r>
        <w:rPr>
          <w:rFonts w:hint="eastAsia"/>
        </w:rPr>
        <w:t>第一，内部控制</w:t>
      </w:r>
      <w:proofErr w:type="gramStart"/>
      <w:r>
        <w:rPr>
          <w:rFonts w:hint="eastAsia"/>
        </w:rPr>
        <w:t>鉴证</w:t>
      </w:r>
      <w:proofErr w:type="gramEnd"/>
      <w:r>
        <w:rPr>
          <w:rFonts w:hint="eastAsia"/>
        </w:rPr>
        <w:t>或内部控制审计中，对发现的内部控制缺陷，未正确判断其严重程度及其对内部控制</w:t>
      </w:r>
      <w:proofErr w:type="gramStart"/>
      <w:r>
        <w:rPr>
          <w:rFonts w:hint="eastAsia"/>
        </w:rPr>
        <w:t>鉴证</w:t>
      </w:r>
      <w:proofErr w:type="gramEnd"/>
      <w:r>
        <w:rPr>
          <w:rFonts w:hint="eastAsia"/>
        </w:rPr>
        <w:t>报告或内部控制审计报告结论的影响。</w:t>
      </w:r>
    </w:p>
    <w:p w14:paraId="33D3D1F2" w14:textId="77777777" w:rsidR="00865B2E" w:rsidRDefault="00865B2E" w:rsidP="00865B2E">
      <w:pPr>
        <w:pStyle w:val="13"/>
      </w:pPr>
      <w:r>
        <w:rPr>
          <w:rFonts w:hint="eastAsia"/>
        </w:rPr>
        <w:t>第二，财务报表审计中，实质性测试时未充分考虑财务报表重大错报风险（包括控制风险）的评估结果，对实质性测试发现的财务报表重大错报，未考虑其是否与内部控制缺陷相关。</w:t>
      </w:r>
    </w:p>
    <w:p w14:paraId="44988611" w14:textId="77777777" w:rsidR="00865B2E" w:rsidRDefault="00865B2E" w:rsidP="00865B2E">
      <w:pPr>
        <w:pStyle w:val="13"/>
      </w:pPr>
      <w:r>
        <w:rPr>
          <w:rFonts w:hint="eastAsia"/>
        </w:rPr>
        <w:t>（二）会计监管关注事项</w:t>
      </w:r>
    </w:p>
    <w:p w14:paraId="283C7D5A" w14:textId="77777777" w:rsidR="00865B2E" w:rsidRDefault="00865B2E" w:rsidP="00865B2E">
      <w:pPr>
        <w:pStyle w:val="13"/>
      </w:pPr>
      <w:r>
        <w:rPr>
          <w:rFonts w:hint="eastAsia"/>
        </w:rPr>
        <w:t>在会计监管工作中，应关注注册会计师是否了解发行人的内部控制并实施必要的控制测试，同时将发行人内部控制缺陷及其整改措施、整改结果记录于审计工作底稿：</w:t>
      </w:r>
    </w:p>
    <w:p w14:paraId="5E1E495F" w14:textId="77777777" w:rsidR="00865B2E" w:rsidRDefault="00865B2E" w:rsidP="00865B2E">
      <w:pPr>
        <w:pStyle w:val="13"/>
      </w:pPr>
      <w:r>
        <w:rPr>
          <w:rFonts w:hint="eastAsia"/>
        </w:rPr>
        <w:t>第一，对于发行人内部控制缺陷，注册会计师</w:t>
      </w:r>
      <w:proofErr w:type="gramStart"/>
      <w:r>
        <w:rPr>
          <w:rFonts w:hint="eastAsia"/>
        </w:rPr>
        <w:t>应评价</w:t>
      </w:r>
      <w:proofErr w:type="gramEnd"/>
      <w:r>
        <w:rPr>
          <w:rFonts w:hint="eastAsia"/>
        </w:rPr>
        <w:t>其严重程度，并考虑其对财务报表的影响程度；对于在实质性测试中发现的财务报表重大错报，应考虑其是否与内部控制缺陷相关；对于发行人财务会计基础薄弱的，应特别关注其是否存在内部控制重大缺陷，并考虑对发行人内部控制有效性的影响。</w:t>
      </w:r>
    </w:p>
    <w:p w14:paraId="3614AD00" w14:textId="77777777" w:rsidR="00865B2E" w:rsidRDefault="00865B2E" w:rsidP="00865B2E">
      <w:pPr>
        <w:pStyle w:val="13"/>
      </w:pPr>
      <w:r>
        <w:rPr>
          <w:rFonts w:hint="eastAsia"/>
        </w:rPr>
        <w:t>第二，考虑发行人的内部控制缺陷是否在内部控制</w:t>
      </w:r>
      <w:proofErr w:type="gramStart"/>
      <w:r>
        <w:rPr>
          <w:rFonts w:hint="eastAsia"/>
        </w:rPr>
        <w:t>鉴证</w:t>
      </w:r>
      <w:proofErr w:type="gramEnd"/>
      <w:r>
        <w:rPr>
          <w:rFonts w:hint="eastAsia"/>
        </w:rPr>
        <w:t>报告或内部控制审计报告中得到恰当反映。</w:t>
      </w:r>
    </w:p>
    <w:p w14:paraId="22EEC032" w14:textId="77777777" w:rsidR="00865B2E" w:rsidRDefault="00865B2E" w:rsidP="00865B2E">
      <w:pPr>
        <w:pStyle w:val="13"/>
      </w:pPr>
      <w:r>
        <w:rPr>
          <w:rFonts w:hint="eastAsia"/>
        </w:rPr>
        <w:t>第三，对审计委员会及内部审计部门是否切实履行职责进行尽职调查，并记录于审计工作底稿。</w:t>
      </w:r>
    </w:p>
    <w:p w14:paraId="63B09E55" w14:textId="77777777" w:rsidR="00865B2E" w:rsidRDefault="00865B2E" w:rsidP="00F90938">
      <w:pPr>
        <w:pStyle w:val="ab"/>
        <w:spacing w:before="62" w:after="62"/>
        <w:ind w:firstLine="482"/>
      </w:pPr>
      <w:r>
        <w:rPr>
          <w:rFonts w:hint="eastAsia"/>
        </w:rPr>
        <w:t>三、财务信息披露和非财务信息披露的相互印证</w:t>
      </w:r>
    </w:p>
    <w:p w14:paraId="4E995307" w14:textId="77777777" w:rsidR="00865B2E" w:rsidRDefault="00865B2E" w:rsidP="00865B2E">
      <w:pPr>
        <w:pStyle w:val="13"/>
      </w:pPr>
      <w:r>
        <w:rPr>
          <w:rFonts w:hint="eastAsia"/>
        </w:rPr>
        <w:t>注册会计师应遵照《中国注册会计师审计准则第</w:t>
      </w:r>
      <w:r>
        <w:t>1521号——注册会计师对含有已审计财务报表的文件中的其他信息的责任》的要求，阅读发行人在招股说明书中对其经营、财务、行业趋势和市场竞争等情况的披露。对于识别的包含已审计财务报表的文件中的其他信息和已审计财务报表存在重大不一致的，注册会计师应当确定已审计财务报表或其他信息是否需要</w:t>
      </w:r>
      <w:proofErr w:type="gramStart"/>
      <w:r>
        <w:t>作出</w:t>
      </w:r>
      <w:proofErr w:type="gramEnd"/>
      <w:r>
        <w:t>修改；如果管理</w:t>
      </w:r>
      <w:proofErr w:type="gramStart"/>
      <w:r>
        <w:t>层拒绝</w:t>
      </w:r>
      <w:proofErr w:type="gramEnd"/>
      <w:r>
        <w:t>修改财务报表或其他信息，注册会计师应在审计报告中发表非无保留意见或增加其他事项段说明重大不一致，以及采取准则规定的其他应对措施。如果注册会计师认为在包括已审计财务报表</w:t>
      </w:r>
      <w:r>
        <w:rPr>
          <w:rFonts w:hint="eastAsia"/>
        </w:rPr>
        <w:t>的文件中的其他信息中存在对事实的重大错报，但是并不影响已审计财务报表的，在发行人管理层或治理层拒绝</w:t>
      </w:r>
      <w:proofErr w:type="gramStart"/>
      <w:r>
        <w:rPr>
          <w:rFonts w:hint="eastAsia"/>
        </w:rPr>
        <w:t>作出</w:t>
      </w:r>
      <w:proofErr w:type="gramEnd"/>
      <w:r>
        <w:rPr>
          <w:rFonts w:hint="eastAsia"/>
        </w:rPr>
        <w:t>修改的情况下，注册会计师应当与保荐机构进行沟通。</w:t>
      </w:r>
    </w:p>
    <w:p w14:paraId="57CF596C" w14:textId="77777777" w:rsidR="00865B2E" w:rsidRDefault="00865B2E" w:rsidP="00865B2E">
      <w:pPr>
        <w:pStyle w:val="13"/>
      </w:pPr>
      <w:r>
        <w:rPr>
          <w:rFonts w:hint="eastAsia"/>
        </w:rPr>
        <w:t>（一）常见问题</w:t>
      </w:r>
    </w:p>
    <w:p w14:paraId="357EA205" w14:textId="77777777" w:rsidR="00865B2E" w:rsidRDefault="00865B2E" w:rsidP="00865B2E">
      <w:pPr>
        <w:pStyle w:val="13"/>
      </w:pPr>
      <w:r>
        <w:rPr>
          <w:rFonts w:hint="eastAsia"/>
        </w:rPr>
        <w:t>注册会计师在核对包含已审计财务报表的文件中的其他信息时，通常存在以下问题：</w:t>
      </w:r>
    </w:p>
    <w:p w14:paraId="4BE5B2F7" w14:textId="77777777" w:rsidR="00865B2E" w:rsidRDefault="00865B2E" w:rsidP="00865B2E">
      <w:pPr>
        <w:pStyle w:val="13"/>
      </w:pPr>
      <w:r>
        <w:rPr>
          <w:rFonts w:hint="eastAsia"/>
        </w:rPr>
        <w:lastRenderedPageBreak/>
        <w:t>第一，忽视招股说明书其他部分引用已审计财务报表中财务信息的准确性和一致性。</w:t>
      </w:r>
    </w:p>
    <w:p w14:paraId="602F16E9" w14:textId="77777777" w:rsidR="00865B2E" w:rsidRDefault="00865B2E" w:rsidP="00865B2E">
      <w:pPr>
        <w:pStyle w:val="13"/>
      </w:pPr>
      <w:r>
        <w:rPr>
          <w:rFonts w:hint="eastAsia"/>
        </w:rPr>
        <w:t>第二，忽视招股说明书中披露的业务数据与已审计财务报表的一致性。</w:t>
      </w:r>
    </w:p>
    <w:p w14:paraId="4928EE48" w14:textId="77777777" w:rsidR="00865B2E" w:rsidRDefault="00865B2E" w:rsidP="00865B2E">
      <w:pPr>
        <w:pStyle w:val="13"/>
      </w:pPr>
      <w:r>
        <w:rPr>
          <w:rFonts w:hint="eastAsia"/>
        </w:rPr>
        <w:t>第三，未结合发行人的经营特点对财务报表各项目进行客观分析。</w:t>
      </w:r>
    </w:p>
    <w:p w14:paraId="305E171A" w14:textId="77777777" w:rsidR="00865B2E" w:rsidRDefault="00865B2E" w:rsidP="00865B2E">
      <w:pPr>
        <w:pStyle w:val="13"/>
      </w:pPr>
      <w:r>
        <w:rPr>
          <w:rFonts w:hint="eastAsia"/>
        </w:rPr>
        <w:t>（二）会计监管关注事项</w:t>
      </w:r>
    </w:p>
    <w:p w14:paraId="056AFF51" w14:textId="77777777" w:rsidR="00865B2E" w:rsidRDefault="00865B2E" w:rsidP="00865B2E">
      <w:pPr>
        <w:pStyle w:val="13"/>
      </w:pPr>
      <w:r>
        <w:rPr>
          <w:rFonts w:hint="eastAsia"/>
        </w:rPr>
        <w:t>在会计监管工作中，应关注注册会计师是否结合发行人的经营特点，重视申报期内年度财务报表各项目间的勾</w:t>
      </w:r>
      <w:proofErr w:type="gramStart"/>
      <w:r>
        <w:rPr>
          <w:rFonts w:hint="eastAsia"/>
        </w:rPr>
        <w:t>稽</w:t>
      </w:r>
      <w:proofErr w:type="gramEnd"/>
      <w:r>
        <w:rPr>
          <w:rFonts w:hint="eastAsia"/>
        </w:rPr>
        <w:t>关系、联动性以及财务信息与非财务信息的相互印证。具体包括：</w:t>
      </w:r>
    </w:p>
    <w:p w14:paraId="248BD597" w14:textId="77777777" w:rsidR="00865B2E" w:rsidRDefault="00865B2E" w:rsidP="00865B2E">
      <w:pPr>
        <w:pStyle w:val="13"/>
      </w:pPr>
      <w:r>
        <w:rPr>
          <w:rFonts w:hint="eastAsia"/>
        </w:rPr>
        <w:t>第一，发行人招股说明书披露的财务信息是否与已审计财务报表一致，如招股说明书中披露的申报期研发费用发生额是否与财务报表中披露的研发支出一致。</w:t>
      </w:r>
    </w:p>
    <w:p w14:paraId="11802C61" w14:textId="77777777" w:rsidR="00865B2E" w:rsidRDefault="00865B2E" w:rsidP="00865B2E">
      <w:pPr>
        <w:pStyle w:val="13"/>
      </w:pPr>
      <w:r>
        <w:rPr>
          <w:rFonts w:hint="eastAsia"/>
        </w:rPr>
        <w:t>第二，发行人的经营模式、产销量和营业收入、营业成本、应收账款、期间费用等是否能够相互匹配；发行人的产能、主要原材料及能源耗用是否与产量相匹配；发行人资产的形成过程是否与发行人历史沿革和经营情况相互印证。</w:t>
      </w:r>
    </w:p>
    <w:p w14:paraId="2FC0656A" w14:textId="77777777" w:rsidR="00865B2E" w:rsidRDefault="00865B2E" w:rsidP="00865B2E">
      <w:pPr>
        <w:pStyle w:val="13"/>
      </w:pPr>
      <w:r>
        <w:rPr>
          <w:rFonts w:hint="eastAsia"/>
        </w:rPr>
        <w:t>第三，招股说明书中披露的财务信息分析是否与注册会计师审计了解的发行人实际情况相符，如应收账款变动原因的分析是否合理。</w:t>
      </w:r>
    </w:p>
    <w:p w14:paraId="1A245740" w14:textId="77777777" w:rsidR="00865B2E" w:rsidRDefault="00865B2E" w:rsidP="00F90938">
      <w:pPr>
        <w:pStyle w:val="ab"/>
        <w:spacing w:before="62" w:after="62"/>
        <w:ind w:firstLine="482"/>
      </w:pPr>
      <w:r>
        <w:rPr>
          <w:rFonts w:hint="eastAsia"/>
        </w:rPr>
        <w:t>四、发行人申报期内的盈利增长和异常交易</w:t>
      </w:r>
    </w:p>
    <w:p w14:paraId="07AD1A78" w14:textId="77777777" w:rsidR="00865B2E" w:rsidRDefault="00865B2E" w:rsidP="00865B2E">
      <w:pPr>
        <w:pStyle w:val="13"/>
      </w:pPr>
      <w:r>
        <w:rPr>
          <w:rFonts w:hint="eastAsia"/>
        </w:rPr>
        <w:t>对于发行人申报期内存在的盈利异常增长和异常交易，注册会计师应根据证监会公告〔</w:t>
      </w:r>
      <w:r>
        <w:t>2012〕14号的相关要求，对盈利异常增长事项发表核查意见；同时，应关注异常交易的真实性、公允性、可持续性及其相关损益是否应界定为非经常性损益等，并督促发行人在招股说明书中作补充披露。</w:t>
      </w:r>
    </w:p>
    <w:p w14:paraId="3D5E74CC" w14:textId="77777777" w:rsidR="00865B2E" w:rsidRDefault="00865B2E" w:rsidP="00865B2E">
      <w:pPr>
        <w:pStyle w:val="13"/>
      </w:pPr>
      <w:r>
        <w:rPr>
          <w:rFonts w:hint="eastAsia"/>
        </w:rPr>
        <w:t>（一）常见问题</w:t>
      </w:r>
    </w:p>
    <w:p w14:paraId="60C9046A" w14:textId="77777777" w:rsidR="00865B2E" w:rsidRDefault="00865B2E" w:rsidP="00865B2E">
      <w:pPr>
        <w:pStyle w:val="13"/>
      </w:pPr>
      <w:r>
        <w:rPr>
          <w:rFonts w:hint="eastAsia"/>
        </w:rPr>
        <w:t>注册会计师在核查发行人申报期内的盈利增长和异常交易时，通常存在以下问题：</w:t>
      </w:r>
    </w:p>
    <w:p w14:paraId="1EF1E1B0" w14:textId="77777777" w:rsidR="00865B2E" w:rsidRDefault="00865B2E" w:rsidP="00865B2E">
      <w:pPr>
        <w:pStyle w:val="13"/>
      </w:pPr>
      <w:r>
        <w:rPr>
          <w:rFonts w:hint="eastAsia"/>
        </w:rPr>
        <w:t>第一，在分析发行人申报期内盈利增长异常时，缺乏对重要比率和趋势的科学预判、对异常变动的深入调查以及多个业务指标间的联动分析。</w:t>
      </w:r>
    </w:p>
    <w:p w14:paraId="08294A81" w14:textId="77777777" w:rsidR="00865B2E" w:rsidRDefault="00865B2E" w:rsidP="00865B2E">
      <w:pPr>
        <w:pStyle w:val="13"/>
      </w:pPr>
      <w:r>
        <w:rPr>
          <w:rFonts w:hint="eastAsia"/>
        </w:rPr>
        <w:t>第二，在审计发行人申报期内异常交易时，局限于采用常规审计程序收集审计证据，忽视了对异常交易商业实质的考虑和取证。</w:t>
      </w:r>
    </w:p>
    <w:p w14:paraId="516CD81B" w14:textId="77777777" w:rsidR="00865B2E" w:rsidRDefault="00865B2E" w:rsidP="00865B2E">
      <w:pPr>
        <w:pStyle w:val="13"/>
      </w:pPr>
      <w:r>
        <w:rPr>
          <w:rFonts w:hint="eastAsia"/>
        </w:rPr>
        <w:t>（二）会计监管关注事项</w:t>
      </w:r>
    </w:p>
    <w:p w14:paraId="626E4F69" w14:textId="77777777" w:rsidR="00865B2E" w:rsidRDefault="00865B2E" w:rsidP="00865B2E">
      <w:pPr>
        <w:pStyle w:val="13"/>
      </w:pPr>
      <w:r>
        <w:rPr>
          <w:rFonts w:hint="eastAsia"/>
        </w:rPr>
        <w:t>在会计监管工作中，应关注注册会计师是否针对发行人申报期内存在的盈利异常增长和异常交易执行了充分、适当的审计程序。</w:t>
      </w:r>
    </w:p>
    <w:p w14:paraId="5C683FCE" w14:textId="4AFC0EC1" w:rsidR="00865B2E" w:rsidRDefault="00865B2E" w:rsidP="00865B2E">
      <w:pPr>
        <w:pStyle w:val="13"/>
      </w:pPr>
      <w:r>
        <w:t>1.申报期内存在盈利异常增长情况</w:t>
      </w:r>
    </w:p>
    <w:p w14:paraId="7D7E4477" w14:textId="77777777" w:rsidR="00865B2E" w:rsidRDefault="00865B2E" w:rsidP="00865B2E">
      <w:pPr>
        <w:pStyle w:val="13"/>
      </w:pPr>
      <w:r>
        <w:rPr>
          <w:rFonts w:hint="eastAsia"/>
        </w:rPr>
        <w:t>在会计监管工作中，应关注注册会计师是否设计了合理的分析程序，是否对实质性分析结果的预期值进行了科学的预判，特别包括以下事项：</w:t>
      </w:r>
    </w:p>
    <w:p w14:paraId="02385C40" w14:textId="77777777" w:rsidR="00865B2E" w:rsidRDefault="00865B2E" w:rsidP="00865B2E">
      <w:pPr>
        <w:pStyle w:val="13"/>
      </w:pPr>
      <w:r>
        <w:rPr>
          <w:rFonts w:hint="eastAsia"/>
        </w:rPr>
        <w:t>第一，对包括但不限于毛利率、期间费用率、应收账款周转率、存货周转率、预</w:t>
      </w:r>
      <w:r>
        <w:rPr>
          <w:rFonts w:hint="eastAsia"/>
        </w:rPr>
        <w:lastRenderedPageBreak/>
        <w:t>收账款变动率、产能利用率、产销率等影响发行人盈利增长的重要财务指标和非财务指标，是否进行多维度的分析。</w:t>
      </w:r>
    </w:p>
    <w:p w14:paraId="41A8B561" w14:textId="77777777" w:rsidR="00865B2E" w:rsidRDefault="00865B2E" w:rsidP="00865B2E">
      <w:pPr>
        <w:pStyle w:val="13"/>
      </w:pPr>
      <w:r>
        <w:rPr>
          <w:rFonts w:hint="eastAsia"/>
        </w:rPr>
        <w:t>第二，对于公司申报期内毛利率高于同行业水平，而应收账款周转率、存货周转率低于同行业水平，以及经营性现金流量与净利润脱节的情况是否追查其合理性，识别发行人是否存在利润操纵。</w:t>
      </w:r>
    </w:p>
    <w:p w14:paraId="2B643E16" w14:textId="77777777" w:rsidR="00865B2E" w:rsidRDefault="00865B2E" w:rsidP="00865B2E">
      <w:pPr>
        <w:pStyle w:val="13"/>
      </w:pPr>
      <w:r>
        <w:rPr>
          <w:rFonts w:hint="eastAsia"/>
        </w:rPr>
        <w:t>第三，为了识别发行人是否通过挤占申报期前后的经营成果以美化申报期的财务报表，注册会计师在审计发行人申报期财务报表时，是否关注申报期前</w:t>
      </w:r>
      <w:r>
        <w:t>1至2年的财务报表和申报期财务报表日至财务报表报出日之间发行人的财务信息。</w:t>
      </w:r>
    </w:p>
    <w:p w14:paraId="26F53920" w14:textId="77777777" w:rsidR="00865B2E" w:rsidRDefault="00865B2E" w:rsidP="00865B2E">
      <w:pPr>
        <w:pStyle w:val="13"/>
      </w:pPr>
      <w:r>
        <w:rPr>
          <w:rFonts w:hint="eastAsia"/>
        </w:rPr>
        <w:t>第四，注册会计师是否关注发行人在申报期内的盈利异常增长现象并发表核查意见，如申报期内发行人出现较大幅度波动的财务报表项目，或营业毛利、净利润的增长幅度明显高于营业收入的增长幅度等情况，并督促发行人在招股说明书中作补充披露。</w:t>
      </w:r>
    </w:p>
    <w:p w14:paraId="35965092" w14:textId="42CEE265" w:rsidR="00865B2E" w:rsidRDefault="00865B2E" w:rsidP="00865B2E">
      <w:pPr>
        <w:pStyle w:val="13"/>
      </w:pPr>
      <w:r>
        <w:t>2.申报期内存在异常交易情况</w:t>
      </w:r>
    </w:p>
    <w:p w14:paraId="5874A2D1" w14:textId="77777777" w:rsidR="00865B2E" w:rsidRDefault="00865B2E" w:rsidP="00865B2E">
      <w:pPr>
        <w:pStyle w:val="13"/>
      </w:pPr>
      <w:r>
        <w:rPr>
          <w:rFonts w:hint="eastAsia"/>
        </w:rPr>
        <w:t>异常交易往往具有如下特点：一是偶发性；二是交易标的不具备实物形态或对交易对手而言不具有合理用途；三是交易价格明显偏离正常市场价格。虽然这些异常交易支持其发生的各种形式和证据齐全、审计证据的收回率较高，但注册会计师对此仍应保持高度的职业怀疑态度。</w:t>
      </w:r>
    </w:p>
    <w:p w14:paraId="7840454A" w14:textId="77777777" w:rsidR="00865B2E" w:rsidRDefault="00865B2E" w:rsidP="00865B2E">
      <w:pPr>
        <w:pStyle w:val="13"/>
      </w:pPr>
      <w:r>
        <w:rPr>
          <w:rFonts w:hint="eastAsia"/>
        </w:rPr>
        <w:t>注册会计师在审计异常交易的过程中不应仅满足于取得形式上的审计证据，而应着重于实质性的专业判断，考虑与上述交易相关的损益是否应界定为非经常性损益等，并督促发行人对上述交易情况在招股说明书中作详细披露。</w:t>
      </w:r>
    </w:p>
    <w:p w14:paraId="600EB563" w14:textId="77777777" w:rsidR="00865B2E" w:rsidRDefault="00865B2E" w:rsidP="00F90938">
      <w:pPr>
        <w:pStyle w:val="ab"/>
        <w:spacing w:before="62" w:after="62"/>
        <w:ind w:firstLine="482"/>
      </w:pPr>
      <w:r>
        <w:rPr>
          <w:rFonts w:hint="eastAsia"/>
        </w:rPr>
        <w:t>五、关联方认定及其交易</w:t>
      </w:r>
    </w:p>
    <w:p w14:paraId="6674D18F" w14:textId="77777777" w:rsidR="00865B2E" w:rsidRDefault="00865B2E" w:rsidP="00865B2E">
      <w:pPr>
        <w:pStyle w:val="13"/>
      </w:pPr>
      <w:r>
        <w:rPr>
          <w:rFonts w:hint="eastAsia"/>
        </w:rPr>
        <w:t>注册会计师应当遵照《中国注册会计师执业准则》和我会《会计监管风险提示第</w:t>
      </w:r>
      <w:r>
        <w:t>2号——通过未披露关联方实施的舞弊风险》的要求，审计发行人是否严格按照《企业会计准则36号——关联方披露》、《上市公司信息披露管理办法》和证券交易所相关业务规则的规定，真实、准确、完整地披露关联方关系及其交易，关注发行人是否存在通过未披露关联方实施舞弊的行为。</w:t>
      </w:r>
    </w:p>
    <w:p w14:paraId="31E5193B" w14:textId="77777777" w:rsidR="00865B2E" w:rsidRDefault="00865B2E" w:rsidP="00865B2E">
      <w:pPr>
        <w:pStyle w:val="13"/>
      </w:pPr>
      <w:r>
        <w:rPr>
          <w:rFonts w:hint="eastAsia"/>
        </w:rPr>
        <w:t>（一）常见问题</w:t>
      </w:r>
    </w:p>
    <w:p w14:paraId="1D9D8AC2" w14:textId="77777777" w:rsidR="00865B2E" w:rsidRDefault="00865B2E" w:rsidP="00865B2E">
      <w:pPr>
        <w:pStyle w:val="13"/>
      </w:pPr>
      <w:r>
        <w:rPr>
          <w:rFonts w:hint="eastAsia"/>
        </w:rPr>
        <w:t>除《会计监管风险提示第</w:t>
      </w:r>
      <w:r>
        <w:t>2号——通过未披露关联方实施的舞弊风险》中提到的审计常见问题，注册会计师审计关联方及其交易通常还存在以下问题：</w:t>
      </w:r>
    </w:p>
    <w:p w14:paraId="31A83364" w14:textId="77777777" w:rsidR="00865B2E" w:rsidRDefault="00865B2E" w:rsidP="00865B2E">
      <w:pPr>
        <w:pStyle w:val="13"/>
      </w:pPr>
      <w:r>
        <w:rPr>
          <w:rFonts w:hint="eastAsia"/>
        </w:rPr>
        <w:t>第一，仅限于查阅书面资料以获取发行人关联方关系，未实施其他必要的审计程序。</w:t>
      </w:r>
    </w:p>
    <w:p w14:paraId="4DE1A9D6" w14:textId="77777777" w:rsidR="00865B2E" w:rsidRDefault="00865B2E" w:rsidP="00865B2E">
      <w:pPr>
        <w:pStyle w:val="13"/>
      </w:pPr>
      <w:r>
        <w:rPr>
          <w:rFonts w:hint="eastAsia"/>
        </w:rPr>
        <w:t>第二，忽视对发行人在申报期内注销或非关联化的关联方及其商业实质的甄别。</w:t>
      </w:r>
    </w:p>
    <w:p w14:paraId="7BFB994A" w14:textId="77777777" w:rsidR="00865B2E" w:rsidRDefault="00865B2E" w:rsidP="00865B2E">
      <w:pPr>
        <w:pStyle w:val="13"/>
      </w:pPr>
      <w:r>
        <w:rPr>
          <w:rFonts w:hint="eastAsia"/>
        </w:rPr>
        <w:t>第三，忽视对重大关联交易价格公允性的检查。</w:t>
      </w:r>
    </w:p>
    <w:p w14:paraId="4516C12F" w14:textId="77777777" w:rsidR="00865B2E" w:rsidRDefault="00865B2E" w:rsidP="00865B2E">
      <w:pPr>
        <w:pStyle w:val="13"/>
      </w:pPr>
      <w:r>
        <w:rPr>
          <w:rFonts w:hint="eastAsia"/>
        </w:rPr>
        <w:t>（二）会计监管关注事项</w:t>
      </w:r>
    </w:p>
    <w:p w14:paraId="7259A01F" w14:textId="15D02631" w:rsidR="00865B2E" w:rsidRDefault="00865B2E" w:rsidP="00865B2E">
      <w:pPr>
        <w:pStyle w:val="13"/>
      </w:pPr>
      <w:r>
        <w:rPr>
          <w:rFonts w:hint="eastAsia"/>
        </w:rPr>
        <w:lastRenderedPageBreak/>
        <w:t>在会计监管工作中，应当关注注册会计师是否采取《会计监管风险提示第</w:t>
      </w:r>
      <w:r>
        <w:t>2号—通过未披露关联方实施的舞弊风险》中提到的应对措施，并补充考虑：</w:t>
      </w:r>
    </w:p>
    <w:p w14:paraId="613C86B8" w14:textId="77777777" w:rsidR="00865B2E" w:rsidRDefault="00865B2E" w:rsidP="00865B2E">
      <w:pPr>
        <w:pStyle w:val="13"/>
      </w:pPr>
      <w:r>
        <w:rPr>
          <w:rFonts w:hint="eastAsia"/>
        </w:rPr>
        <w:t>第一，如果存在未披露关联交易迹象，注册会计师应当采取进一步措施核实是否存在未披露关联方的情况。注册会计师应调查申报期内与发行人存在重大、异常交易的交易对手背景信息，如股东、关键管理人员、业务规模、办公地址等信息，并与已经取得的申报期内发行人实际控制人、董事、监事、高级管理人员关系密切的家庭成员名单相互核对和印证。</w:t>
      </w:r>
    </w:p>
    <w:p w14:paraId="7CB8A191" w14:textId="77777777" w:rsidR="00865B2E" w:rsidRDefault="00865B2E" w:rsidP="00865B2E">
      <w:pPr>
        <w:pStyle w:val="13"/>
      </w:pPr>
      <w:r>
        <w:rPr>
          <w:rFonts w:hint="eastAsia"/>
        </w:rPr>
        <w:t>第二，如果存在申报期内发行人关联方注销及非关联化的情况，注册会计师应关注发行人是否将关联方注销及非关联化之前的交易作为关联交易进行披露；应识别发行人将原关联方非关联化行为的动机及后续交易的真实性、公允性，以及发行人是否存在剥离亏损子公司或亏损项目以增加公司利润的行为。</w:t>
      </w:r>
    </w:p>
    <w:p w14:paraId="793B847B" w14:textId="77777777" w:rsidR="00865B2E" w:rsidRDefault="00865B2E" w:rsidP="00865B2E">
      <w:pPr>
        <w:pStyle w:val="13"/>
      </w:pPr>
      <w:r>
        <w:rPr>
          <w:rFonts w:hint="eastAsia"/>
        </w:rPr>
        <w:t>第三，如果存在发行人与控股股东及其控制的企业发生重大关联交易等情形，注册会计师应扩大对关联交易的审计范围，必要时可要求发行人及控股股东配合，以核查关联方财务资料。</w:t>
      </w:r>
    </w:p>
    <w:p w14:paraId="3D168509" w14:textId="77777777" w:rsidR="00865B2E" w:rsidRDefault="00865B2E" w:rsidP="00F90938">
      <w:pPr>
        <w:pStyle w:val="ab"/>
        <w:spacing w:before="62" w:after="62"/>
        <w:ind w:firstLine="482"/>
      </w:pPr>
      <w:r>
        <w:rPr>
          <w:rFonts w:hint="eastAsia"/>
        </w:rPr>
        <w:t>六、收入确认和成本核算</w:t>
      </w:r>
    </w:p>
    <w:p w14:paraId="5CB67753" w14:textId="77777777" w:rsidR="00865B2E" w:rsidRDefault="00865B2E" w:rsidP="00865B2E">
      <w:pPr>
        <w:pStyle w:val="13"/>
      </w:pPr>
      <w:r>
        <w:rPr>
          <w:rFonts w:hint="eastAsia"/>
        </w:rPr>
        <w:t>在从事</w:t>
      </w:r>
      <w:r>
        <w:t>IPO审计业务过程中，注册会计师应结合发行人所处行业特点，关注收入确认和成本核算的真实性、完整性，以及毛利率分析的合理性，尤其是在识别和评估舞弊导致的收入项目重大错报风险时，注册会计师应当基于收入确认存在舞弊风险的假定，对不同类型的交易进行重点关注。</w:t>
      </w:r>
    </w:p>
    <w:p w14:paraId="018CF0F6" w14:textId="77777777" w:rsidR="00865B2E" w:rsidRDefault="00865B2E" w:rsidP="00865B2E">
      <w:pPr>
        <w:pStyle w:val="13"/>
      </w:pPr>
      <w:r>
        <w:rPr>
          <w:rFonts w:hint="eastAsia"/>
        </w:rPr>
        <w:t>（一）常见问题</w:t>
      </w:r>
    </w:p>
    <w:p w14:paraId="2DEDDE8E" w14:textId="77777777" w:rsidR="00865B2E" w:rsidRDefault="00865B2E" w:rsidP="00865B2E">
      <w:pPr>
        <w:pStyle w:val="13"/>
      </w:pPr>
      <w:r>
        <w:rPr>
          <w:rFonts w:hint="eastAsia"/>
        </w:rPr>
        <w:t>注册会计师在对发行人申报期收入确认和成本核算进行审计时</w:t>
      </w:r>
      <w:r>
        <w:t>, 通常存在以下问题：</w:t>
      </w:r>
    </w:p>
    <w:p w14:paraId="5439978B" w14:textId="77777777" w:rsidR="00865B2E" w:rsidRDefault="00865B2E" w:rsidP="00865B2E">
      <w:pPr>
        <w:pStyle w:val="13"/>
      </w:pPr>
      <w:r>
        <w:rPr>
          <w:rFonts w:hint="eastAsia"/>
        </w:rPr>
        <w:t>第一，忽视对发行人不同销售模式，特别是创新销售模式下收入确认的分析。</w:t>
      </w:r>
    </w:p>
    <w:p w14:paraId="45C6BF69" w14:textId="77777777" w:rsidR="00865B2E" w:rsidRDefault="00865B2E" w:rsidP="00865B2E">
      <w:pPr>
        <w:pStyle w:val="13"/>
      </w:pPr>
      <w:r>
        <w:rPr>
          <w:rFonts w:hint="eastAsia"/>
        </w:rPr>
        <w:t>第二，忽视申报期内各期应收账款、预收款项、营业收入和经营活动现金流量等数据之间的逻辑关系，未发现其中的异常情况。</w:t>
      </w:r>
    </w:p>
    <w:p w14:paraId="399ED7C0" w14:textId="77777777" w:rsidR="00865B2E" w:rsidRDefault="00865B2E" w:rsidP="00865B2E">
      <w:pPr>
        <w:pStyle w:val="13"/>
      </w:pPr>
      <w:r>
        <w:rPr>
          <w:rFonts w:hint="eastAsia"/>
        </w:rPr>
        <w:t>第三，忽视对发行人申报期内成本核算真实性、完整性和收入成本配比合理性的分析。</w:t>
      </w:r>
    </w:p>
    <w:p w14:paraId="1333FA2F" w14:textId="77777777" w:rsidR="00865B2E" w:rsidRDefault="00865B2E" w:rsidP="00865B2E">
      <w:pPr>
        <w:pStyle w:val="13"/>
      </w:pPr>
      <w:r>
        <w:rPr>
          <w:rFonts w:hint="eastAsia"/>
        </w:rPr>
        <w:t>第四，忽视同行业公司毛利率分析，未能发现发行人毛利率异常背后的真实原因。</w:t>
      </w:r>
    </w:p>
    <w:p w14:paraId="5B27E8C5" w14:textId="77777777" w:rsidR="00865B2E" w:rsidRDefault="00865B2E" w:rsidP="00865B2E">
      <w:pPr>
        <w:pStyle w:val="13"/>
      </w:pPr>
      <w:r>
        <w:rPr>
          <w:rFonts w:hint="eastAsia"/>
        </w:rPr>
        <w:t>（二）会计监管关注事项</w:t>
      </w:r>
    </w:p>
    <w:p w14:paraId="65E17F50" w14:textId="77777777" w:rsidR="00865B2E" w:rsidRDefault="00865B2E" w:rsidP="00865B2E">
      <w:pPr>
        <w:pStyle w:val="13"/>
      </w:pPr>
      <w:r>
        <w:rPr>
          <w:rFonts w:hint="eastAsia"/>
        </w:rPr>
        <w:t>在会计监管工作中，应关注注册会计师是否有针对性地执行了以下审计程序：</w:t>
      </w:r>
    </w:p>
    <w:p w14:paraId="5D4D1EA4" w14:textId="77777777" w:rsidR="00865B2E" w:rsidRDefault="00865B2E" w:rsidP="00865B2E">
      <w:pPr>
        <w:pStyle w:val="13"/>
      </w:pPr>
      <w:r>
        <w:rPr>
          <w:rFonts w:hint="eastAsia"/>
        </w:rPr>
        <w:t>第一，申报期内发行人在不同销售模式下收入确认方式：</w:t>
      </w:r>
    </w:p>
    <w:p w14:paraId="18DAFE71" w14:textId="77777777" w:rsidR="00865B2E" w:rsidRDefault="00865B2E" w:rsidP="00865B2E">
      <w:pPr>
        <w:pStyle w:val="13"/>
      </w:pPr>
      <w:r>
        <w:rPr>
          <w:rFonts w:hint="eastAsia"/>
        </w:rPr>
        <w:t>如果发行人采用经销商或加盟商模式，注册会计师应当关注发行人频繁发生经销商或加盟商加入及退出的情况，以及发行人申报期内经销商或加盟</w:t>
      </w:r>
      <w:proofErr w:type="gramStart"/>
      <w:r>
        <w:rPr>
          <w:rFonts w:hint="eastAsia"/>
        </w:rPr>
        <w:t>商收入</w:t>
      </w:r>
      <w:proofErr w:type="gramEnd"/>
      <w:r>
        <w:rPr>
          <w:rFonts w:hint="eastAsia"/>
        </w:rPr>
        <w:t>的最终</w:t>
      </w:r>
      <w:r>
        <w:rPr>
          <w:rFonts w:hint="eastAsia"/>
        </w:rPr>
        <w:lastRenderedPageBreak/>
        <w:t>销售实现情况。同时，应考虑发行人收入确认会计政策是否符合《企业会计准则》及其应用指南的有关规定，包括对不稳定经销商或加盟商的收入确认是否适当、退换货损失的处理是否适当等。</w:t>
      </w:r>
    </w:p>
    <w:p w14:paraId="10C9B94D" w14:textId="77777777" w:rsidR="00865B2E" w:rsidRDefault="00865B2E" w:rsidP="00865B2E">
      <w:pPr>
        <w:pStyle w:val="13"/>
      </w:pPr>
      <w:r>
        <w:rPr>
          <w:rFonts w:hint="eastAsia"/>
        </w:rPr>
        <w:t>如果发行人采用直销模式，注册会计师应当检查销售协议中收入确认条件、退换货条件、款项支付条件等是否能够证明与商品所有权相关的主要风险和报酬已经发生转移。</w:t>
      </w:r>
    </w:p>
    <w:p w14:paraId="302DA93A" w14:textId="77777777" w:rsidR="00865B2E" w:rsidRDefault="00865B2E" w:rsidP="00865B2E">
      <w:pPr>
        <w:pStyle w:val="13"/>
      </w:pPr>
      <w:r>
        <w:rPr>
          <w:rFonts w:hint="eastAsia"/>
        </w:rPr>
        <w:t>如果发行人存在其他特殊交易模式或创新交易模式，注册会计师应当合理分析盈利模式和交易方式创新对经济实质和收入确认的影响。只有在充分、适当的审计证据能够证明与商品所有权相关的主要风险和报酬已经发生转移时，发行人才能确认销售收入。在此过程中，注册会计师应注重从外部独立来源获取审计证据。</w:t>
      </w:r>
    </w:p>
    <w:p w14:paraId="405AC627" w14:textId="77777777" w:rsidR="00865B2E" w:rsidRDefault="00865B2E" w:rsidP="00865B2E">
      <w:pPr>
        <w:pStyle w:val="13"/>
      </w:pPr>
      <w:r>
        <w:rPr>
          <w:rFonts w:hint="eastAsia"/>
        </w:rPr>
        <w:t>如果发行人采用完工百分比法确认销售收入，注册会计师应当核查发行人确认完工百分比的方式是否合理，从发行人内部不同部门获取资料中相关信息是否一致，以及完工百分比是否能够取得客户确认、监理报告、供应商结算单据等外部证据佐证，必要时可以聘请外部专家协助。</w:t>
      </w:r>
    </w:p>
    <w:p w14:paraId="7A0B1D2D" w14:textId="77777777" w:rsidR="00865B2E" w:rsidRDefault="00865B2E" w:rsidP="00865B2E">
      <w:pPr>
        <w:pStyle w:val="13"/>
      </w:pPr>
      <w:r>
        <w:rPr>
          <w:rFonts w:hint="eastAsia"/>
        </w:rPr>
        <w:t>第二，注册会计师应考虑与营业收入相关的报表项目之间的逻辑关系：</w:t>
      </w:r>
    </w:p>
    <w:p w14:paraId="07155B76" w14:textId="77777777" w:rsidR="00865B2E" w:rsidRDefault="00865B2E" w:rsidP="00865B2E">
      <w:pPr>
        <w:pStyle w:val="13"/>
      </w:pPr>
      <w:r>
        <w:rPr>
          <w:rFonts w:hint="eastAsia"/>
        </w:rPr>
        <w:t>如果发行人应收账款余额较大，或者应收账款增长比例高于销售收入的增长比例，注册会计师应当分析具体原因，并通过</w:t>
      </w:r>
      <w:proofErr w:type="gramStart"/>
      <w:r>
        <w:rPr>
          <w:rFonts w:hint="eastAsia"/>
        </w:rPr>
        <w:t>扩大函证比例</w:t>
      </w:r>
      <w:proofErr w:type="gramEnd"/>
      <w:r>
        <w:rPr>
          <w:rFonts w:hint="eastAsia"/>
        </w:rPr>
        <w:t>、增加大客户访谈、增加截止测试和</w:t>
      </w:r>
      <w:proofErr w:type="gramStart"/>
      <w:r>
        <w:rPr>
          <w:rFonts w:hint="eastAsia"/>
        </w:rPr>
        <w:t>期后</w:t>
      </w:r>
      <w:proofErr w:type="gramEnd"/>
      <w:r>
        <w:rPr>
          <w:rFonts w:hint="eastAsia"/>
        </w:rPr>
        <w:t>收款测试的比例等方式，加强应收账款的实质性测试程序。</w:t>
      </w:r>
    </w:p>
    <w:p w14:paraId="2EB1C504" w14:textId="77777777" w:rsidR="00865B2E" w:rsidRDefault="00865B2E" w:rsidP="00865B2E">
      <w:pPr>
        <w:pStyle w:val="13"/>
      </w:pPr>
      <w:r>
        <w:rPr>
          <w:rFonts w:hint="eastAsia"/>
        </w:rPr>
        <w:t>如果发行人经营性现金流量与利润严重不匹配，注册会计师应要求发行人分析经营性现金流量与净利润之间产生差异的原因，并逐项核对差异是否合理。</w:t>
      </w:r>
    </w:p>
    <w:p w14:paraId="4E9BFF3D" w14:textId="77777777" w:rsidR="00865B2E" w:rsidRDefault="00865B2E" w:rsidP="00865B2E">
      <w:pPr>
        <w:pStyle w:val="13"/>
      </w:pPr>
      <w:r>
        <w:rPr>
          <w:rFonts w:hint="eastAsia"/>
        </w:rPr>
        <w:t>第三，注册会计师应当关注发行人申报期内成本核算的真实性、完整性和收入成本配比的合理性，具体包括：</w:t>
      </w:r>
    </w:p>
    <w:p w14:paraId="5D732C87" w14:textId="77777777" w:rsidR="00865B2E" w:rsidRDefault="00865B2E" w:rsidP="00865B2E">
      <w:pPr>
        <w:pStyle w:val="13"/>
      </w:pPr>
      <w:r>
        <w:rPr>
          <w:rFonts w:hint="eastAsia"/>
        </w:rPr>
        <w:t>（</w:t>
      </w:r>
      <w:r>
        <w:t>1）发行人成本核算的会计政策是否符合发行人实际经营情况。</w:t>
      </w:r>
    </w:p>
    <w:p w14:paraId="1DB21622" w14:textId="77777777" w:rsidR="00865B2E" w:rsidRDefault="00865B2E" w:rsidP="00865B2E">
      <w:pPr>
        <w:pStyle w:val="13"/>
      </w:pPr>
      <w:r>
        <w:rPr>
          <w:rFonts w:hint="eastAsia"/>
        </w:rPr>
        <w:t>（</w:t>
      </w:r>
      <w:r>
        <w:t>2）如果发行人毛利率与同行业公司相比明显偏高且与行业发展状况不符、存货余额较大、存货周转率较低，注册会计师应核查发行人是否存在通过少转成本虚增毛利润的行为。如，发行人为满足高新技术企业认定条件，将应计入生产成本项目的支出在管理费用的研发费用中核算和列报。</w:t>
      </w:r>
    </w:p>
    <w:p w14:paraId="4C21014E" w14:textId="77777777" w:rsidR="00865B2E" w:rsidRDefault="00865B2E" w:rsidP="00865B2E">
      <w:pPr>
        <w:pStyle w:val="13"/>
      </w:pPr>
      <w:r>
        <w:rPr>
          <w:rFonts w:hint="eastAsia"/>
        </w:rPr>
        <w:t>（</w:t>
      </w:r>
      <w:r>
        <w:t>3）注册会计师应核查发行人是否向实际控制人及其关联方或</w:t>
      </w:r>
      <w:proofErr w:type="gramStart"/>
      <w:r>
        <w:t>其他第三</w:t>
      </w:r>
      <w:proofErr w:type="gramEnd"/>
      <w:r>
        <w:t>方转移成本，以降低期末存货和当期营业成本。</w:t>
      </w:r>
    </w:p>
    <w:p w14:paraId="7A8DB61A" w14:textId="77777777" w:rsidR="00865B2E" w:rsidRDefault="00865B2E" w:rsidP="00865B2E">
      <w:pPr>
        <w:pStyle w:val="13"/>
      </w:pPr>
      <w:r>
        <w:rPr>
          <w:rFonts w:hint="eastAsia"/>
        </w:rPr>
        <w:t>（</w:t>
      </w:r>
      <w:r>
        <w:t>4）注册会计师应进行截止测试，检查发行人是否通过调节成本确认期间在各年度之间调节利润。</w:t>
      </w:r>
    </w:p>
    <w:p w14:paraId="145ECF43" w14:textId="77777777" w:rsidR="00865B2E" w:rsidRDefault="00865B2E" w:rsidP="00865B2E">
      <w:pPr>
        <w:pStyle w:val="13"/>
      </w:pPr>
      <w:r>
        <w:rPr>
          <w:rFonts w:hint="eastAsia"/>
        </w:rPr>
        <w:t>第四，如果发行人报告期毛利率变动较大或者与同行业上市公司平均毛利率差异较大，注册会计师应当采用定性分析与定量分析相结合的方法，从发行人行业及市场变化趋势、产品销售价格和产品成本要素等方面对发行人毛利率变动的合理性进</w:t>
      </w:r>
      <w:r>
        <w:rPr>
          <w:rFonts w:hint="eastAsia"/>
        </w:rPr>
        <w:lastRenderedPageBreak/>
        <w:t>行核查。</w:t>
      </w:r>
    </w:p>
    <w:p w14:paraId="42A05E00" w14:textId="77777777" w:rsidR="00865B2E" w:rsidRDefault="00865B2E" w:rsidP="00F90938">
      <w:pPr>
        <w:pStyle w:val="ab"/>
        <w:spacing w:before="62" w:after="62"/>
        <w:ind w:firstLine="482"/>
      </w:pPr>
      <w:r>
        <w:rPr>
          <w:rFonts w:hint="eastAsia"/>
        </w:rPr>
        <w:t>七、主要客户和供应商</w:t>
      </w:r>
    </w:p>
    <w:p w14:paraId="2EA5898C" w14:textId="77777777" w:rsidR="00865B2E" w:rsidRDefault="00865B2E" w:rsidP="00865B2E">
      <w:pPr>
        <w:pStyle w:val="13"/>
      </w:pPr>
      <w:r>
        <w:rPr>
          <w:rFonts w:hint="eastAsia"/>
        </w:rPr>
        <w:t>注册会计师应当核查申报期内发行人是否为主要客户建立客户档案，确定其授信额度，并在授信额度内对客户提供赊销；核查发行人是否建立合格供应商名录，是否在合格供应商名录内选择供应商；是否对发行人主要客户和供应</w:t>
      </w:r>
      <w:proofErr w:type="gramStart"/>
      <w:r>
        <w:rPr>
          <w:rFonts w:hint="eastAsia"/>
        </w:rPr>
        <w:t>商情况</w:t>
      </w:r>
      <w:proofErr w:type="gramEnd"/>
      <w:r>
        <w:rPr>
          <w:rFonts w:hint="eastAsia"/>
        </w:rPr>
        <w:t>进行核查，并根据重要性原则进行实地走访或电话访谈，将相关情况记录于审计工作底稿。</w:t>
      </w:r>
    </w:p>
    <w:p w14:paraId="050507DF" w14:textId="77777777" w:rsidR="00865B2E" w:rsidRDefault="00865B2E" w:rsidP="00865B2E">
      <w:pPr>
        <w:pStyle w:val="13"/>
      </w:pPr>
      <w:r>
        <w:rPr>
          <w:rFonts w:hint="eastAsia"/>
        </w:rPr>
        <w:t>（一）常见问题</w:t>
      </w:r>
    </w:p>
    <w:p w14:paraId="35633BB6" w14:textId="77777777" w:rsidR="00865B2E" w:rsidRDefault="00865B2E" w:rsidP="00865B2E">
      <w:pPr>
        <w:pStyle w:val="13"/>
      </w:pPr>
      <w:r>
        <w:rPr>
          <w:rFonts w:hint="eastAsia"/>
        </w:rPr>
        <w:t>核实主要客户和供应商信息是注册会计师执行</w:t>
      </w:r>
      <w:r>
        <w:t>IPO审计业务一项非常重要的程序，注册会计师在核查中通常存在以下问题：</w:t>
      </w:r>
    </w:p>
    <w:p w14:paraId="1C6A661F" w14:textId="77777777" w:rsidR="00865B2E" w:rsidRDefault="00865B2E" w:rsidP="00865B2E">
      <w:pPr>
        <w:pStyle w:val="13"/>
      </w:pPr>
      <w:r>
        <w:rPr>
          <w:rFonts w:hint="eastAsia"/>
        </w:rPr>
        <w:t>第一，未对发行人或保荐人提供的主要客户和供应商信息执行必要的审计程序以核实其真实性。</w:t>
      </w:r>
    </w:p>
    <w:p w14:paraId="7EB0E08A" w14:textId="77777777" w:rsidR="00865B2E" w:rsidRDefault="00865B2E" w:rsidP="00865B2E">
      <w:pPr>
        <w:pStyle w:val="13"/>
      </w:pPr>
      <w:r>
        <w:rPr>
          <w:rFonts w:hint="eastAsia"/>
        </w:rPr>
        <w:t>第二，未对取得的主要客户和供应商信息保持必要的职业怀疑态度，未识别出关联方或者存在异常的客户和供应商。</w:t>
      </w:r>
    </w:p>
    <w:p w14:paraId="224A8382" w14:textId="77777777" w:rsidR="00865B2E" w:rsidRDefault="00865B2E" w:rsidP="00865B2E">
      <w:pPr>
        <w:pStyle w:val="13"/>
      </w:pPr>
      <w:r>
        <w:rPr>
          <w:rFonts w:hint="eastAsia"/>
        </w:rPr>
        <w:t>第三，未对审计中发现的委托采购、集合销售等名义采购、销售业务的真实性执行进一步审计程序。</w:t>
      </w:r>
    </w:p>
    <w:p w14:paraId="6CA750BC" w14:textId="77777777" w:rsidR="00865B2E" w:rsidRDefault="00865B2E" w:rsidP="00865B2E">
      <w:pPr>
        <w:pStyle w:val="13"/>
      </w:pPr>
      <w:r>
        <w:rPr>
          <w:rFonts w:hint="eastAsia"/>
        </w:rPr>
        <w:t>（二）会计监管关注事项</w:t>
      </w:r>
    </w:p>
    <w:p w14:paraId="1B0DAC0C" w14:textId="77777777" w:rsidR="00865B2E" w:rsidRDefault="00865B2E" w:rsidP="00865B2E">
      <w:pPr>
        <w:pStyle w:val="13"/>
      </w:pPr>
      <w:r>
        <w:rPr>
          <w:rFonts w:hint="eastAsia"/>
        </w:rPr>
        <w:t>在会计监管工作中，应关注注册会计师是否有针对性地执行了以下审计程序：</w:t>
      </w:r>
    </w:p>
    <w:p w14:paraId="3F53BA4E" w14:textId="77777777" w:rsidR="00865B2E" w:rsidRDefault="00865B2E" w:rsidP="00865B2E">
      <w:pPr>
        <w:pStyle w:val="13"/>
      </w:pPr>
      <w:r>
        <w:rPr>
          <w:rFonts w:hint="eastAsia"/>
        </w:rPr>
        <w:t>第一，对发行人主要客户和供应商（如前十名客户或供应商）情况进行核查，取得客户或供应商的工商登记资料；根据重要性原则，对主要客户和供应商进行实地走访或电话访谈，并记录于审计工作底稿。特别注意甄别客户和供应商的实际控制人及关键经办人员与发行人是否存在关联方关系。</w:t>
      </w:r>
    </w:p>
    <w:p w14:paraId="63E81A48" w14:textId="77777777" w:rsidR="00865B2E" w:rsidRDefault="00865B2E" w:rsidP="00865B2E">
      <w:pPr>
        <w:pStyle w:val="13"/>
      </w:pPr>
      <w:r>
        <w:rPr>
          <w:rFonts w:hint="eastAsia"/>
        </w:rPr>
        <w:t>第二，对比历年主要客户和供应商名单，对报告期新增的主要客户核查其基本情况，必要时通过实地走访等方式核实其交易的真实性；对于与原有主要客户、供应商交易额大幅减少或合作关系取消的情况，应关注变化原因。如果注册会计师直接从与发行人有业务往来的客户或供应商处获取审计证据存在困难，在不违反《中国注册会计师职业道德守则》对注册会计师独立性相关规定的前提下，可以要求发行人以适当方式或者聘请第三方调查机构进行背景调查以帮助注册会计师获取审计证据。</w:t>
      </w:r>
    </w:p>
    <w:p w14:paraId="2821A109" w14:textId="77777777" w:rsidR="00865B2E" w:rsidRDefault="00865B2E" w:rsidP="00865B2E">
      <w:pPr>
        <w:pStyle w:val="13"/>
      </w:pPr>
      <w:r>
        <w:rPr>
          <w:rFonts w:hint="eastAsia"/>
        </w:rPr>
        <w:t>第三，注册会计师应关注发行人与主要客户交易的真实性，客户所购货物是否有合理用途、客户的付款能力和货款回收的及时性，以及供应商的真实性和供货来源。</w:t>
      </w:r>
    </w:p>
    <w:p w14:paraId="7AF6EE8E" w14:textId="77777777" w:rsidR="00865B2E" w:rsidRDefault="00865B2E" w:rsidP="00F90938">
      <w:pPr>
        <w:pStyle w:val="ab"/>
        <w:spacing w:before="62" w:after="62"/>
        <w:ind w:firstLine="482"/>
      </w:pPr>
      <w:r>
        <w:rPr>
          <w:rFonts w:hint="eastAsia"/>
        </w:rPr>
        <w:t>八、资产盘点和资产权属</w:t>
      </w:r>
    </w:p>
    <w:p w14:paraId="775B502A" w14:textId="77777777" w:rsidR="00865B2E" w:rsidRDefault="00865B2E" w:rsidP="00865B2E">
      <w:pPr>
        <w:pStyle w:val="13"/>
      </w:pPr>
      <w:r>
        <w:rPr>
          <w:rFonts w:hint="eastAsia"/>
        </w:rPr>
        <w:t>注册会计师应关注存货和其他资产的真实性以及减值准备计提是否充分，了解发行人是否建立主要资产的定期盘点制度，包括盘点频率、盘点执行人、</w:t>
      </w:r>
      <w:proofErr w:type="gramStart"/>
      <w:r>
        <w:rPr>
          <w:rFonts w:hint="eastAsia"/>
        </w:rPr>
        <w:t>监盘人</w:t>
      </w:r>
      <w:proofErr w:type="gramEnd"/>
      <w:r>
        <w:rPr>
          <w:rFonts w:hint="eastAsia"/>
        </w:rPr>
        <w:t>等，盘点结果是否形成书面记录；注册会计师应在存货盘点现场实施监盘，并对期末存货</w:t>
      </w:r>
      <w:r>
        <w:rPr>
          <w:rFonts w:hint="eastAsia"/>
        </w:rPr>
        <w:lastRenderedPageBreak/>
        <w:t>记录实施审计程序，以确定其是否准确反映实际的存货盘点结果。</w:t>
      </w:r>
    </w:p>
    <w:p w14:paraId="1C19313E" w14:textId="77777777" w:rsidR="00865B2E" w:rsidRDefault="00865B2E" w:rsidP="00865B2E">
      <w:pPr>
        <w:pStyle w:val="13"/>
      </w:pPr>
      <w:r>
        <w:rPr>
          <w:rFonts w:hint="eastAsia"/>
        </w:rPr>
        <w:t>（一）常见问题</w:t>
      </w:r>
    </w:p>
    <w:p w14:paraId="6E452A13" w14:textId="77777777" w:rsidR="00865B2E" w:rsidRDefault="00865B2E" w:rsidP="00865B2E">
      <w:pPr>
        <w:pStyle w:val="13"/>
      </w:pPr>
      <w:proofErr w:type="gramStart"/>
      <w:r>
        <w:rPr>
          <w:rFonts w:hint="eastAsia"/>
        </w:rPr>
        <w:t>执行监盘程序</w:t>
      </w:r>
      <w:proofErr w:type="gramEnd"/>
      <w:r>
        <w:rPr>
          <w:rFonts w:hint="eastAsia"/>
        </w:rPr>
        <w:t>和核实资产权属是注册会计师在</w:t>
      </w:r>
      <w:r>
        <w:t>IPO审计业务中应特别重视的审计程序，注册会计师审计中主要存在以下问题：</w:t>
      </w:r>
    </w:p>
    <w:p w14:paraId="41872CF1" w14:textId="77777777" w:rsidR="00865B2E" w:rsidRDefault="00865B2E" w:rsidP="00865B2E">
      <w:pPr>
        <w:pStyle w:val="13"/>
      </w:pPr>
      <w:r>
        <w:rPr>
          <w:rFonts w:hint="eastAsia"/>
        </w:rPr>
        <w:t>第一，忽视异地存放或由第三方保管或控制的存货。</w:t>
      </w:r>
    </w:p>
    <w:p w14:paraId="52E8181A" w14:textId="77777777" w:rsidR="00865B2E" w:rsidRDefault="00865B2E" w:rsidP="00865B2E">
      <w:pPr>
        <w:pStyle w:val="13"/>
      </w:pPr>
      <w:r>
        <w:rPr>
          <w:rFonts w:hint="eastAsia"/>
        </w:rPr>
        <w:t>第二，忽视申报期第</w:t>
      </w:r>
      <w:r>
        <w:t>1年和第2年年末存货余额的审计。</w:t>
      </w:r>
    </w:p>
    <w:p w14:paraId="49C1576E" w14:textId="77777777" w:rsidR="00865B2E" w:rsidRDefault="00865B2E" w:rsidP="00865B2E">
      <w:pPr>
        <w:pStyle w:val="13"/>
      </w:pPr>
      <w:r>
        <w:rPr>
          <w:rFonts w:hint="eastAsia"/>
        </w:rPr>
        <w:t>第三，忽视货币资金的受限情况，忽视房屋及建筑物、交通工具、矿权等资产权属的抵押、质押情况。</w:t>
      </w:r>
    </w:p>
    <w:p w14:paraId="5C4C133B" w14:textId="77777777" w:rsidR="00865B2E" w:rsidRDefault="00865B2E" w:rsidP="00865B2E">
      <w:pPr>
        <w:pStyle w:val="13"/>
      </w:pPr>
      <w:r>
        <w:rPr>
          <w:rFonts w:hint="eastAsia"/>
        </w:rPr>
        <w:t>第四，未能正确判断自身对</w:t>
      </w:r>
      <w:proofErr w:type="gramStart"/>
      <w:r>
        <w:rPr>
          <w:rFonts w:hint="eastAsia"/>
        </w:rPr>
        <w:t>资产监盘的</w:t>
      </w:r>
      <w:proofErr w:type="gramEnd"/>
      <w:r>
        <w:rPr>
          <w:rFonts w:hint="eastAsia"/>
        </w:rPr>
        <w:t>专业胜任能力，未能及时聘请专家</w:t>
      </w:r>
      <w:proofErr w:type="gramStart"/>
      <w:r>
        <w:rPr>
          <w:rFonts w:hint="eastAsia"/>
        </w:rPr>
        <w:t>执行监盘工作</w:t>
      </w:r>
      <w:proofErr w:type="gramEnd"/>
      <w:r>
        <w:rPr>
          <w:rFonts w:hint="eastAsia"/>
        </w:rPr>
        <w:t>。</w:t>
      </w:r>
    </w:p>
    <w:p w14:paraId="7DC35044" w14:textId="77777777" w:rsidR="00865B2E" w:rsidRDefault="00865B2E" w:rsidP="00865B2E">
      <w:pPr>
        <w:pStyle w:val="13"/>
      </w:pPr>
      <w:r>
        <w:rPr>
          <w:rFonts w:hint="eastAsia"/>
        </w:rPr>
        <w:t>第五，混淆发行人盘点和注册</w:t>
      </w:r>
      <w:proofErr w:type="gramStart"/>
      <w:r>
        <w:rPr>
          <w:rFonts w:hint="eastAsia"/>
        </w:rPr>
        <w:t>会计师监盘之间</w:t>
      </w:r>
      <w:proofErr w:type="gramEnd"/>
      <w:r>
        <w:rPr>
          <w:rFonts w:hint="eastAsia"/>
        </w:rPr>
        <w:t>的不同责任。</w:t>
      </w:r>
    </w:p>
    <w:p w14:paraId="00F57AC3" w14:textId="77777777" w:rsidR="00865B2E" w:rsidRDefault="00865B2E" w:rsidP="00865B2E">
      <w:pPr>
        <w:pStyle w:val="13"/>
      </w:pPr>
      <w:r>
        <w:rPr>
          <w:rFonts w:hint="eastAsia"/>
        </w:rPr>
        <w:t>（二）会计监管关注事项</w:t>
      </w:r>
    </w:p>
    <w:p w14:paraId="32503070" w14:textId="77777777" w:rsidR="00865B2E" w:rsidRDefault="00865B2E" w:rsidP="00865B2E">
      <w:pPr>
        <w:pStyle w:val="13"/>
      </w:pPr>
      <w:r>
        <w:rPr>
          <w:rFonts w:hint="eastAsia"/>
        </w:rPr>
        <w:t>在会计监管工作中，应关注注册会计师是否有针对性地执行以下审计程序：</w:t>
      </w:r>
    </w:p>
    <w:p w14:paraId="5F67D5F0" w14:textId="77777777" w:rsidR="00865B2E" w:rsidRDefault="00865B2E" w:rsidP="00865B2E">
      <w:pPr>
        <w:pStyle w:val="13"/>
      </w:pPr>
      <w:r>
        <w:rPr>
          <w:rFonts w:hint="eastAsia"/>
        </w:rPr>
        <w:t>第一，如果存在异地存放和由第三方保管或控制的存货，注册会计师应当针对发行人实际情况，执行异地盘点或向第三方发函等审计程序。</w:t>
      </w:r>
    </w:p>
    <w:p w14:paraId="3890F174" w14:textId="77777777" w:rsidR="00865B2E" w:rsidRDefault="00865B2E" w:rsidP="00865B2E">
      <w:pPr>
        <w:pStyle w:val="13"/>
      </w:pPr>
      <w:r>
        <w:rPr>
          <w:rFonts w:hint="eastAsia"/>
        </w:rPr>
        <w:t>第二，如果注册会计师在申报期第</w:t>
      </w:r>
      <w:r>
        <w:t>1年或第2年结束后接受委托担任发行人的注册会计师，可能无法对发行人第1年或第2年年末的存货实施监盘，注册会计师应考虑能否实施有效替代程序（包括取得、使用并评估前任会计师的监盘结果）以获取充分、适当的审计证据，否则注册会计师应考虑上述情况对审计意见的影响。</w:t>
      </w:r>
    </w:p>
    <w:p w14:paraId="2D22D16D" w14:textId="77777777" w:rsidR="00865B2E" w:rsidRDefault="00865B2E" w:rsidP="00865B2E">
      <w:pPr>
        <w:pStyle w:val="13"/>
      </w:pPr>
      <w:r>
        <w:rPr>
          <w:rFonts w:hint="eastAsia"/>
        </w:rPr>
        <w:t>第三，在进行</w:t>
      </w:r>
      <w:proofErr w:type="gramStart"/>
      <w:r>
        <w:rPr>
          <w:rFonts w:hint="eastAsia"/>
        </w:rPr>
        <w:t>银行函证时</w:t>
      </w:r>
      <w:proofErr w:type="gramEnd"/>
      <w:r>
        <w:rPr>
          <w:rFonts w:hint="eastAsia"/>
        </w:rPr>
        <w:t>，关注是否存在受限货币资金；对于房屋及建筑物、交通工具、矿权等资产的监盘，注册会计师除实地查看外，应同时查看资产权属证明原件，了解是否设定对外抵押，并取得复印件作为工作底稿；对于正在办理权属证明的大额资产，注册会计师应了解权属证明办理情况，确认是否存在权属纠纷或实质性障碍。</w:t>
      </w:r>
    </w:p>
    <w:p w14:paraId="5A526904" w14:textId="77777777" w:rsidR="00865B2E" w:rsidRDefault="00865B2E" w:rsidP="00865B2E">
      <w:pPr>
        <w:pStyle w:val="13"/>
      </w:pPr>
      <w:r>
        <w:rPr>
          <w:rFonts w:hint="eastAsia"/>
        </w:rPr>
        <w:t>第四，如果</w:t>
      </w:r>
      <w:proofErr w:type="gramStart"/>
      <w:r>
        <w:rPr>
          <w:rFonts w:hint="eastAsia"/>
        </w:rPr>
        <w:t>实施监盘程序</w:t>
      </w:r>
      <w:proofErr w:type="gramEnd"/>
      <w:r>
        <w:rPr>
          <w:rFonts w:hint="eastAsia"/>
        </w:rPr>
        <w:t>确有困难，注册会计师应考虑能否实施有效替代程序（包括聘请专家</w:t>
      </w:r>
      <w:proofErr w:type="gramStart"/>
      <w:r>
        <w:rPr>
          <w:rFonts w:hint="eastAsia"/>
        </w:rPr>
        <w:t>执行监盘程序</w:t>
      </w:r>
      <w:proofErr w:type="gramEnd"/>
      <w:r>
        <w:rPr>
          <w:rFonts w:hint="eastAsia"/>
        </w:rPr>
        <w:t>）以获取充分、适当的审计证据，否则注册会计师应考虑上述情况对审计意见的影响。</w:t>
      </w:r>
    </w:p>
    <w:p w14:paraId="0BBE5373" w14:textId="77777777" w:rsidR="00865B2E" w:rsidRDefault="00865B2E" w:rsidP="00865B2E">
      <w:pPr>
        <w:pStyle w:val="13"/>
      </w:pPr>
      <w:r>
        <w:rPr>
          <w:rFonts w:hint="eastAsia"/>
        </w:rPr>
        <w:t>第五，注册会计师应当关注发行人不同时期存放存货的仓库变动情况，以确定发行人盘点范围是否完整，是否存在因仓库变动未将存货纳入盘点范围的情况发生。</w:t>
      </w:r>
    </w:p>
    <w:p w14:paraId="107F7DC5" w14:textId="77777777" w:rsidR="00865B2E" w:rsidRDefault="00865B2E" w:rsidP="00F90938">
      <w:pPr>
        <w:pStyle w:val="ab"/>
        <w:spacing w:before="62" w:after="62"/>
        <w:ind w:firstLine="482"/>
      </w:pPr>
      <w:r>
        <w:rPr>
          <w:rFonts w:hint="eastAsia"/>
        </w:rPr>
        <w:t>九、货币资金</w:t>
      </w:r>
    </w:p>
    <w:p w14:paraId="14CD0B34" w14:textId="77777777" w:rsidR="00865B2E" w:rsidRDefault="00865B2E" w:rsidP="00865B2E">
      <w:pPr>
        <w:pStyle w:val="13"/>
      </w:pPr>
      <w:r>
        <w:rPr>
          <w:rFonts w:hint="eastAsia"/>
        </w:rPr>
        <w:t>注册会计师应充分关注发行人现金收支管理制度是否完善、有效，以及大额现金收支交易的真实性；同时，关注银行存款余额及其发生额，尤其是大额</w:t>
      </w:r>
      <w:proofErr w:type="gramStart"/>
      <w:r>
        <w:rPr>
          <w:rFonts w:hint="eastAsia"/>
        </w:rPr>
        <w:t>异常资金</w:t>
      </w:r>
      <w:proofErr w:type="gramEnd"/>
      <w:r>
        <w:rPr>
          <w:rFonts w:hint="eastAsia"/>
        </w:rPr>
        <w:t>转账的合理性。</w:t>
      </w:r>
    </w:p>
    <w:p w14:paraId="6AE9A7F3" w14:textId="77777777" w:rsidR="00865B2E" w:rsidRDefault="00865B2E" w:rsidP="00865B2E">
      <w:pPr>
        <w:pStyle w:val="13"/>
      </w:pPr>
      <w:r>
        <w:rPr>
          <w:rFonts w:hint="eastAsia"/>
        </w:rPr>
        <w:t>（一）常见问题</w:t>
      </w:r>
    </w:p>
    <w:p w14:paraId="5CCD1E95" w14:textId="77777777" w:rsidR="00865B2E" w:rsidRDefault="00865B2E" w:rsidP="00865B2E">
      <w:pPr>
        <w:pStyle w:val="13"/>
      </w:pPr>
      <w:r>
        <w:rPr>
          <w:rFonts w:hint="eastAsia"/>
        </w:rPr>
        <w:lastRenderedPageBreak/>
        <w:t>注册会计师在对</w:t>
      </w:r>
      <w:r>
        <w:t>IPO公司货币资金进行审计时, 通常存在以下问题：</w:t>
      </w:r>
    </w:p>
    <w:p w14:paraId="627D0D5A" w14:textId="77777777" w:rsidR="00865B2E" w:rsidRDefault="00865B2E" w:rsidP="00865B2E">
      <w:pPr>
        <w:pStyle w:val="13"/>
      </w:pPr>
      <w:r>
        <w:rPr>
          <w:rFonts w:hint="eastAsia"/>
        </w:rPr>
        <w:t>第一，忽视对发行人申报期内大额现金收支交易真实性的审计，未能针对现金收支交易取得充分、适当的审计证据。</w:t>
      </w:r>
    </w:p>
    <w:p w14:paraId="39D3C330" w14:textId="77777777" w:rsidR="00865B2E" w:rsidRDefault="00865B2E" w:rsidP="00865B2E">
      <w:pPr>
        <w:pStyle w:val="13"/>
      </w:pPr>
      <w:r>
        <w:rPr>
          <w:rFonts w:hint="eastAsia"/>
        </w:rPr>
        <w:t>第二，未将对货币资金特别是现金收支交易的审计，和发行人与货币资金相关的内部控制设计和执行的有效性测试结合起来。</w:t>
      </w:r>
    </w:p>
    <w:p w14:paraId="24A461D5" w14:textId="77777777" w:rsidR="00865B2E" w:rsidRDefault="00865B2E" w:rsidP="00865B2E">
      <w:pPr>
        <w:pStyle w:val="13"/>
      </w:pPr>
      <w:r>
        <w:rPr>
          <w:rFonts w:hint="eastAsia"/>
        </w:rPr>
        <w:t>第三，对申报期内银行</w:t>
      </w:r>
      <w:proofErr w:type="gramStart"/>
      <w:r>
        <w:rPr>
          <w:rFonts w:hint="eastAsia"/>
        </w:rPr>
        <w:t>询证函</w:t>
      </w:r>
      <w:proofErr w:type="gramEnd"/>
      <w:r>
        <w:rPr>
          <w:rFonts w:hint="eastAsia"/>
        </w:rPr>
        <w:t>等外部证据的取得不够重视。</w:t>
      </w:r>
    </w:p>
    <w:p w14:paraId="1AE8A232" w14:textId="77777777" w:rsidR="00865B2E" w:rsidRDefault="00865B2E" w:rsidP="00865B2E">
      <w:pPr>
        <w:pStyle w:val="13"/>
      </w:pPr>
      <w:r>
        <w:rPr>
          <w:rFonts w:hint="eastAsia"/>
        </w:rPr>
        <w:t>第四，将货币资金的审计简单等同于申报期内货币资金余额的确认。</w:t>
      </w:r>
    </w:p>
    <w:p w14:paraId="32D97806" w14:textId="77777777" w:rsidR="00865B2E" w:rsidRDefault="00865B2E" w:rsidP="00865B2E">
      <w:pPr>
        <w:pStyle w:val="13"/>
      </w:pPr>
      <w:r>
        <w:rPr>
          <w:rFonts w:hint="eastAsia"/>
        </w:rPr>
        <w:t>（二）会计监管关注事项</w:t>
      </w:r>
    </w:p>
    <w:p w14:paraId="7793BB25" w14:textId="77777777" w:rsidR="00865B2E" w:rsidRDefault="00865B2E" w:rsidP="00865B2E">
      <w:pPr>
        <w:pStyle w:val="13"/>
      </w:pPr>
      <w:r>
        <w:rPr>
          <w:rFonts w:hint="eastAsia"/>
        </w:rPr>
        <w:t>在会计监管工作中，应关注注册会计师是否针对发行人的实际情况，实施必要的审计程序，取得充分、适当的审计证据：</w:t>
      </w:r>
    </w:p>
    <w:p w14:paraId="2BEF8DE9" w14:textId="77777777" w:rsidR="00865B2E" w:rsidRDefault="00865B2E" w:rsidP="00865B2E">
      <w:pPr>
        <w:pStyle w:val="13"/>
      </w:pPr>
      <w:r>
        <w:rPr>
          <w:rFonts w:hint="eastAsia"/>
        </w:rPr>
        <w:t>第一，注册会计师在对发行人大额现金收支交易进行审计时，应当：（</w:t>
      </w:r>
      <w:r>
        <w:t>1）关注大额现金使用范围是否符合《现金管理暂行条例》的规定；（2）以收取现金方式实现销售的，应核对付款方和付款金额与合同、订单、出库单是否一致，以确定款项确实由客户支付；（3）必要时，向现金交易</w:t>
      </w:r>
      <w:proofErr w:type="gramStart"/>
      <w:r>
        <w:t>客户函证申报</w:t>
      </w:r>
      <w:proofErr w:type="gramEnd"/>
      <w:r>
        <w:t>期内各期收入金额，以评估现金收入的发生和完整性认定是否恰当。</w:t>
      </w:r>
    </w:p>
    <w:p w14:paraId="20220B53" w14:textId="77777777" w:rsidR="00865B2E" w:rsidRDefault="00865B2E" w:rsidP="00865B2E">
      <w:pPr>
        <w:pStyle w:val="13"/>
      </w:pPr>
      <w:r>
        <w:rPr>
          <w:rFonts w:hint="eastAsia"/>
        </w:rPr>
        <w:t>第二，注册会计师在对与发行人申报期内货币资金相关内部控制执行有效性进行测试时，应当：（</w:t>
      </w:r>
      <w:r>
        <w:t>1）评价发行人是否已按《现金管理暂行条例》明确了现金的使用范围及办理现金收支业务时应遵守的规定，已按照《支付结算办法》及有关规定制定了银行存款的结算程序，相关内部控制的设计是否合理；（2）对申报期内现金的收支、费用的开支和备用金的管理等按规定的审批权限、支取流程和程序作重点抽查；（3）复核银行存款余额调节表，核对调节项的合理性，同时结合期后回款（付款）情况验证银行存款余额调节</w:t>
      </w:r>
      <w:proofErr w:type="gramStart"/>
      <w:r>
        <w:t>表项目</w:t>
      </w:r>
      <w:proofErr w:type="gramEnd"/>
      <w:r>
        <w:t>的真实性；（4）在选取申报期内货币资金控制</w:t>
      </w:r>
      <w:r>
        <w:rPr>
          <w:rFonts w:hint="eastAsia"/>
        </w:rPr>
        <w:t>测试样本时要增加审计程序的不可预见性，谨慎选取样本，认真对待抽样发现的异常。</w:t>
      </w:r>
    </w:p>
    <w:p w14:paraId="4240B5EB" w14:textId="77777777" w:rsidR="00865B2E" w:rsidRDefault="00865B2E" w:rsidP="00865B2E">
      <w:pPr>
        <w:pStyle w:val="13"/>
      </w:pPr>
      <w:r>
        <w:rPr>
          <w:rFonts w:hint="eastAsia"/>
        </w:rPr>
        <w:t>第三，注册会计师在执行与货币资金有关的实质性审计程序时，不应仅局限于银行函证、现金盘点和检查银行存款余额调节表等常规审计程序，还应该结合发行人申报期内的销售、采购交易等情况，适当运用分析性程序以识别风险：（</w:t>
      </w:r>
      <w:r>
        <w:t>1）申报期内开户银行的数量及分布与发行人实际经营的需要是否一致；（2）银行账户的实际用途是否合理，尤其关注申报期内大额资金往来和新开账户；（3）申报期内注销账户原因，防止因发行人注销账户而降低注册会计师对该账户的风险预期等；（4）结合对利息收入和银行手续费的审计，分析发行人货币资金余额和交易的合理性。</w:t>
      </w:r>
    </w:p>
    <w:p w14:paraId="70B1939E" w14:textId="77777777" w:rsidR="00865B2E" w:rsidRDefault="00865B2E" w:rsidP="00865B2E">
      <w:pPr>
        <w:pStyle w:val="13"/>
      </w:pPr>
      <w:r>
        <w:rPr>
          <w:rFonts w:hint="eastAsia"/>
        </w:rPr>
        <w:t>第四，注册会计师应转变余额审计观念，重视核对发行人申报期内银行交易：（</w:t>
      </w:r>
      <w:r>
        <w:t>1）设定重要性水平，分账户详细核对申报期内重要大额交易；（2）要求发行人提供加盖银行印章的对账单，必要时可以重新向银行取得对账单，以获取真实的银行对账单作为外部证据；（3）核对收付发生额时要高度谨慎，如高度重视长期未达账项，查看是</w:t>
      </w:r>
      <w:r>
        <w:lastRenderedPageBreak/>
        <w:t>否存在挪用资金等事项；（4）关注收</w:t>
      </w:r>
      <w:proofErr w:type="gramStart"/>
      <w:r>
        <w:t>付业务</w:t>
      </w:r>
      <w:proofErr w:type="gramEnd"/>
      <w:r>
        <w:t>内容与公司日常收支的相关性，以识别发行人转移资金或者出借银行账户的情况；（5）结合应收应付账款科目审计，防止发行人粉饰现金流量；（6）核对会计核算系统发生额与网上银行流水。</w:t>
      </w:r>
    </w:p>
    <w:p w14:paraId="2A32340A" w14:textId="77777777" w:rsidR="00865B2E" w:rsidRDefault="00865B2E" w:rsidP="00F90938">
      <w:pPr>
        <w:pStyle w:val="ab"/>
        <w:spacing w:before="62" w:after="62"/>
        <w:ind w:firstLine="482"/>
      </w:pPr>
      <w:r>
        <w:rPr>
          <w:rFonts w:hint="eastAsia"/>
        </w:rPr>
        <w:t>十、财务异常信息的审计</w:t>
      </w:r>
    </w:p>
    <w:p w14:paraId="0CFE4C48" w14:textId="77777777" w:rsidR="00865B2E" w:rsidRDefault="00865B2E" w:rsidP="00865B2E">
      <w:pPr>
        <w:pStyle w:val="13"/>
      </w:pPr>
      <w:r>
        <w:rPr>
          <w:rFonts w:hint="eastAsia"/>
        </w:rPr>
        <w:t>注册会计师应了解发行人的生产经营情况，将发行人申报期财务数据进行多纬度的对比分析，并分析发行人选用会计政策和会计估计的适当性。同时，注册会计师还应关注会计政策和会计估计在申报期内的一致性，关注发行人是否存在利用会计政策和会计估计变更从而人为改变正常经营活动以影响申报期各年度利润的行为。</w:t>
      </w:r>
    </w:p>
    <w:p w14:paraId="14ED0E6E" w14:textId="77777777" w:rsidR="00865B2E" w:rsidRDefault="00865B2E" w:rsidP="00865B2E">
      <w:pPr>
        <w:pStyle w:val="13"/>
      </w:pPr>
      <w:r>
        <w:rPr>
          <w:rFonts w:hint="eastAsia"/>
        </w:rPr>
        <w:t>（一）常见问题</w:t>
      </w:r>
    </w:p>
    <w:p w14:paraId="31691A59" w14:textId="77777777" w:rsidR="00865B2E" w:rsidRDefault="00865B2E" w:rsidP="00865B2E">
      <w:pPr>
        <w:pStyle w:val="13"/>
      </w:pPr>
      <w:r>
        <w:rPr>
          <w:rFonts w:hint="eastAsia"/>
        </w:rPr>
        <w:t>针对财务异常信息的审计，注册会计师通常存在以下问题：</w:t>
      </w:r>
    </w:p>
    <w:p w14:paraId="1C43D3A3" w14:textId="77777777" w:rsidR="00865B2E" w:rsidRDefault="00865B2E" w:rsidP="00865B2E">
      <w:pPr>
        <w:pStyle w:val="13"/>
      </w:pPr>
      <w:r>
        <w:rPr>
          <w:rFonts w:hint="eastAsia"/>
        </w:rPr>
        <w:t>第一，忽视发行人申报期各年度财务数据、申报期财务数据与申报期前历史数据、申报期财务数据与同行业公司财务数据以及申报财务报表与原始财务报表数据的对比，未能发现发行人申报期财务指标变动存在的异常情况。</w:t>
      </w:r>
    </w:p>
    <w:p w14:paraId="30428B3C" w14:textId="77777777" w:rsidR="00865B2E" w:rsidRDefault="00865B2E" w:rsidP="00865B2E">
      <w:pPr>
        <w:pStyle w:val="13"/>
      </w:pPr>
      <w:r>
        <w:rPr>
          <w:rFonts w:hint="eastAsia"/>
        </w:rPr>
        <w:t>第二，忽视与同行业公司财务数据的对比，未能发现发行人申报期财务数据变动与同行业公司之间的显著差异情况。</w:t>
      </w:r>
    </w:p>
    <w:p w14:paraId="68165151" w14:textId="77777777" w:rsidR="00865B2E" w:rsidRDefault="00865B2E" w:rsidP="00865B2E">
      <w:pPr>
        <w:pStyle w:val="13"/>
      </w:pPr>
      <w:r>
        <w:rPr>
          <w:rFonts w:hint="eastAsia"/>
        </w:rPr>
        <w:t>第三，忽视对发行人申报期内会计政策和会计估计变更原因及其合理性的分析。</w:t>
      </w:r>
    </w:p>
    <w:p w14:paraId="5091C4BF" w14:textId="77777777" w:rsidR="00865B2E" w:rsidRDefault="00865B2E" w:rsidP="00865B2E">
      <w:pPr>
        <w:pStyle w:val="13"/>
      </w:pPr>
      <w:r>
        <w:rPr>
          <w:rFonts w:hint="eastAsia"/>
        </w:rPr>
        <w:t>（二）会计监管关注事项</w:t>
      </w:r>
    </w:p>
    <w:p w14:paraId="3E0C92B1" w14:textId="77777777" w:rsidR="00865B2E" w:rsidRDefault="00865B2E" w:rsidP="00865B2E">
      <w:pPr>
        <w:pStyle w:val="13"/>
      </w:pPr>
      <w:r>
        <w:rPr>
          <w:rFonts w:hint="eastAsia"/>
        </w:rPr>
        <w:t>在会计监管工作中，应关注注册会计师是否保持足够的职业怀疑态度，并针对发行人的实际情况，取得充分、适当的审计证据，以证明财务异常信息的合理性，具体包括：</w:t>
      </w:r>
    </w:p>
    <w:p w14:paraId="3B3AF2EE" w14:textId="77777777" w:rsidR="00865B2E" w:rsidRDefault="00865B2E" w:rsidP="00865B2E">
      <w:pPr>
        <w:pStyle w:val="13"/>
      </w:pPr>
      <w:r>
        <w:rPr>
          <w:rFonts w:hint="eastAsia"/>
        </w:rPr>
        <w:t>第一，发行人申报期各年度财务数据、申报期财务数据与申报期前历史数据的变动情况，是否与注册会计师了解的发行人基本情况保持一致；申报期财务数据与同行业公司财务数据相比是否存在异常，分析异常原因；申报财务报表与原始财务报表是否存在差异，分析差异原因，并评价是否与发行人会计基础薄弱或管理层舞弊有关。</w:t>
      </w:r>
    </w:p>
    <w:p w14:paraId="43173396" w14:textId="77777777" w:rsidR="00865B2E" w:rsidRDefault="00865B2E" w:rsidP="00865B2E">
      <w:pPr>
        <w:pStyle w:val="13"/>
      </w:pPr>
      <w:r>
        <w:rPr>
          <w:rFonts w:hint="eastAsia"/>
        </w:rPr>
        <w:t>第二，发行人所采用的会计政策和会计估计是否与同行业公司存在明显差异，分析其是否利用会计政策和会计估计变更操纵利润，如降低坏账计提比例、改变存货计价方式、改变投资性房地产的计价方式、改变收入确认方式等。</w:t>
      </w:r>
    </w:p>
    <w:p w14:paraId="7EF76E5E" w14:textId="2493D217" w:rsidR="00865B2E" w:rsidRDefault="00865B2E" w:rsidP="00865B2E">
      <w:pPr>
        <w:pStyle w:val="13"/>
      </w:pPr>
      <w:r>
        <w:t>第三，发行人是否人为改变正常经营活动以粉饰业绩，如发行人放宽付款条件促进短期销售增长、推迟广告投入减少销售费用、短期降低员工工资、引进临时客户等。</w:t>
      </w:r>
    </w:p>
    <w:p w14:paraId="451A6645" w14:textId="61A71235" w:rsidR="00865B2E" w:rsidRPr="00F90938" w:rsidRDefault="00F90938" w:rsidP="00F90938">
      <w:pPr>
        <w:pStyle w:val="31"/>
        <w:spacing w:before="156" w:after="62"/>
      </w:pPr>
      <w:bookmarkStart w:id="91" w:name="_Toc81833354"/>
      <w:r w:rsidRPr="00F90938">
        <w:rPr>
          <w:rFonts w:hint="eastAsia"/>
        </w:rPr>
        <w:t>会计监管风险提示第</w:t>
      </w:r>
      <w:r w:rsidRPr="00F90938">
        <w:t>5号</w:t>
      </w:r>
      <w:proofErr w:type="gramStart"/>
      <w:r w:rsidRPr="00F90938">
        <w:t>—上市</w:t>
      </w:r>
      <w:proofErr w:type="gramEnd"/>
      <w:r w:rsidRPr="00F90938">
        <w:t>公司股权交易资产评估</w:t>
      </w:r>
      <w:bookmarkEnd w:id="91"/>
    </w:p>
    <w:p w14:paraId="59D1A5B8" w14:textId="77777777" w:rsidR="009E1543" w:rsidRDefault="009E1543" w:rsidP="009E1543">
      <w:pPr>
        <w:pStyle w:val="13"/>
      </w:pPr>
      <w:r>
        <w:rPr>
          <w:rFonts w:hint="eastAsia"/>
        </w:rPr>
        <w:t>上市公司股权交易指上市公司及其控股或者控制的公司购买非上市公司股权、出售所持非上市公司股权，或通过其他方式导致所持非上市公司股权比例发生变动。为进一步提高上市公司股权交易财务信息披露质量，促进资产评估机构在执业过程</w:t>
      </w:r>
      <w:r>
        <w:rPr>
          <w:rFonts w:hint="eastAsia"/>
        </w:rPr>
        <w:lastRenderedPageBreak/>
        <w:t>中勤勉尽责，增强资产评估监管工作的针对性，按照《上市公司重大资产重组管理办法》（</w:t>
      </w:r>
      <w:proofErr w:type="gramStart"/>
      <w:r>
        <w:rPr>
          <w:rFonts w:hint="eastAsia"/>
        </w:rPr>
        <w:t>证监会令第</w:t>
      </w:r>
      <w:proofErr w:type="gramEnd"/>
      <w:r>
        <w:t xml:space="preserve"> 73号）及《资产评估准则—企业价值》（</w:t>
      </w:r>
      <w:proofErr w:type="gramStart"/>
      <w:r>
        <w:t>中评协</w:t>
      </w:r>
      <w:proofErr w:type="gramEnd"/>
      <w:r>
        <w:t>〔2011〕227号）、《评估机构业务质量控制指南》（</w:t>
      </w:r>
      <w:proofErr w:type="gramStart"/>
      <w:r>
        <w:t>中评协</w:t>
      </w:r>
      <w:proofErr w:type="gramEnd"/>
      <w:r>
        <w:t>〔2010〕214号）等有关规定，现就上市公司股权交易资产评估监管风险进行提示。</w:t>
      </w:r>
    </w:p>
    <w:p w14:paraId="239230E2" w14:textId="77777777" w:rsidR="009E1543" w:rsidRDefault="009E1543" w:rsidP="009E1543">
      <w:pPr>
        <w:pStyle w:val="13"/>
      </w:pPr>
      <w:r>
        <w:rPr>
          <w:rFonts w:hint="eastAsia"/>
        </w:rPr>
        <w:t>对上市公司或拟上市公司其他涉及企业价值评估业务的监管，可参照本提示。</w:t>
      </w:r>
    </w:p>
    <w:p w14:paraId="5ACF6D32" w14:textId="787E6268" w:rsidR="009E1543" w:rsidRDefault="009E1543" w:rsidP="009E1543">
      <w:pPr>
        <w:pStyle w:val="ab"/>
        <w:spacing w:before="62" w:after="62"/>
        <w:ind w:firstLine="482"/>
      </w:pPr>
      <w:r>
        <w:rPr>
          <w:rFonts w:hint="eastAsia"/>
        </w:rPr>
        <w:t>一、评估业务的承接</w:t>
      </w:r>
    </w:p>
    <w:p w14:paraId="629CF07A" w14:textId="77777777" w:rsidR="009E1543" w:rsidRDefault="009E1543" w:rsidP="009E1543">
      <w:pPr>
        <w:pStyle w:val="13"/>
      </w:pPr>
      <w:r>
        <w:rPr>
          <w:rFonts w:hint="eastAsia"/>
        </w:rPr>
        <w:t>资产评估机构承接上市公司股权交易资产评估业务，应当具备证券相关业务评估资格，并配备具有职业操守和专业胜任能力的注册资产评估师。</w:t>
      </w:r>
    </w:p>
    <w:p w14:paraId="39C265F1" w14:textId="77777777" w:rsidR="009E1543" w:rsidRDefault="009E1543" w:rsidP="009E1543">
      <w:pPr>
        <w:pStyle w:val="13"/>
      </w:pPr>
      <w:r>
        <w:rPr>
          <w:rFonts w:hint="eastAsia"/>
        </w:rPr>
        <w:t>（一）常见问题</w:t>
      </w:r>
    </w:p>
    <w:p w14:paraId="71CD9E6C" w14:textId="77777777" w:rsidR="009E1543" w:rsidRDefault="009E1543" w:rsidP="009E1543">
      <w:pPr>
        <w:pStyle w:val="13"/>
      </w:pPr>
      <w:r>
        <w:rPr>
          <w:rFonts w:hint="eastAsia"/>
        </w:rPr>
        <w:t>资产评估机构承接业务通常存在以下问题：</w:t>
      </w:r>
    </w:p>
    <w:p w14:paraId="78438732" w14:textId="77777777" w:rsidR="009E1543" w:rsidRDefault="009E1543" w:rsidP="009E1543">
      <w:pPr>
        <w:pStyle w:val="13"/>
      </w:pPr>
      <w:r>
        <w:rPr>
          <w:rFonts w:hint="eastAsia"/>
        </w:rPr>
        <w:t>第一，未针对业务承接环节制定切实可行的风险控制政策和程序。</w:t>
      </w:r>
    </w:p>
    <w:p w14:paraId="51A69401" w14:textId="77777777" w:rsidR="009E1543" w:rsidRDefault="009E1543" w:rsidP="009E1543">
      <w:pPr>
        <w:pStyle w:val="13"/>
      </w:pPr>
      <w:r>
        <w:rPr>
          <w:rFonts w:hint="eastAsia"/>
        </w:rPr>
        <w:t>第二，评估机构及相关人员没有履行独立性申报和核查程序，与委托方或相关当事方之间存在违背独立性原则的情况，不能遵循独立、客观、公正的原则。</w:t>
      </w:r>
    </w:p>
    <w:p w14:paraId="7E88DA87" w14:textId="77777777" w:rsidR="009E1543" w:rsidRDefault="009E1543" w:rsidP="009E1543">
      <w:pPr>
        <w:pStyle w:val="13"/>
      </w:pPr>
      <w:r>
        <w:rPr>
          <w:rFonts w:hint="eastAsia"/>
        </w:rPr>
        <w:t>第三，内幕信息管理制度不健全或者执行不到位。</w:t>
      </w:r>
    </w:p>
    <w:p w14:paraId="63346A06" w14:textId="77777777" w:rsidR="009E1543" w:rsidRDefault="009E1543" w:rsidP="009E1543">
      <w:pPr>
        <w:pStyle w:val="13"/>
      </w:pPr>
      <w:r>
        <w:rPr>
          <w:rFonts w:hint="eastAsia"/>
        </w:rPr>
        <w:t>第四，内幕交易防控力度不够，未能有效防范评估机构及相关人员利用内幕信息买卖上市公司股票的行为。</w:t>
      </w:r>
    </w:p>
    <w:p w14:paraId="48776B01" w14:textId="77777777" w:rsidR="009E1543" w:rsidRDefault="009E1543" w:rsidP="009E1543">
      <w:pPr>
        <w:pStyle w:val="13"/>
      </w:pPr>
      <w:r>
        <w:rPr>
          <w:rFonts w:hint="eastAsia"/>
        </w:rPr>
        <w:t>第五，业务洽谈人员不具备应有的风险识别和评价能力及经验，对可能存在重大风险的领域缺乏必要的职业谨慎，未恰当分析和评价资产评估机构是否具备承接相关业务的能力。</w:t>
      </w:r>
    </w:p>
    <w:p w14:paraId="2850F323" w14:textId="77777777" w:rsidR="009E1543" w:rsidRDefault="009E1543" w:rsidP="009E1543">
      <w:pPr>
        <w:pStyle w:val="13"/>
      </w:pPr>
      <w:r>
        <w:rPr>
          <w:rFonts w:hint="eastAsia"/>
        </w:rPr>
        <w:t>第六，评估机构不具备执行相关业务的能力和条件，在缺乏具有专业胜任能力的人员或其他资源不足的情况下，盲目承接业务，或在签订业务约定书后将业务转交给其他中介机构承办。</w:t>
      </w:r>
    </w:p>
    <w:p w14:paraId="448C3D29" w14:textId="77777777" w:rsidR="009E1543" w:rsidRDefault="009E1543" w:rsidP="009E1543">
      <w:pPr>
        <w:pStyle w:val="13"/>
      </w:pPr>
      <w:r>
        <w:rPr>
          <w:rFonts w:hint="eastAsia"/>
        </w:rPr>
        <w:t>第七，在委托方或其他相关当事方的授意或要求下，同意以预先设定的价值作为评估结论。</w:t>
      </w:r>
    </w:p>
    <w:p w14:paraId="5313379E" w14:textId="77777777" w:rsidR="009E1543" w:rsidRDefault="009E1543" w:rsidP="009E1543">
      <w:pPr>
        <w:pStyle w:val="13"/>
      </w:pPr>
      <w:r>
        <w:rPr>
          <w:rFonts w:hint="eastAsia"/>
        </w:rPr>
        <w:t>（二）监管关注事项</w:t>
      </w:r>
    </w:p>
    <w:p w14:paraId="6C52480F" w14:textId="77777777" w:rsidR="009E1543" w:rsidRDefault="009E1543" w:rsidP="009E1543">
      <w:pPr>
        <w:pStyle w:val="13"/>
      </w:pPr>
      <w:r>
        <w:rPr>
          <w:rFonts w:hint="eastAsia"/>
        </w:rPr>
        <w:t>在监管工作中，应当关注并督促资产评估机构在以下方面加强业务执业质量控制：</w:t>
      </w:r>
    </w:p>
    <w:p w14:paraId="57C83C4D" w14:textId="301337D9" w:rsidR="009E1543" w:rsidRDefault="009E1543" w:rsidP="009E1543">
      <w:pPr>
        <w:pStyle w:val="13"/>
      </w:pPr>
      <w:r>
        <w:t>第一，结合股权交易业务特点，建立健全风险评价等业务承接环节的控制政策和</w:t>
      </w:r>
      <w:r>
        <w:rPr>
          <w:rFonts w:hint="eastAsia"/>
        </w:rPr>
        <w:t>程序。</w:t>
      </w:r>
    </w:p>
    <w:p w14:paraId="37BE4D42" w14:textId="77777777" w:rsidR="009E1543" w:rsidRDefault="009E1543" w:rsidP="009E1543">
      <w:pPr>
        <w:pStyle w:val="13"/>
      </w:pPr>
      <w:r>
        <w:rPr>
          <w:rFonts w:hint="eastAsia"/>
        </w:rPr>
        <w:t>第二，加强独立性申报与核查工作，并形成记录，防止评估机构及相关人员与委托方或其他相关当事方违背独立性原则。</w:t>
      </w:r>
    </w:p>
    <w:p w14:paraId="1AA6BD69" w14:textId="77777777" w:rsidR="009E1543" w:rsidRDefault="009E1543" w:rsidP="009E1543">
      <w:pPr>
        <w:pStyle w:val="13"/>
      </w:pPr>
      <w:r>
        <w:rPr>
          <w:rFonts w:hint="eastAsia"/>
        </w:rPr>
        <w:t>第三，建立和完善内幕信息登记管理制度，包括但不限于制定涉及上市公司内幕信息的保密制度、内幕信息知情人登记制度和内幕交易防控考核评价制度。</w:t>
      </w:r>
    </w:p>
    <w:p w14:paraId="09BD3638" w14:textId="28181743" w:rsidR="009E1543" w:rsidRDefault="009E1543" w:rsidP="009E1543">
      <w:pPr>
        <w:pStyle w:val="13"/>
      </w:pPr>
      <w:r>
        <w:rPr>
          <w:rFonts w:hint="eastAsia"/>
        </w:rPr>
        <w:t>第四，切实做好内幕信息登记管理工作，防止内幕信息知情人员泄露内幕信息和</w:t>
      </w:r>
      <w:r>
        <w:rPr>
          <w:rFonts w:hint="eastAsia"/>
        </w:rPr>
        <w:lastRenderedPageBreak/>
        <w:t>利用内幕信息买卖上市公司股票，有效防控内幕交易行为。</w:t>
      </w:r>
    </w:p>
    <w:p w14:paraId="3AD5CA5A" w14:textId="35C46E4C" w:rsidR="009E1543" w:rsidRDefault="009E1543" w:rsidP="009E1543">
      <w:pPr>
        <w:pStyle w:val="13"/>
      </w:pPr>
      <w:r>
        <w:rPr>
          <w:rFonts w:hint="eastAsia"/>
        </w:rPr>
        <w:t>第五，加强对业务洽谈人员和评估人员风险识别和评价能力的培训与考核。</w:t>
      </w:r>
    </w:p>
    <w:p w14:paraId="36C0A787" w14:textId="77777777" w:rsidR="009E1543" w:rsidRDefault="009E1543" w:rsidP="009E1543">
      <w:pPr>
        <w:pStyle w:val="13"/>
      </w:pPr>
      <w:r>
        <w:rPr>
          <w:rFonts w:hint="eastAsia"/>
        </w:rPr>
        <w:t>第六，针对每一项业务履行必要的风险评价与管理程序，恰当分析和评价评估机构及相关人员的执业能力，并形成记录；同时，应搜集并分析拟交易股权以往的评估及交易资料，关注股权交易各方的交易动机、管理层诚信记录以及委托方或其他相关当事方操纵评估结果的可能性，识别股权交易过程中可能存在重大风险的领域。</w:t>
      </w:r>
    </w:p>
    <w:p w14:paraId="17E7AECD" w14:textId="13FDD7FD" w:rsidR="009E1543" w:rsidRDefault="009E1543" w:rsidP="009E1543">
      <w:pPr>
        <w:pStyle w:val="13"/>
      </w:pPr>
      <w:r>
        <w:rPr>
          <w:rFonts w:hint="eastAsia"/>
        </w:rPr>
        <w:t>第七，做好业务洽谈阶段的调查工作，在与委托方正式签订业务约定书之前，对拟委托事项进行必要了解，确信有能力满足委托方的合理要求，并能有效控制风险</w:t>
      </w:r>
      <w:r w:rsidR="003068F8">
        <w:rPr>
          <w:rFonts w:hint="eastAsia"/>
        </w:rPr>
        <w:t>，</w:t>
      </w:r>
      <w:r>
        <w:t>不以股权交易过程中预先设定的价格作为评估结论。</w:t>
      </w:r>
    </w:p>
    <w:p w14:paraId="2E29B043" w14:textId="77777777" w:rsidR="009E1543" w:rsidRDefault="009E1543" w:rsidP="009E1543">
      <w:pPr>
        <w:pStyle w:val="13"/>
      </w:pPr>
      <w:r>
        <w:rPr>
          <w:rFonts w:hint="eastAsia"/>
        </w:rPr>
        <w:t>第八，在决定承接业务后，应及时与委托方签订业务约定书，明确委托事项，并按照业务约定书的规定履行相关义务，不得将业务转交给其他机构承办。</w:t>
      </w:r>
    </w:p>
    <w:p w14:paraId="025AFA91" w14:textId="77777777" w:rsidR="009E1543" w:rsidRDefault="009E1543" w:rsidP="009E1543">
      <w:pPr>
        <w:pStyle w:val="ab"/>
        <w:spacing w:before="62" w:after="62"/>
        <w:ind w:firstLine="482"/>
      </w:pPr>
      <w:r>
        <w:rPr>
          <w:rFonts w:hint="eastAsia"/>
        </w:rPr>
        <w:t>二、评估对象的调查分析</w:t>
      </w:r>
    </w:p>
    <w:p w14:paraId="774B4219" w14:textId="77777777" w:rsidR="009E1543" w:rsidRDefault="009E1543" w:rsidP="009E1543">
      <w:pPr>
        <w:pStyle w:val="13"/>
      </w:pPr>
      <w:r>
        <w:rPr>
          <w:rFonts w:hint="eastAsia"/>
        </w:rPr>
        <w:t>注册资产评估师应对评估对象的现状及其法律权属进行认真调查。</w:t>
      </w:r>
    </w:p>
    <w:p w14:paraId="1D33A67B" w14:textId="77777777" w:rsidR="009E1543" w:rsidRDefault="009E1543" w:rsidP="009E1543">
      <w:pPr>
        <w:pStyle w:val="13"/>
      </w:pPr>
      <w:r>
        <w:rPr>
          <w:rFonts w:hint="eastAsia"/>
        </w:rPr>
        <w:t>（一）常见问题</w:t>
      </w:r>
    </w:p>
    <w:p w14:paraId="61868EBA" w14:textId="77777777" w:rsidR="009E1543" w:rsidRDefault="009E1543" w:rsidP="009E1543">
      <w:pPr>
        <w:pStyle w:val="13"/>
      </w:pPr>
      <w:r>
        <w:rPr>
          <w:rFonts w:hint="eastAsia"/>
        </w:rPr>
        <w:t>注册资产评估师在调查分析评估对象方面通常存在以下问题：</w:t>
      </w:r>
    </w:p>
    <w:p w14:paraId="021E71CE" w14:textId="77777777" w:rsidR="009E1543" w:rsidRDefault="009E1543" w:rsidP="009E1543">
      <w:pPr>
        <w:pStyle w:val="13"/>
      </w:pPr>
      <w:r>
        <w:rPr>
          <w:rFonts w:hint="eastAsia"/>
        </w:rPr>
        <w:t>第一，将企业看成是资产与负债的简单组合，将股权评估对象错误地界定为资产负债表上各项资产和负债。</w:t>
      </w:r>
    </w:p>
    <w:p w14:paraId="64D84721" w14:textId="3F4136DD" w:rsidR="009E1543" w:rsidRDefault="009E1543" w:rsidP="009E1543">
      <w:pPr>
        <w:pStyle w:val="13"/>
      </w:pPr>
      <w:r>
        <w:rPr>
          <w:rFonts w:hint="eastAsia"/>
        </w:rPr>
        <w:t>第二，只调查股东结构及持股比例，没有关注与股权资产相对应的特殊权益与义务。</w:t>
      </w:r>
    </w:p>
    <w:p w14:paraId="6C7B0116" w14:textId="43E287BD" w:rsidR="009E1543" w:rsidRDefault="009E1543" w:rsidP="009E1543">
      <w:pPr>
        <w:pStyle w:val="13"/>
      </w:pPr>
      <w:r>
        <w:rPr>
          <w:rFonts w:hint="eastAsia"/>
        </w:rPr>
        <w:t>第三，只调查公司设立时的章程和投资协议，没有关注补充协议或最新的公司章程。</w:t>
      </w:r>
    </w:p>
    <w:p w14:paraId="45E587B4" w14:textId="77777777" w:rsidR="009E1543" w:rsidRDefault="009E1543" w:rsidP="009E1543">
      <w:pPr>
        <w:pStyle w:val="13"/>
      </w:pPr>
      <w:r>
        <w:rPr>
          <w:rFonts w:hint="eastAsia"/>
        </w:rPr>
        <w:t>第四，采用收益法或市场法评估股权价值时，对企业的重要资产没有履行必要的现场调查。</w:t>
      </w:r>
    </w:p>
    <w:p w14:paraId="1193CEA6" w14:textId="77777777" w:rsidR="009E1543" w:rsidRDefault="009E1543" w:rsidP="009E1543">
      <w:pPr>
        <w:pStyle w:val="13"/>
      </w:pPr>
      <w:r>
        <w:rPr>
          <w:rFonts w:hint="eastAsia"/>
        </w:rPr>
        <w:t>第五，没有关注和考虑评估对象存在的可能影响评估结论的重要事项，例如未缴纳或未足额缴纳土地使用权出让金、未缴纳或未足额缴纳矿业权价款所产生的权属瑕疵等事项。</w:t>
      </w:r>
    </w:p>
    <w:p w14:paraId="6E6B6A01" w14:textId="77777777" w:rsidR="009E1543" w:rsidRDefault="009E1543" w:rsidP="009E1543">
      <w:pPr>
        <w:pStyle w:val="13"/>
      </w:pPr>
      <w:r>
        <w:rPr>
          <w:rFonts w:hint="eastAsia"/>
        </w:rPr>
        <w:t>（二）监管关注事项</w:t>
      </w:r>
    </w:p>
    <w:p w14:paraId="7207034B" w14:textId="77777777" w:rsidR="009E1543" w:rsidRDefault="009E1543" w:rsidP="009E1543">
      <w:pPr>
        <w:pStyle w:val="13"/>
      </w:pPr>
      <w:r>
        <w:rPr>
          <w:rFonts w:hint="eastAsia"/>
        </w:rPr>
        <w:t>在监管工作中，应当关注并督促资产评估机构在以下方面加强业务执业质量控制：</w:t>
      </w:r>
    </w:p>
    <w:p w14:paraId="744E80A6" w14:textId="121637FB" w:rsidR="009E1543" w:rsidRDefault="009E1543" w:rsidP="009E1543">
      <w:pPr>
        <w:pStyle w:val="13"/>
      </w:pPr>
      <w:r>
        <w:t>第一，股权评估对象是股东全部权益或股东部分权益，评估股权价值时应当把企</w:t>
      </w:r>
      <w:r>
        <w:rPr>
          <w:rFonts w:hint="eastAsia"/>
        </w:rPr>
        <w:t>业作为一个有机整体，不仅要考虑企业财务账内的资产和负债，也要考虑重要的可识别和评估的账外资产和负债，例如无形资产和</w:t>
      </w:r>
      <w:proofErr w:type="gramStart"/>
      <w:r>
        <w:rPr>
          <w:rFonts w:hint="eastAsia"/>
        </w:rPr>
        <w:t>或</w:t>
      </w:r>
      <w:proofErr w:type="gramEnd"/>
      <w:r>
        <w:rPr>
          <w:rFonts w:hint="eastAsia"/>
        </w:rPr>
        <w:t>有负债等。</w:t>
      </w:r>
    </w:p>
    <w:p w14:paraId="02AA5CFD" w14:textId="77777777" w:rsidR="009E1543" w:rsidRDefault="009E1543" w:rsidP="009E1543">
      <w:pPr>
        <w:pStyle w:val="13"/>
      </w:pPr>
      <w:r>
        <w:rPr>
          <w:rFonts w:hint="eastAsia"/>
        </w:rPr>
        <w:t>第二，仔细阅读公司章程或投资协议，了解股东在利益分配、股权转让等方面的权利和义务是否存在特殊的约定，例如分红限制、清算约定和存在限售期等，并考虑</w:t>
      </w:r>
      <w:r>
        <w:rPr>
          <w:rFonts w:hint="eastAsia"/>
        </w:rPr>
        <w:lastRenderedPageBreak/>
        <w:t>其对股权价值的影响。</w:t>
      </w:r>
    </w:p>
    <w:p w14:paraId="5CBE12FA" w14:textId="77777777" w:rsidR="009E1543" w:rsidRDefault="009E1543" w:rsidP="009E1543">
      <w:pPr>
        <w:pStyle w:val="13"/>
      </w:pPr>
      <w:r>
        <w:rPr>
          <w:rFonts w:hint="eastAsia"/>
        </w:rPr>
        <w:t>第三，关注公司最新的工商登记情况和近期的董事会决议等材料，取得最新的公司章程，确信评估报告准确地反映了股东持股比例及各项权益。</w:t>
      </w:r>
    </w:p>
    <w:p w14:paraId="02EADC17" w14:textId="77777777" w:rsidR="009E1543" w:rsidRDefault="009E1543" w:rsidP="009E1543">
      <w:pPr>
        <w:pStyle w:val="13"/>
      </w:pPr>
      <w:r>
        <w:rPr>
          <w:rFonts w:hint="eastAsia"/>
        </w:rPr>
        <w:t>第四，采用收益法或市场法评估股权价值时，应当对评估范围内的重要资产和负</w:t>
      </w:r>
      <w:r>
        <w:t xml:space="preserve"> 债，通过询问、函证、核对、监盘、勘查、检查等方式进行必要的调查，了解其经济、技术和法律权属状况，及其对股权价值的影响。</w:t>
      </w:r>
    </w:p>
    <w:p w14:paraId="77911840" w14:textId="1158E70E" w:rsidR="009E1543" w:rsidRDefault="009E1543" w:rsidP="009E1543">
      <w:pPr>
        <w:pStyle w:val="13"/>
      </w:pPr>
      <w:r>
        <w:rPr>
          <w:rFonts w:hint="eastAsia"/>
        </w:rPr>
        <w:t>第五，如果存在影响评估结论的重要事项，应当要求委托方或被评估企业就该事</w:t>
      </w:r>
      <w:r>
        <w:t xml:space="preserve"> 项提供专项承诺等内部证明材料和律师函等外部证明材料，作为支持评估结论的依据</w:t>
      </w:r>
      <w:r w:rsidR="003068F8">
        <w:t>；</w:t>
      </w:r>
      <w:r>
        <w:t>同时就该事项对评估结果的影响，采取</w:t>
      </w:r>
      <w:proofErr w:type="gramStart"/>
      <w:r>
        <w:t>如暂估负债</w:t>
      </w:r>
      <w:proofErr w:type="gramEnd"/>
      <w:r>
        <w:t>、在盈利预测时考虑相关费用或在 特别事项中进行披露等方式进行处理。</w:t>
      </w:r>
    </w:p>
    <w:p w14:paraId="145C4827" w14:textId="77777777" w:rsidR="009E1543" w:rsidRDefault="009E1543" w:rsidP="009E1543">
      <w:pPr>
        <w:pStyle w:val="ab"/>
        <w:spacing w:before="62" w:after="62"/>
        <w:ind w:firstLine="482"/>
      </w:pPr>
      <w:r>
        <w:rPr>
          <w:rFonts w:hint="eastAsia"/>
        </w:rPr>
        <w:t>三、价值类型和评估假设的设定</w:t>
      </w:r>
    </w:p>
    <w:p w14:paraId="3348BA8A" w14:textId="77777777" w:rsidR="009E1543" w:rsidRDefault="009E1543" w:rsidP="009E1543">
      <w:pPr>
        <w:pStyle w:val="13"/>
      </w:pPr>
      <w:r>
        <w:rPr>
          <w:rFonts w:hint="eastAsia"/>
        </w:rPr>
        <w:t>注册资产评估师应恰当选择价值类型，并合理使用评估假设。</w:t>
      </w:r>
    </w:p>
    <w:p w14:paraId="082906B8" w14:textId="77777777" w:rsidR="009E1543" w:rsidRDefault="009E1543" w:rsidP="009E1543">
      <w:pPr>
        <w:pStyle w:val="13"/>
      </w:pPr>
      <w:r>
        <w:rPr>
          <w:rFonts w:hint="eastAsia"/>
        </w:rPr>
        <w:t>（一）常见问题</w:t>
      </w:r>
    </w:p>
    <w:p w14:paraId="28F3785E" w14:textId="77777777" w:rsidR="009E1543" w:rsidRDefault="009E1543" w:rsidP="009E1543">
      <w:pPr>
        <w:pStyle w:val="13"/>
      </w:pPr>
      <w:r>
        <w:rPr>
          <w:rFonts w:hint="eastAsia"/>
        </w:rPr>
        <w:t>注册资产评估师在设定价值类型和评估假设方面通常存在以下问题：</w:t>
      </w:r>
    </w:p>
    <w:p w14:paraId="1F5D787B" w14:textId="77777777" w:rsidR="009E1543" w:rsidRDefault="009E1543" w:rsidP="009E1543">
      <w:pPr>
        <w:pStyle w:val="13"/>
      </w:pPr>
      <w:r>
        <w:rPr>
          <w:rFonts w:hint="eastAsia"/>
        </w:rPr>
        <w:t>第一，混淆市场价值和投资价值的概念，在评估股权市场价值时，考虑了股权交易行为实施后的协同效应。</w:t>
      </w:r>
    </w:p>
    <w:p w14:paraId="5FE3C15A" w14:textId="796E42AA" w:rsidR="009E1543" w:rsidRDefault="009E1543" w:rsidP="009E1543">
      <w:pPr>
        <w:pStyle w:val="13"/>
      </w:pPr>
      <w:r>
        <w:rPr>
          <w:rFonts w:hint="eastAsia"/>
        </w:rPr>
        <w:t>第二，使用与企业所处政治、经济和法律环境，技术发展，市场前景，资产状况，</w:t>
      </w:r>
      <w:r>
        <w:t>经营能力，商业化程度等不匹配的假设条件。</w:t>
      </w:r>
    </w:p>
    <w:p w14:paraId="3F7D7C27" w14:textId="77777777" w:rsidR="009E1543" w:rsidRDefault="009E1543" w:rsidP="009E1543">
      <w:pPr>
        <w:pStyle w:val="13"/>
      </w:pPr>
      <w:r>
        <w:rPr>
          <w:rFonts w:hint="eastAsia"/>
        </w:rPr>
        <w:t>第三，在评估假设中设置不合理的免责条款以规避责任。</w:t>
      </w:r>
    </w:p>
    <w:p w14:paraId="4C10B192" w14:textId="77777777" w:rsidR="009E1543" w:rsidRDefault="009E1543" w:rsidP="009E1543">
      <w:pPr>
        <w:pStyle w:val="13"/>
      </w:pPr>
      <w:r>
        <w:rPr>
          <w:rFonts w:hint="eastAsia"/>
        </w:rPr>
        <w:t>（二）监管关注事项</w:t>
      </w:r>
    </w:p>
    <w:p w14:paraId="2A5F16D6" w14:textId="1CFBE550" w:rsidR="009E1543" w:rsidRDefault="009E1543" w:rsidP="009E1543">
      <w:pPr>
        <w:pStyle w:val="13"/>
      </w:pPr>
      <w:r>
        <w:rPr>
          <w:rFonts w:hint="eastAsia"/>
        </w:rPr>
        <w:t>在监管工作中，应当关注并督促资产评估机构在以下方面加强业务执业质量控制：</w:t>
      </w:r>
    </w:p>
    <w:p w14:paraId="37168C98" w14:textId="0698F22D" w:rsidR="009E1543" w:rsidRDefault="009E1543" w:rsidP="009E1543">
      <w:pPr>
        <w:pStyle w:val="13"/>
      </w:pPr>
      <w:r>
        <w:t>第一，为上市公司股权交易进行评估，并以市场价值作为定价参考依据的，评估</w:t>
      </w:r>
      <w:r>
        <w:rPr>
          <w:rFonts w:hint="eastAsia"/>
        </w:rPr>
        <w:t>过程及结果不应当体现收购行为完成后的协同效应。</w:t>
      </w:r>
    </w:p>
    <w:p w14:paraId="771C7FFA" w14:textId="77777777" w:rsidR="009E1543" w:rsidRDefault="009E1543" w:rsidP="009E1543">
      <w:pPr>
        <w:pStyle w:val="13"/>
      </w:pPr>
      <w:r>
        <w:rPr>
          <w:rFonts w:hint="eastAsia"/>
        </w:rPr>
        <w:t>第二，充分考虑企业所处政治、经济和法律环境，技术发展，市场前景，资产状况，经营能力，商业化程度等，合理设定与之相适应的假设条件。</w:t>
      </w:r>
    </w:p>
    <w:p w14:paraId="1B669514" w14:textId="348F6018" w:rsidR="009E1543" w:rsidRDefault="009E1543" w:rsidP="009E1543">
      <w:pPr>
        <w:pStyle w:val="13"/>
      </w:pPr>
      <w:r>
        <w:rPr>
          <w:rFonts w:hint="eastAsia"/>
        </w:rPr>
        <w:t>第三，合理确定评估假设，确信相关假设有可靠证据表明其很有可能在未来发生，</w:t>
      </w:r>
      <w:r>
        <w:t>或者虽然缺乏可靠证据，但没有理由认为这些假设明显不切合实际。对于重要的评估 假设，应当说明其使用理由。</w:t>
      </w:r>
    </w:p>
    <w:p w14:paraId="4971F276" w14:textId="77777777" w:rsidR="009E1543" w:rsidRDefault="009E1543" w:rsidP="009E1543">
      <w:pPr>
        <w:pStyle w:val="ab"/>
        <w:spacing w:before="62" w:after="62"/>
        <w:ind w:firstLine="482"/>
      </w:pPr>
      <w:r>
        <w:rPr>
          <w:rFonts w:hint="eastAsia"/>
        </w:rPr>
        <w:t>四、评估方法的选择</w:t>
      </w:r>
    </w:p>
    <w:p w14:paraId="336F7CAC" w14:textId="77777777" w:rsidR="009E1543" w:rsidRDefault="009E1543" w:rsidP="009E1543">
      <w:pPr>
        <w:pStyle w:val="13"/>
      </w:pPr>
      <w:r>
        <w:rPr>
          <w:rFonts w:hint="eastAsia"/>
        </w:rPr>
        <w:t>注册资产评估师应恰当选择评估方法，形成合理评估结论。</w:t>
      </w:r>
    </w:p>
    <w:p w14:paraId="26CC8C1B" w14:textId="77777777" w:rsidR="009E1543" w:rsidRDefault="009E1543" w:rsidP="009E1543">
      <w:pPr>
        <w:pStyle w:val="13"/>
      </w:pPr>
      <w:r>
        <w:rPr>
          <w:rFonts w:hint="eastAsia"/>
        </w:rPr>
        <w:t>（一）常见问题</w:t>
      </w:r>
    </w:p>
    <w:p w14:paraId="1027AB8C" w14:textId="77777777" w:rsidR="009E1543" w:rsidRDefault="009E1543" w:rsidP="009E1543">
      <w:pPr>
        <w:pStyle w:val="13"/>
      </w:pPr>
      <w:r>
        <w:rPr>
          <w:rFonts w:hint="eastAsia"/>
        </w:rPr>
        <w:t>注册资产评估师在评估方法的选择上通常存在以下问题：</w:t>
      </w:r>
    </w:p>
    <w:p w14:paraId="5B5D0A48" w14:textId="7B6657F3" w:rsidR="009E1543" w:rsidRDefault="009E1543" w:rsidP="009E1543">
      <w:pPr>
        <w:pStyle w:val="13"/>
      </w:pPr>
      <w:r>
        <w:rPr>
          <w:rFonts w:hint="eastAsia"/>
        </w:rPr>
        <w:lastRenderedPageBreak/>
        <w:t>第一，选择评估方法时，未考虑企业是否具备持续经营能力及其对评估方法的影响。</w:t>
      </w:r>
    </w:p>
    <w:p w14:paraId="5BE505B5" w14:textId="77777777" w:rsidR="009E1543" w:rsidRDefault="009E1543" w:rsidP="009E1543">
      <w:pPr>
        <w:pStyle w:val="13"/>
      </w:pPr>
      <w:r>
        <w:rPr>
          <w:rFonts w:hint="eastAsia"/>
        </w:rPr>
        <w:t>第二，以持续经营为前提对股权进行评估时，未充分分析各种基本评估方法的适用性，在可以采用两种或两种以上方法进行评估的情况下，只采用一种评估方法。</w:t>
      </w:r>
    </w:p>
    <w:p w14:paraId="7C18CF76" w14:textId="77777777" w:rsidR="009E1543" w:rsidRDefault="009E1543" w:rsidP="009E1543">
      <w:pPr>
        <w:pStyle w:val="13"/>
      </w:pPr>
      <w:r>
        <w:rPr>
          <w:rFonts w:hint="eastAsia"/>
        </w:rPr>
        <w:t>第三，评估方法的选择理由不充分，或者没有结合评估项目的具体情况分析选择依据。</w:t>
      </w:r>
    </w:p>
    <w:p w14:paraId="5EDBD27C" w14:textId="77777777" w:rsidR="009E1543" w:rsidRDefault="009E1543" w:rsidP="009E1543">
      <w:pPr>
        <w:pStyle w:val="13"/>
      </w:pPr>
      <w:r>
        <w:rPr>
          <w:rFonts w:hint="eastAsia"/>
        </w:rPr>
        <w:t>第四，对同一股权采用多种评估方法进行评估时，没有认真分析不同方法得到的评估结果存在差异的原因，对于各种方法在运用过程中出现的偏差没有进行复核并做出必要的调整。</w:t>
      </w:r>
    </w:p>
    <w:p w14:paraId="3226B930" w14:textId="77777777" w:rsidR="009E1543" w:rsidRDefault="009E1543" w:rsidP="009E1543">
      <w:pPr>
        <w:pStyle w:val="13"/>
      </w:pPr>
      <w:r>
        <w:rPr>
          <w:rFonts w:hint="eastAsia"/>
        </w:rPr>
        <w:t>第五，对同一股权采用多种评估方法进行评估时，根据初步评估结果的高低进行取舍，形成不合理的最终评估结论；或者在形成最终评估结论时，选择初步评估结果的理由不充分，缺乏针对性。</w:t>
      </w:r>
    </w:p>
    <w:p w14:paraId="129B2D9F" w14:textId="77777777" w:rsidR="009E1543" w:rsidRDefault="009E1543" w:rsidP="009E1543">
      <w:pPr>
        <w:pStyle w:val="13"/>
      </w:pPr>
      <w:r>
        <w:rPr>
          <w:rFonts w:hint="eastAsia"/>
        </w:rPr>
        <w:t>（二）监管关注事项</w:t>
      </w:r>
    </w:p>
    <w:p w14:paraId="6631F5AA" w14:textId="20490050" w:rsidR="009E1543" w:rsidRDefault="009E1543" w:rsidP="009E1543">
      <w:pPr>
        <w:pStyle w:val="13"/>
      </w:pPr>
      <w:r>
        <w:rPr>
          <w:rFonts w:hint="eastAsia"/>
        </w:rPr>
        <w:t>在监管工作中，应当关注并督促资产评估机构在以下方面加强业务执业质量控制：</w:t>
      </w:r>
      <w:r>
        <w:t>第一，对股权进行评估时，应逐一分析资产基础法、收益法和市场法等 3 种基本</w:t>
      </w:r>
    </w:p>
    <w:p w14:paraId="25AA70D9" w14:textId="77777777" w:rsidR="009E1543" w:rsidRDefault="009E1543" w:rsidP="009E1543">
      <w:pPr>
        <w:pStyle w:val="13"/>
      </w:pPr>
      <w:r>
        <w:rPr>
          <w:rFonts w:hint="eastAsia"/>
        </w:rPr>
        <w:t>评估方法的适用性。在持续经营前提下，原则上应当采用两种以上方法进行评估。除被评估企业不满足其中</w:t>
      </w:r>
      <w:proofErr w:type="gramStart"/>
      <w:r>
        <w:rPr>
          <w:rFonts w:hint="eastAsia"/>
        </w:rPr>
        <w:t>某两种</w:t>
      </w:r>
      <w:proofErr w:type="gramEnd"/>
      <w:r>
        <w:rPr>
          <w:rFonts w:hint="eastAsia"/>
        </w:rPr>
        <w:t>方法的适用条件外，应合</w:t>
      </w:r>
      <w:proofErr w:type="gramStart"/>
      <w:r>
        <w:rPr>
          <w:rFonts w:hint="eastAsia"/>
        </w:rPr>
        <w:t>理采用</w:t>
      </w:r>
      <w:proofErr w:type="gramEnd"/>
      <w:r>
        <w:rPr>
          <w:rFonts w:hint="eastAsia"/>
        </w:rPr>
        <w:t>两种或两种以上方法进行评估。如果只采用了一种评估方法，应当有充分依据并详细论证不能采用其他方法进行评估的理由。</w:t>
      </w:r>
    </w:p>
    <w:p w14:paraId="16B7F280" w14:textId="77777777" w:rsidR="009E1543" w:rsidRDefault="009E1543" w:rsidP="009E1543">
      <w:pPr>
        <w:pStyle w:val="13"/>
      </w:pPr>
      <w:r>
        <w:rPr>
          <w:rFonts w:hint="eastAsia"/>
        </w:rPr>
        <w:t>第二，评估方法的选择应有充分依据，不得只采用更接近预先设定的交易价格的评估方法进行评估。</w:t>
      </w:r>
    </w:p>
    <w:p w14:paraId="29DEDEC9" w14:textId="453EA4CB" w:rsidR="009E1543" w:rsidRDefault="009E1543" w:rsidP="009E1543">
      <w:pPr>
        <w:pStyle w:val="13"/>
      </w:pPr>
      <w:r>
        <w:rPr>
          <w:rFonts w:hint="eastAsia"/>
        </w:rPr>
        <w:t>第三，对同一股权采用多种评估方法时，应当对使用各种评估方法产生的结果之</w:t>
      </w:r>
      <w:r>
        <w:t>间的差异进行分析，复核各种方法的适用条件、重要参数的选取依据、评估方法的运用过程等，结合差异原因判断评估结果的差异程度是否属于合理范围。例如，</w:t>
      </w:r>
      <w:proofErr w:type="gramStart"/>
      <w:r>
        <w:t>当收益法</w:t>
      </w:r>
      <w:proofErr w:type="gramEnd"/>
      <w:r>
        <w:t>评估结果低于资产基础法评估结果时，应当关注相关资产是否存在如经济性贬值等 情况；反之，则应当分析在运用资产基础法评估时，是否存在评估范围不完整等情况。</w:t>
      </w:r>
    </w:p>
    <w:p w14:paraId="66158708" w14:textId="77777777" w:rsidR="009E1543" w:rsidRDefault="009E1543" w:rsidP="009E1543">
      <w:pPr>
        <w:pStyle w:val="13"/>
      </w:pPr>
      <w:r>
        <w:rPr>
          <w:rFonts w:hint="eastAsia"/>
        </w:rPr>
        <w:t>第四，对同一股权采用多种评估方法时，应根据股权交易目的、不同评估方法使用数据的质量和数量，结合市场相关信息进行论证，综合判断并形成最终评估结论。</w:t>
      </w:r>
    </w:p>
    <w:p w14:paraId="62EA18B8" w14:textId="77777777" w:rsidR="009E1543" w:rsidRDefault="009E1543" w:rsidP="009E1543">
      <w:pPr>
        <w:pStyle w:val="ab"/>
        <w:spacing w:before="62" w:after="62"/>
        <w:ind w:firstLine="482"/>
      </w:pPr>
      <w:r>
        <w:rPr>
          <w:rFonts w:hint="eastAsia"/>
        </w:rPr>
        <w:t>五、资产基础法的运用</w:t>
      </w:r>
    </w:p>
    <w:p w14:paraId="268A7A6E" w14:textId="77777777" w:rsidR="009E1543" w:rsidRDefault="009E1543" w:rsidP="009E1543">
      <w:pPr>
        <w:pStyle w:val="13"/>
      </w:pPr>
      <w:r>
        <w:rPr>
          <w:rFonts w:hint="eastAsia"/>
        </w:rPr>
        <w:t>注册资产评估</w:t>
      </w:r>
      <w:proofErr w:type="gramStart"/>
      <w:r>
        <w:rPr>
          <w:rFonts w:hint="eastAsia"/>
        </w:rPr>
        <w:t>师如果</w:t>
      </w:r>
      <w:proofErr w:type="gramEnd"/>
      <w:r>
        <w:rPr>
          <w:rFonts w:hint="eastAsia"/>
        </w:rPr>
        <w:t>采用资产基础法评估股权，应在合理评估企业各项资产和负债价值的基础上，确定评估对象的价值。</w:t>
      </w:r>
    </w:p>
    <w:p w14:paraId="29879A9D" w14:textId="77777777" w:rsidR="009E1543" w:rsidRDefault="009E1543" w:rsidP="009E1543">
      <w:pPr>
        <w:pStyle w:val="13"/>
      </w:pPr>
      <w:r>
        <w:rPr>
          <w:rFonts w:hint="eastAsia"/>
        </w:rPr>
        <w:t>（一）常见问题</w:t>
      </w:r>
    </w:p>
    <w:p w14:paraId="52434BE8" w14:textId="77777777" w:rsidR="009E1543" w:rsidRDefault="009E1543" w:rsidP="009E1543">
      <w:pPr>
        <w:pStyle w:val="13"/>
      </w:pPr>
      <w:r>
        <w:rPr>
          <w:rFonts w:hint="eastAsia"/>
        </w:rPr>
        <w:lastRenderedPageBreak/>
        <w:t>注册资产评估</w:t>
      </w:r>
      <w:proofErr w:type="gramStart"/>
      <w:r>
        <w:rPr>
          <w:rFonts w:hint="eastAsia"/>
        </w:rPr>
        <w:t>师采用</w:t>
      </w:r>
      <w:proofErr w:type="gramEnd"/>
      <w:r>
        <w:rPr>
          <w:rFonts w:hint="eastAsia"/>
        </w:rPr>
        <w:t>资产基础法评估股权通常存在以下问题：</w:t>
      </w:r>
      <w:r>
        <w:t xml:space="preserve"> 第一，未对重要的可识别和评估的账外无形资产进行评估。</w:t>
      </w:r>
    </w:p>
    <w:p w14:paraId="7AC3D912" w14:textId="77777777" w:rsidR="009E1543" w:rsidRDefault="009E1543" w:rsidP="009E1543">
      <w:pPr>
        <w:pStyle w:val="13"/>
      </w:pPr>
      <w:r>
        <w:rPr>
          <w:rFonts w:hint="eastAsia"/>
        </w:rPr>
        <w:t>第二，考虑资产贬值因素时没有充分关注和合理反映经济性贬值。第三，不恰当地引用矿业权、土地使用权等其他专业报告结论。</w:t>
      </w:r>
    </w:p>
    <w:p w14:paraId="466B86EB" w14:textId="77777777" w:rsidR="009E1543" w:rsidRDefault="009E1543" w:rsidP="009E1543">
      <w:pPr>
        <w:pStyle w:val="13"/>
      </w:pPr>
      <w:r>
        <w:rPr>
          <w:rFonts w:hint="eastAsia"/>
        </w:rPr>
        <w:t>第四，在对应收账款的回收率、金融资产的市场价格水平、固定资产剩余经济寿命年限等事项进行判断时，没有关注与其他中介机构存在的重大分歧，没有对产生重大分歧的原因进行必要的调查分析。</w:t>
      </w:r>
    </w:p>
    <w:p w14:paraId="2623B71F" w14:textId="77777777" w:rsidR="009E1543" w:rsidRDefault="009E1543" w:rsidP="009E1543">
      <w:pPr>
        <w:pStyle w:val="13"/>
      </w:pPr>
      <w:r>
        <w:rPr>
          <w:rFonts w:hint="eastAsia"/>
        </w:rPr>
        <w:t>（二）监管关注事项</w:t>
      </w:r>
    </w:p>
    <w:p w14:paraId="68843C69" w14:textId="77777777" w:rsidR="009E1543" w:rsidRDefault="009E1543" w:rsidP="009E1543">
      <w:pPr>
        <w:pStyle w:val="13"/>
      </w:pPr>
      <w:r>
        <w:rPr>
          <w:rFonts w:hint="eastAsia"/>
        </w:rPr>
        <w:t>在监管工作中，应当关注并督促资产评估机构在以下方面加强业务执业质量控制：</w:t>
      </w:r>
    </w:p>
    <w:p w14:paraId="5DA5E014" w14:textId="340E7A1D" w:rsidR="009E1543" w:rsidRDefault="009E1543" w:rsidP="009E1543">
      <w:pPr>
        <w:pStyle w:val="13"/>
      </w:pPr>
      <w:r>
        <w:t>第一，充分分析资产基础法的适用条件，对存在大量不可识别和评估的账外资产</w:t>
      </w:r>
      <w:r>
        <w:rPr>
          <w:rFonts w:hint="eastAsia"/>
        </w:rPr>
        <w:t>或负债的企业，应谨慎使用资产基础法。</w:t>
      </w:r>
    </w:p>
    <w:p w14:paraId="3F9251C2" w14:textId="77777777" w:rsidR="009E1543" w:rsidRDefault="009E1543" w:rsidP="009E1543">
      <w:pPr>
        <w:pStyle w:val="13"/>
      </w:pPr>
      <w:r>
        <w:rPr>
          <w:rFonts w:hint="eastAsia"/>
        </w:rPr>
        <w:t>第二，注册资产评估</w:t>
      </w:r>
      <w:proofErr w:type="gramStart"/>
      <w:r>
        <w:rPr>
          <w:rFonts w:hint="eastAsia"/>
        </w:rPr>
        <w:t>师应当</w:t>
      </w:r>
      <w:proofErr w:type="gramEnd"/>
      <w:r>
        <w:rPr>
          <w:rFonts w:hint="eastAsia"/>
        </w:rPr>
        <w:t>根据企业会计政策、生产经营等情况，识别企业资产</w:t>
      </w:r>
      <w:r>
        <w:t xml:space="preserve"> 负债表表内及表外的各项资产、负债，并根据具体情况分别选用适当的方法进行评估。</w:t>
      </w:r>
    </w:p>
    <w:p w14:paraId="6B5747EE" w14:textId="037C3824" w:rsidR="009E1543" w:rsidRDefault="009E1543" w:rsidP="009E1543">
      <w:pPr>
        <w:pStyle w:val="13"/>
      </w:pPr>
      <w:r>
        <w:rPr>
          <w:rFonts w:hint="eastAsia"/>
        </w:rPr>
        <w:t>第三，对于重要的可识别的账外无形资产，应从资产取得、使用、维护等角度</w:t>
      </w:r>
      <w:r w:rsidR="003068F8">
        <w:rPr>
          <w:rFonts w:hint="eastAsia"/>
        </w:rPr>
        <w:t>，</w:t>
      </w:r>
      <w:r>
        <w:t>分析其对股权价值的影响，并对其进行评估。</w:t>
      </w:r>
    </w:p>
    <w:p w14:paraId="0E6F681B" w14:textId="2A6F6894" w:rsidR="009E1543" w:rsidRDefault="009E1543" w:rsidP="009E1543">
      <w:pPr>
        <w:pStyle w:val="13"/>
      </w:pPr>
      <w:r>
        <w:rPr>
          <w:rFonts w:hint="eastAsia"/>
        </w:rPr>
        <w:t>第四，注册资产评估</w:t>
      </w:r>
      <w:proofErr w:type="gramStart"/>
      <w:r>
        <w:rPr>
          <w:rFonts w:hint="eastAsia"/>
        </w:rPr>
        <w:t>师应当</w:t>
      </w:r>
      <w:proofErr w:type="gramEnd"/>
      <w:r>
        <w:rPr>
          <w:rFonts w:hint="eastAsia"/>
        </w:rPr>
        <w:t>考虑经济性贬值对资产基础法评估结果的影响，结合</w:t>
      </w:r>
      <w:r>
        <w:t>企业的收益和资产使用状况，关注持续经营前提下单项资产存在经济性贬值的可能性。</w:t>
      </w:r>
    </w:p>
    <w:p w14:paraId="62F983FC" w14:textId="77777777" w:rsidR="009E1543" w:rsidRDefault="009E1543" w:rsidP="009E1543">
      <w:pPr>
        <w:pStyle w:val="13"/>
      </w:pPr>
      <w:r>
        <w:rPr>
          <w:rFonts w:hint="eastAsia"/>
        </w:rPr>
        <w:t>第五，引用矿业权、土地使用权等其他专业报告时，应对专业机构的独立性与专业报告的可靠性进行必要判断，对其使用前提、假设条件和特别关注事项等进行必要分析，恰当引用专业报告的评估结果。例如，引用其他资产评估结果时，应确信股权评估范围不重不漏，评估报告与其他专业报告所依据的基础数据没有重大差异等。</w:t>
      </w:r>
    </w:p>
    <w:p w14:paraId="48C24FB4" w14:textId="0F0BB888" w:rsidR="009E1543" w:rsidRDefault="009E1543" w:rsidP="009E1543">
      <w:pPr>
        <w:pStyle w:val="13"/>
      </w:pPr>
      <w:r>
        <w:rPr>
          <w:rFonts w:hint="eastAsia"/>
        </w:rPr>
        <w:t>第六，关注其他中介机构对同一事项的专业判断结果，对双方存在的重大差异进行调查分析。除非有充分依据证明双方判断都符合相关专业技术规范，否则应当消除重大分歧或说明差异原因。例如，对于有确凿证据证明其可回收性的应收款项，应根据实际情况逐项确定评估值；对于没有确凿证据的，</w:t>
      </w:r>
      <w:proofErr w:type="gramStart"/>
      <w:r>
        <w:rPr>
          <w:rFonts w:hint="eastAsia"/>
        </w:rPr>
        <w:t>应按账龄</w:t>
      </w:r>
      <w:proofErr w:type="gramEnd"/>
      <w:r>
        <w:rPr>
          <w:rFonts w:hint="eastAsia"/>
        </w:rPr>
        <w:t>分析法等方法估计款项回收风险。</w:t>
      </w:r>
    </w:p>
    <w:p w14:paraId="61788794" w14:textId="77777777" w:rsidR="009E1543" w:rsidRDefault="009E1543" w:rsidP="009E1543">
      <w:pPr>
        <w:pStyle w:val="ab"/>
        <w:spacing w:before="62" w:after="62"/>
        <w:ind w:firstLine="482"/>
      </w:pPr>
      <w:r>
        <w:rPr>
          <w:rFonts w:hint="eastAsia"/>
        </w:rPr>
        <w:t>六、收益法的运用</w:t>
      </w:r>
    </w:p>
    <w:p w14:paraId="67F614C7" w14:textId="77777777" w:rsidR="009E1543" w:rsidRDefault="009E1543" w:rsidP="009E1543">
      <w:pPr>
        <w:pStyle w:val="13"/>
      </w:pPr>
      <w:r>
        <w:rPr>
          <w:rFonts w:hint="eastAsia"/>
        </w:rPr>
        <w:t>注册资产评估</w:t>
      </w:r>
      <w:proofErr w:type="gramStart"/>
      <w:r>
        <w:rPr>
          <w:rFonts w:hint="eastAsia"/>
        </w:rPr>
        <w:t>师如果</w:t>
      </w:r>
      <w:proofErr w:type="gramEnd"/>
      <w:r>
        <w:rPr>
          <w:rFonts w:hint="eastAsia"/>
        </w:rPr>
        <w:t>采用收益法评估股权，应当从企业盈利能力的角度，合理衡量评估对象的价值。</w:t>
      </w:r>
    </w:p>
    <w:p w14:paraId="6687F23A" w14:textId="77777777" w:rsidR="009E1543" w:rsidRDefault="009E1543" w:rsidP="009E1543">
      <w:pPr>
        <w:pStyle w:val="13"/>
      </w:pPr>
      <w:r>
        <w:rPr>
          <w:rFonts w:hint="eastAsia"/>
        </w:rPr>
        <w:t>（一）常见问题</w:t>
      </w:r>
    </w:p>
    <w:p w14:paraId="08649668" w14:textId="77777777" w:rsidR="009E1543" w:rsidRDefault="009E1543" w:rsidP="009E1543">
      <w:pPr>
        <w:pStyle w:val="13"/>
      </w:pPr>
      <w:r>
        <w:rPr>
          <w:rFonts w:hint="eastAsia"/>
        </w:rPr>
        <w:t>注册资产评估</w:t>
      </w:r>
      <w:proofErr w:type="gramStart"/>
      <w:r>
        <w:rPr>
          <w:rFonts w:hint="eastAsia"/>
        </w:rPr>
        <w:t>师采用</w:t>
      </w:r>
      <w:proofErr w:type="gramEnd"/>
      <w:r>
        <w:rPr>
          <w:rFonts w:hint="eastAsia"/>
        </w:rPr>
        <w:t>收益法评估股权通常存在以下问题：</w:t>
      </w:r>
    </w:p>
    <w:p w14:paraId="1D4D9640" w14:textId="77777777" w:rsidR="009E1543" w:rsidRDefault="009E1543" w:rsidP="009E1543">
      <w:pPr>
        <w:pStyle w:val="13"/>
      </w:pPr>
      <w:r>
        <w:rPr>
          <w:rFonts w:hint="eastAsia"/>
        </w:rPr>
        <w:lastRenderedPageBreak/>
        <w:t>第一，在被评估对象不具备收益法使用条件的情况下，滥用收益法评估股权价值。</w:t>
      </w:r>
    </w:p>
    <w:p w14:paraId="6ACE41F0" w14:textId="4489E32D" w:rsidR="009E1543" w:rsidRDefault="009E1543" w:rsidP="009E1543">
      <w:pPr>
        <w:pStyle w:val="13"/>
      </w:pPr>
      <w:r>
        <w:rPr>
          <w:rFonts w:hint="eastAsia"/>
        </w:rPr>
        <w:t>第二，盈利预测依据不足，或者对企业管理层提供的盈利预测没有进行合理分析、判断和必要调整。</w:t>
      </w:r>
    </w:p>
    <w:p w14:paraId="05C496CB" w14:textId="77777777" w:rsidR="009E1543" w:rsidRDefault="009E1543" w:rsidP="009E1543">
      <w:pPr>
        <w:pStyle w:val="13"/>
      </w:pPr>
      <w:r>
        <w:rPr>
          <w:rFonts w:hint="eastAsia"/>
        </w:rPr>
        <w:t>第三，未经必要的调查和分析，直接假设管理</w:t>
      </w:r>
      <w:proofErr w:type="gramStart"/>
      <w:r>
        <w:rPr>
          <w:rFonts w:hint="eastAsia"/>
        </w:rPr>
        <w:t>层预测</w:t>
      </w:r>
      <w:proofErr w:type="gramEnd"/>
      <w:r>
        <w:rPr>
          <w:rFonts w:hint="eastAsia"/>
        </w:rPr>
        <w:t>的营业收入、成本等能如期实现。</w:t>
      </w:r>
    </w:p>
    <w:p w14:paraId="61D98DEF" w14:textId="77777777" w:rsidR="009E1543" w:rsidRDefault="009E1543" w:rsidP="009E1543">
      <w:pPr>
        <w:pStyle w:val="13"/>
      </w:pPr>
      <w:r>
        <w:rPr>
          <w:rFonts w:hint="eastAsia"/>
        </w:rPr>
        <w:t>第四，对历史经营数据没有进行认真分析，如没有区分并考虑非经常性损益和非经营性资产、负债对经营趋势判断的影响。</w:t>
      </w:r>
    </w:p>
    <w:p w14:paraId="7226FFC2" w14:textId="77777777" w:rsidR="009E1543" w:rsidRDefault="009E1543" w:rsidP="009E1543">
      <w:pPr>
        <w:pStyle w:val="13"/>
      </w:pPr>
      <w:r>
        <w:rPr>
          <w:rFonts w:hint="eastAsia"/>
        </w:rPr>
        <w:t>第五，识别溢</w:t>
      </w:r>
      <w:proofErr w:type="gramStart"/>
      <w:r>
        <w:rPr>
          <w:rFonts w:hint="eastAsia"/>
        </w:rPr>
        <w:t>余资产</w:t>
      </w:r>
      <w:proofErr w:type="gramEnd"/>
      <w:r>
        <w:rPr>
          <w:rFonts w:hint="eastAsia"/>
        </w:rPr>
        <w:t>和非经营性资产时不够谨慎，对溢</w:t>
      </w:r>
      <w:proofErr w:type="gramStart"/>
      <w:r>
        <w:rPr>
          <w:rFonts w:hint="eastAsia"/>
        </w:rPr>
        <w:t>余资产</w:t>
      </w:r>
      <w:proofErr w:type="gramEnd"/>
      <w:r>
        <w:rPr>
          <w:rFonts w:hint="eastAsia"/>
        </w:rPr>
        <w:t>和非经营性资产的判断依据不足。</w:t>
      </w:r>
    </w:p>
    <w:p w14:paraId="5D2EB1EE" w14:textId="77777777" w:rsidR="009E1543" w:rsidRDefault="009E1543" w:rsidP="009E1543">
      <w:pPr>
        <w:pStyle w:val="13"/>
      </w:pPr>
      <w:r>
        <w:rPr>
          <w:rFonts w:hint="eastAsia"/>
        </w:rPr>
        <w:t>第六，未来收益预测中主营业务收入、毛利率、营运资金、资本性支出等主要参数与基于评估假设推断出的情形不一致，预测的生产能力与投资规模不匹配，筹资规模不能满足投资需要。</w:t>
      </w:r>
    </w:p>
    <w:p w14:paraId="636CEC6C" w14:textId="77777777" w:rsidR="009E1543" w:rsidRDefault="009E1543" w:rsidP="009E1543">
      <w:pPr>
        <w:pStyle w:val="13"/>
      </w:pPr>
      <w:r>
        <w:rPr>
          <w:rFonts w:hint="eastAsia"/>
        </w:rPr>
        <w:t>第七，未充分了解企业所在行业或地区的特殊产业政策，收益预测和风险估算与可预见的企业未来发展情况存在重大偏差。</w:t>
      </w:r>
    </w:p>
    <w:p w14:paraId="64B6D9D4" w14:textId="77777777" w:rsidR="009E1543" w:rsidRDefault="009E1543" w:rsidP="009E1543">
      <w:pPr>
        <w:pStyle w:val="13"/>
      </w:pPr>
      <w:r>
        <w:rPr>
          <w:rFonts w:hint="eastAsia"/>
        </w:rPr>
        <w:t>第八，预测未来收益时对市场需求的了解和分析不充分。</w:t>
      </w:r>
    </w:p>
    <w:p w14:paraId="55CF77C0" w14:textId="77777777" w:rsidR="009E1543" w:rsidRDefault="009E1543" w:rsidP="009E1543">
      <w:pPr>
        <w:pStyle w:val="13"/>
      </w:pPr>
      <w:r>
        <w:rPr>
          <w:rFonts w:hint="eastAsia"/>
        </w:rPr>
        <w:t>第九，对存在明显周期性波动的企业，采用波峰或波谷价格和销量等不具有代表性的指标来预测长期收入水平。</w:t>
      </w:r>
    </w:p>
    <w:p w14:paraId="1331E382" w14:textId="77777777" w:rsidR="009E1543" w:rsidRDefault="009E1543" w:rsidP="009E1543">
      <w:pPr>
        <w:pStyle w:val="13"/>
      </w:pPr>
      <w:r>
        <w:rPr>
          <w:rFonts w:hint="eastAsia"/>
        </w:rPr>
        <w:t>第十，对历史上采用关联</w:t>
      </w:r>
      <w:proofErr w:type="gramStart"/>
      <w:r>
        <w:rPr>
          <w:rFonts w:hint="eastAsia"/>
        </w:rPr>
        <w:t>方销售</w:t>
      </w:r>
      <w:proofErr w:type="gramEnd"/>
      <w:r>
        <w:rPr>
          <w:rFonts w:hint="eastAsia"/>
        </w:rPr>
        <w:t>定价的企业，在预测企业未来收益时没有分析定价的公允性及可持续性，直接选择关联交易所采用的价格作为预测价格。</w:t>
      </w:r>
    </w:p>
    <w:p w14:paraId="7BF1B522" w14:textId="77777777" w:rsidR="009E1543" w:rsidRDefault="009E1543" w:rsidP="009E1543">
      <w:pPr>
        <w:pStyle w:val="13"/>
      </w:pPr>
      <w:r>
        <w:rPr>
          <w:rFonts w:hint="eastAsia"/>
        </w:rPr>
        <w:t>第十一，对享有税收优惠政策的企业，在预测企业未来收益时没有分析优惠政策到期后企业持续享有该政策的可能性，直接按优惠税率预测长期税负水平。</w:t>
      </w:r>
    </w:p>
    <w:p w14:paraId="2BD9BB8B" w14:textId="78DD0B96" w:rsidR="009E1543" w:rsidRDefault="009E1543" w:rsidP="009E1543">
      <w:pPr>
        <w:pStyle w:val="13"/>
      </w:pPr>
      <w:r>
        <w:rPr>
          <w:rFonts w:hint="eastAsia"/>
        </w:rPr>
        <w:t>第十二，确定收益期时，没有考虑国家有关法律法规、企业所在行业现状与发展前景、协议与章程约定、企业经营状况、资产特点和资源条件等因素的影响。</w:t>
      </w:r>
    </w:p>
    <w:p w14:paraId="5AFC7CF7" w14:textId="77777777" w:rsidR="009E1543" w:rsidRDefault="009E1543" w:rsidP="009E1543">
      <w:pPr>
        <w:pStyle w:val="13"/>
      </w:pPr>
      <w:r>
        <w:rPr>
          <w:rFonts w:hint="eastAsia"/>
        </w:rPr>
        <w:t>第十三，折现率的估算依据不足，主观随意性强，或与收益的风险程度不匹配。</w:t>
      </w:r>
    </w:p>
    <w:p w14:paraId="2352F5C9" w14:textId="77777777" w:rsidR="009E1543" w:rsidRDefault="009E1543" w:rsidP="009E1543">
      <w:pPr>
        <w:pStyle w:val="13"/>
      </w:pPr>
      <w:r>
        <w:rPr>
          <w:rFonts w:hint="eastAsia"/>
        </w:rPr>
        <w:t>（二）监管关注事项</w:t>
      </w:r>
    </w:p>
    <w:p w14:paraId="0CA2BD8D" w14:textId="77777777" w:rsidR="009E1543" w:rsidRDefault="009E1543" w:rsidP="009E1543">
      <w:pPr>
        <w:pStyle w:val="13"/>
      </w:pPr>
      <w:r>
        <w:rPr>
          <w:rFonts w:hint="eastAsia"/>
        </w:rPr>
        <w:t>在监管工作中，应当关注并督促资产评估机构在以下方面加强业务执业质量控制：</w:t>
      </w:r>
    </w:p>
    <w:p w14:paraId="1D2226B0" w14:textId="5A4E76F4" w:rsidR="009E1543" w:rsidRDefault="009E1543" w:rsidP="009E1543">
      <w:pPr>
        <w:pStyle w:val="13"/>
      </w:pPr>
      <w:r>
        <w:t>第一，结合企业的历史经营情况、未来收益可预测情况和所获取评估资料的充分</w:t>
      </w:r>
      <w:r>
        <w:rPr>
          <w:rFonts w:hint="eastAsia"/>
        </w:rPr>
        <w:t>程度，恰当考虑收益法的适用性。对于产品或服务尚未投入市场、无盈利历史记录、持续经营存在不确定性的企业，应谨慎使用收益法。</w:t>
      </w:r>
    </w:p>
    <w:p w14:paraId="4232EC81" w14:textId="77777777" w:rsidR="009E1543" w:rsidRDefault="009E1543" w:rsidP="009E1543">
      <w:pPr>
        <w:pStyle w:val="13"/>
      </w:pPr>
      <w:r>
        <w:rPr>
          <w:rFonts w:hint="eastAsia"/>
        </w:rPr>
        <w:t>第二，分析委托方或被评估企业提供的盈利预测数据时，应尽量搜集企业战略发展规划、经营计划和财务计划等预测依据，获得未来盈利数据的支持，有效防范或降低预测风险。</w:t>
      </w:r>
    </w:p>
    <w:p w14:paraId="36A7DE0A" w14:textId="77777777" w:rsidR="009E1543" w:rsidRDefault="009E1543" w:rsidP="009E1543">
      <w:pPr>
        <w:pStyle w:val="13"/>
      </w:pPr>
      <w:r>
        <w:rPr>
          <w:rFonts w:hint="eastAsia"/>
        </w:rPr>
        <w:lastRenderedPageBreak/>
        <w:t>第三，审慎使用委托方或被评估企业提供的盈利预测资料，应充分分析被评估企业的资本结构、经营状况、历史业绩、发展前景，考虑宏观和区域经济因素、所在行业现状与发展前景对股权价值的影响，在考虑未来存在的各种可能性及其影响的基础上合理确定评估假设，形成未来收益预测。</w:t>
      </w:r>
    </w:p>
    <w:p w14:paraId="60FE02EB" w14:textId="77777777" w:rsidR="009E1543" w:rsidRDefault="009E1543" w:rsidP="009E1543">
      <w:pPr>
        <w:pStyle w:val="13"/>
      </w:pPr>
      <w:r>
        <w:rPr>
          <w:rFonts w:hint="eastAsia"/>
        </w:rPr>
        <w:t>第四，对盈利预测基础历史数据进行认真核实，必要时可聘请注册会计师对相关历史财务数据进行审计，或要求被评估企业提供经审计财务数据。对委托方和相关当事方提供的盈利预测，应进行必要的分析、判断和调整，不能简单假设盈利预测能够如期实现。当盈利预测趋势和企业历史业绩与现实经营状况存在重大差异时，应当对差异原因及其合理性进行分析。</w:t>
      </w:r>
    </w:p>
    <w:p w14:paraId="0BC2D0AF" w14:textId="77777777" w:rsidR="009E1543" w:rsidRDefault="009E1543" w:rsidP="009E1543">
      <w:pPr>
        <w:pStyle w:val="13"/>
      </w:pPr>
      <w:r>
        <w:rPr>
          <w:rFonts w:hint="eastAsia"/>
        </w:rPr>
        <w:t>第五，与委托方和相关当事方进行沟通，了解企业资产配置和使用的情况，重点关注不同时点企业的资产构成和规模变化，并结合行业特点和行业资产配置的平均水平，谨慎识别非经营性资产和</w:t>
      </w:r>
      <w:proofErr w:type="gramStart"/>
      <w:r>
        <w:rPr>
          <w:rFonts w:hint="eastAsia"/>
        </w:rPr>
        <w:t>溢余</w:t>
      </w:r>
      <w:proofErr w:type="gramEnd"/>
      <w:r>
        <w:rPr>
          <w:rFonts w:hint="eastAsia"/>
        </w:rPr>
        <w:t>资产。</w:t>
      </w:r>
    </w:p>
    <w:p w14:paraId="4BCC7ED9" w14:textId="77777777" w:rsidR="009E1543" w:rsidRDefault="009E1543" w:rsidP="009E1543">
      <w:pPr>
        <w:pStyle w:val="13"/>
      </w:pPr>
      <w:r>
        <w:rPr>
          <w:rFonts w:hint="eastAsia"/>
        </w:rPr>
        <w:t>第六，未来收益预测中主营业务收入、毛利率、营运资金、资本性支出等主要参数应与评估假设及各相关参数相匹配。</w:t>
      </w:r>
    </w:p>
    <w:p w14:paraId="7F2B2A4A" w14:textId="77777777" w:rsidR="009E1543" w:rsidRDefault="009E1543" w:rsidP="009E1543">
      <w:pPr>
        <w:pStyle w:val="13"/>
      </w:pPr>
      <w:r>
        <w:rPr>
          <w:rFonts w:hint="eastAsia"/>
        </w:rPr>
        <w:t>第七，充分了解企业所在行业或地区的特殊产业政策，在预测收益和风险时恰当考虑上述产业政策的影响。</w:t>
      </w:r>
    </w:p>
    <w:p w14:paraId="36024275" w14:textId="77777777" w:rsidR="009E1543" w:rsidRDefault="009E1543" w:rsidP="009E1543">
      <w:pPr>
        <w:pStyle w:val="13"/>
      </w:pPr>
      <w:r>
        <w:rPr>
          <w:rFonts w:hint="eastAsia"/>
        </w:rPr>
        <w:t>第八，预测未来收益时，不仅要考虑企业的生产能力，还应对市场需求进行充分了解和分析，合理预测未来年度的销售规模。</w:t>
      </w:r>
    </w:p>
    <w:p w14:paraId="1965226D" w14:textId="77777777" w:rsidR="009E1543" w:rsidRDefault="009E1543" w:rsidP="009E1543">
      <w:pPr>
        <w:pStyle w:val="13"/>
      </w:pPr>
      <w:r>
        <w:rPr>
          <w:rFonts w:hint="eastAsia"/>
        </w:rPr>
        <w:t>第九，对存在明显周期性波动的企业，在预测企业未来收益时应充分考虑市场需求和价格的变动趋势，特别是对预测期后长期销售价格和数量的预测，应避免采用波峰或波谷价格和销量等不具有代表性的指标来预测收入水平。</w:t>
      </w:r>
    </w:p>
    <w:p w14:paraId="57E67FFF" w14:textId="77777777" w:rsidR="009E1543" w:rsidRDefault="009E1543" w:rsidP="009E1543">
      <w:pPr>
        <w:pStyle w:val="13"/>
      </w:pPr>
      <w:r>
        <w:rPr>
          <w:rFonts w:hint="eastAsia"/>
        </w:rPr>
        <w:t>第十，对历史上采用关联</w:t>
      </w:r>
      <w:proofErr w:type="gramStart"/>
      <w:r>
        <w:rPr>
          <w:rFonts w:hint="eastAsia"/>
        </w:rPr>
        <w:t>方销售</w:t>
      </w:r>
      <w:proofErr w:type="gramEnd"/>
      <w:r>
        <w:rPr>
          <w:rFonts w:hint="eastAsia"/>
        </w:rPr>
        <w:t>定价的企业，在预测企业未来收益时应分析定价的公允性及可持续性，恰当选择预测价格。</w:t>
      </w:r>
    </w:p>
    <w:p w14:paraId="40C92FA8" w14:textId="77777777" w:rsidR="009E1543" w:rsidRDefault="009E1543" w:rsidP="009E1543">
      <w:pPr>
        <w:pStyle w:val="13"/>
      </w:pPr>
      <w:r>
        <w:rPr>
          <w:rFonts w:hint="eastAsia"/>
        </w:rPr>
        <w:t>第十一，对享有税收优惠政策的企业，在预测企业未来收益时应分析优惠政策到期后企业持续享有该政策的可能性，谨慎考虑长期税负水平。</w:t>
      </w:r>
    </w:p>
    <w:p w14:paraId="01360798" w14:textId="77777777" w:rsidR="009E1543" w:rsidRDefault="009E1543" w:rsidP="009E1543">
      <w:pPr>
        <w:pStyle w:val="13"/>
      </w:pPr>
      <w:r>
        <w:rPr>
          <w:rFonts w:hint="eastAsia"/>
        </w:rPr>
        <w:t>第十二，根据国家有关法律法规、企业所在行业现状与发展前景、协议与章程约定、企业经营状况、资产特点和资源条件等，恰当确定收益期。</w:t>
      </w:r>
    </w:p>
    <w:p w14:paraId="10CDF13E" w14:textId="58C0594B" w:rsidR="009E1543" w:rsidRDefault="009E1543" w:rsidP="009E1543">
      <w:pPr>
        <w:pStyle w:val="13"/>
      </w:pPr>
      <w:r>
        <w:rPr>
          <w:rFonts w:hint="eastAsia"/>
        </w:rPr>
        <w:t>第十三，综合考虑评估基准日的利率水平、市场投资收益率等资本市场相关信息</w:t>
      </w:r>
      <w:r w:rsidR="003068F8">
        <w:rPr>
          <w:rFonts w:hint="eastAsia"/>
        </w:rPr>
        <w:t>，</w:t>
      </w:r>
      <w:r>
        <w:t>以及企业所在行业和企业本身的特定风险等相关因素，合理确定折现率。</w:t>
      </w:r>
    </w:p>
    <w:p w14:paraId="47AC92A5" w14:textId="77777777" w:rsidR="009E1543" w:rsidRDefault="009E1543" w:rsidP="009E1543">
      <w:pPr>
        <w:pStyle w:val="13"/>
      </w:pPr>
      <w:r>
        <w:rPr>
          <w:rFonts w:hint="eastAsia"/>
        </w:rPr>
        <w:t>第十四，采取收益法对上市公司重大资产重组中拟购买股权进行评估并作为定价参考依据的，应遵照《上市公司重大资产重组管理办法》的相关规定。</w:t>
      </w:r>
    </w:p>
    <w:p w14:paraId="42828EFB" w14:textId="77777777" w:rsidR="009E1543" w:rsidRDefault="009E1543" w:rsidP="009E1543">
      <w:pPr>
        <w:pStyle w:val="13"/>
      </w:pPr>
      <w:r>
        <w:rPr>
          <w:rFonts w:hint="eastAsia"/>
        </w:rPr>
        <w:t>第十五，对于重要的敏感性较强的评估参数，如评估假设、价格水平、收益期限、折现率等，应当进行敏感性分析，分析其变动对评估结果的影响；资产评估机构应当</w:t>
      </w:r>
      <w:r>
        <w:t xml:space="preserve"> 制定敏感性分析的具体标准，增强敏感性分析的恰当性。</w:t>
      </w:r>
    </w:p>
    <w:p w14:paraId="25B41CD6" w14:textId="77777777" w:rsidR="009E1543" w:rsidRDefault="009E1543" w:rsidP="009E1543">
      <w:pPr>
        <w:pStyle w:val="ab"/>
        <w:spacing w:before="62" w:after="62"/>
        <w:ind w:firstLine="482"/>
      </w:pPr>
      <w:r>
        <w:rPr>
          <w:rFonts w:hint="eastAsia"/>
        </w:rPr>
        <w:lastRenderedPageBreak/>
        <w:t>七、市场法的运用</w:t>
      </w:r>
    </w:p>
    <w:p w14:paraId="09C2F591" w14:textId="77777777" w:rsidR="009E1543" w:rsidRDefault="009E1543" w:rsidP="009E1543">
      <w:pPr>
        <w:pStyle w:val="13"/>
      </w:pPr>
      <w:r>
        <w:rPr>
          <w:rFonts w:hint="eastAsia"/>
        </w:rPr>
        <w:t>注册资产评估</w:t>
      </w:r>
      <w:proofErr w:type="gramStart"/>
      <w:r>
        <w:rPr>
          <w:rFonts w:hint="eastAsia"/>
        </w:rPr>
        <w:t>师如果</w:t>
      </w:r>
      <w:proofErr w:type="gramEnd"/>
      <w:r>
        <w:rPr>
          <w:rFonts w:hint="eastAsia"/>
        </w:rPr>
        <w:t>采用市场法评估股权，应当从市场交易角度，合理衡量评估对象的价值。</w:t>
      </w:r>
    </w:p>
    <w:p w14:paraId="17537B84" w14:textId="77777777" w:rsidR="009E1543" w:rsidRDefault="009E1543" w:rsidP="009E1543">
      <w:pPr>
        <w:pStyle w:val="13"/>
      </w:pPr>
      <w:r>
        <w:rPr>
          <w:rFonts w:hint="eastAsia"/>
        </w:rPr>
        <w:t>（一）常见问题</w:t>
      </w:r>
    </w:p>
    <w:p w14:paraId="78B6477F" w14:textId="77777777" w:rsidR="009E1543" w:rsidRDefault="009E1543" w:rsidP="009E1543">
      <w:pPr>
        <w:pStyle w:val="13"/>
      </w:pPr>
      <w:r>
        <w:rPr>
          <w:rFonts w:hint="eastAsia"/>
        </w:rPr>
        <w:t>注册资产评估</w:t>
      </w:r>
      <w:proofErr w:type="gramStart"/>
      <w:r>
        <w:rPr>
          <w:rFonts w:hint="eastAsia"/>
        </w:rPr>
        <w:t>师采用</w:t>
      </w:r>
      <w:proofErr w:type="gramEnd"/>
      <w:r>
        <w:rPr>
          <w:rFonts w:hint="eastAsia"/>
        </w:rPr>
        <w:t>市场法评估股权通常存在以下问题：</w:t>
      </w:r>
    </w:p>
    <w:p w14:paraId="03E1DD75" w14:textId="1FBB853C" w:rsidR="009E1543" w:rsidRDefault="009E1543" w:rsidP="009E1543">
      <w:pPr>
        <w:pStyle w:val="13"/>
      </w:pPr>
      <w:r>
        <w:rPr>
          <w:rFonts w:hint="eastAsia"/>
        </w:rPr>
        <w:t>第一，未充分考虑市场法的适用性，选取的可比企业与被评估企业不具有可比性</w:t>
      </w:r>
      <w:r w:rsidR="003068F8">
        <w:rPr>
          <w:rFonts w:hint="eastAsia"/>
        </w:rPr>
        <w:t>，</w:t>
      </w:r>
      <w:r>
        <w:t>或者未选取足够的可比企业或交易案例。</w:t>
      </w:r>
    </w:p>
    <w:p w14:paraId="0AF990F9" w14:textId="77777777" w:rsidR="009E1543" w:rsidRDefault="009E1543" w:rsidP="009E1543">
      <w:pPr>
        <w:pStyle w:val="13"/>
      </w:pPr>
      <w:r>
        <w:rPr>
          <w:rFonts w:hint="eastAsia"/>
        </w:rPr>
        <w:t>第二，对交易案例的背景情况了解不充分，或者没有充分考虑交易案例特殊的交易背景对交易价格的影响。</w:t>
      </w:r>
    </w:p>
    <w:p w14:paraId="233B4E2A" w14:textId="77777777" w:rsidR="009E1543" w:rsidRDefault="009E1543" w:rsidP="009E1543">
      <w:pPr>
        <w:pStyle w:val="13"/>
      </w:pPr>
      <w:r>
        <w:rPr>
          <w:rFonts w:hint="eastAsia"/>
        </w:rPr>
        <w:t>第三，选取的价值比率不恰当，计算价值比率时所采用的统计数据不合理。</w:t>
      </w:r>
    </w:p>
    <w:p w14:paraId="019EED58" w14:textId="0F365958" w:rsidR="009E1543" w:rsidRDefault="009E1543" w:rsidP="009E1543">
      <w:pPr>
        <w:pStyle w:val="13"/>
      </w:pPr>
      <w:r>
        <w:rPr>
          <w:rFonts w:hint="eastAsia"/>
        </w:rPr>
        <w:t>第四，对可比企业的经营和财务数据了解不充分，没有发现被评估企业与可比企业之间存在的重大差异，并对被评估企业与可比企业之间的差异分析不充分，没有考虑相关差异，如流动性和控制权等因素对股权价值的影响，或者价值调整幅度不合理。</w:t>
      </w:r>
    </w:p>
    <w:p w14:paraId="49040895" w14:textId="77777777" w:rsidR="009E1543" w:rsidRDefault="009E1543" w:rsidP="009E1543">
      <w:pPr>
        <w:pStyle w:val="13"/>
      </w:pPr>
      <w:r>
        <w:rPr>
          <w:rFonts w:hint="eastAsia"/>
        </w:rPr>
        <w:t>（二）监管关注事项</w:t>
      </w:r>
    </w:p>
    <w:p w14:paraId="0B0C4225" w14:textId="77777777" w:rsidR="009E1543" w:rsidRDefault="009E1543" w:rsidP="009E1543">
      <w:pPr>
        <w:pStyle w:val="13"/>
      </w:pPr>
      <w:r>
        <w:rPr>
          <w:rFonts w:hint="eastAsia"/>
        </w:rPr>
        <w:t>在监管工作中，应当关注并督促资产评估机构在以下方面加强业务执业质量控制：</w:t>
      </w:r>
    </w:p>
    <w:p w14:paraId="76F2FA21" w14:textId="72503B9F" w:rsidR="009E1543" w:rsidRDefault="009E1543" w:rsidP="009E1543">
      <w:pPr>
        <w:pStyle w:val="13"/>
      </w:pPr>
      <w:r>
        <w:t>第一，根据收集到的可比企业数量及其经营和财务数据的充分性和可靠性，恰当</w:t>
      </w:r>
      <w:r>
        <w:rPr>
          <w:rFonts w:hint="eastAsia"/>
        </w:rPr>
        <w:t>考虑市场法的适用性。不存在可比企业或交易案例的情况下，不应使用市场法。对被评估企业和参考企业所属的行业、业务结构、经营模式、企业规模、资产配置和使用情况、企业所处经营阶段、成长性、经营风险、财务风险等因素进行分析、比较，合理选择可比企业或交易案例。</w:t>
      </w:r>
    </w:p>
    <w:p w14:paraId="6272C6E3" w14:textId="77777777" w:rsidR="009E1543" w:rsidRDefault="009E1543" w:rsidP="009E1543">
      <w:pPr>
        <w:pStyle w:val="13"/>
      </w:pPr>
      <w:r>
        <w:rPr>
          <w:rFonts w:hint="eastAsia"/>
        </w:rPr>
        <w:t>第二，对股权交易的对象、交易背景、交易条件和交易时间等进行调查，恰当选择交易案例或对交易价格进行相应的修正。</w:t>
      </w:r>
    </w:p>
    <w:p w14:paraId="6844D8E4" w14:textId="77777777" w:rsidR="009E1543" w:rsidRDefault="009E1543" w:rsidP="009E1543">
      <w:pPr>
        <w:pStyle w:val="13"/>
      </w:pPr>
      <w:r>
        <w:rPr>
          <w:rFonts w:hint="eastAsia"/>
        </w:rPr>
        <w:t>第三，对被评估企业所在行业的价值驱动因素进行分析，结合证券市场、产权交</w:t>
      </w:r>
      <w:r>
        <w:t xml:space="preserve"> </w:t>
      </w:r>
      <w:proofErr w:type="gramStart"/>
      <w:r>
        <w:t>易市场</w:t>
      </w:r>
      <w:proofErr w:type="gramEnd"/>
      <w:r>
        <w:t>股权定价规律，选择有利于合理确定评估对象价值的价值比率和差异调整方法。</w:t>
      </w:r>
    </w:p>
    <w:p w14:paraId="34418848" w14:textId="77777777" w:rsidR="009E1543" w:rsidRDefault="009E1543" w:rsidP="009E1543">
      <w:pPr>
        <w:pStyle w:val="13"/>
      </w:pPr>
      <w:r>
        <w:rPr>
          <w:rFonts w:hint="eastAsia"/>
        </w:rPr>
        <w:t>第四，对各项数据的真实性、准确性和完整性进行必要的分析和判断，计算价值比率时恰当选择相关数据，合理确定数据的时间分布和统计方法，确信被评估企业和可比企业在价值比率的计算方法和数据口径上的一致性。</w:t>
      </w:r>
    </w:p>
    <w:p w14:paraId="511609BF" w14:textId="77777777" w:rsidR="009E1543" w:rsidRDefault="009E1543" w:rsidP="009E1543">
      <w:pPr>
        <w:pStyle w:val="13"/>
      </w:pPr>
      <w:r>
        <w:rPr>
          <w:rFonts w:hint="eastAsia"/>
        </w:rPr>
        <w:t>第五，关注流动性和控制权对股权价值的影响。如果对由此产生的溢价或者折价进行评估，应当有充分合理的依据支持评估结论。</w:t>
      </w:r>
    </w:p>
    <w:p w14:paraId="5580CB30" w14:textId="705230D3" w:rsidR="009E1543" w:rsidRDefault="009E1543" w:rsidP="009E1543">
      <w:pPr>
        <w:pStyle w:val="13"/>
      </w:pPr>
      <w:r>
        <w:rPr>
          <w:rFonts w:hint="eastAsia"/>
        </w:rPr>
        <w:t>第六，对于重要的敏感性较强的评估参数，如股票价格区间、价值比率种类等因</w:t>
      </w:r>
      <w:r>
        <w:t xml:space="preserve"> 素，应分析其变动对评估结果的影响；资产评估机构应当制定敏感性分析的具体标</w:t>
      </w:r>
      <w:r>
        <w:lastRenderedPageBreak/>
        <w:t>准，增强敏感性分析的恰当性。</w:t>
      </w:r>
    </w:p>
    <w:p w14:paraId="48FFD25E" w14:textId="77777777" w:rsidR="009E1543" w:rsidRDefault="009E1543" w:rsidP="009E1543">
      <w:pPr>
        <w:pStyle w:val="ab"/>
        <w:spacing w:before="62" w:after="62"/>
        <w:ind w:firstLine="482"/>
      </w:pPr>
      <w:r>
        <w:rPr>
          <w:rFonts w:hint="eastAsia"/>
        </w:rPr>
        <w:t>八、股权评估报告的披露</w:t>
      </w:r>
    </w:p>
    <w:p w14:paraId="52AE75D0" w14:textId="1C27EF03" w:rsidR="009E1543" w:rsidRDefault="009E1543" w:rsidP="009E1543">
      <w:pPr>
        <w:pStyle w:val="13"/>
      </w:pPr>
      <w:r>
        <w:rPr>
          <w:rFonts w:hint="eastAsia"/>
        </w:rPr>
        <w:t>注册资产评估师出具评估报告，应当在履行必要的评估程序后，恰当披露相关信息。</w:t>
      </w:r>
    </w:p>
    <w:p w14:paraId="09EA7CE4" w14:textId="77777777" w:rsidR="009E1543" w:rsidRDefault="009E1543" w:rsidP="009E1543">
      <w:pPr>
        <w:pStyle w:val="13"/>
      </w:pPr>
      <w:r>
        <w:rPr>
          <w:rFonts w:hint="eastAsia"/>
        </w:rPr>
        <w:t>（一）常见问题</w:t>
      </w:r>
    </w:p>
    <w:p w14:paraId="03C5DF85" w14:textId="77777777" w:rsidR="009E1543" w:rsidRDefault="009E1543" w:rsidP="009E1543">
      <w:pPr>
        <w:pStyle w:val="13"/>
      </w:pPr>
      <w:r>
        <w:rPr>
          <w:rFonts w:hint="eastAsia"/>
        </w:rPr>
        <w:t>注册资产评估师在评估报告披露方面通常存在以下问题：</w:t>
      </w:r>
    </w:p>
    <w:p w14:paraId="591C96A1" w14:textId="77777777" w:rsidR="009E1543" w:rsidRDefault="009E1543" w:rsidP="009E1543">
      <w:pPr>
        <w:pStyle w:val="13"/>
      </w:pPr>
      <w:r>
        <w:rPr>
          <w:rFonts w:hint="eastAsia"/>
        </w:rPr>
        <w:t>第一，评估报告披露的信息过于简单，或者没有突出评估项目的特点，不利于报告阅读者了解评估过程和理解评估结论。</w:t>
      </w:r>
    </w:p>
    <w:p w14:paraId="7F63137D" w14:textId="43091058" w:rsidR="009E1543" w:rsidRDefault="009E1543" w:rsidP="009E1543">
      <w:pPr>
        <w:pStyle w:val="13"/>
      </w:pPr>
      <w:r>
        <w:rPr>
          <w:rFonts w:hint="eastAsia"/>
        </w:rPr>
        <w:t>第二，对重大事件</w:t>
      </w:r>
      <w:proofErr w:type="gramStart"/>
      <w:r>
        <w:rPr>
          <w:rFonts w:hint="eastAsia"/>
        </w:rPr>
        <w:t>作出</w:t>
      </w:r>
      <w:proofErr w:type="gramEnd"/>
      <w:r>
        <w:rPr>
          <w:rFonts w:hint="eastAsia"/>
        </w:rPr>
        <w:t>违背事实真相的虚假记载、误导性陈述，或者存在重大事实遗漏或不恰当披露。</w:t>
      </w:r>
    </w:p>
    <w:p w14:paraId="16EF9CC5" w14:textId="77777777" w:rsidR="009E1543" w:rsidRDefault="009E1543" w:rsidP="009E1543">
      <w:pPr>
        <w:pStyle w:val="13"/>
      </w:pPr>
      <w:r>
        <w:rPr>
          <w:rFonts w:hint="eastAsia"/>
        </w:rPr>
        <w:t>第三，对应由注册资产评估师进行必要分析和判断的事项，没有履行必要的调查分析或核实程序，直接提出免责条款。</w:t>
      </w:r>
    </w:p>
    <w:p w14:paraId="015DFCE0" w14:textId="77777777" w:rsidR="009E1543" w:rsidRDefault="009E1543" w:rsidP="009E1543">
      <w:pPr>
        <w:pStyle w:val="13"/>
      </w:pPr>
      <w:r>
        <w:rPr>
          <w:rFonts w:hint="eastAsia"/>
        </w:rPr>
        <w:t>（二）监管关注事项</w:t>
      </w:r>
    </w:p>
    <w:p w14:paraId="1175A114" w14:textId="77777777" w:rsidR="009E1543" w:rsidRDefault="009E1543" w:rsidP="009E1543">
      <w:pPr>
        <w:pStyle w:val="13"/>
      </w:pPr>
      <w:r>
        <w:rPr>
          <w:rFonts w:hint="eastAsia"/>
        </w:rPr>
        <w:t>在监管工作中，应当关注并督促资产评估机构在以下方面加强业务执业质量控制：</w:t>
      </w:r>
    </w:p>
    <w:p w14:paraId="50530ABE" w14:textId="68B12540" w:rsidR="009E1543" w:rsidRDefault="009E1543" w:rsidP="009E1543">
      <w:pPr>
        <w:pStyle w:val="13"/>
      </w:pPr>
      <w:r>
        <w:t>第一，评估报告应当结合评估项目的特点，充分披露必要信息，使评估报告使用</w:t>
      </w:r>
      <w:r>
        <w:rPr>
          <w:rFonts w:hint="eastAsia"/>
        </w:rPr>
        <w:t>者能够</w:t>
      </w:r>
      <w:proofErr w:type="gramStart"/>
      <w:r>
        <w:rPr>
          <w:rFonts w:hint="eastAsia"/>
        </w:rPr>
        <w:t>合理理解</w:t>
      </w:r>
      <w:proofErr w:type="gramEnd"/>
      <w:r>
        <w:rPr>
          <w:rFonts w:hint="eastAsia"/>
        </w:rPr>
        <w:t>评估结论。</w:t>
      </w:r>
    </w:p>
    <w:p w14:paraId="1CCFF8CC" w14:textId="77777777" w:rsidR="009E1543" w:rsidRDefault="009E1543" w:rsidP="009E1543">
      <w:pPr>
        <w:pStyle w:val="13"/>
      </w:pPr>
      <w:r>
        <w:rPr>
          <w:rFonts w:hint="eastAsia"/>
        </w:rPr>
        <w:t>第二，评估报告应当披露下列事项对评估结论的影响及影响程度：</w:t>
      </w:r>
    </w:p>
    <w:p w14:paraId="71887D21" w14:textId="77777777" w:rsidR="009E1543" w:rsidRDefault="009E1543" w:rsidP="009E1543">
      <w:pPr>
        <w:pStyle w:val="13"/>
      </w:pPr>
      <w:r>
        <w:t>1、产权瑕疵事项，包括但不限于产权证明文件中记载的事项（名称、规格、用途、他项权利等）与实际情况不符、未取得产权证明文件或相关律师意见等。</w:t>
      </w:r>
    </w:p>
    <w:p w14:paraId="1C353EB8" w14:textId="77777777" w:rsidR="009E1543" w:rsidRDefault="009E1543" w:rsidP="009E1543">
      <w:pPr>
        <w:pStyle w:val="13"/>
      </w:pPr>
      <w:r>
        <w:t>2、被评估股权和对应资产的抵押、质押事项（数量、期限）与涉及的未决诉讼、未执行判决事项。</w:t>
      </w:r>
    </w:p>
    <w:p w14:paraId="41B3E9B1" w14:textId="77777777" w:rsidR="009E1543" w:rsidRDefault="009E1543" w:rsidP="009E1543">
      <w:pPr>
        <w:pStyle w:val="13"/>
      </w:pPr>
      <w:r>
        <w:t>3、评估基准日后、报告日前已获知的可能影响评估结论的重大事项。</w:t>
      </w:r>
    </w:p>
    <w:p w14:paraId="2E1904C4" w14:textId="77777777" w:rsidR="009E1543" w:rsidRDefault="009E1543" w:rsidP="009E1543">
      <w:pPr>
        <w:pStyle w:val="13"/>
      </w:pPr>
      <w:r>
        <w:t>4、与其他中介机构或所引用的土地估价报告、房地产估价报告、矿业权评估报告</w:t>
      </w:r>
      <w:proofErr w:type="gramStart"/>
      <w:r>
        <w:t>等判断</w:t>
      </w:r>
      <w:proofErr w:type="gramEnd"/>
      <w:r>
        <w:t>或处理原则不同的事项。</w:t>
      </w:r>
    </w:p>
    <w:p w14:paraId="10D8A866" w14:textId="77777777" w:rsidR="009E1543" w:rsidRDefault="009E1543" w:rsidP="009E1543">
      <w:pPr>
        <w:pStyle w:val="13"/>
      </w:pPr>
      <w:r>
        <w:rPr>
          <w:rFonts w:hint="eastAsia"/>
        </w:rPr>
        <w:t>第三，评估报告应当披露评估范围与已经审计财务报表之间的对应关系，以及相关审计报告类型。</w:t>
      </w:r>
    </w:p>
    <w:p w14:paraId="62C118AF" w14:textId="77777777" w:rsidR="009E1543" w:rsidRDefault="009E1543" w:rsidP="009E1543">
      <w:pPr>
        <w:pStyle w:val="13"/>
      </w:pPr>
      <w:r>
        <w:rPr>
          <w:rFonts w:hint="eastAsia"/>
        </w:rPr>
        <w:t>第四，评估报告应当对履行现场调查的情况予以说明，如果未实施必要的现场调查，应说明具体原因及其对评估结论可能产生的影响。</w:t>
      </w:r>
    </w:p>
    <w:p w14:paraId="24DCE44B" w14:textId="77777777" w:rsidR="009E1543" w:rsidRDefault="009E1543" w:rsidP="009E1543">
      <w:pPr>
        <w:pStyle w:val="13"/>
      </w:pPr>
      <w:r>
        <w:rPr>
          <w:rFonts w:hint="eastAsia"/>
        </w:rPr>
        <w:t>第五，评估报告应当披露被评估企业近三年是否有涉及本次评估对象的交易或评估行为，并在适当及切实可行的情况下披露其主要信息。</w:t>
      </w:r>
    </w:p>
    <w:p w14:paraId="492EC83E" w14:textId="77777777" w:rsidR="009E1543" w:rsidRDefault="009E1543" w:rsidP="009E1543">
      <w:pPr>
        <w:pStyle w:val="13"/>
      </w:pPr>
      <w:r>
        <w:rPr>
          <w:rFonts w:hint="eastAsia"/>
        </w:rPr>
        <w:t>第六，评估报告应当充分披露对评估结论有重大影响的评估假设，特别是针对行</w:t>
      </w:r>
      <w:r>
        <w:t xml:space="preserve"> </w:t>
      </w:r>
      <w:proofErr w:type="gramStart"/>
      <w:r>
        <w:t>业特点</w:t>
      </w:r>
      <w:proofErr w:type="gramEnd"/>
      <w:r>
        <w:t>的特殊假设或非持续经营前提等，并说明上述假设不成</w:t>
      </w:r>
      <w:proofErr w:type="gramStart"/>
      <w:r>
        <w:t>立时对</w:t>
      </w:r>
      <w:proofErr w:type="gramEnd"/>
      <w:r>
        <w:t>评估结论的影响。</w:t>
      </w:r>
    </w:p>
    <w:p w14:paraId="5F72665C" w14:textId="77777777" w:rsidR="009E1543" w:rsidRDefault="009E1543" w:rsidP="009E1543">
      <w:pPr>
        <w:pStyle w:val="13"/>
      </w:pPr>
      <w:r>
        <w:rPr>
          <w:rFonts w:hint="eastAsia"/>
        </w:rPr>
        <w:lastRenderedPageBreak/>
        <w:t>第七，评估报告应当披露评估结论是否考虑了流动性和控制权对股权价值的影响。</w:t>
      </w:r>
    </w:p>
    <w:p w14:paraId="74BE07FC" w14:textId="6EEEEFCC" w:rsidR="009E1543" w:rsidRDefault="009E1543" w:rsidP="009E1543">
      <w:pPr>
        <w:pStyle w:val="13"/>
      </w:pPr>
      <w:r>
        <w:rPr>
          <w:rFonts w:hint="eastAsia"/>
        </w:rPr>
        <w:t>第八，对于重要的敏感性较强的评估参数，在评估报告中应当将分析结果予以披露。</w:t>
      </w:r>
    </w:p>
    <w:p w14:paraId="12287740" w14:textId="717A6740" w:rsidR="009E1543" w:rsidRDefault="009E1543" w:rsidP="009E1543">
      <w:pPr>
        <w:pStyle w:val="13"/>
      </w:pPr>
      <w:r>
        <w:rPr>
          <w:rFonts w:hint="eastAsia"/>
        </w:rPr>
        <w:t>第九，采取收益法对上市公司重大资产重组中拟购买股权进行评估并作为定价参考依据的，评估报告应当披露预测年度的利润表或所预测收益与利润表之间的对应关系。</w:t>
      </w:r>
    </w:p>
    <w:p w14:paraId="3B822A70" w14:textId="2A7F5206" w:rsidR="00865B2E" w:rsidRDefault="009E1543" w:rsidP="009E1543">
      <w:pPr>
        <w:pStyle w:val="13"/>
      </w:pPr>
      <w:r>
        <w:rPr>
          <w:rFonts w:hint="eastAsia"/>
        </w:rPr>
        <w:t>第十，正确使用免责声明。对于应当由注册资产评估师进行必要分析和判断的事项，不能简单地作免责声明处理，应履行必要的调查、分析和核实等评估程序，并对评估结论的合理性承担责任。</w:t>
      </w:r>
    </w:p>
    <w:p w14:paraId="03429F6D" w14:textId="3B4F0607" w:rsidR="00865B2E" w:rsidRDefault="003442B1" w:rsidP="003442B1">
      <w:pPr>
        <w:pStyle w:val="31"/>
        <w:spacing w:before="156" w:after="62"/>
      </w:pPr>
      <w:bookmarkStart w:id="92" w:name="_Toc81833355"/>
      <w:r w:rsidRPr="003442B1">
        <w:rPr>
          <w:rFonts w:hint="eastAsia"/>
        </w:rPr>
        <w:t>会计监管风险提示第</w:t>
      </w:r>
      <w:r w:rsidRPr="003442B1">
        <w:t>6号—新三板挂牌公司审计</w:t>
      </w:r>
      <w:bookmarkEnd w:id="92"/>
    </w:p>
    <w:p w14:paraId="029FC0A8" w14:textId="77777777" w:rsidR="003442B1" w:rsidRDefault="003442B1" w:rsidP="003442B1">
      <w:pPr>
        <w:pStyle w:val="13"/>
      </w:pPr>
      <w:r>
        <w:rPr>
          <w:rFonts w:hint="eastAsia"/>
        </w:rPr>
        <w:t>为强化新三板挂牌公司审计业务监管，督促会计师事务所在新三板挂牌公司审计业务中归位尽责，进一步提高新三板挂牌公司财务信息披露质量，现就会计师事务所执行新三板挂牌公司审计业务的监管风险进行提示。</w:t>
      </w:r>
    </w:p>
    <w:p w14:paraId="56D1F297" w14:textId="77777777" w:rsidR="003442B1" w:rsidRDefault="003442B1" w:rsidP="003442B1">
      <w:pPr>
        <w:pStyle w:val="13"/>
      </w:pPr>
      <w:r>
        <w:rPr>
          <w:rFonts w:hint="eastAsia"/>
        </w:rPr>
        <w:t>本提示所称新三板挂牌公司</w:t>
      </w:r>
      <w:proofErr w:type="gramStart"/>
      <w:r>
        <w:rPr>
          <w:rFonts w:hint="eastAsia"/>
        </w:rPr>
        <w:t>审计指</w:t>
      </w:r>
      <w:proofErr w:type="gramEnd"/>
      <w:r>
        <w:rPr>
          <w:rFonts w:hint="eastAsia"/>
        </w:rPr>
        <w:t>会计师事务所为新三板挂牌公司提供的年报审计服务和为被审计单位申请挂牌提供的相关审计服务。会计师事务所执行新三板挂牌公司审计业务，应严格遵照相关法律法规和《中国注册会计师执业准则》的要求开展工作，建立健全与新三板挂牌公司审计业务相关的质量控制制度，督促相关注册会计师加强对证券期货相关法律法规的学习，确保审计执业质量。</w:t>
      </w:r>
    </w:p>
    <w:p w14:paraId="75769D83" w14:textId="77777777" w:rsidR="003442B1" w:rsidRDefault="003442B1" w:rsidP="003442B1">
      <w:pPr>
        <w:pStyle w:val="ab"/>
        <w:spacing w:before="62" w:after="62"/>
        <w:ind w:firstLine="482"/>
      </w:pPr>
      <w:r>
        <w:rPr>
          <w:rFonts w:hint="eastAsia"/>
        </w:rPr>
        <w:t>一、审计项目质量控制</w:t>
      </w:r>
    </w:p>
    <w:p w14:paraId="3B32B3DF" w14:textId="77777777" w:rsidR="003442B1" w:rsidRDefault="003442B1" w:rsidP="003442B1">
      <w:pPr>
        <w:pStyle w:val="13"/>
      </w:pPr>
      <w:r>
        <w:rPr>
          <w:rFonts w:hint="eastAsia"/>
        </w:rPr>
        <w:t>由于新三板挂牌备案速度快、公司存量基数大，部分会计师事务所为了抢占市场，只重视业务承揽而忽视了业务质量控制，导致审计质量控制不到位，执业质量偏低。会计师事务所应当遵照《中国注册会计师审计准则第</w:t>
      </w:r>
      <w:r>
        <w:t>1121号——对财务报表审计实施的质量控制》《质量控制准则第5101号——会计师事务所对执行财务报表审计和审阅、其他</w:t>
      </w:r>
      <w:proofErr w:type="gramStart"/>
      <w:r>
        <w:t>鉴证</w:t>
      </w:r>
      <w:proofErr w:type="gramEnd"/>
      <w:r>
        <w:t>和相关服务业务实施的质量控制》的要求，提高并完善新三板挂牌公司审计项目质量控制。</w:t>
      </w:r>
    </w:p>
    <w:p w14:paraId="5048CD83" w14:textId="77777777" w:rsidR="003442B1" w:rsidRDefault="003442B1" w:rsidP="003442B1">
      <w:pPr>
        <w:pStyle w:val="13"/>
      </w:pPr>
      <w:r>
        <w:rPr>
          <w:rFonts w:hint="eastAsia"/>
        </w:rPr>
        <w:t>（一）常见问题</w:t>
      </w:r>
    </w:p>
    <w:p w14:paraId="040CCD5E" w14:textId="77777777" w:rsidR="003442B1" w:rsidRDefault="003442B1" w:rsidP="003442B1">
      <w:pPr>
        <w:pStyle w:val="13"/>
      </w:pPr>
      <w:r>
        <w:rPr>
          <w:rFonts w:hint="eastAsia"/>
        </w:rPr>
        <w:t>会计师事务所在新三板挂牌公司审计项目质量控制中，通常存在以下问题：</w:t>
      </w:r>
    </w:p>
    <w:p w14:paraId="04A84872" w14:textId="77777777" w:rsidR="003442B1" w:rsidRDefault="003442B1" w:rsidP="003442B1">
      <w:pPr>
        <w:pStyle w:val="13"/>
      </w:pPr>
      <w:r>
        <w:rPr>
          <w:rFonts w:hint="eastAsia"/>
        </w:rPr>
        <w:t>一是在业务承接时未获取必要信息以充分评估自身的胜任能力和被审计单位管理层的诚信情况，未对新三板挂牌公司审计项目进行恰当的风险分类。</w:t>
      </w:r>
    </w:p>
    <w:p w14:paraId="7BB4869F" w14:textId="77777777" w:rsidR="003442B1" w:rsidRDefault="003442B1" w:rsidP="003442B1">
      <w:pPr>
        <w:pStyle w:val="13"/>
      </w:pPr>
      <w:r>
        <w:rPr>
          <w:rFonts w:hint="eastAsia"/>
        </w:rPr>
        <w:t>二是被审计单位变更会计师事务所时，后任注册会计师未与前任注册会计师进行充分、必要的沟通，未对沟通结果进行有效评价。</w:t>
      </w:r>
    </w:p>
    <w:p w14:paraId="4EC3C72B" w14:textId="77777777" w:rsidR="003442B1" w:rsidRDefault="003442B1" w:rsidP="003442B1">
      <w:pPr>
        <w:pStyle w:val="13"/>
      </w:pPr>
      <w:r>
        <w:rPr>
          <w:rFonts w:hint="eastAsia"/>
        </w:rPr>
        <w:t>三是在业务执行过程中，未严格执行项目质量控制复核，未由独立的项目质量控</w:t>
      </w:r>
      <w:r>
        <w:rPr>
          <w:rFonts w:hint="eastAsia"/>
        </w:rPr>
        <w:lastRenderedPageBreak/>
        <w:t>制复核人员对项目组</w:t>
      </w:r>
      <w:proofErr w:type="gramStart"/>
      <w:r>
        <w:rPr>
          <w:rFonts w:hint="eastAsia"/>
        </w:rPr>
        <w:t>作出</w:t>
      </w:r>
      <w:proofErr w:type="gramEnd"/>
      <w:r>
        <w:rPr>
          <w:rFonts w:hint="eastAsia"/>
        </w:rPr>
        <w:t>的重大判断和编制审计报告时得出的结论进行客观评价。</w:t>
      </w:r>
    </w:p>
    <w:p w14:paraId="2AF306E0" w14:textId="77777777" w:rsidR="003442B1" w:rsidRDefault="003442B1" w:rsidP="003442B1">
      <w:pPr>
        <w:pStyle w:val="13"/>
      </w:pPr>
      <w:r>
        <w:rPr>
          <w:rFonts w:hint="eastAsia"/>
        </w:rPr>
        <w:t>（二）会计监管关注事项</w:t>
      </w:r>
    </w:p>
    <w:p w14:paraId="7937B102" w14:textId="77777777" w:rsidR="003442B1" w:rsidRDefault="003442B1" w:rsidP="003442B1">
      <w:pPr>
        <w:pStyle w:val="13"/>
      </w:pPr>
      <w:r>
        <w:rPr>
          <w:rFonts w:hint="eastAsia"/>
        </w:rPr>
        <w:t>在会计监管工作中，应关注会计师事务所是否制定了新三板挂牌公司审计的质量控制制度，并在具体项目中严格执行。具体包括：</w:t>
      </w:r>
    </w:p>
    <w:p w14:paraId="40BFBC47" w14:textId="77777777" w:rsidR="003442B1" w:rsidRDefault="003442B1" w:rsidP="003442B1">
      <w:pPr>
        <w:pStyle w:val="13"/>
      </w:pPr>
      <w:r>
        <w:rPr>
          <w:rFonts w:hint="eastAsia"/>
        </w:rPr>
        <w:t>一是在业务承接方面，会计师事务所原则上应将新三板挂牌公司审计项目分类为高风险业务，重点针对以下方面考虑是否承接：</w:t>
      </w:r>
    </w:p>
    <w:p w14:paraId="14985FCC" w14:textId="3A871759" w:rsidR="003442B1" w:rsidRDefault="003442B1" w:rsidP="003442B1">
      <w:pPr>
        <w:pStyle w:val="13"/>
      </w:pPr>
      <w:r>
        <w:t>1.了解被审计单位的基本情况。包括企业基本情况、历史沿革、所处行业、主要业务模式、主要财务数据分析、内部控制情况、管理层诚信情况等。</w:t>
      </w:r>
    </w:p>
    <w:p w14:paraId="737CB607" w14:textId="225FF815" w:rsidR="003442B1" w:rsidRDefault="003442B1" w:rsidP="003442B1">
      <w:pPr>
        <w:pStyle w:val="13"/>
      </w:pPr>
      <w:r>
        <w:t>2.评估会计师事务所是否拥有足够的具有胜任能力和必要素质的人员来执行审计业务。</w:t>
      </w:r>
    </w:p>
    <w:p w14:paraId="0E1855ED" w14:textId="77777777" w:rsidR="003442B1" w:rsidRDefault="003442B1" w:rsidP="003442B1">
      <w:pPr>
        <w:pStyle w:val="13"/>
      </w:pPr>
      <w:r>
        <w:rPr>
          <w:rFonts w:hint="eastAsia"/>
        </w:rPr>
        <w:t>二是在接受委托前，后任注册会计师应当提请被审计单位以书面方式同意前任注册会计师对其询问</w:t>
      </w:r>
      <w:proofErr w:type="gramStart"/>
      <w:r>
        <w:rPr>
          <w:rFonts w:hint="eastAsia"/>
        </w:rPr>
        <w:t>作出</w:t>
      </w:r>
      <w:proofErr w:type="gramEnd"/>
      <w:r>
        <w:rPr>
          <w:rFonts w:hint="eastAsia"/>
        </w:rPr>
        <w:t>充分答复。基于合理、具体的原则，后任注册会计师应向前任注册会计师询问是否发现被审计单位管理层存在正直和诚信方面的问题；与管理层是否存在重大会计、审计等问题上的意见分歧；是否存在管理层舞弊、违法违规行为以及值得关注的内部控制缺陷以及变更会计师事务所的原因。后任注册会计师应对前任注册会计师的答复进行评价，并根据答复情况考虑是否接受委托。</w:t>
      </w:r>
    </w:p>
    <w:p w14:paraId="1A2A88DB" w14:textId="77777777" w:rsidR="003442B1" w:rsidRDefault="003442B1" w:rsidP="003442B1">
      <w:pPr>
        <w:pStyle w:val="13"/>
      </w:pPr>
      <w:r>
        <w:rPr>
          <w:rFonts w:hint="eastAsia"/>
        </w:rPr>
        <w:t>三是会计师事务所应对新三板挂牌公司审计项目执行质量控制复核，委派具有胜任能力的质量控制复核人员。质量控制复核人员应及时介入，结合行业特点、行业报告期内基本情况和被审计单位经营情况，客观评价项目组</w:t>
      </w:r>
      <w:proofErr w:type="gramStart"/>
      <w:r>
        <w:rPr>
          <w:rFonts w:hint="eastAsia"/>
        </w:rPr>
        <w:t>作出</w:t>
      </w:r>
      <w:proofErr w:type="gramEnd"/>
      <w:r>
        <w:rPr>
          <w:rFonts w:hint="eastAsia"/>
        </w:rPr>
        <w:t>的重大判断和得出的结论是否适当。</w:t>
      </w:r>
    </w:p>
    <w:p w14:paraId="2977FD89" w14:textId="77777777" w:rsidR="003442B1" w:rsidRDefault="003442B1" w:rsidP="003442B1">
      <w:pPr>
        <w:pStyle w:val="ab"/>
        <w:spacing w:before="62" w:after="62"/>
        <w:ind w:firstLine="482"/>
      </w:pPr>
      <w:r>
        <w:rPr>
          <w:rFonts w:hint="eastAsia"/>
        </w:rPr>
        <w:t>二、通过了解被审计单位及其环境识别和</w:t>
      </w:r>
      <w:proofErr w:type="gramStart"/>
      <w:r>
        <w:rPr>
          <w:rFonts w:hint="eastAsia"/>
        </w:rPr>
        <w:t>评估重</w:t>
      </w:r>
      <w:proofErr w:type="gramEnd"/>
      <w:r>
        <w:rPr>
          <w:rFonts w:hint="eastAsia"/>
        </w:rPr>
        <w:t>大错报风险</w:t>
      </w:r>
    </w:p>
    <w:p w14:paraId="4D67D0DE" w14:textId="77777777" w:rsidR="003442B1" w:rsidRDefault="003442B1" w:rsidP="003442B1">
      <w:pPr>
        <w:pStyle w:val="13"/>
      </w:pPr>
      <w:r>
        <w:rPr>
          <w:rFonts w:hint="eastAsia"/>
        </w:rPr>
        <w:t>根据《中国注册会计师审计准则第</w:t>
      </w:r>
      <w:r>
        <w:t>1211号——通过了解被审计单位及其环境识别和评估重大错报风险》的要求，注册会计师应当通过实施询问、分析等风险评估程序，了解被审计单位及其环境，从而为识别和评估财务报表层次和认定层次的重大错报风险提供基础。注册会计师在新三板挂牌公司审计项目中实施风险评估程序时，应结合被审计单位的具体情况，重点考虑可能存在高风险的领域。</w:t>
      </w:r>
    </w:p>
    <w:p w14:paraId="6FEDB17E" w14:textId="77777777" w:rsidR="003442B1" w:rsidRDefault="003442B1" w:rsidP="003442B1">
      <w:pPr>
        <w:pStyle w:val="13"/>
      </w:pPr>
      <w:r>
        <w:rPr>
          <w:rFonts w:hint="eastAsia"/>
        </w:rPr>
        <w:t>（一）常见问题</w:t>
      </w:r>
    </w:p>
    <w:p w14:paraId="19E7E7B2" w14:textId="77777777" w:rsidR="003442B1" w:rsidRDefault="003442B1" w:rsidP="003442B1">
      <w:pPr>
        <w:pStyle w:val="13"/>
      </w:pPr>
      <w:r>
        <w:rPr>
          <w:rFonts w:hint="eastAsia"/>
        </w:rPr>
        <w:t>注册会计师在新三板挂牌公司审计项目中实施风险评估程序时，通常存在以下问题：</w:t>
      </w:r>
    </w:p>
    <w:p w14:paraId="081107BD" w14:textId="06F697D3" w:rsidR="003442B1" w:rsidRPr="003442B1" w:rsidRDefault="003442B1" w:rsidP="003442B1">
      <w:pPr>
        <w:pStyle w:val="13"/>
      </w:pPr>
      <w:r>
        <w:rPr>
          <w:rFonts w:hint="eastAsia"/>
        </w:rPr>
        <w:t>一是在了解被审计单位及其环境时，实施的风险评估程序流于形式，导致未全面和充分地了解被审计单位及其环境。</w:t>
      </w:r>
    </w:p>
    <w:p w14:paraId="1062A572" w14:textId="77777777" w:rsidR="003442B1" w:rsidRDefault="003442B1" w:rsidP="003442B1">
      <w:pPr>
        <w:pStyle w:val="13"/>
      </w:pPr>
      <w:r>
        <w:rPr>
          <w:rFonts w:hint="eastAsia"/>
        </w:rPr>
        <w:t>二是在了解内部控制并识别和</w:t>
      </w:r>
      <w:proofErr w:type="gramStart"/>
      <w:r>
        <w:rPr>
          <w:rFonts w:hint="eastAsia"/>
        </w:rPr>
        <w:t>评估重</w:t>
      </w:r>
      <w:proofErr w:type="gramEnd"/>
      <w:r>
        <w:rPr>
          <w:rFonts w:hint="eastAsia"/>
        </w:rPr>
        <w:t>大错报风险时，未恰当识别由于管理层凌驾于内部控制之上从而规避控制所导致的重大错报风险。</w:t>
      </w:r>
    </w:p>
    <w:p w14:paraId="2D0670BA" w14:textId="77777777" w:rsidR="003442B1" w:rsidRDefault="003442B1" w:rsidP="003442B1">
      <w:pPr>
        <w:pStyle w:val="13"/>
      </w:pPr>
      <w:r>
        <w:rPr>
          <w:rFonts w:hint="eastAsia"/>
        </w:rPr>
        <w:t>（二）会计监管关注事项</w:t>
      </w:r>
    </w:p>
    <w:p w14:paraId="2B55DE45" w14:textId="77777777" w:rsidR="003442B1" w:rsidRDefault="003442B1" w:rsidP="003442B1">
      <w:pPr>
        <w:pStyle w:val="13"/>
      </w:pPr>
      <w:r>
        <w:rPr>
          <w:rFonts w:hint="eastAsia"/>
        </w:rPr>
        <w:lastRenderedPageBreak/>
        <w:t>在会计监管工作中，应关注注册会计师在实施风险评估程序时是否恰当应用职业判断以识别和</w:t>
      </w:r>
      <w:proofErr w:type="gramStart"/>
      <w:r>
        <w:rPr>
          <w:rFonts w:hint="eastAsia"/>
        </w:rPr>
        <w:t>评估重</w:t>
      </w:r>
      <w:proofErr w:type="gramEnd"/>
      <w:r>
        <w:rPr>
          <w:rFonts w:hint="eastAsia"/>
        </w:rPr>
        <w:t>大错报风险：</w:t>
      </w:r>
    </w:p>
    <w:p w14:paraId="718BCE43" w14:textId="77777777" w:rsidR="003442B1" w:rsidRDefault="003442B1" w:rsidP="003442B1">
      <w:pPr>
        <w:pStyle w:val="13"/>
      </w:pPr>
      <w:r>
        <w:rPr>
          <w:rFonts w:hint="eastAsia"/>
        </w:rPr>
        <w:t>一是在了解被审计单位及其环境时，应针对性地重点了解以下方面：</w:t>
      </w:r>
    </w:p>
    <w:p w14:paraId="69987720" w14:textId="2D3D5F28" w:rsidR="003442B1" w:rsidRDefault="003442B1" w:rsidP="003442B1">
      <w:pPr>
        <w:pStyle w:val="13"/>
      </w:pPr>
      <w:r>
        <w:t>1.相关行业状况和监管环境。对属于新兴高新技术行业的被审计单位，除了需要了解行业的基本情况和发展现状以外，还应重点关注行业的稳定性、发展趋势、竞争程度和特有风险（如政策风险等）。</w:t>
      </w:r>
    </w:p>
    <w:p w14:paraId="550B338F" w14:textId="7258FD0D" w:rsidR="003442B1" w:rsidRDefault="003442B1" w:rsidP="003442B1">
      <w:pPr>
        <w:pStyle w:val="13"/>
      </w:pPr>
      <w:r>
        <w:t>2.被审计单位的性质，包括是否存在特殊的业务模式、所有权和治理结构是否明晰、筹资和投资活动是否存在重大限制、是否存在超出被审计单位正常经营过程的重大关联方交易及资金占用情况等。</w:t>
      </w:r>
    </w:p>
    <w:p w14:paraId="2691F66D" w14:textId="64828CCE" w:rsidR="003442B1" w:rsidRDefault="003442B1" w:rsidP="003442B1">
      <w:pPr>
        <w:pStyle w:val="13"/>
      </w:pPr>
      <w:r>
        <w:t>3.对会计政策的选择和运用，特别是某些新兴行业可能涉及的在缺乏权威性标准或共识、有争议的或新兴领域采用的重要会计政策。</w:t>
      </w:r>
    </w:p>
    <w:p w14:paraId="5A40E907" w14:textId="3C6766A4" w:rsidR="003442B1" w:rsidRDefault="003442B1" w:rsidP="003442B1">
      <w:pPr>
        <w:pStyle w:val="13"/>
      </w:pPr>
      <w:r>
        <w:t>4.经营风险，例如对于成立时间较短、处于发展或成长期的被审计单位，可能存在开发新产品或提供新服务失败或者业务扩张失败等导致的经营风险。</w:t>
      </w:r>
    </w:p>
    <w:p w14:paraId="228C7AA4" w14:textId="64D638BB" w:rsidR="003442B1" w:rsidRDefault="003442B1" w:rsidP="003442B1">
      <w:pPr>
        <w:pStyle w:val="13"/>
      </w:pPr>
      <w:r>
        <w:t>5.了解被审计单位是否存在由于融资、分层调整、首次公开发行股票及对赌等原因产生的粉饰财务报表的压力和动机。如果存在这种情况，注册会计师应当考虑提高对尚未发现和更正的错报风险的预期。</w:t>
      </w:r>
    </w:p>
    <w:p w14:paraId="60B1AF84" w14:textId="77777777" w:rsidR="003442B1" w:rsidRDefault="003442B1" w:rsidP="003442B1">
      <w:pPr>
        <w:pStyle w:val="13"/>
      </w:pPr>
      <w:r>
        <w:rPr>
          <w:rFonts w:hint="eastAsia"/>
        </w:rPr>
        <w:t>二是在了解与财务报表相关的内部控制时，由于部分被审计单位可能存在内部控制系统较为简单，缺少正式的风险评估过程，或者股东、治理层和管理层高度重合等情况，注册会计师应当保持职业怀疑态度并恰当实施风险评估程序，以识别这些内部控制特点可能导致的管理层凌驾于内部控制之上的重大错报风险，并采取恰当的措施应对该等由舞弊导致的重大错报风险。</w:t>
      </w:r>
    </w:p>
    <w:p w14:paraId="7DEB1B81" w14:textId="77777777" w:rsidR="003442B1" w:rsidRDefault="003442B1" w:rsidP="003442B1">
      <w:pPr>
        <w:pStyle w:val="ab"/>
        <w:spacing w:before="62" w:after="62"/>
        <w:ind w:firstLine="482"/>
      </w:pPr>
      <w:r>
        <w:rPr>
          <w:rFonts w:hint="eastAsia"/>
        </w:rPr>
        <w:t>三、持续经营</w:t>
      </w:r>
    </w:p>
    <w:p w14:paraId="58D96793" w14:textId="77777777" w:rsidR="003442B1" w:rsidRDefault="003442B1" w:rsidP="003442B1">
      <w:pPr>
        <w:pStyle w:val="13"/>
      </w:pPr>
      <w:r>
        <w:rPr>
          <w:rFonts w:hint="eastAsia"/>
        </w:rPr>
        <w:t>根据《中国注册会计师审计准则第</w:t>
      </w:r>
      <w:r>
        <w:t>1324号——持续经营》的要求，注册会计师应当就管理层在编制财务报表时运用持续经营假设的适当性获取充分、适当的审计证据并得出结论，并就持续经营能力是否存在重大不确定性得出结论。</w:t>
      </w:r>
    </w:p>
    <w:p w14:paraId="4434B20B" w14:textId="77777777" w:rsidR="003442B1" w:rsidRDefault="003442B1" w:rsidP="003442B1">
      <w:pPr>
        <w:pStyle w:val="13"/>
      </w:pPr>
      <w:r>
        <w:rPr>
          <w:rFonts w:hint="eastAsia"/>
        </w:rPr>
        <w:t>（一）常见问题</w:t>
      </w:r>
    </w:p>
    <w:p w14:paraId="5ACC94A0" w14:textId="77777777" w:rsidR="003442B1" w:rsidRDefault="003442B1" w:rsidP="003442B1">
      <w:pPr>
        <w:pStyle w:val="13"/>
      </w:pPr>
      <w:r>
        <w:rPr>
          <w:rFonts w:hint="eastAsia"/>
        </w:rPr>
        <w:t>注册会计师在新三板挂牌公司审计项目中对持续经营假设是否适当进行考虑时，通常存在以下问题：</w:t>
      </w:r>
    </w:p>
    <w:p w14:paraId="31F62BCE" w14:textId="77777777" w:rsidR="003442B1" w:rsidRDefault="003442B1" w:rsidP="003442B1">
      <w:pPr>
        <w:pStyle w:val="13"/>
      </w:pPr>
      <w:r>
        <w:rPr>
          <w:rFonts w:hint="eastAsia"/>
        </w:rPr>
        <w:t>一是未恰当评价管理层对被审计单位持续经营能力的评估。</w:t>
      </w:r>
    </w:p>
    <w:p w14:paraId="0203B4AF" w14:textId="77777777" w:rsidR="003442B1" w:rsidRDefault="003442B1" w:rsidP="003442B1">
      <w:pPr>
        <w:pStyle w:val="13"/>
      </w:pPr>
      <w:r>
        <w:rPr>
          <w:rFonts w:hint="eastAsia"/>
        </w:rPr>
        <w:t>二是在审计过程中未保持足够的职业怀疑，对可能导致对被审计单位持续经营能力产生重大疑虑的事项或情况未保持警觉。</w:t>
      </w:r>
    </w:p>
    <w:p w14:paraId="59924F66" w14:textId="77777777" w:rsidR="003442B1" w:rsidRDefault="003442B1" w:rsidP="003442B1">
      <w:pPr>
        <w:pStyle w:val="13"/>
      </w:pPr>
      <w:r>
        <w:rPr>
          <w:rFonts w:hint="eastAsia"/>
        </w:rPr>
        <w:t>三是当识别出可能导致对被审计单位持续经营能力产生重大疑虑的事项或情况时，未恰当实施追加的审计程序。</w:t>
      </w:r>
    </w:p>
    <w:p w14:paraId="6D94C21B" w14:textId="77777777" w:rsidR="003442B1" w:rsidRDefault="003442B1" w:rsidP="003442B1">
      <w:pPr>
        <w:pStyle w:val="13"/>
      </w:pPr>
      <w:r>
        <w:rPr>
          <w:rFonts w:hint="eastAsia"/>
        </w:rPr>
        <w:t>（二）会计监管关注事项</w:t>
      </w:r>
    </w:p>
    <w:p w14:paraId="12C51626" w14:textId="77777777" w:rsidR="003442B1" w:rsidRDefault="003442B1" w:rsidP="003442B1">
      <w:pPr>
        <w:pStyle w:val="13"/>
      </w:pPr>
      <w:r>
        <w:rPr>
          <w:rFonts w:hint="eastAsia"/>
        </w:rPr>
        <w:lastRenderedPageBreak/>
        <w:t>在会计监管工作中，应关注注册会计师是否保持了足够的职业怀疑，并遵照《中国注册会计师审计准则第</w:t>
      </w:r>
      <w:r>
        <w:t>1324号——持续经营》的要求和指引实施了恰当的审计程序，具体包括：</w:t>
      </w:r>
    </w:p>
    <w:p w14:paraId="53FA103E" w14:textId="77777777" w:rsidR="003442B1" w:rsidRDefault="003442B1" w:rsidP="003442B1">
      <w:pPr>
        <w:pStyle w:val="13"/>
      </w:pPr>
      <w:r>
        <w:rPr>
          <w:rFonts w:hint="eastAsia"/>
        </w:rPr>
        <w:t>一是处于发展或成长期的被审计单位管理层通常对公司业务的成长性存在较高预期，在评估持续经营能力时往往过于乐观。因此，注册会计师应当识别可能存在的管理层偏向，谨慎评价管理层对被审计单位持续经营能力的评估。</w:t>
      </w:r>
    </w:p>
    <w:p w14:paraId="37B8B010" w14:textId="77777777" w:rsidR="003442B1" w:rsidRDefault="003442B1" w:rsidP="003442B1">
      <w:pPr>
        <w:pStyle w:val="13"/>
      </w:pPr>
      <w:r>
        <w:rPr>
          <w:rFonts w:hint="eastAsia"/>
        </w:rPr>
        <w:t>二是注册会计师在实施风险评估程序时应特别注意是否存在导致对被审计单位持续经营能力产生重大疑虑的事项或情况，如发生重大经营亏损、法律或政策变化预期产生重大不利影响、主要高层管理人员离职且无人替代、关键客户或供应商流失、逾期归还银行借款及其他债务且融资困难、涉及重大诉讼或其他重大或有事项等，并在整个审计过程中保持警觉。</w:t>
      </w:r>
    </w:p>
    <w:p w14:paraId="1BD0F8CB" w14:textId="77777777" w:rsidR="003442B1" w:rsidRDefault="003442B1" w:rsidP="003442B1">
      <w:pPr>
        <w:pStyle w:val="13"/>
      </w:pPr>
      <w:r>
        <w:rPr>
          <w:rFonts w:hint="eastAsia"/>
        </w:rPr>
        <w:t>三是当识别出可能导致对被审计单位持续经营能力产生重大疑虑的事项或情况时，管理层可能会提出相关的未来应对计划。注册会计师应实施恰当的追加审计程序，以评价管理层是否具有明确的意图和足够的能力来实施应对计划，确定可能导致被审计单位持续经营能力产生重大疑虑的事项或情况是否存在重大不确定性。</w:t>
      </w:r>
    </w:p>
    <w:p w14:paraId="07700CC7" w14:textId="77777777" w:rsidR="003442B1" w:rsidRDefault="003442B1" w:rsidP="003442B1">
      <w:pPr>
        <w:pStyle w:val="ab"/>
        <w:spacing w:before="62" w:after="62"/>
        <w:ind w:firstLine="482"/>
      </w:pPr>
      <w:r>
        <w:rPr>
          <w:rFonts w:hint="eastAsia"/>
        </w:rPr>
        <w:t>四、收入确认</w:t>
      </w:r>
    </w:p>
    <w:p w14:paraId="4E388857" w14:textId="77777777" w:rsidR="003442B1" w:rsidRDefault="003442B1" w:rsidP="003442B1">
      <w:pPr>
        <w:pStyle w:val="13"/>
      </w:pPr>
      <w:r>
        <w:rPr>
          <w:rFonts w:hint="eastAsia"/>
        </w:rPr>
        <w:t>由于新三板挂牌对盈利水平没有硬性要求，而是更关注主营业务的成长性和未来业务发展的可持续性，因此，较</w:t>
      </w:r>
      <w:r>
        <w:t>A股上市公司而言，收入和毛利率两项指标对于挂牌公司更显重要。在从事新三板挂牌公司审计业务的过程中，注册会计师应结合被审计单位所处的行业特点，关注收入确认的真实性、完整性，以及毛利率分析的合理性。尤其是在识别和评估舞弊导致的收入项目重大错报风险时，注册会计师应当基于收入确认存在舞弊风险的假定，对不同类型的交易进行重点关注。</w:t>
      </w:r>
    </w:p>
    <w:p w14:paraId="6AA31ED7" w14:textId="77777777" w:rsidR="003442B1" w:rsidRDefault="003442B1" w:rsidP="003442B1">
      <w:pPr>
        <w:pStyle w:val="13"/>
      </w:pPr>
      <w:r>
        <w:rPr>
          <w:rFonts w:hint="eastAsia"/>
        </w:rPr>
        <w:t>（一）常见问题</w:t>
      </w:r>
    </w:p>
    <w:p w14:paraId="39E6502F" w14:textId="77777777" w:rsidR="003442B1" w:rsidRDefault="003442B1" w:rsidP="003442B1">
      <w:pPr>
        <w:pStyle w:val="13"/>
      </w:pPr>
      <w:r>
        <w:rPr>
          <w:rFonts w:hint="eastAsia"/>
        </w:rPr>
        <w:t>注册会计师在新三板挂牌公司审计项目中对报告期间收入确认进行审计时，通常存在以下问题：</w:t>
      </w:r>
    </w:p>
    <w:p w14:paraId="113B284F" w14:textId="77777777" w:rsidR="003442B1" w:rsidRDefault="003442B1" w:rsidP="003442B1">
      <w:pPr>
        <w:pStyle w:val="13"/>
      </w:pPr>
      <w:r>
        <w:rPr>
          <w:rFonts w:hint="eastAsia"/>
        </w:rPr>
        <w:t>一是注册会计师未按照审计准则的要求恰当识别存在舞弊风险的收入、收入交易或具体认定。</w:t>
      </w:r>
    </w:p>
    <w:p w14:paraId="22FB5F74" w14:textId="77777777" w:rsidR="003442B1" w:rsidRDefault="003442B1" w:rsidP="003442B1">
      <w:pPr>
        <w:pStyle w:val="13"/>
      </w:pPr>
      <w:r>
        <w:rPr>
          <w:rFonts w:hint="eastAsia"/>
        </w:rPr>
        <w:t>二是对于报告期间收入高增长的被审计单位，注册会计师忽视了报告期间内各期应收账款、预收款项、主营业务收入和经营活动现金流量等数据之间的逻辑关系，未发现其中的异常情况。</w:t>
      </w:r>
    </w:p>
    <w:p w14:paraId="5C9095F6" w14:textId="77777777" w:rsidR="003442B1" w:rsidRDefault="003442B1" w:rsidP="003442B1">
      <w:pPr>
        <w:pStyle w:val="13"/>
      </w:pPr>
      <w:r>
        <w:rPr>
          <w:rFonts w:hint="eastAsia"/>
        </w:rPr>
        <w:t>三是注册会计师未</w:t>
      </w:r>
      <w:proofErr w:type="gramStart"/>
      <w:r>
        <w:rPr>
          <w:rFonts w:hint="eastAsia"/>
        </w:rPr>
        <w:t>恰当关注</w:t>
      </w:r>
      <w:proofErr w:type="gramEnd"/>
      <w:r>
        <w:rPr>
          <w:rFonts w:hint="eastAsia"/>
        </w:rPr>
        <w:t>报告期内被审计单位所在行业发展情况以及竞争对手经营业务情况。</w:t>
      </w:r>
    </w:p>
    <w:p w14:paraId="76A2DA97" w14:textId="77777777" w:rsidR="003442B1" w:rsidRDefault="003442B1" w:rsidP="003442B1">
      <w:pPr>
        <w:pStyle w:val="13"/>
      </w:pPr>
      <w:r>
        <w:rPr>
          <w:rFonts w:hint="eastAsia"/>
        </w:rPr>
        <w:t>（二）会计监管关注事项</w:t>
      </w:r>
    </w:p>
    <w:p w14:paraId="48792F67" w14:textId="77777777" w:rsidR="003442B1" w:rsidRDefault="003442B1" w:rsidP="003442B1">
      <w:pPr>
        <w:pStyle w:val="13"/>
      </w:pPr>
      <w:r>
        <w:rPr>
          <w:rFonts w:hint="eastAsia"/>
        </w:rPr>
        <w:t>在会计监管工作中，应关注注册会计师是否有针对性地执行了以下审计程序：</w:t>
      </w:r>
    </w:p>
    <w:p w14:paraId="1645CA93" w14:textId="77777777" w:rsidR="003442B1" w:rsidRDefault="003442B1" w:rsidP="003442B1">
      <w:pPr>
        <w:pStyle w:val="13"/>
      </w:pPr>
      <w:r>
        <w:rPr>
          <w:rFonts w:hint="eastAsia"/>
        </w:rPr>
        <w:lastRenderedPageBreak/>
        <w:t>一是《中国注册会计师审计准则第</w:t>
      </w:r>
      <w:r>
        <w:t>1141号——财务报表审计中与舞弊相关的责任》要求注册会计师在识别和评估由于舞弊导致的重大错报风险时，应当假定收入确认存在舞弊风险，在此基础上评价哪些类型的收入、收入交易或认定导致舞弊风险。注册会计师需要结合对被审计单位及其环境的具体了解，考虑收入确认舞弊可能如何发生。例如，如果管理</w:t>
      </w:r>
      <w:proofErr w:type="gramStart"/>
      <w:r>
        <w:t>层难以</w:t>
      </w:r>
      <w:proofErr w:type="gramEnd"/>
      <w:r>
        <w:t>实现预期的财务目标，则可能有高估收入的动机或压力；相反，如果被审计单位预期难以达到下一年度的销售目标，就可能倾向于将本期的收入推迟至下一年度确认。如果注册会计师认为收入确认存在的舞弊风险假定不</w:t>
      </w:r>
      <w:r>
        <w:rPr>
          <w:rFonts w:hint="eastAsia"/>
        </w:rPr>
        <w:t>适用于业务的具体情况而未将收入确认为由于舞弊导致的重大错报风险领域，注册会计师应当在审计工作底稿中记录得出该结论的理由。</w:t>
      </w:r>
    </w:p>
    <w:p w14:paraId="59A5DAC5" w14:textId="77777777" w:rsidR="003442B1" w:rsidRDefault="003442B1" w:rsidP="003442B1">
      <w:pPr>
        <w:pStyle w:val="13"/>
      </w:pPr>
      <w:r>
        <w:rPr>
          <w:rFonts w:hint="eastAsia"/>
        </w:rPr>
        <w:t>二是注册会计师在执行审计程序的过程中，应考虑与主营业务收入相关的财务报表项目之间的逻辑关系。具体有以下几点：</w:t>
      </w:r>
    </w:p>
    <w:p w14:paraId="3DF61DC4" w14:textId="25C9F70D" w:rsidR="003442B1" w:rsidRDefault="003442B1" w:rsidP="003442B1">
      <w:pPr>
        <w:pStyle w:val="13"/>
      </w:pPr>
      <w:r>
        <w:t>1.如果被审计单位应收账款余额较大，或者应收账款增长比例高于销售收入的增长比例，注册会计师应当分析具体原因，并通过</w:t>
      </w:r>
      <w:proofErr w:type="gramStart"/>
      <w:r>
        <w:t>扩大函证比例</w:t>
      </w:r>
      <w:proofErr w:type="gramEnd"/>
      <w:r>
        <w:t>、增加客户访谈、增加截止性测试和</w:t>
      </w:r>
      <w:proofErr w:type="gramStart"/>
      <w:r>
        <w:t>期后</w:t>
      </w:r>
      <w:proofErr w:type="gramEnd"/>
      <w:r>
        <w:t>收款测试等方式，加强应收账款实质性测试程序。</w:t>
      </w:r>
    </w:p>
    <w:p w14:paraId="38E8C408" w14:textId="2FFDC4E7" w:rsidR="003442B1" w:rsidRDefault="003442B1" w:rsidP="003442B1">
      <w:pPr>
        <w:pStyle w:val="13"/>
      </w:pPr>
      <w:r>
        <w:t>2.对于被审计单位在报告期间主营业务的增长，注册会计师还应分析</w:t>
      </w:r>
      <w:proofErr w:type="gramStart"/>
      <w:r>
        <w:t>该增长</w:t>
      </w:r>
      <w:proofErr w:type="gramEnd"/>
      <w:r>
        <w:t>是否与对应的投入增长率、劳动生产率、销售费用率、产能、水电能耗及运输数量等相匹配。</w:t>
      </w:r>
    </w:p>
    <w:p w14:paraId="49E62106" w14:textId="48532230" w:rsidR="003442B1" w:rsidRDefault="003442B1" w:rsidP="003442B1">
      <w:pPr>
        <w:pStyle w:val="13"/>
      </w:pPr>
      <w:r>
        <w:t>3.如果被审计单位经营性现金流量与利润严重不匹配，则注册会计师应要求管理层分析经营性现金流量与净利润之间产生差异的原因，并逐项考虑差异的合理性。</w:t>
      </w:r>
    </w:p>
    <w:p w14:paraId="02B0907A" w14:textId="77777777" w:rsidR="003442B1" w:rsidRDefault="003442B1" w:rsidP="003442B1">
      <w:pPr>
        <w:pStyle w:val="13"/>
      </w:pPr>
      <w:r>
        <w:rPr>
          <w:rFonts w:hint="eastAsia"/>
        </w:rPr>
        <w:t>三是对于被审计单位报告期间主营业务的高增长，注册会计师还应将其与行业总体增长情况以及竞争对手的财务数据进行比较分析，如果存在重大偏差，则应要求管理层给予合理的解释，并对相关解释执行审计程序加以验证。</w:t>
      </w:r>
    </w:p>
    <w:p w14:paraId="770F923A" w14:textId="77777777" w:rsidR="003442B1" w:rsidRDefault="003442B1" w:rsidP="003442B1">
      <w:pPr>
        <w:pStyle w:val="ab"/>
        <w:spacing w:before="62" w:after="62"/>
        <w:ind w:firstLine="482"/>
      </w:pPr>
      <w:r>
        <w:rPr>
          <w:rFonts w:hint="eastAsia"/>
        </w:rPr>
        <w:t>五、关联方认定及其交易</w:t>
      </w:r>
    </w:p>
    <w:p w14:paraId="1153A8D7" w14:textId="77777777" w:rsidR="003442B1" w:rsidRDefault="003442B1" w:rsidP="003442B1">
      <w:pPr>
        <w:pStyle w:val="13"/>
      </w:pPr>
      <w:r>
        <w:rPr>
          <w:rFonts w:hint="eastAsia"/>
        </w:rPr>
        <w:t>注册会计师应当遵照《中国注册会计师审计准则第</w:t>
      </w:r>
      <w:r>
        <w:t>1323号——关联方》的要求和指引，审计被审计单位是否严格按照《企业会计准则第36号——关联方披露》《全国中小企业股份转让系统挂牌公司信息披露细则(试行)》和相关业务规则的规定，真实、准确、完整地披露关联方关系及其交易，关注发行人是否存在通过未披露关联方实施舞弊的行为。</w:t>
      </w:r>
    </w:p>
    <w:p w14:paraId="5A809323" w14:textId="77777777" w:rsidR="003442B1" w:rsidRDefault="003442B1" w:rsidP="003442B1">
      <w:pPr>
        <w:pStyle w:val="13"/>
      </w:pPr>
      <w:r>
        <w:rPr>
          <w:rFonts w:hint="eastAsia"/>
        </w:rPr>
        <w:t>（一）常见问题</w:t>
      </w:r>
    </w:p>
    <w:p w14:paraId="4A320B93" w14:textId="77777777" w:rsidR="003442B1" w:rsidRDefault="003442B1" w:rsidP="003442B1">
      <w:pPr>
        <w:pStyle w:val="13"/>
      </w:pPr>
      <w:r>
        <w:rPr>
          <w:rFonts w:hint="eastAsia"/>
        </w:rPr>
        <w:t>注册会计师在新三板挂牌公司审计项目中核查新三板挂牌公司关联方交易时，通常存在以下问题：</w:t>
      </w:r>
    </w:p>
    <w:p w14:paraId="0D521389" w14:textId="77777777" w:rsidR="003442B1" w:rsidRDefault="003442B1" w:rsidP="003442B1">
      <w:pPr>
        <w:pStyle w:val="13"/>
      </w:pPr>
      <w:r>
        <w:rPr>
          <w:rFonts w:hint="eastAsia"/>
        </w:rPr>
        <w:t>一是管理层未向注册会计师完整披露关联方关系，注册会计师未能完整识别出重大的关联方交易。</w:t>
      </w:r>
    </w:p>
    <w:p w14:paraId="1E31EA45" w14:textId="77777777" w:rsidR="003442B1" w:rsidRDefault="003442B1" w:rsidP="003442B1">
      <w:pPr>
        <w:pStyle w:val="13"/>
      </w:pPr>
      <w:r>
        <w:rPr>
          <w:rFonts w:hint="eastAsia"/>
        </w:rPr>
        <w:t>二是注册会计师未对关联方交易是否具有商业实质进行职业判断，未执行有效</w:t>
      </w:r>
      <w:r>
        <w:rPr>
          <w:rFonts w:hint="eastAsia"/>
        </w:rPr>
        <w:lastRenderedPageBreak/>
        <w:t>的审计程序来核实关联方交易的真实性及是否存在关联方非经营性资金占用情形。</w:t>
      </w:r>
    </w:p>
    <w:p w14:paraId="0516E957" w14:textId="77777777" w:rsidR="003442B1" w:rsidRDefault="003442B1" w:rsidP="003442B1">
      <w:pPr>
        <w:pStyle w:val="13"/>
      </w:pPr>
      <w:r>
        <w:rPr>
          <w:rFonts w:hint="eastAsia"/>
        </w:rPr>
        <w:t>三是对于超出被审计单位正常经营过程的关联交易，注册会计师未将其识别为特别风险，</w:t>
      </w:r>
      <w:proofErr w:type="gramStart"/>
      <w:r>
        <w:rPr>
          <w:rFonts w:hint="eastAsia"/>
        </w:rPr>
        <w:t>未设计</w:t>
      </w:r>
      <w:proofErr w:type="gramEnd"/>
      <w:r>
        <w:rPr>
          <w:rFonts w:hint="eastAsia"/>
        </w:rPr>
        <w:t>和执行有针对性的实质性审计程序加以应对。</w:t>
      </w:r>
    </w:p>
    <w:p w14:paraId="0795F8FE" w14:textId="77777777" w:rsidR="003442B1" w:rsidRDefault="003442B1" w:rsidP="003442B1">
      <w:pPr>
        <w:pStyle w:val="13"/>
      </w:pPr>
      <w:r>
        <w:rPr>
          <w:rFonts w:hint="eastAsia"/>
        </w:rPr>
        <w:t>（二）会计监管关注事项</w:t>
      </w:r>
    </w:p>
    <w:p w14:paraId="39337422" w14:textId="77777777" w:rsidR="003442B1" w:rsidRDefault="003442B1" w:rsidP="003442B1">
      <w:pPr>
        <w:pStyle w:val="13"/>
      </w:pPr>
      <w:r>
        <w:rPr>
          <w:rFonts w:hint="eastAsia"/>
        </w:rPr>
        <w:t>在会计监管工作中，应当关注注册会计师是否采取《会计监管风险提示第</w:t>
      </w:r>
      <w:r>
        <w:t>2号——通过未披露关联方实施的舞弊风险》中提到的应对措施，并补充考虑：</w:t>
      </w:r>
    </w:p>
    <w:p w14:paraId="08F750DC" w14:textId="77777777" w:rsidR="003442B1" w:rsidRDefault="003442B1" w:rsidP="003442B1">
      <w:pPr>
        <w:pStyle w:val="13"/>
      </w:pPr>
      <w:r>
        <w:rPr>
          <w:rFonts w:hint="eastAsia"/>
        </w:rPr>
        <w:t>一是注册会计师应关注被审计单位关联方关系识别的完整性</w:t>
      </w:r>
      <w:r>
        <w:t>,例如关注与被审计单位办公地址、联系电话、工作人员等信息重合的相关企业及关联自然人直接或间接控制的企业等是否为潜在关联方，通过查询全国企业信用信息公示系统、企业信用报告等方式进行核对，检查财务信息与纳税申报表关联交易信息、企业信用报告中担保及被担保信息等相关文件的一致性。</w:t>
      </w:r>
    </w:p>
    <w:p w14:paraId="1469B1AD" w14:textId="77777777" w:rsidR="003442B1" w:rsidRDefault="003442B1" w:rsidP="003442B1">
      <w:pPr>
        <w:pStyle w:val="13"/>
      </w:pPr>
      <w:r>
        <w:rPr>
          <w:rFonts w:hint="eastAsia"/>
        </w:rPr>
        <w:t>二是对于重大关联交易，在整个审计过程中注册会计师应保持合理的职业怀疑态度，如在货币资金等相关项目审计中发现可能涉及关联方交易的异常情况，应采取有针对性的实质性程序进一步调查。</w:t>
      </w:r>
    </w:p>
    <w:p w14:paraId="5195DA4E" w14:textId="77777777" w:rsidR="003442B1" w:rsidRDefault="003442B1" w:rsidP="003442B1">
      <w:pPr>
        <w:pStyle w:val="13"/>
      </w:pPr>
      <w:r>
        <w:rPr>
          <w:rFonts w:hint="eastAsia"/>
        </w:rPr>
        <w:t>三是如果被审计单位在报告期间存在超出正常经营过程的关联交易，注册会计师根据审计准则在风险评估中应将其认定为特别风险，制定并实施有效的审计程序。在针对关联交易设计和执行审计程序时，除了</w:t>
      </w:r>
      <w:proofErr w:type="gramStart"/>
      <w:r>
        <w:rPr>
          <w:rFonts w:hint="eastAsia"/>
        </w:rPr>
        <w:t>诸如函证等</w:t>
      </w:r>
      <w:proofErr w:type="gramEnd"/>
      <w:r>
        <w:rPr>
          <w:rFonts w:hint="eastAsia"/>
        </w:rPr>
        <w:t>常规审计程序外，注册会计师还应考虑直接取得该关联方的相关财务信息，用以佐证关联方与被审计单位之间交易的真实性和合理性。注册会计师在无法获取相关的关联方信息或其他相关审计证据时，需要考虑对审计意见的影响。关联方的相关财务信息包括但不限于：</w:t>
      </w:r>
    </w:p>
    <w:p w14:paraId="7149F708" w14:textId="369D2D13" w:rsidR="003442B1" w:rsidRDefault="003442B1" w:rsidP="003442B1">
      <w:pPr>
        <w:pStyle w:val="13"/>
      </w:pPr>
      <w:r>
        <w:t>1.关联方对外实现销售的最终客户的相关信息；</w:t>
      </w:r>
    </w:p>
    <w:p w14:paraId="5E00AA8B" w14:textId="5F45B622" w:rsidR="003442B1" w:rsidRDefault="003442B1" w:rsidP="003442B1">
      <w:pPr>
        <w:pStyle w:val="13"/>
      </w:pPr>
      <w:r>
        <w:t>2.关联方的业务规模是否与其和被审计单位的交易金额数量级匹配；</w:t>
      </w:r>
    </w:p>
    <w:p w14:paraId="1B6A5FCD" w14:textId="2D566EAB" w:rsidR="003442B1" w:rsidRDefault="003442B1" w:rsidP="003442B1">
      <w:pPr>
        <w:pStyle w:val="13"/>
      </w:pPr>
      <w:r>
        <w:t>3.关联方与被审计单位进行交易是否具有真实的商业目的和合理性。</w:t>
      </w:r>
    </w:p>
    <w:p w14:paraId="5C698779" w14:textId="77777777" w:rsidR="003442B1" w:rsidRDefault="003442B1" w:rsidP="003442B1">
      <w:pPr>
        <w:pStyle w:val="ab"/>
        <w:spacing w:before="62" w:after="62"/>
        <w:ind w:firstLine="482"/>
      </w:pPr>
      <w:r>
        <w:rPr>
          <w:rFonts w:hint="eastAsia"/>
        </w:rPr>
        <w:t>六、货币资金</w:t>
      </w:r>
    </w:p>
    <w:p w14:paraId="40DB1EC5" w14:textId="77777777" w:rsidR="003442B1" w:rsidRDefault="003442B1" w:rsidP="003442B1">
      <w:pPr>
        <w:pStyle w:val="13"/>
      </w:pPr>
      <w:r>
        <w:rPr>
          <w:rFonts w:hint="eastAsia"/>
        </w:rPr>
        <w:t>注册会计师应充分关注被审计单位货币资金的余额及其发生额，尤其是大额</w:t>
      </w:r>
      <w:proofErr w:type="gramStart"/>
      <w:r>
        <w:rPr>
          <w:rFonts w:hint="eastAsia"/>
        </w:rPr>
        <w:t>异常资金</w:t>
      </w:r>
      <w:proofErr w:type="gramEnd"/>
      <w:r>
        <w:rPr>
          <w:rFonts w:hint="eastAsia"/>
        </w:rPr>
        <w:t>转账的合理性。</w:t>
      </w:r>
    </w:p>
    <w:p w14:paraId="57EDCB64" w14:textId="77777777" w:rsidR="003442B1" w:rsidRDefault="003442B1" w:rsidP="003442B1">
      <w:pPr>
        <w:pStyle w:val="13"/>
      </w:pPr>
      <w:r>
        <w:rPr>
          <w:rFonts w:hint="eastAsia"/>
        </w:rPr>
        <w:t>（一）常见问题</w:t>
      </w:r>
    </w:p>
    <w:p w14:paraId="24537B1D" w14:textId="77777777" w:rsidR="003442B1" w:rsidRDefault="003442B1" w:rsidP="003442B1">
      <w:pPr>
        <w:pStyle w:val="13"/>
      </w:pPr>
      <w:r>
        <w:rPr>
          <w:rFonts w:hint="eastAsia"/>
        </w:rPr>
        <w:t>注册会计师在新三板挂牌公司审计项目中对货币资金进行审计时，通常存在以下问题：</w:t>
      </w:r>
    </w:p>
    <w:p w14:paraId="6674FBD6" w14:textId="77777777" w:rsidR="003442B1" w:rsidRDefault="003442B1" w:rsidP="003442B1">
      <w:pPr>
        <w:pStyle w:val="13"/>
      </w:pPr>
      <w:r>
        <w:rPr>
          <w:rFonts w:hint="eastAsia"/>
        </w:rPr>
        <w:t>一是在进行银行</w:t>
      </w:r>
      <w:proofErr w:type="gramStart"/>
      <w:r>
        <w:rPr>
          <w:rFonts w:hint="eastAsia"/>
        </w:rPr>
        <w:t>存款函证时</w:t>
      </w:r>
      <w:proofErr w:type="gramEnd"/>
      <w:r>
        <w:rPr>
          <w:rFonts w:hint="eastAsia"/>
        </w:rPr>
        <w:t>，只对年末余额较大的账户发</w:t>
      </w:r>
      <w:proofErr w:type="gramStart"/>
      <w:r>
        <w:rPr>
          <w:rFonts w:hint="eastAsia"/>
        </w:rPr>
        <w:t>询</w:t>
      </w:r>
      <w:proofErr w:type="gramEnd"/>
      <w:r>
        <w:rPr>
          <w:rFonts w:hint="eastAsia"/>
        </w:rPr>
        <w:t>证函，忽视了发生额较大但余额较小的账户、异地开立的账户以及重要分支机构开立的账户。</w:t>
      </w:r>
    </w:p>
    <w:p w14:paraId="3A28302C" w14:textId="77777777" w:rsidR="003442B1" w:rsidRDefault="003442B1" w:rsidP="003442B1">
      <w:pPr>
        <w:pStyle w:val="13"/>
      </w:pPr>
      <w:r>
        <w:rPr>
          <w:rFonts w:hint="eastAsia"/>
        </w:rPr>
        <w:t>二是对银行</w:t>
      </w:r>
      <w:proofErr w:type="gramStart"/>
      <w:r>
        <w:rPr>
          <w:rFonts w:hint="eastAsia"/>
        </w:rPr>
        <w:t>存款函证未</w:t>
      </w:r>
      <w:proofErr w:type="gramEnd"/>
      <w:r>
        <w:rPr>
          <w:rFonts w:hint="eastAsia"/>
        </w:rPr>
        <w:t>实施有效控制，</w:t>
      </w:r>
      <w:proofErr w:type="gramStart"/>
      <w:r>
        <w:rPr>
          <w:rFonts w:hint="eastAsia"/>
        </w:rPr>
        <w:t>对函证过程</w:t>
      </w:r>
      <w:proofErr w:type="gramEnd"/>
      <w:r>
        <w:rPr>
          <w:rFonts w:hint="eastAsia"/>
        </w:rPr>
        <w:t>中出现的舞弊迹象未采取恰当的应对措施。</w:t>
      </w:r>
    </w:p>
    <w:p w14:paraId="76FDA478" w14:textId="77777777" w:rsidR="003442B1" w:rsidRDefault="003442B1" w:rsidP="003442B1">
      <w:pPr>
        <w:pStyle w:val="13"/>
      </w:pPr>
      <w:r>
        <w:rPr>
          <w:rFonts w:hint="eastAsia"/>
        </w:rPr>
        <w:t>三是未恰当识别和评估与管理层伪造审计证据相关的舞弊风险，对于存疑账户</w:t>
      </w:r>
      <w:r>
        <w:rPr>
          <w:rFonts w:hint="eastAsia"/>
        </w:rPr>
        <w:lastRenderedPageBreak/>
        <w:t>未亲自从银行取得相关账户的发生额信息，而只是依赖公司管理层提供的相关单据执行审计程序。未对金额重大、性质异常或非经常性的交易进行实质性测试。</w:t>
      </w:r>
    </w:p>
    <w:p w14:paraId="1B276894" w14:textId="77777777" w:rsidR="003442B1" w:rsidRDefault="003442B1" w:rsidP="003442B1">
      <w:pPr>
        <w:pStyle w:val="13"/>
      </w:pPr>
      <w:r>
        <w:rPr>
          <w:rFonts w:hint="eastAsia"/>
        </w:rPr>
        <w:t>四是未取得并核对原始凭证原件，而只是依赖公司提供的原始单据复印件、扫描</w:t>
      </w:r>
      <w:proofErr w:type="gramStart"/>
      <w:r>
        <w:rPr>
          <w:rFonts w:hint="eastAsia"/>
        </w:rPr>
        <w:t>件执行</w:t>
      </w:r>
      <w:proofErr w:type="gramEnd"/>
      <w:r>
        <w:rPr>
          <w:rFonts w:hint="eastAsia"/>
        </w:rPr>
        <w:t>审计程序。</w:t>
      </w:r>
    </w:p>
    <w:p w14:paraId="2858E4BF" w14:textId="77777777" w:rsidR="003442B1" w:rsidRDefault="003442B1" w:rsidP="003442B1">
      <w:pPr>
        <w:pStyle w:val="13"/>
      </w:pPr>
      <w:r>
        <w:rPr>
          <w:rFonts w:hint="eastAsia"/>
        </w:rPr>
        <w:t>五是忽视了银行账户完整性检查。</w:t>
      </w:r>
    </w:p>
    <w:p w14:paraId="0786E66C" w14:textId="77777777" w:rsidR="003442B1" w:rsidRDefault="003442B1" w:rsidP="003442B1">
      <w:pPr>
        <w:pStyle w:val="13"/>
      </w:pPr>
      <w:r>
        <w:rPr>
          <w:rFonts w:hint="eastAsia"/>
        </w:rPr>
        <w:t>六是</w:t>
      </w:r>
      <w:proofErr w:type="gramStart"/>
      <w:r>
        <w:rPr>
          <w:rFonts w:hint="eastAsia"/>
        </w:rPr>
        <w:t>未关注</w:t>
      </w:r>
      <w:proofErr w:type="gramEnd"/>
      <w:r>
        <w:rPr>
          <w:rFonts w:hint="eastAsia"/>
        </w:rPr>
        <w:t>定期存款与利息收入之间的勾</w:t>
      </w:r>
      <w:proofErr w:type="gramStart"/>
      <w:r>
        <w:rPr>
          <w:rFonts w:hint="eastAsia"/>
        </w:rPr>
        <w:t>稽</w:t>
      </w:r>
      <w:proofErr w:type="gramEnd"/>
      <w:r>
        <w:rPr>
          <w:rFonts w:hint="eastAsia"/>
        </w:rPr>
        <w:t>关系。</w:t>
      </w:r>
    </w:p>
    <w:p w14:paraId="5B6EAAD2" w14:textId="77777777" w:rsidR="003442B1" w:rsidRDefault="003442B1" w:rsidP="003442B1">
      <w:pPr>
        <w:pStyle w:val="13"/>
      </w:pPr>
      <w:r>
        <w:rPr>
          <w:rFonts w:hint="eastAsia"/>
        </w:rPr>
        <w:t>七是</w:t>
      </w:r>
      <w:proofErr w:type="gramStart"/>
      <w:r>
        <w:rPr>
          <w:rFonts w:hint="eastAsia"/>
        </w:rPr>
        <w:t>未关注</w:t>
      </w:r>
      <w:proofErr w:type="gramEnd"/>
      <w:r>
        <w:rPr>
          <w:rFonts w:hint="eastAsia"/>
        </w:rPr>
        <w:t>部分货币资金受限制的情况。</w:t>
      </w:r>
    </w:p>
    <w:p w14:paraId="614FCC93" w14:textId="77777777" w:rsidR="003442B1" w:rsidRDefault="003442B1" w:rsidP="003442B1">
      <w:pPr>
        <w:pStyle w:val="13"/>
      </w:pPr>
      <w:r>
        <w:rPr>
          <w:rFonts w:hint="eastAsia"/>
        </w:rPr>
        <w:t>（二）会计监管关注事项</w:t>
      </w:r>
    </w:p>
    <w:p w14:paraId="29D2808B" w14:textId="77777777" w:rsidR="003442B1" w:rsidRDefault="003442B1" w:rsidP="003442B1">
      <w:pPr>
        <w:pStyle w:val="13"/>
      </w:pPr>
      <w:r>
        <w:rPr>
          <w:rFonts w:hint="eastAsia"/>
        </w:rPr>
        <w:t>在会计监管工作中，应关注注册会计师是否有针对性地执行了以下审计程序：</w:t>
      </w:r>
    </w:p>
    <w:p w14:paraId="2FE2E51D" w14:textId="77777777" w:rsidR="003442B1" w:rsidRDefault="003442B1" w:rsidP="003442B1">
      <w:pPr>
        <w:pStyle w:val="13"/>
      </w:pPr>
      <w:r>
        <w:rPr>
          <w:rFonts w:hint="eastAsia"/>
        </w:rPr>
        <w:t>一是注册会计师应遵照《中国注册会计师审计准则第</w:t>
      </w:r>
      <w:r>
        <w:t>1312号——函证》的要求对银行存款</w:t>
      </w:r>
      <w:proofErr w:type="gramStart"/>
      <w:r>
        <w:t>实施函证程序</w:t>
      </w:r>
      <w:proofErr w:type="gramEnd"/>
      <w:r>
        <w:t>，对于发生额较大但余额较小的账户也应将其</w:t>
      </w:r>
      <w:proofErr w:type="gramStart"/>
      <w:r>
        <w:t>纳入函证范围</w:t>
      </w:r>
      <w:proofErr w:type="gramEnd"/>
      <w:r>
        <w:t>。</w:t>
      </w:r>
    </w:p>
    <w:p w14:paraId="71205808" w14:textId="77777777" w:rsidR="003442B1" w:rsidRDefault="003442B1" w:rsidP="003442B1">
      <w:pPr>
        <w:pStyle w:val="13"/>
      </w:pPr>
      <w:r>
        <w:rPr>
          <w:rFonts w:hint="eastAsia"/>
        </w:rPr>
        <w:t>二是在</w:t>
      </w:r>
      <w:proofErr w:type="gramStart"/>
      <w:r>
        <w:rPr>
          <w:rFonts w:hint="eastAsia"/>
        </w:rPr>
        <w:t>函证过程</w:t>
      </w:r>
      <w:proofErr w:type="gramEnd"/>
      <w:r>
        <w:rPr>
          <w:rFonts w:hint="eastAsia"/>
        </w:rPr>
        <w:t>中，注册会计师需要始终保持职业怀疑，对舞弊风险迹象保持警觉。注册会计师应遵照《中国注册会计师审计准则第</w:t>
      </w:r>
      <w:r>
        <w:t>1312号——函证》及其应用指南的要求和指引，对银行存款</w:t>
      </w:r>
      <w:proofErr w:type="gramStart"/>
      <w:r>
        <w:t>函证实施</w:t>
      </w:r>
      <w:proofErr w:type="gramEnd"/>
      <w:r>
        <w:t>有效控制，确保函</w:t>
      </w:r>
      <w:proofErr w:type="gramStart"/>
      <w:r>
        <w:t>证过程</w:t>
      </w:r>
      <w:proofErr w:type="gramEnd"/>
      <w:r>
        <w:t>独立于被审计单位；评价实施</w:t>
      </w:r>
      <w:proofErr w:type="gramStart"/>
      <w:r>
        <w:t>函证程序</w:t>
      </w:r>
      <w:proofErr w:type="gramEnd"/>
      <w:r>
        <w:t>的结果是否能够提供相关、可靠的审计证据，或是否有必要进一步获取审计证据。</w:t>
      </w:r>
    </w:p>
    <w:p w14:paraId="65D266CC" w14:textId="77777777" w:rsidR="003442B1" w:rsidRDefault="003442B1" w:rsidP="003442B1">
      <w:pPr>
        <w:pStyle w:val="13"/>
      </w:pPr>
      <w:r>
        <w:rPr>
          <w:rFonts w:hint="eastAsia"/>
        </w:rPr>
        <w:t>三是如果注册会计师对被审计单位银行对账单的真实性存有疑虑，应在被审计单位协助下亲自到银行获取银行对账单。通过核对所获取银行对账单收、付款累计发生额与银行存款日记账的借、贷方累计发生额是否相符来检查银行存款日记账记录的完整性；对于具有较高风险特征的交易，例如异常的一一对应的资金收支、收款方或付款方显示为关联方的交易、付款方与销售客户或收款方与采购客户不一致的交易、资产负债表日前后发生的金额重大的资金收支等交易，应向公司管理层询问异常交易的原因和性质，视情况考虑执行进一步的审计程序予以追查。</w:t>
      </w:r>
    </w:p>
    <w:p w14:paraId="4F9B026B" w14:textId="77777777" w:rsidR="003442B1" w:rsidRDefault="003442B1" w:rsidP="003442B1">
      <w:pPr>
        <w:pStyle w:val="13"/>
      </w:pPr>
      <w:r>
        <w:rPr>
          <w:rFonts w:hint="eastAsia"/>
        </w:rPr>
        <w:t>四是对于银行进出账单等关键原始凭证，注册会计师应查看原始单据，并与客户提供的复印件或扫描件进行核对，确保二者信息没有差异。</w:t>
      </w:r>
    </w:p>
    <w:p w14:paraId="2E74B760" w14:textId="77777777" w:rsidR="003442B1" w:rsidRDefault="003442B1" w:rsidP="003442B1">
      <w:pPr>
        <w:pStyle w:val="13"/>
      </w:pPr>
      <w:r>
        <w:rPr>
          <w:rFonts w:hint="eastAsia"/>
        </w:rPr>
        <w:t>五是注册会计师应设计和实施相应的审计程序，检查被审计单位银行账户的完整性。如果注册会计师对被审计单位银行账户的完整性存有疑虑，应亲自从中国人民银行或基本户开立银行查询并打印被审计单位的账户清单，以确认被审计单位账面记录的银行账户的完整性。</w:t>
      </w:r>
    </w:p>
    <w:p w14:paraId="2AD68E9F" w14:textId="77777777" w:rsidR="003442B1" w:rsidRDefault="003442B1" w:rsidP="003442B1">
      <w:pPr>
        <w:pStyle w:val="13"/>
      </w:pPr>
      <w:r>
        <w:rPr>
          <w:rFonts w:hint="eastAsia"/>
        </w:rPr>
        <w:t>六是注册会计师应结合财务费用审计测算利息收入的合理性，判断是否存在体外资金循环的情形。</w:t>
      </w:r>
    </w:p>
    <w:p w14:paraId="6367C883" w14:textId="77777777" w:rsidR="003442B1" w:rsidRDefault="003442B1" w:rsidP="003442B1">
      <w:pPr>
        <w:pStyle w:val="13"/>
      </w:pPr>
      <w:r>
        <w:rPr>
          <w:rFonts w:hint="eastAsia"/>
        </w:rPr>
        <w:t>七是注册会计师应关注报告期货币资金的期初余额、本期发生额和期末余额，分析是否存在异常增减变动情况。对于资产负债率较高，但期末货币资金余额较大的公</w:t>
      </w:r>
      <w:r>
        <w:rPr>
          <w:rFonts w:hint="eastAsia"/>
        </w:rPr>
        <w:lastRenderedPageBreak/>
        <w:t>司，重点关注其货币资金是否存在受限制的情形，例如可</w:t>
      </w:r>
      <w:proofErr w:type="gramStart"/>
      <w:r>
        <w:rPr>
          <w:rFonts w:hint="eastAsia"/>
        </w:rPr>
        <w:t>通过函证获取</w:t>
      </w:r>
      <w:proofErr w:type="gramEnd"/>
      <w:r>
        <w:rPr>
          <w:rFonts w:hint="eastAsia"/>
        </w:rPr>
        <w:t>合理保证，或查询企业信用报告中的担保信息等。</w:t>
      </w:r>
    </w:p>
    <w:p w14:paraId="30520AF4" w14:textId="77777777" w:rsidR="003442B1" w:rsidRDefault="003442B1" w:rsidP="003442B1">
      <w:pPr>
        <w:pStyle w:val="ab"/>
        <w:spacing w:before="62" w:after="62"/>
        <w:ind w:firstLine="482"/>
      </w:pPr>
      <w:r>
        <w:rPr>
          <w:rFonts w:hint="eastAsia"/>
        </w:rPr>
        <w:t>七、费用确认和计量</w:t>
      </w:r>
    </w:p>
    <w:p w14:paraId="4A0D972F" w14:textId="77777777" w:rsidR="003442B1" w:rsidRDefault="003442B1" w:rsidP="003442B1">
      <w:pPr>
        <w:pStyle w:val="13"/>
      </w:pPr>
      <w:r>
        <w:rPr>
          <w:rFonts w:hint="eastAsia"/>
        </w:rPr>
        <w:t>在执行新三板挂牌公司审计业务的过程中，注册会计师需根据被审计单位主营业务的行业特性，结合各报告期的业务规模，关注费用确认和计量的真实性和完整性，费用的归属期间是否正确，费用化支出与资本化支出划分是否合理，并对偶发的异常大额费用支出进行重点关注。</w:t>
      </w:r>
    </w:p>
    <w:p w14:paraId="39A21A1D" w14:textId="77777777" w:rsidR="003442B1" w:rsidRDefault="003442B1" w:rsidP="003442B1">
      <w:pPr>
        <w:pStyle w:val="13"/>
      </w:pPr>
      <w:r>
        <w:rPr>
          <w:rFonts w:hint="eastAsia"/>
        </w:rPr>
        <w:t>（一）常见问题</w:t>
      </w:r>
    </w:p>
    <w:p w14:paraId="51054B22" w14:textId="77777777" w:rsidR="003442B1" w:rsidRDefault="003442B1" w:rsidP="003442B1">
      <w:pPr>
        <w:pStyle w:val="13"/>
      </w:pPr>
      <w:r>
        <w:rPr>
          <w:rFonts w:hint="eastAsia"/>
        </w:rPr>
        <w:t>注册会计师在新三板挂牌公司审计项目中对费用项目进行审计时，通常存在以下问题：</w:t>
      </w:r>
    </w:p>
    <w:p w14:paraId="15D52D6C" w14:textId="77777777" w:rsidR="003442B1" w:rsidRDefault="003442B1" w:rsidP="003442B1">
      <w:pPr>
        <w:pStyle w:val="13"/>
      </w:pPr>
      <w:r>
        <w:rPr>
          <w:rFonts w:hint="eastAsia"/>
        </w:rPr>
        <w:t>一是未对费用进行恰当的风险评估，设计和执行审计程序时未充分关注各主要费用项目与营业收入、应付职工薪酬等其他财务数据和非财务数据之间的逻辑关系。</w:t>
      </w:r>
    </w:p>
    <w:p w14:paraId="5A7D67C0" w14:textId="77777777" w:rsidR="003442B1" w:rsidRDefault="003442B1" w:rsidP="003442B1">
      <w:pPr>
        <w:pStyle w:val="13"/>
      </w:pPr>
      <w:r>
        <w:rPr>
          <w:rFonts w:hint="eastAsia"/>
        </w:rPr>
        <w:t>二是对研发支出的内容是否合理未执行必要的审计程序，对研发支出是否符合资本化条件未获取充分的审计证据。</w:t>
      </w:r>
    </w:p>
    <w:p w14:paraId="228DC6D2" w14:textId="77777777" w:rsidR="003442B1" w:rsidRDefault="003442B1" w:rsidP="003442B1">
      <w:pPr>
        <w:pStyle w:val="13"/>
      </w:pPr>
      <w:r>
        <w:rPr>
          <w:rFonts w:hint="eastAsia"/>
        </w:rPr>
        <w:t>三是对异常的或偶发的大额费用，缺少对其商业合理性的分析。</w:t>
      </w:r>
    </w:p>
    <w:p w14:paraId="128B9E0C" w14:textId="77777777" w:rsidR="003442B1" w:rsidRDefault="003442B1" w:rsidP="003442B1">
      <w:pPr>
        <w:pStyle w:val="13"/>
      </w:pPr>
      <w:r>
        <w:rPr>
          <w:rFonts w:hint="eastAsia"/>
        </w:rPr>
        <w:t>（二）会计监管关注事项</w:t>
      </w:r>
    </w:p>
    <w:p w14:paraId="1B005AE2" w14:textId="77777777" w:rsidR="003442B1" w:rsidRDefault="003442B1" w:rsidP="003442B1">
      <w:pPr>
        <w:pStyle w:val="13"/>
      </w:pPr>
      <w:r>
        <w:rPr>
          <w:rFonts w:hint="eastAsia"/>
        </w:rPr>
        <w:t>在会计监管工作中，应关注注册会计师是否有针对性地执行了以下审计程序：</w:t>
      </w:r>
    </w:p>
    <w:p w14:paraId="025D3EA5" w14:textId="77777777" w:rsidR="003442B1" w:rsidRDefault="003442B1" w:rsidP="003442B1">
      <w:pPr>
        <w:pStyle w:val="13"/>
      </w:pPr>
      <w:r>
        <w:rPr>
          <w:rFonts w:hint="eastAsia"/>
        </w:rPr>
        <w:t>一是注册会计师应基于对被审计单位及其环境的了解进行充分的风险评估，并设计有针对性的审计程序：</w:t>
      </w:r>
    </w:p>
    <w:p w14:paraId="7B2C928A" w14:textId="24EF87AD" w:rsidR="003442B1" w:rsidRDefault="003442B1" w:rsidP="003442B1">
      <w:pPr>
        <w:pStyle w:val="13"/>
      </w:pPr>
      <w:r>
        <w:t>1.在风险评估阶段，应关注被审计单位是否存在少计费用虚增利润或虚增费用少交税的意图或动机；是否存在费用波动与业务规模、业务模式不匹配的情况；是否存在体外列支收入费用的迹象等。如果存在上述情形，且管理层对费用波动缺乏合理解释，注册会计师应将相关费用项目识别为重大错报风险。</w:t>
      </w:r>
    </w:p>
    <w:p w14:paraId="02AD6483" w14:textId="450A7066" w:rsidR="003442B1" w:rsidRDefault="003442B1" w:rsidP="003442B1">
      <w:pPr>
        <w:pStyle w:val="13"/>
      </w:pPr>
      <w:r>
        <w:t>2.在设计和执行审计程序时，应考虑具体费用项目与相关财务数据及非财务数据的逻辑关系，如公司收入与销售佣金、运输费用是否同步增长，或未同步增长的原因；销售模式的变更对佣金的影响；员工人数是否与公司业务规模相匹配等。对于存在异常的情况，注册会计师应考虑舞弊的可能。</w:t>
      </w:r>
    </w:p>
    <w:p w14:paraId="7B6F4254" w14:textId="77777777" w:rsidR="003442B1" w:rsidRDefault="003442B1" w:rsidP="003442B1">
      <w:pPr>
        <w:pStyle w:val="13"/>
      </w:pPr>
      <w:r>
        <w:rPr>
          <w:rFonts w:hint="eastAsia"/>
        </w:rPr>
        <w:t>二是注册会计师应关注研发支出的内容是否合理，研发支出资本化的依据是否充分，具体包括：</w:t>
      </w:r>
    </w:p>
    <w:p w14:paraId="0CB58A0B" w14:textId="1D5235FA" w:rsidR="003442B1" w:rsidRDefault="003442B1" w:rsidP="003442B1">
      <w:pPr>
        <w:pStyle w:val="13"/>
      </w:pPr>
      <w:r>
        <w:t>1.检查被审计单位对研究阶段和开发阶段的确认时点是否合理，研究阶段支出是否全部费用化；对于开发阶段的资本化支出，是否已满足资本化条件；对于无法区分研究阶段和开发阶段的支出，是否已全部费用化。对于研发支出资本化，注册会计师应获取充分的支持性证据，必要时可利用外部专家工作。</w:t>
      </w:r>
    </w:p>
    <w:p w14:paraId="09A00F7E" w14:textId="3014B5F7" w:rsidR="003442B1" w:rsidRDefault="003442B1" w:rsidP="003442B1">
      <w:pPr>
        <w:pStyle w:val="13"/>
      </w:pPr>
      <w:r>
        <w:t>2.对于享受税收优惠的高新技术企业，注册会计师还需关注被审计单位归集的</w:t>
      </w:r>
      <w:r>
        <w:lastRenderedPageBreak/>
        <w:t>重大研发支出是否为研发活动所发生及相关依据，并结合当年研发支出占销售收入的比例等评价被审计单位是否持续符合高新技术企业认定条件。</w:t>
      </w:r>
    </w:p>
    <w:p w14:paraId="10F08AFA" w14:textId="77777777" w:rsidR="003442B1" w:rsidRDefault="003442B1" w:rsidP="003442B1">
      <w:pPr>
        <w:pStyle w:val="13"/>
      </w:pPr>
      <w:r>
        <w:rPr>
          <w:rFonts w:hint="eastAsia"/>
        </w:rPr>
        <w:t>三是注册会计师应当关注费用项目中异常的大额费用，了解费用的合理性，审计过程中可以通过以下方面发现被审计单位的异常费用：</w:t>
      </w:r>
    </w:p>
    <w:p w14:paraId="4790CE2D" w14:textId="746A8151" w:rsidR="003442B1" w:rsidRDefault="003442B1" w:rsidP="003442B1">
      <w:pPr>
        <w:pStyle w:val="13"/>
      </w:pPr>
      <w:r>
        <w:t>1.偶发性的费用；</w:t>
      </w:r>
    </w:p>
    <w:p w14:paraId="26EB5DB2" w14:textId="74B704DB" w:rsidR="003442B1" w:rsidRDefault="003442B1" w:rsidP="003442B1">
      <w:pPr>
        <w:pStyle w:val="13"/>
      </w:pPr>
      <w:r>
        <w:t>2.没有经济实质的费用；</w:t>
      </w:r>
    </w:p>
    <w:p w14:paraId="07514D87" w14:textId="03675397" w:rsidR="003442B1" w:rsidRDefault="003442B1" w:rsidP="003442B1">
      <w:pPr>
        <w:pStyle w:val="13"/>
      </w:pPr>
      <w:r>
        <w:t>3.与相应经济活动内容或规模不相符的费用；</w:t>
      </w:r>
    </w:p>
    <w:p w14:paraId="12169F9C" w14:textId="1818CEAE" w:rsidR="003442B1" w:rsidRDefault="003442B1" w:rsidP="003442B1">
      <w:pPr>
        <w:pStyle w:val="13"/>
      </w:pPr>
      <w:r>
        <w:t>4.原始凭证或单据不完整的费用；</w:t>
      </w:r>
    </w:p>
    <w:p w14:paraId="5D5F3B0A" w14:textId="2AD71394" w:rsidR="003442B1" w:rsidRDefault="003442B1" w:rsidP="003442B1">
      <w:pPr>
        <w:pStyle w:val="13"/>
      </w:pPr>
      <w:r>
        <w:t>5.与关联方的费用；</w:t>
      </w:r>
    </w:p>
    <w:p w14:paraId="370FF6E7" w14:textId="433C9CF0" w:rsidR="003442B1" w:rsidRDefault="003442B1" w:rsidP="003442B1">
      <w:pPr>
        <w:pStyle w:val="13"/>
      </w:pPr>
      <w:r>
        <w:t>6.与特殊事项或特殊会计处理相关的费用。</w:t>
      </w:r>
    </w:p>
    <w:p w14:paraId="123BA78D" w14:textId="46D706F2" w:rsidR="003442B1" w:rsidRDefault="003442B1" w:rsidP="003442B1">
      <w:pPr>
        <w:pStyle w:val="13"/>
      </w:pPr>
      <w:r>
        <w:rPr>
          <w:rFonts w:hint="eastAsia"/>
        </w:rPr>
        <w:t>对于发现的异常费用，注册会计师除获取相关的合同、发票和付款凭证外，还应结合被审计单位的业务需求分析该费用的合理性。</w:t>
      </w:r>
    </w:p>
    <w:p w14:paraId="7346A273" w14:textId="77777777" w:rsidR="003442B1" w:rsidRDefault="003442B1" w:rsidP="003442B1">
      <w:pPr>
        <w:pStyle w:val="ab"/>
        <w:spacing w:before="62" w:after="62"/>
        <w:ind w:firstLine="482"/>
      </w:pPr>
      <w:r>
        <w:rPr>
          <w:rFonts w:hint="eastAsia"/>
        </w:rPr>
        <w:t>八、内部控制有效性问题</w:t>
      </w:r>
    </w:p>
    <w:p w14:paraId="7849CC91" w14:textId="77777777" w:rsidR="003442B1" w:rsidRDefault="003442B1" w:rsidP="003442B1">
      <w:pPr>
        <w:pStyle w:val="13"/>
      </w:pPr>
      <w:r>
        <w:rPr>
          <w:rFonts w:hint="eastAsia"/>
        </w:rPr>
        <w:t>客观上，新三板挂牌公司的公司治理、财务管理等内控体系相对薄弱和欠缺，注册会计师应充分评估被审计单位内部控制的有效性，并据此设计和执行实质性测试程序。</w:t>
      </w:r>
    </w:p>
    <w:p w14:paraId="3C63309C" w14:textId="77777777" w:rsidR="003442B1" w:rsidRDefault="003442B1" w:rsidP="003442B1">
      <w:pPr>
        <w:pStyle w:val="13"/>
      </w:pPr>
      <w:r>
        <w:rPr>
          <w:rFonts w:hint="eastAsia"/>
        </w:rPr>
        <w:t>（一）常见问题</w:t>
      </w:r>
    </w:p>
    <w:p w14:paraId="4E1BFF68" w14:textId="77777777" w:rsidR="003442B1" w:rsidRDefault="003442B1" w:rsidP="003442B1">
      <w:pPr>
        <w:pStyle w:val="13"/>
      </w:pPr>
      <w:r>
        <w:rPr>
          <w:rFonts w:hint="eastAsia"/>
        </w:rPr>
        <w:t>注册会计师在新三板挂牌公司审计项目中，涉及内部控制有效性评估时，通常存在以下问题：</w:t>
      </w:r>
    </w:p>
    <w:p w14:paraId="6C3CDA6D" w14:textId="77777777" w:rsidR="003442B1" w:rsidRDefault="003442B1" w:rsidP="003442B1">
      <w:pPr>
        <w:pStyle w:val="13"/>
      </w:pPr>
      <w:r>
        <w:rPr>
          <w:rFonts w:hint="eastAsia"/>
        </w:rPr>
        <w:t>一是未充分识别被审计单位用以应对舞弊风险的内部控制，以及对该内部控制执行有效性的评估。</w:t>
      </w:r>
    </w:p>
    <w:p w14:paraId="591A2F78" w14:textId="77777777" w:rsidR="003442B1" w:rsidRDefault="003442B1" w:rsidP="003442B1">
      <w:pPr>
        <w:pStyle w:val="13"/>
      </w:pPr>
      <w:r>
        <w:rPr>
          <w:rFonts w:hint="eastAsia"/>
        </w:rPr>
        <w:t>二是未测试被审计单位信息系统一般性控制的有效性，或者测试结论为“无效”，但后续审计程序未对此加以应对。</w:t>
      </w:r>
    </w:p>
    <w:p w14:paraId="66B49F06" w14:textId="77777777" w:rsidR="003442B1" w:rsidRDefault="003442B1" w:rsidP="003442B1">
      <w:pPr>
        <w:pStyle w:val="13"/>
      </w:pPr>
      <w:r>
        <w:rPr>
          <w:rFonts w:hint="eastAsia"/>
        </w:rPr>
        <w:t>（二）会计监管关注事项</w:t>
      </w:r>
    </w:p>
    <w:p w14:paraId="1D12AB31" w14:textId="77777777" w:rsidR="003442B1" w:rsidRDefault="003442B1" w:rsidP="003442B1">
      <w:pPr>
        <w:pStyle w:val="13"/>
      </w:pPr>
      <w:r>
        <w:rPr>
          <w:rFonts w:hint="eastAsia"/>
        </w:rPr>
        <w:t>在会计监管工作中，针对上述注册会计师可能存在的问题，应重点关注以下方面：</w:t>
      </w:r>
    </w:p>
    <w:p w14:paraId="1C5032D0" w14:textId="77777777" w:rsidR="003442B1" w:rsidRDefault="003442B1" w:rsidP="003442B1">
      <w:pPr>
        <w:pStyle w:val="13"/>
      </w:pPr>
      <w:r>
        <w:rPr>
          <w:rFonts w:hint="eastAsia"/>
        </w:rPr>
        <w:t>一是与</w:t>
      </w:r>
      <w:r>
        <w:t>A股上市公司相比，新三板挂牌公司通常业务规模较小，业绩期间较短，且控制权较为集中，客观造成了其面临更高的管理层舞弊风险。因此，在审计过程中，注册会计师应对此有特殊考虑，并设计和执行相应的审计程序加以应对。但实务中，由于在新三板申请挂牌的公司通常有较紧迫的时间要求，客观上可能会导致注册会计师对舞弊风险的评估和相关内部控制有效性测试不充分，进而使得审计结论出现偏差。</w:t>
      </w:r>
    </w:p>
    <w:p w14:paraId="3BB18E07" w14:textId="77777777" w:rsidR="003442B1" w:rsidRDefault="003442B1" w:rsidP="003442B1">
      <w:pPr>
        <w:pStyle w:val="13"/>
      </w:pPr>
      <w:r>
        <w:rPr>
          <w:rFonts w:hint="eastAsia"/>
        </w:rPr>
        <w:t>二是由于新三板挂牌公司通常规模较小，其内部的财务管理可能对计算机系统的依赖程度不高，因此，注册会计师在执行审计的过程中，应首先判断是否计划依赖</w:t>
      </w:r>
      <w:r>
        <w:rPr>
          <w:rFonts w:hint="eastAsia"/>
        </w:rPr>
        <w:lastRenderedPageBreak/>
        <w:t>被审计单位计算机信息系统一般控制。如不依赖计算机信息系统一般控制或经测试无效，在后续的审计过程中，应基于以上结论设计和执行实质性测试程序。实务中，对于用作审计证据的被审计单位系统生成信息，注册会计师不能在不执行相关程序的情况下直接依赖，而应通过测试信息系统一般控制和应用控制的有效性或其他实质性测试程序，验证其准确性和完整性。</w:t>
      </w:r>
    </w:p>
    <w:p w14:paraId="663145C5" w14:textId="77777777" w:rsidR="003442B1" w:rsidRDefault="003442B1" w:rsidP="003442B1">
      <w:pPr>
        <w:pStyle w:val="ab"/>
        <w:spacing w:before="62" w:after="62"/>
        <w:ind w:firstLine="482"/>
      </w:pPr>
      <w:r>
        <w:rPr>
          <w:rFonts w:hint="eastAsia"/>
        </w:rPr>
        <w:t>九、财务报表披露</w:t>
      </w:r>
    </w:p>
    <w:p w14:paraId="5F966546" w14:textId="77777777" w:rsidR="003442B1" w:rsidRDefault="003442B1" w:rsidP="003442B1">
      <w:pPr>
        <w:pStyle w:val="13"/>
      </w:pPr>
      <w:r>
        <w:rPr>
          <w:rFonts w:hint="eastAsia"/>
        </w:rPr>
        <w:t>根据《全国中小企业股份转让系统业务规则（试行）》《全国中小企业股份转让系统挂牌公司信息披露细则（试行）》《全国中小企业股份转让系统挂牌公司年度报告内容与格式指引》的规定，挂牌公司应当按照《企业会计准则》的要求编制财务报告，年度财务报表附注参照《公开发行证券的公司信息披露编报规则第</w:t>
      </w:r>
      <w:r>
        <w:t>15号——财务报告的一般规定》（2014年修订）的相关规定编制，然而部分挂牌公司并未完全遵循上述信息披露规范的要求。由于财务报表披露对报表使用者理解财务报表至关重要，注册会计师应当实施恰当审计程序，确保被审计单位财务报表披露真实、准</w:t>
      </w:r>
      <w:r>
        <w:rPr>
          <w:rFonts w:hint="eastAsia"/>
        </w:rPr>
        <w:t>确、完整。</w:t>
      </w:r>
    </w:p>
    <w:p w14:paraId="5BE83C4E" w14:textId="77777777" w:rsidR="003442B1" w:rsidRDefault="003442B1" w:rsidP="003442B1">
      <w:pPr>
        <w:pStyle w:val="13"/>
      </w:pPr>
      <w:r>
        <w:rPr>
          <w:rFonts w:hint="eastAsia"/>
        </w:rPr>
        <w:t>（一）常见问题</w:t>
      </w:r>
    </w:p>
    <w:p w14:paraId="7933CCFB" w14:textId="77777777" w:rsidR="003442B1" w:rsidRDefault="003442B1" w:rsidP="003442B1">
      <w:pPr>
        <w:pStyle w:val="13"/>
      </w:pPr>
      <w:r>
        <w:rPr>
          <w:rFonts w:hint="eastAsia"/>
        </w:rPr>
        <w:t>注册会计师在新三板挂牌公司审计项目中对财务报表披露进行审计时，通常存在以下问题：</w:t>
      </w:r>
    </w:p>
    <w:p w14:paraId="1BD753EC" w14:textId="77777777" w:rsidR="003442B1" w:rsidRDefault="003442B1" w:rsidP="003442B1">
      <w:pPr>
        <w:pStyle w:val="13"/>
      </w:pPr>
      <w:r>
        <w:rPr>
          <w:rFonts w:hint="eastAsia"/>
        </w:rPr>
        <w:t>一是未检查财务报表是否已按照上述信息披露规范的要求充分披露。</w:t>
      </w:r>
    </w:p>
    <w:p w14:paraId="5EA1EA36" w14:textId="77777777" w:rsidR="003442B1" w:rsidRDefault="003442B1" w:rsidP="003442B1">
      <w:pPr>
        <w:pStyle w:val="13"/>
      </w:pPr>
      <w:r>
        <w:rPr>
          <w:rFonts w:hint="eastAsia"/>
        </w:rPr>
        <w:t>二是未就财务报表披露事项是否真实、准确取得充分、适当的审计证据。</w:t>
      </w:r>
    </w:p>
    <w:p w14:paraId="7CAFE6A9" w14:textId="77777777" w:rsidR="003442B1" w:rsidRDefault="003442B1" w:rsidP="003442B1">
      <w:pPr>
        <w:pStyle w:val="13"/>
      </w:pPr>
      <w:r>
        <w:rPr>
          <w:rFonts w:hint="eastAsia"/>
        </w:rPr>
        <w:t>（二）会计监管关注事项</w:t>
      </w:r>
    </w:p>
    <w:p w14:paraId="051A9E9B" w14:textId="77777777" w:rsidR="003442B1" w:rsidRDefault="003442B1" w:rsidP="003442B1">
      <w:pPr>
        <w:pStyle w:val="13"/>
      </w:pPr>
      <w:r>
        <w:rPr>
          <w:rFonts w:hint="eastAsia"/>
        </w:rPr>
        <w:t>在会计监管工作中，应关注注册会计师是否对财务报表披露实施了恰当审计程序，具体包括：</w:t>
      </w:r>
    </w:p>
    <w:p w14:paraId="57F7C2EA" w14:textId="77777777" w:rsidR="003442B1" w:rsidRDefault="003442B1" w:rsidP="003442B1">
      <w:pPr>
        <w:pStyle w:val="13"/>
      </w:pPr>
      <w:r>
        <w:rPr>
          <w:rFonts w:hint="eastAsia"/>
        </w:rPr>
        <w:t>一是注册会计师应检查财务报表及附注是否已根据《企业会计准则》和《公开发行证券的公司信息披露编报规则第</w:t>
      </w:r>
      <w:r>
        <w:t>15号——财务报告的一般规定》（2014年修订）的要求编制，重点关注会计政策和会计估计变更、前期差错更正、收入确认等会计政策的个性化披露，所得税费用与会计利润关系的说明，与金融工具相关的风险等披露事项是否完整。</w:t>
      </w:r>
    </w:p>
    <w:p w14:paraId="49B0F906" w14:textId="55658439" w:rsidR="009E1543" w:rsidRDefault="003442B1" w:rsidP="003442B1">
      <w:pPr>
        <w:pStyle w:val="13"/>
      </w:pPr>
      <w:r>
        <w:rPr>
          <w:rFonts w:hint="eastAsia"/>
        </w:rPr>
        <w:t>二是注册会计师应取得充分、适当的审计证据，以确保财务报表披露事项真实、准确。同时，注册会计师还应阅读被审计单位年度报告中的其他信息，考虑其是否与财务报表或注册会计师在审计过程中了解到的情况存在重大不一致或者可能存在重大错报。</w:t>
      </w:r>
    </w:p>
    <w:p w14:paraId="4426D48F" w14:textId="0DB6DABE" w:rsidR="009E1543" w:rsidRDefault="003442B1" w:rsidP="003442B1">
      <w:pPr>
        <w:pStyle w:val="31"/>
        <w:spacing w:before="156" w:after="62"/>
      </w:pPr>
      <w:bookmarkStart w:id="93" w:name="_Toc81833356"/>
      <w:r w:rsidRPr="003442B1">
        <w:rPr>
          <w:rFonts w:hint="eastAsia"/>
        </w:rPr>
        <w:t>会计监管风险提示</w:t>
      </w:r>
      <w:proofErr w:type="gramStart"/>
      <w:r w:rsidRPr="003442B1">
        <w:rPr>
          <w:rFonts w:hint="eastAsia"/>
        </w:rPr>
        <w:t>第</w:t>
      </w:r>
      <w:r w:rsidRPr="003442B1">
        <w:t>7号—轻资产</w:t>
      </w:r>
      <w:proofErr w:type="gramEnd"/>
      <w:r w:rsidRPr="003442B1">
        <w:t>类公司收益法评估</w:t>
      </w:r>
      <w:bookmarkEnd w:id="93"/>
    </w:p>
    <w:p w14:paraId="3A3807C9" w14:textId="5C73735B" w:rsidR="003442B1" w:rsidRDefault="003442B1" w:rsidP="003442B1">
      <w:pPr>
        <w:pStyle w:val="13"/>
      </w:pPr>
      <w:r>
        <w:rPr>
          <w:rFonts w:hint="eastAsia"/>
        </w:rPr>
        <w:t>为进一步提高上市公司重大资产重组项目财务信息披露质量，督促资产评估机构勤勉尽责，不断提升其执业水平，按照《上市公司重大资产重组管理办法》《公开</w:t>
      </w:r>
      <w:r>
        <w:rPr>
          <w:rFonts w:hint="eastAsia"/>
        </w:rPr>
        <w:lastRenderedPageBreak/>
        <w:t>发行证券的公司信息披露内容与格式准则第</w:t>
      </w:r>
      <w:r>
        <w:t xml:space="preserve"> 26号—上市公司重大资产重组》《资产评估执业准则—企业价值》《资产评估机构业务质量控制指南》等有关规定，现就轻资产类公司收益法评估监管风险进行提示。</w:t>
      </w:r>
    </w:p>
    <w:p w14:paraId="128F7301" w14:textId="77777777" w:rsidR="003442B1" w:rsidRDefault="003442B1" w:rsidP="003442B1">
      <w:pPr>
        <w:pStyle w:val="13"/>
      </w:pPr>
      <w:r>
        <w:rPr>
          <w:rFonts w:hint="eastAsia"/>
        </w:rPr>
        <w:t>本提示中所指轻资产类收益法评估是指采用收益法对上市公司收购或处置有形资产占比相对较小的公司企业价值进行评估，该类公司评估通常表现出评估增值率较大、预期收益增长较快等特点，如影视、游戏等</w:t>
      </w:r>
      <w:r>
        <w:t xml:space="preserve"> TMT 产业。对拟上市公司或新三板公司等其他涉及轻资产类公司收益法评估的监管，可参照本提示。</w:t>
      </w:r>
    </w:p>
    <w:p w14:paraId="243B9DB2" w14:textId="77777777" w:rsidR="003442B1" w:rsidRDefault="003442B1" w:rsidP="003442B1">
      <w:pPr>
        <w:pStyle w:val="ab"/>
        <w:spacing w:before="62" w:after="62"/>
        <w:ind w:firstLine="482"/>
      </w:pPr>
      <w:r>
        <w:rPr>
          <w:rFonts w:hint="eastAsia"/>
        </w:rPr>
        <w:t>一、评估资料完整性及可靠性</w:t>
      </w:r>
    </w:p>
    <w:p w14:paraId="1E1D6F36" w14:textId="77777777" w:rsidR="003442B1" w:rsidRDefault="003442B1" w:rsidP="003442B1">
      <w:pPr>
        <w:pStyle w:val="13"/>
      </w:pPr>
      <w:r>
        <w:rPr>
          <w:rFonts w:hint="eastAsia"/>
        </w:rPr>
        <w:t>资产评估</w:t>
      </w:r>
      <w:proofErr w:type="gramStart"/>
      <w:r>
        <w:rPr>
          <w:rFonts w:hint="eastAsia"/>
        </w:rPr>
        <w:t>师执行</w:t>
      </w:r>
      <w:proofErr w:type="gramEnd"/>
      <w:r>
        <w:rPr>
          <w:rFonts w:hint="eastAsia"/>
        </w:rPr>
        <w:t>企业价值评估业务，应当根据评估业务的具体情况，收集被评估企业的资料和其他相关资料，分析评估资料的完整性和可靠性。</w:t>
      </w:r>
    </w:p>
    <w:p w14:paraId="6A403146" w14:textId="77777777" w:rsidR="003442B1" w:rsidRDefault="003442B1" w:rsidP="003442B1">
      <w:pPr>
        <w:pStyle w:val="13"/>
      </w:pPr>
      <w:r>
        <w:rPr>
          <w:rFonts w:hint="eastAsia"/>
        </w:rPr>
        <w:t>（一）常见问题</w:t>
      </w:r>
    </w:p>
    <w:p w14:paraId="3BAF2F49" w14:textId="77777777" w:rsidR="003442B1" w:rsidRDefault="003442B1" w:rsidP="003442B1">
      <w:pPr>
        <w:pStyle w:val="13"/>
      </w:pPr>
      <w:r>
        <w:rPr>
          <w:rFonts w:hint="eastAsia"/>
        </w:rPr>
        <w:t>一是资产评估报告中未充分披露应收集而未能获取的评估资料以及对评估结论的影响。</w:t>
      </w:r>
    </w:p>
    <w:p w14:paraId="4AB5C9BA" w14:textId="77777777" w:rsidR="003442B1" w:rsidRDefault="003442B1" w:rsidP="003442B1">
      <w:pPr>
        <w:pStyle w:val="13"/>
      </w:pPr>
      <w:r>
        <w:rPr>
          <w:rFonts w:hint="eastAsia"/>
        </w:rPr>
        <w:t>二是被评估企业未能提供未来收益预测资料，甚至预测数据由资产评估人员代为编制，评估人员未进行必要的分析、判断和调整，也未通过访谈等方式收集整理被评估企业经营发展规划等相关资料。</w:t>
      </w:r>
    </w:p>
    <w:p w14:paraId="3B08C5FA" w14:textId="77777777" w:rsidR="003442B1" w:rsidRDefault="003442B1" w:rsidP="003442B1">
      <w:pPr>
        <w:pStyle w:val="13"/>
      </w:pPr>
      <w:r>
        <w:rPr>
          <w:rFonts w:hint="eastAsia"/>
        </w:rPr>
        <w:t>三是未收集被评估企业近几年增资和股权转让的评估或交易资料，未对历史评估结论与本次评估结论的差异进行披露和分析。</w:t>
      </w:r>
    </w:p>
    <w:p w14:paraId="14FFBDC4" w14:textId="0277CF16" w:rsidR="003442B1" w:rsidRDefault="003442B1" w:rsidP="003442B1">
      <w:pPr>
        <w:pStyle w:val="13"/>
      </w:pPr>
      <w:r>
        <w:rPr>
          <w:rFonts w:hint="eastAsia"/>
        </w:rPr>
        <w:t>四是未充分关注无形资产权属问题，在对影视、网络游戏等轻资产类公司评估时，</w:t>
      </w:r>
      <w:r>
        <w:t>未充分关注知识产权、商标权等无形资产法律纠纷，未充分考虑其对评估结论影响，评</w:t>
      </w:r>
      <w:r>
        <w:rPr>
          <w:rFonts w:hint="eastAsia"/>
        </w:rPr>
        <w:t>估报告也未披露法律纠纷相关情况。</w:t>
      </w:r>
    </w:p>
    <w:p w14:paraId="321FC01A" w14:textId="77777777" w:rsidR="003442B1" w:rsidRDefault="003442B1" w:rsidP="003442B1">
      <w:pPr>
        <w:pStyle w:val="13"/>
      </w:pPr>
      <w:r>
        <w:rPr>
          <w:rFonts w:hint="eastAsia"/>
        </w:rPr>
        <w:t>五是未能对上市公司因监管政策和经营环境变化产生的盈余管理动机进行有效的识别和判断，进而发现标的公司财务数据异常情况，未能对被评估单位注册会计师提供的数据进行必要的分析和判断。</w:t>
      </w:r>
    </w:p>
    <w:p w14:paraId="07196C42" w14:textId="77777777" w:rsidR="003442B1" w:rsidRDefault="003442B1" w:rsidP="003442B1">
      <w:pPr>
        <w:pStyle w:val="13"/>
      </w:pPr>
      <w:r>
        <w:rPr>
          <w:rFonts w:hint="eastAsia"/>
        </w:rPr>
        <w:t>六是未对重大合同真实性以及执行程度进行必要的查验，未能通过执行合理程序发现合同欺诈等行为。</w:t>
      </w:r>
    </w:p>
    <w:p w14:paraId="755AC60A" w14:textId="77777777" w:rsidR="003442B1" w:rsidRDefault="003442B1" w:rsidP="003442B1">
      <w:pPr>
        <w:pStyle w:val="13"/>
      </w:pPr>
      <w:r>
        <w:rPr>
          <w:rFonts w:hint="eastAsia"/>
        </w:rPr>
        <w:t>（二）监管关注事项</w:t>
      </w:r>
    </w:p>
    <w:p w14:paraId="366C51F6" w14:textId="77777777" w:rsidR="003442B1" w:rsidRDefault="003442B1" w:rsidP="003442B1">
      <w:pPr>
        <w:pStyle w:val="13"/>
      </w:pPr>
      <w:r>
        <w:rPr>
          <w:rFonts w:hint="eastAsia"/>
        </w:rPr>
        <w:t>在监管工作中，应当关注并督促资产评估机构在以下方面加强评估资料收集：</w:t>
      </w:r>
    </w:p>
    <w:p w14:paraId="74912C98" w14:textId="77777777" w:rsidR="003442B1" w:rsidRDefault="003442B1" w:rsidP="003442B1">
      <w:pPr>
        <w:pStyle w:val="13"/>
      </w:pPr>
      <w:r>
        <w:rPr>
          <w:rFonts w:hint="eastAsia"/>
        </w:rPr>
        <w:t>一是评估人员是否执行了相应的评估程序，核实所获取资料的完整性，确保是否存在应收集而未获取的评估资料。</w:t>
      </w:r>
    </w:p>
    <w:p w14:paraId="0068C872" w14:textId="77777777" w:rsidR="003442B1" w:rsidRDefault="003442B1" w:rsidP="003442B1">
      <w:pPr>
        <w:pStyle w:val="13"/>
      </w:pPr>
      <w:r>
        <w:rPr>
          <w:rFonts w:hint="eastAsia"/>
        </w:rPr>
        <w:t>二是评估人员是否对未收集到的资料或未履行评估程序缺失相应工作底稿的情况进行充分披露，并分析缺少该部分资料对评估结论的影响。</w:t>
      </w:r>
    </w:p>
    <w:p w14:paraId="4EDE6F64" w14:textId="77777777" w:rsidR="003442B1" w:rsidRDefault="003442B1" w:rsidP="003442B1">
      <w:pPr>
        <w:pStyle w:val="13"/>
      </w:pPr>
      <w:r>
        <w:rPr>
          <w:rFonts w:hint="eastAsia"/>
        </w:rPr>
        <w:t>三是评估人员是否获取由委托方或被评估企业编制的企业收益预测数据，并结合被评估企业的资本结构、历史业绩、发展前景和所在行业等相关因素，对企业提供</w:t>
      </w:r>
      <w:r>
        <w:rPr>
          <w:rFonts w:hint="eastAsia"/>
        </w:rPr>
        <w:lastRenderedPageBreak/>
        <w:t>的盈利预测进行分析、判断和调整。</w:t>
      </w:r>
    </w:p>
    <w:p w14:paraId="46642F16" w14:textId="77777777" w:rsidR="003442B1" w:rsidRDefault="003442B1" w:rsidP="003442B1">
      <w:pPr>
        <w:pStyle w:val="13"/>
      </w:pPr>
      <w:r>
        <w:rPr>
          <w:rFonts w:hint="eastAsia"/>
        </w:rPr>
        <w:t>四是评估人员是否收集整理了企业经营规划、近几年增资和股权转让等资料，并结合企业股权历史评估情况、管理</w:t>
      </w:r>
      <w:proofErr w:type="gramStart"/>
      <w:r>
        <w:rPr>
          <w:rFonts w:hint="eastAsia"/>
        </w:rPr>
        <w:t>层未来</w:t>
      </w:r>
      <w:proofErr w:type="gramEnd"/>
      <w:r>
        <w:rPr>
          <w:rFonts w:hint="eastAsia"/>
        </w:rPr>
        <w:t>经营目标规划等因素，形成合理盈利预测数据。</w:t>
      </w:r>
    </w:p>
    <w:p w14:paraId="0C6F4C77" w14:textId="77777777" w:rsidR="003442B1" w:rsidRDefault="003442B1" w:rsidP="003442B1">
      <w:pPr>
        <w:pStyle w:val="13"/>
      </w:pPr>
      <w:r>
        <w:rPr>
          <w:rFonts w:hint="eastAsia"/>
        </w:rPr>
        <w:t>五是评估人员是否对已发现产权瑕疵的主要资产实施了相应评估程序，是否充分披露该产权瑕疵对评估结论的影响；对于出具评估报告后出现的产权法律纠纷，是否按期后事项要求提示评估报告使用者予以关注。</w:t>
      </w:r>
    </w:p>
    <w:p w14:paraId="24D5332B" w14:textId="77777777" w:rsidR="003442B1" w:rsidRDefault="003442B1" w:rsidP="003442B1">
      <w:pPr>
        <w:pStyle w:val="13"/>
      </w:pPr>
      <w:r>
        <w:rPr>
          <w:rFonts w:hint="eastAsia"/>
        </w:rPr>
        <w:t>六是评估人员是否了解上市公司盈余管理相关动机，是否对被评估单位的财务数据进行了必要的分析，确定财务报表编制基础及所使用会计政策的一致性，并对非经常性收入和支出、非经营性资产和负债等进行分析、调整。无论财务报表是否经过审计，资产评估师都应当对其进行必要的分析和专业判断。</w:t>
      </w:r>
    </w:p>
    <w:p w14:paraId="2218CC78" w14:textId="77777777" w:rsidR="003442B1" w:rsidRDefault="003442B1" w:rsidP="003442B1">
      <w:pPr>
        <w:pStyle w:val="13"/>
      </w:pPr>
      <w:r>
        <w:rPr>
          <w:rFonts w:hint="eastAsia"/>
        </w:rPr>
        <w:t>七是评估人员针对重大合同执行情况所实施的评估程序，在综合分析历史合同履约情况和现场调查情况的基础上，谨慎判断重大合同的真实性及可执行性。</w:t>
      </w:r>
    </w:p>
    <w:p w14:paraId="2C68D4E3" w14:textId="77777777" w:rsidR="003442B1" w:rsidRDefault="003442B1" w:rsidP="003442B1">
      <w:pPr>
        <w:pStyle w:val="ab"/>
        <w:spacing w:before="62" w:after="62"/>
        <w:ind w:firstLine="482"/>
      </w:pPr>
      <w:r>
        <w:rPr>
          <w:rFonts w:hint="eastAsia"/>
        </w:rPr>
        <w:t>二、评估方法的适用性</w:t>
      </w:r>
    </w:p>
    <w:p w14:paraId="14116991" w14:textId="495031DE" w:rsidR="003442B1" w:rsidRDefault="003442B1" w:rsidP="003442B1">
      <w:pPr>
        <w:pStyle w:val="13"/>
      </w:pPr>
      <w:r>
        <w:rPr>
          <w:rFonts w:hint="eastAsia"/>
        </w:rPr>
        <w:t>评估</w:t>
      </w:r>
      <w:proofErr w:type="gramStart"/>
      <w:r>
        <w:rPr>
          <w:rFonts w:hint="eastAsia"/>
        </w:rPr>
        <w:t>师应当</w:t>
      </w:r>
      <w:proofErr w:type="gramEnd"/>
      <w:r>
        <w:rPr>
          <w:rFonts w:hint="eastAsia"/>
        </w:rPr>
        <w:t>结合企业的历史经营情况、未来收益可预测情况、所获取评估资料的充分性，恰当考虑收益法的适用性。</w:t>
      </w:r>
    </w:p>
    <w:p w14:paraId="7B0B90FA" w14:textId="77777777" w:rsidR="003442B1" w:rsidRDefault="003442B1" w:rsidP="003442B1">
      <w:pPr>
        <w:pStyle w:val="13"/>
      </w:pPr>
      <w:r>
        <w:rPr>
          <w:rFonts w:hint="eastAsia"/>
        </w:rPr>
        <w:t>（一）常见问题</w:t>
      </w:r>
    </w:p>
    <w:p w14:paraId="05C5B498" w14:textId="77777777" w:rsidR="003442B1" w:rsidRDefault="003442B1" w:rsidP="003442B1">
      <w:pPr>
        <w:pStyle w:val="13"/>
      </w:pPr>
      <w:r>
        <w:rPr>
          <w:rFonts w:hint="eastAsia"/>
        </w:rPr>
        <w:t>一是标的企业处于在建期或初创期，没有可以参考的历史和市场数据，所依赖的关键技术尚处于研发阶段，盈利预测采用企业规划数据或可行性研究报告数据，收益法适用理由不充分。</w:t>
      </w:r>
    </w:p>
    <w:p w14:paraId="0CADE2BE" w14:textId="77777777" w:rsidR="003442B1" w:rsidRDefault="003442B1" w:rsidP="003442B1">
      <w:pPr>
        <w:pStyle w:val="13"/>
      </w:pPr>
      <w:r>
        <w:rPr>
          <w:rFonts w:hint="eastAsia"/>
        </w:rPr>
        <w:t>二是历史年度经营连续亏损，未来持续经营存在不确定性，盈利预测按照连续盈利进行预测，收益法适用理由不充分。</w:t>
      </w:r>
    </w:p>
    <w:p w14:paraId="05E05D5B" w14:textId="77777777" w:rsidR="003442B1" w:rsidRDefault="003442B1" w:rsidP="003442B1">
      <w:pPr>
        <w:pStyle w:val="13"/>
      </w:pPr>
      <w:r>
        <w:rPr>
          <w:rFonts w:hint="eastAsia"/>
        </w:rPr>
        <w:t>（二）监管关注事项</w:t>
      </w:r>
    </w:p>
    <w:p w14:paraId="13860C27" w14:textId="77777777" w:rsidR="003442B1" w:rsidRDefault="003442B1" w:rsidP="003442B1">
      <w:pPr>
        <w:pStyle w:val="13"/>
      </w:pPr>
      <w:r>
        <w:rPr>
          <w:rFonts w:hint="eastAsia"/>
        </w:rPr>
        <w:t>在监管工作中，应当关注并督促资产评估机构在以下方面加强对收益法适用性分析：</w:t>
      </w:r>
    </w:p>
    <w:p w14:paraId="025C9008" w14:textId="0E23EE9F" w:rsidR="003442B1" w:rsidRDefault="003442B1" w:rsidP="003442B1">
      <w:pPr>
        <w:pStyle w:val="13"/>
      </w:pPr>
      <w:r>
        <w:t>一是评估人员是否对初创期和在建期企业的核心资源进行分析，如核心技术商业化</w:t>
      </w:r>
      <w:r>
        <w:rPr>
          <w:rFonts w:hint="eastAsia"/>
        </w:rPr>
        <w:t>可行性、部分产品或服务是否有准入门槛限制、核心团队是否有成功的历史经营业绩、是否有长期采购供应合同等，并以此作为收益法选择的依据。</w:t>
      </w:r>
    </w:p>
    <w:p w14:paraId="340E29F2" w14:textId="77777777" w:rsidR="003442B1" w:rsidRDefault="003442B1" w:rsidP="003442B1">
      <w:pPr>
        <w:pStyle w:val="13"/>
      </w:pPr>
      <w:r>
        <w:rPr>
          <w:rFonts w:hint="eastAsia"/>
        </w:rPr>
        <w:t>二是被评估企业历史年度连续亏损，应关注采用收益法评估的依据是否充分，采用</w:t>
      </w:r>
      <w:r>
        <w:t xml:space="preserve"> 新上项目、改变经营思路、转换经营模式等方式扭亏为盈来预测收益是不够谨慎的，关 注评估人员是否结合企业内外部条件论证扭亏为盈的可能性，进而判断收益法是否适用。</w:t>
      </w:r>
    </w:p>
    <w:p w14:paraId="1E6BF4BF" w14:textId="77777777" w:rsidR="003442B1" w:rsidRDefault="003442B1" w:rsidP="003442B1">
      <w:pPr>
        <w:pStyle w:val="ab"/>
        <w:spacing w:before="62" w:after="62"/>
        <w:ind w:firstLine="482"/>
      </w:pPr>
      <w:r>
        <w:rPr>
          <w:rFonts w:hint="eastAsia"/>
        </w:rPr>
        <w:lastRenderedPageBreak/>
        <w:t>三、评估假设合理性</w:t>
      </w:r>
    </w:p>
    <w:p w14:paraId="2E9906F9" w14:textId="77777777" w:rsidR="003442B1" w:rsidRDefault="003442B1" w:rsidP="003442B1">
      <w:pPr>
        <w:pStyle w:val="13"/>
      </w:pPr>
      <w:r>
        <w:rPr>
          <w:rFonts w:hint="eastAsia"/>
        </w:rPr>
        <w:t>资产评估</w:t>
      </w:r>
      <w:proofErr w:type="gramStart"/>
      <w:r>
        <w:rPr>
          <w:rFonts w:hint="eastAsia"/>
        </w:rPr>
        <w:t>师执行</w:t>
      </w:r>
      <w:proofErr w:type="gramEnd"/>
      <w:r>
        <w:rPr>
          <w:rFonts w:hint="eastAsia"/>
        </w:rPr>
        <w:t>资产评估业务，应当科学合理使用评估假设，并在评估报告中披露评估假设及其对评估结论的影响。</w:t>
      </w:r>
    </w:p>
    <w:p w14:paraId="3FAD5227" w14:textId="77777777" w:rsidR="003442B1" w:rsidRDefault="003442B1" w:rsidP="003442B1">
      <w:pPr>
        <w:pStyle w:val="13"/>
      </w:pPr>
      <w:r>
        <w:rPr>
          <w:rFonts w:hint="eastAsia"/>
        </w:rPr>
        <w:t>（一）常见问题</w:t>
      </w:r>
    </w:p>
    <w:p w14:paraId="773577E2" w14:textId="40C20811" w:rsidR="003442B1" w:rsidRDefault="003442B1" w:rsidP="003442B1">
      <w:pPr>
        <w:pStyle w:val="13"/>
      </w:pPr>
      <w:r>
        <w:rPr>
          <w:rFonts w:hint="eastAsia"/>
        </w:rPr>
        <w:t>一是未对销售成本率、期间费用率、采购销售业务的稳定性进行必要的分析和判断</w:t>
      </w:r>
      <w:r w:rsidR="003068F8">
        <w:rPr>
          <w:rFonts w:hint="eastAsia"/>
        </w:rPr>
        <w:t>，</w:t>
      </w:r>
      <w:r>
        <w:t>直接假设销售成本率、期间费用</w:t>
      </w:r>
      <w:proofErr w:type="gramStart"/>
      <w:r>
        <w:t>率未来</w:t>
      </w:r>
      <w:proofErr w:type="gramEnd"/>
      <w:r>
        <w:t>不会发生较大变化，以及在未来的经营期内被评估企业核心材料供应商、销售客户仍能按现有的情况保持良好的客户关系从而获得稳定的订单及份额等。</w:t>
      </w:r>
    </w:p>
    <w:p w14:paraId="59451183" w14:textId="77777777" w:rsidR="003442B1" w:rsidRDefault="003442B1" w:rsidP="003442B1">
      <w:pPr>
        <w:pStyle w:val="13"/>
      </w:pPr>
      <w:r>
        <w:rPr>
          <w:rFonts w:hint="eastAsia"/>
        </w:rPr>
        <w:t>二是未对企业的技术及资质进行必要的分析和查验，直接假设公司预测期内可以维持目前的技术领先优势、某类业务可以永续经营、特殊资质到期可以续期，尤其是影视、游戏等</w:t>
      </w:r>
      <w:r>
        <w:t xml:space="preserve"> TMT 行业中成立时间较短的企业。</w:t>
      </w:r>
    </w:p>
    <w:p w14:paraId="5F035350" w14:textId="188CE519" w:rsidR="003442B1" w:rsidRDefault="003442B1" w:rsidP="003442B1">
      <w:pPr>
        <w:pStyle w:val="13"/>
      </w:pPr>
      <w:r>
        <w:rPr>
          <w:rFonts w:hint="eastAsia"/>
        </w:rPr>
        <w:t>三是评估中发现历史实际经营数据与可</w:t>
      </w:r>
      <w:proofErr w:type="gramStart"/>
      <w:r>
        <w:rPr>
          <w:rFonts w:hint="eastAsia"/>
        </w:rPr>
        <w:t>研</w:t>
      </w:r>
      <w:proofErr w:type="gramEnd"/>
      <w:r>
        <w:rPr>
          <w:rFonts w:hint="eastAsia"/>
        </w:rPr>
        <w:t>数据存在较大差异，仍然假设预测期公司经营数据可以按照可</w:t>
      </w:r>
      <w:proofErr w:type="gramStart"/>
      <w:r>
        <w:rPr>
          <w:rFonts w:hint="eastAsia"/>
        </w:rPr>
        <w:t>研</w:t>
      </w:r>
      <w:proofErr w:type="gramEnd"/>
      <w:r>
        <w:rPr>
          <w:rFonts w:hint="eastAsia"/>
        </w:rPr>
        <w:t>报告中各项指标实现，在建项目或新上马项目能够根据可</w:t>
      </w:r>
      <w:proofErr w:type="gramStart"/>
      <w:r>
        <w:rPr>
          <w:rFonts w:hint="eastAsia"/>
        </w:rPr>
        <w:t>研</w:t>
      </w:r>
      <w:proofErr w:type="gramEnd"/>
      <w:r>
        <w:rPr>
          <w:rFonts w:hint="eastAsia"/>
        </w:rPr>
        <w:t>报告进度落实资金及各阶段竣工后能通过验收、受政策影响的项目假设按计划投产等。</w:t>
      </w:r>
    </w:p>
    <w:p w14:paraId="1DA013B5" w14:textId="77777777" w:rsidR="003442B1" w:rsidRDefault="003442B1" w:rsidP="003442B1">
      <w:pPr>
        <w:pStyle w:val="13"/>
      </w:pPr>
      <w:r>
        <w:rPr>
          <w:rFonts w:hint="eastAsia"/>
        </w:rPr>
        <w:t>（二）监管关注事项</w:t>
      </w:r>
    </w:p>
    <w:p w14:paraId="1EC30302" w14:textId="77777777" w:rsidR="003442B1" w:rsidRDefault="003442B1" w:rsidP="003442B1">
      <w:pPr>
        <w:pStyle w:val="13"/>
      </w:pPr>
      <w:r>
        <w:rPr>
          <w:rFonts w:hint="eastAsia"/>
        </w:rPr>
        <w:t>在监管工作中，应当关注并督促资产评估机构在以下方面加强评估假设合理性分析：</w:t>
      </w:r>
    </w:p>
    <w:p w14:paraId="0349D06F" w14:textId="3A5714BB" w:rsidR="003442B1" w:rsidRDefault="003442B1" w:rsidP="003442B1">
      <w:pPr>
        <w:pStyle w:val="13"/>
      </w:pPr>
      <w:r>
        <w:t>一是资产评估师是否进行了不合理的评估假设，比如未进行必要调查和分析直接将</w:t>
      </w:r>
      <w:r>
        <w:rPr>
          <w:rFonts w:hint="eastAsia"/>
        </w:rPr>
        <w:t>营业成本率及各项费用率稳定、供销情况良好作为评估假设，关注评估人员是否将应根据市场情况、企业经营状况进行分析的事项作为评估假设。</w:t>
      </w:r>
    </w:p>
    <w:p w14:paraId="41CDD41E" w14:textId="77777777" w:rsidR="003442B1" w:rsidRDefault="003442B1" w:rsidP="003442B1">
      <w:pPr>
        <w:pStyle w:val="13"/>
      </w:pPr>
      <w:r>
        <w:rPr>
          <w:rFonts w:hint="eastAsia"/>
        </w:rPr>
        <w:t>二是评估人员是否关注被评估企业所属行业特点，如科技、媒体和通信等</w:t>
      </w:r>
      <w:r>
        <w:t xml:space="preserve"> TMT 行业，区分其技术和模式，分析企业的核心技术或所在行业的生命周期，进而判断相关假设是否合理。</w:t>
      </w:r>
    </w:p>
    <w:p w14:paraId="104F59AC" w14:textId="77777777" w:rsidR="003442B1" w:rsidRDefault="003442B1" w:rsidP="003442B1">
      <w:pPr>
        <w:pStyle w:val="13"/>
      </w:pPr>
      <w:r>
        <w:rPr>
          <w:rFonts w:hint="eastAsia"/>
        </w:rPr>
        <w:t>三是评估假设是否符合被评估企业自身内在发展逻辑和外部现实条件约束，是否通过人为设定评估假设为盈利预测“创造”数量依据与环境条件。尽管可</w:t>
      </w:r>
      <w:proofErr w:type="gramStart"/>
      <w:r>
        <w:rPr>
          <w:rFonts w:hint="eastAsia"/>
        </w:rPr>
        <w:t>研</w:t>
      </w:r>
      <w:proofErr w:type="gramEnd"/>
      <w:r>
        <w:rPr>
          <w:rFonts w:hint="eastAsia"/>
        </w:rPr>
        <w:t>报告中的数据可以作为盈利预测分析、判断、调整的基础，但不能以此为评估假设作为评估结论成立的前提。同时，关注评估报告是否披露可</w:t>
      </w:r>
      <w:proofErr w:type="gramStart"/>
      <w:r>
        <w:rPr>
          <w:rFonts w:hint="eastAsia"/>
        </w:rPr>
        <w:t>研</w:t>
      </w:r>
      <w:proofErr w:type="gramEnd"/>
      <w:r>
        <w:rPr>
          <w:rFonts w:hint="eastAsia"/>
        </w:rPr>
        <w:t>报告对评估结论的影响。</w:t>
      </w:r>
    </w:p>
    <w:p w14:paraId="4F2FCCA3" w14:textId="77777777" w:rsidR="003442B1" w:rsidRPr="003442B1" w:rsidRDefault="003442B1" w:rsidP="003442B1">
      <w:pPr>
        <w:pStyle w:val="13"/>
        <w:ind w:firstLine="482"/>
        <w:rPr>
          <w:b/>
          <w:bCs/>
        </w:rPr>
      </w:pPr>
      <w:r w:rsidRPr="003442B1">
        <w:rPr>
          <w:rFonts w:hint="eastAsia"/>
          <w:b/>
          <w:bCs/>
        </w:rPr>
        <w:t>四、现金流测算</w:t>
      </w:r>
    </w:p>
    <w:p w14:paraId="77CA690C" w14:textId="49CD3855" w:rsidR="003442B1" w:rsidRDefault="003442B1" w:rsidP="003442B1">
      <w:pPr>
        <w:pStyle w:val="13"/>
      </w:pPr>
      <w:r>
        <w:rPr>
          <w:rFonts w:hint="eastAsia"/>
        </w:rPr>
        <w:t>资产评估</w:t>
      </w:r>
      <w:proofErr w:type="gramStart"/>
      <w:r>
        <w:rPr>
          <w:rFonts w:hint="eastAsia"/>
        </w:rPr>
        <w:t>师应当</w:t>
      </w:r>
      <w:proofErr w:type="gramEnd"/>
      <w:r>
        <w:rPr>
          <w:rFonts w:hint="eastAsia"/>
        </w:rPr>
        <w:t>充分分析被评估企业的资本结构、经营状况、历史业绩、发展前景</w:t>
      </w:r>
      <w:r w:rsidR="003068F8">
        <w:rPr>
          <w:rFonts w:hint="eastAsia"/>
        </w:rPr>
        <w:t>，</w:t>
      </w:r>
      <w:r>
        <w:t>考虑宏观和区域经济因素、所在行业现状与发展前景对企业价值的影响，在考虑未来各种可能性及其影响的基础上对被评估企业未来收入、成本进行预测，形成未来收益，并结合折现率及预测期的确定情况，将预期收益资本化或折现，得出企业评估价值。</w:t>
      </w:r>
    </w:p>
    <w:p w14:paraId="2B2CD76A" w14:textId="77777777" w:rsidR="003442B1" w:rsidRDefault="003442B1" w:rsidP="003442B1">
      <w:pPr>
        <w:pStyle w:val="13"/>
      </w:pPr>
      <w:r>
        <w:rPr>
          <w:rFonts w:hint="eastAsia"/>
        </w:rPr>
        <w:lastRenderedPageBreak/>
        <w:t>（一）收入预测</w:t>
      </w:r>
    </w:p>
    <w:p w14:paraId="7250C044" w14:textId="77777777" w:rsidR="003442B1" w:rsidRDefault="003442B1" w:rsidP="003442B1">
      <w:pPr>
        <w:pStyle w:val="13"/>
      </w:pPr>
      <w:r>
        <w:rPr>
          <w:rFonts w:hint="eastAsia"/>
        </w:rPr>
        <w:t>资产评估</w:t>
      </w:r>
      <w:proofErr w:type="gramStart"/>
      <w:r>
        <w:rPr>
          <w:rFonts w:hint="eastAsia"/>
        </w:rPr>
        <w:t>师应当</w:t>
      </w:r>
      <w:proofErr w:type="gramEnd"/>
      <w:r>
        <w:rPr>
          <w:rFonts w:hint="eastAsia"/>
        </w:rPr>
        <w:t>充分分析被评估企业经营及盈利模式、业务构成等情况，结合其历史收入情况、未来经营规划等因素对企业未来收入进行预测。</w:t>
      </w:r>
    </w:p>
    <w:p w14:paraId="1EECEAD7" w14:textId="77777777" w:rsidR="003442B1" w:rsidRDefault="003442B1" w:rsidP="003442B1">
      <w:pPr>
        <w:pStyle w:val="13"/>
      </w:pPr>
      <w:r>
        <w:t>1、常见问题</w:t>
      </w:r>
    </w:p>
    <w:p w14:paraId="01F9F095" w14:textId="3A6DF4A4" w:rsidR="003442B1" w:rsidRDefault="003442B1" w:rsidP="003442B1">
      <w:pPr>
        <w:pStyle w:val="13"/>
      </w:pPr>
      <w:r>
        <w:rPr>
          <w:rFonts w:hint="eastAsia"/>
        </w:rPr>
        <w:t>一是对于与国家政策密切相关的行业，比如影视、游戏、互联网金融等相关行业</w:t>
      </w:r>
      <w:r w:rsidR="003068F8">
        <w:rPr>
          <w:rFonts w:hint="eastAsia"/>
        </w:rPr>
        <w:t>，</w:t>
      </w:r>
      <w:r>
        <w:t>未充分考虑所面临的政策风险，评估报告中未能结合当前政策环境形成合理的经营预期</w:t>
      </w:r>
      <w:r w:rsidR="003068F8">
        <w:t>；</w:t>
      </w:r>
      <w:r>
        <w:t>未充分考虑其他外部约束条件，如竞争对手、上下游供求变化等因素。</w:t>
      </w:r>
    </w:p>
    <w:p w14:paraId="6C8F39A0" w14:textId="77777777" w:rsidR="003442B1" w:rsidRDefault="003442B1" w:rsidP="003442B1">
      <w:pPr>
        <w:pStyle w:val="13"/>
      </w:pPr>
      <w:r>
        <w:rPr>
          <w:rFonts w:hint="eastAsia"/>
        </w:rPr>
        <w:t>二是未充分关注被评估企业经营及盈利模式，未对其盈利驱动因素进行分析，未能结合驱动指标历史变化对其所采取的措施进行必要分析；未能充分考虑技术进步导致的产品价格下降、产品替代及技术优势丧失等风险。</w:t>
      </w:r>
    </w:p>
    <w:p w14:paraId="1AE7C4CA" w14:textId="77777777" w:rsidR="003442B1" w:rsidRDefault="003442B1" w:rsidP="003442B1">
      <w:pPr>
        <w:pStyle w:val="13"/>
      </w:pPr>
      <w:r>
        <w:rPr>
          <w:rFonts w:hint="eastAsia"/>
        </w:rPr>
        <w:t>三是历史年度营业收入增长缓慢或下降而未来营业收入增长较快，尤其是未来半年或近一年预测营业收入增幅较大，盈利预测缺乏相应的证据支撑。</w:t>
      </w:r>
    </w:p>
    <w:p w14:paraId="48753FF7" w14:textId="77777777" w:rsidR="003442B1" w:rsidRDefault="003442B1" w:rsidP="003442B1">
      <w:pPr>
        <w:pStyle w:val="13"/>
      </w:pPr>
      <w:r>
        <w:rPr>
          <w:rFonts w:hint="eastAsia"/>
        </w:rPr>
        <w:t>四是未将被评估企业收入预测增长情况与行业或竞争对手进行对比分析。</w:t>
      </w:r>
    </w:p>
    <w:p w14:paraId="5523C49D" w14:textId="77777777" w:rsidR="003442B1" w:rsidRDefault="003442B1" w:rsidP="003442B1">
      <w:pPr>
        <w:pStyle w:val="13"/>
      </w:pPr>
      <w:r>
        <w:rPr>
          <w:rFonts w:hint="eastAsia"/>
        </w:rPr>
        <w:t>五是产品类别分属于不同细分市场，评估报告中未对各细分产品的历史数据进行分析，并据此预测未来数据。</w:t>
      </w:r>
    </w:p>
    <w:p w14:paraId="583AABBA" w14:textId="77777777" w:rsidR="003442B1" w:rsidRDefault="003442B1" w:rsidP="003442B1">
      <w:pPr>
        <w:pStyle w:val="13"/>
      </w:pPr>
      <w:r>
        <w:rPr>
          <w:rFonts w:hint="eastAsia"/>
        </w:rPr>
        <w:t>六是较大的项目，未充分分析历史合同订单的实际进度及项目回款情况，仅根据项目计划进度进行预测，造成与实际情况存在差异。</w:t>
      </w:r>
    </w:p>
    <w:p w14:paraId="5DDADF9A" w14:textId="777584D3" w:rsidR="003442B1" w:rsidRDefault="003442B1" w:rsidP="003442B1">
      <w:pPr>
        <w:pStyle w:val="13"/>
      </w:pPr>
      <w:r>
        <w:rPr>
          <w:rFonts w:hint="eastAsia"/>
        </w:rPr>
        <w:t>七是对于大客户相对集中的企业，未根据具体产品及客户订单情况进行针对性分析</w:t>
      </w:r>
      <w:r w:rsidR="003068F8">
        <w:rPr>
          <w:rFonts w:hint="eastAsia"/>
        </w:rPr>
        <w:t>，</w:t>
      </w:r>
      <w:r>
        <w:t>未考虑订单违约风险以及产品更新换代导致的</w:t>
      </w:r>
      <w:proofErr w:type="gramStart"/>
      <w:r>
        <w:t>不</w:t>
      </w:r>
      <w:proofErr w:type="gramEnd"/>
      <w:r>
        <w:t>续签风险。</w:t>
      </w:r>
    </w:p>
    <w:p w14:paraId="30C0F967" w14:textId="77777777" w:rsidR="003442B1" w:rsidRDefault="003442B1" w:rsidP="003442B1">
      <w:pPr>
        <w:pStyle w:val="13"/>
      </w:pPr>
      <w:r>
        <w:rPr>
          <w:rFonts w:hint="eastAsia"/>
        </w:rPr>
        <w:t>八是对价格预测不谨慎，对于价格敏感性较大的企业，简单按照历史平均数据进行预测，未考虑各种可能性从而进行敏感性分析。</w:t>
      </w:r>
    </w:p>
    <w:p w14:paraId="762CB1D1" w14:textId="20B2AE36" w:rsidR="003442B1" w:rsidRDefault="003442B1" w:rsidP="003442B1">
      <w:pPr>
        <w:pStyle w:val="13"/>
      </w:pPr>
      <w:r>
        <w:rPr>
          <w:rFonts w:hint="eastAsia"/>
        </w:rPr>
        <w:t>九是对于从事进出口</w:t>
      </w:r>
      <w:proofErr w:type="gramStart"/>
      <w:r>
        <w:rPr>
          <w:rFonts w:hint="eastAsia"/>
        </w:rPr>
        <w:t>贸易汇率</w:t>
      </w:r>
      <w:proofErr w:type="gramEnd"/>
      <w:r>
        <w:rPr>
          <w:rFonts w:hint="eastAsia"/>
        </w:rPr>
        <w:t>敏感性较大的企业（国外市场销售收入占营业收入总额的比重较高），评估时简单的假设汇率不变，未考虑汇率的影响，未进行敏感性分析</w:t>
      </w:r>
      <w:r w:rsidR="003068F8">
        <w:rPr>
          <w:rFonts w:hint="eastAsia"/>
        </w:rPr>
        <w:t>，</w:t>
      </w:r>
      <w:r>
        <w:t>未充分揭示汇率波动带来的风险及影响程度。</w:t>
      </w:r>
    </w:p>
    <w:p w14:paraId="2BAE911E" w14:textId="77777777" w:rsidR="003442B1" w:rsidRDefault="003442B1" w:rsidP="003442B1">
      <w:pPr>
        <w:pStyle w:val="13"/>
      </w:pPr>
      <w:r>
        <w:t>2、监管关注事项</w:t>
      </w:r>
    </w:p>
    <w:p w14:paraId="6301FED8" w14:textId="77777777" w:rsidR="003442B1" w:rsidRDefault="003442B1" w:rsidP="003442B1">
      <w:pPr>
        <w:pStyle w:val="13"/>
      </w:pPr>
      <w:r>
        <w:rPr>
          <w:rFonts w:hint="eastAsia"/>
        </w:rPr>
        <w:t>在监管工作中，应当关注并督促资产评估机构在以下方面加强收入预测分析：</w:t>
      </w:r>
    </w:p>
    <w:p w14:paraId="5E9A813A" w14:textId="77777777" w:rsidR="003442B1" w:rsidRDefault="003442B1" w:rsidP="003442B1">
      <w:pPr>
        <w:pStyle w:val="13"/>
      </w:pPr>
      <w:r>
        <w:rPr>
          <w:rFonts w:hint="eastAsia"/>
        </w:rPr>
        <w:t>一是评估人员在盈利预测时，是否将企业放在内外部环境中进行分析，并收集充分的资料作为盈利预测的基础，如调查被评估企业面临的监管政策、准入制度、行业发展状况等，以及企业内部的生产、经营、人员、财务等方面的约束条件。</w:t>
      </w:r>
    </w:p>
    <w:p w14:paraId="685C8953" w14:textId="77777777" w:rsidR="003442B1" w:rsidRDefault="003442B1" w:rsidP="003442B1">
      <w:pPr>
        <w:pStyle w:val="13"/>
      </w:pPr>
      <w:r>
        <w:rPr>
          <w:rFonts w:hint="eastAsia"/>
        </w:rPr>
        <w:t>二是评估人员是否对被评估企业的经营及盈利模式进行了充分分析，尤其是影视、游戏等</w:t>
      </w:r>
      <w:r>
        <w:t xml:space="preserve"> TMT 行业，并结合行业竞争状况、技术替代等因素，挖掘企业核心竞争力，以及判断该竞争力对持续盈利能力的支撑程度和</w:t>
      </w:r>
      <w:proofErr w:type="gramStart"/>
      <w:r>
        <w:t>可</w:t>
      </w:r>
      <w:proofErr w:type="gramEnd"/>
      <w:r>
        <w:t>持续性，谨慎评估核心技术优势为企业带来超额收益的可持续性。</w:t>
      </w:r>
    </w:p>
    <w:p w14:paraId="410D2DA3" w14:textId="77777777" w:rsidR="003442B1" w:rsidRDefault="003442B1" w:rsidP="003442B1">
      <w:pPr>
        <w:pStyle w:val="13"/>
      </w:pPr>
      <w:r>
        <w:rPr>
          <w:rFonts w:hint="eastAsia"/>
        </w:rPr>
        <w:t>三是评估人员是否充分关注到企业改善收入状况所采取的具体措施，比如人员</w:t>
      </w:r>
      <w:r>
        <w:rPr>
          <w:rFonts w:hint="eastAsia"/>
        </w:rPr>
        <w:lastRenderedPageBreak/>
        <w:t>补充、资金预算，宣传推广等配套措施规划情况，并根据以往的投入产出数据或行业的投入产</w:t>
      </w:r>
      <w:r>
        <w:t xml:space="preserve"> 出数据进行分析。</w:t>
      </w:r>
    </w:p>
    <w:p w14:paraId="077A42E4" w14:textId="39C31BD5" w:rsidR="003442B1" w:rsidRDefault="003442B1" w:rsidP="003442B1">
      <w:pPr>
        <w:pStyle w:val="13"/>
      </w:pPr>
      <w:r>
        <w:rPr>
          <w:rFonts w:hint="eastAsia"/>
        </w:rPr>
        <w:t>四是对于预测期扭亏为盈情况，关注评估人员是否对历史数据和预测数据进行了对比分析，找出变化因素并分析变化的可能性和合理性。如果是属于企业内部情况变化，需要关注变化因素是否有约束限制以及对于盈利扭转是否有效进行分析；如果属于外部环境变化，则需要对外部市场进行综合分析。</w:t>
      </w:r>
    </w:p>
    <w:p w14:paraId="7864DE38" w14:textId="77777777" w:rsidR="003442B1" w:rsidRDefault="003442B1" w:rsidP="003442B1">
      <w:pPr>
        <w:pStyle w:val="13"/>
      </w:pPr>
      <w:r>
        <w:rPr>
          <w:rFonts w:hint="eastAsia"/>
        </w:rPr>
        <w:t>五是预测企业收入时，未来半年或近一年的收入数据更为可靠，评估人员是否执行了相应的评估程序，分析判断评估基准日前后是否存在收入调节的可能性以及收入高速增长的可持续性。</w:t>
      </w:r>
    </w:p>
    <w:p w14:paraId="50AE0FCA" w14:textId="77777777" w:rsidR="003442B1" w:rsidRDefault="003442B1" w:rsidP="003442B1">
      <w:pPr>
        <w:pStyle w:val="13"/>
      </w:pPr>
      <w:r>
        <w:rPr>
          <w:rFonts w:hint="eastAsia"/>
        </w:rPr>
        <w:t>六是收入预测数据避免按照企业提供的乐观估计和未来</w:t>
      </w:r>
      <w:proofErr w:type="gramStart"/>
      <w:r>
        <w:rPr>
          <w:rFonts w:hint="eastAsia"/>
        </w:rPr>
        <w:t>愿景进行</w:t>
      </w:r>
      <w:proofErr w:type="gramEnd"/>
      <w:r>
        <w:rPr>
          <w:rFonts w:hint="eastAsia"/>
        </w:rPr>
        <w:t>预测，评估人员是否把握市场竞争或发展规律，将企业的经营规划放在行业发展中进行</w:t>
      </w:r>
      <w:proofErr w:type="gramStart"/>
      <w:r>
        <w:rPr>
          <w:rFonts w:hint="eastAsia"/>
        </w:rPr>
        <w:t>考量</w:t>
      </w:r>
      <w:proofErr w:type="gramEnd"/>
      <w:r>
        <w:rPr>
          <w:rFonts w:hint="eastAsia"/>
        </w:rPr>
        <w:t>对比，找出被评估企业相对于市场的优势和劣势，以及优势的可持续程度和劣势的可控制程度，并通过数据对比的方式进行量化分析，判断收入预测是否合理。</w:t>
      </w:r>
    </w:p>
    <w:p w14:paraId="40A0A58E" w14:textId="77777777" w:rsidR="003442B1" w:rsidRDefault="003442B1" w:rsidP="003442B1">
      <w:pPr>
        <w:pStyle w:val="13"/>
      </w:pPr>
      <w:r>
        <w:rPr>
          <w:rFonts w:hint="eastAsia"/>
        </w:rPr>
        <w:t>七是竞争对手是被评估企业在目标市场中最直接的威胁，关注评估人员是否将公开获得的竞争对手数据与被评估企业的数据进行详细对比分析，进而判断被评估企业的数据是否合理。</w:t>
      </w:r>
    </w:p>
    <w:p w14:paraId="6DFC0503" w14:textId="77777777" w:rsidR="003442B1" w:rsidRDefault="003442B1" w:rsidP="003442B1">
      <w:pPr>
        <w:pStyle w:val="13"/>
      </w:pPr>
      <w:r>
        <w:rPr>
          <w:rFonts w:hint="eastAsia"/>
        </w:rPr>
        <w:t>八是对于企业有多个业务板块或若干产品类别时，评估人员是否按照业务板块分类或者产品类别分类进行分析，进而获取不同类别产品的收入预测依据。</w:t>
      </w:r>
    </w:p>
    <w:p w14:paraId="7859286A" w14:textId="77777777" w:rsidR="003442B1" w:rsidRDefault="003442B1" w:rsidP="003442B1">
      <w:pPr>
        <w:pStyle w:val="13"/>
      </w:pPr>
      <w:r>
        <w:rPr>
          <w:rFonts w:hint="eastAsia"/>
        </w:rPr>
        <w:t>九是评估人员是否收集整理了企业历史重大项目合同执行情况的统计数据，并据此对待执行的重大项目合同的实施及收入确认进度在预测数据时进行必要的调整，以期反映企业运营的真实情况，同时根据历史状况对待执行合同的履约风险进行评价。</w:t>
      </w:r>
    </w:p>
    <w:p w14:paraId="0F70731B" w14:textId="77777777" w:rsidR="003442B1" w:rsidRDefault="003442B1" w:rsidP="003442B1">
      <w:pPr>
        <w:pStyle w:val="13"/>
      </w:pPr>
      <w:r>
        <w:rPr>
          <w:rFonts w:hint="eastAsia"/>
        </w:rPr>
        <w:t>十是对于大客户比较集中的企业，关注评估人员是否针对大客户框架协议或产品协议进行了具体分析，既对被评估企业产品收入进行预测，又对大客户信用状况、需求变更等情况进行必要的分析，以充分反映被评估企业产品的销售数量、价格以及未来需求的可持续性。</w:t>
      </w:r>
    </w:p>
    <w:p w14:paraId="67FC8B61" w14:textId="77777777" w:rsidR="003442B1" w:rsidRDefault="003442B1" w:rsidP="003442B1">
      <w:pPr>
        <w:pStyle w:val="13"/>
      </w:pPr>
      <w:r>
        <w:rPr>
          <w:rFonts w:hint="eastAsia"/>
        </w:rPr>
        <w:t>十一是对存在明显价格、汇率周期性波动的企业，关注评估人员在预测企业未来收益时是否充分考虑市场需求和价格或汇率的变动趋势，特别是对预测期后长期销售价格和汇率的预测，避免采用波峰或波谷价格和汇率等不具有代表性的指标来预测收入，并对价格、汇率进行敏感性分析，分析其变动对评估结果的影响。</w:t>
      </w:r>
    </w:p>
    <w:p w14:paraId="5E7BE765" w14:textId="0D0F8250" w:rsidR="003442B1" w:rsidRDefault="003442B1" w:rsidP="003442B1">
      <w:pPr>
        <w:pStyle w:val="13"/>
      </w:pPr>
      <w:r>
        <w:rPr>
          <w:rFonts w:hint="eastAsia"/>
        </w:rPr>
        <w:t>十二是评估人员是否重视财务数据之间、财务数据与非财务数据之间的逻辑一致性，</w:t>
      </w:r>
      <w:r>
        <w:t>如游戏行业中的“长期在线人数”、广告行业中“浏览点击量”、影视行业中的“院线票 房”等核心业务指标与收入增长之间的逻辑关系。</w:t>
      </w:r>
    </w:p>
    <w:p w14:paraId="1E89A83A" w14:textId="77777777" w:rsidR="003442B1" w:rsidRDefault="003442B1" w:rsidP="003442B1">
      <w:pPr>
        <w:pStyle w:val="13"/>
      </w:pPr>
      <w:r>
        <w:rPr>
          <w:rFonts w:hint="eastAsia"/>
        </w:rPr>
        <w:t>（二）成本费用预测</w:t>
      </w:r>
    </w:p>
    <w:p w14:paraId="22077FE1" w14:textId="77777777" w:rsidR="003442B1" w:rsidRDefault="003442B1" w:rsidP="003442B1">
      <w:pPr>
        <w:pStyle w:val="13"/>
      </w:pPr>
      <w:r>
        <w:rPr>
          <w:rFonts w:hint="eastAsia"/>
        </w:rPr>
        <w:lastRenderedPageBreak/>
        <w:t>资产评估师预测被评估企业的成本费用，应当根据企业历史成本费用构成情况，并结合未来成本费用管理计划进行预测。</w:t>
      </w:r>
    </w:p>
    <w:p w14:paraId="14C1A72B" w14:textId="77777777" w:rsidR="003442B1" w:rsidRDefault="003442B1" w:rsidP="003442B1">
      <w:pPr>
        <w:pStyle w:val="13"/>
      </w:pPr>
      <w:r>
        <w:t>1、常见问题</w:t>
      </w:r>
    </w:p>
    <w:p w14:paraId="6436DA96" w14:textId="2706F8ED" w:rsidR="003442B1" w:rsidRDefault="003442B1" w:rsidP="003442B1">
      <w:pPr>
        <w:pStyle w:val="13"/>
      </w:pPr>
      <w:r>
        <w:rPr>
          <w:rFonts w:hint="eastAsia"/>
        </w:rPr>
        <w:t>一是预测时简单按照近两年平均毛利率确定预测毛利率，针对其中影响较大的项目，</w:t>
      </w:r>
      <w:r>
        <w:t>未结合未来市场情况进行分析、判断和调整。</w:t>
      </w:r>
    </w:p>
    <w:p w14:paraId="276C8EA6" w14:textId="77777777" w:rsidR="003442B1" w:rsidRDefault="003442B1" w:rsidP="003442B1">
      <w:pPr>
        <w:pStyle w:val="13"/>
      </w:pPr>
      <w:r>
        <w:rPr>
          <w:rFonts w:hint="eastAsia"/>
        </w:rPr>
        <w:t>二是对于税收优惠政策，比如高新技术企业税收减免、国家级产业园区政策优惠、西部大开发所得税税收优惠及政府补贴等项目，未能充分分析其政策延续性。</w:t>
      </w:r>
    </w:p>
    <w:p w14:paraId="0AA94E33" w14:textId="77777777" w:rsidR="003442B1" w:rsidRDefault="003442B1" w:rsidP="003442B1">
      <w:pPr>
        <w:pStyle w:val="13"/>
      </w:pPr>
      <w:r>
        <w:rPr>
          <w:rFonts w:hint="eastAsia"/>
        </w:rPr>
        <w:t>三是成本数据预测时，未将被评估企业与可比企业或所处行业进行对比分析，并作为预测参考依据。</w:t>
      </w:r>
    </w:p>
    <w:p w14:paraId="1C29B07A" w14:textId="77777777" w:rsidR="003442B1" w:rsidRDefault="003442B1" w:rsidP="003442B1">
      <w:pPr>
        <w:pStyle w:val="13"/>
      </w:pPr>
      <w:r>
        <w:t>2、监管关注事项</w:t>
      </w:r>
    </w:p>
    <w:p w14:paraId="066409C5" w14:textId="77777777" w:rsidR="003442B1" w:rsidRDefault="003442B1" w:rsidP="003442B1">
      <w:pPr>
        <w:pStyle w:val="13"/>
      </w:pPr>
      <w:r>
        <w:rPr>
          <w:rFonts w:hint="eastAsia"/>
        </w:rPr>
        <w:t>在监管工作中，应当关注并督促资产评估机构在以下方面加强成本预测分析：</w:t>
      </w:r>
    </w:p>
    <w:p w14:paraId="46D78F0D" w14:textId="77777777" w:rsidR="003442B1" w:rsidRDefault="003442B1" w:rsidP="003442B1">
      <w:pPr>
        <w:pStyle w:val="13"/>
      </w:pPr>
      <w:r>
        <w:rPr>
          <w:rFonts w:hint="eastAsia"/>
        </w:rPr>
        <w:t>一是评估人员是否对成本中重要项目进行了单独分析，并对历史数据中非正常因素进行了必要调整。</w:t>
      </w:r>
    </w:p>
    <w:p w14:paraId="5697C04F" w14:textId="77777777" w:rsidR="003442B1" w:rsidRDefault="003442B1" w:rsidP="003442B1">
      <w:pPr>
        <w:pStyle w:val="13"/>
      </w:pPr>
      <w:r>
        <w:rPr>
          <w:rFonts w:hint="eastAsia"/>
        </w:rPr>
        <w:t>二是高新技术企业税收减免、政策补贴需要进行申请和评定，关注评估人员在分析该类事项时，是否结合政策要求，根据企业目前的实际情况，谨慎评估税收优惠、政府补贴是否可以延续，并充分揭示相关风险。</w:t>
      </w:r>
    </w:p>
    <w:p w14:paraId="16B987B2" w14:textId="72B42E0A" w:rsidR="003442B1" w:rsidRDefault="003442B1" w:rsidP="003442B1">
      <w:pPr>
        <w:pStyle w:val="13"/>
      </w:pPr>
      <w:r>
        <w:rPr>
          <w:rFonts w:hint="eastAsia"/>
        </w:rPr>
        <w:t>三是评估人员是否收集同行业及竞争对手（如有）的财务数据，并进行对比分析</w:t>
      </w:r>
      <w:r w:rsidR="003068F8">
        <w:rPr>
          <w:rFonts w:hint="eastAsia"/>
        </w:rPr>
        <w:t>，</w:t>
      </w:r>
      <w:r>
        <w:t>关注差异因素对被评估企业的影响。</w:t>
      </w:r>
    </w:p>
    <w:p w14:paraId="669767D7" w14:textId="77777777" w:rsidR="003442B1" w:rsidRDefault="003442B1" w:rsidP="003442B1">
      <w:pPr>
        <w:pStyle w:val="13"/>
      </w:pPr>
      <w:r>
        <w:rPr>
          <w:rFonts w:hint="eastAsia"/>
        </w:rPr>
        <w:t>（三）折现率选择</w:t>
      </w:r>
    </w:p>
    <w:p w14:paraId="59779B70" w14:textId="77777777" w:rsidR="003442B1" w:rsidRDefault="003442B1" w:rsidP="003442B1">
      <w:pPr>
        <w:pStyle w:val="13"/>
      </w:pPr>
      <w:r>
        <w:rPr>
          <w:rFonts w:hint="eastAsia"/>
        </w:rPr>
        <w:t>资产评估</w:t>
      </w:r>
      <w:proofErr w:type="gramStart"/>
      <w:r>
        <w:rPr>
          <w:rFonts w:hint="eastAsia"/>
        </w:rPr>
        <w:t>师应当</w:t>
      </w:r>
      <w:proofErr w:type="gramEnd"/>
      <w:r>
        <w:rPr>
          <w:rFonts w:hint="eastAsia"/>
        </w:rPr>
        <w:t>综合考虑评估基准日的利率水平、市场投资收益率等资本市场相关信息和所在行业、被评估企业的特定风险等相关因素，合理确定折现率。</w:t>
      </w:r>
    </w:p>
    <w:p w14:paraId="5C930CF3" w14:textId="77777777" w:rsidR="003442B1" w:rsidRDefault="003442B1" w:rsidP="003442B1">
      <w:pPr>
        <w:pStyle w:val="13"/>
      </w:pPr>
      <w:r>
        <w:t>1、常见问题</w:t>
      </w:r>
    </w:p>
    <w:p w14:paraId="1064AA63" w14:textId="77777777" w:rsidR="003442B1" w:rsidRDefault="003442B1" w:rsidP="003442B1">
      <w:pPr>
        <w:pStyle w:val="13"/>
      </w:pPr>
      <w:r>
        <w:rPr>
          <w:rFonts w:hint="eastAsia"/>
        </w:rPr>
        <w:t>一是在确定企业特定风险系数的过程中，风险因素考虑过于简单，缺乏相应的证据支撑，特定风险值确定主观因素较大。</w:t>
      </w:r>
    </w:p>
    <w:p w14:paraId="00E93EDB" w14:textId="77777777" w:rsidR="003442B1" w:rsidRDefault="003442B1" w:rsidP="003442B1">
      <w:pPr>
        <w:pStyle w:val="13"/>
      </w:pPr>
      <w:r>
        <w:rPr>
          <w:rFonts w:hint="eastAsia"/>
        </w:rPr>
        <w:t>二是确定贝塔系数选取的参照公司可比性不强，用经营稳定的公司作为成长期公司的可比对象，且未进行必要的调整，或其他关键指标差异较大且未调整。</w:t>
      </w:r>
    </w:p>
    <w:p w14:paraId="0F1D1574" w14:textId="77777777" w:rsidR="003442B1" w:rsidRDefault="003442B1" w:rsidP="003442B1">
      <w:pPr>
        <w:pStyle w:val="13"/>
      </w:pPr>
      <w:r>
        <w:t>2、监管关注事项</w:t>
      </w:r>
    </w:p>
    <w:p w14:paraId="1CA6EEC5" w14:textId="77777777" w:rsidR="003442B1" w:rsidRDefault="003442B1" w:rsidP="003442B1">
      <w:pPr>
        <w:pStyle w:val="13"/>
      </w:pPr>
      <w:r>
        <w:rPr>
          <w:rFonts w:hint="eastAsia"/>
        </w:rPr>
        <w:t>在监管工作中，应当关注并督促资产评估机构在以下方面加强折现率选择：</w:t>
      </w:r>
    </w:p>
    <w:p w14:paraId="4B22BE41" w14:textId="77777777" w:rsidR="003442B1" w:rsidRDefault="003442B1" w:rsidP="003442B1">
      <w:pPr>
        <w:pStyle w:val="13"/>
      </w:pPr>
      <w:r>
        <w:rPr>
          <w:rFonts w:hint="eastAsia"/>
        </w:rPr>
        <w:t>一是企业的特定风险一般由财务风险、经营风险、管理风险等构成，可以通过考察被评估企业的盈利能力、资产运营能力、偿债能力、发展能力等相关指标以及所处行业进行衡量。由于影响企业特定风险因素很多，应关注评估人员是否结合被评估企业的具体情况，对企业特定风险进行估算，并对照可比企业情况估计相关因素的影响数值。</w:t>
      </w:r>
    </w:p>
    <w:p w14:paraId="0EE9906B" w14:textId="77777777" w:rsidR="003442B1" w:rsidRDefault="003442B1" w:rsidP="003442B1">
      <w:pPr>
        <w:pStyle w:val="13"/>
      </w:pPr>
      <w:r>
        <w:rPr>
          <w:rFonts w:hint="eastAsia"/>
        </w:rPr>
        <w:t>二是评估人员在选取可比公司时，是否综合</w:t>
      </w:r>
      <w:proofErr w:type="gramStart"/>
      <w:r>
        <w:rPr>
          <w:rFonts w:hint="eastAsia"/>
        </w:rPr>
        <w:t>考量</w:t>
      </w:r>
      <w:proofErr w:type="gramEnd"/>
      <w:r>
        <w:rPr>
          <w:rFonts w:hint="eastAsia"/>
        </w:rPr>
        <w:t>了业务结构、经营模式、企业规</w:t>
      </w:r>
      <w:r>
        <w:rPr>
          <w:rFonts w:hint="eastAsia"/>
        </w:rPr>
        <w:lastRenderedPageBreak/>
        <w:t>模、资产配置和使用情况以及被评估企业所处经营阶段、成长性、经营风险、财务风险等因素，尤其是</w:t>
      </w:r>
      <w:r>
        <w:t xml:space="preserve"> TMT 等行业，避免选择标准差异较大的可比公司。</w:t>
      </w:r>
    </w:p>
    <w:p w14:paraId="31561351" w14:textId="77777777" w:rsidR="003442B1" w:rsidRDefault="003442B1" w:rsidP="003442B1">
      <w:pPr>
        <w:pStyle w:val="13"/>
      </w:pPr>
      <w:r>
        <w:rPr>
          <w:rFonts w:hint="eastAsia"/>
        </w:rPr>
        <w:t>三是评估人员在确定折现率时，选取用于计算折现率的相关因素，如无风险收益率等，是否与预期期间口径保持一致，若不一致，是否对折现率的合理性进行分析、判断和调整。</w:t>
      </w:r>
    </w:p>
    <w:p w14:paraId="4E2FD7FA" w14:textId="77777777" w:rsidR="003442B1" w:rsidRDefault="003442B1" w:rsidP="003442B1">
      <w:pPr>
        <w:pStyle w:val="13"/>
      </w:pPr>
      <w:r>
        <w:rPr>
          <w:rFonts w:hint="eastAsia"/>
        </w:rPr>
        <w:t>（四）盈利预测期</w:t>
      </w:r>
    </w:p>
    <w:p w14:paraId="1C7D6B96" w14:textId="77777777" w:rsidR="003442B1" w:rsidRDefault="003442B1" w:rsidP="003442B1">
      <w:pPr>
        <w:pStyle w:val="13"/>
      </w:pPr>
      <w:r>
        <w:rPr>
          <w:rFonts w:hint="eastAsia"/>
        </w:rPr>
        <w:t>资产评估</w:t>
      </w:r>
      <w:proofErr w:type="gramStart"/>
      <w:r>
        <w:rPr>
          <w:rFonts w:hint="eastAsia"/>
        </w:rPr>
        <w:t>师应当</w:t>
      </w:r>
      <w:proofErr w:type="gramEnd"/>
      <w:r>
        <w:rPr>
          <w:rFonts w:hint="eastAsia"/>
        </w:rPr>
        <w:t>在对企业收入成本结构、资本结构、资本性支出、投资收益和风险水平等综合分析的基础上，结合宏观政策、行业周期及其他影响企业进入稳定期的因素合理确定预测期。</w:t>
      </w:r>
    </w:p>
    <w:p w14:paraId="12952433" w14:textId="77777777" w:rsidR="003442B1" w:rsidRDefault="003442B1" w:rsidP="003442B1">
      <w:pPr>
        <w:pStyle w:val="13"/>
      </w:pPr>
      <w:r>
        <w:t>1、常见问题</w:t>
      </w:r>
    </w:p>
    <w:p w14:paraId="7E9A6FAC" w14:textId="77777777" w:rsidR="003442B1" w:rsidRDefault="003442B1" w:rsidP="003442B1">
      <w:pPr>
        <w:pStyle w:val="13"/>
      </w:pPr>
      <w:r>
        <w:rPr>
          <w:rFonts w:hint="eastAsia"/>
        </w:rPr>
        <w:t>一是被评估企业的产品或服务更新换代较快、生命周期短，如影视、游戏等</w:t>
      </w:r>
      <w:r>
        <w:t xml:space="preserve"> TMT 产业，预测期未能充分考虑产品特点及经营模式进行预测。</w:t>
      </w:r>
    </w:p>
    <w:p w14:paraId="05BB0DB4" w14:textId="77777777" w:rsidR="003442B1" w:rsidRDefault="003442B1" w:rsidP="003442B1">
      <w:pPr>
        <w:pStyle w:val="13"/>
      </w:pPr>
      <w:r>
        <w:rPr>
          <w:rFonts w:hint="eastAsia"/>
        </w:rPr>
        <w:t>二是预测期达到稳定状态的时间点不合理。</w:t>
      </w:r>
    </w:p>
    <w:p w14:paraId="74095B60" w14:textId="77777777" w:rsidR="003442B1" w:rsidRDefault="003442B1" w:rsidP="003442B1">
      <w:pPr>
        <w:pStyle w:val="13"/>
      </w:pPr>
      <w:r>
        <w:t>2、监管关注事项</w:t>
      </w:r>
    </w:p>
    <w:p w14:paraId="2603596E" w14:textId="77777777" w:rsidR="003442B1" w:rsidRDefault="003442B1" w:rsidP="003442B1">
      <w:pPr>
        <w:pStyle w:val="13"/>
      </w:pPr>
      <w:r>
        <w:rPr>
          <w:rFonts w:hint="eastAsia"/>
        </w:rPr>
        <w:t>在监管工作中，应当关注并督促资产评估机构在以下方面合理确定预测期：</w:t>
      </w:r>
    </w:p>
    <w:p w14:paraId="698A85A2" w14:textId="77777777" w:rsidR="003442B1" w:rsidRDefault="003442B1" w:rsidP="003442B1">
      <w:pPr>
        <w:pStyle w:val="13"/>
      </w:pPr>
      <w:r>
        <w:rPr>
          <w:rFonts w:hint="eastAsia"/>
        </w:rPr>
        <w:t>一是评估人员是否结合企业产品特点、产品更新换代情况、所属细分行业生命周期、近期投资计划等因素，合理确定预测期限。</w:t>
      </w:r>
    </w:p>
    <w:p w14:paraId="02358C4B" w14:textId="77777777" w:rsidR="003442B1" w:rsidRDefault="003442B1" w:rsidP="003442B1">
      <w:pPr>
        <w:pStyle w:val="13"/>
      </w:pPr>
      <w:r>
        <w:rPr>
          <w:rFonts w:hint="eastAsia"/>
        </w:rPr>
        <w:t>二是预测期是从评估基准日起，至企业经营达到“稳定状态”的期限，通常判断稳定状态的判断条件包括：</w:t>
      </w:r>
    </w:p>
    <w:p w14:paraId="5B53D710" w14:textId="77777777" w:rsidR="003442B1" w:rsidRDefault="003442B1" w:rsidP="003442B1">
      <w:pPr>
        <w:pStyle w:val="13"/>
      </w:pPr>
      <w:r>
        <w:t>1、企业收入成本结构基本接近行业平均水平，收入成本结构基本定型；</w:t>
      </w:r>
    </w:p>
    <w:p w14:paraId="3A6E5509" w14:textId="77777777" w:rsidR="003442B1" w:rsidRDefault="003442B1" w:rsidP="003442B1">
      <w:pPr>
        <w:pStyle w:val="13"/>
      </w:pPr>
      <w:r>
        <w:t>2、企业资本结构逐渐接近行业平均水平或企业的目标资本结构；</w:t>
      </w:r>
    </w:p>
    <w:p w14:paraId="418731E9" w14:textId="679EF8FF" w:rsidR="003442B1" w:rsidRDefault="003442B1" w:rsidP="0036576E">
      <w:pPr>
        <w:pStyle w:val="13"/>
      </w:pPr>
      <w:r>
        <w:t>3、资本性支出，企业的投资活动趋于减少，企业只对现有生产能力进行简单更新、</w:t>
      </w:r>
      <w:r>
        <w:rPr>
          <w:rFonts w:hint="eastAsia"/>
        </w:rPr>
        <w:t>常规改进及升级；</w:t>
      </w:r>
    </w:p>
    <w:p w14:paraId="5489C43F" w14:textId="77777777" w:rsidR="0036576E" w:rsidRDefault="003442B1" w:rsidP="003442B1">
      <w:pPr>
        <w:pStyle w:val="13"/>
      </w:pPr>
      <w:r>
        <w:t>4、投资收益、风险水平逐渐接近行业平均水平或市场平均水平。</w:t>
      </w:r>
    </w:p>
    <w:p w14:paraId="7A92833E" w14:textId="58C339B5" w:rsidR="003442B1" w:rsidRDefault="003442B1" w:rsidP="0036576E">
      <w:pPr>
        <w:pStyle w:val="ab"/>
        <w:spacing w:before="62" w:after="62"/>
        <w:ind w:firstLine="482"/>
      </w:pPr>
      <w:r>
        <w:t>五、重要事项披露</w:t>
      </w:r>
    </w:p>
    <w:p w14:paraId="61C1EC4A" w14:textId="77777777" w:rsidR="003442B1" w:rsidRDefault="003442B1" w:rsidP="003442B1">
      <w:pPr>
        <w:pStyle w:val="13"/>
      </w:pPr>
      <w:r>
        <w:rPr>
          <w:rFonts w:hint="eastAsia"/>
        </w:rPr>
        <w:t>资产评估</w:t>
      </w:r>
      <w:proofErr w:type="gramStart"/>
      <w:r>
        <w:rPr>
          <w:rFonts w:hint="eastAsia"/>
        </w:rPr>
        <w:t>师执行</w:t>
      </w:r>
      <w:proofErr w:type="gramEnd"/>
      <w:r>
        <w:rPr>
          <w:rFonts w:hint="eastAsia"/>
        </w:rPr>
        <w:t>企业价值评估业务，应当在评估报告中披露必要的信息，客观、公正的描述企业，充分揭示市场转化风险、可能面临的处罚风险等事项，加强对期后事项的分析和披露。</w:t>
      </w:r>
    </w:p>
    <w:p w14:paraId="6792BC01" w14:textId="77777777" w:rsidR="003442B1" w:rsidRDefault="003442B1" w:rsidP="003442B1">
      <w:pPr>
        <w:pStyle w:val="13"/>
      </w:pPr>
      <w:r>
        <w:rPr>
          <w:rFonts w:hint="eastAsia"/>
        </w:rPr>
        <w:t>（一）企业描述</w:t>
      </w:r>
    </w:p>
    <w:p w14:paraId="03436C80" w14:textId="77777777" w:rsidR="003442B1" w:rsidRDefault="003442B1" w:rsidP="003442B1">
      <w:pPr>
        <w:pStyle w:val="13"/>
      </w:pPr>
      <w:r>
        <w:t>1、常见问题</w:t>
      </w:r>
    </w:p>
    <w:p w14:paraId="4CA620D3" w14:textId="77777777" w:rsidR="003442B1" w:rsidRDefault="003442B1" w:rsidP="003442B1">
      <w:pPr>
        <w:pStyle w:val="13"/>
      </w:pPr>
      <w:r>
        <w:rPr>
          <w:rFonts w:hint="eastAsia"/>
        </w:rPr>
        <w:t>一是未对企业生产技术工艺进行充分的调查核实，或者调查内容超出了评估师的执业能力，</w:t>
      </w:r>
      <w:proofErr w:type="gramStart"/>
      <w:r>
        <w:rPr>
          <w:rFonts w:hint="eastAsia"/>
        </w:rPr>
        <w:t>评估师未借助</w:t>
      </w:r>
      <w:proofErr w:type="gramEnd"/>
      <w:r>
        <w:rPr>
          <w:rFonts w:hint="eastAsia"/>
        </w:rPr>
        <w:t>专业人员开展工作，在报告中依赖企业的宣传材料，或对被评估企业的优势因素故意夸大描述。</w:t>
      </w:r>
    </w:p>
    <w:p w14:paraId="1C460C95" w14:textId="443A8984" w:rsidR="003442B1" w:rsidRDefault="003442B1" w:rsidP="003442B1">
      <w:pPr>
        <w:pStyle w:val="13"/>
      </w:pPr>
      <w:r>
        <w:rPr>
          <w:rFonts w:hint="eastAsia"/>
        </w:rPr>
        <w:t>二是不能客观描述企业的状况，过分强调企业的优势因素，以支持乐观的预测数</w:t>
      </w:r>
      <w:r>
        <w:rPr>
          <w:rFonts w:hint="eastAsia"/>
        </w:rPr>
        <w:lastRenderedPageBreak/>
        <w:t>据，</w:t>
      </w:r>
      <w:r>
        <w:t>忽略了目前持续优势和超出平均水平回报率面临市场竞争难以持续的风险。</w:t>
      </w:r>
    </w:p>
    <w:p w14:paraId="465D7703" w14:textId="77777777" w:rsidR="003442B1" w:rsidRDefault="003442B1" w:rsidP="003442B1">
      <w:pPr>
        <w:pStyle w:val="13"/>
      </w:pPr>
      <w:r>
        <w:t>2、监管关注事项</w:t>
      </w:r>
    </w:p>
    <w:p w14:paraId="0AAB817D" w14:textId="77777777" w:rsidR="003442B1" w:rsidRDefault="003442B1" w:rsidP="003442B1">
      <w:pPr>
        <w:pStyle w:val="13"/>
      </w:pPr>
      <w:r>
        <w:rPr>
          <w:rFonts w:hint="eastAsia"/>
        </w:rPr>
        <w:t>在监管工作中，应当关注并督促资产评估机构在以下方面加强企业描述分析：</w:t>
      </w:r>
    </w:p>
    <w:p w14:paraId="5EC76A24" w14:textId="14BA649F" w:rsidR="003442B1" w:rsidRDefault="003442B1" w:rsidP="0036576E">
      <w:pPr>
        <w:pStyle w:val="13"/>
      </w:pPr>
      <w:r>
        <w:rPr>
          <w:rFonts w:hint="eastAsia"/>
        </w:rPr>
        <w:t>一是评估人员是否收集整理了企业声誉、行业地位、资质、技术等方面资料，并通过实施相应的评估程序，对其真实性进行必要的调查和核实，以全面客观的掌握企业情况。</w:t>
      </w:r>
    </w:p>
    <w:p w14:paraId="23AB8448" w14:textId="4DB2EF2B" w:rsidR="003442B1" w:rsidRDefault="003442B1" w:rsidP="0036576E">
      <w:pPr>
        <w:pStyle w:val="13"/>
      </w:pPr>
      <w:r>
        <w:rPr>
          <w:rFonts w:hint="eastAsia"/>
        </w:rPr>
        <w:t>二是影视、游戏等</w:t>
      </w:r>
      <w:r>
        <w:t xml:space="preserve"> TMT 行业具有产品新、业务类型新或经营模式新等特点，其市</w:t>
      </w:r>
      <w:r>
        <w:rPr>
          <w:rFonts w:hint="eastAsia"/>
        </w:rPr>
        <w:t>场接受程度有待考验。因此在对该类行业进行盈利预测时，通常需要关注被评估企业市场接受程度，以及业务或经营模式的市场风险，包括技术成熟度风险、技术替代风险、政策风险等。</w:t>
      </w:r>
    </w:p>
    <w:p w14:paraId="05FE7169" w14:textId="77777777" w:rsidR="003442B1" w:rsidRDefault="003442B1" w:rsidP="003442B1">
      <w:pPr>
        <w:pStyle w:val="13"/>
      </w:pPr>
      <w:r>
        <w:rPr>
          <w:rFonts w:hint="eastAsia"/>
        </w:rPr>
        <w:t>（二）市场转化风险揭示</w:t>
      </w:r>
    </w:p>
    <w:p w14:paraId="0D5185EA" w14:textId="77777777" w:rsidR="003442B1" w:rsidRDefault="003442B1" w:rsidP="003442B1">
      <w:pPr>
        <w:pStyle w:val="13"/>
      </w:pPr>
      <w:r>
        <w:t>1、常见问题</w:t>
      </w:r>
    </w:p>
    <w:p w14:paraId="0B8B2167" w14:textId="77777777" w:rsidR="003442B1" w:rsidRDefault="003442B1" w:rsidP="003442B1">
      <w:pPr>
        <w:pStyle w:val="13"/>
      </w:pPr>
      <w:r>
        <w:rPr>
          <w:rFonts w:hint="eastAsia"/>
        </w:rPr>
        <w:t>一是对于处于市场开拓期的企业，客户的增速及开发转化率存在较大不确定性，未来经营面临较大的市场转化风险，评估时未充分考虑该风险对预测数据的影响。对于未来有新业务开拓计划的企业，未充分披露该类业务无法顺利开展的市场风险。</w:t>
      </w:r>
    </w:p>
    <w:p w14:paraId="3EB176ED" w14:textId="648E226E" w:rsidR="003442B1" w:rsidRDefault="003442B1" w:rsidP="0036576E">
      <w:pPr>
        <w:pStyle w:val="13"/>
      </w:pPr>
      <w:r>
        <w:rPr>
          <w:rFonts w:hint="eastAsia"/>
        </w:rPr>
        <w:t>二是对于未来进行业务结构调整的企业，毛利率较低的收入占比逐年降低，毛利率较高的业务占</w:t>
      </w:r>
      <w:proofErr w:type="gramStart"/>
      <w:r>
        <w:rPr>
          <w:rFonts w:hint="eastAsia"/>
        </w:rPr>
        <w:t>比逐渐</w:t>
      </w:r>
      <w:proofErr w:type="gramEnd"/>
      <w:r>
        <w:rPr>
          <w:rFonts w:hint="eastAsia"/>
        </w:rPr>
        <w:t>提高，未充分披露市场竞争加剧可能面临的风险以及自身的应对措施。</w:t>
      </w:r>
    </w:p>
    <w:p w14:paraId="392C39EA" w14:textId="77777777" w:rsidR="003442B1" w:rsidRDefault="003442B1" w:rsidP="003442B1">
      <w:pPr>
        <w:pStyle w:val="13"/>
      </w:pPr>
      <w:r>
        <w:rPr>
          <w:rFonts w:hint="eastAsia"/>
        </w:rPr>
        <w:t>三是对于在建或在</w:t>
      </w:r>
      <w:proofErr w:type="gramStart"/>
      <w:r>
        <w:rPr>
          <w:rFonts w:hint="eastAsia"/>
        </w:rPr>
        <w:t>研</w:t>
      </w:r>
      <w:proofErr w:type="gramEnd"/>
      <w:r>
        <w:rPr>
          <w:rFonts w:hint="eastAsia"/>
        </w:rPr>
        <w:t>项目，未充分披露项目最新进展、各阶段所需时间、可能面临的风险等情况，以及预期获批投产并能达到预期产率是否存在实质性障碍等。</w:t>
      </w:r>
    </w:p>
    <w:p w14:paraId="70B69B59" w14:textId="77777777" w:rsidR="003442B1" w:rsidRDefault="003442B1" w:rsidP="003442B1">
      <w:pPr>
        <w:pStyle w:val="13"/>
      </w:pPr>
      <w:r>
        <w:rPr>
          <w:rFonts w:hint="eastAsia"/>
        </w:rPr>
        <w:t>四是报告中过多强调了企业内部组织优化、推广措施、业务结构调整等因素导致的毛利率上升，未充分考虑行业竞争加剧致使市场拓展不能如期实现的风险。</w:t>
      </w:r>
    </w:p>
    <w:p w14:paraId="2872A144" w14:textId="77777777" w:rsidR="003442B1" w:rsidRDefault="003442B1" w:rsidP="003442B1">
      <w:pPr>
        <w:pStyle w:val="13"/>
      </w:pPr>
      <w:r>
        <w:t>2、监管关注事项</w:t>
      </w:r>
    </w:p>
    <w:p w14:paraId="5FA93D97" w14:textId="77777777" w:rsidR="0036576E" w:rsidRDefault="003442B1" w:rsidP="0036576E">
      <w:pPr>
        <w:pStyle w:val="13"/>
      </w:pPr>
      <w:r>
        <w:rPr>
          <w:rFonts w:hint="eastAsia"/>
        </w:rPr>
        <w:t>在监管工作中，应当关注并督促资产评估机构在以下方面加强市场转化风险揭示：</w:t>
      </w:r>
    </w:p>
    <w:p w14:paraId="5C9DD66A" w14:textId="26CE9EA7" w:rsidR="003442B1" w:rsidRDefault="003442B1" w:rsidP="0036576E">
      <w:pPr>
        <w:pStyle w:val="13"/>
      </w:pPr>
      <w:r>
        <w:t>一是对于处于市场开拓期的企业，评估人员是否结合企业的市场开拓策略和市场需</w:t>
      </w:r>
      <w:r>
        <w:rPr>
          <w:rFonts w:hint="eastAsia"/>
        </w:rPr>
        <w:t>求情况进行盈利预测，是否对开拓过程中的竞争风险、产品不被市场接受风险、开拓投入产出不经济等风险进行充分揭示，必要时进行情景分析获取多种可能性，形成合理的盈利预测区间数据。</w:t>
      </w:r>
    </w:p>
    <w:p w14:paraId="2E377780" w14:textId="77777777" w:rsidR="003442B1" w:rsidRDefault="003442B1" w:rsidP="003442B1">
      <w:pPr>
        <w:pStyle w:val="13"/>
      </w:pPr>
      <w:r>
        <w:rPr>
          <w:rFonts w:hint="eastAsia"/>
        </w:rPr>
        <w:t>二是被评估企业未来有新业务开拓计划或者对存量业务结构进行调整时，或者有在建在</w:t>
      </w:r>
      <w:proofErr w:type="gramStart"/>
      <w:r>
        <w:rPr>
          <w:rFonts w:hint="eastAsia"/>
        </w:rPr>
        <w:t>研</w:t>
      </w:r>
      <w:proofErr w:type="gramEnd"/>
      <w:r>
        <w:rPr>
          <w:rFonts w:hint="eastAsia"/>
        </w:rPr>
        <w:t>项目，评估人员是否取得盈利预测的可靠依据，并充分揭示未来新业务、新产品拓展存在的风险。</w:t>
      </w:r>
    </w:p>
    <w:p w14:paraId="20F03EEC" w14:textId="77777777" w:rsidR="003442B1" w:rsidRDefault="003442B1" w:rsidP="003442B1">
      <w:pPr>
        <w:pStyle w:val="13"/>
      </w:pPr>
      <w:r>
        <w:rPr>
          <w:rFonts w:hint="eastAsia"/>
        </w:rPr>
        <w:t>三是评估人员在现场调查过程中，是否收集了企业优化经营管理所采取措施的落实情况，全面评价企业所采取的积极措施对提升未来盈利能力的可行性，并充分揭</w:t>
      </w:r>
      <w:r>
        <w:rPr>
          <w:rFonts w:hint="eastAsia"/>
        </w:rPr>
        <w:lastRenderedPageBreak/>
        <w:t>示其面临的各类风险。</w:t>
      </w:r>
    </w:p>
    <w:p w14:paraId="3BAA99E8" w14:textId="77777777" w:rsidR="003442B1" w:rsidRDefault="003442B1" w:rsidP="003442B1">
      <w:pPr>
        <w:pStyle w:val="13"/>
      </w:pPr>
      <w:r>
        <w:rPr>
          <w:rFonts w:hint="eastAsia"/>
        </w:rPr>
        <w:t>四是针对部分重组标的盈利预测主要依据与潜在客户签订的框架协议，且该协议缺乏相应法律约束的项目评估中，评估师对该框架协议的披露情况，包括框架协议支撑的业务额占盈利预测总额的比例以及框架协议对潜在客户的法律效力。</w:t>
      </w:r>
    </w:p>
    <w:p w14:paraId="1ADF3FA3" w14:textId="77777777" w:rsidR="003442B1" w:rsidRDefault="003442B1" w:rsidP="003442B1">
      <w:pPr>
        <w:pStyle w:val="13"/>
      </w:pPr>
      <w:r>
        <w:rPr>
          <w:rFonts w:hint="eastAsia"/>
        </w:rPr>
        <w:t>（三）可能面临的处罚风险揭示</w:t>
      </w:r>
    </w:p>
    <w:p w14:paraId="01990857" w14:textId="77777777" w:rsidR="003442B1" w:rsidRDefault="003442B1" w:rsidP="003442B1">
      <w:pPr>
        <w:pStyle w:val="13"/>
      </w:pPr>
      <w:r>
        <w:t>1、常见问题</w:t>
      </w:r>
    </w:p>
    <w:p w14:paraId="66E1A6F4" w14:textId="77777777" w:rsidR="003442B1" w:rsidRDefault="003442B1" w:rsidP="003442B1">
      <w:pPr>
        <w:pStyle w:val="13"/>
      </w:pPr>
      <w:r>
        <w:rPr>
          <w:rFonts w:hint="eastAsia"/>
        </w:rPr>
        <w:t>未充分披露标的资产可能存在产品生产受限、面临行政处罚甚至被吊销相关许可证或被市场禁入等风险，未披露对评估值的影响以及应对措施。</w:t>
      </w:r>
    </w:p>
    <w:p w14:paraId="79CEC511" w14:textId="77777777" w:rsidR="003442B1" w:rsidRDefault="003442B1" w:rsidP="003442B1">
      <w:pPr>
        <w:pStyle w:val="13"/>
      </w:pPr>
      <w:r>
        <w:t>2、监管关注事项</w:t>
      </w:r>
    </w:p>
    <w:p w14:paraId="0C6B0E19" w14:textId="77777777" w:rsidR="003442B1" w:rsidRDefault="003442B1" w:rsidP="003442B1">
      <w:pPr>
        <w:pStyle w:val="13"/>
      </w:pPr>
      <w:r>
        <w:rPr>
          <w:rFonts w:hint="eastAsia"/>
        </w:rPr>
        <w:t>在监管工作中，应当关注并督促资产评估机构在以下方面加强可能面临的处罚风险揭示：</w:t>
      </w:r>
    </w:p>
    <w:p w14:paraId="0C5A19D3" w14:textId="77777777" w:rsidR="003442B1" w:rsidRDefault="003442B1" w:rsidP="003442B1">
      <w:pPr>
        <w:pStyle w:val="13"/>
      </w:pPr>
      <w:r>
        <w:rPr>
          <w:rFonts w:hint="eastAsia"/>
        </w:rPr>
        <w:t>评估人员是否对产品的生产、销售情况进行深入调研，对于有迹象表明可能出现产品不能正常交付或销售时，需要在盈利预测时考虑该风险的影响，并充分揭示该风险。</w:t>
      </w:r>
    </w:p>
    <w:p w14:paraId="779D628E" w14:textId="77777777" w:rsidR="003442B1" w:rsidRDefault="003442B1" w:rsidP="003442B1">
      <w:pPr>
        <w:pStyle w:val="13"/>
      </w:pPr>
      <w:r>
        <w:rPr>
          <w:rFonts w:hint="eastAsia"/>
        </w:rPr>
        <w:t>（四）期后事项</w:t>
      </w:r>
    </w:p>
    <w:p w14:paraId="6BDAD68C" w14:textId="77777777" w:rsidR="003442B1" w:rsidRDefault="003442B1" w:rsidP="003442B1">
      <w:pPr>
        <w:pStyle w:val="13"/>
      </w:pPr>
      <w:r>
        <w:t>1、常见问题</w:t>
      </w:r>
    </w:p>
    <w:p w14:paraId="4565A787" w14:textId="77777777" w:rsidR="003442B1" w:rsidRDefault="003442B1" w:rsidP="003442B1">
      <w:pPr>
        <w:pStyle w:val="13"/>
      </w:pPr>
      <w:r>
        <w:rPr>
          <w:rFonts w:hint="eastAsia"/>
        </w:rPr>
        <w:t>未充分关注现场工作结束后至出具报告日之前的重大事项，造成重大遗漏；针对特别事项披露的诉讼、仲裁、处罚事项，未披露其进展及对本次交易评估值的影响。</w:t>
      </w:r>
    </w:p>
    <w:p w14:paraId="67D8CAD2" w14:textId="77777777" w:rsidR="003442B1" w:rsidRDefault="003442B1" w:rsidP="003442B1">
      <w:pPr>
        <w:pStyle w:val="13"/>
      </w:pPr>
      <w:r>
        <w:t>2、监管关注事项</w:t>
      </w:r>
    </w:p>
    <w:p w14:paraId="647A2974" w14:textId="02E9BFE5" w:rsidR="009E1543" w:rsidRDefault="003442B1" w:rsidP="003442B1">
      <w:pPr>
        <w:pStyle w:val="13"/>
      </w:pPr>
      <w:r>
        <w:rPr>
          <w:rFonts w:hint="eastAsia"/>
        </w:rPr>
        <w:t>评估人员是否了解现场工作结束后至出具报告</w:t>
      </w:r>
      <w:proofErr w:type="gramStart"/>
      <w:r>
        <w:rPr>
          <w:rFonts w:hint="eastAsia"/>
        </w:rPr>
        <w:t>日前企业</w:t>
      </w:r>
      <w:proofErr w:type="gramEnd"/>
      <w:r>
        <w:rPr>
          <w:rFonts w:hint="eastAsia"/>
        </w:rPr>
        <w:t>发生的重大事项，是否充分关注到政策环境、行业环境发生的重大变化，并据此在评估报告中披露该事项及其影响程度。</w:t>
      </w:r>
    </w:p>
    <w:p w14:paraId="69FED306" w14:textId="1D0B4041" w:rsidR="009E1543" w:rsidRDefault="0036576E" w:rsidP="0036576E">
      <w:pPr>
        <w:pStyle w:val="31"/>
        <w:spacing w:before="156" w:after="62"/>
      </w:pPr>
      <w:bookmarkStart w:id="94" w:name="_Toc81833357"/>
      <w:r w:rsidRPr="0036576E">
        <w:rPr>
          <w:rFonts w:hint="eastAsia"/>
        </w:rPr>
        <w:t>会计监管风险提示第</w:t>
      </w:r>
      <w:r w:rsidRPr="0036576E">
        <w:t>8号—商誉减值</w:t>
      </w:r>
      <w:bookmarkEnd w:id="94"/>
    </w:p>
    <w:p w14:paraId="251BB8CB" w14:textId="7D577FD0" w:rsidR="0036576E" w:rsidRDefault="0036576E" w:rsidP="0036576E">
      <w:pPr>
        <w:pStyle w:val="13"/>
      </w:pPr>
      <w:r>
        <w:rPr>
          <w:rFonts w:hint="eastAsia"/>
        </w:rPr>
        <w:t>为强化商誉减值的会计监管，进一步规范上市公司商誉减值的会计处理及信息披露</w:t>
      </w:r>
      <w:r w:rsidR="003068F8">
        <w:rPr>
          <w:rFonts w:hint="eastAsia"/>
        </w:rPr>
        <w:t>，</w:t>
      </w:r>
      <w:r>
        <w:t xml:space="preserve">督促会计师事务所、资产评估机构及其从业人员勤勉尽责、规范执业，提高资本市场会 </w:t>
      </w:r>
      <w:proofErr w:type="gramStart"/>
      <w:r>
        <w:t>计信息</w:t>
      </w:r>
      <w:proofErr w:type="gramEnd"/>
      <w:r>
        <w:t>披露质量，根据《企业会计准则》《中国注册会计师执业准则》《资产评估准则》</w:t>
      </w:r>
    </w:p>
    <w:p w14:paraId="338D0E13" w14:textId="2D5C5E0F" w:rsidR="0036576E" w:rsidRDefault="0036576E" w:rsidP="0036576E">
      <w:pPr>
        <w:pStyle w:val="13"/>
      </w:pPr>
      <w:r>
        <w:rPr>
          <w:rFonts w:hint="eastAsia"/>
        </w:rPr>
        <w:t>《公开发行证券的公司信息披露编报规则第</w:t>
      </w:r>
      <w:r>
        <w:t xml:space="preserve"> 15号—财务报告的一般规定（2014年修订）》（证监会公告〔2014〕54号）等有关规定，现就商誉减值的会计监管风险进行提示。</w:t>
      </w:r>
    </w:p>
    <w:p w14:paraId="5472E647" w14:textId="48A0CE78" w:rsidR="0036576E" w:rsidRDefault="0036576E" w:rsidP="0036576E">
      <w:pPr>
        <w:pStyle w:val="13"/>
      </w:pPr>
      <w:r>
        <w:rPr>
          <w:rFonts w:hint="eastAsia"/>
        </w:rPr>
        <w:t>对拟上市公司、新三板公司等其他资本市场主体商誉减值事项的监管，参照本提示。按照《企业会计准则第</w:t>
      </w:r>
      <w:r>
        <w:t xml:space="preserve"> 20号—企业合并》的规定，在非同</w:t>
      </w:r>
      <w:proofErr w:type="gramStart"/>
      <w:r>
        <w:t>一控制</w:t>
      </w:r>
      <w:proofErr w:type="gramEnd"/>
      <w:r>
        <w:t>下的企业合并</w:t>
      </w:r>
      <w:r>
        <w:rPr>
          <w:rFonts w:hint="eastAsia"/>
        </w:rPr>
        <w:t>中，购买方对合并成本大于合并中取得的被购买方可辨认净资产公允价值份额的差</w:t>
      </w:r>
      <w:r>
        <w:rPr>
          <w:rFonts w:hint="eastAsia"/>
        </w:rPr>
        <w:lastRenderedPageBreak/>
        <w:t>额</w:t>
      </w:r>
      <w:r w:rsidR="003068F8">
        <w:rPr>
          <w:rFonts w:hint="eastAsia"/>
        </w:rPr>
        <w:t>，</w:t>
      </w:r>
      <w:r>
        <w:t>应当确认为商誉。在实务操作中，公司在商誉初始确认环节，往往存在合并成本计量错误（如未考虑或恰当考虑应计入合并成本中的或有对价）、未充分识别被购买方拥有但未在单独报表中确认的可辨认资产和负债（如合同权益、客户关系、未决诉讼、担保） 等问题。相应地，会计师事务所在执业时，容易出现专业胜任能力不足、利用专家工作的审计程序执行不到位、未恰当识别公司前述不当会计处理等问题；资产评估机构在执业时，通常存在评估基准</w:t>
      </w:r>
      <w:proofErr w:type="gramStart"/>
      <w:r>
        <w:t>日选择</w:t>
      </w:r>
      <w:proofErr w:type="gramEnd"/>
      <w:r>
        <w:t>不恰当、评估对象及评估范</w:t>
      </w:r>
      <w:r>
        <w:rPr>
          <w:rFonts w:hint="eastAsia"/>
        </w:rPr>
        <w:t>围确定不合理、评估目的及评估价值类型不匹配等问题。</w:t>
      </w:r>
    </w:p>
    <w:p w14:paraId="59F973CC" w14:textId="77777777" w:rsidR="0036576E" w:rsidRDefault="0036576E" w:rsidP="0036576E">
      <w:pPr>
        <w:pStyle w:val="13"/>
      </w:pPr>
      <w:r>
        <w:rPr>
          <w:rFonts w:hint="eastAsia"/>
        </w:rPr>
        <w:t>本提示旨在揭示商誉后续计量环节的有关会计监管风险，不对前述提及的商誉初始确认环节的有关会计监管风险专门提示。</w:t>
      </w:r>
    </w:p>
    <w:p w14:paraId="3FF811A1" w14:textId="1C6140A3" w:rsidR="0036576E" w:rsidRDefault="0036576E" w:rsidP="0036576E">
      <w:pPr>
        <w:pStyle w:val="ab"/>
        <w:spacing w:before="62" w:after="62"/>
        <w:ind w:firstLine="482"/>
      </w:pPr>
      <w:r>
        <w:rPr>
          <w:rFonts w:hint="eastAsia"/>
        </w:rPr>
        <w:t>一、商誉减值的会计处理及信息披露</w:t>
      </w:r>
    </w:p>
    <w:p w14:paraId="2AC91F9C" w14:textId="77777777" w:rsidR="0036576E" w:rsidRDefault="0036576E" w:rsidP="0036576E">
      <w:pPr>
        <w:pStyle w:val="13"/>
      </w:pPr>
      <w:r>
        <w:rPr>
          <w:rFonts w:hint="eastAsia"/>
        </w:rPr>
        <w:t>（一）定期或及时进行商</w:t>
      </w:r>
      <w:proofErr w:type="gramStart"/>
      <w:r>
        <w:rPr>
          <w:rFonts w:hint="eastAsia"/>
        </w:rPr>
        <w:t>誉</w:t>
      </w:r>
      <w:proofErr w:type="gramEnd"/>
      <w:r>
        <w:rPr>
          <w:rFonts w:hint="eastAsia"/>
        </w:rPr>
        <w:t>减值测试，并重点关注特定减值迹象</w:t>
      </w:r>
    </w:p>
    <w:p w14:paraId="00CE8083" w14:textId="77777777" w:rsidR="0036576E" w:rsidRDefault="0036576E" w:rsidP="0036576E">
      <w:pPr>
        <w:pStyle w:val="13"/>
      </w:pPr>
      <w:r>
        <w:rPr>
          <w:rFonts w:hint="eastAsia"/>
        </w:rPr>
        <w:t>按照《企业会计准则第</w:t>
      </w:r>
      <w:r>
        <w:t xml:space="preserve"> 8号—资产减值》的规定，公司应当在资产负债表</w:t>
      </w:r>
      <w:proofErr w:type="gramStart"/>
      <w:r>
        <w:t>日判断</w:t>
      </w:r>
      <w:proofErr w:type="gramEnd"/>
      <w:r>
        <w:t>是否存在可能发生资产减值的迹象。对企业合并所形成的商誉，公司应当至少在每年年度终了进行减值测试。</w:t>
      </w:r>
    </w:p>
    <w:p w14:paraId="0D24D718" w14:textId="2658FA52" w:rsidR="0036576E" w:rsidRDefault="0036576E" w:rsidP="0036576E">
      <w:pPr>
        <w:pStyle w:val="13"/>
      </w:pPr>
      <w:r>
        <w:t>1.常见问题</w:t>
      </w:r>
    </w:p>
    <w:p w14:paraId="7B0E2099" w14:textId="77777777" w:rsidR="0036576E" w:rsidRDefault="0036576E" w:rsidP="0036576E">
      <w:pPr>
        <w:pStyle w:val="13"/>
      </w:pPr>
      <w:r>
        <w:rPr>
          <w:rFonts w:hint="eastAsia"/>
        </w:rPr>
        <w:t>公司在确定商誉减值测试时点时，通常存在以下问题：</w:t>
      </w:r>
    </w:p>
    <w:p w14:paraId="595C5B5B" w14:textId="453E1DE8" w:rsidR="0036576E" w:rsidRDefault="0036576E" w:rsidP="0036576E">
      <w:pPr>
        <w:pStyle w:val="13"/>
      </w:pPr>
      <w:r>
        <w:t>第一，</w:t>
      </w:r>
      <w:proofErr w:type="gramStart"/>
      <w:r>
        <w:t>未至少</w:t>
      </w:r>
      <w:proofErr w:type="gramEnd"/>
      <w:r>
        <w:t>在每年年度终了进行商</w:t>
      </w:r>
      <w:proofErr w:type="gramStart"/>
      <w:r>
        <w:t>誉</w:t>
      </w:r>
      <w:proofErr w:type="gramEnd"/>
      <w:r>
        <w:t>减值测试。</w:t>
      </w:r>
    </w:p>
    <w:p w14:paraId="47299AC5" w14:textId="77777777" w:rsidR="0036576E" w:rsidRDefault="0036576E" w:rsidP="0036576E">
      <w:pPr>
        <w:pStyle w:val="13"/>
      </w:pPr>
      <w:r>
        <w:rPr>
          <w:rFonts w:hint="eastAsia"/>
        </w:rPr>
        <w:t>第二，未充分关注商誉所在资产组或资产组组合的宏观环境、行业环境、实际经营状况及未来经营规划等因素，未合理判断商誉是否存在减值迹象。在商誉出现特定减值迹象时，未及时进行减值测试，且无合理理由。</w:t>
      </w:r>
    </w:p>
    <w:p w14:paraId="22235E85" w14:textId="77777777" w:rsidR="0036576E" w:rsidRDefault="0036576E" w:rsidP="0036576E">
      <w:pPr>
        <w:pStyle w:val="13"/>
      </w:pPr>
      <w:r>
        <w:rPr>
          <w:rFonts w:hint="eastAsia"/>
        </w:rPr>
        <w:t>第三，简单以并购重组相关方有业绩补偿承诺、尚在业绩补偿期间为由，不进行商</w:t>
      </w:r>
      <w:proofErr w:type="gramStart"/>
      <w:r>
        <w:rPr>
          <w:rFonts w:hint="eastAsia"/>
        </w:rPr>
        <w:t>誉</w:t>
      </w:r>
      <w:proofErr w:type="gramEnd"/>
      <w:r>
        <w:rPr>
          <w:rFonts w:hint="eastAsia"/>
        </w:rPr>
        <w:t>减值测试。</w:t>
      </w:r>
    </w:p>
    <w:p w14:paraId="41EDDDD2" w14:textId="7B9A3033" w:rsidR="0036576E" w:rsidRDefault="0036576E" w:rsidP="0036576E">
      <w:pPr>
        <w:pStyle w:val="13"/>
      </w:pPr>
      <w:r>
        <w:t>2.监管关注事项</w:t>
      </w:r>
    </w:p>
    <w:p w14:paraId="5D63A265" w14:textId="77777777" w:rsidR="0036576E" w:rsidRDefault="0036576E" w:rsidP="0036576E">
      <w:pPr>
        <w:pStyle w:val="13"/>
      </w:pPr>
      <w:r>
        <w:rPr>
          <w:rFonts w:hint="eastAsia"/>
        </w:rPr>
        <w:t>在监管工作中，应关注公司是否定期或及时进行商</w:t>
      </w:r>
      <w:proofErr w:type="gramStart"/>
      <w:r>
        <w:rPr>
          <w:rFonts w:hint="eastAsia"/>
        </w:rPr>
        <w:t>誉</w:t>
      </w:r>
      <w:proofErr w:type="gramEnd"/>
      <w:r>
        <w:rPr>
          <w:rFonts w:hint="eastAsia"/>
        </w:rPr>
        <w:t>减值测试，是否在此过程中重点考虑了特定减值迹象的影响。具体包括：</w:t>
      </w:r>
    </w:p>
    <w:p w14:paraId="5259E61D" w14:textId="77777777" w:rsidR="0036576E" w:rsidRDefault="0036576E" w:rsidP="0036576E">
      <w:pPr>
        <w:pStyle w:val="13"/>
      </w:pPr>
      <w:r>
        <w:rPr>
          <w:rFonts w:hint="eastAsia"/>
        </w:rPr>
        <w:t>第一，对因企业合并所形成的商誉，不论其是否存在减值迹象，都应当至少在每年年度终了进行减值测试。</w:t>
      </w:r>
    </w:p>
    <w:p w14:paraId="5DDDD62D" w14:textId="77777777" w:rsidR="0036576E" w:rsidRDefault="0036576E" w:rsidP="0036576E">
      <w:pPr>
        <w:pStyle w:val="13"/>
      </w:pPr>
      <w:r>
        <w:rPr>
          <w:rFonts w:hint="eastAsia"/>
        </w:rPr>
        <w:t>第二，公司应结合可获取的内部与外部信息，合理判断并识别商誉减值迹象。当商誉所在资产组或资产组组合出现特定减值迹象时，公司应及时进行商</w:t>
      </w:r>
      <w:proofErr w:type="gramStart"/>
      <w:r>
        <w:rPr>
          <w:rFonts w:hint="eastAsia"/>
        </w:rPr>
        <w:t>誉</w:t>
      </w:r>
      <w:proofErr w:type="gramEnd"/>
      <w:r>
        <w:rPr>
          <w:rFonts w:hint="eastAsia"/>
        </w:rPr>
        <w:t>减值测试，并恰当考虑该减值迹象的影响。</w:t>
      </w:r>
    </w:p>
    <w:p w14:paraId="0A6BA71F" w14:textId="68058D2F" w:rsidR="0036576E" w:rsidRDefault="0036576E" w:rsidP="0036576E">
      <w:pPr>
        <w:pStyle w:val="13"/>
      </w:pPr>
      <w:r>
        <w:rPr>
          <w:rFonts w:hint="eastAsia"/>
        </w:rPr>
        <w:t>与商誉减值相关的前述特定减值迹象包括但不限于：（</w:t>
      </w:r>
      <w:r>
        <w:t>1）现金流或经营利润持续恶化或明显低于形成商誉时的预期，特别是被收购方未实现承诺的业绩；（2）所处行业产能过剩，相关产业政策、产品与服务的市场状况或市场竞争程度发生明显不利变化；（3）相关业务技术壁垒较低或技术快速进步，产品与服务易被模仿或已升级换代，</w:t>
      </w:r>
      <w:r>
        <w:lastRenderedPageBreak/>
        <w:t>盈利现状难以维持；（4）核心团队发生明显不利变化，且短期内难以恢复；（5）与特定行政许可、特许经营资格、特定合同项目等资质存在密切关联的商誉，相关资质的市场惯例已发生</w:t>
      </w:r>
      <w:r>
        <w:rPr>
          <w:rFonts w:hint="eastAsia"/>
        </w:rPr>
        <w:t>变化，如放开经营资质的行政许可、特许经营或特定合同到期无法接续等；（</w:t>
      </w:r>
      <w:r>
        <w:t>6）客观环境的变化导致市场投资报酬率在当期已经明显提高，且没有证据表明短期内会下降；（7）经营所处国家或地区的风险突出，如面临外汇管制、恶性通货膨胀、宏观经济恶化等。</w:t>
      </w:r>
    </w:p>
    <w:p w14:paraId="5EF70AC7" w14:textId="38062ACD" w:rsidR="0036576E" w:rsidRDefault="0036576E" w:rsidP="0036576E">
      <w:pPr>
        <w:pStyle w:val="13"/>
      </w:pPr>
      <w:r>
        <w:rPr>
          <w:rFonts w:hint="eastAsia"/>
        </w:rPr>
        <w:t>第三，公司应合理区分并分别处理商誉减值事项和并购重组相关方的业绩补偿事项，</w:t>
      </w:r>
      <w:r>
        <w:t>不得以业绩补偿承诺为由，不进行商</w:t>
      </w:r>
      <w:proofErr w:type="gramStart"/>
      <w:r>
        <w:t>誉</w:t>
      </w:r>
      <w:proofErr w:type="gramEnd"/>
      <w:r>
        <w:t>减值测试。</w:t>
      </w:r>
    </w:p>
    <w:p w14:paraId="46656F2D" w14:textId="77777777" w:rsidR="0036576E" w:rsidRDefault="0036576E" w:rsidP="0036576E">
      <w:pPr>
        <w:pStyle w:val="13"/>
      </w:pPr>
      <w:r>
        <w:rPr>
          <w:rFonts w:hint="eastAsia"/>
        </w:rPr>
        <w:t>（二）合理将商誉分摊</w:t>
      </w:r>
      <w:proofErr w:type="gramStart"/>
      <w:r>
        <w:rPr>
          <w:rFonts w:hint="eastAsia"/>
        </w:rPr>
        <w:t>至资产组</w:t>
      </w:r>
      <w:proofErr w:type="gramEnd"/>
      <w:r>
        <w:rPr>
          <w:rFonts w:hint="eastAsia"/>
        </w:rPr>
        <w:t>或资产组组合进行减值测试</w:t>
      </w:r>
    </w:p>
    <w:p w14:paraId="3C66E6FE" w14:textId="77777777" w:rsidR="0036576E" w:rsidRDefault="0036576E" w:rsidP="0036576E">
      <w:pPr>
        <w:pStyle w:val="13"/>
      </w:pPr>
      <w:r>
        <w:rPr>
          <w:rFonts w:hint="eastAsia"/>
        </w:rPr>
        <w:t>按照《企业会计准则第</w:t>
      </w:r>
      <w:r>
        <w:t xml:space="preserve"> 8号—资产减值》的规定，对因企业合并形成的商誉，由于其难以独立产生现金流量，公司应自购买日起按照一贯、合理的方法将其账面价值分摊至相关的资产组或资产组组合，并据此进行减值测试。</w:t>
      </w:r>
    </w:p>
    <w:p w14:paraId="52B8695A" w14:textId="31B9F01D" w:rsidR="0036576E" w:rsidRDefault="0036576E" w:rsidP="0036576E">
      <w:pPr>
        <w:pStyle w:val="13"/>
      </w:pPr>
      <w:r>
        <w:t>1.常见问题</w:t>
      </w:r>
    </w:p>
    <w:p w14:paraId="519CF0CB" w14:textId="0CCE840D" w:rsidR="0036576E" w:rsidRDefault="0036576E" w:rsidP="0036576E">
      <w:pPr>
        <w:pStyle w:val="13"/>
      </w:pPr>
      <w:r>
        <w:rPr>
          <w:rFonts w:hint="eastAsia"/>
        </w:rPr>
        <w:t>公司在将商誉分摊</w:t>
      </w:r>
      <w:proofErr w:type="gramStart"/>
      <w:r>
        <w:rPr>
          <w:rFonts w:hint="eastAsia"/>
        </w:rPr>
        <w:t>至资产组</w:t>
      </w:r>
      <w:proofErr w:type="gramEnd"/>
      <w:r>
        <w:rPr>
          <w:rFonts w:hint="eastAsia"/>
        </w:rPr>
        <w:t>或资产组组合进行减值测试时，通常存在以下问题：</w:t>
      </w:r>
    </w:p>
    <w:p w14:paraId="4BCBC82F" w14:textId="69AC9434" w:rsidR="0036576E" w:rsidRDefault="0036576E" w:rsidP="0036576E">
      <w:pPr>
        <w:pStyle w:val="13"/>
      </w:pPr>
      <w:r>
        <w:t>第一，对资产组的认定不符合资产组的概念，未充分考虑资产</w:t>
      </w:r>
      <w:proofErr w:type="gramStart"/>
      <w:r>
        <w:t>组产生</w:t>
      </w:r>
      <w:proofErr w:type="gramEnd"/>
      <w:r>
        <w:t>现金流入的独</w:t>
      </w:r>
      <w:r>
        <w:rPr>
          <w:rFonts w:hint="eastAsia"/>
        </w:rPr>
        <w:t>立性。</w:t>
      </w:r>
    </w:p>
    <w:p w14:paraId="63CB8438" w14:textId="77777777" w:rsidR="0036576E" w:rsidRDefault="0036576E" w:rsidP="0036576E">
      <w:pPr>
        <w:pStyle w:val="13"/>
      </w:pPr>
      <w:r>
        <w:rPr>
          <w:rFonts w:hint="eastAsia"/>
        </w:rPr>
        <w:t>第二，未充分辨识与商誉相关的资产组或资产组组合，未充分考虑企业合并所产生的协同效应，简单将形成商誉时收购的子公司股权作为商誉减值测试对象。</w:t>
      </w:r>
    </w:p>
    <w:p w14:paraId="119C4DAF" w14:textId="77777777" w:rsidR="0036576E" w:rsidRDefault="0036576E" w:rsidP="0036576E">
      <w:pPr>
        <w:pStyle w:val="13"/>
      </w:pPr>
      <w:r>
        <w:rPr>
          <w:rFonts w:hint="eastAsia"/>
        </w:rPr>
        <w:t>第三，未合理对商誉账面价值进行分摊，相关分摊基础（如公允价值）的确定缺乏合理依据。</w:t>
      </w:r>
    </w:p>
    <w:p w14:paraId="33340660" w14:textId="77777777" w:rsidR="0036576E" w:rsidRDefault="0036576E" w:rsidP="0036576E">
      <w:pPr>
        <w:pStyle w:val="13"/>
      </w:pPr>
      <w:r>
        <w:rPr>
          <w:rFonts w:hint="eastAsia"/>
        </w:rPr>
        <w:t>第四，未将归属于少数股东的商誉调整计入相关资产组或资产组组合账面价值。</w:t>
      </w:r>
    </w:p>
    <w:p w14:paraId="6D8774A6" w14:textId="513D2EAA" w:rsidR="0036576E" w:rsidRDefault="0036576E" w:rsidP="0036576E">
      <w:pPr>
        <w:pStyle w:val="13"/>
      </w:pPr>
      <w:r>
        <w:rPr>
          <w:rFonts w:hint="eastAsia"/>
        </w:rPr>
        <w:t>第五，因重组等原因导致商誉所在资产组或资产组组合的构成发生改变时，未重新认定相关资产组或资产组组合并重新对商誉账面价值进行合理分摊。</w:t>
      </w:r>
    </w:p>
    <w:p w14:paraId="0092E8F0" w14:textId="77777777" w:rsidR="0036576E" w:rsidRDefault="0036576E" w:rsidP="0036576E">
      <w:pPr>
        <w:pStyle w:val="13"/>
      </w:pPr>
      <w:r>
        <w:rPr>
          <w:rFonts w:hint="eastAsia"/>
        </w:rPr>
        <w:t>第六，无合理理由随意变更商誉所在资产组或资产组组合，如商誉减值测试时的资产组或资产组组合与商誉初始确认时的不一致，或前后会计期间将商誉分摊至不同资产组或资产组组合。</w:t>
      </w:r>
    </w:p>
    <w:p w14:paraId="1EFEF091" w14:textId="5FC5A51B" w:rsidR="0036576E" w:rsidRDefault="0036576E" w:rsidP="0036576E">
      <w:pPr>
        <w:pStyle w:val="13"/>
      </w:pPr>
      <w:r>
        <w:t>2.监管关注事项</w:t>
      </w:r>
    </w:p>
    <w:p w14:paraId="355FB90E" w14:textId="77777777" w:rsidR="0036576E" w:rsidRDefault="0036576E" w:rsidP="0036576E">
      <w:pPr>
        <w:pStyle w:val="13"/>
      </w:pPr>
      <w:r>
        <w:rPr>
          <w:rFonts w:hint="eastAsia"/>
        </w:rPr>
        <w:t>在监管工作中，应关注公司是否恰当认定商誉所在资产组或资产组组合，是否在将商誉账面价值合理分摊的基础上进行减值测试。具体包括：</w:t>
      </w:r>
    </w:p>
    <w:p w14:paraId="184E467C" w14:textId="77777777" w:rsidR="0036576E" w:rsidRDefault="0036576E" w:rsidP="0036576E">
      <w:pPr>
        <w:pStyle w:val="13"/>
      </w:pPr>
      <w:r>
        <w:rPr>
          <w:rFonts w:hint="eastAsia"/>
        </w:rPr>
        <w:t>第一，公司在认定资产组或资产组组合时，应充分考虑管理层对生产经营活动的管理或监控方式和对资产的持续使用或处置的决策方式，认定的资产组或资产组组合应能够独立产生现金流量。需要说明的是，一个会计核算主体并不简单等同于一个资产组。</w:t>
      </w:r>
    </w:p>
    <w:p w14:paraId="0B7A0B98" w14:textId="04FA7B06" w:rsidR="0036576E" w:rsidRDefault="0036576E" w:rsidP="0036576E">
      <w:pPr>
        <w:pStyle w:val="13"/>
      </w:pPr>
      <w:r>
        <w:rPr>
          <w:rFonts w:hint="eastAsia"/>
        </w:rPr>
        <w:t>第二，公司在确认商誉所在资产组或资产组组合时，不应包括与商誉无关的不应</w:t>
      </w:r>
      <w:r>
        <w:rPr>
          <w:rFonts w:hint="eastAsia"/>
        </w:rPr>
        <w:lastRenderedPageBreak/>
        <w:t>纳入资产组的单独资产及负债。值得注意的是，当形成商誉时收购的子公司包含不止一个资产组或资产组组合时，应事先明确其中与形成商誉相关的资产组或资产组组合。</w:t>
      </w:r>
    </w:p>
    <w:p w14:paraId="641B871B" w14:textId="77777777" w:rsidR="0036576E" w:rsidRDefault="0036576E" w:rsidP="0036576E">
      <w:pPr>
        <w:pStyle w:val="13"/>
      </w:pPr>
      <w:r>
        <w:rPr>
          <w:rFonts w:hint="eastAsia"/>
        </w:rPr>
        <w:t>第三，公司应在充分考虑能够受益于企业合并的协同效应的资产组或资产组组合基础上，将商誉账面价值按各资产组或资产组组合的公允价值所占比例进行分摊。在确定各资产组或资产组组合的公允价值时，应根据《企业会计准则第</w:t>
      </w:r>
      <w:r>
        <w:t xml:space="preserve"> 39号—公允价值计量》的有关要求执行。如果公允价值难以可靠计量，可以按各资产组或资产组组合的账面价值所占比例进行分摊。</w:t>
      </w:r>
    </w:p>
    <w:p w14:paraId="0F1AFC31" w14:textId="77777777" w:rsidR="0036576E" w:rsidRDefault="0036576E" w:rsidP="0036576E">
      <w:pPr>
        <w:pStyle w:val="13"/>
      </w:pPr>
      <w:r>
        <w:rPr>
          <w:rFonts w:hint="eastAsia"/>
        </w:rPr>
        <w:t>第四，公司在将商誉分摊至相关资产组或资产组组合时，应充分关注归属于少数股东的商誉，先将归属于母公司股东的商誉账面价值调整为全部商誉账面价值，再合理分摊至相关资产组或资产组组合。</w:t>
      </w:r>
    </w:p>
    <w:p w14:paraId="19498E10" w14:textId="77777777" w:rsidR="0036576E" w:rsidRDefault="0036576E" w:rsidP="0036576E">
      <w:pPr>
        <w:pStyle w:val="13"/>
      </w:pPr>
      <w:r>
        <w:rPr>
          <w:rFonts w:hint="eastAsia"/>
        </w:rPr>
        <w:t>第五，因重组等原因，公司经营组成部分发生变化，继而影响到已分摊商</w:t>
      </w:r>
      <w:proofErr w:type="gramStart"/>
      <w:r>
        <w:rPr>
          <w:rFonts w:hint="eastAsia"/>
        </w:rPr>
        <w:t>誉</w:t>
      </w:r>
      <w:proofErr w:type="gramEnd"/>
      <w:r>
        <w:rPr>
          <w:rFonts w:hint="eastAsia"/>
        </w:rPr>
        <w:t>所在的资产组或资产组组合构成的，应将商誉账面价值重新分摊至受影响的资产组或资产组组合，并充分披露相关理由及依据。</w:t>
      </w:r>
    </w:p>
    <w:p w14:paraId="35DBC05F" w14:textId="77777777" w:rsidR="0036576E" w:rsidRDefault="0036576E" w:rsidP="0036576E">
      <w:pPr>
        <w:pStyle w:val="13"/>
      </w:pPr>
      <w:r>
        <w:rPr>
          <w:rFonts w:hint="eastAsia"/>
        </w:rPr>
        <w:t>第六，公司应在购买日将商誉分摊至相关资产组或资产组组合，并在后续会计期间保持一致。当形成商誉时收购的子公司后续存在再并购、再投资、处置重要资产等情形时，除符合上述第五点的条件外，不应随意扩大或缩小商誉所在资产组或资产组组合。</w:t>
      </w:r>
    </w:p>
    <w:p w14:paraId="4A6FDE11" w14:textId="77777777" w:rsidR="0036576E" w:rsidRDefault="0036576E" w:rsidP="0036576E">
      <w:pPr>
        <w:pStyle w:val="13"/>
      </w:pPr>
      <w:r>
        <w:rPr>
          <w:rFonts w:hint="eastAsia"/>
        </w:rPr>
        <w:t>（三）商誉减值测试过程和会计处理</w:t>
      </w:r>
    </w:p>
    <w:p w14:paraId="40A71F0C" w14:textId="77777777" w:rsidR="0036576E" w:rsidRDefault="0036576E" w:rsidP="0036576E">
      <w:pPr>
        <w:pStyle w:val="13"/>
      </w:pPr>
      <w:r>
        <w:rPr>
          <w:rFonts w:hint="eastAsia"/>
        </w:rPr>
        <w:t>按照《企业会计准则第</w:t>
      </w:r>
      <w:r>
        <w:t xml:space="preserve"> 8号—资产减值》的规定，在对商誉进行减值测试时，如与商誉相关的资产组或资产组组合存在减值迹象的，应先对不包含商誉的资产组或资产组组合进行减值测试，确认相应的减值损失；再对包含商誉的资产组或资产组组合进行减值测试。若包含商誉的资产组或资产组组合存在减值，应先抵减分摊</w:t>
      </w:r>
      <w:proofErr w:type="gramStart"/>
      <w:r>
        <w:t>至资产组</w:t>
      </w:r>
      <w:proofErr w:type="gramEnd"/>
      <w:r>
        <w:t>或资产组组合中商誉的账面价值；再按比例抵减其他各项资产的账面价值。</w:t>
      </w:r>
    </w:p>
    <w:p w14:paraId="665EE646" w14:textId="77777777" w:rsidR="0036576E" w:rsidRDefault="0036576E" w:rsidP="0036576E">
      <w:pPr>
        <w:pStyle w:val="13"/>
      </w:pPr>
      <w:r>
        <w:rPr>
          <w:rFonts w:hint="eastAsia"/>
        </w:rPr>
        <w:t>其中，资产组或资产组组合的可收回金额的估计，应根据其公允价值减去处置费用后的净额与预计未来现金净流量的现值两者之间较高者确定。</w:t>
      </w:r>
    </w:p>
    <w:p w14:paraId="61B5003E" w14:textId="2B1E0647" w:rsidR="0036576E" w:rsidRDefault="0036576E" w:rsidP="0036576E">
      <w:pPr>
        <w:pStyle w:val="13"/>
      </w:pPr>
      <w:r>
        <w:t>1.常见问题</w:t>
      </w:r>
    </w:p>
    <w:p w14:paraId="77D72B2E" w14:textId="77777777" w:rsidR="0036576E" w:rsidRDefault="0036576E" w:rsidP="0036576E">
      <w:pPr>
        <w:pStyle w:val="13"/>
      </w:pPr>
      <w:r>
        <w:rPr>
          <w:rFonts w:hint="eastAsia"/>
        </w:rPr>
        <w:t>公司在对商誉进行具体减值测试时，通常存在以下问题：</w:t>
      </w:r>
    </w:p>
    <w:p w14:paraId="422D6218" w14:textId="0DF2CA75" w:rsidR="0036576E" w:rsidRDefault="0036576E" w:rsidP="0036576E">
      <w:pPr>
        <w:pStyle w:val="13"/>
      </w:pPr>
      <w:r>
        <w:rPr>
          <w:rFonts w:hint="eastAsia"/>
        </w:rPr>
        <w:t>第一，未按《企业会计准则第</w:t>
      </w:r>
      <w:r>
        <w:t xml:space="preserve"> 8号—资产减值》所规定的步骤进行商</w:t>
      </w:r>
      <w:proofErr w:type="gramStart"/>
      <w:r>
        <w:t>誉</w:t>
      </w:r>
      <w:proofErr w:type="gramEnd"/>
      <w:r>
        <w:t>减值测试，未将减值金额在归属于母公司股东和少数股东的商誉之间进行分摊，未恰当计提商誉减值损失和相关资产组或资产组组合的减值损失。</w:t>
      </w:r>
    </w:p>
    <w:p w14:paraId="621903CA" w14:textId="77777777" w:rsidR="0036576E" w:rsidRDefault="0036576E" w:rsidP="0036576E">
      <w:pPr>
        <w:pStyle w:val="13"/>
      </w:pPr>
      <w:r>
        <w:rPr>
          <w:rFonts w:hint="eastAsia"/>
        </w:rPr>
        <w:t>第二，采用公允价值减去处置费用后的净额估计可收回金额时，对公允价值、处置费用的预测合理性不足，缺少充分、适当的证据支持。</w:t>
      </w:r>
    </w:p>
    <w:p w14:paraId="74B34AC0" w14:textId="364DA1F4" w:rsidR="0036576E" w:rsidRDefault="0036576E" w:rsidP="0036576E">
      <w:pPr>
        <w:pStyle w:val="13"/>
      </w:pPr>
      <w:r>
        <w:rPr>
          <w:rFonts w:hint="eastAsia"/>
        </w:rPr>
        <w:t>第三，采用预计未来现金净流量的现值估计可收回金额时，资产组或资产组组合</w:t>
      </w:r>
      <w:r>
        <w:rPr>
          <w:rFonts w:hint="eastAsia"/>
        </w:rPr>
        <w:lastRenderedPageBreak/>
        <w:t>的可收回金额与其账面价值的确定基础不一致，如资产组的账面价值中未包括营运资金，</w:t>
      </w:r>
      <w:r>
        <w:t>但在确定可收回金额的未来现金流量时却考虑了期初营运资金的影响；对未来现金净流量、折现率、预测期的预测合理性不足，与可获取的内部、外部信息有较大差异，且缺少充分、适当的证据支持。</w:t>
      </w:r>
    </w:p>
    <w:p w14:paraId="1D4796F2" w14:textId="77777777" w:rsidR="0036576E" w:rsidRDefault="0036576E" w:rsidP="0036576E">
      <w:pPr>
        <w:pStyle w:val="13"/>
      </w:pPr>
      <w:r>
        <w:rPr>
          <w:rFonts w:hint="eastAsia"/>
        </w:rPr>
        <w:t>第四，利用资产评估机构的工作辅助开展商誉减值测试时，未聘请具有胜任能力的资产评估机构，未在业务约定书或类似文书中明确与商誉减值测试相关的委托事项，未恰当调整资产评估机构的工作成果以用于商誉减值测试。</w:t>
      </w:r>
    </w:p>
    <w:p w14:paraId="5E768AAB" w14:textId="6DD79C0C" w:rsidR="0036576E" w:rsidRDefault="0036576E" w:rsidP="0036576E">
      <w:pPr>
        <w:pStyle w:val="13"/>
      </w:pPr>
      <w:r>
        <w:t>2.监管关注事项</w:t>
      </w:r>
    </w:p>
    <w:p w14:paraId="04B2AA46" w14:textId="77777777" w:rsidR="0036576E" w:rsidRDefault="0036576E" w:rsidP="0036576E">
      <w:pPr>
        <w:pStyle w:val="13"/>
      </w:pPr>
      <w:r>
        <w:rPr>
          <w:rFonts w:hint="eastAsia"/>
        </w:rPr>
        <w:t>在监管工作中，应关注公司是否按规定步骤进行了商誉减值测试并恰当计提了商誉减值损失，是否合理估计了相关资产组或资产组组合的可收回金额，是否恰当利用了资产评估机构的工作成果。具体包括：</w:t>
      </w:r>
    </w:p>
    <w:p w14:paraId="553B0556" w14:textId="79F02B5D" w:rsidR="0036576E" w:rsidRDefault="0036576E" w:rsidP="0036576E">
      <w:pPr>
        <w:pStyle w:val="13"/>
      </w:pPr>
      <w:r>
        <w:rPr>
          <w:rFonts w:hint="eastAsia"/>
        </w:rPr>
        <w:t>第一，公司应严格按照《企业会计准则第</w:t>
      </w:r>
      <w:r>
        <w:t xml:space="preserve"> 8号—资产减值》的规定进行商</w:t>
      </w:r>
      <w:proofErr w:type="gramStart"/>
      <w:r>
        <w:t>誉</w:t>
      </w:r>
      <w:proofErr w:type="gramEnd"/>
      <w:r>
        <w:t>减值测试，不得忽略或错误地实施减值测试程序。若商誉所在资产组或资产组组合存在减值</w:t>
      </w:r>
      <w:r w:rsidR="003068F8">
        <w:t>，</w:t>
      </w:r>
      <w:r>
        <w:t>应分别抵减商誉的账面价值及资产组或资产组组合中其他各项资产的账面价值，并合理确定归属于母公司股东的商誉和归属于少数股东的商誉的减值金额。</w:t>
      </w:r>
    </w:p>
    <w:p w14:paraId="5448A023" w14:textId="77777777" w:rsidR="0036576E" w:rsidRDefault="0036576E" w:rsidP="0036576E">
      <w:pPr>
        <w:pStyle w:val="13"/>
      </w:pPr>
      <w:r>
        <w:rPr>
          <w:rFonts w:hint="eastAsia"/>
        </w:rPr>
        <w:t>第二，采用公允价值减去处置费用后的净额估计可收回金额时，公司应恰当选用交易案例或估值技术确定商誉所在资产组或资产组组合的公允价值，合理分析并确定相关处置费用，从而确定可收回金额。</w:t>
      </w:r>
    </w:p>
    <w:p w14:paraId="01344E23" w14:textId="77777777" w:rsidR="0036576E" w:rsidRDefault="0036576E" w:rsidP="0036576E">
      <w:pPr>
        <w:pStyle w:val="13"/>
      </w:pPr>
      <w:r>
        <w:rPr>
          <w:rFonts w:hint="eastAsia"/>
        </w:rPr>
        <w:t>需要注意的是，当商誉所在资产组或资产组组合包含土地使用权、房屋建筑物等资产时，应充分关注相关资产组或资产组组合的公允价值确定是否合理，是否存在未合理确定土地使用权或房屋建筑物的公允价值从而规避商誉减值的情形。</w:t>
      </w:r>
    </w:p>
    <w:p w14:paraId="2DE126CB" w14:textId="5B4AD100" w:rsidR="0036576E" w:rsidRDefault="0036576E" w:rsidP="0036576E">
      <w:pPr>
        <w:pStyle w:val="13"/>
      </w:pPr>
      <w:r>
        <w:rPr>
          <w:rFonts w:hint="eastAsia"/>
        </w:rPr>
        <w:t>第三，采用预计未来现金净流量的现值估计可收回金额时，公司应正确运用现金流量折现模型，充分考虑减值迹象等不利事项对未来现金净流量、折现率、预测期等关键参数的影响，合理确定可收回金额。</w:t>
      </w:r>
    </w:p>
    <w:p w14:paraId="319A099F" w14:textId="546EDC2C" w:rsidR="0036576E" w:rsidRDefault="0036576E" w:rsidP="0036576E">
      <w:pPr>
        <w:pStyle w:val="13"/>
      </w:pPr>
      <w:r>
        <w:rPr>
          <w:rFonts w:hint="eastAsia"/>
        </w:rPr>
        <w:t>（</w:t>
      </w:r>
      <w:r>
        <w:t>1）资产组或资产组组合的可收回金额与其账面价值的确定基础应保持一致，即二者应包括相同的资产和负债，且应按照与资产组或资产组组合内资产和负债一致的基础预测未来现金流量；对未来现金净流量预测时，应以资产的当前状况为基础，以税前口径为预测依据，并充分关注选取的关键参数（包括但不限于销量、价格、成本、费用、预测期增长率、稳定期增长率）是否有可靠的数据来源，是否与历史数据、运营计划、商业机会、行业数据、行业研究报告、宏观经济运行状况相符；与此相关的重大假设是否与可获取的内部、外部信息相符，在不符时是否有合理理由支</w:t>
      </w:r>
      <w:r>
        <w:rPr>
          <w:rFonts w:hint="eastAsia"/>
        </w:rPr>
        <w:t>持。</w:t>
      </w:r>
    </w:p>
    <w:p w14:paraId="7D6FE45C" w14:textId="3C01646B" w:rsidR="0036576E" w:rsidRDefault="0036576E" w:rsidP="0036576E">
      <w:pPr>
        <w:pStyle w:val="13"/>
      </w:pPr>
      <w:r>
        <w:rPr>
          <w:rFonts w:hint="eastAsia"/>
        </w:rPr>
        <w:t>（</w:t>
      </w:r>
      <w:r>
        <w:t>2）对折现率预测时，是否与相应的宏观、行业、地域、特定市场、特定市场主体的风险因素相匹配，是否与未来现金净流量均一致采用税前口径。</w:t>
      </w:r>
    </w:p>
    <w:p w14:paraId="4898A830" w14:textId="1C762DF2" w:rsidR="0036576E" w:rsidRDefault="0036576E" w:rsidP="0036576E">
      <w:pPr>
        <w:pStyle w:val="13"/>
      </w:pPr>
      <w:r>
        <w:rPr>
          <w:rFonts w:hint="eastAsia"/>
        </w:rPr>
        <w:lastRenderedPageBreak/>
        <w:t>（</w:t>
      </w:r>
      <w:r>
        <w:t>3）在确定未来现金净流量的预测期时，应建立在经管理层批准的最近财务预算或预测数据基础上，原则上最多涵盖 5 年。在确定相关资产组或资产组组合的未来现金净流量的预测期时，还应考虑相关资产组或资产组组合所包含的主要固定资产、无形资产的剩余可使用年限，不应存在显著差异。</w:t>
      </w:r>
    </w:p>
    <w:p w14:paraId="23792290" w14:textId="77777777" w:rsidR="0036576E" w:rsidRDefault="0036576E" w:rsidP="0036576E">
      <w:pPr>
        <w:pStyle w:val="13"/>
      </w:pPr>
      <w:r>
        <w:rPr>
          <w:rFonts w:hint="eastAsia"/>
        </w:rPr>
        <w:t>需要注意的是，若以前期间对商誉进行减值测试时，有关预测参数与期后实际情况存在重大偏差的，应充分关注管理层是否识别出导致偏差的主要因素，是否在本期商誉减值测试时充分考虑了相关因素的影响，并适当调整预测思路。</w:t>
      </w:r>
    </w:p>
    <w:p w14:paraId="792FC214" w14:textId="77777777" w:rsidR="0036576E" w:rsidRDefault="0036576E" w:rsidP="0036576E">
      <w:pPr>
        <w:pStyle w:val="13"/>
      </w:pPr>
      <w:r>
        <w:rPr>
          <w:rFonts w:hint="eastAsia"/>
        </w:rPr>
        <w:t>第四，利用资产评估机构的工作辅助开展商誉减值测试时，公司应聘请具有证券期货相关业务资格的资产评估机构，明确约定该工作用于商誉减值测试。在利用资产评估机构的工作成果时，应充分关注资产评估机构的评估目的、评估基准日、评估假设、评估对象、评估范围、价值类型等是否与商誉减值测试相符；对存在不符的，在运用到商誉减值测试前，应予以适当调整。</w:t>
      </w:r>
    </w:p>
    <w:p w14:paraId="38357C51" w14:textId="77777777" w:rsidR="0036576E" w:rsidRDefault="0036576E" w:rsidP="0036576E">
      <w:pPr>
        <w:pStyle w:val="13"/>
      </w:pPr>
      <w:r>
        <w:rPr>
          <w:rFonts w:hint="eastAsia"/>
        </w:rPr>
        <w:t>（四）商誉减值的信息披露</w:t>
      </w:r>
    </w:p>
    <w:p w14:paraId="76EEFD6C" w14:textId="77777777" w:rsidR="0036576E" w:rsidRDefault="0036576E" w:rsidP="0036576E">
      <w:pPr>
        <w:pStyle w:val="13"/>
      </w:pPr>
      <w:r>
        <w:rPr>
          <w:rFonts w:hint="eastAsia"/>
        </w:rPr>
        <w:t>按照《企业会计准则》《公开发行证券的公司信息披露编报规则第</w:t>
      </w:r>
      <w:r>
        <w:t xml:space="preserve"> 15号—财务报告的一般规定（2014 年修订）》（证监会公告〔2014〕54号）的规定，公司应在财务报告中详细披露与商誉减值相关的、对财务报表使用者</w:t>
      </w:r>
      <w:proofErr w:type="gramStart"/>
      <w:r>
        <w:t>作出</w:t>
      </w:r>
      <w:proofErr w:type="gramEnd"/>
      <w:r>
        <w:t>决策有用的所有重要信息。</w:t>
      </w:r>
    </w:p>
    <w:p w14:paraId="497D1BCF" w14:textId="70CD2ED1" w:rsidR="0036576E" w:rsidRDefault="0036576E" w:rsidP="0036576E">
      <w:pPr>
        <w:pStyle w:val="13"/>
      </w:pPr>
      <w:r>
        <w:t>1.常见问题</w:t>
      </w:r>
    </w:p>
    <w:p w14:paraId="64902DBD" w14:textId="77777777" w:rsidR="0036576E" w:rsidRDefault="0036576E" w:rsidP="0036576E">
      <w:pPr>
        <w:pStyle w:val="13"/>
      </w:pPr>
      <w:r>
        <w:rPr>
          <w:rFonts w:hint="eastAsia"/>
        </w:rPr>
        <w:t>公司在财务报告中披露与商誉减值相关的信息时，通常存在以下问题：</w:t>
      </w:r>
    </w:p>
    <w:p w14:paraId="0A37977C" w14:textId="77777777" w:rsidR="0036576E" w:rsidRDefault="0036576E" w:rsidP="0036576E">
      <w:pPr>
        <w:pStyle w:val="13"/>
      </w:pPr>
      <w:r>
        <w:rPr>
          <w:rFonts w:hint="eastAsia"/>
        </w:rPr>
        <w:t>第一，仅简单披露商誉减值金额，未充分披露与商誉减值相关的其他重要、关键信息，披露的信息缺乏实质性内容。</w:t>
      </w:r>
    </w:p>
    <w:p w14:paraId="11BB3223" w14:textId="77777777" w:rsidR="0036576E" w:rsidRDefault="0036576E" w:rsidP="0036576E">
      <w:pPr>
        <w:pStyle w:val="13"/>
      </w:pPr>
      <w:r>
        <w:rPr>
          <w:rFonts w:hint="eastAsia"/>
        </w:rPr>
        <w:t>第二，未如实披露与商誉减值测试相关的信息。</w:t>
      </w:r>
    </w:p>
    <w:p w14:paraId="557F2422" w14:textId="77777777" w:rsidR="0036576E" w:rsidRDefault="0036576E" w:rsidP="0036576E">
      <w:pPr>
        <w:pStyle w:val="13"/>
      </w:pPr>
      <w:r>
        <w:rPr>
          <w:rFonts w:hint="eastAsia"/>
        </w:rPr>
        <w:t>第三，当商誉减值损失构成重大影响时，未按公司内部制度要求，及时履行对商誉减值计提的内部审批流程和信息披露义务。</w:t>
      </w:r>
    </w:p>
    <w:p w14:paraId="099A07C5" w14:textId="67DA802F" w:rsidR="0036576E" w:rsidRDefault="0036576E" w:rsidP="0036576E">
      <w:pPr>
        <w:pStyle w:val="13"/>
      </w:pPr>
      <w:r>
        <w:t>2.监管关注事项</w:t>
      </w:r>
    </w:p>
    <w:p w14:paraId="7528B4C1" w14:textId="77777777" w:rsidR="0036576E" w:rsidRDefault="0036576E" w:rsidP="0036576E">
      <w:pPr>
        <w:pStyle w:val="13"/>
      </w:pPr>
      <w:r>
        <w:rPr>
          <w:rFonts w:hint="eastAsia"/>
        </w:rPr>
        <w:t>在监管工作中，应关注公司是否充分、准确、如实、及时地披露了与商誉减值相关的重要信息。具体包括：</w:t>
      </w:r>
    </w:p>
    <w:p w14:paraId="35AB460D" w14:textId="77777777" w:rsidR="0036576E" w:rsidRDefault="0036576E" w:rsidP="0036576E">
      <w:pPr>
        <w:pStyle w:val="13"/>
      </w:pPr>
      <w:r>
        <w:rPr>
          <w:rFonts w:hint="eastAsia"/>
        </w:rPr>
        <w:t>第一，公司应在财务报告（包括年度报告、半年度报告、季度报告）中披露与商誉减值相关的且便于理解和使用财务报告的所有重要、关键信息。具体来看：</w:t>
      </w:r>
    </w:p>
    <w:p w14:paraId="06AB36F8" w14:textId="7CCD64EB" w:rsidR="0036576E" w:rsidRDefault="0036576E" w:rsidP="0036576E">
      <w:pPr>
        <w:pStyle w:val="13"/>
      </w:pPr>
      <w:r>
        <w:rPr>
          <w:rFonts w:hint="eastAsia"/>
        </w:rPr>
        <w:t>（</w:t>
      </w:r>
      <w:r>
        <w:t>1）应充分披露商誉所在资产组或资产组组合的相关信息，包括该资产组或资产组组合的构成、账面金额、确定方法，并明确说明该资产组或资产组组合是否与购买日、以前年度商誉减值测试时所确定的资产组或资产组组合一致。如果资产组或资产组组合的构成发生变化，应在披露前后会计期间资产组或资产组组合构成的同时，充分披露导致其变化的主要事实与依据。</w:t>
      </w:r>
    </w:p>
    <w:p w14:paraId="71687E30" w14:textId="6EA57A90" w:rsidR="0036576E" w:rsidRDefault="0036576E" w:rsidP="0036576E">
      <w:pPr>
        <w:pStyle w:val="13"/>
      </w:pPr>
      <w:r>
        <w:rPr>
          <w:rFonts w:hint="eastAsia"/>
        </w:rPr>
        <w:lastRenderedPageBreak/>
        <w:t>（</w:t>
      </w:r>
      <w:r>
        <w:t>2）应在披露商誉减值金额的同时，详细披露商誉减值测试的过程与方法，包括但不限于可收回金额的确定方法、重要假设及其合理理由、关键参数（如预计未来现金流量现值时的预测期增长率、稳定期增长率、利润率、折现率、预测期等）及其确定依据等信息。如果前述信息与形成商誉时或以前年度商誉减值测试时的信息、公司历史经验或外部信息明显不一致，还应披露存在的差异及其原因。</w:t>
      </w:r>
    </w:p>
    <w:p w14:paraId="50BDFD2F" w14:textId="5D5BD56E" w:rsidR="0036576E" w:rsidRDefault="0036576E" w:rsidP="0036576E">
      <w:pPr>
        <w:pStyle w:val="13"/>
      </w:pPr>
      <w:r>
        <w:rPr>
          <w:rFonts w:hint="eastAsia"/>
        </w:rPr>
        <w:t>（</w:t>
      </w:r>
      <w:r>
        <w:t>3）形成商誉时的并购重组相关方有业绩承诺的，应充分披露业绩承诺的完成情况及其对商誉减值测试的影响。</w:t>
      </w:r>
    </w:p>
    <w:p w14:paraId="23A6D6C2" w14:textId="55F48F50" w:rsidR="0036576E" w:rsidRDefault="0036576E" w:rsidP="0036576E">
      <w:pPr>
        <w:pStyle w:val="13"/>
      </w:pPr>
      <w:r>
        <w:rPr>
          <w:rFonts w:hint="eastAsia"/>
        </w:rPr>
        <w:t>需要强调的是，当商誉源自多个不同资产组或资产组组合时，应分别披露前述信息；</w:t>
      </w:r>
      <w:r>
        <w:t>当公司基于资产评估机构的评估结果进行商</w:t>
      </w:r>
      <w:proofErr w:type="gramStart"/>
      <w:r>
        <w:t>誉</w:t>
      </w:r>
      <w:proofErr w:type="gramEnd"/>
      <w:r>
        <w:t>减值测试时，应在披露评估结果的同时，充分披露前述信息；当商誉金额重大时，无论商誉是否存在减值，均应详细披露前述信息。</w:t>
      </w:r>
    </w:p>
    <w:p w14:paraId="1C2F5C9A" w14:textId="222AD7D7" w:rsidR="0036576E" w:rsidRDefault="0036576E" w:rsidP="0036576E">
      <w:pPr>
        <w:pStyle w:val="13"/>
      </w:pPr>
      <w:r>
        <w:rPr>
          <w:rFonts w:hint="eastAsia"/>
        </w:rPr>
        <w:t>第二，公司应根据商誉减值测试的具体过程，准确、如实披露相关信息，不应有虚假记载、误导性陈述或重大遗漏的情形。</w:t>
      </w:r>
    </w:p>
    <w:p w14:paraId="60004E9E" w14:textId="77777777" w:rsidR="0036576E" w:rsidRDefault="0036576E" w:rsidP="0036576E">
      <w:pPr>
        <w:pStyle w:val="13"/>
      </w:pPr>
      <w:r>
        <w:rPr>
          <w:rFonts w:hint="eastAsia"/>
        </w:rPr>
        <w:t>第三，当商誉减值损失构成重大影响时，公司应严格按照公司章程等规定及内部授权，履行商誉减值计提的内部审批流程，及时进行信息披露。</w:t>
      </w:r>
    </w:p>
    <w:p w14:paraId="06D4F8F7" w14:textId="77777777" w:rsidR="0036576E" w:rsidRDefault="0036576E" w:rsidP="0036576E">
      <w:pPr>
        <w:pStyle w:val="ab"/>
        <w:spacing w:before="62" w:after="62"/>
        <w:ind w:firstLine="482"/>
      </w:pPr>
      <w:r>
        <w:rPr>
          <w:rFonts w:hint="eastAsia"/>
        </w:rPr>
        <w:t>二、商誉减值事项的审计</w:t>
      </w:r>
    </w:p>
    <w:p w14:paraId="335FCEFC" w14:textId="77777777" w:rsidR="0036576E" w:rsidRDefault="0036576E" w:rsidP="0036576E">
      <w:pPr>
        <w:pStyle w:val="13"/>
      </w:pPr>
      <w:r>
        <w:rPr>
          <w:rFonts w:hint="eastAsia"/>
        </w:rPr>
        <w:t>近年来，公司商誉账面价值占总资产、净资产的比重越来越高，商誉减值风险也随着经济周期波动逐渐显现，可能对公司实际经营成果产生重大影响。考虑到商誉的特殊性质，会计师事务所及注册会计师（以下统称会计师事务所）应高度重视相关风险，严格按照相关法律法规和《中国注册会计师执业准则》的要求开展审计工作。</w:t>
      </w:r>
    </w:p>
    <w:p w14:paraId="7D94564F" w14:textId="77777777" w:rsidR="0036576E" w:rsidRDefault="0036576E" w:rsidP="0036576E">
      <w:pPr>
        <w:pStyle w:val="13"/>
      </w:pPr>
      <w:r>
        <w:rPr>
          <w:rFonts w:hint="eastAsia"/>
        </w:rPr>
        <w:t>（一）常见问题</w:t>
      </w:r>
    </w:p>
    <w:p w14:paraId="3EC020D1" w14:textId="77777777" w:rsidR="0036576E" w:rsidRDefault="0036576E" w:rsidP="0036576E">
      <w:pPr>
        <w:pStyle w:val="13"/>
      </w:pPr>
      <w:r>
        <w:rPr>
          <w:rFonts w:hint="eastAsia"/>
        </w:rPr>
        <w:t>会计师事务所在对商誉减值事项审计时，通常存在以下问题：</w:t>
      </w:r>
    </w:p>
    <w:p w14:paraId="6BB7BF2D" w14:textId="77777777" w:rsidR="0036576E" w:rsidRDefault="0036576E" w:rsidP="0036576E">
      <w:pPr>
        <w:pStyle w:val="13"/>
      </w:pPr>
      <w:r>
        <w:rPr>
          <w:rFonts w:hint="eastAsia"/>
        </w:rPr>
        <w:t>第一，在识别和</w:t>
      </w:r>
      <w:proofErr w:type="gramStart"/>
      <w:r>
        <w:rPr>
          <w:rFonts w:hint="eastAsia"/>
        </w:rPr>
        <w:t>评估重</w:t>
      </w:r>
      <w:proofErr w:type="gramEnd"/>
      <w:r>
        <w:rPr>
          <w:rFonts w:hint="eastAsia"/>
        </w:rPr>
        <w:t>大错报风险时，未充分关注并评估商誉账面金额及其减值风险的重要程度及不确定性程度，未将重大的商誉减值事项识别为重大错报风险领域，未考虑商誉减值事项的不确定性是否会导致特别风险。</w:t>
      </w:r>
    </w:p>
    <w:p w14:paraId="032E059B" w14:textId="77777777" w:rsidR="0036576E" w:rsidRDefault="0036576E" w:rsidP="0036576E">
      <w:pPr>
        <w:pStyle w:val="13"/>
      </w:pPr>
      <w:r>
        <w:rPr>
          <w:rFonts w:hint="eastAsia"/>
        </w:rPr>
        <w:t>第二，在设计风险应对措施时，未对重大的商誉减值事项设计有针对性的进一步审计程序。</w:t>
      </w:r>
    </w:p>
    <w:p w14:paraId="1799C049" w14:textId="77777777" w:rsidR="0036576E" w:rsidRDefault="0036576E" w:rsidP="0036576E">
      <w:pPr>
        <w:pStyle w:val="13"/>
      </w:pPr>
      <w:r>
        <w:rPr>
          <w:rFonts w:hint="eastAsia"/>
        </w:rPr>
        <w:t>第三，在实施进一步审计程序，尤其是进行细节测试时，未充分关注并复核公司在商誉减值测试过程中所作的各项职业判断（包括但不限于减值迹象分析、资产组或资产组组合的划分、减值测试方法和模型的确定、减值测试关键参数的选取、减值损失的分摊等）的合理性与恰当性，未识别可能存在的管理层偏向的迹象，也未充分考虑期后事项对商誉减值测试及其结论的影响。</w:t>
      </w:r>
    </w:p>
    <w:p w14:paraId="0072741D" w14:textId="77777777" w:rsidR="0036576E" w:rsidRDefault="0036576E" w:rsidP="0036576E">
      <w:pPr>
        <w:pStyle w:val="13"/>
      </w:pPr>
      <w:r>
        <w:rPr>
          <w:rFonts w:hint="eastAsia"/>
        </w:rPr>
        <w:t>第四，在利用专家的工作时，未恰当评价专家的胜任能力、专业素质和客观性，未就专家工作的内容达成一致意见，未充分复核并评价专家工作的恰当性及其对审</w:t>
      </w:r>
      <w:r>
        <w:rPr>
          <w:rFonts w:hint="eastAsia"/>
        </w:rPr>
        <w:lastRenderedPageBreak/>
        <w:t>计工作的支持程度，便直接依赖专家的工作成果。</w:t>
      </w:r>
    </w:p>
    <w:p w14:paraId="41DD1A82" w14:textId="77777777" w:rsidR="0036576E" w:rsidRDefault="0036576E" w:rsidP="0036576E">
      <w:pPr>
        <w:pStyle w:val="13"/>
      </w:pPr>
      <w:r>
        <w:rPr>
          <w:rFonts w:hint="eastAsia"/>
        </w:rPr>
        <w:t>第五，当商誉归属于集团的一个组成部分，且商誉减值事项的审计由组成部分会计师事务所实施时，未与组成部分会计师事务所保持充分、必要的沟通，未充分关注并评价组成部分审计工作的恰当性和审计证据的充分性与适当性。如果商誉减值是风险评估程序识别出的导致集团财务报表发生重大错报的特别风险，集团会计师事务所未复核组成部分会计师事务所对该特别风险形成的审计工作底稿。</w:t>
      </w:r>
    </w:p>
    <w:p w14:paraId="27DD8C85" w14:textId="77777777" w:rsidR="0036576E" w:rsidRDefault="0036576E" w:rsidP="0036576E">
      <w:pPr>
        <w:pStyle w:val="13"/>
      </w:pPr>
      <w:r>
        <w:rPr>
          <w:rFonts w:hint="eastAsia"/>
        </w:rPr>
        <w:t>第六，在形成审计报告时，未考虑将金额重大且涉及重大判断的商誉减值事项确定为关键审计事项，未在审计报告中充分描述关键审计事项的基本情况、应对措施，或描述的应对措施并未有效实施。</w:t>
      </w:r>
    </w:p>
    <w:p w14:paraId="796488BA" w14:textId="77777777" w:rsidR="0036576E" w:rsidRDefault="0036576E" w:rsidP="0036576E">
      <w:pPr>
        <w:pStyle w:val="13"/>
      </w:pPr>
      <w:r>
        <w:rPr>
          <w:rFonts w:hint="eastAsia"/>
        </w:rPr>
        <w:t>第七，在实施质量控制复核时，未充分关注并复核与商誉减值事项有关的审计程序与审计证据的充分性、适当性及职业判断与审计结论的恰当性。</w:t>
      </w:r>
    </w:p>
    <w:p w14:paraId="20DE538A" w14:textId="77777777" w:rsidR="0036576E" w:rsidRDefault="0036576E" w:rsidP="0036576E">
      <w:pPr>
        <w:pStyle w:val="13"/>
      </w:pPr>
      <w:r>
        <w:rPr>
          <w:rFonts w:hint="eastAsia"/>
        </w:rPr>
        <w:t>第八，未充分关注公司财务报告对商誉减值相关重要信息的披露不充分，未充分关注公司年度报告中其他信息部分对商誉减值事项披露与财务报表、已获取的审计证据的重大不一致。</w:t>
      </w:r>
    </w:p>
    <w:p w14:paraId="0C37944D" w14:textId="77777777" w:rsidR="0036576E" w:rsidRDefault="0036576E" w:rsidP="0036576E">
      <w:pPr>
        <w:pStyle w:val="13"/>
      </w:pPr>
      <w:r>
        <w:rPr>
          <w:rFonts w:hint="eastAsia"/>
        </w:rPr>
        <w:t>（二）监管关注事项</w:t>
      </w:r>
    </w:p>
    <w:p w14:paraId="4B41062B" w14:textId="77777777" w:rsidR="0036576E" w:rsidRDefault="0036576E" w:rsidP="0036576E">
      <w:pPr>
        <w:pStyle w:val="13"/>
      </w:pPr>
      <w:r>
        <w:rPr>
          <w:rFonts w:hint="eastAsia"/>
        </w:rPr>
        <w:t>在监管工作中，应关注会计师事务所是否对商誉减值这一特殊会计估计事项保持了合理的职业怀疑，是否实施了充分、适当的风险评估、控制测试、实质性测试等审计程序，是否获取了充分的审计证据并得出恰当的审计结论。具体包括：</w:t>
      </w:r>
    </w:p>
    <w:p w14:paraId="1896824E" w14:textId="77777777" w:rsidR="0036576E" w:rsidRDefault="0036576E" w:rsidP="0036576E">
      <w:pPr>
        <w:pStyle w:val="13"/>
      </w:pPr>
      <w:r>
        <w:rPr>
          <w:rFonts w:hint="eastAsia"/>
        </w:rPr>
        <w:t>第一，在了解被审计单位及其环境以识别和</w:t>
      </w:r>
      <w:proofErr w:type="gramStart"/>
      <w:r>
        <w:rPr>
          <w:rFonts w:hint="eastAsia"/>
        </w:rPr>
        <w:t>评估重</w:t>
      </w:r>
      <w:proofErr w:type="gramEnd"/>
      <w:r>
        <w:rPr>
          <w:rFonts w:hint="eastAsia"/>
        </w:rPr>
        <w:t>大错报风险时，会计师事务所应结合商誉减值事项的重要程度及不确定性程度，恰当认定其风险性质，以确定其是否为认定层次的重大错报风险。</w:t>
      </w:r>
    </w:p>
    <w:p w14:paraId="6111A647" w14:textId="77777777" w:rsidR="0036576E" w:rsidRDefault="0036576E" w:rsidP="0036576E">
      <w:pPr>
        <w:pStyle w:val="13"/>
      </w:pPr>
      <w:r>
        <w:rPr>
          <w:rFonts w:hint="eastAsia"/>
        </w:rPr>
        <w:t>第二，会计师事务所应根据风险评估结果制定必要、可行、有针对性的进一步审计程序，且确保所制定的审计程序得以有效落实。若认为商誉减值事项存在特别风险，会计师事务所还应当了解被审计单位与该风险相关的控制（包括控制活动）。</w:t>
      </w:r>
    </w:p>
    <w:p w14:paraId="7D24D79E" w14:textId="77777777" w:rsidR="0036576E" w:rsidRDefault="0036576E" w:rsidP="0036576E">
      <w:pPr>
        <w:pStyle w:val="13"/>
      </w:pPr>
      <w:r>
        <w:rPr>
          <w:rFonts w:hint="eastAsia"/>
        </w:rPr>
        <w:t>第三，会计师事务所应对商誉减值事项执行充分、必要的审计程序，获取充分、适当的审计证据，并详细记录关键审计程序的实施过程，尤其是记录基于判断当时知悉的情况和事实，进行推理的过程及形成的相关审计结论。具体来看：</w:t>
      </w:r>
    </w:p>
    <w:p w14:paraId="0970C2D6" w14:textId="678D2075" w:rsidR="0036576E" w:rsidRDefault="0036576E" w:rsidP="0036576E">
      <w:pPr>
        <w:pStyle w:val="13"/>
      </w:pPr>
      <w:r>
        <w:rPr>
          <w:rFonts w:hint="eastAsia"/>
        </w:rPr>
        <w:t>（</w:t>
      </w:r>
      <w:r>
        <w:t>1）应关注并复核公司对商誉减值迹象的判断是否合理；</w:t>
      </w:r>
    </w:p>
    <w:p w14:paraId="45EF37BA" w14:textId="2C230C89" w:rsidR="0036576E" w:rsidRDefault="0036576E" w:rsidP="0036576E">
      <w:pPr>
        <w:pStyle w:val="13"/>
      </w:pPr>
      <w:r>
        <w:rPr>
          <w:rFonts w:hint="eastAsia"/>
        </w:rPr>
        <w:t>（</w:t>
      </w:r>
      <w:r>
        <w:t>2）应关注并复核公司对商誉所在资产组或资产组组合的划分是否合理，是否将商誉账面价值在资产组或资产组组合之间恰当分摊；</w:t>
      </w:r>
    </w:p>
    <w:p w14:paraId="0539A5F4" w14:textId="57A4AA0D" w:rsidR="0036576E" w:rsidRDefault="0036576E" w:rsidP="0036576E">
      <w:pPr>
        <w:pStyle w:val="13"/>
      </w:pPr>
      <w:r>
        <w:rPr>
          <w:rFonts w:hint="eastAsia"/>
        </w:rPr>
        <w:t>（</w:t>
      </w:r>
      <w:r>
        <w:t>3）应关注并复核公司确定的减值测试方法与模型是否恰当；</w:t>
      </w:r>
    </w:p>
    <w:p w14:paraId="478AA545" w14:textId="5BC3A2E5" w:rsidR="0036576E" w:rsidRDefault="0036576E" w:rsidP="0036576E">
      <w:pPr>
        <w:pStyle w:val="13"/>
      </w:pPr>
      <w:r>
        <w:rPr>
          <w:rFonts w:hint="eastAsia"/>
        </w:rPr>
        <w:t>（</w:t>
      </w:r>
      <w:r>
        <w:t>4）应关注并复核公司进行商</w:t>
      </w:r>
      <w:proofErr w:type="gramStart"/>
      <w:r>
        <w:t>誉</w:t>
      </w:r>
      <w:proofErr w:type="gramEnd"/>
      <w:r>
        <w:t>减值测试所依据的基础数据是否准确、所选取的关键参数是否恰当，评价所采用的关键假设、所</w:t>
      </w:r>
      <w:proofErr w:type="gramStart"/>
      <w:r>
        <w:t>作出</w:t>
      </w:r>
      <w:proofErr w:type="gramEnd"/>
      <w:r>
        <w:t>的重大估计和判断、所选取的价值类型是否合理，分析减值测试方法与价值类型是否匹配。若认为商誉减值事项存</w:t>
      </w:r>
      <w:r>
        <w:lastRenderedPageBreak/>
        <w:t>在特别</w:t>
      </w:r>
      <w:r>
        <w:rPr>
          <w:rFonts w:hint="eastAsia"/>
        </w:rPr>
        <w:t>风险，还应考虑采用敏感性分析等方法评价管理层所作判断的合理性；</w:t>
      </w:r>
    </w:p>
    <w:p w14:paraId="2CF318B1" w14:textId="7B4D0AB9" w:rsidR="0036576E" w:rsidRDefault="0036576E" w:rsidP="0036576E">
      <w:pPr>
        <w:pStyle w:val="13"/>
      </w:pPr>
      <w:r>
        <w:rPr>
          <w:rFonts w:hint="eastAsia"/>
        </w:rPr>
        <w:t>（</w:t>
      </w:r>
      <w:r>
        <w:t>5）应关注并复核公司对商誉减值损失的分摊是否合理，是否恰当考虑了归属于少数股东商誉的影响；</w:t>
      </w:r>
    </w:p>
    <w:p w14:paraId="050702DD" w14:textId="55A14BC0" w:rsidR="0036576E" w:rsidRDefault="0036576E" w:rsidP="0036576E">
      <w:pPr>
        <w:pStyle w:val="13"/>
      </w:pPr>
      <w:r>
        <w:rPr>
          <w:rFonts w:hint="eastAsia"/>
        </w:rPr>
        <w:t>（</w:t>
      </w:r>
      <w:r>
        <w:t>6）若以前期间对商誉进行减值测试时，有关预测参数与期后实际情况存在重大偏差的，应充分关注并复核公司管理层在</w:t>
      </w:r>
      <w:proofErr w:type="gramStart"/>
      <w:r>
        <w:t>作出</w:t>
      </w:r>
      <w:proofErr w:type="gramEnd"/>
      <w:r>
        <w:t>会计估计时的判断和决策，以识别是否可能存在管理层偏向的迹象；</w:t>
      </w:r>
    </w:p>
    <w:p w14:paraId="7905937A" w14:textId="27E3D7FF" w:rsidR="0036576E" w:rsidRDefault="0036576E" w:rsidP="0036576E">
      <w:pPr>
        <w:pStyle w:val="13"/>
      </w:pPr>
      <w:r>
        <w:rPr>
          <w:rFonts w:hint="eastAsia"/>
        </w:rPr>
        <w:t>（</w:t>
      </w:r>
      <w:r>
        <w:t>7）应充分关注期后事项对商誉减值测试结论的影响；</w:t>
      </w:r>
    </w:p>
    <w:p w14:paraId="65F79C30" w14:textId="6AE223E8" w:rsidR="0036576E" w:rsidRDefault="0036576E" w:rsidP="0036576E">
      <w:pPr>
        <w:pStyle w:val="13"/>
      </w:pPr>
      <w:r>
        <w:rPr>
          <w:rFonts w:hint="eastAsia"/>
        </w:rPr>
        <w:t>（</w:t>
      </w:r>
      <w:r>
        <w:t>8）对公司未按规定实施商誉减值测试的，应结合其重要性判断是否应提请公司管理层补充进行商</w:t>
      </w:r>
      <w:proofErr w:type="gramStart"/>
      <w:r>
        <w:t>誉</w:t>
      </w:r>
      <w:proofErr w:type="gramEnd"/>
      <w:r>
        <w:t>减值测试，如果管理层拒绝，应考虑未做商誉减值测试对审计意见的影响。</w:t>
      </w:r>
    </w:p>
    <w:p w14:paraId="672FDACA" w14:textId="77777777" w:rsidR="0036576E" w:rsidRDefault="0036576E" w:rsidP="0036576E">
      <w:pPr>
        <w:pStyle w:val="13"/>
      </w:pPr>
      <w:r>
        <w:rPr>
          <w:rFonts w:hint="eastAsia"/>
        </w:rPr>
        <w:t>第四，在利用专家工作时，会计师事务所应与专家保持必要的沟通，充分关注专家的独立性和专业胜任能力，并对专家工作过程及其所作的重要职业判断（尤其是数据引用、参数选取、假设认定等）进行复核，以判断专家工作的恰当性，不得直接将专家工作成果作为判断商誉是否减值的依据。当公司或会计师事务所聘请的资产评估机构未对商誉所在资产组或资产组组合的可收回金额发表专门意见时，会计师事务所应着重考虑专家工作对审计工作的支持程度，并对专家工作成果进行必要调整，以适应财务报表审计目的。</w:t>
      </w:r>
    </w:p>
    <w:p w14:paraId="31E9732A" w14:textId="77777777" w:rsidR="0036576E" w:rsidRDefault="0036576E" w:rsidP="0036576E">
      <w:pPr>
        <w:pStyle w:val="13"/>
      </w:pPr>
      <w:r>
        <w:rPr>
          <w:rFonts w:hint="eastAsia"/>
        </w:rPr>
        <w:t>第五，当商誉归属于集团的一个组成部分时，会计师事务所应恰当制定集团总体审计策略和具体审计计划，确保组成部分会计师事务所对商誉减值事项保持了充分、必要的重视。若商誉减值事项是风险评估程序识别出的导致集团财务报表发生重大错报的特别风险，会计师事务所应至少复核组成部分会计师事务所对该特别风险形成的审计工作底稿，并根据对组成部分会计师事务所工作的了解，确定是否有必要追加审计程序。</w:t>
      </w:r>
    </w:p>
    <w:p w14:paraId="63F3EECB" w14:textId="77777777" w:rsidR="0036576E" w:rsidRDefault="0036576E" w:rsidP="0036576E">
      <w:pPr>
        <w:pStyle w:val="13"/>
      </w:pPr>
      <w:r>
        <w:rPr>
          <w:rFonts w:hint="eastAsia"/>
        </w:rPr>
        <w:t>第六，在形成审计报告时，会计师事务所应结合商誉减值事项的金额及执业中所作职业判断的重要程度，合理确定该事项是否构成关键审计事项。若该事项构成关键审计事项，会计师事务所应在审计报告中详细描述</w:t>
      </w:r>
      <w:proofErr w:type="gramStart"/>
      <w:r>
        <w:rPr>
          <w:rFonts w:hint="eastAsia"/>
        </w:rPr>
        <w:t>该关键</w:t>
      </w:r>
      <w:proofErr w:type="gramEnd"/>
      <w:r>
        <w:rPr>
          <w:rFonts w:hint="eastAsia"/>
        </w:rPr>
        <w:t>审计事项的基本情况及采取的应对措施，并在审计工作底稿中详细记录应对措施的实施情况。若采取的应对措施仍不足以消除关于财务报表不存在重大错报的疑虑，会计师事务所不应将该事项在关键审计事项部分描述，而应考虑其对审计意见的影响并在审计报告相应部分进行说明。</w:t>
      </w:r>
    </w:p>
    <w:p w14:paraId="34B46765" w14:textId="77777777" w:rsidR="0036576E" w:rsidRDefault="0036576E" w:rsidP="0036576E">
      <w:pPr>
        <w:pStyle w:val="13"/>
      </w:pPr>
      <w:r>
        <w:rPr>
          <w:rFonts w:hint="eastAsia"/>
        </w:rPr>
        <w:t>第七，会计师事务所应安排具有经验和专业胜任能力的项目质量控制复核人员，严格履行质量控制复核制度，对涉及商誉减值的有关事项进行充分复核。在质量控制复核发现的重大问题未得到解决前，不得出具审计报告。</w:t>
      </w:r>
    </w:p>
    <w:p w14:paraId="07EF4CC9" w14:textId="77777777" w:rsidR="0036576E" w:rsidRDefault="0036576E" w:rsidP="0036576E">
      <w:pPr>
        <w:pStyle w:val="13"/>
      </w:pPr>
      <w:r>
        <w:rPr>
          <w:rFonts w:hint="eastAsia"/>
        </w:rPr>
        <w:t>第八，会计师事务所应恰当评价公司财务报告是否按《企业会计准则》和相关信</w:t>
      </w:r>
      <w:r>
        <w:rPr>
          <w:rFonts w:hint="eastAsia"/>
        </w:rPr>
        <w:lastRenderedPageBreak/>
        <w:t>息</w:t>
      </w:r>
      <w:r>
        <w:t xml:space="preserve"> 披露编报规则充分披露与商誉减值相关的所有重要信息。同时，会计师事务所还应阅读并考虑获取的其他信息（包括审计报告日前和审计报告日后取得的其他信息），充分关 </w:t>
      </w:r>
      <w:proofErr w:type="gramStart"/>
      <w:r>
        <w:t>注其他</w:t>
      </w:r>
      <w:proofErr w:type="gramEnd"/>
      <w:r>
        <w:t>信息中的商誉减值事项披露是否与财务报表、已获取的审计证据存在重大不一致。</w:t>
      </w:r>
    </w:p>
    <w:p w14:paraId="02616C40" w14:textId="77777777" w:rsidR="0036576E" w:rsidRDefault="0036576E" w:rsidP="0036576E">
      <w:pPr>
        <w:pStyle w:val="ab"/>
        <w:spacing w:before="62" w:after="62"/>
        <w:ind w:firstLine="482"/>
      </w:pPr>
      <w:r>
        <w:rPr>
          <w:rFonts w:hint="eastAsia"/>
        </w:rPr>
        <w:t>三、与商誉减值事项相关的评估</w:t>
      </w:r>
    </w:p>
    <w:p w14:paraId="6E8293B0" w14:textId="77777777" w:rsidR="0036576E" w:rsidRDefault="0036576E" w:rsidP="0036576E">
      <w:pPr>
        <w:pStyle w:val="13"/>
      </w:pPr>
      <w:r>
        <w:rPr>
          <w:rFonts w:hint="eastAsia"/>
        </w:rPr>
        <w:t>因商誉减值事项的特殊性与专业性，不少公司与会计师事务所在进行商</w:t>
      </w:r>
      <w:proofErr w:type="gramStart"/>
      <w:r>
        <w:rPr>
          <w:rFonts w:hint="eastAsia"/>
        </w:rPr>
        <w:t>誉</w:t>
      </w:r>
      <w:proofErr w:type="gramEnd"/>
      <w:r>
        <w:rPr>
          <w:rFonts w:hint="eastAsia"/>
        </w:rPr>
        <w:t>减值测试或对商誉减值事项进行审计时，均会利用资产评估机构及其从业人员（以下统称评估机构）出具的专业意见。评估机构应按照相关法律法规、《资产评估准则》及依法制定的其他业务规则勤勉执业。</w:t>
      </w:r>
    </w:p>
    <w:p w14:paraId="2268A8E0" w14:textId="77777777" w:rsidR="0036576E" w:rsidRDefault="0036576E" w:rsidP="0036576E">
      <w:pPr>
        <w:pStyle w:val="13"/>
      </w:pPr>
      <w:r>
        <w:rPr>
          <w:rFonts w:hint="eastAsia"/>
        </w:rPr>
        <w:t>（一）常见问题</w:t>
      </w:r>
    </w:p>
    <w:p w14:paraId="24234D01" w14:textId="77777777" w:rsidR="0036576E" w:rsidRDefault="0036576E" w:rsidP="0036576E">
      <w:pPr>
        <w:pStyle w:val="13"/>
      </w:pPr>
      <w:r>
        <w:rPr>
          <w:rFonts w:hint="eastAsia"/>
        </w:rPr>
        <w:t>评估机构接受委托，对商誉减值的相关事项进行评估时，通常存在以下问题：</w:t>
      </w:r>
    </w:p>
    <w:p w14:paraId="794DD89B" w14:textId="77777777" w:rsidR="0036576E" w:rsidRDefault="0036576E" w:rsidP="0036576E">
      <w:pPr>
        <w:pStyle w:val="13"/>
      </w:pPr>
      <w:r>
        <w:rPr>
          <w:rFonts w:hint="eastAsia"/>
        </w:rPr>
        <w:t>第一，在接受委托时，未与委托人及其他相关方充分沟通，未与委托人明确约定评估目的、评估基准日、评估对象、评估范围、价值类型等要素，导致出具的评估报告不能直接满足委托人及其他相关方的需要。</w:t>
      </w:r>
    </w:p>
    <w:p w14:paraId="3A7BA9D2" w14:textId="13C3C8BC" w:rsidR="0036576E" w:rsidRDefault="0036576E" w:rsidP="0036576E">
      <w:pPr>
        <w:pStyle w:val="13"/>
      </w:pPr>
      <w:r>
        <w:rPr>
          <w:rFonts w:hint="eastAsia"/>
        </w:rPr>
        <w:t>第二，在实际执业时，未按资产评估委托合同明确约定的各项要素开展评估工作</w:t>
      </w:r>
      <w:r w:rsidR="003068F8">
        <w:rPr>
          <w:rFonts w:hint="eastAsia"/>
        </w:rPr>
        <w:t>，</w:t>
      </w:r>
      <w:r>
        <w:t>评估报告有关内容与事先约定不一致。</w:t>
      </w:r>
    </w:p>
    <w:p w14:paraId="352EAC57" w14:textId="77777777" w:rsidR="0036576E" w:rsidRDefault="0036576E" w:rsidP="0036576E">
      <w:pPr>
        <w:pStyle w:val="13"/>
      </w:pPr>
      <w:r>
        <w:rPr>
          <w:rFonts w:hint="eastAsia"/>
        </w:rPr>
        <w:t>第三，在现场调查与资料核验时，未对评估对象进行充分的现场调查，未对委托人提供的相关数据和资料进行必要的核查验证，特别是资产组或资产组组合的范围、历史财务数据、预测数据及其所依赖的重大商业合同与协议等。</w:t>
      </w:r>
    </w:p>
    <w:p w14:paraId="5A965148" w14:textId="77777777" w:rsidR="0036576E" w:rsidRDefault="0036576E" w:rsidP="0036576E">
      <w:pPr>
        <w:pStyle w:val="13"/>
      </w:pPr>
      <w:r>
        <w:rPr>
          <w:rFonts w:hint="eastAsia"/>
        </w:rPr>
        <w:t>第四，在选择评估方法时，未选择适合商誉减值测试目的的评估方法，未充分分析相关评估方法的适用性，未与前期商誉减值测试采用的评估方法保持一致且缺乏合理理由。</w:t>
      </w:r>
    </w:p>
    <w:p w14:paraId="53B92287" w14:textId="77777777" w:rsidR="0036576E" w:rsidRDefault="0036576E" w:rsidP="0036576E">
      <w:pPr>
        <w:pStyle w:val="13"/>
      </w:pPr>
      <w:r>
        <w:rPr>
          <w:rFonts w:hint="eastAsia"/>
        </w:rPr>
        <w:t>第五，在选取评估模型与参数时，未充分关注商誉所在资产组或资产组组合所处的外部环境与内部经营情况，未</w:t>
      </w:r>
      <w:proofErr w:type="gramStart"/>
      <w:r>
        <w:rPr>
          <w:rFonts w:hint="eastAsia"/>
        </w:rPr>
        <w:t>合理关注</w:t>
      </w:r>
      <w:proofErr w:type="gramEnd"/>
      <w:r>
        <w:rPr>
          <w:rFonts w:hint="eastAsia"/>
        </w:rPr>
        <w:t>已出现的商誉减值迹象，未充分考虑会计准则对相关评估参数的客观要求。</w:t>
      </w:r>
    </w:p>
    <w:p w14:paraId="06A6AFBB" w14:textId="77777777" w:rsidR="0036576E" w:rsidRDefault="0036576E" w:rsidP="0036576E">
      <w:pPr>
        <w:pStyle w:val="13"/>
      </w:pPr>
      <w:r>
        <w:rPr>
          <w:rFonts w:hint="eastAsia"/>
        </w:rPr>
        <w:t>第六，在形成评估报告与评估说明时，未明确说明与商誉减值相关的评估要素及其合理性，未充分披露对理解和使用评估报告有重要影响的信息，未充分了解评估基准日至评估报告日之间发生的重大期后事项并披露其对评估结论的影响。</w:t>
      </w:r>
    </w:p>
    <w:p w14:paraId="43B05956" w14:textId="77777777" w:rsidR="0036576E" w:rsidRDefault="0036576E" w:rsidP="0036576E">
      <w:pPr>
        <w:pStyle w:val="13"/>
      </w:pPr>
      <w:r>
        <w:rPr>
          <w:rFonts w:hint="eastAsia"/>
        </w:rPr>
        <w:t>（二）监管关注事项</w:t>
      </w:r>
    </w:p>
    <w:p w14:paraId="5F600382" w14:textId="77777777" w:rsidR="0036576E" w:rsidRDefault="0036576E" w:rsidP="0036576E">
      <w:pPr>
        <w:pStyle w:val="13"/>
      </w:pPr>
      <w:r>
        <w:rPr>
          <w:rFonts w:hint="eastAsia"/>
        </w:rPr>
        <w:t>在监管工作中，应关注评估机构是否恰当实施评估程序，是否进行了充分的现场调查并对相关资料和数据进行核查验证，是否恰当选取评估方法、评估模型与参数并得出恰当的评估结论。具体包括：</w:t>
      </w:r>
    </w:p>
    <w:p w14:paraId="01736A7F" w14:textId="77777777" w:rsidR="0036576E" w:rsidRDefault="0036576E" w:rsidP="0036576E">
      <w:pPr>
        <w:pStyle w:val="13"/>
      </w:pPr>
      <w:r>
        <w:rPr>
          <w:rFonts w:hint="eastAsia"/>
        </w:rPr>
        <w:t>第一，评估机构应在与委托人充分沟通的基础上，明确将用于商誉减值测试目的的</w:t>
      </w:r>
      <w:r>
        <w:t xml:space="preserve"> 评估事项约定为以财务报告为目的的评估，并明确约定涉及商誉减值测试的评估</w:t>
      </w:r>
      <w:r>
        <w:lastRenderedPageBreak/>
        <w:t>基准日、评估对象、评估范围、价值类型等重要要素。</w:t>
      </w:r>
    </w:p>
    <w:p w14:paraId="43C93C90" w14:textId="77777777" w:rsidR="0036576E" w:rsidRDefault="0036576E" w:rsidP="0036576E">
      <w:pPr>
        <w:pStyle w:val="13"/>
      </w:pPr>
      <w:r>
        <w:rPr>
          <w:rFonts w:hint="eastAsia"/>
        </w:rPr>
        <w:t>第二，评估机构应按约定的评估目的、评估基准日、评估对象、评估范围、价值类型等要素开展评估工作，不得随意变更关键评估要素，不得以股权、企业价值的评估报告代替以财务报告为目的的评估报告。</w:t>
      </w:r>
    </w:p>
    <w:p w14:paraId="1A254385" w14:textId="77777777" w:rsidR="0036576E" w:rsidRDefault="0036576E" w:rsidP="0036576E">
      <w:pPr>
        <w:pStyle w:val="13"/>
      </w:pPr>
      <w:r>
        <w:rPr>
          <w:rFonts w:hint="eastAsia"/>
        </w:rPr>
        <w:t>第三，评估机构应对商誉所在资产组或资产组组合进行现场调查，并对收集的资料进行必要的核查验证，合理利用观察、询问、访谈、核对、函证、监盘、勘查、书面审查、实地调查等手段：</w:t>
      </w:r>
    </w:p>
    <w:p w14:paraId="229C1724" w14:textId="0088660F" w:rsidR="0036576E" w:rsidRDefault="0036576E" w:rsidP="0036576E">
      <w:pPr>
        <w:pStyle w:val="13"/>
      </w:pPr>
      <w:r>
        <w:rPr>
          <w:rFonts w:hint="eastAsia"/>
        </w:rPr>
        <w:t>（</w:t>
      </w:r>
      <w:r>
        <w:t>1）应充分关注商誉所在资产组或资产组组合的法律、物理、技术与经济等具体特征，合理判断相关资产组或资产组组合独立产生现金流的能力，关注其与商誉初始确认时的资产组或资产组组合的一致性；</w:t>
      </w:r>
    </w:p>
    <w:p w14:paraId="5930810A" w14:textId="0BBFFAC9" w:rsidR="0036576E" w:rsidRDefault="0036576E" w:rsidP="0036576E">
      <w:pPr>
        <w:pStyle w:val="13"/>
      </w:pPr>
      <w:r>
        <w:rPr>
          <w:rFonts w:hint="eastAsia"/>
        </w:rPr>
        <w:t>（</w:t>
      </w:r>
      <w:r>
        <w:t>2）应充分了解商誉所在资产组或资产组组合所处的宏观经济环境、行业发展趋势、市场容量和竞争状况、地域因素等外部环境信息及公司产能、生产现状、在手合同及订单、商业计划等内部经营信息，并评价其与委托人提供的财务预算或预测数据的一致性。</w:t>
      </w:r>
    </w:p>
    <w:p w14:paraId="34D348FB" w14:textId="77777777" w:rsidR="0036576E" w:rsidRDefault="0036576E" w:rsidP="0036576E">
      <w:pPr>
        <w:pStyle w:val="13"/>
      </w:pPr>
      <w:r>
        <w:rPr>
          <w:rFonts w:hint="eastAsia"/>
        </w:rPr>
        <w:t>第四，评估机构应根据会计准则的要求，充分分析不同评估方法的适用性，恰当选择与商誉减值测试相适应的评估方法。需要说明的是，后续期间商誉减值测试的评估方法应与以前期间的保持一致，除非有证据显示变更新的评估方法所得出的评估结论更具代表性，或原有的评估方法不再适用。</w:t>
      </w:r>
    </w:p>
    <w:p w14:paraId="7ACECCE9" w14:textId="4F89606C" w:rsidR="0036576E" w:rsidRDefault="0036576E" w:rsidP="0036576E">
      <w:pPr>
        <w:pStyle w:val="13"/>
      </w:pPr>
      <w:r>
        <w:rPr>
          <w:rFonts w:hint="eastAsia"/>
        </w:rPr>
        <w:t>第五，评估机构应结合所获取的外部环境信息、内部经营信息，着重考虑已出现的商誉减值迹象，合理选取评估模型与参数。关于评估模型和参数选取的监管关注事项，</w:t>
      </w:r>
      <w:r>
        <w:t>参照本提示“一、商誉减值的会计处理及信息披露”部分“（三）商誉减值测试过程和会计处理”的监管关注事项有关内容。</w:t>
      </w:r>
    </w:p>
    <w:p w14:paraId="6A981036" w14:textId="77777777" w:rsidR="0036576E" w:rsidRDefault="0036576E" w:rsidP="0036576E">
      <w:pPr>
        <w:pStyle w:val="13"/>
      </w:pPr>
      <w:r>
        <w:rPr>
          <w:rFonts w:hint="eastAsia"/>
        </w:rPr>
        <w:t>第六，评估机构应在评估报告或评估说明中充分披露与商誉减值测试相关的评估要素、关键参数及其他对评估结论有重要影响的信息。具体来看：</w:t>
      </w:r>
    </w:p>
    <w:p w14:paraId="66B2D456" w14:textId="6444F3C9" w:rsidR="0036576E" w:rsidRDefault="0036576E" w:rsidP="0036576E">
      <w:pPr>
        <w:pStyle w:val="13"/>
      </w:pPr>
      <w:r>
        <w:rPr>
          <w:rFonts w:hint="eastAsia"/>
        </w:rPr>
        <w:t>（</w:t>
      </w:r>
      <w:r>
        <w:t>1）应在评估报告或评估说明中详细披露评估对象、评估范围、价值类型、评估方法、评估假设等评估要素及其合理性，并充分披露关键评估参数的测算依据和逻辑推理过程。如果选取的关键评估参数与形成商誉时或以前年度商誉减值测试时的信息、公司历史经验或外部信息明显不一致，还应披露存在的差异及其原因；</w:t>
      </w:r>
    </w:p>
    <w:p w14:paraId="45944C61" w14:textId="44495D15" w:rsidR="009E1543" w:rsidRDefault="0036576E" w:rsidP="0036576E">
      <w:pPr>
        <w:pStyle w:val="13"/>
      </w:pPr>
      <w:r>
        <w:rPr>
          <w:rFonts w:hint="eastAsia"/>
        </w:rPr>
        <w:t>（</w:t>
      </w:r>
      <w:r>
        <w:t>2）应关注评估基准日至评估报告日之间发生的与评估对象相关的重大期后事项，包括但不限于内外部环境的重大变化、重大诉讼与仲裁的最新进展等，并在评估报告中详细披露该事项及其对评估结论的影响。</w:t>
      </w:r>
    </w:p>
    <w:p w14:paraId="566E71DE" w14:textId="61726906" w:rsidR="009E1543" w:rsidRDefault="0036576E" w:rsidP="0036576E">
      <w:pPr>
        <w:pStyle w:val="31"/>
        <w:spacing w:before="156" w:after="62"/>
      </w:pPr>
      <w:bookmarkStart w:id="95" w:name="_Toc81833358"/>
      <w:r w:rsidRPr="0036576E">
        <w:rPr>
          <w:rFonts w:hint="eastAsia"/>
        </w:rPr>
        <w:t>会计监管风险提示第</w:t>
      </w:r>
      <w:r w:rsidRPr="0036576E">
        <w:t>9号</w:t>
      </w:r>
      <w:proofErr w:type="gramStart"/>
      <w:r w:rsidRPr="0036576E">
        <w:t>—上市</w:t>
      </w:r>
      <w:proofErr w:type="gramEnd"/>
      <w:r w:rsidRPr="0036576E">
        <w:t>公司控股股东资金占用及其审计</w:t>
      </w:r>
      <w:bookmarkEnd w:id="95"/>
    </w:p>
    <w:p w14:paraId="0C069513" w14:textId="77777777" w:rsidR="0036576E" w:rsidRPr="0036576E" w:rsidRDefault="0036576E" w:rsidP="0036576E">
      <w:pPr>
        <w:pStyle w:val="13"/>
      </w:pPr>
      <w:r w:rsidRPr="0036576E">
        <w:rPr>
          <w:rFonts w:hint="eastAsia"/>
        </w:rPr>
        <w:t>为强化对上市公司控股股东及其关联方资金占用和违规担保问题（以下简称资</w:t>
      </w:r>
      <w:r w:rsidRPr="0036576E">
        <w:rPr>
          <w:rFonts w:hint="eastAsia"/>
        </w:rPr>
        <w:lastRenderedPageBreak/>
        <w:t>金占用）的会计监管，规范上市公司相关内部控制，督促会计师事务所勤勉尽责执业，防范化解金融风险，提升资本市场会计信息披露质量，保护投资者合法权益，根据《企业会计准则》《企业内部控制基本规范》《上市公司信息披露管理办法》《上市公司治理准则》《关于规范上市公司与关联方资金往来及上市公司对外担保若干问题的通知》《中国注册会计师执业准则》等有关规定，现就上市公司控股股东资金占用及其审计业务的会计监管风险进行提示。</w:t>
      </w:r>
    </w:p>
    <w:p w14:paraId="7391B41E" w14:textId="77777777" w:rsidR="0036576E" w:rsidRPr="0036576E" w:rsidRDefault="0036576E" w:rsidP="0036576E">
      <w:pPr>
        <w:pStyle w:val="ab"/>
        <w:spacing w:before="62" w:after="62"/>
        <w:ind w:firstLine="482"/>
      </w:pPr>
      <w:r w:rsidRPr="0036576E">
        <w:rPr>
          <w:rFonts w:hint="eastAsia"/>
        </w:rPr>
        <w:t>一、资金占用的主要形式</w:t>
      </w:r>
    </w:p>
    <w:p w14:paraId="37B7E846" w14:textId="77777777" w:rsidR="0036576E" w:rsidRPr="0036576E" w:rsidRDefault="0036576E" w:rsidP="0036576E">
      <w:pPr>
        <w:pStyle w:val="13"/>
      </w:pPr>
      <w:r w:rsidRPr="0036576E">
        <w:rPr>
          <w:rFonts w:hint="eastAsia"/>
        </w:rPr>
        <w:t>控股股东资金占用形式多样，通过总结归纳现有监管案例情况，主要分为以下两种模式：</w:t>
      </w:r>
    </w:p>
    <w:p w14:paraId="25568532" w14:textId="77777777" w:rsidR="0036576E" w:rsidRPr="0036576E" w:rsidRDefault="0036576E" w:rsidP="0036576E">
      <w:pPr>
        <w:pStyle w:val="13"/>
      </w:pPr>
      <w:r w:rsidRPr="0036576E">
        <w:rPr>
          <w:rFonts w:hint="eastAsia"/>
        </w:rPr>
        <w:t>（一）余额模式</w:t>
      </w:r>
    </w:p>
    <w:p w14:paraId="034098BF" w14:textId="77777777" w:rsidR="0036576E" w:rsidRPr="0036576E" w:rsidRDefault="0036576E" w:rsidP="0036576E">
      <w:pPr>
        <w:pStyle w:val="13"/>
      </w:pPr>
      <w:r w:rsidRPr="0036576E">
        <w:rPr>
          <w:rFonts w:hint="eastAsia"/>
        </w:rPr>
        <w:t>余额模式是指上市公司虚构财务报表中货币资金余额以隐瞒控股股东及其关联方的资金占用，或不披露货币资金受限情况以隐瞒违规担保，进而直接影响财务报表使用者对货币资金项目真实性和流动性的判断。主要包括：</w:t>
      </w:r>
    </w:p>
    <w:p w14:paraId="60309919" w14:textId="3278FBF8" w:rsidR="0036576E" w:rsidRPr="0036576E" w:rsidRDefault="0036576E" w:rsidP="0036576E">
      <w:pPr>
        <w:pStyle w:val="13"/>
      </w:pPr>
      <w:r w:rsidRPr="0036576E">
        <w:rPr>
          <w:rFonts w:hint="eastAsia"/>
        </w:rPr>
        <w:t>1.使用虚假单据和凭证（如虚假的银行对账单、银行回单、记账凭证等）直接虚增相关账户的货币资金；</w:t>
      </w:r>
    </w:p>
    <w:p w14:paraId="436E3963" w14:textId="5C0DA4BB" w:rsidR="0036576E" w:rsidRPr="0036576E" w:rsidRDefault="0036576E" w:rsidP="0036576E">
      <w:pPr>
        <w:pStyle w:val="13"/>
      </w:pPr>
      <w:r w:rsidRPr="0036576E">
        <w:rPr>
          <w:rFonts w:hint="eastAsia"/>
        </w:rPr>
        <w:t>2.开立定期存款、保证金等银行账户，并通过虚假单据和凭证，虚构货币资金在公司正常账户与这些定期存款、保证金等账户中的转移，以掩盖资金挪用；</w:t>
      </w:r>
    </w:p>
    <w:p w14:paraId="769C6B9F" w14:textId="2C8694CF" w:rsidR="0036576E" w:rsidRPr="0036576E" w:rsidRDefault="0036576E" w:rsidP="0036576E">
      <w:pPr>
        <w:pStyle w:val="13"/>
      </w:pPr>
      <w:r w:rsidRPr="0036576E">
        <w:rPr>
          <w:rFonts w:hint="eastAsia"/>
        </w:rPr>
        <w:t>3</w:t>
      </w:r>
      <w:r>
        <w:rPr>
          <w:rFonts w:hint="eastAsia"/>
        </w:rPr>
        <w:t>.</w:t>
      </w:r>
      <w:r w:rsidRPr="0036576E">
        <w:rPr>
          <w:rFonts w:hint="eastAsia"/>
        </w:rPr>
        <w:t>控股股东通过与金融机构签订集团资金管理协议、资金</w:t>
      </w:r>
      <w:proofErr w:type="gramStart"/>
      <w:r w:rsidRPr="0036576E">
        <w:rPr>
          <w:rFonts w:hint="eastAsia"/>
        </w:rPr>
        <w:t>池安排</w:t>
      </w:r>
      <w:proofErr w:type="gramEnd"/>
      <w:r w:rsidRPr="0036576E">
        <w:rPr>
          <w:rFonts w:hint="eastAsia"/>
        </w:rPr>
        <w:t>等，将上市公司货币资金归集并挪用，但上市公司货币资金项目显示为被占用前的“应计余额”；</w:t>
      </w:r>
    </w:p>
    <w:p w14:paraId="69D998BD" w14:textId="3699CFC0" w:rsidR="0036576E" w:rsidRPr="0036576E" w:rsidRDefault="0036576E" w:rsidP="0036576E">
      <w:pPr>
        <w:pStyle w:val="13"/>
      </w:pPr>
      <w:r w:rsidRPr="0036576E">
        <w:rPr>
          <w:rFonts w:hint="eastAsia"/>
        </w:rPr>
        <w:t>4</w:t>
      </w:r>
      <w:r>
        <w:rPr>
          <w:rFonts w:hint="eastAsia"/>
        </w:rPr>
        <w:t>.</w:t>
      </w:r>
      <w:r w:rsidRPr="0036576E">
        <w:rPr>
          <w:rFonts w:hint="eastAsia"/>
        </w:rPr>
        <w:t>未履行规定的审批程序，以定期存款等货币资金或理财产品等金融资产为控股股东的融资行为（如借款、开立银行承兑汇票等）提供质押担保，且未披露货币资金或相关金融资产的受限情况。</w:t>
      </w:r>
    </w:p>
    <w:p w14:paraId="5BC56CBD" w14:textId="77777777" w:rsidR="0036576E" w:rsidRPr="0036576E" w:rsidRDefault="0036576E" w:rsidP="0036576E">
      <w:pPr>
        <w:pStyle w:val="13"/>
      </w:pPr>
      <w:r w:rsidRPr="0036576E">
        <w:rPr>
          <w:rFonts w:hint="eastAsia"/>
        </w:rPr>
        <w:t>此外，上市公司为控股股东的融资行为提供信用担保，但未按规定履行审批程序且隐瞒披露，也直接影响财务报表使用者对公司偿债能力和营运能力的判断。</w:t>
      </w:r>
    </w:p>
    <w:p w14:paraId="3FE985F2" w14:textId="77777777" w:rsidR="0036576E" w:rsidRPr="0036576E" w:rsidRDefault="0036576E" w:rsidP="0036576E">
      <w:pPr>
        <w:pStyle w:val="13"/>
      </w:pPr>
      <w:r w:rsidRPr="0036576E">
        <w:rPr>
          <w:rFonts w:hint="eastAsia"/>
        </w:rPr>
        <w:t>（二）发生额模式</w:t>
      </w:r>
    </w:p>
    <w:p w14:paraId="7CC47558" w14:textId="77777777" w:rsidR="0036576E" w:rsidRPr="0036576E" w:rsidRDefault="0036576E" w:rsidP="0036576E">
      <w:pPr>
        <w:pStyle w:val="13"/>
      </w:pPr>
      <w:r w:rsidRPr="0036576E">
        <w:rPr>
          <w:rFonts w:hint="eastAsia"/>
        </w:rPr>
        <w:t>发生</w:t>
      </w:r>
      <w:proofErr w:type="gramStart"/>
      <w:r w:rsidRPr="0036576E">
        <w:rPr>
          <w:rFonts w:hint="eastAsia"/>
        </w:rPr>
        <w:t>额模式</w:t>
      </w:r>
      <w:proofErr w:type="gramEnd"/>
      <w:r w:rsidRPr="0036576E">
        <w:rPr>
          <w:rFonts w:hint="eastAsia"/>
        </w:rPr>
        <w:t>是指控股股东及其关联方利用上市公司直接或间接（如通过关联方、第三方、员工设立的公司等）的资金拆借、</w:t>
      </w:r>
      <w:proofErr w:type="gramStart"/>
      <w:r w:rsidRPr="0036576E">
        <w:rPr>
          <w:rFonts w:hint="eastAsia"/>
        </w:rPr>
        <w:t>无商业</w:t>
      </w:r>
      <w:proofErr w:type="gramEnd"/>
      <w:r w:rsidRPr="0036576E">
        <w:rPr>
          <w:rFonts w:hint="eastAsia"/>
        </w:rPr>
        <w:t>实质的购销业务或票据交换、对外投资、支付工程款等形式占用其资金。资金占用具体体现在上市公司财务报表的往来款项、应收应付票据、长期股权投资、在建工程、长短期借款等项目中，货币资金项目通常不存在直接虚假。主要包括：</w:t>
      </w:r>
    </w:p>
    <w:p w14:paraId="17D6A868" w14:textId="0305ACF5" w:rsidR="0036576E" w:rsidRPr="0036576E" w:rsidRDefault="0036576E" w:rsidP="0036576E">
      <w:pPr>
        <w:pStyle w:val="13"/>
      </w:pPr>
      <w:r w:rsidRPr="0036576E">
        <w:rPr>
          <w:rFonts w:hint="eastAsia"/>
        </w:rPr>
        <w:t>1</w:t>
      </w:r>
      <w:r>
        <w:rPr>
          <w:rFonts w:hint="eastAsia"/>
        </w:rPr>
        <w:t>.</w:t>
      </w:r>
      <w:r w:rsidRPr="0036576E">
        <w:rPr>
          <w:rFonts w:hint="eastAsia"/>
        </w:rPr>
        <w:t>直接或间接拆借资金给控股股东；</w:t>
      </w:r>
    </w:p>
    <w:p w14:paraId="210765F0" w14:textId="331F86CD" w:rsidR="0036576E" w:rsidRPr="0036576E" w:rsidRDefault="0036576E" w:rsidP="0036576E">
      <w:pPr>
        <w:pStyle w:val="13"/>
      </w:pPr>
      <w:r w:rsidRPr="0036576E">
        <w:rPr>
          <w:rFonts w:hint="eastAsia"/>
        </w:rPr>
        <w:t>2</w:t>
      </w:r>
      <w:r>
        <w:rPr>
          <w:rFonts w:hint="eastAsia"/>
        </w:rPr>
        <w:t>.</w:t>
      </w:r>
      <w:r w:rsidRPr="0036576E">
        <w:rPr>
          <w:rFonts w:hint="eastAsia"/>
        </w:rPr>
        <w:t>利用</w:t>
      </w:r>
      <w:proofErr w:type="gramStart"/>
      <w:r w:rsidRPr="0036576E">
        <w:rPr>
          <w:rFonts w:hint="eastAsia"/>
        </w:rPr>
        <w:t>无商业</w:t>
      </w:r>
      <w:proofErr w:type="gramEnd"/>
      <w:r w:rsidRPr="0036576E">
        <w:rPr>
          <w:rFonts w:hint="eastAsia"/>
        </w:rPr>
        <w:t>实质的购销业务，直接或间接向控股股东支付采购资金或者开具汇票供其贴现、背书等；</w:t>
      </w:r>
    </w:p>
    <w:p w14:paraId="33DE7EF5" w14:textId="54A5BA00" w:rsidR="0036576E" w:rsidRPr="0036576E" w:rsidRDefault="0036576E" w:rsidP="0036576E">
      <w:pPr>
        <w:pStyle w:val="13"/>
      </w:pPr>
      <w:r w:rsidRPr="0036576E">
        <w:rPr>
          <w:rFonts w:hint="eastAsia"/>
        </w:rPr>
        <w:t>3</w:t>
      </w:r>
      <w:r>
        <w:rPr>
          <w:rFonts w:hint="eastAsia"/>
        </w:rPr>
        <w:t>.</w:t>
      </w:r>
      <w:r w:rsidRPr="0036576E">
        <w:rPr>
          <w:rFonts w:hint="eastAsia"/>
        </w:rPr>
        <w:t>应收账款回款时被控股股东代收占用，或通过应收</w:t>
      </w:r>
      <w:proofErr w:type="gramStart"/>
      <w:r w:rsidRPr="0036576E">
        <w:rPr>
          <w:rFonts w:hint="eastAsia"/>
        </w:rPr>
        <w:t>账款保理将</w:t>
      </w:r>
      <w:proofErr w:type="gramEnd"/>
      <w:r w:rsidRPr="0036576E">
        <w:rPr>
          <w:rFonts w:hint="eastAsia"/>
        </w:rPr>
        <w:t>资金提供给控</w:t>
      </w:r>
      <w:r w:rsidRPr="0036576E">
        <w:rPr>
          <w:rFonts w:hint="eastAsia"/>
        </w:rPr>
        <w:lastRenderedPageBreak/>
        <w:t>股股东，或上市公司的客户以占用应收账款的形式为控股股东提供资金支持；</w:t>
      </w:r>
    </w:p>
    <w:p w14:paraId="79B93D84" w14:textId="709B24F4" w:rsidR="0036576E" w:rsidRPr="0036576E" w:rsidRDefault="0036576E" w:rsidP="0036576E">
      <w:pPr>
        <w:pStyle w:val="13"/>
      </w:pPr>
      <w:r w:rsidRPr="0036576E">
        <w:rPr>
          <w:rFonts w:hint="eastAsia"/>
        </w:rPr>
        <w:t>4</w:t>
      </w:r>
      <w:r>
        <w:rPr>
          <w:rFonts w:hint="eastAsia"/>
        </w:rPr>
        <w:t>.</w:t>
      </w:r>
      <w:r w:rsidRPr="0036576E">
        <w:rPr>
          <w:rFonts w:hint="eastAsia"/>
        </w:rPr>
        <w:t>利用汇票交易，或虚构汇票背书转入转出等，掩盖控股股东的资金占用；</w:t>
      </w:r>
    </w:p>
    <w:p w14:paraId="5279D9DA" w14:textId="228AF6EA" w:rsidR="0036576E" w:rsidRPr="0036576E" w:rsidRDefault="0036576E" w:rsidP="0036576E">
      <w:pPr>
        <w:pStyle w:val="13"/>
      </w:pPr>
      <w:r w:rsidRPr="0036576E">
        <w:rPr>
          <w:rFonts w:hint="eastAsia"/>
        </w:rPr>
        <w:t>5</w:t>
      </w:r>
      <w:r>
        <w:rPr>
          <w:rFonts w:hint="eastAsia"/>
        </w:rPr>
        <w:t>.</w:t>
      </w:r>
      <w:r w:rsidRPr="0036576E">
        <w:rPr>
          <w:rFonts w:hint="eastAsia"/>
        </w:rPr>
        <w:t>代控股股东垫付、承担各类支出或偿还债务；</w:t>
      </w:r>
    </w:p>
    <w:p w14:paraId="27A7656D" w14:textId="54E5CE39" w:rsidR="0036576E" w:rsidRPr="0036576E" w:rsidRDefault="0036576E" w:rsidP="0036576E">
      <w:pPr>
        <w:pStyle w:val="13"/>
      </w:pPr>
      <w:r w:rsidRPr="0036576E">
        <w:rPr>
          <w:rFonts w:hint="eastAsia"/>
        </w:rPr>
        <w:t>6</w:t>
      </w:r>
      <w:r>
        <w:rPr>
          <w:rFonts w:hint="eastAsia"/>
        </w:rPr>
        <w:t>.</w:t>
      </w:r>
      <w:r w:rsidRPr="0036576E">
        <w:rPr>
          <w:rFonts w:hint="eastAsia"/>
        </w:rPr>
        <w:t>投资信托产品、私募投资基金、资产管理计划等金融产品，但实际投资款被控股股东占用；</w:t>
      </w:r>
    </w:p>
    <w:p w14:paraId="5BEAC948" w14:textId="25DE9505" w:rsidR="0036576E" w:rsidRPr="0036576E" w:rsidRDefault="0036576E" w:rsidP="0036576E">
      <w:pPr>
        <w:pStyle w:val="13"/>
      </w:pPr>
      <w:r w:rsidRPr="0036576E">
        <w:rPr>
          <w:rFonts w:hint="eastAsia"/>
        </w:rPr>
        <w:t>7</w:t>
      </w:r>
      <w:r>
        <w:rPr>
          <w:rFonts w:hint="eastAsia"/>
        </w:rPr>
        <w:t>.</w:t>
      </w:r>
      <w:r w:rsidRPr="0036576E">
        <w:rPr>
          <w:rFonts w:hint="eastAsia"/>
        </w:rPr>
        <w:t>通过向控股股东实际控制的主体进行投资以转移资金，如投资于多层的有限合伙企业；进行权益性投资的同时提供大额的债权性投资；支付较长期限的投资预付款、意向金、保证金但未履行后续投资手续等；</w:t>
      </w:r>
    </w:p>
    <w:p w14:paraId="5938C252" w14:textId="2BB9516D" w:rsidR="0036576E" w:rsidRPr="0036576E" w:rsidRDefault="0036576E" w:rsidP="0036576E">
      <w:pPr>
        <w:pStyle w:val="13"/>
      </w:pPr>
      <w:r w:rsidRPr="0036576E">
        <w:rPr>
          <w:rFonts w:hint="eastAsia"/>
        </w:rPr>
        <w:t>8</w:t>
      </w:r>
      <w:r>
        <w:rPr>
          <w:rFonts w:hint="eastAsia"/>
        </w:rPr>
        <w:t>.</w:t>
      </w:r>
      <w:r w:rsidRPr="0036576E">
        <w:rPr>
          <w:rFonts w:hint="eastAsia"/>
        </w:rPr>
        <w:t>违规通过存在关联关系的财务公司、小额贷款公司、</w:t>
      </w:r>
      <w:proofErr w:type="gramStart"/>
      <w:r w:rsidRPr="0036576E">
        <w:rPr>
          <w:rFonts w:hint="eastAsia"/>
        </w:rPr>
        <w:t>商业保理公司</w:t>
      </w:r>
      <w:proofErr w:type="gramEnd"/>
      <w:r w:rsidRPr="0036576E">
        <w:rPr>
          <w:rFonts w:hint="eastAsia"/>
        </w:rPr>
        <w:t>等金融或类金融机构，直接或间接向控股股东提供资金；</w:t>
      </w:r>
    </w:p>
    <w:p w14:paraId="7183A498" w14:textId="5933DD95" w:rsidR="0036576E" w:rsidRPr="0036576E" w:rsidRDefault="0036576E" w:rsidP="0036576E">
      <w:pPr>
        <w:pStyle w:val="13"/>
      </w:pPr>
      <w:r w:rsidRPr="0036576E">
        <w:rPr>
          <w:rFonts w:hint="eastAsia"/>
        </w:rPr>
        <w:t>9</w:t>
      </w:r>
      <w:r>
        <w:rPr>
          <w:rFonts w:hint="eastAsia"/>
        </w:rPr>
        <w:t>.</w:t>
      </w:r>
      <w:r w:rsidRPr="0036576E">
        <w:rPr>
          <w:rFonts w:hint="eastAsia"/>
        </w:rPr>
        <w:t>通过支付工程款、虚构在建工程等项目建设的方式向控股股东提供资金；</w:t>
      </w:r>
    </w:p>
    <w:p w14:paraId="624E4F22" w14:textId="65B9E313" w:rsidR="0036576E" w:rsidRPr="0036576E" w:rsidRDefault="0036576E" w:rsidP="0036576E">
      <w:pPr>
        <w:pStyle w:val="13"/>
      </w:pPr>
      <w:r w:rsidRPr="0036576E">
        <w:rPr>
          <w:rFonts w:hint="eastAsia"/>
        </w:rPr>
        <w:t>10</w:t>
      </w:r>
      <w:r>
        <w:rPr>
          <w:rFonts w:hint="eastAsia"/>
        </w:rPr>
        <w:t>.</w:t>
      </w:r>
      <w:r w:rsidRPr="0036576E">
        <w:rPr>
          <w:rFonts w:hint="eastAsia"/>
        </w:rPr>
        <w:t>控股股东以上市公司的名义对外借款；</w:t>
      </w:r>
    </w:p>
    <w:p w14:paraId="713EA530" w14:textId="40FABFD8" w:rsidR="0036576E" w:rsidRPr="0036576E" w:rsidRDefault="0036576E" w:rsidP="0036576E">
      <w:pPr>
        <w:pStyle w:val="13"/>
      </w:pPr>
      <w:r w:rsidRPr="0036576E">
        <w:rPr>
          <w:rFonts w:hint="eastAsia"/>
        </w:rPr>
        <w:t>11</w:t>
      </w:r>
      <w:r>
        <w:rPr>
          <w:rFonts w:hint="eastAsia"/>
        </w:rPr>
        <w:t>.</w:t>
      </w:r>
      <w:r w:rsidRPr="0036576E">
        <w:rPr>
          <w:rFonts w:hint="eastAsia"/>
        </w:rPr>
        <w:t>利用其他特殊业务模式，如上市公司将购入或租入的黄金等贵金属交由控股股东委托加工或出租给控股股东，控股股东将其变现后形成资金占用等。</w:t>
      </w:r>
    </w:p>
    <w:p w14:paraId="0B541A7A" w14:textId="77777777" w:rsidR="0036576E" w:rsidRPr="0036576E" w:rsidRDefault="0036576E" w:rsidP="0036576E">
      <w:pPr>
        <w:pStyle w:val="ab"/>
        <w:spacing w:before="62" w:after="62"/>
        <w:ind w:firstLine="482"/>
      </w:pPr>
      <w:r w:rsidRPr="0036576E">
        <w:rPr>
          <w:rFonts w:hint="eastAsia"/>
        </w:rPr>
        <w:t>二、资金占用的形成背景及会计监管关注事项</w:t>
      </w:r>
    </w:p>
    <w:p w14:paraId="34886D7F" w14:textId="77777777" w:rsidR="0036576E" w:rsidRPr="0036576E" w:rsidRDefault="0036576E" w:rsidP="0036576E">
      <w:pPr>
        <w:pStyle w:val="13"/>
      </w:pPr>
      <w:r w:rsidRPr="0036576E">
        <w:rPr>
          <w:rFonts w:hint="eastAsia"/>
        </w:rPr>
        <w:t>（一）形成背景与原因</w:t>
      </w:r>
    </w:p>
    <w:p w14:paraId="70DD7D4C" w14:textId="77777777" w:rsidR="0036576E" w:rsidRPr="0036576E" w:rsidRDefault="0036576E" w:rsidP="0036576E">
      <w:pPr>
        <w:pStyle w:val="13"/>
      </w:pPr>
      <w:r w:rsidRPr="0036576E">
        <w:rPr>
          <w:rFonts w:hint="eastAsia"/>
        </w:rPr>
        <w:t>资金占用形成的根本原因是上市公司的内部治理不健全，内部控制不完善，对控股股东的控制权缺乏有效监督，甚至存在控股股东凌驾于内部控制之上的情况。此外，部分董事、监事、高级管理人员道德风险突出，独立性不足，未恪尽职守，纵容控股股东资金占用。具体表现为上市公司对货币资金（尤其是网上银行）的管控失效，公司公章等由控股股东掌控，大额资金支付、重大投资和对外担保等事项未按照规定程序审批和管控，关联交易审批程序不当，公司内部控制流于形式等。</w:t>
      </w:r>
    </w:p>
    <w:p w14:paraId="7C1CB67B" w14:textId="77777777" w:rsidR="0036576E" w:rsidRPr="0036576E" w:rsidRDefault="0036576E" w:rsidP="0036576E">
      <w:pPr>
        <w:pStyle w:val="13"/>
      </w:pPr>
      <w:r w:rsidRPr="0036576E">
        <w:rPr>
          <w:rFonts w:hint="eastAsia"/>
        </w:rPr>
        <w:t>同时，当前我国经济发展面临新的风险挑战，新旧动能转换，国内经济下行压力加大，融资环境发生变化，部分上市公司控股股东融资需求迫切，股权质押风险突出，加剧了资金占用的风险。加之社会整体信用水平还有待提升，上市公司的个别客户、供应商、金融机构等为谋求私利，配合上市公司控股股东资金占用。</w:t>
      </w:r>
    </w:p>
    <w:p w14:paraId="74917FD8" w14:textId="77777777" w:rsidR="0036576E" w:rsidRPr="0036576E" w:rsidRDefault="0036576E" w:rsidP="0036576E">
      <w:pPr>
        <w:pStyle w:val="13"/>
      </w:pPr>
      <w:r w:rsidRPr="0036576E">
        <w:rPr>
          <w:rFonts w:hint="eastAsia"/>
        </w:rPr>
        <w:t>（二）会计监管关注事项</w:t>
      </w:r>
    </w:p>
    <w:p w14:paraId="0CE288B8" w14:textId="77777777" w:rsidR="0036576E" w:rsidRPr="0036576E" w:rsidRDefault="0036576E" w:rsidP="0036576E">
      <w:pPr>
        <w:pStyle w:val="13"/>
      </w:pPr>
      <w:r w:rsidRPr="0036576E">
        <w:rPr>
          <w:rFonts w:hint="eastAsia"/>
        </w:rPr>
        <w:t>上市公司应当按照《公司法》《证券法》《企业内部控制基本规范》《上市公司治理准则》《上市公司章程指引》及其他相关监管规定的要求，建立健全完善的公司治理和内部控制机制，配合注册会计师审计工作，保证财务报告及相关信息真实准确完整，提升上市公司整体质量和投资价值。针对资金占用，在会计监管工作中，应当关注上市公司以下方面的公司治理及内部控制情况：</w:t>
      </w:r>
    </w:p>
    <w:p w14:paraId="69A3A913" w14:textId="571D6755" w:rsidR="0036576E" w:rsidRPr="0036576E" w:rsidRDefault="0036576E" w:rsidP="0036576E">
      <w:pPr>
        <w:pStyle w:val="13"/>
      </w:pPr>
      <w:r w:rsidRPr="0036576E">
        <w:rPr>
          <w:rFonts w:hint="eastAsia"/>
        </w:rPr>
        <w:t>1</w:t>
      </w:r>
      <w:r>
        <w:rPr>
          <w:rFonts w:hint="eastAsia"/>
        </w:rPr>
        <w:t>.</w:t>
      </w:r>
      <w:r w:rsidRPr="0036576E">
        <w:rPr>
          <w:rFonts w:hint="eastAsia"/>
        </w:rPr>
        <w:t>有效治理。应重点关注公司治理和内部控制组织架构设计的合理性和实际运行的有效性，特别是独立董事、审计委员会、监事会职责是否切实有效履行，重大决</w:t>
      </w:r>
      <w:r w:rsidRPr="0036576E">
        <w:rPr>
          <w:rFonts w:hint="eastAsia"/>
        </w:rPr>
        <w:lastRenderedPageBreak/>
        <w:t>策是否按照规定的权限和程序实施，是否存在控股股东凌驾于内部控制之上，对公章的使用是否按照规定进行批准，公司内部监督是否有效等。</w:t>
      </w:r>
    </w:p>
    <w:p w14:paraId="469A1A83" w14:textId="37B59507" w:rsidR="0036576E" w:rsidRPr="0036576E" w:rsidRDefault="0036576E" w:rsidP="0036576E">
      <w:pPr>
        <w:pStyle w:val="13"/>
      </w:pPr>
      <w:r w:rsidRPr="0036576E">
        <w:rPr>
          <w:rFonts w:hint="eastAsia"/>
        </w:rPr>
        <w:t>2</w:t>
      </w:r>
      <w:r>
        <w:rPr>
          <w:rFonts w:hint="eastAsia"/>
        </w:rPr>
        <w:t>.</w:t>
      </w:r>
      <w:r w:rsidRPr="0036576E">
        <w:rPr>
          <w:rFonts w:hint="eastAsia"/>
        </w:rPr>
        <w:t>独立性管理。应重点关注上市公司与控股股东是否实现人员、资产、财务分开，机构、业务独立；控股股东是否违规干涉上市公司的具体运作，影响其经营管理的独立性，是否干预上市公司的财务、会计活动；上市公司的高级管理人员是否在控股股东担任除董事、监事以外的其他行政职务；上市公司的董事、监事、高级管理人员是否由控股股东进行业绩考核并从其获得薪酬。</w:t>
      </w:r>
    </w:p>
    <w:p w14:paraId="20F800EA" w14:textId="7712C9F1" w:rsidR="0036576E" w:rsidRPr="0036576E" w:rsidRDefault="0036576E" w:rsidP="0036576E">
      <w:pPr>
        <w:pStyle w:val="13"/>
      </w:pPr>
      <w:r w:rsidRPr="0036576E">
        <w:rPr>
          <w:rFonts w:hint="eastAsia"/>
        </w:rPr>
        <w:t>3</w:t>
      </w:r>
      <w:r>
        <w:rPr>
          <w:rFonts w:hint="eastAsia"/>
        </w:rPr>
        <w:t>.</w:t>
      </w:r>
      <w:r w:rsidRPr="0036576E">
        <w:rPr>
          <w:rFonts w:hint="eastAsia"/>
        </w:rPr>
        <w:t>资金及筹资管理。应重点关注对资金使用的审批和运用过程的监督，特别是大额资金、募集资金的审批与使用，网上银行的使用，涉及个人银行账户的交易，银行账户开立注销的审批管理，与财务公司及资金集中管理等相关的资金流转等。上市公司对外借款的，应当关注相应的审批程序、借款合同安排、资金是否到位及归还情况等。</w:t>
      </w:r>
    </w:p>
    <w:p w14:paraId="6547C502" w14:textId="19C4943E" w:rsidR="0036576E" w:rsidRPr="0036576E" w:rsidRDefault="0036576E" w:rsidP="0036576E">
      <w:pPr>
        <w:pStyle w:val="13"/>
      </w:pPr>
      <w:r w:rsidRPr="0036576E">
        <w:rPr>
          <w:rFonts w:hint="eastAsia"/>
        </w:rPr>
        <w:t>4</w:t>
      </w:r>
      <w:r>
        <w:rPr>
          <w:rFonts w:hint="eastAsia"/>
        </w:rPr>
        <w:t>.</w:t>
      </w:r>
      <w:r w:rsidRPr="0036576E">
        <w:rPr>
          <w:rFonts w:hint="eastAsia"/>
        </w:rPr>
        <w:t>担保业务。应重点关注担保业务是否按照规定进行审批，有关质押担保和信用担保的信息是否真实、准确、完整、及时</w:t>
      </w:r>
      <w:proofErr w:type="gramStart"/>
      <w:r w:rsidRPr="0036576E">
        <w:rPr>
          <w:rFonts w:hint="eastAsia"/>
        </w:rPr>
        <w:t>作出</w:t>
      </w:r>
      <w:proofErr w:type="gramEnd"/>
      <w:r w:rsidRPr="0036576E">
        <w:rPr>
          <w:rFonts w:hint="eastAsia"/>
        </w:rPr>
        <w:t>披露。</w:t>
      </w:r>
    </w:p>
    <w:p w14:paraId="0D5DB9D1" w14:textId="7F48E0EF" w:rsidR="0036576E" w:rsidRPr="0036576E" w:rsidRDefault="0036576E" w:rsidP="0036576E">
      <w:pPr>
        <w:pStyle w:val="13"/>
      </w:pPr>
      <w:r w:rsidRPr="0036576E">
        <w:rPr>
          <w:rFonts w:hint="eastAsia"/>
        </w:rPr>
        <w:t>5</w:t>
      </w:r>
      <w:r>
        <w:rPr>
          <w:rFonts w:hint="eastAsia"/>
        </w:rPr>
        <w:t>.</w:t>
      </w:r>
      <w:r w:rsidRPr="0036576E">
        <w:rPr>
          <w:rFonts w:hint="eastAsia"/>
        </w:rPr>
        <w:t>关联交易。应重点关注关联交易的授权和决策审批程序，关联方的识别、信息获取和后续维护管理机制，关联交易的实际履行情况，关联方和关联交易信息披露的真实、准确、完整、及时等。</w:t>
      </w:r>
    </w:p>
    <w:p w14:paraId="5FAE4377" w14:textId="18D2066F" w:rsidR="0036576E" w:rsidRPr="0036576E" w:rsidRDefault="0036576E" w:rsidP="0036576E">
      <w:pPr>
        <w:pStyle w:val="13"/>
      </w:pPr>
      <w:r w:rsidRPr="0036576E">
        <w:rPr>
          <w:rFonts w:hint="eastAsia"/>
        </w:rPr>
        <w:t>6</w:t>
      </w:r>
      <w:r>
        <w:rPr>
          <w:rFonts w:hint="eastAsia"/>
        </w:rPr>
        <w:t>.</w:t>
      </w:r>
      <w:r w:rsidRPr="0036576E">
        <w:rPr>
          <w:rFonts w:hint="eastAsia"/>
        </w:rPr>
        <w:t>采购及付款管理。应重点关注大宗采购及供应商选择的审批程序，对付款金额、进度以及超出合同规定或不符合行业惯例付款的管控，对货物是否按期发出及其数量、状态和核算的管理，对采购合同商业实质的判断和合同审批情况等。</w:t>
      </w:r>
    </w:p>
    <w:p w14:paraId="3B5F2371" w14:textId="54DA403D" w:rsidR="0036576E" w:rsidRPr="0036576E" w:rsidRDefault="0036576E" w:rsidP="0036576E">
      <w:pPr>
        <w:pStyle w:val="13"/>
      </w:pPr>
      <w:r w:rsidRPr="0036576E">
        <w:rPr>
          <w:rFonts w:hint="eastAsia"/>
        </w:rPr>
        <w:t>7</w:t>
      </w:r>
      <w:r>
        <w:rPr>
          <w:rFonts w:hint="eastAsia"/>
        </w:rPr>
        <w:t>.</w:t>
      </w:r>
      <w:r w:rsidRPr="0036576E">
        <w:rPr>
          <w:rFonts w:hint="eastAsia"/>
        </w:rPr>
        <w:t>销售及收款管理。应重点关注大额销售及客户选择的审批程序，对应收账款及其回款、保理等的后续管理和监督，特别是是否指定收款银行账户和经办人员，是否定期对账以确认应收账款余额，关注对存货是否按期发出及其签收确认情况，对销售合同商业实质的判断和合同审批情况等。</w:t>
      </w:r>
    </w:p>
    <w:p w14:paraId="4BDF7F84" w14:textId="37B62806" w:rsidR="0036576E" w:rsidRPr="0036576E" w:rsidRDefault="0036576E" w:rsidP="0036576E">
      <w:pPr>
        <w:pStyle w:val="13"/>
      </w:pPr>
      <w:r w:rsidRPr="0036576E">
        <w:rPr>
          <w:rFonts w:hint="eastAsia"/>
        </w:rPr>
        <w:t>8</w:t>
      </w:r>
      <w:r>
        <w:rPr>
          <w:rFonts w:hint="eastAsia"/>
        </w:rPr>
        <w:t>.</w:t>
      </w:r>
      <w:r w:rsidRPr="0036576E">
        <w:rPr>
          <w:rFonts w:hint="eastAsia"/>
        </w:rPr>
        <w:t>票据管理。应重点关注与票据相关的交易是否具有商业实质，票据开立的审批程序，票据的真实性，财务报表中票据确认的完整性和相关信息披露的准确性。</w:t>
      </w:r>
    </w:p>
    <w:p w14:paraId="582BC025" w14:textId="0B0B5A23" w:rsidR="0036576E" w:rsidRPr="0036576E" w:rsidRDefault="0036576E" w:rsidP="0036576E">
      <w:pPr>
        <w:pStyle w:val="13"/>
      </w:pPr>
      <w:r w:rsidRPr="0036576E">
        <w:rPr>
          <w:rFonts w:hint="eastAsia"/>
        </w:rPr>
        <w:t>9</w:t>
      </w:r>
      <w:r>
        <w:rPr>
          <w:rFonts w:hint="eastAsia"/>
        </w:rPr>
        <w:t>.</w:t>
      </w:r>
      <w:r w:rsidRPr="0036576E">
        <w:rPr>
          <w:rFonts w:hint="eastAsia"/>
        </w:rPr>
        <w:t>投资管理。应重点关注大额投资的决策审批程序，对被投资企业的投后管控情况，进行权益性投资的同时是否存在其他财务性支持，对各类金融产品投向的穿透等。</w:t>
      </w:r>
    </w:p>
    <w:p w14:paraId="21773970" w14:textId="50E5FAAF" w:rsidR="0036576E" w:rsidRPr="0036576E" w:rsidRDefault="0036576E" w:rsidP="0036576E">
      <w:pPr>
        <w:pStyle w:val="13"/>
      </w:pPr>
      <w:r w:rsidRPr="0036576E">
        <w:rPr>
          <w:rFonts w:hint="eastAsia"/>
        </w:rPr>
        <w:t>10</w:t>
      </w:r>
      <w:r>
        <w:rPr>
          <w:rFonts w:hint="eastAsia"/>
        </w:rPr>
        <w:t>.</w:t>
      </w:r>
      <w:r w:rsidRPr="0036576E">
        <w:rPr>
          <w:rFonts w:hint="eastAsia"/>
        </w:rPr>
        <w:t>工程管理。应重点关注对工程项目立项及施工方选择的审批程序，项目进度的估计和管控，施工的实际进展情况以及相关材料、物资和人工的实际投入情况等。</w:t>
      </w:r>
    </w:p>
    <w:p w14:paraId="75E34A09" w14:textId="77777777" w:rsidR="0036576E" w:rsidRPr="0036576E" w:rsidRDefault="0036576E" w:rsidP="0036576E">
      <w:pPr>
        <w:pStyle w:val="ab"/>
        <w:spacing w:before="62" w:after="62"/>
        <w:ind w:firstLine="482"/>
      </w:pPr>
      <w:r w:rsidRPr="0036576E">
        <w:rPr>
          <w:rFonts w:hint="eastAsia"/>
        </w:rPr>
        <w:t>三、审计常见问题及会计监管关注事项</w:t>
      </w:r>
    </w:p>
    <w:p w14:paraId="2B9C3EFF" w14:textId="77777777" w:rsidR="0036576E" w:rsidRPr="0036576E" w:rsidRDefault="0036576E" w:rsidP="0036576E">
      <w:pPr>
        <w:pStyle w:val="13"/>
      </w:pPr>
      <w:r w:rsidRPr="0036576E">
        <w:rPr>
          <w:rFonts w:hint="eastAsia"/>
        </w:rPr>
        <w:t>针对上市公司控股股东资金占用，部分注册会计师在执业中未勤勉尽责，未结合上市公司及其环境、内部控制情况恰当识别和评估资金占用方面的重大错报风险和</w:t>
      </w:r>
      <w:r w:rsidRPr="0036576E">
        <w:rPr>
          <w:rFonts w:hint="eastAsia"/>
        </w:rPr>
        <w:lastRenderedPageBreak/>
        <w:t>舞弊风险等，</w:t>
      </w:r>
      <w:proofErr w:type="gramStart"/>
      <w:r w:rsidRPr="0036576E">
        <w:rPr>
          <w:rFonts w:hint="eastAsia"/>
        </w:rPr>
        <w:t>未设计</w:t>
      </w:r>
      <w:proofErr w:type="gramEnd"/>
      <w:r w:rsidRPr="0036576E">
        <w:rPr>
          <w:rFonts w:hint="eastAsia"/>
        </w:rPr>
        <w:t>和执行恰当的应对措施，未发表恰当的审计意见以及相关结论。有关审计常见问题和监管关注事项如下：</w:t>
      </w:r>
    </w:p>
    <w:p w14:paraId="24297CB4" w14:textId="77777777" w:rsidR="0036576E" w:rsidRPr="0036576E" w:rsidRDefault="0036576E" w:rsidP="0036576E">
      <w:pPr>
        <w:pStyle w:val="13"/>
      </w:pPr>
      <w:r w:rsidRPr="0036576E">
        <w:rPr>
          <w:rFonts w:hint="eastAsia"/>
        </w:rPr>
        <w:t>（一）风险评估</w:t>
      </w:r>
    </w:p>
    <w:p w14:paraId="66A1C47A" w14:textId="19CAFF1B" w:rsidR="0036576E" w:rsidRPr="0036576E" w:rsidRDefault="0036576E" w:rsidP="0036576E">
      <w:pPr>
        <w:pStyle w:val="13"/>
      </w:pPr>
      <w:r w:rsidRPr="0036576E">
        <w:rPr>
          <w:rFonts w:hint="eastAsia"/>
        </w:rPr>
        <w:t>1</w:t>
      </w:r>
      <w:r>
        <w:rPr>
          <w:rFonts w:hint="eastAsia"/>
        </w:rPr>
        <w:t>.</w:t>
      </w:r>
      <w:r w:rsidRPr="0036576E">
        <w:rPr>
          <w:rFonts w:hint="eastAsia"/>
        </w:rPr>
        <w:t>常见问题</w:t>
      </w:r>
    </w:p>
    <w:p w14:paraId="66FB7A46" w14:textId="77777777" w:rsidR="0036576E" w:rsidRPr="0036576E" w:rsidRDefault="0036576E" w:rsidP="0036576E">
      <w:pPr>
        <w:pStyle w:val="13"/>
      </w:pPr>
      <w:r w:rsidRPr="0036576E">
        <w:rPr>
          <w:rFonts w:hint="eastAsia"/>
        </w:rPr>
        <w:t>注册会计师在实施风险评估程序时，通常存在以下问题：</w:t>
      </w:r>
    </w:p>
    <w:p w14:paraId="588EB63B" w14:textId="77777777" w:rsidR="0036576E" w:rsidRPr="0036576E" w:rsidRDefault="0036576E" w:rsidP="0036576E">
      <w:pPr>
        <w:pStyle w:val="13"/>
      </w:pPr>
      <w:r w:rsidRPr="0036576E">
        <w:rPr>
          <w:rFonts w:hint="eastAsia"/>
        </w:rPr>
        <w:t>第一，未充分了解上市公司的法律环境、监管环境、舆论环境及其他外部环境因素，例如上市公司因资金占用被证券监管机构处理、被证券交易所问询，或上市公司及其控股股东在资金状况、涉嫌资金占用等方面被媒体质疑等，未恰当评估资金占用方面的重大错报风险。</w:t>
      </w:r>
    </w:p>
    <w:p w14:paraId="75F1D75D" w14:textId="77777777" w:rsidR="0036576E" w:rsidRPr="0036576E" w:rsidRDefault="0036576E" w:rsidP="0036576E">
      <w:pPr>
        <w:pStyle w:val="13"/>
      </w:pPr>
      <w:r w:rsidRPr="0036576E">
        <w:rPr>
          <w:rFonts w:hint="eastAsia"/>
        </w:rPr>
        <w:t>第二，未充分了解上市公司的行业状况、经营活动、投融资活动等，例如上市公司存在“存贷双高”（有大额货币资金的同时负有大额债务）；上市公司银行账户数量和分布与其实际经营需要不符；上市公司本期新增缺乏商业合理性的大额购销交易或其他</w:t>
      </w:r>
      <w:proofErr w:type="gramStart"/>
      <w:r w:rsidRPr="0036576E">
        <w:rPr>
          <w:rFonts w:hint="eastAsia"/>
        </w:rPr>
        <w:t>大额非</w:t>
      </w:r>
      <w:proofErr w:type="gramEnd"/>
      <w:r w:rsidRPr="0036576E">
        <w:rPr>
          <w:rFonts w:hint="eastAsia"/>
        </w:rPr>
        <w:t>常规交易等，未恰当评估资金占用方面的重大错报风险。</w:t>
      </w:r>
    </w:p>
    <w:p w14:paraId="59DFF422" w14:textId="77777777" w:rsidR="0036576E" w:rsidRPr="0036576E" w:rsidRDefault="0036576E" w:rsidP="0036576E">
      <w:pPr>
        <w:pStyle w:val="13"/>
      </w:pPr>
      <w:r w:rsidRPr="0036576E">
        <w:rPr>
          <w:rFonts w:hint="eastAsia"/>
        </w:rPr>
        <w:t>第三，未充分了解上市公司所有权结构、治理结构以及控股股东大额资金需求和相关情况，例如上市公司控股股东存在高比例股权质押，特别是已出现平仓风险或股权被冻结情形；或存在大额投资、大额债务、经营活动大额资金缺口等，未恰当评估资金占用方面的重大错报风险。</w:t>
      </w:r>
    </w:p>
    <w:p w14:paraId="7FA5A52C" w14:textId="77777777" w:rsidR="0036576E" w:rsidRPr="0036576E" w:rsidRDefault="0036576E" w:rsidP="0036576E">
      <w:pPr>
        <w:pStyle w:val="13"/>
      </w:pPr>
      <w:r w:rsidRPr="0036576E">
        <w:rPr>
          <w:rFonts w:hint="eastAsia"/>
        </w:rPr>
        <w:t>第四，未充分了解上市公司与资金占用相关的内部控制，未恰当评价这些控制的设计并确定其是否得到执行，未恰当评估控股股东凌驾于内部控制之上的资金占用风险。</w:t>
      </w:r>
    </w:p>
    <w:p w14:paraId="10BE8D9C" w14:textId="77777777" w:rsidR="0036576E" w:rsidRPr="0036576E" w:rsidRDefault="0036576E" w:rsidP="0036576E">
      <w:pPr>
        <w:pStyle w:val="13"/>
      </w:pPr>
      <w:r w:rsidRPr="0036576E">
        <w:rPr>
          <w:rFonts w:hint="eastAsia"/>
        </w:rPr>
        <w:t>第五，未保持职业怀疑，并结合被审计单位及其环境、内部控制等因素，充分分析并判断上市公司与侵占资产相关的舞弊动机、机会和借口，未恰当评估资金占用方面的舞弊风险。</w:t>
      </w:r>
    </w:p>
    <w:p w14:paraId="794B60A0" w14:textId="77777777" w:rsidR="0036576E" w:rsidRPr="0036576E" w:rsidRDefault="0036576E" w:rsidP="0036576E">
      <w:pPr>
        <w:pStyle w:val="13"/>
      </w:pPr>
      <w:r w:rsidRPr="0036576E">
        <w:rPr>
          <w:rFonts w:hint="eastAsia"/>
        </w:rPr>
        <w:t>第六，未结合风险评估程序及对舞弊风险的考虑，未恰当识别和评估与关联方关系及其交易相关的资金占用重大错报风险。</w:t>
      </w:r>
    </w:p>
    <w:p w14:paraId="5BC6DADA" w14:textId="4BD34033" w:rsidR="0036576E" w:rsidRPr="0036576E" w:rsidRDefault="0036576E" w:rsidP="0036576E">
      <w:pPr>
        <w:pStyle w:val="13"/>
      </w:pPr>
      <w:r w:rsidRPr="0036576E">
        <w:rPr>
          <w:rFonts w:hint="eastAsia"/>
        </w:rPr>
        <w:t>2</w:t>
      </w:r>
      <w:r>
        <w:rPr>
          <w:rFonts w:hint="eastAsia"/>
        </w:rPr>
        <w:t>.</w:t>
      </w:r>
      <w:r w:rsidRPr="0036576E">
        <w:rPr>
          <w:rFonts w:hint="eastAsia"/>
        </w:rPr>
        <w:t>监管关注事项</w:t>
      </w:r>
    </w:p>
    <w:p w14:paraId="76C6B96E" w14:textId="77777777" w:rsidR="0036576E" w:rsidRPr="0036576E" w:rsidRDefault="0036576E" w:rsidP="0036576E">
      <w:pPr>
        <w:pStyle w:val="13"/>
      </w:pPr>
      <w:r w:rsidRPr="0036576E">
        <w:rPr>
          <w:rFonts w:hint="eastAsia"/>
        </w:rPr>
        <w:t>在监管工作中，应关注注册会计师的风险评估程序是否执行到位，是否充分了解被审计单位及其环境，是否对异常迹象保持合理的职业怀疑，是否恰当识别和</w:t>
      </w:r>
      <w:proofErr w:type="gramStart"/>
      <w:r w:rsidRPr="0036576E">
        <w:rPr>
          <w:rFonts w:hint="eastAsia"/>
        </w:rPr>
        <w:t>评估重</w:t>
      </w:r>
      <w:proofErr w:type="gramEnd"/>
      <w:r w:rsidRPr="0036576E">
        <w:rPr>
          <w:rFonts w:hint="eastAsia"/>
        </w:rPr>
        <w:t>大错报风险、舞弊风险等并设计进一步应对措施。具体包括：</w:t>
      </w:r>
    </w:p>
    <w:p w14:paraId="40C4A1CE" w14:textId="77777777" w:rsidR="0036576E" w:rsidRPr="0036576E" w:rsidRDefault="0036576E" w:rsidP="0036576E">
      <w:pPr>
        <w:pStyle w:val="13"/>
      </w:pPr>
      <w:r w:rsidRPr="0036576E">
        <w:rPr>
          <w:rFonts w:hint="eastAsia"/>
        </w:rPr>
        <w:t>第一，注册会计师应全面、充分了解上市公司的法律环境、监管环境、舆论环境及其他外部环境因素，对于上市公司因资金占用被证券监管机构处理、被证券交易所问询，或上市公司及其控股股东在资金状况、涉嫌资金占用及其他相关方面被媒体质疑的，应保持职业怀疑，充分收集信息，关注异常迹象，评估资金占用方面的重大错报风险，并设计恰当的应对措施。</w:t>
      </w:r>
    </w:p>
    <w:p w14:paraId="52802497" w14:textId="77777777" w:rsidR="0036576E" w:rsidRPr="0036576E" w:rsidRDefault="0036576E" w:rsidP="0036576E">
      <w:pPr>
        <w:pStyle w:val="13"/>
      </w:pPr>
      <w:r w:rsidRPr="0036576E">
        <w:rPr>
          <w:rFonts w:hint="eastAsia"/>
        </w:rPr>
        <w:lastRenderedPageBreak/>
        <w:t>第二，注册会计师应充分了解上市公司的行业状况、经营活动、投融资活动等。应关注上市公司大额购销交易或其他</w:t>
      </w:r>
      <w:proofErr w:type="gramStart"/>
      <w:r w:rsidRPr="0036576E">
        <w:rPr>
          <w:rFonts w:hint="eastAsia"/>
        </w:rPr>
        <w:t>大额非</w:t>
      </w:r>
      <w:proofErr w:type="gramEnd"/>
      <w:r w:rsidRPr="0036576E">
        <w:rPr>
          <w:rFonts w:hint="eastAsia"/>
        </w:rPr>
        <w:t>常规交易是否具有商业合理性；应关注上市公司银行账户分布、“存贷双高”情况是否符合实际经营需要及行业惯例；应关注上市公司大额资金进行集中存放或异地存放、频繁开立和注销银行账户、突然注销当期交易较为活跃的银行账户等异常情形；应关注上市公司正在实施和计划实施的投资是否符合其战略发展规划。注册会计师应根据所关注的情况恰当识别和评估资金占用方面的重大错报风险，并设计恰当的应对措施。</w:t>
      </w:r>
    </w:p>
    <w:p w14:paraId="19089D02" w14:textId="77777777" w:rsidR="0036576E" w:rsidRPr="0036576E" w:rsidRDefault="0036576E" w:rsidP="0036576E">
      <w:pPr>
        <w:pStyle w:val="13"/>
      </w:pPr>
      <w:r w:rsidRPr="0036576E">
        <w:rPr>
          <w:rFonts w:hint="eastAsia"/>
        </w:rPr>
        <w:t>第三，注册会计师应充分了解上市公司的所有权结构和治理结构，重点关注控股股东的诚信状况、股权结构、股权质押情况、信用评级情况、产业布局及主要经营活动、大额投融资活动、财务状况、资金需求等，必要时还应充分了解受其控制的其他实体相关情况，识别和评估资金占用方面的重大错报风险，并根据所关注的情况设计恰当的应对措施。</w:t>
      </w:r>
    </w:p>
    <w:p w14:paraId="7A7C1BA2" w14:textId="77777777" w:rsidR="0036576E" w:rsidRPr="0036576E" w:rsidRDefault="0036576E" w:rsidP="0036576E">
      <w:pPr>
        <w:pStyle w:val="13"/>
      </w:pPr>
      <w:r w:rsidRPr="0036576E">
        <w:rPr>
          <w:rFonts w:hint="eastAsia"/>
        </w:rPr>
        <w:t>第四，注册会计师应充分了解上市公司与防控资金占用相关的内部控制，了解相关的控制环境、风险评估过程、信息系统、控制活动、内部监督，评价这些控制的设计并确定其是否得到执行，特别关注控股股东凌驾于内部控制之上的风险，设计恰当的应对措施。</w:t>
      </w:r>
    </w:p>
    <w:p w14:paraId="063D01C1" w14:textId="77777777" w:rsidR="0036576E" w:rsidRPr="0036576E" w:rsidRDefault="0036576E" w:rsidP="0036576E">
      <w:pPr>
        <w:pStyle w:val="13"/>
      </w:pPr>
      <w:r w:rsidRPr="0036576E">
        <w:rPr>
          <w:rFonts w:hint="eastAsia"/>
        </w:rPr>
        <w:t>第五，注册会计师应结合对上市公司及其环境、内部控制的了解，对与侵占资产相关的舞弊风险因素进行充分分析调查。例如注册会计师应关注控股股东是否存在因资金状况、投资需求等导致的舞弊动机，是否存在因相关内部控制缺陷而形成的舞弊机会等。</w:t>
      </w:r>
    </w:p>
    <w:p w14:paraId="6D78EBCD" w14:textId="77777777" w:rsidR="0036576E" w:rsidRPr="0036576E" w:rsidRDefault="0036576E" w:rsidP="0036576E">
      <w:pPr>
        <w:pStyle w:val="13"/>
      </w:pPr>
      <w:r w:rsidRPr="0036576E">
        <w:rPr>
          <w:rFonts w:hint="eastAsia"/>
        </w:rPr>
        <w:t>第六，注册会计师应了解上市公司的关联方关系及其交易以及相关的内部控制，通过询问、检查等多种方式，恰当实施关联方关系及其交易的风险评估程序，特别考虑资金占用的风险。对涉及存在未披露的关联方关系及其交易的迹象，注册会计师应当保持警觉，并按照《会计监管风险提示第2号——通过未披露关联方实施的舞弊风险》的要求，识别并评估相应重大错报风险，设计恰当的应对措施。</w:t>
      </w:r>
    </w:p>
    <w:p w14:paraId="52FB1B7F" w14:textId="77777777" w:rsidR="0036576E" w:rsidRPr="0036576E" w:rsidRDefault="0036576E" w:rsidP="0036576E">
      <w:pPr>
        <w:pStyle w:val="13"/>
      </w:pPr>
      <w:r w:rsidRPr="0036576E">
        <w:rPr>
          <w:rFonts w:hint="eastAsia"/>
        </w:rPr>
        <w:t>（二）控制测试</w:t>
      </w:r>
    </w:p>
    <w:p w14:paraId="065AB314" w14:textId="3D3278BE" w:rsidR="0036576E" w:rsidRPr="0036576E" w:rsidRDefault="0036576E" w:rsidP="0036576E">
      <w:pPr>
        <w:pStyle w:val="13"/>
      </w:pPr>
      <w:r w:rsidRPr="0036576E">
        <w:rPr>
          <w:rFonts w:hint="eastAsia"/>
        </w:rPr>
        <w:t>1</w:t>
      </w:r>
      <w:r>
        <w:rPr>
          <w:rFonts w:hint="eastAsia"/>
        </w:rPr>
        <w:t>.</w:t>
      </w:r>
      <w:r w:rsidRPr="0036576E">
        <w:rPr>
          <w:rFonts w:hint="eastAsia"/>
        </w:rPr>
        <w:t>常见问题</w:t>
      </w:r>
    </w:p>
    <w:p w14:paraId="6094B4DF" w14:textId="77777777" w:rsidR="0036576E" w:rsidRPr="0036576E" w:rsidRDefault="0036576E" w:rsidP="0036576E">
      <w:pPr>
        <w:pStyle w:val="13"/>
      </w:pPr>
      <w:r w:rsidRPr="0036576E">
        <w:rPr>
          <w:rFonts w:hint="eastAsia"/>
        </w:rPr>
        <w:t>注册会计师实施控制测试时，通常存在以下问题：</w:t>
      </w:r>
    </w:p>
    <w:p w14:paraId="43EBA81A" w14:textId="77777777" w:rsidR="0036576E" w:rsidRPr="0036576E" w:rsidRDefault="0036576E" w:rsidP="0036576E">
      <w:pPr>
        <w:pStyle w:val="13"/>
      </w:pPr>
      <w:r w:rsidRPr="0036576E">
        <w:rPr>
          <w:rFonts w:hint="eastAsia"/>
        </w:rPr>
        <w:t>第一，未对上市公司大额资金的审批与使用、公章管理、网上银行管理、收付款管理、对外担保、对外投资审批等事项的关键控制点进行测试，或测试流于形式。</w:t>
      </w:r>
    </w:p>
    <w:p w14:paraId="429CC629" w14:textId="77777777" w:rsidR="0036576E" w:rsidRPr="0036576E" w:rsidRDefault="0036576E" w:rsidP="0036576E">
      <w:pPr>
        <w:pStyle w:val="13"/>
      </w:pPr>
      <w:r w:rsidRPr="0036576E">
        <w:rPr>
          <w:rFonts w:hint="eastAsia"/>
        </w:rPr>
        <w:t>第二，对控制测试中发现的异常情况或控制偏差，如未经审批的资金支出、未经授权批准的公章使用等，</w:t>
      </w:r>
      <w:proofErr w:type="gramStart"/>
      <w:r w:rsidRPr="0036576E">
        <w:rPr>
          <w:rFonts w:hint="eastAsia"/>
        </w:rPr>
        <w:t>未评价</w:t>
      </w:r>
      <w:proofErr w:type="gramEnd"/>
      <w:r w:rsidRPr="0036576E">
        <w:rPr>
          <w:rFonts w:hint="eastAsia"/>
        </w:rPr>
        <w:t>是否存在资金占用相关的内部控制缺陷，未采取进一步应对措施。</w:t>
      </w:r>
    </w:p>
    <w:p w14:paraId="136AEF22" w14:textId="77777777" w:rsidR="0036576E" w:rsidRPr="0036576E" w:rsidRDefault="0036576E" w:rsidP="0036576E">
      <w:pPr>
        <w:pStyle w:val="13"/>
      </w:pPr>
      <w:r w:rsidRPr="0036576E">
        <w:rPr>
          <w:rFonts w:hint="eastAsia"/>
        </w:rPr>
        <w:t>第三，未恰当评价控制运行的有效性，不当信赖了内部控制。</w:t>
      </w:r>
    </w:p>
    <w:p w14:paraId="0864B5D6" w14:textId="6F958B7D" w:rsidR="0036576E" w:rsidRPr="0036576E" w:rsidRDefault="0036576E" w:rsidP="0036576E">
      <w:pPr>
        <w:pStyle w:val="13"/>
      </w:pPr>
      <w:r w:rsidRPr="0036576E">
        <w:rPr>
          <w:rFonts w:hint="eastAsia"/>
        </w:rPr>
        <w:lastRenderedPageBreak/>
        <w:t>2</w:t>
      </w:r>
      <w:r>
        <w:rPr>
          <w:rFonts w:hint="eastAsia"/>
        </w:rPr>
        <w:t>.</w:t>
      </w:r>
      <w:r w:rsidRPr="0036576E">
        <w:rPr>
          <w:rFonts w:hint="eastAsia"/>
        </w:rPr>
        <w:t>监管关注事项</w:t>
      </w:r>
    </w:p>
    <w:p w14:paraId="1AA074FD" w14:textId="77777777" w:rsidR="0036576E" w:rsidRPr="0036576E" w:rsidRDefault="0036576E" w:rsidP="0036576E">
      <w:pPr>
        <w:pStyle w:val="13"/>
      </w:pPr>
      <w:r w:rsidRPr="0036576E">
        <w:rPr>
          <w:rFonts w:hint="eastAsia"/>
        </w:rPr>
        <w:t>第一，注册会计师应当分析识别与资金占用防控相关的内部控制制度和关键控制点，选取充分适当的样本实施控制测试，重点关注是否存在未经恰当授权审批的情形，并判断是否存在与资金占用相关的内部控制缺陷。如应关注上市公司是否存在采购与付款、销售与收款、对外投资（包括固定资产投资）等未经恰当审批或不符合内部决策程序的情形；对超出正常额度和业务范围的采购或投资事项，应测试与其审核及披露相关的关键控制点的运行有效性等；关注上市公司对应收账款对账和坏账计提的控制；针对上市公司与财务公司等签订的金融服务协议以及发生的存贷款等关联交易，应检查相关协议、会议纪要或决议等，以确定该交易是否履行了必要的审批决策程序。</w:t>
      </w:r>
    </w:p>
    <w:p w14:paraId="18B4C1C3" w14:textId="77777777" w:rsidR="0036576E" w:rsidRPr="0036576E" w:rsidRDefault="0036576E" w:rsidP="0036576E">
      <w:pPr>
        <w:pStyle w:val="13"/>
      </w:pPr>
      <w:r w:rsidRPr="0036576E">
        <w:rPr>
          <w:rFonts w:hint="eastAsia"/>
        </w:rPr>
        <w:t>第二，注册会计师应当对控制测试中发现的异常情况或控制偏差进行分析，确定其是否存在相应的内部控制缺陷，并采取进一步措施。如发现控制偏差是系统性偏差或人为故意形成的，应当考虑舞弊的可能以及对整体审计方案的影响。注册会计师在实施控制测试时应对异常迹象保持警觉，充分考虑是否存在控股股东凌驾于内部控制之上的情况。</w:t>
      </w:r>
    </w:p>
    <w:p w14:paraId="697A23FD" w14:textId="77777777" w:rsidR="0036576E" w:rsidRPr="0036576E" w:rsidRDefault="0036576E" w:rsidP="0036576E">
      <w:pPr>
        <w:pStyle w:val="13"/>
      </w:pPr>
      <w:r w:rsidRPr="0036576E">
        <w:rPr>
          <w:rFonts w:hint="eastAsia"/>
        </w:rPr>
        <w:t>第三，注册会计师应当综合运用询问、观察、检查、穿行测试、重新执行等方法，测试并评价与资金占用相关的控制运行的有效性，考虑是否可以继续信赖相关的内部控制，并对应考虑后续实质性程序的实施。</w:t>
      </w:r>
    </w:p>
    <w:p w14:paraId="0DC38C10" w14:textId="77777777" w:rsidR="0036576E" w:rsidRPr="0036576E" w:rsidRDefault="0036576E" w:rsidP="0036576E">
      <w:pPr>
        <w:pStyle w:val="13"/>
      </w:pPr>
      <w:r w:rsidRPr="0036576E">
        <w:rPr>
          <w:rFonts w:hint="eastAsia"/>
        </w:rPr>
        <w:t>（三）余额模式下的实质性程序</w:t>
      </w:r>
    </w:p>
    <w:p w14:paraId="21E0EB8D" w14:textId="6134D049" w:rsidR="0036576E" w:rsidRPr="0036576E" w:rsidRDefault="0036576E" w:rsidP="0036576E">
      <w:pPr>
        <w:pStyle w:val="13"/>
      </w:pPr>
      <w:r w:rsidRPr="0036576E">
        <w:rPr>
          <w:rFonts w:hint="eastAsia"/>
        </w:rPr>
        <w:t>1</w:t>
      </w:r>
      <w:r>
        <w:rPr>
          <w:rFonts w:hint="eastAsia"/>
        </w:rPr>
        <w:t>.</w:t>
      </w:r>
      <w:r w:rsidRPr="0036576E">
        <w:rPr>
          <w:rFonts w:hint="eastAsia"/>
        </w:rPr>
        <w:t>货币</w:t>
      </w:r>
      <w:proofErr w:type="gramStart"/>
      <w:r w:rsidRPr="0036576E">
        <w:rPr>
          <w:rFonts w:hint="eastAsia"/>
        </w:rPr>
        <w:t>资金函证程序</w:t>
      </w:r>
      <w:proofErr w:type="gramEnd"/>
    </w:p>
    <w:p w14:paraId="4CB93A5E" w14:textId="77777777" w:rsidR="0036576E" w:rsidRPr="0036576E" w:rsidRDefault="0036576E" w:rsidP="0036576E">
      <w:pPr>
        <w:pStyle w:val="13"/>
      </w:pPr>
      <w:r w:rsidRPr="0036576E">
        <w:rPr>
          <w:rFonts w:hint="eastAsia"/>
        </w:rPr>
        <w:t>（1）常见问题</w:t>
      </w:r>
    </w:p>
    <w:p w14:paraId="79010030" w14:textId="77777777" w:rsidR="0036576E" w:rsidRPr="0036576E" w:rsidRDefault="0036576E" w:rsidP="0036576E">
      <w:pPr>
        <w:pStyle w:val="13"/>
      </w:pPr>
      <w:r w:rsidRPr="0036576E">
        <w:rPr>
          <w:rFonts w:hint="eastAsia"/>
        </w:rPr>
        <w:t>注册会计师在实施货币资金</w:t>
      </w:r>
      <w:proofErr w:type="gramStart"/>
      <w:r w:rsidRPr="0036576E">
        <w:rPr>
          <w:rFonts w:hint="eastAsia"/>
        </w:rPr>
        <w:t>函证程序</w:t>
      </w:r>
      <w:proofErr w:type="gramEnd"/>
      <w:r w:rsidRPr="0036576E">
        <w:rPr>
          <w:rFonts w:hint="eastAsia"/>
        </w:rPr>
        <w:t>时，通常存在以下问题：</w:t>
      </w:r>
    </w:p>
    <w:p w14:paraId="36711BB0" w14:textId="77777777" w:rsidR="0036576E" w:rsidRPr="0036576E" w:rsidRDefault="0036576E" w:rsidP="0036576E">
      <w:pPr>
        <w:pStyle w:val="13"/>
      </w:pPr>
      <w:r w:rsidRPr="0036576E">
        <w:rPr>
          <w:rFonts w:hint="eastAsia"/>
        </w:rPr>
        <w:t>第一，未按照执业准则规定和评估的重大错报风险，恰当</w:t>
      </w:r>
      <w:proofErr w:type="gramStart"/>
      <w:r w:rsidRPr="0036576E">
        <w:rPr>
          <w:rFonts w:hint="eastAsia"/>
        </w:rPr>
        <w:t>实施函证程序</w:t>
      </w:r>
      <w:proofErr w:type="gramEnd"/>
      <w:r w:rsidRPr="0036576E">
        <w:rPr>
          <w:rFonts w:hint="eastAsia"/>
        </w:rPr>
        <w:t>，如未对发生额较大但余额较小的银行账户或已销户的银行账户</w:t>
      </w:r>
      <w:proofErr w:type="gramStart"/>
      <w:r w:rsidRPr="0036576E">
        <w:rPr>
          <w:rFonts w:hint="eastAsia"/>
        </w:rPr>
        <w:t>进行函证且</w:t>
      </w:r>
      <w:proofErr w:type="gramEnd"/>
      <w:r w:rsidRPr="0036576E">
        <w:rPr>
          <w:rFonts w:hint="eastAsia"/>
        </w:rPr>
        <w:t>缺乏合理理由。</w:t>
      </w:r>
    </w:p>
    <w:p w14:paraId="2C3FF84B" w14:textId="77777777" w:rsidR="0036576E" w:rsidRPr="0036576E" w:rsidRDefault="0036576E" w:rsidP="0036576E">
      <w:pPr>
        <w:pStyle w:val="13"/>
      </w:pPr>
      <w:r w:rsidRPr="0036576E">
        <w:rPr>
          <w:rFonts w:hint="eastAsia"/>
        </w:rPr>
        <w:t>第二，</w:t>
      </w:r>
      <w:proofErr w:type="gramStart"/>
      <w:r w:rsidRPr="0036576E">
        <w:rPr>
          <w:rFonts w:hint="eastAsia"/>
        </w:rPr>
        <w:t>函证时</w:t>
      </w:r>
      <w:proofErr w:type="gramEnd"/>
      <w:r w:rsidRPr="0036576E">
        <w:rPr>
          <w:rFonts w:hint="eastAsia"/>
        </w:rPr>
        <w:t>未充分关注银行账户的完整性</w:t>
      </w:r>
      <w:proofErr w:type="gramStart"/>
      <w:r w:rsidRPr="0036576E">
        <w:rPr>
          <w:rFonts w:hint="eastAsia"/>
        </w:rPr>
        <w:t>和函证信息</w:t>
      </w:r>
      <w:proofErr w:type="gramEnd"/>
      <w:r w:rsidRPr="0036576E">
        <w:rPr>
          <w:rFonts w:hint="eastAsia"/>
        </w:rPr>
        <w:t>的完整性。</w:t>
      </w:r>
    </w:p>
    <w:p w14:paraId="2D25286B" w14:textId="77777777" w:rsidR="0036576E" w:rsidRPr="0036576E" w:rsidRDefault="0036576E" w:rsidP="0036576E">
      <w:pPr>
        <w:pStyle w:val="13"/>
      </w:pPr>
      <w:r w:rsidRPr="0036576E">
        <w:rPr>
          <w:rFonts w:hint="eastAsia"/>
        </w:rPr>
        <w:t>第三，未对</w:t>
      </w:r>
      <w:proofErr w:type="gramStart"/>
      <w:r w:rsidRPr="0036576E">
        <w:rPr>
          <w:rFonts w:hint="eastAsia"/>
        </w:rPr>
        <w:t>函证保持</w:t>
      </w:r>
      <w:proofErr w:type="gramEnd"/>
      <w:r w:rsidRPr="0036576E">
        <w:rPr>
          <w:rFonts w:hint="eastAsia"/>
        </w:rPr>
        <w:t>有效控制，未对</w:t>
      </w:r>
      <w:proofErr w:type="gramStart"/>
      <w:r w:rsidRPr="0036576E">
        <w:rPr>
          <w:rFonts w:hint="eastAsia"/>
        </w:rPr>
        <w:t>函证过程</w:t>
      </w:r>
      <w:proofErr w:type="gramEnd"/>
      <w:r w:rsidRPr="0036576E">
        <w:rPr>
          <w:rFonts w:hint="eastAsia"/>
        </w:rPr>
        <w:t>及回函中存在的可疑迹象采取恰当的应对措施。</w:t>
      </w:r>
    </w:p>
    <w:p w14:paraId="058C5C2E" w14:textId="77777777" w:rsidR="0036576E" w:rsidRPr="0036576E" w:rsidRDefault="0036576E" w:rsidP="0036576E">
      <w:pPr>
        <w:pStyle w:val="13"/>
      </w:pPr>
      <w:r w:rsidRPr="0036576E">
        <w:rPr>
          <w:rFonts w:hint="eastAsia"/>
        </w:rPr>
        <w:t>第四，对管理层不允许寄发</w:t>
      </w:r>
      <w:proofErr w:type="gramStart"/>
      <w:r w:rsidRPr="0036576E">
        <w:rPr>
          <w:rFonts w:hint="eastAsia"/>
        </w:rPr>
        <w:t>询</w:t>
      </w:r>
      <w:proofErr w:type="gramEnd"/>
      <w:r w:rsidRPr="0036576E">
        <w:rPr>
          <w:rFonts w:hint="eastAsia"/>
        </w:rPr>
        <w:t>证函、不</w:t>
      </w:r>
      <w:proofErr w:type="gramStart"/>
      <w:r w:rsidRPr="0036576E">
        <w:rPr>
          <w:rFonts w:hint="eastAsia"/>
        </w:rPr>
        <w:t>配合函证或</w:t>
      </w:r>
      <w:proofErr w:type="gramEnd"/>
      <w:r w:rsidRPr="0036576E">
        <w:rPr>
          <w:rFonts w:hint="eastAsia"/>
        </w:rPr>
        <w:t>有选择性地删减</w:t>
      </w:r>
      <w:proofErr w:type="gramStart"/>
      <w:r w:rsidRPr="0036576E">
        <w:rPr>
          <w:rFonts w:hint="eastAsia"/>
        </w:rPr>
        <w:t>函证信息</w:t>
      </w:r>
      <w:proofErr w:type="gramEnd"/>
      <w:r w:rsidRPr="0036576E">
        <w:rPr>
          <w:rFonts w:hint="eastAsia"/>
        </w:rPr>
        <w:t>等情况，未保持职业怀疑，未采取恰当的应对措施。</w:t>
      </w:r>
    </w:p>
    <w:p w14:paraId="74B8F2E0" w14:textId="77777777" w:rsidR="0036576E" w:rsidRPr="0036576E" w:rsidRDefault="0036576E" w:rsidP="0036576E">
      <w:pPr>
        <w:pStyle w:val="13"/>
      </w:pPr>
      <w:r w:rsidRPr="0036576E">
        <w:rPr>
          <w:rFonts w:hint="eastAsia"/>
        </w:rPr>
        <w:t>第五，对未予回函、回函信息不符，以及对</w:t>
      </w:r>
      <w:proofErr w:type="gramStart"/>
      <w:r w:rsidRPr="0036576E">
        <w:rPr>
          <w:rFonts w:hint="eastAsia"/>
        </w:rPr>
        <w:t>询证函</w:t>
      </w:r>
      <w:proofErr w:type="gramEnd"/>
      <w:r w:rsidRPr="0036576E">
        <w:rPr>
          <w:rFonts w:hint="eastAsia"/>
        </w:rPr>
        <w:t>中特定账户或部分信息未予确认等情况，未采取恰当的应对措施，尤其是实施替代程序时流于形式。</w:t>
      </w:r>
    </w:p>
    <w:p w14:paraId="764A74FB" w14:textId="77777777" w:rsidR="0036576E" w:rsidRPr="0036576E" w:rsidRDefault="0036576E" w:rsidP="0036576E">
      <w:pPr>
        <w:pStyle w:val="13"/>
      </w:pPr>
      <w:r w:rsidRPr="0036576E">
        <w:rPr>
          <w:rFonts w:hint="eastAsia"/>
        </w:rPr>
        <w:t>（2）监管关注事项</w:t>
      </w:r>
    </w:p>
    <w:p w14:paraId="2176B9E5" w14:textId="77777777" w:rsidR="0036576E" w:rsidRPr="0036576E" w:rsidRDefault="0036576E" w:rsidP="0036576E">
      <w:pPr>
        <w:pStyle w:val="13"/>
      </w:pPr>
      <w:r w:rsidRPr="0036576E">
        <w:rPr>
          <w:rFonts w:hint="eastAsia"/>
        </w:rPr>
        <w:t>在监管工作中，应关注注册会计师是否结合资金占用相关的风险评估和控制测试情况，对货币资金实施了恰当</w:t>
      </w:r>
      <w:proofErr w:type="gramStart"/>
      <w:r w:rsidRPr="0036576E">
        <w:rPr>
          <w:rFonts w:hint="eastAsia"/>
        </w:rPr>
        <w:t>的函证程序</w:t>
      </w:r>
      <w:proofErr w:type="gramEnd"/>
      <w:r w:rsidRPr="0036576E">
        <w:rPr>
          <w:rFonts w:hint="eastAsia"/>
        </w:rPr>
        <w:t>，具体包括：</w:t>
      </w:r>
    </w:p>
    <w:p w14:paraId="62C651A4" w14:textId="77777777" w:rsidR="0036576E" w:rsidRPr="0036576E" w:rsidRDefault="0036576E" w:rsidP="0036576E">
      <w:pPr>
        <w:pStyle w:val="13"/>
      </w:pPr>
      <w:r w:rsidRPr="0036576E">
        <w:rPr>
          <w:rFonts w:hint="eastAsia"/>
        </w:rPr>
        <w:lastRenderedPageBreak/>
        <w:t>第一，注册会计师应严格按照执业准则的要求和既定的风险评估及风险应对措施，对货币资金</w:t>
      </w:r>
      <w:proofErr w:type="gramStart"/>
      <w:r w:rsidRPr="0036576E">
        <w:rPr>
          <w:rFonts w:hint="eastAsia"/>
        </w:rPr>
        <w:t>实施函证程序</w:t>
      </w:r>
      <w:proofErr w:type="gramEnd"/>
      <w:r w:rsidRPr="0036576E">
        <w:rPr>
          <w:rFonts w:hint="eastAsia"/>
        </w:rPr>
        <w:t>，如无合理理由，应当将发生额较大但余额较小的、零余额的、在本期内注销的银行账户</w:t>
      </w:r>
      <w:proofErr w:type="gramStart"/>
      <w:r w:rsidRPr="0036576E">
        <w:rPr>
          <w:rFonts w:hint="eastAsia"/>
        </w:rPr>
        <w:t>纳入函证范围</w:t>
      </w:r>
      <w:proofErr w:type="gramEnd"/>
      <w:r w:rsidRPr="0036576E">
        <w:rPr>
          <w:rFonts w:hint="eastAsia"/>
        </w:rPr>
        <w:t>。同时，应</w:t>
      </w:r>
      <w:proofErr w:type="gramStart"/>
      <w:r w:rsidRPr="0036576E">
        <w:rPr>
          <w:rFonts w:hint="eastAsia"/>
        </w:rPr>
        <w:t>结合函证程序</w:t>
      </w:r>
      <w:proofErr w:type="gramEnd"/>
      <w:r w:rsidRPr="0036576E">
        <w:rPr>
          <w:rFonts w:hint="eastAsia"/>
        </w:rPr>
        <w:t>，重点关注本期交易活跃但</w:t>
      </w:r>
      <w:proofErr w:type="gramStart"/>
      <w:r w:rsidRPr="0036576E">
        <w:rPr>
          <w:rFonts w:hint="eastAsia"/>
        </w:rPr>
        <w:t>期末已</w:t>
      </w:r>
      <w:proofErr w:type="gramEnd"/>
      <w:r w:rsidRPr="0036576E">
        <w:rPr>
          <w:rFonts w:hint="eastAsia"/>
        </w:rPr>
        <w:t>注销的银行账户的交易情况。</w:t>
      </w:r>
    </w:p>
    <w:p w14:paraId="6D36FD68" w14:textId="77777777" w:rsidR="0036576E" w:rsidRPr="0036576E" w:rsidRDefault="0036576E" w:rsidP="0036576E">
      <w:pPr>
        <w:pStyle w:val="13"/>
      </w:pPr>
      <w:r w:rsidRPr="0036576E">
        <w:rPr>
          <w:rFonts w:hint="eastAsia"/>
        </w:rPr>
        <w:t>第二，注册会计师在实施</w:t>
      </w:r>
      <w:proofErr w:type="gramStart"/>
      <w:r w:rsidRPr="0036576E">
        <w:rPr>
          <w:rFonts w:hint="eastAsia"/>
        </w:rPr>
        <w:t>函证程序</w:t>
      </w:r>
      <w:proofErr w:type="gramEnd"/>
      <w:r w:rsidRPr="0036576E">
        <w:rPr>
          <w:rFonts w:hint="eastAsia"/>
        </w:rPr>
        <w:t>时，应当关注上市公司提供银行账户的完整性，如对完整性存有疑虑，应当亲自到中国人民银行或基本存款账户的开户行查询并打印《已开立银行结算账户清单》。</w:t>
      </w:r>
    </w:p>
    <w:p w14:paraId="71A47025" w14:textId="77777777" w:rsidR="0036576E" w:rsidRPr="0036576E" w:rsidRDefault="0036576E" w:rsidP="0036576E">
      <w:pPr>
        <w:pStyle w:val="13"/>
      </w:pPr>
      <w:r w:rsidRPr="0036576E">
        <w:rPr>
          <w:rFonts w:hint="eastAsia"/>
        </w:rPr>
        <w:t>第三，注册会计师应关注</w:t>
      </w:r>
      <w:proofErr w:type="gramStart"/>
      <w:r w:rsidRPr="0036576E">
        <w:rPr>
          <w:rFonts w:hint="eastAsia"/>
        </w:rPr>
        <w:t>函证信息</w:t>
      </w:r>
      <w:proofErr w:type="gramEnd"/>
      <w:r w:rsidRPr="0036576E">
        <w:rPr>
          <w:rFonts w:hint="eastAsia"/>
        </w:rPr>
        <w:t>的完整性。除按照规定的格式</w:t>
      </w:r>
      <w:proofErr w:type="gramStart"/>
      <w:r w:rsidRPr="0036576E">
        <w:rPr>
          <w:rFonts w:hint="eastAsia"/>
        </w:rPr>
        <w:t>进行函证外</w:t>
      </w:r>
      <w:proofErr w:type="gramEnd"/>
      <w:r w:rsidRPr="0036576E">
        <w:rPr>
          <w:rFonts w:hint="eastAsia"/>
        </w:rPr>
        <w:t>，必要时还</w:t>
      </w:r>
      <w:proofErr w:type="gramStart"/>
      <w:r w:rsidRPr="0036576E">
        <w:rPr>
          <w:rFonts w:hint="eastAsia"/>
        </w:rPr>
        <w:t>应函证</w:t>
      </w:r>
      <w:proofErr w:type="gramEnd"/>
      <w:r w:rsidRPr="0036576E">
        <w:rPr>
          <w:rFonts w:hint="eastAsia"/>
        </w:rPr>
        <w:t>上市公司与银行间可能存在的其他安排，如集团资金管理协议、控股股东资金</w:t>
      </w:r>
      <w:proofErr w:type="gramStart"/>
      <w:r w:rsidRPr="0036576E">
        <w:rPr>
          <w:rFonts w:hint="eastAsia"/>
        </w:rPr>
        <w:t>池安排</w:t>
      </w:r>
      <w:proofErr w:type="gramEnd"/>
      <w:r w:rsidRPr="0036576E">
        <w:rPr>
          <w:rFonts w:hint="eastAsia"/>
        </w:rPr>
        <w:t>等，并根据需要对银行进行走访。</w:t>
      </w:r>
    </w:p>
    <w:p w14:paraId="4C6F34E6" w14:textId="77777777" w:rsidR="0036576E" w:rsidRPr="0036576E" w:rsidRDefault="0036576E" w:rsidP="0036576E">
      <w:pPr>
        <w:pStyle w:val="13"/>
      </w:pPr>
      <w:r w:rsidRPr="0036576E">
        <w:rPr>
          <w:rFonts w:hint="eastAsia"/>
        </w:rPr>
        <w:t>第四，注册会计师应对银行账户</w:t>
      </w:r>
      <w:proofErr w:type="gramStart"/>
      <w:r w:rsidRPr="0036576E">
        <w:rPr>
          <w:rFonts w:hint="eastAsia"/>
        </w:rPr>
        <w:t>函证实施</w:t>
      </w:r>
      <w:proofErr w:type="gramEnd"/>
      <w:r w:rsidRPr="0036576E">
        <w:rPr>
          <w:rFonts w:hint="eastAsia"/>
        </w:rPr>
        <w:t>有效控制。寄发</w:t>
      </w:r>
      <w:proofErr w:type="gramStart"/>
      <w:r w:rsidRPr="0036576E">
        <w:rPr>
          <w:rFonts w:hint="eastAsia"/>
        </w:rPr>
        <w:t>询证函前</w:t>
      </w:r>
      <w:proofErr w:type="gramEnd"/>
      <w:r w:rsidRPr="0036576E">
        <w:rPr>
          <w:rFonts w:hint="eastAsia"/>
        </w:rPr>
        <w:t>应核对相关信息，取得回函后应关注快递单据、回函格式、印章、经办人及联系方式等信息。对可靠性存疑的回函，应审慎评价</w:t>
      </w:r>
      <w:proofErr w:type="gramStart"/>
      <w:r w:rsidRPr="0036576E">
        <w:rPr>
          <w:rFonts w:hint="eastAsia"/>
        </w:rPr>
        <w:t>函证结果</w:t>
      </w:r>
      <w:proofErr w:type="gramEnd"/>
      <w:r w:rsidRPr="0036576E">
        <w:rPr>
          <w:rFonts w:hint="eastAsia"/>
        </w:rPr>
        <w:t>及回函的真实性，并采取进一步措施获取充分适当的审计证据。</w:t>
      </w:r>
    </w:p>
    <w:p w14:paraId="614D4653" w14:textId="77777777" w:rsidR="0036576E" w:rsidRPr="0036576E" w:rsidRDefault="0036576E" w:rsidP="0036576E">
      <w:pPr>
        <w:pStyle w:val="13"/>
      </w:pPr>
      <w:r w:rsidRPr="0036576E">
        <w:rPr>
          <w:rFonts w:hint="eastAsia"/>
        </w:rPr>
        <w:t>第五，注册会计师</w:t>
      </w:r>
      <w:proofErr w:type="gramStart"/>
      <w:r w:rsidRPr="0036576E">
        <w:rPr>
          <w:rFonts w:hint="eastAsia"/>
        </w:rPr>
        <w:t>在函证时</w:t>
      </w:r>
      <w:proofErr w:type="gramEnd"/>
      <w:r w:rsidRPr="0036576E">
        <w:rPr>
          <w:rFonts w:hint="eastAsia"/>
        </w:rPr>
        <w:t>应当保持职业怀疑，对管理层不允许寄发</w:t>
      </w:r>
      <w:proofErr w:type="gramStart"/>
      <w:r w:rsidRPr="0036576E">
        <w:rPr>
          <w:rFonts w:hint="eastAsia"/>
        </w:rPr>
        <w:t>询</w:t>
      </w:r>
      <w:proofErr w:type="gramEnd"/>
      <w:r w:rsidRPr="0036576E">
        <w:rPr>
          <w:rFonts w:hint="eastAsia"/>
        </w:rPr>
        <w:t>证函、不</w:t>
      </w:r>
      <w:proofErr w:type="gramStart"/>
      <w:r w:rsidRPr="0036576E">
        <w:rPr>
          <w:rFonts w:hint="eastAsia"/>
        </w:rPr>
        <w:t>配合函证或</w:t>
      </w:r>
      <w:proofErr w:type="gramEnd"/>
      <w:r w:rsidRPr="0036576E">
        <w:rPr>
          <w:rFonts w:hint="eastAsia"/>
        </w:rPr>
        <w:t>有选择性地删减</w:t>
      </w:r>
      <w:proofErr w:type="gramStart"/>
      <w:r w:rsidRPr="0036576E">
        <w:rPr>
          <w:rFonts w:hint="eastAsia"/>
        </w:rPr>
        <w:t>函证信息</w:t>
      </w:r>
      <w:proofErr w:type="gramEnd"/>
      <w:r w:rsidRPr="0036576E">
        <w:rPr>
          <w:rFonts w:hint="eastAsia"/>
        </w:rPr>
        <w:t>等情况，应当询问原因并进行分析判断，实施恰当的应对措施，并评价对评估的重大错报风险、舞弊风险及其应对措施的影响。</w:t>
      </w:r>
    </w:p>
    <w:p w14:paraId="6C8FD822" w14:textId="77777777" w:rsidR="0036576E" w:rsidRPr="0036576E" w:rsidRDefault="0036576E" w:rsidP="0036576E">
      <w:pPr>
        <w:pStyle w:val="13"/>
      </w:pPr>
      <w:r w:rsidRPr="0036576E">
        <w:rPr>
          <w:rFonts w:hint="eastAsia"/>
        </w:rPr>
        <w:t>第六，注册会计师应充分关注回函信息的完整性和准确性，对未回函的账户或未确认的信息实施替代程序；对</w:t>
      </w:r>
      <w:proofErr w:type="gramStart"/>
      <w:r w:rsidRPr="0036576E">
        <w:rPr>
          <w:rFonts w:hint="eastAsia"/>
        </w:rPr>
        <w:t>以资信</w:t>
      </w:r>
      <w:proofErr w:type="gramEnd"/>
      <w:r w:rsidRPr="0036576E">
        <w:rPr>
          <w:rFonts w:hint="eastAsia"/>
        </w:rPr>
        <w:t>证明书、银行对账单等格式文书回函的，应对未予确认的项目实施替代程序；实施替代程序时，应确保获得相关、可靠的审计证据；对回函存在的不符事项进行调查，确定是否表明存在错报。</w:t>
      </w:r>
    </w:p>
    <w:p w14:paraId="65638576" w14:textId="7C9C97C0" w:rsidR="0036576E" w:rsidRPr="0036576E" w:rsidRDefault="0036576E" w:rsidP="0036576E">
      <w:pPr>
        <w:pStyle w:val="13"/>
      </w:pPr>
      <w:r w:rsidRPr="0036576E">
        <w:rPr>
          <w:rFonts w:hint="eastAsia"/>
        </w:rPr>
        <w:t>2</w:t>
      </w:r>
      <w:r>
        <w:rPr>
          <w:rFonts w:hint="eastAsia"/>
        </w:rPr>
        <w:t>.</w:t>
      </w:r>
      <w:r w:rsidRPr="0036576E">
        <w:rPr>
          <w:rFonts w:hint="eastAsia"/>
        </w:rPr>
        <w:t>货币资金检查程序</w:t>
      </w:r>
    </w:p>
    <w:p w14:paraId="3603FC79" w14:textId="77777777" w:rsidR="0036576E" w:rsidRPr="0036576E" w:rsidRDefault="0036576E" w:rsidP="0036576E">
      <w:pPr>
        <w:pStyle w:val="13"/>
      </w:pPr>
      <w:r w:rsidRPr="0036576E">
        <w:rPr>
          <w:rFonts w:hint="eastAsia"/>
        </w:rPr>
        <w:t>（1）常见问题</w:t>
      </w:r>
    </w:p>
    <w:p w14:paraId="51F98A6B" w14:textId="77777777" w:rsidR="0036576E" w:rsidRPr="0036576E" w:rsidRDefault="0036576E" w:rsidP="0036576E">
      <w:pPr>
        <w:pStyle w:val="13"/>
      </w:pPr>
      <w:r w:rsidRPr="0036576E">
        <w:rPr>
          <w:rFonts w:hint="eastAsia"/>
        </w:rPr>
        <w:t>第一，未恰当执行银行对账单、银行回单的检查程序。</w:t>
      </w:r>
    </w:p>
    <w:p w14:paraId="6D400A41" w14:textId="77777777" w:rsidR="0036576E" w:rsidRPr="0036576E" w:rsidRDefault="0036576E" w:rsidP="0036576E">
      <w:pPr>
        <w:pStyle w:val="13"/>
      </w:pPr>
      <w:r w:rsidRPr="0036576E">
        <w:rPr>
          <w:rFonts w:hint="eastAsia"/>
        </w:rPr>
        <w:t>第二，未恰当执行定期存款、其他货币资金的审计程序。</w:t>
      </w:r>
    </w:p>
    <w:p w14:paraId="4CD64238" w14:textId="77777777" w:rsidR="0036576E" w:rsidRPr="0036576E" w:rsidRDefault="0036576E" w:rsidP="0036576E">
      <w:pPr>
        <w:pStyle w:val="13"/>
      </w:pPr>
      <w:r w:rsidRPr="0036576E">
        <w:rPr>
          <w:rFonts w:hint="eastAsia"/>
        </w:rPr>
        <w:t>第三，未恰当执行有关货币资金的分析程序。</w:t>
      </w:r>
    </w:p>
    <w:p w14:paraId="52B739AE" w14:textId="77777777" w:rsidR="0036576E" w:rsidRPr="0036576E" w:rsidRDefault="0036576E" w:rsidP="0036576E">
      <w:pPr>
        <w:pStyle w:val="13"/>
      </w:pPr>
      <w:r w:rsidRPr="0036576E">
        <w:rPr>
          <w:rFonts w:hint="eastAsia"/>
        </w:rPr>
        <w:t>第四，未恰当执行有关货币资金的截止测试。</w:t>
      </w:r>
    </w:p>
    <w:p w14:paraId="5A2CB229" w14:textId="77777777" w:rsidR="0036576E" w:rsidRPr="0036576E" w:rsidRDefault="0036576E" w:rsidP="0036576E">
      <w:pPr>
        <w:pStyle w:val="13"/>
      </w:pPr>
      <w:r w:rsidRPr="0036576E">
        <w:rPr>
          <w:rFonts w:hint="eastAsia"/>
        </w:rPr>
        <w:t>（2）监管关注事项</w:t>
      </w:r>
    </w:p>
    <w:p w14:paraId="7FBBA296" w14:textId="77777777" w:rsidR="0036576E" w:rsidRPr="0036576E" w:rsidRDefault="0036576E" w:rsidP="0036576E">
      <w:pPr>
        <w:pStyle w:val="13"/>
      </w:pPr>
      <w:r w:rsidRPr="0036576E">
        <w:rPr>
          <w:rFonts w:hint="eastAsia"/>
        </w:rPr>
        <w:t>在监管工作中，应关注注册会计师是否结合资金占用相关的风险评估和控制测试情况，对货币资金实施了恰当的检查程序，具体包括：</w:t>
      </w:r>
    </w:p>
    <w:p w14:paraId="5C595092" w14:textId="77777777" w:rsidR="0036576E" w:rsidRPr="0036576E" w:rsidRDefault="0036576E" w:rsidP="0036576E">
      <w:pPr>
        <w:pStyle w:val="13"/>
      </w:pPr>
      <w:r w:rsidRPr="0036576E">
        <w:rPr>
          <w:rFonts w:hint="eastAsia"/>
        </w:rPr>
        <w:t>第一，注册会计师应当对银行对账单、网上银行流水进行检查，关注其中的大额异常交易，例如相同金额的一收一付、相同金额的分次转入转出等，并对应检查银行存款日记账和相应凭证；做好发生额测试和对比分析，并重点检查上市公司与控股股东之间的资金往来。对从公司获取的银行对账单，应着重关注格式、印章等是否存在</w:t>
      </w:r>
      <w:r w:rsidRPr="0036576E">
        <w:rPr>
          <w:rFonts w:hint="eastAsia"/>
        </w:rPr>
        <w:lastRenderedPageBreak/>
        <w:t>异常、篡改等迹象，必要时应当现场观察财务人员操作网上银行及其打印对账单的过程，并核对网上银行显示信息与公司所提供信息的一致性；或在公司协助下亲自赴银行获取对账单，并进行多维</w:t>
      </w:r>
      <w:proofErr w:type="gramStart"/>
      <w:r w:rsidRPr="0036576E">
        <w:rPr>
          <w:rFonts w:hint="eastAsia"/>
        </w:rPr>
        <w:t>度分析</w:t>
      </w:r>
      <w:proofErr w:type="gramEnd"/>
      <w:r w:rsidRPr="0036576E">
        <w:rPr>
          <w:rFonts w:hint="eastAsia"/>
        </w:rPr>
        <w:t>核验。在上述执业过程中，注册会计师应结合询问、查验文件、</w:t>
      </w:r>
      <w:proofErr w:type="gramStart"/>
      <w:r w:rsidRPr="0036576E">
        <w:rPr>
          <w:rFonts w:hint="eastAsia"/>
        </w:rPr>
        <w:t>函证等</w:t>
      </w:r>
      <w:proofErr w:type="gramEnd"/>
      <w:r w:rsidRPr="0036576E">
        <w:rPr>
          <w:rFonts w:hint="eastAsia"/>
        </w:rPr>
        <w:t>程序，关注可能显示存在的集团资金管理协议、控股股东资金</w:t>
      </w:r>
      <w:proofErr w:type="gramStart"/>
      <w:r w:rsidRPr="0036576E">
        <w:rPr>
          <w:rFonts w:hint="eastAsia"/>
        </w:rPr>
        <w:t>池安排</w:t>
      </w:r>
      <w:proofErr w:type="gramEnd"/>
      <w:r w:rsidRPr="0036576E">
        <w:rPr>
          <w:rFonts w:hint="eastAsia"/>
        </w:rPr>
        <w:t>等迹象，判断控股股东是否以此方式进行资金占用。</w:t>
      </w:r>
    </w:p>
    <w:p w14:paraId="6974E972" w14:textId="77777777" w:rsidR="0036576E" w:rsidRPr="0036576E" w:rsidRDefault="0036576E" w:rsidP="0036576E">
      <w:pPr>
        <w:pStyle w:val="13"/>
      </w:pPr>
      <w:r w:rsidRPr="0036576E">
        <w:rPr>
          <w:rFonts w:hint="eastAsia"/>
        </w:rPr>
        <w:t>第二，注册会计师在检查货币资金相关凭证时，应做好内外部凭证核对，如发现可疑迹象，应当对银行回单等凭证的真实性进行验证，包括利用银行官方网站中的电子回单验证渠道，在上市公司协助下使用回单卡、单位结算卡等赴银行直接查询验证。</w:t>
      </w:r>
    </w:p>
    <w:p w14:paraId="452CB6A5" w14:textId="77777777" w:rsidR="0036576E" w:rsidRPr="0036576E" w:rsidRDefault="0036576E" w:rsidP="0036576E">
      <w:pPr>
        <w:pStyle w:val="13"/>
      </w:pPr>
      <w:r w:rsidRPr="0036576E">
        <w:rPr>
          <w:rFonts w:hint="eastAsia"/>
        </w:rPr>
        <w:t>第三，注册会计师应当对定期存款进行检查。分析评估定期存款的商业理由及合理性，并对定期存款凭据进行监盘；对未质押的定期存款，应检查开户证实书原件，核对存款人、金额、期限等信息；对已质押的定期存款，应检查定期存单复印件，并与对应的质押合同核对；对质</w:t>
      </w:r>
      <w:proofErr w:type="gramStart"/>
      <w:r w:rsidRPr="0036576E">
        <w:rPr>
          <w:rFonts w:hint="eastAsia"/>
        </w:rPr>
        <w:t>押</w:t>
      </w:r>
      <w:proofErr w:type="gramEnd"/>
      <w:r w:rsidRPr="0036576E">
        <w:rPr>
          <w:rFonts w:hint="eastAsia"/>
        </w:rPr>
        <w:t>事项逾期的，应重点关注相关质权是否已被行使。</w:t>
      </w:r>
    </w:p>
    <w:p w14:paraId="5F67B7EC" w14:textId="77777777" w:rsidR="0036576E" w:rsidRPr="0036576E" w:rsidRDefault="0036576E" w:rsidP="0036576E">
      <w:pPr>
        <w:pStyle w:val="13"/>
      </w:pPr>
      <w:r w:rsidRPr="0036576E">
        <w:rPr>
          <w:rFonts w:hint="eastAsia"/>
        </w:rPr>
        <w:t>第四，注册会计师应当对其他货币资金进行检查。</w:t>
      </w:r>
      <w:proofErr w:type="gramStart"/>
      <w:r w:rsidRPr="0036576E">
        <w:rPr>
          <w:rFonts w:hint="eastAsia"/>
        </w:rPr>
        <w:t>结合函证情况</w:t>
      </w:r>
      <w:proofErr w:type="gramEnd"/>
      <w:r w:rsidRPr="0036576E">
        <w:rPr>
          <w:rFonts w:hint="eastAsia"/>
        </w:rPr>
        <w:t>，检查开立银行承兑汇票、信用证等的协议和审批文件，对比票据开立、保证事项的发生与相应保证金情况，判断其合理性和准确性。</w:t>
      </w:r>
    </w:p>
    <w:p w14:paraId="2907CCBA" w14:textId="77777777" w:rsidR="0036576E" w:rsidRPr="0036576E" w:rsidRDefault="0036576E" w:rsidP="0036576E">
      <w:pPr>
        <w:pStyle w:val="13"/>
      </w:pPr>
      <w:r w:rsidRPr="0036576E">
        <w:rPr>
          <w:rFonts w:hint="eastAsia"/>
        </w:rPr>
        <w:t>第五，注册会计师应恰当执行货币资金的分析程序，结合对其他项目的分析核验，判断货币资金项目的合理性。例如对上市公司货币资金余额持续较高、“存贷双高”等情形，应当将货币资金余额与利息收支、资金支出、资金使用计划、利润分配、同行业情况、手续费、控股股东相关情况等对比分析并评估其合理性，对异常情况进行调查。</w:t>
      </w:r>
    </w:p>
    <w:p w14:paraId="2B45B5F1" w14:textId="77777777" w:rsidR="0036576E" w:rsidRPr="0036576E" w:rsidRDefault="0036576E" w:rsidP="0036576E">
      <w:pPr>
        <w:pStyle w:val="13"/>
      </w:pPr>
      <w:r w:rsidRPr="0036576E">
        <w:rPr>
          <w:rFonts w:hint="eastAsia"/>
        </w:rPr>
        <w:t>第六，注册会计师应对货币资金实施截止测试，核对银行对账单和公司的账务处理，检查银行存款余额调节表，关注资产负债表日前后是否存在大额、</w:t>
      </w:r>
      <w:proofErr w:type="gramStart"/>
      <w:r w:rsidRPr="0036576E">
        <w:rPr>
          <w:rFonts w:hint="eastAsia"/>
        </w:rPr>
        <w:t>异常资金</w:t>
      </w:r>
      <w:proofErr w:type="gramEnd"/>
      <w:r w:rsidRPr="0036576E">
        <w:rPr>
          <w:rFonts w:hint="eastAsia"/>
        </w:rPr>
        <w:t>变动，是否存在大额、长期的未达账项以及大量的货币资金期后红字冲销事项等。</w:t>
      </w:r>
    </w:p>
    <w:p w14:paraId="2C61A522" w14:textId="498D9101" w:rsidR="0036576E" w:rsidRPr="0036576E" w:rsidRDefault="0036576E" w:rsidP="0036576E">
      <w:pPr>
        <w:pStyle w:val="13"/>
      </w:pPr>
      <w:r w:rsidRPr="0036576E">
        <w:rPr>
          <w:rFonts w:hint="eastAsia"/>
        </w:rPr>
        <w:t>3</w:t>
      </w:r>
      <w:r>
        <w:rPr>
          <w:rFonts w:hint="eastAsia"/>
        </w:rPr>
        <w:t>.</w:t>
      </w:r>
      <w:r w:rsidRPr="0036576E">
        <w:rPr>
          <w:rFonts w:hint="eastAsia"/>
        </w:rPr>
        <w:t>担保审计程序</w:t>
      </w:r>
    </w:p>
    <w:p w14:paraId="3908E73D" w14:textId="77777777" w:rsidR="0036576E" w:rsidRPr="0036576E" w:rsidRDefault="0036576E" w:rsidP="0036576E">
      <w:pPr>
        <w:pStyle w:val="13"/>
      </w:pPr>
      <w:r w:rsidRPr="0036576E">
        <w:rPr>
          <w:rFonts w:hint="eastAsia"/>
        </w:rPr>
        <w:t>（1）常见问题</w:t>
      </w:r>
    </w:p>
    <w:p w14:paraId="259BD97E" w14:textId="77777777" w:rsidR="0036576E" w:rsidRPr="0036576E" w:rsidRDefault="0036576E" w:rsidP="0036576E">
      <w:pPr>
        <w:pStyle w:val="13"/>
      </w:pPr>
      <w:r w:rsidRPr="0036576E">
        <w:rPr>
          <w:rFonts w:hint="eastAsia"/>
        </w:rPr>
        <w:t>第一，对回函中未予确认的担保及受限项目，未采取进一步应对措施。</w:t>
      </w:r>
    </w:p>
    <w:p w14:paraId="66F37171" w14:textId="77777777" w:rsidR="0036576E" w:rsidRPr="0036576E" w:rsidRDefault="0036576E" w:rsidP="0036576E">
      <w:pPr>
        <w:pStyle w:val="13"/>
      </w:pPr>
      <w:r w:rsidRPr="0036576E">
        <w:rPr>
          <w:rFonts w:hint="eastAsia"/>
        </w:rPr>
        <w:t>第二，未对定期存款、银行理财产品等质押情况予以充分关注。</w:t>
      </w:r>
    </w:p>
    <w:p w14:paraId="2453DE82" w14:textId="77777777" w:rsidR="0036576E" w:rsidRPr="0036576E" w:rsidRDefault="0036576E" w:rsidP="0036576E">
      <w:pPr>
        <w:pStyle w:val="13"/>
      </w:pPr>
      <w:r w:rsidRPr="0036576E">
        <w:rPr>
          <w:rFonts w:hint="eastAsia"/>
        </w:rPr>
        <w:t>第三，未充分获取或不恰当地信赖外部信息，未对企业信用报告进行详细核验，未考虑其固有限制。</w:t>
      </w:r>
    </w:p>
    <w:p w14:paraId="408BEEA1" w14:textId="77777777" w:rsidR="0036576E" w:rsidRPr="0036576E" w:rsidRDefault="0036576E" w:rsidP="0036576E">
      <w:pPr>
        <w:pStyle w:val="13"/>
      </w:pPr>
      <w:r w:rsidRPr="0036576E">
        <w:rPr>
          <w:rFonts w:hint="eastAsia"/>
        </w:rPr>
        <w:t>第四，未结合其他审计程序，核查上市公司是否存在未披露的担保事项。</w:t>
      </w:r>
    </w:p>
    <w:p w14:paraId="534E6251" w14:textId="77777777" w:rsidR="0036576E" w:rsidRPr="0036576E" w:rsidRDefault="0036576E" w:rsidP="0036576E">
      <w:pPr>
        <w:pStyle w:val="13"/>
      </w:pPr>
      <w:r w:rsidRPr="0036576E">
        <w:rPr>
          <w:rFonts w:hint="eastAsia"/>
        </w:rPr>
        <w:t>（2）监管关注事项</w:t>
      </w:r>
    </w:p>
    <w:p w14:paraId="011E9060" w14:textId="77777777" w:rsidR="0036576E" w:rsidRPr="0036576E" w:rsidRDefault="0036576E" w:rsidP="0036576E">
      <w:pPr>
        <w:pStyle w:val="13"/>
      </w:pPr>
      <w:r w:rsidRPr="0036576E">
        <w:rPr>
          <w:rFonts w:hint="eastAsia"/>
        </w:rPr>
        <w:t>在监管工作中，应关注注册会计师是否结合资金占用相关的风险评估和控制测试情况，对担保事项实施了恰当的审计程序，具体包括：</w:t>
      </w:r>
    </w:p>
    <w:p w14:paraId="0C956947" w14:textId="77777777" w:rsidR="0036576E" w:rsidRPr="0036576E" w:rsidRDefault="0036576E" w:rsidP="0036576E">
      <w:pPr>
        <w:pStyle w:val="13"/>
      </w:pPr>
      <w:r w:rsidRPr="0036576E">
        <w:rPr>
          <w:rFonts w:hint="eastAsia"/>
        </w:rPr>
        <w:lastRenderedPageBreak/>
        <w:t>第一，注册会计师应严格执行上述</w:t>
      </w:r>
      <w:proofErr w:type="gramStart"/>
      <w:r w:rsidRPr="0036576E">
        <w:rPr>
          <w:rFonts w:hint="eastAsia"/>
        </w:rPr>
        <w:t>对函证程序</w:t>
      </w:r>
      <w:proofErr w:type="gramEnd"/>
      <w:r w:rsidRPr="0036576E">
        <w:rPr>
          <w:rFonts w:hint="eastAsia"/>
        </w:rPr>
        <w:t>的要求，对于回函中未确认“是否用于担保或存在其他使用限制”的项目，应当采取进一步措施，包括向银行进一步核实、实施替代程序等。</w:t>
      </w:r>
    </w:p>
    <w:p w14:paraId="5AF47753" w14:textId="77777777" w:rsidR="0036576E" w:rsidRPr="0036576E" w:rsidRDefault="0036576E" w:rsidP="0036576E">
      <w:pPr>
        <w:pStyle w:val="13"/>
      </w:pPr>
      <w:r w:rsidRPr="0036576E">
        <w:rPr>
          <w:rFonts w:hint="eastAsia"/>
        </w:rPr>
        <w:t>第二，除实施</w:t>
      </w:r>
      <w:proofErr w:type="gramStart"/>
      <w:r w:rsidRPr="0036576E">
        <w:rPr>
          <w:rFonts w:hint="eastAsia"/>
        </w:rPr>
        <w:t>函证程序</w:t>
      </w:r>
      <w:proofErr w:type="gramEnd"/>
      <w:r w:rsidRPr="0036576E">
        <w:rPr>
          <w:rFonts w:hint="eastAsia"/>
        </w:rPr>
        <w:t>外，注册会计师还应结合公司开立银行承兑汇票、向其他方借款等情况，关注定期存款、银行理财产品等质押担保情况，严格执行相应检查程序，严格核查银行理财产品等金融产品的受限情况。</w:t>
      </w:r>
    </w:p>
    <w:p w14:paraId="6F9288C6" w14:textId="77777777" w:rsidR="0036576E" w:rsidRPr="0036576E" w:rsidRDefault="0036576E" w:rsidP="0036576E">
      <w:pPr>
        <w:pStyle w:val="13"/>
      </w:pPr>
      <w:r w:rsidRPr="0036576E">
        <w:rPr>
          <w:rFonts w:hint="eastAsia"/>
        </w:rPr>
        <w:t>第三，注册会计师应当获取上市公司及其重要子公司的企业信用报告，并核对质押、抵押及其他担保信息。同时应保持职业怀疑，关注企业信用报告的真实性和完整性，充分考虑其局限性，如存在银行未及时、完整、准确填列有关信用信息，上市公司利用离岸账户等特殊方式隐匿信用信息等。</w:t>
      </w:r>
    </w:p>
    <w:p w14:paraId="6395FF60" w14:textId="77777777" w:rsidR="0036576E" w:rsidRPr="0036576E" w:rsidRDefault="0036576E" w:rsidP="0036576E">
      <w:pPr>
        <w:pStyle w:val="13"/>
      </w:pPr>
      <w:r w:rsidRPr="0036576E">
        <w:rPr>
          <w:rFonts w:hint="eastAsia"/>
        </w:rPr>
        <w:t>第四，注册会计师应采取有效措施，核查上市公司是否存在未披露的担保情况，包括询问上市公司管理层、其他责任人员和相关人员、查阅相关会议纪要和法律信函、复核相关费用账户记录、与外部法律顾问进行直接沟通、检查公章管理及使用情况等，必要时还应通过相关查询渠道（如中国裁判</w:t>
      </w:r>
      <w:proofErr w:type="gramStart"/>
      <w:r w:rsidRPr="0036576E">
        <w:rPr>
          <w:rFonts w:hint="eastAsia"/>
        </w:rPr>
        <w:t>文书网</w:t>
      </w:r>
      <w:proofErr w:type="gramEnd"/>
      <w:r w:rsidRPr="0036576E">
        <w:rPr>
          <w:rFonts w:hint="eastAsia"/>
        </w:rPr>
        <w:t>等），查询相关法院公告信息。</w:t>
      </w:r>
    </w:p>
    <w:p w14:paraId="0C72F200" w14:textId="77777777" w:rsidR="0036576E" w:rsidRPr="0036576E" w:rsidRDefault="0036576E" w:rsidP="0036576E">
      <w:pPr>
        <w:pStyle w:val="13"/>
      </w:pPr>
      <w:r w:rsidRPr="0036576E">
        <w:rPr>
          <w:rFonts w:hint="eastAsia"/>
        </w:rPr>
        <w:t>第五，如果存在第三方为上市公司的借款进行担保，注册会计师应考虑存在未披露的反担保的可能性，并采取必要的核验措施。</w:t>
      </w:r>
    </w:p>
    <w:p w14:paraId="30BAA199" w14:textId="77777777" w:rsidR="0036576E" w:rsidRPr="0036576E" w:rsidRDefault="0036576E" w:rsidP="0036576E">
      <w:pPr>
        <w:pStyle w:val="13"/>
      </w:pPr>
      <w:r w:rsidRPr="0036576E">
        <w:rPr>
          <w:rFonts w:hint="eastAsia"/>
        </w:rPr>
        <w:t>（四）发生</w:t>
      </w:r>
      <w:proofErr w:type="gramStart"/>
      <w:r w:rsidRPr="0036576E">
        <w:rPr>
          <w:rFonts w:hint="eastAsia"/>
        </w:rPr>
        <w:t>额模式</w:t>
      </w:r>
      <w:proofErr w:type="gramEnd"/>
      <w:r w:rsidRPr="0036576E">
        <w:rPr>
          <w:rFonts w:hint="eastAsia"/>
        </w:rPr>
        <w:t>下的实质性程序</w:t>
      </w:r>
    </w:p>
    <w:p w14:paraId="02D63BE2" w14:textId="4F241F85" w:rsidR="0036576E" w:rsidRPr="0036576E" w:rsidRDefault="0036576E" w:rsidP="0036576E">
      <w:pPr>
        <w:pStyle w:val="13"/>
      </w:pPr>
      <w:r w:rsidRPr="0036576E">
        <w:rPr>
          <w:rFonts w:hint="eastAsia"/>
        </w:rPr>
        <w:t>1</w:t>
      </w:r>
      <w:r>
        <w:rPr>
          <w:rFonts w:hint="eastAsia"/>
        </w:rPr>
        <w:t>.</w:t>
      </w:r>
      <w:r w:rsidRPr="0036576E">
        <w:rPr>
          <w:rFonts w:hint="eastAsia"/>
        </w:rPr>
        <w:t>与经营活动相关的</w:t>
      </w:r>
    </w:p>
    <w:p w14:paraId="6FC403A6" w14:textId="77777777" w:rsidR="0036576E" w:rsidRPr="0036576E" w:rsidRDefault="0036576E" w:rsidP="0036576E">
      <w:pPr>
        <w:pStyle w:val="13"/>
      </w:pPr>
      <w:r w:rsidRPr="0036576E">
        <w:rPr>
          <w:rFonts w:hint="eastAsia"/>
        </w:rPr>
        <w:t>控股股东利用上市公司资金拆借、</w:t>
      </w:r>
      <w:proofErr w:type="gramStart"/>
      <w:r w:rsidRPr="0036576E">
        <w:rPr>
          <w:rFonts w:hint="eastAsia"/>
        </w:rPr>
        <w:t>无商业</w:t>
      </w:r>
      <w:proofErr w:type="gramEnd"/>
      <w:r w:rsidRPr="0036576E">
        <w:rPr>
          <w:rFonts w:hint="eastAsia"/>
        </w:rPr>
        <w:t>实质的购销业务及票据交易等经营活动进行资金占用时，注册会计师通常存在以下审计问题：</w:t>
      </w:r>
    </w:p>
    <w:p w14:paraId="4DCCDA23" w14:textId="77777777" w:rsidR="0036576E" w:rsidRPr="0036576E" w:rsidRDefault="0036576E" w:rsidP="0036576E">
      <w:pPr>
        <w:pStyle w:val="13"/>
      </w:pPr>
      <w:r w:rsidRPr="0036576E">
        <w:rPr>
          <w:rFonts w:hint="eastAsia"/>
        </w:rPr>
        <w:t>（1）常见问题</w:t>
      </w:r>
    </w:p>
    <w:p w14:paraId="46D95199" w14:textId="77777777" w:rsidR="0036576E" w:rsidRPr="0036576E" w:rsidRDefault="0036576E" w:rsidP="0036576E">
      <w:pPr>
        <w:pStyle w:val="13"/>
      </w:pPr>
      <w:r w:rsidRPr="0036576E">
        <w:rPr>
          <w:rFonts w:hint="eastAsia"/>
        </w:rPr>
        <w:t>第一，未对异常的经营活动保持应有的职业怀疑和职业谨慎，未恰当应对资金占用的相关风险。</w:t>
      </w:r>
    </w:p>
    <w:p w14:paraId="1A1C2F1B" w14:textId="77777777" w:rsidR="0036576E" w:rsidRPr="0036576E" w:rsidRDefault="0036576E" w:rsidP="0036576E">
      <w:pPr>
        <w:pStyle w:val="13"/>
      </w:pPr>
      <w:r w:rsidRPr="0036576E">
        <w:rPr>
          <w:rFonts w:hint="eastAsia"/>
        </w:rPr>
        <w:t>第二，未充分关注</w:t>
      </w:r>
      <w:proofErr w:type="gramStart"/>
      <w:r w:rsidRPr="0036576E">
        <w:rPr>
          <w:rFonts w:hint="eastAsia"/>
        </w:rPr>
        <w:t>无商业</w:t>
      </w:r>
      <w:proofErr w:type="gramEnd"/>
      <w:r w:rsidRPr="0036576E">
        <w:rPr>
          <w:rFonts w:hint="eastAsia"/>
        </w:rPr>
        <w:t>实质的购销业务，未对其执行恰当的审计程序。</w:t>
      </w:r>
    </w:p>
    <w:p w14:paraId="4647CE17" w14:textId="77777777" w:rsidR="0036576E" w:rsidRPr="0036576E" w:rsidRDefault="0036576E" w:rsidP="0036576E">
      <w:pPr>
        <w:pStyle w:val="13"/>
      </w:pPr>
      <w:r w:rsidRPr="0036576E">
        <w:rPr>
          <w:rFonts w:hint="eastAsia"/>
        </w:rPr>
        <w:t>第三，未对其他应收</w:t>
      </w:r>
      <w:proofErr w:type="gramStart"/>
      <w:r w:rsidRPr="0036576E">
        <w:rPr>
          <w:rFonts w:hint="eastAsia"/>
        </w:rPr>
        <w:t>款执行</w:t>
      </w:r>
      <w:proofErr w:type="gramEnd"/>
      <w:r w:rsidRPr="0036576E">
        <w:rPr>
          <w:rFonts w:hint="eastAsia"/>
        </w:rPr>
        <w:t>恰当的审计程序。</w:t>
      </w:r>
    </w:p>
    <w:p w14:paraId="4BBA136F" w14:textId="77777777" w:rsidR="0036576E" w:rsidRPr="0036576E" w:rsidRDefault="0036576E" w:rsidP="0036576E">
      <w:pPr>
        <w:pStyle w:val="13"/>
      </w:pPr>
      <w:r w:rsidRPr="0036576E">
        <w:rPr>
          <w:rFonts w:hint="eastAsia"/>
        </w:rPr>
        <w:t>第四，未对预付账款执行恰当的审计程序。</w:t>
      </w:r>
    </w:p>
    <w:p w14:paraId="3C886350" w14:textId="77777777" w:rsidR="0036576E" w:rsidRPr="0036576E" w:rsidRDefault="0036576E" w:rsidP="0036576E">
      <w:pPr>
        <w:pStyle w:val="13"/>
      </w:pPr>
      <w:r w:rsidRPr="0036576E">
        <w:rPr>
          <w:rFonts w:hint="eastAsia"/>
        </w:rPr>
        <w:t>第五，未对应收账款执行恰当的审计程序。</w:t>
      </w:r>
    </w:p>
    <w:p w14:paraId="5756D3AB" w14:textId="77777777" w:rsidR="0036576E" w:rsidRPr="0036576E" w:rsidRDefault="0036576E" w:rsidP="0036576E">
      <w:pPr>
        <w:pStyle w:val="13"/>
      </w:pPr>
      <w:r w:rsidRPr="0036576E">
        <w:rPr>
          <w:rFonts w:hint="eastAsia"/>
        </w:rPr>
        <w:t>第六，未对应收、应付票据执行恰当的审计程序。</w:t>
      </w:r>
    </w:p>
    <w:p w14:paraId="39033EA2" w14:textId="77777777" w:rsidR="0036576E" w:rsidRPr="0036576E" w:rsidRDefault="0036576E" w:rsidP="0036576E">
      <w:pPr>
        <w:pStyle w:val="13"/>
      </w:pPr>
      <w:r w:rsidRPr="0036576E">
        <w:rPr>
          <w:rFonts w:hint="eastAsia"/>
        </w:rPr>
        <w:t>（2）监管关注事项</w:t>
      </w:r>
    </w:p>
    <w:p w14:paraId="4C869BD3" w14:textId="77777777" w:rsidR="0036576E" w:rsidRPr="0036576E" w:rsidRDefault="0036576E" w:rsidP="0036576E">
      <w:pPr>
        <w:pStyle w:val="13"/>
      </w:pPr>
      <w:r w:rsidRPr="0036576E">
        <w:rPr>
          <w:rFonts w:hint="eastAsia"/>
        </w:rPr>
        <w:t>注册会计师应当根据资金占用相关的风险评估和控制测试情况，关注控股股东利用上市公司经营活动进行资金占用的可能。在监管工作中，应当关注注册会计师是否对此设计并实施了恰当的实质性程序：</w:t>
      </w:r>
    </w:p>
    <w:p w14:paraId="6314D8B9" w14:textId="77777777" w:rsidR="0036576E" w:rsidRPr="0036576E" w:rsidRDefault="0036576E" w:rsidP="0036576E">
      <w:pPr>
        <w:pStyle w:val="13"/>
      </w:pPr>
      <w:r w:rsidRPr="0036576E">
        <w:rPr>
          <w:rFonts w:hint="eastAsia"/>
        </w:rPr>
        <w:t>第一，注册会计师应当对余额较大、发生额较大、发生频繁、账龄较长以及异常</w:t>
      </w:r>
      <w:r w:rsidRPr="0036576E">
        <w:rPr>
          <w:rFonts w:hint="eastAsia"/>
        </w:rPr>
        <w:lastRenderedPageBreak/>
        <w:t>（如新增大额贸易类业务等）的经营活动财务报表项目及对应交易保持职业怀疑和职业谨慎，重点关注交易的商业实质和交易对方情况（特别是本期新增重大交易的对方）。注册会计师应当结合舞弊风险评估，对日常经营活动中的大额、异常以及调整分录进行测试，并注意与业务情况和资金情况核对。对商业合理性存疑的交易，还应当结合关联方关系及其交易的审计程序进行核查验证。</w:t>
      </w:r>
    </w:p>
    <w:p w14:paraId="31CB20B4" w14:textId="77777777" w:rsidR="0036576E" w:rsidRPr="0036576E" w:rsidRDefault="0036576E" w:rsidP="0036576E">
      <w:pPr>
        <w:pStyle w:val="13"/>
      </w:pPr>
      <w:r w:rsidRPr="0036576E">
        <w:rPr>
          <w:rFonts w:hint="eastAsia"/>
        </w:rPr>
        <w:t>第二，注册会计师应当关注利用</w:t>
      </w:r>
      <w:proofErr w:type="gramStart"/>
      <w:r w:rsidRPr="0036576E">
        <w:rPr>
          <w:rFonts w:hint="eastAsia"/>
        </w:rPr>
        <w:t>无商业</w:t>
      </w:r>
      <w:proofErr w:type="gramEnd"/>
      <w:r w:rsidRPr="0036576E">
        <w:rPr>
          <w:rFonts w:hint="eastAsia"/>
        </w:rPr>
        <w:t>实质的购销业务进行资金占用的情况，结合对收入成本项目和应收账款、应付账款项目</w:t>
      </w:r>
      <w:proofErr w:type="gramStart"/>
      <w:r w:rsidRPr="0036576E">
        <w:rPr>
          <w:rFonts w:hint="eastAsia"/>
        </w:rPr>
        <w:t>的函证及其</w:t>
      </w:r>
      <w:proofErr w:type="gramEnd"/>
      <w:r w:rsidRPr="0036576E">
        <w:rPr>
          <w:rFonts w:hint="eastAsia"/>
        </w:rPr>
        <w:t>他审计程序，核验相关交易的业务单据流转、资金流转和实物流转是否匹配，对存疑的客户和供应商进行重点核查，包括通过相关平台查询其背景信息，必要时进行实地走访。</w:t>
      </w:r>
    </w:p>
    <w:p w14:paraId="58B257A8" w14:textId="77777777" w:rsidR="0036576E" w:rsidRPr="0036576E" w:rsidRDefault="0036576E" w:rsidP="0036576E">
      <w:pPr>
        <w:pStyle w:val="13"/>
      </w:pPr>
      <w:r w:rsidRPr="0036576E">
        <w:rPr>
          <w:rFonts w:hint="eastAsia"/>
        </w:rPr>
        <w:t>第三，注册会计师在对其他应收款进行审计时，应当关注上市公司通过其为控股股东进行直接、间接的资金拆借或为控股股东代付、承担各类支出和债务等。对异常的其他应收款，应</w:t>
      </w:r>
      <w:proofErr w:type="gramStart"/>
      <w:r w:rsidRPr="0036576E">
        <w:rPr>
          <w:rFonts w:hint="eastAsia"/>
        </w:rPr>
        <w:t>结合函证及其</w:t>
      </w:r>
      <w:proofErr w:type="gramEnd"/>
      <w:r w:rsidRPr="0036576E">
        <w:rPr>
          <w:rFonts w:hint="eastAsia"/>
        </w:rPr>
        <w:t>他审计程序，明确款项性质，核验对方情况，判断是否存在资金占用。</w:t>
      </w:r>
    </w:p>
    <w:p w14:paraId="4CD99FB2" w14:textId="77777777" w:rsidR="0036576E" w:rsidRPr="0036576E" w:rsidRDefault="0036576E" w:rsidP="0036576E">
      <w:pPr>
        <w:pStyle w:val="13"/>
      </w:pPr>
      <w:r w:rsidRPr="0036576E">
        <w:rPr>
          <w:rFonts w:hint="eastAsia"/>
        </w:rPr>
        <w:t>第四，注册会计师在对预付账款进行审计时，应当关注上市公司通过预先支付货款等形式向控股股东提供资金。注册会计师应当结合采购与付款相关审计程序，结合市场惯例，判断款项支付的合理性；特别关注期后是否足额收到相关货物，是否存在变更交易、取消交易等情形。</w:t>
      </w:r>
    </w:p>
    <w:p w14:paraId="53D05D6F" w14:textId="77777777" w:rsidR="0036576E" w:rsidRPr="0036576E" w:rsidRDefault="0036576E" w:rsidP="0036576E">
      <w:pPr>
        <w:pStyle w:val="13"/>
      </w:pPr>
      <w:r w:rsidRPr="0036576E">
        <w:rPr>
          <w:rFonts w:hint="eastAsia"/>
        </w:rPr>
        <w:t>第五，注册会计师在对应收账款进行审计时，应当关注控股股东</w:t>
      </w:r>
      <w:proofErr w:type="gramStart"/>
      <w:r w:rsidRPr="0036576E">
        <w:rPr>
          <w:rFonts w:hint="eastAsia"/>
        </w:rPr>
        <w:t>代上市</w:t>
      </w:r>
      <w:proofErr w:type="gramEnd"/>
      <w:r w:rsidRPr="0036576E">
        <w:rPr>
          <w:rFonts w:hint="eastAsia"/>
        </w:rPr>
        <w:t>公司收取应收账款，或通过保理等形式占用上市公司资金的情况。注册会计师应当</w:t>
      </w:r>
      <w:proofErr w:type="gramStart"/>
      <w:r w:rsidRPr="0036576E">
        <w:rPr>
          <w:rFonts w:hint="eastAsia"/>
        </w:rPr>
        <w:t>结合函证及其</w:t>
      </w:r>
      <w:proofErr w:type="gramEnd"/>
      <w:r w:rsidRPr="0036576E">
        <w:rPr>
          <w:rFonts w:hint="eastAsia"/>
        </w:rPr>
        <w:t>他审计程序，验证应收账款的真实性、准确性和收回情况，特别</w:t>
      </w:r>
      <w:proofErr w:type="gramStart"/>
      <w:r w:rsidRPr="0036576E">
        <w:rPr>
          <w:rFonts w:hint="eastAsia"/>
        </w:rPr>
        <w:t>关注长账</w:t>
      </w:r>
      <w:proofErr w:type="gramEnd"/>
      <w:r w:rsidRPr="0036576E">
        <w:rPr>
          <w:rFonts w:hint="eastAsia"/>
        </w:rPr>
        <w:t>龄、周转慢的应收账款；注意对应收账款保理的核查；注意是否存在客户通过拖欠、占用款项为上市公司控股股东提供融资安排。</w:t>
      </w:r>
    </w:p>
    <w:p w14:paraId="7B9D4922" w14:textId="77777777" w:rsidR="0036576E" w:rsidRPr="0036576E" w:rsidRDefault="0036576E" w:rsidP="0036576E">
      <w:pPr>
        <w:pStyle w:val="13"/>
      </w:pPr>
      <w:r w:rsidRPr="0036576E">
        <w:rPr>
          <w:rFonts w:hint="eastAsia"/>
        </w:rPr>
        <w:t>第六，注册会计师在对应收、应付票据进行审计时，应当关注利用票据开具、虚假票据、票据交易等向控股股东提供资金或掩盖资金占用的情况。结合票据</w:t>
      </w:r>
      <w:proofErr w:type="gramStart"/>
      <w:r w:rsidRPr="0036576E">
        <w:rPr>
          <w:rFonts w:hint="eastAsia"/>
        </w:rPr>
        <w:t>的函证程序</w:t>
      </w:r>
      <w:proofErr w:type="gramEnd"/>
      <w:r w:rsidRPr="0036576E">
        <w:rPr>
          <w:rFonts w:hint="eastAsia"/>
        </w:rPr>
        <w:t>、</w:t>
      </w:r>
      <w:proofErr w:type="gramStart"/>
      <w:r w:rsidRPr="0036576E">
        <w:rPr>
          <w:rFonts w:hint="eastAsia"/>
        </w:rPr>
        <w:t>监盘程序</w:t>
      </w:r>
      <w:proofErr w:type="gramEnd"/>
      <w:r w:rsidRPr="0036576E">
        <w:rPr>
          <w:rFonts w:hint="eastAsia"/>
        </w:rPr>
        <w:t>、分析程序及其他检查程序，重点关注票据的真实性及交易的合理性，特别关注票据流转与合同约定、实物流转等是否匹配，以及票据流转的前后手情况。通过网上查验、现场验证等方式，对异常的票据进行重点核查。</w:t>
      </w:r>
    </w:p>
    <w:p w14:paraId="5C0B8713" w14:textId="77777777" w:rsidR="0036576E" w:rsidRPr="0036576E" w:rsidRDefault="0036576E" w:rsidP="0036576E">
      <w:pPr>
        <w:pStyle w:val="13"/>
      </w:pPr>
      <w:r w:rsidRPr="0036576E">
        <w:rPr>
          <w:rFonts w:hint="eastAsia"/>
        </w:rPr>
        <w:t>第七，注册会计师应当结合上述审计工作，同时做好上市公司银行流水的抽查验证和分析程序，关注是否存在控股股东期间占用上市公司资金的情况。</w:t>
      </w:r>
    </w:p>
    <w:p w14:paraId="4149C921" w14:textId="44691E01" w:rsidR="0036576E" w:rsidRPr="0036576E" w:rsidRDefault="0036576E" w:rsidP="0036576E">
      <w:pPr>
        <w:pStyle w:val="13"/>
      </w:pPr>
      <w:r w:rsidRPr="0036576E">
        <w:rPr>
          <w:rFonts w:hint="eastAsia"/>
        </w:rPr>
        <w:t>2</w:t>
      </w:r>
      <w:r>
        <w:rPr>
          <w:rFonts w:hint="eastAsia"/>
        </w:rPr>
        <w:t>.</w:t>
      </w:r>
      <w:r w:rsidRPr="0036576E">
        <w:rPr>
          <w:rFonts w:hint="eastAsia"/>
        </w:rPr>
        <w:t>与投融资活动相关的</w:t>
      </w:r>
    </w:p>
    <w:p w14:paraId="46B5E00A" w14:textId="77777777" w:rsidR="0036576E" w:rsidRPr="0036576E" w:rsidRDefault="0036576E" w:rsidP="0036576E">
      <w:pPr>
        <w:pStyle w:val="13"/>
      </w:pPr>
      <w:r w:rsidRPr="0036576E">
        <w:rPr>
          <w:rFonts w:hint="eastAsia"/>
        </w:rPr>
        <w:t>（1）常见问题</w:t>
      </w:r>
    </w:p>
    <w:p w14:paraId="4A60AC6F" w14:textId="77777777" w:rsidR="0036576E" w:rsidRPr="0036576E" w:rsidRDefault="0036576E" w:rsidP="0036576E">
      <w:pPr>
        <w:pStyle w:val="13"/>
      </w:pPr>
      <w:r w:rsidRPr="0036576E">
        <w:rPr>
          <w:rFonts w:hint="eastAsia"/>
        </w:rPr>
        <w:t>控股股东利用上市公司金融产品投资、股权投资、工程项目等投融资活动进行资金占用时，注册会计师通常存在以下审计问题：</w:t>
      </w:r>
    </w:p>
    <w:p w14:paraId="79C3FF21" w14:textId="77777777" w:rsidR="0036576E" w:rsidRPr="0036576E" w:rsidRDefault="0036576E" w:rsidP="0036576E">
      <w:pPr>
        <w:pStyle w:val="13"/>
      </w:pPr>
      <w:r w:rsidRPr="0036576E">
        <w:rPr>
          <w:rFonts w:hint="eastAsia"/>
        </w:rPr>
        <w:t>第一，未对异常的投融资活动保持应有的职业怀疑和职业谨慎，未恰当应对资金</w:t>
      </w:r>
      <w:r w:rsidRPr="0036576E">
        <w:rPr>
          <w:rFonts w:hint="eastAsia"/>
        </w:rPr>
        <w:lastRenderedPageBreak/>
        <w:t>占用的相关风险。</w:t>
      </w:r>
    </w:p>
    <w:p w14:paraId="6F1F88E6" w14:textId="77777777" w:rsidR="0036576E" w:rsidRPr="0036576E" w:rsidRDefault="0036576E" w:rsidP="0036576E">
      <w:pPr>
        <w:pStyle w:val="13"/>
      </w:pPr>
      <w:r w:rsidRPr="0036576E">
        <w:rPr>
          <w:rFonts w:hint="eastAsia"/>
        </w:rPr>
        <w:t>第二，未对金融产品投资执行恰当的审计程序。</w:t>
      </w:r>
    </w:p>
    <w:p w14:paraId="27D3DFC2" w14:textId="77777777" w:rsidR="0036576E" w:rsidRPr="0036576E" w:rsidRDefault="0036576E" w:rsidP="0036576E">
      <w:pPr>
        <w:pStyle w:val="13"/>
      </w:pPr>
      <w:r w:rsidRPr="0036576E">
        <w:rPr>
          <w:rFonts w:hint="eastAsia"/>
        </w:rPr>
        <w:t>第三，未对股权投资执行恰当的审计程序。</w:t>
      </w:r>
    </w:p>
    <w:p w14:paraId="063BE73A" w14:textId="77777777" w:rsidR="0036576E" w:rsidRPr="0036576E" w:rsidRDefault="0036576E" w:rsidP="0036576E">
      <w:pPr>
        <w:pStyle w:val="13"/>
      </w:pPr>
      <w:r w:rsidRPr="0036576E">
        <w:rPr>
          <w:rFonts w:hint="eastAsia"/>
        </w:rPr>
        <w:t>第四，未对工程项目执行恰当的审计程序。</w:t>
      </w:r>
    </w:p>
    <w:p w14:paraId="43225611" w14:textId="77777777" w:rsidR="0036576E" w:rsidRPr="0036576E" w:rsidRDefault="0036576E" w:rsidP="0036576E">
      <w:pPr>
        <w:pStyle w:val="13"/>
      </w:pPr>
      <w:r w:rsidRPr="0036576E">
        <w:rPr>
          <w:rFonts w:hint="eastAsia"/>
        </w:rPr>
        <w:t>第五，未对通过财务公司、小额贷款公司等机构的资金借贷执行恰当的审计程序。</w:t>
      </w:r>
    </w:p>
    <w:p w14:paraId="174C9448" w14:textId="77777777" w:rsidR="0036576E" w:rsidRPr="0036576E" w:rsidRDefault="0036576E" w:rsidP="0036576E">
      <w:pPr>
        <w:pStyle w:val="13"/>
      </w:pPr>
      <w:r w:rsidRPr="0036576E">
        <w:rPr>
          <w:rFonts w:hint="eastAsia"/>
        </w:rPr>
        <w:t>第六，未对借款项目执行恰当的审计程序。</w:t>
      </w:r>
    </w:p>
    <w:p w14:paraId="6FE15A48" w14:textId="77777777" w:rsidR="0036576E" w:rsidRPr="0036576E" w:rsidRDefault="0036576E" w:rsidP="0036576E">
      <w:pPr>
        <w:pStyle w:val="13"/>
      </w:pPr>
      <w:r w:rsidRPr="0036576E">
        <w:rPr>
          <w:rFonts w:hint="eastAsia"/>
        </w:rPr>
        <w:t>（2）监管关注事项</w:t>
      </w:r>
    </w:p>
    <w:p w14:paraId="33516AFA" w14:textId="77777777" w:rsidR="0036576E" w:rsidRPr="0036576E" w:rsidRDefault="0036576E" w:rsidP="0036576E">
      <w:pPr>
        <w:pStyle w:val="13"/>
      </w:pPr>
      <w:r w:rsidRPr="0036576E">
        <w:rPr>
          <w:rFonts w:hint="eastAsia"/>
        </w:rPr>
        <w:t>注册会计师应当根据资金占用相关的风险评估和控制测试情况，关注控股股东利用上市公司投融资活动进行资金占用的可能。在监管工作中，应当关注注册会计师是否对此设计并实施了恰当的实质性程序：</w:t>
      </w:r>
    </w:p>
    <w:p w14:paraId="5581C52C" w14:textId="77777777" w:rsidR="0036576E" w:rsidRPr="0036576E" w:rsidRDefault="0036576E" w:rsidP="0036576E">
      <w:pPr>
        <w:pStyle w:val="13"/>
      </w:pPr>
      <w:r w:rsidRPr="0036576E">
        <w:rPr>
          <w:rFonts w:hint="eastAsia"/>
        </w:rPr>
        <w:t>第一，注册会计师应当对大额、异常的投融资活动财务报表项目和相关交易保持职业怀疑和职业谨慎，重点关注投融资活动的审批决策程序、商业合理性和后续管理情况。对商业合理性存疑的交易，应当结合相关审计程序进行核查验证。</w:t>
      </w:r>
    </w:p>
    <w:p w14:paraId="6E760658" w14:textId="77777777" w:rsidR="0036576E" w:rsidRPr="0036576E" w:rsidRDefault="0036576E" w:rsidP="0036576E">
      <w:pPr>
        <w:pStyle w:val="13"/>
      </w:pPr>
      <w:r w:rsidRPr="0036576E">
        <w:rPr>
          <w:rFonts w:hint="eastAsia"/>
        </w:rPr>
        <w:t>第二，注册会计师在对信托产品、私募投资基金、资产管理计划等金融产品进行审计时，应当关注上市公司通过此类投资向控股股东提供资金。注册会计师应当详细检查有关金融产品相关协议，</w:t>
      </w:r>
      <w:proofErr w:type="gramStart"/>
      <w:r w:rsidRPr="0036576E">
        <w:rPr>
          <w:rFonts w:hint="eastAsia"/>
        </w:rPr>
        <w:t>结合函证程序</w:t>
      </w:r>
      <w:proofErr w:type="gramEnd"/>
      <w:r w:rsidRPr="0036576E">
        <w:rPr>
          <w:rFonts w:hint="eastAsia"/>
        </w:rPr>
        <w:t>、分析程序及其他审计程序，必要时进行穿透核查，明确相关金融产品的资金投向，是否存在定向投资要求、投资对象是否与控股股东存在关联关系等。</w:t>
      </w:r>
    </w:p>
    <w:p w14:paraId="40DE443F" w14:textId="77777777" w:rsidR="0036576E" w:rsidRPr="0036576E" w:rsidRDefault="0036576E" w:rsidP="0036576E">
      <w:pPr>
        <w:pStyle w:val="13"/>
      </w:pPr>
      <w:r w:rsidRPr="0036576E">
        <w:rPr>
          <w:rFonts w:hint="eastAsia"/>
        </w:rPr>
        <w:t>第三，注册会计师在对股权投资进行审计时，应当关注控股股东以此形式进行资金占用。注册会计师应当详细检查有关投资协议，判断商业合理性。应当关注上市公司对被投资主体的控制能力或影响程度，以及被投资主体的实际运营状况及其主要资金流向，必要时应当检查被投资主体的资金流水情况。上市公司进行权益性投资的同时又提供大额债权性投资的，注册会计师更应核验被投资主体的资金使用情况和相应资金流向。对存在较长期限预付投资款、意向金、保证金的，注册会计师应当关注其付款程序的合</w:t>
      </w:r>
      <w:proofErr w:type="gramStart"/>
      <w:r w:rsidRPr="0036576E">
        <w:rPr>
          <w:rFonts w:hint="eastAsia"/>
        </w:rPr>
        <w:t>规</w:t>
      </w:r>
      <w:proofErr w:type="gramEnd"/>
      <w:r w:rsidRPr="0036576E">
        <w:rPr>
          <w:rFonts w:hint="eastAsia"/>
        </w:rPr>
        <w:t>性，并结合市场惯例判断其合理性，同时关注后续投资手续的履行，判断是否存在资金被挪用的情况。</w:t>
      </w:r>
    </w:p>
    <w:p w14:paraId="29ECFC7B" w14:textId="77777777" w:rsidR="0036576E" w:rsidRPr="0036576E" w:rsidRDefault="0036576E" w:rsidP="0036576E">
      <w:pPr>
        <w:pStyle w:val="13"/>
      </w:pPr>
      <w:r w:rsidRPr="0036576E">
        <w:rPr>
          <w:rFonts w:hint="eastAsia"/>
        </w:rPr>
        <w:t>第四，注册会计师对工程物资、在建工程、固定资产等进行审计时，应当关注控股股东利用此类工程项目占用上市公司资金。对于金额较大、周期较长的工程项目，注册会计师应当核对工程立项、招投标、建设计划、监理资料等文件，分析已支付工程款项的涵盖内容，并结合</w:t>
      </w:r>
      <w:proofErr w:type="gramStart"/>
      <w:r w:rsidRPr="0036576E">
        <w:rPr>
          <w:rFonts w:hint="eastAsia"/>
        </w:rPr>
        <w:t>现场监盘和</w:t>
      </w:r>
      <w:proofErr w:type="gramEnd"/>
      <w:r w:rsidRPr="0036576E">
        <w:rPr>
          <w:rFonts w:hint="eastAsia"/>
        </w:rPr>
        <w:t>勘察程序，关注相应款项对应的工程物资或项目建设情况等，核实工程项目的真实性和准确性，必要时利用相关专家的工作。对于预付金额较大或明显异常的工程款项，注册会计师应检查款项支付进度是否符合合同约定和行业惯例，判断其合理性，并结合期后事项审计，检查期后工程项目的结转</w:t>
      </w:r>
      <w:r w:rsidRPr="0036576E">
        <w:rPr>
          <w:rFonts w:hint="eastAsia"/>
        </w:rPr>
        <w:lastRenderedPageBreak/>
        <w:t>情况等。</w:t>
      </w:r>
    </w:p>
    <w:p w14:paraId="039EBB20" w14:textId="77777777" w:rsidR="0036576E" w:rsidRPr="0036576E" w:rsidRDefault="0036576E" w:rsidP="0036576E">
      <w:pPr>
        <w:pStyle w:val="13"/>
      </w:pPr>
      <w:r w:rsidRPr="0036576E">
        <w:rPr>
          <w:rFonts w:hint="eastAsia"/>
        </w:rPr>
        <w:t>第五，注册会计师应当关注控股股东利用财务公司、小额贷款公司等机构进行资金占用。针对上市公司与财务公司发生的存贷款交易情况，注册会计师应当获取相关金融服务协议以及存贷款记录，检查是否存在关联交易未经恰当批准、日存款余额超出协议规定的最高限额等问题，关注上市公司在财务公司存款的合理性以及财务公司对上市公司控股股东的资金借贷情况。对上市公司通过存在关联关系的小额贷款公司等机构对外发放大额、异常贷款的，注册会计师应当检查贷款协议、了解借款人是否与控股股东存在关联关系，明确款项实际用途和资金实际流向，判断是否存在资金占用情况。</w:t>
      </w:r>
    </w:p>
    <w:p w14:paraId="7B7D7631" w14:textId="77777777" w:rsidR="0036576E" w:rsidRPr="0036576E" w:rsidRDefault="0036576E" w:rsidP="0036576E">
      <w:pPr>
        <w:pStyle w:val="13"/>
      </w:pPr>
      <w:r w:rsidRPr="0036576E">
        <w:rPr>
          <w:rFonts w:hint="eastAsia"/>
        </w:rPr>
        <w:t>第六，注册会计师应当关注控股股东以上市公司名义对外借款形成的资金占用。应检查借款合同、资金到位情况和还款真实性，并注意</w:t>
      </w:r>
      <w:proofErr w:type="gramStart"/>
      <w:r w:rsidRPr="0036576E">
        <w:rPr>
          <w:rFonts w:hint="eastAsia"/>
        </w:rPr>
        <w:t>结合余额</w:t>
      </w:r>
      <w:proofErr w:type="gramEnd"/>
      <w:r w:rsidRPr="0036576E">
        <w:rPr>
          <w:rFonts w:hint="eastAsia"/>
        </w:rPr>
        <w:t>模式下的货币资金审计程序，特别是对借款项目的函证、对银行对账单和网上银行流水的检查、对企业信用报告的核验、对手续费和利息支出的分析程序等，判断是否存在上市公司在借款资金到账后转移给控股股东，或借款资金直接转至控股股东的情况。</w:t>
      </w:r>
    </w:p>
    <w:p w14:paraId="0A04DA3D" w14:textId="7DCAE3C8" w:rsidR="009E1543" w:rsidRPr="0036576E" w:rsidRDefault="00154C41" w:rsidP="00154C41">
      <w:pPr>
        <w:pStyle w:val="31"/>
        <w:spacing w:before="156" w:after="62"/>
      </w:pPr>
      <w:bookmarkStart w:id="96" w:name="_Toc81833359"/>
      <w:r w:rsidRPr="00154C41">
        <w:rPr>
          <w:rFonts w:hint="eastAsia"/>
        </w:rPr>
        <w:t>上海证监局会计监管通讯二〇一九年第二期（总第</w:t>
      </w:r>
      <w:r w:rsidRPr="00154C41">
        <w:t>9期）—商誉减值审计评估专题</w:t>
      </w:r>
      <w:bookmarkEnd w:id="96"/>
    </w:p>
    <w:p w14:paraId="6BA24B95" w14:textId="6F5245C2" w:rsidR="00154C41" w:rsidRDefault="00154C41" w:rsidP="00154C41">
      <w:pPr>
        <w:pStyle w:val="13"/>
      </w:pPr>
      <w:r>
        <w:rPr>
          <w:rFonts w:hint="eastAsia"/>
        </w:rPr>
        <w:t>本期导读：今年以来，上海证监局在证监会会计部的统一部署下，对上海辖区</w:t>
      </w:r>
      <w:r>
        <w:t>8个</w:t>
      </w:r>
      <w:r>
        <w:rPr>
          <w:rFonts w:hint="eastAsia"/>
        </w:rPr>
        <w:t>审计执业项目和</w:t>
      </w:r>
      <w:r>
        <w:t>7个评估执业项目开展了商誉减值审计评估专题检查，对上海辖区3个审计执业项目开展了内控审计专题检查。现将检查发现的相关问题进行通报，以助于辖区审计与评估机构切实提高执业质量。</w:t>
      </w:r>
    </w:p>
    <w:p w14:paraId="4C3A7D01" w14:textId="77777777" w:rsidR="00154C41" w:rsidRDefault="00154C41" w:rsidP="00154C41">
      <w:pPr>
        <w:pStyle w:val="ab"/>
        <w:spacing w:before="62" w:after="62"/>
        <w:ind w:firstLine="482"/>
      </w:pPr>
      <w:r>
        <w:rPr>
          <w:rFonts w:hint="eastAsia"/>
        </w:rPr>
        <w:t>一、商誉减值审计存在的问题</w:t>
      </w:r>
    </w:p>
    <w:p w14:paraId="7ADA5C29" w14:textId="77777777" w:rsidR="00154C41" w:rsidRDefault="00154C41" w:rsidP="00154C41">
      <w:pPr>
        <w:pStyle w:val="13"/>
      </w:pPr>
      <w:r>
        <w:t>1、商誉减值迹象分析不到位。部分项目未充分关注年报出具前管理层提供的下一年度盈利预测完成度较低的情况，未充分关注期后事项对商誉减值测试结论的影响。</w:t>
      </w:r>
    </w:p>
    <w:p w14:paraId="260E9811" w14:textId="77777777" w:rsidR="00154C41" w:rsidRDefault="00154C41" w:rsidP="00154C41">
      <w:pPr>
        <w:pStyle w:val="13"/>
      </w:pPr>
      <w:r>
        <w:t>2、大额扩张性资本支出和对应未来现金流量大幅增长的预测复核不到位。个别项目审计时未取得支持后续年度大额扩张性支出预测的具有法律约束力的承诺文件，未对扩张性资本支出预测的合理性和恰当性进行充分复核和评价，未对收入预测重要基础数据增长合理性进行具体分析。</w:t>
      </w:r>
    </w:p>
    <w:p w14:paraId="108AF374" w14:textId="424B20D5" w:rsidR="00154C41" w:rsidRDefault="00154C41" w:rsidP="00154C41">
      <w:pPr>
        <w:pStyle w:val="13"/>
      </w:pPr>
      <w:r>
        <w:t>3、会计处理恰当性复核不到位。个别项目未对不包含商誉的资产组或者资产组组合进行减值测试并考虑相关资产组减值损失，而是直接对含商誉的资产组进行减值测试并全额计提商誉减值损失，不符合准则要求。个别项目未在确认业绩补偿款的同时，同</w:t>
      </w:r>
      <w:r>
        <w:rPr>
          <w:rFonts w:hint="eastAsia"/>
        </w:rPr>
        <w:t>步确认商誉减值损失。审计时未对上述会计处理合理性进行恰当判断。</w:t>
      </w:r>
    </w:p>
    <w:p w14:paraId="3DAA5220" w14:textId="77777777" w:rsidR="00154C41" w:rsidRDefault="00154C41" w:rsidP="00154C41">
      <w:pPr>
        <w:pStyle w:val="13"/>
      </w:pPr>
      <w:r>
        <w:t>4、对期初商誉减值余额的合理性复核不到位。个别首次承接审计项目，</w:t>
      </w:r>
      <w:proofErr w:type="gramStart"/>
      <w:r>
        <w:t>未关注</w:t>
      </w:r>
      <w:proofErr w:type="gramEnd"/>
      <w:r>
        <w:t>上年度和本年度商誉所在资产组划分口径不一致的情况并评估对期初商誉减值金额</w:t>
      </w:r>
      <w:r>
        <w:lastRenderedPageBreak/>
        <w:t>的影响。</w:t>
      </w:r>
    </w:p>
    <w:p w14:paraId="4A1D7D2D" w14:textId="77777777" w:rsidR="00154C41" w:rsidRDefault="00154C41" w:rsidP="00154C41">
      <w:pPr>
        <w:pStyle w:val="13"/>
      </w:pPr>
      <w:r>
        <w:t>5、利用评估专家工作底稿不完善、复核不到位。部分项目利用专家工作底稿记录较为简单，未见对专家工作涉及的重要职业判断（如数据引用、参数选取、假设认定等） 进行充分复核，未见关注个别重要参数前后年度取值方法不一致的情况。</w:t>
      </w:r>
    </w:p>
    <w:p w14:paraId="6858023C" w14:textId="77777777" w:rsidR="00154C41" w:rsidRDefault="00154C41" w:rsidP="00154C41">
      <w:pPr>
        <w:pStyle w:val="13"/>
      </w:pPr>
      <w:r>
        <w:t>6、关键审计事项应对措施实施不充分。部分项目将商誉减值作为关键审计事项，但审计底稿中未见应对措施的实施情况。</w:t>
      </w:r>
    </w:p>
    <w:p w14:paraId="135A9E4D" w14:textId="77777777" w:rsidR="00154C41" w:rsidRDefault="00154C41" w:rsidP="00154C41">
      <w:pPr>
        <w:pStyle w:val="13"/>
      </w:pPr>
      <w:r>
        <w:t xml:space="preserve">7、年报披露的关键信息复核不足。部分项目未恰当评价公司是否按照准则和信息 披露编报规则等要求，充分披露与商誉减值相关的所有重要信息，包括资产组的构成、金额以及预测期年限、长期增长率、稳定期增长率、利润率等关键参数信息；部分项目 </w:t>
      </w:r>
      <w:proofErr w:type="gramStart"/>
      <w:r>
        <w:t>未关注</w:t>
      </w:r>
      <w:proofErr w:type="gramEnd"/>
      <w:r>
        <w:t>公司年报中资产组可收回金额披露错误、折现率的披露前后矛盾或不准确等情形。</w:t>
      </w:r>
    </w:p>
    <w:p w14:paraId="1677B609" w14:textId="77777777" w:rsidR="00154C41" w:rsidRDefault="00154C41" w:rsidP="00154C41">
      <w:pPr>
        <w:pStyle w:val="ab"/>
        <w:spacing w:before="62" w:after="62"/>
        <w:ind w:firstLine="482"/>
      </w:pPr>
      <w:r>
        <w:rPr>
          <w:rFonts w:hint="eastAsia"/>
        </w:rPr>
        <w:t>二、商誉减值评估存在的问题</w:t>
      </w:r>
    </w:p>
    <w:p w14:paraId="098F2461" w14:textId="77777777" w:rsidR="00154C41" w:rsidRDefault="00154C41" w:rsidP="00154C41">
      <w:pPr>
        <w:pStyle w:val="13"/>
      </w:pPr>
      <w:r>
        <w:t>1、对管理层提供的盈利预测依据核查不充分。部分项目对于管理层提供的盈利预测数据的查验主要依靠核对管理层提供的在手订单或合同等文件，未执行主要客户走访等外部查验程序，盈利预测依据的外部直接证据不足。</w:t>
      </w:r>
    </w:p>
    <w:p w14:paraId="53735E0D" w14:textId="77777777" w:rsidR="00154C41" w:rsidRDefault="00154C41" w:rsidP="00154C41">
      <w:pPr>
        <w:pStyle w:val="13"/>
      </w:pPr>
      <w:r>
        <w:t>2、键参数的评估依据不足。部分项目的评估底稿未见说明评估的关键参数（如增长率、毛利率、营运资金、折现率等）取值过程和依据，未见说明上一年度取值方法与本年度存在差异的原因和依据。</w:t>
      </w:r>
    </w:p>
    <w:p w14:paraId="0BEBF723" w14:textId="77777777" w:rsidR="00154C41" w:rsidRDefault="00154C41" w:rsidP="00154C41">
      <w:pPr>
        <w:pStyle w:val="ab"/>
        <w:spacing w:before="62" w:after="62"/>
        <w:ind w:firstLine="482"/>
      </w:pPr>
      <w:r>
        <w:rPr>
          <w:rFonts w:hint="eastAsia"/>
        </w:rPr>
        <w:t>三、内部控制审计存在的问题</w:t>
      </w:r>
    </w:p>
    <w:p w14:paraId="74618B44" w14:textId="573760DF" w:rsidR="00154C41" w:rsidRDefault="00154C41" w:rsidP="00154C41">
      <w:pPr>
        <w:pStyle w:val="13"/>
      </w:pPr>
      <w:r>
        <w:t>1、内控审计重视程度不够。部分项目内控审计工作底稿较为粗糙，未充分考虑内部控制审计和财务报表审计的不同目的，简单将实质性测试审计证据代替内控测试审计证</w:t>
      </w:r>
      <w:r>
        <w:rPr>
          <w:rFonts w:hint="eastAsia"/>
        </w:rPr>
        <w:t>据。</w:t>
      </w:r>
    </w:p>
    <w:p w14:paraId="37BAE943" w14:textId="028C2E85" w:rsidR="00154C41" w:rsidRDefault="00154C41" w:rsidP="00154C41">
      <w:pPr>
        <w:pStyle w:val="13"/>
      </w:pPr>
      <w:r>
        <w:t>2、内控审计防范风险的有效性不足。部分项目连续两年存货管理、高风险客户信用</w:t>
      </w:r>
      <w:r>
        <w:rPr>
          <w:rFonts w:hint="eastAsia"/>
        </w:rPr>
        <w:t>风险控制和投资流程控制等关键控制环节的设计和执行未发生根本性变化，前一年度内控审计未能及早发现关键环节控制设计和运行的缺陷，公司在后一年度因内控缺陷发生了存货、应收账款和投资等科目大额损失。</w:t>
      </w:r>
    </w:p>
    <w:p w14:paraId="22DD55E3" w14:textId="1F33C9F0" w:rsidR="00154C41" w:rsidRDefault="00154C41" w:rsidP="00154C41">
      <w:pPr>
        <w:pStyle w:val="13"/>
      </w:pPr>
      <w:r>
        <w:t>3、内控审计范围的确定依据不充分。部分项目未对部分子公司及主要内部控制进</w:t>
      </w:r>
      <w:r>
        <w:rPr>
          <w:rFonts w:hint="eastAsia"/>
        </w:rPr>
        <w:t>行测试且未说明理由，未充分考虑内控审计范围与公司内部控制评价范围不一致的恰当性，未恰当评价母子公司合并执行统一内控测试的合理性。</w:t>
      </w:r>
    </w:p>
    <w:p w14:paraId="20349ABE" w14:textId="77777777" w:rsidR="00154C41" w:rsidRDefault="00154C41" w:rsidP="00154C41">
      <w:pPr>
        <w:pStyle w:val="13"/>
      </w:pPr>
      <w:r>
        <w:t>4、内控审计设计和执行不到位。个别项目未合理评价复杂交易的商业实质并考虑企业整体控制风险。个别项目未见系统执行穿行测试，直接执行控制测试。部分项目控制测试的样本量不符合最低样本量要求。部分项目未充分关注关键环节控制设计和运行的有效性，导致未发现个别重要内控缺陷。</w:t>
      </w:r>
    </w:p>
    <w:p w14:paraId="1D21241F" w14:textId="77777777" w:rsidR="00154C41" w:rsidRDefault="00154C41" w:rsidP="00154C41">
      <w:pPr>
        <w:pStyle w:val="13"/>
      </w:pPr>
      <w:r>
        <w:lastRenderedPageBreak/>
        <w:t>5、内控审计结果沟通不到位、审计底稿不完善。个别项目的个别重大内控缺陷未见与管理层和治理层的书面沟通记录。部分项目的审计底稿未充分记录控制测试样本清单和具体执行的审计程序，审计底稿中个别关键控制环节的流程描述和执行的测试程序与实际情况不符。</w:t>
      </w:r>
    </w:p>
    <w:p w14:paraId="2F13F682" w14:textId="52BC9A3F" w:rsidR="00865B2E" w:rsidRPr="00154C41" w:rsidRDefault="00154C41" w:rsidP="00154C41">
      <w:pPr>
        <w:pStyle w:val="13"/>
      </w:pPr>
      <w:r>
        <w:rPr>
          <w:rFonts w:hint="eastAsia"/>
        </w:rPr>
        <w:t>针对检查发现的问题，上海证监局均向相关审计评估机构和相关执业人员进行了书面反馈，并将结合具体情况开展后续处理。审计评估机构和相关执业人员应高度重视上述检查发现的问题，严格遵照相关法律法规和执业准则等规定，并结合中国证监会发布的《会计监管风险提示》有关内容，及时采取措施加强内部管理，建立健全质量控制制度，确保执业质量。同时，审计评估机构执业中应严格贯彻风险导向审计理念，对于利用商誉减值调节利润、利用内控缺陷侵占上市公司利益等高风险领域应保持持续关注和高度职业怀疑，针对性设计执业程序，切实做到判断依据充分、推理过程合理、审计评估结论恰当、底稿记录详细。此外，对于执业中发现的行业共性、代表性和突出问题</w:t>
      </w:r>
      <w:r w:rsidR="003068F8">
        <w:rPr>
          <w:rFonts w:hint="eastAsia"/>
        </w:rPr>
        <w:t>，</w:t>
      </w:r>
      <w:r>
        <w:t>应及时与监管部门沟</w:t>
      </w:r>
      <w:r>
        <w:rPr>
          <w:rFonts w:hint="eastAsia"/>
        </w:rPr>
        <w:t>通。</w:t>
      </w:r>
    </w:p>
    <w:p w14:paraId="7B5B1706" w14:textId="0078D9F0" w:rsidR="00865B2E" w:rsidRDefault="00154C41" w:rsidP="00154C41">
      <w:pPr>
        <w:pStyle w:val="31"/>
        <w:spacing w:before="156" w:after="62"/>
      </w:pPr>
      <w:bookmarkStart w:id="97" w:name="_Toc81833360"/>
      <w:r w:rsidRPr="00154C41">
        <w:rPr>
          <w:rFonts w:hint="eastAsia"/>
        </w:rPr>
        <w:t>深圳证监局会计监管工作通讯</w:t>
      </w:r>
      <w:r w:rsidRPr="00154C41">
        <w:t>2019年第5期（总第45期</w:t>
      </w:r>
      <w:r>
        <w:rPr>
          <w:rFonts w:hint="eastAsia"/>
        </w:rPr>
        <w:t>）</w:t>
      </w:r>
      <w:bookmarkEnd w:id="97"/>
    </w:p>
    <w:p w14:paraId="2187665F" w14:textId="6B9B0D82" w:rsidR="00154C41" w:rsidRDefault="00154C41" w:rsidP="00154C41">
      <w:pPr>
        <w:pStyle w:val="13"/>
      </w:pPr>
      <w:r>
        <w:rPr>
          <w:rFonts w:hint="eastAsia"/>
        </w:rPr>
        <w:t>本期导读：</w:t>
      </w:r>
      <w:r>
        <w:t>2019</w:t>
      </w:r>
      <w:r w:rsidR="003068F8">
        <w:t>年</w:t>
      </w:r>
      <w:r>
        <w:t xml:space="preserve">7 月-8 月，深圳证监局在证监会会计部的统一部署下，对深圳辖区 5 </w:t>
      </w:r>
      <w:proofErr w:type="gramStart"/>
      <w:r>
        <w:t>个</w:t>
      </w:r>
      <w:proofErr w:type="gramEnd"/>
      <w:r>
        <w:t xml:space="preserve">审计执业项目和 4 </w:t>
      </w:r>
      <w:proofErr w:type="gramStart"/>
      <w:r>
        <w:t>个</w:t>
      </w:r>
      <w:proofErr w:type="gramEnd"/>
      <w:r>
        <w:t>评估执业项目开展了商誉减值审计与评估专题检查，对深圳</w:t>
      </w:r>
      <w:r>
        <w:rPr>
          <w:rFonts w:hint="eastAsia"/>
        </w:rPr>
        <w:t>辖区</w:t>
      </w:r>
      <w:r>
        <w:t>3个审计执业项目开展了内控审计专题检查。现将检查发现的相关问题进行归纳整理发布，以助于提高辖区审计机构和资产评估机构的执业质量。</w:t>
      </w:r>
    </w:p>
    <w:p w14:paraId="626F0747" w14:textId="77777777" w:rsidR="00154C41" w:rsidRDefault="00154C41" w:rsidP="00154C41">
      <w:pPr>
        <w:pStyle w:val="ab"/>
        <w:spacing w:before="62" w:after="62"/>
        <w:ind w:firstLine="482"/>
      </w:pPr>
      <w:r>
        <w:rPr>
          <w:rFonts w:hint="eastAsia"/>
        </w:rPr>
        <w:t>一、商誉减值审计存在的问题</w:t>
      </w:r>
    </w:p>
    <w:p w14:paraId="5877148B" w14:textId="77777777" w:rsidR="00154C41" w:rsidRDefault="00154C41" w:rsidP="00154C41">
      <w:pPr>
        <w:pStyle w:val="13"/>
      </w:pPr>
      <w:r>
        <w:rPr>
          <w:rFonts w:hint="eastAsia"/>
        </w:rPr>
        <w:t>（一）未发现资产组的划分与营运资金预测前后口径不一致</w:t>
      </w:r>
    </w:p>
    <w:p w14:paraId="2585791B" w14:textId="67C25625" w:rsidR="00154C41" w:rsidRDefault="00154C41" w:rsidP="00154C41">
      <w:pPr>
        <w:pStyle w:val="13"/>
      </w:pPr>
      <w:r>
        <w:rPr>
          <w:rFonts w:hint="eastAsia"/>
        </w:rPr>
        <w:t>个别项目中评估师在对商誉相关的经营性资产组可收回价值进行评估时，评估范围是与商誉相关的经营性资产组，包含了一笔特殊的经营性负债，但在预测未来营运资金时剔除了该笔经营性负债的影响，导致资产组的划分与营运资金预测前后口径不一致。相关注册会计师在对评估工作进行复核时，未对评估涉及使用的重要假设和方法的相关性、合理性进行恰当评价，认可了评估师的做法。</w:t>
      </w:r>
    </w:p>
    <w:p w14:paraId="0C83D8B4" w14:textId="77777777" w:rsidR="00154C41" w:rsidRDefault="00154C41" w:rsidP="00154C41">
      <w:pPr>
        <w:pStyle w:val="13"/>
      </w:pPr>
      <w:r>
        <w:rPr>
          <w:rFonts w:hint="eastAsia"/>
        </w:rPr>
        <w:t>（二）未恰当评价资产减值损失对未来现金流的影响</w:t>
      </w:r>
    </w:p>
    <w:p w14:paraId="391D2757" w14:textId="77777777" w:rsidR="00154C41" w:rsidRDefault="00154C41" w:rsidP="00154C41">
      <w:pPr>
        <w:pStyle w:val="13"/>
      </w:pPr>
      <w:r>
        <w:rPr>
          <w:rFonts w:hint="eastAsia"/>
        </w:rPr>
        <w:t>个别项目中注册会计师在复核商誉相关评估工作时未恰当评价资产减值损失对未来现金流量的影响，</w:t>
      </w:r>
      <w:proofErr w:type="gramStart"/>
      <w:r>
        <w:rPr>
          <w:rFonts w:hint="eastAsia"/>
        </w:rPr>
        <w:t>未关注</w:t>
      </w:r>
      <w:proofErr w:type="gramEnd"/>
      <w:r>
        <w:rPr>
          <w:rFonts w:hint="eastAsia"/>
        </w:rPr>
        <w:t>到评估师预测资产减值损失的基础是公司历史的坏账准备计提金额，而非实际发生的损失，即认可了评估师预测未来现金流量时未将资产减值损失加回的做法。</w:t>
      </w:r>
    </w:p>
    <w:p w14:paraId="2E7B060E" w14:textId="77777777" w:rsidR="00154C41" w:rsidRDefault="00154C41" w:rsidP="00154C41">
      <w:pPr>
        <w:pStyle w:val="13"/>
      </w:pPr>
      <w:r>
        <w:rPr>
          <w:rFonts w:hint="eastAsia"/>
        </w:rPr>
        <w:t>（三）对评估部分关键参数的复核程序执行不到位</w:t>
      </w:r>
    </w:p>
    <w:p w14:paraId="40A40B92" w14:textId="77777777" w:rsidR="00154C41" w:rsidRDefault="00154C41" w:rsidP="00154C41">
      <w:pPr>
        <w:pStyle w:val="13"/>
      </w:pPr>
      <w:r>
        <w:rPr>
          <w:rFonts w:hint="eastAsia"/>
        </w:rPr>
        <w:t>个别项目中评估师在进行商</w:t>
      </w:r>
      <w:proofErr w:type="gramStart"/>
      <w:r>
        <w:rPr>
          <w:rFonts w:hint="eastAsia"/>
        </w:rPr>
        <w:t>誉</w:t>
      </w:r>
      <w:proofErr w:type="gramEnd"/>
      <w:r>
        <w:rPr>
          <w:rFonts w:hint="eastAsia"/>
        </w:rPr>
        <w:t>相关评估时，基于谨慎性原则，大幅修改了公司的预测数据。相关注册会计师</w:t>
      </w:r>
      <w:proofErr w:type="gramStart"/>
      <w:r>
        <w:rPr>
          <w:rFonts w:hint="eastAsia"/>
        </w:rPr>
        <w:t>未关注</w:t>
      </w:r>
      <w:proofErr w:type="gramEnd"/>
      <w:r>
        <w:rPr>
          <w:rFonts w:hint="eastAsia"/>
        </w:rPr>
        <w:t>评估预测的关键参数与公司预测的关键参数不一</w:t>
      </w:r>
      <w:r>
        <w:rPr>
          <w:rFonts w:hint="eastAsia"/>
        </w:rPr>
        <w:lastRenderedPageBreak/>
        <w:t>致的情况，如评估预测的各类产品、原材料数量与公司预测数量不一致，评估预测毛利率与市场整体毛利率不一致等；</w:t>
      </w:r>
      <w:proofErr w:type="gramStart"/>
      <w:r>
        <w:rPr>
          <w:rFonts w:hint="eastAsia"/>
        </w:rPr>
        <w:t>未关注</w:t>
      </w:r>
      <w:proofErr w:type="gramEnd"/>
      <w:r>
        <w:rPr>
          <w:rFonts w:hint="eastAsia"/>
        </w:rPr>
        <w:t>评估师未对关键参数存在差异的原因进行解释说明的情况；</w:t>
      </w:r>
      <w:proofErr w:type="gramStart"/>
      <w:r>
        <w:rPr>
          <w:rFonts w:hint="eastAsia"/>
        </w:rPr>
        <w:t>未关注</w:t>
      </w:r>
      <w:proofErr w:type="gramEnd"/>
      <w:r>
        <w:rPr>
          <w:rFonts w:hint="eastAsia"/>
        </w:rPr>
        <w:t>部分关键参数测算方法与评估说明不一致的情况，直接认可了评估师的评估结论。</w:t>
      </w:r>
    </w:p>
    <w:p w14:paraId="705CBAA0" w14:textId="77777777" w:rsidR="00154C41" w:rsidRDefault="00154C41" w:rsidP="00154C41">
      <w:pPr>
        <w:pStyle w:val="13"/>
      </w:pPr>
      <w:r>
        <w:rPr>
          <w:rFonts w:hint="eastAsia"/>
        </w:rPr>
        <w:t>（四）年报信息披露的复核不到位</w:t>
      </w:r>
    </w:p>
    <w:p w14:paraId="30707D1E" w14:textId="77777777" w:rsidR="00154C41" w:rsidRDefault="00154C41" w:rsidP="00154C41">
      <w:pPr>
        <w:pStyle w:val="13"/>
      </w:pPr>
      <w:r>
        <w:rPr>
          <w:rFonts w:hint="eastAsia"/>
        </w:rPr>
        <w:t>个别公司未按照《公开发行证券的公司信息披露编报规则第</w:t>
      </w:r>
      <w:r>
        <w:t xml:space="preserve"> 15号—财务报告的一般规定（2014 年修订）》第十九条第二十三款和《会计监管风险提示第 8号—商誉减值》的要求，充分披露商誉减值测试的关键参数，也未披露前述信息与形成商誉时的信息存在的差异及其原因。相关注册会计师将商誉识别为特别风险，但</w:t>
      </w:r>
      <w:proofErr w:type="gramStart"/>
      <w:r>
        <w:t>未评价</w:t>
      </w:r>
      <w:proofErr w:type="gramEnd"/>
      <w:r>
        <w:t>公司财务报表对与商誉减值相关的披露是否充分。</w:t>
      </w:r>
    </w:p>
    <w:p w14:paraId="667CBE70" w14:textId="77777777" w:rsidR="00154C41" w:rsidRDefault="00154C41" w:rsidP="00154C41">
      <w:pPr>
        <w:pStyle w:val="13"/>
      </w:pPr>
      <w:r>
        <w:rPr>
          <w:rFonts w:hint="eastAsia"/>
        </w:rPr>
        <w:t>（五）审计工作底稿的记录不到位</w:t>
      </w:r>
    </w:p>
    <w:p w14:paraId="5AA2C705" w14:textId="256FB0BB" w:rsidR="00154C41" w:rsidRDefault="00154C41" w:rsidP="00154C41">
      <w:pPr>
        <w:pStyle w:val="13"/>
      </w:pPr>
      <w:r>
        <w:t>1.部分项目审计工作底稿记录不完善，如未记录评价评估师专业胜任能力和独立性的内容，未记录对盈利预测数据及相关参数具体分析和复核的情况及与评估专家沟通的内容，未记录对公司财务报告是否按《企业会计准则》和相关信息披露编报规则充分披露与商誉减值相关的所有重要信息的评价过程等。</w:t>
      </w:r>
    </w:p>
    <w:p w14:paraId="17049D19" w14:textId="48DBCBA7" w:rsidR="00154C41" w:rsidRDefault="00154C41" w:rsidP="00154C41">
      <w:pPr>
        <w:pStyle w:val="13"/>
      </w:pPr>
      <w:r>
        <w:t>2.部分项目未及时更新审计工作底稿，如未根据已实施的审计程序和获取的审计证据更新审计工作底稿、审计计划中记录的内容在风险评估结果汇总表中未更新。</w:t>
      </w:r>
    </w:p>
    <w:p w14:paraId="270B7CE9" w14:textId="77777777" w:rsidR="00154C41" w:rsidRDefault="00154C41" w:rsidP="00154C41">
      <w:pPr>
        <w:pStyle w:val="ab"/>
        <w:spacing w:before="62" w:after="62"/>
        <w:ind w:firstLine="482"/>
      </w:pPr>
      <w:r>
        <w:rPr>
          <w:rFonts w:hint="eastAsia"/>
        </w:rPr>
        <w:t>二、商誉减值评估存在的问题</w:t>
      </w:r>
    </w:p>
    <w:p w14:paraId="7EC3AC4A" w14:textId="77777777" w:rsidR="00154C41" w:rsidRDefault="00154C41" w:rsidP="00154C41">
      <w:pPr>
        <w:pStyle w:val="13"/>
      </w:pPr>
      <w:r>
        <w:rPr>
          <w:rFonts w:hint="eastAsia"/>
        </w:rPr>
        <w:t>（一）现场调查与资料核验不到位</w:t>
      </w:r>
    </w:p>
    <w:p w14:paraId="33B5952F" w14:textId="77777777" w:rsidR="00154C41" w:rsidRDefault="00154C41" w:rsidP="00154C41">
      <w:pPr>
        <w:pStyle w:val="13"/>
      </w:pPr>
      <w:r>
        <w:t>1、个别项目中评估师对资产组的划分与营运资金预测的口径前后不一致，评估范围是与商誉相关的经营性资产组，包含了一笔特殊的经营性负债，但在预测未来营运资金时剔除了该笔负债对未来现金流量的影响。</w:t>
      </w:r>
    </w:p>
    <w:p w14:paraId="5829011E" w14:textId="77777777" w:rsidR="00154C41" w:rsidRDefault="00154C41" w:rsidP="00154C41">
      <w:pPr>
        <w:pStyle w:val="13"/>
      </w:pPr>
      <w:r>
        <w:t>2、个别项目中评估师对应收款项进行了函证，回函显示金额不符，但未进一步核实回函金额不符的原因。</w:t>
      </w:r>
    </w:p>
    <w:p w14:paraId="381CBBF5" w14:textId="77777777" w:rsidR="00154C41" w:rsidRDefault="00154C41" w:rsidP="00154C41">
      <w:pPr>
        <w:pStyle w:val="13"/>
      </w:pPr>
      <w:r>
        <w:rPr>
          <w:rFonts w:hint="eastAsia"/>
        </w:rPr>
        <w:t>（二）评估模型与参数的考虑不到位</w:t>
      </w:r>
    </w:p>
    <w:p w14:paraId="20631C32" w14:textId="04691D5A" w:rsidR="00154C41" w:rsidRDefault="00154C41" w:rsidP="00154C41">
      <w:pPr>
        <w:pStyle w:val="13"/>
      </w:pPr>
      <w:r>
        <w:t>1、个别项目中评估师使用收益法评估时，基于公司历史的坏账准备计提金额预测资产减值损失，但计算未来现金流量时未将对现金流量没有影响的资产减值损失金额加</w:t>
      </w:r>
      <w:r>
        <w:rPr>
          <w:rFonts w:hint="eastAsia"/>
        </w:rPr>
        <w:t>回。</w:t>
      </w:r>
    </w:p>
    <w:p w14:paraId="6204B236" w14:textId="332097B7" w:rsidR="00154C41" w:rsidRDefault="00154C41" w:rsidP="00154C41">
      <w:pPr>
        <w:pStyle w:val="13"/>
      </w:pPr>
      <w:r>
        <w:t>2、个别项目中评估师未对部分关键参数的预测依据进行充分关注，如未合理解释</w:t>
      </w:r>
      <w:r>
        <w:rPr>
          <w:rFonts w:hint="eastAsia"/>
        </w:rPr>
        <w:t>在前期销量大幅下降的情况下，</w:t>
      </w:r>
      <w:proofErr w:type="gramStart"/>
      <w:r>
        <w:rPr>
          <w:rFonts w:hint="eastAsia"/>
        </w:rPr>
        <w:t>仍预测</w:t>
      </w:r>
      <w:proofErr w:type="gramEnd"/>
      <w:r>
        <w:rPr>
          <w:rFonts w:hint="eastAsia"/>
        </w:rPr>
        <w:t>未来销量大幅增长的原因。</w:t>
      </w:r>
    </w:p>
    <w:p w14:paraId="6935A498" w14:textId="77777777" w:rsidR="00154C41" w:rsidRDefault="00154C41" w:rsidP="00154C41">
      <w:pPr>
        <w:pStyle w:val="13"/>
      </w:pPr>
      <w:r>
        <w:rPr>
          <w:rFonts w:hint="eastAsia"/>
        </w:rPr>
        <w:t>（三）评估说明与评估工作底稿的记录不到位</w:t>
      </w:r>
    </w:p>
    <w:p w14:paraId="49F85966" w14:textId="77777777" w:rsidR="00154C41" w:rsidRDefault="00154C41" w:rsidP="00154C41">
      <w:pPr>
        <w:pStyle w:val="13"/>
      </w:pPr>
      <w:r>
        <w:t>1、部分项目评估说明中部分指标的测算方法与评估工作底稿记录不一致，未根据实际测算方法及测算结果更新评估说明。</w:t>
      </w:r>
    </w:p>
    <w:p w14:paraId="578A7366" w14:textId="77777777" w:rsidR="00154C41" w:rsidRDefault="00154C41" w:rsidP="00154C41">
      <w:pPr>
        <w:pStyle w:val="13"/>
      </w:pPr>
      <w:r>
        <w:t>2、部分项目评估工作底稿记录不完善，如未在评估底稿中记录调整管理</w:t>
      </w:r>
      <w:proofErr w:type="gramStart"/>
      <w:r>
        <w:t>层未来</w:t>
      </w:r>
      <w:proofErr w:type="gramEnd"/>
      <w:r>
        <w:lastRenderedPageBreak/>
        <w:t>收入预测的原因；未记录业务预测增长的原因；未说明评估预测的产品参数与公司预测的产品参数存在差异的原因；未说明评估预测的毛利率与市场整体毛利率变化趋势不一致的原因等。</w:t>
      </w:r>
    </w:p>
    <w:p w14:paraId="7579E59F" w14:textId="77777777" w:rsidR="00154C41" w:rsidRDefault="00154C41" w:rsidP="00154C41">
      <w:pPr>
        <w:pStyle w:val="ab"/>
        <w:spacing w:before="62" w:after="62"/>
        <w:ind w:firstLine="482"/>
      </w:pPr>
      <w:r>
        <w:rPr>
          <w:rFonts w:hint="eastAsia"/>
        </w:rPr>
        <w:t>三、内部控制审计存在的问题（略）</w:t>
      </w:r>
    </w:p>
    <w:p w14:paraId="606AEF3C" w14:textId="77777777" w:rsidR="00154C41" w:rsidRDefault="00154C41" w:rsidP="00154C41">
      <w:pPr>
        <w:pStyle w:val="13"/>
      </w:pPr>
      <w:r>
        <w:rPr>
          <w:rFonts w:hint="eastAsia"/>
        </w:rPr>
        <w:t>针对检查发现的问题，深圳证监局均向相关审计与评估机构进行了书面反馈，并结合项目检查发现的其他问题对个别审计与评估机构采取监管谈话的行政监管措施，要求相关审计与评估机构认真剖析存在上述问题的原因，并完善业务质量控制。</w:t>
      </w:r>
    </w:p>
    <w:p w14:paraId="40E37456" w14:textId="2C29B6AE" w:rsidR="00865B2E" w:rsidRDefault="00154C41" w:rsidP="00154C41">
      <w:pPr>
        <w:pStyle w:val="13"/>
      </w:pPr>
      <w:r>
        <w:rPr>
          <w:rFonts w:hint="eastAsia"/>
        </w:rPr>
        <w:t>深圳证监局希望通过本次检查，进一步提高审计与评估机构对公司利用商誉减值调节利润、利用内控缺陷侵占上市公司利益情况的关注度，加强对审计与评估人员的培训，强化对执业项目的复核，完善项目底稿记录，提升质量控制水平，提高项目的执业质量。</w:t>
      </w:r>
    </w:p>
    <w:p w14:paraId="5751F9F7" w14:textId="40648403" w:rsidR="00154C41" w:rsidRDefault="00154C41" w:rsidP="00154C41">
      <w:pPr>
        <w:pStyle w:val="21"/>
        <w:spacing w:before="156" w:after="93"/>
      </w:pPr>
      <w:bookmarkStart w:id="98" w:name="_Toc81833361"/>
      <w:r>
        <w:rPr>
          <w:rFonts w:hint="eastAsia"/>
        </w:rPr>
        <w:t>操作指引</w:t>
      </w:r>
      <w:bookmarkEnd w:id="98"/>
    </w:p>
    <w:p w14:paraId="2D7019CF" w14:textId="7A6913CE" w:rsidR="00865B2E" w:rsidRDefault="00154C41" w:rsidP="00154C41">
      <w:pPr>
        <w:pStyle w:val="31"/>
        <w:spacing w:before="156" w:after="62"/>
      </w:pPr>
      <w:bookmarkStart w:id="99" w:name="_Toc81833362"/>
      <w:r w:rsidRPr="00154C41">
        <w:rPr>
          <w:rFonts w:hint="eastAsia"/>
        </w:rPr>
        <w:t>财政支出（项目支出）绩效评价操作指引（试行）</w:t>
      </w:r>
      <w:r>
        <w:rPr>
          <w:rFonts w:hint="eastAsia"/>
        </w:rPr>
        <w:t>（</w:t>
      </w:r>
      <w:proofErr w:type="gramStart"/>
      <w:r w:rsidRPr="00154C41">
        <w:rPr>
          <w:rFonts w:hint="eastAsia"/>
        </w:rPr>
        <w:t>中评协</w:t>
      </w:r>
      <w:proofErr w:type="gramEnd"/>
      <w:r w:rsidRPr="00154C41">
        <w:t>[2014]70号</w:t>
      </w:r>
      <w:r>
        <w:rPr>
          <w:rFonts w:hint="eastAsia"/>
        </w:rPr>
        <w:t>）</w:t>
      </w:r>
      <w:bookmarkEnd w:id="99"/>
    </w:p>
    <w:p w14:paraId="7849C693" w14:textId="77777777" w:rsidR="00154C41" w:rsidRDefault="00154C41" w:rsidP="00154C41">
      <w:pPr>
        <w:pStyle w:val="13"/>
        <w:ind w:firstLineChars="0" w:firstLine="0"/>
      </w:pPr>
      <w:r>
        <w:rPr>
          <w:rFonts w:hint="eastAsia"/>
        </w:rPr>
        <w:t>各省、自治区、直辖市、计划单列市资产评估协会（注册会计师协会）、各证券评估资格资产评估机构：</w:t>
      </w:r>
    </w:p>
    <w:p w14:paraId="4BF0F944" w14:textId="77777777" w:rsidR="00154C41" w:rsidRDefault="00154C41" w:rsidP="00154C41">
      <w:pPr>
        <w:pStyle w:val="13"/>
      </w:pPr>
      <w:r>
        <w:rPr>
          <w:rFonts w:hint="eastAsia"/>
        </w:rPr>
        <w:t>为指导评估机构执行财政支出（项目支出）绩效评价业务，中国资产评估协会制定了《财政支出（项目支出）绩效评价操作指引（试行）》，现予以发布，自</w:t>
      </w:r>
      <w:r>
        <w:t>2014年 8月1日起施行。</w:t>
      </w:r>
    </w:p>
    <w:p w14:paraId="2E215C5E" w14:textId="77777777" w:rsidR="00154C41" w:rsidRDefault="00154C41" w:rsidP="00154C41">
      <w:pPr>
        <w:pStyle w:val="13"/>
      </w:pPr>
      <w:r>
        <w:rPr>
          <w:rFonts w:hint="eastAsia"/>
        </w:rPr>
        <w:t>请各地</w:t>
      </w:r>
      <w:proofErr w:type="gramStart"/>
      <w:r>
        <w:rPr>
          <w:rFonts w:hint="eastAsia"/>
        </w:rPr>
        <w:t>方协会</w:t>
      </w:r>
      <w:proofErr w:type="gramEnd"/>
      <w:r>
        <w:rPr>
          <w:rFonts w:hint="eastAsia"/>
        </w:rPr>
        <w:t>将《财政支出（项目支出）绩效评价操作指引（试行）》及时转发评估机构，组织评估机构进行学习和培训，并将执行过程中发现的问题及时上报中国资产评估协会。</w:t>
      </w:r>
      <w:r>
        <w:t xml:space="preserve"> </w:t>
      </w:r>
    </w:p>
    <w:p w14:paraId="0EA02E36" w14:textId="6CDE3542" w:rsidR="00865B2E" w:rsidRDefault="00154C41" w:rsidP="00154C41">
      <w:pPr>
        <w:pStyle w:val="13"/>
      </w:pPr>
      <w:r>
        <w:rPr>
          <w:rFonts w:hint="eastAsia"/>
        </w:rPr>
        <w:t>附件：财政支出（项目支出）绩效评价操作指引（试行）</w:t>
      </w:r>
    </w:p>
    <w:p w14:paraId="18EFF695" w14:textId="0670F2B0" w:rsidR="00865B2E" w:rsidRDefault="00154C41" w:rsidP="00154C41">
      <w:pPr>
        <w:pStyle w:val="13"/>
        <w:jc w:val="right"/>
      </w:pPr>
      <w:r w:rsidRPr="00154C41">
        <w:t>2014年4月30日</w:t>
      </w:r>
    </w:p>
    <w:p w14:paraId="33FB29D8" w14:textId="77777777" w:rsidR="00154C41" w:rsidRDefault="00154C41" w:rsidP="00AF7342">
      <w:pPr>
        <w:pStyle w:val="a9"/>
        <w:spacing w:before="62" w:after="62"/>
      </w:pPr>
      <w:r>
        <w:rPr>
          <w:rFonts w:hint="eastAsia"/>
        </w:rPr>
        <w:t>财政支出（项目支出）绩效评价操作指引（试行）</w:t>
      </w:r>
    </w:p>
    <w:p w14:paraId="4581240D" w14:textId="77777777" w:rsidR="00154C41" w:rsidRDefault="00154C41" w:rsidP="00AF7342">
      <w:pPr>
        <w:pStyle w:val="a9"/>
        <w:spacing w:before="62" w:after="62"/>
      </w:pPr>
      <w:r>
        <w:rPr>
          <w:rFonts w:hint="eastAsia"/>
        </w:rPr>
        <w:t>第一章</w:t>
      </w:r>
      <w:r>
        <w:t xml:space="preserve"> 总则</w:t>
      </w:r>
    </w:p>
    <w:p w14:paraId="688A1D0F" w14:textId="1C21C9F2" w:rsidR="00154C41" w:rsidRDefault="004E3EBB" w:rsidP="00154C41">
      <w:pPr>
        <w:pStyle w:val="13"/>
        <w:ind w:firstLine="482"/>
      </w:pPr>
      <w:r w:rsidRPr="004E3EBB">
        <w:rPr>
          <w:rFonts w:hint="eastAsia"/>
          <w:b/>
        </w:rPr>
        <w:t xml:space="preserve">第一条 </w:t>
      </w:r>
      <w:r w:rsidR="00154C41">
        <w:t>为规范评估机构执行财政支出（项目支出）绩效评价业务，根据《中华人民共和国预算法》、《财政支出绩效评价管理暂行办法》（财预[2011]285号）、《关于推进预算绩效管理的指导意见》（财预[2011]416号）等相关法律法规，制定本操作指引。</w:t>
      </w:r>
    </w:p>
    <w:p w14:paraId="1589B865" w14:textId="658A87BB" w:rsidR="00154C41" w:rsidRDefault="004E3EBB" w:rsidP="00154C41">
      <w:pPr>
        <w:pStyle w:val="13"/>
        <w:ind w:firstLine="482"/>
      </w:pPr>
      <w:r w:rsidRPr="004E3EBB">
        <w:rPr>
          <w:rFonts w:hint="eastAsia"/>
          <w:b/>
        </w:rPr>
        <w:t xml:space="preserve">第二条 </w:t>
      </w:r>
      <w:r w:rsidR="00154C41">
        <w:t>本操作指引所称财政支出（项目支出）绩效评价（以下简称绩效评价）是指评估机构接受财政部门、预算部门（单位）委托，根据设定的绩效目标，运用科学、合理的绩效评价指标、评价标准和评价方法，对财政支出（项目支出）的经济性、</w:t>
      </w:r>
      <w:r w:rsidR="00154C41">
        <w:lastRenderedPageBreak/>
        <w:t>效率性和效益性进行客观、公正的评价。</w:t>
      </w:r>
    </w:p>
    <w:p w14:paraId="5F73BC67" w14:textId="77777777" w:rsidR="00154C41" w:rsidRDefault="00154C41" w:rsidP="00154C41">
      <w:pPr>
        <w:pStyle w:val="13"/>
      </w:pPr>
      <w:r>
        <w:rPr>
          <w:rFonts w:hint="eastAsia"/>
        </w:rPr>
        <w:t>预算部门（单位）（以下简称预算部门）是指与财政部门有预算</w:t>
      </w:r>
      <w:proofErr w:type="gramStart"/>
      <w:r>
        <w:rPr>
          <w:rFonts w:hint="eastAsia"/>
        </w:rPr>
        <w:t>缴</w:t>
      </w:r>
      <w:proofErr w:type="gramEnd"/>
      <w:r>
        <w:rPr>
          <w:rFonts w:hint="eastAsia"/>
        </w:rPr>
        <w:t>拨款关系的国家机关、政党组织、事业单位、社会团体和其他独立核算的法人组织。</w:t>
      </w:r>
    </w:p>
    <w:p w14:paraId="5095A2DC" w14:textId="77777777" w:rsidR="00154C41" w:rsidRDefault="00154C41" w:rsidP="00AF7342">
      <w:pPr>
        <w:pStyle w:val="a9"/>
        <w:spacing w:before="62" w:after="62"/>
      </w:pPr>
      <w:r>
        <w:rPr>
          <w:rFonts w:hint="eastAsia"/>
        </w:rPr>
        <w:t>第二章</w:t>
      </w:r>
      <w:r>
        <w:t xml:space="preserve"> 基本要求</w:t>
      </w:r>
    </w:p>
    <w:p w14:paraId="671B84C8" w14:textId="393F5881" w:rsidR="00154C41" w:rsidRDefault="004E3EBB" w:rsidP="00154C41">
      <w:pPr>
        <w:pStyle w:val="13"/>
        <w:ind w:firstLine="482"/>
      </w:pPr>
      <w:r w:rsidRPr="004E3EBB">
        <w:rPr>
          <w:rFonts w:hint="eastAsia"/>
          <w:b/>
        </w:rPr>
        <w:t xml:space="preserve">第三条 </w:t>
      </w:r>
      <w:r w:rsidR="00154C41">
        <w:t>评估机构执行绩效评价业务，应当接受绩效评价主体委托。财政部门和预算部门是绩效评价的主体。</w:t>
      </w:r>
    </w:p>
    <w:p w14:paraId="25C1D8EE" w14:textId="176CB22A" w:rsidR="00154C41" w:rsidRDefault="004E3EBB" w:rsidP="00154C41">
      <w:pPr>
        <w:pStyle w:val="13"/>
        <w:ind w:firstLine="482"/>
      </w:pPr>
      <w:r w:rsidRPr="004E3EBB">
        <w:rPr>
          <w:rFonts w:hint="eastAsia"/>
          <w:b/>
        </w:rPr>
        <w:t xml:space="preserve">第四条 </w:t>
      </w:r>
      <w:r w:rsidR="00154C41">
        <w:t>评估机构执行绩效评价业务，应当遵守国家相关法律法规和行业规范。</w:t>
      </w:r>
    </w:p>
    <w:p w14:paraId="18ABE7FF" w14:textId="3020DAEE" w:rsidR="00154C41" w:rsidRDefault="004E3EBB" w:rsidP="00154C41">
      <w:pPr>
        <w:pStyle w:val="13"/>
        <w:ind w:firstLine="482"/>
      </w:pPr>
      <w:r w:rsidRPr="004E3EBB">
        <w:rPr>
          <w:rFonts w:hint="eastAsia"/>
          <w:b/>
        </w:rPr>
        <w:t xml:space="preserve">第五条 </w:t>
      </w:r>
      <w:r w:rsidR="00154C41">
        <w:t>评估机构执行绩效评价业务，应当根据绩效评价业务具体情况，对自身专业胜任能力、独立性和业务风险进行综合分析和判断，决定是否承接绩效评价业务。</w:t>
      </w:r>
    </w:p>
    <w:p w14:paraId="15EFEAB2" w14:textId="3C941E2C" w:rsidR="00154C41" w:rsidRDefault="004E3EBB" w:rsidP="00154C41">
      <w:pPr>
        <w:pStyle w:val="13"/>
        <w:ind w:firstLine="482"/>
      </w:pPr>
      <w:r w:rsidRPr="004E3EBB">
        <w:rPr>
          <w:rFonts w:hint="eastAsia"/>
          <w:b/>
        </w:rPr>
        <w:t xml:space="preserve">第六条 </w:t>
      </w:r>
      <w:r w:rsidR="00154C41">
        <w:t>评估机构执行绩效评价业务，应当遵守保密原则，除法律法规和行业规范另有规定外，未经绩效评价主体书面许可，不得对外提供执业过程中获知的国家秘密、商业秘密、业务资料及绩效评价结论。</w:t>
      </w:r>
    </w:p>
    <w:p w14:paraId="300B65F6" w14:textId="0008B882" w:rsidR="00154C41" w:rsidRDefault="004E3EBB" w:rsidP="00154C41">
      <w:pPr>
        <w:pStyle w:val="13"/>
        <w:ind w:firstLine="482"/>
      </w:pPr>
      <w:r w:rsidRPr="004E3EBB">
        <w:rPr>
          <w:rFonts w:hint="eastAsia"/>
          <w:b/>
        </w:rPr>
        <w:t xml:space="preserve">第七条 </w:t>
      </w:r>
      <w:r w:rsidR="00154C41">
        <w:t>评估机构执行绩效评价业务，应当勤勉尽责，恪守独立、客观、公正的原则。</w:t>
      </w:r>
    </w:p>
    <w:p w14:paraId="40536A28" w14:textId="2BB253B1" w:rsidR="00154C41" w:rsidRDefault="004E3EBB" w:rsidP="00154C41">
      <w:pPr>
        <w:pStyle w:val="13"/>
        <w:ind w:firstLine="482"/>
      </w:pPr>
      <w:r w:rsidRPr="004E3EBB">
        <w:rPr>
          <w:rFonts w:hint="eastAsia"/>
          <w:b/>
        </w:rPr>
        <w:t xml:space="preserve">第八条 </w:t>
      </w:r>
      <w:r w:rsidR="00154C41">
        <w:t xml:space="preserve">评估机构执行绩效评价业务，不得利用执业便利为自己或他人谋取不正当利益。 </w:t>
      </w:r>
    </w:p>
    <w:p w14:paraId="5B1C4790" w14:textId="12011D28" w:rsidR="00154C41" w:rsidRDefault="00E05BDA" w:rsidP="00154C41">
      <w:pPr>
        <w:pStyle w:val="13"/>
        <w:ind w:firstLine="482"/>
      </w:pPr>
      <w:r w:rsidRPr="00E05BDA">
        <w:rPr>
          <w:rFonts w:hint="eastAsia"/>
          <w:b/>
        </w:rPr>
        <w:t xml:space="preserve">第九条 </w:t>
      </w:r>
      <w:r w:rsidR="00154C41">
        <w:t>评估机构执行绩效评价业务，应当获取充分信息，保证信息来源的可靠性及利用信息的恰当性，确保绩效评价工作的客观性及绩效评价报告的真实性、准确性。</w:t>
      </w:r>
    </w:p>
    <w:p w14:paraId="66F240A4" w14:textId="577C12E7" w:rsidR="00154C41" w:rsidRDefault="00E05BDA" w:rsidP="00154C41">
      <w:pPr>
        <w:pStyle w:val="13"/>
        <w:ind w:firstLine="482"/>
      </w:pPr>
      <w:r w:rsidRPr="00E05BDA">
        <w:rPr>
          <w:rFonts w:hint="eastAsia"/>
          <w:b/>
        </w:rPr>
        <w:t xml:space="preserve">第十条 </w:t>
      </w:r>
      <w:r w:rsidR="00154C41">
        <w:t>评估机构执行绩效评价业务，可以聘请相关专家协助工作，但应当采取必要措施确信专家工作的合理性。</w:t>
      </w:r>
    </w:p>
    <w:p w14:paraId="78CF948F" w14:textId="77777777" w:rsidR="00154C41" w:rsidRDefault="00154C41" w:rsidP="00AF7342">
      <w:pPr>
        <w:pStyle w:val="a9"/>
        <w:spacing w:before="62" w:after="62"/>
      </w:pPr>
      <w:r>
        <w:rPr>
          <w:rFonts w:hint="eastAsia"/>
        </w:rPr>
        <w:t>第三章</w:t>
      </w:r>
      <w:r>
        <w:t xml:space="preserve"> 绩效评价的对象和内容</w:t>
      </w:r>
    </w:p>
    <w:p w14:paraId="184AA963" w14:textId="5AA5DE84" w:rsidR="00154C41" w:rsidRDefault="00E05BDA" w:rsidP="00154C41">
      <w:pPr>
        <w:pStyle w:val="13"/>
        <w:ind w:firstLine="482"/>
      </w:pPr>
      <w:r w:rsidRPr="00E05BDA">
        <w:rPr>
          <w:rFonts w:hint="eastAsia"/>
          <w:b/>
        </w:rPr>
        <w:t xml:space="preserve">第十一条 </w:t>
      </w:r>
      <w:r w:rsidR="00154C41">
        <w:t>评估机构执行绩效评价业务，应当明确绩效评价的对象和内容。</w:t>
      </w:r>
    </w:p>
    <w:p w14:paraId="0350EE85" w14:textId="632E48CA" w:rsidR="00154C41" w:rsidRDefault="00E05BDA" w:rsidP="00154C41">
      <w:pPr>
        <w:pStyle w:val="13"/>
        <w:ind w:firstLine="482"/>
      </w:pPr>
      <w:r w:rsidRPr="00E05BDA">
        <w:rPr>
          <w:rFonts w:hint="eastAsia"/>
          <w:b/>
        </w:rPr>
        <w:t xml:space="preserve">第十二条 </w:t>
      </w:r>
      <w:r w:rsidR="00154C41">
        <w:t>绩效评价的对象包括纳入政府预算管理的资金和纳入部门预算管理的资金。按照预算级次，可分为本级部门预算管理的资金和上级政府对下级政府的转移支付资金。</w:t>
      </w:r>
    </w:p>
    <w:p w14:paraId="52DB1698" w14:textId="0E5A3979" w:rsidR="00154C41" w:rsidRDefault="00E05BDA" w:rsidP="00154C41">
      <w:pPr>
        <w:pStyle w:val="13"/>
        <w:ind w:firstLine="482"/>
      </w:pPr>
      <w:r w:rsidRPr="00E05BDA">
        <w:rPr>
          <w:rFonts w:hint="eastAsia"/>
          <w:b/>
        </w:rPr>
        <w:t xml:space="preserve">第十三条 </w:t>
      </w:r>
      <w:r w:rsidR="00154C41">
        <w:t xml:space="preserve"> 绩效评价的基本内容通常包括：</w:t>
      </w:r>
    </w:p>
    <w:p w14:paraId="39FE9A7D" w14:textId="77777777" w:rsidR="00154C41" w:rsidRDefault="00154C41" w:rsidP="00154C41">
      <w:pPr>
        <w:pStyle w:val="13"/>
      </w:pPr>
      <w:r>
        <w:rPr>
          <w:rFonts w:hint="eastAsia"/>
        </w:rPr>
        <w:t>（一）绩效目标的设定情况；</w:t>
      </w:r>
    </w:p>
    <w:p w14:paraId="77799303" w14:textId="77777777" w:rsidR="00154C41" w:rsidRDefault="00154C41" w:rsidP="00154C41">
      <w:pPr>
        <w:pStyle w:val="13"/>
      </w:pPr>
      <w:r>
        <w:rPr>
          <w:rFonts w:hint="eastAsia"/>
        </w:rPr>
        <w:t>（二）资金投入和使用情况；</w:t>
      </w:r>
    </w:p>
    <w:p w14:paraId="0E09BF9F" w14:textId="77777777" w:rsidR="00154C41" w:rsidRDefault="00154C41" w:rsidP="00154C41">
      <w:pPr>
        <w:pStyle w:val="13"/>
      </w:pPr>
      <w:r>
        <w:rPr>
          <w:rFonts w:hint="eastAsia"/>
        </w:rPr>
        <w:t>（三）为实现绩效目标制定的制度、采取的措施等；</w:t>
      </w:r>
    </w:p>
    <w:p w14:paraId="2708EF09" w14:textId="77777777" w:rsidR="00154C41" w:rsidRDefault="00154C41" w:rsidP="00154C41">
      <w:pPr>
        <w:pStyle w:val="13"/>
      </w:pPr>
      <w:r>
        <w:rPr>
          <w:rFonts w:hint="eastAsia"/>
        </w:rPr>
        <w:t>（四）绩效目标的实现程度及效果；</w:t>
      </w:r>
    </w:p>
    <w:p w14:paraId="1CC6EF8F" w14:textId="77777777" w:rsidR="00154C41" w:rsidRDefault="00154C41" w:rsidP="00154C41">
      <w:pPr>
        <w:pStyle w:val="13"/>
      </w:pPr>
      <w:r>
        <w:rPr>
          <w:rFonts w:hint="eastAsia"/>
        </w:rPr>
        <w:t>（五）绩效评价的其他内容。</w:t>
      </w:r>
    </w:p>
    <w:p w14:paraId="16E0F8C6" w14:textId="0275F306" w:rsidR="00154C41" w:rsidRDefault="00E05BDA" w:rsidP="00154C41">
      <w:pPr>
        <w:pStyle w:val="13"/>
        <w:ind w:firstLine="482"/>
      </w:pPr>
      <w:r w:rsidRPr="00E05BDA">
        <w:rPr>
          <w:rFonts w:hint="eastAsia"/>
          <w:b/>
        </w:rPr>
        <w:lastRenderedPageBreak/>
        <w:t xml:space="preserve">第十四条 </w:t>
      </w:r>
      <w:r w:rsidR="00154C41">
        <w:t>绩效评价一般以预算年度为周期，对跨年度的重大（重点）项目可根据项目或支出完成情况实施阶段性评价。</w:t>
      </w:r>
    </w:p>
    <w:p w14:paraId="5B2FED1D" w14:textId="77777777" w:rsidR="00154C41" w:rsidRDefault="00154C41" w:rsidP="00AF7342">
      <w:pPr>
        <w:pStyle w:val="a9"/>
        <w:spacing w:before="62" w:after="62"/>
      </w:pPr>
      <w:r>
        <w:rPr>
          <w:rFonts w:hint="eastAsia"/>
        </w:rPr>
        <w:t>第四章</w:t>
      </w:r>
      <w:r>
        <w:t xml:space="preserve"> 绩效评价程序</w:t>
      </w:r>
    </w:p>
    <w:p w14:paraId="4CE48216" w14:textId="7B361AD0" w:rsidR="00154C41" w:rsidRDefault="00E05BDA" w:rsidP="00154C41">
      <w:pPr>
        <w:pStyle w:val="13"/>
        <w:ind w:firstLine="482"/>
      </w:pPr>
      <w:r w:rsidRPr="00E05BDA">
        <w:rPr>
          <w:rFonts w:hint="eastAsia"/>
          <w:b/>
        </w:rPr>
        <w:t xml:space="preserve">第十五条 </w:t>
      </w:r>
      <w:r w:rsidR="00154C41">
        <w:t>评估机构执行绩效评价业务，绩效评价程序通常分为三个阶段，即绩效评价前期准备阶段、实施阶段和绩效评价报告的编制和提交阶段。</w:t>
      </w:r>
    </w:p>
    <w:p w14:paraId="755F727C" w14:textId="77777777" w:rsidR="00154C41" w:rsidRDefault="00154C41" w:rsidP="00154C41">
      <w:pPr>
        <w:pStyle w:val="13"/>
      </w:pPr>
      <w:r>
        <w:rPr>
          <w:rFonts w:hint="eastAsia"/>
        </w:rPr>
        <w:t>（一）绩效评价前期准备阶段</w:t>
      </w:r>
    </w:p>
    <w:p w14:paraId="69B7FFD9" w14:textId="77777777" w:rsidR="00154C41" w:rsidRDefault="00154C41" w:rsidP="00154C41">
      <w:pPr>
        <w:pStyle w:val="13"/>
      </w:pPr>
      <w:r>
        <w:t>1．接受绩效评价主体的委托，签订业务约定书。</w:t>
      </w:r>
    </w:p>
    <w:p w14:paraId="52DF0AF6" w14:textId="77777777" w:rsidR="00154C41" w:rsidRDefault="00154C41" w:rsidP="00154C41">
      <w:pPr>
        <w:pStyle w:val="13"/>
      </w:pPr>
      <w:r>
        <w:t>2．成立绩效评价工作组。</w:t>
      </w:r>
    </w:p>
    <w:p w14:paraId="51B4651E" w14:textId="77777777" w:rsidR="00154C41" w:rsidRDefault="00154C41" w:rsidP="00154C41">
      <w:pPr>
        <w:pStyle w:val="13"/>
      </w:pPr>
      <w:r>
        <w:t>3．明确绩效评价基本事项，包括：</w:t>
      </w:r>
    </w:p>
    <w:p w14:paraId="1098235E" w14:textId="77777777" w:rsidR="00154C41" w:rsidRDefault="00154C41" w:rsidP="00154C41">
      <w:pPr>
        <w:pStyle w:val="13"/>
      </w:pPr>
      <w:r>
        <w:rPr>
          <w:rFonts w:hint="eastAsia"/>
        </w:rPr>
        <w:t>（</w:t>
      </w:r>
      <w:r>
        <w:t>1）项目的背景和基本情况；</w:t>
      </w:r>
    </w:p>
    <w:p w14:paraId="37917D1A" w14:textId="77777777" w:rsidR="00154C41" w:rsidRDefault="00154C41" w:rsidP="00154C41">
      <w:pPr>
        <w:pStyle w:val="13"/>
      </w:pPr>
      <w:r>
        <w:rPr>
          <w:rFonts w:hint="eastAsia"/>
        </w:rPr>
        <w:t>（</w:t>
      </w:r>
      <w:r>
        <w:t>2）绩效评价的对象和内容；</w:t>
      </w:r>
    </w:p>
    <w:p w14:paraId="637931E0" w14:textId="77777777" w:rsidR="00154C41" w:rsidRDefault="00154C41" w:rsidP="00154C41">
      <w:pPr>
        <w:pStyle w:val="13"/>
      </w:pPr>
      <w:r>
        <w:rPr>
          <w:rFonts w:hint="eastAsia"/>
        </w:rPr>
        <w:t>（</w:t>
      </w:r>
      <w:r>
        <w:t>3）项目的绩效目标、管理情况及相关要求；</w:t>
      </w:r>
    </w:p>
    <w:p w14:paraId="3B7B39A3" w14:textId="77777777" w:rsidR="00154C41" w:rsidRDefault="00154C41" w:rsidP="00154C41">
      <w:pPr>
        <w:pStyle w:val="13"/>
      </w:pPr>
      <w:r>
        <w:rPr>
          <w:rFonts w:hint="eastAsia"/>
        </w:rPr>
        <w:t>（</w:t>
      </w:r>
      <w:r>
        <w:t>4）绩效评价的目的；</w:t>
      </w:r>
    </w:p>
    <w:p w14:paraId="015F0533" w14:textId="77777777" w:rsidR="00154C41" w:rsidRDefault="00154C41" w:rsidP="00154C41">
      <w:pPr>
        <w:pStyle w:val="13"/>
      </w:pPr>
      <w:r>
        <w:rPr>
          <w:rFonts w:hint="eastAsia"/>
        </w:rPr>
        <w:t>（</w:t>
      </w:r>
      <w:r>
        <w:t>5）委托方及绩效评价报告使用者；</w:t>
      </w:r>
    </w:p>
    <w:p w14:paraId="355726FB" w14:textId="77777777" w:rsidR="00154C41" w:rsidRDefault="00154C41" w:rsidP="00154C41">
      <w:pPr>
        <w:pStyle w:val="13"/>
      </w:pPr>
      <w:r>
        <w:rPr>
          <w:rFonts w:hint="eastAsia"/>
        </w:rPr>
        <w:t>（</w:t>
      </w:r>
      <w:r>
        <w:t>6）其他重要事项。</w:t>
      </w:r>
    </w:p>
    <w:p w14:paraId="6B7F4087" w14:textId="77777777" w:rsidR="00154C41" w:rsidRDefault="00154C41" w:rsidP="00154C41">
      <w:pPr>
        <w:pStyle w:val="13"/>
      </w:pPr>
      <w:r>
        <w:t>4．制定绩效评价方案。</w:t>
      </w:r>
    </w:p>
    <w:p w14:paraId="0BDB5C1E" w14:textId="77777777" w:rsidR="00154C41" w:rsidRDefault="00154C41" w:rsidP="00154C41">
      <w:pPr>
        <w:pStyle w:val="13"/>
      </w:pPr>
      <w:r>
        <w:rPr>
          <w:rFonts w:hint="eastAsia"/>
        </w:rPr>
        <w:t>（二）绩效评价实施阶段</w:t>
      </w:r>
    </w:p>
    <w:p w14:paraId="79699754" w14:textId="77777777" w:rsidR="00154C41" w:rsidRDefault="00154C41" w:rsidP="00154C41">
      <w:pPr>
        <w:pStyle w:val="13"/>
      </w:pPr>
      <w:r>
        <w:t>1．根据项目特点，按照绩效评价方案，通过案卷研究、数据填报、实地调研、座谈会及问卷调查等方法收集相关评价数据。</w:t>
      </w:r>
    </w:p>
    <w:p w14:paraId="62DF66B4" w14:textId="77777777" w:rsidR="00154C41" w:rsidRDefault="00154C41" w:rsidP="00154C41">
      <w:pPr>
        <w:pStyle w:val="13"/>
      </w:pPr>
      <w:r>
        <w:t>2．对数据进行甄别、汇总和分析。</w:t>
      </w:r>
    </w:p>
    <w:p w14:paraId="2F73E487" w14:textId="77777777" w:rsidR="00154C41" w:rsidRDefault="00154C41" w:rsidP="00154C41">
      <w:pPr>
        <w:pStyle w:val="13"/>
      </w:pPr>
      <w:r>
        <w:t>3．结合所收集和分析的数据，按绩效评价相关规定及要求运用科学合理的评价方法对项目绩效进行综合评价，对各项指标进行具体计算、分析并给出各指标的评价结果及项目的绩效评价结论。</w:t>
      </w:r>
    </w:p>
    <w:p w14:paraId="0C12E06B" w14:textId="77777777" w:rsidR="00154C41" w:rsidRDefault="00154C41" w:rsidP="00154C41">
      <w:pPr>
        <w:pStyle w:val="13"/>
      </w:pPr>
      <w:r>
        <w:rPr>
          <w:rFonts w:hint="eastAsia"/>
        </w:rPr>
        <w:t>（三）绩效评价报告的编制和提交阶段</w:t>
      </w:r>
    </w:p>
    <w:p w14:paraId="4B382663" w14:textId="77777777" w:rsidR="00154C41" w:rsidRDefault="00154C41" w:rsidP="00154C41">
      <w:pPr>
        <w:pStyle w:val="13"/>
      </w:pPr>
      <w:r>
        <w:t>1．根据各指标的评价结果及项目的整体评价结论，按绩效评价相关规定及要求编制绩效评价报告。</w:t>
      </w:r>
    </w:p>
    <w:p w14:paraId="442582AD" w14:textId="77777777" w:rsidR="00154C41" w:rsidRDefault="00154C41" w:rsidP="00154C41">
      <w:pPr>
        <w:pStyle w:val="13"/>
      </w:pPr>
      <w:r>
        <w:t>2．与委托方就绩效评价报告进行充分沟通。</w:t>
      </w:r>
    </w:p>
    <w:p w14:paraId="6E12F119" w14:textId="77777777" w:rsidR="00154C41" w:rsidRDefault="00154C41" w:rsidP="00154C41">
      <w:pPr>
        <w:pStyle w:val="13"/>
      </w:pPr>
      <w:r>
        <w:t>3．履行评估机构内部审核程序。</w:t>
      </w:r>
    </w:p>
    <w:p w14:paraId="67B84C82" w14:textId="77777777" w:rsidR="00154C41" w:rsidRDefault="00154C41" w:rsidP="00154C41">
      <w:pPr>
        <w:pStyle w:val="13"/>
      </w:pPr>
      <w:r>
        <w:t>4．提交绩效评价报告。</w:t>
      </w:r>
    </w:p>
    <w:p w14:paraId="245BFDF5" w14:textId="77777777" w:rsidR="00154C41" w:rsidRDefault="00154C41" w:rsidP="00154C41">
      <w:pPr>
        <w:pStyle w:val="13"/>
      </w:pPr>
      <w:r>
        <w:t>5．工作底稿归档。</w:t>
      </w:r>
    </w:p>
    <w:p w14:paraId="782A549A" w14:textId="5FEFD62F" w:rsidR="00154C41" w:rsidRDefault="00E05BDA" w:rsidP="00154C41">
      <w:pPr>
        <w:pStyle w:val="13"/>
        <w:ind w:firstLine="482"/>
      </w:pPr>
      <w:r w:rsidRPr="00E05BDA">
        <w:rPr>
          <w:rFonts w:hint="eastAsia"/>
          <w:b/>
        </w:rPr>
        <w:t xml:space="preserve">第十六条 </w:t>
      </w:r>
      <w:r w:rsidR="00154C41">
        <w:t>绩效评价业务遵循委托方付费的原则，委托方与评估机构另有约定的，从其约定。涉及对相关法律权属及技术应用等需要进行鉴定或咨询的，相关费用通常由委托方承担。</w:t>
      </w:r>
    </w:p>
    <w:p w14:paraId="0AFC856B" w14:textId="08351CFD" w:rsidR="00154C41" w:rsidRDefault="00E05BDA" w:rsidP="00154C41">
      <w:pPr>
        <w:pStyle w:val="13"/>
        <w:ind w:firstLine="482"/>
      </w:pPr>
      <w:r w:rsidRPr="00E05BDA">
        <w:rPr>
          <w:rFonts w:hint="eastAsia"/>
          <w:b/>
        </w:rPr>
        <w:t xml:space="preserve">第十七条 </w:t>
      </w:r>
      <w:r w:rsidR="00154C41">
        <w:t>评估机构在决定承接绩效评价业务后，应当与委托方签订业务约定书。</w:t>
      </w:r>
      <w:r w:rsidR="00154C41">
        <w:lastRenderedPageBreak/>
        <w:t>业务约定书通常包括：</w:t>
      </w:r>
    </w:p>
    <w:p w14:paraId="14971BE3" w14:textId="77777777" w:rsidR="00154C41" w:rsidRDefault="00154C41" w:rsidP="00154C41">
      <w:pPr>
        <w:pStyle w:val="13"/>
      </w:pPr>
      <w:r>
        <w:rPr>
          <w:rFonts w:hint="eastAsia"/>
        </w:rPr>
        <w:t>（一）评估机构和委托方的名称；</w:t>
      </w:r>
    </w:p>
    <w:p w14:paraId="041587EB" w14:textId="77777777" w:rsidR="00154C41" w:rsidRDefault="00154C41" w:rsidP="00154C41">
      <w:pPr>
        <w:pStyle w:val="13"/>
      </w:pPr>
      <w:r>
        <w:rPr>
          <w:rFonts w:hint="eastAsia"/>
        </w:rPr>
        <w:t>（二）绩效评价报告使用者；</w:t>
      </w:r>
    </w:p>
    <w:p w14:paraId="490BFB8B" w14:textId="77777777" w:rsidR="00154C41" w:rsidRDefault="00154C41" w:rsidP="00154C41">
      <w:pPr>
        <w:pStyle w:val="13"/>
      </w:pPr>
      <w:r>
        <w:rPr>
          <w:rFonts w:hint="eastAsia"/>
        </w:rPr>
        <w:t>（三）绩效评价对象和内容；</w:t>
      </w:r>
    </w:p>
    <w:p w14:paraId="6BBDCDAC" w14:textId="77777777" w:rsidR="00154C41" w:rsidRDefault="00154C41" w:rsidP="00154C41">
      <w:pPr>
        <w:pStyle w:val="13"/>
      </w:pPr>
      <w:r>
        <w:rPr>
          <w:rFonts w:hint="eastAsia"/>
        </w:rPr>
        <w:t>（四）绩效评价报告提交期限和方式；</w:t>
      </w:r>
    </w:p>
    <w:p w14:paraId="6B8838F1" w14:textId="77777777" w:rsidR="00154C41" w:rsidRDefault="00154C41" w:rsidP="00154C41">
      <w:pPr>
        <w:pStyle w:val="13"/>
      </w:pPr>
      <w:r>
        <w:rPr>
          <w:rFonts w:hint="eastAsia"/>
        </w:rPr>
        <w:t>（五）绩效评价服务费总额、支付时间和方式；</w:t>
      </w:r>
    </w:p>
    <w:p w14:paraId="63FD6052" w14:textId="77777777" w:rsidR="00154C41" w:rsidRDefault="00154C41" w:rsidP="00154C41">
      <w:pPr>
        <w:pStyle w:val="13"/>
      </w:pPr>
      <w:r>
        <w:rPr>
          <w:rFonts w:hint="eastAsia"/>
        </w:rPr>
        <w:t>（六）评估机构和委托方的其他权利和义务；</w:t>
      </w:r>
    </w:p>
    <w:p w14:paraId="0A6523DA" w14:textId="77777777" w:rsidR="00154C41" w:rsidRDefault="00154C41" w:rsidP="00154C41">
      <w:pPr>
        <w:pStyle w:val="13"/>
      </w:pPr>
      <w:r>
        <w:rPr>
          <w:rFonts w:hint="eastAsia"/>
        </w:rPr>
        <w:t>（七）绩效评价报告的使用限制；</w:t>
      </w:r>
    </w:p>
    <w:p w14:paraId="651D118C" w14:textId="77777777" w:rsidR="00154C41" w:rsidRDefault="00154C41" w:rsidP="00154C41">
      <w:pPr>
        <w:pStyle w:val="13"/>
      </w:pPr>
      <w:r>
        <w:rPr>
          <w:rFonts w:hint="eastAsia"/>
        </w:rPr>
        <w:t>（八）保密条款；</w:t>
      </w:r>
    </w:p>
    <w:p w14:paraId="27372045" w14:textId="77777777" w:rsidR="00154C41" w:rsidRDefault="00154C41" w:rsidP="00154C41">
      <w:pPr>
        <w:pStyle w:val="13"/>
      </w:pPr>
      <w:r>
        <w:rPr>
          <w:rFonts w:hint="eastAsia"/>
        </w:rPr>
        <w:t>（九）违约责任和争议解决；</w:t>
      </w:r>
    </w:p>
    <w:p w14:paraId="08DDCCF0" w14:textId="77777777" w:rsidR="00154C41" w:rsidRDefault="00154C41" w:rsidP="00154C41">
      <w:pPr>
        <w:pStyle w:val="13"/>
      </w:pPr>
      <w:r>
        <w:rPr>
          <w:rFonts w:hint="eastAsia"/>
        </w:rPr>
        <w:t>（十）签约时间；</w:t>
      </w:r>
    </w:p>
    <w:p w14:paraId="400BCCCF" w14:textId="77777777" w:rsidR="00154C41" w:rsidRDefault="00154C41" w:rsidP="00154C41">
      <w:pPr>
        <w:pStyle w:val="13"/>
      </w:pPr>
      <w:r>
        <w:rPr>
          <w:rFonts w:hint="eastAsia"/>
        </w:rPr>
        <w:t>（十一）其他必要的约定。</w:t>
      </w:r>
    </w:p>
    <w:p w14:paraId="2E22F563" w14:textId="77777777" w:rsidR="00154C41" w:rsidRDefault="00154C41" w:rsidP="00AF7342">
      <w:pPr>
        <w:pStyle w:val="a9"/>
        <w:spacing w:before="62" w:after="62"/>
      </w:pPr>
      <w:r>
        <w:rPr>
          <w:rFonts w:hint="eastAsia"/>
        </w:rPr>
        <w:t>第五章</w:t>
      </w:r>
      <w:r>
        <w:t xml:space="preserve"> 绩效评价方案</w:t>
      </w:r>
    </w:p>
    <w:p w14:paraId="60A4E1BE" w14:textId="2818ED66" w:rsidR="00154C41" w:rsidRDefault="00E05BDA" w:rsidP="00154C41">
      <w:pPr>
        <w:pStyle w:val="13"/>
        <w:ind w:firstLine="482"/>
      </w:pPr>
      <w:r w:rsidRPr="00E05BDA">
        <w:rPr>
          <w:rFonts w:hint="eastAsia"/>
          <w:b/>
        </w:rPr>
        <w:t xml:space="preserve">第十八条 </w:t>
      </w:r>
      <w:r w:rsidR="00154C41">
        <w:t>评估机构在制定绩效评价方案之前，应当收集所需的相关资料，通常包括：</w:t>
      </w:r>
    </w:p>
    <w:p w14:paraId="307526B8" w14:textId="77777777" w:rsidR="00154C41" w:rsidRDefault="00154C41" w:rsidP="00154C41">
      <w:pPr>
        <w:pStyle w:val="13"/>
      </w:pPr>
      <w:r>
        <w:rPr>
          <w:rFonts w:hint="eastAsia"/>
        </w:rPr>
        <w:t>（一）与项目相关的法律法规和规章制度；</w:t>
      </w:r>
    </w:p>
    <w:p w14:paraId="195B1B84" w14:textId="77777777" w:rsidR="00154C41" w:rsidRDefault="00154C41" w:rsidP="00154C41">
      <w:pPr>
        <w:pStyle w:val="13"/>
      </w:pPr>
      <w:r>
        <w:rPr>
          <w:rFonts w:hint="eastAsia"/>
        </w:rPr>
        <w:t>（二）与项目相关的各级政府制定的国民经济与社会发展规划、方针政策；</w:t>
      </w:r>
    </w:p>
    <w:p w14:paraId="573B530B" w14:textId="77777777" w:rsidR="00154C41" w:rsidRDefault="00154C41" w:rsidP="00154C41">
      <w:pPr>
        <w:pStyle w:val="13"/>
      </w:pPr>
      <w:r>
        <w:rPr>
          <w:rFonts w:hint="eastAsia"/>
        </w:rPr>
        <w:t>（三）相关行业政策、行业标准及专业技术规范；</w:t>
      </w:r>
    </w:p>
    <w:p w14:paraId="19EDC0C3" w14:textId="77777777" w:rsidR="00154C41" w:rsidRDefault="00154C41" w:rsidP="00154C41">
      <w:pPr>
        <w:pStyle w:val="13"/>
      </w:pPr>
      <w:r>
        <w:rPr>
          <w:rFonts w:hint="eastAsia"/>
        </w:rPr>
        <w:t>（四）各级政府或财政部门关于财政支出绩效评价的管理办法及规定；</w:t>
      </w:r>
    </w:p>
    <w:p w14:paraId="5108C4AB" w14:textId="77777777" w:rsidR="00154C41" w:rsidRDefault="00154C41" w:rsidP="00154C41">
      <w:pPr>
        <w:pStyle w:val="13"/>
      </w:pPr>
      <w:r>
        <w:rPr>
          <w:rFonts w:hint="eastAsia"/>
        </w:rPr>
        <w:t>（五）上级部门审查报告及财政监督检查报告；</w:t>
      </w:r>
    </w:p>
    <w:p w14:paraId="586DA711" w14:textId="77777777" w:rsidR="00154C41" w:rsidRDefault="00154C41" w:rsidP="00154C41">
      <w:pPr>
        <w:pStyle w:val="13"/>
      </w:pPr>
      <w:r>
        <w:rPr>
          <w:rFonts w:hint="eastAsia"/>
        </w:rPr>
        <w:t>（六）预算部门职能职责、发展规划、年度工作计划及工作目标；</w:t>
      </w:r>
    </w:p>
    <w:p w14:paraId="01AF13F1" w14:textId="77777777" w:rsidR="00154C41" w:rsidRDefault="00154C41" w:rsidP="00154C41">
      <w:pPr>
        <w:pStyle w:val="13"/>
      </w:pPr>
      <w:r>
        <w:rPr>
          <w:rFonts w:hint="eastAsia"/>
        </w:rPr>
        <w:t>（七）申请预算时提出的资金申报书、立项评价报告、项目绩效目标、财政部门预算批复、经财政部门批准的预算方案或调整方案、财政部门和预算部门年度预算执行情况及年度决算报告；</w:t>
      </w:r>
    </w:p>
    <w:p w14:paraId="349CB315" w14:textId="77777777" w:rsidR="00154C41" w:rsidRDefault="00154C41" w:rsidP="00154C41">
      <w:pPr>
        <w:pStyle w:val="13"/>
      </w:pPr>
      <w:r>
        <w:rPr>
          <w:rFonts w:hint="eastAsia"/>
        </w:rPr>
        <w:t>（八）预算管理制度、资金及财务管理办法、资金使用概况、专项审计报告等财务会计资料；</w:t>
      </w:r>
    </w:p>
    <w:p w14:paraId="7A8EFEC0" w14:textId="77777777" w:rsidR="00154C41" w:rsidRDefault="00154C41" w:rsidP="00154C41">
      <w:pPr>
        <w:pStyle w:val="13"/>
      </w:pPr>
      <w:r>
        <w:rPr>
          <w:rFonts w:hint="eastAsia"/>
        </w:rPr>
        <w:t>（九）项目管理制度、项目管理数据、项目（部门）年度或季度工作总结；</w:t>
      </w:r>
    </w:p>
    <w:p w14:paraId="5ACFFF96" w14:textId="77777777" w:rsidR="00154C41" w:rsidRDefault="00154C41" w:rsidP="00154C41">
      <w:pPr>
        <w:pStyle w:val="13"/>
      </w:pPr>
      <w:r>
        <w:rPr>
          <w:rFonts w:hint="eastAsia"/>
        </w:rPr>
        <w:t>（十）项目竣工验收报告、竣工财务决算和有关财务资料（预算执行报告）；</w:t>
      </w:r>
    </w:p>
    <w:p w14:paraId="788D16CC" w14:textId="77777777" w:rsidR="00154C41" w:rsidRDefault="00154C41" w:rsidP="00154C41">
      <w:pPr>
        <w:pStyle w:val="13"/>
      </w:pPr>
      <w:r>
        <w:rPr>
          <w:rFonts w:hint="eastAsia"/>
        </w:rPr>
        <w:t>（十一）绩效自评报告、上年度绩效评价报告或相关总结；</w:t>
      </w:r>
    </w:p>
    <w:p w14:paraId="57B0933C" w14:textId="77777777" w:rsidR="00154C41" w:rsidRDefault="00154C41" w:rsidP="00154C41">
      <w:pPr>
        <w:pStyle w:val="13"/>
      </w:pPr>
      <w:r>
        <w:rPr>
          <w:rFonts w:hint="eastAsia"/>
        </w:rPr>
        <w:t>（十二）其他相关资料。</w:t>
      </w:r>
    </w:p>
    <w:p w14:paraId="2C0D39D8" w14:textId="5F707C6C" w:rsidR="00154C41" w:rsidRDefault="00E05BDA" w:rsidP="00154C41">
      <w:pPr>
        <w:pStyle w:val="13"/>
        <w:ind w:firstLine="482"/>
      </w:pPr>
      <w:r w:rsidRPr="00E05BDA">
        <w:rPr>
          <w:rFonts w:hint="eastAsia"/>
          <w:b/>
        </w:rPr>
        <w:t xml:space="preserve">第十九条 </w:t>
      </w:r>
      <w:r w:rsidR="00154C41">
        <w:t>绩效评价方案应当满足以下要求：</w:t>
      </w:r>
    </w:p>
    <w:p w14:paraId="1270CD2B" w14:textId="77777777" w:rsidR="00154C41" w:rsidRDefault="00154C41" w:rsidP="00154C41">
      <w:pPr>
        <w:pStyle w:val="13"/>
      </w:pPr>
      <w:r>
        <w:rPr>
          <w:rFonts w:hint="eastAsia"/>
        </w:rPr>
        <w:t>（一）可行性</w:t>
      </w:r>
    </w:p>
    <w:p w14:paraId="0C7B98DB" w14:textId="77777777" w:rsidR="00154C41" w:rsidRDefault="00154C41" w:rsidP="00154C41">
      <w:pPr>
        <w:pStyle w:val="13"/>
      </w:pPr>
      <w:r>
        <w:rPr>
          <w:rFonts w:hint="eastAsia"/>
        </w:rPr>
        <w:t>绩效评价方案应当具体、清晰、具有可操作性，内容通常包括项目的背景、评价目的、评价对象和范围、绩效评价指标体系、评价方法、各项指标数据的收集方法、</w:t>
      </w:r>
      <w:r>
        <w:rPr>
          <w:rFonts w:hint="eastAsia"/>
        </w:rPr>
        <w:lastRenderedPageBreak/>
        <w:t>评价人员分工、评价计划、管理控制等。</w:t>
      </w:r>
    </w:p>
    <w:p w14:paraId="7CA3BFCE" w14:textId="77777777" w:rsidR="00154C41" w:rsidRDefault="00154C41" w:rsidP="00154C41">
      <w:pPr>
        <w:pStyle w:val="13"/>
      </w:pPr>
      <w:r>
        <w:rPr>
          <w:rFonts w:hint="eastAsia"/>
        </w:rPr>
        <w:t>（二）客观性</w:t>
      </w:r>
    </w:p>
    <w:p w14:paraId="31022F28" w14:textId="77777777" w:rsidR="00154C41" w:rsidRDefault="00154C41" w:rsidP="00154C41">
      <w:pPr>
        <w:pStyle w:val="13"/>
      </w:pPr>
      <w:r>
        <w:rPr>
          <w:rFonts w:hint="eastAsia"/>
        </w:rPr>
        <w:t>在对项目概况进行描述时，应当遵守客观公正原则，按照客观事实进行描述。</w:t>
      </w:r>
    </w:p>
    <w:p w14:paraId="3BD7EBF8" w14:textId="77777777" w:rsidR="00154C41" w:rsidRDefault="00154C41" w:rsidP="00154C41">
      <w:pPr>
        <w:pStyle w:val="13"/>
      </w:pPr>
      <w:r>
        <w:rPr>
          <w:rFonts w:hint="eastAsia"/>
        </w:rPr>
        <w:t>（三）科学性</w:t>
      </w:r>
    </w:p>
    <w:p w14:paraId="65846C26" w14:textId="77777777" w:rsidR="00154C41" w:rsidRDefault="00154C41" w:rsidP="00154C41">
      <w:pPr>
        <w:pStyle w:val="13"/>
      </w:pPr>
      <w:r>
        <w:rPr>
          <w:rFonts w:hint="eastAsia"/>
        </w:rPr>
        <w:t>绩效评价方案中，绩效评价指标及指标权重的设定合理反映项目特性，评价方法选择恰当，绩效评价指标数据的收集方法合理。</w:t>
      </w:r>
    </w:p>
    <w:p w14:paraId="2435CC97" w14:textId="77777777" w:rsidR="00154C41" w:rsidRDefault="00154C41" w:rsidP="00154C41">
      <w:pPr>
        <w:pStyle w:val="13"/>
      </w:pPr>
      <w:r>
        <w:rPr>
          <w:rFonts w:hint="eastAsia"/>
        </w:rPr>
        <w:t>（四）简明性</w:t>
      </w:r>
    </w:p>
    <w:p w14:paraId="3EF68E14" w14:textId="77777777" w:rsidR="00154C41" w:rsidRDefault="00154C41" w:rsidP="00154C41">
      <w:pPr>
        <w:pStyle w:val="13"/>
      </w:pPr>
      <w:r>
        <w:rPr>
          <w:rFonts w:hint="eastAsia"/>
        </w:rPr>
        <w:t>绩效评价方案应当主次分明、语言精炼、逻辑清晰，语言表述提纲挈领、简明扼要、易于理解。</w:t>
      </w:r>
    </w:p>
    <w:p w14:paraId="13B56B36" w14:textId="7016C1E8" w:rsidR="00154C41" w:rsidRDefault="00E05BDA" w:rsidP="00154C41">
      <w:pPr>
        <w:pStyle w:val="13"/>
        <w:ind w:firstLine="482"/>
      </w:pPr>
      <w:r w:rsidRPr="00E05BDA">
        <w:rPr>
          <w:rFonts w:hint="eastAsia"/>
          <w:b/>
        </w:rPr>
        <w:t xml:space="preserve">第二十条 </w:t>
      </w:r>
      <w:r w:rsidR="00154C41">
        <w:t>绩效评价方案通常包括：</w:t>
      </w:r>
    </w:p>
    <w:p w14:paraId="31DEB735" w14:textId="77777777" w:rsidR="00154C41" w:rsidRDefault="00154C41" w:rsidP="00154C41">
      <w:pPr>
        <w:pStyle w:val="13"/>
      </w:pPr>
      <w:r>
        <w:rPr>
          <w:rFonts w:hint="eastAsia"/>
        </w:rPr>
        <w:t>（一）项目基本情况</w:t>
      </w:r>
    </w:p>
    <w:p w14:paraId="482735C2" w14:textId="77777777" w:rsidR="00154C41" w:rsidRDefault="00154C41" w:rsidP="00154C41">
      <w:pPr>
        <w:pStyle w:val="13"/>
      </w:pPr>
      <w:r>
        <w:t>1．项目立项的背景、目的及依据。</w:t>
      </w:r>
    </w:p>
    <w:p w14:paraId="23463496" w14:textId="77777777" w:rsidR="00154C41" w:rsidRDefault="00154C41" w:rsidP="00154C41">
      <w:pPr>
        <w:pStyle w:val="13"/>
      </w:pPr>
      <w:r>
        <w:t>2．项目预算及资金使用情况。</w:t>
      </w:r>
    </w:p>
    <w:p w14:paraId="575C218D" w14:textId="77777777" w:rsidR="00154C41" w:rsidRDefault="00154C41" w:rsidP="00154C41">
      <w:pPr>
        <w:pStyle w:val="13"/>
      </w:pPr>
      <w:r>
        <w:t>3．项目计划实施内容。</w:t>
      </w:r>
    </w:p>
    <w:p w14:paraId="04800DDF" w14:textId="77777777" w:rsidR="00154C41" w:rsidRDefault="00154C41" w:rsidP="00154C41">
      <w:pPr>
        <w:pStyle w:val="13"/>
      </w:pPr>
      <w:r>
        <w:rPr>
          <w:rFonts w:hint="eastAsia"/>
        </w:rPr>
        <w:t>项目实施的具体内容（或政策受益条件及受益范围）、项目范围、项目所在区域、资金投向、项目开始及计划完成时间等。如果项目在实施期内，内容发生变更，应当说明变更的内容、依据及变更审批程序。</w:t>
      </w:r>
    </w:p>
    <w:p w14:paraId="3FA0C9DA" w14:textId="77777777" w:rsidR="00154C41" w:rsidRDefault="00154C41" w:rsidP="00154C41">
      <w:pPr>
        <w:pStyle w:val="13"/>
      </w:pPr>
      <w:r>
        <w:t>4．项目绩效目标。</w:t>
      </w:r>
    </w:p>
    <w:p w14:paraId="166C7F9F" w14:textId="77777777" w:rsidR="00154C41" w:rsidRDefault="00154C41" w:rsidP="00154C41">
      <w:pPr>
        <w:pStyle w:val="13"/>
      </w:pPr>
      <w:r>
        <w:rPr>
          <w:rFonts w:hint="eastAsia"/>
        </w:rPr>
        <w:t>绩效目标是指绩效评价对象计划在一定期限内达到的产出和效果。绩效目标要根据各级政府关于预算编制的总体要求和财政部门的具体部署、国民经济和社会发展规划、部门职责及事业发展规划，科学合理地测算资金需求进行编制。绩效目标通常包括：</w:t>
      </w:r>
    </w:p>
    <w:p w14:paraId="5B68BEEB" w14:textId="77777777" w:rsidR="00154C41" w:rsidRDefault="00154C41" w:rsidP="00154C41">
      <w:pPr>
        <w:pStyle w:val="13"/>
      </w:pPr>
      <w:r>
        <w:rPr>
          <w:rFonts w:hint="eastAsia"/>
        </w:rPr>
        <w:t>（</w:t>
      </w:r>
      <w:r>
        <w:t>1）预期产出，包括提供的公共产品和服务的数量；</w:t>
      </w:r>
    </w:p>
    <w:p w14:paraId="5C711423" w14:textId="77777777" w:rsidR="00154C41" w:rsidRDefault="00154C41" w:rsidP="00154C41">
      <w:pPr>
        <w:pStyle w:val="13"/>
      </w:pPr>
      <w:r>
        <w:rPr>
          <w:rFonts w:hint="eastAsia"/>
        </w:rPr>
        <w:t>（</w:t>
      </w:r>
      <w:r>
        <w:t>2）预期效果，包括经济效益、社会效益、环境效益和</w:t>
      </w:r>
      <w:proofErr w:type="gramStart"/>
      <w:r>
        <w:t>可</w:t>
      </w:r>
      <w:proofErr w:type="gramEnd"/>
      <w:r>
        <w:t>持续影响等；</w:t>
      </w:r>
    </w:p>
    <w:p w14:paraId="791E6997" w14:textId="77777777" w:rsidR="00154C41" w:rsidRDefault="00154C41" w:rsidP="00154C41">
      <w:pPr>
        <w:pStyle w:val="13"/>
      </w:pPr>
      <w:r>
        <w:rPr>
          <w:rFonts w:hint="eastAsia"/>
        </w:rPr>
        <w:t>（</w:t>
      </w:r>
      <w:r>
        <w:t>3）服务对象或项目受益人满意程度；</w:t>
      </w:r>
    </w:p>
    <w:p w14:paraId="1EC5AEC2" w14:textId="77777777" w:rsidR="00154C41" w:rsidRDefault="00154C41" w:rsidP="00154C41">
      <w:pPr>
        <w:pStyle w:val="13"/>
      </w:pPr>
      <w:r>
        <w:rPr>
          <w:rFonts w:hint="eastAsia"/>
        </w:rPr>
        <w:t>（</w:t>
      </w:r>
      <w:r>
        <w:t>4）达到预期产出所需要的成本资源；</w:t>
      </w:r>
    </w:p>
    <w:p w14:paraId="20CE0758" w14:textId="77777777" w:rsidR="00154C41" w:rsidRDefault="00154C41" w:rsidP="00154C41">
      <w:pPr>
        <w:pStyle w:val="13"/>
      </w:pPr>
      <w:r>
        <w:rPr>
          <w:rFonts w:hint="eastAsia"/>
        </w:rPr>
        <w:t>（</w:t>
      </w:r>
      <w:r>
        <w:t>5）衡量预期产出、预期效果和服务对象满意程度的绩效指标；</w:t>
      </w:r>
    </w:p>
    <w:p w14:paraId="1AFC7DA8" w14:textId="77777777" w:rsidR="00154C41" w:rsidRDefault="00154C41" w:rsidP="00154C41">
      <w:pPr>
        <w:pStyle w:val="13"/>
      </w:pPr>
      <w:r>
        <w:rPr>
          <w:rFonts w:hint="eastAsia"/>
        </w:rPr>
        <w:t>（</w:t>
      </w:r>
      <w:r>
        <w:t>6）其他。</w:t>
      </w:r>
    </w:p>
    <w:p w14:paraId="636D62D5" w14:textId="77777777" w:rsidR="00154C41" w:rsidRDefault="00154C41" w:rsidP="00154C41">
      <w:pPr>
        <w:pStyle w:val="13"/>
      </w:pPr>
      <w:r>
        <w:rPr>
          <w:rFonts w:hint="eastAsia"/>
        </w:rPr>
        <w:t>绩效目标是设定绩效评价指标体系的基础。评估机构在制定方案的过程中，应当明确项目在考核期间的绩效目标。如果项目在申请预算时缺少绩效目标、绩效目标不明确或绩效目标有偏差，评估机构应当与委托方进行沟通，根据评价依据及项目客观情况确定合理的绩效目标。</w:t>
      </w:r>
    </w:p>
    <w:p w14:paraId="7675662F" w14:textId="77777777" w:rsidR="00154C41" w:rsidRDefault="00154C41" w:rsidP="00154C41">
      <w:pPr>
        <w:pStyle w:val="13"/>
      </w:pPr>
      <w:r>
        <w:t>5．项目的组织及管理。</w:t>
      </w:r>
    </w:p>
    <w:p w14:paraId="10DE0CFE" w14:textId="77777777" w:rsidR="00154C41" w:rsidRDefault="00154C41" w:rsidP="00154C41">
      <w:pPr>
        <w:pStyle w:val="13"/>
      </w:pPr>
      <w:r>
        <w:rPr>
          <w:rFonts w:hint="eastAsia"/>
        </w:rPr>
        <w:t>主要反映项目管理的组织结构，包括项目的主管部门及实施部门的各自职责，项</w:t>
      </w:r>
      <w:r>
        <w:rPr>
          <w:rFonts w:hint="eastAsia"/>
        </w:rPr>
        <w:lastRenderedPageBreak/>
        <w:t>目的实施流程及监管机制。</w:t>
      </w:r>
    </w:p>
    <w:p w14:paraId="31A51FC0" w14:textId="77777777" w:rsidR="00154C41" w:rsidRDefault="00154C41" w:rsidP="00154C41">
      <w:pPr>
        <w:pStyle w:val="13"/>
      </w:pPr>
      <w:r>
        <w:t>6．利益相关方。</w:t>
      </w:r>
    </w:p>
    <w:p w14:paraId="26BFDA6C" w14:textId="77777777" w:rsidR="00154C41" w:rsidRDefault="00154C41" w:rsidP="00154C41">
      <w:pPr>
        <w:pStyle w:val="13"/>
      </w:pPr>
      <w:r>
        <w:rPr>
          <w:rFonts w:hint="eastAsia"/>
        </w:rPr>
        <w:t>明确项目利益相关方，分析各利益相关方如何参与项目立项、实施及运行，项目的利益相关方通常包括：</w:t>
      </w:r>
    </w:p>
    <w:p w14:paraId="292B3AA0" w14:textId="77777777" w:rsidR="00154C41" w:rsidRDefault="00154C41" w:rsidP="00154C41">
      <w:pPr>
        <w:pStyle w:val="13"/>
      </w:pPr>
      <w:r>
        <w:rPr>
          <w:rFonts w:hint="eastAsia"/>
        </w:rPr>
        <w:t>（</w:t>
      </w:r>
      <w:r>
        <w:t>1）项目的主管部门、预算部门及项目实施单位；</w:t>
      </w:r>
    </w:p>
    <w:p w14:paraId="7A74DA59" w14:textId="77777777" w:rsidR="00154C41" w:rsidRDefault="00154C41" w:rsidP="00154C41">
      <w:pPr>
        <w:pStyle w:val="13"/>
      </w:pPr>
      <w:r>
        <w:rPr>
          <w:rFonts w:hint="eastAsia"/>
        </w:rPr>
        <w:t>（</w:t>
      </w:r>
      <w:r>
        <w:t>2）与项目相关的其他政府部门；</w:t>
      </w:r>
    </w:p>
    <w:p w14:paraId="6FE97A72" w14:textId="77777777" w:rsidR="00154C41" w:rsidRDefault="00154C41" w:rsidP="00154C41">
      <w:pPr>
        <w:pStyle w:val="13"/>
      </w:pPr>
      <w:r>
        <w:rPr>
          <w:rFonts w:hint="eastAsia"/>
        </w:rPr>
        <w:t>（</w:t>
      </w:r>
      <w:r>
        <w:t>3）项目的直接受益者、间接受益者；</w:t>
      </w:r>
    </w:p>
    <w:p w14:paraId="6B0B59D4" w14:textId="77777777" w:rsidR="00154C41" w:rsidRDefault="00154C41" w:rsidP="00154C41">
      <w:pPr>
        <w:pStyle w:val="13"/>
      </w:pPr>
      <w:r>
        <w:rPr>
          <w:rFonts w:hint="eastAsia"/>
        </w:rPr>
        <w:t>（</w:t>
      </w:r>
      <w:r>
        <w:t>4）公众等其他利益相关方。</w:t>
      </w:r>
    </w:p>
    <w:p w14:paraId="2D8201F1" w14:textId="77777777" w:rsidR="00154C41" w:rsidRDefault="00154C41" w:rsidP="00154C41">
      <w:pPr>
        <w:pStyle w:val="13"/>
      </w:pPr>
      <w:r>
        <w:t>7．其他可能对项目绩效产生重要影响的情况。</w:t>
      </w:r>
    </w:p>
    <w:p w14:paraId="6F9151FD" w14:textId="77777777" w:rsidR="00154C41" w:rsidRDefault="00154C41" w:rsidP="00154C41">
      <w:pPr>
        <w:pStyle w:val="13"/>
      </w:pPr>
      <w:r>
        <w:rPr>
          <w:rFonts w:hint="eastAsia"/>
        </w:rPr>
        <w:t>（二）绩效评价思路</w:t>
      </w:r>
    </w:p>
    <w:p w14:paraId="35035624" w14:textId="77777777" w:rsidR="00154C41" w:rsidRDefault="00154C41" w:rsidP="00154C41">
      <w:pPr>
        <w:pStyle w:val="13"/>
      </w:pPr>
      <w:r>
        <w:t>1．绩效评价目的和依据。</w:t>
      </w:r>
    </w:p>
    <w:p w14:paraId="5C0C6709" w14:textId="77777777" w:rsidR="00154C41" w:rsidRDefault="00154C41" w:rsidP="00154C41">
      <w:pPr>
        <w:pStyle w:val="13"/>
      </w:pPr>
      <w:r>
        <w:rPr>
          <w:rFonts w:hint="eastAsia"/>
        </w:rPr>
        <w:t>评价目的是整个绩效评价工作开展所要达到的目标和结果，体现评价工作的最终价值，是整个评价工作的基本导向。</w:t>
      </w:r>
    </w:p>
    <w:p w14:paraId="62D9BACE" w14:textId="77777777" w:rsidR="00154C41" w:rsidRDefault="00154C41" w:rsidP="00154C41">
      <w:pPr>
        <w:pStyle w:val="13"/>
      </w:pPr>
      <w:r>
        <w:rPr>
          <w:rFonts w:hint="eastAsia"/>
        </w:rPr>
        <w:t>绩效评价依据通常包括与项目相关的法律、法规和规章制度，国民经济与社会发展规划和方针政策，预算部门职能职责、中长期发展规划及年度工作计划，预算管理制度、资金及财务管理办法、经财政部门批准的预算方案或调整方案、财务会计资料，相关行业政策、行业标准及专业技术规范，各级政府或财政部门关于财政支出绩效评价的管理办法及规定等。</w:t>
      </w:r>
    </w:p>
    <w:p w14:paraId="55E05850" w14:textId="77777777" w:rsidR="00154C41" w:rsidRDefault="00154C41" w:rsidP="00154C41">
      <w:pPr>
        <w:pStyle w:val="13"/>
      </w:pPr>
      <w:r>
        <w:t>2．绩效评价对象及评价内容。</w:t>
      </w:r>
    </w:p>
    <w:p w14:paraId="1AA8C8FC" w14:textId="77777777" w:rsidR="00154C41" w:rsidRDefault="00154C41" w:rsidP="00154C41">
      <w:pPr>
        <w:pStyle w:val="13"/>
      </w:pPr>
      <w:r>
        <w:rPr>
          <w:rFonts w:hint="eastAsia"/>
        </w:rPr>
        <w:t>绩效评价的对象包括纳入政府预算管理的资金和纳入部门预算管理的资金。按照预算级次，可分为本级部门预算管理的资金和上级政府对下级政府的转移支付资金。</w:t>
      </w:r>
    </w:p>
    <w:p w14:paraId="58332FCE" w14:textId="77777777" w:rsidR="00154C41" w:rsidRDefault="00154C41" w:rsidP="00154C41">
      <w:pPr>
        <w:pStyle w:val="13"/>
      </w:pPr>
      <w:r>
        <w:rPr>
          <w:rFonts w:hint="eastAsia"/>
        </w:rPr>
        <w:t>绩效评价的内容通常包括：绩效目标的设定情况，资金投入和使用情况，为实现绩效目标制定的制度、采取的措施等，绩效目标的实现程度与效果等。</w:t>
      </w:r>
    </w:p>
    <w:p w14:paraId="3EBDDDE2" w14:textId="77777777" w:rsidR="00154C41" w:rsidRDefault="00154C41" w:rsidP="00154C41">
      <w:pPr>
        <w:pStyle w:val="13"/>
      </w:pPr>
      <w:r>
        <w:t>3．绩效评价指标体系。</w:t>
      </w:r>
    </w:p>
    <w:p w14:paraId="14F5FE19" w14:textId="77777777" w:rsidR="00154C41" w:rsidRDefault="00154C41" w:rsidP="00154C41">
      <w:pPr>
        <w:pStyle w:val="13"/>
      </w:pPr>
      <w:r>
        <w:rPr>
          <w:rFonts w:hint="eastAsia"/>
        </w:rPr>
        <w:t>评估机构应当按照相关性、重要性、可比性、系统性及经济性原则，就项目决策、项目管理、项目绩效（产出、效果）等方面全面设定指标体系。</w:t>
      </w:r>
    </w:p>
    <w:p w14:paraId="3C21B423" w14:textId="77777777" w:rsidR="00154C41" w:rsidRDefault="00154C41" w:rsidP="00154C41">
      <w:pPr>
        <w:pStyle w:val="13"/>
      </w:pPr>
      <w:r>
        <w:t>4．绩效评价方法。</w:t>
      </w:r>
    </w:p>
    <w:p w14:paraId="74087F40" w14:textId="77777777" w:rsidR="00154C41" w:rsidRDefault="00154C41" w:rsidP="00154C41">
      <w:pPr>
        <w:pStyle w:val="13"/>
      </w:pPr>
      <w:r>
        <w:rPr>
          <w:rFonts w:hint="eastAsia"/>
        </w:rPr>
        <w:t>评估机构应当明确执行绩效评价业务所选用的绩效评价方法及其理由。</w:t>
      </w:r>
    </w:p>
    <w:p w14:paraId="0506A09B" w14:textId="77777777" w:rsidR="00154C41" w:rsidRDefault="00154C41" w:rsidP="00154C41">
      <w:pPr>
        <w:pStyle w:val="13"/>
      </w:pPr>
      <w:r>
        <w:rPr>
          <w:rFonts w:hint="eastAsia"/>
        </w:rPr>
        <w:t>（三）项目调查主要方法</w:t>
      </w:r>
    </w:p>
    <w:p w14:paraId="6A4C1294" w14:textId="77777777" w:rsidR="00154C41" w:rsidRDefault="00154C41" w:rsidP="00154C41">
      <w:pPr>
        <w:pStyle w:val="13"/>
      </w:pPr>
      <w:r>
        <w:rPr>
          <w:rFonts w:hint="eastAsia"/>
        </w:rPr>
        <w:t>评估机构在制定绩效评价方案时，应当有针对性地对项目所涉及的利益相关方开展各种形式的调查，调查方法包括案卷研究、数据填报、实地调研、座谈会及问卷调查等。绩效评价方案应当尽可能明确调查的对象、调查的方法、调查内容、日程安排、时间及地点等。如果调查对象涉及抽样，应当说明调查对象总体情况、样本总数、</w:t>
      </w:r>
      <w:r>
        <w:rPr>
          <w:rFonts w:hint="eastAsia"/>
        </w:rPr>
        <w:lastRenderedPageBreak/>
        <w:t>抽样方法及抽样比例。</w:t>
      </w:r>
    </w:p>
    <w:p w14:paraId="0371A16B" w14:textId="77777777" w:rsidR="00154C41" w:rsidRDefault="00154C41" w:rsidP="00154C41">
      <w:pPr>
        <w:pStyle w:val="13"/>
      </w:pPr>
      <w:r>
        <w:rPr>
          <w:rFonts w:hint="eastAsia"/>
        </w:rPr>
        <w:t>（四）评价工作的组织与实施</w:t>
      </w:r>
    </w:p>
    <w:p w14:paraId="394A3DB2" w14:textId="77777777" w:rsidR="00154C41" w:rsidRDefault="00154C41" w:rsidP="00154C41">
      <w:pPr>
        <w:pStyle w:val="13"/>
      </w:pPr>
      <w:r>
        <w:t>1．明确各个环节及各项工作的时间节点及工作计划。</w:t>
      </w:r>
    </w:p>
    <w:p w14:paraId="702D9580" w14:textId="77777777" w:rsidR="00154C41" w:rsidRDefault="00154C41" w:rsidP="00154C41">
      <w:pPr>
        <w:pStyle w:val="13"/>
      </w:pPr>
      <w:r>
        <w:t>2．明确项目负责人及项目团队的职责与分工。</w:t>
      </w:r>
    </w:p>
    <w:p w14:paraId="1FCD466A" w14:textId="77777777" w:rsidR="00154C41" w:rsidRDefault="00154C41" w:rsidP="00154C41">
      <w:pPr>
        <w:pStyle w:val="13"/>
      </w:pPr>
      <w:r>
        <w:t>3．明确参与评价工作各相关当事方的职责。</w:t>
      </w:r>
    </w:p>
    <w:p w14:paraId="73139AA1" w14:textId="77777777" w:rsidR="00154C41" w:rsidRDefault="00154C41" w:rsidP="00AF7342">
      <w:pPr>
        <w:pStyle w:val="a9"/>
        <w:spacing w:before="62" w:after="62"/>
      </w:pPr>
      <w:r>
        <w:rPr>
          <w:rFonts w:hint="eastAsia"/>
        </w:rPr>
        <w:t>第六章</w:t>
      </w:r>
      <w:r>
        <w:t xml:space="preserve"> 绩效评价指标、评价标准和方法</w:t>
      </w:r>
    </w:p>
    <w:p w14:paraId="2FE7CB2D" w14:textId="6D8D003A" w:rsidR="00154C41" w:rsidRDefault="00E05BDA" w:rsidP="00154C41">
      <w:pPr>
        <w:pStyle w:val="13"/>
        <w:ind w:firstLine="482"/>
      </w:pPr>
      <w:r w:rsidRPr="00E05BDA">
        <w:rPr>
          <w:rFonts w:hint="eastAsia"/>
          <w:b/>
        </w:rPr>
        <w:t xml:space="preserve">第二十一条 </w:t>
      </w:r>
      <w:r w:rsidR="00154C41">
        <w:t>绩效评价指标是衡量绩效目标实现程度的考核工具。通过将绩效业绩指标化，获取具有针对性的业绩值，为开展绩效评价工作提供基础。绩效评价指标应当充分体现和真实反映项目的绩效、绩效目标的完成情况及评价的政策需要。</w:t>
      </w:r>
    </w:p>
    <w:p w14:paraId="6A6A3D7C" w14:textId="3ADE751F" w:rsidR="00154C41" w:rsidRDefault="00E05BDA" w:rsidP="00154C41">
      <w:pPr>
        <w:pStyle w:val="13"/>
        <w:ind w:firstLine="482"/>
      </w:pPr>
      <w:r w:rsidRPr="00E05BDA">
        <w:rPr>
          <w:rFonts w:hint="eastAsia"/>
          <w:b/>
        </w:rPr>
        <w:t xml:space="preserve">第二十二条 </w:t>
      </w:r>
      <w:r w:rsidR="00154C41">
        <w:t>绩效评价指标体系通常包括具体指标、指标权重、指标解释、数据来源、评价标准及评分方法等。绩效评价指标体系设定应当满足以下原则：</w:t>
      </w:r>
    </w:p>
    <w:p w14:paraId="08C5AA79" w14:textId="77777777" w:rsidR="00154C41" w:rsidRDefault="00154C41" w:rsidP="00154C41">
      <w:pPr>
        <w:pStyle w:val="13"/>
      </w:pPr>
      <w:r>
        <w:rPr>
          <w:rFonts w:hint="eastAsia"/>
        </w:rPr>
        <w:t>（一）相关性原则</w:t>
      </w:r>
    </w:p>
    <w:p w14:paraId="22299111" w14:textId="77777777" w:rsidR="00154C41" w:rsidRDefault="00154C41" w:rsidP="00154C41">
      <w:pPr>
        <w:pStyle w:val="13"/>
      </w:pPr>
      <w:r>
        <w:rPr>
          <w:rFonts w:hint="eastAsia"/>
        </w:rPr>
        <w:t>绩效评价指标体系设定应当与绩效目标有直接的联系，能够恰当反映目标的实现程度。</w:t>
      </w:r>
    </w:p>
    <w:p w14:paraId="2FAEF9FD" w14:textId="77777777" w:rsidR="00154C41" w:rsidRDefault="00154C41" w:rsidP="00154C41">
      <w:pPr>
        <w:pStyle w:val="13"/>
      </w:pPr>
      <w:r>
        <w:rPr>
          <w:rFonts w:hint="eastAsia"/>
        </w:rPr>
        <w:t>（二）重要性原则</w:t>
      </w:r>
    </w:p>
    <w:p w14:paraId="66B93D51" w14:textId="77777777" w:rsidR="00154C41" w:rsidRDefault="00154C41" w:rsidP="00154C41">
      <w:pPr>
        <w:pStyle w:val="13"/>
      </w:pPr>
      <w:r>
        <w:rPr>
          <w:rFonts w:hint="eastAsia"/>
        </w:rPr>
        <w:t>绩效评价指标体系设定应当根据绩效评价的对象和内容优先使用最具代表性、最能反映评价要求的核心指标。</w:t>
      </w:r>
    </w:p>
    <w:p w14:paraId="6B724788" w14:textId="77777777" w:rsidR="00154C41" w:rsidRDefault="00154C41" w:rsidP="00154C41">
      <w:pPr>
        <w:pStyle w:val="13"/>
      </w:pPr>
      <w:r>
        <w:rPr>
          <w:rFonts w:hint="eastAsia"/>
        </w:rPr>
        <w:t>（三）可比性原则</w:t>
      </w:r>
    </w:p>
    <w:p w14:paraId="1A2F16F5" w14:textId="77777777" w:rsidR="00154C41" w:rsidRDefault="00154C41" w:rsidP="00154C41">
      <w:pPr>
        <w:pStyle w:val="13"/>
      </w:pPr>
      <w:r>
        <w:rPr>
          <w:rFonts w:hint="eastAsia"/>
        </w:rPr>
        <w:t>绩效评价指标体系设定应当对同类评价对象设定共性的绩效评价指标，以便于评价结果相互比较。</w:t>
      </w:r>
    </w:p>
    <w:p w14:paraId="1B9073DF" w14:textId="77777777" w:rsidR="00154C41" w:rsidRDefault="00154C41" w:rsidP="00154C41">
      <w:pPr>
        <w:pStyle w:val="13"/>
      </w:pPr>
      <w:r>
        <w:rPr>
          <w:rFonts w:hint="eastAsia"/>
        </w:rPr>
        <w:t>（四）系统性原则</w:t>
      </w:r>
    </w:p>
    <w:p w14:paraId="0FB9F4B4" w14:textId="77777777" w:rsidR="00154C41" w:rsidRDefault="00154C41" w:rsidP="00154C41">
      <w:pPr>
        <w:pStyle w:val="13"/>
      </w:pPr>
      <w:r>
        <w:rPr>
          <w:rFonts w:hint="eastAsia"/>
        </w:rPr>
        <w:t>绩效评价指标体系设定应当将定量指标与定性指标相结合，系统反映项目所产生的社会效益、经济效益、环境效益和</w:t>
      </w:r>
      <w:proofErr w:type="gramStart"/>
      <w:r>
        <w:rPr>
          <w:rFonts w:hint="eastAsia"/>
        </w:rPr>
        <w:t>可</w:t>
      </w:r>
      <w:proofErr w:type="gramEnd"/>
      <w:r>
        <w:rPr>
          <w:rFonts w:hint="eastAsia"/>
        </w:rPr>
        <w:t>持续影响等。</w:t>
      </w:r>
    </w:p>
    <w:p w14:paraId="6BED43D4" w14:textId="77777777" w:rsidR="00154C41" w:rsidRDefault="00154C41" w:rsidP="00154C41">
      <w:pPr>
        <w:pStyle w:val="13"/>
      </w:pPr>
      <w:r>
        <w:rPr>
          <w:rFonts w:hint="eastAsia"/>
        </w:rPr>
        <w:t>（五）经济性原则</w:t>
      </w:r>
    </w:p>
    <w:p w14:paraId="084FFCD4" w14:textId="77777777" w:rsidR="00154C41" w:rsidRDefault="00154C41" w:rsidP="00154C41">
      <w:pPr>
        <w:pStyle w:val="13"/>
      </w:pPr>
      <w:r>
        <w:rPr>
          <w:rFonts w:hint="eastAsia"/>
        </w:rPr>
        <w:t>绩效评价指标体系设定应当通俗易懂、简便易行，数据的获得应当考虑现实条件和可操作性，符合成本效益原则。</w:t>
      </w:r>
    </w:p>
    <w:p w14:paraId="7FA2F833" w14:textId="682E446B" w:rsidR="00154C41" w:rsidRDefault="00E05BDA" w:rsidP="00154C41">
      <w:pPr>
        <w:pStyle w:val="13"/>
        <w:ind w:firstLine="482"/>
      </w:pPr>
      <w:r w:rsidRPr="00E05BDA">
        <w:rPr>
          <w:rFonts w:hint="eastAsia"/>
          <w:b/>
        </w:rPr>
        <w:t xml:space="preserve">第二十三条 </w:t>
      </w:r>
      <w:r w:rsidR="00154C41">
        <w:t>评估机构执行绩效评价业务，应当根据评价对象的具体类型合理选择绩效评价指标。</w:t>
      </w:r>
    </w:p>
    <w:p w14:paraId="2A18BCA8" w14:textId="77777777" w:rsidR="00154C41" w:rsidRDefault="00154C41" w:rsidP="00154C41">
      <w:pPr>
        <w:pStyle w:val="13"/>
      </w:pPr>
      <w:r>
        <w:rPr>
          <w:rFonts w:hint="eastAsia"/>
        </w:rPr>
        <w:t>（一）共性指标和个性指标</w:t>
      </w:r>
    </w:p>
    <w:p w14:paraId="120A43E3" w14:textId="77777777" w:rsidR="00154C41" w:rsidRDefault="00154C41" w:rsidP="00154C41">
      <w:pPr>
        <w:pStyle w:val="13"/>
      </w:pPr>
      <w:r>
        <w:rPr>
          <w:rFonts w:hint="eastAsia"/>
        </w:rPr>
        <w:t>共性指标是适用于所有评价对象的指标，主要包括决策管理、投入管理、财务管理、项目实施及社会效益、经济效益等。共性指标可以按照预算法规、规章制度及财政支出管理办法等相关政策的要求设定。</w:t>
      </w:r>
    </w:p>
    <w:p w14:paraId="2EDB208D" w14:textId="77777777" w:rsidR="00154C41" w:rsidRDefault="00154C41" w:rsidP="00154C41">
      <w:pPr>
        <w:pStyle w:val="13"/>
      </w:pPr>
      <w:r>
        <w:rPr>
          <w:rFonts w:hint="eastAsia"/>
        </w:rPr>
        <w:t>个性指标是适用于不同预算部门或项目的业绩评价指标，主要包括经济效益指标、社会效益指标、环境效益指标及可持续影响指标等。个性指标可以针对预算部门</w:t>
      </w:r>
      <w:r>
        <w:rPr>
          <w:rFonts w:hint="eastAsia"/>
        </w:rPr>
        <w:lastRenderedPageBreak/>
        <w:t>或项目特点设定。</w:t>
      </w:r>
    </w:p>
    <w:p w14:paraId="277C86D5" w14:textId="77777777" w:rsidR="00154C41" w:rsidRDefault="00154C41" w:rsidP="00154C41">
      <w:pPr>
        <w:pStyle w:val="13"/>
      </w:pPr>
      <w:r>
        <w:rPr>
          <w:rFonts w:hint="eastAsia"/>
        </w:rPr>
        <w:t>（二）定量指标和定性指标</w:t>
      </w:r>
    </w:p>
    <w:p w14:paraId="6F4D6966" w14:textId="77777777" w:rsidR="00154C41" w:rsidRDefault="00154C41" w:rsidP="00154C41">
      <w:pPr>
        <w:pStyle w:val="13"/>
      </w:pPr>
      <w:r>
        <w:rPr>
          <w:rFonts w:hint="eastAsia"/>
        </w:rPr>
        <w:t>定量指标是可以准确地以数量定义、精确衡量并能设定绩效目标的考核指标。定量指标的评价标准值是衡量该项指标是否符合项目基本要求的评价基准。</w:t>
      </w:r>
    </w:p>
    <w:p w14:paraId="07D16DF6" w14:textId="77777777" w:rsidR="00154C41" w:rsidRDefault="00154C41" w:rsidP="00154C41">
      <w:pPr>
        <w:pStyle w:val="13"/>
      </w:pPr>
      <w:r>
        <w:rPr>
          <w:rFonts w:hint="eastAsia"/>
        </w:rPr>
        <w:t>定性指标是指无法直接通过数据分析评价对象与评价内容，需对评价对象及评价内容进行客观描述来反映评价结果的指标。</w:t>
      </w:r>
    </w:p>
    <w:p w14:paraId="08742C3F" w14:textId="1B5FDAC3" w:rsidR="00154C41" w:rsidRDefault="00E05BDA" w:rsidP="00154C41">
      <w:pPr>
        <w:pStyle w:val="13"/>
        <w:ind w:firstLine="482"/>
      </w:pPr>
      <w:r w:rsidRPr="00E05BDA">
        <w:rPr>
          <w:rFonts w:hint="eastAsia"/>
          <w:b/>
        </w:rPr>
        <w:t xml:space="preserve">第二十四条 </w:t>
      </w:r>
      <w:r w:rsidR="00154C41">
        <w:t>绩效评价指标的权重是指标在评价体系中的相对重要程度。权重表示在评价过程中，对评价对象不同侧面重要程度的定量分配，以区别对待各级评价指标在总体评价中的作用。确定指标权重的方法通常包括专家调查法、层次分析法、主成分分析法、熵值法等。</w:t>
      </w:r>
    </w:p>
    <w:p w14:paraId="6BD21100" w14:textId="1A991E3F" w:rsidR="00154C41" w:rsidRDefault="00E05BDA" w:rsidP="00154C41">
      <w:pPr>
        <w:pStyle w:val="13"/>
        <w:ind w:firstLine="482"/>
      </w:pPr>
      <w:r w:rsidRPr="00E05BDA">
        <w:rPr>
          <w:rFonts w:hint="eastAsia"/>
          <w:b/>
        </w:rPr>
        <w:t xml:space="preserve">第二十五条 </w:t>
      </w:r>
      <w:r w:rsidR="00154C41">
        <w:t>绩效评价标准是指衡量绩效目标完成程度的尺度。评估机构执行绩效评价业务，应当以评价对象的性质和具体的政策导向为基础，结合行业、规模、历史经验和专家评价意见等确定绩效评价标准。绩效评价标准通常包括：</w:t>
      </w:r>
    </w:p>
    <w:p w14:paraId="74E31BF7" w14:textId="77777777" w:rsidR="00154C41" w:rsidRDefault="00154C41" w:rsidP="00154C41">
      <w:pPr>
        <w:pStyle w:val="13"/>
      </w:pPr>
      <w:r>
        <w:rPr>
          <w:rFonts w:hint="eastAsia"/>
        </w:rPr>
        <w:t>（一）计划标准</w:t>
      </w:r>
    </w:p>
    <w:p w14:paraId="47B4D362" w14:textId="77777777" w:rsidR="00154C41" w:rsidRDefault="00154C41" w:rsidP="00154C41">
      <w:pPr>
        <w:pStyle w:val="13"/>
      </w:pPr>
      <w:r>
        <w:rPr>
          <w:rFonts w:hint="eastAsia"/>
        </w:rPr>
        <w:t>计划标准是指以预先制定的目标、计划、预算、定额等数据作为评价的标准。</w:t>
      </w:r>
    </w:p>
    <w:p w14:paraId="7F1E2BCB" w14:textId="77777777" w:rsidR="00154C41" w:rsidRDefault="00154C41" w:rsidP="00154C41">
      <w:pPr>
        <w:pStyle w:val="13"/>
      </w:pPr>
      <w:r>
        <w:rPr>
          <w:rFonts w:hint="eastAsia"/>
        </w:rPr>
        <w:t>（二）行业标准</w:t>
      </w:r>
    </w:p>
    <w:p w14:paraId="4382F8BE" w14:textId="77777777" w:rsidR="00154C41" w:rsidRDefault="00154C41" w:rsidP="00154C41">
      <w:pPr>
        <w:pStyle w:val="13"/>
      </w:pPr>
      <w:r>
        <w:rPr>
          <w:rFonts w:hint="eastAsia"/>
        </w:rPr>
        <w:t>行业标准是指参照国家公布的行业指标数据制定的评价标准。</w:t>
      </w:r>
    </w:p>
    <w:p w14:paraId="128D5D61" w14:textId="77777777" w:rsidR="00154C41" w:rsidRDefault="00154C41" w:rsidP="00154C41">
      <w:pPr>
        <w:pStyle w:val="13"/>
      </w:pPr>
      <w:r>
        <w:rPr>
          <w:rFonts w:hint="eastAsia"/>
        </w:rPr>
        <w:t>（三）历史标准</w:t>
      </w:r>
    </w:p>
    <w:p w14:paraId="5444093C" w14:textId="77777777" w:rsidR="00154C41" w:rsidRDefault="00154C41" w:rsidP="00154C41">
      <w:pPr>
        <w:pStyle w:val="13"/>
      </w:pPr>
      <w:r>
        <w:rPr>
          <w:rFonts w:hint="eastAsia"/>
        </w:rPr>
        <w:t>历史标准是指参照同类指标的历史数据制定的评价标准。</w:t>
      </w:r>
    </w:p>
    <w:p w14:paraId="51232913" w14:textId="77777777" w:rsidR="00154C41" w:rsidRDefault="00154C41" w:rsidP="00154C41">
      <w:pPr>
        <w:pStyle w:val="13"/>
      </w:pPr>
      <w:r>
        <w:rPr>
          <w:rFonts w:hint="eastAsia"/>
        </w:rPr>
        <w:t>（四）以经验数据和常识确定的标准</w:t>
      </w:r>
    </w:p>
    <w:p w14:paraId="4CEB956B" w14:textId="77777777" w:rsidR="00154C41" w:rsidRDefault="00154C41" w:rsidP="00154C41">
      <w:pPr>
        <w:pStyle w:val="13"/>
      </w:pPr>
      <w:r>
        <w:rPr>
          <w:rFonts w:hint="eastAsia"/>
        </w:rPr>
        <w:t>以经验数据和常识确定的标准是指根据财政经济活动发展规律和管理实践，由相关领域经验丰富的专家学者经过分析研究后得出的有关指标标准或惯例。</w:t>
      </w:r>
    </w:p>
    <w:p w14:paraId="04D009B5" w14:textId="77777777" w:rsidR="00154C41" w:rsidRDefault="00154C41" w:rsidP="00154C41">
      <w:pPr>
        <w:pStyle w:val="13"/>
      </w:pPr>
      <w:r>
        <w:rPr>
          <w:rFonts w:hint="eastAsia"/>
        </w:rPr>
        <w:t>（五）其他经财政部门确认的标准</w:t>
      </w:r>
    </w:p>
    <w:p w14:paraId="3C112472" w14:textId="77777777" w:rsidR="00154C41" w:rsidRDefault="00154C41" w:rsidP="00154C41">
      <w:pPr>
        <w:pStyle w:val="13"/>
      </w:pPr>
      <w:r>
        <w:rPr>
          <w:rFonts w:hint="eastAsia"/>
        </w:rPr>
        <w:t>评估机构执行绩效评价业务，应当尽可能地选择计划标准、行业标准、历史标准及其他经财政部门确认的标准，谨慎选用以经验数据和常识确定的标准。</w:t>
      </w:r>
    </w:p>
    <w:p w14:paraId="78AFEC06" w14:textId="352E36D5" w:rsidR="00154C41" w:rsidRDefault="00E05BDA" w:rsidP="00154C41">
      <w:pPr>
        <w:pStyle w:val="13"/>
        <w:ind w:firstLine="482"/>
      </w:pPr>
      <w:r w:rsidRPr="00E05BDA">
        <w:rPr>
          <w:rFonts w:hint="eastAsia"/>
          <w:b/>
        </w:rPr>
        <w:t xml:space="preserve">第二十六条 </w:t>
      </w:r>
      <w:r w:rsidR="00154C41">
        <w:t xml:space="preserve"> 绩效评价方法主要采用成本效益分析法、比较法、因素分析法、最低成本法、公众评判法等。</w:t>
      </w:r>
    </w:p>
    <w:p w14:paraId="0FFE8E61" w14:textId="77777777" w:rsidR="00154C41" w:rsidRDefault="00154C41" w:rsidP="00154C41">
      <w:pPr>
        <w:pStyle w:val="13"/>
      </w:pPr>
      <w:r>
        <w:rPr>
          <w:rFonts w:hint="eastAsia"/>
        </w:rPr>
        <w:t>（一）成本效益分析法</w:t>
      </w:r>
    </w:p>
    <w:p w14:paraId="33A8DDCE" w14:textId="77777777" w:rsidR="00154C41" w:rsidRDefault="00154C41" w:rsidP="00154C41">
      <w:pPr>
        <w:pStyle w:val="13"/>
      </w:pPr>
      <w:r>
        <w:rPr>
          <w:rFonts w:hint="eastAsia"/>
        </w:rPr>
        <w:t>成本效益分析法是指将一定时期内的支出与效益进行对比分析，评价绩效目标的实现程度。</w:t>
      </w:r>
    </w:p>
    <w:p w14:paraId="7051F502" w14:textId="77777777" w:rsidR="00154C41" w:rsidRDefault="00154C41" w:rsidP="00154C41">
      <w:pPr>
        <w:pStyle w:val="13"/>
      </w:pPr>
      <w:r>
        <w:rPr>
          <w:rFonts w:hint="eastAsia"/>
        </w:rPr>
        <w:t>（二）比较法</w:t>
      </w:r>
    </w:p>
    <w:p w14:paraId="13315161" w14:textId="77777777" w:rsidR="00154C41" w:rsidRDefault="00154C41" w:rsidP="00154C41">
      <w:pPr>
        <w:pStyle w:val="13"/>
      </w:pPr>
      <w:r>
        <w:rPr>
          <w:rFonts w:hint="eastAsia"/>
        </w:rPr>
        <w:t>比较法是指通过对绩效目标与实施效果、历史与当期情况、不同部门和地区同类支出的比较，综合分析绩效目标的实现程度。</w:t>
      </w:r>
    </w:p>
    <w:p w14:paraId="660BAF42" w14:textId="77777777" w:rsidR="00154C41" w:rsidRDefault="00154C41" w:rsidP="00154C41">
      <w:pPr>
        <w:pStyle w:val="13"/>
      </w:pPr>
      <w:r>
        <w:rPr>
          <w:rFonts w:hint="eastAsia"/>
        </w:rPr>
        <w:t>（三）因素分析法</w:t>
      </w:r>
    </w:p>
    <w:p w14:paraId="694F5994" w14:textId="77777777" w:rsidR="00154C41" w:rsidRDefault="00154C41" w:rsidP="00154C41">
      <w:pPr>
        <w:pStyle w:val="13"/>
      </w:pPr>
      <w:r>
        <w:rPr>
          <w:rFonts w:hint="eastAsia"/>
        </w:rPr>
        <w:lastRenderedPageBreak/>
        <w:t>因素分析法是指通过综合分析影响绩效目标实现、实施效果的内外因素，评价绩效目标的实现程度。</w:t>
      </w:r>
    </w:p>
    <w:p w14:paraId="242C8478" w14:textId="77777777" w:rsidR="00154C41" w:rsidRDefault="00154C41" w:rsidP="00154C41">
      <w:pPr>
        <w:pStyle w:val="13"/>
      </w:pPr>
      <w:r>
        <w:rPr>
          <w:rFonts w:hint="eastAsia"/>
        </w:rPr>
        <w:t>（四）最低成本法</w:t>
      </w:r>
    </w:p>
    <w:p w14:paraId="5AE2B32E" w14:textId="77777777" w:rsidR="00154C41" w:rsidRDefault="00154C41" w:rsidP="00154C41">
      <w:pPr>
        <w:pStyle w:val="13"/>
      </w:pPr>
      <w:r>
        <w:rPr>
          <w:rFonts w:hint="eastAsia"/>
        </w:rPr>
        <w:t>最低成本法是指对效益确定却不易计量的多个同类对象的实施成本进行比较，评价绩效目标的实现程度。</w:t>
      </w:r>
    </w:p>
    <w:p w14:paraId="4600BF68" w14:textId="77777777" w:rsidR="00154C41" w:rsidRDefault="00154C41" w:rsidP="00154C41">
      <w:pPr>
        <w:pStyle w:val="13"/>
      </w:pPr>
      <w:r>
        <w:rPr>
          <w:rFonts w:hint="eastAsia"/>
        </w:rPr>
        <w:t>（五）公众评判法</w:t>
      </w:r>
    </w:p>
    <w:p w14:paraId="25BBCE80" w14:textId="77777777" w:rsidR="00154C41" w:rsidRDefault="00154C41" w:rsidP="00154C41">
      <w:pPr>
        <w:pStyle w:val="13"/>
      </w:pPr>
      <w:r>
        <w:rPr>
          <w:rFonts w:hint="eastAsia"/>
        </w:rPr>
        <w:t>公众批判法是指通过专家评估、公众问卷及抽样调查等对财政支出效果进行评判，评价绩效目标的实现程度。</w:t>
      </w:r>
    </w:p>
    <w:p w14:paraId="30EDD68C" w14:textId="77777777" w:rsidR="00154C41" w:rsidRDefault="00154C41" w:rsidP="00154C41">
      <w:pPr>
        <w:pStyle w:val="13"/>
      </w:pPr>
      <w:r>
        <w:rPr>
          <w:rFonts w:hint="eastAsia"/>
        </w:rPr>
        <w:t>（六）其他适宜的评价方法</w:t>
      </w:r>
    </w:p>
    <w:p w14:paraId="2F4C8EBB" w14:textId="77777777" w:rsidR="00154C41" w:rsidRDefault="00154C41" w:rsidP="00154C41">
      <w:pPr>
        <w:pStyle w:val="13"/>
      </w:pPr>
      <w:r>
        <w:rPr>
          <w:rFonts w:hint="eastAsia"/>
        </w:rPr>
        <w:t>绩效评价方法的选用，应当坚持定量优先、简便有效的原则。根据评价对象的具体情况，可以采用一种或多种方法进行绩效评价。</w:t>
      </w:r>
    </w:p>
    <w:p w14:paraId="1F3AF637" w14:textId="77777777" w:rsidR="00154C41" w:rsidRDefault="00154C41" w:rsidP="00AF7342">
      <w:pPr>
        <w:pStyle w:val="a9"/>
        <w:spacing w:before="62" w:after="62"/>
      </w:pPr>
      <w:r>
        <w:rPr>
          <w:rFonts w:hint="eastAsia"/>
        </w:rPr>
        <w:t>第七章</w:t>
      </w:r>
      <w:r>
        <w:t xml:space="preserve"> 数据收集与分析</w:t>
      </w:r>
    </w:p>
    <w:p w14:paraId="25718148" w14:textId="177F0D7F" w:rsidR="00154C41" w:rsidRDefault="00E05BDA" w:rsidP="00154C41">
      <w:pPr>
        <w:pStyle w:val="13"/>
        <w:ind w:firstLine="482"/>
      </w:pPr>
      <w:r w:rsidRPr="00E05BDA">
        <w:rPr>
          <w:rFonts w:hint="eastAsia"/>
          <w:b/>
        </w:rPr>
        <w:t xml:space="preserve">第二十七条 </w:t>
      </w:r>
      <w:r w:rsidR="00154C41">
        <w:t>评估机构执行绩效评价业务，在数据收集过程中，应当遵循准确、详尽及客观的原则，确保数据来源的可靠性与真实性。</w:t>
      </w:r>
    </w:p>
    <w:p w14:paraId="0E795EAE" w14:textId="59FE55E5" w:rsidR="00154C41" w:rsidRDefault="00E05BDA" w:rsidP="00154C41">
      <w:pPr>
        <w:pStyle w:val="13"/>
        <w:ind w:firstLine="482"/>
      </w:pPr>
      <w:r w:rsidRPr="00E05BDA">
        <w:rPr>
          <w:rFonts w:hint="eastAsia"/>
          <w:b/>
        </w:rPr>
        <w:t xml:space="preserve">第二十八条 </w:t>
      </w:r>
      <w:r w:rsidR="00154C41">
        <w:t>评估机构执行绩效评价业务，收集数据的主要方法通常包括：</w:t>
      </w:r>
    </w:p>
    <w:p w14:paraId="6132038A" w14:textId="77777777" w:rsidR="00154C41" w:rsidRDefault="00154C41" w:rsidP="00154C41">
      <w:pPr>
        <w:pStyle w:val="13"/>
      </w:pPr>
      <w:r>
        <w:rPr>
          <w:rFonts w:hint="eastAsia"/>
        </w:rPr>
        <w:t>（一）案卷研究</w:t>
      </w:r>
    </w:p>
    <w:p w14:paraId="56BEA62A" w14:textId="77777777" w:rsidR="00154C41" w:rsidRDefault="00154C41" w:rsidP="00154C41">
      <w:pPr>
        <w:pStyle w:val="13"/>
      </w:pPr>
      <w:r>
        <w:rPr>
          <w:rFonts w:hint="eastAsia"/>
        </w:rPr>
        <w:t>案卷研究是从现有的项目文件、国家和地方的发展政策和战略规划、各种相关的研究和咨询报告等文档资料中寻找数据的过程。案卷研究要注意对同一绩效评价指标在不同文件中的数据进行对比核实，如果不同来源的数据存在差异，则要分析差异的原因，并且在座谈会、实地调研中进行核查，最后确定选择使用的数据。</w:t>
      </w:r>
    </w:p>
    <w:p w14:paraId="6AF97BB6" w14:textId="77777777" w:rsidR="00154C41" w:rsidRDefault="00154C41" w:rsidP="00154C41">
      <w:pPr>
        <w:pStyle w:val="13"/>
      </w:pPr>
      <w:r>
        <w:rPr>
          <w:rFonts w:hint="eastAsia"/>
        </w:rPr>
        <w:t>（二）资料收集与数据填报</w:t>
      </w:r>
    </w:p>
    <w:p w14:paraId="000BE8E3" w14:textId="77777777" w:rsidR="00154C41" w:rsidRDefault="00154C41" w:rsidP="00154C41">
      <w:pPr>
        <w:pStyle w:val="13"/>
      </w:pPr>
      <w:r>
        <w:rPr>
          <w:rFonts w:hint="eastAsia"/>
        </w:rPr>
        <w:t>评估机构执行绩效评价业务，可以根据评价对象的具体情况向预算部门和资金使用单位收集相关资料。为便于对数据进行梳理与汇总，可以设计相关表格，并配合预算部门和资金使用单位进行填写。</w:t>
      </w:r>
    </w:p>
    <w:p w14:paraId="63F1F201" w14:textId="77777777" w:rsidR="00154C41" w:rsidRDefault="00154C41" w:rsidP="00154C41">
      <w:pPr>
        <w:pStyle w:val="13"/>
      </w:pPr>
      <w:r>
        <w:rPr>
          <w:rFonts w:hint="eastAsia"/>
        </w:rPr>
        <w:t>（三）实地调研</w:t>
      </w:r>
    </w:p>
    <w:p w14:paraId="53DDEA47" w14:textId="77777777" w:rsidR="00154C41" w:rsidRDefault="00154C41" w:rsidP="00154C41">
      <w:pPr>
        <w:pStyle w:val="13"/>
      </w:pPr>
      <w:r>
        <w:t>1．实地调研通常包括访谈和现场勘查。</w:t>
      </w:r>
    </w:p>
    <w:p w14:paraId="03718C13" w14:textId="77777777" w:rsidR="00154C41" w:rsidRDefault="00154C41" w:rsidP="00154C41">
      <w:pPr>
        <w:pStyle w:val="13"/>
      </w:pPr>
      <w:r>
        <w:t>2．评估机构应当从项目利益相关方中确定访谈对象，包括项目的管理人员、实施人员、项目受益者及参与项目立项、决策、实施、管理的行业专家。根据调查的内容范围和主要问题，设计访谈提纲并开展访谈，访谈内容通常为开放式提问，问题应当简明扼要、具体直接。</w:t>
      </w:r>
    </w:p>
    <w:p w14:paraId="3617660E" w14:textId="77777777" w:rsidR="00154C41" w:rsidRDefault="00154C41" w:rsidP="00154C41">
      <w:pPr>
        <w:pStyle w:val="13"/>
      </w:pPr>
      <w:r>
        <w:t>3．现场勘查是指通过询问、核对、勘查、检查等方法进行调查，获取绩效评价业务需要的基础资料。</w:t>
      </w:r>
    </w:p>
    <w:p w14:paraId="3AB306EB" w14:textId="77777777" w:rsidR="00154C41" w:rsidRDefault="00154C41" w:rsidP="00154C41">
      <w:pPr>
        <w:pStyle w:val="13"/>
      </w:pPr>
      <w:r>
        <w:t>4．调研结束后应当对调研记录进行整理与分析，调研记录可以作为绩效评价报告的附件和工作底稿。</w:t>
      </w:r>
    </w:p>
    <w:p w14:paraId="011D4B6D" w14:textId="77777777" w:rsidR="00154C41" w:rsidRDefault="00154C41" w:rsidP="00154C41">
      <w:pPr>
        <w:pStyle w:val="13"/>
      </w:pPr>
      <w:r>
        <w:rPr>
          <w:rFonts w:hint="eastAsia"/>
        </w:rPr>
        <w:lastRenderedPageBreak/>
        <w:t>（四）座谈会</w:t>
      </w:r>
    </w:p>
    <w:p w14:paraId="5BE35735" w14:textId="77777777" w:rsidR="00154C41" w:rsidRDefault="00154C41" w:rsidP="00154C41">
      <w:pPr>
        <w:pStyle w:val="13"/>
      </w:pPr>
      <w:r>
        <w:t>1．选择参与或熟悉项目的立项、决策、实施、管理等人员为座谈会邀请对象，确保参与人员能够为绩效评价提供有效信息。</w:t>
      </w:r>
    </w:p>
    <w:p w14:paraId="3B957874" w14:textId="77777777" w:rsidR="00154C41" w:rsidRDefault="00154C41" w:rsidP="00154C41">
      <w:pPr>
        <w:pStyle w:val="13"/>
      </w:pPr>
      <w:r>
        <w:t>2．注意座谈会参与者对问题答案是否达成共识。如果没有达成共识，需作进一步核实。</w:t>
      </w:r>
    </w:p>
    <w:p w14:paraId="703AC42B" w14:textId="77777777" w:rsidR="00154C41" w:rsidRDefault="00154C41" w:rsidP="00154C41">
      <w:pPr>
        <w:pStyle w:val="13"/>
      </w:pPr>
      <w:r>
        <w:t>3．座谈会结束后应当进行会议记录整理与分析，会议记录可以作为绩效评价报告的附件和工作底稿。</w:t>
      </w:r>
    </w:p>
    <w:p w14:paraId="19849125" w14:textId="77777777" w:rsidR="00154C41" w:rsidRDefault="00154C41" w:rsidP="00154C41">
      <w:pPr>
        <w:pStyle w:val="13"/>
      </w:pPr>
      <w:r>
        <w:rPr>
          <w:rFonts w:hint="eastAsia"/>
        </w:rPr>
        <w:t>（五）问卷调查</w:t>
      </w:r>
    </w:p>
    <w:p w14:paraId="0DC10519" w14:textId="77777777" w:rsidR="00154C41" w:rsidRDefault="00154C41" w:rsidP="00154C41">
      <w:pPr>
        <w:pStyle w:val="13"/>
      </w:pPr>
      <w:r>
        <w:t>1．问卷设计通常遵循客观性、合理性、逻辑性、明确性等原则，尽量避免主观臆断或人为导向，问卷数据应当便于整理与分析。</w:t>
      </w:r>
    </w:p>
    <w:p w14:paraId="40ED3C97" w14:textId="77777777" w:rsidR="00154C41" w:rsidRDefault="00154C41" w:rsidP="00154C41">
      <w:pPr>
        <w:pStyle w:val="13"/>
      </w:pPr>
      <w:r>
        <w:t>2．根据项目具体情况，针对项目涉及的各相关当事方，合理选择问卷发放的范围，采用科学合理的方法确定样本量和问卷最低回收率要求等。</w:t>
      </w:r>
    </w:p>
    <w:p w14:paraId="683A42A5" w14:textId="77777777" w:rsidR="00154C41" w:rsidRDefault="00154C41" w:rsidP="00154C41">
      <w:pPr>
        <w:pStyle w:val="13"/>
      </w:pPr>
      <w:r>
        <w:t>3．根据项目具体情况进行抽样，抽样方法通常包括分层抽样、非等概率抽样、多阶抽样、整群抽样及系统抽样。</w:t>
      </w:r>
    </w:p>
    <w:p w14:paraId="1E1BB352" w14:textId="77777777" w:rsidR="00154C41" w:rsidRDefault="00154C41" w:rsidP="00154C41">
      <w:pPr>
        <w:pStyle w:val="13"/>
      </w:pPr>
      <w:r>
        <w:t>4．问卷调查结束后应当对问卷调查结果进行整理和分析，问卷调查格式及汇总信息可以作为绩效评价报告的附件和工作底稿。</w:t>
      </w:r>
    </w:p>
    <w:p w14:paraId="27BB228A" w14:textId="263E5226" w:rsidR="00154C41" w:rsidRDefault="00E05BDA" w:rsidP="00154C41">
      <w:pPr>
        <w:pStyle w:val="13"/>
        <w:ind w:firstLine="482"/>
      </w:pPr>
      <w:r w:rsidRPr="00E05BDA">
        <w:rPr>
          <w:rFonts w:hint="eastAsia"/>
          <w:b/>
        </w:rPr>
        <w:t xml:space="preserve">第二十九条 </w:t>
      </w:r>
      <w:r w:rsidR="00154C41">
        <w:t>评估机构执行绩效评价业务，应当采用合理的方法对数据进行整理和分析。</w:t>
      </w:r>
    </w:p>
    <w:p w14:paraId="5128C220" w14:textId="77777777" w:rsidR="00154C41" w:rsidRDefault="00154C41" w:rsidP="00154C41">
      <w:pPr>
        <w:pStyle w:val="13"/>
      </w:pPr>
      <w:r>
        <w:rPr>
          <w:rFonts w:hint="eastAsia"/>
        </w:rPr>
        <w:t>（一）数据整理</w:t>
      </w:r>
    </w:p>
    <w:p w14:paraId="23AC3618" w14:textId="77777777" w:rsidR="00154C41" w:rsidRDefault="00154C41" w:rsidP="00154C41">
      <w:pPr>
        <w:pStyle w:val="13"/>
      </w:pPr>
      <w:r>
        <w:t>1．数据分类。根据项目各项指标的要求，对数据进行分类。</w:t>
      </w:r>
    </w:p>
    <w:p w14:paraId="20A402D9" w14:textId="77777777" w:rsidR="00154C41" w:rsidRDefault="00154C41" w:rsidP="00154C41">
      <w:pPr>
        <w:pStyle w:val="13"/>
      </w:pPr>
      <w:r>
        <w:t>2．数据选取。从不同来源收集的资料中选取出同一绩效评价指标的数据。</w:t>
      </w:r>
    </w:p>
    <w:p w14:paraId="4F0E0749" w14:textId="77777777" w:rsidR="00154C41" w:rsidRDefault="00154C41" w:rsidP="00154C41">
      <w:pPr>
        <w:pStyle w:val="13"/>
      </w:pPr>
      <w:r>
        <w:t>3．数据验证。对将不同来源的数据进行交叉验证，剔除错误数据或无效数据。</w:t>
      </w:r>
    </w:p>
    <w:p w14:paraId="683A6E28" w14:textId="77777777" w:rsidR="00154C41" w:rsidRDefault="00154C41" w:rsidP="00154C41">
      <w:pPr>
        <w:pStyle w:val="13"/>
      </w:pPr>
      <w:r>
        <w:t>4．数据确定。在数据验证基础上，最终确定用于绩效分析和评价的数据。</w:t>
      </w:r>
    </w:p>
    <w:p w14:paraId="24A0F14A" w14:textId="77777777" w:rsidR="00154C41" w:rsidRDefault="00154C41" w:rsidP="00154C41">
      <w:pPr>
        <w:pStyle w:val="13"/>
      </w:pPr>
      <w:r>
        <w:rPr>
          <w:rFonts w:hint="eastAsia"/>
        </w:rPr>
        <w:t>（二）数据分析</w:t>
      </w:r>
    </w:p>
    <w:p w14:paraId="4D5567EB" w14:textId="77777777" w:rsidR="00154C41" w:rsidRDefault="00154C41" w:rsidP="00154C41">
      <w:pPr>
        <w:pStyle w:val="13"/>
      </w:pPr>
      <w:r>
        <w:rPr>
          <w:rFonts w:hint="eastAsia"/>
        </w:rPr>
        <w:t>评估机构执行绩效评价业务时，在数据分析过程中通常采用以下方法：</w:t>
      </w:r>
    </w:p>
    <w:p w14:paraId="60807983" w14:textId="77777777" w:rsidR="00154C41" w:rsidRDefault="00154C41" w:rsidP="00154C41">
      <w:pPr>
        <w:pStyle w:val="13"/>
      </w:pPr>
      <w:r>
        <w:t>1．变化分析。该方法是通过比较绩效评价指标的实际变化情况与预期变化得到分析结果。该方法是绩效评价中最常用的分析方法，主要用于分析绩效评价指标在项目实施后是否达到预期值。</w:t>
      </w:r>
    </w:p>
    <w:p w14:paraId="3BC279F2" w14:textId="77777777" w:rsidR="00154C41" w:rsidRDefault="00154C41" w:rsidP="00154C41">
      <w:pPr>
        <w:pStyle w:val="13"/>
      </w:pPr>
      <w:r>
        <w:t>2．归因分析。该方法是通过建立</w:t>
      </w:r>
      <w:proofErr w:type="gramStart"/>
      <w:r>
        <w:t>反事实</w:t>
      </w:r>
      <w:proofErr w:type="gramEnd"/>
      <w:r>
        <w:t>场景来进行分析，确定所观察到的变化有多大比例是由项目实施而产生。</w:t>
      </w:r>
    </w:p>
    <w:p w14:paraId="2ECD0D36" w14:textId="77777777" w:rsidR="00154C41" w:rsidRDefault="00154C41" w:rsidP="00154C41">
      <w:pPr>
        <w:pStyle w:val="13"/>
      </w:pPr>
      <w:r>
        <w:t>3．贡献分析。该方法是分析项目实施过程中的各种因素对该项目的贡献程度。</w:t>
      </w:r>
    </w:p>
    <w:p w14:paraId="0B80915C" w14:textId="5EB9EC1C" w:rsidR="00154C41" w:rsidRDefault="00E05BDA" w:rsidP="00154C41">
      <w:pPr>
        <w:pStyle w:val="13"/>
        <w:ind w:firstLine="482"/>
      </w:pPr>
      <w:r w:rsidRPr="00E05BDA">
        <w:rPr>
          <w:rFonts w:hint="eastAsia"/>
          <w:b/>
        </w:rPr>
        <w:t xml:space="preserve">第三十条 </w:t>
      </w:r>
      <w:r w:rsidR="00154C41">
        <w:t>对定性指标的评价，应当通过案卷研究、数据填报、实地调研、座谈会、问卷调查等多种方法来获取数据，并对数据进行综合定性分析后得出结论。为确保评价结果的客观性和准确性，应当尽量避免运用单一的数据收集方法进行评价。</w:t>
      </w:r>
    </w:p>
    <w:p w14:paraId="5E552780" w14:textId="77777777" w:rsidR="00154C41" w:rsidRDefault="00154C41" w:rsidP="00AF7342">
      <w:pPr>
        <w:pStyle w:val="a9"/>
        <w:spacing w:before="62" w:after="62"/>
      </w:pPr>
      <w:r>
        <w:rPr>
          <w:rFonts w:hint="eastAsia"/>
        </w:rPr>
        <w:lastRenderedPageBreak/>
        <w:t>第八章</w:t>
      </w:r>
      <w:r>
        <w:t xml:space="preserve"> 绩效评价报告</w:t>
      </w:r>
    </w:p>
    <w:p w14:paraId="3E6E03F5" w14:textId="5DD200C9" w:rsidR="00154C41" w:rsidRDefault="003B2FB1" w:rsidP="00154C41">
      <w:pPr>
        <w:pStyle w:val="13"/>
        <w:ind w:firstLine="482"/>
      </w:pPr>
      <w:r w:rsidRPr="003B2FB1">
        <w:rPr>
          <w:rFonts w:hint="eastAsia"/>
          <w:b/>
        </w:rPr>
        <w:t xml:space="preserve">第三十一条 </w:t>
      </w:r>
      <w:r w:rsidR="00154C41">
        <w:t>评估机构执行绩效评价业务，编制和出具绩效评价报告，应当与委托方充分沟通并合理确定绩效评价报告的主要内容、使用限制说明等事项。</w:t>
      </w:r>
    </w:p>
    <w:p w14:paraId="1D9AB69B" w14:textId="01C34B89" w:rsidR="00154C41" w:rsidRDefault="003B2FB1" w:rsidP="00154C41">
      <w:pPr>
        <w:pStyle w:val="13"/>
        <w:ind w:firstLine="482"/>
      </w:pPr>
      <w:r w:rsidRPr="003B2FB1">
        <w:rPr>
          <w:rFonts w:hint="eastAsia"/>
          <w:b/>
        </w:rPr>
        <w:t xml:space="preserve">第三十二条 </w:t>
      </w:r>
      <w:r w:rsidR="00154C41">
        <w:t>评估机构执行绩效评价业务，编制的绩效评价报告应当满足以下要求：</w:t>
      </w:r>
    </w:p>
    <w:p w14:paraId="535C21AA" w14:textId="77777777" w:rsidR="00154C41" w:rsidRDefault="00154C41" w:rsidP="00154C41">
      <w:pPr>
        <w:pStyle w:val="13"/>
      </w:pPr>
      <w:r>
        <w:rPr>
          <w:rFonts w:hint="eastAsia"/>
        </w:rPr>
        <w:t>（一）绩效评价报告内容完整</w:t>
      </w:r>
    </w:p>
    <w:p w14:paraId="108449EE" w14:textId="77777777" w:rsidR="00154C41" w:rsidRDefault="00154C41" w:rsidP="00154C41">
      <w:pPr>
        <w:pStyle w:val="13"/>
      </w:pPr>
      <w:r>
        <w:rPr>
          <w:rFonts w:hint="eastAsia"/>
        </w:rPr>
        <w:t>绩效评价报告所披露的事项应当全面、完整，主要内容通常包括项目的基本情况、评价目的、评价主要过程、综合评价结论、主要成绩和经验、存在的主要问题和不足及相关政策建议等。</w:t>
      </w:r>
    </w:p>
    <w:p w14:paraId="3E14FAC4" w14:textId="77777777" w:rsidR="00154C41" w:rsidRDefault="00154C41" w:rsidP="00154C41">
      <w:pPr>
        <w:pStyle w:val="13"/>
      </w:pPr>
      <w:r>
        <w:rPr>
          <w:rFonts w:hint="eastAsia"/>
        </w:rPr>
        <w:t>（二）绩效评价报告客观公正</w:t>
      </w:r>
    </w:p>
    <w:p w14:paraId="45E4F9BC" w14:textId="77777777" w:rsidR="00154C41" w:rsidRDefault="00154C41" w:rsidP="00154C41">
      <w:pPr>
        <w:pStyle w:val="13"/>
      </w:pPr>
      <w:r>
        <w:rPr>
          <w:rFonts w:hint="eastAsia"/>
        </w:rPr>
        <w:t>绩效评价报告所引用的数据应当来源可靠，所</w:t>
      </w:r>
      <w:proofErr w:type="gramStart"/>
      <w:r>
        <w:rPr>
          <w:rFonts w:hint="eastAsia"/>
        </w:rPr>
        <w:t>作出</w:t>
      </w:r>
      <w:proofErr w:type="gramEnd"/>
      <w:r>
        <w:rPr>
          <w:rFonts w:hint="eastAsia"/>
        </w:rPr>
        <w:t>的判断和结论应当基于客观事实。评估机构在编制绩效评价报告时，应当坚持第三方独立立场，不被其他利益相关方的主观意见所左右。</w:t>
      </w:r>
    </w:p>
    <w:p w14:paraId="7C4D748A" w14:textId="77777777" w:rsidR="00154C41" w:rsidRDefault="00154C41" w:rsidP="00154C41">
      <w:pPr>
        <w:pStyle w:val="13"/>
      </w:pPr>
      <w:r>
        <w:rPr>
          <w:rFonts w:hint="eastAsia"/>
        </w:rPr>
        <w:t>（三）绩效评价报告表达清晰</w:t>
      </w:r>
    </w:p>
    <w:p w14:paraId="427CCAC4" w14:textId="77777777" w:rsidR="00154C41" w:rsidRDefault="00154C41" w:rsidP="00154C41">
      <w:pPr>
        <w:pStyle w:val="13"/>
      </w:pPr>
      <w:r>
        <w:rPr>
          <w:rFonts w:hint="eastAsia"/>
        </w:rPr>
        <w:t>绩效评价报告整体框架应当结构合理、条理清晰、逻辑严密，针对项目所提出的建议应当与项目所存在的问题和不足做到前后呼应。</w:t>
      </w:r>
    </w:p>
    <w:p w14:paraId="487BAC20" w14:textId="77777777" w:rsidR="00154C41" w:rsidRDefault="00154C41" w:rsidP="00154C41">
      <w:pPr>
        <w:pStyle w:val="13"/>
      </w:pPr>
      <w:r>
        <w:rPr>
          <w:rFonts w:hint="eastAsia"/>
        </w:rPr>
        <w:t>（四）绩效评价报告结论合理</w:t>
      </w:r>
    </w:p>
    <w:p w14:paraId="4B87292E" w14:textId="77777777" w:rsidR="00154C41" w:rsidRDefault="00154C41" w:rsidP="00154C41">
      <w:pPr>
        <w:pStyle w:val="13"/>
      </w:pPr>
      <w:r>
        <w:rPr>
          <w:rFonts w:hint="eastAsia"/>
        </w:rPr>
        <w:t>评估机构应当清晰、准确地陈述绩效评价报告内容，不得使用误导性的表述。评估机构应当在绩效评价报告中提供必要信息，使绩效评价报告使用者能够准确理解评价结论。</w:t>
      </w:r>
    </w:p>
    <w:p w14:paraId="1B43B696" w14:textId="77777777" w:rsidR="00154C41" w:rsidRDefault="00154C41" w:rsidP="00154C41">
      <w:pPr>
        <w:pStyle w:val="13"/>
      </w:pPr>
      <w:r>
        <w:rPr>
          <w:rFonts w:hint="eastAsia"/>
        </w:rPr>
        <w:t>（五）绩效评价报告语言简明扼要</w:t>
      </w:r>
    </w:p>
    <w:p w14:paraId="0FC0490D" w14:textId="77777777" w:rsidR="00154C41" w:rsidRDefault="00154C41" w:rsidP="00154C41">
      <w:pPr>
        <w:pStyle w:val="13"/>
      </w:pPr>
      <w:r>
        <w:rPr>
          <w:rFonts w:hint="eastAsia"/>
        </w:rPr>
        <w:t>绩效评价报告应当文字简单、篇幅适中、版面简洁。绩效评价报告所用语言和所引用的客观依据应当尽可能地简明扼要且直观易懂。</w:t>
      </w:r>
    </w:p>
    <w:p w14:paraId="5EBF1FCF" w14:textId="43988FA6" w:rsidR="00154C41" w:rsidRDefault="003B2FB1" w:rsidP="00154C41">
      <w:pPr>
        <w:pStyle w:val="13"/>
        <w:ind w:firstLine="482"/>
      </w:pPr>
      <w:r w:rsidRPr="003B2FB1">
        <w:rPr>
          <w:rFonts w:hint="eastAsia"/>
          <w:b/>
        </w:rPr>
        <w:t xml:space="preserve">第三十三条 </w:t>
      </w:r>
      <w:r w:rsidR="00154C41">
        <w:t xml:space="preserve"> 绩效评价报告的主要内容通常包括：</w:t>
      </w:r>
    </w:p>
    <w:p w14:paraId="653428DB" w14:textId="77777777" w:rsidR="00154C41" w:rsidRDefault="00154C41" w:rsidP="00154C41">
      <w:pPr>
        <w:pStyle w:val="13"/>
      </w:pPr>
      <w:r>
        <w:rPr>
          <w:rFonts w:hint="eastAsia"/>
        </w:rPr>
        <w:t>（一）项目基本概况</w:t>
      </w:r>
    </w:p>
    <w:p w14:paraId="1D103F8A" w14:textId="77777777" w:rsidR="00154C41" w:rsidRDefault="00154C41" w:rsidP="00154C41">
      <w:pPr>
        <w:pStyle w:val="13"/>
      </w:pPr>
      <w:r>
        <w:t>1．项目背景。</w:t>
      </w:r>
    </w:p>
    <w:p w14:paraId="13624CC7" w14:textId="77777777" w:rsidR="00154C41" w:rsidRDefault="00154C41" w:rsidP="00154C41">
      <w:pPr>
        <w:pStyle w:val="13"/>
      </w:pPr>
      <w:r>
        <w:rPr>
          <w:rFonts w:hint="eastAsia"/>
        </w:rPr>
        <w:t>项目单位的基本情况介绍，项目的主要内容、历史情况、立项的目的和意义，预算部门确定立项的相关文件依据等。</w:t>
      </w:r>
    </w:p>
    <w:p w14:paraId="3D28383F" w14:textId="77777777" w:rsidR="00154C41" w:rsidRDefault="00154C41" w:rsidP="00154C41">
      <w:pPr>
        <w:pStyle w:val="13"/>
      </w:pPr>
      <w:r>
        <w:t>2．项目实施情况。</w:t>
      </w:r>
    </w:p>
    <w:p w14:paraId="4B02AD71" w14:textId="77777777" w:rsidR="00154C41" w:rsidRDefault="00154C41" w:rsidP="00154C41">
      <w:pPr>
        <w:pStyle w:val="13"/>
      </w:pPr>
      <w:r>
        <w:rPr>
          <w:rFonts w:hint="eastAsia"/>
        </w:rPr>
        <w:t>项目实际开展情况、项目规模、项目范围、项目所在区域、资金投向等。</w:t>
      </w:r>
    </w:p>
    <w:p w14:paraId="40C498C0" w14:textId="77777777" w:rsidR="00154C41" w:rsidRDefault="00154C41" w:rsidP="00154C41">
      <w:pPr>
        <w:pStyle w:val="13"/>
      </w:pPr>
      <w:r>
        <w:t>3．资金来源和使用情况。</w:t>
      </w:r>
    </w:p>
    <w:p w14:paraId="5124C947" w14:textId="77777777" w:rsidR="00154C41" w:rsidRDefault="00154C41" w:rsidP="00154C41">
      <w:pPr>
        <w:pStyle w:val="13"/>
      </w:pPr>
      <w:r>
        <w:rPr>
          <w:rFonts w:hint="eastAsia"/>
        </w:rPr>
        <w:t>项目资金拨付的主体、资金拨付流程、资金使用流程等财政资金来源与管理情况，各具体分项资金的预算及实际使用和支出情况等。对经常性项目，还包括历史年度资金的使用情况。</w:t>
      </w:r>
    </w:p>
    <w:p w14:paraId="0B4A863B" w14:textId="77777777" w:rsidR="00154C41" w:rsidRDefault="00154C41" w:rsidP="00154C41">
      <w:pPr>
        <w:pStyle w:val="13"/>
      </w:pPr>
      <w:r>
        <w:lastRenderedPageBreak/>
        <w:t>4．绩效目标及实现程度。</w:t>
      </w:r>
    </w:p>
    <w:p w14:paraId="450C4C51" w14:textId="77777777" w:rsidR="00154C41" w:rsidRDefault="00154C41" w:rsidP="00154C41">
      <w:pPr>
        <w:pStyle w:val="13"/>
      </w:pPr>
      <w:r>
        <w:rPr>
          <w:rFonts w:hint="eastAsia"/>
        </w:rPr>
        <w:t>绩效目标，项目执行过程中目标、计划的调整情况，绩效总目标和阶段性目标的完成情况，项目的实际支出情况及财务管理状况等。</w:t>
      </w:r>
    </w:p>
    <w:p w14:paraId="03D892D3" w14:textId="77777777" w:rsidR="00154C41" w:rsidRDefault="00154C41" w:rsidP="00154C41">
      <w:pPr>
        <w:pStyle w:val="13"/>
      </w:pPr>
      <w:r>
        <w:rPr>
          <w:rFonts w:hint="eastAsia"/>
        </w:rPr>
        <w:t>（二）绩效评价的组织实施情况</w:t>
      </w:r>
    </w:p>
    <w:p w14:paraId="26856280" w14:textId="77777777" w:rsidR="00154C41" w:rsidRDefault="00154C41" w:rsidP="00154C41">
      <w:pPr>
        <w:pStyle w:val="13"/>
      </w:pPr>
      <w:r>
        <w:t>1．绩效评价目的。</w:t>
      </w:r>
    </w:p>
    <w:p w14:paraId="662084AA" w14:textId="77777777" w:rsidR="00154C41" w:rsidRDefault="00154C41" w:rsidP="00154C41">
      <w:pPr>
        <w:pStyle w:val="13"/>
      </w:pPr>
      <w:r>
        <w:t>2．绩效评价实施过程。</w:t>
      </w:r>
    </w:p>
    <w:p w14:paraId="088E687E" w14:textId="77777777" w:rsidR="00154C41" w:rsidRDefault="00154C41" w:rsidP="00154C41">
      <w:pPr>
        <w:pStyle w:val="13"/>
      </w:pPr>
      <w:r>
        <w:t>3．绩效评价人员构成。</w:t>
      </w:r>
    </w:p>
    <w:p w14:paraId="5A4B717B" w14:textId="77777777" w:rsidR="00154C41" w:rsidRDefault="00154C41" w:rsidP="00154C41">
      <w:pPr>
        <w:pStyle w:val="13"/>
      </w:pPr>
      <w:r>
        <w:t>4．数据收集方法。</w:t>
      </w:r>
    </w:p>
    <w:p w14:paraId="1B4D4F02" w14:textId="77777777" w:rsidR="00154C41" w:rsidRDefault="00154C41" w:rsidP="00154C41">
      <w:pPr>
        <w:pStyle w:val="13"/>
      </w:pPr>
      <w:r>
        <w:t>5．绩效评价的局限性。</w:t>
      </w:r>
    </w:p>
    <w:p w14:paraId="7FDCB299" w14:textId="77777777" w:rsidR="00154C41" w:rsidRDefault="00154C41" w:rsidP="00154C41">
      <w:pPr>
        <w:pStyle w:val="13"/>
      </w:pPr>
      <w:r>
        <w:rPr>
          <w:rFonts w:hint="eastAsia"/>
        </w:rPr>
        <w:t>（三）绩效评价指标体系、评价标准和评价方法</w:t>
      </w:r>
    </w:p>
    <w:p w14:paraId="50BCA499" w14:textId="77777777" w:rsidR="00154C41" w:rsidRDefault="00154C41" w:rsidP="00154C41">
      <w:pPr>
        <w:pStyle w:val="13"/>
      </w:pPr>
      <w:r>
        <w:t>1．绩效评价指标体系的设定原则及具体内容。</w:t>
      </w:r>
    </w:p>
    <w:p w14:paraId="700355B9" w14:textId="77777777" w:rsidR="00154C41" w:rsidRDefault="00154C41" w:rsidP="00154C41">
      <w:pPr>
        <w:pStyle w:val="13"/>
      </w:pPr>
      <w:r>
        <w:t>2．绩效评价的具体标准及评价的具体方法。</w:t>
      </w:r>
    </w:p>
    <w:p w14:paraId="4AFC99BC" w14:textId="77777777" w:rsidR="00154C41" w:rsidRDefault="00154C41" w:rsidP="00154C41">
      <w:pPr>
        <w:pStyle w:val="13"/>
      </w:pPr>
      <w:r>
        <w:rPr>
          <w:rFonts w:hint="eastAsia"/>
        </w:rPr>
        <w:t>（四）绩效分析及绩效评价结论</w:t>
      </w:r>
    </w:p>
    <w:p w14:paraId="57A2A121" w14:textId="77777777" w:rsidR="00154C41" w:rsidRDefault="00154C41" w:rsidP="00154C41">
      <w:pPr>
        <w:pStyle w:val="13"/>
      </w:pPr>
      <w:r>
        <w:t>1．项目决策。</w:t>
      </w:r>
    </w:p>
    <w:p w14:paraId="150C550B" w14:textId="77777777" w:rsidR="00154C41" w:rsidRDefault="00154C41" w:rsidP="00154C41">
      <w:pPr>
        <w:pStyle w:val="13"/>
      </w:pPr>
      <w:r>
        <w:rPr>
          <w:rFonts w:hint="eastAsia"/>
        </w:rPr>
        <w:t>项目决策是否符合经济社会发展规划的要求，项目申报和批复程序是否符合相关管理办法，是否根据需要制定相关资金管理办法，资金分配结果是否合理等。</w:t>
      </w:r>
    </w:p>
    <w:p w14:paraId="1527499C" w14:textId="77777777" w:rsidR="00154C41" w:rsidRDefault="00154C41" w:rsidP="00154C41">
      <w:pPr>
        <w:pStyle w:val="13"/>
      </w:pPr>
      <w:r>
        <w:t>2．项目管理。</w:t>
      </w:r>
    </w:p>
    <w:p w14:paraId="1F3FAB82" w14:textId="77777777" w:rsidR="00154C41" w:rsidRDefault="00154C41" w:rsidP="00154C41">
      <w:pPr>
        <w:pStyle w:val="13"/>
      </w:pPr>
      <w:r>
        <w:rPr>
          <w:rFonts w:hint="eastAsia"/>
        </w:rPr>
        <w:t>资金到位率，资金是否及时到位，资金使用是否合</w:t>
      </w:r>
      <w:proofErr w:type="gramStart"/>
      <w:r>
        <w:rPr>
          <w:rFonts w:hint="eastAsia"/>
        </w:rPr>
        <w:t>规</w:t>
      </w:r>
      <w:proofErr w:type="gramEnd"/>
      <w:r>
        <w:rPr>
          <w:rFonts w:hint="eastAsia"/>
        </w:rPr>
        <w:t>，资金管理、费用支出等制度是否健全，组织机构是否健全、分工是否明确，项目管理制度是否健全，并得到有效执行等。</w:t>
      </w:r>
    </w:p>
    <w:p w14:paraId="68A358CA" w14:textId="77777777" w:rsidR="00154C41" w:rsidRDefault="00154C41" w:rsidP="00154C41">
      <w:pPr>
        <w:pStyle w:val="13"/>
      </w:pPr>
      <w:r>
        <w:t>3．项目绩效。</w:t>
      </w:r>
    </w:p>
    <w:p w14:paraId="5D9230EC" w14:textId="77777777" w:rsidR="00154C41" w:rsidRDefault="00154C41" w:rsidP="00154C41">
      <w:pPr>
        <w:pStyle w:val="13"/>
      </w:pPr>
      <w:r>
        <w:rPr>
          <w:rFonts w:hint="eastAsia"/>
        </w:rPr>
        <w:t>项目产出数量、质量、时效是否达到绩效目标，项目产出成本是否按绩效目标控制，项目实施是否产生直接或间接的经济效益、社会效益、环境效益和</w:t>
      </w:r>
      <w:proofErr w:type="gramStart"/>
      <w:r>
        <w:rPr>
          <w:rFonts w:hint="eastAsia"/>
        </w:rPr>
        <w:t>可</w:t>
      </w:r>
      <w:proofErr w:type="gramEnd"/>
      <w:r>
        <w:rPr>
          <w:rFonts w:hint="eastAsia"/>
        </w:rPr>
        <w:t>持续影响及项目服务对象满意度等。</w:t>
      </w:r>
    </w:p>
    <w:p w14:paraId="4C6BAB05" w14:textId="77777777" w:rsidR="00154C41" w:rsidRDefault="00154C41" w:rsidP="00154C41">
      <w:pPr>
        <w:pStyle w:val="13"/>
      </w:pPr>
      <w:r>
        <w:rPr>
          <w:rFonts w:hint="eastAsia"/>
        </w:rPr>
        <w:t>在对绩效评价指标进行分析和评价时，要充分利用评价工作中所收集的数据，做到定量分析和定性分析相结合。绩效评价指标评分应当依据充分、数据使用合理恰当，确保绩效评价结果的公正性、客观性、合理性。</w:t>
      </w:r>
    </w:p>
    <w:p w14:paraId="598CBE20" w14:textId="77777777" w:rsidR="00154C41" w:rsidRDefault="00154C41" w:rsidP="00154C41">
      <w:pPr>
        <w:pStyle w:val="13"/>
      </w:pPr>
      <w:r>
        <w:rPr>
          <w:rFonts w:hint="eastAsia"/>
        </w:rPr>
        <w:t>（五）主要经验及做法</w:t>
      </w:r>
    </w:p>
    <w:p w14:paraId="0766AD44" w14:textId="77777777" w:rsidR="00154C41" w:rsidRDefault="00154C41" w:rsidP="00154C41">
      <w:pPr>
        <w:pStyle w:val="13"/>
      </w:pPr>
      <w:r>
        <w:rPr>
          <w:rFonts w:hint="eastAsia"/>
        </w:rPr>
        <w:t>绩效评价报告要通过分析各指标的评价结果及项目的整体评价结论，总结项目在立项、决策、实施、管理等方面的经验，为类似项目在以后年度开展积累经验。</w:t>
      </w:r>
    </w:p>
    <w:p w14:paraId="0911C2CD" w14:textId="77777777" w:rsidR="00154C41" w:rsidRDefault="00154C41" w:rsidP="00154C41">
      <w:pPr>
        <w:pStyle w:val="13"/>
      </w:pPr>
      <w:r>
        <w:rPr>
          <w:rFonts w:hint="eastAsia"/>
        </w:rPr>
        <w:t>（六）存在问题及原因分析</w:t>
      </w:r>
    </w:p>
    <w:p w14:paraId="096AF5B0" w14:textId="77777777" w:rsidR="00154C41" w:rsidRDefault="00154C41" w:rsidP="00154C41">
      <w:pPr>
        <w:pStyle w:val="13"/>
      </w:pPr>
      <w:r>
        <w:rPr>
          <w:rFonts w:hint="eastAsia"/>
        </w:rPr>
        <w:t>绩效评价报告要通过分析各指标的评价结果及项目的整体评价结论，总结项目在立项、决策、实施、管理等方面存在的不足及原因，为相关建议的提出奠定基础。</w:t>
      </w:r>
    </w:p>
    <w:p w14:paraId="676011CA" w14:textId="77777777" w:rsidR="00154C41" w:rsidRDefault="00154C41" w:rsidP="00154C41">
      <w:pPr>
        <w:pStyle w:val="13"/>
      </w:pPr>
      <w:r>
        <w:rPr>
          <w:rFonts w:hint="eastAsia"/>
        </w:rPr>
        <w:t>（七）相关建议</w:t>
      </w:r>
    </w:p>
    <w:p w14:paraId="6B975CB4" w14:textId="77777777" w:rsidR="00154C41" w:rsidRDefault="00154C41" w:rsidP="00154C41">
      <w:pPr>
        <w:pStyle w:val="13"/>
      </w:pPr>
      <w:r>
        <w:rPr>
          <w:rFonts w:hint="eastAsia"/>
        </w:rPr>
        <w:lastRenderedPageBreak/>
        <w:t>绩效评价报告需有针对性地对项目存在的不足提出改进措施和建议。建议或对策应当具有较强的可行性、前瞻性及科学性，有利于促进预算部门及项目实施单位提高绩效管理水平。</w:t>
      </w:r>
    </w:p>
    <w:p w14:paraId="28CC5BEE" w14:textId="77777777" w:rsidR="00154C41" w:rsidRDefault="00154C41" w:rsidP="00154C41">
      <w:pPr>
        <w:pStyle w:val="13"/>
      </w:pPr>
      <w:r>
        <w:rPr>
          <w:rFonts w:hint="eastAsia"/>
        </w:rPr>
        <w:t>（八）绩效评价报告使用限制等其他需要说明的问题</w:t>
      </w:r>
    </w:p>
    <w:p w14:paraId="42EF7AB9" w14:textId="77777777" w:rsidR="00154C41" w:rsidRDefault="00154C41" w:rsidP="00154C41">
      <w:pPr>
        <w:pStyle w:val="13"/>
      </w:pPr>
      <w:r>
        <w:rPr>
          <w:rFonts w:hint="eastAsia"/>
        </w:rPr>
        <w:t>（九）评估机构签章</w:t>
      </w:r>
    </w:p>
    <w:p w14:paraId="7843ED0F" w14:textId="77777777" w:rsidR="00154C41" w:rsidRDefault="00154C41" w:rsidP="00154C41">
      <w:pPr>
        <w:pStyle w:val="13"/>
      </w:pPr>
      <w:r>
        <w:rPr>
          <w:rFonts w:hint="eastAsia"/>
        </w:rPr>
        <w:t>绩效评价报告应当由评估机构加盖公章。</w:t>
      </w:r>
    </w:p>
    <w:p w14:paraId="60EA6131" w14:textId="77777777" w:rsidR="00154C41" w:rsidRDefault="00154C41" w:rsidP="00154C41">
      <w:pPr>
        <w:pStyle w:val="13"/>
      </w:pPr>
      <w:r>
        <w:rPr>
          <w:rFonts w:hint="eastAsia"/>
        </w:rPr>
        <w:t>（十）相关附件</w:t>
      </w:r>
    </w:p>
    <w:p w14:paraId="1A9F81AD" w14:textId="77777777" w:rsidR="00154C41" w:rsidRDefault="00154C41" w:rsidP="00154C41">
      <w:pPr>
        <w:pStyle w:val="13"/>
      </w:pPr>
      <w:r>
        <w:t>1．主要评价依据。</w:t>
      </w:r>
    </w:p>
    <w:p w14:paraId="743E7A66" w14:textId="77777777" w:rsidR="00154C41" w:rsidRDefault="00154C41" w:rsidP="00154C41">
      <w:pPr>
        <w:pStyle w:val="13"/>
      </w:pPr>
      <w:r>
        <w:t>2．实地调研和座谈会相关资料。</w:t>
      </w:r>
    </w:p>
    <w:p w14:paraId="1BEA8FDF" w14:textId="77777777" w:rsidR="00154C41" w:rsidRDefault="00154C41" w:rsidP="00154C41">
      <w:pPr>
        <w:pStyle w:val="13"/>
      </w:pPr>
      <w:r>
        <w:t>3．调查问卷格式及汇总信息。</w:t>
      </w:r>
    </w:p>
    <w:p w14:paraId="109E1862" w14:textId="77777777" w:rsidR="00154C41" w:rsidRDefault="00154C41" w:rsidP="00154C41">
      <w:pPr>
        <w:pStyle w:val="13"/>
      </w:pPr>
      <w:r>
        <w:t>4．其他支持评价结论的相关资料。</w:t>
      </w:r>
    </w:p>
    <w:p w14:paraId="1C1A2E30" w14:textId="77777777" w:rsidR="00154C41" w:rsidRDefault="00154C41" w:rsidP="00154C41">
      <w:pPr>
        <w:pStyle w:val="13"/>
      </w:pPr>
      <w:r>
        <w:t>5．评估机构资质、资格证明文件。</w:t>
      </w:r>
    </w:p>
    <w:p w14:paraId="336A9EF6" w14:textId="7F25728F" w:rsidR="00154C41" w:rsidRDefault="003B2FB1" w:rsidP="00154C41">
      <w:pPr>
        <w:pStyle w:val="13"/>
        <w:ind w:firstLine="482"/>
      </w:pPr>
      <w:r w:rsidRPr="003B2FB1">
        <w:rPr>
          <w:rFonts w:hint="eastAsia"/>
          <w:b/>
        </w:rPr>
        <w:t xml:space="preserve">第三十四条 </w:t>
      </w:r>
      <w:r w:rsidR="00154C41">
        <w:t>绩效评价报告的使用限制说明通常包括：</w:t>
      </w:r>
    </w:p>
    <w:p w14:paraId="1C610DB3" w14:textId="77777777" w:rsidR="00154C41" w:rsidRDefault="00154C41" w:rsidP="00154C41">
      <w:pPr>
        <w:pStyle w:val="13"/>
      </w:pPr>
      <w:r>
        <w:rPr>
          <w:rFonts w:hint="eastAsia"/>
        </w:rPr>
        <w:t>（一）绩效评价报告只能用于评价报告载明的评价目的；</w:t>
      </w:r>
    </w:p>
    <w:p w14:paraId="525746B2" w14:textId="77777777" w:rsidR="00154C41" w:rsidRDefault="00154C41" w:rsidP="00154C41">
      <w:pPr>
        <w:pStyle w:val="13"/>
      </w:pPr>
      <w:r>
        <w:rPr>
          <w:rFonts w:hint="eastAsia"/>
        </w:rPr>
        <w:t>（二）绩效评价报告只能由评价报告载明的评价报告使用者使用；</w:t>
      </w:r>
    </w:p>
    <w:p w14:paraId="793FFD1E" w14:textId="77777777" w:rsidR="00154C41" w:rsidRDefault="00154C41" w:rsidP="00154C41">
      <w:pPr>
        <w:pStyle w:val="13"/>
      </w:pPr>
      <w:r>
        <w:rPr>
          <w:rFonts w:hint="eastAsia"/>
        </w:rPr>
        <w:t>（三）未征得委托方、相关政府部门或出具绩效评价报告的评估机构同意，绩效评价报告的内容不得被摘抄、引用或披露于公开媒体，法律、法规规定及相关当事方另有约定的除外；</w:t>
      </w:r>
    </w:p>
    <w:p w14:paraId="26DE5BAA" w14:textId="77777777" w:rsidR="00154C41" w:rsidRDefault="00154C41" w:rsidP="00154C41">
      <w:pPr>
        <w:pStyle w:val="13"/>
      </w:pPr>
      <w:r>
        <w:rPr>
          <w:rFonts w:hint="eastAsia"/>
        </w:rPr>
        <w:t>（四）绩效评价程序受限造成的评价报告的使用限制。</w:t>
      </w:r>
    </w:p>
    <w:p w14:paraId="3B6F54A9" w14:textId="1ED32BAE" w:rsidR="00154C41" w:rsidRDefault="003B2FB1" w:rsidP="00154C41">
      <w:pPr>
        <w:pStyle w:val="13"/>
        <w:ind w:firstLine="482"/>
      </w:pPr>
      <w:r w:rsidRPr="003B2FB1">
        <w:rPr>
          <w:rFonts w:hint="eastAsia"/>
          <w:b/>
        </w:rPr>
        <w:t xml:space="preserve">第三十五条 </w:t>
      </w:r>
      <w:r w:rsidR="00154C41">
        <w:t>评估机构在出具绩效评价报告前应当对其进行内部审核。</w:t>
      </w:r>
    </w:p>
    <w:p w14:paraId="390FB14F" w14:textId="557240B3" w:rsidR="00154C41" w:rsidRDefault="003B2FB1" w:rsidP="00154C41">
      <w:pPr>
        <w:pStyle w:val="13"/>
        <w:ind w:firstLine="482"/>
      </w:pPr>
      <w:r w:rsidRPr="003B2FB1">
        <w:rPr>
          <w:rFonts w:hint="eastAsia"/>
          <w:b/>
        </w:rPr>
        <w:t xml:space="preserve">第三十六条 </w:t>
      </w:r>
      <w:r w:rsidR="00154C41">
        <w:t>评估机构在出具绩效评价报告前，可以在不影响对最终评价结论进行独立判断的前提下，与委托方或委托方许可的相关当事方就绩效评价报告有关内容进行必要沟通。</w:t>
      </w:r>
    </w:p>
    <w:p w14:paraId="2A11FC57" w14:textId="5A32CD7E" w:rsidR="00154C41" w:rsidRDefault="003B2FB1" w:rsidP="00154C41">
      <w:pPr>
        <w:pStyle w:val="13"/>
        <w:ind w:firstLine="482"/>
      </w:pPr>
      <w:r w:rsidRPr="003B2FB1">
        <w:rPr>
          <w:rFonts w:hint="eastAsia"/>
          <w:b/>
        </w:rPr>
        <w:t xml:space="preserve">第三十七条 </w:t>
      </w:r>
      <w:r w:rsidR="00154C41">
        <w:t>在委托方对绩效评价报告使用过程中，评估机构应当积极配合相关当事方对绩效评价报告进行解释，以促进绩效评价报告能够得到合理使用。</w:t>
      </w:r>
    </w:p>
    <w:p w14:paraId="0F0A6AE1" w14:textId="5CA381AF" w:rsidR="00154C41" w:rsidRDefault="003B2FB1" w:rsidP="00154C41">
      <w:pPr>
        <w:pStyle w:val="13"/>
        <w:ind w:firstLine="482"/>
      </w:pPr>
      <w:r w:rsidRPr="003B2FB1">
        <w:rPr>
          <w:rFonts w:hint="eastAsia"/>
          <w:b/>
        </w:rPr>
        <w:t xml:space="preserve">第三十八条 </w:t>
      </w:r>
      <w:r w:rsidR="00154C41">
        <w:t>评估机构执行绩效评价业务，应当编制工作底稿，工作底稿内容通常包括：</w:t>
      </w:r>
    </w:p>
    <w:p w14:paraId="1DB2E1FA" w14:textId="77777777" w:rsidR="00154C41" w:rsidRDefault="00154C41" w:rsidP="00154C41">
      <w:pPr>
        <w:pStyle w:val="13"/>
      </w:pPr>
      <w:r>
        <w:rPr>
          <w:rFonts w:hint="eastAsia"/>
        </w:rPr>
        <w:t>（一）项目开展过程中所收集的全部有效资料；</w:t>
      </w:r>
    </w:p>
    <w:p w14:paraId="7293FC0C" w14:textId="77777777" w:rsidR="00154C41" w:rsidRDefault="00154C41" w:rsidP="00154C41">
      <w:pPr>
        <w:pStyle w:val="13"/>
      </w:pPr>
      <w:r>
        <w:rPr>
          <w:rFonts w:hint="eastAsia"/>
        </w:rPr>
        <w:t>（二）绩效评价方案、专家论证意见和建议、业务约定书、实地调研记录、座谈会记录、调查问卷等相关工作资料；</w:t>
      </w:r>
    </w:p>
    <w:p w14:paraId="32395C76" w14:textId="77777777" w:rsidR="00154C41" w:rsidRDefault="00154C41" w:rsidP="00154C41">
      <w:pPr>
        <w:pStyle w:val="13"/>
      </w:pPr>
      <w:r>
        <w:rPr>
          <w:rFonts w:hint="eastAsia"/>
        </w:rPr>
        <w:t>（三）绩效评价报告、专家评审意见和建议、结果公开与应用情况等相关资料。</w:t>
      </w:r>
    </w:p>
    <w:p w14:paraId="5D9CD755" w14:textId="5EFFECA8" w:rsidR="00154C41" w:rsidRDefault="003B2FB1" w:rsidP="00154C41">
      <w:pPr>
        <w:pStyle w:val="13"/>
        <w:ind w:firstLine="482"/>
      </w:pPr>
      <w:r w:rsidRPr="003B2FB1">
        <w:rPr>
          <w:rFonts w:hint="eastAsia"/>
          <w:b/>
        </w:rPr>
        <w:t xml:space="preserve">第三十九条 </w:t>
      </w:r>
      <w:r w:rsidR="00154C41">
        <w:t xml:space="preserve"> 评估机构应当在绩效评价报告日后，及时将工作底稿与绩效评价报告等一起归入评价业务档案，并由所在评估机构按照国家有关档案管理的法律法规的规定妥善管理。</w:t>
      </w:r>
    </w:p>
    <w:p w14:paraId="64FDC81F" w14:textId="77777777" w:rsidR="00154C41" w:rsidRDefault="00154C41" w:rsidP="00AF7342">
      <w:pPr>
        <w:pStyle w:val="a9"/>
        <w:spacing w:before="62" w:after="62"/>
      </w:pPr>
      <w:r>
        <w:rPr>
          <w:rFonts w:hint="eastAsia"/>
        </w:rPr>
        <w:lastRenderedPageBreak/>
        <w:t>第九章</w:t>
      </w:r>
      <w:r>
        <w:t xml:space="preserve"> 附则</w:t>
      </w:r>
    </w:p>
    <w:p w14:paraId="69BF9BA6" w14:textId="1117D6A0" w:rsidR="00154C41" w:rsidRDefault="003B2FB1" w:rsidP="00154C41">
      <w:pPr>
        <w:pStyle w:val="13"/>
        <w:ind w:firstLine="482"/>
      </w:pPr>
      <w:r w:rsidRPr="003B2FB1">
        <w:rPr>
          <w:rFonts w:hint="eastAsia"/>
          <w:b/>
        </w:rPr>
        <w:t xml:space="preserve">第四十条 </w:t>
      </w:r>
      <w:r w:rsidR="00154C41">
        <w:t xml:space="preserve"> 本操作指引自2014年8月1日起施行。</w:t>
      </w:r>
    </w:p>
    <w:p w14:paraId="76C320D1" w14:textId="3D3CC186" w:rsidR="00154C41" w:rsidRDefault="00154C41" w:rsidP="00154C41">
      <w:pPr>
        <w:pStyle w:val="13"/>
      </w:pPr>
      <w:r>
        <w:rPr>
          <w:rFonts w:hint="eastAsia"/>
        </w:rPr>
        <w:t>附：</w:t>
      </w:r>
      <w:r>
        <w:t xml:space="preserve"> 1. 评估机构执行绩效评价业务工作流程图（供参考） </w:t>
      </w:r>
    </w:p>
    <w:p w14:paraId="71103B6D" w14:textId="30F17A4D" w:rsidR="00154C41" w:rsidRDefault="00154C41" w:rsidP="00154C41">
      <w:pPr>
        <w:pStyle w:val="13"/>
      </w:pPr>
      <w:r>
        <w:t xml:space="preserve">     2. 评估机构执行绩效评价业务指标框架（供参考）</w:t>
      </w:r>
    </w:p>
    <w:p w14:paraId="3AEDAF4B" w14:textId="77777777" w:rsidR="00154C41" w:rsidRDefault="00154C41">
      <w:pPr>
        <w:widowControl/>
        <w:jc w:val="left"/>
        <w:rPr>
          <w:rFonts w:ascii="宋体" w:hAnsi="宋体"/>
          <w:sz w:val="24"/>
          <w:szCs w:val="24"/>
        </w:rPr>
      </w:pPr>
      <w:r>
        <w:br w:type="page"/>
      </w:r>
    </w:p>
    <w:p w14:paraId="7D18A3DC" w14:textId="4708B408" w:rsidR="00882ED4" w:rsidRPr="00154C41" w:rsidRDefault="00154C41" w:rsidP="00154C41">
      <w:pPr>
        <w:pStyle w:val="13"/>
        <w:ind w:firstLineChars="0" w:firstLine="0"/>
        <w:rPr>
          <w:b/>
          <w:bCs/>
        </w:rPr>
      </w:pPr>
      <w:r w:rsidRPr="00154C41">
        <w:rPr>
          <w:rFonts w:hint="eastAsia"/>
          <w:b/>
          <w:bCs/>
        </w:rPr>
        <w:lastRenderedPageBreak/>
        <w:t>附</w:t>
      </w:r>
      <w:r w:rsidRPr="00154C41">
        <w:rPr>
          <w:b/>
          <w:bCs/>
        </w:rPr>
        <w:t>1：评估机构执行绩效评价业务工作流程图（供参考）</w:t>
      </w:r>
    </w:p>
    <w:p w14:paraId="51A5C2FE" w14:textId="5F367C9D" w:rsidR="00882ED4" w:rsidRDefault="00882ED4" w:rsidP="00882ED4">
      <w:pPr>
        <w:pStyle w:val="13"/>
      </w:pPr>
    </w:p>
    <w:p w14:paraId="485773EB" w14:textId="5D8D3AA9" w:rsidR="00882ED4" w:rsidRDefault="00154C41" w:rsidP="00882ED4">
      <w:pPr>
        <w:pStyle w:val="13"/>
      </w:pPr>
      <w:r>
        <w:object w:dxaOrig="9180" w:dyaOrig="10725" w14:anchorId="57CD3E5B">
          <v:shape id="_x0000_i1034" type="#_x0000_t75" style="width:435.75pt;height:509.25pt" o:ole="">
            <v:imagedata r:id="rId71" o:title=""/>
          </v:shape>
          <o:OLEObject Type="Embed" ProgID="Visio.Drawing.11" ShapeID="_x0000_i1034" DrawAspect="Content" ObjectID="_1728719978" r:id="rId72"/>
        </w:object>
      </w:r>
    </w:p>
    <w:p w14:paraId="46D54A79" w14:textId="4B6AA97C" w:rsidR="00154C41" w:rsidRDefault="00154C41">
      <w:pPr>
        <w:widowControl/>
        <w:jc w:val="left"/>
        <w:rPr>
          <w:rFonts w:ascii="宋体" w:hAnsi="宋体"/>
          <w:sz w:val="24"/>
          <w:szCs w:val="24"/>
        </w:rPr>
      </w:pPr>
      <w:r>
        <w:br w:type="page"/>
      </w:r>
    </w:p>
    <w:p w14:paraId="55F4E0B3" w14:textId="680E9A83" w:rsidR="00882ED4" w:rsidRPr="00154C41" w:rsidRDefault="00154C41" w:rsidP="00154C41">
      <w:pPr>
        <w:pStyle w:val="13"/>
        <w:ind w:firstLineChars="0" w:firstLine="0"/>
        <w:rPr>
          <w:b/>
          <w:bCs/>
        </w:rPr>
      </w:pPr>
      <w:r w:rsidRPr="00154C41">
        <w:rPr>
          <w:rFonts w:hint="eastAsia"/>
          <w:b/>
          <w:bCs/>
        </w:rPr>
        <w:lastRenderedPageBreak/>
        <w:t>附</w:t>
      </w:r>
      <w:r w:rsidRPr="00154C41">
        <w:rPr>
          <w:b/>
          <w:bCs/>
        </w:rPr>
        <w:t>2：评估机构执行绩效评价业务指标框架（供参考）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
        <w:gridCol w:w="1080"/>
        <w:gridCol w:w="1277"/>
        <w:gridCol w:w="1817"/>
        <w:gridCol w:w="3788"/>
      </w:tblGrid>
      <w:tr w:rsidR="00630F4F" w:rsidRPr="00154C41" w14:paraId="5D7E1952" w14:textId="77777777" w:rsidTr="00630F4F">
        <w:trPr>
          <w:trHeight w:val="1080"/>
          <w:tblHeader/>
        </w:trPr>
        <w:tc>
          <w:tcPr>
            <w:tcW w:w="435" w:type="pct"/>
            <w:vAlign w:val="center"/>
          </w:tcPr>
          <w:p w14:paraId="5B3A466D" w14:textId="77777777" w:rsidR="00154C41" w:rsidRPr="00154C41" w:rsidRDefault="00154C41" w:rsidP="00630F4F">
            <w:pPr>
              <w:pStyle w:val="13"/>
              <w:spacing w:line="240" w:lineRule="auto"/>
              <w:ind w:firstLineChars="0" w:firstLine="0"/>
              <w:jc w:val="center"/>
              <w:rPr>
                <w:b/>
                <w:bCs/>
                <w:sz w:val="21"/>
                <w:szCs w:val="21"/>
              </w:rPr>
            </w:pPr>
            <w:r w:rsidRPr="00154C41">
              <w:rPr>
                <w:b/>
                <w:bCs/>
                <w:sz w:val="21"/>
                <w:szCs w:val="21"/>
              </w:rPr>
              <w:t>一级指标</w:t>
            </w:r>
          </w:p>
        </w:tc>
        <w:tc>
          <w:tcPr>
            <w:tcW w:w="619" w:type="pct"/>
            <w:vAlign w:val="center"/>
          </w:tcPr>
          <w:p w14:paraId="65ACBBC8" w14:textId="77777777" w:rsidR="00154C41" w:rsidRPr="00154C41" w:rsidRDefault="00154C41" w:rsidP="00630F4F">
            <w:pPr>
              <w:pStyle w:val="13"/>
              <w:spacing w:line="240" w:lineRule="auto"/>
              <w:ind w:firstLineChars="0" w:firstLine="0"/>
              <w:jc w:val="center"/>
              <w:rPr>
                <w:b/>
                <w:bCs/>
                <w:sz w:val="21"/>
                <w:szCs w:val="21"/>
              </w:rPr>
            </w:pPr>
            <w:r w:rsidRPr="00154C41">
              <w:rPr>
                <w:b/>
                <w:bCs/>
                <w:sz w:val="21"/>
                <w:szCs w:val="21"/>
              </w:rPr>
              <w:t>权重</w:t>
            </w:r>
          </w:p>
          <w:p w14:paraId="2EACCEFC" w14:textId="77777777" w:rsidR="00154C41" w:rsidRPr="00154C41" w:rsidRDefault="00154C41" w:rsidP="00630F4F">
            <w:pPr>
              <w:pStyle w:val="13"/>
              <w:spacing w:line="240" w:lineRule="auto"/>
              <w:ind w:firstLineChars="0" w:firstLine="0"/>
              <w:jc w:val="center"/>
              <w:rPr>
                <w:sz w:val="21"/>
                <w:szCs w:val="21"/>
              </w:rPr>
            </w:pPr>
            <w:r w:rsidRPr="00154C41">
              <w:rPr>
                <w:sz w:val="21"/>
                <w:szCs w:val="21"/>
              </w:rPr>
              <w:t>（根据项目具体情况设定）</w:t>
            </w:r>
          </w:p>
        </w:tc>
        <w:tc>
          <w:tcPr>
            <w:tcW w:w="732" w:type="pct"/>
            <w:vAlign w:val="center"/>
          </w:tcPr>
          <w:p w14:paraId="368D5F88" w14:textId="52C7EFEB" w:rsidR="00154C41" w:rsidRPr="00154C41" w:rsidRDefault="00154C41" w:rsidP="00630F4F">
            <w:pPr>
              <w:pStyle w:val="13"/>
              <w:spacing w:line="240" w:lineRule="auto"/>
              <w:ind w:firstLineChars="0" w:firstLine="0"/>
              <w:jc w:val="center"/>
              <w:rPr>
                <w:b/>
                <w:bCs/>
                <w:sz w:val="21"/>
                <w:szCs w:val="21"/>
              </w:rPr>
            </w:pPr>
            <w:r w:rsidRPr="00154C41">
              <w:rPr>
                <w:b/>
                <w:bCs/>
                <w:sz w:val="21"/>
                <w:szCs w:val="21"/>
              </w:rPr>
              <w:t>二级指标</w:t>
            </w:r>
          </w:p>
          <w:p w14:paraId="6896B0E8" w14:textId="77777777" w:rsidR="00154C41" w:rsidRPr="00154C41" w:rsidRDefault="00154C41" w:rsidP="00630F4F">
            <w:pPr>
              <w:pStyle w:val="13"/>
              <w:spacing w:line="240" w:lineRule="auto"/>
              <w:ind w:firstLineChars="0" w:firstLine="0"/>
              <w:jc w:val="center"/>
              <w:rPr>
                <w:b/>
                <w:bCs/>
                <w:sz w:val="21"/>
                <w:szCs w:val="21"/>
              </w:rPr>
            </w:pPr>
            <w:r w:rsidRPr="00154C41">
              <w:rPr>
                <w:sz w:val="21"/>
                <w:szCs w:val="21"/>
              </w:rPr>
              <w:t>（可根据项目具体情况局部调整）</w:t>
            </w:r>
          </w:p>
        </w:tc>
        <w:tc>
          <w:tcPr>
            <w:tcW w:w="1042" w:type="pct"/>
            <w:vAlign w:val="center"/>
          </w:tcPr>
          <w:p w14:paraId="780D9F93" w14:textId="77777777" w:rsidR="00154C41" w:rsidRPr="00154C41" w:rsidRDefault="00154C41" w:rsidP="00630F4F">
            <w:pPr>
              <w:pStyle w:val="13"/>
              <w:spacing w:line="240" w:lineRule="auto"/>
              <w:ind w:firstLineChars="0" w:firstLine="0"/>
              <w:jc w:val="center"/>
              <w:rPr>
                <w:b/>
                <w:bCs/>
                <w:sz w:val="21"/>
                <w:szCs w:val="21"/>
              </w:rPr>
            </w:pPr>
            <w:r w:rsidRPr="00154C41">
              <w:rPr>
                <w:b/>
                <w:bCs/>
                <w:sz w:val="21"/>
                <w:szCs w:val="21"/>
              </w:rPr>
              <w:t>三级指标</w:t>
            </w:r>
          </w:p>
          <w:p w14:paraId="3DAFCECD" w14:textId="77777777" w:rsidR="00154C41" w:rsidRPr="00154C41" w:rsidRDefault="00154C41" w:rsidP="00630F4F">
            <w:pPr>
              <w:pStyle w:val="13"/>
              <w:spacing w:line="240" w:lineRule="auto"/>
              <w:ind w:firstLineChars="0" w:firstLine="0"/>
              <w:jc w:val="center"/>
              <w:rPr>
                <w:b/>
                <w:bCs/>
                <w:sz w:val="21"/>
                <w:szCs w:val="21"/>
              </w:rPr>
            </w:pPr>
            <w:r w:rsidRPr="00154C41">
              <w:rPr>
                <w:sz w:val="21"/>
                <w:szCs w:val="21"/>
              </w:rPr>
              <w:t>（供参考，根据项目具体情况设定）</w:t>
            </w:r>
          </w:p>
        </w:tc>
        <w:tc>
          <w:tcPr>
            <w:tcW w:w="2172" w:type="pct"/>
            <w:vAlign w:val="center"/>
          </w:tcPr>
          <w:p w14:paraId="1C9D66D1" w14:textId="77777777" w:rsidR="00154C41" w:rsidRPr="00154C41" w:rsidRDefault="00154C41" w:rsidP="00630F4F">
            <w:pPr>
              <w:pStyle w:val="13"/>
              <w:spacing w:line="240" w:lineRule="auto"/>
              <w:ind w:firstLineChars="0" w:firstLine="0"/>
              <w:jc w:val="center"/>
              <w:rPr>
                <w:b/>
                <w:bCs/>
                <w:sz w:val="21"/>
                <w:szCs w:val="21"/>
              </w:rPr>
            </w:pPr>
            <w:r w:rsidRPr="00154C41">
              <w:rPr>
                <w:b/>
                <w:bCs/>
                <w:sz w:val="21"/>
                <w:szCs w:val="21"/>
              </w:rPr>
              <w:t>指标解释</w:t>
            </w:r>
          </w:p>
        </w:tc>
      </w:tr>
      <w:tr w:rsidR="00630F4F" w:rsidRPr="00154C41" w14:paraId="60D6A940" w14:textId="77777777" w:rsidTr="00630F4F">
        <w:trPr>
          <w:trHeight w:val="540"/>
        </w:trPr>
        <w:tc>
          <w:tcPr>
            <w:tcW w:w="435" w:type="pct"/>
            <w:vMerge w:val="restart"/>
            <w:vAlign w:val="center"/>
          </w:tcPr>
          <w:p w14:paraId="499E3DDF" w14:textId="77777777" w:rsidR="00154C41" w:rsidRPr="00154C41" w:rsidRDefault="00154C41" w:rsidP="00630F4F">
            <w:pPr>
              <w:pStyle w:val="13"/>
              <w:spacing w:line="240" w:lineRule="auto"/>
              <w:ind w:firstLineChars="0" w:firstLine="0"/>
              <w:rPr>
                <w:sz w:val="21"/>
                <w:szCs w:val="21"/>
              </w:rPr>
            </w:pPr>
            <w:r w:rsidRPr="00154C41">
              <w:rPr>
                <w:sz w:val="21"/>
                <w:szCs w:val="21"/>
              </w:rPr>
              <w:t>项目决策</w:t>
            </w:r>
          </w:p>
        </w:tc>
        <w:tc>
          <w:tcPr>
            <w:tcW w:w="619" w:type="pct"/>
            <w:vMerge w:val="restart"/>
            <w:vAlign w:val="center"/>
          </w:tcPr>
          <w:p w14:paraId="56B8811B" w14:textId="77777777" w:rsidR="00154C41" w:rsidRPr="00154C41" w:rsidRDefault="00154C41" w:rsidP="00630F4F">
            <w:pPr>
              <w:pStyle w:val="13"/>
              <w:spacing w:line="240" w:lineRule="auto"/>
              <w:ind w:firstLineChars="0" w:firstLine="0"/>
              <w:rPr>
                <w:sz w:val="21"/>
                <w:szCs w:val="21"/>
              </w:rPr>
            </w:pPr>
            <w:r w:rsidRPr="00154C41">
              <w:rPr>
                <w:sz w:val="21"/>
                <w:szCs w:val="21"/>
              </w:rPr>
              <w:t>15±5</w:t>
            </w:r>
          </w:p>
        </w:tc>
        <w:tc>
          <w:tcPr>
            <w:tcW w:w="732" w:type="pct"/>
            <w:vAlign w:val="center"/>
          </w:tcPr>
          <w:p w14:paraId="7F3DD4A0" w14:textId="77777777" w:rsidR="00154C41" w:rsidRPr="00154C41" w:rsidRDefault="00154C41" w:rsidP="00630F4F">
            <w:pPr>
              <w:pStyle w:val="13"/>
              <w:spacing w:line="240" w:lineRule="auto"/>
              <w:ind w:firstLineChars="0" w:firstLine="0"/>
              <w:rPr>
                <w:sz w:val="21"/>
                <w:szCs w:val="21"/>
              </w:rPr>
            </w:pPr>
            <w:r w:rsidRPr="00154C41">
              <w:rPr>
                <w:sz w:val="21"/>
                <w:szCs w:val="21"/>
              </w:rPr>
              <w:t>战略目标适应性</w:t>
            </w:r>
          </w:p>
        </w:tc>
        <w:tc>
          <w:tcPr>
            <w:tcW w:w="1042" w:type="pct"/>
            <w:vAlign w:val="center"/>
          </w:tcPr>
          <w:p w14:paraId="02130CF1" w14:textId="77777777" w:rsidR="00154C41" w:rsidRPr="00154C41" w:rsidRDefault="00154C41" w:rsidP="00630F4F">
            <w:pPr>
              <w:pStyle w:val="13"/>
              <w:spacing w:line="240" w:lineRule="auto"/>
              <w:ind w:firstLineChars="0" w:firstLine="0"/>
              <w:rPr>
                <w:sz w:val="21"/>
                <w:szCs w:val="21"/>
              </w:rPr>
            </w:pPr>
            <w:r w:rsidRPr="00154C41">
              <w:rPr>
                <w:sz w:val="21"/>
                <w:szCs w:val="21"/>
              </w:rPr>
              <w:t>项目与战略目标（部门职能）的适应性</w:t>
            </w:r>
          </w:p>
        </w:tc>
        <w:tc>
          <w:tcPr>
            <w:tcW w:w="2172" w:type="pct"/>
            <w:vAlign w:val="center"/>
          </w:tcPr>
          <w:p w14:paraId="2FE4351F" w14:textId="77777777" w:rsidR="00154C41" w:rsidRPr="00154C41" w:rsidRDefault="00154C41" w:rsidP="00630F4F">
            <w:pPr>
              <w:pStyle w:val="13"/>
              <w:spacing w:line="240" w:lineRule="auto"/>
              <w:ind w:firstLineChars="0" w:firstLine="0"/>
              <w:rPr>
                <w:sz w:val="21"/>
                <w:szCs w:val="21"/>
              </w:rPr>
            </w:pPr>
            <w:r w:rsidRPr="00154C41">
              <w:rPr>
                <w:sz w:val="21"/>
                <w:szCs w:val="21"/>
              </w:rPr>
              <w:t>项目是否能够支持部门目标的实现，是否符合发展政策和优先发展重点</w:t>
            </w:r>
          </w:p>
        </w:tc>
      </w:tr>
      <w:tr w:rsidR="00630F4F" w:rsidRPr="00154C41" w14:paraId="514C37F4" w14:textId="77777777" w:rsidTr="00630F4F">
        <w:trPr>
          <w:trHeight w:val="270"/>
        </w:trPr>
        <w:tc>
          <w:tcPr>
            <w:tcW w:w="435" w:type="pct"/>
            <w:vMerge/>
            <w:vAlign w:val="center"/>
          </w:tcPr>
          <w:p w14:paraId="2627D591"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6138E2EE" w14:textId="77777777" w:rsidR="00154C41" w:rsidRPr="00154C41" w:rsidRDefault="00154C41" w:rsidP="00630F4F">
            <w:pPr>
              <w:pStyle w:val="13"/>
              <w:spacing w:line="240" w:lineRule="auto"/>
              <w:ind w:firstLineChars="0" w:firstLine="0"/>
              <w:rPr>
                <w:sz w:val="21"/>
                <w:szCs w:val="21"/>
              </w:rPr>
            </w:pPr>
          </w:p>
        </w:tc>
        <w:tc>
          <w:tcPr>
            <w:tcW w:w="732" w:type="pct"/>
            <w:vMerge w:val="restart"/>
            <w:vAlign w:val="center"/>
          </w:tcPr>
          <w:p w14:paraId="5E66BAB2" w14:textId="77777777" w:rsidR="00154C41" w:rsidRPr="00154C41" w:rsidRDefault="00154C41" w:rsidP="00630F4F">
            <w:pPr>
              <w:pStyle w:val="13"/>
              <w:spacing w:line="240" w:lineRule="auto"/>
              <w:ind w:firstLineChars="0" w:firstLine="0"/>
              <w:rPr>
                <w:sz w:val="21"/>
                <w:szCs w:val="21"/>
              </w:rPr>
            </w:pPr>
            <w:r w:rsidRPr="00154C41">
              <w:rPr>
                <w:sz w:val="21"/>
                <w:szCs w:val="21"/>
              </w:rPr>
              <w:t>立项合理性</w:t>
            </w:r>
          </w:p>
        </w:tc>
        <w:tc>
          <w:tcPr>
            <w:tcW w:w="1042" w:type="pct"/>
            <w:vAlign w:val="center"/>
          </w:tcPr>
          <w:p w14:paraId="261530A2" w14:textId="77777777" w:rsidR="00154C41" w:rsidRPr="00154C41" w:rsidRDefault="00154C41" w:rsidP="00630F4F">
            <w:pPr>
              <w:pStyle w:val="13"/>
              <w:spacing w:line="240" w:lineRule="auto"/>
              <w:ind w:firstLineChars="0" w:firstLine="0"/>
              <w:rPr>
                <w:sz w:val="21"/>
                <w:szCs w:val="21"/>
              </w:rPr>
            </w:pPr>
            <w:r w:rsidRPr="00154C41">
              <w:rPr>
                <w:sz w:val="21"/>
                <w:szCs w:val="21"/>
              </w:rPr>
              <w:t>项目立项的规范性</w:t>
            </w:r>
          </w:p>
        </w:tc>
        <w:tc>
          <w:tcPr>
            <w:tcW w:w="2172" w:type="pct"/>
            <w:vAlign w:val="center"/>
          </w:tcPr>
          <w:p w14:paraId="15F774E5" w14:textId="77777777" w:rsidR="00154C41" w:rsidRPr="00154C41" w:rsidRDefault="00154C41" w:rsidP="00630F4F">
            <w:pPr>
              <w:pStyle w:val="13"/>
              <w:spacing w:line="240" w:lineRule="auto"/>
              <w:ind w:firstLineChars="0" w:firstLine="0"/>
              <w:rPr>
                <w:sz w:val="21"/>
                <w:szCs w:val="21"/>
              </w:rPr>
            </w:pPr>
            <w:r w:rsidRPr="00154C41">
              <w:rPr>
                <w:sz w:val="21"/>
                <w:szCs w:val="21"/>
              </w:rPr>
              <w:t>项目的申请、设立过程是否符合相关要求，立项资料是否齐全，用以反映和考核项目立项的规范情况。</w:t>
            </w:r>
          </w:p>
        </w:tc>
      </w:tr>
      <w:tr w:rsidR="00630F4F" w:rsidRPr="00154C41" w14:paraId="6840CA8C" w14:textId="77777777" w:rsidTr="00630F4F">
        <w:trPr>
          <w:trHeight w:val="270"/>
        </w:trPr>
        <w:tc>
          <w:tcPr>
            <w:tcW w:w="435" w:type="pct"/>
            <w:vMerge/>
            <w:vAlign w:val="center"/>
          </w:tcPr>
          <w:p w14:paraId="740B5F68"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73581BD4"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16308862"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5EECCE86" w14:textId="77777777" w:rsidR="00154C41" w:rsidRPr="00154C41" w:rsidRDefault="00154C41" w:rsidP="00630F4F">
            <w:pPr>
              <w:pStyle w:val="13"/>
              <w:spacing w:line="240" w:lineRule="auto"/>
              <w:ind w:firstLineChars="0" w:firstLine="0"/>
              <w:rPr>
                <w:sz w:val="21"/>
                <w:szCs w:val="21"/>
              </w:rPr>
            </w:pPr>
            <w:r w:rsidRPr="00154C41">
              <w:rPr>
                <w:sz w:val="21"/>
                <w:szCs w:val="21"/>
              </w:rPr>
              <w:t>立项依据的充分性</w:t>
            </w:r>
          </w:p>
        </w:tc>
        <w:tc>
          <w:tcPr>
            <w:tcW w:w="2172" w:type="pct"/>
            <w:vAlign w:val="center"/>
          </w:tcPr>
          <w:p w14:paraId="3DBBC9FD" w14:textId="77777777" w:rsidR="00154C41" w:rsidRPr="00154C41" w:rsidRDefault="00154C41" w:rsidP="00630F4F">
            <w:pPr>
              <w:pStyle w:val="13"/>
              <w:spacing w:line="240" w:lineRule="auto"/>
              <w:ind w:firstLineChars="0" w:firstLine="0"/>
              <w:rPr>
                <w:sz w:val="21"/>
                <w:szCs w:val="21"/>
              </w:rPr>
            </w:pPr>
            <w:r w:rsidRPr="00154C41">
              <w:rPr>
                <w:sz w:val="21"/>
                <w:szCs w:val="21"/>
              </w:rPr>
              <w:t>项目立项是否有充分的依据</w:t>
            </w:r>
          </w:p>
        </w:tc>
      </w:tr>
      <w:tr w:rsidR="00630F4F" w:rsidRPr="00154C41" w14:paraId="52F4A6B4" w14:textId="77777777" w:rsidTr="00630F4F">
        <w:trPr>
          <w:trHeight w:val="270"/>
        </w:trPr>
        <w:tc>
          <w:tcPr>
            <w:tcW w:w="435" w:type="pct"/>
            <w:vMerge/>
            <w:vAlign w:val="center"/>
          </w:tcPr>
          <w:p w14:paraId="18A73C52"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62C1D8FF"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41AEAC37"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6511A44D" w14:textId="77777777" w:rsidR="00154C41" w:rsidRPr="00154C41" w:rsidRDefault="00154C41" w:rsidP="00630F4F">
            <w:pPr>
              <w:pStyle w:val="13"/>
              <w:spacing w:line="240" w:lineRule="auto"/>
              <w:ind w:firstLineChars="0" w:firstLine="0"/>
              <w:rPr>
                <w:sz w:val="21"/>
                <w:szCs w:val="21"/>
              </w:rPr>
            </w:pPr>
            <w:r w:rsidRPr="00154C41">
              <w:rPr>
                <w:sz w:val="21"/>
                <w:szCs w:val="21"/>
              </w:rPr>
              <w:t>绩效目标的合理性</w:t>
            </w:r>
          </w:p>
        </w:tc>
        <w:tc>
          <w:tcPr>
            <w:tcW w:w="2172" w:type="pct"/>
            <w:vAlign w:val="center"/>
          </w:tcPr>
          <w:p w14:paraId="70D91482" w14:textId="77777777" w:rsidR="00154C41" w:rsidRPr="00154C41" w:rsidRDefault="00154C41" w:rsidP="00630F4F">
            <w:pPr>
              <w:pStyle w:val="13"/>
              <w:spacing w:line="240" w:lineRule="auto"/>
              <w:ind w:firstLineChars="0" w:firstLine="0"/>
              <w:rPr>
                <w:sz w:val="21"/>
                <w:szCs w:val="21"/>
              </w:rPr>
            </w:pPr>
            <w:r w:rsidRPr="00154C41">
              <w:rPr>
                <w:sz w:val="21"/>
                <w:szCs w:val="21"/>
              </w:rPr>
              <w:t>项目所设定的绩效目标是否依据充分，是否符合客观实际，用以反映和考核项目绩效目标与项目实施的相符情况。</w:t>
            </w:r>
          </w:p>
        </w:tc>
      </w:tr>
      <w:tr w:rsidR="00630F4F" w:rsidRPr="00154C41" w14:paraId="4B5613D0" w14:textId="77777777" w:rsidTr="00630F4F">
        <w:trPr>
          <w:trHeight w:val="270"/>
        </w:trPr>
        <w:tc>
          <w:tcPr>
            <w:tcW w:w="435" w:type="pct"/>
            <w:vMerge/>
            <w:vAlign w:val="center"/>
          </w:tcPr>
          <w:p w14:paraId="0EAC1B63"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7BA37031"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4813EFBA"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3FE08A03" w14:textId="77777777" w:rsidR="00154C41" w:rsidRPr="00154C41" w:rsidRDefault="00154C41" w:rsidP="00630F4F">
            <w:pPr>
              <w:pStyle w:val="13"/>
              <w:spacing w:line="240" w:lineRule="auto"/>
              <w:ind w:firstLineChars="0" w:firstLine="0"/>
              <w:rPr>
                <w:sz w:val="21"/>
                <w:szCs w:val="21"/>
              </w:rPr>
            </w:pPr>
            <w:r w:rsidRPr="00154C41">
              <w:rPr>
                <w:sz w:val="21"/>
                <w:szCs w:val="21"/>
              </w:rPr>
              <w:t>绩效指标明确性</w:t>
            </w:r>
          </w:p>
        </w:tc>
        <w:tc>
          <w:tcPr>
            <w:tcW w:w="2172" w:type="pct"/>
            <w:vAlign w:val="center"/>
          </w:tcPr>
          <w:p w14:paraId="241B6DF5" w14:textId="77777777" w:rsidR="00154C41" w:rsidRPr="00154C41" w:rsidRDefault="00154C41" w:rsidP="00630F4F">
            <w:pPr>
              <w:pStyle w:val="13"/>
              <w:spacing w:line="240" w:lineRule="auto"/>
              <w:ind w:firstLineChars="0" w:firstLine="0"/>
              <w:rPr>
                <w:sz w:val="21"/>
                <w:szCs w:val="21"/>
              </w:rPr>
            </w:pPr>
            <w:r w:rsidRPr="00154C41">
              <w:rPr>
                <w:sz w:val="21"/>
                <w:szCs w:val="21"/>
              </w:rPr>
              <w:t>依据项目申报或执行中绩效目标设定的绩效指标是否清晰、细化、可衡量等，用以反映和考核项目绩效目标与项目实施的相符情况。</w:t>
            </w:r>
          </w:p>
        </w:tc>
      </w:tr>
      <w:tr w:rsidR="00630F4F" w:rsidRPr="00154C41" w14:paraId="0CA2D0CE" w14:textId="77777777" w:rsidTr="00630F4F">
        <w:trPr>
          <w:trHeight w:val="270"/>
        </w:trPr>
        <w:tc>
          <w:tcPr>
            <w:tcW w:w="435" w:type="pct"/>
            <w:vMerge w:val="restart"/>
            <w:vAlign w:val="center"/>
          </w:tcPr>
          <w:p w14:paraId="4042FB2A" w14:textId="77777777" w:rsidR="00154C41" w:rsidRPr="00154C41" w:rsidRDefault="00154C41" w:rsidP="00630F4F">
            <w:pPr>
              <w:pStyle w:val="13"/>
              <w:spacing w:line="240" w:lineRule="auto"/>
              <w:ind w:firstLineChars="0" w:firstLine="0"/>
              <w:rPr>
                <w:sz w:val="21"/>
                <w:szCs w:val="21"/>
              </w:rPr>
            </w:pPr>
            <w:r w:rsidRPr="00154C41">
              <w:rPr>
                <w:sz w:val="21"/>
                <w:szCs w:val="21"/>
              </w:rPr>
              <w:t>项目管理</w:t>
            </w:r>
          </w:p>
        </w:tc>
        <w:tc>
          <w:tcPr>
            <w:tcW w:w="619" w:type="pct"/>
            <w:vMerge w:val="restart"/>
            <w:vAlign w:val="center"/>
          </w:tcPr>
          <w:p w14:paraId="64AA439C" w14:textId="77777777" w:rsidR="00154C41" w:rsidRPr="00154C41" w:rsidRDefault="00154C41" w:rsidP="00630F4F">
            <w:pPr>
              <w:pStyle w:val="13"/>
              <w:spacing w:line="240" w:lineRule="auto"/>
              <w:ind w:firstLineChars="0" w:firstLine="0"/>
              <w:rPr>
                <w:sz w:val="21"/>
                <w:szCs w:val="21"/>
              </w:rPr>
            </w:pPr>
            <w:r w:rsidRPr="00154C41">
              <w:rPr>
                <w:sz w:val="21"/>
                <w:szCs w:val="21"/>
              </w:rPr>
              <w:t>20±5</w:t>
            </w:r>
          </w:p>
        </w:tc>
        <w:tc>
          <w:tcPr>
            <w:tcW w:w="732" w:type="pct"/>
            <w:vMerge w:val="restart"/>
            <w:vAlign w:val="center"/>
          </w:tcPr>
          <w:p w14:paraId="72F0B134" w14:textId="77777777" w:rsidR="00154C41" w:rsidRPr="00154C41" w:rsidRDefault="00154C41" w:rsidP="00630F4F">
            <w:pPr>
              <w:pStyle w:val="13"/>
              <w:spacing w:line="240" w:lineRule="auto"/>
              <w:ind w:firstLineChars="0" w:firstLine="0"/>
              <w:rPr>
                <w:sz w:val="21"/>
                <w:szCs w:val="21"/>
              </w:rPr>
            </w:pPr>
            <w:r w:rsidRPr="00154C41">
              <w:rPr>
                <w:sz w:val="21"/>
                <w:szCs w:val="21"/>
              </w:rPr>
              <w:t>投入管理</w:t>
            </w:r>
          </w:p>
        </w:tc>
        <w:tc>
          <w:tcPr>
            <w:tcW w:w="1042" w:type="pct"/>
            <w:vAlign w:val="center"/>
          </w:tcPr>
          <w:p w14:paraId="16CB098F" w14:textId="77777777" w:rsidR="00154C41" w:rsidRPr="00154C41" w:rsidRDefault="00154C41" w:rsidP="00630F4F">
            <w:pPr>
              <w:pStyle w:val="13"/>
              <w:spacing w:line="240" w:lineRule="auto"/>
              <w:ind w:firstLineChars="0" w:firstLine="0"/>
              <w:rPr>
                <w:sz w:val="21"/>
                <w:szCs w:val="21"/>
              </w:rPr>
            </w:pPr>
            <w:r w:rsidRPr="00154C41">
              <w:rPr>
                <w:sz w:val="21"/>
                <w:szCs w:val="21"/>
              </w:rPr>
              <w:t>预算执行率</w:t>
            </w:r>
          </w:p>
        </w:tc>
        <w:tc>
          <w:tcPr>
            <w:tcW w:w="2172" w:type="pct"/>
            <w:vAlign w:val="center"/>
          </w:tcPr>
          <w:p w14:paraId="063A7B8F" w14:textId="77777777" w:rsidR="00154C41" w:rsidRPr="00154C41" w:rsidRDefault="00154C41" w:rsidP="00630F4F">
            <w:pPr>
              <w:pStyle w:val="13"/>
              <w:spacing w:line="240" w:lineRule="auto"/>
              <w:ind w:firstLineChars="0" w:firstLine="0"/>
              <w:rPr>
                <w:sz w:val="21"/>
                <w:szCs w:val="21"/>
              </w:rPr>
            </w:pPr>
            <w:r w:rsidRPr="00154C41">
              <w:rPr>
                <w:sz w:val="21"/>
                <w:szCs w:val="21"/>
              </w:rPr>
              <w:t>预算执行率=实际支出/实际到位预算</w:t>
            </w:r>
          </w:p>
        </w:tc>
      </w:tr>
      <w:tr w:rsidR="00630F4F" w:rsidRPr="00154C41" w14:paraId="3D1AB3AA" w14:textId="77777777" w:rsidTr="00630F4F">
        <w:trPr>
          <w:trHeight w:val="270"/>
        </w:trPr>
        <w:tc>
          <w:tcPr>
            <w:tcW w:w="435" w:type="pct"/>
            <w:vMerge/>
            <w:vAlign w:val="center"/>
          </w:tcPr>
          <w:p w14:paraId="5D31169F"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3F3DBCE9"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3E8506BE"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10608789" w14:textId="77777777" w:rsidR="00154C41" w:rsidRPr="00154C41" w:rsidRDefault="00154C41" w:rsidP="00630F4F">
            <w:pPr>
              <w:pStyle w:val="13"/>
              <w:spacing w:line="240" w:lineRule="auto"/>
              <w:ind w:firstLineChars="0" w:firstLine="0"/>
              <w:rPr>
                <w:sz w:val="21"/>
                <w:szCs w:val="21"/>
              </w:rPr>
            </w:pPr>
            <w:r w:rsidRPr="00154C41">
              <w:rPr>
                <w:sz w:val="21"/>
                <w:szCs w:val="21"/>
              </w:rPr>
              <w:t>预算资金到位率</w:t>
            </w:r>
          </w:p>
        </w:tc>
        <w:tc>
          <w:tcPr>
            <w:tcW w:w="2172" w:type="pct"/>
            <w:vMerge w:val="restart"/>
            <w:vAlign w:val="center"/>
          </w:tcPr>
          <w:p w14:paraId="623C4472" w14:textId="77777777" w:rsidR="00154C41" w:rsidRPr="00154C41" w:rsidRDefault="00154C41" w:rsidP="00630F4F">
            <w:pPr>
              <w:pStyle w:val="13"/>
              <w:spacing w:line="240" w:lineRule="auto"/>
              <w:ind w:firstLineChars="0" w:firstLine="0"/>
              <w:rPr>
                <w:sz w:val="21"/>
                <w:szCs w:val="21"/>
              </w:rPr>
            </w:pPr>
            <w:r w:rsidRPr="00154C41">
              <w:rPr>
                <w:sz w:val="21"/>
                <w:szCs w:val="21"/>
              </w:rPr>
              <w:t>到位率=实际到位/计划到位，到位时效主要考察资金是否及时到位，若未及时到位，是否影响项目进度</w:t>
            </w:r>
          </w:p>
        </w:tc>
      </w:tr>
      <w:tr w:rsidR="00630F4F" w:rsidRPr="00154C41" w14:paraId="2F972B6C" w14:textId="77777777" w:rsidTr="00630F4F">
        <w:trPr>
          <w:trHeight w:val="270"/>
        </w:trPr>
        <w:tc>
          <w:tcPr>
            <w:tcW w:w="435" w:type="pct"/>
            <w:vMerge/>
            <w:vAlign w:val="center"/>
          </w:tcPr>
          <w:p w14:paraId="446B49F6"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63014DF6"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4418D047"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06FAFB94" w14:textId="77777777" w:rsidR="00154C41" w:rsidRPr="00154C41" w:rsidRDefault="00154C41" w:rsidP="00630F4F">
            <w:pPr>
              <w:pStyle w:val="13"/>
              <w:spacing w:line="240" w:lineRule="auto"/>
              <w:ind w:firstLineChars="0" w:firstLine="0"/>
              <w:rPr>
                <w:sz w:val="21"/>
                <w:szCs w:val="21"/>
              </w:rPr>
            </w:pPr>
            <w:r w:rsidRPr="00154C41">
              <w:rPr>
                <w:sz w:val="21"/>
                <w:szCs w:val="21"/>
              </w:rPr>
              <w:t>配套资金到位率</w:t>
            </w:r>
          </w:p>
        </w:tc>
        <w:tc>
          <w:tcPr>
            <w:tcW w:w="2172" w:type="pct"/>
            <w:vMerge/>
            <w:vAlign w:val="center"/>
          </w:tcPr>
          <w:p w14:paraId="659210B0" w14:textId="77777777" w:rsidR="00154C41" w:rsidRPr="00154C41" w:rsidRDefault="00154C41" w:rsidP="00630F4F">
            <w:pPr>
              <w:pStyle w:val="13"/>
              <w:spacing w:line="240" w:lineRule="auto"/>
              <w:ind w:firstLineChars="0" w:firstLine="0"/>
              <w:rPr>
                <w:sz w:val="21"/>
                <w:szCs w:val="21"/>
              </w:rPr>
            </w:pPr>
          </w:p>
        </w:tc>
      </w:tr>
      <w:tr w:rsidR="00630F4F" w:rsidRPr="00154C41" w14:paraId="114CB209" w14:textId="77777777" w:rsidTr="00630F4F">
        <w:trPr>
          <w:trHeight w:val="270"/>
        </w:trPr>
        <w:tc>
          <w:tcPr>
            <w:tcW w:w="435" w:type="pct"/>
            <w:vMerge/>
            <w:vAlign w:val="center"/>
          </w:tcPr>
          <w:p w14:paraId="55698EE6"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4D9BDE07"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6FA18F87"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240C17D8" w14:textId="77777777" w:rsidR="00154C41" w:rsidRPr="00154C41" w:rsidRDefault="00154C41" w:rsidP="00630F4F">
            <w:pPr>
              <w:pStyle w:val="13"/>
              <w:spacing w:line="240" w:lineRule="auto"/>
              <w:ind w:firstLineChars="0" w:firstLine="0"/>
              <w:rPr>
                <w:sz w:val="21"/>
                <w:szCs w:val="21"/>
              </w:rPr>
            </w:pPr>
            <w:r w:rsidRPr="00154C41">
              <w:rPr>
                <w:sz w:val="21"/>
                <w:szCs w:val="21"/>
              </w:rPr>
              <w:t>资金到位及时率</w:t>
            </w:r>
          </w:p>
        </w:tc>
        <w:tc>
          <w:tcPr>
            <w:tcW w:w="2172" w:type="pct"/>
            <w:vAlign w:val="center"/>
          </w:tcPr>
          <w:p w14:paraId="7EFB7F39" w14:textId="77777777" w:rsidR="00154C41" w:rsidRPr="00154C41" w:rsidRDefault="00154C41" w:rsidP="00630F4F">
            <w:pPr>
              <w:pStyle w:val="13"/>
              <w:spacing w:line="240" w:lineRule="auto"/>
              <w:ind w:firstLineChars="0" w:firstLine="0"/>
              <w:rPr>
                <w:sz w:val="21"/>
                <w:szCs w:val="21"/>
              </w:rPr>
            </w:pPr>
            <w:r w:rsidRPr="00154C41">
              <w:rPr>
                <w:sz w:val="21"/>
                <w:szCs w:val="21"/>
              </w:rPr>
              <w:t>及时到位资金与应到位资金的比率，用以反映和考核资金落实情况对项目实施的总体保障程度。</w:t>
            </w:r>
          </w:p>
        </w:tc>
      </w:tr>
      <w:tr w:rsidR="00630F4F" w:rsidRPr="00154C41" w14:paraId="31EC224F" w14:textId="77777777" w:rsidTr="00630F4F">
        <w:trPr>
          <w:trHeight w:val="270"/>
        </w:trPr>
        <w:tc>
          <w:tcPr>
            <w:tcW w:w="435" w:type="pct"/>
            <w:vMerge/>
            <w:vAlign w:val="center"/>
          </w:tcPr>
          <w:p w14:paraId="4656AE5A"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066B9D8C" w14:textId="77777777" w:rsidR="00154C41" w:rsidRPr="00154C41" w:rsidRDefault="00154C41" w:rsidP="00630F4F">
            <w:pPr>
              <w:pStyle w:val="13"/>
              <w:spacing w:line="240" w:lineRule="auto"/>
              <w:ind w:firstLineChars="0" w:firstLine="0"/>
              <w:rPr>
                <w:sz w:val="21"/>
                <w:szCs w:val="21"/>
              </w:rPr>
            </w:pPr>
          </w:p>
        </w:tc>
        <w:tc>
          <w:tcPr>
            <w:tcW w:w="732" w:type="pct"/>
            <w:vMerge w:val="restart"/>
            <w:vAlign w:val="center"/>
          </w:tcPr>
          <w:p w14:paraId="6987B815" w14:textId="77777777" w:rsidR="00154C41" w:rsidRPr="00154C41" w:rsidRDefault="00154C41" w:rsidP="00630F4F">
            <w:pPr>
              <w:pStyle w:val="13"/>
              <w:spacing w:line="240" w:lineRule="auto"/>
              <w:ind w:firstLineChars="0" w:firstLine="0"/>
              <w:rPr>
                <w:sz w:val="21"/>
                <w:szCs w:val="21"/>
              </w:rPr>
            </w:pPr>
            <w:r w:rsidRPr="00154C41">
              <w:rPr>
                <w:sz w:val="21"/>
                <w:szCs w:val="21"/>
              </w:rPr>
              <w:t>财务管理</w:t>
            </w:r>
          </w:p>
        </w:tc>
        <w:tc>
          <w:tcPr>
            <w:tcW w:w="1042" w:type="pct"/>
            <w:vAlign w:val="center"/>
          </w:tcPr>
          <w:p w14:paraId="16ADEEA0" w14:textId="77777777" w:rsidR="00154C41" w:rsidRPr="00154C41" w:rsidRDefault="00154C41" w:rsidP="00630F4F">
            <w:pPr>
              <w:pStyle w:val="13"/>
              <w:spacing w:line="240" w:lineRule="auto"/>
              <w:ind w:firstLineChars="0" w:firstLine="0"/>
              <w:rPr>
                <w:sz w:val="21"/>
                <w:szCs w:val="21"/>
              </w:rPr>
            </w:pPr>
            <w:r w:rsidRPr="00154C41">
              <w:rPr>
                <w:sz w:val="21"/>
                <w:szCs w:val="21"/>
              </w:rPr>
              <w:t>资金使用合</w:t>
            </w:r>
            <w:proofErr w:type="gramStart"/>
            <w:r w:rsidRPr="00154C41">
              <w:rPr>
                <w:sz w:val="21"/>
                <w:szCs w:val="21"/>
              </w:rPr>
              <w:t>规</w:t>
            </w:r>
            <w:proofErr w:type="gramEnd"/>
            <w:r w:rsidRPr="00154C41">
              <w:rPr>
                <w:sz w:val="21"/>
                <w:szCs w:val="21"/>
              </w:rPr>
              <w:t>性（资金使用情况）</w:t>
            </w:r>
          </w:p>
        </w:tc>
        <w:tc>
          <w:tcPr>
            <w:tcW w:w="2172" w:type="pct"/>
            <w:vAlign w:val="center"/>
          </w:tcPr>
          <w:p w14:paraId="29A8204E" w14:textId="77777777" w:rsidR="00154C41" w:rsidRPr="00154C41" w:rsidRDefault="00154C41" w:rsidP="00630F4F">
            <w:pPr>
              <w:pStyle w:val="13"/>
              <w:spacing w:line="240" w:lineRule="auto"/>
              <w:ind w:firstLineChars="0" w:firstLine="0"/>
              <w:rPr>
                <w:sz w:val="21"/>
                <w:szCs w:val="21"/>
              </w:rPr>
            </w:pPr>
            <w:r w:rsidRPr="00154C41">
              <w:rPr>
                <w:sz w:val="21"/>
                <w:szCs w:val="21"/>
              </w:rPr>
              <w:t>资金使用是否符合有关制度规定</w:t>
            </w:r>
          </w:p>
        </w:tc>
      </w:tr>
      <w:tr w:rsidR="00630F4F" w:rsidRPr="00154C41" w14:paraId="39BDB2A3" w14:textId="77777777" w:rsidTr="00630F4F">
        <w:trPr>
          <w:trHeight w:val="540"/>
        </w:trPr>
        <w:tc>
          <w:tcPr>
            <w:tcW w:w="435" w:type="pct"/>
            <w:vMerge/>
            <w:vAlign w:val="center"/>
          </w:tcPr>
          <w:p w14:paraId="4AECFF99"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011674B1"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55875130"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434282B1" w14:textId="77777777" w:rsidR="00154C41" w:rsidRPr="00154C41" w:rsidRDefault="00154C41" w:rsidP="00630F4F">
            <w:pPr>
              <w:pStyle w:val="13"/>
              <w:spacing w:line="240" w:lineRule="auto"/>
              <w:ind w:firstLineChars="0" w:firstLine="0"/>
              <w:rPr>
                <w:sz w:val="21"/>
                <w:szCs w:val="21"/>
              </w:rPr>
            </w:pPr>
            <w:r w:rsidRPr="00154C41">
              <w:rPr>
                <w:sz w:val="21"/>
                <w:szCs w:val="21"/>
              </w:rPr>
              <w:t>财务（资产）管理制度健全性</w:t>
            </w:r>
          </w:p>
        </w:tc>
        <w:tc>
          <w:tcPr>
            <w:tcW w:w="2172" w:type="pct"/>
            <w:vAlign w:val="center"/>
          </w:tcPr>
          <w:p w14:paraId="699CA6F3" w14:textId="77777777" w:rsidR="00154C41" w:rsidRPr="00154C41" w:rsidRDefault="00154C41" w:rsidP="00630F4F">
            <w:pPr>
              <w:pStyle w:val="13"/>
              <w:spacing w:line="240" w:lineRule="auto"/>
              <w:ind w:firstLineChars="0" w:firstLine="0"/>
              <w:rPr>
                <w:sz w:val="21"/>
                <w:szCs w:val="21"/>
              </w:rPr>
            </w:pPr>
            <w:r w:rsidRPr="00154C41">
              <w:rPr>
                <w:sz w:val="21"/>
                <w:szCs w:val="21"/>
              </w:rPr>
              <w:t>是否按规定建立了财务、资产管理制度、内控制度及其执行情况</w:t>
            </w:r>
          </w:p>
        </w:tc>
      </w:tr>
      <w:tr w:rsidR="00630F4F" w:rsidRPr="00154C41" w14:paraId="50D55014" w14:textId="77777777" w:rsidTr="00630F4F">
        <w:trPr>
          <w:trHeight w:val="540"/>
        </w:trPr>
        <w:tc>
          <w:tcPr>
            <w:tcW w:w="435" w:type="pct"/>
            <w:vMerge/>
            <w:vAlign w:val="center"/>
          </w:tcPr>
          <w:p w14:paraId="3D7AE271"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2E4DF0FA"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7F227E2F"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694FC955" w14:textId="77777777" w:rsidR="00154C41" w:rsidRPr="00154C41" w:rsidRDefault="00154C41" w:rsidP="00630F4F">
            <w:pPr>
              <w:pStyle w:val="13"/>
              <w:spacing w:line="240" w:lineRule="auto"/>
              <w:ind w:firstLineChars="0" w:firstLine="0"/>
              <w:rPr>
                <w:sz w:val="21"/>
                <w:szCs w:val="21"/>
              </w:rPr>
            </w:pPr>
            <w:r w:rsidRPr="00154C41">
              <w:rPr>
                <w:sz w:val="21"/>
                <w:szCs w:val="21"/>
              </w:rPr>
              <w:t>成本控制情况</w:t>
            </w:r>
          </w:p>
        </w:tc>
        <w:tc>
          <w:tcPr>
            <w:tcW w:w="2172" w:type="pct"/>
            <w:vAlign w:val="center"/>
          </w:tcPr>
          <w:p w14:paraId="34EBB040" w14:textId="77777777" w:rsidR="00154C41" w:rsidRPr="00154C41" w:rsidRDefault="00154C41" w:rsidP="00630F4F">
            <w:pPr>
              <w:pStyle w:val="13"/>
              <w:spacing w:line="240" w:lineRule="auto"/>
              <w:ind w:firstLineChars="0" w:firstLine="0"/>
              <w:rPr>
                <w:sz w:val="21"/>
                <w:szCs w:val="21"/>
              </w:rPr>
            </w:pPr>
            <w:r w:rsidRPr="00154C41">
              <w:rPr>
                <w:sz w:val="21"/>
                <w:szCs w:val="21"/>
              </w:rPr>
              <w:t>是否按项目进行成本核算及成本差异情况</w:t>
            </w:r>
          </w:p>
        </w:tc>
      </w:tr>
      <w:tr w:rsidR="00630F4F" w:rsidRPr="00154C41" w14:paraId="7F5F3A51" w14:textId="77777777" w:rsidTr="00630F4F">
        <w:trPr>
          <w:trHeight w:val="540"/>
        </w:trPr>
        <w:tc>
          <w:tcPr>
            <w:tcW w:w="435" w:type="pct"/>
            <w:vMerge/>
            <w:vAlign w:val="center"/>
          </w:tcPr>
          <w:p w14:paraId="226DFE63"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70C4DDC0"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4B7BFB05"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6E59DAC9" w14:textId="77777777" w:rsidR="00154C41" w:rsidRPr="00154C41" w:rsidRDefault="00154C41" w:rsidP="00630F4F">
            <w:pPr>
              <w:pStyle w:val="13"/>
              <w:spacing w:line="240" w:lineRule="auto"/>
              <w:ind w:firstLineChars="0" w:firstLine="0"/>
              <w:rPr>
                <w:sz w:val="21"/>
                <w:szCs w:val="21"/>
              </w:rPr>
            </w:pPr>
            <w:r w:rsidRPr="00154C41">
              <w:rPr>
                <w:sz w:val="21"/>
                <w:szCs w:val="21"/>
              </w:rPr>
              <w:t>会计信息审计结果（或有）</w:t>
            </w:r>
          </w:p>
        </w:tc>
        <w:tc>
          <w:tcPr>
            <w:tcW w:w="2172" w:type="pct"/>
            <w:vAlign w:val="center"/>
          </w:tcPr>
          <w:p w14:paraId="082B4769" w14:textId="77777777" w:rsidR="00154C41" w:rsidRPr="00154C41" w:rsidRDefault="00154C41" w:rsidP="00630F4F">
            <w:pPr>
              <w:pStyle w:val="13"/>
              <w:spacing w:line="240" w:lineRule="auto"/>
              <w:ind w:firstLineChars="0" w:firstLine="0"/>
              <w:rPr>
                <w:sz w:val="21"/>
                <w:szCs w:val="21"/>
              </w:rPr>
            </w:pPr>
            <w:r w:rsidRPr="00154C41">
              <w:rPr>
                <w:sz w:val="21"/>
                <w:szCs w:val="21"/>
              </w:rPr>
              <w:t>从审计结论中考察会计信息的合</w:t>
            </w:r>
            <w:proofErr w:type="gramStart"/>
            <w:r w:rsidRPr="00154C41">
              <w:rPr>
                <w:sz w:val="21"/>
                <w:szCs w:val="21"/>
              </w:rPr>
              <w:t>规</w:t>
            </w:r>
            <w:proofErr w:type="gramEnd"/>
            <w:r w:rsidRPr="00154C41">
              <w:rPr>
                <w:sz w:val="21"/>
                <w:szCs w:val="21"/>
              </w:rPr>
              <w:t>性、准确性、完整性、及时性</w:t>
            </w:r>
          </w:p>
        </w:tc>
      </w:tr>
      <w:tr w:rsidR="00630F4F" w:rsidRPr="00154C41" w14:paraId="03BB9C55" w14:textId="77777777" w:rsidTr="00630F4F">
        <w:trPr>
          <w:trHeight w:val="540"/>
        </w:trPr>
        <w:tc>
          <w:tcPr>
            <w:tcW w:w="435" w:type="pct"/>
            <w:vMerge/>
            <w:vAlign w:val="center"/>
          </w:tcPr>
          <w:p w14:paraId="034D37F4"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44684F4D"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70B717A3"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3B12B0D1" w14:textId="77777777" w:rsidR="00154C41" w:rsidRPr="00154C41" w:rsidRDefault="00154C41" w:rsidP="00630F4F">
            <w:pPr>
              <w:pStyle w:val="13"/>
              <w:spacing w:line="240" w:lineRule="auto"/>
              <w:ind w:firstLineChars="0" w:firstLine="0"/>
              <w:rPr>
                <w:sz w:val="21"/>
                <w:szCs w:val="21"/>
              </w:rPr>
            </w:pPr>
            <w:r w:rsidRPr="00154C41">
              <w:rPr>
                <w:sz w:val="21"/>
                <w:szCs w:val="21"/>
              </w:rPr>
              <w:t>财务监控的有效性</w:t>
            </w:r>
          </w:p>
        </w:tc>
        <w:tc>
          <w:tcPr>
            <w:tcW w:w="2172" w:type="pct"/>
            <w:vAlign w:val="center"/>
          </w:tcPr>
          <w:p w14:paraId="57160B48"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项目实施单位是否为保障资金的安全、规范运行而采取了必要的监控措施，用以反映和考核项目实施单位对资金运行的控制情况</w:t>
            </w:r>
          </w:p>
        </w:tc>
      </w:tr>
      <w:tr w:rsidR="00630F4F" w:rsidRPr="00154C41" w14:paraId="15D95567" w14:textId="77777777" w:rsidTr="00630F4F">
        <w:trPr>
          <w:trHeight w:val="540"/>
        </w:trPr>
        <w:tc>
          <w:tcPr>
            <w:tcW w:w="435" w:type="pct"/>
            <w:vMerge/>
            <w:vAlign w:val="center"/>
          </w:tcPr>
          <w:p w14:paraId="4F690DD1"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0C43F9D3" w14:textId="77777777" w:rsidR="00154C41" w:rsidRPr="00154C41" w:rsidRDefault="00154C41" w:rsidP="00630F4F">
            <w:pPr>
              <w:pStyle w:val="13"/>
              <w:spacing w:line="240" w:lineRule="auto"/>
              <w:ind w:firstLineChars="0" w:firstLine="0"/>
              <w:rPr>
                <w:sz w:val="21"/>
                <w:szCs w:val="21"/>
              </w:rPr>
            </w:pPr>
          </w:p>
        </w:tc>
        <w:tc>
          <w:tcPr>
            <w:tcW w:w="732" w:type="pct"/>
            <w:vMerge w:val="restart"/>
            <w:vAlign w:val="center"/>
          </w:tcPr>
          <w:p w14:paraId="26D3C089"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w:t>
            </w:r>
          </w:p>
        </w:tc>
        <w:tc>
          <w:tcPr>
            <w:tcW w:w="1042" w:type="pct"/>
            <w:vAlign w:val="center"/>
          </w:tcPr>
          <w:p w14:paraId="248E1A0B" w14:textId="77777777" w:rsidR="00154C41" w:rsidRPr="00154C41" w:rsidRDefault="00154C41" w:rsidP="00630F4F">
            <w:pPr>
              <w:pStyle w:val="13"/>
              <w:spacing w:line="240" w:lineRule="auto"/>
              <w:ind w:firstLineChars="0" w:firstLine="0"/>
              <w:rPr>
                <w:sz w:val="21"/>
                <w:szCs w:val="21"/>
              </w:rPr>
            </w:pPr>
            <w:r w:rsidRPr="00154C41">
              <w:rPr>
                <w:sz w:val="21"/>
                <w:szCs w:val="21"/>
              </w:rPr>
              <w:t>管理制度的健全性（保证项目实施的制度、措施的建立情况及制度措</w:t>
            </w:r>
            <w:r w:rsidRPr="00154C41">
              <w:rPr>
                <w:sz w:val="21"/>
                <w:szCs w:val="21"/>
              </w:rPr>
              <w:lastRenderedPageBreak/>
              <w:t>施的科学性合理性）</w:t>
            </w:r>
          </w:p>
        </w:tc>
        <w:tc>
          <w:tcPr>
            <w:tcW w:w="2172" w:type="pct"/>
            <w:vAlign w:val="center"/>
          </w:tcPr>
          <w:p w14:paraId="7A89DC67" w14:textId="77777777" w:rsidR="00154C41" w:rsidRPr="00154C41" w:rsidRDefault="00154C41" w:rsidP="00630F4F">
            <w:pPr>
              <w:pStyle w:val="13"/>
              <w:spacing w:line="240" w:lineRule="auto"/>
              <w:ind w:firstLineChars="0" w:firstLine="0"/>
              <w:rPr>
                <w:sz w:val="21"/>
                <w:szCs w:val="21"/>
              </w:rPr>
            </w:pPr>
            <w:r w:rsidRPr="00154C41">
              <w:rPr>
                <w:sz w:val="21"/>
                <w:szCs w:val="21"/>
              </w:rPr>
              <w:lastRenderedPageBreak/>
              <w:t>项目实施单位的业务管理制度是否健全，用以反映和考核业务管理制度对项目顺利实施的保障情况</w:t>
            </w:r>
          </w:p>
        </w:tc>
      </w:tr>
      <w:tr w:rsidR="00630F4F" w:rsidRPr="00154C41" w14:paraId="4E5EDE07" w14:textId="77777777" w:rsidTr="00630F4F">
        <w:trPr>
          <w:trHeight w:val="540"/>
        </w:trPr>
        <w:tc>
          <w:tcPr>
            <w:tcW w:w="435" w:type="pct"/>
            <w:vMerge/>
            <w:vAlign w:val="center"/>
          </w:tcPr>
          <w:p w14:paraId="4DAE1F2B"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2BEE8ACA"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794F3CDF"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6FDF40E1" w14:textId="77777777" w:rsidR="00154C41" w:rsidRPr="00154C41" w:rsidRDefault="00154C41" w:rsidP="00630F4F">
            <w:pPr>
              <w:pStyle w:val="13"/>
              <w:spacing w:line="240" w:lineRule="auto"/>
              <w:ind w:firstLineChars="0" w:firstLine="0"/>
              <w:rPr>
                <w:sz w:val="21"/>
                <w:szCs w:val="21"/>
              </w:rPr>
            </w:pPr>
            <w:r w:rsidRPr="00154C41">
              <w:rPr>
                <w:sz w:val="21"/>
                <w:szCs w:val="21"/>
              </w:rPr>
              <w:t>制度执行的有效性（相关制度和措施执行情况）</w:t>
            </w:r>
          </w:p>
        </w:tc>
        <w:tc>
          <w:tcPr>
            <w:tcW w:w="2172" w:type="pct"/>
          </w:tcPr>
          <w:p w14:paraId="62C8D9F8"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项目实施是否符合相关业务管理规定，用以反映和考核业务管理制度的有效执行情况。</w:t>
            </w:r>
          </w:p>
        </w:tc>
      </w:tr>
      <w:tr w:rsidR="00630F4F" w:rsidRPr="00154C41" w14:paraId="3D067217" w14:textId="77777777" w:rsidTr="00630F4F">
        <w:trPr>
          <w:trHeight w:val="810"/>
        </w:trPr>
        <w:tc>
          <w:tcPr>
            <w:tcW w:w="435" w:type="pct"/>
            <w:vMerge/>
            <w:vAlign w:val="center"/>
          </w:tcPr>
          <w:p w14:paraId="287891B4"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347A7418"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58C47E0E"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0524C7EA" w14:textId="77777777" w:rsidR="00154C41" w:rsidRPr="00154C41" w:rsidRDefault="00154C41" w:rsidP="00630F4F">
            <w:pPr>
              <w:pStyle w:val="13"/>
              <w:spacing w:line="240" w:lineRule="auto"/>
              <w:ind w:firstLineChars="0" w:firstLine="0"/>
              <w:rPr>
                <w:sz w:val="21"/>
                <w:szCs w:val="21"/>
              </w:rPr>
            </w:pPr>
            <w:r w:rsidRPr="00154C41">
              <w:rPr>
                <w:sz w:val="21"/>
                <w:szCs w:val="21"/>
              </w:rPr>
              <w:t>项目质量的可控性</w:t>
            </w:r>
          </w:p>
        </w:tc>
        <w:tc>
          <w:tcPr>
            <w:tcW w:w="2172" w:type="pct"/>
          </w:tcPr>
          <w:p w14:paraId="6F1613E7"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项目实施单位是否为达到项目质量要求而采取了必需的措施，用以反映和考核项目实施单位对项目质量的控制情况。</w:t>
            </w:r>
          </w:p>
        </w:tc>
      </w:tr>
      <w:tr w:rsidR="00630F4F" w:rsidRPr="00154C41" w14:paraId="748F93B0" w14:textId="77777777" w:rsidTr="00630F4F">
        <w:trPr>
          <w:trHeight w:val="270"/>
        </w:trPr>
        <w:tc>
          <w:tcPr>
            <w:tcW w:w="435" w:type="pct"/>
            <w:vMerge w:val="restart"/>
            <w:vAlign w:val="center"/>
          </w:tcPr>
          <w:p w14:paraId="3B53A8DC" w14:textId="77777777" w:rsidR="00154C41" w:rsidRPr="00154C41" w:rsidRDefault="00154C41" w:rsidP="00630F4F">
            <w:pPr>
              <w:pStyle w:val="13"/>
              <w:spacing w:line="240" w:lineRule="auto"/>
              <w:ind w:firstLineChars="0" w:firstLine="0"/>
              <w:rPr>
                <w:sz w:val="21"/>
                <w:szCs w:val="21"/>
              </w:rPr>
            </w:pPr>
            <w:r w:rsidRPr="00154C41">
              <w:rPr>
                <w:sz w:val="21"/>
                <w:szCs w:val="21"/>
              </w:rPr>
              <w:t>项目绩效</w:t>
            </w:r>
          </w:p>
        </w:tc>
        <w:tc>
          <w:tcPr>
            <w:tcW w:w="619" w:type="pct"/>
            <w:vMerge w:val="restart"/>
            <w:vAlign w:val="center"/>
          </w:tcPr>
          <w:p w14:paraId="1381C4DC" w14:textId="77777777" w:rsidR="00154C41" w:rsidRPr="00154C41" w:rsidRDefault="00154C41" w:rsidP="00630F4F">
            <w:pPr>
              <w:pStyle w:val="13"/>
              <w:spacing w:line="240" w:lineRule="auto"/>
              <w:ind w:firstLineChars="0" w:firstLine="0"/>
              <w:rPr>
                <w:sz w:val="21"/>
                <w:szCs w:val="21"/>
              </w:rPr>
            </w:pPr>
            <w:r w:rsidRPr="00154C41">
              <w:rPr>
                <w:sz w:val="21"/>
                <w:szCs w:val="21"/>
              </w:rPr>
              <w:t>65±5</w:t>
            </w:r>
          </w:p>
        </w:tc>
        <w:tc>
          <w:tcPr>
            <w:tcW w:w="732" w:type="pct"/>
            <w:vMerge w:val="restart"/>
            <w:vAlign w:val="center"/>
          </w:tcPr>
          <w:p w14:paraId="7469E397" w14:textId="77777777" w:rsidR="00154C41" w:rsidRPr="00154C41" w:rsidRDefault="00154C41" w:rsidP="00630F4F">
            <w:pPr>
              <w:pStyle w:val="13"/>
              <w:spacing w:line="240" w:lineRule="auto"/>
              <w:ind w:firstLineChars="0" w:firstLine="0"/>
              <w:rPr>
                <w:sz w:val="21"/>
                <w:szCs w:val="21"/>
              </w:rPr>
            </w:pPr>
            <w:r w:rsidRPr="00154C41">
              <w:rPr>
                <w:sz w:val="21"/>
                <w:szCs w:val="21"/>
              </w:rPr>
              <w:t>项目产出</w:t>
            </w:r>
          </w:p>
        </w:tc>
        <w:tc>
          <w:tcPr>
            <w:tcW w:w="1042" w:type="pct"/>
            <w:vAlign w:val="center"/>
          </w:tcPr>
          <w:p w14:paraId="1D4D167D" w14:textId="77777777" w:rsidR="00154C41" w:rsidRPr="00154C41" w:rsidRDefault="00154C41" w:rsidP="00630F4F">
            <w:pPr>
              <w:pStyle w:val="13"/>
              <w:spacing w:line="240" w:lineRule="auto"/>
              <w:ind w:firstLineChars="0" w:firstLine="0"/>
              <w:rPr>
                <w:sz w:val="21"/>
                <w:szCs w:val="21"/>
              </w:rPr>
            </w:pPr>
            <w:r w:rsidRPr="00154C41">
              <w:rPr>
                <w:sz w:val="21"/>
                <w:szCs w:val="21"/>
              </w:rPr>
              <w:t>实际完成率（产出数量）</w:t>
            </w:r>
          </w:p>
        </w:tc>
        <w:tc>
          <w:tcPr>
            <w:tcW w:w="2172" w:type="pct"/>
            <w:vAlign w:val="center"/>
          </w:tcPr>
          <w:p w14:paraId="31646BFD"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项目实施的实际产出数与计划产出数的比率，用以反映和考核项目产出数量目标的实现程度。</w:t>
            </w:r>
          </w:p>
        </w:tc>
      </w:tr>
      <w:tr w:rsidR="00630F4F" w:rsidRPr="00154C41" w14:paraId="332BE552" w14:textId="77777777" w:rsidTr="00630F4F">
        <w:trPr>
          <w:trHeight w:val="270"/>
        </w:trPr>
        <w:tc>
          <w:tcPr>
            <w:tcW w:w="435" w:type="pct"/>
            <w:vMerge/>
            <w:vAlign w:val="center"/>
          </w:tcPr>
          <w:p w14:paraId="4321AB6B"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7DB9F1AC"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61795077"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0610BE2D" w14:textId="77777777" w:rsidR="00154C41" w:rsidRPr="00154C41" w:rsidRDefault="00154C41" w:rsidP="00630F4F">
            <w:pPr>
              <w:pStyle w:val="13"/>
              <w:spacing w:line="240" w:lineRule="auto"/>
              <w:ind w:firstLineChars="0" w:firstLine="0"/>
              <w:rPr>
                <w:sz w:val="21"/>
                <w:szCs w:val="21"/>
              </w:rPr>
            </w:pPr>
            <w:r w:rsidRPr="00154C41">
              <w:rPr>
                <w:sz w:val="21"/>
                <w:szCs w:val="21"/>
              </w:rPr>
              <w:t>完成及时率（产出时效）</w:t>
            </w:r>
          </w:p>
        </w:tc>
        <w:tc>
          <w:tcPr>
            <w:tcW w:w="2172" w:type="pct"/>
          </w:tcPr>
          <w:p w14:paraId="4B5C68C3" w14:textId="77777777" w:rsidR="00154C41" w:rsidRPr="00154C41" w:rsidRDefault="00154C41" w:rsidP="00630F4F">
            <w:pPr>
              <w:pStyle w:val="13"/>
              <w:spacing w:line="240" w:lineRule="auto"/>
              <w:ind w:firstLineChars="0" w:firstLine="0"/>
              <w:rPr>
                <w:sz w:val="21"/>
                <w:szCs w:val="21"/>
              </w:rPr>
            </w:pPr>
            <w:r w:rsidRPr="00154C41">
              <w:rPr>
                <w:sz w:val="21"/>
                <w:szCs w:val="21"/>
              </w:rPr>
              <w:t>项目实际提前完成时间与计划完成时间的比率，用以反映和考核项目产出时效目标的实现程度。</w:t>
            </w:r>
          </w:p>
        </w:tc>
      </w:tr>
      <w:tr w:rsidR="00630F4F" w:rsidRPr="00154C41" w14:paraId="56B1592B" w14:textId="77777777" w:rsidTr="00630F4F">
        <w:trPr>
          <w:trHeight w:val="270"/>
        </w:trPr>
        <w:tc>
          <w:tcPr>
            <w:tcW w:w="435" w:type="pct"/>
            <w:vMerge/>
            <w:vAlign w:val="center"/>
          </w:tcPr>
          <w:p w14:paraId="36094485"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1C9671F8"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529EEDCA"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36154F27" w14:textId="77777777" w:rsidR="00154C41" w:rsidRPr="00154C41" w:rsidRDefault="00154C41" w:rsidP="00630F4F">
            <w:pPr>
              <w:pStyle w:val="13"/>
              <w:spacing w:line="240" w:lineRule="auto"/>
              <w:ind w:firstLineChars="0" w:firstLine="0"/>
              <w:rPr>
                <w:sz w:val="21"/>
                <w:szCs w:val="21"/>
              </w:rPr>
            </w:pPr>
            <w:r w:rsidRPr="00154C41">
              <w:rPr>
                <w:sz w:val="21"/>
                <w:szCs w:val="21"/>
              </w:rPr>
              <w:t>质量达标率（产出质量）</w:t>
            </w:r>
          </w:p>
        </w:tc>
        <w:tc>
          <w:tcPr>
            <w:tcW w:w="2172" w:type="pct"/>
          </w:tcPr>
          <w:p w14:paraId="6A8A4CCE" w14:textId="77777777" w:rsidR="00154C41" w:rsidRPr="00154C41" w:rsidRDefault="00154C41" w:rsidP="00630F4F">
            <w:pPr>
              <w:pStyle w:val="13"/>
              <w:spacing w:line="240" w:lineRule="auto"/>
              <w:ind w:firstLineChars="0" w:firstLine="0"/>
              <w:rPr>
                <w:sz w:val="21"/>
                <w:szCs w:val="21"/>
              </w:rPr>
            </w:pPr>
            <w:r w:rsidRPr="00154C41">
              <w:rPr>
                <w:sz w:val="21"/>
                <w:szCs w:val="21"/>
              </w:rPr>
              <w:t>项目完成的质量达标产出数与实际产出数的比率，用以反映和考核项目的成本节约程度</w:t>
            </w:r>
          </w:p>
        </w:tc>
      </w:tr>
      <w:tr w:rsidR="00630F4F" w:rsidRPr="00154C41" w14:paraId="6DFB36AF" w14:textId="77777777" w:rsidTr="00630F4F">
        <w:trPr>
          <w:trHeight w:val="270"/>
        </w:trPr>
        <w:tc>
          <w:tcPr>
            <w:tcW w:w="435" w:type="pct"/>
            <w:vMerge/>
            <w:vAlign w:val="center"/>
          </w:tcPr>
          <w:p w14:paraId="6CB6BAC2"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39279325"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3E44D738"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720164F2" w14:textId="77777777" w:rsidR="00154C41" w:rsidRPr="00154C41" w:rsidRDefault="00154C41" w:rsidP="00630F4F">
            <w:pPr>
              <w:pStyle w:val="13"/>
              <w:spacing w:line="240" w:lineRule="auto"/>
              <w:ind w:firstLineChars="0" w:firstLine="0"/>
              <w:rPr>
                <w:sz w:val="21"/>
                <w:szCs w:val="21"/>
              </w:rPr>
            </w:pPr>
            <w:r w:rsidRPr="00154C41">
              <w:rPr>
                <w:sz w:val="21"/>
                <w:szCs w:val="21"/>
              </w:rPr>
              <w:t>成本节约率</w:t>
            </w:r>
          </w:p>
        </w:tc>
        <w:tc>
          <w:tcPr>
            <w:tcW w:w="2172" w:type="pct"/>
          </w:tcPr>
          <w:p w14:paraId="3A8A7D71" w14:textId="77777777" w:rsidR="00154C41" w:rsidRPr="00154C41" w:rsidRDefault="00154C41" w:rsidP="00630F4F">
            <w:pPr>
              <w:pStyle w:val="13"/>
              <w:spacing w:line="240" w:lineRule="auto"/>
              <w:ind w:firstLineChars="0" w:firstLine="0"/>
              <w:rPr>
                <w:sz w:val="21"/>
                <w:szCs w:val="21"/>
              </w:rPr>
            </w:pPr>
            <w:r w:rsidRPr="00154C41">
              <w:rPr>
                <w:sz w:val="21"/>
                <w:szCs w:val="21"/>
              </w:rPr>
              <w:t>完成项目计划工作目标的实际节约成本与计划成本的比率，用以反映和考核项目的成本节约程度</w:t>
            </w:r>
          </w:p>
        </w:tc>
      </w:tr>
      <w:tr w:rsidR="00630F4F" w:rsidRPr="00154C41" w14:paraId="6FC9E022" w14:textId="77777777" w:rsidTr="00630F4F">
        <w:trPr>
          <w:trHeight w:val="270"/>
        </w:trPr>
        <w:tc>
          <w:tcPr>
            <w:tcW w:w="435" w:type="pct"/>
            <w:vMerge/>
            <w:vAlign w:val="center"/>
          </w:tcPr>
          <w:p w14:paraId="596DC139"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629A860A" w14:textId="77777777" w:rsidR="00154C41" w:rsidRPr="00154C41" w:rsidRDefault="00154C41" w:rsidP="00630F4F">
            <w:pPr>
              <w:pStyle w:val="13"/>
              <w:spacing w:line="240" w:lineRule="auto"/>
              <w:ind w:firstLineChars="0" w:firstLine="0"/>
              <w:rPr>
                <w:sz w:val="21"/>
                <w:szCs w:val="21"/>
              </w:rPr>
            </w:pPr>
          </w:p>
        </w:tc>
        <w:tc>
          <w:tcPr>
            <w:tcW w:w="732" w:type="pct"/>
            <w:vMerge w:val="restart"/>
            <w:vAlign w:val="center"/>
          </w:tcPr>
          <w:p w14:paraId="5D1521C5" w14:textId="77777777" w:rsidR="00154C41" w:rsidRPr="00154C41" w:rsidRDefault="00154C41" w:rsidP="00630F4F">
            <w:pPr>
              <w:pStyle w:val="13"/>
              <w:spacing w:line="240" w:lineRule="auto"/>
              <w:ind w:firstLineChars="0" w:firstLine="0"/>
              <w:rPr>
                <w:sz w:val="21"/>
                <w:szCs w:val="21"/>
              </w:rPr>
            </w:pPr>
            <w:r w:rsidRPr="00154C41">
              <w:rPr>
                <w:sz w:val="21"/>
                <w:szCs w:val="21"/>
              </w:rPr>
              <w:t>项目结果</w:t>
            </w:r>
          </w:p>
        </w:tc>
        <w:tc>
          <w:tcPr>
            <w:tcW w:w="1042" w:type="pct"/>
            <w:vAlign w:val="center"/>
          </w:tcPr>
          <w:p w14:paraId="0EBD713D" w14:textId="77777777" w:rsidR="00154C41" w:rsidRPr="00154C41" w:rsidRDefault="00154C41" w:rsidP="00630F4F">
            <w:pPr>
              <w:pStyle w:val="13"/>
              <w:spacing w:line="240" w:lineRule="auto"/>
              <w:ind w:firstLineChars="0" w:firstLine="0"/>
              <w:rPr>
                <w:sz w:val="21"/>
                <w:szCs w:val="21"/>
              </w:rPr>
            </w:pPr>
            <w:r w:rsidRPr="00154C41">
              <w:rPr>
                <w:sz w:val="21"/>
                <w:szCs w:val="21"/>
              </w:rPr>
              <w:t>经济效益</w:t>
            </w:r>
          </w:p>
        </w:tc>
        <w:tc>
          <w:tcPr>
            <w:tcW w:w="2172" w:type="pct"/>
            <w:vAlign w:val="center"/>
          </w:tcPr>
          <w:p w14:paraId="14ADEF81"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项目实施对经济发展所带来的直接或间接影响情况</w:t>
            </w:r>
          </w:p>
        </w:tc>
      </w:tr>
      <w:tr w:rsidR="00630F4F" w:rsidRPr="00154C41" w14:paraId="3364DC5E" w14:textId="77777777" w:rsidTr="00630F4F">
        <w:trPr>
          <w:trHeight w:val="855"/>
        </w:trPr>
        <w:tc>
          <w:tcPr>
            <w:tcW w:w="435" w:type="pct"/>
            <w:vMerge/>
            <w:vAlign w:val="center"/>
          </w:tcPr>
          <w:p w14:paraId="2EA86200"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0CC47857"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68494904"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5E830D1F" w14:textId="77777777" w:rsidR="00154C41" w:rsidRPr="00154C41" w:rsidRDefault="00154C41" w:rsidP="00630F4F">
            <w:pPr>
              <w:pStyle w:val="13"/>
              <w:spacing w:line="240" w:lineRule="auto"/>
              <w:ind w:firstLineChars="0" w:firstLine="0"/>
              <w:rPr>
                <w:sz w:val="21"/>
                <w:szCs w:val="21"/>
              </w:rPr>
            </w:pPr>
            <w:r w:rsidRPr="00154C41">
              <w:rPr>
                <w:sz w:val="21"/>
                <w:szCs w:val="21"/>
              </w:rPr>
              <w:t>环境效益（生态效应）</w:t>
            </w:r>
          </w:p>
        </w:tc>
        <w:tc>
          <w:tcPr>
            <w:tcW w:w="2172" w:type="pct"/>
            <w:vAlign w:val="center"/>
          </w:tcPr>
          <w:p w14:paraId="649B42F7"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项目实施对生态环境所带来的直接或间接影响情况</w:t>
            </w:r>
          </w:p>
        </w:tc>
      </w:tr>
      <w:tr w:rsidR="00630F4F" w:rsidRPr="00154C41" w14:paraId="3BDF9F43" w14:textId="77777777" w:rsidTr="00630F4F">
        <w:trPr>
          <w:trHeight w:val="558"/>
        </w:trPr>
        <w:tc>
          <w:tcPr>
            <w:tcW w:w="435" w:type="pct"/>
            <w:vMerge/>
            <w:vAlign w:val="center"/>
          </w:tcPr>
          <w:p w14:paraId="3F66C56F"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64B11182"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77F98E6D"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3BD9E282" w14:textId="77777777" w:rsidR="00154C41" w:rsidRPr="00154C41" w:rsidRDefault="00154C41" w:rsidP="00630F4F">
            <w:pPr>
              <w:pStyle w:val="13"/>
              <w:spacing w:line="240" w:lineRule="auto"/>
              <w:ind w:firstLineChars="0" w:firstLine="0"/>
              <w:rPr>
                <w:sz w:val="21"/>
                <w:szCs w:val="21"/>
              </w:rPr>
            </w:pPr>
            <w:r w:rsidRPr="00154C41">
              <w:rPr>
                <w:sz w:val="21"/>
                <w:szCs w:val="21"/>
              </w:rPr>
              <w:t>社会效益</w:t>
            </w:r>
          </w:p>
        </w:tc>
        <w:tc>
          <w:tcPr>
            <w:tcW w:w="2172" w:type="pct"/>
            <w:vAlign w:val="center"/>
          </w:tcPr>
          <w:p w14:paraId="30D37942"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项目实施对社会发展所带来的直接或间接影响情况</w:t>
            </w:r>
          </w:p>
        </w:tc>
      </w:tr>
      <w:tr w:rsidR="00630F4F" w:rsidRPr="00154C41" w14:paraId="3C626658" w14:textId="77777777" w:rsidTr="00630F4F">
        <w:trPr>
          <w:trHeight w:val="638"/>
        </w:trPr>
        <w:tc>
          <w:tcPr>
            <w:tcW w:w="435" w:type="pct"/>
            <w:vMerge/>
            <w:vAlign w:val="center"/>
          </w:tcPr>
          <w:p w14:paraId="0CED8F5B"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10A14A83"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16B43CC3"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1B8BCF05" w14:textId="77777777" w:rsidR="00154C41" w:rsidRPr="00154C41" w:rsidRDefault="00154C41" w:rsidP="00630F4F">
            <w:pPr>
              <w:pStyle w:val="13"/>
              <w:spacing w:line="240" w:lineRule="auto"/>
              <w:ind w:firstLineChars="0" w:firstLine="0"/>
              <w:rPr>
                <w:sz w:val="21"/>
                <w:szCs w:val="21"/>
              </w:rPr>
            </w:pPr>
            <w:r w:rsidRPr="00154C41">
              <w:rPr>
                <w:sz w:val="21"/>
                <w:szCs w:val="21"/>
              </w:rPr>
              <w:t>社会公众或服务对象满意度</w:t>
            </w:r>
          </w:p>
        </w:tc>
        <w:tc>
          <w:tcPr>
            <w:tcW w:w="2172" w:type="pct"/>
            <w:vAlign w:val="center"/>
          </w:tcPr>
          <w:p w14:paraId="5D91C5E9" w14:textId="77777777" w:rsidR="00154C41" w:rsidRPr="00154C41" w:rsidRDefault="00154C41" w:rsidP="00630F4F">
            <w:pPr>
              <w:pStyle w:val="13"/>
              <w:spacing w:line="240" w:lineRule="auto"/>
              <w:ind w:firstLineChars="0" w:firstLine="0"/>
              <w:rPr>
                <w:sz w:val="21"/>
                <w:szCs w:val="21"/>
              </w:rPr>
            </w:pPr>
            <w:r w:rsidRPr="00154C41">
              <w:rPr>
                <w:sz w:val="21"/>
                <w:szCs w:val="21"/>
              </w:rPr>
              <w:t>社会公众或服务对象对项目实施效果的满意程度</w:t>
            </w:r>
          </w:p>
        </w:tc>
      </w:tr>
      <w:tr w:rsidR="00630F4F" w:rsidRPr="00154C41" w14:paraId="4BD18500" w14:textId="77777777" w:rsidTr="00630F4F">
        <w:trPr>
          <w:trHeight w:val="780"/>
        </w:trPr>
        <w:tc>
          <w:tcPr>
            <w:tcW w:w="435" w:type="pct"/>
            <w:vMerge/>
            <w:vAlign w:val="center"/>
          </w:tcPr>
          <w:p w14:paraId="25FD0A9F"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778D48A1" w14:textId="77777777" w:rsidR="00154C41" w:rsidRPr="00154C41" w:rsidRDefault="00154C41" w:rsidP="00630F4F">
            <w:pPr>
              <w:pStyle w:val="13"/>
              <w:spacing w:line="240" w:lineRule="auto"/>
              <w:ind w:firstLineChars="0" w:firstLine="0"/>
              <w:rPr>
                <w:sz w:val="21"/>
                <w:szCs w:val="21"/>
              </w:rPr>
            </w:pPr>
          </w:p>
        </w:tc>
        <w:tc>
          <w:tcPr>
            <w:tcW w:w="732" w:type="pct"/>
            <w:vMerge w:val="restart"/>
            <w:vAlign w:val="center"/>
          </w:tcPr>
          <w:p w14:paraId="022844A6" w14:textId="77777777" w:rsidR="00154C41" w:rsidRPr="00154C41" w:rsidRDefault="00154C41" w:rsidP="00630F4F">
            <w:pPr>
              <w:pStyle w:val="13"/>
              <w:spacing w:line="240" w:lineRule="auto"/>
              <w:ind w:firstLineChars="0" w:firstLine="0"/>
              <w:rPr>
                <w:sz w:val="21"/>
                <w:szCs w:val="21"/>
              </w:rPr>
            </w:pPr>
            <w:r w:rsidRPr="00154C41">
              <w:rPr>
                <w:sz w:val="21"/>
                <w:szCs w:val="21"/>
              </w:rPr>
              <w:t>能力建设及可持续影响</w:t>
            </w:r>
          </w:p>
        </w:tc>
        <w:tc>
          <w:tcPr>
            <w:tcW w:w="1042" w:type="pct"/>
            <w:vAlign w:val="center"/>
          </w:tcPr>
          <w:p w14:paraId="5DDE4708" w14:textId="77777777" w:rsidR="00154C41" w:rsidRPr="00154C41" w:rsidRDefault="00154C41" w:rsidP="00630F4F">
            <w:pPr>
              <w:pStyle w:val="13"/>
              <w:spacing w:line="240" w:lineRule="auto"/>
              <w:ind w:firstLineChars="0" w:firstLine="0"/>
              <w:rPr>
                <w:sz w:val="21"/>
                <w:szCs w:val="21"/>
              </w:rPr>
            </w:pPr>
            <w:r w:rsidRPr="00154C41">
              <w:rPr>
                <w:sz w:val="21"/>
                <w:szCs w:val="21"/>
              </w:rPr>
              <w:t>长效管理情况</w:t>
            </w:r>
          </w:p>
        </w:tc>
        <w:tc>
          <w:tcPr>
            <w:tcW w:w="2172" w:type="pct"/>
            <w:vAlign w:val="center"/>
          </w:tcPr>
          <w:p w14:paraId="3357D6A0" w14:textId="77777777" w:rsidR="00154C41" w:rsidRPr="00154C41" w:rsidRDefault="00154C41" w:rsidP="00630F4F">
            <w:pPr>
              <w:pStyle w:val="13"/>
              <w:spacing w:line="240" w:lineRule="auto"/>
              <w:ind w:firstLineChars="0" w:firstLine="0"/>
              <w:rPr>
                <w:sz w:val="21"/>
                <w:szCs w:val="21"/>
              </w:rPr>
            </w:pPr>
            <w:r w:rsidRPr="00154C41">
              <w:rPr>
                <w:sz w:val="21"/>
                <w:szCs w:val="21"/>
              </w:rPr>
              <w:t>维持项目发展所需要的制度建设及维护费用等落实情况</w:t>
            </w:r>
          </w:p>
        </w:tc>
      </w:tr>
      <w:tr w:rsidR="00630F4F" w:rsidRPr="00154C41" w14:paraId="56301EA5" w14:textId="77777777" w:rsidTr="00630F4F">
        <w:trPr>
          <w:trHeight w:val="620"/>
        </w:trPr>
        <w:tc>
          <w:tcPr>
            <w:tcW w:w="435" w:type="pct"/>
            <w:vMerge/>
            <w:vAlign w:val="center"/>
          </w:tcPr>
          <w:p w14:paraId="3FE838C7"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4AD6F3B9"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3350DA59"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3FD54F84" w14:textId="77777777" w:rsidR="00154C41" w:rsidRPr="00154C41" w:rsidRDefault="00154C41" w:rsidP="00630F4F">
            <w:pPr>
              <w:pStyle w:val="13"/>
              <w:spacing w:line="240" w:lineRule="auto"/>
              <w:ind w:firstLineChars="0" w:firstLine="0"/>
              <w:rPr>
                <w:sz w:val="21"/>
                <w:szCs w:val="21"/>
              </w:rPr>
            </w:pPr>
            <w:r w:rsidRPr="00154C41">
              <w:rPr>
                <w:sz w:val="21"/>
                <w:szCs w:val="21"/>
              </w:rPr>
              <w:t>人力资源对项目可持续影响</w:t>
            </w:r>
          </w:p>
        </w:tc>
        <w:tc>
          <w:tcPr>
            <w:tcW w:w="2172" w:type="pct"/>
            <w:vAlign w:val="center"/>
          </w:tcPr>
          <w:p w14:paraId="755843DB"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项目实施后人力资源水平改善状况对项目及单位可持续发展的影响</w:t>
            </w:r>
          </w:p>
        </w:tc>
      </w:tr>
      <w:tr w:rsidR="00630F4F" w:rsidRPr="00154C41" w14:paraId="61031E6F" w14:textId="77777777" w:rsidTr="00630F4F">
        <w:trPr>
          <w:trHeight w:val="700"/>
        </w:trPr>
        <w:tc>
          <w:tcPr>
            <w:tcW w:w="435" w:type="pct"/>
            <w:vMerge/>
            <w:vAlign w:val="center"/>
          </w:tcPr>
          <w:p w14:paraId="0F1483F9"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2117ADBE"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2471140A"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211A7816" w14:textId="77777777" w:rsidR="00154C41" w:rsidRPr="00154C41" w:rsidRDefault="00154C41" w:rsidP="00630F4F">
            <w:pPr>
              <w:pStyle w:val="13"/>
              <w:spacing w:line="240" w:lineRule="auto"/>
              <w:ind w:firstLineChars="0" w:firstLine="0"/>
              <w:rPr>
                <w:sz w:val="21"/>
                <w:szCs w:val="21"/>
              </w:rPr>
            </w:pPr>
            <w:r w:rsidRPr="00154C41">
              <w:rPr>
                <w:sz w:val="21"/>
                <w:szCs w:val="21"/>
              </w:rPr>
              <w:t>硬件条件对项目发展作用</w:t>
            </w:r>
          </w:p>
        </w:tc>
        <w:tc>
          <w:tcPr>
            <w:tcW w:w="2172" w:type="pct"/>
            <w:vAlign w:val="center"/>
          </w:tcPr>
          <w:p w14:paraId="0F7D9D2A"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项目实施过程中设备条件的改善对项目及单位可持续发展的意义</w:t>
            </w:r>
          </w:p>
        </w:tc>
      </w:tr>
      <w:tr w:rsidR="00630F4F" w:rsidRPr="00154C41" w14:paraId="1DA2F868" w14:textId="77777777" w:rsidTr="00630F4F">
        <w:trPr>
          <w:trHeight w:val="790"/>
        </w:trPr>
        <w:tc>
          <w:tcPr>
            <w:tcW w:w="435" w:type="pct"/>
            <w:vMerge/>
            <w:vAlign w:val="center"/>
          </w:tcPr>
          <w:p w14:paraId="4FB381C8" w14:textId="77777777" w:rsidR="00154C41" w:rsidRPr="00154C41" w:rsidRDefault="00154C41" w:rsidP="00630F4F">
            <w:pPr>
              <w:pStyle w:val="13"/>
              <w:spacing w:line="240" w:lineRule="auto"/>
              <w:ind w:firstLineChars="0" w:firstLine="0"/>
              <w:rPr>
                <w:sz w:val="21"/>
                <w:szCs w:val="21"/>
              </w:rPr>
            </w:pPr>
          </w:p>
        </w:tc>
        <w:tc>
          <w:tcPr>
            <w:tcW w:w="619" w:type="pct"/>
            <w:vMerge/>
            <w:vAlign w:val="center"/>
          </w:tcPr>
          <w:p w14:paraId="3486C05B" w14:textId="77777777" w:rsidR="00154C41" w:rsidRPr="00154C41" w:rsidRDefault="00154C41" w:rsidP="00630F4F">
            <w:pPr>
              <w:pStyle w:val="13"/>
              <w:spacing w:line="240" w:lineRule="auto"/>
              <w:ind w:firstLineChars="0" w:firstLine="0"/>
              <w:rPr>
                <w:sz w:val="21"/>
                <w:szCs w:val="21"/>
              </w:rPr>
            </w:pPr>
          </w:p>
        </w:tc>
        <w:tc>
          <w:tcPr>
            <w:tcW w:w="732" w:type="pct"/>
            <w:vMerge/>
            <w:vAlign w:val="center"/>
          </w:tcPr>
          <w:p w14:paraId="308E2FB6" w14:textId="77777777" w:rsidR="00154C41" w:rsidRPr="00154C41" w:rsidRDefault="00154C41" w:rsidP="00630F4F">
            <w:pPr>
              <w:pStyle w:val="13"/>
              <w:spacing w:line="240" w:lineRule="auto"/>
              <w:ind w:firstLineChars="0" w:firstLine="0"/>
              <w:rPr>
                <w:sz w:val="21"/>
                <w:szCs w:val="21"/>
              </w:rPr>
            </w:pPr>
          </w:p>
        </w:tc>
        <w:tc>
          <w:tcPr>
            <w:tcW w:w="1042" w:type="pct"/>
            <w:vAlign w:val="center"/>
          </w:tcPr>
          <w:p w14:paraId="59C92BFD" w14:textId="77777777" w:rsidR="00154C41" w:rsidRPr="00154C41" w:rsidRDefault="00154C41" w:rsidP="00630F4F">
            <w:pPr>
              <w:pStyle w:val="13"/>
              <w:spacing w:line="240" w:lineRule="auto"/>
              <w:ind w:firstLineChars="0" w:firstLine="0"/>
              <w:rPr>
                <w:sz w:val="21"/>
                <w:szCs w:val="21"/>
              </w:rPr>
            </w:pPr>
            <w:r w:rsidRPr="00154C41">
              <w:rPr>
                <w:sz w:val="21"/>
                <w:szCs w:val="21"/>
              </w:rPr>
              <w:t>信息共享情况</w:t>
            </w:r>
          </w:p>
        </w:tc>
        <w:tc>
          <w:tcPr>
            <w:tcW w:w="2172" w:type="pct"/>
            <w:vAlign w:val="center"/>
          </w:tcPr>
          <w:p w14:paraId="15A95EB5" w14:textId="77777777" w:rsidR="00154C41" w:rsidRPr="00154C41" w:rsidRDefault="00154C41" w:rsidP="00630F4F">
            <w:pPr>
              <w:pStyle w:val="13"/>
              <w:spacing w:line="240" w:lineRule="auto"/>
              <w:ind w:firstLineChars="0" w:firstLine="0"/>
              <w:rPr>
                <w:sz w:val="21"/>
                <w:szCs w:val="21"/>
              </w:rPr>
            </w:pPr>
            <w:r w:rsidRPr="00154C41">
              <w:rPr>
                <w:sz w:val="21"/>
                <w:szCs w:val="21"/>
              </w:rPr>
              <w:t>项目实施后的成果及信息与其他部门共享</w:t>
            </w:r>
          </w:p>
        </w:tc>
      </w:tr>
      <w:tr w:rsidR="00630F4F" w:rsidRPr="00154C41" w14:paraId="31000D4F" w14:textId="77777777" w:rsidTr="00630F4F">
        <w:trPr>
          <w:trHeight w:val="575"/>
        </w:trPr>
        <w:tc>
          <w:tcPr>
            <w:tcW w:w="435" w:type="pct"/>
            <w:vAlign w:val="center"/>
          </w:tcPr>
          <w:p w14:paraId="10207F88" w14:textId="77777777" w:rsidR="00154C41" w:rsidRPr="00154C41" w:rsidRDefault="00154C41" w:rsidP="00630F4F">
            <w:pPr>
              <w:pStyle w:val="13"/>
              <w:spacing w:line="240" w:lineRule="auto"/>
              <w:ind w:firstLineChars="0" w:firstLine="0"/>
              <w:rPr>
                <w:sz w:val="21"/>
                <w:szCs w:val="21"/>
              </w:rPr>
            </w:pPr>
            <w:r w:rsidRPr="00154C41">
              <w:rPr>
                <w:sz w:val="21"/>
                <w:szCs w:val="21"/>
              </w:rPr>
              <w:t>总分</w:t>
            </w:r>
          </w:p>
        </w:tc>
        <w:tc>
          <w:tcPr>
            <w:tcW w:w="619" w:type="pct"/>
            <w:vAlign w:val="center"/>
          </w:tcPr>
          <w:p w14:paraId="49C93E67" w14:textId="77777777" w:rsidR="00154C41" w:rsidRPr="00154C41" w:rsidRDefault="00154C41" w:rsidP="00630F4F">
            <w:pPr>
              <w:pStyle w:val="13"/>
              <w:spacing w:line="240" w:lineRule="auto"/>
              <w:ind w:firstLineChars="0" w:firstLine="0"/>
              <w:rPr>
                <w:sz w:val="21"/>
                <w:szCs w:val="21"/>
              </w:rPr>
            </w:pPr>
            <w:r w:rsidRPr="00154C41">
              <w:rPr>
                <w:sz w:val="21"/>
                <w:szCs w:val="21"/>
              </w:rPr>
              <w:t>100</w:t>
            </w:r>
          </w:p>
        </w:tc>
        <w:tc>
          <w:tcPr>
            <w:tcW w:w="732" w:type="pct"/>
          </w:tcPr>
          <w:p w14:paraId="486BBF86" w14:textId="77777777" w:rsidR="00154C41" w:rsidRPr="00154C41" w:rsidRDefault="00154C41" w:rsidP="00630F4F">
            <w:pPr>
              <w:pStyle w:val="13"/>
              <w:spacing w:line="240" w:lineRule="auto"/>
              <w:ind w:firstLineChars="0" w:firstLine="0"/>
              <w:rPr>
                <w:sz w:val="21"/>
                <w:szCs w:val="21"/>
              </w:rPr>
            </w:pPr>
          </w:p>
        </w:tc>
        <w:tc>
          <w:tcPr>
            <w:tcW w:w="1042" w:type="pct"/>
          </w:tcPr>
          <w:p w14:paraId="689F43CE" w14:textId="77777777" w:rsidR="00154C41" w:rsidRPr="00154C41" w:rsidRDefault="00154C41" w:rsidP="00630F4F">
            <w:pPr>
              <w:pStyle w:val="13"/>
              <w:spacing w:line="240" w:lineRule="auto"/>
              <w:ind w:firstLineChars="0" w:firstLine="0"/>
              <w:rPr>
                <w:sz w:val="21"/>
                <w:szCs w:val="21"/>
              </w:rPr>
            </w:pPr>
          </w:p>
        </w:tc>
        <w:tc>
          <w:tcPr>
            <w:tcW w:w="2172" w:type="pct"/>
          </w:tcPr>
          <w:p w14:paraId="40F924A8" w14:textId="77777777" w:rsidR="00154C41" w:rsidRPr="00154C41" w:rsidRDefault="00154C41" w:rsidP="00630F4F">
            <w:pPr>
              <w:pStyle w:val="13"/>
              <w:spacing w:line="240" w:lineRule="auto"/>
              <w:ind w:firstLineChars="0" w:firstLine="0"/>
              <w:rPr>
                <w:sz w:val="21"/>
                <w:szCs w:val="21"/>
              </w:rPr>
            </w:pPr>
          </w:p>
        </w:tc>
      </w:tr>
    </w:tbl>
    <w:p w14:paraId="57916642" w14:textId="1FADB4A8" w:rsidR="00882ED4" w:rsidRDefault="00630F4F" w:rsidP="00630F4F">
      <w:pPr>
        <w:pStyle w:val="31"/>
        <w:spacing w:before="156" w:after="62"/>
      </w:pPr>
      <w:bookmarkStart w:id="100" w:name="_Toc81833363"/>
      <w:r w:rsidRPr="00630F4F">
        <w:lastRenderedPageBreak/>
        <w:t>PPP项目资产评估及相关咨询业务操作指引（</w:t>
      </w:r>
      <w:proofErr w:type="gramStart"/>
      <w:r w:rsidRPr="00630F4F">
        <w:t>中评协</w:t>
      </w:r>
      <w:proofErr w:type="gramEnd"/>
      <w:r w:rsidRPr="00630F4F">
        <w:t>〔2016〕38号）</w:t>
      </w:r>
      <w:bookmarkEnd w:id="100"/>
    </w:p>
    <w:p w14:paraId="4A138DF0" w14:textId="77777777" w:rsidR="00630F4F" w:rsidRDefault="00630F4F" w:rsidP="00630F4F">
      <w:pPr>
        <w:pStyle w:val="13"/>
        <w:ind w:firstLineChars="0" w:firstLine="0"/>
      </w:pPr>
      <w:r>
        <w:rPr>
          <w:rFonts w:hint="eastAsia"/>
        </w:rPr>
        <w:t>各省、自治区、直辖市、计划单列市资产评估协会（注册会计师协会）、各证券评估资格资产评估机构：</w:t>
      </w:r>
    </w:p>
    <w:p w14:paraId="6B3907B4" w14:textId="220BB001" w:rsidR="00630F4F" w:rsidRDefault="00630F4F" w:rsidP="00630F4F">
      <w:pPr>
        <w:pStyle w:val="13"/>
      </w:pPr>
      <w:r>
        <w:rPr>
          <w:rFonts w:hint="eastAsia"/>
        </w:rPr>
        <w:t>为指导资产评估机构执行</w:t>
      </w:r>
      <w:r>
        <w:t>PPP项目资产评估及相关咨询业务，维护PPP项目各相关当事方的合法权益，促进PPP模式的实施与推广，在财政部指导下，中国资产评估协会总结评估行业的经验，制定了《PPP项目资产评估及相关咨询业务操作指引》。现予以发布。</w:t>
      </w:r>
    </w:p>
    <w:p w14:paraId="05E9643A" w14:textId="356BD920" w:rsidR="00630F4F" w:rsidRDefault="00630F4F" w:rsidP="00630F4F">
      <w:pPr>
        <w:pStyle w:val="13"/>
      </w:pPr>
      <w:r>
        <w:rPr>
          <w:rFonts w:hint="eastAsia"/>
        </w:rPr>
        <w:t>请各地</w:t>
      </w:r>
      <w:proofErr w:type="gramStart"/>
      <w:r>
        <w:rPr>
          <w:rFonts w:hint="eastAsia"/>
        </w:rPr>
        <w:t>方协会</w:t>
      </w:r>
      <w:proofErr w:type="gramEnd"/>
      <w:r>
        <w:rPr>
          <w:rFonts w:hint="eastAsia"/>
        </w:rPr>
        <w:t>将《</w:t>
      </w:r>
      <w:r>
        <w:t>PPP项目资产评估及相关咨询业务操作指引》及时转发评估机构，组织评估机构进行学习和培训，并将执行过程中发现的问题及时上报中国资产评估协会。</w:t>
      </w:r>
    </w:p>
    <w:p w14:paraId="65B6C4D5" w14:textId="0C8ABCC9" w:rsidR="00630F4F" w:rsidRDefault="00630F4F" w:rsidP="00630F4F">
      <w:pPr>
        <w:pStyle w:val="13"/>
      </w:pPr>
      <w:r>
        <w:rPr>
          <w:rFonts w:hint="eastAsia"/>
        </w:rPr>
        <w:t>附件：</w:t>
      </w:r>
      <w:r w:rsidR="002B14BC">
        <w:t>PPP</w:t>
      </w:r>
      <w:r>
        <w:t>项目资产评估及相关咨询业务操作指引</w:t>
      </w:r>
    </w:p>
    <w:p w14:paraId="2A1AA4DE" w14:textId="77777777" w:rsidR="00630F4F" w:rsidRDefault="00630F4F" w:rsidP="00757A15">
      <w:pPr>
        <w:pStyle w:val="13"/>
        <w:jc w:val="right"/>
      </w:pPr>
      <w:r>
        <w:rPr>
          <w:rFonts w:hint="eastAsia"/>
        </w:rPr>
        <w:t>中国资产评估协会</w:t>
      </w:r>
    </w:p>
    <w:p w14:paraId="06D41884" w14:textId="1471A619" w:rsidR="00882ED4" w:rsidRPr="00630F4F" w:rsidRDefault="00630F4F" w:rsidP="00757A15">
      <w:pPr>
        <w:pStyle w:val="13"/>
        <w:jc w:val="right"/>
      </w:pPr>
      <w:r>
        <w:t>2016</w:t>
      </w:r>
      <w:r w:rsidR="003068F8">
        <w:t>年</w:t>
      </w:r>
      <w:r>
        <w:t>10</w:t>
      </w:r>
      <w:r w:rsidR="003068F8">
        <w:t>月</w:t>
      </w:r>
      <w:r>
        <w:t>13</w:t>
      </w:r>
      <w:r w:rsidR="003068F8">
        <w:t>日</w:t>
      </w:r>
    </w:p>
    <w:p w14:paraId="340C9FF8" w14:textId="0B99CA17" w:rsidR="00757A15" w:rsidRDefault="00757A15" w:rsidP="00AF7342">
      <w:pPr>
        <w:pStyle w:val="a9"/>
        <w:spacing w:before="62" w:after="62"/>
      </w:pPr>
      <w:r>
        <w:t>PPP项目资产评估及相关咨询业务操作指引</w:t>
      </w:r>
    </w:p>
    <w:p w14:paraId="6361CA14" w14:textId="5F3A784E" w:rsidR="00757A15" w:rsidRDefault="00757A15" w:rsidP="00757A15">
      <w:pPr>
        <w:pStyle w:val="13"/>
      </w:pPr>
      <w:r>
        <w:rPr>
          <w:rFonts w:hint="eastAsia"/>
        </w:rPr>
        <w:t>为指导评估机构执行</w:t>
      </w:r>
      <w:r>
        <w:t>PPP项目资产评估及相关咨询业务，维护PPP项目各相关当事方合法权益，促进PPP模式的实施与推广，根据国家相关法律、法规，财政部、</w:t>
      </w:r>
      <w:proofErr w:type="gramStart"/>
      <w:r>
        <w:t>发改委</w:t>
      </w:r>
      <w:proofErr w:type="gramEnd"/>
      <w:r>
        <w:t>等部委发布的相关规定，中国资产评估协会通过总结评估行业积累的PPP项目实践经验，制定了《</w:t>
      </w:r>
      <w:r w:rsidR="002B14BC">
        <w:t>PPP</w:t>
      </w:r>
      <w:r>
        <w:t>项目资产评估及相关咨询业务操作指引》。评估机构执行PPP项目资产评估及相关咨询业务，可以参照本操作指引，也可以根据具体情况采用其他适当的方法。随着相关法律法规的调整与完善，以及评估行业参与PPP项目资产评估及相关咨询业</w:t>
      </w:r>
      <w:proofErr w:type="gramStart"/>
      <w:r>
        <w:t>务</w:t>
      </w:r>
      <w:proofErr w:type="gramEnd"/>
      <w:r>
        <w:t>实践经验的进一步丰</w:t>
      </w:r>
      <w:r>
        <w:rPr>
          <w:rFonts w:hint="eastAsia"/>
        </w:rPr>
        <w:t>富，中国资产评估协会将对操作指引进行修订、完善。</w:t>
      </w:r>
    </w:p>
    <w:p w14:paraId="39924B11" w14:textId="25EA8908" w:rsidR="00757A15" w:rsidRDefault="00757A15" w:rsidP="00AF7342">
      <w:pPr>
        <w:pStyle w:val="a9"/>
        <w:spacing w:before="62" w:after="62"/>
      </w:pPr>
      <w:r>
        <w:rPr>
          <w:rFonts w:hint="eastAsia"/>
        </w:rPr>
        <w:t>第一章</w:t>
      </w:r>
      <w:r>
        <w:t xml:space="preserve"> PPP项目资产评估及相关咨询业务基本要求</w:t>
      </w:r>
    </w:p>
    <w:p w14:paraId="3C5690EF" w14:textId="77777777" w:rsidR="00757A15" w:rsidRDefault="00757A15" w:rsidP="00AF7342">
      <w:pPr>
        <w:pStyle w:val="a9"/>
        <w:spacing w:before="62" w:after="62"/>
      </w:pPr>
      <w:r>
        <w:rPr>
          <w:rFonts w:hint="eastAsia"/>
        </w:rPr>
        <w:t>第一节</w:t>
      </w:r>
      <w:r>
        <w:t xml:space="preserve"> 概述</w:t>
      </w:r>
    </w:p>
    <w:p w14:paraId="6002FEC8" w14:textId="77777777" w:rsidR="00757A15" w:rsidRPr="00757A15" w:rsidRDefault="00757A15" w:rsidP="004315CB">
      <w:pPr>
        <w:pStyle w:val="ab"/>
        <w:spacing w:before="62" w:after="62"/>
        <w:ind w:firstLine="482"/>
      </w:pPr>
      <w:r w:rsidRPr="00757A15">
        <w:rPr>
          <w:rFonts w:hint="eastAsia"/>
        </w:rPr>
        <w:t>一、相关法律法规</w:t>
      </w:r>
    </w:p>
    <w:p w14:paraId="6DF53650" w14:textId="28ADEA75" w:rsidR="00757A15" w:rsidRDefault="00757A15" w:rsidP="00757A15">
      <w:pPr>
        <w:pStyle w:val="13"/>
      </w:pPr>
      <w:r>
        <w:rPr>
          <w:rFonts w:hint="eastAsia"/>
        </w:rPr>
        <w:t>评估机构执行</w:t>
      </w:r>
      <w:r>
        <w:t>PPP项目资产评估及相关咨询业</w:t>
      </w:r>
      <w:proofErr w:type="gramStart"/>
      <w:r>
        <w:t>务需</w:t>
      </w:r>
      <w:proofErr w:type="gramEnd"/>
      <w:r>
        <w:t>要关注国家相关法律、法规，财政部、</w:t>
      </w:r>
      <w:proofErr w:type="gramStart"/>
      <w:r>
        <w:t>发改委</w:t>
      </w:r>
      <w:proofErr w:type="gramEnd"/>
      <w:r>
        <w:t>等部委发布的相关政策，以及各地方政府出台的相关规定。</w:t>
      </w:r>
    </w:p>
    <w:p w14:paraId="73319E56" w14:textId="77777777" w:rsidR="00757A15" w:rsidRPr="00757A15" w:rsidRDefault="00757A15" w:rsidP="004315CB">
      <w:pPr>
        <w:pStyle w:val="ab"/>
        <w:spacing w:before="62" w:after="62"/>
        <w:ind w:firstLine="482"/>
      </w:pPr>
      <w:r w:rsidRPr="00757A15">
        <w:rPr>
          <w:rFonts w:hint="eastAsia"/>
        </w:rPr>
        <w:t>二、胜任能力</w:t>
      </w:r>
    </w:p>
    <w:p w14:paraId="09D5553D" w14:textId="5B6358F9" w:rsidR="00757A15" w:rsidRDefault="00757A15" w:rsidP="00757A15">
      <w:pPr>
        <w:pStyle w:val="13"/>
      </w:pPr>
      <w:r>
        <w:rPr>
          <w:rFonts w:hint="eastAsia"/>
        </w:rPr>
        <w:t>评估机构执行</w:t>
      </w:r>
      <w:r>
        <w:t>PPP项目资产评估及相关咨询业务，应当根据PPP项目具体情况</w:t>
      </w:r>
      <w:r w:rsidR="003068F8">
        <w:t>，</w:t>
      </w:r>
      <w:r>
        <w:t>对自身专业胜任能力、独立性和业务风险进行综合分析和判断，决定是否承接相关业务。</w:t>
      </w:r>
    </w:p>
    <w:p w14:paraId="5833AA53" w14:textId="77777777" w:rsidR="00757A15" w:rsidRPr="00757A15" w:rsidRDefault="00757A15" w:rsidP="004315CB">
      <w:pPr>
        <w:pStyle w:val="ab"/>
        <w:spacing w:before="62" w:after="62"/>
        <w:ind w:firstLine="482"/>
      </w:pPr>
      <w:r w:rsidRPr="00757A15">
        <w:rPr>
          <w:rFonts w:hint="eastAsia"/>
        </w:rPr>
        <w:lastRenderedPageBreak/>
        <w:t>三、职业道德</w:t>
      </w:r>
    </w:p>
    <w:p w14:paraId="511A0F96" w14:textId="3F5D2F7D" w:rsidR="00757A15" w:rsidRDefault="00757A15" w:rsidP="00757A15">
      <w:pPr>
        <w:pStyle w:val="13"/>
      </w:pPr>
      <w:r>
        <w:rPr>
          <w:rFonts w:hint="eastAsia"/>
        </w:rPr>
        <w:t>评估机构开展</w:t>
      </w:r>
      <w:r>
        <w:t>PPP项目资产评估及相关咨询业务，应当勤勉尽责、保持应有的职业谨慎，恪守独立、客观、公正的原则，同时应当遵守保密原则，除法律法规和行业规范另有规定外，未经委托方书面许可，不得对外提供执业过程中获知的国家秘密、商业秘密及业务资料。</w:t>
      </w:r>
    </w:p>
    <w:p w14:paraId="6FD4DABC" w14:textId="77777777" w:rsidR="00757A15" w:rsidRPr="00757A15" w:rsidRDefault="00757A15" w:rsidP="004315CB">
      <w:pPr>
        <w:pStyle w:val="ab"/>
        <w:spacing w:before="62" w:after="62"/>
        <w:ind w:firstLine="482"/>
      </w:pPr>
      <w:r w:rsidRPr="00757A15">
        <w:rPr>
          <w:rFonts w:hint="eastAsia"/>
        </w:rPr>
        <w:t>四、基本程序</w:t>
      </w:r>
    </w:p>
    <w:p w14:paraId="53D8580E" w14:textId="4387658B" w:rsidR="00757A15" w:rsidRDefault="00757A15" w:rsidP="00757A15">
      <w:pPr>
        <w:pStyle w:val="13"/>
      </w:pPr>
      <w:r>
        <w:rPr>
          <w:rFonts w:hint="eastAsia"/>
        </w:rPr>
        <w:t>评估机构执行</w:t>
      </w:r>
      <w:r>
        <w:t>PPP项目资产评估业务及相关咨询业务可以履行以下基本程序：</w:t>
      </w:r>
    </w:p>
    <w:p w14:paraId="2DB6F15F" w14:textId="4962D66F" w:rsidR="00757A15" w:rsidRDefault="00757A15" w:rsidP="00757A15">
      <w:pPr>
        <w:pStyle w:val="13"/>
      </w:pPr>
      <w:r>
        <w:t>1、明确PPP项目相关业务基本事项，判断承接风险；</w:t>
      </w:r>
    </w:p>
    <w:p w14:paraId="395E8C8E" w14:textId="17BD586E" w:rsidR="00757A15" w:rsidRDefault="00757A15" w:rsidP="00757A15">
      <w:pPr>
        <w:pStyle w:val="13"/>
      </w:pPr>
      <w:r>
        <w:t>2、接受PPP项目相关当事方（通常为政府方或社会资本方）的委托，签订委托合</w:t>
      </w:r>
      <w:r>
        <w:rPr>
          <w:rFonts w:hint="eastAsia"/>
        </w:rPr>
        <w:t>同；</w:t>
      </w:r>
    </w:p>
    <w:p w14:paraId="7B42EBAA" w14:textId="6108B1B3" w:rsidR="00757A15" w:rsidRDefault="00757A15" w:rsidP="00757A15">
      <w:pPr>
        <w:pStyle w:val="13"/>
      </w:pPr>
      <w:r>
        <w:t>3、成立PPP项目相关业务工作组；</w:t>
      </w:r>
    </w:p>
    <w:p w14:paraId="5157CEEB" w14:textId="096B1F9D" w:rsidR="00757A15" w:rsidRDefault="00757A15" w:rsidP="00757A15">
      <w:pPr>
        <w:pStyle w:val="13"/>
      </w:pPr>
      <w:r>
        <w:t>4、制定PPP项目相关业务工作方案；</w:t>
      </w:r>
    </w:p>
    <w:p w14:paraId="1D7B1721" w14:textId="2693125D" w:rsidR="00757A15" w:rsidRDefault="00757A15" w:rsidP="00757A15">
      <w:pPr>
        <w:pStyle w:val="13"/>
      </w:pPr>
      <w:r>
        <w:t>5、通过案卷研究、政策分析、数据填报、实地调研、座谈会及问卷调查等方法收集</w:t>
      </w:r>
      <w:r>
        <w:rPr>
          <w:rFonts w:hint="eastAsia"/>
        </w:rPr>
        <w:t>相关业务数据及资料；</w:t>
      </w:r>
    </w:p>
    <w:p w14:paraId="1632FE4B" w14:textId="77777777" w:rsidR="00757A15" w:rsidRDefault="00757A15" w:rsidP="00757A15">
      <w:pPr>
        <w:pStyle w:val="13"/>
      </w:pPr>
      <w:r>
        <w:t>6、对数据及资料进行甄别、汇总和分析；</w:t>
      </w:r>
    </w:p>
    <w:p w14:paraId="3D524AA7" w14:textId="77777777" w:rsidR="00757A15" w:rsidRDefault="00757A15" w:rsidP="00757A15">
      <w:pPr>
        <w:pStyle w:val="13"/>
      </w:pPr>
      <w:r>
        <w:t>7、形成相应的评估或咨询结论；</w:t>
      </w:r>
    </w:p>
    <w:p w14:paraId="1906C67B" w14:textId="720C7178" w:rsidR="00757A15" w:rsidRDefault="00757A15" w:rsidP="00757A15">
      <w:pPr>
        <w:pStyle w:val="13"/>
      </w:pPr>
      <w:r>
        <w:t>8、编制PPP项目相关业务成果，包括报告、方案、咨询意见或建议书等；</w:t>
      </w:r>
    </w:p>
    <w:p w14:paraId="33F9200C" w14:textId="16A165B9" w:rsidR="00757A15" w:rsidRDefault="00757A15" w:rsidP="00757A15">
      <w:pPr>
        <w:pStyle w:val="13"/>
      </w:pPr>
      <w:r>
        <w:t>9、与委托方就PPP项目相关业务成果进行充分沟通，并根据委托方的合理意见对业务成果进行完善；</w:t>
      </w:r>
    </w:p>
    <w:p w14:paraId="774F2B25" w14:textId="77777777" w:rsidR="00757A15" w:rsidRDefault="00757A15" w:rsidP="00757A15">
      <w:pPr>
        <w:pStyle w:val="13"/>
      </w:pPr>
      <w:r>
        <w:t>10、履行评估机构内部审核程序；</w:t>
      </w:r>
    </w:p>
    <w:p w14:paraId="333732E3" w14:textId="43EA88EC" w:rsidR="00757A15" w:rsidRDefault="00757A15" w:rsidP="00757A15">
      <w:pPr>
        <w:pStyle w:val="13"/>
      </w:pPr>
      <w:r>
        <w:t>11、提交PPP项目相关业务成果；</w:t>
      </w:r>
    </w:p>
    <w:p w14:paraId="67A7FF76" w14:textId="77777777" w:rsidR="00757A15" w:rsidRDefault="00757A15" w:rsidP="00757A15">
      <w:pPr>
        <w:pStyle w:val="13"/>
      </w:pPr>
      <w:r>
        <w:t>12、工作底稿归档。五、业务类型</w:t>
      </w:r>
    </w:p>
    <w:p w14:paraId="33003945" w14:textId="15607BF3" w:rsidR="00757A15" w:rsidRDefault="00757A15" w:rsidP="00757A15">
      <w:pPr>
        <w:pStyle w:val="13"/>
      </w:pPr>
      <w:r>
        <w:rPr>
          <w:rFonts w:hint="eastAsia"/>
        </w:rPr>
        <w:t>评估机构可以在</w:t>
      </w:r>
      <w:r>
        <w:t>PPP项目不同阶段提供多种资产评估或相关咨询服务。</w:t>
      </w:r>
    </w:p>
    <w:p w14:paraId="0EF0A5A4" w14:textId="364D966D" w:rsidR="00757A15" w:rsidRDefault="00757A15" w:rsidP="00757A15">
      <w:pPr>
        <w:pStyle w:val="13"/>
      </w:pPr>
      <w:r>
        <w:rPr>
          <w:rFonts w:hint="eastAsia"/>
        </w:rPr>
        <w:t>在</w:t>
      </w:r>
      <w:r>
        <w:t>PPP项目识别阶段，评估机构可以开展的PPP项目相关业务通常包括：项目发起及项目筛选咨询业务、新建项目尽职调查、存量项目尽职调查、编制项目初步实施方</w:t>
      </w:r>
      <w:r>
        <w:rPr>
          <w:rFonts w:hint="eastAsia"/>
        </w:rPr>
        <w:t>案或项目建议书、项目识别阶段的物有所值评价及财政承受能力论证等。</w:t>
      </w:r>
    </w:p>
    <w:p w14:paraId="410F38E1" w14:textId="43CA16A4" w:rsidR="00757A15" w:rsidRDefault="00757A15" w:rsidP="00757A15">
      <w:pPr>
        <w:pStyle w:val="13"/>
      </w:pPr>
      <w:r>
        <w:rPr>
          <w:rFonts w:hint="eastAsia"/>
        </w:rPr>
        <w:t>在</w:t>
      </w:r>
      <w:r>
        <w:t>PPP项目准备阶段，评估机构可以开展的PPP项目相关业务通常包括：项目实施方案的编制、项目准备阶段的物有所值评价、项目准备阶段的财政承受能力论证及项目实施方案的评估等。</w:t>
      </w:r>
    </w:p>
    <w:p w14:paraId="0005E157" w14:textId="723438D1" w:rsidR="00757A15" w:rsidRDefault="00757A15" w:rsidP="00757A15">
      <w:pPr>
        <w:pStyle w:val="13"/>
      </w:pPr>
      <w:r>
        <w:rPr>
          <w:rFonts w:hint="eastAsia"/>
        </w:rPr>
        <w:t>在</w:t>
      </w:r>
      <w:r>
        <w:t>PPP项目采购阶段，评估机构可以开展的PPP项目相关业务通常包括：协助政府对社会资本进行资格预审、协助政府制定项目采购文件、协助社会资本制定项目响应文件、对社会资本尽职调查、参与合同体系构建及项目采购阶段的物有所值评价等。</w:t>
      </w:r>
    </w:p>
    <w:p w14:paraId="7CA272A9" w14:textId="7634399B" w:rsidR="00757A15" w:rsidRDefault="00757A15" w:rsidP="00757A15">
      <w:pPr>
        <w:pStyle w:val="13"/>
      </w:pPr>
      <w:r>
        <w:rPr>
          <w:rFonts w:hint="eastAsia"/>
        </w:rPr>
        <w:t>在</w:t>
      </w:r>
      <w:r>
        <w:t>PPP项目执行阶段，评估机构可以开展的PPP项目相关业务通常包括：协助</w:t>
      </w:r>
      <w:r>
        <w:lastRenderedPageBreak/>
        <w:t>设立项目公司、融资咨询、项目现金流分析、项目绩效监测与支付评审、项目风险再分配咨询、项目中期评估、项目调价过程中的咨询及项目执行阶段的资产评估等。</w:t>
      </w:r>
    </w:p>
    <w:p w14:paraId="7F15B61A" w14:textId="17818DA9" w:rsidR="00757A15" w:rsidRDefault="00757A15" w:rsidP="00757A15">
      <w:pPr>
        <w:pStyle w:val="13"/>
      </w:pPr>
      <w:r>
        <w:rPr>
          <w:rFonts w:hint="eastAsia"/>
        </w:rPr>
        <w:t>在</w:t>
      </w:r>
      <w:r>
        <w:t>PPP项目移交阶段，评估机构可以开展的PPP项目相关业务通常包括：项目移交阶段的资产清查、移交阶段的资产评估、项目移交方案的编制及项目绩效评价等。</w:t>
      </w:r>
    </w:p>
    <w:p w14:paraId="202BFC28" w14:textId="135537D8" w:rsidR="00882ED4" w:rsidRDefault="00757A15" w:rsidP="00757A15">
      <w:pPr>
        <w:pStyle w:val="13"/>
      </w:pPr>
      <w:r>
        <w:rPr>
          <w:rFonts w:hint="eastAsia"/>
        </w:rPr>
        <w:t>表</w:t>
      </w:r>
      <w:r>
        <w:t>1《</w:t>
      </w:r>
      <w:r w:rsidR="002B14BC">
        <w:t>PPP</w:t>
      </w:r>
      <w:r>
        <w:t>项目各阶段相关业务情况表》列出在PPP项目的不同阶段，评估机构可以为各方提供的主要资产评估及相关咨询业务。</w:t>
      </w:r>
    </w:p>
    <w:p w14:paraId="78B966BF" w14:textId="4D5F9D27" w:rsidR="00882ED4" w:rsidRPr="00757A15" w:rsidRDefault="00757A15" w:rsidP="00757A15">
      <w:pPr>
        <w:pStyle w:val="13"/>
        <w:jc w:val="center"/>
      </w:pPr>
      <w:r w:rsidRPr="00757A15">
        <w:rPr>
          <w:rFonts w:hint="eastAsia"/>
        </w:rPr>
        <w:t>表</w:t>
      </w:r>
      <w:r w:rsidRPr="00757A15">
        <w:t>1：</w:t>
      </w:r>
      <w:r w:rsidR="002B14BC">
        <w:t>PPP</w:t>
      </w:r>
      <w:r w:rsidRPr="00757A15">
        <w:t>项目各阶段相关业务情况表</w:t>
      </w:r>
    </w:p>
    <w:tbl>
      <w:tblPr>
        <w:tblStyle w:val="af"/>
        <w:tblW w:w="9132" w:type="dxa"/>
        <w:tblLayout w:type="fixed"/>
        <w:tblLook w:val="04A0" w:firstRow="1" w:lastRow="0" w:firstColumn="1" w:lastColumn="0" w:noHBand="0" w:noVBand="1"/>
      </w:tblPr>
      <w:tblGrid>
        <w:gridCol w:w="706"/>
        <w:gridCol w:w="1163"/>
        <w:gridCol w:w="2420"/>
        <w:gridCol w:w="2367"/>
        <w:gridCol w:w="2476"/>
      </w:tblGrid>
      <w:tr w:rsidR="00757A15" w:rsidRPr="00757A15" w14:paraId="516D115C" w14:textId="77777777" w:rsidTr="00757A15">
        <w:trPr>
          <w:trHeight w:val="651"/>
          <w:tblHeader/>
        </w:trPr>
        <w:tc>
          <w:tcPr>
            <w:tcW w:w="706" w:type="dxa"/>
            <w:vAlign w:val="center"/>
          </w:tcPr>
          <w:p w14:paraId="285D39C8"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序号</w:t>
            </w:r>
          </w:p>
        </w:tc>
        <w:tc>
          <w:tcPr>
            <w:tcW w:w="1163" w:type="dxa"/>
            <w:vAlign w:val="center"/>
          </w:tcPr>
          <w:p w14:paraId="1B7E8121" w14:textId="40EEC156" w:rsidR="00757A15" w:rsidRPr="00757A15" w:rsidRDefault="00757A15" w:rsidP="00757A15">
            <w:pPr>
              <w:pStyle w:val="13"/>
              <w:ind w:firstLineChars="0" w:firstLine="0"/>
              <w:jc w:val="center"/>
              <w:rPr>
                <w:sz w:val="21"/>
                <w:szCs w:val="21"/>
                <w:lang w:bidi="zh-CN"/>
              </w:rPr>
            </w:pPr>
            <w:r w:rsidRPr="00757A15">
              <w:rPr>
                <w:sz w:val="21"/>
                <w:szCs w:val="21"/>
                <w:lang w:bidi="zh-CN"/>
              </w:rPr>
              <w:t>PPP项目</w:t>
            </w:r>
          </w:p>
          <w:p w14:paraId="5F2C8FCD"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各个阶段</w:t>
            </w:r>
          </w:p>
        </w:tc>
        <w:tc>
          <w:tcPr>
            <w:tcW w:w="2420" w:type="dxa"/>
            <w:vAlign w:val="center"/>
          </w:tcPr>
          <w:p w14:paraId="4B9589E2" w14:textId="31560C5D" w:rsidR="00757A15" w:rsidRPr="00757A15" w:rsidRDefault="002B14BC" w:rsidP="00757A15">
            <w:pPr>
              <w:pStyle w:val="13"/>
              <w:ind w:firstLineChars="0" w:firstLine="0"/>
              <w:jc w:val="center"/>
              <w:rPr>
                <w:sz w:val="21"/>
                <w:szCs w:val="21"/>
                <w:lang w:bidi="zh-CN"/>
              </w:rPr>
            </w:pPr>
            <w:r>
              <w:rPr>
                <w:sz w:val="21"/>
                <w:szCs w:val="21"/>
                <w:lang w:bidi="zh-CN"/>
              </w:rPr>
              <w:t>PPP</w:t>
            </w:r>
            <w:r w:rsidR="00757A15" w:rsidRPr="00757A15">
              <w:rPr>
                <w:sz w:val="21"/>
                <w:szCs w:val="21"/>
                <w:lang w:bidi="zh-CN"/>
              </w:rPr>
              <w:t>项目相关业务</w:t>
            </w:r>
          </w:p>
        </w:tc>
        <w:tc>
          <w:tcPr>
            <w:tcW w:w="2367" w:type="dxa"/>
            <w:vAlign w:val="center"/>
          </w:tcPr>
          <w:p w14:paraId="5F1D8404"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主要委托方</w:t>
            </w:r>
          </w:p>
        </w:tc>
        <w:tc>
          <w:tcPr>
            <w:tcW w:w="2476" w:type="dxa"/>
            <w:vAlign w:val="center"/>
          </w:tcPr>
          <w:p w14:paraId="645CA684"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业务成果</w:t>
            </w:r>
          </w:p>
        </w:tc>
      </w:tr>
      <w:tr w:rsidR="00757A15" w:rsidRPr="00757A15" w14:paraId="7B61E746" w14:textId="77777777" w:rsidTr="00757A15">
        <w:trPr>
          <w:trHeight w:val="652"/>
        </w:trPr>
        <w:tc>
          <w:tcPr>
            <w:tcW w:w="706" w:type="dxa"/>
            <w:vAlign w:val="center"/>
          </w:tcPr>
          <w:p w14:paraId="0C140148"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1</w:t>
            </w:r>
          </w:p>
        </w:tc>
        <w:tc>
          <w:tcPr>
            <w:tcW w:w="1163" w:type="dxa"/>
            <w:vMerge w:val="restart"/>
            <w:vAlign w:val="center"/>
          </w:tcPr>
          <w:p w14:paraId="3082593F"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项目识别</w:t>
            </w:r>
          </w:p>
        </w:tc>
        <w:tc>
          <w:tcPr>
            <w:tcW w:w="2420" w:type="dxa"/>
            <w:vAlign w:val="center"/>
          </w:tcPr>
          <w:p w14:paraId="13A68355" w14:textId="77777777" w:rsidR="00757A15" w:rsidRPr="00757A15" w:rsidRDefault="00757A15" w:rsidP="00757A15">
            <w:pPr>
              <w:pStyle w:val="13"/>
              <w:ind w:firstLineChars="0" w:firstLine="0"/>
              <w:rPr>
                <w:sz w:val="21"/>
                <w:szCs w:val="21"/>
                <w:lang w:bidi="zh-CN"/>
              </w:rPr>
            </w:pPr>
            <w:r w:rsidRPr="00757A15">
              <w:rPr>
                <w:sz w:val="21"/>
                <w:szCs w:val="21"/>
                <w:lang w:bidi="zh-CN"/>
              </w:rPr>
              <w:t>项目发起及项目筛选</w:t>
            </w:r>
            <w:proofErr w:type="gramStart"/>
            <w:r w:rsidRPr="00757A15">
              <w:rPr>
                <w:sz w:val="21"/>
                <w:szCs w:val="21"/>
                <w:lang w:bidi="zh-CN"/>
              </w:rPr>
              <w:t>咨</w:t>
            </w:r>
            <w:proofErr w:type="gramEnd"/>
          </w:p>
          <w:p w14:paraId="76090541" w14:textId="77777777" w:rsidR="00757A15" w:rsidRPr="00757A15" w:rsidRDefault="00757A15" w:rsidP="00757A15">
            <w:pPr>
              <w:pStyle w:val="13"/>
              <w:ind w:firstLineChars="0" w:firstLine="0"/>
              <w:rPr>
                <w:sz w:val="21"/>
                <w:szCs w:val="21"/>
                <w:lang w:bidi="zh-CN"/>
              </w:rPr>
            </w:pPr>
            <w:proofErr w:type="gramStart"/>
            <w:r w:rsidRPr="00757A15">
              <w:rPr>
                <w:sz w:val="21"/>
                <w:szCs w:val="21"/>
                <w:lang w:bidi="zh-CN"/>
              </w:rPr>
              <w:t>询</w:t>
            </w:r>
            <w:proofErr w:type="gramEnd"/>
            <w:r w:rsidRPr="00757A15">
              <w:rPr>
                <w:sz w:val="21"/>
                <w:szCs w:val="21"/>
                <w:lang w:bidi="zh-CN"/>
              </w:rPr>
              <w:t>业务</w:t>
            </w:r>
          </w:p>
        </w:tc>
        <w:tc>
          <w:tcPr>
            <w:tcW w:w="2367" w:type="dxa"/>
            <w:vAlign w:val="center"/>
          </w:tcPr>
          <w:p w14:paraId="618AED88" w14:textId="77777777" w:rsidR="00757A15" w:rsidRPr="00757A15" w:rsidRDefault="00757A15" w:rsidP="00757A15">
            <w:pPr>
              <w:pStyle w:val="13"/>
              <w:ind w:firstLineChars="0" w:firstLine="0"/>
              <w:rPr>
                <w:sz w:val="21"/>
                <w:szCs w:val="21"/>
                <w:lang w:bidi="zh-CN"/>
              </w:rPr>
            </w:pPr>
            <w:r w:rsidRPr="00757A15">
              <w:rPr>
                <w:sz w:val="21"/>
                <w:szCs w:val="21"/>
                <w:lang w:bidi="zh-CN"/>
              </w:rPr>
              <w:t>政府方或社会资本</w:t>
            </w:r>
          </w:p>
        </w:tc>
        <w:tc>
          <w:tcPr>
            <w:tcW w:w="2476" w:type="dxa"/>
            <w:vAlign w:val="center"/>
          </w:tcPr>
          <w:p w14:paraId="637E3270" w14:textId="77777777" w:rsidR="00757A15" w:rsidRPr="00757A15" w:rsidRDefault="00757A15" w:rsidP="00757A15">
            <w:pPr>
              <w:pStyle w:val="13"/>
              <w:ind w:firstLineChars="0" w:firstLine="0"/>
              <w:rPr>
                <w:sz w:val="21"/>
                <w:szCs w:val="21"/>
                <w:lang w:bidi="zh-CN"/>
              </w:rPr>
            </w:pPr>
            <w:r w:rsidRPr="00757A15">
              <w:rPr>
                <w:sz w:val="21"/>
                <w:szCs w:val="21"/>
                <w:lang w:bidi="zh-CN"/>
              </w:rPr>
              <w:t>相关咨询意见或建议书</w:t>
            </w:r>
          </w:p>
        </w:tc>
      </w:tr>
      <w:tr w:rsidR="00757A15" w:rsidRPr="00757A15" w14:paraId="20D43A09" w14:textId="77777777" w:rsidTr="00757A15">
        <w:trPr>
          <w:trHeight w:val="326"/>
        </w:trPr>
        <w:tc>
          <w:tcPr>
            <w:tcW w:w="706" w:type="dxa"/>
            <w:vAlign w:val="center"/>
          </w:tcPr>
          <w:p w14:paraId="75F25A8B"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2</w:t>
            </w:r>
          </w:p>
        </w:tc>
        <w:tc>
          <w:tcPr>
            <w:tcW w:w="1163" w:type="dxa"/>
            <w:vMerge/>
            <w:vAlign w:val="center"/>
          </w:tcPr>
          <w:p w14:paraId="6D8878E9" w14:textId="77777777" w:rsidR="00757A15" w:rsidRPr="00757A15" w:rsidRDefault="00757A15" w:rsidP="00757A15">
            <w:pPr>
              <w:pStyle w:val="13"/>
              <w:ind w:firstLineChars="0" w:firstLine="0"/>
              <w:jc w:val="center"/>
              <w:rPr>
                <w:sz w:val="21"/>
                <w:szCs w:val="21"/>
                <w:lang w:bidi="zh-CN"/>
              </w:rPr>
            </w:pPr>
          </w:p>
        </w:tc>
        <w:tc>
          <w:tcPr>
            <w:tcW w:w="2420" w:type="dxa"/>
            <w:vAlign w:val="center"/>
          </w:tcPr>
          <w:p w14:paraId="27936A92" w14:textId="77777777" w:rsidR="00757A15" w:rsidRPr="00757A15" w:rsidRDefault="00757A15" w:rsidP="00757A15">
            <w:pPr>
              <w:pStyle w:val="13"/>
              <w:ind w:firstLineChars="0" w:firstLine="0"/>
              <w:rPr>
                <w:sz w:val="21"/>
                <w:szCs w:val="21"/>
                <w:lang w:bidi="zh-CN"/>
              </w:rPr>
            </w:pPr>
            <w:r w:rsidRPr="00757A15">
              <w:rPr>
                <w:sz w:val="21"/>
                <w:szCs w:val="21"/>
                <w:lang w:bidi="zh-CN"/>
              </w:rPr>
              <w:t>新建项目尽职调查</w:t>
            </w:r>
          </w:p>
        </w:tc>
        <w:tc>
          <w:tcPr>
            <w:tcW w:w="2367" w:type="dxa"/>
            <w:vAlign w:val="center"/>
          </w:tcPr>
          <w:p w14:paraId="5D6C3A7B" w14:textId="77777777" w:rsidR="00757A15" w:rsidRPr="00757A15" w:rsidRDefault="00757A15" w:rsidP="00757A15">
            <w:pPr>
              <w:pStyle w:val="13"/>
              <w:ind w:firstLineChars="0" w:firstLine="0"/>
              <w:rPr>
                <w:sz w:val="21"/>
                <w:szCs w:val="21"/>
                <w:lang w:bidi="zh-CN"/>
              </w:rPr>
            </w:pPr>
            <w:r w:rsidRPr="00757A15">
              <w:rPr>
                <w:sz w:val="21"/>
                <w:szCs w:val="21"/>
                <w:lang w:bidi="zh-CN"/>
              </w:rPr>
              <w:t>政府方或社会资本</w:t>
            </w:r>
          </w:p>
        </w:tc>
        <w:tc>
          <w:tcPr>
            <w:tcW w:w="2476" w:type="dxa"/>
            <w:vAlign w:val="center"/>
          </w:tcPr>
          <w:p w14:paraId="1C0C598D" w14:textId="77777777" w:rsidR="00757A15" w:rsidRPr="00757A15" w:rsidRDefault="00757A15" w:rsidP="00757A15">
            <w:pPr>
              <w:pStyle w:val="13"/>
              <w:ind w:firstLineChars="0" w:firstLine="0"/>
              <w:rPr>
                <w:sz w:val="21"/>
                <w:szCs w:val="21"/>
                <w:lang w:bidi="zh-CN"/>
              </w:rPr>
            </w:pPr>
            <w:r w:rsidRPr="00757A15">
              <w:rPr>
                <w:sz w:val="21"/>
                <w:szCs w:val="21"/>
                <w:lang w:bidi="zh-CN"/>
              </w:rPr>
              <w:t>尽职调查报告</w:t>
            </w:r>
          </w:p>
        </w:tc>
      </w:tr>
      <w:tr w:rsidR="00757A15" w:rsidRPr="00757A15" w14:paraId="60172C65" w14:textId="77777777" w:rsidTr="00757A15">
        <w:trPr>
          <w:trHeight w:val="326"/>
        </w:trPr>
        <w:tc>
          <w:tcPr>
            <w:tcW w:w="706" w:type="dxa"/>
            <w:vAlign w:val="center"/>
          </w:tcPr>
          <w:p w14:paraId="08C32D83"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3</w:t>
            </w:r>
          </w:p>
        </w:tc>
        <w:tc>
          <w:tcPr>
            <w:tcW w:w="1163" w:type="dxa"/>
            <w:vMerge/>
            <w:vAlign w:val="center"/>
          </w:tcPr>
          <w:p w14:paraId="42B59D95" w14:textId="77777777" w:rsidR="00757A15" w:rsidRPr="00757A15" w:rsidRDefault="00757A15" w:rsidP="00757A15">
            <w:pPr>
              <w:pStyle w:val="13"/>
              <w:ind w:firstLineChars="0" w:firstLine="0"/>
              <w:jc w:val="center"/>
              <w:rPr>
                <w:sz w:val="21"/>
                <w:szCs w:val="21"/>
                <w:lang w:bidi="zh-CN"/>
              </w:rPr>
            </w:pPr>
          </w:p>
        </w:tc>
        <w:tc>
          <w:tcPr>
            <w:tcW w:w="2420" w:type="dxa"/>
            <w:vAlign w:val="center"/>
          </w:tcPr>
          <w:p w14:paraId="4C6B304D" w14:textId="77777777" w:rsidR="00757A15" w:rsidRPr="00757A15" w:rsidRDefault="00757A15" w:rsidP="00757A15">
            <w:pPr>
              <w:pStyle w:val="13"/>
              <w:ind w:firstLineChars="0" w:firstLine="0"/>
              <w:rPr>
                <w:sz w:val="21"/>
                <w:szCs w:val="21"/>
                <w:lang w:bidi="zh-CN"/>
              </w:rPr>
            </w:pPr>
            <w:r w:rsidRPr="00757A15">
              <w:rPr>
                <w:sz w:val="21"/>
                <w:szCs w:val="21"/>
                <w:lang w:bidi="zh-CN"/>
              </w:rPr>
              <w:t>存量项目尽职调查</w:t>
            </w:r>
          </w:p>
        </w:tc>
        <w:tc>
          <w:tcPr>
            <w:tcW w:w="2367" w:type="dxa"/>
            <w:vAlign w:val="center"/>
          </w:tcPr>
          <w:p w14:paraId="4728C547" w14:textId="77777777" w:rsidR="00757A15" w:rsidRPr="00757A15" w:rsidRDefault="00757A15" w:rsidP="00757A15">
            <w:pPr>
              <w:pStyle w:val="13"/>
              <w:ind w:firstLineChars="0" w:firstLine="0"/>
              <w:rPr>
                <w:sz w:val="21"/>
                <w:szCs w:val="21"/>
                <w:lang w:bidi="zh-CN"/>
              </w:rPr>
            </w:pPr>
            <w:r w:rsidRPr="00757A15">
              <w:rPr>
                <w:sz w:val="21"/>
                <w:szCs w:val="21"/>
                <w:lang w:bidi="zh-CN"/>
              </w:rPr>
              <w:t>政府方或社会资本</w:t>
            </w:r>
          </w:p>
        </w:tc>
        <w:tc>
          <w:tcPr>
            <w:tcW w:w="2476" w:type="dxa"/>
            <w:vAlign w:val="center"/>
          </w:tcPr>
          <w:p w14:paraId="0224FD54" w14:textId="77777777" w:rsidR="00757A15" w:rsidRPr="00757A15" w:rsidRDefault="00757A15" w:rsidP="00757A15">
            <w:pPr>
              <w:pStyle w:val="13"/>
              <w:ind w:firstLineChars="0" w:firstLine="0"/>
              <w:rPr>
                <w:sz w:val="21"/>
                <w:szCs w:val="21"/>
                <w:lang w:bidi="zh-CN"/>
              </w:rPr>
            </w:pPr>
            <w:r w:rsidRPr="00757A15">
              <w:rPr>
                <w:sz w:val="21"/>
                <w:szCs w:val="21"/>
                <w:lang w:bidi="zh-CN"/>
              </w:rPr>
              <w:t>尽职调查报告</w:t>
            </w:r>
          </w:p>
        </w:tc>
      </w:tr>
      <w:tr w:rsidR="00757A15" w:rsidRPr="00757A15" w14:paraId="114E5A79" w14:textId="77777777" w:rsidTr="00757A15">
        <w:trPr>
          <w:trHeight w:val="652"/>
        </w:trPr>
        <w:tc>
          <w:tcPr>
            <w:tcW w:w="706" w:type="dxa"/>
            <w:vAlign w:val="center"/>
          </w:tcPr>
          <w:p w14:paraId="01FECCEF"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4</w:t>
            </w:r>
          </w:p>
        </w:tc>
        <w:tc>
          <w:tcPr>
            <w:tcW w:w="1163" w:type="dxa"/>
            <w:vMerge/>
            <w:vAlign w:val="center"/>
          </w:tcPr>
          <w:p w14:paraId="27089104" w14:textId="77777777" w:rsidR="00757A15" w:rsidRPr="00757A15" w:rsidRDefault="00757A15" w:rsidP="00757A15">
            <w:pPr>
              <w:pStyle w:val="13"/>
              <w:ind w:firstLineChars="0" w:firstLine="0"/>
              <w:jc w:val="center"/>
              <w:rPr>
                <w:sz w:val="21"/>
                <w:szCs w:val="21"/>
                <w:lang w:bidi="zh-CN"/>
              </w:rPr>
            </w:pPr>
          </w:p>
        </w:tc>
        <w:tc>
          <w:tcPr>
            <w:tcW w:w="2420" w:type="dxa"/>
            <w:vAlign w:val="center"/>
          </w:tcPr>
          <w:p w14:paraId="0EB01608" w14:textId="77777777" w:rsidR="00757A15" w:rsidRPr="00757A15" w:rsidRDefault="00757A15" w:rsidP="00757A15">
            <w:pPr>
              <w:pStyle w:val="13"/>
              <w:ind w:firstLineChars="0" w:firstLine="0"/>
              <w:rPr>
                <w:sz w:val="21"/>
                <w:szCs w:val="21"/>
                <w:lang w:bidi="zh-CN"/>
              </w:rPr>
            </w:pPr>
            <w:r w:rsidRPr="00757A15">
              <w:rPr>
                <w:sz w:val="21"/>
                <w:szCs w:val="21"/>
                <w:lang w:bidi="zh-CN"/>
              </w:rPr>
              <w:t>编制项目初步实施方案</w:t>
            </w:r>
          </w:p>
          <w:p w14:paraId="1449F7A4" w14:textId="77777777" w:rsidR="00757A15" w:rsidRPr="00757A15" w:rsidRDefault="00757A15" w:rsidP="00757A15">
            <w:pPr>
              <w:pStyle w:val="13"/>
              <w:ind w:firstLineChars="0" w:firstLine="0"/>
              <w:rPr>
                <w:sz w:val="21"/>
                <w:szCs w:val="21"/>
                <w:lang w:bidi="zh-CN"/>
              </w:rPr>
            </w:pPr>
            <w:r w:rsidRPr="00757A15">
              <w:rPr>
                <w:sz w:val="21"/>
                <w:szCs w:val="21"/>
                <w:lang w:bidi="zh-CN"/>
              </w:rPr>
              <w:t>或项目建议书</w:t>
            </w:r>
          </w:p>
        </w:tc>
        <w:tc>
          <w:tcPr>
            <w:tcW w:w="2367" w:type="dxa"/>
            <w:vAlign w:val="center"/>
          </w:tcPr>
          <w:p w14:paraId="554385B8" w14:textId="77777777" w:rsidR="00757A15" w:rsidRPr="00757A15" w:rsidRDefault="00757A15" w:rsidP="00757A15">
            <w:pPr>
              <w:pStyle w:val="13"/>
              <w:ind w:firstLineChars="0" w:firstLine="0"/>
              <w:rPr>
                <w:sz w:val="21"/>
                <w:szCs w:val="21"/>
                <w:lang w:bidi="zh-CN"/>
              </w:rPr>
            </w:pPr>
            <w:r w:rsidRPr="00757A15">
              <w:rPr>
                <w:sz w:val="21"/>
                <w:szCs w:val="21"/>
                <w:lang w:bidi="zh-CN"/>
              </w:rPr>
              <w:t>政府方或社会资本</w:t>
            </w:r>
          </w:p>
        </w:tc>
        <w:tc>
          <w:tcPr>
            <w:tcW w:w="2476" w:type="dxa"/>
            <w:vAlign w:val="center"/>
          </w:tcPr>
          <w:p w14:paraId="00492648" w14:textId="77777777" w:rsidR="00757A15" w:rsidRPr="00757A15" w:rsidRDefault="00757A15" w:rsidP="00757A15">
            <w:pPr>
              <w:pStyle w:val="13"/>
              <w:ind w:firstLineChars="0" w:firstLine="0"/>
              <w:rPr>
                <w:sz w:val="21"/>
                <w:szCs w:val="21"/>
                <w:lang w:bidi="zh-CN"/>
              </w:rPr>
            </w:pPr>
            <w:r w:rsidRPr="00757A15">
              <w:rPr>
                <w:sz w:val="21"/>
                <w:szCs w:val="21"/>
                <w:lang w:bidi="zh-CN"/>
              </w:rPr>
              <w:t>初步实施方案或建议书</w:t>
            </w:r>
          </w:p>
        </w:tc>
      </w:tr>
      <w:tr w:rsidR="00757A15" w:rsidRPr="00757A15" w14:paraId="7B0DEC01" w14:textId="77777777" w:rsidTr="00757A15">
        <w:trPr>
          <w:trHeight w:val="651"/>
        </w:trPr>
        <w:tc>
          <w:tcPr>
            <w:tcW w:w="706" w:type="dxa"/>
            <w:vAlign w:val="center"/>
          </w:tcPr>
          <w:p w14:paraId="1C787DCA"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5</w:t>
            </w:r>
          </w:p>
        </w:tc>
        <w:tc>
          <w:tcPr>
            <w:tcW w:w="1163" w:type="dxa"/>
            <w:vMerge/>
            <w:vAlign w:val="center"/>
          </w:tcPr>
          <w:p w14:paraId="557E7D1D" w14:textId="77777777" w:rsidR="00757A15" w:rsidRPr="00757A15" w:rsidRDefault="00757A15" w:rsidP="00757A15">
            <w:pPr>
              <w:pStyle w:val="13"/>
              <w:ind w:firstLineChars="0" w:firstLine="0"/>
              <w:jc w:val="center"/>
              <w:rPr>
                <w:sz w:val="21"/>
                <w:szCs w:val="21"/>
                <w:lang w:bidi="zh-CN"/>
              </w:rPr>
            </w:pPr>
          </w:p>
        </w:tc>
        <w:tc>
          <w:tcPr>
            <w:tcW w:w="2420" w:type="dxa"/>
            <w:vAlign w:val="center"/>
          </w:tcPr>
          <w:p w14:paraId="70929F91" w14:textId="77777777" w:rsidR="00757A15" w:rsidRPr="00757A15" w:rsidRDefault="00757A15" w:rsidP="00757A15">
            <w:pPr>
              <w:pStyle w:val="13"/>
              <w:ind w:firstLineChars="0" w:firstLine="0"/>
              <w:rPr>
                <w:sz w:val="21"/>
                <w:szCs w:val="21"/>
                <w:lang w:bidi="zh-CN"/>
              </w:rPr>
            </w:pPr>
            <w:r w:rsidRPr="00757A15">
              <w:rPr>
                <w:sz w:val="21"/>
                <w:szCs w:val="21"/>
                <w:lang w:bidi="zh-CN"/>
              </w:rPr>
              <w:t>项目识别阶段的物有所</w:t>
            </w:r>
          </w:p>
          <w:p w14:paraId="44007C4E" w14:textId="77777777" w:rsidR="00757A15" w:rsidRPr="00757A15" w:rsidRDefault="00757A15" w:rsidP="00757A15">
            <w:pPr>
              <w:pStyle w:val="13"/>
              <w:ind w:firstLineChars="0" w:firstLine="0"/>
              <w:rPr>
                <w:sz w:val="21"/>
                <w:szCs w:val="21"/>
                <w:lang w:bidi="zh-CN"/>
              </w:rPr>
            </w:pPr>
            <w:proofErr w:type="gramStart"/>
            <w:r w:rsidRPr="00757A15">
              <w:rPr>
                <w:sz w:val="21"/>
                <w:szCs w:val="21"/>
                <w:lang w:bidi="zh-CN"/>
              </w:rPr>
              <w:t>值评价</w:t>
            </w:r>
            <w:proofErr w:type="gramEnd"/>
          </w:p>
        </w:tc>
        <w:tc>
          <w:tcPr>
            <w:tcW w:w="2367" w:type="dxa"/>
            <w:vAlign w:val="center"/>
          </w:tcPr>
          <w:p w14:paraId="5B448F92" w14:textId="77777777" w:rsidR="00757A15" w:rsidRPr="00757A15" w:rsidRDefault="00757A15" w:rsidP="00757A15">
            <w:pPr>
              <w:pStyle w:val="13"/>
              <w:ind w:firstLineChars="0" w:firstLine="0"/>
              <w:rPr>
                <w:sz w:val="21"/>
                <w:szCs w:val="21"/>
                <w:lang w:bidi="zh-CN"/>
              </w:rPr>
            </w:pPr>
            <w:r w:rsidRPr="00757A15">
              <w:rPr>
                <w:sz w:val="21"/>
                <w:szCs w:val="21"/>
                <w:lang w:bidi="zh-CN"/>
              </w:rPr>
              <w:t>政府方</w:t>
            </w:r>
          </w:p>
        </w:tc>
        <w:tc>
          <w:tcPr>
            <w:tcW w:w="2476" w:type="dxa"/>
            <w:vAlign w:val="center"/>
          </w:tcPr>
          <w:p w14:paraId="1767900C" w14:textId="77777777" w:rsidR="00757A15" w:rsidRPr="00757A15" w:rsidRDefault="00757A15" w:rsidP="00757A15">
            <w:pPr>
              <w:pStyle w:val="13"/>
              <w:ind w:firstLineChars="0" w:firstLine="0"/>
              <w:rPr>
                <w:sz w:val="21"/>
                <w:szCs w:val="21"/>
                <w:lang w:bidi="zh-CN"/>
              </w:rPr>
            </w:pPr>
            <w:r w:rsidRPr="00757A15">
              <w:rPr>
                <w:sz w:val="21"/>
                <w:szCs w:val="21"/>
                <w:lang w:bidi="zh-CN"/>
              </w:rPr>
              <w:t>物有所值评价报告</w:t>
            </w:r>
          </w:p>
        </w:tc>
      </w:tr>
      <w:tr w:rsidR="00757A15" w:rsidRPr="00757A15" w14:paraId="16CA3185" w14:textId="77777777" w:rsidTr="00757A15">
        <w:trPr>
          <w:trHeight w:val="652"/>
        </w:trPr>
        <w:tc>
          <w:tcPr>
            <w:tcW w:w="706" w:type="dxa"/>
            <w:vAlign w:val="center"/>
          </w:tcPr>
          <w:p w14:paraId="5C3340EF"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6</w:t>
            </w:r>
          </w:p>
        </w:tc>
        <w:tc>
          <w:tcPr>
            <w:tcW w:w="1163" w:type="dxa"/>
            <w:vMerge/>
            <w:vAlign w:val="center"/>
          </w:tcPr>
          <w:p w14:paraId="354F06C3" w14:textId="77777777" w:rsidR="00757A15" w:rsidRPr="00757A15" w:rsidRDefault="00757A15" w:rsidP="00757A15">
            <w:pPr>
              <w:pStyle w:val="13"/>
              <w:ind w:firstLineChars="0" w:firstLine="0"/>
              <w:jc w:val="center"/>
              <w:rPr>
                <w:sz w:val="21"/>
                <w:szCs w:val="21"/>
                <w:lang w:bidi="zh-CN"/>
              </w:rPr>
            </w:pPr>
          </w:p>
        </w:tc>
        <w:tc>
          <w:tcPr>
            <w:tcW w:w="2420" w:type="dxa"/>
            <w:vAlign w:val="center"/>
          </w:tcPr>
          <w:p w14:paraId="33C33CEF" w14:textId="77777777" w:rsidR="00757A15" w:rsidRPr="00757A15" w:rsidRDefault="00757A15" w:rsidP="00757A15">
            <w:pPr>
              <w:pStyle w:val="13"/>
              <w:ind w:firstLineChars="0" w:firstLine="0"/>
              <w:rPr>
                <w:sz w:val="21"/>
                <w:szCs w:val="21"/>
                <w:lang w:bidi="zh-CN"/>
              </w:rPr>
            </w:pPr>
            <w:r w:rsidRPr="00757A15">
              <w:rPr>
                <w:sz w:val="21"/>
                <w:szCs w:val="21"/>
                <w:lang w:bidi="zh-CN"/>
              </w:rPr>
              <w:t>项目识别阶段的财政承</w:t>
            </w:r>
          </w:p>
          <w:p w14:paraId="64056B59" w14:textId="77777777" w:rsidR="00757A15" w:rsidRPr="00757A15" w:rsidRDefault="00757A15" w:rsidP="00757A15">
            <w:pPr>
              <w:pStyle w:val="13"/>
              <w:ind w:firstLineChars="0" w:firstLine="0"/>
              <w:rPr>
                <w:sz w:val="21"/>
                <w:szCs w:val="21"/>
                <w:lang w:bidi="zh-CN"/>
              </w:rPr>
            </w:pPr>
            <w:r w:rsidRPr="00757A15">
              <w:rPr>
                <w:sz w:val="21"/>
                <w:szCs w:val="21"/>
                <w:lang w:bidi="zh-CN"/>
              </w:rPr>
              <w:t>受能力论证</w:t>
            </w:r>
          </w:p>
        </w:tc>
        <w:tc>
          <w:tcPr>
            <w:tcW w:w="2367" w:type="dxa"/>
            <w:vAlign w:val="center"/>
          </w:tcPr>
          <w:p w14:paraId="3607C4DC" w14:textId="77777777" w:rsidR="00757A15" w:rsidRPr="00757A15" w:rsidRDefault="00757A15" w:rsidP="00757A15">
            <w:pPr>
              <w:pStyle w:val="13"/>
              <w:ind w:firstLineChars="0" w:firstLine="0"/>
              <w:rPr>
                <w:sz w:val="21"/>
                <w:szCs w:val="21"/>
                <w:lang w:bidi="zh-CN"/>
              </w:rPr>
            </w:pPr>
            <w:r w:rsidRPr="00757A15">
              <w:rPr>
                <w:sz w:val="21"/>
                <w:szCs w:val="21"/>
                <w:lang w:bidi="zh-CN"/>
              </w:rPr>
              <w:t>政府方</w:t>
            </w:r>
          </w:p>
        </w:tc>
        <w:tc>
          <w:tcPr>
            <w:tcW w:w="2476" w:type="dxa"/>
            <w:vAlign w:val="center"/>
          </w:tcPr>
          <w:p w14:paraId="2CE98CC5" w14:textId="77777777" w:rsidR="00757A15" w:rsidRPr="00757A15" w:rsidRDefault="00757A15" w:rsidP="00757A15">
            <w:pPr>
              <w:pStyle w:val="13"/>
              <w:ind w:firstLineChars="0" w:firstLine="0"/>
              <w:rPr>
                <w:sz w:val="21"/>
                <w:szCs w:val="21"/>
                <w:lang w:bidi="zh-CN"/>
              </w:rPr>
            </w:pPr>
            <w:r w:rsidRPr="00757A15">
              <w:rPr>
                <w:sz w:val="21"/>
                <w:szCs w:val="21"/>
                <w:lang w:bidi="zh-CN"/>
              </w:rPr>
              <w:t>财政承受能力论证报告</w:t>
            </w:r>
          </w:p>
        </w:tc>
      </w:tr>
      <w:tr w:rsidR="00757A15" w:rsidRPr="00757A15" w14:paraId="04D235C8" w14:textId="77777777" w:rsidTr="00757A15">
        <w:trPr>
          <w:trHeight w:val="315"/>
        </w:trPr>
        <w:tc>
          <w:tcPr>
            <w:tcW w:w="706" w:type="dxa"/>
            <w:vAlign w:val="center"/>
          </w:tcPr>
          <w:p w14:paraId="65DA6786"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7</w:t>
            </w:r>
          </w:p>
        </w:tc>
        <w:tc>
          <w:tcPr>
            <w:tcW w:w="1163" w:type="dxa"/>
            <w:vMerge w:val="restart"/>
            <w:vAlign w:val="center"/>
          </w:tcPr>
          <w:p w14:paraId="7C2C4103"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项目准备</w:t>
            </w:r>
          </w:p>
        </w:tc>
        <w:tc>
          <w:tcPr>
            <w:tcW w:w="2420" w:type="dxa"/>
            <w:vAlign w:val="center"/>
          </w:tcPr>
          <w:p w14:paraId="48C6FB2A" w14:textId="77777777" w:rsidR="00757A15" w:rsidRPr="00757A15" w:rsidRDefault="00757A15" w:rsidP="00757A15">
            <w:pPr>
              <w:pStyle w:val="13"/>
              <w:ind w:firstLineChars="0" w:firstLine="0"/>
              <w:rPr>
                <w:sz w:val="21"/>
                <w:szCs w:val="21"/>
                <w:lang w:bidi="zh-CN"/>
              </w:rPr>
            </w:pPr>
            <w:r w:rsidRPr="00757A15">
              <w:rPr>
                <w:sz w:val="21"/>
                <w:szCs w:val="21"/>
                <w:lang w:bidi="zh-CN"/>
              </w:rPr>
              <w:t>项目实施方案的编制</w:t>
            </w:r>
          </w:p>
        </w:tc>
        <w:tc>
          <w:tcPr>
            <w:tcW w:w="2367" w:type="dxa"/>
            <w:vAlign w:val="center"/>
          </w:tcPr>
          <w:p w14:paraId="149E4377" w14:textId="77777777" w:rsidR="00757A15" w:rsidRPr="00757A15" w:rsidRDefault="00757A15" w:rsidP="00757A15">
            <w:pPr>
              <w:pStyle w:val="13"/>
              <w:ind w:firstLineChars="0" w:firstLine="0"/>
              <w:rPr>
                <w:sz w:val="21"/>
                <w:szCs w:val="21"/>
                <w:lang w:bidi="zh-CN"/>
              </w:rPr>
            </w:pPr>
            <w:r w:rsidRPr="00757A15">
              <w:rPr>
                <w:sz w:val="21"/>
                <w:szCs w:val="21"/>
                <w:lang w:bidi="zh-CN"/>
              </w:rPr>
              <w:t>项目实施机构</w:t>
            </w:r>
          </w:p>
        </w:tc>
        <w:tc>
          <w:tcPr>
            <w:tcW w:w="2476" w:type="dxa"/>
            <w:vAlign w:val="center"/>
          </w:tcPr>
          <w:p w14:paraId="168EF178" w14:textId="77777777" w:rsidR="00757A15" w:rsidRPr="00757A15" w:rsidRDefault="00757A15" w:rsidP="00757A15">
            <w:pPr>
              <w:pStyle w:val="13"/>
              <w:ind w:firstLineChars="0" w:firstLine="0"/>
              <w:rPr>
                <w:sz w:val="21"/>
                <w:szCs w:val="21"/>
                <w:lang w:bidi="zh-CN"/>
              </w:rPr>
            </w:pPr>
            <w:r w:rsidRPr="00757A15">
              <w:rPr>
                <w:sz w:val="21"/>
                <w:szCs w:val="21"/>
                <w:lang w:bidi="zh-CN"/>
              </w:rPr>
              <w:t>项目实施方案</w:t>
            </w:r>
          </w:p>
        </w:tc>
      </w:tr>
      <w:tr w:rsidR="00757A15" w:rsidRPr="00757A15" w14:paraId="433818E6" w14:textId="77777777" w:rsidTr="00757A15">
        <w:trPr>
          <w:trHeight w:val="632"/>
        </w:trPr>
        <w:tc>
          <w:tcPr>
            <w:tcW w:w="706" w:type="dxa"/>
            <w:vAlign w:val="center"/>
          </w:tcPr>
          <w:p w14:paraId="0F65DB14"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8</w:t>
            </w:r>
          </w:p>
        </w:tc>
        <w:tc>
          <w:tcPr>
            <w:tcW w:w="1163" w:type="dxa"/>
            <w:vMerge/>
            <w:vAlign w:val="center"/>
          </w:tcPr>
          <w:p w14:paraId="51924231" w14:textId="77777777" w:rsidR="00757A15" w:rsidRPr="00757A15" w:rsidRDefault="00757A15" w:rsidP="00757A15">
            <w:pPr>
              <w:pStyle w:val="13"/>
              <w:ind w:firstLineChars="0" w:firstLine="0"/>
              <w:jc w:val="center"/>
              <w:rPr>
                <w:sz w:val="21"/>
                <w:szCs w:val="21"/>
                <w:lang w:bidi="zh-CN"/>
              </w:rPr>
            </w:pPr>
          </w:p>
        </w:tc>
        <w:tc>
          <w:tcPr>
            <w:tcW w:w="2420" w:type="dxa"/>
            <w:vAlign w:val="center"/>
          </w:tcPr>
          <w:p w14:paraId="730226EB" w14:textId="77777777" w:rsidR="00757A15" w:rsidRPr="00757A15" w:rsidRDefault="00757A15" w:rsidP="00757A15">
            <w:pPr>
              <w:pStyle w:val="13"/>
              <w:ind w:firstLineChars="0" w:firstLine="0"/>
              <w:rPr>
                <w:sz w:val="21"/>
                <w:szCs w:val="21"/>
                <w:lang w:bidi="zh-CN"/>
              </w:rPr>
            </w:pPr>
            <w:r w:rsidRPr="00757A15">
              <w:rPr>
                <w:sz w:val="21"/>
                <w:szCs w:val="21"/>
                <w:lang w:bidi="zh-CN"/>
              </w:rPr>
              <w:t>项目准备阶段的物有所</w:t>
            </w:r>
          </w:p>
          <w:p w14:paraId="349BEC66" w14:textId="77777777" w:rsidR="00757A15" w:rsidRPr="00757A15" w:rsidRDefault="00757A15" w:rsidP="00757A15">
            <w:pPr>
              <w:pStyle w:val="13"/>
              <w:ind w:firstLineChars="0" w:firstLine="0"/>
              <w:rPr>
                <w:sz w:val="21"/>
                <w:szCs w:val="21"/>
                <w:lang w:bidi="zh-CN"/>
              </w:rPr>
            </w:pPr>
            <w:proofErr w:type="gramStart"/>
            <w:r w:rsidRPr="00757A15">
              <w:rPr>
                <w:sz w:val="21"/>
                <w:szCs w:val="21"/>
                <w:lang w:bidi="zh-CN"/>
              </w:rPr>
              <w:t>值评价</w:t>
            </w:r>
            <w:proofErr w:type="gramEnd"/>
          </w:p>
        </w:tc>
        <w:tc>
          <w:tcPr>
            <w:tcW w:w="2367" w:type="dxa"/>
            <w:vAlign w:val="center"/>
          </w:tcPr>
          <w:p w14:paraId="1FB758E7" w14:textId="02B5486D" w:rsidR="00757A15" w:rsidRPr="00757A15" w:rsidRDefault="00757A15" w:rsidP="00757A15">
            <w:pPr>
              <w:pStyle w:val="13"/>
              <w:ind w:firstLineChars="0" w:firstLine="0"/>
              <w:rPr>
                <w:sz w:val="21"/>
                <w:szCs w:val="21"/>
                <w:lang w:bidi="zh-CN"/>
              </w:rPr>
            </w:pPr>
            <w:r w:rsidRPr="00757A15">
              <w:rPr>
                <w:sz w:val="21"/>
                <w:szCs w:val="21"/>
                <w:lang w:bidi="zh-CN"/>
              </w:rPr>
              <w:t>财政部门和行业主管部门</w:t>
            </w:r>
          </w:p>
        </w:tc>
        <w:tc>
          <w:tcPr>
            <w:tcW w:w="2476" w:type="dxa"/>
            <w:vAlign w:val="center"/>
          </w:tcPr>
          <w:p w14:paraId="6E04A4ED" w14:textId="6A6BF2C7" w:rsidR="00757A15" w:rsidRPr="00757A15" w:rsidRDefault="00757A15" w:rsidP="00757A15">
            <w:pPr>
              <w:pStyle w:val="13"/>
              <w:ind w:firstLineChars="0" w:firstLine="0"/>
              <w:rPr>
                <w:sz w:val="21"/>
                <w:szCs w:val="21"/>
                <w:lang w:bidi="zh-CN"/>
              </w:rPr>
            </w:pPr>
            <w:r w:rsidRPr="00757A15">
              <w:rPr>
                <w:sz w:val="21"/>
                <w:szCs w:val="21"/>
                <w:lang w:bidi="zh-CN"/>
              </w:rPr>
              <w:t>物有所值评价报告（调整报告）</w:t>
            </w:r>
          </w:p>
        </w:tc>
      </w:tr>
      <w:tr w:rsidR="00757A15" w:rsidRPr="00757A15" w14:paraId="703D13D1" w14:textId="77777777" w:rsidTr="00757A15">
        <w:trPr>
          <w:trHeight w:val="631"/>
        </w:trPr>
        <w:tc>
          <w:tcPr>
            <w:tcW w:w="706" w:type="dxa"/>
            <w:vAlign w:val="center"/>
          </w:tcPr>
          <w:p w14:paraId="5A2012AF" w14:textId="77777777" w:rsidR="00757A15" w:rsidRPr="00757A15" w:rsidRDefault="00757A15" w:rsidP="00757A15">
            <w:pPr>
              <w:pStyle w:val="13"/>
              <w:ind w:firstLineChars="0" w:firstLine="0"/>
              <w:jc w:val="center"/>
              <w:rPr>
                <w:sz w:val="21"/>
                <w:szCs w:val="21"/>
                <w:lang w:bidi="zh-CN"/>
              </w:rPr>
            </w:pPr>
            <w:r w:rsidRPr="00757A15">
              <w:rPr>
                <w:sz w:val="21"/>
                <w:szCs w:val="21"/>
                <w:lang w:bidi="zh-CN"/>
              </w:rPr>
              <w:t>9</w:t>
            </w:r>
          </w:p>
        </w:tc>
        <w:tc>
          <w:tcPr>
            <w:tcW w:w="1163" w:type="dxa"/>
            <w:vMerge/>
            <w:vAlign w:val="center"/>
          </w:tcPr>
          <w:p w14:paraId="1B79A954" w14:textId="77777777" w:rsidR="00757A15" w:rsidRPr="00757A15" w:rsidRDefault="00757A15" w:rsidP="00757A15">
            <w:pPr>
              <w:pStyle w:val="13"/>
              <w:ind w:firstLineChars="0" w:firstLine="0"/>
              <w:jc w:val="center"/>
              <w:rPr>
                <w:sz w:val="21"/>
                <w:szCs w:val="21"/>
                <w:lang w:bidi="zh-CN"/>
              </w:rPr>
            </w:pPr>
          </w:p>
        </w:tc>
        <w:tc>
          <w:tcPr>
            <w:tcW w:w="2420" w:type="dxa"/>
            <w:vAlign w:val="center"/>
          </w:tcPr>
          <w:p w14:paraId="2561C89E" w14:textId="77777777" w:rsidR="00757A15" w:rsidRPr="00757A15" w:rsidRDefault="00757A15" w:rsidP="00757A15">
            <w:pPr>
              <w:pStyle w:val="13"/>
              <w:ind w:firstLineChars="0" w:firstLine="0"/>
              <w:rPr>
                <w:sz w:val="21"/>
                <w:szCs w:val="21"/>
                <w:lang w:bidi="zh-CN"/>
              </w:rPr>
            </w:pPr>
            <w:r w:rsidRPr="00757A15">
              <w:rPr>
                <w:sz w:val="21"/>
                <w:szCs w:val="21"/>
                <w:lang w:bidi="zh-CN"/>
              </w:rPr>
              <w:t>项目准备阶段的财政承</w:t>
            </w:r>
          </w:p>
          <w:p w14:paraId="335A2BB8" w14:textId="77777777" w:rsidR="00757A15" w:rsidRPr="00757A15" w:rsidRDefault="00757A15" w:rsidP="00757A15">
            <w:pPr>
              <w:pStyle w:val="13"/>
              <w:ind w:firstLineChars="0" w:firstLine="0"/>
              <w:rPr>
                <w:sz w:val="21"/>
                <w:szCs w:val="21"/>
                <w:lang w:bidi="zh-CN"/>
              </w:rPr>
            </w:pPr>
            <w:r w:rsidRPr="00757A15">
              <w:rPr>
                <w:sz w:val="21"/>
                <w:szCs w:val="21"/>
                <w:lang w:bidi="zh-CN"/>
              </w:rPr>
              <w:t>受能力论证</w:t>
            </w:r>
          </w:p>
        </w:tc>
        <w:tc>
          <w:tcPr>
            <w:tcW w:w="2367" w:type="dxa"/>
            <w:vAlign w:val="center"/>
          </w:tcPr>
          <w:p w14:paraId="6D193BE8" w14:textId="227BCEB2" w:rsidR="00757A15" w:rsidRPr="00757A15" w:rsidRDefault="00757A15" w:rsidP="00757A15">
            <w:pPr>
              <w:pStyle w:val="13"/>
              <w:ind w:firstLineChars="0" w:firstLine="0"/>
              <w:rPr>
                <w:sz w:val="21"/>
                <w:szCs w:val="21"/>
                <w:lang w:bidi="zh-CN"/>
              </w:rPr>
            </w:pPr>
            <w:r w:rsidRPr="00757A15">
              <w:rPr>
                <w:sz w:val="21"/>
                <w:szCs w:val="21"/>
                <w:lang w:bidi="zh-CN"/>
              </w:rPr>
              <w:t>财政部门和行业主管部门</w:t>
            </w:r>
          </w:p>
        </w:tc>
        <w:tc>
          <w:tcPr>
            <w:tcW w:w="2476" w:type="dxa"/>
            <w:vAlign w:val="center"/>
          </w:tcPr>
          <w:p w14:paraId="5C8EE03B" w14:textId="730D9076" w:rsidR="00757A15" w:rsidRPr="00757A15" w:rsidRDefault="00757A15" w:rsidP="00757A15">
            <w:pPr>
              <w:pStyle w:val="13"/>
              <w:ind w:firstLineChars="0" w:firstLine="0"/>
              <w:rPr>
                <w:sz w:val="21"/>
                <w:szCs w:val="21"/>
                <w:lang w:bidi="zh-CN"/>
              </w:rPr>
            </w:pPr>
            <w:r w:rsidRPr="00757A15">
              <w:rPr>
                <w:sz w:val="21"/>
                <w:szCs w:val="21"/>
                <w:lang w:bidi="zh-CN"/>
              </w:rPr>
              <w:t>财政承受能力论证报告（调整报告）</w:t>
            </w:r>
          </w:p>
        </w:tc>
      </w:tr>
      <w:tr w:rsidR="00757A15" w:rsidRPr="00757A15" w14:paraId="0D5F7F15" w14:textId="77777777" w:rsidTr="00E714DB">
        <w:trPr>
          <w:trHeight w:val="642"/>
        </w:trPr>
        <w:tc>
          <w:tcPr>
            <w:tcW w:w="706" w:type="dxa"/>
            <w:vAlign w:val="center"/>
          </w:tcPr>
          <w:p w14:paraId="722E37B4" w14:textId="77777777" w:rsidR="00757A15" w:rsidRPr="00757A15" w:rsidRDefault="00757A15" w:rsidP="00E714DB">
            <w:pPr>
              <w:pStyle w:val="13"/>
              <w:ind w:firstLineChars="0" w:firstLine="0"/>
              <w:jc w:val="center"/>
              <w:rPr>
                <w:sz w:val="21"/>
                <w:szCs w:val="21"/>
                <w:lang w:bidi="zh-CN"/>
              </w:rPr>
            </w:pPr>
            <w:r w:rsidRPr="00757A15">
              <w:rPr>
                <w:sz w:val="21"/>
                <w:szCs w:val="21"/>
                <w:lang w:bidi="zh-CN"/>
              </w:rPr>
              <w:t>10</w:t>
            </w:r>
          </w:p>
        </w:tc>
        <w:tc>
          <w:tcPr>
            <w:tcW w:w="1163" w:type="dxa"/>
            <w:vMerge/>
            <w:vAlign w:val="center"/>
          </w:tcPr>
          <w:p w14:paraId="721BDB1D" w14:textId="77777777" w:rsidR="00757A15" w:rsidRPr="00757A15" w:rsidRDefault="00757A15" w:rsidP="00757A15">
            <w:pPr>
              <w:pStyle w:val="13"/>
              <w:ind w:firstLineChars="0" w:firstLine="0"/>
              <w:jc w:val="center"/>
              <w:rPr>
                <w:sz w:val="21"/>
                <w:szCs w:val="21"/>
                <w:lang w:bidi="zh-CN"/>
              </w:rPr>
            </w:pPr>
          </w:p>
        </w:tc>
        <w:tc>
          <w:tcPr>
            <w:tcW w:w="2420" w:type="dxa"/>
            <w:vAlign w:val="center"/>
          </w:tcPr>
          <w:p w14:paraId="31B1E8F0" w14:textId="77777777" w:rsidR="00757A15" w:rsidRPr="00757A15" w:rsidRDefault="00757A15" w:rsidP="00757A15">
            <w:pPr>
              <w:pStyle w:val="13"/>
              <w:ind w:firstLineChars="0" w:firstLine="0"/>
              <w:rPr>
                <w:sz w:val="21"/>
                <w:szCs w:val="21"/>
                <w:lang w:bidi="zh-CN"/>
              </w:rPr>
            </w:pPr>
          </w:p>
          <w:p w14:paraId="11420D57" w14:textId="77777777" w:rsidR="00757A15" w:rsidRPr="00757A15" w:rsidRDefault="00757A15" w:rsidP="00757A15">
            <w:pPr>
              <w:pStyle w:val="13"/>
              <w:ind w:firstLineChars="0" w:firstLine="0"/>
              <w:rPr>
                <w:sz w:val="21"/>
                <w:szCs w:val="21"/>
                <w:lang w:bidi="zh-CN"/>
              </w:rPr>
            </w:pPr>
            <w:r w:rsidRPr="00757A15">
              <w:rPr>
                <w:sz w:val="21"/>
                <w:szCs w:val="21"/>
                <w:lang w:bidi="zh-CN"/>
              </w:rPr>
              <w:t>项目实施方案的评估</w:t>
            </w:r>
          </w:p>
        </w:tc>
        <w:tc>
          <w:tcPr>
            <w:tcW w:w="2367" w:type="dxa"/>
            <w:vAlign w:val="center"/>
          </w:tcPr>
          <w:p w14:paraId="4B84D76D" w14:textId="7FA83531" w:rsidR="00757A15" w:rsidRPr="00757A15" w:rsidRDefault="00757A15" w:rsidP="00757A15">
            <w:pPr>
              <w:pStyle w:val="13"/>
              <w:ind w:firstLineChars="0" w:firstLine="0"/>
              <w:rPr>
                <w:sz w:val="21"/>
                <w:szCs w:val="21"/>
                <w:lang w:bidi="zh-CN"/>
              </w:rPr>
            </w:pPr>
            <w:r w:rsidRPr="00757A15">
              <w:rPr>
                <w:sz w:val="21"/>
                <w:szCs w:val="21"/>
                <w:lang w:bidi="zh-CN"/>
              </w:rPr>
              <w:t>政府或项目实施机构或社会资本</w:t>
            </w:r>
          </w:p>
        </w:tc>
        <w:tc>
          <w:tcPr>
            <w:tcW w:w="2476" w:type="dxa"/>
            <w:vAlign w:val="center"/>
          </w:tcPr>
          <w:p w14:paraId="11B950DA" w14:textId="77777777" w:rsidR="00757A15" w:rsidRPr="00757A15" w:rsidRDefault="00757A15" w:rsidP="00757A15">
            <w:pPr>
              <w:pStyle w:val="13"/>
              <w:ind w:firstLineChars="0" w:firstLine="0"/>
              <w:rPr>
                <w:sz w:val="21"/>
                <w:szCs w:val="21"/>
                <w:lang w:bidi="zh-CN"/>
              </w:rPr>
            </w:pPr>
            <w:r w:rsidRPr="00757A15">
              <w:rPr>
                <w:sz w:val="21"/>
                <w:szCs w:val="21"/>
                <w:lang w:bidi="zh-CN"/>
              </w:rPr>
              <w:t>实施方案评估报告</w:t>
            </w:r>
          </w:p>
        </w:tc>
      </w:tr>
      <w:tr w:rsidR="00757A15" w14:paraId="6DDE21F8" w14:textId="77777777" w:rsidTr="00757A15">
        <w:trPr>
          <w:trHeight w:val="652"/>
        </w:trPr>
        <w:tc>
          <w:tcPr>
            <w:tcW w:w="706" w:type="dxa"/>
            <w:vAlign w:val="center"/>
          </w:tcPr>
          <w:p w14:paraId="555F228A"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11</w:t>
            </w:r>
          </w:p>
        </w:tc>
        <w:tc>
          <w:tcPr>
            <w:tcW w:w="1163" w:type="dxa"/>
            <w:vMerge w:val="restart"/>
            <w:vAlign w:val="center"/>
          </w:tcPr>
          <w:p w14:paraId="4932787F" w14:textId="77777777" w:rsidR="00757A15" w:rsidRDefault="00757A15" w:rsidP="00757A15">
            <w:pPr>
              <w:pStyle w:val="TableParagraph"/>
              <w:spacing w:before="146"/>
              <w:jc w:val="center"/>
              <w:rPr>
                <w:sz w:val="21"/>
              </w:rPr>
            </w:pPr>
            <w:r>
              <w:rPr>
                <w:sz w:val="21"/>
              </w:rPr>
              <w:t>项目采购</w:t>
            </w:r>
          </w:p>
        </w:tc>
        <w:tc>
          <w:tcPr>
            <w:tcW w:w="2420" w:type="dxa"/>
            <w:vAlign w:val="center"/>
          </w:tcPr>
          <w:p w14:paraId="30457242" w14:textId="77777777" w:rsidR="00757A15" w:rsidRDefault="00757A15" w:rsidP="00757A15">
            <w:pPr>
              <w:pStyle w:val="TableParagraph"/>
              <w:spacing w:before="28"/>
              <w:ind w:left="116"/>
              <w:jc w:val="both"/>
              <w:rPr>
                <w:sz w:val="21"/>
              </w:rPr>
            </w:pPr>
            <w:r>
              <w:rPr>
                <w:sz w:val="21"/>
              </w:rPr>
              <w:t>协助政府对社会资本进</w:t>
            </w:r>
          </w:p>
          <w:p w14:paraId="733D2ACF" w14:textId="77777777" w:rsidR="00757A15" w:rsidRDefault="00757A15" w:rsidP="00757A15">
            <w:pPr>
              <w:pStyle w:val="TableParagraph"/>
              <w:spacing w:before="58"/>
              <w:ind w:left="116"/>
              <w:jc w:val="both"/>
              <w:rPr>
                <w:sz w:val="21"/>
              </w:rPr>
            </w:pPr>
            <w:proofErr w:type="gramStart"/>
            <w:r>
              <w:rPr>
                <w:sz w:val="21"/>
              </w:rPr>
              <w:t>行资格</w:t>
            </w:r>
            <w:proofErr w:type="gramEnd"/>
            <w:r>
              <w:rPr>
                <w:sz w:val="21"/>
              </w:rPr>
              <w:t>预审</w:t>
            </w:r>
          </w:p>
        </w:tc>
        <w:tc>
          <w:tcPr>
            <w:tcW w:w="2367" w:type="dxa"/>
            <w:vAlign w:val="center"/>
          </w:tcPr>
          <w:p w14:paraId="7C2DA8BF" w14:textId="77777777" w:rsidR="00757A15" w:rsidRDefault="00757A15" w:rsidP="00757A15">
            <w:pPr>
              <w:pStyle w:val="TableParagraph"/>
              <w:jc w:val="both"/>
              <w:rPr>
                <w:sz w:val="21"/>
              </w:rPr>
            </w:pPr>
            <w:r>
              <w:rPr>
                <w:sz w:val="21"/>
              </w:rPr>
              <w:t>政府或项目实施机构</w:t>
            </w:r>
          </w:p>
        </w:tc>
        <w:tc>
          <w:tcPr>
            <w:tcW w:w="2476" w:type="dxa"/>
            <w:vAlign w:val="center"/>
          </w:tcPr>
          <w:p w14:paraId="30956205" w14:textId="77777777" w:rsidR="00757A15" w:rsidRDefault="00757A15" w:rsidP="00757A15">
            <w:pPr>
              <w:pStyle w:val="TableParagraph"/>
              <w:jc w:val="both"/>
              <w:rPr>
                <w:sz w:val="21"/>
              </w:rPr>
            </w:pPr>
            <w:r>
              <w:rPr>
                <w:sz w:val="21"/>
              </w:rPr>
              <w:t>评审报告</w:t>
            </w:r>
          </w:p>
        </w:tc>
      </w:tr>
      <w:tr w:rsidR="00757A15" w14:paraId="7955F1BE" w14:textId="77777777" w:rsidTr="00757A15">
        <w:trPr>
          <w:trHeight w:val="651"/>
        </w:trPr>
        <w:tc>
          <w:tcPr>
            <w:tcW w:w="706" w:type="dxa"/>
            <w:vAlign w:val="center"/>
          </w:tcPr>
          <w:p w14:paraId="4EDC85BC"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12</w:t>
            </w:r>
          </w:p>
        </w:tc>
        <w:tc>
          <w:tcPr>
            <w:tcW w:w="1163" w:type="dxa"/>
            <w:vMerge/>
            <w:vAlign w:val="center"/>
          </w:tcPr>
          <w:p w14:paraId="7D034DD7" w14:textId="77777777" w:rsidR="00757A15" w:rsidRDefault="00757A15" w:rsidP="00757A15">
            <w:pPr>
              <w:jc w:val="center"/>
              <w:rPr>
                <w:sz w:val="2"/>
                <w:szCs w:val="2"/>
              </w:rPr>
            </w:pPr>
          </w:p>
        </w:tc>
        <w:tc>
          <w:tcPr>
            <w:tcW w:w="2420" w:type="dxa"/>
            <w:vAlign w:val="center"/>
          </w:tcPr>
          <w:p w14:paraId="02CE3B6D" w14:textId="77777777" w:rsidR="00757A15" w:rsidRDefault="00757A15" w:rsidP="00757A15">
            <w:pPr>
              <w:pStyle w:val="TableParagraph"/>
              <w:spacing w:before="28"/>
              <w:ind w:left="116"/>
              <w:jc w:val="both"/>
              <w:rPr>
                <w:sz w:val="21"/>
              </w:rPr>
            </w:pPr>
            <w:r>
              <w:rPr>
                <w:sz w:val="21"/>
              </w:rPr>
              <w:t>协助政府制定项目采购</w:t>
            </w:r>
          </w:p>
          <w:p w14:paraId="3CCA8410" w14:textId="77777777" w:rsidR="00757A15" w:rsidRDefault="00757A15" w:rsidP="00757A15">
            <w:pPr>
              <w:pStyle w:val="TableParagraph"/>
              <w:spacing w:before="58"/>
              <w:ind w:left="116"/>
              <w:jc w:val="both"/>
              <w:rPr>
                <w:sz w:val="21"/>
              </w:rPr>
            </w:pPr>
            <w:r>
              <w:rPr>
                <w:sz w:val="21"/>
              </w:rPr>
              <w:t>文件</w:t>
            </w:r>
          </w:p>
        </w:tc>
        <w:tc>
          <w:tcPr>
            <w:tcW w:w="2367" w:type="dxa"/>
            <w:vAlign w:val="center"/>
          </w:tcPr>
          <w:p w14:paraId="6CA2204C" w14:textId="77777777" w:rsidR="00757A15" w:rsidRDefault="00757A15" w:rsidP="00757A15">
            <w:pPr>
              <w:pStyle w:val="TableParagraph"/>
              <w:jc w:val="both"/>
              <w:rPr>
                <w:sz w:val="21"/>
              </w:rPr>
            </w:pPr>
            <w:r>
              <w:rPr>
                <w:sz w:val="21"/>
              </w:rPr>
              <w:t>政府或项目实施机构</w:t>
            </w:r>
          </w:p>
        </w:tc>
        <w:tc>
          <w:tcPr>
            <w:tcW w:w="2476" w:type="dxa"/>
            <w:vAlign w:val="center"/>
          </w:tcPr>
          <w:p w14:paraId="6EC792C1" w14:textId="77777777" w:rsidR="00757A15" w:rsidRDefault="00757A15" w:rsidP="00757A15">
            <w:pPr>
              <w:pStyle w:val="TableParagraph"/>
              <w:jc w:val="both"/>
              <w:rPr>
                <w:sz w:val="21"/>
              </w:rPr>
            </w:pPr>
            <w:r>
              <w:rPr>
                <w:sz w:val="21"/>
              </w:rPr>
              <w:t>项目采购文件</w:t>
            </w:r>
          </w:p>
        </w:tc>
      </w:tr>
      <w:tr w:rsidR="00757A15" w14:paraId="34B42B5B" w14:textId="77777777" w:rsidTr="00757A15">
        <w:trPr>
          <w:trHeight w:val="652"/>
        </w:trPr>
        <w:tc>
          <w:tcPr>
            <w:tcW w:w="706" w:type="dxa"/>
            <w:vAlign w:val="center"/>
          </w:tcPr>
          <w:p w14:paraId="25DA43F6"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13</w:t>
            </w:r>
          </w:p>
        </w:tc>
        <w:tc>
          <w:tcPr>
            <w:tcW w:w="1163" w:type="dxa"/>
            <w:vMerge/>
            <w:vAlign w:val="center"/>
          </w:tcPr>
          <w:p w14:paraId="416DEA8A" w14:textId="77777777" w:rsidR="00757A15" w:rsidRDefault="00757A15" w:rsidP="00757A15">
            <w:pPr>
              <w:jc w:val="center"/>
              <w:rPr>
                <w:sz w:val="2"/>
                <w:szCs w:val="2"/>
              </w:rPr>
            </w:pPr>
          </w:p>
        </w:tc>
        <w:tc>
          <w:tcPr>
            <w:tcW w:w="2420" w:type="dxa"/>
            <w:vAlign w:val="center"/>
          </w:tcPr>
          <w:p w14:paraId="0D58F189" w14:textId="4A4DBC7F" w:rsidR="00757A15" w:rsidRDefault="00757A15" w:rsidP="00757A15">
            <w:pPr>
              <w:pStyle w:val="TableParagraph"/>
              <w:spacing w:before="30"/>
              <w:ind w:left="116"/>
              <w:jc w:val="both"/>
              <w:rPr>
                <w:sz w:val="21"/>
              </w:rPr>
            </w:pPr>
            <w:r>
              <w:rPr>
                <w:sz w:val="21"/>
              </w:rPr>
              <w:t>协助社会资本制定项目响应文件</w:t>
            </w:r>
          </w:p>
        </w:tc>
        <w:tc>
          <w:tcPr>
            <w:tcW w:w="2367" w:type="dxa"/>
            <w:vAlign w:val="center"/>
          </w:tcPr>
          <w:p w14:paraId="58F4C753" w14:textId="77777777" w:rsidR="00757A15" w:rsidRDefault="00757A15" w:rsidP="00757A15">
            <w:pPr>
              <w:pStyle w:val="TableParagraph"/>
              <w:jc w:val="both"/>
              <w:rPr>
                <w:sz w:val="21"/>
              </w:rPr>
            </w:pPr>
            <w:r>
              <w:rPr>
                <w:sz w:val="21"/>
              </w:rPr>
              <w:t>社会资本</w:t>
            </w:r>
          </w:p>
        </w:tc>
        <w:tc>
          <w:tcPr>
            <w:tcW w:w="2476" w:type="dxa"/>
            <w:vAlign w:val="center"/>
          </w:tcPr>
          <w:p w14:paraId="3E1131E6" w14:textId="77777777" w:rsidR="00757A15" w:rsidRDefault="00757A15" w:rsidP="00757A15">
            <w:pPr>
              <w:pStyle w:val="TableParagraph"/>
              <w:jc w:val="both"/>
              <w:rPr>
                <w:sz w:val="21"/>
              </w:rPr>
            </w:pPr>
            <w:r>
              <w:rPr>
                <w:sz w:val="21"/>
              </w:rPr>
              <w:t>项目响应文件</w:t>
            </w:r>
          </w:p>
        </w:tc>
      </w:tr>
      <w:tr w:rsidR="00757A15" w14:paraId="24338B3D" w14:textId="77777777" w:rsidTr="00757A15">
        <w:trPr>
          <w:trHeight w:val="325"/>
        </w:trPr>
        <w:tc>
          <w:tcPr>
            <w:tcW w:w="706" w:type="dxa"/>
            <w:vAlign w:val="center"/>
          </w:tcPr>
          <w:p w14:paraId="7EF023FD"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lastRenderedPageBreak/>
              <w:t>14</w:t>
            </w:r>
          </w:p>
        </w:tc>
        <w:tc>
          <w:tcPr>
            <w:tcW w:w="1163" w:type="dxa"/>
            <w:vMerge/>
            <w:vAlign w:val="center"/>
          </w:tcPr>
          <w:p w14:paraId="5DA18A42" w14:textId="77777777" w:rsidR="00757A15" w:rsidRDefault="00757A15" w:rsidP="00757A15">
            <w:pPr>
              <w:jc w:val="center"/>
              <w:rPr>
                <w:sz w:val="2"/>
                <w:szCs w:val="2"/>
              </w:rPr>
            </w:pPr>
          </w:p>
        </w:tc>
        <w:tc>
          <w:tcPr>
            <w:tcW w:w="2420" w:type="dxa"/>
            <w:vAlign w:val="center"/>
          </w:tcPr>
          <w:p w14:paraId="1941EECE" w14:textId="77777777" w:rsidR="00757A15" w:rsidRDefault="00757A15" w:rsidP="00757A15">
            <w:pPr>
              <w:pStyle w:val="TableParagraph"/>
              <w:spacing w:before="28"/>
              <w:ind w:left="116"/>
              <w:jc w:val="both"/>
              <w:rPr>
                <w:sz w:val="21"/>
              </w:rPr>
            </w:pPr>
            <w:r>
              <w:rPr>
                <w:sz w:val="21"/>
              </w:rPr>
              <w:t>社会资本尽职调查</w:t>
            </w:r>
          </w:p>
        </w:tc>
        <w:tc>
          <w:tcPr>
            <w:tcW w:w="2367" w:type="dxa"/>
            <w:vAlign w:val="center"/>
          </w:tcPr>
          <w:p w14:paraId="11730CBC" w14:textId="77777777" w:rsidR="00757A15" w:rsidRDefault="00757A15" w:rsidP="00757A15">
            <w:pPr>
              <w:pStyle w:val="TableParagraph"/>
              <w:spacing w:before="28"/>
              <w:ind w:left="117"/>
              <w:jc w:val="both"/>
              <w:rPr>
                <w:sz w:val="21"/>
              </w:rPr>
            </w:pPr>
            <w:r>
              <w:rPr>
                <w:sz w:val="21"/>
              </w:rPr>
              <w:t>政府或项目实施机构</w:t>
            </w:r>
          </w:p>
        </w:tc>
        <w:tc>
          <w:tcPr>
            <w:tcW w:w="2476" w:type="dxa"/>
            <w:vAlign w:val="center"/>
          </w:tcPr>
          <w:p w14:paraId="05BC4F1C" w14:textId="77777777" w:rsidR="00757A15" w:rsidRDefault="00757A15" w:rsidP="00757A15">
            <w:pPr>
              <w:pStyle w:val="TableParagraph"/>
              <w:spacing w:before="28"/>
              <w:ind w:left="117"/>
              <w:jc w:val="both"/>
              <w:rPr>
                <w:sz w:val="21"/>
              </w:rPr>
            </w:pPr>
            <w:r>
              <w:rPr>
                <w:sz w:val="21"/>
              </w:rPr>
              <w:t>尽职调查报告</w:t>
            </w:r>
          </w:p>
        </w:tc>
      </w:tr>
      <w:tr w:rsidR="00757A15" w14:paraId="135B3CD4" w14:textId="77777777" w:rsidTr="00757A15">
        <w:trPr>
          <w:trHeight w:val="652"/>
        </w:trPr>
        <w:tc>
          <w:tcPr>
            <w:tcW w:w="706" w:type="dxa"/>
            <w:vAlign w:val="center"/>
          </w:tcPr>
          <w:p w14:paraId="60A7EAC8"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15</w:t>
            </w:r>
          </w:p>
        </w:tc>
        <w:tc>
          <w:tcPr>
            <w:tcW w:w="1163" w:type="dxa"/>
            <w:vMerge/>
            <w:vAlign w:val="center"/>
          </w:tcPr>
          <w:p w14:paraId="24E6D28D" w14:textId="77777777" w:rsidR="00757A15" w:rsidRDefault="00757A15" w:rsidP="00757A15">
            <w:pPr>
              <w:jc w:val="center"/>
              <w:rPr>
                <w:sz w:val="2"/>
                <w:szCs w:val="2"/>
              </w:rPr>
            </w:pPr>
          </w:p>
        </w:tc>
        <w:tc>
          <w:tcPr>
            <w:tcW w:w="2420" w:type="dxa"/>
            <w:vAlign w:val="center"/>
          </w:tcPr>
          <w:p w14:paraId="0C8D666F" w14:textId="77777777" w:rsidR="00757A15" w:rsidRDefault="00757A15" w:rsidP="00757A15">
            <w:pPr>
              <w:pStyle w:val="TableParagraph"/>
              <w:jc w:val="both"/>
              <w:rPr>
                <w:sz w:val="21"/>
              </w:rPr>
            </w:pPr>
            <w:r>
              <w:rPr>
                <w:sz w:val="21"/>
              </w:rPr>
              <w:t>参与合同体系构建</w:t>
            </w:r>
          </w:p>
        </w:tc>
        <w:tc>
          <w:tcPr>
            <w:tcW w:w="2367" w:type="dxa"/>
            <w:vAlign w:val="center"/>
          </w:tcPr>
          <w:p w14:paraId="2B5103CA" w14:textId="234525D0" w:rsidR="00757A15" w:rsidRDefault="00757A15" w:rsidP="00757A15">
            <w:pPr>
              <w:pStyle w:val="TableParagraph"/>
              <w:spacing w:before="28"/>
              <w:jc w:val="both"/>
              <w:rPr>
                <w:sz w:val="21"/>
              </w:rPr>
            </w:pPr>
            <w:r>
              <w:rPr>
                <w:sz w:val="21"/>
              </w:rPr>
              <w:t>项目实施机构或社会资本</w:t>
            </w:r>
          </w:p>
        </w:tc>
        <w:tc>
          <w:tcPr>
            <w:tcW w:w="2476" w:type="dxa"/>
            <w:vAlign w:val="center"/>
          </w:tcPr>
          <w:p w14:paraId="6CE474A1" w14:textId="2EC84F97" w:rsidR="00757A15" w:rsidRDefault="00757A15" w:rsidP="00757A15">
            <w:pPr>
              <w:pStyle w:val="TableParagraph"/>
              <w:spacing w:before="28"/>
              <w:jc w:val="both"/>
              <w:rPr>
                <w:sz w:val="21"/>
              </w:rPr>
            </w:pPr>
            <w:r>
              <w:rPr>
                <w:sz w:val="21"/>
              </w:rPr>
              <w:t>相关咨询意见或协议合同草案</w:t>
            </w:r>
          </w:p>
        </w:tc>
      </w:tr>
      <w:tr w:rsidR="00757A15" w14:paraId="79AA490D" w14:textId="77777777" w:rsidTr="00757A15">
        <w:trPr>
          <w:trHeight w:val="651"/>
        </w:trPr>
        <w:tc>
          <w:tcPr>
            <w:tcW w:w="706" w:type="dxa"/>
            <w:vAlign w:val="center"/>
          </w:tcPr>
          <w:p w14:paraId="64677A11"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16</w:t>
            </w:r>
          </w:p>
        </w:tc>
        <w:tc>
          <w:tcPr>
            <w:tcW w:w="1163" w:type="dxa"/>
            <w:vMerge/>
            <w:vAlign w:val="center"/>
          </w:tcPr>
          <w:p w14:paraId="70C2C98C" w14:textId="77777777" w:rsidR="00757A15" w:rsidRDefault="00757A15" w:rsidP="00757A15">
            <w:pPr>
              <w:jc w:val="center"/>
              <w:rPr>
                <w:sz w:val="2"/>
                <w:szCs w:val="2"/>
              </w:rPr>
            </w:pPr>
          </w:p>
        </w:tc>
        <w:tc>
          <w:tcPr>
            <w:tcW w:w="2420" w:type="dxa"/>
            <w:vAlign w:val="center"/>
          </w:tcPr>
          <w:p w14:paraId="4BEAC66E" w14:textId="55A22214" w:rsidR="00757A15" w:rsidRDefault="00757A15" w:rsidP="00757A15">
            <w:pPr>
              <w:pStyle w:val="TableParagraph"/>
              <w:spacing w:before="28"/>
              <w:jc w:val="both"/>
              <w:rPr>
                <w:sz w:val="21"/>
              </w:rPr>
            </w:pPr>
            <w:r>
              <w:rPr>
                <w:sz w:val="21"/>
              </w:rPr>
              <w:t>项目采购阶段的物有所值评价</w:t>
            </w:r>
          </w:p>
        </w:tc>
        <w:tc>
          <w:tcPr>
            <w:tcW w:w="2367" w:type="dxa"/>
            <w:vAlign w:val="center"/>
          </w:tcPr>
          <w:p w14:paraId="78DDE22D" w14:textId="77777777" w:rsidR="00757A15" w:rsidRDefault="00757A15" w:rsidP="00757A15">
            <w:pPr>
              <w:pStyle w:val="TableParagraph"/>
              <w:jc w:val="both"/>
              <w:rPr>
                <w:sz w:val="21"/>
              </w:rPr>
            </w:pPr>
            <w:r>
              <w:rPr>
                <w:sz w:val="21"/>
              </w:rPr>
              <w:t>政府或项目实施机构</w:t>
            </w:r>
          </w:p>
        </w:tc>
        <w:tc>
          <w:tcPr>
            <w:tcW w:w="2476" w:type="dxa"/>
            <w:vAlign w:val="center"/>
          </w:tcPr>
          <w:p w14:paraId="32B2350F" w14:textId="48024B62" w:rsidR="00757A15" w:rsidRDefault="00757A15" w:rsidP="00757A15">
            <w:pPr>
              <w:pStyle w:val="TableParagraph"/>
              <w:spacing w:before="28"/>
              <w:jc w:val="both"/>
              <w:rPr>
                <w:sz w:val="21"/>
              </w:rPr>
            </w:pPr>
            <w:r>
              <w:rPr>
                <w:sz w:val="21"/>
              </w:rPr>
              <w:t>物有所值评价报告（调整报告）</w:t>
            </w:r>
          </w:p>
        </w:tc>
      </w:tr>
      <w:tr w:rsidR="00757A15" w14:paraId="7FC56E88" w14:textId="77777777" w:rsidTr="00757A15">
        <w:trPr>
          <w:trHeight w:val="652"/>
        </w:trPr>
        <w:tc>
          <w:tcPr>
            <w:tcW w:w="706" w:type="dxa"/>
            <w:vAlign w:val="center"/>
          </w:tcPr>
          <w:p w14:paraId="5D30F01F"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17</w:t>
            </w:r>
          </w:p>
        </w:tc>
        <w:tc>
          <w:tcPr>
            <w:tcW w:w="1163" w:type="dxa"/>
            <w:vMerge w:val="restart"/>
            <w:vAlign w:val="center"/>
          </w:tcPr>
          <w:p w14:paraId="68431664" w14:textId="77777777" w:rsidR="00757A15" w:rsidRDefault="00757A15" w:rsidP="00757A15">
            <w:pPr>
              <w:pStyle w:val="TableParagraph"/>
              <w:jc w:val="center"/>
              <w:rPr>
                <w:sz w:val="21"/>
              </w:rPr>
            </w:pPr>
            <w:r>
              <w:rPr>
                <w:sz w:val="21"/>
              </w:rPr>
              <w:t>项目执行</w:t>
            </w:r>
          </w:p>
        </w:tc>
        <w:tc>
          <w:tcPr>
            <w:tcW w:w="2420" w:type="dxa"/>
            <w:vAlign w:val="center"/>
          </w:tcPr>
          <w:p w14:paraId="6861D34D" w14:textId="77777777" w:rsidR="00757A15" w:rsidRDefault="00757A15" w:rsidP="00757A15">
            <w:pPr>
              <w:pStyle w:val="TableParagraph"/>
              <w:jc w:val="both"/>
              <w:rPr>
                <w:sz w:val="21"/>
              </w:rPr>
            </w:pPr>
            <w:r>
              <w:rPr>
                <w:sz w:val="21"/>
              </w:rPr>
              <w:t>协助设立项目公司</w:t>
            </w:r>
          </w:p>
        </w:tc>
        <w:tc>
          <w:tcPr>
            <w:tcW w:w="2367" w:type="dxa"/>
            <w:vAlign w:val="center"/>
          </w:tcPr>
          <w:p w14:paraId="30EFE9F4" w14:textId="5DB3C6B0" w:rsidR="00757A15" w:rsidRDefault="00757A15" w:rsidP="00757A15">
            <w:pPr>
              <w:pStyle w:val="TableParagraph"/>
              <w:spacing w:before="29"/>
              <w:jc w:val="both"/>
              <w:rPr>
                <w:sz w:val="21"/>
              </w:rPr>
            </w:pPr>
            <w:r>
              <w:rPr>
                <w:sz w:val="21"/>
              </w:rPr>
              <w:t>项目实施机构或社会资本或项目公司</w:t>
            </w:r>
          </w:p>
        </w:tc>
        <w:tc>
          <w:tcPr>
            <w:tcW w:w="2476" w:type="dxa"/>
            <w:vAlign w:val="center"/>
          </w:tcPr>
          <w:p w14:paraId="32A50534" w14:textId="503A8EB5" w:rsidR="00757A15" w:rsidRDefault="00757A15" w:rsidP="00757A15">
            <w:pPr>
              <w:pStyle w:val="TableParagraph"/>
              <w:spacing w:before="29"/>
              <w:jc w:val="both"/>
              <w:rPr>
                <w:sz w:val="21"/>
              </w:rPr>
            </w:pPr>
            <w:r>
              <w:rPr>
                <w:sz w:val="21"/>
              </w:rPr>
              <w:t>公司章程、股权协议、内控制度草案</w:t>
            </w:r>
          </w:p>
        </w:tc>
      </w:tr>
      <w:tr w:rsidR="00757A15" w14:paraId="44E4606A" w14:textId="77777777" w:rsidTr="00757A15">
        <w:trPr>
          <w:trHeight w:val="652"/>
        </w:trPr>
        <w:tc>
          <w:tcPr>
            <w:tcW w:w="706" w:type="dxa"/>
            <w:vAlign w:val="center"/>
          </w:tcPr>
          <w:p w14:paraId="12E65659"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18</w:t>
            </w:r>
          </w:p>
        </w:tc>
        <w:tc>
          <w:tcPr>
            <w:tcW w:w="1163" w:type="dxa"/>
            <w:vMerge/>
            <w:vAlign w:val="center"/>
          </w:tcPr>
          <w:p w14:paraId="298B4C88" w14:textId="77777777" w:rsidR="00757A15" w:rsidRDefault="00757A15" w:rsidP="00757A15">
            <w:pPr>
              <w:jc w:val="center"/>
              <w:rPr>
                <w:sz w:val="2"/>
                <w:szCs w:val="2"/>
              </w:rPr>
            </w:pPr>
          </w:p>
        </w:tc>
        <w:tc>
          <w:tcPr>
            <w:tcW w:w="2420" w:type="dxa"/>
            <w:vAlign w:val="center"/>
          </w:tcPr>
          <w:p w14:paraId="09F8D084" w14:textId="77777777" w:rsidR="00757A15" w:rsidRDefault="00757A15" w:rsidP="00757A15">
            <w:pPr>
              <w:pStyle w:val="TableParagraph"/>
              <w:jc w:val="both"/>
              <w:rPr>
                <w:sz w:val="21"/>
              </w:rPr>
            </w:pPr>
            <w:r>
              <w:rPr>
                <w:sz w:val="21"/>
              </w:rPr>
              <w:t>融资咨询</w:t>
            </w:r>
          </w:p>
        </w:tc>
        <w:tc>
          <w:tcPr>
            <w:tcW w:w="2367" w:type="dxa"/>
            <w:vAlign w:val="center"/>
          </w:tcPr>
          <w:p w14:paraId="7FE337F0" w14:textId="54DA27ED" w:rsidR="00757A15" w:rsidRDefault="00757A15" w:rsidP="00757A15">
            <w:pPr>
              <w:pStyle w:val="TableParagraph"/>
              <w:spacing w:before="28"/>
              <w:jc w:val="both"/>
              <w:rPr>
                <w:sz w:val="21"/>
              </w:rPr>
            </w:pPr>
            <w:r>
              <w:rPr>
                <w:sz w:val="21"/>
              </w:rPr>
              <w:t>项目实施机构或社会资本或项目公司</w:t>
            </w:r>
          </w:p>
        </w:tc>
        <w:tc>
          <w:tcPr>
            <w:tcW w:w="2476" w:type="dxa"/>
            <w:vAlign w:val="center"/>
          </w:tcPr>
          <w:p w14:paraId="716B8543" w14:textId="77777777" w:rsidR="00757A15" w:rsidRDefault="00757A15" w:rsidP="00757A15">
            <w:pPr>
              <w:pStyle w:val="TableParagraph"/>
              <w:jc w:val="both"/>
              <w:rPr>
                <w:sz w:val="21"/>
              </w:rPr>
            </w:pPr>
            <w:r>
              <w:rPr>
                <w:sz w:val="21"/>
              </w:rPr>
              <w:t>相关咨询意见或建议书</w:t>
            </w:r>
          </w:p>
        </w:tc>
      </w:tr>
      <w:tr w:rsidR="00757A15" w14:paraId="03FCB2DD" w14:textId="77777777" w:rsidTr="00757A15">
        <w:trPr>
          <w:trHeight w:val="326"/>
        </w:trPr>
        <w:tc>
          <w:tcPr>
            <w:tcW w:w="706" w:type="dxa"/>
            <w:vAlign w:val="center"/>
          </w:tcPr>
          <w:p w14:paraId="08538CC4"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19</w:t>
            </w:r>
          </w:p>
        </w:tc>
        <w:tc>
          <w:tcPr>
            <w:tcW w:w="1163" w:type="dxa"/>
            <w:vMerge/>
            <w:vAlign w:val="center"/>
          </w:tcPr>
          <w:p w14:paraId="084BEEE8" w14:textId="77777777" w:rsidR="00757A15" w:rsidRDefault="00757A15" w:rsidP="00757A15">
            <w:pPr>
              <w:jc w:val="center"/>
              <w:rPr>
                <w:sz w:val="2"/>
                <w:szCs w:val="2"/>
              </w:rPr>
            </w:pPr>
          </w:p>
        </w:tc>
        <w:tc>
          <w:tcPr>
            <w:tcW w:w="2420" w:type="dxa"/>
            <w:vAlign w:val="center"/>
          </w:tcPr>
          <w:p w14:paraId="6418FA7E" w14:textId="77777777" w:rsidR="00757A15" w:rsidRDefault="00757A15" w:rsidP="00757A15">
            <w:pPr>
              <w:pStyle w:val="TableParagraph"/>
              <w:spacing w:before="28"/>
              <w:ind w:left="116"/>
              <w:jc w:val="both"/>
              <w:rPr>
                <w:sz w:val="21"/>
              </w:rPr>
            </w:pPr>
            <w:r>
              <w:rPr>
                <w:sz w:val="21"/>
              </w:rPr>
              <w:t>项目现金流分析</w:t>
            </w:r>
          </w:p>
        </w:tc>
        <w:tc>
          <w:tcPr>
            <w:tcW w:w="2367" w:type="dxa"/>
            <w:vAlign w:val="center"/>
          </w:tcPr>
          <w:p w14:paraId="2D4EA72A" w14:textId="77777777" w:rsidR="00757A15" w:rsidRDefault="00757A15" w:rsidP="00757A15">
            <w:pPr>
              <w:pStyle w:val="TableParagraph"/>
              <w:spacing w:before="28"/>
              <w:ind w:left="117"/>
              <w:jc w:val="both"/>
              <w:rPr>
                <w:sz w:val="21"/>
              </w:rPr>
            </w:pPr>
            <w:r>
              <w:rPr>
                <w:sz w:val="21"/>
              </w:rPr>
              <w:t>项目公司或融资机构</w:t>
            </w:r>
          </w:p>
        </w:tc>
        <w:tc>
          <w:tcPr>
            <w:tcW w:w="2476" w:type="dxa"/>
            <w:vAlign w:val="center"/>
          </w:tcPr>
          <w:p w14:paraId="3D6FC59B" w14:textId="77777777" w:rsidR="00757A15" w:rsidRDefault="00757A15" w:rsidP="00757A15">
            <w:pPr>
              <w:pStyle w:val="TableParagraph"/>
              <w:spacing w:before="28"/>
              <w:ind w:left="117"/>
              <w:jc w:val="both"/>
              <w:rPr>
                <w:sz w:val="21"/>
              </w:rPr>
            </w:pPr>
            <w:r>
              <w:rPr>
                <w:sz w:val="21"/>
              </w:rPr>
              <w:t>相关咨询意见或建议书</w:t>
            </w:r>
          </w:p>
        </w:tc>
      </w:tr>
      <w:tr w:rsidR="00757A15" w14:paraId="0E50794B" w14:textId="77777777" w:rsidTr="00757A15">
        <w:trPr>
          <w:trHeight w:val="651"/>
        </w:trPr>
        <w:tc>
          <w:tcPr>
            <w:tcW w:w="706" w:type="dxa"/>
            <w:vAlign w:val="center"/>
          </w:tcPr>
          <w:p w14:paraId="46CEF7B3"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20</w:t>
            </w:r>
          </w:p>
        </w:tc>
        <w:tc>
          <w:tcPr>
            <w:tcW w:w="1163" w:type="dxa"/>
            <w:vMerge/>
            <w:vAlign w:val="center"/>
          </w:tcPr>
          <w:p w14:paraId="0D017A74" w14:textId="77777777" w:rsidR="00757A15" w:rsidRDefault="00757A15" w:rsidP="00757A15">
            <w:pPr>
              <w:jc w:val="center"/>
              <w:rPr>
                <w:sz w:val="2"/>
                <w:szCs w:val="2"/>
              </w:rPr>
            </w:pPr>
          </w:p>
        </w:tc>
        <w:tc>
          <w:tcPr>
            <w:tcW w:w="2420" w:type="dxa"/>
            <w:vAlign w:val="center"/>
          </w:tcPr>
          <w:p w14:paraId="0CC36140" w14:textId="77777777" w:rsidR="00757A15" w:rsidRDefault="00757A15" w:rsidP="00757A15">
            <w:pPr>
              <w:pStyle w:val="TableParagraph"/>
              <w:spacing w:before="28"/>
              <w:ind w:left="116"/>
              <w:jc w:val="both"/>
              <w:rPr>
                <w:sz w:val="21"/>
              </w:rPr>
            </w:pPr>
            <w:r>
              <w:rPr>
                <w:sz w:val="21"/>
              </w:rPr>
              <w:t>项目绩效监测与支付评</w:t>
            </w:r>
          </w:p>
          <w:p w14:paraId="3E769510" w14:textId="77777777" w:rsidR="00757A15" w:rsidRDefault="00757A15" w:rsidP="00757A15">
            <w:pPr>
              <w:pStyle w:val="TableParagraph"/>
              <w:spacing w:before="58"/>
              <w:ind w:left="116"/>
              <w:jc w:val="both"/>
              <w:rPr>
                <w:sz w:val="21"/>
              </w:rPr>
            </w:pPr>
            <w:r>
              <w:rPr>
                <w:sz w:val="21"/>
              </w:rPr>
              <w:t>审</w:t>
            </w:r>
          </w:p>
        </w:tc>
        <w:tc>
          <w:tcPr>
            <w:tcW w:w="2367" w:type="dxa"/>
            <w:vAlign w:val="center"/>
          </w:tcPr>
          <w:p w14:paraId="75D51073" w14:textId="77777777" w:rsidR="00757A15" w:rsidRDefault="00757A15" w:rsidP="00757A15">
            <w:pPr>
              <w:pStyle w:val="TableParagraph"/>
              <w:jc w:val="both"/>
              <w:rPr>
                <w:sz w:val="21"/>
              </w:rPr>
            </w:pPr>
            <w:r>
              <w:rPr>
                <w:sz w:val="21"/>
              </w:rPr>
              <w:t>政府或项目实施机构</w:t>
            </w:r>
          </w:p>
        </w:tc>
        <w:tc>
          <w:tcPr>
            <w:tcW w:w="2476" w:type="dxa"/>
            <w:vAlign w:val="center"/>
          </w:tcPr>
          <w:p w14:paraId="2FCAB362" w14:textId="77777777" w:rsidR="00757A15" w:rsidRDefault="00757A15" w:rsidP="00757A15">
            <w:pPr>
              <w:pStyle w:val="TableParagraph"/>
              <w:jc w:val="both"/>
              <w:rPr>
                <w:sz w:val="21"/>
              </w:rPr>
            </w:pPr>
            <w:r>
              <w:rPr>
                <w:sz w:val="21"/>
              </w:rPr>
              <w:t>相关咨询意见或建议书</w:t>
            </w:r>
          </w:p>
        </w:tc>
      </w:tr>
      <w:tr w:rsidR="00757A15" w14:paraId="1FA8CA3E" w14:textId="77777777" w:rsidTr="00757A15">
        <w:trPr>
          <w:trHeight w:val="652"/>
        </w:trPr>
        <w:tc>
          <w:tcPr>
            <w:tcW w:w="706" w:type="dxa"/>
            <w:vAlign w:val="center"/>
          </w:tcPr>
          <w:p w14:paraId="6C0A9261"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21</w:t>
            </w:r>
          </w:p>
        </w:tc>
        <w:tc>
          <w:tcPr>
            <w:tcW w:w="1163" w:type="dxa"/>
            <w:vMerge/>
            <w:vAlign w:val="center"/>
          </w:tcPr>
          <w:p w14:paraId="6C9E8726" w14:textId="77777777" w:rsidR="00757A15" w:rsidRDefault="00757A15" w:rsidP="00757A15">
            <w:pPr>
              <w:jc w:val="center"/>
              <w:rPr>
                <w:sz w:val="2"/>
                <w:szCs w:val="2"/>
              </w:rPr>
            </w:pPr>
          </w:p>
        </w:tc>
        <w:tc>
          <w:tcPr>
            <w:tcW w:w="2420" w:type="dxa"/>
            <w:vAlign w:val="center"/>
          </w:tcPr>
          <w:p w14:paraId="4266C779" w14:textId="3E11880D" w:rsidR="00757A15" w:rsidRDefault="00757A15" w:rsidP="00757A15">
            <w:pPr>
              <w:pStyle w:val="TableParagraph"/>
              <w:spacing w:before="30"/>
              <w:jc w:val="both"/>
              <w:rPr>
                <w:sz w:val="21"/>
              </w:rPr>
            </w:pPr>
            <w:r>
              <w:rPr>
                <w:sz w:val="21"/>
              </w:rPr>
              <w:t>项目风险再分配中的咨询</w:t>
            </w:r>
          </w:p>
        </w:tc>
        <w:tc>
          <w:tcPr>
            <w:tcW w:w="2367" w:type="dxa"/>
            <w:vAlign w:val="center"/>
          </w:tcPr>
          <w:p w14:paraId="0C45E689" w14:textId="11211AE5" w:rsidR="00757A15" w:rsidRDefault="00757A15" w:rsidP="00757A15">
            <w:pPr>
              <w:pStyle w:val="TableParagraph"/>
              <w:spacing w:before="30"/>
              <w:jc w:val="both"/>
              <w:rPr>
                <w:sz w:val="21"/>
              </w:rPr>
            </w:pPr>
            <w:r>
              <w:rPr>
                <w:sz w:val="21"/>
              </w:rPr>
              <w:t>项目实施机构或社会资本或项目公司</w:t>
            </w:r>
          </w:p>
        </w:tc>
        <w:tc>
          <w:tcPr>
            <w:tcW w:w="2476" w:type="dxa"/>
            <w:vAlign w:val="center"/>
          </w:tcPr>
          <w:p w14:paraId="3A8F1F19" w14:textId="77777777" w:rsidR="00757A15" w:rsidRDefault="00757A15" w:rsidP="00757A15">
            <w:pPr>
              <w:pStyle w:val="TableParagraph"/>
              <w:jc w:val="both"/>
              <w:rPr>
                <w:sz w:val="21"/>
              </w:rPr>
            </w:pPr>
            <w:r>
              <w:rPr>
                <w:sz w:val="21"/>
              </w:rPr>
              <w:t>相关咨询意见或建议书</w:t>
            </w:r>
          </w:p>
        </w:tc>
      </w:tr>
      <w:tr w:rsidR="00757A15" w14:paraId="4670752F" w14:textId="77777777" w:rsidTr="00757A15">
        <w:trPr>
          <w:trHeight w:val="652"/>
        </w:trPr>
        <w:tc>
          <w:tcPr>
            <w:tcW w:w="706" w:type="dxa"/>
            <w:vAlign w:val="center"/>
          </w:tcPr>
          <w:p w14:paraId="63F0D6F9"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22</w:t>
            </w:r>
          </w:p>
        </w:tc>
        <w:tc>
          <w:tcPr>
            <w:tcW w:w="1163" w:type="dxa"/>
            <w:vMerge/>
            <w:vAlign w:val="center"/>
          </w:tcPr>
          <w:p w14:paraId="2973F75C" w14:textId="77777777" w:rsidR="00757A15" w:rsidRDefault="00757A15" w:rsidP="00757A15">
            <w:pPr>
              <w:jc w:val="center"/>
              <w:rPr>
                <w:sz w:val="2"/>
                <w:szCs w:val="2"/>
              </w:rPr>
            </w:pPr>
          </w:p>
        </w:tc>
        <w:tc>
          <w:tcPr>
            <w:tcW w:w="2420" w:type="dxa"/>
            <w:vAlign w:val="center"/>
          </w:tcPr>
          <w:p w14:paraId="56533091" w14:textId="77777777" w:rsidR="00757A15" w:rsidRDefault="00757A15" w:rsidP="00757A15">
            <w:pPr>
              <w:pStyle w:val="TableParagraph"/>
              <w:jc w:val="both"/>
              <w:rPr>
                <w:sz w:val="21"/>
              </w:rPr>
            </w:pPr>
            <w:r>
              <w:rPr>
                <w:sz w:val="21"/>
              </w:rPr>
              <w:t>项目中期评估</w:t>
            </w:r>
          </w:p>
        </w:tc>
        <w:tc>
          <w:tcPr>
            <w:tcW w:w="2367" w:type="dxa"/>
            <w:vAlign w:val="center"/>
          </w:tcPr>
          <w:p w14:paraId="1E34A1EA" w14:textId="718186E6" w:rsidR="00757A15" w:rsidRDefault="00757A15" w:rsidP="00757A15">
            <w:pPr>
              <w:pStyle w:val="TableParagraph"/>
              <w:spacing w:before="28"/>
              <w:jc w:val="both"/>
              <w:rPr>
                <w:sz w:val="21"/>
              </w:rPr>
            </w:pPr>
            <w:r>
              <w:rPr>
                <w:sz w:val="21"/>
              </w:rPr>
              <w:t>项目实施机构或社会资本或项目公司</w:t>
            </w:r>
          </w:p>
        </w:tc>
        <w:tc>
          <w:tcPr>
            <w:tcW w:w="2476" w:type="dxa"/>
            <w:vAlign w:val="center"/>
          </w:tcPr>
          <w:p w14:paraId="47A956B7" w14:textId="77777777" w:rsidR="00757A15" w:rsidRDefault="00757A15" w:rsidP="00757A15">
            <w:pPr>
              <w:pStyle w:val="TableParagraph"/>
              <w:jc w:val="both"/>
              <w:rPr>
                <w:sz w:val="21"/>
              </w:rPr>
            </w:pPr>
            <w:r>
              <w:rPr>
                <w:sz w:val="21"/>
              </w:rPr>
              <w:t>中期评估报告</w:t>
            </w:r>
          </w:p>
        </w:tc>
      </w:tr>
      <w:tr w:rsidR="00757A15" w14:paraId="053BD808" w14:textId="77777777" w:rsidTr="00757A15">
        <w:trPr>
          <w:trHeight w:val="651"/>
        </w:trPr>
        <w:tc>
          <w:tcPr>
            <w:tcW w:w="706" w:type="dxa"/>
            <w:vAlign w:val="center"/>
          </w:tcPr>
          <w:p w14:paraId="057B6D59"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23</w:t>
            </w:r>
          </w:p>
        </w:tc>
        <w:tc>
          <w:tcPr>
            <w:tcW w:w="1163" w:type="dxa"/>
            <w:vMerge/>
            <w:vAlign w:val="center"/>
          </w:tcPr>
          <w:p w14:paraId="6B1E983E" w14:textId="77777777" w:rsidR="00757A15" w:rsidRDefault="00757A15" w:rsidP="00757A15">
            <w:pPr>
              <w:jc w:val="center"/>
              <w:rPr>
                <w:sz w:val="2"/>
                <w:szCs w:val="2"/>
              </w:rPr>
            </w:pPr>
          </w:p>
        </w:tc>
        <w:tc>
          <w:tcPr>
            <w:tcW w:w="2420" w:type="dxa"/>
            <w:vAlign w:val="center"/>
          </w:tcPr>
          <w:p w14:paraId="55BDE1E4" w14:textId="77777777" w:rsidR="00757A15" w:rsidRDefault="00757A15" w:rsidP="00757A15">
            <w:pPr>
              <w:pStyle w:val="TableParagraph"/>
              <w:jc w:val="both"/>
              <w:rPr>
                <w:sz w:val="21"/>
              </w:rPr>
            </w:pPr>
            <w:r>
              <w:rPr>
                <w:sz w:val="21"/>
              </w:rPr>
              <w:t>项目调价过程中的咨询</w:t>
            </w:r>
          </w:p>
        </w:tc>
        <w:tc>
          <w:tcPr>
            <w:tcW w:w="2367" w:type="dxa"/>
            <w:vAlign w:val="center"/>
          </w:tcPr>
          <w:p w14:paraId="58E84D8E" w14:textId="419D31CA" w:rsidR="00757A15" w:rsidRDefault="00757A15" w:rsidP="00757A15">
            <w:pPr>
              <w:pStyle w:val="TableParagraph"/>
              <w:spacing w:before="28"/>
              <w:jc w:val="both"/>
              <w:rPr>
                <w:sz w:val="21"/>
              </w:rPr>
            </w:pPr>
            <w:r>
              <w:rPr>
                <w:sz w:val="21"/>
              </w:rPr>
              <w:t>项目实施机构或社会资本或项目公司</w:t>
            </w:r>
          </w:p>
        </w:tc>
        <w:tc>
          <w:tcPr>
            <w:tcW w:w="2476" w:type="dxa"/>
            <w:vAlign w:val="center"/>
          </w:tcPr>
          <w:p w14:paraId="4BD9FFEC" w14:textId="77777777" w:rsidR="00757A15" w:rsidRDefault="00757A15" w:rsidP="00757A15">
            <w:pPr>
              <w:pStyle w:val="TableParagraph"/>
              <w:jc w:val="both"/>
              <w:rPr>
                <w:sz w:val="21"/>
              </w:rPr>
            </w:pPr>
            <w:r>
              <w:rPr>
                <w:sz w:val="21"/>
              </w:rPr>
              <w:t>相关咨询报告</w:t>
            </w:r>
          </w:p>
        </w:tc>
      </w:tr>
      <w:tr w:rsidR="00757A15" w14:paraId="00D7272D" w14:textId="77777777" w:rsidTr="00757A15">
        <w:trPr>
          <w:trHeight w:val="652"/>
        </w:trPr>
        <w:tc>
          <w:tcPr>
            <w:tcW w:w="706" w:type="dxa"/>
            <w:vAlign w:val="center"/>
          </w:tcPr>
          <w:p w14:paraId="6F84A102"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24</w:t>
            </w:r>
          </w:p>
        </w:tc>
        <w:tc>
          <w:tcPr>
            <w:tcW w:w="1163" w:type="dxa"/>
            <w:vMerge/>
            <w:vAlign w:val="center"/>
          </w:tcPr>
          <w:p w14:paraId="4E21B194" w14:textId="77777777" w:rsidR="00757A15" w:rsidRDefault="00757A15" w:rsidP="00757A15">
            <w:pPr>
              <w:jc w:val="center"/>
              <w:rPr>
                <w:sz w:val="2"/>
                <w:szCs w:val="2"/>
              </w:rPr>
            </w:pPr>
          </w:p>
        </w:tc>
        <w:tc>
          <w:tcPr>
            <w:tcW w:w="2420" w:type="dxa"/>
            <w:vAlign w:val="center"/>
          </w:tcPr>
          <w:p w14:paraId="6FA42004" w14:textId="0153D3FC" w:rsidR="00757A15" w:rsidRDefault="00757A15" w:rsidP="00757A15">
            <w:pPr>
              <w:pStyle w:val="TableParagraph"/>
              <w:spacing w:before="29"/>
              <w:jc w:val="both"/>
              <w:rPr>
                <w:sz w:val="21"/>
              </w:rPr>
            </w:pPr>
            <w:r>
              <w:rPr>
                <w:sz w:val="21"/>
              </w:rPr>
              <w:t>项目执行阶段的资产评估</w:t>
            </w:r>
          </w:p>
        </w:tc>
        <w:tc>
          <w:tcPr>
            <w:tcW w:w="2367" w:type="dxa"/>
            <w:vAlign w:val="center"/>
          </w:tcPr>
          <w:p w14:paraId="2355E14E" w14:textId="468BEEC5" w:rsidR="00757A15" w:rsidRDefault="00757A15" w:rsidP="00757A15">
            <w:pPr>
              <w:pStyle w:val="TableParagraph"/>
              <w:spacing w:before="29"/>
              <w:jc w:val="both"/>
              <w:rPr>
                <w:sz w:val="21"/>
              </w:rPr>
            </w:pPr>
            <w:r>
              <w:rPr>
                <w:sz w:val="21"/>
              </w:rPr>
              <w:t>项目实施机构或社会资本或项目公司</w:t>
            </w:r>
          </w:p>
        </w:tc>
        <w:tc>
          <w:tcPr>
            <w:tcW w:w="2476" w:type="dxa"/>
            <w:vAlign w:val="center"/>
          </w:tcPr>
          <w:p w14:paraId="162ABE67" w14:textId="77777777" w:rsidR="00757A15" w:rsidRDefault="00757A15" w:rsidP="00757A15">
            <w:pPr>
              <w:pStyle w:val="TableParagraph"/>
              <w:jc w:val="both"/>
              <w:rPr>
                <w:sz w:val="21"/>
              </w:rPr>
            </w:pPr>
            <w:r>
              <w:rPr>
                <w:sz w:val="21"/>
              </w:rPr>
              <w:t>资产评估报告</w:t>
            </w:r>
          </w:p>
        </w:tc>
      </w:tr>
      <w:tr w:rsidR="00757A15" w14:paraId="6235B6DE" w14:textId="77777777" w:rsidTr="00757A15">
        <w:trPr>
          <w:trHeight w:val="642"/>
        </w:trPr>
        <w:tc>
          <w:tcPr>
            <w:tcW w:w="706" w:type="dxa"/>
            <w:vAlign w:val="center"/>
          </w:tcPr>
          <w:p w14:paraId="6B7C3630"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25</w:t>
            </w:r>
          </w:p>
        </w:tc>
        <w:tc>
          <w:tcPr>
            <w:tcW w:w="1163" w:type="dxa"/>
            <w:vMerge w:val="restart"/>
            <w:vAlign w:val="center"/>
          </w:tcPr>
          <w:p w14:paraId="2F0601E6" w14:textId="77777777" w:rsidR="00757A15" w:rsidRDefault="00757A15" w:rsidP="00757A15">
            <w:pPr>
              <w:pStyle w:val="TableParagraph"/>
              <w:jc w:val="center"/>
              <w:rPr>
                <w:sz w:val="21"/>
              </w:rPr>
            </w:pPr>
            <w:r>
              <w:rPr>
                <w:sz w:val="21"/>
              </w:rPr>
              <w:t>项目移交</w:t>
            </w:r>
          </w:p>
        </w:tc>
        <w:tc>
          <w:tcPr>
            <w:tcW w:w="2420" w:type="dxa"/>
            <w:vAlign w:val="center"/>
          </w:tcPr>
          <w:p w14:paraId="17C6ACE5" w14:textId="07F82AEA" w:rsidR="00757A15" w:rsidRDefault="00757A15" w:rsidP="00757A15">
            <w:pPr>
              <w:pStyle w:val="TableParagraph"/>
              <w:spacing w:before="28"/>
              <w:jc w:val="both"/>
              <w:rPr>
                <w:sz w:val="21"/>
              </w:rPr>
            </w:pPr>
            <w:r>
              <w:rPr>
                <w:sz w:val="21"/>
              </w:rPr>
              <w:t>项目移交阶段的资产清查</w:t>
            </w:r>
          </w:p>
        </w:tc>
        <w:tc>
          <w:tcPr>
            <w:tcW w:w="2367" w:type="dxa"/>
            <w:vAlign w:val="center"/>
          </w:tcPr>
          <w:p w14:paraId="25A5E570" w14:textId="5693079C" w:rsidR="00757A15" w:rsidRDefault="00757A15" w:rsidP="00757A15">
            <w:pPr>
              <w:pStyle w:val="TableParagraph"/>
              <w:spacing w:before="28"/>
              <w:jc w:val="both"/>
              <w:rPr>
                <w:sz w:val="21"/>
              </w:rPr>
            </w:pPr>
            <w:r>
              <w:rPr>
                <w:sz w:val="21"/>
              </w:rPr>
              <w:t>项目实施机构或社会资本或项目公司</w:t>
            </w:r>
          </w:p>
        </w:tc>
        <w:tc>
          <w:tcPr>
            <w:tcW w:w="2476" w:type="dxa"/>
            <w:vAlign w:val="center"/>
          </w:tcPr>
          <w:p w14:paraId="3A54CC7D" w14:textId="77777777" w:rsidR="00757A15" w:rsidRDefault="00757A15" w:rsidP="00757A15">
            <w:pPr>
              <w:pStyle w:val="TableParagraph"/>
              <w:jc w:val="both"/>
              <w:rPr>
                <w:sz w:val="21"/>
              </w:rPr>
            </w:pPr>
            <w:r>
              <w:rPr>
                <w:sz w:val="21"/>
              </w:rPr>
              <w:t>资产清查报告</w:t>
            </w:r>
          </w:p>
        </w:tc>
      </w:tr>
      <w:tr w:rsidR="00757A15" w14:paraId="52B8C895" w14:textId="77777777" w:rsidTr="00757A15">
        <w:trPr>
          <w:trHeight w:val="631"/>
        </w:trPr>
        <w:tc>
          <w:tcPr>
            <w:tcW w:w="706" w:type="dxa"/>
            <w:vAlign w:val="center"/>
          </w:tcPr>
          <w:p w14:paraId="41B54C39"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26</w:t>
            </w:r>
          </w:p>
        </w:tc>
        <w:tc>
          <w:tcPr>
            <w:tcW w:w="1163" w:type="dxa"/>
            <w:vMerge/>
          </w:tcPr>
          <w:p w14:paraId="6339FDEC" w14:textId="77777777" w:rsidR="00757A15" w:rsidRDefault="00757A15" w:rsidP="00757A15">
            <w:pPr>
              <w:rPr>
                <w:sz w:val="2"/>
                <w:szCs w:val="2"/>
              </w:rPr>
            </w:pPr>
          </w:p>
        </w:tc>
        <w:tc>
          <w:tcPr>
            <w:tcW w:w="2420" w:type="dxa"/>
            <w:vAlign w:val="center"/>
          </w:tcPr>
          <w:p w14:paraId="2199DCA0" w14:textId="77777777" w:rsidR="00757A15" w:rsidRDefault="00757A15" w:rsidP="00757A15">
            <w:pPr>
              <w:pStyle w:val="TableParagraph"/>
              <w:jc w:val="both"/>
              <w:rPr>
                <w:sz w:val="21"/>
              </w:rPr>
            </w:pPr>
            <w:r>
              <w:rPr>
                <w:sz w:val="21"/>
              </w:rPr>
              <w:t>移交阶段的资产评估</w:t>
            </w:r>
          </w:p>
        </w:tc>
        <w:tc>
          <w:tcPr>
            <w:tcW w:w="2367" w:type="dxa"/>
            <w:vAlign w:val="center"/>
          </w:tcPr>
          <w:p w14:paraId="0869A315" w14:textId="6197BE47" w:rsidR="00757A15" w:rsidRDefault="00757A15" w:rsidP="00757A15">
            <w:pPr>
              <w:pStyle w:val="TableParagraph"/>
              <w:spacing w:before="18"/>
              <w:jc w:val="both"/>
              <w:rPr>
                <w:sz w:val="21"/>
              </w:rPr>
            </w:pPr>
            <w:r>
              <w:rPr>
                <w:sz w:val="21"/>
              </w:rPr>
              <w:t>项目实施机构或社会资本或项目公司</w:t>
            </w:r>
          </w:p>
        </w:tc>
        <w:tc>
          <w:tcPr>
            <w:tcW w:w="2476" w:type="dxa"/>
            <w:vAlign w:val="center"/>
          </w:tcPr>
          <w:p w14:paraId="01D49084" w14:textId="77777777" w:rsidR="00757A15" w:rsidRDefault="00757A15" w:rsidP="00757A15">
            <w:pPr>
              <w:pStyle w:val="TableParagraph"/>
              <w:jc w:val="both"/>
              <w:rPr>
                <w:sz w:val="21"/>
              </w:rPr>
            </w:pPr>
            <w:r>
              <w:rPr>
                <w:sz w:val="21"/>
              </w:rPr>
              <w:t>资产评估报告</w:t>
            </w:r>
          </w:p>
        </w:tc>
      </w:tr>
      <w:tr w:rsidR="00757A15" w14:paraId="4A8BDE96" w14:textId="77777777" w:rsidTr="00757A15">
        <w:trPr>
          <w:trHeight w:val="632"/>
        </w:trPr>
        <w:tc>
          <w:tcPr>
            <w:tcW w:w="706" w:type="dxa"/>
            <w:vAlign w:val="center"/>
          </w:tcPr>
          <w:p w14:paraId="15F3D18D"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27</w:t>
            </w:r>
          </w:p>
        </w:tc>
        <w:tc>
          <w:tcPr>
            <w:tcW w:w="1163" w:type="dxa"/>
            <w:vMerge/>
          </w:tcPr>
          <w:p w14:paraId="45BADB66" w14:textId="77777777" w:rsidR="00757A15" w:rsidRDefault="00757A15" w:rsidP="00757A15">
            <w:pPr>
              <w:rPr>
                <w:sz w:val="2"/>
                <w:szCs w:val="2"/>
              </w:rPr>
            </w:pPr>
          </w:p>
        </w:tc>
        <w:tc>
          <w:tcPr>
            <w:tcW w:w="2420" w:type="dxa"/>
            <w:vAlign w:val="center"/>
          </w:tcPr>
          <w:p w14:paraId="3A5CA9EA" w14:textId="77777777" w:rsidR="00757A15" w:rsidRDefault="00757A15" w:rsidP="00757A15">
            <w:pPr>
              <w:pStyle w:val="TableParagraph"/>
              <w:jc w:val="both"/>
              <w:rPr>
                <w:sz w:val="21"/>
              </w:rPr>
            </w:pPr>
            <w:r>
              <w:rPr>
                <w:sz w:val="21"/>
              </w:rPr>
              <w:t>项目移交方案的编制</w:t>
            </w:r>
          </w:p>
        </w:tc>
        <w:tc>
          <w:tcPr>
            <w:tcW w:w="2367" w:type="dxa"/>
            <w:vAlign w:val="center"/>
          </w:tcPr>
          <w:p w14:paraId="6B1C0666" w14:textId="156BA0C8" w:rsidR="00757A15" w:rsidRDefault="00757A15" w:rsidP="00757A15">
            <w:pPr>
              <w:pStyle w:val="TableParagraph"/>
              <w:spacing w:before="20"/>
              <w:jc w:val="both"/>
              <w:rPr>
                <w:sz w:val="21"/>
              </w:rPr>
            </w:pPr>
            <w:r>
              <w:rPr>
                <w:sz w:val="21"/>
              </w:rPr>
              <w:t>项目实施机构或社会资本或项目公司</w:t>
            </w:r>
          </w:p>
        </w:tc>
        <w:tc>
          <w:tcPr>
            <w:tcW w:w="2476" w:type="dxa"/>
            <w:vAlign w:val="center"/>
          </w:tcPr>
          <w:p w14:paraId="673DD7C7" w14:textId="77777777" w:rsidR="00757A15" w:rsidRDefault="00757A15" w:rsidP="00757A15">
            <w:pPr>
              <w:pStyle w:val="TableParagraph"/>
              <w:jc w:val="both"/>
              <w:rPr>
                <w:sz w:val="21"/>
              </w:rPr>
            </w:pPr>
            <w:r>
              <w:rPr>
                <w:sz w:val="21"/>
              </w:rPr>
              <w:t>项目移交方案</w:t>
            </w:r>
          </w:p>
        </w:tc>
      </w:tr>
      <w:tr w:rsidR="00757A15" w14:paraId="14E6AB65" w14:textId="77777777" w:rsidTr="00757A15">
        <w:trPr>
          <w:trHeight w:val="316"/>
        </w:trPr>
        <w:tc>
          <w:tcPr>
            <w:tcW w:w="706" w:type="dxa"/>
            <w:vAlign w:val="center"/>
          </w:tcPr>
          <w:p w14:paraId="72E6EC8B" w14:textId="77777777" w:rsidR="00757A15" w:rsidRPr="00E714DB" w:rsidRDefault="00757A15" w:rsidP="00E714DB">
            <w:pPr>
              <w:pStyle w:val="13"/>
              <w:ind w:firstLineChars="0" w:firstLine="0"/>
              <w:jc w:val="center"/>
              <w:rPr>
                <w:sz w:val="21"/>
                <w:szCs w:val="21"/>
                <w:lang w:bidi="zh-CN"/>
              </w:rPr>
            </w:pPr>
            <w:r w:rsidRPr="00E714DB">
              <w:rPr>
                <w:sz w:val="21"/>
                <w:szCs w:val="21"/>
                <w:lang w:bidi="zh-CN"/>
              </w:rPr>
              <w:t>28</w:t>
            </w:r>
          </w:p>
        </w:tc>
        <w:tc>
          <w:tcPr>
            <w:tcW w:w="1163" w:type="dxa"/>
            <w:vMerge/>
          </w:tcPr>
          <w:p w14:paraId="200D7859" w14:textId="77777777" w:rsidR="00757A15" w:rsidRDefault="00757A15" w:rsidP="00757A15">
            <w:pPr>
              <w:rPr>
                <w:sz w:val="2"/>
                <w:szCs w:val="2"/>
              </w:rPr>
            </w:pPr>
          </w:p>
        </w:tc>
        <w:tc>
          <w:tcPr>
            <w:tcW w:w="2420" w:type="dxa"/>
            <w:vAlign w:val="center"/>
          </w:tcPr>
          <w:p w14:paraId="3FCEBEE1" w14:textId="77777777" w:rsidR="00757A15" w:rsidRDefault="00757A15" w:rsidP="00757A15">
            <w:pPr>
              <w:pStyle w:val="TableParagraph"/>
              <w:spacing w:before="18"/>
              <w:jc w:val="both"/>
              <w:rPr>
                <w:sz w:val="21"/>
              </w:rPr>
            </w:pPr>
            <w:r>
              <w:rPr>
                <w:sz w:val="21"/>
              </w:rPr>
              <w:t>项目绩效评价</w:t>
            </w:r>
          </w:p>
        </w:tc>
        <w:tc>
          <w:tcPr>
            <w:tcW w:w="2367" w:type="dxa"/>
            <w:vAlign w:val="center"/>
          </w:tcPr>
          <w:p w14:paraId="797DA1B0" w14:textId="77777777" w:rsidR="00757A15" w:rsidRDefault="00757A15" w:rsidP="00757A15">
            <w:pPr>
              <w:pStyle w:val="TableParagraph"/>
              <w:spacing w:before="18"/>
              <w:jc w:val="both"/>
              <w:rPr>
                <w:sz w:val="21"/>
              </w:rPr>
            </w:pPr>
            <w:r>
              <w:rPr>
                <w:sz w:val="21"/>
              </w:rPr>
              <w:t>政府或项目实施机构</w:t>
            </w:r>
          </w:p>
        </w:tc>
        <w:tc>
          <w:tcPr>
            <w:tcW w:w="2476" w:type="dxa"/>
            <w:vAlign w:val="center"/>
          </w:tcPr>
          <w:p w14:paraId="63B0E8FA" w14:textId="77777777" w:rsidR="00757A15" w:rsidRDefault="00757A15" w:rsidP="00757A15">
            <w:pPr>
              <w:pStyle w:val="TableParagraph"/>
              <w:spacing w:before="18"/>
              <w:jc w:val="both"/>
              <w:rPr>
                <w:sz w:val="21"/>
              </w:rPr>
            </w:pPr>
            <w:r>
              <w:rPr>
                <w:sz w:val="21"/>
              </w:rPr>
              <w:t>绩效评价报告</w:t>
            </w:r>
          </w:p>
        </w:tc>
      </w:tr>
    </w:tbl>
    <w:p w14:paraId="6A98CD27" w14:textId="101846CA" w:rsidR="00882ED4" w:rsidRDefault="007310CC" w:rsidP="00AF7342">
      <w:pPr>
        <w:pStyle w:val="a9"/>
        <w:spacing w:before="62" w:after="62"/>
      </w:pPr>
      <w:r w:rsidRPr="007310CC">
        <w:rPr>
          <w:rFonts w:hint="eastAsia"/>
        </w:rPr>
        <w:t>第二节</w:t>
      </w:r>
      <w:r w:rsidRPr="007310CC">
        <w:t xml:space="preserve"> 项目识别阶段相关业务基本操作要求</w:t>
      </w:r>
    </w:p>
    <w:p w14:paraId="2E3C1EE1" w14:textId="03EE2529" w:rsidR="00882ED4" w:rsidRPr="007310CC" w:rsidRDefault="007310CC" w:rsidP="004315CB">
      <w:pPr>
        <w:pStyle w:val="ab"/>
        <w:spacing w:before="62" w:after="62"/>
        <w:ind w:firstLine="482"/>
      </w:pPr>
      <w:r w:rsidRPr="007310CC">
        <w:rPr>
          <w:rFonts w:hint="eastAsia"/>
        </w:rPr>
        <w:t>一、项目发起及项目筛选咨询业务</w:t>
      </w:r>
    </w:p>
    <w:p w14:paraId="30CBD337" w14:textId="1663458F" w:rsidR="007310CC" w:rsidRDefault="007310CC" w:rsidP="007310CC">
      <w:pPr>
        <w:pStyle w:val="13"/>
      </w:pPr>
      <w:r>
        <w:rPr>
          <w:rFonts w:hint="eastAsia"/>
        </w:rPr>
        <w:t>评估机构在协助政府相关部门筛选</w:t>
      </w:r>
      <w:r w:rsidR="002B14BC">
        <w:t>PPP</w:t>
      </w:r>
      <w:r>
        <w:t>项目时，通常需要关注下列事项：</w:t>
      </w:r>
    </w:p>
    <w:p w14:paraId="3EAB4C1F" w14:textId="25DEF443" w:rsidR="007310CC" w:rsidRDefault="007310CC" w:rsidP="007310CC">
      <w:pPr>
        <w:pStyle w:val="13"/>
      </w:pPr>
      <w:r>
        <w:rPr>
          <w:rFonts w:hint="eastAsia"/>
        </w:rPr>
        <w:t>（一）</w:t>
      </w:r>
      <w:r w:rsidR="002B14BC">
        <w:t>PPP</w:t>
      </w:r>
      <w:r>
        <w:t>项目主要为基础设施或公共服务类项目，提供公共产品或公共服务，筛</w:t>
      </w:r>
      <w:r>
        <w:rPr>
          <w:rFonts w:hint="eastAsia"/>
        </w:rPr>
        <w:t>选时需要考虑项目本身与公共产品或公共服务需求之间的关系，设定的产出目标需要符合国家产业发展方向，并且与地方社会与经济发展实际状况以及需求相适应。</w:t>
      </w:r>
    </w:p>
    <w:p w14:paraId="4C940778" w14:textId="483F4BEC" w:rsidR="007310CC" w:rsidRDefault="007310CC" w:rsidP="007310CC">
      <w:pPr>
        <w:pStyle w:val="13"/>
      </w:pPr>
      <w:r>
        <w:rPr>
          <w:rFonts w:hint="eastAsia"/>
        </w:rPr>
        <w:t>（二）适宜采用</w:t>
      </w:r>
      <w:r>
        <w:t>PPP模式的项目，通常具有价格调整机制相对灵活、市场化程度相对较高、投资规模相对较大、需求长期稳定等特点。</w:t>
      </w:r>
    </w:p>
    <w:p w14:paraId="65EF6800" w14:textId="0AD68E9D" w:rsidR="007310CC" w:rsidRDefault="007310CC" w:rsidP="007310CC">
      <w:pPr>
        <w:pStyle w:val="13"/>
      </w:pPr>
      <w:r>
        <w:rPr>
          <w:rFonts w:hint="eastAsia"/>
        </w:rPr>
        <w:lastRenderedPageBreak/>
        <w:t>一般城市基础设施及公共服务领域项目可以采用</w:t>
      </w:r>
      <w:r>
        <w:t>PPP模式。</w:t>
      </w:r>
    </w:p>
    <w:p w14:paraId="2C75A6F0" w14:textId="77777777" w:rsidR="007310CC" w:rsidRDefault="007310CC" w:rsidP="007310CC">
      <w:pPr>
        <w:pStyle w:val="13"/>
      </w:pPr>
      <w:r>
        <w:rPr>
          <w:rFonts w:hint="eastAsia"/>
        </w:rPr>
        <w:t>（三）考虑公共产品或公共服务产出质量和数量的可衡量性，分析该产出标准制定的合理性，分析达到产出标准可能需要增加的边际成本，合理衡量成本和效益的关系。</w:t>
      </w:r>
    </w:p>
    <w:p w14:paraId="3891FDFC" w14:textId="39D8A51C" w:rsidR="007310CC" w:rsidRDefault="007310CC" w:rsidP="007310CC">
      <w:pPr>
        <w:pStyle w:val="13"/>
      </w:pPr>
      <w:r>
        <w:rPr>
          <w:rFonts w:hint="eastAsia"/>
        </w:rPr>
        <w:t>（四）政府和社会资本在</w:t>
      </w:r>
      <w:r w:rsidR="002B14BC">
        <w:t>PPP</w:t>
      </w:r>
      <w:r>
        <w:t>项目中建立长期稳定的合作伙伴关系，双方各尽其责、利益共享、风险共担。</w:t>
      </w:r>
      <w:r w:rsidR="002B14BC">
        <w:t>PPP</w:t>
      </w:r>
      <w:r>
        <w:t>项目的风险通常能够有效识别并能够在政府和社会资本之间合理分配。</w:t>
      </w:r>
    </w:p>
    <w:p w14:paraId="53C97A3F" w14:textId="01AB4E00" w:rsidR="007310CC" w:rsidRDefault="007310CC" w:rsidP="007310CC">
      <w:pPr>
        <w:pStyle w:val="13"/>
      </w:pPr>
      <w:r>
        <w:rPr>
          <w:rFonts w:hint="eastAsia"/>
        </w:rPr>
        <w:t>（五）适宜采用</w:t>
      </w:r>
      <w:r w:rsidR="002B14BC">
        <w:t>PPP</w:t>
      </w:r>
      <w:r>
        <w:t>模式的项目一般属于能源、交通运输、市政公用、水利、环境保护、农业、林业、科技、保障性安居工程、医疗、卫生、养老、教育、文化、体育等公共服务领域，具体分为五类：一是交通运输，包括公路、桥梁隧道、铁路、民航、水运、公交系统、物流系统等。二是市政公用事业，包括轨道交通、停车场、地下综合管廊、海绵城市建设、城市黑臭水体整治、市政路桥、供水、排水及污水处理、供气、供热、供电、园林绿化、垃圾处理、农村污水垃圾治理等。三是综合开发，包括城镇综合开发、环境综合治理、保障性安居工程、智慧城市等。四是农</w:t>
      </w:r>
      <w:r>
        <w:rPr>
          <w:rFonts w:hint="eastAsia"/>
        </w:rPr>
        <w:t>林水利与环境保护，包括农业、林业、水利领域的基础设施建设；大气、水、土壤等环境污染防治；湿地、森林、海洋等生态保护等。五是社会事业与其他，包括教育、科技、文化、旅游、医疗卫生、养老、体育等领域的基础设施和公共服务。</w:t>
      </w:r>
    </w:p>
    <w:p w14:paraId="7363AA96" w14:textId="77777777" w:rsidR="007310CC" w:rsidRPr="007310CC" w:rsidRDefault="007310CC" w:rsidP="004315CB">
      <w:pPr>
        <w:pStyle w:val="ab"/>
        <w:spacing w:before="62" w:after="62"/>
        <w:ind w:firstLine="482"/>
      </w:pPr>
      <w:r w:rsidRPr="007310CC">
        <w:rPr>
          <w:rFonts w:hint="eastAsia"/>
        </w:rPr>
        <w:t>二、新建项目尽职调查</w:t>
      </w:r>
    </w:p>
    <w:p w14:paraId="51942551" w14:textId="4C8991CE" w:rsidR="007310CC" w:rsidRDefault="007310CC" w:rsidP="007310CC">
      <w:pPr>
        <w:pStyle w:val="13"/>
      </w:pPr>
      <w:r>
        <w:rPr>
          <w:rFonts w:hint="eastAsia"/>
        </w:rPr>
        <w:t>评估机构参与新建项目尽职调查，能够为政府方或社会资本是否实施</w:t>
      </w:r>
      <w:r w:rsidR="002B14BC">
        <w:t>PPP</w:t>
      </w:r>
      <w:r>
        <w:t>项目提供决策参考。新建项目的尽职调查内容通常包括项目基本情况、项目背景、所在区域环境、项目实施的可行性、项目实</w:t>
      </w:r>
    </w:p>
    <w:p w14:paraId="3B6872C3" w14:textId="77777777" w:rsidR="007310CC" w:rsidRDefault="007310CC" w:rsidP="007310CC">
      <w:pPr>
        <w:pStyle w:val="13"/>
      </w:pPr>
      <w:r>
        <w:rPr>
          <w:rFonts w:hint="eastAsia"/>
        </w:rPr>
        <w:t>施主要内容、项目可融资性、项目市场调查及现金流测算、项目的付费机制及价格调整机制、相关配套安排、项目退出机制、项目可能面临的风险、项目实施对当地市场环境及对关联企业技术管理创新的影响等。</w:t>
      </w:r>
    </w:p>
    <w:p w14:paraId="3107709E" w14:textId="77777777" w:rsidR="007310CC" w:rsidRPr="007310CC" w:rsidRDefault="007310CC" w:rsidP="004315CB">
      <w:pPr>
        <w:pStyle w:val="ab"/>
        <w:spacing w:before="62" w:after="62"/>
        <w:ind w:firstLine="482"/>
      </w:pPr>
      <w:r w:rsidRPr="007310CC">
        <w:rPr>
          <w:rFonts w:hint="eastAsia"/>
        </w:rPr>
        <w:t>三、存量项目尽职调查</w:t>
      </w:r>
    </w:p>
    <w:p w14:paraId="3C33A86B" w14:textId="77777777" w:rsidR="007310CC" w:rsidRDefault="007310CC" w:rsidP="007310CC">
      <w:pPr>
        <w:pStyle w:val="13"/>
      </w:pPr>
      <w:r>
        <w:rPr>
          <w:rFonts w:hint="eastAsia"/>
        </w:rPr>
        <w:t>评估机构开展政府方或者社会资本委托的对存量项目进行尽职调查时，尽职调查内容包括项目基本情况、项目背景、所在区域环境、项目进展情况、项目历史投资及运营情况、项目实施主要内容、项目更新或重建的可行性、项目的可整合性和衔接风险、项目可融资性、项目市场调查及现金流测算、项目的付费机制及价格调整机制、相关配套安排、项目退出机制、项目可能面临的风险、项目实施对当地市场环境及对关联企业技术管理创新等。</w:t>
      </w:r>
    </w:p>
    <w:p w14:paraId="24D0F61A" w14:textId="77777777" w:rsidR="007310CC" w:rsidRPr="007310CC" w:rsidRDefault="007310CC" w:rsidP="004315CB">
      <w:pPr>
        <w:pStyle w:val="ab"/>
        <w:spacing w:before="62" w:after="62"/>
        <w:ind w:firstLine="482"/>
      </w:pPr>
      <w:r w:rsidRPr="007310CC">
        <w:rPr>
          <w:rFonts w:hint="eastAsia"/>
        </w:rPr>
        <w:t>四、编制项目初步实施方案或项目建议书</w:t>
      </w:r>
    </w:p>
    <w:p w14:paraId="7F7E0621" w14:textId="77777777" w:rsidR="007310CC" w:rsidRDefault="007310CC" w:rsidP="007310CC">
      <w:pPr>
        <w:pStyle w:val="13"/>
      </w:pPr>
      <w:r>
        <w:rPr>
          <w:rFonts w:hint="eastAsia"/>
        </w:rPr>
        <w:t>评估机构接受政府、项目实施机构的委托，通过收集相关法律法规、发展规划、</w:t>
      </w:r>
      <w:r>
        <w:rPr>
          <w:rFonts w:hint="eastAsia"/>
        </w:rPr>
        <w:lastRenderedPageBreak/>
        <w:t>批文、规范方案、可行性研究报告等相关资料，编制项目初步实施方案或者项目建议书。项目初步实施方案或者项目建议书一般要求内容完整、结论合理、语言简明扼要，其主要内容包括：</w:t>
      </w:r>
    </w:p>
    <w:p w14:paraId="20BE1328" w14:textId="77777777" w:rsidR="007310CC" w:rsidRDefault="007310CC" w:rsidP="007310CC">
      <w:pPr>
        <w:pStyle w:val="13"/>
      </w:pPr>
      <w:r>
        <w:rPr>
          <w:rFonts w:hint="eastAsia"/>
        </w:rPr>
        <w:t>（一）项目基本情况</w:t>
      </w:r>
    </w:p>
    <w:p w14:paraId="36F1A00D" w14:textId="77777777" w:rsidR="007310CC" w:rsidRDefault="007310CC" w:rsidP="007310CC">
      <w:pPr>
        <w:pStyle w:val="13"/>
      </w:pPr>
      <w:r>
        <w:rPr>
          <w:rFonts w:hint="eastAsia"/>
        </w:rPr>
        <w:t>项目名称、类型（新建或改建、扩建）、地点、项目规模与期限，项目建设目标、技术路线及实现途径等。</w:t>
      </w:r>
    </w:p>
    <w:p w14:paraId="6E95E73D" w14:textId="77777777" w:rsidR="007310CC" w:rsidRDefault="007310CC" w:rsidP="007310CC">
      <w:pPr>
        <w:pStyle w:val="13"/>
      </w:pPr>
      <w:r>
        <w:rPr>
          <w:rFonts w:hint="eastAsia"/>
        </w:rPr>
        <w:t>（二）项目产出说明</w:t>
      </w:r>
    </w:p>
    <w:p w14:paraId="07D50B2C" w14:textId="77777777" w:rsidR="007310CC" w:rsidRDefault="007310CC" w:rsidP="007310CC">
      <w:pPr>
        <w:pStyle w:val="13"/>
      </w:pPr>
      <w:r>
        <w:rPr>
          <w:rFonts w:hint="eastAsia"/>
        </w:rPr>
        <w:t>项目提供产品或服务的质量、数量、价格和标准、项目的可持续性、受</w:t>
      </w:r>
      <w:proofErr w:type="gramStart"/>
      <w:r>
        <w:rPr>
          <w:rFonts w:hint="eastAsia"/>
        </w:rPr>
        <w:t>众对象</w:t>
      </w:r>
      <w:proofErr w:type="gramEnd"/>
      <w:r>
        <w:rPr>
          <w:rFonts w:hint="eastAsia"/>
        </w:rPr>
        <w:t>或服务对象的数量与规模等。</w:t>
      </w:r>
    </w:p>
    <w:p w14:paraId="131A3BC7" w14:textId="77777777" w:rsidR="007310CC" w:rsidRDefault="007310CC" w:rsidP="007310CC">
      <w:pPr>
        <w:pStyle w:val="13"/>
      </w:pPr>
      <w:r>
        <w:rPr>
          <w:rFonts w:hint="eastAsia"/>
        </w:rPr>
        <w:t>（三）项目融资安排</w:t>
      </w:r>
    </w:p>
    <w:p w14:paraId="7073FBE2" w14:textId="77777777" w:rsidR="007310CC" w:rsidRDefault="007310CC" w:rsidP="007310CC">
      <w:pPr>
        <w:pStyle w:val="13"/>
      </w:pPr>
      <w:r>
        <w:rPr>
          <w:rFonts w:hint="eastAsia"/>
        </w:rPr>
        <w:t>项目总投资、资本构成、资产负债、股权结构、融资结构和主要融资成本等。</w:t>
      </w:r>
    </w:p>
    <w:p w14:paraId="2C930EF4" w14:textId="77777777" w:rsidR="007310CC" w:rsidRDefault="007310CC" w:rsidP="007310CC">
      <w:pPr>
        <w:pStyle w:val="13"/>
      </w:pPr>
      <w:r>
        <w:rPr>
          <w:rFonts w:hint="eastAsia"/>
        </w:rPr>
        <w:t>（四）项目前期工作及项目进度</w:t>
      </w:r>
    </w:p>
    <w:p w14:paraId="20B1783D" w14:textId="77777777" w:rsidR="007310CC" w:rsidRDefault="007310CC" w:rsidP="007310CC">
      <w:pPr>
        <w:pStyle w:val="13"/>
      </w:pPr>
      <w:r>
        <w:rPr>
          <w:rFonts w:hint="eastAsia"/>
        </w:rPr>
        <w:t>项目前期工作合</w:t>
      </w:r>
      <w:proofErr w:type="gramStart"/>
      <w:r>
        <w:rPr>
          <w:rFonts w:hint="eastAsia"/>
        </w:rPr>
        <w:t>规</w:t>
      </w:r>
      <w:proofErr w:type="gramEnd"/>
      <w:r>
        <w:rPr>
          <w:rFonts w:hint="eastAsia"/>
        </w:rPr>
        <w:t>性（可</w:t>
      </w:r>
      <w:proofErr w:type="gramStart"/>
      <w:r>
        <w:rPr>
          <w:rFonts w:hint="eastAsia"/>
        </w:rPr>
        <w:t>研</w:t>
      </w:r>
      <w:proofErr w:type="gramEnd"/>
      <w:r>
        <w:rPr>
          <w:rFonts w:hint="eastAsia"/>
        </w:rPr>
        <w:t>、环评、土地等）、所处进度（申报、设计、融资、采购、施工、运营）、时间安排。</w:t>
      </w:r>
    </w:p>
    <w:p w14:paraId="535E8E95" w14:textId="77777777" w:rsidR="007310CC" w:rsidRDefault="007310CC" w:rsidP="007310CC">
      <w:pPr>
        <w:pStyle w:val="13"/>
      </w:pPr>
      <w:r>
        <w:rPr>
          <w:rFonts w:hint="eastAsia"/>
        </w:rPr>
        <w:t>（五）项目可行性分析</w:t>
      </w:r>
    </w:p>
    <w:p w14:paraId="6D90BC79" w14:textId="77777777" w:rsidR="007310CC" w:rsidRDefault="007310CC" w:rsidP="007310CC">
      <w:pPr>
        <w:pStyle w:val="13"/>
      </w:pPr>
      <w:r>
        <w:rPr>
          <w:rFonts w:hint="eastAsia"/>
        </w:rPr>
        <w:t>项目政策环境、区域环境可行性分析，行业主管部门和融资方意愿，项目对社会资本的吸引力分析，物有所值评价，财政承受能力论证等。对于存量项目通常还关注债权人转换配合意愿及担保解除可能性。</w:t>
      </w:r>
    </w:p>
    <w:p w14:paraId="649B5FB2" w14:textId="77777777" w:rsidR="007310CC" w:rsidRDefault="007310CC" w:rsidP="007310CC">
      <w:pPr>
        <w:pStyle w:val="13"/>
      </w:pPr>
      <w:r>
        <w:rPr>
          <w:rFonts w:hint="eastAsia"/>
        </w:rPr>
        <w:t>（六）项目初步实施安排</w:t>
      </w:r>
    </w:p>
    <w:p w14:paraId="67312AA0" w14:textId="6D8449B2" w:rsidR="007310CC" w:rsidRDefault="007310CC" w:rsidP="007310CC">
      <w:pPr>
        <w:pStyle w:val="13"/>
      </w:pPr>
      <w:r>
        <w:rPr>
          <w:rFonts w:hint="eastAsia"/>
        </w:rPr>
        <w:t>社会资本选择方式、项目公司设立情况、政府和社会资本的权利义务、风险分担、</w:t>
      </w:r>
      <w:r w:rsidR="002B14BC">
        <w:t>PPP</w:t>
      </w:r>
      <w:r>
        <w:t>运作方式、投融资结构、政府配套安排、合同期限、收益回报方式、收费定价调整机制、政府现有支持安排、潜在社会资本情况等。</w:t>
      </w:r>
    </w:p>
    <w:p w14:paraId="643D2C24" w14:textId="77777777" w:rsidR="007310CC" w:rsidRDefault="007310CC" w:rsidP="007310CC">
      <w:pPr>
        <w:pStyle w:val="13"/>
      </w:pPr>
      <w:r>
        <w:rPr>
          <w:rFonts w:hint="eastAsia"/>
        </w:rPr>
        <w:t>（七）财务测算</w:t>
      </w:r>
    </w:p>
    <w:p w14:paraId="2391B2CC" w14:textId="77777777" w:rsidR="004315CB" w:rsidRDefault="007310CC" w:rsidP="007310CC">
      <w:pPr>
        <w:pStyle w:val="13"/>
      </w:pPr>
      <w:r>
        <w:rPr>
          <w:rFonts w:hint="eastAsia"/>
        </w:rPr>
        <w:t>投资回报测算、现金流量分析、项目财务状况、项目存续期间政府补贴情况等。</w:t>
      </w:r>
    </w:p>
    <w:p w14:paraId="19D35020" w14:textId="57925347" w:rsidR="007310CC" w:rsidRPr="004315CB" w:rsidRDefault="007310CC" w:rsidP="004315CB">
      <w:pPr>
        <w:pStyle w:val="ab"/>
        <w:spacing w:before="62" w:after="62"/>
        <w:ind w:firstLine="482"/>
      </w:pPr>
      <w:r w:rsidRPr="004315CB">
        <w:rPr>
          <w:rFonts w:hint="eastAsia"/>
        </w:rPr>
        <w:t>五、项目识别阶段的物有所值评价</w:t>
      </w:r>
    </w:p>
    <w:p w14:paraId="5AB59671" w14:textId="77777777" w:rsidR="007310CC" w:rsidRDefault="007310CC" w:rsidP="007310CC">
      <w:pPr>
        <w:pStyle w:val="13"/>
      </w:pPr>
      <w:r>
        <w:rPr>
          <w:rFonts w:hint="eastAsia"/>
        </w:rPr>
        <w:t>执行物有所值评价业务，通常需要明确委托方及项目实施机构、评价目的、评价对象、评价基准日、评价期间、评价依据、评价假设、评价方法、评价程序等要素。</w:t>
      </w:r>
    </w:p>
    <w:p w14:paraId="1662A393" w14:textId="364A5F92" w:rsidR="007310CC" w:rsidRDefault="007310CC" w:rsidP="007310CC">
      <w:pPr>
        <w:pStyle w:val="13"/>
      </w:pPr>
      <w:r>
        <w:rPr>
          <w:rFonts w:hint="eastAsia"/>
        </w:rPr>
        <w:t>项目识别阶段，物有所值评价方法包括定性评价法和定量评价法。物有所值定性评价，一般采用专家评判法，</w:t>
      </w:r>
      <w:proofErr w:type="gramStart"/>
      <w:r>
        <w:rPr>
          <w:rFonts w:hint="eastAsia"/>
        </w:rPr>
        <w:t>按评价</w:t>
      </w:r>
      <w:proofErr w:type="gramEnd"/>
      <w:r>
        <w:rPr>
          <w:rFonts w:hint="eastAsia"/>
        </w:rPr>
        <w:t>准备、组成专家组、设置评价指标、拟定评分标准、制作评价会议材料、召开专家组会议、形成定性评价结论等步骤进行实施。</w:t>
      </w:r>
    </w:p>
    <w:p w14:paraId="612A0AFA" w14:textId="753BD8EF" w:rsidR="007310CC" w:rsidRDefault="007310CC" w:rsidP="007310CC">
      <w:pPr>
        <w:pStyle w:val="13"/>
      </w:pPr>
      <w:r>
        <w:rPr>
          <w:rFonts w:hint="eastAsia"/>
        </w:rPr>
        <w:t>物有所值定量评价，是在假定采用</w:t>
      </w:r>
      <w:r w:rsidR="002B14BC">
        <w:t>PPP</w:t>
      </w:r>
      <w:r>
        <w:t>模式与政府传统投资方式产出绩效相同的前提下，对</w:t>
      </w:r>
      <w:proofErr w:type="gramStart"/>
      <w:r>
        <w:t>政府方净成本</w:t>
      </w:r>
      <w:proofErr w:type="gramEnd"/>
      <w:r>
        <w:t>的现值（</w:t>
      </w:r>
      <w:r w:rsidR="002B14BC">
        <w:t>PPP</w:t>
      </w:r>
      <w:r>
        <w:t>值）和公共部门比较值（PSC 值）进行比较，形成物有所值量值或物有所值指数，判断</w:t>
      </w:r>
      <w:r w:rsidR="002B14BC">
        <w:t>PPP</w:t>
      </w:r>
      <w:r>
        <w:t>模式能否降低项目全生命周期成本，认定通过或者未通过的定量评价方法。</w:t>
      </w:r>
    </w:p>
    <w:p w14:paraId="24F40B17" w14:textId="77777777" w:rsidR="007310CC" w:rsidRPr="004315CB" w:rsidRDefault="007310CC" w:rsidP="004315CB">
      <w:pPr>
        <w:pStyle w:val="ab"/>
        <w:spacing w:before="62" w:after="62"/>
        <w:ind w:firstLine="482"/>
      </w:pPr>
      <w:r w:rsidRPr="004315CB">
        <w:rPr>
          <w:rFonts w:hint="eastAsia"/>
        </w:rPr>
        <w:lastRenderedPageBreak/>
        <w:t>六、项目识别阶段的财政承受能力论证</w:t>
      </w:r>
    </w:p>
    <w:p w14:paraId="415A24E8" w14:textId="77777777" w:rsidR="007310CC" w:rsidRDefault="007310CC" w:rsidP="007310CC">
      <w:pPr>
        <w:pStyle w:val="13"/>
      </w:pPr>
      <w:r>
        <w:rPr>
          <w:rFonts w:hint="eastAsia"/>
        </w:rPr>
        <w:t>财政承受能力论证包括财政支出能力评估、行业和领域均衡性评估。</w:t>
      </w:r>
    </w:p>
    <w:p w14:paraId="3A46B0EC" w14:textId="77777777" w:rsidR="007310CC" w:rsidRDefault="007310CC" w:rsidP="007310CC">
      <w:pPr>
        <w:pStyle w:val="13"/>
      </w:pPr>
      <w:r>
        <w:rPr>
          <w:rFonts w:hint="eastAsia"/>
        </w:rPr>
        <w:t>执行财政承受能力论证业务，通常需要明确委托方和项目实施机构、论证对象、论证范围、论证期间、论证依据、论证假设、论证方法、论证程序等要素。</w:t>
      </w:r>
    </w:p>
    <w:p w14:paraId="44FE2301" w14:textId="514D3D21" w:rsidR="007310CC" w:rsidRDefault="007310CC" w:rsidP="007310CC">
      <w:pPr>
        <w:pStyle w:val="13"/>
      </w:pPr>
      <w:r>
        <w:rPr>
          <w:rFonts w:hint="eastAsia"/>
        </w:rPr>
        <w:t>对财政支出能力进行评估，是通过计算</w:t>
      </w:r>
      <w:r w:rsidR="002B14BC">
        <w:t>PPP</w:t>
      </w:r>
      <w:r>
        <w:t>项目全生命周期过程的财政支出责任的成本占同期论证对象财政预算支出规模的比例，形成各年度</w:t>
      </w:r>
      <w:r w:rsidR="002B14BC">
        <w:t>PPP</w:t>
      </w:r>
      <w:r>
        <w:t>项目的财政负担率，反映论证对象的财政支出能力。</w:t>
      </w:r>
    </w:p>
    <w:p w14:paraId="73D6A97E" w14:textId="4F274364" w:rsidR="00882ED4" w:rsidRDefault="007310CC" w:rsidP="007310CC">
      <w:pPr>
        <w:pStyle w:val="13"/>
      </w:pPr>
      <w:r>
        <w:rPr>
          <w:rFonts w:hint="eastAsia"/>
        </w:rPr>
        <w:t>对行业和领域均衡性进行评估，通常在划分</w:t>
      </w:r>
      <w:r w:rsidR="002B14BC">
        <w:t>PPP</w:t>
      </w:r>
      <w:r>
        <w:t>项目所处的行业和领域基础上采用定量和定性分析方法，计算各行业和领域的</w:t>
      </w:r>
      <w:r w:rsidR="002B14BC">
        <w:t>PPP</w:t>
      </w:r>
      <w:r>
        <w:t>项目集中度指数，反映行业和领域均衡性程度。</w:t>
      </w:r>
    </w:p>
    <w:p w14:paraId="1108AF2F" w14:textId="77777777" w:rsidR="004315CB" w:rsidRDefault="004315CB" w:rsidP="00AF7342">
      <w:pPr>
        <w:pStyle w:val="a9"/>
        <w:spacing w:before="62" w:after="62"/>
      </w:pPr>
      <w:r>
        <w:rPr>
          <w:rFonts w:hint="eastAsia"/>
        </w:rPr>
        <w:t>第三节</w:t>
      </w:r>
      <w:r>
        <w:t xml:space="preserve"> 项目准备阶段相关业务基本操作要求</w:t>
      </w:r>
    </w:p>
    <w:p w14:paraId="06631938" w14:textId="7EF8274D" w:rsidR="004315CB" w:rsidRPr="004315CB" w:rsidRDefault="004315CB" w:rsidP="004315CB">
      <w:pPr>
        <w:pStyle w:val="ab"/>
        <w:spacing w:before="62" w:after="62"/>
        <w:ind w:firstLine="482"/>
      </w:pPr>
      <w:r w:rsidRPr="004315CB">
        <w:t>一、项目实施方案的编制</w:t>
      </w:r>
    </w:p>
    <w:p w14:paraId="6AB9E603" w14:textId="15355B72" w:rsidR="004315CB" w:rsidRDefault="004315CB" w:rsidP="004315CB">
      <w:pPr>
        <w:pStyle w:val="13"/>
      </w:pPr>
      <w:r>
        <w:rPr>
          <w:rFonts w:hint="eastAsia"/>
        </w:rPr>
        <w:t>评估机构接受政府、项目实施机构的委托，通过收集相关资料，编制项目实施方案。项目实施方案的主要内容通常包括项目概况、风险分配框架、运作方式、交易结构、合同体系、监管架构、采购方式、财务测算等。</w:t>
      </w:r>
    </w:p>
    <w:p w14:paraId="78B9F441" w14:textId="77777777" w:rsidR="004315CB" w:rsidRPr="004315CB" w:rsidRDefault="004315CB" w:rsidP="004315CB">
      <w:pPr>
        <w:pStyle w:val="ab"/>
        <w:spacing w:before="62" w:after="62"/>
        <w:ind w:firstLine="482"/>
      </w:pPr>
      <w:r w:rsidRPr="004315CB">
        <w:rPr>
          <w:rFonts w:hint="eastAsia"/>
        </w:rPr>
        <w:t>二、项目准备阶段的物有所值评价</w:t>
      </w:r>
    </w:p>
    <w:p w14:paraId="10DC4DE3" w14:textId="77777777" w:rsidR="004315CB" w:rsidRDefault="004315CB" w:rsidP="004315CB">
      <w:pPr>
        <w:pStyle w:val="13"/>
      </w:pPr>
      <w:r>
        <w:rPr>
          <w:rFonts w:hint="eastAsia"/>
        </w:rPr>
        <w:t>项目准备阶段的物有所值评价方法和相关要求，与项目识别阶段的物有所值评价方法和相关要求一致。项目识别阶段已开展物有所值评价工作的，可在项目准备阶段根据影响物有所值结论因素的变化情况对项目识别阶段的物有所值报告进行调整。</w:t>
      </w:r>
    </w:p>
    <w:p w14:paraId="6EA4C312" w14:textId="77777777" w:rsidR="004315CB" w:rsidRPr="004315CB" w:rsidRDefault="004315CB" w:rsidP="004315CB">
      <w:pPr>
        <w:pStyle w:val="ab"/>
        <w:spacing w:before="62" w:after="62"/>
        <w:ind w:firstLine="482"/>
      </w:pPr>
      <w:r w:rsidRPr="004315CB">
        <w:rPr>
          <w:rFonts w:hint="eastAsia"/>
        </w:rPr>
        <w:t>三、项目准备阶段的财政承受能力论证</w:t>
      </w:r>
    </w:p>
    <w:p w14:paraId="41DC7FED" w14:textId="77777777" w:rsidR="004315CB" w:rsidRDefault="004315CB" w:rsidP="004315CB">
      <w:pPr>
        <w:pStyle w:val="13"/>
      </w:pPr>
      <w:r>
        <w:rPr>
          <w:rFonts w:hint="eastAsia"/>
        </w:rPr>
        <w:t>项目准备阶段的财政承受能力论证方法和相关要求，与项目识别阶段的财政承受能力论证方法和相关要求一致。项目识别阶段已开展财政承受能力论证工作的，在项目准备阶段，根据实际情况及项目准备阶段的物有所值评价结论，对项目识别阶段的财政承受能力论证报告进行调整。</w:t>
      </w:r>
    </w:p>
    <w:p w14:paraId="432480A3" w14:textId="77777777" w:rsidR="004315CB" w:rsidRPr="004315CB" w:rsidRDefault="004315CB" w:rsidP="004315CB">
      <w:pPr>
        <w:pStyle w:val="ab"/>
        <w:spacing w:before="62" w:after="62"/>
        <w:ind w:firstLine="482"/>
      </w:pPr>
      <w:r w:rsidRPr="004315CB">
        <w:rPr>
          <w:rFonts w:hint="eastAsia"/>
        </w:rPr>
        <w:t>四、项目实施方案的评价</w:t>
      </w:r>
    </w:p>
    <w:p w14:paraId="6A67C960" w14:textId="3597B849" w:rsidR="004315CB" w:rsidRDefault="004315CB" w:rsidP="004315CB">
      <w:pPr>
        <w:pStyle w:val="13"/>
      </w:pPr>
      <w:r>
        <w:rPr>
          <w:rFonts w:hint="eastAsia"/>
        </w:rPr>
        <w:t>评估机构接受政府、项目实施机构或社会资本的委托，对</w:t>
      </w:r>
      <w:r w:rsidR="002B14BC">
        <w:t>PPP</w:t>
      </w:r>
      <w:r>
        <w:t>项目实施方案进行评价。项目实施方案的评价，需要关注以下内容：</w:t>
      </w:r>
    </w:p>
    <w:p w14:paraId="2AA551C0" w14:textId="77777777" w:rsidR="004315CB" w:rsidRDefault="004315CB" w:rsidP="004315CB">
      <w:pPr>
        <w:pStyle w:val="13"/>
      </w:pPr>
      <w:r>
        <w:rPr>
          <w:rFonts w:hint="eastAsia"/>
        </w:rPr>
        <w:t>（一）项目概况</w:t>
      </w:r>
    </w:p>
    <w:p w14:paraId="233DFF7B" w14:textId="57BB6BBA" w:rsidR="004315CB" w:rsidRDefault="004315CB" w:rsidP="004315CB">
      <w:pPr>
        <w:pStyle w:val="13"/>
      </w:pPr>
      <w:r>
        <w:rPr>
          <w:rFonts w:hint="eastAsia"/>
        </w:rPr>
        <w:t>项目各参与方身份以及项目所涉及的领域是否符合国家和地方有关法律法规和规范性文件的要求；项目是否能够体现采用</w:t>
      </w:r>
      <w:r w:rsidR="002B14BC">
        <w:t>PPP</w:t>
      </w:r>
      <w:r>
        <w:t>模式的优势；项目是否经济可行、过程可行、社会效益良好；是否按照要求开展物有所值评价及财政承受能力论证，物有所值评价及财政承受能力论证关键数据及参数与实施方案等项目资料数据及参数是否一致；项目公司股权结构设置是否合理；注册资本金比例是否符合行业要求；融资</w:t>
      </w:r>
      <w:r>
        <w:lastRenderedPageBreak/>
        <w:t>贷款利率是否符合现行实际利率水平。</w:t>
      </w:r>
    </w:p>
    <w:p w14:paraId="1C7EC529" w14:textId="77777777" w:rsidR="004315CB" w:rsidRDefault="004315CB" w:rsidP="004315CB">
      <w:pPr>
        <w:pStyle w:val="13"/>
      </w:pPr>
      <w:r>
        <w:rPr>
          <w:rFonts w:hint="eastAsia"/>
        </w:rPr>
        <w:t>（二）风险分配框架</w:t>
      </w:r>
    </w:p>
    <w:p w14:paraId="465E8791" w14:textId="184A73EA" w:rsidR="004315CB" w:rsidRDefault="004315CB" w:rsidP="004315CB">
      <w:pPr>
        <w:pStyle w:val="13"/>
      </w:pPr>
      <w:r>
        <w:rPr>
          <w:rFonts w:hint="eastAsia"/>
        </w:rPr>
        <w:t>是否全部指出</w:t>
      </w:r>
      <w:r w:rsidR="002B14BC">
        <w:t>PPP</w:t>
      </w:r>
      <w:r>
        <w:t>项目全生命周期的</w:t>
      </w:r>
      <w:proofErr w:type="gramStart"/>
      <w:r>
        <w:t>的</w:t>
      </w:r>
      <w:proofErr w:type="gramEnd"/>
      <w:r>
        <w:t>主要风险；项目风险是否按照风险分配优化、风险收益对等和风险可控等原则，在政府和社会资本</w:t>
      </w:r>
      <w:proofErr w:type="gramStart"/>
      <w:r>
        <w:t>间合理</w:t>
      </w:r>
      <w:proofErr w:type="gramEnd"/>
      <w:r>
        <w:t>分配。</w:t>
      </w:r>
    </w:p>
    <w:p w14:paraId="33839F11" w14:textId="77777777" w:rsidR="004315CB" w:rsidRDefault="004315CB" w:rsidP="004315CB">
      <w:pPr>
        <w:pStyle w:val="13"/>
      </w:pPr>
      <w:r>
        <w:rPr>
          <w:rFonts w:hint="eastAsia"/>
        </w:rPr>
        <w:t>（三）项目运作方式</w:t>
      </w:r>
    </w:p>
    <w:p w14:paraId="5B7A1D66" w14:textId="77777777" w:rsidR="004315CB" w:rsidRDefault="004315CB" w:rsidP="004315CB">
      <w:pPr>
        <w:pStyle w:val="13"/>
      </w:pPr>
      <w:r>
        <w:rPr>
          <w:rFonts w:hint="eastAsia"/>
        </w:rPr>
        <w:t>项目运作方式的选择是否合理，依据是否充分；项目方案各个环节是否能够合理体现所选择项目运行方式的主要特点。</w:t>
      </w:r>
    </w:p>
    <w:p w14:paraId="76C6C42B" w14:textId="77777777" w:rsidR="004315CB" w:rsidRDefault="004315CB" w:rsidP="004315CB">
      <w:pPr>
        <w:pStyle w:val="13"/>
      </w:pPr>
      <w:r>
        <w:rPr>
          <w:rFonts w:hint="eastAsia"/>
        </w:rPr>
        <w:t>（四）交易结构</w:t>
      </w:r>
    </w:p>
    <w:p w14:paraId="2EED2EFE" w14:textId="77777777" w:rsidR="004315CB" w:rsidRDefault="004315CB" w:rsidP="004315CB">
      <w:pPr>
        <w:pStyle w:val="13"/>
      </w:pPr>
      <w:r>
        <w:rPr>
          <w:rFonts w:hint="eastAsia"/>
        </w:rPr>
        <w:t>是否设置中期调价机制；是否对调价触发条件进行了详细的说明；是否明确了调价机制运作的整个过程；调价机制是否存在免除社会资本风险的可能性；是否建立了合理的绩效考核机制及绩效指标；项目建设的配套条件、土地、水电、交通等是否具备，如果不具备是否考虑了恰当的安排并明确了相关配套责任。</w:t>
      </w:r>
    </w:p>
    <w:p w14:paraId="5C30922D" w14:textId="77777777" w:rsidR="004315CB" w:rsidRDefault="004315CB" w:rsidP="004315CB">
      <w:pPr>
        <w:pStyle w:val="13"/>
      </w:pPr>
      <w:r>
        <w:rPr>
          <w:rFonts w:hint="eastAsia"/>
        </w:rPr>
        <w:t>（五）合同体系</w:t>
      </w:r>
    </w:p>
    <w:p w14:paraId="4E64A243" w14:textId="77777777" w:rsidR="004315CB" w:rsidRDefault="004315CB" w:rsidP="004315CB">
      <w:pPr>
        <w:pStyle w:val="13"/>
      </w:pPr>
      <w:r>
        <w:rPr>
          <w:rFonts w:hint="eastAsia"/>
        </w:rPr>
        <w:t>项目合同体系的建立是否完整；交易条件边界、履约保障边界、调整衔接边界是否明确并且合理界定；是否设置保底承诺、回购安排等变相融资条件；对于涉及公共安全和公共利益的重大事项，政府是否拥有一票否决权或由全体股东一致决议，是否合理限制了社会资本股权退出机制。</w:t>
      </w:r>
    </w:p>
    <w:p w14:paraId="05B1BCFC" w14:textId="77777777" w:rsidR="004315CB" w:rsidRDefault="004315CB" w:rsidP="004315CB">
      <w:pPr>
        <w:pStyle w:val="13"/>
      </w:pPr>
      <w:r>
        <w:rPr>
          <w:rFonts w:hint="eastAsia"/>
        </w:rPr>
        <w:t>（六）监管架构</w:t>
      </w:r>
    </w:p>
    <w:p w14:paraId="0EABBE75" w14:textId="77777777" w:rsidR="004315CB" w:rsidRDefault="004315CB" w:rsidP="004315CB">
      <w:pPr>
        <w:pStyle w:val="13"/>
      </w:pPr>
      <w:r>
        <w:rPr>
          <w:rFonts w:hint="eastAsia"/>
        </w:rPr>
        <w:t>监管架构的设置是否合理；监管机制是否可行；是否考虑了公众的知情权；对涉及重大公共利益的产品或服务价格是否考虑了适当的监管；是否考虑对可能危害公共利益情形的监管及发生时的处置预案。</w:t>
      </w:r>
    </w:p>
    <w:p w14:paraId="6DB636BD" w14:textId="77777777" w:rsidR="004315CB" w:rsidRDefault="004315CB" w:rsidP="004315CB">
      <w:pPr>
        <w:pStyle w:val="13"/>
      </w:pPr>
      <w:r>
        <w:rPr>
          <w:rFonts w:hint="eastAsia"/>
        </w:rPr>
        <w:t>（七）采购方式选择</w:t>
      </w:r>
    </w:p>
    <w:p w14:paraId="025EDF42" w14:textId="77777777" w:rsidR="004315CB" w:rsidRDefault="004315CB" w:rsidP="004315CB">
      <w:pPr>
        <w:pStyle w:val="13"/>
      </w:pPr>
      <w:r>
        <w:rPr>
          <w:rFonts w:hint="eastAsia"/>
        </w:rPr>
        <w:t>是否根据项目实际情况及特点合理选择恰当的采购方式；是否符合相关法律法规。</w:t>
      </w:r>
    </w:p>
    <w:p w14:paraId="0CA79E5A" w14:textId="77777777" w:rsidR="004315CB" w:rsidRDefault="004315CB" w:rsidP="004315CB">
      <w:pPr>
        <w:pStyle w:val="13"/>
      </w:pPr>
      <w:r>
        <w:rPr>
          <w:rFonts w:hint="eastAsia"/>
        </w:rPr>
        <w:t>（八）财务测算</w:t>
      </w:r>
    </w:p>
    <w:p w14:paraId="15729F18" w14:textId="77777777" w:rsidR="004315CB" w:rsidRDefault="004315CB" w:rsidP="004315CB">
      <w:pPr>
        <w:pStyle w:val="13"/>
      </w:pPr>
      <w:r>
        <w:rPr>
          <w:rFonts w:hint="eastAsia"/>
        </w:rPr>
        <w:t>财务测算方法是否合理，参数选择是否正确，预测是否符合逻辑与客观事实，预测基础数据是否真实可靠，财务分析方法是否合适，计算是否错误等。还需要关注财务测算、财务安排、绩效付费所对应的财务安排体系，是否有利于社会资本发挥创造性，使其实际利润水平与经营水平直接相关，而非完全取决政府付费安排。</w:t>
      </w:r>
    </w:p>
    <w:p w14:paraId="4F684726" w14:textId="77777777" w:rsidR="004315CB" w:rsidRDefault="004315CB" w:rsidP="00AF7342">
      <w:pPr>
        <w:pStyle w:val="a9"/>
        <w:spacing w:before="62" w:after="62"/>
      </w:pPr>
      <w:r>
        <w:rPr>
          <w:rFonts w:hint="eastAsia"/>
        </w:rPr>
        <w:t>第四节</w:t>
      </w:r>
      <w:r>
        <w:t xml:space="preserve"> 项目采购阶段相关业务基本操作要求</w:t>
      </w:r>
    </w:p>
    <w:p w14:paraId="694E0F42" w14:textId="3B01CED3" w:rsidR="004315CB" w:rsidRPr="004315CB" w:rsidRDefault="004315CB" w:rsidP="004315CB">
      <w:pPr>
        <w:pStyle w:val="ab"/>
        <w:spacing w:before="62" w:after="62"/>
        <w:ind w:firstLine="482"/>
      </w:pPr>
      <w:r w:rsidRPr="004315CB">
        <w:t>一、协助政府对社会资本进行资格预审</w:t>
      </w:r>
    </w:p>
    <w:p w14:paraId="72AC46BB" w14:textId="6CEF178C" w:rsidR="004315CB" w:rsidRDefault="004315CB" w:rsidP="004315CB">
      <w:pPr>
        <w:pStyle w:val="13"/>
      </w:pPr>
      <w:r>
        <w:rPr>
          <w:rFonts w:hint="eastAsia"/>
        </w:rPr>
        <w:t>评估机构协助政府或项目实施机构开展</w:t>
      </w:r>
      <w:r w:rsidR="002B14BC">
        <w:t>PPP</w:t>
      </w:r>
      <w:r>
        <w:t>项目的资格预审工作时，通常关注下列事项：</w:t>
      </w:r>
    </w:p>
    <w:p w14:paraId="56225DBB" w14:textId="77777777" w:rsidR="004315CB" w:rsidRDefault="004315CB" w:rsidP="004315CB">
      <w:pPr>
        <w:pStyle w:val="13"/>
      </w:pPr>
      <w:r>
        <w:rPr>
          <w:rFonts w:hint="eastAsia"/>
        </w:rPr>
        <w:t>（一）项目资格预审主要内容包括申请人的承包能力、业绩、资格和资质、历史</w:t>
      </w:r>
      <w:r>
        <w:rPr>
          <w:rFonts w:hint="eastAsia"/>
        </w:rPr>
        <w:lastRenderedPageBreak/>
        <w:t>工程情况、财务状况和信誉等。</w:t>
      </w:r>
    </w:p>
    <w:p w14:paraId="0874BC1D" w14:textId="6E7E561E" w:rsidR="004315CB" w:rsidRDefault="004315CB" w:rsidP="004315CB">
      <w:pPr>
        <w:pStyle w:val="13"/>
      </w:pPr>
      <w:r>
        <w:rPr>
          <w:rFonts w:hint="eastAsia"/>
        </w:rPr>
        <w:t>（二）项目预审程序包括准备资格预审文件、发布资格预审公告、邀请社会资本和与其合作的金融机构参与资格预审、验证项目能否获得社会资本响应和实现充分竞争等过程。</w:t>
      </w:r>
    </w:p>
    <w:p w14:paraId="01614BBA" w14:textId="290B2E7F" w:rsidR="004315CB" w:rsidRDefault="004315CB" w:rsidP="004315CB">
      <w:pPr>
        <w:pStyle w:val="13"/>
      </w:pPr>
      <w:r>
        <w:rPr>
          <w:rFonts w:hint="eastAsia"/>
        </w:rPr>
        <w:t>（三）《资格预审文件》内容包括投标申请人资格预审须知和投标申请人资格预审申请书两部分。投标申请人资格预审须知包括申请人资格条件及要求、投标申请人向招标人提供充分和有效的证明材料及材料要求、费用承担的声明、招标人对联合体的要求、资格预审文件澄清和修改的规定、资格预审申请文件的编制和提交要求、资格预审申请文件的审查声明、通知和确认的相关要求、招标</w:t>
      </w:r>
      <w:r w:rsidR="002B14BC">
        <w:t>PPP</w:t>
      </w:r>
      <w:r>
        <w:t>项目概况或者招标</w:t>
      </w:r>
      <w:r w:rsidR="002B14BC">
        <w:t>PPP</w:t>
      </w:r>
      <w:r>
        <w:t>项目工程概况、资格预审合格性评审标准、《评审内容和标准》及有关说明。投标申请人资格预审申请书是向投标人提供的资格预审申请的模本。</w:t>
      </w:r>
    </w:p>
    <w:p w14:paraId="0CA2D1F9" w14:textId="77777777" w:rsidR="004315CB" w:rsidRDefault="004315CB" w:rsidP="004315CB">
      <w:pPr>
        <w:pStyle w:val="13"/>
      </w:pPr>
      <w:r>
        <w:rPr>
          <w:rFonts w:hint="eastAsia"/>
        </w:rPr>
        <w:t>（四）资格预审公告一般包括项目授权主体、项目实施机构和项目名称、采购需求、对社会资本的资格要求、是否允许联合体参与采购活动、是否限定参与竞争的合格社会资本的数量及限定的方法和标准、以及社会资本提交资格预审申请文件的时间和地点。</w:t>
      </w:r>
    </w:p>
    <w:p w14:paraId="5D5E0829" w14:textId="77777777" w:rsidR="004315CB" w:rsidRDefault="004315CB" w:rsidP="004315CB">
      <w:pPr>
        <w:pStyle w:val="13"/>
      </w:pPr>
      <w:r>
        <w:rPr>
          <w:rFonts w:hint="eastAsia"/>
        </w:rPr>
        <w:t>（五）一般资格预审申请书包含资格预审申请函、法定代表人身份证明、授权委托书、申请人基本情况表、近年财务状况表、近年完成的类似项目情况表、正在施工的和新承接的项目情况表、近年发生的诉讼及仲裁情况和其他材料等。</w:t>
      </w:r>
    </w:p>
    <w:p w14:paraId="7B6BF5E7" w14:textId="77777777" w:rsidR="004315CB" w:rsidRDefault="004315CB" w:rsidP="004315CB">
      <w:pPr>
        <w:pStyle w:val="13"/>
      </w:pPr>
      <w:r>
        <w:rPr>
          <w:rFonts w:hint="eastAsia"/>
        </w:rPr>
        <w:t>（六）资格预审评审阶段需要考察投标人的技术能力与财务能力。资格预审评审报告中需要写明项目的概况、资格预审文件发售及递交情况、资格预审审查情况、资格预审审查结果。其它相关信息，如项目实施负责人、招标代理确认等可作为附件。</w:t>
      </w:r>
    </w:p>
    <w:p w14:paraId="77C5A1BD" w14:textId="77777777" w:rsidR="004315CB" w:rsidRPr="004315CB" w:rsidRDefault="004315CB" w:rsidP="004315CB">
      <w:pPr>
        <w:pStyle w:val="ab"/>
        <w:spacing w:before="62" w:after="62"/>
        <w:ind w:firstLine="482"/>
      </w:pPr>
      <w:r w:rsidRPr="004315CB">
        <w:rPr>
          <w:rFonts w:hint="eastAsia"/>
        </w:rPr>
        <w:t>二、协助政府制定项目采购文件</w:t>
      </w:r>
    </w:p>
    <w:p w14:paraId="2D3F9934" w14:textId="372C8044" w:rsidR="004315CB" w:rsidRDefault="004315CB" w:rsidP="004315CB">
      <w:pPr>
        <w:pStyle w:val="13"/>
      </w:pPr>
      <w:r>
        <w:rPr>
          <w:rFonts w:hint="eastAsia"/>
        </w:rPr>
        <w:t>评估机构协助政府或项目实施机构制定项目采购文件时，应该根据《中华人民共和国政府采购法》、《中华人民共和国政府采购法实施条例》、《政府和社会资本合作项目政府采购管理办法》（财库〔</w:t>
      </w:r>
      <w:r>
        <w:t>2014〕215号）、《政府采购竞争性磋商采购方式管理暂行办法》</w:t>
      </w:r>
      <w:r>
        <w:rPr>
          <w:rFonts w:hint="eastAsia"/>
        </w:rPr>
        <w:t>（财库〔</w:t>
      </w:r>
      <w:r>
        <w:t>2014〕214号）的具体要求，结合项目实施方案、物有所值评价报告及财政承受能力论证报告等具体内容进行编写。</w:t>
      </w:r>
    </w:p>
    <w:p w14:paraId="7BE53A07" w14:textId="77777777" w:rsidR="004315CB" w:rsidRPr="004315CB" w:rsidRDefault="004315CB" w:rsidP="004315CB">
      <w:pPr>
        <w:pStyle w:val="ab"/>
        <w:spacing w:before="62" w:after="62"/>
        <w:ind w:firstLine="482"/>
      </w:pPr>
      <w:r w:rsidRPr="004315CB">
        <w:rPr>
          <w:rFonts w:hint="eastAsia"/>
        </w:rPr>
        <w:t>三、协助社会资本制定项目响应文件</w:t>
      </w:r>
    </w:p>
    <w:p w14:paraId="23F00C17" w14:textId="77777777" w:rsidR="004315CB" w:rsidRDefault="004315CB" w:rsidP="004315CB">
      <w:pPr>
        <w:pStyle w:val="13"/>
      </w:pPr>
      <w:r>
        <w:rPr>
          <w:rFonts w:hint="eastAsia"/>
        </w:rPr>
        <w:t>评估机构协助社会资本制定项目响应文件时，重点关注下列事项：</w:t>
      </w:r>
    </w:p>
    <w:p w14:paraId="4B0C9769" w14:textId="77777777" w:rsidR="004315CB" w:rsidRDefault="004315CB" w:rsidP="004315CB">
      <w:pPr>
        <w:pStyle w:val="13"/>
      </w:pPr>
      <w:r>
        <w:rPr>
          <w:rFonts w:hint="eastAsia"/>
        </w:rPr>
        <w:t>（一）响应文件需要客观体现社会资本的实力和信誉状况、投标报价竞争力及社会资本方对招标文件响应程度。</w:t>
      </w:r>
    </w:p>
    <w:p w14:paraId="4E19D840" w14:textId="7FBAAA84" w:rsidR="004315CB" w:rsidRDefault="004315CB" w:rsidP="004315CB">
      <w:pPr>
        <w:pStyle w:val="13"/>
      </w:pPr>
      <w:r>
        <w:rPr>
          <w:rFonts w:hint="eastAsia"/>
        </w:rPr>
        <w:t>（二）响应文件需要内容完整，通常包含全部采购文件要求的资料。商务部分主要包括：投标函、法人代表委托书、法人代表及代理人身份证明、报价表、商务偏离</w:t>
      </w:r>
      <w:r>
        <w:rPr>
          <w:rFonts w:hint="eastAsia"/>
        </w:rPr>
        <w:lastRenderedPageBreak/>
        <w:t>表、社会资本简介及资质、招标文件响应书、服务承诺书、质量承诺书、社会资本业绩等。施工方面的项目通常还需要包括：公司人员岗位设置及职责、公司人员职称及岗位、具体工程人员责任及岗位、人员资质、公司施工的资质等。技术部分主要包括：项目简介、设计说明、具体产出说明、服务方案、培训方案等。施工方面的项目还需要包括：施工方案、施工人员进场计划、施工组织实施方案、离场验收等。</w:t>
      </w:r>
    </w:p>
    <w:p w14:paraId="5089F2AE" w14:textId="77777777" w:rsidR="004315CB" w:rsidRPr="004315CB" w:rsidRDefault="004315CB" w:rsidP="004315CB">
      <w:pPr>
        <w:pStyle w:val="ab"/>
        <w:spacing w:before="62" w:after="62"/>
        <w:ind w:firstLine="482"/>
      </w:pPr>
      <w:r w:rsidRPr="004315CB">
        <w:rPr>
          <w:rFonts w:hint="eastAsia"/>
        </w:rPr>
        <w:t>四、对社会资本尽职调查</w:t>
      </w:r>
    </w:p>
    <w:p w14:paraId="572FD879" w14:textId="321211ED" w:rsidR="004315CB" w:rsidRDefault="004315CB" w:rsidP="004315CB">
      <w:pPr>
        <w:pStyle w:val="13"/>
      </w:pPr>
      <w:r>
        <w:rPr>
          <w:rFonts w:hint="eastAsia"/>
        </w:rPr>
        <w:t>评估机构开展政府或项目实施机构委托的对社会资本进行尽职调查时，通常重点对</w:t>
      </w:r>
      <w:r>
        <w:t xml:space="preserve"> 社会资本的经营业绩、财务状况、管理能力、管理团队稳定性、投资偏好、资金实力、运营能力等进行全面深入的调查，从而分析与确定其实施</w:t>
      </w:r>
      <w:r w:rsidR="002B14BC">
        <w:t>PPP</w:t>
      </w:r>
      <w:r>
        <w:t>项目的综合能力。财务状况调查中应注意影响社会资本融资能力的主要因素，必要时对主要因素进行敏感性分析</w:t>
      </w:r>
      <w:r w:rsidR="003068F8">
        <w:t>，</w:t>
      </w:r>
      <w:r>
        <w:t>以确认社会资本在未来投资过程中是否能够保证稳定的资金来源。</w:t>
      </w:r>
    </w:p>
    <w:p w14:paraId="61907CF0" w14:textId="77777777" w:rsidR="004315CB" w:rsidRDefault="004315CB" w:rsidP="004315CB">
      <w:pPr>
        <w:pStyle w:val="ab"/>
        <w:spacing w:before="62" w:after="62"/>
        <w:ind w:firstLine="482"/>
      </w:pPr>
      <w:r>
        <w:rPr>
          <w:rFonts w:hint="eastAsia"/>
        </w:rPr>
        <w:t>五、参与合同体系构建</w:t>
      </w:r>
    </w:p>
    <w:p w14:paraId="7F15DB00" w14:textId="7D05651C" w:rsidR="004315CB" w:rsidRDefault="004315CB" w:rsidP="004315CB">
      <w:pPr>
        <w:pStyle w:val="13"/>
      </w:pPr>
      <w:r>
        <w:rPr>
          <w:rFonts w:hint="eastAsia"/>
        </w:rPr>
        <w:t>评估机构在协助政府或项目实施机构、社会资本方构建</w:t>
      </w:r>
      <w:r w:rsidR="002B14BC">
        <w:t>PPP</w:t>
      </w:r>
      <w:r>
        <w:t>项目合同体系及签订合同时，通常需要根据项目采购文件、报价响应文件、项目实施方案、项目规划及物有所值评价报告、财政承受能力论证报告等，确定并关注项目参与各方的具体权利与义务</w:t>
      </w:r>
      <w:r w:rsidR="003068F8">
        <w:t>，</w:t>
      </w:r>
      <w:r>
        <w:t>合理构建合同的体系与内容。</w:t>
      </w:r>
    </w:p>
    <w:p w14:paraId="047F8AB6" w14:textId="77777777" w:rsidR="004315CB" w:rsidRDefault="004315CB" w:rsidP="004315CB">
      <w:pPr>
        <w:pStyle w:val="ab"/>
        <w:spacing w:before="62" w:after="62"/>
        <w:ind w:firstLine="482"/>
      </w:pPr>
      <w:r>
        <w:rPr>
          <w:rFonts w:hint="eastAsia"/>
        </w:rPr>
        <w:t>六、项目采购阶段的物有所值评价</w:t>
      </w:r>
    </w:p>
    <w:p w14:paraId="2BF91766" w14:textId="77777777" w:rsidR="004315CB" w:rsidRDefault="004315CB" w:rsidP="004315CB">
      <w:pPr>
        <w:pStyle w:val="13"/>
      </w:pPr>
      <w:r>
        <w:rPr>
          <w:rFonts w:hint="eastAsia"/>
        </w:rPr>
        <w:t>项目采购阶段通常采用定量评价方法开展物有所值评价。</w:t>
      </w:r>
    </w:p>
    <w:p w14:paraId="0E036F23" w14:textId="1B365AE2" w:rsidR="004315CB" w:rsidRDefault="004315CB" w:rsidP="004315CB">
      <w:pPr>
        <w:pStyle w:val="13"/>
      </w:pPr>
      <w:r>
        <w:rPr>
          <w:rFonts w:hint="eastAsia"/>
        </w:rPr>
        <w:t>项目采购阶段的</w:t>
      </w:r>
      <w:r w:rsidR="002B14BC">
        <w:t>PPP</w:t>
      </w:r>
      <w:r>
        <w:t>值包括实际报价</w:t>
      </w:r>
      <w:r w:rsidR="002B14BC">
        <w:t>PPP</w:t>
      </w:r>
      <w:r>
        <w:t>值和中标</w:t>
      </w:r>
      <w:r w:rsidR="002B14BC">
        <w:t>PPP</w:t>
      </w:r>
      <w:r>
        <w:t>值。实际报价</w:t>
      </w:r>
      <w:r w:rsidR="002B14BC">
        <w:t>PPP</w:t>
      </w:r>
      <w:r>
        <w:t>值是基于采购响应文件测算的在股权投资、运营补贴、风险承担、配套投入等方面的财政支出责任的现值。实际报价</w:t>
      </w:r>
      <w:r w:rsidR="002B14BC">
        <w:t>PPP</w:t>
      </w:r>
      <w:r>
        <w:t>值中政府各类支出责任的测算方法与项目识别和准备阶段</w:t>
      </w:r>
      <w:r w:rsidR="002B14BC">
        <w:t>PPP</w:t>
      </w:r>
      <w:r>
        <w:t>值的测算方法相似，但相关指标、参数应根据采购响应文件进行取值。中标</w:t>
      </w:r>
      <w:r w:rsidR="002B14BC">
        <w:t>PPP</w:t>
      </w:r>
      <w:r>
        <w:t>值是基于采购结果测算的在股权投资、运营补贴、风险承担、配套投入等方面的财政支出责任的现值。中标</w:t>
      </w:r>
      <w:r w:rsidR="002B14BC">
        <w:t>PPP</w:t>
      </w:r>
      <w:r>
        <w:t>值中政府各类支出责任的测算方法与项目识别和准备阶段</w:t>
      </w:r>
      <w:r w:rsidR="002B14BC">
        <w:t>PPP</w:t>
      </w:r>
      <w:r>
        <w:t>值的测算方法相</w:t>
      </w:r>
      <w:r>
        <w:rPr>
          <w:rFonts w:hint="eastAsia"/>
        </w:rPr>
        <w:t>似，但相关指标、参数应根据采购结果及</w:t>
      </w:r>
      <w:r w:rsidR="002B14BC">
        <w:t>PPP</w:t>
      </w:r>
      <w:r>
        <w:t>项目合同等文件进行取值。</w:t>
      </w:r>
    </w:p>
    <w:p w14:paraId="6703114F" w14:textId="7C68B911" w:rsidR="004315CB" w:rsidRDefault="004315CB" w:rsidP="004315CB">
      <w:pPr>
        <w:pStyle w:val="13"/>
      </w:pPr>
      <w:r>
        <w:rPr>
          <w:rFonts w:hint="eastAsia"/>
        </w:rPr>
        <w:t>项目采购阶段</w:t>
      </w:r>
      <w:r>
        <w:t xml:space="preserve"> PSC 值的计算依据通常与项目识别阶段的 PSC 值的计算依据一致</w:t>
      </w:r>
      <w:r w:rsidR="003068F8">
        <w:t>，</w:t>
      </w:r>
      <w:r>
        <w:t>但计算项目采购阶段</w:t>
      </w:r>
      <w:r w:rsidR="002B14BC">
        <w:t>PPP</w:t>
      </w:r>
      <w:r>
        <w:t>值所依据项目范围、资产边界、可用性服务数量、合作周期、</w:t>
      </w:r>
      <w:r>
        <w:rPr>
          <w:rFonts w:hint="eastAsia"/>
        </w:rPr>
        <w:t>折现率等参数发生变更的，</w:t>
      </w:r>
      <w:r>
        <w:t>PSC 值也应相应调整。项目采购阶段的 PSC 值与项目采购阶段的</w:t>
      </w:r>
      <w:r w:rsidR="002B14BC">
        <w:t>PPP</w:t>
      </w:r>
      <w:r>
        <w:t>值在项目范围、资产边界、可用性服务数量、实质性采购内容的变更、合作周期、折现率等参数的取值应当保持一致。</w:t>
      </w:r>
    </w:p>
    <w:p w14:paraId="2FE03D82" w14:textId="77777777" w:rsidR="004315CB" w:rsidRDefault="004315CB" w:rsidP="00AF7342">
      <w:pPr>
        <w:pStyle w:val="a9"/>
        <w:spacing w:before="62" w:after="62"/>
      </w:pPr>
      <w:r>
        <w:rPr>
          <w:rFonts w:hint="eastAsia"/>
        </w:rPr>
        <w:lastRenderedPageBreak/>
        <w:t>第五节</w:t>
      </w:r>
      <w:r>
        <w:t xml:space="preserve"> 项目执行阶段相关业务基本操作要求</w:t>
      </w:r>
    </w:p>
    <w:p w14:paraId="7BBBEF11" w14:textId="0958D496" w:rsidR="004315CB" w:rsidRDefault="004315CB" w:rsidP="004315CB">
      <w:pPr>
        <w:pStyle w:val="ab"/>
        <w:spacing w:before="62" w:after="62"/>
        <w:ind w:firstLine="482"/>
      </w:pPr>
      <w:r>
        <w:t>一、协助设立项目公司</w:t>
      </w:r>
    </w:p>
    <w:p w14:paraId="73CF6A8A" w14:textId="77777777" w:rsidR="004315CB" w:rsidRDefault="004315CB" w:rsidP="004315CB">
      <w:pPr>
        <w:pStyle w:val="13"/>
      </w:pPr>
      <w:r>
        <w:rPr>
          <w:rFonts w:hint="eastAsia"/>
        </w:rPr>
        <w:t>评估机构在协助设立项目公司时，通常关注下列事项：</w:t>
      </w:r>
    </w:p>
    <w:p w14:paraId="77372AA3" w14:textId="77777777" w:rsidR="004315CB" w:rsidRDefault="004315CB" w:rsidP="004315CB">
      <w:pPr>
        <w:pStyle w:val="13"/>
      </w:pPr>
      <w:r>
        <w:rPr>
          <w:rFonts w:hint="eastAsia"/>
        </w:rPr>
        <w:t>（一）股权协议通常包括以下内容：前提条件、项目公司股东构成、注册资本与投资总额、股东权利与义务、股东会、董事会、监事会、经营管理机构、财务制度、利润分配、亏损及债务承担、违约、终止及终止后处理机制、不可抗力、适用法律和争议解决等。</w:t>
      </w:r>
    </w:p>
    <w:p w14:paraId="1A6BAED2" w14:textId="0B55A45C" w:rsidR="004315CB" w:rsidRDefault="004315CB" w:rsidP="004315CB">
      <w:pPr>
        <w:pStyle w:val="13"/>
      </w:pPr>
      <w:r>
        <w:rPr>
          <w:rFonts w:hint="eastAsia"/>
        </w:rPr>
        <w:t>（二）一般根据</w:t>
      </w:r>
      <w:r w:rsidR="002B14BC">
        <w:t>PPP</w:t>
      </w:r>
      <w:r>
        <w:t>项目的特征、项目实施方案中的要求及项目合同的约定事项确定公司章程内容。</w:t>
      </w:r>
    </w:p>
    <w:p w14:paraId="301E6EA7" w14:textId="77777777" w:rsidR="004315CB" w:rsidRDefault="004315CB" w:rsidP="004315CB">
      <w:pPr>
        <w:pStyle w:val="13"/>
      </w:pPr>
      <w:r>
        <w:rPr>
          <w:rFonts w:hint="eastAsia"/>
        </w:rPr>
        <w:t>（三）内控制度体系通常包括法人治理制度、基础管理制度、职能管理制度和业务管理制度等。在制度体系的构建过程中，明确各项制度的定位，做到层次清晰、结构完整、可操作性强，同时，各项制度相互衔接，避免出现制度之间存在冲突或操作性不强的现象。</w:t>
      </w:r>
    </w:p>
    <w:p w14:paraId="1A87D7A2" w14:textId="77777777" w:rsidR="004315CB" w:rsidRDefault="004315CB" w:rsidP="004315CB">
      <w:pPr>
        <w:pStyle w:val="ab"/>
        <w:spacing w:before="62" w:after="62"/>
        <w:ind w:firstLine="482"/>
      </w:pPr>
      <w:r>
        <w:rPr>
          <w:rFonts w:hint="eastAsia"/>
        </w:rPr>
        <w:t>二、融资咨询</w:t>
      </w:r>
    </w:p>
    <w:p w14:paraId="34F2E85C" w14:textId="6184B6D3" w:rsidR="00882ED4" w:rsidRDefault="004315CB" w:rsidP="004315CB">
      <w:pPr>
        <w:pStyle w:val="13"/>
      </w:pPr>
      <w:r>
        <w:rPr>
          <w:rFonts w:hint="eastAsia"/>
        </w:rPr>
        <w:t>评估机构在</w:t>
      </w:r>
      <w:r w:rsidR="002B14BC">
        <w:t>PPP</w:t>
      </w:r>
      <w:r>
        <w:t>项目执行期间，可以为项目实施机构或社会资本提供融资咨询服务，包括制定融资策划方案</w:t>
      </w:r>
      <w:r w:rsidRPr="004315CB">
        <w:rPr>
          <w:rFonts w:hint="eastAsia"/>
        </w:rPr>
        <w:t>和商业计划书。评估机构在提供融资服务时，通常关注下列事项：</w:t>
      </w:r>
    </w:p>
    <w:p w14:paraId="017FEC44" w14:textId="0C69CBA2" w:rsidR="004315CB" w:rsidRDefault="004315CB" w:rsidP="004315CB">
      <w:pPr>
        <w:pStyle w:val="13"/>
      </w:pPr>
      <w:r>
        <w:rPr>
          <w:rFonts w:hint="eastAsia"/>
        </w:rPr>
        <w:t>（一）</w:t>
      </w:r>
      <w:r w:rsidR="002B14BC">
        <w:t>PPP</w:t>
      </w:r>
      <w:r>
        <w:t>项目融资方式一般分为商业银行贷款、信贷、发行股票或债券上市、国际财团贷款、国际金融机构贷款、政府贷款、融资租赁、基金及项目其他参与者提供贷款等，评估机构需要熟悉以上各种融资方式及其特点、操作程序及注意事项。</w:t>
      </w:r>
    </w:p>
    <w:p w14:paraId="2397A37A" w14:textId="460EE09B" w:rsidR="004315CB" w:rsidRDefault="004315CB" w:rsidP="004315CB">
      <w:pPr>
        <w:pStyle w:val="13"/>
      </w:pPr>
      <w:r>
        <w:rPr>
          <w:rFonts w:hint="eastAsia"/>
        </w:rPr>
        <w:t>（二）</w:t>
      </w:r>
      <w:r w:rsidR="002B14BC">
        <w:t>PPP</w:t>
      </w:r>
      <w:r>
        <w:t>项目融资债权人对项目发起人没有追索权或只有有限追索权，项目只能以自身的盈利能力来偿还债务，并以自身的资产做担保；还贷取决于项目是否有财务效益，要求必须保证项目的现金流量足以还本付息。</w:t>
      </w:r>
    </w:p>
    <w:p w14:paraId="63769EA2" w14:textId="70A0B70D" w:rsidR="004315CB" w:rsidRDefault="004315CB" w:rsidP="004315CB">
      <w:pPr>
        <w:pStyle w:val="13"/>
      </w:pPr>
      <w:r>
        <w:rPr>
          <w:rFonts w:hint="eastAsia"/>
        </w:rPr>
        <w:t>（三）考虑到一般</w:t>
      </w:r>
      <w:r w:rsidR="002B14BC">
        <w:t>PPP</w:t>
      </w:r>
      <w:r>
        <w:t>项目周期长、收益相对稳定等特点，</w:t>
      </w:r>
      <w:r w:rsidR="002B14BC">
        <w:t>PPP</w:t>
      </w:r>
      <w:r>
        <w:t>项目融资方案除满足成本效益原则、风险收益均衡原则、时效性原则外，尽可能最大化长期贷款、最优化</w:t>
      </w:r>
      <w:r>
        <w:rPr>
          <w:rFonts w:hint="eastAsia"/>
        </w:rPr>
        <w:t>固定利率等。</w:t>
      </w:r>
    </w:p>
    <w:p w14:paraId="58B0A69C" w14:textId="77777777" w:rsidR="004315CB" w:rsidRDefault="004315CB" w:rsidP="004315CB">
      <w:pPr>
        <w:pStyle w:val="ab"/>
        <w:spacing w:before="62" w:after="62"/>
        <w:ind w:firstLine="482"/>
      </w:pPr>
      <w:r>
        <w:rPr>
          <w:rFonts w:hint="eastAsia"/>
        </w:rPr>
        <w:t>三、项目现金流分析</w:t>
      </w:r>
    </w:p>
    <w:p w14:paraId="0BF48EE2" w14:textId="51CD071F" w:rsidR="004315CB" w:rsidRDefault="004315CB" w:rsidP="004315CB">
      <w:pPr>
        <w:pStyle w:val="13"/>
      </w:pPr>
      <w:r>
        <w:rPr>
          <w:rFonts w:hint="eastAsia"/>
        </w:rPr>
        <w:t>评估机构在</w:t>
      </w:r>
      <w:r w:rsidR="002B14BC">
        <w:t>PPP</w:t>
      </w:r>
      <w:r>
        <w:t>项目执行期间，为提高项目的可融资性，可以为社会资本或融资机构提供项目现金流分析咨询服务，在业务开展过程中，通常关注下列事项：</w:t>
      </w:r>
    </w:p>
    <w:p w14:paraId="401A3045" w14:textId="77777777" w:rsidR="004315CB" w:rsidRDefault="004315CB" w:rsidP="004315CB">
      <w:pPr>
        <w:pStyle w:val="13"/>
      </w:pPr>
      <w:r>
        <w:rPr>
          <w:rFonts w:hint="eastAsia"/>
        </w:rPr>
        <w:t>（一）现金流量包括现金流出和现金流入。现金流出包括固定资产、无形资产、递延资产、流动资产、营运资金投入等，现金流入包括营业现金流入、政府补助、固定资产残值回收、流动资产回收。</w:t>
      </w:r>
    </w:p>
    <w:p w14:paraId="47BA9B6F" w14:textId="77777777" w:rsidR="004315CB" w:rsidRDefault="004315CB" w:rsidP="004315CB">
      <w:pPr>
        <w:pStyle w:val="13"/>
      </w:pPr>
      <w:r>
        <w:rPr>
          <w:rFonts w:hint="eastAsia"/>
        </w:rPr>
        <w:t>（二）营业现金流入分析包括收入预测与成本费用预测，收入预测时根据项目回</w:t>
      </w:r>
      <w:r>
        <w:rPr>
          <w:rFonts w:hint="eastAsia"/>
        </w:rPr>
        <w:lastRenderedPageBreak/>
        <w:t>报机制包含项目所有现金流入。对于使用者付费通常还需要关注公共产品或服务的市场需求、消费群体、定价方式等因素。</w:t>
      </w:r>
    </w:p>
    <w:p w14:paraId="5CE9DF64" w14:textId="77777777" w:rsidR="004315CB" w:rsidRDefault="004315CB" w:rsidP="004315CB">
      <w:pPr>
        <w:pStyle w:val="13"/>
      </w:pPr>
      <w:r>
        <w:rPr>
          <w:rFonts w:hint="eastAsia"/>
        </w:rPr>
        <w:t>（三）固定资产、无形资产等投入时，通常需要关注与营业收入的匹配性以及资金量是否充足。</w:t>
      </w:r>
    </w:p>
    <w:p w14:paraId="132BF904" w14:textId="77777777" w:rsidR="004315CB" w:rsidRDefault="004315CB" w:rsidP="004315CB">
      <w:pPr>
        <w:pStyle w:val="ab"/>
        <w:spacing w:before="62" w:after="62"/>
        <w:ind w:firstLine="482"/>
      </w:pPr>
      <w:r>
        <w:rPr>
          <w:rFonts w:hint="eastAsia"/>
        </w:rPr>
        <w:t>四、项目绩效监测与支付评审</w:t>
      </w:r>
    </w:p>
    <w:p w14:paraId="18FCC155" w14:textId="77777777" w:rsidR="004315CB" w:rsidRDefault="004315CB" w:rsidP="004315CB">
      <w:pPr>
        <w:pStyle w:val="13"/>
      </w:pPr>
      <w:r>
        <w:rPr>
          <w:rFonts w:hint="eastAsia"/>
        </w:rPr>
        <w:t>项目绩效检测是政府或项目实施机构根据项目合同约定，定期监测项目产出绩效指标，监督社会资本和项目公司履行合同义务，编制项目监测的季报和年报。评估机构在开展项目绩效监测与支付评审业务时，通常需要了解：</w:t>
      </w:r>
    </w:p>
    <w:p w14:paraId="33919A2B" w14:textId="77777777" w:rsidR="004315CB" w:rsidRDefault="004315CB" w:rsidP="004315CB">
      <w:pPr>
        <w:pStyle w:val="13"/>
      </w:pPr>
      <w:r>
        <w:rPr>
          <w:rFonts w:hint="eastAsia"/>
        </w:rPr>
        <w:t>（一）绩效监测的对象主要是项目的产出和效果绩效，监测的内容主要是项目的管理、项目的具体产出数据及项目的效果类数据。</w:t>
      </w:r>
    </w:p>
    <w:p w14:paraId="73D4379D" w14:textId="77777777" w:rsidR="004315CB" w:rsidRDefault="004315CB" w:rsidP="004315CB">
      <w:pPr>
        <w:pStyle w:val="13"/>
      </w:pPr>
      <w:r>
        <w:rPr>
          <w:rFonts w:hint="eastAsia"/>
        </w:rPr>
        <w:t>（二）对绩效监测数据、监测过程的真实性、合理性进行评审。基础数据的监测通常还需要对监测的技术方法是否科学、监测依据是否充分、监测程序是否到位、监测标准是否明确进行评审。</w:t>
      </w:r>
    </w:p>
    <w:p w14:paraId="2F6673A1" w14:textId="77777777" w:rsidR="004315CB" w:rsidRDefault="004315CB" w:rsidP="004315CB">
      <w:pPr>
        <w:pStyle w:val="13"/>
      </w:pPr>
      <w:r>
        <w:rPr>
          <w:rFonts w:hint="eastAsia"/>
        </w:rPr>
        <w:t>（三）根据评审监测工作日记、获取数据途径、日常监测管理程序、外部数据的校验、定期或者不定期抽查（抽验）等情况对监测的制度进行评审，保证监测数据的可持续性。</w:t>
      </w:r>
    </w:p>
    <w:p w14:paraId="086EA90E" w14:textId="77777777" w:rsidR="004315CB" w:rsidRDefault="004315CB" w:rsidP="004315CB">
      <w:pPr>
        <w:pStyle w:val="13"/>
      </w:pPr>
      <w:r>
        <w:rPr>
          <w:rFonts w:hint="eastAsia"/>
        </w:rPr>
        <w:t>（四）评审时需要关注绩效的产出和效果达到绩效目标的程度，对绩效的成果进行恰当分析，对绩效面临的风险进行合理的评价。</w:t>
      </w:r>
    </w:p>
    <w:p w14:paraId="1B89F216" w14:textId="464E816E" w:rsidR="004315CB" w:rsidRDefault="004315CB" w:rsidP="004315CB">
      <w:pPr>
        <w:pStyle w:val="13"/>
      </w:pPr>
      <w:r>
        <w:rPr>
          <w:rFonts w:hint="eastAsia"/>
        </w:rPr>
        <w:t>（五）绩效监测评审需要关注绩效标准实现的基础，关注项目绩效的长效性，关注项目公司持续保持较高服务水平的能力。对项目公司是否能够获得合理的利润，是否有能力保证设备良好的运营，设备的维护制度是否有效执行，设备状况和成新率是否足以保障公共产品或公共服务的需要，安全设施和环保设施是否良好运行、且处于较高状况</w:t>
      </w:r>
      <w:r w:rsidR="003068F8">
        <w:rPr>
          <w:rFonts w:hint="eastAsia"/>
        </w:rPr>
        <w:t>，</w:t>
      </w:r>
      <w:r>
        <w:t>安全的最终多级保障措施是否随时处于有效状态，人员是否得到恰当培训，当环保和安全标准提高时原合同能否保障较高的安全和环保标准等方面进行评审。</w:t>
      </w:r>
    </w:p>
    <w:p w14:paraId="1618F768" w14:textId="77777777" w:rsidR="004315CB" w:rsidRDefault="004315CB" w:rsidP="004315CB">
      <w:pPr>
        <w:pStyle w:val="ab"/>
        <w:spacing w:before="62" w:after="62"/>
        <w:ind w:firstLine="482"/>
      </w:pPr>
      <w:r>
        <w:rPr>
          <w:rFonts w:hint="eastAsia"/>
        </w:rPr>
        <w:t>五、项目风险再分配咨询</w:t>
      </w:r>
    </w:p>
    <w:p w14:paraId="56D81A36" w14:textId="085A7D7D" w:rsidR="004315CB" w:rsidRDefault="004315CB" w:rsidP="004315CB">
      <w:pPr>
        <w:pStyle w:val="13"/>
      </w:pPr>
      <w:r>
        <w:t>PPP项目周期较长，PPP项目在运营过程中经常会遇到风险再分配，在开展该咨询业务时，通常关注：</w:t>
      </w:r>
    </w:p>
    <w:p w14:paraId="3B7263C2" w14:textId="77777777" w:rsidR="004315CB" w:rsidRDefault="004315CB" w:rsidP="004315CB">
      <w:pPr>
        <w:pStyle w:val="13"/>
      </w:pPr>
      <w:r>
        <w:rPr>
          <w:rFonts w:hint="eastAsia"/>
        </w:rPr>
        <w:t>合同中明确风险分配原则，项目就不存在风险再分配问题。对于已发生的部分风险事件，合同并未明确规定，或者虽有规定，但存在不合理或不公平之处，则受损一方需要通过风险再分配，维护自身利益。</w:t>
      </w:r>
    </w:p>
    <w:p w14:paraId="2E69D0A9" w14:textId="77777777" w:rsidR="004315CB" w:rsidRDefault="004315CB" w:rsidP="004315CB">
      <w:pPr>
        <w:pStyle w:val="13"/>
      </w:pPr>
      <w:r>
        <w:rPr>
          <w:rFonts w:hint="eastAsia"/>
        </w:rPr>
        <w:t>当新增风险出现时，通常对风险进行分析，由双方统一协商按照风险分配原则进行再分配。风险再分配时还需要关注对物有所值的影响。</w:t>
      </w:r>
    </w:p>
    <w:p w14:paraId="2C76AC4D" w14:textId="77777777" w:rsidR="004315CB" w:rsidRDefault="004315CB" w:rsidP="004315CB">
      <w:pPr>
        <w:pStyle w:val="ab"/>
        <w:spacing w:before="62" w:after="62"/>
        <w:ind w:firstLine="482"/>
      </w:pPr>
      <w:r>
        <w:rPr>
          <w:rFonts w:hint="eastAsia"/>
        </w:rPr>
        <w:lastRenderedPageBreak/>
        <w:t>六、项目中期评估</w:t>
      </w:r>
    </w:p>
    <w:p w14:paraId="5FBCD5B2" w14:textId="77777777" w:rsidR="004315CB" w:rsidRDefault="004315CB" w:rsidP="004315CB">
      <w:pPr>
        <w:pStyle w:val="13"/>
      </w:pPr>
      <w:r>
        <w:rPr>
          <w:rFonts w:hint="eastAsia"/>
        </w:rPr>
        <w:t>评估机构在开展项目中期评估时，重点分析项目运行状况和项目合同，分析项目是否真正达到物有所值，核查项目是否达到项目实施方案中所制定的绩效目标，并根据相关情况制订应对措施。中期评估的结果通常作为项目调价、项目支付及未识别风险重新分配的重要依据。</w:t>
      </w:r>
    </w:p>
    <w:p w14:paraId="6A5EF1B1" w14:textId="77777777" w:rsidR="004315CB" w:rsidRDefault="004315CB" w:rsidP="004315CB">
      <w:pPr>
        <w:pStyle w:val="ab"/>
        <w:spacing w:before="62" w:after="62"/>
        <w:ind w:firstLine="482"/>
      </w:pPr>
      <w:r>
        <w:rPr>
          <w:rFonts w:hint="eastAsia"/>
        </w:rPr>
        <w:t>七、项目调价过程中的咨询</w:t>
      </w:r>
    </w:p>
    <w:p w14:paraId="576AFFF2" w14:textId="77777777" w:rsidR="004315CB" w:rsidRDefault="004315CB" w:rsidP="004315CB">
      <w:pPr>
        <w:pStyle w:val="13"/>
      </w:pPr>
      <w:r>
        <w:rPr>
          <w:rFonts w:hint="eastAsia"/>
        </w:rPr>
        <w:t>评估机构在为政府、项目实施机构、社会资本或项目公司调价过程提供服务，在业务开展过程中通常需要知晓：</w:t>
      </w:r>
    </w:p>
    <w:p w14:paraId="3EE9CF4A" w14:textId="77777777" w:rsidR="004315CB" w:rsidRDefault="004315CB" w:rsidP="004315CB">
      <w:pPr>
        <w:pStyle w:val="13"/>
      </w:pPr>
      <w:r>
        <w:rPr>
          <w:rFonts w:hint="eastAsia"/>
        </w:rPr>
        <w:t>（一）必须根据合同约定的调价条件以及物有所值判断是否需要进行调价。</w:t>
      </w:r>
    </w:p>
    <w:p w14:paraId="2AC224B3" w14:textId="77777777" w:rsidR="004315CB" w:rsidRDefault="004315CB" w:rsidP="004315CB">
      <w:pPr>
        <w:pStyle w:val="13"/>
      </w:pPr>
      <w:r>
        <w:rPr>
          <w:rFonts w:hint="eastAsia"/>
        </w:rPr>
        <w:t>（二）当达到调价条件时，通常根据合同约定的调价方法进行测算调价的标准，常见的调价方式一般包括公式调整机制、基准比价机制、市场测试机制。</w:t>
      </w:r>
    </w:p>
    <w:p w14:paraId="7506A032" w14:textId="77777777" w:rsidR="004315CB" w:rsidRDefault="004315CB" w:rsidP="004315CB">
      <w:pPr>
        <w:pStyle w:val="13"/>
      </w:pPr>
      <w:r>
        <w:rPr>
          <w:rFonts w:hint="eastAsia"/>
        </w:rPr>
        <w:t>（三）在政府付费项目调价过程中，通常考虑项目公司建设成本和运营维护成本、同行业平均收益率、使用者满意度、类似市场服务价格进行调查复核；在使用者付费项目调价过程中，除了考虑以上因素，还需要考虑公众承受能力、价格弹性、劳动价格指数、消费指数等。调价标准需要关注对项目进行物有所值、财政承受能力的影响。</w:t>
      </w:r>
    </w:p>
    <w:p w14:paraId="1A3C8EB6" w14:textId="77777777" w:rsidR="004315CB" w:rsidRDefault="004315CB" w:rsidP="004315CB">
      <w:pPr>
        <w:pStyle w:val="ab"/>
        <w:spacing w:before="62" w:after="62"/>
        <w:ind w:firstLine="482"/>
      </w:pPr>
      <w:r>
        <w:rPr>
          <w:rFonts w:hint="eastAsia"/>
        </w:rPr>
        <w:t>八、项目执行阶段的资产评估</w:t>
      </w:r>
    </w:p>
    <w:p w14:paraId="579237B9" w14:textId="7E6772CE" w:rsidR="004315CB" w:rsidRDefault="004315CB" w:rsidP="004315CB">
      <w:pPr>
        <w:pStyle w:val="13"/>
      </w:pPr>
      <w:r>
        <w:rPr>
          <w:rFonts w:hint="eastAsia"/>
        </w:rPr>
        <w:t>评估机构在开展</w:t>
      </w:r>
      <w:r w:rsidR="002B14BC">
        <w:t>PPP</w:t>
      </w:r>
      <w:r>
        <w:t>项目执行阶段涉及的资产评估服务时，需要根据具体评估准则的要求，并结合</w:t>
      </w:r>
      <w:r w:rsidR="002B14BC">
        <w:t>PPP</w:t>
      </w:r>
      <w:r>
        <w:t>项目的特殊性开展业务。</w:t>
      </w:r>
    </w:p>
    <w:p w14:paraId="1F70A952" w14:textId="768BA75C" w:rsidR="004315CB" w:rsidRDefault="004315CB" w:rsidP="004315CB">
      <w:pPr>
        <w:pStyle w:val="13"/>
      </w:pPr>
      <w:r>
        <w:t>PPP项目执行阶段涉及的资产评估及相关参数测算业务通常包括：项目收益权、合同权益、特许经营权等权益的测算与评估；项目净现值、合同期限运营补贴单价或金额、使用者付费单价或金额、最低需求量、利润率、折现率以及风险分担等相关参数的测算与评估；土地使用权、无形资产、房屋、建筑物、构筑物（非货币性资产）、项目公司整体价值、股东权益价值的资产评估等。</w:t>
      </w:r>
    </w:p>
    <w:p w14:paraId="31A49288" w14:textId="77777777" w:rsidR="00B64580" w:rsidRDefault="004315CB" w:rsidP="00AF7342">
      <w:pPr>
        <w:pStyle w:val="a9"/>
        <w:spacing w:before="62" w:after="62"/>
      </w:pPr>
      <w:r>
        <w:rPr>
          <w:rFonts w:hint="eastAsia"/>
        </w:rPr>
        <w:t>第六节</w:t>
      </w:r>
      <w:r>
        <w:t xml:space="preserve"> 项目移交阶段相关业务基本操作要求</w:t>
      </w:r>
    </w:p>
    <w:p w14:paraId="401C84F5" w14:textId="66A0608B" w:rsidR="004315CB" w:rsidRDefault="004315CB" w:rsidP="00B64580">
      <w:pPr>
        <w:pStyle w:val="ab"/>
        <w:spacing w:before="62" w:after="62"/>
        <w:ind w:firstLine="482"/>
      </w:pPr>
      <w:r>
        <w:t>一、移交阶段的资产清查</w:t>
      </w:r>
    </w:p>
    <w:p w14:paraId="21258080" w14:textId="2994B524" w:rsidR="004315CB" w:rsidRDefault="004315CB" w:rsidP="004315CB">
      <w:pPr>
        <w:pStyle w:val="13"/>
      </w:pPr>
      <w:r>
        <w:rPr>
          <w:rFonts w:hint="eastAsia"/>
        </w:rPr>
        <w:t>评估机构开展</w:t>
      </w:r>
      <w:r w:rsidR="002B14BC">
        <w:t>PPP</w:t>
      </w:r>
      <w:r>
        <w:t>项目移交前的资产清查时，通常关注下列内容：</w:t>
      </w:r>
    </w:p>
    <w:p w14:paraId="36BF6BA4" w14:textId="77777777" w:rsidR="004315CB" w:rsidRDefault="004315CB" w:rsidP="004315CB">
      <w:pPr>
        <w:pStyle w:val="13"/>
      </w:pPr>
      <w:r>
        <w:rPr>
          <w:rFonts w:hint="eastAsia"/>
        </w:rPr>
        <w:t>（一）成立专门的资产清查组。资产清查组成员应包括第三方机构清查人员、项目公司人员、政府或项目实施机构代表。第三方机构清查人员中，需要有熟悉项目行业资产运营的专家。</w:t>
      </w:r>
    </w:p>
    <w:p w14:paraId="689154CF" w14:textId="77777777" w:rsidR="004315CB" w:rsidRDefault="004315CB" w:rsidP="004315CB">
      <w:pPr>
        <w:pStyle w:val="13"/>
      </w:pPr>
      <w:r>
        <w:rPr>
          <w:rFonts w:hint="eastAsia"/>
        </w:rPr>
        <w:t>（二）根据项目特点及项目要求制定资产清查方案，具体包括清查时间、清查范围和对象、清查方法、人员组织及分工、清查要求等。</w:t>
      </w:r>
    </w:p>
    <w:p w14:paraId="2A6F680F" w14:textId="34BF71C3" w:rsidR="004315CB" w:rsidRDefault="004315CB" w:rsidP="004315CB">
      <w:pPr>
        <w:pStyle w:val="13"/>
      </w:pPr>
      <w:r>
        <w:rPr>
          <w:rFonts w:hint="eastAsia"/>
        </w:rPr>
        <w:t>（三）注意资产的数量、规格型号、性能、产权等是否与移交资产清单内容一致</w:t>
      </w:r>
      <w:r w:rsidR="003068F8">
        <w:rPr>
          <w:rFonts w:hint="eastAsia"/>
        </w:rPr>
        <w:t>，</w:t>
      </w:r>
      <w:r>
        <w:lastRenderedPageBreak/>
        <w:t>不一致的应特别注明并在清查报告中重点披露。</w:t>
      </w:r>
    </w:p>
    <w:p w14:paraId="0EF7DFA5" w14:textId="77777777" w:rsidR="004315CB" w:rsidRDefault="004315CB" w:rsidP="004315CB">
      <w:pPr>
        <w:pStyle w:val="13"/>
      </w:pPr>
      <w:r>
        <w:rPr>
          <w:rFonts w:hint="eastAsia"/>
        </w:rPr>
        <w:t>（四）根据移交的资产清单，逐项进行清查盘点。收集主要资产的运营日记、强制检测报告和维修记录等资料。在可能的情况下，观察项目实际运营时主要资产的运转使用情况。</w:t>
      </w:r>
    </w:p>
    <w:p w14:paraId="564B6866" w14:textId="77777777" w:rsidR="004315CB" w:rsidRDefault="004315CB" w:rsidP="004315CB">
      <w:pPr>
        <w:pStyle w:val="13"/>
      </w:pPr>
      <w:r>
        <w:rPr>
          <w:rFonts w:hint="eastAsia"/>
        </w:rPr>
        <w:t>（五）清查时，需要关注实物资产、清查与资产相关的文档、知识产权和技术法律文件等，以及项目合同或移交方案中明确的应当保留的资产状况，如设备完好率、最短可使用年限等指标。</w:t>
      </w:r>
    </w:p>
    <w:p w14:paraId="25F0F862" w14:textId="77777777" w:rsidR="004315CB" w:rsidRDefault="004315CB" w:rsidP="004315CB">
      <w:pPr>
        <w:pStyle w:val="13"/>
      </w:pPr>
      <w:r>
        <w:rPr>
          <w:rFonts w:hint="eastAsia"/>
        </w:rPr>
        <w:t>（六）明确需要进行性能测试的，清查人员应严格按照性能测试方案和移交标准进行性能测试。</w:t>
      </w:r>
    </w:p>
    <w:p w14:paraId="28758D96" w14:textId="77777777" w:rsidR="004315CB" w:rsidRDefault="004315CB" w:rsidP="004315CB">
      <w:pPr>
        <w:pStyle w:val="13"/>
      </w:pPr>
      <w:r>
        <w:rPr>
          <w:rFonts w:hint="eastAsia"/>
        </w:rPr>
        <w:t>（七）现场清查工作完毕时，所有参与资产清查的人员在清查盘点表上签字确认。</w:t>
      </w:r>
    </w:p>
    <w:p w14:paraId="40C57FFF" w14:textId="77777777" w:rsidR="004315CB" w:rsidRDefault="004315CB" w:rsidP="004315CB">
      <w:pPr>
        <w:pStyle w:val="13"/>
      </w:pPr>
      <w:r>
        <w:rPr>
          <w:rFonts w:hint="eastAsia"/>
        </w:rPr>
        <w:t>（八）在资产清查报告中应披露清查时间、清查内容、具体清查方法、性能测试、清查结果等，重点披露与移交清单不一致的地方。</w:t>
      </w:r>
    </w:p>
    <w:p w14:paraId="2EC7045C" w14:textId="77777777" w:rsidR="004315CB" w:rsidRDefault="004315CB" w:rsidP="004315CB">
      <w:pPr>
        <w:pStyle w:val="13"/>
      </w:pPr>
      <w:r>
        <w:rPr>
          <w:rFonts w:hint="eastAsia"/>
        </w:rPr>
        <w:t>（九）在将存量项目交给项目公司时，相关资产清查工作也可按照上述要求进行资产清查。</w:t>
      </w:r>
    </w:p>
    <w:p w14:paraId="23FEFD1D" w14:textId="77777777" w:rsidR="004315CB" w:rsidRDefault="004315CB" w:rsidP="00B64580">
      <w:pPr>
        <w:pStyle w:val="ab"/>
        <w:spacing w:before="62" w:after="62"/>
        <w:ind w:firstLine="482"/>
      </w:pPr>
      <w:r>
        <w:rPr>
          <w:rFonts w:hint="eastAsia"/>
        </w:rPr>
        <w:t>二、移交阶段的资产评估</w:t>
      </w:r>
    </w:p>
    <w:p w14:paraId="08410426" w14:textId="20874A9F" w:rsidR="004315CB" w:rsidRDefault="004315CB" w:rsidP="004315CB">
      <w:pPr>
        <w:pStyle w:val="13"/>
      </w:pPr>
      <w:r>
        <w:rPr>
          <w:rFonts w:hint="eastAsia"/>
        </w:rPr>
        <w:t>评估机构开展</w:t>
      </w:r>
      <w:r w:rsidR="002B14BC">
        <w:t>PPP</w:t>
      </w:r>
      <w:r>
        <w:t>项目移交前的资产评估时，需要重点关注下列内容：</w:t>
      </w:r>
    </w:p>
    <w:p w14:paraId="4148EBA3" w14:textId="77777777" w:rsidR="004315CB" w:rsidRDefault="004315CB" w:rsidP="004315CB">
      <w:pPr>
        <w:pStyle w:val="13"/>
      </w:pPr>
      <w:r>
        <w:rPr>
          <w:rFonts w:hint="eastAsia"/>
        </w:rPr>
        <w:t>（一）明确移交资产范围，根据移交资产范围准确界定资产评估范围和对象。</w:t>
      </w:r>
    </w:p>
    <w:p w14:paraId="2584B125" w14:textId="77777777" w:rsidR="004315CB" w:rsidRDefault="004315CB" w:rsidP="004315CB">
      <w:pPr>
        <w:pStyle w:val="13"/>
      </w:pPr>
      <w:r>
        <w:rPr>
          <w:rFonts w:hint="eastAsia"/>
        </w:rPr>
        <w:t>（二）根据移交资产的特点、价值类型、资料搜集情况等条件，合理选择一种或多种方法进行评估。</w:t>
      </w:r>
    </w:p>
    <w:p w14:paraId="6E8CA59D" w14:textId="77777777" w:rsidR="004315CB" w:rsidRDefault="004315CB" w:rsidP="004315CB">
      <w:pPr>
        <w:pStyle w:val="13"/>
      </w:pPr>
      <w:r>
        <w:rPr>
          <w:rFonts w:hint="eastAsia"/>
        </w:rPr>
        <w:t>（三）应充分考虑移交资产的物理性能状况、可用状态和范围及资产剩余经济寿命期对评估结果的影响。</w:t>
      </w:r>
    </w:p>
    <w:p w14:paraId="24BA7BB0" w14:textId="77777777" w:rsidR="004315CB" w:rsidRDefault="004315CB" w:rsidP="00B64580">
      <w:pPr>
        <w:pStyle w:val="ab"/>
        <w:spacing w:before="62" w:after="62"/>
        <w:ind w:firstLine="482"/>
      </w:pPr>
      <w:r>
        <w:rPr>
          <w:rFonts w:hint="eastAsia"/>
        </w:rPr>
        <w:t>三、移交方案的编制</w:t>
      </w:r>
    </w:p>
    <w:p w14:paraId="2127C7F6" w14:textId="09E3456D" w:rsidR="004315CB" w:rsidRDefault="004315CB" w:rsidP="004315CB">
      <w:pPr>
        <w:pStyle w:val="13"/>
      </w:pPr>
      <w:r>
        <w:rPr>
          <w:rFonts w:hint="eastAsia"/>
        </w:rPr>
        <w:t>评估机构在</w:t>
      </w:r>
      <w:r w:rsidR="002B14BC">
        <w:t>PPP</w:t>
      </w:r>
      <w:r>
        <w:t>项目移交阶段，根据资产清查及评估结果、项目相关合同及约定、绩效评价结果、相关法律法规等资料协助政府、项目实施机构、社会资本方或项目公司制定项目移交方案，通常在移交方案中重点披露下列内容：</w:t>
      </w:r>
    </w:p>
    <w:p w14:paraId="0E2EE49D" w14:textId="77777777" w:rsidR="004315CB" w:rsidRDefault="004315CB" w:rsidP="004315CB">
      <w:pPr>
        <w:pStyle w:val="13"/>
      </w:pPr>
      <w:r>
        <w:rPr>
          <w:rFonts w:hint="eastAsia"/>
        </w:rPr>
        <w:t>（一）项目移交的基本原则</w:t>
      </w:r>
    </w:p>
    <w:p w14:paraId="38051003" w14:textId="77777777" w:rsidR="004315CB" w:rsidRDefault="004315CB" w:rsidP="004315CB">
      <w:pPr>
        <w:pStyle w:val="13"/>
      </w:pPr>
      <w:r>
        <w:rPr>
          <w:rFonts w:hint="eastAsia"/>
        </w:rPr>
        <w:t>项目公司必须确保项目符合政府回收项目的基本要求。项目合作期限届满或项目合同提前终止后，政府需要对项目进行重新采购或自行运营的，项目公司必须尽可能减少移交对公共产品或公共服务供给的影响，确保项目持续运营。</w:t>
      </w:r>
    </w:p>
    <w:p w14:paraId="354406AD" w14:textId="77777777" w:rsidR="004315CB" w:rsidRDefault="004315CB" w:rsidP="004315CB">
      <w:pPr>
        <w:pStyle w:val="13"/>
      </w:pPr>
      <w:r>
        <w:rPr>
          <w:rFonts w:hint="eastAsia"/>
        </w:rPr>
        <w:t>（二）移交范围</w:t>
      </w:r>
    </w:p>
    <w:p w14:paraId="0DC0EE8C" w14:textId="4579A32C" w:rsidR="004315CB" w:rsidRDefault="004315CB" w:rsidP="004315CB">
      <w:pPr>
        <w:pStyle w:val="13"/>
      </w:pPr>
      <w:r>
        <w:rPr>
          <w:rFonts w:hint="eastAsia"/>
        </w:rPr>
        <w:t>项目移交的范围通常包括：项目设施，项目土地使用权及项目用地相关的其他权利</w:t>
      </w:r>
      <w:r w:rsidR="003068F8">
        <w:rPr>
          <w:rFonts w:hint="eastAsia"/>
        </w:rPr>
        <w:t>，</w:t>
      </w:r>
      <w:r>
        <w:t>与项目设施相关的设备、机器、装置、零部件、备品备件以及其他动产，项目实</w:t>
      </w:r>
      <w:r>
        <w:lastRenderedPageBreak/>
        <w:t>施相关人员，运营维护项目设施所要求的技术信息，与项目设施有关的手册、图纸、文件和资料（书面文件和电子文档），移交项目所需的其他文件。</w:t>
      </w:r>
    </w:p>
    <w:p w14:paraId="3D8C2037" w14:textId="77777777" w:rsidR="004315CB" w:rsidRDefault="004315CB" w:rsidP="004315CB">
      <w:pPr>
        <w:pStyle w:val="13"/>
      </w:pPr>
      <w:r>
        <w:rPr>
          <w:rFonts w:hint="eastAsia"/>
        </w:rPr>
        <w:t>（三）移交的条件和标准</w:t>
      </w:r>
    </w:p>
    <w:p w14:paraId="43BCB007" w14:textId="77777777" w:rsidR="004315CB" w:rsidRDefault="004315CB" w:rsidP="004315CB">
      <w:pPr>
        <w:pStyle w:val="13"/>
      </w:pPr>
      <w:r>
        <w:rPr>
          <w:rFonts w:hint="eastAsia"/>
        </w:rPr>
        <w:t>移交方案通常明确移交权利和技术方面的条件和标准：</w:t>
      </w:r>
    </w:p>
    <w:p w14:paraId="38B9D269" w14:textId="48DDAF37" w:rsidR="004315CB" w:rsidRDefault="004315CB" w:rsidP="004315CB">
      <w:pPr>
        <w:pStyle w:val="13"/>
      </w:pPr>
      <w:r>
        <w:t>1、权利方面的条件和标准主要包括：项目设施、土地及所涉及的任何资产不存在权利瑕疵，其上未设置任何担保及其他第三人的权利。但在提前终止导致移交的情形下</w:t>
      </w:r>
      <w:r w:rsidR="003068F8">
        <w:t>，</w:t>
      </w:r>
      <w:r>
        <w:t>如移交时尚有未清偿的项目贷款，</w:t>
      </w:r>
      <w:proofErr w:type="gramStart"/>
      <w:r>
        <w:t>该未清偿</w:t>
      </w:r>
      <w:proofErr w:type="gramEnd"/>
      <w:r>
        <w:t>贷款所设置的担保除外。</w:t>
      </w:r>
    </w:p>
    <w:p w14:paraId="76478BB0" w14:textId="119643AD" w:rsidR="004315CB" w:rsidRDefault="004315CB" w:rsidP="00B64580">
      <w:pPr>
        <w:pStyle w:val="13"/>
      </w:pPr>
      <w:r>
        <w:t>2、技术方面的条件和标准主要包括：项目设施应符合双方约定的技术、安全和环保</w:t>
      </w:r>
      <w:r>
        <w:rPr>
          <w:rFonts w:hint="eastAsia"/>
        </w:rPr>
        <w:t>标准，并处于良好的运营状况。</w:t>
      </w:r>
    </w:p>
    <w:p w14:paraId="31C6CFA2" w14:textId="77777777" w:rsidR="004315CB" w:rsidRDefault="004315CB" w:rsidP="004315CB">
      <w:pPr>
        <w:pStyle w:val="13"/>
      </w:pPr>
      <w:r>
        <w:rPr>
          <w:rFonts w:hint="eastAsia"/>
        </w:rPr>
        <w:t>（四）移交程序</w:t>
      </w:r>
    </w:p>
    <w:p w14:paraId="33184B99" w14:textId="77777777" w:rsidR="004315CB" w:rsidRDefault="004315CB" w:rsidP="004315CB">
      <w:pPr>
        <w:pStyle w:val="13"/>
      </w:pPr>
      <w:r>
        <w:t>1、评估和测试</w:t>
      </w:r>
    </w:p>
    <w:p w14:paraId="46190CF1" w14:textId="4CAEF646" w:rsidR="004315CB" w:rsidRDefault="004315CB" w:rsidP="004315CB">
      <w:pPr>
        <w:pStyle w:val="13"/>
      </w:pPr>
      <w:r>
        <w:t>PPP项目移交前，通常需要对项目的资产状况进行评估并对项目状况能否达到合同约定的移交条件和标准进行测试。评估和测试工作通常由政府或项目实施机构委托的独立专家或者由政府或项目实施机构和项目公司共同组成的移交工作组负责。</w:t>
      </w:r>
    </w:p>
    <w:p w14:paraId="4A1243A8" w14:textId="6F2ABEA2" w:rsidR="004315CB" w:rsidRDefault="004315CB" w:rsidP="004315CB">
      <w:pPr>
        <w:pStyle w:val="13"/>
      </w:pPr>
      <w:r>
        <w:rPr>
          <w:rFonts w:hint="eastAsia"/>
        </w:rPr>
        <w:t>经评估和测试，项目状况不符合约定的移交条件和标准的，政府或项目实施机构有权提取移交维修保函，并要求项目公司对项目设施进行相应的恢复性修理、更新重置，</w:t>
      </w:r>
      <w:r>
        <w:t>以确保项目在移交时满足约定要求。</w:t>
      </w:r>
    </w:p>
    <w:p w14:paraId="39BA5029" w14:textId="77777777" w:rsidR="004315CB" w:rsidRDefault="004315CB" w:rsidP="004315CB">
      <w:pPr>
        <w:pStyle w:val="13"/>
      </w:pPr>
      <w:r>
        <w:t>2、移交手续办理</w:t>
      </w:r>
    </w:p>
    <w:p w14:paraId="3BA1FD5A" w14:textId="0483EBD6" w:rsidR="004315CB" w:rsidRDefault="004315CB" w:rsidP="004315CB">
      <w:pPr>
        <w:pStyle w:val="13"/>
      </w:pPr>
      <w:r>
        <w:rPr>
          <w:rFonts w:hint="eastAsia"/>
        </w:rPr>
        <w:t>移交相关的资产过户和合同转让等手续由哪一方负责办理主要取决于合同的约定</w:t>
      </w:r>
      <w:r w:rsidR="003068F8">
        <w:rPr>
          <w:rFonts w:hint="eastAsia"/>
        </w:rPr>
        <w:t>，</w:t>
      </w:r>
      <w:r>
        <w:t>多数情况下由项目公司负责。</w:t>
      </w:r>
    </w:p>
    <w:p w14:paraId="508131F9" w14:textId="77777777" w:rsidR="004315CB" w:rsidRDefault="004315CB" w:rsidP="004315CB">
      <w:pPr>
        <w:pStyle w:val="13"/>
      </w:pPr>
      <w:r>
        <w:t>3、移交费用（含税费）承担</w:t>
      </w:r>
    </w:p>
    <w:p w14:paraId="0766F3DA" w14:textId="77777777" w:rsidR="004315CB" w:rsidRDefault="004315CB" w:rsidP="004315CB">
      <w:pPr>
        <w:pStyle w:val="13"/>
      </w:pPr>
      <w:r>
        <w:rPr>
          <w:rFonts w:hint="eastAsia"/>
        </w:rPr>
        <w:t>关于移交相关费用的承担，通常取决于双方的谈判结果，常见的做法包括：</w:t>
      </w:r>
    </w:p>
    <w:p w14:paraId="13A5B63C" w14:textId="55E03992" w:rsidR="004315CB" w:rsidRDefault="004315CB" w:rsidP="004315CB">
      <w:pPr>
        <w:pStyle w:val="13"/>
      </w:pPr>
      <w:r>
        <w:rPr>
          <w:rFonts w:hint="eastAsia"/>
        </w:rPr>
        <w:t>（</w:t>
      </w:r>
      <w:r>
        <w:t>1）由项目公司承担移交手续的相关费用。</w:t>
      </w:r>
    </w:p>
    <w:p w14:paraId="574CCC93" w14:textId="160D8576" w:rsidR="004315CB" w:rsidRDefault="004315CB" w:rsidP="004315CB">
      <w:pPr>
        <w:pStyle w:val="13"/>
      </w:pPr>
      <w:r>
        <w:rPr>
          <w:rFonts w:hint="eastAsia"/>
        </w:rPr>
        <w:t>（</w:t>
      </w:r>
      <w:r>
        <w:t>2）由政府或项目实施机构和项目公司共同承担移交手续的相关费用。</w:t>
      </w:r>
    </w:p>
    <w:p w14:paraId="385106C2" w14:textId="1FC5B72B" w:rsidR="004315CB" w:rsidRDefault="004315CB" w:rsidP="004315CB">
      <w:pPr>
        <w:pStyle w:val="13"/>
      </w:pPr>
      <w:r>
        <w:rPr>
          <w:rFonts w:hint="eastAsia"/>
        </w:rPr>
        <w:t>（</w:t>
      </w:r>
      <w:r>
        <w:t>3）如果因为一方违约事件导致项目终止而需要提前移交，可以约定由违约方来承担移交费用。</w:t>
      </w:r>
    </w:p>
    <w:p w14:paraId="177D14C6" w14:textId="77777777" w:rsidR="004315CB" w:rsidRDefault="004315CB" w:rsidP="004315CB">
      <w:pPr>
        <w:pStyle w:val="13"/>
      </w:pPr>
      <w:r>
        <w:rPr>
          <w:rFonts w:hint="eastAsia"/>
        </w:rPr>
        <w:t>（五）其他事项</w:t>
      </w:r>
    </w:p>
    <w:p w14:paraId="3492B0AB" w14:textId="77777777" w:rsidR="004315CB" w:rsidRDefault="004315CB" w:rsidP="004315CB">
      <w:pPr>
        <w:pStyle w:val="13"/>
      </w:pPr>
      <w:r>
        <w:rPr>
          <w:rFonts w:hint="eastAsia"/>
        </w:rPr>
        <w:t>因为一方违约导致项目终止并需要提前移交时，政府或项目实施机构按照协议要求收购项目公司的资产，移交方案中通常还包含补偿原则及标准。</w:t>
      </w:r>
    </w:p>
    <w:p w14:paraId="7A90678F" w14:textId="77777777" w:rsidR="004315CB" w:rsidRDefault="004315CB" w:rsidP="00B64580">
      <w:pPr>
        <w:pStyle w:val="ab"/>
        <w:spacing w:before="62" w:after="62"/>
        <w:ind w:firstLine="482"/>
      </w:pPr>
      <w:r>
        <w:rPr>
          <w:rFonts w:hint="eastAsia"/>
        </w:rPr>
        <w:t>四、项目绩效评价</w:t>
      </w:r>
    </w:p>
    <w:p w14:paraId="10E1D82E" w14:textId="63FCD1C6" w:rsidR="004315CB" w:rsidRDefault="004315CB" w:rsidP="004315CB">
      <w:pPr>
        <w:pStyle w:val="13"/>
      </w:pPr>
      <w:r>
        <w:rPr>
          <w:rFonts w:hint="eastAsia"/>
        </w:rPr>
        <w:t>评估机构开展</w:t>
      </w:r>
      <w:r w:rsidR="002B14BC">
        <w:t>PPP</w:t>
      </w:r>
      <w:r>
        <w:t>项目绩效评价工作时，应当结合</w:t>
      </w:r>
      <w:r w:rsidR="002B14BC">
        <w:t>PPP</w:t>
      </w:r>
      <w:r>
        <w:t>项目的特点，对项目绩效进行科学、客观、公正的评价。绩效评价工作通常结合</w:t>
      </w:r>
      <w:r w:rsidR="002B14BC">
        <w:t>PPP</w:t>
      </w:r>
      <w:r>
        <w:t>项目预先设定的绩效目标</w:t>
      </w:r>
      <w:r w:rsidR="003068F8">
        <w:t>，</w:t>
      </w:r>
      <w:r>
        <w:t>运用科学的评价标准、指标和方法开展评价。项目绩效评价通常以项目目标为导向，对项目全过程进行综合评价，全面考察项目的设计、实施、管理、结果及影响，</w:t>
      </w:r>
      <w:r>
        <w:lastRenderedPageBreak/>
        <w:t>旨在为改进项目设计、完善项目管理、提升项目绩效、优化政府决策和有效推广</w:t>
      </w:r>
      <w:r w:rsidR="002B14BC">
        <w:t>PPP</w:t>
      </w:r>
      <w:r>
        <w:t>模式提供信息。</w:t>
      </w:r>
    </w:p>
    <w:p w14:paraId="0BC52929" w14:textId="1A0C7D8E" w:rsidR="004315CB" w:rsidRDefault="004315CB" w:rsidP="00AF7342">
      <w:pPr>
        <w:pStyle w:val="a9"/>
        <w:spacing w:before="62" w:after="62"/>
      </w:pPr>
      <w:r>
        <w:rPr>
          <w:rFonts w:hint="eastAsia"/>
        </w:rPr>
        <w:t>第二章</w:t>
      </w:r>
      <w:r w:rsidR="002B14BC">
        <w:t>PPP</w:t>
      </w:r>
      <w:r>
        <w:t>项目实施方案编写具体操作要求</w:t>
      </w:r>
    </w:p>
    <w:p w14:paraId="25C8BB59" w14:textId="77777777" w:rsidR="004315CB" w:rsidRDefault="004315CB" w:rsidP="00AF7342">
      <w:pPr>
        <w:pStyle w:val="a9"/>
        <w:spacing w:before="62" w:after="62"/>
      </w:pPr>
      <w:r>
        <w:rPr>
          <w:rFonts w:hint="eastAsia"/>
        </w:rPr>
        <w:t>第一节</w:t>
      </w:r>
      <w:r>
        <w:t xml:space="preserve"> 项目实施方案编写的基本要求</w:t>
      </w:r>
    </w:p>
    <w:p w14:paraId="20C81AAD" w14:textId="0C91954E" w:rsidR="004315CB" w:rsidRDefault="002B14BC" w:rsidP="004315CB">
      <w:pPr>
        <w:pStyle w:val="13"/>
      </w:pPr>
      <w:r>
        <w:t>PPP</w:t>
      </w:r>
      <w:r w:rsidR="004315CB">
        <w:t>项目实施方案是为了帮助政府与社会资本顺利完成具体</w:t>
      </w:r>
      <w:r>
        <w:t>PPP</w:t>
      </w:r>
      <w:r w:rsidR="004315CB">
        <w:t>项目，达到预期目的，从项目内容、目标及工作步骤等做出全面、具体的计划。</w:t>
      </w:r>
      <w:r>
        <w:t>PPP</w:t>
      </w:r>
      <w:r w:rsidR="004315CB">
        <w:t>项目实施方案具有全面指导</w:t>
      </w:r>
      <w:r>
        <w:t>PPP</w:t>
      </w:r>
      <w:r w:rsidR="004315CB">
        <w:t>项目实施的作用，编写项目实施方案时需要关注以下几点：</w:t>
      </w:r>
    </w:p>
    <w:p w14:paraId="37B4346B" w14:textId="62A5E487" w:rsidR="004315CB" w:rsidRDefault="004315CB" w:rsidP="004315CB">
      <w:pPr>
        <w:pStyle w:val="13"/>
      </w:pPr>
      <w:r>
        <w:rPr>
          <w:rFonts w:hint="eastAsia"/>
        </w:rPr>
        <w:t>一、</w:t>
      </w:r>
      <w:r>
        <w:t>PPP项目实施方案的制定需要根据政府有关法律法规及政策等规范性文件制定</w:t>
      </w:r>
      <w:r w:rsidR="003068F8">
        <w:t>，</w:t>
      </w:r>
      <w:r>
        <w:t>还应该考虑项目的实际工作要求、公共产出及实施单位的情况。</w:t>
      </w:r>
    </w:p>
    <w:p w14:paraId="174BB0FC" w14:textId="0AC281E3" w:rsidR="004315CB" w:rsidRDefault="004315CB" w:rsidP="004315CB">
      <w:pPr>
        <w:pStyle w:val="13"/>
      </w:pPr>
      <w:r>
        <w:rPr>
          <w:rFonts w:hint="eastAsia"/>
        </w:rPr>
        <w:t>二、项目实施工作中的每一个关键环节都需要在</w:t>
      </w:r>
      <w:r w:rsidR="002B14BC">
        <w:t>PPP</w:t>
      </w:r>
      <w:r>
        <w:t>项目实施方案中体现，实现实施目标具体、明确并且重点突出，实施步骤安排详尽、切合实际。实施方案通常需要具体落实项目进度安排、责任分工、配套保障等，且重要工作均要制定明确的量化考核指标，在关键问题上进行详细的说明。</w:t>
      </w:r>
    </w:p>
    <w:p w14:paraId="760DFB7A" w14:textId="7C391123" w:rsidR="004315CB" w:rsidRDefault="004315CB" w:rsidP="00B64580">
      <w:pPr>
        <w:pStyle w:val="13"/>
      </w:pPr>
      <w:r>
        <w:rPr>
          <w:rFonts w:hint="eastAsia"/>
        </w:rPr>
        <w:t>三、</w:t>
      </w:r>
      <w:r>
        <w:t>PPP项目的优势之一就是政府与社会资本能够优势互补，提高效率，因此PPP</w:t>
      </w:r>
      <w:r>
        <w:rPr>
          <w:rFonts w:hint="eastAsia"/>
        </w:rPr>
        <w:t>项目实施方案在做出明确、细致安排时需要体现目标实施的效率性。</w:t>
      </w:r>
    </w:p>
    <w:p w14:paraId="1175725B" w14:textId="183F37C3" w:rsidR="004315CB" w:rsidRDefault="004315CB" w:rsidP="004315CB">
      <w:pPr>
        <w:pStyle w:val="13"/>
      </w:pPr>
      <w:r>
        <w:rPr>
          <w:rFonts w:hint="eastAsia"/>
        </w:rPr>
        <w:t>四、</w:t>
      </w:r>
      <w:r>
        <w:t>PPP项目实施方案是开展</w:t>
      </w:r>
      <w:r w:rsidR="002B14BC">
        <w:t>PPP</w:t>
      </w:r>
      <w:r>
        <w:t>项目工作或活动的前提和基础，</w:t>
      </w:r>
      <w:r w:rsidR="002B14BC">
        <w:t>PPP</w:t>
      </w:r>
      <w:r>
        <w:t>项目实施方案应当具有较强的可操作性。政府或项目实施机构、社会资本需要按照实施方案里的内容认真组织实施。</w:t>
      </w:r>
    </w:p>
    <w:p w14:paraId="61B0CA6C" w14:textId="77777777" w:rsidR="004315CB" w:rsidRDefault="004315CB" w:rsidP="00AF7342">
      <w:pPr>
        <w:pStyle w:val="a9"/>
        <w:spacing w:before="62" w:after="62"/>
      </w:pPr>
      <w:r>
        <w:rPr>
          <w:rFonts w:hint="eastAsia"/>
        </w:rPr>
        <w:t>第二节</w:t>
      </w:r>
      <w:r>
        <w:t xml:space="preserve"> 方案编写前的资料收集</w:t>
      </w:r>
    </w:p>
    <w:p w14:paraId="4D01D757" w14:textId="3EA7B944" w:rsidR="00B64580" w:rsidRDefault="004315CB" w:rsidP="004315CB">
      <w:pPr>
        <w:pStyle w:val="13"/>
      </w:pPr>
      <w:r>
        <w:t>PPP项目实施方案编写前，通常根据</w:t>
      </w:r>
      <w:r w:rsidR="002B14BC">
        <w:t>PPP</w:t>
      </w:r>
      <w:r>
        <w:t>项目的具体情况收集如下相关资料：</w:t>
      </w:r>
    </w:p>
    <w:p w14:paraId="5652885F" w14:textId="00AECD2D" w:rsidR="004315CB" w:rsidRDefault="004315CB" w:rsidP="00B64580">
      <w:pPr>
        <w:pStyle w:val="ab"/>
        <w:spacing w:before="62" w:after="62"/>
        <w:ind w:firstLine="482"/>
      </w:pPr>
      <w:r>
        <w:t>一、项目基础性资料</w:t>
      </w:r>
    </w:p>
    <w:p w14:paraId="37467702" w14:textId="77777777" w:rsidR="004315CB" w:rsidRDefault="004315CB" w:rsidP="004315CB">
      <w:pPr>
        <w:pStyle w:val="13"/>
      </w:pPr>
      <w:r>
        <w:rPr>
          <w:rFonts w:hint="eastAsia"/>
        </w:rPr>
        <w:t>（一）项目相关的法律法规、规章制度及政策；</w:t>
      </w:r>
    </w:p>
    <w:p w14:paraId="2550610B" w14:textId="77777777" w:rsidR="004315CB" w:rsidRDefault="004315CB" w:rsidP="004315CB">
      <w:pPr>
        <w:pStyle w:val="13"/>
      </w:pPr>
      <w:r>
        <w:rPr>
          <w:rFonts w:hint="eastAsia"/>
        </w:rPr>
        <w:t>（二）与项目运营相关的宏观经济、区域经济、产业经济的资料；</w:t>
      </w:r>
    </w:p>
    <w:p w14:paraId="17A7AA41" w14:textId="77777777" w:rsidR="004315CB" w:rsidRDefault="004315CB" w:rsidP="004315CB">
      <w:pPr>
        <w:pStyle w:val="13"/>
      </w:pPr>
      <w:r>
        <w:rPr>
          <w:rFonts w:hint="eastAsia"/>
        </w:rPr>
        <w:t>（三）与项目运营相关的行业现状与发展前景的资料；</w:t>
      </w:r>
    </w:p>
    <w:p w14:paraId="163B4F7D" w14:textId="77777777" w:rsidR="004315CB" w:rsidRDefault="004315CB" w:rsidP="004315CB">
      <w:pPr>
        <w:pStyle w:val="13"/>
      </w:pPr>
      <w:r>
        <w:rPr>
          <w:rFonts w:hint="eastAsia"/>
        </w:rPr>
        <w:t>（四）与项目建设相关的技术规范与标准；</w:t>
      </w:r>
    </w:p>
    <w:p w14:paraId="7C653A02" w14:textId="77777777" w:rsidR="004315CB" w:rsidRDefault="004315CB" w:rsidP="004315CB">
      <w:pPr>
        <w:pStyle w:val="13"/>
      </w:pPr>
      <w:r>
        <w:rPr>
          <w:rFonts w:hint="eastAsia"/>
        </w:rPr>
        <w:t>（五）与项目建设内容相关的规划资料，包括区域发展规划及项目详细规划；</w:t>
      </w:r>
    </w:p>
    <w:p w14:paraId="5E8A5380" w14:textId="77777777" w:rsidR="00B64580" w:rsidRDefault="004315CB" w:rsidP="004315CB">
      <w:pPr>
        <w:pStyle w:val="13"/>
      </w:pPr>
      <w:r>
        <w:rPr>
          <w:rFonts w:hint="eastAsia"/>
        </w:rPr>
        <w:t>（六）关于项目立项审批、批复等文件。</w:t>
      </w:r>
    </w:p>
    <w:p w14:paraId="526F697E" w14:textId="7E1DF699" w:rsidR="004315CB" w:rsidRDefault="004315CB" w:rsidP="00B64580">
      <w:pPr>
        <w:pStyle w:val="ab"/>
        <w:spacing w:before="62" w:after="62"/>
        <w:ind w:firstLine="482"/>
      </w:pPr>
      <w:r>
        <w:rPr>
          <w:rFonts w:hint="eastAsia"/>
        </w:rPr>
        <w:t>二、项目相关业务资料</w:t>
      </w:r>
    </w:p>
    <w:p w14:paraId="172EEFE7" w14:textId="77777777" w:rsidR="004315CB" w:rsidRDefault="004315CB" w:rsidP="004315CB">
      <w:pPr>
        <w:pStyle w:val="13"/>
      </w:pPr>
      <w:r>
        <w:rPr>
          <w:rFonts w:hint="eastAsia"/>
        </w:rPr>
        <w:t>（一）项目可</w:t>
      </w:r>
      <w:proofErr w:type="gramStart"/>
      <w:r>
        <w:rPr>
          <w:rFonts w:hint="eastAsia"/>
        </w:rPr>
        <w:t>研</w:t>
      </w:r>
      <w:proofErr w:type="gramEnd"/>
      <w:r>
        <w:rPr>
          <w:rFonts w:hint="eastAsia"/>
        </w:rPr>
        <w:t>报告及相关评价分析报告；</w:t>
      </w:r>
    </w:p>
    <w:p w14:paraId="4C475905" w14:textId="77777777" w:rsidR="004315CB" w:rsidRDefault="004315CB" w:rsidP="004315CB">
      <w:pPr>
        <w:pStyle w:val="13"/>
      </w:pPr>
      <w:r>
        <w:rPr>
          <w:rFonts w:hint="eastAsia"/>
        </w:rPr>
        <w:t>（二）项目进展现状相关资料；</w:t>
      </w:r>
    </w:p>
    <w:p w14:paraId="682EED28" w14:textId="77777777" w:rsidR="004315CB" w:rsidRDefault="004315CB" w:rsidP="004315CB">
      <w:pPr>
        <w:pStyle w:val="13"/>
      </w:pPr>
      <w:r>
        <w:rPr>
          <w:rFonts w:hint="eastAsia"/>
        </w:rPr>
        <w:t>（三）项目识别阶段的物有所值评价报告；</w:t>
      </w:r>
    </w:p>
    <w:p w14:paraId="6B4CF74A" w14:textId="77777777" w:rsidR="004315CB" w:rsidRDefault="004315CB" w:rsidP="004315CB">
      <w:pPr>
        <w:pStyle w:val="13"/>
      </w:pPr>
      <w:r>
        <w:rPr>
          <w:rFonts w:hint="eastAsia"/>
        </w:rPr>
        <w:t>（四）项目识别阶段的财政承受能力论证报告；</w:t>
      </w:r>
    </w:p>
    <w:p w14:paraId="02B7B0F9" w14:textId="77777777" w:rsidR="004315CB" w:rsidRDefault="004315CB" w:rsidP="004315CB">
      <w:pPr>
        <w:pStyle w:val="13"/>
      </w:pPr>
      <w:r>
        <w:rPr>
          <w:rFonts w:hint="eastAsia"/>
        </w:rPr>
        <w:t>（五）在建工程收集项目前期的建设资料，包括建设相关批文、规划设计、建设</w:t>
      </w:r>
      <w:r>
        <w:rPr>
          <w:rFonts w:hint="eastAsia"/>
        </w:rPr>
        <w:lastRenderedPageBreak/>
        <w:t>验收、运营维护等，以及债权债务转移意向资料等资料；</w:t>
      </w:r>
    </w:p>
    <w:p w14:paraId="5C0CE0E6" w14:textId="77777777" w:rsidR="004315CB" w:rsidRDefault="004315CB" w:rsidP="004315CB">
      <w:pPr>
        <w:pStyle w:val="13"/>
      </w:pPr>
      <w:r>
        <w:rPr>
          <w:rFonts w:hint="eastAsia"/>
        </w:rPr>
        <w:t>（六）政府配套资金和配套政策；</w:t>
      </w:r>
    </w:p>
    <w:p w14:paraId="751CCA58" w14:textId="77777777" w:rsidR="004315CB" w:rsidRDefault="004315CB" w:rsidP="004315CB">
      <w:pPr>
        <w:pStyle w:val="13"/>
      </w:pPr>
      <w:r>
        <w:rPr>
          <w:rFonts w:hint="eastAsia"/>
        </w:rPr>
        <w:t>（七）现时公共产品或公共服务的定价资料；</w:t>
      </w:r>
    </w:p>
    <w:p w14:paraId="6C8B8D4C" w14:textId="77777777" w:rsidR="004315CB" w:rsidRDefault="004315CB" w:rsidP="004315CB">
      <w:pPr>
        <w:pStyle w:val="13"/>
      </w:pPr>
      <w:r>
        <w:rPr>
          <w:rFonts w:hint="eastAsia"/>
        </w:rPr>
        <w:t>（八）财政近期的公共预算的收支情况；</w:t>
      </w:r>
    </w:p>
    <w:p w14:paraId="40B89C36" w14:textId="77777777" w:rsidR="004315CB" w:rsidRDefault="004315CB" w:rsidP="004315CB">
      <w:pPr>
        <w:pStyle w:val="13"/>
      </w:pPr>
      <w:r>
        <w:rPr>
          <w:rFonts w:hint="eastAsia"/>
        </w:rPr>
        <w:t>（九）与本项目相关的其他项目资料。</w:t>
      </w:r>
    </w:p>
    <w:p w14:paraId="054DAA59" w14:textId="77777777" w:rsidR="004315CB" w:rsidRDefault="004315CB" w:rsidP="00AF7342">
      <w:pPr>
        <w:pStyle w:val="a9"/>
        <w:spacing w:before="62" w:after="62"/>
      </w:pPr>
      <w:r>
        <w:rPr>
          <w:rFonts w:hint="eastAsia"/>
        </w:rPr>
        <w:t>第三节</w:t>
      </w:r>
      <w:r>
        <w:t xml:space="preserve"> 项目实施方案编写的具体内容及要求</w:t>
      </w:r>
    </w:p>
    <w:p w14:paraId="0F8CCCEF" w14:textId="77777777" w:rsidR="004315CB" w:rsidRDefault="004315CB" w:rsidP="004315CB">
      <w:pPr>
        <w:pStyle w:val="13"/>
      </w:pPr>
      <w:r>
        <w:rPr>
          <w:rFonts w:hint="eastAsia"/>
        </w:rPr>
        <w:t>评估机构在编写实施方案时通常包括项目概况、风险分配框架、项目运作方式、交易结构、监管架构、采购方式、合同体系、财务测算等内容。</w:t>
      </w:r>
    </w:p>
    <w:p w14:paraId="279EB3EF" w14:textId="77777777" w:rsidR="004315CB" w:rsidRDefault="004315CB" w:rsidP="00B64580">
      <w:pPr>
        <w:pStyle w:val="ab"/>
        <w:spacing w:before="62" w:after="62"/>
        <w:ind w:firstLine="482"/>
      </w:pPr>
      <w:r>
        <w:rPr>
          <w:rFonts w:hint="eastAsia"/>
        </w:rPr>
        <w:t>一、项目概况</w:t>
      </w:r>
    </w:p>
    <w:p w14:paraId="0E6999C4" w14:textId="6A4FE885" w:rsidR="004315CB" w:rsidRDefault="004315CB" w:rsidP="004315CB">
      <w:pPr>
        <w:pStyle w:val="13"/>
      </w:pPr>
      <w:r>
        <w:rPr>
          <w:rFonts w:hint="eastAsia"/>
        </w:rPr>
        <w:t>项目概况是对</w:t>
      </w:r>
      <w:r w:rsidR="002B14BC">
        <w:t>PPP</w:t>
      </w:r>
      <w:r>
        <w:t>项目关键要素的基本情况介绍，包括项目名称、项目建设内容、项目产出说明、项目的可行性、经济效益评价、物有所值评价、社会效益评价、项目进度安排、项目投资情况等。</w:t>
      </w:r>
    </w:p>
    <w:p w14:paraId="043CA1B0" w14:textId="77777777" w:rsidR="004315CB" w:rsidRDefault="004315CB" w:rsidP="004315CB">
      <w:pPr>
        <w:pStyle w:val="13"/>
      </w:pPr>
      <w:r>
        <w:rPr>
          <w:rFonts w:hint="eastAsia"/>
        </w:rPr>
        <w:t>（一）项目名称</w:t>
      </w:r>
    </w:p>
    <w:p w14:paraId="25139A3B" w14:textId="77777777" w:rsidR="004315CB" w:rsidRDefault="004315CB" w:rsidP="004315CB">
      <w:pPr>
        <w:pStyle w:val="13"/>
      </w:pPr>
      <w:r>
        <w:rPr>
          <w:rFonts w:hint="eastAsia"/>
        </w:rPr>
        <w:t>实施方案项目名称主要包括项目名称、类型（新建或扩建、更新改造等）、地点、联系人等。</w:t>
      </w:r>
    </w:p>
    <w:p w14:paraId="7C10933C" w14:textId="77777777" w:rsidR="004315CB" w:rsidRDefault="004315CB" w:rsidP="004315CB">
      <w:pPr>
        <w:pStyle w:val="13"/>
      </w:pPr>
      <w:r>
        <w:rPr>
          <w:rFonts w:hint="eastAsia"/>
        </w:rPr>
        <w:t>（二）项目建设内容</w:t>
      </w:r>
    </w:p>
    <w:p w14:paraId="22ED61C8" w14:textId="77777777" w:rsidR="004315CB" w:rsidRDefault="004315CB" w:rsidP="004315CB">
      <w:pPr>
        <w:pStyle w:val="13"/>
      </w:pPr>
      <w:r>
        <w:rPr>
          <w:rFonts w:hint="eastAsia"/>
        </w:rPr>
        <w:t>项目建设内容主要包括项目建设规模、建设标准等基本情况以及项目的技术路线。</w:t>
      </w:r>
    </w:p>
    <w:p w14:paraId="07CCE83D" w14:textId="77777777" w:rsidR="004315CB" w:rsidRDefault="004315CB" w:rsidP="004315CB">
      <w:pPr>
        <w:pStyle w:val="13"/>
      </w:pPr>
      <w:r>
        <w:rPr>
          <w:rFonts w:hint="eastAsia"/>
        </w:rPr>
        <w:t>（三）项目产出说明</w:t>
      </w:r>
    </w:p>
    <w:p w14:paraId="5AF61093" w14:textId="77777777" w:rsidR="004315CB" w:rsidRDefault="004315CB" w:rsidP="004315CB">
      <w:pPr>
        <w:pStyle w:val="13"/>
      </w:pPr>
      <w:r>
        <w:rPr>
          <w:rFonts w:hint="eastAsia"/>
        </w:rPr>
        <w:t>项目产出说明主要包括项目提供产品或服务的质量和数量、项目提供产品或服务的价格和标准、项目的可持续性、项目受</w:t>
      </w:r>
      <w:proofErr w:type="gramStart"/>
      <w:r>
        <w:rPr>
          <w:rFonts w:hint="eastAsia"/>
        </w:rPr>
        <w:t>众对象</w:t>
      </w:r>
      <w:proofErr w:type="gramEnd"/>
      <w:r>
        <w:rPr>
          <w:rFonts w:hint="eastAsia"/>
        </w:rPr>
        <w:t>及规模、满足项目需求的项目设施资产等。</w:t>
      </w:r>
    </w:p>
    <w:p w14:paraId="2CE6BBE2" w14:textId="77777777" w:rsidR="004315CB" w:rsidRDefault="004315CB" w:rsidP="004315CB">
      <w:pPr>
        <w:pStyle w:val="13"/>
      </w:pPr>
      <w:r>
        <w:rPr>
          <w:rFonts w:hint="eastAsia"/>
        </w:rPr>
        <w:t>（四）项目的可行性</w:t>
      </w:r>
    </w:p>
    <w:p w14:paraId="2AC296D5" w14:textId="6548A254" w:rsidR="004315CB" w:rsidRDefault="004315CB" w:rsidP="004315CB">
      <w:pPr>
        <w:pStyle w:val="13"/>
      </w:pPr>
      <w:r>
        <w:rPr>
          <w:rFonts w:hint="eastAsia"/>
        </w:rPr>
        <w:t>项目的可行性通常包括工程可行性、项目前期的合</w:t>
      </w:r>
      <w:proofErr w:type="gramStart"/>
      <w:r>
        <w:rPr>
          <w:rFonts w:hint="eastAsia"/>
        </w:rPr>
        <w:t>规</w:t>
      </w:r>
      <w:proofErr w:type="gramEnd"/>
      <w:r>
        <w:rPr>
          <w:rFonts w:hint="eastAsia"/>
        </w:rPr>
        <w:t>性、项目采用</w:t>
      </w:r>
      <w:r w:rsidR="002B14BC">
        <w:t>PPP</w:t>
      </w:r>
      <w:r>
        <w:t>模式的可行性、行业主管部门和融资平台意愿、项目对社会资本的吸引力分析、债权人转换配合意愿及担保解除可能性等。</w:t>
      </w:r>
    </w:p>
    <w:p w14:paraId="37F4B01E" w14:textId="3E992B39" w:rsidR="004315CB" w:rsidRDefault="004315CB" w:rsidP="004315CB">
      <w:pPr>
        <w:pStyle w:val="13"/>
      </w:pPr>
      <w:r>
        <w:rPr>
          <w:rFonts w:hint="eastAsia"/>
        </w:rPr>
        <w:t>工程可行性通常从</w:t>
      </w:r>
      <w:r w:rsidR="002B14BC">
        <w:t>PPP</w:t>
      </w:r>
      <w:r>
        <w:t>项目的工程建设地施工条件、技术路线、征地补偿等方面分析工程的可行性和可控性。</w:t>
      </w:r>
    </w:p>
    <w:p w14:paraId="41154D3C" w14:textId="77777777" w:rsidR="004315CB" w:rsidRDefault="004315CB" w:rsidP="004315CB">
      <w:pPr>
        <w:pStyle w:val="13"/>
      </w:pPr>
      <w:r>
        <w:rPr>
          <w:rFonts w:hint="eastAsia"/>
        </w:rPr>
        <w:t>项目建设的合</w:t>
      </w:r>
      <w:proofErr w:type="gramStart"/>
      <w:r>
        <w:rPr>
          <w:rFonts w:hint="eastAsia"/>
        </w:rPr>
        <w:t>规</w:t>
      </w:r>
      <w:proofErr w:type="gramEnd"/>
      <w:r>
        <w:rPr>
          <w:rFonts w:hint="eastAsia"/>
        </w:rPr>
        <w:t>性可以从项目的立项、环评、水保、规划等各项前期工作的实际进展情况入手，重点说明批复情况。</w:t>
      </w:r>
    </w:p>
    <w:p w14:paraId="74C203B5" w14:textId="698DEE76" w:rsidR="004315CB" w:rsidRDefault="004315CB" w:rsidP="00B64580">
      <w:pPr>
        <w:pStyle w:val="13"/>
      </w:pPr>
      <w:r>
        <w:rPr>
          <w:rFonts w:hint="eastAsia"/>
        </w:rPr>
        <w:t>项目采用</w:t>
      </w:r>
      <w:r w:rsidR="002B14BC">
        <w:t>PPP</w:t>
      </w:r>
      <w:r>
        <w:t>模式的可行性，包括项目是否具有价格调整机制相对灵活、市场化程度相对较高、投资规模相对较大、需求长期稳定等特点。项目所提供公共产品或公共服务具体类型及设定的产出目标</w:t>
      </w:r>
      <w:r>
        <w:rPr>
          <w:rFonts w:hint="eastAsia"/>
        </w:rPr>
        <w:t>是否符合国家产业发展方向，是否与当地实际</w:t>
      </w:r>
      <w:r>
        <w:rPr>
          <w:rFonts w:hint="eastAsia"/>
        </w:rPr>
        <w:lastRenderedPageBreak/>
        <w:t>社会与经济发展状况及需求相适应</w:t>
      </w:r>
      <w:r w:rsidR="003068F8">
        <w:rPr>
          <w:rFonts w:hint="eastAsia"/>
        </w:rPr>
        <w:t>，</w:t>
      </w:r>
      <w:r>
        <w:t>是否具有长期稳定的产品或服务需求，并符合</w:t>
      </w:r>
      <w:r w:rsidR="002B14BC">
        <w:t>PPP</w:t>
      </w:r>
      <w:r>
        <w:t>相关法律、法规及政策的要求。</w:t>
      </w:r>
    </w:p>
    <w:p w14:paraId="52151B75" w14:textId="26962623" w:rsidR="004315CB" w:rsidRDefault="004315CB" w:rsidP="004315CB">
      <w:pPr>
        <w:pStyle w:val="13"/>
      </w:pPr>
      <w:r>
        <w:rPr>
          <w:rFonts w:hint="eastAsia"/>
        </w:rPr>
        <w:t>行业主管部门和融资平台意愿通常明确政府采用</w:t>
      </w:r>
      <w:r w:rsidR="002B14BC">
        <w:t>PPP</w:t>
      </w:r>
      <w:r>
        <w:t>模式的原因，</w:t>
      </w:r>
      <w:r w:rsidR="002B14BC">
        <w:t>PPP</w:t>
      </w:r>
      <w:r>
        <w:t>模式对政府及行业主管部门的影响，</w:t>
      </w:r>
      <w:r w:rsidR="002B14BC">
        <w:t>PPP</w:t>
      </w:r>
      <w:r>
        <w:t>模式与政府及行业主管部门长远利益的切合关系。</w:t>
      </w:r>
    </w:p>
    <w:p w14:paraId="0ECB3624" w14:textId="77777777" w:rsidR="004315CB" w:rsidRDefault="004315CB" w:rsidP="004315CB">
      <w:pPr>
        <w:pStyle w:val="13"/>
      </w:pPr>
      <w:r>
        <w:rPr>
          <w:rFonts w:hint="eastAsia"/>
        </w:rPr>
        <w:t>对社会资本的吸引力通常从经营收益价值、可行性缺口补助改善项目现金流、资产溢价效应等三个方面分析；通常还关注能满足项目投资规模大小及所需行业管理经验潜在的社会资本具体数量，项目优惠条件、风险、政府管控能力等。</w:t>
      </w:r>
    </w:p>
    <w:p w14:paraId="24E8C65E" w14:textId="77777777" w:rsidR="004315CB" w:rsidRDefault="004315CB" w:rsidP="004315CB">
      <w:pPr>
        <w:pStyle w:val="13"/>
      </w:pPr>
      <w:r>
        <w:rPr>
          <w:rFonts w:hint="eastAsia"/>
        </w:rPr>
        <w:t>（五）经济效益评价</w:t>
      </w:r>
    </w:p>
    <w:p w14:paraId="110EBBF9" w14:textId="77777777" w:rsidR="004315CB" w:rsidRDefault="004315CB" w:rsidP="004315CB">
      <w:pPr>
        <w:pStyle w:val="13"/>
      </w:pPr>
      <w:r>
        <w:rPr>
          <w:rFonts w:hint="eastAsia"/>
        </w:rPr>
        <w:t>经济效益评价一般可以从以下几个方面进行分析：一是从稳定增长的使用者付费收入足以满足投资进行分析，二是从配套经营资源稳定的收入和增长进行分析；三是从政府的财政能力足以确保财政补助的角度出发，分析项目本身支出占财政比例，分析项目对地区经济发展、财政收入贡献，及财政收入增长的前景。评估机构在可能的情况下尽量量化分析。</w:t>
      </w:r>
    </w:p>
    <w:p w14:paraId="7D4DFF4B" w14:textId="77777777" w:rsidR="004315CB" w:rsidRDefault="004315CB" w:rsidP="004315CB">
      <w:pPr>
        <w:pStyle w:val="13"/>
      </w:pPr>
      <w:r>
        <w:rPr>
          <w:rFonts w:hint="eastAsia"/>
        </w:rPr>
        <w:t>（六）物有所值评价</w:t>
      </w:r>
    </w:p>
    <w:p w14:paraId="3447D729" w14:textId="105A28BE" w:rsidR="004315CB" w:rsidRDefault="004315CB" w:rsidP="004315CB">
      <w:pPr>
        <w:pStyle w:val="13"/>
      </w:pPr>
      <w:r>
        <w:rPr>
          <w:rFonts w:hint="eastAsia"/>
        </w:rPr>
        <w:t>物有所值评价包括定性和定量两个方面。定性评价阐明项目采用</w:t>
      </w:r>
      <w:r w:rsidR="002B14BC">
        <w:t>PPP</w:t>
      </w:r>
      <w:r>
        <w:t>模式与采用政府传统采购模式相比是否增加供给、优化风险分配、提高运营效率、促进创新和公平竞争等。定量评价写明项目采用</w:t>
      </w:r>
      <w:r w:rsidR="002B14BC">
        <w:t>PPP</w:t>
      </w:r>
      <w:r>
        <w:t>模式与采用政府传统采购模式相比全生命周期成本降低数值。</w:t>
      </w:r>
    </w:p>
    <w:p w14:paraId="4315FD90" w14:textId="77777777" w:rsidR="004315CB" w:rsidRDefault="004315CB" w:rsidP="004315CB">
      <w:pPr>
        <w:pStyle w:val="13"/>
      </w:pPr>
      <w:r>
        <w:rPr>
          <w:rFonts w:hint="eastAsia"/>
        </w:rPr>
        <w:t>（七）社会效益评价</w:t>
      </w:r>
    </w:p>
    <w:p w14:paraId="16161188" w14:textId="1F145452" w:rsidR="004315CB" w:rsidRDefault="002B14BC" w:rsidP="00B64580">
      <w:pPr>
        <w:pStyle w:val="13"/>
      </w:pPr>
      <w:r>
        <w:t>PPP</w:t>
      </w:r>
      <w:r w:rsidR="004315CB">
        <w:t>项目社会效益评价，通常主要包括：项目对当地技术、就业、</w:t>
      </w:r>
      <w:r w:rsidR="004315CB">
        <w:rPr>
          <w:rFonts w:hint="eastAsia"/>
        </w:rPr>
        <w:t>收益分配、产业结构调整、资源环境等方面的贡献；通常还关注实施地公众对项目的接纳意愿；项目实施过程中可能产生影响社会公众利益的事项及其对工程可能的负面影响等。</w:t>
      </w:r>
    </w:p>
    <w:p w14:paraId="67AB52BD" w14:textId="77777777" w:rsidR="004315CB" w:rsidRDefault="004315CB" w:rsidP="004315CB">
      <w:pPr>
        <w:pStyle w:val="13"/>
      </w:pPr>
      <w:r>
        <w:rPr>
          <w:rFonts w:hint="eastAsia"/>
        </w:rPr>
        <w:t>（八）项目进度安排</w:t>
      </w:r>
    </w:p>
    <w:p w14:paraId="32920FAD" w14:textId="77777777" w:rsidR="004315CB" w:rsidRDefault="004315CB" w:rsidP="004315CB">
      <w:pPr>
        <w:pStyle w:val="13"/>
      </w:pPr>
      <w:r>
        <w:rPr>
          <w:rFonts w:hint="eastAsia"/>
        </w:rPr>
        <w:t>项目进度安排通常包括项目所处阶段（申报、设计、融资、采购、施工、运行）、潜在社会资本和纠纷情况、政府现有支持安排、开工和计划完成时间等。</w:t>
      </w:r>
    </w:p>
    <w:p w14:paraId="287032B8" w14:textId="77777777" w:rsidR="004315CB" w:rsidRDefault="004315CB" w:rsidP="004315CB">
      <w:pPr>
        <w:pStyle w:val="13"/>
      </w:pPr>
      <w:r>
        <w:rPr>
          <w:rFonts w:hint="eastAsia"/>
        </w:rPr>
        <w:t>（九）项目投资情况</w:t>
      </w:r>
    </w:p>
    <w:p w14:paraId="735692A2" w14:textId="77777777" w:rsidR="004315CB" w:rsidRDefault="004315CB" w:rsidP="004315CB">
      <w:pPr>
        <w:pStyle w:val="13"/>
      </w:pPr>
      <w:r>
        <w:rPr>
          <w:rFonts w:hint="eastAsia"/>
        </w:rPr>
        <w:t>项目投资通常包括项目总投资、资金投入安排、资金结构、资金来源、资金落实情况等。</w:t>
      </w:r>
    </w:p>
    <w:p w14:paraId="5B44503A" w14:textId="77777777" w:rsidR="004315CB" w:rsidRDefault="004315CB" w:rsidP="002B14BC">
      <w:pPr>
        <w:pStyle w:val="ab"/>
        <w:spacing w:before="62" w:after="62"/>
        <w:ind w:firstLine="482"/>
      </w:pPr>
      <w:r>
        <w:rPr>
          <w:rFonts w:hint="eastAsia"/>
        </w:rPr>
        <w:t>二、风险分配框架</w:t>
      </w:r>
    </w:p>
    <w:p w14:paraId="66C6B92E" w14:textId="5652A8A0" w:rsidR="004315CB" w:rsidRDefault="004315CB" w:rsidP="004315CB">
      <w:pPr>
        <w:pStyle w:val="13"/>
      </w:pPr>
      <w:r>
        <w:rPr>
          <w:rFonts w:hint="eastAsia"/>
        </w:rPr>
        <w:t>评估机构在编写项目实施方案时需要对</w:t>
      </w:r>
      <w:r w:rsidR="002B14BC">
        <w:t>PPP</w:t>
      </w:r>
      <w:r>
        <w:t>项目存在的风险进行识别，风险识别方法通常包括专家调查法、图解分析法、核对表法等。</w:t>
      </w:r>
    </w:p>
    <w:p w14:paraId="70BAFA11" w14:textId="77777777" w:rsidR="004315CB" w:rsidRDefault="004315CB" w:rsidP="004315CB">
      <w:pPr>
        <w:pStyle w:val="13"/>
      </w:pPr>
      <w:r>
        <w:rPr>
          <w:rFonts w:hint="eastAsia"/>
        </w:rPr>
        <w:t>实施方案风险分配框架通常包含项目风险清单、风险分配原则及分配方式、主要风险的分配及控制等。</w:t>
      </w:r>
    </w:p>
    <w:p w14:paraId="50184EA4" w14:textId="77777777" w:rsidR="004315CB" w:rsidRDefault="004315CB" w:rsidP="004315CB">
      <w:pPr>
        <w:pStyle w:val="13"/>
      </w:pPr>
      <w:r>
        <w:rPr>
          <w:rFonts w:hint="eastAsia"/>
        </w:rPr>
        <w:t>（一）项目风险清单</w:t>
      </w:r>
    </w:p>
    <w:p w14:paraId="4F8DDC25" w14:textId="5FD80AC7" w:rsidR="004315CB" w:rsidRDefault="004315CB" w:rsidP="004315CB">
      <w:pPr>
        <w:pStyle w:val="13"/>
      </w:pPr>
      <w:r>
        <w:rPr>
          <w:rFonts w:hint="eastAsia"/>
        </w:rPr>
        <w:lastRenderedPageBreak/>
        <w:t>风险识别时需要全面查找项目可能面临的主要风险。在不同采购模式下，项目主体面临的风险类别存在差异。在</w:t>
      </w:r>
      <w:r w:rsidR="002B14BC">
        <w:t>PPP</w:t>
      </w:r>
      <w:r>
        <w:t>模式下，政府和社会资本需要承担</w:t>
      </w:r>
      <w:r w:rsidR="002B14BC">
        <w:t>PPP</w:t>
      </w:r>
      <w:r>
        <w:t>项目风险和PPP项目合同执行风险；</w:t>
      </w:r>
    </w:p>
    <w:p w14:paraId="104346DE" w14:textId="428407E5" w:rsidR="004315CB" w:rsidRDefault="004315CB" w:rsidP="004315CB">
      <w:pPr>
        <w:pStyle w:val="13"/>
      </w:pPr>
      <w:r>
        <w:t>1、</w:t>
      </w:r>
      <w:r w:rsidR="002B14BC">
        <w:t>PPP</w:t>
      </w:r>
      <w:r>
        <w:t>项目风险</w:t>
      </w:r>
    </w:p>
    <w:p w14:paraId="00027ACF" w14:textId="66DA48EA" w:rsidR="004315CB" w:rsidRDefault="002B14BC" w:rsidP="004315CB">
      <w:pPr>
        <w:pStyle w:val="13"/>
      </w:pPr>
      <w:r>
        <w:t>PPP</w:t>
      </w:r>
      <w:r w:rsidR="004315CB">
        <w:t>项目风险可分为项目外部环境风险、项目内部环境风险和项目其他风险。项目外部环境风险又分为项目宏观环境风险和项目微观</w:t>
      </w:r>
    </w:p>
    <w:p w14:paraId="7A2E079A" w14:textId="77777777" w:rsidR="004315CB" w:rsidRDefault="004315CB" w:rsidP="004315CB">
      <w:pPr>
        <w:pStyle w:val="13"/>
      </w:pPr>
      <w:r>
        <w:rPr>
          <w:rFonts w:hint="eastAsia"/>
        </w:rPr>
        <w:t>环境风险。</w:t>
      </w:r>
    </w:p>
    <w:p w14:paraId="52E685D3" w14:textId="2FBF49B2" w:rsidR="004315CB" w:rsidRDefault="004315CB" w:rsidP="004315CB">
      <w:pPr>
        <w:pStyle w:val="13"/>
      </w:pPr>
      <w:r>
        <w:rPr>
          <w:rFonts w:hint="eastAsia"/>
        </w:rPr>
        <w:t>（</w:t>
      </w:r>
      <w:r>
        <w:t>1）项目宏观环境风险。项目宏观环境风险也可理解为项目间接环境风险，主要包括法律法规风险、财政政策风险、货币政策风险以及产业政策风险。</w:t>
      </w:r>
    </w:p>
    <w:p w14:paraId="70A8C00C" w14:textId="38FF36FC" w:rsidR="004315CB" w:rsidRDefault="004315CB" w:rsidP="004315CB">
      <w:pPr>
        <w:pStyle w:val="13"/>
      </w:pPr>
      <w:r>
        <w:rPr>
          <w:rFonts w:hint="eastAsia"/>
        </w:rPr>
        <w:t>（</w:t>
      </w:r>
      <w:r>
        <w:t>2）项目微观环境风险。项目微观环境风险也可理解为项目直接环境风险，一般包括以下3类：</w:t>
      </w:r>
    </w:p>
    <w:p w14:paraId="14DC88BE" w14:textId="0044CA45" w:rsidR="004315CB" w:rsidRDefault="004315CB" w:rsidP="004315CB">
      <w:pPr>
        <w:pStyle w:val="13"/>
      </w:pPr>
      <w:r>
        <w:t>1）产业链相关风险。产业链相关风险指与项目存在产业链关系，来源于项目上游或项目下游的风险；</w:t>
      </w:r>
    </w:p>
    <w:p w14:paraId="2ED15605" w14:textId="103B438A" w:rsidR="004315CB" w:rsidRDefault="004315CB" w:rsidP="00B64580">
      <w:pPr>
        <w:pStyle w:val="13"/>
      </w:pPr>
      <w:r>
        <w:t>2）监管审批相关风险。监管审批相关风险指来源于对项目直接规范、监管、审批、</w:t>
      </w:r>
      <w:r>
        <w:rPr>
          <w:rFonts w:hint="eastAsia"/>
        </w:rPr>
        <w:t>规划等方面的风险；</w:t>
      </w:r>
    </w:p>
    <w:p w14:paraId="685AD67C" w14:textId="4C9ABB9B" w:rsidR="00882ED4" w:rsidRDefault="004315CB" w:rsidP="004315CB">
      <w:pPr>
        <w:pStyle w:val="13"/>
      </w:pPr>
      <w:r>
        <w:t>3）其他外部直接风险。其他外部直接风险主要包括供给竞争风险、自然地质风险等其他对项目产生直接影响的风险。</w:t>
      </w:r>
    </w:p>
    <w:p w14:paraId="0FF9D0AD" w14:textId="33D3EA7F" w:rsidR="00B64580" w:rsidRDefault="00B64580" w:rsidP="00B64580">
      <w:pPr>
        <w:pStyle w:val="13"/>
      </w:pPr>
      <w:r>
        <w:rPr>
          <w:rFonts w:hint="eastAsia"/>
        </w:rPr>
        <w:t>（</w:t>
      </w:r>
      <w:r>
        <w:t>3）项目内部环境风险。项目内部环境反映了项目所拥有的客</w:t>
      </w:r>
      <w:r>
        <w:rPr>
          <w:rFonts w:hint="eastAsia"/>
        </w:rPr>
        <w:t>观物质条件、内部资源和项目实施主体的综合能力。项目内部环境风险可进一步区分为建造周期风险、运营周期风险和移交周期风险。</w:t>
      </w:r>
    </w:p>
    <w:p w14:paraId="5C6D9F25" w14:textId="63D7CA6C" w:rsidR="00B64580" w:rsidRDefault="00B64580" w:rsidP="00B64580">
      <w:pPr>
        <w:pStyle w:val="13"/>
      </w:pPr>
      <w:r>
        <w:rPr>
          <w:rFonts w:hint="eastAsia"/>
        </w:rPr>
        <w:t>（</w:t>
      </w:r>
      <w:r>
        <w:t>4）项目其他风险。项目其他风险主要包括项目征收风险和不</w:t>
      </w:r>
      <w:r>
        <w:rPr>
          <w:rFonts w:hint="eastAsia"/>
        </w:rPr>
        <w:t>可抗力风险。</w:t>
      </w:r>
    </w:p>
    <w:p w14:paraId="4A8E2301" w14:textId="07F09F70" w:rsidR="00882ED4" w:rsidRDefault="00B64580" w:rsidP="00B64580">
      <w:pPr>
        <w:pStyle w:val="13"/>
        <w:ind w:firstLineChars="0" w:firstLine="0"/>
        <w:jc w:val="center"/>
      </w:pPr>
      <w:r>
        <w:rPr>
          <w:rFonts w:hint="eastAsia"/>
        </w:rPr>
        <w:t>表</w:t>
      </w:r>
      <w:r>
        <w:t>2列出</w:t>
      </w:r>
      <w:r w:rsidR="002B14BC">
        <w:t>PPP</w:t>
      </w:r>
      <w:r>
        <w:t>项目主要风险分类、风险清单以及风险描述。</w:t>
      </w:r>
    </w:p>
    <w:tbl>
      <w:tblPr>
        <w:tblStyle w:val="af"/>
        <w:tblW w:w="5000" w:type="pct"/>
        <w:tblLook w:val="04A0" w:firstRow="1" w:lastRow="0" w:firstColumn="1" w:lastColumn="0" w:noHBand="0" w:noVBand="1"/>
      </w:tblPr>
      <w:tblGrid>
        <w:gridCol w:w="461"/>
        <w:gridCol w:w="469"/>
        <w:gridCol w:w="767"/>
        <w:gridCol w:w="1559"/>
        <w:gridCol w:w="5464"/>
      </w:tblGrid>
      <w:tr w:rsidR="00324A0D" w:rsidRPr="00B64580" w14:paraId="0044F535" w14:textId="77777777" w:rsidTr="00324A0D">
        <w:trPr>
          <w:trHeight w:val="1304"/>
          <w:tblHeader/>
        </w:trPr>
        <w:tc>
          <w:tcPr>
            <w:tcW w:w="264" w:type="pct"/>
            <w:vAlign w:val="center"/>
          </w:tcPr>
          <w:p w14:paraId="29E8645D" w14:textId="77777777" w:rsidR="00B64580" w:rsidRPr="00B64580" w:rsidRDefault="00B64580" w:rsidP="00B64580">
            <w:pPr>
              <w:pStyle w:val="13"/>
              <w:spacing w:line="240" w:lineRule="auto"/>
              <w:ind w:firstLineChars="0" w:firstLine="0"/>
              <w:jc w:val="center"/>
              <w:rPr>
                <w:sz w:val="21"/>
                <w:szCs w:val="21"/>
                <w:lang w:bidi="zh-CN"/>
              </w:rPr>
            </w:pPr>
            <w:r w:rsidRPr="00B64580">
              <w:rPr>
                <w:sz w:val="21"/>
                <w:szCs w:val="21"/>
                <w:lang w:bidi="zh-CN"/>
              </w:rPr>
              <w:t>一级分</w:t>
            </w:r>
          </w:p>
          <w:p w14:paraId="535F0F16" w14:textId="77777777" w:rsidR="00B64580" w:rsidRPr="00B64580" w:rsidRDefault="00B64580" w:rsidP="00B64580">
            <w:pPr>
              <w:pStyle w:val="13"/>
              <w:spacing w:line="240" w:lineRule="auto"/>
              <w:ind w:firstLineChars="0" w:firstLine="0"/>
              <w:jc w:val="center"/>
              <w:rPr>
                <w:sz w:val="21"/>
                <w:szCs w:val="21"/>
                <w:lang w:bidi="zh-CN"/>
              </w:rPr>
            </w:pPr>
            <w:r w:rsidRPr="00B64580">
              <w:rPr>
                <w:sz w:val="21"/>
                <w:szCs w:val="21"/>
                <w:lang w:bidi="zh-CN"/>
              </w:rPr>
              <w:t>类</w:t>
            </w:r>
          </w:p>
        </w:tc>
        <w:tc>
          <w:tcPr>
            <w:tcW w:w="269" w:type="pct"/>
            <w:vAlign w:val="center"/>
          </w:tcPr>
          <w:p w14:paraId="00D2ADE4" w14:textId="77777777" w:rsidR="00B64580" w:rsidRPr="00B64580" w:rsidRDefault="00B64580" w:rsidP="00B64580">
            <w:pPr>
              <w:pStyle w:val="13"/>
              <w:spacing w:line="240" w:lineRule="auto"/>
              <w:ind w:firstLineChars="0" w:firstLine="0"/>
              <w:jc w:val="center"/>
              <w:rPr>
                <w:sz w:val="21"/>
                <w:szCs w:val="21"/>
                <w:lang w:bidi="zh-CN"/>
              </w:rPr>
            </w:pPr>
            <w:r w:rsidRPr="00B64580">
              <w:rPr>
                <w:sz w:val="21"/>
                <w:szCs w:val="21"/>
                <w:lang w:bidi="zh-CN"/>
              </w:rPr>
              <w:t>二级分</w:t>
            </w:r>
          </w:p>
          <w:p w14:paraId="2D65B0B6" w14:textId="77777777" w:rsidR="00B64580" w:rsidRPr="00B64580" w:rsidRDefault="00B64580" w:rsidP="00B64580">
            <w:pPr>
              <w:pStyle w:val="13"/>
              <w:spacing w:line="240" w:lineRule="auto"/>
              <w:ind w:firstLineChars="0" w:firstLine="0"/>
              <w:jc w:val="center"/>
              <w:rPr>
                <w:sz w:val="21"/>
                <w:szCs w:val="21"/>
                <w:lang w:bidi="zh-CN"/>
              </w:rPr>
            </w:pPr>
            <w:r w:rsidRPr="00B64580">
              <w:rPr>
                <w:sz w:val="21"/>
                <w:szCs w:val="21"/>
                <w:lang w:bidi="zh-CN"/>
              </w:rPr>
              <w:t>类</w:t>
            </w:r>
          </w:p>
        </w:tc>
        <w:tc>
          <w:tcPr>
            <w:tcW w:w="440" w:type="pct"/>
            <w:vAlign w:val="center"/>
          </w:tcPr>
          <w:p w14:paraId="4D266A6E" w14:textId="77777777" w:rsidR="00B64580" w:rsidRPr="00B64580" w:rsidRDefault="00B64580" w:rsidP="00B64580">
            <w:pPr>
              <w:pStyle w:val="13"/>
              <w:spacing w:line="240" w:lineRule="auto"/>
              <w:ind w:firstLineChars="0" w:firstLine="0"/>
              <w:jc w:val="center"/>
              <w:rPr>
                <w:sz w:val="21"/>
                <w:szCs w:val="21"/>
                <w:lang w:bidi="zh-CN"/>
              </w:rPr>
            </w:pPr>
            <w:r w:rsidRPr="00B64580">
              <w:rPr>
                <w:sz w:val="21"/>
                <w:szCs w:val="21"/>
                <w:lang w:bidi="zh-CN"/>
              </w:rPr>
              <w:t>三级分类</w:t>
            </w:r>
          </w:p>
        </w:tc>
        <w:tc>
          <w:tcPr>
            <w:tcW w:w="894" w:type="pct"/>
            <w:vAlign w:val="center"/>
          </w:tcPr>
          <w:p w14:paraId="53447782" w14:textId="77777777" w:rsidR="00B64580" w:rsidRPr="00B64580" w:rsidRDefault="00B64580" w:rsidP="00B64580">
            <w:pPr>
              <w:pStyle w:val="13"/>
              <w:spacing w:line="240" w:lineRule="auto"/>
              <w:ind w:firstLineChars="0" w:firstLine="0"/>
              <w:jc w:val="center"/>
              <w:rPr>
                <w:sz w:val="21"/>
                <w:szCs w:val="21"/>
                <w:lang w:bidi="zh-CN"/>
              </w:rPr>
            </w:pPr>
            <w:r w:rsidRPr="00B64580">
              <w:rPr>
                <w:sz w:val="21"/>
                <w:szCs w:val="21"/>
                <w:lang w:bidi="zh-CN"/>
              </w:rPr>
              <w:t>四级分类</w:t>
            </w:r>
          </w:p>
          <w:p w14:paraId="04A9995C" w14:textId="77777777" w:rsidR="00B64580" w:rsidRPr="00B64580" w:rsidRDefault="00B64580" w:rsidP="00B64580">
            <w:pPr>
              <w:pStyle w:val="13"/>
              <w:spacing w:line="240" w:lineRule="auto"/>
              <w:ind w:firstLineChars="0" w:firstLine="0"/>
              <w:jc w:val="center"/>
              <w:rPr>
                <w:sz w:val="21"/>
                <w:szCs w:val="21"/>
                <w:lang w:bidi="zh-CN"/>
              </w:rPr>
            </w:pPr>
            <w:r w:rsidRPr="00B64580">
              <w:rPr>
                <w:sz w:val="21"/>
                <w:szCs w:val="21"/>
                <w:lang w:bidi="zh-CN"/>
              </w:rPr>
              <w:t>（风险清单）</w:t>
            </w:r>
          </w:p>
        </w:tc>
        <w:tc>
          <w:tcPr>
            <w:tcW w:w="3133" w:type="pct"/>
            <w:vAlign w:val="center"/>
          </w:tcPr>
          <w:p w14:paraId="09042D27" w14:textId="77777777" w:rsidR="00B64580" w:rsidRPr="00B64580" w:rsidRDefault="00B64580" w:rsidP="00B64580">
            <w:pPr>
              <w:pStyle w:val="13"/>
              <w:spacing w:line="240" w:lineRule="auto"/>
              <w:ind w:firstLineChars="0" w:firstLine="0"/>
              <w:jc w:val="center"/>
              <w:rPr>
                <w:sz w:val="21"/>
                <w:szCs w:val="21"/>
                <w:lang w:bidi="zh-CN"/>
              </w:rPr>
            </w:pPr>
            <w:r w:rsidRPr="00B64580">
              <w:rPr>
                <w:sz w:val="21"/>
                <w:szCs w:val="21"/>
                <w:lang w:bidi="zh-CN"/>
              </w:rPr>
              <w:t>风险描述</w:t>
            </w:r>
          </w:p>
        </w:tc>
      </w:tr>
      <w:tr w:rsidR="00D22431" w:rsidRPr="00B64580" w14:paraId="7B6C93FE" w14:textId="77777777" w:rsidTr="00324A0D">
        <w:trPr>
          <w:trHeight w:val="2272"/>
        </w:trPr>
        <w:tc>
          <w:tcPr>
            <w:tcW w:w="264" w:type="pct"/>
            <w:vMerge w:val="restart"/>
            <w:vAlign w:val="center"/>
          </w:tcPr>
          <w:p w14:paraId="4CDA476C" w14:textId="77777777" w:rsidR="00D22431" w:rsidRPr="00B64580" w:rsidRDefault="00D22431" w:rsidP="00B64580">
            <w:pPr>
              <w:pStyle w:val="13"/>
              <w:spacing w:line="240" w:lineRule="auto"/>
              <w:ind w:firstLineChars="0" w:firstLine="0"/>
              <w:jc w:val="center"/>
              <w:rPr>
                <w:sz w:val="21"/>
                <w:szCs w:val="21"/>
                <w:lang w:bidi="zh-CN"/>
              </w:rPr>
            </w:pPr>
            <w:r w:rsidRPr="00B64580">
              <w:rPr>
                <w:sz w:val="21"/>
                <w:szCs w:val="21"/>
                <w:lang w:bidi="zh-CN"/>
              </w:rPr>
              <w:t>项目外部环境风险</w:t>
            </w:r>
          </w:p>
        </w:tc>
        <w:tc>
          <w:tcPr>
            <w:tcW w:w="269" w:type="pct"/>
            <w:vMerge w:val="restart"/>
            <w:vAlign w:val="center"/>
          </w:tcPr>
          <w:p w14:paraId="0398EC46" w14:textId="77777777" w:rsidR="00D22431" w:rsidRPr="00B64580" w:rsidRDefault="00D22431" w:rsidP="00B64580">
            <w:pPr>
              <w:pStyle w:val="13"/>
              <w:spacing w:line="240" w:lineRule="auto"/>
              <w:ind w:firstLineChars="0" w:firstLine="0"/>
              <w:jc w:val="center"/>
              <w:rPr>
                <w:sz w:val="21"/>
                <w:szCs w:val="21"/>
                <w:lang w:bidi="zh-CN"/>
              </w:rPr>
            </w:pPr>
            <w:r w:rsidRPr="00B64580">
              <w:rPr>
                <w:sz w:val="21"/>
                <w:szCs w:val="21"/>
                <w:lang w:bidi="zh-CN"/>
              </w:rPr>
              <w:t>宏观环境风险</w:t>
            </w:r>
          </w:p>
        </w:tc>
        <w:tc>
          <w:tcPr>
            <w:tcW w:w="440" w:type="pct"/>
            <w:vAlign w:val="center"/>
          </w:tcPr>
          <w:p w14:paraId="1A9F3035" w14:textId="77777777" w:rsidR="00D22431" w:rsidRPr="00B64580" w:rsidRDefault="00D22431" w:rsidP="00324A0D">
            <w:pPr>
              <w:pStyle w:val="13"/>
              <w:spacing w:line="240" w:lineRule="auto"/>
              <w:ind w:firstLineChars="0" w:firstLine="0"/>
              <w:jc w:val="center"/>
              <w:rPr>
                <w:sz w:val="21"/>
                <w:szCs w:val="21"/>
                <w:lang w:bidi="zh-CN"/>
              </w:rPr>
            </w:pPr>
            <w:r w:rsidRPr="00B64580">
              <w:rPr>
                <w:sz w:val="21"/>
                <w:szCs w:val="21"/>
                <w:lang w:bidi="zh-CN"/>
              </w:rPr>
              <w:t>法律法规风险</w:t>
            </w:r>
          </w:p>
        </w:tc>
        <w:tc>
          <w:tcPr>
            <w:tcW w:w="894" w:type="pct"/>
            <w:vAlign w:val="center"/>
          </w:tcPr>
          <w:p w14:paraId="2C9C83B8" w14:textId="77777777" w:rsidR="00D22431" w:rsidRPr="00B64580" w:rsidRDefault="00D22431" w:rsidP="00B64580">
            <w:pPr>
              <w:pStyle w:val="13"/>
              <w:spacing w:line="240" w:lineRule="auto"/>
              <w:ind w:firstLineChars="0" w:firstLine="0"/>
              <w:rPr>
                <w:sz w:val="21"/>
                <w:szCs w:val="21"/>
                <w:lang w:bidi="zh-CN"/>
              </w:rPr>
            </w:pPr>
            <w:r w:rsidRPr="00B64580">
              <w:rPr>
                <w:sz w:val="21"/>
                <w:szCs w:val="21"/>
                <w:lang w:bidi="zh-CN"/>
              </w:rPr>
              <w:t>法律法规风险</w:t>
            </w:r>
          </w:p>
        </w:tc>
        <w:tc>
          <w:tcPr>
            <w:tcW w:w="3133" w:type="pct"/>
            <w:vAlign w:val="center"/>
          </w:tcPr>
          <w:p w14:paraId="491666A5" w14:textId="3EF0DB36" w:rsidR="00D22431" w:rsidRPr="00B64580" w:rsidRDefault="00D22431" w:rsidP="00D22431">
            <w:pPr>
              <w:pStyle w:val="13"/>
              <w:spacing w:line="240" w:lineRule="auto"/>
              <w:ind w:firstLineChars="0" w:firstLine="0"/>
              <w:rPr>
                <w:sz w:val="21"/>
                <w:szCs w:val="21"/>
                <w:lang w:bidi="zh-CN"/>
              </w:rPr>
            </w:pPr>
            <w:r w:rsidRPr="00B64580">
              <w:rPr>
                <w:sz w:val="21"/>
                <w:szCs w:val="21"/>
                <w:lang w:bidi="zh-CN"/>
              </w:rPr>
              <w:t>普适性的法律、法规、规章、规范性文件的修订或变更导致项目投资成本和运营成本不利的风险，比如，土地利用、城市规划、环境保护相关法律、法规、规章、规范性文件的修订或变更。也包括法律法规是否得到有效执行所带来的风险。但不包括专门针对某一行业出台的法律、法规、规章、规范性文件的修订或变更对应的风险。</w:t>
            </w:r>
          </w:p>
        </w:tc>
      </w:tr>
      <w:tr w:rsidR="00D22431" w:rsidRPr="00B64580" w14:paraId="1A955B76" w14:textId="77777777" w:rsidTr="00324A0D">
        <w:trPr>
          <w:trHeight w:val="957"/>
        </w:trPr>
        <w:tc>
          <w:tcPr>
            <w:tcW w:w="264" w:type="pct"/>
            <w:vMerge/>
            <w:vAlign w:val="center"/>
          </w:tcPr>
          <w:p w14:paraId="0F765F21" w14:textId="77777777" w:rsidR="00D22431" w:rsidRPr="00B64580" w:rsidRDefault="00D22431" w:rsidP="00B64580">
            <w:pPr>
              <w:pStyle w:val="13"/>
              <w:spacing w:line="240" w:lineRule="auto"/>
              <w:ind w:firstLineChars="0" w:firstLine="0"/>
              <w:jc w:val="center"/>
              <w:rPr>
                <w:sz w:val="21"/>
                <w:szCs w:val="21"/>
                <w:lang w:bidi="zh-CN"/>
              </w:rPr>
            </w:pPr>
          </w:p>
        </w:tc>
        <w:tc>
          <w:tcPr>
            <w:tcW w:w="269" w:type="pct"/>
            <w:vMerge/>
            <w:vAlign w:val="center"/>
          </w:tcPr>
          <w:p w14:paraId="4B2C1F2C" w14:textId="77777777" w:rsidR="00D22431" w:rsidRPr="00B64580" w:rsidRDefault="00D22431" w:rsidP="00B64580">
            <w:pPr>
              <w:pStyle w:val="13"/>
              <w:spacing w:line="240" w:lineRule="auto"/>
              <w:ind w:firstLineChars="0" w:firstLine="0"/>
              <w:jc w:val="center"/>
              <w:rPr>
                <w:sz w:val="21"/>
                <w:szCs w:val="21"/>
                <w:lang w:bidi="zh-CN"/>
              </w:rPr>
            </w:pPr>
          </w:p>
        </w:tc>
        <w:tc>
          <w:tcPr>
            <w:tcW w:w="440" w:type="pct"/>
            <w:vAlign w:val="center"/>
          </w:tcPr>
          <w:p w14:paraId="0F0DE2DE" w14:textId="77777777" w:rsidR="00D22431" w:rsidRPr="00B64580" w:rsidRDefault="00D22431" w:rsidP="00324A0D">
            <w:pPr>
              <w:pStyle w:val="13"/>
              <w:spacing w:line="240" w:lineRule="auto"/>
              <w:ind w:firstLineChars="0" w:firstLine="0"/>
              <w:jc w:val="center"/>
              <w:rPr>
                <w:sz w:val="21"/>
                <w:szCs w:val="21"/>
                <w:lang w:bidi="zh-CN"/>
              </w:rPr>
            </w:pPr>
            <w:r w:rsidRPr="00B64580">
              <w:rPr>
                <w:sz w:val="21"/>
                <w:szCs w:val="21"/>
                <w:lang w:bidi="zh-CN"/>
              </w:rPr>
              <w:t>财政政策风险</w:t>
            </w:r>
          </w:p>
        </w:tc>
        <w:tc>
          <w:tcPr>
            <w:tcW w:w="894" w:type="pct"/>
            <w:vAlign w:val="center"/>
          </w:tcPr>
          <w:p w14:paraId="0023C6F8" w14:textId="77777777" w:rsidR="00D22431" w:rsidRPr="00B64580" w:rsidRDefault="00D22431" w:rsidP="00B64580">
            <w:pPr>
              <w:pStyle w:val="13"/>
              <w:spacing w:line="240" w:lineRule="auto"/>
              <w:ind w:firstLineChars="0" w:firstLine="0"/>
              <w:rPr>
                <w:sz w:val="21"/>
                <w:szCs w:val="21"/>
                <w:lang w:bidi="zh-CN"/>
              </w:rPr>
            </w:pPr>
            <w:r w:rsidRPr="00B64580">
              <w:rPr>
                <w:sz w:val="21"/>
                <w:szCs w:val="21"/>
                <w:lang w:bidi="zh-CN"/>
              </w:rPr>
              <w:t>财税政策风险</w:t>
            </w:r>
          </w:p>
        </w:tc>
        <w:tc>
          <w:tcPr>
            <w:tcW w:w="3133" w:type="pct"/>
            <w:vAlign w:val="center"/>
          </w:tcPr>
          <w:p w14:paraId="2315E8EC" w14:textId="391685B4" w:rsidR="00D22431" w:rsidRPr="00B64580" w:rsidRDefault="00D22431" w:rsidP="00D22431">
            <w:pPr>
              <w:pStyle w:val="13"/>
              <w:spacing w:line="240" w:lineRule="auto"/>
              <w:ind w:firstLineChars="0" w:firstLine="0"/>
              <w:rPr>
                <w:sz w:val="21"/>
                <w:szCs w:val="21"/>
                <w:lang w:bidi="zh-CN"/>
              </w:rPr>
            </w:pPr>
            <w:r w:rsidRPr="00B64580">
              <w:rPr>
                <w:sz w:val="21"/>
                <w:szCs w:val="21"/>
                <w:lang w:bidi="zh-CN"/>
              </w:rPr>
              <w:t>国家和地方的税收政策、收费政策的变更和调整所产生的风险。国家和地方的财政收支是否稳定，财政补贴政策是否延续和稳定。</w:t>
            </w:r>
          </w:p>
        </w:tc>
      </w:tr>
      <w:tr w:rsidR="00D22431" w:rsidRPr="00B64580" w14:paraId="7881E892" w14:textId="77777777" w:rsidTr="00324A0D">
        <w:trPr>
          <w:trHeight w:val="632"/>
        </w:trPr>
        <w:tc>
          <w:tcPr>
            <w:tcW w:w="264" w:type="pct"/>
            <w:vMerge/>
            <w:vAlign w:val="center"/>
          </w:tcPr>
          <w:p w14:paraId="6EE27A68" w14:textId="77777777" w:rsidR="00D22431" w:rsidRPr="00B64580" w:rsidRDefault="00D22431" w:rsidP="00B64580">
            <w:pPr>
              <w:pStyle w:val="13"/>
              <w:spacing w:line="240" w:lineRule="auto"/>
              <w:ind w:firstLineChars="0" w:firstLine="0"/>
              <w:jc w:val="center"/>
              <w:rPr>
                <w:sz w:val="21"/>
                <w:szCs w:val="21"/>
                <w:lang w:bidi="zh-CN"/>
              </w:rPr>
            </w:pPr>
          </w:p>
        </w:tc>
        <w:tc>
          <w:tcPr>
            <w:tcW w:w="269" w:type="pct"/>
            <w:vMerge/>
            <w:vAlign w:val="center"/>
          </w:tcPr>
          <w:p w14:paraId="017EDEFF" w14:textId="77777777" w:rsidR="00D22431" w:rsidRPr="00B64580" w:rsidRDefault="00D22431" w:rsidP="00B64580">
            <w:pPr>
              <w:pStyle w:val="13"/>
              <w:spacing w:line="240" w:lineRule="auto"/>
              <w:ind w:firstLineChars="0" w:firstLine="0"/>
              <w:jc w:val="center"/>
              <w:rPr>
                <w:sz w:val="21"/>
                <w:szCs w:val="21"/>
                <w:lang w:bidi="zh-CN"/>
              </w:rPr>
            </w:pPr>
          </w:p>
        </w:tc>
        <w:tc>
          <w:tcPr>
            <w:tcW w:w="440" w:type="pct"/>
            <w:vMerge w:val="restart"/>
            <w:vAlign w:val="center"/>
          </w:tcPr>
          <w:p w14:paraId="6A19809E" w14:textId="77777777" w:rsidR="00D22431" w:rsidRPr="00B64580" w:rsidRDefault="00D22431" w:rsidP="00324A0D">
            <w:pPr>
              <w:pStyle w:val="13"/>
              <w:spacing w:line="240" w:lineRule="auto"/>
              <w:ind w:firstLineChars="0" w:firstLine="0"/>
              <w:jc w:val="center"/>
              <w:rPr>
                <w:sz w:val="21"/>
                <w:szCs w:val="21"/>
                <w:lang w:bidi="zh-CN"/>
              </w:rPr>
            </w:pPr>
            <w:r w:rsidRPr="00B64580">
              <w:rPr>
                <w:sz w:val="21"/>
                <w:szCs w:val="21"/>
                <w:lang w:bidi="zh-CN"/>
              </w:rPr>
              <w:t>货币政策风险</w:t>
            </w:r>
          </w:p>
        </w:tc>
        <w:tc>
          <w:tcPr>
            <w:tcW w:w="894" w:type="pct"/>
            <w:vAlign w:val="center"/>
          </w:tcPr>
          <w:p w14:paraId="088AF710" w14:textId="77777777" w:rsidR="00D22431" w:rsidRPr="00B64580" w:rsidRDefault="00D22431" w:rsidP="00B64580">
            <w:pPr>
              <w:pStyle w:val="13"/>
              <w:spacing w:line="240" w:lineRule="auto"/>
              <w:ind w:firstLineChars="0" w:firstLine="0"/>
              <w:rPr>
                <w:sz w:val="21"/>
                <w:szCs w:val="21"/>
                <w:lang w:bidi="zh-CN"/>
              </w:rPr>
            </w:pPr>
            <w:r w:rsidRPr="00B64580">
              <w:rPr>
                <w:sz w:val="21"/>
                <w:szCs w:val="21"/>
                <w:lang w:bidi="zh-CN"/>
              </w:rPr>
              <w:t>利率水平风险</w:t>
            </w:r>
          </w:p>
        </w:tc>
        <w:tc>
          <w:tcPr>
            <w:tcW w:w="3133" w:type="pct"/>
            <w:vAlign w:val="center"/>
          </w:tcPr>
          <w:p w14:paraId="45701928" w14:textId="30141120" w:rsidR="00D22431" w:rsidRPr="00B64580" w:rsidRDefault="00D22431" w:rsidP="00D22431">
            <w:pPr>
              <w:pStyle w:val="13"/>
              <w:spacing w:line="240" w:lineRule="auto"/>
              <w:ind w:firstLineChars="0" w:firstLine="0"/>
              <w:rPr>
                <w:sz w:val="21"/>
                <w:szCs w:val="21"/>
                <w:lang w:bidi="zh-CN"/>
              </w:rPr>
            </w:pPr>
            <w:r w:rsidRPr="00B64580">
              <w:rPr>
                <w:sz w:val="21"/>
                <w:szCs w:val="21"/>
                <w:lang w:bidi="zh-CN"/>
              </w:rPr>
              <w:t>存贷款基准利率和市场利率水平、以及国债利率水平的波动等引发的风险。</w:t>
            </w:r>
          </w:p>
        </w:tc>
      </w:tr>
      <w:tr w:rsidR="00D22431" w:rsidRPr="00B64580" w14:paraId="4FCFEB3F" w14:textId="77777777" w:rsidTr="00324A0D">
        <w:trPr>
          <w:trHeight w:val="305"/>
        </w:trPr>
        <w:tc>
          <w:tcPr>
            <w:tcW w:w="264" w:type="pct"/>
            <w:vMerge/>
            <w:vAlign w:val="center"/>
          </w:tcPr>
          <w:p w14:paraId="2AC42F76" w14:textId="77777777" w:rsidR="00D22431" w:rsidRPr="00B64580" w:rsidRDefault="00D22431" w:rsidP="00B64580">
            <w:pPr>
              <w:pStyle w:val="13"/>
              <w:spacing w:line="240" w:lineRule="auto"/>
              <w:ind w:firstLineChars="0" w:firstLine="0"/>
              <w:jc w:val="center"/>
              <w:rPr>
                <w:sz w:val="21"/>
                <w:szCs w:val="21"/>
                <w:lang w:bidi="zh-CN"/>
              </w:rPr>
            </w:pPr>
          </w:p>
        </w:tc>
        <w:tc>
          <w:tcPr>
            <w:tcW w:w="269" w:type="pct"/>
            <w:vMerge/>
            <w:vAlign w:val="center"/>
          </w:tcPr>
          <w:p w14:paraId="435D969C" w14:textId="77777777" w:rsidR="00D22431" w:rsidRPr="00B64580" w:rsidRDefault="00D22431" w:rsidP="00B64580">
            <w:pPr>
              <w:pStyle w:val="13"/>
              <w:spacing w:line="240" w:lineRule="auto"/>
              <w:ind w:firstLineChars="0" w:firstLine="0"/>
              <w:jc w:val="center"/>
              <w:rPr>
                <w:sz w:val="21"/>
                <w:szCs w:val="21"/>
                <w:lang w:bidi="zh-CN"/>
              </w:rPr>
            </w:pPr>
          </w:p>
        </w:tc>
        <w:tc>
          <w:tcPr>
            <w:tcW w:w="440" w:type="pct"/>
            <w:vMerge/>
            <w:vAlign w:val="center"/>
          </w:tcPr>
          <w:p w14:paraId="7867C937" w14:textId="77777777" w:rsidR="00D22431" w:rsidRPr="00B64580" w:rsidRDefault="00D22431" w:rsidP="00324A0D">
            <w:pPr>
              <w:pStyle w:val="13"/>
              <w:spacing w:line="240" w:lineRule="auto"/>
              <w:ind w:firstLineChars="0" w:firstLine="0"/>
              <w:jc w:val="center"/>
              <w:rPr>
                <w:sz w:val="21"/>
                <w:szCs w:val="21"/>
                <w:lang w:bidi="zh-CN"/>
              </w:rPr>
            </w:pPr>
          </w:p>
        </w:tc>
        <w:tc>
          <w:tcPr>
            <w:tcW w:w="894" w:type="pct"/>
            <w:vAlign w:val="center"/>
          </w:tcPr>
          <w:p w14:paraId="409F4E6C" w14:textId="77777777" w:rsidR="00D22431" w:rsidRPr="00B64580" w:rsidRDefault="00D22431" w:rsidP="00B64580">
            <w:pPr>
              <w:pStyle w:val="13"/>
              <w:spacing w:line="240" w:lineRule="auto"/>
              <w:ind w:firstLineChars="0" w:firstLine="0"/>
              <w:rPr>
                <w:sz w:val="21"/>
                <w:szCs w:val="21"/>
                <w:lang w:bidi="zh-CN"/>
              </w:rPr>
            </w:pPr>
            <w:r w:rsidRPr="00B64580">
              <w:rPr>
                <w:sz w:val="21"/>
                <w:szCs w:val="21"/>
                <w:lang w:bidi="zh-CN"/>
              </w:rPr>
              <w:t>汇率兑换风险</w:t>
            </w:r>
          </w:p>
        </w:tc>
        <w:tc>
          <w:tcPr>
            <w:tcW w:w="3133" w:type="pct"/>
            <w:vAlign w:val="center"/>
          </w:tcPr>
          <w:p w14:paraId="3A90606C" w14:textId="77777777" w:rsidR="00D22431" w:rsidRPr="00B64580" w:rsidRDefault="00D22431" w:rsidP="00D22431">
            <w:pPr>
              <w:pStyle w:val="13"/>
              <w:spacing w:line="240" w:lineRule="auto"/>
              <w:ind w:firstLineChars="0" w:firstLine="0"/>
              <w:rPr>
                <w:sz w:val="21"/>
                <w:szCs w:val="21"/>
                <w:lang w:bidi="zh-CN"/>
              </w:rPr>
            </w:pPr>
            <w:r w:rsidRPr="00B64580">
              <w:rPr>
                <w:sz w:val="21"/>
                <w:szCs w:val="21"/>
                <w:lang w:bidi="zh-CN"/>
              </w:rPr>
              <w:t>包括外汇汇率波动风险和外汇兑换成本风险。</w:t>
            </w:r>
          </w:p>
        </w:tc>
      </w:tr>
      <w:tr w:rsidR="00D22431" w:rsidRPr="00B64580" w14:paraId="3461EF53" w14:textId="77777777" w:rsidTr="00324A0D">
        <w:trPr>
          <w:trHeight w:val="631"/>
        </w:trPr>
        <w:tc>
          <w:tcPr>
            <w:tcW w:w="264" w:type="pct"/>
            <w:vMerge/>
            <w:vAlign w:val="center"/>
          </w:tcPr>
          <w:p w14:paraId="7680ABD2" w14:textId="77777777" w:rsidR="00D22431" w:rsidRPr="00B64580" w:rsidRDefault="00D22431" w:rsidP="00B64580">
            <w:pPr>
              <w:pStyle w:val="13"/>
              <w:spacing w:line="240" w:lineRule="auto"/>
              <w:ind w:firstLineChars="0" w:firstLine="0"/>
              <w:jc w:val="center"/>
              <w:rPr>
                <w:sz w:val="21"/>
                <w:szCs w:val="21"/>
                <w:lang w:bidi="zh-CN"/>
              </w:rPr>
            </w:pPr>
          </w:p>
        </w:tc>
        <w:tc>
          <w:tcPr>
            <w:tcW w:w="269" w:type="pct"/>
            <w:vMerge/>
            <w:vAlign w:val="center"/>
          </w:tcPr>
          <w:p w14:paraId="414C929F" w14:textId="77777777" w:rsidR="00D22431" w:rsidRPr="00B64580" w:rsidRDefault="00D22431" w:rsidP="00B64580">
            <w:pPr>
              <w:pStyle w:val="13"/>
              <w:spacing w:line="240" w:lineRule="auto"/>
              <w:ind w:firstLineChars="0" w:firstLine="0"/>
              <w:jc w:val="center"/>
              <w:rPr>
                <w:sz w:val="21"/>
                <w:szCs w:val="21"/>
                <w:lang w:bidi="zh-CN"/>
              </w:rPr>
            </w:pPr>
          </w:p>
        </w:tc>
        <w:tc>
          <w:tcPr>
            <w:tcW w:w="440" w:type="pct"/>
            <w:vMerge/>
            <w:vAlign w:val="center"/>
          </w:tcPr>
          <w:p w14:paraId="31A1B701" w14:textId="77777777" w:rsidR="00D22431" w:rsidRPr="00B64580" w:rsidRDefault="00D22431" w:rsidP="00324A0D">
            <w:pPr>
              <w:pStyle w:val="13"/>
              <w:spacing w:line="240" w:lineRule="auto"/>
              <w:ind w:firstLineChars="0" w:firstLine="0"/>
              <w:jc w:val="center"/>
              <w:rPr>
                <w:sz w:val="21"/>
                <w:szCs w:val="21"/>
                <w:lang w:bidi="zh-CN"/>
              </w:rPr>
            </w:pPr>
          </w:p>
        </w:tc>
        <w:tc>
          <w:tcPr>
            <w:tcW w:w="894" w:type="pct"/>
            <w:vAlign w:val="center"/>
          </w:tcPr>
          <w:p w14:paraId="3E0D17AA" w14:textId="77777777" w:rsidR="00D22431" w:rsidRPr="00B64580" w:rsidRDefault="00D22431" w:rsidP="00B64580">
            <w:pPr>
              <w:pStyle w:val="13"/>
              <w:spacing w:line="240" w:lineRule="auto"/>
              <w:ind w:firstLineChars="0" w:firstLine="0"/>
              <w:rPr>
                <w:sz w:val="21"/>
                <w:szCs w:val="21"/>
                <w:lang w:bidi="zh-CN"/>
              </w:rPr>
            </w:pPr>
            <w:r w:rsidRPr="00B64580">
              <w:rPr>
                <w:sz w:val="21"/>
                <w:szCs w:val="21"/>
                <w:lang w:bidi="zh-CN"/>
              </w:rPr>
              <w:t>通货膨胀风险</w:t>
            </w:r>
          </w:p>
        </w:tc>
        <w:tc>
          <w:tcPr>
            <w:tcW w:w="3133" w:type="pct"/>
            <w:vAlign w:val="center"/>
          </w:tcPr>
          <w:p w14:paraId="31736E79" w14:textId="2B736417" w:rsidR="00D22431" w:rsidRPr="00B64580" w:rsidRDefault="00D22431" w:rsidP="00D22431">
            <w:pPr>
              <w:pStyle w:val="13"/>
              <w:spacing w:line="240" w:lineRule="auto"/>
              <w:ind w:firstLineChars="0" w:firstLine="0"/>
              <w:rPr>
                <w:sz w:val="21"/>
                <w:szCs w:val="21"/>
                <w:lang w:bidi="zh-CN"/>
              </w:rPr>
            </w:pPr>
            <w:r w:rsidRPr="00B64580">
              <w:rPr>
                <w:sz w:val="21"/>
                <w:szCs w:val="21"/>
                <w:lang w:bidi="zh-CN"/>
              </w:rPr>
              <w:t>整体物价水平上升、货币的购买力下降所导致的成本上升风险。</w:t>
            </w:r>
          </w:p>
        </w:tc>
      </w:tr>
      <w:tr w:rsidR="00D22431" w:rsidRPr="00B64580" w14:paraId="3B576C81" w14:textId="77777777" w:rsidTr="00324A0D">
        <w:trPr>
          <w:trHeight w:val="632"/>
        </w:trPr>
        <w:tc>
          <w:tcPr>
            <w:tcW w:w="264" w:type="pct"/>
            <w:vMerge/>
            <w:vAlign w:val="center"/>
          </w:tcPr>
          <w:p w14:paraId="2C27150D" w14:textId="77777777" w:rsidR="00D22431" w:rsidRPr="00B64580" w:rsidRDefault="00D22431" w:rsidP="00B64580">
            <w:pPr>
              <w:pStyle w:val="13"/>
              <w:spacing w:line="240" w:lineRule="auto"/>
              <w:ind w:firstLineChars="0" w:firstLine="0"/>
              <w:jc w:val="center"/>
              <w:rPr>
                <w:sz w:val="21"/>
                <w:szCs w:val="21"/>
                <w:lang w:bidi="zh-CN"/>
              </w:rPr>
            </w:pPr>
          </w:p>
        </w:tc>
        <w:tc>
          <w:tcPr>
            <w:tcW w:w="269" w:type="pct"/>
            <w:vMerge/>
            <w:vAlign w:val="center"/>
          </w:tcPr>
          <w:p w14:paraId="725F5BA7" w14:textId="77777777" w:rsidR="00D22431" w:rsidRPr="00B64580" w:rsidRDefault="00D22431" w:rsidP="00B64580">
            <w:pPr>
              <w:pStyle w:val="13"/>
              <w:spacing w:line="240" w:lineRule="auto"/>
              <w:ind w:firstLineChars="0" w:firstLine="0"/>
              <w:jc w:val="center"/>
              <w:rPr>
                <w:sz w:val="21"/>
                <w:szCs w:val="21"/>
                <w:lang w:bidi="zh-CN"/>
              </w:rPr>
            </w:pPr>
          </w:p>
        </w:tc>
        <w:tc>
          <w:tcPr>
            <w:tcW w:w="440" w:type="pct"/>
            <w:vAlign w:val="center"/>
          </w:tcPr>
          <w:p w14:paraId="31580725" w14:textId="478DAB3E" w:rsidR="00D22431" w:rsidRPr="00B64580" w:rsidRDefault="00D22431" w:rsidP="00324A0D">
            <w:pPr>
              <w:pStyle w:val="13"/>
              <w:spacing w:line="240" w:lineRule="auto"/>
              <w:ind w:firstLineChars="0" w:firstLine="0"/>
              <w:jc w:val="center"/>
              <w:rPr>
                <w:sz w:val="21"/>
                <w:szCs w:val="21"/>
                <w:lang w:bidi="zh-CN"/>
              </w:rPr>
            </w:pPr>
            <w:r w:rsidRPr="00B64580">
              <w:rPr>
                <w:sz w:val="21"/>
                <w:szCs w:val="21"/>
                <w:lang w:bidi="zh-CN"/>
              </w:rPr>
              <w:t>产业政策风险</w:t>
            </w:r>
          </w:p>
        </w:tc>
        <w:tc>
          <w:tcPr>
            <w:tcW w:w="894" w:type="pct"/>
            <w:vAlign w:val="center"/>
          </w:tcPr>
          <w:p w14:paraId="1D6F09F7" w14:textId="77777777" w:rsidR="00D22431" w:rsidRPr="00B64580" w:rsidRDefault="00D22431" w:rsidP="00B64580">
            <w:pPr>
              <w:pStyle w:val="13"/>
              <w:spacing w:line="240" w:lineRule="auto"/>
              <w:ind w:firstLineChars="0" w:firstLine="0"/>
              <w:rPr>
                <w:sz w:val="21"/>
                <w:szCs w:val="21"/>
                <w:lang w:bidi="zh-CN"/>
              </w:rPr>
            </w:pPr>
            <w:r w:rsidRPr="00B64580">
              <w:rPr>
                <w:sz w:val="21"/>
                <w:szCs w:val="21"/>
                <w:lang w:bidi="zh-CN"/>
              </w:rPr>
              <w:t>产业政策风险</w:t>
            </w:r>
          </w:p>
        </w:tc>
        <w:tc>
          <w:tcPr>
            <w:tcW w:w="3133" w:type="pct"/>
            <w:vAlign w:val="center"/>
          </w:tcPr>
          <w:p w14:paraId="2A3B2DC3" w14:textId="20F67F03" w:rsidR="00D22431" w:rsidRPr="00B64580" w:rsidRDefault="00D22431" w:rsidP="00D22431">
            <w:pPr>
              <w:pStyle w:val="13"/>
              <w:spacing w:line="240" w:lineRule="auto"/>
              <w:ind w:firstLineChars="0" w:firstLine="0"/>
              <w:rPr>
                <w:sz w:val="21"/>
                <w:szCs w:val="21"/>
                <w:lang w:bidi="zh-CN"/>
              </w:rPr>
            </w:pPr>
            <w:r w:rsidRPr="00B64580">
              <w:rPr>
                <w:sz w:val="21"/>
                <w:szCs w:val="21"/>
                <w:lang w:bidi="zh-CN"/>
              </w:rPr>
              <w:t>政府对产业结构和产业布局进行调整，可能出台相应的优惠或限制政策等可能产生的风险。</w:t>
            </w:r>
          </w:p>
        </w:tc>
      </w:tr>
      <w:tr w:rsidR="00324A0D" w:rsidRPr="00B64580" w14:paraId="34A02483" w14:textId="77777777" w:rsidTr="00324A0D">
        <w:trPr>
          <w:trHeight w:val="1284"/>
        </w:trPr>
        <w:tc>
          <w:tcPr>
            <w:tcW w:w="264" w:type="pct"/>
            <w:vMerge/>
            <w:vAlign w:val="center"/>
          </w:tcPr>
          <w:p w14:paraId="23EA6276" w14:textId="77777777" w:rsidR="00324A0D" w:rsidRPr="00B64580" w:rsidRDefault="00324A0D" w:rsidP="00B64580">
            <w:pPr>
              <w:pStyle w:val="13"/>
              <w:spacing w:line="240" w:lineRule="auto"/>
              <w:ind w:firstLineChars="0" w:firstLine="0"/>
              <w:jc w:val="center"/>
              <w:rPr>
                <w:sz w:val="21"/>
                <w:szCs w:val="21"/>
                <w:lang w:bidi="zh-CN"/>
              </w:rPr>
            </w:pPr>
          </w:p>
        </w:tc>
        <w:tc>
          <w:tcPr>
            <w:tcW w:w="269" w:type="pct"/>
            <w:vMerge w:val="restart"/>
            <w:vAlign w:val="center"/>
          </w:tcPr>
          <w:p w14:paraId="57B3B83A" w14:textId="77777777" w:rsidR="00324A0D" w:rsidRPr="00B64580" w:rsidRDefault="00324A0D" w:rsidP="00B64580">
            <w:pPr>
              <w:pStyle w:val="13"/>
              <w:spacing w:line="240" w:lineRule="auto"/>
              <w:ind w:firstLineChars="0" w:firstLine="0"/>
              <w:jc w:val="center"/>
              <w:rPr>
                <w:sz w:val="21"/>
                <w:szCs w:val="21"/>
                <w:lang w:bidi="zh-CN"/>
              </w:rPr>
            </w:pPr>
            <w:r w:rsidRPr="00B64580">
              <w:rPr>
                <w:sz w:val="21"/>
                <w:szCs w:val="21"/>
                <w:lang w:bidi="zh-CN"/>
              </w:rPr>
              <w:t>微观环境风险</w:t>
            </w:r>
          </w:p>
        </w:tc>
        <w:tc>
          <w:tcPr>
            <w:tcW w:w="440" w:type="pct"/>
            <w:vMerge w:val="restart"/>
            <w:vAlign w:val="center"/>
          </w:tcPr>
          <w:p w14:paraId="244F731D" w14:textId="77777777" w:rsidR="00324A0D" w:rsidRPr="00B64580" w:rsidRDefault="00324A0D" w:rsidP="00324A0D">
            <w:pPr>
              <w:pStyle w:val="13"/>
              <w:spacing w:line="240" w:lineRule="auto"/>
              <w:ind w:firstLineChars="0" w:firstLine="0"/>
              <w:jc w:val="center"/>
              <w:rPr>
                <w:sz w:val="21"/>
                <w:szCs w:val="21"/>
                <w:lang w:bidi="zh-CN"/>
              </w:rPr>
            </w:pPr>
            <w:r w:rsidRPr="00B64580">
              <w:rPr>
                <w:sz w:val="21"/>
                <w:szCs w:val="21"/>
                <w:lang w:bidi="zh-CN"/>
              </w:rPr>
              <w:t>产业链相关风险</w:t>
            </w:r>
          </w:p>
        </w:tc>
        <w:tc>
          <w:tcPr>
            <w:tcW w:w="894" w:type="pct"/>
            <w:vAlign w:val="center"/>
          </w:tcPr>
          <w:p w14:paraId="2D9A82A1" w14:textId="77777777" w:rsidR="00324A0D" w:rsidRPr="00B64580" w:rsidRDefault="00324A0D" w:rsidP="00D22431">
            <w:pPr>
              <w:pStyle w:val="13"/>
              <w:spacing w:line="240" w:lineRule="auto"/>
              <w:ind w:firstLineChars="0" w:firstLine="0"/>
              <w:rPr>
                <w:sz w:val="21"/>
                <w:szCs w:val="21"/>
                <w:lang w:bidi="zh-CN"/>
              </w:rPr>
            </w:pPr>
            <w:r w:rsidRPr="00B64580">
              <w:rPr>
                <w:sz w:val="21"/>
                <w:szCs w:val="21"/>
                <w:lang w:bidi="zh-CN"/>
              </w:rPr>
              <w:t>物资供应风险</w:t>
            </w:r>
          </w:p>
        </w:tc>
        <w:tc>
          <w:tcPr>
            <w:tcW w:w="3133" w:type="pct"/>
            <w:vAlign w:val="center"/>
          </w:tcPr>
          <w:p w14:paraId="5258D2E9" w14:textId="04D3A392" w:rsidR="00324A0D" w:rsidRPr="00B64580" w:rsidRDefault="00324A0D" w:rsidP="00D22431">
            <w:pPr>
              <w:pStyle w:val="13"/>
              <w:spacing w:line="240" w:lineRule="auto"/>
              <w:ind w:firstLineChars="0" w:firstLine="0"/>
              <w:rPr>
                <w:sz w:val="21"/>
                <w:szCs w:val="21"/>
                <w:lang w:bidi="zh-CN"/>
              </w:rPr>
            </w:pPr>
            <w:r w:rsidRPr="00B64580">
              <w:rPr>
                <w:sz w:val="21"/>
                <w:szCs w:val="21"/>
                <w:lang w:bidi="zh-CN"/>
              </w:rPr>
              <w:t>工程建造及项目运营过程中的原材料、能源及其他项目所需物资的供应量、供应及时程度的不确定性，以及原材料、能源及其他项目所需物资的价格波动所带来的风险。</w:t>
            </w:r>
          </w:p>
        </w:tc>
      </w:tr>
      <w:tr w:rsidR="00324A0D" w:rsidRPr="00B64580" w14:paraId="69B74C48" w14:textId="77777777" w:rsidTr="00324A0D">
        <w:trPr>
          <w:trHeight w:val="967"/>
        </w:trPr>
        <w:tc>
          <w:tcPr>
            <w:tcW w:w="264" w:type="pct"/>
            <w:vMerge/>
          </w:tcPr>
          <w:p w14:paraId="7EA596B2" w14:textId="77777777" w:rsidR="00324A0D" w:rsidRPr="00B64580" w:rsidRDefault="00324A0D" w:rsidP="00B64580">
            <w:pPr>
              <w:pStyle w:val="13"/>
              <w:spacing w:line="240" w:lineRule="auto"/>
              <w:ind w:firstLineChars="0" w:firstLine="0"/>
              <w:rPr>
                <w:sz w:val="21"/>
                <w:szCs w:val="21"/>
                <w:lang w:bidi="zh-CN"/>
              </w:rPr>
            </w:pPr>
          </w:p>
        </w:tc>
        <w:tc>
          <w:tcPr>
            <w:tcW w:w="269" w:type="pct"/>
            <w:vMerge/>
          </w:tcPr>
          <w:p w14:paraId="31931417" w14:textId="77777777" w:rsidR="00324A0D" w:rsidRPr="00B64580" w:rsidRDefault="00324A0D" w:rsidP="00B64580">
            <w:pPr>
              <w:pStyle w:val="13"/>
              <w:spacing w:line="240" w:lineRule="auto"/>
              <w:ind w:firstLineChars="0" w:firstLine="0"/>
              <w:rPr>
                <w:sz w:val="21"/>
                <w:szCs w:val="21"/>
                <w:lang w:bidi="zh-CN"/>
              </w:rPr>
            </w:pPr>
          </w:p>
        </w:tc>
        <w:tc>
          <w:tcPr>
            <w:tcW w:w="440" w:type="pct"/>
            <w:vMerge/>
            <w:vAlign w:val="center"/>
          </w:tcPr>
          <w:p w14:paraId="72767FB5" w14:textId="77777777" w:rsidR="00324A0D" w:rsidRPr="00B64580" w:rsidRDefault="00324A0D" w:rsidP="00324A0D">
            <w:pPr>
              <w:pStyle w:val="13"/>
              <w:spacing w:line="240" w:lineRule="auto"/>
              <w:ind w:firstLineChars="0" w:firstLine="0"/>
              <w:jc w:val="center"/>
              <w:rPr>
                <w:sz w:val="21"/>
                <w:szCs w:val="21"/>
                <w:lang w:bidi="zh-CN"/>
              </w:rPr>
            </w:pPr>
          </w:p>
        </w:tc>
        <w:tc>
          <w:tcPr>
            <w:tcW w:w="894" w:type="pct"/>
            <w:vAlign w:val="center"/>
          </w:tcPr>
          <w:p w14:paraId="082BAE57" w14:textId="77777777" w:rsidR="00324A0D" w:rsidRPr="00B64580" w:rsidRDefault="00324A0D" w:rsidP="00D22431">
            <w:pPr>
              <w:pStyle w:val="13"/>
              <w:spacing w:line="240" w:lineRule="auto"/>
              <w:ind w:firstLineChars="0" w:firstLine="0"/>
              <w:rPr>
                <w:sz w:val="21"/>
                <w:szCs w:val="21"/>
                <w:lang w:bidi="zh-CN"/>
              </w:rPr>
            </w:pPr>
            <w:r w:rsidRPr="00B64580">
              <w:rPr>
                <w:sz w:val="21"/>
                <w:szCs w:val="21"/>
                <w:lang w:bidi="zh-CN"/>
              </w:rPr>
              <w:t>市场需求风险</w:t>
            </w:r>
          </w:p>
        </w:tc>
        <w:tc>
          <w:tcPr>
            <w:tcW w:w="3133" w:type="pct"/>
            <w:vAlign w:val="center"/>
          </w:tcPr>
          <w:p w14:paraId="40B7E41F" w14:textId="4636CA04" w:rsidR="00324A0D" w:rsidRPr="00B64580" w:rsidRDefault="00324A0D" w:rsidP="00D22431">
            <w:pPr>
              <w:pStyle w:val="13"/>
              <w:spacing w:line="240" w:lineRule="auto"/>
              <w:ind w:firstLineChars="0" w:firstLine="0"/>
              <w:rPr>
                <w:sz w:val="21"/>
                <w:szCs w:val="21"/>
                <w:lang w:bidi="zh-CN"/>
              </w:rPr>
            </w:pPr>
            <w:r w:rsidRPr="00B64580">
              <w:rPr>
                <w:sz w:val="21"/>
                <w:szCs w:val="21"/>
                <w:lang w:bidi="zh-CN"/>
              </w:rPr>
              <w:t>由于宏观经济、社会发展、人口规模的变化产生项目市场需求变动风险，该项风险不包括供给竞争风险的影响。</w:t>
            </w:r>
          </w:p>
        </w:tc>
      </w:tr>
      <w:tr w:rsidR="00324A0D" w14:paraId="3A514DC3" w14:textId="77777777" w:rsidTr="00324A0D">
        <w:trPr>
          <w:trHeight w:val="652"/>
        </w:trPr>
        <w:tc>
          <w:tcPr>
            <w:tcW w:w="264" w:type="pct"/>
            <w:vMerge/>
          </w:tcPr>
          <w:p w14:paraId="12E31836" w14:textId="77777777" w:rsidR="00324A0D" w:rsidRDefault="00324A0D" w:rsidP="00B64580">
            <w:pPr>
              <w:pStyle w:val="TableParagraph"/>
              <w:rPr>
                <w:rFonts w:ascii="Times New Roman"/>
                <w:sz w:val="20"/>
              </w:rPr>
            </w:pPr>
          </w:p>
        </w:tc>
        <w:tc>
          <w:tcPr>
            <w:tcW w:w="269" w:type="pct"/>
            <w:vMerge/>
          </w:tcPr>
          <w:p w14:paraId="2D249959" w14:textId="77777777" w:rsidR="00324A0D" w:rsidRDefault="00324A0D" w:rsidP="00B64580">
            <w:pPr>
              <w:pStyle w:val="TableParagraph"/>
              <w:rPr>
                <w:rFonts w:ascii="Times New Roman"/>
                <w:sz w:val="20"/>
              </w:rPr>
            </w:pPr>
          </w:p>
        </w:tc>
        <w:tc>
          <w:tcPr>
            <w:tcW w:w="440" w:type="pct"/>
            <w:vMerge/>
            <w:vAlign w:val="center"/>
          </w:tcPr>
          <w:p w14:paraId="701BBAFA" w14:textId="77777777" w:rsidR="00324A0D" w:rsidRDefault="00324A0D" w:rsidP="00324A0D">
            <w:pPr>
              <w:pStyle w:val="TableParagraph"/>
              <w:jc w:val="center"/>
              <w:rPr>
                <w:rFonts w:ascii="Times New Roman"/>
                <w:sz w:val="20"/>
              </w:rPr>
            </w:pPr>
          </w:p>
        </w:tc>
        <w:tc>
          <w:tcPr>
            <w:tcW w:w="894" w:type="pct"/>
            <w:vAlign w:val="center"/>
          </w:tcPr>
          <w:p w14:paraId="3E9F9771" w14:textId="77777777" w:rsidR="00324A0D" w:rsidRDefault="00324A0D" w:rsidP="00D22431">
            <w:pPr>
              <w:pStyle w:val="TableParagraph"/>
              <w:spacing w:before="1"/>
              <w:jc w:val="both"/>
              <w:rPr>
                <w:sz w:val="21"/>
              </w:rPr>
            </w:pPr>
            <w:r>
              <w:rPr>
                <w:sz w:val="21"/>
              </w:rPr>
              <w:t>费用计收风险</w:t>
            </w:r>
          </w:p>
        </w:tc>
        <w:tc>
          <w:tcPr>
            <w:tcW w:w="3133" w:type="pct"/>
            <w:vAlign w:val="center"/>
          </w:tcPr>
          <w:p w14:paraId="05F24518" w14:textId="5651BA6F" w:rsidR="00324A0D" w:rsidRDefault="00324A0D" w:rsidP="00D22431">
            <w:pPr>
              <w:pStyle w:val="TableParagraph"/>
              <w:jc w:val="both"/>
              <w:rPr>
                <w:sz w:val="21"/>
              </w:rPr>
            </w:pPr>
            <w:r>
              <w:rPr>
                <w:sz w:val="21"/>
              </w:rPr>
              <w:t>政府或使用者付费计量的准确性以及费用收取的及时性所产生的风险。</w:t>
            </w:r>
          </w:p>
        </w:tc>
      </w:tr>
      <w:tr w:rsidR="00D22431" w14:paraId="7C4694B7" w14:textId="77777777" w:rsidTr="00324A0D">
        <w:trPr>
          <w:trHeight w:val="1304"/>
        </w:trPr>
        <w:tc>
          <w:tcPr>
            <w:tcW w:w="264" w:type="pct"/>
            <w:vMerge/>
          </w:tcPr>
          <w:p w14:paraId="5C20F37A" w14:textId="77777777" w:rsidR="00D22431" w:rsidRDefault="00D22431" w:rsidP="00B64580">
            <w:pPr>
              <w:rPr>
                <w:sz w:val="2"/>
                <w:szCs w:val="2"/>
              </w:rPr>
            </w:pPr>
          </w:p>
        </w:tc>
        <w:tc>
          <w:tcPr>
            <w:tcW w:w="269" w:type="pct"/>
            <w:vMerge/>
          </w:tcPr>
          <w:p w14:paraId="77296DA7" w14:textId="77777777" w:rsidR="00D22431" w:rsidRDefault="00D22431" w:rsidP="00B64580">
            <w:pPr>
              <w:rPr>
                <w:sz w:val="2"/>
                <w:szCs w:val="2"/>
              </w:rPr>
            </w:pPr>
          </w:p>
        </w:tc>
        <w:tc>
          <w:tcPr>
            <w:tcW w:w="440" w:type="pct"/>
            <w:vMerge w:val="restart"/>
            <w:vAlign w:val="center"/>
          </w:tcPr>
          <w:p w14:paraId="28BB5542" w14:textId="77777777" w:rsidR="00D22431" w:rsidRDefault="00D22431" w:rsidP="00324A0D">
            <w:pPr>
              <w:pStyle w:val="TableParagraph"/>
              <w:jc w:val="center"/>
              <w:rPr>
                <w:sz w:val="21"/>
              </w:rPr>
            </w:pPr>
            <w:r>
              <w:rPr>
                <w:sz w:val="21"/>
              </w:rPr>
              <w:t>监管审批相关风险</w:t>
            </w:r>
          </w:p>
        </w:tc>
        <w:tc>
          <w:tcPr>
            <w:tcW w:w="894" w:type="pct"/>
            <w:vAlign w:val="center"/>
          </w:tcPr>
          <w:p w14:paraId="6433B5F4" w14:textId="77777777" w:rsidR="00D22431" w:rsidRDefault="00D22431" w:rsidP="00D22431">
            <w:pPr>
              <w:pStyle w:val="TableParagraph"/>
              <w:jc w:val="both"/>
              <w:rPr>
                <w:sz w:val="21"/>
              </w:rPr>
            </w:pPr>
            <w:r>
              <w:rPr>
                <w:sz w:val="21"/>
              </w:rPr>
              <w:t>行业政策风险</w:t>
            </w:r>
          </w:p>
        </w:tc>
        <w:tc>
          <w:tcPr>
            <w:tcW w:w="3133" w:type="pct"/>
            <w:vAlign w:val="center"/>
          </w:tcPr>
          <w:p w14:paraId="3B7B17A3" w14:textId="3A0AE69D" w:rsidR="00D22431" w:rsidRDefault="00D22431" w:rsidP="00D22431">
            <w:pPr>
              <w:pStyle w:val="TableParagraph"/>
              <w:jc w:val="both"/>
              <w:rPr>
                <w:sz w:val="21"/>
              </w:rPr>
            </w:pPr>
            <w:r>
              <w:rPr>
                <w:sz w:val="21"/>
              </w:rPr>
              <w:t>针对某一行业制定的法律、法规、规章或规范性文件</w:t>
            </w:r>
            <w:r w:rsidR="003068F8">
              <w:rPr>
                <w:sz w:val="21"/>
              </w:rPr>
              <w:t>，</w:t>
            </w:r>
            <w:r>
              <w:rPr>
                <w:sz w:val="21"/>
              </w:rPr>
              <w:t>以及该行业相关规范标准的变更或调整所产生的风险。也包括技术规范、施工标准可能发生变化所产生的风险。</w:t>
            </w:r>
          </w:p>
        </w:tc>
      </w:tr>
      <w:tr w:rsidR="00D22431" w14:paraId="7D1F58B4" w14:textId="77777777" w:rsidTr="00324A0D">
        <w:trPr>
          <w:trHeight w:val="1303"/>
        </w:trPr>
        <w:tc>
          <w:tcPr>
            <w:tcW w:w="264" w:type="pct"/>
            <w:vMerge/>
          </w:tcPr>
          <w:p w14:paraId="3AC41BC7" w14:textId="77777777" w:rsidR="00D22431" w:rsidRDefault="00D22431" w:rsidP="00B64580">
            <w:pPr>
              <w:rPr>
                <w:sz w:val="2"/>
                <w:szCs w:val="2"/>
              </w:rPr>
            </w:pPr>
          </w:p>
        </w:tc>
        <w:tc>
          <w:tcPr>
            <w:tcW w:w="269" w:type="pct"/>
            <w:vMerge/>
          </w:tcPr>
          <w:p w14:paraId="106A7F55" w14:textId="77777777" w:rsidR="00D22431" w:rsidRDefault="00D22431" w:rsidP="00B64580">
            <w:pPr>
              <w:rPr>
                <w:sz w:val="2"/>
                <w:szCs w:val="2"/>
              </w:rPr>
            </w:pPr>
          </w:p>
        </w:tc>
        <w:tc>
          <w:tcPr>
            <w:tcW w:w="440" w:type="pct"/>
            <w:vMerge/>
            <w:vAlign w:val="center"/>
          </w:tcPr>
          <w:p w14:paraId="60A391C8" w14:textId="77777777" w:rsidR="00D22431" w:rsidRDefault="00D22431" w:rsidP="00324A0D">
            <w:pPr>
              <w:jc w:val="center"/>
              <w:rPr>
                <w:sz w:val="2"/>
                <w:szCs w:val="2"/>
              </w:rPr>
            </w:pPr>
          </w:p>
        </w:tc>
        <w:tc>
          <w:tcPr>
            <w:tcW w:w="894" w:type="pct"/>
            <w:vAlign w:val="center"/>
          </w:tcPr>
          <w:p w14:paraId="773CA01E" w14:textId="77777777" w:rsidR="00D22431" w:rsidRDefault="00D22431" w:rsidP="00D22431">
            <w:pPr>
              <w:pStyle w:val="TableParagraph"/>
              <w:jc w:val="both"/>
              <w:rPr>
                <w:sz w:val="21"/>
              </w:rPr>
            </w:pPr>
            <w:r>
              <w:rPr>
                <w:sz w:val="21"/>
              </w:rPr>
              <w:t>许可审批风险</w:t>
            </w:r>
          </w:p>
        </w:tc>
        <w:tc>
          <w:tcPr>
            <w:tcW w:w="3133" w:type="pct"/>
            <w:vAlign w:val="center"/>
          </w:tcPr>
          <w:p w14:paraId="4778B75D" w14:textId="394380B2" w:rsidR="00D22431" w:rsidRDefault="00D22431" w:rsidP="00D22431">
            <w:pPr>
              <w:pStyle w:val="TableParagraph"/>
              <w:jc w:val="both"/>
              <w:rPr>
                <w:sz w:val="21"/>
              </w:rPr>
            </w:pPr>
            <w:r>
              <w:rPr>
                <w:spacing w:val="-1"/>
                <w:sz w:val="21"/>
              </w:rPr>
              <w:t>行政主管部门或行业主管部门对项目有关报批事项是否</w:t>
            </w:r>
            <w:proofErr w:type="gramStart"/>
            <w:r>
              <w:rPr>
                <w:sz w:val="21"/>
              </w:rPr>
              <w:t>作出</w:t>
            </w:r>
            <w:proofErr w:type="gramEnd"/>
            <w:r>
              <w:rPr>
                <w:sz w:val="21"/>
              </w:rPr>
              <w:t xml:space="preserve">审批、审批是否延误等方面的不确定所引起的风 </w:t>
            </w:r>
            <w:r>
              <w:rPr>
                <w:spacing w:val="-1"/>
                <w:sz w:val="21"/>
              </w:rPr>
              <w:t>险。主要包括项目建造过程中的许可审批风险，以及运</w:t>
            </w:r>
            <w:r>
              <w:rPr>
                <w:sz w:val="21"/>
              </w:rPr>
              <w:t>营过程中产出物的价格许可审批风险。</w:t>
            </w:r>
          </w:p>
        </w:tc>
      </w:tr>
      <w:tr w:rsidR="00D22431" w14:paraId="364A67C9" w14:textId="77777777" w:rsidTr="00324A0D">
        <w:trPr>
          <w:trHeight w:val="326"/>
        </w:trPr>
        <w:tc>
          <w:tcPr>
            <w:tcW w:w="264" w:type="pct"/>
            <w:vMerge/>
          </w:tcPr>
          <w:p w14:paraId="369ADD23" w14:textId="77777777" w:rsidR="00D22431" w:rsidRDefault="00D22431" w:rsidP="00B64580">
            <w:pPr>
              <w:rPr>
                <w:sz w:val="2"/>
                <w:szCs w:val="2"/>
              </w:rPr>
            </w:pPr>
          </w:p>
        </w:tc>
        <w:tc>
          <w:tcPr>
            <w:tcW w:w="269" w:type="pct"/>
            <w:vMerge/>
          </w:tcPr>
          <w:p w14:paraId="6E226958" w14:textId="77777777" w:rsidR="00D22431" w:rsidRDefault="00D22431" w:rsidP="00B64580">
            <w:pPr>
              <w:rPr>
                <w:sz w:val="2"/>
                <w:szCs w:val="2"/>
              </w:rPr>
            </w:pPr>
          </w:p>
        </w:tc>
        <w:tc>
          <w:tcPr>
            <w:tcW w:w="440" w:type="pct"/>
            <w:vMerge/>
            <w:vAlign w:val="center"/>
          </w:tcPr>
          <w:p w14:paraId="393048CF" w14:textId="77777777" w:rsidR="00D22431" w:rsidRDefault="00D22431" w:rsidP="00324A0D">
            <w:pPr>
              <w:jc w:val="center"/>
              <w:rPr>
                <w:sz w:val="2"/>
                <w:szCs w:val="2"/>
              </w:rPr>
            </w:pPr>
          </w:p>
        </w:tc>
        <w:tc>
          <w:tcPr>
            <w:tcW w:w="894" w:type="pct"/>
            <w:vAlign w:val="center"/>
          </w:tcPr>
          <w:p w14:paraId="0C660026" w14:textId="77777777" w:rsidR="00D22431" w:rsidRDefault="00D22431" w:rsidP="00D22431">
            <w:pPr>
              <w:pStyle w:val="TableParagraph"/>
              <w:spacing w:before="28"/>
              <w:jc w:val="both"/>
              <w:rPr>
                <w:sz w:val="21"/>
              </w:rPr>
            </w:pPr>
            <w:r>
              <w:rPr>
                <w:sz w:val="21"/>
              </w:rPr>
              <w:t>规划选址风险</w:t>
            </w:r>
          </w:p>
        </w:tc>
        <w:tc>
          <w:tcPr>
            <w:tcW w:w="3133" w:type="pct"/>
            <w:vAlign w:val="center"/>
          </w:tcPr>
          <w:p w14:paraId="40206834" w14:textId="77777777" w:rsidR="00D22431" w:rsidRDefault="00D22431" w:rsidP="00D22431">
            <w:pPr>
              <w:pStyle w:val="TableParagraph"/>
              <w:jc w:val="both"/>
              <w:rPr>
                <w:sz w:val="21"/>
              </w:rPr>
            </w:pPr>
            <w:r>
              <w:rPr>
                <w:sz w:val="21"/>
              </w:rPr>
              <w:t>因项目规划、选址不当可能引起公众反对产生的风险。</w:t>
            </w:r>
          </w:p>
        </w:tc>
      </w:tr>
      <w:tr w:rsidR="00D22431" w14:paraId="690A1BCE" w14:textId="77777777" w:rsidTr="00324A0D">
        <w:trPr>
          <w:trHeight w:val="652"/>
        </w:trPr>
        <w:tc>
          <w:tcPr>
            <w:tcW w:w="264" w:type="pct"/>
            <w:vMerge/>
          </w:tcPr>
          <w:p w14:paraId="5F7C5C24" w14:textId="77777777" w:rsidR="00D22431" w:rsidRDefault="00D22431" w:rsidP="00B64580">
            <w:pPr>
              <w:rPr>
                <w:sz w:val="2"/>
                <w:szCs w:val="2"/>
              </w:rPr>
            </w:pPr>
          </w:p>
        </w:tc>
        <w:tc>
          <w:tcPr>
            <w:tcW w:w="269" w:type="pct"/>
            <w:vMerge/>
          </w:tcPr>
          <w:p w14:paraId="40E7ADEA" w14:textId="77777777" w:rsidR="00D22431" w:rsidRDefault="00D22431" w:rsidP="00B64580">
            <w:pPr>
              <w:rPr>
                <w:sz w:val="2"/>
                <w:szCs w:val="2"/>
              </w:rPr>
            </w:pPr>
          </w:p>
        </w:tc>
        <w:tc>
          <w:tcPr>
            <w:tcW w:w="440" w:type="pct"/>
            <w:vMerge w:val="restart"/>
            <w:vAlign w:val="center"/>
          </w:tcPr>
          <w:p w14:paraId="373D0C50" w14:textId="77777777" w:rsidR="00D22431" w:rsidRDefault="00D22431" w:rsidP="00324A0D">
            <w:pPr>
              <w:pStyle w:val="TableParagraph"/>
              <w:jc w:val="center"/>
              <w:rPr>
                <w:sz w:val="21"/>
              </w:rPr>
            </w:pPr>
            <w:r>
              <w:rPr>
                <w:sz w:val="21"/>
              </w:rPr>
              <w:t>其他直接外部风险</w:t>
            </w:r>
          </w:p>
        </w:tc>
        <w:tc>
          <w:tcPr>
            <w:tcW w:w="894" w:type="pct"/>
            <w:vAlign w:val="center"/>
          </w:tcPr>
          <w:p w14:paraId="08A98F3F" w14:textId="77777777" w:rsidR="00D22431" w:rsidRDefault="00D22431" w:rsidP="00D22431">
            <w:pPr>
              <w:pStyle w:val="TableParagraph"/>
              <w:spacing w:before="1"/>
              <w:jc w:val="both"/>
              <w:rPr>
                <w:sz w:val="21"/>
              </w:rPr>
            </w:pPr>
            <w:r>
              <w:rPr>
                <w:sz w:val="21"/>
              </w:rPr>
              <w:t>供给竞争风险</w:t>
            </w:r>
          </w:p>
        </w:tc>
        <w:tc>
          <w:tcPr>
            <w:tcW w:w="3133" w:type="pct"/>
            <w:vAlign w:val="center"/>
          </w:tcPr>
          <w:p w14:paraId="6A76C255" w14:textId="6DAD006E" w:rsidR="00D22431" w:rsidRDefault="00D22431" w:rsidP="00D22431">
            <w:pPr>
              <w:pStyle w:val="TableParagraph"/>
              <w:jc w:val="both"/>
              <w:rPr>
                <w:sz w:val="21"/>
              </w:rPr>
            </w:pPr>
            <w:r>
              <w:rPr>
                <w:sz w:val="21"/>
              </w:rPr>
              <w:t>项目产出的供给竞争现状是否会发生变化，是否有其他竞争者进入，是否有其他替代品出现等风险。</w:t>
            </w:r>
          </w:p>
        </w:tc>
      </w:tr>
      <w:tr w:rsidR="00D22431" w14:paraId="05B715E1" w14:textId="77777777" w:rsidTr="00324A0D">
        <w:trPr>
          <w:trHeight w:val="651"/>
        </w:trPr>
        <w:tc>
          <w:tcPr>
            <w:tcW w:w="264" w:type="pct"/>
            <w:vMerge/>
          </w:tcPr>
          <w:p w14:paraId="43D9A160" w14:textId="77777777" w:rsidR="00D22431" w:rsidRDefault="00D22431" w:rsidP="00B64580">
            <w:pPr>
              <w:rPr>
                <w:sz w:val="2"/>
                <w:szCs w:val="2"/>
              </w:rPr>
            </w:pPr>
          </w:p>
        </w:tc>
        <w:tc>
          <w:tcPr>
            <w:tcW w:w="269" w:type="pct"/>
            <w:vMerge/>
          </w:tcPr>
          <w:p w14:paraId="0F10BD2A" w14:textId="77777777" w:rsidR="00D22431" w:rsidRDefault="00D22431" w:rsidP="00B64580">
            <w:pPr>
              <w:rPr>
                <w:sz w:val="2"/>
                <w:szCs w:val="2"/>
              </w:rPr>
            </w:pPr>
          </w:p>
        </w:tc>
        <w:tc>
          <w:tcPr>
            <w:tcW w:w="440" w:type="pct"/>
            <w:vMerge/>
          </w:tcPr>
          <w:p w14:paraId="1035AD35" w14:textId="77777777" w:rsidR="00D22431" w:rsidRDefault="00D22431" w:rsidP="00B64580">
            <w:pPr>
              <w:rPr>
                <w:sz w:val="2"/>
                <w:szCs w:val="2"/>
              </w:rPr>
            </w:pPr>
          </w:p>
        </w:tc>
        <w:tc>
          <w:tcPr>
            <w:tcW w:w="894" w:type="pct"/>
            <w:vAlign w:val="center"/>
          </w:tcPr>
          <w:p w14:paraId="70233D80" w14:textId="77777777" w:rsidR="00D22431" w:rsidRDefault="00D22431" w:rsidP="00D22431">
            <w:pPr>
              <w:pStyle w:val="TableParagraph"/>
              <w:spacing w:before="1"/>
              <w:jc w:val="both"/>
              <w:rPr>
                <w:sz w:val="21"/>
              </w:rPr>
            </w:pPr>
            <w:r>
              <w:rPr>
                <w:sz w:val="21"/>
              </w:rPr>
              <w:t>自然环境风险</w:t>
            </w:r>
          </w:p>
        </w:tc>
        <w:tc>
          <w:tcPr>
            <w:tcW w:w="3133" w:type="pct"/>
            <w:vAlign w:val="center"/>
          </w:tcPr>
          <w:p w14:paraId="4C020CEF" w14:textId="27DA2E7C" w:rsidR="00D22431" w:rsidRDefault="00D22431" w:rsidP="00D22431">
            <w:pPr>
              <w:pStyle w:val="TableParagraph"/>
              <w:jc w:val="both"/>
              <w:rPr>
                <w:sz w:val="21"/>
              </w:rPr>
            </w:pPr>
            <w:r>
              <w:rPr>
                <w:sz w:val="21"/>
              </w:rPr>
              <w:t>项目所在地的自然条件的不确定性所反映的风险，以及工程施工和项目运营过程中自然环境变化带来的风险。</w:t>
            </w:r>
          </w:p>
        </w:tc>
      </w:tr>
      <w:tr w:rsidR="00D22431" w14:paraId="2C899E60" w14:textId="77777777" w:rsidTr="00324A0D">
        <w:trPr>
          <w:trHeight w:val="652"/>
        </w:trPr>
        <w:tc>
          <w:tcPr>
            <w:tcW w:w="264" w:type="pct"/>
            <w:vMerge/>
          </w:tcPr>
          <w:p w14:paraId="5BCEFF2D" w14:textId="77777777" w:rsidR="00D22431" w:rsidRDefault="00D22431" w:rsidP="00B64580">
            <w:pPr>
              <w:rPr>
                <w:sz w:val="2"/>
                <w:szCs w:val="2"/>
              </w:rPr>
            </w:pPr>
          </w:p>
        </w:tc>
        <w:tc>
          <w:tcPr>
            <w:tcW w:w="269" w:type="pct"/>
            <w:vMerge/>
          </w:tcPr>
          <w:p w14:paraId="2F204228" w14:textId="77777777" w:rsidR="00D22431" w:rsidRDefault="00D22431" w:rsidP="00B64580">
            <w:pPr>
              <w:rPr>
                <w:sz w:val="2"/>
                <w:szCs w:val="2"/>
              </w:rPr>
            </w:pPr>
          </w:p>
        </w:tc>
        <w:tc>
          <w:tcPr>
            <w:tcW w:w="440" w:type="pct"/>
            <w:vMerge/>
          </w:tcPr>
          <w:p w14:paraId="0396C616" w14:textId="77777777" w:rsidR="00D22431" w:rsidRDefault="00D22431" w:rsidP="00B64580">
            <w:pPr>
              <w:rPr>
                <w:sz w:val="2"/>
                <w:szCs w:val="2"/>
              </w:rPr>
            </w:pPr>
          </w:p>
        </w:tc>
        <w:tc>
          <w:tcPr>
            <w:tcW w:w="894" w:type="pct"/>
            <w:vAlign w:val="center"/>
          </w:tcPr>
          <w:p w14:paraId="2B550666" w14:textId="77777777" w:rsidR="00D22431" w:rsidRDefault="00D22431" w:rsidP="00D22431">
            <w:pPr>
              <w:pStyle w:val="TableParagraph"/>
              <w:spacing w:before="1"/>
              <w:jc w:val="both"/>
              <w:rPr>
                <w:sz w:val="21"/>
              </w:rPr>
            </w:pPr>
            <w:r>
              <w:rPr>
                <w:sz w:val="21"/>
              </w:rPr>
              <w:t>公众利益风险</w:t>
            </w:r>
          </w:p>
        </w:tc>
        <w:tc>
          <w:tcPr>
            <w:tcW w:w="3133" w:type="pct"/>
            <w:vAlign w:val="center"/>
          </w:tcPr>
          <w:p w14:paraId="61704EBD" w14:textId="3F904B68" w:rsidR="00D22431" w:rsidRDefault="00D22431" w:rsidP="00D22431">
            <w:pPr>
              <w:pStyle w:val="TableParagraph"/>
              <w:jc w:val="both"/>
              <w:rPr>
                <w:sz w:val="21"/>
              </w:rPr>
            </w:pPr>
            <w:r>
              <w:rPr>
                <w:sz w:val="21"/>
              </w:rPr>
              <w:t>包括公众利益无法得到保护或爱护、无法获得公众认可、受到公众阻力、引起公众反对所造成的风险。</w:t>
            </w:r>
          </w:p>
        </w:tc>
      </w:tr>
      <w:tr w:rsidR="00324A0D" w14:paraId="3450C560" w14:textId="77777777" w:rsidTr="00324A0D">
        <w:trPr>
          <w:trHeight w:val="652"/>
        </w:trPr>
        <w:tc>
          <w:tcPr>
            <w:tcW w:w="533" w:type="pct"/>
            <w:gridSpan w:val="2"/>
            <w:vMerge w:val="restart"/>
            <w:vAlign w:val="center"/>
          </w:tcPr>
          <w:p w14:paraId="3A97CFB8" w14:textId="2CD05D9C" w:rsidR="00324A0D" w:rsidRPr="00D22431" w:rsidRDefault="00324A0D" w:rsidP="00324A0D">
            <w:pPr>
              <w:pStyle w:val="13"/>
              <w:ind w:firstLineChars="0" w:firstLine="0"/>
              <w:jc w:val="center"/>
              <w:rPr>
                <w:sz w:val="21"/>
                <w:szCs w:val="21"/>
                <w:lang w:bidi="zh-CN"/>
              </w:rPr>
            </w:pPr>
            <w:r w:rsidRPr="00324A0D">
              <w:rPr>
                <w:rFonts w:hint="eastAsia"/>
                <w:sz w:val="21"/>
                <w:szCs w:val="21"/>
                <w:lang w:bidi="zh-CN"/>
              </w:rPr>
              <w:t>项目内部环境风险</w:t>
            </w:r>
          </w:p>
        </w:tc>
        <w:tc>
          <w:tcPr>
            <w:tcW w:w="440" w:type="pct"/>
            <w:vMerge w:val="restart"/>
            <w:vAlign w:val="center"/>
          </w:tcPr>
          <w:p w14:paraId="6D08951E" w14:textId="62FD347F" w:rsidR="00324A0D" w:rsidRPr="00D22431" w:rsidRDefault="00324A0D" w:rsidP="00324A0D">
            <w:pPr>
              <w:pStyle w:val="TableParagraph"/>
              <w:rPr>
                <w:sz w:val="21"/>
              </w:rPr>
            </w:pPr>
            <w:r w:rsidRPr="00324A0D">
              <w:rPr>
                <w:rFonts w:hint="eastAsia"/>
                <w:sz w:val="21"/>
              </w:rPr>
              <w:t>建造周期风险</w:t>
            </w:r>
          </w:p>
        </w:tc>
        <w:tc>
          <w:tcPr>
            <w:tcW w:w="894" w:type="pct"/>
            <w:vAlign w:val="center"/>
          </w:tcPr>
          <w:p w14:paraId="7D4D807A" w14:textId="17B62121" w:rsidR="00324A0D" w:rsidRDefault="00324A0D" w:rsidP="00324A0D">
            <w:pPr>
              <w:pStyle w:val="TableParagraph"/>
              <w:spacing w:before="1"/>
              <w:jc w:val="center"/>
              <w:rPr>
                <w:sz w:val="21"/>
              </w:rPr>
            </w:pPr>
            <w:r w:rsidRPr="00D22431">
              <w:rPr>
                <w:rFonts w:hint="eastAsia"/>
                <w:sz w:val="21"/>
              </w:rPr>
              <w:t>土地取得风险</w:t>
            </w:r>
          </w:p>
        </w:tc>
        <w:tc>
          <w:tcPr>
            <w:tcW w:w="3133" w:type="pct"/>
            <w:vAlign w:val="center"/>
          </w:tcPr>
          <w:p w14:paraId="2146CDC5" w14:textId="066C762D" w:rsidR="00324A0D" w:rsidRDefault="00324A0D" w:rsidP="00D22431">
            <w:pPr>
              <w:pStyle w:val="TableParagraph"/>
              <w:jc w:val="both"/>
              <w:rPr>
                <w:sz w:val="21"/>
              </w:rPr>
            </w:pPr>
            <w:r w:rsidRPr="00D22431">
              <w:rPr>
                <w:rFonts w:hint="eastAsia"/>
                <w:sz w:val="21"/>
              </w:rPr>
              <w:t>土地征收、土地取得过程中面临的不确定性，以及土地取得成本的波动和土地取得时间的拖延所带来的风险。</w:t>
            </w:r>
          </w:p>
        </w:tc>
      </w:tr>
      <w:tr w:rsidR="00324A0D" w14:paraId="4141E3F3" w14:textId="77777777" w:rsidTr="00324A0D">
        <w:trPr>
          <w:trHeight w:val="652"/>
        </w:trPr>
        <w:tc>
          <w:tcPr>
            <w:tcW w:w="533" w:type="pct"/>
            <w:gridSpan w:val="2"/>
            <w:vMerge/>
          </w:tcPr>
          <w:p w14:paraId="6812DD5B"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36C2ED63" w14:textId="77777777" w:rsidR="00324A0D" w:rsidRPr="00D22431" w:rsidRDefault="00324A0D" w:rsidP="00D22431">
            <w:pPr>
              <w:pStyle w:val="TableParagraph"/>
              <w:jc w:val="both"/>
              <w:rPr>
                <w:sz w:val="21"/>
              </w:rPr>
            </w:pPr>
          </w:p>
        </w:tc>
        <w:tc>
          <w:tcPr>
            <w:tcW w:w="894" w:type="pct"/>
            <w:vAlign w:val="center"/>
          </w:tcPr>
          <w:p w14:paraId="6F19B612" w14:textId="0F4E7202" w:rsidR="00324A0D" w:rsidRDefault="00324A0D" w:rsidP="00324A0D">
            <w:pPr>
              <w:pStyle w:val="TableParagraph"/>
              <w:spacing w:before="1"/>
              <w:jc w:val="center"/>
              <w:rPr>
                <w:sz w:val="21"/>
              </w:rPr>
            </w:pPr>
            <w:r w:rsidRPr="00D22431">
              <w:rPr>
                <w:rFonts w:hint="eastAsia"/>
                <w:sz w:val="21"/>
              </w:rPr>
              <w:t>配套设施风险</w:t>
            </w:r>
          </w:p>
        </w:tc>
        <w:tc>
          <w:tcPr>
            <w:tcW w:w="3133" w:type="pct"/>
            <w:vAlign w:val="center"/>
          </w:tcPr>
          <w:p w14:paraId="486AB8D7" w14:textId="15B34211" w:rsidR="00324A0D" w:rsidRDefault="00324A0D" w:rsidP="00D22431">
            <w:pPr>
              <w:pStyle w:val="TableParagraph"/>
              <w:jc w:val="both"/>
              <w:rPr>
                <w:sz w:val="21"/>
              </w:rPr>
            </w:pPr>
            <w:r w:rsidRPr="00D22431">
              <w:rPr>
                <w:sz w:val="21"/>
                <w:lang w:val="en-US"/>
              </w:rPr>
              <w:t>项目所需配套设施是否及时到位、是否与项目匹配等所引发的风险。</w:t>
            </w:r>
          </w:p>
        </w:tc>
      </w:tr>
      <w:tr w:rsidR="00324A0D" w14:paraId="44C60FF2" w14:textId="77777777" w:rsidTr="00324A0D">
        <w:trPr>
          <w:trHeight w:val="652"/>
        </w:trPr>
        <w:tc>
          <w:tcPr>
            <w:tcW w:w="533" w:type="pct"/>
            <w:gridSpan w:val="2"/>
            <w:vMerge/>
          </w:tcPr>
          <w:p w14:paraId="51A40269"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1BFD45CC" w14:textId="77777777" w:rsidR="00324A0D" w:rsidRPr="00D22431" w:rsidRDefault="00324A0D" w:rsidP="00D22431">
            <w:pPr>
              <w:pStyle w:val="TableParagraph"/>
              <w:jc w:val="both"/>
              <w:rPr>
                <w:sz w:val="21"/>
              </w:rPr>
            </w:pPr>
          </w:p>
        </w:tc>
        <w:tc>
          <w:tcPr>
            <w:tcW w:w="894" w:type="pct"/>
            <w:vAlign w:val="center"/>
          </w:tcPr>
          <w:p w14:paraId="5E6B59CE" w14:textId="266E991E" w:rsidR="00324A0D" w:rsidRDefault="00324A0D" w:rsidP="00324A0D">
            <w:pPr>
              <w:pStyle w:val="TableParagraph"/>
              <w:spacing w:before="1"/>
              <w:jc w:val="center"/>
              <w:rPr>
                <w:sz w:val="21"/>
              </w:rPr>
            </w:pPr>
            <w:r w:rsidRPr="00D22431">
              <w:rPr>
                <w:sz w:val="21"/>
              </w:rPr>
              <w:t>地质勘察风险</w:t>
            </w:r>
          </w:p>
        </w:tc>
        <w:tc>
          <w:tcPr>
            <w:tcW w:w="3133" w:type="pct"/>
            <w:vAlign w:val="center"/>
          </w:tcPr>
          <w:p w14:paraId="5761249A" w14:textId="5A77EE50" w:rsidR="00324A0D" w:rsidRDefault="00324A0D" w:rsidP="00D22431">
            <w:pPr>
              <w:pStyle w:val="TableParagraph"/>
              <w:jc w:val="both"/>
              <w:rPr>
                <w:sz w:val="21"/>
              </w:rPr>
            </w:pPr>
            <w:r w:rsidRPr="00D22431">
              <w:rPr>
                <w:sz w:val="21"/>
                <w:lang w:val="en-US"/>
              </w:rPr>
              <w:t>项目所在地的地质条件的不确定性所反映的地质勘查风险、地质资料不全风险，也包括工地的不利地质风险。</w:t>
            </w:r>
          </w:p>
        </w:tc>
      </w:tr>
      <w:tr w:rsidR="00324A0D" w14:paraId="4ECA740F" w14:textId="77777777" w:rsidTr="00324A0D">
        <w:trPr>
          <w:trHeight w:val="652"/>
        </w:trPr>
        <w:tc>
          <w:tcPr>
            <w:tcW w:w="533" w:type="pct"/>
            <w:gridSpan w:val="2"/>
            <w:vMerge/>
          </w:tcPr>
          <w:p w14:paraId="260FB31A"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4356B4E7" w14:textId="77777777" w:rsidR="00324A0D" w:rsidRPr="00D22431" w:rsidRDefault="00324A0D" w:rsidP="00D22431">
            <w:pPr>
              <w:pStyle w:val="TableParagraph"/>
              <w:jc w:val="both"/>
              <w:rPr>
                <w:sz w:val="21"/>
              </w:rPr>
            </w:pPr>
          </w:p>
        </w:tc>
        <w:tc>
          <w:tcPr>
            <w:tcW w:w="894" w:type="pct"/>
            <w:vAlign w:val="center"/>
          </w:tcPr>
          <w:p w14:paraId="7066CE31" w14:textId="67648FC3" w:rsidR="00324A0D" w:rsidRDefault="00324A0D" w:rsidP="00324A0D">
            <w:pPr>
              <w:pStyle w:val="TableParagraph"/>
              <w:spacing w:before="1"/>
              <w:jc w:val="center"/>
              <w:rPr>
                <w:sz w:val="21"/>
              </w:rPr>
            </w:pPr>
            <w:r w:rsidRPr="00D22431">
              <w:rPr>
                <w:sz w:val="21"/>
              </w:rPr>
              <w:t>工程预算风险</w:t>
            </w:r>
          </w:p>
        </w:tc>
        <w:tc>
          <w:tcPr>
            <w:tcW w:w="3133" w:type="pct"/>
            <w:vAlign w:val="center"/>
          </w:tcPr>
          <w:p w14:paraId="33012A8F" w14:textId="45FE4901" w:rsidR="00324A0D" w:rsidRDefault="00324A0D" w:rsidP="00D22431">
            <w:pPr>
              <w:pStyle w:val="TableParagraph"/>
              <w:jc w:val="both"/>
              <w:rPr>
                <w:sz w:val="21"/>
              </w:rPr>
            </w:pPr>
            <w:r w:rsidRPr="00D22431">
              <w:rPr>
                <w:sz w:val="21"/>
                <w:lang w:val="en-US"/>
              </w:rPr>
              <w:t>包括工程概预算编制不准确、工程招标前的相关测算不准确等带来的风险。</w:t>
            </w:r>
          </w:p>
        </w:tc>
      </w:tr>
      <w:tr w:rsidR="00324A0D" w14:paraId="607454E8" w14:textId="77777777" w:rsidTr="00324A0D">
        <w:trPr>
          <w:trHeight w:val="652"/>
        </w:trPr>
        <w:tc>
          <w:tcPr>
            <w:tcW w:w="533" w:type="pct"/>
            <w:gridSpan w:val="2"/>
            <w:vMerge/>
          </w:tcPr>
          <w:p w14:paraId="0850ED5B"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23AE6AF7" w14:textId="77777777" w:rsidR="00324A0D" w:rsidRPr="00D22431" w:rsidRDefault="00324A0D" w:rsidP="00D22431">
            <w:pPr>
              <w:pStyle w:val="TableParagraph"/>
              <w:jc w:val="both"/>
              <w:rPr>
                <w:sz w:val="21"/>
              </w:rPr>
            </w:pPr>
          </w:p>
        </w:tc>
        <w:tc>
          <w:tcPr>
            <w:tcW w:w="894" w:type="pct"/>
            <w:vAlign w:val="center"/>
          </w:tcPr>
          <w:p w14:paraId="754A5454" w14:textId="7D531F30" w:rsidR="00324A0D" w:rsidRDefault="00324A0D" w:rsidP="00324A0D">
            <w:pPr>
              <w:pStyle w:val="TableParagraph"/>
              <w:spacing w:before="1"/>
              <w:jc w:val="center"/>
              <w:rPr>
                <w:sz w:val="21"/>
              </w:rPr>
            </w:pPr>
            <w:r w:rsidRPr="00D22431">
              <w:rPr>
                <w:sz w:val="21"/>
              </w:rPr>
              <w:t>工程招标风险</w:t>
            </w:r>
          </w:p>
        </w:tc>
        <w:tc>
          <w:tcPr>
            <w:tcW w:w="3133" w:type="pct"/>
            <w:vAlign w:val="center"/>
          </w:tcPr>
          <w:p w14:paraId="3F92091C" w14:textId="147A3883" w:rsidR="00324A0D" w:rsidRDefault="00324A0D" w:rsidP="00D22431">
            <w:pPr>
              <w:pStyle w:val="TableParagraph"/>
              <w:jc w:val="both"/>
              <w:rPr>
                <w:sz w:val="21"/>
              </w:rPr>
            </w:pPr>
            <w:r w:rsidRPr="00D22431">
              <w:rPr>
                <w:sz w:val="21"/>
                <w:lang w:val="en-US"/>
              </w:rPr>
              <w:t>包括招投标程序不公正、不公平、不透明，招标项目信息不充分或不够真实，竞标者不足，市场参与主体违规投标等带来的风险。</w:t>
            </w:r>
          </w:p>
        </w:tc>
      </w:tr>
      <w:tr w:rsidR="00324A0D" w14:paraId="4401B9F0" w14:textId="77777777" w:rsidTr="00324A0D">
        <w:trPr>
          <w:trHeight w:val="652"/>
        </w:trPr>
        <w:tc>
          <w:tcPr>
            <w:tcW w:w="533" w:type="pct"/>
            <w:gridSpan w:val="2"/>
            <w:vMerge/>
          </w:tcPr>
          <w:p w14:paraId="0C417A1C"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46F64669" w14:textId="77777777" w:rsidR="00324A0D" w:rsidRPr="00D22431" w:rsidRDefault="00324A0D" w:rsidP="00D22431">
            <w:pPr>
              <w:pStyle w:val="TableParagraph"/>
              <w:jc w:val="both"/>
              <w:rPr>
                <w:sz w:val="21"/>
              </w:rPr>
            </w:pPr>
          </w:p>
        </w:tc>
        <w:tc>
          <w:tcPr>
            <w:tcW w:w="894" w:type="pct"/>
            <w:vAlign w:val="center"/>
          </w:tcPr>
          <w:p w14:paraId="70F7F37F" w14:textId="1792A06F" w:rsidR="00324A0D" w:rsidRPr="00D22431" w:rsidRDefault="00324A0D" w:rsidP="00324A0D">
            <w:pPr>
              <w:pStyle w:val="TableParagraph"/>
              <w:spacing w:before="1"/>
              <w:jc w:val="center"/>
              <w:rPr>
                <w:sz w:val="21"/>
                <w:lang w:val="en-US"/>
              </w:rPr>
            </w:pPr>
            <w:r w:rsidRPr="00D22431">
              <w:rPr>
                <w:rFonts w:hint="eastAsia"/>
                <w:sz w:val="21"/>
                <w:lang w:val="en-US"/>
              </w:rPr>
              <w:t>工程建造风险</w:t>
            </w:r>
          </w:p>
        </w:tc>
        <w:tc>
          <w:tcPr>
            <w:tcW w:w="3133" w:type="pct"/>
            <w:vAlign w:val="center"/>
          </w:tcPr>
          <w:p w14:paraId="734548AB" w14:textId="4F5BEC04" w:rsidR="00324A0D" w:rsidRDefault="00324A0D" w:rsidP="00D22431">
            <w:pPr>
              <w:pStyle w:val="TableParagraph"/>
              <w:jc w:val="both"/>
              <w:rPr>
                <w:sz w:val="21"/>
              </w:rPr>
            </w:pPr>
            <w:r w:rsidRPr="00D22431">
              <w:rPr>
                <w:sz w:val="21"/>
                <w:lang w:val="en-US"/>
              </w:rPr>
              <w:t>包括工程设计风险、工地状况风险、施工风险、技术风险、安全事故、工程进度风险、工程质量风险、工程成本风险、工程管理风险、历史文物风险以及竣工验收风险，也包括因工程设计或工程建造等原因而导致试运 行风险、项目产出不达标风险。</w:t>
            </w:r>
          </w:p>
        </w:tc>
      </w:tr>
      <w:tr w:rsidR="00324A0D" w14:paraId="00E1C95D" w14:textId="77777777" w:rsidTr="00324A0D">
        <w:trPr>
          <w:trHeight w:val="652"/>
        </w:trPr>
        <w:tc>
          <w:tcPr>
            <w:tcW w:w="533" w:type="pct"/>
            <w:gridSpan w:val="2"/>
            <w:vMerge/>
          </w:tcPr>
          <w:p w14:paraId="22069857"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720EF3BB" w14:textId="77777777" w:rsidR="00324A0D" w:rsidRPr="00D22431" w:rsidRDefault="00324A0D" w:rsidP="00D22431">
            <w:pPr>
              <w:pStyle w:val="TableParagraph"/>
              <w:jc w:val="both"/>
              <w:rPr>
                <w:sz w:val="21"/>
              </w:rPr>
            </w:pPr>
          </w:p>
        </w:tc>
        <w:tc>
          <w:tcPr>
            <w:tcW w:w="894" w:type="pct"/>
            <w:vAlign w:val="center"/>
          </w:tcPr>
          <w:p w14:paraId="42A93AA1" w14:textId="1898E2AC" w:rsidR="00324A0D" w:rsidRPr="00D22431" w:rsidRDefault="00324A0D" w:rsidP="00324A0D">
            <w:pPr>
              <w:pStyle w:val="TableParagraph"/>
              <w:spacing w:before="1"/>
              <w:jc w:val="center"/>
              <w:rPr>
                <w:sz w:val="21"/>
              </w:rPr>
            </w:pPr>
            <w:r w:rsidRPr="00D22431">
              <w:rPr>
                <w:rFonts w:hint="eastAsia"/>
                <w:sz w:val="21"/>
              </w:rPr>
              <w:t>施工条件风险</w:t>
            </w:r>
          </w:p>
        </w:tc>
        <w:tc>
          <w:tcPr>
            <w:tcW w:w="3133" w:type="pct"/>
            <w:vAlign w:val="center"/>
          </w:tcPr>
          <w:p w14:paraId="713B0954" w14:textId="79A0CB68" w:rsidR="00324A0D" w:rsidRPr="00D22431" w:rsidRDefault="00324A0D" w:rsidP="00D22431">
            <w:pPr>
              <w:rPr>
                <w:rFonts w:ascii="宋体" w:hAnsi="宋体" w:cs="宋体"/>
                <w:kern w:val="0"/>
                <w:lang w:val="zh-CN" w:bidi="zh-CN"/>
              </w:rPr>
            </w:pPr>
            <w:r w:rsidRPr="00D22431">
              <w:rPr>
                <w:rFonts w:ascii="宋体" w:hAnsi="宋体" w:cs="宋体" w:hint="eastAsia"/>
                <w:kern w:val="0"/>
                <w:lang w:val="zh-CN" w:bidi="zh-CN"/>
              </w:rPr>
              <w:t>包括工程设计风险、工地状况风险、施工风</w:t>
            </w:r>
            <w:r w:rsidRPr="00D22431">
              <w:rPr>
                <w:rFonts w:ascii="宋体" w:hAnsi="宋体" w:cs="宋体"/>
                <w:kern w:val="0"/>
                <w:lang w:val="zh-CN" w:bidi="zh-CN"/>
              </w:rPr>
              <w:t xml:space="preserve"> 险、技术风险、安全事故、工程进度风险、工程质量风险、工程成本风险、工程管理风 险、历史文物风险以及竣工验收风险，也包 </w:t>
            </w:r>
            <w:proofErr w:type="gramStart"/>
            <w:r w:rsidRPr="00D22431">
              <w:rPr>
                <w:rFonts w:ascii="宋体" w:hAnsi="宋体" w:cs="宋体"/>
                <w:kern w:val="0"/>
                <w:lang w:val="zh-CN" w:bidi="zh-CN"/>
              </w:rPr>
              <w:t>括</w:t>
            </w:r>
            <w:proofErr w:type="gramEnd"/>
            <w:r w:rsidRPr="00D22431">
              <w:rPr>
                <w:rFonts w:ascii="宋体" w:hAnsi="宋体" w:cs="宋体"/>
                <w:kern w:val="0"/>
                <w:lang w:val="zh-CN" w:bidi="zh-CN"/>
              </w:rPr>
              <w:t>因工程设计或工程建造等原因而导致试运行风险、项目产出不达标风险。</w:t>
            </w:r>
          </w:p>
        </w:tc>
      </w:tr>
      <w:tr w:rsidR="00324A0D" w14:paraId="3A4B9BBD" w14:textId="77777777" w:rsidTr="00324A0D">
        <w:trPr>
          <w:trHeight w:val="652"/>
        </w:trPr>
        <w:tc>
          <w:tcPr>
            <w:tcW w:w="533" w:type="pct"/>
            <w:gridSpan w:val="2"/>
            <w:vMerge/>
          </w:tcPr>
          <w:p w14:paraId="10326C59"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79734A00" w14:textId="77777777" w:rsidR="00324A0D" w:rsidRPr="00D22431" w:rsidRDefault="00324A0D" w:rsidP="00D22431">
            <w:pPr>
              <w:pStyle w:val="TableParagraph"/>
              <w:jc w:val="both"/>
              <w:rPr>
                <w:sz w:val="21"/>
              </w:rPr>
            </w:pPr>
          </w:p>
        </w:tc>
        <w:tc>
          <w:tcPr>
            <w:tcW w:w="894" w:type="pct"/>
            <w:vAlign w:val="center"/>
          </w:tcPr>
          <w:p w14:paraId="56EAE0A1" w14:textId="7BA2CFFE" w:rsidR="00324A0D" w:rsidRPr="00D22431" w:rsidRDefault="00324A0D" w:rsidP="00324A0D">
            <w:pPr>
              <w:pStyle w:val="TableParagraph"/>
              <w:spacing w:before="1"/>
              <w:jc w:val="center"/>
              <w:rPr>
                <w:sz w:val="21"/>
              </w:rPr>
            </w:pPr>
            <w:r w:rsidRPr="00D22431">
              <w:rPr>
                <w:rFonts w:hint="eastAsia"/>
                <w:sz w:val="21"/>
              </w:rPr>
              <w:t>项目融资风险</w:t>
            </w:r>
          </w:p>
        </w:tc>
        <w:tc>
          <w:tcPr>
            <w:tcW w:w="3133" w:type="pct"/>
            <w:vAlign w:val="center"/>
          </w:tcPr>
          <w:p w14:paraId="0BB8596F" w14:textId="3C88FFF7" w:rsidR="00324A0D" w:rsidRDefault="00324A0D" w:rsidP="00D22431">
            <w:pPr>
              <w:pStyle w:val="TableParagraph"/>
              <w:rPr>
                <w:sz w:val="21"/>
              </w:rPr>
            </w:pPr>
            <w:r w:rsidRPr="00D22431">
              <w:rPr>
                <w:rFonts w:hint="eastAsia"/>
                <w:sz w:val="21"/>
              </w:rPr>
              <w:t>包括金融市场不健全、融资结构不合理、融资的可及性引起的风险，社会资本的信用状况以及社会资本的自有资金实力引起的风险，还包括未能在预期的条件下融到所需资金的风险。</w:t>
            </w:r>
          </w:p>
        </w:tc>
      </w:tr>
      <w:tr w:rsidR="00324A0D" w14:paraId="4328B042" w14:textId="77777777" w:rsidTr="00324A0D">
        <w:trPr>
          <w:trHeight w:val="421"/>
        </w:trPr>
        <w:tc>
          <w:tcPr>
            <w:tcW w:w="533" w:type="pct"/>
            <w:gridSpan w:val="2"/>
            <w:vMerge/>
          </w:tcPr>
          <w:p w14:paraId="40AD5C72"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restart"/>
            <w:vAlign w:val="center"/>
          </w:tcPr>
          <w:p w14:paraId="55C04539" w14:textId="4E6D92F9" w:rsidR="00324A0D" w:rsidRPr="00D22431" w:rsidRDefault="00324A0D" w:rsidP="00324A0D">
            <w:pPr>
              <w:pStyle w:val="TableParagraph"/>
              <w:jc w:val="center"/>
              <w:rPr>
                <w:sz w:val="21"/>
              </w:rPr>
            </w:pPr>
            <w:r w:rsidRPr="00324A0D">
              <w:rPr>
                <w:rFonts w:hint="eastAsia"/>
                <w:sz w:val="21"/>
              </w:rPr>
              <w:t>运营周期风险</w:t>
            </w:r>
          </w:p>
        </w:tc>
        <w:tc>
          <w:tcPr>
            <w:tcW w:w="894" w:type="pct"/>
            <w:vAlign w:val="center"/>
          </w:tcPr>
          <w:p w14:paraId="4C2C844E" w14:textId="034ED7B1" w:rsidR="00324A0D" w:rsidRPr="00D22431" w:rsidRDefault="00324A0D" w:rsidP="00324A0D">
            <w:pPr>
              <w:pStyle w:val="TableParagraph"/>
              <w:spacing w:before="28"/>
              <w:jc w:val="both"/>
              <w:rPr>
                <w:sz w:val="21"/>
              </w:rPr>
            </w:pPr>
            <w:r w:rsidRPr="00D22431">
              <w:rPr>
                <w:rFonts w:hint="eastAsia"/>
                <w:sz w:val="21"/>
              </w:rPr>
              <w:t>运营条件风险</w:t>
            </w:r>
          </w:p>
        </w:tc>
        <w:tc>
          <w:tcPr>
            <w:tcW w:w="3133" w:type="pct"/>
            <w:vAlign w:val="center"/>
          </w:tcPr>
          <w:p w14:paraId="62DC940D" w14:textId="3AC9DC44" w:rsidR="00324A0D" w:rsidRDefault="00324A0D" w:rsidP="00324A0D">
            <w:pPr>
              <w:pStyle w:val="TableParagraph"/>
              <w:spacing w:before="28"/>
              <w:jc w:val="both"/>
              <w:rPr>
                <w:sz w:val="21"/>
              </w:rPr>
            </w:pPr>
            <w:r w:rsidRPr="00324A0D">
              <w:rPr>
                <w:rFonts w:hint="eastAsia"/>
                <w:sz w:val="21"/>
              </w:rPr>
              <w:t>主要指项目运营所需条件的不确定性所带来的风险。</w:t>
            </w:r>
          </w:p>
        </w:tc>
      </w:tr>
      <w:tr w:rsidR="00324A0D" w14:paraId="0444855F" w14:textId="77777777" w:rsidTr="00324A0D">
        <w:trPr>
          <w:trHeight w:val="652"/>
        </w:trPr>
        <w:tc>
          <w:tcPr>
            <w:tcW w:w="533" w:type="pct"/>
            <w:gridSpan w:val="2"/>
            <w:vMerge/>
          </w:tcPr>
          <w:p w14:paraId="3FC733B1"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5816E378" w14:textId="77777777" w:rsidR="00324A0D" w:rsidRPr="00D22431" w:rsidRDefault="00324A0D" w:rsidP="00324A0D">
            <w:pPr>
              <w:pStyle w:val="TableParagraph"/>
              <w:jc w:val="center"/>
              <w:rPr>
                <w:sz w:val="21"/>
              </w:rPr>
            </w:pPr>
          </w:p>
        </w:tc>
        <w:tc>
          <w:tcPr>
            <w:tcW w:w="894" w:type="pct"/>
            <w:vAlign w:val="center"/>
          </w:tcPr>
          <w:p w14:paraId="01214817" w14:textId="6FE4B558" w:rsidR="00324A0D" w:rsidRPr="00D22431" w:rsidRDefault="00324A0D" w:rsidP="00324A0D">
            <w:pPr>
              <w:pStyle w:val="TableParagraph"/>
              <w:spacing w:before="1"/>
              <w:jc w:val="center"/>
              <w:rPr>
                <w:sz w:val="21"/>
              </w:rPr>
            </w:pPr>
            <w:r w:rsidRPr="00D22431">
              <w:rPr>
                <w:rFonts w:hint="eastAsia"/>
                <w:sz w:val="21"/>
              </w:rPr>
              <w:t>运营维护风险</w:t>
            </w:r>
          </w:p>
        </w:tc>
        <w:tc>
          <w:tcPr>
            <w:tcW w:w="3133" w:type="pct"/>
            <w:vAlign w:val="center"/>
          </w:tcPr>
          <w:p w14:paraId="74D7577E" w14:textId="1E51D3F3" w:rsidR="00324A0D" w:rsidRDefault="00324A0D" w:rsidP="00324A0D">
            <w:pPr>
              <w:pStyle w:val="TableParagraph"/>
              <w:rPr>
                <w:sz w:val="21"/>
              </w:rPr>
            </w:pPr>
            <w:r w:rsidRPr="00324A0D">
              <w:rPr>
                <w:rFonts w:hint="eastAsia"/>
                <w:sz w:val="21"/>
              </w:rPr>
              <w:t>主要指项目运营和维护过程中涉及的经验不足、技术不成熟、能力低下、成本过高、以及组织协调不力等导致的风险，也包括劳动关系风险、职业健康与安全风险，以及因运营原因导致的项目产出不达标风险。</w:t>
            </w:r>
          </w:p>
        </w:tc>
      </w:tr>
      <w:tr w:rsidR="00324A0D" w14:paraId="49B248F8" w14:textId="77777777" w:rsidTr="00324A0D">
        <w:trPr>
          <w:trHeight w:val="652"/>
        </w:trPr>
        <w:tc>
          <w:tcPr>
            <w:tcW w:w="533" w:type="pct"/>
            <w:gridSpan w:val="2"/>
            <w:vMerge/>
          </w:tcPr>
          <w:p w14:paraId="398B933E"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3A9C8A17" w14:textId="77777777" w:rsidR="00324A0D" w:rsidRPr="00D22431" w:rsidRDefault="00324A0D" w:rsidP="00324A0D">
            <w:pPr>
              <w:pStyle w:val="TableParagraph"/>
              <w:jc w:val="center"/>
              <w:rPr>
                <w:sz w:val="21"/>
              </w:rPr>
            </w:pPr>
          </w:p>
        </w:tc>
        <w:tc>
          <w:tcPr>
            <w:tcW w:w="894" w:type="pct"/>
            <w:vAlign w:val="center"/>
          </w:tcPr>
          <w:p w14:paraId="226A62A8" w14:textId="166692C7" w:rsidR="00324A0D" w:rsidRPr="00D22431" w:rsidRDefault="00324A0D" w:rsidP="00324A0D">
            <w:pPr>
              <w:pStyle w:val="TableParagraph"/>
              <w:spacing w:before="1"/>
              <w:jc w:val="center"/>
              <w:rPr>
                <w:sz w:val="21"/>
              </w:rPr>
            </w:pPr>
            <w:r w:rsidRPr="00D22431">
              <w:rPr>
                <w:rFonts w:hint="eastAsia"/>
                <w:sz w:val="21"/>
              </w:rPr>
              <w:t>项目管理风险</w:t>
            </w:r>
          </w:p>
        </w:tc>
        <w:tc>
          <w:tcPr>
            <w:tcW w:w="3133" w:type="pct"/>
            <w:vAlign w:val="center"/>
          </w:tcPr>
          <w:p w14:paraId="665799C0" w14:textId="32FBBAF1" w:rsidR="00324A0D" w:rsidRDefault="00324A0D" w:rsidP="00324A0D">
            <w:pPr>
              <w:pStyle w:val="TableParagraph"/>
              <w:rPr>
                <w:sz w:val="21"/>
              </w:rPr>
            </w:pPr>
            <w:r w:rsidRPr="00324A0D">
              <w:rPr>
                <w:rFonts w:hint="eastAsia"/>
                <w:sz w:val="21"/>
              </w:rPr>
              <w:t>包括财务管理风险、外部合作机构管理风险，以及管理成本超支等风险。其中，外部合作机构管理风险主要指外部合作方履约能力、履约意愿和履约进度的不确定性所引发的风险。</w:t>
            </w:r>
          </w:p>
        </w:tc>
      </w:tr>
      <w:tr w:rsidR="00324A0D" w14:paraId="2B99075E" w14:textId="77777777" w:rsidTr="00324A0D">
        <w:trPr>
          <w:trHeight w:val="652"/>
        </w:trPr>
        <w:tc>
          <w:tcPr>
            <w:tcW w:w="533" w:type="pct"/>
            <w:gridSpan w:val="2"/>
            <w:vMerge/>
          </w:tcPr>
          <w:p w14:paraId="0D373BEC"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Merge/>
            <w:vAlign w:val="center"/>
          </w:tcPr>
          <w:p w14:paraId="1B027858" w14:textId="77777777" w:rsidR="00324A0D" w:rsidRPr="00D22431" w:rsidRDefault="00324A0D" w:rsidP="00324A0D">
            <w:pPr>
              <w:pStyle w:val="TableParagraph"/>
              <w:jc w:val="center"/>
              <w:rPr>
                <w:sz w:val="21"/>
              </w:rPr>
            </w:pPr>
          </w:p>
        </w:tc>
        <w:tc>
          <w:tcPr>
            <w:tcW w:w="894" w:type="pct"/>
            <w:vAlign w:val="center"/>
          </w:tcPr>
          <w:p w14:paraId="48CF96DE" w14:textId="041434B7" w:rsidR="00324A0D" w:rsidRPr="00D22431" w:rsidRDefault="00324A0D" w:rsidP="00324A0D">
            <w:pPr>
              <w:pStyle w:val="TableParagraph"/>
              <w:spacing w:before="1"/>
              <w:jc w:val="center"/>
              <w:rPr>
                <w:sz w:val="21"/>
              </w:rPr>
            </w:pPr>
            <w:r w:rsidRPr="00D22431">
              <w:rPr>
                <w:rFonts w:hint="eastAsia"/>
                <w:sz w:val="21"/>
              </w:rPr>
              <w:t>环境保护风险</w:t>
            </w:r>
          </w:p>
        </w:tc>
        <w:tc>
          <w:tcPr>
            <w:tcW w:w="3133" w:type="pct"/>
            <w:vAlign w:val="center"/>
          </w:tcPr>
          <w:p w14:paraId="5EDBA6C0" w14:textId="552379BC" w:rsidR="00324A0D" w:rsidRDefault="00324A0D" w:rsidP="00324A0D">
            <w:pPr>
              <w:pStyle w:val="TableParagraph"/>
              <w:rPr>
                <w:sz w:val="21"/>
              </w:rPr>
            </w:pPr>
            <w:r w:rsidRPr="00324A0D">
              <w:rPr>
                <w:rFonts w:hint="eastAsia"/>
                <w:sz w:val="21"/>
              </w:rPr>
              <w:t>主要包括运营过程产生的环保风险以及项目产出物带来的环保风险。</w:t>
            </w:r>
          </w:p>
        </w:tc>
      </w:tr>
      <w:tr w:rsidR="00324A0D" w14:paraId="392BF479" w14:textId="77777777" w:rsidTr="00324A0D">
        <w:trPr>
          <w:trHeight w:val="912"/>
        </w:trPr>
        <w:tc>
          <w:tcPr>
            <w:tcW w:w="533" w:type="pct"/>
            <w:gridSpan w:val="2"/>
            <w:vMerge/>
          </w:tcPr>
          <w:p w14:paraId="64A40B3B" w14:textId="77777777" w:rsidR="00324A0D" w:rsidRPr="00D22431" w:rsidRDefault="00324A0D" w:rsidP="00D22431">
            <w:pPr>
              <w:pStyle w:val="13"/>
              <w:spacing w:line="240" w:lineRule="auto"/>
              <w:ind w:firstLineChars="0" w:firstLine="0"/>
              <w:jc w:val="center"/>
              <w:rPr>
                <w:sz w:val="21"/>
                <w:szCs w:val="21"/>
                <w:lang w:bidi="zh-CN"/>
              </w:rPr>
            </w:pPr>
          </w:p>
        </w:tc>
        <w:tc>
          <w:tcPr>
            <w:tcW w:w="440" w:type="pct"/>
            <w:vAlign w:val="center"/>
          </w:tcPr>
          <w:p w14:paraId="044FB30D" w14:textId="24E7CD44" w:rsidR="00324A0D" w:rsidRPr="00D22431" w:rsidRDefault="00324A0D" w:rsidP="00324A0D">
            <w:pPr>
              <w:pStyle w:val="TableParagraph"/>
              <w:jc w:val="center"/>
              <w:rPr>
                <w:sz w:val="21"/>
              </w:rPr>
            </w:pPr>
            <w:r w:rsidRPr="00324A0D">
              <w:rPr>
                <w:rFonts w:hint="eastAsia"/>
                <w:sz w:val="21"/>
              </w:rPr>
              <w:t>项目移交周期风险</w:t>
            </w:r>
          </w:p>
        </w:tc>
        <w:tc>
          <w:tcPr>
            <w:tcW w:w="894" w:type="pct"/>
            <w:vAlign w:val="center"/>
          </w:tcPr>
          <w:p w14:paraId="00949A52" w14:textId="3F6FB4BB" w:rsidR="00324A0D" w:rsidRPr="00D22431" w:rsidRDefault="00324A0D" w:rsidP="00324A0D">
            <w:pPr>
              <w:pStyle w:val="TableParagraph"/>
              <w:spacing w:before="1"/>
              <w:jc w:val="center"/>
              <w:rPr>
                <w:sz w:val="21"/>
              </w:rPr>
            </w:pPr>
            <w:r w:rsidRPr="00D22431">
              <w:rPr>
                <w:rFonts w:hint="eastAsia"/>
                <w:sz w:val="21"/>
              </w:rPr>
              <w:t>项目移交风险</w:t>
            </w:r>
          </w:p>
        </w:tc>
        <w:tc>
          <w:tcPr>
            <w:tcW w:w="3133" w:type="pct"/>
            <w:vAlign w:val="center"/>
          </w:tcPr>
          <w:p w14:paraId="5FF0EFCA" w14:textId="1B6750DD" w:rsidR="00324A0D" w:rsidRDefault="00324A0D" w:rsidP="00324A0D">
            <w:pPr>
              <w:pStyle w:val="TableParagraph"/>
              <w:rPr>
                <w:sz w:val="21"/>
              </w:rPr>
            </w:pPr>
            <w:r w:rsidRPr="00324A0D">
              <w:rPr>
                <w:rFonts w:hint="eastAsia"/>
                <w:sz w:val="21"/>
              </w:rPr>
              <w:t>因运营期超负荷运行、过度使用、维护不力等情形，造成合作期限届满时，项目状况无法达到移交要求引起的风险。</w:t>
            </w:r>
          </w:p>
        </w:tc>
      </w:tr>
      <w:tr w:rsidR="00D22431" w14:paraId="13D0ECC9" w14:textId="77777777" w:rsidTr="00324A0D">
        <w:trPr>
          <w:trHeight w:val="362"/>
        </w:trPr>
        <w:tc>
          <w:tcPr>
            <w:tcW w:w="973" w:type="pct"/>
            <w:gridSpan w:val="3"/>
            <w:vMerge w:val="restart"/>
            <w:vAlign w:val="center"/>
          </w:tcPr>
          <w:p w14:paraId="2E4E2498" w14:textId="2167EF18" w:rsidR="00D22431" w:rsidRPr="00D22431" w:rsidRDefault="00D22431" w:rsidP="00D22431">
            <w:pPr>
              <w:pStyle w:val="TableParagraph"/>
              <w:jc w:val="center"/>
              <w:rPr>
                <w:sz w:val="21"/>
              </w:rPr>
            </w:pPr>
            <w:r w:rsidRPr="00D22431">
              <w:rPr>
                <w:rFonts w:hint="eastAsia"/>
                <w:sz w:val="21"/>
              </w:rPr>
              <w:t>项目其他风险</w:t>
            </w:r>
          </w:p>
        </w:tc>
        <w:tc>
          <w:tcPr>
            <w:tcW w:w="894" w:type="pct"/>
            <w:vAlign w:val="center"/>
          </w:tcPr>
          <w:p w14:paraId="06DEA327" w14:textId="631AAFE0" w:rsidR="00D22431" w:rsidRPr="00D22431" w:rsidRDefault="00D22431" w:rsidP="00324A0D">
            <w:pPr>
              <w:pStyle w:val="TableParagraph"/>
              <w:spacing w:before="1"/>
              <w:jc w:val="center"/>
              <w:rPr>
                <w:sz w:val="21"/>
              </w:rPr>
            </w:pPr>
            <w:r w:rsidRPr="00D22431">
              <w:rPr>
                <w:rFonts w:hint="eastAsia"/>
                <w:sz w:val="21"/>
              </w:rPr>
              <w:t>项目征收风险</w:t>
            </w:r>
          </w:p>
        </w:tc>
        <w:tc>
          <w:tcPr>
            <w:tcW w:w="3133" w:type="pct"/>
            <w:vAlign w:val="center"/>
          </w:tcPr>
          <w:p w14:paraId="2625D108" w14:textId="63B65CBB" w:rsidR="00D22431" w:rsidRDefault="00324A0D" w:rsidP="00324A0D">
            <w:pPr>
              <w:pStyle w:val="TableParagraph"/>
              <w:rPr>
                <w:sz w:val="21"/>
              </w:rPr>
            </w:pPr>
            <w:r w:rsidRPr="00324A0D">
              <w:rPr>
                <w:rFonts w:hint="eastAsia"/>
                <w:sz w:val="21"/>
              </w:rPr>
              <w:t>主要指因公共利益的需要项目被征收的风险。</w:t>
            </w:r>
          </w:p>
        </w:tc>
      </w:tr>
      <w:tr w:rsidR="00D22431" w14:paraId="4EAEF511" w14:textId="77777777" w:rsidTr="00324A0D">
        <w:trPr>
          <w:trHeight w:val="652"/>
        </w:trPr>
        <w:tc>
          <w:tcPr>
            <w:tcW w:w="973" w:type="pct"/>
            <w:gridSpan w:val="3"/>
            <w:vMerge/>
          </w:tcPr>
          <w:p w14:paraId="34D0B286" w14:textId="77777777" w:rsidR="00D22431" w:rsidRDefault="00D22431" w:rsidP="00D22431">
            <w:pPr>
              <w:rPr>
                <w:sz w:val="2"/>
                <w:szCs w:val="2"/>
              </w:rPr>
            </w:pPr>
          </w:p>
        </w:tc>
        <w:tc>
          <w:tcPr>
            <w:tcW w:w="894" w:type="pct"/>
            <w:vAlign w:val="center"/>
          </w:tcPr>
          <w:p w14:paraId="455D80B1" w14:textId="7BB3B533" w:rsidR="00D22431" w:rsidRPr="00D22431" w:rsidRDefault="00D22431" w:rsidP="00324A0D">
            <w:pPr>
              <w:pStyle w:val="TableParagraph"/>
              <w:spacing w:before="1"/>
              <w:jc w:val="center"/>
              <w:rPr>
                <w:sz w:val="21"/>
              </w:rPr>
            </w:pPr>
            <w:r w:rsidRPr="00D22431">
              <w:rPr>
                <w:rFonts w:hint="eastAsia"/>
                <w:sz w:val="21"/>
              </w:rPr>
              <w:t>不可抗力风险</w:t>
            </w:r>
          </w:p>
        </w:tc>
        <w:tc>
          <w:tcPr>
            <w:tcW w:w="3133" w:type="pct"/>
            <w:vAlign w:val="center"/>
          </w:tcPr>
          <w:p w14:paraId="2F1EE11D" w14:textId="4EDD20B5" w:rsidR="00D22431" w:rsidRDefault="00324A0D" w:rsidP="00324A0D">
            <w:pPr>
              <w:pStyle w:val="TableParagraph"/>
              <w:rPr>
                <w:sz w:val="21"/>
              </w:rPr>
            </w:pPr>
            <w:r w:rsidRPr="00324A0D">
              <w:rPr>
                <w:rFonts w:hint="eastAsia"/>
                <w:sz w:val="21"/>
              </w:rPr>
              <w:t>指合同一方无法控制，在签订合同前无法合理防范，情况发生时又无法回避或克服的事件或情况产生的风险。</w:t>
            </w:r>
          </w:p>
        </w:tc>
      </w:tr>
      <w:tr w:rsidR="00D22431" w14:paraId="2E18B057" w14:textId="77777777" w:rsidTr="00324A0D">
        <w:trPr>
          <w:trHeight w:val="652"/>
        </w:trPr>
        <w:tc>
          <w:tcPr>
            <w:tcW w:w="973" w:type="pct"/>
            <w:gridSpan w:val="3"/>
            <w:vMerge/>
          </w:tcPr>
          <w:p w14:paraId="17FC8870" w14:textId="77777777" w:rsidR="00D22431" w:rsidRDefault="00D22431" w:rsidP="00D22431">
            <w:pPr>
              <w:rPr>
                <w:sz w:val="2"/>
                <w:szCs w:val="2"/>
              </w:rPr>
            </w:pPr>
          </w:p>
        </w:tc>
        <w:tc>
          <w:tcPr>
            <w:tcW w:w="894" w:type="pct"/>
            <w:vAlign w:val="center"/>
          </w:tcPr>
          <w:p w14:paraId="4E0AEAAE" w14:textId="3A3E5CC5" w:rsidR="00D22431" w:rsidRPr="00D22431" w:rsidRDefault="00D22431" w:rsidP="00324A0D">
            <w:pPr>
              <w:pStyle w:val="TableParagraph"/>
              <w:spacing w:before="1"/>
              <w:jc w:val="center"/>
              <w:rPr>
                <w:sz w:val="21"/>
              </w:rPr>
            </w:pPr>
            <w:r w:rsidRPr="00D22431">
              <w:rPr>
                <w:rFonts w:hint="eastAsia"/>
                <w:sz w:val="21"/>
              </w:rPr>
              <w:t>其他风险</w:t>
            </w:r>
          </w:p>
        </w:tc>
        <w:tc>
          <w:tcPr>
            <w:tcW w:w="3133" w:type="pct"/>
            <w:vAlign w:val="center"/>
          </w:tcPr>
          <w:p w14:paraId="13DA05AE" w14:textId="64176818" w:rsidR="00D22431" w:rsidRDefault="00324A0D" w:rsidP="00D22431">
            <w:pPr>
              <w:pStyle w:val="TableParagraph"/>
              <w:jc w:val="both"/>
              <w:rPr>
                <w:sz w:val="21"/>
              </w:rPr>
            </w:pPr>
            <w:r w:rsidRPr="00324A0D">
              <w:rPr>
                <w:rFonts w:hint="eastAsia"/>
                <w:sz w:val="21"/>
              </w:rPr>
              <w:t>除以上列举的其他风险。</w:t>
            </w:r>
          </w:p>
        </w:tc>
      </w:tr>
    </w:tbl>
    <w:p w14:paraId="4527669B" w14:textId="3A4EAFD2" w:rsidR="00324A0D" w:rsidRDefault="00324A0D" w:rsidP="00324A0D">
      <w:pPr>
        <w:pStyle w:val="13"/>
      </w:pPr>
      <w:r>
        <w:lastRenderedPageBreak/>
        <w:t>2、</w:t>
      </w:r>
      <w:r w:rsidR="002B14BC">
        <w:t>PPP</w:t>
      </w:r>
      <w:r>
        <w:t>项目合同执行风险</w:t>
      </w:r>
    </w:p>
    <w:p w14:paraId="25C54189" w14:textId="7F128BFE" w:rsidR="004315CB" w:rsidRPr="00B64580" w:rsidRDefault="002B14BC" w:rsidP="00324A0D">
      <w:pPr>
        <w:pStyle w:val="13"/>
      </w:pPr>
      <w:r>
        <w:t>PPP</w:t>
      </w:r>
      <w:r w:rsidR="00324A0D">
        <w:t>项目合同执行风险可区分为社会资本执行</w:t>
      </w:r>
      <w:r>
        <w:t>PPP</w:t>
      </w:r>
      <w:r w:rsidR="00324A0D">
        <w:t>合同可能产生的风险和政府执行</w:t>
      </w:r>
      <w:r>
        <w:t>PPP</w:t>
      </w:r>
      <w:r w:rsidR="00324A0D">
        <w:t>合同可能产生的风险两类。政府执行</w:t>
      </w:r>
      <w:r>
        <w:t>PPP</w:t>
      </w:r>
      <w:r w:rsidR="00324A0D">
        <w:t>合同可能产生的风险主要为</w:t>
      </w:r>
      <w:r>
        <w:t>PPP</w:t>
      </w:r>
      <w:r w:rsidR="00324A0D">
        <w:t>项目合同执行过程中因政府一方违约、不守信用或不当干预而存在的风险。社会资本执行PPP合同可</w:t>
      </w:r>
      <w:r w:rsidR="00324A0D" w:rsidRPr="00324A0D">
        <w:rPr>
          <w:rFonts w:hint="eastAsia"/>
        </w:rPr>
        <w:t>能产生的风险主要指</w:t>
      </w:r>
      <w:r>
        <w:t>PPP</w:t>
      </w:r>
      <w:r w:rsidR="00324A0D" w:rsidRPr="00324A0D">
        <w:t>项目合同执行过程中因社会资本一方违约、不守信用或投</w:t>
      </w:r>
      <w:r w:rsidR="00324A0D" w:rsidRPr="00324A0D">
        <w:rPr>
          <w:rFonts w:hint="eastAsia"/>
        </w:rPr>
        <w:t>资主体变更而存在的风险。</w:t>
      </w:r>
    </w:p>
    <w:p w14:paraId="2EF56179" w14:textId="359BBDBB" w:rsidR="004315CB" w:rsidRDefault="00324A0D" w:rsidP="00324A0D">
      <w:pPr>
        <w:pStyle w:val="13"/>
        <w:ind w:firstLineChars="0" w:firstLine="0"/>
        <w:jc w:val="center"/>
      </w:pPr>
      <w:r w:rsidRPr="00324A0D">
        <w:rPr>
          <w:rFonts w:hint="eastAsia"/>
        </w:rPr>
        <w:t>表</w:t>
      </w:r>
      <w:r w:rsidRPr="00324A0D">
        <w:t xml:space="preserve"> 3 列出</w:t>
      </w:r>
      <w:r w:rsidR="002B14BC">
        <w:t>PPP</w:t>
      </w:r>
      <w:r w:rsidRPr="00324A0D">
        <w:t>项目合同主要执行风险的分类、主要风险清单及风险描述。</w:t>
      </w:r>
    </w:p>
    <w:tbl>
      <w:tblPr>
        <w:tblStyle w:val="af"/>
        <w:tblW w:w="5000" w:type="pct"/>
        <w:tblLook w:val="04A0" w:firstRow="1" w:lastRow="0" w:firstColumn="1" w:lastColumn="0" w:noHBand="0" w:noVBand="1"/>
      </w:tblPr>
      <w:tblGrid>
        <w:gridCol w:w="1373"/>
        <w:gridCol w:w="1601"/>
        <w:gridCol w:w="5746"/>
      </w:tblGrid>
      <w:tr w:rsidR="00324A0D" w:rsidRPr="00324A0D" w14:paraId="3B58D7C3" w14:textId="77777777" w:rsidTr="00324A0D">
        <w:trPr>
          <w:trHeight w:val="651"/>
        </w:trPr>
        <w:tc>
          <w:tcPr>
            <w:tcW w:w="787" w:type="pct"/>
            <w:vAlign w:val="center"/>
          </w:tcPr>
          <w:p w14:paraId="5EFCCEAE" w14:textId="77777777" w:rsidR="00324A0D" w:rsidRPr="00324A0D" w:rsidRDefault="00324A0D" w:rsidP="00324A0D">
            <w:pPr>
              <w:pStyle w:val="13"/>
              <w:ind w:firstLineChars="0" w:firstLine="0"/>
              <w:jc w:val="center"/>
              <w:rPr>
                <w:sz w:val="21"/>
                <w:szCs w:val="21"/>
                <w:lang w:bidi="zh-CN"/>
              </w:rPr>
            </w:pPr>
            <w:r w:rsidRPr="00324A0D">
              <w:rPr>
                <w:sz w:val="21"/>
                <w:szCs w:val="21"/>
                <w:lang w:bidi="zh-CN"/>
              </w:rPr>
              <w:t>一级分类</w:t>
            </w:r>
          </w:p>
        </w:tc>
        <w:tc>
          <w:tcPr>
            <w:tcW w:w="918" w:type="pct"/>
            <w:vAlign w:val="center"/>
          </w:tcPr>
          <w:p w14:paraId="2391C6CC" w14:textId="77777777" w:rsidR="00324A0D" w:rsidRPr="00324A0D" w:rsidRDefault="00324A0D" w:rsidP="00324A0D">
            <w:pPr>
              <w:pStyle w:val="13"/>
              <w:ind w:firstLineChars="0" w:firstLine="0"/>
              <w:jc w:val="center"/>
              <w:rPr>
                <w:sz w:val="21"/>
                <w:szCs w:val="21"/>
                <w:lang w:bidi="zh-CN"/>
              </w:rPr>
            </w:pPr>
            <w:r w:rsidRPr="00324A0D">
              <w:rPr>
                <w:sz w:val="21"/>
                <w:szCs w:val="21"/>
                <w:lang w:bidi="zh-CN"/>
              </w:rPr>
              <w:t>二级分类</w:t>
            </w:r>
          </w:p>
          <w:p w14:paraId="2A8454EE" w14:textId="77777777" w:rsidR="00324A0D" w:rsidRPr="00324A0D" w:rsidRDefault="00324A0D" w:rsidP="00324A0D">
            <w:pPr>
              <w:pStyle w:val="13"/>
              <w:ind w:firstLineChars="0" w:firstLine="0"/>
              <w:jc w:val="center"/>
              <w:rPr>
                <w:sz w:val="21"/>
                <w:szCs w:val="21"/>
                <w:lang w:bidi="zh-CN"/>
              </w:rPr>
            </w:pPr>
            <w:r w:rsidRPr="00324A0D">
              <w:rPr>
                <w:sz w:val="21"/>
                <w:szCs w:val="21"/>
                <w:lang w:bidi="zh-CN"/>
              </w:rPr>
              <w:t>（风险清单）</w:t>
            </w:r>
          </w:p>
        </w:tc>
        <w:tc>
          <w:tcPr>
            <w:tcW w:w="3295" w:type="pct"/>
            <w:vAlign w:val="center"/>
          </w:tcPr>
          <w:p w14:paraId="6D06DCFD" w14:textId="77777777" w:rsidR="00324A0D" w:rsidRPr="00324A0D" w:rsidRDefault="00324A0D" w:rsidP="00324A0D">
            <w:pPr>
              <w:pStyle w:val="13"/>
              <w:ind w:firstLineChars="0" w:firstLine="0"/>
              <w:jc w:val="center"/>
              <w:rPr>
                <w:sz w:val="21"/>
                <w:szCs w:val="21"/>
                <w:lang w:bidi="zh-CN"/>
              </w:rPr>
            </w:pPr>
            <w:r w:rsidRPr="00324A0D">
              <w:rPr>
                <w:sz w:val="21"/>
                <w:szCs w:val="21"/>
                <w:lang w:bidi="zh-CN"/>
              </w:rPr>
              <w:t>风险描述</w:t>
            </w:r>
          </w:p>
        </w:tc>
      </w:tr>
      <w:tr w:rsidR="00324A0D" w:rsidRPr="00324A0D" w14:paraId="20CA00E7" w14:textId="77777777" w:rsidTr="00324A0D">
        <w:trPr>
          <w:trHeight w:val="978"/>
        </w:trPr>
        <w:tc>
          <w:tcPr>
            <w:tcW w:w="787" w:type="pct"/>
            <w:vMerge w:val="restart"/>
            <w:vAlign w:val="center"/>
          </w:tcPr>
          <w:p w14:paraId="4F5B0C1C" w14:textId="28C53830" w:rsidR="00324A0D" w:rsidRPr="00324A0D" w:rsidRDefault="00324A0D" w:rsidP="00324A0D">
            <w:pPr>
              <w:pStyle w:val="13"/>
              <w:ind w:firstLineChars="0" w:firstLine="0"/>
              <w:rPr>
                <w:sz w:val="21"/>
                <w:szCs w:val="21"/>
                <w:lang w:bidi="zh-CN"/>
              </w:rPr>
            </w:pPr>
            <w:r w:rsidRPr="00324A0D">
              <w:rPr>
                <w:sz w:val="21"/>
                <w:szCs w:val="21"/>
                <w:lang w:bidi="zh-CN"/>
              </w:rPr>
              <w:t>政府执行PPP合同可能产生的风险</w:t>
            </w:r>
          </w:p>
        </w:tc>
        <w:tc>
          <w:tcPr>
            <w:tcW w:w="918" w:type="pct"/>
            <w:vAlign w:val="center"/>
          </w:tcPr>
          <w:p w14:paraId="713F99B1" w14:textId="77777777" w:rsidR="00324A0D" w:rsidRPr="00324A0D" w:rsidRDefault="00324A0D" w:rsidP="00324A0D">
            <w:pPr>
              <w:pStyle w:val="13"/>
              <w:ind w:firstLineChars="0" w:firstLine="0"/>
              <w:rPr>
                <w:sz w:val="21"/>
                <w:szCs w:val="21"/>
                <w:lang w:bidi="zh-CN"/>
              </w:rPr>
            </w:pPr>
            <w:r w:rsidRPr="00324A0D">
              <w:rPr>
                <w:sz w:val="21"/>
                <w:szCs w:val="21"/>
                <w:lang w:bidi="zh-CN"/>
              </w:rPr>
              <w:t>政府信用风险</w:t>
            </w:r>
          </w:p>
        </w:tc>
        <w:tc>
          <w:tcPr>
            <w:tcW w:w="3295" w:type="pct"/>
          </w:tcPr>
          <w:p w14:paraId="5ABD0732" w14:textId="1E796FB1" w:rsidR="00324A0D" w:rsidRPr="00324A0D" w:rsidRDefault="00324A0D" w:rsidP="00324A0D">
            <w:pPr>
              <w:pStyle w:val="13"/>
              <w:ind w:firstLineChars="0" w:firstLine="0"/>
              <w:rPr>
                <w:sz w:val="21"/>
                <w:szCs w:val="21"/>
                <w:lang w:bidi="zh-CN"/>
              </w:rPr>
            </w:pPr>
            <w:r w:rsidRPr="00324A0D">
              <w:rPr>
                <w:sz w:val="21"/>
                <w:szCs w:val="21"/>
                <w:lang w:bidi="zh-CN"/>
              </w:rPr>
              <w:t>包括因政府换届、负责人变更、实施单位职能调整、合并分立或撤销而可能导致政府的违约风险，以及政府无法承担过高的履约成本而拒绝履行合同义务所导致的风险。</w:t>
            </w:r>
          </w:p>
        </w:tc>
      </w:tr>
      <w:tr w:rsidR="00324A0D" w:rsidRPr="00324A0D" w14:paraId="60EFAA30" w14:textId="77777777" w:rsidTr="00324A0D">
        <w:trPr>
          <w:trHeight w:val="652"/>
        </w:trPr>
        <w:tc>
          <w:tcPr>
            <w:tcW w:w="787" w:type="pct"/>
            <w:vMerge/>
            <w:vAlign w:val="center"/>
          </w:tcPr>
          <w:p w14:paraId="00915B70" w14:textId="77777777" w:rsidR="00324A0D" w:rsidRPr="00324A0D" w:rsidRDefault="00324A0D" w:rsidP="00324A0D">
            <w:pPr>
              <w:pStyle w:val="13"/>
              <w:ind w:firstLineChars="0" w:firstLine="0"/>
              <w:rPr>
                <w:sz w:val="21"/>
                <w:szCs w:val="21"/>
                <w:lang w:bidi="zh-CN"/>
              </w:rPr>
            </w:pPr>
          </w:p>
        </w:tc>
        <w:tc>
          <w:tcPr>
            <w:tcW w:w="918" w:type="pct"/>
            <w:vAlign w:val="center"/>
          </w:tcPr>
          <w:p w14:paraId="7D3B7385" w14:textId="77777777" w:rsidR="00324A0D" w:rsidRPr="00324A0D" w:rsidRDefault="00324A0D" w:rsidP="00324A0D">
            <w:pPr>
              <w:pStyle w:val="13"/>
              <w:ind w:firstLineChars="0" w:firstLine="0"/>
              <w:rPr>
                <w:sz w:val="21"/>
                <w:szCs w:val="21"/>
                <w:lang w:bidi="zh-CN"/>
              </w:rPr>
            </w:pPr>
            <w:r w:rsidRPr="00324A0D">
              <w:rPr>
                <w:sz w:val="21"/>
                <w:szCs w:val="21"/>
                <w:lang w:bidi="zh-CN"/>
              </w:rPr>
              <w:t>不当干预风险</w:t>
            </w:r>
          </w:p>
        </w:tc>
        <w:tc>
          <w:tcPr>
            <w:tcW w:w="3295" w:type="pct"/>
          </w:tcPr>
          <w:p w14:paraId="5FBFECE3" w14:textId="12D20794" w:rsidR="00324A0D" w:rsidRPr="00324A0D" w:rsidRDefault="00324A0D" w:rsidP="00324A0D">
            <w:pPr>
              <w:pStyle w:val="13"/>
              <w:ind w:firstLineChars="0" w:firstLine="0"/>
              <w:rPr>
                <w:sz w:val="21"/>
                <w:szCs w:val="21"/>
                <w:lang w:bidi="zh-CN"/>
              </w:rPr>
            </w:pPr>
            <w:r w:rsidRPr="00324A0D">
              <w:rPr>
                <w:sz w:val="21"/>
                <w:szCs w:val="21"/>
                <w:lang w:bidi="zh-CN"/>
              </w:rPr>
              <w:t>政府实施单位或行业主管部门超越法定职能或合同约定，</w:t>
            </w:r>
            <w:proofErr w:type="gramStart"/>
            <w:r w:rsidRPr="00324A0D">
              <w:rPr>
                <w:sz w:val="21"/>
                <w:szCs w:val="21"/>
                <w:lang w:bidi="zh-CN"/>
              </w:rPr>
              <w:t>作出</w:t>
            </w:r>
            <w:proofErr w:type="gramEnd"/>
            <w:r w:rsidRPr="00324A0D">
              <w:rPr>
                <w:sz w:val="21"/>
                <w:szCs w:val="21"/>
                <w:lang w:bidi="zh-CN"/>
              </w:rPr>
              <w:t>不当干预行为所引发的风险。</w:t>
            </w:r>
          </w:p>
        </w:tc>
      </w:tr>
      <w:tr w:rsidR="00324A0D" w:rsidRPr="00324A0D" w14:paraId="56453CD2" w14:textId="77777777" w:rsidTr="00324A0D">
        <w:trPr>
          <w:trHeight w:val="977"/>
        </w:trPr>
        <w:tc>
          <w:tcPr>
            <w:tcW w:w="787" w:type="pct"/>
            <w:vMerge w:val="restart"/>
            <w:vAlign w:val="center"/>
          </w:tcPr>
          <w:p w14:paraId="7CE49A1B" w14:textId="1E9D693A" w:rsidR="00324A0D" w:rsidRPr="00324A0D" w:rsidRDefault="00324A0D" w:rsidP="00324A0D">
            <w:pPr>
              <w:pStyle w:val="13"/>
              <w:ind w:firstLineChars="0" w:firstLine="0"/>
              <w:rPr>
                <w:sz w:val="21"/>
                <w:szCs w:val="21"/>
                <w:lang w:bidi="zh-CN"/>
              </w:rPr>
            </w:pPr>
            <w:r w:rsidRPr="00324A0D">
              <w:rPr>
                <w:sz w:val="21"/>
                <w:szCs w:val="21"/>
                <w:lang w:bidi="zh-CN"/>
              </w:rPr>
              <w:t>社会资本执行</w:t>
            </w:r>
            <w:r w:rsidR="002B14BC">
              <w:rPr>
                <w:sz w:val="21"/>
                <w:szCs w:val="21"/>
                <w:lang w:bidi="zh-CN"/>
              </w:rPr>
              <w:t>PPP</w:t>
            </w:r>
            <w:r w:rsidRPr="00324A0D">
              <w:rPr>
                <w:sz w:val="21"/>
                <w:szCs w:val="21"/>
                <w:lang w:bidi="zh-CN"/>
              </w:rPr>
              <w:t>合同可能产生的风险</w:t>
            </w:r>
          </w:p>
        </w:tc>
        <w:tc>
          <w:tcPr>
            <w:tcW w:w="918" w:type="pct"/>
            <w:vAlign w:val="center"/>
          </w:tcPr>
          <w:p w14:paraId="34327F75" w14:textId="77777777" w:rsidR="00324A0D" w:rsidRPr="00324A0D" w:rsidRDefault="00324A0D" w:rsidP="00324A0D">
            <w:pPr>
              <w:pStyle w:val="13"/>
              <w:ind w:firstLineChars="0" w:firstLine="0"/>
              <w:rPr>
                <w:sz w:val="21"/>
                <w:szCs w:val="21"/>
                <w:lang w:bidi="zh-CN"/>
              </w:rPr>
            </w:pPr>
            <w:r w:rsidRPr="00324A0D">
              <w:rPr>
                <w:sz w:val="21"/>
                <w:szCs w:val="21"/>
                <w:lang w:bidi="zh-CN"/>
              </w:rPr>
              <w:t>投资主体变动风险</w:t>
            </w:r>
          </w:p>
        </w:tc>
        <w:tc>
          <w:tcPr>
            <w:tcW w:w="3295" w:type="pct"/>
          </w:tcPr>
          <w:p w14:paraId="7A778564" w14:textId="48D0F19E" w:rsidR="00324A0D" w:rsidRPr="00324A0D" w:rsidRDefault="00324A0D" w:rsidP="00324A0D">
            <w:pPr>
              <w:pStyle w:val="13"/>
              <w:ind w:firstLineChars="0" w:firstLine="0"/>
              <w:rPr>
                <w:sz w:val="21"/>
                <w:szCs w:val="21"/>
                <w:lang w:bidi="zh-CN"/>
              </w:rPr>
            </w:pPr>
            <w:r w:rsidRPr="00324A0D">
              <w:rPr>
                <w:sz w:val="21"/>
                <w:szCs w:val="21"/>
                <w:lang w:bidi="zh-CN"/>
              </w:rPr>
              <w:t>由于社会资本中的各方之间的纠纷或其他原因导致社会资本中的一方或多方中途退出项目，而影响项目的正常建造和运营产生的风险。</w:t>
            </w:r>
          </w:p>
        </w:tc>
      </w:tr>
      <w:tr w:rsidR="00324A0D" w:rsidRPr="00324A0D" w14:paraId="22ADA740" w14:textId="77777777" w:rsidTr="00324A0D">
        <w:trPr>
          <w:trHeight w:val="975"/>
        </w:trPr>
        <w:tc>
          <w:tcPr>
            <w:tcW w:w="787" w:type="pct"/>
            <w:vMerge/>
            <w:vAlign w:val="center"/>
          </w:tcPr>
          <w:p w14:paraId="49D053C6" w14:textId="6E392E50" w:rsidR="00324A0D" w:rsidRPr="00324A0D" w:rsidRDefault="00324A0D" w:rsidP="00324A0D">
            <w:pPr>
              <w:pStyle w:val="13"/>
              <w:ind w:firstLineChars="0" w:firstLine="0"/>
              <w:rPr>
                <w:sz w:val="21"/>
                <w:szCs w:val="21"/>
                <w:lang w:bidi="zh-CN"/>
              </w:rPr>
            </w:pPr>
          </w:p>
        </w:tc>
        <w:tc>
          <w:tcPr>
            <w:tcW w:w="918" w:type="pct"/>
            <w:vAlign w:val="center"/>
          </w:tcPr>
          <w:p w14:paraId="79E4DFB5" w14:textId="77777777" w:rsidR="00324A0D" w:rsidRPr="00324A0D" w:rsidRDefault="00324A0D" w:rsidP="00324A0D">
            <w:pPr>
              <w:pStyle w:val="13"/>
              <w:ind w:firstLineChars="0" w:firstLine="0"/>
              <w:rPr>
                <w:sz w:val="21"/>
                <w:szCs w:val="21"/>
                <w:lang w:bidi="zh-CN"/>
              </w:rPr>
            </w:pPr>
            <w:r w:rsidRPr="00324A0D">
              <w:rPr>
                <w:sz w:val="21"/>
                <w:szCs w:val="21"/>
                <w:lang w:bidi="zh-CN"/>
              </w:rPr>
              <w:t>社会资本信用风险</w:t>
            </w:r>
          </w:p>
        </w:tc>
        <w:tc>
          <w:tcPr>
            <w:tcW w:w="3295" w:type="pct"/>
          </w:tcPr>
          <w:p w14:paraId="7A5ED210" w14:textId="76013E70" w:rsidR="00324A0D" w:rsidRPr="00324A0D" w:rsidRDefault="00324A0D" w:rsidP="00324A0D">
            <w:pPr>
              <w:pStyle w:val="13"/>
              <w:ind w:firstLineChars="0" w:firstLine="0"/>
              <w:rPr>
                <w:sz w:val="21"/>
                <w:szCs w:val="21"/>
                <w:lang w:bidi="zh-CN"/>
              </w:rPr>
            </w:pPr>
            <w:r w:rsidRPr="00324A0D">
              <w:rPr>
                <w:rFonts w:hint="eastAsia"/>
                <w:sz w:val="21"/>
                <w:szCs w:val="21"/>
                <w:lang w:bidi="zh-CN"/>
              </w:rPr>
              <w:t>社会资本因财务状况、经营管理团队的变化、企业并购、</w:t>
            </w:r>
            <w:r w:rsidRPr="00324A0D">
              <w:rPr>
                <w:sz w:val="21"/>
                <w:szCs w:val="21"/>
                <w:lang w:bidi="zh-CN"/>
              </w:rPr>
              <w:t>破产或倒闭而可能导致社会资本的违约风险，以及社会资本无法承担过高的履约成本而拒绝履行合同义务所导致的社会资本违约风险。社会资本的违约方式通常包括服务中断、提前终止合同等形式。</w:t>
            </w:r>
          </w:p>
        </w:tc>
      </w:tr>
    </w:tbl>
    <w:p w14:paraId="3C2620D7" w14:textId="77777777" w:rsidR="00324A0D" w:rsidRDefault="00324A0D" w:rsidP="00324A0D">
      <w:pPr>
        <w:pStyle w:val="13"/>
      </w:pPr>
      <w:r>
        <w:rPr>
          <w:rFonts w:hint="eastAsia"/>
        </w:rPr>
        <w:t>（二）风险分配</w:t>
      </w:r>
    </w:p>
    <w:p w14:paraId="1DC6AA01" w14:textId="70B2AAED" w:rsidR="00324A0D" w:rsidRDefault="00324A0D" w:rsidP="00324A0D">
      <w:pPr>
        <w:pStyle w:val="13"/>
      </w:pPr>
      <w:r>
        <w:rPr>
          <w:rFonts w:hint="eastAsia"/>
        </w:rPr>
        <w:t>风险分配是对识别出的</w:t>
      </w:r>
      <w:r w:rsidR="002B14BC">
        <w:t>PPP</w:t>
      </w:r>
      <w:r>
        <w:t>项目风险进行合理分配，明确风险责任的承担主体。风险分配主要针对</w:t>
      </w:r>
      <w:r w:rsidR="002B14BC">
        <w:t>PPP</w:t>
      </w:r>
      <w:r>
        <w:t>项目风险。</w:t>
      </w:r>
    </w:p>
    <w:p w14:paraId="6974B04B" w14:textId="77777777" w:rsidR="00324A0D" w:rsidRDefault="00324A0D" w:rsidP="00324A0D">
      <w:pPr>
        <w:pStyle w:val="13"/>
      </w:pPr>
      <w:r>
        <w:t>1、风险分配的原则。</w:t>
      </w:r>
    </w:p>
    <w:p w14:paraId="3C9C1579" w14:textId="371C1C4F" w:rsidR="00324A0D" w:rsidRDefault="00324A0D" w:rsidP="00324A0D">
      <w:pPr>
        <w:pStyle w:val="13"/>
      </w:pPr>
      <w:r>
        <w:rPr>
          <w:rFonts w:hint="eastAsia"/>
        </w:rPr>
        <w:t>（</w:t>
      </w:r>
      <w:r>
        <w:t>1）最优化风险分配原则。最优化风险分配原则，要求将风险分配给最富有经验、最善</w:t>
      </w:r>
      <w:proofErr w:type="gramStart"/>
      <w:r>
        <w:t>长管理</w:t>
      </w:r>
      <w:proofErr w:type="gramEnd"/>
      <w:r>
        <w:t>风险、风险控制成本最低且有能力承担风险损失的一方。有效的风险分配应该激励社会资本提供效率高、</w:t>
      </w:r>
    </w:p>
    <w:p w14:paraId="4AF08FD5" w14:textId="77777777" w:rsidR="00324A0D" w:rsidRDefault="00324A0D" w:rsidP="00324A0D">
      <w:pPr>
        <w:pStyle w:val="13"/>
      </w:pPr>
      <w:r>
        <w:rPr>
          <w:rFonts w:hint="eastAsia"/>
        </w:rPr>
        <w:t>效果好的公共服务，转移给社会资本的风险太少或太多都将限制物有所值的实现。</w:t>
      </w:r>
    </w:p>
    <w:p w14:paraId="09CAC629" w14:textId="4C76E621" w:rsidR="00324A0D" w:rsidRDefault="00324A0D" w:rsidP="00324A0D">
      <w:pPr>
        <w:pStyle w:val="13"/>
      </w:pPr>
      <w:r>
        <w:rPr>
          <w:rFonts w:hint="eastAsia"/>
        </w:rPr>
        <w:t>（</w:t>
      </w:r>
      <w:r>
        <w:t>2）风险与收益对等原则。风险与收益对等原则，要求风险承担主体因承担风险而获得与风险相匹配的收益。</w:t>
      </w:r>
    </w:p>
    <w:p w14:paraId="4320B5F6" w14:textId="08675B41" w:rsidR="00324A0D" w:rsidRDefault="00324A0D" w:rsidP="00324A0D">
      <w:pPr>
        <w:pStyle w:val="13"/>
      </w:pPr>
      <w:r>
        <w:rPr>
          <w:rFonts w:hint="eastAsia"/>
        </w:rPr>
        <w:t>（</w:t>
      </w:r>
      <w:r>
        <w:t>3）可承担性原则。可承担性原则，要求责任承担主体具备承担风险后果的实</w:t>
      </w:r>
      <w:r>
        <w:lastRenderedPageBreak/>
        <w:t>力。当最大风险值超过承担主体可能承受的范围时，通常设置风险后果容忍区间以及风险承担方式变更的触发机制。</w:t>
      </w:r>
    </w:p>
    <w:p w14:paraId="58F17881" w14:textId="0024893C" w:rsidR="00324A0D" w:rsidRDefault="00324A0D" w:rsidP="00324A0D">
      <w:pPr>
        <w:pStyle w:val="13"/>
      </w:pPr>
      <w:r>
        <w:rPr>
          <w:rFonts w:hint="eastAsia"/>
        </w:rPr>
        <w:t>（</w:t>
      </w:r>
      <w:r>
        <w:t>4）动态性原则。动态性原则，要求对项目风险的分配与承担应设立弹性条款和动态调整机制，以应对项目风险的变化及新增风险的出现。</w:t>
      </w:r>
    </w:p>
    <w:p w14:paraId="42A8DA69" w14:textId="14B17441" w:rsidR="00324A0D" w:rsidRDefault="00324A0D" w:rsidP="00324A0D">
      <w:pPr>
        <w:pStyle w:val="13"/>
      </w:pPr>
      <w:r>
        <w:rPr>
          <w:rFonts w:hint="eastAsia"/>
        </w:rPr>
        <w:t>（</w:t>
      </w:r>
      <w:r>
        <w:t>5）可操作性原则。可操作性原则，要求风险分配具体而明确，在风险出现时双方能够容易理清责任、避免纠纷。特别是政府和社会资本共担风险，应明确具体的共担方式或协商沟通机制。</w:t>
      </w:r>
    </w:p>
    <w:p w14:paraId="53CE35B2" w14:textId="76C59097" w:rsidR="00324A0D" w:rsidRDefault="00324A0D" w:rsidP="00324A0D">
      <w:pPr>
        <w:pStyle w:val="13"/>
      </w:pPr>
      <w:r>
        <w:rPr>
          <w:rFonts w:hint="eastAsia"/>
        </w:rPr>
        <w:t>（</w:t>
      </w:r>
      <w:r>
        <w:t>6）全面性原则。全面性原则，不仅要对重大风险进行全面识别，对识别出来的风险也要全面分配，每一项风险均要明确责任主体，避免遗漏。</w:t>
      </w:r>
    </w:p>
    <w:p w14:paraId="28EED60A" w14:textId="77777777" w:rsidR="00324A0D" w:rsidRDefault="00324A0D" w:rsidP="00324A0D">
      <w:pPr>
        <w:pStyle w:val="13"/>
      </w:pPr>
      <w:r>
        <w:t>2、风险承担方式</w:t>
      </w:r>
    </w:p>
    <w:p w14:paraId="6D961872" w14:textId="3B095AC7" w:rsidR="00324A0D" w:rsidRDefault="002B14BC" w:rsidP="00324A0D">
      <w:pPr>
        <w:pStyle w:val="13"/>
      </w:pPr>
      <w:r>
        <w:t>PPP</w:t>
      </w:r>
      <w:r w:rsidR="00324A0D">
        <w:t>项目风险的承担方式主要有三种：政府承担，社会资本承担，政府和社会资本共担。</w:t>
      </w:r>
    </w:p>
    <w:p w14:paraId="3234ACF3" w14:textId="77777777" w:rsidR="00324A0D" w:rsidRDefault="00324A0D" w:rsidP="00324A0D">
      <w:pPr>
        <w:pStyle w:val="13"/>
      </w:pPr>
      <w:r>
        <w:rPr>
          <w:rFonts w:hint="eastAsia"/>
        </w:rPr>
        <w:t>（三）主要风险分配及控制</w:t>
      </w:r>
    </w:p>
    <w:p w14:paraId="29DBB088" w14:textId="77777777" w:rsidR="00324A0D" w:rsidRDefault="00324A0D" w:rsidP="00324A0D">
      <w:pPr>
        <w:pStyle w:val="13"/>
      </w:pPr>
      <w:r>
        <w:rPr>
          <w:rFonts w:hint="eastAsia"/>
        </w:rPr>
        <w:t>项目主要风险说明及控制根据风险清单按照风险分配原则写明项目全生命周期内的建设、运营、市场、环境等主要风险的分配及应对措施。</w:t>
      </w:r>
    </w:p>
    <w:p w14:paraId="6C102B78" w14:textId="77777777" w:rsidR="00324A0D" w:rsidRDefault="00324A0D" w:rsidP="00324A0D">
      <w:pPr>
        <w:pStyle w:val="13"/>
      </w:pPr>
      <w:r>
        <w:rPr>
          <w:rFonts w:hint="eastAsia"/>
        </w:rPr>
        <w:t>主要风险分配根据风险清单按照风险分配原则进行分配，原则上，</w:t>
      </w:r>
    </w:p>
    <w:p w14:paraId="4360812C" w14:textId="77777777" w:rsidR="00324A0D" w:rsidRDefault="00324A0D" w:rsidP="00324A0D">
      <w:pPr>
        <w:pStyle w:val="13"/>
      </w:pPr>
      <w:r>
        <w:rPr>
          <w:rFonts w:hint="eastAsia"/>
        </w:rPr>
        <w:t>项目设计、建造、财务和运营维护等商业风险由社会资本承担，法律、政策和最低需求等风险由政府承担，不可抗力等风险由政府和社会资本合理共担。</w:t>
      </w:r>
    </w:p>
    <w:p w14:paraId="700F742A" w14:textId="680B95E0" w:rsidR="004315CB" w:rsidRPr="00324A0D" w:rsidRDefault="00324A0D" w:rsidP="00324A0D">
      <w:pPr>
        <w:pStyle w:val="13"/>
      </w:pPr>
      <w:r>
        <w:rPr>
          <w:rFonts w:hint="eastAsia"/>
        </w:rPr>
        <w:t>表</w:t>
      </w:r>
      <w:r>
        <w:t>4列出</w:t>
      </w:r>
      <w:r w:rsidR="002B14BC">
        <w:t>PPP</w:t>
      </w:r>
      <w:r>
        <w:t>项目不同阶段主要风险和降低风险的措施。</w:t>
      </w:r>
    </w:p>
    <w:p w14:paraId="3E061F41" w14:textId="5635C669" w:rsidR="004315CB" w:rsidRPr="00324A0D" w:rsidRDefault="00324A0D" w:rsidP="00324A0D">
      <w:pPr>
        <w:pStyle w:val="13"/>
        <w:ind w:firstLineChars="0" w:firstLine="0"/>
        <w:jc w:val="center"/>
      </w:pPr>
      <w:r w:rsidRPr="00324A0D">
        <w:rPr>
          <w:rFonts w:hint="eastAsia"/>
        </w:rPr>
        <w:t>表</w:t>
      </w:r>
      <w:r w:rsidRPr="00324A0D">
        <w:t>4：各阶段主要风险控制措施</w:t>
      </w:r>
    </w:p>
    <w:tbl>
      <w:tblPr>
        <w:tblStyle w:val="af"/>
        <w:tblW w:w="5000" w:type="pct"/>
        <w:tblLook w:val="04A0" w:firstRow="1" w:lastRow="0" w:firstColumn="1" w:lastColumn="0" w:noHBand="0" w:noVBand="1"/>
      </w:tblPr>
      <w:tblGrid>
        <w:gridCol w:w="1173"/>
        <w:gridCol w:w="2053"/>
        <w:gridCol w:w="5494"/>
      </w:tblGrid>
      <w:tr w:rsidR="00324A0D" w:rsidRPr="00324A0D" w14:paraId="6E506709" w14:textId="77777777" w:rsidTr="002B14BC">
        <w:trPr>
          <w:trHeight w:val="326"/>
        </w:trPr>
        <w:tc>
          <w:tcPr>
            <w:tcW w:w="673" w:type="pct"/>
            <w:vAlign w:val="center"/>
          </w:tcPr>
          <w:p w14:paraId="165C86FE" w14:textId="77777777" w:rsidR="00324A0D" w:rsidRPr="00324A0D" w:rsidRDefault="00324A0D" w:rsidP="002B14BC">
            <w:pPr>
              <w:pStyle w:val="13"/>
              <w:ind w:firstLineChars="0" w:firstLine="0"/>
              <w:jc w:val="center"/>
              <w:rPr>
                <w:sz w:val="21"/>
                <w:szCs w:val="21"/>
                <w:lang w:bidi="zh-CN"/>
              </w:rPr>
            </w:pPr>
            <w:r w:rsidRPr="00324A0D">
              <w:rPr>
                <w:sz w:val="21"/>
                <w:szCs w:val="21"/>
                <w:lang w:bidi="zh-CN"/>
              </w:rPr>
              <w:t>阶段</w:t>
            </w:r>
          </w:p>
        </w:tc>
        <w:tc>
          <w:tcPr>
            <w:tcW w:w="1177" w:type="pct"/>
            <w:vAlign w:val="center"/>
          </w:tcPr>
          <w:p w14:paraId="76B38348" w14:textId="77777777" w:rsidR="00324A0D" w:rsidRPr="00324A0D" w:rsidRDefault="00324A0D" w:rsidP="002B14BC">
            <w:pPr>
              <w:pStyle w:val="13"/>
              <w:ind w:firstLineChars="0" w:firstLine="0"/>
              <w:jc w:val="center"/>
              <w:rPr>
                <w:sz w:val="21"/>
                <w:szCs w:val="21"/>
                <w:lang w:bidi="zh-CN"/>
              </w:rPr>
            </w:pPr>
            <w:r w:rsidRPr="00324A0D">
              <w:rPr>
                <w:sz w:val="21"/>
                <w:szCs w:val="21"/>
                <w:lang w:bidi="zh-CN"/>
              </w:rPr>
              <w:t>风险</w:t>
            </w:r>
          </w:p>
        </w:tc>
        <w:tc>
          <w:tcPr>
            <w:tcW w:w="3150" w:type="pct"/>
            <w:vAlign w:val="center"/>
          </w:tcPr>
          <w:p w14:paraId="5FC04628" w14:textId="77777777" w:rsidR="00324A0D" w:rsidRPr="00324A0D" w:rsidRDefault="00324A0D" w:rsidP="002B14BC">
            <w:pPr>
              <w:pStyle w:val="13"/>
              <w:ind w:firstLineChars="0" w:firstLine="0"/>
              <w:jc w:val="center"/>
              <w:rPr>
                <w:sz w:val="21"/>
                <w:szCs w:val="21"/>
                <w:lang w:bidi="zh-CN"/>
              </w:rPr>
            </w:pPr>
            <w:r w:rsidRPr="00324A0D">
              <w:rPr>
                <w:sz w:val="21"/>
                <w:szCs w:val="21"/>
                <w:lang w:bidi="zh-CN"/>
              </w:rPr>
              <w:t>措施</w:t>
            </w:r>
          </w:p>
        </w:tc>
      </w:tr>
      <w:tr w:rsidR="00324A0D" w:rsidRPr="00324A0D" w14:paraId="06099BEC" w14:textId="77777777" w:rsidTr="002B14BC">
        <w:trPr>
          <w:trHeight w:val="326"/>
        </w:trPr>
        <w:tc>
          <w:tcPr>
            <w:tcW w:w="673" w:type="pct"/>
            <w:vAlign w:val="center"/>
          </w:tcPr>
          <w:p w14:paraId="1D8DC3CD" w14:textId="77777777" w:rsidR="00324A0D" w:rsidRPr="00324A0D" w:rsidRDefault="00324A0D" w:rsidP="002B14BC">
            <w:pPr>
              <w:pStyle w:val="13"/>
              <w:ind w:firstLineChars="0" w:firstLine="0"/>
              <w:rPr>
                <w:sz w:val="21"/>
                <w:szCs w:val="21"/>
                <w:lang w:bidi="zh-CN"/>
              </w:rPr>
            </w:pPr>
            <w:r w:rsidRPr="00324A0D">
              <w:rPr>
                <w:sz w:val="21"/>
                <w:szCs w:val="21"/>
                <w:lang w:bidi="zh-CN"/>
              </w:rPr>
              <w:t>各阶段</w:t>
            </w:r>
          </w:p>
        </w:tc>
        <w:tc>
          <w:tcPr>
            <w:tcW w:w="1177" w:type="pct"/>
            <w:vAlign w:val="center"/>
          </w:tcPr>
          <w:p w14:paraId="629D48F1" w14:textId="77777777" w:rsidR="00324A0D" w:rsidRPr="00324A0D" w:rsidRDefault="00324A0D" w:rsidP="002B14BC">
            <w:pPr>
              <w:pStyle w:val="13"/>
              <w:ind w:firstLineChars="0" w:firstLine="0"/>
              <w:rPr>
                <w:sz w:val="21"/>
                <w:szCs w:val="21"/>
                <w:lang w:bidi="zh-CN"/>
              </w:rPr>
            </w:pPr>
            <w:r w:rsidRPr="00324A0D">
              <w:rPr>
                <w:sz w:val="21"/>
                <w:szCs w:val="21"/>
                <w:lang w:bidi="zh-CN"/>
              </w:rPr>
              <w:t>不可抗力风险</w:t>
            </w:r>
          </w:p>
        </w:tc>
        <w:tc>
          <w:tcPr>
            <w:tcW w:w="3150" w:type="pct"/>
            <w:vAlign w:val="center"/>
          </w:tcPr>
          <w:p w14:paraId="47042B9A" w14:textId="77777777" w:rsidR="00324A0D" w:rsidRPr="00324A0D" w:rsidRDefault="00324A0D" w:rsidP="002B14BC">
            <w:pPr>
              <w:pStyle w:val="13"/>
              <w:ind w:firstLineChars="0" w:firstLine="0"/>
              <w:rPr>
                <w:sz w:val="21"/>
                <w:szCs w:val="21"/>
                <w:lang w:bidi="zh-CN"/>
              </w:rPr>
            </w:pPr>
            <w:r w:rsidRPr="00324A0D">
              <w:rPr>
                <w:sz w:val="21"/>
                <w:szCs w:val="21"/>
                <w:lang w:bidi="zh-CN"/>
              </w:rPr>
              <w:t>政府担保、保险</w:t>
            </w:r>
          </w:p>
        </w:tc>
      </w:tr>
      <w:tr w:rsidR="00324A0D" w:rsidRPr="00324A0D" w14:paraId="73F49704" w14:textId="77777777" w:rsidTr="002B14BC">
        <w:trPr>
          <w:trHeight w:val="326"/>
        </w:trPr>
        <w:tc>
          <w:tcPr>
            <w:tcW w:w="673" w:type="pct"/>
            <w:vMerge w:val="restart"/>
            <w:vAlign w:val="center"/>
          </w:tcPr>
          <w:p w14:paraId="7A3C4C7B" w14:textId="77777777" w:rsidR="00324A0D" w:rsidRPr="00324A0D" w:rsidRDefault="00324A0D" w:rsidP="002B14BC">
            <w:pPr>
              <w:pStyle w:val="13"/>
              <w:ind w:firstLineChars="0" w:firstLine="0"/>
              <w:rPr>
                <w:sz w:val="21"/>
                <w:szCs w:val="21"/>
                <w:lang w:bidi="zh-CN"/>
              </w:rPr>
            </w:pPr>
            <w:r w:rsidRPr="00324A0D">
              <w:rPr>
                <w:sz w:val="21"/>
                <w:szCs w:val="21"/>
                <w:lang w:bidi="zh-CN"/>
              </w:rPr>
              <w:t>建造阶段</w:t>
            </w:r>
          </w:p>
        </w:tc>
        <w:tc>
          <w:tcPr>
            <w:tcW w:w="1177" w:type="pct"/>
            <w:vAlign w:val="center"/>
          </w:tcPr>
          <w:p w14:paraId="764F0E54" w14:textId="77777777" w:rsidR="00324A0D" w:rsidRPr="00324A0D" w:rsidRDefault="00324A0D" w:rsidP="002B14BC">
            <w:pPr>
              <w:pStyle w:val="13"/>
              <w:ind w:firstLineChars="0" w:firstLine="0"/>
              <w:rPr>
                <w:sz w:val="21"/>
                <w:szCs w:val="21"/>
                <w:lang w:bidi="zh-CN"/>
              </w:rPr>
            </w:pPr>
            <w:r w:rsidRPr="00324A0D">
              <w:rPr>
                <w:sz w:val="21"/>
                <w:szCs w:val="21"/>
                <w:lang w:bidi="zh-CN"/>
              </w:rPr>
              <w:t>设计不当</w:t>
            </w:r>
          </w:p>
        </w:tc>
        <w:tc>
          <w:tcPr>
            <w:tcW w:w="3150" w:type="pct"/>
            <w:vAlign w:val="center"/>
          </w:tcPr>
          <w:p w14:paraId="51E5B243" w14:textId="77777777" w:rsidR="00324A0D" w:rsidRPr="00324A0D" w:rsidRDefault="00324A0D" w:rsidP="002B14BC">
            <w:pPr>
              <w:pStyle w:val="13"/>
              <w:ind w:firstLineChars="0" w:firstLine="0"/>
              <w:rPr>
                <w:sz w:val="21"/>
                <w:szCs w:val="21"/>
                <w:lang w:bidi="zh-CN"/>
              </w:rPr>
            </w:pPr>
            <w:r w:rsidRPr="00324A0D">
              <w:rPr>
                <w:sz w:val="21"/>
                <w:szCs w:val="21"/>
                <w:lang w:bidi="zh-CN"/>
              </w:rPr>
              <w:t>技术或工艺流程担保、设计保险</w:t>
            </w:r>
          </w:p>
        </w:tc>
      </w:tr>
      <w:tr w:rsidR="00324A0D" w:rsidRPr="00324A0D" w14:paraId="6B1429CB" w14:textId="77777777" w:rsidTr="002B14BC">
        <w:trPr>
          <w:trHeight w:val="326"/>
        </w:trPr>
        <w:tc>
          <w:tcPr>
            <w:tcW w:w="673" w:type="pct"/>
            <w:vMerge/>
            <w:vAlign w:val="center"/>
          </w:tcPr>
          <w:p w14:paraId="09527D20" w14:textId="77777777" w:rsidR="00324A0D" w:rsidRPr="00324A0D" w:rsidRDefault="00324A0D" w:rsidP="002B14BC">
            <w:pPr>
              <w:pStyle w:val="13"/>
              <w:ind w:firstLineChars="0" w:firstLine="0"/>
              <w:rPr>
                <w:sz w:val="21"/>
                <w:szCs w:val="21"/>
                <w:lang w:bidi="zh-CN"/>
              </w:rPr>
            </w:pPr>
          </w:p>
        </w:tc>
        <w:tc>
          <w:tcPr>
            <w:tcW w:w="1177" w:type="pct"/>
            <w:vAlign w:val="center"/>
          </w:tcPr>
          <w:p w14:paraId="3C96F417" w14:textId="77777777" w:rsidR="00324A0D" w:rsidRPr="00324A0D" w:rsidRDefault="00324A0D" w:rsidP="002B14BC">
            <w:pPr>
              <w:pStyle w:val="13"/>
              <w:ind w:firstLineChars="0" w:firstLine="0"/>
              <w:rPr>
                <w:sz w:val="21"/>
                <w:szCs w:val="21"/>
                <w:lang w:bidi="zh-CN"/>
              </w:rPr>
            </w:pPr>
            <w:r w:rsidRPr="00324A0D">
              <w:rPr>
                <w:sz w:val="21"/>
                <w:szCs w:val="21"/>
                <w:lang w:bidi="zh-CN"/>
              </w:rPr>
              <w:t>成本超支</w:t>
            </w:r>
          </w:p>
        </w:tc>
        <w:tc>
          <w:tcPr>
            <w:tcW w:w="3150" w:type="pct"/>
            <w:vAlign w:val="center"/>
          </w:tcPr>
          <w:p w14:paraId="061EEA6E" w14:textId="77777777" w:rsidR="00324A0D" w:rsidRPr="00324A0D" w:rsidRDefault="00324A0D" w:rsidP="002B14BC">
            <w:pPr>
              <w:pStyle w:val="13"/>
              <w:ind w:firstLineChars="0" w:firstLine="0"/>
              <w:rPr>
                <w:sz w:val="21"/>
                <w:szCs w:val="21"/>
                <w:lang w:bidi="zh-CN"/>
              </w:rPr>
            </w:pPr>
            <w:r w:rsidRPr="00324A0D">
              <w:rPr>
                <w:sz w:val="21"/>
                <w:szCs w:val="21"/>
                <w:lang w:bidi="zh-CN"/>
              </w:rPr>
              <w:t>固定合同总价、备用信用或贷款、备用资本金</w:t>
            </w:r>
          </w:p>
        </w:tc>
      </w:tr>
      <w:tr w:rsidR="00324A0D" w:rsidRPr="00324A0D" w14:paraId="6DA1CB71" w14:textId="77777777" w:rsidTr="002B14BC">
        <w:trPr>
          <w:trHeight w:val="325"/>
        </w:trPr>
        <w:tc>
          <w:tcPr>
            <w:tcW w:w="673" w:type="pct"/>
            <w:vMerge/>
            <w:vAlign w:val="center"/>
          </w:tcPr>
          <w:p w14:paraId="7F94348C" w14:textId="77777777" w:rsidR="00324A0D" w:rsidRPr="00324A0D" w:rsidRDefault="00324A0D" w:rsidP="002B14BC">
            <w:pPr>
              <w:pStyle w:val="13"/>
              <w:ind w:firstLineChars="0" w:firstLine="0"/>
              <w:rPr>
                <w:sz w:val="21"/>
                <w:szCs w:val="21"/>
                <w:lang w:bidi="zh-CN"/>
              </w:rPr>
            </w:pPr>
          </w:p>
        </w:tc>
        <w:tc>
          <w:tcPr>
            <w:tcW w:w="1177" w:type="pct"/>
            <w:vAlign w:val="center"/>
          </w:tcPr>
          <w:p w14:paraId="73B0DCF6" w14:textId="77777777" w:rsidR="00324A0D" w:rsidRPr="00324A0D" w:rsidRDefault="00324A0D" w:rsidP="002B14BC">
            <w:pPr>
              <w:pStyle w:val="13"/>
              <w:ind w:firstLineChars="0" w:firstLine="0"/>
              <w:rPr>
                <w:sz w:val="21"/>
                <w:szCs w:val="21"/>
                <w:lang w:bidi="zh-CN"/>
              </w:rPr>
            </w:pPr>
            <w:r w:rsidRPr="00324A0D">
              <w:rPr>
                <w:sz w:val="21"/>
                <w:szCs w:val="21"/>
                <w:lang w:bidi="zh-CN"/>
              </w:rPr>
              <w:t>工期延误</w:t>
            </w:r>
          </w:p>
        </w:tc>
        <w:tc>
          <w:tcPr>
            <w:tcW w:w="3150" w:type="pct"/>
            <w:vAlign w:val="center"/>
          </w:tcPr>
          <w:p w14:paraId="6319BE2E" w14:textId="77777777" w:rsidR="00324A0D" w:rsidRPr="00324A0D" w:rsidRDefault="00324A0D" w:rsidP="002B14BC">
            <w:pPr>
              <w:pStyle w:val="13"/>
              <w:ind w:firstLineChars="0" w:firstLine="0"/>
              <w:rPr>
                <w:sz w:val="21"/>
                <w:szCs w:val="21"/>
                <w:lang w:bidi="zh-CN"/>
              </w:rPr>
            </w:pPr>
            <w:r w:rsidRPr="00324A0D">
              <w:rPr>
                <w:sz w:val="21"/>
                <w:szCs w:val="21"/>
                <w:lang w:bidi="zh-CN"/>
              </w:rPr>
              <w:t>竣工担保或违约罚金、保险</w:t>
            </w:r>
          </w:p>
        </w:tc>
      </w:tr>
      <w:tr w:rsidR="00324A0D" w:rsidRPr="00324A0D" w14:paraId="05F79A6A" w14:textId="77777777" w:rsidTr="002B14BC">
        <w:trPr>
          <w:trHeight w:val="326"/>
        </w:trPr>
        <w:tc>
          <w:tcPr>
            <w:tcW w:w="673" w:type="pct"/>
            <w:vMerge/>
            <w:vAlign w:val="center"/>
          </w:tcPr>
          <w:p w14:paraId="73069AFE" w14:textId="77777777" w:rsidR="00324A0D" w:rsidRPr="00324A0D" w:rsidRDefault="00324A0D" w:rsidP="002B14BC">
            <w:pPr>
              <w:pStyle w:val="13"/>
              <w:ind w:firstLineChars="0" w:firstLine="0"/>
              <w:rPr>
                <w:sz w:val="21"/>
                <w:szCs w:val="21"/>
                <w:lang w:bidi="zh-CN"/>
              </w:rPr>
            </w:pPr>
          </w:p>
        </w:tc>
        <w:tc>
          <w:tcPr>
            <w:tcW w:w="1177" w:type="pct"/>
            <w:vAlign w:val="center"/>
          </w:tcPr>
          <w:p w14:paraId="5F7506AC" w14:textId="77777777" w:rsidR="00324A0D" w:rsidRPr="00324A0D" w:rsidRDefault="00324A0D" w:rsidP="002B14BC">
            <w:pPr>
              <w:pStyle w:val="13"/>
              <w:ind w:firstLineChars="0" w:firstLine="0"/>
              <w:rPr>
                <w:sz w:val="21"/>
                <w:szCs w:val="21"/>
                <w:lang w:bidi="zh-CN"/>
              </w:rPr>
            </w:pPr>
            <w:r w:rsidRPr="00324A0D">
              <w:rPr>
                <w:sz w:val="21"/>
                <w:szCs w:val="21"/>
                <w:lang w:bidi="zh-CN"/>
              </w:rPr>
              <w:t>技术不当</w:t>
            </w:r>
          </w:p>
        </w:tc>
        <w:tc>
          <w:tcPr>
            <w:tcW w:w="3150" w:type="pct"/>
            <w:vAlign w:val="center"/>
          </w:tcPr>
          <w:p w14:paraId="278DCCD4" w14:textId="77777777" w:rsidR="00324A0D" w:rsidRPr="00324A0D" w:rsidRDefault="00324A0D" w:rsidP="002B14BC">
            <w:pPr>
              <w:pStyle w:val="13"/>
              <w:ind w:firstLineChars="0" w:firstLine="0"/>
              <w:rPr>
                <w:sz w:val="21"/>
                <w:szCs w:val="21"/>
                <w:lang w:bidi="zh-CN"/>
              </w:rPr>
            </w:pPr>
            <w:r w:rsidRPr="00324A0D">
              <w:rPr>
                <w:sz w:val="21"/>
                <w:szCs w:val="21"/>
                <w:lang w:bidi="zh-CN"/>
              </w:rPr>
              <w:t>履约担保</w:t>
            </w:r>
          </w:p>
        </w:tc>
      </w:tr>
      <w:tr w:rsidR="00324A0D" w:rsidRPr="00324A0D" w14:paraId="728434C0" w14:textId="77777777" w:rsidTr="002B14BC">
        <w:trPr>
          <w:trHeight w:val="316"/>
        </w:trPr>
        <w:tc>
          <w:tcPr>
            <w:tcW w:w="673" w:type="pct"/>
            <w:vMerge w:val="restart"/>
            <w:vAlign w:val="center"/>
          </w:tcPr>
          <w:p w14:paraId="306C5215" w14:textId="77777777" w:rsidR="00324A0D" w:rsidRPr="00324A0D" w:rsidRDefault="00324A0D" w:rsidP="002B14BC">
            <w:pPr>
              <w:pStyle w:val="13"/>
              <w:ind w:firstLineChars="0" w:firstLine="0"/>
              <w:rPr>
                <w:sz w:val="21"/>
                <w:szCs w:val="21"/>
                <w:lang w:bidi="zh-CN"/>
              </w:rPr>
            </w:pPr>
            <w:r w:rsidRPr="00324A0D">
              <w:rPr>
                <w:sz w:val="21"/>
                <w:szCs w:val="21"/>
                <w:lang w:bidi="zh-CN"/>
              </w:rPr>
              <w:t>经营阶段</w:t>
            </w:r>
          </w:p>
        </w:tc>
        <w:tc>
          <w:tcPr>
            <w:tcW w:w="1177" w:type="pct"/>
            <w:vAlign w:val="center"/>
          </w:tcPr>
          <w:p w14:paraId="4695B1B7" w14:textId="77777777" w:rsidR="00324A0D" w:rsidRPr="00324A0D" w:rsidRDefault="00324A0D" w:rsidP="002B14BC">
            <w:pPr>
              <w:pStyle w:val="13"/>
              <w:ind w:firstLineChars="0" w:firstLine="0"/>
              <w:rPr>
                <w:sz w:val="21"/>
                <w:szCs w:val="21"/>
                <w:lang w:bidi="zh-CN"/>
              </w:rPr>
            </w:pPr>
            <w:r w:rsidRPr="00324A0D">
              <w:rPr>
                <w:sz w:val="21"/>
                <w:szCs w:val="21"/>
                <w:lang w:bidi="zh-CN"/>
              </w:rPr>
              <w:t>原材料价格和供应</w:t>
            </w:r>
          </w:p>
        </w:tc>
        <w:tc>
          <w:tcPr>
            <w:tcW w:w="3150" w:type="pct"/>
            <w:vAlign w:val="center"/>
          </w:tcPr>
          <w:p w14:paraId="77CF9B42" w14:textId="77777777" w:rsidR="00324A0D" w:rsidRPr="00324A0D" w:rsidRDefault="00324A0D" w:rsidP="002B14BC">
            <w:pPr>
              <w:pStyle w:val="13"/>
              <w:ind w:firstLineChars="0" w:firstLine="0"/>
              <w:rPr>
                <w:sz w:val="21"/>
                <w:szCs w:val="21"/>
                <w:lang w:bidi="zh-CN"/>
              </w:rPr>
            </w:pPr>
            <w:r w:rsidRPr="00324A0D">
              <w:rPr>
                <w:sz w:val="21"/>
                <w:szCs w:val="21"/>
                <w:lang w:bidi="zh-CN"/>
              </w:rPr>
              <w:t>原材料储存、由</w:t>
            </w:r>
            <w:proofErr w:type="gramStart"/>
            <w:r w:rsidRPr="00324A0D">
              <w:rPr>
                <w:sz w:val="21"/>
                <w:szCs w:val="21"/>
                <w:lang w:bidi="zh-CN"/>
              </w:rPr>
              <w:t>独立第三</w:t>
            </w:r>
            <w:proofErr w:type="gramEnd"/>
            <w:r w:rsidRPr="00324A0D">
              <w:rPr>
                <w:sz w:val="21"/>
                <w:szCs w:val="21"/>
                <w:lang w:bidi="zh-CN"/>
              </w:rPr>
              <w:t>方评估、签订长期供应合同</w:t>
            </w:r>
          </w:p>
        </w:tc>
      </w:tr>
      <w:tr w:rsidR="00324A0D" w:rsidRPr="00324A0D" w14:paraId="1511AE0B" w14:textId="77777777" w:rsidTr="002B14BC">
        <w:trPr>
          <w:trHeight w:val="305"/>
        </w:trPr>
        <w:tc>
          <w:tcPr>
            <w:tcW w:w="673" w:type="pct"/>
            <w:vMerge/>
            <w:vAlign w:val="center"/>
          </w:tcPr>
          <w:p w14:paraId="54E89AAA" w14:textId="77777777" w:rsidR="00324A0D" w:rsidRPr="00324A0D" w:rsidRDefault="00324A0D" w:rsidP="002B14BC">
            <w:pPr>
              <w:pStyle w:val="13"/>
              <w:ind w:firstLineChars="0" w:firstLine="0"/>
              <w:rPr>
                <w:sz w:val="21"/>
                <w:szCs w:val="21"/>
                <w:lang w:bidi="zh-CN"/>
              </w:rPr>
            </w:pPr>
          </w:p>
        </w:tc>
        <w:tc>
          <w:tcPr>
            <w:tcW w:w="1177" w:type="pct"/>
            <w:vAlign w:val="center"/>
          </w:tcPr>
          <w:p w14:paraId="7A8261C4" w14:textId="77777777" w:rsidR="00324A0D" w:rsidRPr="00324A0D" w:rsidRDefault="00324A0D" w:rsidP="002B14BC">
            <w:pPr>
              <w:pStyle w:val="13"/>
              <w:ind w:firstLineChars="0" w:firstLine="0"/>
              <w:rPr>
                <w:sz w:val="21"/>
                <w:szCs w:val="21"/>
                <w:lang w:bidi="zh-CN"/>
              </w:rPr>
            </w:pPr>
            <w:r w:rsidRPr="00324A0D">
              <w:rPr>
                <w:sz w:val="21"/>
                <w:szCs w:val="21"/>
                <w:lang w:bidi="zh-CN"/>
              </w:rPr>
              <w:t>市场需求</w:t>
            </w:r>
          </w:p>
        </w:tc>
        <w:tc>
          <w:tcPr>
            <w:tcW w:w="3150" w:type="pct"/>
            <w:vAlign w:val="center"/>
          </w:tcPr>
          <w:p w14:paraId="76ED9FA0" w14:textId="77777777" w:rsidR="00324A0D" w:rsidRPr="00324A0D" w:rsidRDefault="00324A0D" w:rsidP="002B14BC">
            <w:pPr>
              <w:pStyle w:val="13"/>
              <w:ind w:firstLineChars="0" w:firstLine="0"/>
              <w:rPr>
                <w:sz w:val="21"/>
                <w:szCs w:val="21"/>
                <w:lang w:bidi="zh-CN"/>
              </w:rPr>
            </w:pPr>
            <w:r w:rsidRPr="00324A0D">
              <w:rPr>
                <w:sz w:val="21"/>
                <w:szCs w:val="21"/>
                <w:lang w:bidi="zh-CN"/>
              </w:rPr>
              <w:t>保险、灵活收费方式</w:t>
            </w:r>
          </w:p>
        </w:tc>
      </w:tr>
      <w:tr w:rsidR="00324A0D" w:rsidRPr="00324A0D" w14:paraId="669D5D47" w14:textId="77777777" w:rsidTr="002B14BC">
        <w:trPr>
          <w:trHeight w:val="306"/>
        </w:trPr>
        <w:tc>
          <w:tcPr>
            <w:tcW w:w="673" w:type="pct"/>
            <w:vMerge/>
            <w:vAlign w:val="center"/>
          </w:tcPr>
          <w:p w14:paraId="624EABA5" w14:textId="77777777" w:rsidR="00324A0D" w:rsidRPr="00324A0D" w:rsidRDefault="00324A0D" w:rsidP="002B14BC">
            <w:pPr>
              <w:pStyle w:val="13"/>
              <w:ind w:firstLineChars="0" w:firstLine="0"/>
              <w:rPr>
                <w:sz w:val="21"/>
                <w:szCs w:val="21"/>
                <w:lang w:bidi="zh-CN"/>
              </w:rPr>
            </w:pPr>
          </w:p>
        </w:tc>
        <w:tc>
          <w:tcPr>
            <w:tcW w:w="1177" w:type="pct"/>
            <w:vAlign w:val="center"/>
          </w:tcPr>
          <w:p w14:paraId="7F1BB600" w14:textId="77777777" w:rsidR="00324A0D" w:rsidRPr="00324A0D" w:rsidRDefault="00324A0D" w:rsidP="002B14BC">
            <w:pPr>
              <w:pStyle w:val="13"/>
              <w:ind w:firstLineChars="0" w:firstLine="0"/>
              <w:rPr>
                <w:sz w:val="21"/>
                <w:szCs w:val="21"/>
                <w:lang w:bidi="zh-CN"/>
              </w:rPr>
            </w:pPr>
            <w:r w:rsidRPr="00324A0D">
              <w:rPr>
                <w:sz w:val="21"/>
                <w:szCs w:val="21"/>
                <w:lang w:bidi="zh-CN"/>
              </w:rPr>
              <w:t>销售价格</w:t>
            </w:r>
          </w:p>
        </w:tc>
        <w:tc>
          <w:tcPr>
            <w:tcW w:w="3150" w:type="pct"/>
            <w:vAlign w:val="center"/>
          </w:tcPr>
          <w:p w14:paraId="65220EC4" w14:textId="77777777" w:rsidR="00324A0D" w:rsidRPr="00324A0D" w:rsidRDefault="00324A0D" w:rsidP="002B14BC">
            <w:pPr>
              <w:pStyle w:val="13"/>
              <w:ind w:firstLineChars="0" w:firstLine="0"/>
              <w:rPr>
                <w:sz w:val="21"/>
                <w:szCs w:val="21"/>
                <w:lang w:bidi="zh-CN"/>
              </w:rPr>
            </w:pPr>
            <w:r w:rsidRPr="00324A0D">
              <w:rPr>
                <w:sz w:val="21"/>
                <w:szCs w:val="21"/>
                <w:lang w:bidi="zh-CN"/>
              </w:rPr>
              <w:t>价格调整协议、利益冲突保险</w:t>
            </w:r>
          </w:p>
        </w:tc>
      </w:tr>
      <w:tr w:rsidR="00324A0D" w:rsidRPr="00324A0D" w14:paraId="0BCF1BCA" w14:textId="77777777" w:rsidTr="002B14BC">
        <w:trPr>
          <w:trHeight w:val="316"/>
        </w:trPr>
        <w:tc>
          <w:tcPr>
            <w:tcW w:w="673" w:type="pct"/>
            <w:vMerge/>
            <w:vAlign w:val="center"/>
          </w:tcPr>
          <w:p w14:paraId="3E105219" w14:textId="77777777" w:rsidR="00324A0D" w:rsidRPr="00324A0D" w:rsidRDefault="00324A0D" w:rsidP="002B14BC">
            <w:pPr>
              <w:pStyle w:val="13"/>
              <w:ind w:firstLineChars="0" w:firstLine="0"/>
              <w:rPr>
                <w:sz w:val="21"/>
                <w:szCs w:val="21"/>
                <w:lang w:bidi="zh-CN"/>
              </w:rPr>
            </w:pPr>
          </w:p>
        </w:tc>
        <w:tc>
          <w:tcPr>
            <w:tcW w:w="1177" w:type="pct"/>
            <w:vAlign w:val="center"/>
          </w:tcPr>
          <w:p w14:paraId="132A52BD" w14:textId="77777777" w:rsidR="00324A0D" w:rsidRPr="00324A0D" w:rsidRDefault="00324A0D" w:rsidP="002B14BC">
            <w:pPr>
              <w:pStyle w:val="13"/>
              <w:ind w:firstLineChars="0" w:firstLine="0"/>
              <w:rPr>
                <w:sz w:val="21"/>
                <w:szCs w:val="21"/>
                <w:lang w:bidi="zh-CN"/>
              </w:rPr>
            </w:pPr>
            <w:r w:rsidRPr="00324A0D">
              <w:rPr>
                <w:sz w:val="21"/>
                <w:szCs w:val="21"/>
                <w:lang w:bidi="zh-CN"/>
              </w:rPr>
              <w:t>环境污染</w:t>
            </w:r>
          </w:p>
        </w:tc>
        <w:tc>
          <w:tcPr>
            <w:tcW w:w="3150" w:type="pct"/>
            <w:vAlign w:val="center"/>
          </w:tcPr>
          <w:p w14:paraId="59B4E557" w14:textId="77777777" w:rsidR="00324A0D" w:rsidRPr="00324A0D" w:rsidRDefault="00324A0D" w:rsidP="002B14BC">
            <w:pPr>
              <w:pStyle w:val="13"/>
              <w:ind w:firstLineChars="0" w:firstLine="0"/>
              <w:rPr>
                <w:sz w:val="21"/>
                <w:szCs w:val="21"/>
                <w:lang w:bidi="zh-CN"/>
              </w:rPr>
            </w:pPr>
            <w:r w:rsidRPr="00324A0D">
              <w:rPr>
                <w:sz w:val="21"/>
                <w:szCs w:val="21"/>
                <w:lang w:bidi="zh-CN"/>
              </w:rPr>
              <w:t>保险、采用环保技术</w:t>
            </w:r>
          </w:p>
        </w:tc>
      </w:tr>
    </w:tbl>
    <w:p w14:paraId="65A5C6FB" w14:textId="77777777" w:rsidR="002B14BC" w:rsidRDefault="002B14BC" w:rsidP="002B14BC">
      <w:pPr>
        <w:pStyle w:val="ab"/>
        <w:spacing w:before="62" w:after="62"/>
        <w:ind w:firstLine="482"/>
      </w:pPr>
      <w:r>
        <w:rPr>
          <w:rFonts w:hint="eastAsia"/>
        </w:rPr>
        <w:t>三、项目运作方式</w:t>
      </w:r>
    </w:p>
    <w:p w14:paraId="23CF7A74" w14:textId="2155FEC8" w:rsidR="002B14BC" w:rsidRDefault="002B14BC" w:rsidP="002B14BC">
      <w:pPr>
        <w:pStyle w:val="13"/>
      </w:pPr>
      <w:r>
        <w:t>PPP项目运作方式主要包括委托运营、管理合同、建设-运营-移交、建设-拥有-运营、转让-运营-移交和改建-运营-移交等。</w:t>
      </w:r>
    </w:p>
    <w:p w14:paraId="4AF12CF1" w14:textId="34578D62" w:rsidR="002B14BC" w:rsidRDefault="002B14BC" w:rsidP="002B14BC">
      <w:pPr>
        <w:pStyle w:val="13"/>
      </w:pPr>
      <w:r>
        <w:lastRenderedPageBreak/>
        <w:t>PPP项目具体运作方式的选择主要根据项目的回报机制进行确定，对于具有明确的收费基础，并且经营收费能够完全覆盖投资成本的项目，可通过政府授予经营权，采用建设—运营—移交、建设—拥有—运营—移交等模式推进。对于经营收费不足以覆盖投资成本或难以形成合理回报、需政府补贴部分资金或资源的项目，可通过政府授予经营权附加部分补贴或直接投资参股等措施，采用建设—运营—移交、建设—拥有—运营等</w:t>
      </w:r>
      <w:r>
        <w:rPr>
          <w:rFonts w:hint="eastAsia"/>
        </w:rPr>
        <w:t>模式推进。对于缺乏“使用者付费”基础、主要依靠“政府付费”回收投资成本的项目，可通过政府购买服务，采用建设—拥有—运营、建设—租赁—运营、委托运营等市场化模式推进。</w:t>
      </w:r>
    </w:p>
    <w:p w14:paraId="1EA380E8" w14:textId="7C89BBA9" w:rsidR="002B14BC" w:rsidRDefault="002B14BC" w:rsidP="002B14BC">
      <w:pPr>
        <w:pStyle w:val="ab"/>
        <w:spacing w:before="62" w:after="62"/>
        <w:ind w:firstLine="482"/>
      </w:pPr>
      <w:r>
        <w:rPr>
          <w:rFonts w:hint="eastAsia"/>
        </w:rPr>
        <w:t>四、交易结构</w:t>
      </w:r>
    </w:p>
    <w:p w14:paraId="01951788" w14:textId="7B1C0157" w:rsidR="002B14BC" w:rsidRDefault="002B14BC" w:rsidP="002B14BC">
      <w:pPr>
        <w:pStyle w:val="13"/>
      </w:pPr>
      <w:r>
        <w:t>PPP项目交易结构一般包括项目投融资结构、回报机制和相关配套安排。</w:t>
      </w:r>
    </w:p>
    <w:p w14:paraId="4FB46850" w14:textId="77777777" w:rsidR="002B14BC" w:rsidRDefault="002B14BC" w:rsidP="002B14BC">
      <w:pPr>
        <w:pStyle w:val="13"/>
      </w:pPr>
      <w:r>
        <w:rPr>
          <w:rFonts w:hint="eastAsia"/>
        </w:rPr>
        <w:t>（一）项目投融资结构</w:t>
      </w:r>
    </w:p>
    <w:p w14:paraId="5712AFD6" w14:textId="77777777" w:rsidR="002B14BC" w:rsidRDefault="002B14BC" w:rsidP="002B14BC">
      <w:pPr>
        <w:pStyle w:val="13"/>
      </w:pPr>
      <w:r>
        <w:rPr>
          <w:rFonts w:hint="eastAsia"/>
        </w:rPr>
        <w:t>项目投融资结构包括项目公司的资本构成、股权结构、项目设立情况、项目公司资本性支出的资金来源、性质和用途、资产负债安排，项目资产的形成和转移等。</w:t>
      </w:r>
    </w:p>
    <w:p w14:paraId="02F083D5" w14:textId="1624577F" w:rsidR="002B14BC" w:rsidRDefault="002B14BC" w:rsidP="002B14BC">
      <w:pPr>
        <w:pStyle w:val="13"/>
      </w:pPr>
      <w:r>
        <w:rPr>
          <w:rFonts w:hint="eastAsia"/>
        </w:rPr>
        <w:t>一般资本金比例需要符合国家相关规定，如国务院关于调整和完善固定资产投资项目资本金制度的通知（国发〔</w:t>
      </w:r>
      <w:r>
        <w:t>2015〕51号）中规定：机场、港口、沿海及内河航运项目</w:t>
      </w:r>
      <w:r w:rsidR="003068F8">
        <w:t>，</w:t>
      </w:r>
      <w:r>
        <w:t>最低资本金比例为25%；城市轨道交通、铁路、公路、保障性住房和普通商品住房项目的最低资本金比例为20%；其他房地产开发项目的最低资本金比例为25%；其他项目的最低资本金比例为20%。通常还根据PPP项目所处阶段、收益情况、投资者资金压力等进行适当调整。</w:t>
      </w:r>
    </w:p>
    <w:p w14:paraId="5FFE22BF" w14:textId="126BDC75" w:rsidR="002B14BC" w:rsidRDefault="002B14BC" w:rsidP="002B14BC">
      <w:pPr>
        <w:pStyle w:val="13"/>
      </w:pPr>
      <w:r>
        <w:rPr>
          <w:rFonts w:hint="eastAsia"/>
        </w:rPr>
        <w:t>融资金额的大小或多少通常根据资金运行的缺口、项目公司的管理运营能力、负债比例和资金供给、融资成本等确定，且尽量选择融资期限较长的贷款。融资担保应根据融资期限、额度来确定，通常还关注</w:t>
      </w:r>
      <w:r>
        <w:t>PPP项目合同对融资的约束，以免项目的建设运营等活动受到约束和限制。</w:t>
      </w:r>
    </w:p>
    <w:p w14:paraId="3387E536" w14:textId="77777777" w:rsidR="002B14BC" w:rsidRDefault="002B14BC" w:rsidP="002B14BC">
      <w:pPr>
        <w:pStyle w:val="13"/>
      </w:pPr>
      <w:r>
        <w:rPr>
          <w:rFonts w:hint="eastAsia"/>
        </w:rPr>
        <w:t>项目融资方案通常还需要界定项目公司的融资权利和义务，以及融资方的权利义务和再融资。</w:t>
      </w:r>
    </w:p>
    <w:p w14:paraId="7F7121B4" w14:textId="77777777" w:rsidR="002B14BC" w:rsidRDefault="002B14BC" w:rsidP="002B14BC">
      <w:pPr>
        <w:pStyle w:val="13"/>
      </w:pPr>
      <w:r>
        <w:t>1、项目公司的融资权利和义务</w:t>
      </w:r>
    </w:p>
    <w:p w14:paraId="3226F578" w14:textId="6BD1DE94" w:rsidR="002B14BC" w:rsidRDefault="002B14BC" w:rsidP="002B14BC">
      <w:pPr>
        <w:pStyle w:val="13"/>
      </w:pPr>
      <w:r>
        <w:t>PPP实施方案通常会明确项目全生命周期内相关资产和权益的归属，确定项目公司是否有权通过在相关资产和权益上设定抵质押担保等方式获得项目融资、股权变更的限制，以及处置项目相关资产或权益的方式实现投资的退出。</w:t>
      </w:r>
    </w:p>
    <w:p w14:paraId="1BA3D8D5" w14:textId="77777777" w:rsidR="002B14BC" w:rsidRDefault="002B14BC" w:rsidP="002B14BC">
      <w:pPr>
        <w:pStyle w:val="13"/>
      </w:pPr>
      <w:r>
        <w:t>2、融资方的权利和义务</w:t>
      </w:r>
    </w:p>
    <w:p w14:paraId="77C22DDB" w14:textId="77777777" w:rsidR="002B14BC" w:rsidRDefault="002B14BC" w:rsidP="002B14BC">
      <w:pPr>
        <w:pStyle w:val="13"/>
      </w:pPr>
      <w:r>
        <w:rPr>
          <w:rFonts w:hint="eastAsia"/>
        </w:rPr>
        <w:t>实施方案可能对融资方的权利进行界定，包括：</w:t>
      </w:r>
    </w:p>
    <w:p w14:paraId="6F661986" w14:textId="6A68C202" w:rsidR="002B14BC" w:rsidRDefault="002B14BC" w:rsidP="002B14BC">
      <w:pPr>
        <w:pStyle w:val="13"/>
      </w:pPr>
      <w:r>
        <w:rPr>
          <w:rFonts w:hint="eastAsia"/>
        </w:rPr>
        <w:t>（</w:t>
      </w:r>
      <w:r>
        <w:t>1）融资方的主债权和担保债权</w:t>
      </w:r>
    </w:p>
    <w:p w14:paraId="17EFCAA0" w14:textId="6D54D47D" w:rsidR="002B14BC" w:rsidRDefault="002B14BC" w:rsidP="002B14BC">
      <w:pPr>
        <w:pStyle w:val="13"/>
      </w:pPr>
      <w:r>
        <w:rPr>
          <w:rFonts w:hint="eastAsia"/>
        </w:rPr>
        <w:t>项目公司以项目资产或其他权益（如收费权）、或社会资本以其所持有的与项目相关的权利（如其所持有的项目公司股权）为担保向融资方申请融资，方案或合同通</w:t>
      </w:r>
      <w:r>
        <w:rPr>
          <w:rFonts w:hint="eastAsia"/>
        </w:rPr>
        <w:lastRenderedPageBreak/>
        <w:t>常需要明确规定社会资本和项目公司有权设置上述担保，并且政府可以接受融资方行使主债权或担保债权所可能导致的法律后果。</w:t>
      </w:r>
    </w:p>
    <w:p w14:paraId="653D1C09" w14:textId="4FE7B7A5" w:rsidR="002B14BC" w:rsidRDefault="002B14BC" w:rsidP="002B14BC">
      <w:pPr>
        <w:pStyle w:val="13"/>
      </w:pPr>
      <w:r>
        <w:rPr>
          <w:rFonts w:hint="eastAsia"/>
        </w:rPr>
        <w:t>（</w:t>
      </w:r>
      <w:r>
        <w:t>2）融资方的介入权</w:t>
      </w:r>
    </w:p>
    <w:p w14:paraId="74698325" w14:textId="77777777" w:rsidR="002B14BC" w:rsidRDefault="002B14BC" w:rsidP="002B14BC">
      <w:pPr>
        <w:pStyle w:val="13"/>
      </w:pPr>
      <w:r>
        <w:rPr>
          <w:rFonts w:hint="eastAsia"/>
        </w:rPr>
        <w:t>政府、项目公司与融资方签订的直接介入协议对融资方的介入权予以明确约定。</w:t>
      </w:r>
    </w:p>
    <w:p w14:paraId="0ED928A4" w14:textId="77777777" w:rsidR="002B14BC" w:rsidRDefault="002B14BC" w:rsidP="002B14BC">
      <w:pPr>
        <w:pStyle w:val="13"/>
      </w:pPr>
      <w:r>
        <w:t>3、再融资</w:t>
      </w:r>
    </w:p>
    <w:p w14:paraId="3BF8DB58" w14:textId="77777777" w:rsidR="002B14BC" w:rsidRDefault="002B14BC" w:rsidP="002B14BC">
      <w:pPr>
        <w:pStyle w:val="13"/>
      </w:pPr>
      <w:r>
        <w:rPr>
          <w:rFonts w:hint="eastAsia"/>
        </w:rPr>
        <w:t>实施方案还可能对项目公司再融资进行规定，再融资应增加项目收益且不影响项目的实施、签署再融资协议前须经过政府的批准等。</w:t>
      </w:r>
    </w:p>
    <w:p w14:paraId="5503888C" w14:textId="77777777" w:rsidR="002B14BC" w:rsidRDefault="002B14BC" w:rsidP="002B14BC">
      <w:pPr>
        <w:pStyle w:val="13"/>
      </w:pPr>
      <w:r>
        <w:rPr>
          <w:rFonts w:hint="eastAsia"/>
        </w:rPr>
        <w:t>（二）回报机制</w:t>
      </w:r>
    </w:p>
    <w:p w14:paraId="039A4AF0" w14:textId="77777777" w:rsidR="002B14BC" w:rsidRDefault="002B14BC" w:rsidP="002B14BC">
      <w:pPr>
        <w:pStyle w:val="13"/>
      </w:pPr>
      <w:r>
        <w:rPr>
          <w:rFonts w:hint="eastAsia"/>
        </w:rPr>
        <w:t>项目回报机制包括政府付费、使用者付费和可行性缺口补助等支付方式。</w:t>
      </w:r>
    </w:p>
    <w:p w14:paraId="51399820" w14:textId="77777777" w:rsidR="002B14BC" w:rsidRDefault="002B14BC" w:rsidP="002B14BC">
      <w:pPr>
        <w:pStyle w:val="13"/>
      </w:pPr>
      <w:r>
        <w:rPr>
          <w:rFonts w:hint="eastAsia"/>
        </w:rPr>
        <w:t>项目回报机制进行价格制定时，应当满足保证社会资本合理回报、使用者可承受、综合考虑价格的其他影响因素、动态可调整等原则。</w:t>
      </w:r>
    </w:p>
    <w:p w14:paraId="298DF3A5" w14:textId="77777777" w:rsidR="002B14BC" w:rsidRDefault="002B14BC" w:rsidP="002B14BC">
      <w:pPr>
        <w:pStyle w:val="13"/>
      </w:pPr>
      <w:r>
        <w:t>1、政府付费</w:t>
      </w:r>
    </w:p>
    <w:p w14:paraId="45C8C99F" w14:textId="77777777" w:rsidR="002B14BC" w:rsidRDefault="002B14BC" w:rsidP="002B14BC">
      <w:pPr>
        <w:pStyle w:val="13"/>
      </w:pPr>
      <w:r>
        <w:rPr>
          <w:rFonts w:hint="eastAsia"/>
        </w:rPr>
        <w:t>根据项目类型和风险分配方案的不同，政府付费支付方式通常会依据项目的可用性、使用量和绩效中的一个或多个要素的组合向项目公司付费。</w:t>
      </w:r>
    </w:p>
    <w:p w14:paraId="42EBB9F2" w14:textId="077D0485" w:rsidR="002B14BC" w:rsidRDefault="002B14BC" w:rsidP="002B14BC">
      <w:pPr>
        <w:pStyle w:val="13"/>
      </w:pPr>
      <w:r>
        <w:rPr>
          <w:rFonts w:hint="eastAsia"/>
        </w:rPr>
        <w:t>（</w:t>
      </w:r>
      <w:r>
        <w:t>1）可用性付费</w:t>
      </w:r>
    </w:p>
    <w:p w14:paraId="684942F1" w14:textId="77777777" w:rsidR="002B14BC" w:rsidRDefault="002B14BC" w:rsidP="002B14BC">
      <w:pPr>
        <w:pStyle w:val="13"/>
      </w:pPr>
      <w:r>
        <w:rPr>
          <w:rFonts w:hint="eastAsia"/>
        </w:rPr>
        <w:t>可用性付费通常仅考虑设施容量或服务能力，而不考虑设施或服务的实际需求，社会公共服务类项目（例如学校、医院等）以及部分公用设施和公共交通设施通常采用此类付费方式。</w:t>
      </w:r>
    </w:p>
    <w:p w14:paraId="5D9A0312" w14:textId="77777777" w:rsidR="002B14BC" w:rsidRDefault="002B14BC" w:rsidP="002B14BC">
      <w:pPr>
        <w:pStyle w:val="13"/>
      </w:pPr>
      <w:r>
        <w:rPr>
          <w:rFonts w:hint="eastAsia"/>
        </w:rPr>
        <w:t>可用性付费的核心要素是界定可用与</w:t>
      </w:r>
      <w:proofErr w:type="gramStart"/>
      <w:r>
        <w:rPr>
          <w:rFonts w:hint="eastAsia"/>
        </w:rPr>
        <w:t>不</w:t>
      </w:r>
      <w:proofErr w:type="gramEnd"/>
      <w:r>
        <w:rPr>
          <w:rFonts w:hint="eastAsia"/>
        </w:rPr>
        <w:t>可用。在实施方案中，一般需要确定“不可用”的认定标准，在设定“不可用”标准时，通常需要考虑以下因素：是否符合项目的实际情况和特点；是否可以测量和监控等；是否超出项目公司的能力范围；是否为实施项目所必需等。</w:t>
      </w:r>
    </w:p>
    <w:p w14:paraId="7874BC7A" w14:textId="77777777" w:rsidR="002B14BC" w:rsidRDefault="002B14BC" w:rsidP="002B14BC">
      <w:pPr>
        <w:pStyle w:val="13"/>
      </w:pPr>
      <w:r>
        <w:rPr>
          <w:rFonts w:hint="eastAsia"/>
        </w:rPr>
        <w:t>在设置可用性付费时，还需要结合考虑不同比例扣减机制的设置、宽限期的设置、</w:t>
      </w:r>
      <w:proofErr w:type="gramStart"/>
      <w:r>
        <w:rPr>
          <w:rFonts w:hint="eastAsia"/>
        </w:rPr>
        <w:t>不</w:t>
      </w:r>
      <w:proofErr w:type="gramEnd"/>
      <w:r>
        <w:rPr>
          <w:rFonts w:hint="eastAsia"/>
        </w:rPr>
        <w:t>可用设施或服务仍需使用的情形下的处理、计划内暂停服务的认定等其他要素。</w:t>
      </w:r>
    </w:p>
    <w:p w14:paraId="775E4FAA" w14:textId="767824E2" w:rsidR="002B14BC" w:rsidRDefault="002B14BC" w:rsidP="002B14BC">
      <w:pPr>
        <w:pStyle w:val="13"/>
      </w:pPr>
      <w:r>
        <w:t>PPP项目实施方案中还会约定一些豁免事由，对于因发生豁免事由而导致出现</w:t>
      </w:r>
      <w:proofErr w:type="gramStart"/>
      <w:r>
        <w:t>不</w:t>
      </w:r>
      <w:proofErr w:type="gramEnd"/>
      <w:r>
        <w:t>可用情形的，不构成项目公司违约，仍可按照合同约定的金额获得政府付费。常见的豁免事由包括政府可以提供合适的替代性服务（由政府决定）、项目设施或服务在</w:t>
      </w:r>
      <w:proofErr w:type="gramStart"/>
      <w:r>
        <w:t>不</w:t>
      </w:r>
      <w:proofErr w:type="gramEnd"/>
      <w:r>
        <w:t>可用期</w:t>
      </w:r>
      <w:r>
        <w:rPr>
          <w:rFonts w:hint="eastAsia"/>
        </w:rPr>
        <w:t>间内</w:t>
      </w:r>
      <w:proofErr w:type="gramStart"/>
      <w:r>
        <w:rPr>
          <w:rFonts w:hint="eastAsia"/>
        </w:rPr>
        <w:t>未计划</w:t>
      </w:r>
      <w:proofErr w:type="gramEnd"/>
      <w:r>
        <w:rPr>
          <w:rFonts w:hint="eastAsia"/>
        </w:rPr>
        <w:t>使用、政府违约、政府提出的变更等。</w:t>
      </w:r>
    </w:p>
    <w:p w14:paraId="782317D4" w14:textId="7A2BD9B9" w:rsidR="002B14BC" w:rsidRDefault="002B14BC" w:rsidP="002B14BC">
      <w:pPr>
        <w:pStyle w:val="13"/>
      </w:pPr>
      <w:r>
        <w:rPr>
          <w:rFonts w:hint="eastAsia"/>
        </w:rPr>
        <w:t>（</w:t>
      </w:r>
      <w:r>
        <w:t>2）使用量支付方式</w:t>
      </w:r>
    </w:p>
    <w:p w14:paraId="75560F95" w14:textId="77777777" w:rsidR="002B14BC" w:rsidRDefault="002B14BC" w:rsidP="002B14BC">
      <w:pPr>
        <w:pStyle w:val="13"/>
      </w:pPr>
      <w:r>
        <w:rPr>
          <w:rFonts w:hint="eastAsia"/>
        </w:rPr>
        <w:t>使用量支付一般是对项目需求有较乐观的预期或者有一定影响能力的支付方式。污水处理、垃圾处理等部分公用设施项目通常采用使用量支付，也可以与绩效支付搭配使用，即如果项目公司提供的设施或服务未达到合同约定的绩效标准，政府的支付将进行相应扣减。</w:t>
      </w:r>
    </w:p>
    <w:p w14:paraId="01A0B2CE" w14:textId="77777777" w:rsidR="002B14BC" w:rsidRDefault="002B14BC" w:rsidP="002B14BC">
      <w:pPr>
        <w:pStyle w:val="13"/>
      </w:pPr>
      <w:r>
        <w:rPr>
          <w:rFonts w:hint="eastAsia"/>
        </w:rPr>
        <w:lastRenderedPageBreak/>
        <w:t>根据项目的性质、预期使用量、项目融资结构及还款计划等，设置分层级的使用量支付机制。</w:t>
      </w:r>
    </w:p>
    <w:p w14:paraId="0CF83D10" w14:textId="7F4C9680" w:rsidR="002B14BC" w:rsidRDefault="002B14BC" w:rsidP="002B14BC">
      <w:pPr>
        <w:pStyle w:val="13"/>
      </w:pPr>
      <w:r>
        <w:rPr>
          <w:rFonts w:hint="eastAsia"/>
        </w:rPr>
        <w:t>（</w:t>
      </w:r>
      <w:r>
        <w:t>3）绩效支付</w:t>
      </w:r>
    </w:p>
    <w:p w14:paraId="2A4B5972" w14:textId="4F35A868" w:rsidR="002B14BC" w:rsidRDefault="002B14BC" w:rsidP="002B14BC">
      <w:pPr>
        <w:pStyle w:val="13"/>
      </w:pPr>
      <w:r>
        <w:rPr>
          <w:rFonts w:hint="eastAsia"/>
        </w:rPr>
        <w:t>实施方案通常根据项目的特点和实际情况明确适当的绩效标准。设定绩效标准时</w:t>
      </w:r>
      <w:r w:rsidR="003068F8">
        <w:rPr>
          <w:rFonts w:hint="eastAsia"/>
        </w:rPr>
        <w:t>，</w:t>
      </w:r>
      <w:r>
        <w:t>通常需要考虑绩效标准是否客观、合理，即是否符合项目的实际情况和特点，是否超出项目公司范围，是否为实施项目所必需，是否可以测量和监控等。</w:t>
      </w:r>
    </w:p>
    <w:p w14:paraId="27B32619" w14:textId="77777777" w:rsidR="002B14BC" w:rsidRDefault="002B14BC" w:rsidP="002B14BC">
      <w:pPr>
        <w:pStyle w:val="13"/>
      </w:pPr>
      <w:r>
        <w:rPr>
          <w:rFonts w:hint="eastAsia"/>
        </w:rPr>
        <w:t>绩效监控机制，实施方案通常还专门编制绩效监控方案，以明确项目公司的监控义务、政府的监控措施以及具体的绩效标准。</w:t>
      </w:r>
    </w:p>
    <w:p w14:paraId="1EC94757" w14:textId="77777777" w:rsidR="002B14BC" w:rsidRDefault="002B14BC" w:rsidP="002B14BC">
      <w:pPr>
        <w:pStyle w:val="13"/>
      </w:pPr>
      <w:r>
        <w:rPr>
          <w:rFonts w:hint="eastAsia"/>
        </w:rPr>
        <w:t>绩效监控方案通常会明确约定项目公司的监控义务，包括：运营情况监测，如高速公路车流量监测；信息发布，例如向公众公布收费价格；定期报告，项目公司通常按月或按季向政府或项目实施机构提交绩效情况报告；保证相关信息的真实性、准确性和完整性等。除此之外，绩效监控方案还会列明各项设施和服务的具体绩效标准。</w:t>
      </w:r>
    </w:p>
    <w:p w14:paraId="2AC2A3EB" w14:textId="77777777" w:rsidR="002B14BC" w:rsidRDefault="002B14BC" w:rsidP="002B14BC">
      <w:pPr>
        <w:pStyle w:val="13"/>
      </w:pPr>
      <w:r>
        <w:t>2、使用者付费</w:t>
      </w:r>
    </w:p>
    <w:p w14:paraId="08173F43" w14:textId="77777777" w:rsidR="002B14BC" w:rsidRDefault="002B14BC" w:rsidP="002B14BC">
      <w:pPr>
        <w:pStyle w:val="13"/>
      </w:pPr>
      <w:r>
        <w:rPr>
          <w:rFonts w:hint="eastAsia"/>
        </w:rPr>
        <w:t>使用者付费一般用于高速公路、桥梁、地铁等公共交通项目以及供水、供热等部分公用设施项目中。</w:t>
      </w:r>
    </w:p>
    <w:p w14:paraId="7EE290BD" w14:textId="383695ED" w:rsidR="002B14BC" w:rsidRDefault="002B14BC" w:rsidP="002B14BC">
      <w:pPr>
        <w:pStyle w:val="13"/>
      </w:pPr>
      <w:r>
        <w:rPr>
          <w:rFonts w:hint="eastAsia"/>
        </w:rPr>
        <w:t>（</w:t>
      </w:r>
      <w:r>
        <w:t>1）使用者付费考虑因素</w:t>
      </w:r>
    </w:p>
    <w:p w14:paraId="716E6476" w14:textId="40F42B50" w:rsidR="002B14BC" w:rsidRDefault="002B14BC" w:rsidP="002B14BC">
      <w:pPr>
        <w:pStyle w:val="13"/>
      </w:pPr>
      <w:r>
        <w:rPr>
          <w:rFonts w:hint="eastAsia"/>
        </w:rPr>
        <w:t>设置使用者付费时，通常包含项目是否适合采用使用者付费机制、使用费如何设定、政府是否需要保障项目公司的最低收入、是否需要设置机制避免项目公司获得超额的利润。</w:t>
      </w:r>
    </w:p>
    <w:p w14:paraId="3310E420" w14:textId="21226E74" w:rsidR="002B14BC" w:rsidRDefault="002B14BC" w:rsidP="002B14BC">
      <w:pPr>
        <w:pStyle w:val="13"/>
      </w:pPr>
      <w:r>
        <w:rPr>
          <w:rFonts w:hint="eastAsia"/>
        </w:rPr>
        <w:t>（</w:t>
      </w:r>
      <w:r>
        <w:t>2）使用者付费的定价方式</w:t>
      </w:r>
    </w:p>
    <w:p w14:paraId="132782F4" w14:textId="2E61D5FA" w:rsidR="002B14BC" w:rsidRDefault="002B14BC" w:rsidP="002B14BC">
      <w:pPr>
        <w:pStyle w:val="13"/>
      </w:pPr>
      <w:r>
        <w:rPr>
          <w:rFonts w:hint="eastAsia"/>
        </w:rPr>
        <w:t>使用者付费的定价方式主要包括根据《价格法》等相关法律法规及政策规定确定、由双方在</w:t>
      </w:r>
      <w:r>
        <w:t>PPP项目合同中约定、由项目公司根据</w:t>
      </w:r>
      <w:r>
        <w:rPr>
          <w:rFonts w:hint="eastAsia"/>
        </w:rPr>
        <w:t>项目实施时的市场价格定价。</w:t>
      </w:r>
    </w:p>
    <w:p w14:paraId="6DD78229" w14:textId="77777777" w:rsidR="002B14BC" w:rsidRDefault="002B14BC" w:rsidP="002B14BC">
      <w:pPr>
        <w:pStyle w:val="13"/>
      </w:pPr>
      <w:r>
        <w:rPr>
          <w:rFonts w:hint="eastAsia"/>
        </w:rPr>
        <w:t>定价需要考虑需求的价格弹性、投资规模、配套投资、需求量、项目公司的合理的收益、项目预期的社会和经济效益、定价是否超出使用者可承受的合理范围（具体可以参考当地的物价水平）、是否符合法律法规的强制性规定等。</w:t>
      </w:r>
    </w:p>
    <w:p w14:paraId="7FA94F95" w14:textId="32576B75" w:rsidR="002B14BC" w:rsidRDefault="002B14BC" w:rsidP="002B14BC">
      <w:pPr>
        <w:pStyle w:val="13"/>
      </w:pPr>
      <w:r>
        <w:rPr>
          <w:rFonts w:hint="eastAsia"/>
        </w:rPr>
        <w:t>（</w:t>
      </w:r>
      <w:r>
        <w:t>3）唯一性条款和超额利润限制机制</w:t>
      </w:r>
    </w:p>
    <w:p w14:paraId="1D5F0E87" w14:textId="5629BD42" w:rsidR="002B14BC" w:rsidRDefault="002B14BC" w:rsidP="002B14BC">
      <w:pPr>
        <w:pStyle w:val="13"/>
      </w:pPr>
      <w:r>
        <w:rPr>
          <w:rFonts w:hint="eastAsia"/>
        </w:rPr>
        <w:t>实施方案通常还会规定</w:t>
      </w:r>
      <w:r>
        <w:t>PPP执行中增加唯一性条款，要求政府承诺在一定期限内不在项目附近新建竞争性项目。政府在设计付费机制时也会设定一些限制超额利润的机制</w:t>
      </w:r>
      <w:r w:rsidR="003068F8">
        <w:t>，</w:t>
      </w:r>
      <w:r>
        <w:t>包括约定投资回报率上限，超出上限的部分归政府所有，或者就超额利润部分与项目公 司进行分成等。</w:t>
      </w:r>
    </w:p>
    <w:p w14:paraId="62BD0D35" w14:textId="77777777" w:rsidR="002B14BC" w:rsidRDefault="002B14BC" w:rsidP="002B14BC">
      <w:pPr>
        <w:pStyle w:val="13"/>
      </w:pPr>
      <w:r>
        <w:rPr>
          <w:rFonts w:hint="eastAsia"/>
        </w:rPr>
        <w:t>在撰写排他性条款时，应考虑中国经济增长的实际情况，在经济较落后的地区也可能存在经济迅速增长的潜力，不能随意撰写，形成对未来经济的阻碍，应统筹安排当前发展和未来发展的关系。</w:t>
      </w:r>
    </w:p>
    <w:p w14:paraId="09B0A4FD" w14:textId="77777777" w:rsidR="002B14BC" w:rsidRDefault="002B14BC" w:rsidP="002B14BC">
      <w:pPr>
        <w:pStyle w:val="13"/>
      </w:pPr>
      <w:r>
        <w:t>3、可行性缺口补助</w:t>
      </w:r>
    </w:p>
    <w:p w14:paraId="58B6459E" w14:textId="77777777" w:rsidR="002B14BC" w:rsidRDefault="002B14BC" w:rsidP="002B14BC">
      <w:pPr>
        <w:pStyle w:val="13"/>
      </w:pPr>
      <w:r>
        <w:rPr>
          <w:rFonts w:hint="eastAsia"/>
        </w:rPr>
        <w:lastRenderedPageBreak/>
        <w:t>可行性缺口补助是在政府付费机制与使用者付费机制之外的一种折衷选择。对于使用者付费无法使社会资本获取合理收益、甚至无法完全覆盖项目的建设和运营成本的项目，可以由政府提供一定的补助，以弥补使用者付费之外的缺口部分，保证社会资本的合理利润。</w:t>
      </w:r>
    </w:p>
    <w:p w14:paraId="24BDEE0B" w14:textId="77777777" w:rsidR="002B14BC" w:rsidRDefault="002B14BC" w:rsidP="002B14BC">
      <w:pPr>
        <w:pStyle w:val="13"/>
      </w:pPr>
      <w:r>
        <w:rPr>
          <w:rFonts w:hint="eastAsia"/>
        </w:rPr>
        <w:t>可行性缺口补助通常包括投资补助和价格补助。政府的投资额在实施方案或者合同中作为政府的一项义务予以明确，投资补助的拨付通常不会与项目公司的绩效挂钩；在政府定价或指导价较低导致使用者付费无法覆盖项目的成本和合理收益，政府通常会给予项目公司一定的价格补贴。以项目运营绩效评价结果为依据，综合考虑产品或服务价格、建造成本、运营费用、实际收益率、财政中长期承受能力等因素合理确定。</w:t>
      </w:r>
    </w:p>
    <w:p w14:paraId="3B672148" w14:textId="6349E350" w:rsidR="002B14BC" w:rsidRDefault="002B14BC" w:rsidP="002B14BC">
      <w:pPr>
        <w:pStyle w:val="13"/>
      </w:pPr>
      <w:r>
        <w:rPr>
          <w:rFonts w:hint="eastAsia"/>
        </w:rPr>
        <w:t>项目满足采用</w:t>
      </w:r>
      <w:r>
        <w:t>PPP模式与政府传统采购模式相比，能增加供给，优化风险分担，降</w:t>
      </w:r>
      <w:r>
        <w:rPr>
          <w:rFonts w:hint="eastAsia"/>
        </w:rPr>
        <w:t>低项目全生命周期成本，提高运营效率。</w:t>
      </w:r>
    </w:p>
    <w:p w14:paraId="7E749B26" w14:textId="77777777" w:rsidR="002B14BC" w:rsidRDefault="002B14BC" w:rsidP="002B14BC">
      <w:pPr>
        <w:pStyle w:val="13"/>
      </w:pPr>
      <w:r>
        <w:rPr>
          <w:rFonts w:hint="eastAsia"/>
        </w:rPr>
        <w:t>（三）政府支付的调价机制</w:t>
      </w:r>
    </w:p>
    <w:p w14:paraId="5A70F265" w14:textId="77777777" w:rsidR="002B14BC" w:rsidRDefault="002B14BC" w:rsidP="002B14BC">
      <w:pPr>
        <w:pStyle w:val="13"/>
      </w:pPr>
      <w:r>
        <w:rPr>
          <w:rFonts w:hint="eastAsia"/>
        </w:rPr>
        <w:t>实施方案通常还包括调价机制，常见的调价方式包括：</w:t>
      </w:r>
    </w:p>
    <w:p w14:paraId="3A0FF49E" w14:textId="77777777" w:rsidR="002B14BC" w:rsidRDefault="002B14BC" w:rsidP="002B14BC">
      <w:pPr>
        <w:pStyle w:val="13"/>
      </w:pPr>
      <w:r>
        <w:t>1、公式调整</w:t>
      </w:r>
    </w:p>
    <w:p w14:paraId="2EE96353" w14:textId="2561EEA5" w:rsidR="002B14BC" w:rsidRDefault="002B14BC" w:rsidP="002B14BC">
      <w:pPr>
        <w:pStyle w:val="13"/>
      </w:pPr>
      <w:r>
        <w:rPr>
          <w:rFonts w:hint="eastAsia"/>
        </w:rPr>
        <w:t>是指通过设定价格调整公式来建立政府付费价格与某些特定系数之间的联动关系，以反映成本变动等因素对项目价格的影响。当特定系数变动导致根据价格调整公式测算的结果达到约定的调价条件时，将触发调价程序，按约定的幅度自动调整定价。常见的调价系数包括：消费者物价指数、生产者物价指数、劳动力市场指数、利率变动、汇率变动等。调价系数的选择需要根据项目的性质和风险分配方案确定，并综合考虑该系数能否反映成本变化的真实情况并且具有可操作性等。</w:t>
      </w:r>
    </w:p>
    <w:p w14:paraId="4A942890" w14:textId="77777777" w:rsidR="002B14BC" w:rsidRDefault="002B14BC" w:rsidP="002B14BC">
      <w:pPr>
        <w:pStyle w:val="13"/>
      </w:pPr>
      <w:r>
        <w:t>2、基准比价</w:t>
      </w:r>
    </w:p>
    <w:p w14:paraId="30E50C1B" w14:textId="77777777" w:rsidR="002B14BC" w:rsidRDefault="002B14BC" w:rsidP="002B14BC">
      <w:pPr>
        <w:pStyle w:val="13"/>
      </w:pPr>
      <w:r>
        <w:rPr>
          <w:rFonts w:hint="eastAsia"/>
        </w:rPr>
        <w:t>是指定期将项目公司提供服务的定价与同类服务的市场价格进行对比，当发现差异时，则项目公司与政府可以协商对政府付费进行调价。</w:t>
      </w:r>
    </w:p>
    <w:p w14:paraId="5E0E41F2" w14:textId="77777777" w:rsidR="002B14BC" w:rsidRDefault="002B14BC" w:rsidP="002B14BC">
      <w:pPr>
        <w:pStyle w:val="13"/>
      </w:pPr>
      <w:r>
        <w:t>3、市场测试</w:t>
      </w:r>
    </w:p>
    <w:p w14:paraId="6404CE75" w14:textId="01C3EA62" w:rsidR="002B14BC" w:rsidRDefault="002B14BC" w:rsidP="002B14BC">
      <w:pPr>
        <w:pStyle w:val="13"/>
      </w:pPr>
      <w:r>
        <w:rPr>
          <w:rFonts w:hint="eastAsia"/>
        </w:rPr>
        <w:t>是指在</w:t>
      </w:r>
      <w:r>
        <w:t>PPP项目执行过程中约定的某一特定时间，对项目中某项特定服务在市场范围内重新进行采购，更好地实现项目的物有所值。通过竞争性采购程序，政府和项目公司可能会协商更换此部分服务的运营商或调整政府支付等。</w:t>
      </w:r>
    </w:p>
    <w:p w14:paraId="27714DC6" w14:textId="77777777" w:rsidR="002B14BC" w:rsidRDefault="002B14BC" w:rsidP="002B14BC">
      <w:pPr>
        <w:pStyle w:val="13"/>
      </w:pPr>
      <w:r>
        <w:rPr>
          <w:rFonts w:hint="eastAsia"/>
        </w:rPr>
        <w:t>（四）相关配套安排</w:t>
      </w:r>
    </w:p>
    <w:p w14:paraId="40C174A7" w14:textId="77777777" w:rsidR="002B14BC" w:rsidRDefault="002B14BC" w:rsidP="002B14BC">
      <w:pPr>
        <w:pStyle w:val="13"/>
      </w:pPr>
      <w:r>
        <w:rPr>
          <w:rFonts w:hint="eastAsia"/>
        </w:rPr>
        <w:t>方案还需要明确由项目公司以外相关机构提供相关配套设施和项目所需的上下游服务，通常包括：</w:t>
      </w:r>
    </w:p>
    <w:p w14:paraId="58A50EB2" w14:textId="77777777" w:rsidR="002B14BC" w:rsidRDefault="002B14BC" w:rsidP="002B14BC">
      <w:pPr>
        <w:pStyle w:val="13"/>
      </w:pPr>
      <w:r>
        <w:t>1、支持政策和制度环境</w:t>
      </w:r>
    </w:p>
    <w:p w14:paraId="4F31AF4F" w14:textId="75B3641B" w:rsidR="002B14BC" w:rsidRDefault="002B14BC" w:rsidP="002B14BC">
      <w:pPr>
        <w:pStyle w:val="13"/>
      </w:pPr>
      <w:r>
        <w:t>PPP项目在实施方案通常写明国家或当地政府的支持政策与制度环境。</w:t>
      </w:r>
    </w:p>
    <w:p w14:paraId="401F5213" w14:textId="77777777" w:rsidR="002B14BC" w:rsidRDefault="002B14BC" w:rsidP="002B14BC">
      <w:pPr>
        <w:pStyle w:val="13"/>
      </w:pPr>
      <w:r>
        <w:t>2、配套政策</w:t>
      </w:r>
    </w:p>
    <w:p w14:paraId="0C9C7DB8" w14:textId="21E79AD4" w:rsidR="002B14BC" w:rsidRDefault="002B14BC" w:rsidP="002B14BC">
      <w:pPr>
        <w:pStyle w:val="13"/>
      </w:pPr>
      <w:r>
        <w:rPr>
          <w:rFonts w:hint="eastAsia"/>
        </w:rPr>
        <w:lastRenderedPageBreak/>
        <w:t>政府需要积极协调有关部门完善</w:t>
      </w:r>
      <w:r>
        <w:t>PPP项目土地使用、税收优惠、价格调整、信贷扶持等机制，吸引优秀的社会资本进入保证其合理的收益，在实施方案中通常明确写明政府提供的配套政策。</w:t>
      </w:r>
    </w:p>
    <w:p w14:paraId="6A8FB503" w14:textId="77777777" w:rsidR="002B14BC" w:rsidRDefault="002B14BC" w:rsidP="002B14BC">
      <w:pPr>
        <w:pStyle w:val="13"/>
      </w:pPr>
      <w:r>
        <w:t>3、配套工程</w:t>
      </w:r>
    </w:p>
    <w:p w14:paraId="262024A2" w14:textId="19898871" w:rsidR="002B14BC" w:rsidRDefault="002B14BC" w:rsidP="002B14BC">
      <w:pPr>
        <w:pStyle w:val="13"/>
      </w:pPr>
      <w:r>
        <w:rPr>
          <w:rFonts w:hint="eastAsia"/>
        </w:rPr>
        <w:t>相关配套工程主要写明由</w:t>
      </w:r>
      <w:r>
        <w:t>PPP项目以外相关机构提供的土地、水、电、气和道路等以及项目所需的上下游服务等工程。</w:t>
      </w:r>
    </w:p>
    <w:p w14:paraId="3A2A2DF3" w14:textId="77777777" w:rsidR="002B14BC" w:rsidRDefault="002B14BC" w:rsidP="002B14BC">
      <w:pPr>
        <w:pStyle w:val="ab"/>
        <w:spacing w:before="62" w:after="62"/>
        <w:ind w:firstLine="482"/>
      </w:pPr>
      <w:r>
        <w:rPr>
          <w:rFonts w:hint="eastAsia"/>
        </w:rPr>
        <w:t>五、监管架构</w:t>
      </w:r>
    </w:p>
    <w:p w14:paraId="7F31879C" w14:textId="77777777" w:rsidR="002B14BC" w:rsidRDefault="002B14BC" w:rsidP="002B14BC">
      <w:pPr>
        <w:pStyle w:val="13"/>
      </w:pPr>
      <w:r>
        <w:rPr>
          <w:rFonts w:hint="eastAsia"/>
        </w:rPr>
        <w:t>监管架构一般包括授权关系、监管方式两部分。</w:t>
      </w:r>
    </w:p>
    <w:p w14:paraId="2A2C5EB0" w14:textId="77777777" w:rsidR="002B14BC" w:rsidRDefault="002B14BC" w:rsidP="002B14BC">
      <w:pPr>
        <w:pStyle w:val="13"/>
      </w:pPr>
      <w:r>
        <w:rPr>
          <w:rFonts w:hint="eastAsia"/>
        </w:rPr>
        <w:t>（一）授权关系</w:t>
      </w:r>
    </w:p>
    <w:p w14:paraId="7DB9A395" w14:textId="6CCFC69F" w:rsidR="002B14BC" w:rsidRDefault="002B14BC" w:rsidP="002B14BC">
      <w:pPr>
        <w:pStyle w:val="13"/>
      </w:pPr>
      <w:r>
        <w:rPr>
          <w:rFonts w:hint="eastAsia"/>
        </w:rPr>
        <w:t>授权关系是明确政府对</w:t>
      </w:r>
      <w:r>
        <w:t>PPP项目实施机构的授权，以及政府直接或通过项目实施机</w:t>
      </w:r>
      <w:r>
        <w:rPr>
          <w:rFonts w:hint="eastAsia"/>
        </w:rPr>
        <w:t>构对社会资本的授权。</w:t>
      </w:r>
    </w:p>
    <w:p w14:paraId="55C59525" w14:textId="77777777" w:rsidR="002B14BC" w:rsidRDefault="002B14BC" w:rsidP="002B14BC">
      <w:pPr>
        <w:pStyle w:val="13"/>
      </w:pPr>
      <w:r>
        <w:rPr>
          <w:rFonts w:hint="eastAsia"/>
        </w:rPr>
        <w:t>（二）监督方式</w:t>
      </w:r>
    </w:p>
    <w:p w14:paraId="17F79CC3" w14:textId="77777777" w:rsidR="002B14BC" w:rsidRDefault="002B14BC" w:rsidP="002B14BC">
      <w:pPr>
        <w:pStyle w:val="13"/>
      </w:pPr>
      <w:r>
        <w:rPr>
          <w:rFonts w:hint="eastAsia"/>
        </w:rPr>
        <w:t>监督方式一般包括履约管理、行政监管以及公众监督三种监督方式。</w:t>
      </w:r>
    </w:p>
    <w:p w14:paraId="1145A309" w14:textId="77777777" w:rsidR="002B14BC" w:rsidRDefault="002B14BC" w:rsidP="002B14BC">
      <w:pPr>
        <w:pStyle w:val="13"/>
      </w:pPr>
      <w:r>
        <w:rPr>
          <w:rFonts w:hint="eastAsia"/>
        </w:rPr>
        <w:t>履约管理需要明确政府主管部门对项目公司在服务期内的合同履行情况以及定期对项目公司经营情况进行评估和考核的监督管理。</w:t>
      </w:r>
    </w:p>
    <w:p w14:paraId="19B117D7" w14:textId="30B09D1B" w:rsidR="002B14BC" w:rsidRDefault="002B14BC" w:rsidP="002B14BC">
      <w:pPr>
        <w:pStyle w:val="13"/>
      </w:pPr>
      <w:r>
        <w:rPr>
          <w:rFonts w:hint="eastAsia"/>
        </w:rPr>
        <w:t>行政监管一般包括安全生产监管，包括政府主管部门的介入权，可以随时进场监督、检查项目设施的建设、维护状况等；成本监管，包括项目公司应向政府主管部门提交年度经营成本、管理成本、财务费用等的分析资料；报告制度，</w:t>
      </w:r>
      <w:r>
        <w:t>包括项目公司向政府主管部门和其他相关部门定期报告（3-5年中期评估报告）和临时报告。</w:t>
      </w:r>
    </w:p>
    <w:p w14:paraId="39EC4A2E" w14:textId="77777777" w:rsidR="002B14BC" w:rsidRDefault="002B14BC" w:rsidP="002B14BC">
      <w:pPr>
        <w:pStyle w:val="13"/>
      </w:pPr>
      <w:r>
        <w:rPr>
          <w:rFonts w:hint="eastAsia"/>
        </w:rPr>
        <w:t>公众监督写明项目公司按照法律等要求，建立公众监督机制，依法公开披露收费机制等相关信息，接受社会监督。</w:t>
      </w:r>
    </w:p>
    <w:p w14:paraId="38E68D98" w14:textId="48A658FC" w:rsidR="002B14BC" w:rsidRDefault="002B14BC" w:rsidP="002B14BC">
      <w:pPr>
        <w:pStyle w:val="13"/>
      </w:pPr>
      <w:r>
        <w:t>PPP方案监督架构通常还强调产出物，弱化事务性管理，鼓励社会资本创新；恰当评估项目实施的风险，针对与公共利益相关的重大风险，设置合理的过程监管。</w:t>
      </w:r>
    </w:p>
    <w:p w14:paraId="7FD2D39C" w14:textId="77777777" w:rsidR="002B14BC" w:rsidRDefault="002B14BC" w:rsidP="002B14BC">
      <w:pPr>
        <w:pStyle w:val="ab"/>
        <w:spacing w:before="62" w:after="62"/>
        <w:ind w:firstLine="482"/>
      </w:pPr>
      <w:r>
        <w:rPr>
          <w:rFonts w:hint="eastAsia"/>
        </w:rPr>
        <w:t>六、采购方式</w:t>
      </w:r>
    </w:p>
    <w:p w14:paraId="560D0E3E" w14:textId="0287DB52" w:rsidR="002B14BC" w:rsidRDefault="002B14BC" w:rsidP="002B14BC">
      <w:pPr>
        <w:pStyle w:val="13"/>
      </w:pPr>
      <w:r>
        <w:t>PPP项目采购环节主要包括采购方式的选择、投标人的资格条件、采购安排、报价标的、评标体系等。</w:t>
      </w:r>
    </w:p>
    <w:p w14:paraId="4DE8430E" w14:textId="77777777" w:rsidR="002B14BC" w:rsidRDefault="002B14BC" w:rsidP="002B14BC">
      <w:pPr>
        <w:pStyle w:val="13"/>
      </w:pPr>
      <w:r>
        <w:rPr>
          <w:rFonts w:hint="eastAsia"/>
        </w:rPr>
        <w:t>（一）采购方式的选择</w:t>
      </w:r>
    </w:p>
    <w:p w14:paraId="62614474" w14:textId="77777777" w:rsidR="002B14BC" w:rsidRDefault="002B14BC" w:rsidP="002B14BC">
      <w:pPr>
        <w:pStyle w:val="13"/>
      </w:pPr>
      <w:r>
        <w:rPr>
          <w:rFonts w:hint="eastAsia"/>
        </w:rPr>
        <w:t>项目采购方式包括公开招标、竞争性谈判、邀请招标、竞争性磋商和单一来源等。</w:t>
      </w:r>
    </w:p>
    <w:p w14:paraId="488C0436" w14:textId="77777777" w:rsidR="002B14BC" w:rsidRDefault="002B14BC" w:rsidP="002B14BC">
      <w:pPr>
        <w:pStyle w:val="13"/>
      </w:pPr>
      <w:r>
        <w:rPr>
          <w:rFonts w:hint="eastAsia"/>
        </w:rPr>
        <w:t>（二）投标人的资格条件</w:t>
      </w:r>
    </w:p>
    <w:p w14:paraId="3E8A5EF0" w14:textId="77777777" w:rsidR="002B14BC" w:rsidRDefault="002B14BC" w:rsidP="002B14BC">
      <w:pPr>
        <w:pStyle w:val="13"/>
      </w:pPr>
      <w:r>
        <w:rPr>
          <w:rFonts w:hint="eastAsia"/>
        </w:rPr>
        <w:t>投标人的资格条件主要是对社会资本的资质进行规定，投标人通常具有但不限于以下基本条件：</w:t>
      </w:r>
    </w:p>
    <w:p w14:paraId="5D68F66D" w14:textId="7B69072B" w:rsidR="002B14BC" w:rsidRDefault="002B14BC" w:rsidP="002B14BC">
      <w:pPr>
        <w:pStyle w:val="13"/>
      </w:pPr>
      <w:r>
        <w:t>1、信誉良好，资金充足，具有较强的财务与融资能力；2、具有建设营造、经营管理、运营维护同类工程的业绩、资质或经验；3、具备专业的PPP人才、技术人才、</w:t>
      </w:r>
      <w:r>
        <w:lastRenderedPageBreak/>
        <w:t>财经人才与管理人才团队；4、拥有专业的设备及完成服务所必须的其他重要要素资源；5、近三年内没有发生过重大生产安全和质量事故，主动防范的意识强、措施得力，合</w:t>
      </w:r>
      <w:proofErr w:type="gramStart"/>
      <w:r>
        <w:t>规</w:t>
      </w:r>
      <w:proofErr w:type="gramEnd"/>
      <w:r>
        <w:t>性较好，具有独立法人资格，能遵从合同合法合</w:t>
      </w:r>
      <w:proofErr w:type="gramStart"/>
      <w:r>
        <w:t>规</w:t>
      </w:r>
      <w:proofErr w:type="gramEnd"/>
      <w:r>
        <w:t>运营。</w:t>
      </w:r>
    </w:p>
    <w:p w14:paraId="1EC29A40" w14:textId="77777777" w:rsidR="002B14BC" w:rsidRDefault="002B14BC" w:rsidP="002B14BC">
      <w:pPr>
        <w:pStyle w:val="13"/>
      </w:pPr>
      <w:r>
        <w:rPr>
          <w:rFonts w:hint="eastAsia"/>
        </w:rPr>
        <w:t>（三）采购安排</w:t>
      </w:r>
    </w:p>
    <w:p w14:paraId="20137C5C" w14:textId="30F58958" w:rsidR="002B14BC" w:rsidRDefault="002B14BC" w:rsidP="002B14BC">
      <w:pPr>
        <w:pStyle w:val="13"/>
      </w:pPr>
      <w:r>
        <w:rPr>
          <w:rFonts w:hint="eastAsia"/>
        </w:rPr>
        <w:t>采购安排是指采购环节的具体操作环节，涉及资格预审、采购评审、确认谈判、签约。</w:t>
      </w:r>
    </w:p>
    <w:p w14:paraId="2696938A" w14:textId="77777777" w:rsidR="002B14BC" w:rsidRDefault="002B14BC" w:rsidP="002B14BC">
      <w:pPr>
        <w:pStyle w:val="13"/>
      </w:pPr>
      <w:r>
        <w:rPr>
          <w:rFonts w:hint="eastAsia"/>
        </w:rPr>
        <w:t>（四）报价标的</w:t>
      </w:r>
    </w:p>
    <w:p w14:paraId="79A6DEDC" w14:textId="56A2C36C" w:rsidR="002B14BC" w:rsidRDefault="002B14BC" w:rsidP="002B14BC">
      <w:pPr>
        <w:pStyle w:val="13"/>
      </w:pPr>
      <w:r>
        <w:t>PPP项目通常采用综合评标法，报价标的一般根据项目实际情况确定采用政府付费金额、总投资、招标费率、合理利润率、年度折现率等一种或多种。</w:t>
      </w:r>
    </w:p>
    <w:p w14:paraId="11C093F0" w14:textId="77777777" w:rsidR="002B14BC" w:rsidRDefault="002B14BC" w:rsidP="002B14BC">
      <w:pPr>
        <w:pStyle w:val="13"/>
      </w:pPr>
      <w:r>
        <w:rPr>
          <w:rFonts w:hint="eastAsia"/>
        </w:rPr>
        <w:t>（五）评标方式</w:t>
      </w:r>
    </w:p>
    <w:p w14:paraId="23F814F6" w14:textId="3D2FD788" w:rsidR="002B14BC" w:rsidRDefault="002B14BC" w:rsidP="002B14BC">
      <w:pPr>
        <w:pStyle w:val="13"/>
      </w:pPr>
      <w:r>
        <w:t>PPP项目通常采用综合评标法。在评标过程中，评价指标的内容通常包括：融资方案、建设方案、项目运营和移交方案以及商务报价等具体指标。融资方案可以通过投标人的自身资金能力、筹资渠道、投融资经验、融资后资金融通的持续性与可靠性设置指标；建设方案可以通过投标人的组织管理机构能力和建设施工能力设置指标；运营方案可以通过投标人运营维护项目的能力和盈利能力设置指标；移交方案可以通过投标人的移交方案、项目的完整性与完全性、移交后的期限内缺陷维修责任等设置指标；商务报价应当根据物有所值评价、财政承受能力论证的相关参数、指标</w:t>
      </w:r>
      <w:r>
        <w:rPr>
          <w:rFonts w:hint="eastAsia"/>
        </w:rPr>
        <w:t>、资金成本、实体工程费用、融资成本和运营成本等成本的综合总报价或者收费期限、产出指标等设置指标。</w:t>
      </w:r>
    </w:p>
    <w:p w14:paraId="7F48F2BC" w14:textId="77777777" w:rsidR="002B14BC" w:rsidRDefault="002B14BC" w:rsidP="002B14BC">
      <w:pPr>
        <w:pStyle w:val="ab"/>
        <w:spacing w:before="62" w:after="62"/>
        <w:ind w:firstLine="482"/>
      </w:pPr>
      <w:r>
        <w:rPr>
          <w:rFonts w:hint="eastAsia"/>
        </w:rPr>
        <w:t>七、合同体系</w:t>
      </w:r>
    </w:p>
    <w:p w14:paraId="2C95208B" w14:textId="77777777" w:rsidR="002B14BC" w:rsidRDefault="002B14BC" w:rsidP="002B14BC">
      <w:pPr>
        <w:pStyle w:val="13"/>
      </w:pPr>
      <w:r>
        <w:rPr>
          <w:rFonts w:hint="eastAsia"/>
        </w:rPr>
        <w:t>合同体系主要包括项目合同体系层次、权利义务边界、交易条件边界、履约保障边界、调整衔接边界等其他相关内容。</w:t>
      </w:r>
    </w:p>
    <w:p w14:paraId="700E2CEA" w14:textId="77777777" w:rsidR="002B14BC" w:rsidRDefault="002B14BC" w:rsidP="002B14BC">
      <w:pPr>
        <w:pStyle w:val="13"/>
      </w:pPr>
      <w:r>
        <w:rPr>
          <w:rFonts w:hint="eastAsia"/>
        </w:rPr>
        <w:t>（一）合同体系层次</w:t>
      </w:r>
    </w:p>
    <w:p w14:paraId="62631129" w14:textId="78F526D1" w:rsidR="002B14BC" w:rsidRDefault="002B14BC" w:rsidP="002B14BC">
      <w:pPr>
        <w:pStyle w:val="13"/>
      </w:pPr>
      <w:r>
        <w:rPr>
          <w:rFonts w:hint="eastAsia"/>
        </w:rPr>
        <w:t>主要分为两个层次，第一层次是由项目实施机构、中选社会资本之间围绕项目收益签署一揽子主要合同，包括</w:t>
      </w:r>
      <w:r>
        <w:t>PPP项目合同、股东协议等核心合同体系；第二层次是由项目公司和项目推进过程中的各有关主体签署的协议体系。包括由项目公司与融资方签署的《融资协议》、与施工单位签署的《施工总承包合同》、与设备供应商签署的《设备采购合同》、与保险机构之间签署的《保险合同》、与员工签署的《劳务合同》；项目实施机构与监理单位签署的《工程监理合同》、与设计单位签署的《设计合同》、第三</w:t>
      </w:r>
      <w:proofErr w:type="gramStart"/>
      <w:r>
        <w:t>方咨询</w:t>
      </w:r>
      <w:proofErr w:type="gramEnd"/>
      <w:r>
        <w:t>机构签订的《咨询服务合同》等。</w:t>
      </w:r>
    </w:p>
    <w:p w14:paraId="0D9638ED" w14:textId="2AAB5B42" w:rsidR="002B14BC" w:rsidRDefault="002B14BC" w:rsidP="002B14BC">
      <w:pPr>
        <w:pStyle w:val="13"/>
      </w:pPr>
      <w:r>
        <w:t>PPP项目的参与方及合同的相关当事方通常包括政府或项目实施机构、社会资本、项目公司、融资方、承包商和分包商、原料供应商、专业运营商、保险公司以及第三</w:t>
      </w:r>
      <w:proofErr w:type="gramStart"/>
      <w:r>
        <w:t>方专业</w:t>
      </w:r>
      <w:proofErr w:type="gramEnd"/>
      <w:r>
        <w:t>机构等。</w:t>
      </w:r>
    </w:p>
    <w:p w14:paraId="279AB821" w14:textId="0AD8BCEF" w:rsidR="002B14BC" w:rsidRDefault="002B14BC" w:rsidP="002B14BC">
      <w:pPr>
        <w:pStyle w:val="13"/>
      </w:pPr>
      <w:r>
        <w:rPr>
          <w:rFonts w:hint="eastAsia"/>
        </w:rPr>
        <w:t>（二）</w:t>
      </w:r>
      <w:r>
        <w:t>PPP项目合同主要内容</w:t>
      </w:r>
    </w:p>
    <w:p w14:paraId="75968195" w14:textId="4B7800DC" w:rsidR="002B14BC" w:rsidRDefault="002B14BC" w:rsidP="002B14BC">
      <w:pPr>
        <w:pStyle w:val="13"/>
      </w:pPr>
      <w:r>
        <w:rPr>
          <w:rFonts w:hint="eastAsia"/>
        </w:rPr>
        <w:lastRenderedPageBreak/>
        <w:t>引言、定义和解释，项目的范围和期限，前提条件，项目的融资，项目用地，项目的建设，项目的运营，项目的维护，股权变更限制，付费机制，履约担保，政府承诺</w:t>
      </w:r>
      <w:r w:rsidR="003068F8">
        <w:rPr>
          <w:rFonts w:hint="eastAsia"/>
        </w:rPr>
        <w:t>，</w:t>
      </w:r>
      <w:r>
        <w:t>保险，守法义务及法律变更，不可抗力，政府或项目实施机构的监督和介入，违约、提前终止及终止后处理机制，项目的移交，适用法律及争议解决，合同附件等内容。PPP项目合同通常还会包括其他一般合同中的常见条款，包括知识产权（专利、专有技术、商标、著作权）、环境保护、声明与保证、通知、合同可分割、合同修订等。</w:t>
      </w:r>
    </w:p>
    <w:p w14:paraId="29F628CB" w14:textId="77777777" w:rsidR="002B14BC" w:rsidRDefault="002B14BC" w:rsidP="002B14BC">
      <w:pPr>
        <w:pStyle w:val="13"/>
      </w:pPr>
      <w:r>
        <w:rPr>
          <w:rFonts w:hint="eastAsia"/>
        </w:rPr>
        <w:t>（三）权利义务边界</w:t>
      </w:r>
    </w:p>
    <w:p w14:paraId="6387AA5E" w14:textId="77777777" w:rsidR="002B14BC" w:rsidRDefault="002B14BC" w:rsidP="002B14BC">
      <w:pPr>
        <w:pStyle w:val="13"/>
      </w:pPr>
      <w:r>
        <w:rPr>
          <w:rFonts w:hint="eastAsia"/>
        </w:rPr>
        <w:t>主要明确项目实施机构、政府以及社会资本的相关权利与义务，涉及项目资产权属、社会资本承担的公共责任、政府支付方式和风险分配结果等。</w:t>
      </w:r>
    </w:p>
    <w:p w14:paraId="669FC1F2" w14:textId="77777777" w:rsidR="002B14BC" w:rsidRDefault="002B14BC" w:rsidP="002B14BC">
      <w:pPr>
        <w:pStyle w:val="13"/>
      </w:pPr>
      <w:r>
        <w:rPr>
          <w:rFonts w:hint="eastAsia"/>
        </w:rPr>
        <w:t>（四）交易条件边界</w:t>
      </w:r>
    </w:p>
    <w:p w14:paraId="19E04D0A" w14:textId="77777777" w:rsidR="002B14BC" w:rsidRDefault="002B14BC" w:rsidP="002B14BC">
      <w:pPr>
        <w:pStyle w:val="13"/>
      </w:pPr>
      <w:r>
        <w:rPr>
          <w:rFonts w:hint="eastAsia"/>
        </w:rPr>
        <w:t>主要明确项目合同期限、项目回报机制、收费定价调整机制、建设用地、工程建设规范及标准、运营维护规范及标准和运营维护等内容。</w:t>
      </w:r>
    </w:p>
    <w:p w14:paraId="4CF8303B" w14:textId="77777777" w:rsidR="002B14BC" w:rsidRDefault="002B14BC" w:rsidP="002B14BC">
      <w:pPr>
        <w:pStyle w:val="13"/>
      </w:pPr>
      <w:r>
        <w:rPr>
          <w:rFonts w:hint="eastAsia"/>
        </w:rPr>
        <w:t>（五）履约保障边界</w:t>
      </w:r>
    </w:p>
    <w:p w14:paraId="685F18BB" w14:textId="77777777" w:rsidR="002B14BC" w:rsidRDefault="002B14BC" w:rsidP="002B14BC">
      <w:pPr>
        <w:pStyle w:val="13"/>
      </w:pPr>
      <w:r>
        <w:rPr>
          <w:rFonts w:hint="eastAsia"/>
        </w:rPr>
        <w:t>主要明确强制保险方案以及由投资竞争保函、建设履约保函、运营维护保函和移交维修保函组成的履约保函体系。</w:t>
      </w:r>
    </w:p>
    <w:p w14:paraId="23449AD9" w14:textId="7BE2F926" w:rsidR="002B14BC" w:rsidRDefault="002B14BC" w:rsidP="002B14BC">
      <w:pPr>
        <w:pStyle w:val="13"/>
      </w:pPr>
      <w:r>
        <w:t>PPP模式在要求项目公司提供履约担保时通常根据付费机制和其他激励和约束机制来保障项目公司履约，根据物有所值原则尽量减少不必要的担保形式。在具体项目中是否需要项目公司提供履约担保、需要提供何种形式的担保以及担保额度，一般遵守所选用的担保方式可以足够担保项目公司按合同约定履约，且在出现违约的情形下政府有足够的救济手段即可。</w:t>
      </w:r>
    </w:p>
    <w:p w14:paraId="19F5334D" w14:textId="77777777" w:rsidR="002B14BC" w:rsidRDefault="002B14BC" w:rsidP="002B14BC">
      <w:pPr>
        <w:pStyle w:val="13"/>
      </w:pPr>
      <w:r>
        <w:rPr>
          <w:rFonts w:hint="eastAsia"/>
        </w:rPr>
        <w:t>（六）风险再分配</w:t>
      </w:r>
    </w:p>
    <w:p w14:paraId="6EBDDAD9" w14:textId="77777777" w:rsidR="002B14BC" w:rsidRDefault="002B14BC" w:rsidP="002B14BC">
      <w:pPr>
        <w:pStyle w:val="13"/>
      </w:pPr>
      <w:r>
        <w:rPr>
          <w:rFonts w:hint="eastAsia"/>
        </w:rPr>
        <w:t>通常根据项目特征在政府与社会资本之间合理设定协商机制、协同机制以及最大风险范围。对于在项目执行过程中出现的未识别风险，根据风险分担原则对风险进行再分配，再分配时一般还需要考虑对物有所值评价的影响。</w:t>
      </w:r>
    </w:p>
    <w:p w14:paraId="0481BAC9" w14:textId="77777777" w:rsidR="002B14BC" w:rsidRDefault="002B14BC" w:rsidP="002B14BC">
      <w:pPr>
        <w:pStyle w:val="13"/>
      </w:pPr>
      <w:r>
        <w:rPr>
          <w:rFonts w:hint="eastAsia"/>
        </w:rPr>
        <w:t>（七）调整衔接边界</w:t>
      </w:r>
    </w:p>
    <w:p w14:paraId="7FE75F8C" w14:textId="77777777" w:rsidR="002B14BC" w:rsidRDefault="002B14BC" w:rsidP="002B14BC">
      <w:pPr>
        <w:pStyle w:val="13"/>
      </w:pPr>
      <w:r>
        <w:rPr>
          <w:rFonts w:hint="eastAsia"/>
        </w:rPr>
        <w:t>实施方案通常还需要明确发生哪些情况时进行临时接管和提前终止、合同变更、合同展期、项目新增改扩建等。</w:t>
      </w:r>
    </w:p>
    <w:p w14:paraId="2794ED08" w14:textId="77777777" w:rsidR="002B14BC" w:rsidRDefault="002B14BC" w:rsidP="002B14BC">
      <w:pPr>
        <w:pStyle w:val="13"/>
      </w:pPr>
      <w:r>
        <w:rPr>
          <w:rFonts w:hint="eastAsia"/>
        </w:rPr>
        <w:t>（八）其他限制条款</w:t>
      </w:r>
    </w:p>
    <w:p w14:paraId="70D9A653" w14:textId="6B0B0EFF" w:rsidR="002B14BC" w:rsidRDefault="002B14BC" w:rsidP="002B14BC">
      <w:pPr>
        <w:pStyle w:val="13"/>
      </w:pPr>
      <w:r>
        <w:t>PPP项目合同体系还可能涉及项目公司法</w:t>
      </w:r>
      <w:proofErr w:type="gramStart"/>
      <w:r>
        <w:t>人制</w:t>
      </w:r>
      <w:proofErr w:type="gramEnd"/>
      <w:r>
        <w:t>、施工总承包、股权转让限制等条款。</w:t>
      </w:r>
    </w:p>
    <w:p w14:paraId="59B47E74" w14:textId="53294219" w:rsidR="002B14BC" w:rsidRDefault="002B14BC" w:rsidP="002B14BC">
      <w:pPr>
        <w:pStyle w:val="13"/>
      </w:pPr>
      <w:r>
        <w:t>股权转让限制安排时，恰当考虑从社会资本角度考虑融资的可获得性及社会资本的</w:t>
      </w:r>
      <w:r>
        <w:rPr>
          <w:rFonts w:hint="eastAsia"/>
        </w:rPr>
        <w:t>流动性。保证合理公共利益风险控制前提下，过于严格的惩罚性合同条款、经营收益占投资比例过低、资产的可抵押性等均可能影响项目融资的可获得性；恰当的股</w:t>
      </w:r>
      <w:r>
        <w:rPr>
          <w:rFonts w:hint="eastAsia"/>
        </w:rPr>
        <w:lastRenderedPageBreak/>
        <w:t>权退出机制，规范化、多元化的退出安排均会提高社会资本的流动性，提高项目对社会资本的吸引能力。</w:t>
      </w:r>
    </w:p>
    <w:p w14:paraId="7C6407E5" w14:textId="77777777" w:rsidR="002B14BC" w:rsidRDefault="002B14BC" w:rsidP="002B14BC">
      <w:pPr>
        <w:pStyle w:val="ab"/>
        <w:spacing w:before="62" w:after="62"/>
        <w:ind w:firstLine="482"/>
      </w:pPr>
      <w:r>
        <w:rPr>
          <w:rFonts w:hint="eastAsia"/>
        </w:rPr>
        <w:t>八、财务测算</w:t>
      </w:r>
    </w:p>
    <w:p w14:paraId="248FE1A4" w14:textId="77777777" w:rsidR="002B14BC" w:rsidRDefault="002B14BC" w:rsidP="002B14BC">
      <w:pPr>
        <w:pStyle w:val="13"/>
      </w:pPr>
      <w:r>
        <w:rPr>
          <w:rFonts w:hint="eastAsia"/>
        </w:rPr>
        <w:t>（一）财务测算基本要求</w:t>
      </w:r>
    </w:p>
    <w:p w14:paraId="3ED01763" w14:textId="77777777" w:rsidR="002B14BC" w:rsidRDefault="002B14BC" w:rsidP="002B14BC">
      <w:pPr>
        <w:pStyle w:val="13"/>
      </w:pPr>
      <w:r>
        <w:rPr>
          <w:rFonts w:hint="eastAsia"/>
        </w:rPr>
        <w:t>项目财务测算通常包括项目全生命周期内各年的经济情况及其全部财务收支有关的数据和资料。应着重测算、分析和评估项目总投资、运营成本、收入及税金、利润、现金流量、政府补贴、社会资本的预期收益等数据。</w:t>
      </w:r>
    </w:p>
    <w:p w14:paraId="501DFD64" w14:textId="77777777" w:rsidR="002B14BC" w:rsidRDefault="002B14BC" w:rsidP="002B14BC">
      <w:pPr>
        <w:pStyle w:val="13"/>
      </w:pPr>
      <w:r>
        <w:rPr>
          <w:rFonts w:hint="eastAsia"/>
        </w:rPr>
        <w:t>在财务测算过程中，需要把握数据来源真实性和准确性，对重要的经济数据和参数从不同的方面进行审查核实，避免盲目性和片面性。同时，还应分析某些不确定因素对项目财务数据和参数的影响，根据项目全生命周期内的经济发展趋势，充分考虑对项目经济效益影响大的经济数据和参数的变动趋势，以保证预测的准确性。</w:t>
      </w:r>
    </w:p>
    <w:p w14:paraId="298EC9A9" w14:textId="77777777" w:rsidR="002B14BC" w:rsidRDefault="002B14BC" w:rsidP="002B14BC">
      <w:pPr>
        <w:pStyle w:val="13"/>
      </w:pPr>
      <w:r>
        <w:rPr>
          <w:rFonts w:hint="eastAsia"/>
        </w:rPr>
        <w:t>（二）项目财务测算收集的主要资料</w:t>
      </w:r>
    </w:p>
    <w:p w14:paraId="65DB142F" w14:textId="39299B65" w:rsidR="002B14BC" w:rsidRDefault="002B14BC" w:rsidP="002B14BC">
      <w:pPr>
        <w:pStyle w:val="13"/>
      </w:pPr>
      <w:r>
        <w:t>1、PPP项目可</w:t>
      </w:r>
      <w:proofErr w:type="gramStart"/>
      <w:r>
        <w:t>研</w:t>
      </w:r>
      <w:proofErr w:type="gramEnd"/>
      <w:r>
        <w:t>报告及有关资料，重点是关于项目投资估算及资金筹措、项目规模及运营成本以及经济效益评估方面的资料和数据。</w:t>
      </w:r>
    </w:p>
    <w:p w14:paraId="20A24D55" w14:textId="1F1E8DC2" w:rsidR="002B14BC" w:rsidRDefault="002B14BC" w:rsidP="002B14BC">
      <w:pPr>
        <w:pStyle w:val="13"/>
      </w:pPr>
      <w:r>
        <w:t>2、国家财政、当地政府、金融部门有关项目的财会、金融、税务制度的有关规定</w:t>
      </w:r>
      <w:r w:rsidR="003068F8">
        <w:t>，</w:t>
      </w:r>
      <w:r>
        <w:t>特别是与PPP项目财务计算和评价有关的制度及规定，税收优惠政策、银行部门有关项目融资方面的规定以及贷款规定和贷款利率等。还应关注贷款及条件、税收政策等方面的新变动</w:t>
      </w:r>
    </w:p>
    <w:p w14:paraId="0D7D6BD5" w14:textId="77777777" w:rsidR="002B14BC" w:rsidRDefault="002B14BC" w:rsidP="002B14BC">
      <w:pPr>
        <w:pStyle w:val="13"/>
      </w:pPr>
      <w:r>
        <w:rPr>
          <w:rFonts w:hint="eastAsia"/>
        </w:rPr>
        <w:t>和动向。</w:t>
      </w:r>
    </w:p>
    <w:p w14:paraId="1F9E7577" w14:textId="4C79CA0D" w:rsidR="002B14BC" w:rsidRDefault="002B14BC" w:rsidP="002B14BC">
      <w:pPr>
        <w:pStyle w:val="13"/>
      </w:pPr>
      <w:r>
        <w:t>3、收集同类PPP项目的有关资料，如投资概算、流动资金占用、运营成本、收费价格及利润等数据资料，以便参考对照。同时，还要收集、了解和掌握项目行业主管部门的概算指标及概算编制方法、定额和取费标准等资料。</w:t>
      </w:r>
    </w:p>
    <w:p w14:paraId="1D0D1AB8" w14:textId="77777777" w:rsidR="002B14BC" w:rsidRDefault="002B14BC" w:rsidP="002B14BC">
      <w:pPr>
        <w:pStyle w:val="13"/>
      </w:pPr>
      <w:r>
        <w:rPr>
          <w:rFonts w:hint="eastAsia"/>
        </w:rPr>
        <w:t>（三）财务测算基本思路</w:t>
      </w:r>
    </w:p>
    <w:p w14:paraId="00A0073C" w14:textId="50AB3808" w:rsidR="002B14BC" w:rsidRDefault="002B14BC" w:rsidP="002B14BC">
      <w:pPr>
        <w:pStyle w:val="13"/>
      </w:pPr>
      <w:r>
        <w:rPr>
          <w:rFonts w:hint="eastAsia"/>
        </w:rPr>
        <w:t>对</w:t>
      </w:r>
      <w:r>
        <w:t>PPP项目的财务测算需要根据项目投资运营安排等明确项目测算的口径，通常选用自由现金</w:t>
      </w:r>
      <w:proofErr w:type="gramStart"/>
      <w:r>
        <w:t>流作为</w:t>
      </w:r>
      <w:proofErr w:type="gramEnd"/>
      <w:r>
        <w:t>收益指标。自由现金流可区分为项目公司自由现金流和股权自由现金流。PPP项目内部收益率分为全投资口径内部收益率和权益资本内部收益率。全投资口径内部收益率和权益资本内部收益率在指标内涵、计算方法、影响因素以及指标作用等方面存在显著差异，需要合理确定PPP项目的内部收益率。实务中，鉴于负债偿还和结构安排对项目公司股东收益影响较大，一般采用股权现金流。</w:t>
      </w:r>
    </w:p>
    <w:p w14:paraId="1642317C" w14:textId="77777777" w:rsidR="002B14BC" w:rsidRDefault="002B14BC" w:rsidP="002B14BC">
      <w:pPr>
        <w:pStyle w:val="13"/>
      </w:pPr>
      <w:r>
        <w:t>1、主要财务参数说明及测算</w:t>
      </w:r>
    </w:p>
    <w:p w14:paraId="04712DBB" w14:textId="0C3B3DD2" w:rsidR="002B14BC" w:rsidRDefault="002B14BC" w:rsidP="002B14BC">
      <w:pPr>
        <w:pStyle w:val="13"/>
      </w:pPr>
      <w:r>
        <w:rPr>
          <w:rFonts w:hint="eastAsia"/>
        </w:rPr>
        <w:t>（</w:t>
      </w:r>
      <w:r>
        <w:t>1）总投资、收入和运营费用</w:t>
      </w:r>
    </w:p>
    <w:p w14:paraId="04F40916" w14:textId="77777777" w:rsidR="002B14BC" w:rsidRDefault="002B14BC" w:rsidP="002B14BC">
      <w:pPr>
        <w:pStyle w:val="13"/>
      </w:pPr>
      <w:r>
        <w:rPr>
          <w:rFonts w:hint="eastAsia"/>
        </w:rPr>
        <w:t>项目投资总额一般根据项目可</w:t>
      </w:r>
      <w:proofErr w:type="gramStart"/>
      <w:r>
        <w:rPr>
          <w:rFonts w:hint="eastAsia"/>
        </w:rPr>
        <w:t>研</w:t>
      </w:r>
      <w:proofErr w:type="gramEnd"/>
      <w:r>
        <w:rPr>
          <w:rFonts w:hint="eastAsia"/>
        </w:rPr>
        <w:t>报告、初步设计的概算、施工图设计的预算等数据调整后获得。</w:t>
      </w:r>
    </w:p>
    <w:p w14:paraId="210D37EB" w14:textId="77777777" w:rsidR="002B14BC" w:rsidRDefault="002B14BC" w:rsidP="002B14BC">
      <w:pPr>
        <w:pStyle w:val="13"/>
      </w:pPr>
      <w:r>
        <w:rPr>
          <w:rFonts w:hint="eastAsia"/>
        </w:rPr>
        <w:t>项目收入来源一般有政府付费、可行性缺口补贴、使用者付费三种来源，还可能</w:t>
      </w:r>
      <w:r>
        <w:rPr>
          <w:rFonts w:hint="eastAsia"/>
        </w:rPr>
        <w:lastRenderedPageBreak/>
        <w:t>有其他业务收入，通常结合项目可行性研究等资料进行估算。使用者付费收入预测时，通常结合公共产品或公共服务的市场需求情况、当地物价水平、影响消费的主要因素以及未来发展变化趋势。</w:t>
      </w:r>
    </w:p>
    <w:p w14:paraId="5B419E68" w14:textId="57BF69BE" w:rsidR="002B14BC" w:rsidRDefault="002B14BC" w:rsidP="002B14BC">
      <w:pPr>
        <w:pStyle w:val="13"/>
      </w:pPr>
      <w:r>
        <w:rPr>
          <w:rFonts w:hint="eastAsia"/>
        </w:rPr>
        <w:t>成本费用通常根据项目实际情况进行合理测算，一般包括运营成本、修理费用、固定资产折旧、无形资产摊销、管理费用、财务费用等。</w:t>
      </w:r>
    </w:p>
    <w:p w14:paraId="7F66D7FA" w14:textId="654890A9" w:rsidR="002B14BC" w:rsidRDefault="002B14BC" w:rsidP="002B14BC">
      <w:pPr>
        <w:pStyle w:val="13"/>
      </w:pPr>
      <w:r>
        <w:rPr>
          <w:rFonts w:hint="eastAsia"/>
        </w:rPr>
        <w:t>（</w:t>
      </w:r>
      <w:r>
        <w:t>2）税金</w:t>
      </w:r>
    </w:p>
    <w:p w14:paraId="27789266" w14:textId="77777777" w:rsidR="002B14BC" w:rsidRDefault="002B14BC" w:rsidP="002B14BC">
      <w:pPr>
        <w:pStyle w:val="13"/>
      </w:pPr>
      <w:r>
        <w:rPr>
          <w:rFonts w:hint="eastAsia"/>
        </w:rPr>
        <w:t>税金根据当地实际税收政策进行计算，通常政府补助金额按</w:t>
      </w:r>
      <w:proofErr w:type="gramStart"/>
      <w:r>
        <w:rPr>
          <w:rFonts w:hint="eastAsia"/>
        </w:rPr>
        <w:t>不</w:t>
      </w:r>
      <w:proofErr w:type="gramEnd"/>
      <w:r>
        <w:rPr>
          <w:rFonts w:hint="eastAsia"/>
        </w:rPr>
        <w:t>交纳企业所得税进行测算，不考虑可能的税收优惠及年间的亏损弥补。</w:t>
      </w:r>
    </w:p>
    <w:p w14:paraId="57952134" w14:textId="2BE2A027" w:rsidR="002B14BC" w:rsidRDefault="002B14BC" w:rsidP="002B14BC">
      <w:pPr>
        <w:pStyle w:val="13"/>
      </w:pPr>
      <w:r>
        <w:rPr>
          <w:rFonts w:hint="eastAsia"/>
        </w:rPr>
        <w:t>（</w:t>
      </w:r>
      <w:r>
        <w:t>3）财务费用</w:t>
      </w:r>
    </w:p>
    <w:p w14:paraId="0F27B30B" w14:textId="5F5DC988" w:rsidR="002B14BC" w:rsidRDefault="002B14BC" w:rsidP="002B14BC">
      <w:pPr>
        <w:pStyle w:val="13"/>
      </w:pPr>
      <w:r>
        <w:rPr>
          <w:rFonts w:hint="eastAsia"/>
        </w:rPr>
        <w:t>财务费用和还本金额按项目资金投入以及预期借款条件进行测算，商业贷款利率通常按照中国人民银行</w:t>
      </w:r>
      <w:r>
        <w:t xml:space="preserve"> 5 年期以上贷款基准利率确定，债券基金利率按照市场利率确定</w:t>
      </w:r>
      <w:r w:rsidR="003068F8">
        <w:t>，</w:t>
      </w:r>
      <w:r>
        <w:t>并考虑市场利率和政府实际融资成本等因素合理确定。</w:t>
      </w:r>
    </w:p>
    <w:p w14:paraId="010C56BC" w14:textId="3026BC34" w:rsidR="002B14BC" w:rsidRDefault="002B14BC" w:rsidP="002B14BC">
      <w:pPr>
        <w:pStyle w:val="13"/>
      </w:pPr>
      <w:r>
        <w:rPr>
          <w:rFonts w:hint="eastAsia"/>
        </w:rPr>
        <w:t>（</w:t>
      </w:r>
      <w:r>
        <w:t>4）折现率</w:t>
      </w:r>
    </w:p>
    <w:p w14:paraId="51682471" w14:textId="77777777" w:rsidR="002B14BC" w:rsidRDefault="002B14BC" w:rsidP="002B14BC">
      <w:pPr>
        <w:pStyle w:val="13"/>
      </w:pPr>
      <w:r>
        <w:rPr>
          <w:rFonts w:hint="eastAsia"/>
        </w:rPr>
        <w:t>折现率通常应考虑财政补贴支出发生年份，并参照同期地方政府债券收益率合理确定。必要时，年度折现率还可结合政府当期合理融资成本的影响、折现率与利润率的相互影响及内在关联等因素</w:t>
      </w:r>
      <w:proofErr w:type="gramStart"/>
      <w:r>
        <w:rPr>
          <w:rFonts w:hint="eastAsia"/>
        </w:rPr>
        <w:t>作出</w:t>
      </w:r>
      <w:proofErr w:type="gramEnd"/>
      <w:r>
        <w:rPr>
          <w:rFonts w:hint="eastAsia"/>
        </w:rPr>
        <w:t>调整。</w:t>
      </w:r>
    </w:p>
    <w:p w14:paraId="234ADB18" w14:textId="590EEE08" w:rsidR="002B14BC" w:rsidRDefault="002B14BC" w:rsidP="002B14BC">
      <w:pPr>
        <w:pStyle w:val="13"/>
      </w:pPr>
      <w:r>
        <w:rPr>
          <w:rFonts w:hint="eastAsia"/>
        </w:rPr>
        <w:t>（</w:t>
      </w:r>
      <w:r>
        <w:t>5）项目计算期</w:t>
      </w:r>
    </w:p>
    <w:p w14:paraId="575A1F01" w14:textId="77777777" w:rsidR="002B14BC" w:rsidRDefault="002B14BC" w:rsidP="002B14BC">
      <w:pPr>
        <w:pStyle w:val="13"/>
      </w:pPr>
      <w:r>
        <w:rPr>
          <w:rFonts w:hint="eastAsia"/>
        </w:rPr>
        <w:t>项目计算期一般包括项目的建设期和运营期，项目计算期的长短主要取决于项目本身的特性，对社会资本而言一般就是协议约定的建设期和运营期。</w:t>
      </w:r>
    </w:p>
    <w:p w14:paraId="247FD08C" w14:textId="0AE7BAA3" w:rsidR="004315CB" w:rsidRDefault="002B14BC" w:rsidP="002B14BC">
      <w:pPr>
        <w:pStyle w:val="13"/>
      </w:pPr>
      <w:r>
        <w:rPr>
          <w:rFonts w:hint="eastAsia"/>
        </w:rPr>
        <w:t>表</w:t>
      </w:r>
      <w:r>
        <w:t>5列出了PPP项目全生命周期的现金流入、流出涉及的主要科目及参数情况。</w:t>
      </w:r>
    </w:p>
    <w:p w14:paraId="30471F0A" w14:textId="0084AAB8" w:rsidR="004315CB" w:rsidRPr="002B14BC" w:rsidRDefault="002B14BC" w:rsidP="002B14BC">
      <w:pPr>
        <w:pStyle w:val="13"/>
        <w:ind w:firstLineChars="0" w:firstLine="0"/>
        <w:jc w:val="center"/>
      </w:pPr>
      <w:r w:rsidRPr="002B14BC">
        <w:rPr>
          <w:rFonts w:hint="eastAsia"/>
        </w:rPr>
        <w:t>表</w:t>
      </w:r>
      <w:r w:rsidRPr="002B14BC">
        <w:t>5：PPP项目财务测算表</w:t>
      </w:r>
    </w:p>
    <w:tbl>
      <w:tblPr>
        <w:tblStyle w:val="af"/>
        <w:tblW w:w="5000" w:type="pct"/>
        <w:tblLook w:val="04A0" w:firstRow="1" w:lastRow="0" w:firstColumn="1" w:lastColumn="0" w:noHBand="0" w:noVBand="1"/>
      </w:tblPr>
      <w:tblGrid>
        <w:gridCol w:w="926"/>
        <w:gridCol w:w="3715"/>
        <w:gridCol w:w="1374"/>
        <w:gridCol w:w="1385"/>
        <w:gridCol w:w="1320"/>
      </w:tblGrid>
      <w:tr w:rsidR="002B14BC" w:rsidRPr="002B14BC" w14:paraId="4F56B571" w14:textId="77777777" w:rsidTr="0090701D">
        <w:trPr>
          <w:trHeight w:val="324"/>
          <w:tblHeader/>
        </w:trPr>
        <w:tc>
          <w:tcPr>
            <w:tcW w:w="531" w:type="pct"/>
            <w:vAlign w:val="center"/>
          </w:tcPr>
          <w:p w14:paraId="703963A4"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序号</w:t>
            </w:r>
          </w:p>
        </w:tc>
        <w:tc>
          <w:tcPr>
            <w:tcW w:w="2130" w:type="pct"/>
            <w:vAlign w:val="center"/>
          </w:tcPr>
          <w:p w14:paraId="64B08AA1" w14:textId="77777777" w:rsidR="002B14BC" w:rsidRPr="002B14BC" w:rsidRDefault="002B14BC" w:rsidP="0090701D">
            <w:pPr>
              <w:pStyle w:val="13"/>
              <w:ind w:firstLineChars="0" w:firstLine="0"/>
              <w:jc w:val="center"/>
              <w:rPr>
                <w:sz w:val="21"/>
                <w:szCs w:val="21"/>
                <w:lang w:bidi="zh-CN"/>
              </w:rPr>
            </w:pPr>
            <w:r w:rsidRPr="002B14BC">
              <w:rPr>
                <w:sz w:val="21"/>
                <w:szCs w:val="21"/>
                <w:lang w:bidi="zh-CN"/>
              </w:rPr>
              <w:t>项目/年度</w:t>
            </w:r>
          </w:p>
        </w:tc>
        <w:tc>
          <w:tcPr>
            <w:tcW w:w="788" w:type="pct"/>
            <w:vAlign w:val="center"/>
          </w:tcPr>
          <w:p w14:paraId="63C32CA9" w14:textId="77777777" w:rsidR="002B14BC" w:rsidRPr="002B14BC" w:rsidRDefault="002B14BC" w:rsidP="0090701D">
            <w:pPr>
              <w:pStyle w:val="13"/>
              <w:ind w:firstLineChars="0" w:firstLine="0"/>
              <w:jc w:val="center"/>
              <w:rPr>
                <w:sz w:val="21"/>
                <w:szCs w:val="21"/>
                <w:lang w:bidi="zh-CN"/>
              </w:rPr>
            </w:pPr>
            <w:r w:rsidRPr="002B14BC">
              <w:rPr>
                <w:sz w:val="21"/>
                <w:szCs w:val="21"/>
                <w:lang w:bidi="zh-CN"/>
              </w:rPr>
              <w:t>合计</w:t>
            </w:r>
          </w:p>
        </w:tc>
        <w:tc>
          <w:tcPr>
            <w:tcW w:w="794" w:type="pct"/>
            <w:vAlign w:val="center"/>
          </w:tcPr>
          <w:p w14:paraId="519537FE" w14:textId="77777777" w:rsidR="002B14BC" w:rsidRPr="002B14BC" w:rsidRDefault="002B14BC" w:rsidP="0090701D">
            <w:pPr>
              <w:pStyle w:val="13"/>
              <w:ind w:firstLineChars="0" w:firstLine="0"/>
              <w:jc w:val="center"/>
              <w:rPr>
                <w:sz w:val="21"/>
                <w:szCs w:val="21"/>
                <w:lang w:bidi="zh-CN"/>
              </w:rPr>
            </w:pPr>
            <w:r w:rsidRPr="002B14BC">
              <w:rPr>
                <w:sz w:val="21"/>
                <w:szCs w:val="21"/>
                <w:lang w:bidi="zh-CN"/>
              </w:rPr>
              <w:t>建设期</w:t>
            </w:r>
          </w:p>
        </w:tc>
        <w:tc>
          <w:tcPr>
            <w:tcW w:w="757" w:type="pct"/>
            <w:vAlign w:val="center"/>
          </w:tcPr>
          <w:p w14:paraId="6491FAFD" w14:textId="77777777" w:rsidR="002B14BC" w:rsidRPr="002B14BC" w:rsidRDefault="002B14BC" w:rsidP="0090701D">
            <w:pPr>
              <w:pStyle w:val="13"/>
              <w:ind w:firstLineChars="0" w:firstLine="0"/>
              <w:jc w:val="center"/>
              <w:rPr>
                <w:sz w:val="21"/>
                <w:szCs w:val="21"/>
                <w:lang w:bidi="zh-CN"/>
              </w:rPr>
            </w:pPr>
            <w:r w:rsidRPr="002B14BC">
              <w:rPr>
                <w:sz w:val="21"/>
                <w:szCs w:val="21"/>
                <w:lang w:bidi="zh-CN"/>
              </w:rPr>
              <w:t>运营期</w:t>
            </w:r>
          </w:p>
        </w:tc>
      </w:tr>
      <w:tr w:rsidR="002B14BC" w:rsidRPr="002B14BC" w14:paraId="70FD2954" w14:textId="77777777" w:rsidTr="0090701D">
        <w:trPr>
          <w:trHeight w:val="326"/>
        </w:trPr>
        <w:tc>
          <w:tcPr>
            <w:tcW w:w="531" w:type="pct"/>
            <w:vAlign w:val="center"/>
          </w:tcPr>
          <w:p w14:paraId="4C7BA1B7"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w:t>
            </w:r>
          </w:p>
        </w:tc>
        <w:tc>
          <w:tcPr>
            <w:tcW w:w="2130" w:type="pct"/>
          </w:tcPr>
          <w:p w14:paraId="3DF7D860" w14:textId="77777777" w:rsidR="002B14BC" w:rsidRPr="002B14BC" w:rsidRDefault="002B14BC" w:rsidP="002B14BC">
            <w:pPr>
              <w:pStyle w:val="13"/>
              <w:ind w:firstLineChars="0" w:firstLine="0"/>
              <w:rPr>
                <w:sz w:val="21"/>
                <w:szCs w:val="21"/>
                <w:lang w:bidi="zh-CN"/>
              </w:rPr>
            </w:pPr>
            <w:r w:rsidRPr="002B14BC">
              <w:rPr>
                <w:sz w:val="21"/>
                <w:szCs w:val="21"/>
                <w:lang w:bidi="zh-CN"/>
              </w:rPr>
              <w:t>一、营业总收入</w:t>
            </w:r>
          </w:p>
        </w:tc>
        <w:tc>
          <w:tcPr>
            <w:tcW w:w="788" w:type="pct"/>
          </w:tcPr>
          <w:p w14:paraId="6834AE1E" w14:textId="77777777" w:rsidR="002B14BC" w:rsidRPr="002B14BC" w:rsidRDefault="002B14BC" w:rsidP="002B14BC">
            <w:pPr>
              <w:pStyle w:val="13"/>
              <w:ind w:firstLineChars="0" w:firstLine="0"/>
              <w:rPr>
                <w:sz w:val="21"/>
                <w:szCs w:val="21"/>
                <w:lang w:bidi="zh-CN"/>
              </w:rPr>
            </w:pPr>
          </w:p>
        </w:tc>
        <w:tc>
          <w:tcPr>
            <w:tcW w:w="794" w:type="pct"/>
          </w:tcPr>
          <w:p w14:paraId="4808AD88" w14:textId="77777777" w:rsidR="002B14BC" w:rsidRPr="002B14BC" w:rsidRDefault="002B14BC" w:rsidP="002B14BC">
            <w:pPr>
              <w:pStyle w:val="13"/>
              <w:ind w:firstLineChars="0" w:firstLine="0"/>
              <w:rPr>
                <w:sz w:val="21"/>
                <w:szCs w:val="21"/>
                <w:lang w:bidi="zh-CN"/>
              </w:rPr>
            </w:pPr>
          </w:p>
        </w:tc>
        <w:tc>
          <w:tcPr>
            <w:tcW w:w="757" w:type="pct"/>
          </w:tcPr>
          <w:p w14:paraId="0FF6252F" w14:textId="77777777" w:rsidR="002B14BC" w:rsidRPr="002B14BC" w:rsidRDefault="002B14BC" w:rsidP="002B14BC">
            <w:pPr>
              <w:pStyle w:val="13"/>
              <w:ind w:firstLineChars="0" w:firstLine="0"/>
              <w:rPr>
                <w:sz w:val="21"/>
                <w:szCs w:val="21"/>
                <w:lang w:bidi="zh-CN"/>
              </w:rPr>
            </w:pPr>
          </w:p>
        </w:tc>
      </w:tr>
      <w:tr w:rsidR="002B14BC" w:rsidRPr="002B14BC" w14:paraId="76E39B7E" w14:textId="77777777" w:rsidTr="0090701D">
        <w:trPr>
          <w:trHeight w:val="325"/>
        </w:trPr>
        <w:tc>
          <w:tcPr>
            <w:tcW w:w="531" w:type="pct"/>
            <w:vAlign w:val="center"/>
          </w:tcPr>
          <w:p w14:paraId="3B2770A1"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w:t>
            </w:r>
          </w:p>
        </w:tc>
        <w:tc>
          <w:tcPr>
            <w:tcW w:w="2130" w:type="pct"/>
          </w:tcPr>
          <w:p w14:paraId="7318A6BA" w14:textId="77777777" w:rsidR="002B14BC" w:rsidRPr="002B14BC" w:rsidRDefault="002B14BC" w:rsidP="002B14BC">
            <w:pPr>
              <w:pStyle w:val="13"/>
              <w:ind w:firstLineChars="0" w:firstLine="0"/>
              <w:rPr>
                <w:sz w:val="21"/>
                <w:szCs w:val="21"/>
                <w:lang w:bidi="zh-CN"/>
              </w:rPr>
            </w:pPr>
            <w:r w:rsidRPr="002B14BC">
              <w:rPr>
                <w:sz w:val="21"/>
                <w:szCs w:val="21"/>
                <w:lang w:bidi="zh-CN"/>
              </w:rPr>
              <w:t>主营业务收入（使用者付费）</w:t>
            </w:r>
          </w:p>
        </w:tc>
        <w:tc>
          <w:tcPr>
            <w:tcW w:w="788" w:type="pct"/>
          </w:tcPr>
          <w:p w14:paraId="13C13066" w14:textId="77777777" w:rsidR="002B14BC" w:rsidRPr="002B14BC" w:rsidRDefault="002B14BC" w:rsidP="002B14BC">
            <w:pPr>
              <w:pStyle w:val="13"/>
              <w:ind w:firstLineChars="0" w:firstLine="0"/>
              <w:rPr>
                <w:sz w:val="21"/>
                <w:szCs w:val="21"/>
                <w:lang w:bidi="zh-CN"/>
              </w:rPr>
            </w:pPr>
          </w:p>
        </w:tc>
        <w:tc>
          <w:tcPr>
            <w:tcW w:w="794" w:type="pct"/>
          </w:tcPr>
          <w:p w14:paraId="756A7239" w14:textId="77777777" w:rsidR="002B14BC" w:rsidRPr="002B14BC" w:rsidRDefault="002B14BC" w:rsidP="002B14BC">
            <w:pPr>
              <w:pStyle w:val="13"/>
              <w:ind w:firstLineChars="0" w:firstLine="0"/>
              <w:rPr>
                <w:sz w:val="21"/>
                <w:szCs w:val="21"/>
                <w:lang w:bidi="zh-CN"/>
              </w:rPr>
            </w:pPr>
          </w:p>
        </w:tc>
        <w:tc>
          <w:tcPr>
            <w:tcW w:w="757" w:type="pct"/>
          </w:tcPr>
          <w:p w14:paraId="0FACE541" w14:textId="77777777" w:rsidR="002B14BC" w:rsidRPr="002B14BC" w:rsidRDefault="002B14BC" w:rsidP="002B14BC">
            <w:pPr>
              <w:pStyle w:val="13"/>
              <w:ind w:firstLineChars="0" w:firstLine="0"/>
              <w:rPr>
                <w:sz w:val="21"/>
                <w:szCs w:val="21"/>
                <w:lang w:bidi="zh-CN"/>
              </w:rPr>
            </w:pPr>
          </w:p>
        </w:tc>
      </w:tr>
      <w:tr w:rsidR="002B14BC" w:rsidRPr="002B14BC" w14:paraId="03D32DA4" w14:textId="77777777" w:rsidTr="0090701D">
        <w:trPr>
          <w:trHeight w:val="326"/>
        </w:trPr>
        <w:tc>
          <w:tcPr>
            <w:tcW w:w="531" w:type="pct"/>
            <w:vAlign w:val="center"/>
          </w:tcPr>
          <w:p w14:paraId="14D12969"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（2）</w:t>
            </w:r>
          </w:p>
        </w:tc>
        <w:tc>
          <w:tcPr>
            <w:tcW w:w="2130" w:type="pct"/>
          </w:tcPr>
          <w:p w14:paraId="372E65B4" w14:textId="77777777" w:rsidR="002B14BC" w:rsidRPr="002B14BC" w:rsidRDefault="002B14BC" w:rsidP="002B14BC">
            <w:pPr>
              <w:pStyle w:val="13"/>
              <w:ind w:firstLineChars="0" w:firstLine="0"/>
              <w:rPr>
                <w:sz w:val="21"/>
                <w:szCs w:val="21"/>
                <w:lang w:bidi="zh-CN"/>
              </w:rPr>
            </w:pPr>
            <w:r w:rsidRPr="002B14BC">
              <w:rPr>
                <w:sz w:val="21"/>
                <w:szCs w:val="21"/>
                <w:lang w:bidi="zh-CN"/>
              </w:rPr>
              <w:t>其他收入</w:t>
            </w:r>
          </w:p>
        </w:tc>
        <w:tc>
          <w:tcPr>
            <w:tcW w:w="788" w:type="pct"/>
          </w:tcPr>
          <w:p w14:paraId="0A008BF3" w14:textId="77777777" w:rsidR="002B14BC" w:rsidRPr="002B14BC" w:rsidRDefault="002B14BC" w:rsidP="002B14BC">
            <w:pPr>
              <w:pStyle w:val="13"/>
              <w:ind w:firstLineChars="0" w:firstLine="0"/>
              <w:rPr>
                <w:sz w:val="21"/>
                <w:szCs w:val="21"/>
                <w:lang w:bidi="zh-CN"/>
              </w:rPr>
            </w:pPr>
          </w:p>
        </w:tc>
        <w:tc>
          <w:tcPr>
            <w:tcW w:w="794" w:type="pct"/>
          </w:tcPr>
          <w:p w14:paraId="5205AFC9" w14:textId="77777777" w:rsidR="002B14BC" w:rsidRPr="002B14BC" w:rsidRDefault="002B14BC" w:rsidP="002B14BC">
            <w:pPr>
              <w:pStyle w:val="13"/>
              <w:ind w:firstLineChars="0" w:firstLine="0"/>
              <w:rPr>
                <w:sz w:val="21"/>
                <w:szCs w:val="21"/>
                <w:lang w:bidi="zh-CN"/>
              </w:rPr>
            </w:pPr>
          </w:p>
        </w:tc>
        <w:tc>
          <w:tcPr>
            <w:tcW w:w="757" w:type="pct"/>
          </w:tcPr>
          <w:p w14:paraId="3F3588F0" w14:textId="77777777" w:rsidR="002B14BC" w:rsidRPr="002B14BC" w:rsidRDefault="002B14BC" w:rsidP="002B14BC">
            <w:pPr>
              <w:pStyle w:val="13"/>
              <w:ind w:firstLineChars="0" w:firstLine="0"/>
              <w:rPr>
                <w:sz w:val="21"/>
                <w:szCs w:val="21"/>
                <w:lang w:bidi="zh-CN"/>
              </w:rPr>
            </w:pPr>
          </w:p>
        </w:tc>
      </w:tr>
      <w:tr w:rsidR="002B14BC" w:rsidRPr="002B14BC" w14:paraId="4A1A3274" w14:textId="77777777" w:rsidTr="0090701D">
        <w:trPr>
          <w:trHeight w:val="325"/>
        </w:trPr>
        <w:tc>
          <w:tcPr>
            <w:tcW w:w="531" w:type="pct"/>
            <w:vAlign w:val="center"/>
          </w:tcPr>
          <w:p w14:paraId="578AA6DF"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（3）</w:t>
            </w:r>
          </w:p>
        </w:tc>
        <w:tc>
          <w:tcPr>
            <w:tcW w:w="2130" w:type="pct"/>
          </w:tcPr>
          <w:p w14:paraId="7D309EFC" w14:textId="77777777" w:rsidR="002B14BC" w:rsidRPr="002B14BC" w:rsidRDefault="002B14BC" w:rsidP="002B14BC">
            <w:pPr>
              <w:pStyle w:val="13"/>
              <w:ind w:firstLineChars="0" w:firstLine="0"/>
              <w:rPr>
                <w:sz w:val="21"/>
                <w:szCs w:val="21"/>
                <w:lang w:bidi="zh-CN"/>
              </w:rPr>
            </w:pPr>
            <w:r w:rsidRPr="002B14BC">
              <w:rPr>
                <w:sz w:val="21"/>
                <w:szCs w:val="21"/>
                <w:lang w:bidi="zh-CN"/>
              </w:rPr>
              <w:t>政府**补贴收入</w:t>
            </w:r>
          </w:p>
        </w:tc>
        <w:tc>
          <w:tcPr>
            <w:tcW w:w="788" w:type="pct"/>
          </w:tcPr>
          <w:p w14:paraId="4D5031EA" w14:textId="77777777" w:rsidR="002B14BC" w:rsidRPr="002B14BC" w:rsidRDefault="002B14BC" w:rsidP="002B14BC">
            <w:pPr>
              <w:pStyle w:val="13"/>
              <w:ind w:firstLineChars="0" w:firstLine="0"/>
              <w:rPr>
                <w:sz w:val="21"/>
                <w:szCs w:val="21"/>
                <w:lang w:bidi="zh-CN"/>
              </w:rPr>
            </w:pPr>
          </w:p>
        </w:tc>
        <w:tc>
          <w:tcPr>
            <w:tcW w:w="794" w:type="pct"/>
          </w:tcPr>
          <w:p w14:paraId="1897CE54" w14:textId="77777777" w:rsidR="002B14BC" w:rsidRPr="002B14BC" w:rsidRDefault="002B14BC" w:rsidP="002B14BC">
            <w:pPr>
              <w:pStyle w:val="13"/>
              <w:ind w:firstLineChars="0" w:firstLine="0"/>
              <w:rPr>
                <w:sz w:val="21"/>
                <w:szCs w:val="21"/>
                <w:lang w:bidi="zh-CN"/>
              </w:rPr>
            </w:pPr>
          </w:p>
        </w:tc>
        <w:tc>
          <w:tcPr>
            <w:tcW w:w="757" w:type="pct"/>
          </w:tcPr>
          <w:p w14:paraId="12D32AB6" w14:textId="77777777" w:rsidR="002B14BC" w:rsidRPr="002B14BC" w:rsidRDefault="002B14BC" w:rsidP="002B14BC">
            <w:pPr>
              <w:pStyle w:val="13"/>
              <w:ind w:firstLineChars="0" w:firstLine="0"/>
              <w:rPr>
                <w:sz w:val="21"/>
                <w:szCs w:val="21"/>
                <w:lang w:bidi="zh-CN"/>
              </w:rPr>
            </w:pPr>
          </w:p>
        </w:tc>
      </w:tr>
      <w:tr w:rsidR="002B14BC" w:rsidRPr="002B14BC" w14:paraId="26E5A71E" w14:textId="77777777" w:rsidTr="0090701D">
        <w:trPr>
          <w:trHeight w:val="326"/>
        </w:trPr>
        <w:tc>
          <w:tcPr>
            <w:tcW w:w="531" w:type="pct"/>
            <w:vAlign w:val="center"/>
          </w:tcPr>
          <w:p w14:paraId="6A0E57AB"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（4）</w:t>
            </w:r>
          </w:p>
        </w:tc>
        <w:tc>
          <w:tcPr>
            <w:tcW w:w="2130" w:type="pct"/>
          </w:tcPr>
          <w:p w14:paraId="4346188F" w14:textId="77777777" w:rsidR="002B14BC" w:rsidRPr="002B14BC" w:rsidRDefault="002B14BC" w:rsidP="002B14BC">
            <w:pPr>
              <w:pStyle w:val="13"/>
              <w:ind w:firstLineChars="0" w:firstLine="0"/>
              <w:rPr>
                <w:sz w:val="21"/>
                <w:szCs w:val="21"/>
                <w:lang w:bidi="zh-CN"/>
              </w:rPr>
            </w:pPr>
            <w:r w:rsidRPr="002B14BC">
              <w:rPr>
                <w:sz w:val="21"/>
                <w:szCs w:val="21"/>
                <w:lang w:bidi="zh-CN"/>
              </w:rPr>
              <w:t>…….</w:t>
            </w:r>
          </w:p>
        </w:tc>
        <w:tc>
          <w:tcPr>
            <w:tcW w:w="788" w:type="pct"/>
          </w:tcPr>
          <w:p w14:paraId="7328ECD4" w14:textId="77777777" w:rsidR="002B14BC" w:rsidRPr="002B14BC" w:rsidRDefault="002B14BC" w:rsidP="002B14BC">
            <w:pPr>
              <w:pStyle w:val="13"/>
              <w:ind w:firstLineChars="0" w:firstLine="0"/>
              <w:rPr>
                <w:sz w:val="21"/>
                <w:szCs w:val="21"/>
                <w:lang w:bidi="zh-CN"/>
              </w:rPr>
            </w:pPr>
            <w:r w:rsidRPr="002B14BC">
              <w:rPr>
                <w:sz w:val="21"/>
                <w:szCs w:val="21"/>
                <w:lang w:bidi="zh-CN"/>
              </w:rPr>
              <w:t>-</w:t>
            </w:r>
          </w:p>
        </w:tc>
        <w:tc>
          <w:tcPr>
            <w:tcW w:w="794" w:type="pct"/>
          </w:tcPr>
          <w:p w14:paraId="04127AC7" w14:textId="77777777" w:rsidR="002B14BC" w:rsidRPr="002B14BC" w:rsidRDefault="002B14BC" w:rsidP="002B14BC">
            <w:pPr>
              <w:pStyle w:val="13"/>
              <w:ind w:firstLineChars="0" w:firstLine="0"/>
              <w:rPr>
                <w:sz w:val="21"/>
                <w:szCs w:val="21"/>
                <w:lang w:bidi="zh-CN"/>
              </w:rPr>
            </w:pPr>
            <w:r w:rsidRPr="002B14BC">
              <w:rPr>
                <w:sz w:val="21"/>
                <w:szCs w:val="21"/>
                <w:lang w:bidi="zh-CN"/>
              </w:rPr>
              <w:t>-</w:t>
            </w:r>
          </w:p>
        </w:tc>
        <w:tc>
          <w:tcPr>
            <w:tcW w:w="757" w:type="pct"/>
          </w:tcPr>
          <w:p w14:paraId="53FCDE36" w14:textId="77777777" w:rsidR="002B14BC" w:rsidRPr="002B14BC" w:rsidRDefault="002B14BC" w:rsidP="002B14BC">
            <w:pPr>
              <w:pStyle w:val="13"/>
              <w:ind w:firstLineChars="0" w:firstLine="0"/>
              <w:rPr>
                <w:sz w:val="21"/>
                <w:szCs w:val="21"/>
                <w:lang w:bidi="zh-CN"/>
              </w:rPr>
            </w:pPr>
            <w:r w:rsidRPr="002B14BC">
              <w:rPr>
                <w:sz w:val="21"/>
                <w:szCs w:val="21"/>
                <w:lang w:bidi="zh-CN"/>
              </w:rPr>
              <w:t>-</w:t>
            </w:r>
          </w:p>
        </w:tc>
      </w:tr>
      <w:tr w:rsidR="002B14BC" w:rsidRPr="002B14BC" w14:paraId="6B07C2F3" w14:textId="77777777" w:rsidTr="0090701D">
        <w:trPr>
          <w:trHeight w:val="325"/>
        </w:trPr>
        <w:tc>
          <w:tcPr>
            <w:tcW w:w="531" w:type="pct"/>
            <w:vAlign w:val="center"/>
          </w:tcPr>
          <w:p w14:paraId="5348FA25"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2</w:t>
            </w:r>
          </w:p>
        </w:tc>
        <w:tc>
          <w:tcPr>
            <w:tcW w:w="2130" w:type="pct"/>
          </w:tcPr>
          <w:p w14:paraId="31B14BE3" w14:textId="77777777" w:rsidR="002B14BC" w:rsidRPr="002B14BC" w:rsidRDefault="002B14BC" w:rsidP="002B14BC">
            <w:pPr>
              <w:pStyle w:val="13"/>
              <w:ind w:firstLineChars="0" w:firstLine="0"/>
              <w:rPr>
                <w:sz w:val="21"/>
                <w:szCs w:val="21"/>
                <w:lang w:bidi="zh-CN"/>
              </w:rPr>
            </w:pPr>
            <w:r w:rsidRPr="002B14BC">
              <w:rPr>
                <w:sz w:val="21"/>
                <w:szCs w:val="21"/>
                <w:lang w:bidi="zh-CN"/>
              </w:rPr>
              <w:t>二、营业总成本</w:t>
            </w:r>
          </w:p>
        </w:tc>
        <w:tc>
          <w:tcPr>
            <w:tcW w:w="788" w:type="pct"/>
          </w:tcPr>
          <w:p w14:paraId="79B91343" w14:textId="77777777" w:rsidR="002B14BC" w:rsidRPr="002B14BC" w:rsidRDefault="002B14BC" w:rsidP="002B14BC">
            <w:pPr>
              <w:pStyle w:val="13"/>
              <w:ind w:firstLineChars="0" w:firstLine="0"/>
              <w:rPr>
                <w:sz w:val="21"/>
                <w:szCs w:val="21"/>
                <w:lang w:bidi="zh-CN"/>
              </w:rPr>
            </w:pPr>
          </w:p>
        </w:tc>
        <w:tc>
          <w:tcPr>
            <w:tcW w:w="794" w:type="pct"/>
          </w:tcPr>
          <w:p w14:paraId="4C24DC56" w14:textId="77777777" w:rsidR="002B14BC" w:rsidRPr="002B14BC" w:rsidRDefault="002B14BC" w:rsidP="002B14BC">
            <w:pPr>
              <w:pStyle w:val="13"/>
              <w:ind w:firstLineChars="0" w:firstLine="0"/>
              <w:rPr>
                <w:sz w:val="21"/>
                <w:szCs w:val="21"/>
                <w:lang w:bidi="zh-CN"/>
              </w:rPr>
            </w:pPr>
          </w:p>
        </w:tc>
        <w:tc>
          <w:tcPr>
            <w:tcW w:w="757" w:type="pct"/>
          </w:tcPr>
          <w:p w14:paraId="3D25B7C5" w14:textId="77777777" w:rsidR="002B14BC" w:rsidRPr="002B14BC" w:rsidRDefault="002B14BC" w:rsidP="002B14BC">
            <w:pPr>
              <w:pStyle w:val="13"/>
              <w:ind w:firstLineChars="0" w:firstLine="0"/>
              <w:rPr>
                <w:sz w:val="21"/>
                <w:szCs w:val="21"/>
                <w:lang w:bidi="zh-CN"/>
              </w:rPr>
            </w:pPr>
          </w:p>
        </w:tc>
      </w:tr>
      <w:tr w:rsidR="002B14BC" w:rsidRPr="002B14BC" w14:paraId="6358A34B" w14:textId="77777777" w:rsidTr="0090701D">
        <w:trPr>
          <w:trHeight w:val="326"/>
        </w:trPr>
        <w:tc>
          <w:tcPr>
            <w:tcW w:w="531" w:type="pct"/>
            <w:vAlign w:val="center"/>
          </w:tcPr>
          <w:p w14:paraId="23CEE1EF"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w:t>
            </w:r>
          </w:p>
        </w:tc>
        <w:tc>
          <w:tcPr>
            <w:tcW w:w="2130" w:type="pct"/>
          </w:tcPr>
          <w:p w14:paraId="52BE58D4" w14:textId="77777777" w:rsidR="002B14BC" w:rsidRPr="002B14BC" w:rsidRDefault="002B14BC" w:rsidP="002B14BC">
            <w:pPr>
              <w:pStyle w:val="13"/>
              <w:ind w:firstLineChars="0" w:firstLine="0"/>
              <w:rPr>
                <w:sz w:val="21"/>
                <w:szCs w:val="21"/>
                <w:lang w:bidi="zh-CN"/>
              </w:rPr>
            </w:pPr>
            <w:r w:rsidRPr="002B14BC">
              <w:rPr>
                <w:sz w:val="21"/>
                <w:szCs w:val="21"/>
                <w:lang w:bidi="zh-CN"/>
              </w:rPr>
              <w:t>1.营业成本</w:t>
            </w:r>
          </w:p>
        </w:tc>
        <w:tc>
          <w:tcPr>
            <w:tcW w:w="788" w:type="pct"/>
          </w:tcPr>
          <w:p w14:paraId="6B629009" w14:textId="77777777" w:rsidR="002B14BC" w:rsidRPr="002B14BC" w:rsidRDefault="002B14BC" w:rsidP="002B14BC">
            <w:pPr>
              <w:pStyle w:val="13"/>
              <w:ind w:firstLineChars="0" w:firstLine="0"/>
              <w:rPr>
                <w:sz w:val="21"/>
                <w:szCs w:val="21"/>
                <w:lang w:bidi="zh-CN"/>
              </w:rPr>
            </w:pPr>
          </w:p>
        </w:tc>
        <w:tc>
          <w:tcPr>
            <w:tcW w:w="794" w:type="pct"/>
          </w:tcPr>
          <w:p w14:paraId="3F3C8D00" w14:textId="77777777" w:rsidR="002B14BC" w:rsidRPr="002B14BC" w:rsidRDefault="002B14BC" w:rsidP="002B14BC">
            <w:pPr>
              <w:pStyle w:val="13"/>
              <w:ind w:firstLineChars="0" w:firstLine="0"/>
              <w:rPr>
                <w:sz w:val="21"/>
                <w:szCs w:val="21"/>
                <w:lang w:bidi="zh-CN"/>
              </w:rPr>
            </w:pPr>
          </w:p>
        </w:tc>
        <w:tc>
          <w:tcPr>
            <w:tcW w:w="757" w:type="pct"/>
          </w:tcPr>
          <w:p w14:paraId="10FA09DA" w14:textId="77777777" w:rsidR="002B14BC" w:rsidRPr="002B14BC" w:rsidRDefault="002B14BC" w:rsidP="002B14BC">
            <w:pPr>
              <w:pStyle w:val="13"/>
              <w:ind w:firstLineChars="0" w:firstLine="0"/>
              <w:rPr>
                <w:sz w:val="21"/>
                <w:szCs w:val="21"/>
                <w:lang w:bidi="zh-CN"/>
              </w:rPr>
            </w:pPr>
          </w:p>
        </w:tc>
      </w:tr>
      <w:tr w:rsidR="002B14BC" w:rsidRPr="002B14BC" w14:paraId="1570C304" w14:textId="77777777" w:rsidTr="0090701D">
        <w:trPr>
          <w:trHeight w:val="325"/>
        </w:trPr>
        <w:tc>
          <w:tcPr>
            <w:tcW w:w="531" w:type="pct"/>
            <w:vAlign w:val="center"/>
          </w:tcPr>
          <w:p w14:paraId="5A7D6FCD" w14:textId="77777777" w:rsidR="002B14BC" w:rsidRPr="002B14BC" w:rsidRDefault="002B14BC" w:rsidP="002B14BC">
            <w:pPr>
              <w:pStyle w:val="13"/>
              <w:ind w:firstLineChars="0" w:firstLine="0"/>
              <w:jc w:val="center"/>
              <w:rPr>
                <w:sz w:val="21"/>
                <w:szCs w:val="21"/>
                <w:lang w:bidi="zh-CN"/>
              </w:rPr>
            </w:pPr>
          </w:p>
        </w:tc>
        <w:tc>
          <w:tcPr>
            <w:tcW w:w="2130" w:type="pct"/>
          </w:tcPr>
          <w:p w14:paraId="1936F978" w14:textId="77777777" w:rsidR="002B14BC" w:rsidRPr="002B14BC" w:rsidRDefault="002B14BC" w:rsidP="002B14BC">
            <w:pPr>
              <w:pStyle w:val="13"/>
              <w:ind w:firstLineChars="0" w:firstLine="0"/>
              <w:rPr>
                <w:sz w:val="21"/>
                <w:szCs w:val="21"/>
                <w:lang w:bidi="zh-CN"/>
              </w:rPr>
            </w:pPr>
            <w:r w:rsidRPr="002B14BC">
              <w:rPr>
                <w:sz w:val="21"/>
                <w:szCs w:val="21"/>
                <w:lang w:bidi="zh-CN"/>
              </w:rPr>
              <w:t>1.1 运营成本</w:t>
            </w:r>
          </w:p>
        </w:tc>
        <w:tc>
          <w:tcPr>
            <w:tcW w:w="788" w:type="pct"/>
          </w:tcPr>
          <w:p w14:paraId="6D0D3CF1" w14:textId="77777777" w:rsidR="002B14BC" w:rsidRPr="002B14BC" w:rsidRDefault="002B14BC" w:rsidP="002B14BC">
            <w:pPr>
              <w:pStyle w:val="13"/>
              <w:ind w:firstLineChars="0" w:firstLine="0"/>
              <w:rPr>
                <w:sz w:val="21"/>
                <w:szCs w:val="21"/>
                <w:lang w:bidi="zh-CN"/>
              </w:rPr>
            </w:pPr>
          </w:p>
        </w:tc>
        <w:tc>
          <w:tcPr>
            <w:tcW w:w="794" w:type="pct"/>
          </w:tcPr>
          <w:p w14:paraId="2FE7ED47" w14:textId="77777777" w:rsidR="002B14BC" w:rsidRPr="002B14BC" w:rsidRDefault="002B14BC" w:rsidP="002B14BC">
            <w:pPr>
              <w:pStyle w:val="13"/>
              <w:ind w:firstLineChars="0" w:firstLine="0"/>
              <w:rPr>
                <w:sz w:val="21"/>
                <w:szCs w:val="21"/>
                <w:lang w:bidi="zh-CN"/>
              </w:rPr>
            </w:pPr>
          </w:p>
        </w:tc>
        <w:tc>
          <w:tcPr>
            <w:tcW w:w="757" w:type="pct"/>
          </w:tcPr>
          <w:p w14:paraId="6F867CDB" w14:textId="77777777" w:rsidR="002B14BC" w:rsidRPr="002B14BC" w:rsidRDefault="002B14BC" w:rsidP="002B14BC">
            <w:pPr>
              <w:pStyle w:val="13"/>
              <w:ind w:firstLineChars="0" w:firstLine="0"/>
              <w:rPr>
                <w:sz w:val="21"/>
                <w:szCs w:val="21"/>
                <w:lang w:bidi="zh-CN"/>
              </w:rPr>
            </w:pPr>
          </w:p>
        </w:tc>
      </w:tr>
      <w:tr w:rsidR="002B14BC" w:rsidRPr="002B14BC" w14:paraId="6D7918D9" w14:textId="77777777" w:rsidTr="0090701D">
        <w:trPr>
          <w:trHeight w:val="325"/>
        </w:trPr>
        <w:tc>
          <w:tcPr>
            <w:tcW w:w="531" w:type="pct"/>
            <w:vAlign w:val="center"/>
          </w:tcPr>
          <w:p w14:paraId="21F621D5" w14:textId="77777777" w:rsidR="002B14BC" w:rsidRPr="002B14BC" w:rsidRDefault="002B14BC" w:rsidP="002B14BC">
            <w:pPr>
              <w:pStyle w:val="13"/>
              <w:ind w:firstLineChars="0" w:firstLine="0"/>
              <w:jc w:val="center"/>
              <w:rPr>
                <w:sz w:val="21"/>
                <w:szCs w:val="21"/>
                <w:lang w:bidi="zh-CN"/>
              </w:rPr>
            </w:pPr>
          </w:p>
        </w:tc>
        <w:tc>
          <w:tcPr>
            <w:tcW w:w="2130" w:type="pct"/>
          </w:tcPr>
          <w:p w14:paraId="7A7CB6C0" w14:textId="77777777" w:rsidR="002B14BC" w:rsidRPr="002B14BC" w:rsidRDefault="002B14BC" w:rsidP="002B14BC">
            <w:pPr>
              <w:pStyle w:val="13"/>
              <w:ind w:firstLineChars="0" w:firstLine="0"/>
              <w:rPr>
                <w:sz w:val="21"/>
                <w:szCs w:val="21"/>
                <w:lang w:bidi="zh-CN"/>
              </w:rPr>
            </w:pPr>
            <w:r w:rsidRPr="002B14BC">
              <w:rPr>
                <w:sz w:val="21"/>
                <w:szCs w:val="21"/>
                <w:lang w:bidi="zh-CN"/>
              </w:rPr>
              <w:t>1.2 大修费用</w:t>
            </w:r>
          </w:p>
        </w:tc>
        <w:tc>
          <w:tcPr>
            <w:tcW w:w="788" w:type="pct"/>
          </w:tcPr>
          <w:p w14:paraId="1D7BE3CE" w14:textId="77777777" w:rsidR="002B14BC" w:rsidRPr="002B14BC" w:rsidRDefault="002B14BC" w:rsidP="002B14BC">
            <w:pPr>
              <w:pStyle w:val="13"/>
              <w:ind w:firstLineChars="0" w:firstLine="0"/>
              <w:rPr>
                <w:sz w:val="21"/>
                <w:szCs w:val="21"/>
                <w:lang w:bidi="zh-CN"/>
              </w:rPr>
            </w:pPr>
          </w:p>
        </w:tc>
        <w:tc>
          <w:tcPr>
            <w:tcW w:w="794" w:type="pct"/>
          </w:tcPr>
          <w:p w14:paraId="34DF19A6" w14:textId="77777777" w:rsidR="002B14BC" w:rsidRPr="002B14BC" w:rsidRDefault="002B14BC" w:rsidP="002B14BC">
            <w:pPr>
              <w:pStyle w:val="13"/>
              <w:ind w:firstLineChars="0" w:firstLine="0"/>
              <w:rPr>
                <w:sz w:val="21"/>
                <w:szCs w:val="21"/>
                <w:lang w:bidi="zh-CN"/>
              </w:rPr>
            </w:pPr>
          </w:p>
        </w:tc>
        <w:tc>
          <w:tcPr>
            <w:tcW w:w="757" w:type="pct"/>
          </w:tcPr>
          <w:p w14:paraId="6DE7B78A" w14:textId="77777777" w:rsidR="002B14BC" w:rsidRPr="002B14BC" w:rsidRDefault="002B14BC" w:rsidP="002B14BC">
            <w:pPr>
              <w:pStyle w:val="13"/>
              <w:ind w:firstLineChars="0" w:firstLine="0"/>
              <w:rPr>
                <w:sz w:val="21"/>
                <w:szCs w:val="21"/>
                <w:lang w:bidi="zh-CN"/>
              </w:rPr>
            </w:pPr>
          </w:p>
        </w:tc>
      </w:tr>
      <w:tr w:rsidR="002B14BC" w:rsidRPr="002B14BC" w14:paraId="35AABDB9" w14:textId="77777777" w:rsidTr="0090701D">
        <w:trPr>
          <w:trHeight w:val="326"/>
        </w:trPr>
        <w:tc>
          <w:tcPr>
            <w:tcW w:w="531" w:type="pct"/>
            <w:vAlign w:val="center"/>
          </w:tcPr>
          <w:p w14:paraId="59BB3670" w14:textId="77777777" w:rsidR="002B14BC" w:rsidRPr="002B14BC" w:rsidRDefault="002B14BC" w:rsidP="002B14BC">
            <w:pPr>
              <w:pStyle w:val="13"/>
              <w:ind w:firstLineChars="0" w:firstLine="0"/>
              <w:jc w:val="center"/>
              <w:rPr>
                <w:sz w:val="21"/>
                <w:szCs w:val="21"/>
                <w:lang w:bidi="zh-CN"/>
              </w:rPr>
            </w:pPr>
          </w:p>
        </w:tc>
        <w:tc>
          <w:tcPr>
            <w:tcW w:w="2130" w:type="pct"/>
          </w:tcPr>
          <w:p w14:paraId="7E245F65" w14:textId="77777777" w:rsidR="002B14BC" w:rsidRPr="002B14BC" w:rsidRDefault="002B14BC" w:rsidP="002B14BC">
            <w:pPr>
              <w:pStyle w:val="13"/>
              <w:ind w:firstLineChars="0" w:firstLine="0"/>
              <w:rPr>
                <w:sz w:val="21"/>
                <w:szCs w:val="21"/>
                <w:lang w:bidi="zh-CN"/>
              </w:rPr>
            </w:pPr>
            <w:r w:rsidRPr="002B14BC">
              <w:rPr>
                <w:sz w:val="21"/>
                <w:szCs w:val="21"/>
                <w:lang w:bidi="zh-CN"/>
              </w:rPr>
              <w:t>1.2 固定资产折旧</w:t>
            </w:r>
          </w:p>
        </w:tc>
        <w:tc>
          <w:tcPr>
            <w:tcW w:w="788" w:type="pct"/>
          </w:tcPr>
          <w:p w14:paraId="546C976F" w14:textId="77777777" w:rsidR="002B14BC" w:rsidRPr="002B14BC" w:rsidRDefault="002B14BC" w:rsidP="002B14BC">
            <w:pPr>
              <w:pStyle w:val="13"/>
              <w:ind w:firstLineChars="0" w:firstLine="0"/>
              <w:rPr>
                <w:sz w:val="21"/>
                <w:szCs w:val="21"/>
                <w:lang w:bidi="zh-CN"/>
              </w:rPr>
            </w:pPr>
          </w:p>
        </w:tc>
        <w:tc>
          <w:tcPr>
            <w:tcW w:w="794" w:type="pct"/>
          </w:tcPr>
          <w:p w14:paraId="64FA4CF9" w14:textId="77777777" w:rsidR="002B14BC" w:rsidRPr="002B14BC" w:rsidRDefault="002B14BC" w:rsidP="002B14BC">
            <w:pPr>
              <w:pStyle w:val="13"/>
              <w:ind w:firstLineChars="0" w:firstLine="0"/>
              <w:rPr>
                <w:sz w:val="21"/>
                <w:szCs w:val="21"/>
                <w:lang w:bidi="zh-CN"/>
              </w:rPr>
            </w:pPr>
          </w:p>
        </w:tc>
        <w:tc>
          <w:tcPr>
            <w:tcW w:w="757" w:type="pct"/>
          </w:tcPr>
          <w:p w14:paraId="7167C984" w14:textId="77777777" w:rsidR="002B14BC" w:rsidRPr="002B14BC" w:rsidRDefault="002B14BC" w:rsidP="002B14BC">
            <w:pPr>
              <w:pStyle w:val="13"/>
              <w:ind w:firstLineChars="0" w:firstLine="0"/>
              <w:rPr>
                <w:sz w:val="21"/>
                <w:szCs w:val="21"/>
                <w:lang w:bidi="zh-CN"/>
              </w:rPr>
            </w:pPr>
          </w:p>
        </w:tc>
      </w:tr>
      <w:tr w:rsidR="002B14BC" w:rsidRPr="002B14BC" w14:paraId="63AD343D" w14:textId="77777777" w:rsidTr="0090701D">
        <w:trPr>
          <w:trHeight w:val="325"/>
        </w:trPr>
        <w:tc>
          <w:tcPr>
            <w:tcW w:w="531" w:type="pct"/>
            <w:vAlign w:val="center"/>
          </w:tcPr>
          <w:p w14:paraId="723D23EB"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（3）</w:t>
            </w:r>
          </w:p>
        </w:tc>
        <w:tc>
          <w:tcPr>
            <w:tcW w:w="2130" w:type="pct"/>
          </w:tcPr>
          <w:p w14:paraId="2E97D3AD" w14:textId="77777777" w:rsidR="002B14BC" w:rsidRPr="002B14BC" w:rsidRDefault="002B14BC" w:rsidP="002B14BC">
            <w:pPr>
              <w:pStyle w:val="13"/>
              <w:ind w:firstLineChars="0" w:firstLine="0"/>
              <w:rPr>
                <w:sz w:val="21"/>
                <w:szCs w:val="21"/>
                <w:lang w:bidi="zh-CN"/>
              </w:rPr>
            </w:pPr>
            <w:r w:rsidRPr="002B14BC">
              <w:rPr>
                <w:sz w:val="21"/>
                <w:szCs w:val="21"/>
                <w:lang w:bidi="zh-CN"/>
              </w:rPr>
              <w:t>3.管理费用</w:t>
            </w:r>
          </w:p>
        </w:tc>
        <w:tc>
          <w:tcPr>
            <w:tcW w:w="788" w:type="pct"/>
          </w:tcPr>
          <w:p w14:paraId="11A05D81" w14:textId="77777777" w:rsidR="002B14BC" w:rsidRPr="002B14BC" w:rsidRDefault="002B14BC" w:rsidP="002B14BC">
            <w:pPr>
              <w:pStyle w:val="13"/>
              <w:ind w:firstLineChars="0" w:firstLine="0"/>
              <w:rPr>
                <w:sz w:val="21"/>
                <w:szCs w:val="21"/>
                <w:lang w:bidi="zh-CN"/>
              </w:rPr>
            </w:pPr>
          </w:p>
        </w:tc>
        <w:tc>
          <w:tcPr>
            <w:tcW w:w="794" w:type="pct"/>
          </w:tcPr>
          <w:p w14:paraId="502FE68B" w14:textId="77777777" w:rsidR="002B14BC" w:rsidRPr="002B14BC" w:rsidRDefault="002B14BC" w:rsidP="002B14BC">
            <w:pPr>
              <w:pStyle w:val="13"/>
              <w:ind w:firstLineChars="0" w:firstLine="0"/>
              <w:rPr>
                <w:sz w:val="21"/>
                <w:szCs w:val="21"/>
                <w:lang w:bidi="zh-CN"/>
              </w:rPr>
            </w:pPr>
          </w:p>
        </w:tc>
        <w:tc>
          <w:tcPr>
            <w:tcW w:w="757" w:type="pct"/>
          </w:tcPr>
          <w:p w14:paraId="58AC43AD" w14:textId="77777777" w:rsidR="002B14BC" w:rsidRPr="002B14BC" w:rsidRDefault="002B14BC" w:rsidP="002B14BC">
            <w:pPr>
              <w:pStyle w:val="13"/>
              <w:ind w:firstLineChars="0" w:firstLine="0"/>
              <w:rPr>
                <w:sz w:val="21"/>
                <w:szCs w:val="21"/>
                <w:lang w:bidi="zh-CN"/>
              </w:rPr>
            </w:pPr>
          </w:p>
        </w:tc>
      </w:tr>
      <w:tr w:rsidR="002B14BC" w:rsidRPr="002B14BC" w14:paraId="73AFDCEC" w14:textId="77777777" w:rsidTr="0090701D">
        <w:trPr>
          <w:trHeight w:val="326"/>
        </w:trPr>
        <w:tc>
          <w:tcPr>
            <w:tcW w:w="531" w:type="pct"/>
            <w:vAlign w:val="center"/>
          </w:tcPr>
          <w:p w14:paraId="06B9F3B0"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（4）</w:t>
            </w:r>
          </w:p>
        </w:tc>
        <w:tc>
          <w:tcPr>
            <w:tcW w:w="2130" w:type="pct"/>
          </w:tcPr>
          <w:p w14:paraId="26C64D27" w14:textId="77777777" w:rsidR="002B14BC" w:rsidRPr="002B14BC" w:rsidRDefault="002B14BC" w:rsidP="002B14BC">
            <w:pPr>
              <w:pStyle w:val="13"/>
              <w:ind w:firstLineChars="0" w:firstLine="0"/>
              <w:rPr>
                <w:sz w:val="21"/>
                <w:szCs w:val="21"/>
                <w:lang w:bidi="zh-CN"/>
              </w:rPr>
            </w:pPr>
            <w:r w:rsidRPr="002B14BC">
              <w:rPr>
                <w:sz w:val="21"/>
                <w:szCs w:val="21"/>
                <w:lang w:bidi="zh-CN"/>
              </w:rPr>
              <w:t>4.财务费用</w:t>
            </w:r>
          </w:p>
        </w:tc>
        <w:tc>
          <w:tcPr>
            <w:tcW w:w="788" w:type="pct"/>
          </w:tcPr>
          <w:p w14:paraId="208A9D13" w14:textId="77777777" w:rsidR="002B14BC" w:rsidRPr="002B14BC" w:rsidRDefault="002B14BC" w:rsidP="002B14BC">
            <w:pPr>
              <w:pStyle w:val="13"/>
              <w:ind w:firstLineChars="0" w:firstLine="0"/>
              <w:rPr>
                <w:sz w:val="21"/>
                <w:szCs w:val="21"/>
                <w:lang w:bidi="zh-CN"/>
              </w:rPr>
            </w:pPr>
          </w:p>
        </w:tc>
        <w:tc>
          <w:tcPr>
            <w:tcW w:w="794" w:type="pct"/>
          </w:tcPr>
          <w:p w14:paraId="00B89575" w14:textId="77777777" w:rsidR="002B14BC" w:rsidRPr="002B14BC" w:rsidRDefault="002B14BC" w:rsidP="002B14BC">
            <w:pPr>
              <w:pStyle w:val="13"/>
              <w:ind w:firstLineChars="0" w:firstLine="0"/>
              <w:rPr>
                <w:sz w:val="21"/>
                <w:szCs w:val="21"/>
                <w:lang w:bidi="zh-CN"/>
              </w:rPr>
            </w:pPr>
          </w:p>
        </w:tc>
        <w:tc>
          <w:tcPr>
            <w:tcW w:w="757" w:type="pct"/>
          </w:tcPr>
          <w:p w14:paraId="444A5BC8" w14:textId="77777777" w:rsidR="002B14BC" w:rsidRPr="002B14BC" w:rsidRDefault="002B14BC" w:rsidP="002B14BC">
            <w:pPr>
              <w:pStyle w:val="13"/>
              <w:ind w:firstLineChars="0" w:firstLine="0"/>
              <w:rPr>
                <w:sz w:val="21"/>
                <w:szCs w:val="21"/>
                <w:lang w:bidi="zh-CN"/>
              </w:rPr>
            </w:pPr>
          </w:p>
        </w:tc>
      </w:tr>
      <w:tr w:rsidR="002B14BC" w:rsidRPr="002B14BC" w14:paraId="152FD361" w14:textId="77777777" w:rsidTr="0090701D">
        <w:trPr>
          <w:trHeight w:val="325"/>
        </w:trPr>
        <w:tc>
          <w:tcPr>
            <w:tcW w:w="531" w:type="pct"/>
            <w:vAlign w:val="center"/>
          </w:tcPr>
          <w:p w14:paraId="3CBB4A29"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lastRenderedPageBreak/>
              <w:t>（5）</w:t>
            </w:r>
          </w:p>
        </w:tc>
        <w:tc>
          <w:tcPr>
            <w:tcW w:w="2130" w:type="pct"/>
          </w:tcPr>
          <w:p w14:paraId="7818ED9E" w14:textId="77777777" w:rsidR="002B14BC" w:rsidRPr="002B14BC" w:rsidRDefault="002B14BC" w:rsidP="002B14BC">
            <w:pPr>
              <w:pStyle w:val="13"/>
              <w:ind w:firstLineChars="0" w:firstLine="0"/>
              <w:rPr>
                <w:sz w:val="21"/>
                <w:szCs w:val="21"/>
                <w:lang w:bidi="zh-CN"/>
              </w:rPr>
            </w:pPr>
            <w:r w:rsidRPr="002B14BC">
              <w:rPr>
                <w:sz w:val="21"/>
                <w:szCs w:val="21"/>
                <w:lang w:bidi="zh-CN"/>
              </w:rPr>
              <w:t>5.税金及附加</w:t>
            </w:r>
          </w:p>
        </w:tc>
        <w:tc>
          <w:tcPr>
            <w:tcW w:w="788" w:type="pct"/>
          </w:tcPr>
          <w:p w14:paraId="6F60C7B9" w14:textId="77777777" w:rsidR="002B14BC" w:rsidRPr="002B14BC" w:rsidRDefault="002B14BC" w:rsidP="002B14BC">
            <w:pPr>
              <w:pStyle w:val="13"/>
              <w:ind w:firstLineChars="0" w:firstLine="0"/>
              <w:rPr>
                <w:sz w:val="21"/>
                <w:szCs w:val="21"/>
                <w:lang w:bidi="zh-CN"/>
              </w:rPr>
            </w:pPr>
          </w:p>
        </w:tc>
        <w:tc>
          <w:tcPr>
            <w:tcW w:w="794" w:type="pct"/>
          </w:tcPr>
          <w:p w14:paraId="6EDAF1D3" w14:textId="77777777" w:rsidR="002B14BC" w:rsidRPr="002B14BC" w:rsidRDefault="002B14BC" w:rsidP="002B14BC">
            <w:pPr>
              <w:pStyle w:val="13"/>
              <w:ind w:firstLineChars="0" w:firstLine="0"/>
              <w:rPr>
                <w:sz w:val="21"/>
                <w:szCs w:val="21"/>
                <w:lang w:bidi="zh-CN"/>
              </w:rPr>
            </w:pPr>
          </w:p>
        </w:tc>
        <w:tc>
          <w:tcPr>
            <w:tcW w:w="757" w:type="pct"/>
          </w:tcPr>
          <w:p w14:paraId="607C21F6" w14:textId="77777777" w:rsidR="002B14BC" w:rsidRPr="002B14BC" w:rsidRDefault="002B14BC" w:rsidP="002B14BC">
            <w:pPr>
              <w:pStyle w:val="13"/>
              <w:ind w:firstLineChars="0" w:firstLine="0"/>
              <w:rPr>
                <w:sz w:val="21"/>
                <w:szCs w:val="21"/>
                <w:lang w:bidi="zh-CN"/>
              </w:rPr>
            </w:pPr>
          </w:p>
        </w:tc>
      </w:tr>
      <w:tr w:rsidR="002B14BC" w:rsidRPr="002B14BC" w14:paraId="5D27F1D3" w14:textId="77777777" w:rsidTr="0090701D">
        <w:trPr>
          <w:trHeight w:val="326"/>
        </w:trPr>
        <w:tc>
          <w:tcPr>
            <w:tcW w:w="531" w:type="pct"/>
            <w:vAlign w:val="center"/>
          </w:tcPr>
          <w:p w14:paraId="66CCF120"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3</w:t>
            </w:r>
          </w:p>
        </w:tc>
        <w:tc>
          <w:tcPr>
            <w:tcW w:w="2130" w:type="pct"/>
          </w:tcPr>
          <w:p w14:paraId="5F4B3E00" w14:textId="77777777" w:rsidR="002B14BC" w:rsidRPr="002B14BC" w:rsidRDefault="002B14BC" w:rsidP="002B14BC">
            <w:pPr>
              <w:pStyle w:val="13"/>
              <w:ind w:firstLineChars="0" w:firstLine="0"/>
              <w:rPr>
                <w:sz w:val="21"/>
                <w:szCs w:val="21"/>
                <w:lang w:bidi="zh-CN"/>
              </w:rPr>
            </w:pPr>
            <w:r w:rsidRPr="002B14BC">
              <w:rPr>
                <w:sz w:val="21"/>
                <w:szCs w:val="21"/>
                <w:lang w:bidi="zh-CN"/>
              </w:rPr>
              <w:t>三、利润总额</w:t>
            </w:r>
          </w:p>
        </w:tc>
        <w:tc>
          <w:tcPr>
            <w:tcW w:w="788" w:type="pct"/>
          </w:tcPr>
          <w:p w14:paraId="64967CFC" w14:textId="77777777" w:rsidR="002B14BC" w:rsidRPr="002B14BC" w:rsidRDefault="002B14BC" w:rsidP="002B14BC">
            <w:pPr>
              <w:pStyle w:val="13"/>
              <w:ind w:firstLineChars="0" w:firstLine="0"/>
              <w:rPr>
                <w:sz w:val="21"/>
                <w:szCs w:val="21"/>
                <w:lang w:bidi="zh-CN"/>
              </w:rPr>
            </w:pPr>
          </w:p>
        </w:tc>
        <w:tc>
          <w:tcPr>
            <w:tcW w:w="794" w:type="pct"/>
          </w:tcPr>
          <w:p w14:paraId="7C45BA77" w14:textId="77777777" w:rsidR="002B14BC" w:rsidRPr="002B14BC" w:rsidRDefault="002B14BC" w:rsidP="002B14BC">
            <w:pPr>
              <w:pStyle w:val="13"/>
              <w:ind w:firstLineChars="0" w:firstLine="0"/>
              <w:rPr>
                <w:sz w:val="21"/>
                <w:szCs w:val="21"/>
                <w:lang w:bidi="zh-CN"/>
              </w:rPr>
            </w:pPr>
          </w:p>
        </w:tc>
        <w:tc>
          <w:tcPr>
            <w:tcW w:w="757" w:type="pct"/>
          </w:tcPr>
          <w:p w14:paraId="1A0F6F27" w14:textId="77777777" w:rsidR="002B14BC" w:rsidRPr="002B14BC" w:rsidRDefault="002B14BC" w:rsidP="002B14BC">
            <w:pPr>
              <w:pStyle w:val="13"/>
              <w:ind w:firstLineChars="0" w:firstLine="0"/>
              <w:rPr>
                <w:sz w:val="21"/>
                <w:szCs w:val="21"/>
                <w:lang w:bidi="zh-CN"/>
              </w:rPr>
            </w:pPr>
          </w:p>
        </w:tc>
      </w:tr>
      <w:tr w:rsidR="002B14BC" w:rsidRPr="002B14BC" w14:paraId="6616FE0C" w14:textId="77777777" w:rsidTr="0090701D">
        <w:trPr>
          <w:trHeight w:val="325"/>
        </w:trPr>
        <w:tc>
          <w:tcPr>
            <w:tcW w:w="531" w:type="pct"/>
            <w:vAlign w:val="center"/>
          </w:tcPr>
          <w:p w14:paraId="60751081"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4</w:t>
            </w:r>
          </w:p>
        </w:tc>
        <w:tc>
          <w:tcPr>
            <w:tcW w:w="2130" w:type="pct"/>
          </w:tcPr>
          <w:p w14:paraId="06071170" w14:textId="77777777" w:rsidR="002B14BC" w:rsidRPr="002B14BC" w:rsidRDefault="002B14BC" w:rsidP="002B14BC">
            <w:pPr>
              <w:pStyle w:val="13"/>
              <w:ind w:firstLineChars="0" w:firstLine="0"/>
              <w:rPr>
                <w:sz w:val="21"/>
                <w:szCs w:val="21"/>
                <w:lang w:bidi="zh-CN"/>
              </w:rPr>
            </w:pPr>
            <w:r w:rsidRPr="002B14BC">
              <w:rPr>
                <w:sz w:val="21"/>
                <w:szCs w:val="21"/>
                <w:lang w:bidi="zh-CN"/>
              </w:rPr>
              <w:t>四、所得税</w:t>
            </w:r>
          </w:p>
        </w:tc>
        <w:tc>
          <w:tcPr>
            <w:tcW w:w="788" w:type="pct"/>
          </w:tcPr>
          <w:p w14:paraId="5834B0BB" w14:textId="77777777" w:rsidR="002B14BC" w:rsidRPr="002B14BC" w:rsidRDefault="002B14BC" w:rsidP="002B14BC">
            <w:pPr>
              <w:pStyle w:val="13"/>
              <w:ind w:firstLineChars="0" w:firstLine="0"/>
              <w:rPr>
                <w:sz w:val="21"/>
                <w:szCs w:val="21"/>
                <w:lang w:bidi="zh-CN"/>
              </w:rPr>
            </w:pPr>
          </w:p>
        </w:tc>
        <w:tc>
          <w:tcPr>
            <w:tcW w:w="794" w:type="pct"/>
          </w:tcPr>
          <w:p w14:paraId="786CD4DD" w14:textId="77777777" w:rsidR="002B14BC" w:rsidRPr="002B14BC" w:rsidRDefault="002B14BC" w:rsidP="002B14BC">
            <w:pPr>
              <w:pStyle w:val="13"/>
              <w:ind w:firstLineChars="0" w:firstLine="0"/>
              <w:rPr>
                <w:sz w:val="21"/>
                <w:szCs w:val="21"/>
                <w:lang w:bidi="zh-CN"/>
              </w:rPr>
            </w:pPr>
          </w:p>
        </w:tc>
        <w:tc>
          <w:tcPr>
            <w:tcW w:w="757" w:type="pct"/>
          </w:tcPr>
          <w:p w14:paraId="022F27D0" w14:textId="77777777" w:rsidR="002B14BC" w:rsidRPr="002B14BC" w:rsidRDefault="002B14BC" w:rsidP="002B14BC">
            <w:pPr>
              <w:pStyle w:val="13"/>
              <w:ind w:firstLineChars="0" w:firstLine="0"/>
              <w:rPr>
                <w:sz w:val="21"/>
                <w:szCs w:val="21"/>
                <w:lang w:bidi="zh-CN"/>
              </w:rPr>
            </w:pPr>
          </w:p>
        </w:tc>
      </w:tr>
      <w:tr w:rsidR="002B14BC" w:rsidRPr="002B14BC" w14:paraId="115750CB" w14:textId="77777777" w:rsidTr="0090701D">
        <w:trPr>
          <w:trHeight w:val="326"/>
        </w:trPr>
        <w:tc>
          <w:tcPr>
            <w:tcW w:w="531" w:type="pct"/>
            <w:vAlign w:val="center"/>
          </w:tcPr>
          <w:p w14:paraId="1B1D0800"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5</w:t>
            </w:r>
          </w:p>
        </w:tc>
        <w:tc>
          <w:tcPr>
            <w:tcW w:w="2130" w:type="pct"/>
          </w:tcPr>
          <w:p w14:paraId="43C8B939" w14:textId="77777777" w:rsidR="002B14BC" w:rsidRPr="002B14BC" w:rsidRDefault="002B14BC" w:rsidP="002B14BC">
            <w:pPr>
              <w:pStyle w:val="13"/>
              <w:ind w:firstLineChars="0" w:firstLine="0"/>
              <w:rPr>
                <w:sz w:val="21"/>
                <w:szCs w:val="21"/>
                <w:lang w:bidi="zh-CN"/>
              </w:rPr>
            </w:pPr>
            <w:r w:rsidRPr="002B14BC">
              <w:rPr>
                <w:sz w:val="21"/>
                <w:szCs w:val="21"/>
                <w:lang w:bidi="zh-CN"/>
              </w:rPr>
              <w:t>五、净利润</w:t>
            </w:r>
          </w:p>
        </w:tc>
        <w:tc>
          <w:tcPr>
            <w:tcW w:w="788" w:type="pct"/>
          </w:tcPr>
          <w:p w14:paraId="067695A7" w14:textId="77777777" w:rsidR="002B14BC" w:rsidRPr="002B14BC" w:rsidRDefault="002B14BC" w:rsidP="002B14BC">
            <w:pPr>
              <w:pStyle w:val="13"/>
              <w:ind w:firstLineChars="0" w:firstLine="0"/>
              <w:rPr>
                <w:sz w:val="21"/>
                <w:szCs w:val="21"/>
                <w:lang w:bidi="zh-CN"/>
              </w:rPr>
            </w:pPr>
          </w:p>
        </w:tc>
        <w:tc>
          <w:tcPr>
            <w:tcW w:w="794" w:type="pct"/>
          </w:tcPr>
          <w:p w14:paraId="0E57E842" w14:textId="77777777" w:rsidR="002B14BC" w:rsidRPr="002B14BC" w:rsidRDefault="002B14BC" w:rsidP="002B14BC">
            <w:pPr>
              <w:pStyle w:val="13"/>
              <w:ind w:firstLineChars="0" w:firstLine="0"/>
              <w:rPr>
                <w:sz w:val="21"/>
                <w:szCs w:val="21"/>
                <w:lang w:bidi="zh-CN"/>
              </w:rPr>
            </w:pPr>
          </w:p>
        </w:tc>
        <w:tc>
          <w:tcPr>
            <w:tcW w:w="757" w:type="pct"/>
          </w:tcPr>
          <w:p w14:paraId="5D75F57B" w14:textId="77777777" w:rsidR="002B14BC" w:rsidRPr="002B14BC" w:rsidRDefault="002B14BC" w:rsidP="002B14BC">
            <w:pPr>
              <w:pStyle w:val="13"/>
              <w:ind w:firstLineChars="0" w:firstLine="0"/>
              <w:rPr>
                <w:sz w:val="21"/>
                <w:szCs w:val="21"/>
                <w:lang w:bidi="zh-CN"/>
              </w:rPr>
            </w:pPr>
          </w:p>
        </w:tc>
      </w:tr>
      <w:tr w:rsidR="002B14BC" w:rsidRPr="002B14BC" w14:paraId="6690E563" w14:textId="77777777" w:rsidTr="0090701D">
        <w:trPr>
          <w:trHeight w:val="326"/>
        </w:trPr>
        <w:tc>
          <w:tcPr>
            <w:tcW w:w="531" w:type="pct"/>
            <w:vAlign w:val="center"/>
          </w:tcPr>
          <w:p w14:paraId="5DC33ECE"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6</w:t>
            </w:r>
          </w:p>
        </w:tc>
        <w:tc>
          <w:tcPr>
            <w:tcW w:w="2130" w:type="pct"/>
          </w:tcPr>
          <w:p w14:paraId="264D547B" w14:textId="77777777" w:rsidR="002B14BC" w:rsidRPr="002B14BC" w:rsidRDefault="002B14BC" w:rsidP="002B14BC">
            <w:pPr>
              <w:pStyle w:val="13"/>
              <w:ind w:firstLineChars="0" w:firstLine="0"/>
              <w:rPr>
                <w:sz w:val="21"/>
                <w:szCs w:val="21"/>
                <w:lang w:bidi="zh-CN"/>
              </w:rPr>
            </w:pPr>
            <w:r w:rsidRPr="002B14BC">
              <w:rPr>
                <w:sz w:val="21"/>
                <w:szCs w:val="21"/>
                <w:lang w:bidi="zh-CN"/>
              </w:rPr>
              <w:t>六、固定资产折旧</w:t>
            </w:r>
          </w:p>
        </w:tc>
        <w:tc>
          <w:tcPr>
            <w:tcW w:w="788" w:type="pct"/>
          </w:tcPr>
          <w:p w14:paraId="7FAEBEE2" w14:textId="77777777" w:rsidR="002B14BC" w:rsidRPr="002B14BC" w:rsidRDefault="002B14BC" w:rsidP="002B14BC">
            <w:pPr>
              <w:pStyle w:val="13"/>
              <w:ind w:firstLineChars="0" w:firstLine="0"/>
              <w:rPr>
                <w:sz w:val="21"/>
                <w:szCs w:val="21"/>
                <w:lang w:bidi="zh-CN"/>
              </w:rPr>
            </w:pPr>
          </w:p>
        </w:tc>
        <w:tc>
          <w:tcPr>
            <w:tcW w:w="794" w:type="pct"/>
          </w:tcPr>
          <w:p w14:paraId="6DDDD9E3" w14:textId="77777777" w:rsidR="002B14BC" w:rsidRPr="002B14BC" w:rsidRDefault="002B14BC" w:rsidP="002B14BC">
            <w:pPr>
              <w:pStyle w:val="13"/>
              <w:ind w:firstLineChars="0" w:firstLine="0"/>
              <w:rPr>
                <w:sz w:val="21"/>
                <w:szCs w:val="21"/>
                <w:lang w:bidi="zh-CN"/>
              </w:rPr>
            </w:pPr>
          </w:p>
        </w:tc>
        <w:tc>
          <w:tcPr>
            <w:tcW w:w="757" w:type="pct"/>
          </w:tcPr>
          <w:p w14:paraId="72FCC7FB" w14:textId="77777777" w:rsidR="002B14BC" w:rsidRPr="002B14BC" w:rsidRDefault="002B14BC" w:rsidP="002B14BC">
            <w:pPr>
              <w:pStyle w:val="13"/>
              <w:ind w:firstLineChars="0" w:firstLine="0"/>
              <w:rPr>
                <w:sz w:val="21"/>
                <w:szCs w:val="21"/>
                <w:lang w:bidi="zh-CN"/>
              </w:rPr>
            </w:pPr>
          </w:p>
        </w:tc>
      </w:tr>
      <w:tr w:rsidR="002B14BC" w:rsidRPr="002B14BC" w14:paraId="7DD80F10" w14:textId="77777777" w:rsidTr="0090701D">
        <w:trPr>
          <w:trHeight w:val="652"/>
        </w:trPr>
        <w:tc>
          <w:tcPr>
            <w:tcW w:w="531" w:type="pct"/>
            <w:vAlign w:val="center"/>
          </w:tcPr>
          <w:p w14:paraId="6F0B6DD9" w14:textId="77777777" w:rsidR="002B14BC" w:rsidRPr="002B14BC" w:rsidRDefault="002B14BC" w:rsidP="0090701D">
            <w:pPr>
              <w:pStyle w:val="13"/>
              <w:ind w:firstLineChars="0" w:firstLine="0"/>
              <w:jc w:val="center"/>
              <w:rPr>
                <w:sz w:val="21"/>
                <w:szCs w:val="21"/>
                <w:lang w:bidi="zh-CN"/>
              </w:rPr>
            </w:pPr>
            <w:r w:rsidRPr="002B14BC">
              <w:rPr>
                <w:sz w:val="21"/>
                <w:szCs w:val="21"/>
                <w:lang w:bidi="zh-CN"/>
              </w:rPr>
              <w:t>7</w:t>
            </w:r>
          </w:p>
        </w:tc>
        <w:tc>
          <w:tcPr>
            <w:tcW w:w="2130" w:type="pct"/>
          </w:tcPr>
          <w:p w14:paraId="2A2C860B" w14:textId="530B5054" w:rsidR="002B14BC" w:rsidRPr="002B14BC" w:rsidRDefault="002B14BC" w:rsidP="002B14BC">
            <w:pPr>
              <w:pStyle w:val="13"/>
              <w:ind w:firstLineChars="0" w:firstLine="0"/>
              <w:rPr>
                <w:sz w:val="21"/>
                <w:szCs w:val="21"/>
                <w:lang w:bidi="zh-CN"/>
              </w:rPr>
            </w:pPr>
            <w:r w:rsidRPr="002B14BC">
              <w:rPr>
                <w:sz w:val="21"/>
                <w:szCs w:val="21"/>
                <w:lang w:bidi="zh-CN"/>
              </w:rPr>
              <w:t>七、购建固定资产、无形资产和其他长期资产支付的现金</w:t>
            </w:r>
          </w:p>
        </w:tc>
        <w:tc>
          <w:tcPr>
            <w:tcW w:w="788" w:type="pct"/>
          </w:tcPr>
          <w:p w14:paraId="091F0FA5" w14:textId="77777777" w:rsidR="002B14BC" w:rsidRPr="002B14BC" w:rsidRDefault="002B14BC" w:rsidP="002B14BC">
            <w:pPr>
              <w:pStyle w:val="13"/>
              <w:ind w:firstLineChars="0" w:firstLine="0"/>
              <w:rPr>
                <w:sz w:val="21"/>
                <w:szCs w:val="21"/>
                <w:lang w:bidi="zh-CN"/>
              </w:rPr>
            </w:pPr>
          </w:p>
        </w:tc>
        <w:tc>
          <w:tcPr>
            <w:tcW w:w="794" w:type="pct"/>
          </w:tcPr>
          <w:p w14:paraId="07A7D089" w14:textId="77777777" w:rsidR="002B14BC" w:rsidRPr="002B14BC" w:rsidRDefault="002B14BC" w:rsidP="002B14BC">
            <w:pPr>
              <w:pStyle w:val="13"/>
              <w:ind w:firstLineChars="0" w:firstLine="0"/>
              <w:rPr>
                <w:sz w:val="21"/>
                <w:szCs w:val="21"/>
                <w:lang w:bidi="zh-CN"/>
              </w:rPr>
            </w:pPr>
          </w:p>
        </w:tc>
        <w:tc>
          <w:tcPr>
            <w:tcW w:w="757" w:type="pct"/>
          </w:tcPr>
          <w:p w14:paraId="4BF7D5F6" w14:textId="77777777" w:rsidR="002B14BC" w:rsidRPr="002B14BC" w:rsidRDefault="002B14BC" w:rsidP="002B14BC">
            <w:pPr>
              <w:pStyle w:val="13"/>
              <w:ind w:firstLineChars="0" w:firstLine="0"/>
              <w:rPr>
                <w:sz w:val="21"/>
                <w:szCs w:val="21"/>
                <w:lang w:bidi="zh-CN"/>
              </w:rPr>
            </w:pPr>
          </w:p>
        </w:tc>
      </w:tr>
      <w:tr w:rsidR="002B14BC" w:rsidRPr="002B14BC" w14:paraId="3140C273" w14:textId="77777777" w:rsidTr="0090701D">
        <w:trPr>
          <w:trHeight w:val="326"/>
        </w:trPr>
        <w:tc>
          <w:tcPr>
            <w:tcW w:w="531" w:type="pct"/>
            <w:vAlign w:val="center"/>
          </w:tcPr>
          <w:p w14:paraId="64C6CAB4"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8</w:t>
            </w:r>
          </w:p>
        </w:tc>
        <w:tc>
          <w:tcPr>
            <w:tcW w:w="2130" w:type="pct"/>
          </w:tcPr>
          <w:p w14:paraId="395B38D4" w14:textId="77777777" w:rsidR="002B14BC" w:rsidRPr="002B14BC" w:rsidRDefault="002B14BC" w:rsidP="002B14BC">
            <w:pPr>
              <w:pStyle w:val="13"/>
              <w:ind w:firstLineChars="0" w:firstLine="0"/>
              <w:rPr>
                <w:sz w:val="21"/>
                <w:szCs w:val="21"/>
                <w:lang w:bidi="zh-CN"/>
              </w:rPr>
            </w:pPr>
            <w:r w:rsidRPr="002B14BC">
              <w:rPr>
                <w:sz w:val="21"/>
                <w:szCs w:val="21"/>
                <w:lang w:bidi="zh-CN"/>
              </w:rPr>
              <w:t>八、政府补助投资</w:t>
            </w:r>
          </w:p>
        </w:tc>
        <w:tc>
          <w:tcPr>
            <w:tcW w:w="788" w:type="pct"/>
          </w:tcPr>
          <w:p w14:paraId="7B9FE3E5" w14:textId="77777777" w:rsidR="002B14BC" w:rsidRPr="002B14BC" w:rsidRDefault="002B14BC" w:rsidP="002B14BC">
            <w:pPr>
              <w:pStyle w:val="13"/>
              <w:ind w:firstLineChars="0" w:firstLine="0"/>
              <w:rPr>
                <w:sz w:val="21"/>
                <w:szCs w:val="21"/>
                <w:lang w:bidi="zh-CN"/>
              </w:rPr>
            </w:pPr>
          </w:p>
        </w:tc>
        <w:tc>
          <w:tcPr>
            <w:tcW w:w="794" w:type="pct"/>
          </w:tcPr>
          <w:p w14:paraId="3FF6C1F3" w14:textId="77777777" w:rsidR="002B14BC" w:rsidRPr="002B14BC" w:rsidRDefault="002B14BC" w:rsidP="002B14BC">
            <w:pPr>
              <w:pStyle w:val="13"/>
              <w:ind w:firstLineChars="0" w:firstLine="0"/>
              <w:rPr>
                <w:sz w:val="21"/>
                <w:szCs w:val="21"/>
                <w:lang w:bidi="zh-CN"/>
              </w:rPr>
            </w:pPr>
          </w:p>
        </w:tc>
        <w:tc>
          <w:tcPr>
            <w:tcW w:w="757" w:type="pct"/>
          </w:tcPr>
          <w:p w14:paraId="787B678F" w14:textId="77777777" w:rsidR="002B14BC" w:rsidRPr="002B14BC" w:rsidRDefault="002B14BC" w:rsidP="002B14BC">
            <w:pPr>
              <w:pStyle w:val="13"/>
              <w:ind w:firstLineChars="0" w:firstLine="0"/>
              <w:rPr>
                <w:sz w:val="21"/>
                <w:szCs w:val="21"/>
                <w:lang w:bidi="zh-CN"/>
              </w:rPr>
            </w:pPr>
          </w:p>
        </w:tc>
      </w:tr>
      <w:tr w:rsidR="002B14BC" w:rsidRPr="002B14BC" w14:paraId="634B7E54" w14:textId="77777777" w:rsidTr="0090701D">
        <w:trPr>
          <w:trHeight w:val="325"/>
        </w:trPr>
        <w:tc>
          <w:tcPr>
            <w:tcW w:w="531" w:type="pct"/>
            <w:vAlign w:val="center"/>
          </w:tcPr>
          <w:p w14:paraId="1C708607"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9</w:t>
            </w:r>
          </w:p>
        </w:tc>
        <w:tc>
          <w:tcPr>
            <w:tcW w:w="2130" w:type="pct"/>
          </w:tcPr>
          <w:p w14:paraId="23D282A0" w14:textId="77777777" w:rsidR="002B14BC" w:rsidRPr="002B14BC" w:rsidRDefault="002B14BC" w:rsidP="002B14BC">
            <w:pPr>
              <w:pStyle w:val="13"/>
              <w:ind w:firstLineChars="0" w:firstLine="0"/>
              <w:rPr>
                <w:sz w:val="21"/>
                <w:szCs w:val="21"/>
                <w:lang w:bidi="zh-CN"/>
              </w:rPr>
            </w:pPr>
            <w:r w:rsidRPr="002B14BC">
              <w:rPr>
                <w:sz w:val="21"/>
                <w:szCs w:val="21"/>
                <w:lang w:bidi="zh-CN"/>
              </w:rPr>
              <w:t>九、取得借款收到的现金</w:t>
            </w:r>
          </w:p>
        </w:tc>
        <w:tc>
          <w:tcPr>
            <w:tcW w:w="788" w:type="pct"/>
          </w:tcPr>
          <w:p w14:paraId="5DEA03EC" w14:textId="77777777" w:rsidR="002B14BC" w:rsidRPr="002B14BC" w:rsidRDefault="002B14BC" w:rsidP="002B14BC">
            <w:pPr>
              <w:pStyle w:val="13"/>
              <w:ind w:firstLineChars="0" w:firstLine="0"/>
              <w:rPr>
                <w:sz w:val="21"/>
                <w:szCs w:val="21"/>
                <w:lang w:bidi="zh-CN"/>
              </w:rPr>
            </w:pPr>
          </w:p>
        </w:tc>
        <w:tc>
          <w:tcPr>
            <w:tcW w:w="794" w:type="pct"/>
          </w:tcPr>
          <w:p w14:paraId="75A55FBB" w14:textId="77777777" w:rsidR="002B14BC" w:rsidRPr="002B14BC" w:rsidRDefault="002B14BC" w:rsidP="002B14BC">
            <w:pPr>
              <w:pStyle w:val="13"/>
              <w:ind w:firstLineChars="0" w:firstLine="0"/>
              <w:rPr>
                <w:sz w:val="21"/>
                <w:szCs w:val="21"/>
                <w:lang w:bidi="zh-CN"/>
              </w:rPr>
            </w:pPr>
          </w:p>
        </w:tc>
        <w:tc>
          <w:tcPr>
            <w:tcW w:w="757" w:type="pct"/>
          </w:tcPr>
          <w:p w14:paraId="64567175" w14:textId="77777777" w:rsidR="002B14BC" w:rsidRPr="002B14BC" w:rsidRDefault="002B14BC" w:rsidP="002B14BC">
            <w:pPr>
              <w:pStyle w:val="13"/>
              <w:ind w:firstLineChars="0" w:firstLine="0"/>
              <w:rPr>
                <w:sz w:val="21"/>
                <w:szCs w:val="21"/>
                <w:lang w:bidi="zh-CN"/>
              </w:rPr>
            </w:pPr>
          </w:p>
        </w:tc>
      </w:tr>
      <w:tr w:rsidR="002B14BC" w:rsidRPr="002B14BC" w14:paraId="499686BB" w14:textId="77777777" w:rsidTr="0090701D">
        <w:trPr>
          <w:trHeight w:val="326"/>
        </w:trPr>
        <w:tc>
          <w:tcPr>
            <w:tcW w:w="531" w:type="pct"/>
            <w:vAlign w:val="center"/>
          </w:tcPr>
          <w:p w14:paraId="623A3AC6"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10</w:t>
            </w:r>
          </w:p>
        </w:tc>
        <w:tc>
          <w:tcPr>
            <w:tcW w:w="2130" w:type="pct"/>
          </w:tcPr>
          <w:p w14:paraId="6EEDAB19" w14:textId="77777777" w:rsidR="002B14BC" w:rsidRPr="002B14BC" w:rsidRDefault="002B14BC" w:rsidP="002B14BC">
            <w:pPr>
              <w:pStyle w:val="13"/>
              <w:ind w:firstLineChars="0" w:firstLine="0"/>
              <w:rPr>
                <w:sz w:val="21"/>
                <w:szCs w:val="21"/>
                <w:lang w:bidi="zh-CN"/>
              </w:rPr>
            </w:pPr>
            <w:r w:rsidRPr="002B14BC">
              <w:rPr>
                <w:sz w:val="21"/>
                <w:szCs w:val="21"/>
                <w:lang w:bidi="zh-CN"/>
              </w:rPr>
              <w:t>十、偿还债务支付的现金</w:t>
            </w:r>
          </w:p>
        </w:tc>
        <w:tc>
          <w:tcPr>
            <w:tcW w:w="788" w:type="pct"/>
          </w:tcPr>
          <w:p w14:paraId="2EC9D0E0" w14:textId="77777777" w:rsidR="002B14BC" w:rsidRPr="002B14BC" w:rsidRDefault="002B14BC" w:rsidP="002B14BC">
            <w:pPr>
              <w:pStyle w:val="13"/>
              <w:ind w:firstLineChars="0" w:firstLine="0"/>
              <w:rPr>
                <w:sz w:val="21"/>
                <w:szCs w:val="21"/>
                <w:lang w:bidi="zh-CN"/>
              </w:rPr>
            </w:pPr>
          </w:p>
        </w:tc>
        <w:tc>
          <w:tcPr>
            <w:tcW w:w="794" w:type="pct"/>
          </w:tcPr>
          <w:p w14:paraId="0F5EDF58" w14:textId="77777777" w:rsidR="002B14BC" w:rsidRPr="002B14BC" w:rsidRDefault="002B14BC" w:rsidP="002B14BC">
            <w:pPr>
              <w:pStyle w:val="13"/>
              <w:ind w:firstLineChars="0" w:firstLine="0"/>
              <w:rPr>
                <w:sz w:val="21"/>
                <w:szCs w:val="21"/>
                <w:lang w:bidi="zh-CN"/>
              </w:rPr>
            </w:pPr>
          </w:p>
        </w:tc>
        <w:tc>
          <w:tcPr>
            <w:tcW w:w="757" w:type="pct"/>
          </w:tcPr>
          <w:p w14:paraId="45AAEEC3" w14:textId="77777777" w:rsidR="002B14BC" w:rsidRPr="002B14BC" w:rsidRDefault="002B14BC" w:rsidP="002B14BC">
            <w:pPr>
              <w:pStyle w:val="13"/>
              <w:ind w:firstLineChars="0" w:firstLine="0"/>
              <w:rPr>
                <w:sz w:val="21"/>
                <w:szCs w:val="21"/>
                <w:lang w:bidi="zh-CN"/>
              </w:rPr>
            </w:pPr>
          </w:p>
        </w:tc>
      </w:tr>
      <w:tr w:rsidR="002B14BC" w:rsidRPr="002B14BC" w14:paraId="316B1101" w14:textId="77777777" w:rsidTr="0090701D">
        <w:trPr>
          <w:trHeight w:val="325"/>
        </w:trPr>
        <w:tc>
          <w:tcPr>
            <w:tcW w:w="531" w:type="pct"/>
            <w:vAlign w:val="center"/>
          </w:tcPr>
          <w:p w14:paraId="2EBB903F"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11</w:t>
            </w:r>
          </w:p>
        </w:tc>
        <w:tc>
          <w:tcPr>
            <w:tcW w:w="2130" w:type="pct"/>
          </w:tcPr>
          <w:p w14:paraId="6C999255" w14:textId="77777777" w:rsidR="002B14BC" w:rsidRPr="002B14BC" w:rsidRDefault="002B14BC" w:rsidP="002B14BC">
            <w:pPr>
              <w:pStyle w:val="13"/>
              <w:ind w:firstLineChars="0" w:firstLine="0"/>
              <w:rPr>
                <w:sz w:val="21"/>
                <w:szCs w:val="21"/>
                <w:lang w:bidi="zh-CN"/>
              </w:rPr>
            </w:pPr>
            <w:r w:rsidRPr="002B14BC">
              <w:rPr>
                <w:sz w:val="21"/>
                <w:szCs w:val="21"/>
                <w:lang w:bidi="zh-CN"/>
              </w:rPr>
              <w:t>十一、股东自由现金流量</w:t>
            </w:r>
          </w:p>
        </w:tc>
        <w:tc>
          <w:tcPr>
            <w:tcW w:w="788" w:type="pct"/>
          </w:tcPr>
          <w:p w14:paraId="5A8FB1BA" w14:textId="77777777" w:rsidR="002B14BC" w:rsidRPr="002B14BC" w:rsidRDefault="002B14BC" w:rsidP="002B14BC">
            <w:pPr>
              <w:pStyle w:val="13"/>
              <w:ind w:firstLineChars="0" w:firstLine="0"/>
              <w:rPr>
                <w:sz w:val="21"/>
                <w:szCs w:val="21"/>
                <w:lang w:bidi="zh-CN"/>
              </w:rPr>
            </w:pPr>
          </w:p>
        </w:tc>
        <w:tc>
          <w:tcPr>
            <w:tcW w:w="794" w:type="pct"/>
          </w:tcPr>
          <w:p w14:paraId="55A2074F" w14:textId="77777777" w:rsidR="002B14BC" w:rsidRPr="002B14BC" w:rsidRDefault="002B14BC" w:rsidP="002B14BC">
            <w:pPr>
              <w:pStyle w:val="13"/>
              <w:ind w:firstLineChars="0" w:firstLine="0"/>
              <w:rPr>
                <w:sz w:val="21"/>
                <w:szCs w:val="21"/>
                <w:lang w:bidi="zh-CN"/>
              </w:rPr>
            </w:pPr>
          </w:p>
        </w:tc>
        <w:tc>
          <w:tcPr>
            <w:tcW w:w="757" w:type="pct"/>
          </w:tcPr>
          <w:p w14:paraId="43FF3A44" w14:textId="77777777" w:rsidR="002B14BC" w:rsidRPr="002B14BC" w:rsidRDefault="002B14BC" w:rsidP="002B14BC">
            <w:pPr>
              <w:pStyle w:val="13"/>
              <w:ind w:firstLineChars="0" w:firstLine="0"/>
              <w:rPr>
                <w:sz w:val="21"/>
                <w:szCs w:val="21"/>
                <w:lang w:bidi="zh-CN"/>
              </w:rPr>
            </w:pPr>
          </w:p>
        </w:tc>
      </w:tr>
      <w:tr w:rsidR="002B14BC" w:rsidRPr="002B14BC" w14:paraId="17817A50" w14:textId="77777777" w:rsidTr="0090701D">
        <w:trPr>
          <w:trHeight w:val="326"/>
        </w:trPr>
        <w:tc>
          <w:tcPr>
            <w:tcW w:w="531" w:type="pct"/>
            <w:vAlign w:val="center"/>
          </w:tcPr>
          <w:p w14:paraId="73782615"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12</w:t>
            </w:r>
          </w:p>
        </w:tc>
        <w:tc>
          <w:tcPr>
            <w:tcW w:w="2130" w:type="pct"/>
          </w:tcPr>
          <w:p w14:paraId="6359E1D9" w14:textId="77777777" w:rsidR="002B14BC" w:rsidRPr="002B14BC" w:rsidRDefault="002B14BC" w:rsidP="002B14BC">
            <w:pPr>
              <w:pStyle w:val="13"/>
              <w:ind w:firstLineChars="0" w:firstLine="0"/>
              <w:rPr>
                <w:sz w:val="21"/>
                <w:szCs w:val="21"/>
                <w:lang w:bidi="zh-CN"/>
              </w:rPr>
            </w:pPr>
            <w:r w:rsidRPr="002B14BC">
              <w:rPr>
                <w:sz w:val="21"/>
                <w:szCs w:val="21"/>
                <w:lang w:bidi="zh-CN"/>
              </w:rPr>
              <w:t>十二、股东权益资本成本</w:t>
            </w:r>
          </w:p>
        </w:tc>
        <w:tc>
          <w:tcPr>
            <w:tcW w:w="788" w:type="pct"/>
          </w:tcPr>
          <w:p w14:paraId="0A3A232B" w14:textId="77777777" w:rsidR="002B14BC" w:rsidRPr="002B14BC" w:rsidRDefault="002B14BC" w:rsidP="002B14BC">
            <w:pPr>
              <w:pStyle w:val="13"/>
              <w:ind w:firstLineChars="0" w:firstLine="0"/>
              <w:rPr>
                <w:sz w:val="21"/>
                <w:szCs w:val="21"/>
                <w:lang w:bidi="zh-CN"/>
              </w:rPr>
            </w:pPr>
          </w:p>
        </w:tc>
        <w:tc>
          <w:tcPr>
            <w:tcW w:w="794" w:type="pct"/>
          </w:tcPr>
          <w:p w14:paraId="7363DA39" w14:textId="77777777" w:rsidR="002B14BC" w:rsidRPr="002B14BC" w:rsidRDefault="002B14BC" w:rsidP="002B14BC">
            <w:pPr>
              <w:pStyle w:val="13"/>
              <w:ind w:firstLineChars="0" w:firstLine="0"/>
              <w:rPr>
                <w:sz w:val="21"/>
                <w:szCs w:val="21"/>
                <w:lang w:bidi="zh-CN"/>
              </w:rPr>
            </w:pPr>
          </w:p>
        </w:tc>
        <w:tc>
          <w:tcPr>
            <w:tcW w:w="757" w:type="pct"/>
          </w:tcPr>
          <w:p w14:paraId="58B79FFC" w14:textId="77777777" w:rsidR="002B14BC" w:rsidRPr="002B14BC" w:rsidRDefault="002B14BC" w:rsidP="002B14BC">
            <w:pPr>
              <w:pStyle w:val="13"/>
              <w:ind w:firstLineChars="0" w:firstLine="0"/>
              <w:rPr>
                <w:sz w:val="21"/>
                <w:szCs w:val="21"/>
                <w:lang w:bidi="zh-CN"/>
              </w:rPr>
            </w:pPr>
          </w:p>
        </w:tc>
      </w:tr>
      <w:tr w:rsidR="002B14BC" w:rsidRPr="002B14BC" w14:paraId="6740975B" w14:textId="77777777" w:rsidTr="0090701D">
        <w:trPr>
          <w:trHeight w:val="325"/>
        </w:trPr>
        <w:tc>
          <w:tcPr>
            <w:tcW w:w="531" w:type="pct"/>
            <w:vAlign w:val="center"/>
          </w:tcPr>
          <w:p w14:paraId="5D3E1AE3"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13</w:t>
            </w:r>
          </w:p>
        </w:tc>
        <w:tc>
          <w:tcPr>
            <w:tcW w:w="2130" w:type="pct"/>
          </w:tcPr>
          <w:p w14:paraId="329A6FC6" w14:textId="77777777" w:rsidR="002B14BC" w:rsidRPr="002B14BC" w:rsidRDefault="002B14BC" w:rsidP="002B14BC">
            <w:pPr>
              <w:pStyle w:val="13"/>
              <w:ind w:firstLineChars="0" w:firstLine="0"/>
              <w:rPr>
                <w:sz w:val="21"/>
                <w:szCs w:val="21"/>
                <w:lang w:bidi="zh-CN"/>
              </w:rPr>
            </w:pPr>
            <w:r w:rsidRPr="002B14BC">
              <w:rPr>
                <w:sz w:val="21"/>
                <w:szCs w:val="21"/>
                <w:lang w:bidi="zh-CN"/>
              </w:rPr>
              <w:t>十三、折现系数</w:t>
            </w:r>
          </w:p>
        </w:tc>
        <w:tc>
          <w:tcPr>
            <w:tcW w:w="788" w:type="pct"/>
          </w:tcPr>
          <w:p w14:paraId="69BEDBB0" w14:textId="77777777" w:rsidR="002B14BC" w:rsidRPr="002B14BC" w:rsidRDefault="002B14BC" w:rsidP="002B14BC">
            <w:pPr>
              <w:pStyle w:val="13"/>
              <w:ind w:firstLineChars="0" w:firstLine="0"/>
              <w:rPr>
                <w:sz w:val="21"/>
                <w:szCs w:val="21"/>
                <w:lang w:bidi="zh-CN"/>
              </w:rPr>
            </w:pPr>
          </w:p>
        </w:tc>
        <w:tc>
          <w:tcPr>
            <w:tcW w:w="794" w:type="pct"/>
          </w:tcPr>
          <w:p w14:paraId="59FEEA31" w14:textId="77777777" w:rsidR="002B14BC" w:rsidRPr="002B14BC" w:rsidRDefault="002B14BC" w:rsidP="002B14BC">
            <w:pPr>
              <w:pStyle w:val="13"/>
              <w:ind w:firstLineChars="0" w:firstLine="0"/>
              <w:rPr>
                <w:sz w:val="21"/>
                <w:szCs w:val="21"/>
                <w:lang w:bidi="zh-CN"/>
              </w:rPr>
            </w:pPr>
          </w:p>
        </w:tc>
        <w:tc>
          <w:tcPr>
            <w:tcW w:w="757" w:type="pct"/>
          </w:tcPr>
          <w:p w14:paraId="236B524A" w14:textId="77777777" w:rsidR="002B14BC" w:rsidRPr="002B14BC" w:rsidRDefault="002B14BC" w:rsidP="002B14BC">
            <w:pPr>
              <w:pStyle w:val="13"/>
              <w:ind w:firstLineChars="0" w:firstLine="0"/>
              <w:rPr>
                <w:sz w:val="21"/>
                <w:szCs w:val="21"/>
                <w:lang w:bidi="zh-CN"/>
              </w:rPr>
            </w:pPr>
          </w:p>
        </w:tc>
      </w:tr>
      <w:tr w:rsidR="002B14BC" w:rsidRPr="002B14BC" w14:paraId="58B64B68" w14:textId="77777777" w:rsidTr="0090701D">
        <w:trPr>
          <w:trHeight w:val="325"/>
        </w:trPr>
        <w:tc>
          <w:tcPr>
            <w:tcW w:w="531" w:type="pct"/>
            <w:vAlign w:val="center"/>
          </w:tcPr>
          <w:p w14:paraId="33FB59EC"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14</w:t>
            </w:r>
          </w:p>
        </w:tc>
        <w:tc>
          <w:tcPr>
            <w:tcW w:w="2130" w:type="pct"/>
          </w:tcPr>
          <w:p w14:paraId="4CB580BC" w14:textId="77777777" w:rsidR="002B14BC" w:rsidRPr="002B14BC" w:rsidRDefault="002B14BC" w:rsidP="002B14BC">
            <w:pPr>
              <w:pStyle w:val="13"/>
              <w:ind w:firstLineChars="0" w:firstLine="0"/>
              <w:rPr>
                <w:sz w:val="21"/>
                <w:szCs w:val="21"/>
                <w:lang w:bidi="zh-CN"/>
              </w:rPr>
            </w:pPr>
            <w:r w:rsidRPr="002B14BC">
              <w:rPr>
                <w:sz w:val="21"/>
                <w:szCs w:val="21"/>
                <w:lang w:bidi="zh-CN"/>
              </w:rPr>
              <w:t>十四、净现值</w:t>
            </w:r>
          </w:p>
        </w:tc>
        <w:tc>
          <w:tcPr>
            <w:tcW w:w="788" w:type="pct"/>
          </w:tcPr>
          <w:p w14:paraId="6A188981" w14:textId="77777777" w:rsidR="002B14BC" w:rsidRPr="002B14BC" w:rsidRDefault="002B14BC" w:rsidP="002B14BC">
            <w:pPr>
              <w:pStyle w:val="13"/>
              <w:ind w:firstLineChars="0" w:firstLine="0"/>
              <w:rPr>
                <w:sz w:val="21"/>
                <w:szCs w:val="21"/>
                <w:lang w:bidi="zh-CN"/>
              </w:rPr>
            </w:pPr>
          </w:p>
        </w:tc>
        <w:tc>
          <w:tcPr>
            <w:tcW w:w="794" w:type="pct"/>
          </w:tcPr>
          <w:p w14:paraId="4A601891" w14:textId="77777777" w:rsidR="002B14BC" w:rsidRPr="002B14BC" w:rsidRDefault="002B14BC" w:rsidP="002B14BC">
            <w:pPr>
              <w:pStyle w:val="13"/>
              <w:ind w:firstLineChars="0" w:firstLine="0"/>
              <w:rPr>
                <w:sz w:val="21"/>
                <w:szCs w:val="21"/>
                <w:lang w:bidi="zh-CN"/>
              </w:rPr>
            </w:pPr>
          </w:p>
        </w:tc>
        <w:tc>
          <w:tcPr>
            <w:tcW w:w="757" w:type="pct"/>
          </w:tcPr>
          <w:p w14:paraId="639B526F" w14:textId="77777777" w:rsidR="002B14BC" w:rsidRPr="002B14BC" w:rsidRDefault="002B14BC" w:rsidP="002B14BC">
            <w:pPr>
              <w:pStyle w:val="13"/>
              <w:ind w:firstLineChars="0" w:firstLine="0"/>
              <w:rPr>
                <w:sz w:val="21"/>
                <w:szCs w:val="21"/>
                <w:lang w:bidi="zh-CN"/>
              </w:rPr>
            </w:pPr>
          </w:p>
        </w:tc>
      </w:tr>
      <w:tr w:rsidR="002B14BC" w:rsidRPr="002B14BC" w14:paraId="02208D2A" w14:textId="77777777" w:rsidTr="0090701D">
        <w:trPr>
          <w:trHeight w:val="326"/>
        </w:trPr>
        <w:tc>
          <w:tcPr>
            <w:tcW w:w="531" w:type="pct"/>
            <w:vAlign w:val="center"/>
          </w:tcPr>
          <w:p w14:paraId="6477C1E0"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15</w:t>
            </w:r>
          </w:p>
        </w:tc>
        <w:tc>
          <w:tcPr>
            <w:tcW w:w="2130" w:type="pct"/>
          </w:tcPr>
          <w:p w14:paraId="61559A32" w14:textId="77777777" w:rsidR="002B14BC" w:rsidRPr="002B14BC" w:rsidRDefault="002B14BC" w:rsidP="002B14BC">
            <w:pPr>
              <w:pStyle w:val="13"/>
              <w:ind w:firstLineChars="0" w:firstLine="0"/>
              <w:rPr>
                <w:sz w:val="21"/>
                <w:szCs w:val="21"/>
                <w:lang w:bidi="zh-CN"/>
              </w:rPr>
            </w:pPr>
            <w:r w:rsidRPr="002B14BC">
              <w:rPr>
                <w:sz w:val="21"/>
                <w:szCs w:val="21"/>
                <w:lang w:bidi="zh-CN"/>
              </w:rPr>
              <w:t>十五、累计净现值</w:t>
            </w:r>
          </w:p>
        </w:tc>
        <w:tc>
          <w:tcPr>
            <w:tcW w:w="788" w:type="pct"/>
          </w:tcPr>
          <w:p w14:paraId="2C09589E" w14:textId="77777777" w:rsidR="002B14BC" w:rsidRPr="002B14BC" w:rsidRDefault="002B14BC" w:rsidP="002B14BC">
            <w:pPr>
              <w:pStyle w:val="13"/>
              <w:ind w:firstLineChars="0" w:firstLine="0"/>
              <w:rPr>
                <w:sz w:val="21"/>
                <w:szCs w:val="21"/>
                <w:lang w:bidi="zh-CN"/>
              </w:rPr>
            </w:pPr>
          </w:p>
        </w:tc>
        <w:tc>
          <w:tcPr>
            <w:tcW w:w="794" w:type="pct"/>
          </w:tcPr>
          <w:p w14:paraId="7D9960D0" w14:textId="77777777" w:rsidR="002B14BC" w:rsidRPr="002B14BC" w:rsidRDefault="002B14BC" w:rsidP="002B14BC">
            <w:pPr>
              <w:pStyle w:val="13"/>
              <w:ind w:firstLineChars="0" w:firstLine="0"/>
              <w:rPr>
                <w:sz w:val="21"/>
                <w:szCs w:val="21"/>
                <w:lang w:bidi="zh-CN"/>
              </w:rPr>
            </w:pPr>
          </w:p>
        </w:tc>
        <w:tc>
          <w:tcPr>
            <w:tcW w:w="757" w:type="pct"/>
          </w:tcPr>
          <w:p w14:paraId="00240D58" w14:textId="77777777" w:rsidR="002B14BC" w:rsidRPr="002B14BC" w:rsidRDefault="002B14BC" w:rsidP="002B14BC">
            <w:pPr>
              <w:pStyle w:val="13"/>
              <w:ind w:firstLineChars="0" w:firstLine="0"/>
              <w:rPr>
                <w:sz w:val="21"/>
                <w:szCs w:val="21"/>
                <w:lang w:bidi="zh-CN"/>
              </w:rPr>
            </w:pPr>
          </w:p>
        </w:tc>
      </w:tr>
      <w:tr w:rsidR="002B14BC" w:rsidRPr="002B14BC" w14:paraId="1CDC6F79" w14:textId="77777777" w:rsidTr="0090701D">
        <w:trPr>
          <w:trHeight w:val="326"/>
        </w:trPr>
        <w:tc>
          <w:tcPr>
            <w:tcW w:w="531" w:type="pct"/>
            <w:vAlign w:val="center"/>
          </w:tcPr>
          <w:p w14:paraId="35D42D79" w14:textId="77777777" w:rsidR="002B14BC" w:rsidRPr="002B14BC" w:rsidRDefault="002B14BC" w:rsidP="002B14BC">
            <w:pPr>
              <w:pStyle w:val="13"/>
              <w:ind w:firstLineChars="0" w:firstLine="0"/>
              <w:jc w:val="center"/>
              <w:rPr>
                <w:sz w:val="21"/>
                <w:szCs w:val="21"/>
                <w:lang w:bidi="zh-CN"/>
              </w:rPr>
            </w:pPr>
            <w:r w:rsidRPr="002B14BC">
              <w:rPr>
                <w:sz w:val="21"/>
                <w:szCs w:val="21"/>
                <w:lang w:bidi="zh-CN"/>
              </w:rPr>
              <w:t>17</w:t>
            </w:r>
          </w:p>
        </w:tc>
        <w:tc>
          <w:tcPr>
            <w:tcW w:w="2130" w:type="pct"/>
          </w:tcPr>
          <w:p w14:paraId="27E13910" w14:textId="77777777" w:rsidR="002B14BC" w:rsidRPr="002B14BC" w:rsidRDefault="002B14BC" w:rsidP="002B14BC">
            <w:pPr>
              <w:pStyle w:val="13"/>
              <w:ind w:firstLineChars="0" w:firstLine="0"/>
              <w:rPr>
                <w:sz w:val="21"/>
                <w:szCs w:val="21"/>
                <w:lang w:bidi="zh-CN"/>
              </w:rPr>
            </w:pPr>
            <w:r w:rsidRPr="002B14BC">
              <w:rPr>
                <w:sz w:val="21"/>
                <w:szCs w:val="21"/>
                <w:lang w:bidi="zh-CN"/>
              </w:rPr>
              <w:t>十六、权益资本内部收益率</w:t>
            </w:r>
          </w:p>
        </w:tc>
        <w:tc>
          <w:tcPr>
            <w:tcW w:w="788" w:type="pct"/>
          </w:tcPr>
          <w:p w14:paraId="0656E49F" w14:textId="77777777" w:rsidR="002B14BC" w:rsidRPr="002B14BC" w:rsidRDefault="002B14BC" w:rsidP="002B14BC">
            <w:pPr>
              <w:pStyle w:val="13"/>
              <w:ind w:firstLineChars="0" w:firstLine="0"/>
              <w:rPr>
                <w:sz w:val="21"/>
                <w:szCs w:val="21"/>
                <w:lang w:bidi="zh-CN"/>
              </w:rPr>
            </w:pPr>
          </w:p>
        </w:tc>
        <w:tc>
          <w:tcPr>
            <w:tcW w:w="794" w:type="pct"/>
          </w:tcPr>
          <w:p w14:paraId="4E8D5804" w14:textId="77777777" w:rsidR="002B14BC" w:rsidRPr="002B14BC" w:rsidRDefault="002B14BC" w:rsidP="002B14BC">
            <w:pPr>
              <w:pStyle w:val="13"/>
              <w:ind w:firstLineChars="0" w:firstLine="0"/>
              <w:rPr>
                <w:sz w:val="21"/>
                <w:szCs w:val="21"/>
                <w:lang w:bidi="zh-CN"/>
              </w:rPr>
            </w:pPr>
          </w:p>
        </w:tc>
        <w:tc>
          <w:tcPr>
            <w:tcW w:w="757" w:type="pct"/>
          </w:tcPr>
          <w:p w14:paraId="1F766A65" w14:textId="77777777" w:rsidR="002B14BC" w:rsidRPr="002B14BC" w:rsidRDefault="002B14BC" w:rsidP="002B14BC">
            <w:pPr>
              <w:pStyle w:val="13"/>
              <w:ind w:firstLineChars="0" w:firstLine="0"/>
              <w:rPr>
                <w:sz w:val="21"/>
                <w:szCs w:val="21"/>
                <w:lang w:bidi="zh-CN"/>
              </w:rPr>
            </w:pPr>
          </w:p>
        </w:tc>
      </w:tr>
    </w:tbl>
    <w:p w14:paraId="16F8B12A" w14:textId="0F892A2C" w:rsidR="004315CB" w:rsidRPr="0090701D" w:rsidRDefault="0090701D" w:rsidP="00882ED4">
      <w:pPr>
        <w:pStyle w:val="13"/>
        <w:ind w:firstLine="420"/>
        <w:rPr>
          <w:sz w:val="21"/>
          <w:szCs w:val="21"/>
        </w:rPr>
      </w:pPr>
      <w:r w:rsidRPr="0090701D">
        <w:rPr>
          <w:rFonts w:hint="eastAsia"/>
          <w:sz w:val="21"/>
          <w:szCs w:val="21"/>
        </w:rPr>
        <w:t>（注：从政府或项目实施机构角度计算财务指标时，预测期应当是项目全生命周期；</w:t>
      </w:r>
      <w:r w:rsidRPr="0090701D">
        <w:rPr>
          <w:sz w:val="21"/>
          <w:szCs w:val="21"/>
        </w:rPr>
        <w:t>从社会资本与融资</w:t>
      </w:r>
      <w:proofErr w:type="gramStart"/>
      <w:r w:rsidRPr="0090701D">
        <w:rPr>
          <w:sz w:val="21"/>
          <w:szCs w:val="21"/>
        </w:rPr>
        <w:t>方角度</w:t>
      </w:r>
      <w:proofErr w:type="gramEnd"/>
      <w:r w:rsidRPr="0090701D">
        <w:rPr>
          <w:sz w:val="21"/>
          <w:szCs w:val="21"/>
        </w:rPr>
        <w:t>计算财务指标时，预测期应当到</w:t>
      </w:r>
      <w:r w:rsidR="00B65C82">
        <w:rPr>
          <w:sz w:val="21"/>
          <w:szCs w:val="21"/>
        </w:rPr>
        <w:t>PPP</w:t>
      </w:r>
      <w:r w:rsidRPr="0090701D">
        <w:rPr>
          <w:sz w:val="21"/>
          <w:szCs w:val="21"/>
        </w:rPr>
        <w:t>项目合同约定的运营期结束）</w:t>
      </w:r>
    </w:p>
    <w:p w14:paraId="49FBBECF" w14:textId="77777777" w:rsidR="0090701D" w:rsidRDefault="0090701D" w:rsidP="0090701D">
      <w:pPr>
        <w:pStyle w:val="13"/>
      </w:pPr>
      <w:r>
        <w:t>2、财务测算分析</w:t>
      </w:r>
    </w:p>
    <w:p w14:paraId="586504C2" w14:textId="77777777" w:rsidR="0090701D" w:rsidRDefault="0090701D" w:rsidP="0090701D">
      <w:pPr>
        <w:pStyle w:val="13"/>
      </w:pPr>
      <w:r>
        <w:rPr>
          <w:rFonts w:hint="eastAsia"/>
        </w:rPr>
        <w:t>（</w:t>
      </w:r>
      <w:r>
        <w:t>1）财务测算评价指标</w:t>
      </w:r>
    </w:p>
    <w:p w14:paraId="36746590" w14:textId="62FE72AB" w:rsidR="0090701D" w:rsidRDefault="0090701D" w:rsidP="0090701D">
      <w:pPr>
        <w:pStyle w:val="13"/>
      </w:pPr>
      <w:r>
        <w:t>PPP项目参与者众多，财务评价指标也应当体现政府或项目实施机构、社会资本、融资方等主要参与者的利益诉求，保证其受益情况。</w:t>
      </w:r>
    </w:p>
    <w:p w14:paraId="2A690C0C" w14:textId="19479871" w:rsidR="0090701D" w:rsidRDefault="0090701D" w:rsidP="0090701D">
      <w:pPr>
        <w:pStyle w:val="13"/>
      </w:pPr>
      <w:r>
        <w:rPr>
          <w:rFonts w:hint="eastAsia"/>
        </w:rPr>
        <w:t>表</w:t>
      </w:r>
      <w:r>
        <w:t>6列出不同参与者关注的</w:t>
      </w:r>
      <w:r w:rsidR="00B65C82">
        <w:t>PPP</w:t>
      </w:r>
      <w:r>
        <w:t>财务评价指标以及指标计算方法。</w:t>
      </w:r>
    </w:p>
    <w:p w14:paraId="7673D44D" w14:textId="0D3B16EF" w:rsidR="004315CB" w:rsidRPr="0090701D" w:rsidRDefault="0090701D" w:rsidP="0090701D">
      <w:pPr>
        <w:pStyle w:val="13"/>
        <w:ind w:firstLineChars="0" w:firstLine="0"/>
        <w:jc w:val="center"/>
      </w:pPr>
      <w:r w:rsidRPr="0090701D">
        <w:rPr>
          <w:rFonts w:hint="eastAsia"/>
        </w:rPr>
        <w:t>表</w:t>
      </w:r>
      <w:r w:rsidRPr="0090701D">
        <w:t>6</w:t>
      </w:r>
      <w:r>
        <w:t xml:space="preserve"> </w:t>
      </w:r>
      <w:r w:rsidRPr="0090701D">
        <w:t>PPP项目主要财务评价指标体系</w:t>
      </w:r>
    </w:p>
    <w:tbl>
      <w:tblPr>
        <w:tblStyle w:val="af"/>
        <w:tblW w:w="5000" w:type="pct"/>
        <w:tblLook w:val="04A0" w:firstRow="1" w:lastRow="0" w:firstColumn="1" w:lastColumn="0" w:noHBand="0" w:noVBand="1"/>
      </w:tblPr>
      <w:tblGrid>
        <w:gridCol w:w="1444"/>
        <w:gridCol w:w="1458"/>
        <w:gridCol w:w="5818"/>
      </w:tblGrid>
      <w:tr w:rsidR="0090701D" w:rsidRPr="0090701D" w14:paraId="55B469B0" w14:textId="77777777" w:rsidTr="00C34C28">
        <w:trPr>
          <w:trHeight w:val="326"/>
          <w:tblHeader/>
        </w:trPr>
        <w:tc>
          <w:tcPr>
            <w:tcW w:w="828" w:type="pct"/>
            <w:vAlign w:val="center"/>
          </w:tcPr>
          <w:p w14:paraId="70B70318" w14:textId="77777777" w:rsidR="0090701D" w:rsidRPr="00C34C28" w:rsidRDefault="0090701D" w:rsidP="0090701D">
            <w:pPr>
              <w:pStyle w:val="13"/>
              <w:spacing w:line="240" w:lineRule="auto"/>
              <w:ind w:firstLineChars="0" w:firstLine="0"/>
              <w:jc w:val="center"/>
              <w:rPr>
                <w:b/>
                <w:bCs/>
                <w:sz w:val="21"/>
                <w:szCs w:val="21"/>
                <w:lang w:bidi="zh-CN"/>
              </w:rPr>
            </w:pPr>
            <w:r w:rsidRPr="00C34C28">
              <w:rPr>
                <w:b/>
                <w:bCs/>
                <w:sz w:val="21"/>
                <w:szCs w:val="21"/>
                <w:lang w:bidi="zh-CN"/>
              </w:rPr>
              <w:t>参与者</w:t>
            </w:r>
          </w:p>
        </w:tc>
        <w:tc>
          <w:tcPr>
            <w:tcW w:w="836" w:type="pct"/>
            <w:vAlign w:val="center"/>
          </w:tcPr>
          <w:p w14:paraId="37FE9C4A" w14:textId="77777777" w:rsidR="0090701D" w:rsidRPr="00C34C28" w:rsidRDefault="0090701D" w:rsidP="0090701D">
            <w:pPr>
              <w:pStyle w:val="13"/>
              <w:spacing w:line="240" w:lineRule="auto"/>
              <w:ind w:firstLineChars="0" w:firstLine="0"/>
              <w:jc w:val="center"/>
              <w:rPr>
                <w:b/>
                <w:bCs/>
                <w:sz w:val="21"/>
                <w:szCs w:val="21"/>
                <w:lang w:bidi="zh-CN"/>
              </w:rPr>
            </w:pPr>
            <w:r w:rsidRPr="00C34C28">
              <w:rPr>
                <w:b/>
                <w:bCs/>
                <w:sz w:val="21"/>
                <w:szCs w:val="21"/>
                <w:lang w:bidi="zh-CN"/>
              </w:rPr>
              <w:t>评价指标</w:t>
            </w:r>
          </w:p>
        </w:tc>
        <w:tc>
          <w:tcPr>
            <w:tcW w:w="3336" w:type="pct"/>
            <w:vAlign w:val="center"/>
          </w:tcPr>
          <w:p w14:paraId="3DBEA45D" w14:textId="77777777" w:rsidR="0090701D" w:rsidRPr="00C34C28" w:rsidRDefault="0090701D" w:rsidP="0090701D">
            <w:pPr>
              <w:pStyle w:val="13"/>
              <w:spacing w:line="240" w:lineRule="auto"/>
              <w:ind w:firstLineChars="0" w:firstLine="0"/>
              <w:jc w:val="center"/>
              <w:rPr>
                <w:b/>
                <w:bCs/>
                <w:sz w:val="21"/>
                <w:szCs w:val="21"/>
                <w:lang w:bidi="zh-CN"/>
              </w:rPr>
            </w:pPr>
            <w:r w:rsidRPr="00C34C28">
              <w:rPr>
                <w:b/>
                <w:bCs/>
                <w:sz w:val="21"/>
                <w:szCs w:val="21"/>
                <w:lang w:bidi="zh-CN"/>
              </w:rPr>
              <w:t>计算方法</w:t>
            </w:r>
          </w:p>
        </w:tc>
      </w:tr>
      <w:tr w:rsidR="0090701D" w:rsidRPr="0090701D" w14:paraId="75283610" w14:textId="77777777" w:rsidTr="0090701D">
        <w:trPr>
          <w:trHeight w:val="326"/>
        </w:trPr>
        <w:tc>
          <w:tcPr>
            <w:tcW w:w="828" w:type="pct"/>
            <w:vMerge w:val="restart"/>
            <w:vAlign w:val="center"/>
          </w:tcPr>
          <w:p w14:paraId="1E39C7E6"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政府或项目实施机构</w:t>
            </w:r>
          </w:p>
        </w:tc>
        <w:tc>
          <w:tcPr>
            <w:tcW w:w="836" w:type="pct"/>
            <w:vAlign w:val="center"/>
          </w:tcPr>
          <w:p w14:paraId="29B6805F"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自偿率</w:t>
            </w:r>
          </w:p>
        </w:tc>
        <w:tc>
          <w:tcPr>
            <w:tcW w:w="3336" w:type="pct"/>
            <w:vAlign w:val="center"/>
          </w:tcPr>
          <w:p w14:paraId="596790BB"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运营期净收入/建造成本</w:t>
            </w:r>
          </w:p>
        </w:tc>
      </w:tr>
      <w:tr w:rsidR="0090701D" w:rsidRPr="0090701D" w14:paraId="666F781F" w14:textId="77777777" w:rsidTr="0090701D">
        <w:trPr>
          <w:trHeight w:val="325"/>
        </w:trPr>
        <w:tc>
          <w:tcPr>
            <w:tcW w:w="828" w:type="pct"/>
            <w:vMerge/>
            <w:vAlign w:val="center"/>
          </w:tcPr>
          <w:p w14:paraId="22AF05BE"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2F7BFC4D"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增值 VFM</w:t>
            </w:r>
          </w:p>
        </w:tc>
        <w:tc>
          <w:tcPr>
            <w:tcW w:w="3336" w:type="pct"/>
            <w:vAlign w:val="center"/>
          </w:tcPr>
          <w:p w14:paraId="428AEB3E"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政府或项目实施机构基准值-投标价格</w:t>
            </w:r>
          </w:p>
        </w:tc>
      </w:tr>
      <w:tr w:rsidR="0090701D" w:rsidRPr="0090701D" w14:paraId="049AD52A" w14:textId="77777777" w:rsidTr="0090701D">
        <w:trPr>
          <w:trHeight w:val="651"/>
        </w:trPr>
        <w:tc>
          <w:tcPr>
            <w:tcW w:w="828" w:type="pct"/>
            <w:vMerge/>
            <w:vAlign w:val="center"/>
          </w:tcPr>
          <w:p w14:paraId="5D602BDB"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27EB7601"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净现值</w:t>
            </w:r>
          </w:p>
        </w:tc>
        <w:tc>
          <w:tcPr>
            <w:tcW w:w="3336" w:type="pct"/>
            <w:vAlign w:val="center"/>
          </w:tcPr>
          <w:p w14:paraId="0F1AC747" w14:textId="66118C02" w:rsidR="0090701D" w:rsidRPr="0090701D" w:rsidRDefault="00B65C82" w:rsidP="0090701D">
            <w:pPr>
              <w:pStyle w:val="13"/>
              <w:spacing w:line="240" w:lineRule="auto"/>
              <w:ind w:firstLineChars="0" w:firstLine="0"/>
              <w:rPr>
                <w:sz w:val="21"/>
                <w:szCs w:val="21"/>
                <w:lang w:bidi="zh-CN"/>
              </w:rPr>
            </w:pPr>
            <w:r>
              <w:rPr>
                <w:sz w:val="21"/>
                <w:szCs w:val="21"/>
                <w:lang w:bidi="zh-CN"/>
              </w:rPr>
              <w:t>PPP</w:t>
            </w:r>
            <w:r w:rsidR="0090701D" w:rsidRPr="0090701D">
              <w:rPr>
                <w:sz w:val="21"/>
                <w:szCs w:val="21"/>
                <w:lang w:bidi="zh-CN"/>
              </w:rPr>
              <w:t>项目在移交后到项目经济寿命结束之间的净现值，反映该</w:t>
            </w:r>
          </w:p>
          <w:p w14:paraId="115BAA24"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项目移交后的运营盈利能力</w:t>
            </w:r>
          </w:p>
        </w:tc>
      </w:tr>
      <w:tr w:rsidR="0090701D" w:rsidRPr="0090701D" w14:paraId="7D7D9081" w14:textId="77777777" w:rsidTr="0090701D">
        <w:trPr>
          <w:trHeight w:val="326"/>
        </w:trPr>
        <w:tc>
          <w:tcPr>
            <w:tcW w:w="828" w:type="pct"/>
            <w:vMerge w:val="restart"/>
            <w:vAlign w:val="center"/>
          </w:tcPr>
          <w:p w14:paraId="6CAD4A97"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社会资本</w:t>
            </w:r>
          </w:p>
        </w:tc>
        <w:tc>
          <w:tcPr>
            <w:tcW w:w="836" w:type="pct"/>
            <w:vAlign w:val="center"/>
          </w:tcPr>
          <w:p w14:paraId="4F136649"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净现值</w:t>
            </w:r>
          </w:p>
        </w:tc>
        <w:tc>
          <w:tcPr>
            <w:tcW w:w="3336" w:type="pct"/>
            <w:vAlign w:val="center"/>
          </w:tcPr>
          <w:p w14:paraId="3647D9DC" w14:textId="6EC7454F" w:rsidR="0090701D" w:rsidRPr="0090701D" w:rsidRDefault="00B65C82" w:rsidP="0090701D">
            <w:pPr>
              <w:pStyle w:val="13"/>
              <w:spacing w:line="240" w:lineRule="auto"/>
              <w:ind w:firstLineChars="0" w:firstLine="0"/>
              <w:rPr>
                <w:sz w:val="21"/>
                <w:szCs w:val="21"/>
                <w:lang w:bidi="zh-CN"/>
              </w:rPr>
            </w:pPr>
            <w:r>
              <w:rPr>
                <w:sz w:val="21"/>
                <w:szCs w:val="21"/>
                <w:lang w:bidi="zh-CN"/>
              </w:rPr>
              <w:t>PPP</w:t>
            </w:r>
            <w:r w:rsidR="0090701D" w:rsidRPr="0090701D">
              <w:rPr>
                <w:sz w:val="21"/>
                <w:szCs w:val="21"/>
                <w:lang w:bidi="zh-CN"/>
              </w:rPr>
              <w:t>项目协议约定的经营期内的净现值</w:t>
            </w:r>
          </w:p>
        </w:tc>
      </w:tr>
      <w:tr w:rsidR="0090701D" w:rsidRPr="0090701D" w14:paraId="618E7632" w14:textId="77777777" w:rsidTr="0090701D">
        <w:trPr>
          <w:trHeight w:val="325"/>
        </w:trPr>
        <w:tc>
          <w:tcPr>
            <w:tcW w:w="828" w:type="pct"/>
            <w:vMerge/>
            <w:vAlign w:val="center"/>
          </w:tcPr>
          <w:p w14:paraId="551D9EEC"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6C669986"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内含报酬率</w:t>
            </w:r>
          </w:p>
        </w:tc>
        <w:tc>
          <w:tcPr>
            <w:tcW w:w="3336" w:type="pct"/>
            <w:vAlign w:val="center"/>
          </w:tcPr>
          <w:p w14:paraId="371CA90F"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使净现值为零的折现率</w:t>
            </w:r>
          </w:p>
        </w:tc>
      </w:tr>
      <w:tr w:rsidR="0090701D" w:rsidRPr="0090701D" w14:paraId="210A6CCB" w14:textId="77777777" w:rsidTr="0090701D">
        <w:trPr>
          <w:trHeight w:val="652"/>
        </w:trPr>
        <w:tc>
          <w:tcPr>
            <w:tcW w:w="828" w:type="pct"/>
            <w:vMerge/>
            <w:vAlign w:val="center"/>
          </w:tcPr>
          <w:p w14:paraId="31593C86"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3B6BAD26"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投资回收期</w:t>
            </w:r>
          </w:p>
        </w:tc>
        <w:tc>
          <w:tcPr>
            <w:tcW w:w="3336" w:type="pct"/>
            <w:vAlign w:val="center"/>
          </w:tcPr>
          <w:p w14:paraId="682CFD9D" w14:textId="16F6F2DA"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累计净现金流量现值开始出现正值的年份-l+上一年累计现金流量现值的绝对值/当年净现金流量现值</w:t>
            </w:r>
          </w:p>
        </w:tc>
      </w:tr>
      <w:tr w:rsidR="0090701D" w:rsidRPr="0090701D" w14:paraId="6288A3C7" w14:textId="77777777" w:rsidTr="0090701D">
        <w:trPr>
          <w:trHeight w:val="652"/>
        </w:trPr>
        <w:tc>
          <w:tcPr>
            <w:tcW w:w="828" w:type="pct"/>
            <w:vMerge/>
            <w:vAlign w:val="center"/>
          </w:tcPr>
          <w:p w14:paraId="27FC6BC8"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69A1AB76" w14:textId="1ACF44DA"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权益资本内部收益率</w:t>
            </w:r>
          </w:p>
        </w:tc>
        <w:tc>
          <w:tcPr>
            <w:tcW w:w="3336" w:type="pct"/>
            <w:vAlign w:val="center"/>
          </w:tcPr>
          <w:p w14:paraId="7A3BC886"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净利润/所有者权益</w:t>
            </w:r>
          </w:p>
        </w:tc>
      </w:tr>
      <w:tr w:rsidR="0090701D" w:rsidRPr="0090701D" w14:paraId="06733C94" w14:textId="77777777" w:rsidTr="0090701D">
        <w:trPr>
          <w:trHeight w:val="651"/>
        </w:trPr>
        <w:tc>
          <w:tcPr>
            <w:tcW w:w="828" w:type="pct"/>
            <w:vMerge/>
            <w:vAlign w:val="center"/>
          </w:tcPr>
          <w:p w14:paraId="2F000719"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0BD28817" w14:textId="0D293804"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成本费用利润率</w:t>
            </w:r>
          </w:p>
        </w:tc>
        <w:tc>
          <w:tcPr>
            <w:tcW w:w="3336" w:type="pct"/>
            <w:vAlign w:val="center"/>
          </w:tcPr>
          <w:p w14:paraId="26BB9C98"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利润总额/成本费用总额</w:t>
            </w:r>
          </w:p>
        </w:tc>
      </w:tr>
      <w:tr w:rsidR="0090701D" w:rsidRPr="0090701D" w14:paraId="7A01D08C" w14:textId="77777777" w:rsidTr="0090701D">
        <w:trPr>
          <w:trHeight w:val="652"/>
        </w:trPr>
        <w:tc>
          <w:tcPr>
            <w:tcW w:w="828" w:type="pct"/>
            <w:vMerge/>
            <w:vAlign w:val="center"/>
          </w:tcPr>
          <w:p w14:paraId="0DE7A693"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6C698848" w14:textId="0156992B"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资本保值增值率</w:t>
            </w:r>
          </w:p>
        </w:tc>
        <w:tc>
          <w:tcPr>
            <w:tcW w:w="3336" w:type="pct"/>
            <w:vAlign w:val="center"/>
          </w:tcPr>
          <w:p w14:paraId="279E2BC4"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期末所有者权益/期初所有者权益</w:t>
            </w:r>
          </w:p>
        </w:tc>
      </w:tr>
      <w:tr w:rsidR="0090701D" w:rsidRPr="0090701D" w14:paraId="106A907C" w14:textId="77777777" w:rsidTr="0090701D">
        <w:trPr>
          <w:trHeight w:val="316"/>
        </w:trPr>
        <w:tc>
          <w:tcPr>
            <w:tcW w:w="828" w:type="pct"/>
            <w:vMerge w:val="restart"/>
            <w:vAlign w:val="center"/>
          </w:tcPr>
          <w:p w14:paraId="74467747"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融资方</w:t>
            </w:r>
          </w:p>
        </w:tc>
        <w:tc>
          <w:tcPr>
            <w:tcW w:w="836" w:type="pct"/>
            <w:vAlign w:val="center"/>
          </w:tcPr>
          <w:p w14:paraId="4E5ACF8F"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债务偿付率</w:t>
            </w:r>
          </w:p>
        </w:tc>
        <w:tc>
          <w:tcPr>
            <w:tcW w:w="3336" w:type="pct"/>
            <w:vAlign w:val="center"/>
          </w:tcPr>
          <w:p w14:paraId="0CD98907"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用于偿债的现金流量/当期应付贷款本息</w:t>
            </w:r>
          </w:p>
        </w:tc>
      </w:tr>
      <w:tr w:rsidR="0090701D" w:rsidRPr="0090701D" w14:paraId="7410A23C" w14:textId="77777777" w:rsidTr="0090701D">
        <w:trPr>
          <w:trHeight w:val="306"/>
        </w:trPr>
        <w:tc>
          <w:tcPr>
            <w:tcW w:w="828" w:type="pct"/>
            <w:vMerge/>
            <w:vAlign w:val="center"/>
          </w:tcPr>
          <w:p w14:paraId="6335AEB3"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1D7BF813"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利息保障倍数</w:t>
            </w:r>
          </w:p>
        </w:tc>
        <w:tc>
          <w:tcPr>
            <w:tcW w:w="3336" w:type="pct"/>
            <w:vAlign w:val="center"/>
          </w:tcPr>
          <w:p w14:paraId="37E8ABB9" w14:textId="77777777" w:rsidR="0090701D" w:rsidRPr="0090701D" w:rsidRDefault="0090701D" w:rsidP="0090701D">
            <w:pPr>
              <w:pStyle w:val="13"/>
              <w:spacing w:line="240" w:lineRule="auto"/>
              <w:ind w:firstLineChars="0" w:firstLine="0"/>
              <w:rPr>
                <w:sz w:val="21"/>
                <w:szCs w:val="21"/>
                <w:lang w:bidi="zh-CN"/>
              </w:rPr>
            </w:pPr>
            <w:proofErr w:type="gramStart"/>
            <w:r w:rsidRPr="0090701D">
              <w:rPr>
                <w:sz w:val="21"/>
                <w:szCs w:val="21"/>
                <w:lang w:bidi="zh-CN"/>
              </w:rPr>
              <w:t>息</w:t>
            </w:r>
            <w:proofErr w:type="gramEnd"/>
            <w:r w:rsidRPr="0090701D">
              <w:rPr>
                <w:sz w:val="21"/>
                <w:szCs w:val="21"/>
                <w:lang w:bidi="zh-CN"/>
              </w:rPr>
              <w:t>税前净利润/当</w:t>
            </w:r>
            <w:proofErr w:type="gramStart"/>
            <w:r w:rsidRPr="0090701D">
              <w:rPr>
                <w:sz w:val="21"/>
                <w:szCs w:val="21"/>
                <w:lang w:bidi="zh-CN"/>
              </w:rPr>
              <w:t>期贷</w:t>
            </w:r>
            <w:proofErr w:type="gramEnd"/>
            <w:r w:rsidRPr="0090701D">
              <w:rPr>
                <w:sz w:val="21"/>
                <w:szCs w:val="21"/>
                <w:lang w:bidi="zh-CN"/>
              </w:rPr>
              <w:t>款利息</w:t>
            </w:r>
          </w:p>
        </w:tc>
      </w:tr>
      <w:tr w:rsidR="0090701D" w:rsidRPr="0090701D" w14:paraId="78CD65AD" w14:textId="77777777" w:rsidTr="0090701D">
        <w:trPr>
          <w:trHeight w:val="305"/>
        </w:trPr>
        <w:tc>
          <w:tcPr>
            <w:tcW w:w="828" w:type="pct"/>
            <w:vMerge/>
            <w:vAlign w:val="center"/>
          </w:tcPr>
          <w:p w14:paraId="3D2CC352"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794DED70"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资产负债率</w:t>
            </w:r>
          </w:p>
        </w:tc>
        <w:tc>
          <w:tcPr>
            <w:tcW w:w="3336" w:type="pct"/>
            <w:vAlign w:val="center"/>
          </w:tcPr>
          <w:p w14:paraId="3D9ADAEC"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负债/资产</w:t>
            </w:r>
          </w:p>
        </w:tc>
      </w:tr>
      <w:tr w:rsidR="0090701D" w:rsidRPr="0090701D" w14:paraId="2D45992D" w14:textId="77777777" w:rsidTr="0090701D">
        <w:trPr>
          <w:trHeight w:val="316"/>
        </w:trPr>
        <w:tc>
          <w:tcPr>
            <w:tcW w:w="828" w:type="pct"/>
            <w:vMerge/>
            <w:vAlign w:val="center"/>
          </w:tcPr>
          <w:p w14:paraId="7AC284CC" w14:textId="77777777" w:rsidR="0090701D" w:rsidRPr="0090701D" w:rsidRDefault="0090701D" w:rsidP="0090701D">
            <w:pPr>
              <w:pStyle w:val="13"/>
              <w:spacing w:line="240" w:lineRule="auto"/>
              <w:ind w:firstLineChars="0" w:firstLine="0"/>
              <w:rPr>
                <w:sz w:val="21"/>
                <w:szCs w:val="21"/>
                <w:lang w:bidi="zh-CN"/>
              </w:rPr>
            </w:pPr>
          </w:p>
        </w:tc>
        <w:tc>
          <w:tcPr>
            <w:tcW w:w="836" w:type="pct"/>
            <w:vAlign w:val="center"/>
          </w:tcPr>
          <w:p w14:paraId="136D7621"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产权比率</w:t>
            </w:r>
          </w:p>
        </w:tc>
        <w:tc>
          <w:tcPr>
            <w:tcW w:w="3336" w:type="pct"/>
            <w:vAlign w:val="center"/>
          </w:tcPr>
          <w:p w14:paraId="695998BE" w14:textId="77777777" w:rsidR="0090701D" w:rsidRPr="0090701D" w:rsidRDefault="0090701D" w:rsidP="0090701D">
            <w:pPr>
              <w:pStyle w:val="13"/>
              <w:spacing w:line="240" w:lineRule="auto"/>
              <w:ind w:firstLineChars="0" w:firstLine="0"/>
              <w:rPr>
                <w:sz w:val="21"/>
                <w:szCs w:val="21"/>
                <w:lang w:bidi="zh-CN"/>
              </w:rPr>
            </w:pPr>
            <w:r w:rsidRPr="0090701D">
              <w:rPr>
                <w:sz w:val="21"/>
                <w:szCs w:val="21"/>
                <w:lang w:bidi="zh-CN"/>
              </w:rPr>
              <w:t>负债/所有者权益</w:t>
            </w:r>
          </w:p>
        </w:tc>
      </w:tr>
    </w:tbl>
    <w:p w14:paraId="15A998BE" w14:textId="77777777" w:rsidR="0090701D" w:rsidRDefault="0090701D" w:rsidP="0090701D">
      <w:pPr>
        <w:pStyle w:val="13"/>
      </w:pPr>
      <w:r>
        <w:rPr>
          <w:rFonts w:hint="eastAsia"/>
        </w:rPr>
        <w:t>（</w:t>
      </w:r>
      <w:r>
        <w:t>2）财务测算结果分析</w:t>
      </w:r>
    </w:p>
    <w:p w14:paraId="265569F9" w14:textId="77777777" w:rsidR="0090701D" w:rsidRDefault="0090701D" w:rsidP="0090701D">
      <w:pPr>
        <w:pStyle w:val="13"/>
      </w:pPr>
      <w:r>
        <w:rPr>
          <w:rFonts w:hint="eastAsia"/>
        </w:rPr>
        <w:t>根据财务指标对项目可行性、项目盈利能力、项目偿债能力进行分析，可以适当调整价格或者政府补助等数据对项目进行敏感性分析等。</w:t>
      </w:r>
    </w:p>
    <w:p w14:paraId="35CF41BC" w14:textId="77777777" w:rsidR="0090701D" w:rsidRDefault="0090701D" w:rsidP="0090701D">
      <w:pPr>
        <w:pStyle w:val="ab"/>
        <w:spacing w:before="62" w:after="62"/>
        <w:ind w:firstLine="482"/>
      </w:pPr>
      <w:r>
        <w:rPr>
          <w:rFonts w:hint="eastAsia"/>
        </w:rPr>
        <w:t>九、其他事项</w:t>
      </w:r>
    </w:p>
    <w:p w14:paraId="76A8A4C8" w14:textId="6B199FB0" w:rsidR="004315CB" w:rsidRDefault="0090701D" w:rsidP="0090701D">
      <w:pPr>
        <w:pStyle w:val="13"/>
      </w:pPr>
      <w:r>
        <w:rPr>
          <w:rFonts w:hint="eastAsia"/>
        </w:rPr>
        <w:t>除上述事宜外，需要做进一步阐述与说明的其他事项。</w:t>
      </w:r>
    </w:p>
    <w:p w14:paraId="5EF4A9AD" w14:textId="7A26AEB4" w:rsidR="004315CB" w:rsidRDefault="0090701D" w:rsidP="00AF7342">
      <w:pPr>
        <w:pStyle w:val="a9"/>
        <w:spacing w:before="62" w:after="62"/>
      </w:pPr>
      <w:r w:rsidRPr="0090701D">
        <w:rPr>
          <w:rFonts w:hint="eastAsia"/>
        </w:rPr>
        <w:t>第三章</w:t>
      </w:r>
      <w:r w:rsidR="00B65C82">
        <w:t>PPP</w:t>
      </w:r>
      <w:r w:rsidRPr="0090701D">
        <w:t>项目物有所值评价具体操作要求</w:t>
      </w:r>
    </w:p>
    <w:p w14:paraId="7F427352" w14:textId="5994BB47" w:rsidR="004315CB" w:rsidRDefault="0090701D" w:rsidP="00AF7342">
      <w:pPr>
        <w:pStyle w:val="a9"/>
        <w:spacing w:before="62" w:after="62"/>
      </w:pPr>
      <w:r w:rsidRPr="0090701D">
        <w:rPr>
          <w:rFonts w:hint="eastAsia"/>
        </w:rPr>
        <w:t>第一节</w:t>
      </w:r>
      <w:r w:rsidRPr="0090701D">
        <w:t xml:space="preserve"> 物有所值评价的相关要素</w:t>
      </w:r>
    </w:p>
    <w:p w14:paraId="6F8CBB08" w14:textId="77777777" w:rsidR="0090701D" w:rsidRDefault="0090701D" w:rsidP="0090701D">
      <w:pPr>
        <w:pStyle w:val="13"/>
      </w:pPr>
      <w:r>
        <w:rPr>
          <w:rFonts w:hint="eastAsia"/>
        </w:rPr>
        <w:t>评估机构执行物有所值评价业务，通常需要明确物有所值评价的相关要素。物有所值评价的相关要素，主要包括委托方和项目实施机构、评价目的、评价对象、评价基准日、评价期间、评价依据、评价假设、评价方法、评价程序等。</w:t>
      </w:r>
    </w:p>
    <w:p w14:paraId="44C83375" w14:textId="77757169" w:rsidR="0090701D" w:rsidRDefault="0090701D" w:rsidP="0090701D">
      <w:pPr>
        <w:pStyle w:val="ab"/>
        <w:spacing w:before="62" w:after="62"/>
        <w:ind w:firstLine="482"/>
      </w:pPr>
      <w:r>
        <w:rPr>
          <w:rFonts w:hint="eastAsia"/>
        </w:rPr>
        <w:t>一、委托方和项目实施机构</w:t>
      </w:r>
    </w:p>
    <w:p w14:paraId="4F6AE658" w14:textId="77777777" w:rsidR="0090701D" w:rsidRDefault="0090701D" w:rsidP="0090701D">
      <w:pPr>
        <w:pStyle w:val="13"/>
      </w:pPr>
      <w:r>
        <w:rPr>
          <w:rFonts w:hint="eastAsia"/>
        </w:rPr>
        <w:t>委托方通常为财政部门（政府和社会资本合作中心）或行业主管部门。项目实施机构是代表政府一方负责项目准备、采购、监管和移交等工作的机构，政府或其指定的有关职能部门或事业单位可作为项目实施机构。委托方和项目实施机构通常为评价报告使用者。</w:t>
      </w:r>
    </w:p>
    <w:p w14:paraId="5313ABD0" w14:textId="77777777" w:rsidR="0090701D" w:rsidRDefault="0090701D" w:rsidP="0090701D">
      <w:pPr>
        <w:pStyle w:val="ab"/>
        <w:spacing w:before="62" w:after="62"/>
        <w:ind w:firstLine="482"/>
      </w:pPr>
      <w:r>
        <w:rPr>
          <w:rFonts w:hint="eastAsia"/>
        </w:rPr>
        <w:t>二、评价目的</w:t>
      </w:r>
    </w:p>
    <w:p w14:paraId="34B32F58" w14:textId="371D1221" w:rsidR="0090701D" w:rsidRDefault="0090701D" w:rsidP="0090701D">
      <w:pPr>
        <w:pStyle w:val="13"/>
      </w:pPr>
      <w:r>
        <w:rPr>
          <w:rFonts w:hint="eastAsia"/>
        </w:rPr>
        <w:t>项目识别、项目准备和项目采购阶段进行物有所值评价的目的是为判断是否采用</w:t>
      </w:r>
      <w:r w:rsidR="00B65C82">
        <w:t>PPP</w:t>
      </w:r>
      <w:r>
        <w:t>模式、采用何种</w:t>
      </w:r>
      <w:r w:rsidR="00B65C82">
        <w:t>PPP</w:t>
      </w:r>
      <w:r>
        <w:t>运作方式等项目决策提供参考依据；项目执行阶段物有所值评价的目的是为中期评价、合同变更、风险再分配、价格调整等提供参考依据；项目移交阶段物有所值评价目的是为项目绩效评价提供参考依据。此外，物有所值评价的目的还可能是为项目全生命周期</w:t>
      </w:r>
      <w:proofErr w:type="gramStart"/>
      <w:r>
        <w:t>内风险</w:t>
      </w:r>
      <w:proofErr w:type="gramEnd"/>
      <w:r>
        <w:t>分配、成本测算和数据收集等提供参考依据。</w:t>
      </w:r>
    </w:p>
    <w:p w14:paraId="592C0235" w14:textId="77777777" w:rsidR="0090701D" w:rsidRDefault="0090701D" w:rsidP="0090701D">
      <w:pPr>
        <w:pStyle w:val="ab"/>
        <w:spacing w:before="62" w:after="62"/>
        <w:ind w:firstLine="482"/>
      </w:pPr>
      <w:r>
        <w:rPr>
          <w:rFonts w:hint="eastAsia"/>
        </w:rPr>
        <w:lastRenderedPageBreak/>
        <w:t>三、评价对象</w:t>
      </w:r>
    </w:p>
    <w:p w14:paraId="0BE357B7" w14:textId="529DEF3A" w:rsidR="0090701D" w:rsidRDefault="0090701D" w:rsidP="0090701D">
      <w:pPr>
        <w:pStyle w:val="13"/>
      </w:pPr>
      <w:r>
        <w:rPr>
          <w:rFonts w:hint="eastAsia"/>
        </w:rPr>
        <w:t>评价对象是政府拟采用</w:t>
      </w:r>
      <w:r w:rsidR="00B65C82">
        <w:t>PPP</w:t>
      </w:r>
      <w:r>
        <w:t>模式的项目。</w:t>
      </w:r>
    </w:p>
    <w:p w14:paraId="085D90C9" w14:textId="04F025B6" w:rsidR="0090701D" w:rsidRDefault="0090701D" w:rsidP="0090701D">
      <w:pPr>
        <w:pStyle w:val="ab"/>
        <w:spacing w:before="62" w:after="62"/>
        <w:ind w:firstLine="482"/>
      </w:pPr>
      <w:r>
        <w:t>四、评价基准日</w:t>
      </w:r>
    </w:p>
    <w:p w14:paraId="08882738" w14:textId="77777777" w:rsidR="0090701D" w:rsidRDefault="0090701D" w:rsidP="0090701D">
      <w:pPr>
        <w:pStyle w:val="13"/>
      </w:pPr>
      <w:r>
        <w:rPr>
          <w:rFonts w:hint="eastAsia"/>
        </w:rPr>
        <w:t>评价基准日通常应根据评价目的并结合评价资料和项目实际情况进行综合确定。根据评价基准日与开展评价工作时间的关系，物有</w:t>
      </w:r>
    </w:p>
    <w:p w14:paraId="6A554BA9" w14:textId="77777777" w:rsidR="0090701D" w:rsidRDefault="0090701D" w:rsidP="0090701D">
      <w:pPr>
        <w:pStyle w:val="13"/>
      </w:pPr>
      <w:r>
        <w:rPr>
          <w:rFonts w:hint="eastAsia"/>
        </w:rPr>
        <w:t>所值评价可区分为现时评价和追溯评价。在项目识别、项目准备、项目采购阶段开展的物有所值评价通常为现时评价，评价基准日为对应阶段中的某一时点；在项目执行和项目移交阶段开展的物有所值评价可以是现时评价，也可以是追溯评价，现时评价的基准日为对应阶段中的某一时点，追溯评价的基准日为项目执行前的某一时点。</w:t>
      </w:r>
    </w:p>
    <w:p w14:paraId="654474B3" w14:textId="77777777" w:rsidR="0090701D" w:rsidRDefault="0090701D" w:rsidP="0090701D">
      <w:pPr>
        <w:pStyle w:val="ab"/>
        <w:spacing w:before="62" w:after="62"/>
        <w:ind w:firstLine="482"/>
      </w:pPr>
      <w:r>
        <w:rPr>
          <w:rFonts w:hint="eastAsia"/>
        </w:rPr>
        <w:t>五、评价期间</w:t>
      </w:r>
    </w:p>
    <w:p w14:paraId="0E3DDCDC" w14:textId="3F5B3242" w:rsidR="0090701D" w:rsidRDefault="0090701D" w:rsidP="0090701D">
      <w:pPr>
        <w:pStyle w:val="13"/>
      </w:pPr>
      <w:r>
        <w:rPr>
          <w:rFonts w:hint="eastAsia"/>
        </w:rPr>
        <w:t>物有所值评价</w:t>
      </w:r>
      <w:proofErr w:type="gramStart"/>
      <w:r>
        <w:rPr>
          <w:rFonts w:hint="eastAsia"/>
        </w:rPr>
        <w:t>期间指开展</w:t>
      </w:r>
      <w:proofErr w:type="gramEnd"/>
      <w:r>
        <w:rPr>
          <w:rFonts w:hint="eastAsia"/>
        </w:rPr>
        <w:t>定性评价或定量评价过程应考虑或测算的起止时间长度。通常情况下，</w:t>
      </w:r>
      <w:r w:rsidR="00B65C82">
        <w:t>PPP</w:t>
      </w:r>
      <w:r>
        <w:t>项目的物有所值评价所对应的评价期间通常与</w:t>
      </w:r>
      <w:r w:rsidR="00B65C82">
        <w:t>PPP</w:t>
      </w:r>
      <w:r>
        <w:t>项目合作期间保持一致。评价期间一般</w:t>
      </w:r>
      <w:proofErr w:type="gramStart"/>
      <w:r>
        <w:t>自评价</w:t>
      </w:r>
      <w:proofErr w:type="gramEnd"/>
      <w:r>
        <w:t>基准日起计算，至</w:t>
      </w:r>
      <w:r w:rsidR="00B65C82">
        <w:t>PPP</w:t>
      </w:r>
      <w:r>
        <w:t>项目合作期限届满时止。</w:t>
      </w:r>
    </w:p>
    <w:p w14:paraId="764E91A0" w14:textId="77777777" w:rsidR="0090701D" w:rsidRDefault="0090701D" w:rsidP="0090701D">
      <w:pPr>
        <w:pStyle w:val="ab"/>
        <w:spacing w:before="62" w:after="62"/>
        <w:ind w:firstLine="482"/>
      </w:pPr>
      <w:r>
        <w:rPr>
          <w:rFonts w:hint="eastAsia"/>
        </w:rPr>
        <w:t>六、评价假设</w:t>
      </w:r>
    </w:p>
    <w:p w14:paraId="252B36D8" w14:textId="2BA8BB7B" w:rsidR="0090701D" w:rsidRDefault="0090701D" w:rsidP="0090701D">
      <w:pPr>
        <w:pStyle w:val="13"/>
      </w:pPr>
      <w:r>
        <w:rPr>
          <w:rFonts w:hint="eastAsia"/>
        </w:rPr>
        <w:t>开展物有所值定量评价，应设定合理的评价假设。评价假设反映定量评价过程中不确定因素的取值过程，有助于评价报告阅读者正确理解并合理运用物有所值定量评价结论。</w:t>
      </w:r>
    </w:p>
    <w:p w14:paraId="0CD01258" w14:textId="77777777" w:rsidR="0090701D" w:rsidRDefault="0090701D" w:rsidP="0090701D">
      <w:pPr>
        <w:pStyle w:val="ab"/>
        <w:spacing w:before="62" w:after="62"/>
        <w:ind w:firstLine="482"/>
      </w:pPr>
      <w:r>
        <w:rPr>
          <w:rFonts w:hint="eastAsia"/>
        </w:rPr>
        <w:t>七、评价方法</w:t>
      </w:r>
    </w:p>
    <w:p w14:paraId="255C8114" w14:textId="77777777" w:rsidR="0090701D" w:rsidRDefault="0090701D" w:rsidP="0090701D">
      <w:pPr>
        <w:pStyle w:val="13"/>
      </w:pPr>
      <w:r>
        <w:rPr>
          <w:rFonts w:hint="eastAsia"/>
        </w:rPr>
        <w:t>物有所值评价方法包括定性评价法和定量评价法。评价方法的选择通常</w:t>
      </w:r>
      <w:proofErr w:type="gramStart"/>
      <w:r>
        <w:rPr>
          <w:rFonts w:hint="eastAsia"/>
        </w:rPr>
        <w:t>由评价</w:t>
      </w:r>
      <w:proofErr w:type="gramEnd"/>
      <w:r>
        <w:rPr>
          <w:rFonts w:hint="eastAsia"/>
        </w:rPr>
        <w:t>目的所决定，并受项目内容及项目所处环境的影响。物有所值定性评价通常在项目识别、项目准备环节开展。在项目识别、项目准备、项目采购、项目执行和项目移交阶段，均可开展物有所值定量评价。当评价目的系为项目全生命周期</w:t>
      </w:r>
      <w:proofErr w:type="gramStart"/>
      <w:r>
        <w:rPr>
          <w:rFonts w:hint="eastAsia"/>
        </w:rPr>
        <w:t>内风险</w:t>
      </w:r>
      <w:proofErr w:type="gramEnd"/>
      <w:r>
        <w:rPr>
          <w:rFonts w:hint="eastAsia"/>
        </w:rPr>
        <w:t>分配、成本测算、数据收集提供参考数据，以及为项目合同变更或调整、项目合同补充约定或再谈判、价格调整、项目中期评估、绩效评价提供参考依据的，应采用定量评价法。</w:t>
      </w:r>
    </w:p>
    <w:p w14:paraId="790E1D78" w14:textId="77777777" w:rsidR="0090701D" w:rsidRDefault="0090701D" w:rsidP="00AF7342">
      <w:pPr>
        <w:pStyle w:val="a9"/>
        <w:spacing w:before="62" w:after="62"/>
      </w:pPr>
      <w:r>
        <w:rPr>
          <w:rFonts w:hint="eastAsia"/>
        </w:rPr>
        <w:t>第二节</w:t>
      </w:r>
      <w:r>
        <w:t xml:space="preserve"> 物有所值定性评价</w:t>
      </w:r>
    </w:p>
    <w:p w14:paraId="68D09E33" w14:textId="032D39C6" w:rsidR="0090701D" w:rsidRDefault="0090701D" w:rsidP="0090701D">
      <w:pPr>
        <w:pStyle w:val="ab"/>
        <w:spacing w:before="62" w:after="62"/>
        <w:ind w:firstLine="482"/>
      </w:pPr>
      <w:r>
        <w:t>一、物有所值定性评价开展的时点</w:t>
      </w:r>
    </w:p>
    <w:p w14:paraId="27D37E4E" w14:textId="77777777" w:rsidR="0090701D" w:rsidRDefault="0090701D" w:rsidP="0090701D">
      <w:pPr>
        <w:pStyle w:val="13"/>
      </w:pPr>
      <w:r>
        <w:rPr>
          <w:rFonts w:hint="eastAsia"/>
        </w:rPr>
        <w:t>物有所值定性评价通常在项目识别、项目准备、项目采购环节开展。</w:t>
      </w:r>
    </w:p>
    <w:p w14:paraId="265204BD" w14:textId="2D8D7BCF" w:rsidR="0090701D" w:rsidRDefault="0090701D" w:rsidP="0090701D">
      <w:pPr>
        <w:pStyle w:val="ab"/>
        <w:spacing w:before="62" w:after="62"/>
        <w:ind w:firstLine="482"/>
      </w:pPr>
      <w:r>
        <w:rPr>
          <w:rFonts w:hint="eastAsia"/>
        </w:rPr>
        <w:t>二、物有所值定性评价应取得的资料</w:t>
      </w:r>
    </w:p>
    <w:p w14:paraId="338C83F4" w14:textId="77777777" w:rsidR="0090701D" w:rsidRDefault="0090701D" w:rsidP="0090701D">
      <w:pPr>
        <w:pStyle w:val="13"/>
      </w:pPr>
      <w:r>
        <w:rPr>
          <w:rFonts w:hint="eastAsia"/>
        </w:rPr>
        <w:t>评估机构形成物有所值定性评价结论需要收集如下相关资料：</w:t>
      </w:r>
    </w:p>
    <w:p w14:paraId="30AEF172" w14:textId="77777777" w:rsidR="0090701D" w:rsidRDefault="0090701D" w:rsidP="0090701D">
      <w:pPr>
        <w:pStyle w:val="13"/>
      </w:pPr>
      <w:r>
        <w:rPr>
          <w:rFonts w:hint="eastAsia"/>
        </w:rPr>
        <w:t>（一）政府与社会资本合作相关法律法规、规章制度及政策；</w:t>
      </w:r>
    </w:p>
    <w:p w14:paraId="42717908" w14:textId="77777777" w:rsidR="0090701D" w:rsidRDefault="0090701D" w:rsidP="0090701D">
      <w:pPr>
        <w:pStyle w:val="13"/>
      </w:pPr>
      <w:r>
        <w:rPr>
          <w:rFonts w:hint="eastAsia"/>
        </w:rPr>
        <w:t>（二）项目所在行业的行业政策、行业标准及专业技术规范；</w:t>
      </w:r>
    </w:p>
    <w:p w14:paraId="163D00D9" w14:textId="77777777" w:rsidR="0090701D" w:rsidRDefault="0090701D" w:rsidP="0090701D">
      <w:pPr>
        <w:pStyle w:val="13"/>
      </w:pPr>
      <w:r>
        <w:rPr>
          <w:rFonts w:hint="eastAsia"/>
        </w:rPr>
        <w:lastRenderedPageBreak/>
        <w:t>（三）项目列入开发计划、列作示范项目的相关文件；</w:t>
      </w:r>
    </w:p>
    <w:p w14:paraId="3D564F9C" w14:textId="77777777" w:rsidR="0090701D" w:rsidRDefault="0090701D" w:rsidP="0090701D">
      <w:pPr>
        <w:pStyle w:val="13"/>
      </w:pPr>
      <w:r>
        <w:rPr>
          <w:rFonts w:hint="eastAsia"/>
        </w:rPr>
        <w:t>（四）项目可</w:t>
      </w:r>
      <w:proofErr w:type="gramStart"/>
      <w:r>
        <w:rPr>
          <w:rFonts w:hint="eastAsia"/>
        </w:rPr>
        <w:t>研</w:t>
      </w:r>
      <w:proofErr w:type="gramEnd"/>
      <w:r>
        <w:rPr>
          <w:rFonts w:hint="eastAsia"/>
        </w:rPr>
        <w:t>报告、初步设计或施工图设计；</w:t>
      </w:r>
    </w:p>
    <w:p w14:paraId="3338F827" w14:textId="77777777" w:rsidR="0090701D" w:rsidRDefault="0090701D" w:rsidP="0090701D">
      <w:pPr>
        <w:pStyle w:val="13"/>
      </w:pPr>
      <w:r>
        <w:rPr>
          <w:rFonts w:hint="eastAsia"/>
        </w:rPr>
        <w:t>（五）项目初步实施方案，项目产出说明；</w:t>
      </w:r>
    </w:p>
    <w:p w14:paraId="2B94B9E6" w14:textId="77777777" w:rsidR="0090701D" w:rsidRDefault="0090701D" w:rsidP="0090701D">
      <w:pPr>
        <w:pStyle w:val="13"/>
      </w:pPr>
      <w:r>
        <w:rPr>
          <w:rFonts w:hint="eastAsia"/>
        </w:rPr>
        <w:t>（六）财政部门（政府和社会资本合作中心）、相关行业主管部门以及项目实施机构与项目相关的申请文件及批复，以及相关会议纪要；</w:t>
      </w:r>
    </w:p>
    <w:p w14:paraId="03AC7C35" w14:textId="77777777" w:rsidR="0090701D" w:rsidRDefault="0090701D" w:rsidP="0090701D">
      <w:pPr>
        <w:pStyle w:val="13"/>
      </w:pPr>
      <w:r>
        <w:rPr>
          <w:rFonts w:hint="eastAsia"/>
        </w:rPr>
        <w:t>（七）对项目实施行政监管和执行管理的机构设置情况；</w:t>
      </w:r>
    </w:p>
    <w:p w14:paraId="0B25B3F5" w14:textId="77777777" w:rsidR="0090701D" w:rsidRDefault="0090701D" w:rsidP="0090701D">
      <w:pPr>
        <w:pStyle w:val="13"/>
      </w:pPr>
      <w:r>
        <w:rPr>
          <w:rFonts w:hint="eastAsia"/>
        </w:rPr>
        <w:t>（八）项目用地资料，包括用地红线图、用地批文、宗地规划条件等；</w:t>
      </w:r>
    </w:p>
    <w:p w14:paraId="4075620B" w14:textId="77777777" w:rsidR="0090701D" w:rsidRDefault="0090701D" w:rsidP="0090701D">
      <w:pPr>
        <w:pStyle w:val="13"/>
      </w:pPr>
      <w:r>
        <w:rPr>
          <w:rFonts w:hint="eastAsia"/>
        </w:rPr>
        <w:t>（九）其他相关资料。</w:t>
      </w:r>
    </w:p>
    <w:p w14:paraId="723F27FE" w14:textId="77777777" w:rsidR="0090701D" w:rsidRDefault="0090701D" w:rsidP="0090701D">
      <w:pPr>
        <w:pStyle w:val="13"/>
      </w:pPr>
      <w:r>
        <w:rPr>
          <w:rFonts w:hint="eastAsia"/>
        </w:rPr>
        <w:t>三、物有所值定性评价的基本指标</w:t>
      </w:r>
    </w:p>
    <w:p w14:paraId="7BEE3FF8" w14:textId="77777777" w:rsidR="0090701D" w:rsidRDefault="0090701D" w:rsidP="0090701D">
      <w:pPr>
        <w:pStyle w:val="13"/>
      </w:pPr>
      <w:r>
        <w:rPr>
          <w:rFonts w:hint="eastAsia"/>
        </w:rPr>
        <w:t>物有所值定性评价的基本评价指标共六项，分别为全生命周期整合程度、风险识别与分配、绩效导向与鼓励创新、潜在竞争程度、政府机构能力、可融资性。</w:t>
      </w:r>
    </w:p>
    <w:p w14:paraId="7E19014E" w14:textId="77777777" w:rsidR="0090701D" w:rsidRDefault="0090701D" w:rsidP="0090701D">
      <w:pPr>
        <w:pStyle w:val="13"/>
      </w:pPr>
      <w:r>
        <w:rPr>
          <w:rFonts w:hint="eastAsia"/>
        </w:rPr>
        <w:t>（一）全生命周期整合程度指标</w:t>
      </w:r>
    </w:p>
    <w:p w14:paraId="319E163B" w14:textId="4927E96E" w:rsidR="0090701D" w:rsidRDefault="0090701D" w:rsidP="0090701D">
      <w:pPr>
        <w:pStyle w:val="13"/>
      </w:pPr>
      <w:r>
        <w:rPr>
          <w:rFonts w:hint="eastAsia"/>
        </w:rPr>
        <w:t>全生命周期整合程度指标主要考核在项目全生命周期内，项目设计、投融资、建造、运营和维护等环节能否实现长期、充分整合。项目设计方案及设计能力，影响建造成本及运营绩效；投融资能力是</w:t>
      </w:r>
      <w:r w:rsidR="00B65C82">
        <w:t>PPP</w:t>
      </w:r>
      <w:r>
        <w:t>模式对社会资本所要求的基本内容；建造质量对维护成本和运营绩效产生着重大影响；建设周期的长短影响着建设成本和</w:t>
      </w:r>
      <w:proofErr w:type="gramStart"/>
      <w:r>
        <w:t>可</w:t>
      </w:r>
      <w:proofErr w:type="gramEnd"/>
      <w:r>
        <w:t>运营周期；在运营周期，项目运营与项目维护相辅相成，项目管理水平影响着项目维护成本，项目维护质量又影响着运营绩效。</w:t>
      </w:r>
    </w:p>
    <w:p w14:paraId="18C7A802" w14:textId="77777777" w:rsidR="0090701D" w:rsidRDefault="0090701D" w:rsidP="0090701D">
      <w:pPr>
        <w:pStyle w:val="13"/>
      </w:pPr>
      <w:r>
        <w:rPr>
          <w:rFonts w:hint="eastAsia"/>
        </w:rPr>
        <w:t>全生命周期整合程度指标可以派生出合作起始状况、合作期限、社会资本能够统筹安排的因素等子指标。</w:t>
      </w:r>
    </w:p>
    <w:p w14:paraId="3E850EA6" w14:textId="77777777" w:rsidR="0090701D" w:rsidRDefault="0090701D" w:rsidP="0090701D">
      <w:pPr>
        <w:pStyle w:val="13"/>
      </w:pPr>
      <w:r>
        <w:t>1、合作起始状况</w:t>
      </w:r>
    </w:p>
    <w:p w14:paraId="118FB972" w14:textId="2FFEB142" w:rsidR="0090701D" w:rsidRDefault="0090701D" w:rsidP="0090701D">
      <w:pPr>
        <w:pStyle w:val="13"/>
      </w:pPr>
      <w:r>
        <w:rPr>
          <w:rFonts w:hint="eastAsia"/>
        </w:rPr>
        <w:t>合作起始状况子指标反映项目发起状况及政府与社会资本的合作起点情况。根据合作起始状况的不同，</w:t>
      </w:r>
      <w:r w:rsidR="00B65C82">
        <w:t>PPP</w:t>
      </w:r>
      <w:r>
        <w:t>项目一般可区分为新建项目、改建项目、扩建项目、存量项目。通常，社会资本无法整合存量项目的设计及建造环节，存量项目的全生命周期整合程度低于新建项目的全生命周期整合程度。</w:t>
      </w:r>
    </w:p>
    <w:p w14:paraId="51C9F44C" w14:textId="77777777" w:rsidR="0090701D" w:rsidRDefault="0090701D" w:rsidP="0090701D">
      <w:pPr>
        <w:pStyle w:val="13"/>
      </w:pPr>
      <w:r>
        <w:t>2、合作期限</w:t>
      </w:r>
    </w:p>
    <w:p w14:paraId="4BADF60E" w14:textId="77777777" w:rsidR="0090701D" w:rsidRDefault="0090701D" w:rsidP="0090701D">
      <w:pPr>
        <w:pStyle w:val="13"/>
      </w:pPr>
      <w:r>
        <w:rPr>
          <w:rFonts w:hint="eastAsia"/>
        </w:rPr>
        <w:t>合作期限子指标主要考察政府与社会资本合作的周期覆盖全生命周期的程度，考察政府与社会资本的合作期限是否已考虑资产使用寿命的影响，合作期限是否反映了项目需求的稳定持续年数，合作期限内对社会资本的激励作用是否持续有效。在政府与社会资本开展合作起点相同条件下，合作期限越长，则全生命周期整合程度通常越大。</w:t>
      </w:r>
    </w:p>
    <w:p w14:paraId="6BC546E2" w14:textId="77777777" w:rsidR="0090701D" w:rsidRDefault="0090701D" w:rsidP="0090701D">
      <w:pPr>
        <w:pStyle w:val="13"/>
      </w:pPr>
      <w:r>
        <w:t>3、社会资本能够统筹安排的因素</w:t>
      </w:r>
    </w:p>
    <w:p w14:paraId="6977A29B" w14:textId="0E2B37E1" w:rsidR="0090701D" w:rsidRDefault="0090701D" w:rsidP="0090701D">
      <w:pPr>
        <w:pStyle w:val="13"/>
      </w:pPr>
      <w:r>
        <w:rPr>
          <w:rFonts w:hint="eastAsia"/>
        </w:rPr>
        <w:t>社会资本能够统筹安排的因素子指标主要考察社会资本在</w:t>
      </w:r>
      <w:r w:rsidR="00B65C82">
        <w:t>PPP</w:t>
      </w:r>
      <w:r>
        <w:t>项目中承担的职责，以及社会资本能够统筹安排的环节或资源，项目是否持续需要较大的运营和维护</w:t>
      </w:r>
      <w:r>
        <w:lastRenderedPageBreak/>
        <w:t>成本，项目运营维护成本占项目建设成本的具体比例，设计品质是否对项目建设和运营维护成本产生显著</w:t>
      </w:r>
      <w:r>
        <w:rPr>
          <w:rFonts w:hint="eastAsia"/>
        </w:rPr>
        <w:t>影响等。社会资本能够统筹安排的环节和资源越多，社会资本越能通过不同环节和资源的整合，实现成本节约、效率提升和绩效优化的目标。</w:t>
      </w:r>
    </w:p>
    <w:p w14:paraId="2DA5FD0F" w14:textId="77777777" w:rsidR="0090701D" w:rsidRDefault="0090701D" w:rsidP="0090701D">
      <w:pPr>
        <w:pStyle w:val="13"/>
      </w:pPr>
      <w:r>
        <w:rPr>
          <w:rFonts w:hint="eastAsia"/>
        </w:rPr>
        <w:t>（二）风险识别与分配指标</w:t>
      </w:r>
    </w:p>
    <w:p w14:paraId="53E9FFBD" w14:textId="77777777" w:rsidR="0090701D" w:rsidRDefault="0090701D" w:rsidP="0090701D">
      <w:pPr>
        <w:pStyle w:val="13"/>
      </w:pPr>
      <w:r>
        <w:rPr>
          <w:rFonts w:hint="eastAsia"/>
        </w:rPr>
        <w:t>风险识别与分配指标主要考核项目全生命周期内</w:t>
      </w:r>
      <w:proofErr w:type="gramStart"/>
      <w:r>
        <w:rPr>
          <w:rFonts w:hint="eastAsia"/>
        </w:rPr>
        <w:t>各风险</w:t>
      </w:r>
      <w:proofErr w:type="gramEnd"/>
      <w:r>
        <w:rPr>
          <w:rFonts w:hint="eastAsia"/>
        </w:rPr>
        <w:t>因素是否得到充分识别并在政府和社会资本之间进行合理分配。</w:t>
      </w:r>
    </w:p>
    <w:p w14:paraId="216B4870" w14:textId="44148334" w:rsidR="0090701D" w:rsidRDefault="0090701D" w:rsidP="0090701D">
      <w:pPr>
        <w:pStyle w:val="13"/>
      </w:pPr>
      <w:r>
        <w:rPr>
          <w:rFonts w:hint="eastAsia"/>
        </w:rPr>
        <w:t>风险识别与分配指标一般包括风险识别方法、风险识别充分性、风险分配原则、风险后果可承担性、风险分配可调整性等子指标。</w:t>
      </w:r>
    </w:p>
    <w:p w14:paraId="2BC6B001" w14:textId="77777777" w:rsidR="0090701D" w:rsidRDefault="0090701D" w:rsidP="0090701D">
      <w:pPr>
        <w:pStyle w:val="13"/>
      </w:pPr>
      <w:r>
        <w:t>1、风险识别方法</w:t>
      </w:r>
    </w:p>
    <w:p w14:paraId="005ADC80" w14:textId="77777777" w:rsidR="0090701D" w:rsidRDefault="0090701D" w:rsidP="0090701D">
      <w:pPr>
        <w:pStyle w:val="13"/>
      </w:pPr>
      <w:r>
        <w:rPr>
          <w:rFonts w:hint="eastAsia"/>
        </w:rPr>
        <w:t>风险识别方法子指标主要考察项目发起方风险识别方法是否科学、合理。风险识别方法一般包括头脑风暴法、专家调查法、图解分析法等。在项目识别阶段的物有所值评价工作开始前，着手风险识别工作，有利于在后续工作实现风险分配优化。</w:t>
      </w:r>
    </w:p>
    <w:p w14:paraId="38C9CE93" w14:textId="77777777" w:rsidR="0090701D" w:rsidRDefault="0090701D" w:rsidP="0090701D">
      <w:pPr>
        <w:pStyle w:val="13"/>
      </w:pPr>
      <w:r>
        <w:t>2、风险识别充分性</w:t>
      </w:r>
    </w:p>
    <w:p w14:paraId="3106C076" w14:textId="77777777" w:rsidR="0090701D" w:rsidRDefault="0090701D" w:rsidP="0090701D">
      <w:pPr>
        <w:pStyle w:val="13"/>
      </w:pPr>
      <w:r>
        <w:rPr>
          <w:rFonts w:hint="eastAsia"/>
        </w:rPr>
        <w:t>风险识别充分性子指标主要考察是否识别出项目可能面临的所有重大风险。充分识别风险是在政府与社会资本</w:t>
      </w:r>
      <w:proofErr w:type="gramStart"/>
      <w:r>
        <w:rPr>
          <w:rFonts w:hint="eastAsia"/>
        </w:rPr>
        <w:t>间合理</w:t>
      </w:r>
      <w:proofErr w:type="gramEnd"/>
      <w:r>
        <w:rPr>
          <w:rFonts w:hint="eastAsia"/>
        </w:rPr>
        <w:t>分配风险的基本前提，是政府和社会资本</w:t>
      </w:r>
      <w:proofErr w:type="gramStart"/>
      <w:r>
        <w:rPr>
          <w:rFonts w:hint="eastAsia"/>
        </w:rPr>
        <w:t>作出</w:t>
      </w:r>
      <w:proofErr w:type="gramEnd"/>
      <w:r>
        <w:rPr>
          <w:rFonts w:hint="eastAsia"/>
        </w:rPr>
        <w:t>正确决策的基本条件。风险识别不充分，不仅可能使政府或社会资本</w:t>
      </w:r>
      <w:proofErr w:type="gramStart"/>
      <w:r>
        <w:rPr>
          <w:rFonts w:hint="eastAsia"/>
        </w:rPr>
        <w:t>作出</w:t>
      </w:r>
      <w:proofErr w:type="gramEnd"/>
      <w:r>
        <w:rPr>
          <w:rFonts w:hint="eastAsia"/>
        </w:rPr>
        <w:t>错误判断，也可能增加政府和社会资本的沟通成本。</w:t>
      </w:r>
    </w:p>
    <w:p w14:paraId="6B1235AC" w14:textId="77777777" w:rsidR="0090701D" w:rsidRDefault="0090701D" w:rsidP="0090701D">
      <w:pPr>
        <w:pStyle w:val="13"/>
      </w:pPr>
      <w:r>
        <w:t>3、风险分配原则</w:t>
      </w:r>
    </w:p>
    <w:p w14:paraId="34A1FA47" w14:textId="77777777" w:rsidR="0090701D" w:rsidRDefault="0090701D" w:rsidP="0090701D">
      <w:pPr>
        <w:pStyle w:val="13"/>
      </w:pPr>
      <w:r>
        <w:rPr>
          <w:rFonts w:hint="eastAsia"/>
        </w:rPr>
        <w:t>风险分配原则子指标主要考察项目是否遵循了最优化风险分配原则和风险与收益对等原则。</w:t>
      </w:r>
    </w:p>
    <w:p w14:paraId="450B33C2" w14:textId="77777777" w:rsidR="0090701D" w:rsidRDefault="0090701D" w:rsidP="0090701D">
      <w:pPr>
        <w:pStyle w:val="13"/>
      </w:pPr>
      <w:r>
        <w:t>4、风险后果可承担性</w:t>
      </w:r>
    </w:p>
    <w:p w14:paraId="59CD7BA2" w14:textId="77777777" w:rsidR="0090701D" w:rsidRDefault="0090701D" w:rsidP="0090701D">
      <w:pPr>
        <w:pStyle w:val="13"/>
      </w:pPr>
      <w:r>
        <w:rPr>
          <w:rFonts w:hint="eastAsia"/>
        </w:rPr>
        <w:t>风险后果可承担性子指标主要考察承担风险一方是否具备承担风险后果的实力。</w:t>
      </w:r>
    </w:p>
    <w:p w14:paraId="3B0CCDBE" w14:textId="77777777" w:rsidR="0090701D" w:rsidRDefault="0090701D" w:rsidP="0090701D">
      <w:pPr>
        <w:pStyle w:val="13"/>
      </w:pPr>
      <w:r>
        <w:t>5、风险分配可调整性</w:t>
      </w:r>
    </w:p>
    <w:p w14:paraId="753DCE55" w14:textId="71E9A04B" w:rsidR="0090701D" w:rsidRDefault="0090701D" w:rsidP="0090701D">
      <w:pPr>
        <w:pStyle w:val="13"/>
      </w:pPr>
      <w:r>
        <w:rPr>
          <w:rFonts w:hint="eastAsia"/>
        </w:rPr>
        <w:t>风险分配可调整性子指标主要考察政府与社会资本对项目风险的分配与承担是否设立了弹性条款和动态调整机制，考察合作期限内项目是否可能出现重大变更或重大调整以及是否能够控制这些重大变更或重大调整产生的风险。在</w:t>
      </w:r>
      <w:r w:rsidR="00B65C82">
        <w:t>PPP</w:t>
      </w:r>
      <w:r>
        <w:t>项目合作周期，项目风险可能会发生变化，也可能出现新增风险，对合作周期内可能出现的新增风险，需要约定协商原则。</w:t>
      </w:r>
    </w:p>
    <w:p w14:paraId="5F218AB0" w14:textId="77777777" w:rsidR="0090701D" w:rsidRDefault="0090701D" w:rsidP="0090701D">
      <w:pPr>
        <w:pStyle w:val="13"/>
      </w:pPr>
      <w:r>
        <w:rPr>
          <w:rFonts w:hint="eastAsia"/>
        </w:rPr>
        <w:t>（三）绩效导向与鼓励创新指标</w:t>
      </w:r>
    </w:p>
    <w:p w14:paraId="24D26CDD" w14:textId="77777777" w:rsidR="0090701D" w:rsidRDefault="0090701D" w:rsidP="0090701D">
      <w:pPr>
        <w:pStyle w:val="13"/>
      </w:pPr>
      <w:r>
        <w:rPr>
          <w:rFonts w:hint="eastAsia"/>
        </w:rPr>
        <w:t>绩效导向与鼓励创新指标主要考核是否建立以基础设施及公共服务供给数量、质量和效率为导向的绩效标准和监管机制，鼓励社会资本创新。</w:t>
      </w:r>
    </w:p>
    <w:p w14:paraId="37A7157B" w14:textId="77777777" w:rsidR="0090701D" w:rsidRDefault="0090701D" w:rsidP="0090701D">
      <w:pPr>
        <w:pStyle w:val="13"/>
      </w:pPr>
      <w:r>
        <w:rPr>
          <w:rFonts w:hint="eastAsia"/>
        </w:rPr>
        <w:t>绩效导向与鼓励创新指标可派生出报价标的和评标办法、项目产出说明、创新约束、绩效标准、落实政府采购政策等子指标。</w:t>
      </w:r>
    </w:p>
    <w:p w14:paraId="1FEFD632" w14:textId="77777777" w:rsidR="0090701D" w:rsidRDefault="0090701D" w:rsidP="0090701D">
      <w:pPr>
        <w:pStyle w:val="13"/>
      </w:pPr>
      <w:r>
        <w:t>1、报价标的和评标办法</w:t>
      </w:r>
    </w:p>
    <w:p w14:paraId="0FCDD1E6" w14:textId="77777777" w:rsidR="0090701D" w:rsidRDefault="0090701D" w:rsidP="0090701D">
      <w:pPr>
        <w:pStyle w:val="13"/>
      </w:pPr>
      <w:r>
        <w:rPr>
          <w:rFonts w:hint="eastAsia"/>
        </w:rPr>
        <w:lastRenderedPageBreak/>
        <w:t>报价标的子指标主要考察政府设定的报价标的是否能够促进社会资本节约成本和提高效率，报价标的</w:t>
      </w:r>
      <w:proofErr w:type="gramStart"/>
      <w:r>
        <w:rPr>
          <w:rFonts w:hint="eastAsia"/>
        </w:rPr>
        <w:t>的</w:t>
      </w:r>
      <w:proofErr w:type="gramEnd"/>
      <w:r>
        <w:rPr>
          <w:rFonts w:hint="eastAsia"/>
        </w:rPr>
        <w:t>设置是否能避免反向激励。评标办法子指标主要考察是否有利于筛选出合格且最大程度实现物有所值的社会资本。政府需要对社会资本的建设投资进行审核确认，社会资本仅对经政府审核确认的建设造价基础上的合理利润率进行投标报价的，不利于激励和引导社会资本通过充分整合节约建设成本、提高建设效率。</w:t>
      </w:r>
    </w:p>
    <w:p w14:paraId="65FA2032" w14:textId="77777777" w:rsidR="0090701D" w:rsidRDefault="0090701D" w:rsidP="0090701D">
      <w:pPr>
        <w:pStyle w:val="13"/>
      </w:pPr>
      <w:r>
        <w:t>2、项目产出说明</w:t>
      </w:r>
    </w:p>
    <w:p w14:paraId="14E2693E" w14:textId="554150B4" w:rsidR="0090701D" w:rsidRDefault="0090701D" w:rsidP="0090701D">
      <w:pPr>
        <w:pStyle w:val="13"/>
      </w:pPr>
      <w:r>
        <w:rPr>
          <w:rFonts w:hint="eastAsia"/>
        </w:rPr>
        <w:t>项目产出说明子指标主要考察项目产出说明与项目需求是否一致，项目是否提出了全面、客观、清晰和可测量的产出规格要求并可在</w:t>
      </w:r>
      <w:r w:rsidR="00B65C82">
        <w:t>PPP</w:t>
      </w:r>
      <w:r>
        <w:t>项目合同中</w:t>
      </w:r>
      <w:proofErr w:type="gramStart"/>
      <w:r>
        <w:t>作出</w:t>
      </w:r>
      <w:proofErr w:type="gramEnd"/>
      <w:r>
        <w:t>约定，项目产出要求是否可通过服务交付得到落实，政府能否对社会资本的交付质量进行客观、独立的评价，项目是否有明确的边界。</w:t>
      </w:r>
    </w:p>
    <w:p w14:paraId="4CEC19DC" w14:textId="77777777" w:rsidR="0090701D" w:rsidRDefault="0090701D" w:rsidP="0090701D">
      <w:pPr>
        <w:pStyle w:val="13"/>
      </w:pPr>
      <w:r>
        <w:t>3、创新约束</w:t>
      </w:r>
    </w:p>
    <w:p w14:paraId="20849137" w14:textId="56373919" w:rsidR="0090701D" w:rsidRDefault="0090701D" w:rsidP="0090701D">
      <w:pPr>
        <w:pStyle w:val="13"/>
      </w:pPr>
      <w:r>
        <w:rPr>
          <w:rFonts w:hint="eastAsia"/>
        </w:rPr>
        <w:t>创新约束子指标主要考察法律法规、强制标准及政府是否对社会资本的交付方式</w:t>
      </w:r>
      <w:proofErr w:type="gramStart"/>
      <w:r>
        <w:rPr>
          <w:rFonts w:hint="eastAsia"/>
        </w:rPr>
        <w:t>作出</w:t>
      </w:r>
      <w:proofErr w:type="gramEnd"/>
      <w:r>
        <w:rPr>
          <w:rFonts w:hint="eastAsia"/>
        </w:rPr>
        <w:t>约束，社会资本在项目设计、建设以及运营维护等方面是否有创新空间。政府对社会资本如何交付提出要求，会限制社会资本创新能力和优势的发挥，不利于物有所值的实现。</w:t>
      </w:r>
    </w:p>
    <w:p w14:paraId="18C3B1DE" w14:textId="77777777" w:rsidR="0090701D" w:rsidRDefault="0090701D" w:rsidP="0090701D">
      <w:pPr>
        <w:pStyle w:val="13"/>
      </w:pPr>
      <w:r>
        <w:t>4、绩效标准</w:t>
      </w:r>
    </w:p>
    <w:p w14:paraId="126EE068" w14:textId="5FD0DE76" w:rsidR="0090701D" w:rsidRDefault="0090701D" w:rsidP="0090701D">
      <w:pPr>
        <w:pStyle w:val="13"/>
      </w:pPr>
      <w:r>
        <w:rPr>
          <w:rFonts w:hint="eastAsia"/>
        </w:rPr>
        <w:t>绩效标准子指标主要考察项目的绩效指标是否符合项目具体情况，是否全面合理，清晰明确，是否能够按约定的标准进行独立、客观、公正的评价，是否能够促进社会资本采用积极有效的风险管理措施以提高项目绩效。绩效标准主要包括</w:t>
      </w:r>
      <w:r w:rsidR="00B65C82">
        <w:t>PPP</w:t>
      </w:r>
      <w:r>
        <w:t>项目运营维护和产出进行检测的要求和标准。绩效标准的全面合理、清晰明确以及可操作性，能激励社会资本进行良好的风险管理，也是政府与社会资本有效履行</w:t>
      </w:r>
      <w:r w:rsidR="00B65C82">
        <w:t>PPP</w:t>
      </w:r>
      <w:r>
        <w:t>项目合同的重要保障。</w:t>
      </w:r>
    </w:p>
    <w:p w14:paraId="42A3A3CA" w14:textId="77777777" w:rsidR="0090701D" w:rsidRDefault="0090701D" w:rsidP="0090701D">
      <w:pPr>
        <w:pStyle w:val="13"/>
      </w:pPr>
      <w:r>
        <w:t>5、落实政府采购政策</w:t>
      </w:r>
    </w:p>
    <w:p w14:paraId="1ACF4417" w14:textId="77777777" w:rsidR="0090701D" w:rsidRDefault="0090701D" w:rsidP="0090701D">
      <w:pPr>
        <w:pStyle w:val="13"/>
      </w:pPr>
      <w:r>
        <w:rPr>
          <w:rFonts w:hint="eastAsia"/>
        </w:rPr>
        <w:t>落实政府采购政策子指标主要考察项目是否落实节能环保、绿色低碳、支持本国产业等政府采购政策。</w:t>
      </w:r>
    </w:p>
    <w:p w14:paraId="1C73F9AE" w14:textId="77777777" w:rsidR="0090701D" w:rsidRDefault="0090701D" w:rsidP="0090701D">
      <w:pPr>
        <w:pStyle w:val="13"/>
      </w:pPr>
      <w:r>
        <w:rPr>
          <w:rFonts w:hint="eastAsia"/>
        </w:rPr>
        <w:t>（四）潜在竞争程度指标</w:t>
      </w:r>
    </w:p>
    <w:p w14:paraId="1E22FE4E" w14:textId="663AB141" w:rsidR="0090701D" w:rsidRDefault="0090701D" w:rsidP="0090701D">
      <w:pPr>
        <w:pStyle w:val="13"/>
      </w:pPr>
      <w:r>
        <w:rPr>
          <w:rFonts w:hint="eastAsia"/>
        </w:rPr>
        <w:t>潜在竞争程度指标主要考核项目对社会资本参与竞争的吸引力。潜在竞争程度指标可派生出市场测试、意向社会资本的数量与质量、市场成熟度以及促进竞争的措施等子指标。</w:t>
      </w:r>
    </w:p>
    <w:p w14:paraId="3F82C995" w14:textId="77777777" w:rsidR="0090701D" w:rsidRDefault="0090701D" w:rsidP="0090701D">
      <w:pPr>
        <w:pStyle w:val="13"/>
      </w:pPr>
      <w:r>
        <w:t>1、市场测试</w:t>
      </w:r>
    </w:p>
    <w:p w14:paraId="177C2B67" w14:textId="0FE33574" w:rsidR="0090701D" w:rsidRDefault="0090701D" w:rsidP="0090701D">
      <w:pPr>
        <w:pStyle w:val="13"/>
      </w:pPr>
      <w:r>
        <w:rPr>
          <w:rFonts w:hint="eastAsia"/>
        </w:rPr>
        <w:t>市场测试子指标主要考察项目识别阶段是否开展了市场测试、测试范围、测试对象、测试手段等以及项目所在地的相同或相近行业是否有类似</w:t>
      </w:r>
      <w:r w:rsidR="00B65C82">
        <w:t>PPP</w:t>
      </w:r>
      <w:r>
        <w:t>模式的失败案例。</w:t>
      </w:r>
    </w:p>
    <w:p w14:paraId="1199D2D5" w14:textId="77777777" w:rsidR="0090701D" w:rsidRDefault="0090701D" w:rsidP="0090701D">
      <w:pPr>
        <w:pStyle w:val="13"/>
      </w:pPr>
      <w:r>
        <w:t>2、意向社会资本的数量与质量</w:t>
      </w:r>
    </w:p>
    <w:p w14:paraId="5539E2A2" w14:textId="77777777" w:rsidR="0090701D" w:rsidRDefault="0090701D" w:rsidP="0090701D">
      <w:pPr>
        <w:pStyle w:val="13"/>
      </w:pPr>
      <w:r>
        <w:rPr>
          <w:rFonts w:hint="eastAsia"/>
        </w:rPr>
        <w:lastRenderedPageBreak/>
        <w:t>意向社会资本的数量与质量子指标主要考察项目是否能够引起社会资本之间的充分竞争，以及考察拟参与竞争的社会资本的实力是否满足项目的准入条件。</w:t>
      </w:r>
    </w:p>
    <w:p w14:paraId="28B855F7" w14:textId="77777777" w:rsidR="0090701D" w:rsidRDefault="0090701D" w:rsidP="0090701D">
      <w:pPr>
        <w:pStyle w:val="13"/>
      </w:pPr>
      <w:r>
        <w:t>3、市场成熟度</w:t>
      </w:r>
    </w:p>
    <w:p w14:paraId="42C6BAE6" w14:textId="0CBBC44B" w:rsidR="0090701D" w:rsidRDefault="0090701D" w:rsidP="0090701D">
      <w:pPr>
        <w:pStyle w:val="13"/>
      </w:pPr>
      <w:r>
        <w:rPr>
          <w:rFonts w:hint="eastAsia"/>
        </w:rPr>
        <w:t>市场成熟度子指标主要考察宏观环境</w:t>
      </w:r>
      <w:proofErr w:type="gramStart"/>
      <w:r>
        <w:rPr>
          <w:rFonts w:hint="eastAsia"/>
        </w:rPr>
        <w:t>下项目</w:t>
      </w:r>
      <w:proofErr w:type="gramEnd"/>
      <w:r>
        <w:rPr>
          <w:rFonts w:hint="eastAsia"/>
        </w:rPr>
        <w:t>所在行业及所处区域是否有较为成熟、稳定的</w:t>
      </w:r>
      <w:r w:rsidR="00B65C82">
        <w:t>PPP</w:t>
      </w:r>
      <w:r>
        <w:t>项目供求市场。通常，项目所在行业及所处区域的</w:t>
      </w:r>
      <w:r w:rsidR="00B65C82">
        <w:t>PPP</w:t>
      </w:r>
      <w:r>
        <w:t>项目供求市场越成熟，参与竞争的潜在社会资本越多。若社会资本已经或未来能够在其他类似项目提供类似服务，政府可能通过社会资本实现规模经济效应而达到</w:t>
      </w:r>
      <w:r w:rsidR="00B65C82">
        <w:t>PPP</w:t>
      </w:r>
      <w:r>
        <w:t>项目的物有所值目标。</w:t>
      </w:r>
    </w:p>
    <w:p w14:paraId="5CFCDF0C" w14:textId="77777777" w:rsidR="0090701D" w:rsidRDefault="0090701D" w:rsidP="0090701D">
      <w:pPr>
        <w:pStyle w:val="13"/>
      </w:pPr>
      <w:r>
        <w:t>4、促进竞争的措施</w:t>
      </w:r>
    </w:p>
    <w:p w14:paraId="6C05B2DD" w14:textId="5965585B" w:rsidR="0090701D" w:rsidRDefault="0090701D" w:rsidP="0090701D">
      <w:pPr>
        <w:pStyle w:val="13"/>
      </w:pPr>
      <w:r>
        <w:rPr>
          <w:rFonts w:hint="eastAsia"/>
        </w:rPr>
        <w:t>促进竞争的措施子指标主要考察政府已采取或拟采用的进行项目推进或路演的措施，提高项目的竞争程度，采用</w:t>
      </w:r>
      <w:r w:rsidR="00B65C82">
        <w:t>PPP</w:t>
      </w:r>
      <w:r>
        <w:t>模式是否有充足的周期以完成项目识别、项目准备以及遴选社会资本；也考察项目初步实施方案是否能够引起社会资本参与竞争的足够兴趣，实施方案中对社会资本的惩罚性合同条款是否过于严苛，如何设计股权退出机制以提高对社会资本的吸引力。</w:t>
      </w:r>
    </w:p>
    <w:p w14:paraId="31ABAA84" w14:textId="77777777" w:rsidR="0090701D" w:rsidRDefault="0090701D" w:rsidP="0090701D">
      <w:pPr>
        <w:pStyle w:val="13"/>
      </w:pPr>
      <w:r>
        <w:rPr>
          <w:rFonts w:hint="eastAsia"/>
        </w:rPr>
        <w:t>（五）政府机构能力指标</w:t>
      </w:r>
    </w:p>
    <w:p w14:paraId="21B968E4" w14:textId="77777777" w:rsidR="0090701D" w:rsidRDefault="0090701D" w:rsidP="0090701D">
      <w:pPr>
        <w:pStyle w:val="13"/>
      </w:pPr>
      <w:r>
        <w:rPr>
          <w:rFonts w:hint="eastAsia"/>
        </w:rPr>
        <w:t>政府机构能力指标主要考核政府转变职能、优化服务、依法履约、行政监管和项目执行管理等能力。</w:t>
      </w:r>
    </w:p>
    <w:p w14:paraId="60F9AB9F" w14:textId="31570291" w:rsidR="0090701D" w:rsidRDefault="0090701D" w:rsidP="0090701D">
      <w:pPr>
        <w:pStyle w:val="13"/>
      </w:pPr>
      <w:r>
        <w:rPr>
          <w:rFonts w:hint="eastAsia"/>
        </w:rPr>
        <w:t>政府机构能力指标可派生出政府的</w:t>
      </w:r>
      <w:r w:rsidR="00B65C82">
        <w:t>PPP</w:t>
      </w:r>
      <w:r>
        <w:t>理念、</w:t>
      </w:r>
      <w:r w:rsidR="00B65C82">
        <w:t>PPP</w:t>
      </w:r>
      <w:r>
        <w:t>法制环境、</w:t>
      </w:r>
      <w:r w:rsidR="00B65C82">
        <w:t>PPP</w:t>
      </w:r>
      <w:r>
        <w:t>模式的运作经验、操作程序、监管能力等子指标。</w:t>
      </w:r>
    </w:p>
    <w:p w14:paraId="6539E6D3" w14:textId="08F053B6" w:rsidR="0090701D" w:rsidRDefault="0090701D" w:rsidP="0090701D">
      <w:pPr>
        <w:pStyle w:val="13"/>
      </w:pPr>
      <w:r>
        <w:t>1、政府的</w:t>
      </w:r>
      <w:r w:rsidR="00B65C82">
        <w:t>PPP</w:t>
      </w:r>
      <w:r>
        <w:t>理念</w:t>
      </w:r>
    </w:p>
    <w:p w14:paraId="7959145A" w14:textId="72A7118D" w:rsidR="0090701D" w:rsidRDefault="0090701D" w:rsidP="0090701D">
      <w:pPr>
        <w:pStyle w:val="13"/>
      </w:pPr>
      <w:r>
        <w:rPr>
          <w:rFonts w:hint="eastAsia"/>
        </w:rPr>
        <w:t>政府的</w:t>
      </w:r>
      <w:r w:rsidR="00B65C82">
        <w:t>PPP</w:t>
      </w:r>
      <w:r>
        <w:t>理念指标主要考察政府是否具备依法依合同平等合作、风险分担、全生命周期绩效管理等理念，以及政府是否认识到</w:t>
      </w:r>
      <w:r w:rsidR="00B65C82">
        <w:t>PPP</w:t>
      </w:r>
      <w:r>
        <w:t>不仅是基础设施及公共服务融资手段，更是转变政府职能、建立现代财政制度等的重要手段。</w:t>
      </w:r>
    </w:p>
    <w:p w14:paraId="696EA985" w14:textId="1102A929" w:rsidR="0090701D" w:rsidRDefault="0090701D" w:rsidP="0090701D">
      <w:pPr>
        <w:pStyle w:val="13"/>
      </w:pPr>
      <w:r>
        <w:t>2、</w:t>
      </w:r>
      <w:r w:rsidR="00B65C82">
        <w:t>PPP</w:t>
      </w:r>
      <w:r>
        <w:t>法制环境</w:t>
      </w:r>
    </w:p>
    <w:p w14:paraId="5262298C" w14:textId="296B8E51" w:rsidR="0090701D" w:rsidRDefault="00B65C82" w:rsidP="0090701D">
      <w:pPr>
        <w:pStyle w:val="13"/>
      </w:pPr>
      <w:r>
        <w:t>PPP</w:t>
      </w:r>
      <w:r w:rsidR="0090701D">
        <w:t>法制环境子指标主要考察</w:t>
      </w:r>
      <w:r>
        <w:t>PPP</w:t>
      </w:r>
      <w:r w:rsidR="0090701D">
        <w:t>相关的法律、法规、规章及规范性文件是否能够保障政府依法履约和依法行政，政府是否通过法律法规或相关制度确保预算的长期稳定及</w:t>
      </w:r>
      <w:r>
        <w:t>PPP</w:t>
      </w:r>
      <w:r w:rsidR="0090701D">
        <w:t>项目履约能力。</w:t>
      </w:r>
    </w:p>
    <w:p w14:paraId="1AE0BE7F" w14:textId="0840A689" w:rsidR="0090701D" w:rsidRDefault="0090701D" w:rsidP="0090701D">
      <w:pPr>
        <w:pStyle w:val="13"/>
      </w:pPr>
      <w:r>
        <w:t>3、</w:t>
      </w:r>
      <w:r w:rsidR="00B65C82">
        <w:t>PPP</w:t>
      </w:r>
      <w:r>
        <w:t>模式的运作经验</w:t>
      </w:r>
    </w:p>
    <w:p w14:paraId="3AF8D16C" w14:textId="72132063" w:rsidR="0090701D" w:rsidRDefault="00B65C82" w:rsidP="0090701D">
      <w:pPr>
        <w:pStyle w:val="13"/>
      </w:pPr>
      <w:r>
        <w:t>PPP</w:t>
      </w:r>
      <w:r w:rsidR="0090701D">
        <w:t>模式的运作经验子指标主要考察政府是否已运作过</w:t>
      </w:r>
      <w:r>
        <w:t>PPP</w:t>
      </w:r>
      <w:r w:rsidR="0090701D">
        <w:t>项目、运作成绩、是否出现过政府或项目实施机构违约情形、政府通过购买服务获得的能力及经验等。</w:t>
      </w:r>
    </w:p>
    <w:p w14:paraId="7686FA6B" w14:textId="77777777" w:rsidR="0090701D" w:rsidRDefault="0090701D" w:rsidP="0090701D">
      <w:pPr>
        <w:pStyle w:val="13"/>
      </w:pPr>
      <w:r>
        <w:t>4、项目操作程序</w:t>
      </w:r>
    </w:p>
    <w:p w14:paraId="3341C113" w14:textId="7F6A0D09" w:rsidR="0090701D" w:rsidRDefault="0090701D" w:rsidP="0090701D">
      <w:pPr>
        <w:pStyle w:val="13"/>
      </w:pPr>
      <w:r>
        <w:rPr>
          <w:rFonts w:hint="eastAsia"/>
        </w:rPr>
        <w:t>项目操作程序子指标主要考察政府是否形成规范、公开、透明的</w:t>
      </w:r>
      <w:r w:rsidR="00B65C82">
        <w:t>PPP</w:t>
      </w:r>
      <w:r>
        <w:t>项目操作程序，是否有效执行操作程序、执行效率等。</w:t>
      </w:r>
    </w:p>
    <w:p w14:paraId="7C98C672" w14:textId="77777777" w:rsidR="0090701D" w:rsidRDefault="0090701D" w:rsidP="0090701D">
      <w:pPr>
        <w:pStyle w:val="13"/>
      </w:pPr>
      <w:r>
        <w:t>5、监管能力</w:t>
      </w:r>
    </w:p>
    <w:p w14:paraId="45D5A4C3" w14:textId="7C5F669F" w:rsidR="0090701D" w:rsidRDefault="0090701D" w:rsidP="0090701D">
      <w:pPr>
        <w:pStyle w:val="13"/>
      </w:pPr>
      <w:r>
        <w:rPr>
          <w:rFonts w:hint="eastAsia"/>
        </w:rPr>
        <w:lastRenderedPageBreak/>
        <w:t>监管能力子指标主要考察政府是否依据法律法规的规定以及合同的约定进行监管</w:t>
      </w:r>
      <w:r w:rsidR="003068F8">
        <w:rPr>
          <w:rFonts w:hint="eastAsia"/>
        </w:rPr>
        <w:t>，</w:t>
      </w:r>
      <w:r>
        <w:t>政府是否有足够能力管理自留风险，政府是否有足够能力对</w:t>
      </w:r>
      <w:r w:rsidR="00B65C82">
        <w:t>PPP</w:t>
      </w:r>
      <w:r>
        <w:t>全生命周期合同进行管理，政府是否有明确的权利清单、责任清单、负面清单，是否有明确的监管主体以及部门间协调</w:t>
      </w:r>
      <w:r>
        <w:rPr>
          <w:rFonts w:hint="eastAsia"/>
        </w:rPr>
        <w:t>机制，监管人员是否经过了专业化的培训，监管过程是否公开透明，监管环节设置是否科学，是否形成定期备案和评价制度。</w:t>
      </w:r>
    </w:p>
    <w:p w14:paraId="301EA0E9" w14:textId="77777777" w:rsidR="0090701D" w:rsidRDefault="0090701D" w:rsidP="0090701D">
      <w:pPr>
        <w:pStyle w:val="13"/>
      </w:pPr>
      <w:r>
        <w:rPr>
          <w:rFonts w:hint="eastAsia"/>
        </w:rPr>
        <w:t>（六）可融资性指标</w:t>
      </w:r>
    </w:p>
    <w:p w14:paraId="220FDCD8" w14:textId="77777777" w:rsidR="0090701D" w:rsidRDefault="0090701D" w:rsidP="0090701D">
      <w:pPr>
        <w:pStyle w:val="13"/>
      </w:pPr>
      <w:r>
        <w:rPr>
          <w:rFonts w:hint="eastAsia"/>
        </w:rPr>
        <w:t>可融资性指标主要考核项目的市场融资能力。</w:t>
      </w:r>
    </w:p>
    <w:p w14:paraId="559807E9" w14:textId="77777777" w:rsidR="0090701D" w:rsidRDefault="0090701D" w:rsidP="0090701D">
      <w:pPr>
        <w:pStyle w:val="13"/>
      </w:pPr>
      <w:r>
        <w:rPr>
          <w:rFonts w:hint="eastAsia"/>
        </w:rPr>
        <w:t>可融资性指标可派生出融资方式和融资条件、融资机构竞争程度等子指标。</w:t>
      </w:r>
    </w:p>
    <w:p w14:paraId="44744D63" w14:textId="77777777" w:rsidR="0090701D" w:rsidRDefault="0090701D" w:rsidP="0090701D">
      <w:pPr>
        <w:pStyle w:val="13"/>
      </w:pPr>
      <w:r>
        <w:t>1、融资方式和融资条件</w:t>
      </w:r>
    </w:p>
    <w:p w14:paraId="3CC99D57" w14:textId="235EFAFA" w:rsidR="0090701D" w:rsidRDefault="0090701D" w:rsidP="0090701D">
      <w:pPr>
        <w:pStyle w:val="13"/>
      </w:pPr>
      <w:r>
        <w:rPr>
          <w:rFonts w:hint="eastAsia"/>
        </w:rPr>
        <w:t>融资方式和融资条件子指标主要考察项目公司拟采用债务性融资还是权益性融资。债务性融资是采用银行贷款、发行债务还是其他方式，社会资本是否拥有或控制项目资产，项目公司的哪些资产可用作贷款的抵押物或质押物，项目资产的抵押或质押周期与</w:t>
      </w:r>
      <w:r w:rsidR="00B65C82">
        <w:t>PPP</w:t>
      </w:r>
      <w:r>
        <w:t>项目的合作周期如何匹配，运营收益占项目建造投资之比是否过低。</w:t>
      </w:r>
    </w:p>
    <w:p w14:paraId="1DA5EC4C" w14:textId="77777777" w:rsidR="0090701D" w:rsidRDefault="0090701D" w:rsidP="0090701D">
      <w:pPr>
        <w:pStyle w:val="13"/>
      </w:pPr>
      <w:r>
        <w:t>2、融资机构竞争程度</w:t>
      </w:r>
    </w:p>
    <w:p w14:paraId="4202D8F2" w14:textId="595A777E" w:rsidR="0090701D" w:rsidRDefault="0090701D" w:rsidP="0090701D">
      <w:pPr>
        <w:pStyle w:val="13"/>
      </w:pPr>
      <w:r>
        <w:rPr>
          <w:rFonts w:hint="eastAsia"/>
        </w:rPr>
        <w:t>融资机构竞争程度子指标主要考察项目对融资机构是否有吸引力，是否有具备强劲实力的金融机构明确表达了对项目的融资意愿，融资机构之间是否能够形成有效竞争。通常，融资机构竞争程度越高，项目越容易获得融资，社会资本所需支付的融资成本越低。</w:t>
      </w:r>
    </w:p>
    <w:p w14:paraId="02498859" w14:textId="77777777" w:rsidR="0090701D" w:rsidRDefault="0090701D" w:rsidP="0090701D">
      <w:pPr>
        <w:pStyle w:val="ab"/>
        <w:spacing w:before="62" w:after="62"/>
        <w:ind w:firstLine="482"/>
      </w:pPr>
      <w:r>
        <w:rPr>
          <w:rFonts w:hint="eastAsia"/>
        </w:rPr>
        <w:t>四、物有所值定性评价补充指标</w:t>
      </w:r>
    </w:p>
    <w:p w14:paraId="5A006166" w14:textId="7FE13382" w:rsidR="0090701D" w:rsidRDefault="0090701D" w:rsidP="0090701D">
      <w:pPr>
        <w:pStyle w:val="13"/>
      </w:pPr>
      <w:r>
        <w:rPr>
          <w:rFonts w:hint="eastAsia"/>
        </w:rPr>
        <w:t>物有所值定性评价补充评价指标主要是基本评价指标未涵盖的其他影响</w:t>
      </w:r>
      <w:r w:rsidR="00B65C82">
        <w:t>PPP</w:t>
      </w:r>
      <w:r>
        <w:t>项目实现物有所值的因素。补充评价指标通常包括项目规模、预期使用寿命、主要固定资产种类、全生命周期成本测算准确性、运营收入增长潜力以及行业示范性，也可以根据项目所在地区及所处行业的具体情况设置有利于评价</w:t>
      </w:r>
      <w:r w:rsidR="00B65C82">
        <w:t>PPP</w:t>
      </w:r>
      <w:r>
        <w:t>项目是否能实现物有所值的其他补充评价指标。</w:t>
      </w:r>
    </w:p>
    <w:p w14:paraId="5BA56032" w14:textId="77777777" w:rsidR="0090701D" w:rsidRDefault="0090701D" w:rsidP="0090701D">
      <w:pPr>
        <w:pStyle w:val="13"/>
      </w:pPr>
      <w:r>
        <w:rPr>
          <w:rFonts w:hint="eastAsia"/>
        </w:rPr>
        <w:t>（一）项目规模指标</w:t>
      </w:r>
    </w:p>
    <w:p w14:paraId="72683C59" w14:textId="5B38842E" w:rsidR="0090701D" w:rsidRDefault="0090701D" w:rsidP="0090701D">
      <w:pPr>
        <w:pStyle w:val="13"/>
      </w:pPr>
      <w:r>
        <w:rPr>
          <w:rFonts w:hint="eastAsia"/>
        </w:rPr>
        <w:t>项目规模指标主要考核项目的规模是否能够吸引社会资本参与，项目规模是否能够摊薄前期费用。过大或过小的规模都不利于物有所值目标的实现。项目规模过大，具备相应实力的潜在社会资本数量较少，无法吸引社会资本的充分竞争。</w:t>
      </w:r>
      <w:r w:rsidR="00B65C82">
        <w:t>PPP</w:t>
      </w:r>
      <w:r>
        <w:t>项目的准备、论证、采购等前期环节的费用较大，</w:t>
      </w:r>
      <w:proofErr w:type="gramStart"/>
      <w:r>
        <w:t>若项目</w:t>
      </w:r>
      <w:proofErr w:type="gramEnd"/>
      <w:r>
        <w:t>规模较小，这些前期费用占项目全生命周期成本的比例会处于较高的水平。</w:t>
      </w:r>
    </w:p>
    <w:p w14:paraId="23E00889" w14:textId="77777777" w:rsidR="0090701D" w:rsidRDefault="0090701D" w:rsidP="0090701D">
      <w:pPr>
        <w:pStyle w:val="13"/>
      </w:pPr>
      <w:r>
        <w:rPr>
          <w:rFonts w:hint="eastAsia"/>
        </w:rPr>
        <w:t>（二）预期使用寿命指标</w:t>
      </w:r>
    </w:p>
    <w:p w14:paraId="64B44051" w14:textId="5445E27F" w:rsidR="0090701D" w:rsidRDefault="0090701D" w:rsidP="0090701D">
      <w:pPr>
        <w:pStyle w:val="13"/>
      </w:pPr>
      <w:r>
        <w:rPr>
          <w:rFonts w:hint="eastAsia"/>
        </w:rPr>
        <w:t>预期使用寿命指标主要考核项目的预期使用寿命是否能为利用</w:t>
      </w:r>
      <w:r w:rsidR="00B65C82">
        <w:t>PPP</w:t>
      </w:r>
      <w:r>
        <w:t>模式提高效率和降低全生命周期成本提供基础条件。政府与社会资本合作，社会资本发挥技术优势、管理经验以降低成本和提高效率通常需要较长的时间周期，项目预期使用寿命太</w:t>
      </w:r>
      <w:r>
        <w:lastRenderedPageBreak/>
        <w:t>短，不利于社会资本提高效率和降低全生命周期成本。不同地区、不同行业利用</w:t>
      </w:r>
      <w:r w:rsidR="00B65C82">
        <w:t>PPP</w:t>
      </w:r>
      <w:r>
        <w:t>模式提高效率和降低全生命周期成本，所要求的项目预期使用寿命也可能不同。</w:t>
      </w:r>
    </w:p>
    <w:p w14:paraId="72144761" w14:textId="77777777" w:rsidR="0090701D" w:rsidRDefault="0090701D" w:rsidP="0090701D">
      <w:pPr>
        <w:pStyle w:val="13"/>
      </w:pPr>
      <w:r>
        <w:rPr>
          <w:rFonts w:hint="eastAsia"/>
        </w:rPr>
        <w:t>（三）主要固定资产种类指标</w:t>
      </w:r>
    </w:p>
    <w:p w14:paraId="0F0339EB" w14:textId="77777777" w:rsidR="0090701D" w:rsidRDefault="0090701D" w:rsidP="0090701D">
      <w:pPr>
        <w:pStyle w:val="13"/>
      </w:pPr>
      <w:r>
        <w:rPr>
          <w:rFonts w:hint="eastAsia"/>
        </w:rPr>
        <w:t>主要固定资产种类指标主要考核项目主要固定资产种类是否有利于社会资本发挥其长期整合优势。一个项目的资产种类的多少，可能会影响社会资本发挥技术优势和管理经验的潜力。对于资产种类较多的项目，对项目进行设计、建设、运营及维护所要求的专业技术能力和管理能力较高，政府与社会资本进行合作，更能利用社会资本在专业技术及管理经验方面的优势，实现优势互补、合作共赢。</w:t>
      </w:r>
    </w:p>
    <w:p w14:paraId="09D1B295" w14:textId="77777777" w:rsidR="0090701D" w:rsidRDefault="0090701D" w:rsidP="0090701D">
      <w:pPr>
        <w:pStyle w:val="13"/>
      </w:pPr>
      <w:r>
        <w:rPr>
          <w:rFonts w:hint="eastAsia"/>
        </w:rPr>
        <w:t>（四）全生命周期成本测算准确性指标</w:t>
      </w:r>
    </w:p>
    <w:p w14:paraId="58316353" w14:textId="15D949F9" w:rsidR="0090701D" w:rsidRDefault="0090701D" w:rsidP="0090701D">
      <w:pPr>
        <w:pStyle w:val="13"/>
      </w:pPr>
      <w:r>
        <w:rPr>
          <w:rFonts w:hint="eastAsia"/>
        </w:rPr>
        <w:t>全生命周期成本测算准确性指标主要考核对影响全生命周期成本的主要因素进行识别的完整度，对未来服务需求</w:t>
      </w:r>
      <w:proofErr w:type="gramStart"/>
      <w:r>
        <w:rPr>
          <w:rFonts w:hint="eastAsia"/>
        </w:rPr>
        <w:t>作出</w:t>
      </w:r>
      <w:proofErr w:type="gramEnd"/>
      <w:r>
        <w:rPr>
          <w:rFonts w:hint="eastAsia"/>
        </w:rPr>
        <w:t>合理预测的年限，全生命周期成本是否能够准确测算，合作周期届满时项目资产处置与移交的要求是否清晰、全面。全生命周期成本是确定</w:t>
      </w:r>
      <w:r w:rsidR="00B65C82">
        <w:t>PPP</w:t>
      </w:r>
      <w:r>
        <w:t>合作期长短、付费多少、政府补贴等的重要依据。若无法合理测算项目的全生命周期成本，难以针对全生命周期成本设置合理的报价标的，社会资本在降低全生命周期成本方面的竞争可能不充分。</w:t>
      </w:r>
    </w:p>
    <w:p w14:paraId="79BC4EB3" w14:textId="77777777" w:rsidR="0090701D" w:rsidRDefault="0090701D" w:rsidP="0090701D">
      <w:pPr>
        <w:pStyle w:val="13"/>
      </w:pPr>
      <w:r>
        <w:rPr>
          <w:rFonts w:hint="eastAsia"/>
        </w:rPr>
        <w:t>（五）运营收入增长潜力指标</w:t>
      </w:r>
    </w:p>
    <w:p w14:paraId="48242A47" w14:textId="77777777" w:rsidR="0090701D" w:rsidRDefault="0090701D" w:rsidP="0090701D">
      <w:pPr>
        <w:pStyle w:val="13"/>
      </w:pPr>
      <w:r>
        <w:rPr>
          <w:rFonts w:hint="eastAsia"/>
        </w:rPr>
        <w:t>运营收入增长潜力指标主要考核社会资本在满足公共需求前提下增加额外收入和提高项目资产利用率的可能性。社会资本合作方通过实施项目，在满足公共需求的前提下，增加额外收入，可以降低政府的成本和公众的支出。</w:t>
      </w:r>
    </w:p>
    <w:p w14:paraId="2E76CC5F" w14:textId="77777777" w:rsidR="0090701D" w:rsidRDefault="0090701D" w:rsidP="0090701D">
      <w:pPr>
        <w:pStyle w:val="13"/>
      </w:pPr>
      <w:r>
        <w:rPr>
          <w:rFonts w:hint="eastAsia"/>
        </w:rPr>
        <w:t>（六）行业示范性指标</w:t>
      </w:r>
    </w:p>
    <w:p w14:paraId="1E8B258A" w14:textId="734FBEDB" w:rsidR="0090701D" w:rsidRDefault="0090701D" w:rsidP="0090701D">
      <w:pPr>
        <w:pStyle w:val="13"/>
      </w:pPr>
      <w:r>
        <w:rPr>
          <w:rFonts w:hint="eastAsia"/>
        </w:rPr>
        <w:t>行业示范性指标主要考核项目采用</w:t>
      </w:r>
      <w:r w:rsidR="00B65C82">
        <w:t>PPP</w:t>
      </w:r>
      <w:r>
        <w:t>模式运作对所在地区或所处行业的示范作用，是否能带动或推进所在地区或所处行业的市场化程度。</w:t>
      </w:r>
    </w:p>
    <w:p w14:paraId="5B2BEE7B" w14:textId="77777777" w:rsidR="0090701D" w:rsidRDefault="0090701D" w:rsidP="0090701D">
      <w:pPr>
        <w:pStyle w:val="ab"/>
        <w:spacing w:before="62" w:after="62"/>
        <w:ind w:firstLine="482"/>
      </w:pPr>
      <w:r>
        <w:rPr>
          <w:rFonts w:hint="eastAsia"/>
        </w:rPr>
        <w:t>五、定性评价方法</w:t>
      </w:r>
    </w:p>
    <w:p w14:paraId="3F68CC3C" w14:textId="1DC12DE4" w:rsidR="0090701D" w:rsidRDefault="0090701D" w:rsidP="0090701D">
      <w:pPr>
        <w:pStyle w:val="13"/>
      </w:pPr>
      <w:r>
        <w:rPr>
          <w:rFonts w:hint="eastAsia"/>
        </w:rPr>
        <w:t>项目识别、项目准备、项目采购环节对</w:t>
      </w:r>
      <w:r w:rsidR="00B65C82">
        <w:t>PPP</w:t>
      </w:r>
      <w:r>
        <w:t>项目进行定性评价主要采用专家评判法。专家评判法，是指通过专家对设置的评价指标进行评分，以对项目是否采用</w:t>
      </w:r>
      <w:r w:rsidR="00B65C82">
        <w:t>PPP</w:t>
      </w:r>
      <w:r>
        <w:t>模式</w:t>
      </w:r>
      <w:proofErr w:type="gramStart"/>
      <w:r>
        <w:t>作出</w:t>
      </w:r>
      <w:proofErr w:type="gramEnd"/>
      <w:r>
        <w:t>评价和判断。</w:t>
      </w:r>
    </w:p>
    <w:p w14:paraId="326FF4B0" w14:textId="77777777" w:rsidR="0090701D" w:rsidRDefault="0090701D" w:rsidP="0090701D">
      <w:pPr>
        <w:pStyle w:val="ab"/>
        <w:spacing w:before="62" w:after="62"/>
        <w:ind w:firstLine="482"/>
      </w:pPr>
      <w:r>
        <w:rPr>
          <w:rFonts w:hint="eastAsia"/>
        </w:rPr>
        <w:t>六、定性评价过程</w:t>
      </w:r>
    </w:p>
    <w:p w14:paraId="0C0AC414" w14:textId="7DB0A03D" w:rsidR="0090701D" w:rsidRDefault="0090701D" w:rsidP="0090701D">
      <w:pPr>
        <w:pStyle w:val="13"/>
      </w:pPr>
      <w:r>
        <w:rPr>
          <w:rFonts w:hint="eastAsia"/>
        </w:rPr>
        <w:t>采用专家评判法进行</w:t>
      </w:r>
      <w:r w:rsidR="00B65C82">
        <w:t>PPP</w:t>
      </w:r>
      <w:r>
        <w:t>项目物有所值定性评价，评价过程主要包括评价准备、组成专家组、设置评价指标、拟定评分标准、制作评价会议材料、召开专家组会议、形成定性评价结论等。</w:t>
      </w:r>
    </w:p>
    <w:p w14:paraId="1410F954" w14:textId="77777777" w:rsidR="0090701D" w:rsidRDefault="0090701D" w:rsidP="0090701D">
      <w:pPr>
        <w:pStyle w:val="13"/>
      </w:pPr>
      <w:r>
        <w:rPr>
          <w:rFonts w:hint="eastAsia"/>
        </w:rPr>
        <w:t>（一）评价准备</w:t>
      </w:r>
    </w:p>
    <w:p w14:paraId="6A39B89F" w14:textId="390A06B5" w:rsidR="0090701D" w:rsidRDefault="0090701D" w:rsidP="0090701D">
      <w:pPr>
        <w:pStyle w:val="13"/>
      </w:pPr>
      <w:r>
        <w:rPr>
          <w:rFonts w:hint="eastAsia"/>
        </w:rPr>
        <w:t>评价准备阶段，评估机构应当获取项目初步实施方案、可</w:t>
      </w:r>
      <w:proofErr w:type="gramStart"/>
      <w:r>
        <w:rPr>
          <w:rFonts w:hint="eastAsia"/>
        </w:rPr>
        <w:t>研</w:t>
      </w:r>
      <w:proofErr w:type="gramEnd"/>
      <w:r>
        <w:rPr>
          <w:rFonts w:hint="eastAsia"/>
        </w:rPr>
        <w:t>报告等资料，了解项目概况、项目产出说明、</w:t>
      </w:r>
      <w:r w:rsidR="00B65C82">
        <w:t>PPP</w:t>
      </w:r>
      <w:r>
        <w:t>运作模式、风险分配框架、付费机制和调价机制等内容。</w:t>
      </w:r>
    </w:p>
    <w:p w14:paraId="436C92F0" w14:textId="77777777" w:rsidR="0090701D" w:rsidRDefault="0090701D" w:rsidP="0090701D">
      <w:pPr>
        <w:pStyle w:val="13"/>
      </w:pPr>
      <w:r>
        <w:rPr>
          <w:rFonts w:hint="eastAsia"/>
        </w:rPr>
        <w:lastRenderedPageBreak/>
        <w:t>（二）组成专家组</w:t>
      </w:r>
    </w:p>
    <w:p w14:paraId="374DDF99" w14:textId="77777777" w:rsidR="0090701D" w:rsidRDefault="0090701D" w:rsidP="0090701D">
      <w:pPr>
        <w:pStyle w:val="13"/>
      </w:pPr>
      <w:r>
        <w:rPr>
          <w:rFonts w:hint="eastAsia"/>
        </w:rPr>
        <w:t>定性评价专家组应当包括财政、资产评估、会计、金融等经济方面专家，以及行业、工程技术、项目管理和法律方面专家等。通常，专家组人员不低于</w:t>
      </w:r>
      <w:r>
        <w:t xml:space="preserve"> 7 名。</w:t>
      </w:r>
    </w:p>
    <w:p w14:paraId="4187C553" w14:textId="77777777" w:rsidR="0090701D" w:rsidRDefault="0090701D" w:rsidP="0090701D">
      <w:pPr>
        <w:pStyle w:val="13"/>
      </w:pPr>
      <w:r>
        <w:rPr>
          <w:rFonts w:hint="eastAsia"/>
        </w:rPr>
        <w:t>（三）设置评价指标</w:t>
      </w:r>
    </w:p>
    <w:p w14:paraId="6F268249" w14:textId="5B447AF8" w:rsidR="0090701D" w:rsidRDefault="0090701D" w:rsidP="0090701D">
      <w:pPr>
        <w:pStyle w:val="13"/>
      </w:pPr>
      <w:r>
        <w:rPr>
          <w:rFonts w:hint="eastAsia"/>
        </w:rPr>
        <w:t>评价指标分为基本评价指标和补充评价指标。基本评价指标缺一不可。不同的</w:t>
      </w:r>
      <w:r>
        <w:t>PPP</w:t>
      </w:r>
      <w:r>
        <w:rPr>
          <w:rFonts w:hint="eastAsia"/>
        </w:rPr>
        <w:t>项目，补充评价指标可能存在差异，可选择定性评价补充指标中的全部或部分指标，也可根据项目所在地区、所处行业以及项目特点设置其他补充评价指标。</w:t>
      </w:r>
    </w:p>
    <w:p w14:paraId="33612D7F" w14:textId="77777777" w:rsidR="0090701D" w:rsidRDefault="0090701D" w:rsidP="0090701D">
      <w:pPr>
        <w:pStyle w:val="13"/>
      </w:pPr>
      <w:r>
        <w:rPr>
          <w:rFonts w:hint="eastAsia"/>
        </w:rPr>
        <w:t>（四）拟定评分标准</w:t>
      </w:r>
    </w:p>
    <w:p w14:paraId="4EFB0A70" w14:textId="77777777" w:rsidR="0090701D" w:rsidRDefault="0090701D" w:rsidP="0090701D">
      <w:pPr>
        <w:pStyle w:val="13"/>
      </w:pPr>
      <w:r>
        <w:rPr>
          <w:rFonts w:hint="eastAsia"/>
        </w:rPr>
        <w:t>拟定评分标准包括确定各评价指标的权重、拟定各评价指标的评分等级和评分标准。</w:t>
      </w:r>
    </w:p>
    <w:p w14:paraId="56DDFB15" w14:textId="4737559C" w:rsidR="0090701D" w:rsidRDefault="0090701D" w:rsidP="0090701D">
      <w:pPr>
        <w:pStyle w:val="13"/>
      </w:pPr>
      <w:r>
        <w:rPr>
          <w:rFonts w:hint="eastAsia"/>
        </w:rPr>
        <w:t>在各项评价指标中，六项基本评价指标权重合计为</w:t>
      </w:r>
      <w:r>
        <w:t>80%，其中任</w:t>
      </w:r>
      <w:proofErr w:type="gramStart"/>
      <w:r>
        <w:t>一</w:t>
      </w:r>
      <w:proofErr w:type="gramEnd"/>
      <w:r>
        <w:t>基本评价指标的</w:t>
      </w:r>
      <w:r>
        <w:rPr>
          <w:rFonts w:hint="eastAsia"/>
        </w:rPr>
        <w:t>权重一般不超过</w:t>
      </w:r>
      <w:r>
        <w:t>20%；补充评价指标权重合计为20%，其中任</w:t>
      </w:r>
      <w:proofErr w:type="gramStart"/>
      <w:r>
        <w:t>一</w:t>
      </w:r>
      <w:proofErr w:type="gramEnd"/>
      <w:r>
        <w:t>补充评价指标的权重一般不超过10%。</w:t>
      </w:r>
    </w:p>
    <w:p w14:paraId="1CF630B8" w14:textId="1CDD60B5" w:rsidR="0090701D" w:rsidRDefault="0090701D" w:rsidP="0090701D">
      <w:pPr>
        <w:pStyle w:val="13"/>
      </w:pPr>
      <w:r>
        <w:rPr>
          <w:rFonts w:hint="eastAsia"/>
        </w:rPr>
        <w:t>每项指标评分分为有利、较有利、一般、较不利、不利五个等级，即，对应分值分别为</w:t>
      </w:r>
      <w:r>
        <w:t>100</w:t>
      </w:r>
      <w:r w:rsidRPr="00210244">
        <w:rPr>
          <w:rFonts w:ascii="Times New Roman" w:hAnsi="Times New Roman" w:cs="Times New Roman"/>
        </w:rPr>
        <w:t>~</w:t>
      </w:r>
      <w:r>
        <w:t>81、80</w:t>
      </w:r>
      <w:r w:rsidRPr="00210244">
        <w:rPr>
          <w:rFonts w:ascii="Times New Roman" w:hAnsi="Times New Roman" w:cs="Times New Roman"/>
        </w:rPr>
        <w:t>~</w:t>
      </w:r>
      <w:r>
        <w:t>61、60</w:t>
      </w:r>
      <w:r w:rsidRPr="00210244">
        <w:rPr>
          <w:rFonts w:ascii="Times New Roman" w:hAnsi="Times New Roman" w:cs="Times New Roman"/>
        </w:rPr>
        <w:t>~</w:t>
      </w:r>
      <w:r>
        <w:t>41、40</w:t>
      </w:r>
      <w:r w:rsidRPr="00210244">
        <w:rPr>
          <w:rFonts w:ascii="Times New Roman" w:hAnsi="Times New Roman" w:cs="Times New Roman"/>
        </w:rPr>
        <w:t>~</w:t>
      </w:r>
      <w:r>
        <w:t>21、20</w:t>
      </w:r>
      <w:r w:rsidRPr="00210244">
        <w:rPr>
          <w:rFonts w:ascii="Times New Roman" w:hAnsi="Times New Roman" w:cs="Times New Roman"/>
        </w:rPr>
        <w:t>~</w:t>
      </w:r>
      <w:r>
        <w:t>0分。执行物有所值定性评价业务的评估机构</w:t>
      </w:r>
      <w:r w:rsidR="003068F8">
        <w:t>，</w:t>
      </w:r>
      <w:r>
        <w:t>通常根据每项评价指标的考核要点、派生子指标的考察内容，针对每项评价指标各个等级制定清晰准确的评分标准。</w:t>
      </w:r>
    </w:p>
    <w:p w14:paraId="2BB7BF63" w14:textId="77777777" w:rsidR="0090701D" w:rsidRDefault="0090701D" w:rsidP="0090701D">
      <w:pPr>
        <w:pStyle w:val="13"/>
      </w:pPr>
      <w:r>
        <w:rPr>
          <w:rFonts w:hint="eastAsia"/>
        </w:rPr>
        <w:t>（五）制作评价会议材料</w:t>
      </w:r>
    </w:p>
    <w:p w14:paraId="433609D0" w14:textId="2F6B6B0E" w:rsidR="0090701D" w:rsidRDefault="0090701D" w:rsidP="0090701D">
      <w:pPr>
        <w:pStyle w:val="13"/>
      </w:pPr>
      <w:r>
        <w:rPr>
          <w:rFonts w:hint="eastAsia"/>
        </w:rPr>
        <w:t>制作评价会议材料，应当根据</w:t>
      </w:r>
      <w:r w:rsidR="00B65C82">
        <w:t>PPP</w:t>
      </w:r>
      <w:r>
        <w:t>实施方案内容和设置的评价指标，着重就对应于各评价指标考核或考察要点的项目具体情况进行客观描述和详细介绍，避免主观臆断或人为导向。</w:t>
      </w:r>
    </w:p>
    <w:p w14:paraId="0B234A08" w14:textId="77777777" w:rsidR="0090701D" w:rsidRDefault="0090701D" w:rsidP="0090701D">
      <w:pPr>
        <w:pStyle w:val="13"/>
      </w:pPr>
      <w:r>
        <w:rPr>
          <w:rFonts w:hint="eastAsia"/>
        </w:rPr>
        <w:t>（六）召开专家组会议</w:t>
      </w:r>
    </w:p>
    <w:p w14:paraId="63DBC3BC" w14:textId="77777777" w:rsidR="0090701D" w:rsidRDefault="0090701D" w:rsidP="0090701D">
      <w:pPr>
        <w:pStyle w:val="13"/>
      </w:pPr>
      <w:r>
        <w:rPr>
          <w:rFonts w:hint="eastAsia"/>
        </w:rPr>
        <w:t>召开专家组会议前，执行物有所值定性评价业务的评估机构，一般需要将设置的评价指标、拟定的评分标准以及制作的评价会议材料等定性评价所需资料提交专家，确保专家掌握必要信息，并保证专家的独立性。专家组会议基本程序如下：</w:t>
      </w:r>
    </w:p>
    <w:p w14:paraId="00F0F14C" w14:textId="77777777" w:rsidR="0090701D" w:rsidRDefault="0090701D" w:rsidP="0090701D">
      <w:pPr>
        <w:pStyle w:val="13"/>
      </w:pPr>
      <w:r>
        <w:t>1、专家在充分讨论后</w:t>
      </w:r>
      <w:proofErr w:type="gramStart"/>
      <w:r>
        <w:t>按评价</w:t>
      </w:r>
      <w:proofErr w:type="gramEnd"/>
      <w:r>
        <w:t>指标逐项打分；</w:t>
      </w:r>
    </w:p>
    <w:p w14:paraId="36659699" w14:textId="77777777" w:rsidR="0090701D" w:rsidRDefault="0090701D" w:rsidP="0090701D">
      <w:pPr>
        <w:pStyle w:val="13"/>
      </w:pPr>
      <w:r>
        <w:t>2、按照指标权重计算加权平均分，得到评分结果，形成专家组意见。</w:t>
      </w:r>
    </w:p>
    <w:p w14:paraId="724F48F1" w14:textId="77777777" w:rsidR="0090701D" w:rsidRDefault="0090701D" w:rsidP="0090701D">
      <w:pPr>
        <w:pStyle w:val="13"/>
      </w:pPr>
      <w:r>
        <w:rPr>
          <w:rFonts w:hint="eastAsia"/>
        </w:rPr>
        <w:t>（七）形成定性评价结论</w:t>
      </w:r>
    </w:p>
    <w:p w14:paraId="66AE374A" w14:textId="1B7E70E2" w:rsidR="0090701D" w:rsidRDefault="0090701D" w:rsidP="0090701D">
      <w:pPr>
        <w:pStyle w:val="13"/>
      </w:pPr>
      <w:r>
        <w:rPr>
          <w:rFonts w:hint="eastAsia"/>
        </w:rPr>
        <w:t>合理利用专家组意见形成定性评价结论。原则上，评分结果在</w:t>
      </w:r>
      <w:r>
        <w:t xml:space="preserve"> 60 分（含）以上的</w:t>
      </w:r>
      <w:r w:rsidR="003068F8">
        <w:t>，</w:t>
      </w:r>
      <w:r>
        <w:t>通过定性评价；否则，未通过定性评价。</w:t>
      </w:r>
    </w:p>
    <w:p w14:paraId="448C07E5" w14:textId="77777777" w:rsidR="0090701D" w:rsidRDefault="0090701D" w:rsidP="0090701D">
      <w:pPr>
        <w:pStyle w:val="13"/>
      </w:pPr>
      <w:r>
        <w:rPr>
          <w:rFonts w:hint="eastAsia"/>
        </w:rPr>
        <w:t>（八）定性评价结论及分析</w:t>
      </w:r>
    </w:p>
    <w:p w14:paraId="4B17B941" w14:textId="7FBAF0C8" w:rsidR="0090701D" w:rsidRDefault="0090701D" w:rsidP="0090701D">
      <w:pPr>
        <w:pStyle w:val="13"/>
      </w:pPr>
      <w:r>
        <w:rPr>
          <w:rFonts w:hint="eastAsia"/>
        </w:rPr>
        <w:t>对定性评价结论，应当进行必要的分析。对定性评价结论进行分析的目的，在于指出采用</w:t>
      </w:r>
      <w:r w:rsidR="00B65C82">
        <w:t>PPP</w:t>
      </w:r>
      <w:r>
        <w:t>模式及其实施方案存在的不足，并提出合理化建议，以提高</w:t>
      </w:r>
      <w:r w:rsidR="00B65C82">
        <w:t>PPP</w:t>
      </w:r>
      <w:r>
        <w:t>项目的物有所值程度。定性评价结论评分结果越高，说明政府采用</w:t>
      </w:r>
      <w:r w:rsidR="00B65C82">
        <w:t>PPP</w:t>
      </w:r>
      <w:r>
        <w:t>模式替代传统投</w:t>
      </w:r>
      <w:r>
        <w:lastRenderedPageBreak/>
        <w:t>资模式的可行性、有益性以及可实现性越高。</w:t>
      </w:r>
    </w:p>
    <w:p w14:paraId="1AF15019" w14:textId="77777777" w:rsidR="0090701D" w:rsidRDefault="0090701D" w:rsidP="00210244">
      <w:pPr>
        <w:pStyle w:val="ab"/>
        <w:spacing w:before="62" w:after="62"/>
        <w:ind w:firstLine="482"/>
      </w:pPr>
      <w:r>
        <w:rPr>
          <w:rFonts w:hint="eastAsia"/>
        </w:rPr>
        <w:t>七、各环节定性评价方法的差异</w:t>
      </w:r>
    </w:p>
    <w:p w14:paraId="369A9764" w14:textId="77777777" w:rsidR="0090701D" w:rsidRDefault="0090701D" w:rsidP="0090701D">
      <w:pPr>
        <w:pStyle w:val="13"/>
      </w:pPr>
      <w:r>
        <w:rPr>
          <w:rFonts w:hint="eastAsia"/>
        </w:rPr>
        <w:t>项目识别、项目准备、项目采购环节，定性评价对应的评价指标和评分标准通常应当保持不变，但各环节各评价指标的专家评分分值可能因项目方案及项目合同内容的调整变更而有所不同。</w:t>
      </w:r>
    </w:p>
    <w:p w14:paraId="3BB09FC2" w14:textId="77777777" w:rsidR="0090701D" w:rsidRDefault="0090701D" w:rsidP="00AF7342">
      <w:pPr>
        <w:pStyle w:val="a9"/>
        <w:spacing w:before="62" w:after="62"/>
      </w:pPr>
      <w:r>
        <w:rPr>
          <w:rFonts w:hint="eastAsia"/>
        </w:rPr>
        <w:t>第三节</w:t>
      </w:r>
      <w:r>
        <w:t xml:space="preserve"> 物有所值定量评价</w:t>
      </w:r>
    </w:p>
    <w:p w14:paraId="01ED98C4" w14:textId="77777777" w:rsidR="0090701D" w:rsidRDefault="0090701D" w:rsidP="00210244">
      <w:pPr>
        <w:pStyle w:val="ab"/>
        <w:spacing w:before="62" w:after="62"/>
        <w:ind w:firstLine="482"/>
      </w:pPr>
      <w:r>
        <w:rPr>
          <w:rFonts w:hint="eastAsia"/>
        </w:rPr>
        <w:t>一、定量评价的开展时点</w:t>
      </w:r>
    </w:p>
    <w:p w14:paraId="130A4F07" w14:textId="672CF289" w:rsidR="0090701D" w:rsidRDefault="0090701D" w:rsidP="0090701D">
      <w:pPr>
        <w:pStyle w:val="13"/>
      </w:pPr>
      <w:r>
        <w:rPr>
          <w:rFonts w:hint="eastAsia"/>
        </w:rPr>
        <w:t>项目识别、项目准备、项目采购、项目执行和项目移交阶段，均可开展物有所值定量评价。定量评价可作为项目全生命周期</w:t>
      </w:r>
      <w:proofErr w:type="gramStart"/>
      <w:r>
        <w:rPr>
          <w:rFonts w:hint="eastAsia"/>
        </w:rPr>
        <w:t>内风险</w:t>
      </w:r>
      <w:proofErr w:type="gramEnd"/>
      <w:r>
        <w:rPr>
          <w:rFonts w:hint="eastAsia"/>
        </w:rPr>
        <w:t>分配、成本测算和数据收集的重要手段</w:t>
      </w:r>
      <w:r w:rsidR="003068F8">
        <w:rPr>
          <w:rFonts w:hint="eastAsia"/>
        </w:rPr>
        <w:t>，</w:t>
      </w:r>
      <w:r>
        <w:t>以及项目决策和绩效评价的参考依据。</w:t>
      </w:r>
    </w:p>
    <w:p w14:paraId="0D867F63" w14:textId="77777777" w:rsidR="0090701D" w:rsidRDefault="0090701D" w:rsidP="00210244">
      <w:pPr>
        <w:pStyle w:val="ab"/>
        <w:spacing w:before="62" w:after="62"/>
        <w:ind w:firstLine="482"/>
      </w:pPr>
      <w:r>
        <w:rPr>
          <w:rFonts w:hint="eastAsia"/>
        </w:rPr>
        <w:t>二、物有所值定量评价应取得的资料</w:t>
      </w:r>
    </w:p>
    <w:p w14:paraId="7BD1BA26" w14:textId="77777777" w:rsidR="0090701D" w:rsidRDefault="0090701D" w:rsidP="0090701D">
      <w:pPr>
        <w:pStyle w:val="13"/>
      </w:pPr>
      <w:r>
        <w:rPr>
          <w:rFonts w:hint="eastAsia"/>
        </w:rPr>
        <w:t>评估机构在执行物有所值定量评价业务时，需要收集除物有所值定性评价所需的资料外，还需要取得以下资料：</w:t>
      </w:r>
    </w:p>
    <w:p w14:paraId="37DF450F" w14:textId="344337B1" w:rsidR="0090701D" w:rsidRDefault="0090701D" w:rsidP="0090701D">
      <w:pPr>
        <w:pStyle w:val="13"/>
      </w:pPr>
      <w:r>
        <w:rPr>
          <w:rFonts w:hint="eastAsia"/>
        </w:rPr>
        <w:t>（一）近年来相同或相似地区采用政府传统投资方式实施的、与</w:t>
      </w:r>
      <w:r w:rsidR="00B65C82">
        <w:t>PPP</w:t>
      </w:r>
      <w:r>
        <w:t>项目产出相同或非常相似项目的财务、投资建设、运营维护等资料；</w:t>
      </w:r>
    </w:p>
    <w:p w14:paraId="0B6910AB" w14:textId="77777777" w:rsidR="0090701D" w:rsidRDefault="0090701D" w:rsidP="0090701D">
      <w:pPr>
        <w:pStyle w:val="13"/>
      </w:pPr>
      <w:r>
        <w:rPr>
          <w:rFonts w:hint="eastAsia"/>
        </w:rPr>
        <w:t>（二）项目用地资料，包括用地红线图、用地批文、宗地规划条件等资料；</w:t>
      </w:r>
    </w:p>
    <w:p w14:paraId="58B116C8" w14:textId="77777777" w:rsidR="0090701D" w:rsidRDefault="0090701D" w:rsidP="0090701D">
      <w:pPr>
        <w:pStyle w:val="13"/>
      </w:pPr>
      <w:r>
        <w:rPr>
          <w:rFonts w:hint="eastAsia"/>
        </w:rPr>
        <w:t>（三）项目相关价格信息、价格指数、采购文件、投标人响应文件等；</w:t>
      </w:r>
    </w:p>
    <w:p w14:paraId="1CC3EC5F" w14:textId="77777777" w:rsidR="0090701D" w:rsidRDefault="0090701D" w:rsidP="0090701D">
      <w:pPr>
        <w:pStyle w:val="13"/>
      </w:pPr>
      <w:r>
        <w:rPr>
          <w:rFonts w:hint="eastAsia"/>
        </w:rPr>
        <w:t>（四）使用者付费的价格标准及相关文件；</w:t>
      </w:r>
    </w:p>
    <w:p w14:paraId="234FB9B4" w14:textId="77777777" w:rsidR="0090701D" w:rsidRDefault="0090701D" w:rsidP="0090701D">
      <w:pPr>
        <w:pStyle w:val="13"/>
      </w:pPr>
      <w:r>
        <w:rPr>
          <w:rFonts w:hint="eastAsia"/>
        </w:rPr>
        <w:t>（五）项目初步设计、施工图设计等设计文件；</w:t>
      </w:r>
    </w:p>
    <w:p w14:paraId="4493E2EA" w14:textId="77777777" w:rsidR="0090701D" w:rsidRDefault="0090701D" w:rsidP="0090701D">
      <w:pPr>
        <w:pStyle w:val="13"/>
      </w:pPr>
      <w:r>
        <w:rPr>
          <w:rFonts w:hint="eastAsia"/>
        </w:rPr>
        <w:t>（六）对于存量项目，需提供存量资产建设的相关批文、规划设计、建设验收以及运营维护等资料；</w:t>
      </w:r>
    </w:p>
    <w:p w14:paraId="78751182" w14:textId="77777777" w:rsidR="0090701D" w:rsidRDefault="0090701D" w:rsidP="0090701D">
      <w:pPr>
        <w:pStyle w:val="13"/>
      </w:pPr>
      <w:r>
        <w:rPr>
          <w:rFonts w:hint="eastAsia"/>
        </w:rPr>
        <w:t>（七）其他相关资料。</w:t>
      </w:r>
    </w:p>
    <w:p w14:paraId="3E2D94A6" w14:textId="0094362E" w:rsidR="0090701D" w:rsidRDefault="0090701D" w:rsidP="00210244">
      <w:pPr>
        <w:pStyle w:val="ab"/>
        <w:spacing w:before="62" w:after="62"/>
        <w:ind w:firstLine="482"/>
      </w:pPr>
      <w:r>
        <w:rPr>
          <w:rFonts w:hint="eastAsia"/>
        </w:rPr>
        <w:t>三、全生命周期内</w:t>
      </w:r>
      <w:r w:rsidR="00B65C82">
        <w:t>PPP</w:t>
      </w:r>
      <w:r>
        <w:t>值的分类</w:t>
      </w:r>
    </w:p>
    <w:p w14:paraId="5026FF6A" w14:textId="268D4F57" w:rsidR="0090701D" w:rsidRDefault="0090701D" w:rsidP="00210244">
      <w:pPr>
        <w:pStyle w:val="13"/>
      </w:pPr>
      <w:r>
        <w:rPr>
          <w:rFonts w:hint="eastAsia"/>
        </w:rPr>
        <w:t>在项目不同阶段，</w:t>
      </w:r>
      <w:r w:rsidR="00B65C82">
        <w:t>PPP</w:t>
      </w:r>
      <w:r>
        <w:t>值的计算依据不同，</w:t>
      </w:r>
      <w:r w:rsidR="00B65C82">
        <w:t>PPP</w:t>
      </w:r>
      <w:r>
        <w:t>值的内涵也存在</w:t>
      </w:r>
      <w:r>
        <w:rPr>
          <w:rFonts w:hint="eastAsia"/>
        </w:rPr>
        <w:t>差异。项目识别和准备阶段，根据项目实施方案等测算的</w:t>
      </w:r>
      <w:proofErr w:type="gramStart"/>
      <w:r>
        <w:rPr>
          <w:rFonts w:hint="eastAsia"/>
        </w:rPr>
        <w:t>政府方净成本</w:t>
      </w:r>
      <w:proofErr w:type="gramEnd"/>
      <w:r>
        <w:rPr>
          <w:rFonts w:hint="eastAsia"/>
        </w:rPr>
        <w:t>的现值，称为项目识别和准备阶段的</w:t>
      </w:r>
      <w:r w:rsidR="00B65C82">
        <w:t>PPP</w:t>
      </w:r>
      <w:r>
        <w:t>值；项目采购阶段，根据社会资本提交的采购响应文件等测算的</w:t>
      </w:r>
      <w:proofErr w:type="gramStart"/>
      <w:r>
        <w:t>政府方净成本</w:t>
      </w:r>
      <w:proofErr w:type="gramEnd"/>
      <w:r>
        <w:t>的现值称为实际报价</w:t>
      </w:r>
      <w:r w:rsidR="00B65C82">
        <w:t>PPP</w:t>
      </w:r>
      <w:r>
        <w:t>值；根据与中标社会资本签署的</w:t>
      </w:r>
      <w:r w:rsidR="00B65C82">
        <w:t>PPP</w:t>
      </w:r>
      <w:r>
        <w:t>项目合同文件等测算的</w:t>
      </w:r>
      <w:proofErr w:type="gramStart"/>
      <w:r>
        <w:t>政府方净成本</w:t>
      </w:r>
      <w:proofErr w:type="gramEnd"/>
      <w:r>
        <w:t>的现值称为中标</w:t>
      </w:r>
      <w:r w:rsidR="00B65C82">
        <w:t>PPP</w:t>
      </w:r>
      <w:r>
        <w:t>值；项目执行阶段，基于政府与</w:t>
      </w:r>
      <w:r>
        <w:rPr>
          <w:rFonts w:hint="eastAsia"/>
        </w:rPr>
        <w:t>中标社会资本签署的</w:t>
      </w:r>
      <w:r w:rsidR="00B65C82">
        <w:t>PPP</w:t>
      </w:r>
      <w:r>
        <w:t>项目合同文件并结合</w:t>
      </w:r>
      <w:r w:rsidR="00B65C82">
        <w:t>PPP</w:t>
      </w:r>
      <w:r>
        <w:t>项目合同的实际情况而测算的</w:t>
      </w:r>
      <w:proofErr w:type="gramStart"/>
      <w:r>
        <w:t>政府方净成本</w:t>
      </w:r>
      <w:proofErr w:type="gramEnd"/>
      <w:r>
        <w:t>的现值称为中期</w:t>
      </w:r>
      <w:r w:rsidR="00B65C82">
        <w:t>PPP</w:t>
      </w:r>
      <w:r>
        <w:t>值；项目移交阶段，基于政府与中标社会资本签署的</w:t>
      </w:r>
      <w:r w:rsidR="00B65C82">
        <w:t>PPP</w:t>
      </w:r>
      <w:r>
        <w:t>项目合同文件的实际执行情况测算的</w:t>
      </w:r>
      <w:proofErr w:type="gramStart"/>
      <w:r>
        <w:t>政府方净成本</w:t>
      </w:r>
      <w:proofErr w:type="gramEnd"/>
      <w:r>
        <w:t>的现值称为实现</w:t>
      </w:r>
      <w:r w:rsidR="00B65C82">
        <w:t>PPP</w:t>
      </w:r>
      <w:r>
        <w:t>值。</w:t>
      </w:r>
    </w:p>
    <w:p w14:paraId="03215BD4" w14:textId="3B7BF92D" w:rsidR="0090701D" w:rsidRDefault="0090701D" w:rsidP="00210244">
      <w:pPr>
        <w:pStyle w:val="ab"/>
        <w:spacing w:before="62" w:after="62"/>
        <w:ind w:firstLine="482"/>
      </w:pPr>
      <w:r>
        <w:rPr>
          <w:rFonts w:hint="eastAsia"/>
        </w:rPr>
        <w:lastRenderedPageBreak/>
        <w:t>四、全生命周期内各类</w:t>
      </w:r>
      <w:r w:rsidR="00B65C82">
        <w:t>PPP</w:t>
      </w:r>
      <w:r>
        <w:t>值的测算</w:t>
      </w:r>
    </w:p>
    <w:p w14:paraId="31CC9115" w14:textId="5AA8EAB9" w:rsidR="0090701D" w:rsidRDefault="0090701D" w:rsidP="0090701D">
      <w:pPr>
        <w:pStyle w:val="13"/>
      </w:pPr>
      <w:r>
        <w:rPr>
          <w:rFonts w:hint="eastAsia"/>
        </w:rPr>
        <w:t>（一）项目识别和准备阶段</w:t>
      </w:r>
      <w:r w:rsidR="00B65C82">
        <w:t>PPP</w:t>
      </w:r>
      <w:r>
        <w:t>值的测算</w:t>
      </w:r>
    </w:p>
    <w:p w14:paraId="0FE6ADE6" w14:textId="78BA969F" w:rsidR="0090701D" w:rsidRDefault="0090701D" w:rsidP="0090701D">
      <w:pPr>
        <w:pStyle w:val="13"/>
      </w:pPr>
      <w:r>
        <w:rPr>
          <w:rFonts w:hint="eastAsia"/>
        </w:rPr>
        <w:t>项目识别和准备阶段</w:t>
      </w:r>
      <w:r w:rsidR="00B65C82">
        <w:t>PPP</w:t>
      </w:r>
      <w:r>
        <w:t>值是基于实施方案测算政府在股权投资、运营补贴、风险承担、配套投入等方面的财政支出责任的现值。测算方法和测算过程如下：</w:t>
      </w:r>
    </w:p>
    <w:p w14:paraId="1FA9FDD0" w14:textId="77777777" w:rsidR="0090701D" w:rsidRDefault="0090701D" w:rsidP="0090701D">
      <w:pPr>
        <w:pStyle w:val="13"/>
      </w:pPr>
      <w:r>
        <w:t>1、股权投资支出责任及其测算</w:t>
      </w:r>
    </w:p>
    <w:p w14:paraId="577AE350" w14:textId="77777777" w:rsidR="0090701D" w:rsidRDefault="0090701D" w:rsidP="0090701D">
      <w:pPr>
        <w:pStyle w:val="13"/>
      </w:pPr>
      <w:r>
        <w:rPr>
          <w:rFonts w:hint="eastAsia"/>
        </w:rPr>
        <w:t>股权投资支出责任是指在政府与社会资本共同组建项目公司政府承担的股权投资支出责任。股权投资支出应当根据政府实际投入项目公司的资金或资产价值、政府在合作期限内预计能够取得的分红以及合作期满时的清算所得确定。政府以非货币性资产向项目公司出资的，应依法对非货币性资产进行评估，合理确定价值。</w:t>
      </w:r>
    </w:p>
    <w:p w14:paraId="206F4A3B" w14:textId="77777777" w:rsidR="0090701D" w:rsidRDefault="0090701D" w:rsidP="0090701D">
      <w:pPr>
        <w:pStyle w:val="13"/>
      </w:pPr>
      <w:r>
        <w:t>2、运营补贴支出责任及其测算</w:t>
      </w:r>
    </w:p>
    <w:p w14:paraId="687F8EED" w14:textId="77777777" w:rsidR="0090701D" w:rsidRDefault="0090701D" w:rsidP="0090701D">
      <w:pPr>
        <w:pStyle w:val="13"/>
      </w:pPr>
      <w:r>
        <w:rPr>
          <w:rFonts w:hint="eastAsia"/>
        </w:rPr>
        <w:t>运营补贴支出责任是指在项目运营期间，政府承担的直接付费责任。不同付费模式下，政府承担的运营补贴支出责任不同。政府付费模式下，政府承担全部运营补贴支出责任；可行性缺口补助模式下，</w:t>
      </w:r>
    </w:p>
    <w:p w14:paraId="54FFDF2D" w14:textId="65D0C600" w:rsidR="0090701D" w:rsidRDefault="0090701D" w:rsidP="00210244">
      <w:pPr>
        <w:pStyle w:val="13"/>
      </w:pPr>
      <w:r>
        <w:rPr>
          <w:rFonts w:hint="eastAsia"/>
        </w:rPr>
        <w:t>政府承担部分运营补贴支出责任；使用者付费模式下，政府不承担运营补贴支出责任。</w:t>
      </w:r>
    </w:p>
    <w:p w14:paraId="7721A034" w14:textId="642AE22A" w:rsidR="0090701D" w:rsidRDefault="0090701D" w:rsidP="0090701D">
      <w:pPr>
        <w:pStyle w:val="13"/>
      </w:pPr>
      <w:r>
        <w:rPr>
          <w:rFonts w:hint="eastAsia"/>
        </w:rPr>
        <w:t>政府付费模式和可行性缺口补助模式下，政府每年直接付费数额根据社会资本承担的年均建设成本（折算成各年度终值）、年度运营成本、合理利润以及使用者付费的数额进行测算。政府付费模式下，使用者付费的数额为零。计算政府付费数额的方法通常包括等额建设成本本金法和年金化法，具体根据</w:t>
      </w:r>
      <w:r w:rsidR="00B65C82">
        <w:t>PPP</w:t>
      </w:r>
      <w:r>
        <w:t>项目实施方案的内容拟定。</w:t>
      </w:r>
    </w:p>
    <w:p w14:paraId="600BF4E8" w14:textId="1548CF1C" w:rsidR="0090701D" w:rsidRDefault="0090701D" w:rsidP="0090701D">
      <w:pPr>
        <w:pStyle w:val="13"/>
      </w:pPr>
      <w:r>
        <w:rPr>
          <w:rFonts w:hint="eastAsia"/>
        </w:rPr>
        <w:t>（</w:t>
      </w:r>
      <w:r>
        <w:t>1）等额建设成本本金法</w:t>
      </w:r>
    </w:p>
    <w:p w14:paraId="7965545A" w14:textId="45BF5899" w:rsidR="0090701D" w:rsidRDefault="0090701D" w:rsidP="0090701D">
      <w:pPr>
        <w:pStyle w:val="13"/>
      </w:pPr>
      <w:r>
        <w:rPr>
          <w:rFonts w:hint="eastAsia"/>
        </w:rPr>
        <w:t>采用等额建设成本本金法，各年度运营补贴支出数额的</w:t>
      </w:r>
      <w:proofErr w:type="gramStart"/>
      <w:r>
        <w:rPr>
          <w:rFonts w:hint="eastAsia"/>
        </w:rPr>
        <w:t>的</w:t>
      </w:r>
      <w:proofErr w:type="gramEnd"/>
      <w:r>
        <w:rPr>
          <w:rFonts w:hint="eastAsia"/>
        </w:rPr>
        <w:t>计算公式为：</w:t>
      </w:r>
    </w:p>
    <w:p w14:paraId="2C9B76F5" w14:textId="4C82A6FA" w:rsidR="0090701D" w:rsidRDefault="007A3C56" w:rsidP="007A3C56">
      <w:pPr>
        <w:pStyle w:val="13"/>
        <w:ind w:firstLineChars="0" w:firstLine="0"/>
        <w:jc w:val="center"/>
      </w:pPr>
      <w:r>
        <w:rPr>
          <w:noProof/>
        </w:rPr>
        <w:drawing>
          <wp:inline distT="0" distB="0" distL="0" distR="0" wp14:anchorId="4B4C93F2" wp14:editId="53D48906">
            <wp:extent cx="3305175" cy="4572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05175" cy="457200"/>
                    </a:xfrm>
                    <a:prstGeom prst="rect">
                      <a:avLst/>
                    </a:prstGeom>
                  </pic:spPr>
                </pic:pic>
              </a:graphicData>
            </a:graphic>
          </wp:inline>
        </w:drawing>
      </w:r>
    </w:p>
    <w:p w14:paraId="11C37F53" w14:textId="3A2438D9" w:rsidR="007A3C56" w:rsidRDefault="007A3C56" w:rsidP="007A3C56">
      <w:pPr>
        <w:pStyle w:val="13"/>
      </w:pPr>
      <w:proofErr w:type="spellStart"/>
      <w:r>
        <w:t>OS</w:t>
      </w:r>
      <w:r>
        <w:rPr>
          <w:rFonts w:hint="eastAsia"/>
          <w:vertAlign w:val="subscript"/>
        </w:rPr>
        <w:t>t</w:t>
      </w:r>
      <w:proofErr w:type="spellEnd"/>
      <w:r>
        <w:t>：当年运营补贴支出数额；</w:t>
      </w:r>
    </w:p>
    <w:p w14:paraId="453ECDDC" w14:textId="566C3F41" w:rsidR="007A3C56" w:rsidRDefault="007A3C56" w:rsidP="007A3C56">
      <w:pPr>
        <w:pStyle w:val="13"/>
      </w:pPr>
      <w:r>
        <w:t>TCC：项目全部建设成本；</w:t>
      </w:r>
    </w:p>
    <w:p w14:paraId="09F1079E" w14:textId="77777777" w:rsidR="007A3C56" w:rsidRDefault="007A3C56" w:rsidP="007A3C56">
      <w:pPr>
        <w:pStyle w:val="13"/>
      </w:pPr>
      <w:r>
        <w:t>N：财政运营补贴周期年数；</w:t>
      </w:r>
    </w:p>
    <w:p w14:paraId="509DBE26" w14:textId="77777777" w:rsidR="007A3C56" w:rsidRDefault="007A3C56" w:rsidP="007A3C56">
      <w:pPr>
        <w:pStyle w:val="13"/>
      </w:pPr>
      <w:r>
        <w:t>P</w:t>
      </w:r>
      <w:r w:rsidRPr="007A3C56">
        <w:rPr>
          <w:vertAlign w:val="subscript"/>
        </w:rPr>
        <w:t>1</w:t>
      </w:r>
      <w:r>
        <w:t>：建设成本的合理利润率；</w:t>
      </w:r>
    </w:p>
    <w:p w14:paraId="6BA4A249" w14:textId="77777777" w:rsidR="007A3C56" w:rsidRDefault="007A3C56" w:rsidP="007A3C56">
      <w:pPr>
        <w:pStyle w:val="13"/>
      </w:pPr>
      <w:r>
        <w:t>P</w:t>
      </w:r>
      <w:r w:rsidRPr="007A3C56">
        <w:rPr>
          <w:vertAlign w:val="subscript"/>
        </w:rPr>
        <w:t>2</w:t>
      </w:r>
      <w:r>
        <w:t>：运营成本的合理利润率；</w:t>
      </w:r>
    </w:p>
    <w:p w14:paraId="44EC76F0" w14:textId="35E34A42" w:rsidR="007A3C56" w:rsidRDefault="007A3C56" w:rsidP="007A3C56">
      <w:pPr>
        <w:pStyle w:val="13"/>
      </w:pPr>
      <w:r>
        <w:t>K：折现率；</w:t>
      </w:r>
    </w:p>
    <w:p w14:paraId="7F5BD93E" w14:textId="77777777" w:rsidR="007A3C56" w:rsidRDefault="007A3C56" w:rsidP="007A3C56">
      <w:pPr>
        <w:pStyle w:val="13"/>
      </w:pPr>
      <w:r>
        <w:t>t：折现年数，指从评价基准日计算至当年的年数；</w:t>
      </w:r>
    </w:p>
    <w:p w14:paraId="3E9BBB04" w14:textId="6D15FB70" w:rsidR="007A3C56" w:rsidRDefault="007A3C56" w:rsidP="007A3C56">
      <w:pPr>
        <w:pStyle w:val="13"/>
      </w:pPr>
      <w:proofErr w:type="spellStart"/>
      <w:r>
        <w:t>OC</w:t>
      </w:r>
      <w:r w:rsidRPr="007A3C56">
        <w:rPr>
          <w:vertAlign w:val="subscript"/>
        </w:rPr>
        <w:t>t</w:t>
      </w:r>
      <w:proofErr w:type="spellEnd"/>
      <w:r>
        <w:t>：当年运营成本；</w:t>
      </w:r>
    </w:p>
    <w:p w14:paraId="2B9CDE96" w14:textId="77625C85" w:rsidR="0090701D" w:rsidRDefault="007A3C56" w:rsidP="007A3C56">
      <w:pPr>
        <w:pStyle w:val="13"/>
      </w:pPr>
      <w:r>
        <w:t>U</w:t>
      </w:r>
      <w:r w:rsidRPr="007A3C56">
        <w:rPr>
          <w:vertAlign w:val="subscript"/>
        </w:rPr>
        <w:t>t</w:t>
      </w:r>
      <w:r>
        <w:t>：当年使用者付费金额。</w:t>
      </w:r>
    </w:p>
    <w:p w14:paraId="16FAE403" w14:textId="77777777" w:rsidR="007A3C56" w:rsidRDefault="007A3C56" w:rsidP="007A3C56">
      <w:pPr>
        <w:pStyle w:val="13"/>
      </w:pPr>
      <w:r>
        <w:rPr>
          <w:rFonts w:hint="eastAsia"/>
        </w:rPr>
        <w:t>建设成本通常由建筑安装工程费、工程建设其他费用和建设期利息组成。应当从</w:t>
      </w:r>
      <w:r>
        <w:rPr>
          <w:rFonts w:hint="eastAsia"/>
        </w:rPr>
        <w:lastRenderedPageBreak/>
        <w:t>建设成本中抵减项目全生命周期内产生的转让、租赁或处置资产所获的资本性收益。</w:t>
      </w:r>
    </w:p>
    <w:p w14:paraId="320A04FB" w14:textId="77777777" w:rsidR="007A3C56" w:rsidRDefault="007A3C56" w:rsidP="007A3C56">
      <w:pPr>
        <w:pStyle w:val="13"/>
      </w:pPr>
      <w:r>
        <w:rPr>
          <w:rFonts w:hint="eastAsia"/>
        </w:rPr>
        <w:t>运营成本不包括项目建设成本对应的折旧和摊销金额，也不包括项目融资对应的利息支出。</w:t>
      </w:r>
    </w:p>
    <w:p w14:paraId="456DEC5F" w14:textId="77777777" w:rsidR="007A3C56" w:rsidRDefault="007A3C56" w:rsidP="007A3C56">
      <w:pPr>
        <w:pStyle w:val="13"/>
      </w:pPr>
      <w:r>
        <w:rPr>
          <w:rFonts w:hint="eastAsia"/>
        </w:rPr>
        <w:t>年度折现率通常需要考虑财政补贴支出发生年份，并参照同期地方政府债券收益率合理确定。必要时，年度折现率还可结合政府当期合理融资成本的影响、折现率与利润率的相互影响及内在关联等因素</w:t>
      </w:r>
      <w:proofErr w:type="gramStart"/>
      <w:r>
        <w:rPr>
          <w:rFonts w:hint="eastAsia"/>
        </w:rPr>
        <w:t>作出</w:t>
      </w:r>
      <w:proofErr w:type="gramEnd"/>
      <w:r>
        <w:rPr>
          <w:rFonts w:hint="eastAsia"/>
        </w:rPr>
        <w:t>调整，并需要在评价报告中</w:t>
      </w:r>
      <w:proofErr w:type="gramStart"/>
      <w:r>
        <w:rPr>
          <w:rFonts w:hint="eastAsia"/>
        </w:rPr>
        <w:t>作出</w:t>
      </w:r>
      <w:proofErr w:type="gramEnd"/>
      <w:r>
        <w:rPr>
          <w:rFonts w:hint="eastAsia"/>
        </w:rPr>
        <w:t>明确披露。</w:t>
      </w:r>
    </w:p>
    <w:p w14:paraId="2511D487" w14:textId="77777777" w:rsidR="007A3C56" w:rsidRDefault="007A3C56" w:rsidP="007A3C56">
      <w:pPr>
        <w:pStyle w:val="13"/>
      </w:pPr>
      <w:r>
        <w:rPr>
          <w:rFonts w:hint="eastAsia"/>
        </w:rPr>
        <w:t>合理利润率应当以商业银行中长期贷款利率水平为基准，充分考虑可用性付费、使用量付费、绩效付费的不同情景，结合项目风险、行业竞争状况等因素确定。建设成本的合理利润率与运营成本的合理利润率可能存在差异。在计算运营补贴支出时，充分考虑合理利润率变化对运营补贴支出的影响。</w:t>
      </w:r>
    </w:p>
    <w:p w14:paraId="3812F49E" w14:textId="43FBA468" w:rsidR="007A3C56" w:rsidRDefault="007A3C56" w:rsidP="007A3C56">
      <w:pPr>
        <w:pStyle w:val="13"/>
      </w:pPr>
      <w:r>
        <w:t>PPP项目实施方案中的定价和调价机制会影响运营补贴支出责任。在可行性缺口补助模式下，运营补贴支出责任受到使用者付费数额的影响，使用者付费根据定价和调价机制而变化。在计算运营补贴支出数额时，充分考虑定价和调价机制的影响。</w:t>
      </w:r>
    </w:p>
    <w:p w14:paraId="4A3F265E" w14:textId="03FB01F9" w:rsidR="007A3C56" w:rsidRDefault="007A3C56" w:rsidP="007A3C56">
      <w:pPr>
        <w:pStyle w:val="13"/>
      </w:pPr>
      <w:r>
        <w:rPr>
          <w:rFonts w:hint="eastAsia"/>
        </w:rPr>
        <w:t>（</w:t>
      </w:r>
      <w:r>
        <w:t>2）年金化法</w:t>
      </w:r>
    </w:p>
    <w:p w14:paraId="73AFBD3C" w14:textId="77777777" w:rsidR="007A3C56" w:rsidRDefault="007A3C56" w:rsidP="007A3C56">
      <w:pPr>
        <w:pStyle w:val="13"/>
      </w:pPr>
      <w:r>
        <w:rPr>
          <w:rFonts w:hint="eastAsia"/>
        </w:rPr>
        <w:t>年金化法主要包括以下两种具体方法：</w:t>
      </w:r>
    </w:p>
    <w:p w14:paraId="6163EF7F" w14:textId="3432BE8F" w:rsidR="0090701D" w:rsidRDefault="007A3C56" w:rsidP="007A3C56">
      <w:pPr>
        <w:pStyle w:val="13"/>
      </w:pPr>
      <w:r>
        <w:t>1）对等额建设成本模式测算的各年度运营补贴支出数额进行年金化处理，得出合作期各年度每期期末等额支付的运营补贴普通年金。具体过程为：首先，采用恰当的折现率，对等额建设成本模式测算的各年度运营补贴支出数额进行折现加总，得出运营补贴支出总现值；然后，在假设运营支出总现值及折现率保持不变的前提下，推导出合作期每期期末等额支付的运营补贴普通年金。年金化处理过程中采用的折现率通常不同于</w:t>
      </w:r>
      <w:r>
        <w:rPr>
          <w:rFonts w:hint="eastAsia"/>
        </w:rPr>
        <w:t>计算各年度运营补贴支出数额过程中采用的折现率。推导公式如下：</w:t>
      </w:r>
    </w:p>
    <w:p w14:paraId="40FCCDA8" w14:textId="75B985FB" w:rsidR="0090701D" w:rsidRDefault="007A3C56" w:rsidP="007A3C56">
      <w:pPr>
        <w:pStyle w:val="13"/>
      </w:pPr>
      <w:r>
        <w:rPr>
          <w:noProof/>
        </w:rPr>
        <w:drawing>
          <wp:inline distT="0" distB="0" distL="0" distR="0" wp14:anchorId="6955D402" wp14:editId="1CB34B3D">
            <wp:extent cx="1733550" cy="5048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33550" cy="504825"/>
                    </a:xfrm>
                    <a:prstGeom prst="rect">
                      <a:avLst/>
                    </a:prstGeom>
                  </pic:spPr>
                </pic:pic>
              </a:graphicData>
            </a:graphic>
          </wp:inline>
        </w:drawing>
      </w:r>
    </w:p>
    <w:p w14:paraId="50A89CD4" w14:textId="77777777" w:rsidR="007A3C56" w:rsidRDefault="007A3C56" w:rsidP="007A3C56">
      <w:pPr>
        <w:pStyle w:val="13"/>
      </w:pPr>
      <w:proofErr w:type="spellStart"/>
      <w:r>
        <w:t>OS</w:t>
      </w:r>
      <w:r w:rsidRPr="007A3C56">
        <w:rPr>
          <w:vertAlign w:val="subscript"/>
        </w:rPr>
        <w:t>a</w:t>
      </w:r>
      <w:proofErr w:type="spellEnd"/>
      <w:r>
        <w:t>：年金化的各年度运营补贴；</w:t>
      </w:r>
    </w:p>
    <w:p w14:paraId="563D3459" w14:textId="77777777" w:rsidR="007A3C56" w:rsidRDefault="007A3C56" w:rsidP="007A3C56">
      <w:pPr>
        <w:pStyle w:val="13"/>
      </w:pPr>
      <w:r>
        <w:t>P：运营补贴支出总现值；</w:t>
      </w:r>
    </w:p>
    <w:p w14:paraId="3F0E0BA4" w14:textId="77777777" w:rsidR="007A3C56" w:rsidRDefault="007A3C56" w:rsidP="007A3C56">
      <w:pPr>
        <w:pStyle w:val="13"/>
      </w:pPr>
      <w:r>
        <w:t>N：财政运营补贴周期年数；</w:t>
      </w:r>
    </w:p>
    <w:p w14:paraId="397642A9" w14:textId="0822EDEB" w:rsidR="0090701D" w:rsidRDefault="007A3C56" w:rsidP="007A3C56">
      <w:pPr>
        <w:pStyle w:val="13"/>
      </w:pPr>
      <w:r>
        <w:t>r：折现率。</w:t>
      </w:r>
    </w:p>
    <w:p w14:paraId="72CA3461" w14:textId="353391D1" w:rsidR="007A3C56" w:rsidRDefault="007A3C56" w:rsidP="007A3C56">
      <w:pPr>
        <w:pStyle w:val="13"/>
      </w:pPr>
      <w:r>
        <w:t>2）设定模拟的</w:t>
      </w:r>
      <w:r w:rsidR="00B65C82">
        <w:t>PPP</w:t>
      </w:r>
      <w:r>
        <w:t>项目收益</w:t>
      </w:r>
      <w:proofErr w:type="gramStart"/>
      <w:r>
        <w:t>权价值</w:t>
      </w:r>
      <w:proofErr w:type="gramEnd"/>
      <w:r>
        <w:t>或项目净现值为某一特定水平（例如为零值），采用恰当的折现率，推导出合作期每期期末等额支付的运营补贴普通年金。</w:t>
      </w:r>
    </w:p>
    <w:p w14:paraId="30688657" w14:textId="5EE38EB6" w:rsidR="007A3C56" w:rsidRDefault="007A3C56" w:rsidP="007A3C56">
      <w:pPr>
        <w:pStyle w:val="13"/>
      </w:pPr>
      <w:r>
        <w:rPr>
          <w:rFonts w:hint="eastAsia"/>
        </w:rPr>
        <w:t>（</w:t>
      </w:r>
      <w:r>
        <w:t>3）对各年度运营补贴数额进行测算，通常不宜采用等额建设成本本金法。等额建设成本本息法是将等额建设成本本金法计算的各年度运营补贴支出数额中的建设成本补贴金额进行算术平均处理，得出各年度的运营补贴数额。等额建设成本本息法的计算</w:t>
      </w:r>
      <w:r>
        <w:rPr>
          <w:rFonts w:hint="eastAsia"/>
        </w:rPr>
        <w:t>公式如下：</w:t>
      </w:r>
    </w:p>
    <w:p w14:paraId="4A19BE4B" w14:textId="64C82903" w:rsidR="0090701D" w:rsidRDefault="007A3C56" w:rsidP="00882ED4">
      <w:pPr>
        <w:pStyle w:val="13"/>
      </w:pPr>
      <w:r>
        <w:rPr>
          <w:noProof/>
        </w:rPr>
        <w:lastRenderedPageBreak/>
        <w:drawing>
          <wp:inline distT="0" distB="0" distL="0" distR="0" wp14:anchorId="6DDA3659" wp14:editId="6763E180">
            <wp:extent cx="3629025" cy="7334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29025" cy="733425"/>
                    </a:xfrm>
                    <a:prstGeom prst="rect">
                      <a:avLst/>
                    </a:prstGeom>
                  </pic:spPr>
                </pic:pic>
              </a:graphicData>
            </a:graphic>
          </wp:inline>
        </w:drawing>
      </w:r>
    </w:p>
    <w:p w14:paraId="763E179A" w14:textId="0B8CB222" w:rsidR="0090701D" w:rsidRDefault="007A3C56" w:rsidP="00882ED4">
      <w:pPr>
        <w:pStyle w:val="13"/>
      </w:pPr>
      <w:r w:rsidRPr="007A3C56">
        <w:rPr>
          <w:rFonts w:hint="eastAsia"/>
        </w:rPr>
        <w:t>采用等额建设成本本息法测算各年度运营补贴数额，需要了解等额建设成本本息法和等额建设成本本金法的区别以及这两种方法对模拟的</w:t>
      </w:r>
      <w:r w:rsidR="00B65C82">
        <w:t>PPP</w:t>
      </w:r>
      <w:r w:rsidRPr="007A3C56">
        <w:t>项目收益权价值、项目净现值的影响过程及差异情况，并采用适当措施，确保采用等额建设成本本息法测算得出的各年度运营补贴数额的合理、准确。</w:t>
      </w:r>
    </w:p>
    <w:p w14:paraId="4D59257B" w14:textId="551FA6BF" w:rsidR="007A3C56" w:rsidRDefault="007A3C56" w:rsidP="007A3C56">
      <w:pPr>
        <w:pStyle w:val="13"/>
      </w:pPr>
      <w:r>
        <w:rPr>
          <w:rFonts w:hint="eastAsia"/>
        </w:rPr>
        <w:t>（</w:t>
      </w:r>
      <w:r>
        <w:t>4）对于已编制招标控制价的</w:t>
      </w:r>
      <w:r w:rsidR="00B65C82">
        <w:t>PPP</w:t>
      </w:r>
      <w:r>
        <w:t>项目，可根据经备案或批准的招标控制价测算运营补贴支出金额。</w:t>
      </w:r>
    </w:p>
    <w:p w14:paraId="6FFFC01D" w14:textId="77777777" w:rsidR="007A3C56" w:rsidRDefault="007A3C56" w:rsidP="007A3C56">
      <w:pPr>
        <w:pStyle w:val="13"/>
      </w:pPr>
      <w:r>
        <w:t>3、风险承担支出责任及其测算</w:t>
      </w:r>
    </w:p>
    <w:p w14:paraId="417A0FF9" w14:textId="2E08334E" w:rsidR="007A3C56" w:rsidRDefault="007A3C56" w:rsidP="007A3C56">
      <w:pPr>
        <w:pStyle w:val="13"/>
      </w:pPr>
      <w:r>
        <w:rPr>
          <w:rFonts w:hint="eastAsia"/>
        </w:rPr>
        <w:t>风险承担支出责任是指</w:t>
      </w:r>
      <w:r w:rsidR="00B65C82">
        <w:t>PPP</w:t>
      </w:r>
      <w:r>
        <w:t>项目中政府因承担或分担风险带来的财政或有支出责任。通常由政府承担或分担的法律风险、政策风险、最低需求风险以及由政府或项目实施机构导致项目合同终止等突发情况，会产生财政或有支出责任。</w:t>
      </w:r>
    </w:p>
    <w:p w14:paraId="4245E48B" w14:textId="02C38B9E" w:rsidR="007A3C56" w:rsidRDefault="007A3C56" w:rsidP="007A3C56">
      <w:pPr>
        <w:pStyle w:val="13"/>
      </w:pPr>
      <w:r>
        <w:rPr>
          <w:rFonts w:hint="eastAsia"/>
        </w:rPr>
        <w:t>风险承担支出应充分考虑政府承担或分担的各项风险的影响程度、出现概率以及由此政府带来的支出责任。对政府承担或分担的各项风险所产生的风险成本，可采用个别认定法或综合分析法进行测算。</w:t>
      </w:r>
    </w:p>
    <w:p w14:paraId="135B06E3" w14:textId="016EDF70" w:rsidR="005D5A00" w:rsidRDefault="005D5A00" w:rsidP="005D5A00">
      <w:pPr>
        <w:pStyle w:val="13"/>
      </w:pPr>
      <w:r>
        <w:rPr>
          <w:rFonts w:hint="eastAsia"/>
        </w:rPr>
        <w:t>（</w:t>
      </w:r>
      <w:r>
        <w:t>1）个别认定法</w:t>
      </w:r>
    </w:p>
    <w:p w14:paraId="2623FE5E" w14:textId="77777777" w:rsidR="005D5A00" w:rsidRDefault="005D5A00" w:rsidP="005D5A00">
      <w:pPr>
        <w:pStyle w:val="13"/>
      </w:pPr>
      <w:r>
        <w:rPr>
          <w:rFonts w:hint="eastAsia"/>
        </w:rPr>
        <w:t>个别认定法适用于能够对某单项风险的影响程度和出现概率</w:t>
      </w:r>
      <w:proofErr w:type="gramStart"/>
      <w:r>
        <w:rPr>
          <w:rFonts w:hint="eastAsia"/>
        </w:rPr>
        <w:t>作出</w:t>
      </w:r>
      <w:proofErr w:type="gramEnd"/>
      <w:r>
        <w:rPr>
          <w:rFonts w:hint="eastAsia"/>
        </w:rPr>
        <w:t>合理判断，并能够采用一定的方法对该单项风险的风险成本</w:t>
      </w:r>
      <w:proofErr w:type="gramStart"/>
      <w:r>
        <w:rPr>
          <w:rFonts w:hint="eastAsia"/>
        </w:rPr>
        <w:t>作出</w:t>
      </w:r>
      <w:proofErr w:type="gramEnd"/>
      <w:r>
        <w:rPr>
          <w:rFonts w:hint="eastAsia"/>
        </w:rPr>
        <w:t>测算的情形。个别认定</w:t>
      </w:r>
      <w:proofErr w:type="gramStart"/>
      <w:r>
        <w:rPr>
          <w:rFonts w:hint="eastAsia"/>
        </w:rPr>
        <w:t>法具体</w:t>
      </w:r>
      <w:proofErr w:type="gramEnd"/>
      <w:r>
        <w:rPr>
          <w:rFonts w:hint="eastAsia"/>
        </w:rPr>
        <w:t>可分为情景分析法、市场比较法、概率树分析法和蒙特卡洛模拟法。</w:t>
      </w:r>
    </w:p>
    <w:p w14:paraId="4DE23610" w14:textId="77777777" w:rsidR="005D5A00" w:rsidRDefault="005D5A00" w:rsidP="005D5A00">
      <w:pPr>
        <w:pStyle w:val="13"/>
      </w:pPr>
      <w:r>
        <w:t>1）情景分析法</w:t>
      </w:r>
    </w:p>
    <w:p w14:paraId="7A40DC73" w14:textId="77777777" w:rsidR="005D5A00" w:rsidRDefault="005D5A00" w:rsidP="005D5A00">
      <w:pPr>
        <w:pStyle w:val="13"/>
      </w:pPr>
      <w:r>
        <w:rPr>
          <w:rFonts w:hint="eastAsia"/>
        </w:rPr>
        <w:t>在各类风险支出数额可以进行测算、但发生概率难以确定的情况下，针对影响风险的各类事件和变量进行假设，判断各种情景发生的概率，测算各类风险引起的风险承担支出。对假设的财政支出数额及该情景出现概率，可采用专家调查法进行判断和测算。</w:t>
      </w:r>
    </w:p>
    <w:p w14:paraId="25562369" w14:textId="212DB298" w:rsidR="005D5A00" w:rsidRDefault="005D5A00" w:rsidP="005D5A00">
      <w:pPr>
        <w:pStyle w:val="13"/>
      </w:pPr>
      <w:r>
        <w:rPr>
          <w:rFonts w:hint="eastAsia"/>
        </w:rPr>
        <w:t>假设的情景可以是有利或者不利的情景。对各情景出现的概率进行判断，可首先判断风险概率所处档次，再估算出合理的概率值。通常风险概率可划分为五个档次：</w:t>
      </w:r>
      <w:r>
        <w:t>A、很高，风险很有可能发生，甚至肯定发生，概率在81%</w:t>
      </w:r>
      <w:r w:rsidRPr="005D5A00">
        <w:rPr>
          <w:rFonts w:ascii="Times New Roman" w:hAnsi="Times New Roman" w:cs="Times New Roman"/>
        </w:rPr>
        <w:t>~</w:t>
      </w:r>
      <w:r>
        <w:t>100%；B、较高，风险发生的可能性很大，概率在 61</w:t>
      </w:r>
      <w:r w:rsidRPr="005D5A00">
        <w:rPr>
          <w:rFonts w:ascii="Times New Roman" w:hAnsi="Times New Roman" w:cs="Times New Roman"/>
        </w:rPr>
        <w:t>~</w:t>
      </w:r>
      <w:r>
        <w:t>80%；C、中等，风险可能在项目中预期发生，概率在 41%</w:t>
      </w:r>
      <w:r w:rsidRPr="005D5A00">
        <w:rPr>
          <w:rFonts w:ascii="Times New Roman" w:hAnsi="Times New Roman" w:cs="Times New Roman"/>
        </w:rPr>
        <w:t>~</w:t>
      </w:r>
      <w:r>
        <w:t>60%</w:t>
      </w:r>
      <w:r w:rsidR="003068F8">
        <w:t>；</w:t>
      </w:r>
      <w:r>
        <w:t>D、较低，风险发生的可能性较小，概率在 21%</w:t>
      </w:r>
      <w:r w:rsidRPr="005D5A00">
        <w:rPr>
          <w:rFonts w:ascii="Times New Roman" w:hAnsi="Times New Roman" w:cs="Times New Roman"/>
        </w:rPr>
        <w:t>~</w:t>
      </w:r>
      <w:r>
        <w:t>40%；E、很低，风险发生的可能性很小，甚至不可能发生，概率在 0</w:t>
      </w:r>
      <w:r w:rsidRPr="005D5A00">
        <w:rPr>
          <w:rFonts w:ascii="Times New Roman" w:hAnsi="Times New Roman" w:cs="Times New Roman"/>
        </w:rPr>
        <w:t>~</w:t>
      </w:r>
      <w:r>
        <w:t>20%。</w:t>
      </w:r>
    </w:p>
    <w:p w14:paraId="1EBB966A" w14:textId="77777777" w:rsidR="005D5A00" w:rsidRDefault="005D5A00" w:rsidP="005D5A00">
      <w:pPr>
        <w:pStyle w:val="13"/>
      </w:pPr>
      <w:r>
        <w:rPr>
          <w:rFonts w:hint="eastAsia"/>
        </w:rPr>
        <w:t>采用情景分析法测算风险承担支出数额的计算公式如下：</w:t>
      </w:r>
    </w:p>
    <w:p w14:paraId="72D4904F" w14:textId="77777777" w:rsidR="005D5A00" w:rsidRDefault="005D5A00" w:rsidP="005D5A00">
      <w:pPr>
        <w:pStyle w:val="13"/>
      </w:pPr>
      <w:r>
        <w:t>风险承担成本=∑（某情景风险后果值×某情景发生概率）</w:t>
      </w:r>
    </w:p>
    <w:p w14:paraId="749941E4" w14:textId="3DBC1092" w:rsidR="005D5A00" w:rsidRDefault="005D5A00" w:rsidP="005D5A00">
      <w:pPr>
        <w:pStyle w:val="13"/>
      </w:pPr>
      <w:r>
        <w:t>2）市场比较法</w:t>
      </w:r>
    </w:p>
    <w:p w14:paraId="3681C45C" w14:textId="77777777" w:rsidR="005D5A00" w:rsidRDefault="005D5A00" w:rsidP="005D5A00">
      <w:pPr>
        <w:pStyle w:val="13"/>
      </w:pPr>
      <w:r>
        <w:rPr>
          <w:rFonts w:hint="eastAsia"/>
        </w:rPr>
        <w:lastRenderedPageBreak/>
        <w:t>市场比较法适用于可获取、可比较的风险定价案例的情形，在可比的风险定价案例基础上，对政府承担或分担的风险与可比案例的风险进行比较，修正得出政府承担或分担的风险承担成本。风险定价案例通常来源于保险合同及其他风险转移合同中。</w:t>
      </w:r>
    </w:p>
    <w:p w14:paraId="2B56D311" w14:textId="5FB111FF" w:rsidR="005D5A00" w:rsidRDefault="005D5A00" w:rsidP="005D5A00">
      <w:pPr>
        <w:pStyle w:val="13"/>
      </w:pPr>
      <w:r>
        <w:t>3）概率树分析法</w:t>
      </w:r>
    </w:p>
    <w:p w14:paraId="3CEBFE41" w14:textId="1C403BC1" w:rsidR="005D5A00" w:rsidRDefault="005D5A00" w:rsidP="005D5A00">
      <w:pPr>
        <w:pStyle w:val="13"/>
      </w:pPr>
      <w:r>
        <w:rPr>
          <w:rFonts w:hint="eastAsia"/>
        </w:rPr>
        <w:t>概率树分析法通常适用于影响风险后果的风险变量非单一的情形。概率树分析法假定风险变量之间相互独立，在构造概率</w:t>
      </w:r>
      <w:proofErr w:type="gramStart"/>
      <w:r>
        <w:rPr>
          <w:rFonts w:hint="eastAsia"/>
        </w:rPr>
        <w:t>树基础</w:t>
      </w:r>
      <w:proofErr w:type="gramEnd"/>
      <w:r>
        <w:rPr>
          <w:rFonts w:hint="eastAsia"/>
        </w:rPr>
        <w:t>上，分析判断每个风险变量的各种取值，</w:t>
      </w:r>
      <w:r>
        <w:t>分别计算每种组合状态下的风险后果值及相应的概率，得到风险后果值的概率分布，计算风险后果值的期望值。</w:t>
      </w:r>
    </w:p>
    <w:p w14:paraId="4485DD9A" w14:textId="270C41AC" w:rsidR="005D5A00" w:rsidRDefault="005D5A00" w:rsidP="005D5A00">
      <w:pPr>
        <w:pStyle w:val="13"/>
      </w:pPr>
      <w:r>
        <w:t>4）蒙特卡洛模拟法</w:t>
      </w:r>
    </w:p>
    <w:p w14:paraId="258FAF36" w14:textId="67410D8A" w:rsidR="005D5A00" w:rsidRDefault="005D5A00" w:rsidP="005D5A00">
      <w:pPr>
        <w:pStyle w:val="13"/>
      </w:pPr>
      <w:r>
        <w:rPr>
          <w:rFonts w:hint="eastAsia"/>
        </w:rPr>
        <w:t>蒙特卡洛模拟的原理是用随机抽样的方法抽取一组风险变量的数值，并根据这组风险变量的数值计算风险后果值，通过多次抽样可获得风险后果值的概率分布及累计概率分布、期望值、方差、标准差，从而估算风险承担成本。</w:t>
      </w:r>
    </w:p>
    <w:p w14:paraId="144168E3" w14:textId="45B14A56" w:rsidR="005D5A00" w:rsidRDefault="005D5A00" w:rsidP="005D5A00">
      <w:pPr>
        <w:pStyle w:val="13"/>
      </w:pPr>
      <w:r>
        <w:rPr>
          <w:rFonts w:hint="eastAsia"/>
        </w:rPr>
        <w:t>（</w:t>
      </w:r>
      <w:r>
        <w:t>2）综合分析法</w:t>
      </w:r>
    </w:p>
    <w:p w14:paraId="2C617DC5" w14:textId="77777777" w:rsidR="005D5A00" w:rsidRDefault="005D5A00" w:rsidP="005D5A00">
      <w:pPr>
        <w:pStyle w:val="13"/>
      </w:pPr>
      <w:r>
        <w:rPr>
          <w:rFonts w:hint="eastAsia"/>
        </w:rPr>
        <w:t>综合分析法通常适用于无法采用个别认定法测算风险承担成本的风险，具体指在风险支出数额和概率难以进行准确测算的情况下，以项目的全部建设成本和一定时期内的运营成本的一定比例确定风</w:t>
      </w:r>
    </w:p>
    <w:p w14:paraId="3322B5F9" w14:textId="77777777" w:rsidR="005D5A00" w:rsidRDefault="005D5A00" w:rsidP="005D5A00">
      <w:pPr>
        <w:pStyle w:val="13"/>
      </w:pPr>
      <w:proofErr w:type="gramStart"/>
      <w:r>
        <w:rPr>
          <w:rFonts w:hint="eastAsia"/>
        </w:rPr>
        <w:t>险承担</w:t>
      </w:r>
      <w:proofErr w:type="gramEnd"/>
      <w:r>
        <w:rPr>
          <w:rFonts w:hint="eastAsia"/>
        </w:rPr>
        <w:t>支出。风险承担支出所占建设成本和运营成本的具体比例数额，可通过专家调查法等方法进行测算。</w:t>
      </w:r>
    </w:p>
    <w:p w14:paraId="55ABEF44" w14:textId="544EF703" w:rsidR="005D5A00" w:rsidRDefault="005D5A00" w:rsidP="005D5A00">
      <w:pPr>
        <w:pStyle w:val="13"/>
      </w:pPr>
      <w:r>
        <w:rPr>
          <w:rFonts w:hint="eastAsia"/>
        </w:rPr>
        <w:t>（</w:t>
      </w:r>
      <w:r>
        <w:t>3）政府承担或分担的风险类别，在</w:t>
      </w:r>
      <w:r w:rsidR="00B65C82">
        <w:t>PPP</w:t>
      </w:r>
      <w:r>
        <w:t>项目合同约定由社会资本付费投保且保险理赔款的第一受益人为政府的情形下，政府承担或分担该风险的风险承担成本的测算有以下两种方法：</w:t>
      </w:r>
    </w:p>
    <w:p w14:paraId="4006ED6D" w14:textId="1A2119B7" w:rsidR="005D5A00" w:rsidRDefault="005D5A00" w:rsidP="005D5A00">
      <w:pPr>
        <w:pStyle w:val="13"/>
      </w:pPr>
      <w:r>
        <w:t>1）保险理赔款预计能够覆盖风险承担成本，则对应的风险类别不纳入识别范围。</w:t>
      </w:r>
    </w:p>
    <w:p w14:paraId="64CF53C0" w14:textId="02E431D0" w:rsidR="005D5A00" w:rsidRDefault="005D5A00" w:rsidP="005D5A00">
      <w:pPr>
        <w:pStyle w:val="13"/>
      </w:pPr>
      <w:r>
        <w:t>2）保险理赔款预计无法覆盖风险承担成本，则仍应将对应的风险类别纳入识别范围，并在政府承担或分担的全部风险成本基础上，应扣除预计的风险理赔款金额。</w:t>
      </w:r>
    </w:p>
    <w:p w14:paraId="00CCCED6" w14:textId="67C4FA32" w:rsidR="005D5A00" w:rsidRDefault="005D5A00" w:rsidP="005D5A00">
      <w:pPr>
        <w:pStyle w:val="13"/>
      </w:pPr>
      <w:r>
        <w:rPr>
          <w:rFonts w:hint="eastAsia"/>
        </w:rPr>
        <w:t>（</w:t>
      </w:r>
      <w:r>
        <w:t>4）在测算出政府承担或分担的各项风险所产生的全部风险成本基础上，乘以政府承担或分担的比例，得出财政支出数额。在风险分配方案中，由政府完全承担的风险，政府承担该风险成本的100%；由政府与社会资本共同承担的风险，根据约定方式或约定比例计算政府应承担的财政支出数额，未明确约定的，可按政府与社会资本各承担50%</w:t>
      </w:r>
      <w:proofErr w:type="gramStart"/>
      <w:r>
        <w:t>作出</w:t>
      </w:r>
      <w:proofErr w:type="gramEnd"/>
      <w:r>
        <w:t>假设。</w:t>
      </w:r>
    </w:p>
    <w:p w14:paraId="4C27924D" w14:textId="77777777" w:rsidR="005D5A00" w:rsidRDefault="005D5A00" w:rsidP="005D5A00">
      <w:pPr>
        <w:pStyle w:val="13"/>
      </w:pPr>
      <w:r>
        <w:t>4、配套投入支出责任及其测算</w:t>
      </w:r>
    </w:p>
    <w:p w14:paraId="25247469" w14:textId="77777777" w:rsidR="005D5A00" w:rsidRDefault="005D5A00" w:rsidP="005D5A00">
      <w:pPr>
        <w:pStyle w:val="13"/>
      </w:pPr>
      <w:r>
        <w:rPr>
          <w:rFonts w:hint="eastAsia"/>
        </w:rPr>
        <w:t>配套投入支出责任是指政府提供的项目配套工程等其他投入责任，通常包括土地征收和整理、建设部分项目配套措施、完成项目与现有相关基础设施和公用事业的对接、投资补助、贷款贴息等。配套投入支出应依据项目实施方案合理确定。</w:t>
      </w:r>
    </w:p>
    <w:p w14:paraId="055BC86C" w14:textId="68473A25" w:rsidR="005D5A00" w:rsidRDefault="005D5A00" w:rsidP="005D5A00">
      <w:pPr>
        <w:pStyle w:val="13"/>
      </w:pPr>
      <w:r>
        <w:rPr>
          <w:rFonts w:hint="eastAsia"/>
        </w:rPr>
        <w:t>配套投入支出责任应根据政府提供的配套投入总成本和政府其他成本计算。政</w:t>
      </w:r>
      <w:r>
        <w:rPr>
          <w:rFonts w:hint="eastAsia"/>
        </w:rPr>
        <w:lastRenderedPageBreak/>
        <w:t>府提供的配套投入，主要包括政府负责的连接设施和配套工程建设成本。政府其他成本，通常包括政府承担的未纳入建设成本的咨询服务费用、市场测试费用、社会资本未中选补偿金、移交补偿款等交易成本，政府对社会资本和项目公司实施监管的成本，政府授予社会资本的项目周边土地、商业开发收益权或其他经营权，政府向社会资本提供的贷款贴息。政府提供配套投入需要社会资本向政府支付费用，需要将社会资本支付的费用从配套投入中抵减，并需要将社会资本支付的配套费用纳入运营补贴支出责任的计算范畴。配套投入支出责任中的非货币性资产投入，通过评估合理确定价值。</w:t>
      </w:r>
    </w:p>
    <w:p w14:paraId="2D249653" w14:textId="0F8E9AA6" w:rsidR="005D5A00" w:rsidRDefault="005D5A00" w:rsidP="005D5A00">
      <w:pPr>
        <w:pStyle w:val="13"/>
      </w:pPr>
      <w:r>
        <w:t>5、PPP值折现率的确定</w:t>
      </w:r>
    </w:p>
    <w:p w14:paraId="6FA7C5BE" w14:textId="526F73C1" w:rsidR="005D5A00" w:rsidRDefault="005D5A00" w:rsidP="005D5A00">
      <w:pPr>
        <w:pStyle w:val="13"/>
      </w:pPr>
      <w:r>
        <w:rPr>
          <w:rFonts w:hint="eastAsia"/>
        </w:rPr>
        <w:t>对评价期间各年度政府在股权投资、运营补贴、风险承担、配套投入等方面的支出现金流进行折现，需要采用无风险折现率。无风险折现率通常考虑财政补贴支出发生年份，并参照同期国债收益率或地方政府债券收益率合理确定。</w:t>
      </w:r>
      <w:r w:rsidR="00B65C82">
        <w:t>PPP</w:t>
      </w:r>
      <w:r>
        <w:t>值折现率的内涵与项目识别或项目准备阶段测算政府的运营补贴所运用的年度折现率的内涵不一致。</w:t>
      </w:r>
    </w:p>
    <w:p w14:paraId="1259F0D4" w14:textId="32FDC0B9" w:rsidR="005D5A00" w:rsidRDefault="005D5A00" w:rsidP="005D5A00">
      <w:pPr>
        <w:pStyle w:val="13"/>
      </w:pPr>
      <w:r>
        <w:rPr>
          <w:rFonts w:hint="eastAsia"/>
        </w:rPr>
        <w:t>（二）实际报价</w:t>
      </w:r>
      <w:r w:rsidR="00B65C82">
        <w:t>PPP</w:t>
      </w:r>
      <w:r>
        <w:t>值的测算</w:t>
      </w:r>
    </w:p>
    <w:p w14:paraId="1F78B096" w14:textId="246C3563" w:rsidR="005D5A00" w:rsidRDefault="005D5A00" w:rsidP="005D5A00">
      <w:pPr>
        <w:pStyle w:val="13"/>
      </w:pPr>
      <w:r>
        <w:rPr>
          <w:rFonts w:hint="eastAsia"/>
        </w:rPr>
        <w:t>实际报价</w:t>
      </w:r>
      <w:r w:rsidR="00B65C82">
        <w:t>PPP</w:t>
      </w:r>
      <w:r>
        <w:t>值是基于采购响应文件测算的在股权投资、运营补贴、风险承担、配套投入等方面的财政支出责任的现值。实际报价</w:t>
      </w:r>
      <w:r w:rsidR="00B65C82">
        <w:t>PPP</w:t>
      </w:r>
      <w:r>
        <w:t>值中政府各类支出责任的测算方法与项目识别和准备阶段</w:t>
      </w:r>
      <w:r w:rsidR="00B65C82">
        <w:t>PPP</w:t>
      </w:r>
      <w:r>
        <w:t>值的测算方法相似，但相关指标、参数应根据采购响应文件进行取值。</w:t>
      </w:r>
    </w:p>
    <w:p w14:paraId="741B2D7A" w14:textId="12BBD504" w:rsidR="005D5A00" w:rsidRDefault="005D5A00" w:rsidP="005D5A00">
      <w:pPr>
        <w:pStyle w:val="13"/>
      </w:pPr>
      <w:r>
        <w:rPr>
          <w:rFonts w:hint="eastAsia"/>
        </w:rPr>
        <w:t>（三）中标</w:t>
      </w:r>
      <w:r w:rsidR="00B65C82">
        <w:t>PPP</w:t>
      </w:r>
      <w:r>
        <w:t>值的测算</w:t>
      </w:r>
    </w:p>
    <w:p w14:paraId="51AC89FF" w14:textId="654834B7" w:rsidR="005D5A00" w:rsidRDefault="005D5A00" w:rsidP="005D5A00">
      <w:pPr>
        <w:pStyle w:val="13"/>
      </w:pPr>
      <w:r>
        <w:rPr>
          <w:rFonts w:hint="eastAsia"/>
        </w:rPr>
        <w:t>中标</w:t>
      </w:r>
      <w:r w:rsidR="00B65C82">
        <w:t>PPP</w:t>
      </w:r>
      <w:r>
        <w:t>值是基于中标签署的</w:t>
      </w:r>
      <w:r w:rsidR="00B65C82">
        <w:t>PPP</w:t>
      </w:r>
      <w:r>
        <w:t>项目合同等测算的在股权投资、运营补贴、风险承担、配套投入等方面的财政支出责任的现值。中标</w:t>
      </w:r>
      <w:r w:rsidR="00B65C82">
        <w:t>PPP</w:t>
      </w:r>
      <w:r>
        <w:t>值中政府各类支出责任的测算方法与项目识别和准备阶段</w:t>
      </w:r>
      <w:r w:rsidR="00B65C82">
        <w:t>PPP</w:t>
      </w:r>
      <w:r>
        <w:t>值的测算方法相似，但相关指标、参数应根据中标签署的</w:t>
      </w:r>
      <w:r w:rsidR="00B65C82">
        <w:t>PPP</w:t>
      </w:r>
      <w:r>
        <w:t>项目合同等文件进行取值。</w:t>
      </w:r>
    </w:p>
    <w:p w14:paraId="6336CC08" w14:textId="18DC1C49" w:rsidR="005D5A00" w:rsidRDefault="005D5A00" w:rsidP="005D5A00">
      <w:pPr>
        <w:pStyle w:val="13"/>
      </w:pPr>
      <w:r>
        <w:rPr>
          <w:rFonts w:hint="eastAsia"/>
        </w:rPr>
        <w:t>（四）中期</w:t>
      </w:r>
      <w:r w:rsidR="00B65C82">
        <w:t>PPP</w:t>
      </w:r>
      <w:r>
        <w:t>值的测算</w:t>
      </w:r>
    </w:p>
    <w:p w14:paraId="18DB1D71" w14:textId="5D990565" w:rsidR="005D5A00" w:rsidRDefault="005D5A00" w:rsidP="005D5A00">
      <w:pPr>
        <w:pStyle w:val="13"/>
      </w:pPr>
      <w:r>
        <w:rPr>
          <w:rFonts w:hint="eastAsia"/>
        </w:rPr>
        <w:t>在追溯评价中，中期</w:t>
      </w:r>
      <w:r w:rsidR="00B65C82">
        <w:t>PPP</w:t>
      </w:r>
      <w:r>
        <w:t>值中政府各类支出责任的测算方法与项目识别和准备阶段PPP值的测算方法相似，但需要注意以下问题：</w:t>
      </w:r>
    </w:p>
    <w:p w14:paraId="29053D70" w14:textId="4EA613C4" w:rsidR="005D5A00" w:rsidRDefault="005D5A00" w:rsidP="005D5A00">
      <w:pPr>
        <w:pStyle w:val="13"/>
      </w:pPr>
      <w:r>
        <w:t>1、评价期间分为追溯评价期和未执行期，评价基准日至已执行期期末的期间为追溯评价期，已执行期期末至</w:t>
      </w:r>
      <w:r w:rsidR="00B65C82">
        <w:t>PPP</w:t>
      </w:r>
      <w:r>
        <w:t>项目合作期限届满时止的期间为未执行期。</w:t>
      </w:r>
    </w:p>
    <w:p w14:paraId="4912ACCE" w14:textId="77777777" w:rsidR="005D5A00" w:rsidRDefault="005D5A00" w:rsidP="005D5A00">
      <w:pPr>
        <w:pStyle w:val="13"/>
      </w:pPr>
      <w:r>
        <w:t>2、追溯评价期的股权投资支出责任和配套投入支出责任，通常根据实际发生额进行测算。追溯评价期的风险承担支出责任，宜基于政府自留风险的客观风险水平</w:t>
      </w:r>
      <w:proofErr w:type="gramStart"/>
      <w:r>
        <w:t>作出</w:t>
      </w:r>
      <w:proofErr w:type="gramEnd"/>
      <w:r>
        <w:t>测算。追溯评价期的运营补贴支出责任通常根据实际项目产出物对应运营补贴金额进行测算，并与风险承担支出责任相协调，避免政府自留风险承担成本的重计或漏计。</w:t>
      </w:r>
    </w:p>
    <w:p w14:paraId="687DA71B" w14:textId="299DE844" w:rsidR="005D5A00" w:rsidRDefault="005D5A00" w:rsidP="005D5A00">
      <w:pPr>
        <w:pStyle w:val="13"/>
      </w:pPr>
      <w:r>
        <w:lastRenderedPageBreak/>
        <w:t>3、未执行期的政府各类支出责任，需要考虑追溯期的各类支出责任的测算结果、追</w:t>
      </w:r>
      <w:r>
        <w:rPr>
          <w:rFonts w:hint="eastAsia"/>
        </w:rPr>
        <w:t>溯期实际项目产出物等因素的影响，</w:t>
      </w:r>
      <w:proofErr w:type="gramStart"/>
      <w:r>
        <w:rPr>
          <w:rFonts w:hint="eastAsia"/>
        </w:rPr>
        <w:t>作出</w:t>
      </w:r>
      <w:proofErr w:type="gramEnd"/>
      <w:r>
        <w:rPr>
          <w:rFonts w:hint="eastAsia"/>
        </w:rPr>
        <w:t>合理测算。</w:t>
      </w:r>
    </w:p>
    <w:p w14:paraId="37809332" w14:textId="46166560" w:rsidR="005D5A00" w:rsidRDefault="005D5A00" w:rsidP="005D5A00">
      <w:pPr>
        <w:pStyle w:val="13"/>
      </w:pPr>
      <w:r>
        <w:rPr>
          <w:rFonts w:hint="eastAsia"/>
        </w:rPr>
        <w:t>（五）实现</w:t>
      </w:r>
      <w:r w:rsidR="00B65C82">
        <w:t>PPP</w:t>
      </w:r>
      <w:r>
        <w:t>值的测算</w:t>
      </w:r>
    </w:p>
    <w:p w14:paraId="5A9BBD94" w14:textId="55CFEB8A" w:rsidR="005D5A00" w:rsidRDefault="005D5A00" w:rsidP="005D5A00">
      <w:pPr>
        <w:pStyle w:val="13"/>
      </w:pPr>
      <w:r>
        <w:rPr>
          <w:rFonts w:hint="eastAsia"/>
        </w:rPr>
        <w:t>在追溯评价中，实现</w:t>
      </w:r>
      <w:r w:rsidR="00B65C82">
        <w:t>PPP</w:t>
      </w:r>
      <w:r>
        <w:t>值中政府各类支出责任的测算方法与项目识别和准备阶段</w:t>
      </w:r>
      <w:r w:rsidR="00B65C82">
        <w:t>PPP</w:t>
      </w:r>
      <w:r>
        <w:t>值的测算方法相似。其中，股权投资支出责任和配套投入支出责任，通常根据实际发生额进行测算；风险承担支出责任，宜基于政府自留风险的客观风险水平进行测算</w:t>
      </w:r>
      <w:r w:rsidR="003068F8">
        <w:t>；</w:t>
      </w:r>
      <w:r>
        <w:t>运营补贴支出责任运用实际项目产出物对应运营补贴金额进行测算，需要与风险承担支出责任相协调，避免政府自留风险承担成本重计或漏计。</w:t>
      </w:r>
    </w:p>
    <w:p w14:paraId="23C4BD7F" w14:textId="50DC1758" w:rsidR="005D5A00" w:rsidRDefault="005D5A00" w:rsidP="005D5A00">
      <w:pPr>
        <w:pStyle w:val="ab"/>
        <w:spacing w:before="62" w:after="62"/>
        <w:ind w:firstLine="482"/>
      </w:pPr>
      <w:r>
        <w:rPr>
          <w:rFonts w:hint="eastAsia"/>
        </w:rPr>
        <w:t>五、全生命周期内</w:t>
      </w:r>
      <w:r>
        <w:t>PSC值</w:t>
      </w:r>
    </w:p>
    <w:p w14:paraId="4DA665BC" w14:textId="6FC40359" w:rsidR="005D5A00" w:rsidRDefault="005D5A00" w:rsidP="005D5A00">
      <w:pPr>
        <w:pStyle w:val="13"/>
      </w:pPr>
      <w:r>
        <w:rPr>
          <w:rFonts w:hint="eastAsia"/>
        </w:rPr>
        <w:t>在项目不同阶段，</w:t>
      </w:r>
      <w:r>
        <w:t>PSC值的计算方法不变，但计算</w:t>
      </w:r>
      <w:r w:rsidR="00B65C82">
        <w:t>PPP</w:t>
      </w:r>
      <w:r>
        <w:t>值所依据项目资产、资产范围、资产边界、项目产出物、合作周期、折现率等参数发生变更时，PSC值也需要调整。PSC值与</w:t>
      </w:r>
      <w:r w:rsidR="00B65C82">
        <w:t>PPP</w:t>
      </w:r>
      <w:r>
        <w:t>值在项目范围、资产范围、资产边界、项目产出物、合作周期、折现率等参数的取值保持一致。</w:t>
      </w:r>
    </w:p>
    <w:p w14:paraId="327C679C" w14:textId="0E18AF2D" w:rsidR="005D5A00" w:rsidRDefault="005D5A00" w:rsidP="005D5A00">
      <w:pPr>
        <w:pStyle w:val="13"/>
      </w:pPr>
      <w:r>
        <w:t>PSC值与</w:t>
      </w:r>
      <w:r w:rsidR="00B65C82">
        <w:t>PPP</w:t>
      </w:r>
      <w:r>
        <w:t>值在评价基准日、评价周期等要素的取值保持一致。</w:t>
      </w:r>
    </w:p>
    <w:p w14:paraId="0399CAC5" w14:textId="1873EDF4" w:rsidR="005D5A00" w:rsidRDefault="005D5A00" w:rsidP="005D5A00">
      <w:pPr>
        <w:pStyle w:val="ab"/>
        <w:spacing w:before="62" w:after="62"/>
        <w:ind w:firstLine="482"/>
      </w:pPr>
      <w:r>
        <w:t>六、PSC值的测算</w:t>
      </w:r>
    </w:p>
    <w:p w14:paraId="3E04A981" w14:textId="77777777" w:rsidR="005D5A00" w:rsidRDefault="005D5A00" w:rsidP="005D5A00">
      <w:pPr>
        <w:pStyle w:val="13"/>
      </w:pPr>
      <w:r>
        <w:t>PSC 值的测算方法和测算过程如下：</w:t>
      </w:r>
    </w:p>
    <w:p w14:paraId="53E78DB5" w14:textId="77777777" w:rsidR="005D5A00" w:rsidRDefault="005D5A00" w:rsidP="005D5A00">
      <w:pPr>
        <w:pStyle w:val="13"/>
      </w:pPr>
      <w:r>
        <w:rPr>
          <w:rFonts w:hint="eastAsia"/>
        </w:rPr>
        <w:t>（一）参照项目的设定</w:t>
      </w:r>
    </w:p>
    <w:p w14:paraId="75343C68" w14:textId="77777777" w:rsidR="005D5A00" w:rsidRDefault="005D5A00" w:rsidP="005D5A00">
      <w:pPr>
        <w:pStyle w:val="13"/>
      </w:pPr>
      <w:r>
        <w:rPr>
          <w:rFonts w:hint="eastAsia"/>
        </w:rPr>
        <w:t>参照项目通常包括以下两类：</w:t>
      </w:r>
    </w:p>
    <w:p w14:paraId="6FFE51F2" w14:textId="77777777" w:rsidR="005D5A00" w:rsidRDefault="005D5A00" w:rsidP="005D5A00">
      <w:pPr>
        <w:pStyle w:val="13"/>
      </w:pPr>
      <w:r>
        <w:t>1、第一类参照项目</w:t>
      </w:r>
    </w:p>
    <w:p w14:paraId="0A9AADF9" w14:textId="301DFE3F" w:rsidR="005D5A00" w:rsidRDefault="005D5A00" w:rsidP="005D5A00">
      <w:pPr>
        <w:pStyle w:val="13"/>
      </w:pPr>
      <w:r>
        <w:rPr>
          <w:rFonts w:hint="eastAsia"/>
        </w:rPr>
        <w:t>第一类参照项目通常为最近五年内相同或相似地区采用政府传统投资方式实施的、与</w:t>
      </w:r>
      <w:r w:rsidR="00B65C82">
        <w:t>PPP</w:t>
      </w:r>
      <w:r>
        <w:t>项目产出数量和质量相同或非常相似的项目。</w:t>
      </w:r>
    </w:p>
    <w:p w14:paraId="6B10E313" w14:textId="77777777" w:rsidR="005D5A00" w:rsidRDefault="005D5A00" w:rsidP="005D5A00">
      <w:pPr>
        <w:pStyle w:val="13"/>
      </w:pPr>
      <w:r>
        <w:t>2、第二类参照项目</w:t>
      </w:r>
    </w:p>
    <w:p w14:paraId="2D0D6290" w14:textId="281CB820" w:rsidR="005D5A00" w:rsidRDefault="005D5A00" w:rsidP="005D5A00">
      <w:pPr>
        <w:pStyle w:val="13"/>
      </w:pPr>
      <w:r>
        <w:rPr>
          <w:rFonts w:hint="eastAsia"/>
        </w:rPr>
        <w:t>第二类参照项目是假设政府采用现实可行的、最有效的传统投资方式实施的、与</w:t>
      </w:r>
      <w:r>
        <w:t>PPP项目产出数量和质量相同的虚拟项目。</w:t>
      </w:r>
    </w:p>
    <w:p w14:paraId="758AF4E5" w14:textId="2EF6E541" w:rsidR="005D5A00" w:rsidRDefault="005D5A00" w:rsidP="005D5A00">
      <w:pPr>
        <w:pStyle w:val="13"/>
      </w:pPr>
      <w:r>
        <w:rPr>
          <w:rFonts w:hint="eastAsia"/>
        </w:rPr>
        <w:t>对上述两类参照项目，需要根据获取的参照物资料、数据的数量和质量，结合拟采用</w:t>
      </w:r>
      <w:r w:rsidR="00B65C82">
        <w:t>PPP</w:t>
      </w:r>
      <w:r>
        <w:t>模式项目的特点，恰当选择参照项目，并采用定性或定量分析方法形成参照项目的建设和运营维护净成本。</w:t>
      </w:r>
    </w:p>
    <w:p w14:paraId="6EE1EA14" w14:textId="77777777" w:rsidR="005D5A00" w:rsidRDefault="005D5A00" w:rsidP="005D5A00">
      <w:pPr>
        <w:pStyle w:val="13"/>
      </w:pPr>
      <w:r>
        <w:rPr>
          <w:rFonts w:hint="eastAsia"/>
        </w:rPr>
        <w:t>（二）参照项目的建设和运营维护净成本的测算</w:t>
      </w:r>
    </w:p>
    <w:p w14:paraId="36D37298" w14:textId="70D05992" w:rsidR="007A3C56" w:rsidRDefault="005D5A00" w:rsidP="005D5A00">
      <w:pPr>
        <w:pStyle w:val="13"/>
      </w:pPr>
      <w:r>
        <w:rPr>
          <w:rFonts w:hint="eastAsia"/>
        </w:rPr>
        <w:t>参照项目的建设和运营维护净成本，应在建设成本和运营维护成本基础上，考虑取得的资本性收益和使用者付费因素，并结合融资方案而得出。参照项目的建设和运营维护净成本，应采用现金流指标。根据建设和运营维护所需资金来源的不同，参照项目可区分为融资模式和非融资模式。在非融资模式下，参照项目的建设和运营维护所需的资金均来源于政府的资金；在融资模式下，参照项目的建设和运营维护所需的</w:t>
      </w:r>
      <w:r>
        <w:rPr>
          <w:rFonts w:hint="eastAsia"/>
        </w:rPr>
        <w:lastRenderedPageBreak/>
        <w:t>资金分别来源于政府的资金和政府举债融入的资金。</w:t>
      </w:r>
    </w:p>
    <w:p w14:paraId="428BFDFC" w14:textId="77777777" w:rsidR="005D5A00" w:rsidRDefault="005D5A00" w:rsidP="005D5A00">
      <w:pPr>
        <w:pStyle w:val="13"/>
      </w:pPr>
      <w:r>
        <w:rPr>
          <w:rFonts w:hint="eastAsia"/>
        </w:rPr>
        <w:t>在非融资模式下，参照项目在各年度的建设和运营维护净成本的计算公式如下：</w:t>
      </w:r>
    </w:p>
    <w:p w14:paraId="5949FF95" w14:textId="0F9B886A" w:rsidR="005D5A00" w:rsidRDefault="005D5A00" w:rsidP="005D5A00">
      <w:pPr>
        <w:pStyle w:val="13"/>
      </w:pPr>
      <w:r>
        <w:t>当年参照项目的建设和运营维护净成本=当年建设成本-当年资本性收益+当年运营</w:t>
      </w:r>
      <w:r>
        <w:rPr>
          <w:rFonts w:hint="eastAsia"/>
        </w:rPr>
        <w:t>维护成本</w:t>
      </w:r>
      <w:r>
        <w:t>-当年使用者付费收入</w:t>
      </w:r>
    </w:p>
    <w:p w14:paraId="06DECD00" w14:textId="77777777" w:rsidR="005D5A00" w:rsidRDefault="005D5A00" w:rsidP="005D5A00">
      <w:pPr>
        <w:pStyle w:val="13"/>
      </w:pPr>
      <w:r>
        <w:rPr>
          <w:rFonts w:hint="eastAsia"/>
        </w:rPr>
        <w:t>在融资模式下，参照项目在各年度的建设和运营维护净成本的计算公式如下：</w:t>
      </w:r>
    </w:p>
    <w:p w14:paraId="3F2A1EDE" w14:textId="77777777" w:rsidR="005D5A00" w:rsidRDefault="005D5A00" w:rsidP="005D5A00">
      <w:pPr>
        <w:pStyle w:val="13"/>
      </w:pPr>
      <w:r>
        <w:rPr>
          <w:rFonts w:hint="eastAsia"/>
        </w:rPr>
        <w:t>当年参照项目的建设和运营维护净成本</w:t>
      </w:r>
      <w:r>
        <w:t>=当年建设成本-当年资本性收益+当年运营维护成本-当年使用者付费收入+当年新发行债务-当年偿还债务本金-当年支付的利息费用</w:t>
      </w:r>
    </w:p>
    <w:p w14:paraId="2C6B329F" w14:textId="5CCCFD9C" w:rsidR="005D5A00" w:rsidRDefault="005D5A00" w:rsidP="005D5A00">
      <w:pPr>
        <w:pStyle w:val="13"/>
      </w:pPr>
      <w:r>
        <w:t>参照项目融资模式与非融资模式应着重考虑相关融资政策、政府财政承受能力、政府融资意愿以及融资环境等因素确定。</w:t>
      </w:r>
    </w:p>
    <w:p w14:paraId="2781CB64" w14:textId="77777777" w:rsidR="005D5A00" w:rsidRDefault="005D5A00" w:rsidP="005D5A00">
      <w:pPr>
        <w:pStyle w:val="13"/>
      </w:pPr>
      <w:r>
        <w:rPr>
          <w:rFonts w:hint="eastAsia"/>
        </w:rPr>
        <w:t>建设成本为参照项目设计、建造、升级、改造、大修等方面的建设投入金额，参照项目以非货币性资产作为建设投入的，非货币性资产的金额应根据评估值确定。第一层次参照项目与第二层参照项目的建设投入金额的测算依据和测算过程不同。第一层次参照项目的建设投入金额，通常在参照项目的实际建设投入金额基础上，根据项目产出内容、资产规模、资产结构等差异以及价值指数变化等情况进行必要修正后得出。第二层次参照项目的建设投入金额，通常根据虚拟项目基于传统投资方式的可行性研究投资估算、初步设计概算或施工图预算资料进行测算。</w:t>
      </w:r>
    </w:p>
    <w:p w14:paraId="396475B3" w14:textId="77777777" w:rsidR="005D5A00" w:rsidRDefault="005D5A00" w:rsidP="005D5A00">
      <w:pPr>
        <w:pStyle w:val="13"/>
      </w:pPr>
      <w:r>
        <w:rPr>
          <w:rFonts w:hint="eastAsia"/>
        </w:rPr>
        <w:t>资本性收益，指项目全生命周期内产生的转让、租赁或处置资产所获的收益。</w:t>
      </w:r>
    </w:p>
    <w:p w14:paraId="5E041A9C" w14:textId="77777777" w:rsidR="005D5A00" w:rsidRDefault="005D5A00" w:rsidP="005D5A00">
      <w:pPr>
        <w:pStyle w:val="13"/>
      </w:pPr>
      <w:r>
        <w:rPr>
          <w:rFonts w:hint="eastAsia"/>
        </w:rPr>
        <w:t>运营维护成本主要包括参照项目全生命周期内运营维护所需的原材料、设备、人工等成本，以及管理费用和销售费用等。</w:t>
      </w:r>
    </w:p>
    <w:p w14:paraId="5E7DB08E" w14:textId="4ABCA8F2" w:rsidR="005D5A00" w:rsidRDefault="005D5A00" w:rsidP="005D5A00">
      <w:pPr>
        <w:pStyle w:val="13"/>
      </w:pPr>
      <w:r>
        <w:rPr>
          <w:rFonts w:hint="eastAsia"/>
        </w:rPr>
        <w:t>使用者付费收入，指假设参照项目与</w:t>
      </w:r>
      <w:r w:rsidR="00B65C82">
        <w:t>PPP</w:t>
      </w:r>
      <w:r>
        <w:t>项目付费机制相同情况下能够获得的使用者付费收入。</w:t>
      </w:r>
    </w:p>
    <w:p w14:paraId="16EB2848" w14:textId="77777777" w:rsidR="005D5A00" w:rsidRDefault="005D5A00" w:rsidP="005D5A00">
      <w:pPr>
        <w:pStyle w:val="13"/>
      </w:pPr>
      <w:r>
        <w:rPr>
          <w:rFonts w:hint="eastAsia"/>
        </w:rPr>
        <w:t>（三）竞争性中立调整及其测算</w:t>
      </w:r>
    </w:p>
    <w:p w14:paraId="7CB2D960" w14:textId="519C6705" w:rsidR="005D5A00" w:rsidRDefault="005D5A00" w:rsidP="005D5A00">
      <w:pPr>
        <w:pStyle w:val="13"/>
      </w:pPr>
      <w:r>
        <w:rPr>
          <w:rFonts w:hint="eastAsia"/>
        </w:rPr>
        <w:t>竞争性中立调整，是指使政府采用传统投资模式与采用</w:t>
      </w:r>
      <w:r w:rsidR="00B65C82">
        <w:t>PPP</w:t>
      </w:r>
      <w:r>
        <w:t>模式具有相同的竞争地位而</w:t>
      </w:r>
      <w:proofErr w:type="gramStart"/>
      <w:r>
        <w:t>作出</w:t>
      </w:r>
      <w:proofErr w:type="gramEnd"/>
      <w:r>
        <w:t>的调整，保障物有所值定量分析能够在公平基础上对采用传统投资模式与采用</w:t>
      </w:r>
      <w:r w:rsidR="00B65C82">
        <w:t>PPP</w:t>
      </w:r>
      <w:r>
        <w:t>模式进行比较。政府传统投资模式与</w:t>
      </w:r>
      <w:r w:rsidR="00B65C82">
        <w:t>PPP</w:t>
      </w:r>
      <w:r>
        <w:t>模式的竞争地位差异主要体现在融资政策、土地取得方式、配套设施租赁方式、行政审批过程、项目监管以及相关税费缴纳等方面，但不包括政府传统投资模式与</w:t>
      </w:r>
      <w:proofErr w:type="spellStart"/>
      <w:r w:rsidR="00B65C82">
        <w:t>PPP</w:t>
      </w:r>
      <w:proofErr w:type="spellEnd"/>
      <w:r>
        <w:t>模式因管理水平、组织实施过程以及技术能力等不同而带来的价格、绩效和效率方面的差异。</w:t>
      </w:r>
    </w:p>
    <w:p w14:paraId="744A3B12" w14:textId="2AACA530" w:rsidR="005D5A00" w:rsidRDefault="005D5A00" w:rsidP="005D5A00">
      <w:pPr>
        <w:pStyle w:val="13"/>
      </w:pPr>
      <w:r>
        <w:rPr>
          <w:rFonts w:hint="eastAsia"/>
        </w:rPr>
        <w:t>测算竞争性中立调整值，通常可分为四个步骤。第一步，对比分析政府传统投资模式和</w:t>
      </w:r>
      <w:r w:rsidR="00B65C82">
        <w:t>PPP</w:t>
      </w:r>
      <w:r>
        <w:t>模式；第二步，识别政府传统投资模式和</w:t>
      </w:r>
      <w:r w:rsidR="00B65C82">
        <w:t>PPP</w:t>
      </w:r>
      <w:r>
        <w:t>模式中影响竞争地位的各项因素；第三步，对识别出的各项影响竞争地位的因素，以</w:t>
      </w:r>
      <w:r w:rsidR="00B65C82">
        <w:t>PPP</w:t>
      </w:r>
      <w:r>
        <w:t>模式下的竞争地位为基准</w:t>
      </w:r>
      <w:r w:rsidR="003068F8">
        <w:t>，</w:t>
      </w:r>
      <w:r>
        <w:t>测算该项影响竞争地位因素的竞争性中立调整值；第四步，将各项影响竞争地位因素的竞争性中立调整值相加，得出政府传统投资模式</w:t>
      </w:r>
      <w:proofErr w:type="gramStart"/>
      <w:r>
        <w:t>下项目</w:t>
      </w:r>
      <w:proofErr w:type="gramEnd"/>
      <w:r>
        <w:t>的竞争性中立调整</w:t>
      </w:r>
      <w:r>
        <w:lastRenderedPageBreak/>
        <w:t>值。</w:t>
      </w:r>
    </w:p>
    <w:p w14:paraId="5EC923D6" w14:textId="67A1BE3D" w:rsidR="005D5A00" w:rsidRDefault="005D5A00" w:rsidP="005D5A00">
      <w:pPr>
        <w:pStyle w:val="13"/>
      </w:pPr>
      <w:r>
        <w:rPr>
          <w:rFonts w:hint="eastAsia"/>
        </w:rPr>
        <w:t>竞争性中立调整值的测算，以</w:t>
      </w:r>
      <w:r w:rsidR="00B65C82">
        <w:t>PPP</w:t>
      </w:r>
      <w:r>
        <w:t>模式作为比较基准。相对于</w:t>
      </w:r>
      <w:r w:rsidR="00B65C82">
        <w:t>PPP</w:t>
      </w:r>
      <w:r>
        <w:t>模式下的必要成本，若政府传统投资模式因具有竞争优势而未在建设及运营维护净成本中予以考虑的支出，需要调增竞争中立调整值；若政府传统投资模式因存在竞争劣势而在建设及运营维护净成本中考虑了相应的支出，但该支出项目并不存在于</w:t>
      </w:r>
      <w:proofErr w:type="spellStart"/>
      <w:r w:rsidR="00B65C82">
        <w:t>PPP</w:t>
      </w:r>
      <w:proofErr w:type="spellEnd"/>
      <w:r>
        <w:t>模式中，需要相应调减竞争中立调整值。</w:t>
      </w:r>
    </w:p>
    <w:p w14:paraId="6570C426" w14:textId="72F2DC09" w:rsidR="005D5A00" w:rsidRDefault="005D5A00" w:rsidP="005D5A00">
      <w:pPr>
        <w:pStyle w:val="13"/>
      </w:pPr>
      <w:r>
        <w:rPr>
          <w:rFonts w:hint="eastAsia"/>
        </w:rPr>
        <w:t>对政府传统投资模式与</w:t>
      </w:r>
      <w:r w:rsidR="00B65C82">
        <w:t>PPP</w:t>
      </w:r>
      <w:r>
        <w:t>模式在融资政策方面的竞争地位差异，应对</w:t>
      </w:r>
      <w:proofErr w:type="gramStart"/>
      <w:r>
        <w:t>比两种</w:t>
      </w:r>
      <w:proofErr w:type="gramEnd"/>
      <w:r>
        <w:t>模式的融资环境和融资配套政策，以</w:t>
      </w:r>
      <w:r w:rsidR="00B65C82">
        <w:t>PPP</w:t>
      </w:r>
      <w:r>
        <w:t>模式所适应的融资环境和融资配套政策为基准，根据参照项目在相同的融资环境和融资配套政策前提下的客观融资成本，测算 PSC 中的竞争性中立调整值。通常不宜以</w:t>
      </w:r>
      <w:r w:rsidR="00B65C82">
        <w:t>PPP</w:t>
      </w:r>
      <w:r>
        <w:t>模式中的实际融资成本为基准，测算 PSC 中的竞争性中立调整值。</w:t>
      </w:r>
    </w:p>
    <w:p w14:paraId="3221C5DD" w14:textId="78A5A938" w:rsidR="005D5A00" w:rsidRDefault="005D5A00" w:rsidP="005D5A00">
      <w:pPr>
        <w:pStyle w:val="13"/>
      </w:pPr>
      <w:r>
        <w:rPr>
          <w:rFonts w:hint="eastAsia"/>
        </w:rPr>
        <w:t>对政府传统投资模式与</w:t>
      </w:r>
      <w:r w:rsidR="00B65C82">
        <w:t>PPP</w:t>
      </w:r>
      <w:r>
        <w:t>模式在土地取得费用、配套设施租赁费、行政审批费用方面的竞争地位差异，应对</w:t>
      </w:r>
      <w:proofErr w:type="gramStart"/>
      <w:r>
        <w:t>比两种</w:t>
      </w:r>
      <w:proofErr w:type="gramEnd"/>
      <w:r>
        <w:t>模式的土地取得费用、配套设施租赁费、行政审批费用，通常以</w:t>
      </w:r>
      <w:proofErr w:type="spellStart"/>
      <w:r w:rsidR="00B65C82">
        <w:t>PPP</w:t>
      </w:r>
      <w:proofErr w:type="spellEnd"/>
      <w:r>
        <w:t>模式中土地取得费用、配套设施租赁费、行政审批费用为基准，测算 PSC 中的竞争性中立调整值。</w:t>
      </w:r>
    </w:p>
    <w:p w14:paraId="54B083E1" w14:textId="0B1D977C" w:rsidR="005D5A00" w:rsidRDefault="005D5A00" w:rsidP="005D5A00">
      <w:pPr>
        <w:pStyle w:val="13"/>
      </w:pPr>
      <w:r>
        <w:rPr>
          <w:rFonts w:hint="eastAsia"/>
        </w:rPr>
        <w:t>对政府传统投资模式与</w:t>
      </w:r>
      <w:r w:rsidR="00B65C82">
        <w:t>PPP</w:t>
      </w:r>
      <w:r>
        <w:t>模式在项目监管方面的竞争地位差异，需要对比两种模式的监管范围和监管目标。以</w:t>
      </w:r>
      <w:r w:rsidR="00B65C82">
        <w:t>PPP</w:t>
      </w:r>
      <w:r>
        <w:t>模式的监管范围和监管目标为基准，根据参照项目基于相同的监管范围和监管目标前提下的客观监管成本，测算 PSC 中的竞争性中立调整值。</w:t>
      </w:r>
    </w:p>
    <w:p w14:paraId="714DDBEB" w14:textId="3456145A" w:rsidR="005D5A00" w:rsidRDefault="005D5A00" w:rsidP="005D5A00">
      <w:pPr>
        <w:pStyle w:val="13"/>
      </w:pPr>
      <w:r>
        <w:rPr>
          <w:rFonts w:hint="eastAsia"/>
        </w:rPr>
        <w:t>对政府传统投资模式与</w:t>
      </w:r>
      <w:r w:rsidR="00B65C82">
        <w:t>PPP</w:t>
      </w:r>
      <w:r>
        <w:t>模式在应纳税费方面的竞争地位差异，需要对比两种模</w:t>
      </w:r>
      <w:r>
        <w:rPr>
          <w:rFonts w:hint="eastAsia"/>
        </w:rPr>
        <w:t>式的应纳税费种类及税费比例，以</w:t>
      </w:r>
      <w:r w:rsidR="00B65C82">
        <w:t>PPP</w:t>
      </w:r>
      <w:r>
        <w:t>模式的应纳税费种类及税费比例为基准，结合参照项目的税费基数测算 PSC 中的竞争性中立调整值。</w:t>
      </w:r>
    </w:p>
    <w:p w14:paraId="52FAB557" w14:textId="77777777" w:rsidR="005D5A00" w:rsidRDefault="005D5A00" w:rsidP="005D5A00">
      <w:pPr>
        <w:pStyle w:val="13"/>
      </w:pPr>
      <w:r>
        <w:rPr>
          <w:rFonts w:hint="eastAsia"/>
        </w:rPr>
        <w:t>竞争性中立调整值的构成内容和数据口径，需要与参照项目的建设和运营维护净成本的构成内容和数据口径相协调，避免出现数据重复计算或漏算。</w:t>
      </w:r>
    </w:p>
    <w:p w14:paraId="770BA4E4" w14:textId="77777777" w:rsidR="005D5A00" w:rsidRDefault="005D5A00" w:rsidP="005D5A00">
      <w:pPr>
        <w:pStyle w:val="13"/>
      </w:pPr>
      <w:r>
        <w:rPr>
          <w:rFonts w:hint="eastAsia"/>
        </w:rPr>
        <w:t>（四）项目全部风险成本及其测算</w:t>
      </w:r>
    </w:p>
    <w:p w14:paraId="14C1BA50" w14:textId="6C54B100" w:rsidR="005D5A00" w:rsidRDefault="005D5A00" w:rsidP="005D5A00">
      <w:pPr>
        <w:pStyle w:val="13"/>
      </w:pPr>
      <w:r>
        <w:rPr>
          <w:rFonts w:hint="eastAsia"/>
        </w:rPr>
        <w:t>在政府传统投资模式下，政府承担项目的全部风险。在</w:t>
      </w:r>
      <w:r w:rsidR="00B65C82">
        <w:t>PPP</w:t>
      </w:r>
      <w:r>
        <w:t>模式下，项目全部风险可划分为由政府完全承担的风险、由社会资本完全承担的风险以及由政府和社会资本共同分担的风险。政府完全承担的风险和政府分担的风险，统称为政府自留风险；社会资本完全承担的成本和社会资本分担的风险，统称为可转移风险。</w:t>
      </w:r>
    </w:p>
    <w:p w14:paraId="67154FB9" w14:textId="5BBAEF23" w:rsidR="005D5A00" w:rsidRDefault="005D5A00" w:rsidP="005D5A00">
      <w:pPr>
        <w:pStyle w:val="13"/>
      </w:pPr>
      <w:r>
        <w:rPr>
          <w:rFonts w:hint="eastAsia"/>
        </w:rPr>
        <w:t>项目全部风险成本是指政府传统采购模式下政府因承担项目全部风险而存在的或有支出成本。</w:t>
      </w:r>
      <w:r w:rsidR="00B65C82">
        <w:t>PPP</w:t>
      </w:r>
      <w:r>
        <w:t>模式</w:t>
      </w:r>
      <w:proofErr w:type="gramStart"/>
      <w:r>
        <w:t>下项目</w:t>
      </w:r>
      <w:proofErr w:type="gramEnd"/>
      <w:r>
        <w:t>全部风险成本可划分为可转移给社会资本的风险承担成本和政府自留风险的承担成本。可转移给社会资本的风险承担成本是政府因承担可转移给社会资本的风险而产生的或有支出成本；政府自留风险成本是指项目实施方案中政府承担或分担风险带来的政府或有支出成本。</w:t>
      </w:r>
    </w:p>
    <w:p w14:paraId="37A0630B" w14:textId="77777777" w:rsidR="005D5A00" w:rsidRDefault="005D5A00" w:rsidP="005D5A00">
      <w:pPr>
        <w:pStyle w:val="13"/>
      </w:pPr>
      <w:r>
        <w:rPr>
          <w:rFonts w:hint="eastAsia"/>
        </w:rPr>
        <w:lastRenderedPageBreak/>
        <w:t>项目全部风险成本，可以通过政府传统采购模式下政府承担的项目全部风险的或有支出成本进行测算；也可以通过分别测算出政府自留风险承担成本和</w:t>
      </w:r>
      <w:proofErr w:type="gramStart"/>
      <w:r>
        <w:rPr>
          <w:rFonts w:hint="eastAsia"/>
        </w:rPr>
        <w:t>可</w:t>
      </w:r>
      <w:proofErr w:type="gramEnd"/>
      <w:r>
        <w:rPr>
          <w:rFonts w:hint="eastAsia"/>
        </w:rPr>
        <w:t>转移给社会资本的风险承担成本加总得出。</w:t>
      </w:r>
    </w:p>
    <w:p w14:paraId="09C87BFC" w14:textId="0A7038CB" w:rsidR="005D5A00" w:rsidRDefault="005D5A00" w:rsidP="005D5A00">
      <w:pPr>
        <w:pStyle w:val="13"/>
      </w:pPr>
      <w:r>
        <w:rPr>
          <w:rFonts w:hint="eastAsia"/>
        </w:rPr>
        <w:t>政府自留风险承担成本等同于</w:t>
      </w:r>
      <w:r w:rsidR="00B65C82">
        <w:t>PPP</w:t>
      </w:r>
      <w:r>
        <w:t>值中的全生命周期风险承担支出责任，两者在PSC值与</w:t>
      </w:r>
      <w:r w:rsidR="00B65C82">
        <w:t>PPP</w:t>
      </w:r>
      <w:r>
        <w:t>值比较时可对等扣除。</w:t>
      </w:r>
    </w:p>
    <w:p w14:paraId="6B49384E" w14:textId="367F7857" w:rsidR="005D5A00" w:rsidRDefault="005D5A00" w:rsidP="005D5A00">
      <w:pPr>
        <w:pStyle w:val="13"/>
      </w:pPr>
      <w:r>
        <w:rPr>
          <w:rFonts w:hint="eastAsia"/>
        </w:rPr>
        <w:t>项目全部风险成本、政府自留风险承担成本和</w:t>
      </w:r>
      <w:proofErr w:type="gramStart"/>
      <w:r>
        <w:rPr>
          <w:rFonts w:hint="eastAsia"/>
        </w:rPr>
        <w:t>可</w:t>
      </w:r>
      <w:proofErr w:type="gramEnd"/>
      <w:r>
        <w:rPr>
          <w:rFonts w:hint="eastAsia"/>
        </w:rPr>
        <w:t>转移给社会资本的风险承担成本，</w:t>
      </w:r>
      <w:r>
        <w:t>参照</w:t>
      </w:r>
      <w:r w:rsidR="00B65C82">
        <w:t>PPP</w:t>
      </w:r>
      <w:r>
        <w:t>值中风险承担支出的测算方法进行测算。</w:t>
      </w:r>
    </w:p>
    <w:p w14:paraId="7301E64B" w14:textId="77777777" w:rsidR="005D5A00" w:rsidRDefault="005D5A00" w:rsidP="005D5A00">
      <w:pPr>
        <w:pStyle w:val="13"/>
      </w:pPr>
      <w:r>
        <w:rPr>
          <w:rFonts w:hint="eastAsia"/>
        </w:rPr>
        <w:t>（五）</w:t>
      </w:r>
      <w:r>
        <w:t>PSC 值折现率的确定</w:t>
      </w:r>
    </w:p>
    <w:p w14:paraId="2F6CEE2B" w14:textId="3A154861" w:rsidR="005D5A00" w:rsidRDefault="005D5A00" w:rsidP="005D5A00">
      <w:pPr>
        <w:pStyle w:val="13"/>
      </w:pPr>
      <w:r>
        <w:rPr>
          <w:rFonts w:hint="eastAsia"/>
        </w:rPr>
        <w:t>用于测算</w:t>
      </w:r>
      <w:r>
        <w:t xml:space="preserve"> PSC 值的折现率应与用于测算</w:t>
      </w:r>
      <w:r w:rsidR="00B65C82">
        <w:t>PPP</w:t>
      </w:r>
      <w:r>
        <w:t>值的折现率相同。</w:t>
      </w:r>
    </w:p>
    <w:p w14:paraId="2AECC30F" w14:textId="7C129A82" w:rsidR="005D5A00" w:rsidRDefault="005D5A00" w:rsidP="005D5A00">
      <w:pPr>
        <w:pStyle w:val="ab"/>
        <w:spacing w:before="62" w:after="62"/>
        <w:ind w:firstLine="482"/>
      </w:pPr>
      <w:r>
        <w:t>七、</w:t>
      </w:r>
      <w:r w:rsidR="00B65C82">
        <w:t>PPP</w:t>
      </w:r>
      <w:r>
        <w:t>存量项目物有所值定量评价的特殊要求</w:t>
      </w:r>
    </w:p>
    <w:p w14:paraId="5803DB02" w14:textId="2B28159C" w:rsidR="005D5A00" w:rsidRDefault="005D5A00" w:rsidP="005D5A00">
      <w:pPr>
        <w:pStyle w:val="13"/>
      </w:pPr>
      <w:r>
        <w:rPr>
          <w:rFonts w:hint="eastAsia"/>
        </w:rPr>
        <w:t>对</w:t>
      </w:r>
      <w:r w:rsidR="00B65C82">
        <w:t>PPP</w:t>
      </w:r>
      <w:r>
        <w:t>存量项目开展物有所值评价，需要确保</w:t>
      </w:r>
      <w:r w:rsidR="00B65C82">
        <w:t>PPP</w:t>
      </w:r>
      <w:r>
        <w:t>存量项目的PSC值和</w:t>
      </w:r>
      <w:r w:rsidR="00B65C82">
        <w:t>PPP</w:t>
      </w:r>
      <w:r>
        <w:t>值的测算口径相匹配。</w:t>
      </w:r>
    </w:p>
    <w:p w14:paraId="08518829" w14:textId="15A69C21" w:rsidR="005D5A00" w:rsidRDefault="005D5A00" w:rsidP="005D5A00">
      <w:pPr>
        <w:pStyle w:val="13"/>
      </w:pPr>
      <w:r>
        <w:t>PSC值仅包括政府传统采购模式下政府于评价基准日后需承担的维护成本、运营成本、风险承担成本以及对应的竞争性中立调整值，不包括</w:t>
      </w:r>
      <w:r w:rsidR="00B65C82">
        <w:t>PPP</w:t>
      </w:r>
      <w:r>
        <w:t>存量资产价值时，在测算PPP</w:t>
      </w:r>
      <w:proofErr w:type="gramStart"/>
      <w:r>
        <w:t>值过程</w:t>
      </w:r>
      <w:proofErr w:type="gramEnd"/>
      <w:r>
        <w:t>中，需要将</w:t>
      </w:r>
      <w:r w:rsidR="00B65C82">
        <w:t>PPP</w:t>
      </w:r>
      <w:r>
        <w:t>存量资产的所有权或经营权转让收入视为资本性收益，并将</w:t>
      </w:r>
      <w:proofErr w:type="gramStart"/>
      <w:r>
        <w:t>该资本</w:t>
      </w:r>
      <w:proofErr w:type="gramEnd"/>
      <w:r>
        <w:t>性收益从</w:t>
      </w:r>
      <w:r w:rsidR="00B65C82">
        <w:t>PPP</w:t>
      </w:r>
      <w:r>
        <w:t>模式下政府应承担的成本中扣除，再测算</w:t>
      </w:r>
      <w:r w:rsidR="00B65C82">
        <w:t>PPP</w:t>
      </w:r>
      <w:r>
        <w:t>模式下政府于评价基准日后需承担的股权投资、运营补贴、风险承担、配套投入等方面的财政支出责任的现值。</w:t>
      </w:r>
    </w:p>
    <w:p w14:paraId="3AE1537A" w14:textId="7CBF08B4" w:rsidR="005D5A00" w:rsidRDefault="005D5A00" w:rsidP="005D5A00">
      <w:pPr>
        <w:pStyle w:val="13"/>
      </w:pPr>
      <w:r>
        <w:rPr>
          <w:rFonts w:hint="eastAsia"/>
        </w:rPr>
        <w:t>在测算</w:t>
      </w:r>
      <w:r>
        <w:t>PSC</w:t>
      </w:r>
      <w:proofErr w:type="gramStart"/>
      <w:r>
        <w:t>值过程</w:t>
      </w:r>
      <w:proofErr w:type="gramEnd"/>
      <w:r>
        <w:t>中，将</w:t>
      </w:r>
      <w:r w:rsidR="00B65C82">
        <w:t>PPP</w:t>
      </w:r>
      <w:r>
        <w:t>存量资产价值视为建设成本并包含在PSC值中时</w:t>
      </w:r>
      <w:r w:rsidR="003068F8">
        <w:t>，</w:t>
      </w:r>
      <w:r>
        <w:t>在测算</w:t>
      </w:r>
      <w:r w:rsidR="00B65C82">
        <w:t>PPP</w:t>
      </w:r>
      <w:proofErr w:type="gramStart"/>
      <w:r>
        <w:t>值过程</w:t>
      </w:r>
      <w:proofErr w:type="gramEnd"/>
      <w:r>
        <w:t>中，需要将</w:t>
      </w:r>
      <w:r w:rsidR="00B65C82">
        <w:t>PPP</w:t>
      </w:r>
      <w:r>
        <w:t>存量资产的所有权或经营权转让收入减去</w:t>
      </w:r>
      <w:r w:rsidR="00B65C82">
        <w:t>PPP</w:t>
      </w:r>
      <w:r>
        <w:t>存量资产价值后的余额视为资本性收益，并将</w:t>
      </w:r>
      <w:proofErr w:type="gramStart"/>
      <w:r>
        <w:t>该资本</w:t>
      </w:r>
      <w:proofErr w:type="gramEnd"/>
      <w:r>
        <w:t>性收益从</w:t>
      </w:r>
      <w:r w:rsidR="00B65C82">
        <w:t>PPP</w:t>
      </w:r>
      <w:r>
        <w:t>模式下政府应承担的成本中扣除，再测算</w:t>
      </w:r>
      <w:r w:rsidR="00B65C82">
        <w:t>PPP</w:t>
      </w:r>
      <w:r>
        <w:t>模式下政府于评价基准日后需承担的股权投资、运营补贴、风险承担、配套投入等方面的财政支出责任的现值。</w:t>
      </w:r>
    </w:p>
    <w:p w14:paraId="714C4D34" w14:textId="77777777" w:rsidR="005D5A00" w:rsidRDefault="005D5A00" w:rsidP="003E0EAD">
      <w:pPr>
        <w:pStyle w:val="ab"/>
        <w:spacing w:before="62" w:after="62"/>
        <w:ind w:firstLine="482"/>
      </w:pPr>
      <w:r>
        <w:rPr>
          <w:rFonts w:hint="eastAsia"/>
        </w:rPr>
        <w:t>八、物有所值定量评价结论</w:t>
      </w:r>
    </w:p>
    <w:p w14:paraId="2E850E54" w14:textId="77777777" w:rsidR="005D5A00" w:rsidRDefault="005D5A00" w:rsidP="005D5A00">
      <w:pPr>
        <w:pStyle w:val="13"/>
      </w:pPr>
      <w:r>
        <w:rPr>
          <w:rFonts w:hint="eastAsia"/>
        </w:rPr>
        <w:t>物有所值定量分析的结果通常以物有所值量值或物有所值指数的形式表示。</w:t>
      </w:r>
    </w:p>
    <w:p w14:paraId="173AB496" w14:textId="599E71EA" w:rsidR="005D5A00" w:rsidRDefault="005D5A00" w:rsidP="005D5A00">
      <w:pPr>
        <w:pStyle w:val="13"/>
      </w:pPr>
      <w:r>
        <w:rPr>
          <w:rFonts w:hint="eastAsia"/>
        </w:rPr>
        <w:t>物有所值量值</w:t>
      </w:r>
      <w:r>
        <w:t>=PSC值-PPP值</w:t>
      </w:r>
    </w:p>
    <w:p w14:paraId="422E9929" w14:textId="077C6DA4" w:rsidR="005D5A00" w:rsidRDefault="005D5A00" w:rsidP="005D5A00">
      <w:pPr>
        <w:pStyle w:val="13"/>
      </w:pPr>
      <w:r>
        <w:rPr>
          <w:rFonts w:hint="eastAsia"/>
        </w:rPr>
        <w:t>物有所值指数</w:t>
      </w:r>
      <w:r>
        <w:t>=（PSC值-PPP值）÷PSC值×100%</w:t>
      </w:r>
    </w:p>
    <w:p w14:paraId="10B69C5B" w14:textId="260C00AA" w:rsidR="005D5A00" w:rsidRDefault="005D5A00" w:rsidP="005D5A00">
      <w:pPr>
        <w:pStyle w:val="13"/>
      </w:pPr>
      <w:r>
        <w:rPr>
          <w:rFonts w:hint="eastAsia"/>
        </w:rPr>
        <w:t>物有所值量值或物有所值指标可以是一个确定的值，也可以是区间值。物有所值量值和指数为正的，通过物有所值定量评价；否则，未通过物有所值定量评价。物有所值量值和指数越大，说明政府采用</w:t>
      </w:r>
      <w:r w:rsidR="00B65C82">
        <w:t>PPP</w:t>
      </w:r>
      <w:r>
        <w:t>模式替代传统投资模式，政府所能节约的成本越大。</w:t>
      </w:r>
    </w:p>
    <w:p w14:paraId="4898F619" w14:textId="77777777" w:rsidR="005D5A00" w:rsidRDefault="005D5A00" w:rsidP="003E0EAD">
      <w:pPr>
        <w:pStyle w:val="ab"/>
        <w:spacing w:before="62" w:after="62"/>
        <w:ind w:firstLine="482"/>
      </w:pPr>
      <w:r>
        <w:rPr>
          <w:rFonts w:hint="eastAsia"/>
        </w:rPr>
        <w:t>九、物有所值定量评价结论分析</w:t>
      </w:r>
    </w:p>
    <w:p w14:paraId="2F25E8E9" w14:textId="77777777" w:rsidR="005D5A00" w:rsidRDefault="005D5A00" w:rsidP="005D5A00">
      <w:pPr>
        <w:pStyle w:val="13"/>
      </w:pPr>
      <w:r>
        <w:rPr>
          <w:rFonts w:hint="eastAsia"/>
        </w:rPr>
        <w:t>物有所值定量评价结论，宜进行敏感性分析。敏感性分析是从定量角度研究一定</w:t>
      </w:r>
      <w:r>
        <w:rPr>
          <w:rFonts w:hint="eastAsia"/>
        </w:rPr>
        <w:lastRenderedPageBreak/>
        <w:t>数据模型中的输入变量变化对输出变量的影响程度的一种不确定性分析技术。物有所值定量分析结论的敏感性分析，目的在于识别敏感性因素，帮助评价报告使用者正确理解与科学运用评价结论。物有所值定量分析结论的敏感性分析，主要步骤如下：</w:t>
      </w:r>
    </w:p>
    <w:p w14:paraId="5C650597" w14:textId="443DE454" w:rsidR="005D5A00" w:rsidRDefault="005D5A00" w:rsidP="005D5A00">
      <w:pPr>
        <w:pStyle w:val="13"/>
      </w:pPr>
      <w:r>
        <w:rPr>
          <w:rFonts w:hint="eastAsia"/>
        </w:rPr>
        <w:t>第一步，选择不确定因素。应当</w:t>
      </w:r>
      <w:proofErr w:type="gramStart"/>
      <w:r>
        <w:rPr>
          <w:rFonts w:hint="eastAsia"/>
        </w:rPr>
        <w:t>根据根据</w:t>
      </w:r>
      <w:proofErr w:type="gramEnd"/>
      <w:r>
        <w:rPr>
          <w:rFonts w:hint="eastAsia"/>
        </w:rPr>
        <w:t>物有所值定量评价工作的具体情况，分析筛选出估计偏差可能性较大对物有所值量值或物有所值指数影响作用较大的评价参数，</w:t>
      </w:r>
      <w:r>
        <w:t>作为拟考察的不确定因素。</w:t>
      </w:r>
    </w:p>
    <w:p w14:paraId="72FE93AF" w14:textId="2A944E9E" w:rsidR="007A3C56" w:rsidRDefault="005D5A00" w:rsidP="005D5A00">
      <w:pPr>
        <w:pStyle w:val="13"/>
      </w:pPr>
      <w:r>
        <w:rPr>
          <w:rFonts w:hint="eastAsia"/>
        </w:rPr>
        <w:t>第二步，计算敏感度系数。敏感度系数是物有所值量值或物有所值指数变化的百分率与不确定性因素变化的百分率之比。敏感度系数越高，表示物有所值量值或物有所值指数对该不确定性因素的敏感程度越高。敏感度系数的计算公式如下：</w:t>
      </w:r>
    </w:p>
    <w:p w14:paraId="31940349" w14:textId="7B9FC401" w:rsidR="007A3C56" w:rsidRDefault="003E0EAD" w:rsidP="00882ED4">
      <w:pPr>
        <w:pStyle w:val="13"/>
      </w:pPr>
      <m:oMathPara>
        <m:oMath>
          <m:r>
            <w:rPr>
              <w:rFonts w:ascii="Cambria Math" w:hAnsi="Cambria Math"/>
            </w:rPr>
            <m:t>E=</m:t>
          </m:r>
          <m:f>
            <m:fPr>
              <m:ctrlPr>
                <w:rPr>
                  <w:rFonts w:ascii="Cambria Math" w:hAnsi="Cambria Math"/>
                  <w:i/>
                </w:rPr>
              </m:ctrlPr>
            </m:fPr>
            <m:num>
              <m:r>
                <w:rPr>
                  <w:rFonts w:ascii="Cambria Math" w:hAnsi="Cambria Math"/>
                </w:rPr>
                <m:t>∆A/A</m:t>
              </m:r>
            </m:num>
            <m:den>
              <m:r>
                <w:rPr>
                  <w:rFonts w:ascii="Cambria Math" w:hAnsi="Cambria Math"/>
                </w:rPr>
                <m:t>∆F/F</m:t>
              </m:r>
            </m:den>
          </m:f>
        </m:oMath>
      </m:oMathPara>
    </w:p>
    <w:p w14:paraId="7A32A5FD" w14:textId="0EE1E4B5" w:rsidR="003E0EAD" w:rsidRDefault="003E0EAD" w:rsidP="003E0EAD">
      <w:pPr>
        <w:pStyle w:val="13"/>
      </w:pPr>
      <w:r>
        <w:t>E：物有所值量值（系数）A对于不确定性因素F的敏感度系数；</w:t>
      </w:r>
    </w:p>
    <w:p w14:paraId="0416D100" w14:textId="47B22AA4" w:rsidR="003E0EAD" w:rsidRDefault="003E0EAD" w:rsidP="003E0EAD">
      <w:pPr>
        <w:pStyle w:val="13"/>
      </w:pPr>
      <w:r>
        <w:rPr>
          <w:rFonts w:hint="eastAsia"/>
        </w:rPr>
        <w:t>Δ</w:t>
      </w:r>
      <w:r>
        <w:t>A/A：不确定因素F发生的变化时，物有所值量值（系数）的相应变化率（%）；</w:t>
      </w:r>
    </w:p>
    <w:p w14:paraId="7A5CAAAA" w14:textId="6833D485" w:rsidR="003E0EAD" w:rsidRDefault="003E0EAD" w:rsidP="003E0EAD">
      <w:pPr>
        <w:pStyle w:val="13"/>
      </w:pPr>
      <w:r>
        <w:rPr>
          <w:rFonts w:hint="eastAsia"/>
        </w:rPr>
        <w:t>Δ</w:t>
      </w:r>
      <w:r>
        <w:t>F/F：不确定因素F的变化率（%）。</w:t>
      </w:r>
    </w:p>
    <w:p w14:paraId="500C2867" w14:textId="77777777" w:rsidR="003E0EAD" w:rsidRDefault="003E0EAD" w:rsidP="003E0EAD">
      <w:pPr>
        <w:pStyle w:val="13"/>
      </w:pPr>
      <w:r>
        <w:rPr>
          <w:rFonts w:hint="eastAsia"/>
        </w:rPr>
        <w:t>第三步，识别敏感性因数。识别敏感性因素，一般采用单因素敏感性分析方法，通过计算并比较各不确定因素的敏感度系数来进行。计算比较各不确定因素的敏感性系数时，通常对各不确定因素的变动采用一致的相对变动幅度。根据物有所值定量评价工作的具体情况，选取敏感度系数较高的一个或多个不确定因素作为敏感性因素。通常，折现率、第三方收入、运营补贴金额是常见的敏感性因素。</w:t>
      </w:r>
    </w:p>
    <w:p w14:paraId="66CA2A66" w14:textId="7D76DFF1" w:rsidR="007A3C56" w:rsidRDefault="003E0EAD" w:rsidP="003E0EAD">
      <w:pPr>
        <w:pStyle w:val="13"/>
      </w:pPr>
      <w:r>
        <w:rPr>
          <w:rFonts w:hint="eastAsia"/>
        </w:rPr>
        <w:t>对同一项目分别进行物有所值定性评价和定量评价的，只有在分别“通过”物有所值定性评价和定量评价前提下，方可</w:t>
      </w:r>
      <w:proofErr w:type="gramStart"/>
      <w:r>
        <w:rPr>
          <w:rFonts w:hint="eastAsia"/>
        </w:rPr>
        <w:t>作出</w:t>
      </w:r>
      <w:proofErr w:type="gramEnd"/>
      <w:r>
        <w:rPr>
          <w:rFonts w:hint="eastAsia"/>
        </w:rPr>
        <w:t>“通过”物有所值评价的结论。</w:t>
      </w:r>
    </w:p>
    <w:p w14:paraId="030DC2BC" w14:textId="77777777" w:rsidR="003E0EAD" w:rsidRDefault="003E0EAD" w:rsidP="00AF7342">
      <w:pPr>
        <w:pStyle w:val="a9"/>
        <w:spacing w:before="62" w:after="62"/>
      </w:pPr>
      <w:r>
        <w:rPr>
          <w:rFonts w:hint="eastAsia"/>
        </w:rPr>
        <w:t>第四节</w:t>
      </w:r>
      <w:r>
        <w:t xml:space="preserve"> 物有所值评价报告</w:t>
      </w:r>
    </w:p>
    <w:p w14:paraId="48FFBC35" w14:textId="77777777" w:rsidR="003E0EAD" w:rsidRDefault="003E0EAD" w:rsidP="003E0EAD">
      <w:pPr>
        <w:pStyle w:val="13"/>
      </w:pPr>
      <w:r>
        <w:rPr>
          <w:rFonts w:hint="eastAsia"/>
        </w:rPr>
        <w:t>物有所值评价报告（以下简称：评价报告），由标题、文号、正文和附件构成。</w:t>
      </w:r>
    </w:p>
    <w:p w14:paraId="41F454D4" w14:textId="1535B8D0" w:rsidR="003E0EAD" w:rsidRDefault="003E0EAD" w:rsidP="003E0EAD">
      <w:pPr>
        <w:pStyle w:val="ab"/>
        <w:spacing w:before="62" w:after="62"/>
        <w:ind w:firstLine="482"/>
      </w:pPr>
      <w:r>
        <w:rPr>
          <w:rFonts w:hint="eastAsia"/>
        </w:rPr>
        <w:t>一、评价报告标题和</w:t>
      </w:r>
      <w:proofErr w:type="gramStart"/>
      <w:r>
        <w:rPr>
          <w:rFonts w:hint="eastAsia"/>
        </w:rPr>
        <w:t>文号</w:t>
      </w:r>
      <w:proofErr w:type="gramEnd"/>
    </w:p>
    <w:p w14:paraId="55671B23" w14:textId="77777777" w:rsidR="003E0EAD" w:rsidRDefault="003E0EAD" w:rsidP="003E0EAD">
      <w:pPr>
        <w:pStyle w:val="13"/>
      </w:pPr>
      <w:r>
        <w:rPr>
          <w:rFonts w:hint="eastAsia"/>
        </w:rPr>
        <w:t>评价报告标题通常简明清晰，一般采用“评价对象</w:t>
      </w:r>
      <w:r>
        <w:t>+物有所值评价报告”的形式。报告文</w:t>
      </w:r>
      <w:proofErr w:type="gramStart"/>
      <w:r>
        <w:t>号包括</w:t>
      </w:r>
      <w:proofErr w:type="gramEnd"/>
      <w:r>
        <w:t>评估机构特征字、种类特征字、年份、报告序号。</w:t>
      </w:r>
    </w:p>
    <w:p w14:paraId="6F89018D" w14:textId="77777777" w:rsidR="003E0EAD" w:rsidRDefault="003E0EAD" w:rsidP="003E0EAD">
      <w:pPr>
        <w:pStyle w:val="ab"/>
        <w:spacing w:before="62" w:after="62"/>
        <w:ind w:firstLine="482"/>
      </w:pPr>
      <w:r>
        <w:rPr>
          <w:rFonts w:hint="eastAsia"/>
        </w:rPr>
        <w:t>二、评价报告正文</w:t>
      </w:r>
    </w:p>
    <w:p w14:paraId="760D7761" w14:textId="77777777" w:rsidR="003E0EAD" w:rsidRDefault="003E0EAD" w:rsidP="003E0EAD">
      <w:pPr>
        <w:pStyle w:val="13"/>
      </w:pPr>
      <w:r>
        <w:rPr>
          <w:rFonts w:hint="eastAsia"/>
        </w:rPr>
        <w:t>（一）绪言</w:t>
      </w:r>
    </w:p>
    <w:p w14:paraId="42FB3CC9" w14:textId="77777777" w:rsidR="003E0EAD" w:rsidRDefault="003E0EAD" w:rsidP="003E0EAD">
      <w:pPr>
        <w:pStyle w:val="13"/>
      </w:pPr>
      <w:r>
        <w:rPr>
          <w:rFonts w:hint="eastAsia"/>
        </w:rPr>
        <w:t>绪言一般采用包含下列内容的表述格式：</w:t>
      </w:r>
    </w:p>
    <w:p w14:paraId="7DA9B97F" w14:textId="6C2E302E" w:rsidR="003E0EAD" w:rsidRDefault="003E0EAD" w:rsidP="003E0EAD">
      <w:pPr>
        <w:pStyle w:val="13"/>
      </w:pPr>
      <w:r>
        <w:t>“×××（委托方全称）：</w:t>
      </w:r>
    </w:p>
    <w:p w14:paraId="733E47AD" w14:textId="3B57D066" w:rsidR="003E0EAD" w:rsidRDefault="003E0EAD" w:rsidP="003E0EAD">
      <w:pPr>
        <w:pStyle w:val="13"/>
      </w:pPr>
      <w:r>
        <w:rPr>
          <w:rFonts w:hint="eastAsia"/>
        </w:rPr>
        <w:t>×××（评估机构全称）接受贵单位的委托，根据有关法律、法规的规定，遵循真实、客观、公开的原则，采用×××评价方法，履行了必要的评价程序，对×××（项目名称）拟采用×××模式（</w:t>
      </w:r>
      <w:r>
        <w:t>PPP的具体模式）相比政府传统投资运营方式是否物有所值进行评价。现将物有所值评价情况报告如下。”</w:t>
      </w:r>
    </w:p>
    <w:p w14:paraId="3750B282" w14:textId="77777777" w:rsidR="003E0EAD" w:rsidRDefault="003E0EAD" w:rsidP="003E0EAD">
      <w:pPr>
        <w:pStyle w:val="13"/>
      </w:pPr>
      <w:r>
        <w:rPr>
          <w:rFonts w:hint="eastAsia"/>
        </w:rPr>
        <w:lastRenderedPageBreak/>
        <w:t>（二）项目基础信息</w:t>
      </w:r>
    </w:p>
    <w:p w14:paraId="2DDCE60A" w14:textId="32E2A9AE" w:rsidR="003E0EAD" w:rsidRDefault="003E0EAD" w:rsidP="003E0EAD">
      <w:pPr>
        <w:pStyle w:val="13"/>
      </w:pPr>
      <w:r>
        <w:rPr>
          <w:rFonts w:hint="eastAsia"/>
        </w:rPr>
        <w:t>评价报告通常需要说明项目基础信息。项目基础信息主要包括项目概况、项目产出说明、</w:t>
      </w:r>
      <w:r>
        <w:t>PPP运作模式、风险分配框架以及付费机制和调价机制。</w:t>
      </w:r>
    </w:p>
    <w:p w14:paraId="0E71EC0C" w14:textId="77777777" w:rsidR="003E0EAD" w:rsidRDefault="003E0EAD" w:rsidP="003E0EAD">
      <w:pPr>
        <w:pStyle w:val="13"/>
      </w:pPr>
      <w:r>
        <w:rPr>
          <w:rFonts w:hint="eastAsia"/>
        </w:rPr>
        <w:t>（三）物有所值评价要素</w:t>
      </w:r>
    </w:p>
    <w:p w14:paraId="30680D51" w14:textId="3C943CC5" w:rsidR="003E0EAD" w:rsidRDefault="003E0EAD" w:rsidP="003E0EAD">
      <w:pPr>
        <w:pStyle w:val="13"/>
      </w:pPr>
      <w:r>
        <w:rPr>
          <w:rFonts w:hint="eastAsia"/>
        </w:rPr>
        <w:t>评价报告通常需要说明物有所值评价的要素。物有所值评价要素主要包括委托方及项目实施机构、评价目的、评价对象、评价基准日、评价期间、评价依据、评价假设、评价方法以及评价程序。</w:t>
      </w:r>
    </w:p>
    <w:p w14:paraId="22D3BC7C" w14:textId="77777777" w:rsidR="003E0EAD" w:rsidRDefault="003E0EAD" w:rsidP="003E0EAD">
      <w:pPr>
        <w:pStyle w:val="13"/>
      </w:pPr>
      <w:r>
        <w:rPr>
          <w:rFonts w:hint="eastAsia"/>
        </w:rPr>
        <w:t>（四）评价方法及评价过程</w:t>
      </w:r>
    </w:p>
    <w:p w14:paraId="2FF2B5A4" w14:textId="77777777" w:rsidR="003E0EAD" w:rsidRDefault="003E0EAD" w:rsidP="003E0EAD">
      <w:pPr>
        <w:pStyle w:val="13"/>
      </w:pPr>
      <w:r>
        <w:rPr>
          <w:rFonts w:hint="eastAsia"/>
        </w:rPr>
        <w:t>评价报告通常需要说明物有所值评价方法及评估过程。</w:t>
      </w:r>
    </w:p>
    <w:p w14:paraId="0D2F3131" w14:textId="77777777" w:rsidR="003E0EAD" w:rsidRDefault="003E0EAD" w:rsidP="003E0EAD">
      <w:pPr>
        <w:pStyle w:val="13"/>
      </w:pPr>
      <w:r>
        <w:t>1、定性评价中，通常应说明以下内容：</w:t>
      </w:r>
    </w:p>
    <w:p w14:paraId="667EEBC1" w14:textId="1DEC3320" w:rsidR="003E0EAD" w:rsidRDefault="003E0EAD" w:rsidP="003E0EAD">
      <w:pPr>
        <w:pStyle w:val="13"/>
      </w:pPr>
      <w:r>
        <w:rPr>
          <w:rFonts w:hint="eastAsia"/>
        </w:rPr>
        <w:t>（</w:t>
      </w:r>
      <w:r>
        <w:t>1）评价指标及其权重，包括基本评价指标及其子指标、补充评价指标，以及各评价指标的权重。</w:t>
      </w:r>
    </w:p>
    <w:p w14:paraId="2E274BD7" w14:textId="09721923" w:rsidR="003E0EAD" w:rsidRDefault="003E0EAD" w:rsidP="003E0EAD">
      <w:pPr>
        <w:pStyle w:val="13"/>
      </w:pPr>
      <w:r>
        <w:rPr>
          <w:rFonts w:hint="eastAsia"/>
        </w:rPr>
        <w:t>（</w:t>
      </w:r>
      <w:r>
        <w:t>2）评价指标对应的项目内容描述。</w:t>
      </w:r>
    </w:p>
    <w:p w14:paraId="34955332" w14:textId="793B0444" w:rsidR="003E0EAD" w:rsidRDefault="003E0EAD" w:rsidP="003E0EAD">
      <w:pPr>
        <w:pStyle w:val="13"/>
      </w:pPr>
      <w:r>
        <w:rPr>
          <w:rFonts w:hint="eastAsia"/>
        </w:rPr>
        <w:t>（</w:t>
      </w:r>
      <w:r>
        <w:t>3）评分标准，要求具体、明确。</w:t>
      </w:r>
    </w:p>
    <w:p w14:paraId="5FA561B4" w14:textId="681F9984" w:rsidR="003E0EAD" w:rsidRDefault="003E0EAD" w:rsidP="003E0EAD">
      <w:pPr>
        <w:pStyle w:val="13"/>
      </w:pPr>
      <w:r>
        <w:rPr>
          <w:rFonts w:hint="eastAsia"/>
        </w:rPr>
        <w:t>（</w:t>
      </w:r>
      <w:r>
        <w:t>4）定性评价结果及专家组意见。</w:t>
      </w:r>
    </w:p>
    <w:p w14:paraId="66A22D99" w14:textId="77777777" w:rsidR="003E0EAD" w:rsidRDefault="003E0EAD" w:rsidP="003E0EAD">
      <w:pPr>
        <w:pStyle w:val="13"/>
      </w:pPr>
      <w:r>
        <w:t>2、定量评价中，通常应说明以下内容：</w:t>
      </w:r>
    </w:p>
    <w:p w14:paraId="76BC4668" w14:textId="075B1D61" w:rsidR="003E0EAD" w:rsidRDefault="003E0EAD" w:rsidP="003E0EAD">
      <w:pPr>
        <w:pStyle w:val="13"/>
      </w:pPr>
      <w:r>
        <w:rPr>
          <w:rFonts w:hint="eastAsia"/>
        </w:rPr>
        <w:t>（</w:t>
      </w:r>
      <w:r>
        <w:t>1）PSC值的测算过程，包括定义参照项目，计算基本公共部门比较值，计算竞争性中立调整值，计算全部风险成本，折现率的确定。</w:t>
      </w:r>
    </w:p>
    <w:p w14:paraId="2FE5FF57" w14:textId="5FEE32DF" w:rsidR="003E0EAD" w:rsidRDefault="003E0EAD" w:rsidP="003E0EAD">
      <w:pPr>
        <w:pStyle w:val="13"/>
      </w:pPr>
      <w:r>
        <w:rPr>
          <w:rFonts w:hint="eastAsia"/>
        </w:rPr>
        <w:t>（</w:t>
      </w:r>
      <w:r>
        <w:t>2）PPP值的测算过程，包括</w:t>
      </w:r>
      <w:r w:rsidR="00B65C82">
        <w:t>PPP</w:t>
      </w:r>
      <w:r>
        <w:t>项目全生命周期内股权投资、运营补贴、风险承担和配套投入等各项财政支出责任的现值。</w:t>
      </w:r>
    </w:p>
    <w:p w14:paraId="25817450" w14:textId="5BCF7F33" w:rsidR="003E0EAD" w:rsidRDefault="003E0EAD" w:rsidP="003E0EAD">
      <w:pPr>
        <w:pStyle w:val="13"/>
      </w:pPr>
      <w:r>
        <w:rPr>
          <w:rFonts w:hint="eastAsia"/>
        </w:rPr>
        <w:t>（</w:t>
      </w:r>
      <w:r>
        <w:t>3）定量评价结果及分析。</w:t>
      </w:r>
    </w:p>
    <w:p w14:paraId="7257F461" w14:textId="77777777" w:rsidR="003E0EAD" w:rsidRDefault="003E0EAD" w:rsidP="003E0EAD">
      <w:pPr>
        <w:pStyle w:val="13"/>
      </w:pPr>
      <w:r>
        <w:rPr>
          <w:rFonts w:hint="eastAsia"/>
        </w:rPr>
        <w:t>（五）评价结论及分析</w:t>
      </w:r>
    </w:p>
    <w:p w14:paraId="33472CD8" w14:textId="77777777" w:rsidR="003E0EAD" w:rsidRDefault="003E0EAD" w:rsidP="003E0EAD">
      <w:pPr>
        <w:pStyle w:val="13"/>
      </w:pPr>
      <w:r>
        <w:rPr>
          <w:rFonts w:hint="eastAsia"/>
        </w:rPr>
        <w:t>评价报告需要说明评价结论，并对评价结论进行必要的分析。</w:t>
      </w:r>
    </w:p>
    <w:p w14:paraId="4C901AD5" w14:textId="77777777" w:rsidR="003E0EAD" w:rsidRDefault="003E0EAD" w:rsidP="003E0EAD">
      <w:pPr>
        <w:pStyle w:val="13"/>
      </w:pPr>
      <w:r>
        <w:t>1、定性评价结论及分析</w:t>
      </w:r>
    </w:p>
    <w:p w14:paraId="4F623857" w14:textId="77777777" w:rsidR="003E0EAD" w:rsidRDefault="003E0EAD" w:rsidP="003E0EAD">
      <w:pPr>
        <w:pStyle w:val="13"/>
      </w:pPr>
      <w:r>
        <w:rPr>
          <w:rFonts w:hint="eastAsia"/>
        </w:rPr>
        <w:t>采用定性评价法进行评价，应说明定性评价结论及专家组意见。</w:t>
      </w:r>
    </w:p>
    <w:p w14:paraId="06184F14" w14:textId="77777777" w:rsidR="003E0EAD" w:rsidRDefault="003E0EAD" w:rsidP="003E0EAD">
      <w:pPr>
        <w:pStyle w:val="13"/>
      </w:pPr>
      <w:r>
        <w:t>2、定量评价结论及分析</w:t>
      </w:r>
    </w:p>
    <w:p w14:paraId="6D9E7433" w14:textId="77777777" w:rsidR="003E0EAD" w:rsidRDefault="003E0EAD" w:rsidP="003E0EAD">
      <w:pPr>
        <w:pStyle w:val="13"/>
      </w:pPr>
      <w:r>
        <w:rPr>
          <w:rFonts w:hint="eastAsia"/>
        </w:rPr>
        <w:t>采用定量评价法进行评价，应说明定量评价结论，并进行敏感性分析。</w:t>
      </w:r>
    </w:p>
    <w:p w14:paraId="72DCC2BC" w14:textId="77777777" w:rsidR="003E0EAD" w:rsidRDefault="003E0EAD" w:rsidP="003E0EAD">
      <w:pPr>
        <w:pStyle w:val="13"/>
      </w:pPr>
      <w:r>
        <w:t>3、最终评价结论的形成</w:t>
      </w:r>
    </w:p>
    <w:p w14:paraId="2DE078CB" w14:textId="4D82CE55" w:rsidR="003E0EAD" w:rsidRDefault="003E0EAD" w:rsidP="003E0EAD">
      <w:pPr>
        <w:pStyle w:val="13"/>
      </w:pPr>
      <w:r>
        <w:rPr>
          <w:rFonts w:hint="eastAsia"/>
        </w:rPr>
        <w:t>对于分别采用定性和定量评价方法的，评价报告应介绍最终评价结论的统筹分析过程。</w:t>
      </w:r>
    </w:p>
    <w:p w14:paraId="1786D918" w14:textId="77777777" w:rsidR="003E0EAD" w:rsidRDefault="003E0EAD" w:rsidP="003E0EAD">
      <w:pPr>
        <w:pStyle w:val="13"/>
      </w:pPr>
      <w:r>
        <w:t>4、相关建议</w:t>
      </w:r>
    </w:p>
    <w:p w14:paraId="2B431CED" w14:textId="77777777" w:rsidR="003E0EAD" w:rsidRDefault="003E0EAD" w:rsidP="003E0EAD">
      <w:pPr>
        <w:pStyle w:val="13"/>
      </w:pPr>
      <w:r>
        <w:rPr>
          <w:rFonts w:hint="eastAsia"/>
        </w:rPr>
        <w:t>评价报告需有针对性地对项目存在的不足提出改进措施和建议。</w:t>
      </w:r>
    </w:p>
    <w:p w14:paraId="48B97435" w14:textId="77777777" w:rsidR="003E0EAD" w:rsidRDefault="003E0EAD" w:rsidP="003E0EAD">
      <w:pPr>
        <w:pStyle w:val="13"/>
      </w:pPr>
      <w:r>
        <w:t>5、评价报告使用限制等其他需要说明的问题</w:t>
      </w:r>
    </w:p>
    <w:p w14:paraId="5A1982A0" w14:textId="77777777" w:rsidR="003E0EAD" w:rsidRDefault="003E0EAD" w:rsidP="003E0EAD">
      <w:pPr>
        <w:pStyle w:val="13"/>
      </w:pPr>
      <w:r>
        <w:rPr>
          <w:rFonts w:hint="eastAsia"/>
        </w:rPr>
        <w:t>物有所值评价报告的使用限制说明通常包括：</w:t>
      </w:r>
    </w:p>
    <w:p w14:paraId="1FB51D54" w14:textId="2E326048" w:rsidR="003E0EAD" w:rsidRDefault="003E0EAD" w:rsidP="003E0EAD">
      <w:pPr>
        <w:pStyle w:val="13"/>
      </w:pPr>
      <w:r>
        <w:rPr>
          <w:rFonts w:hint="eastAsia"/>
        </w:rPr>
        <w:lastRenderedPageBreak/>
        <w:t>（</w:t>
      </w:r>
      <w:r>
        <w:t>1）物有所值评价报告只能用于评价报告载明的评价目的；</w:t>
      </w:r>
    </w:p>
    <w:p w14:paraId="0232D3E5" w14:textId="5DA475FB" w:rsidR="003E0EAD" w:rsidRDefault="003E0EAD" w:rsidP="003E0EAD">
      <w:pPr>
        <w:pStyle w:val="13"/>
      </w:pPr>
      <w:r>
        <w:rPr>
          <w:rFonts w:hint="eastAsia"/>
        </w:rPr>
        <w:t>（</w:t>
      </w:r>
      <w:r>
        <w:t>2）物有所值评价报告只能由评价报告载明的评价报告使用者使用；</w:t>
      </w:r>
    </w:p>
    <w:p w14:paraId="72F7AA64" w14:textId="094F177F" w:rsidR="003E0EAD" w:rsidRDefault="003E0EAD" w:rsidP="003E0EAD">
      <w:pPr>
        <w:pStyle w:val="13"/>
      </w:pPr>
      <w:r>
        <w:rPr>
          <w:rFonts w:hint="eastAsia"/>
        </w:rPr>
        <w:t>（</w:t>
      </w:r>
      <w:r>
        <w:t>3）未征得委托方、相关政府部门或出具物有所值评价报告的评估机构同意，物有所值评价报告的内容不得被摘抄、引用或披露于公开媒体，法律、法规规定及相关当事方另有约定的除外；</w:t>
      </w:r>
    </w:p>
    <w:p w14:paraId="2250B2FF" w14:textId="3A451989" w:rsidR="003E0EAD" w:rsidRDefault="003E0EAD" w:rsidP="003E0EAD">
      <w:pPr>
        <w:pStyle w:val="13"/>
      </w:pPr>
      <w:r>
        <w:rPr>
          <w:rFonts w:hint="eastAsia"/>
        </w:rPr>
        <w:t>（</w:t>
      </w:r>
      <w:r>
        <w:t>4）物有所值评价程序受限造成的评价报告的使用限制。</w:t>
      </w:r>
    </w:p>
    <w:p w14:paraId="0CEFA400" w14:textId="77777777" w:rsidR="003E0EAD" w:rsidRDefault="003E0EAD" w:rsidP="003E0EAD">
      <w:pPr>
        <w:pStyle w:val="13"/>
      </w:pPr>
      <w:r>
        <w:rPr>
          <w:rFonts w:hint="eastAsia"/>
        </w:rPr>
        <w:t>（六）评价报告日</w:t>
      </w:r>
    </w:p>
    <w:p w14:paraId="607352CA" w14:textId="77777777" w:rsidR="003E0EAD" w:rsidRDefault="003E0EAD" w:rsidP="003E0EAD">
      <w:pPr>
        <w:pStyle w:val="13"/>
      </w:pPr>
      <w:r>
        <w:rPr>
          <w:rFonts w:hint="eastAsia"/>
        </w:rPr>
        <w:t>评价报告应载明评价报告日。</w:t>
      </w:r>
    </w:p>
    <w:p w14:paraId="433BF177" w14:textId="77777777" w:rsidR="003E0EAD" w:rsidRDefault="003E0EAD" w:rsidP="003E0EAD">
      <w:pPr>
        <w:pStyle w:val="13"/>
      </w:pPr>
      <w:r>
        <w:rPr>
          <w:rFonts w:hint="eastAsia"/>
        </w:rPr>
        <w:t>评价报告日通常为评估机构形成最终评价结论的日期。</w:t>
      </w:r>
    </w:p>
    <w:p w14:paraId="6DAB3327" w14:textId="77777777" w:rsidR="003E0EAD" w:rsidRDefault="003E0EAD" w:rsidP="003E0EAD">
      <w:pPr>
        <w:pStyle w:val="13"/>
      </w:pPr>
      <w:r>
        <w:rPr>
          <w:rFonts w:hint="eastAsia"/>
        </w:rPr>
        <w:t>（七）评估机构盖章</w:t>
      </w:r>
    </w:p>
    <w:p w14:paraId="54A258E1" w14:textId="77777777" w:rsidR="003E0EAD" w:rsidRDefault="003E0EAD" w:rsidP="003E0EAD">
      <w:pPr>
        <w:pStyle w:val="13"/>
      </w:pPr>
      <w:r>
        <w:rPr>
          <w:rFonts w:hint="eastAsia"/>
        </w:rPr>
        <w:t>评价报告应当加盖评估机构公章。</w:t>
      </w:r>
    </w:p>
    <w:p w14:paraId="5BD63F99" w14:textId="07F171AB" w:rsidR="003E0EAD" w:rsidRDefault="003E0EAD" w:rsidP="003E0EAD">
      <w:pPr>
        <w:pStyle w:val="ab"/>
        <w:spacing w:before="62" w:after="62"/>
        <w:ind w:firstLine="482"/>
      </w:pPr>
      <w:r>
        <w:rPr>
          <w:rFonts w:hint="eastAsia"/>
        </w:rPr>
        <w:t>三、评价报告附件</w:t>
      </w:r>
    </w:p>
    <w:p w14:paraId="4552C818" w14:textId="77777777" w:rsidR="003E0EAD" w:rsidRDefault="003E0EAD" w:rsidP="003E0EAD">
      <w:pPr>
        <w:pStyle w:val="13"/>
      </w:pPr>
      <w:r>
        <w:rPr>
          <w:rFonts w:hint="eastAsia"/>
        </w:rPr>
        <w:t>评价报告附件通常包括：</w:t>
      </w:r>
    </w:p>
    <w:p w14:paraId="13D30FB2" w14:textId="77777777" w:rsidR="003E0EAD" w:rsidRDefault="003E0EAD" w:rsidP="003E0EAD">
      <w:pPr>
        <w:pStyle w:val="13"/>
      </w:pPr>
      <w:r>
        <w:rPr>
          <w:rFonts w:hint="eastAsia"/>
        </w:rPr>
        <w:t>（一）物有所值评价委托书；</w:t>
      </w:r>
    </w:p>
    <w:p w14:paraId="230DE460" w14:textId="77777777" w:rsidR="003E0EAD" w:rsidRDefault="003E0EAD" w:rsidP="003E0EAD">
      <w:pPr>
        <w:pStyle w:val="13"/>
      </w:pPr>
      <w:r>
        <w:rPr>
          <w:rFonts w:hint="eastAsia"/>
        </w:rPr>
        <w:t>（二）项目（初步）实施方案的摘要或重要内容；</w:t>
      </w:r>
    </w:p>
    <w:p w14:paraId="66FF0001" w14:textId="77777777" w:rsidR="003E0EAD" w:rsidRDefault="003E0EAD" w:rsidP="003E0EAD">
      <w:pPr>
        <w:pStyle w:val="13"/>
      </w:pPr>
      <w:r>
        <w:rPr>
          <w:rFonts w:hint="eastAsia"/>
        </w:rPr>
        <w:t>（三）项目产出说明；</w:t>
      </w:r>
    </w:p>
    <w:p w14:paraId="5FB00AFE" w14:textId="77777777" w:rsidR="003E0EAD" w:rsidRDefault="003E0EAD" w:rsidP="003E0EAD">
      <w:pPr>
        <w:pStyle w:val="13"/>
      </w:pPr>
      <w:r>
        <w:rPr>
          <w:rFonts w:hint="eastAsia"/>
        </w:rPr>
        <w:t>（四）可</w:t>
      </w:r>
      <w:proofErr w:type="gramStart"/>
      <w:r>
        <w:rPr>
          <w:rFonts w:hint="eastAsia"/>
        </w:rPr>
        <w:t>研</w:t>
      </w:r>
      <w:proofErr w:type="gramEnd"/>
      <w:r>
        <w:rPr>
          <w:rFonts w:hint="eastAsia"/>
        </w:rPr>
        <w:t>报告的摘要或重要内容；</w:t>
      </w:r>
    </w:p>
    <w:p w14:paraId="7FA289F0" w14:textId="77777777" w:rsidR="003E0EAD" w:rsidRDefault="003E0EAD" w:rsidP="003E0EAD">
      <w:pPr>
        <w:pStyle w:val="13"/>
      </w:pPr>
      <w:r>
        <w:rPr>
          <w:rFonts w:hint="eastAsia"/>
        </w:rPr>
        <w:t>（五）设计文件；</w:t>
      </w:r>
    </w:p>
    <w:p w14:paraId="1992A9F6" w14:textId="77777777" w:rsidR="003E0EAD" w:rsidRDefault="003E0EAD" w:rsidP="003E0EAD">
      <w:pPr>
        <w:pStyle w:val="13"/>
      </w:pPr>
      <w:r>
        <w:rPr>
          <w:rFonts w:hint="eastAsia"/>
        </w:rPr>
        <w:t>（六）存量公共资产的历史资料；</w:t>
      </w:r>
    </w:p>
    <w:p w14:paraId="2A8EF9E4" w14:textId="73388C92" w:rsidR="003E0EAD" w:rsidRDefault="003E0EAD" w:rsidP="003E0EAD">
      <w:pPr>
        <w:pStyle w:val="13"/>
      </w:pPr>
      <w:r>
        <w:rPr>
          <w:rFonts w:hint="eastAsia"/>
        </w:rPr>
        <w:t>（七）</w:t>
      </w:r>
      <w:r>
        <w:t>PPP项目合同的摘要或重要内容；</w:t>
      </w:r>
    </w:p>
    <w:p w14:paraId="4A156A28" w14:textId="77777777" w:rsidR="003E0EAD" w:rsidRDefault="003E0EAD" w:rsidP="003E0EAD">
      <w:pPr>
        <w:pStyle w:val="13"/>
      </w:pPr>
      <w:r>
        <w:rPr>
          <w:rFonts w:hint="eastAsia"/>
        </w:rPr>
        <w:t>（八）绩效监测报告的摘要或重要内容；</w:t>
      </w:r>
    </w:p>
    <w:p w14:paraId="32966191" w14:textId="77777777" w:rsidR="003E0EAD" w:rsidRDefault="003E0EAD" w:rsidP="003E0EAD">
      <w:pPr>
        <w:pStyle w:val="13"/>
      </w:pPr>
      <w:r>
        <w:rPr>
          <w:rFonts w:hint="eastAsia"/>
        </w:rPr>
        <w:t>（九）中期评估报告的摘要或重要内容；</w:t>
      </w:r>
    </w:p>
    <w:p w14:paraId="4E29B3C5" w14:textId="77777777" w:rsidR="003E0EAD" w:rsidRDefault="003E0EAD" w:rsidP="003E0EAD">
      <w:pPr>
        <w:pStyle w:val="13"/>
      </w:pPr>
      <w:r>
        <w:rPr>
          <w:rFonts w:hint="eastAsia"/>
        </w:rPr>
        <w:t>（十）定性分析专家打分表；</w:t>
      </w:r>
    </w:p>
    <w:p w14:paraId="30E259F8" w14:textId="77777777" w:rsidR="003E0EAD" w:rsidRDefault="003E0EAD" w:rsidP="003E0EAD">
      <w:pPr>
        <w:pStyle w:val="13"/>
      </w:pPr>
      <w:r>
        <w:rPr>
          <w:rFonts w:hint="eastAsia"/>
        </w:rPr>
        <w:t>（十一）主要评价依据；</w:t>
      </w:r>
    </w:p>
    <w:p w14:paraId="76A24AEB" w14:textId="77777777" w:rsidR="003E0EAD" w:rsidRDefault="003E0EAD" w:rsidP="003E0EAD">
      <w:pPr>
        <w:pStyle w:val="13"/>
      </w:pPr>
      <w:r>
        <w:rPr>
          <w:rFonts w:hint="eastAsia"/>
        </w:rPr>
        <w:t>（十二）其他支持评价结论的相关资料；</w:t>
      </w:r>
    </w:p>
    <w:p w14:paraId="4B2112AE" w14:textId="77777777" w:rsidR="003E0EAD" w:rsidRDefault="003E0EAD" w:rsidP="003E0EAD">
      <w:pPr>
        <w:pStyle w:val="13"/>
      </w:pPr>
      <w:r>
        <w:rPr>
          <w:rFonts w:hint="eastAsia"/>
        </w:rPr>
        <w:t>（十三）其他重要文件。</w:t>
      </w:r>
    </w:p>
    <w:p w14:paraId="2D033EF7" w14:textId="544B4FA2" w:rsidR="003E0EAD" w:rsidRDefault="003E0EAD" w:rsidP="00AF7342">
      <w:pPr>
        <w:pStyle w:val="a9"/>
        <w:spacing w:before="62" w:after="62"/>
      </w:pPr>
      <w:r>
        <w:rPr>
          <w:rFonts w:hint="eastAsia"/>
        </w:rPr>
        <w:t>第四章</w:t>
      </w:r>
      <w:r w:rsidR="00B65C82">
        <w:t>PPP</w:t>
      </w:r>
      <w:r>
        <w:t>项目财政承受能力论证具体操作要求</w:t>
      </w:r>
    </w:p>
    <w:p w14:paraId="70936211" w14:textId="77777777" w:rsidR="003E0EAD" w:rsidRDefault="003E0EAD" w:rsidP="00AF7342">
      <w:pPr>
        <w:pStyle w:val="a9"/>
        <w:spacing w:before="62" w:after="62"/>
      </w:pPr>
      <w:r>
        <w:rPr>
          <w:rFonts w:hint="eastAsia"/>
        </w:rPr>
        <w:t>第一节</w:t>
      </w:r>
      <w:r>
        <w:t xml:space="preserve"> 财政承受能力论证的内容及开展时点</w:t>
      </w:r>
    </w:p>
    <w:p w14:paraId="61262C4C" w14:textId="77777777" w:rsidR="003E0EAD" w:rsidRDefault="003E0EAD" w:rsidP="003E0EAD">
      <w:pPr>
        <w:pStyle w:val="ab"/>
        <w:spacing w:before="62" w:after="62"/>
        <w:ind w:firstLine="482"/>
      </w:pPr>
      <w:r>
        <w:rPr>
          <w:rFonts w:hint="eastAsia"/>
        </w:rPr>
        <w:t>一、财政承受能力论证的内容</w:t>
      </w:r>
    </w:p>
    <w:p w14:paraId="107E3ED9" w14:textId="7CF897C9" w:rsidR="003E0EAD" w:rsidRDefault="003E0EAD" w:rsidP="003E0EAD">
      <w:pPr>
        <w:pStyle w:val="13"/>
      </w:pPr>
      <w:r>
        <w:rPr>
          <w:rFonts w:hint="eastAsia"/>
        </w:rPr>
        <w:t>财政承受能力论证包括财政支出能力评估以及行业和领域均衡性评估。财政支出能力评估，是根据</w:t>
      </w:r>
      <w:r w:rsidR="00B65C82">
        <w:t>PPP</w:t>
      </w:r>
      <w:r>
        <w:t>项目预算支出责任，评估</w:t>
      </w:r>
      <w:r w:rsidR="00B65C82">
        <w:t>PPP</w:t>
      </w:r>
      <w:r>
        <w:t>项目实施对当前及以后年度财政支出的影响。行业和领域均衡性评估，是根据</w:t>
      </w:r>
      <w:r w:rsidR="00B65C82">
        <w:t>PPP</w:t>
      </w:r>
      <w:r>
        <w:t>模式适用的行业和领域范围，经济社会发展需要和公众对公共服务的需求，平衡不同行业和领域</w:t>
      </w:r>
      <w:r w:rsidR="00B65C82">
        <w:t>PPP</w:t>
      </w:r>
      <w:r>
        <w:t>项目，防止</w:t>
      </w:r>
      <w:r>
        <w:lastRenderedPageBreak/>
        <w:t>某一行业和领域</w:t>
      </w:r>
      <w:r w:rsidR="00B65C82">
        <w:t>PPP</w:t>
      </w:r>
      <w:r>
        <w:t>项目过于集中。</w:t>
      </w:r>
    </w:p>
    <w:p w14:paraId="563DB923" w14:textId="77777777" w:rsidR="003E0EAD" w:rsidRDefault="003E0EAD" w:rsidP="003E0EAD">
      <w:pPr>
        <w:pStyle w:val="ab"/>
        <w:spacing w:before="62" w:after="62"/>
        <w:ind w:firstLine="482"/>
      </w:pPr>
      <w:r>
        <w:rPr>
          <w:rFonts w:hint="eastAsia"/>
        </w:rPr>
        <w:t>二、财政承受能力论证工作的开展时点</w:t>
      </w:r>
    </w:p>
    <w:p w14:paraId="18F4574C" w14:textId="77777777" w:rsidR="003E0EAD" w:rsidRDefault="003E0EAD" w:rsidP="003E0EAD">
      <w:pPr>
        <w:pStyle w:val="13"/>
      </w:pPr>
      <w:r>
        <w:rPr>
          <w:rFonts w:hint="eastAsia"/>
        </w:rPr>
        <w:t>财政承受能力论证工作通常在项目识别、项目准备、项目采购环节且通过物有所值评价后开展。在项目执行环节，为了对财政承受能力进行动态监测和预警，可以定期开展财政承受能力论证工作。</w:t>
      </w:r>
    </w:p>
    <w:p w14:paraId="70C5C171" w14:textId="77777777" w:rsidR="003E0EAD" w:rsidRDefault="003E0EAD" w:rsidP="00AF7342">
      <w:pPr>
        <w:pStyle w:val="a9"/>
        <w:spacing w:before="62" w:after="62"/>
      </w:pPr>
      <w:r>
        <w:rPr>
          <w:rFonts w:hint="eastAsia"/>
        </w:rPr>
        <w:t>第二节</w:t>
      </w:r>
      <w:r>
        <w:t xml:space="preserve"> 财政承受能力论证的相关要素</w:t>
      </w:r>
    </w:p>
    <w:p w14:paraId="6D9B0D26" w14:textId="77777777" w:rsidR="003E0EAD" w:rsidRDefault="003E0EAD" w:rsidP="003E0EAD">
      <w:pPr>
        <w:pStyle w:val="13"/>
      </w:pPr>
      <w:r>
        <w:rPr>
          <w:rFonts w:hint="eastAsia"/>
        </w:rPr>
        <w:t>评估机构执行财政承受能力论证业务，需要明确财政承受能力论证的相关要素。财政承受能力论证的相关要素主要包括委托方和项目实施机构、论证对象、论证范围、论证期间、论证依据、论证假设、论证方法、论证程序等八大要素。</w:t>
      </w:r>
    </w:p>
    <w:p w14:paraId="705469CE" w14:textId="77777777" w:rsidR="003E0EAD" w:rsidRDefault="003E0EAD" w:rsidP="003E0EAD">
      <w:pPr>
        <w:pStyle w:val="ab"/>
        <w:spacing w:before="62" w:after="62"/>
        <w:ind w:firstLine="482"/>
      </w:pPr>
      <w:r>
        <w:rPr>
          <w:rFonts w:hint="eastAsia"/>
        </w:rPr>
        <w:t>一、委托方和项目实施机构</w:t>
      </w:r>
    </w:p>
    <w:p w14:paraId="716BFF8A" w14:textId="77777777" w:rsidR="003E0EAD" w:rsidRDefault="003E0EAD" w:rsidP="003E0EAD">
      <w:pPr>
        <w:pStyle w:val="13"/>
      </w:pPr>
      <w:r>
        <w:rPr>
          <w:rFonts w:hint="eastAsia"/>
        </w:rPr>
        <w:t>委托方通常为财政部门（政府和社会资本合作中心），也可能为行业主管部门。项目实施机构是代表政府一方负责项目准备、采购、监管和移交等工作的机构，政府或其指定的有关职能部门或事业单位可作为项目实施机构。委托方为论证报告使用者。</w:t>
      </w:r>
    </w:p>
    <w:p w14:paraId="57374D23" w14:textId="77777777" w:rsidR="003E0EAD" w:rsidRDefault="003E0EAD" w:rsidP="003E0EAD">
      <w:pPr>
        <w:pStyle w:val="ab"/>
        <w:spacing w:before="62" w:after="62"/>
        <w:ind w:firstLine="482"/>
      </w:pPr>
      <w:r>
        <w:rPr>
          <w:rFonts w:hint="eastAsia"/>
        </w:rPr>
        <w:t>二、论证对象</w:t>
      </w:r>
    </w:p>
    <w:p w14:paraId="4F3761DA" w14:textId="77777777" w:rsidR="003E0EAD" w:rsidRDefault="003E0EAD" w:rsidP="003E0EAD">
      <w:pPr>
        <w:pStyle w:val="13"/>
      </w:pPr>
      <w:r>
        <w:rPr>
          <w:rFonts w:hint="eastAsia"/>
        </w:rPr>
        <w:t>财政承受能力论证的论证对象，是指分析评价财政承受能力对应的本级政府。</w:t>
      </w:r>
    </w:p>
    <w:p w14:paraId="7F97293A" w14:textId="5B75BF43" w:rsidR="003E0EAD" w:rsidRDefault="003E0EAD" w:rsidP="003E0EAD">
      <w:pPr>
        <w:pStyle w:val="ab"/>
        <w:spacing w:before="62" w:after="62"/>
        <w:ind w:firstLine="482"/>
      </w:pPr>
      <w:r>
        <w:rPr>
          <w:rFonts w:hint="eastAsia"/>
        </w:rPr>
        <w:t>三、论证范围</w:t>
      </w:r>
    </w:p>
    <w:p w14:paraId="65159D64" w14:textId="31AF7B1C" w:rsidR="003E0EAD" w:rsidRDefault="003E0EAD" w:rsidP="003E0EAD">
      <w:pPr>
        <w:pStyle w:val="13"/>
      </w:pPr>
      <w:r>
        <w:rPr>
          <w:rFonts w:hint="eastAsia"/>
        </w:rPr>
        <w:t>财政承受能力论证的论证范围，是指分析评价某一级政府的财政承受能力所对应需要财政资金支持的</w:t>
      </w:r>
      <w:r w:rsidR="00B65C82">
        <w:t>PPP</w:t>
      </w:r>
      <w:r>
        <w:t>项目范围，包括财政支出能力评估的评估范围以及行业和领域均衡性评估的评估范围。</w:t>
      </w:r>
    </w:p>
    <w:p w14:paraId="217BFEA9" w14:textId="40225D58" w:rsidR="003E0EAD" w:rsidRDefault="003E0EAD" w:rsidP="003E0EAD">
      <w:pPr>
        <w:pStyle w:val="13"/>
      </w:pPr>
      <w:r>
        <w:rPr>
          <w:rFonts w:hint="eastAsia"/>
        </w:rPr>
        <w:t>财政支出能力评估的评估范围，可区分为单个项目的财政支出能力评估和全部项目的财政支出能力评估。财政支出能力评估，是指识别、测算单个</w:t>
      </w:r>
      <w:r w:rsidR="00B65C82">
        <w:t>PPP</w:t>
      </w:r>
      <w:r>
        <w:t>项目的财政支出责</w:t>
      </w:r>
      <w:r>
        <w:rPr>
          <w:rFonts w:hint="eastAsia"/>
        </w:rPr>
        <w:t>任，评估</w:t>
      </w:r>
      <w:r w:rsidR="00B65C82">
        <w:t>PPP</w:t>
      </w:r>
      <w:r>
        <w:t>项目实施对当前及以后年度本级财政支出的影响。全部项目的财政支出能力评估，是指识别、测算某一级财政负有支出责任的所有已实施和</w:t>
      </w:r>
      <w:proofErr w:type="gramStart"/>
      <w:r>
        <w:t>拟实施</w:t>
      </w:r>
      <w:proofErr w:type="gramEnd"/>
      <w:r w:rsidR="00B65C82">
        <w:t>PPP</w:t>
      </w:r>
      <w:r>
        <w:t>项目的财政支出责任，评估所有</w:t>
      </w:r>
      <w:r w:rsidR="00B65C82">
        <w:t>PPP</w:t>
      </w:r>
      <w:r>
        <w:t>项目实施对当前及今后年度该级财政支出的影响。</w:t>
      </w:r>
    </w:p>
    <w:p w14:paraId="2CE56992" w14:textId="6DF43CDC" w:rsidR="003E0EAD" w:rsidRDefault="003E0EAD" w:rsidP="003E0EAD">
      <w:pPr>
        <w:pStyle w:val="13"/>
      </w:pPr>
      <w:r>
        <w:rPr>
          <w:rFonts w:hint="eastAsia"/>
        </w:rPr>
        <w:t>行业和领域均衡性评估的评估范围，一般为论证对象承担支出责任的所有已实施和</w:t>
      </w:r>
      <w:proofErr w:type="gramStart"/>
      <w:r>
        <w:rPr>
          <w:rFonts w:hint="eastAsia"/>
        </w:rPr>
        <w:t>拟实施</w:t>
      </w:r>
      <w:proofErr w:type="gramEnd"/>
      <w:r w:rsidR="00B65C82">
        <w:t>PPP</w:t>
      </w:r>
      <w:r>
        <w:t>项目。</w:t>
      </w:r>
    </w:p>
    <w:p w14:paraId="780FC726" w14:textId="77777777" w:rsidR="003E0EAD" w:rsidRDefault="003E0EAD" w:rsidP="003E0EAD">
      <w:pPr>
        <w:pStyle w:val="ab"/>
        <w:spacing w:before="62" w:after="62"/>
        <w:ind w:firstLine="482"/>
      </w:pPr>
      <w:r>
        <w:rPr>
          <w:rFonts w:hint="eastAsia"/>
        </w:rPr>
        <w:t>四、论证期间</w:t>
      </w:r>
    </w:p>
    <w:p w14:paraId="1057F717" w14:textId="77777777" w:rsidR="003E0EAD" w:rsidRDefault="003E0EAD" w:rsidP="003E0EAD">
      <w:pPr>
        <w:pStyle w:val="13"/>
      </w:pPr>
      <w:r>
        <w:rPr>
          <w:rFonts w:hint="eastAsia"/>
        </w:rPr>
        <w:t>财政承受能力论证</w:t>
      </w:r>
      <w:proofErr w:type="gramStart"/>
      <w:r>
        <w:rPr>
          <w:rFonts w:hint="eastAsia"/>
        </w:rPr>
        <w:t>期间指开展</w:t>
      </w:r>
      <w:proofErr w:type="gramEnd"/>
      <w:r>
        <w:rPr>
          <w:rFonts w:hint="eastAsia"/>
        </w:rPr>
        <w:t>财政承受能力论证过程需要考虑或测算的起止时间长度。通常情况下，单个项目的财政支出能力评估所对应的论证期间通常与该项目合作期间保持一致。全部项目的财政支出能力评估所对应的论证期间一般应涵盖所</w:t>
      </w:r>
      <w:r>
        <w:rPr>
          <w:rFonts w:hint="eastAsia"/>
        </w:rPr>
        <w:lastRenderedPageBreak/>
        <w:t>有项目的合作期间。</w:t>
      </w:r>
    </w:p>
    <w:p w14:paraId="19AEF19E" w14:textId="77777777" w:rsidR="003E0EAD" w:rsidRDefault="003E0EAD" w:rsidP="003E0EAD">
      <w:pPr>
        <w:pStyle w:val="ab"/>
        <w:spacing w:before="62" w:after="62"/>
        <w:ind w:firstLine="482"/>
      </w:pPr>
      <w:r>
        <w:rPr>
          <w:rFonts w:hint="eastAsia"/>
        </w:rPr>
        <w:t>五、论证依据</w:t>
      </w:r>
    </w:p>
    <w:p w14:paraId="67780014" w14:textId="77777777" w:rsidR="003E0EAD" w:rsidRDefault="003E0EAD" w:rsidP="003E0EAD">
      <w:pPr>
        <w:pStyle w:val="13"/>
      </w:pPr>
      <w:r>
        <w:rPr>
          <w:rFonts w:hint="eastAsia"/>
        </w:rPr>
        <w:t>论证依据通常包括论证的行为依据、法律法规依据、论证准则依据、其他依据或参考资料四个方面。</w:t>
      </w:r>
    </w:p>
    <w:p w14:paraId="01A7FCA0" w14:textId="77777777" w:rsidR="003E0EAD" w:rsidRDefault="003E0EAD" w:rsidP="003E0EAD">
      <w:pPr>
        <w:pStyle w:val="ab"/>
        <w:spacing w:before="62" w:after="62"/>
        <w:ind w:firstLine="482"/>
      </w:pPr>
      <w:r>
        <w:rPr>
          <w:rFonts w:hint="eastAsia"/>
        </w:rPr>
        <w:t>六、论证假设</w:t>
      </w:r>
    </w:p>
    <w:p w14:paraId="2493352F" w14:textId="77777777" w:rsidR="003E0EAD" w:rsidRDefault="003E0EAD" w:rsidP="003E0EAD">
      <w:pPr>
        <w:pStyle w:val="13"/>
      </w:pPr>
      <w:r>
        <w:rPr>
          <w:rFonts w:hint="eastAsia"/>
        </w:rPr>
        <w:t>开展财政支出能力评估，需要设定合理的假设条件。假设条件反映财政支出能力评估过程中不确定因素的取值过程，有助于论证报告使用者正确理解并合理运用财政承受能力论证结论。</w:t>
      </w:r>
    </w:p>
    <w:p w14:paraId="3E6C0240" w14:textId="77777777" w:rsidR="003E0EAD" w:rsidRDefault="003E0EAD" w:rsidP="003E0EAD">
      <w:pPr>
        <w:pStyle w:val="ab"/>
        <w:spacing w:before="62" w:after="62"/>
        <w:ind w:firstLine="482"/>
      </w:pPr>
      <w:r>
        <w:rPr>
          <w:rFonts w:hint="eastAsia"/>
        </w:rPr>
        <w:t>七、论证方法</w:t>
      </w:r>
    </w:p>
    <w:p w14:paraId="509F1CBD" w14:textId="77777777" w:rsidR="003E0EAD" w:rsidRDefault="003E0EAD" w:rsidP="003E0EAD">
      <w:pPr>
        <w:pStyle w:val="13"/>
      </w:pPr>
      <w:r>
        <w:rPr>
          <w:rFonts w:hint="eastAsia"/>
        </w:rPr>
        <w:t>财政承受能力论证方法包括定量分析法和定性分析法。</w:t>
      </w:r>
    </w:p>
    <w:p w14:paraId="031E6BC3" w14:textId="6805EFE7" w:rsidR="003E0EAD" w:rsidRDefault="003E0EAD" w:rsidP="003E0EAD">
      <w:pPr>
        <w:pStyle w:val="13"/>
      </w:pPr>
      <w:r>
        <w:rPr>
          <w:rFonts w:hint="eastAsia"/>
        </w:rPr>
        <w:t>财政支出能力论证定量分析法，是通过测算</w:t>
      </w:r>
      <w:r w:rsidR="00B65C82">
        <w:t>PPP</w:t>
      </w:r>
      <w:r>
        <w:t>项目的支出责任和论证对象的未来年度一般公共预算支出数额，并反映</w:t>
      </w:r>
      <w:r w:rsidR="00B65C82">
        <w:t>PPP</w:t>
      </w:r>
      <w:r>
        <w:t>项目的支出责任占论证对象未来年度一般公共预算支出数额的比例，</w:t>
      </w:r>
      <w:proofErr w:type="gramStart"/>
      <w:r>
        <w:t>作出</w:t>
      </w:r>
      <w:proofErr w:type="gramEnd"/>
      <w:r>
        <w:t>财政支出能力的评估论。</w:t>
      </w:r>
    </w:p>
    <w:p w14:paraId="4118B6EF" w14:textId="77777777" w:rsidR="003E0EAD" w:rsidRDefault="003E0EAD" w:rsidP="003E0EAD">
      <w:pPr>
        <w:pStyle w:val="13"/>
      </w:pPr>
      <w:r>
        <w:rPr>
          <w:rFonts w:hint="eastAsia"/>
        </w:rPr>
        <w:t>行业和领域均衡性评估，可结合运用定量分析法和定性分析法。采用定量分析法测算各行业和领域的集中度指标，采用定性分析法对行业和领域均衡性进行客观分析。</w:t>
      </w:r>
    </w:p>
    <w:p w14:paraId="6C2ED746" w14:textId="77777777" w:rsidR="003E0EAD" w:rsidRDefault="003E0EAD" w:rsidP="003E0EAD">
      <w:pPr>
        <w:pStyle w:val="ab"/>
        <w:spacing w:before="62" w:after="62"/>
        <w:ind w:firstLine="482"/>
      </w:pPr>
      <w:r>
        <w:rPr>
          <w:rFonts w:hint="eastAsia"/>
        </w:rPr>
        <w:t>八、论证程序</w:t>
      </w:r>
    </w:p>
    <w:p w14:paraId="5C059136" w14:textId="77777777" w:rsidR="003E0EAD" w:rsidRDefault="003E0EAD" w:rsidP="003E0EAD">
      <w:pPr>
        <w:pStyle w:val="13"/>
      </w:pPr>
      <w:r>
        <w:rPr>
          <w:rFonts w:hint="eastAsia"/>
        </w:rPr>
        <w:t>财政承受能力论证程序，具体参照本操作指引中业务操作程序并结合财政承受能力论证的特定要求进行拟定。</w:t>
      </w:r>
    </w:p>
    <w:p w14:paraId="5CA0BD53" w14:textId="77777777" w:rsidR="003E0EAD" w:rsidRDefault="003E0EAD" w:rsidP="00AF7342">
      <w:pPr>
        <w:pStyle w:val="a9"/>
        <w:spacing w:before="62" w:after="62"/>
      </w:pPr>
      <w:r>
        <w:rPr>
          <w:rFonts w:hint="eastAsia"/>
        </w:rPr>
        <w:t>第三节</w:t>
      </w:r>
      <w:r>
        <w:t xml:space="preserve"> 财政支出能力评估</w:t>
      </w:r>
    </w:p>
    <w:p w14:paraId="0B315B3F" w14:textId="77777777" w:rsidR="003E0EAD" w:rsidRDefault="003E0EAD" w:rsidP="003E0EAD">
      <w:pPr>
        <w:pStyle w:val="ab"/>
        <w:spacing w:before="62" w:after="62"/>
        <w:ind w:firstLine="482"/>
      </w:pPr>
      <w:r>
        <w:rPr>
          <w:rFonts w:hint="eastAsia"/>
        </w:rPr>
        <w:t>一、财政支出能力评估应取得的资料</w:t>
      </w:r>
    </w:p>
    <w:p w14:paraId="7F8640C5" w14:textId="77777777" w:rsidR="003E0EAD" w:rsidRDefault="003E0EAD" w:rsidP="003E0EAD">
      <w:pPr>
        <w:pStyle w:val="13"/>
      </w:pPr>
      <w:r>
        <w:rPr>
          <w:rFonts w:hint="eastAsia"/>
        </w:rPr>
        <w:t>评估机构在执行财政支出能力评估之前，通常需要收集评估所需的相关资料。财政支出能力评估所需的相关资料主要包括：</w:t>
      </w:r>
    </w:p>
    <w:p w14:paraId="5C6FD14E" w14:textId="77777777" w:rsidR="003E0EAD" w:rsidRDefault="003E0EAD" w:rsidP="003E0EAD">
      <w:pPr>
        <w:pStyle w:val="13"/>
      </w:pPr>
      <w:r>
        <w:rPr>
          <w:rFonts w:hint="eastAsia"/>
        </w:rPr>
        <w:t>（一）政府与社会资本合作相关法律法规、规章制度及政策；</w:t>
      </w:r>
    </w:p>
    <w:p w14:paraId="48BD9466" w14:textId="6755D8D3" w:rsidR="003E0EAD" w:rsidRDefault="003E0EAD" w:rsidP="003E0EAD">
      <w:pPr>
        <w:pStyle w:val="13"/>
      </w:pPr>
      <w:r>
        <w:rPr>
          <w:rFonts w:hint="eastAsia"/>
        </w:rPr>
        <w:t>（二）论证对象前五年一般公共预算收支情况，当年拟用于</w:t>
      </w:r>
      <w:r w:rsidR="00B65C82">
        <w:t>PPP</w:t>
      </w:r>
      <w:r>
        <w:t>项目预算支出情况；</w:t>
      </w:r>
    </w:p>
    <w:p w14:paraId="2BF2D895" w14:textId="77777777" w:rsidR="003E0EAD" w:rsidRDefault="003E0EAD" w:rsidP="003E0EAD">
      <w:pPr>
        <w:pStyle w:val="13"/>
      </w:pPr>
      <w:r>
        <w:rPr>
          <w:rFonts w:hint="eastAsia"/>
        </w:rPr>
        <w:t>（三）项目物有所值评价报告；</w:t>
      </w:r>
    </w:p>
    <w:p w14:paraId="1E6BA991" w14:textId="77777777" w:rsidR="003E0EAD" w:rsidRDefault="003E0EAD" w:rsidP="003E0EAD">
      <w:pPr>
        <w:pStyle w:val="13"/>
      </w:pPr>
      <w:r>
        <w:rPr>
          <w:rFonts w:hint="eastAsia"/>
        </w:rPr>
        <w:t>（四）其他相关项目的财政承受能力论证报告；</w:t>
      </w:r>
    </w:p>
    <w:p w14:paraId="2354E68F" w14:textId="77777777" w:rsidR="003E0EAD" w:rsidRDefault="003E0EAD" w:rsidP="003E0EAD">
      <w:pPr>
        <w:pStyle w:val="13"/>
      </w:pPr>
      <w:r>
        <w:rPr>
          <w:rFonts w:hint="eastAsia"/>
        </w:rPr>
        <w:t>（五）财政部门（政府和社会资本合作中心）、相关行业主管部门以及项目实施机构与项目相关的申请文件及批复，以及相关会议纪要；</w:t>
      </w:r>
    </w:p>
    <w:p w14:paraId="00BF5803" w14:textId="77777777" w:rsidR="00541643" w:rsidRDefault="003E0EAD" w:rsidP="003E0EAD">
      <w:pPr>
        <w:pStyle w:val="13"/>
      </w:pPr>
      <w:r>
        <w:rPr>
          <w:rFonts w:hint="eastAsia"/>
        </w:rPr>
        <w:t>（六）其他相关资料。</w:t>
      </w:r>
    </w:p>
    <w:p w14:paraId="0B1DCF59" w14:textId="233D4651" w:rsidR="003E0EAD" w:rsidRPr="00541643" w:rsidRDefault="003E0EAD" w:rsidP="00ED0DA7">
      <w:pPr>
        <w:pStyle w:val="ab"/>
        <w:spacing w:before="62" w:after="62"/>
        <w:ind w:firstLine="482"/>
      </w:pPr>
      <w:r w:rsidRPr="00541643">
        <w:lastRenderedPageBreak/>
        <w:t>二、财政支出责任的识别</w:t>
      </w:r>
    </w:p>
    <w:p w14:paraId="11A8432E" w14:textId="77777777" w:rsidR="003E0EAD" w:rsidRDefault="003E0EAD" w:rsidP="003E0EAD">
      <w:pPr>
        <w:pStyle w:val="13"/>
      </w:pPr>
      <w:r>
        <w:rPr>
          <w:rFonts w:hint="eastAsia"/>
        </w:rPr>
        <w:t>（一）财政支出责任的识别范围</w:t>
      </w:r>
    </w:p>
    <w:p w14:paraId="7F25F7E0" w14:textId="657BC066" w:rsidR="003E0EAD" w:rsidRDefault="003E0EAD" w:rsidP="003E0EAD">
      <w:pPr>
        <w:pStyle w:val="13"/>
      </w:pPr>
      <w:r>
        <w:rPr>
          <w:rFonts w:hint="eastAsia"/>
        </w:rPr>
        <w:t>评估机构执行财政承受能力论证业务，需要完整识别其财政支出责任。对已经完成财政承受能力论证工作的</w:t>
      </w:r>
      <w:r w:rsidR="00B65C82">
        <w:t>PPP</w:t>
      </w:r>
      <w:r>
        <w:t>项目，直接引用其他财政承受能力论证报告的结论。对引用已完成财政承受能力论证结论的</w:t>
      </w:r>
      <w:r w:rsidR="00B65C82">
        <w:t>PPP</w:t>
      </w:r>
      <w:r>
        <w:t>项目，不再识别财政支出责任。对论证范围中未开展财政承受能力论证的</w:t>
      </w:r>
      <w:r w:rsidR="00B65C82">
        <w:t>PPP</w:t>
      </w:r>
      <w:r>
        <w:t>项目，应完整识别其财政支出责任。</w:t>
      </w:r>
    </w:p>
    <w:p w14:paraId="6EA3471B" w14:textId="77777777" w:rsidR="003E0EAD" w:rsidRDefault="003E0EAD" w:rsidP="003E0EAD">
      <w:pPr>
        <w:pStyle w:val="13"/>
      </w:pPr>
      <w:r>
        <w:rPr>
          <w:rFonts w:hint="eastAsia"/>
        </w:rPr>
        <w:t>（二）财政支出责任的识别依据</w:t>
      </w:r>
    </w:p>
    <w:p w14:paraId="08EBC508" w14:textId="7243B5B5" w:rsidR="003E0EAD" w:rsidRDefault="003E0EAD" w:rsidP="003E0EAD">
      <w:pPr>
        <w:pStyle w:val="13"/>
      </w:pPr>
      <w:r>
        <w:rPr>
          <w:rFonts w:hint="eastAsia"/>
        </w:rPr>
        <w:t>对</w:t>
      </w:r>
      <w:r w:rsidR="00B65C82">
        <w:t>PPP</w:t>
      </w:r>
      <w:r>
        <w:t>项目全生命周期过程的财政支出责任进行识别，识别依据主要包括</w:t>
      </w:r>
      <w:r w:rsidR="00B65C82">
        <w:t>PPP</w:t>
      </w:r>
      <w:r>
        <w:t>项目合同、</w:t>
      </w:r>
      <w:r w:rsidR="00B65C82">
        <w:t>PPP</w:t>
      </w:r>
      <w:r>
        <w:t>项目实施方案、</w:t>
      </w:r>
      <w:r w:rsidR="00B65C82">
        <w:t>PPP</w:t>
      </w:r>
      <w:r>
        <w:t>项目招标文件、中标方的投标文件等。对</w:t>
      </w:r>
      <w:r w:rsidR="00B65C82">
        <w:t>PPP</w:t>
      </w:r>
      <w:r>
        <w:t>项目全生命周期过程的财政支出责任，首先依据</w:t>
      </w:r>
      <w:r w:rsidR="00B65C82">
        <w:t>PPP</w:t>
      </w:r>
      <w:r>
        <w:t>项目合同进行识别；对于</w:t>
      </w:r>
      <w:r w:rsidR="00B65C82">
        <w:t>PPP</w:t>
      </w:r>
      <w:r>
        <w:t>项目合同未</w:t>
      </w:r>
      <w:proofErr w:type="gramStart"/>
      <w:r>
        <w:t>作出</w:t>
      </w:r>
      <w:proofErr w:type="gramEnd"/>
      <w:r>
        <w:t>约定的财政支出责任，依据</w:t>
      </w:r>
      <w:r w:rsidR="00B65C82">
        <w:t>PPP</w:t>
      </w:r>
      <w:r>
        <w:t>项目实施方案、PPP项目招标文件和中标方的投标文件等文件进行合理识别。</w:t>
      </w:r>
    </w:p>
    <w:p w14:paraId="57F27EE0" w14:textId="77777777" w:rsidR="003E0EAD" w:rsidRDefault="003E0EAD" w:rsidP="003E0EAD">
      <w:pPr>
        <w:pStyle w:val="13"/>
      </w:pPr>
      <w:r>
        <w:rPr>
          <w:rFonts w:hint="eastAsia"/>
        </w:rPr>
        <w:t>（三）财政支出责任的分类</w:t>
      </w:r>
    </w:p>
    <w:p w14:paraId="0CFA2F58" w14:textId="5365B89A" w:rsidR="003E0EAD" w:rsidRDefault="003E0EAD" w:rsidP="003E0EAD">
      <w:pPr>
        <w:pStyle w:val="13"/>
      </w:pPr>
      <w:r>
        <w:t>PPP项目全生命周期过程的财政支出责任，分为股权投资、运营补贴、风险承担、配套投入等。</w:t>
      </w:r>
    </w:p>
    <w:p w14:paraId="74F6FFE2" w14:textId="77777777" w:rsidR="003E0EAD" w:rsidRDefault="003E0EAD" w:rsidP="003E0EAD">
      <w:pPr>
        <w:pStyle w:val="13"/>
      </w:pPr>
      <w:r>
        <w:t>1、股权投资支出责任</w:t>
      </w:r>
    </w:p>
    <w:p w14:paraId="359E4CD7" w14:textId="655CAB5D" w:rsidR="003E0EAD" w:rsidRDefault="003E0EAD" w:rsidP="00541643">
      <w:pPr>
        <w:pStyle w:val="13"/>
      </w:pPr>
      <w:r>
        <w:rPr>
          <w:rFonts w:hint="eastAsia"/>
        </w:rPr>
        <w:t>股权投资支出责任是指在政府与社会资本共同组建项目公司的情况下，政府承担的股权投资支出责任。社会资本单独组建项目公司，政府不承担股权投资支出责任。</w:t>
      </w:r>
    </w:p>
    <w:p w14:paraId="14F6AF12" w14:textId="77777777" w:rsidR="003E0EAD" w:rsidRDefault="003E0EAD" w:rsidP="003E0EAD">
      <w:pPr>
        <w:pStyle w:val="13"/>
      </w:pPr>
      <w:r>
        <w:t>2、运营补贴支出责任</w:t>
      </w:r>
    </w:p>
    <w:p w14:paraId="56A70CA5" w14:textId="0067D227" w:rsidR="003E0EAD" w:rsidRDefault="003E0EAD" w:rsidP="003E0EAD">
      <w:pPr>
        <w:pStyle w:val="13"/>
      </w:pPr>
      <w:r>
        <w:rPr>
          <w:rFonts w:hint="eastAsia"/>
        </w:rPr>
        <w:t>运营补贴支出责任是指在项目运营期间，政府承担的直接付费责任。不同付费模式下，政府承担的运营补贴支出责任不同。政府付费模式下，政府承担全部运营补贴支出责任；可行性缺口补助模式下，政府承担部分运营补贴支出责任；使用者付费模式下，</w:t>
      </w:r>
      <w:r>
        <w:t>政府不承担运营补贴支出责任。</w:t>
      </w:r>
    </w:p>
    <w:p w14:paraId="619CFE3D" w14:textId="77777777" w:rsidR="003E0EAD" w:rsidRDefault="003E0EAD" w:rsidP="003E0EAD">
      <w:pPr>
        <w:pStyle w:val="13"/>
      </w:pPr>
      <w:r>
        <w:t>3、风险承担支出责任</w:t>
      </w:r>
    </w:p>
    <w:p w14:paraId="5ED2645E" w14:textId="77777777" w:rsidR="003E0EAD" w:rsidRDefault="003E0EAD" w:rsidP="003E0EAD">
      <w:pPr>
        <w:pStyle w:val="13"/>
      </w:pPr>
      <w:r>
        <w:rPr>
          <w:rFonts w:hint="eastAsia"/>
        </w:rPr>
        <w:t>风险承担支出责任是指项目实施方案中政府承担或分担风险带来的财政或有支出责任。通常由政府承担或分担的法律风险、政策风险、最低需求风险以及因政府或项目实施机构原因导致项目合同终止等突发情况，会产生财政或有支出责任。</w:t>
      </w:r>
    </w:p>
    <w:p w14:paraId="48614DCE" w14:textId="77777777" w:rsidR="003E0EAD" w:rsidRDefault="003E0EAD" w:rsidP="003E0EAD">
      <w:pPr>
        <w:pStyle w:val="13"/>
      </w:pPr>
      <w:r>
        <w:t>4、配套投入支出责任</w:t>
      </w:r>
    </w:p>
    <w:p w14:paraId="57F2A1A4" w14:textId="77777777" w:rsidR="003E0EAD" w:rsidRDefault="003E0EAD" w:rsidP="003E0EAD">
      <w:pPr>
        <w:pStyle w:val="13"/>
      </w:pPr>
      <w:r>
        <w:rPr>
          <w:rFonts w:hint="eastAsia"/>
        </w:rPr>
        <w:t>配套投入支出责任是指政府提供的项目配套工程等其他投入责任，通常包括土地征收和整理、建设部分项目配套措施、完成项目与现有相关基础设施和公用事业的对接、投资补助、贷款贴息等。配套投入支出应依据项目实施方案合理确定。</w:t>
      </w:r>
    </w:p>
    <w:p w14:paraId="122FE733" w14:textId="77777777" w:rsidR="003E0EAD" w:rsidRDefault="003E0EAD" w:rsidP="004A3141">
      <w:pPr>
        <w:pStyle w:val="ab"/>
        <w:spacing w:before="62" w:after="62"/>
        <w:ind w:firstLine="482"/>
      </w:pPr>
      <w:r>
        <w:rPr>
          <w:rFonts w:hint="eastAsia"/>
        </w:rPr>
        <w:t>三、财政支出责任的测算</w:t>
      </w:r>
    </w:p>
    <w:p w14:paraId="52C5421A" w14:textId="283AD604" w:rsidR="003E0EAD" w:rsidRDefault="003E0EAD" w:rsidP="003E0EAD">
      <w:pPr>
        <w:pStyle w:val="13"/>
      </w:pPr>
      <w:r>
        <w:t>PPP项目全生命周期内在股权投资、运营补贴、风险承担、配套投入等方面的财</w:t>
      </w:r>
      <w:r>
        <w:lastRenderedPageBreak/>
        <w:t>政支出责任的成本金额等于</w:t>
      </w:r>
      <w:proofErr w:type="gramStart"/>
      <w:r>
        <w:t>政府方净成本</w:t>
      </w:r>
      <w:proofErr w:type="gramEnd"/>
      <w:r>
        <w:t>的现值（</w:t>
      </w:r>
      <w:r w:rsidR="00B65C82">
        <w:t>PPP</w:t>
      </w:r>
      <w:r>
        <w:t>值）中各年度未折现的股权投资、运营补贴、风险承担、配套投入金额。</w:t>
      </w:r>
    </w:p>
    <w:p w14:paraId="4C9FEEF8" w14:textId="55AD7CA6" w:rsidR="003E0EAD" w:rsidRDefault="003E0EAD" w:rsidP="004A3141">
      <w:pPr>
        <w:pStyle w:val="13"/>
      </w:pPr>
      <w:r>
        <w:rPr>
          <w:rFonts w:hint="eastAsia"/>
        </w:rPr>
        <w:t>财政支出责任的测算，需要考虑论证期间边界的影响。在计算财政支出责任数额过程中，对论证期起始日之前已支付的财政支出责任数额，不纳入计算范畴。</w:t>
      </w:r>
    </w:p>
    <w:p w14:paraId="2E9F9043" w14:textId="77777777" w:rsidR="003E0EAD" w:rsidRDefault="003E0EAD" w:rsidP="003E0EAD">
      <w:pPr>
        <w:pStyle w:val="13"/>
      </w:pPr>
      <w:r>
        <w:rPr>
          <w:rFonts w:hint="eastAsia"/>
        </w:rPr>
        <w:t>财政支出责任的测算，考虑论证对象边界的影响。论证期间上级政府对本级政府的转移支出，从本级政府的财政支出责任中扣除。</w:t>
      </w:r>
    </w:p>
    <w:p w14:paraId="3A6E30F5" w14:textId="77777777" w:rsidR="003E0EAD" w:rsidRDefault="003E0EAD" w:rsidP="004A3141">
      <w:pPr>
        <w:pStyle w:val="ab"/>
        <w:spacing w:before="62" w:after="62"/>
        <w:ind w:firstLine="482"/>
      </w:pPr>
      <w:r>
        <w:rPr>
          <w:rFonts w:hint="eastAsia"/>
        </w:rPr>
        <w:t>四、财政预算支出规模的预测</w:t>
      </w:r>
    </w:p>
    <w:p w14:paraId="3058FFF2" w14:textId="59A5AAF6" w:rsidR="003E0EAD" w:rsidRDefault="003E0EAD" w:rsidP="003E0EAD">
      <w:pPr>
        <w:pStyle w:val="13"/>
      </w:pPr>
      <w:r>
        <w:rPr>
          <w:rFonts w:hint="eastAsia"/>
        </w:rPr>
        <w:t>对财政支出能力进行评估，是通过计算</w:t>
      </w:r>
      <w:r w:rsidR="00B65C82">
        <w:t>PPP</w:t>
      </w:r>
      <w:r>
        <w:t>项目财政支出责任的成本数额占同期论证对象财政预算支出规模的比例，反映论证对象的财政支出能力。论证对象财政预算支出规模通常选用一般公共预算支出指标。</w:t>
      </w:r>
    </w:p>
    <w:p w14:paraId="02653A2D" w14:textId="7B93E05E" w:rsidR="003E0EAD" w:rsidRDefault="003E0EAD" w:rsidP="004A3141">
      <w:pPr>
        <w:pStyle w:val="13"/>
      </w:pPr>
      <w:r>
        <w:rPr>
          <w:rFonts w:hint="eastAsia"/>
        </w:rPr>
        <w:t>在进行财政支出能力评估时，论证对象未来年度一般公共预算支出的预测数额可以由委托方或财政部门提供，或者在委托方或财政部门提供的未来年度一般公共预算支出数额预测数据基础上结合近年来一般公共预算收入和支出的结构、影响因素、稳定性、增长潜力、变化情况、未来宏观经济前景等因素进行必要的分析和调整后形成。</w:t>
      </w:r>
    </w:p>
    <w:p w14:paraId="00757B5C" w14:textId="77777777" w:rsidR="003E0EAD" w:rsidRDefault="003E0EAD" w:rsidP="004A3141">
      <w:pPr>
        <w:pStyle w:val="ab"/>
        <w:spacing w:before="62" w:after="62"/>
        <w:ind w:firstLine="482"/>
      </w:pPr>
      <w:r>
        <w:rPr>
          <w:rFonts w:hint="eastAsia"/>
        </w:rPr>
        <w:t>五、财政支出能力评估结论及分析</w:t>
      </w:r>
    </w:p>
    <w:p w14:paraId="360A35F1" w14:textId="77777777" w:rsidR="003E0EAD" w:rsidRDefault="003E0EAD" w:rsidP="003E0EAD">
      <w:pPr>
        <w:pStyle w:val="13"/>
      </w:pPr>
      <w:r>
        <w:rPr>
          <w:rFonts w:hint="eastAsia"/>
        </w:rPr>
        <w:t>（一）财政支出能力评估结论</w:t>
      </w:r>
    </w:p>
    <w:p w14:paraId="40C42DE5" w14:textId="111BA7D0" w:rsidR="003E0EAD" w:rsidRDefault="003E0EAD" w:rsidP="003E0EAD">
      <w:pPr>
        <w:pStyle w:val="13"/>
      </w:pPr>
      <w:r>
        <w:rPr>
          <w:rFonts w:hint="eastAsia"/>
        </w:rPr>
        <w:t>财政支出能力评估结论通常以论证范围的</w:t>
      </w:r>
      <w:r w:rsidR="00B65C82">
        <w:t>PPP</w:t>
      </w:r>
      <w:r>
        <w:t>项目财政负担率进行表示。在</w:t>
      </w:r>
      <w:r w:rsidR="00B65C82">
        <w:t>PPP</w:t>
      </w:r>
      <w:r>
        <w:t>项目的合作周期内，需分别测算各年度的</w:t>
      </w:r>
      <w:r w:rsidR="00B65C82">
        <w:t>PPP</w:t>
      </w:r>
      <w:r>
        <w:t>项目财政负担率。</w:t>
      </w:r>
    </w:p>
    <w:p w14:paraId="41217EA3" w14:textId="555B63BB" w:rsidR="003E0EAD" w:rsidRDefault="003E0EAD" w:rsidP="003E0EAD">
      <w:pPr>
        <w:pStyle w:val="13"/>
      </w:pPr>
      <w:r>
        <w:t>PPP项目财政负担率，是指当年</w:t>
      </w:r>
      <w:r w:rsidR="00B65C82">
        <w:t>PPP</w:t>
      </w:r>
      <w:r>
        <w:t>项目财政支出责任的成本数额占同期论证对象一般公共预算支出的比例，反映财政预算支出规模对</w:t>
      </w:r>
      <w:r w:rsidR="00B65C82">
        <w:t>PPP</w:t>
      </w:r>
      <w:r>
        <w:t>项目财政支出责任的承受能力。</w:t>
      </w:r>
    </w:p>
    <w:p w14:paraId="5DC95707" w14:textId="1A99F0F4" w:rsidR="003E0EAD" w:rsidRDefault="003E0EAD" w:rsidP="004A3141">
      <w:pPr>
        <w:pStyle w:val="13"/>
      </w:pPr>
      <w:r>
        <w:rPr>
          <w:rFonts w:hint="eastAsia"/>
        </w:rPr>
        <w:t>根据《政府和社会资本合作项目财政承受能力论证指引》（财金〔</w:t>
      </w:r>
      <w:r>
        <w:t>2015〕21号）的规定，每一年度全部</w:t>
      </w:r>
      <w:r w:rsidR="00B65C82">
        <w:t>PPP</w:t>
      </w:r>
      <w:r>
        <w:t>项目需要从预算中安排</w:t>
      </w:r>
      <w:r>
        <w:rPr>
          <w:rFonts w:hint="eastAsia"/>
        </w:rPr>
        <w:t>的支出责任，占一般公共预算支出比例应当不超过</w:t>
      </w:r>
      <w:r>
        <w:t xml:space="preserve"> 10%。通常，每一年度全部</w:t>
      </w:r>
      <w:r w:rsidR="00B65C82">
        <w:t>PPP</w:t>
      </w:r>
      <w:r>
        <w:t>项目需要从预算中安排的支出责任包括当年度所有股权投资支出（主要是现金出资部分）、政府付费项目中的支出及可行性缺口补助项目中的支出、风险承担支出以及配套投入等合计数；一般公共预算支出包括地方本级支出、对上级政府的上解支出、对下级政府的税收返还和转移支付等。</w:t>
      </w:r>
    </w:p>
    <w:p w14:paraId="101C8129" w14:textId="77777777" w:rsidR="003E0EAD" w:rsidRDefault="003E0EAD" w:rsidP="003E0EAD">
      <w:pPr>
        <w:pStyle w:val="13"/>
      </w:pPr>
      <w:r>
        <w:rPr>
          <w:rFonts w:hint="eastAsia"/>
        </w:rPr>
        <w:t>（二）财政支出能力评估结论的情景分析</w:t>
      </w:r>
    </w:p>
    <w:p w14:paraId="3093BEAA" w14:textId="1CE6CB4F" w:rsidR="003E0EAD" w:rsidRDefault="003E0EAD" w:rsidP="003E0EAD">
      <w:pPr>
        <w:pStyle w:val="13"/>
      </w:pPr>
      <w:r>
        <w:rPr>
          <w:rFonts w:hint="eastAsia"/>
        </w:rPr>
        <w:t>进行财政支出能力评估结论的情景分析目的是测量</w:t>
      </w:r>
      <w:r w:rsidR="00B65C82">
        <w:t>PPP</w:t>
      </w:r>
      <w:r>
        <w:t>项目多个不确定因素同时发生变化以及某些极端不利事件发生对财政支出能力的影响，帮助财政支出能力评估结论使用者正确理解与科学运用评估结论。财政支出能力评估结论的情景分析，</w:t>
      </w:r>
      <w:r>
        <w:lastRenderedPageBreak/>
        <w:t>其主要步骤如下：</w:t>
      </w:r>
    </w:p>
    <w:p w14:paraId="2F063F26" w14:textId="260061CF" w:rsidR="003E0EAD" w:rsidRDefault="003E0EAD" w:rsidP="003E0EAD">
      <w:pPr>
        <w:pStyle w:val="13"/>
      </w:pPr>
      <w:r>
        <w:t>1、选择不确定因素。进行情景分析时，首先要选择用于分析的不确定因素。对财政支出能力评估结论产生影响的不确定因素，通常应选</w:t>
      </w:r>
      <w:proofErr w:type="gramStart"/>
      <w:r>
        <w:t>择一般</w:t>
      </w:r>
      <w:proofErr w:type="gramEnd"/>
      <w:r>
        <w:t>公共预算支出数额以及影响</w:t>
      </w:r>
      <w:r w:rsidR="00B65C82">
        <w:t>PPP</w:t>
      </w:r>
      <w:r>
        <w:t>项目财政支出金额的敏感性因素。影响</w:t>
      </w:r>
      <w:r w:rsidR="00B65C82">
        <w:t>PPP</w:t>
      </w:r>
      <w:r>
        <w:t>项目财政支出金额的敏感性因素，通过比较主要不确定因素的敏感度系数进行识别，通常第三方收入、运营补贴金额以及风险承担支出金额是影响</w:t>
      </w:r>
      <w:r w:rsidR="00B65C82">
        <w:t>PPP</w:t>
      </w:r>
      <w:r>
        <w:t>项目财政支出金额的常见敏感性因素。</w:t>
      </w:r>
    </w:p>
    <w:p w14:paraId="7A0501AC" w14:textId="76D6E1C6" w:rsidR="003E0EAD" w:rsidRDefault="003E0EAD" w:rsidP="004A3141">
      <w:pPr>
        <w:pStyle w:val="13"/>
      </w:pPr>
      <w:r>
        <w:t>2、设计分析情景。对选择的不确定性因素，根据不确定因素同时发生变化以及某些</w:t>
      </w:r>
      <w:r>
        <w:rPr>
          <w:rFonts w:hint="eastAsia"/>
        </w:rPr>
        <w:t>极端不利事件发生的可能组合情况，设计若干项分析情景。设计分析情景时，需要考虑</w:t>
      </w:r>
      <w:r w:rsidR="00B65C82">
        <w:t>PPP</w:t>
      </w:r>
      <w:r>
        <w:t>项目不同不确定因素之间的相关性。分析情景通常包括不利情景、较差情景、最坏情景。三种分析情景按照顺序不断增强不利程度，其中不利情景相对于基准情况更为不利，较差情景相对于不利情景更为不利，最坏情况应反映极端但可能发生的情况。</w:t>
      </w:r>
    </w:p>
    <w:p w14:paraId="2D1E21AA" w14:textId="0621867E" w:rsidR="003E0EAD" w:rsidRDefault="003E0EAD" w:rsidP="003E0EAD">
      <w:pPr>
        <w:pStyle w:val="13"/>
      </w:pPr>
      <w:r>
        <w:t>3、测算分析情景结果。对设计的各种分析情景，分别收集测算所需数据，计算各种分析情景下各个不确定性因素对一般公共预算支出数额或</w:t>
      </w:r>
      <w:r w:rsidR="00B65C82">
        <w:t>PPP</w:t>
      </w:r>
      <w:r>
        <w:t>项目财政支出金额的影响值，最终形成各种分析情景下的财政支出能力评估结论。最坏情景的评估结果反映了财政可能需要支出的最大金额。</w:t>
      </w:r>
    </w:p>
    <w:p w14:paraId="77FE4C19" w14:textId="77777777" w:rsidR="003E0EAD" w:rsidRDefault="003E0EAD" w:rsidP="003E0EAD">
      <w:pPr>
        <w:pStyle w:val="13"/>
      </w:pPr>
      <w:r>
        <w:rPr>
          <w:rFonts w:hint="eastAsia"/>
        </w:rPr>
        <w:t>（三）合同提前终止情景下的财政支出能力分析</w:t>
      </w:r>
    </w:p>
    <w:p w14:paraId="71BA5703" w14:textId="69F12502" w:rsidR="003E0EAD" w:rsidRDefault="003E0EAD" w:rsidP="003E0EAD">
      <w:pPr>
        <w:pStyle w:val="13"/>
      </w:pPr>
      <w:r>
        <w:rPr>
          <w:rFonts w:hint="eastAsia"/>
        </w:rPr>
        <w:t>对财政支出能力进行评估，重点关注</w:t>
      </w:r>
      <w:r w:rsidR="00B65C82">
        <w:t>PPP</w:t>
      </w:r>
      <w:r>
        <w:t>项目出现合同提前终止情景时对当年财政支出能力的影响。委托方要求评估机构对</w:t>
      </w:r>
      <w:r w:rsidR="00B65C82">
        <w:t>PPP</w:t>
      </w:r>
      <w:r>
        <w:t>项目合同提前终止情景下的财政支出能力进行分析的，可以按照以下步骤：</w:t>
      </w:r>
    </w:p>
    <w:p w14:paraId="14A8F8B7" w14:textId="770AF889" w:rsidR="003E0EAD" w:rsidRDefault="003E0EAD" w:rsidP="003E0EAD">
      <w:pPr>
        <w:pStyle w:val="13"/>
      </w:pPr>
      <w:r>
        <w:t>1、识别合同提前终止情形。</w:t>
      </w:r>
      <w:r w:rsidR="00B65C82">
        <w:t>PPP</w:t>
      </w:r>
      <w:r>
        <w:t>项目合同提前终止情形主要根据合同提前终止原因进行分类。</w:t>
      </w:r>
      <w:r w:rsidR="00B65C82">
        <w:t>PPP</w:t>
      </w:r>
      <w:r>
        <w:t>项目的合同提前终止原因主要包括政府或项目实施机构违约、社会资本违约以及其他导致</w:t>
      </w:r>
      <w:r w:rsidR="00B65C82">
        <w:t>PPP</w:t>
      </w:r>
      <w:r>
        <w:t>项目合同提前终止的原因。</w:t>
      </w:r>
    </w:p>
    <w:p w14:paraId="315A4A3D" w14:textId="05CEEB49" w:rsidR="003E0EAD" w:rsidRDefault="003E0EAD" w:rsidP="003E0EAD">
      <w:pPr>
        <w:pStyle w:val="13"/>
      </w:pPr>
      <w:r>
        <w:t>2、测算合同终止时点的财政支出数额。通常情况下，需要分别测算每一种原因导致合同提前终止情形下，在合作期限届满前的每一年度出现终止合同情形的支出数额。对合同终止时点支出数额，根据</w:t>
      </w:r>
      <w:r w:rsidR="00B65C82">
        <w:t>PPP</w:t>
      </w:r>
      <w:r>
        <w:t>项目合同的约定进行计算。</w:t>
      </w:r>
      <w:r w:rsidR="00B65C82">
        <w:t>PPP</w:t>
      </w:r>
      <w:r>
        <w:t>项目合同未对提前终止合同的支出数额</w:t>
      </w:r>
      <w:proofErr w:type="gramStart"/>
      <w:r>
        <w:t>作出</w:t>
      </w:r>
      <w:proofErr w:type="gramEnd"/>
      <w:r>
        <w:t>明确约定的，通常应考虑社会资本的总投入、社会资本已经营年限的收益情况、社会资本未经营年限的预期收益现值、违约一方的违约金等因素进行合理测算。对于因不可抗力事件导致</w:t>
      </w:r>
      <w:r w:rsidR="00B65C82">
        <w:t>PPP</w:t>
      </w:r>
      <w:r>
        <w:t>项目合同提前终止的，需要考虑社会资本按约定应购保险的应获理赔补偿金。</w:t>
      </w:r>
    </w:p>
    <w:p w14:paraId="6FDEE41E" w14:textId="1B195785" w:rsidR="003E0EAD" w:rsidRDefault="003E0EAD" w:rsidP="003E0EAD">
      <w:pPr>
        <w:pStyle w:val="13"/>
      </w:pPr>
      <w:r>
        <w:t>3、预测合同终止年度的一般公共预算支出数额。</w:t>
      </w:r>
      <w:r w:rsidR="00B65C82">
        <w:t>PPP</w:t>
      </w:r>
      <w:r>
        <w:t>合作期限届满前，各年度一般公共预算支出数额，可参照前五年相关数额的平均值及平均增长率计算，并根据实际情况进行适当调整。</w:t>
      </w:r>
    </w:p>
    <w:p w14:paraId="54E24A8F" w14:textId="77777777" w:rsidR="003E0EAD" w:rsidRDefault="003E0EAD" w:rsidP="003E0EAD">
      <w:pPr>
        <w:pStyle w:val="13"/>
      </w:pPr>
      <w:r>
        <w:t>4、计算合同提前终止年度的财政支出能力评估结论。分别计算得出每一种原因</w:t>
      </w:r>
      <w:r>
        <w:lastRenderedPageBreak/>
        <w:t>导致合同提前终止情形下，在合作期限届满前的每一年度出现终止合同情形的财政支出能力评估结论。</w:t>
      </w:r>
    </w:p>
    <w:p w14:paraId="46E97467" w14:textId="77777777" w:rsidR="004A3141" w:rsidRDefault="003E0EAD" w:rsidP="00AF7342">
      <w:pPr>
        <w:pStyle w:val="a9"/>
        <w:spacing w:before="62" w:after="62"/>
      </w:pPr>
      <w:r>
        <w:rPr>
          <w:rFonts w:hint="eastAsia"/>
        </w:rPr>
        <w:t>第四节</w:t>
      </w:r>
      <w:r>
        <w:t xml:space="preserve"> 行业和领域均衡性评估</w:t>
      </w:r>
    </w:p>
    <w:p w14:paraId="6C760522" w14:textId="57BB48EC" w:rsidR="003E0EAD" w:rsidRDefault="003E0EAD" w:rsidP="004A3141">
      <w:pPr>
        <w:pStyle w:val="ab"/>
        <w:spacing w:before="62" w:after="62"/>
        <w:ind w:firstLine="482"/>
      </w:pPr>
      <w:r>
        <w:t>一、行业和领域均衡性评估应取得的资料</w:t>
      </w:r>
    </w:p>
    <w:p w14:paraId="06AFE80F" w14:textId="77777777" w:rsidR="003E0EAD" w:rsidRDefault="003E0EAD" w:rsidP="003E0EAD">
      <w:pPr>
        <w:pStyle w:val="13"/>
      </w:pPr>
      <w:r>
        <w:rPr>
          <w:rFonts w:hint="eastAsia"/>
        </w:rPr>
        <w:t>评估机构在执行行业和领域均衡性评估时，通常需要收集的相关资料主要包括：</w:t>
      </w:r>
    </w:p>
    <w:p w14:paraId="256640EC" w14:textId="77777777" w:rsidR="003E0EAD" w:rsidRDefault="003E0EAD" w:rsidP="003E0EAD">
      <w:pPr>
        <w:pStyle w:val="13"/>
      </w:pPr>
      <w:r>
        <w:rPr>
          <w:rFonts w:hint="eastAsia"/>
        </w:rPr>
        <w:t>（一）政府与社会资本合作相关法律法规和规章制度；</w:t>
      </w:r>
    </w:p>
    <w:p w14:paraId="5ED55D6C" w14:textId="77777777" w:rsidR="003E0EAD" w:rsidRDefault="003E0EAD" w:rsidP="003E0EAD">
      <w:pPr>
        <w:pStyle w:val="13"/>
      </w:pPr>
      <w:r>
        <w:rPr>
          <w:rFonts w:hint="eastAsia"/>
        </w:rPr>
        <w:t>（二）与项目相关的各级政府制定的国民经济与社会发展规划、方针政策；</w:t>
      </w:r>
    </w:p>
    <w:p w14:paraId="3A6DE136" w14:textId="368CE112" w:rsidR="003E0EAD" w:rsidRDefault="003E0EAD" w:rsidP="003E0EAD">
      <w:pPr>
        <w:pStyle w:val="13"/>
      </w:pPr>
      <w:r>
        <w:rPr>
          <w:rFonts w:hint="eastAsia"/>
        </w:rPr>
        <w:t>（三）</w:t>
      </w:r>
      <w:r w:rsidR="00B65C82">
        <w:t>PPP</w:t>
      </w:r>
      <w:r>
        <w:t>项目的财政承受能力论证报告；</w:t>
      </w:r>
    </w:p>
    <w:p w14:paraId="24659A74" w14:textId="713AC2D3" w:rsidR="003E0EAD" w:rsidRDefault="003E0EAD" w:rsidP="003E0EAD">
      <w:pPr>
        <w:pStyle w:val="13"/>
      </w:pPr>
      <w:r>
        <w:rPr>
          <w:rFonts w:hint="eastAsia"/>
        </w:rPr>
        <w:t>（四）</w:t>
      </w:r>
      <w:r w:rsidR="00B65C82">
        <w:t>PPP</w:t>
      </w:r>
      <w:r>
        <w:t>项目的分布情况表；</w:t>
      </w:r>
    </w:p>
    <w:p w14:paraId="68E312B4" w14:textId="77777777" w:rsidR="003E0EAD" w:rsidRDefault="003E0EAD" w:rsidP="003E0EAD">
      <w:pPr>
        <w:pStyle w:val="13"/>
      </w:pPr>
      <w:r>
        <w:rPr>
          <w:rFonts w:hint="eastAsia"/>
        </w:rPr>
        <w:t>（五）其他相关资料。</w:t>
      </w:r>
    </w:p>
    <w:p w14:paraId="6A5176EE" w14:textId="77777777" w:rsidR="003E0EAD" w:rsidRDefault="003E0EAD" w:rsidP="004A3141">
      <w:pPr>
        <w:pStyle w:val="ab"/>
        <w:spacing w:before="62" w:after="62"/>
        <w:ind w:firstLine="482"/>
      </w:pPr>
      <w:r>
        <w:rPr>
          <w:rFonts w:hint="eastAsia"/>
        </w:rPr>
        <w:t>二、行业和领域均衡性评估的目标</w:t>
      </w:r>
    </w:p>
    <w:p w14:paraId="524C65BF" w14:textId="2027DBD3" w:rsidR="003E0EAD" w:rsidRDefault="003E0EAD" w:rsidP="003E0EAD">
      <w:pPr>
        <w:pStyle w:val="13"/>
      </w:pPr>
      <w:r>
        <w:rPr>
          <w:rFonts w:hint="eastAsia"/>
        </w:rPr>
        <w:t>行业和领域均衡性评估，是根据</w:t>
      </w:r>
      <w:r w:rsidR="00B65C82">
        <w:t>PPP</w:t>
      </w:r>
      <w:r>
        <w:t>模式适用的行业和领域范围，以及经济社会发展需要和公众对公共服务的需求，平衡不同行业和领域</w:t>
      </w:r>
      <w:r w:rsidR="00B65C82">
        <w:t>PPP</w:t>
      </w:r>
      <w:r>
        <w:t>项目，防止某一行业和领域</w:t>
      </w:r>
      <w:r w:rsidR="00B65C82">
        <w:t>PPP</w:t>
      </w:r>
      <w:r>
        <w:t>项目过于集中。运用</w:t>
      </w:r>
      <w:r w:rsidR="00B65C82">
        <w:t>PPP</w:t>
      </w:r>
      <w:r>
        <w:t>模式的行业和领域过于集中，会增加系统性风险。行业和领域均衡性评估，旨在分析评估运用</w:t>
      </w:r>
      <w:r w:rsidR="00B65C82">
        <w:t>PPP</w:t>
      </w:r>
      <w:r>
        <w:t>模式的行业和领域的集中程度是否有利于降低系统性风险。</w:t>
      </w:r>
    </w:p>
    <w:p w14:paraId="57E82FB2" w14:textId="77777777" w:rsidR="003E0EAD" w:rsidRDefault="003E0EAD" w:rsidP="004A3141">
      <w:pPr>
        <w:pStyle w:val="ab"/>
        <w:spacing w:before="62" w:after="62"/>
        <w:ind w:firstLine="482"/>
      </w:pPr>
      <w:r>
        <w:rPr>
          <w:rFonts w:hint="eastAsia"/>
        </w:rPr>
        <w:t>三、行业和领域均衡性评估的方法和过程</w:t>
      </w:r>
    </w:p>
    <w:p w14:paraId="017A9B4E" w14:textId="77777777" w:rsidR="003E0EAD" w:rsidRDefault="003E0EAD" w:rsidP="003E0EAD">
      <w:pPr>
        <w:pStyle w:val="13"/>
      </w:pPr>
      <w:r>
        <w:rPr>
          <w:rFonts w:hint="eastAsia"/>
        </w:rPr>
        <w:t>行业和领域均衡性评估采用定量和定性分析方法，具体运用过程如下：</w:t>
      </w:r>
    </w:p>
    <w:p w14:paraId="65443D89" w14:textId="1B7ECC35" w:rsidR="003E0EAD" w:rsidRDefault="003E0EAD" w:rsidP="004A3141">
      <w:pPr>
        <w:pStyle w:val="13"/>
      </w:pPr>
      <w:r>
        <w:rPr>
          <w:rFonts w:hint="eastAsia"/>
        </w:rPr>
        <w:t>（一）划分</w:t>
      </w:r>
      <w:r w:rsidR="00B65C82">
        <w:t>PPP</w:t>
      </w:r>
      <w:r>
        <w:t>项目所处的行业和领域。对论证对象承担财政支出责任的全部已实施和</w:t>
      </w:r>
      <w:proofErr w:type="gramStart"/>
      <w:r>
        <w:t>拟实施</w:t>
      </w:r>
      <w:proofErr w:type="gramEnd"/>
      <w:r w:rsidR="00B65C82">
        <w:t>PPP</w:t>
      </w:r>
      <w:r>
        <w:t>项目，逐项划分</w:t>
      </w:r>
      <w:r w:rsidR="00B65C82">
        <w:t>PPP</w:t>
      </w:r>
      <w:r>
        <w:t>项目所处的行业和领域。行业和领域的分类，参考</w:t>
      </w:r>
      <w:r>
        <w:rPr>
          <w:rFonts w:hint="eastAsia"/>
        </w:rPr>
        <w:t>《国民经济行业分类》。</w:t>
      </w:r>
    </w:p>
    <w:p w14:paraId="05F99374" w14:textId="4CB23732" w:rsidR="003E0EAD" w:rsidRDefault="003E0EAD" w:rsidP="003E0EAD">
      <w:pPr>
        <w:pStyle w:val="13"/>
      </w:pPr>
      <w:r>
        <w:rPr>
          <w:rFonts w:hint="eastAsia"/>
        </w:rPr>
        <w:t>（二）计算各行业和领域的</w:t>
      </w:r>
      <w:r w:rsidR="00B65C82">
        <w:t>PPP</w:t>
      </w:r>
      <w:r>
        <w:t>项目集中度指数。各行业和领域的</w:t>
      </w:r>
      <w:r w:rsidR="00B65C82">
        <w:t>PPP</w:t>
      </w:r>
      <w:r>
        <w:t>项目集中度指数，指每个行业和领域</w:t>
      </w:r>
      <w:r w:rsidR="00B65C82">
        <w:t>PPP</w:t>
      </w:r>
      <w:r>
        <w:t>项目的相关数值占论证对象承担财政支出责任的全部已实施和</w:t>
      </w:r>
      <w:proofErr w:type="gramStart"/>
      <w:r>
        <w:t>拟实施</w:t>
      </w:r>
      <w:proofErr w:type="gramEnd"/>
      <w:r w:rsidR="00B65C82">
        <w:t>PPP</w:t>
      </w:r>
      <w:r>
        <w:t>项目相关数值合计数的比值，以百分比表示。计算</w:t>
      </w:r>
      <w:r w:rsidR="00B65C82">
        <w:t>PPP</w:t>
      </w:r>
      <w:r>
        <w:t>项目集中度指标的相关数值，一般可选用已投资（拟投资）净值、剩余合作期限财政支出责任数额的折现值等数值。</w:t>
      </w:r>
    </w:p>
    <w:p w14:paraId="529A8515" w14:textId="22C6D8D4" w:rsidR="003E0EAD" w:rsidRDefault="003E0EAD" w:rsidP="003E0EAD">
      <w:pPr>
        <w:pStyle w:val="13"/>
      </w:pPr>
      <w:r>
        <w:rPr>
          <w:rFonts w:hint="eastAsia"/>
        </w:rPr>
        <w:t>（三）对行业和领域均衡性进行评估。在各行业和领域的</w:t>
      </w:r>
      <w:r w:rsidR="00B65C82">
        <w:t>PPP</w:t>
      </w:r>
      <w:r>
        <w:t>项目集中度指数基础上，结合</w:t>
      </w:r>
      <w:r w:rsidR="00B65C82">
        <w:t>PPP</w:t>
      </w:r>
      <w:r>
        <w:t>项目数量及其分布情况、财政支出能力评估结果、</w:t>
      </w:r>
      <w:r w:rsidR="00B65C82">
        <w:t>PPP</w:t>
      </w:r>
      <w:r>
        <w:t>项目的直接经济效益和间接经济效益等因素，采用定量和定性分析方法，对行业和领域均衡性进行评估。</w:t>
      </w:r>
    </w:p>
    <w:p w14:paraId="0CF05C76" w14:textId="77777777" w:rsidR="003E0EAD" w:rsidRDefault="003E0EAD" w:rsidP="004A3141">
      <w:pPr>
        <w:pStyle w:val="ab"/>
        <w:spacing w:before="62" w:after="62"/>
        <w:ind w:firstLine="482"/>
      </w:pPr>
      <w:r>
        <w:rPr>
          <w:rFonts w:hint="eastAsia"/>
        </w:rPr>
        <w:t>四、行业和领域均衡性评估结论</w:t>
      </w:r>
    </w:p>
    <w:p w14:paraId="106FC394" w14:textId="62E4E2BE" w:rsidR="003E0EAD" w:rsidRDefault="003E0EAD" w:rsidP="003E0EAD">
      <w:pPr>
        <w:pStyle w:val="13"/>
      </w:pPr>
      <w:r>
        <w:rPr>
          <w:rFonts w:hint="eastAsia"/>
        </w:rPr>
        <w:t>行业和领域均衡性评估结论，可以按照各行业和领域的</w:t>
      </w:r>
      <w:r w:rsidR="00B65C82">
        <w:t>PPP</w:t>
      </w:r>
      <w:r>
        <w:t>项目集中度指数的分布或排序进行定量表示，或者对各行业和领域的</w:t>
      </w:r>
      <w:r w:rsidR="00B65C82">
        <w:t>PPP</w:t>
      </w:r>
      <w:r>
        <w:t>项目集中程度进行定性描述，</w:t>
      </w:r>
      <w:r>
        <w:lastRenderedPageBreak/>
        <w:t>或者采用定量表示和定性描述相结合的形式表达行业和领域均衡性评估结论。</w:t>
      </w:r>
    </w:p>
    <w:p w14:paraId="2AAECF05" w14:textId="77777777" w:rsidR="003E0EAD" w:rsidRDefault="003E0EAD" w:rsidP="00AF7342">
      <w:pPr>
        <w:pStyle w:val="a9"/>
        <w:spacing w:before="62" w:after="62"/>
      </w:pPr>
      <w:r>
        <w:rPr>
          <w:rFonts w:hint="eastAsia"/>
        </w:rPr>
        <w:t>第五节</w:t>
      </w:r>
      <w:r>
        <w:t xml:space="preserve"> 财政承受能力论证报告</w:t>
      </w:r>
    </w:p>
    <w:p w14:paraId="0F48CCE2" w14:textId="77777777" w:rsidR="003E0EAD" w:rsidRDefault="003E0EAD" w:rsidP="003E0EAD">
      <w:pPr>
        <w:pStyle w:val="13"/>
      </w:pPr>
      <w:r>
        <w:rPr>
          <w:rFonts w:hint="eastAsia"/>
        </w:rPr>
        <w:t>财政承受能力论证报告（以下简称：论证报告），由标题、文号、正文和附件构成。</w:t>
      </w:r>
    </w:p>
    <w:p w14:paraId="76E8BA50" w14:textId="77777777" w:rsidR="003E0EAD" w:rsidRDefault="003E0EAD" w:rsidP="003E0EAD">
      <w:pPr>
        <w:pStyle w:val="13"/>
      </w:pPr>
      <w:r>
        <w:rPr>
          <w:rFonts w:hint="eastAsia"/>
        </w:rPr>
        <w:t>（一）论证报告的标题和</w:t>
      </w:r>
      <w:proofErr w:type="gramStart"/>
      <w:r>
        <w:rPr>
          <w:rFonts w:hint="eastAsia"/>
        </w:rPr>
        <w:t>文号</w:t>
      </w:r>
      <w:proofErr w:type="gramEnd"/>
    </w:p>
    <w:p w14:paraId="59408273" w14:textId="77777777" w:rsidR="003E0EAD" w:rsidRDefault="003E0EAD" w:rsidP="003E0EAD">
      <w:pPr>
        <w:pStyle w:val="13"/>
      </w:pPr>
      <w:r>
        <w:rPr>
          <w:rFonts w:hint="eastAsia"/>
        </w:rPr>
        <w:t>论证报告标题通常简明清晰，一般采用“论证对象</w:t>
      </w:r>
      <w:r>
        <w:t>+论证范围+财政承受能力论证报告”的形式。</w:t>
      </w:r>
    </w:p>
    <w:p w14:paraId="1AD96B7E" w14:textId="77777777" w:rsidR="003E0EAD" w:rsidRDefault="003E0EAD" w:rsidP="003E0EAD">
      <w:pPr>
        <w:pStyle w:val="13"/>
      </w:pPr>
      <w:r>
        <w:rPr>
          <w:rFonts w:hint="eastAsia"/>
        </w:rPr>
        <w:t>报告文</w:t>
      </w:r>
      <w:proofErr w:type="gramStart"/>
      <w:r>
        <w:rPr>
          <w:rFonts w:hint="eastAsia"/>
        </w:rPr>
        <w:t>号包括</w:t>
      </w:r>
      <w:proofErr w:type="gramEnd"/>
      <w:r>
        <w:rPr>
          <w:rFonts w:hint="eastAsia"/>
        </w:rPr>
        <w:t>评估机构特征字、种类特征字、年份、报告序号。</w:t>
      </w:r>
    </w:p>
    <w:p w14:paraId="07192A17" w14:textId="77777777" w:rsidR="004A3141" w:rsidRDefault="003E0EAD" w:rsidP="003E0EAD">
      <w:pPr>
        <w:pStyle w:val="13"/>
      </w:pPr>
      <w:r>
        <w:rPr>
          <w:rFonts w:hint="eastAsia"/>
        </w:rPr>
        <w:t>（二）论证报告的正文内容</w:t>
      </w:r>
    </w:p>
    <w:p w14:paraId="21FD81F7" w14:textId="2A2C788B" w:rsidR="003E0EAD" w:rsidRDefault="003E0EAD" w:rsidP="003E0EAD">
      <w:pPr>
        <w:pStyle w:val="13"/>
      </w:pPr>
      <w:r>
        <w:rPr>
          <w:rFonts w:hint="eastAsia"/>
        </w:rPr>
        <w:t>论证报告正文通常包括：</w:t>
      </w:r>
    </w:p>
    <w:p w14:paraId="156F9542" w14:textId="77777777" w:rsidR="003E0EAD" w:rsidRDefault="003E0EAD" w:rsidP="003E0EAD">
      <w:pPr>
        <w:pStyle w:val="13"/>
      </w:pPr>
      <w:r>
        <w:t>1、绪言；</w:t>
      </w:r>
    </w:p>
    <w:p w14:paraId="74BDC51D" w14:textId="77777777" w:rsidR="003E0EAD" w:rsidRDefault="003E0EAD" w:rsidP="003E0EAD">
      <w:pPr>
        <w:pStyle w:val="13"/>
      </w:pPr>
      <w:r>
        <w:t>2、项目基础信息；</w:t>
      </w:r>
    </w:p>
    <w:p w14:paraId="2F3FD5F5" w14:textId="77777777" w:rsidR="003E0EAD" w:rsidRDefault="003E0EAD" w:rsidP="003E0EAD">
      <w:pPr>
        <w:pStyle w:val="13"/>
      </w:pPr>
      <w:r>
        <w:t>3、财政承受能力论证要素；</w:t>
      </w:r>
    </w:p>
    <w:p w14:paraId="3EFFEB8D" w14:textId="77777777" w:rsidR="003E0EAD" w:rsidRDefault="003E0EAD" w:rsidP="003E0EAD">
      <w:pPr>
        <w:pStyle w:val="13"/>
      </w:pPr>
      <w:r>
        <w:t>4、财政支出能力评估；</w:t>
      </w:r>
    </w:p>
    <w:p w14:paraId="7AFC4800" w14:textId="77777777" w:rsidR="003E0EAD" w:rsidRDefault="003E0EAD" w:rsidP="003E0EAD">
      <w:pPr>
        <w:pStyle w:val="13"/>
      </w:pPr>
      <w:r>
        <w:t>5、行业和领域均衡性评估；</w:t>
      </w:r>
    </w:p>
    <w:p w14:paraId="3B6328A7" w14:textId="77777777" w:rsidR="003E0EAD" w:rsidRDefault="003E0EAD" w:rsidP="003E0EAD">
      <w:pPr>
        <w:pStyle w:val="13"/>
      </w:pPr>
      <w:r>
        <w:t>6、财政承受能力论证结论；</w:t>
      </w:r>
    </w:p>
    <w:p w14:paraId="661B63DC" w14:textId="77777777" w:rsidR="003E0EAD" w:rsidRDefault="003E0EAD" w:rsidP="003E0EAD">
      <w:pPr>
        <w:pStyle w:val="13"/>
      </w:pPr>
      <w:r>
        <w:t>7、论证报告日；</w:t>
      </w:r>
    </w:p>
    <w:p w14:paraId="43D2DCEB" w14:textId="77777777" w:rsidR="003E0EAD" w:rsidRDefault="003E0EAD" w:rsidP="003E0EAD">
      <w:pPr>
        <w:pStyle w:val="13"/>
      </w:pPr>
      <w:r>
        <w:t>8、评估机构盖章。</w:t>
      </w:r>
    </w:p>
    <w:p w14:paraId="0B71EFBA" w14:textId="77777777" w:rsidR="003E0EAD" w:rsidRDefault="003E0EAD" w:rsidP="003E0EAD">
      <w:pPr>
        <w:pStyle w:val="13"/>
      </w:pPr>
      <w:r>
        <w:rPr>
          <w:rFonts w:hint="eastAsia"/>
        </w:rPr>
        <w:t>（三）绪言</w:t>
      </w:r>
    </w:p>
    <w:p w14:paraId="5E1EAED6" w14:textId="77777777" w:rsidR="004A3141" w:rsidRDefault="003E0EAD" w:rsidP="003E0EAD">
      <w:pPr>
        <w:pStyle w:val="13"/>
      </w:pPr>
      <w:r>
        <w:rPr>
          <w:rFonts w:hint="eastAsia"/>
        </w:rPr>
        <w:t>绪言一般采用包含下列内容的表述格式：</w:t>
      </w:r>
    </w:p>
    <w:p w14:paraId="2D066992" w14:textId="5412539E" w:rsidR="003E0EAD" w:rsidRDefault="003E0EAD" w:rsidP="003E0EAD">
      <w:pPr>
        <w:pStyle w:val="13"/>
      </w:pPr>
      <w:r>
        <w:t>“×××（委托方全称）：</w:t>
      </w:r>
    </w:p>
    <w:p w14:paraId="6A0CC5F3" w14:textId="77777777" w:rsidR="003E0EAD" w:rsidRDefault="003E0EAD" w:rsidP="003E0EAD">
      <w:pPr>
        <w:pStyle w:val="13"/>
      </w:pPr>
      <w:r>
        <w:rPr>
          <w:rFonts w:hint="eastAsia"/>
        </w:rPr>
        <w:t>×××（评估机构全称）接受贵单位的委托，根据有关法律、法规的规定，采用定量和定性分析方法，履行了必要的论证程序，对×××（论证对象）基于×××（论证范围）的财政承受能力进行分析论证。现将分析论证情况报告如下。”</w:t>
      </w:r>
    </w:p>
    <w:p w14:paraId="0712F929" w14:textId="77777777" w:rsidR="003E0EAD" w:rsidRDefault="003E0EAD" w:rsidP="003E0EAD">
      <w:pPr>
        <w:pStyle w:val="13"/>
      </w:pPr>
      <w:r>
        <w:rPr>
          <w:rFonts w:hint="eastAsia"/>
        </w:rPr>
        <w:t>（四）财政承受能力论证要素</w:t>
      </w:r>
    </w:p>
    <w:p w14:paraId="1B61D3B6" w14:textId="5A262ACC" w:rsidR="003E0EAD" w:rsidRDefault="003E0EAD" w:rsidP="004A3141">
      <w:pPr>
        <w:pStyle w:val="13"/>
      </w:pPr>
      <w:r>
        <w:rPr>
          <w:rFonts w:hint="eastAsia"/>
        </w:rPr>
        <w:t>论证报告通常需要介绍财政承受能力论证的要素。财政承受能力论证要素</w:t>
      </w:r>
      <w:proofErr w:type="gramStart"/>
      <w:r>
        <w:rPr>
          <w:rFonts w:hint="eastAsia"/>
        </w:rPr>
        <w:t>主要包括主要包括</w:t>
      </w:r>
      <w:proofErr w:type="gramEnd"/>
      <w:r>
        <w:rPr>
          <w:rFonts w:hint="eastAsia"/>
        </w:rPr>
        <w:t>委托方及项目实施机构、论证对象、论证范围、论证依据、论证假设、论证方法以及论证程序。</w:t>
      </w:r>
    </w:p>
    <w:p w14:paraId="1303A2B2" w14:textId="77777777" w:rsidR="003E0EAD" w:rsidRDefault="003E0EAD" w:rsidP="003E0EAD">
      <w:pPr>
        <w:pStyle w:val="13"/>
      </w:pPr>
      <w:r>
        <w:rPr>
          <w:rFonts w:hint="eastAsia"/>
        </w:rPr>
        <w:t>（五）财政支出能力评估</w:t>
      </w:r>
    </w:p>
    <w:p w14:paraId="0D853546" w14:textId="77777777" w:rsidR="003E0EAD" w:rsidRDefault="003E0EAD" w:rsidP="003E0EAD">
      <w:pPr>
        <w:pStyle w:val="13"/>
      </w:pPr>
      <w:r>
        <w:t>1、项目基础信息</w:t>
      </w:r>
    </w:p>
    <w:p w14:paraId="4A597128" w14:textId="3F6D7921" w:rsidR="003E0EAD" w:rsidRDefault="003E0EAD" w:rsidP="003E0EAD">
      <w:pPr>
        <w:pStyle w:val="13"/>
      </w:pPr>
      <w:r>
        <w:rPr>
          <w:rFonts w:hint="eastAsia"/>
        </w:rPr>
        <w:t>对纳入论证范围的</w:t>
      </w:r>
      <w:r w:rsidR="00B65C82">
        <w:t>PPP</w:t>
      </w:r>
      <w:r>
        <w:t>项目进行财政支出能力评估，介绍</w:t>
      </w:r>
      <w:r w:rsidR="00B65C82">
        <w:t>PPP</w:t>
      </w:r>
      <w:r>
        <w:t>项目的基础信息。对纳入论证范围但已完成财政承受能力论证工作的</w:t>
      </w:r>
      <w:r w:rsidR="00B65C82">
        <w:t>PPP</w:t>
      </w:r>
      <w:r>
        <w:t>项目，可引用其他财政承受能力论证报告的结论。对引用已完成财政承受能力论证结论的</w:t>
      </w:r>
      <w:r w:rsidR="00B65C82">
        <w:t>PPP</w:t>
      </w:r>
      <w:r>
        <w:t>项目，需要披露必要信息。</w:t>
      </w:r>
    </w:p>
    <w:p w14:paraId="6456E43F" w14:textId="5CDEE7B2" w:rsidR="003E0EAD" w:rsidRDefault="003E0EAD" w:rsidP="003E0EAD">
      <w:pPr>
        <w:pStyle w:val="13"/>
      </w:pPr>
      <w:r>
        <w:rPr>
          <w:rFonts w:hint="eastAsia"/>
        </w:rPr>
        <w:lastRenderedPageBreak/>
        <w:t>项目基础信息主要包括项目概况、项目产出说明、</w:t>
      </w:r>
      <w:r w:rsidR="00B65C82">
        <w:t>PPP</w:t>
      </w:r>
      <w:r>
        <w:t>运作模式、风险分配框架、付费机制和调价机制、物有所值评价结论。</w:t>
      </w:r>
    </w:p>
    <w:p w14:paraId="747F211F" w14:textId="0544B2E6" w:rsidR="003E0EAD" w:rsidRDefault="003E0EAD" w:rsidP="003E0EAD">
      <w:pPr>
        <w:pStyle w:val="13"/>
      </w:pPr>
      <w:r>
        <w:rPr>
          <w:rFonts w:hint="eastAsia"/>
        </w:rPr>
        <w:t>（</w:t>
      </w:r>
      <w:r>
        <w:t>1）项目概况主要包括公共产品或公共服务内容、项目区位、项目范围及占地面积、建设内容或资产范围、投资规模或资产价值、建设进程等。</w:t>
      </w:r>
    </w:p>
    <w:p w14:paraId="4C26931A" w14:textId="378FCC6A" w:rsidR="003E0EAD" w:rsidRDefault="003E0EAD" w:rsidP="003E0EAD">
      <w:pPr>
        <w:pStyle w:val="13"/>
      </w:pPr>
      <w:r>
        <w:rPr>
          <w:rFonts w:hint="eastAsia"/>
        </w:rPr>
        <w:t>（</w:t>
      </w:r>
      <w:r>
        <w:t>2）项目产出说明主要包括项目需求、项目产出技术标准。</w:t>
      </w:r>
    </w:p>
    <w:p w14:paraId="7EE63B8F" w14:textId="2CFF1BBE" w:rsidR="003E0EAD" w:rsidRDefault="003E0EAD" w:rsidP="003E0EAD">
      <w:pPr>
        <w:pStyle w:val="13"/>
      </w:pPr>
      <w:r>
        <w:rPr>
          <w:rFonts w:hint="eastAsia"/>
        </w:rPr>
        <w:t>（</w:t>
      </w:r>
      <w:r>
        <w:t>3）</w:t>
      </w:r>
      <w:r w:rsidR="00B65C82">
        <w:t>PPP</w:t>
      </w:r>
      <w:r>
        <w:t>运作模式主要包括运作方式、合作期限。</w:t>
      </w:r>
    </w:p>
    <w:p w14:paraId="6187EB76" w14:textId="356026BB" w:rsidR="003E0EAD" w:rsidRDefault="003E0EAD" w:rsidP="003E0EAD">
      <w:pPr>
        <w:pStyle w:val="13"/>
      </w:pPr>
      <w:r>
        <w:rPr>
          <w:rFonts w:hint="eastAsia"/>
        </w:rPr>
        <w:t>（</w:t>
      </w:r>
      <w:r>
        <w:t>4）风险分配框架主要包括项目风险识别、风险分配原则、风险分配基本框架。</w:t>
      </w:r>
    </w:p>
    <w:p w14:paraId="3660FA4A" w14:textId="44BA9D70" w:rsidR="003E0EAD" w:rsidRDefault="003E0EAD" w:rsidP="003E0EAD">
      <w:pPr>
        <w:pStyle w:val="13"/>
      </w:pPr>
      <w:r>
        <w:rPr>
          <w:rFonts w:hint="eastAsia"/>
        </w:rPr>
        <w:t>（</w:t>
      </w:r>
      <w:r>
        <w:t>5）付费机制和调价机制主要包括付费机制、价格调整机制、绩效标准等。</w:t>
      </w:r>
    </w:p>
    <w:p w14:paraId="416EBC5A" w14:textId="4636B2CB" w:rsidR="003E0EAD" w:rsidRDefault="003E0EAD" w:rsidP="003E0EAD">
      <w:pPr>
        <w:pStyle w:val="13"/>
      </w:pPr>
      <w:r>
        <w:rPr>
          <w:rFonts w:hint="eastAsia"/>
        </w:rPr>
        <w:t>（</w:t>
      </w:r>
      <w:r>
        <w:t>6）物有所值评价结论主要包括物有所值评价方法、评价结论及分析等。</w:t>
      </w:r>
    </w:p>
    <w:p w14:paraId="503CAFDF" w14:textId="77777777" w:rsidR="003E0EAD" w:rsidRDefault="003E0EAD" w:rsidP="003E0EAD">
      <w:pPr>
        <w:pStyle w:val="13"/>
      </w:pPr>
      <w:r>
        <w:t>2、财政支出责任及测算</w:t>
      </w:r>
    </w:p>
    <w:p w14:paraId="4333DC6C" w14:textId="39D7A167" w:rsidR="003E0EAD" w:rsidRDefault="003E0EAD" w:rsidP="003E0EAD">
      <w:pPr>
        <w:pStyle w:val="13"/>
      </w:pPr>
      <w:r>
        <w:rPr>
          <w:rFonts w:hint="eastAsia"/>
        </w:rPr>
        <w:t>对纳入论证范围的</w:t>
      </w:r>
      <w:r w:rsidR="00B65C82">
        <w:t>PPP</w:t>
      </w:r>
      <w:r>
        <w:t>项目，应分析介绍</w:t>
      </w:r>
      <w:r w:rsidR="00B65C82">
        <w:t>PPP</w:t>
      </w:r>
      <w:r>
        <w:t>项目的财政支出责任的识别、财政支出责任的测算方法和测算过程，主要内容如下：</w:t>
      </w:r>
    </w:p>
    <w:p w14:paraId="379BEFFB" w14:textId="3B75FF2C" w:rsidR="003E0EAD" w:rsidRDefault="003E0EAD" w:rsidP="003E0EAD">
      <w:pPr>
        <w:pStyle w:val="13"/>
      </w:pPr>
      <w:r>
        <w:rPr>
          <w:rFonts w:hint="eastAsia"/>
        </w:rPr>
        <w:t>（</w:t>
      </w:r>
      <w:r>
        <w:t>1）股权投资支出责任的识别及支出测算</w:t>
      </w:r>
    </w:p>
    <w:p w14:paraId="7452345E" w14:textId="38CB0444" w:rsidR="003E0EAD" w:rsidRDefault="003E0EAD" w:rsidP="003E0EAD">
      <w:pPr>
        <w:pStyle w:val="13"/>
      </w:pPr>
      <w:r>
        <w:rPr>
          <w:rFonts w:hint="eastAsia"/>
        </w:rPr>
        <w:t>（</w:t>
      </w:r>
      <w:r>
        <w:t>2）运营补贴支出责任的识别及支出测算</w:t>
      </w:r>
    </w:p>
    <w:p w14:paraId="10AFDF3B" w14:textId="5F6F70E7" w:rsidR="003E0EAD" w:rsidRDefault="003E0EAD" w:rsidP="003E0EAD">
      <w:pPr>
        <w:pStyle w:val="13"/>
      </w:pPr>
      <w:r>
        <w:rPr>
          <w:rFonts w:hint="eastAsia"/>
        </w:rPr>
        <w:t>（</w:t>
      </w:r>
      <w:r>
        <w:t>3）风险承担支出责任的识别及支出测算</w:t>
      </w:r>
    </w:p>
    <w:p w14:paraId="46138F42" w14:textId="514B43B4" w:rsidR="003E0EAD" w:rsidRDefault="003E0EAD" w:rsidP="003E0EAD">
      <w:pPr>
        <w:pStyle w:val="13"/>
      </w:pPr>
      <w:r>
        <w:rPr>
          <w:rFonts w:hint="eastAsia"/>
        </w:rPr>
        <w:t>（</w:t>
      </w:r>
      <w:r>
        <w:t>4）配套投入支出责任的识别及支出测算</w:t>
      </w:r>
    </w:p>
    <w:p w14:paraId="776BB2FC" w14:textId="5FF95F31" w:rsidR="003E0EAD" w:rsidRDefault="003E0EAD" w:rsidP="003E0EAD">
      <w:pPr>
        <w:pStyle w:val="13"/>
      </w:pPr>
      <w:r>
        <w:rPr>
          <w:rFonts w:hint="eastAsia"/>
        </w:rPr>
        <w:t>对引用已完成财政承受能力论证结论的</w:t>
      </w:r>
      <w:r w:rsidR="00B65C82">
        <w:t>PPP</w:t>
      </w:r>
      <w:r>
        <w:t>项目，需要披露必要信息。</w:t>
      </w:r>
    </w:p>
    <w:p w14:paraId="79BE6FD8" w14:textId="77777777" w:rsidR="003E0EAD" w:rsidRDefault="003E0EAD" w:rsidP="003E0EAD">
      <w:pPr>
        <w:pStyle w:val="13"/>
      </w:pPr>
      <w:r>
        <w:t>3、论证对象未来年度一般公共预算支出的预测。逐年介绍论证对象未来年度一般公共预算支出的预测方法及预测结果。</w:t>
      </w:r>
    </w:p>
    <w:p w14:paraId="19D5ACE1" w14:textId="77777777" w:rsidR="003E0EAD" w:rsidRDefault="003E0EAD" w:rsidP="003E0EAD">
      <w:pPr>
        <w:pStyle w:val="13"/>
      </w:pPr>
      <w:r>
        <w:t>4、财政支出能力评估结论。论证报告通常需要说明财政支出能力评估结论。必要时，可对论证报告进行情景分析，分析合同提前终止情景下的财政支出能力情况。</w:t>
      </w:r>
    </w:p>
    <w:p w14:paraId="3555ED82" w14:textId="77777777" w:rsidR="003E0EAD" w:rsidRDefault="003E0EAD" w:rsidP="003E0EAD">
      <w:pPr>
        <w:pStyle w:val="13"/>
      </w:pPr>
      <w:r>
        <w:rPr>
          <w:rFonts w:hint="eastAsia"/>
        </w:rPr>
        <w:t>（六）行业和领域均衡性评估</w:t>
      </w:r>
    </w:p>
    <w:p w14:paraId="12A3DE99" w14:textId="77777777" w:rsidR="003E0EAD" w:rsidRDefault="003E0EAD" w:rsidP="003E0EAD">
      <w:pPr>
        <w:pStyle w:val="13"/>
      </w:pPr>
      <w:r>
        <w:rPr>
          <w:rFonts w:hint="eastAsia"/>
        </w:rPr>
        <w:t>论证报告通常需要说明行业和领域均衡性评估的方法和过程，说明行业和领域均衡性评估的结论及相关建议。</w:t>
      </w:r>
    </w:p>
    <w:p w14:paraId="339F5B11" w14:textId="77777777" w:rsidR="003E0EAD" w:rsidRDefault="003E0EAD" w:rsidP="003E0EAD">
      <w:pPr>
        <w:pStyle w:val="13"/>
      </w:pPr>
      <w:r>
        <w:rPr>
          <w:rFonts w:hint="eastAsia"/>
        </w:rPr>
        <w:t>（七）财政承受能力论证结论及分析</w:t>
      </w:r>
    </w:p>
    <w:p w14:paraId="03755998" w14:textId="77777777" w:rsidR="003E0EAD" w:rsidRDefault="003E0EAD" w:rsidP="003E0EAD">
      <w:pPr>
        <w:pStyle w:val="13"/>
      </w:pPr>
      <w:r>
        <w:rPr>
          <w:rFonts w:hint="eastAsia"/>
        </w:rPr>
        <w:t>论证报告说明论证结论，并对论证结论进行必要的分析。</w:t>
      </w:r>
    </w:p>
    <w:p w14:paraId="47FADB75" w14:textId="77777777" w:rsidR="003E0EAD" w:rsidRDefault="003E0EAD" w:rsidP="003E0EAD">
      <w:pPr>
        <w:pStyle w:val="13"/>
      </w:pPr>
      <w:r>
        <w:t>1、财政承受能力论证结论</w:t>
      </w:r>
    </w:p>
    <w:p w14:paraId="7DC1FD07" w14:textId="77777777" w:rsidR="003E0EAD" w:rsidRDefault="003E0EAD" w:rsidP="003E0EAD">
      <w:pPr>
        <w:pStyle w:val="13"/>
      </w:pPr>
      <w:r>
        <w:rPr>
          <w:rFonts w:hint="eastAsia"/>
        </w:rPr>
        <w:t>分别说明财政支出能力评估结论、行业和领域均衡性评估，以及必要的分析。</w:t>
      </w:r>
    </w:p>
    <w:p w14:paraId="1614FA78" w14:textId="77777777" w:rsidR="003E0EAD" w:rsidRDefault="003E0EAD" w:rsidP="003E0EAD">
      <w:pPr>
        <w:pStyle w:val="13"/>
      </w:pPr>
      <w:r>
        <w:t>2、相关建议</w:t>
      </w:r>
    </w:p>
    <w:p w14:paraId="3DD98A10" w14:textId="4CAEEFB3" w:rsidR="003E0EAD" w:rsidRDefault="003E0EAD" w:rsidP="003E0EAD">
      <w:pPr>
        <w:pStyle w:val="13"/>
      </w:pPr>
      <w:r>
        <w:rPr>
          <w:rFonts w:hint="eastAsia"/>
        </w:rPr>
        <w:t>论证报告需有针对性地对论证对象提高财政承受能力和防范</w:t>
      </w:r>
      <w:r w:rsidR="00B65C82">
        <w:t>PPP</w:t>
      </w:r>
      <w:r>
        <w:t>项目的支付风险提出合理建议。</w:t>
      </w:r>
    </w:p>
    <w:p w14:paraId="5D9251B1" w14:textId="77777777" w:rsidR="003E0EAD" w:rsidRDefault="003E0EAD" w:rsidP="003E0EAD">
      <w:pPr>
        <w:pStyle w:val="13"/>
      </w:pPr>
      <w:r>
        <w:t>3、论证报告使用限制等其他需要说明的问题</w:t>
      </w:r>
    </w:p>
    <w:p w14:paraId="5154D0E3" w14:textId="77777777" w:rsidR="003E0EAD" w:rsidRDefault="003E0EAD" w:rsidP="003E0EAD">
      <w:pPr>
        <w:pStyle w:val="13"/>
      </w:pPr>
      <w:r>
        <w:rPr>
          <w:rFonts w:hint="eastAsia"/>
        </w:rPr>
        <w:t>财政承受能力论证报告的使用限制说明通常包括：</w:t>
      </w:r>
    </w:p>
    <w:p w14:paraId="3DDE6949" w14:textId="07392283" w:rsidR="003E0EAD" w:rsidRDefault="003E0EAD" w:rsidP="003E0EAD">
      <w:pPr>
        <w:pStyle w:val="13"/>
      </w:pPr>
      <w:r>
        <w:rPr>
          <w:rFonts w:hint="eastAsia"/>
        </w:rPr>
        <w:t>（</w:t>
      </w:r>
      <w:r>
        <w:t>1）财政承受能力论证报告只能用于为论证对象对PPP项目进行科学管理提供</w:t>
      </w:r>
      <w:r>
        <w:lastRenderedPageBreak/>
        <w:t>参考；</w:t>
      </w:r>
    </w:p>
    <w:p w14:paraId="1879E0AD" w14:textId="35EDB1EA" w:rsidR="003E0EAD" w:rsidRDefault="003E0EAD" w:rsidP="003E0EAD">
      <w:pPr>
        <w:pStyle w:val="13"/>
      </w:pPr>
      <w:r>
        <w:rPr>
          <w:rFonts w:hint="eastAsia"/>
        </w:rPr>
        <w:t>（</w:t>
      </w:r>
      <w:r>
        <w:t>2）财政承受能力论证报告只能由论证报告载明的论证报告使用者使用；</w:t>
      </w:r>
    </w:p>
    <w:p w14:paraId="16AD0772" w14:textId="7ACF2BEE" w:rsidR="003E0EAD" w:rsidRDefault="003E0EAD" w:rsidP="003E0EAD">
      <w:pPr>
        <w:pStyle w:val="13"/>
      </w:pPr>
      <w:r>
        <w:rPr>
          <w:rFonts w:hint="eastAsia"/>
        </w:rPr>
        <w:t>（</w:t>
      </w:r>
      <w:r>
        <w:t>3）未征得委托方、相关政府部门或出具财政承受能力论证报告的评估机构同意，财政承受能力论证报告的内容不得被摘抄、引用或披露于公开媒体，法律、法规规定及相关当事方另有约定的除外；</w:t>
      </w:r>
    </w:p>
    <w:p w14:paraId="0703558B" w14:textId="78D54610" w:rsidR="003E0EAD" w:rsidRDefault="003E0EAD" w:rsidP="003E0EAD">
      <w:pPr>
        <w:pStyle w:val="13"/>
      </w:pPr>
      <w:r>
        <w:rPr>
          <w:rFonts w:hint="eastAsia"/>
        </w:rPr>
        <w:t>（</w:t>
      </w:r>
      <w:r>
        <w:t>4）财政承受能力论证程序受限造成的论证报告的使用限制。</w:t>
      </w:r>
    </w:p>
    <w:p w14:paraId="25F560A8" w14:textId="77777777" w:rsidR="003E0EAD" w:rsidRDefault="003E0EAD" w:rsidP="003E0EAD">
      <w:pPr>
        <w:pStyle w:val="13"/>
      </w:pPr>
      <w:r>
        <w:rPr>
          <w:rFonts w:hint="eastAsia"/>
        </w:rPr>
        <w:t>（八）论证报告日</w:t>
      </w:r>
    </w:p>
    <w:p w14:paraId="5189D87C" w14:textId="77777777" w:rsidR="003E0EAD" w:rsidRDefault="003E0EAD" w:rsidP="003E0EAD">
      <w:pPr>
        <w:pStyle w:val="13"/>
      </w:pPr>
      <w:r>
        <w:rPr>
          <w:rFonts w:hint="eastAsia"/>
        </w:rPr>
        <w:t>论证报告应载明论证报告日。</w:t>
      </w:r>
    </w:p>
    <w:p w14:paraId="3042E384" w14:textId="77777777" w:rsidR="003E0EAD" w:rsidRDefault="003E0EAD" w:rsidP="003E0EAD">
      <w:pPr>
        <w:pStyle w:val="13"/>
      </w:pPr>
      <w:r>
        <w:rPr>
          <w:rFonts w:hint="eastAsia"/>
        </w:rPr>
        <w:t>论证报告日通常为评估机构形成最终评价结论的日期。</w:t>
      </w:r>
    </w:p>
    <w:p w14:paraId="111F09F6" w14:textId="77777777" w:rsidR="003E0EAD" w:rsidRDefault="003E0EAD" w:rsidP="003E0EAD">
      <w:pPr>
        <w:pStyle w:val="13"/>
      </w:pPr>
      <w:r>
        <w:rPr>
          <w:rFonts w:hint="eastAsia"/>
        </w:rPr>
        <w:t>（九）评估机构盖章</w:t>
      </w:r>
    </w:p>
    <w:p w14:paraId="6ECDCF06" w14:textId="77777777" w:rsidR="003E0EAD" w:rsidRDefault="003E0EAD" w:rsidP="003E0EAD">
      <w:pPr>
        <w:pStyle w:val="13"/>
      </w:pPr>
      <w:r>
        <w:rPr>
          <w:rFonts w:hint="eastAsia"/>
        </w:rPr>
        <w:t>论证报告应当加盖评估机构公章。</w:t>
      </w:r>
    </w:p>
    <w:p w14:paraId="688BFCE8" w14:textId="77777777" w:rsidR="003E0EAD" w:rsidRDefault="003E0EAD" w:rsidP="003E0EAD">
      <w:pPr>
        <w:pStyle w:val="13"/>
      </w:pPr>
      <w:r>
        <w:rPr>
          <w:rFonts w:hint="eastAsia"/>
        </w:rPr>
        <w:t>（十）论证报告附件</w:t>
      </w:r>
    </w:p>
    <w:p w14:paraId="5D72477E" w14:textId="77777777" w:rsidR="003E0EAD" w:rsidRDefault="003E0EAD" w:rsidP="003E0EAD">
      <w:pPr>
        <w:pStyle w:val="13"/>
      </w:pPr>
      <w:r>
        <w:rPr>
          <w:rFonts w:hint="eastAsia"/>
        </w:rPr>
        <w:t>论证报告附件通常包括：</w:t>
      </w:r>
    </w:p>
    <w:p w14:paraId="042D863E" w14:textId="77777777" w:rsidR="003E0EAD" w:rsidRDefault="003E0EAD" w:rsidP="003E0EAD">
      <w:pPr>
        <w:pStyle w:val="13"/>
      </w:pPr>
      <w:r>
        <w:t>1、财政承受能力论证委托书；</w:t>
      </w:r>
    </w:p>
    <w:p w14:paraId="6183A75A" w14:textId="77777777" w:rsidR="003E0EAD" w:rsidRDefault="003E0EAD" w:rsidP="003E0EAD">
      <w:pPr>
        <w:pStyle w:val="13"/>
      </w:pPr>
      <w:r>
        <w:t>2、项目（初步）实施方案的摘要或重要内容；</w:t>
      </w:r>
    </w:p>
    <w:p w14:paraId="12B815B1" w14:textId="77777777" w:rsidR="003E0EAD" w:rsidRDefault="003E0EAD" w:rsidP="003E0EAD">
      <w:pPr>
        <w:pStyle w:val="13"/>
      </w:pPr>
      <w:r>
        <w:t>3、可</w:t>
      </w:r>
      <w:proofErr w:type="gramStart"/>
      <w:r>
        <w:t>研</w:t>
      </w:r>
      <w:proofErr w:type="gramEnd"/>
      <w:r>
        <w:t>报告的摘要或重要内容；</w:t>
      </w:r>
    </w:p>
    <w:p w14:paraId="35CDFCCE" w14:textId="0A002CE9" w:rsidR="003E0EAD" w:rsidRDefault="003E0EAD" w:rsidP="003E0EAD">
      <w:pPr>
        <w:pStyle w:val="13"/>
      </w:pPr>
      <w:r>
        <w:t>4、引用的其他</w:t>
      </w:r>
      <w:r w:rsidR="00B65C82">
        <w:t>PPP</w:t>
      </w:r>
      <w:r>
        <w:t>项目财政承受能力论证报告的摘要或重要内容；</w:t>
      </w:r>
    </w:p>
    <w:p w14:paraId="3A684AAB" w14:textId="77777777" w:rsidR="003E0EAD" w:rsidRDefault="003E0EAD" w:rsidP="003E0EAD">
      <w:pPr>
        <w:pStyle w:val="13"/>
      </w:pPr>
      <w:r>
        <w:t>5、主要论证依据；</w:t>
      </w:r>
    </w:p>
    <w:p w14:paraId="4E05682C" w14:textId="77777777" w:rsidR="003E0EAD" w:rsidRDefault="003E0EAD" w:rsidP="003E0EAD">
      <w:pPr>
        <w:pStyle w:val="13"/>
      </w:pPr>
      <w:r>
        <w:t>6、其他支持论证结论的相关资料；</w:t>
      </w:r>
    </w:p>
    <w:p w14:paraId="407A48F6" w14:textId="77777777" w:rsidR="003E0EAD" w:rsidRDefault="003E0EAD" w:rsidP="003E0EAD">
      <w:pPr>
        <w:pStyle w:val="13"/>
      </w:pPr>
      <w:r>
        <w:t>7、其他重要文件。</w:t>
      </w:r>
    </w:p>
    <w:p w14:paraId="3CDD7DAE" w14:textId="5998FE24" w:rsidR="003E0EAD" w:rsidRDefault="003E0EAD" w:rsidP="00AF7342">
      <w:pPr>
        <w:pStyle w:val="a9"/>
        <w:spacing w:before="62" w:after="62"/>
      </w:pPr>
      <w:r>
        <w:rPr>
          <w:rFonts w:hint="eastAsia"/>
        </w:rPr>
        <w:t>第五章</w:t>
      </w:r>
      <w:r w:rsidR="00B65C82">
        <w:t>PPP</w:t>
      </w:r>
      <w:r>
        <w:t>项目尽职调查具体操作要求</w:t>
      </w:r>
    </w:p>
    <w:p w14:paraId="182B59A6" w14:textId="77777777" w:rsidR="003E0EAD" w:rsidRDefault="003E0EAD" w:rsidP="00AF7342">
      <w:pPr>
        <w:pStyle w:val="a9"/>
        <w:spacing w:before="62" w:after="62"/>
      </w:pPr>
      <w:r>
        <w:rPr>
          <w:rFonts w:hint="eastAsia"/>
        </w:rPr>
        <w:t>第一节</w:t>
      </w:r>
      <w:r>
        <w:t xml:space="preserve"> 尽职调查基本要求及方式</w:t>
      </w:r>
    </w:p>
    <w:p w14:paraId="521AFC30" w14:textId="77777777" w:rsidR="003E0EAD" w:rsidRDefault="003E0EAD" w:rsidP="004A3141">
      <w:pPr>
        <w:pStyle w:val="ab"/>
        <w:spacing w:before="62" w:after="62"/>
        <w:ind w:firstLine="482"/>
      </w:pPr>
      <w:r>
        <w:rPr>
          <w:rFonts w:hint="eastAsia"/>
        </w:rPr>
        <w:t>一、尽职调查的基本要求</w:t>
      </w:r>
    </w:p>
    <w:p w14:paraId="704990D4" w14:textId="782514F3" w:rsidR="003E0EAD" w:rsidRDefault="003E0EAD" w:rsidP="003E0EAD">
      <w:pPr>
        <w:pStyle w:val="13"/>
      </w:pPr>
      <w:r>
        <w:t>PPP项目尽职调查是指评估机构接受政府方或社会资本的委托，根据项目的具体要求，运用案卷研究、访谈、现场勘查、书面核实等方法，对标的公司或项目的背景、财务、业务、法律或其他专门事项进行客观、公正的调查、研究和核实，并形成书面报告的过程。在</w:t>
      </w:r>
      <w:r w:rsidR="00B65C82">
        <w:t>PPP</w:t>
      </w:r>
      <w:r>
        <w:t>项目实施过程中，常见的尽职调查通常包括新建项目尽职调查、存量项目（包括改建或扩建等）尽职调查及社会资本尽职调查三种形式。</w:t>
      </w:r>
    </w:p>
    <w:p w14:paraId="51461B96" w14:textId="70E38B1F" w:rsidR="003E0EAD" w:rsidRDefault="003E0EAD" w:rsidP="003E0EAD">
      <w:pPr>
        <w:pStyle w:val="13"/>
      </w:pPr>
      <w:r>
        <w:rPr>
          <w:rFonts w:hint="eastAsia"/>
        </w:rPr>
        <w:t>评估机构在开展</w:t>
      </w:r>
      <w:r w:rsidR="00B65C82">
        <w:t>PPP</w:t>
      </w:r>
      <w:r>
        <w:t>项目尽职调查过程时，通常关注下列事项：</w:t>
      </w:r>
    </w:p>
    <w:p w14:paraId="099D2C07" w14:textId="77777777" w:rsidR="003E0EAD" w:rsidRDefault="003E0EAD" w:rsidP="003E0EAD">
      <w:pPr>
        <w:pStyle w:val="13"/>
      </w:pPr>
      <w:r>
        <w:rPr>
          <w:rFonts w:hint="eastAsia"/>
        </w:rPr>
        <w:t>（一）明确尽职调查的类型和目的</w:t>
      </w:r>
    </w:p>
    <w:p w14:paraId="6DAEB68C" w14:textId="77777777" w:rsidR="003E0EAD" w:rsidRDefault="003E0EAD" w:rsidP="003E0EAD">
      <w:pPr>
        <w:pStyle w:val="13"/>
      </w:pPr>
      <w:r>
        <w:rPr>
          <w:rFonts w:hint="eastAsia"/>
        </w:rPr>
        <w:t>尽职调查通常分为专项调查和综合调查。专项调查是对项目或公司的背景、财务、业务、法律或其他专门事项中的一项进行调查分析，综合调查则对上述事项中的多项进行调查分析。</w:t>
      </w:r>
    </w:p>
    <w:p w14:paraId="629E06ED" w14:textId="1D5C08A6" w:rsidR="003E0EAD" w:rsidRDefault="003E0EAD" w:rsidP="003E0EAD">
      <w:pPr>
        <w:pStyle w:val="13"/>
      </w:pPr>
      <w:r>
        <w:rPr>
          <w:rFonts w:hint="eastAsia"/>
        </w:rPr>
        <w:lastRenderedPageBreak/>
        <w:t>实施尽职调查前通常与委托方进行详细沟通，充分了解本次尽职调查的主要目的及调查对象。对新建或存量</w:t>
      </w:r>
      <w:r w:rsidR="00B65C82">
        <w:t>PPP</w:t>
      </w:r>
      <w:r>
        <w:t>项目开展尽职调查的目的通常是为政府方或社会资本更好地了解项目开展的背景、项目概况、项目进展、运作方式、风险分配、回报机制等，为各方是否实施</w:t>
      </w:r>
      <w:proofErr w:type="spellStart"/>
      <w:r w:rsidR="00B65C82">
        <w:t>PPP</w:t>
      </w:r>
      <w:proofErr w:type="spellEnd"/>
      <w:r>
        <w:t>项目提供决策参考。对社会资本开展尽职调查的目的，是便于政府遴选出合格、适当的</w:t>
      </w:r>
      <w:r w:rsidR="00B65C82">
        <w:t>PPP</w:t>
      </w:r>
      <w:r>
        <w:t>项目主要参与者和实施者，从而推进</w:t>
      </w:r>
      <w:r w:rsidR="00B65C82">
        <w:t>PPP</w:t>
      </w:r>
      <w:r>
        <w:t>项目顺利实施。</w:t>
      </w:r>
    </w:p>
    <w:p w14:paraId="637CABDB" w14:textId="77777777" w:rsidR="003E0EAD" w:rsidRDefault="003E0EAD" w:rsidP="003E0EAD">
      <w:pPr>
        <w:pStyle w:val="13"/>
      </w:pPr>
      <w:r>
        <w:rPr>
          <w:rFonts w:hint="eastAsia"/>
        </w:rPr>
        <w:t>确定尽职调查的目的和对象后，需要明确尽职调查的具体范围、工作重点及主要事项，使尽职调查工作具有针对性。</w:t>
      </w:r>
    </w:p>
    <w:p w14:paraId="40D9D0C4" w14:textId="77777777" w:rsidR="003E0EAD" w:rsidRDefault="003E0EAD" w:rsidP="003E0EAD">
      <w:pPr>
        <w:pStyle w:val="13"/>
      </w:pPr>
      <w:r>
        <w:rPr>
          <w:rFonts w:hint="eastAsia"/>
        </w:rPr>
        <w:t>（二）组建具有专业胜任能力的调查团队</w:t>
      </w:r>
    </w:p>
    <w:p w14:paraId="3574486A" w14:textId="4752EA8B" w:rsidR="003E0EAD" w:rsidRDefault="003E0EAD" w:rsidP="004A3141">
      <w:pPr>
        <w:pStyle w:val="13"/>
      </w:pPr>
      <w:r>
        <w:rPr>
          <w:rFonts w:hint="eastAsia"/>
        </w:rPr>
        <w:t>在尽职调查前，根据被调查对象和调查的具体范围、工作重点，组建具有专业胜任能力的项目团队。尽职调查项目团队通常具备财务、法律、行业技术、市场分析、</w:t>
      </w:r>
      <w:r>
        <w:t>PPP</w:t>
      </w:r>
      <w:r>
        <w:rPr>
          <w:rFonts w:hint="eastAsia"/>
        </w:rPr>
        <w:t>运作知识和企业管理方面的专业能力。项目团队要求恪尽职守、尽心尽责、忠诚履职。对于在调查工作中发现的重要问题，做进一步深入的调查分析，对被调查对象进行真实、全面、客观的了解。</w:t>
      </w:r>
    </w:p>
    <w:p w14:paraId="490AD98F" w14:textId="77777777" w:rsidR="003E0EAD" w:rsidRDefault="003E0EAD" w:rsidP="003E0EAD">
      <w:pPr>
        <w:pStyle w:val="13"/>
      </w:pPr>
      <w:r>
        <w:rPr>
          <w:rFonts w:hint="eastAsia"/>
        </w:rPr>
        <w:t>（三）尽职调查工作既要深入又要客观公正</w:t>
      </w:r>
    </w:p>
    <w:p w14:paraId="40490EA1" w14:textId="77777777" w:rsidR="003E0EAD" w:rsidRDefault="003E0EAD" w:rsidP="003E0EAD">
      <w:pPr>
        <w:pStyle w:val="13"/>
      </w:pPr>
      <w:r>
        <w:rPr>
          <w:rFonts w:hint="eastAsia"/>
        </w:rPr>
        <w:t>为了真实、全面了解被调查对象的某些方面情况，需要在深入被调查对象的实际操作流程和业务状态过程中，尽可能获取第一手资料。同时，也应站在第三方及被调查对象之外，客观公正地进行调查和</w:t>
      </w:r>
      <w:proofErr w:type="gramStart"/>
      <w:r>
        <w:rPr>
          <w:rFonts w:hint="eastAsia"/>
        </w:rPr>
        <w:t>研判</w:t>
      </w:r>
      <w:proofErr w:type="gramEnd"/>
      <w:r>
        <w:rPr>
          <w:rFonts w:hint="eastAsia"/>
        </w:rPr>
        <w:t>。</w:t>
      </w:r>
    </w:p>
    <w:p w14:paraId="4DC2FB7F" w14:textId="77777777" w:rsidR="003E0EAD" w:rsidRDefault="003E0EAD" w:rsidP="004A3141">
      <w:pPr>
        <w:pStyle w:val="ab"/>
        <w:spacing w:before="62" w:after="62"/>
        <w:ind w:firstLine="482"/>
      </w:pPr>
      <w:r>
        <w:rPr>
          <w:rFonts w:hint="eastAsia"/>
        </w:rPr>
        <w:t>二、尽职调查的方式</w:t>
      </w:r>
    </w:p>
    <w:p w14:paraId="4C371C24" w14:textId="77777777" w:rsidR="003E0EAD" w:rsidRDefault="003E0EAD" w:rsidP="003E0EAD">
      <w:pPr>
        <w:pStyle w:val="13"/>
      </w:pPr>
      <w:r>
        <w:rPr>
          <w:rFonts w:hint="eastAsia"/>
        </w:rPr>
        <w:t>（一）案卷研究</w:t>
      </w:r>
    </w:p>
    <w:p w14:paraId="793F6538" w14:textId="77777777" w:rsidR="003E0EAD" w:rsidRDefault="003E0EAD" w:rsidP="003E0EAD">
      <w:pPr>
        <w:pStyle w:val="13"/>
      </w:pPr>
      <w:r>
        <w:rPr>
          <w:rFonts w:hint="eastAsia"/>
        </w:rPr>
        <w:t>案卷研究要注意对处于同一行业的不同地区数据进行对比核实，如果不同来源的数据存在差异，需要分析差异的原因，并且在访谈、实地调研中进行核查，最后确定选择使用的数据。</w:t>
      </w:r>
    </w:p>
    <w:p w14:paraId="101B14E0" w14:textId="77777777" w:rsidR="003E0EAD" w:rsidRDefault="003E0EAD" w:rsidP="003E0EAD">
      <w:pPr>
        <w:pStyle w:val="13"/>
      </w:pPr>
      <w:r>
        <w:rPr>
          <w:rFonts w:hint="eastAsia"/>
        </w:rPr>
        <w:t>（二）访谈</w:t>
      </w:r>
    </w:p>
    <w:p w14:paraId="79FC8ED7" w14:textId="1B29B117" w:rsidR="003E0EAD" w:rsidRDefault="003E0EAD" w:rsidP="003E0EAD">
      <w:pPr>
        <w:pStyle w:val="13"/>
      </w:pPr>
      <w:r>
        <w:rPr>
          <w:rFonts w:hint="eastAsia"/>
        </w:rPr>
        <w:t>访谈是指调查人员与被调查对象相关人员之间直接面对面谈话和交流，获得调查所需信息，或者对有关问题进行阐述或交换意见。访谈前需要做好访谈对象的选择以及重点沟通问题的清单，访谈期间需要做好访谈记录。在</w:t>
      </w:r>
      <w:r w:rsidR="00B65C82">
        <w:t>PPP</w:t>
      </w:r>
      <w:r>
        <w:t>项目中，访谈对象一般包括政府或项目实施机构相关人员、行业专家、类似</w:t>
      </w:r>
      <w:r w:rsidR="00B65C82">
        <w:t>PPP</w:t>
      </w:r>
      <w:r>
        <w:t>项目管理者等。</w:t>
      </w:r>
    </w:p>
    <w:p w14:paraId="6900DA85" w14:textId="77777777" w:rsidR="003E0EAD" w:rsidRDefault="003E0EAD" w:rsidP="003E0EAD">
      <w:pPr>
        <w:pStyle w:val="13"/>
      </w:pPr>
      <w:r>
        <w:rPr>
          <w:rFonts w:hint="eastAsia"/>
        </w:rPr>
        <w:t>（三）现场勘察</w:t>
      </w:r>
    </w:p>
    <w:p w14:paraId="60CC0970" w14:textId="01FC4F84" w:rsidR="003E0EAD" w:rsidRDefault="003E0EAD" w:rsidP="003E0EAD">
      <w:pPr>
        <w:pStyle w:val="13"/>
      </w:pPr>
      <w:r>
        <w:rPr>
          <w:rFonts w:hint="eastAsia"/>
        </w:rPr>
        <w:t>现场工作对于尽职调查非常重要。调查人员通常需要亲临</w:t>
      </w:r>
      <w:r w:rsidR="00B65C82">
        <w:t>PPP</w:t>
      </w:r>
      <w:r>
        <w:t>项目所在地或调查目的地，详细查看项目地理方位、交通条件、环境设施、项目实施进度等，增强项目的感性认识，获得项目的第一手资料。</w:t>
      </w:r>
    </w:p>
    <w:p w14:paraId="0E9307D3" w14:textId="77777777" w:rsidR="003E0EAD" w:rsidRDefault="003E0EAD" w:rsidP="003E0EAD">
      <w:pPr>
        <w:pStyle w:val="13"/>
      </w:pPr>
      <w:r>
        <w:rPr>
          <w:rFonts w:hint="eastAsia"/>
        </w:rPr>
        <w:t>（四）书面核实</w:t>
      </w:r>
    </w:p>
    <w:p w14:paraId="399FDFFA" w14:textId="111CE6AB" w:rsidR="003E0EAD" w:rsidRDefault="003E0EAD" w:rsidP="003E0EAD">
      <w:pPr>
        <w:pStyle w:val="13"/>
      </w:pPr>
      <w:r>
        <w:rPr>
          <w:rFonts w:hint="eastAsia"/>
        </w:rPr>
        <w:t>在尽职调查中，对</w:t>
      </w:r>
      <w:r w:rsidR="00B65C82">
        <w:t>PPP</w:t>
      </w:r>
      <w:r>
        <w:t>项目的批准文件、产权证明、财务报表等资料进行收集，</w:t>
      </w:r>
      <w:r>
        <w:lastRenderedPageBreak/>
        <w:t>调查人员需要核对原件。对于书面文件，调查人员需要注意甄别真伪，确认书面资料的真实性、准确性和可靠性。对于部分资料，调查人员还可以前往出具文件的单位或部门进行独立验证。</w:t>
      </w:r>
    </w:p>
    <w:p w14:paraId="456047BF" w14:textId="77777777" w:rsidR="003E0EAD" w:rsidRDefault="003E0EAD" w:rsidP="003E0EAD">
      <w:pPr>
        <w:pStyle w:val="13"/>
      </w:pPr>
      <w:r>
        <w:rPr>
          <w:rFonts w:hint="eastAsia"/>
        </w:rPr>
        <w:t>（五）其他必要的方式</w:t>
      </w:r>
    </w:p>
    <w:p w14:paraId="2353F657" w14:textId="52FCBBF3" w:rsidR="003E0EAD" w:rsidRDefault="003E0EAD" w:rsidP="004A3141">
      <w:pPr>
        <w:pStyle w:val="13"/>
      </w:pPr>
      <w:r>
        <w:rPr>
          <w:rFonts w:hint="eastAsia"/>
        </w:rPr>
        <w:t>对于专业技术性较强的调查内容，调查人员可以借助函证、计算、分析性复核、第三方佐证等方式进行调查核实，确保调查内容的客观真实。</w:t>
      </w:r>
    </w:p>
    <w:p w14:paraId="0B6BCA80" w14:textId="77777777" w:rsidR="003E0EAD" w:rsidRDefault="003E0EAD" w:rsidP="004A3141">
      <w:pPr>
        <w:pStyle w:val="ab"/>
        <w:spacing w:before="62" w:after="62"/>
        <w:ind w:firstLine="482"/>
      </w:pPr>
      <w:r>
        <w:rPr>
          <w:rFonts w:hint="eastAsia"/>
        </w:rPr>
        <w:t>三、尽职调查报告的主要内容</w:t>
      </w:r>
    </w:p>
    <w:p w14:paraId="7252869A" w14:textId="74F57C9E" w:rsidR="003E0EAD" w:rsidRDefault="00B65C82" w:rsidP="004A3141">
      <w:pPr>
        <w:pStyle w:val="13"/>
      </w:pPr>
      <w:r>
        <w:t>PPP</w:t>
      </w:r>
      <w:r w:rsidR="003E0EAD">
        <w:t>项目尽职调查报告（或简称“</w:t>
      </w:r>
      <w:r>
        <w:t>PPP</w:t>
      </w:r>
      <w:r w:rsidR="003E0EAD">
        <w:t>尽调报告”）由标题、文号、正文和附件构</w:t>
      </w:r>
      <w:r w:rsidR="003E0EAD">
        <w:rPr>
          <w:rFonts w:hint="eastAsia"/>
        </w:rPr>
        <w:t>成。</w:t>
      </w:r>
    </w:p>
    <w:p w14:paraId="7B46A47A" w14:textId="77777777" w:rsidR="003E0EAD" w:rsidRDefault="003E0EAD" w:rsidP="003E0EAD">
      <w:pPr>
        <w:pStyle w:val="13"/>
      </w:pPr>
      <w:r>
        <w:rPr>
          <w:rFonts w:hint="eastAsia"/>
        </w:rPr>
        <w:t>（一）</w:t>
      </w:r>
      <w:proofErr w:type="gramStart"/>
      <w:r>
        <w:rPr>
          <w:rFonts w:hint="eastAsia"/>
        </w:rPr>
        <w:t>尽调报告</w:t>
      </w:r>
      <w:proofErr w:type="gramEnd"/>
      <w:r>
        <w:rPr>
          <w:rFonts w:hint="eastAsia"/>
        </w:rPr>
        <w:t>标题和</w:t>
      </w:r>
      <w:proofErr w:type="gramStart"/>
      <w:r>
        <w:rPr>
          <w:rFonts w:hint="eastAsia"/>
        </w:rPr>
        <w:t>文号</w:t>
      </w:r>
      <w:proofErr w:type="gramEnd"/>
    </w:p>
    <w:p w14:paraId="3CF66CB6" w14:textId="7E581BB9" w:rsidR="004A3141" w:rsidRDefault="00B65C82" w:rsidP="003E0EAD">
      <w:pPr>
        <w:pStyle w:val="13"/>
      </w:pPr>
      <w:r>
        <w:t>PPP</w:t>
      </w:r>
      <w:proofErr w:type="gramStart"/>
      <w:r w:rsidR="003E0EAD">
        <w:t>尽调报告</w:t>
      </w:r>
      <w:proofErr w:type="gramEnd"/>
      <w:r w:rsidR="003E0EAD">
        <w:t>标题通常简明清晰，一般采用“调查对象+尽职调查报告”的形式。</w:t>
      </w:r>
    </w:p>
    <w:p w14:paraId="6020DE3F" w14:textId="0F369B74" w:rsidR="003E0EAD" w:rsidRDefault="003E0EAD" w:rsidP="003E0EAD">
      <w:pPr>
        <w:pStyle w:val="13"/>
      </w:pPr>
      <w:r>
        <w:t>报告文</w:t>
      </w:r>
      <w:proofErr w:type="gramStart"/>
      <w:r>
        <w:t>号包括</w:t>
      </w:r>
      <w:proofErr w:type="gramEnd"/>
      <w:r>
        <w:t>评估机构特征字、种类特征字、年份、报告序号。</w:t>
      </w:r>
    </w:p>
    <w:p w14:paraId="67FAEF86" w14:textId="77777777" w:rsidR="003E0EAD" w:rsidRDefault="003E0EAD" w:rsidP="003E0EAD">
      <w:pPr>
        <w:pStyle w:val="13"/>
      </w:pPr>
      <w:r>
        <w:rPr>
          <w:rFonts w:hint="eastAsia"/>
        </w:rPr>
        <w:t>（二）</w:t>
      </w:r>
      <w:proofErr w:type="gramStart"/>
      <w:r>
        <w:rPr>
          <w:rFonts w:hint="eastAsia"/>
        </w:rPr>
        <w:t>尽调报告</w:t>
      </w:r>
      <w:proofErr w:type="gramEnd"/>
      <w:r>
        <w:rPr>
          <w:rFonts w:hint="eastAsia"/>
        </w:rPr>
        <w:t>正文</w:t>
      </w:r>
    </w:p>
    <w:p w14:paraId="20C3E350" w14:textId="54B5451A" w:rsidR="003E0EAD" w:rsidRDefault="003E0EAD" w:rsidP="003E0EAD">
      <w:pPr>
        <w:pStyle w:val="13"/>
      </w:pPr>
      <w:r>
        <w:t>PPP项目尽职调查报告正文通常包括：</w:t>
      </w:r>
    </w:p>
    <w:p w14:paraId="15F442AA" w14:textId="77777777" w:rsidR="003E0EAD" w:rsidRDefault="003E0EAD" w:rsidP="003E0EAD">
      <w:pPr>
        <w:pStyle w:val="13"/>
      </w:pPr>
      <w:r>
        <w:t>1、绪言</w:t>
      </w:r>
    </w:p>
    <w:p w14:paraId="56AE3BFD" w14:textId="77777777" w:rsidR="003E0EAD" w:rsidRDefault="003E0EAD" w:rsidP="003E0EAD">
      <w:pPr>
        <w:pStyle w:val="13"/>
      </w:pPr>
      <w:r>
        <w:t>2、调查对象基本情况</w:t>
      </w:r>
    </w:p>
    <w:p w14:paraId="754036A4" w14:textId="77777777" w:rsidR="003E0EAD" w:rsidRDefault="003E0EAD" w:rsidP="003E0EAD">
      <w:pPr>
        <w:pStyle w:val="13"/>
      </w:pPr>
      <w:proofErr w:type="gramStart"/>
      <w:r>
        <w:rPr>
          <w:rFonts w:hint="eastAsia"/>
        </w:rPr>
        <w:t>尽调报告</w:t>
      </w:r>
      <w:proofErr w:type="gramEnd"/>
      <w:r>
        <w:rPr>
          <w:rFonts w:hint="eastAsia"/>
        </w:rPr>
        <w:t>通常根据调查对象特征及调查目的对调查对象进行必要的描述。</w:t>
      </w:r>
    </w:p>
    <w:p w14:paraId="3B7D3AB3" w14:textId="77777777" w:rsidR="003E0EAD" w:rsidRDefault="003E0EAD" w:rsidP="003E0EAD">
      <w:pPr>
        <w:pStyle w:val="13"/>
      </w:pPr>
      <w:r>
        <w:t>3、尽职调查要素</w:t>
      </w:r>
    </w:p>
    <w:p w14:paraId="4E41A816" w14:textId="77777777" w:rsidR="003E0EAD" w:rsidRDefault="003E0EAD" w:rsidP="003E0EAD">
      <w:pPr>
        <w:pStyle w:val="13"/>
      </w:pPr>
      <w:proofErr w:type="gramStart"/>
      <w:r>
        <w:rPr>
          <w:rFonts w:hint="eastAsia"/>
        </w:rPr>
        <w:t>尽调报告</w:t>
      </w:r>
      <w:proofErr w:type="gramEnd"/>
      <w:r>
        <w:rPr>
          <w:rFonts w:hint="eastAsia"/>
        </w:rPr>
        <w:t>要素主要包括委托方、调查对象和范围、调查目的和任务、调查期间、调查方式以及调查程序等。</w:t>
      </w:r>
    </w:p>
    <w:p w14:paraId="47DA43A3" w14:textId="77777777" w:rsidR="003E0EAD" w:rsidRDefault="003E0EAD" w:rsidP="003E0EAD">
      <w:pPr>
        <w:pStyle w:val="13"/>
      </w:pPr>
      <w:r>
        <w:t>4、调查过程及方式</w:t>
      </w:r>
    </w:p>
    <w:p w14:paraId="1B61906B" w14:textId="77777777" w:rsidR="003E0EAD" w:rsidRDefault="003E0EAD" w:rsidP="003E0EAD">
      <w:pPr>
        <w:pStyle w:val="13"/>
      </w:pPr>
      <w:proofErr w:type="gramStart"/>
      <w:r>
        <w:rPr>
          <w:rFonts w:hint="eastAsia"/>
        </w:rPr>
        <w:t>尽调报告</w:t>
      </w:r>
      <w:proofErr w:type="gramEnd"/>
      <w:r>
        <w:rPr>
          <w:rFonts w:hint="eastAsia"/>
        </w:rPr>
        <w:t>通常需要说明调查过程及采用的调查方式。</w:t>
      </w:r>
    </w:p>
    <w:p w14:paraId="08EE284C" w14:textId="77777777" w:rsidR="003E0EAD" w:rsidRDefault="003E0EAD" w:rsidP="003E0EAD">
      <w:pPr>
        <w:pStyle w:val="13"/>
      </w:pPr>
      <w:r>
        <w:t>5、调查结论</w:t>
      </w:r>
    </w:p>
    <w:p w14:paraId="338CB3C4" w14:textId="77777777" w:rsidR="003E0EAD" w:rsidRDefault="003E0EAD" w:rsidP="003E0EAD">
      <w:pPr>
        <w:pStyle w:val="13"/>
      </w:pPr>
      <w:proofErr w:type="gramStart"/>
      <w:r>
        <w:rPr>
          <w:rFonts w:hint="eastAsia"/>
        </w:rPr>
        <w:t>尽调报告</w:t>
      </w:r>
      <w:proofErr w:type="gramEnd"/>
      <w:r>
        <w:rPr>
          <w:rFonts w:hint="eastAsia"/>
        </w:rPr>
        <w:t>通常包含调查结论、相关建议等。</w:t>
      </w:r>
    </w:p>
    <w:p w14:paraId="37D93CF9" w14:textId="77777777" w:rsidR="003E0EAD" w:rsidRDefault="003E0EAD" w:rsidP="003E0EAD">
      <w:pPr>
        <w:pStyle w:val="13"/>
      </w:pPr>
      <w:r>
        <w:t>6、报告日</w:t>
      </w:r>
    </w:p>
    <w:p w14:paraId="2404DCF9" w14:textId="77777777" w:rsidR="003E0EAD" w:rsidRDefault="003E0EAD" w:rsidP="003E0EAD">
      <w:pPr>
        <w:pStyle w:val="13"/>
      </w:pPr>
      <w:proofErr w:type="gramStart"/>
      <w:r>
        <w:rPr>
          <w:rFonts w:hint="eastAsia"/>
        </w:rPr>
        <w:t>尽调报告</w:t>
      </w:r>
      <w:proofErr w:type="gramEnd"/>
      <w:r>
        <w:rPr>
          <w:rFonts w:hint="eastAsia"/>
        </w:rPr>
        <w:t>应载明报告日，报告日通常为评估机构形成最终调查结论的日期。</w:t>
      </w:r>
    </w:p>
    <w:p w14:paraId="699DFEFE" w14:textId="77777777" w:rsidR="003E0EAD" w:rsidRDefault="003E0EAD" w:rsidP="003E0EAD">
      <w:pPr>
        <w:pStyle w:val="13"/>
      </w:pPr>
      <w:r>
        <w:t>7、盖章</w:t>
      </w:r>
    </w:p>
    <w:p w14:paraId="6D4C3B80" w14:textId="77777777" w:rsidR="003E0EAD" w:rsidRDefault="003E0EAD" w:rsidP="003E0EAD">
      <w:pPr>
        <w:pStyle w:val="13"/>
      </w:pPr>
      <w:proofErr w:type="gramStart"/>
      <w:r>
        <w:rPr>
          <w:rFonts w:hint="eastAsia"/>
        </w:rPr>
        <w:t>尽调报告</w:t>
      </w:r>
      <w:proofErr w:type="gramEnd"/>
      <w:r>
        <w:rPr>
          <w:rFonts w:hint="eastAsia"/>
        </w:rPr>
        <w:t>需要加盖评估机构公章。</w:t>
      </w:r>
    </w:p>
    <w:p w14:paraId="2093868D" w14:textId="77777777" w:rsidR="003E0EAD" w:rsidRDefault="003E0EAD" w:rsidP="003E0EAD">
      <w:pPr>
        <w:pStyle w:val="13"/>
      </w:pPr>
      <w:r>
        <w:rPr>
          <w:rFonts w:hint="eastAsia"/>
        </w:rPr>
        <w:t>（三）</w:t>
      </w:r>
      <w:proofErr w:type="gramStart"/>
      <w:r>
        <w:rPr>
          <w:rFonts w:hint="eastAsia"/>
        </w:rPr>
        <w:t>尽调报告</w:t>
      </w:r>
      <w:proofErr w:type="gramEnd"/>
      <w:r>
        <w:rPr>
          <w:rFonts w:hint="eastAsia"/>
        </w:rPr>
        <w:t>附件</w:t>
      </w:r>
    </w:p>
    <w:p w14:paraId="569D9C2C" w14:textId="77777777" w:rsidR="003E0EAD" w:rsidRDefault="003E0EAD" w:rsidP="003E0EAD">
      <w:pPr>
        <w:pStyle w:val="13"/>
      </w:pPr>
      <w:proofErr w:type="gramStart"/>
      <w:r>
        <w:rPr>
          <w:rFonts w:hint="eastAsia"/>
        </w:rPr>
        <w:t>尽调报告</w:t>
      </w:r>
      <w:proofErr w:type="gramEnd"/>
      <w:r>
        <w:rPr>
          <w:rFonts w:hint="eastAsia"/>
        </w:rPr>
        <w:t>附件通常包括：</w:t>
      </w:r>
      <w:proofErr w:type="gramStart"/>
      <w:r>
        <w:rPr>
          <w:rFonts w:hint="eastAsia"/>
        </w:rPr>
        <w:t>尽调委托书</w:t>
      </w:r>
      <w:proofErr w:type="gramEnd"/>
      <w:r>
        <w:rPr>
          <w:rFonts w:hint="eastAsia"/>
        </w:rPr>
        <w:t>、</w:t>
      </w:r>
      <w:proofErr w:type="gramStart"/>
      <w:r>
        <w:rPr>
          <w:rFonts w:hint="eastAsia"/>
        </w:rPr>
        <w:t>尽调对象</w:t>
      </w:r>
      <w:proofErr w:type="gramEnd"/>
      <w:r>
        <w:rPr>
          <w:rFonts w:hint="eastAsia"/>
        </w:rPr>
        <w:t>相关文件、评估机构资质、其他重要文件等。</w:t>
      </w:r>
    </w:p>
    <w:p w14:paraId="190FF53F" w14:textId="77777777" w:rsidR="003E0EAD" w:rsidRDefault="003E0EAD" w:rsidP="00AF7342">
      <w:pPr>
        <w:pStyle w:val="a9"/>
        <w:spacing w:before="62" w:after="62"/>
      </w:pPr>
      <w:r>
        <w:rPr>
          <w:rFonts w:hint="eastAsia"/>
        </w:rPr>
        <w:t>第二节</w:t>
      </w:r>
      <w:r>
        <w:t xml:space="preserve"> 新建项目尽职调查操作要求</w:t>
      </w:r>
    </w:p>
    <w:p w14:paraId="2140C085" w14:textId="732E7479" w:rsidR="003E0EAD" w:rsidRDefault="003E0EAD" w:rsidP="003E0EAD">
      <w:pPr>
        <w:pStyle w:val="13"/>
      </w:pPr>
      <w:r>
        <w:rPr>
          <w:rFonts w:hint="eastAsia"/>
        </w:rPr>
        <w:t>新建</w:t>
      </w:r>
      <w:r w:rsidR="00B65C82">
        <w:t>PPP</w:t>
      </w:r>
      <w:r>
        <w:t>项目是指尚未进入立项审批和建设程序的政府和社会资本拟合作实施</w:t>
      </w:r>
      <w:r w:rsidR="00B65C82">
        <w:lastRenderedPageBreak/>
        <w:t>PPP</w:t>
      </w:r>
      <w:r>
        <w:t>模式下的项目。新建</w:t>
      </w:r>
      <w:r w:rsidR="00B65C82">
        <w:t>PPP</w:t>
      </w:r>
      <w:r>
        <w:t>项目，由于项目各方面情况尚不明晰，尤其是社会资本，可能需要对新建</w:t>
      </w:r>
      <w:r w:rsidR="00B65C82">
        <w:t>PPP</w:t>
      </w:r>
      <w:r>
        <w:t>项目进行尽职调查，从而有利于全面了解项目情况，便于做出投资决策和判断。</w:t>
      </w:r>
    </w:p>
    <w:p w14:paraId="4C26842F" w14:textId="77777777" w:rsidR="003E0EAD" w:rsidRDefault="003E0EAD" w:rsidP="004A3141">
      <w:pPr>
        <w:pStyle w:val="ab"/>
        <w:spacing w:before="62" w:after="62"/>
        <w:ind w:firstLine="482"/>
      </w:pPr>
      <w:r>
        <w:rPr>
          <w:rFonts w:hint="eastAsia"/>
        </w:rPr>
        <w:t>一、新建项目尽职调查的资料收集</w:t>
      </w:r>
    </w:p>
    <w:p w14:paraId="7CA9DF0E" w14:textId="0860797C" w:rsidR="003E0EAD" w:rsidRDefault="003E0EAD" w:rsidP="003E0EAD">
      <w:pPr>
        <w:pStyle w:val="13"/>
      </w:pPr>
      <w:r>
        <w:rPr>
          <w:rFonts w:hint="eastAsia"/>
        </w:rPr>
        <w:t>开展新建</w:t>
      </w:r>
      <w:r w:rsidR="00B65C82">
        <w:t>PPP</w:t>
      </w:r>
      <w:r>
        <w:t>项目尽职调查时，需要收集如下资料：</w:t>
      </w:r>
    </w:p>
    <w:p w14:paraId="1BDF1014" w14:textId="77777777" w:rsidR="003E0EAD" w:rsidRDefault="003E0EAD" w:rsidP="003E0EAD">
      <w:pPr>
        <w:pStyle w:val="13"/>
      </w:pPr>
      <w:r>
        <w:rPr>
          <w:rFonts w:hint="eastAsia"/>
        </w:rPr>
        <w:t>（一）与项目相关的法律法规、规章制度及政策；</w:t>
      </w:r>
    </w:p>
    <w:p w14:paraId="577889A2" w14:textId="77777777" w:rsidR="003E0EAD" w:rsidRDefault="003E0EAD" w:rsidP="003E0EAD">
      <w:pPr>
        <w:pStyle w:val="13"/>
      </w:pPr>
      <w:r>
        <w:rPr>
          <w:rFonts w:hint="eastAsia"/>
        </w:rPr>
        <w:t>（二）宏观经济、区域经济、产业发展基本情况及前景相关资料；</w:t>
      </w:r>
    </w:p>
    <w:p w14:paraId="4644F8CC" w14:textId="77777777" w:rsidR="003E0EAD" w:rsidRDefault="003E0EAD" w:rsidP="003E0EAD">
      <w:pPr>
        <w:pStyle w:val="13"/>
      </w:pPr>
      <w:r>
        <w:rPr>
          <w:rFonts w:hint="eastAsia"/>
        </w:rPr>
        <w:t>（三）与项目建设和运营相关的技术规范与标准；</w:t>
      </w:r>
    </w:p>
    <w:p w14:paraId="5F0987FE" w14:textId="77777777" w:rsidR="003E0EAD" w:rsidRDefault="003E0EAD" w:rsidP="003E0EAD">
      <w:pPr>
        <w:pStyle w:val="13"/>
      </w:pPr>
      <w:r>
        <w:rPr>
          <w:rFonts w:hint="eastAsia"/>
        </w:rPr>
        <w:t>（四）银行利率及汇率、税收政策及税收优惠；</w:t>
      </w:r>
    </w:p>
    <w:p w14:paraId="0BB30BF8" w14:textId="77777777" w:rsidR="003E0EAD" w:rsidRDefault="003E0EAD" w:rsidP="003E0EAD">
      <w:pPr>
        <w:pStyle w:val="13"/>
      </w:pPr>
      <w:r>
        <w:rPr>
          <w:rFonts w:hint="eastAsia"/>
        </w:rPr>
        <w:t>（五）项目列入开发计划、列作示范项目的相关文件；</w:t>
      </w:r>
    </w:p>
    <w:p w14:paraId="6EDEE3C3" w14:textId="77777777" w:rsidR="003E0EAD" w:rsidRDefault="003E0EAD" w:rsidP="003E0EAD">
      <w:pPr>
        <w:pStyle w:val="13"/>
      </w:pPr>
      <w:r>
        <w:rPr>
          <w:rFonts w:hint="eastAsia"/>
        </w:rPr>
        <w:t>（六）项目相关批文、项目可</w:t>
      </w:r>
      <w:proofErr w:type="gramStart"/>
      <w:r>
        <w:rPr>
          <w:rFonts w:hint="eastAsia"/>
        </w:rPr>
        <w:t>研</w:t>
      </w:r>
      <w:proofErr w:type="gramEnd"/>
      <w:r>
        <w:rPr>
          <w:rFonts w:hint="eastAsia"/>
        </w:rPr>
        <w:t>报告、项目产出说明、项目初步实施方案；</w:t>
      </w:r>
    </w:p>
    <w:p w14:paraId="77D4924B" w14:textId="77777777" w:rsidR="003E0EAD" w:rsidRDefault="003E0EAD" w:rsidP="003E0EAD">
      <w:pPr>
        <w:pStyle w:val="13"/>
      </w:pPr>
      <w:r>
        <w:rPr>
          <w:rFonts w:hint="eastAsia"/>
        </w:rPr>
        <w:t>（七）项目物有所值评价报告及项目财政承受能力评价报告；</w:t>
      </w:r>
    </w:p>
    <w:p w14:paraId="30FD3B29" w14:textId="77777777" w:rsidR="003E0EAD" w:rsidRDefault="003E0EAD" w:rsidP="003E0EAD">
      <w:pPr>
        <w:pStyle w:val="13"/>
      </w:pPr>
      <w:r>
        <w:rPr>
          <w:rFonts w:hint="eastAsia"/>
        </w:rPr>
        <w:t>（八）对项目实施行政监管和执行管理的机构设置情况；</w:t>
      </w:r>
    </w:p>
    <w:p w14:paraId="7DD36DBB" w14:textId="77777777" w:rsidR="003E0EAD" w:rsidRDefault="003E0EAD" w:rsidP="003E0EAD">
      <w:pPr>
        <w:pStyle w:val="13"/>
      </w:pPr>
      <w:r>
        <w:rPr>
          <w:rFonts w:hint="eastAsia"/>
        </w:rPr>
        <w:t>（九）其他相关资料。</w:t>
      </w:r>
    </w:p>
    <w:p w14:paraId="332596F8" w14:textId="77777777" w:rsidR="003E0EAD" w:rsidRDefault="003E0EAD" w:rsidP="004A3141">
      <w:pPr>
        <w:pStyle w:val="ab"/>
        <w:spacing w:before="62" w:after="62"/>
        <w:ind w:firstLine="482"/>
      </w:pPr>
      <w:r>
        <w:rPr>
          <w:rFonts w:hint="eastAsia"/>
        </w:rPr>
        <w:t>二、新建项目尽职调查的主要内容及操作要求</w:t>
      </w:r>
    </w:p>
    <w:p w14:paraId="441D81A2" w14:textId="3DF01024" w:rsidR="003E0EAD" w:rsidRDefault="003E0EAD" w:rsidP="003E0EAD">
      <w:pPr>
        <w:pStyle w:val="13"/>
      </w:pPr>
      <w:r>
        <w:rPr>
          <w:rFonts w:hint="eastAsia"/>
        </w:rPr>
        <w:t>评估机构受社会资本委托对新建</w:t>
      </w:r>
      <w:r w:rsidR="00B65C82">
        <w:t>PPP</w:t>
      </w:r>
      <w:r>
        <w:t>项目尽职调查时，通常对</w:t>
      </w:r>
      <w:r w:rsidR="00B65C82">
        <w:t>PPP</w:t>
      </w:r>
      <w:r>
        <w:t>项目的下列内容进行调查了解：</w:t>
      </w:r>
    </w:p>
    <w:p w14:paraId="3B030004" w14:textId="77777777" w:rsidR="003E0EAD" w:rsidRDefault="003E0EAD" w:rsidP="003E0EAD">
      <w:pPr>
        <w:pStyle w:val="13"/>
      </w:pPr>
      <w:r>
        <w:rPr>
          <w:rFonts w:hint="eastAsia"/>
        </w:rPr>
        <w:t>（一）项目基本情况</w:t>
      </w:r>
    </w:p>
    <w:p w14:paraId="7D245CF6" w14:textId="77777777" w:rsidR="003E0EAD" w:rsidRDefault="003E0EAD" w:rsidP="003E0EAD">
      <w:pPr>
        <w:pStyle w:val="13"/>
      </w:pPr>
      <w:r>
        <w:rPr>
          <w:rFonts w:hint="eastAsia"/>
        </w:rPr>
        <w:t>对项目基本情况的调查了解，主要包括项目名称、项目发起方、项目建设规模、项目总投资额、项目产出涉及的具体公共产品或公共服务内容、项目合作期、项目回报及其调整机制、项目风险分配等内容。通过对项目基本情况的了解，大致把握项目的总体概况。</w:t>
      </w:r>
    </w:p>
    <w:p w14:paraId="770F3C74" w14:textId="77777777" w:rsidR="003E0EAD" w:rsidRDefault="003E0EAD" w:rsidP="003E0EAD">
      <w:pPr>
        <w:pStyle w:val="13"/>
      </w:pPr>
      <w:r>
        <w:rPr>
          <w:rFonts w:hint="eastAsia"/>
        </w:rPr>
        <w:t>（二）项目背景及区域状况</w:t>
      </w:r>
    </w:p>
    <w:p w14:paraId="1E8F2E58" w14:textId="5760F48C" w:rsidR="003E0EAD" w:rsidRDefault="003E0EAD" w:rsidP="003E0EAD">
      <w:pPr>
        <w:pStyle w:val="13"/>
      </w:pPr>
      <w:r>
        <w:rPr>
          <w:rFonts w:hint="eastAsia"/>
        </w:rPr>
        <w:t>项目背景主要包括拟实施的</w:t>
      </w:r>
      <w:r w:rsidR="00B65C82">
        <w:t>PPP</w:t>
      </w:r>
      <w:r>
        <w:t>项目公共产品或公共服务的需求及供给情况、实施</w:t>
      </w:r>
      <w:r w:rsidR="00B65C82">
        <w:t>PPP</w:t>
      </w:r>
      <w:r>
        <w:t>项目的必要性和意义。项目区域状况包括项目区域位置，区域人口状况，区域经济发展状况，社会发展状况，市政、交通及公共服务发展情况，地方政府关于土地、产业投资、税收等方面的优惠政策，相关收费标准等。</w:t>
      </w:r>
    </w:p>
    <w:p w14:paraId="69309C7C" w14:textId="77777777" w:rsidR="003E0EAD" w:rsidRDefault="003E0EAD" w:rsidP="003E0EAD">
      <w:pPr>
        <w:pStyle w:val="13"/>
      </w:pPr>
      <w:r>
        <w:rPr>
          <w:rFonts w:hint="eastAsia"/>
        </w:rPr>
        <w:t>（三）项目实施的可行性</w:t>
      </w:r>
    </w:p>
    <w:p w14:paraId="08F027A1" w14:textId="406C3769" w:rsidR="003E0EAD" w:rsidRDefault="003E0EAD" w:rsidP="003E0EAD">
      <w:pPr>
        <w:pStyle w:val="13"/>
      </w:pPr>
      <w:r>
        <w:rPr>
          <w:rFonts w:hint="eastAsia"/>
        </w:rPr>
        <w:t>根据项目的可</w:t>
      </w:r>
      <w:proofErr w:type="gramStart"/>
      <w:r>
        <w:rPr>
          <w:rFonts w:hint="eastAsia"/>
        </w:rPr>
        <w:t>研</w:t>
      </w:r>
      <w:proofErr w:type="gramEnd"/>
      <w:r>
        <w:rPr>
          <w:rFonts w:hint="eastAsia"/>
        </w:rPr>
        <w:t>报告及其他调研资料，从拟实施</w:t>
      </w:r>
      <w:r w:rsidR="00B65C82">
        <w:t>PPP</w:t>
      </w:r>
      <w:r>
        <w:t>项目的自然环境、原料供应、交通运输、项目工艺路线、资金筹措、项目建设、运营管理、市场需求、市场竞争等方面调研项目的可行性，考虑</w:t>
      </w:r>
      <w:r w:rsidR="00B65C82">
        <w:t>PPP</w:t>
      </w:r>
      <w:r>
        <w:t>项目全生命周期内可能遇到的重大节点问题对项目实施的影响程度，最终对项目实施的可行性做出客观分析。</w:t>
      </w:r>
    </w:p>
    <w:p w14:paraId="002CF228" w14:textId="77777777" w:rsidR="003E0EAD" w:rsidRDefault="003E0EAD" w:rsidP="003E0EAD">
      <w:pPr>
        <w:pStyle w:val="13"/>
      </w:pPr>
      <w:r>
        <w:rPr>
          <w:rFonts w:hint="eastAsia"/>
        </w:rPr>
        <w:t>（四）项目实施的主要内容</w:t>
      </w:r>
    </w:p>
    <w:p w14:paraId="57529184" w14:textId="3644672D" w:rsidR="003E0EAD" w:rsidRDefault="003E0EAD" w:rsidP="003E0EAD">
      <w:pPr>
        <w:pStyle w:val="13"/>
      </w:pPr>
      <w:r>
        <w:rPr>
          <w:rFonts w:hint="eastAsia"/>
        </w:rPr>
        <w:lastRenderedPageBreak/>
        <w:t>社会资本特别关注</w:t>
      </w:r>
      <w:r w:rsidR="00B65C82">
        <w:t>PPP</w:t>
      </w:r>
      <w:r>
        <w:t>项目的具体实施内容和方式，一般包括对社会资本选择的条件和方式、项目风险内容及风险分配原则、项目拟采用的运作方式及项目合作期限、项目建设投资总额、项目回报及现金流测算、项目定价机制及调整方式、业绩考核内容及标准、项目投融资结构及相关配套安排、</w:t>
      </w:r>
      <w:proofErr w:type="spellStart"/>
      <w:r w:rsidR="00B65C82">
        <w:t>PPP</w:t>
      </w:r>
      <w:proofErr w:type="spellEnd"/>
      <w:r>
        <w:t>项目合同的主要权利义务内容、政府或项目实施机构等对项目的监管内容及方式等。上述内容主要从项目（初步）实施方案中获得，也可直接与政府相关部门、项目实施机构进行沟通获取。</w:t>
      </w:r>
    </w:p>
    <w:p w14:paraId="15A55C82" w14:textId="40047896" w:rsidR="003E0EAD" w:rsidRDefault="003E0EAD" w:rsidP="003E0EAD">
      <w:pPr>
        <w:pStyle w:val="13"/>
      </w:pPr>
      <w:r>
        <w:rPr>
          <w:rFonts w:hint="eastAsia"/>
        </w:rPr>
        <w:t>项目实施的主要内容，需要明确各个细节，做到边界清晰、权利义务内容详尽具体，</w:t>
      </w:r>
      <w:r>
        <w:t>尚未完全调查了解清楚的事项做好备忘，防止遗漏。</w:t>
      </w:r>
    </w:p>
    <w:p w14:paraId="03DAAA24" w14:textId="77777777" w:rsidR="003E0EAD" w:rsidRDefault="003E0EAD" w:rsidP="003E0EAD">
      <w:pPr>
        <w:pStyle w:val="13"/>
      </w:pPr>
      <w:r>
        <w:rPr>
          <w:rFonts w:hint="eastAsia"/>
        </w:rPr>
        <w:t>（五）项目的可融资性</w:t>
      </w:r>
    </w:p>
    <w:p w14:paraId="76BDE26B" w14:textId="4928DF1F" w:rsidR="003E0EAD" w:rsidRDefault="003E0EAD" w:rsidP="003E0EAD">
      <w:pPr>
        <w:pStyle w:val="13"/>
      </w:pPr>
      <w:r>
        <w:t>PPP项目投资总额大、期限长，建设运营资金主要通过融资获得，除了自身的融资能力外，社会资本更关注项目在设计、建设、运营阶段项目自身的融资可行性，包括能否利用项目收益权和项目资产进行抵质押融资、能否通过发行项目收益债等方式融资。在调查项目可融</w:t>
      </w:r>
    </w:p>
    <w:p w14:paraId="6DA41DAD" w14:textId="5423FB15" w:rsidR="003E0EAD" w:rsidRDefault="003E0EAD" w:rsidP="003E0EAD">
      <w:pPr>
        <w:pStyle w:val="13"/>
      </w:pPr>
      <w:r>
        <w:rPr>
          <w:rFonts w:hint="eastAsia"/>
        </w:rPr>
        <w:t>资性时，通常还关注</w:t>
      </w:r>
      <w:r w:rsidR="00B65C82">
        <w:t>PPP</w:t>
      </w:r>
      <w:r>
        <w:t>项目对增资扩股或股权转让等方式的特殊限制等。</w:t>
      </w:r>
    </w:p>
    <w:p w14:paraId="4C136AF6" w14:textId="77777777" w:rsidR="003E0EAD" w:rsidRDefault="003E0EAD" w:rsidP="003E0EAD">
      <w:pPr>
        <w:pStyle w:val="13"/>
      </w:pPr>
      <w:r>
        <w:rPr>
          <w:rFonts w:hint="eastAsia"/>
        </w:rPr>
        <w:t>（六）项目市场调查及现金流测算</w:t>
      </w:r>
    </w:p>
    <w:p w14:paraId="1FFB359D" w14:textId="1A0D5302" w:rsidR="003E0EAD" w:rsidRDefault="003E0EAD" w:rsidP="003E0EAD">
      <w:pPr>
        <w:pStyle w:val="13"/>
      </w:pPr>
      <w:r>
        <w:rPr>
          <w:rFonts w:hint="eastAsia"/>
        </w:rPr>
        <w:t>建设和运营</w:t>
      </w:r>
      <w:r w:rsidR="00B65C82">
        <w:t>PPP</w:t>
      </w:r>
      <w:r>
        <w:t>项目，都是为了适应和满足市场需求。但在</w:t>
      </w:r>
      <w:r w:rsidR="00B65C82">
        <w:t>PPP</w:t>
      </w:r>
      <w:r>
        <w:t>项目实施前，应对影响市场需求的各方面因素进行客观、合理分析，进而做好项目现金流测算。</w:t>
      </w:r>
    </w:p>
    <w:p w14:paraId="03447E23" w14:textId="77777777" w:rsidR="003E0EAD" w:rsidRDefault="003E0EAD" w:rsidP="003E0EAD">
      <w:pPr>
        <w:pStyle w:val="13"/>
      </w:pPr>
      <w:r>
        <w:rPr>
          <w:rFonts w:hint="eastAsia"/>
        </w:rPr>
        <w:t>在进行项目市场调查时，需要对影响供给和需求的各个因素进行调查分析，影响需求的因素一般包括公共产品或公共服务的价格、替代品的价格、消费者收入水平、消费者的数量和习惯偏好、消费者的预期等。影响供给的因素一般包括现有的生产供应能力、生产成本构成、技术水平等。分析时，可以通过时间序列的纵向比较，发现相应的规律和趋势，也可以通过横向比较，反映市场竞争格局和态势。</w:t>
      </w:r>
    </w:p>
    <w:p w14:paraId="3E41A3BB" w14:textId="5A8A15B5" w:rsidR="003E0EAD" w:rsidRDefault="003E0EAD" w:rsidP="003E0EAD">
      <w:pPr>
        <w:pStyle w:val="13"/>
      </w:pPr>
      <w:r>
        <w:rPr>
          <w:rFonts w:hint="eastAsia"/>
        </w:rPr>
        <w:t>在完成市场分析时，需要结合</w:t>
      </w:r>
      <w:r w:rsidR="00B65C82">
        <w:t>PPP</w:t>
      </w:r>
      <w:r>
        <w:t>项目自身的实际情况，对现金流测算进行复核</w:t>
      </w:r>
      <w:r w:rsidR="003068F8">
        <w:t>，</w:t>
      </w:r>
      <w:r>
        <w:t>应做到有依有据、客观合理，符合项目实际、行业当前情况及客观发展规律。</w:t>
      </w:r>
    </w:p>
    <w:p w14:paraId="77330D54" w14:textId="77777777" w:rsidR="003E0EAD" w:rsidRDefault="003E0EAD" w:rsidP="003E0EAD">
      <w:pPr>
        <w:pStyle w:val="13"/>
      </w:pPr>
      <w:r>
        <w:rPr>
          <w:rFonts w:hint="eastAsia"/>
        </w:rPr>
        <w:t>（七）项目的付费机制及价格调整机制</w:t>
      </w:r>
    </w:p>
    <w:p w14:paraId="7C934BE5" w14:textId="1A486DDE" w:rsidR="003E0EAD" w:rsidRDefault="003E0EAD" w:rsidP="003E0EAD">
      <w:pPr>
        <w:pStyle w:val="13"/>
      </w:pPr>
      <w:r>
        <w:rPr>
          <w:rFonts w:hint="eastAsia"/>
        </w:rPr>
        <w:t>项目的付费机制是社会资本、政府、使用者等重点关注的核心内容，涉及到相关各方的核心利益。在对</w:t>
      </w:r>
      <w:r w:rsidR="00B65C82">
        <w:t>PPP</w:t>
      </w:r>
      <w:r>
        <w:t>项目尽职调查时，根据</w:t>
      </w:r>
      <w:r w:rsidR="00B65C82">
        <w:t>PPP</w:t>
      </w:r>
      <w:r>
        <w:t>项目的行业、运作方式及具体情况的不同，需要明确该项目拟采取政府付费、使用者付费、可行性缺口补助中的哪一种付费机制，各种付费机制下具体的条件、绩效标准、扣减机制、定价方式、计算方式、唯一性条款、补助形式等如何确定，调整机制是否设定明确的条件和标准等。如在政府付费机制下，具体依据项目的可用性、使用量和绩效指标中的哪种具体方式向项目公司付费，如采用可用性付费方式，可用性与</w:t>
      </w:r>
      <w:proofErr w:type="gramStart"/>
      <w:r>
        <w:t>不</w:t>
      </w:r>
      <w:proofErr w:type="gramEnd"/>
      <w:r>
        <w:t>可用性应有清</w:t>
      </w:r>
      <w:r>
        <w:rPr>
          <w:rFonts w:hint="eastAsia"/>
        </w:rPr>
        <w:t>晰的界定；采用绩效付费方式</w:t>
      </w:r>
      <w:r w:rsidR="003068F8">
        <w:rPr>
          <w:rFonts w:hint="eastAsia"/>
        </w:rPr>
        <w:t>，</w:t>
      </w:r>
      <w:r>
        <w:t>应设定详细的绩效标准等。</w:t>
      </w:r>
    </w:p>
    <w:p w14:paraId="39D37E1D" w14:textId="77777777" w:rsidR="003E0EAD" w:rsidRDefault="003E0EAD" w:rsidP="003E0EAD">
      <w:pPr>
        <w:pStyle w:val="13"/>
      </w:pPr>
      <w:r>
        <w:rPr>
          <w:rFonts w:hint="eastAsia"/>
        </w:rPr>
        <w:t>同时，还应了解在各种付费机制下，设置的定价和调价机制，以明确项目定价的</w:t>
      </w:r>
      <w:r>
        <w:rPr>
          <w:rFonts w:hint="eastAsia"/>
        </w:rPr>
        <w:lastRenderedPageBreak/>
        <w:t>依据、标准，调价的条件、方法和程序等内容。</w:t>
      </w:r>
    </w:p>
    <w:p w14:paraId="0199E3FF" w14:textId="77777777" w:rsidR="003E0EAD" w:rsidRDefault="003E0EAD" w:rsidP="003E0EAD">
      <w:pPr>
        <w:pStyle w:val="13"/>
      </w:pPr>
      <w:r>
        <w:rPr>
          <w:rFonts w:hint="eastAsia"/>
        </w:rPr>
        <w:t>对项目的付费机制和调整机制，一定要有明确的操作方式和标准，便于准确测算项目回报，减少项目实施纠纷。</w:t>
      </w:r>
    </w:p>
    <w:p w14:paraId="07CC6FBA" w14:textId="77777777" w:rsidR="003E0EAD" w:rsidRDefault="003E0EAD" w:rsidP="003E0EAD">
      <w:pPr>
        <w:pStyle w:val="13"/>
      </w:pPr>
      <w:r>
        <w:rPr>
          <w:rFonts w:hint="eastAsia"/>
        </w:rPr>
        <w:t>（八）项目相关配套安排</w:t>
      </w:r>
    </w:p>
    <w:p w14:paraId="48E6EDFD" w14:textId="4CB90EAC" w:rsidR="003E0EAD" w:rsidRDefault="00B65C82" w:rsidP="003E0EAD">
      <w:pPr>
        <w:pStyle w:val="13"/>
      </w:pPr>
      <w:r>
        <w:t>PPP</w:t>
      </w:r>
      <w:r w:rsidR="003E0EAD">
        <w:t>项目往往涉及社会公共产品或公共服务，需要政府协调并提供与</w:t>
      </w:r>
      <w:r>
        <w:t>PPP</w:t>
      </w:r>
      <w:r w:rsidR="003E0EAD">
        <w:t>项目匹配的政策措施及设施，包括项目用地、税收优惠、信贷扶持、项目审批、水电气路等连接设施。</w:t>
      </w:r>
    </w:p>
    <w:p w14:paraId="5E44E9D3" w14:textId="77777777" w:rsidR="003E0EAD" w:rsidRDefault="003E0EAD" w:rsidP="003E0EAD">
      <w:pPr>
        <w:pStyle w:val="13"/>
      </w:pPr>
      <w:r>
        <w:rPr>
          <w:rFonts w:hint="eastAsia"/>
        </w:rPr>
        <w:t>（九）项目退出机制</w:t>
      </w:r>
    </w:p>
    <w:p w14:paraId="14CB1CD2" w14:textId="77777777" w:rsidR="003E0EAD" w:rsidRDefault="003E0EAD" w:rsidP="003E0EAD">
      <w:pPr>
        <w:pStyle w:val="13"/>
      </w:pPr>
      <w:r>
        <w:rPr>
          <w:rFonts w:hint="eastAsia"/>
        </w:rPr>
        <w:t>社会资本退出包括项目合作期满时的正常退出和非正常退出。需要调查了解项目正常退出时的移交标准、移交方式、移交内容，是否存在补偿及补偿如何测算。在非正常退出时，需要事先约定相关事项和处置措施。</w:t>
      </w:r>
    </w:p>
    <w:p w14:paraId="4F1D5D9C" w14:textId="77777777" w:rsidR="003E0EAD" w:rsidRDefault="003E0EAD" w:rsidP="003E0EAD">
      <w:pPr>
        <w:pStyle w:val="13"/>
      </w:pPr>
      <w:r>
        <w:rPr>
          <w:rFonts w:hint="eastAsia"/>
        </w:rPr>
        <w:t>（十）项目可能面临的风险</w:t>
      </w:r>
    </w:p>
    <w:p w14:paraId="225A882A" w14:textId="02EADB2C" w:rsidR="003E0EAD" w:rsidRDefault="00B65C82" w:rsidP="004A3141">
      <w:pPr>
        <w:pStyle w:val="13"/>
      </w:pPr>
      <w:r>
        <w:t>PPP</w:t>
      </w:r>
      <w:r w:rsidR="003E0EAD">
        <w:t>项目时间跨度长、参与方多、涉及因素复杂。在尽职调查中，需要全面调查分析</w:t>
      </w:r>
      <w:r>
        <w:t>PPP</w:t>
      </w:r>
      <w:r w:rsidR="003E0EAD">
        <w:t>项目可能面临的各阶段风险、各种类别风险，识别包括政策风险、市场风险、安全风险、财务风险、质量风险、不可抗力风险等各项风险内容，并对风险按照重要性和可能性分类后做恰当分析，提示项目相关方合理分配及防范，关注相关方风险与收益是</w:t>
      </w:r>
      <w:r w:rsidR="003E0EAD">
        <w:rPr>
          <w:rFonts w:hint="eastAsia"/>
        </w:rPr>
        <w:t>否对等。</w:t>
      </w:r>
    </w:p>
    <w:p w14:paraId="06266670" w14:textId="560113D3" w:rsidR="003E0EAD" w:rsidRDefault="003E0EAD" w:rsidP="003E0EAD">
      <w:pPr>
        <w:pStyle w:val="13"/>
      </w:pPr>
      <w:r>
        <w:rPr>
          <w:rFonts w:hint="eastAsia"/>
        </w:rPr>
        <w:t>（十一）社会资本参与</w:t>
      </w:r>
      <w:r w:rsidR="00B65C82">
        <w:t>PPP</w:t>
      </w:r>
      <w:r>
        <w:t>项目的可能性与优劣势分析</w:t>
      </w:r>
    </w:p>
    <w:p w14:paraId="1CFE5AEC" w14:textId="0B7B525B" w:rsidR="003E0EAD" w:rsidRDefault="003E0EAD" w:rsidP="004A3141">
      <w:pPr>
        <w:pStyle w:val="13"/>
      </w:pPr>
      <w:r>
        <w:rPr>
          <w:rFonts w:hint="eastAsia"/>
        </w:rPr>
        <w:t>通过对上述</w:t>
      </w:r>
      <w:r w:rsidR="00B65C82">
        <w:t>PPP</w:t>
      </w:r>
      <w:r>
        <w:t>项目各个项目进行调查了解后，需要关注类似</w:t>
      </w:r>
      <w:r>
        <w:rPr>
          <w:rFonts w:hint="eastAsia"/>
        </w:rPr>
        <w:t>项目的传统投资模式、传统投资模式下各参与方的角色定位和大致运行情况、社会资本在</w:t>
      </w:r>
      <w:r w:rsidR="00B65C82">
        <w:t>PPP</w:t>
      </w:r>
      <w:r>
        <w:t>模式下的资源整合能力、主观能动性，比较优势和劣势。</w:t>
      </w:r>
    </w:p>
    <w:p w14:paraId="64F2DC76" w14:textId="77777777" w:rsidR="003E0EAD" w:rsidRDefault="003E0EAD" w:rsidP="003E0EAD">
      <w:pPr>
        <w:pStyle w:val="13"/>
      </w:pPr>
      <w:r>
        <w:rPr>
          <w:rFonts w:hint="eastAsia"/>
        </w:rPr>
        <w:t>（十二）项目调查总体结论</w:t>
      </w:r>
    </w:p>
    <w:p w14:paraId="540074B5" w14:textId="7E8BAFF3" w:rsidR="003E0EAD" w:rsidRDefault="003E0EAD" w:rsidP="003E0EAD">
      <w:pPr>
        <w:pStyle w:val="13"/>
      </w:pPr>
      <w:r>
        <w:rPr>
          <w:rFonts w:hint="eastAsia"/>
        </w:rPr>
        <w:t>调查结论主要包括</w:t>
      </w:r>
      <w:r w:rsidR="00B65C82">
        <w:t>PPP</w:t>
      </w:r>
      <w:r>
        <w:t>项目的可行性、社会资本参与</w:t>
      </w:r>
      <w:r w:rsidR="00B65C82">
        <w:t>PPP</w:t>
      </w:r>
      <w:r>
        <w:t>项目的效率和效益、项目主要风险、分配及防范，以及对项目存在的问题和不足提出改进措施和建议。</w:t>
      </w:r>
    </w:p>
    <w:p w14:paraId="308A156D" w14:textId="77777777" w:rsidR="003E0EAD" w:rsidRDefault="003E0EAD" w:rsidP="003E0EAD">
      <w:pPr>
        <w:pStyle w:val="13"/>
      </w:pPr>
      <w:r>
        <w:rPr>
          <w:rFonts w:hint="eastAsia"/>
        </w:rPr>
        <w:t>（十三）其他内容。</w:t>
      </w:r>
    </w:p>
    <w:p w14:paraId="3C64CFFD" w14:textId="77777777" w:rsidR="003E0EAD" w:rsidRDefault="003E0EAD" w:rsidP="00AF7342">
      <w:pPr>
        <w:pStyle w:val="a9"/>
        <w:spacing w:before="62" w:after="62"/>
      </w:pPr>
      <w:r>
        <w:rPr>
          <w:rFonts w:hint="eastAsia"/>
        </w:rPr>
        <w:t>第三节</w:t>
      </w:r>
      <w:r>
        <w:t xml:space="preserve"> 存量项目尽职调查操作要求</w:t>
      </w:r>
    </w:p>
    <w:p w14:paraId="2AD02410" w14:textId="230648F6" w:rsidR="004A3141" w:rsidRDefault="003E0EAD" w:rsidP="003E0EAD">
      <w:pPr>
        <w:pStyle w:val="13"/>
      </w:pPr>
      <w:r>
        <w:rPr>
          <w:rFonts w:hint="eastAsia"/>
        </w:rPr>
        <w:t>存量</w:t>
      </w:r>
      <w:r w:rsidR="00B65C82">
        <w:t>PPP</w:t>
      </w:r>
      <w:r>
        <w:t>项目是指已进入立项审批或建设程序的</w:t>
      </w:r>
      <w:r w:rsidR="00B65C82">
        <w:t>PPP</w:t>
      </w:r>
      <w:r>
        <w:t>项目。</w:t>
      </w:r>
    </w:p>
    <w:p w14:paraId="028BEB24" w14:textId="6C7A4C5B" w:rsidR="003E0EAD" w:rsidRDefault="003E0EAD" w:rsidP="004A3141">
      <w:pPr>
        <w:pStyle w:val="ab"/>
        <w:spacing w:before="62" w:after="62"/>
        <w:ind w:firstLine="482"/>
      </w:pPr>
      <w:r>
        <w:t>一、存量项目尽职调查的资料收集</w:t>
      </w:r>
    </w:p>
    <w:p w14:paraId="4CC86978" w14:textId="63C3A9B3" w:rsidR="003E0EAD" w:rsidRDefault="003E0EAD" w:rsidP="003E0EAD">
      <w:pPr>
        <w:pStyle w:val="13"/>
      </w:pPr>
      <w:r>
        <w:rPr>
          <w:rFonts w:hint="eastAsia"/>
        </w:rPr>
        <w:t>对存量</w:t>
      </w:r>
      <w:r w:rsidR="00B65C82">
        <w:t>PPP</w:t>
      </w:r>
      <w:r>
        <w:t>项目尽职调查时，除收集新建</w:t>
      </w:r>
      <w:r w:rsidR="00B65C82">
        <w:t>PPP</w:t>
      </w:r>
      <w:r>
        <w:t>尽职调查所需资料外，通常还需收集如下资料：</w:t>
      </w:r>
    </w:p>
    <w:p w14:paraId="3F82EC93" w14:textId="77777777" w:rsidR="003E0EAD" w:rsidRDefault="003E0EAD" w:rsidP="003E0EAD">
      <w:pPr>
        <w:pStyle w:val="13"/>
      </w:pPr>
      <w:r>
        <w:rPr>
          <w:rFonts w:hint="eastAsia"/>
        </w:rPr>
        <w:t>（一）存量资产的相关批文、规划设计、建设及竣工验收资料；</w:t>
      </w:r>
    </w:p>
    <w:p w14:paraId="1CBA94ED" w14:textId="77777777" w:rsidR="003E0EAD" w:rsidRDefault="003E0EAD" w:rsidP="003E0EAD">
      <w:pPr>
        <w:pStyle w:val="13"/>
      </w:pPr>
      <w:r>
        <w:rPr>
          <w:rFonts w:hint="eastAsia"/>
        </w:rPr>
        <w:t>（二）项目用地资料，包括用地红线图、用地批文、宗地规划条件资料；</w:t>
      </w:r>
    </w:p>
    <w:p w14:paraId="3CF0138D" w14:textId="77777777" w:rsidR="003E0EAD" w:rsidRDefault="003E0EAD" w:rsidP="003E0EAD">
      <w:pPr>
        <w:pStyle w:val="13"/>
      </w:pPr>
      <w:r>
        <w:rPr>
          <w:rFonts w:hint="eastAsia"/>
        </w:rPr>
        <w:t>（三）项目已建设内容、已投资金额、项目已形成资产相关产权证明文件；</w:t>
      </w:r>
    </w:p>
    <w:p w14:paraId="612ADEB0" w14:textId="77777777" w:rsidR="003E0EAD" w:rsidRDefault="003E0EAD" w:rsidP="003E0EAD">
      <w:pPr>
        <w:pStyle w:val="13"/>
      </w:pPr>
      <w:r>
        <w:rPr>
          <w:rFonts w:hint="eastAsia"/>
        </w:rPr>
        <w:lastRenderedPageBreak/>
        <w:t>（四）项目后续建设内容及投资额；</w:t>
      </w:r>
    </w:p>
    <w:p w14:paraId="44ADF74E" w14:textId="77777777" w:rsidR="003E0EAD" w:rsidRDefault="003E0EAD" w:rsidP="003E0EAD">
      <w:pPr>
        <w:pStyle w:val="13"/>
      </w:pPr>
      <w:r>
        <w:rPr>
          <w:rFonts w:hint="eastAsia"/>
        </w:rPr>
        <w:t>（五）项目历史运营资料；</w:t>
      </w:r>
    </w:p>
    <w:p w14:paraId="60F53E5B" w14:textId="77777777" w:rsidR="003E0EAD" w:rsidRDefault="003E0EAD" w:rsidP="003E0EAD">
      <w:pPr>
        <w:pStyle w:val="13"/>
      </w:pPr>
      <w:r>
        <w:rPr>
          <w:rFonts w:hint="eastAsia"/>
        </w:rPr>
        <w:t>（六）项目财务资料及审计报告；</w:t>
      </w:r>
    </w:p>
    <w:p w14:paraId="3B660CCA" w14:textId="77777777" w:rsidR="003E0EAD" w:rsidRDefault="003E0EAD" w:rsidP="003E0EAD">
      <w:pPr>
        <w:pStyle w:val="13"/>
      </w:pPr>
      <w:r>
        <w:rPr>
          <w:rFonts w:hint="eastAsia"/>
        </w:rPr>
        <w:t>（七）其他相关资料。</w:t>
      </w:r>
    </w:p>
    <w:p w14:paraId="55057228" w14:textId="77777777" w:rsidR="003E0EAD" w:rsidRDefault="003E0EAD" w:rsidP="004A3141">
      <w:pPr>
        <w:pStyle w:val="ab"/>
        <w:spacing w:before="62" w:after="62"/>
        <w:ind w:firstLine="482"/>
      </w:pPr>
      <w:r>
        <w:rPr>
          <w:rFonts w:hint="eastAsia"/>
        </w:rPr>
        <w:t>二、存量项目尽职调查的内容及主要关注点</w:t>
      </w:r>
    </w:p>
    <w:p w14:paraId="4CF93B07" w14:textId="680FCA9D" w:rsidR="003E0EAD" w:rsidRDefault="003E0EAD" w:rsidP="003E0EAD">
      <w:pPr>
        <w:pStyle w:val="13"/>
      </w:pPr>
      <w:r>
        <w:rPr>
          <w:rFonts w:hint="eastAsia"/>
        </w:rPr>
        <w:t>评估机构受社会资本委托对存量</w:t>
      </w:r>
      <w:r w:rsidR="00B65C82">
        <w:t>PPP</w:t>
      </w:r>
      <w:r>
        <w:t>项目尽职调查时，除对新建</w:t>
      </w:r>
      <w:r w:rsidR="00B65C82">
        <w:t>PPP</w:t>
      </w:r>
      <w:r>
        <w:t>项目应调查了解的内容外，还需要对下列内容进行调查了解：</w:t>
      </w:r>
    </w:p>
    <w:p w14:paraId="105A54DC" w14:textId="77777777" w:rsidR="003E0EAD" w:rsidRDefault="003E0EAD" w:rsidP="003E0EAD">
      <w:pPr>
        <w:pStyle w:val="13"/>
      </w:pPr>
      <w:r>
        <w:rPr>
          <w:rFonts w:hint="eastAsia"/>
        </w:rPr>
        <w:t>（一）项目进展情况</w:t>
      </w:r>
    </w:p>
    <w:p w14:paraId="7476432D" w14:textId="7088D8E8" w:rsidR="003E0EAD" w:rsidRDefault="003E0EAD" w:rsidP="003E0EAD">
      <w:pPr>
        <w:pStyle w:val="13"/>
      </w:pPr>
      <w:r>
        <w:rPr>
          <w:rFonts w:hint="eastAsia"/>
        </w:rPr>
        <w:t>一般情况下，存量</w:t>
      </w:r>
      <w:r w:rsidR="00B65C82">
        <w:t>PPP</w:t>
      </w:r>
      <w:r>
        <w:t>项目大多已开始进行建设或部分投入运营，在调查该类项目时，需要对项目在调查时点的历史投资情况、建设内容、建设进度、完工程度、款项支付等情况进行调查了解，把握项目所处阶段实际情况。</w:t>
      </w:r>
    </w:p>
    <w:p w14:paraId="2410D80A" w14:textId="77777777" w:rsidR="003E0EAD" w:rsidRDefault="003E0EAD" w:rsidP="003E0EAD">
      <w:pPr>
        <w:pStyle w:val="13"/>
      </w:pPr>
      <w:r>
        <w:rPr>
          <w:rFonts w:hint="eastAsia"/>
        </w:rPr>
        <w:t>（二）历史运营和收益情况</w:t>
      </w:r>
    </w:p>
    <w:p w14:paraId="353CC808" w14:textId="5827A546" w:rsidR="003E0EAD" w:rsidRDefault="003E0EAD" w:rsidP="003E0EAD">
      <w:pPr>
        <w:pStyle w:val="13"/>
      </w:pPr>
      <w:r>
        <w:rPr>
          <w:rFonts w:hint="eastAsia"/>
        </w:rPr>
        <w:t>对于存量</w:t>
      </w:r>
      <w:r w:rsidR="00B65C82">
        <w:t>PPP</w:t>
      </w:r>
      <w:r>
        <w:t>项目，需要了解项目截止调查时点已完成的投资额和项目历史运营情况，通过现场勘察项目运转情况、资产投入和使用情况、收集项目运营日记、项目财务资料等方式，准确反映项目实际运营情况，特别关注项目在建设和运营中已经存在的主要问题和法律纠纷，分析问题产生的原因及影响，为下一阶段开展</w:t>
      </w:r>
      <w:proofErr w:type="spellStart"/>
      <w:r w:rsidR="00B65C82">
        <w:t>PPP</w:t>
      </w:r>
      <w:proofErr w:type="spellEnd"/>
      <w:r>
        <w:t>合作模式提供客观真实的基础材料。</w:t>
      </w:r>
    </w:p>
    <w:p w14:paraId="77D2B0EC" w14:textId="77777777" w:rsidR="003E0EAD" w:rsidRDefault="003E0EAD" w:rsidP="003E0EAD">
      <w:pPr>
        <w:pStyle w:val="13"/>
      </w:pPr>
      <w:r>
        <w:rPr>
          <w:rFonts w:hint="eastAsia"/>
        </w:rPr>
        <w:t>（三）衔接风险</w:t>
      </w:r>
    </w:p>
    <w:p w14:paraId="68DA3BA7" w14:textId="3021CF4F" w:rsidR="003E0EAD" w:rsidRDefault="003E0EAD" w:rsidP="003E0EAD">
      <w:pPr>
        <w:pStyle w:val="13"/>
      </w:pPr>
      <w:r>
        <w:rPr>
          <w:rFonts w:hint="eastAsia"/>
        </w:rPr>
        <w:t>由于存量</w:t>
      </w:r>
      <w:r w:rsidR="00B65C82">
        <w:t>PPP</w:t>
      </w:r>
      <w:r>
        <w:t>项目在调查时点已经存在，在调查时通常考虑与自身的协同效应、存量</w:t>
      </w:r>
      <w:r w:rsidR="00B65C82">
        <w:t>PPP</w:t>
      </w:r>
      <w:r>
        <w:t>项目整合的成本与风险。一般情况下，应考虑存量</w:t>
      </w:r>
      <w:r w:rsidR="00B65C82">
        <w:t>PPP</w:t>
      </w:r>
      <w:r>
        <w:t>项目在审批文件、产权转移、用工合同接续、岗位交接和调整、合同对接等方面的延续性和可操作性，充分识别存量</w:t>
      </w:r>
      <w:r w:rsidR="00B65C82">
        <w:t>PPP</w:t>
      </w:r>
      <w:r>
        <w:t>项目的可整合性和衔接风险。</w:t>
      </w:r>
    </w:p>
    <w:p w14:paraId="172F617E" w14:textId="77777777" w:rsidR="003E0EAD" w:rsidRDefault="003E0EAD" w:rsidP="00AF7342">
      <w:pPr>
        <w:pStyle w:val="a9"/>
        <w:spacing w:before="62" w:after="62"/>
      </w:pPr>
      <w:r>
        <w:rPr>
          <w:rFonts w:hint="eastAsia"/>
        </w:rPr>
        <w:t>第四节</w:t>
      </w:r>
      <w:r>
        <w:t xml:space="preserve"> 社会资本尽职调查操作要求</w:t>
      </w:r>
    </w:p>
    <w:p w14:paraId="35AE39B4" w14:textId="16132890" w:rsidR="003E0EAD" w:rsidRDefault="003E0EAD" w:rsidP="004A3141">
      <w:pPr>
        <w:pStyle w:val="13"/>
      </w:pPr>
      <w:r>
        <w:rPr>
          <w:rFonts w:hint="eastAsia"/>
        </w:rPr>
        <w:t>社会资本是</w:t>
      </w:r>
      <w:r w:rsidR="00B65C82">
        <w:t>PPP</w:t>
      </w:r>
      <w:r>
        <w:t>项目的主要参与方及主要实施者，对</w:t>
      </w:r>
      <w:r w:rsidR="00B65C82">
        <w:t>PPP</w:t>
      </w:r>
      <w:r>
        <w:t>项目能否成功实施和运行至关重要。在项目采购阶段，需要对潜在的社会</w:t>
      </w:r>
      <w:r>
        <w:rPr>
          <w:rFonts w:hint="eastAsia"/>
        </w:rPr>
        <w:t>资本和</w:t>
      </w:r>
      <w:proofErr w:type="gramStart"/>
      <w:r>
        <w:rPr>
          <w:rFonts w:hint="eastAsia"/>
        </w:rPr>
        <w:t>拟正式</w:t>
      </w:r>
      <w:proofErr w:type="gramEnd"/>
      <w:r>
        <w:rPr>
          <w:rFonts w:hint="eastAsia"/>
        </w:rPr>
        <w:t>签约的社会资本进行调查了解，通常在经营业绩、财务状况、管理能力、管理团队稳定性、投资偏好、资金实力、运营能力、项目诉求等方面做全面深入的调查，从而分析与确定社会资本实施</w:t>
      </w:r>
      <w:r w:rsidR="00B65C82">
        <w:t>PPP</w:t>
      </w:r>
      <w:r>
        <w:t>项目的综合能力。</w:t>
      </w:r>
    </w:p>
    <w:p w14:paraId="77E889CD" w14:textId="77777777" w:rsidR="003E0EAD" w:rsidRDefault="003E0EAD" w:rsidP="004A3141">
      <w:pPr>
        <w:pStyle w:val="ab"/>
        <w:spacing w:before="62" w:after="62"/>
        <w:ind w:firstLine="482"/>
      </w:pPr>
      <w:r>
        <w:rPr>
          <w:rFonts w:hint="eastAsia"/>
        </w:rPr>
        <w:t>一、对社会资本尽职调查的资料收集</w:t>
      </w:r>
    </w:p>
    <w:p w14:paraId="2EFB6E64" w14:textId="77777777" w:rsidR="003E0EAD" w:rsidRDefault="003E0EAD" w:rsidP="003E0EAD">
      <w:pPr>
        <w:pStyle w:val="13"/>
      </w:pPr>
      <w:r>
        <w:rPr>
          <w:rFonts w:hint="eastAsia"/>
        </w:rPr>
        <w:t>对社会资本尽职调查时，通常收集如下资料：</w:t>
      </w:r>
    </w:p>
    <w:p w14:paraId="7EC6C1F9" w14:textId="77777777" w:rsidR="003E0EAD" w:rsidRDefault="003E0EAD" w:rsidP="003E0EAD">
      <w:pPr>
        <w:pStyle w:val="13"/>
      </w:pPr>
      <w:r>
        <w:rPr>
          <w:rFonts w:hint="eastAsia"/>
        </w:rPr>
        <w:t>（一）企业基本情况、组织机构、公司章程、历次验资报告、营业执照及相关资质；</w:t>
      </w:r>
    </w:p>
    <w:p w14:paraId="2A0C70E2" w14:textId="77777777" w:rsidR="003E0EAD" w:rsidRDefault="003E0EAD" w:rsidP="003E0EAD">
      <w:pPr>
        <w:pStyle w:val="13"/>
      </w:pPr>
      <w:r>
        <w:rPr>
          <w:rFonts w:hint="eastAsia"/>
        </w:rPr>
        <w:t>（二）企业财务报表及审计报告、主要资产（知识产权）及投资情况表、长短期</w:t>
      </w:r>
      <w:r>
        <w:rPr>
          <w:rFonts w:hint="eastAsia"/>
        </w:rPr>
        <w:lastRenderedPageBreak/>
        <w:t>借款合同；</w:t>
      </w:r>
    </w:p>
    <w:p w14:paraId="3A5358A8" w14:textId="77777777" w:rsidR="003E0EAD" w:rsidRDefault="003E0EAD" w:rsidP="003E0EAD">
      <w:pPr>
        <w:pStyle w:val="13"/>
      </w:pPr>
      <w:r>
        <w:rPr>
          <w:rFonts w:hint="eastAsia"/>
        </w:rPr>
        <w:t>（三）企业主要产品资料、销售合同情况表；</w:t>
      </w:r>
    </w:p>
    <w:p w14:paraId="2A7CF49B" w14:textId="77777777" w:rsidR="003E0EAD" w:rsidRDefault="003E0EAD" w:rsidP="003E0EAD">
      <w:pPr>
        <w:pStyle w:val="13"/>
      </w:pPr>
      <w:r>
        <w:rPr>
          <w:rFonts w:hint="eastAsia"/>
        </w:rPr>
        <w:t>（四）员工名册及社保缴纳情况表；</w:t>
      </w:r>
    </w:p>
    <w:p w14:paraId="16C0B467" w14:textId="77777777" w:rsidR="003E0EAD" w:rsidRDefault="003E0EAD" w:rsidP="003E0EAD">
      <w:pPr>
        <w:pStyle w:val="13"/>
      </w:pPr>
      <w:r>
        <w:rPr>
          <w:rFonts w:hint="eastAsia"/>
        </w:rPr>
        <w:t>（五）主要管理制度和激励制度，会议纪要、年度工作总结；</w:t>
      </w:r>
    </w:p>
    <w:p w14:paraId="79D5A1F1" w14:textId="794C80B3" w:rsidR="003E0EAD" w:rsidRDefault="003E0EAD" w:rsidP="003E0EAD">
      <w:pPr>
        <w:pStyle w:val="13"/>
      </w:pPr>
      <w:r>
        <w:rPr>
          <w:rFonts w:hint="eastAsia"/>
        </w:rPr>
        <w:t>（六）已经签订和实施的</w:t>
      </w:r>
      <w:r w:rsidR="00B65C82">
        <w:t>PPP</w:t>
      </w:r>
      <w:r>
        <w:t>项目合同、项目实施的基本情况及</w:t>
      </w:r>
      <w:r w:rsidR="00B65C82">
        <w:t>PPP</w:t>
      </w:r>
      <w:r>
        <w:t>项目经验；</w:t>
      </w:r>
    </w:p>
    <w:p w14:paraId="13B2822E" w14:textId="77777777" w:rsidR="003E0EAD" w:rsidRDefault="003E0EAD" w:rsidP="003E0EAD">
      <w:pPr>
        <w:pStyle w:val="13"/>
      </w:pPr>
      <w:r>
        <w:rPr>
          <w:rFonts w:hint="eastAsia"/>
        </w:rPr>
        <w:t>（七）其他相关资料。</w:t>
      </w:r>
    </w:p>
    <w:p w14:paraId="4238DA47" w14:textId="77777777" w:rsidR="003E0EAD" w:rsidRDefault="003E0EAD" w:rsidP="004A3141">
      <w:pPr>
        <w:pStyle w:val="ab"/>
        <w:spacing w:before="62" w:after="62"/>
        <w:ind w:firstLine="482"/>
      </w:pPr>
      <w:r>
        <w:rPr>
          <w:rFonts w:hint="eastAsia"/>
        </w:rPr>
        <w:t>二、对社会资本尽职调查的主要内容及关注点</w:t>
      </w:r>
    </w:p>
    <w:p w14:paraId="372413BD" w14:textId="77777777" w:rsidR="003E0EAD" w:rsidRDefault="003E0EAD" w:rsidP="003E0EAD">
      <w:pPr>
        <w:pStyle w:val="13"/>
      </w:pPr>
      <w:r>
        <w:rPr>
          <w:rFonts w:hint="eastAsia"/>
        </w:rPr>
        <w:t>评估机构对社会资本进行尽职调查时，需要关注如下主要内容：</w:t>
      </w:r>
    </w:p>
    <w:p w14:paraId="7E160556" w14:textId="77777777" w:rsidR="003E0EAD" w:rsidRDefault="003E0EAD" w:rsidP="003E0EAD">
      <w:pPr>
        <w:pStyle w:val="13"/>
      </w:pPr>
      <w:r>
        <w:rPr>
          <w:rFonts w:hint="eastAsia"/>
        </w:rPr>
        <w:t>（一）企业概况</w:t>
      </w:r>
    </w:p>
    <w:p w14:paraId="2DD79F9E" w14:textId="77777777" w:rsidR="003E0EAD" w:rsidRDefault="003E0EAD" w:rsidP="003E0EAD">
      <w:pPr>
        <w:pStyle w:val="13"/>
      </w:pPr>
      <w:r>
        <w:rPr>
          <w:rFonts w:hint="eastAsia"/>
        </w:rPr>
        <w:t>主要包括企业工商注册情况、历史沿革及历次股权变化、企业主营业务及产品、组织结构及下属分子公司情况、行业资质获得情况、管理层及员工构成、主要荣誉等。</w:t>
      </w:r>
    </w:p>
    <w:p w14:paraId="44132F1D" w14:textId="77777777" w:rsidR="003E0EAD" w:rsidRDefault="003E0EAD" w:rsidP="003E0EAD">
      <w:pPr>
        <w:pStyle w:val="13"/>
      </w:pPr>
      <w:r>
        <w:rPr>
          <w:rFonts w:hint="eastAsia"/>
        </w:rPr>
        <w:t>（二）企业财务状况</w:t>
      </w:r>
    </w:p>
    <w:p w14:paraId="2F0346A6" w14:textId="03ECDF5F" w:rsidR="003E0EAD" w:rsidRDefault="003E0EAD" w:rsidP="003E0EAD">
      <w:pPr>
        <w:pStyle w:val="13"/>
      </w:pPr>
      <w:r>
        <w:t>1</w:t>
      </w:r>
      <w:r w:rsidR="004A3141">
        <w:rPr>
          <w:rFonts w:hint="eastAsia"/>
        </w:rPr>
        <w:t>、</w:t>
      </w:r>
      <w:r>
        <w:t>资产权属、是否存在虚增资产、主要资产运营的情况，应付款、借款以及或有事项或表外事项等负债管理情况；</w:t>
      </w:r>
    </w:p>
    <w:p w14:paraId="2BBA235A" w14:textId="77777777" w:rsidR="003E0EAD" w:rsidRDefault="003E0EAD" w:rsidP="003E0EAD">
      <w:pPr>
        <w:pStyle w:val="13"/>
      </w:pPr>
      <w:r>
        <w:t>2、所有者权益中实缴资本、资本公积、盈余公积等的合理合</w:t>
      </w:r>
      <w:proofErr w:type="gramStart"/>
      <w:r>
        <w:t>规</w:t>
      </w:r>
      <w:proofErr w:type="gramEnd"/>
      <w:r>
        <w:t>性；</w:t>
      </w:r>
    </w:p>
    <w:p w14:paraId="1EEAED64" w14:textId="77777777" w:rsidR="003E0EAD" w:rsidRDefault="003E0EAD" w:rsidP="003E0EAD">
      <w:pPr>
        <w:pStyle w:val="13"/>
      </w:pPr>
      <w:r>
        <w:t>3、近几年营业收入、主营业务成本、期间费用、非正常损益、税收、现金流量等企业运营情况；</w:t>
      </w:r>
    </w:p>
    <w:p w14:paraId="35A1E9EC" w14:textId="77777777" w:rsidR="003E0EAD" w:rsidRDefault="003E0EAD" w:rsidP="003E0EAD">
      <w:pPr>
        <w:pStyle w:val="13"/>
      </w:pPr>
      <w:r>
        <w:t>4、重大投资及分子公司经营等情况。</w:t>
      </w:r>
    </w:p>
    <w:p w14:paraId="1F97DF59" w14:textId="77777777" w:rsidR="003E0EAD" w:rsidRDefault="003E0EAD" w:rsidP="003E0EAD">
      <w:pPr>
        <w:pStyle w:val="13"/>
      </w:pPr>
      <w:r>
        <w:rPr>
          <w:rFonts w:hint="eastAsia"/>
        </w:rPr>
        <w:t>（三）人员及管理情况</w:t>
      </w:r>
    </w:p>
    <w:p w14:paraId="2060204B" w14:textId="77777777" w:rsidR="003E0EAD" w:rsidRDefault="003E0EAD" w:rsidP="003E0EAD">
      <w:pPr>
        <w:pStyle w:val="13"/>
      </w:pPr>
      <w:r>
        <w:rPr>
          <w:rFonts w:hint="eastAsia"/>
        </w:rPr>
        <w:t>主要包括：人员总数、构成（性别构成、年龄构成、学历构成、职业职称构成）、管理团队、技术研发团队、管理模式。</w:t>
      </w:r>
    </w:p>
    <w:p w14:paraId="22C39140" w14:textId="77777777" w:rsidR="003E0EAD" w:rsidRDefault="003E0EAD" w:rsidP="003E0EAD">
      <w:pPr>
        <w:pStyle w:val="13"/>
      </w:pPr>
      <w:r>
        <w:rPr>
          <w:rFonts w:hint="eastAsia"/>
        </w:rPr>
        <w:t>（四）行业情况及企业在行业中的竞争地位</w:t>
      </w:r>
    </w:p>
    <w:p w14:paraId="43A7F9F9" w14:textId="77777777" w:rsidR="003E0EAD" w:rsidRDefault="003E0EAD" w:rsidP="003E0EAD">
      <w:pPr>
        <w:pStyle w:val="13"/>
      </w:pPr>
      <w:r>
        <w:rPr>
          <w:rFonts w:hint="eastAsia"/>
        </w:rPr>
        <w:t>主要包括行业政策、行业需求及其影响因素、目前行业竞争格局、主要竞争对手情况、企业在行业及区域中的竞争地位、优劣势分析等。</w:t>
      </w:r>
    </w:p>
    <w:p w14:paraId="1E2DA85D" w14:textId="77777777" w:rsidR="003E0EAD" w:rsidRDefault="003E0EAD" w:rsidP="003E0EAD">
      <w:pPr>
        <w:pStyle w:val="13"/>
      </w:pPr>
      <w:r>
        <w:rPr>
          <w:rFonts w:hint="eastAsia"/>
        </w:rPr>
        <w:t>（五）企业在相关行业领域的业绩、经验、能力和优势</w:t>
      </w:r>
    </w:p>
    <w:p w14:paraId="58A0C8A2" w14:textId="18B218B8" w:rsidR="003E0EAD" w:rsidRDefault="003E0EAD" w:rsidP="003E0EAD">
      <w:pPr>
        <w:pStyle w:val="13"/>
      </w:pPr>
      <w:r>
        <w:rPr>
          <w:rFonts w:hint="eastAsia"/>
        </w:rPr>
        <w:t>主要包括企业从事相关行业项目业绩（客户名称、签约情况、完成进度、结算情况）、业主评价反馈意见书、经验总结、企业承接</w:t>
      </w:r>
      <w:r w:rsidR="00B65C82">
        <w:t>PPP</w:t>
      </w:r>
      <w:r>
        <w:t>项目的能力和优势分析。</w:t>
      </w:r>
    </w:p>
    <w:p w14:paraId="2B3DC851" w14:textId="77777777" w:rsidR="003E0EAD" w:rsidRDefault="003E0EAD" w:rsidP="003E0EAD">
      <w:pPr>
        <w:pStyle w:val="13"/>
      </w:pPr>
      <w:r>
        <w:rPr>
          <w:rFonts w:hint="eastAsia"/>
        </w:rPr>
        <w:t>（六）企业的融资能力分析</w:t>
      </w:r>
    </w:p>
    <w:p w14:paraId="7C3AA09E" w14:textId="620FAA43" w:rsidR="003E0EAD" w:rsidRDefault="00B65C82" w:rsidP="003E0EAD">
      <w:pPr>
        <w:pStyle w:val="13"/>
      </w:pPr>
      <w:r>
        <w:t>PPP</w:t>
      </w:r>
      <w:r w:rsidR="003E0EAD">
        <w:t>项目投资额巨大，通常社会资本需要具有强大的融资能力。</w:t>
      </w:r>
    </w:p>
    <w:p w14:paraId="7030BB64" w14:textId="77777777" w:rsidR="003E0EAD" w:rsidRDefault="003E0EAD" w:rsidP="003E0EAD">
      <w:pPr>
        <w:pStyle w:val="13"/>
      </w:pPr>
      <w:r>
        <w:rPr>
          <w:rFonts w:hint="eastAsia"/>
        </w:rPr>
        <w:t>在调查企业融资能力时，可基于财务调查情况计算资产负债率、速动比率、利息保障倍数，了解其负债程度和潜在融资空间，并需要了解企业主要资产的抵押情况、授信额度及其使用、银企关系、通过发行债券和股票等方式融资的可行性、控股股东的资金实力和</w:t>
      </w:r>
      <w:proofErr w:type="gramStart"/>
      <w:r>
        <w:rPr>
          <w:rFonts w:hint="eastAsia"/>
        </w:rPr>
        <w:t>可</w:t>
      </w:r>
      <w:proofErr w:type="gramEnd"/>
      <w:r>
        <w:rPr>
          <w:rFonts w:hint="eastAsia"/>
        </w:rPr>
        <w:t>担保情况等。</w:t>
      </w:r>
    </w:p>
    <w:p w14:paraId="1891DE0C" w14:textId="77777777" w:rsidR="003E0EAD" w:rsidRDefault="003E0EAD" w:rsidP="003E0EAD">
      <w:pPr>
        <w:pStyle w:val="13"/>
      </w:pPr>
      <w:r>
        <w:rPr>
          <w:rFonts w:hint="eastAsia"/>
        </w:rPr>
        <w:t>（七）对企业产生重大影响的有关抵押、担保、诉讼及或有事项</w:t>
      </w:r>
    </w:p>
    <w:p w14:paraId="0294AE20" w14:textId="3263BA21" w:rsidR="003E0EAD" w:rsidRDefault="003E0EAD" w:rsidP="007E2641">
      <w:pPr>
        <w:pStyle w:val="13"/>
      </w:pPr>
      <w:r>
        <w:rPr>
          <w:rFonts w:hint="eastAsia"/>
        </w:rPr>
        <w:lastRenderedPageBreak/>
        <w:t>通过查询会议纪要、借款合同、律师函等，了解企业存在的有关抵押、担保、诉讼事项，同时还应关注安全、环保、税务、协议（义务）约定等可能产生的其他或有事项对企业的重大影响。</w:t>
      </w:r>
    </w:p>
    <w:p w14:paraId="1CE8AFA2" w14:textId="77777777" w:rsidR="003E0EAD" w:rsidRDefault="003E0EAD" w:rsidP="007E2641">
      <w:pPr>
        <w:pStyle w:val="ab"/>
        <w:spacing w:before="62" w:after="62"/>
        <w:ind w:firstLine="482"/>
      </w:pPr>
      <w:r>
        <w:rPr>
          <w:rFonts w:hint="eastAsia"/>
        </w:rPr>
        <w:t>三、对社会资本尽职调查报告的披露要求</w:t>
      </w:r>
    </w:p>
    <w:p w14:paraId="25A6A190" w14:textId="77777777" w:rsidR="003E0EAD" w:rsidRDefault="003E0EAD" w:rsidP="003E0EAD">
      <w:pPr>
        <w:pStyle w:val="13"/>
      </w:pPr>
      <w:r>
        <w:rPr>
          <w:rFonts w:hint="eastAsia"/>
        </w:rPr>
        <w:t>社会资本的尽职调查除了本章第一节所提的内容外还需要增加如下内容：</w:t>
      </w:r>
    </w:p>
    <w:p w14:paraId="0490D547" w14:textId="77777777" w:rsidR="003E0EAD" w:rsidRDefault="003E0EAD" w:rsidP="003E0EAD">
      <w:pPr>
        <w:pStyle w:val="13"/>
      </w:pPr>
      <w:r>
        <w:rPr>
          <w:rFonts w:hint="eastAsia"/>
        </w:rPr>
        <w:t>（一）财务情况调查</w:t>
      </w:r>
    </w:p>
    <w:p w14:paraId="4352AE9A" w14:textId="77777777" w:rsidR="003E0EAD" w:rsidRDefault="003E0EAD" w:rsidP="003E0EAD">
      <w:pPr>
        <w:pStyle w:val="13"/>
      </w:pPr>
      <w:r>
        <w:rPr>
          <w:rFonts w:hint="eastAsia"/>
        </w:rPr>
        <w:t>主要对社会资本的资产负债情况、主要资产情况、盈利情况、现金流情况等进行调查和分析。</w:t>
      </w:r>
    </w:p>
    <w:p w14:paraId="5601316C" w14:textId="77777777" w:rsidR="003E0EAD" w:rsidRDefault="003E0EAD" w:rsidP="003E0EAD">
      <w:pPr>
        <w:pStyle w:val="13"/>
      </w:pPr>
      <w:r>
        <w:rPr>
          <w:rFonts w:hint="eastAsia"/>
        </w:rPr>
        <w:t>（二）业务情况调查</w:t>
      </w:r>
    </w:p>
    <w:p w14:paraId="06D1D028" w14:textId="77777777" w:rsidR="003E0EAD" w:rsidRDefault="003E0EAD" w:rsidP="003E0EAD">
      <w:pPr>
        <w:pStyle w:val="13"/>
      </w:pPr>
      <w:r>
        <w:rPr>
          <w:rFonts w:hint="eastAsia"/>
        </w:rPr>
        <w:t>对社会资本的主要经营业务、行业竞争状况、行业地位进行调查和分析。</w:t>
      </w:r>
    </w:p>
    <w:p w14:paraId="3A2B52CB" w14:textId="77777777" w:rsidR="003E0EAD" w:rsidRDefault="003E0EAD" w:rsidP="003E0EAD">
      <w:pPr>
        <w:pStyle w:val="13"/>
      </w:pPr>
      <w:r>
        <w:rPr>
          <w:rFonts w:hint="eastAsia"/>
        </w:rPr>
        <w:t>（三）法律情况调查</w:t>
      </w:r>
    </w:p>
    <w:p w14:paraId="2B13FB6E" w14:textId="77777777" w:rsidR="003E0EAD" w:rsidRDefault="003E0EAD" w:rsidP="003E0EAD">
      <w:pPr>
        <w:pStyle w:val="13"/>
      </w:pPr>
      <w:r>
        <w:rPr>
          <w:rFonts w:hint="eastAsia"/>
        </w:rPr>
        <w:t>对社会资本的主体资格、合同签订、债权债务、知识产权、重大诉讼等情况进行调查和分析。</w:t>
      </w:r>
    </w:p>
    <w:p w14:paraId="38A181F4" w14:textId="3C29B043" w:rsidR="003E0EAD" w:rsidRDefault="003E0EAD" w:rsidP="003E0EAD">
      <w:pPr>
        <w:pStyle w:val="13"/>
      </w:pPr>
      <w:r>
        <w:rPr>
          <w:rFonts w:hint="eastAsia"/>
        </w:rPr>
        <w:t>（四）从事</w:t>
      </w:r>
      <w:r w:rsidR="00B65C82">
        <w:t>PPP</w:t>
      </w:r>
      <w:r>
        <w:t>相关行业的资源和能力</w:t>
      </w:r>
    </w:p>
    <w:p w14:paraId="27034310" w14:textId="650A6179" w:rsidR="003E0EAD" w:rsidRDefault="003E0EAD" w:rsidP="003E0EAD">
      <w:pPr>
        <w:pStyle w:val="13"/>
      </w:pPr>
      <w:r>
        <w:rPr>
          <w:rFonts w:hint="eastAsia"/>
        </w:rPr>
        <w:t>通常需要对社会资本在近几年从事与</w:t>
      </w:r>
      <w:r w:rsidR="00B65C82">
        <w:t>PPP</w:t>
      </w:r>
      <w:r>
        <w:t>项目相关的业务情况进行重点调查，包括已签订的合同及履约情况、客户评价反馈情况、从事</w:t>
      </w:r>
      <w:r w:rsidR="00B65C82">
        <w:t>PPP</w:t>
      </w:r>
      <w:r>
        <w:t>项目相关业务的资源、能力和经验等。</w:t>
      </w:r>
    </w:p>
    <w:p w14:paraId="433072FC" w14:textId="77777777" w:rsidR="003E0EAD" w:rsidRDefault="003E0EAD" w:rsidP="003E0EAD">
      <w:pPr>
        <w:pStyle w:val="13"/>
      </w:pPr>
      <w:r>
        <w:rPr>
          <w:rFonts w:hint="eastAsia"/>
        </w:rPr>
        <w:t>（五）风险提示</w:t>
      </w:r>
    </w:p>
    <w:p w14:paraId="34B813E6" w14:textId="77777777" w:rsidR="003E0EAD" w:rsidRDefault="003E0EAD" w:rsidP="003E0EAD">
      <w:pPr>
        <w:pStyle w:val="13"/>
      </w:pPr>
      <w:r>
        <w:rPr>
          <w:rFonts w:hint="eastAsia"/>
        </w:rPr>
        <w:t>尽职调查报告通常披露根据上述尽职调查所发现的异常事项，并进行风险提示。</w:t>
      </w:r>
    </w:p>
    <w:p w14:paraId="04EC0A66" w14:textId="70572EE7" w:rsidR="003E0EAD" w:rsidRDefault="003E0EAD" w:rsidP="00AF7342">
      <w:pPr>
        <w:pStyle w:val="a9"/>
        <w:spacing w:before="62" w:after="62"/>
      </w:pPr>
      <w:r>
        <w:rPr>
          <w:rFonts w:hint="eastAsia"/>
        </w:rPr>
        <w:t>第六章</w:t>
      </w:r>
      <w:r w:rsidR="00B65C82">
        <w:t>PPP</w:t>
      </w:r>
      <w:r>
        <w:t>项目中期评估以及绩效评价具体操作要求</w:t>
      </w:r>
    </w:p>
    <w:p w14:paraId="6E57AA37" w14:textId="6E946DF1" w:rsidR="003E0EAD" w:rsidRDefault="003E0EAD" w:rsidP="003E0EAD">
      <w:pPr>
        <w:pStyle w:val="13"/>
      </w:pPr>
      <w:r>
        <w:rPr>
          <w:rFonts w:hint="eastAsia"/>
        </w:rPr>
        <w:t>在</w:t>
      </w:r>
      <w:r w:rsidR="00B65C82">
        <w:t>PPP</w:t>
      </w:r>
      <w:r>
        <w:t>项目的执行阶段以及移交阶段，通常需进行中期评估和绩效评价。项目绩效目标是开展中期评估以及绩效评价设置指标体系的基础。</w:t>
      </w:r>
    </w:p>
    <w:p w14:paraId="342A04E8" w14:textId="77777777" w:rsidR="003E0EAD" w:rsidRDefault="003E0EAD" w:rsidP="00AF7342">
      <w:pPr>
        <w:pStyle w:val="a9"/>
        <w:spacing w:before="62" w:after="62"/>
      </w:pPr>
      <w:r>
        <w:rPr>
          <w:rFonts w:hint="eastAsia"/>
        </w:rPr>
        <w:t>第一节</w:t>
      </w:r>
      <w:r>
        <w:t xml:space="preserve"> 绩效目标编制操作要求</w:t>
      </w:r>
    </w:p>
    <w:p w14:paraId="4B0AF4BF" w14:textId="77777777" w:rsidR="003E0EAD" w:rsidRDefault="003E0EAD" w:rsidP="007E2641">
      <w:pPr>
        <w:pStyle w:val="ab"/>
        <w:spacing w:before="62" w:after="62"/>
        <w:ind w:firstLine="482"/>
      </w:pPr>
      <w:r>
        <w:rPr>
          <w:rFonts w:hint="eastAsia"/>
        </w:rPr>
        <w:t>一、绩效目标主要内容</w:t>
      </w:r>
    </w:p>
    <w:p w14:paraId="7E5C33A0" w14:textId="77777777" w:rsidR="003E0EAD" w:rsidRDefault="003E0EAD" w:rsidP="003E0EAD">
      <w:pPr>
        <w:pStyle w:val="13"/>
      </w:pPr>
      <w:r>
        <w:rPr>
          <w:rFonts w:hint="eastAsia"/>
        </w:rPr>
        <w:t>绩效目标主要内容通常包括：</w:t>
      </w:r>
    </w:p>
    <w:p w14:paraId="32358513" w14:textId="36E84567" w:rsidR="003E0EAD" w:rsidRDefault="003E0EAD" w:rsidP="003E0EAD">
      <w:pPr>
        <w:pStyle w:val="13"/>
      </w:pPr>
      <w:r>
        <w:rPr>
          <w:rFonts w:hint="eastAsia"/>
        </w:rPr>
        <w:t>（一）预期产出目标，包括提供公共产品或者公共服务的数量、质量、时效目标，</w:t>
      </w:r>
      <w:r>
        <w:t>以及达到预期产出所需要的成本和资源等。</w:t>
      </w:r>
    </w:p>
    <w:p w14:paraId="4A3EFECC" w14:textId="77777777" w:rsidR="003E0EAD" w:rsidRDefault="003E0EAD" w:rsidP="003E0EAD">
      <w:pPr>
        <w:pStyle w:val="13"/>
      </w:pPr>
      <w:r>
        <w:rPr>
          <w:rFonts w:hint="eastAsia"/>
        </w:rPr>
        <w:t>（二）预期效果目标，包括项目经济效益、社会效益、环境效益和</w:t>
      </w:r>
      <w:proofErr w:type="gramStart"/>
      <w:r>
        <w:rPr>
          <w:rFonts w:hint="eastAsia"/>
        </w:rPr>
        <w:t>可</w:t>
      </w:r>
      <w:proofErr w:type="gramEnd"/>
      <w:r>
        <w:rPr>
          <w:rFonts w:hint="eastAsia"/>
        </w:rPr>
        <w:t>持续影响等。</w:t>
      </w:r>
    </w:p>
    <w:p w14:paraId="09932856" w14:textId="77777777" w:rsidR="003E0EAD" w:rsidRDefault="003E0EAD" w:rsidP="003E0EAD">
      <w:pPr>
        <w:pStyle w:val="13"/>
      </w:pPr>
      <w:r>
        <w:rPr>
          <w:rFonts w:hint="eastAsia"/>
        </w:rPr>
        <w:t>（三）衡量预期产出、预期效果和相关方满意程度方面的绩效评价指标等。</w:t>
      </w:r>
    </w:p>
    <w:p w14:paraId="6D7F1DF7" w14:textId="77777777" w:rsidR="003E0EAD" w:rsidRDefault="003E0EAD" w:rsidP="003E0EAD">
      <w:pPr>
        <w:pStyle w:val="13"/>
      </w:pPr>
      <w:r>
        <w:rPr>
          <w:rFonts w:hint="eastAsia"/>
        </w:rPr>
        <w:t>（四）为实现项目绩效目标所需要的保障制度、措施和工作计划，以及项目管理内容和相应目标要求等。</w:t>
      </w:r>
    </w:p>
    <w:p w14:paraId="40AD8BCF" w14:textId="77777777" w:rsidR="003E0EAD" w:rsidRDefault="003E0EAD" w:rsidP="003E0EAD">
      <w:pPr>
        <w:pStyle w:val="13"/>
      </w:pPr>
      <w:r>
        <w:rPr>
          <w:rFonts w:hint="eastAsia"/>
        </w:rPr>
        <w:t>（五）其他。</w:t>
      </w:r>
    </w:p>
    <w:p w14:paraId="5CD9606F" w14:textId="77777777" w:rsidR="003E0EAD" w:rsidRDefault="003E0EAD" w:rsidP="003E0EAD">
      <w:pPr>
        <w:pStyle w:val="13"/>
      </w:pPr>
      <w:r>
        <w:rPr>
          <w:rFonts w:hint="eastAsia"/>
        </w:rPr>
        <w:t>二、绩效目标编制要求</w:t>
      </w:r>
    </w:p>
    <w:p w14:paraId="1A55732B" w14:textId="7F0D0A8C" w:rsidR="003E0EAD" w:rsidRDefault="003E0EAD" w:rsidP="003E0EAD">
      <w:pPr>
        <w:pStyle w:val="13"/>
      </w:pPr>
      <w:r>
        <w:rPr>
          <w:rFonts w:hint="eastAsia"/>
        </w:rPr>
        <w:lastRenderedPageBreak/>
        <w:t>评估机构在开展</w:t>
      </w:r>
      <w:r w:rsidR="00B65C82">
        <w:t>PPP</w:t>
      </w:r>
      <w:r>
        <w:t>项目中期评估以及绩效评价时，明确项目在考核期间的绩效目标。如果项目在实施方案或者合同中缺少绩效目标、绩效目标不明确或者绩效目标有偏差，评估机构需要与委托方进行沟通，根据评价依据以及项目客观情况确定合理的绩效目标。</w:t>
      </w:r>
    </w:p>
    <w:p w14:paraId="5B30013A" w14:textId="77777777" w:rsidR="003E0EAD" w:rsidRDefault="003E0EAD" w:rsidP="003E0EAD">
      <w:pPr>
        <w:pStyle w:val="13"/>
      </w:pPr>
      <w:r>
        <w:rPr>
          <w:rFonts w:hint="eastAsia"/>
        </w:rPr>
        <w:t>（一）绩效目标设置的基本原则</w:t>
      </w:r>
    </w:p>
    <w:p w14:paraId="5BABE848" w14:textId="77777777" w:rsidR="003E0EAD" w:rsidRDefault="003E0EAD" w:rsidP="003E0EAD">
      <w:pPr>
        <w:pStyle w:val="13"/>
      </w:pPr>
      <w:r>
        <w:rPr>
          <w:rFonts w:hint="eastAsia"/>
        </w:rPr>
        <w:t>项目绩效目标设置需要符合以下要求：</w:t>
      </w:r>
    </w:p>
    <w:p w14:paraId="753BB944" w14:textId="07BB49DA" w:rsidR="003E0EAD" w:rsidRDefault="003E0EAD" w:rsidP="007E2641">
      <w:pPr>
        <w:pStyle w:val="13"/>
      </w:pPr>
      <w:r>
        <w:t>1、指向明确。绩效目标符合国民经济和社会发展规划、部门职</w:t>
      </w:r>
      <w:r>
        <w:rPr>
          <w:rFonts w:hint="eastAsia"/>
        </w:rPr>
        <w:t>能以及行业发展规划，并与相应的项目支出范围、方向、效果紧密相关。</w:t>
      </w:r>
    </w:p>
    <w:p w14:paraId="0F3F5C51" w14:textId="77777777" w:rsidR="003E0EAD" w:rsidRDefault="003E0EAD" w:rsidP="003E0EAD">
      <w:pPr>
        <w:pStyle w:val="13"/>
      </w:pPr>
      <w:r>
        <w:t>2、具体细化。绩效目标从数量、质量、时效、成本等方面进行细化，尽量进行定量表述，不能以量化形式表述的，可以采用定性的分级分档形式进行表述。</w:t>
      </w:r>
    </w:p>
    <w:p w14:paraId="0CC55796" w14:textId="77777777" w:rsidR="003E0EAD" w:rsidRDefault="003E0EAD" w:rsidP="003E0EAD">
      <w:pPr>
        <w:pStyle w:val="13"/>
      </w:pPr>
      <w:r>
        <w:t>3、合理可行。制定绩效目标要以结果为导向，要经过调查研究和科学论证，符合客观实际；制定绩效目标要与编制项目预算有机结合，要结合项目管理的基本要素和相应要求，进行成本效益分析。</w:t>
      </w:r>
    </w:p>
    <w:p w14:paraId="09BDC5E6" w14:textId="77777777" w:rsidR="003E0EAD" w:rsidRDefault="003E0EAD" w:rsidP="003E0EAD">
      <w:pPr>
        <w:pStyle w:val="13"/>
      </w:pPr>
      <w:r>
        <w:t>4、物有所值。绩效目标的设置符合物有所值的理念。通过目标设置，与政府提供公共产品或公共服务的传统模式相比，能够科学</w:t>
      </w:r>
      <w:proofErr w:type="gramStart"/>
      <w:r>
        <w:t>考量</w:t>
      </w:r>
      <w:proofErr w:type="gramEnd"/>
      <w:r>
        <w:t>社会资本的参与，有效降低项目全生命周期成本、提高公共产品或者公共服务质量效率。</w:t>
      </w:r>
    </w:p>
    <w:p w14:paraId="505DC911" w14:textId="77777777" w:rsidR="003E0EAD" w:rsidRDefault="003E0EAD" w:rsidP="003E0EAD">
      <w:pPr>
        <w:pStyle w:val="13"/>
      </w:pPr>
      <w:r>
        <w:rPr>
          <w:rFonts w:hint="eastAsia"/>
        </w:rPr>
        <w:t>（二）绩效目标编制具体要求</w:t>
      </w:r>
    </w:p>
    <w:p w14:paraId="38F77A13" w14:textId="77777777" w:rsidR="003E0EAD" w:rsidRDefault="003E0EAD" w:rsidP="003E0EAD">
      <w:pPr>
        <w:pStyle w:val="13"/>
      </w:pPr>
      <w:r>
        <w:t>1、目标依据的充分性</w:t>
      </w:r>
    </w:p>
    <w:p w14:paraId="09131022" w14:textId="667FA235" w:rsidR="003E0EAD" w:rsidRDefault="003E0EAD" w:rsidP="003E0EAD">
      <w:pPr>
        <w:pStyle w:val="13"/>
      </w:pPr>
      <w:r>
        <w:rPr>
          <w:rFonts w:hint="eastAsia"/>
        </w:rPr>
        <w:t>（</w:t>
      </w:r>
      <w:r>
        <w:t>1）项目是否符合国家和地区的政策法规；项目是否提供公共产品或服务；是否符合公共财政资金保障的范围和支持的方向。依据包括：项目申请、批准文件，项目实施方案，项目物有所值评价报告，项目财政承受能力论证报告，PPP项目合同以及项目涉及的相关政策、法规、规划等。</w:t>
      </w:r>
    </w:p>
    <w:p w14:paraId="2F4E9AAF" w14:textId="565A0263" w:rsidR="003E0EAD" w:rsidRDefault="003E0EAD" w:rsidP="007E2641">
      <w:pPr>
        <w:pStyle w:val="13"/>
      </w:pPr>
      <w:r>
        <w:rPr>
          <w:rFonts w:hint="eastAsia"/>
        </w:rPr>
        <w:t>（</w:t>
      </w:r>
      <w:r>
        <w:t>2）项目是否符合规定条件和程序。依据包括：项目决策主体、实施主体、受益主</w:t>
      </w:r>
      <w:r>
        <w:rPr>
          <w:rFonts w:hint="eastAsia"/>
        </w:rPr>
        <w:t>体确认信息，项目确立需要经过的规定程序，确定项目范围所形成的规范性材料，以及相关实施标准和依据。项目是否按照财政部门对</w:t>
      </w:r>
      <w:r w:rsidR="00B65C82">
        <w:t>PPP</w:t>
      </w:r>
      <w:r>
        <w:t>项目的程序要求开展各项工作。</w:t>
      </w:r>
    </w:p>
    <w:p w14:paraId="7590F646" w14:textId="3F414EC5" w:rsidR="003E0EAD" w:rsidRDefault="003E0EAD" w:rsidP="003E0EAD">
      <w:pPr>
        <w:pStyle w:val="13"/>
      </w:pPr>
      <w:r>
        <w:rPr>
          <w:rFonts w:hint="eastAsia"/>
        </w:rPr>
        <w:t>（</w:t>
      </w:r>
      <w:r>
        <w:t>3）项目实施对预算部门（单位）战略目标的相关性。项目是否为促进基础设施或者公共服务发展所必需；项目是否真的达到物有所值。</w:t>
      </w:r>
    </w:p>
    <w:p w14:paraId="5544DF4D" w14:textId="77777777" w:rsidR="003E0EAD" w:rsidRDefault="003E0EAD" w:rsidP="003E0EAD">
      <w:pPr>
        <w:pStyle w:val="13"/>
      </w:pPr>
      <w:r>
        <w:t>2、目标设置的合理性</w:t>
      </w:r>
    </w:p>
    <w:p w14:paraId="4E378130" w14:textId="4777BF98" w:rsidR="003E0EAD" w:rsidRDefault="003E0EAD" w:rsidP="003E0EAD">
      <w:pPr>
        <w:pStyle w:val="13"/>
      </w:pPr>
      <w:r>
        <w:rPr>
          <w:rFonts w:hint="eastAsia"/>
        </w:rPr>
        <w:t>（</w:t>
      </w:r>
      <w:r>
        <w:t>1）绩效目标是否符合客观实际，项目预期产出效益和效果是否符合正常的业绩水平。</w:t>
      </w:r>
    </w:p>
    <w:p w14:paraId="4263DDB6" w14:textId="57FE16DD" w:rsidR="003E0EAD" w:rsidRDefault="003E0EAD" w:rsidP="003E0EAD">
      <w:pPr>
        <w:pStyle w:val="13"/>
      </w:pPr>
      <w:r>
        <w:rPr>
          <w:rFonts w:hint="eastAsia"/>
        </w:rPr>
        <w:t>（</w:t>
      </w:r>
      <w:r>
        <w:t>2）项目产出目标（含产出所需要的成本资源）与项目效益目标的关联性、匹配性和逻辑性。</w:t>
      </w:r>
    </w:p>
    <w:p w14:paraId="25151066" w14:textId="497EAACA" w:rsidR="003E0EAD" w:rsidRDefault="003E0EAD" w:rsidP="007E2641">
      <w:pPr>
        <w:pStyle w:val="13"/>
      </w:pPr>
      <w:r>
        <w:rPr>
          <w:rFonts w:hint="eastAsia"/>
        </w:rPr>
        <w:t>（</w:t>
      </w:r>
      <w:r>
        <w:t>3）依据绩效目标设定的绩效指标和目标值是否科学合理，是否清晰、细化、</w:t>
      </w:r>
      <w:r>
        <w:lastRenderedPageBreak/>
        <w:t>可衡</w:t>
      </w:r>
      <w:r>
        <w:rPr>
          <w:rFonts w:hint="eastAsia"/>
        </w:rPr>
        <w:t>量。</w:t>
      </w:r>
    </w:p>
    <w:p w14:paraId="4AC39166" w14:textId="6BF65468" w:rsidR="003E0EAD" w:rsidRDefault="003E0EAD" w:rsidP="007E2641">
      <w:pPr>
        <w:pStyle w:val="13"/>
      </w:pPr>
      <w:r>
        <w:rPr>
          <w:rFonts w:hint="eastAsia"/>
        </w:rPr>
        <w:t>（</w:t>
      </w:r>
      <w:r>
        <w:t>4）是否依据预期的产出和效益，结合成本效益分析编制项目总预算和明细预算，</w:t>
      </w:r>
      <w:r>
        <w:rPr>
          <w:rFonts w:hint="eastAsia"/>
        </w:rPr>
        <w:t>项目预算的内容、额度、标准、计划是否经济合理。</w:t>
      </w:r>
    </w:p>
    <w:p w14:paraId="4BADE612" w14:textId="77777777" w:rsidR="003E0EAD" w:rsidRDefault="003E0EAD" w:rsidP="003E0EAD">
      <w:pPr>
        <w:pStyle w:val="13"/>
      </w:pPr>
      <w:r>
        <w:t>3、目标实现的保障度</w:t>
      </w:r>
    </w:p>
    <w:p w14:paraId="69602F95" w14:textId="6411047A" w:rsidR="003E0EAD" w:rsidRDefault="003E0EAD" w:rsidP="003E0EAD">
      <w:pPr>
        <w:pStyle w:val="13"/>
      </w:pPr>
      <w:r>
        <w:rPr>
          <w:rFonts w:hint="eastAsia"/>
        </w:rPr>
        <w:t>（</w:t>
      </w:r>
      <w:r>
        <w:t>1）是否建立健全保障绩效目标实现的项目实施办法和措施。</w:t>
      </w:r>
    </w:p>
    <w:p w14:paraId="2A0E4850" w14:textId="7BE5AF55" w:rsidR="003E0EAD" w:rsidRDefault="003E0EAD" w:rsidP="003E0EAD">
      <w:pPr>
        <w:pStyle w:val="13"/>
      </w:pPr>
      <w:r>
        <w:rPr>
          <w:rFonts w:hint="eastAsia"/>
        </w:rPr>
        <w:t>（</w:t>
      </w:r>
      <w:r>
        <w:t>2）是否有科学有效的管理能力和充分合理的实施条件；是否有明确的职责分工、严谨有效的财务管理和内控制度。</w:t>
      </w:r>
    </w:p>
    <w:p w14:paraId="00F8EF19" w14:textId="3584491D" w:rsidR="003E0EAD" w:rsidRDefault="003E0EAD" w:rsidP="003E0EAD">
      <w:pPr>
        <w:pStyle w:val="13"/>
      </w:pPr>
      <w:r>
        <w:rPr>
          <w:rFonts w:hint="eastAsia"/>
        </w:rPr>
        <w:t>（</w:t>
      </w:r>
      <w:r>
        <w:t>3）是否有科学、合理、可行的项目管理内容和相关的目标要求。</w:t>
      </w:r>
    </w:p>
    <w:p w14:paraId="68F930E0" w14:textId="77777777" w:rsidR="003E0EAD" w:rsidRDefault="003E0EAD" w:rsidP="00AF7342">
      <w:pPr>
        <w:pStyle w:val="a9"/>
        <w:spacing w:before="62" w:after="62"/>
      </w:pPr>
      <w:r>
        <w:rPr>
          <w:rFonts w:hint="eastAsia"/>
        </w:rPr>
        <w:t>第二节</w:t>
      </w:r>
      <w:r>
        <w:t xml:space="preserve"> 中期评估操作要求</w:t>
      </w:r>
    </w:p>
    <w:p w14:paraId="3AD4F451" w14:textId="77777777" w:rsidR="003E0EAD" w:rsidRDefault="003E0EAD" w:rsidP="007E2641">
      <w:pPr>
        <w:pStyle w:val="ab"/>
        <w:spacing w:before="62" w:after="62"/>
        <w:ind w:firstLine="482"/>
      </w:pPr>
      <w:r>
        <w:rPr>
          <w:rFonts w:hint="eastAsia"/>
        </w:rPr>
        <w:t>一、中期评估的基本原则</w:t>
      </w:r>
    </w:p>
    <w:p w14:paraId="16AD9ECC" w14:textId="77777777" w:rsidR="003E0EAD" w:rsidRDefault="003E0EAD" w:rsidP="003E0EAD">
      <w:pPr>
        <w:pStyle w:val="13"/>
      </w:pPr>
      <w:r>
        <w:rPr>
          <w:rFonts w:hint="eastAsia"/>
        </w:rPr>
        <w:t>（一）科学性原则。中期评估需要严格执行规定的程序，按照科学可行的要求，采用定量与定性分析相结合的方法。</w:t>
      </w:r>
    </w:p>
    <w:p w14:paraId="1DB1A3A5" w14:textId="77777777" w:rsidR="003E0EAD" w:rsidRDefault="003E0EAD" w:rsidP="003E0EAD">
      <w:pPr>
        <w:pStyle w:val="13"/>
      </w:pPr>
      <w:r>
        <w:rPr>
          <w:rFonts w:hint="eastAsia"/>
        </w:rPr>
        <w:t>（二）重要性原则。中期评估通常优先选择最能代表和反映项目产出以及效果的核心目标与指标，关注对实现绩效目标有重要影响的核心指标。</w:t>
      </w:r>
    </w:p>
    <w:p w14:paraId="42DFB8DF" w14:textId="77777777" w:rsidR="003E0EAD" w:rsidRDefault="003E0EAD" w:rsidP="003E0EAD">
      <w:pPr>
        <w:pStyle w:val="13"/>
      </w:pPr>
      <w:r>
        <w:rPr>
          <w:rFonts w:hint="eastAsia"/>
        </w:rPr>
        <w:t>（三）时效性原则。中期评估需要注意项目运行中时间因素对项目评估的影响，根据项目的特点合理选择评估时间、设定检查计划，适时反映项目情况和偏差，及时督促项目单位纠正偏差、改进绩效。</w:t>
      </w:r>
    </w:p>
    <w:p w14:paraId="1BC42B3D" w14:textId="77777777" w:rsidR="003E0EAD" w:rsidRDefault="003E0EAD" w:rsidP="007E2641">
      <w:pPr>
        <w:pStyle w:val="ab"/>
        <w:spacing w:before="62" w:after="62"/>
        <w:ind w:firstLine="482"/>
      </w:pPr>
      <w:r>
        <w:rPr>
          <w:rFonts w:hint="eastAsia"/>
        </w:rPr>
        <w:t>二、中期评估的基本内容</w:t>
      </w:r>
    </w:p>
    <w:p w14:paraId="23ED1986" w14:textId="77777777" w:rsidR="003E0EAD" w:rsidRDefault="003E0EAD" w:rsidP="003E0EAD">
      <w:pPr>
        <w:pStyle w:val="13"/>
      </w:pPr>
      <w:r>
        <w:rPr>
          <w:rFonts w:hint="eastAsia"/>
        </w:rPr>
        <w:t>项目中期评估需要重点分析项目运行状况和项目合同的合</w:t>
      </w:r>
      <w:proofErr w:type="gramStart"/>
      <w:r>
        <w:rPr>
          <w:rFonts w:hint="eastAsia"/>
        </w:rPr>
        <w:t>规</w:t>
      </w:r>
      <w:proofErr w:type="gramEnd"/>
      <w:r>
        <w:rPr>
          <w:rFonts w:hint="eastAsia"/>
        </w:rPr>
        <w:t>性、适应性和合理性。</w:t>
      </w:r>
    </w:p>
    <w:p w14:paraId="59F8F0DC" w14:textId="77777777" w:rsidR="003E0EAD" w:rsidRDefault="003E0EAD" w:rsidP="003E0EAD">
      <w:pPr>
        <w:pStyle w:val="13"/>
      </w:pPr>
      <w:r>
        <w:rPr>
          <w:rFonts w:hint="eastAsia"/>
        </w:rPr>
        <w:t>（一）项目运行状况。重点评估项目运行情况，在该阶段为完成绩效目标所需要的各种资源成本消耗情况、项目管理及其完成情况，以及项目预期产出、效果等目标的完成进度情况等。</w:t>
      </w:r>
    </w:p>
    <w:p w14:paraId="3E3D1731" w14:textId="77777777" w:rsidR="003E0EAD" w:rsidRDefault="003E0EAD" w:rsidP="003E0EAD">
      <w:pPr>
        <w:pStyle w:val="13"/>
      </w:pPr>
      <w:r>
        <w:rPr>
          <w:rFonts w:hint="eastAsia"/>
        </w:rPr>
        <w:t>（二）项目合同履约状况。重点评估项目合同签订的合</w:t>
      </w:r>
      <w:proofErr w:type="gramStart"/>
      <w:r>
        <w:rPr>
          <w:rFonts w:hint="eastAsia"/>
        </w:rPr>
        <w:t>规</w:t>
      </w:r>
      <w:proofErr w:type="gramEnd"/>
      <w:r>
        <w:rPr>
          <w:rFonts w:hint="eastAsia"/>
        </w:rPr>
        <w:t>性、适应性、合理性，项目是否按照合同约定内容完成既定目标，包括产出以及效果等目标。</w:t>
      </w:r>
    </w:p>
    <w:p w14:paraId="48AF8286" w14:textId="77777777" w:rsidR="003E0EAD" w:rsidRDefault="003E0EAD" w:rsidP="003E0EAD">
      <w:pPr>
        <w:pStyle w:val="13"/>
      </w:pPr>
      <w:r>
        <w:rPr>
          <w:rFonts w:hint="eastAsia"/>
        </w:rPr>
        <w:t>（三）项目物有所值状况。与政府提供公共产品或公共服务的传统模式相比，社会资本参与能有效降低项目全生命周期成本、提高公共产品或者公共服务质量效率，项目是否真正达到物有所值。</w:t>
      </w:r>
    </w:p>
    <w:p w14:paraId="102F32B6" w14:textId="77777777" w:rsidR="003E0EAD" w:rsidRDefault="003E0EAD" w:rsidP="003E0EAD">
      <w:pPr>
        <w:pStyle w:val="13"/>
      </w:pPr>
      <w:r>
        <w:rPr>
          <w:rFonts w:hint="eastAsia"/>
        </w:rPr>
        <w:t>（四）项目运行偏差情况。评估项目是否按既定计划运行，在项目实施阶段中的偏差度和影响度。</w:t>
      </w:r>
    </w:p>
    <w:p w14:paraId="22F33646" w14:textId="77777777" w:rsidR="007E2641" w:rsidRDefault="003E0EAD" w:rsidP="003E0EAD">
      <w:pPr>
        <w:pStyle w:val="13"/>
      </w:pPr>
      <w:r>
        <w:rPr>
          <w:rFonts w:hint="eastAsia"/>
        </w:rPr>
        <w:t>（五）项目运行纠偏情况。重点评估项目运行纠偏措施的制定和整改落实情况。</w:t>
      </w:r>
    </w:p>
    <w:p w14:paraId="7DB93666" w14:textId="2EF5B37B" w:rsidR="003E0EAD" w:rsidRDefault="003E0EAD" w:rsidP="007E2641">
      <w:pPr>
        <w:pStyle w:val="ab"/>
        <w:spacing w:before="62" w:after="62"/>
        <w:ind w:firstLine="482"/>
      </w:pPr>
      <w:r>
        <w:rPr>
          <w:rFonts w:hint="eastAsia"/>
        </w:rPr>
        <w:t>三、中期评估的基本程序</w:t>
      </w:r>
    </w:p>
    <w:p w14:paraId="4568CF6E" w14:textId="77777777" w:rsidR="003E0EAD" w:rsidRDefault="003E0EAD" w:rsidP="003E0EAD">
      <w:pPr>
        <w:pStyle w:val="13"/>
      </w:pPr>
      <w:r>
        <w:rPr>
          <w:rFonts w:hint="eastAsia"/>
        </w:rPr>
        <w:t>（一）确定中期评估目标。在核对项目所处生命周期基础上，识别该阶段利益相</w:t>
      </w:r>
      <w:r>
        <w:rPr>
          <w:rFonts w:hint="eastAsia"/>
        </w:rPr>
        <w:lastRenderedPageBreak/>
        <w:t>关方，并根据该实施阶段关键成功要素拟定中期评估目标。</w:t>
      </w:r>
    </w:p>
    <w:p w14:paraId="60EA89D9" w14:textId="77777777" w:rsidR="003E0EAD" w:rsidRDefault="003E0EAD" w:rsidP="003E0EAD">
      <w:pPr>
        <w:pStyle w:val="13"/>
      </w:pPr>
      <w:r>
        <w:rPr>
          <w:rFonts w:hint="eastAsia"/>
        </w:rPr>
        <w:t>（二）制定中期评估方案。根据中期评估的目标与要求，制定中期评估方案，包括项目背景和基本情况、项目绩效目标、项目主要评估指标、主要调查方法以及项目工作的组织与实施。</w:t>
      </w:r>
    </w:p>
    <w:p w14:paraId="20B73056" w14:textId="77777777" w:rsidR="003E0EAD" w:rsidRDefault="003E0EAD" w:rsidP="003E0EAD">
      <w:pPr>
        <w:pStyle w:val="13"/>
      </w:pPr>
      <w:r>
        <w:rPr>
          <w:rFonts w:hint="eastAsia"/>
        </w:rPr>
        <w:t>（三）开展中期评估。依据确定的重点目标，对项目管理的相关内容和目标要求的完成情况实施中期评估，归集评估信息。</w:t>
      </w:r>
    </w:p>
    <w:p w14:paraId="2EC6194D" w14:textId="77777777" w:rsidR="003E0EAD" w:rsidRDefault="003E0EAD" w:rsidP="003E0EAD">
      <w:pPr>
        <w:pStyle w:val="13"/>
      </w:pPr>
      <w:r>
        <w:rPr>
          <w:rFonts w:hint="eastAsia"/>
        </w:rPr>
        <w:t>（四）进行偏差分析。根据中期评估信息，对照重点评估的目标，发现项目绩效运行偏差、分析偏差原因。</w:t>
      </w:r>
    </w:p>
    <w:p w14:paraId="00C57272" w14:textId="77777777" w:rsidR="003E0EAD" w:rsidRDefault="003E0EAD" w:rsidP="003E0EAD">
      <w:pPr>
        <w:pStyle w:val="13"/>
      </w:pPr>
      <w:r>
        <w:rPr>
          <w:rFonts w:hint="eastAsia"/>
        </w:rPr>
        <w:t>（五）提出纠偏路径。依据偏差分析，结合项目实际，提出实施纠偏的路径和方法。</w:t>
      </w:r>
    </w:p>
    <w:p w14:paraId="31C4403A" w14:textId="77777777" w:rsidR="003E0EAD" w:rsidRDefault="003E0EAD" w:rsidP="003E0EAD">
      <w:pPr>
        <w:pStyle w:val="13"/>
      </w:pPr>
      <w:r>
        <w:rPr>
          <w:rFonts w:hint="eastAsia"/>
        </w:rPr>
        <w:t>（六）及时实施纠偏。项目绩效运行情况与项目实施阶段设定的绩效目标要求发生较大偏离时，中期评估主体需要及时查找问题、分析原因、采取措施、及时纠偏。</w:t>
      </w:r>
    </w:p>
    <w:p w14:paraId="50E0CF7B" w14:textId="77777777" w:rsidR="003E0EAD" w:rsidRDefault="003E0EAD" w:rsidP="003E0EAD">
      <w:pPr>
        <w:pStyle w:val="13"/>
      </w:pPr>
      <w:r>
        <w:rPr>
          <w:rFonts w:hint="eastAsia"/>
        </w:rPr>
        <w:t>（七）形成中期评估结论。依据项目基本情况、目标设定情况、项目组织实施情况、绩效目标完成以及偏差情况、存在问题以及纠偏情况等，撰写《中期评估结果报告》形成中期评估结论。</w:t>
      </w:r>
    </w:p>
    <w:p w14:paraId="48D65380" w14:textId="77777777" w:rsidR="003E0EAD" w:rsidRDefault="003E0EAD" w:rsidP="007E2641">
      <w:pPr>
        <w:pStyle w:val="ab"/>
        <w:spacing w:before="62" w:after="62"/>
        <w:ind w:firstLine="482"/>
      </w:pPr>
      <w:r>
        <w:rPr>
          <w:rFonts w:hint="eastAsia"/>
        </w:rPr>
        <w:t>四、中期评估报告的编制</w:t>
      </w:r>
    </w:p>
    <w:p w14:paraId="614E273F" w14:textId="77777777" w:rsidR="003E0EAD" w:rsidRDefault="003E0EAD" w:rsidP="003E0EAD">
      <w:pPr>
        <w:pStyle w:val="13"/>
      </w:pPr>
      <w:r>
        <w:rPr>
          <w:rFonts w:hint="eastAsia"/>
        </w:rPr>
        <w:t>（一）项目概况</w:t>
      </w:r>
    </w:p>
    <w:p w14:paraId="0E447C3F" w14:textId="77777777" w:rsidR="003E0EAD" w:rsidRDefault="003E0EAD" w:rsidP="003E0EAD">
      <w:pPr>
        <w:pStyle w:val="13"/>
      </w:pPr>
      <w:r>
        <w:t>1、项目基本性质、用途和主要内容、涉及范围，以及项目规划和计划等立项依据。</w:t>
      </w:r>
    </w:p>
    <w:p w14:paraId="745F46FD" w14:textId="77777777" w:rsidR="003E0EAD" w:rsidRDefault="003E0EAD" w:rsidP="003E0EAD">
      <w:pPr>
        <w:pStyle w:val="13"/>
      </w:pPr>
      <w:r>
        <w:t>2、项目的必要性和可行性认证，相关制度措施等情况。</w:t>
      </w:r>
    </w:p>
    <w:p w14:paraId="06334A68" w14:textId="77777777" w:rsidR="003E0EAD" w:rsidRDefault="003E0EAD" w:rsidP="003E0EAD">
      <w:pPr>
        <w:pStyle w:val="13"/>
      </w:pPr>
      <w:r>
        <w:t>3、项目的绩效目标、绩效指标以及指标值设定和调整情况。</w:t>
      </w:r>
    </w:p>
    <w:p w14:paraId="78BA19DF" w14:textId="77777777" w:rsidR="003E0EAD" w:rsidRDefault="003E0EAD" w:rsidP="003E0EAD">
      <w:pPr>
        <w:pStyle w:val="13"/>
      </w:pPr>
      <w:r>
        <w:rPr>
          <w:rFonts w:hint="eastAsia"/>
        </w:rPr>
        <w:t>（二）项目财务投资情况</w:t>
      </w:r>
    </w:p>
    <w:p w14:paraId="167F72A8" w14:textId="77777777" w:rsidR="003E0EAD" w:rsidRDefault="003E0EAD" w:rsidP="003E0EAD">
      <w:pPr>
        <w:pStyle w:val="13"/>
      </w:pPr>
      <w:r>
        <w:t>1、项目总投资和资本构成、资产负债、股权结构、融资结构和主要融资成本；</w:t>
      </w:r>
    </w:p>
    <w:p w14:paraId="325E4736" w14:textId="77777777" w:rsidR="003E0EAD" w:rsidRDefault="003E0EAD" w:rsidP="003E0EAD">
      <w:pPr>
        <w:pStyle w:val="13"/>
      </w:pPr>
      <w:r>
        <w:t>2、项目收益情况（总收益、收入来源、收费价格和定价机制）、投资回报测算、现金流量分析、项目财务状况、项目存续期间政府补贴情况。</w:t>
      </w:r>
    </w:p>
    <w:p w14:paraId="65DEB496" w14:textId="77777777" w:rsidR="003E0EAD" w:rsidRDefault="003E0EAD" w:rsidP="003E0EAD">
      <w:pPr>
        <w:pStyle w:val="13"/>
      </w:pPr>
      <w:r>
        <w:rPr>
          <w:rFonts w:hint="eastAsia"/>
        </w:rPr>
        <w:t>（三）项目管理情况</w:t>
      </w:r>
    </w:p>
    <w:p w14:paraId="2BC2D3C2" w14:textId="77777777" w:rsidR="003E0EAD" w:rsidRDefault="003E0EAD" w:rsidP="003E0EAD">
      <w:pPr>
        <w:pStyle w:val="13"/>
      </w:pPr>
      <w:r>
        <w:t>1、项目招投标、调整、验收等情况，项目或者活动的实际完成情况；</w:t>
      </w:r>
    </w:p>
    <w:p w14:paraId="6C427737" w14:textId="77777777" w:rsidR="003E0EAD" w:rsidRDefault="003E0EAD" w:rsidP="003E0EAD">
      <w:pPr>
        <w:pStyle w:val="13"/>
      </w:pPr>
      <w:r>
        <w:t>2、项目公司的管理架构，项目实施机构以及社会资本的履约状况；</w:t>
      </w:r>
    </w:p>
    <w:p w14:paraId="7226E78C" w14:textId="6775E4EF" w:rsidR="003E0EAD" w:rsidRDefault="003E0EAD" w:rsidP="007E2641">
      <w:pPr>
        <w:pStyle w:val="13"/>
      </w:pPr>
      <w:r>
        <w:t>3、项目管理情况，包括项目管理制度的落实情况，日常检查监督管理、质量把关</w:t>
      </w:r>
      <w:r>
        <w:rPr>
          <w:rFonts w:hint="eastAsia"/>
        </w:rPr>
        <w:t>等；</w:t>
      </w:r>
    </w:p>
    <w:p w14:paraId="22C1E106" w14:textId="30DC85EF" w:rsidR="003E0EAD" w:rsidRDefault="003E0EAD" w:rsidP="007E2641">
      <w:pPr>
        <w:pStyle w:val="13"/>
      </w:pPr>
      <w:r>
        <w:t>4、目标实现的工作程序和流程责任，包括实现各个目标所包含的全部活动的过程，</w:t>
      </w:r>
      <w:r>
        <w:rPr>
          <w:rFonts w:hint="eastAsia"/>
        </w:rPr>
        <w:t>明确各个目标的实现途径、方法和责任部门，反映实现目标的工作程序和流程责任。</w:t>
      </w:r>
    </w:p>
    <w:p w14:paraId="02E26C64" w14:textId="77777777" w:rsidR="003E0EAD" w:rsidRDefault="003E0EAD" w:rsidP="003E0EAD">
      <w:pPr>
        <w:pStyle w:val="13"/>
      </w:pPr>
      <w:r>
        <w:rPr>
          <w:rFonts w:hint="eastAsia"/>
        </w:rPr>
        <w:t>（四）项目产出与效果</w:t>
      </w:r>
    </w:p>
    <w:p w14:paraId="4364D733" w14:textId="77777777" w:rsidR="003E0EAD" w:rsidRDefault="003E0EAD" w:rsidP="003E0EAD">
      <w:pPr>
        <w:pStyle w:val="13"/>
      </w:pPr>
      <w:r>
        <w:lastRenderedPageBreak/>
        <w:t>1、根据项目合同以及项目实施方案的具体内容，将项目实际产出状况与绩效目标对比，从数量、质量、功能和</w:t>
      </w:r>
      <w:proofErr w:type="gramStart"/>
      <w:r>
        <w:t>可</w:t>
      </w:r>
      <w:proofErr w:type="gramEnd"/>
      <w:r>
        <w:t>持续性等方面进行分析。</w:t>
      </w:r>
    </w:p>
    <w:p w14:paraId="0EA09314" w14:textId="77777777" w:rsidR="003E0EAD" w:rsidRDefault="003E0EAD" w:rsidP="003E0EAD">
      <w:pPr>
        <w:pStyle w:val="13"/>
      </w:pPr>
      <w:r>
        <w:t>2、项目物有所值评价分析以及财政承受能力论证分析。</w:t>
      </w:r>
    </w:p>
    <w:p w14:paraId="41371EB0" w14:textId="77777777" w:rsidR="003E0EAD" w:rsidRDefault="003E0EAD" w:rsidP="003E0EAD">
      <w:pPr>
        <w:pStyle w:val="13"/>
      </w:pPr>
      <w:r>
        <w:rPr>
          <w:rFonts w:hint="eastAsia"/>
        </w:rPr>
        <w:t>（五）存在的问题以及原因分析</w:t>
      </w:r>
    </w:p>
    <w:p w14:paraId="7AA11728" w14:textId="77777777" w:rsidR="003E0EAD" w:rsidRDefault="003E0EAD" w:rsidP="003E0EAD">
      <w:pPr>
        <w:pStyle w:val="13"/>
      </w:pPr>
      <w:r>
        <w:t>1、反映项目执行偏差情况和原因分析，初步形成项目单位对纠偏的初步计划。</w:t>
      </w:r>
    </w:p>
    <w:p w14:paraId="110255D7" w14:textId="77777777" w:rsidR="003E0EAD" w:rsidRDefault="003E0EAD" w:rsidP="003E0EAD">
      <w:pPr>
        <w:pStyle w:val="13"/>
      </w:pPr>
      <w:r>
        <w:t>2、项目取得的效果和效益情况，将项目取得的实际效果和效益状况与绩效目标对比，考察一致性和</w:t>
      </w:r>
      <w:proofErr w:type="gramStart"/>
      <w:r>
        <w:t>可</w:t>
      </w:r>
      <w:proofErr w:type="gramEnd"/>
      <w:r>
        <w:t>持续性。</w:t>
      </w:r>
    </w:p>
    <w:p w14:paraId="21A3D9C5" w14:textId="77777777" w:rsidR="003E0EAD" w:rsidRDefault="003E0EAD" w:rsidP="003E0EAD">
      <w:pPr>
        <w:pStyle w:val="13"/>
      </w:pPr>
      <w:r>
        <w:t>3、项目组织实施和项目绩效的实际情况与目标的差异情况，分析项目实现原定绩效目标的可能性。</w:t>
      </w:r>
    </w:p>
    <w:p w14:paraId="74D1C67A" w14:textId="170AE4E3" w:rsidR="003E0EAD" w:rsidRDefault="003E0EAD" w:rsidP="007E2641">
      <w:pPr>
        <w:pStyle w:val="13"/>
      </w:pPr>
      <w:r>
        <w:t>4、从经济性、效率性、效益性等方面对项目进行总体评价。其中：项目的经济性分析主要反映项目成本（预算）控制情况、项目设计规模的合理性；项目的效率性分析主</w:t>
      </w:r>
      <w:r>
        <w:rPr>
          <w:rFonts w:hint="eastAsia"/>
        </w:rPr>
        <w:t>要反映项目实施（完成）的进度、质量等情况；项目的效益性分析主要反映项目资金使用效果的个性指标；项目的可持续性分析主要反映项目完成后，后续政策、资金、人员机构安排和管理措施等影响项目持续发展的因素。</w:t>
      </w:r>
    </w:p>
    <w:p w14:paraId="2EB82DFB" w14:textId="77777777" w:rsidR="003E0EAD" w:rsidRDefault="003E0EAD" w:rsidP="003E0EAD">
      <w:pPr>
        <w:pStyle w:val="13"/>
      </w:pPr>
      <w:r>
        <w:t>5、总结评估中发现的主要问题，包括制度保障、资金使用、项目实施组织管理和项目绩效方面。</w:t>
      </w:r>
    </w:p>
    <w:p w14:paraId="6AC8D32B" w14:textId="77777777" w:rsidR="003E0EAD" w:rsidRDefault="003E0EAD" w:rsidP="003E0EAD">
      <w:pPr>
        <w:pStyle w:val="13"/>
      </w:pPr>
      <w:r>
        <w:rPr>
          <w:rFonts w:hint="eastAsia"/>
        </w:rPr>
        <w:t>（六）相关建议</w:t>
      </w:r>
    </w:p>
    <w:p w14:paraId="355A026C" w14:textId="17FBA1BF" w:rsidR="003E0EAD" w:rsidRDefault="003E0EAD" w:rsidP="003E0EAD">
      <w:pPr>
        <w:pStyle w:val="13"/>
      </w:pPr>
      <w:r>
        <w:rPr>
          <w:rFonts w:hint="eastAsia"/>
        </w:rPr>
        <w:t>提出改进措施建议需要与主要问题紧密结合。本部分旨在形成《项目中期评估报告》，</w:t>
      </w:r>
      <w:r>
        <w:t>归纳前述几部分内容的结果，发现的问题并提出相关建议，为下一步结果应用奠定基础。</w:t>
      </w:r>
    </w:p>
    <w:p w14:paraId="591BAEFE" w14:textId="77777777" w:rsidR="003E0EAD" w:rsidRDefault="003E0EAD" w:rsidP="007E2641">
      <w:pPr>
        <w:pStyle w:val="ab"/>
        <w:spacing w:before="62" w:after="62"/>
        <w:ind w:firstLine="482"/>
      </w:pPr>
      <w:r>
        <w:rPr>
          <w:rFonts w:hint="eastAsia"/>
        </w:rPr>
        <w:t>五、中期评估结果应用</w:t>
      </w:r>
    </w:p>
    <w:p w14:paraId="1615243D" w14:textId="5095DBC5" w:rsidR="003E0EAD" w:rsidRDefault="003E0EAD" w:rsidP="003E0EAD">
      <w:pPr>
        <w:pStyle w:val="13"/>
      </w:pPr>
      <w:r>
        <w:rPr>
          <w:rFonts w:hint="eastAsia"/>
        </w:rPr>
        <w:t>对于绩效评价中反映出的相关问题，评估机构需要及时反馈给项目实施机构，督促其在</w:t>
      </w:r>
      <w:r w:rsidR="00B65C82">
        <w:t>PPP</w:t>
      </w:r>
      <w:r>
        <w:t>项目中期评估或者适时对项目方案进行调整，协助其将调整方案和结果及时公布。</w:t>
      </w:r>
    </w:p>
    <w:p w14:paraId="441BE318" w14:textId="77777777" w:rsidR="003E0EAD" w:rsidRDefault="003E0EAD" w:rsidP="00AF7342">
      <w:pPr>
        <w:pStyle w:val="a9"/>
        <w:spacing w:before="62" w:after="62"/>
      </w:pPr>
      <w:r>
        <w:rPr>
          <w:rFonts w:hint="eastAsia"/>
        </w:rPr>
        <w:t>第三节</w:t>
      </w:r>
      <w:r>
        <w:t xml:space="preserve"> 绩效评价操作要求</w:t>
      </w:r>
    </w:p>
    <w:p w14:paraId="7CE3ECA0" w14:textId="77777777" w:rsidR="003E0EAD" w:rsidRDefault="003E0EAD" w:rsidP="003E0EAD">
      <w:pPr>
        <w:pStyle w:val="13"/>
        <w:ind w:firstLine="482"/>
      </w:pPr>
      <w:r w:rsidRPr="007E2641">
        <w:rPr>
          <w:rStyle w:val="ac"/>
          <w:rFonts w:hint="eastAsia"/>
        </w:rPr>
        <w:t>一、绩效评价基本原则</w:t>
      </w:r>
    </w:p>
    <w:p w14:paraId="4EF9BF51" w14:textId="77777777" w:rsidR="003E0EAD" w:rsidRDefault="003E0EAD" w:rsidP="003E0EAD">
      <w:pPr>
        <w:pStyle w:val="13"/>
      </w:pPr>
      <w:r>
        <w:rPr>
          <w:rFonts w:hint="eastAsia"/>
        </w:rPr>
        <w:t>（一）科学规范原则。依据国家相关法律、法规和政策制度开展评价工作；评价指标要科学客观，评价方法要合理规范，基础数据要真实准确。</w:t>
      </w:r>
    </w:p>
    <w:p w14:paraId="5E2D76BE" w14:textId="77777777" w:rsidR="003E0EAD" w:rsidRDefault="003E0EAD" w:rsidP="003E0EAD">
      <w:pPr>
        <w:pStyle w:val="13"/>
      </w:pPr>
      <w:r>
        <w:rPr>
          <w:rFonts w:hint="eastAsia"/>
        </w:rPr>
        <w:t>（二）公正公开原则。坚持中立立场，从客观实际出发，以事实为依据，公平合理开展评价工作；评价结果要依法公开，接受监督。</w:t>
      </w:r>
    </w:p>
    <w:p w14:paraId="11313B95" w14:textId="77777777" w:rsidR="003E0EAD" w:rsidRDefault="003E0EAD" w:rsidP="003E0EAD">
      <w:pPr>
        <w:pStyle w:val="13"/>
      </w:pPr>
      <w:r>
        <w:rPr>
          <w:rFonts w:hint="eastAsia"/>
        </w:rPr>
        <w:t>（三）分级分类原则。财政部门（政府和社会资本合作中心）负责绩效评价推进和加强绩效评价工作。</w:t>
      </w:r>
    </w:p>
    <w:p w14:paraId="28C76D77" w14:textId="2B78E897" w:rsidR="003E0EAD" w:rsidRDefault="003E0EAD" w:rsidP="003E0EAD">
      <w:pPr>
        <w:pStyle w:val="13"/>
      </w:pPr>
      <w:r>
        <w:rPr>
          <w:rFonts w:hint="eastAsia"/>
        </w:rPr>
        <w:t>（四）目标导向，各方参与。以项目绩效目标作为绩效评价工作的起点和评价标</w:t>
      </w:r>
      <w:r>
        <w:rPr>
          <w:rFonts w:hint="eastAsia"/>
        </w:rPr>
        <w:lastRenderedPageBreak/>
        <w:t>准；</w:t>
      </w:r>
      <w:r>
        <w:t>在评价过程中推动利益相关方积极参与。</w:t>
      </w:r>
    </w:p>
    <w:p w14:paraId="05BF39C3" w14:textId="77777777" w:rsidR="003E0EAD" w:rsidRDefault="003E0EAD" w:rsidP="007E2641">
      <w:pPr>
        <w:pStyle w:val="ab"/>
        <w:spacing w:before="62" w:after="62"/>
        <w:ind w:firstLine="482"/>
      </w:pPr>
      <w:r>
        <w:rPr>
          <w:rFonts w:hint="eastAsia"/>
        </w:rPr>
        <w:t>二、绩效评价基本内容</w:t>
      </w:r>
    </w:p>
    <w:p w14:paraId="1417A4EA" w14:textId="77777777" w:rsidR="003E0EAD" w:rsidRDefault="003E0EAD" w:rsidP="003E0EAD">
      <w:pPr>
        <w:pStyle w:val="13"/>
      </w:pPr>
      <w:r>
        <w:rPr>
          <w:rFonts w:hint="eastAsia"/>
        </w:rPr>
        <w:t>（一）绩效评价对象</w:t>
      </w:r>
    </w:p>
    <w:p w14:paraId="6A1E6BE3" w14:textId="147694FA" w:rsidR="003E0EAD" w:rsidRDefault="003E0EAD" w:rsidP="003E0EAD">
      <w:pPr>
        <w:pStyle w:val="13"/>
      </w:pPr>
      <w:r>
        <w:rPr>
          <w:rFonts w:hint="eastAsia"/>
        </w:rPr>
        <w:t>绩效评价对象即</w:t>
      </w:r>
      <w:r w:rsidR="00B65C82">
        <w:t>PPP</w:t>
      </w:r>
      <w:r>
        <w:t>项目，根据项目所处的不同阶段开展相应的绩效评价工作。对于完工项目，通常于项目移交完成后组织一次完工项目绩效评价。</w:t>
      </w:r>
    </w:p>
    <w:p w14:paraId="2C1DDD3A" w14:textId="77777777" w:rsidR="003E0EAD" w:rsidRDefault="003E0EAD" w:rsidP="003E0EAD">
      <w:pPr>
        <w:pStyle w:val="13"/>
      </w:pPr>
      <w:r>
        <w:rPr>
          <w:rFonts w:hint="eastAsia"/>
        </w:rPr>
        <w:t>（二）绩效评价基本内容</w:t>
      </w:r>
    </w:p>
    <w:p w14:paraId="7F18D45B" w14:textId="587FB847" w:rsidR="003E0EAD" w:rsidRDefault="003E0EAD" w:rsidP="007E2641">
      <w:pPr>
        <w:pStyle w:val="13"/>
      </w:pPr>
      <w:r>
        <w:t>1、项目立项，是指项目目标与国家、行业和所在区域的发展战略、政策重点以及需</w:t>
      </w:r>
      <w:r>
        <w:rPr>
          <w:rFonts w:hint="eastAsia"/>
        </w:rPr>
        <w:t>求的相符程度；</w:t>
      </w:r>
    </w:p>
    <w:p w14:paraId="7697A6A9" w14:textId="77777777" w:rsidR="003E0EAD" w:rsidRDefault="003E0EAD" w:rsidP="003E0EAD">
      <w:pPr>
        <w:pStyle w:val="13"/>
      </w:pPr>
      <w:r>
        <w:t>2、成本效益，是指项目投入和产出的对比关系，即能否以更低的成本或者更快的速度取得预计产出；</w:t>
      </w:r>
    </w:p>
    <w:p w14:paraId="32E1881F" w14:textId="77777777" w:rsidR="003E0EAD" w:rsidRDefault="003E0EAD" w:rsidP="003E0EAD">
      <w:pPr>
        <w:pStyle w:val="13"/>
      </w:pPr>
      <w:r>
        <w:t>3、监管成效，是指项目管理和内部控制能否确保项目有效实施；</w:t>
      </w:r>
    </w:p>
    <w:p w14:paraId="112FE84E" w14:textId="77777777" w:rsidR="003E0EAD" w:rsidRDefault="003E0EAD" w:rsidP="003E0EAD">
      <w:pPr>
        <w:pStyle w:val="13"/>
      </w:pPr>
      <w:r>
        <w:t>4、项目产出，是指项目预期产出的完成程度，包括数量、质量和时效；</w:t>
      </w:r>
    </w:p>
    <w:p w14:paraId="75EFA00C" w14:textId="77777777" w:rsidR="003E0EAD" w:rsidRDefault="003E0EAD" w:rsidP="003E0EAD">
      <w:pPr>
        <w:pStyle w:val="13"/>
      </w:pPr>
      <w:r>
        <w:t>5、目效果，是指实际产生的效果和相关目标群体的获益程度；</w:t>
      </w:r>
    </w:p>
    <w:p w14:paraId="04DBD08B" w14:textId="77777777" w:rsidR="003E0EAD" w:rsidRDefault="003E0EAD" w:rsidP="003E0EAD">
      <w:pPr>
        <w:pStyle w:val="13"/>
      </w:pPr>
      <w:r>
        <w:t>6、可持续性，是指项目实施完工后，其独立运行的能力和产生效益的持续性。</w:t>
      </w:r>
    </w:p>
    <w:p w14:paraId="7FDC126C" w14:textId="4123D92B" w:rsidR="003E0EAD" w:rsidRDefault="003E0EAD" w:rsidP="003E0EAD">
      <w:pPr>
        <w:pStyle w:val="13"/>
      </w:pPr>
      <w:r>
        <w:t>7、物有所值，是指与政府提供公共产品或者公共服务的传统模式相比，</w:t>
      </w:r>
      <w:r w:rsidR="00B65C82">
        <w:t>PPP</w:t>
      </w:r>
      <w:r>
        <w:t>模式能否促使项目真正达到物有所值。</w:t>
      </w:r>
    </w:p>
    <w:p w14:paraId="38BBC6B3" w14:textId="5007D2C6" w:rsidR="003E0EAD" w:rsidRDefault="003E0EAD" w:rsidP="003E0EAD">
      <w:pPr>
        <w:pStyle w:val="13"/>
      </w:pPr>
      <w:r>
        <w:t>8、</w:t>
      </w:r>
      <w:r w:rsidR="00B65C82">
        <w:t>PPP</w:t>
      </w:r>
      <w:r>
        <w:t>模式应用，是指政府和社会资本合作模式应用情况，以及此类项目在行业内的示范性和</w:t>
      </w:r>
      <w:proofErr w:type="gramStart"/>
      <w:r>
        <w:t>可</w:t>
      </w:r>
      <w:proofErr w:type="gramEnd"/>
      <w:r>
        <w:t>推广性。</w:t>
      </w:r>
    </w:p>
    <w:p w14:paraId="16C29879" w14:textId="77777777" w:rsidR="003E0EAD" w:rsidRDefault="003E0EAD" w:rsidP="007E2641">
      <w:pPr>
        <w:pStyle w:val="ab"/>
        <w:spacing w:before="62" w:after="62"/>
        <w:ind w:firstLine="482"/>
      </w:pPr>
      <w:r>
        <w:rPr>
          <w:rFonts w:hint="eastAsia"/>
        </w:rPr>
        <w:t>三、绩效评价方案的编制</w:t>
      </w:r>
    </w:p>
    <w:p w14:paraId="42600C75" w14:textId="77777777" w:rsidR="003E0EAD" w:rsidRDefault="003E0EAD" w:rsidP="003E0EAD">
      <w:pPr>
        <w:pStyle w:val="13"/>
      </w:pPr>
      <w:r>
        <w:rPr>
          <w:rFonts w:hint="eastAsia"/>
        </w:rPr>
        <w:t>评价方案是评估机构对绩效评价工作的纲领性计划，主要有以下四个方面的作用：</w:t>
      </w:r>
      <w:r>
        <w:t xml:space="preserve"> 将评价任务转化为可操作的评价工作；为评价小组开展评价设计和实施提供目标、要求和基本框架；为各利益相关方对评价任务达成共识提供基础；为管理部门控制评价质量、核查评价小组任务完成情况提供依据。</w:t>
      </w:r>
    </w:p>
    <w:p w14:paraId="79CACEAD" w14:textId="77777777" w:rsidR="003E0EAD" w:rsidRDefault="003E0EAD" w:rsidP="003E0EAD">
      <w:pPr>
        <w:pStyle w:val="13"/>
      </w:pPr>
      <w:r>
        <w:rPr>
          <w:rFonts w:hint="eastAsia"/>
        </w:rPr>
        <w:t>（一）绩效评价方案的编制原则</w:t>
      </w:r>
    </w:p>
    <w:p w14:paraId="7467AB72" w14:textId="77777777" w:rsidR="003E0EAD" w:rsidRDefault="003E0EAD" w:rsidP="003E0EAD">
      <w:pPr>
        <w:pStyle w:val="13"/>
      </w:pPr>
      <w:r>
        <w:t>1、可行性</w:t>
      </w:r>
    </w:p>
    <w:p w14:paraId="48292422" w14:textId="77777777" w:rsidR="003E0EAD" w:rsidRDefault="003E0EAD" w:rsidP="003E0EAD">
      <w:pPr>
        <w:pStyle w:val="13"/>
      </w:pPr>
      <w:r>
        <w:rPr>
          <w:rFonts w:hint="eastAsia"/>
        </w:rPr>
        <w:t>绩效评价方案需要满足具体、清晰、具有可操作性，内容通常包括项目的背景、评价目的、评价对象和范围、绩效评价指标体系、评价方法、各项指标数据的收集方法、评价人员分工、评价计划、管理控制等。</w:t>
      </w:r>
    </w:p>
    <w:p w14:paraId="6D5BFF98" w14:textId="77777777" w:rsidR="003E0EAD" w:rsidRDefault="003E0EAD" w:rsidP="003E0EAD">
      <w:pPr>
        <w:pStyle w:val="13"/>
      </w:pPr>
      <w:r>
        <w:t>2、客观性</w:t>
      </w:r>
    </w:p>
    <w:p w14:paraId="7D6962DA" w14:textId="77777777" w:rsidR="003E0EAD" w:rsidRDefault="003E0EAD" w:rsidP="003E0EAD">
      <w:pPr>
        <w:pStyle w:val="13"/>
      </w:pPr>
      <w:r>
        <w:rPr>
          <w:rFonts w:hint="eastAsia"/>
        </w:rPr>
        <w:t>在对项目概况进行描述时，需要遵守客观公正原则，按照客观事实进行描述。</w:t>
      </w:r>
    </w:p>
    <w:p w14:paraId="4F02301E" w14:textId="77777777" w:rsidR="003E0EAD" w:rsidRDefault="003E0EAD" w:rsidP="003E0EAD">
      <w:pPr>
        <w:pStyle w:val="13"/>
      </w:pPr>
      <w:r>
        <w:t>3、科学性</w:t>
      </w:r>
    </w:p>
    <w:p w14:paraId="21FCD088" w14:textId="77777777" w:rsidR="003E0EAD" w:rsidRDefault="003E0EAD" w:rsidP="003E0EAD">
      <w:pPr>
        <w:pStyle w:val="13"/>
      </w:pPr>
      <w:r>
        <w:rPr>
          <w:rFonts w:hint="eastAsia"/>
        </w:rPr>
        <w:t>绩效评价方案中，绩效评价指标以及指标权重的设定合理反映项目特性，评价方法选择恰当，绩效评价指标数据的收集方法合理。</w:t>
      </w:r>
    </w:p>
    <w:p w14:paraId="7AD8BEE1" w14:textId="77777777" w:rsidR="003E0EAD" w:rsidRDefault="003E0EAD" w:rsidP="003E0EAD">
      <w:pPr>
        <w:pStyle w:val="13"/>
      </w:pPr>
      <w:r>
        <w:lastRenderedPageBreak/>
        <w:t>4、简明性</w:t>
      </w:r>
    </w:p>
    <w:p w14:paraId="4A87930B" w14:textId="36CD6A50" w:rsidR="003E0EAD" w:rsidRDefault="003E0EAD" w:rsidP="007E2641">
      <w:pPr>
        <w:pStyle w:val="13"/>
      </w:pPr>
      <w:r>
        <w:rPr>
          <w:rFonts w:hint="eastAsia"/>
        </w:rPr>
        <w:t>绩效评价方案需要主次分明、语言精炼、逻辑清晰，语言表述提纲挈领、简明扼要、易于理解。</w:t>
      </w:r>
    </w:p>
    <w:p w14:paraId="4E20EF27" w14:textId="77777777" w:rsidR="003E0EAD" w:rsidRDefault="003E0EAD" w:rsidP="003E0EAD">
      <w:pPr>
        <w:pStyle w:val="13"/>
      </w:pPr>
      <w:r>
        <w:rPr>
          <w:rFonts w:hint="eastAsia"/>
        </w:rPr>
        <w:t>（二）绩效评价方案的内容</w:t>
      </w:r>
    </w:p>
    <w:p w14:paraId="6083830F" w14:textId="77777777" w:rsidR="003E0EAD" w:rsidRDefault="003E0EAD" w:rsidP="003E0EAD">
      <w:pPr>
        <w:pStyle w:val="13"/>
      </w:pPr>
      <w:r>
        <w:t>1、项目基本情况</w:t>
      </w:r>
    </w:p>
    <w:p w14:paraId="3047B2C3" w14:textId="017455D5" w:rsidR="003E0EAD" w:rsidRDefault="003E0EAD" w:rsidP="003E0EAD">
      <w:pPr>
        <w:pStyle w:val="13"/>
      </w:pPr>
      <w:r>
        <w:rPr>
          <w:rFonts w:hint="eastAsia"/>
        </w:rPr>
        <w:t>（</w:t>
      </w:r>
      <w:r>
        <w:t>1）项目背景、目的，包括项目所在地区的经济社会发展状况，</w:t>
      </w:r>
    </w:p>
    <w:p w14:paraId="49A1B449" w14:textId="77777777" w:rsidR="003E0EAD" w:rsidRDefault="003E0EAD" w:rsidP="003E0EAD">
      <w:pPr>
        <w:pStyle w:val="13"/>
      </w:pPr>
      <w:r>
        <w:rPr>
          <w:rFonts w:hint="eastAsia"/>
        </w:rPr>
        <w:t>项目所在的领域，项目要解决的主要问题，如贫困地区的基本医疗卫生服务不足问题、城市交通发展瓶颈问题、环境污染问题等。</w:t>
      </w:r>
    </w:p>
    <w:p w14:paraId="5B8E3F5E" w14:textId="670D8CE4" w:rsidR="003E0EAD" w:rsidRDefault="003E0EAD" w:rsidP="003E0EAD">
      <w:pPr>
        <w:pStyle w:val="13"/>
      </w:pPr>
      <w:r>
        <w:rPr>
          <w:rFonts w:hint="eastAsia"/>
        </w:rPr>
        <w:t>（</w:t>
      </w:r>
      <w:r>
        <w:t>2）项目目标，包括项目在一定时期内应实现的绩效目标。</w:t>
      </w:r>
    </w:p>
    <w:p w14:paraId="7B21D3BC" w14:textId="0DE2EFBB" w:rsidR="003E0EAD" w:rsidRDefault="003E0EAD" w:rsidP="003E0EAD">
      <w:pPr>
        <w:pStyle w:val="13"/>
      </w:pPr>
      <w:r>
        <w:rPr>
          <w:rFonts w:hint="eastAsia"/>
        </w:rPr>
        <w:t>（</w:t>
      </w:r>
      <w:r>
        <w:t>3）项目构成，为实现项目绩效目标而开展的一系列相关项目内容和活动。</w:t>
      </w:r>
    </w:p>
    <w:p w14:paraId="5BC4C44A" w14:textId="5613A343" w:rsidR="003E0EAD" w:rsidRDefault="003E0EAD" w:rsidP="003E0EAD">
      <w:pPr>
        <w:pStyle w:val="13"/>
      </w:pPr>
      <w:r>
        <w:rPr>
          <w:rFonts w:hint="eastAsia"/>
        </w:rPr>
        <w:t>（</w:t>
      </w:r>
      <w:r>
        <w:t>4）项目实施以及监管情况，主要反映项目实施和管理的组织结构，包括项目的监管部门以及项目实施机构或者项目公司的各自职责，项目的实施流程以及监管机制等。</w:t>
      </w:r>
    </w:p>
    <w:p w14:paraId="26AB216D" w14:textId="4A6B225F" w:rsidR="003E0EAD" w:rsidRDefault="003E0EAD" w:rsidP="003E0EAD">
      <w:pPr>
        <w:pStyle w:val="13"/>
      </w:pPr>
      <w:r>
        <w:rPr>
          <w:rFonts w:hint="eastAsia"/>
        </w:rPr>
        <w:t>（</w:t>
      </w:r>
      <w:r>
        <w:t>5）利益相关方，项目参与方包括政府、社会资本、项目公司、银行、施工承包商、材料供应商、保险公司、各咨询公司等，而项目的利益相关方可能还要包括项目影响区域内项目产品的使用者和非使用者等。</w:t>
      </w:r>
    </w:p>
    <w:p w14:paraId="0E2E2493" w14:textId="0B1278F9" w:rsidR="003E0EAD" w:rsidRDefault="003E0EAD" w:rsidP="003E0EAD">
      <w:pPr>
        <w:pStyle w:val="13"/>
      </w:pPr>
      <w:r>
        <w:rPr>
          <w:rFonts w:hint="eastAsia"/>
        </w:rPr>
        <w:t>（</w:t>
      </w:r>
      <w:r>
        <w:t>6）其他可能对项目绩效产生重要影响的情况。</w:t>
      </w:r>
    </w:p>
    <w:p w14:paraId="1B3DC3F1" w14:textId="77777777" w:rsidR="003E0EAD" w:rsidRDefault="003E0EAD" w:rsidP="003E0EAD">
      <w:pPr>
        <w:pStyle w:val="13"/>
      </w:pPr>
      <w:r>
        <w:t>2、绩效评价思路</w:t>
      </w:r>
    </w:p>
    <w:p w14:paraId="2B92B24B" w14:textId="5EB78F7E" w:rsidR="003E0EAD" w:rsidRDefault="003E0EAD" w:rsidP="003E0EAD">
      <w:pPr>
        <w:pStyle w:val="13"/>
      </w:pPr>
      <w:r>
        <w:rPr>
          <w:rFonts w:hint="eastAsia"/>
        </w:rPr>
        <w:t>（</w:t>
      </w:r>
      <w:r>
        <w:t>1）绩效评价目的</w:t>
      </w:r>
    </w:p>
    <w:p w14:paraId="35CEB480" w14:textId="77777777" w:rsidR="003E0EAD" w:rsidRDefault="003E0EAD" w:rsidP="003E0EAD">
      <w:pPr>
        <w:pStyle w:val="13"/>
      </w:pPr>
      <w:r>
        <w:rPr>
          <w:rFonts w:hint="eastAsia"/>
        </w:rPr>
        <w:t>评价目的是整个绩效评价工作开展所要达到的目标和结果，体现评价工作的最终价值，是整个评价工作的基本导向。</w:t>
      </w:r>
    </w:p>
    <w:p w14:paraId="55EF5064" w14:textId="3E91ABC7" w:rsidR="003E0EAD" w:rsidRDefault="003E0EAD" w:rsidP="003E0EAD">
      <w:pPr>
        <w:pStyle w:val="13"/>
      </w:pPr>
      <w:r>
        <w:rPr>
          <w:rFonts w:hint="eastAsia"/>
        </w:rPr>
        <w:t>绩效评价方案需要明确评价目的，说明开展此项评价的原因，评价结果的应用。评价目的需要结合项目实施情况和管理要求，提出评价工作的关注点，即管理部门要解决的重点问题。比如：项目中期调整是否合理和有效，项目执行缓慢的制约因素有哪些</w:t>
      </w:r>
      <w:r w:rsidR="003068F8">
        <w:rPr>
          <w:rFonts w:hint="eastAsia"/>
        </w:rPr>
        <w:t>，</w:t>
      </w:r>
      <w:r>
        <w:t>项目某特定内容和方法是否更为有效并可持续实施等。</w:t>
      </w:r>
    </w:p>
    <w:p w14:paraId="58EBE784" w14:textId="4308C6F7" w:rsidR="003E0EAD" w:rsidRDefault="003E0EAD" w:rsidP="003E0EAD">
      <w:pPr>
        <w:pStyle w:val="13"/>
      </w:pPr>
      <w:r>
        <w:rPr>
          <w:rFonts w:hint="eastAsia"/>
        </w:rPr>
        <w:t>（</w:t>
      </w:r>
      <w:r>
        <w:t>2）绩效评价对象与评价范围</w:t>
      </w:r>
    </w:p>
    <w:p w14:paraId="6D1D8EF6" w14:textId="77777777" w:rsidR="003E0EAD" w:rsidRDefault="003E0EAD" w:rsidP="003E0EAD">
      <w:pPr>
        <w:pStyle w:val="13"/>
      </w:pPr>
      <w:r>
        <w:rPr>
          <w:rFonts w:hint="eastAsia"/>
        </w:rPr>
        <w:t>说明绩效评价对象和评价的时间范围、地域范围和受益群体范围。</w:t>
      </w:r>
    </w:p>
    <w:p w14:paraId="220275AB" w14:textId="77777777" w:rsidR="003E0EAD" w:rsidRDefault="003E0EAD" w:rsidP="003E0EAD">
      <w:pPr>
        <w:pStyle w:val="13"/>
      </w:pPr>
      <w:r>
        <w:rPr>
          <w:rFonts w:hint="eastAsia"/>
        </w:rPr>
        <w:t>评价范围通常与评价目的有关。比如，对于一个以贫困地区儿童为目标受益群体的基础教育项目，如果管理部门只希望评价该项目对贫困女童的作用，则受益者群体的评价范围是贫困女童。</w:t>
      </w:r>
    </w:p>
    <w:p w14:paraId="5368F62A" w14:textId="42C5C4AD" w:rsidR="003E0EAD" w:rsidRDefault="003E0EAD" w:rsidP="003E0EAD">
      <w:pPr>
        <w:pStyle w:val="13"/>
      </w:pPr>
      <w:r>
        <w:rPr>
          <w:rFonts w:hint="eastAsia"/>
        </w:rPr>
        <w:t>（</w:t>
      </w:r>
      <w:r>
        <w:t>3）绩效评价指标体系</w:t>
      </w:r>
    </w:p>
    <w:p w14:paraId="378F33CA" w14:textId="77777777" w:rsidR="003E0EAD" w:rsidRDefault="003E0EAD" w:rsidP="003E0EAD">
      <w:pPr>
        <w:pStyle w:val="13"/>
      </w:pPr>
      <w:r>
        <w:rPr>
          <w:rFonts w:hint="eastAsia"/>
        </w:rPr>
        <w:t>评估机构需要按照相关性、重要性、可比性、系统性及经济性原则，就项目决策、项目管理、项目绩效（产出、效果）等方面全面设定指标体系。</w:t>
      </w:r>
    </w:p>
    <w:p w14:paraId="0BC2A2A1" w14:textId="3816FD9C" w:rsidR="003E0EAD" w:rsidRDefault="003E0EAD" w:rsidP="003E0EAD">
      <w:pPr>
        <w:pStyle w:val="13"/>
      </w:pPr>
      <w:r>
        <w:rPr>
          <w:rFonts w:hint="eastAsia"/>
        </w:rPr>
        <w:t>（</w:t>
      </w:r>
      <w:r>
        <w:t>4）绩效评价方法。</w:t>
      </w:r>
    </w:p>
    <w:p w14:paraId="44E5B096" w14:textId="77777777" w:rsidR="003E0EAD" w:rsidRDefault="003E0EAD" w:rsidP="003E0EAD">
      <w:pPr>
        <w:pStyle w:val="13"/>
      </w:pPr>
      <w:r>
        <w:rPr>
          <w:rFonts w:hint="eastAsia"/>
        </w:rPr>
        <w:lastRenderedPageBreak/>
        <w:t>评估机构通常需要明确开展绩效评价业务所选用的绩效评价方法及其理由。</w:t>
      </w:r>
    </w:p>
    <w:p w14:paraId="3AB449E0" w14:textId="77777777" w:rsidR="003E0EAD" w:rsidRDefault="003E0EAD" w:rsidP="003E0EAD">
      <w:pPr>
        <w:pStyle w:val="13"/>
      </w:pPr>
      <w:r>
        <w:t>3、项目调查主要方法</w:t>
      </w:r>
    </w:p>
    <w:p w14:paraId="3182F8FB" w14:textId="77777777" w:rsidR="003E0EAD" w:rsidRDefault="003E0EAD" w:rsidP="003E0EAD">
      <w:pPr>
        <w:pStyle w:val="13"/>
      </w:pPr>
      <w:r>
        <w:rPr>
          <w:rFonts w:hint="eastAsia"/>
        </w:rPr>
        <w:t>评估机构在制定绩效评价方案时，需要有针对性地对项目所涉及的利益相关方开展各种形式的调查，调查方法包括案卷研究、数据填报、实地调研、座谈会以及问卷调查等。绩效评价方案一般尽可能明确调查的对象、调查的方法、调查内容、日程安排、时间与地点等。如果调查对象涉及抽样，需要说明调查对象总体情况、样本总数、抽样方法、抽样比例。</w:t>
      </w:r>
    </w:p>
    <w:p w14:paraId="08969086" w14:textId="77777777" w:rsidR="003E0EAD" w:rsidRDefault="003E0EAD" w:rsidP="003E0EAD">
      <w:pPr>
        <w:pStyle w:val="13"/>
      </w:pPr>
      <w:r>
        <w:t>4、评价工作的组织与实施</w:t>
      </w:r>
    </w:p>
    <w:p w14:paraId="13332845" w14:textId="650C1E90" w:rsidR="003E0EAD" w:rsidRDefault="003E0EAD" w:rsidP="003E0EAD">
      <w:pPr>
        <w:pStyle w:val="13"/>
      </w:pPr>
      <w:r>
        <w:rPr>
          <w:rFonts w:hint="eastAsia"/>
        </w:rPr>
        <w:t>（</w:t>
      </w:r>
      <w:r>
        <w:t>1）明确各个环节以及各项工作的时间节点与工作计划。</w:t>
      </w:r>
    </w:p>
    <w:p w14:paraId="2C9C8C66" w14:textId="1CFD72CD" w:rsidR="003E0EAD" w:rsidRDefault="003E0EAD" w:rsidP="003E0EAD">
      <w:pPr>
        <w:pStyle w:val="13"/>
      </w:pPr>
      <w:r>
        <w:rPr>
          <w:rFonts w:hint="eastAsia"/>
        </w:rPr>
        <w:t>（</w:t>
      </w:r>
      <w:r>
        <w:t>2）明确项目负责人以及项目团队的职责与分工。</w:t>
      </w:r>
    </w:p>
    <w:p w14:paraId="0F59C976" w14:textId="77777777" w:rsidR="007E2641" w:rsidRDefault="003E0EAD" w:rsidP="007E2641">
      <w:pPr>
        <w:pStyle w:val="13"/>
      </w:pPr>
      <w:r>
        <w:rPr>
          <w:rFonts w:hint="eastAsia"/>
        </w:rPr>
        <w:t>（</w:t>
      </w:r>
      <w:r>
        <w:t>3）明确参与评价工作各相关当事方的职责。</w:t>
      </w:r>
    </w:p>
    <w:p w14:paraId="4559EF3A" w14:textId="77777777" w:rsidR="007E2641" w:rsidRDefault="003E0EAD" w:rsidP="007E2641">
      <w:pPr>
        <w:pStyle w:val="ab"/>
        <w:spacing w:before="62" w:after="62"/>
        <w:ind w:firstLine="482"/>
      </w:pPr>
      <w:r>
        <w:t>四、绩效评价资料的收集以及数据的采集</w:t>
      </w:r>
    </w:p>
    <w:p w14:paraId="2F1B4FFA" w14:textId="029265D9" w:rsidR="003E0EAD" w:rsidRDefault="003E0EAD" w:rsidP="007E2641">
      <w:pPr>
        <w:pStyle w:val="13"/>
      </w:pPr>
      <w:r>
        <w:rPr>
          <w:rFonts w:hint="eastAsia"/>
        </w:rPr>
        <w:t>评估机构开展绩效评价业务，在数据收集过程中，需要遵循准确、详尽以及客观的原则，确保数据来源的可靠性与真实性。评估机构开展绩效评价业务，收集数据的主要方法通常包括：</w:t>
      </w:r>
    </w:p>
    <w:p w14:paraId="45D7FFB0" w14:textId="77777777" w:rsidR="003E0EAD" w:rsidRDefault="003E0EAD" w:rsidP="003E0EAD">
      <w:pPr>
        <w:pStyle w:val="13"/>
      </w:pPr>
      <w:r>
        <w:rPr>
          <w:rFonts w:hint="eastAsia"/>
        </w:rPr>
        <w:t>（一）案卷研究</w:t>
      </w:r>
    </w:p>
    <w:p w14:paraId="0A78E2ED" w14:textId="144EE151" w:rsidR="003E0EAD" w:rsidRDefault="003E0EAD" w:rsidP="003E0EAD">
      <w:pPr>
        <w:pStyle w:val="13"/>
      </w:pPr>
      <w:r>
        <w:rPr>
          <w:rFonts w:hint="eastAsia"/>
        </w:rPr>
        <w:t>案卷研究是对现有资料进行研究，</w:t>
      </w:r>
      <w:r w:rsidR="00B65C82">
        <w:t>PPP</w:t>
      </w:r>
      <w:r>
        <w:t>项目主要研究文件包括项目评估文件、项目管理手册、项目进展报告、项目中期评估报告、项目完工报告等。案卷研究要注意对同一绩效评价指标在不同文件中的数据进行对比核实，如果不同来源的数据存在差异，则要分析差异的原因，并且在座谈会、实地调研中进行核查，最后确定选择使用的数据。</w:t>
      </w:r>
    </w:p>
    <w:p w14:paraId="5AA6455C" w14:textId="79053318" w:rsidR="003E0EAD" w:rsidRDefault="003E0EAD" w:rsidP="003E0EAD">
      <w:pPr>
        <w:pStyle w:val="13"/>
      </w:pPr>
      <w:r>
        <w:rPr>
          <w:rFonts w:hint="eastAsia"/>
        </w:rPr>
        <w:t>在</w:t>
      </w:r>
      <w:r w:rsidR="00B65C82">
        <w:t>PPP</w:t>
      </w:r>
      <w:r>
        <w:t>项目绩效评价中，需要收集的资料包括：</w:t>
      </w:r>
    </w:p>
    <w:p w14:paraId="37BFBB28" w14:textId="77777777" w:rsidR="003E0EAD" w:rsidRDefault="003E0EAD" w:rsidP="003E0EAD">
      <w:pPr>
        <w:pStyle w:val="13"/>
      </w:pPr>
      <w:r>
        <w:t>1、项目公司基本资料</w:t>
      </w:r>
    </w:p>
    <w:p w14:paraId="517BB41D" w14:textId="6ACDF561" w:rsidR="003E0EAD" w:rsidRDefault="003E0EAD" w:rsidP="003E0EAD">
      <w:pPr>
        <w:pStyle w:val="13"/>
      </w:pPr>
      <w:r>
        <w:rPr>
          <w:rFonts w:hint="eastAsia"/>
        </w:rPr>
        <w:t>（</w:t>
      </w:r>
      <w:r>
        <w:t>1）与项目公司组建、经营相关的法律法规和规章制度；</w:t>
      </w:r>
    </w:p>
    <w:p w14:paraId="11B99A6C" w14:textId="7A4B7F46" w:rsidR="003E0EAD" w:rsidRDefault="003E0EAD" w:rsidP="003E0EAD">
      <w:pPr>
        <w:pStyle w:val="13"/>
      </w:pPr>
      <w:r>
        <w:rPr>
          <w:rFonts w:hint="eastAsia"/>
        </w:rPr>
        <w:t>（</w:t>
      </w:r>
      <w:r>
        <w:t>2）项目公司所在区域国民经济与社会发展规划、方针政策；</w:t>
      </w:r>
    </w:p>
    <w:p w14:paraId="1865EB91" w14:textId="3D5E9624" w:rsidR="003E0EAD" w:rsidRDefault="003E0EAD" w:rsidP="003E0EAD">
      <w:pPr>
        <w:pStyle w:val="13"/>
      </w:pPr>
      <w:r>
        <w:rPr>
          <w:rFonts w:hint="eastAsia"/>
        </w:rPr>
        <w:t>（</w:t>
      </w:r>
      <w:r>
        <w:t>3）项目公司相关行业政策、行业标准以及专业技术规范；</w:t>
      </w:r>
    </w:p>
    <w:p w14:paraId="71A5A385" w14:textId="70B2CAB4" w:rsidR="007A3C56" w:rsidRDefault="003E0EAD" w:rsidP="003E0EAD">
      <w:pPr>
        <w:pStyle w:val="13"/>
      </w:pPr>
      <w:r>
        <w:rPr>
          <w:rFonts w:hint="eastAsia"/>
        </w:rPr>
        <w:t>（</w:t>
      </w:r>
      <w:r>
        <w:t>4）项目公司所在地各级政府或者财政部门关于财政支出绩效评价的管理办法与规定；</w:t>
      </w:r>
    </w:p>
    <w:p w14:paraId="29819F35" w14:textId="2249090D" w:rsidR="00985033" w:rsidRDefault="00985033" w:rsidP="00985033">
      <w:pPr>
        <w:pStyle w:val="13"/>
      </w:pPr>
      <w:r>
        <w:rPr>
          <w:rFonts w:hint="eastAsia"/>
        </w:rPr>
        <w:t>（</w:t>
      </w:r>
      <w:r>
        <w:t>5）上级部门和单位审查报告以及财政监督检查报告；</w:t>
      </w:r>
    </w:p>
    <w:p w14:paraId="77095C83" w14:textId="66ECECC5" w:rsidR="007A3C56" w:rsidRDefault="00985033" w:rsidP="00985033">
      <w:pPr>
        <w:pStyle w:val="13"/>
      </w:pPr>
      <w:r>
        <w:rPr>
          <w:rFonts w:hint="eastAsia"/>
        </w:rPr>
        <w:t>（</w:t>
      </w:r>
      <w:r>
        <w:t>6）项目公司发展规划、年度工作总结、工作计划、工作目标</w:t>
      </w:r>
      <w:r>
        <w:rPr>
          <w:rFonts w:hint="eastAsia"/>
        </w:rPr>
        <w:t>；</w:t>
      </w:r>
    </w:p>
    <w:p w14:paraId="51902D06" w14:textId="1555B848" w:rsidR="00985033" w:rsidRDefault="00985033" w:rsidP="00985033">
      <w:pPr>
        <w:pStyle w:val="13"/>
      </w:pPr>
      <w:r>
        <w:rPr>
          <w:rFonts w:hint="eastAsia"/>
        </w:rPr>
        <w:t>（</w:t>
      </w:r>
      <w:r>
        <w:t>7）项目公司内控管理制度，主要财务和资产资料，包括业务管理制度、流程管理</w:t>
      </w:r>
    </w:p>
    <w:p w14:paraId="231C108E" w14:textId="77777777" w:rsidR="00985033" w:rsidRDefault="00985033" w:rsidP="00985033">
      <w:pPr>
        <w:pStyle w:val="13"/>
      </w:pPr>
      <w:r>
        <w:rPr>
          <w:rFonts w:hint="eastAsia"/>
        </w:rPr>
        <w:t>制度、人事管理制度、财务管理制度、审计报告、资产清单等；</w:t>
      </w:r>
    </w:p>
    <w:p w14:paraId="06B3D51B" w14:textId="148B7182" w:rsidR="00985033" w:rsidRDefault="00985033" w:rsidP="00985033">
      <w:pPr>
        <w:pStyle w:val="13"/>
      </w:pPr>
      <w:r>
        <w:rPr>
          <w:rFonts w:hint="eastAsia"/>
        </w:rPr>
        <w:t>（</w:t>
      </w:r>
      <w:r>
        <w:t>8）项目公司竣工验收报告、竣工财务决算和有关财务资料（预算执行报告）；</w:t>
      </w:r>
    </w:p>
    <w:p w14:paraId="3C032528" w14:textId="448E496A" w:rsidR="00985033" w:rsidRDefault="00985033" w:rsidP="00985033">
      <w:pPr>
        <w:pStyle w:val="13"/>
      </w:pPr>
      <w:r>
        <w:rPr>
          <w:rFonts w:hint="eastAsia"/>
        </w:rPr>
        <w:lastRenderedPageBreak/>
        <w:t>（</w:t>
      </w:r>
      <w:r>
        <w:t>9）绩效自评报告、上年度绩效评价报告或者相关总结；</w:t>
      </w:r>
    </w:p>
    <w:p w14:paraId="5FB539C9" w14:textId="21A34266" w:rsidR="00985033" w:rsidRDefault="00985033" w:rsidP="00985033">
      <w:pPr>
        <w:pStyle w:val="13"/>
      </w:pPr>
      <w:r>
        <w:rPr>
          <w:rFonts w:hint="eastAsia"/>
        </w:rPr>
        <w:t>（</w:t>
      </w:r>
      <w:r>
        <w:t>10）其他相关资料。</w:t>
      </w:r>
    </w:p>
    <w:p w14:paraId="4676AE15" w14:textId="3354D071" w:rsidR="00985033" w:rsidRDefault="00985033" w:rsidP="00985033">
      <w:pPr>
        <w:pStyle w:val="13"/>
      </w:pPr>
      <w:r>
        <w:t>2、</w:t>
      </w:r>
      <w:r w:rsidR="00B65C82">
        <w:t>PPP</w:t>
      </w:r>
      <w:r>
        <w:t>项目各阶段相关资料</w:t>
      </w:r>
    </w:p>
    <w:p w14:paraId="52B7E4E7" w14:textId="4EF0D900" w:rsidR="007A3C56" w:rsidRDefault="00985033" w:rsidP="00985033">
      <w:pPr>
        <w:pStyle w:val="13"/>
      </w:pPr>
      <w:r>
        <w:rPr>
          <w:rFonts w:hint="eastAsia"/>
        </w:rPr>
        <w:t>在</w:t>
      </w:r>
      <w:r w:rsidR="00B65C82">
        <w:t>PPP</w:t>
      </w:r>
      <w:r>
        <w:t>项目开展绩效评价过程中，需要根据项目实际情况，收集项目各阶段所形成的相关资料，具体如表 7 所示：</w:t>
      </w:r>
    </w:p>
    <w:p w14:paraId="2D350C1B" w14:textId="0C0C40DF" w:rsidR="00985033" w:rsidRDefault="00985033" w:rsidP="005142F5">
      <w:pPr>
        <w:pStyle w:val="13"/>
        <w:jc w:val="center"/>
      </w:pPr>
      <w:r w:rsidRPr="00985033">
        <w:rPr>
          <w:rFonts w:hint="eastAsia"/>
        </w:rPr>
        <w:t>表</w:t>
      </w:r>
      <w:r w:rsidRPr="00985033">
        <w:t>7 不同阶段</w:t>
      </w:r>
      <w:r w:rsidR="00B65C82">
        <w:t>PPP</w:t>
      </w:r>
      <w:r w:rsidRPr="00985033">
        <w:t>项目绩效评价补充资料</w:t>
      </w:r>
    </w:p>
    <w:tbl>
      <w:tblPr>
        <w:tblStyle w:val="af"/>
        <w:tblW w:w="8522" w:type="dxa"/>
        <w:tblLayout w:type="fixed"/>
        <w:tblLook w:val="04A0" w:firstRow="1" w:lastRow="0" w:firstColumn="1" w:lastColumn="0" w:noHBand="0" w:noVBand="1"/>
      </w:tblPr>
      <w:tblGrid>
        <w:gridCol w:w="1117"/>
        <w:gridCol w:w="1634"/>
        <w:gridCol w:w="1974"/>
        <w:gridCol w:w="3797"/>
      </w:tblGrid>
      <w:tr w:rsidR="00985033" w:rsidRPr="00985033" w14:paraId="094310EA" w14:textId="77777777" w:rsidTr="005142F5">
        <w:trPr>
          <w:trHeight w:val="326"/>
          <w:tblHeader/>
        </w:trPr>
        <w:tc>
          <w:tcPr>
            <w:tcW w:w="1117" w:type="dxa"/>
            <w:vAlign w:val="center"/>
          </w:tcPr>
          <w:p w14:paraId="37FAE934"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工作阶段</w:t>
            </w:r>
          </w:p>
        </w:tc>
        <w:tc>
          <w:tcPr>
            <w:tcW w:w="7405" w:type="dxa"/>
            <w:gridSpan w:val="3"/>
            <w:vAlign w:val="center"/>
          </w:tcPr>
          <w:p w14:paraId="2FD13DF8"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主要文件</w:t>
            </w:r>
          </w:p>
        </w:tc>
      </w:tr>
      <w:tr w:rsidR="005142F5" w:rsidRPr="00985033" w14:paraId="05A862B0" w14:textId="77777777" w:rsidTr="005142F5">
        <w:trPr>
          <w:trHeight w:val="326"/>
        </w:trPr>
        <w:tc>
          <w:tcPr>
            <w:tcW w:w="1117" w:type="dxa"/>
            <w:vMerge w:val="restart"/>
            <w:vAlign w:val="center"/>
          </w:tcPr>
          <w:p w14:paraId="6CEC8EDD" w14:textId="7E991F67" w:rsidR="005142F5" w:rsidRPr="00985033" w:rsidRDefault="005142F5" w:rsidP="005142F5">
            <w:pPr>
              <w:pStyle w:val="13"/>
              <w:spacing w:line="240" w:lineRule="auto"/>
              <w:ind w:firstLineChars="0" w:firstLine="0"/>
              <w:jc w:val="center"/>
              <w:rPr>
                <w:sz w:val="21"/>
                <w:szCs w:val="21"/>
                <w:lang w:bidi="zh-CN"/>
              </w:rPr>
            </w:pPr>
            <w:r w:rsidRPr="00985033">
              <w:rPr>
                <w:sz w:val="21"/>
                <w:szCs w:val="21"/>
                <w:lang w:bidi="zh-CN"/>
              </w:rPr>
              <w:t>项目识别</w:t>
            </w:r>
          </w:p>
        </w:tc>
        <w:tc>
          <w:tcPr>
            <w:tcW w:w="1634" w:type="dxa"/>
            <w:vAlign w:val="center"/>
          </w:tcPr>
          <w:p w14:paraId="4A31946B" w14:textId="77777777" w:rsidR="005142F5" w:rsidRPr="00985033" w:rsidRDefault="005142F5" w:rsidP="005142F5">
            <w:pPr>
              <w:pStyle w:val="13"/>
              <w:spacing w:line="240" w:lineRule="auto"/>
              <w:ind w:firstLineChars="0" w:firstLine="0"/>
              <w:jc w:val="center"/>
              <w:rPr>
                <w:sz w:val="21"/>
                <w:szCs w:val="21"/>
                <w:lang w:bidi="zh-CN"/>
              </w:rPr>
            </w:pPr>
            <w:r w:rsidRPr="00985033">
              <w:rPr>
                <w:sz w:val="21"/>
                <w:szCs w:val="21"/>
                <w:lang w:bidi="zh-CN"/>
              </w:rPr>
              <w:t>项目发起</w:t>
            </w:r>
          </w:p>
        </w:tc>
        <w:tc>
          <w:tcPr>
            <w:tcW w:w="5771" w:type="dxa"/>
            <w:gridSpan w:val="2"/>
            <w:vAlign w:val="center"/>
          </w:tcPr>
          <w:p w14:paraId="6B17A882" w14:textId="77777777" w:rsidR="005142F5" w:rsidRPr="00985033" w:rsidRDefault="005142F5" w:rsidP="005142F5">
            <w:pPr>
              <w:pStyle w:val="13"/>
              <w:spacing w:line="240" w:lineRule="auto"/>
              <w:ind w:firstLineChars="0" w:firstLine="0"/>
              <w:jc w:val="center"/>
              <w:rPr>
                <w:sz w:val="21"/>
                <w:szCs w:val="21"/>
                <w:lang w:bidi="zh-CN"/>
              </w:rPr>
            </w:pPr>
            <w:r w:rsidRPr="00985033">
              <w:rPr>
                <w:sz w:val="21"/>
                <w:szCs w:val="21"/>
                <w:lang w:bidi="zh-CN"/>
              </w:rPr>
              <w:t>《项目建议书》</w:t>
            </w:r>
          </w:p>
        </w:tc>
      </w:tr>
      <w:tr w:rsidR="005142F5" w:rsidRPr="00985033" w14:paraId="2C4631E1" w14:textId="77777777" w:rsidTr="005142F5">
        <w:trPr>
          <w:trHeight w:val="326"/>
        </w:trPr>
        <w:tc>
          <w:tcPr>
            <w:tcW w:w="1117" w:type="dxa"/>
            <w:vMerge/>
            <w:vAlign w:val="center"/>
          </w:tcPr>
          <w:p w14:paraId="1457E278" w14:textId="7ACBFC40" w:rsidR="005142F5" w:rsidRPr="00985033" w:rsidRDefault="005142F5" w:rsidP="005142F5">
            <w:pPr>
              <w:pStyle w:val="13"/>
              <w:spacing w:line="240" w:lineRule="auto"/>
              <w:ind w:firstLineChars="0" w:firstLine="0"/>
              <w:jc w:val="center"/>
              <w:rPr>
                <w:sz w:val="21"/>
                <w:szCs w:val="21"/>
                <w:lang w:bidi="zh-CN"/>
              </w:rPr>
            </w:pPr>
          </w:p>
        </w:tc>
        <w:tc>
          <w:tcPr>
            <w:tcW w:w="1634" w:type="dxa"/>
            <w:vMerge w:val="restart"/>
            <w:vAlign w:val="center"/>
          </w:tcPr>
          <w:p w14:paraId="302F913B" w14:textId="77777777" w:rsidR="005142F5" w:rsidRPr="00985033" w:rsidRDefault="005142F5" w:rsidP="005142F5">
            <w:pPr>
              <w:pStyle w:val="13"/>
              <w:spacing w:line="240" w:lineRule="auto"/>
              <w:ind w:firstLineChars="0" w:firstLine="0"/>
              <w:jc w:val="center"/>
              <w:rPr>
                <w:sz w:val="21"/>
                <w:szCs w:val="21"/>
                <w:lang w:bidi="zh-CN"/>
              </w:rPr>
            </w:pPr>
            <w:r w:rsidRPr="00985033">
              <w:rPr>
                <w:sz w:val="21"/>
                <w:szCs w:val="21"/>
                <w:lang w:bidi="zh-CN"/>
              </w:rPr>
              <w:t>项目筛选</w:t>
            </w:r>
          </w:p>
        </w:tc>
        <w:tc>
          <w:tcPr>
            <w:tcW w:w="1974" w:type="dxa"/>
            <w:vMerge w:val="restart"/>
            <w:vAlign w:val="center"/>
          </w:tcPr>
          <w:p w14:paraId="4909BE9D"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新建、改建项目</w:t>
            </w:r>
          </w:p>
        </w:tc>
        <w:tc>
          <w:tcPr>
            <w:tcW w:w="3797" w:type="dxa"/>
            <w:vAlign w:val="center"/>
          </w:tcPr>
          <w:p w14:paraId="15E278EF"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《新建、改建项目可行性研究报告》</w:t>
            </w:r>
          </w:p>
        </w:tc>
      </w:tr>
      <w:tr w:rsidR="005142F5" w:rsidRPr="00985033" w14:paraId="136DF959" w14:textId="77777777" w:rsidTr="005142F5">
        <w:trPr>
          <w:trHeight w:val="326"/>
        </w:trPr>
        <w:tc>
          <w:tcPr>
            <w:tcW w:w="1117" w:type="dxa"/>
            <w:vMerge/>
            <w:vAlign w:val="center"/>
          </w:tcPr>
          <w:p w14:paraId="1BF46267" w14:textId="77777777" w:rsidR="005142F5" w:rsidRPr="00985033" w:rsidRDefault="005142F5" w:rsidP="005142F5">
            <w:pPr>
              <w:pStyle w:val="13"/>
              <w:spacing w:line="240" w:lineRule="auto"/>
              <w:ind w:firstLineChars="0" w:firstLine="0"/>
              <w:jc w:val="center"/>
              <w:rPr>
                <w:sz w:val="21"/>
                <w:szCs w:val="21"/>
                <w:lang w:bidi="zh-CN"/>
              </w:rPr>
            </w:pPr>
          </w:p>
        </w:tc>
        <w:tc>
          <w:tcPr>
            <w:tcW w:w="1634" w:type="dxa"/>
            <w:vMerge/>
            <w:vAlign w:val="center"/>
          </w:tcPr>
          <w:p w14:paraId="096FBED8" w14:textId="77777777" w:rsidR="005142F5" w:rsidRPr="00985033" w:rsidRDefault="005142F5" w:rsidP="005142F5">
            <w:pPr>
              <w:pStyle w:val="13"/>
              <w:spacing w:line="240" w:lineRule="auto"/>
              <w:ind w:firstLineChars="0" w:firstLine="0"/>
              <w:jc w:val="center"/>
              <w:rPr>
                <w:sz w:val="21"/>
                <w:szCs w:val="21"/>
                <w:lang w:bidi="zh-CN"/>
              </w:rPr>
            </w:pPr>
          </w:p>
        </w:tc>
        <w:tc>
          <w:tcPr>
            <w:tcW w:w="1974" w:type="dxa"/>
            <w:vMerge/>
            <w:vAlign w:val="center"/>
          </w:tcPr>
          <w:p w14:paraId="1EF92B81" w14:textId="77777777" w:rsidR="005142F5" w:rsidRPr="00985033" w:rsidRDefault="005142F5" w:rsidP="005142F5">
            <w:pPr>
              <w:pStyle w:val="13"/>
              <w:spacing w:line="240" w:lineRule="auto"/>
              <w:ind w:firstLineChars="0" w:firstLine="0"/>
              <w:rPr>
                <w:sz w:val="21"/>
                <w:szCs w:val="21"/>
                <w:lang w:bidi="zh-CN"/>
              </w:rPr>
            </w:pPr>
          </w:p>
        </w:tc>
        <w:tc>
          <w:tcPr>
            <w:tcW w:w="3797" w:type="dxa"/>
            <w:vAlign w:val="center"/>
          </w:tcPr>
          <w:p w14:paraId="5806AED5"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《新建、改建项目初步实施方案》</w:t>
            </w:r>
          </w:p>
        </w:tc>
      </w:tr>
      <w:tr w:rsidR="005142F5" w:rsidRPr="00985033" w14:paraId="04BE1F31" w14:textId="77777777" w:rsidTr="005142F5">
        <w:trPr>
          <w:trHeight w:val="325"/>
        </w:trPr>
        <w:tc>
          <w:tcPr>
            <w:tcW w:w="1117" w:type="dxa"/>
            <w:vMerge/>
            <w:vAlign w:val="center"/>
          </w:tcPr>
          <w:p w14:paraId="7D03883F" w14:textId="77777777" w:rsidR="005142F5" w:rsidRPr="00985033" w:rsidRDefault="005142F5" w:rsidP="005142F5">
            <w:pPr>
              <w:pStyle w:val="13"/>
              <w:spacing w:line="240" w:lineRule="auto"/>
              <w:ind w:firstLineChars="0" w:firstLine="0"/>
              <w:jc w:val="center"/>
              <w:rPr>
                <w:sz w:val="21"/>
                <w:szCs w:val="21"/>
                <w:lang w:bidi="zh-CN"/>
              </w:rPr>
            </w:pPr>
          </w:p>
        </w:tc>
        <w:tc>
          <w:tcPr>
            <w:tcW w:w="1634" w:type="dxa"/>
            <w:vMerge/>
            <w:vAlign w:val="center"/>
          </w:tcPr>
          <w:p w14:paraId="0B8ECC94" w14:textId="77777777" w:rsidR="005142F5" w:rsidRPr="00985033" w:rsidRDefault="005142F5" w:rsidP="005142F5">
            <w:pPr>
              <w:pStyle w:val="13"/>
              <w:spacing w:line="240" w:lineRule="auto"/>
              <w:ind w:firstLineChars="0" w:firstLine="0"/>
              <w:jc w:val="center"/>
              <w:rPr>
                <w:sz w:val="21"/>
                <w:szCs w:val="21"/>
                <w:lang w:bidi="zh-CN"/>
              </w:rPr>
            </w:pPr>
          </w:p>
        </w:tc>
        <w:tc>
          <w:tcPr>
            <w:tcW w:w="1974" w:type="dxa"/>
            <w:vMerge/>
            <w:vAlign w:val="center"/>
          </w:tcPr>
          <w:p w14:paraId="004B0EA1" w14:textId="77777777" w:rsidR="005142F5" w:rsidRPr="00985033" w:rsidRDefault="005142F5" w:rsidP="005142F5">
            <w:pPr>
              <w:pStyle w:val="13"/>
              <w:spacing w:line="240" w:lineRule="auto"/>
              <w:ind w:firstLineChars="0" w:firstLine="0"/>
              <w:rPr>
                <w:sz w:val="21"/>
                <w:szCs w:val="21"/>
                <w:lang w:bidi="zh-CN"/>
              </w:rPr>
            </w:pPr>
          </w:p>
        </w:tc>
        <w:tc>
          <w:tcPr>
            <w:tcW w:w="3797" w:type="dxa"/>
            <w:vAlign w:val="center"/>
          </w:tcPr>
          <w:p w14:paraId="5A7CE731"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《新建、改建项目产出说明》</w:t>
            </w:r>
          </w:p>
        </w:tc>
      </w:tr>
      <w:tr w:rsidR="005142F5" w:rsidRPr="00985033" w14:paraId="5050C78C" w14:textId="77777777" w:rsidTr="005142F5">
        <w:trPr>
          <w:trHeight w:val="326"/>
        </w:trPr>
        <w:tc>
          <w:tcPr>
            <w:tcW w:w="1117" w:type="dxa"/>
            <w:vMerge/>
            <w:vAlign w:val="center"/>
          </w:tcPr>
          <w:p w14:paraId="0CBF5B3E" w14:textId="77777777" w:rsidR="005142F5" w:rsidRPr="00985033" w:rsidRDefault="005142F5" w:rsidP="005142F5">
            <w:pPr>
              <w:pStyle w:val="13"/>
              <w:spacing w:line="240" w:lineRule="auto"/>
              <w:ind w:firstLineChars="0" w:firstLine="0"/>
              <w:jc w:val="center"/>
              <w:rPr>
                <w:sz w:val="21"/>
                <w:szCs w:val="21"/>
                <w:lang w:bidi="zh-CN"/>
              </w:rPr>
            </w:pPr>
          </w:p>
        </w:tc>
        <w:tc>
          <w:tcPr>
            <w:tcW w:w="1634" w:type="dxa"/>
            <w:vMerge/>
            <w:vAlign w:val="center"/>
          </w:tcPr>
          <w:p w14:paraId="241C1518" w14:textId="77777777" w:rsidR="005142F5" w:rsidRPr="00985033" w:rsidRDefault="005142F5" w:rsidP="005142F5">
            <w:pPr>
              <w:pStyle w:val="13"/>
              <w:spacing w:line="240" w:lineRule="auto"/>
              <w:ind w:firstLineChars="0" w:firstLine="0"/>
              <w:jc w:val="center"/>
              <w:rPr>
                <w:sz w:val="21"/>
                <w:szCs w:val="21"/>
                <w:lang w:bidi="zh-CN"/>
              </w:rPr>
            </w:pPr>
          </w:p>
        </w:tc>
        <w:tc>
          <w:tcPr>
            <w:tcW w:w="1974" w:type="dxa"/>
            <w:vMerge w:val="restart"/>
            <w:vAlign w:val="center"/>
          </w:tcPr>
          <w:p w14:paraId="1E286E11"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存量项目</w:t>
            </w:r>
          </w:p>
        </w:tc>
        <w:tc>
          <w:tcPr>
            <w:tcW w:w="3797" w:type="dxa"/>
            <w:vAlign w:val="center"/>
          </w:tcPr>
          <w:p w14:paraId="10135281"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《存量项目公共资产历史材料》</w:t>
            </w:r>
          </w:p>
        </w:tc>
      </w:tr>
      <w:tr w:rsidR="005142F5" w:rsidRPr="00985033" w14:paraId="6742F105" w14:textId="77777777" w:rsidTr="005142F5">
        <w:trPr>
          <w:trHeight w:val="326"/>
        </w:trPr>
        <w:tc>
          <w:tcPr>
            <w:tcW w:w="1117" w:type="dxa"/>
            <w:vMerge/>
            <w:vAlign w:val="center"/>
          </w:tcPr>
          <w:p w14:paraId="460437E6" w14:textId="77777777" w:rsidR="005142F5" w:rsidRPr="00985033" w:rsidRDefault="005142F5" w:rsidP="005142F5">
            <w:pPr>
              <w:pStyle w:val="13"/>
              <w:spacing w:line="240" w:lineRule="auto"/>
              <w:ind w:firstLineChars="0" w:firstLine="0"/>
              <w:jc w:val="center"/>
              <w:rPr>
                <w:sz w:val="21"/>
                <w:szCs w:val="21"/>
                <w:lang w:bidi="zh-CN"/>
              </w:rPr>
            </w:pPr>
          </w:p>
        </w:tc>
        <w:tc>
          <w:tcPr>
            <w:tcW w:w="1634" w:type="dxa"/>
            <w:vMerge/>
            <w:vAlign w:val="center"/>
          </w:tcPr>
          <w:p w14:paraId="2AE15DEE" w14:textId="77777777" w:rsidR="005142F5" w:rsidRPr="00985033" w:rsidRDefault="005142F5" w:rsidP="005142F5">
            <w:pPr>
              <w:pStyle w:val="13"/>
              <w:spacing w:line="240" w:lineRule="auto"/>
              <w:ind w:firstLineChars="0" w:firstLine="0"/>
              <w:jc w:val="center"/>
              <w:rPr>
                <w:sz w:val="21"/>
                <w:szCs w:val="21"/>
                <w:lang w:bidi="zh-CN"/>
              </w:rPr>
            </w:pPr>
          </w:p>
        </w:tc>
        <w:tc>
          <w:tcPr>
            <w:tcW w:w="1974" w:type="dxa"/>
            <w:vMerge/>
            <w:vAlign w:val="center"/>
          </w:tcPr>
          <w:p w14:paraId="22DD321A" w14:textId="77777777" w:rsidR="005142F5" w:rsidRPr="00985033" w:rsidRDefault="005142F5" w:rsidP="005142F5">
            <w:pPr>
              <w:pStyle w:val="13"/>
              <w:spacing w:line="240" w:lineRule="auto"/>
              <w:ind w:firstLineChars="0" w:firstLine="0"/>
              <w:rPr>
                <w:sz w:val="21"/>
                <w:szCs w:val="21"/>
                <w:lang w:bidi="zh-CN"/>
              </w:rPr>
            </w:pPr>
          </w:p>
        </w:tc>
        <w:tc>
          <w:tcPr>
            <w:tcW w:w="3797" w:type="dxa"/>
            <w:vAlign w:val="center"/>
          </w:tcPr>
          <w:p w14:paraId="1AD7E398"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《存量项目产出说明》</w:t>
            </w:r>
          </w:p>
        </w:tc>
      </w:tr>
      <w:tr w:rsidR="005142F5" w:rsidRPr="00985033" w14:paraId="0D3814A4" w14:textId="77777777" w:rsidTr="005142F5">
        <w:trPr>
          <w:trHeight w:val="325"/>
        </w:trPr>
        <w:tc>
          <w:tcPr>
            <w:tcW w:w="1117" w:type="dxa"/>
            <w:vMerge/>
            <w:vAlign w:val="center"/>
          </w:tcPr>
          <w:p w14:paraId="0E252C81" w14:textId="77777777" w:rsidR="005142F5" w:rsidRPr="00985033" w:rsidRDefault="005142F5" w:rsidP="005142F5">
            <w:pPr>
              <w:pStyle w:val="13"/>
              <w:spacing w:line="240" w:lineRule="auto"/>
              <w:ind w:firstLineChars="0" w:firstLine="0"/>
              <w:jc w:val="center"/>
              <w:rPr>
                <w:sz w:val="21"/>
                <w:szCs w:val="21"/>
                <w:lang w:bidi="zh-CN"/>
              </w:rPr>
            </w:pPr>
          </w:p>
        </w:tc>
        <w:tc>
          <w:tcPr>
            <w:tcW w:w="1634" w:type="dxa"/>
            <w:vMerge/>
            <w:vAlign w:val="center"/>
          </w:tcPr>
          <w:p w14:paraId="4329029E" w14:textId="77777777" w:rsidR="005142F5" w:rsidRPr="00985033" w:rsidRDefault="005142F5" w:rsidP="005142F5">
            <w:pPr>
              <w:pStyle w:val="13"/>
              <w:spacing w:line="240" w:lineRule="auto"/>
              <w:ind w:firstLineChars="0" w:firstLine="0"/>
              <w:jc w:val="center"/>
              <w:rPr>
                <w:sz w:val="21"/>
                <w:szCs w:val="21"/>
                <w:lang w:bidi="zh-CN"/>
              </w:rPr>
            </w:pPr>
          </w:p>
        </w:tc>
        <w:tc>
          <w:tcPr>
            <w:tcW w:w="1974" w:type="dxa"/>
            <w:vMerge/>
            <w:vAlign w:val="center"/>
          </w:tcPr>
          <w:p w14:paraId="17563241" w14:textId="77777777" w:rsidR="005142F5" w:rsidRPr="00985033" w:rsidRDefault="005142F5" w:rsidP="005142F5">
            <w:pPr>
              <w:pStyle w:val="13"/>
              <w:spacing w:line="240" w:lineRule="auto"/>
              <w:ind w:firstLineChars="0" w:firstLine="0"/>
              <w:rPr>
                <w:sz w:val="21"/>
                <w:szCs w:val="21"/>
                <w:lang w:bidi="zh-CN"/>
              </w:rPr>
            </w:pPr>
          </w:p>
        </w:tc>
        <w:tc>
          <w:tcPr>
            <w:tcW w:w="3797" w:type="dxa"/>
            <w:vAlign w:val="center"/>
          </w:tcPr>
          <w:p w14:paraId="60D2ACB2"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《存量项目初步实施方案》</w:t>
            </w:r>
          </w:p>
        </w:tc>
      </w:tr>
      <w:tr w:rsidR="005142F5" w:rsidRPr="00985033" w14:paraId="216641CB" w14:textId="77777777" w:rsidTr="005142F5">
        <w:trPr>
          <w:trHeight w:val="326"/>
        </w:trPr>
        <w:tc>
          <w:tcPr>
            <w:tcW w:w="1117" w:type="dxa"/>
            <w:vMerge/>
            <w:vAlign w:val="center"/>
          </w:tcPr>
          <w:p w14:paraId="3B7C813D" w14:textId="77777777" w:rsidR="005142F5" w:rsidRPr="00985033" w:rsidRDefault="005142F5" w:rsidP="005142F5">
            <w:pPr>
              <w:pStyle w:val="13"/>
              <w:spacing w:line="240" w:lineRule="auto"/>
              <w:ind w:firstLineChars="0" w:firstLine="0"/>
              <w:jc w:val="center"/>
              <w:rPr>
                <w:sz w:val="21"/>
                <w:szCs w:val="21"/>
                <w:lang w:bidi="zh-CN"/>
              </w:rPr>
            </w:pPr>
          </w:p>
        </w:tc>
        <w:tc>
          <w:tcPr>
            <w:tcW w:w="1634" w:type="dxa"/>
            <w:vMerge w:val="restart"/>
            <w:vAlign w:val="center"/>
          </w:tcPr>
          <w:p w14:paraId="14B0E131" w14:textId="77777777" w:rsidR="005142F5" w:rsidRPr="00985033" w:rsidRDefault="005142F5" w:rsidP="005142F5">
            <w:pPr>
              <w:pStyle w:val="13"/>
              <w:spacing w:line="240" w:lineRule="auto"/>
              <w:ind w:firstLineChars="0" w:firstLine="0"/>
              <w:jc w:val="center"/>
              <w:rPr>
                <w:sz w:val="21"/>
                <w:szCs w:val="21"/>
                <w:lang w:bidi="zh-CN"/>
              </w:rPr>
            </w:pPr>
            <w:r w:rsidRPr="00985033">
              <w:rPr>
                <w:sz w:val="21"/>
                <w:szCs w:val="21"/>
                <w:lang w:bidi="zh-CN"/>
              </w:rPr>
              <w:t>物有所值评价</w:t>
            </w:r>
          </w:p>
        </w:tc>
        <w:tc>
          <w:tcPr>
            <w:tcW w:w="5771" w:type="dxa"/>
            <w:gridSpan w:val="2"/>
            <w:vAlign w:val="center"/>
          </w:tcPr>
          <w:p w14:paraId="60BBD84F"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项目识别阶段《物有所值评价报告》</w:t>
            </w:r>
          </w:p>
        </w:tc>
      </w:tr>
      <w:tr w:rsidR="005142F5" w:rsidRPr="00985033" w14:paraId="7F0C3074" w14:textId="77777777" w:rsidTr="005142F5">
        <w:trPr>
          <w:trHeight w:val="325"/>
        </w:trPr>
        <w:tc>
          <w:tcPr>
            <w:tcW w:w="1117" w:type="dxa"/>
            <w:vMerge/>
          </w:tcPr>
          <w:p w14:paraId="6AF6BC38" w14:textId="77777777" w:rsidR="005142F5" w:rsidRPr="00985033" w:rsidRDefault="005142F5" w:rsidP="00985033">
            <w:pPr>
              <w:pStyle w:val="13"/>
              <w:spacing w:line="240" w:lineRule="auto"/>
              <w:ind w:firstLineChars="0" w:firstLine="0"/>
              <w:rPr>
                <w:sz w:val="21"/>
                <w:szCs w:val="21"/>
                <w:lang w:bidi="zh-CN"/>
              </w:rPr>
            </w:pPr>
          </w:p>
        </w:tc>
        <w:tc>
          <w:tcPr>
            <w:tcW w:w="1634" w:type="dxa"/>
            <w:vMerge/>
          </w:tcPr>
          <w:p w14:paraId="169FA862" w14:textId="77777777" w:rsidR="005142F5" w:rsidRPr="00985033" w:rsidRDefault="005142F5" w:rsidP="00985033">
            <w:pPr>
              <w:pStyle w:val="13"/>
              <w:spacing w:line="240" w:lineRule="auto"/>
              <w:ind w:firstLineChars="0" w:firstLine="0"/>
              <w:rPr>
                <w:sz w:val="21"/>
                <w:szCs w:val="21"/>
                <w:lang w:bidi="zh-CN"/>
              </w:rPr>
            </w:pPr>
          </w:p>
        </w:tc>
        <w:tc>
          <w:tcPr>
            <w:tcW w:w="5771" w:type="dxa"/>
            <w:gridSpan w:val="2"/>
            <w:vAlign w:val="center"/>
          </w:tcPr>
          <w:p w14:paraId="060B6AC8"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项目准备阶段《财政承载能力论证报告》</w:t>
            </w:r>
          </w:p>
        </w:tc>
      </w:tr>
      <w:tr w:rsidR="00985033" w:rsidRPr="00985033" w14:paraId="324E0CC9" w14:textId="77777777" w:rsidTr="005142F5">
        <w:trPr>
          <w:trHeight w:val="651"/>
        </w:trPr>
        <w:tc>
          <w:tcPr>
            <w:tcW w:w="1117" w:type="dxa"/>
            <w:vAlign w:val="center"/>
          </w:tcPr>
          <w:p w14:paraId="0458B242"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项目准备</w:t>
            </w:r>
          </w:p>
        </w:tc>
        <w:tc>
          <w:tcPr>
            <w:tcW w:w="7405" w:type="dxa"/>
            <w:gridSpan w:val="3"/>
            <w:vAlign w:val="center"/>
          </w:tcPr>
          <w:p w14:paraId="00D624CA" w14:textId="199E7232"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《项目实施方案》及准备阶段的《物有所值评价报告》及《财政承载能力论证报告》</w:t>
            </w:r>
          </w:p>
        </w:tc>
      </w:tr>
      <w:tr w:rsidR="00985033" w:rsidRPr="00985033" w14:paraId="377D3FB5" w14:textId="77777777" w:rsidTr="005142F5">
        <w:trPr>
          <w:trHeight w:val="315"/>
        </w:trPr>
        <w:tc>
          <w:tcPr>
            <w:tcW w:w="1117" w:type="dxa"/>
            <w:vMerge w:val="restart"/>
            <w:vAlign w:val="center"/>
          </w:tcPr>
          <w:p w14:paraId="3E3394D1"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项目采购</w:t>
            </w:r>
          </w:p>
        </w:tc>
        <w:tc>
          <w:tcPr>
            <w:tcW w:w="1634" w:type="dxa"/>
            <w:vMerge w:val="restart"/>
            <w:vAlign w:val="center"/>
          </w:tcPr>
          <w:p w14:paraId="1FE5FF66"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资格预审</w:t>
            </w:r>
          </w:p>
        </w:tc>
        <w:tc>
          <w:tcPr>
            <w:tcW w:w="5771" w:type="dxa"/>
            <w:gridSpan w:val="2"/>
            <w:vAlign w:val="center"/>
          </w:tcPr>
          <w:p w14:paraId="5583AC7E" w14:textId="77777777"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《资格预审文件》</w:t>
            </w:r>
          </w:p>
        </w:tc>
      </w:tr>
      <w:tr w:rsidR="00985033" w:rsidRPr="00985033" w14:paraId="14E9BCBA" w14:textId="77777777" w:rsidTr="005142F5">
        <w:trPr>
          <w:trHeight w:val="306"/>
        </w:trPr>
        <w:tc>
          <w:tcPr>
            <w:tcW w:w="1117" w:type="dxa"/>
            <w:vMerge/>
            <w:vAlign w:val="center"/>
          </w:tcPr>
          <w:p w14:paraId="5B01C5BD" w14:textId="77777777" w:rsidR="00985033" w:rsidRPr="00985033" w:rsidRDefault="00985033" w:rsidP="005142F5">
            <w:pPr>
              <w:pStyle w:val="13"/>
              <w:spacing w:line="240" w:lineRule="auto"/>
              <w:ind w:firstLineChars="0" w:firstLine="0"/>
              <w:jc w:val="center"/>
              <w:rPr>
                <w:sz w:val="21"/>
                <w:szCs w:val="21"/>
                <w:lang w:bidi="zh-CN"/>
              </w:rPr>
            </w:pPr>
          </w:p>
        </w:tc>
        <w:tc>
          <w:tcPr>
            <w:tcW w:w="1634" w:type="dxa"/>
            <w:vMerge/>
            <w:vAlign w:val="center"/>
          </w:tcPr>
          <w:p w14:paraId="6E0BCC55" w14:textId="77777777" w:rsidR="00985033" w:rsidRPr="00985033" w:rsidRDefault="00985033" w:rsidP="005142F5">
            <w:pPr>
              <w:pStyle w:val="13"/>
              <w:spacing w:line="240" w:lineRule="auto"/>
              <w:ind w:firstLineChars="0" w:firstLine="0"/>
              <w:jc w:val="center"/>
              <w:rPr>
                <w:sz w:val="21"/>
                <w:szCs w:val="21"/>
                <w:lang w:bidi="zh-CN"/>
              </w:rPr>
            </w:pPr>
          </w:p>
        </w:tc>
        <w:tc>
          <w:tcPr>
            <w:tcW w:w="5771" w:type="dxa"/>
            <w:gridSpan w:val="2"/>
            <w:vAlign w:val="center"/>
          </w:tcPr>
          <w:p w14:paraId="55AACF90" w14:textId="77777777"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《资格预审公告》</w:t>
            </w:r>
          </w:p>
        </w:tc>
      </w:tr>
      <w:tr w:rsidR="00985033" w:rsidRPr="00985033" w14:paraId="1A7D2855" w14:textId="77777777" w:rsidTr="005142F5">
        <w:trPr>
          <w:trHeight w:val="306"/>
        </w:trPr>
        <w:tc>
          <w:tcPr>
            <w:tcW w:w="1117" w:type="dxa"/>
            <w:vMerge/>
            <w:vAlign w:val="center"/>
          </w:tcPr>
          <w:p w14:paraId="65F9F73F" w14:textId="77777777" w:rsidR="00985033" w:rsidRPr="00985033" w:rsidRDefault="00985033" w:rsidP="005142F5">
            <w:pPr>
              <w:pStyle w:val="13"/>
              <w:spacing w:line="240" w:lineRule="auto"/>
              <w:ind w:firstLineChars="0" w:firstLine="0"/>
              <w:jc w:val="center"/>
              <w:rPr>
                <w:sz w:val="21"/>
                <w:szCs w:val="21"/>
                <w:lang w:bidi="zh-CN"/>
              </w:rPr>
            </w:pPr>
          </w:p>
        </w:tc>
        <w:tc>
          <w:tcPr>
            <w:tcW w:w="1634" w:type="dxa"/>
            <w:vMerge/>
            <w:vAlign w:val="center"/>
          </w:tcPr>
          <w:p w14:paraId="418F1742" w14:textId="77777777" w:rsidR="00985033" w:rsidRPr="00985033" w:rsidRDefault="00985033" w:rsidP="005142F5">
            <w:pPr>
              <w:pStyle w:val="13"/>
              <w:spacing w:line="240" w:lineRule="auto"/>
              <w:ind w:firstLineChars="0" w:firstLine="0"/>
              <w:jc w:val="center"/>
              <w:rPr>
                <w:sz w:val="21"/>
                <w:szCs w:val="21"/>
                <w:lang w:bidi="zh-CN"/>
              </w:rPr>
            </w:pPr>
          </w:p>
        </w:tc>
        <w:tc>
          <w:tcPr>
            <w:tcW w:w="5771" w:type="dxa"/>
            <w:gridSpan w:val="2"/>
            <w:vAlign w:val="center"/>
          </w:tcPr>
          <w:p w14:paraId="297C23FB" w14:textId="77777777"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《资格预审申请》</w:t>
            </w:r>
          </w:p>
        </w:tc>
      </w:tr>
      <w:tr w:rsidR="00985033" w:rsidRPr="00985033" w14:paraId="7A0B5B8D" w14:textId="77777777" w:rsidTr="005142F5">
        <w:trPr>
          <w:trHeight w:val="306"/>
        </w:trPr>
        <w:tc>
          <w:tcPr>
            <w:tcW w:w="1117" w:type="dxa"/>
            <w:vMerge/>
            <w:vAlign w:val="center"/>
          </w:tcPr>
          <w:p w14:paraId="4E80F7AE" w14:textId="77777777" w:rsidR="00985033" w:rsidRPr="00985033" w:rsidRDefault="00985033" w:rsidP="005142F5">
            <w:pPr>
              <w:pStyle w:val="13"/>
              <w:spacing w:line="240" w:lineRule="auto"/>
              <w:ind w:firstLineChars="0" w:firstLine="0"/>
              <w:jc w:val="center"/>
              <w:rPr>
                <w:sz w:val="21"/>
                <w:szCs w:val="21"/>
                <w:lang w:bidi="zh-CN"/>
              </w:rPr>
            </w:pPr>
          </w:p>
        </w:tc>
        <w:tc>
          <w:tcPr>
            <w:tcW w:w="1634" w:type="dxa"/>
            <w:vMerge/>
            <w:vAlign w:val="center"/>
          </w:tcPr>
          <w:p w14:paraId="44AAADE5" w14:textId="77777777" w:rsidR="00985033" w:rsidRPr="00985033" w:rsidRDefault="00985033" w:rsidP="005142F5">
            <w:pPr>
              <w:pStyle w:val="13"/>
              <w:spacing w:line="240" w:lineRule="auto"/>
              <w:ind w:firstLineChars="0" w:firstLine="0"/>
              <w:jc w:val="center"/>
              <w:rPr>
                <w:sz w:val="21"/>
                <w:szCs w:val="21"/>
                <w:lang w:bidi="zh-CN"/>
              </w:rPr>
            </w:pPr>
          </w:p>
        </w:tc>
        <w:tc>
          <w:tcPr>
            <w:tcW w:w="5771" w:type="dxa"/>
            <w:gridSpan w:val="2"/>
            <w:vAlign w:val="center"/>
          </w:tcPr>
          <w:p w14:paraId="62DE024E" w14:textId="77777777"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《资格预审评审报告》</w:t>
            </w:r>
          </w:p>
        </w:tc>
      </w:tr>
      <w:tr w:rsidR="00985033" w:rsidRPr="00985033" w14:paraId="2E4DEDEB" w14:textId="77777777" w:rsidTr="005142F5">
        <w:trPr>
          <w:trHeight w:val="1620"/>
        </w:trPr>
        <w:tc>
          <w:tcPr>
            <w:tcW w:w="1117" w:type="dxa"/>
            <w:vMerge/>
            <w:vAlign w:val="center"/>
          </w:tcPr>
          <w:p w14:paraId="20C41BAC" w14:textId="77777777" w:rsidR="00985033" w:rsidRPr="00985033" w:rsidRDefault="00985033" w:rsidP="005142F5">
            <w:pPr>
              <w:pStyle w:val="13"/>
              <w:spacing w:line="240" w:lineRule="auto"/>
              <w:ind w:firstLineChars="0" w:firstLine="0"/>
              <w:jc w:val="center"/>
              <w:rPr>
                <w:sz w:val="21"/>
                <w:szCs w:val="21"/>
                <w:lang w:bidi="zh-CN"/>
              </w:rPr>
            </w:pPr>
          </w:p>
        </w:tc>
        <w:tc>
          <w:tcPr>
            <w:tcW w:w="1634" w:type="dxa"/>
            <w:vAlign w:val="center"/>
          </w:tcPr>
          <w:p w14:paraId="10A86159"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项目采购文件</w:t>
            </w:r>
          </w:p>
        </w:tc>
        <w:tc>
          <w:tcPr>
            <w:tcW w:w="5771" w:type="dxa"/>
            <w:gridSpan w:val="2"/>
            <w:vAlign w:val="center"/>
          </w:tcPr>
          <w:p w14:paraId="143E1F92" w14:textId="444C893F"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包括但不限于：采购邀请、竞争者须知、竞争者资格、资 信、业绩证明文件、采购方式说明、政府对项目实施机构的授权、实施方案的批复、项目相关审批文件、采购程序说 明、响应文件编制要求、提交相应文件的截止时间、项目开启时间和地点、强制担保的保证金数额和形式、评审方法、</w:t>
            </w:r>
            <w:r w:rsidRPr="00985033">
              <w:rPr>
                <w:rFonts w:hint="eastAsia"/>
                <w:sz w:val="21"/>
                <w:szCs w:val="21"/>
                <w:lang w:bidi="zh-CN"/>
              </w:rPr>
              <w:t>评审标准、政府采购政策要求、项目合同草案及其他法律文本，以及采购需求中的技术、服务要求及合同草案条款等</w:t>
            </w:r>
          </w:p>
        </w:tc>
      </w:tr>
      <w:tr w:rsidR="005142F5" w:rsidRPr="00985033" w14:paraId="7DFF2F0E" w14:textId="77777777" w:rsidTr="005142F5">
        <w:trPr>
          <w:trHeight w:val="340"/>
        </w:trPr>
        <w:tc>
          <w:tcPr>
            <w:tcW w:w="1117" w:type="dxa"/>
            <w:vMerge/>
            <w:vAlign w:val="center"/>
          </w:tcPr>
          <w:p w14:paraId="292E51C3" w14:textId="77777777" w:rsidR="005142F5" w:rsidRPr="00985033" w:rsidRDefault="005142F5" w:rsidP="005142F5">
            <w:pPr>
              <w:jc w:val="center"/>
              <w:rPr>
                <w:szCs w:val="21"/>
              </w:rPr>
            </w:pPr>
          </w:p>
        </w:tc>
        <w:tc>
          <w:tcPr>
            <w:tcW w:w="1634" w:type="dxa"/>
            <w:vMerge w:val="restart"/>
            <w:vAlign w:val="center"/>
          </w:tcPr>
          <w:p w14:paraId="1D27F1C7" w14:textId="77777777" w:rsidR="005142F5" w:rsidRPr="00985033" w:rsidRDefault="005142F5" w:rsidP="005142F5">
            <w:pPr>
              <w:pStyle w:val="13"/>
              <w:spacing w:line="240" w:lineRule="auto"/>
              <w:ind w:firstLineChars="0" w:firstLine="0"/>
              <w:jc w:val="center"/>
              <w:rPr>
                <w:sz w:val="21"/>
                <w:szCs w:val="21"/>
                <w:lang w:bidi="zh-CN"/>
              </w:rPr>
            </w:pPr>
            <w:r w:rsidRPr="00985033">
              <w:rPr>
                <w:sz w:val="21"/>
                <w:szCs w:val="21"/>
                <w:lang w:bidi="zh-CN"/>
              </w:rPr>
              <w:t>项目响应文件</w:t>
            </w:r>
          </w:p>
        </w:tc>
        <w:tc>
          <w:tcPr>
            <w:tcW w:w="5771" w:type="dxa"/>
            <w:gridSpan w:val="2"/>
            <w:vAlign w:val="center"/>
          </w:tcPr>
          <w:p w14:paraId="20732FD8"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《竞争性磋商公告》</w:t>
            </w:r>
          </w:p>
        </w:tc>
      </w:tr>
      <w:tr w:rsidR="005142F5" w:rsidRPr="00985033" w14:paraId="59D6D2F9" w14:textId="77777777" w:rsidTr="005142F5">
        <w:trPr>
          <w:trHeight w:val="340"/>
        </w:trPr>
        <w:tc>
          <w:tcPr>
            <w:tcW w:w="1117" w:type="dxa"/>
            <w:vMerge/>
            <w:vAlign w:val="center"/>
          </w:tcPr>
          <w:p w14:paraId="41BD3821" w14:textId="77777777" w:rsidR="005142F5" w:rsidRPr="00985033" w:rsidRDefault="005142F5" w:rsidP="005142F5">
            <w:pPr>
              <w:jc w:val="center"/>
              <w:rPr>
                <w:szCs w:val="21"/>
              </w:rPr>
            </w:pPr>
          </w:p>
        </w:tc>
        <w:tc>
          <w:tcPr>
            <w:tcW w:w="1634" w:type="dxa"/>
            <w:vMerge/>
            <w:vAlign w:val="center"/>
          </w:tcPr>
          <w:p w14:paraId="131F1033"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29BD2F93"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《采购文件》</w:t>
            </w:r>
          </w:p>
        </w:tc>
      </w:tr>
      <w:tr w:rsidR="005142F5" w:rsidRPr="00985033" w14:paraId="6CE11F7A" w14:textId="77777777" w:rsidTr="005142F5">
        <w:trPr>
          <w:trHeight w:val="340"/>
        </w:trPr>
        <w:tc>
          <w:tcPr>
            <w:tcW w:w="1117" w:type="dxa"/>
            <w:vMerge/>
            <w:vAlign w:val="center"/>
          </w:tcPr>
          <w:p w14:paraId="2168799E" w14:textId="77777777" w:rsidR="005142F5" w:rsidRPr="00985033" w:rsidRDefault="005142F5" w:rsidP="005142F5">
            <w:pPr>
              <w:jc w:val="center"/>
              <w:rPr>
                <w:szCs w:val="21"/>
              </w:rPr>
            </w:pPr>
          </w:p>
        </w:tc>
        <w:tc>
          <w:tcPr>
            <w:tcW w:w="1634" w:type="dxa"/>
            <w:vMerge/>
            <w:vAlign w:val="center"/>
          </w:tcPr>
          <w:p w14:paraId="400E7019"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04EF56C9"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《补遗文件》</w:t>
            </w:r>
          </w:p>
        </w:tc>
      </w:tr>
      <w:tr w:rsidR="005142F5" w:rsidRPr="00985033" w14:paraId="534AF51C" w14:textId="77777777" w:rsidTr="005142F5">
        <w:trPr>
          <w:trHeight w:val="340"/>
        </w:trPr>
        <w:tc>
          <w:tcPr>
            <w:tcW w:w="1117" w:type="dxa"/>
            <w:vMerge/>
            <w:vAlign w:val="center"/>
          </w:tcPr>
          <w:p w14:paraId="13818FF2" w14:textId="77777777" w:rsidR="005142F5" w:rsidRPr="00985033" w:rsidRDefault="005142F5" w:rsidP="005142F5">
            <w:pPr>
              <w:jc w:val="center"/>
              <w:rPr>
                <w:szCs w:val="21"/>
              </w:rPr>
            </w:pPr>
          </w:p>
        </w:tc>
        <w:tc>
          <w:tcPr>
            <w:tcW w:w="1634" w:type="dxa"/>
            <w:vMerge/>
            <w:vAlign w:val="center"/>
          </w:tcPr>
          <w:p w14:paraId="6C7BFDDE"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6BC72E5F"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《竞争性磋商响应文件》</w:t>
            </w:r>
          </w:p>
        </w:tc>
      </w:tr>
      <w:tr w:rsidR="005142F5" w:rsidRPr="00985033" w14:paraId="79F912DA" w14:textId="77777777" w:rsidTr="005142F5">
        <w:trPr>
          <w:trHeight w:val="340"/>
        </w:trPr>
        <w:tc>
          <w:tcPr>
            <w:tcW w:w="1117" w:type="dxa"/>
            <w:vMerge/>
            <w:vAlign w:val="center"/>
          </w:tcPr>
          <w:p w14:paraId="7DAA2416" w14:textId="77777777" w:rsidR="005142F5" w:rsidRPr="00985033" w:rsidRDefault="005142F5" w:rsidP="005142F5">
            <w:pPr>
              <w:jc w:val="center"/>
              <w:rPr>
                <w:szCs w:val="21"/>
              </w:rPr>
            </w:pPr>
          </w:p>
        </w:tc>
        <w:tc>
          <w:tcPr>
            <w:tcW w:w="1634" w:type="dxa"/>
            <w:vMerge/>
            <w:vAlign w:val="center"/>
          </w:tcPr>
          <w:p w14:paraId="033755EF"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7CE861B3"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《采购需求方案》</w:t>
            </w:r>
          </w:p>
        </w:tc>
      </w:tr>
      <w:tr w:rsidR="005142F5" w:rsidRPr="00985033" w14:paraId="6526A61F" w14:textId="77777777" w:rsidTr="005142F5">
        <w:trPr>
          <w:trHeight w:val="340"/>
        </w:trPr>
        <w:tc>
          <w:tcPr>
            <w:tcW w:w="1117" w:type="dxa"/>
            <w:vMerge/>
            <w:vAlign w:val="center"/>
          </w:tcPr>
          <w:p w14:paraId="63552BA8" w14:textId="77777777" w:rsidR="005142F5" w:rsidRPr="00985033" w:rsidRDefault="005142F5" w:rsidP="005142F5">
            <w:pPr>
              <w:jc w:val="center"/>
              <w:rPr>
                <w:szCs w:val="21"/>
              </w:rPr>
            </w:pPr>
          </w:p>
        </w:tc>
        <w:tc>
          <w:tcPr>
            <w:tcW w:w="1634" w:type="dxa"/>
            <w:vMerge/>
            <w:vAlign w:val="center"/>
          </w:tcPr>
          <w:p w14:paraId="5578AC9D"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1182E20C"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《采购需求方案评审报告》</w:t>
            </w:r>
          </w:p>
        </w:tc>
      </w:tr>
      <w:tr w:rsidR="005142F5" w:rsidRPr="00985033" w14:paraId="220864C8" w14:textId="77777777" w:rsidTr="005142F5">
        <w:trPr>
          <w:trHeight w:val="340"/>
        </w:trPr>
        <w:tc>
          <w:tcPr>
            <w:tcW w:w="1117" w:type="dxa"/>
            <w:vMerge/>
            <w:vAlign w:val="center"/>
          </w:tcPr>
          <w:p w14:paraId="16BFE335" w14:textId="77777777" w:rsidR="005142F5" w:rsidRPr="00985033" w:rsidRDefault="005142F5" w:rsidP="005142F5">
            <w:pPr>
              <w:jc w:val="center"/>
              <w:rPr>
                <w:szCs w:val="21"/>
              </w:rPr>
            </w:pPr>
          </w:p>
        </w:tc>
        <w:tc>
          <w:tcPr>
            <w:tcW w:w="1634" w:type="dxa"/>
            <w:vMerge w:val="restart"/>
            <w:vAlign w:val="center"/>
          </w:tcPr>
          <w:p w14:paraId="6862CE08" w14:textId="77777777" w:rsidR="005142F5" w:rsidRPr="00985033" w:rsidRDefault="005142F5" w:rsidP="005142F5">
            <w:pPr>
              <w:pStyle w:val="13"/>
              <w:spacing w:line="240" w:lineRule="auto"/>
              <w:ind w:firstLineChars="0" w:firstLine="0"/>
              <w:jc w:val="center"/>
              <w:rPr>
                <w:sz w:val="21"/>
                <w:szCs w:val="21"/>
                <w:lang w:bidi="zh-CN"/>
              </w:rPr>
            </w:pPr>
            <w:r w:rsidRPr="00985033">
              <w:rPr>
                <w:sz w:val="21"/>
                <w:szCs w:val="21"/>
                <w:lang w:bidi="zh-CN"/>
              </w:rPr>
              <w:t>谈判与合同签署</w:t>
            </w:r>
          </w:p>
        </w:tc>
        <w:tc>
          <w:tcPr>
            <w:tcW w:w="5771" w:type="dxa"/>
            <w:gridSpan w:val="2"/>
            <w:vAlign w:val="center"/>
          </w:tcPr>
          <w:p w14:paraId="3186F8ED"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《确认谈判备忘录》</w:t>
            </w:r>
          </w:p>
        </w:tc>
      </w:tr>
      <w:tr w:rsidR="005142F5" w:rsidRPr="00985033" w14:paraId="18CF8023" w14:textId="77777777" w:rsidTr="005142F5">
        <w:trPr>
          <w:trHeight w:val="340"/>
        </w:trPr>
        <w:tc>
          <w:tcPr>
            <w:tcW w:w="1117" w:type="dxa"/>
            <w:vMerge/>
            <w:vAlign w:val="center"/>
          </w:tcPr>
          <w:p w14:paraId="370F077A" w14:textId="77777777" w:rsidR="005142F5" w:rsidRPr="00985033" w:rsidRDefault="005142F5" w:rsidP="005142F5">
            <w:pPr>
              <w:jc w:val="center"/>
              <w:rPr>
                <w:szCs w:val="21"/>
              </w:rPr>
            </w:pPr>
          </w:p>
        </w:tc>
        <w:tc>
          <w:tcPr>
            <w:tcW w:w="1634" w:type="dxa"/>
            <w:vMerge/>
            <w:vAlign w:val="center"/>
          </w:tcPr>
          <w:p w14:paraId="569E9D59"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1E074ADB"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《项目合同》</w:t>
            </w:r>
          </w:p>
        </w:tc>
      </w:tr>
      <w:tr w:rsidR="005142F5" w:rsidRPr="00985033" w14:paraId="3E35E0A9" w14:textId="77777777" w:rsidTr="005142F5">
        <w:trPr>
          <w:trHeight w:val="340"/>
        </w:trPr>
        <w:tc>
          <w:tcPr>
            <w:tcW w:w="1117" w:type="dxa"/>
            <w:vMerge/>
            <w:vAlign w:val="center"/>
          </w:tcPr>
          <w:p w14:paraId="6B738A9D" w14:textId="77777777" w:rsidR="005142F5" w:rsidRPr="00985033" w:rsidRDefault="005142F5" w:rsidP="005142F5">
            <w:pPr>
              <w:jc w:val="center"/>
              <w:rPr>
                <w:szCs w:val="21"/>
              </w:rPr>
            </w:pPr>
          </w:p>
        </w:tc>
        <w:tc>
          <w:tcPr>
            <w:tcW w:w="1634" w:type="dxa"/>
            <w:vMerge/>
            <w:vAlign w:val="center"/>
          </w:tcPr>
          <w:p w14:paraId="4A99A950"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04013AB5"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《承继项目合同补充合同》</w:t>
            </w:r>
          </w:p>
        </w:tc>
      </w:tr>
      <w:tr w:rsidR="005142F5" w:rsidRPr="00985033" w14:paraId="7A211BA8" w14:textId="77777777" w:rsidTr="005142F5">
        <w:trPr>
          <w:trHeight w:val="340"/>
        </w:trPr>
        <w:tc>
          <w:tcPr>
            <w:tcW w:w="1117" w:type="dxa"/>
            <w:vMerge w:val="restart"/>
            <w:vAlign w:val="center"/>
          </w:tcPr>
          <w:p w14:paraId="12548F56" w14:textId="77777777" w:rsidR="00985033" w:rsidRPr="00985033" w:rsidRDefault="00985033" w:rsidP="005142F5">
            <w:pPr>
              <w:pStyle w:val="TableParagraph"/>
              <w:spacing w:before="174"/>
              <w:jc w:val="center"/>
              <w:rPr>
                <w:sz w:val="21"/>
                <w:szCs w:val="21"/>
              </w:rPr>
            </w:pPr>
            <w:r w:rsidRPr="00985033">
              <w:rPr>
                <w:sz w:val="21"/>
                <w:szCs w:val="21"/>
              </w:rPr>
              <w:t>项目执行</w:t>
            </w:r>
          </w:p>
        </w:tc>
        <w:tc>
          <w:tcPr>
            <w:tcW w:w="1634" w:type="dxa"/>
            <w:vAlign w:val="center"/>
          </w:tcPr>
          <w:p w14:paraId="43DCFBF0"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项目公司设立</w:t>
            </w:r>
          </w:p>
        </w:tc>
        <w:tc>
          <w:tcPr>
            <w:tcW w:w="5771" w:type="dxa"/>
            <w:gridSpan w:val="2"/>
            <w:vAlign w:val="center"/>
          </w:tcPr>
          <w:p w14:paraId="6BF3917B" w14:textId="0F465E5B"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项目公司设立相关文件，包括股权协议、章程、组织架构及批复等</w:t>
            </w:r>
          </w:p>
        </w:tc>
      </w:tr>
      <w:tr w:rsidR="005142F5" w:rsidRPr="00985033" w14:paraId="7FE101A3" w14:textId="77777777" w:rsidTr="005142F5">
        <w:trPr>
          <w:trHeight w:val="340"/>
        </w:trPr>
        <w:tc>
          <w:tcPr>
            <w:tcW w:w="1117" w:type="dxa"/>
            <w:vMerge/>
            <w:vAlign w:val="center"/>
          </w:tcPr>
          <w:p w14:paraId="632F0586" w14:textId="77777777" w:rsidR="005142F5" w:rsidRPr="00985033" w:rsidRDefault="005142F5" w:rsidP="005142F5">
            <w:pPr>
              <w:jc w:val="center"/>
              <w:rPr>
                <w:szCs w:val="21"/>
              </w:rPr>
            </w:pPr>
          </w:p>
        </w:tc>
        <w:tc>
          <w:tcPr>
            <w:tcW w:w="1634" w:type="dxa"/>
            <w:vMerge w:val="restart"/>
            <w:vAlign w:val="center"/>
          </w:tcPr>
          <w:p w14:paraId="2CD30E4C" w14:textId="77777777" w:rsidR="005142F5" w:rsidRPr="00985033" w:rsidRDefault="005142F5" w:rsidP="005142F5">
            <w:pPr>
              <w:pStyle w:val="13"/>
              <w:spacing w:line="240" w:lineRule="auto"/>
              <w:ind w:firstLineChars="0" w:firstLine="0"/>
              <w:jc w:val="center"/>
              <w:rPr>
                <w:sz w:val="21"/>
                <w:szCs w:val="21"/>
                <w:lang w:bidi="zh-CN"/>
              </w:rPr>
            </w:pPr>
            <w:r w:rsidRPr="00985033">
              <w:rPr>
                <w:sz w:val="21"/>
                <w:szCs w:val="21"/>
                <w:lang w:bidi="zh-CN"/>
              </w:rPr>
              <w:t>融资管理</w:t>
            </w:r>
          </w:p>
        </w:tc>
        <w:tc>
          <w:tcPr>
            <w:tcW w:w="5771" w:type="dxa"/>
            <w:gridSpan w:val="2"/>
            <w:vAlign w:val="center"/>
          </w:tcPr>
          <w:p w14:paraId="37D84BCE"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《融资方案》</w:t>
            </w:r>
          </w:p>
        </w:tc>
      </w:tr>
      <w:tr w:rsidR="005142F5" w:rsidRPr="00985033" w14:paraId="6E9E4BC5" w14:textId="77777777" w:rsidTr="005142F5">
        <w:trPr>
          <w:trHeight w:val="340"/>
        </w:trPr>
        <w:tc>
          <w:tcPr>
            <w:tcW w:w="1117" w:type="dxa"/>
            <w:vMerge/>
            <w:vAlign w:val="center"/>
          </w:tcPr>
          <w:p w14:paraId="7608C851" w14:textId="77777777" w:rsidR="005142F5" w:rsidRPr="00985033" w:rsidRDefault="005142F5" w:rsidP="005142F5">
            <w:pPr>
              <w:jc w:val="center"/>
              <w:rPr>
                <w:szCs w:val="21"/>
              </w:rPr>
            </w:pPr>
          </w:p>
        </w:tc>
        <w:tc>
          <w:tcPr>
            <w:tcW w:w="1634" w:type="dxa"/>
            <w:vMerge/>
            <w:vAlign w:val="center"/>
          </w:tcPr>
          <w:p w14:paraId="49F9C03D"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0D50C4E5"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《履约保函》</w:t>
            </w:r>
          </w:p>
        </w:tc>
      </w:tr>
      <w:tr w:rsidR="005142F5" w:rsidRPr="00985033" w14:paraId="07D6F4AA" w14:textId="77777777" w:rsidTr="005142F5">
        <w:trPr>
          <w:trHeight w:val="340"/>
        </w:trPr>
        <w:tc>
          <w:tcPr>
            <w:tcW w:w="1117" w:type="dxa"/>
            <w:vMerge/>
            <w:vAlign w:val="center"/>
          </w:tcPr>
          <w:p w14:paraId="49CDC8D1" w14:textId="77777777" w:rsidR="005142F5" w:rsidRPr="00985033" w:rsidRDefault="005142F5" w:rsidP="005142F5">
            <w:pPr>
              <w:jc w:val="center"/>
              <w:rPr>
                <w:szCs w:val="21"/>
              </w:rPr>
            </w:pPr>
          </w:p>
        </w:tc>
        <w:tc>
          <w:tcPr>
            <w:tcW w:w="1634" w:type="dxa"/>
            <w:vMerge w:val="restart"/>
            <w:vAlign w:val="center"/>
          </w:tcPr>
          <w:p w14:paraId="1D81B285" w14:textId="77777777" w:rsidR="005142F5" w:rsidRPr="00985033" w:rsidRDefault="005142F5" w:rsidP="005142F5">
            <w:pPr>
              <w:pStyle w:val="13"/>
              <w:spacing w:line="240" w:lineRule="auto"/>
              <w:ind w:firstLineChars="0" w:firstLine="0"/>
              <w:jc w:val="center"/>
              <w:rPr>
                <w:sz w:val="21"/>
                <w:szCs w:val="21"/>
                <w:lang w:bidi="zh-CN"/>
              </w:rPr>
            </w:pPr>
            <w:r w:rsidRPr="00985033">
              <w:rPr>
                <w:sz w:val="21"/>
                <w:szCs w:val="21"/>
                <w:lang w:bidi="zh-CN"/>
              </w:rPr>
              <w:t>绩效监测与支付</w:t>
            </w:r>
          </w:p>
        </w:tc>
        <w:tc>
          <w:tcPr>
            <w:tcW w:w="5771" w:type="dxa"/>
            <w:gridSpan w:val="2"/>
            <w:vAlign w:val="center"/>
          </w:tcPr>
          <w:p w14:paraId="13AA504A"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《项目产出绩效指标季/年报》</w:t>
            </w:r>
          </w:p>
        </w:tc>
      </w:tr>
      <w:tr w:rsidR="005142F5" w:rsidRPr="00985033" w14:paraId="289EE254" w14:textId="77777777" w:rsidTr="005142F5">
        <w:trPr>
          <w:trHeight w:val="340"/>
        </w:trPr>
        <w:tc>
          <w:tcPr>
            <w:tcW w:w="1117" w:type="dxa"/>
            <w:vMerge/>
            <w:vAlign w:val="center"/>
          </w:tcPr>
          <w:p w14:paraId="5C74BFB3" w14:textId="77777777" w:rsidR="005142F5" w:rsidRPr="00985033" w:rsidRDefault="005142F5" w:rsidP="005142F5">
            <w:pPr>
              <w:jc w:val="center"/>
              <w:rPr>
                <w:szCs w:val="21"/>
              </w:rPr>
            </w:pPr>
          </w:p>
        </w:tc>
        <w:tc>
          <w:tcPr>
            <w:tcW w:w="1634" w:type="dxa"/>
            <w:vMerge/>
            <w:vAlign w:val="center"/>
          </w:tcPr>
          <w:p w14:paraId="05EB1ABC"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276D5692"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《项目产出说明》</w:t>
            </w:r>
          </w:p>
        </w:tc>
      </w:tr>
      <w:tr w:rsidR="005142F5" w:rsidRPr="00985033" w14:paraId="19C2CB53" w14:textId="77777777" w:rsidTr="005142F5">
        <w:trPr>
          <w:trHeight w:val="340"/>
        </w:trPr>
        <w:tc>
          <w:tcPr>
            <w:tcW w:w="1117" w:type="dxa"/>
            <w:vMerge/>
            <w:vAlign w:val="center"/>
          </w:tcPr>
          <w:p w14:paraId="725D6856" w14:textId="77777777" w:rsidR="005142F5" w:rsidRPr="00985033" w:rsidRDefault="005142F5" w:rsidP="005142F5">
            <w:pPr>
              <w:jc w:val="center"/>
              <w:rPr>
                <w:szCs w:val="21"/>
              </w:rPr>
            </w:pPr>
          </w:p>
        </w:tc>
        <w:tc>
          <w:tcPr>
            <w:tcW w:w="1634" w:type="dxa"/>
            <w:vMerge/>
            <w:vAlign w:val="center"/>
          </w:tcPr>
          <w:p w14:paraId="04789173" w14:textId="77777777" w:rsidR="005142F5" w:rsidRPr="00985033" w:rsidRDefault="005142F5" w:rsidP="005142F5">
            <w:pPr>
              <w:pStyle w:val="13"/>
              <w:spacing w:line="240" w:lineRule="auto"/>
              <w:ind w:firstLineChars="0" w:firstLine="0"/>
              <w:jc w:val="center"/>
              <w:rPr>
                <w:sz w:val="21"/>
                <w:szCs w:val="21"/>
                <w:lang w:bidi="zh-CN"/>
              </w:rPr>
            </w:pPr>
          </w:p>
        </w:tc>
        <w:tc>
          <w:tcPr>
            <w:tcW w:w="5771" w:type="dxa"/>
            <w:gridSpan w:val="2"/>
            <w:vAlign w:val="center"/>
          </w:tcPr>
          <w:p w14:paraId="207092F7" w14:textId="77777777" w:rsidR="005142F5" w:rsidRPr="00985033" w:rsidRDefault="005142F5" w:rsidP="005142F5">
            <w:pPr>
              <w:pStyle w:val="13"/>
              <w:spacing w:line="240" w:lineRule="auto"/>
              <w:ind w:firstLineChars="0" w:firstLine="0"/>
              <w:rPr>
                <w:sz w:val="21"/>
                <w:szCs w:val="21"/>
                <w:lang w:bidi="zh-CN"/>
              </w:rPr>
            </w:pPr>
            <w:r w:rsidRPr="00985033">
              <w:rPr>
                <w:sz w:val="21"/>
                <w:szCs w:val="21"/>
                <w:lang w:bidi="zh-CN"/>
              </w:rPr>
              <w:t>《修订项目合同申请》</w:t>
            </w:r>
          </w:p>
        </w:tc>
      </w:tr>
      <w:tr w:rsidR="00985033" w:rsidRPr="00985033" w14:paraId="3C01F0C8" w14:textId="77777777" w:rsidTr="005142F5">
        <w:trPr>
          <w:trHeight w:val="340"/>
        </w:trPr>
        <w:tc>
          <w:tcPr>
            <w:tcW w:w="1117" w:type="dxa"/>
            <w:vMerge/>
            <w:vAlign w:val="center"/>
          </w:tcPr>
          <w:p w14:paraId="60FEEE77" w14:textId="77777777" w:rsidR="00985033" w:rsidRPr="00985033" w:rsidRDefault="00985033" w:rsidP="005142F5">
            <w:pPr>
              <w:jc w:val="center"/>
              <w:rPr>
                <w:szCs w:val="21"/>
              </w:rPr>
            </w:pPr>
          </w:p>
        </w:tc>
        <w:tc>
          <w:tcPr>
            <w:tcW w:w="1634" w:type="dxa"/>
            <w:vAlign w:val="center"/>
          </w:tcPr>
          <w:p w14:paraId="2F0F37BA"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中期评估</w:t>
            </w:r>
          </w:p>
        </w:tc>
        <w:tc>
          <w:tcPr>
            <w:tcW w:w="5771" w:type="dxa"/>
            <w:gridSpan w:val="2"/>
            <w:vAlign w:val="center"/>
          </w:tcPr>
          <w:p w14:paraId="75D9B501" w14:textId="77777777"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《项目中期评估》</w:t>
            </w:r>
          </w:p>
        </w:tc>
      </w:tr>
      <w:tr w:rsidR="005142F5" w:rsidRPr="00985033" w14:paraId="5D228658" w14:textId="77777777" w:rsidTr="005142F5">
        <w:trPr>
          <w:trHeight w:val="340"/>
        </w:trPr>
        <w:tc>
          <w:tcPr>
            <w:tcW w:w="1117" w:type="dxa"/>
            <w:vMerge w:val="restart"/>
            <w:vAlign w:val="center"/>
          </w:tcPr>
          <w:p w14:paraId="71530B03" w14:textId="77777777" w:rsidR="00985033" w:rsidRPr="00985033" w:rsidRDefault="00985033" w:rsidP="005142F5">
            <w:pPr>
              <w:pStyle w:val="TableParagraph"/>
              <w:jc w:val="center"/>
              <w:rPr>
                <w:sz w:val="21"/>
                <w:szCs w:val="21"/>
              </w:rPr>
            </w:pPr>
            <w:r w:rsidRPr="00985033">
              <w:rPr>
                <w:sz w:val="21"/>
                <w:szCs w:val="21"/>
              </w:rPr>
              <w:t>项目移交</w:t>
            </w:r>
          </w:p>
        </w:tc>
        <w:tc>
          <w:tcPr>
            <w:tcW w:w="1634" w:type="dxa"/>
            <w:vAlign w:val="center"/>
          </w:tcPr>
          <w:p w14:paraId="19DA6628"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移交准备</w:t>
            </w:r>
          </w:p>
        </w:tc>
        <w:tc>
          <w:tcPr>
            <w:tcW w:w="5771" w:type="dxa"/>
            <w:gridSpan w:val="2"/>
            <w:vAlign w:val="center"/>
          </w:tcPr>
          <w:p w14:paraId="6A8DCDF1" w14:textId="77777777"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《移交方案》</w:t>
            </w:r>
          </w:p>
        </w:tc>
      </w:tr>
      <w:tr w:rsidR="00985033" w:rsidRPr="00985033" w14:paraId="3940CB74" w14:textId="77777777" w:rsidTr="005142F5">
        <w:trPr>
          <w:trHeight w:val="340"/>
        </w:trPr>
        <w:tc>
          <w:tcPr>
            <w:tcW w:w="1117" w:type="dxa"/>
            <w:vMerge/>
            <w:vAlign w:val="center"/>
          </w:tcPr>
          <w:p w14:paraId="1088B81C" w14:textId="77777777" w:rsidR="00985033" w:rsidRPr="00985033" w:rsidRDefault="00985033" w:rsidP="005142F5">
            <w:pPr>
              <w:jc w:val="center"/>
              <w:rPr>
                <w:szCs w:val="21"/>
              </w:rPr>
            </w:pPr>
          </w:p>
        </w:tc>
        <w:tc>
          <w:tcPr>
            <w:tcW w:w="1634" w:type="dxa"/>
            <w:vAlign w:val="center"/>
          </w:tcPr>
          <w:p w14:paraId="680BD15A"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资产清查</w:t>
            </w:r>
          </w:p>
        </w:tc>
        <w:tc>
          <w:tcPr>
            <w:tcW w:w="5771" w:type="dxa"/>
            <w:gridSpan w:val="2"/>
            <w:vAlign w:val="center"/>
          </w:tcPr>
          <w:p w14:paraId="286B58F7" w14:textId="77777777"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《资产清查报告》</w:t>
            </w:r>
          </w:p>
        </w:tc>
      </w:tr>
      <w:tr w:rsidR="00985033" w:rsidRPr="00985033" w14:paraId="209ED615" w14:textId="77777777" w:rsidTr="005142F5">
        <w:trPr>
          <w:trHeight w:val="340"/>
        </w:trPr>
        <w:tc>
          <w:tcPr>
            <w:tcW w:w="1117" w:type="dxa"/>
            <w:vMerge/>
            <w:vAlign w:val="center"/>
          </w:tcPr>
          <w:p w14:paraId="05CA052C" w14:textId="77777777" w:rsidR="00985033" w:rsidRPr="00985033" w:rsidRDefault="00985033" w:rsidP="005142F5">
            <w:pPr>
              <w:jc w:val="center"/>
              <w:rPr>
                <w:szCs w:val="21"/>
              </w:rPr>
            </w:pPr>
          </w:p>
        </w:tc>
        <w:tc>
          <w:tcPr>
            <w:tcW w:w="1634" w:type="dxa"/>
            <w:vAlign w:val="center"/>
          </w:tcPr>
          <w:p w14:paraId="32352F45"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资产评估</w:t>
            </w:r>
          </w:p>
        </w:tc>
        <w:tc>
          <w:tcPr>
            <w:tcW w:w="5771" w:type="dxa"/>
            <w:gridSpan w:val="2"/>
            <w:vAlign w:val="center"/>
          </w:tcPr>
          <w:p w14:paraId="3D632C14" w14:textId="77777777"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《资产评估报告》</w:t>
            </w:r>
          </w:p>
        </w:tc>
      </w:tr>
      <w:tr w:rsidR="005142F5" w:rsidRPr="00985033" w14:paraId="38C9168A" w14:textId="77777777" w:rsidTr="005142F5">
        <w:trPr>
          <w:trHeight w:val="340"/>
        </w:trPr>
        <w:tc>
          <w:tcPr>
            <w:tcW w:w="1117" w:type="dxa"/>
            <w:vAlign w:val="center"/>
          </w:tcPr>
          <w:p w14:paraId="08879CCE" w14:textId="77777777" w:rsidR="00985033" w:rsidRPr="00985033" w:rsidRDefault="00985033" w:rsidP="005142F5">
            <w:pPr>
              <w:pStyle w:val="TableParagraph"/>
              <w:spacing w:before="30"/>
              <w:ind w:left="137"/>
              <w:jc w:val="center"/>
              <w:rPr>
                <w:sz w:val="21"/>
                <w:szCs w:val="21"/>
              </w:rPr>
            </w:pPr>
            <w:r w:rsidRPr="00985033">
              <w:rPr>
                <w:sz w:val="21"/>
                <w:szCs w:val="21"/>
              </w:rPr>
              <w:t>各阶段</w:t>
            </w:r>
          </w:p>
        </w:tc>
        <w:tc>
          <w:tcPr>
            <w:tcW w:w="1634" w:type="dxa"/>
            <w:vAlign w:val="center"/>
          </w:tcPr>
          <w:p w14:paraId="55972EA7" w14:textId="77777777" w:rsidR="00985033" w:rsidRPr="00985033" w:rsidRDefault="00985033" w:rsidP="005142F5">
            <w:pPr>
              <w:pStyle w:val="13"/>
              <w:spacing w:line="240" w:lineRule="auto"/>
              <w:ind w:firstLineChars="0" w:firstLine="0"/>
              <w:jc w:val="center"/>
              <w:rPr>
                <w:sz w:val="21"/>
                <w:szCs w:val="21"/>
                <w:lang w:bidi="zh-CN"/>
              </w:rPr>
            </w:pPr>
            <w:r w:rsidRPr="00985033">
              <w:rPr>
                <w:sz w:val="21"/>
                <w:szCs w:val="21"/>
                <w:lang w:bidi="zh-CN"/>
              </w:rPr>
              <w:t>其他资料</w:t>
            </w:r>
          </w:p>
        </w:tc>
        <w:tc>
          <w:tcPr>
            <w:tcW w:w="5771" w:type="dxa"/>
            <w:gridSpan w:val="2"/>
            <w:vAlign w:val="center"/>
          </w:tcPr>
          <w:p w14:paraId="23E58FC4" w14:textId="77777777" w:rsidR="00985033" w:rsidRPr="00985033" w:rsidRDefault="00985033" w:rsidP="005142F5">
            <w:pPr>
              <w:pStyle w:val="13"/>
              <w:spacing w:line="240" w:lineRule="auto"/>
              <w:ind w:firstLineChars="0" w:firstLine="0"/>
              <w:rPr>
                <w:sz w:val="21"/>
                <w:szCs w:val="21"/>
                <w:lang w:bidi="zh-CN"/>
              </w:rPr>
            </w:pPr>
            <w:r w:rsidRPr="00985033">
              <w:rPr>
                <w:sz w:val="21"/>
                <w:szCs w:val="21"/>
                <w:lang w:bidi="zh-CN"/>
              </w:rPr>
              <w:t>与项目相关的管理、投资、决策、评估、审计相关资料</w:t>
            </w:r>
          </w:p>
        </w:tc>
      </w:tr>
    </w:tbl>
    <w:p w14:paraId="4238B2E4" w14:textId="77777777" w:rsidR="005142F5" w:rsidRDefault="005142F5" w:rsidP="005142F5">
      <w:pPr>
        <w:pStyle w:val="13"/>
      </w:pPr>
      <w:r>
        <w:rPr>
          <w:rFonts w:hint="eastAsia"/>
        </w:rPr>
        <w:t>（二）资料收集与数据填报</w:t>
      </w:r>
    </w:p>
    <w:p w14:paraId="1433B3FD" w14:textId="77777777" w:rsidR="005142F5" w:rsidRDefault="005142F5" w:rsidP="005142F5">
      <w:pPr>
        <w:pStyle w:val="13"/>
      </w:pPr>
      <w:r>
        <w:rPr>
          <w:rFonts w:hint="eastAsia"/>
        </w:rPr>
        <w:t>评估机构开展绩效评价业务，可以根据评价对象的具体情况向项目实施和运行机构、监管部门等收集相关资料。为了便于对数据进行梳理与汇总，可以设计相关表格，</w:t>
      </w:r>
      <w:proofErr w:type="gramStart"/>
      <w:r>
        <w:rPr>
          <w:rFonts w:hint="eastAsia"/>
        </w:rPr>
        <w:t>并协</w:t>
      </w:r>
      <w:r>
        <w:t xml:space="preserve"> 助项目</w:t>
      </w:r>
      <w:proofErr w:type="gramEnd"/>
      <w:r>
        <w:t>实施机构和运行机构、项目监管单位进行填写。</w:t>
      </w:r>
    </w:p>
    <w:p w14:paraId="1E8CBE9D" w14:textId="77777777" w:rsidR="005142F5" w:rsidRDefault="005142F5" w:rsidP="005142F5">
      <w:pPr>
        <w:pStyle w:val="13"/>
      </w:pPr>
      <w:r>
        <w:rPr>
          <w:rFonts w:hint="eastAsia"/>
        </w:rPr>
        <w:t>（三）实地调研</w:t>
      </w:r>
    </w:p>
    <w:p w14:paraId="18794E60" w14:textId="77777777" w:rsidR="005142F5" w:rsidRDefault="005142F5" w:rsidP="005142F5">
      <w:pPr>
        <w:pStyle w:val="13"/>
      </w:pPr>
      <w:r>
        <w:t>1、实地调研通常包括访谈和现场勘查。</w:t>
      </w:r>
    </w:p>
    <w:p w14:paraId="5A2EDC5E" w14:textId="77777777" w:rsidR="005142F5" w:rsidRDefault="005142F5" w:rsidP="005142F5">
      <w:pPr>
        <w:pStyle w:val="13"/>
      </w:pPr>
      <w:r>
        <w:t>2、评估机构需要从项目利益相关方中确定访谈对象，包括项目的管理人员、实施人员、项目受益者以及参与项目立项、决策、实施、管理的行业专家。根据调查的内容范</w:t>
      </w:r>
      <w:r>
        <w:rPr>
          <w:rFonts w:hint="eastAsia"/>
        </w:rPr>
        <w:t>围和主要问题，设计访谈提纲并开展访谈，访谈内容通常为开放式提问，问题一般简明扼要、具体直接。</w:t>
      </w:r>
    </w:p>
    <w:p w14:paraId="77FE1073" w14:textId="52C8F816" w:rsidR="007A3C56" w:rsidRPr="00985033" w:rsidRDefault="005142F5" w:rsidP="005142F5">
      <w:pPr>
        <w:pStyle w:val="13"/>
      </w:pPr>
      <w:r>
        <w:t>3、现场勘查是指通过询问、核对、勘查、检查等方法进行调查，获取绩效评价业务需要的基础资料。</w:t>
      </w:r>
    </w:p>
    <w:p w14:paraId="063463A6" w14:textId="77777777" w:rsidR="005142F5" w:rsidRDefault="005142F5" w:rsidP="005142F5">
      <w:pPr>
        <w:pStyle w:val="13"/>
      </w:pPr>
      <w:r>
        <w:t>4、调研结束后需要对调研记录进行整理与分析，调研记录可以作为绩效评价报告附件和工作底稿。</w:t>
      </w:r>
    </w:p>
    <w:p w14:paraId="22DF8E74" w14:textId="77777777" w:rsidR="005142F5" w:rsidRDefault="005142F5" w:rsidP="005142F5">
      <w:pPr>
        <w:pStyle w:val="13"/>
      </w:pPr>
      <w:r>
        <w:rPr>
          <w:rFonts w:hint="eastAsia"/>
        </w:rPr>
        <w:t>（四）座谈会</w:t>
      </w:r>
    </w:p>
    <w:p w14:paraId="7568C5FD" w14:textId="77777777" w:rsidR="005142F5" w:rsidRDefault="005142F5" w:rsidP="005142F5">
      <w:pPr>
        <w:pStyle w:val="13"/>
      </w:pPr>
      <w:r>
        <w:t>1、选择参与或者熟悉项目的立项、决策、实施、管理等人员为座谈会邀请对象，确保参与人员能够为绩效评价提供有效信息。</w:t>
      </w:r>
    </w:p>
    <w:p w14:paraId="4B7A0CCD" w14:textId="67C5B589" w:rsidR="005142F5" w:rsidRDefault="005142F5" w:rsidP="005142F5">
      <w:pPr>
        <w:pStyle w:val="13"/>
      </w:pPr>
      <w:r>
        <w:t>2、注意座谈会参与者对问题答案是否达成共识。如果没有达成共识，需作进一步核</w:t>
      </w:r>
      <w:r>
        <w:rPr>
          <w:rFonts w:hint="eastAsia"/>
        </w:rPr>
        <w:t>实。</w:t>
      </w:r>
    </w:p>
    <w:p w14:paraId="095C0FC9" w14:textId="26D22815" w:rsidR="005142F5" w:rsidRDefault="005142F5" w:rsidP="005142F5">
      <w:pPr>
        <w:pStyle w:val="13"/>
      </w:pPr>
      <w:r>
        <w:t>3、座谈会结束后需要进行会议记录整理与分析，会议记录可以作为绩效评价报告</w:t>
      </w:r>
      <w:r>
        <w:rPr>
          <w:rFonts w:hint="eastAsia"/>
        </w:rPr>
        <w:t>附件和工作底稿。</w:t>
      </w:r>
    </w:p>
    <w:p w14:paraId="2BD64E1D" w14:textId="77777777" w:rsidR="005142F5" w:rsidRDefault="005142F5" w:rsidP="005142F5">
      <w:pPr>
        <w:pStyle w:val="13"/>
      </w:pPr>
      <w:r>
        <w:rPr>
          <w:rFonts w:hint="eastAsia"/>
        </w:rPr>
        <w:t>（五）问卷调查</w:t>
      </w:r>
    </w:p>
    <w:p w14:paraId="577F7BEF" w14:textId="77777777" w:rsidR="005142F5" w:rsidRDefault="005142F5" w:rsidP="005142F5">
      <w:pPr>
        <w:pStyle w:val="13"/>
      </w:pPr>
      <w:r>
        <w:t>1、问卷设计通常遵循客观性、合理性、逻辑性、明确性等原则，尽量避免主观臆断或者人为导向，问卷数据便于整理与分析。</w:t>
      </w:r>
    </w:p>
    <w:p w14:paraId="50C27204" w14:textId="0DA20115" w:rsidR="005142F5" w:rsidRDefault="005142F5" w:rsidP="005142F5">
      <w:pPr>
        <w:pStyle w:val="13"/>
      </w:pPr>
      <w:r>
        <w:t>2、根据项目具体情况，针对项目涉及的各相关当事方，合理选择问卷发放的范</w:t>
      </w:r>
      <w:r>
        <w:lastRenderedPageBreak/>
        <w:t>围</w:t>
      </w:r>
      <w:r w:rsidR="003068F8">
        <w:t>，</w:t>
      </w:r>
      <w:r>
        <w:t>采用科学合理的方法确定样本量和问卷最低回收率要求等。</w:t>
      </w:r>
    </w:p>
    <w:p w14:paraId="4E9CD666" w14:textId="77777777" w:rsidR="005142F5" w:rsidRDefault="005142F5" w:rsidP="005142F5">
      <w:pPr>
        <w:pStyle w:val="13"/>
      </w:pPr>
      <w:r>
        <w:t>3、根据项目具体情况进行抽样，抽样方法通常包括分层抽样、非等概率抽样、多阶抽样、整群抽样、系统抽样。</w:t>
      </w:r>
    </w:p>
    <w:p w14:paraId="71D9E3D0" w14:textId="77777777" w:rsidR="005142F5" w:rsidRDefault="005142F5" w:rsidP="005142F5">
      <w:pPr>
        <w:pStyle w:val="13"/>
      </w:pPr>
      <w:r>
        <w:t>4、问卷调查结束后需要对问卷调查结果进行整理和分析，问卷调查的格式、汇总信息可以作为绩效评价报告附件和工作底稿。</w:t>
      </w:r>
    </w:p>
    <w:p w14:paraId="4F059DD2" w14:textId="77777777" w:rsidR="005142F5" w:rsidRDefault="005142F5" w:rsidP="005142F5">
      <w:pPr>
        <w:pStyle w:val="13"/>
      </w:pPr>
      <w:r>
        <w:rPr>
          <w:rFonts w:hint="eastAsia"/>
        </w:rPr>
        <w:t>（六）数据整理和分析</w:t>
      </w:r>
    </w:p>
    <w:p w14:paraId="2584537D" w14:textId="77777777" w:rsidR="005142F5" w:rsidRDefault="005142F5" w:rsidP="005142F5">
      <w:pPr>
        <w:pStyle w:val="13"/>
      </w:pPr>
      <w:r>
        <w:t>1、数据整理</w:t>
      </w:r>
    </w:p>
    <w:p w14:paraId="60839FDA" w14:textId="675862E7" w:rsidR="005142F5" w:rsidRDefault="005142F5" w:rsidP="005142F5">
      <w:pPr>
        <w:pStyle w:val="13"/>
      </w:pPr>
      <w:r>
        <w:rPr>
          <w:rFonts w:hint="eastAsia"/>
        </w:rPr>
        <w:t>（</w:t>
      </w:r>
      <w:r>
        <w:t>1）数据分类。根据项目各项指标的要求，对数据进行分类。</w:t>
      </w:r>
    </w:p>
    <w:p w14:paraId="349845F0" w14:textId="44D71760" w:rsidR="005142F5" w:rsidRDefault="005142F5" w:rsidP="005142F5">
      <w:pPr>
        <w:pStyle w:val="13"/>
      </w:pPr>
      <w:r>
        <w:rPr>
          <w:rFonts w:hint="eastAsia"/>
        </w:rPr>
        <w:t>（</w:t>
      </w:r>
      <w:r>
        <w:t>2）数据选取。从不同来源收集的资料中选取出同一绩效评价指标的数据。</w:t>
      </w:r>
    </w:p>
    <w:p w14:paraId="50BFD690" w14:textId="0AA8A774" w:rsidR="005142F5" w:rsidRDefault="005142F5" w:rsidP="005142F5">
      <w:pPr>
        <w:pStyle w:val="13"/>
      </w:pPr>
      <w:r>
        <w:rPr>
          <w:rFonts w:hint="eastAsia"/>
        </w:rPr>
        <w:t>（</w:t>
      </w:r>
      <w:r>
        <w:t>3）数据验证。对将不同来源的数据进行交叉验证，剔除错误数据或者无效数据。</w:t>
      </w:r>
    </w:p>
    <w:p w14:paraId="6A972C00" w14:textId="032CBDFF" w:rsidR="005142F5" w:rsidRDefault="005142F5" w:rsidP="005142F5">
      <w:pPr>
        <w:pStyle w:val="13"/>
      </w:pPr>
      <w:r>
        <w:rPr>
          <w:rFonts w:hint="eastAsia"/>
        </w:rPr>
        <w:t>（</w:t>
      </w:r>
      <w:r>
        <w:t>4）数据确定。在数据验证基础上，最终确定用于绩效分析和评价的数据。</w:t>
      </w:r>
    </w:p>
    <w:p w14:paraId="447FE619" w14:textId="77777777" w:rsidR="005142F5" w:rsidRDefault="005142F5" w:rsidP="005142F5">
      <w:pPr>
        <w:pStyle w:val="13"/>
      </w:pPr>
      <w:r>
        <w:t>2、数据分析</w:t>
      </w:r>
    </w:p>
    <w:p w14:paraId="79AB2EB6" w14:textId="77777777" w:rsidR="005142F5" w:rsidRDefault="005142F5" w:rsidP="005142F5">
      <w:pPr>
        <w:pStyle w:val="13"/>
      </w:pPr>
      <w:r>
        <w:rPr>
          <w:rFonts w:hint="eastAsia"/>
        </w:rPr>
        <w:t>评估机构开展绩效评价业务时，在数据分析过程中通常采用以下方法：</w:t>
      </w:r>
    </w:p>
    <w:p w14:paraId="01F01C2B" w14:textId="166DF4C3" w:rsidR="005142F5" w:rsidRDefault="005142F5" w:rsidP="005142F5">
      <w:pPr>
        <w:pStyle w:val="13"/>
      </w:pPr>
      <w:r>
        <w:rPr>
          <w:rFonts w:hint="eastAsia"/>
        </w:rPr>
        <w:t>（</w:t>
      </w:r>
      <w:r>
        <w:t>1）变化分析。该方法是通过比较绩效评价指标的实际变化情况与预期变化得到分析结果。该方法是绩效评价中最常用的分析方法，主要用于分析绩效评价指标在项目</w:t>
      </w:r>
      <w:r>
        <w:rPr>
          <w:rFonts w:hint="eastAsia"/>
        </w:rPr>
        <w:t>实施后是否达到预期值。</w:t>
      </w:r>
    </w:p>
    <w:p w14:paraId="73755417" w14:textId="13538E98" w:rsidR="005142F5" w:rsidRDefault="005142F5" w:rsidP="005142F5">
      <w:pPr>
        <w:pStyle w:val="13"/>
      </w:pPr>
      <w:r>
        <w:rPr>
          <w:rFonts w:hint="eastAsia"/>
        </w:rPr>
        <w:t>（</w:t>
      </w:r>
      <w:r>
        <w:t>2）归因分析。该方法是通过建立</w:t>
      </w:r>
      <w:proofErr w:type="gramStart"/>
      <w:r>
        <w:t>反事实</w:t>
      </w:r>
      <w:proofErr w:type="gramEnd"/>
      <w:r>
        <w:t>场景来进行分析，确定所观察到的变化有多大比例是由项目实施而产生。</w:t>
      </w:r>
    </w:p>
    <w:p w14:paraId="38CA5E57" w14:textId="77777777" w:rsidR="005142F5" w:rsidRDefault="005142F5" w:rsidP="005142F5">
      <w:pPr>
        <w:pStyle w:val="13"/>
      </w:pPr>
      <w:r>
        <w:rPr>
          <w:rFonts w:hint="eastAsia"/>
        </w:rPr>
        <w:t>（</w:t>
      </w:r>
      <w:r>
        <w:t>3）贡献分析。该方法是分析项目实施过程中的各种因素对该项目的贡献程度。</w:t>
      </w:r>
    </w:p>
    <w:p w14:paraId="53785135" w14:textId="72762084" w:rsidR="005142F5" w:rsidRDefault="005142F5" w:rsidP="005142F5">
      <w:pPr>
        <w:pStyle w:val="13"/>
      </w:pPr>
      <w:r>
        <w:t>对定性指标的评价，通常通过案卷研究、数据填报、实地调研、座谈会、问卷调查</w:t>
      </w:r>
      <w:r>
        <w:rPr>
          <w:rFonts w:hint="eastAsia"/>
        </w:rPr>
        <w:t>等多种方法来获取数据，并对数据进行综合定性分析后得出结论。为确保评价结果的客观性和准确性，一般尽量避免运用单一的数据收集方法进行评价。</w:t>
      </w:r>
    </w:p>
    <w:p w14:paraId="49D03971" w14:textId="77777777" w:rsidR="005142F5" w:rsidRDefault="005142F5" w:rsidP="005142F5">
      <w:pPr>
        <w:pStyle w:val="ab"/>
        <w:spacing w:before="62" w:after="62"/>
        <w:ind w:firstLine="482"/>
      </w:pPr>
      <w:r>
        <w:rPr>
          <w:rFonts w:hint="eastAsia"/>
        </w:rPr>
        <w:t>五、绩效评价指标体系的设置</w:t>
      </w:r>
    </w:p>
    <w:p w14:paraId="54388010" w14:textId="77777777" w:rsidR="005142F5" w:rsidRDefault="005142F5" w:rsidP="005142F5">
      <w:pPr>
        <w:pStyle w:val="13"/>
      </w:pPr>
      <w:r>
        <w:rPr>
          <w:rFonts w:hint="eastAsia"/>
        </w:rPr>
        <w:t>（一）绩效评价指标设置原则</w:t>
      </w:r>
    </w:p>
    <w:p w14:paraId="1695C1C1" w14:textId="77777777" w:rsidR="005142F5" w:rsidRDefault="005142F5" w:rsidP="005142F5">
      <w:pPr>
        <w:pStyle w:val="13"/>
      </w:pPr>
      <w:r>
        <w:rPr>
          <w:rFonts w:hint="eastAsia"/>
        </w:rPr>
        <w:t>绩效评价指标是指衡量绩效目标实现程度的考核工具。绩效评价指标的确定需要遵循以下原则：</w:t>
      </w:r>
    </w:p>
    <w:p w14:paraId="0A36B7B9" w14:textId="77777777" w:rsidR="005142F5" w:rsidRDefault="005142F5" w:rsidP="005142F5">
      <w:pPr>
        <w:pStyle w:val="13"/>
      </w:pPr>
      <w:r>
        <w:t>1、相关性原则。需要与绩效目标有直接的联系，能够恰当反映目标的实现程度。</w:t>
      </w:r>
    </w:p>
    <w:p w14:paraId="7AA9855E" w14:textId="46920925" w:rsidR="005142F5" w:rsidRDefault="005142F5" w:rsidP="005142F5">
      <w:pPr>
        <w:pStyle w:val="13"/>
      </w:pPr>
      <w:r>
        <w:t>2、重要性原则。需要优先使用最</w:t>
      </w:r>
      <w:proofErr w:type="gramStart"/>
      <w:r>
        <w:t>具评价</w:t>
      </w:r>
      <w:proofErr w:type="gramEnd"/>
      <w:r>
        <w:t>对象代表性、最能反映评价要求的核心指</w:t>
      </w:r>
      <w:r>
        <w:rPr>
          <w:rFonts w:hint="eastAsia"/>
        </w:rPr>
        <w:t>标。</w:t>
      </w:r>
    </w:p>
    <w:p w14:paraId="20DDA2B7" w14:textId="6B75AC9A" w:rsidR="005142F5" w:rsidRDefault="005142F5" w:rsidP="005142F5">
      <w:pPr>
        <w:pStyle w:val="13"/>
      </w:pPr>
      <w:r>
        <w:t>3、可比性原则。对同类评价对象要设定共性的绩效评价指标，以便于评价结果可以</w:t>
      </w:r>
      <w:r>
        <w:rPr>
          <w:rFonts w:hint="eastAsia"/>
        </w:rPr>
        <w:t>相互比较。</w:t>
      </w:r>
    </w:p>
    <w:p w14:paraId="71B810E2" w14:textId="77777777" w:rsidR="005142F5" w:rsidRDefault="005142F5" w:rsidP="005142F5">
      <w:pPr>
        <w:pStyle w:val="13"/>
      </w:pPr>
      <w:r>
        <w:t>4、系统性原则。需要将定量指标与定性指标相结合，系统反映财政支出所产生的社会效益、经济效益、环境效益和</w:t>
      </w:r>
      <w:proofErr w:type="gramStart"/>
      <w:r>
        <w:t>可</w:t>
      </w:r>
      <w:proofErr w:type="gramEnd"/>
      <w:r>
        <w:t>持续影响等。</w:t>
      </w:r>
    </w:p>
    <w:p w14:paraId="3D6C961A" w14:textId="77777777" w:rsidR="005142F5" w:rsidRDefault="005142F5" w:rsidP="005142F5">
      <w:pPr>
        <w:pStyle w:val="13"/>
      </w:pPr>
      <w:r>
        <w:lastRenderedPageBreak/>
        <w:t>5、经济性原则。需要通俗易懂、简便易行，数据的获得一般考虑现实条件和可操作性，符合成本效益原则。</w:t>
      </w:r>
    </w:p>
    <w:p w14:paraId="09C741C9" w14:textId="77777777" w:rsidR="005142F5" w:rsidRDefault="005142F5" w:rsidP="005142F5">
      <w:pPr>
        <w:pStyle w:val="13"/>
      </w:pPr>
      <w:r>
        <w:rPr>
          <w:rFonts w:hint="eastAsia"/>
        </w:rPr>
        <w:t>（二）绩效评价指标标准</w:t>
      </w:r>
    </w:p>
    <w:p w14:paraId="3C33636F" w14:textId="77777777" w:rsidR="005142F5" w:rsidRDefault="005142F5" w:rsidP="005142F5">
      <w:pPr>
        <w:pStyle w:val="13"/>
      </w:pPr>
      <w:r>
        <w:rPr>
          <w:rFonts w:hint="eastAsia"/>
        </w:rPr>
        <w:t>绩效评价指标标准是指衡量财政支出绩效目标完成程度的尺度。绩效评价指标标准的选用需要坚持客观公正、规范有效的原则。根据评价对象的特点，可以选用不同的评价指标标准。绩效评价指标标准主要包括：</w:t>
      </w:r>
    </w:p>
    <w:p w14:paraId="1A7A61A2" w14:textId="77777777" w:rsidR="005142F5" w:rsidRDefault="005142F5" w:rsidP="005142F5">
      <w:pPr>
        <w:pStyle w:val="13"/>
      </w:pPr>
      <w:r>
        <w:t>1、行业标准，是指参照国家公布的行业指标数据制定的评价标准。</w:t>
      </w:r>
    </w:p>
    <w:p w14:paraId="64004231" w14:textId="77777777" w:rsidR="005142F5" w:rsidRDefault="005142F5" w:rsidP="005142F5">
      <w:pPr>
        <w:pStyle w:val="13"/>
      </w:pPr>
      <w:r>
        <w:t>2、计划标准，是指以预先制定的目标、计划、预算、定额等数据作为评价的标准。</w:t>
      </w:r>
    </w:p>
    <w:p w14:paraId="78F8306F" w14:textId="77777777" w:rsidR="005142F5" w:rsidRDefault="005142F5" w:rsidP="005142F5">
      <w:pPr>
        <w:pStyle w:val="13"/>
      </w:pPr>
      <w:r>
        <w:t>3、历史标准，是指参照同类指标的历史数据制定的评价标准。</w:t>
      </w:r>
    </w:p>
    <w:p w14:paraId="6466FBF9" w14:textId="77777777" w:rsidR="005142F5" w:rsidRDefault="005142F5" w:rsidP="005142F5">
      <w:pPr>
        <w:pStyle w:val="13"/>
      </w:pPr>
      <w:r>
        <w:t>4、其他标准。</w:t>
      </w:r>
    </w:p>
    <w:p w14:paraId="08CA2641" w14:textId="77777777" w:rsidR="005142F5" w:rsidRDefault="005142F5" w:rsidP="005142F5">
      <w:pPr>
        <w:pStyle w:val="13"/>
      </w:pPr>
      <w:r>
        <w:rPr>
          <w:rFonts w:hint="eastAsia"/>
        </w:rPr>
        <w:t>（三）绩效评价指标权重</w:t>
      </w:r>
    </w:p>
    <w:p w14:paraId="4E2A43E2" w14:textId="1C6B79D2" w:rsidR="005142F5" w:rsidRDefault="005142F5" w:rsidP="005142F5">
      <w:pPr>
        <w:pStyle w:val="13"/>
      </w:pPr>
      <w:r>
        <w:rPr>
          <w:rFonts w:hint="eastAsia"/>
        </w:rPr>
        <w:t>绩效评价指标的权重是指标在评价体系中的相对重要程度。权重表示在评价过程中，</w:t>
      </w:r>
      <w:r>
        <w:t>对评价对象不同侧面重要程度的定量分配，以区别对待各级评价指标在总体评价中的作 用。确定指标权重的方法通常包括专家调查法、层次分析法、主成分分析法、熵值法等。</w:t>
      </w:r>
    </w:p>
    <w:p w14:paraId="467B1EC0" w14:textId="77777777" w:rsidR="005142F5" w:rsidRDefault="005142F5" w:rsidP="005142F5">
      <w:pPr>
        <w:pStyle w:val="13"/>
      </w:pPr>
      <w:r>
        <w:rPr>
          <w:rFonts w:hint="eastAsia"/>
        </w:rPr>
        <w:t>（四）绩效评价指标体系</w:t>
      </w:r>
    </w:p>
    <w:p w14:paraId="7C5789EE" w14:textId="77777777" w:rsidR="005142F5" w:rsidRDefault="005142F5" w:rsidP="005142F5">
      <w:pPr>
        <w:pStyle w:val="13"/>
      </w:pPr>
      <w:r>
        <w:rPr>
          <w:rFonts w:hint="eastAsia"/>
        </w:rPr>
        <w:t>按照相关性、重要性、可比性、系统性、经济性原则，就项目决策、项目管理、项目绩效（产出、效果）等方面全面设定指标体系。绩效评价指标体系通常包括具体指标、指标权重、指标解释、数据来源、评价标准、评分方法等。</w:t>
      </w:r>
    </w:p>
    <w:p w14:paraId="45537C07" w14:textId="77777777" w:rsidR="005142F5" w:rsidRDefault="005142F5" w:rsidP="005142F5">
      <w:pPr>
        <w:pStyle w:val="ab"/>
        <w:spacing w:before="62" w:after="62"/>
        <w:ind w:firstLine="482"/>
      </w:pPr>
      <w:r>
        <w:rPr>
          <w:rFonts w:hint="eastAsia"/>
        </w:rPr>
        <w:t>六、绩效评价的方法</w:t>
      </w:r>
    </w:p>
    <w:p w14:paraId="2EC9E918" w14:textId="77777777" w:rsidR="005142F5" w:rsidRDefault="005142F5" w:rsidP="005142F5">
      <w:pPr>
        <w:pStyle w:val="13"/>
      </w:pPr>
      <w:r>
        <w:rPr>
          <w:rFonts w:hint="eastAsia"/>
        </w:rPr>
        <w:t>绩效评价方法主要采用成本效益分析法、比较法、因素分析法、最低成本法、公众评判法等。绩效评价方法的选用，需要坚持定量优先、简便有效的原则。确实不能以客观的量化指标评价的，可以在定性分析的基础上，根据绩效情况予以评价，以提高绩效评价质量。根据评价对象的具体情况，可以采用一种或者多种方法进行绩效评价。绩效评价方法主要包括：</w:t>
      </w:r>
    </w:p>
    <w:p w14:paraId="12FFFB50" w14:textId="77777777" w:rsidR="005142F5" w:rsidRDefault="005142F5" w:rsidP="005142F5">
      <w:pPr>
        <w:pStyle w:val="13"/>
      </w:pPr>
      <w:r>
        <w:rPr>
          <w:rFonts w:hint="eastAsia"/>
        </w:rPr>
        <w:t>（一）成本效益分析法。是指将一定时期内的支出与效益进行对比分析以评价绩效目标实现程度。它适用于成本、效益都能准确计量的项目绩效评价。</w:t>
      </w:r>
    </w:p>
    <w:p w14:paraId="0158EB62" w14:textId="77777777" w:rsidR="005142F5" w:rsidRDefault="005142F5" w:rsidP="005142F5">
      <w:pPr>
        <w:pStyle w:val="13"/>
      </w:pPr>
      <w:r>
        <w:rPr>
          <w:rFonts w:hint="eastAsia"/>
        </w:rPr>
        <w:t>（二）比较法。是指通过对绩效目标与实施效果、历史与当期情况、不同部门和地区同类支出的比较，综合分析绩效目标实现程度。</w:t>
      </w:r>
    </w:p>
    <w:p w14:paraId="4B4AAE5F" w14:textId="622D3A17" w:rsidR="005142F5" w:rsidRDefault="005142F5" w:rsidP="005142F5">
      <w:pPr>
        <w:pStyle w:val="13"/>
      </w:pPr>
      <w:r>
        <w:rPr>
          <w:rFonts w:hint="eastAsia"/>
        </w:rPr>
        <w:t>（三）因素分析法。是指通过综合分析影响绩效目标实现、实施效果的内外因素，</w:t>
      </w:r>
      <w:r>
        <w:t>评价绩效目标实现程度。</w:t>
      </w:r>
    </w:p>
    <w:p w14:paraId="0B104CF4" w14:textId="77777777" w:rsidR="005142F5" w:rsidRDefault="005142F5" w:rsidP="005142F5">
      <w:pPr>
        <w:pStyle w:val="13"/>
      </w:pPr>
      <w:r>
        <w:rPr>
          <w:rFonts w:hint="eastAsia"/>
        </w:rPr>
        <w:t>（四）最低成本法。是指对效益确定却不易计量的多个同类对象的实施成本进行比较，评价绩效目标实现程度。</w:t>
      </w:r>
    </w:p>
    <w:p w14:paraId="0B64F4CD" w14:textId="77777777" w:rsidR="005142F5" w:rsidRDefault="005142F5" w:rsidP="005142F5">
      <w:pPr>
        <w:pStyle w:val="13"/>
      </w:pPr>
      <w:r>
        <w:rPr>
          <w:rFonts w:hint="eastAsia"/>
        </w:rPr>
        <w:lastRenderedPageBreak/>
        <w:t>（五）公众评判法。是指通过专家评估、公众问卷、抽样调查等对项目实施效果进行评判，评价绩效目标实现程度。</w:t>
      </w:r>
    </w:p>
    <w:p w14:paraId="3B100CE1" w14:textId="77777777" w:rsidR="005142F5" w:rsidRDefault="005142F5" w:rsidP="005142F5">
      <w:pPr>
        <w:pStyle w:val="13"/>
      </w:pPr>
      <w:r>
        <w:rPr>
          <w:rFonts w:hint="eastAsia"/>
        </w:rPr>
        <w:t>（六）其他评价方法。</w:t>
      </w:r>
    </w:p>
    <w:p w14:paraId="71CAD440" w14:textId="77777777" w:rsidR="005142F5" w:rsidRDefault="005142F5" w:rsidP="005142F5">
      <w:pPr>
        <w:pStyle w:val="13"/>
      </w:pPr>
      <w:r>
        <w:rPr>
          <w:rFonts w:hint="eastAsia"/>
        </w:rPr>
        <w:t>七、评价报告的编制及信息披露</w:t>
      </w:r>
    </w:p>
    <w:p w14:paraId="0EF5E40B" w14:textId="77777777" w:rsidR="005142F5" w:rsidRDefault="005142F5" w:rsidP="005142F5">
      <w:pPr>
        <w:pStyle w:val="13"/>
      </w:pPr>
      <w:r>
        <w:rPr>
          <w:rFonts w:hint="eastAsia"/>
        </w:rPr>
        <w:t>评价报告包括摘要、评价报告正文、相关附件三部分，具体如下：</w:t>
      </w:r>
    </w:p>
    <w:p w14:paraId="0D3D8427" w14:textId="1BA7C9D0" w:rsidR="005142F5" w:rsidRDefault="005142F5" w:rsidP="005142F5">
      <w:pPr>
        <w:pStyle w:val="13"/>
      </w:pPr>
      <w:r>
        <w:t>摘要</w:t>
      </w:r>
    </w:p>
    <w:p w14:paraId="344640B8" w14:textId="77777777" w:rsidR="005142F5" w:rsidRDefault="005142F5" w:rsidP="005142F5">
      <w:pPr>
        <w:pStyle w:val="13"/>
      </w:pPr>
      <w:r>
        <w:rPr>
          <w:rFonts w:hint="eastAsia"/>
        </w:rPr>
        <w:t>评价摘要的目的是简要总结评价活动和评价结论，包括项目概要、绩效评价概述、绩效评价结论、经验教训与建议四部分，需简明扼要。</w:t>
      </w:r>
    </w:p>
    <w:p w14:paraId="062DA75E" w14:textId="77777777" w:rsidR="005142F5" w:rsidRDefault="005142F5" w:rsidP="005142F5">
      <w:pPr>
        <w:pStyle w:val="13"/>
      </w:pPr>
      <w:r>
        <w:rPr>
          <w:rFonts w:hint="eastAsia"/>
        </w:rPr>
        <w:t>评价报告正文</w:t>
      </w:r>
    </w:p>
    <w:p w14:paraId="207A706E" w14:textId="77777777" w:rsidR="005142F5" w:rsidRDefault="005142F5" w:rsidP="005142F5">
      <w:pPr>
        <w:pStyle w:val="13"/>
      </w:pPr>
      <w:r>
        <w:rPr>
          <w:rFonts w:hint="eastAsia"/>
        </w:rPr>
        <w:t>（一）项目基本概况</w:t>
      </w:r>
    </w:p>
    <w:p w14:paraId="1437F70B" w14:textId="77777777" w:rsidR="005142F5" w:rsidRDefault="005142F5" w:rsidP="005142F5">
      <w:pPr>
        <w:pStyle w:val="13"/>
      </w:pPr>
      <w:r>
        <w:t>1、项目背景</w:t>
      </w:r>
    </w:p>
    <w:p w14:paraId="420D149F" w14:textId="77777777" w:rsidR="005142F5" w:rsidRDefault="005142F5" w:rsidP="005142F5">
      <w:pPr>
        <w:pStyle w:val="13"/>
      </w:pPr>
      <w:r>
        <w:rPr>
          <w:rFonts w:hint="eastAsia"/>
        </w:rPr>
        <w:t>项目所处政策环境、区域环境、市场环境等，项目拟解决的问题。</w:t>
      </w:r>
    </w:p>
    <w:p w14:paraId="0ADCF760" w14:textId="77777777" w:rsidR="005142F5" w:rsidRDefault="005142F5" w:rsidP="005142F5">
      <w:pPr>
        <w:pStyle w:val="13"/>
      </w:pPr>
      <w:r>
        <w:t>2、项目实施情况</w:t>
      </w:r>
    </w:p>
    <w:p w14:paraId="5A0AC8A8" w14:textId="77777777" w:rsidR="005142F5" w:rsidRDefault="005142F5" w:rsidP="005142F5">
      <w:pPr>
        <w:pStyle w:val="13"/>
      </w:pPr>
      <w:r>
        <w:rPr>
          <w:rFonts w:hint="eastAsia"/>
        </w:rPr>
        <w:t>项目提供产品或者服务的质量和数量、项目提供产品或者服务的价格、项目的可持续性以及政府的收益等项目要解决的主要问题。</w:t>
      </w:r>
    </w:p>
    <w:p w14:paraId="6AC0CA5E" w14:textId="77777777" w:rsidR="005142F5" w:rsidRDefault="005142F5" w:rsidP="005142F5">
      <w:pPr>
        <w:pStyle w:val="13"/>
      </w:pPr>
      <w:r>
        <w:rPr>
          <w:rFonts w:hint="eastAsia"/>
        </w:rPr>
        <w:t>项目实施和管理的组织结构，包括项目的监管部门以及实施机构的各自职责，项目的实施流程、监管机制等。</w:t>
      </w:r>
    </w:p>
    <w:p w14:paraId="0120633A" w14:textId="77777777" w:rsidR="005142F5" w:rsidRDefault="005142F5" w:rsidP="005142F5">
      <w:pPr>
        <w:pStyle w:val="13"/>
      </w:pPr>
      <w:r>
        <w:t>3、项目财务投资状况</w:t>
      </w:r>
    </w:p>
    <w:p w14:paraId="528B4AD6" w14:textId="77777777" w:rsidR="005142F5" w:rsidRDefault="005142F5" w:rsidP="005142F5">
      <w:pPr>
        <w:pStyle w:val="13"/>
      </w:pPr>
      <w:r>
        <w:rPr>
          <w:rFonts w:hint="eastAsia"/>
        </w:rPr>
        <w:t>项目总投资和资本构成、资产负债、股权结构、融资结构和主要融资成本、收益情况（总收益、收入来源、收费价格和定价机制），投资回报测算、现金流量分析、项目财务状况、项目存续期间政府补贴情况。</w:t>
      </w:r>
    </w:p>
    <w:p w14:paraId="44C2D85F" w14:textId="77777777" w:rsidR="005142F5" w:rsidRDefault="005142F5" w:rsidP="005142F5">
      <w:pPr>
        <w:pStyle w:val="13"/>
      </w:pPr>
      <w:r>
        <w:t>4、绩效目标及实现程度</w:t>
      </w:r>
    </w:p>
    <w:p w14:paraId="01F397A5" w14:textId="77777777" w:rsidR="005142F5" w:rsidRDefault="005142F5" w:rsidP="005142F5">
      <w:pPr>
        <w:pStyle w:val="13"/>
      </w:pPr>
      <w:r>
        <w:rPr>
          <w:rFonts w:hint="eastAsia"/>
        </w:rPr>
        <w:t>绩效目标，项目执行过程中目标、计划的调整情况，绩效总目标和阶段性目标的完成情况，项目的实际支出情况及财务管理状况等。</w:t>
      </w:r>
    </w:p>
    <w:p w14:paraId="790D5454" w14:textId="77777777" w:rsidR="005142F5" w:rsidRDefault="005142F5" w:rsidP="005142F5">
      <w:pPr>
        <w:pStyle w:val="13"/>
      </w:pPr>
      <w:r>
        <w:rPr>
          <w:rFonts w:hint="eastAsia"/>
        </w:rPr>
        <w:t>（二）绩效评价的组织实施情况</w:t>
      </w:r>
    </w:p>
    <w:p w14:paraId="0F690DFC" w14:textId="77777777" w:rsidR="005142F5" w:rsidRDefault="005142F5" w:rsidP="005142F5">
      <w:pPr>
        <w:pStyle w:val="13"/>
      </w:pPr>
      <w:r>
        <w:t>1、绩效评价目的</w:t>
      </w:r>
    </w:p>
    <w:p w14:paraId="4C4A4381" w14:textId="77777777" w:rsidR="005142F5" w:rsidRDefault="005142F5" w:rsidP="005142F5">
      <w:pPr>
        <w:pStyle w:val="13"/>
      </w:pPr>
      <w:r>
        <w:t>2、绩效评价实施过程</w:t>
      </w:r>
    </w:p>
    <w:p w14:paraId="580C863A" w14:textId="77777777" w:rsidR="005142F5" w:rsidRDefault="005142F5" w:rsidP="005142F5">
      <w:pPr>
        <w:pStyle w:val="13"/>
      </w:pPr>
      <w:r>
        <w:t>3、绩效评价人员构成</w:t>
      </w:r>
    </w:p>
    <w:p w14:paraId="73863B28" w14:textId="77777777" w:rsidR="005142F5" w:rsidRDefault="005142F5" w:rsidP="005142F5">
      <w:pPr>
        <w:pStyle w:val="13"/>
      </w:pPr>
      <w:r>
        <w:t>4、数据收集方法</w:t>
      </w:r>
    </w:p>
    <w:p w14:paraId="7F98506F" w14:textId="77777777" w:rsidR="005142F5" w:rsidRDefault="005142F5" w:rsidP="005142F5">
      <w:pPr>
        <w:pStyle w:val="13"/>
      </w:pPr>
      <w:r>
        <w:t>5、绩效评价的局限性</w:t>
      </w:r>
    </w:p>
    <w:p w14:paraId="2EF3BBD6" w14:textId="57CA7D8C" w:rsidR="005142F5" w:rsidRDefault="005142F5" w:rsidP="005142F5">
      <w:pPr>
        <w:pStyle w:val="13"/>
      </w:pPr>
      <w:r>
        <w:rPr>
          <w:rFonts w:hint="eastAsia"/>
        </w:rPr>
        <w:t>分析绩效评价工作存在的局限性，一般存在以下四种情况，一是指标无法收集到相关证据或者证据不全面、质量不高；二是因时间和经费限制，评价小组没有重新收集数据，而是利用相关组织收集的数据，数据的不一定完全可信；三是由于时间和经费限制</w:t>
      </w:r>
      <w:r w:rsidR="003068F8">
        <w:rPr>
          <w:rFonts w:hint="eastAsia"/>
        </w:rPr>
        <w:t>，</w:t>
      </w:r>
      <w:r>
        <w:t>某些评价方法没有实施，影响了证据收集和评价的质量；四是评价小组提出</w:t>
      </w:r>
      <w:r>
        <w:lastRenderedPageBreak/>
        <w:t>的其他局限</w:t>
      </w:r>
      <w:r>
        <w:rPr>
          <w:rFonts w:hint="eastAsia"/>
        </w:rPr>
        <w:t>性。</w:t>
      </w:r>
    </w:p>
    <w:p w14:paraId="78C357CC" w14:textId="77777777" w:rsidR="005142F5" w:rsidRDefault="005142F5" w:rsidP="005142F5">
      <w:pPr>
        <w:pStyle w:val="13"/>
      </w:pPr>
      <w:r>
        <w:rPr>
          <w:rFonts w:hint="eastAsia"/>
        </w:rPr>
        <w:t>（三）绩效评价指标体系、评价标准和评价方法</w:t>
      </w:r>
    </w:p>
    <w:p w14:paraId="790C2CDC" w14:textId="77777777" w:rsidR="005142F5" w:rsidRDefault="005142F5" w:rsidP="005142F5">
      <w:pPr>
        <w:pStyle w:val="13"/>
      </w:pPr>
      <w:r>
        <w:t>1、绩效评价指标体系的设定原则以及具体内容。</w:t>
      </w:r>
    </w:p>
    <w:p w14:paraId="6321E895" w14:textId="77777777" w:rsidR="005142F5" w:rsidRDefault="005142F5" w:rsidP="005142F5">
      <w:pPr>
        <w:pStyle w:val="13"/>
      </w:pPr>
      <w:r>
        <w:t>2、绩效评价的具体标准与方法。</w:t>
      </w:r>
    </w:p>
    <w:p w14:paraId="26E4954A" w14:textId="77777777" w:rsidR="005142F5" w:rsidRDefault="005142F5" w:rsidP="005142F5">
      <w:pPr>
        <w:pStyle w:val="13"/>
      </w:pPr>
      <w:r>
        <w:rPr>
          <w:rFonts w:hint="eastAsia"/>
        </w:rPr>
        <w:t>（四）绩效分析与评价结论</w:t>
      </w:r>
    </w:p>
    <w:p w14:paraId="2A4006B6" w14:textId="77777777" w:rsidR="005142F5" w:rsidRDefault="005142F5" w:rsidP="005142F5">
      <w:pPr>
        <w:pStyle w:val="13"/>
      </w:pPr>
      <w:r>
        <w:t>1、项目绩效分析</w:t>
      </w:r>
    </w:p>
    <w:p w14:paraId="754E2AE3" w14:textId="77777777" w:rsidR="005142F5" w:rsidRDefault="005142F5" w:rsidP="005142F5">
      <w:pPr>
        <w:pStyle w:val="13"/>
      </w:pPr>
      <w:r>
        <w:rPr>
          <w:rFonts w:hint="eastAsia"/>
        </w:rPr>
        <w:t>项目绩效分析部分需从相关性、效率、效果、可持续性四个方面对主要绩效指标分别展开分析。对每项指标的绩效分析需要结合项目的具体情况，通过科学的评价方法与收集的数据，概述该评价指标的得分和评级结论，用事实证据分析说明关键评价问题下设各指标的完成情况，并阐述打分标准，明确各指标得分。绩效分析可以使用图、表进行阐释，但要简单易懂。此外，绩效分析还要分析各指标未达到绩效目标的原因。</w:t>
      </w:r>
    </w:p>
    <w:p w14:paraId="52D03E33" w14:textId="77777777" w:rsidR="005142F5" w:rsidRDefault="005142F5" w:rsidP="005142F5">
      <w:pPr>
        <w:pStyle w:val="13"/>
      </w:pPr>
      <w:r>
        <w:t>2、评价结论</w:t>
      </w:r>
    </w:p>
    <w:p w14:paraId="19EF0E8F" w14:textId="77777777" w:rsidR="005142F5" w:rsidRDefault="005142F5" w:rsidP="005142F5">
      <w:pPr>
        <w:pStyle w:val="13"/>
      </w:pPr>
      <w:r>
        <w:rPr>
          <w:rFonts w:hint="eastAsia"/>
        </w:rPr>
        <w:t>根据分析评价得出的项目综合绩效等级，对相关性、效率、效果和</w:t>
      </w:r>
      <w:proofErr w:type="gramStart"/>
      <w:r>
        <w:rPr>
          <w:rFonts w:hint="eastAsia"/>
        </w:rPr>
        <w:t>可</w:t>
      </w:r>
      <w:proofErr w:type="gramEnd"/>
      <w:r>
        <w:rPr>
          <w:rFonts w:hint="eastAsia"/>
        </w:rPr>
        <w:t>持续性的评价结论进行简要综述，并突出描述每个评价准则中好的方面和存在的问题。</w:t>
      </w:r>
    </w:p>
    <w:p w14:paraId="030E4A3C" w14:textId="77777777" w:rsidR="005142F5" w:rsidRDefault="005142F5" w:rsidP="005142F5">
      <w:pPr>
        <w:pStyle w:val="13"/>
      </w:pPr>
      <w:r>
        <w:rPr>
          <w:rFonts w:hint="eastAsia"/>
        </w:rPr>
        <w:t>（五）主要经验与做法</w:t>
      </w:r>
    </w:p>
    <w:p w14:paraId="5642A1CF" w14:textId="77777777" w:rsidR="005142F5" w:rsidRDefault="005142F5" w:rsidP="005142F5">
      <w:pPr>
        <w:pStyle w:val="13"/>
      </w:pPr>
      <w:r>
        <w:rPr>
          <w:rFonts w:hint="eastAsia"/>
        </w:rPr>
        <w:t>主要经验与做法是指通过绩效评价总结出来的可能有助于开展其他类似项目或者提高被</w:t>
      </w:r>
      <w:proofErr w:type="gramStart"/>
      <w:r>
        <w:rPr>
          <w:rFonts w:hint="eastAsia"/>
        </w:rPr>
        <w:t>评项目</w:t>
      </w:r>
      <w:proofErr w:type="gramEnd"/>
      <w:r>
        <w:rPr>
          <w:rFonts w:hint="eastAsia"/>
        </w:rPr>
        <w:t>成效的信息，具体包括项目在准备、设计、实施过程中的最佳实践和突出问题，及其对项目绩效的影响。经验教训需要针对被评项目，建立在客观证据的基础之上，并指出其参考价值。</w:t>
      </w:r>
    </w:p>
    <w:p w14:paraId="55465D04" w14:textId="77777777" w:rsidR="005142F5" w:rsidRDefault="005142F5" w:rsidP="005142F5">
      <w:pPr>
        <w:pStyle w:val="13"/>
      </w:pPr>
      <w:r>
        <w:rPr>
          <w:rFonts w:hint="eastAsia"/>
        </w:rPr>
        <w:t>（六）存在问题与原因分析</w:t>
      </w:r>
    </w:p>
    <w:p w14:paraId="076B32A1" w14:textId="77777777" w:rsidR="005142F5" w:rsidRDefault="005142F5" w:rsidP="005142F5">
      <w:pPr>
        <w:pStyle w:val="13"/>
      </w:pPr>
      <w:r>
        <w:rPr>
          <w:rFonts w:hint="eastAsia"/>
        </w:rPr>
        <w:t>绩效评价报告要通过分析各指标的评价结果以及项目的整体评价结论，具体分析目标定位和设计、项目活动安排、组织实施、项目管理过程中存在的不足及其原因，并对其项目造成的负面影响进行分析。</w:t>
      </w:r>
    </w:p>
    <w:p w14:paraId="36820B9A" w14:textId="77777777" w:rsidR="005142F5" w:rsidRDefault="005142F5" w:rsidP="005142F5">
      <w:pPr>
        <w:pStyle w:val="13"/>
      </w:pPr>
      <w:r>
        <w:rPr>
          <w:rFonts w:hint="eastAsia"/>
        </w:rPr>
        <w:t>（七）改进建议</w:t>
      </w:r>
    </w:p>
    <w:p w14:paraId="3603E6DE" w14:textId="77777777" w:rsidR="005142F5" w:rsidRDefault="005142F5" w:rsidP="005142F5">
      <w:pPr>
        <w:pStyle w:val="13"/>
      </w:pPr>
      <w:r>
        <w:rPr>
          <w:rFonts w:hint="eastAsia"/>
        </w:rPr>
        <w:t>改进建议旨在为改进项目设计、完善项目管理、提升项目绩效、优化政府决策提供参考，可以针对被</w:t>
      </w:r>
      <w:proofErr w:type="gramStart"/>
      <w:r>
        <w:rPr>
          <w:rFonts w:hint="eastAsia"/>
        </w:rPr>
        <w:t>评项目</w:t>
      </w:r>
      <w:proofErr w:type="gramEnd"/>
      <w:r>
        <w:rPr>
          <w:rFonts w:hint="eastAsia"/>
        </w:rPr>
        <w:t>目前存在的问题，也可以着眼于未来项目的选择、设计和管理。改进建议与评价结论和问题原因相对应，理由充分，要有切实可行的改进措施以及责任主体，并且明确时间要求。</w:t>
      </w:r>
    </w:p>
    <w:p w14:paraId="17CB07A6" w14:textId="77777777" w:rsidR="005142F5" w:rsidRDefault="005142F5" w:rsidP="005142F5">
      <w:pPr>
        <w:pStyle w:val="13"/>
      </w:pPr>
      <w:r>
        <w:rPr>
          <w:rFonts w:hint="eastAsia"/>
        </w:rPr>
        <w:t>（八）绩效评价报告使用限制等其他需要说明的问题</w:t>
      </w:r>
    </w:p>
    <w:p w14:paraId="62F1217A" w14:textId="77777777" w:rsidR="005142F5" w:rsidRDefault="005142F5" w:rsidP="005142F5">
      <w:pPr>
        <w:pStyle w:val="13"/>
      </w:pPr>
      <w:r>
        <w:rPr>
          <w:rFonts w:hint="eastAsia"/>
        </w:rPr>
        <w:t>（九）评估机构签章</w:t>
      </w:r>
    </w:p>
    <w:p w14:paraId="27607FCC" w14:textId="77777777" w:rsidR="005142F5" w:rsidRDefault="005142F5" w:rsidP="005142F5">
      <w:pPr>
        <w:pStyle w:val="13"/>
      </w:pPr>
      <w:r>
        <w:rPr>
          <w:rFonts w:hint="eastAsia"/>
        </w:rPr>
        <w:t>绩效评价报告应当加盖评估机构公章。</w:t>
      </w:r>
    </w:p>
    <w:p w14:paraId="579E2BAC" w14:textId="73B5FAB9" w:rsidR="005142F5" w:rsidRDefault="005142F5" w:rsidP="005142F5">
      <w:pPr>
        <w:pStyle w:val="13"/>
      </w:pPr>
      <w:r>
        <w:rPr>
          <w:rFonts w:hint="eastAsia"/>
        </w:rPr>
        <w:t>相关附件</w:t>
      </w:r>
    </w:p>
    <w:p w14:paraId="5A825CCE" w14:textId="3C1380DD" w:rsidR="005142F5" w:rsidRDefault="005142F5" w:rsidP="005142F5">
      <w:pPr>
        <w:pStyle w:val="13"/>
      </w:pPr>
      <w:r>
        <w:rPr>
          <w:rFonts w:hint="eastAsia"/>
        </w:rPr>
        <w:t>本部分是对主体报告的补充说明，包括一些技术性文件和评价过程文件，如绩效</w:t>
      </w:r>
      <w:r>
        <w:rPr>
          <w:rFonts w:hint="eastAsia"/>
        </w:rPr>
        <w:lastRenderedPageBreak/>
        <w:t>评价框架、绩效评价指标体系与打分标准、评价任务书、项目关键产出或者成果数据表、面访、座谈会和实地调研记录、调查问卷（如果有）、利益相关方对评价报告的反馈意见及其采纳情况，以及评价小组认为必须附上的其他文件。</w:t>
      </w:r>
    </w:p>
    <w:p w14:paraId="562F3143" w14:textId="77777777" w:rsidR="005142F5" w:rsidRDefault="005142F5" w:rsidP="005142F5">
      <w:pPr>
        <w:pStyle w:val="13"/>
      </w:pPr>
      <w:r>
        <w:rPr>
          <w:rFonts w:hint="eastAsia"/>
        </w:rPr>
        <w:t>八、评价结果的应用</w:t>
      </w:r>
    </w:p>
    <w:p w14:paraId="6B81BCCA" w14:textId="77D002ED" w:rsidR="005142F5" w:rsidRDefault="005142F5" w:rsidP="005142F5">
      <w:pPr>
        <w:pStyle w:val="13"/>
      </w:pPr>
      <w:r>
        <w:rPr>
          <w:rFonts w:hint="eastAsia"/>
        </w:rPr>
        <w:t>绩效评价结果可作为科学安排预算、调整支出结构、完善财政政策、加强制度建设、实施绩效监督的重要依据，也可作为</w:t>
      </w:r>
      <w:r w:rsidR="00B65C82">
        <w:t>PPP</w:t>
      </w:r>
      <w:r>
        <w:t>项目移交阶段支付对价的重要支撑。</w:t>
      </w:r>
      <w:r w:rsidR="00B65C82">
        <w:t>PPP</w:t>
      </w:r>
      <w:r>
        <w:t>项目的评价结果可为政府开展政府和社会资本合作管理工作决策提供参考，能够有效地促进政府更加合理与完善地加强</w:t>
      </w:r>
      <w:r w:rsidR="00B65C82">
        <w:t>PPP</w:t>
      </w:r>
      <w:r>
        <w:t>项目的管理。</w:t>
      </w:r>
    </w:p>
    <w:p w14:paraId="5A6BBD1E" w14:textId="44EA4EAA" w:rsidR="005142F5" w:rsidRDefault="005142F5" w:rsidP="00AF7342">
      <w:pPr>
        <w:pStyle w:val="a9"/>
        <w:spacing w:before="62" w:after="62"/>
      </w:pPr>
      <w:r>
        <w:rPr>
          <w:rFonts w:hint="eastAsia"/>
        </w:rPr>
        <w:t>第七章</w:t>
      </w:r>
      <w:r w:rsidR="00B65C82">
        <w:t>PPP</w:t>
      </w:r>
      <w:r>
        <w:t>项目实施过程中的评估具体操作要求</w:t>
      </w:r>
    </w:p>
    <w:p w14:paraId="48FCE296" w14:textId="72342126" w:rsidR="00AC3047" w:rsidRDefault="005142F5" w:rsidP="005142F5">
      <w:pPr>
        <w:pStyle w:val="13"/>
      </w:pPr>
      <w:r>
        <w:rPr>
          <w:rFonts w:hint="eastAsia"/>
        </w:rPr>
        <w:t>本章主要针对</w:t>
      </w:r>
      <w:r w:rsidR="00B65C82">
        <w:t>PPP</w:t>
      </w:r>
      <w:r>
        <w:t>项目各阶段资产评估、项目收益权评估的关注点进行阐述。</w:t>
      </w:r>
    </w:p>
    <w:p w14:paraId="724310DF" w14:textId="54A13F0E" w:rsidR="005142F5" w:rsidRDefault="005142F5" w:rsidP="00AF7342">
      <w:pPr>
        <w:pStyle w:val="a9"/>
        <w:spacing w:before="62" w:after="62"/>
      </w:pPr>
      <w:r>
        <w:t>第一节 项目各阶段资产评估基本操作要求</w:t>
      </w:r>
    </w:p>
    <w:p w14:paraId="11EB2736" w14:textId="2EF0A3DA" w:rsidR="005142F5" w:rsidRDefault="005142F5" w:rsidP="005142F5">
      <w:pPr>
        <w:pStyle w:val="13"/>
      </w:pPr>
      <w:r>
        <w:rPr>
          <w:rFonts w:hint="eastAsia"/>
        </w:rPr>
        <w:t>在</w:t>
      </w:r>
      <w:r w:rsidR="00B65C82">
        <w:t>PPP</w:t>
      </w:r>
      <w:r>
        <w:t>项目的各阶段中，涉及的项目相关权益价值的评估、相关经济指标的估算及部分实物资产价值的评估，应当遵守《资产评估法》及资产评估准则。特定单项资产价值评估还需要根据相关法律法规和</w:t>
      </w:r>
      <w:r w:rsidR="00B65C82">
        <w:t>PPP</w:t>
      </w:r>
      <w:r>
        <w:t>项目实际情况遵守相关标准和准则。</w:t>
      </w:r>
    </w:p>
    <w:p w14:paraId="054C0130" w14:textId="77777777" w:rsidR="005142F5" w:rsidRDefault="005142F5" w:rsidP="00AC3047">
      <w:pPr>
        <w:pStyle w:val="ab"/>
        <w:spacing w:before="62" w:after="62"/>
        <w:ind w:firstLine="482"/>
      </w:pPr>
      <w:r>
        <w:rPr>
          <w:rFonts w:hint="eastAsia"/>
        </w:rPr>
        <w:t>一、涉及资产评估的情形</w:t>
      </w:r>
    </w:p>
    <w:p w14:paraId="2B42E209" w14:textId="59FEB513" w:rsidR="007A3C56" w:rsidRDefault="005142F5" w:rsidP="005142F5">
      <w:pPr>
        <w:pStyle w:val="13"/>
      </w:pPr>
      <w:r>
        <w:rPr>
          <w:rFonts w:hint="eastAsia"/>
        </w:rPr>
        <w:t>在</w:t>
      </w:r>
      <w:r w:rsidR="00B65C82">
        <w:t>PPP</w:t>
      </w:r>
      <w:r>
        <w:t>项目实施的各阶段中，涉及项目收益权、项目收费权、合同权益、特许经营权、项目净现值、合作期限等评估对象的资产评估及参数测算服务，每种评估对象所处阶段、评估目的也各有差异，表 8 列出每种评估对象评估服务可能涉及的情形、阶段、目的。</w:t>
      </w:r>
    </w:p>
    <w:p w14:paraId="7D0FCC0B" w14:textId="6213C9C4" w:rsidR="007A3C56" w:rsidRDefault="007A3C56" w:rsidP="00882ED4">
      <w:pPr>
        <w:pStyle w:val="13"/>
      </w:pPr>
    </w:p>
    <w:tbl>
      <w:tblPr>
        <w:tblStyle w:val="af"/>
        <w:tblW w:w="8911" w:type="dxa"/>
        <w:tblLayout w:type="fixed"/>
        <w:tblLook w:val="04A0" w:firstRow="1" w:lastRow="0" w:firstColumn="1" w:lastColumn="0" w:noHBand="0" w:noVBand="1"/>
      </w:tblPr>
      <w:tblGrid>
        <w:gridCol w:w="690"/>
        <w:gridCol w:w="2551"/>
        <w:gridCol w:w="1999"/>
        <w:gridCol w:w="1559"/>
        <w:gridCol w:w="2112"/>
      </w:tblGrid>
      <w:tr w:rsidR="00AC3047" w:rsidRPr="00AC3047" w14:paraId="5F287C69" w14:textId="77777777" w:rsidTr="00AC3047">
        <w:trPr>
          <w:trHeight w:val="325"/>
          <w:tblHeader/>
        </w:trPr>
        <w:tc>
          <w:tcPr>
            <w:tcW w:w="690" w:type="dxa"/>
            <w:vAlign w:val="center"/>
          </w:tcPr>
          <w:p w14:paraId="77286BD8"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序号</w:t>
            </w:r>
          </w:p>
        </w:tc>
        <w:tc>
          <w:tcPr>
            <w:tcW w:w="2551" w:type="dxa"/>
            <w:vAlign w:val="center"/>
          </w:tcPr>
          <w:p w14:paraId="64BE2B9D"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评估对象（参数测算）</w:t>
            </w:r>
          </w:p>
        </w:tc>
        <w:tc>
          <w:tcPr>
            <w:tcW w:w="1999" w:type="dxa"/>
            <w:vAlign w:val="center"/>
          </w:tcPr>
          <w:p w14:paraId="6E9C0079"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具体涉及的情形</w:t>
            </w:r>
          </w:p>
        </w:tc>
        <w:tc>
          <w:tcPr>
            <w:tcW w:w="1559" w:type="dxa"/>
            <w:vAlign w:val="center"/>
          </w:tcPr>
          <w:p w14:paraId="71CB0502"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涉及阶段</w:t>
            </w:r>
          </w:p>
        </w:tc>
        <w:tc>
          <w:tcPr>
            <w:tcW w:w="2112" w:type="dxa"/>
            <w:vAlign w:val="center"/>
          </w:tcPr>
          <w:p w14:paraId="148C2307"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评估目的</w:t>
            </w:r>
          </w:p>
        </w:tc>
      </w:tr>
      <w:tr w:rsidR="00AC3047" w:rsidRPr="00AC3047" w14:paraId="09E14089" w14:textId="77777777" w:rsidTr="00AC3047">
        <w:trPr>
          <w:trHeight w:val="1304"/>
        </w:trPr>
        <w:tc>
          <w:tcPr>
            <w:tcW w:w="690" w:type="dxa"/>
            <w:vAlign w:val="center"/>
          </w:tcPr>
          <w:p w14:paraId="1189054D"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1</w:t>
            </w:r>
          </w:p>
        </w:tc>
        <w:tc>
          <w:tcPr>
            <w:tcW w:w="2551" w:type="dxa"/>
            <w:vAlign w:val="center"/>
          </w:tcPr>
          <w:p w14:paraId="46E9C2DB"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项目收益权</w:t>
            </w:r>
          </w:p>
        </w:tc>
        <w:tc>
          <w:tcPr>
            <w:tcW w:w="1999" w:type="dxa"/>
            <w:vAlign w:val="center"/>
          </w:tcPr>
          <w:p w14:paraId="40C77803" w14:textId="55AAD789"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采购决策、响应决策、项目监测与支付、风险再分配、项目调价、质押、转让等</w:t>
            </w:r>
          </w:p>
        </w:tc>
        <w:tc>
          <w:tcPr>
            <w:tcW w:w="1559" w:type="dxa"/>
            <w:vAlign w:val="center"/>
          </w:tcPr>
          <w:p w14:paraId="119EE355" w14:textId="32D35FAD"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识别、准备、采购、执行</w:t>
            </w:r>
          </w:p>
        </w:tc>
        <w:tc>
          <w:tcPr>
            <w:tcW w:w="2112" w:type="dxa"/>
            <w:vAlign w:val="center"/>
          </w:tcPr>
          <w:p w14:paraId="3C57A853"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项目决策、融资、转让</w:t>
            </w:r>
          </w:p>
        </w:tc>
      </w:tr>
      <w:tr w:rsidR="00AC3047" w:rsidRPr="00AC3047" w14:paraId="74FDDE1B" w14:textId="77777777" w:rsidTr="00AC3047">
        <w:trPr>
          <w:trHeight w:val="1630"/>
        </w:trPr>
        <w:tc>
          <w:tcPr>
            <w:tcW w:w="690" w:type="dxa"/>
            <w:vAlign w:val="center"/>
          </w:tcPr>
          <w:p w14:paraId="0B874652"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2</w:t>
            </w:r>
          </w:p>
        </w:tc>
        <w:tc>
          <w:tcPr>
            <w:tcW w:w="2551" w:type="dxa"/>
            <w:vAlign w:val="center"/>
          </w:tcPr>
          <w:p w14:paraId="30858610"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项目收费权、合同权益、特许经营权、项目净现值</w:t>
            </w:r>
          </w:p>
        </w:tc>
        <w:tc>
          <w:tcPr>
            <w:tcW w:w="1999" w:type="dxa"/>
            <w:vAlign w:val="center"/>
          </w:tcPr>
          <w:p w14:paraId="58AE7E45"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质押融资、资产转让、项目监测与支付、风险再分配、项目调价等</w:t>
            </w:r>
          </w:p>
        </w:tc>
        <w:tc>
          <w:tcPr>
            <w:tcW w:w="1559" w:type="dxa"/>
            <w:vAlign w:val="center"/>
          </w:tcPr>
          <w:p w14:paraId="5DF60395" w14:textId="1A6DAD2C"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识别、准备、采购、执行</w:t>
            </w:r>
          </w:p>
        </w:tc>
        <w:tc>
          <w:tcPr>
            <w:tcW w:w="2112" w:type="dxa"/>
            <w:vAlign w:val="center"/>
          </w:tcPr>
          <w:p w14:paraId="57B279F7" w14:textId="131E1F34"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质押融资、转让收费权，授权或许可前确定获得特许经营权的对价</w:t>
            </w:r>
          </w:p>
        </w:tc>
      </w:tr>
      <w:tr w:rsidR="00AC3047" w:rsidRPr="00AC3047" w14:paraId="5041C4C2" w14:textId="77777777" w:rsidTr="00AC3047">
        <w:trPr>
          <w:trHeight w:val="1630"/>
        </w:trPr>
        <w:tc>
          <w:tcPr>
            <w:tcW w:w="690" w:type="dxa"/>
            <w:vAlign w:val="center"/>
          </w:tcPr>
          <w:p w14:paraId="4DE2A7AD"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3</w:t>
            </w:r>
          </w:p>
        </w:tc>
        <w:tc>
          <w:tcPr>
            <w:tcW w:w="2551" w:type="dxa"/>
            <w:vAlign w:val="center"/>
          </w:tcPr>
          <w:p w14:paraId="0B4784B9"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合作期限、运营补贴单价或金额、使用者付费单价或金额、最低需求量、利润率、折现率以及风险分</w:t>
            </w:r>
          </w:p>
          <w:p w14:paraId="51BB5DC3" w14:textId="77777777" w:rsidR="00AC3047" w:rsidRPr="00AC3047" w:rsidRDefault="00AC3047" w:rsidP="00AC3047">
            <w:pPr>
              <w:pStyle w:val="13"/>
              <w:spacing w:line="240" w:lineRule="auto"/>
              <w:ind w:firstLineChars="0" w:firstLine="0"/>
              <w:jc w:val="center"/>
              <w:rPr>
                <w:sz w:val="21"/>
                <w:szCs w:val="21"/>
                <w:lang w:bidi="zh-CN"/>
              </w:rPr>
            </w:pPr>
            <w:proofErr w:type="gramStart"/>
            <w:r w:rsidRPr="00AC3047">
              <w:rPr>
                <w:sz w:val="21"/>
                <w:szCs w:val="21"/>
                <w:lang w:bidi="zh-CN"/>
              </w:rPr>
              <w:t>担涉及</w:t>
            </w:r>
            <w:proofErr w:type="gramEnd"/>
            <w:r w:rsidRPr="00AC3047">
              <w:rPr>
                <w:sz w:val="21"/>
                <w:szCs w:val="21"/>
                <w:lang w:bidi="zh-CN"/>
              </w:rPr>
              <w:t>相关参数</w:t>
            </w:r>
          </w:p>
        </w:tc>
        <w:tc>
          <w:tcPr>
            <w:tcW w:w="1999" w:type="dxa"/>
            <w:vAlign w:val="center"/>
          </w:tcPr>
          <w:p w14:paraId="192B878B"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签订协议、项目监测与支付、风险再分配、项目调价等</w:t>
            </w:r>
          </w:p>
        </w:tc>
        <w:tc>
          <w:tcPr>
            <w:tcW w:w="1559" w:type="dxa"/>
            <w:vAlign w:val="center"/>
          </w:tcPr>
          <w:p w14:paraId="1113D72E" w14:textId="51506F9F"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识别、准备、采购、执行</w:t>
            </w:r>
          </w:p>
        </w:tc>
        <w:tc>
          <w:tcPr>
            <w:tcW w:w="2112" w:type="dxa"/>
            <w:vAlign w:val="center"/>
          </w:tcPr>
          <w:p w14:paraId="546F6350" w14:textId="77EDDDA5"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通过估算具体经济指标，兼顾相关方利益，为决策和判断提供依据</w:t>
            </w:r>
          </w:p>
        </w:tc>
      </w:tr>
      <w:tr w:rsidR="00AC3047" w:rsidRPr="00AC3047" w14:paraId="61CD7D73" w14:textId="77777777" w:rsidTr="00AC3047">
        <w:trPr>
          <w:trHeight w:val="1343"/>
        </w:trPr>
        <w:tc>
          <w:tcPr>
            <w:tcW w:w="690" w:type="dxa"/>
            <w:vAlign w:val="center"/>
          </w:tcPr>
          <w:p w14:paraId="47598060"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lastRenderedPageBreak/>
              <w:t>4</w:t>
            </w:r>
          </w:p>
        </w:tc>
        <w:tc>
          <w:tcPr>
            <w:tcW w:w="2551" w:type="dxa"/>
            <w:vAlign w:val="center"/>
          </w:tcPr>
          <w:p w14:paraId="621DB941"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协同效应价值</w:t>
            </w:r>
          </w:p>
        </w:tc>
        <w:tc>
          <w:tcPr>
            <w:tcW w:w="1999" w:type="dxa"/>
            <w:vAlign w:val="center"/>
          </w:tcPr>
          <w:p w14:paraId="53B5D59D"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签订协议、项目监测与支付、风险再分配、项目调价等</w:t>
            </w:r>
          </w:p>
        </w:tc>
        <w:tc>
          <w:tcPr>
            <w:tcW w:w="1559" w:type="dxa"/>
            <w:vAlign w:val="center"/>
          </w:tcPr>
          <w:p w14:paraId="4464D51C" w14:textId="47B436A5"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识别、准备、采购、执行</w:t>
            </w:r>
          </w:p>
        </w:tc>
        <w:tc>
          <w:tcPr>
            <w:tcW w:w="2112" w:type="dxa"/>
            <w:vAlign w:val="center"/>
          </w:tcPr>
          <w:p w14:paraId="09501F4D" w14:textId="161B9111"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通过估算具体经济指标，兼顾相关方利益，为决策和判断提供依据</w:t>
            </w:r>
          </w:p>
        </w:tc>
      </w:tr>
      <w:tr w:rsidR="00AC3047" w:rsidRPr="00AC3047" w14:paraId="641C3AC2" w14:textId="77777777" w:rsidTr="00AC3047">
        <w:trPr>
          <w:trHeight w:val="652"/>
        </w:trPr>
        <w:tc>
          <w:tcPr>
            <w:tcW w:w="690" w:type="dxa"/>
            <w:vAlign w:val="center"/>
          </w:tcPr>
          <w:p w14:paraId="31CFC28B"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5</w:t>
            </w:r>
          </w:p>
        </w:tc>
        <w:tc>
          <w:tcPr>
            <w:tcW w:w="2551" w:type="dxa"/>
            <w:vAlign w:val="center"/>
          </w:tcPr>
          <w:p w14:paraId="2E86CAD3"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土地使用权</w:t>
            </w:r>
          </w:p>
        </w:tc>
        <w:tc>
          <w:tcPr>
            <w:tcW w:w="1999" w:type="dxa"/>
            <w:vAlign w:val="center"/>
          </w:tcPr>
          <w:p w14:paraId="041FDF37"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TOT 时的移交</w:t>
            </w:r>
          </w:p>
        </w:tc>
        <w:tc>
          <w:tcPr>
            <w:tcW w:w="1559" w:type="dxa"/>
            <w:vAlign w:val="center"/>
          </w:tcPr>
          <w:p w14:paraId="347C2EEB" w14:textId="67A12E2F"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执行、移交</w:t>
            </w:r>
          </w:p>
        </w:tc>
        <w:tc>
          <w:tcPr>
            <w:tcW w:w="2112" w:type="dxa"/>
            <w:vAlign w:val="center"/>
          </w:tcPr>
          <w:p w14:paraId="4F9361D0" w14:textId="7B5CF235"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出资、融资、转让、补偿</w:t>
            </w:r>
          </w:p>
        </w:tc>
      </w:tr>
      <w:tr w:rsidR="00AC3047" w:rsidRPr="00AC3047" w14:paraId="17CD14BA" w14:textId="77777777" w:rsidTr="00AC3047">
        <w:trPr>
          <w:trHeight w:val="977"/>
        </w:trPr>
        <w:tc>
          <w:tcPr>
            <w:tcW w:w="690" w:type="dxa"/>
            <w:vAlign w:val="center"/>
          </w:tcPr>
          <w:p w14:paraId="6AD589E5"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6</w:t>
            </w:r>
          </w:p>
        </w:tc>
        <w:tc>
          <w:tcPr>
            <w:tcW w:w="2551" w:type="dxa"/>
            <w:vAlign w:val="center"/>
          </w:tcPr>
          <w:p w14:paraId="3E68264D"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无形资产</w:t>
            </w:r>
          </w:p>
        </w:tc>
        <w:tc>
          <w:tcPr>
            <w:tcW w:w="1999" w:type="dxa"/>
            <w:vAlign w:val="center"/>
          </w:tcPr>
          <w:p w14:paraId="4E547855" w14:textId="0D23BD72"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作价入股、抵押融资、提前终止时的补偿、有偿移交、TOT 时的移交</w:t>
            </w:r>
          </w:p>
        </w:tc>
        <w:tc>
          <w:tcPr>
            <w:tcW w:w="1559" w:type="dxa"/>
            <w:vAlign w:val="center"/>
          </w:tcPr>
          <w:p w14:paraId="22E48E90"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执行、移交</w:t>
            </w:r>
          </w:p>
        </w:tc>
        <w:tc>
          <w:tcPr>
            <w:tcW w:w="2112" w:type="dxa"/>
            <w:vAlign w:val="center"/>
          </w:tcPr>
          <w:p w14:paraId="251E55C4"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出资、融资、转让、补偿</w:t>
            </w:r>
          </w:p>
        </w:tc>
      </w:tr>
      <w:tr w:rsidR="00AC3047" w:rsidRPr="00AC3047" w14:paraId="3423B134" w14:textId="77777777" w:rsidTr="00AC3047">
        <w:trPr>
          <w:trHeight w:val="978"/>
        </w:trPr>
        <w:tc>
          <w:tcPr>
            <w:tcW w:w="690" w:type="dxa"/>
            <w:vAlign w:val="center"/>
          </w:tcPr>
          <w:p w14:paraId="01C5C047"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7</w:t>
            </w:r>
          </w:p>
        </w:tc>
        <w:tc>
          <w:tcPr>
            <w:tcW w:w="2551" w:type="dxa"/>
            <w:vAlign w:val="center"/>
          </w:tcPr>
          <w:p w14:paraId="0C85437C"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房屋、建筑物、构筑物</w:t>
            </w:r>
          </w:p>
        </w:tc>
        <w:tc>
          <w:tcPr>
            <w:tcW w:w="1999" w:type="dxa"/>
            <w:vAlign w:val="center"/>
          </w:tcPr>
          <w:p w14:paraId="506BB0A6" w14:textId="45C40C96"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作价入股、抵押融资、提前终止时的补偿、有偿移交、TOT 时的移交</w:t>
            </w:r>
          </w:p>
        </w:tc>
        <w:tc>
          <w:tcPr>
            <w:tcW w:w="1559" w:type="dxa"/>
            <w:vAlign w:val="center"/>
          </w:tcPr>
          <w:p w14:paraId="0997BFD2"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执行、移交</w:t>
            </w:r>
          </w:p>
        </w:tc>
        <w:tc>
          <w:tcPr>
            <w:tcW w:w="2112" w:type="dxa"/>
            <w:vAlign w:val="center"/>
          </w:tcPr>
          <w:p w14:paraId="19B44765"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出资、融资、转让、补偿</w:t>
            </w:r>
          </w:p>
        </w:tc>
      </w:tr>
      <w:tr w:rsidR="00AC3047" w:rsidRPr="00AC3047" w14:paraId="46A21976" w14:textId="77777777" w:rsidTr="00AC3047">
        <w:trPr>
          <w:trHeight w:val="651"/>
        </w:trPr>
        <w:tc>
          <w:tcPr>
            <w:tcW w:w="690" w:type="dxa"/>
            <w:vAlign w:val="center"/>
          </w:tcPr>
          <w:p w14:paraId="58BC5B3C"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8</w:t>
            </w:r>
          </w:p>
        </w:tc>
        <w:tc>
          <w:tcPr>
            <w:tcW w:w="2551" w:type="dxa"/>
            <w:vAlign w:val="center"/>
          </w:tcPr>
          <w:p w14:paraId="549738C4"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企业价值</w:t>
            </w:r>
          </w:p>
        </w:tc>
        <w:tc>
          <w:tcPr>
            <w:tcW w:w="1999" w:type="dxa"/>
            <w:vAlign w:val="center"/>
          </w:tcPr>
          <w:p w14:paraId="18F05680" w14:textId="71958E80"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股权转让、质押融资、提前终止时的补偿</w:t>
            </w:r>
          </w:p>
        </w:tc>
        <w:tc>
          <w:tcPr>
            <w:tcW w:w="1559" w:type="dxa"/>
            <w:vAlign w:val="center"/>
          </w:tcPr>
          <w:p w14:paraId="630A8133" w14:textId="6C075D5C"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执行、移交</w:t>
            </w:r>
          </w:p>
        </w:tc>
        <w:tc>
          <w:tcPr>
            <w:tcW w:w="2112" w:type="dxa"/>
            <w:vAlign w:val="center"/>
          </w:tcPr>
          <w:p w14:paraId="44B09DCA" w14:textId="07663AE3"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出资、融资、转让、补偿</w:t>
            </w:r>
          </w:p>
        </w:tc>
      </w:tr>
      <w:tr w:rsidR="00AC3047" w:rsidRPr="00AC3047" w14:paraId="25EED0E6" w14:textId="77777777" w:rsidTr="00AC3047">
        <w:trPr>
          <w:trHeight w:val="652"/>
        </w:trPr>
        <w:tc>
          <w:tcPr>
            <w:tcW w:w="690" w:type="dxa"/>
            <w:vAlign w:val="center"/>
          </w:tcPr>
          <w:p w14:paraId="462FBA2B"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9</w:t>
            </w:r>
          </w:p>
        </w:tc>
        <w:tc>
          <w:tcPr>
            <w:tcW w:w="2551" w:type="dxa"/>
            <w:vAlign w:val="center"/>
          </w:tcPr>
          <w:p w14:paraId="3005D4C5" w14:textId="4E899F69" w:rsidR="00AC3047" w:rsidRPr="00AC3047" w:rsidRDefault="00B65C82" w:rsidP="00AC3047">
            <w:pPr>
              <w:pStyle w:val="13"/>
              <w:spacing w:line="240" w:lineRule="auto"/>
              <w:ind w:firstLineChars="0" w:firstLine="0"/>
              <w:jc w:val="center"/>
              <w:rPr>
                <w:sz w:val="21"/>
                <w:szCs w:val="21"/>
                <w:lang w:bidi="zh-CN"/>
              </w:rPr>
            </w:pPr>
            <w:r>
              <w:rPr>
                <w:sz w:val="21"/>
                <w:szCs w:val="21"/>
                <w:lang w:bidi="zh-CN"/>
              </w:rPr>
              <w:t>PPP</w:t>
            </w:r>
            <w:r w:rsidR="00AC3047" w:rsidRPr="00AC3047">
              <w:rPr>
                <w:sz w:val="21"/>
                <w:szCs w:val="21"/>
                <w:lang w:bidi="zh-CN"/>
              </w:rPr>
              <w:t>项目存量资产价值</w:t>
            </w:r>
          </w:p>
        </w:tc>
        <w:tc>
          <w:tcPr>
            <w:tcW w:w="1999" w:type="dxa"/>
            <w:vAlign w:val="center"/>
          </w:tcPr>
          <w:p w14:paraId="70119134" w14:textId="1188BCEA"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提前终止时的补偿、有偿移交、TOT 时的移交</w:t>
            </w:r>
          </w:p>
        </w:tc>
        <w:tc>
          <w:tcPr>
            <w:tcW w:w="1559" w:type="dxa"/>
            <w:vAlign w:val="center"/>
          </w:tcPr>
          <w:p w14:paraId="2A16FF3B" w14:textId="38E95FA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执行、移交</w:t>
            </w:r>
          </w:p>
        </w:tc>
        <w:tc>
          <w:tcPr>
            <w:tcW w:w="2112" w:type="dxa"/>
            <w:vAlign w:val="center"/>
          </w:tcPr>
          <w:p w14:paraId="713F56B8" w14:textId="77777777" w:rsidR="00AC3047" w:rsidRPr="00AC3047" w:rsidRDefault="00AC3047" w:rsidP="00AC3047">
            <w:pPr>
              <w:pStyle w:val="13"/>
              <w:spacing w:line="240" w:lineRule="auto"/>
              <w:ind w:firstLineChars="0" w:firstLine="0"/>
              <w:jc w:val="center"/>
              <w:rPr>
                <w:sz w:val="21"/>
                <w:szCs w:val="21"/>
                <w:lang w:bidi="zh-CN"/>
              </w:rPr>
            </w:pPr>
            <w:r w:rsidRPr="00AC3047">
              <w:rPr>
                <w:sz w:val="21"/>
                <w:szCs w:val="21"/>
                <w:lang w:bidi="zh-CN"/>
              </w:rPr>
              <w:t>转让、补偿</w:t>
            </w:r>
          </w:p>
        </w:tc>
      </w:tr>
    </w:tbl>
    <w:p w14:paraId="0010E473" w14:textId="03FFF089" w:rsidR="00AC3047" w:rsidRDefault="00AC3047" w:rsidP="00AC3047">
      <w:pPr>
        <w:pStyle w:val="13"/>
      </w:pPr>
      <w:r>
        <w:rPr>
          <w:rFonts w:hint="eastAsia"/>
        </w:rPr>
        <w:t>备注：在</w:t>
      </w:r>
      <w:r w:rsidR="00B65C82">
        <w:t>PPP</w:t>
      </w:r>
      <w:r>
        <w:t>项目实施的各阶段中，所涉及的资产评估业务委托方通常为政府、项目实施机构、社会资本、项目公司中的一方或多方。</w:t>
      </w:r>
    </w:p>
    <w:p w14:paraId="2C304324" w14:textId="17DBC775" w:rsidR="007A3C56" w:rsidRDefault="00AC3047" w:rsidP="00AC3047">
      <w:pPr>
        <w:pStyle w:val="ab"/>
        <w:spacing w:before="62" w:after="62"/>
        <w:ind w:firstLine="482"/>
      </w:pPr>
      <w:r>
        <w:rPr>
          <w:rFonts w:hint="eastAsia"/>
        </w:rPr>
        <w:t>二、</w:t>
      </w:r>
      <w:r w:rsidR="00B65C82">
        <w:t>PPP</w:t>
      </w:r>
      <w:r>
        <w:t>项目各阶段资产评估主要关注点</w:t>
      </w:r>
    </w:p>
    <w:p w14:paraId="0CB5EB64" w14:textId="77777777" w:rsidR="00AC3047" w:rsidRDefault="00AC3047" w:rsidP="00AC3047">
      <w:pPr>
        <w:pStyle w:val="13"/>
      </w:pPr>
      <w:r>
        <w:rPr>
          <w:rFonts w:hint="eastAsia"/>
        </w:rPr>
        <w:t>（一）执行阶段项目公司成立时的资产评估</w:t>
      </w:r>
    </w:p>
    <w:p w14:paraId="716C8313" w14:textId="3A141300" w:rsidR="007A3C56" w:rsidRDefault="00AC3047" w:rsidP="00AC3047">
      <w:pPr>
        <w:pStyle w:val="13"/>
      </w:pPr>
      <w:r>
        <w:t>1、用于出资的资产应是《公司法》、《公司登记管理条例》规定允许出资的资产。项目公司成立时一般主要包括货币资金、房屋、机器设备、土地使用权、无形资产等。通常注意，项目收益权及与之相关的特许经营权不能用于项目公司的出资。</w:t>
      </w:r>
    </w:p>
    <w:p w14:paraId="28950979" w14:textId="0D2DC024" w:rsidR="00AC3047" w:rsidRDefault="00AC3047" w:rsidP="00AC3047">
      <w:pPr>
        <w:pStyle w:val="13"/>
      </w:pPr>
      <w:r>
        <w:t>2、拟出资资产应当是</w:t>
      </w:r>
      <w:r w:rsidR="00B65C82">
        <w:t>PPP</w:t>
      </w:r>
      <w:r>
        <w:t>项目所需要的资产。</w:t>
      </w:r>
    </w:p>
    <w:p w14:paraId="78993E8C" w14:textId="77777777" w:rsidR="00AC3047" w:rsidRDefault="00AC3047" w:rsidP="00AC3047">
      <w:pPr>
        <w:pStyle w:val="13"/>
      </w:pPr>
      <w:r>
        <w:t>3、如已约定无偿移交的，在出资时应考虑无偿移交因素对评估价值的影响。</w:t>
      </w:r>
    </w:p>
    <w:p w14:paraId="2A0167AA" w14:textId="77777777" w:rsidR="00AC3047" w:rsidRDefault="00AC3047" w:rsidP="00AC3047">
      <w:pPr>
        <w:pStyle w:val="13"/>
      </w:pPr>
      <w:r>
        <w:t>4、关注拟出资资产的权属状况。</w:t>
      </w:r>
    </w:p>
    <w:p w14:paraId="12F2A054" w14:textId="77777777" w:rsidR="00AC3047" w:rsidRDefault="00AC3047" w:rsidP="00AC3047">
      <w:pPr>
        <w:pStyle w:val="13"/>
      </w:pPr>
      <w:r>
        <w:t>5、评估报告披露需要注意：拟出资资产权属状况以及实物资产产权变更产生的税费处理方式。</w:t>
      </w:r>
    </w:p>
    <w:p w14:paraId="00FD7981" w14:textId="77777777" w:rsidR="00AC3047" w:rsidRDefault="00AC3047" w:rsidP="00AC3047">
      <w:pPr>
        <w:pStyle w:val="13"/>
      </w:pPr>
      <w:r>
        <w:rPr>
          <w:rFonts w:hint="eastAsia"/>
        </w:rPr>
        <w:t>（二）执行阶段社会资本或项目公司在融资时的评估</w:t>
      </w:r>
    </w:p>
    <w:p w14:paraId="172B0C2D" w14:textId="63CA0F77" w:rsidR="00AC3047" w:rsidRDefault="00AC3047" w:rsidP="00AC3047">
      <w:pPr>
        <w:pStyle w:val="13"/>
      </w:pPr>
      <w:r>
        <w:t>1、对于已设定抵（质）</w:t>
      </w:r>
      <w:proofErr w:type="gramStart"/>
      <w:r>
        <w:t>押权的</w:t>
      </w:r>
      <w:proofErr w:type="gramEnd"/>
      <w:r>
        <w:t>资产，已经在项目资产上设定抵押权的项目收益权，需要考虑其可能对评估结果产生的影响。</w:t>
      </w:r>
    </w:p>
    <w:p w14:paraId="697EEAAB" w14:textId="77777777" w:rsidR="00AC3047" w:rsidRDefault="00AC3047" w:rsidP="00AC3047">
      <w:pPr>
        <w:pStyle w:val="13"/>
      </w:pPr>
      <w:r>
        <w:t>2、需要选择适当的价值类型，并考虑不同交易市场的价格水平可能存在的差异，选择合适的交易市场数据进行评估。</w:t>
      </w:r>
    </w:p>
    <w:p w14:paraId="44FDA309" w14:textId="77777777" w:rsidR="00AC3047" w:rsidRDefault="00AC3047" w:rsidP="00AC3047">
      <w:pPr>
        <w:pStyle w:val="13"/>
      </w:pPr>
      <w:r>
        <w:lastRenderedPageBreak/>
        <w:t>3、需要关注评估对象的法律、经济、技术等具体特征，并考虑与处置相关的税费计算原则与方式。</w:t>
      </w:r>
    </w:p>
    <w:p w14:paraId="51646AA2" w14:textId="49D76273" w:rsidR="00AC3047" w:rsidRDefault="00AC3047" w:rsidP="00AC3047">
      <w:pPr>
        <w:pStyle w:val="13"/>
      </w:pPr>
      <w:r>
        <w:t>4、使用无形资产融资时的评估，如果无形资产与</w:t>
      </w:r>
      <w:r w:rsidR="00B65C82">
        <w:t>PPP</w:t>
      </w:r>
      <w:r>
        <w:t>项目直接相关，考虑无形资产未来收益与</w:t>
      </w:r>
      <w:r w:rsidR="00B65C82">
        <w:t>PPP</w:t>
      </w:r>
      <w:r>
        <w:t>项目投入产出、项目实施方案、物有所值评价、财政承受能力论证等相关数据的一致性。</w:t>
      </w:r>
    </w:p>
    <w:p w14:paraId="145BA4F1" w14:textId="77777777" w:rsidR="00AC3047" w:rsidRDefault="00AC3047" w:rsidP="00AC3047">
      <w:pPr>
        <w:pStyle w:val="13"/>
      </w:pPr>
      <w:r>
        <w:t>5、对于有锁定期或其他股权变更限制的股权，需要注意其对评估结果的影响。</w:t>
      </w:r>
    </w:p>
    <w:p w14:paraId="1AD36E18" w14:textId="77777777" w:rsidR="00AC3047" w:rsidRDefault="00AC3047" w:rsidP="00AC3047">
      <w:pPr>
        <w:pStyle w:val="13"/>
      </w:pPr>
      <w:r>
        <w:t>6、如已约定无偿移交的，在融资时需要考虑资产无偿移交因素对评估价值的影响。</w:t>
      </w:r>
    </w:p>
    <w:p w14:paraId="2B129546" w14:textId="06897E97" w:rsidR="00AC3047" w:rsidRDefault="00AC3047" w:rsidP="00AC3047">
      <w:pPr>
        <w:pStyle w:val="13"/>
      </w:pPr>
      <w:r>
        <w:t>7、评估报告中披露需要注意已设定抵（质）押权、担保的资产对评估结果产生的影</w:t>
      </w:r>
      <w:r>
        <w:rPr>
          <w:rFonts w:hint="eastAsia"/>
        </w:rPr>
        <w:t>响。</w:t>
      </w:r>
    </w:p>
    <w:p w14:paraId="02F56611" w14:textId="77777777" w:rsidR="00AC3047" w:rsidRDefault="00AC3047" w:rsidP="00AC3047">
      <w:pPr>
        <w:pStyle w:val="13"/>
      </w:pPr>
      <w:r>
        <w:rPr>
          <w:rFonts w:hint="eastAsia"/>
        </w:rPr>
        <w:t>（三）执行阶段土地、商业性物业的评估</w:t>
      </w:r>
    </w:p>
    <w:p w14:paraId="1B59402B" w14:textId="0821AC83" w:rsidR="00AC3047" w:rsidRDefault="00AC3047" w:rsidP="00AC3047">
      <w:pPr>
        <w:pStyle w:val="13"/>
      </w:pPr>
      <w:r>
        <w:t>1、土地、商业性物业的收益期限、开发利用方式、开发规模和频度等需要以</w:t>
      </w:r>
      <w:r w:rsidR="00B65C82">
        <w:t>PPP</w:t>
      </w:r>
      <w:r>
        <w:t>项目合同或者其他相关协议中的约定为准。</w:t>
      </w:r>
    </w:p>
    <w:p w14:paraId="49FF689F" w14:textId="56F79267" w:rsidR="00AC3047" w:rsidRDefault="00AC3047" w:rsidP="00AC3047">
      <w:pPr>
        <w:pStyle w:val="13"/>
      </w:pPr>
      <w:r>
        <w:t>2、如果</w:t>
      </w:r>
      <w:r w:rsidR="00B65C82">
        <w:t>PPP</w:t>
      </w:r>
      <w:r>
        <w:t>项目合同或者其他相关协议中约定，土地使用权或商业性物业只能由特定权利人开发或者使用，则通常考虑由此对土地使用权或商业性物业具体评估方法选用以及评估结果的影响。</w:t>
      </w:r>
    </w:p>
    <w:p w14:paraId="665D72AD" w14:textId="284FCF42" w:rsidR="00AC3047" w:rsidRDefault="00AC3047" w:rsidP="00AC3047">
      <w:pPr>
        <w:pStyle w:val="13"/>
      </w:pPr>
      <w:r>
        <w:t>3、在估算土地、商业性物业时，需要考虑</w:t>
      </w:r>
      <w:r w:rsidR="00B65C82">
        <w:t>PPP</w:t>
      </w:r>
      <w:r>
        <w:t>项目建成后形成的商业氛围、交通便利、地理条件等对土地使用权、商业性物业价值的影响。</w:t>
      </w:r>
    </w:p>
    <w:p w14:paraId="2A054BAA" w14:textId="77777777" w:rsidR="00AC3047" w:rsidRDefault="00AC3047" w:rsidP="00AC3047">
      <w:pPr>
        <w:pStyle w:val="13"/>
      </w:pPr>
      <w:r>
        <w:t>4、评估报告披露需要注意是否有勘查受限的情况。</w:t>
      </w:r>
    </w:p>
    <w:p w14:paraId="4556BB39" w14:textId="77777777" w:rsidR="00AC3047" w:rsidRDefault="00AC3047" w:rsidP="00AC3047">
      <w:pPr>
        <w:pStyle w:val="13"/>
      </w:pPr>
      <w:r>
        <w:rPr>
          <w:rFonts w:hint="eastAsia"/>
        </w:rPr>
        <w:t>（四）合同提前终止时的补偿评估</w:t>
      </w:r>
    </w:p>
    <w:p w14:paraId="2B595E43" w14:textId="77777777" w:rsidR="00AC3047" w:rsidRDefault="00AC3047" w:rsidP="00AC3047">
      <w:pPr>
        <w:pStyle w:val="13"/>
      </w:pPr>
      <w:r>
        <w:t>1、补偿评估一般采用成本法或市场法，特殊情况可能采用收益法进行评估。</w:t>
      </w:r>
    </w:p>
    <w:p w14:paraId="1E82010A" w14:textId="51DD42EE" w:rsidR="00AC3047" w:rsidRDefault="00AC3047" w:rsidP="00AC3047">
      <w:pPr>
        <w:pStyle w:val="13"/>
      </w:pPr>
      <w:r>
        <w:t>2、如果</w:t>
      </w:r>
      <w:r w:rsidR="00B65C82">
        <w:t>PPP</w:t>
      </w:r>
      <w:r>
        <w:t>项目合同对于提前终止时各项资产补偿评估有约定的，应按约定的内容进行评估。</w:t>
      </w:r>
    </w:p>
    <w:p w14:paraId="7C6EA828" w14:textId="77777777" w:rsidR="00AC3047" w:rsidRDefault="00AC3047" w:rsidP="00AC3047">
      <w:pPr>
        <w:pStyle w:val="13"/>
      </w:pPr>
      <w:r>
        <w:rPr>
          <w:rFonts w:hint="eastAsia"/>
        </w:rPr>
        <w:t>（五）项目移交时的资产评估</w:t>
      </w:r>
    </w:p>
    <w:p w14:paraId="3C360A55" w14:textId="77777777" w:rsidR="00AC3047" w:rsidRDefault="00AC3047" w:rsidP="00AC3047">
      <w:pPr>
        <w:pStyle w:val="13"/>
      </w:pPr>
      <w:r>
        <w:rPr>
          <w:rFonts w:hint="eastAsia"/>
        </w:rPr>
        <w:t>在项目移交时，资产评估主要存在两种情形，一是了解移交资产价值，二是为有偿移交提供价值参考依据。项目移交时的资产评估需要重点关注以下方面：</w:t>
      </w:r>
    </w:p>
    <w:p w14:paraId="003725D7" w14:textId="77777777" w:rsidR="00AC3047" w:rsidRDefault="00AC3047" w:rsidP="00AC3047">
      <w:pPr>
        <w:pStyle w:val="13"/>
      </w:pPr>
      <w:r>
        <w:t>1、明确移交资产范围，根据移交资产范围准确界定资产评估范围和对象。</w:t>
      </w:r>
    </w:p>
    <w:p w14:paraId="5EB35D1B" w14:textId="0F838D79" w:rsidR="00AC3047" w:rsidRDefault="00AC3047" w:rsidP="00AC3047">
      <w:pPr>
        <w:pStyle w:val="13"/>
      </w:pPr>
      <w:r>
        <w:t>2、根据移交资产的特点、价值类型、资料搜集情况等条件，合理选择一种或者多种方法进行评估。当</w:t>
      </w:r>
      <w:r w:rsidR="00B65C82">
        <w:t>PPP</w:t>
      </w:r>
      <w:r>
        <w:t>项目合同中对评估方法选用有约定的，应从其约定。</w:t>
      </w:r>
    </w:p>
    <w:p w14:paraId="2207B0E6" w14:textId="77777777" w:rsidR="00AC3047" w:rsidRDefault="00AC3047" w:rsidP="00AC3047">
      <w:pPr>
        <w:pStyle w:val="13"/>
      </w:pPr>
      <w:r>
        <w:t>3、需要充分考虑移交资产的物理性能状况、可用状态和范围及资产剩余经济寿命期对评估结果的影响。</w:t>
      </w:r>
    </w:p>
    <w:p w14:paraId="1C1A327C" w14:textId="6AEDFFE2" w:rsidR="00AC3047" w:rsidRDefault="00AC3047" w:rsidP="00AC3047">
      <w:pPr>
        <w:pStyle w:val="ab"/>
        <w:spacing w:before="62" w:after="62"/>
        <w:ind w:firstLine="482"/>
      </w:pPr>
      <w:r>
        <w:rPr>
          <w:rFonts w:hint="eastAsia"/>
        </w:rPr>
        <w:t>三、</w:t>
      </w:r>
      <w:r w:rsidR="00B65C82">
        <w:t>PPP</w:t>
      </w:r>
      <w:r>
        <w:t>项目全生命周期与价值估算相关咨询业务主要关注点</w:t>
      </w:r>
    </w:p>
    <w:p w14:paraId="340F8B1A" w14:textId="14F20497" w:rsidR="00AC3047" w:rsidRDefault="00AC3047" w:rsidP="00AC3047">
      <w:pPr>
        <w:pStyle w:val="13"/>
      </w:pPr>
      <w:r>
        <w:rPr>
          <w:rFonts w:hint="eastAsia"/>
        </w:rPr>
        <w:t>在</w:t>
      </w:r>
      <w:r>
        <w:t>PPP项目全生命周期中，除上述资产评估业务，还需要大量的资产评估咨询业务，包括但不限于收费定价权、特许经营权合同权益的价值咨询；项目收益、项目</w:t>
      </w:r>
      <w:r>
        <w:lastRenderedPageBreak/>
        <w:t>内部收益率、项目净现值等指标的预测咨询。资产评估咨询业</w:t>
      </w:r>
      <w:proofErr w:type="gramStart"/>
      <w:r>
        <w:t>务需</w:t>
      </w:r>
      <w:proofErr w:type="gramEnd"/>
      <w:r>
        <w:t>要关注以下方面：</w:t>
      </w:r>
    </w:p>
    <w:p w14:paraId="522BEAB9" w14:textId="3D7D0077" w:rsidR="00AC3047" w:rsidRDefault="00AC3047" w:rsidP="00AC3047">
      <w:pPr>
        <w:pStyle w:val="13"/>
      </w:pPr>
      <w:r>
        <w:t>1、预测通常建立在对行业和市场有充分了解的基础上进行，具有可靠性较强的依</w:t>
      </w:r>
      <w:r>
        <w:rPr>
          <w:rFonts w:hint="eastAsia"/>
        </w:rPr>
        <w:t>据；</w:t>
      </w:r>
    </w:p>
    <w:p w14:paraId="48964A25" w14:textId="536293E4" w:rsidR="00AC3047" w:rsidRDefault="00AC3047" w:rsidP="00AC3047">
      <w:pPr>
        <w:pStyle w:val="13"/>
      </w:pPr>
      <w:r>
        <w:t>2、收费定价权、特许经营权的价值一般使用收益法进行测算，需要充分考虑分成</w:t>
      </w:r>
      <w:r>
        <w:rPr>
          <w:rFonts w:hint="eastAsia"/>
        </w:rPr>
        <w:t>率、折现率等参数选择的合理性；</w:t>
      </w:r>
    </w:p>
    <w:p w14:paraId="64216C72" w14:textId="07D07350" w:rsidR="00AC3047" w:rsidRDefault="00AC3047" w:rsidP="00AC3047">
      <w:pPr>
        <w:pStyle w:val="13"/>
      </w:pPr>
      <w:r>
        <w:t>3、关注内部收益率、净现值等指标与整个项目方案、物有所值评价等数据的一致</w:t>
      </w:r>
      <w:r>
        <w:rPr>
          <w:rFonts w:hint="eastAsia"/>
        </w:rPr>
        <w:t>性。</w:t>
      </w:r>
    </w:p>
    <w:p w14:paraId="714A2E8C" w14:textId="5AC623FF" w:rsidR="00AC3047" w:rsidRDefault="00AC3047" w:rsidP="00AC3047">
      <w:pPr>
        <w:pStyle w:val="13"/>
      </w:pPr>
      <w:r>
        <w:rPr>
          <w:rFonts w:hint="eastAsia"/>
        </w:rPr>
        <w:t>四、</w:t>
      </w:r>
      <w:r w:rsidR="00B65C82">
        <w:t>PPP</w:t>
      </w:r>
      <w:r>
        <w:t>项目实施中资产评估披露主要关注点</w:t>
      </w:r>
    </w:p>
    <w:p w14:paraId="45E8A898" w14:textId="3CE7344F" w:rsidR="00AC3047" w:rsidRDefault="00AC3047" w:rsidP="00AC3047">
      <w:pPr>
        <w:pStyle w:val="13"/>
      </w:pPr>
      <w:r>
        <w:rPr>
          <w:rFonts w:hint="eastAsia"/>
        </w:rPr>
        <w:t>（一）</w:t>
      </w:r>
      <w:r w:rsidR="00B65C82">
        <w:t>PPP</w:t>
      </w:r>
      <w:r>
        <w:t>项目基本情况以及项目所处的阶段；</w:t>
      </w:r>
    </w:p>
    <w:p w14:paraId="0998B340" w14:textId="6CE8BB02" w:rsidR="00AC3047" w:rsidRDefault="00AC3047" w:rsidP="00AC3047">
      <w:pPr>
        <w:pStyle w:val="13"/>
      </w:pPr>
      <w:r>
        <w:rPr>
          <w:rFonts w:hint="eastAsia"/>
        </w:rPr>
        <w:t>（二）</w:t>
      </w:r>
      <w:r w:rsidR="00B65C82">
        <w:t>PPP</w:t>
      </w:r>
      <w:r>
        <w:t>项目合同与</w:t>
      </w:r>
      <w:r w:rsidR="00B65C82">
        <w:t>PPP</w:t>
      </w:r>
      <w:r>
        <w:t>项目实施方案主要事项；</w:t>
      </w:r>
    </w:p>
    <w:p w14:paraId="42216488" w14:textId="77777777" w:rsidR="00AC3047" w:rsidRDefault="00AC3047" w:rsidP="00AC3047">
      <w:pPr>
        <w:pStyle w:val="13"/>
      </w:pPr>
      <w:r>
        <w:rPr>
          <w:rFonts w:hint="eastAsia"/>
        </w:rPr>
        <w:t>（三）引用其他机构出具的报告结论的方式以及调整情况；</w:t>
      </w:r>
    </w:p>
    <w:p w14:paraId="78CDC720" w14:textId="62E4839A" w:rsidR="00AC3047" w:rsidRDefault="00AC3047" w:rsidP="00AC3047">
      <w:pPr>
        <w:pStyle w:val="13"/>
      </w:pPr>
      <w:r>
        <w:rPr>
          <w:rFonts w:hint="eastAsia"/>
        </w:rPr>
        <w:t>（四）权属资料不全或者存在瑕疵的情形，评估程序受到限制的情形，评估资料不完整的情形；</w:t>
      </w:r>
    </w:p>
    <w:p w14:paraId="2ACFA725" w14:textId="77777777" w:rsidR="00AC3047" w:rsidRDefault="00AC3047" w:rsidP="00AC3047">
      <w:pPr>
        <w:pStyle w:val="13"/>
      </w:pPr>
      <w:r>
        <w:rPr>
          <w:rFonts w:hint="eastAsia"/>
        </w:rPr>
        <w:t>（五）评估基准</w:t>
      </w:r>
      <w:proofErr w:type="gramStart"/>
      <w:r>
        <w:rPr>
          <w:rFonts w:hint="eastAsia"/>
        </w:rPr>
        <w:t>日存在</w:t>
      </w:r>
      <w:proofErr w:type="gramEnd"/>
      <w:r>
        <w:rPr>
          <w:rFonts w:hint="eastAsia"/>
        </w:rPr>
        <w:t>的法律、经济等未决事项；</w:t>
      </w:r>
    </w:p>
    <w:p w14:paraId="7B4C0A0F" w14:textId="77777777" w:rsidR="00AC3047" w:rsidRDefault="00AC3047" w:rsidP="00AC3047">
      <w:pPr>
        <w:pStyle w:val="13"/>
      </w:pPr>
      <w:r>
        <w:rPr>
          <w:rFonts w:hint="eastAsia"/>
        </w:rPr>
        <w:t>（六）担保、租赁及其或有负债（或有资产）等事项的性质、金额以及与评估对象的关系；</w:t>
      </w:r>
    </w:p>
    <w:p w14:paraId="2F2AD690" w14:textId="77777777" w:rsidR="00AC3047" w:rsidRDefault="00AC3047" w:rsidP="00AC3047">
      <w:pPr>
        <w:pStyle w:val="13"/>
      </w:pPr>
      <w:r>
        <w:rPr>
          <w:rFonts w:hint="eastAsia"/>
        </w:rPr>
        <w:t>（七）评估基准日至评估报告日期间可能对评估结论产生影响的事项；</w:t>
      </w:r>
    </w:p>
    <w:p w14:paraId="1976288F" w14:textId="77777777" w:rsidR="00AC3047" w:rsidRDefault="00AC3047" w:rsidP="00AC3047">
      <w:pPr>
        <w:pStyle w:val="13"/>
      </w:pPr>
      <w:r>
        <w:rPr>
          <w:rFonts w:hint="eastAsia"/>
        </w:rPr>
        <w:t>（八）可能对评估结论产生重大影响的瑕疵情形；</w:t>
      </w:r>
    </w:p>
    <w:p w14:paraId="41D086A1" w14:textId="77777777" w:rsidR="00AC3047" w:rsidRDefault="00AC3047" w:rsidP="00AC3047">
      <w:pPr>
        <w:pStyle w:val="13"/>
      </w:pPr>
      <w:r>
        <w:rPr>
          <w:rFonts w:hint="eastAsia"/>
        </w:rPr>
        <w:t>（九）其他事项。</w:t>
      </w:r>
    </w:p>
    <w:p w14:paraId="77C9A9D3" w14:textId="505133B2" w:rsidR="00AC3047" w:rsidRDefault="00AC3047" w:rsidP="00AF7342">
      <w:pPr>
        <w:pStyle w:val="a9"/>
        <w:spacing w:before="62" w:after="62"/>
      </w:pPr>
      <w:r>
        <w:rPr>
          <w:rFonts w:hint="eastAsia"/>
        </w:rPr>
        <w:t>第二节</w:t>
      </w:r>
      <w:r w:rsidR="00B65C82">
        <w:t>PPP</w:t>
      </w:r>
      <w:r>
        <w:t>存量项目评估基本操作要求</w:t>
      </w:r>
    </w:p>
    <w:p w14:paraId="27D7290A" w14:textId="40454029" w:rsidR="00AC3047" w:rsidRDefault="00AC3047" w:rsidP="00AC3047">
      <w:pPr>
        <w:pStyle w:val="ab"/>
        <w:spacing w:before="62" w:after="62"/>
        <w:ind w:firstLine="482"/>
      </w:pPr>
      <w:r>
        <w:rPr>
          <w:rFonts w:hint="eastAsia"/>
        </w:rPr>
        <w:t>一、</w:t>
      </w:r>
      <w:r w:rsidR="00B65C82">
        <w:t>PPP</w:t>
      </w:r>
      <w:r>
        <w:t>存量项目的范畴</w:t>
      </w:r>
    </w:p>
    <w:p w14:paraId="044E2E71" w14:textId="16ED004B" w:rsidR="00AC3047" w:rsidRDefault="00B65C82" w:rsidP="00AC3047">
      <w:pPr>
        <w:pStyle w:val="13"/>
      </w:pPr>
      <w:r>
        <w:t>PPP</w:t>
      </w:r>
      <w:r w:rsidR="00AC3047">
        <w:t>存量项目通常包括采用委托运营、管理合同、转让-运营-移交和改建-运营-移交等运作方式的项目。</w:t>
      </w:r>
    </w:p>
    <w:p w14:paraId="4658554E" w14:textId="7C83B8DD" w:rsidR="00AC3047" w:rsidRDefault="00AC3047" w:rsidP="00AC3047">
      <w:pPr>
        <w:pStyle w:val="ab"/>
        <w:spacing w:before="62" w:after="62"/>
        <w:ind w:firstLine="482"/>
      </w:pPr>
      <w:r>
        <w:rPr>
          <w:rFonts w:hint="eastAsia"/>
        </w:rPr>
        <w:t>二、</w:t>
      </w:r>
      <w:r w:rsidR="00B65C82">
        <w:t>PPP</w:t>
      </w:r>
      <w:r>
        <w:t>存量项目的评估对象和范围</w:t>
      </w:r>
    </w:p>
    <w:p w14:paraId="45CD6A47" w14:textId="1C13DC8B" w:rsidR="00AC3047" w:rsidRDefault="00AC3047" w:rsidP="00AC3047">
      <w:pPr>
        <w:pStyle w:val="13"/>
      </w:pPr>
      <w:r>
        <w:rPr>
          <w:rFonts w:hint="eastAsia"/>
        </w:rPr>
        <w:t>（一）</w:t>
      </w:r>
      <w:r w:rsidR="00B65C82">
        <w:t>PPP</w:t>
      </w:r>
      <w:r>
        <w:t>存量项目的评估对象和评估范围最终确定</w:t>
      </w:r>
      <w:proofErr w:type="gramStart"/>
      <w:r>
        <w:t>权在于</w:t>
      </w:r>
      <w:proofErr w:type="gramEnd"/>
      <w:r>
        <w:t>委托</w:t>
      </w:r>
    </w:p>
    <w:p w14:paraId="7472F092" w14:textId="77777777" w:rsidR="00AC3047" w:rsidRDefault="00AC3047" w:rsidP="00AC3047">
      <w:pPr>
        <w:pStyle w:val="13"/>
      </w:pPr>
      <w:r>
        <w:rPr>
          <w:rFonts w:hint="eastAsia"/>
        </w:rPr>
        <w:t>方，评估机构需要根据专业经验建议委托方合理确定评估对象和评估范围，并在委托合同中明确约定评估对象和评估范围。</w:t>
      </w:r>
    </w:p>
    <w:p w14:paraId="7883F584" w14:textId="64A86C77" w:rsidR="00AC3047" w:rsidRDefault="00AC3047" w:rsidP="00AC3047">
      <w:pPr>
        <w:pStyle w:val="13"/>
      </w:pPr>
      <w:r>
        <w:rPr>
          <w:rFonts w:hint="eastAsia"/>
        </w:rPr>
        <w:t>（二）对于涉及资产或者权利转移的</w:t>
      </w:r>
      <w:r w:rsidR="00B65C82">
        <w:t>PPP</w:t>
      </w:r>
      <w:r>
        <w:t>存量项目，评估对象主要包括以下三类：</w:t>
      </w:r>
    </w:p>
    <w:p w14:paraId="796EB91E" w14:textId="7B5AF2D7" w:rsidR="00AC3047" w:rsidRDefault="00AC3047" w:rsidP="00AC3047">
      <w:pPr>
        <w:pStyle w:val="13"/>
      </w:pPr>
      <w:r>
        <w:t>1、项目设施经营权资产组。项目设施经营权资产组通常指项目设施经营权、特许经营权、合同权益等权利的组合。项目设施经营权通常不宜单独作为</w:t>
      </w:r>
      <w:r w:rsidR="00B65C82">
        <w:t>PPP</w:t>
      </w:r>
      <w:r>
        <w:t>存量项目的评估对象。</w:t>
      </w:r>
    </w:p>
    <w:p w14:paraId="4C24D9E4" w14:textId="3CD40EDD" w:rsidR="00AC3047" w:rsidRDefault="00AC3047" w:rsidP="00AC3047">
      <w:pPr>
        <w:pStyle w:val="13"/>
      </w:pPr>
      <w:r>
        <w:t>2、项目设施所有权资产组。项目设施所有权资产组通常指项目设施所有权、特</w:t>
      </w:r>
      <w:r>
        <w:lastRenderedPageBreak/>
        <w:t>许经营权、合同权益等权利的组合。项目设施所有权通常不宜单独作为</w:t>
      </w:r>
      <w:r w:rsidR="00B65C82">
        <w:t>PPP</w:t>
      </w:r>
      <w:r>
        <w:t>存量项目的评估对象。项目设施所有权中涉及的土地评估业务，应按照《资产评估法》要求，履行必要程序，按照资产评估、土地评估相关国家标准、规定，编制评估报告，并进行恰当披露。</w:t>
      </w:r>
    </w:p>
    <w:p w14:paraId="265160A0" w14:textId="3CC7DB8A" w:rsidR="00AC3047" w:rsidRDefault="00AC3047" w:rsidP="00AC3047">
      <w:pPr>
        <w:pStyle w:val="13"/>
      </w:pPr>
      <w:r>
        <w:t>3、项目公司的股权。项目公司的股权包括项目公司的股东全部权益和股东部分权</w:t>
      </w:r>
      <w:r>
        <w:rPr>
          <w:rFonts w:hint="eastAsia"/>
        </w:rPr>
        <w:t>益。</w:t>
      </w:r>
    </w:p>
    <w:p w14:paraId="0A46C8A2" w14:textId="0D72D571" w:rsidR="00AC3047" w:rsidRDefault="00AC3047" w:rsidP="00AC3047">
      <w:pPr>
        <w:pStyle w:val="13"/>
      </w:pPr>
      <w:r>
        <w:rPr>
          <w:rFonts w:hint="eastAsia"/>
        </w:rPr>
        <w:t>（三）对于不涉及资产或者权利转移的</w:t>
      </w:r>
      <w:r w:rsidR="00B65C82">
        <w:t>PPP</w:t>
      </w:r>
      <w:r>
        <w:t>存量项目，评估对象通常包括委托运营</w:t>
      </w:r>
      <w:r>
        <w:rPr>
          <w:rFonts w:hint="eastAsia"/>
        </w:rPr>
        <w:t>费和管理费。例如，在委托运营模式下，评估对象通常为政府方向社会资本方支付的委托运营费；在管理合同模式下，评估对象通常为政府方向社会资本方支付的管理费。</w:t>
      </w:r>
    </w:p>
    <w:p w14:paraId="588BA65F" w14:textId="4C3F68AB" w:rsidR="00AC3047" w:rsidRDefault="00AC3047" w:rsidP="00AC3047">
      <w:pPr>
        <w:pStyle w:val="ab"/>
        <w:spacing w:before="62" w:after="62"/>
        <w:ind w:firstLine="482"/>
      </w:pPr>
      <w:r>
        <w:rPr>
          <w:rFonts w:hint="eastAsia"/>
        </w:rPr>
        <w:t>三、</w:t>
      </w:r>
      <w:r w:rsidR="00B65C82">
        <w:t>PPP</w:t>
      </w:r>
      <w:r>
        <w:t>存量项目的评估方法</w:t>
      </w:r>
    </w:p>
    <w:p w14:paraId="53111ABD" w14:textId="2F3F5EE2" w:rsidR="00AC3047" w:rsidRDefault="00AC3047" w:rsidP="00AC3047">
      <w:pPr>
        <w:pStyle w:val="13"/>
      </w:pPr>
      <w:r>
        <w:rPr>
          <w:rFonts w:hint="eastAsia"/>
        </w:rPr>
        <w:t>（一）执行</w:t>
      </w:r>
      <w:r w:rsidR="00B65C82">
        <w:t>PPP</w:t>
      </w:r>
      <w:r>
        <w:t>存量项目评估业务，需要根据评估目的、评估对象、价值类型、资料收集情况等相关条件，分析收益法、市场法和成本法三种资产评估基本方法的适用性</w:t>
      </w:r>
      <w:r w:rsidR="003068F8">
        <w:t>，</w:t>
      </w:r>
      <w:r>
        <w:t>恰当选择一种或者多种资产评估基本方法。</w:t>
      </w:r>
    </w:p>
    <w:p w14:paraId="523BB5CD" w14:textId="67828954" w:rsidR="00AC3047" w:rsidRDefault="00AC3047" w:rsidP="00AC3047">
      <w:pPr>
        <w:pStyle w:val="13"/>
      </w:pPr>
      <w:r>
        <w:rPr>
          <w:rFonts w:hint="eastAsia"/>
        </w:rPr>
        <w:t>（二）采用收益法对</w:t>
      </w:r>
      <w:r w:rsidR="00B65C82">
        <w:t>PPP</w:t>
      </w:r>
      <w:r>
        <w:t>存量项目进行评估，需要按照收益法的基本要求开展工作，并特别关注以下事项：</w:t>
      </w:r>
    </w:p>
    <w:p w14:paraId="57BA5DF3" w14:textId="77777777" w:rsidR="00AC3047" w:rsidRDefault="00AC3047" w:rsidP="00AC3047">
      <w:pPr>
        <w:pStyle w:val="13"/>
      </w:pPr>
      <w:r>
        <w:t>1、收益期</w:t>
      </w:r>
    </w:p>
    <w:p w14:paraId="23B3235F" w14:textId="1749E256" w:rsidR="00AC3047" w:rsidRDefault="00AC3047" w:rsidP="00AC3047">
      <w:pPr>
        <w:pStyle w:val="13"/>
      </w:pPr>
      <w:r>
        <w:t>PPP存量项目的收益期通常是有限的，且与</w:t>
      </w:r>
      <w:r w:rsidR="00B65C82">
        <w:t>PPP</w:t>
      </w:r>
      <w:r>
        <w:t>项目合同约定的合作期一致。PPP项目合同对经营期届满后的续期</w:t>
      </w:r>
      <w:proofErr w:type="gramStart"/>
      <w:r>
        <w:t>作出</w:t>
      </w:r>
      <w:proofErr w:type="gramEnd"/>
      <w:r>
        <w:t>的明确约定的，可根据合同约定合理确定收益期。</w:t>
      </w:r>
    </w:p>
    <w:p w14:paraId="2A60C32A" w14:textId="77777777" w:rsidR="00AC3047" w:rsidRDefault="00AC3047" w:rsidP="00AC3047">
      <w:pPr>
        <w:pStyle w:val="13"/>
      </w:pPr>
      <w:r>
        <w:t>2、营业收入</w:t>
      </w:r>
    </w:p>
    <w:p w14:paraId="5D2BD8F4" w14:textId="0611F557" w:rsidR="00AC3047" w:rsidRDefault="00AC3047" w:rsidP="00AC3047">
      <w:pPr>
        <w:pStyle w:val="13"/>
      </w:pPr>
      <w:r>
        <w:rPr>
          <w:rFonts w:hint="eastAsia"/>
        </w:rPr>
        <w:t>对</w:t>
      </w:r>
      <w:r w:rsidR="00B65C82">
        <w:t>PPP</w:t>
      </w:r>
      <w:r>
        <w:t>存量项目的营业收入进行预测，需要以</w:t>
      </w:r>
      <w:r w:rsidR="00B65C82">
        <w:t>PPP</w:t>
      </w:r>
      <w:r>
        <w:t>项目合同和项目设施的产出能力为基础，考虑宏观和区域经济因素、所在行业现状以及发展前景的影响，合理预测项目产出物的数量和价格，还需要考虑</w:t>
      </w:r>
      <w:r w:rsidR="00B65C82">
        <w:t>PPP</w:t>
      </w:r>
      <w:r>
        <w:t>项目合同中约定的违约条款、赔偿条款、担保条款、提前终止等条款对营业收入的影响。</w:t>
      </w:r>
    </w:p>
    <w:p w14:paraId="762EF968" w14:textId="77777777" w:rsidR="00AC3047" w:rsidRDefault="00AC3047" w:rsidP="00AC3047">
      <w:pPr>
        <w:pStyle w:val="13"/>
      </w:pPr>
      <w:r>
        <w:t>3、收益口径</w:t>
      </w:r>
    </w:p>
    <w:p w14:paraId="0322F2C9" w14:textId="77777777" w:rsidR="00AC3047" w:rsidRDefault="00AC3047" w:rsidP="00AC3047">
      <w:pPr>
        <w:pStyle w:val="13"/>
      </w:pPr>
      <w:r>
        <w:rPr>
          <w:rFonts w:hint="eastAsia"/>
        </w:rPr>
        <w:t>项目设施经营权资产组、项目设施所有权资产组的收益口径通常与项目公司股权的收益口径不同。</w:t>
      </w:r>
    </w:p>
    <w:p w14:paraId="6EC8C0FD" w14:textId="77777777" w:rsidR="00AC3047" w:rsidRDefault="00AC3047" w:rsidP="00AC3047">
      <w:pPr>
        <w:pStyle w:val="13"/>
      </w:pPr>
      <w:r>
        <w:rPr>
          <w:rFonts w:hint="eastAsia"/>
        </w:rPr>
        <w:t>项目设施经营权资产组、项目设施所有权资产组的收益口径通常为超额收益。超额收益指项目总收益减去其他贡献资产的收益贡献额后的剩余收益，其他贡献资产是指与项目设施经营权资产组或者项目设施所有权资产组共同发挥作用并与项目设施经营权资产组或者项目设施所有权资产组一起对项目收益产生贡献的资产。预测资产组中所有资产的共同收益，无需区分资产组中各项资产分别贡献的收益。</w:t>
      </w:r>
    </w:p>
    <w:p w14:paraId="26A09E0E" w14:textId="16C8396C" w:rsidR="00AC3047" w:rsidRDefault="00AC3047" w:rsidP="00AC3047">
      <w:pPr>
        <w:pStyle w:val="13"/>
      </w:pPr>
      <w:r>
        <w:rPr>
          <w:rFonts w:hint="eastAsia"/>
        </w:rPr>
        <w:t>项目公司股权的收益口径通常为自由现金流、净利润。评估机构也可以根据</w:t>
      </w:r>
      <w:r w:rsidR="00B65C82">
        <w:t>PPP</w:t>
      </w:r>
      <w:r>
        <w:lastRenderedPageBreak/>
        <w:t>存量项目的具体情况选择其他恰当的预期收益口径。</w:t>
      </w:r>
    </w:p>
    <w:p w14:paraId="7ADC381A" w14:textId="77777777" w:rsidR="00AC3047" w:rsidRDefault="00AC3047" w:rsidP="00AC3047">
      <w:pPr>
        <w:pStyle w:val="13"/>
      </w:pPr>
      <w:r>
        <w:t>4、追加投资</w:t>
      </w:r>
    </w:p>
    <w:p w14:paraId="6D614669" w14:textId="77777777" w:rsidR="00AC3047" w:rsidRDefault="00AC3047" w:rsidP="00AC3047">
      <w:pPr>
        <w:pStyle w:val="13"/>
      </w:pPr>
      <w:r>
        <w:rPr>
          <w:rFonts w:hint="eastAsia"/>
        </w:rPr>
        <w:t>对预测期需追加的投资，在项目设施经营权资产组、项目设施所有权资产组评估过程中的处理方式与项目公司股权评估过程中的处理方式不同。</w:t>
      </w:r>
    </w:p>
    <w:p w14:paraId="3084D3F1" w14:textId="557094F9" w:rsidR="00AC3047" w:rsidRDefault="00AC3047" w:rsidP="00AC3047">
      <w:pPr>
        <w:pStyle w:val="13"/>
      </w:pPr>
      <w:r>
        <w:rPr>
          <w:rFonts w:hint="eastAsia"/>
        </w:rPr>
        <w:t>在项目设施经营权资产组、项目设施所有权资产组评估过程中，对预测期需追加的投资，应结合经营期限届满时的移交方式和移交要求，计算追加投资对收益的贡献额，并将追加投资对收益的贡献额从项目收益中进行扣减。</w:t>
      </w:r>
    </w:p>
    <w:p w14:paraId="72C396E5" w14:textId="77777777" w:rsidR="00AC3047" w:rsidRDefault="00AC3047" w:rsidP="00AC3047">
      <w:pPr>
        <w:pStyle w:val="13"/>
      </w:pPr>
      <w:r>
        <w:rPr>
          <w:rFonts w:hint="eastAsia"/>
        </w:rPr>
        <w:t>在项目公司股权评估过程中，对预测期需追加的投资，需要作为追加投资当期的资本性支出，并在项目公司股权收益中考虑</w:t>
      </w:r>
      <w:proofErr w:type="gramStart"/>
      <w:r>
        <w:rPr>
          <w:rFonts w:hint="eastAsia"/>
        </w:rPr>
        <w:t>该资本</w:t>
      </w:r>
      <w:proofErr w:type="gramEnd"/>
      <w:r>
        <w:rPr>
          <w:rFonts w:hint="eastAsia"/>
        </w:rPr>
        <w:t>性支出的影响。</w:t>
      </w:r>
    </w:p>
    <w:p w14:paraId="5480C0EE" w14:textId="7EE2C017" w:rsidR="00AC3047" w:rsidRDefault="00AC3047" w:rsidP="00AC3047">
      <w:pPr>
        <w:pStyle w:val="13"/>
      </w:pPr>
      <w:r>
        <w:rPr>
          <w:rFonts w:hint="eastAsia"/>
        </w:rPr>
        <w:t>预测追加投资，需要与</w:t>
      </w:r>
      <w:r w:rsidR="00B65C82">
        <w:t>PPP</w:t>
      </w:r>
      <w:r>
        <w:t>存量项目会计核算方法相协调，避免重</w:t>
      </w:r>
      <w:proofErr w:type="gramStart"/>
      <w:r>
        <w:t>计或者漏</w:t>
      </w:r>
      <w:proofErr w:type="gramEnd"/>
      <w:r>
        <w:t>计。</w:t>
      </w:r>
    </w:p>
    <w:p w14:paraId="6A766079" w14:textId="77777777" w:rsidR="00AC3047" w:rsidRDefault="00AC3047" w:rsidP="00AC3047">
      <w:pPr>
        <w:pStyle w:val="13"/>
      </w:pPr>
      <w:r>
        <w:t>5、折现率</w:t>
      </w:r>
    </w:p>
    <w:p w14:paraId="5A5FDF04" w14:textId="77777777" w:rsidR="00AC3047" w:rsidRDefault="00AC3047" w:rsidP="00AC3047">
      <w:pPr>
        <w:pStyle w:val="13"/>
      </w:pPr>
      <w:r>
        <w:rPr>
          <w:rFonts w:hint="eastAsia"/>
        </w:rPr>
        <w:t>项目设施经营权资产组、项目设施所有权资产组的折现率通常与项目公司股权的折现率内涵不一致。</w:t>
      </w:r>
    </w:p>
    <w:p w14:paraId="2AFB8D39" w14:textId="6E0FB17F" w:rsidR="00AC3047" w:rsidRDefault="00AC3047" w:rsidP="00AC3047">
      <w:pPr>
        <w:pStyle w:val="13"/>
      </w:pPr>
      <w:r>
        <w:rPr>
          <w:rFonts w:hint="eastAsia"/>
        </w:rPr>
        <w:t>折现率的确定，基于未来收益的不确定程度，考虑</w:t>
      </w:r>
      <w:r w:rsidR="00B65C82">
        <w:t>PPP</w:t>
      </w:r>
      <w:r>
        <w:t>项目合同、风险分配方案、评估基准日的利率水平、市场投资收益率以及所在行业、项目的特定风险等因素的影响</w:t>
      </w:r>
      <w:r w:rsidR="003068F8">
        <w:t>，</w:t>
      </w:r>
      <w:r>
        <w:t>并确信折现率与预期收益的口径保持一致。其中，估算项目设施经营权资产组、项目设施所有权资产组的折现率通常可采用风险累加、企业加权平均资本成本途径等方式。</w:t>
      </w:r>
    </w:p>
    <w:p w14:paraId="0F658559" w14:textId="77777777" w:rsidR="00AC3047" w:rsidRDefault="00AC3047" w:rsidP="00AC3047">
      <w:pPr>
        <w:pStyle w:val="13"/>
      </w:pPr>
      <w:r>
        <w:t>6、最后一期的收益</w:t>
      </w:r>
    </w:p>
    <w:p w14:paraId="44B95F4E" w14:textId="77777777" w:rsidR="00AC3047" w:rsidRDefault="00AC3047" w:rsidP="00AC3047">
      <w:pPr>
        <w:pStyle w:val="13"/>
      </w:pPr>
      <w:r>
        <w:rPr>
          <w:rFonts w:hint="eastAsia"/>
        </w:rPr>
        <w:t>对项目设施经营权资产组、项目设施所有权资产组进行评估过程中，经营期最后一期的超额收益测算要求与其他存续期的测算要求基本相同。</w:t>
      </w:r>
    </w:p>
    <w:p w14:paraId="168A011D" w14:textId="4B05EDB6" w:rsidR="00AC3047" w:rsidRDefault="00AC3047" w:rsidP="00AC3047">
      <w:pPr>
        <w:pStyle w:val="13"/>
      </w:pPr>
      <w:r>
        <w:rPr>
          <w:rFonts w:hint="eastAsia"/>
        </w:rPr>
        <w:t>对项目公司的股权进行评估过程中，对最后一期的收益进行预测，需要考虑</w:t>
      </w:r>
      <w:r w:rsidR="00B65C82">
        <w:t>PPP</w:t>
      </w:r>
      <w:r>
        <w:t>项目合同的移交约定、可收回的营运资金、</w:t>
      </w:r>
      <w:proofErr w:type="gramStart"/>
      <w:r>
        <w:t>未偿</w:t>
      </w:r>
      <w:proofErr w:type="gramEnd"/>
      <w:r>
        <w:t>还的借款以及移交过程中的成本费用等因 素的影响。对于项目公司或者项目中可使用期限或者经济寿命长于收益</w:t>
      </w:r>
      <w:proofErr w:type="gramStart"/>
      <w:r>
        <w:t>期且无需</w:t>
      </w:r>
      <w:proofErr w:type="gramEnd"/>
      <w:r>
        <w:t>移交或 有偿移交的资产，需要将此类资产在收益期结束时的价值纳入最后一期的净现金流之中。</w:t>
      </w:r>
    </w:p>
    <w:p w14:paraId="47597DD7" w14:textId="00075310" w:rsidR="00AC3047" w:rsidRDefault="00AC3047" w:rsidP="00AC3047">
      <w:pPr>
        <w:pStyle w:val="13"/>
      </w:pPr>
      <w:r>
        <w:rPr>
          <w:rFonts w:hint="eastAsia"/>
        </w:rPr>
        <w:t>（三）采用市场法对</w:t>
      </w:r>
      <w:r w:rsidR="00B65C82">
        <w:t>PPP</w:t>
      </w:r>
      <w:r>
        <w:t>存量项目进行评估，需要按照市场法的基本要求开展工作，在选择可比交易案例及价值比率调整过程中，还需要特别关注评估对象与可比交易案例在</w:t>
      </w:r>
      <w:proofErr w:type="spellStart"/>
      <w:r w:rsidR="00B65C82">
        <w:t>PPP</w:t>
      </w:r>
      <w:proofErr w:type="spellEnd"/>
      <w:r>
        <w:t>项目合同的约定、项目公司协议与章程的规定、风险分配方案、合作期等方面存在的差异以及可能产生的影响。</w:t>
      </w:r>
    </w:p>
    <w:p w14:paraId="4F3D85CF" w14:textId="73D7AA5B" w:rsidR="00AC3047" w:rsidRDefault="00AC3047" w:rsidP="00AC3047">
      <w:pPr>
        <w:pStyle w:val="13"/>
      </w:pPr>
      <w:r>
        <w:rPr>
          <w:rFonts w:hint="eastAsia"/>
        </w:rPr>
        <w:t>（四）采用成本法对</w:t>
      </w:r>
      <w:r w:rsidR="00B65C82">
        <w:t>PPP</w:t>
      </w:r>
      <w:r>
        <w:t>存量项目进行评估，需要按照成本法的基本要求开展工作，并分析评估对象取得成本与价值的相关程度，恰当考虑成本法的适用性；还需特别关注</w:t>
      </w:r>
      <w:r w:rsidR="00B65C82">
        <w:t>PPP</w:t>
      </w:r>
      <w:r>
        <w:t>项目合同的约定、项目公司协议与章程的规定以及合作期等因素对资产价值产生的限制或影响。当</w:t>
      </w:r>
      <w:r w:rsidR="00B65C82">
        <w:t>PPP</w:t>
      </w:r>
      <w:r>
        <w:t>存量项目评估范围中的各项资产难以完整识别并</w:t>
      </w:r>
      <w:r>
        <w:lastRenderedPageBreak/>
        <w:t>单独评估时，不宜选用成本法。</w:t>
      </w:r>
    </w:p>
    <w:p w14:paraId="63F8647A" w14:textId="0F2AB320" w:rsidR="00AC3047" w:rsidRDefault="00AC3047" w:rsidP="00AC3047">
      <w:pPr>
        <w:pStyle w:val="13"/>
      </w:pPr>
      <w:r>
        <w:rPr>
          <w:rFonts w:hint="eastAsia"/>
        </w:rPr>
        <w:t>（五）对</w:t>
      </w:r>
      <w:r w:rsidR="00B65C82">
        <w:t>PPP</w:t>
      </w:r>
      <w:r>
        <w:t>存量项目进行评估时，收益法通常为必选方法，且不应当将成本法作</w:t>
      </w:r>
      <w:r>
        <w:rPr>
          <w:rFonts w:hint="eastAsia"/>
        </w:rPr>
        <w:t>为惟一使用的方法。对同一</w:t>
      </w:r>
      <w:r w:rsidR="00B65C82">
        <w:t>PPP</w:t>
      </w:r>
      <w:r>
        <w:t>存量项目采用多种评估方法时，应当对各种初步评估结论进行分析，结合评估目的、不同评估方法使用数据的质量和数量，采用定性或者定量分析方式形成最终评估结论。</w:t>
      </w:r>
    </w:p>
    <w:p w14:paraId="4B338046" w14:textId="77777777" w:rsidR="00AC3047" w:rsidRDefault="00AC3047" w:rsidP="00AC3047">
      <w:pPr>
        <w:pStyle w:val="ab"/>
        <w:spacing w:before="62" w:after="62"/>
        <w:ind w:firstLine="482"/>
      </w:pPr>
      <w:r>
        <w:rPr>
          <w:rFonts w:hint="eastAsia"/>
        </w:rPr>
        <w:t>四、评估报告披露要求</w:t>
      </w:r>
    </w:p>
    <w:p w14:paraId="11CCE31C" w14:textId="03D3F20E" w:rsidR="00AC3047" w:rsidRDefault="00AC3047" w:rsidP="00AC3047">
      <w:pPr>
        <w:pStyle w:val="13"/>
      </w:pPr>
      <w:r>
        <w:rPr>
          <w:rFonts w:hint="eastAsia"/>
        </w:rPr>
        <w:t>执行</w:t>
      </w:r>
      <w:r w:rsidR="00B65C82">
        <w:t>PPP</w:t>
      </w:r>
      <w:r>
        <w:t>存量项目评估业务，需要特别披露以下事项：</w:t>
      </w:r>
    </w:p>
    <w:p w14:paraId="7C316F4D" w14:textId="6873C830" w:rsidR="00AC3047" w:rsidRDefault="00AC3047" w:rsidP="00AC3047">
      <w:pPr>
        <w:pStyle w:val="13"/>
      </w:pPr>
      <w:r>
        <w:rPr>
          <w:rFonts w:hint="eastAsia"/>
        </w:rPr>
        <w:t>（一）</w:t>
      </w:r>
      <w:r w:rsidR="00B65C82">
        <w:t>PPP</w:t>
      </w:r>
      <w:r>
        <w:t>存量项目的评估对象和评估范围；</w:t>
      </w:r>
    </w:p>
    <w:p w14:paraId="0F87DDC7" w14:textId="252EE750" w:rsidR="00AC3047" w:rsidRDefault="00AC3047" w:rsidP="00AC3047">
      <w:pPr>
        <w:pStyle w:val="13"/>
      </w:pPr>
      <w:r>
        <w:rPr>
          <w:rFonts w:hint="eastAsia"/>
        </w:rPr>
        <w:t>（二）</w:t>
      </w:r>
      <w:r w:rsidR="00B65C82">
        <w:t>PPP</w:t>
      </w:r>
      <w:r>
        <w:t>项目合同的主要条款及执行情况；</w:t>
      </w:r>
    </w:p>
    <w:p w14:paraId="6A53D80F" w14:textId="77777777" w:rsidR="00AC3047" w:rsidRDefault="00AC3047" w:rsidP="00AC3047">
      <w:pPr>
        <w:pStyle w:val="13"/>
      </w:pPr>
      <w:r>
        <w:rPr>
          <w:rFonts w:hint="eastAsia"/>
        </w:rPr>
        <w:t>（三）项目公司或者项目的协议、章程的主要条款；</w:t>
      </w:r>
    </w:p>
    <w:p w14:paraId="2D949D34" w14:textId="77777777" w:rsidR="00AC3047" w:rsidRDefault="00AC3047" w:rsidP="00AC3047">
      <w:pPr>
        <w:pStyle w:val="13"/>
      </w:pPr>
      <w:r>
        <w:rPr>
          <w:rFonts w:hint="eastAsia"/>
        </w:rPr>
        <w:t>（四）项目的建造情况；</w:t>
      </w:r>
    </w:p>
    <w:p w14:paraId="395FA0FE" w14:textId="77777777" w:rsidR="00AC3047" w:rsidRDefault="00AC3047" w:rsidP="00AC3047">
      <w:pPr>
        <w:pStyle w:val="13"/>
      </w:pPr>
      <w:r>
        <w:rPr>
          <w:rFonts w:hint="eastAsia"/>
        </w:rPr>
        <w:t>（五）项目的运营情况；</w:t>
      </w:r>
    </w:p>
    <w:p w14:paraId="24B00698" w14:textId="77777777" w:rsidR="00AC3047" w:rsidRDefault="00AC3047" w:rsidP="00AC3047">
      <w:pPr>
        <w:pStyle w:val="13"/>
      </w:pPr>
      <w:r>
        <w:rPr>
          <w:rFonts w:hint="eastAsia"/>
        </w:rPr>
        <w:t>（六）评估假设。</w:t>
      </w:r>
    </w:p>
    <w:p w14:paraId="4CC49420" w14:textId="77777777" w:rsidR="00AC3047" w:rsidRDefault="00AC3047" w:rsidP="00AF7342">
      <w:pPr>
        <w:pStyle w:val="a9"/>
        <w:spacing w:before="62" w:after="62"/>
      </w:pPr>
      <w:r>
        <w:rPr>
          <w:rFonts w:hint="eastAsia"/>
        </w:rPr>
        <w:t>第三节</w:t>
      </w:r>
      <w:r>
        <w:t xml:space="preserve"> 项目收益</w:t>
      </w:r>
      <w:proofErr w:type="gramStart"/>
      <w:r>
        <w:t>权价值</w:t>
      </w:r>
      <w:proofErr w:type="gramEnd"/>
      <w:r>
        <w:t>评估基本要求</w:t>
      </w:r>
    </w:p>
    <w:p w14:paraId="0FF9B24A" w14:textId="4D68F753" w:rsidR="00AC3047" w:rsidRDefault="00AC3047" w:rsidP="00AC3047">
      <w:pPr>
        <w:pStyle w:val="ab"/>
        <w:spacing w:before="62" w:after="62"/>
        <w:ind w:firstLine="482"/>
      </w:pPr>
      <w:r>
        <w:t>一、</w:t>
      </w:r>
      <w:r w:rsidR="00B65C82">
        <w:t>PPP</w:t>
      </w:r>
      <w:r>
        <w:t>项目收益权的概念</w:t>
      </w:r>
    </w:p>
    <w:p w14:paraId="2C685CA3" w14:textId="61D81229" w:rsidR="00AC3047" w:rsidRDefault="00AC3047" w:rsidP="00AC3047">
      <w:pPr>
        <w:pStyle w:val="13"/>
      </w:pPr>
      <w:r>
        <w:t>PPP项目收益权是指项目权利人基于其在项目中的投入并履行项目合同提供公共产品或者公共服务而享有项目未来净现金流的权利。项目权利人指通过适当的采购方式依法选中的社会资本；需要为项目设立专门项目公司的，项目权利人指项目公司的所有</w:t>
      </w:r>
      <w:r>
        <w:rPr>
          <w:rFonts w:hint="eastAsia"/>
        </w:rPr>
        <w:t>者。</w:t>
      </w:r>
    </w:p>
    <w:p w14:paraId="7BC3B7B5" w14:textId="393D8690" w:rsidR="00AC3047" w:rsidRDefault="00AC3047" w:rsidP="00AC3047">
      <w:pPr>
        <w:pStyle w:val="13"/>
      </w:pPr>
      <w:r>
        <w:t>PPP项目收费权可理解为权利人因提供公共产品或者服务而获得基于法律的直接</w:t>
      </w:r>
      <w:r>
        <w:rPr>
          <w:rFonts w:hint="eastAsia"/>
        </w:rPr>
        <w:t>规定或者政府的行政特许而享有的收取费用的权利。</w:t>
      </w:r>
    </w:p>
    <w:p w14:paraId="1E6B859B" w14:textId="29569593" w:rsidR="00AC3047" w:rsidRDefault="00AC3047" w:rsidP="00AC3047">
      <w:pPr>
        <w:pStyle w:val="13"/>
      </w:pPr>
      <w:r>
        <w:t>PPP项目收费收益权可理解为项目公司所有者或者社会资本因履行</w:t>
      </w:r>
      <w:r w:rsidR="00B65C82">
        <w:t>PPP</w:t>
      </w:r>
      <w:r>
        <w:t>项目合同获得收费权而产生的享有未来预期现金流的权利。</w:t>
      </w:r>
    </w:p>
    <w:p w14:paraId="1DF13FB0" w14:textId="03F006C5" w:rsidR="00AC3047" w:rsidRDefault="00AC3047" w:rsidP="00AC3047">
      <w:pPr>
        <w:pStyle w:val="13"/>
      </w:pPr>
      <w:r>
        <w:t>PPP项目合同权益是权利人因与政府或项目实施机构签订项目合同而在约定期限内获得的连续性经济利益。PPP项目收益权的基础资产为权利人在项目中的投入以及项目合同权益的组合，其中，权利人在项目中的投入形成的资产，受项目合同的制约。</w:t>
      </w:r>
    </w:p>
    <w:p w14:paraId="4B24F524" w14:textId="2A82B165" w:rsidR="00AC3047" w:rsidRDefault="00AC3047" w:rsidP="00AC3047">
      <w:pPr>
        <w:pStyle w:val="13"/>
      </w:pPr>
      <w:r>
        <w:t>PPP项目收益权通常包含特许经营权。</w:t>
      </w:r>
    </w:p>
    <w:p w14:paraId="382F3FF6" w14:textId="40C68D30" w:rsidR="00AC3047" w:rsidRDefault="00AC3047" w:rsidP="00F24348">
      <w:pPr>
        <w:pStyle w:val="13"/>
      </w:pPr>
      <w:r>
        <w:t>PPP项目收益权通常随着项目合同的签署生效而产生，随着权利</w:t>
      </w:r>
      <w:r>
        <w:rPr>
          <w:rFonts w:hint="eastAsia"/>
        </w:rPr>
        <w:t>人履行完毕</w:t>
      </w:r>
      <w:r w:rsidR="00B65C82">
        <w:t>PPP</w:t>
      </w:r>
      <w:r>
        <w:t>项目合同所约定的权利义务而消灭。在项目合同签署前，可在假设存在权利人、存在项目合同条件下，设定出模拟</w:t>
      </w:r>
      <w:r w:rsidR="00B65C82">
        <w:t>PPP</w:t>
      </w:r>
      <w:r>
        <w:t>项目收益权。</w:t>
      </w:r>
    </w:p>
    <w:p w14:paraId="5B5675F8" w14:textId="42707C48" w:rsidR="00AC3047" w:rsidRDefault="00AC3047" w:rsidP="00AC3047">
      <w:pPr>
        <w:pStyle w:val="13"/>
      </w:pPr>
      <w:r>
        <w:rPr>
          <w:rFonts w:hint="eastAsia"/>
        </w:rPr>
        <w:t>模拟</w:t>
      </w:r>
      <w:r w:rsidR="00B65C82">
        <w:t>PPP</w:t>
      </w:r>
      <w:r>
        <w:t>项目收益权的价值与</w:t>
      </w:r>
      <w:r w:rsidR="00B65C82">
        <w:t>PPP</w:t>
      </w:r>
      <w:r>
        <w:t>项目净现值虽然均在项目方案实施前测算，但两者在指标作用、测算目的、测算方法、折现率选取、风险</w:t>
      </w:r>
      <w:proofErr w:type="gramStart"/>
      <w:r>
        <w:t>考量</w:t>
      </w:r>
      <w:proofErr w:type="gramEnd"/>
      <w:r>
        <w:t>等方面存在显著差</w:t>
      </w:r>
      <w:r>
        <w:lastRenderedPageBreak/>
        <w:t>异。</w:t>
      </w:r>
      <w:r w:rsidR="00B65C82">
        <w:t>PPP</w:t>
      </w:r>
      <w:r>
        <w:t>项目净现值是指用一个预定的基准收益率（或者设定的折现率）把项目合作期间内各年预计的净现金流量折现到方案开始实施时的现值之和，可根据需要区分为所得税前净现值和所得税后净现值。净现值是评价方案优劣的指标之一，净现值大于零则方案可行，且净现值越大，方案越优。</w:t>
      </w:r>
    </w:p>
    <w:p w14:paraId="1EF89E69" w14:textId="2CF7A5E3" w:rsidR="00AC3047" w:rsidRDefault="00AC3047" w:rsidP="00F24348">
      <w:pPr>
        <w:pStyle w:val="ab"/>
        <w:spacing w:before="62" w:after="62"/>
        <w:ind w:firstLine="482"/>
      </w:pPr>
      <w:r>
        <w:rPr>
          <w:rFonts w:hint="eastAsia"/>
        </w:rPr>
        <w:t>二、对</w:t>
      </w:r>
      <w:r w:rsidR="00B65C82">
        <w:t>PPP</w:t>
      </w:r>
      <w:r>
        <w:t>项目收益</w:t>
      </w:r>
      <w:proofErr w:type="gramStart"/>
      <w:r>
        <w:t>权价值</w:t>
      </w:r>
      <w:proofErr w:type="gramEnd"/>
      <w:r>
        <w:t>进行评估的相关情形</w:t>
      </w:r>
    </w:p>
    <w:p w14:paraId="42E1EA87" w14:textId="1C4C7523" w:rsidR="00AC3047" w:rsidRDefault="00AC3047" w:rsidP="00AC3047">
      <w:pPr>
        <w:pStyle w:val="13"/>
      </w:pPr>
      <w:r>
        <w:rPr>
          <w:rFonts w:hint="eastAsia"/>
        </w:rPr>
        <w:t>在</w:t>
      </w:r>
      <w:r w:rsidR="00B65C82">
        <w:t>PPP</w:t>
      </w:r>
      <w:r>
        <w:t>项目的识别、准备和采购阶段，评估机构可接受政府或者项目实施机构或者社会资本的委托，对模拟</w:t>
      </w:r>
      <w:r w:rsidR="00B65C82">
        <w:t>PPP</w:t>
      </w:r>
      <w:r>
        <w:t>项目收益</w:t>
      </w:r>
      <w:proofErr w:type="gramStart"/>
      <w:r>
        <w:t>权价值</w:t>
      </w:r>
      <w:proofErr w:type="gramEnd"/>
      <w:r>
        <w:t>进行评估。在</w:t>
      </w:r>
      <w:r w:rsidR="00B65C82">
        <w:t>PPP</w:t>
      </w:r>
      <w:r>
        <w:t>项目的执行阶段，评估机构可接受政府或者项目实施机构或者社会资本的委托，对</w:t>
      </w:r>
      <w:r w:rsidR="00B65C82">
        <w:t>PPP</w:t>
      </w:r>
      <w:r>
        <w:t>项目收益</w:t>
      </w:r>
      <w:proofErr w:type="gramStart"/>
      <w:r>
        <w:t>权价值</w:t>
      </w:r>
      <w:proofErr w:type="gramEnd"/>
      <w:r>
        <w:t>进行评估。在</w:t>
      </w:r>
      <w:r w:rsidR="00B65C82">
        <w:t>PPP</w:t>
      </w:r>
      <w:r>
        <w:t>项目的移交阶段，通常不涉及对</w:t>
      </w:r>
      <w:r w:rsidR="00B65C82">
        <w:t>PPP</w:t>
      </w:r>
      <w:r>
        <w:t>项目收益</w:t>
      </w:r>
      <w:proofErr w:type="gramStart"/>
      <w:r>
        <w:t>权价值</w:t>
      </w:r>
      <w:proofErr w:type="gramEnd"/>
      <w:r>
        <w:t>进行评估的情形。</w:t>
      </w:r>
    </w:p>
    <w:p w14:paraId="6FEF0259" w14:textId="304B6AA0" w:rsidR="00AC3047" w:rsidRDefault="00AC3047" w:rsidP="00AC3047">
      <w:pPr>
        <w:pStyle w:val="13"/>
      </w:pPr>
      <w:r>
        <w:rPr>
          <w:rFonts w:hint="eastAsia"/>
        </w:rPr>
        <w:t>在项目识别阶段，评估机构可接受政府或者项目实施机构的委托对模拟</w:t>
      </w:r>
      <w:r w:rsidR="00B65C82">
        <w:t>PPP</w:t>
      </w:r>
      <w:r>
        <w:t>项目收益</w:t>
      </w:r>
      <w:proofErr w:type="gramStart"/>
      <w:r>
        <w:t>权价值</w:t>
      </w:r>
      <w:proofErr w:type="gramEnd"/>
      <w:r>
        <w:t>进行评估，为政府判断影子价格的设定是否合理、是否能够吸引社会资本参与项目竞争提供价值参考。在项目识别阶段，评估机构也可接受社会资本的委托对模拟</w:t>
      </w:r>
      <w:r w:rsidR="00B65C82">
        <w:t>PPP</w:t>
      </w:r>
      <w:r>
        <w:t>项目收益</w:t>
      </w:r>
      <w:proofErr w:type="gramStart"/>
      <w:r>
        <w:t>权价值</w:t>
      </w:r>
      <w:proofErr w:type="gramEnd"/>
      <w:r>
        <w:t>进行评估，为社会资本</w:t>
      </w:r>
      <w:proofErr w:type="gramStart"/>
      <w:r>
        <w:t>作出</w:t>
      </w:r>
      <w:proofErr w:type="gramEnd"/>
      <w:r>
        <w:t>在何种情形下、何种条件下参与模拟</w:t>
      </w:r>
      <w:r w:rsidR="00B65C82">
        <w:t>PPP</w:t>
      </w:r>
      <w:r>
        <w:t>项目响应的决策提供价值参考。</w:t>
      </w:r>
    </w:p>
    <w:p w14:paraId="31B30847" w14:textId="3D534EBB" w:rsidR="00AC3047" w:rsidRDefault="00AC3047" w:rsidP="00F24348">
      <w:pPr>
        <w:pStyle w:val="13"/>
      </w:pPr>
      <w:r>
        <w:rPr>
          <w:rFonts w:hint="eastAsia"/>
        </w:rPr>
        <w:t>在项目准备阶段，评估机构可接受政府或者项目实施机构或者社会资本的委托对模拟</w:t>
      </w:r>
      <w:r w:rsidR="00B65C82">
        <w:t>PPP</w:t>
      </w:r>
      <w:r>
        <w:t>项目收益</w:t>
      </w:r>
      <w:proofErr w:type="gramStart"/>
      <w:r>
        <w:t>权价值</w:t>
      </w:r>
      <w:proofErr w:type="gramEnd"/>
      <w:r>
        <w:t>进行评估，评估目的与项目识别阶段的目的相似。在项目识别阶段已开展模拟</w:t>
      </w:r>
      <w:r w:rsidR="00B65C82">
        <w:t>PPP</w:t>
      </w:r>
      <w:r>
        <w:t>项目收益</w:t>
      </w:r>
      <w:proofErr w:type="gramStart"/>
      <w:r>
        <w:t>权价值</w:t>
      </w:r>
      <w:proofErr w:type="gramEnd"/>
      <w:r>
        <w:t>评估工作的，可在项目准备阶段，根据实际情况对项目识别阶段的模拟</w:t>
      </w:r>
      <w:r w:rsidR="00B65C82">
        <w:t>PPP</w:t>
      </w:r>
      <w:r>
        <w:t>项目收益权评估结论以及评估报告进行调整。</w:t>
      </w:r>
    </w:p>
    <w:p w14:paraId="1CD5B704" w14:textId="666996B7" w:rsidR="00AC3047" w:rsidRDefault="00AC3047" w:rsidP="00F24348">
      <w:pPr>
        <w:pStyle w:val="13"/>
      </w:pPr>
      <w:r>
        <w:rPr>
          <w:rFonts w:hint="eastAsia"/>
        </w:rPr>
        <w:t>在项目采购阶段，评估机构可接受政府或者项目实施机构的委托，以采购文件内容作为假设条件，对模拟</w:t>
      </w:r>
      <w:r w:rsidR="00B65C82">
        <w:t>PPP</w:t>
      </w:r>
      <w:r>
        <w:t>项目收益</w:t>
      </w:r>
      <w:proofErr w:type="gramStart"/>
      <w:r>
        <w:t>权价值</w:t>
      </w:r>
      <w:proofErr w:type="gramEnd"/>
      <w:r>
        <w:t>进行评估，为政府或者项目实施机构分析、判断、评价采购文件的合理性、可行性以及是否能够吸引社会资本参与项目响应提供价值参考；评估机构也可接受社会资本的委托，以响应文件内容作为假设条件，对模拟</w:t>
      </w:r>
      <w:r w:rsidR="00B65C82">
        <w:t>PPP</w:t>
      </w:r>
      <w:r>
        <w:t>项目收益</w:t>
      </w:r>
      <w:proofErr w:type="gramStart"/>
      <w:r>
        <w:t>权价值</w:t>
      </w:r>
      <w:proofErr w:type="gramEnd"/>
      <w:r>
        <w:t>进行评估，为社会资本分析、判断、评价响应文件的合理性、有益性提供价值参考；评估机构还可接受政府或者项目实施机构或者社会资本的委托，以采购结果作为评估前提，对模拟</w:t>
      </w:r>
      <w:proofErr w:type="spellStart"/>
      <w:r w:rsidR="00B65C82">
        <w:t>PPP</w:t>
      </w:r>
      <w:proofErr w:type="spellEnd"/>
      <w:r>
        <w:t>项目收益</w:t>
      </w:r>
      <w:proofErr w:type="gramStart"/>
      <w:r>
        <w:t>权价值</w:t>
      </w:r>
      <w:proofErr w:type="gramEnd"/>
      <w:r>
        <w:rPr>
          <w:rFonts w:hint="eastAsia"/>
        </w:rPr>
        <w:t>进行评估，为政府或者项目实施机构或者社会资本分析、判断、评价采购结果合理性提供价值参考。</w:t>
      </w:r>
    </w:p>
    <w:p w14:paraId="4DDAE3F4" w14:textId="35D2E191" w:rsidR="00AC3047" w:rsidRDefault="00AC3047" w:rsidP="00AC3047">
      <w:pPr>
        <w:pStyle w:val="13"/>
      </w:pPr>
      <w:r>
        <w:rPr>
          <w:rFonts w:hint="eastAsia"/>
        </w:rPr>
        <w:t>在项目执行阶段，评估机构可接受社会资本的委托，基于社会资本的投入情况和项目合同的执行情况，对</w:t>
      </w:r>
      <w:r w:rsidR="00B65C82">
        <w:t>PPP</w:t>
      </w:r>
      <w:r>
        <w:t>项目收益</w:t>
      </w:r>
      <w:proofErr w:type="gramStart"/>
      <w:r>
        <w:t>权价值</w:t>
      </w:r>
      <w:proofErr w:type="gramEnd"/>
      <w:r>
        <w:t>进行评估，为社会资本进行融资、转让、并购重组等经济行为提供价值参考；评估机构也可接受政府或者项目实施机构或者社会资本的委托，基于社会资本的实际投入情况、项目合同的实际执行情况，或者在设定的评估假设条件下，对</w:t>
      </w:r>
      <w:proofErr w:type="spellStart"/>
      <w:r w:rsidR="00B65C82">
        <w:t>PPP</w:t>
      </w:r>
      <w:proofErr w:type="spellEnd"/>
      <w:r>
        <w:t>项目收益</w:t>
      </w:r>
      <w:proofErr w:type="gramStart"/>
      <w:r>
        <w:t>权价值</w:t>
      </w:r>
      <w:proofErr w:type="gramEnd"/>
      <w:r>
        <w:t>进行评估，为</w:t>
      </w:r>
      <w:r w:rsidR="00B65C82">
        <w:t>PPP</w:t>
      </w:r>
      <w:r>
        <w:t>项目的中期评估、价格调整、风险再分配、合同变更以及绩效评价等行为提供价值参考。</w:t>
      </w:r>
    </w:p>
    <w:p w14:paraId="6167D6C3" w14:textId="1E202D9C" w:rsidR="00AC3047" w:rsidRDefault="00AC3047" w:rsidP="00F24348">
      <w:pPr>
        <w:pStyle w:val="ab"/>
        <w:spacing w:before="62" w:after="62"/>
        <w:ind w:firstLine="482"/>
      </w:pPr>
      <w:r>
        <w:rPr>
          <w:rFonts w:hint="eastAsia"/>
        </w:rPr>
        <w:lastRenderedPageBreak/>
        <w:t>三、</w:t>
      </w:r>
      <w:r w:rsidR="00B65C82">
        <w:t>PPP</w:t>
      </w:r>
      <w:r>
        <w:t>项目收益</w:t>
      </w:r>
      <w:proofErr w:type="gramStart"/>
      <w:r>
        <w:t>权价值</w:t>
      </w:r>
      <w:proofErr w:type="gramEnd"/>
      <w:r>
        <w:t>评估的相关要素</w:t>
      </w:r>
    </w:p>
    <w:p w14:paraId="0A4C3F16" w14:textId="51902F36" w:rsidR="00AC3047" w:rsidRDefault="00B65C82" w:rsidP="00F24348">
      <w:pPr>
        <w:pStyle w:val="13"/>
      </w:pPr>
      <w:r>
        <w:t>PPP</w:t>
      </w:r>
      <w:r w:rsidR="00AC3047">
        <w:t>项目收益</w:t>
      </w:r>
      <w:proofErr w:type="gramStart"/>
      <w:r w:rsidR="00AC3047">
        <w:t>权价值</w:t>
      </w:r>
      <w:proofErr w:type="gramEnd"/>
      <w:r w:rsidR="00AC3047">
        <w:t>评估的相关要素主要包括委托方和被评估</w:t>
      </w:r>
      <w:r w:rsidR="00AC3047">
        <w:rPr>
          <w:rFonts w:hint="eastAsia"/>
        </w:rPr>
        <w:t>单位、评估目的、评估对象和评估范围、价值类型、评估基准日、评估假设等。</w:t>
      </w:r>
    </w:p>
    <w:p w14:paraId="2A1CEE02" w14:textId="27EB1861" w:rsidR="00AC3047" w:rsidRDefault="00AC3047" w:rsidP="00AC3047">
      <w:pPr>
        <w:pStyle w:val="13"/>
      </w:pPr>
      <w:r>
        <w:rPr>
          <w:rFonts w:hint="eastAsia"/>
        </w:rPr>
        <w:t>（一）委托方和被评估单位。委托方通常为政府或者项目实施机构或者社会资本，</w:t>
      </w:r>
      <w:r>
        <w:t>也可以由政府或者项目实施机构和社会资本共同委托。对模拟的</w:t>
      </w:r>
      <w:r w:rsidR="00B65C82">
        <w:t>PPP</w:t>
      </w:r>
      <w:r>
        <w:t>项目收益权进行评估时，被评估单位为假设存在权利人、存在项目合同条件下的虚拟项目公司或者虚拟项目；在</w:t>
      </w:r>
      <w:r w:rsidR="00B65C82">
        <w:t>PPP</w:t>
      </w:r>
      <w:r>
        <w:t>项目收益</w:t>
      </w:r>
      <w:proofErr w:type="gramStart"/>
      <w:r>
        <w:t>权产生</w:t>
      </w:r>
      <w:proofErr w:type="gramEnd"/>
      <w:r>
        <w:t>后，被评估单位指项目公司或者项目。</w:t>
      </w:r>
    </w:p>
    <w:p w14:paraId="32E3935A" w14:textId="50B89157" w:rsidR="00AC3047" w:rsidRDefault="00AC3047" w:rsidP="00AC3047">
      <w:pPr>
        <w:pStyle w:val="13"/>
      </w:pPr>
      <w:r>
        <w:rPr>
          <w:rFonts w:hint="eastAsia"/>
        </w:rPr>
        <w:t>（二）评估目的。在</w:t>
      </w:r>
      <w:r w:rsidR="00B65C82">
        <w:t>PPP</w:t>
      </w:r>
      <w:r>
        <w:t>项目不同阶段受托于不同的委托方，评估目的不同。</w:t>
      </w:r>
    </w:p>
    <w:p w14:paraId="5F98A841" w14:textId="06CE2778" w:rsidR="00AC3047" w:rsidRDefault="00AC3047" w:rsidP="00AC3047">
      <w:pPr>
        <w:pStyle w:val="13"/>
      </w:pPr>
      <w:r>
        <w:rPr>
          <w:rFonts w:hint="eastAsia"/>
        </w:rPr>
        <w:t>（三）评估对象和评估范围。在</w:t>
      </w:r>
      <w:r w:rsidR="00B65C82">
        <w:t>PPP</w:t>
      </w:r>
      <w:r>
        <w:t>项目收益</w:t>
      </w:r>
      <w:proofErr w:type="gramStart"/>
      <w:r>
        <w:t>权产生</w:t>
      </w:r>
      <w:proofErr w:type="gramEnd"/>
      <w:r>
        <w:t>前，评估对象为模拟的</w:t>
      </w:r>
      <w:r w:rsidR="00B65C82">
        <w:t>PPP</w:t>
      </w:r>
      <w:r>
        <w:t>项目收益权，评估范围为虚拟项目公司或者虚拟项目所拥有的各项资产和负债；在</w:t>
      </w:r>
      <w:r w:rsidR="00B65C82">
        <w:t>PPP</w:t>
      </w:r>
      <w:r>
        <w:t>项目收益</w:t>
      </w:r>
      <w:proofErr w:type="gramStart"/>
      <w:r>
        <w:t>权产生</w:t>
      </w:r>
      <w:proofErr w:type="gramEnd"/>
      <w:r>
        <w:t>后，评估对象为</w:t>
      </w:r>
      <w:r w:rsidR="00B65C82">
        <w:t>PPP</w:t>
      </w:r>
      <w:r>
        <w:t>项目收益权，评估范围为项目公司或者项目所拥有的各项资产和负债。</w:t>
      </w:r>
    </w:p>
    <w:p w14:paraId="7E7BA72B" w14:textId="296058FC" w:rsidR="00AC3047" w:rsidRDefault="00AC3047" w:rsidP="00AC3047">
      <w:pPr>
        <w:pStyle w:val="13"/>
      </w:pPr>
      <w:r>
        <w:rPr>
          <w:rFonts w:hint="eastAsia"/>
        </w:rPr>
        <w:t>（四）价值类型。选择和使用</w:t>
      </w:r>
      <w:r w:rsidR="00B65C82">
        <w:t>PPP</w:t>
      </w:r>
      <w:r>
        <w:t>项目收益权的价值类型，需要充分考虑评估目的、市场条件、评估对象自身条件等因素。</w:t>
      </w:r>
    </w:p>
    <w:p w14:paraId="68C9097D" w14:textId="1DA6B450" w:rsidR="00AC3047" w:rsidRDefault="00AC3047" w:rsidP="00AC3047">
      <w:pPr>
        <w:pStyle w:val="13"/>
      </w:pPr>
      <w:r>
        <w:rPr>
          <w:rFonts w:hint="eastAsia"/>
        </w:rPr>
        <w:t>（五）评估基准日。评估基准日的确定，需要着重考虑</w:t>
      </w:r>
      <w:r w:rsidR="00B65C82">
        <w:t>PPP</w:t>
      </w:r>
      <w:r>
        <w:t>项目所处的阶段、评估目的、</w:t>
      </w:r>
      <w:r w:rsidR="00B65C82">
        <w:t>PPP</w:t>
      </w:r>
      <w:r>
        <w:t>项目合同情况以及评估对象的自身条件等因素。</w:t>
      </w:r>
    </w:p>
    <w:p w14:paraId="037DFDC5" w14:textId="0878E7EA" w:rsidR="00AC3047" w:rsidRDefault="00AC3047" w:rsidP="00AC3047">
      <w:pPr>
        <w:pStyle w:val="13"/>
      </w:pPr>
      <w:r>
        <w:rPr>
          <w:rFonts w:hint="eastAsia"/>
        </w:rPr>
        <w:t>（六）评估假设。执行</w:t>
      </w:r>
      <w:r w:rsidR="00B65C82">
        <w:t>PPP</w:t>
      </w:r>
      <w:r>
        <w:t>项目收益</w:t>
      </w:r>
      <w:proofErr w:type="gramStart"/>
      <w:r>
        <w:t>权价值</w:t>
      </w:r>
      <w:proofErr w:type="gramEnd"/>
      <w:r>
        <w:t>评估业务，需要根据评估基准日所处阶段、评估目的、评估对象和评估范围的具体情况及其所处市场条件，合理</w:t>
      </w:r>
      <w:proofErr w:type="gramStart"/>
      <w:r>
        <w:t>作出</w:t>
      </w:r>
      <w:proofErr w:type="gramEnd"/>
      <w:r>
        <w:t>评估假设。例如，在对模拟</w:t>
      </w:r>
      <w:r w:rsidR="00B65C82">
        <w:t>PPP</w:t>
      </w:r>
      <w:r>
        <w:t>项目收益权进行评估，需要将虚拟的项目公司或者虚拟项目的构成情况作为评估假设。</w:t>
      </w:r>
    </w:p>
    <w:p w14:paraId="137D1DA0" w14:textId="46E66270" w:rsidR="00AC3047" w:rsidRDefault="00AC3047" w:rsidP="00F24348">
      <w:pPr>
        <w:pStyle w:val="ab"/>
        <w:spacing w:before="62" w:after="62"/>
        <w:ind w:firstLine="482"/>
      </w:pPr>
      <w:r>
        <w:rPr>
          <w:rFonts w:hint="eastAsia"/>
        </w:rPr>
        <w:t>四、</w:t>
      </w:r>
      <w:r w:rsidR="00B65C82">
        <w:t>PPP</w:t>
      </w:r>
      <w:r>
        <w:t>项目收益</w:t>
      </w:r>
      <w:proofErr w:type="gramStart"/>
      <w:r>
        <w:t>权价值</w:t>
      </w:r>
      <w:proofErr w:type="gramEnd"/>
      <w:r>
        <w:t>的评估方法</w:t>
      </w:r>
    </w:p>
    <w:p w14:paraId="29FDE3E9" w14:textId="53BC88B8" w:rsidR="00AC3047" w:rsidRDefault="00AC3047" w:rsidP="00AC3047">
      <w:pPr>
        <w:pStyle w:val="13"/>
      </w:pPr>
      <w:r>
        <w:rPr>
          <w:rFonts w:hint="eastAsia"/>
        </w:rPr>
        <w:t>执行</w:t>
      </w:r>
      <w:r w:rsidR="00B65C82">
        <w:t>PPP</w:t>
      </w:r>
      <w:r>
        <w:t>项目收益</w:t>
      </w:r>
      <w:proofErr w:type="gramStart"/>
      <w:r>
        <w:t>权价值</w:t>
      </w:r>
      <w:proofErr w:type="gramEnd"/>
      <w:r>
        <w:t>评估业务，需要根据评估目的、评估对象、价值类型、资料收集情况等相关条件，分析收益法、市场法和成本法三种资产评估基本方法的适用性，恰当选择一种或者多种资产评估基本方法。</w:t>
      </w:r>
    </w:p>
    <w:p w14:paraId="54A30235" w14:textId="3760348E" w:rsidR="00AC3047" w:rsidRDefault="00AC3047" w:rsidP="00F24348">
      <w:pPr>
        <w:pStyle w:val="13"/>
      </w:pPr>
      <w:r>
        <w:t>PPP项目收益</w:t>
      </w:r>
      <w:proofErr w:type="gramStart"/>
      <w:r>
        <w:t>权价值</w:t>
      </w:r>
      <w:proofErr w:type="gramEnd"/>
      <w:r>
        <w:t>评估中的收益法，是指将项目未来净现金流进行折现，确定PPP</w:t>
      </w:r>
      <w:r>
        <w:rPr>
          <w:rFonts w:hint="eastAsia"/>
        </w:rPr>
        <w:t>项目收益权的评估方法。收益法的具体方法一般为现金流量折现法。</w:t>
      </w:r>
    </w:p>
    <w:p w14:paraId="0C9882D9" w14:textId="62E23180" w:rsidR="00AC3047" w:rsidRDefault="00AC3047" w:rsidP="00AC3047">
      <w:pPr>
        <w:pStyle w:val="13"/>
      </w:pPr>
      <w:r>
        <w:rPr>
          <w:rFonts w:hint="eastAsia"/>
        </w:rPr>
        <w:t>采用收益法对</w:t>
      </w:r>
      <w:r w:rsidR="00B65C82">
        <w:t>PPP</w:t>
      </w:r>
      <w:r>
        <w:t>项目收益</w:t>
      </w:r>
      <w:proofErr w:type="gramStart"/>
      <w:r>
        <w:t>权价值</w:t>
      </w:r>
      <w:proofErr w:type="gramEnd"/>
      <w:r>
        <w:t>进行评估，需要按照收益法的基本要求开展工作，并特别关注以下事项：</w:t>
      </w:r>
    </w:p>
    <w:p w14:paraId="51E07F45" w14:textId="4DC577EE" w:rsidR="00AC3047" w:rsidRDefault="00AC3047" w:rsidP="00AC3047">
      <w:pPr>
        <w:pStyle w:val="13"/>
      </w:pPr>
      <w:r>
        <w:rPr>
          <w:rFonts w:hint="eastAsia"/>
        </w:rPr>
        <w:t>（一）对未来净现金流进行预测，需要以</w:t>
      </w:r>
      <w:r w:rsidR="00B65C82">
        <w:t>PPP</w:t>
      </w:r>
      <w:r>
        <w:t>项目合同为基础，考虑宏观和区域经济因素、所在行业现状及发展前景的影响，还需要考虑</w:t>
      </w:r>
      <w:r w:rsidR="00B65C82">
        <w:t>PPP</w:t>
      </w:r>
      <w:r>
        <w:t>项目合同中约定的违约条款、赔偿条款、担保条款、提前终止条款对净现金流的影响。</w:t>
      </w:r>
    </w:p>
    <w:p w14:paraId="2C7F5C00" w14:textId="3BC0469C" w:rsidR="00AC3047" w:rsidRDefault="00AC3047" w:rsidP="00AC3047">
      <w:pPr>
        <w:pStyle w:val="13"/>
      </w:pPr>
      <w:r>
        <w:rPr>
          <w:rFonts w:hint="eastAsia"/>
        </w:rPr>
        <w:t>（二）</w:t>
      </w:r>
      <w:r w:rsidR="00B65C82">
        <w:t>PPP</w:t>
      </w:r>
      <w:r>
        <w:t>项目的收益期通常是有限的，且与</w:t>
      </w:r>
      <w:r w:rsidR="00B65C82">
        <w:t>PPP</w:t>
      </w:r>
      <w:r>
        <w:t>项目合同约定的合作期一致。</w:t>
      </w:r>
    </w:p>
    <w:p w14:paraId="2CF92EFD" w14:textId="75F03AE3" w:rsidR="00AC3047" w:rsidRDefault="00AC3047" w:rsidP="00AC3047">
      <w:pPr>
        <w:pStyle w:val="13"/>
      </w:pPr>
      <w:r>
        <w:rPr>
          <w:rFonts w:hint="eastAsia"/>
        </w:rPr>
        <w:t>（三）折现率的确定，需要基于未来净现金流的不确定程度，并考虑</w:t>
      </w:r>
      <w:r w:rsidR="00B65C82">
        <w:t>PPP</w:t>
      </w:r>
      <w:r>
        <w:t>项目合同、风险分配方案、评估基准日的利率水平、市场投资收益率以及所在行业、被评估</w:t>
      </w:r>
      <w:r>
        <w:lastRenderedPageBreak/>
        <w:t>单位的特定风险等因素的影响。</w:t>
      </w:r>
    </w:p>
    <w:p w14:paraId="6E8C6238" w14:textId="3D54E297" w:rsidR="00AC3047" w:rsidRDefault="00AC3047" w:rsidP="00AC3047">
      <w:pPr>
        <w:pStyle w:val="13"/>
      </w:pPr>
      <w:r>
        <w:rPr>
          <w:rFonts w:hint="eastAsia"/>
        </w:rPr>
        <w:t>（四）对最后一期的净现金流进行预测，需要考虑</w:t>
      </w:r>
      <w:r w:rsidR="00B65C82">
        <w:t>PPP</w:t>
      </w:r>
      <w:r>
        <w:t>项目合同的移交约定、可收回的营运资金、</w:t>
      </w:r>
      <w:proofErr w:type="gramStart"/>
      <w:r>
        <w:t>未偿</w:t>
      </w:r>
      <w:proofErr w:type="gramEnd"/>
      <w:r>
        <w:t>还的借款以及移交过程中的成本费用等因素的影响。对于项目公司或项目中可使用期限或者经济寿命长于收益</w:t>
      </w:r>
      <w:proofErr w:type="gramStart"/>
      <w:r>
        <w:t>期且无需</w:t>
      </w:r>
      <w:proofErr w:type="gramEnd"/>
      <w:r>
        <w:t>移交或有偿移交的资产，需要考虑此类资产在收益期结束时的价值对</w:t>
      </w:r>
      <w:r w:rsidR="00B65C82">
        <w:t>PPP</w:t>
      </w:r>
      <w:r>
        <w:t>项目收益</w:t>
      </w:r>
      <w:proofErr w:type="gramStart"/>
      <w:r>
        <w:t>权价值</w:t>
      </w:r>
      <w:proofErr w:type="gramEnd"/>
      <w:r>
        <w:t>的影响，将此类资产在收益期结束时的价值纳入最后一期的净现金流之中。</w:t>
      </w:r>
    </w:p>
    <w:p w14:paraId="1AA0F508" w14:textId="6F3FBE9F" w:rsidR="00AC3047" w:rsidRDefault="00B65C82" w:rsidP="00AC3047">
      <w:pPr>
        <w:pStyle w:val="13"/>
      </w:pPr>
      <w:r>
        <w:t>PPP</w:t>
      </w:r>
      <w:r w:rsidR="00AC3047">
        <w:t>项目收益</w:t>
      </w:r>
      <w:proofErr w:type="gramStart"/>
      <w:r w:rsidR="00AC3047">
        <w:t>权价值</w:t>
      </w:r>
      <w:proofErr w:type="gramEnd"/>
      <w:r w:rsidR="00AC3047">
        <w:t>评估中的市场法，是指将评估对象与可比上市</w:t>
      </w:r>
      <w:r>
        <w:t>PPP</w:t>
      </w:r>
      <w:r w:rsidR="00AC3047">
        <w:t>项目公司或者可比</w:t>
      </w:r>
      <w:r>
        <w:t>PPP</w:t>
      </w:r>
      <w:r w:rsidR="00AC3047">
        <w:t>项目收益权交易案例进行比较，确定</w:t>
      </w:r>
      <w:r>
        <w:t>PPP</w:t>
      </w:r>
      <w:r w:rsidR="00AC3047">
        <w:t>项目收益权的评估方法。市场法的具体方法一般为交易案例比较法。</w:t>
      </w:r>
    </w:p>
    <w:p w14:paraId="2BE502F5" w14:textId="68AC48C8" w:rsidR="00AC3047" w:rsidRDefault="00AC3047" w:rsidP="00AC3047">
      <w:pPr>
        <w:pStyle w:val="13"/>
      </w:pPr>
      <w:r>
        <w:rPr>
          <w:rFonts w:hint="eastAsia"/>
        </w:rPr>
        <w:t>采用市场法对</w:t>
      </w:r>
      <w:r w:rsidR="00B65C82">
        <w:t>PPP</w:t>
      </w:r>
      <w:r>
        <w:t>项目收益</w:t>
      </w:r>
      <w:proofErr w:type="gramStart"/>
      <w:r>
        <w:t>权价值</w:t>
      </w:r>
      <w:proofErr w:type="gramEnd"/>
      <w:r>
        <w:t>进行评估，需要按照市场法的基本要求开展工作，在选择可比交易案例及价值比率调整过程中，还需要特别关注评估对象与可比交易案例在</w:t>
      </w:r>
      <w:proofErr w:type="spellStart"/>
      <w:r w:rsidR="00B65C82">
        <w:t>PPP</w:t>
      </w:r>
      <w:proofErr w:type="spellEnd"/>
      <w:r>
        <w:t>项目合同的约定、项目公司协议与章程的规定、风险分配方案、合作期等方面存在的差异以及可能产生的影响。</w:t>
      </w:r>
    </w:p>
    <w:p w14:paraId="0BAF3CAF" w14:textId="17F4B8F7" w:rsidR="00AC3047" w:rsidRDefault="00B65C82" w:rsidP="00AC3047">
      <w:pPr>
        <w:pStyle w:val="13"/>
      </w:pPr>
      <w:r>
        <w:t>PPP</w:t>
      </w:r>
      <w:r w:rsidR="00AC3047">
        <w:t>项目收益</w:t>
      </w:r>
      <w:proofErr w:type="gramStart"/>
      <w:r w:rsidR="00AC3047">
        <w:t>权价值</w:t>
      </w:r>
      <w:proofErr w:type="gramEnd"/>
      <w:r w:rsidR="00AC3047">
        <w:t>评估中的成本法，是指通过评估</w:t>
      </w:r>
      <w:r>
        <w:t>PPP</w:t>
      </w:r>
      <w:r w:rsidR="00AC3047">
        <w:t>项目公司或者项目的表内外各项资产、负债价值，确定</w:t>
      </w:r>
      <w:r>
        <w:t>PPP</w:t>
      </w:r>
      <w:r w:rsidR="00AC3047">
        <w:t>项目收益权的评估方法。</w:t>
      </w:r>
    </w:p>
    <w:p w14:paraId="53CE504D" w14:textId="7A0B971E" w:rsidR="00AC3047" w:rsidRDefault="00AC3047" w:rsidP="00AC3047">
      <w:pPr>
        <w:pStyle w:val="13"/>
      </w:pPr>
      <w:r>
        <w:rPr>
          <w:rFonts w:hint="eastAsia"/>
        </w:rPr>
        <w:t>采用成本法对</w:t>
      </w:r>
      <w:r w:rsidR="00B65C82">
        <w:t>PPP</w:t>
      </w:r>
      <w:r>
        <w:t>项目收益</w:t>
      </w:r>
      <w:proofErr w:type="gramStart"/>
      <w:r>
        <w:t>权价值</w:t>
      </w:r>
      <w:proofErr w:type="gramEnd"/>
      <w:r>
        <w:t>进行评估，需要按照成本法的基本要求开展工作，并特别关注</w:t>
      </w:r>
      <w:r w:rsidR="00B65C82">
        <w:t>PPP</w:t>
      </w:r>
      <w:r>
        <w:t>项目合同的约定、项目公司协议与章程的规定以及合作期等因素对资产价值产生的限制或者影响。</w:t>
      </w:r>
    </w:p>
    <w:p w14:paraId="2CEB79A8" w14:textId="4D18BE38" w:rsidR="00AC3047" w:rsidRDefault="00AC3047" w:rsidP="00AC3047">
      <w:pPr>
        <w:pStyle w:val="13"/>
      </w:pPr>
      <w:r>
        <w:rPr>
          <w:rFonts w:hint="eastAsia"/>
        </w:rPr>
        <w:t>以项目公司或者项目持续经营为前提对</w:t>
      </w:r>
      <w:r w:rsidR="00B65C82">
        <w:t>PPP</w:t>
      </w:r>
      <w:r>
        <w:t>项目收益</w:t>
      </w:r>
      <w:proofErr w:type="gramStart"/>
      <w:r>
        <w:t>权价值</w:t>
      </w:r>
      <w:proofErr w:type="gramEnd"/>
      <w:r>
        <w:t>进行评估时，收益法一般为必选方法，通常不将成本法作为惟一使用的方法。当</w:t>
      </w:r>
      <w:r w:rsidR="00B65C82">
        <w:t>PPP</w:t>
      </w:r>
      <w:r>
        <w:t>项目公司或者项目的合同权益、其他对评估对象价值有重大影响的资产难以识别并单独评估时，不宜选用成本法。</w:t>
      </w:r>
    </w:p>
    <w:p w14:paraId="60A6FA25" w14:textId="427C23ED" w:rsidR="00AC3047" w:rsidRDefault="00AC3047" w:rsidP="00AC3047">
      <w:pPr>
        <w:pStyle w:val="13"/>
      </w:pPr>
      <w:r>
        <w:rPr>
          <w:rFonts w:hint="eastAsia"/>
        </w:rPr>
        <w:t>对同一</w:t>
      </w:r>
      <w:r w:rsidR="00B65C82">
        <w:t>PPP</w:t>
      </w:r>
      <w:r>
        <w:t>项目收益</w:t>
      </w:r>
      <w:proofErr w:type="gramStart"/>
      <w:r>
        <w:t>权采用</w:t>
      </w:r>
      <w:proofErr w:type="gramEnd"/>
      <w:r>
        <w:t>多种评估方法时，需要对各种初步评估结论进行分析</w:t>
      </w:r>
      <w:r w:rsidR="003068F8">
        <w:t>，</w:t>
      </w:r>
      <w:r>
        <w:t>结合评估目的、不同评估方法使用数据的质量和数量，采用定性或者定量分析方式形成最终评估结论。对模拟</w:t>
      </w:r>
      <w:r w:rsidR="00B65C82">
        <w:t>PPP</w:t>
      </w:r>
      <w:r>
        <w:t>项目收益权，原则上需要采用收益法评估结论作为最终评估结论。</w:t>
      </w:r>
    </w:p>
    <w:p w14:paraId="00D74EAA" w14:textId="77777777" w:rsidR="00AC3047" w:rsidRDefault="00AC3047" w:rsidP="00F24348">
      <w:pPr>
        <w:pStyle w:val="ab"/>
        <w:spacing w:before="62" w:after="62"/>
        <w:ind w:firstLine="482"/>
      </w:pPr>
      <w:r>
        <w:rPr>
          <w:rFonts w:hint="eastAsia"/>
        </w:rPr>
        <w:t>五、通过收益</w:t>
      </w:r>
      <w:proofErr w:type="gramStart"/>
      <w:r>
        <w:rPr>
          <w:rFonts w:hint="eastAsia"/>
        </w:rPr>
        <w:t>权价值</w:t>
      </w:r>
      <w:proofErr w:type="gramEnd"/>
      <w:r>
        <w:rPr>
          <w:rFonts w:hint="eastAsia"/>
        </w:rPr>
        <w:t>对项目参数进行测算的相关情形</w:t>
      </w:r>
    </w:p>
    <w:p w14:paraId="6F282A4A" w14:textId="05C17659" w:rsidR="00AC3047" w:rsidRDefault="00AC3047" w:rsidP="00F24348">
      <w:pPr>
        <w:pStyle w:val="13"/>
      </w:pPr>
      <w:r>
        <w:rPr>
          <w:rFonts w:hint="eastAsia"/>
        </w:rPr>
        <w:t>可利用收益法评估</w:t>
      </w:r>
      <w:r w:rsidR="00B65C82">
        <w:t>PPP</w:t>
      </w:r>
      <w:r>
        <w:t>项目收益</w:t>
      </w:r>
      <w:proofErr w:type="gramStart"/>
      <w:r>
        <w:t>权价值</w:t>
      </w:r>
      <w:proofErr w:type="gramEnd"/>
      <w:r>
        <w:t>的技术途径，对各参数对</w:t>
      </w:r>
      <w:r w:rsidR="00B65C82">
        <w:t>PPP</w:t>
      </w:r>
      <w:r>
        <w:t>项目收益</w:t>
      </w:r>
      <w:proofErr w:type="gramStart"/>
      <w:r>
        <w:t>权价值</w:t>
      </w:r>
      <w:proofErr w:type="gramEnd"/>
      <w:r>
        <w:t>的敏感程度和重要程度进行分析测算，也可对各参数之间的相互关系进行分析和测</w:t>
      </w:r>
      <w:r>
        <w:rPr>
          <w:rFonts w:hint="eastAsia"/>
        </w:rPr>
        <w:t>算。</w:t>
      </w:r>
    </w:p>
    <w:p w14:paraId="30DCB6B0" w14:textId="52466B40" w:rsidR="00AC3047" w:rsidRDefault="00AC3047" w:rsidP="00F24348">
      <w:pPr>
        <w:pStyle w:val="13"/>
      </w:pPr>
      <w:r>
        <w:rPr>
          <w:rFonts w:hint="eastAsia"/>
        </w:rPr>
        <w:t>在设定</w:t>
      </w:r>
      <w:r w:rsidR="00B65C82">
        <w:t>PPP</w:t>
      </w:r>
      <w:r>
        <w:t>项目收益</w:t>
      </w:r>
      <w:proofErr w:type="gramStart"/>
      <w:r>
        <w:t>权价值</w:t>
      </w:r>
      <w:proofErr w:type="gramEnd"/>
      <w:r>
        <w:t>为某个特定（区间）值时，可利用收益法评估</w:t>
      </w:r>
      <w:r w:rsidR="00B65C82">
        <w:t>PPP</w:t>
      </w:r>
      <w:r>
        <w:t>项目</w:t>
      </w:r>
      <w:r>
        <w:rPr>
          <w:rFonts w:hint="eastAsia"/>
        </w:rPr>
        <w:t>收益</w:t>
      </w:r>
      <w:proofErr w:type="gramStart"/>
      <w:r>
        <w:rPr>
          <w:rFonts w:hint="eastAsia"/>
        </w:rPr>
        <w:t>权价值</w:t>
      </w:r>
      <w:proofErr w:type="gramEnd"/>
      <w:r>
        <w:rPr>
          <w:rFonts w:hint="eastAsia"/>
        </w:rPr>
        <w:t>的技术途径，在项目某个（些）参数之外的其余参数波动时，推算出某个（些）</w:t>
      </w:r>
      <w:r>
        <w:t xml:space="preserve"> 参数的合理（区间）数值。通常，可测算的项目参数包括合作期限、运营补贴单价或者金额、使用者付费单价或者金额、最低需求量、利润率、折现率以及风</w:t>
      </w:r>
      <w:r>
        <w:lastRenderedPageBreak/>
        <w:t>险分担涉及的相关参数等。</w:t>
      </w:r>
    </w:p>
    <w:p w14:paraId="1E595741" w14:textId="35752A0A" w:rsidR="00AC3047" w:rsidRDefault="00AC3047" w:rsidP="00AC3047">
      <w:pPr>
        <w:pStyle w:val="13"/>
      </w:pPr>
      <w:r>
        <w:rPr>
          <w:rFonts w:hint="eastAsia"/>
        </w:rPr>
        <w:t>例如，在项目准备阶段，为在项目实施方案中拟定因项目建造过程中的原材料价格波动产生的项目产出物价格变化值，可利用收益法评估</w:t>
      </w:r>
      <w:r w:rsidR="00B65C82">
        <w:t>PPP</w:t>
      </w:r>
      <w:r>
        <w:t>项目收益</w:t>
      </w:r>
      <w:proofErr w:type="gramStart"/>
      <w:r>
        <w:t>权价值</w:t>
      </w:r>
      <w:proofErr w:type="gramEnd"/>
      <w:r>
        <w:t>的技术途径，在假设</w:t>
      </w:r>
      <w:r w:rsidR="00B65C82">
        <w:t>PPP</w:t>
      </w:r>
      <w:r>
        <w:t>项目收益</w:t>
      </w:r>
      <w:proofErr w:type="gramStart"/>
      <w:r>
        <w:t>权价值</w:t>
      </w:r>
      <w:proofErr w:type="gramEnd"/>
      <w:r>
        <w:t>为某个</w:t>
      </w:r>
      <w:proofErr w:type="gramStart"/>
      <w:r>
        <w:t>特定值且保持</w:t>
      </w:r>
      <w:proofErr w:type="gramEnd"/>
      <w:r>
        <w:t>不变以及影响</w:t>
      </w:r>
      <w:r w:rsidR="00B65C82">
        <w:t>PPP</w:t>
      </w:r>
      <w:r>
        <w:t>项目收益</w:t>
      </w:r>
      <w:proofErr w:type="gramStart"/>
      <w:r>
        <w:t>权价值</w:t>
      </w:r>
      <w:proofErr w:type="gramEnd"/>
      <w:r>
        <w:t>的其他因素不变前提下，推导出项目产出物价格随建造过程原材料价格变化而变化的具体调价公式。</w:t>
      </w:r>
    </w:p>
    <w:p w14:paraId="480167C3" w14:textId="54D75271" w:rsidR="00AC3047" w:rsidRDefault="00AC3047" w:rsidP="00F24348">
      <w:pPr>
        <w:pStyle w:val="13"/>
      </w:pPr>
      <w:r>
        <w:rPr>
          <w:rFonts w:hint="eastAsia"/>
        </w:rPr>
        <w:t>例如，在项目执行阶段，当触发合同变更的情形出现时，可在以采购结果作为前提评估得出的采购阶段模拟</w:t>
      </w:r>
      <w:r w:rsidR="00B65C82">
        <w:t>PPP</w:t>
      </w:r>
      <w:r>
        <w:t>项目收益</w:t>
      </w:r>
      <w:proofErr w:type="gramStart"/>
      <w:r>
        <w:t>权价值</w:t>
      </w:r>
      <w:proofErr w:type="gramEnd"/>
      <w:r>
        <w:t>基础上，结合已执行期间权利人的投入情况，计算得出触发合同变更时点的</w:t>
      </w:r>
      <w:r w:rsidR="00B65C82">
        <w:t>PPP</w:t>
      </w:r>
      <w:r>
        <w:t>项目收益</w:t>
      </w:r>
      <w:proofErr w:type="gramStart"/>
      <w:r>
        <w:t>权合理</w:t>
      </w:r>
      <w:proofErr w:type="gramEnd"/>
      <w:r>
        <w:t>价值，再利用收益法评估</w:t>
      </w:r>
      <w:r w:rsidR="00B65C82">
        <w:t>PPP</w:t>
      </w:r>
      <w:r>
        <w:t>项目收益</w:t>
      </w:r>
      <w:proofErr w:type="gramStart"/>
      <w:r>
        <w:t>权价值</w:t>
      </w:r>
      <w:proofErr w:type="gramEnd"/>
      <w:r>
        <w:t>的技术途径，在触发合同变更时点的</w:t>
      </w:r>
      <w:r w:rsidR="00B65C82">
        <w:t>PPP</w:t>
      </w:r>
      <w:r>
        <w:t>项目收益</w:t>
      </w:r>
      <w:proofErr w:type="gramStart"/>
      <w:r>
        <w:t>权价值</w:t>
      </w:r>
      <w:proofErr w:type="gramEnd"/>
      <w:r>
        <w:t>保持不变的假设</w:t>
      </w:r>
      <w:r>
        <w:rPr>
          <w:rFonts w:hint="eastAsia"/>
        </w:rPr>
        <w:t>下，推算出合同参数变化幅度或者变化量值，以助于建立基于保障合理收益前提下的合同参数动态调整机制。</w:t>
      </w:r>
    </w:p>
    <w:p w14:paraId="78F6737C" w14:textId="77777777" w:rsidR="00AC3047" w:rsidRDefault="00AC3047" w:rsidP="00F24348">
      <w:pPr>
        <w:pStyle w:val="ab"/>
        <w:spacing w:before="62" w:after="62"/>
        <w:ind w:firstLine="482"/>
      </w:pPr>
      <w:r>
        <w:rPr>
          <w:rFonts w:hint="eastAsia"/>
        </w:rPr>
        <w:t>六、评估报告披露要求</w:t>
      </w:r>
    </w:p>
    <w:p w14:paraId="21B95F79" w14:textId="22B48D3A" w:rsidR="00AC3047" w:rsidRDefault="00AC3047" w:rsidP="00AC3047">
      <w:pPr>
        <w:pStyle w:val="13"/>
      </w:pPr>
      <w:r>
        <w:rPr>
          <w:rFonts w:hint="eastAsia"/>
        </w:rPr>
        <w:t>执行模拟</w:t>
      </w:r>
      <w:r w:rsidR="00B65C82">
        <w:t>PPP</w:t>
      </w:r>
      <w:r>
        <w:t>项目收益</w:t>
      </w:r>
      <w:proofErr w:type="gramStart"/>
      <w:r>
        <w:t>权价值</w:t>
      </w:r>
      <w:proofErr w:type="gramEnd"/>
      <w:r>
        <w:t>评估业务，需要在履行必要的评估程序后，参考《资产评估准则—评估报告》编制评估报告，并进行恰当披露。在评估报告中，需要特别披露以下事项：</w:t>
      </w:r>
    </w:p>
    <w:p w14:paraId="5F906F82" w14:textId="77777777" w:rsidR="00AC3047" w:rsidRDefault="00AC3047" w:rsidP="00AC3047">
      <w:pPr>
        <w:pStyle w:val="13"/>
      </w:pPr>
      <w:r>
        <w:rPr>
          <w:rFonts w:hint="eastAsia"/>
        </w:rPr>
        <w:t>（一）虚拟项目公司或者虚拟项目的实施方案、合同、协议的主要内容；</w:t>
      </w:r>
    </w:p>
    <w:p w14:paraId="4312C42A" w14:textId="77777777" w:rsidR="00AC3047" w:rsidRDefault="00AC3047" w:rsidP="00AC3047">
      <w:pPr>
        <w:pStyle w:val="13"/>
      </w:pPr>
      <w:r>
        <w:rPr>
          <w:rFonts w:hint="eastAsia"/>
        </w:rPr>
        <w:t>（二）评估的背景及目的；</w:t>
      </w:r>
    </w:p>
    <w:p w14:paraId="41FC555A" w14:textId="77777777" w:rsidR="00AC3047" w:rsidRDefault="00AC3047" w:rsidP="00AC3047">
      <w:pPr>
        <w:pStyle w:val="13"/>
      </w:pPr>
      <w:r>
        <w:rPr>
          <w:rFonts w:hint="eastAsia"/>
        </w:rPr>
        <w:t>（三）评估的假设。</w:t>
      </w:r>
    </w:p>
    <w:p w14:paraId="08632C39" w14:textId="60E7EF82" w:rsidR="00AC3047" w:rsidRDefault="00AC3047" w:rsidP="00AC3047">
      <w:pPr>
        <w:pStyle w:val="13"/>
      </w:pPr>
      <w:r>
        <w:rPr>
          <w:rFonts w:hint="eastAsia"/>
        </w:rPr>
        <w:t>执行</w:t>
      </w:r>
      <w:r w:rsidR="00B65C82">
        <w:t>PPP</w:t>
      </w:r>
      <w:r>
        <w:t>项目收益</w:t>
      </w:r>
      <w:proofErr w:type="gramStart"/>
      <w:r>
        <w:t>权价值</w:t>
      </w:r>
      <w:proofErr w:type="gramEnd"/>
      <w:r>
        <w:t>评估业务，在履行必要的评估程序后，根据《资产评估准则—评估报告》编制评估报告，并进行恰当披露。需要特别披露以下事项：</w:t>
      </w:r>
    </w:p>
    <w:p w14:paraId="5FA447F8" w14:textId="2175A87A" w:rsidR="00AC3047" w:rsidRDefault="00AC3047" w:rsidP="00AC3047">
      <w:pPr>
        <w:pStyle w:val="13"/>
      </w:pPr>
      <w:r>
        <w:rPr>
          <w:rFonts w:hint="eastAsia"/>
        </w:rPr>
        <w:t>（一）</w:t>
      </w:r>
      <w:r w:rsidR="00B65C82">
        <w:t>PPP</w:t>
      </w:r>
      <w:r>
        <w:t>项目合同的主要条款与执行情况；</w:t>
      </w:r>
    </w:p>
    <w:p w14:paraId="3C69D6F3" w14:textId="77777777" w:rsidR="00AC3047" w:rsidRDefault="00AC3047" w:rsidP="00AC3047">
      <w:pPr>
        <w:pStyle w:val="13"/>
      </w:pPr>
      <w:r>
        <w:rPr>
          <w:rFonts w:hint="eastAsia"/>
        </w:rPr>
        <w:t>（二）项目公司或者项目的股东协议、章程的主要条款；</w:t>
      </w:r>
    </w:p>
    <w:p w14:paraId="43680AA9" w14:textId="77777777" w:rsidR="00AC3047" w:rsidRDefault="00AC3047" w:rsidP="00AC3047">
      <w:pPr>
        <w:pStyle w:val="13"/>
      </w:pPr>
      <w:r>
        <w:rPr>
          <w:rFonts w:hint="eastAsia"/>
        </w:rPr>
        <w:t>（三）项目的建造情况；</w:t>
      </w:r>
    </w:p>
    <w:p w14:paraId="096DBBD5" w14:textId="77777777" w:rsidR="00AC3047" w:rsidRDefault="00AC3047" w:rsidP="00AC3047">
      <w:pPr>
        <w:pStyle w:val="13"/>
      </w:pPr>
      <w:r>
        <w:rPr>
          <w:rFonts w:hint="eastAsia"/>
        </w:rPr>
        <w:t>（四）项目的运营情况；</w:t>
      </w:r>
    </w:p>
    <w:p w14:paraId="51CB83F7" w14:textId="77777777" w:rsidR="00AC3047" w:rsidRDefault="00AC3047" w:rsidP="00AC3047">
      <w:pPr>
        <w:pStyle w:val="13"/>
      </w:pPr>
      <w:r>
        <w:rPr>
          <w:rFonts w:hint="eastAsia"/>
        </w:rPr>
        <w:t>（五）评估假设。</w:t>
      </w:r>
    </w:p>
    <w:p w14:paraId="07926D4E" w14:textId="674FCAF2" w:rsidR="00AC3047" w:rsidRDefault="00AC3047" w:rsidP="00AC3047">
      <w:pPr>
        <w:pStyle w:val="13"/>
      </w:pPr>
      <w:r>
        <w:rPr>
          <w:rFonts w:hint="eastAsia"/>
        </w:rPr>
        <w:t>执行</w:t>
      </w:r>
      <w:r w:rsidR="00B65C82">
        <w:t>PPP</w:t>
      </w:r>
      <w:r>
        <w:t>项目参数测算业务，在履行必要的测算程序后，编制测算报告。测算报告的内容主要包括：委托方、项目概况、测算目的、测算指标、测算方法、测算依据、测算假设、测算过程、测算结论与分析、测算报告使用限制等其他需要说明的问题。</w:t>
      </w:r>
    </w:p>
    <w:p w14:paraId="17780342" w14:textId="77777777" w:rsidR="00AC3047" w:rsidRDefault="00AC3047" w:rsidP="00AC3047">
      <w:pPr>
        <w:pStyle w:val="13"/>
      </w:pPr>
      <w:r>
        <w:rPr>
          <w:rFonts w:hint="eastAsia"/>
        </w:rPr>
        <w:t>其中，项目概况需要重点披露项目实施方案和项目合同以及执行情况、项目建造、运营情况等内容。测算目的需要重点披露测算背景、测算原因、测算达到的目的。</w:t>
      </w:r>
    </w:p>
    <w:p w14:paraId="13872EC9" w14:textId="77777777" w:rsidR="00AC3047" w:rsidRDefault="00AC3047" w:rsidP="00AF7342">
      <w:pPr>
        <w:pStyle w:val="a9"/>
        <w:spacing w:before="62" w:after="62"/>
      </w:pPr>
      <w:r>
        <w:rPr>
          <w:rFonts w:hint="eastAsia"/>
        </w:rPr>
        <w:t>第八章</w:t>
      </w:r>
      <w:r>
        <w:t xml:space="preserve"> 附则</w:t>
      </w:r>
    </w:p>
    <w:p w14:paraId="441A9D2D" w14:textId="77777777" w:rsidR="00AC3047" w:rsidRDefault="00AC3047" w:rsidP="00AC3047">
      <w:pPr>
        <w:pStyle w:val="13"/>
      </w:pPr>
      <w:r>
        <w:rPr>
          <w:rFonts w:hint="eastAsia"/>
        </w:rPr>
        <w:t>本操作指引自发布之日起施行。</w:t>
      </w:r>
    </w:p>
    <w:p w14:paraId="6848960B" w14:textId="0DC904BA" w:rsidR="00AC3047" w:rsidRDefault="00AC3047" w:rsidP="00AC3047">
      <w:pPr>
        <w:pStyle w:val="13"/>
      </w:pPr>
      <w:r>
        <w:rPr>
          <w:rFonts w:hint="eastAsia"/>
        </w:rPr>
        <w:lastRenderedPageBreak/>
        <w:t>附件：</w:t>
      </w:r>
      <w:r>
        <w:t>1、</w:t>
      </w:r>
      <w:r w:rsidR="00B65C82">
        <w:t>PPP</w:t>
      </w:r>
      <w:r>
        <w:t>项目相关业务操作流程图（供参考）</w:t>
      </w:r>
    </w:p>
    <w:p w14:paraId="43B10939" w14:textId="35E4A358" w:rsidR="00AC3047" w:rsidRDefault="00AC3047" w:rsidP="00F24348">
      <w:pPr>
        <w:pStyle w:val="13"/>
        <w:ind w:firstLineChars="500" w:firstLine="1200"/>
      </w:pPr>
      <w:r>
        <w:t>2、</w:t>
      </w:r>
      <w:r w:rsidR="00B65C82">
        <w:t>PPP</w:t>
      </w:r>
      <w:r>
        <w:t>项目绩效评价指标框架（供参考）</w:t>
      </w:r>
    </w:p>
    <w:p w14:paraId="79BBB8C1" w14:textId="06994780" w:rsidR="00AC3047" w:rsidRDefault="00AC3047" w:rsidP="00F24348">
      <w:pPr>
        <w:pStyle w:val="13"/>
        <w:ind w:firstLineChars="500" w:firstLine="1200"/>
      </w:pPr>
      <w:r>
        <w:t>3、</w:t>
      </w:r>
      <w:r w:rsidR="00B65C82">
        <w:t>PPP</w:t>
      </w:r>
      <w:r>
        <w:t>项目主要概念</w:t>
      </w:r>
    </w:p>
    <w:p w14:paraId="4B123FCB" w14:textId="26D90C70" w:rsidR="00AC3047" w:rsidRDefault="00AC3047" w:rsidP="00F24348">
      <w:pPr>
        <w:pStyle w:val="ab"/>
        <w:spacing w:before="62" w:after="62"/>
        <w:ind w:firstLine="482"/>
      </w:pPr>
      <w:r>
        <w:rPr>
          <w:rFonts w:hint="eastAsia"/>
        </w:rPr>
        <w:lastRenderedPageBreak/>
        <w:t>附件</w:t>
      </w:r>
      <w:r>
        <w:t>1：</w:t>
      </w:r>
    </w:p>
    <w:p w14:paraId="162619D4" w14:textId="041E6B68" w:rsidR="00AC3047" w:rsidRDefault="00B65C82" w:rsidP="00AF7342">
      <w:pPr>
        <w:pStyle w:val="a9"/>
        <w:spacing w:before="62" w:after="62"/>
      </w:pPr>
      <w:r>
        <w:t>PPP</w:t>
      </w:r>
      <w:r w:rsidR="00AC3047">
        <w:t>项目相关业务操作流程图（供参考）</w:t>
      </w:r>
    </w:p>
    <w:p w14:paraId="2E4697C5" w14:textId="2DEEB3D2" w:rsidR="007A3C56" w:rsidRDefault="00AC3047" w:rsidP="00F24348">
      <w:pPr>
        <w:pStyle w:val="ab"/>
        <w:spacing w:before="62" w:after="62"/>
        <w:ind w:firstLine="482"/>
      </w:pPr>
      <w:r>
        <w:rPr>
          <w:rFonts w:hint="eastAsia"/>
        </w:rPr>
        <w:t>一、</w:t>
      </w:r>
      <w:r w:rsidR="00B65C82">
        <w:t>PPP</w:t>
      </w:r>
      <w:r>
        <w:t>项目物有所值评价操作流程图</w:t>
      </w:r>
    </w:p>
    <w:p w14:paraId="602EF1B1" w14:textId="418C6FA1" w:rsidR="007A3C56" w:rsidRPr="007A3C56" w:rsidRDefault="00F24348" w:rsidP="00882ED4">
      <w:pPr>
        <w:pStyle w:val="13"/>
      </w:pPr>
      <w:r>
        <w:rPr>
          <w:noProof/>
        </w:rPr>
        <w:drawing>
          <wp:inline distT="0" distB="0" distL="0" distR="0" wp14:anchorId="1F0A5A84" wp14:editId="38B98E14">
            <wp:extent cx="5035550" cy="7254875"/>
            <wp:effectExtent l="0" t="0" r="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5550" cy="7254875"/>
                    </a:xfrm>
                    <a:prstGeom prst="rect">
                      <a:avLst/>
                    </a:prstGeom>
                    <a:noFill/>
                  </pic:spPr>
                </pic:pic>
              </a:graphicData>
            </a:graphic>
          </wp:inline>
        </w:drawing>
      </w:r>
    </w:p>
    <w:p w14:paraId="28916759" w14:textId="1683B436" w:rsidR="00F24348" w:rsidRDefault="00F24348" w:rsidP="00F24348">
      <w:pPr>
        <w:pStyle w:val="ab"/>
        <w:spacing w:before="62" w:after="62"/>
        <w:ind w:firstLine="482"/>
      </w:pPr>
      <w:r w:rsidRPr="00F24348">
        <w:rPr>
          <w:rFonts w:hint="eastAsia"/>
        </w:rPr>
        <w:lastRenderedPageBreak/>
        <w:t>二、</w:t>
      </w:r>
      <w:r w:rsidRPr="00F24348">
        <w:t>PPP项目财政承受能力论证操作流程图</w:t>
      </w:r>
    </w:p>
    <w:p w14:paraId="5F2E83B8" w14:textId="7ACCF48B" w:rsidR="00F24348" w:rsidRDefault="00F24348" w:rsidP="00F24348">
      <w:pPr>
        <w:pStyle w:val="13"/>
        <w:ind w:firstLineChars="0" w:firstLine="0"/>
      </w:pPr>
      <w:r>
        <w:rPr>
          <w:noProof/>
        </w:rPr>
        <w:drawing>
          <wp:inline distT="0" distB="0" distL="0" distR="0" wp14:anchorId="4AA7ACF3" wp14:editId="073AEE19">
            <wp:extent cx="5543550" cy="762698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5208"/>
                    <a:stretch/>
                  </pic:blipFill>
                  <pic:spPr bwMode="auto">
                    <a:xfrm>
                      <a:off x="0" y="0"/>
                      <a:ext cx="5543550" cy="7626985"/>
                    </a:xfrm>
                    <a:prstGeom prst="rect">
                      <a:avLst/>
                    </a:prstGeom>
                    <a:ln>
                      <a:noFill/>
                    </a:ln>
                    <a:extLst>
                      <a:ext uri="{53640926-AAD7-44D8-BBD7-CCE9431645EC}">
                        <a14:shadowObscured xmlns:a14="http://schemas.microsoft.com/office/drawing/2010/main"/>
                      </a:ext>
                    </a:extLst>
                  </pic:spPr>
                </pic:pic>
              </a:graphicData>
            </a:graphic>
          </wp:inline>
        </w:drawing>
      </w:r>
    </w:p>
    <w:p w14:paraId="4C7B2FCF" w14:textId="7A4C67C0" w:rsidR="00F24348" w:rsidRDefault="00F24348" w:rsidP="00F24348">
      <w:pPr>
        <w:pStyle w:val="ab"/>
        <w:spacing w:before="62" w:after="62"/>
        <w:ind w:firstLine="482"/>
      </w:pPr>
      <w:r w:rsidRPr="00F24348">
        <w:rPr>
          <w:rFonts w:hint="eastAsia"/>
        </w:rPr>
        <w:lastRenderedPageBreak/>
        <w:t>三、</w:t>
      </w:r>
      <w:r w:rsidRPr="00F24348">
        <w:t>PPP项目中期评估业务操作流程图</w:t>
      </w:r>
    </w:p>
    <w:p w14:paraId="0D0D351A" w14:textId="33C0F033" w:rsidR="00F24348" w:rsidRDefault="00F24348" w:rsidP="00882ED4">
      <w:pPr>
        <w:pStyle w:val="13"/>
      </w:pPr>
      <w:r>
        <w:rPr>
          <w:noProof/>
        </w:rPr>
        <w:drawing>
          <wp:inline distT="0" distB="0" distL="0" distR="0" wp14:anchorId="467E53C8" wp14:editId="44CAD101">
            <wp:extent cx="5035550" cy="5883275"/>
            <wp:effectExtent l="0" t="0" r="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5550" cy="5883275"/>
                    </a:xfrm>
                    <a:prstGeom prst="rect">
                      <a:avLst/>
                    </a:prstGeom>
                    <a:noFill/>
                  </pic:spPr>
                </pic:pic>
              </a:graphicData>
            </a:graphic>
          </wp:inline>
        </w:drawing>
      </w:r>
    </w:p>
    <w:p w14:paraId="704FCF87" w14:textId="7372486F" w:rsidR="00F24348" w:rsidRDefault="00F24348" w:rsidP="00F24348">
      <w:pPr>
        <w:pStyle w:val="ab"/>
        <w:spacing w:before="62" w:after="62"/>
        <w:ind w:firstLine="482"/>
      </w:pPr>
      <w:r w:rsidRPr="00F24348">
        <w:rPr>
          <w:rFonts w:hint="eastAsia"/>
        </w:rPr>
        <w:lastRenderedPageBreak/>
        <w:t>四、</w:t>
      </w:r>
      <w:r w:rsidRPr="00F24348">
        <w:t>PPP项目绩效评价业务操作流程图</w:t>
      </w:r>
    </w:p>
    <w:p w14:paraId="6BF4EBD8" w14:textId="4BC82C5D" w:rsidR="00F24348" w:rsidRDefault="00F24348" w:rsidP="00882ED4">
      <w:pPr>
        <w:pStyle w:val="13"/>
      </w:pPr>
      <w:r>
        <w:rPr>
          <w:noProof/>
        </w:rPr>
        <w:drawing>
          <wp:inline distT="0" distB="0" distL="0" distR="0" wp14:anchorId="07119EA1" wp14:editId="6C4980D8">
            <wp:extent cx="5035550" cy="591375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5550" cy="5913755"/>
                    </a:xfrm>
                    <a:prstGeom prst="rect">
                      <a:avLst/>
                    </a:prstGeom>
                    <a:noFill/>
                  </pic:spPr>
                </pic:pic>
              </a:graphicData>
            </a:graphic>
          </wp:inline>
        </w:drawing>
      </w:r>
    </w:p>
    <w:p w14:paraId="595ABE81" w14:textId="094B4916" w:rsidR="00432A72" w:rsidRDefault="00432A72">
      <w:pPr>
        <w:widowControl/>
        <w:jc w:val="left"/>
        <w:rPr>
          <w:rFonts w:ascii="宋体" w:hAnsi="宋体"/>
          <w:sz w:val="24"/>
          <w:szCs w:val="24"/>
        </w:rPr>
      </w:pPr>
      <w:r>
        <w:br w:type="page"/>
      </w:r>
    </w:p>
    <w:p w14:paraId="1EB4F494" w14:textId="61FFFB1B" w:rsidR="00F24348" w:rsidRDefault="00F24348" w:rsidP="00F24348">
      <w:pPr>
        <w:pStyle w:val="ab"/>
        <w:spacing w:before="62" w:after="62"/>
        <w:ind w:firstLine="482"/>
      </w:pPr>
      <w:r w:rsidRPr="00F24348">
        <w:rPr>
          <w:rFonts w:hint="eastAsia"/>
        </w:rPr>
        <w:lastRenderedPageBreak/>
        <w:t>附件</w:t>
      </w:r>
      <w:r w:rsidRPr="00F24348">
        <w:t>2：</w:t>
      </w:r>
    </w:p>
    <w:p w14:paraId="666D7587" w14:textId="44843442" w:rsidR="00F24348" w:rsidRDefault="00F24348" w:rsidP="00AF7342">
      <w:pPr>
        <w:pStyle w:val="a9"/>
        <w:spacing w:before="62" w:after="62"/>
      </w:pPr>
      <w:r w:rsidRPr="00F24348">
        <w:t>PPP项目绩效评价指标框架（供参考）</w:t>
      </w:r>
    </w:p>
    <w:tbl>
      <w:tblPr>
        <w:tblStyle w:val="af"/>
        <w:tblW w:w="5000" w:type="pct"/>
        <w:tblLook w:val="04A0" w:firstRow="1" w:lastRow="0" w:firstColumn="1" w:lastColumn="0" w:noHBand="0" w:noVBand="1"/>
      </w:tblPr>
      <w:tblGrid>
        <w:gridCol w:w="704"/>
        <w:gridCol w:w="851"/>
        <w:gridCol w:w="1134"/>
        <w:gridCol w:w="1275"/>
        <w:gridCol w:w="4756"/>
      </w:tblGrid>
      <w:tr w:rsidR="00432A72" w:rsidRPr="00F24348" w14:paraId="162DE06F" w14:textId="77777777" w:rsidTr="00B65C82">
        <w:trPr>
          <w:trHeight w:val="1304"/>
          <w:tblHeader/>
        </w:trPr>
        <w:tc>
          <w:tcPr>
            <w:tcW w:w="404" w:type="pct"/>
            <w:vAlign w:val="center"/>
          </w:tcPr>
          <w:p w14:paraId="56E5DC43" w14:textId="77777777" w:rsidR="00F24348" w:rsidRPr="00F24348" w:rsidRDefault="00F24348" w:rsidP="00432A72">
            <w:pPr>
              <w:pStyle w:val="13"/>
              <w:spacing w:line="240" w:lineRule="auto"/>
              <w:ind w:firstLineChars="0" w:firstLine="0"/>
              <w:jc w:val="center"/>
              <w:rPr>
                <w:b/>
                <w:bCs/>
                <w:sz w:val="21"/>
                <w:szCs w:val="21"/>
                <w:lang w:bidi="zh-CN"/>
              </w:rPr>
            </w:pPr>
            <w:r w:rsidRPr="00F24348">
              <w:rPr>
                <w:b/>
                <w:bCs/>
                <w:sz w:val="21"/>
                <w:szCs w:val="21"/>
                <w:lang w:bidi="zh-CN"/>
              </w:rPr>
              <w:t>一级指标</w:t>
            </w:r>
          </w:p>
        </w:tc>
        <w:tc>
          <w:tcPr>
            <w:tcW w:w="488" w:type="pct"/>
            <w:vAlign w:val="center"/>
          </w:tcPr>
          <w:p w14:paraId="6C0DD044" w14:textId="26E7D7F5" w:rsidR="00F24348" w:rsidRPr="00F24348" w:rsidRDefault="00F24348" w:rsidP="00432A72">
            <w:pPr>
              <w:pStyle w:val="13"/>
              <w:spacing w:line="240" w:lineRule="auto"/>
              <w:ind w:firstLineChars="0" w:firstLine="0"/>
              <w:jc w:val="center"/>
              <w:rPr>
                <w:sz w:val="21"/>
                <w:szCs w:val="21"/>
                <w:lang w:bidi="zh-CN"/>
              </w:rPr>
            </w:pPr>
            <w:r w:rsidRPr="00F24348">
              <w:rPr>
                <w:b/>
                <w:bCs/>
                <w:sz w:val="21"/>
                <w:szCs w:val="21"/>
                <w:lang w:bidi="zh-CN"/>
              </w:rPr>
              <w:t>权重</w:t>
            </w:r>
            <w:r w:rsidRPr="00F24348">
              <w:rPr>
                <w:sz w:val="21"/>
                <w:szCs w:val="21"/>
                <w:lang w:bidi="zh-CN"/>
              </w:rPr>
              <w:t>（根据项目具体情况设定）</w:t>
            </w:r>
          </w:p>
        </w:tc>
        <w:tc>
          <w:tcPr>
            <w:tcW w:w="650" w:type="pct"/>
            <w:vAlign w:val="center"/>
          </w:tcPr>
          <w:p w14:paraId="1AF3CF2D" w14:textId="27549E0F" w:rsidR="00F24348" w:rsidRPr="00F24348" w:rsidRDefault="00F24348" w:rsidP="00432A72">
            <w:pPr>
              <w:pStyle w:val="13"/>
              <w:spacing w:line="240" w:lineRule="auto"/>
              <w:ind w:firstLineChars="0" w:firstLine="0"/>
              <w:jc w:val="center"/>
              <w:rPr>
                <w:sz w:val="21"/>
                <w:szCs w:val="21"/>
                <w:lang w:bidi="zh-CN"/>
              </w:rPr>
            </w:pPr>
            <w:r w:rsidRPr="00F24348">
              <w:rPr>
                <w:b/>
                <w:bCs/>
                <w:sz w:val="21"/>
                <w:szCs w:val="21"/>
                <w:lang w:bidi="zh-CN"/>
              </w:rPr>
              <w:t>二级指标</w:t>
            </w:r>
            <w:r w:rsidRPr="00F24348">
              <w:rPr>
                <w:sz w:val="21"/>
                <w:szCs w:val="21"/>
                <w:lang w:bidi="zh-CN"/>
              </w:rPr>
              <w:t>（可根据项目具体情况局部调整）</w:t>
            </w:r>
          </w:p>
        </w:tc>
        <w:tc>
          <w:tcPr>
            <w:tcW w:w="731" w:type="pct"/>
            <w:vAlign w:val="center"/>
          </w:tcPr>
          <w:p w14:paraId="6DE42897" w14:textId="744066EF" w:rsidR="00F24348" w:rsidRPr="00F24348" w:rsidRDefault="00F24348" w:rsidP="00432A72">
            <w:pPr>
              <w:pStyle w:val="13"/>
              <w:spacing w:line="240" w:lineRule="auto"/>
              <w:ind w:firstLineChars="0" w:firstLine="0"/>
              <w:jc w:val="center"/>
              <w:rPr>
                <w:sz w:val="21"/>
                <w:szCs w:val="21"/>
                <w:lang w:bidi="zh-CN"/>
              </w:rPr>
            </w:pPr>
            <w:r w:rsidRPr="00F24348">
              <w:rPr>
                <w:b/>
                <w:bCs/>
                <w:sz w:val="21"/>
                <w:szCs w:val="21"/>
                <w:lang w:bidi="zh-CN"/>
              </w:rPr>
              <w:t>三级指标</w:t>
            </w:r>
            <w:r w:rsidRPr="00F24348">
              <w:rPr>
                <w:sz w:val="21"/>
                <w:szCs w:val="21"/>
                <w:lang w:bidi="zh-CN"/>
              </w:rPr>
              <w:t>（供参考，根据项目具体情况设定）</w:t>
            </w:r>
          </w:p>
        </w:tc>
        <w:tc>
          <w:tcPr>
            <w:tcW w:w="2727" w:type="pct"/>
            <w:vAlign w:val="center"/>
          </w:tcPr>
          <w:p w14:paraId="50DF00C8" w14:textId="77777777" w:rsidR="00F24348" w:rsidRPr="00F24348" w:rsidRDefault="00F24348" w:rsidP="00432A72">
            <w:pPr>
              <w:pStyle w:val="13"/>
              <w:spacing w:line="240" w:lineRule="auto"/>
              <w:ind w:firstLineChars="0" w:firstLine="0"/>
              <w:jc w:val="center"/>
              <w:rPr>
                <w:b/>
                <w:bCs/>
                <w:sz w:val="21"/>
                <w:szCs w:val="21"/>
                <w:lang w:bidi="zh-CN"/>
              </w:rPr>
            </w:pPr>
            <w:r w:rsidRPr="00F24348">
              <w:rPr>
                <w:b/>
                <w:bCs/>
                <w:sz w:val="21"/>
                <w:szCs w:val="21"/>
                <w:lang w:bidi="zh-CN"/>
              </w:rPr>
              <w:t>指标解释</w:t>
            </w:r>
          </w:p>
        </w:tc>
      </w:tr>
      <w:tr w:rsidR="00432A72" w:rsidRPr="00F24348" w14:paraId="7C6E8A48" w14:textId="77777777" w:rsidTr="00FE5244">
        <w:trPr>
          <w:trHeight w:val="642"/>
        </w:trPr>
        <w:tc>
          <w:tcPr>
            <w:tcW w:w="404" w:type="pct"/>
            <w:vMerge w:val="restart"/>
            <w:vAlign w:val="center"/>
          </w:tcPr>
          <w:p w14:paraId="69A4D5DE" w14:textId="77777777" w:rsidR="00432A72" w:rsidRPr="00F24348" w:rsidRDefault="00432A72" w:rsidP="00432A72">
            <w:pPr>
              <w:pStyle w:val="13"/>
              <w:spacing w:line="240" w:lineRule="auto"/>
              <w:ind w:firstLineChars="0" w:firstLine="0"/>
              <w:jc w:val="center"/>
              <w:rPr>
                <w:sz w:val="21"/>
                <w:szCs w:val="21"/>
                <w:lang w:bidi="zh-CN"/>
              </w:rPr>
            </w:pPr>
            <w:r w:rsidRPr="00F24348">
              <w:rPr>
                <w:sz w:val="21"/>
                <w:szCs w:val="21"/>
                <w:lang w:bidi="zh-CN"/>
              </w:rPr>
              <w:t>项目决策</w:t>
            </w:r>
          </w:p>
        </w:tc>
        <w:tc>
          <w:tcPr>
            <w:tcW w:w="488" w:type="pct"/>
            <w:vMerge w:val="restart"/>
            <w:vAlign w:val="center"/>
          </w:tcPr>
          <w:p w14:paraId="11AEB3A8" w14:textId="0EB24C4D" w:rsidR="00432A72" w:rsidRPr="00F24348" w:rsidRDefault="00432A72" w:rsidP="00432A72">
            <w:pPr>
              <w:pStyle w:val="13"/>
              <w:spacing w:line="240" w:lineRule="auto"/>
              <w:ind w:firstLineChars="0" w:firstLine="0"/>
              <w:jc w:val="center"/>
              <w:rPr>
                <w:sz w:val="21"/>
                <w:szCs w:val="21"/>
                <w:lang w:bidi="zh-CN"/>
              </w:rPr>
            </w:pPr>
            <w:r w:rsidRPr="00F24348">
              <w:rPr>
                <w:sz w:val="21"/>
                <w:szCs w:val="21"/>
                <w:lang w:bidi="zh-CN"/>
              </w:rPr>
              <w:t>15</w:t>
            </w:r>
            <w:r>
              <w:rPr>
                <w:rFonts w:hint="eastAsia"/>
                <w:sz w:val="21"/>
                <w:szCs w:val="21"/>
                <w:lang w:bidi="zh-CN"/>
              </w:rPr>
              <w:t>±</w:t>
            </w:r>
            <w:r w:rsidRPr="00F24348">
              <w:rPr>
                <w:sz w:val="21"/>
                <w:szCs w:val="21"/>
                <w:lang w:bidi="zh-CN"/>
              </w:rPr>
              <w:t>5</w:t>
            </w:r>
          </w:p>
        </w:tc>
        <w:tc>
          <w:tcPr>
            <w:tcW w:w="650" w:type="pct"/>
            <w:vMerge w:val="restart"/>
            <w:vAlign w:val="center"/>
          </w:tcPr>
          <w:p w14:paraId="7542258B" w14:textId="77777777" w:rsidR="00432A72" w:rsidRPr="00F24348" w:rsidRDefault="00432A72" w:rsidP="00432A72">
            <w:pPr>
              <w:pStyle w:val="13"/>
              <w:spacing w:line="240" w:lineRule="auto"/>
              <w:ind w:firstLineChars="0" w:firstLine="0"/>
              <w:jc w:val="center"/>
              <w:rPr>
                <w:sz w:val="21"/>
                <w:szCs w:val="21"/>
                <w:lang w:bidi="zh-CN"/>
              </w:rPr>
            </w:pPr>
            <w:r w:rsidRPr="00F24348">
              <w:rPr>
                <w:sz w:val="21"/>
                <w:szCs w:val="21"/>
                <w:lang w:bidi="zh-CN"/>
              </w:rPr>
              <w:t>项目立项</w:t>
            </w:r>
          </w:p>
        </w:tc>
        <w:tc>
          <w:tcPr>
            <w:tcW w:w="731" w:type="pct"/>
            <w:vAlign w:val="center"/>
          </w:tcPr>
          <w:p w14:paraId="7BE4E476" w14:textId="77777777" w:rsidR="00432A72" w:rsidRPr="00F24348" w:rsidRDefault="00432A72" w:rsidP="00432A72">
            <w:pPr>
              <w:pStyle w:val="13"/>
              <w:spacing w:line="240" w:lineRule="auto"/>
              <w:ind w:firstLineChars="0" w:firstLine="0"/>
              <w:jc w:val="center"/>
              <w:rPr>
                <w:sz w:val="21"/>
                <w:szCs w:val="21"/>
                <w:lang w:bidi="zh-CN"/>
              </w:rPr>
            </w:pPr>
            <w:r w:rsidRPr="00F24348">
              <w:rPr>
                <w:sz w:val="21"/>
                <w:szCs w:val="21"/>
                <w:lang w:bidi="zh-CN"/>
              </w:rPr>
              <w:t>战略目标适应性</w:t>
            </w:r>
          </w:p>
        </w:tc>
        <w:tc>
          <w:tcPr>
            <w:tcW w:w="2727" w:type="pct"/>
            <w:vAlign w:val="center"/>
          </w:tcPr>
          <w:p w14:paraId="5F4BDD1D" w14:textId="036C2B0F" w:rsidR="00432A72" w:rsidRPr="00F24348" w:rsidRDefault="00432A72" w:rsidP="00432A72">
            <w:pPr>
              <w:pStyle w:val="13"/>
              <w:spacing w:line="240" w:lineRule="auto"/>
              <w:ind w:firstLineChars="0" w:firstLine="0"/>
              <w:rPr>
                <w:sz w:val="21"/>
                <w:szCs w:val="21"/>
                <w:lang w:bidi="zh-CN"/>
              </w:rPr>
            </w:pPr>
            <w:r w:rsidRPr="00F24348">
              <w:rPr>
                <w:sz w:val="21"/>
                <w:szCs w:val="21"/>
                <w:lang w:bidi="zh-CN"/>
              </w:rPr>
              <w:t>项目实施与国民经济和社会发展规划战略目标的适应性</w:t>
            </w:r>
          </w:p>
        </w:tc>
      </w:tr>
      <w:tr w:rsidR="00432A72" w:rsidRPr="00F24348" w14:paraId="574ABDB8" w14:textId="77777777" w:rsidTr="00FE5244">
        <w:trPr>
          <w:trHeight w:val="641"/>
        </w:trPr>
        <w:tc>
          <w:tcPr>
            <w:tcW w:w="404" w:type="pct"/>
            <w:vMerge/>
            <w:vAlign w:val="center"/>
          </w:tcPr>
          <w:p w14:paraId="37BBE9D0" w14:textId="77777777" w:rsidR="00432A72" w:rsidRPr="00F24348" w:rsidRDefault="00432A72" w:rsidP="00432A72">
            <w:pPr>
              <w:pStyle w:val="13"/>
              <w:spacing w:line="240" w:lineRule="auto"/>
              <w:ind w:firstLineChars="0" w:firstLine="0"/>
              <w:jc w:val="center"/>
              <w:rPr>
                <w:sz w:val="21"/>
                <w:szCs w:val="21"/>
                <w:lang w:bidi="zh-CN"/>
              </w:rPr>
            </w:pPr>
          </w:p>
        </w:tc>
        <w:tc>
          <w:tcPr>
            <w:tcW w:w="488" w:type="pct"/>
            <w:vMerge/>
            <w:vAlign w:val="center"/>
          </w:tcPr>
          <w:p w14:paraId="3F059B91" w14:textId="77777777" w:rsidR="00432A72" w:rsidRPr="00F24348" w:rsidRDefault="00432A72" w:rsidP="00432A72">
            <w:pPr>
              <w:pStyle w:val="13"/>
              <w:spacing w:line="240" w:lineRule="auto"/>
              <w:ind w:firstLineChars="0" w:firstLine="0"/>
              <w:jc w:val="center"/>
              <w:rPr>
                <w:sz w:val="21"/>
                <w:szCs w:val="21"/>
                <w:lang w:bidi="zh-CN"/>
              </w:rPr>
            </w:pPr>
          </w:p>
        </w:tc>
        <w:tc>
          <w:tcPr>
            <w:tcW w:w="650" w:type="pct"/>
            <w:vMerge/>
            <w:vAlign w:val="center"/>
          </w:tcPr>
          <w:p w14:paraId="552DDCB2" w14:textId="77777777" w:rsidR="00432A72" w:rsidRPr="00F24348" w:rsidRDefault="00432A72" w:rsidP="00432A72">
            <w:pPr>
              <w:pStyle w:val="13"/>
              <w:spacing w:line="240" w:lineRule="auto"/>
              <w:ind w:firstLineChars="0" w:firstLine="0"/>
              <w:jc w:val="center"/>
              <w:rPr>
                <w:sz w:val="21"/>
                <w:szCs w:val="21"/>
                <w:lang w:bidi="zh-CN"/>
              </w:rPr>
            </w:pPr>
          </w:p>
        </w:tc>
        <w:tc>
          <w:tcPr>
            <w:tcW w:w="731" w:type="pct"/>
            <w:vAlign w:val="center"/>
          </w:tcPr>
          <w:p w14:paraId="3848FF77" w14:textId="77777777" w:rsidR="00432A72" w:rsidRPr="00F24348" w:rsidRDefault="00432A72" w:rsidP="00432A72">
            <w:pPr>
              <w:pStyle w:val="13"/>
              <w:spacing w:line="240" w:lineRule="auto"/>
              <w:ind w:firstLineChars="0" w:firstLine="0"/>
              <w:jc w:val="center"/>
              <w:rPr>
                <w:sz w:val="21"/>
                <w:szCs w:val="21"/>
                <w:lang w:bidi="zh-CN"/>
              </w:rPr>
            </w:pPr>
            <w:r w:rsidRPr="00F24348">
              <w:rPr>
                <w:sz w:val="21"/>
                <w:szCs w:val="21"/>
                <w:lang w:bidi="zh-CN"/>
              </w:rPr>
              <w:t>立项依据充分性</w:t>
            </w:r>
          </w:p>
        </w:tc>
        <w:tc>
          <w:tcPr>
            <w:tcW w:w="2727" w:type="pct"/>
            <w:vAlign w:val="center"/>
          </w:tcPr>
          <w:p w14:paraId="58A89AE2" w14:textId="41F93E30" w:rsidR="00432A72" w:rsidRPr="00F24348" w:rsidRDefault="00432A72" w:rsidP="00432A72">
            <w:pPr>
              <w:pStyle w:val="13"/>
              <w:spacing w:line="240" w:lineRule="auto"/>
              <w:ind w:firstLineChars="0" w:firstLine="0"/>
              <w:rPr>
                <w:sz w:val="21"/>
                <w:szCs w:val="21"/>
                <w:lang w:bidi="zh-CN"/>
              </w:rPr>
            </w:pPr>
            <w:r w:rsidRPr="00F24348">
              <w:rPr>
                <w:sz w:val="21"/>
                <w:szCs w:val="21"/>
                <w:lang w:bidi="zh-CN"/>
              </w:rPr>
              <w:t>用以反映项目是否有充分的依据，主要考察项目PPP模式适</w:t>
            </w:r>
            <w:r w:rsidRPr="00432A72">
              <w:rPr>
                <w:rFonts w:hint="eastAsia"/>
                <w:sz w:val="21"/>
                <w:szCs w:val="21"/>
                <w:lang w:bidi="zh-CN"/>
              </w:rPr>
              <w:t>应性、合</w:t>
            </w:r>
            <w:proofErr w:type="gramStart"/>
            <w:r w:rsidRPr="00432A72">
              <w:rPr>
                <w:rFonts w:hint="eastAsia"/>
                <w:sz w:val="21"/>
                <w:szCs w:val="21"/>
                <w:lang w:bidi="zh-CN"/>
              </w:rPr>
              <w:t>规</w:t>
            </w:r>
            <w:proofErr w:type="gramEnd"/>
            <w:r w:rsidRPr="00432A72">
              <w:rPr>
                <w:rFonts w:hint="eastAsia"/>
                <w:sz w:val="21"/>
                <w:szCs w:val="21"/>
                <w:lang w:bidi="zh-CN"/>
              </w:rPr>
              <w:t>性、市场收益、政府自身财政的承受力等</w:t>
            </w:r>
          </w:p>
        </w:tc>
      </w:tr>
      <w:tr w:rsidR="00432A72" w:rsidRPr="00F24348" w14:paraId="72538322" w14:textId="77777777" w:rsidTr="00FE5244">
        <w:trPr>
          <w:trHeight w:val="641"/>
        </w:trPr>
        <w:tc>
          <w:tcPr>
            <w:tcW w:w="404" w:type="pct"/>
            <w:vMerge/>
            <w:vAlign w:val="center"/>
          </w:tcPr>
          <w:p w14:paraId="37CF8E33" w14:textId="77777777" w:rsidR="00432A72" w:rsidRPr="00F24348" w:rsidRDefault="00432A72" w:rsidP="00432A72">
            <w:pPr>
              <w:pStyle w:val="13"/>
              <w:spacing w:line="240" w:lineRule="auto"/>
              <w:ind w:firstLineChars="0" w:firstLine="0"/>
              <w:jc w:val="center"/>
              <w:rPr>
                <w:sz w:val="21"/>
                <w:szCs w:val="21"/>
                <w:lang w:bidi="zh-CN"/>
              </w:rPr>
            </w:pPr>
          </w:p>
        </w:tc>
        <w:tc>
          <w:tcPr>
            <w:tcW w:w="488" w:type="pct"/>
            <w:vMerge/>
            <w:vAlign w:val="center"/>
          </w:tcPr>
          <w:p w14:paraId="308EFA84" w14:textId="77777777" w:rsidR="00432A72" w:rsidRPr="00F24348" w:rsidRDefault="00432A72" w:rsidP="00432A72">
            <w:pPr>
              <w:pStyle w:val="13"/>
              <w:spacing w:line="240" w:lineRule="auto"/>
              <w:ind w:firstLineChars="0" w:firstLine="0"/>
              <w:jc w:val="center"/>
              <w:rPr>
                <w:sz w:val="21"/>
                <w:szCs w:val="21"/>
                <w:lang w:bidi="zh-CN"/>
              </w:rPr>
            </w:pPr>
          </w:p>
        </w:tc>
        <w:tc>
          <w:tcPr>
            <w:tcW w:w="650" w:type="pct"/>
            <w:vMerge/>
            <w:vAlign w:val="center"/>
          </w:tcPr>
          <w:p w14:paraId="782D786F" w14:textId="77777777" w:rsidR="00432A72" w:rsidRPr="00F24348" w:rsidRDefault="00432A72" w:rsidP="00432A72">
            <w:pPr>
              <w:pStyle w:val="13"/>
              <w:spacing w:line="240" w:lineRule="auto"/>
              <w:ind w:firstLineChars="0" w:firstLine="0"/>
              <w:jc w:val="center"/>
              <w:rPr>
                <w:sz w:val="21"/>
                <w:szCs w:val="21"/>
                <w:lang w:bidi="zh-CN"/>
              </w:rPr>
            </w:pPr>
          </w:p>
        </w:tc>
        <w:tc>
          <w:tcPr>
            <w:tcW w:w="731" w:type="pct"/>
            <w:vAlign w:val="center"/>
          </w:tcPr>
          <w:p w14:paraId="03723C67" w14:textId="374E8587" w:rsidR="00432A72" w:rsidRPr="00F24348" w:rsidRDefault="00432A72" w:rsidP="00432A72">
            <w:pPr>
              <w:pStyle w:val="13"/>
              <w:spacing w:line="240" w:lineRule="auto"/>
              <w:ind w:firstLineChars="0" w:firstLine="0"/>
              <w:jc w:val="center"/>
              <w:rPr>
                <w:sz w:val="21"/>
                <w:szCs w:val="21"/>
                <w:lang w:bidi="zh-CN"/>
              </w:rPr>
            </w:pPr>
            <w:r w:rsidRPr="00432A72">
              <w:rPr>
                <w:sz w:val="21"/>
                <w:szCs w:val="21"/>
                <w:lang w:bidi="zh-CN"/>
              </w:rPr>
              <w:t>项目识别规范性</w:t>
            </w:r>
          </w:p>
        </w:tc>
        <w:tc>
          <w:tcPr>
            <w:tcW w:w="2727" w:type="pct"/>
            <w:vAlign w:val="center"/>
          </w:tcPr>
          <w:p w14:paraId="5083FB7B" w14:textId="7D6A3322" w:rsidR="00432A72" w:rsidRPr="00F24348" w:rsidRDefault="00432A72" w:rsidP="00432A72">
            <w:pPr>
              <w:pStyle w:val="13"/>
              <w:spacing w:line="240" w:lineRule="auto"/>
              <w:ind w:firstLineChars="0" w:firstLine="0"/>
              <w:rPr>
                <w:sz w:val="21"/>
                <w:szCs w:val="21"/>
                <w:lang w:bidi="zh-CN"/>
              </w:rPr>
            </w:pPr>
            <w:r w:rsidRPr="00432A72">
              <w:rPr>
                <w:sz w:val="21"/>
                <w:szCs w:val="21"/>
                <w:lang w:bidi="zh-CN"/>
              </w:rPr>
              <w:t>项目识别阶段</w:t>
            </w:r>
            <w:proofErr w:type="gramStart"/>
            <w:r w:rsidRPr="00432A72">
              <w:rPr>
                <w:sz w:val="21"/>
                <w:szCs w:val="21"/>
                <w:lang w:bidi="zh-CN"/>
              </w:rPr>
              <w:t>中项目</w:t>
            </w:r>
            <w:proofErr w:type="gramEnd"/>
            <w:r w:rsidRPr="00432A72">
              <w:rPr>
                <w:sz w:val="21"/>
                <w:szCs w:val="21"/>
                <w:lang w:bidi="zh-CN"/>
              </w:rPr>
              <w:t>的发起、项目筛选、物有所值评价、财政承受能力论证程序是否符合相关要求，用以反映和考核项目立项的规范情况</w:t>
            </w:r>
          </w:p>
        </w:tc>
      </w:tr>
      <w:tr w:rsidR="00432A72" w:rsidRPr="00F24348" w14:paraId="4B66DE43" w14:textId="77777777" w:rsidTr="00FE5244">
        <w:trPr>
          <w:trHeight w:val="641"/>
        </w:trPr>
        <w:tc>
          <w:tcPr>
            <w:tcW w:w="404" w:type="pct"/>
            <w:vMerge/>
            <w:vAlign w:val="center"/>
          </w:tcPr>
          <w:p w14:paraId="13E5C3A5" w14:textId="77777777" w:rsidR="00432A72" w:rsidRPr="00F24348" w:rsidRDefault="00432A72" w:rsidP="00432A72">
            <w:pPr>
              <w:pStyle w:val="13"/>
              <w:spacing w:line="240" w:lineRule="auto"/>
              <w:ind w:firstLineChars="0" w:firstLine="0"/>
              <w:jc w:val="center"/>
              <w:rPr>
                <w:sz w:val="21"/>
                <w:szCs w:val="21"/>
                <w:lang w:bidi="zh-CN"/>
              </w:rPr>
            </w:pPr>
          </w:p>
        </w:tc>
        <w:tc>
          <w:tcPr>
            <w:tcW w:w="488" w:type="pct"/>
            <w:vMerge/>
            <w:vAlign w:val="center"/>
          </w:tcPr>
          <w:p w14:paraId="708F4B62" w14:textId="77777777" w:rsidR="00432A72" w:rsidRPr="00F24348" w:rsidRDefault="00432A72" w:rsidP="00432A72">
            <w:pPr>
              <w:pStyle w:val="13"/>
              <w:spacing w:line="240" w:lineRule="auto"/>
              <w:ind w:firstLineChars="0" w:firstLine="0"/>
              <w:jc w:val="center"/>
              <w:rPr>
                <w:sz w:val="21"/>
                <w:szCs w:val="21"/>
                <w:lang w:bidi="zh-CN"/>
              </w:rPr>
            </w:pPr>
          </w:p>
        </w:tc>
        <w:tc>
          <w:tcPr>
            <w:tcW w:w="650" w:type="pct"/>
            <w:vMerge w:val="restart"/>
            <w:vAlign w:val="center"/>
          </w:tcPr>
          <w:p w14:paraId="444BE284" w14:textId="19D907C3" w:rsidR="00432A72" w:rsidRPr="00F24348" w:rsidRDefault="00432A72" w:rsidP="00432A72">
            <w:pPr>
              <w:pStyle w:val="13"/>
              <w:spacing w:line="240" w:lineRule="auto"/>
              <w:ind w:firstLineChars="0" w:firstLine="0"/>
              <w:jc w:val="center"/>
              <w:rPr>
                <w:sz w:val="21"/>
                <w:szCs w:val="21"/>
                <w:lang w:bidi="zh-CN"/>
              </w:rPr>
            </w:pPr>
            <w:r>
              <w:rPr>
                <w:rFonts w:hint="eastAsia"/>
                <w:sz w:val="21"/>
                <w:szCs w:val="21"/>
                <w:lang w:bidi="zh-CN"/>
              </w:rPr>
              <w:t>项目目标</w:t>
            </w:r>
          </w:p>
        </w:tc>
        <w:tc>
          <w:tcPr>
            <w:tcW w:w="731" w:type="pct"/>
            <w:vAlign w:val="center"/>
          </w:tcPr>
          <w:p w14:paraId="2E3DBBCB" w14:textId="2F7E3F75" w:rsidR="00432A72" w:rsidRPr="00F24348" w:rsidRDefault="00432A72" w:rsidP="00432A72">
            <w:pPr>
              <w:pStyle w:val="13"/>
              <w:spacing w:line="240" w:lineRule="auto"/>
              <w:ind w:firstLineChars="0" w:firstLine="0"/>
              <w:jc w:val="center"/>
              <w:rPr>
                <w:sz w:val="21"/>
                <w:szCs w:val="21"/>
                <w:lang w:bidi="zh-CN"/>
              </w:rPr>
            </w:pPr>
            <w:r w:rsidRPr="00432A72">
              <w:rPr>
                <w:sz w:val="21"/>
                <w:szCs w:val="21"/>
                <w:lang w:bidi="zh-CN"/>
              </w:rPr>
              <w:t>实施方案的合理性</w:t>
            </w:r>
          </w:p>
        </w:tc>
        <w:tc>
          <w:tcPr>
            <w:tcW w:w="2727" w:type="pct"/>
            <w:vAlign w:val="center"/>
          </w:tcPr>
          <w:p w14:paraId="115A2C6C" w14:textId="4B5C3ED3" w:rsidR="00432A72" w:rsidRPr="00F24348" w:rsidRDefault="00432A72" w:rsidP="00432A72">
            <w:pPr>
              <w:pStyle w:val="13"/>
              <w:spacing w:line="240" w:lineRule="auto"/>
              <w:ind w:firstLineChars="0" w:firstLine="0"/>
              <w:rPr>
                <w:sz w:val="21"/>
                <w:szCs w:val="21"/>
                <w:lang w:bidi="zh-CN"/>
              </w:rPr>
            </w:pPr>
            <w:r w:rsidRPr="00432A72">
              <w:rPr>
                <w:sz w:val="21"/>
                <w:szCs w:val="21"/>
                <w:lang w:bidi="zh-CN"/>
              </w:rPr>
              <w:t>考察实施方案是否内容齐全，是否满足具体性、规范性、效率性、可操作性等要求</w:t>
            </w:r>
          </w:p>
        </w:tc>
      </w:tr>
      <w:tr w:rsidR="00432A72" w:rsidRPr="00F24348" w14:paraId="51E85E28" w14:textId="77777777" w:rsidTr="00FE5244">
        <w:trPr>
          <w:trHeight w:val="641"/>
        </w:trPr>
        <w:tc>
          <w:tcPr>
            <w:tcW w:w="404" w:type="pct"/>
            <w:vMerge/>
            <w:vAlign w:val="center"/>
          </w:tcPr>
          <w:p w14:paraId="77E42717" w14:textId="77777777" w:rsidR="00432A72" w:rsidRPr="00F24348" w:rsidRDefault="00432A72" w:rsidP="00432A72">
            <w:pPr>
              <w:pStyle w:val="13"/>
              <w:spacing w:line="240" w:lineRule="auto"/>
              <w:ind w:firstLineChars="0" w:firstLine="0"/>
              <w:jc w:val="center"/>
              <w:rPr>
                <w:sz w:val="21"/>
                <w:szCs w:val="21"/>
                <w:lang w:bidi="zh-CN"/>
              </w:rPr>
            </w:pPr>
          </w:p>
        </w:tc>
        <w:tc>
          <w:tcPr>
            <w:tcW w:w="488" w:type="pct"/>
            <w:vMerge/>
            <w:vAlign w:val="center"/>
          </w:tcPr>
          <w:p w14:paraId="06BC8ECD" w14:textId="77777777" w:rsidR="00432A72" w:rsidRPr="00F24348" w:rsidRDefault="00432A72" w:rsidP="00432A72">
            <w:pPr>
              <w:pStyle w:val="13"/>
              <w:spacing w:line="240" w:lineRule="auto"/>
              <w:ind w:firstLineChars="0" w:firstLine="0"/>
              <w:jc w:val="center"/>
              <w:rPr>
                <w:sz w:val="21"/>
                <w:szCs w:val="21"/>
                <w:lang w:bidi="zh-CN"/>
              </w:rPr>
            </w:pPr>
          </w:p>
        </w:tc>
        <w:tc>
          <w:tcPr>
            <w:tcW w:w="650" w:type="pct"/>
            <w:vMerge/>
            <w:vAlign w:val="center"/>
          </w:tcPr>
          <w:p w14:paraId="0ABF0240" w14:textId="77777777" w:rsidR="00432A72" w:rsidRPr="00F24348" w:rsidRDefault="00432A72" w:rsidP="00432A72">
            <w:pPr>
              <w:pStyle w:val="13"/>
              <w:spacing w:line="240" w:lineRule="auto"/>
              <w:ind w:firstLineChars="0" w:firstLine="0"/>
              <w:jc w:val="center"/>
              <w:rPr>
                <w:sz w:val="21"/>
                <w:szCs w:val="21"/>
                <w:lang w:bidi="zh-CN"/>
              </w:rPr>
            </w:pPr>
          </w:p>
        </w:tc>
        <w:tc>
          <w:tcPr>
            <w:tcW w:w="731" w:type="pct"/>
            <w:vAlign w:val="center"/>
          </w:tcPr>
          <w:p w14:paraId="5CC6186E" w14:textId="0E92C438" w:rsidR="00432A72" w:rsidRPr="00F24348" w:rsidRDefault="00432A72" w:rsidP="00432A72">
            <w:pPr>
              <w:pStyle w:val="13"/>
              <w:spacing w:line="240" w:lineRule="auto"/>
              <w:ind w:firstLineChars="0" w:firstLine="0"/>
              <w:jc w:val="center"/>
              <w:rPr>
                <w:sz w:val="21"/>
                <w:szCs w:val="21"/>
                <w:lang w:bidi="zh-CN"/>
              </w:rPr>
            </w:pPr>
            <w:r w:rsidRPr="00432A72">
              <w:rPr>
                <w:sz w:val="21"/>
                <w:szCs w:val="21"/>
                <w:lang w:bidi="zh-CN"/>
              </w:rPr>
              <w:t>项目目标合理性</w:t>
            </w:r>
          </w:p>
        </w:tc>
        <w:tc>
          <w:tcPr>
            <w:tcW w:w="2727" w:type="pct"/>
            <w:vAlign w:val="center"/>
          </w:tcPr>
          <w:p w14:paraId="36A4233B" w14:textId="1B3E4379" w:rsidR="00432A72" w:rsidRPr="00432A72" w:rsidRDefault="00432A72" w:rsidP="00432A72">
            <w:pPr>
              <w:pStyle w:val="13"/>
              <w:spacing w:line="240" w:lineRule="auto"/>
              <w:ind w:firstLineChars="0" w:firstLine="0"/>
              <w:rPr>
                <w:sz w:val="21"/>
                <w:szCs w:val="21"/>
                <w:lang w:bidi="zh-CN"/>
              </w:rPr>
            </w:pPr>
            <w:r w:rsidRPr="00432A72">
              <w:rPr>
                <w:sz w:val="21"/>
                <w:szCs w:val="21"/>
                <w:lang w:bidi="zh-CN"/>
              </w:rPr>
              <w:t>项目所设定绩效目标是否依据充分，是否符合客观实际，用以反映和考核项目绩效目标与项目实施的相符情况</w:t>
            </w:r>
          </w:p>
        </w:tc>
      </w:tr>
      <w:tr w:rsidR="00432A72" w:rsidRPr="00F24348" w14:paraId="7B1F15A2" w14:textId="77777777" w:rsidTr="00FE5244">
        <w:trPr>
          <w:trHeight w:val="641"/>
        </w:trPr>
        <w:tc>
          <w:tcPr>
            <w:tcW w:w="404" w:type="pct"/>
            <w:vMerge/>
            <w:vAlign w:val="center"/>
          </w:tcPr>
          <w:p w14:paraId="0CAAC23C" w14:textId="77777777" w:rsidR="00432A72" w:rsidRPr="00F24348" w:rsidRDefault="00432A72" w:rsidP="00432A72">
            <w:pPr>
              <w:pStyle w:val="13"/>
              <w:spacing w:line="240" w:lineRule="auto"/>
              <w:ind w:firstLineChars="0" w:firstLine="0"/>
              <w:jc w:val="center"/>
              <w:rPr>
                <w:sz w:val="21"/>
                <w:szCs w:val="21"/>
                <w:lang w:bidi="zh-CN"/>
              </w:rPr>
            </w:pPr>
          </w:p>
        </w:tc>
        <w:tc>
          <w:tcPr>
            <w:tcW w:w="488" w:type="pct"/>
            <w:vMerge/>
            <w:vAlign w:val="center"/>
          </w:tcPr>
          <w:p w14:paraId="0DEA2488" w14:textId="77777777" w:rsidR="00432A72" w:rsidRPr="00F24348" w:rsidRDefault="00432A72" w:rsidP="00432A72">
            <w:pPr>
              <w:pStyle w:val="13"/>
              <w:spacing w:line="240" w:lineRule="auto"/>
              <w:ind w:firstLineChars="0" w:firstLine="0"/>
              <w:jc w:val="center"/>
              <w:rPr>
                <w:sz w:val="21"/>
                <w:szCs w:val="21"/>
                <w:lang w:bidi="zh-CN"/>
              </w:rPr>
            </w:pPr>
          </w:p>
        </w:tc>
        <w:tc>
          <w:tcPr>
            <w:tcW w:w="650" w:type="pct"/>
            <w:vMerge/>
            <w:vAlign w:val="center"/>
          </w:tcPr>
          <w:p w14:paraId="6A8839BD" w14:textId="77777777" w:rsidR="00432A72" w:rsidRPr="00F24348" w:rsidRDefault="00432A72" w:rsidP="00432A72">
            <w:pPr>
              <w:pStyle w:val="13"/>
              <w:spacing w:line="240" w:lineRule="auto"/>
              <w:ind w:firstLineChars="0" w:firstLine="0"/>
              <w:jc w:val="center"/>
              <w:rPr>
                <w:sz w:val="21"/>
                <w:szCs w:val="21"/>
                <w:lang w:bidi="zh-CN"/>
              </w:rPr>
            </w:pPr>
          </w:p>
        </w:tc>
        <w:tc>
          <w:tcPr>
            <w:tcW w:w="731" w:type="pct"/>
            <w:vAlign w:val="center"/>
          </w:tcPr>
          <w:p w14:paraId="071BFAAE" w14:textId="17B1799A" w:rsidR="00432A72" w:rsidRPr="00F24348" w:rsidRDefault="00432A72" w:rsidP="00432A72">
            <w:pPr>
              <w:pStyle w:val="13"/>
              <w:spacing w:line="240" w:lineRule="auto"/>
              <w:ind w:firstLineChars="0" w:firstLine="0"/>
              <w:jc w:val="center"/>
              <w:rPr>
                <w:sz w:val="21"/>
                <w:szCs w:val="21"/>
                <w:lang w:bidi="zh-CN"/>
              </w:rPr>
            </w:pPr>
            <w:r w:rsidRPr="00432A72">
              <w:rPr>
                <w:sz w:val="21"/>
                <w:szCs w:val="21"/>
                <w:lang w:bidi="zh-CN"/>
              </w:rPr>
              <w:t>项目绩效指标明确性</w:t>
            </w:r>
          </w:p>
        </w:tc>
        <w:tc>
          <w:tcPr>
            <w:tcW w:w="2727" w:type="pct"/>
            <w:vAlign w:val="center"/>
          </w:tcPr>
          <w:p w14:paraId="576C91B8" w14:textId="65C9930D" w:rsidR="00432A72" w:rsidRPr="00F24348" w:rsidRDefault="00432A72" w:rsidP="00432A72">
            <w:pPr>
              <w:pStyle w:val="13"/>
              <w:spacing w:line="240" w:lineRule="auto"/>
              <w:ind w:firstLineChars="0" w:firstLine="0"/>
              <w:rPr>
                <w:sz w:val="21"/>
                <w:szCs w:val="21"/>
                <w:lang w:bidi="zh-CN"/>
              </w:rPr>
            </w:pPr>
            <w:r w:rsidRPr="00432A72">
              <w:rPr>
                <w:sz w:val="21"/>
                <w:szCs w:val="21"/>
                <w:lang w:bidi="zh-CN"/>
              </w:rPr>
              <w:t>依据绩效目标设定的绩效指标是否清晰、细化、可衡量等，用以反映和考核项目绩效目标与项目实施的相符情况</w:t>
            </w:r>
          </w:p>
        </w:tc>
      </w:tr>
      <w:tr w:rsidR="00FE5244" w:rsidRPr="00F24348" w14:paraId="3F94D550" w14:textId="77777777" w:rsidTr="00FE5244">
        <w:trPr>
          <w:trHeight w:val="395"/>
        </w:trPr>
        <w:tc>
          <w:tcPr>
            <w:tcW w:w="404" w:type="pct"/>
            <w:vMerge w:val="restart"/>
            <w:vAlign w:val="center"/>
          </w:tcPr>
          <w:p w14:paraId="4F918232" w14:textId="25A7A188"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项目管理</w:t>
            </w:r>
          </w:p>
        </w:tc>
        <w:tc>
          <w:tcPr>
            <w:tcW w:w="488" w:type="pct"/>
            <w:vMerge w:val="restart"/>
            <w:vAlign w:val="center"/>
          </w:tcPr>
          <w:p w14:paraId="1C3CA749" w14:textId="1C22D746"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2</w:t>
            </w:r>
            <w:r>
              <w:rPr>
                <w:sz w:val="21"/>
                <w:szCs w:val="21"/>
                <w:lang w:bidi="zh-CN"/>
              </w:rPr>
              <w:t>0</w:t>
            </w:r>
            <w:r>
              <w:rPr>
                <w:rFonts w:hint="eastAsia"/>
                <w:sz w:val="21"/>
                <w:szCs w:val="21"/>
                <w:lang w:bidi="zh-CN"/>
              </w:rPr>
              <w:t>±</w:t>
            </w:r>
            <w:r>
              <w:rPr>
                <w:sz w:val="21"/>
                <w:szCs w:val="21"/>
                <w:lang w:bidi="zh-CN"/>
              </w:rPr>
              <w:t>5</w:t>
            </w:r>
          </w:p>
        </w:tc>
        <w:tc>
          <w:tcPr>
            <w:tcW w:w="650" w:type="pct"/>
            <w:vMerge w:val="restart"/>
            <w:vAlign w:val="center"/>
          </w:tcPr>
          <w:p w14:paraId="5DEA5D4E" w14:textId="1B567DCC"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投入管理</w:t>
            </w:r>
          </w:p>
        </w:tc>
        <w:tc>
          <w:tcPr>
            <w:tcW w:w="731" w:type="pct"/>
            <w:vAlign w:val="center"/>
          </w:tcPr>
          <w:p w14:paraId="030A659D" w14:textId="52BAE5C1"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预算执行率</w:t>
            </w:r>
          </w:p>
        </w:tc>
        <w:tc>
          <w:tcPr>
            <w:tcW w:w="2727" w:type="pct"/>
            <w:vAlign w:val="center"/>
          </w:tcPr>
          <w:p w14:paraId="40E8D735" w14:textId="283A68F4" w:rsidR="00FE5244" w:rsidRPr="00F24348" w:rsidRDefault="00FE5244" w:rsidP="00432A72">
            <w:pPr>
              <w:pStyle w:val="13"/>
              <w:spacing w:line="240" w:lineRule="auto"/>
              <w:ind w:firstLineChars="0" w:firstLine="0"/>
              <w:rPr>
                <w:sz w:val="21"/>
                <w:szCs w:val="21"/>
                <w:lang w:bidi="zh-CN"/>
              </w:rPr>
            </w:pPr>
            <w:r w:rsidRPr="00432A72">
              <w:rPr>
                <w:sz w:val="21"/>
                <w:szCs w:val="21"/>
                <w:lang w:bidi="zh-CN"/>
              </w:rPr>
              <w:t>用以反映项目是否按计划投入和使用</w:t>
            </w:r>
          </w:p>
        </w:tc>
      </w:tr>
      <w:tr w:rsidR="00FE5244" w:rsidRPr="00F24348" w14:paraId="5A6A70FD" w14:textId="77777777" w:rsidTr="00FE5244">
        <w:trPr>
          <w:trHeight w:val="641"/>
        </w:trPr>
        <w:tc>
          <w:tcPr>
            <w:tcW w:w="404" w:type="pct"/>
            <w:vMerge/>
            <w:vAlign w:val="center"/>
          </w:tcPr>
          <w:p w14:paraId="55DE5D0A"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4EA43B59"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0D85A2B2"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5ABF4694" w14:textId="08902F20"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资金结构合理性</w:t>
            </w:r>
          </w:p>
        </w:tc>
        <w:tc>
          <w:tcPr>
            <w:tcW w:w="2727" w:type="pct"/>
            <w:vAlign w:val="center"/>
          </w:tcPr>
          <w:p w14:paraId="77037347" w14:textId="775A2689" w:rsidR="00FE5244" w:rsidRPr="00F24348" w:rsidRDefault="00FE5244" w:rsidP="00432A72">
            <w:pPr>
              <w:pStyle w:val="13"/>
              <w:spacing w:line="240" w:lineRule="auto"/>
              <w:ind w:firstLineChars="0" w:firstLine="0"/>
              <w:rPr>
                <w:sz w:val="21"/>
                <w:szCs w:val="21"/>
                <w:lang w:bidi="zh-CN"/>
              </w:rPr>
            </w:pPr>
            <w:r w:rsidRPr="00432A72">
              <w:rPr>
                <w:sz w:val="21"/>
                <w:szCs w:val="21"/>
                <w:lang w:bidi="zh-CN"/>
              </w:rPr>
              <w:t>用以考核政府与社会资本资金结构的合理性及合</w:t>
            </w:r>
            <w:proofErr w:type="gramStart"/>
            <w:r w:rsidRPr="00432A72">
              <w:rPr>
                <w:sz w:val="21"/>
                <w:szCs w:val="21"/>
                <w:lang w:bidi="zh-CN"/>
              </w:rPr>
              <w:t>规</w:t>
            </w:r>
            <w:proofErr w:type="gramEnd"/>
            <w:r w:rsidRPr="00432A72">
              <w:rPr>
                <w:sz w:val="21"/>
                <w:szCs w:val="21"/>
                <w:lang w:bidi="zh-CN"/>
              </w:rPr>
              <w:t>性</w:t>
            </w:r>
          </w:p>
        </w:tc>
      </w:tr>
      <w:tr w:rsidR="00FE5244" w:rsidRPr="00F24348" w14:paraId="63F152F0" w14:textId="77777777" w:rsidTr="00FE5244">
        <w:trPr>
          <w:trHeight w:val="641"/>
        </w:trPr>
        <w:tc>
          <w:tcPr>
            <w:tcW w:w="404" w:type="pct"/>
            <w:vMerge/>
            <w:vAlign w:val="center"/>
          </w:tcPr>
          <w:p w14:paraId="0083FA6A"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622A6F53"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10FDB38D"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6FDDD27B" w14:textId="4CA26886"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政府资金到位率</w:t>
            </w:r>
          </w:p>
        </w:tc>
        <w:tc>
          <w:tcPr>
            <w:tcW w:w="2727" w:type="pct"/>
            <w:vAlign w:val="center"/>
          </w:tcPr>
          <w:p w14:paraId="2BE0A39C" w14:textId="4816ED83" w:rsidR="00FE5244" w:rsidRPr="00F24348" w:rsidRDefault="00FE5244" w:rsidP="00432A72">
            <w:pPr>
              <w:pStyle w:val="13"/>
              <w:spacing w:line="240" w:lineRule="auto"/>
              <w:ind w:firstLineChars="0" w:firstLine="0"/>
              <w:rPr>
                <w:sz w:val="21"/>
                <w:szCs w:val="21"/>
                <w:lang w:bidi="zh-CN"/>
              </w:rPr>
            </w:pPr>
            <w:r w:rsidRPr="00432A72">
              <w:rPr>
                <w:sz w:val="21"/>
                <w:szCs w:val="21"/>
                <w:lang w:bidi="zh-CN"/>
              </w:rPr>
              <w:t>实际到位的政府资金与计划投入的政府资金到位的比率，用以反映和</w:t>
            </w:r>
            <w:proofErr w:type="gramStart"/>
            <w:r w:rsidRPr="00432A72">
              <w:rPr>
                <w:sz w:val="21"/>
                <w:szCs w:val="21"/>
                <w:lang w:bidi="zh-CN"/>
              </w:rPr>
              <w:t>考量</w:t>
            </w:r>
            <w:proofErr w:type="gramEnd"/>
            <w:r w:rsidRPr="00432A72">
              <w:rPr>
                <w:sz w:val="21"/>
                <w:szCs w:val="21"/>
                <w:lang w:bidi="zh-CN"/>
              </w:rPr>
              <w:t>资金落实情况对项目绩效目标的明晰化情况</w:t>
            </w:r>
          </w:p>
        </w:tc>
      </w:tr>
      <w:tr w:rsidR="00FE5244" w:rsidRPr="00F24348" w14:paraId="63AB3939" w14:textId="77777777" w:rsidTr="00FE5244">
        <w:trPr>
          <w:trHeight w:val="641"/>
        </w:trPr>
        <w:tc>
          <w:tcPr>
            <w:tcW w:w="404" w:type="pct"/>
            <w:vMerge/>
            <w:vAlign w:val="center"/>
          </w:tcPr>
          <w:p w14:paraId="4E9E4F05"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2A4A5187"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0026724D"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5DFBA7AC" w14:textId="769620A2" w:rsidR="00FE5244" w:rsidRPr="00432A72" w:rsidRDefault="00FE5244" w:rsidP="00432A72">
            <w:pPr>
              <w:pStyle w:val="13"/>
              <w:spacing w:line="240" w:lineRule="auto"/>
              <w:ind w:firstLineChars="0" w:firstLine="0"/>
              <w:jc w:val="center"/>
              <w:rPr>
                <w:sz w:val="21"/>
                <w:szCs w:val="21"/>
                <w:lang w:bidi="zh-CN"/>
              </w:rPr>
            </w:pPr>
            <w:r w:rsidRPr="00432A72">
              <w:rPr>
                <w:sz w:val="21"/>
                <w:szCs w:val="21"/>
                <w:lang w:bidi="zh-CN"/>
              </w:rPr>
              <w:t>社会资金到位率</w:t>
            </w:r>
          </w:p>
        </w:tc>
        <w:tc>
          <w:tcPr>
            <w:tcW w:w="2727" w:type="pct"/>
            <w:vAlign w:val="center"/>
          </w:tcPr>
          <w:p w14:paraId="1A5C5811" w14:textId="33FC6253" w:rsidR="00FE5244" w:rsidRPr="00F24348" w:rsidRDefault="00FE5244" w:rsidP="00432A72">
            <w:pPr>
              <w:pStyle w:val="13"/>
              <w:spacing w:line="240" w:lineRule="auto"/>
              <w:ind w:firstLineChars="0" w:firstLine="0"/>
              <w:rPr>
                <w:sz w:val="21"/>
                <w:szCs w:val="21"/>
                <w:lang w:bidi="zh-CN"/>
              </w:rPr>
            </w:pPr>
            <w:r w:rsidRPr="00432A72">
              <w:rPr>
                <w:sz w:val="21"/>
                <w:szCs w:val="21"/>
                <w:lang w:bidi="zh-CN"/>
              </w:rPr>
              <w:t>实际到位的社会资金与计划投入的社会资金到位的比率，用以反映和</w:t>
            </w:r>
            <w:proofErr w:type="gramStart"/>
            <w:r w:rsidRPr="00432A72">
              <w:rPr>
                <w:sz w:val="21"/>
                <w:szCs w:val="21"/>
                <w:lang w:bidi="zh-CN"/>
              </w:rPr>
              <w:t>考量</w:t>
            </w:r>
            <w:proofErr w:type="gramEnd"/>
            <w:r w:rsidRPr="00432A72">
              <w:rPr>
                <w:sz w:val="21"/>
                <w:szCs w:val="21"/>
                <w:lang w:bidi="zh-CN"/>
              </w:rPr>
              <w:t>资金落实情况对项目绩效目标的明晰化情况</w:t>
            </w:r>
          </w:p>
        </w:tc>
      </w:tr>
      <w:tr w:rsidR="00FE5244" w:rsidRPr="00F24348" w14:paraId="432BBF26" w14:textId="77777777" w:rsidTr="00FE5244">
        <w:trPr>
          <w:trHeight w:val="641"/>
        </w:trPr>
        <w:tc>
          <w:tcPr>
            <w:tcW w:w="404" w:type="pct"/>
            <w:vMerge/>
            <w:vAlign w:val="center"/>
          </w:tcPr>
          <w:p w14:paraId="1B39EACD"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17F1767E"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255B8635"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43386F34" w14:textId="00B04700"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资金到位及时率</w:t>
            </w:r>
          </w:p>
        </w:tc>
        <w:tc>
          <w:tcPr>
            <w:tcW w:w="2727" w:type="pct"/>
            <w:vAlign w:val="center"/>
          </w:tcPr>
          <w:p w14:paraId="670EF076" w14:textId="5D5D9F0B" w:rsidR="00FE5244" w:rsidRPr="00432A72" w:rsidRDefault="00FE5244" w:rsidP="00432A72">
            <w:pPr>
              <w:pStyle w:val="13"/>
              <w:spacing w:line="240" w:lineRule="auto"/>
              <w:ind w:firstLineChars="0" w:firstLine="0"/>
              <w:rPr>
                <w:sz w:val="21"/>
                <w:szCs w:val="21"/>
                <w:lang w:bidi="zh-CN"/>
              </w:rPr>
            </w:pPr>
            <w:r w:rsidRPr="00432A72">
              <w:rPr>
                <w:sz w:val="21"/>
                <w:szCs w:val="21"/>
                <w:lang w:bidi="zh-CN"/>
              </w:rPr>
              <w:t>及时到位资金与应到位资金的比率，用以反映和考核资金落实情况对项目实施的总体保障程度</w:t>
            </w:r>
          </w:p>
        </w:tc>
      </w:tr>
      <w:tr w:rsidR="00FE5244" w:rsidRPr="00F24348" w14:paraId="30B747C0" w14:textId="77777777" w:rsidTr="00FE5244">
        <w:trPr>
          <w:trHeight w:val="641"/>
        </w:trPr>
        <w:tc>
          <w:tcPr>
            <w:tcW w:w="404" w:type="pct"/>
            <w:vMerge/>
            <w:vAlign w:val="center"/>
          </w:tcPr>
          <w:p w14:paraId="00FC1A37"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62866DA5"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restart"/>
            <w:vAlign w:val="center"/>
          </w:tcPr>
          <w:p w14:paraId="5A293F96" w14:textId="4EF16EA4"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财务管理</w:t>
            </w:r>
          </w:p>
        </w:tc>
        <w:tc>
          <w:tcPr>
            <w:tcW w:w="731" w:type="pct"/>
            <w:vAlign w:val="center"/>
          </w:tcPr>
          <w:p w14:paraId="7B795154" w14:textId="712FB9BB"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资金使用情况</w:t>
            </w:r>
          </w:p>
        </w:tc>
        <w:tc>
          <w:tcPr>
            <w:tcW w:w="2727" w:type="pct"/>
            <w:vAlign w:val="center"/>
          </w:tcPr>
          <w:p w14:paraId="7831FCAC" w14:textId="56D1CF99" w:rsidR="00FE5244" w:rsidRPr="00F24348" w:rsidRDefault="00FE5244" w:rsidP="00432A72">
            <w:pPr>
              <w:pStyle w:val="13"/>
              <w:spacing w:line="240" w:lineRule="auto"/>
              <w:ind w:firstLineChars="0" w:firstLine="0"/>
              <w:rPr>
                <w:sz w:val="21"/>
                <w:szCs w:val="21"/>
                <w:lang w:bidi="zh-CN"/>
              </w:rPr>
            </w:pPr>
            <w:r w:rsidRPr="00432A72">
              <w:rPr>
                <w:sz w:val="21"/>
                <w:szCs w:val="21"/>
                <w:lang w:bidi="zh-CN"/>
              </w:rPr>
              <w:t>项目资金使用是否符合相关法律法规、制度和规定，用以反映和考核项目资金使用的规范性和安全性</w:t>
            </w:r>
          </w:p>
        </w:tc>
      </w:tr>
      <w:tr w:rsidR="00FE5244" w:rsidRPr="00F24348" w14:paraId="04C83786" w14:textId="77777777" w:rsidTr="00FE5244">
        <w:trPr>
          <w:trHeight w:val="641"/>
        </w:trPr>
        <w:tc>
          <w:tcPr>
            <w:tcW w:w="404" w:type="pct"/>
            <w:vMerge/>
            <w:vAlign w:val="center"/>
          </w:tcPr>
          <w:p w14:paraId="6B5DA417"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026CFF5E"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2A8D7A1D"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10927086" w14:textId="3D74ACC0"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财务（资产）管理制度健全性</w:t>
            </w:r>
          </w:p>
        </w:tc>
        <w:tc>
          <w:tcPr>
            <w:tcW w:w="2727" w:type="pct"/>
            <w:vAlign w:val="center"/>
          </w:tcPr>
          <w:p w14:paraId="5CF381D2" w14:textId="303C0860" w:rsidR="00FE5244" w:rsidRPr="00F24348" w:rsidRDefault="00FE5244" w:rsidP="00432A72">
            <w:pPr>
              <w:pStyle w:val="13"/>
              <w:spacing w:line="240" w:lineRule="auto"/>
              <w:ind w:firstLineChars="0" w:firstLine="0"/>
              <w:rPr>
                <w:sz w:val="21"/>
                <w:szCs w:val="21"/>
                <w:lang w:bidi="zh-CN"/>
              </w:rPr>
            </w:pPr>
            <w:r w:rsidRPr="00432A72">
              <w:rPr>
                <w:sz w:val="21"/>
                <w:szCs w:val="21"/>
                <w:lang w:bidi="zh-CN"/>
              </w:rPr>
              <w:t>项目的财务制度是够健全、完善、有效，用以反映和考核财务管理制度对资金规范、安全运行的保障情况</w:t>
            </w:r>
          </w:p>
        </w:tc>
      </w:tr>
      <w:tr w:rsidR="00FE5244" w:rsidRPr="00F24348" w14:paraId="14D899A8" w14:textId="77777777" w:rsidTr="00FE5244">
        <w:trPr>
          <w:trHeight w:val="416"/>
        </w:trPr>
        <w:tc>
          <w:tcPr>
            <w:tcW w:w="404" w:type="pct"/>
            <w:vMerge/>
            <w:vAlign w:val="center"/>
          </w:tcPr>
          <w:p w14:paraId="6AE383C4"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3542E180"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61D1C989"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482D6509" w14:textId="55FC6DA2"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财务监控有效性</w:t>
            </w:r>
          </w:p>
        </w:tc>
        <w:tc>
          <w:tcPr>
            <w:tcW w:w="2727" w:type="pct"/>
            <w:vAlign w:val="center"/>
          </w:tcPr>
          <w:p w14:paraId="1089E310" w14:textId="09BB5FEF" w:rsidR="00FE5244" w:rsidRPr="00F24348" w:rsidRDefault="00FE5244" w:rsidP="00432A72">
            <w:pPr>
              <w:pStyle w:val="13"/>
              <w:spacing w:line="240" w:lineRule="auto"/>
              <w:ind w:firstLineChars="0" w:firstLine="0"/>
              <w:rPr>
                <w:sz w:val="21"/>
                <w:szCs w:val="21"/>
                <w:lang w:bidi="zh-CN"/>
              </w:rPr>
            </w:pPr>
            <w:r w:rsidRPr="00432A72">
              <w:rPr>
                <w:sz w:val="21"/>
                <w:szCs w:val="21"/>
                <w:lang w:bidi="zh-CN"/>
              </w:rPr>
              <w:t>项目实施单位是否为保障资金的安全、规范运行、控制成本等而采取了必要的监控、管理措施，用以</w:t>
            </w:r>
            <w:r w:rsidRPr="00432A72">
              <w:rPr>
                <w:sz w:val="21"/>
                <w:szCs w:val="21"/>
                <w:lang w:bidi="zh-CN"/>
              </w:rPr>
              <w:lastRenderedPageBreak/>
              <w:t>反映和考核项目实施单位对资金运行的控制情况</w:t>
            </w:r>
          </w:p>
        </w:tc>
      </w:tr>
      <w:tr w:rsidR="00FE5244" w:rsidRPr="00F24348" w14:paraId="341C80B5" w14:textId="77777777" w:rsidTr="00FE5244">
        <w:trPr>
          <w:trHeight w:val="641"/>
        </w:trPr>
        <w:tc>
          <w:tcPr>
            <w:tcW w:w="404" w:type="pct"/>
            <w:vMerge/>
            <w:vAlign w:val="center"/>
          </w:tcPr>
          <w:p w14:paraId="31C912C8"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09E248DE"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restart"/>
            <w:vAlign w:val="center"/>
          </w:tcPr>
          <w:p w14:paraId="491227B1" w14:textId="4B3CF6F1"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项目实施</w:t>
            </w:r>
          </w:p>
        </w:tc>
        <w:tc>
          <w:tcPr>
            <w:tcW w:w="731" w:type="pct"/>
            <w:vAlign w:val="center"/>
          </w:tcPr>
          <w:p w14:paraId="5889903C" w14:textId="19016B7D" w:rsidR="00FE5244" w:rsidRPr="00432A72" w:rsidRDefault="00FE5244" w:rsidP="00432A72">
            <w:pPr>
              <w:pStyle w:val="13"/>
              <w:spacing w:line="240" w:lineRule="auto"/>
              <w:ind w:firstLineChars="0" w:firstLine="0"/>
              <w:jc w:val="center"/>
              <w:rPr>
                <w:sz w:val="21"/>
                <w:szCs w:val="21"/>
                <w:lang w:bidi="zh-CN"/>
              </w:rPr>
            </w:pPr>
            <w:r w:rsidRPr="00432A72">
              <w:rPr>
                <w:sz w:val="21"/>
                <w:szCs w:val="21"/>
                <w:lang w:bidi="zh-CN"/>
              </w:rPr>
              <w:t>政府监管机构设置合理性</w:t>
            </w:r>
          </w:p>
        </w:tc>
        <w:tc>
          <w:tcPr>
            <w:tcW w:w="2727" w:type="pct"/>
            <w:vAlign w:val="center"/>
          </w:tcPr>
          <w:p w14:paraId="306F2CF5" w14:textId="668553A7" w:rsidR="00FE5244" w:rsidRPr="00F24348" w:rsidRDefault="00FE5244" w:rsidP="00432A72">
            <w:pPr>
              <w:pStyle w:val="13"/>
              <w:spacing w:line="240" w:lineRule="auto"/>
              <w:ind w:firstLineChars="0" w:firstLine="0"/>
              <w:rPr>
                <w:sz w:val="21"/>
                <w:szCs w:val="21"/>
                <w:lang w:bidi="zh-CN"/>
              </w:rPr>
            </w:pPr>
            <w:r w:rsidRPr="00432A72">
              <w:rPr>
                <w:sz w:val="21"/>
                <w:szCs w:val="21"/>
                <w:lang w:bidi="zh-CN"/>
              </w:rPr>
              <w:t>政府监管机构设置是否适当，项目监管及结构内部控制是否到位并能确保项目有效实施</w:t>
            </w:r>
          </w:p>
        </w:tc>
      </w:tr>
      <w:tr w:rsidR="00FE5244" w:rsidRPr="00F24348" w14:paraId="05850AF0" w14:textId="77777777" w:rsidTr="00FE5244">
        <w:trPr>
          <w:trHeight w:val="641"/>
        </w:trPr>
        <w:tc>
          <w:tcPr>
            <w:tcW w:w="404" w:type="pct"/>
            <w:vMerge/>
            <w:vAlign w:val="center"/>
          </w:tcPr>
          <w:p w14:paraId="5E22B051"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73D2F594"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7F242D04"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29DFF534" w14:textId="2ECF9221"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社会资本采购执行有效性</w:t>
            </w:r>
          </w:p>
        </w:tc>
        <w:tc>
          <w:tcPr>
            <w:tcW w:w="2727" w:type="pct"/>
            <w:vAlign w:val="center"/>
          </w:tcPr>
          <w:p w14:paraId="0FCEA462" w14:textId="34332083" w:rsidR="00FE5244" w:rsidRPr="00432A72" w:rsidRDefault="00FE5244" w:rsidP="00432A72">
            <w:pPr>
              <w:pStyle w:val="13"/>
              <w:spacing w:line="240" w:lineRule="auto"/>
              <w:ind w:firstLineChars="0" w:firstLine="0"/>
              <w:rPr>
                <w:sz w:val="21"/>
                <w:szCs w:val="21"/>
                <w:lang w:bidi="zh-CN"/>
              </w:rPr>
            </w:pPr>
            <w:r w:rsidRPr="00432A72">
              <w:rPr>
                <w:sz w:val="21"/>
                <w:szCs w:val="21"/>
                <w:lang w:bidi="zh-CN"/>
              </w:rPr>
              <w:t>考察社会资本方选聘过程中采购工作的招标程序、招标方式、招标文件、各项合同等合</w:t>
            </w:r>
            <w:proofErr w:type="gramStart"/>
            <w:r w:rsidRPr="00432A72">
              <w:rPr>
                <w:sz w:val="21"/>
                <w:szCs w:val="21"/>
                <w:lang w:bidi="zh-CN"/>
              </w:rPr>
              <w:t>规</w:t>
            </w:r>
            <w:proofErr w:type="gramEnd"/>
            <w:r w:rsidRPr="00432A72">
              <w:rPr>
                <w:sz w:val="21"/>
                <w:szCs w:val="21"/>
                <w:lang w:bidi="zh-CN"/>
              </w:rPr>
              <w:t>性</w:t>
            </w:r>
          </w:p>
        </w:tc>
      </w:tr>
      <w:tr w:rsidR="00FE5244" w:rsidRPr="00F24348" w14:paraId="43278285" w14:textId="77777777" w:rsidTr="00FE5244">
        <w:trPr>
          <w:trHeight w:val="641"/>
        </w:trPr>
        <w:tc>
          <w:tcPr>
            <w:tcW w:w="404" w:type="pct"/>
            <w:vMerge/>
            <w:vAlign w:val="center"/>
          </w:tcPr>
          <w:p w14:paraId="746E5220"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47519EAB"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2140E881"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5224634C" w14:textId="02C59230"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项目公司采购执行的有效性</w:t>
            </w:r>
          </w:p>
        </w:tc>
        <w:tc>
          <w:tcPr>
            <w:tcW w:w="2727" w:type="pct"/>
            <w:vAlign w:val="center"/>
          </w:tcPr>
          <w:p w14:paraId="59022A8F" w14:textId="4A66A308" w:rsidR="00FE5244" w:rsidRPr="00432A72" w:rsidRDefault="00FE5244" w:rsidP="00432A72">
            <w:pPr>
              <w:pStyle w:val="13"/>
              <w:spacing w:line="240" w:lineRule="auto"/>
              <w:ind w:firstLineChars="0" w:firstLine="0"/>
              <w:rPr>
                <w:sz w:val="21"/>
                <w:szCs w:val="21"/>
                <w:lang w:bidi="zh-CN"/>
              </w:rPr>
            </w:pPr>
            <w:r w:rsidRPr="00432A72">
              <w:rPr>
                <w:sz w:val="21"/>
                <w:szCs w:val="21"/>
                <w:lang w:bidi="zh-CN"/>
              </w:rPr>
              <w:t>项目公司成立后，项目公司是否根据规定制定采购流程，采购流程的规范性与合理性</w:t>
            </w:r>
          </w:p>
        </w:tc>
      </w:tr>
      <w:tr w:rsidR="00FE5244" w:rsidRPr="00F24348" w14:paraId="454F0BC5" w14:textId="77777777" w:rsidTr="00FE5244">
        <w:trPr>
          <w:trHeight w:val="641"/>
        </w:trPr>
        <w:tc>
          <w:tcPr>
            <w:tcW w:w="404" w:type="pct"/>
            <w:vMerge/>
            <w:vAlign w:val="center"/>
          </w:tcPr>
          <w:p w14:paraId="45B8CDFD"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5DC34B6F"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2831CA13"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19221232" w14:textId="11F862FD" w:rsidR="00FE5244" w:rsidRPr="00F24348" w:rsidRDefault="00FE5244" w:rsidP="00432A72">
            <w:pPr>
              <w:pStyle w:val="13"/>
              <w:spacing w:line="240" w:lineRule="auto"/>
              <w:ind w:firstLineChars="0" w:firstLine="0"/>
              <w:jc w:val="center"/>
              <w:rPr>
                <w:sz w:val="21"/>
                <w:szCs w:val="21"/>
                <w:lang w:bidi="zh-CN"/>
              </w:rPr>
            </w:pPr>
            <w:r w:rsidRPr="00432A72">
              <w:rPr>
                <w:sz w:val="21"/>
                <w:szCs w:val="21"/>
                <w:lang w:bidi="zh-CN"/>
              </w:rPr>
              <w:t>合同体系建立规范性</w:t>
            </w:r>
          </w:p>
        </w:tc>
        <w:tc>
          <w:tcPr>
            <w:tcW w:w="2727" w:type="pct"/>
            <w:vAlign w:val="center"/>
          </w:tcPr>
          <w:p w14:paraId="4B20D318" w14:textId="3A1F3292" w:rsidR="00FE5244" w:rsidRPr="00F24348" w:rsidRDefault="00FE5244" w:rsidP="00432A72">
            <w:pPr>
              <w:pStyle w:val="13"/>
              <w:spacing w:line="240" w:lineRule="auto"/>
              <w:ind w:firstLineChars="0" w:firstLine="0"/>
              <w:rPr>
                <w:sz w:val="21"/>
                <w:szCs w:val="21"/>
                <w:lang w:bidi="zh-CN"/>
              </w:rPr>
            </w:pPr>
            <w:r w:rsidRPr="00432A72">
              <w:rPr>
                <w:sz w:val="21"/>
                <w:szCs w:val="21"/>
                <w:lang w:bidi="zh-CN"/>
              </w:rPr>
              <w:t>考察合同体系建立是否规范、合理、完整，项目执行是否有相应的合同条款作为依据</w:t>
            </w:r>
          </w:p>
        </w:tc>
      </w:tr>
      <w:tr w:rsidR="00FE5244" w:rsidRPr="00F24348" w14:paraId="71697F61" w14:textId="77777777" w:rsidTr="00FE5244">
        <w:trPr>
          <w:trHeight w:val="641"/>
        </w:trPr>
        <w:tc>
          <w:tcPr>
            <w:tcW w:w="404" w:type="pct"/>
            <w:vMerge/>
            <w:vAlign w:val="center"/>
          </w:tcPr>
          <w:p w14:paraId="79B19AC9"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2D8C1D49"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734C548E"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5254C006" w14:textId="337C3AD4"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风险分配的有效性</w:t>
            </w:r>
          </w:p>
        </w:tc>
        <w:tc>
          <w:tcPr>
            <w:tcW w:w="2727" w:type="pct"/>
            <w:vAlign w:val="center"/>
          </w:tcPr>
          <w:p w14:paraId="18578A83" w14:textId="35D4E559"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考察项目政府与社会资本风险分配模式的合理性及执行的有效性</w:t>
            </w:r>
          </w:p>
        </w:tc>
      </w:tr>
      <w:tr w:rsidR="00FE5244" w:rsidRPr="00F24348" w14:paraId="255AF3FF" w14:textId="77777777" w:rsidTr="00FE5244">
        <w:trPr>
          <w:trHeight w:val="641"/>
        </w:trPr>
        <w:tc>
          <w:tcPr>
            <w:tcW w:w="404" w:type="pct"/>
            <w:vMerge/>
            <w:vAlign w:val="center"/>
          </w:tcPr>
          <w:p w14:paraId="55452327"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58626D34"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53043C28"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6484A352" w14:textId="50B2A2CC"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项目执行有效性</w:t>
            </w:r>
          </w:p>
        </w:tc>
        <w:tc>
          <w:tcPr>
            <w:tcW w:w="2727" w:type="pct"/>
            <w:vAlign w:val="center"/>
          </w:tcPr>
          <w:p w14:paraId="4F7A63FE" w14:textId="0F7605C4"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包括项目预（概）算和竣工决（结）算的真实性、准确性、完整性和时效性等；项目基本建设程序合</w:t>
            </w:r>
            <w:proofErr w:type="gramStart"/>
            <w:r w:rsidRPr="00FE5244">
              <w:rPr>
                <w:sz w:val="21"/>
                <w:szCs w:val="21"/>
                <w:lang w:bidi="zh-CN"/>
              </w:rPr>
              <w:t>规</w:t>
            </w:r>
            <w:proofErr w:type="gramEnd"/>
            <w:r w:rsidRPr="00FE5244">
              <w:rPr>
                <w:sz w:val="21"/>
                <w:szCs w:val="21"/>
                <w:lang w:bidi="zh-CN"/>
              </w:rPr>
              <w:t>性和基本建设管理制度执行情况等</w:t>
            </w:r>
          </w:p>
        </w:tc>
      </w:tr>
      <w:tr w:rsidR="00FE5244" w:rsidRPr="00F24348" w14:paraId="7485BF7E" w14:textId="77777777" w:rsidTr="00FE5244">
        <w:trPr>
          <w:trHeight w:val="641"/>
        </w:trPr>
        <w:tc>
          <w:tcPr>
            <w:tcW w:w="404" w:type="pct"/>
            <w:vMerge/>
            <w:vAlign w:val="center"/>
          </w:tcPr>
          <w:p w14:paraId="6118BB00"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0CCAD069"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5BAA04B7"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2483BFA4" w14:textId="6F9E4885"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项目移交执行情况</w:t>
            </w:r>
          </w:p>
        </w:tc>
        <w:tc>
          <w:tcPr>
            <w:tcW w:w="2727" w:type="pct"/>
            <w:vAlign w:val="center"/>
          </w:tcPr>
          <w:p w14:paraId="6D5BC447" w14:textId="05CB761D"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考察</w:t>
            </w:r>
            <w:r w:rsidR="00B65C82">
              <w:rPr>
                <w:sz w:val="21"/>
                <w:szCs w:val="21"/>
                <w:lang w:bidi="zh-CN"/>
              </w:rPr>
              <w:t>PPP</w:t>
            </w:r>
            <w:r w:rsidRPr="00FE5244">
              <w:rPr>
                <w:sz w:val="21"/>
                <w:szCs w:val="21"/>
                <w:lang w:bidi="zh-CN"/>
              </w:rPr>
              <w:t>项目移交过程中是否履行必要的程序，移交方案是否合理，是否开展资产清查及资产评估等</w:t>
            </w:r>
          </w:p>
        </w:tc>
      </w:tr>
      <w:tr w:rsidR="00FE5244" w:rsidRPr="00F24348" w14:paraId="7A00F8BC" w14:textId="77777777" w:rsidTr="00FE5244">
        <w:trPr>
          <w:trHeight w:val="641"/>
        </w:trPr>
        <w:tc>
          <w:tcPr>
            <w:tcW w:w="404" w:type="pct"/>
            <w:vMerge/>
            <w:vAlign w:val="center"/>
          </w:tcPr>
          <w:p w14:paraId="070194F5"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62BC4123"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restart"/>
            <w:vAlign w:val="center"/>
          </w:tcPr>
          <w:p w14:paraId="6B1BB627" w14:textId="7038970E"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成本效益</w:t>
            </w:r>
          </w:p>
        </w:tc>
        <w:tc>
          <w:tcPr>
            <w:tcW w:w="731" w:type="pct"/>
            <w:vAlign w:val="center"/>
          </w:tcPr>
          <w:p w14:paraId="2127D93A" w14:textId="16563DAC"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项目净现值</w:t>
            </w:r>
          </w:p>
        </w:tc>
        <w:tc>
          <w:tcPr>
            <w:tcW w:w="2727" w:type="pct"/>
            <w:vAlign w:val="center"/>
          </w:tcPr>
          <w:p w14:paraId="10C53EA5" w14:textId="49EFA1DB"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用以反映项目净现值的大小，与行业平均及实施方案或合同中设定的目标</w:t>
            </w:r>
            <w:proofErr w:type="gramStart"/>
            <w:r w:rsidRPr="00FE5244">
              <w:rPr>
                <w:sz w:val="21"/>
                <w:szCs w:val="21"/>
                <w:lang w:bidi="zh-CN"/>
              </w:rPr>
              <w:t>做对</w:t>
            </w:r>
            <w:proofErr w:type="gramEnd"/>
            <w:r w:rsidRPr="00FE5244">
              <w:rPr>
                <w:sz w:val="21"/>
                <w:szCs w:val="21"/>
                <w:lang w:bidi="zh-CN"/>
              </w:rPr>
              <w:t>比</w:t>
            </w:r>
          </w:p>
        </w:tc>
      </w:tr>
      <w:tr w:rsidR="00FE5244" w:rsidRPr="00F24348" w14:paraId="6C2D5CD1" w14:textId="77777777" w:rsidTr="00FE5244">
        <w:trPr>
          <w:trHeight w:val="641"/>
        </w:trPr>
        <w:tc>
          <w:tcPr>
            <w:tcW w:w="404" w:type="pct"/>
            <w:vMerge/>
            <w:vAlign w:val="center"/>
          </w:tcPr>
          <w:p w14:paraId="3FAAE008"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196162A2"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48119E84"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66FB1A99" w14:textId="243ABC65"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内部收益率</w:t>
            </w:r>
          </w:p>
        </w:tc>
        <w:tc>
          <w:tcPr>
            <w:tcW w:w="2727" w:type="pct"/>
            <w:vAlign w:val="center"/>
          </w:tcPr>
          <w:p w14:paraId="4A3847F5" w14:textId="6820E7B4"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用以反映项目内部收益率的高低，与行业平均及实施方案或合同中设定的目标</w:t>
            </w:r>
            <w:proofErr w:type="gramStart"/>
            <w:r w:rsidRPr="00FE5244">
              <w:rPr>
                <w:sz w:val="21"/>
                <w:szCs w:val="21"/>
                <w:lang w:bidi="zh-CN"/>
              </w:rPr>
              <w:t>做对</w:t>
            </w:r>
            <w:proofErr w:type="gramEnd"/>
            <w:r w:rsidRPr="00FE5244">
              <w:rPr>
                <w:sz w:val="21"/>
                <w:szCs w:val="21"/>
                <w:lang w:bidi="zh-CN"/>
              </w:rPr>
              <w:t>比</w:t>
            </w:r>
          </w:p>
        </w:tc>
      </w:tr>
      <w:tr w:rsidR="00FE5244" w:rsidRPr="00F24348" w14:paraId="7168CF3E" w14:textId="77777777" w:rsidTr="00FE5244">
        <w:trPr>
          <w:trHeight w:val="641"/>
        </w:trPr>
        <w:tc>
          <w:tcPr>
            <w:tcW w:w="404" w:type="pct"/>
            <w:vMerge/>
            <w:vAlign w:val="center"/>
          </w:tcPr>
          <w:p w14:paraId="34C719B8"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55326908"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09F432CC"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784D7C3F" w14:textId="0AB26CD3"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投资回收期</w:t>
            </w:r>
          </w:p>
        </w:tc>
        <w:tc>
          <w:tcPr>
            <w:tcW w:w="2727" w:type="pct"/>
            <w:vAlign w:val="center"/>
          </w:tcPr>
          <w:p w14:paraId="4FA4694F" w14:textId="07EDEFE5"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用以反映项目投资回收期的长短，与行业平均及实施方案或合同中设定的目标</w:t>
            </w:r>
            <w:proofErr w:type="gramStart"/>
            <w:r w:rsidRPr="00FE5244">
              <w:rPr>
                <w:sz w:val="21"/>
                <w:szCs w:val="21"/>
                <w:lang w:bidi="zh-CN"/>
              </w:rPr>
              <w:t>做对</w:t>
            </w:r>
            <w:proofErr w:type="gramEnd"/>
            <w:r w:rsidRPr="00FE5244">
              <w:rPr>
                <w:sz w:val="21"/>
                <w:szCs w:val="21"/>
                <w:lang w:bidi="zh-CN"/>
              </w:rPr>
              <w:t>比</w:t>
            </w:r>
          </w:p>
        </w:tc>
      </w:tr>
      <w:tr w:rsidR="00FE5244" w:rsidRPr="00F24348" w14:paraId="69B2D900" w14:textId="77777777" w:rsidTr="00FE5244">
        <w:trPr>
          <w:trHeight w:val="641"/>
        </w:trPr>
        <w:tc>
          <w:tcPr>
            <w:tcW w:w="404" w:type="pct"/>
            <w:vMerge/>
            <w:vAlign w:val="center"/>
          </w:tcPr>
          <w:p w14:paraId="7FB4A47B"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50170FFF"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1FCD99A8"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2D8C8AB7" w14:textId="05B0E980"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投资收益率</w:t>
            </w:r>
          </w:p>
        </w:tc>
        <w:tc>
          <w:tcPr>
            <w:tcW w:w="2727" w:type="pct"/>
            <w:vAlign w:val="center"/>
          </w:tcPr>
          <w:p w14:paraId="03B2494E" w14:textId="33738396"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用以反映项目投资收益率的高低，与行业平均及实施方案或合同中设定的目标</w:t>
            </w:r>
            <w:proofErr w:type="gramStart"/>
            <w:r w:rsidRPr="00FE5244">
              <w:rPr>
                <w:sz w:val="21"/>
                <w:szCs w:val="21"/>
                <w:lang w:bidi="zh-CN"/>
              </w:rPr>
              <w:t>做对</w:t>
            </w:r>
            <w:proofErr w:type="gramEnd"/>
            <w:r w:rsidRPr="00FE5244">
              <w:rPr>
                <w:sz w:val="21"/>
                <w:szCs w:val="21"/>
                <w:lang w:bidi="zh-CN"/>
              </w:rPr>
              <w:t>比</w:t>
            </w:r>
          </w:p>
        </w:tc>
      </w:tr>
      <w:tr w:rsidR="00FE5244" w:rsidRPr="00F24348" w14:paraId="64193DBE" w14:textId="77777777" w:rsidTr="00FE5244">
        <w:trPr>
          <w:trHeight w:val="641"/>
        </w:trPr>
        <w:tc>
          <w:tcPr>
            <w:tcW w:w="404" w:type="pct"/>
            <w:vMerge/>
            <w:vAlign w:val="center"/>
          </w:tcPr>
          <w:p w14:paraId="1D6A640C"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158CCFA4"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560691A8"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550EB405" w14:textId="6067F857"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投入产出比</w:t>
            </w:r>
          </w:p>
        </w:tc>
        <w:tc>
          <w:tcPr>
            <w:tcW w:w="2727" w:type="pct"/>
            <w:vAlign w:val="center"/>
          </w:tcPr>
          <w:p w14:paraId="301D036D" w14:textId="7AF386BF"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用以反映项目投入产出比的大小，与行业平均及实施方案或合同中设定的目标</w:t>
            </w:r>
            <w:proofErr w:type="gramStart"/>
            <w:r w:rsidRPr="00FE5244">
              <w:rPr>
                <w:sz w:val="21"/>
                <w:szCs w:val="21"/>
                <w:lang w:bidi="zh-CN"/>
              </w:rPr>
              <w:t>做对</w:t>
            </w:r>
            <w:proofErr w:type="gramEnd"/>
            <w:r w:rsidRPr="00FE5244">
              <w:rPr>
                <w:sz w:val="21"/>
                <w:szCs w:val="21"/>
                <w:lang w:bidi="zh-CN"/>
              </w:rPr>
              <w:t>比</w:t>
            </w:r>
          </w:p>
        </w:tc>
      </w:tr>
      <w:tr w:rsidR="00FE5244" w:rsidRPr="00F24348" w14:paraId="4A2744F3" w14:textId="77777777" w:rsidTr="00FE5244">
        <w:trPr>
          <w:trHeight w:val="641"/>
        </w:trPr>
        <w:tc>
          <w:tcPr>
            <w:tcW w:w="404" w:type="pct"/>
            <w:vMerge w:val="restart"/>
            <w:vAlign w:val="center"/>
          </w:tcPr>
          <w:p w14:paraId="0E4ED745" w14:textId="74ECDB2E"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项目绩效</w:t>
            </w:r>
          </w:p>
        </w:tc>
        <w:tc>
          <w:tcPr>
            <w:tcW w:w="488" w:type="pct"/>
            <w:vMerge w:val="restart"/>
            <w:vAlign w:val="center"/>
          </w:tcPr>
          <w:p w14:paraId="01A52984" w14:textId="090478EE"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5</w:t>
            </w:r>
            <w:r>
              <w:rPr>
                <w:sz w:val="21"/>
                <w:szCs w:val="21"/>
                <w:lang w:bidi="zh-CN"/>
              </w:rPr>
              <w:t>0</w:t>
            </w:r>
            <w:r>
              <w:rPr>
                <w:rFonts w:hint="eastAsia"/>
                <w:sz w:val="21"/>
                <w:szCs w:val="21"/>
                <w:lang w:bidi="zh-CN"/>
              </w:rPr>
              <w:t>±</w:t>
            </w:r>
            <w:r>
              <w:rPr>
                <w:sz w:val="21"/>
                <w:szCs w:val="21"/>
                <w:lang w:bidi="zh-CN"/>
              </w:rPr>
              <w:t>5</w:t>
            </w:r>
          </w:p>
        </w:tc>
        <w:tc>
          <w:tcPr>
            <w:tcW w:w="650" w:type="pct"/>
            <w:vMerge w:val="restart"/>
            <w:vAlign w:val="center"/>
          </w:tcPr>
          <w:p w14:paraId="38367051" w14:textId="71CEBBD9"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项目产出</w:t>
            </w:r>
          </w:p>
        </w:tc>
        <w:tc>
          <w:tcPr>
            <w:tcW w:w="731" w:type="pct"/>
            <w:vAlign w:val="center"/>
          </w:tcPr>
          <w:p w14:paraId="1B7F9238" w14:textId="12F48A0F"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实际完成率（产出数量）</w:t>
            </w:r>
          </w:p>
        </w:tc>
        <w:tc>
          <w:tcPr>
            <w:tcW w:w="2727" w:type="pct"/>
            <w:vAlign w:val="center"/>
          </w:tcPr>
          <w:p w14:paraId="08193588" w14:textId="6E3320A4"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项目实施的实际产出数量与计划产出数量的比率，用以反映和考核项目产出数量目标的实现程度。</w:t>
            </w:r>
          </w:p>
        </w:tc>
      </w:tr>
      <w:tr w:rsidR="00FE5244" w:rsidRPr="00F24348" w14:paraId="65F0D0BD" w14:textId="77777777" w:rsidTr="00FE5244">
        <w:trPr>
          <w:trHeight w:val="641"/>
        </w:trPr>
        <w:tc>
          <w:tcPr>
            <w:tcW w:w="404" w:type="pct"/>
            <w:vMerge/>
            <w:vAlign w:val="center"/>
          </w:tcPr>
          <w:p w14:paraId="6D8D4847"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601AC3AD"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7DD1B5A9"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71331139" w14:textId="464AA577"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完成及时率（产出时效）</w:t>
            </w:r>
          </w:p>
        </w:tc>
        <w:tc>
          <w:tcPr>
            <w:tcW w:w="2727" w:type="pct"/>
            <w:vAlign w:val="center"/>
          </w:tcPr>
          <w:p w14:paraId="4F28A939" w14:textId="251023DD"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按计划时限完成的项目（子项目）个数与项目（子项目）总数的比率，用以反映项目完工的及时程度。</w:t>
            </w:r>
          </w:p>
        </w:tc>
      </w:tr>
      <w:tr w:rsidR="00FE5244" w:rsidRPr="00F24348" w14:paraId="4C13170B" w14:textId="77777777" w:rsidTr="00FE5244">
        <w:trPr>
          <w:trHeight w:val="641"/>
        </w:trPr>
        <w:tc>
          <w:tcPr>
            <w:tcW w:w="404" w:type="pct"/>
            <w:vMerge/>
            <w:vAlign w:val="center"/>
          </w:tcPr>
          <w:p w14:paraId="319C85BF"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5CC3C282"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5D09D210"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5CCC8BAC" w14:textId="364B5FA1"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质量达标率（产出质量）</w:t>
            </w:r>
          </w:p>
        </w:tc>
        <w:tc>
          <w:tcPr>
            <w:tcW w:w="2727" w:type="pct"/>
            <w:vAlign w:val="center"/>
          </w:tcPr>
          <w:p w14:paraId="2E1739D9" w14:textId="4D047557"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项目完成的质量达标产出数与实际产出数的比率，用以反映和考核项目产出的质量状况。</w:t>
            </w:r>
          </w:p>
        </w:tc>
      </w:tr>
      <w:tr w:rsidR="00FE5244" w:rsidRPr="00F24348" w14:paraId="3BB059B9" w14:textId="77777777" w:rsidTr="00FE5244">
        <w:trPr>
          <w:trHeight w:val="641"/>
        </w:trPr>
        <w:tc>
          <w:tcPr>
            <w:tcW w:w="404" w:type="pct"/>
            <w:vMerge/>
            <w:vAlign w:val="center"/>
          </w:tcPr>
          <w:p w14:paraId="7BDB12F9"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1E73C6BB"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restart"/>
            <w:vAlign w:val="center"/>
          </w:tcPr>
          <w:p w14:paraId="5A9BB98A" w14:textId="01B4D678" w:rsidR="00FE5244" w:rsidRPr="00F24348" w:rsidRDefault="00FE5244" w:rsidP="00432A72">
            <w:pPr>
              <w:pStyle w:val="13"/>
              <w:spacing w:line="240" w:lineRule="auto"/>
              <w:ind w:firstLineChars="0" w:firstLine="0"/>
              <w:jc w:val="center"/>
              <w:rPr>
                <w:sz w:val="21"/>
                <w:szCs w:val="21"/>
                <w:lang w:bidi="zh-CN"/>
              </w:rPr>
            </w:pPr>
            <w:r>
              <w:rPr>
                <w:rFonts w:hint="eastAsia"/>
                <w:sz w:val="21"/>
                <w:szCs w:val="21"/>
                <w:lang w:bidi="zh-CN"/>
              </w:rPr>
              <w:t>项目效果</w:t>
            </w:r>
          </w:p>
        </w:tc>
        <w:tc>
          <w:tcPr>
            <w:tcW w:w="731" w:type="pct"/>
            <w:vAlign w:val="center"/>
          </w:tcPr>
          <w:p w14:paraId="2329D986" w14:textId="417CE478" w:rsidR="00FE5244" w:rsidRPr="00FE5244" w:rsidRDefault="00FE5244" w:rsidP="00432A72">
            <w:pPr>
              <w:pStyle w:val="13"/>
              <w:spacing w:line="240" w:lineRule="auto"/>
              <w:ind w:firstLineChars="0" w:firstLine="0"/>
              <w:jc w:val="center"/>
              <w:rPr>
                <w:sz w:val="21"/>
                <w:szCs w:val="21"/>
                <w:lang w:bidi="zh-CN"/>
              </w:rPr>
            </w:pPr>
            <w:r w:rsidRPr="00FE5244">
              <w:rPr>
                <w:sz w:val="21"/>
                <w:szCs w:val="21"/>
                <w:lang w:bidi="zh-CN"/>
              </w:rPr>
              <w:t>经济效益（根据项目具体细化）</w:t>
            </w:r>
          </w:p>
        </w:tc>
        <w:tc>
          <w:tcPr>
            <w:tcW w:w="2727" w:type="pct"/>
            <w:vAlign w:val="center"/>
          </w:tcPr>
          <w:p w14:paraId="178A9CDC" w14:textId="518E3BBC"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项目实施对经济发展所带来的直接或间接影响情况。</w:t>
            </w:r>
          </w:p>
        </w:tc>
      </w:tr>
      <w:tr w:rsidR="00FE5244" w:rsidRPr="00F24348" w14:paraId="1EE58CE1" w14:textId="77777777" w:rsidTr="00FE5244">
        <w:trPr>
          <w:trHeight w:val="641"/>
        </w:trPr>
        <w:tc>
          <w:tcPr>
            <w:tcW w:w="404" w:type="pct"/>
            <w:vMerge/>
            <w:vAlign w:val="center"/>
          </w:tcPr>
          <w:p w14:paraId="4CD8FFC1"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3BD87D7C"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7B52C6E0"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31A46E7F" w14:textId="1D10887F"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生态效益（根据项目具体细化）</w:t>
            </w:r>
          </w:p>
        </w:tc>
        <w:tc>
          <w:tcPr>
            <w:tcW w:w="2727" w:type="pct"/>
            <w:vAlign w:val="center"/>
          </w:tcPr>
          <w:p w14:paraId="0C2FC001" w14:textId="58244650"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项目实施对生态环境所带来的直接或间接影响情况。</w:t>
            </w:r>
          </w:p>
        </w:tc>
      </w:tr>
      <w:tr w:rsidR="00FE5244" w:rsidRPr="00F24348" w14:paraId="7D63E0D8" w14:textId="77777777" w:rsidTr="00FE5244">
        <w:trPr>
          <w:trHeight w:val="641"/>
        </w:trPr>
        <w:tc>
          <w:tcPr>
            <w:tcW w:w="404" w:type="pct"/>
            <w:vMerge/>
            <w:vAlign w:val="center"/>
          </w:tcPr>
          <w:p w14:paraId="50F0A343"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3AB41D21"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2ACE4206"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45C79B26" w14:textId="12451CDB" w:rsidR="00FE5244" w:rsidRPr="00FE5244" w:rsidRDefault="00FE5244" w:rsidP="00432A72">
            <w:pPr>
              <w:pStyle w:val="13"/>
              <w:spacing w:line="240" w:lineRule="auto"/>
              <w:ind w:firstLineChars="0" w:firstLine="0"/>
              <w:jc w:val="center"/>
              <w:rPr>
                <w:sz w:val="21"/>
                <w:szCs w:val="21"/>
                <w:lang w:bidi="zh-CN"/>
              </w:rPr>
            </w:pPr>
            <w:r w:rsidRPr="00FE5244">
              <w:rPr>
                <w:sz w:val="21"/>
                <w:szCs w:val="21"/>
                <w:lang w:bidi="zh-CN"/>
              </w:rPr>
              <w:t>社会效益（根据项目具体细化）</w:t>
            </w:r>
          </w:p>
        </w:tc>
        <w:tc>
          <w:tcPr>
            <w:tcW w:w="2727" w:type="pct"/>
            <w:vAlign w:val="center"/>
          </w:tcPr>
          <w:p w14:paraId="1597D8C6" w14:textId="21B2AAED"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项目实施对社会发展所带来的直接或间接影响情况。</w:t>
            </w:r>
          </w:p>
        </w:tc>
      </w:tr>
      <w:tr w:rsidR="00FE5244" w:rsidRPr="00F24348" w14:paraId="4E299928" w14:textId="77777777" w:rsidTr="00FE5244">
        <w:trPr>
          <w:trHeight w:val="641"/>
        </w:trPr>
        <w:tc>
          <w:tcPr>
            <w:tcW w:w="404" w:type="pct"/>
            <w:vMerge/>
            <w:vAlign w:val="center"/>
          </w:tcPr>
          <w:p w14:paraId="6A227510" w14:textId="77777777" w:rsidR="00FE5244" w:rsidRPr="00F24348" w:rsidRDefault="00FE5244" w:rsidP="00432A72">
            <w:pPr>
              <w:pStyle w:val="13"/>
              <w:spacing w:line="240" w:lineRule="auto"/>
              <w:ind w:firstLineChars="0" w:firstLine="0"/>
              <w:jc w:val="center"/>
              <w:rPr>
                <w:sz w:val="21"/>
                <w:szCs w:val="21"/>
                <w:lang w:bidi="zh-CN"/>
              </w:rPr>
            </w:pPr>
          </w:p>
        </w:tc>
        <w:tc>
          <w:tcPr>
            <w:tcW w:w="488" w:type="pct"/>
            <w:vMerge/>
            <w:vAlign w:val="center"/>
          </w:tcPr>
          <w:p w14:paraId="46F1E49E" w14:textId="77777777" w:rsidR="00FE5244" w:rsidRPr="00F24348" w:rsidRDefault="00FE5244" w:rsidP="00432A72">
            <w:pPr>
              <w:pStyle w:val="13"/>
              <w:spacing w:line="240" w:lineRule="auto"/>
              <w:ind w:firstLineChars="0" w:firstLine="0"/>
              <w:jc w:val="center"/>
              <w:rPr>
                <w:sz w:val="21"/>
                <w:szCs w:val="21"/>
                <w:lang w:bidi="zh-CN"/>
              </w:rPr>
            </w:pPr>
          </w:p>
        </w:tc>
        <w:tc>
          <w:tcPr>
            <w:tcW w:w="650" w:type="pct"/>
            <w:vMerge/>
            <w:vAlign w:val="center"/>
          </w:tcPr>
          <w:p w14:paraId="48DC5A43" w14:textId="77777777" w:rsidR="00FE5244" w:rsidRPr="00F24348" w:rsidRDefault="00FE5244" w:rsidP="00432A72">
            <w:pPr>
              <w:pStyle w:val="13"/>
              <w:spacing w:line="240" w:lineRule="auto"/>
              <w:ind w:firstLineChars="0" w:firstLine="0"/>
              <w:jc w:val="center"/>
              <w:rPr>
                <w:sz w:val="21"/>
                <w:szCs w:val="21"/>
                <w:lang w:bidi="zh-CN"/>
              </w:rPr>
            </w:pPr>
          </w:p>
        </w:tc>
        <w:tc>
          <w:tcPr>
            <w:tcW w:w="731" w:type="pct"/>
            <w:vAlign w:val="center"/>
          </w:tcPr>
          <w:p w14:paraId="487FA683" w14:textId="5556180F" w:rsidR="00FE5244" w:rsidRPr="00F24348" w:rsidRDefault="00FE5244" w:rsidP="00432A72">
            <w:pPr>
              <w:pStyle w:val="13"/>
              <w:spacing w:line="240" w:lineRule="auto"/>
              <w:ind w:firstLineChars="0" w:firstLine="0"/>
              <w:jc w:val="center"/>
              <w:rPr>
                <w:sz w:val="21"/>
                <w:szCs w:val="21"/>
                <w:lang w:bidi="zh-CN"/>
              </w:rPr>
            </w:pPr>
            <w:r w:rsidRPr="00FE5244">
              <w:rPr>
                <w:sz w:val="21"/>
                <w:szCs w:val="21"/>
                <w:lang w:bidi="zh-CN"/>
              </w:rPr>
              <w:t>满意度（根据项目具体细化）</w:t>
            </w:r>
          </w:p>
        </w:tc>
        <w:tc>
          <w:tcPr>
            <w:tcW w:w="2727" w:type="pct"/>
            <w:vAlign w:val="center"/>
          </w:tcPr>
          <w:p w14:paraId="6423D830" w14:textId="7539AACA" w:rsidR="00FE5244" w:rsidRPr="00FE5244" w:rsidRDefault="00FE5244" w:rsidP="00432A72">
            <w:pPr>
              <w:pStyle w:val="13"/>
              <w:spacing w:line="240" w:lineRule="auto"/>
              <w:ind w:firstLineChars="0" w:firstLine="0"/>
              <w:rPr>
                <w:sz w:val="21"/>
                <w:szCs w:val="21"/>
                <w:lang w:bidi="zh-CN"/>
              </w:rPr>
            </w:pPr>
            <w:r w:rsidRPr="00FE5244">
              <w:rPr>
                <w:sz w:val="21"/>
                <w:szCs w:val="21"/>
                <w:lang w:bidi="zh-CN"/>
              </w:rPr>
              <w:t>政府、实施机构、社会公众（服务对象）对项目实施效果的满意程度。</w:t>
            </w:r>
          </w:p>
        </w:tc>
      </w:tr>
      <w:tr w:rsidR="00B65C82" w:rsidRPr="00F24348" w14:paraId="461C6241" w14:textId="77777777" w:rsidTr="00FE5244">
        <w:trPr>
          <w:trHeight w:val="641"/>
        </w:trPr>
        <w:tc>
          <w:tcPr>
            <w:tcW w:w="404" w:type="pct"/>
            <w:vMerge w:val="restart"/>
            <w:vAlign w:val="center"/>
          </w:tcPr>
          <w:p w14:paraId="3418B748" w14:textId="1867EDCC" w:rsidR="00B65C82" w:rsidRPr="00F24348" w:rsidRDefault="00B65C82" w:rsidP="00432A72">
            <w:pPr>
              <w:pStyle w:val="13"/>
              <w:spacing w:line="240" w:lineRule="auto"/>
              <w:ind w:firstLineChars="0" w:firstLine="0"/>
              <w:jc w:val="center"/>
              <w:rPr>
                <w:sz w:val="21"/>
                <w:szCs w:val="21"/>
                <w:lang w:bidi="zh-CN"/>
              </w:rPr>
            </w:pPr>
            <w:r>
              <w:rPr>
                <w:rFonts w:hint="eastAsia"/>
                <w:sz w:val="21"/>
                <w:szCs w:val="21"/>
                <w:lang w:bidi="zh-CN"/>
              </w:rPr>
              <w:t>可持续性</w:t>
            </w:r>
          </w:p>
        </w:tc>
        <w:tc>
          <w:tcPr>
            <w:tcW w:w="488" w:type="pct"/>
            <w:vMerge w:val="restart"/>
            <w:vAlign w:val="center"/>
          </w:tcPr>
          <w:p w14:paraId="333C18C7" w14:textId="0A39E3C8" w:rsidR="00B65C82" w:rsidRPr="00F24348" w:rsidRDefault="00B65C82" w:rsidP="00B65C82">
            <w:pPr>
              <w:pStyle w:val="13"/>
              <w:spacing w:line="240" w:lineRule="auto"/>
              <w:ind w:firstLineChars="0" w:firstLine="0"/>
              <w:jc w:val="center"/>
              <w:rPr>
                <w:sz w:val="21"/>
                <w:szCs w:val="21"/>
                <w:lang w:bidi="zh-CN"/>
              </w:rPr>
            </w:pPr>
            <w:r>
              <w:rPr>
                <w:rFonts w:hint="eastAsia"/>
                <w:sz w:val="21"/>
                <w:szCs w:val="21"/>
                <w:lang w:bidi="zh-CN"/>
              </w:rPr>
              <w:t>1</w:t>
            </w:r>
            <w:r>
              <w:rPr>
                <w:sz w:val="21"/>
                <w:szCs w:val="21"/>
                <w:lang w:bidi="zh-CN"/>
              </w:rPr>
              <w:t>5</w:t>
            </w:r>
            <w:r>
              <w:rPr>
                <w:rFonts w:hint="eastAsia"/>
                <w:sz w:val="21"/>
                <w:szCs w:val="21"/>
                <w:lang w:bidi="zh-CN"/>
              </w:rPr>
              <w:t>±</w:t>
            </w:r>
            <w:r>
              <w:rPr>
                <w:sz w:val="21"/>
                <w:szCs w:val="21"/>
                <w:lang w:bidi="zh-CN"/>
              </w:rPr>
              <w:t>5</w:t>
            </w:r>
          </w:p>
        </w:tc>
        <w:tc>
          <w:tcPr>
            <w:tcW w:w="650" w:type="pct"/>
            <w:vMerge w:val="restart"/>
            <w:vAlign w:val="center"/>
          </w:tcPr>
          <w:p w14:paraId="238F590B" w14:textId="5BD67284"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财务效益状况</w:t>
            </w:r>
          </w:p>
        </w:tc>
        <w:tc>
          <w:tcPr>
            <w:tcW w:w="731" w:type="pct"/>
            <w:vAlign w:val="center"/>
          </w:tcPr>
          <w:p w14:paraId="4D57D12A" w14:textId="69BC97CD" w:rsidR="00B65C82" w:rsidRPr="00F24348" w:rsidRDefault="00B65C82" w:rsidP="00432A72">
            <w:pPr>
              <w:pStyle w:val="13"/>
              <w:spacing w:line="240" w:lineRule="auto"/>
              <w:ind w:firstLineChars="0" w:firstLine="0"/>
              <w:jc w:val="center"/>
              <w:rPr>
                <w:sz w:val="21"/>
                <w:szCs w:val="21"/>
                <w:lang w:bidi="zh-CN"/>
              </w:rPr>
            </w:pPr>
            <w:r w:rsidRPr="00FE5244">
              <w:rPr>
                <w:sz w:val="21"/>
                <w:szCs w:val="21"/>
                <w:lang w:bidi="zh-CN"/>
              </w:rPr>
              <w:t>净资产收益率</w:t>
            </w:r>
          </w:p>
        </w:tc>
        <w:tc>
          <w:tcPr>
            <w:tcW w:w="2727" w:type="pct"/>
            <w:vAlign w:val="center"/>
          </w:tcPr>
          <w:p w14:paraId="3D000DC0" w14:textId="091CADB9" w:rsidR="00B65C82" w:rsidRPr="00FE5244" w:rsidRDefault="00B65C82" w:rsidP="00432A72">
            <w:pPr>
              <w:pStyle w:val="13"/>
              <w:spacing w:line="240" w:lineRule="auto"/>
              <w:ind w:firstLineChars="0" w:firstLine="0"/>
              <w:rPr>
                <w:sz w:val="21"/>
                <w:szCs w:val="21"/>
                <w:lang w:bidi="zh-CN"/>
              </w:rPr>
            </w:pPr>
            <w:r w:rsidRPr="00FE5244">
              <w:rPr>
                <w:sz w:val="21"/>
                <w:szCs w:val="21"/>
                <w:lang w:bidi="zh-CN"/>
              </w:rPr>
              <w:t>净资产收益率=净利润/平均净资产×100%</w:t>
            </w:r>
          </w:p>
        </w:tc>
      </w:tr>
      <w:tr w:rsidR="00B65C82" w:rsidRPr="00F24348" w14:paraId="50514D1A" w14:textId="77777777" w:rsidTr="00FE5244">
        <w:trPr>
          <w:trHeight w:val="641"/>
        </w:trPr>
        <w:tc>
          <w:tcPr>
            <w:tcW w:w="404" w:type="pct"/>
            <w:vMerge/>
            <w:vAlign w:val="center"/>
          </w:tcPr>
          <w:p w14:paraId="5AC09CCE"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2A4C7E14"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Merge/>
            <w:vAlign w:val="center"/>
          </w:tcPr>
          <w:p w14:paraId="538D86AD" w14:textId="77777777" w:rsidR="00B65C82" w:rsidRPr="00F24348" w:rsidRDefault="00B65C82" w:rsidP="00432A72">
            <w:pPr>
              <w:pStyle w:val="13"/>
              <w:spacing w:line="240" w:lineRule="auto"/>
              <w:ind w:firstLineChars="0" w:firstLine="0"/>
              <w:jc w:val="center"/>
              <w:rPr>
                <w:sz w:val="21"/>
                <w:szCs w:val="21"/>
                <w:lang w:bidi="zh-CN"/>
              </w:rPr>
            </w:pPr>
          </w:p>
        </w:tc>
        <w:tc>
          <w:tcPr>
            <w:tcW w:w="731" w:type="pct"/>
            <w:vAlign w:val="center"/>
          </w:tcPr>
          <w:p w14:paraId="77748AA3" w14:textId="340CA53B" w:rsidR="00B65C82" w:rsidRPr="00F24348" w:rsidRDefault="00B65C82" w:rsidP="00432A72">
            <w:pPr>
              <w:pStyle w:val="13"/>
              <w:spacing w:line="240" w:lineRule="auto"/>
              <w:ind w:firstLineChars="0" w:firstLine="0"/>
              <w:jc w:val="center"/>
              <w:rPr>
                <w:sz w:val="21"/>
                <w:szCs w:val="21"/>
                <w:lang w:bidi="zh-CN"/>
              </w:rPr>
            </w:pPr>
            <w:r w:rsidRPr="00FE5244">
              <w:rPr>
                <w:sz w:val="21"/>
                <w:szCs w:val="21"/>
                <w:lang w:bidi="zh-CN"/>
              </w:rPr>
              <w:t>总资产报酬率</w:t>
            </w:r>
          </w:p>
        </w:tc>
        <w:tc>
          <w:tcPr>
            <w:tcW w:w="2727" w:type="pct"/>
            <w:vAlign w:val="center"/>
          </w:tcPr>
          <w:p w14:paraId="4CF78FB7" w14:textId="67F26FF9" w:rsidR="00B65C82" w:rsidRPr="00FE5244" w:rsidRDefault="00B65C82" w:rsidP="00432A72">
            <w:pPr>
              <w:pStyle w:val="13"/>
              <w:spacing w:line="240" w:lineRule="auto"/>
              <w:ind w:firstLineChars="0" w:firstLine="0"/>
              <w:rPr>
                <w:sz w:val="21"/>
                <w:szCs w:val="21"/>
                <w:lang w:bidi="zh-CN"/>
              </w:rPr>
            </w:pPr>
            <w:r w:rsidRPr="00FE5244">
              <w:rPr>
                <w:sz w:val="21"/>
                <w:szCs w:val="21"/>
                <w:lang w:bidi="zh-CN"/>
              </w:rPr>
              <w:t>总资产报酬率=息税前利润总额/平均资产总额×100%</w:t>
            </w:r>
          </w:p>
        </w:tc>
      </w:tr>
      <w:tr w:rsidR="00B65C82" w:rsidRPr="00F24348" w14:paraId="5A6BADB4" w14:textId="77777777" w:rsidTr="00FE5244">
        <w:trPr>
          <w:trHeight w:val="641"/>
        </w:trPr>
        <w:tc>
          <w:tcPr>
            <w:tcW w:w="404" w:type="pct"/>
            <w:vMerge/>
            <w:vAlign w:val="center"/>
          </w:tcPr>
          <w:p w14:paraId="0F546A09"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347482D5"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Merge w:val="restart"/>
            <w:vAlign w:val="center"/>
          </w:tcPr>
          <w:p w14:paraId="74CBFB9E" w14:textId="1830CFC7"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资产营运状况</w:t>
            </w:r>
          </w:p>
        </w:tc>
        <w:tc>
          <w:tcPr>
            <w:tcW w:w="731" w:type="pct"/>
            <w:vAlign w:val="center"/>
          </w:tcPr>
          <w:p w14:paraId="5080DF39" w14:textId="172F2DCF" w:rsidR="00B65C82" w:rsidRPr="00F24348" w:rsidRDefault="00B65C82" w:rsidP="00432A72">
            <w:pPr>
              <w:pStyle w:val="13"/>
              <w:spacing w:line="240" w:lineRule="auto"/>
              <w:ind w:firstLineChars="0" w:firstLine="0"/>
              <w:jc w:val="center"/>
              <w:rPr>
                <w:sz w:val="21"/>
                <w:szCs w:val="21"/>
                <w:lang w:bidi="zh-CN"/>
              </w:rPr>
            </w:pPr>
            <w:r w:rsidRPr="00FE5244">
              <w:rPr>
                <w:sz w:val="21"/>
                <w:szCs w:val="21"/>
                <w:lang w:bidi="zh-CN"/>
              </w:rPr>
              <w:t>总资产周转率（次）</w:t>
            </w:r>
          </w:p>
        </w:tc>
        <w:tc>
          <w:tcPr>
            <w:tcW w:w="2727" w:type="pct"/>
            <w:vAlign w:val="center"/>
          </w:tcPr>
          <w:p w14:paraId="7B006D3D" w14:textId="748D89A9" w:rsidR="00B65C82" w:rsidRPr="00FE5244" w:rsidRDefault="00B65C82" w:rsidP="00432A72">
            <w:pPr>
              <w:pStyle w:val="13"/>
              <w:spacing w:line="240" w:lineRule="auto"/>
              <w:ind w:firstLineChars="0" w:firstLine="0"/>
              <w:rPr>
                <w:sz w:val="21"/>
                <w:szCs w:val="21"/>
                <w:lang w:bidi="zh-CN"/>
              </w:rPr>
            </w:pPr>
            <w:r w:rsidRPr="00FE5244">
              <w:rPr>
                <w:sz w:val="21"/>
                <w:szCs w:val="21"/>
                <w:lang w:bidi="zh-CN"/>
              </w:rPr>
              <w:t>总资产周转率（次）=主营业务收入净额/平均资产总额</w:t>
            </w:r>
          </w:p>
        </w:tc>
      </w:tr>
      <w:tr w:rsidR="00B65C82" w:rsidRPr="00F24348" w14:paraId="170855D4" w14:textId="77777777" w:rsidTr="00FE5244">
        <w:trPr>
          <w:trHeight w:val="641"/>
        </w:trPr>
        <w:tc>
          <w:tcPr>
            <w:tcW w:w="404" w:type="pct"/>
            <w:vMerge/>
            <w:vAlign w:val="center"/>
          </w:tcPr>
          <w:p w14:paraId="113FC64F"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56A77B19"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Merge/>
            <w:vAlign w:val="center"/>
          </w:tcPr>
          <w:p w14:paraId="722A42F9" w14:textId="77777777" w:rsidR="00B65C82" w:rsidRPr="00F24348" w:rsidRDefault="00B65C82" w:rsidP="00432A72">
            <w:pPr>
              <w:pStyle w:val="13"/>
              <w:spacing w:line="240" w:lineRule="auto"/>
              <w:ind w:firstLineChars="0" w:firstLine="0"/>
              <w:jc w:val="center"/>
              <w:rPr>
                <w:sz w:val="21"/>
                <w:szCs w:val="21"/>
                <w:lang w:bidi="zh-CN"/>
              </w:rPr>
            </w:pPr>
          </w:p>
        </w:tc>
        <w:tc>
          <w:tcPr>
            <w:tcW w:w="731" w:type="pct"/>
            <w:vAlign w:val="center"/>
          </w:tcPr>
          <w:p w14:paraId="5A5842F1" w14:textId="37DAAD9E" w:rsidR="00B65C82" w:rsidRPr="00F24348" w:rsidRDefault="00B65C82" w:rsidP="00432A72">
            <w:pPr>
              <w:pStyle w:val="13"/>
              <w:spacing w:line="240" w:lineRule="auto"/>
              <w:ind w:firstLineChars="0" w:firstLine="0"/>
              <w:jc w:val="center"/>
              <w:rPr>
                <w:sz w:val="21"/>
                <w:szCs w:val="21"/>
                <w:lang w:bidi="zh-CN"/>
              </w:rPr>
            </w:pPr>
            <w:r w:rsidRPr="00FE5244">
              <w:rPr>
                <w:sz w:val="21"/>
                <w:szCs w:val="21"/>
                <w:lang w:bidi="zh-CN"/>
              </w:rPr>
              <w:t>流动资产周转率（次）</w:t>
            </w:r>
          </w:p>
        </w:tc>
        <w:tc>
          <w:tcPr>
            <w:tcW w:w="2727" w:type="pct"/>
            <w:vAlign w:val="center"/>
          </w:tcPr>
          <w:p w14:paraId="070CF464" w14:textId="0C65DEB2" w:rsidR="00B65C82" w:rsidRPr="00FE5244" w:rsidRDefault="00B65C82" w:rsidP="00432A72">
            <w:pPr>
              <w:pStyle w:val="13"/>
              <w:spacing w:line="240" w:lineRule="auto"/>
              <w:ind w:firstLineChars="0" w:firstLine="0"/>
              <w:rPr>
                <w:sz w:val="21"/>
                <w:szCs w:val="21"/>
                <w:lang w:bidi="zh-CN"/>
              </w:rPr>
            </w:pPr>
            <w:r w:rsidRPr="00FE5244">
              <w:rPr>
                <w:sz w:val="21"/>
                <w:szCs w:val="21"/>
                <w:lang w:bidi="zh-CN"/>
              </w:rPr>
              <w:t>流动资产周转率（次）=主营业务收入净额/平均流动资产总额×100%</w:t>
            </w:r>
          </w:p>
        </w:tc>
      </w:tr>
      <w:tr w:rsidR="00B65C82" w:rsidRPr="00F24348" w14:paraId="1144ADB2" w14:textId="77777777" w:rsidTr="00FE5244">
        <w:trPr>
          <w:trHeight w:val="641"/>
        </w:trPr>
        <w:tc>
          <w:tcPr>
            <w:tcW w:w="404" w:type="pct"/>
            <w:vMerge/>
            <w:vAlign w:val="center"/>
          </w:tcPr>
          <w:p w14:paraId="5CF0DB88"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1F22DC3B"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Merge w:val="restart"/>
            <w:vAlign w:val="center"/>
          </w:tcPr>
          <w:p w14:paraId="17678586" w14:textId="2875B6BD"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偿债能力状况</w:t>
            </w:r>
          </w:p>
        </w:tc>
        <w:tc>
          <w:tcPr>
            <w:tcW w:w="731" w:type="pct"/>
            <w:vAlign w:val="center"/>
          </w:tcPr>
          <w:p w14:paraId="797A2118" w14:textId="4310F30D" w:rsidR="00B65C82" w:rsidRPr="00F24348" w:rsidRDefault="00B65C82" w:rsidP="00432A72">
            <w:pPr>
              <w:pStyle w:val="13"/>
              <w:spacing w:line="240" w:lineRule="auto"/>
              <w:ind w:firstLineChars="0" w:firstLine="0"/>
              <w:jc w:val="center"/>
              <w:rPr>
                <w:sz w:val="21"/>
                <w:szCs w:val="21"/>
                <w:lang w:bidi="zh-CN"/>
              </w:rPr>
            </w:pPr>
            <w:r w:rsidRPr="00FE5244">
              <w:rPr>
                <w:sz w:val="21"/>
                <w:szCs w:val="21"/>
                <w:lang w:bidi="zh-CN"/>
              </w:rPr>
              <w:t>资产负债率</w:t>
            </w:r>
          </w:p>
        </w:tc>
        <w:tc>
          <w:tcPr>
            <w:tcW w:w="2727" w:type="pct"/>
            <w:vAlign w:val="center"/>
          </w:tcPr>
          <w:p w14:paraId="5D54977E" w14:textId="7639D6D0" w:rsidR="00B65C82" w:rsidRPr="00FE5244" w:rsidRDefault="00B65C82" w:rsidP="00432A72">
            <w:pPr>
              <w:pStyle w:val="13"/>
              <w:spacing w:line="240" w:lineRule="auto"/>
              <w:ind w:firstLineChars="0" w:firstLine="0"/>
              <w:rPr>
                <w:sz w:val="21"/>
                <w:szCs w:val="21"/>
                <w:lang w:bidi="zh-CN"/>
              </w:rPr>
            </w:pPr>
            <w:r w:rsidRPr="00FE5244">
              <w:rPr>
                <w:sz w:val="21"/>
                <w:szCs w:val="21"/>
                <w:lang w:bidi="zh-CN"/>
              </w:rPr>
              <w:t>资产负债率=负债总额/资产总额×100%</w:t>
            </w:r>
          </w:p>
        </w:tc>
      </w:tr>
      <w:tr w:rsidR="00B65C82" w:rsidRPr="00F24348" w14:paraId="4DE544C3" w14:textId="77777777" w:rsidTr="00FE5244">
        <w:trPr>
          <w:trHeight w:val="641"/>
        </w:trPr>
        <w:tc>
          <w:tcPr>
            <w:tcW w:w="404" w:type="pct"/>
            <w:vMerge/>
            <w:vAlign w:val="center"/>
          </w:tcPr>
          <w:p w14:paraId="066D7D27"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3167079A"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Merge/>
            <w:vAlign w:val="center"/>
          </w:tcPr>
          <w:p w14:paraId="589B6EE5" w14:textId="77777777" w:rsidR="00B65C82" w:rsidRPr="00F24348" w:rsidRDefault="00B65C82" w:rsidP="00432A72">
            <w:pPr>
              <w:pStyle w:val="13"/>
              <w:spacing w:line="240" w:lineRule="auto"/>
              <w:ind w:firstLineChars="0" w:firstLine="0"/>
              <w:jc w:val="center"/>
              <w:rPr>
                <w:sz w:val="21"/>
                <w:szCs w:val="21"/>
                <w:lang w:bidi="zh-CN"/>
              </w:rPr>
            </w:pPr>
          </w:p>
        </w:tc>
        <w:tc>
          <w:tcPr>
            <w:tcW w:w="731" w:type="pct"/>
            <w:vAlign w:val="center"/>
          </w:tcPr>
          <w:p w14:paraId="5DFA19C3" w14:textId="268B5503"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已获利</w:t>
            </w:r>
            <w:proofErr w:type="gramStart"/>
            <w:r w:rsidRPr="00B65C82">
              <w:rPr>
                <w:sz w:val="21"/>
                <w:szCs w:val="21"/>
                <w:lang w:bidi="zh-CN"/>
              </w:rPr>
              <w:t>息</w:t>
            </w:r>
            <w:proofErr w:type="gramEnd"/>
            <w:r w:rsidRPr="00B65C82">
              <w:rPr>
                <w:sz w:val="21"/>
                <w:szCs w:val="21"/>
                <w:lang w:bidi="zh-CN"/>
              </w:rPr>
              <w:t>倍数</w:t>
            </w:r>
          </w:p>
        </w:tc>
        <w:tc>
          <w:tcPr>
            <w:tcW w:w="2727" w:type="pct"/>
            <w:vAlign w:val="center"/>
          </w:tcPr>
          <w:p w14:paraId="5EBB2E1F" w14:textId="06819DB3" w:rsidR="00B65C82" w:rsidRPr="00FE5244" w:rsidRDefault="00B65C82" w:rsidP="00432A72">
            <w:pPr>
              <w:pStyle w:val="13"/>
              <w:spacing w:line="240" w:lineRule="auto"/>
              <w:ind w:firstLineChars="0" w:firstLine="0"/>
              <w:rPr>
                <w:sz w:val="21"/>
                <w:szCs w:val="21"/>
                <w:lang w:bidi="zh-CN"/>
              </w:rPr>
            </w:pPr>
            <w:r w:rsidRPr="00B65C82">
              <w:rPr>
                <w:sz w:val="21"/>
                <w:szCs w:val="21"/>
                <w:lang w:bidi="zh-CN"/>
              </w:rPr>
              <w:t>已获利</w:t>
            </w:r>
            <w:proofErr w:type="gramStart"/>
            <w:r w:rsidRPr="00B65C82">
              <w:rPr>
                <w:sz w:val="21"/>
                <w:szCs w:val="21"/>
                <w:lang w:bidi="zh-CN"/>
              </w:rPr>
              <w:t>息</w:t>
            </w:r>
            <w:proofErr w:type="gramEnd"/>
            <w:r w:rsidRPr="00B65C82">
              <w:rPr>
                <w:sz w:val="21"/>
                <w:szCs w:val="21"/>
                <w:lang w:bidi="zh-CN"/>
              </w:rPr>
              <w:t>倍数=息税前利润总额/利息支出</w:t>
            </w:r>
          </w:p>
        </w:tc>
      </w:tr>
      <w:tr w:rsidR="00B65C82" w:rsidRPr="00F24348" w14:paraId="09F3574B" w14:textId="77777777" w:rsidTr="00FE5244">
        <w:trPr>
          <w:trHeight w:val="641"/>
        </w:trPr>
        <w:tc>
          <w:tcPr>
            <w:tcW w:w="404" w:type="pct"/>
            <w:vMerge/>
            <w:vAlign w:val="center"/>
          </w:tcPr>
          <w:p w14:paraId="5365D88C"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05314A28"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Merge w:val="restart"/>
            <w:vAlign w:val="center"/>
          </w:tcPr>
          <w:p w14:paraId="4EF68518" w14:textId="59D3A912"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发展能力状况</w:t>
            </w:r>
          </w:p>
        </w:tc>
        <w:tc>
          <w:tcPr>
            <w:tcW w:w="731" w:type="pct"/>
            <w:vAlign w:val="center"/>
          </w:tcPr>
          <w:p w14:paraId="625CDC22" w14:textId="7C739F02"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销售（营业）增长率</w:t>
            </w:r>
          </w:p>
        </w:tc>
        <w:tc>
          <w:tcPr>
            <w:tcW w:w="2727" w:type="pct"/>
            <w:vAlign w:val="center"/>
          </w:tcPr>
          <w:p w14:paraId="1F75EC34" w14:textId="43C02A9E" w:rsidR="00B65C82" w:rsidRPr="00FE5244" w:rsidRDefault="00B65C82" w:rsidP="00432A72">
            <w:pPr>
              <w:pStyle w:val="13"/>
              <w:spacing w:line="240" w:lineRule="auto"/>
              <w:ind w:firstLineChars="0" w:firstLine="0"/>
              <w:rPr>
                <w:sz w:val="21"/>
                <w:szCs w:val="21"/>
                <w:lang w:bidi="zh-CN"/>
              </w:rPr>
            </w:pPr>
            <w:r w:rsidRPr="00B65C82">
              <w:rPr>
                <w:sz w:val="21"/>
                <w:szCs w:val="21"/>
                <w:lang w:bidi="zh-CN"/>
              </w:rPr>
              <w:t>销售（营业）增长率=本年主营业务收入增长额/上年主营业务收入总额×100%</w:t>
            </w:r>
          </w:p>
        </w:tc>
      </w:tr>
      <w:tr w:rsidR="00B65C82" w:rsidRPr="00F24348" w14:paraId="58C27967" w14:textId="77777777" w:rsidTr="00FE5244">
        <w:trPr>
          <w:trHeight w:val="641"/>
        </w:trPr>
        <w:tc>
          <w:tcPr>
            <w:tcW w:w="404" w:type="pct"/>
            <w:vMerge/>
            <w:vAlign w:val="center"/>
          </w:tcPr>
          <w:p w14:paraId="141FD70C"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2489B570"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Merge/>
            <w:vAlign w:val="center"/>
          </w:tcPr>
          <w:p w14:paraId="52024781" w14:textId="77777777" w:rsidR="00B65C82" w:rsidRPr="00F24348" w:rsidRDefault="00B65C82" w:rsidP="00432A72">
            <w:pPr>
              <w:pStyle w:val="13"/>
              <w:spacing w:line="240" w:lineRule="auto"/>
              <w:ind w:firstLineChars="0" w:firstLine="0"/>
              <w:jc w:val="center"/>
              <w:rPr>
                <w:sz w:val="21"/>
                <w:szCs w:val="21"/>
                <w:lang w:bidi="zh-CN"/>
              </w:rPr>
            </w:pPr>
          </w:p>
        </w:tc>
        <w:tc>
          <w:tcPr>
            <w:tcW w:w="731" w:type="pct"/>
            <w:vAlign w:val="center"/>
          </w:tcPr>
          <w:p w14:paraId="3C7DF415" w14:textId="0D452117"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资本积累率</w:t>
            </w:r>
          </w:p>
        </w:tc>
        <w:tc>
          <w:tcPr>
            <w:tcW w:w="2727" w:type="pct"/>
            <w:vAlign w:val="center"/>
          </w:tcPr>
          <w:p w14:paraId="4709A9C3" w14:textId="63CE2943" w:rsidR="00B65C82" w:rsidRPr="00B65C82" w:rsidRDefault="00B65C82" w:rsidP="00432A72">
            <w:pPr>
              <w:pStyle w:val="13"/>
              <w:spacing w:line="240" w:lineRule="auto"/>
              <w:ind w:firstLineChars="0" w:firstLine="0"/>
              <w:rPr>
                <w:sz w:val="21"/>
                <w:szCs w:val="21"/>
                <w:lang w:bidi="zh-CN"/>
              </w:rPr>
            </w:pPr>
            <w:r w:rsidRPr="00B65C82">
              <w:rPr>
                <w:sz w:val="21"/>
                <w:szCs w:val="21"/>
                <w:lang w:bidi="zh-CN"/>
              </w:rPr>
              <w:t>资本积累率=本年所有者权益增长额/年初所有者权益×100%</w:t>
            </w:r>
          </w:p>
        </w:tc>
      </w:tr>
      <w:tr w:rsidR="00B65C82" w:rsidRPr="00F24348" w14:paraId="7DE137CB" w14:textId="77777777" w:rsidTr="00FE5244">
        <w:trPr>
          <w:trHeight w:val="641"/>
        </w:trPr>
        <w:tc>
          <w:tcPr>
            <w:tcW w:w="404" w:type="pct"/>
            <w:vMerge/>
            <w:vAlign w:val="center"/>
          </w:tcPr>
          <w:p w14:paraId="3C515BCA"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183B39EA"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Align w:val="center"/>
          </w:tcPr>
          <w:p w14:paraId="33297E35" w14:textId="7F435961"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项目运行管理机构可持续性</w:t>
            </w:r>
          </w:p>
        </w:tc>
        <w:tc>
          <w:tcPr>
            <w:tcW w:w="731" w:type="pct"/>
            <w:vAlign w:val="center"/>
          </w:tcPr>
          <w:p w14:paraId="59DB7392" w14:textId="06453773"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项目运行管理机构可持续性</w:t>
            </w:r>
          </w:p>
        </w:tc>
        <w:tc>
          <w:tcPr>
            <w:tcW w:w="2727" w:type="pct"/>
            <w:vAlign w:val="center"/>
          </w:tcPr>
          <w:p w14:paraId="52ED8A58" w14:textId="0D1B04E2" w:rsidR="00B65C82" w:rsidRPr="00B65C82" w:rsidRDefault="00B65C82" w:rsidP="00432A72">
            <w:pPr>
              <w:pStyle w:val="13"/>
              <w:spacing w:line="240" w:lineRule="auto"/>
              <w:ind w:firstLineChars="0" w:firstLine="0"/>
              <w:rPr>
                <w:sz w:val="21"/>
                <w:szCs w:val="21"/>
                <w:lang w:bidi="zh-CN"/>
              </w:rPr>
            </w:pPr>
            <w:r w:rsidRPr="00B65C82">
              <w:rPr>
                <w:sz w:val="21"/>
                <w:szCs w:val="21"/>
                <w:lang w:bidi="zh-CN"/>
              </w:rPr>
              <w:t>考察项目监管或实施机构是否继续存在。</w:t>
            </w:r>
          </w:p>
        </w:tc>
      </w:tr>
      <w:tr w:rsidR="00B65C82" w:rsidRPr="00F24348" w14:paraId="08687D66" w14:textId="77777777" w:rsidTr="00FE5244">
        <w:trPr>
          <w:trHeight w:val="641"/>
        </w:trPr>
        <w:tc>
          <w:tcPr>
            <w:tcW w:w="404" w:type="pct"/>
            <w:vMerge/>
            <w:vAlign w:val="center"/>
          </w:tcPr>
          <w:p w14:paraId="04AD7B12"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0E5723EE"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Merge w:val="restart"/>
            <w:vAlign w:val="center"/>
          </w:tcPr>
          <w:p w14:paraId="400A1264" w14:textId="3B216FB0"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资产管理的规范性</w:t>
            </w:r>
          </w:p>
        </w:tc>
        <w:tc>
          <w:tcPr>
            <w:tcW w:w="731" w:type="pct"/>
            <w:vAlign w:val="center"/>
          </w:tcPr>
          <w:p w14:paraId="5D705141" w14:textId="14B552EC"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资产管理的规范性</w:t>
            </w:r>
          </w:p>
        </w:tc>
        <w:tc>
          <w:tcPr>
            <w:tcW w:w="2727" w:type="pct"/>
            <w:vAlign w:val="center"/>
          </w:tcPr>
          <w:p w14:paraId="38EA1D08" w14:textId="719BFBB3" w:rsidR="00B65C82" w:rsidRPr="00FE5244" w:rsidRDefault="00B65C82" w:rsidP="00432A72">
            <w:pPr>
              <w:pStyle w:val="13"/>
              <w:spacing w:line="240" w:lineRule="auto"/>
              <w:ind w:firstLineChars="0" w:firstLine="0"/>
              <w:rPr>
                <w:sz w:val="21"/>
                <w:szCs w:val="21"/>
                <w:lang w:bidi="zh-CN"/>
              </w:rPr>
            </w:pPr>
            <w:r w:rsidRPr="00B65C82">
              <w:rPr>
                <w:sz w:val="21"/>
                <w:szCs w:val="21"/>
                <w:lang w:bidi="zh-CN"/>
              </w:rPr>
              <w:t>考察项目在执行阶段资产管理的规范性</w:t>
            </w:r>
          </w:p>
        </w:tc>
      </w:tr>
      <w:tr w:rsidR="00B65C82" w:rsidRPr="00F24348" w14:paraId="74DEF12A" w14:textId="77777777" w:rsidTr="00FE5244">
        <w:trPr>
          <w:trHeight w:val="641"/>
        </w:trPr>
        <w:tc>
          <w:tcPr>
            <w:tcW w:w="404" w:type="pct"/>
            <w:vMerge/>
            <w:vAlign w:val="center"/>
          </w:tcPr>
          <w:p w14:paraId="2D87DEC1"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5079577F"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Merge/>
            <w:vAlign w:val="center"/>
          </w:tcPr>
          <w:p w14:paraId="5A1E849E" w14:textId="77777777" w:rsidR="00B65C82" w:rsidRPr="00F24348" w:rsidRDefault="00B65C82" w:rsidP="00432A72">
            <w:pPr>
              <w:pStyle w:val="13"/>
              <w:spacing w:line="240" w:lineRule="auto"/>
              <w:ind w:firstLineChars="0" w:firstLine="0"/>
              <w:jc w:val="center"/>
              <w:rPr>
                <w:sz w:val="21"/>
                <w:szCs w:val="21"/>
                <w:lang w:bidi="zh-CN"/>
              </w:rPr>
            </w:pPr>
          </w:p>
        </w:tc>
        <w:tc>
          <w:tcPr>
            <w:tcW w:w="731" w:type="pct"/>
            <w:vAlign w:val="center"/>
          </w:tcPr>
          <w:p w14:paraId="5FD2874D" w14:textId="76245581"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移交资产的完整性</w:t>
            </w:r>
          </w:p>
        </w:tc>
        <w:tc>
          <w:tcPr>
            <w:tcW w:w="2727" w:type="pct"/>
            <w:vAlign w:val="center"/>
          </w:tcPr>
          <w:p w14:paraId="2A9D7003" w14:textId="1E83EAC1" w:rsidR="00B65C82" w:rsidRPr="00FE5244" w:rsidRDefault="00B65C82" w:rsidP="00432A72">
            <w:pPr>
              <w:pStyle w:val="13"/>
              <w:spacing w:line="240" w:lineRule="auto"/>
              <w:ind w:firstLineChars="0" w:firstLine="0"/>
              <w:rPr>
                <w:sz w:val="21"/>
                <w:szCs w:val="21"/>
                <w:lang w:bidi="zh-CN"/>
              </w:rPr>
            </w:pPr>
            <w:r w:rsidRPr="00B65C82">
              <w:rPr>
                <w:sz w:val="21"/>
                <w:szCs w:val="21"/>
                <w:lang w:bidi="zh-CN"/>
              </w:rPr>
              <w:t>考察项目在移交阶段资产的完整性</w:t>
            </w:r>
          </w:p>
        </w:tc>
      </w:tr>
      <w:tr w:rsidR="00B65C82" w:rsidRPr="00F24348" w14:paraId="5D369991" w14:textId="77777777" w:rsidTr="00FE5244">
        <w:trPr>
          <w:trHeight w:val="641"/>
        </w:trPr>
        <w:tc>
          <w:tcPr>
            <w:tcW w:w="404" w:type="pct"/>
            <w:vMerge/>
            <w:vAlign w:val="center"/>
          </w:tcPr>
          <w:p w14:paraId="5DAAFA7A"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0357FECE"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Align w:val="center"/>
          </w:tcPr>
          <w:p w14:paraId="61D6C833" w14:textId="5D6AC6D6"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人力资源可持续性</w:t>
            </w:r>
          </w:p>
        </w:tc>
        <w:tc>
          <w:tcPr>
            <w:tcW w:w="731" w:type="pct"/>
            <w:vAlign w:val="center"/>
          </w:tcPr>
          <w:p w14:paraId="07CB428B" w14:textId="5DB58B1C"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人员结构合理程度；人均培训天</w:t>
            </w:r>
            <w:r w:rsidRPr="00B65C82">
              <w:rPr>
                <w:sz w:val="21"/>
                <w:szCs w:val="21"/>
                <w:lang w:bidi="zh-CN"/>
              </w:rPr>
              <w:lastRenderedPageBreak/>
              <w:t>数；人均培训费用；</w:t>
            </w:r>
          </w:p>
        </w:tc>
        <w:tc>
          <w:tcPr>
            <w:tcW w:w="2727" w:type="pct"/>
            <w:vAlign w:val="center"/>
          </w:tcPr>
          <w:p w14:paraId="1BC48532" w14:textId="7E4DB5D8" w:rsidR="00B65C82" w:rsidRPr="00FE5244" w:rsidRDefault="00B65C82" w:rsidP="00432A72">
            <w:pPr>
              <w:pStyle w:val="13"/>
              <w:spacing w:line="240" w:lineRule="auto"/>
              <w:ind w:firstLineChars="0" w:firstLine="0"/>
              <w:rPr>
                <w:sz w:val="21"/>
                <w:szCs w:val="21"/>
                <w:lang w:bidi="zh-CN"/>
              </w:rPr>
            </w:pPr>
            <w:r w:rsidRPr="00B65C82">
              <w:rPr>
                <w:sz w:val="21"/>
                <w:szCs w:val="21"/>
                <w:lang w:bidi="zh-CN"/>
              </w:rPr>
              <w:lastRenderedPageBreak/>
              <w:t>考察项目监管或实施机构人力资源是否充足，是否满足项目可持续发展需要。</w:t>
            </w:r>
          </w:p>
        </w:tc>
      </w:tr>
      <w:tr w:rsidR="00B65C82" w:rsidRPr="00F24348" w14:paraId="206B0CA1" w14:textId="77777777" w:rsidTr="00FE5244">
        <w:trPr>
          <w:trHeight w:val="641"/>
        </w:trPr>
        <w:tc>
          <w:tcPr>
            <w:tcW w:w="404" w:type="pct"/>
            <w:vMerge/>
            <w:vAlign w:val="center"/>
          </w:tcPr>
          <w:p w14:paraId="3697E5B3"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7C53DF10"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Align w:val="center"/>
          </w:tcPr>
          <w:p w14:paraId="38A15D40" w14:textId="2A2565E8"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政策、机制安排可持续性</w:t>
            </w:r>
          </w:p>
        </w:tc>
        <w:tc>
          <w:tcPr>
            <w:tcW w:w="731" w:type="pct"/>
            <w:vAlign w:val="center"/>
          </w:tcPr>
          <w:p w14:paraId="21834495" w14:textId="277BF0A1"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项目政策可持续性</w:t>
            </w:r>
          </w:p>
        </w:tc>
        <w:tc>
          <w:tcPr>
            <w:tcW w:w="2727" w:type="pct"/>
            <w:vAlign w:val="center"/>
          </w:tcPr>
          <w:p w14:paraId="43EAC3EC" w14:textId="15DC39C7" w:rsidR="00B65C82" w:rsidRPr="00B65C82" w:rsidRDefault="00B65C82" w:rsidP="00432A72">
            <w:pPr>
              <w:pStyle w:val="13"/>
              <w:spacing w:line="240" w:lineRule="auto"/>
              <w:ind w:firstLineChars="0" w:firstLine="0"/>
              <w:rPr>
                <w:sz w:val="21"/>
                <w:szCs w:val="21"/>
                <w:lang w:bidi="zh-CN"/>
              </w:rPr>
            </w:pPr>
            <w:r w:rsidRPr="00B65C82">
              <w:rPr>
                <w:sz w:val="21"/>
                <w:szCs w:val="21"/>
                <w:lang w:bidi="zh-CN"/>
              </w:rPr>
              <w:t>考察政策环境和制度是否保障项目可持续运营。</w:t>
            </w:r>
          </w:p>
        </w:tc>
      </w:tr>
      <w:tr w:rsidR="00B65C82" w:rsidRPr="00F24348" w14:paraId="78A13333" w14:textId="77777777" w:rsidTr="00FE5244">
        <w:trPr>
          <w:trHeight w:val="641"/>
        </w:trPr>
        <w:tc>
          <w:tcPr>
            <w:tcW w:w="404" w:type="pct"/>
            <w:vMerge/>
            <w:vAlign w:val="center"/>
          </w:tcPr>
          <w:p w14:paraId="3F9EF1B3" w14:textId="77777777" w:rsidR="00B65C82" w:rsidRPr="00F24348" w:rsidRDefault="00B65C82" w:rsidP="00432A72">
            <w:pPr>
              <w:pStyle w:val="13"/>
              <w:spacing w:line="240" w:lineRule="auto"/>
              <w:ind w:firstLineChars="0" w:firstLine="0"/>
              <w:jc w:val="center"/>
              <w:rPr>
                <w:sz w:val="21"/>
                <w:szCs w:val="21"/>
                <w:lang w:bidi="zh-CN"/>
              </w:rPr>
            </w:pPr>
          </w:p>
        </w:tc>
        <w:tc>
          <w:tcPr>
            <w:tcW w:w="488" w:type="pct"/>
            <w:vMerge/>
            <w:vAlign w:val="center"/>
          </w:tcPr>
          <w:p w14:paraId="4FAB2569" w14:textId="77777777" w:rsidR="00B65C82" w:rsidRPr="00F24348" w:rsidRDefault="00B65C82" w:rsidP="00432A72">
            <w:pPr>
              <w:pStyle w:val="13"/>
              <w:spacing w:line="240" w:lineRule="auto"/>
              <w:ind w:firstLineChars="0" w:firstLine="0"/>
              <w:jc w:val="center"/>
              <w:rPr>
                <w:sz w:val="21"/>
                <w:szCs w:val="21"/>
                <w:lang w:bidi="zh-CN"/>
              </w:rPr>
            </w:pPr>
          </w:p>
        </w:tc>
        <w:tc>
          <w:tcPr>
            <w:tcW w:w="650" w:type="pct"/>
            <w:vAlign w:val="center"/>
          </w:tcPr>
          <w:p w14:paraId="73C70EA0" w14:textId="5E192732"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政府和社会资本合作模式应用</w:t>
            </w:r>
          </w:p>
        </w:tc>
        <w:tc>
          <w:tcPr>
            <w:tcW w:w="731" w:type="pct"/>
            <w:vAlign w:val="center"/>
          </w:tcPr>
          <w:p w14:paraId="3688F607" w14:textId="0A70D245" w:rsidR="00B65C82" w:rsidRPr="00F24348" w:rsidRDefault="00B65C82" w:rsidP="00432A72">
            <w:pPr>
              <w:pStyle w:val="13"/>
              <w:spacing w:line="240" w:lineRule="auto"/>
              <w:ind w:firstLineChars="0" w:firstLine="0"/>
              <w:jc w:val="center"/>
              <w:rPr>
                <w:sz w:val="21"/>
                <w:szCs w:val="21"/>
                <w:lang w:bidi="zh-CN"/>
              </w:rPr>
            </w:pPr>
            <w:r w:rsidRPr="00B65C82">
              <w:rPr>
                <w:sz w:val="21"/>
                <w:szCs w:val="21"/>
                <w:lang w:bidi="zh-CN"/>
              </w:rPr>
              <w:t>项目合作模式可复制性</w:t>
            </w:r>
          </w:p>
        </w:tc>
        <w:tc>
          <w:tcPr>
            <w:tcW w:w="2727" w:type="pct"/>
            <w:vAlign w:val="center"/>
          </w:tcPr>
          <w:p w14:paraId="3F534595" w14:textId="016BE08C" w:rsidR="00B65C82" w:rsidRPr="00B65C82" w:rsidRDefault="00B65C82" w:rsidP="00432A72">
            <w:pPr>
              <w:pStyle w:val="13"/>
              <w:spacing w:line="240" w:lineRule="auto"/>
              <w:ind w:firstLineChars="0" w:firstLine="0"/>
              <w:rPr>
                <w:sz w:val="21"/>
                <w:szCs w:val="21"/>
                <w:lang w:bidi="zh-CN"/>
              </w:rPr>
            </w:pPr>
            <w:r w:rsidRPr="00B65C82">
              <w:rPr>
                <w:sz w:val="21"/>
                <w:szCs w:val="21"/>
                <w:lang w:bidi="zh-CN"/>
              </w:rPr>
              <w:t>反映项目政府和社会资本合作模式和创新内容能否在其他地区复制。</w:t>
            </w:r>
          </w:p>
        </w:tc>
      </w:tr>
    </w:tbl>
    <w:p w14:paraId="5D0D8C21" w14:textId="77777777" w:rsidR="00B65C82" w:rsidRDefault="00B65C82" w:rsidP="00B65C82">
      <w:pPr>
        <w:pStyle w:val="ab"/>
        <w:spacing w:before="62" w:after="62"/>
        <w:ind w:firstLine="482"/>
      </w:pPr>
      <w:r>
        <w:rPr>
          <w:rFonts w:hint="eastAsia"/>
        </w:rPr>
        <w:t>附件</w:t>
      </w:r>
      <w:r>
        <w:t xml:space="preserve"> 3：</w:t>
      </w:r>
    </w:p>
    <w:p w14:paraId="6BC5B5E9" w14:textId="64E6644C" w:rsidR="00B65C82" w:rsidRDefault="00B65C82" w:rsidP="00AF7342">
      <w:pPr>
        <w:pStyle w:val="a9"/>
        <w:spacing w:before="62" w:after="62"/>
      </w:pPr>
      <w:r>
        <w:t>PPP项目主要概念</w:t>
      </w:r>
    </w:p>
    <w:p w14:paraId="24E77FBD" w14:textId="423DE548" w:rsidR="00B65C82" w:rsidRDefault="00B65C82" w:rsidP="00B65C82">
      <w:pPr>
        <w:pStyle w:val="13"/>
      </w:pPr>
      <w:r>
        <w:t>1、政府和社会资本合作模式（以下简称PPP模式）是公共服务供给机制的重大创</w:t>
      </w:r>
      <w:r w:rsidRPr="00B65C82">
        <w:rPr>
          <w:rFonts w:hint="eastAsia"/>
        </w:rPr>
        <w:t>新，即政府采取竞争性方式择优选择具有投资、运营管理能力的社会资本，双方按照平等协商原则订立合同，明确责权利关系，由社会资本提供公共服务，政府依据公共服务绩效评价结果向社会资本支付相应对价，保证社会资本获得合理收益。政府和社会资本合作模式有利于充分发挥市场机制作用，提升公共服务的供给质量和效率，实现公共利</w:t>
      </w:r>
      <w:r>
        <w:rPr>
          <w:rFonts w:hint="eastAsia"/>
        </w:rPr>
        <w:t>益最大化。</w:t>
      </w:r>
    </w:p>
    <w:p w14:paraId="7B39AB47" w14:textId="3DF3EECB" w:rsidR="00F24348" w:rsidRPr="00432A72" w:rsidRDefault="00B65C82" w:rsidP="00B65C82">
      <w:pPr>
        <w:pStyle w:val="13"/>
      </w:pPr>
      <w:r>
        <w:t>2、PPP项目，是政府和社会资本合作实施PPP模式下的具体项目。PPP项目通常具有价格调整机制相对灵活、市场化程度相对较高、投资规模相对较大、需求长期稳定、各方通过合同确定契约关系等特点，主要为基础设施或公共服务类项目，所提供公共产品或公共服务应符合国家产业发展方向，与当地实际社会与经济发展状况及需求相适应。</w:t>
      </w:r>
    </w:p>
    <w:p w14:paraId="630E7F2E" w14:textId="31EDEB55" w:rsidR="00B65C82" w:rsidRDefault="00B65C82" w:rsidP="00B65C82">
      <w:pPr>
        <w:pStyle w:val="13"/>
      </w:pPr>
      <w:r>
        <w:t>3、PPP存量项目是指政府方基于已全部或者部分建成的公共产品或者公共服务项目设施，按约定的条件与社会资本开展合作的项目。已全部或者部分建成的公共产品或者公共服务项目设施，称为PPP存量资产。</w:t>
      </w:r>
    </w:p>
    <w:p w14:paraId="1CC037B7" w14:textId="6BA8EC2F" w:rsidR="00B65C82" w:rsidRDefault="00B65C82" w:rsidP="00B65C82">
      <w:pPr>
        <w:pStyle w:val="13"/>
      </w:pPr>
      <w:r>
        <w:t>4、政府方是指签署PPP项目合同的政府一方的签约主体（即合同当事人）。PPP项目合同通常根据政府职权分工，由项目所在地相应级别的政府部门或者政府授权机构</w:t>
      </w:r>
      <w:r>
        <w:rPr>
          <w:rFonts w:hint="eastAsia"/>
        </w:rPr>
        <w:t>（项目实施机构）以该级政府或者该授权机构自己的名义签署。</w:t>
      </w:r>
    </w:p>
    <w:p w14:paraId="15261723" w14:textId="77777777" w:rsidR="00B65C82" w:rsidRDefault="00B65C82" w:rsidP="00B65C82">
      <w:pPr>
        <w:pStyle w:val="13"/>
      </w:pPr>
      <w:r>
        <w:t>5、项目实施机构，是指政府或者其指定的有关职能部门或者事业单位，负责项目准备、采购、监管和移交等工作。</w:t>
      </w:r>
    </w:p>
    <w:p w14:paraId="71526145" w14:textId="77777777" w:rsidR="00B65C82" w:rsidRDefault="00B65C82" w:rsidP="00B65C82">
      <w:pPr>
        <w:pStyle w:val="13"/>
      </w:pPr>
      <w:r>
        <w:t>6、社会资本，是指已建立现代企业制度的境内外企业法人，包括国有控股企业、民营企业、混合所有制企业等各类型企业，但不包括本级政府所属融资平台公司及其</w:t>
      </w:r>
      <w:r>
        <w:lastRenderedPageBreak/>
        <w:t>他控股国有企业。</w:t>
      </w:r>
    </w:p>
    <w:p w14:paraId="006A7FD1" w14:textId="38C8E005" w:rsidR="00B65C82" w:rsidRDefault="00B65C82" w:rsidP="00B65C82">
      <w:pPr>
        <w:pStyle w:val="13"/>
      </w:pPr>
      <w:r>
        <w:t>7、社会资本方，是指与政府方签署PPP项目合同的社会资本或者项目公司。</w:t>
      </w:r>
    </w:p>
    <w:p w14:paraId="10B63033" w14:textId="75AB21CC" w:rsidR="00B65C82" w:rsidRDefault="00B65C82" w:rsidP="00B65C82">
      <w:pPr>
        <w:pStyle w:val="13"/>
      </w:pPr>
      <w:r>
        <w:t>8、项目公司，是政府和社会资本为实施PPP项目而专门成立的公司，通常独立于社会资本而运营。</w:t>
      </w:r>
    </w:p>
    <w:p w14:paraId="3863BBA4" w14:textId="37BD1BB8" w:rsidR="00B65C82" w:rsidRDefault="00B65C82" w:rsidP="00B65C82">
      <w:pPr>
        <w:pStyle w:val="13"/>
      </w:pPr>
      <w:r>
        <w:t>9、PPP项目操作流程，是PPP项目实施过程中的具体流程，包括：项目识别（项目发起、项目筛选、物有所值评价、财政承受能力论证），项目准备（管理架构组建、实施方案编制、实施方案审核），项目采购（资格预审、采购文件编制、响应文件评审、谈判与合同签署），项目执行（项目公司设立、融资管理、绩效检测与支付、中期评估）及项目移交（移交准备、性能测试、资产交割、绩效评价）等多个环节。</w:t>
      </w:r>
    </w:p>
    <w:p w14:paraId="1B7BE57C" w14:textId="64E9B5AD" w:rsidR="00B65C82" w:rsidRDefault="00B65C82" w:rsidP="00B65C82">
      <w:pPr>
        <w:pStyle w:val="13"/>
      </w:pPr>
      <w:r>
        <w:t>10、委托运营（</w:t>
      </w:r>
      <w:proofErr w:type="spellStart"/>
      <w:r>
        <w:t>Operations&amp;Maintenance</w:t>
      </w:r>
      <w:proofErr w:type="spellEnd"/>
      <w:r>
        <w:t>，O&amp;M），是指政府将存量公共资产的运营维护职责委托给社会资本或者项目公司，社会资本或者项目公司不负责用户服务的政府和社会资本合作项目运作方式。政府保留资产所有权，只向社会资本或者项目公司支付委托运营费。合同期限一般不超过8年。委托运营的特点是资产所有权不转移，社会资</w:t>
      </w:r>
      <w:r>
        <w:rPr>
          <w:rFonts w:hint="eastAsia"/>
        </w:rPr>
        <w:t>本或者项目公司负有运营维护职责，不负责用户服务，政府支付委托运营费，该模式通常适用于存量公共资产。</w:t>
      </w:r>
    </w:p>
    <w:p w14:paraId="7B1F7A91" w14:textId="1E8AE34B" w:rsidR="00B65C82" w:rsidRDefault="00B65C82" w:rsidP="00B65C82">
      <w:pPr>
        <w:pStyle w:val="13"/>
      </w:pPr>
      <w:r>
        <w:t>11、管理合同（</w:t>
      </w:r>
      <w:proofErr w:type="spellStart"/>
      <w:r>
        <w:t>ManagementContract</w:t>
      </w:r>
      <w:proofErr w:type="spellEnd"/>
      <w:r>
        <w:t>，MC），是指政府将存量公共资产的运营、维 护及用户服务职责授权给社会资本或者项目公司的项目运作方式。政府保留资产所有权，只向社会资本或项目公司支付管理费。管理合同通常作为转让-运营-移交的过渡方式，合同期限一般不超过3年。管理合同模式的特点是资产所有权不转移，社会资本或项目公司负责运营、维护及用户服务，政府向社会资本或项目公司支付管理费，该模式通常 适用于存量公共资产。</w:t>
      </w:r>
    </w:p>
    <w:p w14:paraId="01AE198C" w14:textId="0C22CCB5" w:rsidR="00B65C82" w:rsidRDefault="00B65C82" w:rsidP="00B65C82">
      <w:pPr>
        <w:pStyle w:val="13"/>
      </w:pPr>
      <w:r>
        <w:t>12、建设-运营-移交（Build-Operate-Transfer，BOT），是指由社会资本或项目公司承担新建项目设计、融资、建造、运营、维护和用户服务职责，合同期满后项目资产及相关权利等移交给政府的项目运作方式。合同期限一般为20-30年，该模式通常适用于新建项目。</w:t>
      </w:r>
    </w:p>
    <w:p w14:paraId="0F16AF8F" w14:textId="4C85CAD9" w:rsidR="00B65C82" w:rsidRDefault="00B65C82" w:rsidP="00B65C82">
      <w:pPr>
        <w:pStyle w:val="13"/>
      </w:pPr>
      <w:r>
        <w:t>13、建设-拥有-运营（Build-Own-Operate，BOO），由 BOT 方式演变而来，二者区别主要是BOO方式下社会资本或项目公司拥有项目所有权，但必须在合同中注明保证公益性的约束条款，一般不涉及项目期满移交。该模式通常适用于新建项目。</w:t>
      </w:r>
    </w:p>
    <w:p w14:paraId="7459AE0E" w14:textId="491C48A3" w:rsidR="00B65C82" w:rsidRDefault="00B65C82" w:rsidP="00B65C82">
      <w:pPr>
        <w:pStyle w:val="13"/>
      </w:pPr>
      <w:r>
        <w:t>14、转让-运营-移交（Transfer-Operate-Transfer，TOT），是指政府将存量资产所有权有偿转让给社会资本或项目公司，并由其负责运营、维护和用户服务，合同期满后资产及其所有权等移交给政府的项目运作方式。合同期限一般为20-30年。该模式通常适用于存量公共资产。</w:t>
      </w:r>
    </w:p>
    <w:p w14:paraId="2F774D44" w14:textId="5A2AD159" w:rsidR="00B65C82" w:rsidRDefault="00B65C82" w:rsidP="00B65C82">
      <w:pPr>
        <w:pStyle w:val="13"/>
      </w:pPr>
      <w:r>
        <w:t>15、改建-运营-移交（Rehabilitate-Operate-Transfer，ROT），是指政府在TOT模式的基础上，增加改扩建内容的项目运作方式。合同期限一般为20-30年。该模式</w:t>
      </w:r>
      <w:r>
        <w:lastRenderedPageBreak/>
        <w:t>通常适用于存量公共资产。</w:t>
      </w:r>
    </w:p>
    <w:p w14:paraId="72652291" w14:textId="5C8EC366" w:rsidR="00B65C82" w:rsidRDefault="00B65C82" w:rsidP="00B65C82">
      <w:pPr>
        <w:pStyle w:val="13"/>
      </w:pPr>
      <w:r>
        <w:t>16、全生命周期，是指项目从设计、融资、建造、运营、维护至终止移交的完整周</w:t>
      </w:r>
      <w:r>
        <w:rPr>
          <w:rFonts w:hint="eastAsia"/>
        </w:rPr>
        <w:t>期。</w:t>
      </w:r>
    </w:p>
    <w:p w14:paraId="6D27A24D" w14:textId="6BEB0103" w:rsidR="00B65C82" w:rsidRDefault="00B65C82" w:rsidP="00B65C82">
      <w:pPr>
        <w:pStyle w:val="13"/>
      </w:pPr>
      <w:r>
        <w:t>17、产出说明，是指项目建成后项目资产所应达到的经济、技术标准，以及公共产</w:t>
      </w:r>
      <w:r>
        <w:rPr>
          <w:rFonts w:hint="eastAsia"/>
        </w:rPr>
        <w:t>品和公共服务的交付范围、标准和绩效水平、服务对象和服务规模等。</w:t>
      </w:r>
    </w:p>
    <w:p w14:paraId="244AD26C" w14:textId="3192B70B" w:rsidR="00B65C82" w:rsidRDefault="00B65C82" w:rsidP="00B65C82">
      <w:pPr>
        <w:pStyle w:val="13"/>
      </w:pPr>
      <w:r>
        <w:t>18、可行性缺口补助，是指使用者付费不足以满足社会资本或项目公司成本回收和合理回报，由政府以财政补贴、股本投入、优惠贷款和其他优惠政策的形式，给予社会</w:t>
      </w:r>
      <w:r>
        <w:rPr>
          <w:rFonts w:hint="eastAsia"/>
        </w:rPr>
        <w:t>资本或项目公司的经济补助。</w:t>
      </w:r>
    </w:p>
    <w:p w14:paraId="65774596" w14:textId="77777777" w:rsidR="00B65C82" w:rsidRDefault="00B65C82" w:rsidP="00B65C82">
      <w:pPr>
        <w:pStyle w:val="13"/>
      </w:pPr>
      <w:r>
        <w:t>19、政府付费，是指政府直接付费购买公共产品和服务。主要包括可用性付费、使用量付费和绩效付费。政府付费的依据主要是设施可用性、产品和服务使用数量和质量等要素。</w:t>
      </w:r>
    </w:p>
    <w:p w14:paraId="2BB568DB" w14:textId="77777777" w:rsidR="00B65C82" w:rsidRDefault="00B65C82" w:rsidP="00B65C82">
      <w:pPr>
        <w:pStyle w:val="13"/>
      </w:pPr>
      <w:r>
        <w:t>20、可用性付费，是指政府依据项目公司所提供的项目设施或服务是否符合合同约定的标准和要求来付费。</w:t>
      </w:r>
    </w:p>
    <w:p w14:paraId="69845978" w14:textId="77777777" w:rsidR="00B65C82" w:rsidRDefault="00B65C82" w:rsidP="00B65C82">
      <w:pPr>
        <w:pStyle w:val="13"/>
      </w:pPr>
      <w:r>
        <w:t>21、使用量付费，是指政府主要依据项目公司所提供的项目设施或服务的实际使用量来支付。</w:t>
      </w:r>
    </w:p>
    <w:p w14:paraId="15694E7A" w14:textId="201E4A04" w:rsidR="00B65C82" w:rsidRDefault="00B65C82" w:rsidP="00B65C82">
      <w:pPr>
        <w:pStyle w:val="13"/>
      </w:pPr>
      <w:r>
        <w:t>22、绩效付费，是指政府依据项目公司所提供的公共产品或公共服务的质量付费</w:t>
      </w:r>
      <w:r w:rsidR="003068F8">
        <w:t>，</w:t>
      </w:r>
      <w:r>
        <w:t>通常会与可用性付费或者使用量付费搭配使用。</w:t>
      </w:r>
    </w:p>
    <w:p w14:paraId="03F457CB" w14:textId="77777777" w:rsidR="00B65C82" w:rsidRDefault="00B65C82" w:rsidP="00B65C82">
      <w:pPr>
        <w:pStyle w:val="13"/>
      </w:pPr>
      <w:r>
        <w:t>23、使用者付费，是指由最终消费用户直接付费购买公共产品或公共服务。</w:t>
      </w:r>
    </w:p>
    <w:p w14:paraId="4FD8C66F" w14:textId="77777777" w:rsidR="00B65C82" w:rsidRDefault="00B65C82" w:rsidP="00B65C82">
      <w:pPr>
        <w:pStyle w:val="13"/>
      </w:pPr>
      <w:r>
        <w:t>24、物有所值，是指为提供公共产品或公共服务，综合考虑了全生命周期成本和质量、价格与效用的最佳结果。</w:t>
      </w:r>
    </w:p>
    <w:p w14:paraId="4A41794C" w14:textId="6FDB79B4" w:rsidR="00B65C82" w:rsidRDefault="00B65C82" w:rsidP="00B65C82">
      <w:pPr>
        <w:pStyle w:val="13"/>
      </w:pPr>
      <w:r>
        <w:t>25、物有所值评价，是判断是否采用PPP模式代替政府传统投资运营方式提供公共产品或公共服务项目的一种评价方法。物有所值评价包括定性评价和定量评价。</w:t>
      </w:r>
    </w:p>
    <w:p w14:paraId="4CD744CE" w14:textId="364F08C0" w:rsidR="00B65C82" w:rsidRDefault="00B65C82" w:rsidP="00B65C82">
      <w:pPr>
        <w:pStyle w:val="13"/>
      </w:pPr>
      <w:r>
        <w:t>26、评价基准日，本操作指引所称评价基准日是评价结论成立的一个特定时日。在形成评价结论过程中所选用的各种作价标准、依据也要在该时点有效。评价基准</w:t>
      </w:r>
      <w:proofErr w:type="gramStart"/>
      <w:r>
        <w:t>日主要</w:t>
      </w:r>
      <w:proofErr w:type="gramEnd"/>
      <w:r>
        <w:t>根据评价目的的要求由委托方确定，评价基准日通常以年月日表示。选择的评价基准日</w:t>
      </w:r>
      <w:r w:rsidR="003068F8">
        <w:t>，</w:t>
      </w:r>
      <w:r>
        <w:t>应有利于保证评价结果有效地服务于评价目的。在物有所值定量评价中，需要将政府在传统投资模式下和PPP模式下的全生命周期成本以现金流口径进行折现，也要求明确评价基准日。</w:t>
      </w:r>
    </w:p>
    <w:p w14:paraId="797777C3" w14:textId="3448C3E5" w:rsidR="00B65C82" w:rsidRDefault="00B65C82" w:rsidP="00B65C82">
      <w:pPr>
        <w:pStyle w:val="13"/>
      </w:pPr>
      <w:r>
        <w:t>27、物有所值定性评价，是通过对反映PPP项目是否可行和是否有益的相关评价指标进行评分，以客观判断拟采用的PPP模式是否具备比采用政府传统投资模式更能降低项目全生命周期成本所需的各项条件。</w:t>
      </w:r>
    </w:p>
    <w:p w14:paraId="773A6760" w14:textId="39FBE8FF" w:rsidR="00B65C82" w:rsidRDefault="00B65C82" w:rsidP="00B65C82">
      <w:pPr>
        <w:pStyle w:val="13"/>
      </w:pPr>
      <w:r>
        <w:t>28、物有所值定性评价指标，是衡量PPP模式是否比政府传统投资模式更能降低项目全生命周期成本的考核参数。</w:t>
      </w:r>
    </w:p>
    <w:p w14:paraId="169CD1AD" w14:textId="2B64C340" w:rsidR="00B65C82" w:rsidRDefault="00B65C82" w:rsidP="00B65C82">
      <w:pPr>
        <w:pStyle w:val="13"/>
      </w:pPr>
      <w:r>
        <w:t>29、物有所值定性评价补充评价指标，是基本评价指标未涵盖的其他影响PPP项</w:t>
      </w:r>
      <w:r>
        <w:lastRenderedPageBreak/>
        <w:t>目实现物有所值的因素。</w:t>
      </w:r>
    </w:p>
    <w:p w14:paraId="1B374AF1" w14:textId="3357FE7E" w:rsidR="00B65C82" w:rsidRDefault="00B65C82" w:rsidP="00B65C82">
      <w:pPr>
        <w:pStyle w:val="13"/>
      </w:pPr>
      <w:r>
        <w:t>30、定量评价，是在假定采用PPP模式与政府传统投资方式产出绩效相同的前提下，通过对PPP项目全生命周期内</w:t>
      </w:r>
      <w:proofErr w:type="gramStart"/>
      <w:r>
        <w:t>政府方净成本</w:t>
      </w:r>
      <w:proofErr w:type="gramEnd"/>
      <w:r>
        <w:t>的现值（PPP值）与公共部门比较值（PSC值）进行比较，判断PPP模式能否降低项目全生命周期成本。</w:t>
      </w:r>
    </w:p>
    <w:p w14:paraId="3342D066" w14:textId="77777777" w:rsidR="00B65C82" w:rsidRDefault="00B65C82" w:rsidP="00B65C82">
      <w:pPr>
        <w:pStyle w:val="13"/>
      </w:pPr>
      <w:r>
        <w:t>31、全生命周期成本，是指项目在设计使用年限内所发生的所有成本。包括项目设计、施工、持续运行和提供服务、以及维护和大修等成本。全生命周期成本包括合作周期成本和合作期满后成本两部分。</w:t>
      </w:r>
    </w:p>
    <w:p w14:paraId="2541B285" w14:textId="6CF03C16" w:rsidR="00B65C82" w:rsidRDefault="00B65C82" w:rsidP="00B65C82">
      <w:pPr>
        <w:pStyle w:val="13"/>
      </w:pPr>
      <w:r>
        <w:t>32、PPP值，即PPP项目全生命周期内</w:t>
      </w:r>
      <w:proofErr w:type="gramStart"/>
      <w:r>
        <w:t>政府方净成本</w:t>
      </w:r>
      <w:proofErr w:type="gramEnd"/>
      <w:r>
        <w:t>的现值，是指PPP项目全生命周期过程的财政支出责任的现值。PPP项目全生命周期过程的财政支出责任，主要包括股权投资、建设补贴、运营补贴、风险承担、配套投入等。对PPP项目全生命周期过程的财政支出责任的测算，应采用现金流指标。</w:t>
      </w:r>
    </w:p>
    <w:p w14:paraId="646A6D82" w14:textId="14D32F0A" w:rsidR="00B65C82" w:rsidRDefault="00B65C82" w:rsidP="00B65C82">
      <w:pPr>
        <w:pStyle w:val="13"/>
      </w:pPr>
      <w:r>
        <w:t>33、财政承受能力论证，是指识别、测算PPP项目的各项财政支出责任，科学评估项目实施对当前及今后年度财政支出的影响，为PPP项目财政管理提供依据。</w:t>
      </w:r>
    </w:p>
    <w:p w14:paraId="61F80238" w14:textId="6235C1DB" w:rsidR="00B65C82" w:rsidRDefault="00B65C82" w:rsidP="00B65C82">
      <w:pPr>
        <w:pStyle w:val="13"/>
      </w:pPr>
      <w:r>
        <w:t>34、PPP项目绩效目标，是评价PPP项目计划在一定期限内达到的产出、效果和影响等的基础。绩效目标一般应与项目内容相吻合，指向明确、具体细化、合理可行。PPP项目绩效目标一般在项目实施方案、PPP项目合同中明确阐述。</w:t>
      </w:r>
    </w:p>
    <w:p w14:paraId="027A1110" w14:textId="17C86484" w:rsidR="00B65C82" w:rsidRDefault="00B65C82" w:rsidP="00B65C82">
      <w:pPr>
        <w:pStyle w:val="13"/>
      </w:pPr>
      <w:r>
        <w:t>35、PPP项目中期评估，是指政府、项目公司或社会资本委托第三方机构每3-5年对正在运行的PPP项目进行的阶段性总结，旨在客观评价PPP项目的服务质量和运营效率，并为政府监管工作及相关协议条款的调整提供参考，促进项目绩效目标的实现。</w:t>
      </w:r>
    </w:p>
    <w:p w14:paraId="1FED49D0" w14:textId="40244C21" w:rsidR="00B65C82" w:rsidRDefault="00B65C82" w:rsidP="00B65C82">
      <w:pPr>
        <w:pStyle w:val="13"/>
      </w:pPr>
      <w:r>
        <w:t>36、PPP项目绩效评价，是指项目移交完成后，财政部门（政府和社会资本合作中心）组织有关部门对项目产出、成本效益、监管成效、可持续性、政府和社会资本合作模式应用等进行绩效评价，并按相关规定公开评价结果，评价结果为管理PPP项目及推广PPP模式提供决策参考依据。</w:t>
      </w:r>
    </w:p>
    <w:p w14:paraId="77256EEC" w14:textId="77777777" w:rsidR="00C34C28" w:rsidRDefault="00C34C28" w:rsidP="00C34C28">
      <w:pPr>
        <w:pStyle w:val="31"/>
        <w:spacing w:before="156" w:after="62"/>
      </w:pPr>
      <w:bookmarkStart w:id="101" w:name="_Toc81833364"/>
      <w:r w:rsidRPr="00B3736B">
        <w:rPr>
          <w:rFonts w:hint="eastAsia"/>
        </w:rPr>
        <w:t>私募投资基金非上市股权投资估值指引</w:t>
      </w:r>
      <w:r w:rsidRPr="00B3736B">
        <w:t>(试行)</w:t>
      </w:r>
      <w:r>
        <w:rPr>
          <w:rFonts w:hint="eastAsia"/>
        </w:rPr>
        <w:t>（</w:t>
      </w:r>
      <w:proofErr w:type="gramStart"/>
      <w:r w:rsidRPr="00B3736B">
        <w:t>中基协发</w:t>
      </w:r>
      <w:proofErr w:type="gramEnd"/>
      <w:r w:rsidRPr="00B3736B">
        <w:t>〔2018〕1号</w:t>
      </w:r>
      <w:r>
        <w:rPr>
          <w:rFonts w:hint="eastAsia"/>
        </w:rPr>
        <w:t>）</w:t>
      </w:r>
      <w:bookmarkEnd w:id="101"/>
    </w:p>
    <w:p w14:paraId="721D4F10" w14:textId="77777777" w:rsidR="00C34C28" w:rsidRDefault="00C34C28" w:rsidP="00C34C28">
      <w:pPr>
        <w:pStyle w:val="13"/>
      </w:pPr>
      <w:r>
        <w:t>为引导私募投资基金非上市股权投资专业化估值，完善资产管理行业估值标准体系，促进私募基金行业健康发展，保护基金持有人利益，中国证券投资基金业协会（以下简称“协会”）托管与运营专业委员会估值核算小组制定了《私募投资基金非上市股权投资估值指引(试行)》，于2018年3月5日经协会第二届理事会表决通过，并经中国证券监督管理委员会批准，现予发布，自2018年7月1日起施行。</w:t>
      </w:r>
    </w:p>
    <w:p w14:paraId="696F186A" w14:textId="77777777" w:rsidR="00C34C28" w:rsidRDefault="00C34C28" w:rsidP="00C34C28">
      <w:pPr>
        <w:pStyle w:val="13"/>
      </w:pPr>
      <w:r>
        <w:t>附件一：《私募投资基金非上市股权投资估值指引(试行)》</w:t>
      </w:r>
    </w:p>
    <w:p w14:paraId="6608813C" w14:textId="77777777" w:rsidR="00C34C28" w:rsidRDefault="00C34C28" w:rsidP="00C34C28">
      <w:pPr>
        <w:pStyle w:val="13"/>
      </w:pPr>
      <w:r>
        <w:t>附件二：《私募投资基金非上市股权投资估值指引(试行)》起草说明</w:t>
      </w:r>
    </w:p>
    <w:p w14:paraId="6F52B5C2" w14:textId="77777777" w:rsidR="00C34C28" w:rsidRDefault="00C34C28" w:rsidP="00ED0DA7">
      <w:pPr>
        <w:pStyle w:val="13"/>
        <w:jc w:val="right"/>
      </w:pPr>
      <w:r>
        <w:t>中国证券投资基金业协会</w:t>
      </w:r>
    </w:p>
    <w:p w14:paraId="5313C0F2" w14:textId="77777777" w:rsidR="00C34C28" w:rsidRDefault="00C34C28" w:rsidP="00ED0DA7">
      <w:pPr>
        <w:pStyle w:val="13"/>
        <w:spacing w:line="240" w:lineRule="auto"/>
        <w:jc w:val="right"/>
      </w:pPr>
      <w:r>
        <w:t>二零一八年三月三十日</w:t>
      </w:r>
    </w:p>
    <w:p w14:paraId="37DDEC4A" w14:textId="77777777" w:rsidR="00C34C28" w:rsidRDefault="00C34C28" w:rsidP="00AF7342">
      <w:pPr>
        <w:pStyle w:val="a9"/>
        <w:spacing w:before="62" w:after="62"/>
      </w:pPr>
      <w:r>
        <w:rPr>
          <w:rFonts w:hint="eastAsia"/>
        </w:rPr>
        <w:lastRenderedPageBreak/>
        <w:t>私募投资基金非上市股权投资估值指引（试行）</w:t>
      </w:r>
    </w:p>
    <w:p w14:paraId="57BEADB2" w14:textId="77777777" w:rsidR="00C34C28" w:rsidRDefault="00C34C28" w:rsidP="00C34C28">
      <w:pPr>
        <w:pStyle w:val="ab"/>
        <w:spacing w:before="62" w:after="62"/>
        <w:ind w:firstLine="482"/>
      </w:pPr>
      <w:r>
        <w:rPr>
          <w:rFonts w:hint="eastAsia"/>
        </w:rPr>
        <w:t>一、总则</w:t>
      </w:r>
    </w:p>
    <w:p w14:paraId="491A6533" w14:textId="77777777" w:rsidR="00C34C28" w:rsidRDefault="00C34C28" w:rsidP="00C34C28">
      <w:pPr>
        <w:pStyle w:val="13"/>
      </w:pPr>
      <w:r>
        <w:rPr>
          <w:rFonts w:hint="eastAsia"/>
        </w:rPr>
        <w:t>（一）为引导私募投资基金（以下简称“私募基金”）专业化估值，保护基金持有人的利益，根据《证券投资基金法》、《企业会计准则》、《私募投资基金监督管理暂行办法》、《证券期货经营机构私募资产管理业务运作管理暂行规定》等法律、法规，及《私募投资基金信息披露管理办法》、《私募投资基金服务业务管理办法（试行）》等自律规则，制定本指引。</w:t>
      </w:r>
    </w:p>
    <w:p w14:paraId="14A91FB6" w14:textId="77777777" w:rsidR="00C34C28" w:rsidRDefault="00C34C28" w:rsidP="00C34C28">
      <w:pPr>
        <w:pStyle w:val="13"/>
      </w:pPr>
      <w:r>
        <w:rPr>
          <w:rFonts w:hint="eastAsia"/>
        </w:rPr>
        <w:t>（二）本指引所称的私募基金，包括基金管理公司及其子公司管理的特定客户资产管理计划、证券公司及其子公司管理的资产管理计划、期货公司及其子公司管理的资产管理计划以及经中国证券投资基金业协会登记的私募基金管理人管理的私募投资基金。</w:t>
      </w:r>
    </w:p>
    <w:p w14:paraId="373235DA" w14:textId="77777777" w:rsidR="00C34C28" w:rsidRDefault="00C34C28" w:rsidP="00C34C28">
      <w:pPr>
        <w:pStyle w:val="13"/>
      </w:pPr>
      <w:r>
        <w:rPr>
          <w:rFonts w:hint="eastAsia"/>
        </w:rPr>
        <w:t>（三）本指引所称的非上市股权投资，是指私募基金对未上市企业进行的股权投资。对于已在全国中小企业股份转让系统挂牌但交易不活跃的企业，其股权估值参考本指引执行。</w:t>
      </w:r>
    </w:p>
    <w:p w14:paraId="1C48B088" w14:textId="77777777" w:rsidR="00C34C28" w:rsidRDefault="00C34C28" w:rsidP="00C34C28">
      <w:pPr>
        <w:pStyle w:val="13"/>
      </w:pPr>
      <w:r>
        <w:rPr>
          <w:rFonts w:hint="eastAsia"/>
        </w:rPr>
        <w:t>（四）私募基金管理人（以下简称“基金管理人”）和基金服务机构对私募基金持有的非上市股权进行估值时，参照本指引执行。其他类型的投资基金在对其持有的非上市股权进行估值时，参考本指引执行。</w:t>
      </w:r>
    </w:p>
    <w:p w14:paraId="2BA91E0F" w14:textId="77777777" w:rsidR="00C34C28" w:rsidRDefault="00C34C28" w:rsidP="00C34C28">
      <w:pPr>
        <w:pStyle w:val="13"/>
      </w:pPr>
      <w:r>
        <w:rPr>
          <w:rFonts w:hint="eastAsia"/>
        </w:rPr>
        <w:t>（五）如果基金管理人未按照第（三）、（四）条进行估值，应当在相关的合同或协议中进行约定并依据相关法律法规、会计准则及自律规则履行相应的信息披露义务。</w:t>
      </w:r>
    </w:p>
    <w:p w14:paraId="11F2F853" w14:textId="77777777" w:rsidR="00C34C28" w:rsidRDefault="00C34C28" w:rsidP="00C34C28">
      <w:pPr>
        <w:pStyle w:val="13"/>
      </w:pPr>
      <w:r>
        <w:rPr>
          <w:rFonts w:hint="eastAsia"/>
        </w:rPr>
        <w:t>（六）基金管理人作为估值的第一责任人，应当对估值方法和估值参数等承担最终责任，并定期对估值结论进行检验，防范可能出现的重大偏差。</w:t>
      </w:r>
    </w:p>
    <w:p w14:paraId="312D3795" w14:textId="77777777" w:rsidR="00C34C28" w:rsidRDefault="00C34C28" w:rsidP="00C34C28">
      <w:pPr>
        <w:pStyle w:val="13"/>
      </w:pPr>
      <w:r>
        <w:rPr>
          <w:rFonts w:hint="eastAsia"/>
        </w:rPr>
        <w:t>（七）本指引自</w:t>
      </w:r>
      <w:r>
        <w:t>2018年7月1日起施行。</w:t>
      </w:r>
    </w:p>
    <w:p w14:paraId="2EBA2825" w14:textId="77777777" w:rsidR="00C34C28" w:rsidRPr="0047435F" w:rsidRDefault="00C34C28" w:rsidP="00C34C28">
      <w:pPr>
        <w:pStyle w:val="ab"/>
        <w:spacing w:before="62" w:after="62"/>
        <w:ind w:firstLine="482"/>
      </w:pPr>
      <w:r w:rsidRPr="0047435F">
        <w:rPr>
          <w:rFonts w:hint="eastAsia"/>
        </w:rPr>
        <w:t>二、估值原则</w:t>
      </w:r>
    </w:p>
    <w:p w14:paraId="36A2E530" w14:textId="77777777" w:rsidR="00C34C28" w:rsidRDefault="00C34C28" w:rsidP="00C34C28">
      <w:pPr>
        <w:pStyle w:val="13"/>
      </w:pPr>
      <w:r>
        <w:rPr>
          <w:rFonts w:hint="eastAsia"/>
        </w:rPr>
        <w:t>（一）基金管理人应当在估值</w:t>
      </w:r>
      <w:proofErr w:type="gramStart"/>
      <w:r>
        <w:rPr>
          <w:rFonts w:hint="eastAsia"/>
        </w:rPr>
        <w:t>日估计</w:t>
      </w:r>
      <w:proofErr w:type="gramEnd"/>
      <w:r>
        <w:rPr>
          <w:rFonts w:hint="eastAsia"/>
        </w:rPr>
        <w:t>各单项投资的公允价值。具有相同资产特征的投资每个估值</w:t>
      </w:r>
      <w:proofErr w:type="gramStart"/>
      <w:r>
        <w:rPr>
          <w:rFonts w:hint="eastAsia"/>
        </w:rPr>
        <w:t>日采用</w:t>
      </w:r>
      <w:proofErr w:type="gramEnd"/>
      <w:r>
        <w:rPr>
          <w:rFonts w:hint="eastAsia"/>
        </w:rPr>
        <w:t>的估值技术应当保持一致。只有在变更估值技术或其应用能使计量结果在当前情况下同样或者更能代表公允价值的情况下</w:t>
      </w:r>
      <w:r>
        <w:t>, 基金管理人方可</w:t>
      </w:r>
      <w:r>
        <w:rPr>
          <w:rFonts w:hint="eastAsia"/>
        </w:rPr>
        <w:t>采用不同的估值技术，并依据相关法律法规、会计准则及自律规则履行相应的信息披露义务。本指引中所指估值技术与《企业会计准则第</w:t>
      </w:r>
      <w:r>
        <w:t xml:space="preserve"> 39 号——公允价值计量》中的估值技术含义相</w:t>
      </w:r>
      <w:r>
        <w:rPr>
          <w:rFonts w:hint="eastAsia"/>
        </w:rPr>
        <w:t>同，估值方法是指对估值技术的具体应用。</w:t>
      </w:r>
    </w:p>
    <w:p w14:paraId="223F42CC" w14:textId="77777777" w:rsidR="00C34C28" w:rsidRDefault="00C34C28" w:rsidP="00C34C28">
      <w:pPr>
        <w:pStyle w:val="13"/>
      </w:pPr>
      <w:r>
        <w:rPr>
          <w:rFonts w:hint="eastAsia"/>
        </w:rPr>
        <w:t>（二）如果非上市股权投资采用的货币与私募基金的记账货币不同，基金管理人应当使用估值日的即期汇率将投资货币转换为记账货币。</w:t>
      </w:r>
    </w:p>
    <w:p w14:paraId="6FF25636" w14:textId="77777777" w:rsidR="00C34C28" w:rsidRDefault="00C34C28" w:rsidP="00C34C28">
      <w:pPr>
        <w:pStyle w:val="13"/>
      </w:pPr>
      <w:r>
        <w:rPr>
          <w:rFonts w:hint="eastAsia"/>
        </w:rPr>
        <w:t>（三）在确定非上市股权的公允价值时，基金管理人应当遵循实质重于形式的原</w:t>
      </w:r>
      <w:r>
        <w:rPr>
          <w:rFonts w:hint="eastAsia"/>
        </w:rPr>
        <w:lastRenderedPageBreak/>
        <w:t>则，对于可能影响公允价值的具体投资条款做出相应的判断。</w:t>
      </w:r>
    </w:p>
    <w:p w14:paraId="3EE2481C" w14:textId="77777777" w:rsidR="00C34C28" w:rsidRDefault="00C34C28" w:rsidP="00C34C28">
      <w:pPr>
        <w:pStyle w:val="13"/>
      </w:pPr>
      <w:r>
        <w:rPr>
          <w:rFonts w:hint="eastAsia"/>
        </w:rPr>
        <w:t>（四）由于通常不存在为非上市股权提供活跃报价的交易市场，因此在</w:t>
      </w:r>
      <w:proofErr w:type="gramStart"/>
      <w:r>
        <w:rPr>
          <w:rFonts w:hint="eastAsia"/>
        </w:rPr>
        <w:t>估计非</w:t>
      </w:r>
      <w:proofErr w:type="gramEnd"/>
      <w:r>
        <w:rPr>
          <w:rFonts w:hint="eastAsia"/>
        </w:rPr>
        <w:t>上市股权公允价值时，无论该股权是否准备于近期出售，基金管理人都应假定估值日发生了出售该股权的交易，并以此假定交易的价格为基础计量该股权的公允价值。</w:t>
      </w:r>
    </w:p>
    <w:p w14:paraId="09F522A2" w14:textId="77777777" w:rsidR="00C34C28" w:rsidRDefault="00C34C28" w:rsidP="00C34C28">
      <w:pPr>
        <w:pStyle w:val="13"/>
      </w:pPr>
      <w:r>
        <w:rPr>
          <w:rFonts w:hint="eastAsia"/>
        </w:rPr>
        <w:t>（五）私募基金投资于同一被投资企业发行的不同轮次的股权，若各轮次股权之间的权利与义务存在差异，基金管理人需考虑各轮次股权不同的权利和义务对公允价值的影响并对其分别进行估值。</w:t>
      </w:r>
    </w:p>
    <w:p w14:paraId="1C3E46C5" w14:textId="77777777" w:rsidR="00C34C28" w:rsidRDefault="00C34C28" w:rsidP="00C34C28">
      <w:pPr>
        <w:pStyle w:val="13"/>
      </w:pPr>
      <w:r>
        <w:rPr>
          <w:rFonts w:hint="eastAsia"/>
        </w:rPr>
        <w:t>（六）在估计某项非上市股权的公允价值时，基金管理人应从该股权的自身情况和市场环境出发，谨慎选择使用多种分属不同估值技术的方法，在可合理取得市场参与者假设的前提下采用合理的市场数据。基金管理人应当对各种估值方法形成的估值结果之间的差异进行分析，结合各种估值方法的适用条件、重要参数的选取依据、估值方法的运用过程等相关因素，综合判断后确定最合理的估值结果。</w:t>
      </w:r>
    </w:p>
    <w:p w14:paraId="1C2DA399" w14:textId="77777777" w:rsidR="00C34C28" w:rsidRDefault="00C34C28" w:rsidP="00C34C28">
      <w:pPr>
        <w:pStyle w:val="13"/>
      </w:pPr>
      <w:r>
        <w:rPr>
          <w:rFonts w:hint="eastAsia"/>
        </w:rPr>
        <w:t>（七）基金管理人可以采用情景分析的方式综合运用多种估值方法。基金管理人可以从非上市股权投资的各种潜在退出方式出发，在不同退出方式下采用不同的估值方法，并结合各退出方式的可实现概率对非上市股权的公允价值进行综合分析。</w:t>
      </w:r>
    </w:p>
    <w:p w14:paraId="1DE9E89F" w14:textId="77777777" w:rsidR="00C34C28" w:rsidRDefault="00C34C28" w:rsidP="00C34C28">
      <w:pPr>
        <w:pStyle w:val="13"/>
      </w:pPr>
      <w:r>
        <w:rPr>
          <w:rFonts w:hint="eastAsia"/>
        </w:rPr>
        <w:t>（八）非上市股权成功上市后的公允价值或采用其他退出方式实现的退出价格与私募基金持有非上市股权期间的公允价值估计之间可能存在重大差异，基金管理人必须对此差异予以关注并进行分析，即通过分析下列问题提升基金管理人今后的估值水平：</w:t>
      </w:r>
      <w:r>
        <w:t>1、在估值日，确认哪些信息是已知的或可获取的；2、上述信息是如何反映在最近的公允价值估计中的；3、以上</w:t>
      </w:r>
      <w:r>
        <w:rPr>
          <w:rFonts w:hint="eastAsia"/>
        </w:rPr>
        <w:t>市后的公允价值或退出价格为参照，之前的公允价值估值过程是否恰当地反映了上述信息。</w:t>
      </w:r>
    </w:p>
    <w:p w14:paraId="318DCC8B" w14:textId="77777777" w:rsidR="00C34C28" w:rsidRDefault="00C34C28" w:rsidP="00C34C28">
      <w:pPr>
        <w:pStyle w:val="ab"/>
        <w:spacing w:before="62" w:after="62"/>
        <w:ind w:firstLine="482"/>
      </w:pPr>
      <w:r>
        <w:rPr>
          <w:rFonts w:hint="eastAsia"/>
        </w:rPr>
        <w:t>三、估值方法</w:t>
      </w:r>
    </w:p>
    <w:p w14:paraId="27ECAD7D" w14:textId="77777777" w:rsidR="00C34C28" w:rsidRDefault="00C34C28" w:rsidP="00C34C28">
      <w:pPr>
        <w:pStyle w:val="13"/>
      </w:pPr>
      <w:r>
        <w:rPr>
          <w:rFonts w:hint="eastAsia"/>
        </w:rPr>
        <w:t>基金管理人应当充分考虑市场参与者在选择估值方法时考虑的各种因素，并结合自己的判断，采用多种分属不同估值技术的方法对非上市股权进行估值。</w:t>
      </w:r>
    </w:p>
    <w:p w14:paraId="3DC868B4" w14:textId="77777777" w:rsidR="00C34C28" w:rsidRDefault="00C34C28" w:rsidP="00C34C28">
      <w:pPr>
        <w:pStyle w:val="13"/>
      </w:pPr>
      <w:r>
        <w:rPr>
          <w:rFonts w:hint="eastAsia"/>
        </w:rPr>
        <w:t>（一）市场法</w:t>
      </w:r>
    </w:p>
    <w:p w14:paraId="4C65A87E" w14:textId="77777777" w:rsidR="00C34C28" w:rsidRDefault="00C34C28" w:rsidP="00C34C28">
      <w:pPr>
        <w:pStyle w:val="13"/>
      </w:pPr>
      <w:r>
        <w:rPr>
          <w:rFonts w:hint="eastAsia"/>
        </w:rPr>
        <w:t>在</w:t>
      </w:r>
      <w:proofErr w:type="gramStart"/>
      <w:r>
        <w:rPr>
          <w:rFonts w:hint="eastAsia"/>
        </w:rPr>
        <w:t>估计非</w:t>
      </w:r>
      <w:proofErr w:type="gramEnd"/>
      <w:r>
        <w:rPr>
          <w:rFonts w:hint="eastAsia"/>
        </w:rPr>
        <w:t>上市股权的公允价值时，通常使用的市场法包括参考最近融资价格法、市场乘数法、行业指标法。</w:t>
      </w:r>
    </w:p>
    <w:p w14:paraId="72FDC136" w14:textId="77777777" w:rsidR="00C34C28" w:rsidRDefault="00C34C28" w:rsidP="00C34C28">
      <w:pPr>
        <w:pStyle w:val="13"/>
      </w:pPr>
      <w:r>
        <w:t>1、参考最近融资价格法</w:t>
      </w:r>
    </w:p>
    <w:p w14:paraId="0BEA33D9" w14:textId="77777777" w:rsidR="00C34C28" w:rsidRDefault="00C34C28" w:rsidP="00C34C28">
      <w:pPr>
        <w:pStyle w:val="13"/>
      </w:pPr>
      <w:r>
        <w:rPr>
          <w:rFonts w:hint="eastAsia"/>
        </w:rPr>
        <w:t>（</w:t>
      </w:r>
      <w:r>
        <w:t>1）基金管理人可采用被投资企业最近一次融资的价格</w:t>
      </w:r>
      <w:r>
        <w:rPr>
          <w:rFonts w:hint="eastAsia"/>
        </w:rPr>
        <w:t>对私募基金持有的非上市股权进行估值。由于初创企业通常尚未产生稳定的收入或利润，但融资活动一般比较频繁，因此参考最近融资价格法在此类企业的估值中应用较多。</w:t>
      </w:r>
    </w:p>
    <w:p w14:paraId="32D3CFCB" w14:textId="77777777" w:rsidR="00C34C28" w:rsidRDefault="00C34C28" w:rsidP="00C34C28">
      <w:pPr>
        <w:pStyle w:val="13"/>
      </w:pPr>
      <w:r>
        <w:rPr>
          <w:rFonts w:hint="eastAsia"/>
        </w:rPr>
        <w:t>（</w:t>
      </w:r>
      <w:r>
        <w:t>2）在运用参考最近融资价格法时，基金管理人应当对</w:t>
      </w:r>
      <w:r>
        <w:rPr>
          <w:rFonts w:hint="eastAsia"/>
        </w:rPr>
        <w:t>最近融资价格的公允性做出判断。如果没有主要的新投资人参与最近融资，或最近融资金额对被投资企业而言并不重大，或最近交易被认为是非有序交易（如被迫出售股权或对被投资企业陷入</w:t>
      </w:r>
      <w:r>
        <w:rPr>
          <w:rFonts w:hint="eastAsia"/>
        </w:rPr>
        <w:lastRenderedPageBreak/>
        <w:t>危机后的拯救性投资），则该融资价格一般不作为被投资企业公允价值的最佳估计使用。此外，基金管理人还应当结合最近融资的具体情况，考虑是否需要对影响最近融资价格公允性的因素进行调整，相关因素包括但不限于：</w:t>
      </w:r>
    </w:p>
    <w:p w14:paraId="02D76EEC" w14:textId="77777777" w:rsidR="00C34C28" w:rsidRDefault="00C34C28" w:rsidP="00C34C28">
      <w:pPr>
        <w:pStyle w:val="13"/>
      </w:pPr>
      <w:r>
        <w:rPr>
          <w:rFonts w:hint="eastAsia"/>
        </w:rPr>
        <w:t>①最近融资使用的权益工具与私募基金持有的非上市股权在权利和义务上是否相同；</w:t>
      </w:r>
    </w:p>
    <w:p w14:paraId="1DC714D9" w14:textId="77777777" w:rsidR="00C34C28" w:rsidRDefault="00C34C28" w:rsidP="00C34C28">
      <w:pPr>
        <w:pStyle w:val="13"/>
      </w:pPr>
      <w:r>
        <w:rPr>
          <w:rFonts w:hint="eastAsia"/>
        </w:rPr>
        <w:t>②被投资企业的关联方或</w:t>
      </w:r>
      <w:proofErr w:type="gramStart"/>
      <w:r>
        <w:rPr>
          <w:rFonts w:hint="eastAsia"/>
        </w:rPr>
        <w:t>其他第三</w:t>
      </w:r>
      <w:proofErr w:type="gramEnd"/>
      <w:r>
        <w:rPr>
          <w:rFonts w:hint="eastAsia"/>
        </w:rPr>
        <w:t>方是否为新投资人提供各种形式的投资回报担保；</w:t>
      </w:r>
    </w:p>
    <w:p w14:paraId="79779CC0" w14:textId="77777777" w:rsidR="00C34C28" w:rsidRDefault="00C34C28" w:rsidP="00C34C28">
      <w:pPr>
        <w:pStyle w:val="13"/>
      </w:pPr>
      <w:r>
        <w:rPr>
          <w:rFonts w:hint="eastAsia"/>
        </w:rPr>
        <w:t>③新投资人的投资是否造成对原股东的非等比例摊薄；</w:t>
      </w:r>
    </w:p>
    <w:p w14:paraId="7CC5735F" w14:textId="77777777" w:rsidR="00C34C28" w:rsidRDefault="00C34C28" w:rsidP="00C34C28">
      <w:pPr>
        <w:pStyle w:val="13"/>
      </w:pPr>
      <w:r>
        <w:rPr>
          <w:rFonts w:hint="eastAsia"/>
        </w:rPr>
        <w:t>④最近融资价格中是否包括了新投资人可实现的特定协同效应，或新投资人是否可享有某些特定投资条款，或新投资人除现金出资外是否还投入了其他有形或无形的资源。</w:t>
      </w:r>
    </w:p>
    <w:p w14:paraId="3DE80D01" w14:textId="77777777" w:rsidR="00C34C28" w:rsidRDefault="00C34C28" w:rsidP="00C34C28">
      <w:pPr>
        <w:pStyle w:val="13"/>
      </w:pPr>
      <w:r>
        <w:rPr>
          <w:rFonts w:hint="eastAsia"/>
        </w:rPr>
        <w:t>（</w:t>
      </w:r>
      <w:r>
        <w:t>3）特定情况下，伴随新发股权融资，被投资企业的现</w:t>
      </w:r>
      <w:r>
        <w:rPr>
          <w:rFonts w:hint="eastAsia"/>
        </w:rPr>
        <w:t>有股东会将其持有的一部分股权（以下简称“老股”）出售给新投资人，老股的出售价格往往与新发股权的价格不同。针对此价格差异，基金管理人需要分析差异形成的原因，如老股与新发股权是否对应了不同的权利和义务、是否面临着不同的限制，以及老股出售的动机等。基金管理人应当结合价格差异形成原因，综合考虑其他可用信息，合理确定公允价值的取值依据。</w:t>
      </w:r>
    </w:p>
    <w:p w14:paraId="0A47C532" w14:textId="77777777" w:rsidR="00C34C28" w:rsidRDefault="00C34C28" w:rsidP="00C34C28">
      <w:pPr>
        <w:pStyle w:val="13"/>
      </w:pPr>
      <w:r>
        <w:rPr>
          <w:rFonts w:hint="eastAsia"/>
        </w:rPr>
        <w:t>（</w:t>
      </w:r>
      <w:r>
        <w:t>4）估值</w:t>
      </w:r>
      <w:proofErr w:type="gramStart"/>
      <w:r>
        <w:t>日距离</w:t>
      </w:r>
      <w:proofErr w:type="gramEnd"/>
      <w:r>
        <w:t>融资完成的时间越久，最近融资价格的</w:t>
      </w:r>
      <w:r>
        <w:rPr>
          <w:rFonts w:hint="eastAsia"/>
        </w:rPr>
        <w:t>参考意义越弱。基金管理人在后续估值</w:t>
      </w:r>
      <w:proofErr w:type="gramStart"/>
      <w:r>
        <w:rPr>
          <w:rFonts w:hint="eastAsia"/>
        </w:rPr>
        <w:t>日运用</w:t>
      </w:r>
      <w:proofErr w:type="gramEnd"/>
      <w:r>
        <w:rPr>
          <w:rFonts w:hint="eastAsia"/>
        </w:rPr>
        <w:t>最近融资价格法时，应当根据市场情况及被投资企业自身情况的变化判断最近融资价格是否仍可作为公允价值的最佳估计。基金管理人在后续估值日通常需要对最近融资价格进行调整的情形包括但不限于：</w:t>
      </w:r>
    </w:p>
    <w:p w14:paraId="7E64BCDE" w14:textId="77777777" w:rsidR="00C34C28" w:rsidRDefault="00C34C28" w:rsidP="00C34C28">
      <w:pPr>
        <w:pStyle w:val="13"/>
      </w:pPr>
      <w:r>
        <w:rPr>
          <w:rFonts w:hint="eastAsia"/>
        </w:rPr>
        <w:t>①被投资企业的经营业绩与财务预算或预设业绩指标之间出现重大差异；</w:t>
      </w:r>
    </w:p>
    <w:p w14:paraId="79AE8934" w14:textId="77777777" w:rsidR="00C34C28" w:rsidRDefault="00C34C28" w:rsidP="00C34C28">
      <w:pPr>
        <w:pStyle w:val="13"/>
      </w:pPr>
      <w:r>
        <w:rPr>
          <w:rFonts w:hint="eastAsia"/>
        </w:rPr>
        <w:t>②被投资企业实现原定技术突破的预期发生了重大变化；</w:t>
      </w:r>
    </w:p>
    <w:p w14:paraId="37D29A22" w14:textId="77777777" w:rsidR="00C34C28" w:rsidRDefault="00C34C28" w:rsidP="00C34C28">
      <w:pPr>
        <w:pStyle w:val="13"/>
      </w:pPr>
      <w:r>
        <w:rPr>
          <w:rFonts w:hint="eastAsia"/>
        </w:rPr>
        <w:t>③被投资企业面对的宏观经济环境、市场竞争格局、产业政策等发生了重大变化；</w:t>
      </w:r>
    </w:p>
    <w:p w14:paraId="256FE923" w14:textId="77777777" w:rsidR="00C34C28" w:rsidRDefault="00C34C28" w:rsidP="00C34C28">
      <w:pPr>
        <w:pStyle w:val="13"/>
      </w:pPr>
      <w:r>
        <w:rPr>
          <w:rFonts w:hint="eastAsia"/>
        </w:rPr>
        <w:t>④被投资企业的主营业务或经营战略发生了重大变化；</w:t>
      </w:r>
    </w:p>
    <w:p w14:paraId="514FB4F0" w14:textId="77777777" w:rsidR="00C34C28" w:rsidRDefault="00C34C28" w:rsidP="00C34C28">
      <w:pPr>
        <w:pStyle w:val="13"/>
      </w:pPr>
      <w:r>
        <w:rPr>
          <w:rFonts w:hint="eastAsia"/>
        </w:rPr>
        <w:t>⑤被投资企业的可比公司的业绩或者市场估值水平出现重大变化；</w:t>
      </w:r>
    </w:p>
    <w:p w14:paraId="79DD3121" w14:textId="77777777" w:rsidR="00C34C28" w:rsidRDefault="00C34C28" w:rsidP="00C34C28">
      <w:pPr>
        <w:pStyle w:val="13"/>
      </w:pPr>
      <w:r>
        <w:rPr>
          <w:rFonts w:hint="eastAsia"/>
        </w:rPr>
        <w:t>⑥被投资企业内部发生欺诈、争议或诉讼等事件，管理层或核心技术人员发生重大变动。</w:t>
      </w:r>
    </w:p>
    <w:p w14:paraId="35B2A5F1" w14:textId="77777777" w:rsidR="00C34C28" w:rsidRDefault="00C34C28" w:rsidP="00C34C28">
      <w:pPr>
        <w:pStyle w:val="13"/>
      </w:pPr>
      <w:r>
        <w:rPr>
          <w:rFonts w:hint="eastAsia"/>
        </w:rPr>
        <w:t>（</w:t>
      </w:r>
      <w:r>
        <w:t>5）</w:t>
      </w:r>
      <w:proofErr w:type="gramStart"/>
      <w:r>
        <w:t>若基金</w:t>
      </w:r>
      <w:proofErr w:type="gramEnd"/>
      <w:r>
        <w:t>管理人因被投资企业在最近融资后发生了重</w:t>
      </w:r>
      <w:r>
        <w:rPr>
          <w:rFonts w:hint="eastAsia"/>
        </w:rPr>
        <w:t>大变化而判定最近融资价格无法直接作为公允价值的最佳估计，同时也无法找到合适的可比公司或可比交易案例以运用市场乘数法进行估值，基金管理人可以根据被投资企业主要业务指标自融资时点至估值日的变化，对最近融资价格进行调整。主要业务指标包括但不限于有代表性的财务指标、技术发展阶段、市场份额等，在选择主要业务指标时，应重点</w:t>
      </w:r>
      <w:r>
        <w:rPr>
          <w:rFonts w:hint="eastAsia"/>
        </w:rPr>
        <w:lastRenderedPageBreak/>
        <w:t>考虑被投资企业所处行业特点及其自身的特点，选择最能反映被投资企业价值变化的业务指标。</w:t>
      </w:r>
    </w:p>
    <w:p w14:paraId="2194D835" w14:textId="77777777" w:rsidR="00C34C28" w:rsidRDefault="00C34C28" w:rsidP="00C34C28">
      <w:pPr>
        <w:pStyle w:val="13"/>
      </w:pPr>
      <w:r>
        <w:t>2、市场乘数法</w:t>
      </w:r>
    </w:p>
    <w:p w14:paraId="663731EF" w14:textId="77777777" w:rsidR="00C34C28" w:rsidRDefault="00C34C28" w:rsidP="00C34C28">
      <w:pPr>
        <w:pStyle w:val="13"/>
      </w:pPr>
      <w:r>
        <w:rPr>
          <w:rFonts w:hint="eastAsia"/>
        </w:rPr>
        <w:t>（</w:t>
      </w:r>
      <w:r>
        <w:t>1）根据被投资企业的所处发展阶段和所属行业的不同，</w:t>
      </w:r>
      <w:r>
        <w:rPr>
          <w:rFonts w:hint="eastAsia"/>
        </w:rPr>
        <w:t>基金管理人可运用各种市场乘数（如市盈率、</w:t>
      </w:r>
      <w:proofErr w:type="gramStart"/>
      <w:r>
        <w:rPr>
          <w:rFonts w:hint="eastAsia"/>
        </w:rPr>
        <w:t>市净率</w:t>
      </w:r>
      <w:proofErr w:type="gramEnd"/>
      <w:r>
        <w:rPr>
          <w:rFonts w:hint="eastAsia"/>
        </w:rPr>
        <w:t>、企业价值</w:t>
      </w:r>
      <w:r>
        <w:t>/销售收入、企业价值/</w:t>
      </w:r>
      <w:proofErr w:type="gramStart"/>
      <w:r>
        <w:t>息税折摊前</w:t>
      </w:r>
      <w:proofErr w:type="gramEnd"/>
      <w:r>
        <w:t>利润等）对非上市股权进</w:t>
      </w:r>
      <w:r>
        <w:rPr>
          <w:rFonts w:hint="eastAsia"/>
        </w:rPr>
        <w:t>行估值。市场乘数法通常在被投资企业相对成熟，可产生持续的利润或收入的情况下使用。</w:t>
      </w:r>
    </w:p>
    <w:p w14:paraId="6E837F01" w14:textId="77777777" w:rsidR="00C34C28" w:rsidRDefault="00C34C28" w:rsidP="00C34C28">
      <w:pPr>
        <w:pStyle w:val="13"/>
      </w:pPr>
      <w:r>
        <w:rPr>
          <w:rFonts w:hint="eastAsia"/>
        </w:rPr>
        <w:t>（</w:t>
      </w:r>
      <w:r>
        <w:t>2）在运用市场乘数法时，基金管理人应当从市场参与</w:t>
      </w:r>
      <w:r>
        <w:rPr>
          <w:rFonts w:hint="eastAsia"/>
        </w:rPr>
        <w:t>者角度出发，参照下列步骤完成估值工作：</w:t>
      </w:r>
    </w:p>
    <w:p w14:paraId="45AC39C1" w14:textId="77777777" w:rsidR="00C34C28" w:rsidRDefault="00C34C28" w:rsidP="00C34C28">
      <w:pPr>
        <w:pStyle w:val="13"/>
      </w:pPr>
      <w:r>
        <w:rPr>
          <w:rFonts w:hint="eastAsia"/>
        </w:rPr>
        <w:t>①选择被投资企业可持续的财务指标（如利润、收入）为基础的市场乘数类型，查找在企业规模、风险状况和盈利增长潜力等方面与被投资企业相似的可比上市公司或可比交易案例，通过分析计算获得可比市场乘数，并将其与被投资企业相应的财务指标结合得到股东全部权益价值（调整前）或企业价值。</w:t>
      </w:r>
    </w:p>
    <w:p w14:paraId="7B308CA2" w14:textId="77777777" w:rsidR="00C34C28" w:rsidRDefault="00C34C28" w:rsidP="00C34C28">
      <w:pPr>
        <w:pStyle w:val="13"/>
      </w:pPr>
      <w:r>
        <w:rPr>
          <w:rFonts w:hint="eastAsia"/>
        </w:rPr>
        <w:t>②若市场乘数法计算结果为企业价值，基金管理人应当扣除企业价值中需要支付利息的债务，得到股东全部权益价值（调整前）。基金管理人应当在股东全部权益价值（调整前）基础上，针对被投资企业的溢</w:t>
      </w:r>
      <w:proofErr w:type="gramStart"/>
      <w:r>
        <w:rPr>
          <w:rFonts w:hint="eastAsia"/>
        </w:rPr>
        <w:t>余资产</w:t>
      </w:r>
      <w:proofErr w:type="gramEnd"/>
      <w:r>
        <w:rPr>
          <w:rFonts w:hint="eastAsia"/>
        </w:rPr>
        <w:t>或负债、或有事项、流动性、控制权、其他权益工具（如期权）可能产生的摊</w:t>
      </w:r>
      <w:proofErr w:type="gramStart"/>
      <w:r>
        <w:rPr>
          <w:rFonts w:hint="eastAsia"/>
        </w:rPr>
        <w:t>薄影响</w:t>
      </w:r>
      <w:proofErr w:type="gramEnd"/>
      <w:r>
        <w:rPr>
          <w:rFonts w:hint="eastAsia"/>
        </w:rPr>
        <w:t>及其他相关因素等进行调整，得到被投资企业的股东全部权益价值（调整后）。</w:t>
      </w:r>
    </w:p>
    <w:p w14:paraId="109015CB" w14:textId="77777777" w:rsidR="00C34C28" w:rsidRDefault="00C34C28" w:rsidP="00C34C28">
      <w:pPr>
        <w:pStyle w:val="13"/>
      </w:pPr>
      <w:r>
        <w:rPr>
          <w:rFonts w:hint="eastAsia"/>
        </w:rPr>
        <w:t>③如果被投资企业的股权结构复杂，各轮次股权的权利和义务存在明显区别，基金管理人应当采用合理方法将股东全部权益价值（调整后）分配至私募基金持有部分的股权。如果被投资企业的股权结构简单（即同股同权），则可按照私募基金的持股比例计算持有部分的股权价值。</w:t>
      </w:r>
    </w:p>
    <w:p w14:paraId="02A0D8CD" w14:textId="77777777" w:rsidR="00C34C28" w:rsidRDefault="00C34C28" w:rsidP="00C34C28">
      <w:pPr>
        <w:pStyle w:val="13"/>
      </w:pPr>
      <w:r>
        <w:rPr>
          <w:rFonts w:hint="eastAsia"/>
        </w:rPr>
        <w:t>（</w:t>
      </w:r>
      <w:r>
        <w:t>3）市场乘数的分子可以采用股东权益价值（股票市值</w:t>
      </w:r>
      <w:r>
        <w:rPr>
          <w:rFonts w:hint="eastAsia"/>
        </w:rPr>
        <w:t>或股权交易价格）或企业价值，基金管理人应当基于估值日的价格信息和相关财务信息得出，若估值日无相关信息，可采用距离估值日最近的信息并作一定的调整后进行计算。市场乘数的分母可采用特定时期的收入、利润等指标，也可以采用特定时点的净资产等指标，上述时期或时点指标可以是历史数据，也可采用预期数据。基金管理人应确保估值时采用的被投资企业的利润、收入或净资产等指标与市场乘数的分母在对应的时期或时点方面保持完全一致。</w:t>
      </w:r>
    </w:p>
    <w:p w14:paraId="6FA9F1F5" w14:textId="77777777" w:rsidR="00C34C28" w:rsidRPr="00FB3A5B" w:rsidRDefault="00C34C28" w:rsidP="00C34C28">
      <w:pPr>
        <w:pStyle w:val="13"/>
      </w:pPr>
      <w:r>
        <w:rPr>
          <w:rFonts w:hint="eastAsia"/>
        </w:rPr>
        <w:t>（</w:t>
      </w:r>
      <w:r>
        <w:t>4）在估值实践中各种市场乘数均有应用，如市盈率</w:t>
      </w:r>
      <w:r>
        <w:rPr>
          <w:rFonts w:hint="eastAsia"/>
        </w:rPr>
        <w:t>（</w:t>
      </w:r>
      <w:r>
        <w:t>P/E）、</w:t>
      </w:r>
      <w:proofErr w:type="gramStart"/>
      <w:r>
        <w:t>市净率</w:t>
      </w:r>
      <w:proofErr w:type="gramEnd"/>
      <w:r>
        <w:t>（P/B）、企业价值/销售收入（EV/Sales）、</w:t>
      </w:r>
      <w:r>
        <w:rPr>
          <w:rFonts w:hint="eastAsia"/>
        </w:rPr>
        <w:t>企业价值</w:t>
      </w:r>
      <w:r>
        <w:t>/</w:t>
      </w:r>
      <w:proofErr w:type="gramStart"/>
      <w:r>
        <w:t>息税折摊前</w:t>
      </w:r>
      <w:proofErr w:type="gramEnd"/>
      <w:r>
        <w:t>利润（EV/EBITDA）、企业价值/息税前</w:t>
      </w:r>
      <w:r>
        <w:rPr>
          <w:rFonts w:hint="eastAsia"/>
        </w:rPr>
        <w:t>利润（</w:t>
      </w:r>
      <w:r>
        <w:t>EV/EBIT）等。基金管理人应当从市场参与者角度出发，</w:t>
      </w:r>
      <w:r>
        <w:rPr>
          <w:rFonts w:hint="eastAsia"/>
        </w:rPr>
        <w:t>根据被投资企业的特点选择合适的市场乘数。</w:t>
      </w:r>
    </w:p>
    <w:p w14:paraId="65B43AC4" w14:textId="77777777" w:rsidR="00C34C28" w:rsidRDefault="00C34C28" w:rsidP="00C34C28">
      <w:pPr>
        <w:pStyle w:val="13"/>
      </w:pPr>
      <w:r>
        <w:rPr>
          <w:rFonts w:hint="eastAsia"/>
        </w:rPr>
        <w:t>（</w:t>
      </w:r>
      <w:r>
        <w:t>5）在使用各种市场乘数时，应当保证分子与分母的口</w:t>
      </w:r>
      <w:r>
        <w:rPr>
          <w:rFonts w:hint="eastAsia"/>
        </w:rPr>
        <w:t>径一致，如市盈率中的</w:t>
      </w:r>
      <w:r>
        <w:rPr>
          <w:rFonts w:hint="eastAsia"/>
        </w:rPr>
        <w:lastRenderedPageBreak/>
        <w:t>盈利指标应为归属于母公司的净利润，而非全部净利润；</w:t>
      </w:r>
      <w:proofErr w:type="gramStart"/>
      <w:r>
        <w:rPr>
          <w:rFonts w:hint="eastAsia"/>
        </w:rPr>
        <w:t>市净率</w:t>
      </w:r>
      <w:proofErr w:type="gramEnd"/>
      <w:r>
        <w:rPr>
          <w:rFonts w:hint="eastAsia"/>
        </w:rPr>
        <w:t>中的净资产应为归属于母公司的所有者</w:t>
      </w:r>
      <w:r>
        <w:t>权益，而非全部所有者权益。一般不采用市销率</w:t>
      </w:r>
      <w:r>
        <w:rPr>
          <w:rFonts w:hint="eastAsia"/>
        </w:rPr>
        <w:t>（</w:t>
      </w:r>
      <w:r>
        <w:t>P/Sales）、市值/</w:t>
      </w:r>
      <w:proofErr w:type="gramStart"/>
      <w:r>
        <w:t>息税折摊前</w:t>
      </w:r>
      <w:proofErr w:type="gramEnd"/>
      <w:r>
        <w:t>利润（P/EBITDA）、市值/息</w:t>
      </w:r>
      <w:r>
        <w:rPr>
          <w:rFonts w:hint="eastAsia"/>
        </w:rPr>
        <w:t>税前利润（</w:t>
      </w:r>
      <w:r>
        <w:t>P/EBIT）等市场乘数，除非可比公司或交易与被投</w:t>
      </w:r>
      <w:r>
        <w:rPr>
          <w:rFonts w:hint="eastAsia"/>
        </w:rPr>
        <w:t>资企业在财务杠杆和资本结构上非常接近。</w:t>
      </w:r>
    </w:p>
    <w:p w14:paraId="4E3F5E39" w14:textId="77777777" w:rsidR="00C34C28" w:rsidRDefault="00C34C28" w:rsidP="00C34C28">
      <w:pPr>
        <w:pStyle w:val="13"/>
      </w:pPr>
      <w:r>
        <w:rPr>
          <w:rFonts w:hint="eastAsia"/>
        </w:rPr>
        <w:t>（</w:t>
      </w:r>
      <w:r>
        <w:t>6）考虑到被投资企业可能存在不同的财务杠杆和资本</w:t>
      </w:r>
      <w:r>
        <w:rPr>
          <w:rFonts w:hint="eastAsia"/>
        </w:rPr>
        <w:t>结构，在</w:t>
      </w:r>
      <w:r>
        <w:t xml:space="preserve"> EV/EBITDA 适用的情况下，通常可考虑优先使用EV/EBITDA。在 EV/EBITDA 不适用的情况下，可考虑采用市盈</w:t>
      </w:r>
      <w:r>
        <w:rPr>
          <w:rFonts w:hint="eastAsia"/>
        </w:rPr>
        <w:t>率进行估值，但需要注意被投资企业应具有与可比公司或可比交易案例相似的财务杠杆和资本结构，并对净利润中包括的特殊事项导致的利润或亏损通常应进行正常化调整，同时考虑不同的实际税率对市盈率的影响。如果被投资企业尚未达到可产生可持续利润的阶段，基金管理人可以考虑采用销售收入市场乘数（</w:t>
      </w:r>
      <w:r>
        <w:t>EV/Sales），在确定被投资企业的收入指标时，可以考</w:t>
      </w:r>
      <w:r>
        <w:rPr>
          <w:rFonts w:hint="eastAsia"/>
        </w:rPr>
        <w:t>虑市场参与者收购被投资企业时可能实现的收入。</w:t>
      </w:r>
    </w:p>
    <w:p w14:paraId="700E958F" w14:textId="77777777" w:rsidR="00C34C28" w:rsidRPr="00FB3A5B" w:rsidRDefault="00C34C28" w:rsidP="00C34C28">
      <w:pPr>
        <w:pStyle w:val="13"/>
      </w:pPr>
      <w:r>
        <w:rPr>
          <w:rFonts w:hint="eastAsia"/>
        </w:rPr>
        <w:t>（</w:t>
      </w:r>
      <w:r>
        <w:t>7）市场乘数通常可通过分析计算可比上市公司或可比</w:t>
      </w:r>
      <w:r>
        <w:rPr>
          <w:rFonts w:hint="eastAsia"/>
        </w:rPr>
        <w:t>交易案例相关财务和价格信息获得。基金管理人应当关注通过可比上市公司和可比交易案例两种方式得到的市场乘数之间的差异并对其进行必要的调整，对于通过可比交易案例得到的市场乘数，在应用时应注意按照估值日与可比交易发生日市场情况的变化对其进行校准。</w:t>
      </w:r>
    </w:p>
    <w:p w14:paraId="7A8C7B84" w14:textId="77777777" w:rsidR="00C34C28" w:rsidRDefault="00C34C28" w:rsidP="00C34C28">
      <w:pPr>
        <w:pStyle w:val="13"/>
      </w:pPr>
      <w:r>
        <w:rPr>
          <w:rFonts w:hint="eastAsia"/>
        </w:rPr>
        <w:t>（</w:t>
      </w:r>
      <w:r>
        <w:t>8）基金管理人应充分考虑上市公司股票与非上市股权</w:t>
      </w:r>
      <w:r>
        <w:rPr>
          <w:rFonts w:hint="eastAsia"/>
        </w:rPr>
        <w:t>之间的流动性差异。对于通过可比上市公司得到的市场乘数，通常需要考虑一定的流动性折扣后才能将其应用于非上市股权估值。流动性折扣可通过经验研究数据或者看跌期权等模型，并结合非上市股权投资实际情况综合确定。</w:t>
      </w:r>
    </w:p>
    <w:p w14:paraId="7A6B7ECB" w14:textId="77777777" w:rsidR="00C34C28" w:rsidRDefault="00C34C28" w:rsidP="00C34C28">
      <w:pPr>
        <w:pStyle w:val="13"/>
      </w:pPr>
      <w:r>
        <w:rPr>
          <w:rFonts w:hint="eastAsia"/>
        </w:rPr>
        <w:t>（</w:t>
      </w:r>
      <w:r>
        <w:t>9）对市场乘数进行调整的其他因素包括企业规模和抗</w:t>
      </w:r>
      <w:r>
        <w:rPr>
          <w:rFonts w:hint="eastAsia"/>
        </w:rPr>
        <w:t>风险能力、利润增速、财务杠杆水平等。上述调整不应包括由于计量单位不一致导致的溢价和折扣，如大宗交易折扣。</w:t>
      </w:r>
    </w:p>
    <w:p w14:paraId="08EC3E17" w14:textId="77777777" w:rsidR="00C34C28" w:rsidRDefault="00C34C28" w:rsidP="00C34C28">
      <w:pPr>
        <w:pStyle w:val="13"/>
      </w:pPr>
      <w:r>
        <w:t>3、行业指标法</w:t>
      </w:r>
    </w:p>
    <w:p w14:paraId="6A16B412" w14:textId="77777777" w:rsidR="00C34C28" w:rsidRDefault="00C34C28" w:rsidP="00C34C28">
      <w:pPr>
        <w:pStyle w:val="13"/>
      </w:pPr>
      <w:r>
        <w:rPr>
          <w:rFonts w:hint="eastAsia"/>
        </w:rPr>
        <w:t>（</w:t>
      </w:r>
      <w:r>
        <w:t>1）行业指标法是指某些行业中存在特定的与公允价值</w:t>
      </w:r>
      <w:r>
        <w:rPr>
          <w:rFonts w:hint="eastAsia"/>
        </w:rPr>
        <w:t>直接相关的行业指标，此指标可作为被投资企业公允价值估值的参考依据。行业指标法通常只在有限的情况下运用，此方法一般被用于检验其他估值法得出的估值结论是否相对合理，而不作为主要的估值方法单独运用。</w:t>
      </w:r>
    </w:p>
    <w:p w14:paraId="04070DD4" w14:textId="77777777" w:rsidR="00C34C28" w:rsidRDefault="00C34C28" w:rsidP="00C34C28">
      <w:pPr>
        <w:pStyle w:val="13"/>
      </w:pPr>
      <w:r>
        <w:rPr>
          <w:rFonts w:hint="eastAsia"/>
        </w:rPr>
        <w:t>（</w:t>
      </w:r>
      <w:r>
        <w:t>2）并非所有行业的被投资企业都适用行业指标法，通</w:t>
      </w:r>
      <w:r>
        <w:rPr>
          <w:rFonts w:hint="eastAsia"/>
        </w:rPr>
        <w:t>常在行业发展比较成熟及行业内各企业差别较小的情况下，行业指标才更具代表意义。</w:t>
      </w:r>
    </w:p>
    <w:p w14:paraId="1DAA3816" w14:textId="77777777" w:rsidR="00C34C28" w:rsidRDefault="00C34C28" w:rsidP="00C34C28">
      <w:pPr>
        <w:pStyle w:val="13"/>
      </w:pPr>
      <w:r>
        <w:rPr>
          <w:rFonts w:hint="eastAsia"/>
        </w:rPr>
        <w:t>（二）收益法</w:t>
      </w:r>
    </w:p>
    <w:p w14:paraId="26367511" w14:textId="77777777" w:rsidR="00C34C28" w:rsidRPr="00FB3A5B" w:rsidRDefault="00C34C28" w:rsidP="00C34C28">
      <w:pPr>
        <w:pStyle w:val="13"/>
      </w:pPr>
      <w:r>
        <w:rPr>
          <w:rFonts w:hint="eastAsia"/>
        </w:rPr>
        <w:t>在</w:t>
      </w:r>
      <w:proofErr w:type="gramStart"/>
      <w:r>
        <w:rPr>
          <w:rFonts w:hint="eastAsia"/>
        </w:rPr>
        <w:t>估计非</w:t>
      </w:r>
      <w:proofErr w:type="gramEnd"/>
      <w:r>
        <w:rPr>
          <w:rFonts w:hint="eastAsia"/>
        </w:rPr>
        <w:t>上市股权的公允价值时，通常使用的收益法为现金流折现法。</w:t>
      </w:r>
    </w:p>
    <w:p w14:paraId="1235D52F" w14:textId="77777777" w:rsidR="00C34C28" w:rsidRDefault="00C34C28" w:rsidP="00C34C28">
      <w:pPr>
        <w:pStyle w:val="13"/>
      </w:pPr>
      <w:r>
        <w:t>1、基金管理人可采用合理的假设预测被投资企业未来现</w:t>
      </w:r>
      <w:r>
        <w:rPr>
          <w:rFonts w:hint="eastAsia"/>
        </w:rPr>
        <w:t>金流及预测期后的现金流终值，并采用合理的折现率将上述现金流及终值折现至估值</w:t>
      </w:r>
      <w:proofErr w:type="gramStart"/>
      <w:r>
        <w:rPr>
          <w:rFonts w:hint="eastAsia"/>
        </w:rPr>
        <w:t>日得到</w:t>
      </w:r>
      <w:proofErr w:type="gramEnd"/>
      <w:r>
        <w:rPr>
          <w:rFonts w:hint="eastAsia"/>
        </w:rPr>
        <w:t>被投资企业相</w:t>
      </w:r>
      <w:r>
        <w:rPr>
          <w:rFonts w:hint="eastAsia"/>
        </w:rPr>
        <w:lastRenderedPageBreak/>
        <w:t>应的企业价值，折现率的确定应当能够反映现金</w:t>
      </w:r>
      <w:proofErr w:type="gramStart"/>
      <w:r>
        <w:rPr>
          <w:rFonts w:hint="eastAsia"/>
        </w:rPr>
        <w:t>流预测</w:t>
      </w:r>
      <w:proofErr w:type="gramEnd"/>
      <w:r>
        <w:rPr>
          <w:rFonts w:hint="eastAsia"/>
        </w:rPr>
        <w:t>的内在风险。基金管理人还应参照市场乘数法中提及的调整或分配方法将企业价值调整至私募基金持有部分的股权价值。</w:t>
      </w:r>
    </w:p>
    <w:p w14:paraId="364034E8" w14:textId="77777777" w:rsidR="00C34C28" w:rsidRDefault="00C34C28" w:rsidP="00C34C28">
      <w:pPr>
        <w:pStyle w:val="13"/>
      </w:pPr>
      <w:r>
        <w:t>2、现金流折现法具有较高灵活性，在其他估值方法受限</w:t>
      </w:r>
      <w:r>
        <w:rPr>
          <w:rFonts w:hint="eastAsia"/>
        </w:rPr>
        <w:t>制之时仍可使用。</w:t>
      </w:r>
    </w:p>
    <w:p w14:paraId="583A7109" w14:textId="77777777" w:rsidR="00C34C28" w:rsidRDefault="00C34C28" w:rsidP="00C34C28">
      <w:pPr>
        <w:pStyle w:val="13"/>
      </w:pPr>
      <w:r>
        <w:t>3、基金管理人在确定此方法采用的财务预测、预测期后</w:t>
      </w:r>
      <w:r>
        <w:rPr>
          <w:rFonts w:hint="eastAsia"/>
        </w:rPr>
        <w:t>终值以及经过合理风险调整的折现率时，需要大量的主观判断，折现结果对上述输入值的变化较为敏感，因此，现金流折现法的结果易受各种因素干扰。特别是当被投资企业处于初创、持续亏损、战略转型、扭亏为盈、财务困境等阶段时，基金管理人通常难以对被投资企业的现金流进行可靠预测，应当谨慎评估运用现金流折现法的估值风险。</w:t>
      </w:r>
    </w:p>
    <w:p w14:paraId="550F4E6B" w14:textId="77777777" w:rsidR="00C34C28" w:rsidRDefault="00C34C28" w:rsidP="00C34C28">
      <w:pPr>
        <w:pStyle w:val="13"/>
      </w:pPr>
      <w:r>
        <w:rPr>
          <w:rFonts w:hint="eastAsia"/>
        </w:rPr>
        <w:t>（三）成本法</w:t>
      </w:r>
    </w:p>
    <w:p w14:paraId="47404B24" w14:textId="77777777" w:rsidR="00C34C28" w:rsidRDefault="00C34C28" w:rsidP="00C34C28">
      <w:pPr>
        <w:pStyle w:val="13"/>
      </w:pPr>
      <w:r>
        <w:rPr>
          <w:rFonts w:hint="eastAsia"/>
        </w:rPr>
        <w:t>在</w:t>
      </w:r>
      <w:proofErr w:type="gramStart"/>
      <w:r>
        <w:rPr>
          <w:rFonts w:hint="eastAsia"/>
        </w:rPr>
        <w:t>估计非</w:t>
      </w:r>
      <w:proofErr w:type="gramEnd"/>
      <w:r>
        <w:rPr>
          <w:rFonts w:hint="eastAsia"/>
        </w:rPr>
        <w:t>上市股权的公允价值时，通常使用的成本法为净资产法。</w:t>
      </w:r>
    </w:p>
    <w:p w14:paraId="088F8FFB" w14:textId="77777777" w:rsidR="00C34C28" w:rsidRDefault="00C34C28" w:rsidP="00C34C28">
      <w:pPr>
        <w:pStyle w:val="13"/>
      </w:pPr>
      <w:r>
        <w:t>1、基金管理人可使用适当的方法分别估计被投资企业的</w:t>
      </w:r>
      <w:r>
        <w:rPr>
          <w:rFonts w:hint="eastAsia"/>
        </w:rPr>
        <w:t>各项资产和负债的公允价值（在适用的情况下需要对溢</w:t>
      </w:r>
      <w:proofErr w:type="gramStart"/>
      <w:r>
        <w:rPr>
          <w:rFonts w:hint="eastAsia"/>
        </w:rPr>
        <w:t>余资产</w:t>
      </w:r>
      <w:proofErr w:type="gramEnd"/>
      <w:r>
        <w:rPr>
          <w:rFonts w:hint="eastAsia"/>
        </w:rPr>
        <w:t>和负债、或有事项、流动性、控制权及其他相关因素进行调整</w:t>
      </w:r>
      <w:r>
        <w:t>)，综合考虑后得到股东全部权益价值，进而得到私募基金</w:t>
      </w:r>
      <w:r>
        <w:rPr>
          <w:rFonts w:hint="eastAsia"/>
        </w:rPr>
        <w:t>持有部分的股权价值。如果被投资企业股权结构复杂，基金管理人还应参照市场乘数法中提及的分配方法得到持有部分的股权价值。</w:t>
      </w:r>
    </w:p>
    <w:p w14:paraId="069332E1" w14:textId="77777777" w:rsidR="00C34C28" w:rsidRPr="00FB3A5B" w:rsidRDefault="00C34C28" w:rsidP="00C34C28">
      <w:pPr>
        <w:pStyle w:val="13"/>
      </w:pPr>
      <w:r>
        <w:t>2、净资产法适用于企业的价值主要来源于其占有的资产</w:t>
      </w:r>
      <w:r>
        <w:rPr>
          <w:rFonts w:hint="eastAsia"/>
        </w:rPr>
        <w:t>的情况，如重资产型的企业或者投资控股企业。此外，此方法也可以用于经营情况不佳，可能面临清算的被投资企业。</w:t>
      </w:r>
    </w:p>
    <w:p w14:paraId="58139909" w14:textId="77777777" w:rsidR="00C34C28" w:rsidRPr="00FB3A5B" w:rsidRDefault="00C34C28" w:rsidP="00AF7342">
      <w:pPr>
        <w:pStyle w:val="a9"/>
        <w:spacing w:before="62" w:after="62"/>
      </w:pPr>
      <w:r>
        <w:rPr>
          <w:rFonts w:hint="eastAsia"/>
        </w:rPr>
        <w:t>《私募投资基金非上市股权投资估值指引（试行）》起草说明</w:t>
      </w:r>
    </w:p>
    <w:p w14:paraId="02E2CA10" w14:textId="77777777" w:rsidR="00C34C28" w:rsidRDefault="00C34C28" w:rsidP="00C34C28">
      <w:pPr>
        <w:pStyle w:val="ab"/>
        <w:spacing w:before="62" w:after="62"/>
        <w:ind w:firstLine="482"/>
      </w:pPr>
      <w:r>
        <w:rPr>
          <w:rFonts w:hint="eastAsia"/>
        </w:rPr>
        <w:t>一、起草背景</w:t>
      </w:r>
    </w:p>
    <w:p w14:paraId="516E687B" w14:textId="77777777" w:rsidR="00C34C28" w:rsidRDefault="00C34C28" w:rsidP="00C34C28">
      <w:pPr>
        <w:pStyle w:val="13"/>
      </w:pPr>
      <w:r>
        <w:t>2017年3月，财政部修订了《企业会计准则第22号——</w:t>
      </w:r>
      <w:r>
        <w:rPr>
          <w:rFonts w:hint="eastAsia"/>
        </w:rPr>
        <w:t>金融工具确认和计量》，修订后的准则将对私募基金投资非上市股权的确认和计量产生重大影响，特别是在估值方面提出了更高的要求，修订后的准则将从</w:t>
      </w:r>
      <w:r>
        <w:t>2018年1月1日至2021年1</w:t>
      </w:r>
      <w:r>
        <w:rPr>
          <w:rFonts w:hint="eastAsia"/>
        </w:rPr>
        <w:t>月</w:t>
      </w:r>
      <w:r>
        <w:t>1日逐步开始执行。截至目前，私募基金投资非上市股权仍</w:t>
      </w:r>
      <w:r>
        <w:rPr>
          <w:rFonts w:hint="eastAsia"/>
        </w:rPr>
        <w:t>缺乏统一的估值标准，私募基金管理人在估值实践中使用各种不同的操作方式，估值水平良莠不齐。</w:t>
      </w:r>
    </w:p>
    <w:p w14:paraId="13AB1805" w14:textId="77777777" w:rsidR="00C34C28" w:rsidRDefault="00C34C28" w:rsidP="00C34C28">
      <w:pPr>
        <w:pStyle w:val="13"/>
      </w:pPr>
      <w:r>
        <w:rPr>
          <w:rFonts w:hint="eastAsia"/>
        </w:rPr>
        <w:t>为引导私募投资基金非上市股权投资专业化估值，完善资产管理行业估值标准体系，促进私募基金行业健康发展，保护基金持有人利益，协会结合私募基金现有的运作管理及信息披露规范，参考《企业会计准则》及《国际私募股权和风险投资基金估值指引（</w:t>
      </w:r>
      <w:r>
        <w:t>International Private Equity and Venture</w:t>
      </w:r>
      <w:r>
        <w:rPr>
          <w:rFonts w:hint="eastAsia"/>
        </w:rPr>
        <w:t xml:space="preserve"> </w:t>
      </w:r>
      <w:r>
        <w:t>Capital Valuation Guidelines）》（2015年12 月版），起</w:t>
      </w:r>
      <w:r>
        <w:rPr>
          <w:rFonts w:hint="eastAsia"/>
        </w:rPr>
        <w:t>草了《私募投资基金非上市股权投资估值指引（试行）》（以下简称《指引》）。</w:t>
      </w:r>
    </w:p>
    <w:p w14:paraId="25C5406D" w14:textId="77777777" w:rsidR="00C34C28" w:rsidRDefault="00C34C28" w:rsidP="00C34C28">
      <w:pPr>
        <w:pStyle w:val="ab"/>
        <w:spacing w:before="62" w:after="62"/>
        <w:ind w:firstLine="482"/>
      </w:pPr>
      <w:r>
        <w:rPr>
          <w:rFonts w:hint="eastAsia"/>
        </w:rPr>
        <w:lastRenderedPageBreak/>
        <w:t>二、《指引》的主要内容</w:t>
      </w:r>
    </w:p>
    <w:p w14:paraId="1B454973" w14:textId="77777777" w:rsidR="00C34C28" w:rsidRDefault="00C34C28" w:rsidP="00C34C28">
      <w:pPr>
        <w:pStyle w:val="13"/>
      </w:pPr>
      <w:r>
        <w:rPr>
          <w:rFonts w:hint="eastAsia"/>
        </w:rPr>
        <w:t>《指引》包括总则、估值原则、估值方法三部分内容，主要内容如下：</w:t>
      </w:r>
    </w:p>
    <w:p w14:paraId="4C1F8EED" w14:textId="77777777" w:rsidR="00C34C28" w:rsidRDefault="00C34C28" w:rsidP="00C34C28">
      <w:pPr>
        <w:pStyle w:val="13"/>
        <w:ind w:firstLine="482"/>
      </w:pPr>
      <w:r w:rsidRPr="00FB3A5B">
        <w:rPr>
          <w:rFonts w:hint="eastAsia"/>
          <w:b/>
          <w:bCs/>
        </w:rPr>
        <w:t>（一）明确指引的适用范围。</w:t>
      </w:r>
      <w:r>
        <w:rPr>
          <w:rFonts w:hint="eastAsia"/>
        </w:rPr>
        <w:t>《指引》总则第二条明确了《指引》中所称私募基金的范围。《指引》总则第三条规定，私募基金对未上市企业进行的股权投资适用于本《指引》，对于已在全国中小企业股份转让系统挂牌但交易不活跃的企业，可参考执行。</w:t>
      </w:r>
    </w:p>
    <w:p w14:paraId="71BB053E" w14:textId="77777777" w:rsidR="00C34C28" w:rsidRDefault="00C34C28" w:rsidP="00C34C28">
      <w:pPr>
        <w:pStyle w:val="13"/>
        <w:ind w:firstLine="482"/>
      </w:pPr>
      <w:r w:rsidRPr="00FB3A5B">
        <w:rPr>
          <w:rFonts w:hint="eastAsia"/>
          <w:b/>
          <w:bCs/>
        </w:rPr>
        <w:t>（二）强化估值主体责任</w:t>
      </w:r>
      <w:r>
        <w:rPr>
          <w:rFonts w:hint="eastAsia"/>
        </w:rPr>
        <w:t>。《指引》总则第六条规定，私募基金管理人作为估值的第一责任人，应当对估值过程中采用的估值方法和估值参数承担管理层责任，并定期对估值结论进行检验，防范可能出现的重大偏差。</w:t>
      </w:r>
    </w:p>
    <w:p w14:paraId="2EC511FD" w14:textId="77777777" w:rsidR="00C34C28" w:rsidRDefault="00C34C28" w:rsidP="00C34C28">
      <w:pPr>
        <w:pStyle w:val="13"/>
        <w:ind w:firstLine="482"/>
      </w:pPr>
      <w:r w:rsidRPr="00FB3A5B">
        <w:rPr>
          <w:rFonts w:hint="eastAsia"/>
          <w:b/>
          <w:bCs/>
        </w:rPr>
        <w:t>（三）保持估值技术的一致性。</w:t>
      </w:r>
      <w:r>
        <w:rPr>
          <w:rFonts w:hint="eastAsia"/>
        </w:rPr>
        <w:t>《指引》估值原则第一条规定，基金管理人应当在估值</w:t>
      </w:r>
      <w:proofErr w:type="gramStart"/>
      <w:r>
        <w:rPr>
          <w:rFonts w:hint="eastAsia"/>
        </w:rPr>
        <w:t>日估计</w:t>
      </w:r>
      <w:proofErr w:type="gramEnd"/>
      <w:r>
        <w:rPr>
          <w:rFonts w:hint="eastAsia"/>
        </w:rPr>
        <w:t>各单项投资的公允价值，具有相同资产特征的投资每个估值</w:t>
      </w:r>
      <w:proofErr w:type="gramStart"/>
      <w:r>
        <w:rPr>
          <w:rFonts w:hint="eastAsia"/>
        </w:rPr>
        <w:t>日采用</w:t>
      </w:r>
      <w:proofErr w:type="gramEnd"/>
      <w:r>
        <w:rPr>
          <w:rFonts w:hint="eastAsia"/>
        </w:rPr>
        <w:t>的估值技术应当保持一致。只有在变更估值技术或其应用能使计量结果在当前情况下同样或者更能代表公允价值的情况下</w:t>
      </w:r>
      <w:r>
        <w:t>, 基金管理人方可采用</w:t>
      </w:r>
      <w:r>
        <w:rPr>
          <w:rFonts w:hint="eastAsia"/>
        </w:rPr>
        <w:t>不同的估值技术，并依据相关法律法规、会计准则及自律规则进行信息披露。</w:t>
      </w:r>
    </w:p>
    <w:p w14:paraId="594FD121" w14:textId="77777777" w:rsidR="00C34C28" w:rsidRDefault="00C34C28" w:rsidP="00C34C28">
      <w:pPr>
        <w:pStyle w:val="13"/>
        <w:ind w:firstLine="482"/>
      </w:pPr>
      <w:r w:rsidRPr="00FB3A5B">
        <w:rPr>
          <w:rFonts w:hint="eastAsia"/>
          <w:b/>
          <w:bCs/>
        </w:rPr>
        <w:t>（四）强调公允价值估值原则。</w:t>
      </w:r>
      <w:r>
        <w:rPr>
          <w:rFonts w:hint="eastAsia"/>
        </w:rPr>
        <w:t>《指引》估值原则第三条规定，基金管理人在确定非上市股权的公允价值时，应当遵循实质重于形式的原则。</w:t>
      </w:r>
    </w:p>
    <w:p w14:paraId="6616BDFF" w14:textId="77777777" w:rsidR="00C34C28" w:rsidRDefault="00C34C28" w:rsidP="00C34C28">
      <w:pPr>
        <w:pStyle w:val="13"/>
        <w:ind w:firstLine="482"/>
      </w:pPr>
      <w:r w:rsidRPr="00FB3A5B">
        <w:rPr>
          <w:rFonts w:hint="eastAsia"/>
          <w:b/>
          <w:bCs/>
        </w:rPr>
        <w:t>（五）设定非上市股权估值的假设前提。</w:t>
      </w:r>
      <w:r>
        <w:rPr>
          <w:rFonts w:hint="eastAsia"/>
        </w:rPr>
        <w:t>《指引》估值原则第四条规定，在</w:t>
      </w:r>
      <w:proofErr w:type="gramStart"/>
      <w:r>
        <w:rPr>
          <w:rFonts w:hint="eastAsia"/>
        </w:rPr>
        <w:t>估计非</w:t>
      </w:r>
      <w:proofErr w:type="gramEnd"/>
      <w:r>
        <w:rPr>
          <w:rFonts w:hint="eastAsia"/>
        </w:rPr>
        <w:t>上市股权公允价值时，基金管理人应假定估值日发生了出售该股权的交易，并以此假定交易的价格为基础计量该股权的公允价值。</w:t>
      </w:r>
    </w:p>
    <w:p w14:paraId="1183C5C4" w14:textId="77777777" w:rsidR="00C34C28" w:rsidRDefault="00C34C28" w:rsidP="00C34C28">
      <w:pPr>
        <w:pStyle w:val="13"/>
        <w:ind w:firstLine="482"/>
      </w:pPr>
      <w:r w:rsidRPr="00FB3A5B">
        <w:rPr>
          <w:rFonts w:hint="eastAsia"/>
          <w:b/>
          <w:bCs/>
        </w:rPr>
        <w:t>（六）指出使用估值技术的综合考虑因素。</w:t>
      </w:r>
      <w:r>
        <w:rPr>
          <w:rFonts w:hint="eastAsia"/>
        </w:rPr>
        <w:t>《指引》估值原则第五条、第六条和第七条规定，私募基金管理人应从估值对象和相关市场情况出发，并考虑不同轮次股权之间权利和义务的区别，选择使用多种分属不同估值技术的方法，也可以选择情景分析的方法综合运用多种估值技术。</w:t>
      </w:r>
    </w:p>
    <w:p w14:paraId="0746B9C9" w14:textId="77777777" w:rsidR="00C34C28" w:rsidRDefault="00C34C28" w:rsidP="00C34C28">
      <w:pPr>
        <w:pStyle w:val="13"/>
        <w:ind w:firstLine="482"/>
      </w:pPr>
      <w:r w:rsidRPr="00FB3A5B">
        <w:rPr>
          <w:rFonts w:hint="eastAsia"/>
          <w:b/>
          <w:bCs/>
        </w:rPr>
        <w:t>（七）规定估值的反向检验。</w:t>
      </w:r>
      <w:r>
        <w:rPr>
          <w:rFonts w:hint="eastAsia"/>
        </w:rPr>
        <w:t>《指引》估值原则第八条规定了估值反向检验，私募基金管理人需要关注并分析非上市股权投资的退出价格与持有期间估计的公允价值之间存在的重大差异。</w:t>
      </w:r>
    </w:p>
    <w:p w14:paraId="3F5215BB" w14:textId="77777777" w:rsidR="00C34C28" w:rsidRDefault="00C34C28" w:rsidP="00C34C28">
      <w:pPr>
        <w:pStyle w:val="13"/>
        <w:ind w:firstLine="482"/>
      </w:pPr>
      <w:r w:rsidRPr="00FB3A5B">
        <w:rPr>
          <w:rFonts w:hint="eastAsia"/>
          <w:b/>
          <w:bCs/>
        </w:rPr>
        <w:t>（八）提出五种具体估值方法、适用场景及应用指南</w:t>
      </w:r>
      <w:r>
        <w:rPr>
          <w:rFonts w:hint="eastAsia"/>
        </w:rPr>
        <w:t>。《指引》估值方法提出了私募基金在对非上市股权进行估值时通常采用的五种估值方法，其中，参考最近融资价格法、市场乘数法、行业指标法属于市场法，现金流折现法属于收益法，净资产法属于成本法。参考最近融资价格法通常适用于尚未产生稳定收入或利润的早期创业企业；市场乘数法通常适用于可产生持续利润或收入的相对成熟企业；行业指标法通常适用于行业发展比较成熟及行业内各企业差别较小的情况；净资产法通常适用于企业的价值主要来源于其占有的资产的情况；现金流折现法较为灵活，在其他估值方法受限时仍可使用。此外，《指引》详细阐述了针对可能导致各估值方法未被正确使</w:t>
      </w:r>
      <w:r>
        <w:rPr>
          <w:rFonts w:hint="eastAsia"/>
        </w:rPr>
        <w:lastRenderedPageBreak/>
        <w:t>用的各种情况以及估值实践中需要考虑的其他各种因素。</w:t>
      </w:r>
    </w:p>
    <w:p w14:paraId="4B188C3C" w14:textId="77777777" w:rsidR="00C34C28" w:rsidRDefault="00C34C28" w:rsidP="00C34C28">
      <w:pPr>
        <w:pStyle w:val="13"/>
        <w:ind w:firstLine="482"/>
      </w:pPr>
      <w:r w:rsidRPr="00FB3A5B">
        <w:rPr>
          <w:rFonts w:hint="eastAsia"/>
          <w:b/>
          <w:bCs/>
        </w:rPr>
        <w:t>（九）中国市场特定情况相关考虑。</w:t>
      </w:r>
      <w:r>
        <w:rPr>
          <w:rFonts w:hint="eastAsia"/>
        </w:rPr>
        <w:t>《指引》估值方法第一条第一款第三项规定，对于老股出售价格与新发股权价格不一致的问题，基金管理人需要分析差异形成的原因，综合考虑其他可用信息，合理确定公允价值的取值依据。</w:t>
      </w:r>
    </w:p>
    <w:p w14:paraId="5E30DA6B" w14:textId="69114698" w:rsidR="00F24348" w:rsidRPr="00B65C82" w:rsidRDefault="003252FA" w:rsidP="003252FA">
      <w:pPr>
        <w:pStyle w:val="31"/>
        <w:spacing w:before="156" w:after="62"/>
      </w:pPr>
      <w:bookmarkStart w:id="102" w:name="_Toc81833365"/>
      <w:r>
        <w:rPr>
          <w:rFonts w:hint="eastAsia"/>
        </w:rPr>
        <w:t>道</w:t>
      </w:r>
      <w:r w:rsidRPr="003252FA">
        <w:rPr>
          <w:rFonts w:hint="eastAsia"/>
        </w:rPr>
        <w:t>路运输物流企业授信额度评估咨询操作指引（试行）（</w:t>
      </w:r>
      <w:proofErr w:type="gramStart"/>
      <w:r w:rsidRPr="003252FA">
        <w:rPr>
          <w:rFonts w:hint="eastAsia"/>
        </w:rPr>
        <w:t>中评协</w:t>
      </w:r>
      <w:proofErr w:type="gramEnd"/>
      <w:r w:rsidRPr="003252FA">
        <w:rPr>
          <w:rFonts w:hint="eastAsia"/>
        </w:rPr>
        <w:t>〔</w:t>
      </w:r>
      <w:r w:rsidRPr="003252FA">
        <w:t>2019〕37号）</w:t>
      </w:r>
      <w:bookmarkEnd w:id="102"/>
    </w:p>
    <w:p w14:paraId="42E01AB0" w14:textId="77777777" w:rsidR="003252FA" w:rsidRDefault="003252FA" w:rsidP="003252FA">
      <w:pPr>
        <w:pStyle w:val="13"/>
        <w:ind w:firstLineChars="0" w:firstLine="0"/>
      </w:pPr>
      <w:r>
        <w:rPr>
          <w:rFonts w:hint="eastAsia"/>
        </w:rPr>
        <w:t>各省、自治区、直辖市、计划单列市资产评估协会（注册会计师协会）：</w:t>
      </w:r>
    </w:p>
    <w:p w14:paraId="56C40034" w14:textId="19985723" w:rsidR="003252FA" w:rsidRDefault="003252FA" w:rsidP="003252FA">
      <w:pPr>
        <w:pStyle w:val="13"/>
      </w:pPr>
      <w:r>
        <w:rPr>
          <w:rFonts w:hint="eastAsia"/>
        </w:rPr>
        <w:t>为服务普惠金融，指导资产评估机构执行道路运输物流企业授信额度评估咨询业务</w:t>
      </w:r>
      <w:r w:rsidR="003068F8">
        <w:rPr>
          <w:rFonts w:hint="eastAsia"/>
        </w:rPr>
        <w:t>，</w:t>
      </w:r>
      <w:r>
        <w:t>中国资产评估协会根据相关法律法规，参考《资产评估执业准则—企业价值》，制定了</w:t>
      </w:r>
      <w:r>
        <w:rPr>
          <w:rFonts w:hint="eastAsia"/>
        </w:rPr>
        <w:t>《道路运输物流企业授信额度评估咨询操作指引（试行）》，</w:t>
      </w:r>
      <w:proofErr w:type="gramStart"/>
      <w:r>
        <w:rPr>
          <w:rFonts w:hint="eastAsia"/>
        </w:rPr>
        <w:t>供资产</w:t>
      </w:r>
      <w:proofErr w:type="gramEnd"/>
      <w:r>
        <w:rPr>
          <w:rFonts w:hint="eastAsia"/>
        </w:rPr>
        <w:t>评估机构执行道路运输物流企业授信额度评估咨询业务时参考，现予印发，自</w:t>
      </w:r>
      <w:r>
        <w:t xml:space="preserve"> 2020</w:t>
      </w:r>
      <w:r w:rsidR="003068F8">
        <w:t>年</w:t>
      </w:r>
      <w:r>
        <w:t>1</w:t>
      </w:r>
      <w:r w:rsidR="003068F8">
        <w:t>月</w:t>
      </w:r>
      <w:r>
        <w:t>1</w:t>
      </w:r>
      <w:r w:rsidR="003068F8">
        <w:t>日</w:t>
      </w:r>
      <w:r>
        <w:t>起试行。 请各地</w:t>
      </w:r>
      <w:proofErr w:type="gramStart"/>
      <w:r>
        <w:t>方协会</w:t>
      </w:r>
      <w:proofErr w:type="gramEnd"/>
      <w:r>
        <w:t>将《道路运输物流企业授信额度评估咨询操作指引（试行）》及时转发</w:t>
      </w:r>
    </w:p>
    <w:p w14:paraId="3848C061" w14:textId="77777777" w:rsidR="003252FA" w:rsidRDefault="003252FA" w:rsidP="003252FA">
      <w:pPr>
        <w:pStyle w:val="13"/>
      </w:pPr>
      <w:r>
        <w:rPr>
          <w:rFonts w:hint="eastAsia"/>
        </w:rPr>
        <w:t>资产评估机构，组织学习和培训，并将执行过程中发现的问题及时上报中国资产评估协会。</w:t>
      </w:r>
    </w:p>
    <w:p w14:paraId="5A091BE2" w14:textId="77777777" w:rsidR="003252FA" w:rsidRDefault="003252FA" w:rsidP="003252FA">
      <w:pPr>
        <w:pStyle w:val="13"/>
      </w:pPr>
      <w:r>
        <w:rPr>
          <w:rFonts w:hint="eastAsia"/>
        </w:rPr>
        <w:t>附件：道路运输物流企业授信额度评估咨询操作指引（试行）</w:t>
      </w:r>
    </w:p>
    <w:p w14:paraId="2A7F945B" w14:textId="77777777" w:rsidR="003252FA" w:rsidRDefault="003252FA" w:rsidP="003252FA">
      <w:pPr>
        <w:pStyle w:val="13"/>
        <w:jc w:val="right"/>
      </w:pPr>
      <w:r>
        <w:rPr>
          <w:rFonts w:hint="eastAsia"/>
        </w:rPr>
        <w:t>中国资产评估协会</w:t>
      </w:r>
    </w:p>
    <w:p w14:paraId="7B6B2612" w14:textId="7166249F" w:rsidR="003252FA" w:rsidRDefault="003252FA" w:rsidP="003252FA">
      <w:pPr>
        <w:pStyle w:val="13"/>
        <w:jc w:val="right"/>
      </w:pPr>
      <w:r>
        <w:t>2019</w:t>
      </w:r>
      <w:r w:rsidR="003068F8">
        <w:t>年</w:t>
      </w:r>
      <w:r>
        <w:t>12</w:t>
      </w:r>
      <w:r w:rsidR="003068F8">
        <w:t>月</w:t>
      </w:r>
      <w:r>
        <w:t>6</w:t>
      </w:r>
      <w:r w:rsidR="003068F8">
        <w:t>日</w:t>
      </w:r>
    </w:p>
    <w:p w14:paraId="755AEAD3" w14:textId="77777777" w:rsidR="003252FA" w:rsidRDefault="003252FA" w:rsidP="00AF7342">
      <w:pPr>
        <w:pStyle w:val="a9"/>
        <w:spacing w:before="62" w:after="62"/>
      </w:pPr>
      <w:r>
        <w:rPr>
          <w:rFonts w:hint="eastAsia"/>
        </w:rPr>
        <w:t>道路运输物流企业授信额度</w:t>
      </w:r>
      <w:r>
        <w:t xml:space="preserve"> 评估咨询操作指引（试行）</w:t>
      </w:r>
    </w:p>
    <w:p w14:paraId="3BEF84C2" w14:textId="77777777" w:rsidR="003252FA" w:rsidRDefault="003252FA" w:rsidP="00AF7342">
      <w:pPr>
        <w:pStyle w:val="a9"/>
        <w:spacing w:before="62" w:after="62"/>
      </w:pPr>
      <w:r>
        <w:rPr>
          <w:rFonts w:hint="eastAsia"/>
        </w:rPr>
        <w:t>第一章</w:t>
      </w:r>
      <w:r>
        <w:t xml:space="preserve"> 总则</w:t>
      </w:r>
    </w:p>
    <w:p w14:paraId="6EC4D3BA" w14:textId="3F8C9939" w:rsidR="003252FA" w:rsidRDefault="004E3EBB" w:rsidP="003252FA">
      <w:pPr>
        <w:pStyle w:val="13"/>
        <w:ind w:firstLine="482"/>
      </w:pPr>
      <w:r w:rsidRPr="004E3EBB">
        <w:rPr>
          <w:rFonts w:hint="eastAsia"/>
          <w:b/>
        </w:rPr>
        <w:t xml:space="preserve">第一条 </w:t>
      </w:r>
      <w:r w:rsidR="003252FA">
        <w:t>为指导道路运输物流企业授信额度评估咨询行为，参考《资产评估执业准则—企业价值》，制定本操作指引。</w:t>
      </w:r>
    </w:p>
    <w:p w14:paraId="0FFB6AD4" w14:textId="434FF6CF" w:rsidR="003252FA" w:rsidRDefault="004E3EBB" w:rsidP="003252FA">
      <w:pPr>
        <w:pStyle w:val="13"/>
        <w:ind w:firstLine="482"/>
      </w:pPr>
      <w:r w:rsidRPr="004E3EBB">
        <w:rPr>
          <w:rFonts w:hint="eastAsia"/>
          <w:b/>
        </w:rPr>
        <w:t xml:space="preserve">第二条 </w:t>
      </w:r>
      <w:r w:rsidR="003252FA">
        <w:t>本操作指引所称道路运输物流企业，是指从事公路运输（</w:t>
      </w:r>
      <w:proofErr w:type="gramStart"/>
      <w:r w:rsidR="003252FA">
        <w:t>含运输</w:t>
      </w:r>
      <w:proofErr w:type="gramEnd"/>
      <w:r w:rsidR="003252FA">
        <w:t>代理、货运快递），能够按照客户物流需求对运输、储存、装卸、包装、流通加工、配送等进行组织和管理，具有与自身业务相适应的信息管理系统，实行独立核算、独立承担民事责任的经济组织。</w:t>
      </w:r>
    </w:p>
    <w:p w14:paraId="3B3DFBFE" w14:textId="1D0CE5CC" w:rsidR="003252FA" w:rsidRDefault="004E3EBB" w:rsidP="003252FA">
      <w:pPr>
        <w:pStyle w:val="13"/>
        <w:ind w:firstLine="482"/>
      </w:pPr>
      <w:r w:rsidRPr="004E3EBB">
        <w:rPr>
          <w:rFonts w:hint="eastAsia"/>
          <w:b/>
        </w:rPr>
        <w:t xml:space="preserve">第三条 </w:t>
      </w:r>
      <w:r w:rsidR="003252FA">
        <w:t>本操作指引所称道路运输物流企业授信额度，是指取得经营放贷业务许可的机构给予道路运输物流企业在一定时期内可支配的最高授信额度。</w:t>
      </w:r>
    </w:p>
    <w:p w14:paraId="53F902DC" w14:textId="388CF78B" w:rsidR="003252FA" w:rsidRDefault="004E3EBB" w:rsidP="003252FA">
      <w:pPr>
        <w:pStyle w:val="13"/>
        <w:ind w:firstLine="482"/>
      </w:pPr>
      <w:r w:rsidRPr="004E3EBB">
        <w:rPr>
          <w:rFonts w:hint="eastAsia"/>
          <w:b/>
        </w:rPr>
        <w:t xml:space="preserve">第四条 </w:t>
      </w:r>
      <w:r w:rsidR="003252FA">
        <w:t>本操作指引所称道路运输物流企业授信额度评估咨询，是指资产评估机构参考《资产评估执业准则—企业价值》和《流动资金贷款管理暂行办法》（银监会令2010年第1号）等要求，接受经监督管理部门批准并取得经营放贷业务许可的机构委托对评估咨询基准日特定目的下的道路运输物流企业股东全部权益价值（以下简称企业价值）进行测算，结合道路运输物流企业信用评分，物流、信息流、</w:t>
      </w:r>
      <w:proofErr w:type="gramStart"/>
      <w:r w:rsidR="003252FA">
        <w:t>资金流三流</w:t>
      </w:r>
      <w:proofErr w:type="gramEnd"/>
      <w:r w:rsidR="003252FA">
        <w:t>合一的数据量（以下简称三流合一数据量），授</w:t>
      </w:r>
      <w:proofErr w:type="gramStart"/>
      <w:r w:rsidR="003252FA">
        <w:t>信结构风控</w:t>
      </w:r>
      <w:proofErr w:type="gramEnd"/>
      <w:r w:rsidR="003252FA">
        <w:t>体系以及道路运输物</w:t>
      </w:r>
      <w:r w:rsidR="003252FA">
        <w:lastRenderedPageBreak/>
        <w:t>流企业分类和评估等级等方面，对企业可获得的授信额度进行分析和估算，出</w:t>
      </w:r>
      <w:r w:rsidR="003252FA">
        <w:rPr>
          <w:rFonts w:hint="eastAsia"/>
        </w:rPr>
        <w:t>具授信额度评估咨询报告的专业服务行为。</w:t>
      </w:r>
    </w:p>
    <w:p w14:paraId="12EF859F" w14:textId="77777777" w:rsidR="003252FA" w:rsidRDefault="003252FA" w:rsidP="00AF7342">
      <w:pPr>
        <w:pStyle w:val="a9"/>
        <w:spacing w:before="62" w:after="62"/>
      </w:pPr>
      <w:r>
        <w:rPr>
          <w:rFonts w:hint="eastAsia"/>
        </w:rPr>
        <w:t>第二章</w:t>
      </w:r>
      <w:r>
        <w:t xml:space="preserve"> 基本遵循</w:t>
      </w:r>
    </w:p>
    <w:p w14:paraId="208C1E35" w14:textId="5D64384B" w:rsidR="003252FA" w:rsidRDefault="004E3EBB" w:rsidP="003252FA">
      <w:pPr>
        <w:pStyle w:val="13"/>
        <w:ind w:firstLine="482"/>
      </w:pPr>
      <w:r w:rsidRPr="004E3EBB">
        <w:rPr>
          <w:rFonts w:hint="eastAsia"/>
          <w:b/>
        </w:rPr>
        <w:t xml:space="preserve">第五条 </w:t>
      </w:r>
      <w:r w:rsidR="003252FA">
        <w:t>资产评估机构开展道路运输物流企业授信额度评估咨询业务时，在独立进</w:t>
      </w:r>
      <w:r w:rsidR="003252FA">
        <w:rPr>
          <w:rFonts w:hint="eastAsia"/>
        </w:rPr>
        <w:t>行分析和估算的基础上，形成专业意见。</w:t>
      </w:r>
    </w:p>
    <w:p w14:paraId="3A6F91A0" w14:textId="215FC0B9" w:rsidR="003252FA" w:rsidRDefault="004E3EBB" w:rsidP="003252FA">
      <w:pPr>
        <w:pStyle w:val="13"/>
        <w:ind w:firstLine="482"/>
      </w:pPr>
      <w:r w:rsidRPr="004E3EBB">
        <w:rPr>
          <w:rFonts w:hint="eastAsia"/>
          <w:b/>
        </w:rPr>
        <w:t xml:space="preserve">第六条 </w:t>
      </w:r>
      <w:r w:rsidR="003252FA">
        <w:t>资产评估机构开展道路运输物流企业授信额度评估咨询业务，应当具备道路运输物流企业授信额度评估咨询的专业知识和实践经验，能够胜任所开展的授信额度评估咨询业务。</w:t>
      </w:r>
    </w:p>
    <w:p w14:paraId="65326DB5" w14:textId="7C936B18" w:rsidR="003252FA" w:rsidRDefault="004E3EBB" w:rsidP="003252FA">
      <w:pPr>
        <w:pStyle w:val="13"/>
        <w:ind w:firstLine="482"/>
      </w:pPr>
      <w:r w:rsidRPr="004E3EBB">
        <w:rPr>
          <w:rFonts w:hint="eastAsia"/>
          <w:b/>
        </w:rPr>
        <w:t xml:space="preserve">第七条 </w:t>
      </w:r>
      <w:r w:rsidR="003252FA">
        <w:t>资产评估机构开展道路运输物流企业授信额度评估咨询业务，应当熟悉相关信贷政策以及金融授信基本要求。</w:t>
      </w:r>
    </w:p>
    <w:p w14:paraId="5AA796A3" w14:textId="77777777" w:rsidR="003252FA" w:rsidRDefault="003252FA" w:rsidP="00AF7342">
      <w:pPr>
        <w:pStyle w:val="a9"/>
        <w:spacing w:before="62" w:after="62"/>
      </w:pPr>
      <w:r>
        <w:rPr>
          <w:rFonts w:hint="eastAsia"/>
        </w:rPr>
        <w:t>第三章</w:t>
      </w:r>
      <w:r>
        <w:t xml:space="preserve"> 操作要求</w:t>
      </w:r>
    </w:p>
    <w:p w14:paraId="6A4ADBE8" w14:textId="2FBFD1BB" w:rsidR="003252FA" w:rsidRDefault="004E3EBB" w:rsidP="003252FA">
      <w:pPr>
        <w:pStyle w:val="13"/>
        <w:ind w:firstLine="482"/>
      </w:pPr>
      <w:r w:rsidRPr="004E3EBB">
        <w:rPr>
          <w:rFonts w:hint="eastAsia"/>
          <w:b/>
        </w:rPr>
        <w:t xml:space="preserve">第八条 </w:t>
      </w:r>
      <w:r w:rsidR="003252FA">
        <w:t>道路运输物流企业授信额度评估咨询的测算内容涉及企业价值、企业信用评分、授</w:t>
      </w:r>
      <w:proofErr w:type="gramStart"/>
      <w:r w:rsidR="003252FA">
        <w:t>信结构风控</w:t>
      </w:r>
      <w:proofErr w:type="gramEnd"/>
      <w:r w:rsidR="003252FA">
        <w:t>体系、三流合一数据量以及道路运输物流企业分类和评估等级等内容。</w:t>
      </w:r>
    </w:p>
    <w:p w14:paraId="54E33450" w14:textId="522A4F44" w:rsidR="003252FA" w:rsidRDefault="00E05BDA" w:rsidP="003252FA">
      <w:pPr>
        <w:pStyle w:val="13"/>
        <w:ind w:firstLine="482"/>
      </w:pPr>
      <w:r w:rsidRPr="00E05BDA">
        <w:rPr>
          <w:rFonts w:hint="eastAsia"/>
          <w:b/>
        </w:rPr>
        <w:t xml:space="preserve">第九条 </w:t>
      </w:r>
      <w:r w:rsidR="003252FA">
        <w:t>资产评估机构开展道路运输物流企业授信额度评估咨询业务时，根据评估咨询业务的具体情况，确定所需资料的清单并收集相关资料，通常包括：</w:t>
      </w:r>
    </w:p>
    <w:p w14:paraId="2B5AC385" w14:textId="77777777" w:rsidR="003252FA" w:rsidRDefault="003252FA" w:rsidP="003252FA">
      <w:pPr>
        <w:pStyle w:val="13"/>
      </w:pPr>
      <w:r>
        <w:rPr>
          <w:rFonts w:hint="eastAsia"/>
        </w:rPr>
        <w:t>（一）被评估单位权益状况相关的协议、章程、股权证明等有关法律文件、被评估单位涉及的主要资产权属证明资料；</w:t>
      </w:r>
    </w:p>
    <w:p w14:paraId="540B92B7" w14:textId="77777777" w:rsidR="003252FA" w:rsidRDefault="003252FA" w:rsidP="003252FA">
      <w:pPr>
        <w:pStyle w:val="13"/>
      </w:pPr>
      <w:r>
        <w:rPr>
          <w:rFonts w:hint="eastAsia"/>
        </w:rPr>
        <w:t>（二）被评估单位控制股东以及股东持股比例、经营管理结构资料；</w:t>
      </w:r>
    </w:p>
    <w:p w14:paraId="5B0868AB" w14:textId="77777777" w:rsidR="003252FA" w:rsidRDefault="003252FA" w:rsidP="003252FA">
      <w:pPr>
        <w:pStyle w:val="13"/>
      </w:pPr>
      <w:r>
        <w:rPr>
          <w:rFonts w:hint="eastAsia"/>
        </w:rPr>
        <w:t>（三）被评估单位的业务、资产、财务、融资、人员以及经营状况资料；</w:t>
      </w:r>
    </w:p>
    <w:p w14:paraId="6CA4616D" w14:textId="77777777" w:rsidR="003252FA" w:rsidRDefault="003252FA" w:rsidP="003252FA">
      <w:pPr>
        <w:pStyle w:val="13"/>
      </w:pPr>
      <w:r>
        <w:rPr>
          <w:rFonts w:hint="eastAsia"/>
        </w:rPr>
        <w:t>（四）被评估单位经营计划、发展规划和收益资料；</w:t>
      </w:r>
    </w:p>
    <w:p w14:paraId="793A95B8" w14:textId="77777777" w:rsidR="003252FA" w:rsidRDefault="003252FA" w:rsidP="003252FA">
      <w:pPr>
        <w:pStyle w:val="13"/>
      </w:pPr>
      <w:r>
        <w:rPr>
          <w:rFonts w:hint="eastAsia"/>
        </w:rPr>
        <w:t>（五）被评估单位以往二至三年的授信额度、授信记录情况、经营水平、偿债能力的相关资料；</w:t>
      </w:r>
    </w:p>
    <w:p w14:paraId="578EAF40" w14:textId="77777777" w:rsidR="003252FA" w:rsidRDefault="003252FA" w:rsidP="003252FA">
      <w:pPr>
        <w:pStyle w:val="13"/>
      </w:pPr>
      <w:r>
        <w:rPr>
          <w:rFonts w:hint="eastAsia"/>
        </w:rPr>
        <w:t>（六）影响被评估单位经营的宏观、区域经济因素资料；</w:t>
      </w:r>
    </w:p>
    <w:p w14:paraId="17E60A63" w14:textId="77777777" w:rsidR="003252FA" w:rsidRDefault="003252FA" w:rsidP="003252FA">
      <w:pPr>
        <w:pStyle w:val="13"/>
      </w:pPr>
      <w:r>
        <w:rPr>
          <w:rFonts w:hint="eastAsia"/>
        </w:rPr>
        <w:t>（七）被评估单位所在道路运输行业现状与发展前景资料；</w:t>
      </w:r>
    </w:p>
    <w:p w14:paraId="6F292D29" w14:textId="77777777" w:rsidR="003252FA" w:rsidRDefault="003252FA" w:rsidP="003252FA">
      <w:pPr>
        <w:pStyle w:val="13"/>
      </w:pPr>
      <w:r>
        <w:rPr>
          <w:rFonts w:hint="eastAsia"/>
        </w:rPr>
        <w:t>（八）道路运输物流企业在证券市场、产权交易市场中的历史交易情况，例如，财务数据、交易价格、交易背景等；</w:t>
      </w:r>
    </w:p>
    <w:p w14:paraId="19B67CC0" w14:textId="77777777" w:rsidR="003252FA" w:rsidRDefault="003252FA" w:rsidP="003252FA">
      <w:pPr>
        <w:pStyle w:val="13"/>
      </w:pPr>
      <w:r>
        <w:rPr>
          <w:rFonts w:hint="eastAsia"/>
        </w:rPr>
        <w:t>（九）可比企业的经营情况、财务信息、股票价格或者股权交易价格等资料；</w:t>
      </w:r>
    </w:p>
    <w:p w14:paraId="08DC9929" w14:textId="77777777" w:rsidR="003252FA" w:rsidRDefault="003252FA" w:rsidP="003252FA">
      <w:pPr>
        <w:pStyle w:val="13"/>
      </w:pPr>
      <w:r>
        <w:rPr>
          <w:rFonts w:hint="eastAsia"/>
        </w:rPr>
        <w:t>（十）被评估单位的三流合一数据量资料；</w:t>
      </w:r>
    </w:p>
    <w:p w14:paraId="11EC7158" w14:textId="77777777" w:rsidR="003252FA" w:rsidRDefault="003252FA" w:rsidP="003252FA">
      <w:pPr>
        <w:pStyle w:val="13"/>
      </w:pPr>
      <w:r>
        <w:rPr>
          <w:rFonts w:hint="eastAsia"/>
        </w:rPr>
        <w:t>（十一）被评估单位的企业和企业主征信信息资料；</w:t>
      </w:r>
    </w:p>
    <w:p w14:paraId="36C50055" w14:textId="77777777" w:rsidR="003252FA" w:rsidRDefault="003252FA" w:rsidP="003252FA">
      <w:pPr>
        <w:pStyle w:val="13"/>
      </w:pPr>
      <w:r>
        <w:rPr>
          <w:rFonts w:hint="eastAsia"/>
        </w:rPr>
        <w:t>（十二）被评估单位的公开公共信用信息，例如，工商信息、税务、海关、环保、法院、社保等公开的双公示信息和诉讼、仲裁信息等；</w:t>
      </w:r>
    </w:p>
    <w:p w14:paraId="084CD400" w14:textId="77777777" w:rsidR="003252FA" w:rsidRDefault="003252FA" w:rsidP="003252FA">
      <w:pPr>
        <w:pStyle w:val="13"/>
      </w:pPr>
      <w:r>
        <w:rPr>
          <w:rFonts w:hint="eastAsia"/>
        </w:rPr>
        <w:t>（十三）其他必要的相关资料。</w:t>
      </w:r>
    </w:p>
    <w:p w14:paraId="066DAEB7" w14:textId="40FF678B" w:rsidR="003252FA" w:rsidRDefault="00E05BDA" w:rsidP="003252FA">
      <w:pPr>
        <w:pStyle w:val="13"/>
        <w:ind w:firstLine="482"/>
      </w:pPr>
      <w:r w:rsidRPr="00E05BDA">
        <w:rPr>
          <w:rFonts w:hint="eastAsia"/>
          <w:b/>
        </w:rPr>
        <w:lastRenderedPageBreak/>
        <w:t xml:space="preserve">第十条 </w:t>
      </w:r>
      <w:r w:rsidR="003252FA">
        <w:t>资产评估机构开展道路运输物流企业授信额度评估咨询业务时，应当分析影响道路运输物流企业授信额度评估咨询的因素，这些因素通常包括企业价值、企业信用状况、信贷</w:t>
      </w:r>
      <w:proofErr w:type="gramStart"/>
      <w:r w:rsidR="003252FA">
        <w:t>产品风控技术</w:t>
      </w:r>
      <w:proofErr w:type="gramEnd"/>
      <w:r w:rsidR="003252FA">
        <w:t>、细分行业特点等。可以参考以下公式：</w:t>
      </w:r>
    </w:p>
    <w:p w14:paraId="38D44420" w14:textId="6AEAABA4" w:rsidR="003252FA" w:rsidRPr="003252FA" w:rsidRDefault="003252FA" w:rsidP="003252FA">
      <w:pPr>
        <w:pStyle w:val="13"/>
      </w:pPr>
      <w:r>
        <w:rPr>
          <w:rFonts w:hint="eastAsia"/>
        </w:rPr>
        <w:t>最高授信额度</w:t>
      </w:r>
      <w:r w:rsidRPr="003252FA">
        <w:rPr>
          <w:rFonts w:hint="eastAsia"/>
        </w:rPr>
        <w:t>（</w:t>
      </w:r>
      <w:r w:rsidRPr="003252FA">
        <w:rPr>
          <w:rFonts w:cs="Cambria Math"/>
        </w:rPr>
        <w:t>CL</w:t>
      </w:r>
      <w:r w:rsidRPr="003252FA">
        <w:t>）=E×</w:t>
      </w:r>
      <w:r w:rsidRPr="003252FA">
        <w:rPr>
          <w:rFonts w:cs="Cambria Math"/>
        </w:rPr>
        <w:t>C</w:t>
      </w:r>
      <w:r w:rsidRPr="003252FA">
        <w:t>×</w:t>
      </w:r>
      <w:r w:rsidRPr="003252FA">
        <w:rPr>
          <w:rFonts w:cs="Cambria Math"/>
        </w:rPr>
        <w:t>S</w:t>
      </w:r>
      <w:r w:rsidRPr="003252FA">
        <w:t>×</w:t>
      </w:r>
      <w:r w:rsidRPr="003252FA">
        <w:rPr>
          <w:rFonts w:cs="Cambria Math"/>
        </w:rPr>
        <w:t>D</w:t>
      </w:r>
      <w:r w:rsidRPr="003252FA">
        <w:t>×</w:t>
      </w:r>
      <w:r w:rsidRPr="003252FA">
        <w:rPr>
          <w:rFonts w:cs="Cambria Math"/>
        </w:rPr>
        <w:t>P</w:t>
      </w:r>
    </w:p>
    <w:p w14:paraId="1D567943" w14:textId="77777777" w:rsidR="003252FA" w:rsidRDefault="003252FA" w:rsidP="003252FA">
      <w:pPr>
        <w:pStyle w:val="13"/>
      </w:pPr>
      <w:r>
        <w:rPr>
          <w:rFonts w:hint="eastAsia"/>
        </w:rPr>
        <w:t>其中：</w:t>
      </w:r>
      <w:r>
        <w:t>E—企业价值</w:t>
      </w:r>
    </w:p>
    <w:p w14:paraId="1976C121" w14:textId="77777777" w:rsidR="003252FA" w:rsidRDefault="003252FA" w:rsidP="003252FA">
      <w:pPr>
        <w:pStyle w:val="13"/>
        <w:ind w:firstLineChars="500" w:firstLine="1200"/>
      </w:pPr>
      <w:r>
        <w:t>C—信用评分系数</w:t>
      </w:r>
    </w:p>
    <w:p w14:paraId="49A93F4D" w14:textId="77777777" w:rsidR="003252FA" w:rsidRDefault="003252FA" w:rsidP="003252FA">
      <w:pPr>
        <w:pStyle w:val="13"/>
        <w:ind w:firstLineChars="500" w:firstLine="1200"/>
      </w:pPr>
      <w:r>
        <w:t>S—授</w:t>
      </w:r>
      <w:proofErr w:type="gramStart"/>
      <w:r>
        <w:t>信结构风控</w:t>
      </w:r>
      <w:proofErr w:type="gramEnd"/>
      <w:r>
        <w:t>体系系数</w:t>
      </w:r>
    </w:p>
    <w:p w14:paraId="7BDBD4E5" w14:textId="4BE5CAFE" w:rsidR="003252FA" w:rsidRDefault="003252FA" w:rsidP="003252FA">
      <w:pPr>
        <w:pStyle w:val="13"/>
        <w:ind w:firstLineChars="500" w:firstLine="1200"/>
      </w:pPr>
      <w:r>
        <w:t>D—三流合一数据量系数</w:t>
      </w:r>
    </w:p>
    <w:p w14:paraId="4E3D2CCA" w14:textId="77777777" w:rsidR="003252FA" w:rsidRDefault="003252FA" w:rsidP="003252FA">
      <w:pPr>
        <w:pStyle w:val="13"/>
        <w:ind w:firstLineChars="500" w:firstLine="1200"/>
      </w:pPr>
      <w:r>
        <w:t>P—道路运输物流企业分类和评估等级系数</w:t>
      </w:r>
    </w:p>
    <w:p w14:paraId="3B834117" w14:textId="1BEC1B73" w:rsidR="003252FA" w:rsidRDefault="003252FA" w:rsidP="003252FA">
      <w:pPr>
        <w:pStyle w:val="13"/>
        <w:ind w:firstLineChars="500" w:firstLine="1200"/>
      </w:pPr>
      <w:r>
        <w:t>C、S、D、P 各系数值均小于1。</w:t>
      </w:r>
    </w:p>
    <w:p w14:paraId="3564D869" w14:textId="152ED8D4" w:rsidR="003252FA" w:rsidRDefault="00E05BDA" w:rsidP="003252FA">
      <w:pPr>
        <w:pStyle w:val="13"/>
        <w:ind w:firstLine="482"/>
      </w:pPr>
      <w:r w:rsidRPr="00E05BDA">
        <w:rPr>
          <w:rFonts w:hint="eastAsia"/>
          <w:b/>
        </w:rPr>
        <w:t xml:space="preserve">第十一条 </w:t>
      </w:r>
      <w:r w:rsidR="003252FA">
        <w:t>道路运输物流企业授信额度评估咨询业务可以基于大数据框架以及算法完成，获取数据方式可参考相关金融终端等工具，算法模型可以根据数据量参考使用人工神经网络（BP 神经网络）等主流算法。</w:t>
      </w:r>
    </w:p>
    <w:p w14:paraId="3AEAE7A0" w14:textId="27AF0FA4" w:rsidR="003252FA" w:rsidRDefault="00E05BDA" w:rsidP="003252FA">
      <w:pPr>
        <w:pStyle w:val="13"/>
        <w:ind w:firstLine="482"/>
      </w:pPr>
      <w:r w:rsidRPr="00E05BDA">
        <w:rPr>
          <w:rFonts w:hint="eastAsia"/>
          <w:b/>
        </w:rPr>
        <w:t xml:space="preserve">第十二条 </w:t>
      </w:r>
      <w:r w:rsidR="003252FA">
        <w:t>资产评估机构对道路运输物流企业进行授信</w:t>
      </w:r>
      <w:r w:rsidR="003252FA">
        <w:rPr>
          <w:rFonts w:hint="eastAsia"/>
        </w:rPr>
        <w:t>额度评估咨询时，以企业价值作为授信额度的基准值，结合企业信用评分、授</w:t>
      </w:r>
      <w:proofErr w:type="gramStart"/>
      <w:r w:rsidR="003252FA">
        <w:rPr>
          <w:rFonts w:hint="eastAsia"/>
        </w:rPr>
        <w:t>信结构风控</w:t>
      </w:r>
      <w:proofErr w:type="gramEnd"/>
      <w:r w:rsidR="003252FA">
        <w:rPr>
          <w:rFonts w:hint="eastAsia"/>
        </w:rPr>
        <w:t>体系、三流合一数据量以及道路运输物流企业分类和评估等级等因素对企业授信额度进行评估。</w:t>
      </w:r>
    </w:p>
    <w:p w14:paraId="60C4AC3B" w14:textId="77777777" w:rsidR="003252FA" w:rsidRDefault="003252FA" w:rsidP="003252FA">
      <w:pPr>
        <w:pStyle w:val="13"/>
      </w:pPr>
      <w:r>
        <w:rPr>
          <w:rFonts w:hint="eastAsia"/>
        </w:rPr>
        <w:t>放贷机构在对道路运输物流企业进行授信额度核定和管理时，主要以企业自身的经营状况、资产实力、行业前景、企业盈利能力等为基础综合确定，而企业价值可以体现企业自身的经营状况、资产实力、行业前景、企业盈利能力等情况。</w:t>
      </w:r>
    </w:p>
    <w:p w14:paraId="74103BBB" w14:textId="6F6206EF" w:rsidR="003252FA" w:rsidRDefault="00E05BDA" w:rsidP="003252FA">
      <w:pPr>
        <w:pStyle w:val="13"/>
        <w:ind w:firstLine="482"/>
      </w:pPr>
      <w:r w:rsidRPr="00E05BDA">
        <w:rPr>
          <w:rFonts w:hint="eastAsia"/>
          <w:b/>
        </w:rPr>
        <w:t xml:space="preserve">第十三条 </w:t>
      </w:r>
      <w:r w:rsidR="003252FA">
        <w:t>资产评估机构进行道路运输物流企业授信额度评估咨询中的企业价值测算时，应当分析市场法、收益法、资产基础法的适用性并恰当选择评估方法。</w:t>
      </w:r>
    </w:p>
    <w:p w14:paraId="2DD06F25" w14:textId="43BB3F9C" w:rsidR="003252FA" w:rsidRDefault="00E05BDA" w:rsidP="003252FA">
      <w:pPr>
        <w:pStyle w:val="13"/>
        <w:ind w:firstLine="482"/>
      </w:pPr>
      <w:r w:rsidRPr="00E05BDA">
        <w:rPr>
          <w:rFonts w:hint="eastAsia"/>
          <w:b/>
        </w:rPr>
        <w:t xml:space="preserve">第十四条 </w:t>
      </w:r>
      <w:r w:rsidR="003252FA">
        <w:t>资产评估机构进行道路运输物流企业授信额度评估咨询中的企业价值测算时采用的市场法，是指将企业与可比上市公司或者可比交易案例进行比较而确定企业价值的方法。</w:t>
      </w:r>
    </w:p>
    <w:p w14:paraId="3DE10104" w14:textId="1D415A28" w:rsidR="003252FA" w:rsidRDefault="00E05BDA" w:rsidP="003252FA">
      <w:pPr>
        <w:pStyle w:val="13"/>
        <w:ind w:firstLine="482"/>
      </w:pPr>
      <w:r w:rsidRPr="00E05BDA">
        <w:rPr>
          <w:rFonts w:hint="eastAsia"/>
          <w:b/>
        </w:rPr>
        <w:t xml:space="preserve">第十五条 </w:t>
      </w:r>
      <w:r w:rsidR="003252FA">
        <w:t>资产评估机构采用市场法进行道路运输物流企业授信额度评估咨询中的企业价值测算时，应当关注企业业务结构、经营模式、企业规模、资产配置和使用情况、</w:t>
      </w:r>
      <w:r w:rsidR="003252FA">
        <w:rPr>
          <w:rFonts w:hint="eastAsia"/>
        </w:rPr>
        <w:t>企业所处经营阶段、成长性、经营风险、财务风险等因素，恰当选择可比企业。</w:t>
      </w:r>
    </w:p>
    <w:p w14:paraId="44D40943" w14:textId="74499445" w:rsidR="003252FA" w:rsidRDefault="00E05BDA" w:rsidP="003252FA">
      <w:pPr>
        <w:pStyle w:val="13"/>
        <w:ind w:firstLine="482"/>
      </w:pPr>
      <w:r w:rsidRPr="00E05BDA">
        <w:rPr>
          <w:rFonts w:hint="eastAsia"/>
          <w:b/>
        </w:rPr>
        <w:t xml:space="preserve">第十六条 </w:t>
      </w:r>
      <w:r w:rsidR="003252FA">
        <w:t>资产评估机构采用市场法进行道路运输物流</w:t>
      </w:r>
    </w:p>
    <w:p w14:paraId="15741F37" w14:textId="77777777" w:rsidR="003252FA" w:rsidRDefault="003252FA" w:rsidP="003252FA">
      <w:pPr>
        <w:pStyle w:val="13"/>
      </w:pPr>
      <w:r>
        <w:rPr>
          <w:rFonts w:hint="eastAsia"/>
        </w:rPr>
        <w:t>企业授信额度评估咨询中的企业价值测算时，应当对被评估单位和可比企业财务报表进行合理分析和必要调整，以使测算中采用的财务数据以及相关参数适用、可比。</w:t>
      </w:r>
    </w:p>
    <w:p w14:paraId="22DE4C96" w14:textId="77777777" w:rsidR="003252FA" w:rsidRDefault="003252FA" w:rsidP="003252FA">
      <w:pPr>
        <w:pStyle w:val="13"/>
      </w:pPr>
      <w:r>
        <w:rPr>
          <w:rFonts w:hint="eastAsia"/>
        </w:rPr>
        <w:t>根据业务的具体情况，分析和调整事项通常包括：</w:t>
      </w:r>
    </w:p>
    <w:p w14:paraId="452CD488" w14:textId="77777777" w:rsidR="003252FA" w:rsidRDefault="003252FA" w:rsidP="003252FA">
      <w:pPr>
        <w:pStyle w:val="13"/>
      </w:pPr>
      <w:r>
        <w:rPr>
          <w:rFonts w:hint="eastAsia"/>
        </w:rPr>
        <w:t>（一）财务报表编制基础；</w:t>
      </w:r>
    </w:p>
    <w:p w14:paraId="63E24E87" w14:textId="77777777" w:rsidR="003252FA" w:rsidRDefault="003252FA" w:rsidP="003252FA">
      <w:pPr>
        <w:pStyle w:val="13"/>
      </w:pPr>
      <w:r>
        <w:rPr>
          <w:rFonts w:hint="eastAsia"/>
        </w:rPr>
        <w:lastRenderedPageBreak/>
        <w:t>（二）非经常性收入和支出；</w:t>
      </w:r>
    </w:p>
    <w:p w14:paraId="7BEB8B2C" w14:textId="77777777" w:rsidR="003252FA" w:rsidRDefault="003252FA" w:rsidP="003252FA">
      <w:pPr>
        <w:pStyle w:val="13"/>
      </w:pPr>
      <w:r>
        <w:rPr>
          <w:rFonts w:hint="eastAsia"/>
        </w:rPr>
        <w:t>（三）非经营性资产、负债和</w:t>
      </w:r>
      <w:proofErr w:type="gramStart"/>
      <w:r>
        <w:rPr>
          <w:rFonts w:hint="eastAsia"/>
        </w:rPr>
        <w:t>溢余</w:t>
      </w:r>
      <w:proofErr w:type="gramEnd"/>
      <w:r>
        <w:rPr>
          <w:rFonts w:hint="eastAsia"/>
        </w:rPr>
        <w:t>资产及其相关的收入和支出；</w:t>
      </w:r>
    </w:p>
    <w:p w14:paraId="16471A09" w14:textId="77777777" w:rsidR="003252FA" w:rsidRDefault="003252FA" w:rsidP="003252FA">
      <w:pPr>
        <w:pStyle w:val="13"/>
      </w:pPr>
      <w:r>
        <w:rPr>
          <w:rFonts w:hint="eastAsia"/>
        </w:rPr>
        <w:t>（四）多元化经营。</w:t>
      </w:r>
    </w:p>
    <w:p w14:paraId="40BE9945" w14:textId="088B0AE7" w:rsidR="003252FA" w:rsidRDefault="00E05BDA" w:rsidP="003252FA">
      <w:pPr>
        <w:pStyle w:val="13"/>
        <w:ind w:firstLine="482"/>
      </w:pPr>
      <w:r w:rsidRPr="00E05BDA">
        <w:rPr>
          <w:rFonts w:hint="eastAsia"/>
          <w:b/>
        </w:rPr>
        <w:t xml:space="preserve">第十七条 </w:t>
      </w:r>
      <w:r w:rsidR="003252FA">
        <w:t>资产评估机构采用市场法进行道路运输物流企业授信额度评估咨询中的企业价值测算时，企业如果为非上市公司，应当考虑流动性折扣的影响。</w:t>
      </w:r>
    </w:p>
    <w:p w14:paraId="6B0AC946" w14:textId="54E22A2D" w:rsidR="003252FA" w:rsidRDefault="00E05BDA" w:rsidP="003252FA">
      <w:pPr>
        <w:pStyle w:val="13"/>
        <w:ind w:firstLine="482"/>
      </w:pPr>
      <w:r w:rsidRPr="00E05BDA">
        <w:rPr>
          <w:rFonts w:hint="eastAsia"/>
          <w:b/>
        </w:rPr>
        <w:t xml:space="preserve">第十八条 </w:t>
      </w:r>
      <w:r w:rsidR="003252FA">
        <w:t>资产评估机构采用市场法进行道路运输物流企业授信额度评估咨询中的企业价值测算时，应当分析道路运输物流企业的业务特点、经营模式等因素，综合考虑选择合适的评估参数。</w:t>
      </w:r>
    </w:p>
    <w:p w14:paraId="17D88123" w14:textId="77777777" w:rsidR="003252FA" w:rsidRDefault="003252FA" w:rsidP="003252FA">
      <w:pPr>
        <w:pStyle w:val="13"/>
      </w:pPr>
      <w:r>
        <w:rPr>
          <w:rFonts w:hint="eastAsia"/>
        </w:rPr>
        <w:t>通常，企业价值主要受投资资本回报率、净收益增长率、资本成本以及企业经营期间对应的实际税率等因素影响。测算时可选取相应指标，例如，投资资本回报率、权益比率、销售收入</w:t>
      </w:r>
      <w:r>
        <w:t>/（权益资本+债务资本）、毛利率等。</w:t>
      </w:r>
    </w:p>
    <w:p w14:paraId="6AA55220" w14:textId="43C3A095" w:rsidR="003252FA" w:rsidRDefault="00E05BDA" w:rsidP="00BA4580">
      <w:pPr>
        <w:pStyle w:val="13"/>
        <w:ind w:firstLine="482"/>
      </w:pPr>
      <w:r w:rsidRPr="00E05BDA">
        <w:rPr>
          <w:rFonts w:hint="eastAsia"/>
          <w:b/>
        </w:rPr>
        <w:t xml:space="preserve">第十九条 </w:t>
      </w:r>
      <w:r w:rsidR="003252FA">
        <w:t>资产评估机构进行道路运输物流企业授信额度评估咨询中的企业价值测算时采用的收益法，是指将预期</w:t>
      </w:r>
      <w:r w:rsidR="003252FA">
        <w:rPr>
          <w:rFonts w:hint="eastAsia"/>
        </w:rPr>
        <w:t>收益资本</w:t>
      </w:r>
      <w:proofErr w:type="gramStart"/>
      <w:r w:rsidR="003252FA">
        <w:rPr>
          <w:rFonts w:hint="eastAsia"/>
        </w:rPr>
        <w:t>化或者</w:t>
      </w:r>
      <w:proofErr w:type="gramEnd"/>
      <w:r w:rsidR="003252FA">
        <w:rPr>
          <w:rFonts w:hint="eastAsia"/>
        </w:rPr>
        <w:t>折现而确定企业价值的方法。</w:t>
      </w:r>
    </w:p>
    <w:p w14:paraId="634C7E99" w14:textId="77777777" w:rsidR="003252FA" w:rsidRDefault="003252FA" w:rsidP="003252FA">
      <w:pPr>
        <w:pStyle w:val="13"/>
      </w:pPr>
      <w:r>
        <w:rPr>
          <w:rFonts w:hint="eastAsia"/>
        </w:rPr>
        <w:t>资产评估机构应当结合道路运输物流企业的企业性质、资产规模、历史经营情况、未来收益可预测情况、所获取评估资料的充分性，考虑收益法的适用性。</w:t>
      </w:r>
    </w:p>
    <w:p w14:paraId="08A19FC8" w14:textId="5D9EDE61" w:rsidR="003252FA" w:rsidRDefault="00E05BDA" w:rsidP="003252FA">
      <w:pPr>
        <w:pStyle w:val="13"/>
        <w:ind w:firstLine="482"/>
      </w:pPr>
      <w:r w:rsidRPr="00E05BDA">
        <w:rPr>
          <w:rFonts w:hint="eastAsia"/>
          <w:b/>
        </w:rPr>
        <w:t xml:space="preserve">第二十条 </w:t>
      </w:r>
      <w:r w:rsidR="003252FA">
        <w:t>收益法常用的具体方法包括股利折现法和现金流量折现法。</w:t>
      </w:r>
    </w:p>
    <w:p w14:paraId="3B7B7A39" w14:textId="77777777" w:rsidR="003252FA" w:rsidRDefault="003252FA" w:rsidP="003252FA">
      <w:pPr>
        <w:pStyle w:val="13"/>
      </w:pPr>
      <w:r>
        <w:rPr>
          <w:rFonts w:hint="eastAsia"/>
        </w:rPr>
        <w:t>股利折现法是将预期股利进行折现以确定评估对象价值的具体方法，通常适用于缺乏控制权的股东部分权益价值评估。</w:t>
      </w:r>
    </w:p>
    <w:p w14:paraId="0B0CA9E3" w14:textId="77777777" w:rsidR="003252FA" w:rsidRDefault="003252FA" w:rsidP="003252FA">
      <w:pPr>
        <w:pStyle w:val="13"/>
      </w:pPr>
      <w:r>
        <w:rPr>
          <w:rFonts w:hint="eastAsia"/>
        </w:rPr>
        <w:t>股利折现法的预期股利一般应当体现市场参与者的通常预期，适用的价值类型通常为市场价值。</w:t>
      </w:r>
    </w:p>
    <w:p w14:paraId="41D5996D" w14:textId="42DA6B75" w:rsidR="003252FA" w:rsidRDefault="00E05BDA" w:rsidP="00BA4580">
      <w:pPr>
        <w:pStyle w:val="13"/>
        <w:ind w:firstLine="482"/>
      </w:pPr>
      <w:r w:rsidRPr="00E05BDA">
        <w:rPr>
          <w:rFonts w:hint="eastAsia"/>
          <w:b/>
        </w:rPr>
        <w:t xml:space="preserve">第二十一条 </w:t>
      </w:r>
      <w:r w:rsidR="003252FA">
        <w:t>现金流量折现法通常包括企业自由现金流折现模型和股权自由现金流</w:t>
      </w:r>
      <w:r w:rsidR="003252FA">
        <w:rPr>
          <w:rFonts w:hint="eastAsia"/>
        </w:rPr>
        <w:t>折现模型。资产评估机构应当根据被评估单位所处行业、经营模式、资本结构、发展趋势等，恰当选择折现模型。</w:t>
      </w:r>
    </w:p>
    <w:p w14:paraId="3A6BC1D1" w14:textId="77777777" w:rsidR="003252FA" w:rsidRDefault="003252FA" w:rsidP="003252FA">
      <w:pPr>
        <w:pStyle w:val="13"/>
      </w:pPr>
      <w:r>
        <w:rPr>
          <w:rFonts w:hint="eastAsia"/>
        </w:rPr>
        <w:t>预测现金流量，既可以从市场参与者角度进行，也可以选择特定投资者的角度。从特定投资者的角度预测现金流量时，适用的价值类型通常为投资价值。</w:t>
      </w:r>
    </w:p>
    <w:p w14:paraId="52F732E3" w14:textId="495C3699" w:rsidR="003252FA" w:rsidRDefault="00E05BDA" w:rsidP="003252FA">
      <w:pPr>
        <w:pStyle w:val="13"/>
        <w:ind w:firstLine="482"/>
      </w:pPr>
      <w:r w:rsidRPr="00E05BDA">
        <w:rPr>
          <w:rFonts w:hint="eastAsia"/>
          <w:b/>
        </w:rPr>
        <w:t xml:space="preserve">第二十二条 </w:t>
      </w:r>
      <w:r w:rsidR="003252FA">
        <w:t>资产评估机构应当按照相关法律、行政法规规定，以及被评估单位企业性质、企业类型、所在行业现状与发展前景、协议与章程约定、经营状况、资产特点和资源条件等，恰当确定收益期。</w:t>
      </w:r>
    </w:p>
    <w:p w14:paraId="7067FEA3" w14:textId="703DA454" w:rsidR="003252FA" w:rsidRDefault="00E05BDA" w:rsidP="003252FA">
      <w:pPr>
        <w:pStyle w:val="13"/>
        <w:ind w:firstLine="482"/>
      </w:pPr>
      <w:r w:rsidRPr="00E05BDA">
        <w:rPr>
          <w:rFonts w:hint="eastAsia"/>
          <w:b/>
        </w:rPr>
        <w:t xml:space="preserve">第二十三条 </w:t>
      </w:r>
      <w:r w:rsidR="003252FA">
        <w:t>资产评估机构确定折现率，应当综合考虑评估基准日的利率水平、市场投资收益率等资本市场相关信息和所在行业、被评估单位的特定风险等相关因素。</w:t>
      </w:r>
    </w:p>
    <w:p w14:paraId="60A09AB0" w14:textId="1D8998D4" w:rsidR="003252FA" w:rsidRDefault="00E05BDA" w:rsidP="003252FA">
      <w:pPr>
        <w:pStyle w:val="13"/>
        <w:ind w:firstLine="482"/>
      </w:pPr>
      <w:r w:rsidRPr="00E05BDA">
        <w:rPr>
          <w:rFonts w:hint="eastAsia"/>
          <w:b/>
        </w:rPr>
        <w:t xml:space="preserve">第二十四条 </w:t>
      </w:r>
      <w:r w:rsidR="003252FA">
        <w:t>资产评估机构进行道路运输物流企业授信额度评估咨询中的企业价值测算时采用的资产基础法，是指以被评估单位评估基准日的资产负债表为基础，合理测算企业表内和</w:t>
      </w:r>
      <w:proofErr w:type="gramStart"/>
      <w:r w:rsidR="003252FA">
        <w:t>可</w:t>
      </w:r>
      <w:proofErr w:type="gramEnd"/>
      <w:r w:rsidR="003252FA">
        <w:t>识别的表外各项资产、负债价值，确定企业价值的评估方法。</w:t>
      </w:r>
    </w:p>
    <w:p w14:paraId="0C5B4C4D" w14:textId="0F4610A3" w:rsidR="003252FA" w:rsidRDefault="00E05BDA" w:rsidP="003252FA">
      <w:pPr>
        <w:pStyle w:val="13"/>
        <w:ind w:firstLine="482"/>
      </w:pPr>
      <w:r w:rsidRPr="00E05BDA">
        <w:rPr>
          <w:rFonts w:hint="eastAsia"/>
          <w:b/>
        </w:rPr>
        <w:lastRenderedPageBreak/>
        <w:t xml:space="preserve">第二十五条 </w:t>
      </w:r>
      <w:r w:rsidR="003252FA">
        <w:t>资产评估机构应当根据会计政策、企业经营等情况，要求被评估单位对资产负债表表内和表外的各项资产、负债进行识别。</w:t>
      </w:r>
    </w:p>
    <w:p w14:paraId="258ACAD7" w14:textId="4575D2C7" w:rsidR="003252FA" w:rsidRDefault="00E05BDA" w:rsidP="003252FA">
      <w:pPr>
        <w:pStyle w:val="13"/>
        <w:ind w:firstLine="482"/>
      </w:pPr>
      <w:r w:rsidRPr="00E05BDA">
        <w:rPr>
          <w:rFonts w:hint="eastAsia"/>
          <w:b/>
        </w:rPr>
        <w:t xml:space="preserve">第二十六条 </w:t>
      </w:r>
      <w:r w:rsidR="003252FA">
        <w:t>资产评估机构采用资产基础法进行道路运输物流企业授信额度评估咨询中的企业价值测算时，各项资产的价值应当根据其具体情况选用适当的方法得出，所选方法可能有别于其作为单项资产评估对象时的具体方法，且应当考虑其对企业价值的贡献。</w:t>
      </w:r>
    </w:p>
    <w:p w14:paraId="58945BAB" w14:textId="77777777" w:rsidR="003252FA" w:rsidRDefault="003252FA" w:rsidP="003252FA">
      <w:pPr>
        <w:pStyle w:val="13"/>
      </w:pPr>
      <w:r>
        <w:rPr>
          <w:rFonts w:hint="eastAsia"/>
        </w:rPr>
        <w:t>资产基础法是从评估基准日重建企业并再取得企业的各要素资产的角度来反映企业价值的，只有</w:t>
      </w:r>
      <w:proofErr w:type="gramStart"/>
      <w:r>
        <w:rPr>
          <w:rFonts w:hint="eastAsia"/>
        </w:rPr>
        <w:t>当各项</w:t>
      </w:r>
      <w:proofErr w:type="gramEnd"/>
      <w:r>
        <w:rPr>
          <w:rFonts w:hint="eastAsia"/>
        </w:rPr>
        <w:t>要素资产能继续使用，并且在继续使用中为潜在所有者和控制者带来经济利益时，这种企业重建才有意义，各项资产的重置成本才能为潜在投资者和市场所承认，测算结果也才能较为合理。而授信额度中的企业价值所关注的是企业未来偿债能力，使用资产基础法对企业进行价值测算有一定的局限性。</w:t>
      </w:r>
    </w:p>
    <w:p w14:paraId="4E8D867D" w14:textId="21007798" w:rsidR="003252FA" w:rsidRDefault="00E05BDA" w:rsidP="003252FA">
      <w:pPr>
        <w:pStyle w:val="13"/>
        <w:ind w:firstLine="482"/>
      </w:pPr>
      <w:r w:rsidRPr="00E05BDA">
        <w:rPr>
          <w:rFonts w:hint="eastAsia"/>
          <w:b/>
        </w:rPr>
        <w:t xml:space="preserve">第二十七条 </w:t>
      </w:r>
      <w:r w:rsidR="003252FA">
        <w:t>资产评估机构开展道路运输物流企业授信额度评估咨询业务时，对企业信用评分应当在充分考虑道路运输行业特点的基础上，遵循企业信用评分基本的定性分析、定量分析和特殊分析原则。</w:t>
      </w:r>
    </w:p>
    <w:p w14:paraId="3EFDC8FC" w14:textId="53F8E118" w:rsidR="003252FA" w:rsidRDefault="00E05BDA" w:rsidP="00B17D04">
      <w:pPr>
        <w:pStyle w:val="13"/>
        <w:ind w:firstLine="482"/>
      </w:pPr>
      <w:r w:rsidRPr="00E05BDA">
        <w:rPr>
          <w:rFonts w:hint="eastAsia"/>
          <w:b/>
        </w:rPr>
        <w:t xml:space="preserve">第二十八条 </w:t>
      </w:r>
      <w:r w:rsidR="003252FA">
        <w:t>资产评估机构开展道路运输物流企业授信额度评估咨询业务时，对企业信用评分应当根据评分目的、评分对象、企业规模、资料收集等情况，分析专家打分</w:t>
      </w:r>
      <w:r w:rsidR="003252FA">
        <w:rPr>
          <w:rFonts w:hint="eastAsia"/>
        </w:rPr>
        <w:t>法、规则计分法等的适用性，综合考虑选取合适的一种或者多种评分方法。</w:t>
      </w:r>
    </w:p>
    <w:p w14:paraId="291442EB" w14:textId="67615F1B" w:rsidR="003252FA" w:rsidRDefault="00E05BDA" w:rsidP="003252FA">
      <w:pPr>
        <w:pStyle w:val="13"/>
        <w:ind w:firstLine="482"/>
      </w:pPr>
      <w:r w:rsidRPr="00E05BDA">
        <w:rPr>
          <w:rFonts w:hint="eastAsia"/>
          <w:b/>
        </w:rPr>
        <w:t xml:space="preserve">第二十九条 </w:t>
      </w:r>
      <w:r w:rsidR="003252FA">
        <w:t>不同道路运输物流企业的规模、经营策略和业务方式有所不同，由此产生的信用风险因素也有所不同。在创建信用评分模型时也要划分为两类评分模型：核心道路运输物流企业信用评分模型和小微道路运输物流企业信用评分模型。</w:t>
      </w:r>
    </w:p>
    <w:p w14:paraId="0957F3E9" w14:textId="77777777" w:rsidR="003252FA" w:rsidRDefault="003252FA" w:rsidP="003252FA">
      <w:pPr>
        <w:pStyle w:val="13"/>
      </w:pPr>
      <w:r>
        <w:rPr>
          <w:rFonts w:hint="eastAsia"/>
        </w:rPr>
        <w:t>核心道路运输物流企业在物流供应链中，通常是“</w:t>
      </w:r>
      <w:r>
        <w:t>1+N”业务模式,其中的“1”是指供应链上的核心道路运输物流企业，负责接收最终客户的物流订单，然后将供应链的各个物流环节或者具体工作分包给下游的中小物流商。核心道路运输物流企业通常具有较大的规模和较强的业务承接能力，并且品牌具有一定优势。“N”是指位于核心道路运输物流企业上下游的供应商和客户，负责承接核心道路运输物流企业某一阶段或者环节的业务，其业务和资金严重依赖核心道路运输物流企业。</w:t>
      </w:r>
    </w:p>
    <w:p w14:paraId="0E34F083" w14:textId="32C943E5" w:rsidR="003252FA" w:rsidRDefault="00E05BDA" w:rsidP="003252FA">
      <w:pPr>
        <w:pStyle w:val="13"/>
        <w:ind w:firstLine="482"/>
      </w:pPr>
      <w:r w:rsidRPr="00E05BDA">
        <w:rPr>
          <w:rFonts w:hint="eastAsia"/>
          <w:b/>
        </w:rPr>
        <w:t xml:space="preserve">第三十条 </w:t>
      </w:r>
      <w:r w:rsidR="003252FA">
        <w:t>核心道路运输物流企业信用评分指标的确定可以参考以下要素：外部环境、企业基本素质、公司治理、履约状况、业务能力、财务状况、平台业务信息等。小微道路运输物流企业信用评分指标的确定可以参考以下要素：实际控制人的偿还意愿和道德情况、企业的经营状况和财务状况、企业的信用记录等。</w:t>
      </w:r>
    </w:p>
    <w:p w14:paraId="1FFB9447" w14:textId="61DAC4D8" w:rsidR="003252FA" w:rsidRDefault="003252FA" w:rsidP="003252FA">
      <w:pPr>
        <w:pStyle w:val="13"/>
      </w:pPr>
      <w:r>
        <w:rPr>
          <w:rFonts w:hint="eastAsia"/>
        </w:rPr>
        <w:t>核心道路运输物流企业信用评分指标体系反映企业近几年的财务状况，可以采用三年加权平均方式计算每项财务指标（债权债务</w:t>
      </w:r>
      <w:proofErr w:type="gramStart"/>
      <w:r>
        <w:rPr>
          <w:rFonts w:hint="eastAsia"/>
        </w:rPr>
        <w:t>账款差</w:t>
      </w:r>
      <w:proofErr w:type="gramEnd"/>
      <w:r>
        <w:rPr>
          <w:rFonts w:hint="eastAsia"/>
        </w:rPr>
        <w:t>除外）得分。（参照表</w:t>
      </w:r>
      <w:r>
        <w:t>1和表3）</w:t>
      </w:r>
    </w:p>
    <w:p w14:paraId="32128C07" w14:textId="666CABE3" w:rsidR="003252FA" w:rsidRDefault="003252FA" w:rsidP="00B17D04">
      <w:pPr>
        <w:pStyle w:val="13"/>
      </w:pPr>
      <w:r>
        <w:rPr>
          <w:rFonts w:hint="eastAsia"/>
        </w:rPr>
        <w:t>小微道路运输物流企业信用评分指标体系主要关注其实际控制人在信用评价过</w:t>
      </w:r>
      <w:r>
        <w:rPr>
          <w:rFonts w:hint="eastAsia"/>
        </w:rPr>
        <w:lastRenderedPageBreak/>
        <w:t>程中的作用、银</w:t>
      </w:r>
      <w:proofErr w:type="gramStart"/>
      <w:r>
        <w:rPr>
          <w:rFonts w:hint="eastAsia"/>
        </w:rPr>
        <w:t>联供应链金融</w:t>
      </w:r>
      <w:proofErr w:type="gramEnd"/>
      <w:r>
        <w:rPr>
          <w:rFonts w:hint="eastAsia"/>
        </w:rPr>
        <w:t>平台及其合作平台提供的物流和结算数据、企业的信用记录等，在此基础上，确定小微道路运输物流企业信用评分的基本要素，并通过具体的指标来考虑这些基本要素，将各指标的结果通过标准化的区间处理，最终评定企业的级别。（参照表</w:t>
      </w:r>
      <w:r>
        <w:t>2和表3）</w:t>
      </w:r>
    </w:p>
    <w:p w14:paraId="0C92B619" w14:textId="0EE63CD0" w:rsidR="003252FA" w:rsidRDefault="003B2FB1" w:rsidP="003252FA">
      <w:pPr>
        <w:pStyle w:val="13"/>
        <w:ind w:firstLine="482"/>
      </w:pPr>
      <w:r w:rsidRPr="003B2FB1">
        <w:rPr>
          <w:rFonts w:hint="eastAsia"/>
          <w:b/>
        </w:rPr>
        <w:t xml:space="preserve">第三十一条 </w:t>
      </w:r>
      <w:r w:rsidR="003252FA">
        <w:t>资产评估机构执行道路运输物流企业授信额度评估咨询业务时，对企业授</w:t>
      </w:r>
      <w:proofErr w:type="gramStart"/>
      <w:r w:rsidR="003252FA">
        <w:t>信结构风控</w:t>
      </w:r>
      <w:proofErr w:type="gramEnd"/>
      <w:r w:rsidR="003252FA">
        <w:t>体系评估应当充分考虑物流行业、企业交易结构（企业与上下游业务信息传递、业务结算周期、资金结算方式等）和流程的特点以及委</w:t>
      </w:r>
    </w:p>
    <w:p w14:paraId="7360907B" w14:textId="77777777" w:rsidR="003252FA" w:rsidRDefault="003252FA" w:rsidP="003252FA">
      <w:pPr>
        <w:pStyle w:val="13"/>
      </w:pPr>
      <w:r>
        <w:rPr>
          <w:rFonts w:hint="eastAsia"/>
        </w:rPr>
        <w:t>托人风险偏好设置的特性等。具体测算可参考交易流程闭环、资金结算实时监控、业务数据实时监控以及交易异常实时监控</w:t>
      </w:r>
      <w:proofErr w:type="gramStart"/>
      <w:r>
        <w:rPr>
          <w:rFonts w:hint="eastAsia"/>
        </w:rPr>
        <w:t>等风控因素</w:t>
      </w:r>
      <w:proofErr w:type="gramEnd"/>
      <w:r>
        <w:rPr>
          <w:rFonts w:hint="eastAsia"/>
        </w:rPr>
        <w:t>。</w:t>
      </w:r>
    </w:p>
    <w:p w14:paraId="5A93AFC0" w14:textId="77777777" w:rsidR="003252FA" w:rsidRDefault="003252FA" w:rsidP="003252FA">
      <w:pPr>
        <w:pStyle w:val="13"/>
      </w:pPr>
      <w:r>
        <w:rPr>
          <w:rFonts w:hint="eastAsia"/>
        </w:rPr>
        <w:t>道路运输物流企业授</w:t>
      </w:r>
      <w:proofErr w:type="gramStart"/>
      <w:r>
        <w:rPr>
          <w:rFonts w:hint="eastAsia"/>
        </w:rPr>
        <w:t>信结构风控</w:t>
      </w:r>
      <w:proofErr w:type="gramEnd"/>
      <w:r>
        <w:rPr>
          <w:rFonts w:hint="eastAsia"/>
        </w:rPr>
        <w:t>体系系数（</w:t>
      </w:r>
      <w:r>
        <w:t>S）测算可以参考以下公式：</w:t>
      </w:r>
    </w:p>
    <w:p w14:paraId="5E93560F" w14:textId="503E4FF5" w:rsidR="003252FA" w:rsidRDefault="00B17D04" w:rsidP="003252FA">
      <w:pPr>
        <w:pStyle w:val="13"/>
      </w:pPr>
      <w:r w:rsidRPr="00B17D04">
        <w:t>S=T×F×B×U</w:t>
      </w:r>
    </w:p>
    <w:p w14:paraId="48801624" w14:textId="77777777" w:rsidR="00B17D04" w:rsidRDefault="003252FA" w:rsidP="003252FA">
      <w:pPr>
        <w:pStyle w:val="13"/>
      </w:pPr>
      <w:r>
        <w:rPr>
          <w:rFonts w:hint="eastAsia"/>
        </w:rPr>
        <w:t>其中：</w:t>
      </w:r>
      <w:r>
        <w:t>T</w:t>
      </w:r>
      <w:proofErr w:type="gramStart"/>
      <w:r>
        <w:t>—交易</w:t>
      </w:r>
      <w:proofErr w:type="gramEnd"/>
      <w:r>
        <w:t>流程闭环评分</w:t>
      </w:r>
    </w:p>
    <w:p w14:paraId="0F6902C4" w14:textId="77777777" w:rsidR="00B17D04" w:rsidRDefault="003252FA" w:rsidP="00B17D04">
      <w:pPr>
        <w:pStyle w:val="13"/>
        <w:ind w:firstLineChars="500" w:firstLine="1200"/>
      </w:pPr>
      <w:r>
        <w:t>F—资金结算实时监控评分</w:t>
      </w:r>
    </w:p>
    <w:p w14:paraId="56753BF8" w14:textId="77777777" w:rsidR="00B17D04" w:rsidRDefault="003252FA" w:rsidP="00B17D04">
      <w:pPr>
        <w:pStyle w:val="13"/>
        <w:ind w:firstLineChars="500" w:firstLine="1200"/>
      </w:pPr>
      <w:r>
        <w:t>B</w:t>
      </w:r>
      <w:proofErr w:type="gramStart"/>
      <w:r>
        <w:t>—业务</w:t>
      </w:r>
      <w:proofErr w:type="gramEnd"/>
      <w:r>
        <w:t>数据实时监控评分</w:t>
      </w:r>
    </w:p>
    <w:p w14:paraId="7F8C6D6C" w14:textId="4A9BCF87" w:rsidR="003252FA" w:rsidRDefault="003252FA" w:rsidP="00B17D04">
      <w:pPr>
        <w:pStyle w:val="13"/>
        <w:ind w:firstLineChars="500" w:firstLine="1200"/>
      </w:pPr>
      <w:r>
        <w:t>U</w:t>
      </w:r>
      <w:proofErr w:type="gramStart"/>
      <w:r>
        <w:t>—交易</w:t>
      </w:r>
      <w:proofErr w:type="gramEnd"/>
      <w:r>
        <w:t>异常实时监控评分</w:t>
      </w:r>
    </w:p>
    <w:p w14:paraId="494EC01F" w14:textId="6C79DF38" w:rsidR="003252FA" w:rsidRDefault="003B2FB1" w:rsidP="003252FA">
      <w:pPr>
        <w:pStyle w:val="13"/>
        <w:ind w:firstLine="482"/>
      </w:pPr>
      <w:r w:rsidRPr="003B2FB1">
        <w:rPr>
          <w:rFonts w:hint="eastAsia"/>
          <w:b/>
        </w:rPr>
        <w:t xml:space="preserve">第三十二条 </w:t>
      </w:r>
      <w:r w:rsidR="003252FA">
        <w:t>资产评估机构执行道路运输物流企业授信额度评估咨询业务时，对三流合一数据量评估应当考虑物流行业业务淡旺季特点和企业规模因素的影响。具体测算可参考道路运输物流企业的业务订单信息数据量、资金结算信息数据量和物流运单信息数据量等数据。</w:t>
      </w:r>
    </w:p>
    <w:p w14:paraId="6D2D30B6" w14:textId="77777777" w:rsidR="003252FA" w:rsidRDefault="003252FA" w:rsidP="003252FA">
      <w:pPr>
        <w:pStyle w:val="13"/>
      </w:pPr>
      <w:r>
        <w:rPr>
          <w:rFonts w:hint="eastAsia"/>
        </w:rPr>
        <w:t>三流合一数据量系数（</w:t>
      </w:r>
      <w:r>
        <w:t>D）测算可以参考以下公式：</w:t>
      </w:r>
    </w:p>
    <w:p w14:paraId="37CF7B71" w14:textId="77777777" w:rsidR="00B17D04" w:rsidRDefault="00B17D04" w:rsidP="003252FA">
      <w:pPr>
        <w:pStyle w:val="13"/>
      </w:pPr>
      <w:r>
        <w:t>D=X×Y×Z</w:t>
      </w:r>
    </w:p>
    <w:p w14:paraId="22F493B2" w14:textId="77777777" w:rsidR="00B17D04" w:rsidRDefault="003252FA" w:rsidP="003252FA">
      <w:pPr>
        <w:pStyle w:val="13"/>
      </w:pPr>
      <w:r>
        <w:rPr>
          <w:rFonts w:hint="eastAsia"/>
        </w:rPr>
        <w:t>其中：</w:t>
      </w:r>
      <w:r>
        <w:t>X</w:t>
      </w:r>
      <w:proofErr w:type="gramStart"/>
      <w:r>
        <w:t>—业务</w:t>
      </w:r>
      <w:proofErr w:type="gramEnd"/>
      <w:r>
        <w:t>订单信息数据量/企业总业务量</w:t>
      </w:r>
    </w:p>
    <w:p w14:paraId="028466DB" w14:textId="77777777" w:rsidR="00B17D04" w:rsidRDefault="003252FA" w:rsidP="00B17D04">
      <w:pPr>
        <w:pStyle w:val="13"/>
        <w:ind w:firstLineChars="500" w:firstLine="1200"/>
      </w:pPr>
      <w:r>
        <w:t>Y—资金结算信息数据量/企业总结算量</w:t>
      </w:r>
    </w:p>
    <w:p w14:paraId="5787DF6E" w14:textId="1BD2D6BA" w:rsidR="003252FA" w:rsidRDefault="003252FA" w:rsidP="00B17D04">
      <w:pPr>
        <w:pStyle w:val="13"/>
        <w:ind w:firstLineChars="500" w:firstLine="1200"/>
      </w:pPr>
      <w:r>
        <w:t>Z—物流运单信息数据量/企业总运单量</w:t>
      </w:r>
    </w:p>
    <w:p w14:paraId="12935FFF" w14:textId="77777777" w:rsidR="003252FA" w:rsidRDefault="003252FA" w:rsidP="003252FA">
      <w:pPr>
        <w:pStyle w:val="13"/>
      </w:pPr>
      <w:r>
        <w:rPr>
          <w:rFonts w:hint="eastAsia"/>
        </w:rPr>
        <w:t>注：业务订单是指道路运输物流企业承接货主的订单物流运单是指道路运输物流企业运输系统开出的运单</w:t>
      </w:r>
    </w:p>
    <w:p w14:paraId="3AD675BB" w14:textId="78A12062" w:rsidR="003252FA" w:rsidRDefault="003B2FB1" w:rsidP="003252FA">
      <w:pPr>
        <w:pStyle w:val="13"/>
        <w:ind w:firstLine="482"/>
      </w:pPr>
      <w:r w:rsidRPr="003B2FB1">
        <w:rPr>
          <w:rFonts w:hint="eastAsia"/>
          <w:b/>
        </w:rPr>
        <w:t xml:space="preserve">第三十三条 </w:t>
      </w:r>
      <w:r w:rsidR="003252FA">
        <w:t>开展道路运输物流企业授信额度评估咨询业务时，道路运输物流企业分类和评估等级系数可参考道路运输物流企业所取得的国家物流评分级别进行系数化评分。（参照表 4）</w:t>
      </w:r>
    </w:p>
    <w:p w14:paraId="506F5455" w14:textId="77777777" w:rsidR="003252FA" w:rsidRDefault="003252FA" w:rsidP="00AF7342">
      <w:pPr>
        <w:pStyle w:val="a9"/>
        <w:spacing w:before="62" w:after="62"/>
      </w:pPr>
      <w:r>
        <w:rPr>
          <w:rFonts w:hint="eastAsia"/>
        </w:rPr>
        <w:t>第四章</w:t>
      </w:r>
      <w:r>
        <w:t xml:space="preserve"> 披露要求</w:t>
      </w:r>
    </w:p>
    <w:p w14:paraId="5A033311" w14:textId="17B041FE" w:rsidR="003252FA" w:rsidRDefault="003B2FB1" w:rsidP="003252FA">
      <w:pPr>
        <w:pStyle w:val="13"/>
        <w:ind w:firstLine="482"/>
      </w:pPr>
      <w:r w:rsidRPr="003B2FB1">
        <w:rPr>
          <w:rFonts w:hint="eastAsia"/>
          <w:b/>
        </w:rPr>
        <w:t xml:space="preserve">第三十四条 </w:t>
      </w:r>
      <w:r w:rsidR="003252FA">
        <w:t>编制道路运输物流企业授信额度评估咨询报告应当反映企业授信额度的特点，通常包括下列内容：</w:t>
      </w:r>
    </w:p>
    <w:p w14:paraId="47CB0C7C" w14:textId="77777777" w:rsidR="003252FA" w:rsidRDefault="003252FA" w:rsidP="003252FA">
      <w:pPr>
        <w:pStyle w:val="13"/>
      </w:pPr>
      <w:r>
        <w:rPr>
          <w:rFonts w:hint="eastAsia"/>
        </w:rPr>
        <w:t>（一）企业授信额度评估咨询公式以及依据说明；</w:t>
      </w:r>
    </w:p>
    <w:p w14:paraId="53AACDCF" w14:textId="77777777" w:rsidR="003252FA" w:rsidRDefault="003252FA" w:rsidP="003252FA">
      <w:pPr>
        <w:pStyle w:val="13"/>
      </w:pPr>
      <w:r>
        <w:rPr>
          <w:rFonts w:hint="eastAsia"/>
        </w:rPr>
        <w:t>（二）企业价值；</w:t>
      </w:r>
    </w:p>
    <w:p w14:paraId="5AA65317" w14:textId="77777777" w:rsidR="003252FA" w:rsidRDefault="003252FA" w:rsidP="003252FA">
      <w:pPr>
        <w:pStyle w:val="13"/>
      </w:pPr>
      <w:r>
        <w:rPr>
          <w:rFonts w:hint="eastAsia"/>
        </w:rPr>
        <w:lastRenderedPageBreak/>
        <w:t>（三）企业信用评分；</w:t>
      </w:r>
    </w:p>
    <w:p w14:paraId="39CE91D7" w14:textId="77777777" w:rsidR="003252FA" w:rsidRDefault="003252FA" w:rsidP="003252FA">
      <w:pPr>
        <w:pStyle w:val="13"/>
      </w:pPr>
      <w:r>
        <w:rPr>
          <w:rFonts w:hint="eastAsia"/>
        </w:rPr>
        <w:t>（四）企业授</w:t>
      </w:r>
      <w:proofErr w:type="gramStart"/>
      <w:r>
        <w:rPr>
          <w:rFonts w:hint="eastAsia"/>
        </w:rPr>
        <w:t>信结构风控</w:t>
      </w:r>
      <w:proofErr w:type="gramEnd"/>
      <w:r>
        <w:rPr>
          <w:rFonts w:hint="eastAsia"/>
        </w:rPr>
        <w:t>体系；</w:t>
      </w:r>
    </w:p>
    <w:p w14:paraId="44BDC1F1" w14:textId="77777777" w:rsidR="003252FA" w:rsidRDefault="003252FA" w:rsidP="003252FA">
      <w:pPr>
        <w:pStyle w:val="13"/>
      </w:pPr>
      <w:r>
        <w:rPr>
          <w:rFonts w:hint="eastAsia"/>
        </w:rPr>
        <w:t>（五）企业三流合一数据量；</w:t>
      </w:r>
    </w:p>
    <w:p w14:paraId="3EC6166A" w14:textId="77777777" w:rsidR="003252FA" w:rsidRDefault="003252FA" w:rsidP="003252FA">
      <w:pPr>
        <w:pStyle w:val="13"/>
      </w:pPr>
      <w:r>
        <w:rPr>
          <w:rFonts w:hint="eastAsia"/>
        </w:rPr>
        <w:t>（六）道路运输物流企业分类和评估等级；</w:t>
      </w:r>
    </w:p>
    <w:p w14:paraId="5056AE82" w14:textId="77777777" w:rsidR="003252FA" w:rsidRDefault="003252FA" w:rsidP="003252FA">
      <w:pPr>
        <w:pStyle w:val="13"/>
      </w:pPr>
      <w:r>
        <w:rPr>
          <w:rFonts w:hint="eastAsia"/>
        </w:rPr>
        <w:t>（七）授信额度评估咨询结果。</w:t>
      </w:r>
    </w:p>
    <w:p w14:paraId="5477540E" w14:textId="69216320" w:rsidR="003252FA" w:rsidRDefault="003B2FB1" w:rsidP="003252FA">
      <w:pPr>
        <w:pStyle w:val="13"/>
        <w:ind w:firstLine="482"/>
      </w:pPr>
      <w:r w:rsidRPr="003B2FB1">
        <w:rPr>
          <w:rFonts w:hint="eastAsia"/>
          <w:b/>
        </w:rPr>
        <w:t xml:space="preserve">第三十五条 </w:t>
      </w:r>
      <w:r w:rsidR="003252FA">
        <w:t>在道路运输物流企业授信额度评估咨询报告中，企业价值披露包含的内容如下：</w:t>
      </w:r>
    </w:p>
    <w:p w14:paraId="00E08A30" w14:textId="77777777" w:rsidR="003252FA" w:rsidRDefault="003252FA" w:rsidP="003252FA">
      <w:pPr>
        <w:pStyle w:val="13"/>
      </w:pPr>
      <w:r>
        <w:rPr>
          <w:rFonts w:hint="eastAsia"/>
        </w:rPr>
        <w:t>（一）影响企业经营的宏观、区域经济因素；</w:t>
      </w:r>
    </w:p>
    <w:p w14:paraId="4121F288" w14:textId="77777777" w:rsidR="003252FA" w:rsidRDefault="003252FA" w:rsidP="003252FA">
      <w:pPr>
        <w:pStyle w:val="13"/>
      </w:pPr>
      <w:r>
        <w:rPr>
          <w:rFonts w:hint="eastAsia"/>
        </w:rPr>
        <w:t>（二）所在行业现状与发展前景；</w:t>
      </w:r>
    </w:p>
    <w:p w14:paraId="4E6233DB" w14:textId="77777777" w:rsidR="003252FA" w:rsidRDefault="003252FA" w:rsidP="003252FA">
      <w:pPr>
        <w:pStyle w:val="13"/>
      </w:pPr>
      <w:r>
        <w:rPr>
          <w:rFonts w:hint="eastAsia"/>
        </w:rPr>
        <w:t>（三）企业的业务情况分析；</w:t>
      </w:r>
    </w:p>
    <w:p w14:paraId="286C45CE" w14:textId="77777777" w:rsidR="003252FA" w:rsidRDefault="003252FA" w:rsidP="003252FA">
      <w:pPr>
        <w:pStyle w:val="13"/>
      </w:pPr>
      <w:r>
        <w:rPr>
          <w:rFonts w:hint="eastAsia"/>
        </w:rPr>
        <w:t>（四）企业的资产、财务分析和调整情况；</w:t>
      </w:r>
    </w:p>
    <w:p w14:paraId="5CBEC33B" w14:textId="77777777" w:rsidR="003252FA" w:rsidRDefault="003252FA" w:rsidP="003252FA">
      <w:pPr>
        <w:pStyle w:val="13"/>
      </w:pPr>
      <w:r>
        <w:rPr>
          <w:rFonts w:hint="eastAsia"/>
        </w:rPr>
        <w:t>（五）测算方法的运用过程。</w:t>
      </w:r>
    </w:p>
    <w:p w14:paraId="1D548EA5" w14:textId="0CA94B99" w:rsidR="003252FA" w:rsidRDefault="003B2FB1" w:rsidP="003252FA">
      <w:pPr>
        <w:pStyle w:val="13"/>
        <w:ind w:firstLine="482"/>
      </w:pPr>
      <w:r w:rsidRPr="003B2FB1">
        <w:rPr>
          <w:rFonts w:hint="eastAsia"/>
          <w:b/>
        </w:rPr>
        <w:t xml:space="preserve">第三十六条 </w:t>
      </w:r>
      <w:r w:rsidR="003252FA">
        <w:t>在道路运输物流企业授信额度评估咨询报告中，企业信用评分披露应当包含的内容如下：</w:t>
      </w:r>
    </w:p>
    <w:p w14:paraId="4FF10C1C" w14:textId="77777777" w:rsidR="003252FA" w:rsidRDefault="003252FA" w:rsidP="003252FA">
      <w:pPr>
        <w:pStyle w:val="13"/>
      </w:pPr>
      <w:r>
        <w:rPr>
          <w:rFonts w:hint="eastAsia"/>
        </w:rPr>
        <w:t>（一）企业信用评分依据；</w:t>
      </w:r>
    </w:p>
    <w:p w14:paraId="6D6A628A" w14:textId="77777777" w:rsidR="003252FA" w:rsidRDefault="003252FA" w:rsidP="003252FA">
      <w:pPr>
        <w:pStyle w:val="13"/>
      </w:pPr>
      <w:r>
        <w:rPr>
          <w:rFonts w:hint="eastAsia"/>
        </w:rPr>
        <w:t>（二）企业主体概况；</w:t>
      </w:r>
    </w:p>
    <w:p w14:paraId="25533634" w14:textId="77777777" w:rsidR="003252FA" w:rsidRDefault="003252FA" w:rsidP="003252FA">
      <w:pPr>
        <w:pStyle w:val="13"/>
      </w:pPr>
      <w:r>
        <w:rPr>
          <w:rFonts w:hint="eastAsia"/>
        </w:rPr>
        <w:t>（三）企业信用得分分布情况；</w:t>
      </w:r>
    </w:p>
    <w:p w14:paraId="04533C4A" w14:textId="77777777" w:rsidR="003252FA" w:rsidRDefault="003252FA" w:rsidP="003252FA">
      <w:pPr>
        <w:pStyle w:val="13"/>
      </w:pPr>
      <w:r>
        <w:rPr>
          <w:rFonts w:hint="eastAsia"/>
        </w:rPr>
        <w:t>（四）企业信用评分排名；</w:t>
      </w:r>
    </w:p>
    <w:p w14:paraId="083C9CBB" w14:textId="77777777" w:rsidR="003252FA" w:rsidRDefault="003252FA" w:rsidP="003252FA">
      <w:pPr>
        <w:pStyle w:val="13"/>
      </w:pPr>
      <w:r>
        <w:rPr>
          <w:rFonts w:hint="eastAsia"/>
        </w:rPr>
        <w:t>（五）企业综合信用评分结果。</w:t>
      </w:r>
    </w:p>
    <w:p w14:paraId="18556E1B" w14:textId="763B2812" w:rsidR="003252FA" w:rsidRDefault="003B2FB1" w:rsidP="003252FA">
      <w:pPr>
        <w:pStyle w:val="13"/>
        <w:ind w:firstLine="482"/>
      </w:pPr>
      <w:r w:rsidRPr="003B2FB1">
        <w:rPr>
          <w:rFonts w:hint="eastAsia"/>
          <w:b/>
        </w:rPr>
        <w:t xml:space="preserve">第三十七条 </w:t>
      </w:r>
      <w:r w:rsidR="003252FA">
        <w:t>在道路运输物流企业授信额度评估咨询报告中，企业授</w:t>
      </w:r>
      <w:proofErr w:type="gramStart"/>
      <w:r w:rsidR="003252FA">
        <w:t>信结构风控</w:t>
      </w:r>
      <w:proofErr w:type="gramEnd"/>
      <w:r w:rsidR="003252FA">
        <w:t>体系评估披露通常包含的内容如下：</w:t>
      </w:r>
    </w:p>
    <w:p w14:paraId="206DAFD1" w14:textId="77777777" w:rsidR="003252FA" w:rsidRDefault="003252FA" w:rsidP="003252FA">
      <w:pPr>
        <w:pStyle w:val="13"/>
      </w:pPr>
      <w:r>
        <w:rPr>
          <w:rFonts w:hint="eastAsia"/>
        </w:rPr>
        <w:t>（一）企业授</w:t>
      </w:r>
      <w:proofErr w:type="gramStart"/>
      <w:r>
        <w:rPr>
          <w:rFonts w:hint="eastAsia"/>
        </w:rPr>
        <w:t>信结构风控</w:t>
      </w:r>
      <w:proofErr w:type="gramEnd"/>
      <w:r>
        <w:rPr>
          <w:rFonts w:hint="eastAsia"/>
        </w:rPr>
        <w:t>体系评估说明；</w:t>
      </w:r>
    </w:p>
    <w:p w14:paraId="2AFEACA2" w14:textId="77777777" w:rsidR="003252FA" w:rsidRDefault="003252FA" w:rsidP="003252FA">
      <w:pPr>
        <w:pStyle w:val="13"/>
      </w:pPr>
      <w:r>
        <w:rPr>
          <w:rFonts w:hint="eastAsia"/>
        </w:rPr>
        <w:t>（二）企业授</w:t>
      </w:r>
      <w:proofErr w:type="gramStart"/>
      <w:r>
        <w:rPr>
          <w:rFonts w:hint="eastAsia"/>
        </w:rPr>
        <w:t>信结构风控</w:t>
      </w:r>
      <w:proofErr w:type="gramEnd"/>
      <w:r>
        <w:rPr>
          <w:rFonts w:hint="eastAsia"/>
        </w:rPr>
        <w:t>体系评估得分分布情况；</w:t>
      </w:r>
    </w:p>
    <w:p w14:paraId="0731962D" w14:textId="77777777" w:rsidR="003252FA" w:rsidRDefault="003252FA" w:rsidP="003252FA">
      <w:pPr>
        <w:pStyle w:val="13"/>
      </w:pPr>
      <w:r>
        <w:rPr>
          <w:rFonts w:hint="eastAsia"/>
        </w:rPr>
        <w:t>（三）企业授</w:t>
      </w:r>
      <w:proofErr w:type="gramStart"/>
      <w:r>
        <w:rPr>
          <w:rFonts w:hint="eastAsia"/>
        </w:rPr>
        <w:t>信结构风控</w:t>
      </w:r>
      <w:proofErr w:type="gramEnd"/>
      <w:r>
        <w:rPr>
          <w:rFonts w:hint="eastAsia"/>
        </w:rPr>
        <w:t>体系评估结果。</w:t>
      </w:r>
    </w:p>
    <w:p w14:paraId="145AEF3A" w14:textId="76A6E536" w:rsidR="003252FA" w:rsidRDefault="003B2FB1" w:rsidP="003252FA">
      <w:pPr>
        <w:pStyle w:val="13"/>
        <w:ind w:firstLine="482"/>
      </w:pPr>
      <w:r w:rsidRPr="003B2FB1">
        <w:rPr>
          <w:rFonts w:hint="eastAsia"/>
          <w:b/>
        </w:rPr>
        <w:t xml:space="preserve">第三十八条 </w:t>
      </w:r>
      <w:r w:rsidR="003252FA">
        <w:t>在道路运输物流企业授信额度评估咨询报告中，企业三流合一数据量评估披露通常包含的内容如下：</w:t>
      </w:r>
    </w:p>
    <w:p w14:paraId="7F98445B" w14:textId="77777777" w:rsidR="003252FA" w:rsidRDefault="003252FA" w:rsidP="003252FA">
      <w:pPr>
        <w:pStyle w:val="13"/>
      </w:pPr>
      <w:r>
        <w:rPr>
          <w:rFonts w:hint="eastAsia"/>
        </w:rPr>
        <w:t>（一）企业三流合一数据量评估说明；</w:t>
      </w:r>
    </w:p>
    <w:p w14:paraId="0F83516B" w14:textId="77777777" w:rsidR="003252FA" w:rsidRDefault="003252FA" w:rsidP="003252FA">
      <w:pPr>
        <w:pStyle w:val="13"/>
      </w:pPr>
      <w:r>
        <w:rPr>
          <w:rFonts w:hint="eastAsia"/>
        </w:rPr>
        <w:t>（二）企业三流合一数据量评估得分分布情况；</w:t>
      </w:r>
    </w:p>
    <w:p w14:paraId="3BD7412D" w14:textId="77777777" w:rsidR="003252FA" w:rsidRDefault="003252FA" w:rsidP="003252FA">
      <w:pPr>
        <w:pStyle w:val="13"/>
      </w:pPr>
      <w:r>
        <w:rPr>
          <w:rFonts w:hint="eastAsia"/>
        </w:rPr>
        <w:t>（三）企业三流合一数据量评估结果。</w:t>
      </w:r>
    </w:p>
    <w:p w14:paraId="4BEC23E1" w14:textId="3BD7969C" w:rsidR="003252FA" w:rsidRDefault="003B2FB1" w:rsidP="003252FA">
      <w:pPr>
        <w:pStyle w:val="13"/>
        <w:ind w:firstLine="482"/>
      </w:pPr>
      <w:r w:rsidRPr="003B2FB1">
        <w:rPr>
          <w:rFonts w:hint="eastAsia"/>
          <w:b/>
        </w:rPr>
        <w:t xml:space="preserve">第三十九条 </w:t>
      </w:r>
      <w:r w:rsidR="003252FA">
        <w:t>在道路运输物流企业授信额度评估咨询报告中，道路运输物流企业分类和评估等级披露应当包含的内容如下：</w:t>
      </w:r>
    </w:p>
    <w:p w14:paraId="3D2941FC" w14:textId="77777777" w:rsidR="003252FA" w:rsidRDefault="003252FA" w:rsidP="003252FA">
      <w:pPr>
        <w:pStyle w:val="13"/>
      </w:pPr>
      <w:r>
        <w:rPr>
          <w:rFonts w:hint="eastAsia"/>
        </w:rPr>
        <w:t>（一）企业国家物流分类与评估方法说明；</w:t>
      </w:r>
    </w:p>
    <w:p w14:paraId="72D532D1" w14:textId="77777777" w:rsidR="003252FA" w:rsidRDefault="003252FA" w:rsidP="003252FA">
      <w:pPr>
        <w:pStyle w:val="13"/>
      </w:pPr>
      <w:r>
        <w:rPr>
          <w:rFonts w:hint="eastAsia"/>
        </w:rPr>
        <w:t>（二）企业国家评级情况。</w:t>
      </w:r>
    </w:p>
    <w:p w14:paraId="419B2004" w14:textId="1ABC8362" w:rsidR="003252FA" w:rsidRDefault="003B2FB1" w:rsidP="003252FA">
      <w:pPr>
        <w:pStyle w:val="13"/>
        <w:ind w:firstLine="482"/>
      </w:pPr>
      <w:r w:rsidRPr="003B2FB1">
        <w:rPr>
          <w:rFonts w:hint="eastAsia"/>
          <w:b/>
        </w:rPr>
        <w:t xml:space="preserve">第四十条 </w:t>
      </w:r>
      <w:r w:rsidR="003252FA">
        <w:t>资产评估机构应当在道路运输物流企业授信额度评估咨询报告中披</w:t>
      </w:r>
      <w:r w:rsidR="003252FA">
        <w:lastRenderedPageBreak/>
        <w:t>露无法核查验证的事项及其对评估咨询结论的影响。</w:t>
      </w:r>
    </w:p>
    <w:p w14:paraId="77280B32" w14:textId="3B26CC63" w:rsidR="003252FA" w:rsidRDefault="003B2FB1" w:rsidP="003252FA">
      <w:pPr>
        <w:pStyle w:val="13"/>
        <w:ind w:firstLine="482"/>
      </w:pPr>
      <w:r w:rsidRPr="003B2FB1">
        <w:rPr>
          <w:rFonts w:hint="eastAsia"/>
          <w:b/>
        </w:rPr>
        <w:t xml:space="preserve">第四十一条 </w:t>
      </w:r>
      <w:r w:rsidR="003252FA">
        <w:t>道路运输物流企业授信额度评估咨询报告应当载明：委托人或者其他评估咨询报告使用人未按照相关法律、行政法规规定和评估咨询报告载明的使用范围使用评估咨询报告的，资产评估机构不承担责任；除委托人、授信额度评估咨询委托合同中约定的其他评估咨询报告使用人和法律、行政法规规定的评估咨询报告使用人之外，其他任何机构和个人不能成为授信额度评估咨询报告的使用人。</w:t>
      </w:r>
    </w:p>
    <w:p w14:paraId="564283E2" w14:textId="24BCA809" w:rsidR="003252FA" w:rsidRDefault="003B2FB1" w:rsidP="003252FA">
      <w:pPr>
        <w:pStyle w:val="13"/>
        <w:ind w:firstLine="482"/>
      </w:pPr>
      <w:r w:rsidRPr="003B2FB1">
        <w:rPr>
          <w:rFonts w:hint="eastAsia"/>
          <w:b/>
        </w:rPr>
        <w:t xml:space="preserve">第四十二条 </w:t>
      </w:r>
      <w:r w:rsidR="003252FA">
        <w:t>资产评估机构应当在道路运输物流企业授信额度评估咨询报告中提醒报告使用人正确理解和使用评估咨询结论，评估咨询结论不应当被认为是最终可获得授信额度的保证。</w:t>
      </w:r>
    </w:p>
    <w:p w14:paraId="50CA65B8" w14:textId="77777777" w:rsidR="003252FA" w:rsidRDefault="003252FA" w:rsidP="00AF7342">
      <w:pPr>
        <w:pStyle w:val="a9"/>
        <w:spacing w:before="62" w:after="62"/>
      </w:pPr>
      <w:r>
        <w:rPr>
          <w:rFonts w:hint="eastAsia"/>
        </w:rPr>
        <w:t>第五章</w:t>
      </w:r>
      <w:r>
        <w:t xml:space="preserve"> 附则</w:t>
      </w:r>
    </w:p>
    <w:p w14:paraId="7FAD1DE7" w14:textId="3AF5D423" w:rsidR="003252FA" w:rsidRDefault="003B2FB1" w:rsidP="003252FA">
      <w:pPr>
        <w:pStyle w:val="13"/>
        <w:ind w:firstLine="482"/>
      </w:pPr>
      <w:r w:rsidRPr="003B2FB1">
        <w:rPr>
          <w:rFonts w:hint="eastAsia"/>
          <w:b/>
        </w:rPr>
        <w:t xml:space="preserve">第四十三条 </w:t>
      </w:r>
      <w:r w:rsidR="003252FA">
        <w:t>本操作指引自 2020</w:t>
      </w:r>
      <w:r w:rsidR="003068F8">
        <w:t>年</w:t>
      </w:r>
      <w:r w:rsidR="003252FA">
        <w:t>1</w:t>
      </w:r>
      <w:r w:rsidR="003068F8">
        <w:t>月</w:t>
      </w:r>
      <w:r w:rsidR="003252FA">
        <w:t>1</w:t>
      </w:r>
      <w:r w:rsidR="003068F8">
        <w:t>日</w:t>
      </w:r>
      <w:r w:rsidR="003252FA">
        <w:t>起试行。</w:t>
      </w:r>
    </w:p>
    <w:p w14:paraId="3A37E9AC" w14:textId="77BB7336" w:rsidR="00B17D04" w:rsidRDefault="00B17D04" w:rsidP="00B17D04">
      <w:pPr>
        <w:pStyle w:val="13"/>
      </w:pPr>
      <w:r>
        <w:rPr>
          <w:rFonts w:hint="eastAsia"/>
        </w:rPr>
        <w:t>附表：</w:t>
      </w:r>
      <w:r>
        <w:t>1.核心道路运输物流企业信用评分指标体系参考</w:t>
      </w:r>
      <w:r>
        <w:rPr>
          <w:rFonts w:hint="eastAsia"/>
        </w:rPr>
        <w:t>表（略）</w:t>
      </w:r>
    </w:p>
    <w:p w14:paraId="02154345" w14:textId="6D3FD38A" w:rsidR="00B17D04" w:rsidRDefault="00B17D04" w:rsidP="00B17D04">
      <w:pPr>
        <w:pStyle w:val="13"/>
        <w:ind w:firstLineChars="500" w:firstLine="1200"/>
      </w:pPr>
      <w:r>
        <w:t>2.小微道路运输物流企业信用评分指标体系参考</w:t>
      </w:r>
      <w:r>
        <w:rPr>
          <w:rFonts w:hint="eastAsia"/>
        </w:rPr>
        <w:t>表（略）</w:t>
      </w:r>
    </w:p>
    <w:p w14:paraId="04C26BBD" w14:textId="77777777" w:rsidR="00B17D04" w:rsidRDefault="00B17D04" w:rsidP="00B17D04">
      <w:pPr>
        <w:pStyle w:val="13"/>
        <w:ind w:firstLineChars="500" w:firstLine="1200"/>
      </w:pPr>
      <w:r>
        <w:t>3.评分结果对应的信用等级参考表（略）</w:t>
      </w:r>
    </w:p>
    <w:p w14:paraId="4DF95D0C" w14:textId="44A35389" w:rsidR="00F24348" w:rsidRPr="003252FA" w:rsidRDefault="00B17D04" w:rsidP="00B17D04">
      <w:pPr>
        <w:pStyle w:val="13"/>
        <w:ind w:firstLineChars="500" w:firstLine="1200"/>
      </w:pPr>
      <w:r>
        <w:t>4.道路运输物流企业分类和评估等级系数参考表</w:t>
      </w:r>
      <w:r>
        <w:rPr>
          <w:rFonts w:hint="eastAsia"/>
        </w:rPr>
        <w:t>（略）</w:t>
      </w:r>
    </w:p>
    <w:p w14:paraId="4F8C7F92" w14:textId="7E62F5B5" w:rsidR="00F24348" w:rsidRDefault="008C1A72" w:rsidP="008C1A72">
      <w:pPr>
        <w:pStyle w:val="31"/>
        <w:spacing w:before="156" w:after="62"/>
      </w:pPr>
      <w:bookmarkStart w:id="103" w:name="_Toc81833366"/>
      <w:r w:rsidRPr="008C1A72">
        <w:rPr>
          <w:rFonts w:hint="eastAsia"/>
        </w:rPr>
        <w:t>政府和社会资本合作（</w:t>
      </w:r>
      <w:r w:rsidRPr="008C1A72">
        <w:t>PPP）项目绩效管理操作指引</w:t>
      </w:r>
      <w:r>
        <w:rPr>
          <w:rFonts w:hint="eastAsia"/>
        </w:rPr>
        <w:t>（</w:t>
      </w:r>
      <w:r w:rsidRPr="008C1A72">
        <w:rPr>
          <w:rFonts w:hint="eastAsia"/>
        </w:rPr>
        <w:t>财金〔</w:t>
      </w:r>
      <w:r w:rsidRPr="008C1A72">
        <w:t>2020〕13号</w:t>
      </w:r>
      <w:r>
        <w:rPr>
          <w:rFonts w:hint="eastAsia"/>
        </w:rPr>
        <w:t>）</w:t>
      </w:r>
      <w:bookmarkEnd w:id="103"/>
    </w:p>
    <w:p w14:paraId="7A846C66" w14:textId="443FAA6F" w:rsidR="008C1A72" w:rsidRDefault="008C1A72" w:rsidP="008C1A72">
      <w:pPr>
        <w:pStyle w:val="13"/>
        <w:ind w:firstLineChars="0" w:firstLine="0"/>
      </w:pPr>
      <w:r>
        <w:rPr>
          <w:rFonts w:hint="eastAsia"/>
        </w:rPr>
        <w:t>各省、自治区、直辖市、计划单列市财政厅（局），新疆生产建设兵团财政局：</w:t>
      </w:r>
    </w:p>
    <w:p w14:paraId="453F6BA2" w14:textId="77777777" w:rsidR="008C1A72" w:rsidRDefault="008C1A72" w:rsidP="008C1A72">
      <w:pPr>
        <w:pStyle w:val="13"/>
      </w:pPr>
      <w:r>
        <w:rPr>
          <w:rFonts w:hint="eastAsia"/>
        </w:rPr>
        <w:t>为规范政府和社会资本合作（</w:t>
      </w:r>
      <w:r>
        <w:t>PPP）项目全生命周期绩效管理工作，提高公共服务供给质量和效率，保障合作各方合法权益，我们制定了《政府和社会资本合作（PPP）项目绩效管理操作指引》，现印发给你们，请遵照执行。</w:t>
      </w:r>
    </w:p>
    <w:p w14:paraId="11C7EC64" w14:textId="71B49820" w:rsidR="00F24348" w:rsidRDefault="008C1A72" w:rsidP="008C1A72">
      <w:pPr>
        <w:pStyle w:val="13"/>
      </w:pPr>
      <w:r>
        <w:rPr>
          <w:rFonts w:hint="eastAsia"/>
        </w:rPr>
        <w:t>附件：政府和社会资本合作（</w:t>
      </w:r>
      <w:r>
        <w:t>PPP）项目绩效管理操作指</w:t>
      </w:r>
      <w:r>
        <w:rPr>
          <w:rFonts w:hint="eastAsia"/>
        </w:rPr>
        <w:t>引</w:t>
      </w:r>
    </w:p>
    <w:p w14:paraId="17BB9C57" w14:textId="10002C6A" w:rsidR="008C1A72" w:rsidRDefault="008C1A72" w:rsidP="008C1A72">
      <w:pPr>
        <w:pStyle w:val="13"/>
        <w:jc w:val="right"/>
      </w:pPr>
      <w:r>
        <w:rPr>
          <w:rFonts w:hint="eastAsia"/>
        </w:rPr>
        <w:t>财</w:t>
      </w:r>
      <w:r>
        <w:t>政部</w:t>
      </w:r>
    </w:p>
    <w:p w14:paraId="35BE749C" w14:textId="4DB4BF04" w:rsidR="00F24348" w:rsidRPr="008C1A72" w:rsidRDefault="008C1A72" w:rsidP="008C1A72">
      <w:pPr>
        <w:pStyle w:val="13"/>
        <w:jc w:val="right"/>
      </w:pPr>
      <w:r>
        <w:t>2020年3月16日</w:t>
      </w:r>
    </w:p>
    <w:p w14:paraId="300770CD" w14:textId="532EB7B6" w:rsidR="00F24348" w:rsidRDefault="008C1A72" w:rsidP="00AF7342">
      <w:pPr>
        <w:pStyle w:val="a9"/>
        <w:spacing w:before="62" w:after="62"/>
      </w:pPr>
      <w:r>
        <w:rPr>
          <w:rFonts w:hint="eastAsia"/>
        </w:rPr>
        <w:t>政府和社会资本合作（</w:t>
      </w:r>
      <w:r>
        <w:t>PPP）项目</w:t>
      </w:r>
      <w:r>
        <w:rPr>
          <w:rFonts w:hint="eastAsia"/>
        </w:rPr>
        <w:t>绩效管理操作指引</w:t>
      </w:r>
    </w:p>
    <w:p w14:paraId="01B4B015" w14:textId="50389BD3" w:rsidR="008C1A72" w:rsidRDefault="008C1A72" w:rsidP="00AF7342">
      <w:pPr>
        <w:pStyle w:val="a9"/>
        <w:spacing w:before="62" w:after="62"/>
      </w:pPr>
      <w:r>
        <w:rPr>
          <w:rFonts w:hint="eastAsia"/>
        </w:rPr>
        <w:t>第一章</w:t>
      </w:r>
      <w:r>
        <w:t xml:space="preserve"> 总则</w:t>
      </w:r>
    </w:p>
    <w:p w14:paraId="0BD3CE47" w14:textId="7A122AC4" w:rsidR="008C1A72" w:rsidRDefault="004E3EBB" w:rsidP="008C1A72">
      <w:pPr>
        <w:pStyle w:val="13"/>
        <w:ind w:firstLine="482"/>
      </w:pPr>
      <w:r w:rsidRPr="004E3EBB">
        <w:rPr>
          <w:rFonts w:hint="eastAsia"/>
          <w:b/>
        </w:rPr>
        <w:t xml:space="preserve">第一条 </w:t>
      </w:r>
      <w:r w:rsidR="008C1A72">
        <w:t>为规范政府和社会资本合作项目（以下简称PPP项目）全生命周期绩效管理工作，提高公共服务供给质量和效率，保障合作各方合法权益，根据《中华人民共和国预算法》、《中共中央 国务院关于全面实施预算绩效管理的意见》、《国务院办公厅转发财政部发展改革委人民银行关于在公共服务领域推广政府和社会资本合作模式指导意见的通知》等有关规定，制定本指引。</w:t>
      </w:r>
    </w:p>
    <w:p w14:paraId="579D398F" w14:textId="67ACCF41" w:rsidR="008C1A72" w:rsidRDefault="004E3EBB" w:rsidP="008C1A72">
      <w:pPr>
        <w:pStyle w:val="13"/>
        <w:ind w:firstLine="482"/>
      </w:pPr>
      <w:r w:rsidRPr="004E3EBB">
        <w:rPr>
          <w:rFonts w:hint="eastAsia"/>
          <w:b/>
        </w:rPr>
        <w:t xml:space="preserve">第二条 </w:t>
      </w:r>
      <w:r w:rsidR="008C1A72">
        <w:t>PPP项目绩效管理是指在PPP项目全生命周期开展的绩效目标和指标管理、绩效监控、绩效评价及结果应用等项目管理活动。</w:t>
      </w:r>
    </w:p>
    <w:p w14:paraId="45B60386" w14:textId="15304B55" w:rsidR="008C1A72" w:rsidRDefault="004E3EBB" w:rsidP="008C1A72">
      <w:pPr>
        <w:pStyle w:val="13"/>
        <w:ind w:firstLine="482"/>
      </w:pPr>
      <w:r w:rsidRPr="004E3EBB">
        <w:rPr>
          <w:rFonts w:hint="eastAsia"/>
          <w:b/>
        </w:rPr>
        <w:t xml:space="preserve">第三条 </w:t>
      </w:r>
      <w:r w:rsidR="008C1A72">
        <w:t>项目实施机构应在项目所属行业主管部门的指导下开展PPP项目绩效管</w:t>
      </w:r>
      <w:r w:rsidR="008C1A72">
        <w:lastRenderedPageBreak/>
        <w:t>理工作，必要时可委托第三方机构协助。</w:t>
      </w:r>
    </w:p>
    <w:p w14:paraId="72B1FB67" w14:textId="77777777" w:rsidR="008C1A72" w:rsidRDefault="008C1A72" w:rsidP="008C1A72">
      <w:pPr>
        <w:pStyle w:val="13"/>
      </w:pPr>
      <w:r>
        <w:rPr>
          <w:rFonts w:hint="eastAsia"/>
        </w:rPr>
        <w:t>各级财政部门负责</w:t>
      </w:r>
      <w:r>
        <w:t>PPP项目绩效管理制度建设、业务指导及再评价、后评价工作。</w:t>
      </w:r>
    </w:p>
    <w:p w14:paraId="31068273" w14:textId="34E2E011" w:rsidR="008C1A72" w:rsidRDefault="004E3EBB" w:rsidP="008C1A72">
      <w:pPr>
        <w:pStyle w:val="13"/>
        <w:ind w:firstLine="482"/>
      </w:pPr>
      <w:r w:rsidRPr="004E3EBB">
        <w:rPr>
          <w:rFonts w:hint="eastAsia"/>
          <w:b/>
        </w:rPr>
        <w:t xml:space="preserve">第四条 </w:t>
      </w:r>
      <w:r w:rsidR="008C1A72">
        <w:t>本指引适用于所有PPP项目，包括政府付费、可行性缺口补助和使用者付费项目。</w:t>
      </w:r>
    </w:p>
    <w:p w14:paraId="61C73C22" w14:textId="21D792EC" w:rsidR="008C1A72" w:rsidRDefault="004E3EBB" w:rsidP="008C1A72">
      <w:pPr>
        <w:pStyle w:val="13"/>
        <w:ind w:firstLine="482"/>
      </w:pPr>
      <w:r w:rsidRPr="004E3EBB">
        <w:rPr>
          <w:rFonts w:hint="eastAsia"/>
          <w:b/>
        </w:rPr>
        <w:t xml:space="preserve">第五条 </w:t>
      </w:r>
      <w:r w:rsidR="008C1A72">
        <w:t>各参与方应当按照科学规范、公开透明、物有所值、风险分担、诚信履约、按效付费等原则开展PPP项目全生命周期绩效管理。</w:t>
      </w:r>
    </w:p>
    <w:p w14:paraId="335AD3B2" w14:textId="7744F63B" w:rsidR="008C1A72" w:rsidRDefault="008C1A72" w:rsidP="00AF7342">
      <w:pPr>
        <w:pStyle w:val="a9"/>
        <w:spacing w:before="62" w:after="62"/>
      </w:pPr>
      <w:r>
        <w:rPr>
          <w:rFonts w:hint="eastAsia"/>
        </w:rPr>
        <w:t>第二章</w:t>
      </w:r>
      <w:r>
        <w:t xml:space="preserve"> PPP项目绩效目标与绩效指标管理</w:t>
      </w:r>
    </w:p>
    <w:p w14:paraId="3E782A5B" w14:textId="1ED47B5A" w:rsidR="008C1A72" w:rsidRDefault="004E3EBB" w:rsidP="008C1A72">
      <w:pPr>
        <w:pStyle w:val="13"/>
        <w:ind w:firstLine="482"/>
      </w:pPr>
      <w:r w:rsidRPr="004E3EBB">
        <w:rPr>
          <w:rFonts w:hint="eastAsia"/>
          <w:b/>
        </w:rPr>
        <w:t xml:space="preserve">第六条 </w:t>
      </w:r>
      <w:r w:rsidR="008C1A72">
        <w:t>项目实施机构负责编制PPP项目绩效目标与绩效指标，</w:t>
      </w:r>
      <w:proofErr w:type="gramStart"/>
      <w:r w:rsidR="008C1A72">
        <w:t>报项目</w:t>
      </w:r>
      <w:proofErr w:type="gramEnd"/>
      <w:r w:rsidR="008C1A72">
        <w:t>所属行业主管部门、财政部门审核。</w:t>
      </w:r>
    </w:p>
    <w:p w14:paraId="22FDC4F8" w14:textId="6009FB8D" w:rsidR="008C1A72" w:rsidRDefault="004E3EBB" w:rsidP="008C1A72">
      <w:pPr>
        <w:pStyle w:val="13"/>
        <w:ind w:firstLine="482"/>
      </w:pPr>
      <w:r w:rsidRPr="004E3EBB">
        <w:rPr>
          <w:rFonts w:hint="eastAsia"/>
          <w:b/>
        </w:rPr>
        <w:t xml:space="preserve">第七条 </w:t>
      </w:r>
      <w:r w:rsidR="008C1A72">
        <w:t>PPP项目绩效目标包括总体绩效目标和年度绩效目标。总体绩效目标是PPP项目在全生命周期内预期达到的产出和效果；年度绩效目标是根据总体绩效目标和项目实际确定的具体年度预期达到的产出和效果，应当具体、可衡量、可实现。</w:t>
      </w:r>
    </w:p>
    <w:p w14:paraId="7C7A24BF" w14:textId="77777777" w:rsidR="008C1A72" w:rsidRDefault="008C1A72" w:rsidP="008C1A72">
      <w:pPr>
        <w:pStyle w:val="13"/>
      </w:pPr>
      <w:r>
        <w:t>PPP项目绩效目标编制应符合以下要求：</w:t>
      </w:r>
    </w:p>
    <w:p w14:paraId="74E0BE9A" w14:textId="77777777" w:rsidR="008C1A72" w:rsidRDefault="008C1A72" w:rsidP="008C1A72">
      <w:pPr>
        <w:pStyle w:val="13"/>
      </w:pPr>
      <w:r>
        <w:rPr>
          <w:rFonts w:hint="eastAsia"/>
        </w:rPr>
        <w:t>（一）指向明确。绩效目标应符合区域经济、社会与行业发展规划，与当地财政收支状况相适应，以结果为导向，反映项目应当提供的公共服务，体现环境</w:t>
      </w:r>
      <w:r>
        <w:t>-社会-公司治理责任（ESG）理念。</w:t>
      </w:r>
    </w:p>
    <w:p w14:paraId="6CFD06AA" w14:textId="77777777" w:rsidR="008C1A72" w:rsidRDefault="008C1A72" w:rsidP="008C1A72">
      <w:pPr>
        <w:pStyle w:val="13"/>
      </w:pPr>
      <w:r>
        <w:rPr>
          <w:rFonts w:hint="eastAsia"/>
        </w:rPr>
        <w:t>（二）细化量化。绩效目标应从产出、效果、管理等方面进行细化，尽量进行定量表述；不能以量化形式表述的，可采用定性表述，但应具有可衡量性。</w:t>
      </w:r>
    </w:p>
    <w:p w14:paraId="41F5972D" w14:textId="77777777" w:rsidR="008C1A72" w:rsidRDefault="008C1A72" w:rsidP="008C1A72">
      <w:pPr>
        <w:pStyle w:val="13"/>
      </w:pPr>
      <w:r>
        <w:rPr>
          <w:rFonts w:hint="eastAsia"/>
        </w:rPr>
        <w:t>（三）合理可行。绩效目标应经过调查研究和科学论证，符合客观实际，既具有前瞻性，又有可实现性。</w:t>
      </w:r>
    </w:p>
    <w:p w14:paraId="05B57716" w14:textId="77777777" w:rsidR="008C1A72" w:rsidRDefault="008C1A72" w:rsidP="008C1A72">
      <w:pPr>
        <w:pStyle w:val="13"/>
      </w:pPr>
      <w:r>
        <w:rPr>
          <w:rFonts w:hint="eastAsia"/>
        </w:rPr>
        <w:t>（四）物有所值。绩效目标应符合物有所值的理念，体现成本效益的要求。</w:t>
      </w:r>
    </w:p>
    <w:p w14:paraId="1DA64363" w14:textId="131FA3F3" w:rsidR="008C1A72" w:rsidRDefault="004E3EBB" w:rsidP="008C1A72">
      <w:pPr>
        <w:pStyle w:val="13"/>
        <w:ind w:firstLine="482"/>
      </w:pPr>
      <w:r w:rsidRPr="004E3EBB">
        <w:rPr>
          <w:rFonts w:hint="eastAsia"/>
          <w:b/>
        </w:rPr>
        <w:t xml:space="preserve">第八条 </w:t>
      </w:r>
      <w:r w:rsidR="008C1A72">
        <w:t>PPP项目绩效目标应包括预期产出、预期效果及项目管理等内容。</w:t>
      </w:r>
    </w:p>
    <w:p w14:paraId="0E73EFE1" w14:textId="77777777" w:rsidR="008C1A72" w:rsidRDefault="008C1A72" w:rsidP="008C1A72">
      <w:pPr>
        <w:pStyle w:val="13"/>
      </w:pPr>
      <w:r>
        <w:rPr>
          <w:rFonts w:hint="eastAsia"/>
        </w:rPr>
        <w:t>预期产出是指项目在一定期限内提供公共服务的数量、质量、时效等。</w:t>
      </w:r>
    </w:p>
    <w:p w14:paraId="10C64616" w14:textId="77777777" w:rsidR="008C1A72" w:rsidRDefault="008C1A72" w:rsidP="008C1A72">
      <w:pPr>
        <w:pStyle w:val="13"/>
      </w:pPr>
      <w:r>
        <w:rPr>
          <w:rFonts w:hint="eastAsia"/>
        </w:rPr>
        <w:t>预期效果是指项目可能对经济、社会、生态环境等带来的影响情况，物有所值实现程度，可持续发展能力及各方满意程度等。</w:t>
      </w:r>
    </w:p>
    <w:p w14:paraId="217B6813" w14:textId="77777777" w:rsidR="008C1A72" w:rsidRDefault="008C1A72" w:rsidP="008C1A72">
      <w:pPr>
        <w:pStyle w:val="13"/>
      </w:pPr>
      <w:r>
        <w:rPr>
          <w:rFonts w:hint="eastAsia"/>
        </w:rPr>
        <w:t>项目管理是指项目全生命周期内的预算、监督、组织、财务、制度、档案、信息公开等管理情况。</w:t>
      </w:r>
    </w:p>
    <w:p w14:paraId="16546F94" w14:textId="0E4AF1E3" w:rsidR="008C1A72" w:rsidRDefault="00E05BDA" w:rsidP="008C1A72">
      <w:pPr>
        <w:pStyle w:val="13"/>
        <w:ind w:firstLine="482"/>
      </w:pPr>
      <w:r w:rsidRPr="00E05BDA">
        <w:rPr>
          <w:rFonts w:hint="eastAsia"/>
          <w:b/>
        </w:rPr>
        <w:t xml:space="preserve">第九条 </w:t>
      </w:r>
      <w:r w:rsidR="008C1A72">
        <w:t>PPP项目绩效指标是衡量绩效目标实现程度的工具，应按照系统性、重要性、相关性、可比性和经济性的原则，结合预期产出、预期效果和项目管理等绩效目标细化量化</w:t>
      </w:r>
      <w:proofErr w:type="gramStart"/>
      <w:r w:rsidR="008C1A72">
        <w:t>后合理</w:t>
      </w:r>
      <w:proofErr w:type="gramEnd"/>
      <w:r w:rsidR="008C1A72">
        <w:t>设定。</w:t>
      </w:r>
    </w:p>
    <w:p w14:paraId="40494FF7" w14:textId="651EDC89" w:rsidR="008C1A72" w:rsidRDefault="00E05BDA" w:rsidP="008C1A72">
      <w:pPr>
        <w:pStyle w:val="13"/>
        <w:ind w:firstLine="482"/>
      </w:pPr>
      <w:r w:rsidRPr="00E05BDA">
        <w:rPr>
          <w:rFonts w:hint="eastAsia"/>
          <w:b/>
        </w:rPr>
        <w:t xml:space="preserve">第十条 </w:t>
      </w:r>
      <w:r w:rsidR="008C1A72">
        <w:t>PPP项目绩效指标体系由绩效指标、指标解释、指标权重、数据来源、评价标准与评分方法构成。</w:t>
      </w:r>
    </w:p>
    <w:p w14:paraId="578D9058" w14:textId="77777777" w:rsidR="008C1A72" w:rsidRDefault="008C1A72" w:rsidP="008C1A72">
      <w:pPr>
        <w:pStyle w:val="13"/>
      </w:pPr>
      <w:r>
        <w:rPr>
          <w:rFonts w:hint="eastAsia"/>
        </w:rPr>
        <w:t>指标权重是指标在评价体系中的相对重要程度。确定指标权重的方法通常包括</w:t>
      </w:r>
      <w:r>
        <w:rPr>
          <w:rFonts w:hint="eastAsia"/>
        </w:rPr>
        <w:lastRenderedPageBreak/>
        <w:t>专家调查法、层次分析法、主成分分析法、熵值法等。</w:t>
      </w:r>
    </w:p>
    <w:p w14:paraId="6CE76319" w14:textId="77777777" w:rsidR="008C1A72" w:rsidRDefault="008C1A72" w:rsidP="008C1A72">
      <w:pPr>
        <w:pStyle w:val="13"/>
      </w:pPr>
      <w:r>
        <w:rPr>
          <w:rFonts w:hint="eastAsia"/>
        </w:rPr>
        <w:t>数据来源是在具体指标评价过程中获得可靠和真实数据或信息的载体或途径。获取数据的方法通常包括案卷研究、资料收集与数据填报、实地调研、座谈会、问卷调查等。</w:t>
      </w:r>
    </w:p>
    <w:p w14:paraId="03D19BD7" w14:textId="77777777" w:rsidR="008C1A72" w:rsidRDefault="008C1A72" w:rsidP="008C1A72">
      <w:pPr>
        <w:pStyle w:val="13"/>
      </w:pPr>
      <w:r>
        <w:rPr>
          <w:rFonts w:hint="eastAsia"/>
        </w:rPr>
        <w:t>评价标准是指衡量绩效目标完成程度的尺度。绩效评价标准具体包括计划标准、行业标准、历史标准或其他经相关主管部门确认的标准。</w:t>
      </w:r>
    </w:p>
    <w:p w14:paraId="1B542DFF" w14:textId="77777777" w:rsidR="008C1A72" w:rsidRDefault="008C1A72" w:rsidP="008C1A72">
      <w:pPr>
        <w:pStyle w:val="13"/>
      </w:pPr>
      <w:r>
        <w:rPr>
          <w:rFonts w:hint="eastAsia"/>
        </w:rPr>
        <w:t>评分方法是结合指标权重，衡量实际绩效值与评价标准值偏离程度，对不同的等级赋予不同分值的方法。</w:t>
      </w:r>
    </w:p>
    <w:p w14:paraId="07754D88" w14:textId="75F7852E" w:rsidR="008C1A72" w:rsidRDefault="00E05BDA" w:rsidP="008C1A72">
      <w:pPr>
        <w:pStyle w:val="13"/>
        <w:ind w:firstLine="482"/>
      </w:pPr>
      <w:r w:rsidRPr="00E05BDA">
        <w:rPr>
          <w:rFonts w:hint="eastAsia"/>
          <w:b/>
        </w:rPr>
        <w:t xml:space="preserve">第十一条 </w:t>
      </w:r>
      <w:r w:rsidR="008C1A72">
        <w:t>PPP项目绩效目标与绩效指标各阶段管理应符合以下要求：</w:t>
      </w:r>
    </w:p>
    <w:p w14:paraId="3A2C0F3B" w14:textId="77777777" w:rsidR="008C1A72" w:rsidRDefault="008C1A72" w:rsidP="008C1A72">
      <w:pPr>
        <w:pStyle w:val="13"/>
      </w:pPr>
      <w:r>
        <w:rPr>
          <w:rFonts w:hint="eastAsia"/>
        </w:rPr>
        <w:t>（一）</w:t>
      </w:r>
      <w:r>
        <w:t>PPP项目准备阶段，项目实施机构应根据项目立项文件、历史资料，结合PPP模式特点，在项目实施方案中编制总体绩效目标和绩效指标体系并充分征求相关部门、潜在社会资本等相关方面的意见。财政部门应会同相关主管部门</w:t>
      </w:r>
      <w:proofErr w:type="gramStart"/>
      <w:r>
        <w:t>从依据</w:t>
      </w:r>
      <w:proofErr w:type="gramEnd"/>
      <w:r>
        <w:t>充分性、设置合理性和目标实现保障度等方面进行审核。</w:t>
      </w:r>
    </w:p>
    <w:p w14:paraId="47512672" w14:textId="77777777" w:rsidR="008C1A72" w:rsidRDefault="008C1A72" w:rsidP="008C1A72">
      <w:pPr>
        <w:pStyle w:val="13"/>
      </w:pPr>
      <w:r>
        <w:rPr>
          <w:rFonts w:hint="eastAsia"/>
        </w:rPr>
        <w:t>（二）</w:t>
      </w:r>
      <w:r>
        <w:t>PPP项目采购阶段，项目实施机构可结合社会资本响应及合同谈判情况对绩效指标体系中非实质性内容进行合理调整。PPP项目绩效目标和指标体系应在项目合同中予以明确。</w:t>
      </w:r>
    </w:p>
    <w:p w14:paraId="0F3CBF5B" w14:textId="77777777" w:rsidR="008C1A72" w:rsidRDefault="008C1A72" w:rsidP="008C1A72">
      <w:pPr>
        <w:pStyle w:val="13"/>
      </w:pPr>
      <w:r>
        <w:rPr>
          <w:rFonts w:hint="eastAsia"/>
        </w:rPr>
        <w:t>（三）</w:t>
      </w:r>
      <w:r>
        <w:t>PPP项目执行阶段，绩效目标和指标体系原则上不予调整。但因项目实施内容、相关政策、行业标准发生变化或突发事件、不可抗力等无法预见的重大变化影响绩效目标实现而确需调整的，由项目实施机构和项目公司（未设立项目公司时为社会资本，下同）协商确定，经财政部门及相关主管部门审核通过后报本级人民政府批准。</w:t>
      </w:r>
    </w:p>
    <w:p w14:paraId="2885B4AA" w14:textId="77777777" w:rsidR="008C1A72" w:rsidRDefault="008C1A72" w:rsidP="008C1A72">
      <w:pPr>
        <w:pStyle w:val="13"/>
      </w:pPr>
      <w:r>
        <w:t>PPP项目移交完成后，财政部门应会同有关部门针对项目总体绩效目标实现情况，从全生命周期的项目产出、成本效益、物有所值实现情况、按效付费执行情况及对本地区财政承受能力的影响、监管成效、可持续性、</w:t>
      </w:r>
      <w:proofErr w:type="spellStart"/>
      <w:r>
        <w:t>PPP</w:t>
      </w:r>
      <w:proofErr w:type="spellEnd"/>
      <w:r>
        <w:t>模式应用等方面编制绩效评价（即后评价）指标体系。</w:t>
      </w:r>
    </w:p>
    <w:p w14:paraId="2C70B6D9" w14:textId="1BA0461C" w:rsidR="008C1A72" w:rsidRDefault="00E05BDA" w:rsidP="008C1A72">
      <w:pPr>
        <w:pStyle w:val="13"/>
        <w:ind w:firstLine="482"/>
      </w:pPr>
      <w:r w:rsidRPr="00E05BDA">
        <w:rPr>
          <w:rFonts w:hint="eastAsia"/>
          <w:b/>
        </w:rPr>
        <w:t xml:space="preserve">第十二条 </w:t>
      </w:r>
      <w:r w:rsidR="008C1A72">
        <w:t>项目公司（社会资本）对绩效目标或指标体系调整结果有异议的，可申请召开评审会，就调整结果的科学性、合理性、可行性等进行评审。双方对评审意见无异议的，按评审意见完善后履行报批程序；仍有异议的，按照合同约定的争议解决机制处理。</w:t>
      </w:r>
    </w:p>
    <w:p w14:paraId="7B237B8B" w14:textId="078D9D5C" w:rsidR="008C1A72" w:rsidRDefault="00E05BDA" w:rsidP="008C1A72">
      <w:pPr>
        <w:pStyle w:val="13"/>
        <w:ind w:firstLine="482"/>
      </w:pPr>
      <w:r w:rsidRPr="00E05BDA">
        <w:rPr>
          <w:rFonts w:hint="eastAsia"/>
          <w:b/>
        </w:rPr>
        <w:t xml:space="preserve">第十三条 </w:t>
      </w:r>
      <w:r w:rsidR="008C1A72">
        <w:t>编制政府付费和可行性缺口补助PPP项目年度支出预算时，应将年度绩效目标和指标连同编制的预算申报材料一并报送财政部门审核。使用者付费PPP项目参照执行。</w:t>
      </w:r>
    </w:p>
    <w:p w14:paraId="1B478619" w14:textId="160B8191" w:rsidR="008C1A72" w:rsidRDefault="008C1A72" w:rsidP="00AF7342">
      <w:pPr>
        <w:pStyle w:val="a9"/>
        <w:spacing w:before="62" w:after="62"/>
      </w:pPr>
      <w:r>
        <w:rPr>
          <w:rFonts w:hint="eastAsia"/>
        </w:rPr>
        <w:t xml:space="preserve">第三章 </w:t>
      </w:r>
      <w:r>
        <w:t>PPP项目绩效监控</w:t>
      </w:r>
    </w:p>
    <w:p w14:paraId="21F037A3" w14:textId="4660F7C1" w:rsidR="008C1A72" w:rsidRDefault="00E05BDA" w:rsidP="008C1A72">
      <w:pPr>
        <w:pStyle w:val="13"/>
        <w:ind w:firstLine="482"/>
      </w:pPr>
      <w:r w:rsidRPr="00E05BDA">
        <w:rPr>
          <w:rFonts w:hint="eastAsia"/>
          <w:b/>
        </w:rPr>
        <w:t xml:space="preserve">第十四条 </w:t>
      </w:r>
      <w:r w:rsidR="008C1A72">
        <w:t>项目实施机构应根据项目合同约定定期开展PPP项目绩效监控，项目</w:t>
      </w:r>
      <w:r w:rsidR="008C1A72">
        <w:lastRenderedPageBreak/>
        <w:t>公司（社会资本）负责日常绩效监控。</w:t>
      </w:r>
    </w:p>
    <w:p w14:paraId="179337CB" w14:textId="17A8F402" w:rsidR="008C1A72" w:rsidRDefault="00E05BDA" w:rsidP="008C1A72">
      <w:pPr>
        <w:pStyle w:val="13"/>
        <w:ind w:firstLine="482"/>
      </w:pPr>
      <w:r w:rsidRPr="00E05BDA">
        <w:rPr>
          <w:rFonts w:hint="eastAsia"/>
          <w:b/>
        </w:rPr>
        <w:t xml:space="preserve">第十五条 </w:t>
      </w:r>
      <w:r w:rsidR="008C1A72">
        <w:t>PPP项目绩效监控是对项目日常运行情况及年度绩效目标实现程度进行的跟踪、监测和管理，通常包括目标实现程度、目标保障措施、目标偏差和纠偏情况等。</w:t>
      </w:r>
    </w:p>
    <w:p w14:paraId="05D0167B" w14:textId="77777777" w:rsidR="008C1A72" w:rsidRDefault="008C1A72" w:rsidP="008C1A72">
      <w:pPr>
        <w:pStyle w:val="13"/>
      </w:pPr>
      <w:r>
        <w:t>PPP项目绩效监控应符合以下要求：</w:t>
      </w:r>
    </w:p>
    <w:p w14:paraId="1AFB14D9" w14:textId="77777777" w:rsidR="008C1A72" w:rsidRDefault="008C1A72" w:rsidP="008C1A72">
      <w:pPr>
        <w:pStyle w:val="13"/>
      </w:pPr>
      <w:r>
        <w:rPr>
          <w:rFonts w:hint="eastAsia"/>
        </w:rPr>
        <w:t>（一）严格遵照国家规定、行业标准、项目合同约定，按照科学规范、真实客观、重点突出等原则开展绩效监控。重点关注最能代表和反映项目产出及效果的年度绩效目标与指标，客观反映项目运行情况和执行偏差，及时纠偏，改进绩效。</w:t>
      </w:r>
    </w:p>
    <w:p w14:paraId="2D5B8A19" w14:textId="77777777" w:rsidR="008C1A72" w:rsidRDefault="008C1A72" w:rsidP="008C1A72">
      <w:pPr>
        <w:pStyle w:val="13"/>
      </w:pPr>
      <w:r>
        <w:rPr>
          <w:rFonts w:hint="eastAsia"/>
        </w:rPr>
        <w:t>（二）项目实施机构应根据</w:t>
      </w:r>
      <w:r>
        <w:t>PPP项目特点，考虑绩效评价和付费时点，合理选择监控时间、设定监控计划，原则上每年至少开展一次绩效监控。</w:t>
      </w:r>
    </w:p>
    <w:p w14:paraId="2BCD9C94" w14:textId="758D977F" w:rsidR="008C1A72" w:rsidRDefault="00E05BDA" w:rsidP="008C1A72">
      <w:pPr>
        <w:pStyle w:val="13"/>
        <w:ind w:firstLine="482"/>
      </w:pPr>
      <w:r w:rsidRPr="00E05BDA">
        <w:rPr>
          <w:rFonts w:hint="eastAsia"/>
          <w:b/>
        </w:rPr>
        <w:t xml:space="preserve">第十六条 </w:t>
      </w:r>
      <w:r w:rsidR="008C1A72">
        <w:t>PPP项目绩效监控工作通常按照以下程序进行：</w:t>
      </w:r>
    </w:p>
    <w:p w14:paraId="09FC95C9" w14:textId="77777777" w:rsidR="008C1A72" w:rsidRDefault="008C1A72" w:rsidP="008C1A72">
      <w:pPr>
        <w:pStyle w:val="13"/>
      </w:pPr>
      <w:r>
        <w:rPr>
          <w:rFonts w:hint="eastAsia"/>
        </w:rPr>
        <w:t>（一）开展绩效监控。项目公司（社会资本）开展</w:t>
      </w:r>
      <w:r>
        <w:t>PPP项目日常绩效监控，按照项目实施机构要求，定期报送监控结果。项目实施机构应对照绩效监控目标，查找项目绩效运行偏差，分析偏差原因，结合项目实际，提出实施纠偏的路径和方法，并做好信息记录。</w:t>
      </w:r>
    </w:p>
    <w:p w14:paraId="3A0B0674" w14:textId="77777777" w:rsidR="008C1A72" w:rsidRDefault="008C1A72" w:rsidP="008C1A72">
      <w:pPr>
        <w:pStyle w:val="13"/>
      </w:pPr>
      <w:r>
        <w:rPr>
          <w:rFonts w:hint="eastAsia"/>
        </w:rPr>
        <w:t>（二）反馈、纠偏与报告。项目实施机构应根据绩效监控发现的偏差情况及时向项目公司（社会资本）和相关部门反馈，并督促其纠偏；偏差原因涉及自身的，项目实施机构应及时纠偏；偏差较大的，应撰写《绩效监控报告》报送相关主管部门和财政部门。</w:t>
      </w:r>
    </w:p>
    <w:p w14:paraId="54036017" w14:textId="484E8522" w:rsidR="008C1A72" w:rsidRDefault="008C1A72" w:rsidP="00AF7342">
      <w:pPr>
        <w:pStyle w:val="a9"/>
        <w:spacing w:before="62" w:after="62"/>
      </w:pPr>
      <w:r>
        <w:rPr>
          <w:rFonts w:hint="eastAsia"/>
        </w:rPr>
        <w:t>第四章</w:t>
      </w:r>
      <w:r>
        <w:t xml:space="preserve"> PPP项目绩效评价</w:t>
      </w:r>
    </w:p>
    <w:p w14:paraId="208A24EE" w14:textId="53973316" w:rsidR="008C1A72" w:rsidRDefault="00E05BDA" w:rsidP="008C1A72">
      <w:pPr>
        <w:pStyle w:val="13"/>
        <w:ind w:firstLine="482"/>
      </w:pPr>
      <w:r w:rsidRPr="00E05BDA">
        <w:rPr>
          <w:rFonts w:hint="eastAsia"/>
          <w:b/>
        </w:rPr>
        <w:t xml:space="preserve">第十七条 </w:t>
      </w:r>
      <w:r w:rsidR="008C1A72">
        <w:t>项目实施机构应根据项目合同约定，在执行阶段结合年度绩效目标和指标体系开展PPP项目绩效评价。</w:t>
      </w:r>
    </w:p>
    <w:p w14:paraId="6EB77861" w14:textId="77777777" w:rsidR="008C1A72" w:rsidRDefault="008C1A72" w:rsidP="008C1A72">
      <w:pPr>
        <w:pStyle w:val="13"/>
      </w:pPr>
      <w:r>
        <w:rPr>
          <w:rFonts w:hint="eastAsia"/>
        </w:rPr>
        <w:t>财政部门应会同相关主管部门、项目实施机构等在项目移交完成后开展</w:t>
      </w:r>
      <w:r>
        <w:t>PPP项目后评价。</w:t>
      </w:r>
    </w:p>
    <w:p w14:paraId="0F920ABE" w14:textId="4F6568F4" w:rsidR="008C1A72" w:rsidRDefault="00E05BDA" w:rsidP="008C1A72">
      <w:pPr>
        <w:pStyle w:val="13"/>
        <w:ind w:firstLine="482"/>
      </w:pPr>
      <w:r w:rsidRPr="00E05BDA">
        <w:rPr>
          <w:rFonts w:hint="eastAsia"/>
          <w:b/>
        </w:rPr>
        <w:t xml:space="preserve">第十八条 </w:t>
      </w:r>
      <w:r w:rsidR="008C1A72">
        <w:t>PPP项目绩效评价应符合以下要求：</w:t>
      </w:r>
    </w:p>
    <w:p w14:paraId="70B2C4E8" w14:textId="77777777" w:rsidR="008C1A72" w:rsidRDefault="008C1A72" w:rsidP="008C1A72">
      <w:pPr>
        <w:pStyle w:val="13"/>
      </w:pPr>
      <w:r>
        <w:rPr>
          <w:rFonts w:hint="eastAsia"/>
        </w:rPr>
        <w:t>（一）严格按照规定程序，遵循真实、客观、公正的要求，采用定量与定性分析相结合的方法。</w:t>
      </w:r>
    </w:p>
    <w:p w14:paraId="1538E6BA" w14:textId="77777777" w:rsidR="008C1A72" w:rsidRDefault="008C1A72" w:rsidP="008C1A72">
      <w:pPr>
        <w:pStyle w:val="13"/>
      </w:pPr>
      <w:r>
        <w:rPr>
          <w:rFonts w:hint="eastAsia"/>
        </w:rPr>
        <w:t>（二）结合</w:t>
      </w:r>
      <w:r>
        <w:t>PPP项目实施进度及按效付费的需要确定绩效评价时点。原则上项目建设期应结合竣工验收开展一次绩效评价，分期建设的项目应当结合各期子项目竣工验收开展绩效评价；项目运营期每年度应至少开展一次绩效评价，每3-5年应结合年度绩效评价情况对项目开展中期评估；移交完成后应开展一次后评价。</w:t>
      </w:r>
    </w:p>
    <w:p w14:paraId="42F83D85" w14:textId="77777777" w:rsidR="008C1A72" w:rsidRDefault="008C1A72" w:rsidP="008C1A72">
      <w:pPr>
        <w:pStyle w:val="13"/>
      </w:pPr>
      <w:r>
        <w:rPr>
          <w:rFonts w:hint="eastAsia"/>
        </w:rPr>
        <w:t>（三）绩效评价结果依法依规公开并接受监督。</w:t>
      </w:r>
    </w:p>
    <w:p w14:paraId="485CE9E3" w14:textId="3090FE14" w:rsidR="008C1A72" w:rsidRDefault="00E05BDA" w:rsidP="008C1A72">
      <w:pPr>
        <w:pStyle w:val="13"/>
        <w:ind w:firstLine="482"/>
      </w:pPr>
      <w:r w:rsidRPr="00E05BDA">
        <w:rPr>
          <w:rFonts w:hint="eastAsia"/>
          <w:b/>
        </w:rPr>
        <w:t xml:space="preserve">第十九条 </w:t>
      </w:r>
      <w:r w:rsidR="008C1A72">
        <w:t>PPP项目绩效评价工作通常按照以下程序进行：</w:t>
      </w:r>
    </w:p>
    <w:p w14:paraId="2F8589C0" w14:textId="77777777" w:rsidR="008C1A72" w:rsidRDefault="008C1A72" w:rsidP="008C1A72">
      <w:pPr>
        <w:pStyle w:val="13"/>
      </w:pPr>
      <w:r>
        <w:rPr>
          <w:rFonts w:hint="eastAsia"/>
        </w:rPr>
        <w:t>（一）下达绩效评价通知。项目实施机构确定绩效评价工作开展时间后，应至少</w:t>
      </w:r>
      <w:r>
        <w:rPr>
          <w:rFonts w:hint="eastAsia"/>
        </w:rPr>
        <w:lastRenderedPageBreak/>
        <w:t>提前</w:t>
      </w:r>
      <w:r>
        <w:t>5个工作日通知项目公司（社会资本）及相关部门做好准备和配合工作。</w:t>
      </w:r>
    </w:p>
    <w:p w14:paraId="31024DE3" w14:textId="77777777" w:rsidR="008C1A72" w:rsidRDefault="008C1A72" w:rsidP="008C1A72">
      <w:pPr>
        <w:pStyle w:val="13"/>
      </w:pPr>
      <w:r>
        <w:rPr>
          <w:rFonts w:hint="eastAsia"/>
        </w:rPr>
        <w:t>（二）制定绩效评价工作方案。项目实施机构应根据政策要求及项目实际组织编制绩效评价工作方案，内容通常包括项目基本情况、绩效目标和指标体系、评价目的和依据、评价对象和范围、评价方法、组织与实施计划、资料收集与调查等。项目实施机构应组织专家对项目建设期、运营</w:t>
      </w:r>
      <w:proofErr w:type="gramStart"/>
      <w:r>
        <w:rPr>
          <w:rFonts w:hint="eastAsia"/>
        </w:rPr>
        <w:t>期首次及</w:t>
      </w:r>
      <w:proofErr w:type="gramEnd"/>
      <w:r>
        <w:rPr>
          <w:rFonts w:hint="eastAsia"/>
        </w:rPr>
        <w:t>移交完成后绩效评价工作方案进行评审。</w:t>
      </w:r>
    </w:p>
    <w:p w14:paraId="4072CDB7" w14:textId="77777777" w:rsidR="008C1A72" w:rsidRDefault="008C1A72" w:rsidP="008C1A72">
      <w:pPr>
        <w:pStyle w:val="13"/>
      </w:pPr>
      <w:r>
        <w:rPr>
          <w:rFonts w:hint="eastAsia"/>
        </w:rPr>
        <w:t>（三）组织实施绩效评价。项目实施机构应根据绩效评价工作方案对</w:t>
      </w:r>
      <w:r>
        <w:t>PPP项目绩效情况进行客观、公正的评价。通过综合分析、意见征询，区分责任主体，形成客观、公正、全面的绩效评价结果。对于不属于项目公司或社会资本责任造成的绩效偏差，不应影响项目公司（社会资本）绩效评价结果。</w:t>
      </w:r>
    </w:p>
    <w:p w14:paraId="0F4AAD91" w14:textId="77777777" w:rsidR="008C1A72" w:rsidRDefault="008C1A72" w:rsidP="008C1A72">
      <w:pPr>
        <w:pStyle w:val="13"/>
      </w:pPr>
      <w:r>
        <w:rPr>
          <w:rFonts w:hint="eastAsia"/>
        </w:rPr>
        <w:t>（四）编制绩效评价报告。</w:t>
      </w:r>
      <w:r>
        <w:t>PPP项目绩效评价报告应当依据充分、真实完整、数据准确、客观公正，内容通常包括项目基本情况、绩效评价工作情况、评价结论和绩效分析、存在问题及原因分析、相关建议、其他需要说明的问题。</w:t>
      </w:r>
    </w:p>
    <w:p w14:paraId="3EF13D1D" w14:textId="77777777" w:rsidR="008C1A72" w:rsidRDefault="008C1A72" w:rsidP="008C1A72">
      <w:pPr>
        <w:pStyle w:val="13"/>
      </w:pPr>
      <w:r>
        <w:rPr>
          <w:rFonts w:hint="eastAsia"/>
        </w:rPr>
        <w:t>（五）资料归档。项目实施机构应将绩效评价过程中收集的全部有效资料，主要包括绩效评价工作方案、专家论证意见和建议、实地调研和座谈会记录、调查问卷、绩效评价报告等一并归档，并按照有关档案管理规定妥善管理。</w:t>
      </w:r>
    </w:p>
    <w:p w14:paraId="47C2462B" w14:textId="77777777" w:rsidR="008C1A72" w:rsidRDefault="008C1A72" w:rsidP="008C1A72">
      <w:pPr>
        <w:pStyle w:val="13"/>
      </w:pPr>
      <w:r>
        <w:rPr>
          <w:rFonts w:hint="eastAsia"/>
        </w:rPr>
        <w:t>（六）评价结果反馈。项目实施机构应及时向项目公司（社会资本）和相关部门反馈绩效评价结果。</w:t>
      </w:r>
    </w:p>
    <w:p w14:paraId="030AC826" w14:textId="747C1D3C" w:rsidR="008C1A72" w:rsidRDefault="00E05BDA" w:rsidP="008C1A72">
      <w:pPr>
        <w:pStyle w:val="13"/>
        <w:ind w:firstLine="482"/>
      </w:pPr>
      <w:r w:rsidRPr="00E05BDA">
        <w:rPr>
          <w:rFonts w:hint="eastAsia"/>
          <w:b/>
        </w:rPr>
        <w:t xml:space="preserve">第二十条 </w:t>
      </w:r>
      <w:r w:rsidR="008C1A72">
        <w:t>项目公司对绩效评价结果有异议的，应在5个工作日内明确提出并提供有效的佐证材料，向项目实施机构解释说明并达成一致意见。无法达成一致的，应组织召开评审会，双方对评审意见无异议的，根据评审意见确定最终评价结果；仍有异议的，按照合同约定的争议解决机制处理。</w:t>
      </w:r>
    </w:p>
    <w:p w14:paraId="4FAD1C31" w14:textId="08A5DBBE" w:rsidR="008C1A72" w:rsidRDefault="00E05BDA" w:rsidP="008C1A72">
      <w:pPr>
        <w:pStyle w:val="13"/>
        <w:ind w:firstLine="482"/>
      </w:pPr>
      <w:r w:rsidRPr="00E05BDA">
        <w:rPr>
          <w:rFonts w:hint="eastAsia"/>
          <w:b/>
        </w:rPr>
        <w:t xml:space="preserve">第二十一条 </w:t>
      </w:r>
      <w:r w:rsidR="008C1A72">
        <w:t>项目实施机构应将PPP项目绩效评价报告报送相关主管部门、财政部门复核，复核重点关注绩效评价工作方案是否落实、引用数据是否真实合理、揭示的问题是否客观公正、提出的改进措施是否有针对性和可操作性等。</w:t>
      </w:r>
    </w:p>
    <w:p w14:paraId="3F1F5B18" w14:textId="4120E3EC" w:rsidR="008C1A72" w:rsidRDefault="00E05BDA" w:rsidP="008C1A72">
      <w:pPr>
        <w:pStyle w:val="13"/>
        <w:ind w:firstLine="482"/>
      </w:pPr>
      <w:r w:rsidRPr="00E05BDA">
        <w:rPr>
          <w:rFonts w:hint="eastAsia"/>
          <w:b/>
        </w:rPr>
        <w:t xml:space="preserve">第二十二条 </w:t>
      </w:r>
      <w:r w:rsidR="008C1A72">
        <w:t>PPP项目绩效评价结果是按效付费、落实整改、监督问责的重要依据。</w:t>
      </w:r>
    </w:p>
    <w:p w14:paraId="30F689A7" w14:textId="77777777" w:rsidR="008C1A72" w:rsidRDefault="008C1A72" w:rsidP="008C1A72">
      <w:pPr>
        <w:pStyle w:val="13"/>
      </w:pPr>
      <w:r>
        <w:rPr>
          <w:rFonts w:hint="eastAsia"/>
        </w:rPr>
        <w:t>（一）按效付费。</w:t>
      </w:r>
    </w:p>
    <w:p w14:paraId="7D0B8EA7" w14:textId="77777777" w:rsidR="008C1A72" w:rsidRDefault="008C1A72" w:rsidP="008C1A72">
      <w:pPr>
        <w:pStyle w:val="13"/>
      </w:pPr>
      <w:r>
        <w:rPr>
          <w:rFonts w:hint="eastAsia"/>
        </w:rPr>
        <w:t>政府付费和可行性缺口补助项目，政府承担的年度运营补贴支出应与当年项目公司（社会资本）绩效评价结果完全挂钩。财政部门应按照绩效评价结果安排相应支出，项目实施机构应按照项目合同约定及时支付。</w:t>
      </w:r>
    </w:p>
    <w:p w14:paraId="3F6C8558" w14:textId="77777777" w:rsidR="008C1A72" w:rsidRDefault="008C1A72" w:rsidP="008C1A72">
      <w:pPr>
        <w:pStyle w:val="13"/>
      </w:pPr>
      <w:r>
        <w:rPr>
          <w:rFonts w:hint="eastAsia"/>
        </w:rPr>
        <w:t>使用者付费项目，项目公司（社会资本）获得的项目收益应与当年项目公司（社会资本）绩效评价结果挂钩。绩效评价结果优于约定标准的，项目实施机构应执行项目合同约定的奖励条款。绩效评价结果未达到约定标准的，项目实施机构应执行项目</w:t>
      </w:r>
      <w:r>
        <w:rPr>
          <w:rFonts w:hint="eastAsia"/>
        </w:rPr>
        <w:lastRenderedPageBreak/>
        <w:t>合同约定的违约条款，可通过设置影响项目收益的违约金、项目展期限制或影响调价机制等方式实现。</w:t>
      </w:r>
    </w:p>
    <w:p w14:paraId="4144515E" w14:textId="77777777" w:rsidR="008C1A72" w:rsidRDefault="008C1A72" w:rsidP="008C1A72">
      <w:pPr>
        <w:pStyle w:val="13"/>
      </w:pPr>
      <w:r>
        <w:rPr>
          <w:rFonts w:hint="eastAsia"/>
        </w:rPr>
        <w:t>绩效评价结果可作为项目期满合同是否展期的</w:t>
      </w:r>
      <w:proofErr w:type="gramStart"/>
      <w:r>
        <w:rPr>
          <w:rFonts w:hint="eastAsia"/>
        </w:rPr>
        <w:t>考量</w:t>
      </w:r>
      <w:proofErr w:type="gramEnd"/>
      <w:r>
        <w:rPr>
          <w:rFonts w:hint="eastAsia"/>
        </w:rPr>
        <w:t>因素。</w:t>
      </w:r>
    </w:p>
    <w:p w14:paraId="74F2592A" w14:textId="77777777" w:rsidR="008C1A72" w:rsidRDefault="008C1A72" w:rsidP="008C1A72">
      <w:pPr>
        <w:pStyle w:val="13"/>
      </w:pPr>
      <w:r>
        <w:rPr>
          <w:rFonts w:hint="eastAsia"/>
        </w:rPr>
        <w:t>（二）落实整改。</w:t>
      </w:r>
    </w:p>
    <w:p w14:paraId="10538E2E" w14:textId="77777777" w:rsidR="008C1A72" w:rsidRDefault="008C1A72" w:rsidP="008C1A72">
      <w:pPr>
        <w:pStyle w:val="13"/>
      </w:pPr>
      <w:r>
        <w:rPr>
          <w:rFonts w:hint="eastAsia"/>
        </w:rPr>
        <w:t>项目实施机构应根据绩效评价过程中发现的问题统筹开展整改工作，并将整改结果报送相关主管部门和财政部门。涉及自身问题的，项目实施机构应及时整改；涉及项目公司（社会资本）或其他相关部门问题的，项目实施机构应及时督促整改。</w:t>
      </w:r>
    </w:p>
    <w:p w14:paraId="7082402B" w14:textId="77777777" w:rsidR="008C1A72" w:rsidRDefault="008C1A72" w:rsidP="008C1A72">
      <w:pPr>
        <w:pStyle w:val="13"/>
      </w:pPr>
      <w:r>
        <w:rPr>
          <w:rFonts w:hint="eastAsia"/>
        </w:rPr>
        <w:t>（三）监督问责。</w:t>
      </w:r>
    </w:p>
    <w:p w14:paraId="4FE49A12" w14:textId="77777777" w:rsidR="008C1A72" w:rsidRDefault="008C1A72" w:rsidP="008C1A72">
      <w:pPr>
        <w:pStyle w:val="13"/>
      </w:pPr>
      <w:r>
        <w:rPr>
          <w:rFonts w:hint="eastAsia"/>
        </w:rPr>
        <w:t>项目实施机构应及时公开绩效评价结果并接受社会监督；项目实施机构绩效评价结果应纳入其工作考核范畴。</w:t>
      </w:r>
    </w:p>
    <w:p w14:paraId="0FF78679" w14:textId="20FCB405" w:rsidR="008C1A72" w:rsidRDefault="008C1A72" w:rsidP="00AF7342">
      <w:pPr>
        <w:pStyle w:val="a9"/>
        <w:spacing w:before="62" w:after="62"/>
      </w:pPr>
      <w:r>
        <w:rPr>
          <w:rFonts w:hint="eastAsia"/>
        </w:rPr>
        <w:t>第五章</w:t>
      </w:r>
      <w:r>
        <w:t xml:space="preserve"> 组织保障</w:t>
      </w:r>
    </w:p>
    <w:p w14:paraId="25EE92F2" w14:textId="3B3DA887" w:rsidR="008C1A72" w:rsidRDefault="00E05BDA" w:rsidP="008C1A72">
      <w:pPr>
        <w:pStyle w:val="13"/>
        <w:ind w:firstLine="482"/>
      </w:pPr>
      <w:r w:rsidRPr="00E05BDA">
        <w:rPr>
          <w:rFonts w:hint="eastAsia"/>
          <w:b/>
        </w:rPr>
        <w:t xml:space="preserve">第二十三条 </w:t>
      </w:r>
      <w:r w:rsidR="008C1A72">
        <w:t>各级财政部门应会同相关部门，建立健全PPP项目绩效管理工作相关制度和共性指标框架，加强项目识别论证、政府采购、预算收支与绩效管理及信息披露等业务指导，切实做好项目合</w:t>
      </w:r>
      <w:proofErr w:type="gramStart"/>
      <w:r w:rsidR="008C1A72">
        <w:t>规</w:t>
      </w:r>
      <w:proofErr w:type="gramEnd"/>
      <w:r w:rsidR="008C1A72">
        <w:t>性审查，确保项目全生命周期规范实施、高效运营。</w:t>
      </w:r>
    </w:p>
    <w:p w14:paraId="4C88103A" w14:textId="77777777" w:rsidR="008C1A72" w:rsidRDefault="008C1A72" w:rsidP="008C1A72">
      <w:pPr>
        <w:pStyle w:val="13"/>
      </w:pPr>
      <w:r>
        <w:rPr>
          <w:rFonts w:hint="eastAsia"/>
        </w:rPr>
        <w:t>各级财政部门应结合预算绩效管理要求，认真审核</w:t>
      </w:r>
      <w:r>
        <w:t>PPP项目财政收支预算申请及PPP项目绩效目标和指标体系，充分考虑本级财政承受能力，合理安排财政预算，加强对财政资金使用合</w:t>
      </w:r>
      <w:proofErr w:type="gramStart"/>
      <w:r>
        <w:t>规</w:t>
      </w:r>
      <w:proofErr w:type="gramEnd"/>
      <w:r>
        <w:t>性和有效性的监督。</w:t>
      </w:r>
    </w:p>
    <w:p w14:paraId="1AE35165" w14:textId="77777777" w:rsidR="008C1A72" w:rsidRDefault="008C1A72" w:rsidP="008C1A72">
      <w:pPr>
        <w:pStyle w:val="13"/>
      </w:pPr>
      <w:r>
        <w:rPr>
          <w:rFonts w:hint="eastAsia"/>
        </w:rPr>
        <w:t>各级财政部门可结合每年工作重点，选取重大</w:t>
      </w:r>
      <w:r>
        <w:t>PPP项目开展绩效再评价。</w:t>
      </w:r>
    </w:p>
    <w:p w14:paraId="1DB65EBE" w14:textId="455720EA" w:rsidR="008C1A72" w:rsidRDefault="00E05BDA" w:rsidP="008C1A72">
      <w:pPr>
        <w:pStyle w:val="13"/>
        <w:ind w:firstLine="482"/>
      </w:pPr>
      <w:r w:rsidRPr="00E05BDA">
        <w:rPr>
          <w:rFonts w:hint="eastAsia"/>
          <w:b/>
        </w:rPr>
        <w:t xml:space="preserve">第二十四条 </w:t>
      </w:r>
      <w:proofErr w:type="gramStart"/>
      <w:r w:rsidR="008C1A72">
        <w:t>各级行业</w:t>
      </w:r>
      <w:proofErr w:type="gramEnd"/>
      <w:r w:rsidR="008C1A72">
        <w:t>主管部门应按照绩效管理相关制度要求，建立健全本行业、本领域核心绩效指标体系，明确绩效标准；合</w:t>
      </w:r>
      <w:proofErr w:type="gramStart"/>
      <w:r w:rsidR="008C1A72">
        <w:t>规</w:t>
      </w:r>
      <w:proofErr w:type="gramEnd"/>
      <w:r w:rsidR="008C1A72">
        <w:t>履行预算编制、申报和执行程序；加强与财政及其他相关部门的协调配合。</w:t>
      </w:r>
    </w:p>
    <w:p w14:paraId="785D6AB3" w14:textId="20E916FA" w:rsidR="008C1A72" w:rsidRDefault="00E05BDA" w:rsidP="008C1A72">
      <w:pPr>
        <w:pStyle w:val="13"/>
        <w:ind w:firstLine="482"/>
      </w:pPr>
      <w:r w:rsidRPr="00E05BDA">
        <w:rPr>
          <w:rFonts w:hint="eastAsia"/>
          <w:b/>
        </w:rPr>
        <w:t xml:space="preserve">第二十五条 </w:t>
      </w:r>
      <w:r w:rsidR="008C1A72">
        <w:t>项目实施机构、项目公司（社会资本）应严格履行合同约定，确保各项工作合法合</w:t>
      </w:r>
      <w:proofErr w:type="gramStart"/>
      <w:r w:rsidR="008C1A72">
        <w:t>规</w:t>
      </w:r>
      <w:proofErr w:type="gramEnd"/>
      <w:r w:rsidR="008C1A72">
        <w:t>。</w:t>
      </w:r>
    </w:p>
    <w:p w14:paraId="32D34067" w14:textId="77777777" w:rsidR="008C1A72" w:rsidRDefault="008C1A72" w:rsidP="008C1A72">
      <w:pPr>
        <w:pStyle w:val="13"/>
      </w:pPr>
      <w:r>
        <w:rPr>
          <w:rFonts w:hint="eastAsia"/>
        </w:rPr>
        <w:t>项目实施机构应做好</w:t>
      </w:r>
      <w:r>
        <w:t>PPP项目绩效管理具体工作，并对PPP项目实施规范性、财政资金使用的合</w:t>
      </w:r>
      <w:proofErr w:type="gramStart"/>
      <w:r>
        <w:t>规</w:t>
      </w:r>
      <w:proofErr w:type="gramEnd"/>
      <w:r>
        <w:t>性和有效性负责。</w:t>
      </w:r>
    </w:p>
    <w:p w14:paraId="6D5A6E21" w14:textId="77777777" w:rsidR="008C1A72" w:rsidRDefault="008C1A72" w:rsidP="008C1A72">
      <w:pPr>
        <w:pStyle w:val="13"/>
      </w:pPr>
      <w:r>
        <w:rPr>
          <w:rFonts w:hint="eastAsia"/>
        </w:rPr>
        <w:t>项目公司（社会资本）应做好项目投资、建设、运营、维护、移交等工作的日常管理和信息记录；积极配合开展</w:t>
      </w:r>
      <w:r>
        <w:t>PPP项目绩效管理工作，并对所提供资料和信息的真实性、完整性、有效性负责。</w:t>
      </w:r>
    </w:p>
    <w:p w14:paraId="413FE977" w14:textId="04B1707D" w:rsidR="008C1A72" w:rsidRDefault="00E05BDA" w:rsidP="008C1A72">
      <w:pPr>
        <w:pStyle w:val="13"/>
        <w:ind w:firstLine="482"/>
      </w:pPr>
      <w:r w:rsidRPr="00E05BDA">
        <w:rPr>
          <w:rFonts w:hint="eastAsia"/>
          <w:b/>
        </w:rPr>
        <w:t xml:space="preserve">第二十六条 </w:t>
      </w:r>
      <w:r w:rsidR="008C1A72">
        <w:t>各级财政部门应会同相关主管部门依托PPP综合信息平台，加强PPP项目信息管理。项目实施机构、项目公司（社会资本）应根据项目实际进展及时提供和更新PPP项目绩效管理相关信息，做好信息公开，接受社会监督。</w:t>
      </w:r>
    </w:p>
    <w:p w14:paraId="4BEC4F46" w14:textId="35569C02" w:rsidR="008C1A72" w:rsidRDefault="008C1A72" w:rsidP="00AF7342">
      <w:pPr>
        <w:pStyle w:val="a9"/>
        <w:spacing w:before="62" w:after="62"/>
      </w:pPr>
      <w:r>
        <w:rPr>
          <w:rFonts w:hint="eastAsia"/>
        </w:rPr>
        <w:lastRenderedPageBreak/>
        <w:t xml:space="preserve">第六章 </w:t>
      </w:r>
      <w:r>
        <w:t>附则</w:t>
      </w:r>
    </w:p>
    <w:p w14:paraId="43AA107D" w14:textId="4648233F" w:rsidR="008C1A72" w:rsidRDefault="00E05BDA" w:rsidP="008C1A72">
      <w:pPr>
        <w:pStyle w:val="13"/>
        <w:ind w:firstLine="482"/>
      </w:pPr>
      <w:r w:rsidRPr="00E05BDA">
        <w:rPr>
          <w:rFonts w:hint="eastAsia"/>
          <w:b/>
        </w:rPr>
        <w:t xml:space="preserve">第二十七条 </w:t>
      </w:r>
      <w:r w:rsidR="008C1A72">
        <w:t>本指引自印发之日起30日后施行。</w:t>
      </w:r>
    </w:p>
    <w:p w14:paraId="6E476000" w14:textId="77777777" w:rsidR="008C1A72" w:rsidRDefault="008C1A72" w:rsidP="008C1A72">
      <w:pPr>
        <w:pStyle w:val="13"/>
      </w:pPr>
      <w:r>
        <w:rPr>
          <w:rFonts w:hint="eastAsia"/>
        </w:rPr>
        <w:t>本指引施行前已发布中标通知书的项目，沿用采购文件或项目合同中约定的绩效评价指标及结果应用等条款，按照本指引开展绩效监控、绩效评价相关工作，绩效目标与绩效指标体系不完善的，可参照本指引进行补充完善。</w:t>
      </w:r>
    </w:p>
    <w:p w14:paraId="452257C7" w14:textId="77777777" w:rsidR="008C1A72" w:rsidRDefault="008C1A72" w:rsidP="008C1A72">
      <w:pPr>
        <w:pStyle w:val="13"/>
      </w:pPr>
      <w:r>
        <w:rPr>
          <w:rFonts w:hint="eastAsia"/>
        </w:rPr>
        <w:t>附件：</w:t>
      </w:r>
      <w:r>
        <w:t>1.PPP项目全生命周期绩效管理导图</w:t>
      </w:r>
    </w:p>
    <w:p w14:paraId="518E47A8" w14:textId="77777777" w:rsidR="008C1A72" w:rsidRDefault="008C1A72" w:rsidP="008C1A72">
      <w:pPr>
        <w:pStyle w:val="13"/>
        <w:ind w:firstLineChars="500" w:firstLine="1200"/>
      </w:pPr>
      <w:r>
        <w:t>2.PPP项目绩效评价工作方案（参考）</w:t>
      </w:r>
    </w:p>
    <w:p w14:paraId="5A5FD41E" w14:textId="77777777" w:rsidR="008C1A72" w:rsidRDefault="008C1A72" w:rsidP="008C1A72">
      <w:pPr>
        <w:pStyle w:val="13"/>
        <w:ind w:firstLineChars="500" w:firstLine="1200"/>
      </w:pPr>
      <w:r>
        <w:t>3.PPP项目绩效评价报告（参考）</w:t>
      </w:r>
    </w:p>
    <w:p w14:paraId="295965CE" w14:textId="77777777" w:rsidR="008C1A72" w:rsidRDefault="008C1A72" w:rsidP="008C1A72">
      <w:pPr>
        <w:pStyle w:val="13"/>
        <w:ind w:firstLineChars="500" w:firstLine="1200"/>
      </w:pPr>
      <w:r>
        <w:t>4.PPP项目建设期绩效评价共性指标框架（参考）</w:t>
      </w:r>
    </w:p>
    <w:p w14:paraId="32796742" w14:textId="65A360AE" w:rsidR="00F24348" w:rsidRDefault="008C1A72" w:rsidP="008C1A72">
      <w:pPr>
        <w:pStyle w:val="13"/>
        <w:ind w:firstLineChars="500" w:firstLine="1200"/>
      </w:pPr>
      <w:r>
        <w:t>5.PPP项目运营期绩效评价共性指标框架（参考）</w:t>
      </w:r>
    </w:p>
    <w:p w14:paraId="6A0E174F" w14:textId="53326D69" w:rsidR="00F24348" w:rsidRDefault="008C1A72" w:rsidP="008C1A72">
      <w:pPr>
        <w:pStyle w:val="ab"/>
        <w:spacing w:before="62" w:after="62"/>
        <w:ind w:firstLine="482"/>
      </w:pPr>
      <w:r>
        <w:rPr>
          <w:rFonts w:hint="eastAsia"/>
        </w:rPr>
        <w:lastRenderedPageBreak/>
        <w:t>附件1：</w:t>
      </w:r>
    </w:p>
    <w:p w14:paraId="73F96B25" w14:textId="0CA57A2C" w:rsidR="00F24348" w:rsidRDefault="008C1A72" w:rsidP="00AF7342">
      <w:pPr>
        <w:pStyle w:val="a9"/>
        <w:spacing w:before="62" w:after="62"/>
      </w:pPr>
      <w:r w:rsidRPr="008C1A72">
        <w:t>PPP项目全生命周期绩效管理导图</w:t>
      </w:r>
    </w:p>
    <w:p w14:paraId="3763E431" w14:textId="52D4C039" w:rsidR="00F24348" w:rsidRDefault="008C1A72" w:rsidP="008C1A72">
      <w:pPr>
        <w:pStyle w:val="13"/>
        <w:ind w:firstLineChars="0" w:firstLine="0"/>
      </w:pPr>
      <w:r>
        <w:rPr>
          <w:noProof/>
        </w:rPr>
        <w:drawing>
          <wp:inline distT="0" distB="0" distL="0" distR="0" wp14:anchorId="3BC9FD12" wp14:editId="6CECC880">
            <wp:extent cx="5590540" cy="7175500"/>
            <wp:effectExtent l="0" t="0" r="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90540" cy="7175500"/>
                    </a:xfrm>
                    <a:prstGeom prst="rect">
                      <a:avLst/>
                    </a:prstGeom>
                    <a:noFill/>
                  </pic:spPr>
                </pic:pic>
              </a:graphicData>
            </a:graphic>
          </wp:inline>
        </w:drawing>
      </w:r>
    </w:p>
    <w:p w14:paraId="48B71F6F" w14:textId="343DB067" w:rsidR="00F24348" w:rsidRDefault="00F24348" w:rsidP="00882ED4">
      <w:pPr>
        <w:pStyle w:val="13"/>
      </w:pPr>
    </w:p>
    <w:p w14:paraId="1A8114F7" w14:textId="77777777" w:rsidR="008C1A72" w:rsidRDefault="008C1A72" w:rsidP="008C1A72">
      <w:pPr>
        <w:pStyle w:val="ab"/>
        <w:spacing w:before="62" w:after="62"/>
        <w:ind w:firstLine="482"/>
      </w:pPr>
      <w:r>
        <w:rPr>
          <w:rFonts w:hint="eastAsia"/>
        </w:rPr>
        <w:lastRenderedPageBreak/>
        <w:t>附2：</w:t>
      </w:r>
    </w:p>
    <w:p w14:paraId="3DA53968" w14:textId="773A8158" w:rsidR="00F24348" w:rsidRDefault="008C1A72" w:rsidP="00AF7342">
      <w:pPr>
        <w:pStyle w:val="a9"/>
        <w:spacing w:before="62" w:after="62"/>
      </w:pPr>
      <w:r w:rsidRPr="008C1A72">
        <w:t>PPP项目绩效评价工作方案（参考）</w:t>
      </w:r>
    </w:p>
    <w:p w14:paraId="352FCD0F" w14:textId="77777777" w:rsidR="008C1A72" w:rsidRPr="008C1A72" w:rsidRDefault="008C1A72" w:rsidP="008C1A72">
      <w:pPr>
        <w:pStyle w:val="13"/>
        <w:ind w:firstLine="482"/>
        <w:rPr>
          <w:b/>
          <w:bCs/>
        </w:rPr>
      </w:pPr>
      <w:r w:rsidRPr="008C1A72">
        <w:rPr>
          <w:rFonts w:hint="eastAsia"/>
          <w:b/>
          <w:bCs/>
        </w:rPr>
        <w:t>一、项目基本情况</w:t>
      </w:r>
    </w:p>
    <w:p w14:paraId="05DA82A2" w14:textId="77777777" w:rsidR="008C1A72" w:rsidRDefault="008C1A72" w:rsidP="008C1A72">
      <w:pPr>
        <w:pStyle w:val="13"/>
      </w:pPr>
      <w:r>
        <w:rPr>
          <w:rFonts w:hint="eastAsia"/>
        </w:rPr>
        <w:t>（一）项目概况。</w:t>
      </w:r>
    </w:p>
    <w:p w14:paraId="2AD22D96" w14:textId="77777777" w:rsidR="008C1A72" w:rsidRDefault="008C1A72" w:rsidP="008C1A72">
      <w:pPr>
        <w:pStyle w:val="13"/>
      </w:pPr>
      <w:r>
        <w:rPr>
          <w:rFonts w:hint="eastAsia"/>
        </w:rPr>
        <w:t>（二）项目产出说明。</w:t>
      </w:r>
    </w:p>
    <w:p w14:paraId="5C2B97D3" w14:textId="77777777" w:rsidR="008C1A72" w:rsidRDefault="008C1A72" w:rsidP="008C1A72">
      <w:pPr>
        <w:pStyle w:val="13"/>
      </w:pPr>
      <w:r>
        <w:rPr>
          <w:rFonts w:hint="eastAsia"/>
        </w:rPr>
        <w:t>（三）绩效目标和指标体系。</w:t>
      </w:r>
    </w:p>
    <w:p w14:paraId="0F6C6CAC" w14:textId="77777777" w:rsidR="008C1A72" w:rsidRDefault="008C1A72" w:rsidP="008C1A72">
      <w:pPr>
        <w:pStyle w:val="13"/>
      </w:pPr>
      <w:r>
        <w:t>PPP项目合同约定的绩效目标与指标体系、年度绩效目标与指标体系及调整情况。</w:t>
      </w:r>
    </w:p>
    <w:p w14:paraId="4D91AEFE" w14:textId="77777777" w:rsidR="008C1A72" w:rsidRDefault="008C1A72" w:rsidP="008C1A72">
      <w:pPr>
        <w:pStyle w:val="13"/>
      </w:pPr>
      <w:r>
        <w:rPr>
          <w:rFonts w:hint="eastAsia"/>
        </w:rPr>
        <w:t>（四）项目主要参与方。</w:t>
      </w:r>
    </w:p>
    <w:p w14:paraId="68F31C10" w14:textId="77777777" w:rsidR="008C1A72" w:rsidRDefault="008C1A72" w:rsidP="008C1A72">
      <w:pPr>
        <w:pStyle w:val="13"/>
      </w:pPr>
      <w:r>
        <w:rPr>
          <w:rFonts w:hint="eastAsia"/>
        </w:rPr>
        <w:t>说明项目主要参与方职责及参与情况，主要参与方通常包括项目公司（社会资本）、项目实施机构、相关主管部门及其他相关政府部门，项目服务对象及社会公众等其他相关方。</w:t>
      </w:r>
    </w:p>
    <w:p w14:paraId="51889131" w14:textId="77777777" w:rsidR="008C1A72" w:rsidRDefault="008C1A72" w:rsidP="008C1A72">
      <w:pPr>
        <w:pStyle w:val="13"/>
      </w:pPr>
      <w:r>
        <w:rPr>
          <w:rFonts w:hint="eastAsia"/>
        </w:rPr>
        <w:t>（五）项目实施情况。</w:t>
      </w:r>
    </w:p>
    <w:p w14:paraId="7F36D68B" w14:textId="77777777" w:rsidR="008C1A72" w:rsidRDefault="008C1A72" w:rsidP="008C1A72">
      <w:pPr>
        <w:pStyle w:val="13"/>
      </w:pPr>
      <w:r>
        <w:rPr>
          <w:rFonts w:hint="eastAsia"/>
        </w:rPr>
        <w:t>项目实施进展情况、实施内容调整及变更情况等。</w:t>
      </w:r>
    </w:p>
    <w:p w14:paraId="75D19937" w14:textId="77777777" w:rsidR="008C1A72" w:rsidRPr="008C1A72" w:rsidRDefault="008C1A72" w:rsidP="008C1A72">
      <w:pPr>
        <w:pStyle w:val="13"/>
        <w:ind w:firstLine="482"/>
        <w:rPr>
          <w:b/>
          <w:bCs/>
        </w:rPr>
      </w:pPr>
      <w:r w:rsidRPr="008C1A72">
        <w:rPr>
          <w:rFonts w:hint="eastAsia"/>
          <w:b/>
          <w:bCs/>
        </w:rPr>
        <w:t>二、绩效评价思路</w:t>
      </w:r>
    </w:p>
    <w:p w14:paraId="04EFC39A" w14:textId="77777777" w:rsidR="008C1A72" w:rsidRDefault="008C1A72" w:rsidP="008C1A72">
      <w:pPr>
        <w:pStyle w:val="13"/>
      </w:pPr>
      <w:r>
        <w:rPr>
          <w:rFonts w:hint="eastAsia"/>
        </w:rPr>
        <w:t>（一）绩效评价目的和依据。</w:t>
      </w:r>
    </w:p>
    <w:p w14:paraId="7D2F9EB8" w14:textId="77777777" w:rsidR="008C1A72" w:rsidRDefault="008C1A72" w:rsidP="008C1A72">
      <w:pPr>
        <w:pStyle w:val="13"/>
      </w:pPr>
      <w:r>
        <w:rPr>
          <w:rFonts w:hint="eastAsia"/>
        </w:rPr>
        <w:t>确定评价工作基本导向，明确绩效评价工作开展所要达到的目标和结果。</w:t>
      </w:r>
    </w:p>
    <w:p w14:paraId="26E8E664" w14:textId="77777777" w:rsidR="008C1A72" w:rsidRDefault="008C1A72" w:rsidP="008C1A72">
      <w:pPr>
        <w:pStyle w:val="13"/>
      </w:pPr>
      <w:r>
        <w:rPr>
          <w:rFonts w:hint="eastAsia"/>
        </w:rPr>
        <w:t>评价依据通常包括</w:t>
      </w:r>
      <w:r>
        <w:t>PPP项目合同，项目相关法律、法规和规章制度，相关行业标准及专业技术规范等。</w:t>
      </w:r>
    </w:p>
    <w:p w14:paraId="4FDB5362" w14:textId="77777777" w:rsidR="008C1A72" w:rsidRDefault="008C1A72" w:rsidP="008C1A72">
      <w:pPr>
        <w:pStyle w:val="13"/>
      </w:pPr>
      <w:r>
        <w:rPr>
          <w:rFonts w:hint="eastAsia"/>
        </w:rPr>
        <w:t>（二）绩效评价对象和范围。</w:t>
      </w:r>
    </w:p>
    <w:p w14:paraId="2C1AB443" w14:textId="77777777" w:rsidR="008C1A72" w:rsidRDefault="008C1A72" w:rsidP="008C1A72">
      <w:pPr>
        <w:pStyle w:val="13"/>
      </w:pPr>
      <w:r>
        <w:rPr>
          <w:rFonts w:hint="eastAsia"/>
        </w:rPr>
        <w:t>评价对象为</w:t>
      </w:r>
      <w:r>
        <w:t>PPP项目，评价范围包括项目产出、项目实施效果和项目管理等。</w:t>
      </w:r>
    </w:p>
    <w:p w14:paraId="17824A21" w14:textId="77777777" w:rsidR="008C1A72" w:rsidRDefault="008C1A72" w:rsidP="008C1A72">
      <w:pPr>
        <w:pStyle w:val="13"/>
      </w:pPr>
      <w:r>
        <w:rPr>
          <w:rFonts w:hint="eastAsia"/>
        </w:rPr>
        <w:t>（三）绩效评价时段。</w:t>
      </w:r>
    </w:p>
    <w:p w14:paraId="7C629B04" w14:textId="77777777" w:rsidR="008C1A72" w:rsidRDefault="008C1A72" w:rsidP="008C1A72">
      <w:pPr>
        <w:pStyle w:val="13"/>
      </w:pPr>
      <w:r>
        <w:rPr>
          <w:rFonts w:hint="eastAsia"/>
        </w:rPr>
        <w:t>项目本次被评价的时间范围，应明确具体的起止时间。</w:t>
      </w:r>
    </w:p>
    <w:p w14:paraId="6DE1F025" w14:textId="77777777" w:rsidR="008C1A72" w:rsidRDefault="008C1A72" w:rsidP="008C1A72">
      <w:pPr>
        <w:pStyle w:val="13"/>
      </w:pPr>
      <w:r>
        <w:rPr>
          <w:rFonts w:hint="eastAsia"/>
        </w:rPr>
        <w:t>（四）绩效评价方法。</w:t>
      </w:r>
    </w:p>
    <w:p w14:paraId="0FC6B9D9" w14:textId="77777777" w:rsidR="008C1A72" w:rsidRDefault="008C1A72" w:rsidP="008C1A72">
      <w:pPr>
        <w:pStyle w:val="13"/>
      </w:pPr>
      <w:r>
        <w:rPr>
          <w:rFonts w:hint="eastAsia"/>
        </w:rPr>
        <w:t>明确开展绩效评价所选用的相关评价方法及原因。</w:t>
      </w:r>
    </w:p>
    <w:p w14:paraId="55D47DCA" w14:textId="77777777" w:rsidR="008C1A72" w:rsidRPr="008C1A72" w:rsidRDefault="008C1A72" w:rsidP="008C1A72">
      <w:pPr>
        <w:pStyle w:val="13"/>
        <w:ind w:firstLine="482"/>
        <w:rPr>
          <w:b/>
          <w:bCs/>
        </w:rPr>
      </w:pPr>
      <w:r w:rsidRPr="008C1A72">
        <w:rPr>
          <w:rFonts w:hint="eastAsia"/>
          <w:b/>
          <w:bCs/>
        </w:rPr>
        <w:t>三、绩效评价组织与实施</w:t>
      </w:r>
    </w:p>
    <w:p w14:paraId="53EAA4EB" w14:textId="77777777" w:rsidR="008C1A72" w:rsidRDefault="008C1A72" w:rsidP="008C1A72">
      <w:pPr>
        <w:pStyle w:val="13"/>
      </w:pPr>
      <w:r>
        <w:rPr>
          <w:rFonts w:hint="eastAsia"/>
        </w:rPr>
        <w:t>（一）明确项目负责人及项目团队的职责与分工。</w:t>
      </w:r>
    </w:p>
    <w:p w14:paraId="6BC5B2D8" w14:textId="77777777" w:rsidR="008C1A72" w:rsidRDefault="008C1A72" w:rsidP="008C1A72">
      <w:pPr>
        <w:pStyle w:val="13"/>
      </w:pPr>
      <w:r>
        <w:rPr>
          <w:rFonts w:hint="eastAsia"/>
        </w:rPr>
        <w:t>（二）明确各个环节及各项工作的时间节点及工作计划。</w:t>
      </w:r>
    </w:p>
    <w:p w14:paraId="1A6B02C1" w14:textId="77777777" w:rsidR="008C1A72" w:rsidRDefault="008C1A72" w:rsidP="008C1A72">
      <w:pPr>
        <w:pStyle w:val="13"/>
      </w:pPr>
      <w:r>
        <w:rPr>
          <w:rFonts w:hint="eastAsia"/>
        </w:rPr>
        <w:t>（三）明确绩效评价工作质量控制措施。</w:t>
      </w:r>
    </w:p>
    <w:p w14:paraId="16556A60" w14:textId="77777777" w:rsidR="008C1A72" w:rsidRDefault="008C1A72" w:rsidP="008C1A72">
      <w:pPr>
        <w:pStyle w:val="13"/>
      </w:pPr>
      <w:r>
        <w:rPr>
          <w:rFonts w:hint="eastAsia"/>
        </w:rPr>
        <w:t>四、资料收集与调查</w:t>
      </w:r>
    </w:p>
    <w:p w14:paraId="65DEAA8E" w14:textId="77777777" w:rsidR="008C1A72" w:rsidRDefault="008C1A72" w:rsidP="008C1A72">
      <w:pPr>
        <w:pStyle w:val="13"/>
      </w:pPr>
      <w:r>
        <w:rPr>
          <w:rFonts w:hint="eastAsia"/>
        </w:rPr>
        <w:t>明确开展绩效评价工作所需的资料收集与调查方案，包括资料收集内容与途径、数据资料来源以及具体的调查方法。</w:t>
      </w:r>
    </w:p>
    <w:p w14:paraId="2A4206F1" w14:textId="77777777" w:rsidR="008C1A72" w:rsidRDefault="008C1A72" w:rsidP="008C1A72">
      <w:pPr>
        <w:pStyle w:val="13"/>
      </w:pPr>
      <w:r>
        <w:rPr>
          <w:rFonts w:hint="eastAsia"/>
        </w:rPr>
        <w:t>调查方法通常包括案卷研究、实地调研、座谈会及问卷调查等，应当尽可能明确调查对象、调查方法、调查内容、调查时间及地点等。如果调查对象涉及抽样，应当说明调查对象总体情况、样本总数、抽样方法及抽样比例。</w:t>
      </w:r>
    </w:p>
    <w:p w14:paraId="421120F8" w14:textId="77777777" w:rsidR="008C1A72" w:rsidRPr="008C1A72" w:rsidRDefault="008C1A72" w:rsidP="008C1A72">
      <w:pPr>
        <w:pStyle w:val="13"/>
        <w:ind w:firstLine="482"/>
        <w:rPr>
          <w:b/>
          <w:bCs/>
        </w:rPr>
      </w:pPr>
      <w:r w:rsidRPr="008C1A72">
        <w:rPr>
          <w:rFonts w:hint="eastAsia"/>
          <w:b/>
          <w:bCs/>
        </w:rPr>
        <w:lastRenderedPageBreak/>
        <w:t>五、相关附件</w:t>
      </w:r>
    </w:p>
    <w:p w14:paraId="169F0F7A" w14:textId="262AA6A2" w:rsidR="00F24348" w:rsidRDefault="008C1A72" w:rsidP="008C1A72">
      <w:pPr>
        <w:pStyle w:val="13"/>
      </w:pPr>
      <w:r>
        <w:rPr>
          <w:rFonts w:hint="eastAsia"/>
        </w:rPr>
        <w:t>通常包括资料清单、数据填报格式、访谈提纲及调查问卷等。</w:t>
      </w:r>
    </w:p>
    <w:p w14:paraId="46665E5E" w14:textId="77777777" w:rsidR="008C1A72" w:rsidRDefault="008C1A72" w:rsidP="008C1A72">
      <w:pPr>
        <w:pStyle w:val="ab"/>
        <w:spacing w:before="62" w:after="62"/>
        <w:ind w:firstLine="482"/>
      </w:pPr>
      <w:r>
        <w:rPr>
          <w:rFonts w:hint="eastAsia"/>
        </w:rPr>
        <w:t>附</w:t>
      </w:r>
      <w:r>
        <w:t>3：</w:t>
      </w:r>
    </w:p>
    <w:p w14:paraId="74C34A51" w14:textId="603F12EA" w:rsidR="00F24348" w:rsidRDefault="008C1A72" w:rsidP="00AF7342">
      <w:pPr>
        <w:pStyle w:val="a9"/>
        <w:spacing w:before="62" w:after="62"/>
      </w:pPr>
      <w:r>
        <w:t>PPP项目绩效评价报告（参考）</w:t>
      </w:r>
    </w:p>
    <w:p w14:paraId="4F51C05C" w14:textId="77777777" w:rsidR="008C1A72" w:rsidRPr="008C1A72" w:rsidRDefault="008C1A72" w:rsidP="008C1A72">
      <w:pPr>
        <w:pStyle w:val="13"/>
        <w:ind w:firstLine="482"/>
        <w:rPr>
          <w:b/>
          <w:bCs/>
        </w:rPr>
      </w:pPr>
      <w:r w:rsidRPr="008C1A72">
        <w:rPr>
          <w:rFonts w:hint="eastAsia"/>
          <w:b/>
          <w:bCs/>
        </w:rPr>
        <w:t>一、项目基本情况</w:t>
      </w:r>
    </w:p>
    <w:p w14:paraId="0E4D612B" w14:textId="77777777" w:rsidR="008C1A72" w:rsidRDefault="008C1A72" w:rsidP="008C1A72">
      <w:pPr>
        <w:pStyle w:val="13"/>
      </w:pPr>
      <w:r>
        <w:rPr>
          <w:rFonts w:hint="eastAsia"/>
        </w:rPr>
        <w:t>（一）项目概况。</w:t>
      </w:r>
    </w:p>
    <w:p w14:paraId="499556A2" w14:textId="77777777" w:rsidR="008C1A72" w:rsidRDefault="008C1A72" w:rsidP="008C1A72">
      <w:pPr>
        <w:pStyle w:val="13"/>
      </w:pPr>
      <w:r>
        <w:rPr>
          <w:rFonts w:hint="eastAsia"/>
        </w:rPr>
        <w:t>简述项目背景、</w:t>
      </w:r>
      <w:r>
        <w:t>PPP模式基本安排，包括基本信息、运作模式、回报机制、交易结构等内容。</w:t>
      </w:r>
    </w:p>
    <w:p w14:paraId="01295E8B" w14:textId="77777777" w:rsidR="008C1A72" w:rsidRDefault="008C1A72" w:rsidP="008C1A72">
      <w:pPr>
        <w:pStyle w:val="13"/>
      </w:pPr>
      <w:r>
        <w:rPr>
          <w:rFonts w:hint="eastAsia"/>
        </w:rPr>
        <w:t>（二）项目绩效目标。</w:t>
      </w:r>
    </w:p>
    <w:p w14:paraId="2B1CBE3C" w14:textId="77777777" w:rsidR="008C1A72" w:rsidRDefault="008C1A72" w:rsidP="008C1A72">
      <w:pPr>
        <w:pStyle w:val="13"/>
      </w:pPr>
      <w:r>
        <w:rPr>
          <w:rFonts w:hint="eastAsia"/>
        </w:rPr>
        <w:t>（三）项目主要参与方。</w:t>
      </w:r>
    </w:p>
    <w:p w14:paraId="08BABF12" w14:textId="77777777" w:rsidR="008C1A72" w:rsidRDefault="008C1A72" w:rsidP="008C1A72">
      <w:pPr>
        <w:pStyle w:val="13"/>
      </w:pPr>
      <w:r>
        <w:rPr>
          <w:rFonts w:hint="eastAsia"/>
        </w:rPr>
        <w:t>（四）项目实施情况。</w:t>
      </w:r>
    </w:p>
    <w:p w14:paraId="7F40C826" w14:textId="77777777" w:rsidR="008C1A72" w:rsidRDefault="008C1A72" w:rsidP="008C1A72">
      <w:pPr>
        <w:pStyle w:val="13"/>
      </w:pPr>
      <w:r>
        <w:rPr>
          <w:rFonts w:hint="eastAsia"/>
        </w:rPr>
        <w:t>包括项目实施的具体内容、范围、计划及进展情况等。如果项目内容在实施期内发生变更，应当说明变更的内容、依据及变更程序。</w:t>
      </w:r>
    </w:p>
    <w:p w14:paraId="734B619C" w14:textId="77777777" w:rsidR="008C1A72" w:rsidRDefault="008C1A72" w:rsidP="008C1A72">
      <w:pPr>
        <w:pStyle w:val="13"/>
      </w:pPr>
      <w:r>
        <w:rPr>
          <w:rFonts w:hint="eastAsia"/>
        </w:rPr>
        <w:t>（五）资金来源和使用情况。</w:t>
      </w:r>
    </w:p>
    <w:p w14:paraId="2DEC9363" w14:textId="77777777" w:rsidR="008C1A72" w:rsidRDefault="008C1A72" w:rsidP="008C1A72">
      <w:pPr>
        <w:pStyle w:val="13"/>
      </w:pPr>
      <w:r>
        <w:rPr>
          <w:rFonts w:hint="eastAsia"/>
        </w:rPr>
        <w:t>项目资金来源与使用情况、投融资管理情况、财务管理状况、预算情况等。</w:t>
      </w:r>
    </w:p>
    <w:p w14:paraId="67DEFE3A" w14:textId="77777777" w:rsidR="008C1A72" w:rsidRPr="008C1A72" w:rsidRDefault="008C1A72" w:rsidP="008C1A72">
      <w:pPr>
        <w:pStyle w:val="13"/>
        <w:ind w:firstLine="482"/>
        <w:rPr>
          <w:b/>
          <w:bCs/>
        </w:rPr>
      </w:pPr>
      <w:r w:rsidRPr="008C1A72">
        <w:rPr>
          <w:rFonts w:hint="eastAsia"/>
          <w:b/>
          <w:bCs/>
        </w:rPr>
        <w:t>二、绩效评价工作情况</w:t>
      </w:r>
    </w:p>
    <w:p w14:paraId="70CBD8ED" w14:textId="77777777" w:rsidR="008C1A72" w:rsidRDefault="008C1A72" w:rsidP="008C1A72">
      <w:pPr>
        <w:pStyle w:val="13"/>
      </w:pPr>
      <w:r>
        <w:rPr>
          <w:rFonts w:hint="eastAsia"/>
        </w:rPr>
        <w:t>（一）绩效评价目的。</w:t>
      </w:r>
    </w:p>
    <w:p w14:paraId="574DDE7A" w14:textId="77777777" w:rsidR="008C1A72" w:rsidRDefault="008C1A72" w:rsidP="008C1A72">
      <w:pPr>
        <w:pStyle w:val="13"/>
      </w:pPr>
      <w:r>
        <w:rPr>
          <w:rFonts w:hint="eastAsia"/>
        </w:rPr>
        <w:t>（二）绩效评价对象、范围与时段。</w:t>
      </w:r>
    </w:p>
    <w:p w14:paraId="615CDB30" w14:textId="77777777" w:rsidR="008C1A72" w:rsidRDefault="008C1A72" w:rsidP="008C1A72">
      <w:pPr>
        <w:pStyle w:val="13"/>
      </w:pPr>
      <w:r>
        <w:rPr>
          <w:rFonts w:hint="eastAsia"/>
        </w:rPr>
        <w:t>（三）绩效评价工作方案制定过程。</w:t>
      </w:r>
    </w:p>
    <w:p w14:paraId="4251BDB8" w14:textId="77777777" w:rsidR="008C1A72" w:rsidRDefault="008C1A72" w:rsidP="008C1A72">
      <w:pPr>
        <w:pStyle w:val="13"/>
      </w:pPr>
      <w:r>
        <w:rPr>
          <w:rFonts w:hint="eastAsia"/>
        </w:rPr>
        <w:t>（四）绩效评价原则与方法。</w:t>
      </w:r>
    </w:p>
    <w:p w14:paraId="54E80A4B" w14:textId="77777777" w:rsidR="008C1A72" w:rsidRDefault="008C1A72" w:rsidP="008C1A72">
      <w:pPr>
        <w:pStyle w:val="13"/>
      </w:pPr>
      <w:r>
        <w:rPr>
          <w:rFonts w:hint="eastAsia"/>
        </w:rPr>
        <w:t>（五）绩效评价实施过程。</w:t>
      </w:r>
    </w:p>
    <w:p w14:paraId="64DFBFE7" w14:textId="77777777" w:rsidR="008C1A72" w:rsidRDefault="008C1A72" w:rsidP="008C1A72">
      <w:pPr>
        <w:pStyle w:val="13"/>
      </w:pPr>
      <w:r>
        <w:rPr>
          <w:rFonts w:hint="eastAsia"/>
        </w:rPr>
        <w:t>（六）数据收集方法。</w:t>
      </w:r>
    </w:p>
    <w:p w14:paraId="76D1E6E4" w14:textId="77777777" w:rsidR="008C1A72" w:rsidRDefault="008C1A72" w:rsidP="008C1A72">
      <w:pPr>
        <w:pStyle w:val="13"/>
      </w:pPr>
      <w:r>
        <w:rPr>
          <w:rFonts w:hint="eastAsia"/>
        </w:rPr>
        <w:t>（七）绩效评价的局限性（如有）。</w:t>
      </w:r>
    </w:p>
    <w:p w14:paraId="6D93C132" w14:textId="77777777" w:rsidR="008C1A72" w:rsidRPr="008C1A72" w:rsidRDefault="008C1A72" w:rsidP="008C1A72">
      <w:pPr>
        <w:pStyle w:val="13"/>
        <w:ind w:firstLine="482"/>
        <w:rPr>
          <w:b/>
          <w:bCs/>
        </w:rPr>
      </w:pPr>
      <w:r w:rsidRPr="008C1A72">
        <w:rPr>
          <w:rFonts w:hint="eastAsia"/>
          <w:b/>
          <w:bCs/>
        </w:rPr>
        <w:t>三、评价结论和绩效分析</w:t>
      </w:r>
    </w:p>
    <w:p w14:paraId="58678B7B" w14:textId="77777777" w:rsidR="008C1A72" w:rsidRDefault="008C1A72" w:rsidP="008C1A72">
      <w:pPr>
        <w:pStyle w:val="13"/>
      </w:pPr>
      <w:r>
        <w:rPr>
          <w:rFonts w:hint="eastAsia"/>
        </w:rPr>
        <w:t>（一）评价结论。</w:t>
      </w:r>
    </w:p>
    <w:p w14:paraId="175ED251" w14:textId="77777777" w:rsidR="008C1A72" w:rsidRDefault="008C1A72" w:rsidP="008C1A72">
      <w:pPr>
        <w:pStyle w:val="13"/>
      </w:pPr>
      <w:r>
        <w:rPr>
          <w:rFonts w:hint="eastAsia"/>
        </w:rPr>
        <w:t>（二）绩效分析。</w:t>
      </w:r>
    </w:p>
    <w:p w14:paraId="2BB71EBB" w14:textId="77777777" w:rsidR="008C1A72" w:rsidRDefault="008C1A72" w:rsidP="008C1A72">
      <w:pPr>
        <w:pStyle w:val="13"/>
      </w:pPr>
      <w:r>
        <w:rPr>
          <w:rFonts w:hint="eastAsia"/>
        </w:rPr>
        <w:t>对项目产出、效果和管理指标进行分析和评价。</w:t>
      </w:r>
    </w:p>
    <w:p w14:paraId="2B22B358" w14:textId="77777777" w:rsidR="008C1A72" w:rsidRDefault="008C1A72" w:rsidP="008C1A72">
      <w:pPr>
        <w:pStyle w:val="13"/>
      </w:pPr>
      <w:r>
        <w:rPr>
          <w:rFonts w:hint="eastAsia"/>
        </w:rPr>
        <w:t>在对绩效指标进行分析和评价时，要充分利用评价工作中所收集的数据，做到定量分析和定性分析相结合。绩效指标评分应当依据充分、数据使用合理恰当，确保绩效评价结果的公正性、客观性、合理性。</w:t>
      </w:r>
    </w:p>
    <w:p w14:paraId="6D46EE6A" w14:textId="77777777" w:rsidR="008C1A72" w:rsidRPr="008C1A72" w:rsidRDefault="008C1A72" w:rsidP="008C1A72">
      <w:pPr>
        <w:pStyle w:val="13"/>
        <w:ind w:firstLine="482"/>
        <w:rPr>
          <w:b/>
          <w:bCs/>
        </w:rPr>
      </w:pPr>
      <w:r w:rsidRPr="008C1A72">
        <w:rPr>
          <w:rFonts w:hint="eastAsia"/>
          <w:b/>
          <w:bCs/>
        </w:rPr>
        <w:t>四、存在问题及原因分析</w:t>
      </w:r>
    </w:p>
    <w:p w14:paraId="5535423B" w14:textId="77777777" w:rsidR="008C1A72" w:rsidRDefault="008C1A72" w:rsidP="008C1A72">
      <w:pPr>
        <w:pStyle w:val="13"/>
      </w:pPr>
      <w:r>
        <w:rPr>
          <w:rFonts w:hint="eastAsia"/>
        </w:rPr>
        <w:t>通过分析各指标的评价结果，总结项目存在的不足及原因，明确责任主体，为提出相关建议奠定基础。</w:t>
      </w:r>
    </w:p>
    <w:p w14:paraId="773AB6A9" w14:textId="77777777" w:rsidR="008C1A72" w:rsidRPr="008C1A72" w:rsidRDefault="008C1A72" w:rsidP="008C1A72">
      <w:pPr>
        <w:pStyle w:val="13"/>
        <w:ind w:firstLine="482"/>
        <w:rPr>
          <w:b/>
          <w:bCs/>
        </w:rPr>
      </w:pPr>
      <w:r w:rsidRPr="008C1A72">
        <w:rPr>
          <w:rFonts w:hint="eastAsia"/>
          <w:b/>
          <w:bCs/>
        </w:rPr>
        <w:t>五、相关建议</w:t>
      </w:r>
    </w:p>
    <w:p w14:paraId="227E5A72" w14:textId="77777777" w:rsidR="008C1A72" w:rsidRDefault="008C1A72" w:rsidP="008C1A72">
      <w:pPr>
        <w:pStyle w:val="13"/>
      </w:pPr>
      <w:r>
        <w:rPr>
          <w:rFonts w:hint="eastAsia"/>
        </w:rPr>
        <w:lastRenderedPageBreak/>
        <w:t>通过综合考虑各指标的评价结果，有针对性地对项目存在的不足提出改进措施和建议。措施或建议应当具有较强的可行性、前瞻性及科学性，有利于促进和提高项目绩效水平。</w:t>
      </w:r>
    </w:p>
    <w:p w14:paraId="6460945D" w14:textId="77777777" w:rsidR="008C1A72" w:rsidRPr="008C1A72" w:rsidRDefault="008C1A72" w:rsidP="008C1A72">
      <w:pPr>
        <w:pStyle w:val="13"/>
        <w:ind w:firstLine="482"/>
        <w:rPr>
          <w:b/>
          <w:bCs/>
        </w:rPr>
      </w:pPr>
      <w:r w:rsidRPr="008C1A72">
        <w:rPr>
          <w:rFonts w:hint="eastAsia"/>
          <w:b/>
          <w:bCs/>
        </w:rPr>
        <w:t>六、绩效评价报告使用限制等其他需要说明的问题。</w:t>
      </w:r>
    </w:p>
    <w:p w14:paraId="6828A287" w14:textId="77777777" w:rsidR="008C1A72" w:rsidRPr="008C1A72" w:rsidRDefault="008C1A72" w:rsidP="008C1A72">
      <w:pPr>
        <w:pStyle w:val="13"/>
        <w:ind w:firstLine="482"/>
        <w:rPr>
          <w:b/>
          <w:bCs/>
        </w:rPr>
      </w:pPr>
      <w:r w:rsidRPr="008C1A72">
        <w:rPr>
          <w:rFonts w:hint="eastAsia"/>
          <w:b/>
          <w:bCs/>
        </w:rPr>
        <w:t>七、评价主体签章</w:t>
      </w:r>
    </w:p>
    <w:p w14:paraId="79F000B6" w14:textId="77777777" w:rsidR="008C1A72" w:rsidRDefault="008C1A72" w:rsidP="008C1A72">
      <w:pPr>
        <w:pStyle w:val="13"/>
      </w:pPr>
      <w:r>
        <w:rPr>
          <w:rFonts w:hint="eastAsia"/>
        </w:rPr>
        <w:t>绩效评价报告应当</w:t>
      </w:r>
      <w:proofErr w:type="gramStart"/>
      <w:r>
        <w:rPr>
          <w:rFonts w:hint="eastAsia"/>
        </w:rPr>
        <w:t>由评价</w:t>
      </w:r>
      <w:proofErr w:type="gramEnd"/>
      <w:r>
        <w:rPr>
          <w:rFonts w:hint="eastAsia"/>
        </w:rPr>
        <w:t>主体加盖公章。</w:t>
      </w:r>
    </w:p>
    <w:p w14:paraId="60A8684C" w14:textId="77777777" w:rsidR="008C1A72" w:rsidRPr="008C1A72" w:rsidRDefault="008C1A72" w:rsidP="008C1A72">
      <w:pPr>
        <w:pStyle w:val="13"/>
        <w:ind w:firstLine="482"/>
        <w:rPr>
          <w:b/>
          <w:bCs/>
        </w:rPr>
      </w:pPr>
      <w:r w:rsidRPr="008C1A72">
        <w:rPr>
          <w:rFonts w:hint="eastAsia"/>
          <w:b/>
          <w:bCs/>
        </w:rPr>
        <w:t>八、相关附件</w:t>
      </w:r>
    </w:p>
    <w:p w14:paraId="3CF19FF2" w14:textId="3A2B633C" w:rsidR="00F24348" w:rsidRDefault="008C1A72" w:rsidP="008C1A72">
      <w:pPr>
        <w:pStyle w:val="13"/>
      </w:pPr>
      <w:r>
        <w:rPr>
          <w:rFonts w:hint="eastAsia"/>
        </w:rPr>
        <w:t>通常包括主要评价依据、实地调研和座谈会相关资料、调查问卷汇总信息及其他支持评价结论的相关资料。</w:t>
      </w:r>
    </w:p>
    <w:p w14:paraId="2D8ACD37" w14:textId="77777777" w:rsidR="000332D5" w:rsidRDefault="000332D5" w:rsidP="008C1A72">
      <w:pPr>
        <w:pStyle w:val="13"/>
      </w:pPr>
    </w:p>
    <w:p w14:paraId="0ABD77EB" w14:textId="77777777" w:rsidR="000332D5" w:rsidRDefault="000332D5" w:rsidP="000332D5">
      <w:pPr>
        <w:pStyle w:val="ab"/>
        <w:spacing w:before="62" w:after="62"/>
        <w:ind w:firstLine="482"/>
      </w:pPr>
      <w:r>
        <w:rPr>
          <w:rFonts w:hint="eastAsia"/>
        </w:rPr>
        <w:t>附</w:t>
      </w:r>
      <w:r>
        <w:t>4：</w:t>
      </w:r>
    </w:p>
    <w:p w14:paraId="238213A0" w14:textId="21AE32BD" w:rsidR="00F24348" w:rsidRDefault="000332D5" w:rsidP="00AF7342">
      <w:pPr>
        <w:pStyle w:val="a9"/>
        <w:spacing w:before="62" w:after="62"/>
      </w:pPr>
      <w:r>
        <w:t>PPP项目建设期绩效评价共性指标框架（参考）</w:t>
      </w:r>
    </w:p>
    <w:p w14:paraId="03D035A2" w14:textId="7260097A" w:rsidR="00F24348" w:rsidRPr="000332D5" w:rsidRDefault="000332D5" w:rsidP="000332D5">
      <w:pPr>
        <w:pStyle w:val="13"/>
        <w:ind w:firstLineChars="0" w:firstLine="0"/>
        <w:jc w:val="center"/>
        <w:rPr>
          <w:b/>
          <w:bCs/>
        </w:rPr>
      </w:pPr>
      <w:r w:rsidRPr="000332D5">
        <w:rPr>
          <w:b/>
          <w:bCs/>
        </w:rPr>
        <w:t>PPP项目绩效评价共性指标框架（参考）——建设期</w:t>
      </w:r>
    </w:p>
    <w:tbl>
      <w:tblPr>
        <w:tblW w:w="5000" w:type="pct"/>
        <w:jc w:val="center"/>
        <w:tblLook w:val="04A0" w:firstRow="1" w:lastRow="0" w:firstColumn="1" w:lastColumn="0" w:noHBand="0" w:noVBand="1"/>
      </w:tblPr>
      <w:tblGrid>
        <w:gridCol w:w="1513"/>
        <w:gridCol w:w="1060"/>
        <w:gridCol w:w="1152"/>
        <w:gridCol w:w="4995"/>
      </w:tblGrid>
      <w:tr w:rsidR="000332D5" w:rsidRPr="000332D5" w14:paraId="4E961660" w14:textId="77777777" w:rsidTr="000332D5">
        <w:trPr>
          <w:trHeight w:val="574"/>
          <w:tblHeader/>
          <w:jc w:val="center"/>
        </w:trPr>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1FD9D" w14:textId="093C6B5D" w:rsidR="000332D5" w:rsidRPr="000332D5" w:rsidRDefault="000332D5" w:rsidP="000332D5">
            <w:pPr>
              <w:pStyle w:val="13"/>
              <w:ind w:firstLineChars="0" w:firstLine="0"/>
              <w:rPr>
                <w:sz w:val="21"/>
                <w:szCs w:val="21"/>
              </w:rPr>
            </w:pPr>
          </w:p>
        </w:tc>
        <w:tc>
          <w:tcPr>
            <w:tcW w:w="534" w:type="pct"/>
            <w:tcBorders>
              <w:top w:val="single" w:sz="4" w:space="0" w:color="auto"/>
              <w:left w:val="nil"/>
              <w:bottom w:val="single" w:sz="4" w:space="0" w:color="auto"/>
              <w:right w:val="single" w:sz="4" w:space="0" w:color="auto"/>
            </w:tcBorders>
            <w:shd w:val="clear" w:color="auto" w:fill="auto"/>
            <w:noWrap/>
            <w:vAlign w:val="center"/>
          </w:tcPr>
          <w:p w14:paraId="383B6500" w14:textId="77777777" w:rsidR="000332D5" w:rsidRPr="000332D5" w:rsidRDefault="000332D5" w:rsidP="000332D5">
            <w:pPr>
              <w:pStyle w:val="13"/>
              <w:ind w:firstLineChars="0" w:firstLine="0"/>
              <w:jc w:val="center"/>
              <w:rPr>
                <w:b/>
                <w:bCs/>
                <w:sz w:val="21"/>
                <w:szCs w:val="21"/>
              </w:rPr>
            </w:pPr>
            <w:r w:rsidRPr="000332D5">
              <w:rPr>
                <w:rFonts w:hint="eastAsia"/>
                <w:b/>
                <w:bCs/>
                <w:sz w:val="21"/>
                <w:szCs w:val="21"/>
              </w:rPr>
              <w:t>一级指标</w:t>
            </w:r>
          </w:p>
        </w:tc>
        <w:tc>
          <w:tcPr>
            <w:tcW w:w="685" w:type="pct"/>
            <w:tcBorders>
              <w:top w:val="single" w:sz="4" w:space="0" w:color="auto"/>
              <w:left w:val="nil"/>
              <w:bottom w:val="single" w:sz="4" w:space="0" w:color="auto"/>
              <w:right w:val="single" w:sz="4" w:space="0" w:color="auto"/>
            </w:tcBorders>
            <w:shd w:val="clear" w:color="auto" w:fill="auto"/>
            <w:noWrap/>
            <w:vAlign w:val="center"/>
          </w:tcPr>
          <w:p w14:paraId="599E793B" w14:textId="77777777" w:rsidR="000332D5" w:rsidRPr="000332D5" w:rsidRDefault="000332D5" w:rsidP="000332D5">
            <w:pPr>
              <w:pStyle w:val="13"/>
              <w:ind w:firstLineChars="0" w:firstLine="0"/>
              <w:jc w:val="center"/>
              <w:rPr>
                <w:b/>
                <w:bCs/>
                <w:sz w:val="21"/>
                <w:szCs w:val="21"/>
              </w:rPr>
            </w:pPr>
            <w:r w:rsidRPr="000332D5">
              <w:rPr>
                <w:rFonts w:hint="eastAsia"/>
                <w:b/>
                <w:bCs/>
                <w:sz w:val="21"/>
                <w:szCs w:val="21"/>
              </w:rPr>
              <w:t>二级指标</w:t>
            </w:r>
          </w:p>
        </w:tc>
        <w:tc>
          <w:tcPr>
            <w:tcW w:w="2889" w:type="pct"/>
            <w:tcBorders>
              <w:top w:val="single" w:sz="4" w:space="0" w:color="auto"/>
              <w:left w:val="nil"/>
              <w:bottom w:val="single" w:sz="4" w:space="0" w:color="auto"/>
              <w:right w:val="single" w:sz="4" w:space="0" w:color="auto"/>
            </w:tcBorders>
            <w:shd w:val="clear" w:color="auto" w:fill="auto"/>
            <w:noWrap/>
            <w:vAlign w:val="center"/>
          </w:tcPr>
          <w:p w14:paraId="2F9DAA2C" w14:textId="77777777" w:rsidR="000332D5" w:rsidRPr="000332D5" w:rsidRDefault="000332D5" w:rsidP="000332D5">
            <w:pPr>
              <w:pStyle w:val="13"/>
              <w:ind w:firstLineChars="0" w:firstLine="0"/>
              <w:jc w:val="center"/>
              <w:rPr>
                <w:b/>
                <w:bCs/>
                <w:sz w:val="21"/>
                <w:szCs w:val="21"/>
              </w:rPr>
            </w:pPr>
            <w:r w:rsidRPr="000332D5">
              <w:rPr>
                <w:rFonts w:hint="eastAsia"/>
                <w:b/>
                <w:bCs/>
                <w:sz w:val="21"/>
                <w:szCs w:val="21"/>
              </w:rPr>
              <w:t>指标解释</w:t>
            </w:r>
          </w:p>
        </w:tc>
      </w:tr>
      <w:tr w:rsidR="000332D5" w:rsidRPr="000332D5" w14:paraId="13E90CFD" w14:textId="77777777" w:rsidTr="000332D5">
        <w:trPr>
          <w:jc w:val="center"/>
        </w:trPr>
        <w:tc>
          <w:tcPr>
            <w:tcW w:w="892" w:type="pct"/>
            <w:vMerge w:val="restart"/>
            <w:tcBorders>
              <w:top w:val="nil"/>
              <w:left w:val="single" w:sz="4" w:space="0" w:color="auto"/>
              <w:bottom w:val="single" w:sz="4" w:space="0" w:color="auto"/>
              <w:right w:val="single" w:sz="4" w:space="0" w:color="auto"/>
            </w:tcBorders>
            <w:shd w:val="clear" w:color="auto" w:fill="auto"/>
            <w:vAlign w:val="center"/>
          </w:tcPr>
          <w:p w14:paraId="6EE54A26" w14:textId="13337A30" w:rsidR="000332D5" w:rsidRPr="000332D5" w:rsidRDefault="000332D5" w:rsidP="000332D5">
            <w:pPr>
              <w:pStyle w:val="13"/>
              <w:ind w:firstLineChars="0" w:firstLine="0"/>
              <w:jc w:val="center"/>
              <w:rPr>
                <w:b/>
                <w:bCs/>
                <w:sz w:val="21"/>
                <w:szCs w:val="21"/>
              </w:rPr>
            </w:pPr>
            <w:r w:rsidRPr="000332D5">
              <w:rPr>
                <w:rFonts w:hint="eastAsia"/>
                <w:b/>
                <w:bCs/>
                <w:sz w:val="21"/>
                <w:szCs w:val="21"/>
              </w:rPr>
              <w:t>项目公司</w:t>
            </w:r>
            <w:r>
              <w:rPr>
                <w:b/>
                <w:bCs/>
                <w:sz w:val="21"/>
                <w:szCs w:val="21"/>
              </w:rPr>
              <w:br/>
            </w:r>
            <w:r w:rsidRPr="000332D5">
              <w:rPr>
                <w:rFonts w:hint="eastAsia"/>
                <w:b/>
                <w:bCs/>
                <w:sz w:val="21"/>
                <w:szCs w:val="21"/>
              </w:rPr>
              <w:t>（社会资本）绩效评价</w:t>
            </w:r>
            <w:r w:rsidRPr="000332D5">
              <w:rPr>
                <w:b/>
                <w:bCs/>
                <w:sz w:val="21"/>
                <w:szCs w:val="21"/>
              </w:rPr>
              <w:br/>
            </w:r>
            <w:r w:rsidRPr="000332D5">
              <w:rPr>
                <w:rFonts w:hint="eastAsia"/>
                <w:b/>
                <w:bCs/>
                <w:sz w:val="21"/>
                <w:szCs w:val="21"/>
              </w:rPr>
              <w:t>（</w:t>
            </w:r>
            <w:r w:rsidRPr="000332D5">
              <w:rPr>
                <w:b/>
                <w:bCs/>
                <w:sz w:val="21"/>
                <w:szCs w:val="21"/>
              </w:rPr>
              <w:t>100分）</w:t>
            </w:r>
          </w:p>
        </w:tc>
        <w:tc>
          <w:tcPr>
            <w:tcW w:w="534" w:type="pct"/>
            <w:tcBorders>
              <w:top w:val="nil"/>
              <w:left w:val="nil"/>
              <w:bottom w:val="single" w:sz="4" w:space="0" w:color="auto"/>
              <w:right w:val="single" w:sz="4" w:space="0" w:color="auto"/>
            </w:tcBorders>
            <w:shd w:val="clear" w:color="auto" w:fill="auto"/>
            <w:vAlign w:val="center"/>
          </w:tcPr>
          <w:p w14:paraId="6D5A7582" w14:textId="77777777" w:rsidR="000332D5" w:rsidRPr="000332D5" w:rsidRDefault="000332D5" w:rsidP="000332D5">
            <w:pPr>
              <w:pStyle w:val="13"/>
              <w:ind w:firstLineChars="0" w:firstLine="0"/>
              <w:jc w:val="center"/>
              <w:rPr>
                <w:b/>
                <w:bCs/>
                <w:sz w:val="21"/>
                <w:szCs w:val="21"/>
              </w:rPr>
            </w:pPr>
            <w:r w:rsidRPr="000332D5">
              <w:rPr>
                <w:rFonts w:hint="eastAsia"/>
                <w:b/>
                <w:bCs/>
                <w:sz w:val="21"/>
                <w:szCs w:val="21"/>
              </w:rPr>
              <w:t>产出</w:t>
            </w:r>
          </w:p>
        </w:tc>
        <w:tc>
          <w:tcPr>
            <w:tcW w:w="685" w:type="pct"/>
            <w:tcBorders>
              <w:top w:val="nil"/>
              <w:left w:val="nil"/>
              <w:bottom w:val="single" w:sz="4" w:space="0" w:color="auto"/>
              <w:right w:val="single" w:sz="4" w:space="0" w:color="auto"/>
            </w:tcBorders>
            <w:shd w:val="clear" w:color="auto" w:fill="auto"/>
            <w:vAlign w:val="center"/>
          </w:tcPr>
          <w:p w14:paraId="425AF709" w14:textId="77777777" w:rsidR="000332D5" w:rsidRPr="000332D5" w:rsidRDefault="000332D5" w:rsidP="000332D5">
            <w:pPr>
              <w:pStyle w:val="13"/>
              <w:ind w:firstLineChars="0" w:firstLine="0"/>
              <w:jc w:val="center"/>
              <w:rPr>
                <w:sz w:val="21"/>
                <w:szCs w:val="21"/>
              </w:rPr>
            </w:pPr>
            <w:r w:rsidRPr="000332D5">
              <w:rPr>
                <w:rFonts w:hint="eastAsia"/>
                <w:sz w:val="21"/>
                <w:szCs w:val="21"/>
              </w:rPr>
              <w:t>竣工验收</w:t>
            </w:r>
          </w:p>
        </w:tc>
        <w:tc>
          <w:tcPr>
            <w:tcW w:w="2889" w:type="pct"/>
            <w:tcBorders>
              <w:top w:val="nil"/>
              <w:left w:val="nil"/>
              <w:bottom w:val="single" w:sz="4" w:space="0" w:color="auto"/>
              <w:right w:val="single" w:sz="4" w:space="0" w:color="auto"/>
            </w:tcBorders>
            <w:shd w:val="clear" w:color="auto" w:fill="auto"/>
            <w:vAlign w:val="center"/>
          </w:tcPr>
          <w:p w14:paraId="36C3E305" w14:textId="77777777" w:rsidR="000332D5" w:rsidRPr="000332D5" w:rsidRDefault="000332D5" w:rsidP="000332D5">
            <w:pPr>
              <w:pStyle w:val="13"/>
              <w:ind w:firstLineChars="0" w:firstLine="0"/>
              <w:rPr>
                <w:sz w:val="21"/>
                <w:szCs w:val="21"/>
              </w:rPr>
            </w:pPr>
            <w:r w:rsidRPr="000332D5">
              <w:rPr>
                <w:rFonts w:hint="eastAsia"/>
                <w:sz w:val="21"/>
                <w:szCs w:val="21"/>
              </w:rPr>
              <w:t>评价项目是否通过竣工验收及竣工验收情况。</w:t>
            </w:r>
          </w:p>
        </w:tc>
      </w:tr>
      <w:tr w:rsidR="000332D5" w:rsidRPr="000332D5" w14:paraId="12F8F220"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6EA3F50A" w14:textId="77777777" w:rsidR="000332D5" w:rsidRPr="000332D5" w:rsidRDefault="000332D5" w:rsidP="000332D5">
            <w:pPr>
              <w:pStyle w:val="13"/>
              <w:ind w:firstLineChars="0" w:firstLine="0"/>
              <w:rPr>
                <w:b/>
                <w:bCs/>
                <w:sz w:val="21"/>
                <w:szCs w:val="21"/>
              </w:rPr>
            </w:pPr>
          </w:p>
        </w:tc>
        <w:tc>
          <w:tcPr>
            <w:tcW w:w="534" w:type="pct"/>
            <w:vMerge w:val="restart"/>
            <w:tcBorders>
              <w:top w:val="nil"/>
              <w:left w:val="single" w:sz="4" w:space="0" w:color="auto"/>
              <w:bottom w:val="single" w:sz="4" w:space="0" w:color="auto"/>
              <w:right w:val="single" w:sz="4" w:space="0" w:color="auto"/>
            </w:tcBorders>
            <w:shd w:val="clear" w:color="auto" w:fill="auto"/>
            <w:vAlign w:val="center"/>
          </w:tcPr>
          <w:p w14:paraId="22FC6424" w14:textId="77777777" w:rsidR="000332D5" w:rsidRPr="000332D5" w:rsidRDefault="000332D5" w:rsidP="000332D5">
            <w:pPr>
              <w:pStyle w:val="13"/>
              <w:ind w:firstLineChars="0" w:firstLine="0"/>
              <w:jc w:val="center"/>
              <w:rPr>
                <w:b/>
                <w:bCs/>
                <w:sz w:val="21"/>
                <w:szCs w:val="21"/>
              </w:rPr>
            </w:pPr>
            <w:r w:rsidRPr="000332D5">
              <w:rPr>
                <w:rFonts w:hint="eastAsia"/>
                <w:b/>
                <w:bCs/>
                <w:sz w:val="21"/>
                <w:szCs w:val="21"/>
              </w:rPr>
              <w:t>效果</w:t>
            </w:r>
          </w:p>
        </w:tc>
        <w:tc>
          <w:tcPr>
            <w:tcW w:w="685" w:type="pct"/>
            <w:tcBorders>
              <w:top w:val="nil"/>
              <w:left w:val="nil"/>
              <w:bottom w:val="single" w:sz="4" w:space="0" w:color="auto"/>
              <w:right w:val="single" w:sz="4" w:space="0" w:color="auto"/>
            </w:tcBorders>
            <w:shd w:val="clear" w:color="auto" w:fill="auto"/>
            <w:vAlign w:val="center"/>
          </w:tcPr>
          <w:p w14:paraId="479A74F2" w14:textId="77777777" w:rsidR="000332D5" w:rsidRPr="000332D5" w:rsidRDefault="000332D5" w:rsidP="000332D5">
            <w:pPr>
              <w:pStyle w:val="13"/>
              <w:ind w:firstLineChars="0" w:firstLine="0"/>
              <w:jc w:val="center"/>
              <w:rPr>
                <w:sz w:val="21"/>
                <w:szCs w:val="21"/>
              </w:rPr>
            </w:pPr>
            <w:r w:rsidRPr="000332D5">
              <w:rPr>
                <w:rFonts w:hint="eastAsia"/>
                <w:sz w:val="21"/>
                <w:szCs w:val="21"/>
              </w:rPr>
              <w:t>社会影响</w:t>
            </w:r>
          </w:p>
        </w:tc>
        <w:tc>
          <w:tcPr>
            <w:tcW w:w="2889" w:type="pct"/>
            <w:tcBorders>
              <w:top w:val="nil"/>
              <w:left w:val="nil"/>
              <w:bottom w:val="single" w:sz="4" w:space="0" w:color="auto"/>
              <w:right w:val="single" w:sz="4" w:space="0" w:color="auto"/>
            </w:tcBorders>
            <w:shd w:val="clear" w:color="auto" w:fill="auto"/>
            <w:vAlign w:val="center"/>
          </w:tcPr>
          <w:p w14:paraId="0B8546C7" w14:textId="77777777" w:rsidR="000332D5" w:rsidRPr="000332D5" w:rsidRDefault="000332D5" w:rsidP="000332D5">
            <w:pPr>
              <w:pStyle w:val="13"/>
              <w:ind w:firstLineChars="0" w:firstLine="0"/>
              <w:rPr>
                <w:sz w:val="21"/>
                <w:szCs w:val="21"/>
              </w:rPr>
            </w:pPr>
            <w:r w:rsidRPr="000332D5">
              <w:rPr>
                <w:rFonts w:hint="eastAsia"/>
                <w:sz w:val="21"/>
                <w:szCs w:val="21"/>
              </w:rPr>
              <w:t>评价项目建设活动对社会发展所带来的直接或间接的正负面影响情况。如新增就业、社会荣誉、重大诉讼、公众舆情与群体性事件等。</w:t>
            </w:r>
          </w:p>
        </w:tc>
      </w:tr>
      <w:tr w:rsidR="000332D5" w:rsidRPr="000332D5" w14:paraId="2B3CF856"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736D6115"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463249F4"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auto" w:fill="auto"/>
            <w:vAlign w:val="center"/>
          </w:tcPr>
          <w:p w14:paraId="124C0211" w14:textId="77777777" w:rsidR="000332D5" w:rsidRPr="000332D5" w:rsidRDefault="000332D5" w:rsidP="000332D5">
            <w:pPr>
              <w:pStyle w:val="13"/>
              <w:ind w:firstLineChars="0" w:firstLine="0"/>
              <w:jc w:val="center"/>
              <w:rPr>
                <w:sz w:val="21"/>
                <w:szCs w:val="21"/>
              </w:rPr>
            </w:pPr>
            <w:r w:rsidRPr="000332D5">
              <w:rPr>
                <w:rFonts w:hint="eastAsia"/>
                <w:sz w:val="21"/>
                <w:szCs w:val="21"/>
              </w:rPr>
              <w:t>生态影响</w:t>
            </w:r>
          </w:p>
        </w:tc>
        <w:tc>
          <w:tcPr>
            <w:tcW w:w="2889" w:type="pct"/>
            <w:tcBorders>
              <w:top w:val="nil"/>
              <w:left w:val="nil"/>
              <w:bottom w:val="single" w:sz="4" w:space="0" w:color="auto"/>
              <w:right w:val="single" w:sz="4" w:space="0" w:color="auto"/>
            </w:tcBorders>
            <w:shd w:val="clear" w:color="auto" w:fill="auto"/>
            <w:vAlign w:val="center"/>
          </w:tcPr>
          <w:p w14:paraId="08F7F349" w14:textId="77777777" w:rsidR="000332D5" w:rsidRPr="000332D5" w:rsidRDefault="000332D5" w:rsidP="000332D5">
            <w:pPr>
              <w:pStyle w:val="13"/>
              <w:ind w:firstLineChars="0" w:firstLine="0"/>
              <w:rPr>
                <w:sz w:val="21"/>
                <w:szCs w:val="21"/>
              </w:rPr>
            </w:pPr>
            <w:r w:rsidRPr="000332D5">
              <w:rPr>
                <w:rFonts w:hint="eastAsia"/>
                <w:sz w:val="21"/>
                <w:szCs w:val="21"/>
              </w:rPr>
              <w:t>评价项目建设期间对生态环境所带来的直接或间接的正负面影响情况。如节能减排、环保处罚等。</w:t>
            </w:r>
          </w:p>
        </w:tc>
      </w:tr>
      <w:tr w:rsidR="000332D5" w:rsidRPr="000332D5" w14:paraId="70C14C6C"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5D0FB349"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3E5DF2A1"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auto" w:fill="auto"/>
            <w:vAlign w:val="center"/>
          </w:tcPr>
          <w:p w14:paraId="3531CEAD" w14:textId="77777777" w:rsidR="000332D5" w:rsidRPr="000332D5" w:rsidRDefault="000332D5" w:rsidP="000332D5">
            <w:pPr>
              <w:pStyle w:val="13"/>
              <w:ind w:firstLineChars="0" w:firstLine="0"/>
              <w:jc w:val="center"/>
              <w:rPr>
                <w:sz w:val="21"/>
                <w:szCs w:val="21"/>
              </w:rPr>
            </w:pPr>
            <w:r w:rsidRPr="000332D5">
              <w:rPr>
                <w:rFonts w:hint="eastAsia"/>
                <w:sz w:val="21"/>
                <w:szCs w:val="21"/>
              </w:rPr>
              <w:t>可持续性</w:t>
            </w:r>
          </w:p>
        </w:tc>
        <w:tc>
          <w:tcPr>
            <w:tcW w:w="2889" w:type="pct"/>
            <w:tcBorders>
              <w:top w:val="nil"/>
              <w:left w:val="nil"/>
              <w:bottom w:val="single" w:sz="4" w:space="0" w:color="auto"/>
              <w:right w:val="single" w:sz="4" w:space="0" w:color="auto"/>
            </w:tcBorders>
            <w:shd w:val="clear" w:color="auto" w:fill="auto"/>
            <w:vAlign w:val="center"/>
          </w:tcPr>
          <w:p w14:paraId="52D28190" w14:textId="77777777" w:rsidR="000332D5" w:rsidRPr="000332D5" w:rsidRDefault="000332D5" w:rsidP="000332D5">
            <w:pPr>
              <w:pStyle w:val="13"/>
              <w:ind w:firstLineChars="0" w:firstLine="0"/>
              <w:rPr>
                <w:sz w:val="21"/>
                <w:szCs w:val="21"/>
              </w:rPr>
            </w:pPr>
            <w:r w:rsidRPr="000332D5">
              <w:rPr>
                <w:rFonts w:hint="eastAsia"/>
                <w:sz w:val="21"/>
                <w:szCs w:val="21"/>
              </w:rPr>
              <w:t>评价项目公司或社会资本是否做好项目运营准备工作，如资源配置、潜在风险及沟通协调机制等。</w:t>
            </w:r>
          </w:p>
        </w:tc>
      </w:tr>
      <w:tr w:rsidR="000332D5" w:rsidRPr="000332D5" w14:paraId="0117EDBA"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429DC6A4"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39DA61B6"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auto" w:fill="auto"/>
            <w:vAlign w:val="center"/>
          </w:tcPr>
          <w:p w14:paraId="09E35EAF" w14:textId="77777777" w:rsidR="000332D5" w:rsidRPr="000332D5" w:rsidRDefault="000332D5" w:rsidP="000332D5">
            <w:pPr>
              <w:pStyle w:val="13"/>
              <w:ind w:firstLineChars="0" w:firstLine="0"/>
              <w:jc w:val="center"/>
              <w:rPr>
                <w:sz w:val="21"/>
                <w:szCs w:val="21"/>
              </w:rPr>
            </w:pPr>
            <w:r w:rsidRPr="000332D5">
              <w:rPr>
                <w:rFonts w:hint="eastAsia"/>
                <w:sz w:val="21"/>
                <w:szCs w:val="21"/>
              </w:rPr>
              <w:t>满意度</w:t>
            </w:r>
          </w:p>
        </w:tc>
        <w:tc>
          <w:tcPr>
            <w:tcW w:w="2889" w:type="pct"/>
            <w:tcBorders>
              <w:top w:val="nil"/>
              <w:left w:val="nil"/>
              <w:bottom w:val="single" w:sz="4" w:space="0" w:color="auto"/>
              <w:right w:val="single" w:sz="4" w:space="0" w:color="auto"/>
            </w:tcBorders>
            <w:shd w:val="clear" w:color="auto" w:fill="auto"/>
            <w:vAlign w:val="center"/>
          </w:tcPr>
          <w:p w14:paraId="72B411B3" w14:textId="77777777" w:rsidR="000332D5" w:rsidRPr="000332D5" w:rsidRDefault="000332D5" w:rsidP="000332D5">
            <w:pPr>
              <w:pStyle w:val="13"/>
              <w:ind w:firstLineChars="0" w:firstLine="0"/>
              <w:rPr>
                <w:sz w:val="21"/>
                <w:szCs w:val="21"/>
              </w:rPr>
            </w:pPr>
            <w:r w:rsidRPr="000332D5">
              <w:rPr>
                <w:rFonts w:hint="eastAsia"/>
                <w:sz w:val="21"/>
                <w:szCs w:val="21"/>
              </w:rPr>
              <w:t>政府相关部门、项目实施机构、社会公众（服务对象）对项目公司或社会资本建设期间相关工作的满意程度。</w:t>
            </w:r>
          </w:p>
        </w:tc>
      </w:tr>
      <w:tr w:rsidR="000332D5" w:rsidRPr="000332D5" w14:paraId="6868DFE3"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0E07A90D" w14:textId="77777777" w:rsidR="000332D5" w:rsidRPr="000332D5" w:rsidRDefault="000332D5" w:rsidP="000332D5">
            <w:pPr>
              <w:pStyle w:val="13"/>
              <w:ind w:firstLineChars="0" w:firstLine="0"/>
              <w:rPr>
                <w:b/>
                <w:bCs/>
                <w:sz w:val="21"/>
                <w:szCs w:val="21"/>
              </w:rPr>
            </w:pPr>
          </w:p>
        </w:tc>
        <w:tc>
          <w:tcPr>
            <w:tcW w:w="534" w:type="pct"/>
            <w:vMerge w:val="restart"/>
            <w:tcBorders>
              <w:top w:val="nil"/>
              <w:left w:val="single" w:sz="4" w:space="0" w:color="auto"/>
              <w:bottom w:val="single" w:sz="4" w:space="0" w:color="auto"/>
              <w:right w:val="single" w:sz="4" w:space="0" w:color="auto"/>
            </w:tcBorders>
            <w:shd w:val="clear" w:color="auto" w:fill="auto"/>
            <w:vAlign w:val="center"/>
          </w:tcPr>
          <w:p w14:paraId="56ED1F34" w14:textId="77777777" w:rsidR="000332D5" w:rsidRPr="000332D5" w:rsidRDefault="000332D5" w:rsidP="000332D5">
            <w:pPr>
              <w:pStyle w:val="13"/>
              <w:ind w:firstLineChars="0" w:firstLine="0"/>
              <w:jc w:val="center"/>
              <w:rPr>
                <w:b/>
                <w:bCs/>
                <w:sz w:val="21"/>
                <w:szCs w:val="21"/>
              </w:rPr>
            </w:pPr>
            <w:r w:rsidRPr="000332D5">
              <w:rPr>
                <w:rFonts w:hint="eastAsia"/>
                <w:b/>
                <w:bCs/>
                <w:sz w:val="21"/>
                <w:szCs w:val="21"/>
              </w:rPr>
              <w:t>管理</w:t>
            </w:r>
          </w:p>
        </w:tc>
        <w:tc>
          <w:tcPr>
            <w:tcW w:w="685" w:type="pct"/>
            <w:tcBorders>
              <w:top w:val="nil"/>
              <w:left w:val="nil"/>
              <w:bottom w:val="single" w:sz="4" w:space="0" w:color="auto"/>
              <w:right w:val="single" w:sz="4" w:space="0" w:color="auto"/>
            </w:tcBorders>
            <w:shd w:val="clear" w:color="auto" w:fill="auto"/>
            <w:vAlign w:val="center"/>
          </w:tcPr>
          <w:p w14:paraId="61D2FE2B" w14:textId="77777777" w:rsidR="000332D5" w:rsidRPr="000332D5" w:rsidRDefault="000332D5" w:rsidP="000332D5">
            <w:pPr>
              <w:pStyle w:val="13"/>
              <w:ind w:firstLineChars="0" w:firstLine="0"/>
              <w:jc w:val="center"/>
              <w:rPr>
                <w:sz w:val="21"/>
                <w:szCs w:val="21"/>
              </w:rPr>
            </w:pPr>
            <w:r w:rsidRPr="000332D5">
              <w:rPr>
                <w:rFonts w:hint="eastAsia"/>
                <w:sz w:val="21"/>
                <w:szCs w:val="21"/>
              </w:rPr>
              <w:t>组织管理</w:t>
            </w:r>
          </w:p>
        </w:tc>
        <w:tc>
          <w:tcPr>
            <w:tcW w:w="2889" w:type="pct"/>
            <w:tcBorders>
              <w:top w:val="nil"/>
              <w:left w:val="nil"/>
              <w:bottom w:val="single" w:sz="4" w:space="0" w:color="auto"/>
              <w:right w:val="single" w:sz="4" w:space="0" w:color="auto"/>
            </w:tcBorders>
            <w:shd w:val="clear" w:color="auto" w:fill="auto"/>
            <w:vAlign w:val="center"/>
          </w:tcPr>
          <w:p w14:paraId="766DABE8" w14:textId="77777777" w:rsidR="000332D5" w:rsidRPr="000332D5" w:rsidRDefault="000332D5" w:rsidP="000332D5">
            <w:pPr>
              <w:pStyle w:val="13"/>
              <w:ind w:firstLineChars="0" w:firstLine="0"/>
              <w:rPr>
                <w:sz w:val="21"/>
                <w:szCs w:val="21"/>
              </w:rPr>
            </w:pPr>
            <w:r w:rsidRPr="000332D5">
              <w:rPr>
                <w:rFonts w:hint="eastAsia"/>
                <w:sz w:val="21"/>
                <w:szCs w:val="21"/>
              </w:rPr>
              <w:t>评价项目公司组织架构是否健全、人员配置是否合理，能否满足项目日常运作需求。</w:t>
            </w:r>
          </w:p>
        </w:tc>
      </w:tr>
      <w:tr w:rsidR="000332D5" w:rsidRPr="000332D5" w14:paraId="1B41EAAA"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1A61E401"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3874BA5A"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auto" w:fill="auto"/>
            <w:vAlign w:val="center"/>
          </w:tcPr>
          <w:p w14:paraId="711DED2D" w14:textId="77777777" w:rsidR="000332D5" w:rsidRPr="000332D5" w:rsidRDefault="000332D5" w:rsidP="000332D5">
            <w:pPr>
              <w:pStyle w:val="13"/>
              <w:ind w:firstLineChars="0" w:firstLine="0"/>
              <w:jc w:val="center"/>
              <w:rPr>
                <w:sz w:val="21"/>
                <w:szCs w:val="21"/>
              </w:rPr>
            </w:pPr>
            <w:r w:rsidRPr="000332D5">
              <w:rPr>
                <w:rFonts w:hint="eastAsia"/>
                <w:sz w:val="21"/>
                <w:szCs w:val="21"/>
              </w:rPr>
              <w:t>资金管理</w:t>
            </w:r>
          </w:p>
        </w:tc>
        <w:tc>
          <w:tcPr>
            <w:tcW w:w="2889" w:type="pct"/>
            <w:tcBorders>
              <w:top w:val="nil"/>
              <w:left w:val="nil"/>
              <w:bottom w:val="single" w:sz="4" w:space="0" w:color="auto"/>
              <w:right w:val="single" w:sz="4" w:space="0" w:color="auto"/>
            </w:tcBorders>
            <w:shd w:val="clear" w:color="auto" w:fill="auto"/>
            <w:vAlign w:val="center"/>
          </w:tcPr>
          <w:p w14:paraId="2420D96D" w14:textId="77777777" w:rsidR="000332D5" w:rsidRPr="000332D5" w:rsidRDefault="000332D5" w:rsidP="000332D5">
            <w:pPr>
              <w:pStyle w:val="13"/>
              <w:ind w:firstLineChars="0" w:firstLine="0"/>
              <w:rPr>
                <w:sz w:val="21"/>
                <w:szCs w:val="21"/>
              </w:rPr>
            </w:pPr>
            <w:r w:rsidRPr="000332D5">
              <w:rPr>
                <w:rFonts w:hint="eastAsia"/>
                <w:sz w:val="21"/>
                <w:szCs w:val="21"/>
              </w:rPr>
              <w:t>评价社会资本项目资本金及项目公司融资资金的到位率和及时性。</w:t>
            </w:r>
          </w:p>
        </w:tc>
      </w:tr>
      <w:tr w:rsidR="000332D5" w:rsidRPr="000332D5" w14:paraId="3F7268F4"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4AD43AD9"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4AE26E6C"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auto" w:fill="auto"/>
            <w:vAlign w:val="center"/>
          </w:tcPr>
          <w:p w14:paraId="6BB30C09" w14:textId="77777777" w:rsidR="000332D5" w:rsidRPr="000332D5" w:rsidRDefault="000332D5" w:rsidP="000332D5">
            <w:pPr>
              <w:pStyle w:val="13"/>
              <w:ind w:firstLineChars="0" w:firstLine="0"/>
              <w:jc w:val="center"/>
              <w:rPr>
                <w:sz w:val="21"/>
                <w:szCs w:val="21"/>
              </w:rPr>
            </w:pPr>
            <w:r w:rsidRPr="000332D5">
              <w:rPr>
                <w:rFonts w:hint="eastAsia"/>
                <w:sz w:val="21"/>
                <w:szCs w:val="21"/>
              </w:rPr>
              <w:t>档案管理</w:t>
            </w:r>
          </w:p>
        </w:tc>
        <w:tc>
          <w:tcPr>
            <w:tcW w:w="2889" w:type="pct"/>
            <w:tcBorders>
              <w:top w:val="nil"/>
              <w:left w:val="nil"/>
              <w:bottom w:val="single" w:sz="4" w:space="0" w:color="auto"/>
              <w:right w:val="single" w:sz="4" w:space="0" w:color="auto"/>
            </w:tcBorders>
            <w:shd w:val="clear" w:color="auto" w:fill="auto"/>
            <w:vAlign w:val="center"/>
          </w:tcPr>
          <w:p w14:paraId="4EE19733" w14:textId="77777777" w:rsidR="000332D5" w:rsidRPr="000332D5" w:rsidRDefault="000332D5" w:rsidP="000332D5">
            <w:pPr>
              <w:pStyle w:val="13"/>
              <w:ind w:firstLineChars="0" w:firstLine="0"/>
              <w:rPr>
                <w:sz w:val="21"/>
                <w:szCs w:val="21"/>
              </w:rPr>
            </w:pPr>
            <w:r w:rsidRPr="000332D5">
              <w:rPr>
                <w:rFonts w:hint="eastAsia"/>
                <w:sz w:val="21"/>
                <w:szCs w:val="21"/>
              </w:rPr>
              <w:t>评价项目建设相关资料的完整性、真实性以及归集整理的及时性。</w:t>
            </w:r>
          </w:p>
        </w:tc>
      </w:tr>
      <w:tr w:rsidR="000332D5" w:rsidRPr="000332D5" w14:paraId="02D41592"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233121EC"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2EEF26F0"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auto" w:fill="auto"/>
            <w:vAlign w:val="center"/>
          </w:tcPr>
          <w:p w14:paraId="27B5949D" w14:textId="77777777" w:rsidR="000332D5" w:rsidRPr="000332D5" w:rsidRDefault="000332D5" w:rsidP="000332D5">
            <w:pPr>
              <w:pStyle w:val="13"/>
              <w:ind w:firstLineChars="0" w:firstLine="0"/>
              <w:jc w:val="center"/>
              <w:rPr>
                <w:sz w:val="21"/>
                <w:szCs w:val="21"/>
              </w:rPr>
            </w:pPr>
            <w:r w:rsidRPr="000332D5">
              <w:rPr>
                <w:rFonts w:hint="eastAsia"/>
                <w:sz w:val="21"/>
                <w:szCs w:val="21"/>
              </w:rPr>
              <w:t>信息公开</w:t>
            </w:r>
          </w:p>
        </w:tc>
        <w:tc>
          <w:tcPr>
            <w:tcW w:w="2889" w:type="pct"/>
            <w:tcBorders>
              <w:top w:val="nil"/>
              <w:left w:val="nil"/>
              <w:bottom w:val="single" w:sz="4" w:space="0" w:color="auto"/>
              <w:right w:val="single" w:sz="4" w:space="0" w:color="auto"/>
            </w:tcBorders>
            <w:shd w:val="clear" w:color="auto" w:fill="auto"/>
            <w:vAlign w:val="center"/>
          </w:tcPr>
          <w:p w14:paraId="7C131330" w14:textId="77777777" w:rsidR="000332D5" w:rsidRPr="000332D5" w:rsidRDefault="000332D5" w:rsidP="000332D5">
            <w:pPr>
              <w:pStyle w:val="13"/>
              <w:ind w:firstLineChars="0" w:firstLine="0"/>
              <w:rPr>
                <w:sz w:val="21"/>
                <w:szCs w:val="21"/>
              </w:rPr>
            </w:pPr>
            <w:r w:rsidRPr="000332D5">
              <w:rPr>
                <w:rFonts w:hint="eastAsia"/>
                <w:sz w:val="21"/>
                <w:szCs w:val="21"/>
              </w:rPr>
              <w:t>评价项目公司或社会资本履行信息公开义务的及时性与准确性。</w:t>
            </w:r>
          </w:p>
        </w:tc>
      </w:tr>
      <w:tr w:rsidR="000332D5" w:rsidRPr="000332D5" w14:paraId="549928EA" w14:textId="77777777" w:rsidTr="000332D5">
        <w:trPr>
          <w:jc w:val="center"/>
        </w:trPr>
        <w:tc>
          <w:tcPr>
            <w:tcW w:w="892" w:type="pct"/>
            <w:vMerge w:val="restart"/>
            <w:tcBorders>
              <w:top w:val="nil"/>
              <w:left w:val="single" w:sz="4" w:space="0" w:color="auto"/>
              <w:bottom w:val="single" w:sz="4" w:space="0" w:color="auto"/>
              <w:right w:val="single" w:sz="4" w:space="0" w:color="auto"/>
            </w:tcBorders>
            <w:shd w:val="clear" w:color="auto" w:fill="auto"/>
            <w:vAlign w:val="center"/>
          </w:tcPr>
          <w:p w14:paraId="025962AE" w14:textId="77777777" w:rsidR="000332D5" w:rsidRDefault="000332D5" w:rsidP="000332D5">
            <w:pPr>
              <w:pStyle w:val="13"/>
              <w:ind w:firstLineChars="0" w:firstLine="0"/>
              <w:jc w:val="center"/>
              <w:rPr>
                <w:b/>
                <w:bCs/>
                <w:sz w:val="21"/>
                <w:szCs w:val="21"/>
              </w:rPr>
            </w:pPr>
          </w:p>
          <w:p w14:paraId="1D4C42B4" w14:textId="38E3484C" w:rsidR="000332D5" w:rsidRPr="000332D5" w:rsidRDefault="000332D5" w:rsidP="000332D5">
            <w:pPr>
              <w:pStyle w:val="13"/>
              <w:ind w:firstLineChars="0" w:firstLine="0"/>
              <w:jc w:val="center"/>
              <w:rPr>
                <w:b/>
                <w:bCs/>
                <w:sz w:val="21"/>
                <w:szCs w:val="21"/>
              </w:rPr>
            </w:pPr>
            <w:r w:rsidRPr="000332D5">
              <w:rPr>
                <w:rFonts w:hint="eastAsia"/>
                <w:b/>
                <w:bCs/>
                <w:sz w:val="21"/>
                <w:szCs w:val="21"/>
              </w:rPr>
              <w:t>项目实施机构绩效评价</w:t>
            </w:r>
            <w:r w:rsidRPr="000332D5">
              <w:rPr>
                <w:b/>
                <w:bCs/>
                <w:sz w:val="21"/>
                <w:szCs w:val="21"/>
              </w:rPr>
              <w:br/>
            </w:r>
            <w:r w:rsidRPr="000332D5">
              <w:rPr>
                <w:rFonts w:hint="eastAsia"/>
                <w:b/>
                <w:bCs/>
                <w:sz w:val="21"/>
                <w:szCs w:val="21"/>
              </w:rPr>
              <w:t>（</w:t>
            </w:r>
            <w:r w:rsidRPr="000332D5">
              <w:rPr>
                <w:b/>
                <w:bCs/>
                <w:sz w:val="21"/>
                <w:szCs w:val="21"/>
              </w:rPr>
              <w:t>100分）</w:t>
            </w:r>
          </w:p>
        </w:tc>
        <w:tc>
          <w:tcPr>
            <w:tcW w:w="534" w:type="pct"/>
            <w:vMerge w:val="restart"/>
            <w:tcBorders>
              <w:top w:val="nil"/>
              <w:left w:val="single" w:sz="4" w:space="0" w:color="auto"/>
              <w:bottom w:val="single" w:sz="4" w:space="0" w:color="auto"/>
              <w:right w:val="single" w:sz="4" w:space="0" w:color="auto"/>
            </w:tcBorders>
            <w:shd w:val="clear" w:color="000000" w:fill="FFFFFF"/>
            <w:noWrap/>
            <w:vAlign w:val="center"/>
          </w:tcPr>
          <w:p w14:paraId="11A7C3DE" w14:textId="77777777" w:rsidR="000332D5" w:rsidRPr="000332D5" w:rsidRDefault="000332D5" w:rsidP="000332D5">
            <w:pPr>
              <w:pStyle w:val="13"/>
              <w:ind w:firstLineChars="0" w:firstLine="0"/>
              <w:jc w:val="center"/>
              <w:rPr>
                <w:b/>
                <w:bCs/>
                <w:sz w:val="21"/>
                <w:szCs w:val="21"/>
              </w:rPr>
            </w:pPr>
            <w:r w:rsidRPr="000332D5">
              <w:rPr>
                <w:rFonts w:hint="eastAsia"/>
                <w:b/>
                <w:bCs/>
                <w:sz w:val="21"/>
                <w:szCs w:val="21"/>
              </w:rPr>
              <w:t>产出</w:t>
            </w:r>
          </w:p>
        </w:tc>
        <w:tc>
          <w:tcPr>
            <w:tcW w:w="685" w:type="pct"/>
            <w:tcBorders>
              <w:top w:val="nil"/>
              <w:left w:val="nil"/>
              <w:bottom w:val="single" w:sz="4" w:space="0" w:color="auto"/>
              <w:right w:val="single" w:sz="4" w:space="0" w:color="auto"/>
            </w:tcBorders>
            <w:shd w:val="clear" w:color="000000" w:fill="FFFFFF"/>
            <w:noWrap/>
            <w:vAlign w:val="center"/>
          </w:tcPr>
          <w:p w14:paraId="6C11E946" w14:textId="77777777" w:rsidR="000332D5" w:rsidRPr="000332D5" w:rsidRDefault="000332D5" w:rsidP="000332D5">
            <w:pPr>
              <w:pStyle w:val="13"/>
              <w:ind w:firstLineChars="0" w:firstLine="0"/>
              <w:jc w:val="center"/>
              <w:rPr>
                <w:sz w:val="21"/>
                <w:szCs w:val="21"/>
              </w:rPr>
            </w:pPr>
            <w:r w:rsidRPr="000332D5">
              <w:rPr>
                <w:rFonts w:hint="eastAsia"/>
                <w:sz w:val="21"/>
                <w:szCs w:val="21"/>
              </w:rPr>
              <w:t>履约情况</w:t>
            </w:r>
          </w:p>
        </w:tc>
        <w:tc>
          <w:tcPr>
            <w:tcW w:w="2889" w:type="pct"/>
            <w:tcBorders>
              <w:top w:val="nil"/>
              <w:left w:val="nil"/>
              <w:bottom w:val="single" w:sz="4" w:space="0" w:color="auto"/>
              <w:right w:val="single" w:sz="4" w:space="0" w:color="auto"/>
            </w:tcBorders>
            <w:shd w:val="clear" w:color="000000" w:fill="FFFFFF"/>
            <w:vAlign w:val="center"/>
          </w:tcPr>
          <w:p w14:paraId="062F032A" w14:textId="77777777" w:rsidR="000332D5" w:rsidRPr="000332D5" w:rsidRDefault="000332D5" w:rsidP="000332D5">
            <w:pPr>
              <w:pStyle w:val="13"/>
              <w:ind w:firstLineChars="0" w:firstLine="0"/>
              <w:rPr>
                <w:sz w:val="21"/>
                <w:szCs w:val="21"/>
              </w:rPr>
            </w:pPr>
            <w:r w:rsidRPr="000332D5">
              <w:rPr>
                <w:rFonts w:hint="eastAsia"/>
                <w:sz w:val="21"/>
                <w:szCs w:val="21"/>
              </w:rPr>
              <w:t>评价项目实施机构是否及时、有效履行</w:t>
            </w:r>
            <w:r w:rsidRPr="000332D5">
              <w:rPr>
                <w:sz w:val="21"/>
                <w:szCs w:val="21"/>
              </w:rPr>
              <w:t>PPP项目合同约定的义务。</w:t>
            </w:r>
          </w:p>
        </w:tc>
      </w:tr>
      <w:tr w:rsidR="000332D5" w:rsidRPr="000332D5" w14:paraId="03160C1B"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12C37DDD"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70C04D7E"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000000" w:fill="FFFFFF"/>
            <w:noWrap/>
            <w:vAlign w:val="center"/>
          </w:tcPr>
          <w:p w14:paraId="1C69BC2F" w14:textId="77777777" w:rsidR="000332D5" w:rsidRPr="000332D5" w:rsidRDefault="000332D5" w:rsidP="000332D5">
            <w:pPr>
              <w:pStyle w:val="13"/>
              <w:ind w:firstLineChars="0" w:firstLine="0"/>
              <w:jc w:val="center"/>
              <w:rPr>
                <w:sz w:val="21"/>
                <w:szCs w:val="21"/>
              </w:rPr>
            </w:pPr>
            <w:r w:rsidRPr="000332D5">
              <w:rPr>
                <w:rFonts w:hint="eastAsia"/>
                <w:sz w:val="21"/>
                <w:szCs w:val="21"/>
              </w:rPr>
              <w:t>成本控制</w:t>
            </w:r>
          </w:p>
        </w:tc>
        <w:tc>
          <w:tcPr>
            <w:tcW w:w="2889" w:type="pct"/>
            <w:tcBorders>
              <w:top w:val="nil"/>
              <w:left w:val="nil"/>
              <w:bottom w:val="single" w:sz="4" w:space="0" w:color="auto"/>
              <w:right w:val="single" w:sz="4" w:space="0" w:color="auto"/>
            </w:tcBorders>
            <w:shd w:val="clear" w:color="000000" w:fill="FFFFFF"/>
            <w:vAlign w:val="center"/>
          </w:tcPr>
          <w:p w14:paraId="1F650FA6" w14:textId="77777777" w:rsidR="000332D5" w:rsidRPr="000332D5" w:rsidRDefault="000332D5" w:rsidP="000332D5">
            <w:pPr>
              <w:pStyle w:val="13"/>
              <w:ind w:firstLineChars="0" w:firstLine="0"/>
              <w:rPr>
                <w:sz w:val="21"/>
                <w:szCs w:val="21"/>
              </w:rPr>
            </w:pPr>
            <w:r w:rsidRPr="000332D5">
              <w:rPr>
                <w:rFonts w:hint="eastAsia"/>
                <w:sz w:val="21"/>
                <w:szCs w:val="21"/>
              </w:rPr>
              <w:t>评价项目实施机构履行项目建设成本监督管</w:t>
            </w:r>
            <w:proofErr w:type="gramStart"/>
            <w:r w:rsidRPr="000332D5">
              <w:rPr>
                <w:rFonts w:hint="eastAsia"/>
                <w:sz w:val="21"/>
                <w:szCs w:val="21"/>
              </w:rPr>
              <w:t>控责任</w:t>
            </w:r>
            <w:proofErr w:type="gramEnd"/>
            <w:r w:rsidRPr="000332D5">
              <w:rPr>
                <w:rFonts w:hint="eastAsia"/>
                <w:sz w:val="21"/>
                <w:szCs w:val="21"/>
              </w:rPr>
              <w:t>的情况。（注：</w:t>
            </w:r>
            <w:r w:rsidRPr="000332D5">
              <w:rPr>
                <w:sz w:val="21"/>
                <w:szCs w:val="21"/>
              </w:rPr>
              <w:t>PPP项目合同对建设成本进行固定总价约定的不适用本指标）。</w:t>
            </w:r>
          </w:p>
        </w:tc>
      </w:tr>
      <w:tr w:rsidR="000332D5" w:rsidRPr="000332D5" w14:paraId="0ABF10FF"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7FDB0F24" w14:textId="77777777" w:rsidR="000332D5" w:rsidRPr="000332D5" w:rsidRDefault="000332D5" w:rsidP="000332D5">
            <w:pPr>
              <w:pStyle w:val="13"/>
              <w:ind w:firstLineChars="0" w:firstLine="0"/>
              <w:rPr>
                <w:b/>
                <w:bCs/>
                <w:sz w:val="21"/>
                <w:szCs w:val="21"/>
              </w:rPr>
            </w:pP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tcPr>
          <w:p w14:paraId="11E0E626" w14:textId="77777777" w:rsidR="000332D5" w:rsidRPr="000332D5" w:rsidRDefault="000332D5" w:rsidP="000332D5">
            <w:pPr>
              <w:pStyle w:val="13"/>
              <w:ind w:firstLineChars="0" w:firstLine="0"/>
              <w:jc w:val="center"/>
              <w:rPr>
                <w:b/>
                <w:bCs/>
                <w:sz w:val="21"/>
                <w:szCs w:val="21"/>
              </w:rPr>
            </w:pPr>
            <w:r w:rsidRPr="000332D5">
              <w:rPr>
                <w:rFonts w:hint="eastAsia"/>
                <w:b/>
                <w:bCs/>
                <w:sz w:val="21"/>
                <w:szCs w:val="21"/>
              </w:rPr>
              <w:t>效果</w:t>
            </w:r>
          </w:p>
        </w:tc>
        <w:tc>
          <w:tcPr>
            <w:tcW w:w="685" w:type="pct"/>
            <w:tcBorders>
              <w:top w:val="nil"/>
              <w:left w:val="nil"/>
              <w:bottom w:val="single" w:sz="4" w:space="0" w:color="auto"/>
              <w:right w:val="single" w:sz="4" w:space="0" w:color="auto"/>
            </w:tcBorders>
            <w:shd w:val="clear" w:color="auto" w:fill="auto"/>
            <w:noWrap/>
            <w:vAlign w:val="center"/>
          </w:tcPr>
          <w:p w14:paraId="7BE9F2FA" w14:textId="77777777" w:rsidR="000332D5" w:rsidRPr="000332D5" w:rsidRDefault="000332D5" w:rsidP="000332D5">
            <w:pPr>
              <w:pStyle w:val="13"/>
              <w:ind w:firstLineChars="0" w:firstLine="0"/>
              <w:jc w:val="center"/>
              <w:rPr>
                <w:sz w:val="21"/>
                <w:szCs w:val="21"/>
              </w:rPr>
            </w:pPr>
            <w:r w:rsidRPr="000332D5">
              <w:rPr>
                <w:rFonts w:hint="eastAsia"/>
                <w:sz w:val="21"/>
                <w:szCs w:val="21"/>
              </w:rPr>
              <w:t>满意度</w:t>
            </w:r>
          </w:p>
        </w:tc>
        <w:tc>
          <w:tcPr>
            <w:tcW w:w="2889" w:type="pct"/>
            <w:tcBorders>
              <w:top w:val="nil"/>
              <w:left w:val="nil"/>
              <w:bottom w:val="single" w:sz="4" w:space="0" w:color="auto"/>
              <w:right w:val="single" w:sz="4" w:space="0" w:color="auto"/>
            </w:tcBorders>
            <w:shd w:val="clear" w:color="auto" w:fill="auto"/>
            <w:vAlign w:val="center"/>
          </w:tcPr>
          <w:p w14:paraId="591B6358" w14:textId="77777777" w:rsidR="000332D5" w:rsidRPr="000332D5" w:rsidRDefault="000332D5" w:rsidP="000332D5">
            <w:pPr>
              <w:pStyle w:val="13"/>
              <w:ind w:firstLineChars="0" w:firstLine="0"/>
              <w:rPr>
                <w:sz w:val="21"/>
                <w:szCs w:val="21"/>
              </w:rPr>
            </w:pPr>
            <w:r w:rsidRPr="000332D5">
              <w:rPr>
                <w:rFonts w:hint="eastAsia"/>
                <w:sz w:val="21"/>
                <w:szCs w:val="21"/>
              </w:rPr>
              <w:t>社会公众、项目公司或社会资本对项目实施机构工作开展的满意程度。</w:t>
            </w:r>
          </w:p>
        </w:tc>
      </w:tr>
      <w:tr w:rsidR="000332D5" w:rsidRPr="000332D5" w14:paraId="46C22C82"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5EFBBAEF"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7A3F5AC8"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auto" w:fill="auto"/>
            <w:noWrap/>
            <w:vAlign w:val="center"/>
          </w:tcPr>
          <w:p w14:paraId="6B8AA370" w14:textId="77777777" w:rsidR="000332D5" w:rsidRPr="000332D5" w:rsidRDefault="000332D5" w:rsidP="000332D5">
            <w:pPr>
              <w:pStyle w:val="13"/>
              <w:ind w:firstLineChars="0" w:firstLine="0"/>
              <w:jc w:val="center"/>
              <w:rPr>
                <w:sz w:val="21"/>
                <w:szCs w:val="21"/>
              </w:rPr>
            </w:pPr>
            <w:r w:rsidRPr="000332D5">
              <w:rPr>
                <w:rFonts w:hint="eastAsia"/>
                <w:sz w:val="21"/>
                <w:szCs w:val="21"/>
              </w:rPr>
              <w:t>可持续性</w:t>
            </w:r>
          </w:p>
        </w:tc>
        <w:tc>
          <w:tcPr>
            <w:tcW w:w="2889" w:type="pct"/>
            <w:tcBorders>
              <w:top w:val="nil"/>
              <w:left w:val="nil"/>
              <w:bottom w:val="single" w:sz="4" w:space="0" w:color="auto"/>
              <w:right w:val="single" w:sz="4" w:space="0" w:color="auto"/>
            </w:tcBorders>
            <w:shd w:val="clear" w:color="auto" w:fill="auto"/>
            <w:vAlign w:val="center"/>
          </w:tcPr>
          <w:p w14:paraId="40ACF866" w14:textId="77777777" w:rsidR="000332D5" w:rsidRPr="000332D5" w:rsidRDefault="000332D5" w:rsidP="000332D5">
            <w:pPr>
              <w:pStyle w:val="13"/>
              <w:ind w:firstLineChars="0" w:firstLine="0"/>
              <w:rPr>
                <w:sz w:val="21"/>
                <w:szCs w:val="21"/>
              </w:rPr>
            </w:pPr>
            <w:r w:rsidRPr="000332D5">
              <w:rPr>
                <w:rFonts w:hint="eastAsia"/>
                <w:sz w:val="21"/>
                <w:szCs w:val="21"/>
              </w:rPr>
              <w:t>评价项目实施机构是否为项目可持续性建立有效的工作保障和沟通协调机制。</w:t>
            </w:r>
          </w:p>
        </w:tc>
      </w:tr>
      <w:tr w:rsidR="000332D5" w:rsidRPr="000332D5" w14:paraId="626078F8"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22324DB2" w14:textId="77777777" w:rsidR="000332D5" w:rsidRPr="000332D5" w:rsidRDefault="000332D5" w:rsidP="000332D5">
            <w:pPr>
              <w:pStyle w:val="13"/>
              <w:ind w:firstLineChars="0" w:firstLine="0"/>
              <w:rPr>
                <w:b/>
                <w:bCs/>
                <w:sz w:val="21"/>
                <w:szCs w:val="21"/>
              </w:rPr>
            </w:pPr>
          </w:p>
        </w:tc>
        <w:tc>
          <w:tcPr>
            <w:tcW w:w="534" w:type="pct"/>
            <w:vMerge w:val="restart"/>
            <w:tcBorders>
              <w:top w:val="nil"/>
              <w:left w:val="single" w:sz="4" w:space="0" w:color="auto"/>
              <w:bottom w:val="single" w:sz="4" w:space="0" w:color="auto"/>
              <w:right w:val="single" w:sz="4" w:space="0" w:color="auto"/>
            </w:tcBorders>
            <w:shd w:val="clear" w:color="000000" w:fill="FFFFFF"/>
            <w:noWrap/>
            <w:vAlign w:val="center"/>
          </w:tcPr>
          <w:p w14:paraId="7EDB70AA" w14:textId="77777777" w:rsidR="000332D5" w:rsidRPr="000332D5" w:rsidRDefault="000332D5" w:rsidP="000332D5">
            <w:pPr>
              <w:pStyle w:val="13"/>
              <w:ind w:firstLineChars="0" w:firstLine="0"/>
              <w:jc w:val="center"/>
              <w:rPr>
                <w:b/>
                <w:bCs/>
                <w:sz w:val="21"/>
                <w:szCs w:val="21"/>
              </w:rPr>
            </w:pPr>
            <w:r w:rsidRPr="000332D5">
              <w:rPr>
                <w:rFonts w:hint="eastAsia"/>
                <w:b/>
                <w:bCs/>
                <w:sz w:val="21"/>
                <w:szCs w:val="21"/>
              </w:rPr>
              <w:t>管理</w:t>
            </w:r>
          </w:p>
        </w:tc>
        <w:tc>
          <w:tcPr>
            <w:tcW w:w="685" w:type="pct"/>
            <w:tcBorders>
              <w:top w:val="nil"/>
              <w:left w:val="nil"/>
              <w:bottom w:val="single" w:sz="4" w:space="0" w:color="auto"/>
              <w:right w:val="single" w:sz="4" w:space="0" w:color="auto"/>
            </w:tcBorders>
            <w:shd w:val="clear" w:color="000000" w:fill="FFFFFF"/>
            <w:noWrap/>
            <w:vAlign w:val="center"/>
          </w:tcPr>
          <w:p w14:paraId="437E2324" w14:textId="77777777" w:rsidR="000332D5" w:rsidRPr="000332D5" w:rsidRDefault="000332D5" w:rsidP="000332D5">
            <w:pPr>
              <w:pStyle w:val="13"/>
              <w:ind w:firstLineChars="0" w:firstLine="0"/>
              <w:jc w:val="center"/>
              <w:rPr>
                <w:sz w:val="21"/>
                <w:szCs w:val="21"/>
              </w:rPr>
            </w:pPr>
            <w:r w:rsidRPr="000332D5">
              <w:rPr>
                <w:rFonts w:hint="eastAsia"/>
                <w:sz w:val="21"/>
                <w:szCs w:val="21"/>
              </w:rPr>
              <w:t>前期工作</w:t>
            </w:r>
          </w:p>
        </w:tc>
        <w:tc>
          <w:tcPr>
            <w:tcW w:w="2889" w:type="pct"/>
            <w:tcBorders>
              <w:top w:val="nil"/>
              <w:left w:val="nil"/>
              <w:bottom w:val="single" w:sz="4" w:space="0" w:color="auto"/>
              <w:right w:val="single" w:sz="4" w:space="0" w:color="auto"/>
            </w:tcBorders>
            <w:shd w:val="clear" w:color="000000" w:fill="FFFFFF"/>
            <w:vAlign w:val="center"/>
          </w:tcPr>
          <w:p w14:paraId="5916FFCE" w14:textId="77777777" w:rsidR="000332D5" w:rsidRPr="000332D5" w:rsidRDefault="000332D5" w:rsidP="000332D5">
            <w:pPr>
              <w:pStyle w:val="13"/>
              <w:ind w:firstLineChars="0" w:firstLine="0"/>
              <w:rPr>
                <w:sz w:val="21"/>
                <w:szCs w:val="21"/>
              </w:rPr>
            </w:pPr>
            <w:r w:rsidRPr="000332D5">
              <w:rPr>
                <w:rFonts w:hint="eastAsia"/>
                <w:sz w:val="21"/>
                <w:szCs w:val="21"/>
              </w:rPr>
              <w:t>评价项目实施机构应承担的项目前期手续及各项工作的落实情况。</w:t>
            </w:r>
          </w:p>
        </w:tc>
      </w:tr>
      <w:tr w:rsidR="000332D5" w:rsidRPr="000332D5" w14:paraId="04ACF075"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2A0DBAF4"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6BC9FBF4"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000000" w:fill="FFFFFF"/>
            <w:vAlign w:val="center"/>
          </w:tcPr>
          <w:p w14:paraId="3ED3AD43" w14:textId="77777777" w:rsidR="000332D5" w:rsidRPr="000332D5" w:rsidRDefault="000332D5" w:rsidP="000332D5">
            <w:pPr>
              <w:pStyle w:val="13"/>
              <w:ind w:firstLineChars="0" w:firstLine="0"/>
              <w:jc w:val="center"/>
              <w:rPr>
                <w:sz w:val="21"/>
                <w:szCs w:val="21"/>
              </w:rPr>
            </w:pPr>
            <w:r w:rsidRPr="000332D5">
              <w:rPr>
                <w:rFonts w:hint="eastAsia"/>
                <w:sz w:val="21"/>
                <w:szCs w:val="21"/>
              </w:rPr>
              <w:t>资金（资产）管理</w:t>
            </w:r>
          </w:p>
        </w:tc>
        <w:tc>
          <w:tcPr>
            <w:tcW w:w="2889" w:type="pct"/>
            <w:tcBorders>
              <w:top w:val="nil"/>
              <w:left w:val="nil"/>
              <w:bottom w:val="single" w:sz="4" w:space="0" w:color="auto"/>
              <w:right w:val="single" w:sz="4" w:space="0" w:color="auto"/>
            </w:tcBorders>
            <w:shd w:val="clear" w:color="000000" w:fill="FFFFFF"/>
            <w:vAlign w:val="center"/>
          </w:tcPr>
          <w:p w14:paraId="59AAB349" w14:textId="77777777" w:rsidR="000332D5" w:rsidRPr="000332D5" w:rsidRDefault="000332D5" w:rsidP="000332D5">
            <w:pPr>
              <w:pStyle w:val="13"/>
              <w:ind w:firstLineChars="0" w:firstLine="0"/>
              <w:rPr>
                <w:sz w:val="21"/>
                <w:szCs w:val="21"/>
              </w:rPr>
            </w:pPr>
            <w:r w:rsidRPr="000332D5">
              <w:rPr>
                <w:rFonts w:hint="eastAsia"/>
                <w:sz w:val="21"/>
                <w:szCs w:val="21"/>
              </w:rPr>
              <w:t>评价项目实施机构股权投入、配套投入等到位率和及时性。</w:t>
            </w:r>
          </w:p>
        </w:tc>
      </w:tr>
      <w:tr w:rsidR="000332D5" w:rsidRPr="000332D5" w14:paraId="2167CD5A"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7991726C"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5BDF82BB"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000000" w:fill="FFFFFF"/>
            <w:vAlign w:val="center"/>
          </w:tcPr>
          <w:p w14:paraId="28A7368C" w14:textId="77777777" w:rsidR="000332D5" w:rsidRPr="000332D5" w:rsidRDefault="000332D5" w:rsidP="000332D5">
            <w:pPr>
              <w:pStyle w:val="13"/>
              <w:ind w:firstLineChars="0" w:firstLine="0"/>
              <w:jc w:val="center"/>
              <w:rPr>
                <w:sz w:val="21"/>
                <w:szCs w:val="21"/>
              </w:rPr>
            </w:pPr>
            <w:r w:rsidRPr="000332D5">
              <w:rPr>
                <w:rFonts w:hint="eastAsia"/>
                <w:sz w:val="21"/>
                <w:szCs w:val="21"/>
              </w:rPr>
              <w:t>监督管理</w:t>
            </w:r>
          </w:p>
        </w:tc>
        <w:tc>
          <w:tcPr>
            <w:tcW w:w="2889" w:type="pct"/>
            <w:tcBorders>
              <w:top w:val="nil"/>
              <w:left w:val="nil"/>
              <w:bottom w:val="single" w:sz="4" w:space="0" w:color="auto"/>
              <w:right w:val="single" w:sz="4" w:space="0" w:color="auto"/>
            </w:tcBorders>
            <w:shd w:val="clear" w:color="000000" w:fill="FFFFFF"/>
            <w:vAlign w:val="center"/>
          </w:tcPr>
          <w:p w14:paraId="31E460F1" w14:textId="77777777" w:rsidR="000332D5" w:rsidRPr="000332D5" w:rsidRDefault="000332D5" w:rsidP="000332D5">
            <w:pPr>
              <w:pStyle w:val="13"/>
              <w:ind w:firstLineChars="0" w:firstLine="0"/>
              <w:rPr>
                <w:sz w:val="21"/>
                <w:szCs w:val="21"/>
              </w:rPr>
            </w:pPr>
            <w:r w:rsidRPr="000332D5">
              <w:rPr>
                <w:rFonts w:hint="eastAsia"/>
                <w:sz w:val="21"/>
                <w:szCs w:val="21"/>
              </w:rPr>
              <w:t>评价项目实施机构是否按照</w:t>
            </w:r>
            <w:r w:rsidRPr="000332D5">
              <w:rPr>
                <w:sz w:val="21"/>
                <w:szCs w:val="21"/>
              </w:rPr>
              <w:t>PPP项目合同约定履行监督管理职能，如质量监督、财务监督及日常管理等。</w:t>
            </w:r>
          </w:p>
        </w:tc>
      </w:tr>
      <w:tr w:rsidR="000332D5" w:rsidRPr="000332D5" w14:paraId="711CC71E" w14:textId="77777777" w:rsidTr="000332D5">
        <w:trPr>
          <w:jc w:val="center"/>
        </w:trPr>
        <w:tc>
          <w:tcPr>
            <w:tcW w:w="892" w:type="pct"/>
            <w:vMerge/>
            <w:tcBorders>
              <w:top w:val="nil"/>
              <w:left w:val="single" w:sz="4" w:space="0" w:color="auto"/>
              <w:bottom w:val="single" w:sz="4" w:space="0" w:color="auto"/>
              <w:right w:val="single" w:sz="4" w:space="0" w:color="auto"/>
            </w:tcBorders>
            <w:vAlign w:val="center"/>
          </w:tcPr>
          <w:p w14:paraId="263DBA55" w14:textId="77777777" w:rsidR="000332D5" w:rsidRPr="000332D5" w:rsidRDefault="000332D5" w:rsidP="000332D5">
            <w:pPr>
              <w:pStyle w:val="13"/>
              <w:ind w:firstLineChars="0" w:firstLine="0"/>
              <w:rPr>
                <w:b/>
                <w:bCs/>
                <w:sz w:val="21"/>
                <w:szCs w:val="21"/>
              </w:rPr>
            </w:pPr>
          </w:p>
        </w:tc>
        <w:tc>
          <w:tcPr>
            <w:tcW w:w="534" w:type="pct"/>
            <w:vMerge/>
            <w:tcBorders>
              <w:top w:val="nil"/>
              <w:left w:val="single" w:sz="4" w:space="0" w:color="auto"/>
              <w:bottom w:val="single" w:sz="4" w:space="0" w:color="auto"/>
              <w:right w:val="single" w:sz="4" w:space="0" w:color="auto"/>
            </w:tcBorders>
            <w:vAlign w:val="center"/>
          </w:tcPr>
          <w:p w14:paraId="2922110B" w14:textId="77777777" w:rsidR="000332D5" w:rsidRPr="000332D5" w:rsidRDefault="000332D5" w:rsidP="000332D5">
            <w:pPr>
              <w:pStyle w:val="13"/>
              <w:ind w:firstLineChars="0" w:firstLine="0"/>
              <w:jc w:val="center"/>
              <w:rPr>
                <w:b/>
                <w:bCs/>
                <w:sz w:val="21"/>
                <w:szCs w:val="21"/>
              </w:rPr>
            </w:pPr>
          </w:p>
        </w:tc>
        <w:tc>
          <w:tcPr>
            <w:tcW w:w="685" w:type="pct"/>
            <w:tcBorders>
              <w:top w:val="nil"/>
              <w:left w:val="nil"/>
              <w:bottom w:val="single" w:sz="4" w:space="0" w:color="auto"/>
              <w:right w:val="single" w:sz="4" w:space="0" w:color="auto"/>
            </w:tcBorders>
            <w:shd w:val="clear" w:color="000000" w:fill="FFFFFF"/>
            <w:noWrap/>
            <w:vAlign w:val="center"/>
          </w:tcPr>
          <w:p w14:paraId="1AF49563" w14:textId="77777777" w:rsidR="000332D5" w:rsidRPr="000332D5" w:rsidRDefault="000332D5" w:rsidP="000332D5">
            <w:pPr>
              <w:pStyle w:val="13"/>
              <w:ind w:firstLineChars="0" w:firstLine="0"/>
              <w:jc w:val="center"/>
              <w:rPr>
                <w:sz w:val="21"/>
                <w:szCs w:val="21"/>
              </w:rPr>
            </w:pPr>
            <w:r w:rsidRPr="000332D5">
              <w:rPr>
                <w:rFonts w:hint="eastAsia"/>
                <w:sz w:val="21"/>
                <w:szCs w:val="21"/>
              </w:rPr>
              <w:t>信息公开</w:t>
            </w:r>
          </w:p>
        </w:tc>
        <w:tc>
          <w:tcPr>
            <w:tcW w:w="2889" w:type="pct"/>
            <w:tcBorders>
              <w:top w:val="nil"/>
              <w:left w:val="nil"/>
              <w:bottom w:val="single" w:sz="4" w:space="0" w:color="auto"/>
              <w:right w:val="single" w:sz="4" w:space="0" w:color="auto"/>
            </w:tcBorders>
            <w:shd w:val="clear" w:color="000000" w:fill="FFFFFF"/>
            <w:vAlign w:val="center"/>
          </w:tcPr>
          <w:p w14:paraId="3413A7E5" w14:textId="77777777" w:rsidR="000332D5" w:rsidRPr="000332D5" w:rsidRDefault="000332D5" w:rsidP="000332D5">
            <w:pPr>
              <w:pStyle w:val="13"/>
              <w:ind w:firstLineChars="0" w:firstLine="0"/>
              <w:rPr>
                <w:sz w:val="21"/>
                <w:szCs w:val="21"/>
              </w:rPr>
            </w:pPr>
            <w:r w:rsidRPr="000332D5">
              <w:rPr>
                <w:rFonts w:hint="eastAsia"/>
                <w:sz w:val="21"/>
                <w:szCs w:val="21"/>
              </w:rPr>
              <w:t>评价项目实施机构是否按照信息公开相关要求及时、准确公开信息。</w:t>
            </w:r>
          </w:p>
        </w:tc>
      </w:tr>
      <w:tr w:rsidR="000332D5" w:rsidRPr="000332D5" w14:paraId="0EB830FE" w14:textId="77777777" w:rsidTr="000332D5">
        <w:trPr>
          <w:jc w:val="center"/>
        </w:trPr>
        <w:tc>
          <w:tcPr>
            <w:tcW w:w="5000" w:type="pct"/>
            <w:gridSpan w:val="4"/>
            <w:tcBorders>
              <w:top w:val="nil"/>
              <w:left w:val="nil"/>
              <w:bottom w:val="nil"/>
              <w:right w:val="nil"/>
            </w:tcBorders>
            <w:shd w:val="clear" w:color="auto" w:fill="auto"/>
            <w:noWrap/>
            <w:vAlign w:val="center"/>
          </w:tcPr>
          <w:p w14:paraId="780FBC50" w14:textId="77777777" w:rsidR="000332D5" w:rsidRPr="000332D5" w:rsidRDefault="000332D5" w:rsidP="000332D5">
            <w:pPr>
              <w:pStyle w:val="13"/>
              <w:ind w:firstLineChars="0" w:firstLine="0"/>
              <w:rPr>
                <w:sz w:val="21"/>
                <w:szCs w:val="21"/>
              </w:rPr>
            </w:pPr>
            <w:r w:rsidRPr="000332D5">
              <w:rPr>
                <w:rFonts w:hint="eastAsia"/>
                <w:sz w:val="21"/>
                <w:szCs w:val="21"/>
              </w:rPr>
              <w:t>备注：应根据项目行业特点与实际情况等适当调整二级指标，细化形成三级指标。</w:t>
            </w:r>
          </w:p>
        </w:tc>
      </w:tr>
    </w:tbl>
    <w:p w14:paraId="5BBBCE9C" w14:textId="77777777" w:rsidR="000332D5" w:rsidRDefault="000332D5" w:rsidP="000332D5">
      <w:pPr>
        <w:pStyle w:val="ab"/>
        <w:spacing w:before="62" w:after="62"/>
        <w:ind w:firstLine="482"/>
      </w:pPr>
      <w:r>
        <w:rPr>
          <w:rFonts w:hint="eastAsia"/>
        </w:rPr>
        <w:t>附</w:t>
      </w:r>
      <w:r>
        <w:t>5：</w:t>
      </w:r>
    </w:p>
    <w:p w14:paraId="4EF219CD" w14:textId="77777777" w:rsidR="000332D5" w:rsidRDefault="000332D5" w:rsidP="00AF7342">
      <w:pPr>
        <w:pStyle w:val="a9"/>
        <w:spacing w:before="62" w:after="62"/>
      </w:pPr>
      <w:r>
        <w:t>PPP项目运营期绩效评价共性指标框架（参考）</w:t>
      </w:r>
    </w:p>
    <w:p w14:paraId="3D32AFF7" w14:textId="38D4B33A" w:rsidR="00F24348" w:rsidRPr="000332D5" w:rsidRDefault="000332D5" w:rsidP="000332D5">
      <w:pPr>
        <w:pStyle w:val="13"/>
        <w:ind w:firstLineChars="0" w:firstLine="0"/>
        <w:jc w:val="center"/>
        <w:rPr>
          <w:b/>
          <w:bCs/>
        </w:rPr>
      </w:pPr>
      <w:r w:rsidRPr="000332D5">
        <w:rPr>
          <w:b/>
          <w:bCs/>
        </w:rPr>
        <w:t>PPP项目绩效评价共性指标框架（参考）——运营期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057"/>
        <w:gridCol w:w="1168"/>
        <w:gridCol w:w="4679"/>
        <w:gridCol w:w="1060"/>
        <w:gridCol w:w="9"/>
      </w:tblGrid>
      <w:tr w:rsidR="00B3736B" w:rsidRPr="00B3736B" w14:paraId="5B6B4A2C" w14:textId="77777777" w:rsidTr="00B3736B">
        <w:trPr>
          <w:gridAfter w:val="1"/>
          <w:wAfter w:w="5" w:type="pct"/>
          <w:trHeight w:val="424"/>
          <w:tblHeader/>
          <w:jc w:val="center"/>
        </w:trPr>
        <w:tc>
          <w:tcPr>
            <w:tcW w:w="428" w:type="pct"/>
            <w:shd w:val="clear" w:color="auto" w:fill="auto"/>
            <w:noWrap/>
            <w:vAlign w:val="center"/>
          </w:tcPr>
          <w:p w14:paraId="204555F6" w14:textId="11A1D39A" w:rsidR="000332D5" w:rsidRPr="000332D5" w:rsidRDefault="000332D5" w:rsidP="00B3736B">
            <w:pPr>
              <w:pStyle w:val="13"/>
              <w:spacing w:line="240" w:lineRule="auto"/>
              <w:ind w:firstLineChars="0" w:firstLine="0"/>
              <w:rPr>
                <w:sz w:val="21"/>
                <w:szCs w:val="21"/>
              </w:rPr>
            </w:pPr>
          </w:p>
        </w:tc>
        <w:tc>
          <w:tcPr>
            <w:tcW w:w="606" w:type="pct"/>
            <w:shd w:val="clear" w:color="auto" w:fill="auto"/>
            <w:noWrap/>
            <w:vAlign w:val="center"/>
          </w:tcPr>
          <w:p w14:paraId="1EFF90F1"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一级指标</w:t>
            </w:r>
          </w:p>
        </w:tc>
        <w:tc>
          <w:tcPr>
            <w:tcW w:w="670" w:type="pct"/>
            <w:shd w:val="clear" w:color="auto" w:fill="auto"/>
            <w:noWrap/>
            <w:vAlign w:val="center"/>
          </w:tcPr>
          <w:p w14:paraId="4D682778"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二级指标</w:t>
            </w:r>
          </w:p>
        </w:tc>
        <w:tc>
          <w:tcPr>
            <w:tcW w:w="2683" w:type="pct"/>
            <w:shd w:val="clear" w:color="auto" w:fill="auto"/>
            <w:vAlign w:val="center"/>
          </w:tcPr>
          <w:p w14:paraId="2FBF1018"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指标解释</w:t>
            </w:r>
          </w:p>
        </w:tc>
        <w:tc>
          <w:tcPr>
            <w:tcW w:w="608" w:type="pct"/>
            <w:shd w:val="clear" w:color="auto" w:fill="auto"/>
            <w:vAlign w:val="center"/>
          </w:tcPr>
          <w:p w14:paraId="4FD938F7"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说明</w:t>
            </w:r>
          </w:p>
        </w:tc>
      </w:tr>
      <w:tr w:rsidR="00B3736B" w:rsidRPr="00B3736B" w14:paraId="18FC0DB9" w14:textId="77777777" w:rsidTr="00B3736B">
        <w:trPr>
          <w:gridAfter w:val="1"/>
          <w:wAfter w:w="5" w:type="pct"/>
          <w:jc w:val="center"/>
        </w:trPr>
        <w:tc>
          <w:tcPr>
            <w:tcW w:w="428" w:type="pct"/>
            <w:vMerge w:val="restart"/>
            <w:shd w:val="clear" w:color="auto" w:fill="auto"/>
            <w:vAlign w:val="center"/>
          </w:tcPr>
          <w:p w14:paraId="11B8CDBF" w14:textId="77777777" w:rsidR="00B3736B" w:rsidRDefault="00B3736B" w:rsidP="00B3736B">
            <w:pPr>
              <w:pStyle w:val="13"/>
              <w:spacing w:line="240" w:lineRule="auto"/>
              <w:ind w:firstLineChars="0" w:firstLine="0"/>
              <w:jc w:val="center"/>
              <w:rPr>
                <w:b/>
                <w:bCs/>
                <w:sz w:val="21"/>
                <w:szCs w:val="21"/>
              </w:rPr>
            </w:pPr>
          </w:p>
          <w:p w14:paraId="68F3E1C3" w14:textId="77777777" w:rsidR="00B3736B" w:rsidRDefault="00B3736B" w:rsidP="00B3736B">
            <w:pPr>
              <w:pStyle w:val="13"/>
              <w:spacing w:line="240" w:lineRule="auto"/>
              <w:ind w:firstLineChars="0" w:firstLine="0"/>
              <w:jc w:val="center"/>
              <w:rPr>
                <w:b/>
                <w:bCs/>
                <w:sz w:val="21"/>
                <w:szCs w:val="21"/>
              </w:rPr>
            </w:pPr>
          </w:p>
          <w:p w14:paraId="2316800C" w14:textId="79B9D380" w:rsidR="000332D5" w:rsidRDefault="000332D5" w:rsidP="00B3736B">
            <w:pPr>
              <w:pStyle w:val="13"/>
              <w:spacing w:line="240" w:lineRule="auto"/>
              <w:ind w:firstLineChars="0" w:firstLine="0"/>
              <w:jc w:val="center"/>
              <w:rPr>
                <w:b/>
                <w:bCs/>
                <w:sz w:val="21"/>
                <w:szCs w:val="21"/>
              </w:rPr>
            </w:pPr>
            <w:r w:rsidRPr="000332D5">
              <w:rPr>
                <w:rFonts w:hint="eastAsia"/>
                <w:b/>
                <w:bCs/>
                <w:sz w:val="21"/>
                <w:szCs w:val="21"/>
              </w:rPr>
              <w:t>项目公司（社会资本）绩效评价（</w:t>
            </w:r>
            <w:r w:rsidRPr="000332D5">
              <w:rPr>
                <w:b/>
                <w:bCs/>
                <w:sz w:val="21"/>
                <w:szCs w:val="21"/>
              </w:rPr>
              <w:t>100分）</w:t>
            </w:r>
          </w:p>
          <w:p w14:paraId="41866E9E" w14:textId="77777777" w:rsidR="00B3736B" w:rsidRDefault="00B3736B" w:rsidP="00B3736B">
            <w:pPr>
              <w:pStyle w:val="13"/>
              <w:spacing w:line="240" w:lineRule="auto"/>
              <w:ind w:firstLineChars="0" w:firstLine="0"/>
              <w:jc w:val="center"/>
              <w:rPr>
                <w:b/>
                <w:bCs/>
                <w:sz w:val="21"/>
                <w:szCs w:val="21"/>
              </w:rPr>
            </w:pPr>
          </w:p>
          <w:p w14:paraId="286F1017" w14:textId="77777777" w:rsidR="00B3736B" w:rsidRDefault="00B3736B" w:rsidP="00B3736B">
            <w:pPr>
              <w:pStyle w:val="13"/>
              <w:spacing w:line="240" w:lineRule="auto"/>
              <w:ind w:firstLineChars="0" w:firstLine="0"/>
              <w:jc w:val="center"/>
              <w:rPr>
                <w:b/>
                <w:bCs/>
                <w:sz w:val="21"/>
                <w:szCs w:val="21"/>
              </w:rPr>
            </w:pPr>
          </w:p>
          <w:p w14:paraId="07D00CE9" w14:textId="77777777" w:rsidR="00B3736B" w:rsidRDefault="00B3736B" w:rsidP="00B3736B">
            <w:pPr>
              <w:pStyle w:val="13"/>
              <w:spacing w:line="240" w:lineRule="auto"/>
              <w:ind w:firstLineChars="0" w:firstLine="0"/>
              <w:jc w:val="center"/>
              <w:rPr>
                <w:b/>
                <w:bCs/>
                <w:sz w:val="21"/>
                <w:szCs w:val="21"/>
              </w:rPr>
            </w:pPr>
          </w:p>
          <w:p w14:paraId="3CFE7DD0" w14:textId="77777777" w:rsidR="00B3736B" w:rsidRDefault="00B3736B" w:rsidP="00B3736B">
            <w:pPr>
              <w:pStyle w:val="13"/>
              <w:spacing w:line="240" w:lineRule="auto"/>
              <w:ind w:firstLineChars="0" w:firstLine="0"/>
              <w:jc w:val="center"/>
              <w:rPr>
                <w:b/>
                <w:bCs/>
                <w:sz w:val="21"/>
                <w:szCs w:val="21"/>
              </w:rPr>
            </w:pPr>
          </w:p>
          <w:p w14:paraId="3E097026" w14:textId="6F28F73D" w:rsidR="00B3736B" w:rsidRPr="000332D5" w:rsidRDefault="00B3736B" w:rsidP="00B3736B">
            <w:pPr>
              <w:pStyle w:val="13"/>
              <w:spacing w:line="240" w:lineRule="auto"/>
              <w:ind w:firstLineChars="0" w:firstLine="0"/>
              <w:jc w:val="center"/>
              <w:rPr>
                <w:b/>
                <w:bCs/>
                <w:sz w:val="21"/>
                <w:szCs w:val="21"/>
              </w:rPr>
            </w:pPr>
            <w:r w:rsidRPr="000332D5">
              <w:rPr>
                <w:rFonts w:hint="eastAsia"/>
                <w:b/>
                <w:bCs/>
                <w:sz w:val="21"/>
                <w:szCs w:val="21"/>
              </w:rPr>
              <w:t>项目公司（社会资本）绩效评价（</w:t>
            </w:r>
            <w:r w:rsidRPr="000332D5">
              <w:rPr>
                <w:b/>
                <w:bCs/>
                <w:sz w:val="21"/>
                <w:szCs w:val="21"/>
              </w:rPr>
              <w:t>100分）</w:t>
            </w:r>
          </w:p>
        </w:tc>
        <w:tc>
          <w:tcPr>
            <w:tcW w:w="606" w:type="pct"/>
            <w:vMerge w:val="restart"/>
            <w:shd w:val="clear" w:color="auto" w:fill="auto"/>
            <w:vAlign w:val="center"/>
          </w:tcPr>
          <w:p w14:paraId="0B202671" w14:textId="77777777" w:rsidR="000332D5" w:rsidRPr="000332D5" w:rsidRDefault="000332D5" w:rsidP="00B3736B">
            <w:pPr>
              <w:pStyle w:val="13"/>
              <w:spacing w:line="240" w:lineRule="auto"/>
              <w:ind w:firstLineChars="0" w:firstLine="0"/>
              <w:jc w:val="center"/>
              <w:rPr>
                <w:b/>
                <w:bCs/>
                <w:sz w:val="21"/>
                <w:szCs w:val="21"/>
              </w:rPr>
            </w:pPr>
            <w:r w:rsidRPr="000332D5">
              <w:rPr>
                <w:rFonts w:hint="eastAsia"/>
                <w:b/>
                <w:bCs/>
                <w:sz w:val="21"/>
                <w:szCs w:val="21"/>
              </w:rPr>
              <w:lastRenderedPageBreak/>
              <w:t>产出</w:t>
            </w:r>
          </w:p>
        </w:tc>
        <w:tc>
          <w:tcPr>
            <w:tcW w:w="670" w:type="pct"/>
            <w:shd w:val="clear" w:color="auto" w:fill="auto"/>
            <w:vAlign w:val="center"/>
          </w:tcPr>
          <w:p w14:paraId="6B6F7F36"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项目运营</w:t>
            </w:r>
          </w:p>
        </w:tc>
        <w:tc>
          <w:tcPr>
            <w:tcW w:w="2683" w:type="pct"/>
            <w:shd w:val="clear" w:color="auto" w:fill="auto"/>
            <w:vAlign w:val="center"/>
          </w:tcPr>
          <w:p w14:paraId="2F70235E"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评价项目运营的数量、质量与时效等目标完成情况。如完成率、达标率与及时性等。</w:t>
            </w:r>
          </w:p>
        </w:tc>
        <w:tc>
          <w:tcPr>
            <w:tcW w:w="608" w:type="pct"/>
            <w:vMerge w:val="restart"/>
            <w:shd w:val="clear" w:color="auto" w:fill="auto"/>
            <w:vAlign w:val="center"/>
          </w:tcPr>
          <w:p w14:paraId="7C09A496" w14:textId="77777777" w:rsidR="000332D5" w:rsidRPr="000332D5" w:rsidRDefault="000332D5" w:rsidP="00B3736B">
            <w:pPr>
              <w:pStyle w:val="13"/>
              <w:spacing w:line="240" w:lineRule="auto"/>
              <w:ind w:firstLineChars="0" w:firstLine="0"/>
              <w:rPr>
                <w:sz w:val="21"/>
                <w:szCs w:val="21"/>
              </w:rPr>
            </w:pPr>
            <w:r w:rsidRPr="000332D5">
              <w:rPr>
                <w:sz w:val="21"/>
                <w:szCs w:val="21"/>
              </w:rPr>
              <w:t>1、“产出”指标应作为按效付费的核心指标，指标权重不低于总权重的80%，其中“项目运营”与“项目维护”指</w:t>
            </w:r>
            <w:r w:rsidRPr="000332D5">
              <w:rPr>
                <w:sz w:val="21"/>
                <w:szCs w:val="21"/>
              </w:rPr>
              <w:lastRenderedPageBreak/>
              <w:t>标不低于总权重的60%；</w:t>
            </w:r>
            <w:r w:rsidRPr="000332D5">
              <w:rPr>
                <w:sz w:val="21"/>
                <w:szCs w:val="21"/>
              </w:rPr>
              <w:br/>
              <w:t>2、原则上不低于80分才可全额付费。</w:t>
            </w:r>
          </w:p>
        </w:tc>
      </w:tr>
      <w:tr w:rsidR="00B3736B" w:rsidRPr="00B3736B" w14:paraId="3399DB82" w14:textId="77777777" w:rsidTr="00B3736B">
        <w:trPr>
          <w:gridAfter w:val="1"/>
          <w:wAfter w:w="5" w:type="pct"/>
          <w:jc w:val="center"/>
        </w:trPr>
        <w:tc>
          <w:tcPr>
            <w:tcW w:w="428" w:type="pct"/>
            <w:vMerge/>
            <w:vAlign w:val="center"/>
          </w:tcPr>
          <w:p w14:paraId="18A7362B"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61D5DFCB"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64F75638"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项目维护</w:t>
            </w:r>
          </w:p>
        </w:tc>
        <w:tc>
          <w:tcPr>
            <w:tcW w:w="2683" w:type="pct"/>
            <w:shd w:val="clear" w:color="auto" w:fill="auto"/>
            <w:vAlign w:val="center"/>
          </w:tcPr>
          <w:p w14:paraId="7FB39CA0"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评价项目设施设备等相关资产维护的数量、质量与时效等目标完成情况。</w:t>
            </w:r>
            <w:proofErr w:type="gramStart"/>
            <w:r w:rsidRPr="000332D5">
              <w:rPr>
                <w:rFonts w:hint="eastAsia"/>
                <w:sz w:val="21"/>
                <w:szCs w:val="21"/>
              </w:rPr>
              <w:t>如设施</w:t>
            </w:r>
            <w:proofErr w:type="gramEnd"/>
            <w:r w:rsidRPr="000332D5">
              <w:rPr>
                <w:rFonts w:hint="eastAsia"/>
                <w:sz w:val="21"/>
                <w:szCs w:val="21"/>
              </w:rPr>
              <w:t>设备维护频次、完好率与维护及时性等。</w:t>
            </w:r>
          </w:p>
        </w:tc>
        <w:tc>
          <w:tcPr>
            <w:tcW w:w="608" w:type="pct"/>
            <w:vMerge/>
            <w:vAlign w:val="center"/>
          </w:tcPr>
          <w:p w14:paraId="288C90C0" w14:textId="77777777" w:rsidR="000332D5" w:rsidRPr="000332D5" w:rsidRDefault="000332D5" w:rsidP="00B3736B">
            <w:pPr>
              <w:pStyle w:val="13"/>
              <w:spacing w:line="240" w:lineRule="auto"/>
              <w:ind w:firstLineChars="0" w:firstLine="0"/>
              <w:rPr>
                <w:sz w:val="21"/>
                <w:szCs w:val="21"/>
              </w:rPr>
            </w:pPr>
          </w:p>
        </w:tc>
      </w:tr>
      <w:tr w:rsidR="00B3736B" w:rsidRPr="00B3736B" w14:paraId="3C3FF499" w14:textId="77777777" w:rsidTr="00B3736B">
        <w:trPr>
          <w:gridAfter w:val="1"/>
          <w:wAfter w:w="5" w:type="pct"/>
          <w:jc w:val="center"/>
        </w:trPr>
        <w:tc>
          <w:tcPr>
            <w:tcW w:w="428" w:type="pct"/>
            <w:vMerge/>
            <w:vAlign w:val="center"/>
          </w:tcPr>
          <w:p w14:paraId="3086E830"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42864ABC"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34EDEB35"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成本效益</w:t>
            </w:r>
          </w:p>
        </w:tc>
        <w:tc>
          <w:tcPr>
            <w:tcW w:w="2683" w:type="pct"/>
            <w:shd w:val="clear" w:color="auto" w:fill="auto"/>
            <w:vAlign w:val="center"/>
          </w:tcPr>
          <w:p w14:paraId="26653316"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评价项目运营维护的成本情况。如成本构成合理性、实际成本与计划成本对比情况、成本节约率、投入产出比等。（注：</w:t>
            </w:r>
            <w:r w:rsidRPr="000332D5">
              <w:rPr>
                <w:sz w:val="21"/>
                <w:szCs w:val="21"/>
              </w:rPr>
              <w:t>PPP项目合同中未对运营维护成本控制进行约定的项目适用本指标）</w:t>
            </w:r>
          </w:p>
        </w:tc>
        <w:tc>
          <w:tcPr>
            <w:tcW w:w="608" w:type="pct"/>
            <w:vMerge/>
            <w:vAlign w:val="center"/>
          </w:tcPr>
          <w:p w14:paraId="13659CE0" w14:textId="77777777" w:rsidR="000332D5" w:rsidRPr="000332D5" w:rsidRDefault="000332D5" w:rsidP="00B3736B">
            <w:pPr>
              <w:pStyle w:val="13"/>
              <w:spacing w:line="240" w:lineRule="auto"/>
              <w:ind w:firstLineChars="0" w:firstLine="0"/>
              <w:rPr>
                <w:sz w:val="21"/>
                <w:szCs w:val="21"/>
              </w:rPr>
            </w:pPr>
          </w:p>
        </w:tc>
      </w:tr>
      <w:tr w:rsidR="00B3736B" w:rsidRPr="00B3736B" w14:paraId="685E8575" w14:textId="77777777" w:rsidTr="00B3736B">
        <w:trPr>
          <w:gridAfter w:val="1"/>
          <w:wAfter w:w="5" w:type="pct"/>
          <w:jc w:val="center"/>
        </w:trPr>
        <w:tc>
          <w:tcPr>
            <w:tcW w:w="428" w:type="pct"/>
            <w:vMerge/>
            <w:vAlign w:val="center"/>
          </w:tcPr>
          <w:p w14:paraId="7C976666"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57404892"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582CEA12"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安全保障</w:t>
            </w:r>
          </w:p>
        </w:tc>
        <w:tc>
          <w:tcPr>
            <w:tcW w:w="2683" w:type="pct"/>
            <w:shd w:val="clear" w:color="auto" w:fill="auto"/>
            <w:vAlign w:val="center"/>
          </w:tcPr>
          <w:p w14:paraId="4E1C96FF"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评价项目公司（或社会资本）在提供公共服务过程中安全保障情况。如重大事故发生率、安全生产率、应急处理情况等。</w:t>
            </w:r>
          </w:p>
        </w:tc>
        <w:tc>
          <w:tcPr>
            <w:tcW w:w="608" w:type="pct"/>
            <w:vMerge/>
            <w:vAlign w:val="center"/>
          </w:tcPr>
          <w:p w14:paraId="39D9820A" w14:textId="77777777" w:rsidR="000332D5" w:rsidRPr="000332D5" w:rsidRDefault="000332D5" w:rsidP="00B3736B">
            <w:pPr>
              <w:pStyle w:val="13"/>
              <w:spacing w:line="240" w:lineRule="auto"/>
              <w:ind w:firstLineChars="0" w:firstLine="0"/>
              <w:rPr>
                <w:sz w:val="21"/>
                <w:szCs w:val="21"/>
              </w:rPr>
            </w:pPr>
          </w:p>
        </w:tc>
      </w:tr>
      <w:tr w:rsidR="00B3736B" w:rsidRPr="00B3736B" w14:paraId="44DCCC12" w14:textId="77777777" w:rsidTr="00B3736B">
        <w:trPr>
          <w:gridAfter w:val="1"/>
          <w:wAfter w:w="5" w:type="pct"/>
          <w:jc w:val="center"/>
        </w:trPr>
        <w:tc>
          <w:tcPr>
            <w:tcW w:w="428" w:type="pct"/>
            <w:vMerge/>
            <w:vAlign w:val="center"/>
          </w:tcPr>
          <w:p w14:paraId="0D32D2D1"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restart"/>
            <w:shd w:val="clear" w:color="auto" w:fill="auto"/>
            <w:vAlign w:val="center"/>
          </w:tcPr>
          <w:p w14:paraId="71CE5252" w14:textId="77777777" w:rsidR="000332D5" w:rsidRPr="000332D5" w:rsidRDefault="000332D5" w:rsidP="00B3736B">
            <w:pPr>
              <w:pStyle w:val="13"/>
              <w:spacing w:line="240" w:lineRule="auto"/>
              <w:ind w:firstLineChars="0" w:firstLine="0"/>
              <w:jc w:val="center"/>
              <w:rPr>
                <w:b/>
                <w:bCs/>
                <w:sz w:val="21"/>
                <w:szCs w:val="21"/>
              </w:rPr>
            </w:pPr>
            <w:r w:rsidRPr="000332D5">
              <w:rPr>
                <w:rFonts w:hint="eastAsia"/>
                <w:b/>
                <w:bCs/>
                <w:sz w:val="21"/>
                <w:szCs w:val="21"/>
              </w:rPr>
              <w:t>效果</w:t>
            </w:r>
          </w:p>
        </w:tc>
        <w:tc>
          <w:tcPr>
            <w:tcW w:w="670" w:type="pct"/>
            <w:shd w:val="clear" w:color="auto" w:fill="auto"/>
            <w:vAlign w:val="center"/>
          </w:tcPr>
          <w:p w14:paraId="13390F0D"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经济影响</w:t>
            </w:r>
          </w:p>
        </w:tc>
        <w:tc>
          <w:tcPr>
            <w:tcW w:w="2683" w:type="pct"/>
            <w:shd w:val="clear" w:color="auto" w:fill="auto"/>
            <w:vAlign w:val="center"/>
          </w:tcPr>
          <w:p w14:paraId="0F03118F"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评价项目实施对经济发展所带来的直接或间接的</w:t>
            </w:r>
            <w:r w:rsidRPr="000332D5">
              <w:rPr>
                <w:rFonts w:hint="eastAsia"/>
                <w:sz w:val="21"/>
                <w:szCs w:val="21"/>
              </w:rPr>
              <w:lastRenderedPageBreak/>
              <w:t>正负面影响情况。如对产业带动及区域经济影响等。</w:t>
            </w:r>
          </w:p>
        </w:tc>
        <w:tc>
          <w:tcPr>
            <w:tcW w:w="608" w:type="pct"/>
            <w:vMerge/>
            <w:vAlign w:val="center"/>
          </w:tcPr>
          <w:p w14:paraId="03C55865" w14:textId="77777777" w:rsidR="000332D5" w:rsidRPr="000332D5" w:rsidRDefault="000332D5" w:rsidP="00B3736B">
            <w:pPr>
              <w:pStyle w:val="13"/>
              <w:spacing w:line="240" w:lineRule="auto"/>
              <w:ind w:firstLineChars="0" w:firstLine="0"/>
              <w:rPr>
                <w:sz w:val="21"/>
                <w:szCs w:val="21"/>
              </w:rPr>
            </w:pPr>
          </w:p>
        </w:tc>
      </w:tr>
      <w:tr w:rsidR="00B3736B" w:rsidRPr="00B3736B" w14:paraId="36F8161F" w14:textId="77777777" w:rsidTr="00B3736B">
        <w:trPr>
          <w:gridAfter w:val="1"/>
          <w:wAfter w:w="5" w:type="pct"/>
          <w:jc w:val="center"/>
        </w:trPr>
        <w:tc>
          <w:tcPr>
            <w:tcW w:w="428" w:type="pct"/>
            <w:vMerge/>
            <w:vAlign w:val="center"/>
          </w:tcPr>
          <w:p w14:paraId="658D9CE9"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04C996B3"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44A714C3"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生态影响</w:t>
            </w:r>
          </w:p>
        </w:tc>
        <w:tc>
          <w:tcPr>
            <w:tcW w:w="2683" w:type="pct"/>
            <w:shd w:val="clear" w:color="auto" w:fill="auto"/>
            <w:vAlign w:val="center"/>
          </w:tcPr>
          <w:p w14:paraId="58D45E78"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评价项目实施对生态环境所带来的直接或间接的正负面影响情况。如节能减排、环保处罚等。</w:t>
            </w:r>
          </w:p>
        </w:tc>
        <w:tc>
          <w:tcPr>
            <w:tcW w:w="608" w:type="pct"/>
            <w:vMerge/>
            <w:vAlign w:val="center"/>
          </w:tcPr>
          <w:p w14:paraId="6639156E" w14:textId="77777777" w:rsidR="000332D5" w:rsidRPr="000332D5" w:rsidRDefault="000332D5" w:rsidP="00B3736B">
            <w:pPr>
              <w:pStyle w:val="13"/>
              <w:spacing w:line="240" w:lineRule="auto"/>
              <w:ind w:firstLineChars="0" w:firstLine="0"/>
              <w:rPr>
                <w:sz w:val="21"/>
                <w:szCs w:val="21"/>
              </w:rPr>
            </w:pPr>
          </w:p>
        </w:tc>
      </w:tr>
      <w:tr w:rsidR="00B3736B" w:rsidRPr="00B3736B" w14:paraId="0EF372D5" w14:textId="77777777" w:rsidTr="00B3736B">
        <w:trPr>
          <w:gridAfter w:val="1"/>
          <w:wAfter w:w="5" w:type="pct"/>
          <w:jc w:val="center"/>
        </w:trPr>
        <w:tc>
          <w:tcPr>
            <w:tcW w:w="428" w:type="pct"/>
            <w:vMerge/>
            <w:vAlign w:val="center"/>
          </w:tcPr>
          <w:p w14:paraId="66757216"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42A69321"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0B672A5D"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社会影响</w:t>
            </w:r>
          </w:p>
        </w:tc>
        <w:tc>
          <w:tcPr>
            <w:tcW w:w="2683" w:type="pct"/>
            <w:shd w:val="clear" w:color="auto" w:fill="auto"/>
            <w:vAlign w:val="center"/>
          </w:tcPr>
          <w:p w14:paraId="0FD0EF4E"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评价项目实施对社会发展所带来的直接或间接的正负面影响情况。如新增就业、社会荣誉、重大诉讼、公众舆情与群体性事件等。</w:t>
            </w:r>
          </w:p>
        </w:tc>
        <w:tc>
          <w:tcPr>
            <w:tcW w:w="608" w:type="pct"/>
            <w:vMerge/>
            <w:vAlign w:val="center"/>
          </w:tcPr>
          <w:p w14:paraId="5D793BAE" w14:textId="77777777" w:rsidR="000332D5" w:rsidRPr="000332D5" w:rsidRDefault="000332D5" w:rsidP="00B3736B">
            <w:pPr>
              <w:pStyle w:val="13"/>
              <w:spacing w:line="240" w:lineRule="auto"/>
              <w:ind w:firstLineChars="0" w:firstLine="0"/>
              <w:rPr>
                <w:sz w:val="21"/>
                <w:szCs w:val="21"/>
              </w:rPr>
            </w:pPr>
          </w:p>
        </w:tc>
      </w:tr>
      <w:tr w:rsidR="00B3736B" w:rsidRPr="00B3736B" w14:paraId="33C6C479" w14:textId="77777777" w:rsidTr="00B3736B">
        <w:trPr>
          <w:gridAfter w:val="1"/>
          <w:wAfter w:w="5" w:type="pct"/>
          <w:jc w:val="center"/>
        </w:trPr>
        <w:tc>
          <w:tcPr>
            <w:tcW w:w="428" w:type="pct"/>
            <w:vMerge/>
            <w:vAlign w:val="center"/>
          </w:tcPr>
          <w:p w14:paraId="2C890915"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202E2AD8"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262E6D7F"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可持续性</w:t>
            </w:r>
          </w:p>
        </w:tc>
        <w:tc>
          <w:tcPr>
            <w:tcW w:w="2683" w:type="pct"/>
            <w:shd w:val="clear" w:color="auto" w:fill="auto"/>
            <w:vAlign w:val="center"/>
          </w:tcPr>
          <w:p w14:paraId="5E2B707C"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评价项目在发展、运行管理及财务状况等方面的可持续性情况。</w:t>
            </w:r>
          </w:p>
        </w:tc>
        <w:tc>
          <w:tcPr>
            <w:tcW w:w="608" w:type="pct"/>
            <w:vMerge/>
            <w:vAlign w:val="center"/>
          </w:tcPr>
          <w:p w14:paraId="43872C99" w14:textId="77777777" w:rsidR="000332D5" w:rsidRPr="000332D5" w:rsidRDefault="000332D5" w:rsidP="00B3736B">
            <w:pPr>
              <w:pStyle w:val="13"/>
              <w:spacing w:line="240" w:lineRule="auto"/>
              <w:ind w:firstLineChars="0" w:firstLine="0"/>
              <w:rPr>
                <w:sz w:val="21"/>
                <w:szCs w:val="21"/>
              </w:rPr>
            </w:pPr>
          </w:p>
        </w:tc>
      </w:tr>
      <w:tr w:rsidR="00B3736B" w:rsidRPr="00B3736B" w14:paraId="0E946FFA" w14:textId="77777777" w:rsidTr="00B3736B">
        <w:trPr>
          <w:gridAfter w:val="1"/>
          <w:wAfter w:w="5" w:type="pct"/>
          <w:jc w:val="center"/>
        </w:trPr>
        <w:tc>
          <w:tcPr>
            <w:tcW w:w="428" w:type="pct"/>
            <w:vMerge/>
            <w:vAlign w:val="center"/>
          </w:tcPr>
          <w:p w14:paraId="6B6C1618"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2C988324"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71EBCF9F"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满意度</w:t>
            </w:r>
          </w:p>
        </w:tc>
        <w:tc>
          <w:tcPr>
            <w:tcW w:w="2683" w:type="pct"/>
            <w:shd w:val="clear" w:color="auto" w:fill="auto"/>
            <w:vAlign w:val="center"/>
          </w:tcPr>
          <w:p w14:paraId="7E88F4E7"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政府相关部门、项目实施机构、社会公众（服务对象）对项目公司或社会资本提供公共服务质量和效率的满意程度。</w:t>
            </w:r>
          </w:p>
        </w:tc>
        <w:tc>
          <w:tcPr>
            <w:tcW w:w="608" w:type="pct"/>
            <w:vMerge/>
            <w:vAlign w:val="center"/>
          </w:tcPr>
          <w:p w14:paraId="672842B8" w14:textId="77777777" w:rsidR="000332D5" w:rsidRPr="000332D5" w:rsidRDefault="000332D5" w:rsidP="00B3736B">
            <w:pPr>
              <w:pStyle w:val="13"/>
              <w:spacing w:line="240" w:lineRule="auto"/>
              <w:ind w:firstLineChars="0" w:firstLine="0"/>
              <w:rPr>
                <w:sz w:val="21"/>
                <w:szCs w:val="21"/>
              </w:rPr>
            </w:pPr>
          </w:p>
        </w:tc>
      </w:tr>
      <w:tr w:rsidR="00B3736B" w:rsidRPr="00B3736B" w14:paraId="1A03A2B2" w14:textId="77777777" w:rsidTr="00B3736B">
        <w:trPr>
          <w:gridAfter w:val="1"/>
          <w:wAfter w:w="5" w:type="pct"/>
          <w:jc w:val="center"/>
        </w:trPr>
        <w:tc>
          <w:tcPr>
            <w:tcW w:w="428" w:type="pct"/>
            <w:vMerge/>
            <w:vAlign w:val="center"/>
          </w:tcPr>
          <w:p w14:paraId="6F988935"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restart"/>
            <w:shd w:val="clear" w:color="auto" w:fill="auto"/>
            <w:vAlign w:val="center"/>
          </w:tcPr>
          <w:p w14:paraId="49D4A9B8" w14:textId="77777777" w:rsidR="000332D5" w:rsidRPr="000332D5" w:rsidRDefault="000332D5" w:rsidP="00B3736B">
            <w:pPr>
              <w:pStyle w:val="13"/>
              <w:spacing w:line="240" w:lineRule="auto"/>
              <w:ind w:firstLineChars="0" w:firstLine="0"/>
              <w:jc w:val="center"/>
              <w:rPr>
                <w:b/>
                <w:bCs/>
                <w:sz w:val="21"/>
                <w:szCs w:val="21"/>
              </w:rPr>
            </w:pPr>
            <w:r w:rsidRPr="000332D5">
              <w:rPr>
                <w:rFonts w:hint="eastAsia"/>
                <w:b/>
                <w:bCs/>
                <w:sz w:val="21"/>
                <w:szCs w:val="21"/>
              </w:rPr>
              <w:t>管理</w:t>
            </w:r>
          </w:p>
        </w:tc>
        <w:tc>
          <w:tcPr>
            <w:tcW w:w="670" w:type="pct"/>
            <w:shd w:val="clear" w:color="auto" w:fill="auto"/>
            <w:vAlign w:val="center"/>
          </w:tcPr>
          <w:p w14:paraId="7E7FCE3C"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组织管理</w:t>
            </w:r>
          </w:p>
        </w:tc>
        <w:tc>
          <w:tcPr>
            <w:tcW w:w="2683" w:type="pct"/>
            <w:shd w:val="clear" w:color="auto" w:fill="auto"/>
            <w:vAlign w:val="center"/>
          </w:tcPr>
          <w:p w14:paraId="0817BE33"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评价项目运营管理实施及组织保障等情况。如组织架构、人员管理及决策审批流程等。</w:t>
            </w:r>
          </w:p>
        </w:tc>
        <w:tc>
          <w:tcPr>
            <w:tcW w:w="608" w:type="pct"/>
            <w:vMerge/>
            <w:vAlign w:val="center"/>
          </w:tcPr>
          <w:p w14:paraId="11E85B4F" w14:textId="77777777" w:rsidR="000332D5" w:rsidRPr="000332D5" w:rsidRDefault="000332D5" w:rsidP="00B3736B">
            <w:pPr>
              <w:pStyle w:val="13"/>
              <w:spacing w:line="240" w:lineRule="auto"/>
              <w:ind w:firstLineChars="0" w:firstLine="0"/>
              <w:rPr>
                <w:sz w:val="21"/>
                <w:szCs w:val="21"/>
              </w:rPr>
            </w:pPr>
          </w:p>
        </w:tc>
      </w:tr>
      <w:tr w:rsidR="00B3736B" w:rsidRPr="00B3736B" w14:paraId="224DE142" w14:textId="77777777" w:rsidTr="00B3736B">
        <w:trPr>
          <w:gridAfter w:val="1"/>
          <w:wAfter w:w="5" w:type="pct"/>
          <w:jc w:val="center"/>
        </w:trPr>
        <w:tc>
          <w:tcPr>
            <w:tcW w:w="428" w:type="pct"/>
            <w:vMerge/>
            <w:vAlign w:val="center"/>
          </w:tcPr>
          <w:p w14:paraId="18853499"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493F9252"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26DD2B3B"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财务管理</w:t>
            </w:r>
          </w:p>
        </w:tc>
        <w:tc>
          <w:tcPr>
            <w:tcW w:w="2683" w:type="pct"/>
            <w:shd w:val="clear" w:color="000000" w:fill="FFFFFF"/>
            <w:vAlign w:val="center"/>
          </w:tcPr>
          <w:p w14:paraId="0DD04F4D"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评价项目资金管理、会计核算等财务管理内容的合</w:t>
            </w:r>
            <w:proofErr w:type="gramStart"/>
            <w:r w:rsidRPr="000332D5">
              <w:rPr>
                <w:rFonts w:hint="eastAsia"/>
                <w:sz w:val="21"/>
                <w:szCs w:val="21"/>
              </w:rPr>
              <w:t>规</w:t>
            </w:r>
            <w:proofErr w:type="gramEnd"/>
            <w:r w:rsidRPr="000332D5">
              <w:rPr>
                <w:rFonts w:hint="eastAsia"/>
                <w:sz w:val="21"/>
                <w:szCs w:val="21"/>
              </w:rPr>
              <w:t>性。</w:t>
            </w:r>
          </w:p>
        </w:tc>
        <w:tc>
          <w:tcPr>
            <w:tcW w:w="608" w:type="pct"/>
            <w:vMerge/>
            <w:vAlign w:val="center"/>
          </w:tcPr>
          <w:p w14:paraId="0B7F00C9" w14:textId="77777777" w:rsidR="000332D5" w:rsidRPr="000332D5" w:rsidRDefault="000332D5" w:rsidP="00B3736B">
            <w:pPr>
              <w:pStyle w:val="13"/>
              <w:spacing w:line="240" w:lineRule="auto"/>
              <w:ind w:firstLineChars="0" w:firstLine="0"/>
              <w:rPr>
                <w:sz w:val="21"/>
                <w:szCs w:val="21"/>
              </w:rPr>
            </w:pPr>
          </w:p>
        </w:tc>
      </w:tr>
      <w:tr w:rsidR="00B3736B" w:rsidRPr="00B3736B" w14:paraId="0766A515" w14:textId="77777777" w:rsidTr="00B3736B">
        <w:trPr>
          <w:gridAfter w:val="1"/>
          <w:wAfter w:w="5" w:type="pct"/>
          <w:jc w:val="center"/>
        </w:trPr>
        <w:tc>
          <w:tcPr>
            <w:tcW w:w="428" w:type="pct"/>
            <w:vMerge/>
            <w:vAlign w:val="center"/>
          </w:tcPr>
          <w:p w14:paraId="20C76A55"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1D47120D"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4A8C4806"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制度管理</w:t>
            </w:r>
          </w:p>
        </w:tc>
        <w:tc>
          <w:tcPr>
            <w:tcW w:w="2683" w:type="pct"/>
            <w:shd w:val="clear" w:color="auto" w:fill="auto"/>
            <w:vAlign w:val="center"/>
          </w:tcPr>
          <w:p w14:paraId="02B3FD14"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评价内控制度的健全程度及执行效率。</w:t>
            </w:r>
          </w:p>
        </w:tc>
        <w:tc>
          <w:tcPr>
            <w:tcW w:w="608" w:type="pct"/>
            <w:vMerge/>
            <w:vAlign w:val="center"/>
          </w:tcPr>
          <w:p w14:paraId="4E009526" w14:textId="77777777" w:rsidR="000332D5" w:rsidRPr="000332D5" w:rsidRDefault="000332D5" w:rsidP="00B3736B">
            <w:pPr>
              <w:pStyle w:val="13"/>
              <w:spacing w:line="240" w:lineRule="auto"/>
              <w:ind w:firstLineChars="0" w:firstLine="0"/>
              <w:rPr>
                <w:sz w:val="21"/>
                <w:szCs w:val="21"/>
              </w:rPr>
            </w:pPr>
          </w:p>
        </w:tc>
      </w:tr>
      <w:tr w:rsidR="00B3736B" w:rsidRPr="00B3736B" w14:paraId="1ED834D2" w14:textId="77777777" w:rsidTr="00B3736B">
        <w:trPr>
          <w:gridAfter w:val="1"/>
          <w:wAfter w:w="5" w:type="pct"/>
          <w:jc w:val="center"/>
        </w:trPr>
        <w:tc>
          <w:tcPr>
            <w:tcW w:w="428" w:type="pct"/>
            <w:vMerge/>
            <w:vAlign w:val="center"/>
          </w:tcPr>
          <w:p w14:paraId="07D7CBAF"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7CAD9CC3"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2B63DAC7"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档案管理</w:t>
            </w:r>
          </w:p>
        </w:tc>
        <w:tc>
          <w:tcPr>
            <w:tcW w:w="2683" w:type="pct"/>
            <w:shd w:val="clear" w:color="auto" w:fill="auto"/>
            <w:vAlign w:val="center"/>
          </w:tcPr>
          <w:p w14:paraId="30CCDA89"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评价项目运营、维护等相关资料的完整性、真实性以及归集整理的及时性。</w:t>
            </w:r>
          </w:p>
        </w:tc>
        <w:tc>
          <w:tcPr>
            <w:tcW w:w="608" w:type="pct"/>
            <w:vMerge/>
            <w:vAlign w:val="center"/>
          </w:tcPr>
          <w:p w14:paraId="3DE8963B" w14:textId="77777777" w:rsidR="000332D5" w:rsidRPr="000332D5" w:rsidRDefault="000332D5" w:rsidP="00B3736B">
            <w:pPr>
              <w:pStyle w:val="13"/>
              <w:spacing w:line="240" w:lineRule="auto"/>
              <w:ind w:firstLineChars="0" w:firstLine="0"/>
              <w:rPr>
                <w:sz w:val="21"/>
                <w:szCs w:val="21"/>
              </w:rPr>
            </w:pPr>
          </w:p>
        </w:tc>
      </w:tr>
      <w:tr w:rsidR="00B3736B" w:rsidRPr="00B3736B" w14:paraId="40B61183" w14:textId="77777777" w:rsidTr="00B3736B">
        <w:trPr>
          <w:gridAfter w:val="1"/>
          <w:wAfter w:w="5" w:type="pct"/>
          <w:jc w:val="center"/>
        </w:trPr>
        <w:tc>
          <w:tcPr>
            <w:tcW w:w="428" w:type="pct"/>
            <w:vMerge/>
            <w:vAlign w:val="center"/>
          </w:tcPr>
          <w:p w14:paraId="676F1888"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2C0CF4BF"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081606FA"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信息公开</w:t>
            </w:r>
          </w:p>
        </w:tc>
        <w:tc>
          <w:tcPr>
            <w:tcW w:w="2683" w:type="pct"/>
            <w:shd w:val="clear" w:color="auto" w:fill="auto"/>
            <w:vAlign w:val="center"/>
          </w:tcPr>
          <w:p w14:paraId="50165227"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评价项目公司或社会资本履行信息公开义务的及时性与准确性。</w:t>
            </w:r>
          </w:p>
        </w:tc>
        <w:tc>
          <w:tcPr>
            <w:tcW w:w="608" w:type="pct"/>
            <w:vMerge/>
            <w:vAlign w:val="center"/>
          </w:tcPr>
          <w:p w14:paraId="035A77E4" w14:textId="77777777" w:rsidR="000332D5" w:rsidRPr="000332D5" w:rsidRDefault="000332D5" w:rsidP="00B3736B">
            <w:pPr>
              <w:pStyle w:val="13"/>
              <w:spacing w:line="240" w:lineRule="auto"/>
              <w:ind w:firstLineChars="0" w:firstLine="0"/>
              <w:rPr>
                <w:sz w:val="21"/>
                <w:szCs w:val="21"/>
              </w:rPr>
            </w:pPr>
          </w:p>
        </w:tc>
      </w:tr>
      <w:tr w:rsidR="00B3736B" w:rsidRPr="00B3736B" w14:paraId="37CE4E3B" w14:textId="77777777" w:rsidTr="00B3736B">
        <w:trPr>
          <w:gridAfter w:val="1"/>
          <w:wAfter w:w="5" w:type="pct"/>
          <w:jc w:val="center"/>
        </w:trPr>
        <w:tc>
          <w:tcPr>
            <w:tcW w:w="428" w:type="pct"/>
            <w:vMerge w:val="restart"/>
            <w:shd w:val="clear" w:color="auto" w:fill="auto"/>
            <w:vAlign w:val="center"/>
          </w:tcPr>
          <w:p w14:paraId="17FF7BF3" w14:textId="0AC2CBF9" w:rsidR="000332D5" w:rsidRPr="000332D5" w:rsidRDefault="000332D5" w:rsidP="00B3736B">
            <w:pPr>
              <w:pStyle w:val="13"/>
              <w:spacing w:line="240" w:lineRule="auto"/>
              <w:ind w:firstLineChars="0" w:firstLine="0"/>
              <w:jc w:val="center"/>
              <w:rPr>
                <w:b/>
                <w:bCs/>
                <w:sz w:val="21"/>
                <w:szCs w:val="21"/>
              </w:rPr>
            </w:pPr>
            <w:r w:rsidRPr="000332D5">
              <w:rPr>
                <w:rFonts w:hint="eastAsia"/>
                <w:b/>
                <w:bCs/>
                <w:sz w:val="21"/>
                <w:szCs w:val="21"/>
              </w:rPr>
              <w:t>项目实施机构</w:t>
            </w:r>
            <w:r w:rsidRPr="000332D5">
              <w:rPr>
                <w:b/>
                <w:bCs/>
                <w:sz w:val="21"/>
                <w:szCs w:val="21"/>
              </w:rPr>
              <w:br/>
            </w:r>
            <w:r w:rsidRPr="000332D5">
              <w:rPr>
                <w:rFonts w:hint="eastAsia"/>
                <w:b/>
                <w:bCs/>
                <w:sz w:val="21"/>
                <w:szCs w:val="21"/>
              </w:rPr>
              <w:t>绩效评价</w:t>
            </w:r>
            <w:r w:rsidRPr="000332D5">
              <w:rPr>
                <w:b/>
                <w:bCs/>
                <w:sz w:val="21"/>
                <w:szCs w:val="21"/>
              </w:rPr>
              <w:br/>
            </w:r>
            <w:r w:rsidRPr="000332D5">
              <w:rPr>
                <w:rFonts w:hint="eastAsia"/>
                <w:b/>
                <w:bCs/>
                <w:sz w:val="21"/>
                <w:szCs w:val="21"/>
              </w:rPr>
              <w:t>（</w:t>
            </w:r>
            <w:r w:rsidRPr="000332D5">
              <w:rPr>
                <w:b/>
                <w:bCs/>
                <w:sz w:val="21"/>
                <w:szCs w:val="21"/>
              </w:rPr>
              <w:t>100分）</w:t>
            </w:r>
          </w:p>
        </w:tc>
        <w:tc>
          <w:tcPr>
            <w:tcW w:w="606" w:type="pct"/>
            <w:vMerge w:val="restart"/>
            <w:shd w:val="clear" w:color="auto" w:fill="auto"/>
            <w:noWrap/>
            <w:vAlign w:val="center"/>
          </w:tcPr>
          <w:p w14:paraId="3F42D0CD" w14:textId="77777777" w:rsidR="000332D5" w:rsidRPr="000332D5" w:rsidRDefault="000332D5" w:rsidP="00B3736B">
            <w:pPr>
              <w:pStyle w:val="13"/>
              <w:spacing w:line="240" w:lineRule="auto"/>
              <w:ind w:firstLineChars="0" w:firstLine="0"/>
              <w:jc w:val="center"/>
              <w:rPr>
                <w:b/>
                <w:bCs/>
                <w:sz w:val="21"/>
                <w:szCs w:val="21"/>
              </w:rPr>
            </w:pPr>
            <w:r w:rsidRPr="000332D5">
              <w:rPr>
                <w:rFonts w:hint="eastAsia"/>
                <w:b/>
                <w:bCs/>
                <w:sz w:val="21"/>
                <w:szCs w:val="21"/>
              </w:rPr>
              <w:t>产出</w:t>
            </w:r>
          </w:p>
        </w:tc>
        <w:tc>
          <w:tcPr>
            <w:tcW w:w="670" w:type="pct"/>
            <w:shd w:val="clear" w:color="auto" w:fill="auto"/>
            <w:noWrap/>
            <w:vAlign w:val="center"/>
          </w:tcPr>
          <w:p w14:paraId="015112CE"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按效付费</w:t>
            </w:r>
          </w:p>
        </w:tc>
        <w:tc>
          <w:tcPr>
            <w:tcW w:w="2683" w:type="pct"/>
            <w:shd w:val="clear" w:color="auto" w:fill="auto"/>
            <w:vAlign w:val="center"/>
          </w:tcPr>
          <w:p w14:paraId="1E4B2382"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评价项目实施机构是否及时、充分按照</w:t>
            </w:r>
            <w:r w:rsidRPr="000332D5">
              <w:rPr>
                <w:sz w:val="21"/>
                <w:szCs w:val="21"/>
              </w:rPr>
              <w:t>PPP项目合同约定履行按效付费义务。</w:t>
            </w:r>
          </w:p>
        </w:tc>
        <w:tc>
          <w:tcPr>
            <w:tcW w:w="608" w:type="pct"/>
            <w:vMerge w:val="restart"/>
            <w:shd w:val="clear" w:color="auto" w:fill="auto"/>
            <w:vAlign w:val="center"/>
          </w:tcPr>
          <w:p w14:paraId="61954D96"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“物有所值”指标可结合中期评估等工作定期开展。</w:t>
            </w:r>
          </w:p>
        </w:tc>
      </w:tr>
      <w:tr w:rsidR="00B3736B" w:rsidRPr="00B3736B" w14:paraId="424E3A6F" w14:textId="77777777" w:rsidTr="00B3736B">
        <w:trPr>
          <w:gridAfter w:val="1"/>
          <w:wAfter w:w="5" w:type="pct"/>
          <w:jc w:val="center"/>
        </w:trPr>
        <w:tc>
          <w:tcPr>
            <w:tcW w:w="428" w:type="pct"/>
            <w:vMerge/>
            <w:vAlign w:val="center"/>
          </w:tcPr>
          <w:p w14:paraId="009C0601"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7C9EFC4C"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noWrap/>
            <w:vAlign w:val="center"/>
          </w:tcPr>
          <w:p w14:paraId="7A41E8B1" w14:textId="18916BD3"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其他履约</w:t>
            </w:r>
            <w:r w:rsidR="00B3736B">
              <w:rPr>
                <w:sz w:val="21"/>
                <w:szCs w:val="21"/>
              </w:rPr>
              <w:br/>
            </w:r>
            <w:r w:rsidRPr="000332D5">
              <w:rPr>
                <w:rFonts w:hint="eastAsia"/>
                <w:sz w:val="21"/>
                <w:szCs w:val="21"/>
              </w:rPr>
              <w:t>情况</w:t>
            </w:r>
          </w:p>
        </w:tc>
        <w:tc>
          <w:tcPr>
            <w:tcW w:w="2683" w:type="pct"/>
            <w:shd w:val="clear" w:color="auto" w:fill="auto"/>
            <w:vAlign w:val="center"/>
          </w:tcPr>
          <w:p w14:paraId="4D88C80F"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评价项目实施机构是否及时、有效履行</w:t>
            </w:r>
            <w:r w:rsidRPr="000332D5">
              <w:rPr>
                <w:sz w:val="21"/>
                <w:szCs w:val="21"/>
              </w:rPr>
              <w:t>PPP项目合同约定的其他义务。</w:t>
            </w:r>
          </w:p>
        </w:tc>
        <w:tc>
          <w:tcPr>
            <w:tcW w:w="608" w:type="pct"/>
            <w:vMerge/>
            <w:vAlign w:val="center"/>
          </w:tcPr>
          <w:p w14:paraId="136FC7BC" w14:textId="77777777" w:rsidR="000332D5" w:rsidRPr="000332D5" w:rsidRDefault="000332D5" w:rsidP="00B3736B">
            <w:pPr>
              <w:pStyle w:val="13"/>
              <w:spacing w:line="240" w:lineRule="auto"/>
              <w:ind w:firstLineChars="0" w:firstLine="0"/>
              <w:rPr>
                <w:sz w:val="21"/>
                <w:szCs w:val="21"/>
              </w:rPr>
            </w:pPr>
          </w:p>
        </w:tc>
      </w:tr>
      <w:tr w:rsidR="00B3736B" w:rsidRPr="00B3736B" w14:paraId="2504F5DD" w14:textId="77777777" w:rsidTr="00B3736B">
        <w:trPr>
          <w:gridAfter w:val="1"/>
          <w:wAfter w:w="5" w:type="pct"/>
          <w:jc w:val="center"/>
        </w:trPr>
        <w:tc>
          <w:tcPr>
            <w:tcW w:w="428" w:type="pct"/>
            <w:vMerge/>
            <w:vAlign w:val="center"/>
          </w:tcPr>
          <w:p w14:paraId="4E248492"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restart"/>
            <w:shd w:val="clear" w:color="auto" w:fill="auto"/>
            <w:noWrap/>
            <w:vAlign w:val="center"/>
          </w:tcPr>
          <w:p w14:paraId="69FEC37B" w14:textId="77777777" w:rsidR="000332D5" w:rsidRPr="000332D5" w:rsidRDefault="000332D5" w:rsidP="00B3736B">
            <w:pPr>
              <w:pStyle w:val="13"/>
              <w:spacing w:line="240" w:lineRule="auto"/>
              <w:ind w:firstLineChars="0" w:firstLine="0"/>
              <w:jc w:val="center"/>
              <w:rPr>
                <w:b/>
                <w:bCs/>
                <w:sz w:val="21"/>
                <w:szCs w:val="21"/>
              </w:rPr>
            </w:pPr>
            <w:r w:rsidRPr="000332D5">
              <w:rPr>
                <w:rFonts w:hint="eastAsia"/>
                <w:b/>
                <w:bCs/>
                <w:sz w:val="21"/>
                <w:szCs w:val="21"/>
              </w:rPr>
              <w:t>效果</w:t>
            </w:r>
          </w:p>
        </w:tc>
        <w:tc>
          <w:tcPr>
            <w:tcW w:w="670" w:type="pct"/>
            <w:shd w:val="clear" w:color="auto" w:fill="auto"/>
            <w:noWrap/>
            <w:vAlign w:val="center"/>
          </w:tcPr>
          <w:p w14:paraId="6D9E3BD8"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满意度</w:t>
            </w:r>
          </w:p>
        </w:tc>
        <w:tc>
          <w:tcPr>
            <w:tcW w:w="2683" w:type="pct"/>
            <w:shd w:val="clear" w:color="auto" w:fill="auto"/>
            <w:vAlign w:val="center"/>
          </w:tcPr>
          <w:p w14:paraId="6A6AB877"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社会公众、项目公司或社会资本对项目实施机构工作开展的满意程度。</w:t>
            </w:r>
          </w:p>
        </w:tc>
        <w:tc>
          <w:tcPr>
            <w:tcW w:w="608" w:type="pct"/>
            <w:vMerge/>
            <w:vAlign w:val="center"/>
          </w:tcPr>
          <w:p w14:paraId="1B3395C2" w14:textId="77777777" w:rsidR="000332D5" w:rsidRPr="000332D5" w:rsidRDefault="000332D5" w:rsidP="00B3736B">
            <w:pPr>
              <w:pStyle w:val="13"/>
              <w:spacing w:line="240" w:lineRule="auto"/>
              <w:ind w:firstLineChars="0" w:firstLine="0"/>
              <w:rPr>
                <w:sz w:val="21"/>
                <w:szCs w:val="21"/>
              </w:rPr>
            </w:pPr>
          </w:p>
        </w:tc>
      </w:tr>
      <w:tr w:rsidR="00B3736B" w:rsidRPr="00B3736B" w14:paraId="5ED934CF" w14:textId="77777777" w:rsidTr="00B3736B">
        <w:trPr>
          <w:gridAfter w:val="1"/>
          <w:wAfter w:w="5" w:type="pct"/>
          <w:jc w:val="center"/>
        </w:trPr>
        <w:tc>
          <w:tcPr>
            <w:tcW w:w="428" w:type="pct"/>
            <w:vMerge/>
            <w:vAlign w:val="center"/>
          </w:tcPr>
          <w:p w14:paraId="4A58F694"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51F856B1"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noWrap/>
            <w:vAlign w:val="center"/>
          </w:tcPr>
          <w:p w14:paraId="3F22B6B7"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可持续性</w:t>
            </w:r>
          </w:p>
        </w:tc>
        <w:tc>
          <w:tcPr>
            <w:tcW w:w="2683" w:type="pct"/>
            <w:shd w:val="clear" w:color="auto" w:fill="auto"/>
            <w:vAlign w:val="center"/>
          </w:tcPr>
          <w:p w14:paraId="31C87255"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评价项目实施机构是否为项目可持续性建立有效的工作保障和沟通协调机制。</w:t>
            </w:r>
          </w:p>
        </w:tc>
        <w:tc>
          <w:tcPr>
            <w:tcW w:w="608" w:type="pct"/>
            <w:vMerge/>
            <w:vAlign w:val="center"/>
          </w:tcPr>
          <w:p w14:paraId="71D6F746" w14:textId="77777777" w:rsidR="000332D5" w:rsidRPr="000332D5" w:rsidRDefault="000332D5" w:rsidP="00B3736B">
            <w:pPr>
              <w:pStyle w:val="13"/>
              <w:spacing w:line="240" w:lineRule="auto"/>
              <w:ind w:firstLineChars="0" w:firstLine="0"/>
              <w:rPr>
                <w:sz w:val="21"/>
                <w:szCs w:val="21"/>
              </w:rPr>
            </w:pPr>
          </w:p>
        </w:tc>
      </w:tr>
      <w:tr w:rsidR="00B3736B" w:rsidRPr="00B3736B" w14:paraId="6C14FF30" w14:textId="77777777" w:rsidTr="00B3736B">
        <w:trPr>
          <w:gridAfter w:val="1"/>
          <w:wAfter w:w="5" w:type="pct"/>
          <w:jc w:val="center"/>
        </w:trPr>
        <w:tc>
          <w:tcPr>
            <w:tcW w:w="428" w:type="pct"/>
            <w:vMerge/>
            <w:vAlign w:val="center"/>
          </w:tcPr>
          <w:p w14:paraId="4DCBD71E"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200885A6"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noWrap/>
            <w:vAlign w:val="center"/>
          </w:tcPr>
          <w:p w14:paraId="01FBEC6D"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物有所值</w:t>
            </w:r>
          </w:p>
        </w:tc>
        <w:tc>
          <w:tcPr>
            <w:tcW w:w="2683" w:type="pct"/>
            <w:shd w:val="clear" w:color="auto" w:fill="auto"/>
            <w:vAlign w:val="center"/>
          </w:tcPr>
          <w:p w14:paraId="38A9D123"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评价项目物有所值实现程度。</w:t>
            </w:r>
          </w:p>
        </w:tc>
        <w:tc>
          <w:tcPr>
            <w:tcW w:w="608" w:type="pct"/>
            <w:vMerge/>
            <w:vAlign w:val="center"/>
          </w:tcPr>
          <w:p w14:paraId="65C906C1" w14:textId="77777777" w:rsidR="000332D5" w:rsidRPr="000332D5" w:rsidRDefault="000332D5" w:rsidP="00B3736B">
            <w:pPr>
              <w:pStyle w:val="13"/>
              <w:spacing w:line="240" w:lineRule="auto"/>
              <w:ind w:firstLineChars="0" w:firstLine="0"/>
              <w:rPr>
                <w:sz w:val="21"/>
                <w:szCs w:val="21"/>
              </w:rPr>
            </w:pPr>
          </w:p>
        </w:tc>
      </w:tr>
      <w:tr w:rsidR="00B3736B" w:rsidRPr="00B3736B" w14:paraId="0F4E0273" w14:textId="77777777" w:rsidTr="00B3736B">
        <w:trPr>
          <w:gridAfter w:val="1"/>
          <w:wAfter w:w="5" w:type="pct"/>
          <w:jc w:val="center"/>
        </w:trPr>
        <w:tc>
          <w:tcPr>
            <w:tcW w:w="428" w:type="pct"/>
            <w:vMerge/>
            <w:vAlign w:val="center"/>
          </w:tcPr>
          <w:p w14:paraId="7C8ED5E9"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restart"/>
            <w:shd w:val="clear" w:color="auto" w:fill="auto"/>
            <w:noWrap/>
            <w:vAlign w:val="center"/>
          </w:tcPr>
          <w:p w14:paraId="0EB1470E" w14:textId="77777777" w:rsidR="000332D5" w:rsidRPr="000332D5" w:rsidRDefault="000332D5" w:rsidP="00B3736B">
            <w:pPr>
              <w:pStyle w:val="13"/>
              <w:spacing w:line="240" w:lineRule="auto"/>
              <w:ind w:firstLineChars="0" w:firstLine="0"/>
              <w:jc w:val="center"/>
              <w:rPr>
                <w:b/>
                <w:bCs/>
                <w:sz w:val="21"/>
                <w:szCs w:val="21"/>
              </w:rPr>
            </w:pPr>
            <w:r w:rsidRPr="000332D5">
              <w:rPr>
                <w:rFonts w:hint="eastAsia"/>
                <w:b/>
                <w:bCs/>
                <w:sz w:val="21"/>
                <w:szCs w:val="21"/>
              </w:rPr>
              <w:t>管理</w:t>
            </w:r>
          </w:p>
        </w:tc>
        <w:tc>
          <w:tcPr>
            <w:tcW w:w="670" w:type="pct"/>
            <w:shd w:val="clear" w:color="auto" w:fill="auto"/>
            <w:noWrap/>
            <w:vAlign w:val="center"/>
          </w:tcPr>
          <w:p w14:paraId="41FF9DDB"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预算编制</w:t>
            </w:r>
          </w:p>
        </w:tc>
        <w:tc>
          <w:tcPr>
            <w:tcW w:w="2683" w:type="pct"/>
            <w:shd w:val="clear" w:color="auto" w:fill="auto"/>
            <w:vAlign w:val="center"/>
          </w:tcPr>
          <w:p w14:paraId="0657B620"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评价项目实施机构是否及时、准确将</w:t>
            </w:r>
            <w:r w:rsidRPr="000332D5">
              <w:rPr>
                <w:sz w:val="21"/>
                <w:szCs w:val="21"/>
              </w:rPr>
              <w:t>PPP项目支出责任纳入年度预算。</w:t>
            </w:r>
          </w:p>
        </w:tc>
        <w:tc>
          <w:tcPr>
            <w:tcW w:w="608" w:type="pct"/>
            <w:vMerge/>
            <w:vAlign w:val="center"/>
          </w:tcPr>
          <w:p w14:paraId="6DF29BC0" w14:textId="77777777" w:rsidR="000332D5" w:rsidRPr="000332D5" w:rsidRDefault="000332D5" w:rsidP="00B3736B">
            <w:pPr>
              <w:pStyle w:val="13"/>
              <w:spacing w:line="240" w:lineRule="auto"/>
              <w:ind w:firstLineChars="0" w:firstLine="0"/>
              <w:rPr>
                <w:sz w:val="21"/>
                <w:szCs w:val="21"/>
              </w:rPr>
            </w:pPr>
          </w:p>
        </w:tc>
      </w:tr>
      <w:tr w:rsidR="00B3736B" w:rsidRPr="00B3736B" w14:paraId="1B7E57D1" w14:textId="77777777" w:rsidTr="00B3736B">
        <w:trPr>
          <w:gridAfter w:val="1"/>
          <w:wAfter w:w="5" w:type="pct"/>
          <w:jc w:val="center"/>
        </w:trPr>
        <w:tc>
          <w:tcPr>
            <w:tcW w:w="428" w:type="pct"/>
            <w:vMerge/>
            <w:vAlign w:val="center"/>
          </w:tcPr>
          <w:p w14:paraId="3EC0A642"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7FB6F974"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vAlign w:val="center"/>
          </w:tcPr>
          <w:p w14:paraId="298CE249" w14:textId="1DE24CB4"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绩效目标</w:t>
            </w:r>
            <w:r w:rsidR="00B3736B">
              <w:rPr>
                <w:sz w:val="21"/>
                <w:szCs w:val="21"/>
              </w:rPr>
              <w:br/>
            </w:r>
            <w:r w:rsidRPr="000332D5">
              <w:rPr>
                <w:rFonts w:hint="eastAsia"/>
                <w:sz w:val="21"/>
                <w:szCs w:val="21"/>
              </w:rPr>
              <w:t>与指标</w:t>
            </w:r>
          </w:p>
        </w:tc>
        <w:tc>
          <w:tcPr>
            <w:tcW w:w="2683" w:type="pct"/>
            <w:shd w:val="clear" w:color="000000" w:fill="FFFFFF"/>
            <w:vAlign w:val="center"/>
          </w:tcPr>
          <w:p w14:paraId="1CD1C9D6"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评价项目实施机构是否编制合理、明确的年度绩效目标和绩效指标。</w:t>
            </w:r>
          </w:p>
        </w:tc>
        <w:tc>
          <w:tcPr>
            <w:tcW w:w="608" w:type="pct"/>
            <w:vMerge/>
            <w:vAlign w:val="center"/>
          </w:tcPr>
          <w:p w14:paraId="3738DCE0" w14:textId="77777777" w:rsidR="000332D5" w:rsidRPr="000332D5" w:rsidRDefault="000332D5" w:rsidP="00B3736B">
            <w:pPr>
              <w:pStyle w:val="13"/>
              <w:spacing w:line="240" w:lineRule="auto"/>
              <w:ind w:firstLineChars="0" w:firstLine="0"/>
              <w:rPr>
                <w:sz w:val="21"/>
                <w:szCs w:val="21"/>
              </w:rPr>
            </w:pPr>
          </w:p>
        </w:tc>
      </w:tr>
      <w:tr w:rsidR="00B3736B" w:rsidRPr="00B3736B" w14:paraId="7E3F3DD9" w14:textId="77777777" w:rsidTr="00B3736B">
        <w:trPr>
          <w:gridAfter w:val="1"/>
          <w:wAfter w:w="5" w:type="pct"/>
          <w:jc w:val="center"/>
        </w:trPr>
        <w:tc>
          <w:tcPr>
            <w:tcW w:w="428" w:type="pct"/>
            <w:vMerge/>
            <w:vAlign w:val="center"/>
          </w:tcPr>
          <w:p w14:paraId="58FBA99E"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49A6F12F"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000000" w:fill="FFFFFF"/>
            <w:vAlign w:val="center"/>
          </w:tcPr>
          <w:p w14:paraId="247F694C"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监督管理</w:t>
            </w:r>
          </w:p>
        </w:tc>
        <w:tc>
          <w:tcPr>
            <w:tcW w:w="2683" w:type="pct"/>
            <w:shd w:val="clear" w:color="000000" w:fill="FFFFFF"/>
            <w:vAlign w:val="center"/>
          </w:tcPr>
          <w:p w14:paraId="46F75E8D"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评价项目实施机构是否按照</w:t>
            </w:r>
            <w:r w:rsidRPr="000332D5">
              <w:rPr>
                <w:sz w:val="21"/>
                <w:szCs w:val="21"/>
              </w:rPr>
              <w:t>PPP项目合同约定履行监督管理职能，如质量监督、财务监督及日常管理等。</w:t>
            </w:r>
          </w:p>
        </w:tc>
        <w:tc>
          <w:tcPr>
            <w:tcW w:w="608" w:type="pct"/>
            <w:vMerge/>
            <w:vAlign w:val="center"/>
          </w:tcPr>
          <w:p w14:paraId="1AF32E2D" w14:textId="77777777" w:rsidR="000332D5" w:rsidRPr="000332D5" w:rsidRDefault="000332D5" w:rsidP="00B3736B">
            <w:pPr>
              <w:pStyle w:val="13"/>
              <w:spacing w:line="240" w:lineRule="auto"/>
              <w:ind w:firstLineChars="0" w:firstLine="0"/>
              <w:rPr>
                <w:sz w:val="21"/>
                <w:szCs w:val="21"/>
              </w:rPr>
            </w:pPr>
          </w:p>
        </w:tc>
      </w:tr>
      <w:tr w:rsidR="00B3736B" w:rsidRPr="00B3736B" w14:paraId="7ECD0942" w14:textId="77777777" w:rsidTr="00B3736B">
        <w:trPr>
          <w:gridAfter w:val="1"/>
          <w:wAfter w:w="5" w:type="pct"/>
          <w:jc w:val="center"/>
        </w:trPr>
        <w:tc>
          <w:tcPr>
            <w:tcW w:w="428" w:type="pct"/>
            <w:vMerge/>
            <w:vAlign w:val="center"/>
          </w:tcPr>
          <w:p w14:paraId="5B34B54D" w14:textId="77777777" w:rsidR="000332D5" w:rsidRPr="000332D5" w:rsidRDefault="000332D5" w:rsidP="00B3736B">
            <w:pPr>
              <w:pStyle w:val="13"/>
              <w:spacing w:line="240" w:lineRule="auto"/>
              <w:ind w:firstLineChars="0" w:firstLine="0"/>
              <w:jc w:val="center"/>
              <w:rPr>
                <w:b/>
                <w:bCs/>
                <w:sz w:val="21"/>
                <w:szCs w:val="21"/>
              </w:rPr>
            </w:pPr>
          </w:p>
        </w:tc>
        <w:tc>
          <w:tcPr>
            <w:tcW w:w="606" w:type="pct"/>
            <w:vMerge/>
            <w:vAlign w:val="center"/>
          </w:tcPr>
          <w:p w14:paraId="101C3466" w14:textId="77777777" w:rsidR="000332D5" w:rsidRPr="000332D5" w:rsidRDefault="000332D5" w:rsidP="00B3736B">
            <w:pPr>
              <w:pStyle w:val="13"/>
              <w:spacing w:line="240" w:lineRule="auto"/>
              <w:ind w:firstLineChars="0" w:firstLine="0"/>
              <w:jc w:val="center"/>
              <w:rPr>
                <w:b/>
                <w:bCs/>
                <w:sz w:val="21"/>
                <w:szCs w:val="21"/>
              </w:rPr>
            </w:pPr>
          </w:p>
        </w:tc>
        <w:tc>
          <w:tcPr>
            <w:tcW w:w="670" w:type="pct"/>
            <w:shd w:val="clear" w:color="auto" w:fill="auto"/>
            <w:noWrap/>
            <w:vAlign w:val="center"/>
          </w:tcPr>
          <w:p w14:paraId="2512F656" w14:textId="77777777" w:rsidR="000332D5" w:rsidRPr="000332D5" w:rsidRDefault="000332D5" w:rsidP="00B3736B">
            <w:pPr>
              <w:pStyle w:val="13"/>
              <w:spacing w:line="240" w:lineRule="auto"/>
              <w:ind w:firstLineChars="0" w:firstLine="0"/>
              <w:jc w:val="center"/>
              <w:rPr>
                <w:sz w:val="21"/>
                <w:szCs w:val="21"/>
              </w:rPr>
            </w:pPr>
            <w:r w:rsidRPr="000332D5">
              <w:rPr>
                <w:rFonts w:hint="eastAsia"/>
                <w:sz w:val="21"/>
                <w:szCs w:val="21"/>
              </w:rPr>
              <w:t>信息公开</w:t>
            </w:r>
          </w:p>
        </w:tc>
        <w:tc>
          <w:tcPr>
            <w:tcW w:w="2683" w:type="pct"/>
            <w:shd w:val="clear" w:color="auto" w:fill="auto"/>
            <w:vAlign w:val="center"/>
          </w:tcPr>
          <w:p w14:paraId="63810D71"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评价项目实施机构是否按照信息公开相关要求及时、准确公开信息。</w:t>
            </w:r>
          </w:p>
        </w:tc>
        <w:tc>
          <w:tcPr>
            <w:tcW w:w="608" w:type="pct"/>
            <w:vMerge/>
            <w:vAlign w:val="center"/>
          </w:tcPr>
          <w:p w14:paraId="68ED9DD6" w14:textId="77777777" w:rsidR="000332D5" w:rsidRPr="000332D5" w:rsidRDefault="000332D5" w:rsidP="00B3736B">
            <w:pPr>
              <w:pStyle w:val="13"/>
              <w:spacing w:line="240" w:lineRule="auto"/>
              <w:ind w:firstLineChars="0" w:firstLine="0"/>
              <w:rPr>
                <w:sz w:val="21"/>
                <w:szCs w:val="21"/>
              </w:rPr>
            </w:pPr>
          </w:p>
        </w:tc>
      </w:tr>
      <w:tr w:rsidR="000332D5" w:rsidRPr="000332D5" w14:paraId="7D67C0D5" w14:textId="77777777" w:rsidTr="00B3736B">
        <w:trPr>
          <w:jc w:val="center"/>
        </w:trPr>
        <w:tc>
          <w:tcPr>
            <w:tcW w:w="5000" w:type="pct"/>
            <w:gridSpan w:val="6"/>
            <w:tcBorders>
              <w:top w:val="nil"/>
              <w:left w:val="nil"/>
              <w:bottom w:val="nil"/>
              <w:right w:val="nil"/>
            </w:tcBorders>
            <w:shd w:val="clear" w:color="auto" w:fill="auto"/>
            <w:noWrap/>
            <w:vAlign w:val="center"/>
          </w:tcPr>
          <w:p w14:paraId="1AE9261C" w14:textId="77777777" w:rsidR="000332D5" w:rsidRPr="000332D5" w:rsidRDefault="000332D5" w:rsidP="00B3736B">
            <w:pPr>
              <w:pStyle w:val="13"/>
              <w:spacing w:line="240" w:lineRule="auto"/>
              <w:ind w:firstLineChars="0" w:firstLine="0"/>
              <w:rPr>
                <w:sz w:val="21"/>
                <w:szCs w:val="21"/>
              </w:rPr>
            </w:pPr>
            <w:r w:rsidRPr="000332D5">
              <w:rPr>
                <w:rFonts w:hint="eastAsia"/>
                <w:sz w:val="21"/>
                <w:szCs w:val="21"/>
              </w:rPr>
              <w:t>备注：应根据项目行业特点与实际情况等适当调整二级指标，细化形成三级指标。</w:t>
            </w:r>
          </w:p>
        </w:tc>
      </w:tr>
    </w:tbl>
    <w:p w14:paraId="17ADA16A" w14:textId="7B160B90" w:rsidR="0090701D" w:rsidRPr="000332D5" w:rsidRDefault="0090701D" w:rsidP="00882ED4">
      <w:pPr>
        <w:pStyle w:val="13"/>
      </w:pPr>
    </w:p>
    <w:p w14:paraId="1AA04D35" w14:textId="4DC8C0C6" w:rsidR="0047435F" w:rsidRDefault="00FB3A5B" w:rsidP="00FB3A5B">
      <w:pPr>
        <w:pStyle w:val="21"/>
        <w:spacing w:before="156" w:after="93"/>
      </w:pPr>
      <w:bookmarkStart w:id="104" w:name="_Toc81833367"/>
      <w:r>
        <w:rPr>
          <w:rFonts w:hint="eastAsia"/>
        </w:rPr>
        <w:lastRenderedPageBreak/>
        <w:t>地方协会发布文件</w:t>
      </w:r>
      <w:bookmarkEnd w:id="104"/>
    </w:p>
    <w:p w14:paraId="3625FB90" w14:textId="08E54447" w:rsidR="0047435F" w:rsidRDefault="00FB3A5B" w:rsidP="00FB3A5B">
      <w:pPr>
        <w:pStyle w:val="31"/>
        <w:spacing w:before="156" w:after="62"/>
      </w:pPr>
      <w:bookmarkStart w:id="105" w:name="_Toc81833368"/>
      <w:r w:rsidRPr="00FB3A5B">
        <w:rPr>
          <w:rFonts w:hint="eastAsia"/>
        </w:rPr>
        <w:t>北京资产评估协会中小评估机构技术援助专家委员会专家提示第</w:t>
      </w:r>
      <w:r w:rsidRPr="00FB3A5B">
        <w:t>1号</w:t>
      </w:r>
      <w:r>
        <w:br/>
      </w:r>
      <w:r w:rsidRPr="00FB3A5B">
        <w:t>—法院委托评估项目</w:t>
      </w:r>
      <w:bookmarkEnd w:id="105"/>
    </w:p>
    <w:p w14:paraId="7CA38962" w14:textId="77777777" w:rsidR="007F2E94" w:rsidRDefault="007F2E94" w:rsidP="007F2E94">
      <w:pPr>
        <w:pStyle w:val="13"/>
      </w:pPr>
      <w:r>
        <w:rPr>
          <w:rFonts w:hint="eastAsia"/>
        </w:rPr>
        <w:t>近年来，北京地区司法评估业务发展较快，法院委托评估项目日益增长。为有效提高此类业务执业质量，降低执业风险，特提出以下提示建议。</w:t>
      </w:r>
    </w:p>
    <w:p w14:paraId="28DA7122" w14:textId="4F5728C1" w:rsidR="007F2E94" w:rsidRDefault="007F2E94" w:rsidP="007F2E94">
      <w:pPr>
        <w:pStyle w:val="13"/>
      </w:pPr>
      <w:r>
        <w:t>特别说明：本</w:t>
      </w:r>
      <w:proofErr w:type="gramStart"/>
      <w:r>
        <w:t>提示仅</w:t>
      </w:r>
      <w:proofErr w:type="gramEnd"/>
      <w:r>
        <w:t>供评估机构及相关业务人员在执行此类业务时参考，不能替代相关法律法规、资产评估准则以及注册资产评估师个人的职业判断。提示中所涉及的相关事项，评估机构在执业中应结合项目具体情况、资产评估准则以及注册资产评估师的职业判断确定，不应简单照搬照抄。</w:t>
      </w:r>
    </w:p>
    <w:p w14:paraId="41D3D3B7" w14:textId="55216864" w:rsidR="007F2E94" w:rsidRDefault="007F2E94" w:rsidP="007F2E94">
      <w:pPr>
        <w:pStyle w:val="ab"/>
        <w:spacing w:before="62" w:after="62"/>
        <w:ind w:firstLine="482"/>
      </w:pPr>
      <w:r>
        <w:t>一、充分关注独立性</w:t>
      </w:r>
    </w:p>
    <w:p w14:paraId="766DED77" w14:textId="616DFE75" w:rsidR="007F2E94" w:rsidRDefault="007F2E94" w:rsidP="007F2E94">
      <w:pPr>
        <w:pStyle w:val="13"/>
      </w:pPr>
      <w:r>
        <w:t>由于目前北京地区法院委托评估项目基本采取摇号制度，使得委托方无法在事前对评估机构独立性进行鉴别。评估机构在摇号中签后，应当根据《资产评估职业道德准则——独立性》等要求，对评估机构及执行业务的评估人员独立性进行审核。如存在评估机构、评估人员或者其亲属与相关当事方之间存在经济利益关联、人员关联或者业务关联等影响独立性的情形，应当向委托方申明，并按照相关准则处理。</w:t>
      </w:r>
    </w:p>
    <w:p w14:paraId="723BF433" w14:textId="53C7B17C" w:rsidR="007F2E94" w:rsidRDefault="007F2E94" w:rsidP="007F2E94">
      <w:pPr>
        <w:pStyle w:val="ab"/>
        <w:spacing w:before="62" w:after="62"/>
        <w:ind w:firstLine="482"/>
      </w:pPr>
      <w:r>
        <w:t>二、充分关注专业胜任能力</w:t>
      </w:r>
    </w:p>
    <w:p w14:paraId="0114400B" w14:textId="2EF0B9DD" w:rsidR="007F2E94" w:rsidRDefault="007F2E94" w:rsidP="007F2E94">
      <w:pPr>
        <w:pStyle w:val="13"/>
      </w:pPr>
      <w:r>
        <w:t>同样由于摇号制度，使得委托方无法在事前对评估机构专业胜任能力进行鉴别。评估机构在摇号中签后，应当根据相关资产评估准则和评估标的具体情况，合理判断评估机构及执行业务的注册资产评估师是否具备与项目匹配的专业胜任能力。如果发现专业胜任能力存在问题，应当及时向委托方申明，要求委托方另行委托评估机构，或采取其他必要措施予以补救。如果由于评估标的较为特殊，评估机构及执行业务的评估师在履行必要程序之后，仍无法获得相关资料、信息，应当及时与委托方沟通，请求其另行委托或调整评估范围。</w:t>
      </w:r>
    </w:p>
    <w:p w14:paraId="00E98EB0" w14:textId="515F510F" w:rsidR="007F2E94" w:rsidRDefault="007F2E94" w:rsidP="007F2E94">
      <w:pPr>
        <w:pStyle w:val="ab"/>
        <w:spacing w:before="62" w:after="62"/>
        <w:ind w:firstLine="482"/>
      </w:pPr>
      <w:r>
        <w:t>三、加强与委托方及相关当事人的沟通</w:t>
      </w:r>
    </w:p>
    <w:p w14:paraId="1B139B41" w14:textId="4F1739A5" w:rsidR="007F2E94" w:rsidRDefault="007F2E94" w:rsidP="007F2E94">
      <w:pPr>
        <w:pStyle w:val="13"/>
      </w:pPr>
      <w:r>
        <w:t>北京地区法院委托项目通常进行集中委托，但涉案项目可能分布在各级别、各区域法院。在评估过程中，评估机构及执行业务的评估人员可能需要分别或同时与审判法官、执行法院进行沟通，个别情况下还有可能与办案机关和办案人员、资产扣押部门和管理人员进行沟通。评估机构及执行业务的评估</w:t>
      </w:r>
      <w:proofErr w:type="gramStart"/>
      <w:r>
        <w:t>师应当</w:t>
      </w:r>
      <w:proofErr w:type="gramEnd"/>
      <w:r>
        <w:t>加强与委托方及相关当事人的沟通，并与委托</w:t>
      </w:r>
      <w:proofErr w:type="gramStart"/>
      <w:r>
        <w:t>方明确</w:t>
      </w:r>
      <w:proofErr w:type="gramEnd"/>
      <w:r>
        <w:t>协调人。通常情况下，委托方会明确执行法官为协调人。</w:t>
      </w:r>
    </w:p>
    <w:p w14:paraId="5A37DD1F" w14:textId="77777777" w:rsidR="007F2E94" w:rsidRDefault="007F2E94" w:rsidP="007F2E94">
      <w:pPr>
        <w:pStyle w:val="13"/>
      </w:pPr>
      <w:r>
        <w:rPr>
          <w:rFonts w:hint="eastAsia"/>
        </w:rPr>
        <w:t>如果发现判案法官、执行法官、办案人员、资产扣押管理人员之间存在职责不明、冲突或不一致意见时，应当及时与协调人沟通，请求其予以协调，履行委托方的义务。</w:t>
      </w:r>
    </w:p>
    <w:p w14:paraId="2C2ACAE9" w14:textId="18ADA9F1" w:rsidR="007F2E94" w:rsidRDefault="007F2E94" w:rsidP="007F2E94">
      <w:pPr>
        <w:pStyle w:val="ab"/>
        <w:spacing w:before="62" w:after="62"/>
        <w:ind w:firstLine="482"/>
      </w:pPr>
      <w:r>
        <w:lastRenderedPageBreak/>
        <w:t>四、谨慎与涉案当事人进行沟通</w:t>
      </w:r>
    </w:p>
    <w:p w14:paraId="00B72A4F" w14:textId="440EF8F7" w:rsidR="007F2E94" w:rsidRDefault="007F2E94" w:rsidP="007F2E94">
      <w:pPr>
        <w:pStyle w:val="13"/>
      </w:pPr>
      <w:r>
        <w:t>由于评估结果可能会影响涉案当事人利益，评估机构及执行业务的评估</w:t>
      </w:r>
      <w:proofErr w:type="gramStart"/>
      <w:r>
        <w:t>师应当</w:t>
      </w:r>
      <w:proofErr w:type="gramEnd"/>
      <w:r>
        <w:t>谨慎与原告、被告等涉案当事人进行沟通。如果确需与涉案当事人进行沟通，应当征得协调人的同意，由两名以上执业评估人员进行沟通，并详细记录沟通内容。</w:t>
      </w:r>
    </w:p>
    <w:p w14:paraId="0DDECE20" w14:textId="5F56A7A2" w:rsidR="007F2E94" w:rsidRDefault="007F2E94" w:rsidP="007F2E94">
      <w:pPr>
        <w:pStyle w:val="ab"/>
        <w:spacing w:before="62" w:after="62"/>
        <w:ind w:firstLine="482"/>
      </w:pPr>
      <w:r>
        <w:t>五、提请委托</w:t>
      </w:r>
      <w:proofErr w:type="gramStart"/>
      <w:r>
        <w:t>方明确</w:t>
      </w:r>
      <w:proofErr w:type="gramEnd"/>
      <w:r>
        <w:t>评估基准日</w:t>
      </w:r>
    </w:p>
    <w:p w14:paraId="379668A9" w14:textId="71E350DC" w:rsidR="007F2E94" w:rsidRDefault="007F2E94" w:rsidP="007F2E94">
      <w:pPr>
        <w:pStyle w:val="13"/>
      </w:pPr>
      <w:r>
        <w:t>通常法院委托评估项目时未能明确评估基准日，而委托方及相关当事人对评估基准日的概念、选择原则等缺乏了解。评估机构及执行业务的评估</w:t>
      </w:r>
      <w:proofErr w:type="gramStart"/>
      <w:r>
        <w:t>师应当</w:t>
      </w:r>
      <w:proofErr w:type="gramEnd"/>
      <w:r>
        <w:t>提请委托方或协调人根据具体案件情况明确评估基准日。如果委托方或协调人要求评估机构确定评估基准日，评估机构及执行业务的评估</w:t>
      </w:r>
      <w:proofErr w:type="gramStart"/>
      <w:r>
        <w:t>师应当</w:t>
      </w:r>
      <w:proofErr w:type="gramEnd"/>
      <w:r>
        <w:t>告知此为委托方应当决定的要素，评估机构不得代为确定。通常评估基准日可能选择资产勘查日，也可能是侵权发生日或其他案件涉及行为特定日期。</w:t>
      </w:r>
    </w:p>
    <w:p w14:paraId="2039E1DE" w14:textId="0395F1ED" w:rsidR="007F2E94" w:rsidRDefault="007F2E94" w:rsidP="007F2E94">
      <w:pPr>
        <w:pStyle w:val="ab"/>
        <w:spacing w:before="62" w:after="62"/>
        <w:ind w:firstLine="482"/>
      </w:pPr>
      <w:r>
        <w:t>六、重视利用专家工作</w:t>
      </w:r>
    </w:p>
    <w:p w14:paraId="679AC1EF" w14:textId="4EB6D653" w:rsidR="007F2E94" w:rsidRDefault="007F2E94" w:rsidP="007F2E94">
      <w:pPr>
        <w:pStyle w:val="13"/>
      </w:pPr>
      <w:r>
        <w:t>由于法院委托评估项目涉及资产类型较多，对某些特殊资产真伪、质量等状况进行判断超出评估机构通常具有的能力，评估机构及执行业务的评估</w:t>
      </w:r>
      <w:proofErr w:type="gramStart"/>
      <w:r>
        <w:t>师应当</w:t>
      </w:r>
      <w:proofErr w:type="gramEnd"/>
      <w:r>
        <w:t>与委托方进行沟通，要求聘请相关专业人员进行鉴定、判断，并在此基础上进行评估。如果委托方不接受此种要求，评估机构及执行业务的评估</w:t>
      </w:r>
      <w:proofErr w:type="gramStart"/>
      <w:r>
        <w:t>师应当</w:t>
      </w:r>
      <w:proofErr w:type="gramEnd"/>
      <w:r>
        <w:t>对该等资产真伪、质量等状况进行假设，并将该假设及其对评估结论的影响在评估报告中予以充分披露。</w:t>
      </w:r>
    </w:p>
    <w:p w14:paraId="370EE82F" w14:textId="697B6FF7" w:rsidR="007F2E94" w:rsidRDefault="007F2E94" w:rsidP="007F2E94">
      <w:pPr>
        <w:pStyle w:val="ab"/>
        <w:spacing w:before="62" w:after="62"/>
        <w:ind w:firstLine="482"/>
      </w:pPr>
      <w:r>
        <w:t>七、做好现场勘查工作</w:t>
      </w:r>
    </w:p>
    <w:p w14:paraId="51EE1E4D" w14:textId="6FCE2566" w:rsidR="007F2E94" w:rsidRDefault="007F2E94" w:rsidP="007F2E94">
      <w:pPr>
        <w:pStyle w:val="13"/>
      </w:pPr>
      <w:r>
        <w:t>评估机构及执行业务的评估</w:t>
      </w:r>
      <w:proofErr w:type="gramStart"/>
      <w:r>
        <w:t>师应当</w:t>
      </w:r>
      <w:proofErr w:type="gramEnd"/>
      <w:r>
        <w:t>对法院委托评估项目的标的进行现场勘查。如果出现对现场勘查工作的限制，评估机构及执行业务的评估</w:t>
      </w:r>
      <w:proofErr w:type="gramStart"/>
      <w:r>
        <w:t>师应当</w:t>
      </w:r>
      <w:proofErr w:type="gramEnd"/>
      <w:r>
        <w:t>与委托方进行沟通，要求委托方协调相关当事人或涉案当事人排除妨害、予以充分配合。评估机构及执行业务的评估</w:t>
      </w:r>
      <w:proofErr w:type="gramStart"/>
      <w:r>
        <w:t>师应当</w:t>
      </w:r>
      <w:proofErr w:type="gramEnd"/>
      <w:r>
        <w:t>对现场勘查中存在的瑕疵事项，如不能充分检查、观察、由于扣押时间</w:t>
      </w:r>
      <w:proofErr w:type="gramStart"/>
      <w:r>
        <w:t>长导致</w:t>
      </w:r>
      <w:proofErr w:type="gramEnd"/>
      <w:r>
        <w:t>无法正常检查等，予以充分披露，并关注其对评估结论合理性的影响。如果确因特殊原因，无法对评估标的进行现场勘查，评估机构及执行业务的评估</w:t>
      </w:r>
      <w:proofErr w:type="gramStart"/>
      <w:r>
        <w:t>师应当</w:t>
      </w:r>
      <w:proofErr w:type="gramEnd"/>
      <w:r>
        <w:t>与委托方进行沟通，征得委托方同意并在评估报告中予以充分披露。</w:t>
      </w:r>
    </w:p>
    <w:p w14:paraId="370D57E6" w14:textId="08D51954" w:rsidR="007F2E94" w:rsidRDefault="007F2E94" w:rsidP="007F2E94">
      <w:pPr>
        <w:pStyle w:val="ab"/>
        <w:spacing w:before="62" w:after="62"/>
        <w:ind w:firstLine="482"/>
      </w:pPr>
      <w:r>
        <w:t>八、重视并合理处理评估受限事项</w:t>
      </w:r>
    </w:p>
    <w:p w14:paraId="15F1E9ED" w14:textId="6D3FC39C" w:rsidR="007F2E94" w:rsidRDefault="007F2E94" w:rsidP="007F2E94">
      <w:pPr>
        <w:pStyle w:val="13"/>
      </w:pPr>
      <w:r>
        <w:t>由于法院委托评估项目的特殊性，评估过程中通常会出现评估程序的限制。评估机构及执行业务的评估</w:t>
      </w:r>
      <w:proofErr w:type="gramStart"/>
      <w:r>
        <w:t>师应当</w:t>
      </w:r>
      <w:proofErr w:type="gramEnd"/>
      <w:r>
        <w:t>高度关注对评估程序的限制及其对评估结论合理性的影响，并在评估报告中予以充分披露。如果因评估受限影响评估结论的合理性，评估机构及执行业务的评估</w:t>
      </w:r>
      <w:proofErr w:type="gramStart"/>
      <w:r>
        <w:t>师应当</w:t>
      </w:r>
      <w:proofErr w:type="gramEnd"/>
      <w:r>
        <w:t>与委托方进行沟通，必要时可提请委托方终止评估委托。</w:t>
      </w:r>
    </w:p>
    <w:p w14:paraId="7CA7D4A1" w14:textId="5F9CEF0A" w:rsidR="007F2E94" w:rsidRDefault="007F2E94" w:rsidP="007F2E94">
      <w:pPr>
        <w:pStyle w:val="ab"/>
        <w:spacing w:before="62" w:after="62"/>
        <w:ind w:firstLine="482"/>
      </w:pPr>
      <w:r>
        <w:lastRenderedPageBreak/>
        <w:t>九、重视评估披露</w:t>
      </w:r>
    </w:p>
    <w:p w14:paraId="64E1A029" w14:textId="24FD4A85" w:rsidR="0047435F" w:rsidRPr="007F2E94" w:rsidRDefault="007F2E94" w:rsidP="007F2E94">
      <w:pPr>
        <w:pStyle w:val="13"/>
      </w:pPr>
      <w:r>
        <w:t>由于法院委托评估项目的特殊性，评估机构及执行业务的评估</w:t>
      </w:r>
      <w:proofErr w:type="gramStart"/>
      <w:r>
        <w:t>师应当</w:t>
      </w:r>
      <w:proofErr w:type="gramEnd"/>
      <w:r>
        <w:t>重视在评估报告中对评估基本要素、评估受限情况、评估替代措施、评估重大假设及其他认为应当披露的事项予以充分披露，引导委托方合理使用评估报告。</w:t>
      </w:r>
    </w:p>
    <w:p w14:paraId="6B578079" w14:textId="58AFB6F5" w:rsidR="0047435F" w:rsidRDefault="007F2E94" w:rsidP="007F2E94">
      <w:pPr>
        <w:pStyle w:val="31"/>
        <w:spacing w:before="156" w:after="62"/>
      </w:pPr>
      <w:bookmarkStart w:id="106" w:name="_Toc81833369"/>
      <w:r w:rsidRPr="007F2E94">
        <w:rPr>
          <w:rFonts w:hint="eastAsia"/>
        </w:rPr>
        <w:t>北京资产评估协会中小评估机构技术援助专家委员会专家提示第</w:t>
      </w:r>
      <w:r w:rsidRPr="007F2E94">
        <w:t>2号</w:t>
      </w:r>
      <w:r>
        <w:br/>
      </w:r>
      <w:r w:rsidRPr="007F2E94">
        <w:t>—折现率选取</w:t>
      </w:r>
      <w:bookmarkEnd w:id="106"/>
    </w:p>
    <w:p w14:paraId="49432CDB" w14:textId="77777777" w:rsidR="007F2E94" w:rsidRDefault="007F2E94" w:rsidP="007F2E94">
      <w:pPr>
        <w:pStyle w:val="13"/>
      </w:pPr>
      <w:r>
        <w:rPr>
          <w:rFonts w:hint="eastAsia"/>
        </w:rPr>
        <w:t>收益法已成为企业价值评估中的主要方法，折现率是收益法的重要参数，折现率的微小变化可能引起评估结论的重大变化。为有效提高此类评估业务的执业质量，降低注册资产评估师执业风险，使评估报告使用者理解折现率选取的合理性，特提出以下提示建议。</w:t>
      </w:r>
    </w:p>
    <w:p w14:paraId="311CA527" w14:textId="17CD07C9" w:rsidR="007F2E94" w:rsidRDefault="007F2E94" w:rsidP="007F2E94">
      <w:pPr>
        <w:pStyle w:val="13"/>
      </w:pPr>
      <w:r>
        <w:t>特别说明：本</w:t>
      </w:r>
      <w:proofErr w:type="gramStart"/>
      <w:r>
        <w:t>提示仅</w:t>
      </w:r>
      <w:proofErr w:type="gramEnd"/>
      <w:r>
        <w:t>供评估机构及相关业务人员以收益法进行企业价值评估时参考，不能替代相关法律法规、资产评估准则以及注册资产评估师个人的职业判断。提示中所涉及的相关事项，评估机构在执业中应结合项目具体情况、资产评估准则以及注册资产评估师的职业判断确定，不应简单照搬照抄。</w:t>
      </w:r>
    </w:p>
    <w:p w14:paraId="03C3E13E" w14:textId="2FB05EB2" w:rsidR="007F2E94" w:rsidRDefault="007F2E94" w:rsidP="007F2E94">
      <w:pPr>
        <w:pStyle w:val="ab"/>
        <w:spacing w:before="62" w:after="62"/>
        <w:ind w:firstLine="482"/>
      </w:pPr>
      <w:r>
        <w:t>一、折现率的确定方式</w:t>
      </w:r>
    </w:p>
    <w:p w14:paraId="0CA4CA83" w14:textId="1C2DA0BE" w:rsidR="007F2E94" w:rsidRDefault="007F2E94" w:rsidP="007F2E94">
      <w:pPr>
        <w:pStyle w:val="13"/>
      </w:pPr>
      <w:r>
        <w:t>（一）折现率数值的确定主要依赖于注册资产评估师的职业判断，注册资产评估</w:t>
      </w:r>
      <w:proofErr w:type="gramStart"/>
      <w:r>
        <w:t>师应当</w:t>
      </w:r>
      <w:proofErr w:type="gramEnd"/>
      <w:r>
        <w:t>谨慎对待用于测算折现率的相关数据和计算逻辑，保持应有的谨慎。这种职业判断主要包括：</w:t>
      </w:r>
    </w:p>
    <w:p w14:paraId="28F9C5E7" w14:textId="1D7C56D7" w:rsidR="007F2E94" w:rsidRDefault="007F2E94" w:rsidP="007F2E94">
      <w:pPr>
        <w:pStyle w:val="13"/>
      </w:pPr>
      <w:r>
        <w:t>1.对于测算数据来源及其可靠性的考虑；</w:t>
      </w:r>
    </w:p>
    <w:p w14:paraId="1129FF3F" w14:textId="461C4A53" w:rsidR="007F2E94" w:rsidRDefault="007F2E94" w:rsidP="007F2E94">
      <w:pPr>
        <w:pStyle w:val="13"/>
      </w:pPr>
      <w:r>
        <w:t>2.对于计算方法和计算过程的科学性和业内共识的理解；</w:t>
      </w:r>
    </w:p>
    <w:p w14:paraId="1331BC93" w14:textId="465C3249" w:rsidR="007F2E94" w:rsidRDefault="007F2E94" w:rsidP="007F2E94">
      <w:pPr>
        <w:pStyle w:val="13"/>
      </w:pPr>
      <w:r>
        <w:t>3.对于计算结果合理范围的大致判断。</w:t>
      </w:r>
    </w:p>
    <w:p w14:paraId="761C1F14" w14:textId="5A01F615" w:rsidR="007F2E94" w:rsidRDefault="007F2E94" w:rsidP="007F2E94">
      <w:pPr>
        <w:pStyle w:val="13"/>
      </w:pPr>
      <w:r>
        <w:t>注册资产评估</w:t>
      </w:r>
      <w:proofErr w:type="gramStart"/>
      <w:r>
        <w:t>师应当</w:t>
      </w:r>
      <w:proofErr w:type="gramEnd"/>
      <w:r>
        <w:t>在评估报告中陈述折现率的确定公式，应使报告使用者了解折现率测算的数据依据和基本思路。具体测算过程可根据需要决定是否在评估报告中披露。但工作底稿中必须有折现率详细的、可以重复验算的过程。</w:t>
      </w:r>
    </w:p>
    <w:p w14:paraId="2FE12DA4" w14:textId="184A5C1F" w:rsidR="007F2E94" w:rsidRDefault="007F2E94" w:rsidP="007F2E94">
      <w:pPr>
        <w:pStyle w:val="13"/>
      </w:pPr>
      <w:r>
        <w:t>（二）折现率计算的主要参数有：无风险报酬率、beta系数、风险溢价、行业风险报酬率、行业资本结构、规模报酬率、个别风险报酬率、债券报酬率等。上述参数可通过以下三种方式确定，一是由注册资产评估师或其所在机构根据可靠数据来源自行计算；二是从其他权威金融服务机构的服务产品中直接获取；三是从专业研究报告、书籍、文献中摘录。</w:t>
      </w:r>
    </w:p>
    <w:p w14:paraId="6CA0AB4A" w14:textId="77BCD897" w:rsidR="007F2E94" w:rsidRDefault="007F2E94" w:rsidP="007F2E94">
      <w:pPr>
        <w:pStyle w:val="13"/>
      </w:pPr>
      <w:r>
        <w:t>注册资产评估师应通过符合逻辑的分析判断来确定折现率，其主要参数获取方式并无优劣之分。</w:t>
      </w:r>
    </w:p>
    <w:p w14:paraId="03D09978" w14:textId="22CE1610" w:rsidR="007F2E94" w:rsidRDefault="007F2E94" w:rsidP="007F2E94">
      <w:pPr>
        <w:pStyle w:val="ab"/>
        <w:spacing w:before="62" w:after="62"/>
        <w:ind w:firstLine="482"/>
      </w:pPr>
      <w:r>
        <w:t>二、数据来源</w:t>
      </w:r>
    </w:p>
    <w:p w14:paraId="749C4A5C" w14:textId="57312B5E" w:rsidR="007F2E94" w:rsidRDefault="007F2E94" w:rsidP="007F2E94">
      <w:pPr>
        <w:pStyle w:val="13"/>
      </w:pPr>
      <w:r>
        <w:t>（一）折现率计算中引用的数据来源应是行业内公认为权威的数据，包括：</w:t>
      </w:r>
    </w:p>
    <w:p w14:paraId="2ADDAD59" w14:textId="1459A0E6" w:rsidR="007F2E94" w:rsidRDefault="007F2E94" w:rsidP="007F2E94">
      <w:pPr>
        <w:pStyle w:val="13"/>
      </w:pPr>
      <w:r>
        <w:lastRenderedPageBreak/>
        <w:t>1．金融数据服务商，如万得资讯、大智慧、彭博资讯、评估资讯网、投中集团、</w:t>
      </w:r>
      <w:proofErr w:type="gramStart"/>
      <w:r>
        <w:t>清科数据</w:t>
      </w:r>
      <w:proofErr w:type="gramEnd"/>
      <w:r>
        <w:t>研究中心等；</w:t>
      </w:r>
    </w:p>
    <w:p w14:paraId="155007FA" w14:textId="4D7E52AC" w:rsidR="007F2E94" w:rsidRDefault="007F2E94" w:rsidP="007F2E94">
      <w:pPr>
        <w:pStyle w:val="13"/>
      </w:pPr>
      <w:r>
        <w:t>2．评估行业发布的研究成果，如行业协会课题、高等院校相关课题成果等；</w:t>
      </w:r>
    </w:p>
    <w:p w14:paraId="3A4EB0BA" w14:textId="02367664" w:rsidR="007F2E94" w:rsidRDefault="007F2E94" w:rsidP="007F2E94">
      <w:pPr>
        <w:pStyle w:val="13"/>
      </w:pPr>
      <w:r>
        <w:t>3．大型资产评估机构、证券咨询机构的研究成果；</w:t>
      </w:r>
    </w:p>
    <w:p w14:paraId="77DE9E2B" w14:textId="7E688F00" w:rsidR="007F2E94" w:rsidRDefault="007F2E94" w:rsidP="007F2E94">
      <w:pPr>
        <w:pStyle w:val="13"/>
      </w:pPr>
      <w:r>
        <w:t>4．其他研究成果。</w:t>
      </w:r>
    </w:p>
    <w:p w14:paraId="3266C637" w14:textId="0C42E772" w:rsidR="007F2E94" w:rsidRDefault="007F2E94" w:rsidP="007F2E94">
      <w:pPr>
        <w:pStyle w:val="13"/>
      </w:pPr>
      <w:r>
        <w:t>对课题等研究成果中数据的使用，应该仔细分析确认研究的前提和假设、研究采用的数据期间、数据频率、指标口径、结论的适用范围、成果中提及的不足等。如果成果对上述内容介绍不够清晰，建议不引用该成果的结论数据。</w:t>
      </w:r>
    </w:p>
    <w:p w14:paraId="2BCF09B8" w14:textId="7DB5AEF1" w:rsidR="007F2E94" w:rsidRDefault="007F2E94" w:rsidP="007F2E94">
      <w:pPr>
        <w:pStyle w:val="13"/>
      </w:pPr>
      <w:r>
        <w:t>对研究成果的评价应考虑行业、监管部门和社会各界的相关评论，注册资产评估师在引用研究成果时，应了解对该研究成果的评价、对评估项目的适用性，应有符合逻辑的判断，不能盲目引用。</w:t>
      </w:r>
    </w:p>
    <w:p w14:paraId="40B4943C" w14:textId="3E054C09" w:rsidR="007F2E94" w:rsidRDefault="007F2E94" w:rsidP="007F2E94">
      <w:pPr>
        <w:pStyle w:val="13"/>
      </w:pPr>
      <w:r>
        <w:t>（二）注册资产评估</w:t>
      </w:r>
      <w:proofErr w:type="gramStart"/>
      <w:r>
        <w:t>师应当</w:t>
      </w:r>
      <w:proofErr w:type="gramEnd"/>
      <w:r>
        <w:t>知晓，不同的数据内涵测算出的折现率可能存在很大差异。数据内涵常见的细节有：</w:t>
      </w:r>
    </w:p>
    <w:p w14:paraId="6AA7AB12" w14:textId="6C42D21A" w:rsidR="007F2E94" w:rsidRDefault="007F2E94" w:rsidP="007F2E94">
      <w:pPr>
        <w:pStyle w:val="13"/>
      </w:pPr>
      <w:r>
        <w:t>1．指标口径——指标覆盖的范围，如全部上市公司、规模以上工业企业，应当关注相关统计分析资料对资料范围的说明；</w:t>
      </w:r>
    </w:p>
    <w:p w14:paraId="3D5AB33F" w14:textId="5A8331AB" w:rsidR="007F2E94" w:rsidRDefault="007F2E94" w:rsidP="007F2E94">
      <w:pPr>
        <w:pStyle w:val="13"/>
      </w:pPr>
      <w:r>
        <w:t>2．数据频率——如年度、半年度、季度、月度、周、日上市交易收盘价；</w:t>
      </w:r>
    </w:p>
    <w:p w14:paraId="5B9B4C54" w14:textId="761561A2" w:rsidR="007F2E94" w:rsidRDefault="007F2E94" w:rsidP="007F2E94">
      <w:pPr>
        <w:pStyle w:val="13"/>
      </w:pPr>
      <w:r>
        <w:t>3．数据可能存在的周期性（明显具有周期性的行业，如航运业、大宗商品交易价格）、季节性（一般存在与季度和月度数据中）；</w:t>
      </w:r>
    </w:p>
    <w:p w14:paraId="6FCC278D" w14:textId="2D4F6F00" w:rsidR="007F2E94" w:rsidRDefault="007F2E94" w:rsidP="007F2E94">
      <w:pPr>
        <w:pStyle w:val="13"/>
      </w:pPr>
      <w:r>
        <w:t>4．数据平均化的方式——简单平均、加权平均，算术平均、几何平均、调和平均等；</w:t>
      </w:r>
    </w:p>
    <w:p w14:paraId="061641CA" w14:textId="5B62233F" w:rsidR="007F2E94" w:rsidRDefault="007F2E94" w:rsidP="007F2E94">
      <w:pPr>
        <w:pStyle w:val="13"/>
      </w:pPr>
      <w:r>
        <w:t>5．数据处理方法——原始数据、平滑后数据、归一化（标准化）数据、转换为增长率（百分比、单位量）数据，平滑处理的方法有许多，如剔除极端值、3期移动平均、多元回归后拟合、指数平滑等。应当注意不同方式处理后数据可能不能再次进行处理或再处理经济意义不明确，如百分比数据的增长率、归一化数据的增长率、每股收益的归一化等。</w:t>
      </w:r>
    </w:p>
    <w:p w14:paraId="1EE695B6" w14:textId="5EEF1654" w:rsidR="007F2E94" w:rsidRDefault="007F2E94" w:rsidP="007F2E94">
      <w:pPr>
        <w:pStyle w:val="13"/>
      </w:pPr>
      <w:r>
        <w:t>6．采用计量模型进行的数据拟合或插值、外推、内推预测，应注意模型的构建符合经济学意义，模型必须通过经济学检验、统计学检验才可以使用。</w:t>
      </w:r>
    </w:p>
    <w:p w14:paraId="0F0A2ADB" w14:textId="77777777" w:rsidR="007F2E94" w:rsidRDefault="007F2E94" w:rsidP="007F2E94">
      <w:pPr>
        <w:pStyle w:val="13"/>
      </w:pPr>
      <w:r>
        <w:rPr>
          <w:rFonts w:hint="eastAsia"/>
        </w:rPr>
        <w:t>根据折现率与收益相匹配的原则，注册资产评估师使用的数据内涵应予评估项目的收益指标相适应。</w:t>
      </w:r>
    </w:p>
    <w:p w14:paraId="637D687D" w14:textId="15388AAE" w:rsidR="007F2E94" w:rsidRDefault="007F2E94" w:rsidP="007F2E94">
      <w:pPr>
        <w:pStyle w:val="ab"/>
        <w:spacing w:before="62" w:after="62"/>
        <w:ind w:firstLine="482"/>
      </w:pPr>
      <w:r>
        <w:t>三、折现率计算的主要模型</w:t>
      </w:r>
    </w:p>
    <w:p w14:paraId="5D1E7C91" w14:textId="352CF9D9" w:rsidR="007F2E94" w:rsidRDefault="007F2E94" w:rsidP="007F2E94">
      <w:pPr>
        <w:pStyle w:val="13"/>
      </w:pPr>
      <w:r>
        <w:t>（一）实务中采用的折现率测算模型主要有：</w:t>
      </w:r>
    </w:p>
    <w:p w14:paraId="759DBBDC" w14:textId="1979BBFF" w:rsidR="007F2E94" w:rsidRDefault="007F2E94" w:rsidP="007F2E94">
      <w:pPr>
        <w:pStyle w:val="13"/>
      </w:pPr>
      <w:r>
        <w:t>1．资本资产定价（CAPM）模型。一般适用于权益资本、企业股票、单项资产的收益法评估。</w:t>
      </w:r>
    </w:p>
    <w:p w14:paraId="3F3CEA6C" w14:textId="6E2DE805" w:rsidR="007F2E94" w:rsidRDefault="007F2E94" w:rsidP="007F2E94">
      <w:pPr>
        <w:pStyle w:val="13"/>
      </w:pPr>
      <w:r>
        <w:t>2．加权资本成本（WACC）模型。一般适用于企业价值或投入资本价值的估值。</w:t>
      </w:r>
      <w:r>
        <w:lastRenderedPageBreak/>
        <w:t>采用间接法评估权益资本价值使用WACC模型时，一般被评估权益应该是控制权益，即被评估权益股东可以改变企业的现金流和负债水平。如果评估对象含有优先股、优先债权(债转股)，一般应单独计算该类资本的成本，并加权到WACC中。</w:t>
      </w:r>
    </w:p>
    <w:p w14:paraId="1EFA02AF" w14:textId="722B0578" w:rsidR="007F2E94" w:rsidRDefault="007F2E94" w:rsidP="007F2E94">
      <w:pPr>
        <w:pStyle w:val="13"/>
      </w:pPr>
      <w:r>
        <w:t>3．风险累加法是针对评估对象面临的单项风险逐项估算相加，适用于风险因素可以分别清楚，风险因素对评估对象价值的影响都是独立的情形。</w:t>
      </w:r>
    </w:p>
    <w:p w14:paraId="7845B80E" w14:textId="777DBDF5" w:rsidR="007F2E94" w:rsidRDefault="007F2E94" w:rsidP="007F2E94">
      <w:pPr>
        <w:pStyle w:val="13"/>
      </w:pPr>
      <w:r>
        <w:t>（二）目前企业价值收益法评估中应用最多的折现率选取方法是WACC模型。下列与CAPM和WACC有关的问题从理论到实务尚没有统一认识，实证研究的结果也存在较大差异，注册资产评估师可以根据评估项目的具体情况</w:t>
      </w:r>
      <w:proofErr w:type="gramStart"/>
      <w:r>
        <w:t>作出</w:t>
      </w:r>
      <w:proofErr w:type="gramEnd"/>
      <w:r>
        <w:t>合乎逻辑的处理。</w:t>
      </w:r>
    </w:p>
    <w:p w14:paraId="25B2F20A" w14:textId="2DED5977" w:rsidR="007F2E94" w:rsidRDefault="007F2E94" w:rsidP="007F2E94">
      <w:pPr>
        <w:pStyle w:val="13"/>
      </w:pPr>
      <w:r>
        <w:t>1．未来资本结构采用企业实际的还是假设的，假设资本是采用行业平均的、目标的，还是和管理层沟通确定的，是否存在最优资本结构；</w:t>
      </w:r>
    </w:p>
    <w:p w14:paraId="5CFC3456" w14:textId="058DEEA5" w:rsidR="007F2E94" w:rsidRDefault="007F2E94" w:rsidP="007F2E94">
      <w:pPr>
        <w:pStyle w:val="13"/>
      </w:pPr>
      <w:r>
        <w:t>2．采用固定资本结构，还是</w:t>
      </w:r>
      <w:proofErr w:type="gramStart"/>
      <w:r>
        <w:t>随期间</w:t>
      </w:r>
      <w:proofErr w:type="gramEnd"/>
      <w:r>
        <w:t>变化的资本结构；</w:t>
      </w:r>
    </w:p>
    <w:p w14:paraId="5270A4C0" w14:textId="3108DD33" w:rsidR="007F2E94" w:rsidRDefault="007F2E94" w:rsidP="007F2E94">
      <w:pPr>
        <w:pStyle w:val="13"/>
      </w:pPr>
      <w:r>
        <w:t>3．我国长期国债利率作为无风险报酬，其中是否包含了通货膨胀因素；</w:t>
      </w:r>
    </w:p>
    <w:p w14:paraId="466D4DF7" w14:textId="3C1ABC47" w:rsidR="007F2E94" w:rsidRDefault="007F2E94" w:rsidP="007F2E94">
      <w:pPr>
        <w:pStyle w:val="13"/>
      </w:pPr>
      <w:r>
        <w:t>4．是否应考虑债务资本的风险，税后实现的风险。</w:t>
      </w:r>
    </w:p>
    <w:p w14:paraId="522322F2" w14:textId="68B5C5F5" w:rsidR="007F2E94" w:rsidRDefault="007F2E94" w:rsidP="007F2E94">
      <w:pPr>
        <w:pStyle w:val="ab"/>
        <w:spacing w:before="62" w:after="62"/>
        <w:ind w:firstLine="482"/>
      </w:pPr>
      <w:r>
        <w:t>四、合理性判断</w:t>
      </w:r>
    </w:p>
    <w:p w14:paraId="29007CED" w14:textId="207843DD" w:rsidR="007F2E94" w:rsidRDefault="007F2E94" w:rsidP="007F2E94">
      <w:pPr>
        <w:pStyle w:val="13"/>
      </w:pPr>
      <w:r>
        <w:t>（一）作为有经验的注册资产评估师，应对不同经济发展阶段、不同市场环境、不同模型和资产类型折现率的大致区间的经验值有一定了解。</w:t>
      </w:r>
    </w:p>
    <w:p w14:paraId="12C54FDD" w14:textId="40D0326D" w:rsidR="007F2E94" w:rsidRDefault="007F2E94" w:rsidP="007F2E94">
      <w:pPr>
        <w:pStyle w:val="13"/>
      </w:pPr>
      <w:r>
        <w:t>（二）对特定评估业务选择折现率时，</w:t>
      </w:r>
      <w:proofErr w:type="gramStart"/>
      <w:r>
        <w:t>作出</w:t>
      </w:r>
      <w:proofErr w:type="gramEnd"/>
      <w:r>
        <w:t>合理性判断应考虑如下因素：</w:t>
      </w:r>
    </w:p>
    <w:p w14:paraId="36959ADE" w14:textId="0E2B61D5" w:rsidR="007F2E94" w:rsidRDefault="007F2E94" w:rsidP="007F2E94">
      <w:pPr>
        <w:pStyle w:val="13"/>
      </w:pPr>
      <w:r>
        <w:t>1．现阶段评估对象所处市场环境下折现率的基本区间；</w:t>
      </w:r>
    </w:p>
    <w:p w14:paraId="2462F85D" w14:textId="3154E0E0" w:rsidR="007F2E94" w:rsidRDefault="007F2E94" w:rsidP="007F2E94">
      <w:pPr>
        <w:pStyle w:val="13"/>
      </w:pPr>
      <w:r>
        <w:t>2．相比社会平均折现率水平，评估对象所在行业是否应增加或减少投资回报要求；</w:t>
      </w:r>
    </w:p>
    <w:p w14:paraId="03DEC6BB" w14:textId="2043C991" w:rsidR="007F2E94" w:rsidRDefault="007F2E94" w:rsidP="007F2E94">
      <w:pPr>
        <w:pStyle w:val="13"/>
      </w:pPr>
      <w:r>
        <w:t>3．特定评估业务是否做出了影响折现率的假设，如评估对象所在国家或地区的市场环境，评估对象面临的重大有利和不利条件等；</w:t>
      </w:r>
    </w:p>
    <w:p w14:paraId="147A973A" w14:textId="6398917F" w:rsidR="007F2E94" w:rsidRDefault="007F2E94" w:rsidP="007F2E94">
      <w:pPr>
        <w:pStyle w:val="13"/>
      </w:pPr>
      <w:r>
        <w:t>4．源于实证分析对市场回报率数据的研究成果；</w:t>
      </w:r>
    </w:p>
    <w:p w14:paraId="76232ABE" w14:textId="6F129C76" w:rsidR="0047435F" w:rsidRDefault="007F2E94" w:rsidP="007F2E94">
      <w:pPr>
        <w:pStyle w:val="13"/>
      </w:pPr>
      <w:r>
        <w:t>5．相同评估对象多次评估中，基准日变化引起的折现率变化与各基准日市场环境变化的匹配，如经济下行趋势，资本市场的牛熊转换等。</w:t>
      </w:r>
    </w:p>
    <w:p w14:paraId="2F9D87AD" w14:textId="09756C8B" w:rsidR="0047435F" w:rsidRDefault="007F2E94" w:rsidP="007F2E94">
      <w:pPr>
        <w:pStyle w:val="31"/>
        <w:spacing w:before="156" w:after="62"/>
      </w:pPr>
      <w:bookmarkStart w:id="107" w:name="_Toc81833370"/>
      <w:r w:rsidRPr="007F2E94">
        <w:rPr>
          <w:rFonts w:hint="eastAsia"/>
        </w:rPr>
        <w:t>北京资产评估协会中小评估机构技术援助专家委员会专家提示第</w:t>
      </w:r>
      <w:r w:rsidRPr="007F2E94">
        <w:t>3号</w:t>
      </w:r>
      <w:r>
        <w:br/>
      </w:r>
      <w:r w:rsidRPr="007F2E94">
        <w:t>—发电企业相关评估项目</w:t>
      </w:r>
      <w:bookmarkEnd w:id="107"/>
    </w:p>
    <w:p w14:paraId="1A0EF3E8" w14:textId="77777777" w:rsidR="007F2E94" w:rsidRDefault="007F2E94" w:rsidP="007F2E94">
      <w:pPr>
        <w:pStyle w:val="13"/>
      </w:pPr>
      <w:r>
        <w:rPr>
          <w:rFonts w:hint="eastAsia"/>
        </w:rPr>
        <w:t>近年来，随着我国电力体制改革进一步深入，涉及发电企业的资产评估业务发展很快，已经成为我国资产评估业务的重要组成部分。由于发电企业产品具有特殊性，目前该类评估业务操作中存在较多问题。为帮助相关评估机构和注册资产评估</w:t>
      </w:r>
      <w:proofErr w:type="gramStart"/>
      <w:r>
        <w:rPr>
          <w:rFonts w:hint="eastAsia"/>
        </w:rPr>
        <w:t>师较好</w:t>
      </w:r>
      <w:proofErr w:type="gramEnd"/>
      <w:r>
        <w:rPr>
          <w:rFonts w:hint="eastAsia"/>
        </w:rPr>
        <w:t>地执行该类业务，针对发电企业的特点，结合目前实际操作中的难点及要点，提出以下应对建议。</w:t>
      </w:r>
    </w:p>
    <w:p w14:paraId="4AAFC8F2" w14:textId="0B4F1AC6" w:rsidR="007F2E94" w:rsidRDefault="007F2E94" w:rsidP="007F2E94">
      <w:pPr>
        <w:pStyle w:val="13"/>
      </w:pPr>
      <w:r>
        <w:t>特别说明：本提示是一种专家意见，仅供评估机构及相关业务人员在执行此类业</w:t>
      </w:r>
      <w:r>
        <w:lastRenderedPageBreak/>
        <w:t>务时参考，不能替代相关法律法规、资产评估准则以及注册资产评估师个人的职业判断。提示中所涉及的相关事项，评估机构在执业中应结合项目具体情况、资产评估准则以及注册资产评估师的职业判断确定，不应简单照搬照抄。北京资产评估协会将根据业务发展，对</w:t>
      </w:r>
      <w:proofErr w:type="gramStart"/>
      <w:r>
        <w:t>本专家</w:t>
      </w:r>
      <w:proofErr w:type="gramEnd"/>
      <w:r>
        <w:t>提示进行更新。</w:t>
      </w:r>
    </w:p>
    <w:p w14:paraId="54BCD88F" w14:textId="74C2E15D" w:rsidR="007F2E94" w:rsidRDefault="007F2E94" w:rsidP="007F2E94">
      <w:pPr>
        <w:pStyle w:val="13"/>
      </w:pPr>
      <w:r>
        <w:t>本提示所指发电企业，是指专门从事电能生产的企业，一般包括火力（利用煤、石油、天然气或其他燃料的化学能）发电、水力（利用水的位能和动能转换）发电、风力发电、太阳能发电企业等。</w:t>
      </w:r>
    </w:p>
    <w:p w14:paraId="6BCCCE52" w14:textId="734C98E7" w:rsidR="007F2E94" w:rsidRDefault="007F2E94" w:rsidP="007F2E94">
      <w:pPr>
        <w:pStyle w:val="13"/>
      </w:pPr>
      <w:r>
        <w:t>其他类型的发电企业，如核能（利用原子核内部蕴藏的原子能）发电、地热能（利用地下热水和蒸汽的热能）发电、海洋能（利用海洋所蕴藏的能量）发电、生物质能（以生物质为载体的能量）发电企业等的评估工作可参照本提示。</w:t>
      </w:r>
    </w:p>
    <w:p w14:paraId="3E418344" w14:textId="08CE2DC5" w:rsidR="007F2E94" w:rsidRDefault="007F2E94" w:rsidP="007F2E94">
      <w:pPr>
        <w:pStyle w:val="ab"/>
        <w:spacing w:before="62" w:after="62"/>
        <w:ind w:firstLine="482"/>
      </w:pPr>
      <w:r>
        <w:t>一、充分了解相关法律法规及产业政策</w:t>
      </w:r>
    </w:p>
    <w:p w14:paraId="725591E1" w14:textId="68BE97F6" w:rsidR="007F2E94" w:rsidRDefault="007F2E94" w:rsidP="007F2E94">
      <w:pPr>
        <w:pStyle w:val="13"/>
      </w:pPr>
      <w:r>
        <w:t>评估机构和注册资产评估师在执行发电企业评估业务时，应充分了解我国电力行业相关法律法规及产业政策，调查了解我国电力市场的布局、电力供需状况、价格机制，以及国家对清洁能源、环境保护政策的制订情况。充分认识国家产业政策对发电企业自身未来发展趋势的影响，进而了解国家产业政策对发电企业价值的影响程度。</w:t>
      </w:r>
    </w:p>
    <w:p w14:paraId="098C8EF1" w14:textId="7A3703DF" w:rsidR="007F2E94" w:rsidRDefault="007F2E94" w:rsidP="007F2E94">
      <w:pPr>
        <w:pStyle w:val="ab"/>
        <w:spacing w:before="62" w:after="62"/>
        <w:ind w:firstLine="482"/>
      </w:pPr>
      <w:r>
        <w:t>二、充分关注评估对象的法律权属</w:t>
      </w:r>
    </w:p>
    <w:p w14:paraId="705460CE" w14:textId="2B9C6DD6" w:rsidR="007F2E94" w:rsidRDefault="007F2E94" w:rsidP="007F2E94">
      <w:pPr>
        <w:pStyle w:val="13"/>
      </w:pPr>
      <w:r>
        <w:t>（一）评估人员进行发电企业评估时，应核实发电项目建设是否取得有权部门核准文件（含前期批复、特许经营合同等），并关注相关资料的合</w:t>
      </w:r>
      <w:proofErr w:type="gramStart"/>
      <w:r>
        <w:t>规</w:t>
      </w:r>
      <w:proofErr w:type="gramEnd"/>
      <w:r>
        <w:t>性、有效性及该事项对评估结论的影响。对于已投产运行的发电企业评估业务，应核实被评估发电企业是否取得电力业务许可证。并能充分了解机组编号、类型、容量、投产日期、设计寿命、所属电力市场等信息。</w:t>
      </w:r>
    </w:p>
    <w:p w14:paraId="7012B3F2" w14:textId="2B2E6CE8" w:rsidR="007F2E94" w:rsidRDefault="007F2E94" w:rsidP="007F2E94">
      <w:pPr>
        <w:pStyle w:val="13"/>
      </w:pPr>
      <w:r>
        <w:t>（二）评估人员应重点关注发电企业最新有效的股东协议或章程中对权益和义务的特殊条款，如对股权转让的约定、投资机组经营指标的约定和股东约定的认缴出资比例等，并考虑此类事项对评估结果的影响。</w:t>
      </w:r>
    </w:p>
    <w:p w14:paraId="188E4786" w14:textId="2F14C2AB" w:rsidR="007F2E94" w:rsidRDefault="007F2E94" w:rsidP="007F2E94">
      <w:pPr>
        <w:pStyle w:val="13"/>
      </w:pPr>
      <w:r>
        <w:t>（三）在评估由同一发电企业运行管理，但由不同出资人投资的发电机组项目时，评估人员应了解发电机组项目的实际出资人和投资比例等，并关注相关事项可能对评估结果的影响。</w:t>
      </w:r>
    </w:p>
    <w:p w14:paraId="255A95DB" w14:textId="4A7CF16A" w:rsidR="007F2E94" w:rsidRDefault="007F2E94" w:rsidP="007F2E94">
      <w:pPr>
        <w:pStyle w:val="13"/>
      </w:pPr>
      <w:r>
        <w:t>（四）评估人员对发电企业评估项目中所涉及的发电机组资产，应关注其核准文件或特许经营合同的项目建设法人单位，并核实机组移交的生产交接书、竣工决算书及批复文件、工程竣工验收意见、土地使用权证等权属证明资料。</w:t>
      </w:r>
    </w:p>
    <w:p w14:paraId="1F33B28D" w14:textId="36463A70" w:rsidR="007F2E94" w:rsidRDefault="007F2E94" w:rsidP="007F2E94">
      <w:pPr>
        <w:pStyle w:val="13"/>
      </w:pPr>
      <w:r>
        <w:t>（五）评估人员对发电企业评估中所涉及的土地使用权，应关注其取得方式，是否存在企业未缴纳或未足额缴纳款项的权属瑕疵事项，并考虑其对评估结果的影响。</w:t>
      </w:r>
      <w:r>
        <w:lastRenderedPageBreak/>
        <w:t>对于以出让方式取得的土地使用权，应关注是否存在企业未缴纳或未足额缴纳价款；对于以划拨方式取得的土地使用权，应关注相关批复文件的合</w:t>
      </w:r>
      <w:proofErr w:type="gramStart"/>
      <w:r>
        <w:t>规</w:t>
      </w:r>
      <w:proofErr w:type="gramEnd"/>
      <w:r>
        <w:t>有效性，是否存在企业未支付或未足额支付补偿价款、相关税费等事项；对于未办理权属证明的土地使用权，应关注未办理权属证明的原因、处理方式，是否存在企业未支付或未足额支付补偿价款、相关税费等事项；对于长期租赁的土地使用权，应关注出租人、</w:t>
      </w:r>
      <w:r>
        <w:rPr>
          <w:rFonts w:hint="eastAsia"/>
        </w:rPr>
        <w:t>租赁面积、租赁期间、土地类型及相关合</w:t>
      </w:r>
      <w:proofErr w:type="gramStart"/>
      <w:r>
        <w:rPr>
          <w:rFonts w:hint="eastAsia"/>
        </w:rPr>
        <w:t>规</w:t>
      </w:r>
      <w:proofErr w:type="gramEnd"/>
      <w:r>
        <w:rPr>
          <w:rFonts w:hint="eastAsia"/>
        </w:rPr>
        <w:t>性文件等。</w:t>
      </w:r>
    </w:p>
    <w:p w14:paraId="1D558359" w14:textId="3F3CA6BD" w:rsidR="007F2E94" w:rsidRDefault="007F2E94" w:rsidP="007F2E94">
      <w:pPr>
        <w:pStyle w:val="13"/>
      </w:pPr>
      <w:r>
        <w:t>（六）评估人员执行发电企业评估业务时，应关注发电机组的电费收益权、固定资产和土地使用权等权属是否存在质押、抵押、融资租赁等权利限制或者诉讼等权属争议，并在报告中恰当披露。</w:t>
      </w:r>
    </w:p>
    <w:p w14:paraId="749CA2AE" w14:textId="5EE2D9FD" w:rsidR="007F2E94" w:rsidRDefault="007F2E94" w:rsidP="007F2E94">
      <w:pPr>
        <w:pStyle w:val="ab"/>
        <w:spacing w:before="62" w:after="62"/>
        <w:ind w:firstLine="482"/>
      </w:pPr>
      <w:r>
        <w:t>三、做好发电企业的清查核实及市场调研工作</w:t>
      </w:r>
    </w:p>
    <w:p w14:paraId="3819D3A4" w14:textId="3FD194EE" w:rsidR="007F2E94" w:rsidRDefault="007F2E94" w:rsidP="007F2E94">
      <w:pPr>
        <w:pStyle w:val="13"/>
      </w:pPr>
      <w:r>
        <w:t>（一）发电企业的资产清查核实</w:t>
      </w:r>
    </w:p>
    <w:p w14:paraId="51D8F9BE" w14:textId="664B3604" w:rsidR="007F2E94" w:rsidRDefault="007F2E94" w:rsidP="007F2E94">
      <w:pPr>
        <w:pStyle w:val="13"/>
      </w:pPr>
      <w:r>
        <w:t>1、资产清查申报阶段，应建议发电企业根据发电资产的特点、生产流程或管理方式，按发电资产生产系统、子系统将各单项资产进行排序申报，这样有利于</w:t>
      </w:r>
      <w:proofErr w:type="gramStart"/>
      <w:r>
        <w:t>对委估资产</w:t>
      </w:r>
      <w:proofErr w:type="gramEnd"/>
      <w:r>
        <w:t>的清查盘点，技术状态的现场勘察、鉴定和分析，实现不重不漏。</w:t>
      </w:r>
    </w:p>
    <w:p w14:paraId="0BF1CC96" w14:textId="6E642333" w:rsidR="007F2E94" w:rsidRDefault="007F2E94" w:rsidP="007F2E94">
      <w:pPr>
        <w:pStyle w:val="13"/>
      </w:pPr>
      <w:r>
        <w:t>评估人员在执行存在“一厂多制”的评估项目时，应关注不同发电机组的资产范围，特别是共用、公共资产的范围及内容，实现不重不漏。</w:t>
      </w:r>
    </w:p>
    <w:p w14:paraId="564252CF" w14:textId="12A73D03" w:rsidR="007F2E94" w:rsidRDefault="007F2E94" w:rsidP="007F2E94">
      <w:pPr>
        <w:pStyle w:val="13"/>
      </w:pPr>
      <w:r>
        <w:t>2、评估人员应</w:t>
      </w:r>
      <w:proofErr w:type="gramStart"/>
      <w:r>
        <w:t>核实委估发电机组</w:t>
      </w:r>
      <w:proofErr w:type="gramEnd"/>
      <w:r>
        <w:t>核准容量与实际容量是否存在差异，重点关注存在差异形成的原因，如自行扩能所引起的差异情况等，并充分考虑该差异对评估参数取值的影响，且应披露说明。</w:t>
      </w:r>
    </w:p>
    <w:p w14:paraId="496FB181" w14:textId="34DC5BB4" w:rsidR="007F2E94" w:rsidRDefault="007F2E94" w:rsidP="007F2E94">
      <w:pPr>
        <w:pStyle w:val="13"/>
      </w:pPr>
      <w:r>
        <w:t>3、评估人员对发电机组资产进行核实时，对其中重要资产，如隐蔽工程和隐性资产无法现场清查时，应考虑采用替代程序，即对发电企业历史购建数据、技术图纸、运行数据等各类相关资料进行详尽的调查分析，以便确定其存在的真实性、可靠性，并在此基础上做出专业判断或予以恰当披露。</w:t>
      </w:r>
    </w:p>
    <w:p w14:paraId="5CF987B0" w14:textId="04B6EA67" w:rsidR="007F2E94" w:rsidRDefault="007F2E94" w:rsidP="007F2E94">
      <w:pPr>
        <w:pStyle w:val="13"/>
      </w:pPr>
      <w:r>
        <w:t>4、评估人员应关注被评估发电企业是否存在“上大压小”关停机组容量指标、水权、碳排放配额、排污权、实物期权、海域使用权等信息，以确定发电企业是否存在相关资产或权益。</w:t>
      </w:r>
    </w:p>
    <w:p w14:paraId="6BD7655E" w14:textId="784B1501" w:rsidR="007F2E94" w:rsidRDefault="007F2E94" w:rsidP="007F2E94">
      <w:pPr>
        <w:pStyle w:val="13"/>
      </w:pPr>
      <w:r>
        <w:t>5、评估人员应核实发电企业历史主要技术经济指标，并调查了解机组实际运营指标与设计指标的差异情况和原因，并能充分认识发电行业发展周期、政策性盈利（或亏损）等。</w:t>
      </w:r>
    </w:p>
    <w:p w14:paraId="4158BFB5" w14:textId="7371D247" w:rsidR="007F2E94" w:rsidRDefault="007F2E94" w:rsidP="007F2E94">
      <w:pPr>
        <w:pStyle w:val="13"/>
      </w:pPr>
      <w:r>
        <w:t>（二）针对发电企业的市场调研工作</w:t>
      </w:r>
    </w:p>
    <w:p w14:paraId="04BF66A3" w14:textId="709CE500" w:rsidR="007F2E94" w:rsidRDefault="007F2E94" w:rsidP="007F2E94">
      <w:pPr>
        <w:pStyle w:val="13"/>
      </w:pPr>
      <w:r>
        <w:t>评估人员应关注被评估发电企业所处区域电力供需情况、上网电价、主要生产成本的历史变动情况，企业修理费、环境保护费、职工薪酬等生产成本情况，发电机组自身盈利能力情况，国家及发电企业所属地区税收政策，近期电力交易市场情况，国家对发电产业限制或鼓励情况及其他产业政策、机组项目建设所需的各种技术经济</w:t>
      </w:r>
      <w:r>
        <w:lastRenderedPageBreak/>
        <w:t>资料及其审批（备案）文件、国家对发电机组的总体规划及区域规划等。</w:t>
      </w:r>
    </w:p>
    <w:p w14:paraId="3DD13390" w14:textId="7802EA27" w:rsidR="007F2E94" w:rsidRDefault="007F2E94" w:rsidP="007F2E94">
      <w:pPr>
        <w:pStyle w:val="ab"/>
        <w:spacing w:before="62" w:after="62"/>
        <w:ind w:firstLine="482"/>
      </w:pPr>
      <w:r>
        <w:t>四、采用不同评估方法应重点关注的事项</w:t>
      </w:r>
    </w:p>
    <w:p w14:paraId="1DB3E592" w14:textId="22DDCB03" w:rsidR="007F2E94" w:rsidRDefault="007F2E94" w:rsidP="007F2E94">
      <w:pPr>
        <w:pStyle w:val="13"/>
      </w:pPr>
      <w:r>
        <w:t>注册资产评估</w:t>
      </w:r>
      <w:proofErr w:type="gramStart"/>
      <w:r>
        <w:t>师应当</w:t>
      </w:r>
      <w:proofErr w:type="gramEnd"/>
      <w:r>
        <w:t>结合宏观经济发展、电力行业发展、电力交易市场和被评估发电企业资产、经营和财务状况等资料，合理分析资产基础法、收益法和市场法在发电企业评估中的适用性。</w:t>
      </w:r>
    </w:p>
    <w:p w14:paraId="197AC5BE" w14:textId="31C1FAD9" w:rsidR="007F2E94" w:rsidRDefault="007F2E94" w:rsidP="007F2E94">
      <w:pPr>
        <w:pStyle w:val="13"/>
      </w:pPr>
      <w:r>
        <w:t>（一）采用资产基础法应重点关注以下事项：</w:t>
      </w:r>
    </w:p>
    <w:p w14:paraId="1600CA3D" w14:textId="79C1189E" w:rsidR="007F2E94" w:rsidRDefault="007F2E94" w:rsidP="007F2E94">
      <w:pPr>
        <w:pStyle w:val="13"/>
      </w:pPr>
      <w:r>
        <w:t>1、由于发电企业是技术密集、资金密集型的综合系统工程，注册资产评估师在确定重置成本时，应合理分析成本构成要素，设备购置费、安装工程费、建筑工程费和其他费用的相互配比关系，不同系统的设备购置费、安装工程费和建筑工程</w:t>
      </w:r>
      <w:proofErr w:type="gramStart"/>
      <w:r>
        <w:t>费之间</w:t>
      </w:r>
      <w:proofErr w:type="gramEnd"/>
      <w:r>
        <w:t>的配比关系，主、辅机设备购置费的配比关系等。</w:t>
      </w:r>
    </w:p>
    <w:p w14:paraId="375B5330" w14:textId="7FDA51AB" w:rsidR="007F2E94" w:rsidRDefault="007F2E94" w:rsidP="007F2E94">
      <w:pPr>
        <w:pStyle w:val="13"/>
      </w:pPr>
      <w:r>
        <w:t>2、注册资产评估师在确定合理建设工期时，应分析判断发电项目建设所在地自然条件，环境保护措施，施工组织设计等因素对工期的影响，并关注施工过程中的非正常因素及与当前同类地区、同类机组的工期比较。</w:t>
      </w:r>
    </w:p>
    <w:p w14:paraId="459327C9" w14:textId="757BF917" w:rsidR="007F2E94" w:rsidRDefault="007F2E94" w:rsidP="007F2E94">
      <w:pPr>
        <w:pStyle w:val="13"/>
      </w:pPr>
      <w:r>
        <w:t>3、注册资产评估师应分析发电机组生产技术参数和技术经济指标，判断是否存在实体性贬值、功能性贬值（如热电联产能效能耗指标超过限额）和经济性贬值（如环保排放超标），以及可能引起的各种贬值因素，采用科学合理的方法估算各种贬值。</w:t>
      </w:r>
    </w:p>
    <w:p w14:paraId="396A3192" w14:textId="300FDDD2" w:rsidR="007F2E94" w:rsidRDefault="007F2E94" w:rsidP="007F2E94">
      <w:pPr>
        <w:pStyle w:val="13"/>
      </w:pPr>
      <w:r>
        <w:t>4、注册资产评估师在评定发电机组的经济寿命年限时，应持谨慎性原则，充分了解机组设计年限、已投运使用年限，已运行小时和有无国家强制报废规定等情况，全面分析运行可靠性指标等生产技术指标、建设制造质量、更新改造和维护运行情况等资料，必要时取得相关权威机构的技术鉴定报告和检测结果。</w:t>
      </w:r>
    </w:p>
    <w:p w14:paraId="39FC88EE" w14:textId="6BBD7B82" w:rsidR="007F2E94" w:rsidRDefault="007F2E94" w:rsidP="007F2E94">
      <w:pPr>
        <w:pStyle w:val="13"/>
      </w:pPr>
      <w:r>
        <w:t>5、注册资产评估师应知晓发电机组是单机系统运行，应关注各机组的验收投产年月、运行小时、运行状况等差异，特别是验收投产年月与财务结转固定资产年月的差异，设备更新改造的差异等。</w:t>
      </w:r>
    </w:p>
    <w:p w14:paraId="281DD29A" w14:textId="5F38093C" w:rsidR="007F2E94" w:rsidRDefault="007F2E94" w:rsidP="007F2E94">
      <w:pPr>
        <w:pStyle w:val="13"/>
      </w:pPr>
      <w:r>
        <w:t>（二）采用收益法应重点关注以下事项：</w:t>
      </w:r>
    </w:p>
    <w:p w14:paraId="1B252401" w14:textId="03C728EE" w:rsidR="007F2E94" w:rsidRDefault="007F2E94" w:rsidP="007F2E94">
      <w:pPr>
        <w:pStyle w:val="13"/>
      </w:pPr>
      <w:r>
        <w:t>1、注册资产评估师应知晓发电企业的电力生产销售经营权是以发电机组为基础，未来收益预测期的确定，应在分析判断机组的尚可使用经济年限、更新改造及资产补充计划的基础上，采用相适用的测算模型进行估算。</w:t>
      </w:r>
    </w:p>
    <w:p w14:paraId="7AE30DD5" w14:textId="0A79D5AE" w:rsidR="007F2E94" w:rsidRDefault="007F2E94" w:rsidP="007F2E94">
      <w:pPr>
        <w:pStyle w:val="13"/>
      </w:pPr>
      <w:r>
        <w:t>注册资产评估师应在分析判断评估对象、企业未来经营模式、资本结构、资产使用状况等基础上，恰当选择与之相适用的收益法模型，并合理确定稳定期收入成本的预测或企业资产终值的可回收净值。</w:t>
      </w:r>
    </w:p>
    <w:p w14:paraId="73968B8D" w14:textId="7F0735EB" w:rsidR="007F2E94" w:rsidRDefault="007F2E94" w:rsidP="007F2E94">
      <w:pPr>
        <w:pStyle w:val="13"/>
      </w:pPr>
      <w:r>
        <w:t>2、注册资产评估师对主要技术经济指标的采用，须在分析判断产业政策、机组运行数据、基础统计数据（如水力发电的水文资料、风力发电的测风数据等）、电量供需、装机容量规划等基础上进行确定，特别是年有效发电小时、综合厂用电率等生产综合性指标。</w:t>
      </w:r>
    </w:p>
    <w:p w14:paraId="7174A511" w14:textId="52AC8409" w:rsidR="007F2E94" w:rsidRDefault="007F2E94" w:rsidP="007F2E94">
      <w:pPr>
        <w:pStyle w:val="13"/>
      </w:pPr>
      <w:r>
        <w:lastRenderedPageBreak/>
        <w:t>3、注册资产评估师在执行在建、新建或扩建已投产但尚未决算的发电企业评估时，应合</w:t>
      </w:r>
      <w:proofErr w:type="gramStart"/>
      <w:r>
        <w:t>理预测</w:t>
      </w:r>
      <w:proofErr w:type="gramEnd"/>
      <w:r>
        <w:t>后续资本性支出，特别是环境保护等方面的投资。</w:t>
      </w:r>
    </w:p>
    <w:p w14:paraId="22ED7F54" w14:textId="3F523D4A" w:rsidR="007F2E94" w:rsidRDefault="007F2E94" w:rsidP="007F2E94">
      <w:pPr>
        <w:pStyle w:val="13"/>
      </w:pPr>
      <w:r>
        <w:t>4、注册资产评估师应知晓由于发电企业生产原理不同，以及所在区域、企业获利能力、经营方式和国家行业政策等情况均存有一定差异，需谨慎、合理确定折现率。</w:t>
      </w:r>
    </w:p>
    <w:p w14:paraId="0C3A80A0" w14:textId="51060890" w:rsidR="007F2E94" w:rsidRDefault="007F2E94" w:rsidP="007F2E94">
      <w:pPr>
        <w:pStyle w:val="13"/>
      </w:pPr>
      <w:r>
        <w:t>（三）采用市场法应重点关注以下事项：</w:t>
      </w:r>
    </w:p>
    <w:p w14:paraId="3B653C10" w14:textId="6F835D7E" w:rsidR="007F2E94" w:rsidRDefault="007F2E94" w:rsidP="007F2E94">
      <w:pPr>
        <w:pStyle w:val="13"/>
      </w:pPr>
      <w:r>
        <w:t>1、在采用交易案例比较法时，应分析可比交易案例与被评估对象的可比性，以建立合理的调整因素指标体系进行测算。考虑的可比性如火电企业的所在区域、机组类型、有效利用小时、容量、上网电价、供电煤耗、标煤价格等方面。</w:t>
      </w:r>
    </w:p>
    <w:p w14:paraId="35BE05A9" w14:textId="1DA69B2B" w:rsidR="007F2E94" w:rsidRDefault="007F2E94" w:rsidP="007F2E94">
      <w:pPr>
        <w:pStyle w:val="13"/>
      </w:pPr>
      <w:r>
        <w:t>2、在采用上市公司比较法时，应恰当选择与发电企业进行比较分析的可比企业。可比企业应当与发电企业属于同一行业，或者受相同经济因素的影响。发电企业的可比性因素可从机组类型、容量规模、所在区域、资本结构、经营模式、行业政策等方面进行考虑。采用价值比率时，可考虑采用企业整体价值比率EV/发电量、EV/营业收入、EV/净利润。价值比率评估结果应当考虑流动性对评估对象价值的影响。</w:t>
      </w:r>
    </w:p>
    <w:p w14:paraId="55EBE1AF" w14:textId="3868163C" w:rsidR="007F2E94" w:rsidRDefault="007F2E94" w:rsidP="007F2E94">
      <w:pPr>
        <w:pStyle w:val="ab"/>
        <w:spacing w:before="62" w:after="62"/>
        <w:ind w:firstLine="482"/>
      </w:pPr>
      <w:r>
        <w:t>五、重点关注发电企业相关价格机制</w:t>
      </w:r>
    </w:p>
    <w:p w14:paraId="553DE6BE" w14:textId="0C29C7B4" w:rsidR="007F2E94" w:rsidRDefault="007F2E94" w:rsidP="007F2E94">
      <w:pPr>
        <w:pStyle w:val="13"/>
      </w:pPr>
      <w:r>
        <w:t>注册资产评估师应知晓，发电企业上网电价须报有关部门核准，并能理解国家对电价是实行统一政策、统一定价原则、分级管理制度。电价制定基本思路是合理补偿成本，合理确定收益，依法计入税金，坚持公平负担，促进电力建设。上网电价实行同网同质同价。</w:t>
      </w:r>
    </w:p>
    <w:p w14:paraId="42C9DDA4" w14:textId="39DEF7F1" w:rsidR="007F2E94" w:rsidRDefault="007F2E94" w:rsidP="007F2E94">
      <w:pPr>
        <w:pStyle w:val="13"/>
      </w:pPr>
      <w:r>
        <w:t>注册资产评估师应知晓、理解并关注，由于发电企业涉及范围非常广泛，其执行的上网电价形成机制相对比较复杂。如执行政府有关部门制定的上网电价；按补偿成本原则核定的上网电价；根据发电项目经济寿命周期，按照合理补偿成本、合理确定收益和依法计入税金的原则核定的上网电价；通过政府招标确定的上网电价；同一地区新建设的发电机组上网电价实行同一价格等。</w:t>
      </w:r>
    </w:p>
    <w:p w14:paraId="5548B584" w14:textId="39DAB131" w:rsidR="007F2E94" w:rsidRDefault="007F2E94" w:rsidP="007F2E94">
      <w:pPr>
        <w:pStyle w:val="13"/>
      </w:pPr>
      <w:r>
        <w:t>这里所指上网电价是发电企业与购电方进行上网电能结算的价格，涉及上网结算电价、标杆电价、特许招标中标电价、清洁能源补贴电价、脱硫电价、脱硝电价、除尘电价以及线路补偿电价。注册资产评估师应核实发电企业上网电价确定的依据和实际执行情况，合理恰当确定相关评估参数。</w:t>
      </w:r>
    </w:p>
    <w:p w14:paraId="61687A18" w14:textId="15CC7A12" w:rsidR="007F2E94" w:rsidRDefault="007F2E94" w:rsidP="007F2E94">
      <w:pPr>
        <w:pStyle w:val="13"/>
      </w:pPr>
      <w:r>
        <w:t>注册资产评估师在执行发电企业评估时，应知晓发电机组相关资产的市场价格确定，需要参考电力行业的相关概预算规定、定额文件以及电力行业发布的“人材机”调整文件。并能关注到发电机组建设期概、预(结)</w:t>
      </w:r>
      <w:proofErr w:type="gramStart"/>
      <w:r>
        <w:t>算采用</w:t>
      </w:r>
      <w:proofErr w:type="gramEnd"/>
      <w:r>
        <w:t>的定额文件与评估基准日有效执行定额文件的区别，以及采用地方定额和行业定额进行取费计算的区别。</w:t>
      </w:r>
    </w:p>
    <w:p w14:paraId="0020CF34" w14:textId="6073D323" w:rsidR="007F2E94" w:rsidRDefault="007F2E94" w:rsidP="007F2E94">
      <w:pPr>
        <w:pStyle w:val="13"/>
      </w:pPr>
      <w:r>
        <w:t>注册资产评估师应关注到因温室气体而启动的碳排放控制等相关规定，在执行发电企业评估业务时，应了解所在地区碳排放配额管理制度、企业取得的碳排放配额、碳排放配额交易市场信息、自愿减排量和CDM项目信息等资料。</w:t>
      </w:r>
    </w:p>
    <w:p w14:paraId="05B9A143" w14:textId="4E18B86F" w:rsidR="007F2E94" w:rsidRDefault="007F2E94" w:rsidP="007F2E94">
      <w:pPr>
        <w:pStyle w:val="ab"/>
        <w:spacing w:before="62" w:after="62"/>
        <w:ind w:firstLine="482"/>
      </w:pPr>
      <w:r>
        <w:lastRenderedPageBreak/>
        <w:t>六、重视评估结论分析及确定</w:t>
      </w:r>
    </w:p>
    <w:p w14:paraId="3D6C30A1" w14:textId="25685D15" w:rsidR="007F2E94" w:rsidRDefault="007F2E94" w:rsidP="007F2E94">
      <w:pPr>
        <w:pStyle w:val="13"/>
      </w:pPr>
      <w:r>
        <w:t>发电企业资产评估结论的合理性分析应是在合理设定的评估假设下，获取可靠的信息基础上进行的，注册资产评估师应重点关注：发电机组的生产技术指标在行业内所处的水平，未来区域经济发展状况、企业所处地理优势、企业上网电价水平、企业人员配置情况、发电机组历史投资成本、税收和会计政策等；应注意分析同一个发电项目或者相同区域内所涉及的不同发电机组的可比性指标。如注意分析非流动资产评估结果与行业部门公布的有效造价指标（或价格指数）的差异及原因，并注意计算口径统一与相关适用条件。</w:t>
      </w:r>
    </w:p>
    <w:p w14:paraId="7A92558E" w14:textId="2FC7B18B" w:rsidR="007F2E94" w:rsidRDefault="007F2E94" w:rsidP="007F2E94">
      <w:pPr>
        <w:pStyle w:val="13"/>
      </w:pPr>
      <w:r>
        <w:t>注册资产评估师在确定评估结论时，必须充分理解和考虑国家电力行业的相关政策和经济市场环境对评估结论的影响。</w:t>
      </w:r>
    </w:p>
    <w:p w14:paraId="5AE92411" w14:textId="720EF88C" w:rsidR="007F2E94" w:rsidRDefault="007F2E94" w:rsidP="007F2E94">
      <w:pPr>
        <w:pStyle w:val="ab"/>
        <w:spacing w:before="62" w:after="62"/>
        <w:ind w:firstLine="482"/>
      </w:pPr>
      <w:r>
        <w:t>七、充分关注专业胜任能力和重视利用专家工作</w:t>
      </w:r>
    </w:p>
    <w:p w14:paraId="3D198734" w14:textId="436207E6" w:rsidR="007F2E94" w:rsidRDefault="007F2E94" w:rsidP="007F2E94">
      <w:pPr>
        <w:pStyle w:val="13"/>
      </w:pPr>
      <w:r>
        <w:t>由于发电企业涉及资产类型多、专业面广，评估机构应当根据相关资产评估准则和评估标的具体情况，合理判断评估机构及注册资产评估师是否具备与项目匹配的专业胜任能力。如果发现专业胜任能力存在问题，应当及时采取其他必要措施予以补救，如采取业务培训和利用专家工作等。</w:t>
      </w:r>
    </w:p>
    <w:p w14:paraId="2134C789" w14:textId="22D5D1E8" w:rsidR="0047435F" w:rsidRDefault="007F2E94" w:rsidP="007F2E94">
      <w:pPr>
        <w:pStyle w:val="13"/>
      </w:pPr>
      <w:r>
        <w:t>对某些特殊资产技术、质量等状况进行判断或利用专业数据超出评估机构通常具有的能力时，评估机构及执行业务的注册资产评估</w:t>
      </w:r>
      <w:proofErr w:type="gramStart"/>
      <w:r>
        <w:t>师应当</w:t>
      </w:r>
      <w:proofErr w:type="gramEnd"/>
      <w:r>
        <w:t>与委托方进行沟通，要求聘请相关专业人员进行鉴定、判断，并在此基础上进行评估。如果委托方不接受此种要求，评估机构及注册资产评估</w:t>
      </w:r>
      <w:proofErr w:type="gramStart"/>
      <w:r>
        <w:t>师应当</w:t>
      </w:r>
      <w:proofErr w:type="gramEnd"/>
      <w:r>
        <w:t>对该事项进行恰当假设，并将该假设及其对评估结论的影响在评估报告中予以充分披露。</w:t>
      </w:r>
    </w:p>
    <w:p w14:paraId="6993360B" w14:textId="5C90E9F7" w:rsidR="0047435F" w:rsidRDefault="007F2E94" w:rsidP="007F2E94">
      <w:pPr>
        <w:pStyle w:val="31"/>
        <w:spacing w:before="156" w:after="62"/>
      </w:pPr>
      <w:bookmarkStart w:id="108" w:name="_Toc81833371"/>
      <w:r w:rsidRPr="007F2E94">
        <w:rPr>
          <w:rFonts w:hint="eastAsia"/>
        </w:rPr>
        <w:t>北京资产评估协会中小评估机构技术援助专家委员会专家提示第</w:t>
      </w:r>
      <w:r w:rsidRPr="007F2E94">
        <w:t>4号</w:t>
      </w:r>
      <w:r>
        <w:br/>
      </w:r>
      <w:r w:rsidRPr="007F2E94">
        <w:t>—无形资产评估</w:t>
      </w:r>
      <w:bookmarkEnd w:id="108"/>
    </w:p>
    <w:p w14:paraId="279E3878" w14:textId="77777777" w:rsidR="007F2E94" w:rsidRDefault="007F2E94" w:rsidP="007F2E94">
      <w:pPr>
        <w:pStyle w:val="13"/>
      </w:pPr>
      <w:r>
        <w:rPr>
          <w:rFonts w:hint="eastAsia"/>
        </w:rPr>
        <w:t>自</w:t>
      </w:r>
      <w:r>
        <w:t>2008年中国资产评估协会修订并重新发布《资产评估准则------无形资产》以来，涉及无形资产的评估业务的数量占整个资产评估业务数量的比例逐年增加，特别是在财务报告目的评估中，涉及无形资产评估业务更是发展增加迅速，为了帮助广大资产评估人员更好地理解和执行无形资产评估相关准则，北京资产评估协会组织相关专家对无形资产评估提出如下提示。</w:t>
      </w:r>
    </w:p>
    <w:p w14:paraId="7BE92CC1" w14:textId="37ABAC74" w:rsidR="007F2E94" w:rsidRDefault="007F2E94" w:rsidP="007F2E94">
      <w:pPr>
        <w:pStyle w:val="13"/>
      </w:pPr>
      <w:r>
        <w:t>特别说明：本提示是一种专家意见，仅供评估机构及相关业务人员在执行此类业务时参考，不能替代相关法律法规、资产评估准则以及注册资产评估师个人的职业判断。提示中所涉及的相关事项，评估机构在执业中应结合项目具体情况、资产评估准则以及注册资产评估师的职业判断确定，不应简单照搬照抄。北京资产评估协会将根据业务发展，对</w:t>
      </w:r>
      <w:proofErr w:type="gramStart"/>
      <w:r>
        <w:t>本专家</w:t>
      </w:r>
      <w:proofErr w:type="gramEnd"/>
      <w:r>
        <w:t>提示进行更新。</w:t>
      </w:r>
    </w:p>
    <w:p w14:paraId="76CB7315" w14:textId="5003A2A0" w:rsidR="007F2E94" w:rsidRDefault="007F2E94" w:rsidP="007F2E94">
      <w:pPr>
        <w:pStyle w:val="13"/>
      </w:pPr>
      <w:r>
        <w:t>本</w:t>
      </w:r>
      <w:proofErr w:type="gramStart"/>
      <w:r>
        <w:t>提示仅</w:t>
      </w:r>
      <w:proofErr w:type="gramEnd"/>
      <w:r>
        <w:t>供评估机构及相关业务人员在执行相关无形资产评估时参考，不能替</w:t>
      </w:r>
      <w:r>
        <w:lastRenderedPageBreak/>
        <w:t>代相关法律法规、资产评估准则以及注册评估师个人的职业判断。</w:t>
      </w:r>
    </w:p>
    <w:p w14:paraId="1AF8E6E4" w14:textId="3682AEB7" w:rsidR="007F2E94" w:rsidRDefault="007F2E94" w:rsidP="007F2E94">
      <w:pPr>
        <w:pStyle w:val="ab"/>
        <w:spacing w:before="62" w:after="62"/>
        <w:ind w:firstLine="482"/>
      </w:pPr>
      <w:r>
        <w:t>一、无形资产的辨识</w:t>
      </w:r>
    </w:p>
    <w:p w14:paraId="59BE7EE3" w14:textId="4E756D1C" w:rsidR="007F2E94" w:rsidRDefault="007F2E94" w:rsidP="007F2E94">
      <w:pPr>
        <w:pStyle w:val="13"/>
      </w:pPr>
      <w:r>
        <w:t>根据《资产评估准则------无形资产》的定义，无形资产是特定主体所拥有或者控制的，不具有实物形态，能持续发挥作用且能带来经济利益的资源。无形资产包括可辨识（可确指）和不可辨识（不可确指）两种，但国内无形资产评估准则没有给出无形资产可辨识的判别标准，参照国际评估准则有关规定，目前国际上公认的无形资产可辨识标准为：</w:t>
      </w:r>
    </w:p>
    <w:p w14:paraId="7C169DEE" w14:textId="09E7A1B8" w:rsidR="007F2E94" w:rsidRDefault="007F2E94" w:rsidP="007F2E94">
      <w:pPr>
        <w:pStyle w:val="13"/>
      </w:pPr>
      <w:r>
        <w:t>1．是否存在法律或合同规定的权力；</w:t>
      </w:r>
    </w:p>
    <w:p w14:paraId="0AB5C101" w14:textId="1633BB74" w:rsidR="007F2E94" w:rsidRDefault="007F2E94" w:rsidP="007F2E94">
      <w:pPr>
        <w:pStyle w:val="13"/>
      </w:pPr>
      <w:r>
        <w:t>2．是否可以与企业整体分离转让、出租和许可等。</w:t>
      </w:r>
    </w:p>
    <w:p w14:paraId="79B9FB7B" w14:textId="59AB200A" w:rsidR="007F2E94" w:rsidRDefault="007F2E94" w:rsidP="007F2E94">
      <w:pPr>
        <w:pStyle w:val="13"/>
      </w:pPr>
      <w:r>
        <w:t>上述两个条件是并列条款，满足其中之一即可确定无形资产属于可辨识的无形资产。满足条款</w:t>
      </w:r>
      <w:proofErr w:type="gramStart"/>
      <w:r>
        <w:t>一</w:t>
      </w:r>
      <w:proofErr w:type="gramEnd"/>
      <w:r>
        <w:t>的可辨识无形资产通常也被称为权力类无形资产，如专利权、商标权、著作权以及合同权益等；满足条款二的可辨识无形资产通常也被称为关系类无形资产，如客户关系、供应商关系和销售渠道等。</w:t>
      </w:r>
    </w:p>
    <w:p w14:paraId="6EF19FC2" w14:textId="14F903BD" w:rsidR="007F2E94" w:rsidRDefault="007F2E94" w:rsidP="007F2E94">
      <w:pPr>
        <w:pStyle w:val="13"/>
      </w:pPr>
      <w:r>
        <w:t>这里需要强调一点，国内由于存在《行政许可法》，因此对于一些行政法规规定的行政许可权力，按照国内目前的惯例，尚不能作为可辨识的无形资产。</w:t>
      </w:r>
    </w:p>
    <w:p w14:paraId="468ABBE7" w14:textId="301136EA" w:rsidR="007F2E94" w:rsidRDefault="007F2E94" w:rsidP="007F2E94">
      <w:pPr>
        <w:pStyle w:val="ab"/>
        <w:spacing w:before="62" w:after="62"/>
        <w:ind w:firstLine="482"/>
      </w:pPr>
      <w:r>
        <w:t>二、无形资产评估对象的确定</w:t>
      </w:r>
    </w:p>
    <w:p w14:paraId="53577272" w14:textId="1F746CE7" w:rsidR="007F2E94" w:rsidRDefault="007F2E94" w:rsidP="007F2E94">
      <w:pPr>
        <w:pStyle w:val="13"/>
      </w:pPr>
      <w:r>
        <w:t>根据国内无形资产准则的规定，无形资产评估对象通常可能为单项无形资产和无形资产的组合两种情况，所谓单项无形资产就是指单一项无形资产，如一项专利权，或者是一项商标权等；无形资产的组合通常是根据无形资产功能、用途等将多项无形资产组合在一起共同完成一项特定行为。</w:t>
      </w:r>
    </w:p>
    <w:p w14:paraId="5CCE5DF9" w14:textId="50828EBE" w:rsidR="007F2E94" w:rsidRDefault="007F2E94" w:rsidP="007F2E94">
      <w:pPr>
        <w:pStyle w:val="13"/>
      </w:pPr>
      <w:r>
        <w:t>无形资产的评估对象通常包含以下三个层次的概念：</w:t>
      </w:r>
    </w:p>
    <w:p w14:paraId="73F7FC22" w14:textId="3BAAEB09" w:rsidR="007F2E94" w:rsidRDefault="007F2E94" w:rsidP="007F2E94">
      <w:pPr>
        <w:pStyle w:val="13"/>
      </w:pPr>
      <w:r>
        <w:t>1．无形资产种类、名称。如专利、专有技术和商标等以及专利、专有技术和商标的名称。</w:t>
      </w:r>
    </w:p>
    <w:p w14:paraId="0B90AD06" w14:textId="27079435" w:rsidR="007F2E94" w:rsidRDefault="007F2E94" w:rsidP="007F2E94">
      <w:pPr>
        <w:pStyle w:val="13"/>
      </w:pPr>
      <w:r>
        <w:t>2．无形资产的权力。无形资产的权力通常包括所有权、使用权以及他项权利等。</w:t>
      </w:r>
    </w:p>
    <w:p w14:paraId="484A7EA5" w14:textId="68CD8A38" w:rsidR="007F2E94" w:rsidRDefault="007F2E94" w:rsidP="007F2E94">
      <w:pPr>
        <w:pStyle w:val="13"/>
      </w:pPr>
      <w:r>
        <w:t>3．无形资产的状态。即指评估对象是单项无形资产还是组合无形资产。</w:t>
      </w:r>
    </w:p>
    <w:p w14:paraId="6CE95402" w14:textId="303C85CC" w:rsidR="007F2E94" w:rsidRDefault="007F2E94" w:rsidP="007F2E94">
      <w:pPr>
        <w:pStyle w:val="13"/>
      </w:pPr>
      <w:r>
        <w:t>在无形资产评估实务操作中，评估人员需要对标的无形资产的评估对象按照上述三个层级进行明确界定和说明。</w:t>
      </w:r>
    </w:p>
    <w:p w14:paraId="4E48C949" w14:textId="1CE5BBD4" w:rsidR="007F2E94" w:rsidRDefault="007F2E94" w:rsidP="007F2E94">
      <w:pPr>
        <w:pStyle w:val="13"/>
      </w:pPr>
      <w:r>
        <w:t>现实中经常会遇到一些如专利、商标等无形资产的评估，评估对象截至评估基准日已经与第三方签订许可使用协议，由于此类评估涉及的所有权转移并不影响许可使用协议的有效性，因此对于这类无形资产的评估其评估对象的界定与没有签订许可协议的无形资产相比，评估对象的组成是不同的。对于签订许可协议的无形资产，无形资产的评估对象除了包括该无形资产的所有权之外，还包括一项许可协议的合同权益，其评估对象应该界定为该无形资产的所有权和许可协议合同权益结合的一</w:t>
      </w:r>
      <w:r>
        <w:lastRenderedPageBreak/>
        <w:t>个无形资产组合。</w:t>
      </w:r>
    </w:p>
    <w:p w14:paraId="595ED966" w14:textId="346369E4" w:rsidR="007F2E94" w:rsidRDefault="007F2E94" w:rsidP="007F2E94">
      <w:pPr>
        <w:pStyle w:val="ab"/>
        <w:spacing w:before="62" w:after="62"/>
        <w:ind w:firstLine="482"/>
      </w:pPr>
      <w:r>
        <w:t>三、无形资产评估途径的选择</w:t>
      </w:r>
    </w:p>
    <w:p w14:paraId="26C6FCC4" w14:textId="64E21A4E" w:rsidR="007F2E94" w:rsidRDefault="007F2E94" w:rsidP="007F2E94">
      <w:pPr>
        <w:pStyle w:val="13"/>
      </w:pPr>
      <w:r>
        <w:t>无形资产评估通常包括成本途径法、收益途径法和市场途径法三种基本方法。但在现实中，由于无形资产通常是人类创造性劳动的成果，这些劳动一般不具有重置性，因此成本途径的方法在多数情况下，不适用于评估无形资产；另一方面，由于无形资产的分类复杂、同一无形资产也可能由于使用力度不同造成绝对价值不一样，因此无形资产在绝对价值层面上基本很难具有可比性，一般也不常用市场比较法。由于上述特性，多数无形资产评估适用收益途径法。</w:t>
      </w:r>
    </w:p>
    <w:p w14:paraId="3ADBB575" w14:textId="77777777" w:rsidR="007F2E94" w:rsidRDefault="007F2E94" w:rsidP="007F2E94">
      <w:pPr>
        <w:pStyle w:val="13"/>
      </w:pPr>
      <w:r>
        <w:rPr>
          <w:rFonts w:hint="eastAsia"/>
        </w:rPr>
        <w:t>无形资产评估的收益途径法一般可以进一步分为三种具体操作方法，分别称为：</w:t>
      </w:r>
    </w:p>
    <w:p w14:paraId="19CD2392" w14:textId="5118114E" w:rsidR="007F2E94" w:rsidRDefault="007F2E94" w:rsidP="007F2E94">
      <w:pPr>
        <w:pStyle w:val="13"/>
      </w:pPr>
      <w:r>
        <w:t xml:space="preserve">1．提成法/许可费节省法（Relief-from-royalty, or royalty </w:t>
      </w:r>
      <w:proofErr w:type="spellStart"/>
      <w:r>
        <w:t>savingsmethod</w:t>
      </w:r>
      <w:proofErr w:type="spellEnd"/>
      <w:r>
        <w:t>）（提成法、分成法），多用于无形资产转让、许可使用等目的的评估；</w:t>
      </w:r>
    </w:p>
    <w:p w14:paraId="6DDA5840" w14:textId="235CB78D" w:rsidR="007F2E94" w:rsidRDefault="007F2E94" w:rsidP="007F2E94">
      <w:pPr>
        <w:pStyle w:val="13"/>
      </w:pPr>
      <w:r>
        <w:t>2．增量收益法（Premium profits, or incremental income method），多用于非竞争协议和无形资产侵权损失评估；</w:t>
      </w:r>
    </w:p>
    <w:p w14:paraId="6C7882A3" w14:textId="36FA6A60" w:rsidR="007F2E94" w:rsidRDefault="007F2E94" w:rsidP="007F2E94">
      <w:pPr>
        <w:pStyle w:val="13"/>
      </w:pPr>
      <w:r>
        <w:t>3．超额收益法（Excess earnings method），多用于客观关系等关系类无形资产以及特许经营权的评估。</w:t>
      </w:r>
    </w:p>
    <w:p w14:paraId="66389CED" w14:textId="3FCFA9A9" w:rsidR="007F2E94" w:rsidRDefault="007F2E94" w:rsidP="007F2E94">
      <w:pPr>
        <w:pStyle w:val="ab"/>
        <w:spacing w:before="62" w:after="62"/>
        <w:ind w:firstLine="482"/>
      </w:pPr>
      <w:r>
        <w:t>四、无形资产收益途径方法参数的估算</w:t>
      </w:r>
    </w:p>
    <w:p w14:paraId="24E917BA" w14:textId="1CAC887F" w:rsidR="007F2E94" w:rsidRDefault="007F2E94" w:rsidP="007F2E94">
      <w:pPr>
        <w:pStyle w:val="13"/>
      </w:pPr>
      <w:r>
        <w:t>（一）无形资产预期收益模式</w:t>
      </w:r>
    </w:p>
    <w:p w14:paraId="1D3FF611" w14:textId="21FD2A49" w:rsidR="007F2E94" w:rsidRDefault="007F2E94" w:rsidP="007F2E94">
      <w:pPr>
        <w:pStyle w:val="13"/>
      </w:pPr>
      <w:r>
        <w:t>无形资产作为一种能预期为所有者产生收益的经济资源，应该能为无形资产的所有者带来预期收益，但是不同的无形资产为所有者产生的收益方式是不完全一样的，无形资产未来收益模式一般可以分为两种基本模式：</w:t>
      </w:r>
    </w:p>
    <w:p w14:paraId="39CFA632" w14:textId="084BE433" w:rsidR="007F2E94" w:rsidRDefault="007F2E94" w:rsidP="007F2E94">
      <w:pPr>
        <w:pStyle w:val="13"/>
      </w:pPr>
      <w:r>
        <w:t>1．直接收益型。所谓直接收益</w:t>
      </w:r>
      <w:proofErr w:type="gramStart"/>
      <w:r>
        <w:t>型就是</w:t>
      </w:r>
      <w:proofErr w:type="gramEnd"/>
      <w:r>
        <w:t>无形资产产生收益的模式是将无形资产制作多个副本，直接将这些副本销售获得收益，例如计算机操作系统软件著作权资产，这类收益产生的模式称为直接收益型。</w:t>
      </w:r>
    </w:p>
    <w:p w14:paraId="6E279298" w14:textId="627E3C69" w:rsidR="007F2E94" w:rsidRDefault="007F2E94" w:rsidP="007F2E94">
      <w:pPr>
        <w:pStyle w:val="13"/>
      </w:pPr>
      <w:r>
        <w:t>2．间接收益型。所谓间接收益型是指将无形资产作为工具、生产、服务手段，制造出产品，或者提供服务，销售这些产品和服务获得收益，如专利权资产，这种产生收益的模式就是间接收益型。</w:t>
      </w:r>
    </w:p>
    <w:p w14:paraId="7F2FC787" w14:textId="1FE077B7" w:rsidR="007F2E94" w:rsidRDefault="007F2E94" w:rsidP="007F2E94">
      <w:pPr>
        <w:pStyle w:val="13"/>
      </w:pPr>
      <w:r>
        <w:t>（二）无形资产预期收益的衡量指标</w:t>
      </w:r>
    </w:p>
    <w:p w14:paraId="67067F0D" w14:textId="015D6CB8" w:rsidR="007F2E94" w:rsidRDefault="007F2E94" w:rsidP="007F2E94">
      <w:pPr>
        <w:pStyle w:val="13"/>
      </w:pPr>
      <w:r>
        <w:t>无论以何种方式产生收益，无形资产评估都首先需要确定一个衡量无形资产收益的指标，这个收益衡量指标一般可以是会计利润和现金</w:t>
      </w:r>
      <w:proofErr w:type="gramStart"/>
      <w:r>
        <w:t>流两种</w:t>
      </w:r>
      <w:proofErr w:type="gramEnd"/>
      <w:r>
        <w:t>选择，但由于预期收益与折现率要“口径”一致、相互匹配，因此一般多采用现金</w:t>
      </w:r>
      <w:proofErr w:type="gramStart"/>
      <w:r>
        <w:t>流作为</w:t>
      </w:r>
      <w:proofErr w:type="gramEnd"/>
      <w:r>
        <w:t>预期收益的衡量指标。</w:t>
      </w:r>
    </w:p>
    <w:p w14:paraId="7F44FD0C" w14:textId="78207C06" w:rsidR="007F2E94" w:rsidRDefault="007F2E94" w:rsidP="007F2E94">
      <w:pPr>
        <w:pStyle w:val="13"/>
      </w:pPr>
      <w:r>
        <w:t>从理论上说采用所得税</w:t>
      </w:r>
      <w:proofErr w:type="gramStart"/>
      <w:r>
        <w:t>前收益</w:t>
      </w:r>
      <w:proofErr w:type="gramEnd"/>
      <w:r>
        <w:t>和采用所得税后收益作为无形资产收益的衡量指标对评估结果是没有影响的，但是必须关注以下问题：</w:t>
      </w:r>
    </w:p>
    <w:p w14:paraId="14ACA1B5" w14:textId="1142E054" w:rsidR="007F2E94" w:rsidRDefault="007F2E94" w:rsidP="007F2E94">
      <w:pPr>
        <w:pStyle w:val="13"/>
      </w:pPr>
      <w:r>
        <w:lastRenderedPageBreak/>
        <w:t>1．当无形资产预期收益采用所得税</w:t>
      </w:r>
      <w:proofErr w:type="gramStart"/>
      <w:r>
        <w:t>前收益</w:t>
      </w:r>
      <w:proofErr w:type="gramEnd"/>
      <w:r>
        <w:t>时，其无形资产的折现率也应该是税前折现率；</w:t>
      </w:r>
    </w:p>
    <w:p w14:paraId="3DC46968" w14:textId="4DA4B5FB" w:rsidR="007F2E94" w:rsidRDefault="007F2E94" w:rsidP="007F2E94">
      <w:pPr>
        <w:pStyle w:val="13"/>
      </w:pPr>
      <w:r>
        <w:t>2．当无形资产预期收益采用税后收益时，其无形资产的折现率也应该是税后折现率，并且还需要考虑税收摊</w:t>
      </w:r>
      <w:proofErr w:type="gramStart"/>
      <w:r>
        <w:t>销收益</w:t>
      </w:r>
      <w:proofErr w:type="gramEnd"/>
      <w:r>
        <w:t>的价值；</w:t>
      </w:r>
    </w:p>
    <w:p w14:paraId="330C8DA7" w14:textId="42E63241" w:rsidR="007F2E94" w:rsidRDefault="007F2E94" w:rsidP="007F2E94">
      <w:pPr>
        <w:pStyle w:val="13"/>
      </w:pPr>
      <w:r>
        <w:t>另一方面，无形资产无论采用利润还是现金</w:t>
      </w:r>
      <w:proofErr w:type="gramStart"/>
      <w:r>
        <w:t>流作为</w:t>
      </w:r>
      <w:proofErr w:type="gramEnd"/>
      <w:r>
        <w:t>衡量预期收益的指标，都需采用货币对其进行计量。从经济学意义上说，货币计量价格可以是基准日不变价格，也可以是预测期各年货币的实际价格，即未来预期收益中可以包含、也可以不包含预期物价因素。</w:t>
      </w:r>
    </w:p>
    <w:p w14:paraId="03A31577" w14:textId="77777777" w:rsidR="007F2E94" w:rsidRDefault="007F2E94" w:rsidP="007F2E94">
      <w:pPr>
        <w:pStyle w:val="13"/>
      </w:pPr>
      <w:r>
        <w:rPr>
          <w:rFonts w:hint="eastAsia"/>
        </w:rPr>
        <w:t>如果预期收益中采用包含物价因素的实际价格计量，则折现率也应采用包含预期物价因素的折现率；如果预期收益是以基准日不变价格计量，不含预期物价因素，则折现率也应采用不含预期物价因素的折现率。</w:t>
      </w:r>
    </w:p>
    <w:p w14:paraId="227B28E2" w14:textId="1422B9D0" w:rsidR="007F2E94" w:rsidRDefault="007F2E94" w:rsidP="007F2E94">
      <w:pPr>
        <w:pStyle w:val="13"/>
      </w:pPr>
      <w:r>
        <w:t>（三）无形资产折现率与企业整体折现率以及其他资产折现率的区别</w:t>
      </w:r>
    </w:p>
    <w:p w14:paraId="69DC37D9" w14:textId="133F1E02" w:rsidR="007F2E94" w:rsidRDefault="007F2E94" w:rsidP="007F2E94">
      <w:pPr>
        <w:pStyle w:val="13"/>
      </w:pPr>
      <w:r>
        <w:t>根据《资产评估准则------无形资产》的要求，无形资产评估所采用的折现率应是无形资产的预期投资回报率，与企业整体收益的折现率和其他资产的折现率不一样。</w:t>
      </w:r>
    </w:p>
    <w:p w14:paraId="40576031" w14:textId="776EE41A" w:rsidR="007F2E94" w:rsidRDefault="007F2E94" w:rsidP="007F2E94">
      <w:pPr>
        <w:pStyle w:val="13"/>
      </w:pPr>
      <w:r>
        <w:t>在评估实务中，经常见到的一种无形资产折现率估算的累加方法为：</w:t>
      </w:r>
    </w:p>
    <w:p w14:paraId="731201E7" w14:textId="7431AE2E" w:rsidR="007F2E94" w:rsidRDefault="007F2E94" w:rsidP="007F2E94">
      <w:pPr>
        <w:pStyle w:val="13"/>
      </w:pPr>
      <w:r>
        <w:t>无形资产折现率R无形=无风险收益率+行业风险溢价+无形资产特殊风险溢价</w:t>
      </w:r>
    </w:p>
    <w:p w14:paraId="14DFED69" w14:textId="30F41AEA" w:rsidR="007F2E94" w:rsidRDefault="007F2E94" w:rsidP="007F2E94">
      <w:pPr>
        <w:pStyle w:val="13"/>
      </w:pPr>
      <w:r>
        <w:t>采用该累加公式估算无形资产折现率可能存在以下问题：</w:t>
      </w:r>
    </w:p>
    <w:p w14:paraId="6DA39D99" w14:textId="1FB954C2" w:rsidR="007F2E94" w:rsidRDefault="007F2E94" w:rsidP="007F2E94">
      <w:pPr>
        <w:pStyle w:val="13"/>
      </w:pPr>
      <w:r>
        <w:t>“无风险收益率+行业风险溢价”一般是估算企业股权投资回报率的累加模式，也就是该累加结果应该是企业股权投资折现率，这样在股权投资折现率基础上加无形资产风险溢价，理论上是存在重大瑕疵的。更好的无形资产的折现率估算方法应为累加法：</w:t>
      </w:r>
    </w:p>
    <w:p w14:paraId="38E1E939" w14:textId="23F55079" w:rsidR="007F2E94" w:rsidRDefault="007F2E94" w:rsidP="007F2E94">
      <w:pPr>
        <w:pStyle w:val="13"/>
      </w:pPr>
      <w:r>
        <w:t>无形资产折现率R无形=WACC+无形资产超额风险溢价</w:t>
      </w:r>
    </w:p>
    <w:p w14:paraId="4DBD0640" w14:textId="151CFC10" w:rsidR="007F2E94" w:rsidRDefault="007F2E94" w:rsidP="007F2E94">
      <w:pPr>
        <w:pStyle w:val="13"/>
      </w:pPr>
      <w:r>
        <w:t>即无形资产折现率的累加基础应在企业的加权资金成本基础上加一个无形资产的超额风险溢价。</w:t>
      </w:r>
    </w:p>
    <w:p w14:paraId="56A7349B" w14:textId="13FEBDF1" w:rsidR="007F2E94" w:rsidRDefault="007F2E94" w:rsidP="007F2E94">
      <w:pPr>
        <w:pStyle w:val="13"/>
      </w:pPr>
      <w:r>
        <w:t>（四）无形资产许可费率节省法评估</w:t>
      </w:r>
    </w:p>
    <w:p w14:paraId="679A0269" w14:textId="2EC98F02" w:rsidR="007F2E94" w:rsidRDefault="007F2E94" w:rsidP="007F2E94">
      <w:pPr>
        <w:pStyle w:val="13"/>
      </w:pPr>
      <w:r>
        <w:t>1．许可费节省率（提成率、分成率）估算</w:t>
      </w:r>
    </w:p>
    <w:p w14:paraId="1A5B69C3" w14:textId="05800C02" w:rsidR="007F2E94" w:rsidRDefault="007F2E94" w:rsidP="007F2E94">
      <w:pPr>
        <w:pStyle w:val="13"/>
      </w:pPr>
      <w:r>
        <w:t>无形资产评估采用最多的评估方法是收益途径中的许可费节省法。许可费节省法</w:t>
      </w:r>
      <w:proofErr w:type="gramStart"/>
      <w:r>
        <w:t>最</w:t>
      </w:r>
      <w:proofErr w:type="gramEnd"/>
      <w:r>
        <w:t>关键的步骤则是估算许可费节省率。</w:t>
      </w:r>
    </w:p>
    <w:p w14:paraId="3FF51BBB" w14:textId="1C5958C2" w:rsidR="007F2E94" w:rsidRDefault="007F2E94" w:rsidP="007F2E94">
      <w:pPr>
        <w:pStyle w:val="13"/>
      </w:pPr>
      <w:r>
        <w:t>目前国内可以采用的估算许可费率的方式包括但不局限于：</w:t>
      </w:r>
    </w:p>
    <w:p w14:paraId="3935B01F" w14:textId="2AAECE83" w:rsidR="007F2E94" w:rsidRDefault="007F2E94" w:rsidP="007F2E94">
      <w:pPr>
        <w:pStyle w:val="13"/>
      </w:pPr>
      <w:r>
        <w:t>（1）“三分”/ “四分”分成方式（经验数据方式）；</w:t>
      </w:r>
    </w:p>
    <w:p w14:paraId="5BB27146" w14:textId="0F354EBC" w:rsidR="007F2E94" w:rsidRDefault="007F2E94" w:rsidP="007F2E94">
      <w:pPr>
        <w:pStyle w:val="13"/>
      </w:pPr>
      <w:r>
        <w:t>（2）市场案例方式；</w:t>
      </w:r>
    </w:p>
    <w:p w14:paraId="67B0665D" w14:textId="0B1A3F4B" w:rsidR="007F2E94" w:rsidRDefault="007F2E94" w:rsidP="007F2E94">
      <w:pPr>
        <w:pStyle w:val="13"/>
      </w:pPr>
      <w:r>
        <w:t>（3）对比公司方式；</w:t>
      </w:r>
    </w:p>
    <w:p w14:paraId="7553F91D" w14:textId="08FACE2E" w:rsidR="007F2E94" w:rsidRDefault="007F2E94" w:rsidP="007F2E94">
      <w:pPr>
        <w:pStyle w:val="13"/>
      </w:pPr>
      <w:r>
        <w:t>“三分”和“四分”方式是针对利润指标的分成参数，不是针对现金流的分成</w:t>
      </w:r>
      <w:r>
        <w:lastRenderedPageBreak/>
        <w:t>参数，评估人员实际估算时，需要关注将利润指标转换为现金流指标。</w:t>
      </w:r>
    </w:p>
    <w:p w14:paraId="3188CCFD" w14:textId="18C47B74" w:rsidR="007F2E94" w:rsidRDefault="007F2E94" w:rsidP="007F2E94">
      <w:pPr>
        <w:pStyle w:val="13"/>
      </w:pPr>
      <w:r>
        <w:t>市场案例方式实际是寻找市场上成交的与被评估无形资产类似的无形资产许可费率实际成交价或合理的报价，通过分析对比案例数据确定被评估无形资产的许可费率。</w:t>
      </w:r>
    </w:p>
    <w:p w14:paraId="682CDEB3" w14:textId="44C0C238" w:rsidR="007F2E94" w:rsidRDefault="007F2E94" w:rsidP="007F2E94">
      <w:pPr>
        <w:pStyle w:val="13"/>
      </w:pPr>
      <w:r>
        <w:t>对比公司方式就是在国内上市公司中选择与被评估无形资产拟实施企业位于同行业的上市公司作为“对比公司”，由于对比公司与被评估无形资产拟实施的企业处于同行业，因此对比公司中应该也存在无形资产，其发挥作用的方式以及功能与被评估无形资产在拟实施企业发挥作用的方式及功能相同或相似，具有可比性，我们可以通过对比公司中相关无形资产所创造收益占全部收入的比例来估算对比公司相关无形资产的许可费率，再以对比公司中相关无形资产许可费率为基准，估算被评估无形资产的许可费率；</w:t>
      </w:r>
    </w:p>
    <w:p w14:paraId="1C685C3C" w14:textId="31E7B736" w:rsidR="007F2E94" w:rsidRDefault="007F2E94" w:rsidP="007F2E94">
      <w:pPr>
        <w:pStyle w:val="13"/>
      </w:pPr>
      <w:r>
        <w:t>2．许可费率的修正问题</w:t>
      </w:r>
    </w:p>
    <w:p w14:paraId="6AA73027" w14:textId="216C566E" w:rsidR="007F2E94" w:rsidRDefault="007F2E94" w:rsidP="007F2E94">
      <w:pPr>
        <w:pStyle w:val="13"/>
      </w:pPr>
      <w:r>
        <w:t>现实评估实务中，经常有评估师对许可费率进行所谓的因素修正，如选择“先进性”、“成熟度”、“保护力度”、“行业地位”和“获利能力”等因素，但在分析修正因素时，上述因素不能很好地满足独立性和相关性条件。例如“先进性”与“行业地位”存在相关性；“保护力度”与“获利能力”存在关联；“成熟度”实际上属于风险因素的范畴，通常在反映无形资产风险因素中与折现率相关，而不与许可费率的大小相关；进行无形资产许可费率修正时，应合理选择相关因素，并对相关因素进行定性和定量分析。</w:t>
      </w:r>
    </w:p>
    <w:p w14:paraId="2AEF3783" w14:textId="543C7C32" w:rsidR="007F2E94" w:rsidRDefault="007F2E94" w:rsidP="007F2E94">
      <w:pPr>
        <w:pStyle w:val="13"/>
      </w:pPr>
      <w:r>
        <w:t>3．无形资产超额收益法评估</w:t>
      </w:r>
    </w:p>
    <w:p w14:paraId="36317348" w14:textId="2F7579E2" w:rsidR="007F2E94" w:rsidRDefault="007F2E94" w:rsidP="007F2E94">
      <w:pPr>
        <w:pStyle w:val="13"/>
      </w:pPr>
      <w:r>
        <w:t>无形资产评估的超额收益法操作步骤一般包括：</w:t>
      </w:r>
    </w:p>
    <w:p w14:paraId="22207111" w14:textId="48D1A646" w:rsidR="007F2E94" w:rsidRDefault="007F2E94" w:rsidP="007F2E94">
      <w:pPr>
        <w:pStyle w:val="13"/>
      </w:pPr>
      <w:r>
        <w:t>（1）确定对收益流有贡献的各类资产；</w:t>
      </w:r>
    </w:p>
    <w:p w14:paraId="519E5FD5" w14:textId="2DE496BC" w:rsidR="007F2E94" w:rsidRDefault="007F2E94" w:rsidP="007F2E94">
      <w:pPr>
        <w:pStyle w:val="13"/>
      </w:pPr>
      <w:r>
        <w:t>（2）估算上述贡献资产的市场价值；</w:t>
      </w:r>
    </w:p>
    <w:p w14:paraId="43CF533C" w14:textId="357772D4" w:rsidR="007F2E94" w:rsidRDefault="007F2E94" w:rsidP="007F2E94">
      <w:pPr>
        <w:pStyle w:val="13"/>
      </w:pPr>
      <w:r>
        <w:t>（3）以市场价值为基础估算贡献资产的贡献。</w:t>
      </w:r>
    </w:p>
    <w:p w14:paraId="03B8EB02" w14:textId="427D0243" w:rsidR="007F2E94" w:rsidRDefault="007F2E94" w:rsidP="007F2E94">
      <w:pPr>
        <w:pStyle w:val="13"/>
      </w:pPr>
      <w:r>
        <w:t>目前，评估界常用的估算贡献方法有两种，一种称为年度平均余额法（Average Annual Balance Method)，另一种称为租金支付法（Level Payment Method)。所谓年度余额法是根据各贡献资产年度的平均余额分别估算补偿回报（Return Of）和投资回报（Return On），并将两部分相加得到贡献资产的贡献；另一种方法为租金支付法，该方法是将期</w:t>
      </w:r>
      <w:proofErr w:type="gramStart"/>
      <w:r>
        <w:t>初贡献</w:t>
      </w:r>
      <w:proofErr w:type="gramEnd"/>
      <w:r>
        <w:t>资产的价值看作为一个银行借款的“本金”，将期望投资回报率作为借款利率，</w:t>
      </w:r>
      <w:proofErr w:type="gramStart"/>
      <w:r>
        <w:t>将贡献</w:t>
      </w:r>
      <w:proofErr w:type="gramEnd"/>
      <w:r>
        <w:t>资产的经济寿命作为借款年限，以等额年金方式估算</w:t>
      </w:r>
      <w:r>
        <w:rPr>
          <w:rFonts w:hint="eastAsia"/>
        </w:rPr>
        <w:t>每年应支付的等额年金，并以此作为贡献资产的年贡献。</w:t>
      </w:r>
    </w:p>
    <w:p w14:paraId="681C66C5" w14:textId="50CC969C" w:rsidR="007F2E94" w:rsidRDefault="007F2E94" w:rsidP="007F2E94">
      <w:pPr>
        <w:pStyle w:val="ab"/>
        <w:spacing w:before="62" w:after="62"/>
        <w:ind w:firstLine="482"/>
      </w:pPr>
      <w:r>
        <w:t>五、特定目的无形资产评估</w:t>
      </w:r>
    </w:p>
    <w:p w14:paraId="249F7281" w14:textId="53BAC972" w:rsidR="007F2E94" w:rsidRDefault="007F2E94" w:rsidP="007F2E94">
      <w:pPr>
        <w:pStyle w:val="13"/>
      </w:pPr>
      <w:r>
        <w:t>（一）质押目的的无形资产评估</w:t>
      </w:r>
    </w:p>
    <w:p w14:paraId="13F877A9" w14:textId="3FCEEE09" w:rsidR="007F2E94" w:rsidRDefault="007F2E94" w:rsidP="007F2E94">
      <w:pPr>
        <w:pStyle w:val="13"/>
      </w:pPr>
      <w:r>
        <w:t>1．根据物权法第二百二十三条的规定，可以用于质押的无形资产包括可以转让</w:t>
      </w:r>
      <w:r>
        <w:lastRenderedPageBreak/>
        <w:t>的注册商标专用权、专利权、著作权等知识产权中的财产权；物权法第二百二十七条的规定，以注册商标专用权、专利权、著作权等知识产权中的财产权出质的，当事人应当订立书面合同。</w:t>
      </w:r>
      <w:proofErr w:type="gramStart"/>
      <w:r>
        <w:t>质权自有关</w:t>
      </w:r>
      <w:proofErr w:type="gramEnd"/>
      <w:r>
        <w:t>主管部门办理出质登记时设立。</w:t>
      </w:r>
    </w:p>
    <w:p w14:paraId="3E135C18" w14:textId="008E9E06" w:rsidR="007F2E94" w:rsidRDefault="007F2E94" w:rsidP="007F2E94">
      <w:pPr>
        <w:pStyle w:val="13"/>
      </w:pPr>
      <w:r>
        <w:t>依据上述法律规定，可以设置质押权的无形资产应为可以依法办理登记的无形资产，法律不予登记的无形资产一般是不能合法设置质押权。</w:t>
      </w:r>
    </w:p>
    <w:p w14:paraId="07C0EC6C" w14:textId="7A50FBFB" w:rsidR="007F2E94" w:rsidRDefault="007F2E94" w:rsidP="007F2E94">
      <w:pPr>
        <w:pStyle w:val="13"/>
      </w:pPr>
      <w:r>
        <w:t>2．共有的无形资产质押时需要征得共有人的书面同意。无形资产的共有分“共同共有”和“按份共有”，对于共同共有的无形资产质押需要共有方书面同意；按份共有如果各共有人不能独立行使其拥有的无形资产份额，则也需要共有人书面同意。</w:t>
      </w:r>
    </w:p>
    <w:p w14:paraId="0F3AADB3" w14:textId="0FDFC80B" w:rsidR="007F2E94" w:rsidRDefault="007F2E94" w:rsidP="007F2E94">
      <w:pPr>
        <w:pStyle w:val="13"/>
      </w:pPr>
      <w:r>
        <w:t>3．质押目的评估时，应当区别出质人自用的无形资产与已经许可他人使用的无形资产的差异。</w:t>
      </w:r>
    </w:p>
    <w:p w14:paraId="592663EC" w14:textId="170A16C1" w:rsidR="007F2E94" w:rsidRDefault="007F2E94" w:rsidP="007F2E94">
      <w:pPr>
        <w:pStyle w:val="13"/>
      </w:pPr>
      <w:r>
        <w:t>自用无形资产如果出质人自身经营出现困难，则无形资产就要停止实施；已经许可他人使用的无形资产，一般不会因出质人自身经营出现困难而影响许可协议的执行，因此带有许可他人使用的收益还会继续存在。</w:t>
      </w:r>
    </w:p>
    <w:p w14:paraId="30D441E8" w14:textId="7917ABE6" w:rsidR="007F2E94" w:rsidRDefault="007F2E94" w:rsidP="007F2E94">
      <w:pPr>
        <w:pStyle w:val="13"/>
      </w:pPr>
      <w:r>
        <w:t>4．关于所谓的“收费权”质押问题，如自来水厂收费权质押、电厂收费权质押、公园收费权质押等，这些质押标的物，由于目前法律、法规均没有规定法定的登记程序，因此是否可以进行合法的质押登记，</w:t>
      </w:r>
      <w:proofErr w:type="gramStart"/>
      <w:r>
        <w:t>评估师需征询</w:t>
      </w:r>
      <w:proofErr w:type="gramEnd"/>
      <w:r>
        <w:t>律师的意见做出判断。一般情况下，不能依法进行登记的无形资产无法合法设定质押权。</w:t>
      </w:r>
    </w:p>
    <w:p w14:paraId="59F12DB5" w14:textId="1C2A82D4" w:rsidR="007F2E94" w:rsidRDefault="007F2E94" w:rsidP="007F2E94">
      <w:pPr>
        <w:pStyle w:val="13"/>
      </w:pPr>
      <w:r>
        <w:t>（二）出资目的的无形资产评估</w:t>
      </w:r>
    </w:p>
    <w:p w14:paraId="14735D16" w14:textId="25E9C4A0" w:rsidR="007F2E94" w:rsidRDefault="007F2E94" w:rsidP="007F2E94">
      <w:pPr>
        <w:pStyle w:val="13"/>
      </w:pPr>
      <w:r>
        <w:t>1．根据公司法第二十七条的规定，股东可以用货币出资，也可以用实物、知识产权、土地使用权等可以用货币估价并可以依法转让的非货币财产作价出资；但是，法律、行政法规规定不得作为出资的财产除外。根据上述法律规定，可以作为出资的无形资产只有法律、法规没有限制的知识产权无形资产。可以作为出资的无形资产一般包括专利资产、专有技术资产、商标权资产和著作权资产。集成电路布图设计专有权、植物新品种的品种权能</w:t>
      </w:r>
      <w:proofErr w:type="gramStart"/>
      <w:r>
        <w:t>否</w:t>
      </w:r>
      <w:proofErr w:type="gramEnd"/>
      <w:r>
        <w:t>出资目前尚无明确规定，需要与工商管理部门沟通。</w:t>
      </w:r>
    </w:p>
    <w:p w14:paraId="28C6D0C9" w14:textId="1428FE27" w:rsidR="007F2E94" w:rsidRDefault="007F2E94" w:rsidP="007F2E94">
      <w:pPr>
        <w:pStyle w:val="13"/>
      </w:pPr>
      <w:r>
        <w:t>2．可以作为出资的无形资产一般是指无形资产的“所有权”。无形资产的所有权包括使用、收益和处分的权力，与无形资产出资相关的权力主要是收益权和处置权，公司法要求出资的资产需要具有依法转让的权力，因此无形资产的单独使用权是否可以出资需要与工商部门沟通。</w:t>
      </w:r>
    </w:p>
    <w:p w14:paraId="794D57DC" w14:textId="03D7989E" w:rsidR="0047435F" w:rsidRDefault="007F2E94" w:rsidP="007F2E94">
      <w:pPr>
        <w:pStyle w:val="13"/>
      </w:pPr>
      <w:r>
        <w:t>3．出资目的的无形资产评估价值类型一般选择“市场价值”。共有的无形资产出资需要征得共有人的书面同意。</w:t>
      </w:r>
      <w:r>
        <w:rPr>
          <w:rFonts w:hint="eastAsia"/>
        </w:rPr>
        <w:t>或有无形资产，如专利申请权等目前实务中一般不能出资。</w:t>
      </w:r>
    </w:p>
    <w:p w14:paraId="78790E19" w14:textId="77777777" w:rsidR="00FA0363" w:rsidRDefault="00FA0363" w:rsidP="00FA0363">
      <w:pPr>
        <w:pStyle w:val="31"/>
        <w:spacing w:before="156" w:after="62"/>
      </w:pPr>
      <w:bookmarkStart w:id="109" w:name="_Toc81833372"/>
      <w:r>
        <w:rPr>
          <w:rFonts w:hint="eastAsia"/>
        </w:rPr>
        <w:lastRenderedPageBreak/>
        <w:t>北京资产评估协会专业技术委员会执业问题解答（</w:t>
      </w:r>
      <w:r>
        <w:t>2018年第一期）</w:t>
      </w:r>
      <w:bookmarkEnd w:id="109"/>
    </w:p>
    <w:p w14:paraId="571EC480" w14:textId="77777777" w:rsidR="00FA0363" w:rsidRDefault="00FA0363" w:rsidP="00FA0363">
      <w:pPr>
        <w:pStyle w:val="ab"/>
        <w:spacing w:before="62" w:after="62"/>
        <w:ind w:firstLine="482"/>
      </w:pPr>
      <w:r>
        <w:rPr>
          <w:rFonts w:hint="eastAsia"/>
        </w:rPr>
        <w:t>一、关于业务约定书</w:t>
      </w:r>
    </w:p>
    <w:p w14:paraId="5265403C" w14:textId="77777777" w:rsidR="00FA0363" w:rsidRDefault="00FA0363" w:rsidP="00FA0363">
      <w:pPr>
        <w:pStyle w:val="13"/>
      </w:pPr>
      <w:r>
        <w:t>Q1：评估业务约定书变更形式问题。对评估业务约定书的相关内容进行变更，能否通过传真及电子邮件等形式？如评估机构与委托方就有关变更发生争执，相关传真及电子邮件是否可以作为有效的法律证据？</w:t>
      </w:r>
    </w:p>
    <w:p w14:paraId="115E208E" w14:textId="77777777" w:rsidR="00FA0363" w:rsidRDefault="00FA0363" w:rsidP="00FA0363">
      <w:pPr>
        <w:pStyle w:val="13"/>
      </w:pPr>
      <w:r>
        <w:t>A1：承接评估业务后，评估机构一般会按规定与委托方签订《业务约定书》，但在业务执行中，业务约定书所涉及内容难免会出现需要变更调整的情形。按照《资产评估准则—业务约定书》第二十条规定“业务约定书签订后，评估目的、评估对象、评估基准日发生变化，或者评估范围发生重大变化，评估机构应当与委托方签订补充协议或者重新签订业务约定书”。但实际操作中，重新签订业务约定书一般比较困难，一些评估机构就通过传真、电子邮件等形式，与委托方达成对业务约定书中相关事项的变更调整。但在接受业内外检查时，评估机构的此种变更做法会被一些检查</w:t>
      </w:r>
      <w:r>
        <w:rPr>
          <w:rFonts w:hint="eastAsia"/>
        </w:rPr>
        <w:t>当事方视为违背了资产评估准则的相关规定。</w:t>
      </w:r>
    </w:p>
    <w:p w14:paraId="6313AA7F" w14:textId="77777777" w:rsidR="00FA0363" w:rsidRDefault="00FA0363" w:rsidP="00FA0363">
      <w:pPr>
        <w:pStyle w:val="13"/>
      </w:pPr>
      <w:r>
        <w:rPr>
          <w:rFonts w:hint="eastAsia"/>
        </w:rPr>
        <w:t>针对以上问题，我们首先查阅了《资产评估准则—业务约定书》第四章，其中：</w:t>
      </w:r>
      <w:r>
        <w:t>第十九、二十条分别针对业务约定</w:t>
      </w:r>
      <w:proofErr w:type="gramStart"/>
      <w:r>
        <w:t>书签订</w:t>
      </w:r>
      <w:proofErr w:type="gramEnd"/>
      <w:r>
        <w:t>后，“签约各方发现相关事项约定不明确，或者履行评估程序受到限制需要增加、调整约定事项”，以及“评估目的、评估对象、评估基准日发生变化，或者评估范围发生重大变化”等需要变更业务约定内容的情形，要求评估机构应当与委托方签订补充协议或者重新签订业务约定书。且《资产评估准则—</w:t>
      </w:r>
      <w:r>
        <w:rPr>
          <w:rFonts w:hint="eastAsia"/>
        </w:rPr>
        <w:t>—业务约定书》第二条将“业务约定书”界定为书面合同。按照《中华人民共和国合同法》第十一条，“书面形式是指合同书、信件和数据电文（包括电报、电传、传真、电子数据交换和电子邮件）等可以有形地表现所载内容的形式”。</w:t>
      </w:r>
    </w:p>
    <w:p w14:paraId="0480ABD9" w14:textId="77777777" w:rsidR="00FA0363" w:rsidRDefault="00FA0363" w:rsidP="00FA0363">
      <w:pPr>
        <w:pStyle w:val="13"/>
      </w:pPr>
      <w:r>
        <w:rPr>
          <w:rFonts w:hint="eastAsia"/>
        </w:rPr>
        <w:t>因此，在评估业务约定书变更中，如果评估机构与委托方就有关变更事项发生争执，</w:t>
      </w:r>
      <w:r>
        <w:t>相关传真及电子邮件等可以作为有效的法律证据。评估机构应当在业务约定事项变更后及时收集、整理相关证据，妥善立档保存。同时也应认识到，由于现实中使用传真及电子邮件存在较大的风险，如：传真件应认定为原件还是复印件；传真件是否是传真方所发出，接收方是否收到了传真；传真件有无伪造、变造情形；是否有其他相关证据佐证用于补充传真件等。如果只有唯一的传真件而没有其他佐证予以证明且对方又予以否认的，则该传真件为孤证，证据效力有限。又因传真件保存时间有</w:t>
      </w:r>
      <w:r>
        <w:rPr>
          <w:rFonts w:hint="eastAsia"/>
        </w:rPr>
        <w:t>限，在证据保管方面有风险。因此，在实务操作中，建议尽量使用合同书的形式将相关变更事项确认下来。</w:t>
      </w:r>
    </w:p>
    <w:p w14:paraId="574D51E9" w14:textId="77777777" w:rsidR="00FA0363" w:rsidRDefault="00FA0363" w:rsidP="00FA0363">
      <w:pPr>
        <w:pStyle w:val="13"/>
      </w:pPr>
      <w:r>
        <w:t>Q2：评估业务约定书是否必须先于评估业务开展前签署？如果在业务约定书签署之前被要求先行开展评估工作，评估机构应如何进行必要的风险防范?</w:t>
      </w:r>
    </w:p>
    <w:p w14:paraId="4C4C4CAF" w14:textId="77777777" w:rsidR="00FA0363" w:rsidRDefault="00FA0363" w:rsidP="00FA0363">
      <w:pPr>
        <w:pStyle w:val="13"/>
      </w:pPr>
      <w:r>
        <w:t>A2：评估实务中发现，或由于实施评估所服务的经济行为要求的时间较为紧迫；或因委托方完成业务约定书审议、签批的流程所需时间较长，在客户已表现出较明确</w:t>
      </w:r>
      <w:r>
        <w:lastRenderedPageBreak/>
        <w:t>委托意愿的前提下，客户需要评估机构在业务约定书签署之前，先行开展评估实务操作活动。评估机构经过对客户及项目风险评价后也有意承接业务，但因《资产评估准则—业务约定书》第六条“评估机构应当在决定承接评估业务后与委托方签订业务约定书”的要求而踌躇。在接受业内外检查时，有时评估机构会因评估工作开展早于签约时间，检查组认为“业务约定书签订不及时”，不符合准则规定。</w:t>
      </w:r>
    </w:p>
    <w:p w14:paraId="2626A4C6" w14:textId="77777777" w:rsidR="00FA0363" w:rsidRDefault="00FA0363" w:rsidP="00FA0363">
      <w:pPr>
        <w:pStyle w:val="13"/>
      </w:pPr>
      <w:r>
        <w:rPr>
          <w:rFonts w:hint="eastAsia"/>
        </w:rPr>
        <w:t>专家认为，签订业务约定书既是准则要求，也是规范评估服务、保护签约各方权利的重要措施。因此，开展评估业务前，如不能签署业务约定书，可能会对评估机构维权造成不利影响，甚至带来执业风险，并酿成经济损失。但评估实务中，客户审议、签批业务约定书需要履行规定的流程，大中型或组织结构复杂的客户需要花费的时间和手续更为繁冗。在实现评估所服务经济行为要求的时间较为有限的情况下，为保证有充足的评估工作时间，要求评估工作先行开展也具有一定的现实理由。能否在完成业务约定书签署前答应客户的相关请求，需要评估机构对客户的履约及诚信状况进行必要的风险评价。</w:t>
      </w:r>
    </w:p>
    <w:p w14:paraId="338C198C" w14:textId="77777777" w:rsidR="00FA0363" w:rsidRDefault="00FA0363" w:rsidP="00FA0363">
      <w:pPr>
        <w:pStyle w:val="13"/>
      </w:pPr>
      <w:r>
        <w:rPr>
          <w:rFonts w:hint="eastAsia"/>
        </w:rPr>
        <w:t>如果有意在业务约定书签署之前应客户要求开展评估工作，评估机构应当通过法律允许的必要形式取得客户对此进行请求或确认的依据，并及时记录、保留反映评估工作时间、工作量、工作成果等信息的必要证据，以保护评估机构的合法权益。</w:t>
      </w:r>
    </w:p>
    <w:p w14:paraId="20BCCCA1" w14:textId="77777777" w:rsidR="00FA0363" w:rsidRDefault="00FA0363" w:rsidP="00FA0363">
      <w:pPr>
        <w:pStyle w:val="13"/>
      </w:pPr>
      <w:r>
        <w:rPr>
          <w:rFonts w:hint="eastAsia"/>
        </w:rPr>
        <w:t>为此，专家认为对在业务约定书签署之前需要应客户要求开展评估工作的，应做出必要的风险提示，提出风险防范建议。同时，还应对签署业务约定书时尚未明确、对执行评估业务不构成重大障碍的内容，允许业务约定书的签订方采取签署补充业务约定书或法律允许的其他形式进行后续约定。</w:t>
      </w:r>
    </w:p>
    <w:p w14:paraId="0602FBE2" w14:textId="77777777" w:rsidR="00FA0363" w:rsidRDefault="00FA0363" w:rsidP="00FA0363">
      <w:pPr>
        <w:pStyle w:val="13"/>
      </w:pPr>
      <w:r>
        <w:rPr>
          <w:rFonts w:hint="eastAsia"/>
        </w:rPr>
        <w:t>《最高人民法院关于适用</w:t>
      </w:r>
      <w:r>
        <w:t>&lt;中华人民共和国合同法&gt;若干问题的解释（二）》第一条指出，“当事人对合同是否成立存在争议，人民法院能够确定当事人名称或者姓名、标的和数量的，一般应当认定合同成立。但法律另有规定或者当事人另有约定的除外”。第二条规定，“当事人未以书面形式或者口头形式订立合同，但从双方从事的民事行为</w:t>
      </w:r>
      <w:r>
        <w:rPr>
          <w:rFonts w:hint="eastAsia"/>
        </w:rPr>
        <w:t>能够推定双方有订立合同意愿的，人民法院可以认定是以合同法第十条第一款中的其他形式订立的合同。但法律另有规定的除外”。从中可以看出，只要能够证明或推定委托事实存在，评估机构注意搜集、保留能反映相关业务的工作时间、工作量及成果的证据，</w:t>
      </w:r>
      <w:r>
        <w:t>即使尚未与客户完成签约，评估机构仍可以借助法律的支持，依法维护自身的合法权益。</w:t>
      </w:r>
    </w:p>
    <w:p w14:paraId="3B85B3D7" w14:textId="77777777" w:rsidR="00FA0363" w:rsidRDefault="00FA0363" w:rsidP="00FA0363">
      <w:pPr>
        <w:pStyle w:val="13"/>
      </w:pPr>
      <w:r>
        <w:rPr>
          <w:rFonts w:hint="eastAsia"/>
        </w:rPr>
        <w:t>因此，只要注重业务及客户评价，重视风险防范，评估机构可以同意评估业务约定书在评估工作开始后完成签署。但必须具备的前提：一是通过法律允许的必要形式取得了客户对其先行开展评估工作的请求或确认依据；二是有能力形成或取得反映其工作时间、工作量、工作成果等信息的必要证据。</w:t>
      </w:r>
    </w:p>
    <w:p w14:paraId="1351156D" w14:textId="77777777" w:rsidR="00FA0363" w:rsidRDefault="00FA0363" w:rsidP="00FA0363">
      <w:pPr>
        <w:pStyle w:val="ab"/>
        <w:spacing w:before="62" w:after="62"/>
        <w:ind w:firstLine="482"/>
      </w:pPr>
      <w:r>
        <w:rPr>
          <w:rFonts w:hint="eastAsia"/>
        </w:rPr>
        <w:lastRenderedPageBreak/>
        <w:t>二、关于评估基准日</w:t>
      </w:r>
    </w:p>
    <w:p w14:paraId="28AFB3AA" w14:textId="77777777" w:rsidR="00FA0363" w:rsidRDefault="00FA0363" w:rsidP="00FA0363">
      <w:pPr>
        <w:pStyle w:val="13"/>
      </w:pPr>
      <w:r>
        <w:t>Q3：评估对象中包含的一项长期控股股权投资，在评估基准日时，尚未上市，但在出具报告时已经上市流通，若按照市场价格计价，评估结果与基准日时的价值相差悬殊。评估基准日至报告出具日之间正好赶上了2015年的楼市巨大波动，因某种原因，评估基准</w:t>
      </w:r>
      <w:proofErr w:type="gramStart"/>
      <w:r>
        <w:t>日无法</w:t>
      </w:r>
      <w:proofErr w:type="gramEnd"/>
      <w:r>
        <w:t>调整。各相关当事方在会上争论不休，有坚持按基准日未上市状态评估的；有提议应当充分考虑出具报告日时点评估对象已经上市且两者之间评估结果差异较大的问题。请问在此情况下，应如何选择评估基准日呢？</w:t>
      </w:r>
    </w:p>
    <w:p w14:paraId="778C5C04" w14:textId="77777777" w:rsidR="00FA0363" w:rsidRDefault="00FA0363" w:rsidP="00FA0363">
      <w:pPr>
        <w:pStyle w:val="13"/>
      </w:pPr>
      <w:r>
        <w:t>A3：这类问题在评估实务中经常会遇到，处理方法简单、明确。基准日的选择一般由委托方根据经济行为实现目的等情况来确定，并尽可能与评估目的的实现日接近。上面的问题最好的解决方案就是调整评估基准日。评估基准日一经确定，一切取价标准均应为评估基准日这个时点有效的价格标准。</w:t>
      </w:r>
    </w:p>
    <w:p w14:paraId="5EB30ECC" w14:textId="77777777" w:rsidR="00FA0363" w:rsidRDefault="00FA0363" w:rsidP="00FA0363">
      <w:pPr>
        <w:pStyle w:val="13"/>
      </w:pPr>
      <w:r>
        <w:rPr>
          <w:rFonts w:hint="eastAsia"/>
        </w:rPr>
        <w:t>举个简单的例子，北京市某处房子在</w:t>
      </w:r>
      <w:r>
        <w:t>2014年底市场价格为5万元/平方米，评估基</w:t>
      </w:r>
      <w:r>
        <w:rPr>
          <w:rFonts w:hint="eastAsia"/>
        </w:rPr>
        <w:t>准日定在</w:t>
      </w:r>
      <w:r>
        <w:t>2014年底，评估取</w:t>
      </w:r>
      <w:proofErr w:type="gramStart"/>
      <w:r>
        <w:t>价应该</w:t>
      </w:r>
      <w:proofErr w:type="gramEnd"/>
      <w:r>
        <w:t>按照5万元/平方米标准来定。2015年6月因为该区</w:t>
      </w:r>
      <w:r>
        <w:rPr>
          <w:rFonts w:hint="eastAsia"/>
        </w:rPr>
        <w:t>域变成了抢手的学区房，价格飞涨至</w:t>
      </w:r>
      <w:r>
        <w:t>7万元/平方米，报告出具日在2015年10月份。若</w:t>
      </w:r>
      <w:r>
        <w:rPr>
          <w:rFonts w:hint="eastAsia"/>
        </w:rPr>
        <w:t>产权所有者认为不合理，基准日可以调整到</w:t>
      </w:r>
      <w:r>
        <w:t>2015年6月份，这样距离交易日比较接近，价格也没有重大变化。</w:t>
      </w:r>
    </w:p>
    <w:p w14:paraId="164B8001" w14:textId="77777777" w:rsidR="00FA0363" w:rsidRDefault="00FA0363" w:rsidP="00FA0363">
      <w:pPr>
        <w:pStyle w:val="13"/>
      </w:pPr>
      <w:r>
        <w:rPr>
          <w:rFonts w:hint="eastAsia"/>
        </w:rPr>
        <w:t>实务操作中，往往情况比较复杂，解决时还应从基本原理入手，既要坚持原则，又能提出合理化建议，这样才能够得到客户的尊重。</w:t>
      </w:r>
    </w:p>
    <w:p w14:paraId="697A5C4F" w14:textId="77777777" w:rsidR="00FA0363" w:rsidRDefault="00FA0363" w:rsidP="00FA0363">
      <w:pPr>
        <w:pStyle w:val="13"/>
      </w:pPr>
      <w:r>
        <w:t>Q4：评估基准</w:t>
      </w:r>
      <w:proofErr w:type="gramStart"/>
      <w:r>
        <w:t>日应当</w:t>
      </w:r>
      <w:proofErr w:type="gramEnd"/>
      <w:r>
        <w:t>由谁确定？评估机构是否能够确定评估基准日？</w:t>
      </w:r>
    </w:p>
    <w:p w14:paraId="16343A83" w14:textId="77777777" w:rsidR="00FA0363" w:rsidRDefault="00FA0363" w:rsidP="00FA0363">
      <w:pPr>
        <w:pStyle w:val="13"/>
      </w:pPr>
      <w:r>
        <w:t>A4：评估业务是评估机构接受委托方的委托而进行的专业工作。评估基准</w:t>
      </w:r>
      <w:proofErr w:type="gramStart"/>
      <w:r>
        <w:t>日最好</w:t>
      </w:r>
      <w:proofErr w:type="gramEnd"/>
      <w:r>
        <w:t>由委托方根据评估目的实现的需要等确定并告知评估机构。评估机构可以根据专业经验对评估基准日的选取提供建议，但不能替代委托方确定评估基准日。</w:t>
      </w:r>
    </w:p>
    <w:p w14:paraId="6CB57812" w14:textId="77777777" w:rsidR="00FA0363" w:rsidRDefault="00FA0363" w:rsidP="00FA0363">
      <w:pPr>
        <w:pStyle w:val="13"/>
      </w:pPr>
      <w:r>
        <w:t>Q5：客户最近要求做一项追溯性评估业务，评估基准日比</w:t>
      </w:r>
      <w:proofErr w:type="gramStart"/>
      <w:r>
        <w:t>报告日早2年</w:t>
      </w:r>
      <w:proofErr w:type="gramEnd"/>
      <w:r>
        <w:t>。在调研过程中，评估师发现评估基准日后，有多起可比交易进行了挂牌、达成协议或出售。在市场比较法中，仅用这些交易资料进行评估是否合适?</w:t>
      </w:r>
    </w:p>
    <w:p w14:paraId="08CC4B7F" w14:textId="77777777" w:rsidR="00FA0363" w:rsidRDefault="00FA0363" w:rsidP="00FA0363">
      <w:pPr>
        <w:pStyle w:val="13"/>
      </w:pPr>
      <w:r>
        <w:t>A5：不合适。在追溯性评估中，相关分析应当反映评估基准日的市场条件。使用在评估基准日市场所在地不能获得的或不存在的可比交易信息，将会引起误导，因为这样做将不能反映市场所在地在评估基准</w:t>
      </w:r>
      <w:proofErr w:type="gramStart"/>
      <w:r>
        <w:t>日能够</w:t>
      </w:r>
      <w:proofErr w:type="gramEnd"/>
      <w:r>
        <w:t>获得的信息。</w:t>
      </w:r>
    </w:p>
    <w:p w14:paraId="2078EB7B" w14:textId="77777777" w:rsidR="00FA0363" w:rsidRDefault="00FA0363" w:rsidP="00FA0363">
      <w:pPr>
        <w:pStyle w:val="13"/>
      </w:pPr>
      <w:r>
        <w:t>Q6：评估结论是否应当反映评估基准日后的资产、市场等变化情况？</w:t>
      </w:r>
    </w:p>
    <w:p w14:paraId="59EE84D4" w14:textId="77777777" w:rsidR="00FA0363" w:rsidRDefault="00FA0363" w:rsidP="00FA0363">
      <w:pPr>
        <w:pStyle w:val="13"/>
      </w:pPr>
      <w:r>
        <w:t>A6：评估结论应当反映评估对象在评估基准日的市场情况。评估基准日后的资产、市场等变化情况，可以根据其性质、重要程度以及委托方的需求，在评估报告中予以披露，但不应当影响评估结论。</w:t>
      </w:r>
    </w:p>
    <w:p w14:paraId="2E6AAD3B" w14:textId="77777777" w:rsidR="00FA0363" w:rsidRDefault="00FA0363" w:rsidP="00FA0363">
      <w:pPr>
        <w:pStyle w:val="13"/>
      </w:pPr>
      <w:r>
        <w:t>Q7：评估基准日之后、报告出具日之前，利率发生了变化，是否应对固定资产的资金成本进行计算调整？</w:t>
      </w:r>
    </w:p>
    <w:p w14:paraId="4D847FB5" w14:textId="77777777" w:rsidR="00FA0363" w:rsidRDefault="00FA0363" w:rsidP="00FA0363">
      <w:pPr>
        <w:pStyle w:val="13"/>
      </w:pPr>
      <w:r>
        <w:lastRenderedPageBreak/>
        <w:t>A7：有的评估师认为，报告出具</w:t>
      </w:r>
      <w:proofErr w:type="gramStart"/>
      <w:r>
        <w:t>前利率</w:t>
      </w:r>
      <w:proofErr w:type="gramEnd"/>
      <w:r>
        <w:t>发生了调整，收益法中做了调整，资产基础法中涉及到利率时（如重置成本法计算投资利息）也应做相应的调整。究竟是否合理，重置成本是时点的成本，是指企业于评估基准日重新取得与其所拥有的某项资产相同或与其功能相当的资产，需要支付的成本，其后的变化不应考虑。因此，采用资产基础法评估不应考虑。</w:t>
      </w:r>
    </w:p>
    <w:p w14:paraId="6F242355" w14:textId="77777777" w:rsidR="00FA0363" w:rsidRDefault="00FA0363" w:rsidP="00FA0363">
      <w:pPr>
        <w:pStyle w:val="ab"/>
        <w:spacing w:before="62" w:after="62"/>
        <w:ind w:firstLine="482"/>
      </w:pPr>
      <w:r>
        <w:rPr>
          <w:rFonts w:hint="eastAsia"/>
        </w:rPr>
        <w:t>三、关于评估方法</w:t>
      </w:r>
    </w:p>
    <w:p w14:paraId="586C7940" w14:textId="77777777" w:rsidR="00FA0363" w:rsidRDefault="00FA0363" w:rsidP="00FA0363">
      <w:pPr>
        <w:pStyle w:val="13"/>
      </w:pPr>
      <w:r>
        <w:t>Q8：对持有的上市公司股权是否可采用上市公司比较法评估？</w:t>
      </w:r>
    </w:p>
    <w:p w14:paraId="54747260" w14:textId="77777777" w:rsidR="00FA0363" w:rsidRDefault="00FA0363" w:rsidP="00FA0363">
      <w:pPr>
        <w:pStyle w:val="13"/>
      </w:pPr>
      <w:r>
        <w:t>A8：上市公司股票本来就有市场价格，为什么还用上市公司比较法评估？在评估实</w:t>
      </w:r>
      <w:r>
        <w:rPr>
          <w:rFonts w:hint="eastAsia"/>
        </w:rPr>
        <w:t>务中确实有不少此类案例，如集团公司整体改制，其中包括对上市公司的长期投资。当上市公司市盈率高的离谱且明显存在股价高估情况下，持股公司的改制或者引进战略投资者时，并不希望按照评估基准日市场价格来确定长投的价值。在委托方施加压力情形下，评估机构通过采用上市公司比较法来降低其评估值。那么，这种做法是否合适</w:t>
      </w:r>
      <w:r>
        <w:t>?</w:t>
      </w:r>
    </w:p>
    <w:p w14:paraId="1254BCD2" w14:textId="77777777" w:rsidR="00FA0363" w:rsidRDefault="00FA0363" w:rsidP="00FA0363">
      <w:pPr>
        <w:pStyle w:val="13"/>
      </w:pPr>
      <w:r>
        <w:rPr>
          <w:rFonts w:hint="eastAsia"/>
        </w:rPr>
        <w:t>从理论上分析，市场法的重要理论基础是有效市场。有效市场是指证券价格可以充分体现，并可获得信息变化影响的一种市场。无论可比上市公司如何与标的公司比对，</w:t>
      </w:r>
      <w:r>
        <w:t>其与标的公司之间的差异已经体现在标的公司股票价格上了，因此采用可比上市公司比较法来评估上市公司从逻辑关系上不是最佳方法。</w:t>
      </w:r>
    </w:p>
    <w:p w14:paraId="57DC8600" w14:textId="77777777" w:rsidR="00FA0363" w:rsidRDefault="00FA0363" w:rsidP="00FA0363">
      <w:pPr>
        <w:pStyle w:val="13"/>
      </w:pPr>
      <w:r>
        <w:rPr>
          <w:rFonts w:hint="eastAsia"/>
        </w:rPr>
        <w:t>那么对上市公司股权应如何评估呢？评估人员可以根据评估目的、持股比例不同，</w:t>
      </w:r>
      <w:r>
        <w:t>并参考《国有股东转让所持上市公司股份管理暂行办法》（国务院国资委、中国证监会第19号令）确定。市场上不乏并购上市公司案例，不少是溢价收购的。此时并购方大多是从投资价值来决策的。</w:t>
      </w:r>
    </w:p>
    <w:p w14:paraId="420D934E" w14:textId="77777777" w:rsidR="00FA0363" w:rsidRDefault="00FA0363" w:rsidP="00FA0363">
      <w:pPr>
        <w:pStyle w:val="13"/>
      </w:pPr>
      <w:r>
        <w:t>Q9：目前国内对互联网企业的评估，基本上采用的是收益法和市场法，而两者中尤其以收益法使用较为普遍。那么收益法和市场法是否适用于对互联网企业的价值评估呢？</w:t>
      </w:r>
    </w:p>
    <w:p w14:paraId="1DD8E0FE" w14:textId="77777777" w:rsidR="00FA0363" w:rsidRDefault="00FA0363" w:rsidP="00FA0363">
      <w:pPr>
        <w:pStyle w:val="13"/>
      </w:pPr>
      <w:r>
        <w:t>A9：纯粹从理论上讲，只要评估方法的各种假设前提条件全部满足，那么应该适合于任何企业的估值。但是在特定经济行为如在资本市场发行股票、债券、并购等目的进行价值评估时，一方面要满足特定经济行为目的实现的需要，另一方面要遵循相应的评估准则和相关规范的要求，如果考虑了这些因素的制约，那么，目前以收益法和市场法为代表的传统评估方法对互联网企业进行评估，确实值得对评估方法适用性问题进行探</w:t>
      </w:r>
      <w:r>
        <w:rPr>
          <w:rFonts w:hint="eastAsia"/>
        </w:rPr>
        <w:t>讨。</w:t>
      </w:r>
    </w:p>
    <w:p w14:paraId="243C38F5" w14:textId="77777777" w:rsidR="00FA0363" w:rsidRDefault="00FA0363" w:rsidP="00FA0363">
      <w:pPr>
        <w:pStyle w:val="13"/>
      </w:pPr>
      <w:r>
        <w:t>1、收益法评估互联网企业，其未来收益无法合理预测</w:t>
      </w:r>
    </w:p>
    <w:p w14:paraId="3561C9D3" w14:textId="77777777" w:rsidR="00FA0363" w:rsidRDefault="00FA0363" w:rsidP="00FA0363">
      <w:pPr>
        <w:pStyle w:val="13"/>
      </w:pPr>
      <w:r>
        <w:rPr>
          <w:rFonts w:hint="eastAsia"/>
        </w:rPr>
        <w:t>收益法的核心是对企业未来收益（企业自由现金</w:t>
      </w:r>
      <w:proofErr w:type="gramStart"/>
      <w:r>
        <w:rPr>
          <w:rFonts w:hint="eastAsia"/>
        </w:rPr>
        <w:t>流或者</w:t>
      </w:r>
      <w:proofErr w:type="gramEnd"/>
      <w:r>
        <w:rPr>
          <w:rFonts w:hint="eastAsia"/>
        </w:rPr>
        <w:t>权益现金流）进行合理预测，然后使用与现金流相匹配的折现率进行折现得出被评估企业的价值。根据我国的企业价值评估准则和相关规范的要求，对企业未来收益进行预测是</w:t>
      </w:r>
      <w:proofErr w:type="gramStart"/>
      <w:r>
        <w:rPr>
          <w:rFonts w:hint="eastAsia"/>
        </w:rPr>
        <w:t>基于被</w:t>
      </w:r>
      <w:proofErr w:type="gramEnd"/>
      <w:r>
        <w:rPr>
          <w:rFonts w:hint="eastAsia"/>
        </w:rPr>
        <w:t>评估企业</w:t>
      </w:r>
      <w:r>
        <w:rPr>
          <w:rFonts w:hint="eastAsia"/>
        </w:rPr>
        <w:lastRenderedPageBreak/>
        <w:t>历史经营数据进行的，即是根据历史趋势来预测未来发展，无特别明确的证据，企业的未来经营发展是不能发生“突变”的。这一点对传统企业基本上是有效的，而对于互联网企业来说，</w:t>
      </w:r>
      <w:r>
        <w:t>面临的市场机遇和竞争对手的冲击甚至连其自身都无法预测，因行业特点，其经营状况</w:t>
      </w:r>
      <w:r>
        <w:rPr>
          <w:rFonts w:hint="eastAsia"/>
        </w:rPr>
        <w:t>往往会发生“突变”，从而导致互联网企业产生的现金流的数量和持续的时间都难以预测。</w:t>
      </w:r>
    </w:p>
    <w:p w14:paraId="03886DAF" w14:textId="77777777" w:rsidR="00FA0363" w:rsidRDefault="00FA0363" w:rsidP="00FA0363">
      <w:pPr>
        <w:pStyle w:val="13"/>
      </w:pPr>
      <w:r>
        <w:rPr>
          <w:rFonts w:hint="eastAsia"/>
        </w:rPr>
        <w:t>互联网企业其核心资产和潜在价值并不存在于目前的财务报表上，企业的经营模式可能在当前看来并无较大的市场和利润，却会在未来满足、甚至引导传统的收益法囿于评估模型和评估准则的要求，一般较难对互联网企业的潜在价值进行正确的评估，而在互联网企业并购中的并购方却是十分看重这些潜在价值，这也可以解释为，为什么在互联网企业并购案例中，目标企业的最终并购价往往高于采用传统评估方法给出的企业评估价值。</w:t>
      </w:r>
    </w:p>
    <w:p w14:paraId="23E497BC" w14:textId="77777777" w:rsidR="00FA0363" w:rsidRDefault="00FA0363" w:rsidP="00FA0363">
      <w:pPr>
        <w:pStyle w:val="13"/>
      </w:pPr>
      <w:r>
        <w:t>2、采用市场法评估互联网企业很难找到合适的可比案例</w:t>
      </w:r>
    </w:p>
    <w:p w14:paraId="139DD3E0" w14:textId="77777777" w:rsidR="00FA0363" w:rsidRDefault="00FA0363" w:rsidP="00FA0363">
      <w:pPr>
        <w:pStyle w:val="13"/>
      </w:pPr>
      <w:r>
        <w:rPr>
          <w:rFonts w:hint="eastAsia"/>
        </w:rPr>
        <w:t>互联网行业发展周期短、企业更迭快、商业模式频出创新，能够长期存活在市场上的企业并不多，能够进入资本市场的上市公司更是各种互联网商业模式的翘楚，基本上做到了“独一无二”。在互联网逐渐向传统企业的渗透中，也就是所谓的“互联网</w:t>
      </w:r>
      <w:r>
        <w:t>+”，嫁接的传统企业也是遍布各行各业，很多新的商业模式也无法找到“前辈”来比较。所以传统的市场法很难在互联网企业的评估中使用。</w:t>
      </w:r>
    </w:p>
    <w:p w14:paraId="28D60447" w14:textId="77777777" w:rsidR="00FA0363" w:rsidRDefault="00FA0363" w:rsidP="00FA0363">
      <w:pPr>
        <w:pStyle w:val="13"/>
      </w:pPr>
      <w:r>
        <w:rPr>
          <w:rFonts w:hint="eastAsia"/>
        </w:rPr>
        <w:t>企业价值评估中的市场法，是指将评估对象与可比上市公司或者可比交易案例进行比较，确定评估对象价值的评估方法。采用市场法进行企业价值评估的前提是选择与目标公司相似或相近的可比公司作为参照，并对选择的可比公司与目标公司的所有重要差异进行指标的量化调整。由于市场法评估企业价值的过程本身就具有很强的不确定性，</w:t>
      </w:r>
      <w:r>
        <w:t>特别是选取可比公司案例及其差异调整的过程更是复杂。</w:t>
      </w:r>
    </w:p>
    <w:p w14:paraId="356EF1B5" w14:textId="77777777" w:rsidR="00FA0363" w:rsidRDefault="00FA0363" w:rsidP="00FA0363">
      <w:pPr>
        <w:pStyle w:val="13"/>
      </w:pPr>
      <w:r>
        <w:rPr>
          <w:rFonts w:hint="eastAsia"/>
        </w:rPr>
        <w:t>目前国内外企业价值评估理论中很少有关于如何选择可比公司的定量研究，我国评</w:t>
      </w:r>
      <w:r>
        <w:t>估准则对可比公司选择标准的描述也只是满足“类别相近、功能相近、交易条件相近和交易时间相近”这样的条件。此种“相近”的概念，本身就不是一个明确的标准而且难以量化操作，而实务中利用传统打分的方式量化“相似程度”并进行修正的方法过于主观，不同的评估人员由于经验和偏好的不同，对同一评估对象可能会得出不同的评估结果，这就在很大程度上影响评估结果的可信度。</w:t>
      </w:r>
    </w:p>
    <w:p w14:paraId="7C3B8564" w14:textId="77777777" w:rsidR="00FA0363" w:rsidRDefault="00FA0363" w:rsidP="00FA0363">
      <w:pPr>
        <w:pStyle w:val="13"/>
      </w:pPr>
      <w:r>
        <w:rPr>
          <w:rFonts w:hint="eastAsia"/>
        </w:rPr>
        <w:t>鉴于上述分析，收益法和市场法在评估互联网企业价值时，均存在一定的价值偏差。目前有采用</w:t>
      </w:r>
      <w:r>
        <w:t>EVA价值法、实物期权法作为对收益法的补充，也使得企业价值评估理论更为充实和丰富，为评估师在日常操作中提供了新的思路。理论上还有引入灰色关联方法</w:t>
      </w:r>
      <w:r>
        <w:rPr>
          <w:rFonts w:hint="eastAsia"/>
        </w:rPr>
        <w:t>及其分析体系，并探讨其在市场法评估企业价值中的一般适用性，建立可比公司选择的评判指标体系和市场法评估企业价值的灰色相似度模型来弥补市场法的缺陷。通过对灰色关联</w:t>
      </w:r>
      <w:proofErr w:type="gramStart"/>
      <w:r>
        <w:rPr>
          <w:rFonts w:hint="eastAsia"/>
        </w:rPr>
        <w:t>度分析</w:t>
      </w:r>
      <w:proofErr w:type="gramEnd"/>
      <w:r>
        <w:rPr>
          <w:rFonts w:hint="eastAsia"/>
        </w:rPr>
        <w:t>法来衡量可比上市公司与目标公司的</w:t>
      </w:r>
      <w:r>
        <w:t>“相似”或“相</w:t>
      </w:r>
      <w:r>
        <w:lastRenderedPageBreak/>
        <w:t>近”程度，并根据关联程度的不同在最后的估值中赋予各可比公司不同的权重，确定其企业价值。由于灰色关联分析法在市场法评估中应用的理论研究尚未成熟，实务中较少运用。</w:t>
      </w:r>
    </w:p>
    <w:p w14:paraId="127948F7" w14:textId="77777777" w:rsidR="00FA0363" w:rsidRDefault="00FA0363" w:rsidP="00FA0363">
      <w:pPr>
        <w:pStyle w:val="13"/>
      </w:pPr>
      <w:r>
        <w:t>Q10：哪种改进的模型更适用于互联网企业评估呢？</w:t>
      </w:r>
    </w:p>
    <w:p w14:paraId="51F0D41E" w14:textId="77777777" w:rsidR="00FA0363" w:rsidRDefault="00FA0363" w:rsidP="00FA0363">
      <w:pPr>
        <w:pStyle w:val="13"/>
      </w:pPr>
      <w:r>
        <w:t>A10：我们可以先来看一个案例。2014年资本市场最轰动的互联网企业并购事件是Facebook以总价190亿美元收购WhatsApp，交易金额相当于收购了32.8个</w:t>
      </w:r>
      <w:proofErr w:type="spellStart"/>
      <w:r>
        <w:t>MySpace</w:t>
      </w:r>
      <w:proofErr w:type="spellEnd"/>
      <w:r>
        <w:t>，11.5个YouTube，2.64个诺基亚，但WhatsApp只是一家仅有50人员工的公司。Facebook为什么要用190亿美元去收购一个仅有50个人的WhatsApp?原因可能包括企业扩张、战略转型等多个方面，但其中一个非常重要的原因是WhatsApp有着4.5亿用户的巨大的移动</w:t>
      </w:r>
      <w:proofErr w:type="gramStart"/>
      <w:r>
        <w:t>端用户</w:t>
      </w:r>
      <w:proofErr w:type="gramEnd"/>
      <w:r>
        <w:t>资源。这一完全市场化的收购案例也用事实证明了互联网企业的核心价值是用户资源。一个互联网企业用户资源价值大小的决定因素主要有两个：用户数量和单用户收入（</w:t>
      </w:r>
      <w:proofErr w:type="spellStart"/>
      <w:r>
        <w:t>AverageRevenuePerUser</w:t>
      </w:r>
      <w:proofErr w:type="spellEnd"/>
      <w:r>
        <w:t>，ARPU）。所以，对互联网企业进行评估的科学方法一定要以用户资源为基础，下面我们可以介绍两种基于用户资源的互联网企业的评估方法。</w:t>
      </w:r>
    </w:p>
    <w:p w14:paraId="1F065911" w14:textId="77777777" w:rsidR="00FA0363" w:rsidRDefault="00FA0363" w:rsidP="00FA0363">
      <w:pPr>
        <w:pStyle w:val="13"/>
      </w:pPr>
      <w:r>
        <w:t>1、改进的DEVA估值模型</w:t>
      </w:r>
    </w:p>
    <w:p w14:paraId="5193B6AB" w14:textId="77777777" w:rsidR="00FA0363" w:rsidRDefault="00FA0363" w:rsidP="00FA0363">
      <w:pPr>
        <w:pStyle w:val="13"/>
      </w:pPr>
      <w:r>
        <w:t>DEVA（</w:t>
      </w:r>
      <w:proofErr w:type="spellStart"/>
      <w:r>
        <w:t>DiscountedEquityValuationAnalysis</w:t>
      </w:r>
      <w:proofErr w:type="spellEnd"/>
      <w:r>
        <w:t>）模型最早是由著名的华尔街分析师、投资银行家玛丽米克尔提出的，其主要观点是对互联网企业进行价值评估的过程中，由于互联网企业具有开放性、动态性的特点，因此其盈利模式则具有多元性和间接性的特点。互联网企业发展的各个阶段，用户资源始终是其核心资源，其盈利过程也始终是建立在对用户资源的有效利用和深入挖掘上。因此，DEVA模型将用户资源作为企业价值产生的根本根源。改进的DEVA模型是在原有模型的基础上引入调节系数α，作为企业规模</w:t>
      </w:r>
      <w:r>
        <w:rPr>
          <w:rFonts w:hint="eastAsia"/>
        </w:rPr>
        <w:t>和流动性的调节系数，从而更适合一些未上市或规模较小的互联网企业的估值。改进的</w:t>
      </w:r>
      <w:r>
        <w:t>DEVA估值模型的公式为：</w:t>
      </w:r>
    </w:p>
    <w:p w14:paraId="2AD3A1A1" w14:textId="77777777" w:rsidR="00FA0363" w:rsidRDefault="00FA0363" w:rsidP="00FA0363">
      <w:pPr>
        <w:pStyle w:val="13"/>
      </w:pPr>
      <w:r>
        <w:t>E=α×M×C2</w:t>
      </w:r>
    </w:p>
    <w:p w14:paraId="13EC595C" w14:textId="77777777" w:rsidR="00FA0363" w:rsidRDefault="00FA0363" w:rsidP="00FA0363">
      <w:pPr>
        <w:pStyle w:val="13"/>
      </w:pPr>
      <w:r>
        <w:rPr>
          <w:rFonts w:hint="eastAsia"/>
        </w:rPr>
        <w:t>其中：</w:t>
      </w:r>
      <w:r>
        <w:t>E为互联网企业价值</w:t>
      </w:r>
    </w:p>
    <w:p w14:paraId="6D2CD6EA" w14:textId="77777777" w:rsidR="00FA0363" w:rsidRDefault="00FA0363" w:rsidP="00FA0363">
      <w:pPr>
        <w:pStyle w:val="13"/>
      </w:pPr>
      <w:r>
        <w:t>M为单体投入的初始成本</w:t>
      </w:r>
    </w:p>
    <w:p w14:paraId="6C3DCD8F" w14:textId="77777777" w:rsidR="00FA0363" w:rsidRDefault="00FA0363" w:rsidP="00FA0363">
      <w:pPr>
        <w:pStyle w:val="13"/>
      </w:pPr>
      <w:r>
        <w:t>C为客户资源价值</w:t>
      </w:r>
    </w:p>
    <w:p w14:paraId="1A03DF36" w14:textId="77777777" w:rsidR="00FA0363" w:rsidRDefault="00FA0363" w:rsidP="00FA0363">
      <w:pPr>
        <w:pStyle w:val="13"/>
      </w:pPr>
      <w:r>
        <w:rPr>
          <w:rFonts w:hint="eastAsia"/>
        </w:rPr>
        <w:t>α</w:t>
      </w:r>
      <w:r>
        <w:t>为规模和流动性调节系数</w:t>
      </w:r>
    </w:p>
    <w:p w14:paraId="2196E2A0" w14:textId="77777777" w:rsidR="00FA0363" w:rsidRDefault="00FA0363" w:rsidP="00FA0363">
      <w:pPr>
        <w:pStyle w:val="13"/>
      </w:pPr>
      <w:r>
        <w:t>2、梅特卡夫估值模型</w:t>
      </w:r>
    </w:p>
    <w:p w14:paraId="3480DCF5" w14:textId="77777777" w:rsidR="00FA0363" w:rsidRDefault="00FA0363" w:rsidP="00FA0363">
      <w:pPr>
        <w:pStyle w:val="13"/>
      </w:pPr>
      <w:r>
        <w:rPr>
          <w:rFonts w:hint="eastAsia"/>
        </w:rPr>
        <w:t>梅特卡夫估值模型来源于上文介绍的梅特卡夫定律，主要观点是互联网企业的价值取决于其用户数量、节点距离、变现能力和垄断溢价。首先，用户数量影响最大，用户数量越多，企业价值越大。其次，网络的价值不仅和节点数有关，也和节点之间的“距离”有关，这是由互联网企业的商业模式和运营情况决定的，网络中信息质量越高、数量越多、高连通度节点越多、</w:t>
      </w:r>
      <w:proofErr w:type="gramStart"/>
      <w:r>
        <w:rPr>
          <w:rFonts w:hint="eastAsia"/>
        </w:rPr>
        <w:t>则网络</w:t>
      </w:r>
      <w:proofErr w:type="gramEnd"/>
      <w:r>
        <w:rPr>
          <w:rFonts w:hint="eastAsia"/>
        </w:rPr>
        <w:t>节点的“距离”就越低，网络的价值就</w:t>
      </w:r>
      <w:r>
        <w:rPr>
          <w:rFonts w:hint="eastAsia"/>
        </w:rPr>
        <w:lastRenderedPageBreak/>
        <w:t>越大。再次，</w:t>
      </w:r>
      <w:r>
        <w:t>互联网行业的一个重要特征是强者益强，投资者极为重视互联网企业在行业中的地位，企业的行业地位越高、垄断性越强，则企业价值的溢价就越高</w:t>
      </w:r>
      <w:r>
        <w:rPr>
          <w:rFonts w:hint="eastAsia"/>
        </w:rPr>
        <w:t>。梅特卡夫估值模型的公式为：</w:t>
      </w:r>
    </w:p>
    <w:p w14:paraId="4EA96BC2" w14:textId="77777777" w:rsidR="00FA0363" w:rsidRDefault="00FA0363" w:rsidP="00FA0363">
      <w:pPr>
        <w:pStyle w:val="13"/>
        <w:jc w:val="center"/>
        <w:rPr>
          <w:sz w:val="16"/>
        </w:rPr>
      </w:pPr>
      <w:r>
        <w:t>V=K×P×</w:t>
      </w:r>
      <w:bookmarkStart w:id="110" w:name="_Hlk79839143"/>
      <w:r>
        <w:t>N</w:t>
      </w:r>
      <w:r>
        <w:rPr>
          <w:position w:val="8"/>
          <w:sz w:val="16"/>
        </w:rPr>
        <w:t>2</w:t>
      </w:r>
      <w:bookmarkEnd w:id="110"/>
      <w:r>
        <w:t>÷R</w:t>
      </w:r>
      <w:r>
        <w:rPr>
          <w:position w:val="8"/>
          <w:sz w:val="16"/>
        </w:rPr>
        <w:t>2</w:t>
      </w:r>
    </w:p>
    <w:p w14:paraId="5497D9A0" w14:textId="77777777" w:rsidR="00FA0363" w:rsidRDefault="00FA0363" w:rsidP="00FA0363">
      <w:pPr>
        <w:pStyle w:val="13"/>
      </w:pPr>
      <w:r>
        <w:rPr>
          <w:rFonts w:hint="eastAsia"/>
        </w:rPr>
        <w:t>其中：</w:t>
      </w:r>
      <w:r>
        <w:t>V为互联网企业价值</w:t>
      </w:r>
    </w:p>
    <w:p w14:paraId="6084BB65" w14:textId="77777777" w:rsidR="00FA0363" w:rsidRDefault="00FA0363" w:rsidP="00FA0363">
      <w:pPr>
        <w:pStyle w:val="13"/>
      </w:pPr>
      <w:r>
        <w:t>K为变现因子</w:t>
      </w:r>
    </w:p>
    <w:p w14:paraId="5F15FD96" w14:textId="77777777" w:rsidR="00FA0363" w:rsidRDefault="00FA0363" w:rsidP="00FA0363">
      <w:pPr>
        <w:pStyle w:val="13"/>
      </w:pPr>
      <w:r>
        <w:t>P为溢价系数（取决于企业在行业中的地位即市场占有率，“马太效应”使得领先者有溢价，赢者通吃）</w:t>
      </w:r>
    </w:p>
    <w:p w14:paraId="69AE52E9" w14:textId="77777777" w:rsidR="00FA0363" w:rsidRDefault="00FA0363" w:rsidP="00FA0363">
      <w:pPr>
        <w:pStyle w:val="13"/>
      </w:pPr>
      <w:r>
        <w:t>N为用户数量（影响最大）</w:t>
      </w:r>
    </w:p>
    <w:p w14:paraId="5FAF924E" w14:textId="77777777" w:rsidR="00FA0363" w:rsidRDefault="00FA0363" w:rsidP="00FA0363">
      <w:pPr>
        <w:pStyle w:val="13"/>
      </w:pPr>
      <w:r>
        <w:t>R网络节点之间的距离（由科技进步、基础设施等外</w:t>
      </w:r>
      <w:proofErr w:type="gramStart"/>
      <w:r>
        <w:t>生因素</w:t>
      </w:r>
      <w:proofErr w:type="gramEnd"/>
      <w:r>
        <w:t>和网络内容、商业模式等内</w:t>
      </w:r>
      <w:proofErr w:type="gramStart"/>
      <w:r>
        <w:t>生因素</w:t>
      </w:r>
      <w:proofErr w:type="gramEnd"/>
      <w:r>
        <w:t>共同决定）</w:t>
      </w:r>
    </w:p>
    <w:p w14:paraId="6D8C961F" w14:textId="77777777" w:rsidR="00FA0363" w:rsidRDefault="00FA0363" w:rsidP="00FA0363">
      <w:pPr>
        <w:pStyle w:val="13"/>
      </w:pPr>
      <w:r>
        <w:t>Q11：哪些评估方法更适用对城市基础设施行业的企业价值进行评估？</w:t>
      </w:r>
    </w:p>
    <w:p w14:paraId="456810A8" w14:textId="77777777" w:rsidR="00FA0363" w:rsidRDefault="00FA0363" w:rsidP="00FA0363">
      <w:pPr>
        <w:pStyle w:val="13"/>
      </w:pPr>
      <w:r>
        <w:t>A11：城市基础设施的产业化必然要求其采用市场化模式运作。政府拟将经营类基础设施项目向社会公开出让特许经营权，设定或调整收费期限、收费价格等情形，均存在聘请独立评估师出具专业意见为定价提供参考的刚性需求。</w:t>
      </w:r>
    </w:p>
    <w:p w14:paraId="4453DE5D" w14:textId="77777777" w:rsidR="00FA0363" w:rsidRDefault="00FA0363" w:rsidP="00FA0363">
      <w:pPr>
        <w:pStyle w:val="13"/>
      </w:pPr>
      <w:r>
        <w:rPr>
          <w:rFonts w:hint="eastAsia"/>
        </w:rPr>
        <w:t>对于城市基础设施类项目的企业价值评估，应根据评估业务的具体情况，收集并分析被评估企业的资料和其他相关资料。根据评估目的、评估对象、价值类型、资料收集情况等相关条件，分析收益法、市场法和资产基础法三种资产评估基本方法的适用性，恰当选择一种或者多种资产评估基本方法。</w:t>
      </w:r>
    </w:p>
    <w:p w14:paraId="60866DC0" w14:textId="77777777" w:rsidR="00FA0363" w:rsidRDefault="00FA0363" w:rsidP="00FA0363">
      <w:pPr>
        <w:pStyle w:val="13"/>
      </w:pPr>
      <w:r>
        <w:rPr>
          <w:rFonts w:hint="eastAsia"/>
        </w:rPr>
        <w:t>对于已投入运营或拟设定特许经营权的城市基础设施项目，当收费标准和期限等收益指标趋于稳定或未来收益能够合理预测、且与未来收益的风险程度能够合理估算时，</w:t>
      </w:r>
      <w:r>
        <w:t>收益法自然成为首选方法。</w:t>
      </w:r>
    </w:p>
    <w:p w14:paraId="202D4208" w14:textId="77777777" w:rsidR="00FA0363" w:rsidRDefault="00FA0363" w:rsidP="00FA0363">
      <w:pPr>
        <w:pStyle w:val="13"/>
      </w:pPr>
      <w:r>
        <w:rPr>
          <w:rFonts w:hint="eastAsia"/>
        </w:rPr>
        <w:t>采用特许经营方式且企业于特许</w:t>
      </w:r>
      <w:proofErr w:type="gramStart"/>
      <w:r>
        <w:rPr>
          <w:rFonts w:hint="eastAsia"/>
        </w:rPr>
        <w:t>期终了</w:t>
      </w:r>
      <w:proofErr w:type="gramEnd"/>
      <w:r>
        <w:rPr>
          <w:rFonts w:hint="eastAsia"/>
        </w:rPr>
        <w:t>时需将项目完好地移交给政府，固定资产权属可能仅是有限年期的使用权而非完全产权，企业无权自由处置，可能存在资产权属瑕疵等问题。此外产品定价合理性会影响资产的基础设施投资及运营成本与其收费之间建立对应关系，因此应谨慎采用资产基础法。</w:t>
      </w:r>
    </w:p>
    <w:p w14:paraId="034AFA3C" w14:textId="77777777" w:rsidR="00FA0363" w:rsidRDefault="00FA0363" w:rsidP="00FA0363">
      <w:pPr>
        <w:pStyle w:val="13"/>
      </w:pPr>
      <w:r>
        <w:rPr>
          <w:rFonts w:hint="eastAsia"/>
        </w:rPr>
        <w:t>值得注意的是某些地方政府在设立投融资平台公司时，将无收费机制、无资金流入的城市基础设施资产划入。对此类非经营城市基础设施，评估前应首先分析判断其是否符合市场价值类型定义。对于不具有自由处置权的城市公共设施类，如敞开式城市道路、广场等，应谨慎考虑是否具有市场价值，而不要盲目地采用成本途径简单评估其重置造价。</w:t>
      </w:r>
    </w:p>
    <w:p w14:paraId="6E6E94A7" w14:textId="77777777" w:rsidR="00FA0363" w:rsidRDefault="00FA0363" w:rsidP="00FA0363">
      <w:pPr>
        <w:pStyle w:val="13"/>
      </w:pPr>
      <w:r>
        <w:rPr>
          <w:rFonts w:hint="eastAsia"/>
        </w:rPr>
        <w:t>按照</w:t>
      </w:r>
      <w:r>
        <w:t>Wind分类，A股市</w:t>
      </w:r>
      <w:proofErr w:type="gramStart"/>
      <w:r>
        <w:t>场城市</w:t>
      </w:r>
      <w:proofErr w:type="gramEnd"/>
      <w:r>
        <w:t>基础设施类上市公司包括：环保14家，水</w:t>
      </w:r>
      <w:proofErr w:type="gramStart"/>
      <w:r>
        <w:t>务</w:t>
      </w:r>
      <w:proofErr w:type="gramEnd"/>
      <w:r>
        <w:t>16家，</w:t>
      </w:r>
      <w:r>
        <w:rPr>
          <w:rFonts w:hint="eastAsia"/>
        </w:rPr>
        <w:t>燃气</w:t>
      </w:r>
      <w:r>
        <w:t>9家，供热或其他5家，公交10家，火电33家，水电10家，电网9家。因此市场法评估的条件初步具备，可结合评估对象具体情况分析市场法评估的可行</w:t>
      </w:r>
      <w:r>
        <w:lastRenderedPageBreak/>
        <w:t>性。上市公司比较法是指获取并分析可比上市公司的经营和财务数据，计算适当的价值比率，在与被评估企业比较分析的基础上，确定评估对象价值的具体方法。上市公司比较法评估结论还应当考虑流动性对评估对象价值的影响。</w:t>
      </w:r>
    </w:p>
    <w:p w14:paraId="2349C81A" w14:textId="77777777" w:rsidR="00FA0363" w:rsidRDefault="00FA0363" w:rsidP="00FA0363">
      <w:pPr>
        <w:pStyle w:val="13"/>
      </w:pPr>
      <w:r>
        <w:t>Q12：市场法中计算价值比率，是否应该按上市公司三年数据平均还是按照基准日数据？</w:t>
      </w:r>
    </w:p>
    <w:p w14:paraId="608E5A8B" w14:textId="77777777" w:rsidR="00FA0363" w:rsidRDefault="00FA0363" w:rsidP="00FA0363">
      <w:pPr>
        <w:pStyle w:val="13"/>
      </w:pPr>
      <w:r>
        <w:t>A12：计算价值比率如果用三年平均数，评估时点性不强，但如果用时点数，会受股市波动的影响，例如2015年股市大起大落，计算价值比率失真。</w:t>
      </w:r>
    </w:p>
    <w:p w14:paraId="5034832D" w14:textId="77777777" w:rsidR="00FA0363" w:rsidRDefault="00FA0363" w:rsidP="00FA0363">
      <w:pPr>
        <w:pStyle w:val="13"/>
      </w:pPr>
      <w:r>
        <w:rPr>
          <w:rFonts w:hint="eastAsia"/>
        </w:rPr>
        <w:t>应视情况而定，如果上市公司三年数据波动较大，而在评估基准日是趋于平稳，那么采用评估基准日时，数据更合理。如果上市公司三年数据较平稳，则可以采用三年平均。</w:t>
      </w:r>
    </w:p>
    <w:p w14:paraId="099938C8" w14:textId="77777777" w:rsidR="00FA0363" w:rsidRDefault="00FA0363" w:rsidP="00FA0363">
      <w:pPr>
        <w:pStyle w:val="13"/>
      </w:pPr>
      <w:r>
        <w:t>Q13：成本法中评估房屋和机器设备，前期费用取值是否应该一致，为什么？A13：目前各公司报告存在不同的作法，实务中取费并不一致。由于对于大型工程</w:t>
      </w:r>
    </w:p>
    <w:p w14:paraId="5624058E" w14:textId="77777777" w:rsidR="00FA0363" w:rsidRDefault="00FA0363" w:rsidP="00FA0363">
      <w:pPr>
        <w:pStyle w:val="13"/>
      </w:pPr>
      <w:r>
        <w:rPr>
          <w:rFonts w:hint="eastAsia"/>
        </w:rPr>
        <w:t>而言，房屋建筑物和设备是统一施工并建设的，前期费应该分摊至所有工程项目，因此，</w:t>
      </w:r>
      <w:r>
        <w:t>取费标准应该统一。</w:t>
      </w:r>
    </w:p>
    <w:p w14:paraId="3EF5FB91" w14:textId="77777777" w:rsidR="00FA0363" w:rsidRDefault="00FA0363" w:rsidP="00FA0363">
      <w:pPr>
        <w:pStyle w:val="13"/>
      </w:pPr>
      <w:r>
        <w:t>Q14：“未来负息债务变动因素”与“市场价值类型”之间是什么关系？</w:t>
      </w:r>
    </w:p>
    <w:p w14:paraId="7DC0C17D" w14:textId="77777777" w:rsidR="00FA0363" w:rsidRDefault="00FA0363" w:rsidP="00FA0363">
      <w:pPr>
        <w:pStyle w:val="13"/>
      </w:pPr>
      <w:r>
        <w:t>A14：采用收益法评估企业价值时会考虑被评估企业资本结构（主要指资产负债率）和行业平均资本结构的差距，如果被评估企业与行业平均资本结构差距较大，一般会通过未来预测期间的经营成果对资产负债类科目进行调整，使目标企业的资本结构与行业平均资本结构趋于相近，从生产经营的角度也会考虑增加营运资金、资本性支出等资金缺口，这样就需要考虑未来预测期间有息负债的偿还或者借入。</w:t>
      </w:r>
    </w:p>
    <w:p w14:paraId="66CBD41D" w14:textId="77777777" w:rsidR="00FA0363" w:rsidRDefault="00FA0363" w:rsidP="00FA0363">
      <w:pPr>
        <w:pStyle w:val="13"/>
      </w:pPr>
      <w:r>
        <w:rPr>
          <w:rFonts w:hint="eastAsia"/>
        </w:rPr>
        <w:t>如果是借入有息负债只需要根据每个年度的资金缺口来计算借入有息负债的金额。如果是偿还有息负债则计算方法要复杂一些，一般是使用企业每个年度实现的净现金流来偿还，通过一定年期的偿还使被评估企业的资本结构趋于相近。这样预测的假设是将原股东在未来年度的分红全部贡献给被评估企业用于偿还债务，实际上是原股东对被评估企业新的投资，评估结果已经不再是“股东全部权益”，而是“评估基准日股东全部权益</w:t>
      </w:r>
      <w:r>
        <w:t>+评估基准日后的新增投资权益”，相应的价值类型也不是市场价值。</w:t>
      </w:r>
    </w:p>
    <w:p w14:paraId="3495588B" w14:textId="77777777" w:rsidR="00FA0363" w:rsidRDefault="00FA0363" w:rsidP="00FA0363">
      <w:pPr>
        <w:pStyle w:val="13"/>
      </w:pPr>
      <w:r>
        <w:rPr>
          <w:rFonts w:hint="eastAsia"/>
        </w:rPr>
        <w:t>项目过程中应尽量与企业沟通未来是否需要改变资本结构，如果资本结构发生改变，</w:t>
      </w:r>
      <w:r>
        <w:t>应尽可能采用企业自身资本结构（未来预测期每年资本结构可能都不一样），如果企业未来资本结构预计达到某种状态下不再变化，则可以参考上市公司比较稳定的资本结构。</w:t>
      </w:r>
    </w:p>
    <w:p w14:paraId="60729793" w14:textId="77777777" w:rsidR="00FA0363" w:rsidRDefault="00FA0363" w:rsidP="00FA0363">
      <w:pPr>
        <w:pStyle w:val="ab"/>
        <w:spacing w:before="62" w:after="62"/>
        <w:ind w:firstLine="482"/>
      </w:pPr>
      <w:r>
        <w:rPr>
          <w:rFonts w:hint="eastAsia"/>
        </w:rPr>
        <w:t>四、关于折现率</w:t>
      </w:r>
    </w:p>
    <w:p w14:paraId="272DBC65" w14:textId="77777777" w:rsidR="00FA0363" w:rsidRDefault="00FA0363" w:rsidP="00FA0363">
      <w:pPr>
        <w:pStyle w:val="13"/>
      </w:pPr>
      <w:r>
        <w:t>Q15：境外并购项目折现率如何确定？</w:t>
      </w:r>
    </w:p>
    <w:p w14:paraId="20A127F0" w14:textId="77777777" w:rsidR="00FA0363" w:rsidRDefault="00FA0363" w:rsidP="00FA0363">
      <w:pPr>
        <w:pStyle w:val="13"/>
      </w:pPr>
      <w:r>
        <w:t>A15：近年来境外并购数量增长较快，那么在境外并购项目的评估中折现率如何</w:t>
      </w:r>
      <w:r>
        <w:lastRenderedPageBreak/>
        <w:t>确定的确是越来越受到关注。目前境外并购项目折现率计算方法五花八门，有根据国内市场数据的、有参照欧美国家数据的、有国内国外数据混用的，还有按简单风险累加法判定的等等。确实，对于境外并购折现率计算的确比较复杂，尤其是并购标的为跨国公司的就更加复杂。</w:t>
      </w:r>
    </w:p>
    <w:p w14:paraId="6185F355" w14:textId="77777777" w:rsidR="00FA0363" w:rsidRDefault="00FA0363" w:rsidP="00FA0363">
      <w:pPr>
        <w:pStyle w:val="13"/>
      </w:pPr>
      <w:r>
        <w:rPr>
          <w:rFonts w:hint="eastAsia"/>
        </w:rPr>
        <w:t>一般情况下，评估价值类型为公允（市场）价值时的折现率，其计算原则上是根据标的公司所在国家或地区的市场数据来确定。如，所在国的无风险利率、可比公司的贝塔系数、市场风险溢价、公司所得税、借款利率、企业特定风险等等，上述参数原则上一定要匹配，最好全部数据来源均为所在国的资本市场。</w:t>
      </w:r>
    </w:p>
    <w:p w14:paraId="6AD4F937" w14:textId="77777777" w:rsidR="00FA0363" w:rsidRDefault="00FA0363" w:rsidP="00FA0363">
      <w:pPr>
        <w:pStyle w:val="13"/>
      </w:pPr>
      <w:r>
        <w:rPr>
          <w:rFonts w:hint="eastAsia"/>
        </w:rPr>
        <w:t>但在实务操作中，标的公司有可能是发达国家的，也可能是欠发达国家的。对于发达国家，市场数据比较容易获得；但对于欠发达国家来说，就较难获得了，可能根本就没有上述数据。这种情况下怎么办呢？</w:t>
      </w:r>
    </w:p>
    <w:p w14:paraId="07699E0F" w14:textId="77777777" w:rsidR="00FA0363" w:rsidRDefault="00FA0363" w:rsidP="00FA0363">
      <w:pPr>
        <w:pStyle w:val="13"/>
      </w:pPr>
      <w:r>
        <w:rPr>
          <w:rFonts w:hint="eastAsia"/>
        </w:rPr>
        <w:t>当标的公司所在国缺少公开资本市场数据或者公开市场交易很不活跃情况下，就需要采取替代方法。一种方法就是采用成熟资本市场的数据进行测算后，转换成标的公司所在国所匹配的数据，国际投</w:t>
      </w:r>
      <w:proofErr w:type="gramStart"/>
      <w:r>
        <w:rPr>
          <w:rFonts w:hint="eastAsia"/>
        </w:rPr>
        <w:t>行很多</w:t>
      </w:r>
      <w:proofErr w:type="gramEnd"/>
      <w:r>
        <w:rPr>
          <w:rFonts w:hint="eastAsia"/>
        </w:rPr>
        <w:t>都采用这种方式。另外，也有采取部分替代法的，</w:t>
      </w:r>
      <w:r>
        <w:t>如无风险利率按照本国确定，市场风险溢价采用转换方式确定等。当然，如果上述方法均不可行时，还可以采取周边类似国家或地区的数据作为参考使用。</w:t>
      </w:r>
    </w:p>
    <w:p w14:paraId="79E1484A" w14:textId="77777777" w:rsidR="00FA0363" w:rsidRDefault="00FA0363" w:rsidP="00FA0363">
      <w:pPr>
        <w:pStyle w:val="ab"/>
        <w:spacing w:before="62" w:after="62"/>
        <w:ind w:firstLine="482"/>
      </w:pPr>
      <w:r>
        <w:rPr>
          <w:rFonts w:hint="eastAsia"/>
        </w:rPr>
        <w:t>五、关于评估对象</w:t>
      </w:r>
    </w:p>
    <w:p w14:paraId="529F2A7B" w14:textId="77777777" w:rsidR="00FA0363" w:rsidRDefault="00FA0363" w:rsidP="00FA0363">
      <w:pPr>
        <w:pStyle w:val="13"/>
      </w:pPr>
      <w:r>
        <w:rPr>
          <w:rFonts w:hint="eastAsia"/>
        </w:rPr>
        <w:t>（一）房地产</w:t>
      </w:r>
    </w:p>
    <w:p w14:paraId="3F2D843B" w14:textId="77777777" w:rsidR="00FA0363" w:rsidRDefault="00FA0363" w:rsidP="00FA0363">
      <w:pPr>
        <w:pStyle w:val="13"/>
      </w:pPr>
      <w:r>
        <w:t>Q16：企业在办理土地使用权证时缴纳了契税。对土地使用权采用市场法进行评估，是否应计算契税？</w:t>
      </w:r>
    </w:p>
    <w:p w14:paraId="50369337" w14:textId="77777777" w:rsidR="00FA0363" w:rsidRDefault="00FA0363" w:rsidP="00FA0363">
      <w:pPr>
        <w:pStyle w:val="13"/>
      </w:pPr>
      <w:r>
        <w:t>A16：按照《城镇土地估价规程》，土地使用权价值的内涵中不包括办理土地使用权证所交的契税，因为企业价值评估时土地使用权就不应考虑企业所交契税。探讨这个问题要根据评估目的，如果进行转让目的的单项资产评估，由于买方办理产权手续时需要交纳契税，市场价值一般不考虑卖方已交的契税；而在做持续经营下企业整体价值评估时，契税是取得土地使用权的必要成本，应当考虑。</w:t>
      </w:r>
    </w:p>
    <w:p w14:paraId="58BA7F45" w14:textId="77777777" w:rsidR="00FA0363" w:rsidRDefault="00FA0363" w:rsidP="00FA0363">
      <w:pPr>
        <w:pStyle w:val="13"/>
      </w:pPr>
      <w:r>
        <w:t>Q17：在企业整体价值评估时，采用收益法对投资性房地产价值评估时，如果企业现在经营情况下租金水平明显低于市场租金（基准日后无租赁合同），评估应采用哪个租金？</w:t>
      </w:r>
    </w:p>
    <w:p w14:paraId="05B14F30" w14:textId="77777777" w:rsidR="00FA0363" w:rsidRDefault="00FA0363" w:rsidP="00FA0363">
      <w:pPr>
        <w:pStyle w:val="13"/>
      </w:pPr>
      <w:r>
        <w:t>A17：应采用市场租金。企业的经营政策不符合市场正常规律。如企业一直在采用低租金经营，租金水平明显低于市场租金，虽然尚未</w:t>
      </w:r>
      <w:proofErr w:type="gramStart"/>
      <w:r>
        <w:t>签定</w:t>
      </w:r>
      <w:proofErr w:type="gramEnd"/>
      <w:r>
        <w:t>租赁协议，但企业坚持认为未</w:t>
      </w:r>
      <w:r>
        <w:rPr>
          <w:rFonts w:hint="eastAsia"/>
        </w:rPr>
        <w:t>来经营仍会延续低价，做出比较低的收入预测。在企业整体价值评估时，有的评估师对其中投资性房地产的评估采取与整体收益法一致，按企业预测的租金去计算投资性房地产的价值。</w:t>
      </w:r>
    </w:p>
    <w:p w14:paraId="7E37A519" w14:textId="77777777" w:rsidR="00FA0363" w:rsidRDefault="00FA0363" w:rsidP="00FA0363">
      <w:pPr>
        <w:pStyle w:val="13"/>
      </w:pPr>
      <w:r>
        <w:rPr>
          <w:rFonts w:hint="eastAsia"/>
        </w:rPr>
        <w:t>也有的采用与企业协商调整预测收入，采用市场租金和对应的折现率才能正确</w:t>
      </w:r>
      <w:r>
        <w:rPr>
          <w:rFonts w:hint="eastAsia"/>
        </w:rPr>
        <w:lastRenderedPageBreak/>
        <w:t>反映投资性房地产的市场价值。如此，在企业整体价值评估时，如果企业以这种低价策略经营，那么折现率就不能按照正常情况考虑了。</w:t>
      </w:r>
    </w:p>
    <w:p w14:paraId="37C5A6EB" w14:textId="77777777" w:rsidR="00FA0363" w:rsidRDefault="00FA0363" w:rsidP="00FA0363">
      <w:pPr>
        <w:pStyle w:val="13"/>
      </w:pPr>
      <w:r>
        <w:t>Q18：企业已办理了出让的土地使用权证，</w:t>
      </w:r>
      <w:proofErr w:type="gramStart"/>
      <w:r>
        <w:t>证载用途</w:t>
      </w:r>
      <w:proofErr w:type="gramEnd"/>
      <w:r>
        <w:t>：工业，容积率1.0。经规划批准，土地用途变更为办公，容积率调整为3.0，尚未到国土部门办理变更手续，评估时，企业补交的土地出让金是否等于新规划条件下应交纳的出让金减去已交过的金额？</w:t>
      </w:r>
    </w:p>
    <w:p w14:paraId="34A16282" w14:textId="77777777" w:rsidR="00FA0363" w:rsidRDefault="00FA0363" w:rsidP="00FA0363">
      <w:pPr>
        <w:pStyle w:val="13"/>
      </w:pPr>
      <w:r>
        <w:t>A18：有的评估师认为土地调</w:t>
      </w:r>
      <w:proofErr w:type="gramStart"/>
      <w:r>
        <w:t>规</w:t>
      </w:r>
      <w:proofErr w:type="gramEnd"/>
      <w:r>
        <w:t>、变性已得到了规划部门的批准，即为合法，评估时只需扣除按照调整前后两种情况，即现行政府收益的差额补交后便可按调整后的条件来计算土地使用权价值，这是错误的。</w:t>
      </w:r>
    </w:p>
    <w:p w14:paraId="2E4CE69A" w14:textId="77777777" w:rsidR="00FA0363" w:rsidRDefault="00FA0363" w:rsidP="00FA0363">
      <w:pPr>
        <w:pStyle w:val="13"/>
      </w:pPr>
      <w:r>
        <w:rPr>
          <w:rFonts w:hint="eastAsia"/>
        </w:rPr>
        <w:t>国家对土地变性、增</w:t>
      </w:r>
      <w:proofErr w:type="gramStart"/>
      <w:r>
        <w:rPr>
          <w:rFonts w:hint="eastAsia"/>
        </w:rPr>
        <w:t>容采取</w:t>
      </w:r>
      <w:proofErr w:type="gramEnd"/>
      <w:r>
        <w:rPr>
          <w:rFonts w:hint="eastAsia"/>
        </w:rPr>
        <w:t>的是惩罚性的政策，根据《国有建设用地使用权出让地价评估技术规范（试行）》，用途与容积率同时调整的，需补缴地价款等于新用途楼面地价乘以新增建筑面积，加上新、旧用途楼面地价之差乘以原建筑总面积。新用途楼面地价应评估测算以下内容后择高确定：新容积率、新用途规划条件在评估期日的正常市场楼面地价，原容积率、新用途规划条件在评估期日的正常市场楼面地价。</w:t>
      </w:r>
    </w:p>
    <w:p w14:paraId="57375F76" w14:textId="77777777" w:rsidR="00FA0363" w:rsidRDefault="00FA0363" w:rsidP="00FA0363">
      <w:pPr>
        <w:pStyle w:val="13"/>
      </w:pPr>
      <w:r>
        <w:t>Q19：房地产开发企业进行股权转让时，采用收益法对企业进行整体评估和采用资产基础法对存货进行评估时（通常采用假设开发法），财务费用如何处理？</w:t>
      </w:r>
    </w:p>
    <w:p w14:paraId="02561095" w14:textId="77777777" w:rsidR="00FA0363" w:rsidRDefault="00FA0363" w:rsidP="00FA0363">
      <w:pPr>
        <w:pStyle w:val="13"/>
      </w:pPr>
      <w:r>
        <w:t>A19：对于房地产开发企业来讲，其主要资产是存货-开发产品。对房地产开发企业进行整体评估，实质是对存货-开发产品进行评估。那么收益法中的财务费用及假设开发法中的财务费用处理方式有一定差异。</w:t>
      </w:r>
    </w:p>
    <w:p w14:paraId="3AC6C805" w14:textId="77777777" w:rsidR="00FA0363" w:rsidRDefault="00FA0363" w:rsidP="00FA0363">
      <w:pPr>
        <w:pStyle w:val="13"/>
      </w:pPr>
      <w:r>
        <w:t>1、采用收益法对房地产开发企业进行整体资产评估，一般适用于企业自由现金流模型。其公式为：企业自由现金流=净利润+折旧与摊销+利息费用（扣除税务影响后）-资本性支出-净营运资金变动，在上述公式中财务费用（利息费用）先扣减，然后再将利息费用（扣除税务影响后）加回。</w:t>
      </w:r>
    </w:p>
    <w:p w14:paraId="76F441E1" w14:textId="77777777" w:rsidR="00FA0363" w:rsidRDefault="00FA0363" w:rsidP="00FA0363">
      <w:pPr>
        <w:pStyle w:val="13"/>
      </w:pPr>
      <w:r>
        <w:t>2、采用假设开发法测算存货-开发成本时，传统折现法（静态）、现金流量折现法（动态）2种方法的区别在于：传统折现法不考虑各项支出、收入的时间成本，直接加减并扣减财务费用（利息支出）；而现金流量折现法则需要将各项支出、收入折算到同一时间点上然后再加减，财务费用（利息支出）不再单独计算，而是隐含在折现过程中，因此，现金流量折现法的折现率既包括安全利率又包括风险利率。</w:t>
      </w:r>
    </w:p>
    <w:p w14:paraId="13905252" w14:textId="77777777" w:rsidR="00FA0363" w:rsidRDefault="00FA0363" w:rsidP="00FA0363">
      <w:pPr>
        <w:pStyle w:val="13"/>
      </w:pPr>
      <w:r>
        <w:t>Q20：地价评估时，不同等级的土地价格修正是否就是两类土地基准地价之差？A20：我们在进行地价评估时，往往选取不同等级的土地案例，因此，要在</w:t>
      </w:r>
      <w:proofErr w:type="gramStart"/>
      <w:r>
        <w:t>不</w:t>
      </w:r>
      <w:proofErr w:type="gramEnd"/>
      <w:r>
        <w:t>同等</w:t>
      </w:r>
    </w:p>
    <w:p w14:paraId="22B2D7C0" w14:textId="77777777" w:rsidR="00FA0363" w:rsidRDefault="00FA0363" w:rsidP="00FA0363">
      <w:pPr>
        <w:pStyle w:val="13"/>
      </w:pPr>
      <w:r>
        <w:rPr>
          <w:rFonts w:hint="eastAsia"/>
        </w:rPr>
        <w:t>级的土地间进行修正。不同等级土地基准地价的差，不能代表土地市场价值的差。一般价格修正不等同于两类土地基准地价之差，基准地价只是某一区域内土地平均</w:t>
      </w:r>
      <w:r>
        <w:t>价格水平，土地等级的修正是建立在位置、环境等其他因素修正合理、排除其他因素影响的前提下才能正确得出的。不能单独采用两类土地基准地价之差来确定土地</w:t>
      </w:r>
      <w:r>
        <w:lastRenderedPageBreak/>
        <w:t>价格修正。不建议采用不同等级土地作为可比案例。</w:t>
      </w:r>
    </w:p>
    <w:p w14:paraId="420BB0EC" w14:textId="77777777" w:rsidR="00FA0363" w:rsidRDefault="00FA0363" w:rsidP="00FA0363">
      <w:pPr>
        <w:pStyle w:val="13"/>
      </w:pPr>
      <w:r>
        <w:rPr>
          <w:rFonts w:hint="eastAsia"/>
        </w:rPr>
        <w:t>（二）无形资产</w:t>
      </w:r>
    </w:p>
    <w:p w14:paraId="558F3536" w14:textId="77777777" w:rsidR="00FA0363" w:rsidRDefault="00FA0363" w:rsidP="00FA0363">
      <w:pPr>
        <w:pStyle w:val="13"/>
      </w:pPr>
      <w:r>
        <w:t>Q21：有限公司变更为股份公司，对其净资产进行评估时，评估范围是否包含账面未记录的可确指的无形资产（如专利、专有技术）？</w:t>
      </w:r>
    </w:p>
    <w:p w14:paraId="71F92C89" w14:textId="77777777" w:rsidR="00FA0363" w:rsidRDefault="00FA0363" w:rsidP="00FA0363">
      <w:pPr>
        <w:pStyle w:val="13"/>
      </w:pPr>
      <w:r>
        <w:t>A21：近年来资本市场十分活跃，大量企业进行改制上市，其中有限公司变更为股份公司是较为重要的环节。对于此类业务，实务操作中经常会认为只要是评估值高于经审计后的净资产就可以了，因此常把评估范围列为“经审计后的账面总资产及负债……”，但企业经常会有大量账面未记录的可确指的无形资产（如专利、专有技术）存在，因此评估时，首先需要明确的是，评估对象及评估范围不是资产评估机构或评估师确认的，而是委托方根据评估目的以业务约定书的形式确认下来的。其次，虽然经评估后的账面净资产（未含账面未记录的可确指的无形资产）高于经审计</w:t>
      </w:r>
      <w:r>
        <w:rPr>
          <w:rFonts w:hint="eastAsia"/>
        </w:rPr>
        <w:t>后的账面净资产，</w:t>
      </w:r>
      <w:r>
        <w:t>但该评估范围还可能存在资产遗漏的现象，因为评估值中未含作为企业价值要素之一的可确指的无形资产价值，该评估结果也是不完整的。因此，对于有限公司变更为股份公司的业务，更应关注是否存在账面未记录的可确指的无形资产（如专利、专有技术），并将其合理计量。</w:t>
      </w:r>
    </w:p>
    <w:p w14:paraId="7F2E6E64" w14:textId="77777777" w:rsidR="00FA0363" w:rsidRDefault="00FA0363" w:rsidP="00FA0363">
      <w:pPr>
        <w:pStyle w:val="13"/>
      </w:pPr>
      <w:r>
        <w:rPr>
          <w:rFonts w:hint="eastAsia"/>
        </w:rPr>
        <w:t>（三）企业价值</w:t>
      </w:r>
    </w:p>
    <w:p w14:paraId="334DDE73" w14:textId="77777777" w:rsidR="00FA0363" w:rsidRDefault="00FA0363" w:rsidP="00FA0363">
      <w:pPr>
        <w:pStyle w:val="13"/>
      </w:pPr>
      <w:r>
        <w:t>Q22：在企业整体价值评估中，涉及资产减值类的递延所得税资产的，是否要根据此类资产的评估值来确定递延所得税资产的评估值？</w:t>
      </w:r>
    </w:p>
    <w:p w14:paraId="4D5BBFD0" w14:textId="77777777" w:rsidR="00FA0363" w:rsidRDefault="00FA0363" w:rsidP="00FA0363">
      <w:pPr>
        <w:pStyle w:val="13"/>
      </w:pPr>
      <w:r>
        <w:t>A22：关于此问题，不同机构的做法不同。在做具体项目时，不同科目的做法也不一样。如果不是涉及到以评估值入账的情形，不应该按照评估值来确定递延所得税资产，递延所得税资产是由于会计准则</w:t>
      </w:r>
      <w:proofErr w:type="gramStart"/>
      <w:r>
        <w:t>与税审差异</w:t>
      </w:r>
      <w:proofErr w:type="gramEnd"/>
      <w:r>
        <w:t>导致的，并不以评估值的改变而影响递延所得税金额。</w:t>
      </w:r>
    </w:p>
    <w:p w14:paraId="53DA66D4" w14:textId="77777777" w:rsidR="00FA0363" w:rsidRDefault="00FA0363" w:rsidP="00FA0363">
      <w:pPr>
        <w:pStyle w:val="ab"/>
        <w:spacing w:before="62" w:after="62"/>
        <w:ind w:firstLine="482"/>
      </w:pPr>
      <w:r>
        <w:rPr>
          <w:rFonts w:hint="eastAsia"/>
        </w:rPr>
        <w:t>六、评估程序类</w:t>
      </w:r>
    </w:p>
    <w:p w14:paraId="7CA7ABCD" w14:textId="77777777" w:rsidR="00FA0363" w:rsidRDefault="00FA0363" w:rsidP="00FA0363">
      <w:pPr>
        <w:pStyle w:val="13"/>
      </w:pPr>
      <w:r>
        <w:t>Q23：涉及股权评估时，无形资产及负债应怎样进行现场调查？</w:t>
      </w:r>
    </w:p>
    <w:p w14:paraId="4776E10A" w14:textId="77777777" w:rsidR="00FA0363" w:rsidRDefault="00FA0363" w:rsidP="00FA0363">
      <w:pPr>
        <w:pStyle w:val="13"/>
      </w:pPr>
      <w:r>
        <w:t>A23：对于无形资产和</w:t>
      </w:r>
      <w:proofErr w:type="gramStart"/>
      <w:r>
        <w:t>或</w:t>
      </w:r>
      <w:proofErr w:type="gramEnd"/>
      <w:r>
        <w:t>有负债等要仔细阅读公司章程或投资协议，了解股东在利益分配、股权转让等方面的权利和义务是否存在特殊的约定，例如分红限制、清算约定和存在限售期等，并考虑其对股权价值的影响。需关注公司最新的工商登记情况和近期的董事会决议等材料，取得最新的公司章程，确信评估报告准确地反映了股东持股比例及各项权益；采用收益法或市场法评估股权价值时，应当对评估范围内的重要资产和负债，通过询问、函证、核对、监盘、勘查、检查等方式进行必要的调查，了解其经济、技术和法律权属状况，及其对股权价值的影响；如果存在影响评估</w:t>
      </w:r>
      <w:r>
        <w:rPr>
          <w:rFonts w:hint="eastAsia"/>
        </w:rPr>
        <w:t>结论的重要事项，应当要求委托方或被评估企业就该事项提供专项承诺等内部证明材料和律师函等外部证明材料，作为支持评估结论的依据；同时就该事项对评估结果的影响，采取</w:t>
      </w:r>
      <w:proofErr w:type="gramStart"/>
      <w:r>
        <w:rPr>
          <w:rFonts w:hint="eastAsia"/>
        </w:rPr>
        <w:t>如暂估负债</w:t>
      </w:r>
      <w:proofErr w:type="gramEnd"/>
      <w:r>
        <w:rPr>
          <w:rFonts w:hint="eastAsia"/>
        </w:rPr>
        <w:t>、在盈利预测时考虑相关费用或在特别事项中进行披露等方式进</w:t>
      </w:r>
      <w:r>
        <w:rPr>
          <w:rFonts w:hint="eastAsia"/>
        </w:rPr>
        <w:lastRenderedPageBreak/>
        <w:t>行处理等。</w:t>
      </w:r>
    </w:p>
    <w:p w14:paraId="36A4295B" w14:textId="77777777" w:rsidR="00FA0363" w:rsidRDefault="00FA0363" w:rsidP="00FA0363">
      <w:pPr>
        <w:pStyle w:val="13"/>
      </w:pPr>
      <w:r>
        <w:t>Q24：对于非控股的长期投资评估，在对方不配合的情况下，如何实施评估程序？A24：对于非控股的股权投资等如不具备现场调查配合条件，主要调查方法是查阅</w:t>
      </w:r>
    </w:p>
    <w:p w14:paraId="52D3510A" w14:textId="77777777" w:rsidR="00FA0363" w:rsidRDefault="00FA0363" w:rsidP="00FA0363">
      <w:pPr>
        <w:pStyle w:val="13"/>
      </w:pPr>
      <w:r>
        <w:rPr>
          <w:rFonts w:hint="eastAsia"/>
        </w:rPr>
        <w:t>长期股权投资的投资协议、被投资单位章程、被投资单位基准日财务会计报表、营业执照、工商查询档案等综合资料，核实股权投资发生时间、原始投资额及持股比例，调查了解被投资单位在评估基准日的经营情况。</w:t>
      </w:r>
    </w:p>
    <w:p w14:paraId="0FD8C354" w14:textId="77777777" w:rsidR="00FA0363" w:rsidRDefault="00FA0363" w:rsidP="00FA0363">
      <w:pPr>
        <w:pStyle w:val="13"/>
      </w:pPr>
      <w:r>
        <w:rPr>
          <w:rFonts w:hint="eastAsia"/>
        </w:rPr>
        <w:t>对于主要资产为长期股权投资的控股公司，未区分不同情形分别采用适当评估程序完成调查核实工作。</w:t>
      </w:r>
    </w:p>
    <w:p w14:paraId="09CA2710" w14:textId="77777777" w:rsidR="00FA0363" w:rsidRDefault="00FA0363" w:rsidP="00FA0363">
      <w:pPr>
        <w:pStyle w:val="13"/>
        <w:jc w:val="right"/>
      </w:pPr>
      <w:r>
        <w:rPr>
          <w:rFonts w:hint="eastAsia"/>
        </w:rPr>
        <w:t>北京资产评估协会专业技术委员会</w:t>
      </w:r>
    </w:p>
    <w:p w14:paraId="2B495779" w14:textId="77777777" w:rsidR="00FA0363" w:rsidRDefault="00FA0363" w:rsidP="00FA0363">
      <w:pPr>
        <w:pStyle w:val="13"/>
        <w:jc w:val="right"/>
      </w:pPr>
      <w:r>
        <w:t>2016.7.18</w:t>
      </w:r>
    </w:p>
    <w:p w14:paraId="794394F3" w14:textId="77777777" w:rsidR="00FA0363" w:rsidRDefault="00FA0363" w:rsidP="00FA0363">
      <w:pPr>
        <w:pStyle w:val="31"/>
        <w:spacing w:before="156" w:after="62"/>
      </w:pPr>
      <w:bookmarkStart w:id="111" w:name="_Toc81833373"/>
      <w:r>
        <w:rPr>
          <w:rFonts w:hint="eastAsia"/>
        </w:rPr>
        <w:t>北京资产评估协会专业技术委员会执业问题解答（</w:t>
      </w:r>
      <w:r>
        <w:t>2018年第二期）</w:t>
      </w:r>
      <w:bookmarkEnd w:id="111"/>
    </w:p>
    <w:p w14:paraId="30B63393" w14:textId="77777777" w:rsidR="00FA0363" w:rsidRDefault="00FA0363" w:rsidP="00AF7342">
      <w:pPr>
        <w:pStyle w:val="a9"/>
        <w:spacing w:before="62" w:after="62"/>
      </w:pPr>
      <w:r>
        <w:rPr>
          <w:rFonts w:hint="eastAsia"/>
        </w:rPr>
        <w:t>资产评估实务中增值税处理问题特别提示</w:t>
      </w:r>
    </w:p>
    <w:p w14:paraId="58E56DA3" w14:textId="77777777" w:rsidR="00FA0363" w:rsidRDefault="00FA0363" w:rsidP="00FA0363">
      <w:pPr>
        <w:pStyle w:val="13"/>
      </w:pPr>
      <w:r>
        <w:t>2016年3月18日，国务院常务会议决定自2016年5月1日起，中国将全面推开“营改增”试点，将建筑业、房地产业、金融业、生活服务业全部纳入</w:t>
      </w:r>
      <w:proofErr w:type="gramStart"/>
      <w:r>
        <w:t>营改增</w:t>
      </w:r>
      <w:proofErr w:type="gramEnd"/>
      <w:r>
        <w:t>试点。2017年10月30日，国务院常务会议通过《国务院关于废止〈中华人民共和国营业税暂行条</w:t>
      </w:r>
      <w:r>
        <w:rPr>
          <w:rFonts w:hint="eastAsia"/>
        </w:rPr>
        <w:t>例〉和修改〈中华人民共和国增值税暂行条例〉的决定（草案）》，标志着实施</w:t>
      </w:r>
      <w:r>
        <w:t>60多年的营业税正式退出历史舞台。资产评估业务操作中如何考虑“增值税”，是广大资产评估专业人员面临的实际问题。北京资产评估协会资产评估专业技术委员会组织业内专家对此进行了初步研究，对有关问题做了相应解答，供大家在执业中参考。</w:t>
      </w:r>
    </w:p>
    <w:p w14:paraId="74ABDAE2" w14:textId="77777777" w:rsidR="00FA0363" w:rsidRDefault="00FA0363" w:rsidP="00FA0363">
      <w:pPr>
        <w:pStyle w:val="13"/>
      </w:pPr>
      <w:r>
        <w:rPr>
          <w:rFonts w:hint="eastAsia"/>
        </w:rPr>
        <w:t>本</w:t>
      </w:r>
      <w:proofErr w:type="gramStart"/>
      <w:r>
        <w:rPr>
          <w:rFonts w:hint="eastAsia"/>
        </w:rPr>
        <w:t>解答仅</w:t>
      </w:r>
      <w:proofErr w:type="gramEnd"/>
      <w:r>
        <w:rPr>
          <w:rFonts w:hint="eastAsia"/>
        </w:rPr>
        <w:t>代表起草专家个人观点，不能替代相关法律法规、资产评估执业准则，也不能替代资产评估专业人员个人的职业判断，在执业中资产评估专业人员应结合项目实际情况、自身职业判断合理使用，不能直接照搬照抄。</w:t>
      </w:r>
    </w:p>
    <w:p w14:paraId="7FF8F3AD" w14:textId="77777777" w:rsidR="00FA0363" w:rsidRDefault="00FA0363" w:rsidP="00FA0363">
      <w:pPr>
        <w:pStyle w:val="ab"/>
        <w:spacing w:before="62" w:after="62"/>
        <w:ind w:firstLine="482"/>
      </w:pPr>
      <w:r>
        <w:rPr>
          <w:rFonts w:hint="eastAsia"/>
        </w:rPr>
        <w:t>问题</w:t>
      </w:r>
      <w:r>
        <w:t>1：资产评估业务中，对增值税的基本考虑</w:t>
      </w:r>
    </w:p>
    <w:p w14:paraId="0CA9437D" w14:textId="77777777" w:rsidR="00FA0363" w:rsidRDefault="00FA0363" w:rsidP="00FA0363">
      <w:pPr>
        <w:pStyle w:val="13"/>
      </w:pPr>
      <w:r>
        <w:rPr>
          <w:rFonts w:hint="eastAsia"/>
        </w:rPr>
        <w:t>答：资产评估操作中，针对一般纳税人和小规模纳税人分别考虑增值税处理方式：</w:t>
      </w:r>
    </w:p>
    <w:p w14:paraId="548ECDD4" w14:textId="77777777" w:rsidR="00FA0363" w:rsidRDefault="00FA0363" w:rsidP="00FA0363">
      <w:pPr>
        <w:pStyle w:val="13"/>
      </w:pPr>
      <w:r>
        <w:rPr>
          <w:rFonts w:hint="eastAsia"/>
        </w:rPr>
        <w:t>（</w:t>
      </w:r>
      <w:r>
        <w:t>1）一般纳税人是指年应征增值税销售额（包括一个公历年度内的全部应税销售额）超过财政部规定的小规模纳税人标准的企业和企业性单位，具体标准可参见《增值税一般纳税人登记管理办法》（国家税务总局令2017年43号公告）。一般纳税人的特点是增值税进项税额可以抵扣销项税额，即一般纳税人应纳增值税税额=销项税额-进项税额。当被评估企业为一般纳税人时，应按上述增值税的征税逻辑考虑对价值的影响，就评估结果来看，单项资产（不含股权投资类资产）应该是不含税价；股权投资类资产（不含上市公司股票）不属于增值税的调整范围，其</w:t>
      </w:r>
      <w:r>
        <w:rPr>
          <w:rFonts w:hint="eastAsia"/>
        </w:rPr>
        <w:t>评估结果不能用</w:t>
      </w:r>
      <w:r>
        <w:rPr>
          <w:rFonts w:hint="eastAsia"/>
        </w:rPr>
        <w:lastRenderedPageBreak/>
        <w:t>含税或者不含税来表达。上市公司的股票，在</w:t>
      </w:r>
      <w:proofErr w:type="gramStart"/>
      <w:r>
        <w:rPr>
          <w:rFonts w:hint="eastAsia"/>
        </w:rPr>
        <w:t>营改增</w:t>
      </w:r>
      <w:proofErr w:type="gramEnd"/>
      <w:r>
        <w:rPr>
          <w:rFonts w:hint="eastAsia"/>
        </w:rPr>
        <w:t>后作为“金融资产”作为增值税征税对象，征收方式为“销售额乘以适用税率（</w:t>
      </w:r>
      <w:r>
        <w:t>6%）”，销售额“按照卖出价扣除买入价后的余额”来确定，金融商</w:t>
      </w:r>
      <w:r>
        <w:rPr>
          <w:rFonts w:hint="eastAsia"/>
        </w:rPr>
        <w:t>品的买入价，可以选择按照加权平均</w:t>
      </w:r>
      <w:proofErr w:type="gramStart"/>
      <w:r>
        <w:rPr>
          <w:rFonts w:hint="eastAsia"/>
        </w:rPr>
        <w:t>法或者</w:t>
      </w:r>
      <w:proofErr w:type="gramEnd"/>
      <w:r>
        <w:rPr>
          <w:rFonts w:hint="eastAsia"/>
        </w:rPr>
        <w:t>移动加权平均法进行核算，选择后</w:t>
      </w:r>
      <w:r>
        <w:t>36个月内不得变更。</w:t>
      </w:r>
      <w:proofErr w:type="gramStart"/>
      <w:r>
        <w:t>”这里的销售额可以理解为不含税价</w:t>
      </w:r>
      <w:proofErr w:type="gramEnd"/>
      <w:r>
        <w:t>。</w:t>
      </w:r>
    </w:p>
    <w:p w14:paraId="057B196F" w14:textId="77777777" w:rsidR="00FA0363" w:rsidRDefault="00FA0363" w:rsidP="00FA0363">
      <w:pPr>
        <w:pStyle w:val="13"/>
      </w:pPr>
      <w:r>
        <w:rPr>
          <w:rFonts w:hint="eastAsia"/>
        </w:rPr>
        <w:t>（</w:t>
      </w:r>
      <w:r>
        <w:t>2）</w:t>
      </w:r>
      <w:r>
        <w:tab/>
        <w:t>小规模纳税人标准为年应征增值税销售额500万元及以下（《财政部、税务总局关于统一增值税小规模纳税人标准的通知》（财税〔2018〕33号））。对小规模纳税人采用简易征收办法征收增值税，按照销售额和征收率计算应纳税额的简易办法，并不得抵扣进项税额，应纳税额=销售额×征收率。小规模纳税人在销售货物或应税劳务时，一般只能开具普通发票，取得的销售收入均为含税销售额，含税销售额与销售额的关系为：销售额=含税销售额/（1+征收率）。当被评估企业是小规模纳税人时，处理方式比较简单，无论是单项资产还是产权转让或</w:t>
      </w:r>
      <w:r>
        <w:rPr>
          <w:rFonts w:hint="eastAsia"/>
        </w:rPr>
        <w:t>者是财务报告为目的的评估，评估结果均为含税价，且构成价值的各项资产均应该采取含税价。</w:t>
      </w:r>
    </w:p>
    <w:p w14:paraId="5E8B5B83" w14:textId="77777777" w:rsidR="00FA0363" w:rsidRDefault="00FA0363" w:rsidP="00FA0363">
      <w:pPr>
        <w:pStyle w:val="ab"/>
        <w:spacing w:before="62" w:after="62"/>
        <w:ind w:firstLine="482"/>
      </w:pPr>
      <w:r>
        <w:rPr>
          <w:rFonts w:hint="eastAsia"/>
        </w:rPr>
        <w:t>问题</w:t>
      </w:r>
      <w:r>
        <w:t>2：评估基准日为2018年4月30日及此前时点，如何选择增值税税率？</w:t>
      </w:r>
    </w:p>
    <w:p w14:paraId="2342A687" w14:textId="77777777" w:rsidR="00FA0363" w:rsidRDefault="00FA0363" w:rsidP="00FA0363">
      <w:pPr>
        <w:pStyle w:val="13"/>
      </w:pPr>
      <w:r>
        <w:rPr>
          <w:rFonts w:hint="eastAsia"/>
        </w:rPr>
        <w:t>答：资产评估业务中适用增值税税率应选择评估基准日的有效税率，</w:t>
      </w:r>
      <w:r>
        <w:t>2018年财政部、国家税务总局下发《关于调整增值税税率的有关通知》（财税〔2018〕32号），纳税人发生增值税应税销售行为或者进口货物，原适用17%和11%税率的，税率分别调整为16%、10%，通知自2018年5月1日起执行。</w:t>
      </w:r>
    </w:p>
    <w:p w14:paraId="4EFB5F23" w14:textId="77777777" w:rsidR="00FA0363" w:rsidRDefault="00FA0363" w:rsidP="00FA0363">
      <w:pPr>
        <w:pStyle w:val="13"/>
      </w:pPr>
      <w:r>
        <w:rPr>
          <w:rFonts w:hint="eastAsia"/>
        </w:rPr>
        <w:t>如果评估基准日为</w:t>
      </w:r>
      <w:r>
        <w:t>2018年4月30日，企业价值评估中资产基础法和市场法评估中选择的税率为评估基准日的有效税率，建议不考虑上述文件；收益法评估中对于未来预测，即2018年5月1日起的预测建议采用上述文件调整后税率。</w:t>
      </w:r>
    </w:p>
    <w:p w14:paraId="1C7D903E" w14:textId="77777777" w:rsidR="00FA0363" w:rsidRDefault="00FA0363" w:rsidP="00FA0363">
      <w:pPr>
        <w:pStyle w:val="13"/>
      </w:pPr>
      <w:r>
        <w:rPr>
          <w:rFonts w:hint="eastAsia"/>
        </w:rPr>
        <w:t>如果评估基准日为</w:t>
      </w:r>
      <w:r>
        <w:t>2018年4月30日前的某个时点，企业价值评估中资产基础法和市场法评估中选择的税率为评估基准日的有效税率，建议不考虑上述文件的影响，收益法评估中未来预测可以考虑分段测算，即2018年4月30日之前的预测采用上述文件调</w:t>
      </w:r>
    </w:p>
    <w:p w14:paraId="18135BCA" w14:textId="77777777" w:rsidR="00FA0363" w:rsidRDefault="00FA0363" w:rsidP="00FA0363">
      <w:pPr>
        <w:pStyle w:val="13"/>
      </w:pPr>
      <w:proofErr w:type="gramStart"/>
      <w:r>
        <w:rPr>
          <w:rFonts w:hint="eastAsia"/>
        </w:rPr>
        <w:t>整前的</w:t>
      </w:r>
      <w:proofErr w:type="gramEnd"/>
      <w:r>
        <w:rPr>
          <w:rFonts w:hint="eastAsia"/>
        </w:rPr>
        <w:t>税率，</w:t>
      </w:r>
      <w:r>
        <w:t>2018年4月30日以后的预测建议采用上述文件调整后税率。</w:t>
      </w:r>
    </w:p>
    <w:p w14:paraId="39B50FE0" w14:textId="77777777" w:rsidR="00FA0363" w:rsidRDefault="00FA0363" w:rsidP="00FA0363">
      <w:pPr>
        <w:pStyle w:val="13"/>
        <w:ind w:firstLine="482"/>
      </w:pPr>
      <w:r w:rsidRPr="00500CAE">
        <w:rPr>
          <w:rStyle w:val="ac"/>
        </w:rPr>
        <w:t>问题3：产权转让经济行为，不动产评估如何考虑增值税？</w:t>
      </w:r>
    </w:p>
    <w:p w14:paraId="722EE6C1" w14:textId="77777777" w:rsidR="00FA0363" w:rsidRDefault="00FA0363" w:rsidP="00FA0363">
      <w:pPr>
        <w:pStyle w:val="13"/>
      </w:pPr>
      <w:r>
        <w:rPr>
          <w:rFonts w:hint="eastAsia"/>
        </w:rPr>
        <w:t>答：产权转让经济行为，不动产评估采用的增值税税率为：全面实行营</w:t>
      </w:r>
      <w:proofErr w:type="gramStart"/>
      <w:r>
        <w:rPr>
          <w:rFonts w:hint="eastAsia"/>
        </w:rPr>
        <w:t>改增之后</w:t>
      </w:r>
      <w:proofErr w:type="gramEnd"/>
      <w:r>
        <w:rPr>
          <w:rFonts w:hint="eastAsia"/>
        </w:rPr>
        <w:t>，</w:t>
      </w:r>
      <w:r>
        <w:t>纳税人销售建筑、不动产，转让土地使用权，提供不动产租赁服务等，不再缴纳营业税，一般纳税人适用的增值税税率为10%。小规模纳税人缴纳的增值税税率为5%。</w:t>
      </w:r>
      <w:r>
        <w:rPr>
          <w:rFonts w:hint="eastAsia"/>
        </w:rPr>
        <w:t>产权转让经济行为，不动产评估中不同的评估方法增值税的处理方式如下：</w:t>
      </w:r>
    </w:p>
    <w:p w14:paraId="0C5766EA" w14:textId="77777777" w:rsidR="00FA0363" w:rsidRDefault="00FA0363" w:rsidP="00FA0363">
      <w:pPr>
        <w:pStyle w:val="13"/>
      </w:pPr>
      <w:r>
        <w:rPr>
          <w:rFonts w:hint="eastAsia"/>
        </w:rPr>
        <w:t>（</w:t>
      </w:r>
      <w:r>
        <w:t>1）</w:t>
      </w:r>
      <w:r>
        <w:tab/>
        <w:t>市场法。首先应当统一可比交易实例的交易价格内涵，对可比交易实例的交易</w:t>
      </w:r>
      <w:r>
        <w:rPr>
          <w:rFonts w:hint="eastAsia"/>
        </w:rPr>
        <w:t>价格统一税费负担调整。关注卖方应纳增值税、所得税是否存在向买方转嫁的问题，在</w:t>
      </w:r>
      <w:r>
        <w:t>税费计算中，应当区分是否为房地产开发企业销售自行开发的房地产项目；区分一般纳税人、小规模纳税人，区分一般计税方法、简易计税方法，区分不动产为</w:t>
      </w:r>
      <w:r>
        <w:lastRenderedPageBreak/>
        <w:t>取得还是自建，区分取得（自建）不动产日期等，合理计算可比交易实例的交易价格中所涉增值税的金额，将交易实例的交易价格调整为统一税费负担的价格或者不含税价格。如果可比交易实例的交易价格为含税价格，则评估值为含税价格，反之，评估结果为不含税价格。在实际应用中，如果各可比交易实例的交易税费不</w:t>
      </w:r>
      <w:r>
        <w:rPr>
          <w:rFonts w:hint="eastAsia"/>
        </w:rPr>
        <w:t>同，可以先统一调整为不含税价格，然</w:t>
      </w:r>
      <w:r>
        <w:t>后计算出评估对象的不含税评估值，再根据评估经济行为中交易主体适用的增值税税率，计算所应当缴纳的增值税额。</w:t>
      </w:r>
    </w:p>
    <w:p w14:paraId="1013C899" w14:textId="77777777" w:rsidR="00FA0363" w:rsidRDefault="00FA0363" w:rsidP="00FA0363">
      <w:pPr>
        <w:pStyle w:val="13"/>
      </w:pPr>
      <w:r>
        <w:rPr>
          <w:rFonts w:hint="eastAsia"/>
        </w:rPr>
        <w:t>（</w:t>
      </w:r>
      <w:r>
        <w:t>2）收益法（租金还原法）。按照市场租金的不含税价格计算租金毛收入，然后扣除维修费、管理费、保险费和税金等，计算租金净收益。在此基础上，采用恰当的折现率，折现计算收益期内的租金现值，最终得出不动产的评估值。该不动产评估值不含增值税。</w:t>
      </w:r>
    </w:p>
    <w:p w14:paraId="620341CA" w14:textId="77777777" w:rsidR="00FA0363" w:rsidRDefault="00FA0363" w:rsidP="00FA0363">
      <w:pPr>
        <w:pStyle w:val="13"/>
      </w:pPr>
      <w:r>
        <w:rPr>
          <w:rFonts w:hint="eastAsia"/>
        </w:rPr>
        <w:t>上述，租金收入和各项费用均为不含税价格，税金为房产出租过程中应当缴纳的房产税、增值税及附加等，计征房产税的租金收入为不含增值税口径。</w:t>
      </w:r>
    </w:p>
    <w:p w14:paraId="31FFC2AB" w14:textId="77777777" w:rsidR="00FA0363" w:rsidRDefault="00FA0363" w:rsidP="00FA0363">
      <w:pPr>
        <w:pStyle w:val="13"/>
      </w:pPr>
      <w:r>
        <w:rPr>
          <w:rFonts w:hint="eastAsia"/>
        </w:rPr>
        <w:t>（</w:t>
      </w:r>
      <w:r>
        <w:t>3）成本法。不动产重置成本通常包括：土地取得费用、开发成本、管理费用、投资利息、销售税费、开发利润等。其中土地取得成本、开发成本、管理费用区分含税金额和对应的进项税额；投资利息、开发利润以投入的成本和费用的含税金额为基础计算；销售税费为不动产销售环节发生的费用和税金，销售费用为销售价格的一定比例，销售税金为应当缴纳的增值税额和相应的教育费附加等。通过列等式计算得出不动产的评估值为不含增值税的不动产价值。开发利润率根据开发、建造类似房地产相应的平均利润率水平来求取，平均利润率为缴纳增值税情况下的利润率。</w:t>
      </w:r>
    </w:p>
    <w:p w14:paraId="3BDBDD42" w14:textId="77777777" w:rsidR="00FA0363" w:rsidRDefault="00FA0363" w:rsidP="00FA0363">
      <w:pPr>
        <w:pStyle w:val="13"/>
      </w:pPr>
      <w:r>
        <w:rPr>
          <w:rFonts w:hint="eastAsia"/>
        </w:rPr>
        <w:t>（</w:t>
      </w:r>
      <w:r>
        <w:t>4）假设开发法。在计算未来投入的成本、费用、利息、销售税费和开发利润，以及计算开发完成后的房地产价值时，在计算成本和费用时应区分一般纳税人和小规模纳税人，同时假设一般纳税人取得了成本和费用中的主要项目能够取得增值税专用发票进行抵扣，应为不含税价，小规模纳税人的成本和费用均为含税价。</w:t>
      </w:r>
      <w:proofErr w:type="gramStart"/>
      <w:r>
        <w:t>销售税费原指</w:t>
      </w:r>
      <w:proofErr w:type="gramEnd"/>
      <w:r>
        <w:t>的是营业税、城建税和教育费附加等，</w:t>
      </w:r>
      <w:proofErr w:type="gramStart"/>
      <w:r>
        <w:t>营改增之后</w:t>
      </w:r>
      <w:proofErr w:type="gramEnd"/>
      <w:r>
        <w:t>，销售税费中可以不考虑增值税。但是根据财政部、国家税务总局《关于全面推开营业税改征增值税试点的通知》（财税〔2016〕36</w:t>
      </w:r>
      <w:r>
        <w:rPr>
          <w:rFonts w:hint="eastAsia"/>
        </w:rPr>
        <w:t>号）附件</w:t>
      </w:r>
      <w:r>
        <w:t>2《营业税改征增值税试点有关事项的规定》的要求，如果该不动产是2016年4月30日之前取得，可以选择简易计税方法，按照5%的征收率计算应纳税额，如果资</w:t>
      </w:r>
      <w:r>
        <w:rPr>
          <w:rFonts w:hint="eastAsia"/>
        </w:rPr>
        <w:t>产隶属的法人主体选择了简易计税方法，在假设开发法评估不动产时，销售税费应按</w:t>
      </w:r>
      <w:r>
        <w:t>5%</w:t>
      </w:r>
      <w:r>
        <w:rPr>
          <w:rFonts w:hint="eastAsia"/>
        </w:rPr>
        <w:t>计算增值税及其附加。其他各项成本、费用以及相关的税费计算方式参照成本法的应用。</w:t>
      </w:r>
    </w:p>
    <w:p w14:paraId="7CC3FD39" w14:textId="77777777" w:rsidR="00FA0363" w:rsidRDefault="00FA0363" w:rsidP="00FA0363">
      <w:pPr>
        <w:pStyle w:val="ab"/>
        <w:spacing w:before="62" w:after="62"/>
        <w:ind w:firstLine="482"/>
      </w:pPr>
      <w:r>
        <w:rPr>
          <w:rFonts w:hint="eastAsia"/>
        </w:rPr>
        <w:t>问题</w:t>
      </w:r>
      <w:r>
        <w:t>4：产权转让经济行为，土地使用权评估如何考虑增值税？</w:t>
      </w:r>
    </w:p>
    <w:p w14:paraId="05D66228" w14:textId="77777777" w:rsidR="00FA0363" w:rsidRDefault="00FA0363" w:rsidP="00FA0363">
      <w:pPr>
        <w:pStyle w:val="13"/>
      </w:pPr>
      <w:r>
        <w:rPr>
          <w:rFonts w:hint="eastAsia"/>
        </w:rPr>
        <w:t>答：政府通过协议、</w:t>
      </w:r>
      <w:proofErr w:type="gramStart"/>
      <w:r>
        <w:rPr>
          <w:rFonts w:hint="eastAsia"/>
        </w:rPr>
        <w:t>招拍挂</w:t>
      </w:r>
      <w:proofErr w:type="gramEnd"/>
      <w:r>
        <w:rPr>
          <w:rFonts w:hint="eastAsia"/>
        </w:rPr>
        <w:t>、租赁、作价出资、授权经营等方式向市场配置土地资源的“土地一级市场”，由于政府部门并非纳税义务人，出让时无法向受让方开具增值税专用发票，受让方（一般纳税人）无法据此抵扣相应的增值税。市场主体相互</w:t>
      </w:r>
      <w:r>
        <w:rPr>
          <w:rFonts w:hint="eastAsia"/>
        </w:rPr>
        <w:lastRenderedPageBreak/>
        <w:t>之间的土地使用权转让、出资、出租、抵押等“土地二级市场”，一般理解，转让方应向受让方开具增值税专用发票，受让方（一般纳税人）可以用于之后经营过程中的增值税抵扣。按照替代性原则，对于同一宗土地，与从政府出让取得比较，受让方（一般纳税人）从二级市场上取得土地，愿意支付的最高价格为政府出让价格加上相应的增值税税额。据此，</w:t>
      </w:r>
      <w:r>
        <w:t>也可以近似理解为政府出让的土地价格为不含税口径。</w:t>
      </w:r>
      <w:r>
        <w:rPr>
          <w:rFonts w:hint="eastAsia"/>
        </w:rPr>
        <w:t>产权转让经济行为，土地使用权评估中不同的评估方法增值税的处理方式如下：</w:t>
      </w:r>
    </w:p>
    <w:p w14:paraId="0C80421F" w14:textId="77777777" w:rsidR="00FA0363" w:rsidRDefault="00FA0363" w:rsidP="00FA0363">
      <w:pPr>
        <w:pStyle w:val="13"/>
      </w:pPr>
      <w:r>
        <w:rPr>
          <w:rFonts w:hint="eastAsia"/>
        </w:rPr>
        <w:t>（</w:t>
      </w:r>
      <w:r>
        <w:t>1）市场比较法。对可比交易案例的交易情况进行分析和修正时，除了考虑交易情况外，还需要考虑交易价格是否包括增值税、契税以及转让方转嫁的所得税等，进而将交易价格调整到正常交易条件下的价格。如果交易案例的价格为包含增值税价格（含税价格），那么评估值也为含税价格口径，反之，评估值为不含税价格口径。</w:t>
      </w:r>
    </w:p>
    <w:p w14:paraId="2F754B79" w14:textId="77777777" w:rsidR="00FA0363" w:rsidRDefault="00FA0363" w:rsidP="00FA0363">
      <w:pPr>
        <w:pStyle w:val="13"/>
      </w:pPr>
      <w:r>
        <w:rPr>
          <w:rFonts w:hint="eastAsia"/>
        </w:rPr>
        <w:t>（</w:t>
      </w:r>
      <w:r>
        <w:t>2）收益法。需要关注土地的收益以及相关的费用是否包含增值税，如果不包含增值税，那么得出的评估结果也为不含税价格口径；反之，则为含税价格口径。另外，在计算过程中还需要关注各项税费的计算基数一般为不含税价口径，比如房产税等。</w:t>
      </w:r>
    </w:p>
    <w:p w14:paraId="41DD1AE0" w14:textId="77777777" w:rsidR="00FA0363" w:rsidRDefault="00FA0363" w:rsidP="00FA0363">
      <w:pPr>
        <w:pStyle w:val="13"/>
      </w:pPr>
      <w:r>
        <w:rPr>
          <w:rFonts w:hint="eastAsia"/>
        </w:rPr>
        <w:t>（</w:t>
      </w:r>
      <w:r>
        <w:t>3）剩余法。对于开发完成的不动产价格、后续投入的开发成本等如果采用不含税价格口径，那么得出的评估结果也为不含税价格口径。反之，得出的评估结果为含税价格口径。在具体估算过程中，也需要考虑各项税费的计算基数是否含税。</w:t>
      </w:r>
    </w:p>
    <w:p w14:paraId="5A5CECDF" w14:textId="77777777" w:rsidR="00FA0363" w:rsidRDefault="00FA0363" w:rsidP="00FA0363">
      <w:pPr>
        <w:pStyle w:val="13"/>
      </w:pPr>
      <w:r>
        <w:rPr>
          <w:rFonts w:hint="eastAsia"/>
        </w:rPr>
        <w:t>（</w:t>
      </w:r>
      <w:r>
        <w:t>4）成本逼近法。对于土地取得和开发环节的各费用项目，如果为增值税应税项目，统一采用不含税口径的，那么得出的结果也为不含税价格口径；反之，得出的结果为含税价格口径。</w:t>
      </w:r>
    </w:p>
    <w:p w14:paraId="39F81DA0" w14:textId="77777777" w:rsidR="00FA0363" w:rsidRDefault="00FA0363" w:rsidP="00FA0363">
      <w:pPr>
        <w:pStyle w:val="13"/>
      </w:pPr>
      <w:r>
        <w:rPr>
          <w:rFonts w:hint="eastAsia"/>
        </w:rPr>
        <w:t>（</w:t>
      </w:r>
      <w:r>
        <w:t>5）公示地价系数修正法。需要关注所在地政府公布的基准地价、路线价、以及标</w:t>
      </w:r>
      <w:r>
        <w:rPr>
          <w:rFonts w:hint="eastAsia"/>
        </w:rPr>
        <w:t>定地价的价格口径，如果为不含税价格口径，那么得出的评估结果也为不含税口径；反之，得出的评估结果为含税价格口径。</w:t>
      </w:r>
    </w:p>
    <w:p w14:paraId="7E954B34" w14:textId="77777777" w:rsidR="00FA0363" w:rsidRDefault="00FA0363" w:rsidP="00FA0363">
      <w:pPr>
        <w:pStyle w:val="ab"/>
        <w:spacing w:before="62" w:after="62"/>
        <w:ind w:firstLine="482"/>
      </w:pPr>
      <w:r>
        <w:rPr>
          <w:rFonts w:hint="eastAsia"/>
        </w:rPr>
        <w:t>问题</w:t>
      </w:r>
      <w:r>
        <w:t>5：重置成本法评估机器设备，如何考虑增值税？</w:t>
      </w:r>
    </w:p>
    <w:p w14:paraId="4073000E" w14:textId="77777777" w:rsidR="00FA0363" w:rsidRDefault="00FA0363" w:rsidP="00FA0363">
      <w:pPr>
        <w:pStyle w:val="13"/>
      </w:pPr>
      <w:r>
        <w:rPr>
          <w:rFonts w:hint="eastAsia"/>
        </w:rPr>
        <w:t>答：</w:t>
      </w:r>
      <w:r>
        <w:t>在2009年1月1日我国增值税全面转型改革之前，除国家指定的试点地区之外，企业所拥有的设备从购置到达到预计使用状态发生的增值税进项税，包含在历史成本中在其固定资产等科目核算，资产评估时也将设备重置所涉及的增值税进项税作为其重置全价的组成部分，最终体现在评估值中。2009年1月1日起，增值税一般纳税人购进设备形成的增值税进项税额被允许从销项税额中进行抵扣，新购置的设备账面价值中就不再包括其准予抵扣的增值税进项税额，在企业价值资产评估实务中，对增值税一般纳税人拥有的设备进行评估时，重</w:t>
      </w:r>
      <w:r>
        <w:rPr>
          <w:rFonts w:hint="eastAsia"/>
        </w:rPr>
        <w:t>置全价通常采用不含税价值口径。从</w:t>
      </w:r>
      <w:r>
        <w:t>2013年8月1日开始，原增值税一般纳税人自用的应征消费税的摩托车、汽车、游艇的进项税额也准予从销项税额中抵扣，对这些设备评估时，一般也将重置过程涉及的进项税额从重置全价中扣除。</w:t>
      </w:r>
    </w:p>
    <w:p w14:paraId="16D5DDCC" w14:textId="77777777" w:rsidR="00FA0363" w:rsidRDefault="00FA0363" w:rsidP="00FA0363">
      <w:pPr>
        <w:pStyle w:val="13"/>
      </w:pPr>
      <w:r>
        <w:rPr>
          <w:rFonts w:hint="eastAsia"/>
        </w:rPr>
        <w:lastRenderedPageBreak/>
        <w:t>机器设备重置全价各构成项目，涉及增值税进项</w:t>
      </w:r>
      <w:proofErr w:type="gramStart"/>
      <w:r>
        <w:rPr>
          <w:rFonts w:hint="eastAsia"/>
        </w:rPr>
        <w:t>税处理</w:t>
      </w:r>
      <w:proofErr w:type="gramEnd"/>
      <w:r>
        <w:rPr>
          <w:rFonts w:hint="eastAsia"/>
        </w:rPr>
        <w:t>方式如下：</w:t>
      </w:r>
    </w:p>
    <w:p w14:paraId="25AAA43E" w14:textId="77777777" w:rsidR="00FA0363" w:rsidRDefault="00FA0363" w:rsidP="00FA0363">
      <w:pPr>
        <w:pStyle w:val="13"/>
      </w:pPr>
      <w:r>
        <w:rPr>
          <w:rFonts w:hint="eastAsia"/>
        </w:rPr>
        <w:t>（</w:t>
      </w:r>
      <w:r>
        <w:t>1）购置费用</w:t>
      </w:r>
    </w:p>
    <w:p w14:paraId="1E6B9CCB" w14:textId="77777777" w:rsidR="00FA0363" w:rsidRDefault="00FA0363" w:rsidP="00FA0363">
      <w:pPr>
        <w:pStyle w:val="13"/>
      </w:pPr>
      <w:r>
        <w:rPr>
          <w:rFonts w:hint="eastAsia"/>
        </w:rPr>
        <w:t>国内购置设备的进项税额一般以其不含税购置价为基础，按适用税率计算。</w:t>
      </w:r>
    </w:p>
    <w:p w14:paraId="216AC90D" w14:textId="77777777" w:rsidR="00FA0363" w:rsidRDefault="00FA0363" w:rsidP="00FA0363">
      <w:pPr>
        <w:pStyle w:val="13"/>
      </w:pPr>
      <w:r>
        <w:rPr>
          <w:rFonts w:hint="eastAsia"/>
        </w:rPr>
        <w:t>进口设备一般按其组成计税价格（通常包括关税完税价格、关税和消费税）为基础，</w:t>
      </w:r>
      <w:r>
        <w:t>按适用税率计算。根据《中华人民共和国海关审定进出口货物完税价格办法》，“进口货物的完税价格，由海关以该货物的成交价格为基础审查确定，并且应当包括货物运抵中华人民共和国境内输入地点起卸前的运输及相关费用、保险费”。</w:t>
      </w:r>
    </w:p>
    <w:p w14:paraId="18AFBF22" w14:textId="77777777" w:rsidR="00FA0363" w:rsidRDefault="00FA0363" w:rsidP="00FA0363">
      <w:pPr>
        <w:pStyle w:val="13"/>
      </w:pPr>
      <w:r>
        <w:rPr>
          <w:rFonts w:hint="eastAsia"/>
        </w:rPr>
        <w:t>从</w:t>
      </w:r>
      <w:r>
        <w:t>2018年5月1日起，适用的增值税率由17%调至16%。</w:t>
      </w:r>
    </w:p>
    <w:p w14:paraId="294432CD" w14:textId="77777777" w:rsidR="00FA0363" w:rsidRDefault="00FA0363" w:rsidP="00FA0363">
      <w:pPr>
        <w:pStyle w:val="13"/>
      </w:pPr>
      <w:r>
        <w:rPr>
          <w:rFonts w:hint="eastAsia"/>
        </w:rPr>
        <w:t>（</w:t>
      </w:r>
      <w:r>
        <w:t>2）运杂费</w:t>
      </w:r>
    </w:p>
    <w:p w14:paraId="385DA5D6" w14:textId="77777777" w:rsidR="00FA0363" w:rsidRDefault="00FA0363" w:rsidP="00FA0363">
      <w:pPr>
        <w:pStyle w:val="13"/>
      </w:pPr>
      <w:r>
        <w:rPr>
          <w:rFonts w:hint="eastAsia"/>
        </w:rPr>
        <w:t>我国</w:t>
      </w:r>
      <w:r>
        <w:t>2009年增值税转型后，增值税一般纳税人购进货物支付的运输费用，可以按照运输费用结算单据上注明的运输费用乘以7%的扣除率，计算进项税额进行抵扣。</w:t>
      </w:r>
    </w:p>
    <w:p w14:paraId="7BAFC187" w14:textId="77777777" w:rsidR="00FA0363" w:rsidRDefault="00FA0363" w:rsidP="00FA0363">
      <w:pPr>
        <w:pStyle w:val="13"/>
      </w:pPr>
      <w:r>
        <w:t>2013年8月1日我国从交通运输业和部分现代服务业开始在全国进行营业税改征</w:t>
      </w:r>
      <w:r>
        <w:rPr>
          <w:rFonts w:hint="eastAsia"/>
        </w:rPr>
        <w:t>增值税试点，从</w:t>
      </w:r>
      <w:r>
        <w:t>2014年1月1日起铁路运输业也纳入全国“营改增”试点范围。</w:t>
      </w:r>
    </w:p>
    <w:p w14:paraId="20A0607D" w14:textId="77777777" w:rsidR="00FA0363" w:rsidRDefault="00FA0363" w:rsidP="00FA0363">
      <w:pPr>
        <w:pStyle w:val="13"/>
      </w:pPr>
      <w:r>
        <w:rPr>
          <w:rFonts w:hint="eastAsia"/>
        </w:rPr>
        <w:t>交通运输业实行“营改增”改革后，税法允许企业将购进货物时从承运部门取得的增值税专用发票上注明的增值税进项税额进行抵扣。</w:t>
      </w:r>
    </w:p>
    <w:p w14:paraId="43A26C68" w14:textId="77777777" w:rsidR="00FA0363" w:rsidRDefault="00FA0363" w:rsidP="00FA0363">
      <w:pPr>
        <w:pStyle w:val="13"/>
      </w:pPr>
      <w:r>
        <w:rPr>
          <w:rFonts w:hint="eastAsia"/>
        </w:rPr>
        <w:t>机器设备评估实务中，一般需要对单独计取的从销售方发货地点至安装使用地点需要发生的设备运输费用，依据适用的税率计算增值税进项税额。从</w:t>
      </w:r>
      <w:r>
        <w:t>2018年5月1日起，一般纳税人从事运输服务适用的增值税率已由11%调减至10%。</w:t>
      </w:r>
    </w:p>
    <w:p w14:paraId="4925B92F" w14:textId="77777777" w:rsidR="00FA0363" w:rsidRDefault="00FA0363" w:rsidP="00FA0363">
      <w:pPr>
        <w:pStyle w:val="13"/>
      </w:pPr>
      <w:r>
        <w:rPr>
          <w:rFonts w:hint="eastAsia"/>
        </w:rPr>
        <w:t>在实际操作中，机器设备的运输费用可以结合被评估设备的类型、运输方式、运距等，依据相关运费计费标准估算，也可以参照有关参数手册或统计资料，以评估基准日被评估设备本体购置价的一定比率估算。在使用相关价格标准或参考资料时，建议资产评估专业人员关注有关参数的涉税口径。</w:t>
      </w:r>
    </w:p>
    <w:p w14:paraId="473E0D07" w14:textId="77777777" w:rsidR="00FA0363" w:rsidRDefault="00FA0363" w:rsidP="00FA0363">
      <w:pPr>
        <w:pStyle w:val="13"/>
      </w:pPr>
      <w:r>
        <w:rPr>
          <w:rFonts w:hint="eastAsia"/>
        </w:rPr>
        <w:t>对于按照价税合计口径估算的运输费用，其增值税进项税计税基数通常可以按照下式估算：</w:t>
      </w:r>
    </w:p>
    <w:p w14:paraId="32868DED" w14:textId="77777777" w:rsidR="00FA0363" w:rsidRDefault="00FA0363" w:rsidP="00FA0363">
      <w:pPr>
        <w:pStyle w:val="13"/>
      </w:pPr>
      <w:r>
        <w:rPr>
          <w:rFonts w:hint="eastAsia"/>
        </w:rPr>
        <w:t>（</w:t>
      </w:r>
      <w:r>
        <w:t>3）安装费和基础费</w:t>
      </w:r>
    </w:p>
    <w:p w14:paraId="6EFF8267" w14:textId="77777777" w:rsidR="00FA0363" w:rsidRDefault="00FA0363" w:rsidP="00FA0363">
      <w:pPr>
        <w:pStyle w:val="13"/>
      </w:pPr>
      <w:r>
        <w:rPr>
          <w:rFonts w:hint="eastAsia"/>
        </w:rPr>
        <w:t>对已安装在用的设备，如果安装费用需要在设备本体购置价之外单独计取，评估时一般要估算安装费用。对需要单独设置设备基础的被评估设备，一般还要计取其基础费用（已在纳入资产评估范围的厂房等建筑物中统</w:t>
      </w:r>
      <w:proofErr w:type="gramStart"/>
      <w:r>
        <w:rPr>
          <w:rFonts w:hint="eastAsia"/>
        </w:rPr>
        <w:t>一</w:t>
      </w:r>
      <w:proofErr w:type="gramEnd"/>
      <w:r>
        <w:rPr>
          <w:rFonts w:hint="eastAsia"/>
        </w:rPr>
        <w:t>考虑的除外）。</w:t>
      </w:r>
    </w:p>
    <w:p w14:paraId="5B3AAA4B" w14:textId="77777777" w:rsidR="00FA0363" w:rsidRDefault="00FA0363" w:rsidP="00FA0363">
      <w:pPr>
        <w:pStyle w:val="13"/>
      </w:pPr>
      <w:r>
        <w:rPr>
          <w:rFonts w:hint="eastAsia"/>
        </w:rPr>
        <w:t>从</w:t>
      </w:r>
      <w:r>
        <w:t>2016年5月1日我国全面推开“营改增”试点后，增值税一般纳税人为所购设备的安装支付的工程费用，准予按照从提供建筑安装服务单位取得的增值税专用发票上注明的增值税进项税额进行抵扣。一般纳税人从事建筑服务适用的增值税率，自2018年5月1日起已由11%调减至10%。</w:t>
      </w:r>
    </w:p>
    <w:p w14:paraId="74A3E944" w14:textId="77777777" w:rsidR="00FA0363" w:rsidRDefault="00FA0363" w:rsidP="00FA0363">
      <w:pPr>
        <w:pStyle w:val="13"/>
      </w:pPr>
      <w:r>
        <w:rPr>
          <w:rFonts w:hint="eastAsia"/>
        </w:rPr>
        <w:t>在资产评估实务中，资产评估专业人员通常会根据被评估设备的特点和资料的取得情况，参考与被评估设备安装有关的合同、相关行业概算（估算指标）、参数手</w:t>
      </w:r>
      <w:r>
        <w:rPr>
          <w:rFonts w:hint="eastAsia"/>
        </w:rPr>
        <w:lastRenderedPageBreak/>
        <w:t>册等估算其安装费和基础费。对于能够取得安装、基础工程设计、预（决）算等资料的大型或重要设备，也可能通过调整预（决）算等方式估算其安装费和基础费。</w:t>
      </w:r>
    </w:p>
    <w:p w14:paraId="4F38D6BB" w14:textId="77777777" w:rsidR="00FA0363" w:rsidRDefault="00FA0363" w:rsidP="00FA0363">
      <w:pPr>
        <w:pStyle w:val="13"/>
      </w:pPr>
      <w:r>
        <w:rPr>
          <w:rFonts w:hint="eastAsia"/>
        </w:rPr>
        <w:t>对采用调整预（决）算等方式估算设备安装费、基础费的，可以依据相关工程造价计算程序表中估算的增值税销项税额，确定可抵扣的进行税额。</w:t>
      </w:r>
    </w:p>
    <w:p w14:paraId="529295AE" w14:textId="77777777" w:rsidR="00FA0363" w:rsidRDefault="00FA0363" w:rsidP="00FA0363">
      <w:pPr>
        <w:pStyle w:val="13"/>
      </w:pPr>
      <w:r>
        <w:rPr>
          <w:rFonts w:hint="eastAsia"/>
        </w:rPr>
        <w:t>对按照价税合计口径估算的设备安装费和基础费，其增值税进项税的计税基数可以参照下式估算：</w:t>
      </w:r>
    </w:p>
    <w:p w14:paraId="5C851491" w14:textId="77777777" w:rsidR="00FA0363" w:rsidRDefault="00FA0363" w:rsidP="00FA0363">
      <w:pPr>
        <w:pStyle w:val="13"/>
        <w:jc w:val="center"/>
      </w:pPr>
      <w:r>
        <w:rPr>
          <w:noProof/>
        </w:rPr>
        <w:drawing>
          <wp:inline distT="0" distB="0" distL="0" distR="0" wp14:anchorId="7EEB2945" wp14:editId="1E9B2C50">
            <wp:extent cx="2405103" cy="454623"/>
            <wp:effectExtent l="0" t="0" r="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47381" cy="462615"/>
                    </a:xfrm>
                    <a:prstGeom prst="rect">
                      <a:avLst/>
                    </a:prstGeom>
                  </pic:spPr>
                </pic:pic>
              </a:graphicData>
            </a:graphic>
          </wp:inline>
        </w:drawing>
      </w:r>
    </w:p>
    <w:p w14:paraId="7872EF24" w14:textId="77777777" w:rsidR="00FA0363" w:rsidRDefault="00FA0363" w:rsidP="00FA0363">
      <w:pPr>
        <w:pStyle w:val="13"/>
      </w:pPr>
      <w:r>
        <w:rPr>
          <w:rFonts w:hint="eastAsia"/>
        </w:rPr>
        <w:t>（</w:t>
      </w:r>
      <w:r>
        <w:t>4）前期和其他费用</w:t>
      </w:r>
    </w:p>
    <w:p w14:paraId="6C4D2A91" w14:textId="77777777" w:rsidR="00FA0363" w:rsidRDefault="00FA0363" w:rsidP="00FA0363">
      <w:pPr>
        <w:pStyle w:val="13"/>
      </w:pPr>
      <w:r>
        <w:rPr>
          <w:rFonts w:hint="eastAsia"/>
        </w:rPr>
        <w:t>前期和其他费用，是针对原地持续使用前提的（生产线、车间、工程等）整体性机器设备评估，考虑的被评估设备的产权持有单位在形成相关整体性机器设备过程中需要支付的（勘察设计、招投标、工程监理等）服务费用、行政事业性收费，以及从事建设项目管理、设备联合试运转等活动需要发生的费用。</w:t>
      </w:r>
    </w:p>
    <w:p w14:paraId="6766EB7E" w14:textId="77777777" w:rsidR="00FA0363" w:rsidRDefault="00FA0363" w:rsidP="00FA0363">
      <w:pPr>
        <w:pStyle w:val="13"/>
      </w:pPr>
      <w:r>
        <w:rPr>
          <w:rFonts w:hint="eastAsia"/>
        </w:rPr>
        <w:t>对于我国实行“营改增”改革后，属于增值税应税行为的销售服务项目，在评估操作中通常需要根据相关服务项目、收费标准等估算允许抵扣的增值税进项税额。其中，</w:t>
      </w:r>
      <w:r>
        <w:t>销售勘察设计、</w:t>
      </w:r>
      <w:proofErr w:type="gramStart"/>
      <w:r>
        <w:t>鉴证</w:t>
      </w:r>
      <w:proofErr w:type="gramEnd"/>
      <w:r>
        <w:t>咨询、专业技术等服务的适用税率为6%。</w:t>
      </w:r>
    </w:p>
    <w:p w14:paraId="7265337C" w14:textId="77777777" w:rsidR="00FA0363" w:rsidRDefault="00FA0363" w:rsidP="00FA0363">
      <w:pPr>
        <w:pStyle w:val="13"/>
      </w:pPr>
      <w:r>
        <w:rPr>
          <w:rFonts w:hint="eastAsia"/>
        </w:rPr>
        <w:t>从以上重置全价构成项目中估算出来的、被评估设备所涉及的相关增值税进项税额，</w:t>
      </w:r>
      <w:r>
        <w:t>在评估其不含税口径的重置全价时应当从含税重置全价中予以扣除，从而得到有关设备不含税的评估结果。</w:t>
      </w:r>
    </w:p>
    <w:p w14:paraId="2F751FC6" w14:textId="77777777" w:rsidR="00FA0363" w:rsidRDefault="00FA0363" w:rsidP="00FA0363">
      <w:pPr>
        <w:pStyle w:val="ab"/>
        <w:spacing w:before="62" w:after="62"/>
        <w:ind w:firstLine="482"/>
      </w:pPr>
      <w:r>
        <w:rPr>
          <w:rFonts w:hint="eastAsia"/>
        </w:rPr>
        <w:t>问题</w:t>
      </w:r>
      <w:r>
        <w:t>6：采用市场比较法评估土地使用权、矿业权，若可比交易案例的价格是国土资源管理部门</w:t>
      </w:r>
      <w:proofErr w:type="gramStart"/>
      <w:r>
        <w:t>招拍挂</w:t>
      </w:r>
      <w:proofErr w:type="gramEnd"/>
      <w:r>
        <w:t>的出让金或者价款金额，如何考虑增值税？</w:t>
      </w:r>
    </w:p>
    <w:p w14:paraId="3B50AEFE" w14:textId="77777777" w:rsidR="00FA0363" w:rsidRDefault="00FA0363" w:rsidP="00FA0363">
      <w:pPr>
        <w:pStyle w:val="13"/>
      </w:pPr>
      <w:r>
        <w:rPr>
          <w:rFonts w:hint="eastAsia"/>
        </w:rPr>
        <w:t>答：该方法选取的是市场价格，整体来说，市场价格都是含税价格，被评估企业为一般纳税人时，应该把含税价格调整为不含税价进行比较，被评估企业为小规模纳税人，</w:t>
      </w:r>
      <w:r>
        <w:t>可以直接采用市场数据进行比较确定评估值。</w:t>
      </w:r>
    </w:p>
    <w:p w14:paraId="21562BBB" w14:textId="77777777" w:rsidR="00FA0363" w:rsidRDefault="00FA0363" w:rsidP="00FA0363">
      <w:pPr>
        <w:pStyle w:val="13"/>
      </w:pPr>
      <w:r>
        <w:rPr>
          <w:rFonts w:hint="eastAsia"/>
        </w:rPr>
        <w:t>房地产开发企业价值评估，其取得的土地使用权费用，在销售实现的时候，允许作为销售额的扣减项，即销项税额</w:t>
      </w:r>
      <w:r>
        <w:t>=销售收入*10%-土地使用权费用/（1+10%）*10%。矿业权价款只能通过摊销方式进入资产的成本中，通过资产销售产生销项税额。</w:t>
      </w:r>
    </w:p>
    <w:p w14:paraId="01D8562A" w14:textId="77777777" w:rsidR="00FA0363" w:rsidRDefault="00FA0363" w:rsidP="00FA0363">
      <w:pPr>
        <w:pStyle w:val="13"/>
      </w:pPr>
      <w:r>
        <w:rPr>
          <w:rFonts w:hint="eastAsia"/>
        </w:rPr>
        <w:t>（</w:t>
      </w:r>
      <w:r>
        <w:t>1）土地使用权市场法评估</w:t>
      </w:r>
    </w:p>
    <w:p w14:paraId="636E49B2" w14:textId="77777777" w:rsidR="00FA0363" w:rsidRDefault="00FA0363" w:rsidP="00FA0363">
      <w:pPr>
        <w:pStyle w:val="13"/>
      </w:pPr>
      <w:r>
        <w:rPr>
          <w:rFonts w:hint="eastAsia"/>
        </w:rPr>
        <w:t>根据《招标拍卖挂牌出让国有土地使用权规定》，拍卖、招标和协议方式均是法定的国有土地批租方式，各有其适宜的范围。一般而言，划拨土地使用权转让、国有企业改革中处置划拨土地使用权以及工业等特殊用地，可以采用协议方式出让；对于土地使用者和土地用途无特殊限制，以获取最高土地出让金为目标的经营性用地，应采用拍卖或招标、挂牌出让方式；对于除获取较高出让金外，还具有其他综合目标或</w:t>
      </w:r>
      <w:r>
        <w:rPr>
          <w:rFonts w:hint="eastAsia"/>
        </w:rPr>
        <w:lastRenderedPageBreak/>
        <w:t>特定的社会、公益建设条件，土地用途受严格限制，仅少数人可能有受让意向的经营性用地，应采用招标方式出让。在评估中应根据评估对象的土地性质，选择相对应的土地处置方式下的价格，如，协议转让获取的土地使用权，拟采取协议转让方式下的可比案例，拍卖获取的土地使用权，宜采用拍卖方式下的可比案例。</w:t>
      </w:r>
    </w:p>
    <w:p w14:paraId="190E139A" w14:textId="77777777" w:rsidR="00FA0363" w:rsidRDefault="00FA0363" w:rsidP="00FA0363">
      <w:pPr>
        <w:pStyle w:val="13"/>
      </w:pPr>
      <w:r>
        <w:rPr>
          <w:rFonts w:hint="eastAsia"/>
        </w:rPr>
        <w:t>这三种方式虽然不同，相同的是三种方式形成的价格都是土地一级市场的批租价格。在房地产开发企业里，根据《房地产开发企业销售自行开发的房地产项目增值税征收管</w:t>
      </w:r>
      <w:r>
        <w:t>理暂行办法》（国家税务总局公告2016年第18号）的第四条的规定“房地产开发企业中的一般纳税人（以下简称一般纳税人）销售自行开发的房地产项目，适用一般计税方法计税，按照取得的全部价款和价外费用，扣除当期销售房地产项目对应的土地价款后的余额计算销售额。销售额的计算公式为：销售额=（全部价款和价外费用-当期允许扣除的土地价款）÷（1+11%）”（该11%的税率在2018年5月1日开始调整为10%）。从该条款来看，土地价款应该是含税价。市场法采信</w:t>
      </w:r>
      <w:proofErr w:type="gramStart"/>
      <w:r>
        <w:t>招拍挂</w:t>
      </w:r>
      <w:proofErr w:type="gramEnd"/>
      <w:r>
        <w:t>的价格经过调整后的价格仍为含税价。</w:t>
      </w:r>
    </w:p>
    <w:p w14:paraId="4C12AE92" w14:textId="77777777" w:rsidR="00FA0363" w:rsidRDefault="00FA0363" w:rsidP="00FA0363">
      <w:pPr>
        <w:pStyle w:val="13"/>
      </w:pPr>
      <w:r>
        <w:rPr>
          <w:rFonts w:hint="eastAsia"/>
        </w:rPr>
        <w:t>（</w:t>
      </w:r>
      <w:r>
        <w:t>2）矿业</w:t>
      </w:r>
      <w:proofErr w:type="gramStart"/>
      <w:r>
        <w:t>权资产</w:t>
      </w:r>
      <w:proofErr w:type="gramEnd"/>
      <w:r>
        <w:t>市场法评估</w:t>
      </w:r>
    </w:p>
    <w:p w14:paraId="03BFF6A7" w14:textId="77777777" w:rsidR="00FA0363" w:rsidRDefault="00FA0363" w:rsidP="00FA0363">
      <w:pPr>
        <w:pStyle w:val="13"/>
      </w:pPr>
      <w:r>
        <w:rPr>
          <w:rFonts w:hint="eastAsia"/>
        </w:rPr>
        <w:t>按照现行国家有关规定，矿业权出让有招标、拍卖、挂牌和协议（申请）等四种方式。</w:t>
      </w:r>
    </w:p>
    <w:p w14:paraId="76660F73" w14:textId="77777777" w:rsidR="00FA0363" w:rsidRDefault="00FA0363" w:rsidP="00FA0363">
      <w:pPr>
        <w:pStyle w:val="13"/>
      </w:pPr>
      <w:r>
        <w:t>A通过招标、拍卖、挂牌等竞争方式出让取得，</w:t>
      </w:r>
      <w:proofErr w:type="gramStart"/>
      <w:r>
        <w:t>且按照</w:t>
      </w:r>
      <w:proofErr w:type="gramEnd"/>
      <w:r>
        <w:t>“出让金额”形式缴纳的“矿</w:t>
      </w:r>
      <w:r>
        <w:rPr>
          <w:rFonts w:hint="eastAsia"/>
        </w:rPr>
        <w:t>业权出让收益”，由于政府部门并非纳税义务人，只能开具财政票据，一般纳税人企业无法按照增值税一般抵扣方法进行进项税的抵扣。目前，没有见到涉及政府部门出让矿业权增值税抵扣的相关规定。因此，建议在评估实务中，在没有明确的政策文件情况下，</w:t>
      </w:r>
      <w:r>
        <w:t>谨慎使用矿业权出让案例作为市场比较法的交易实例。如果使用矿业权出让案例作为交易实例，考虑在评估报告中做出详细披露。</w:t>
      </w:r>
    </w:p>
    <w:p w14:paraId="446BA41D" w14:textId="77777777" w:rsidR="00FA0363" w:rsidRDefault="00FA0363" w:rsidP="00FA0363">
      <w:pPr>
        <w:pStyle w:val="13"/>
      </w:pPr>
      <w:r>
        <w:t>B通过协议方式出让取得，</w:t>
      </w:r>
      <w:proofErr w:type="gramStart"/>
      <w:r>
        <w:t>且按照</w:t>
      </w:r>
      <w:proofErr w:type="gramEnd"/>
      <w:r>
        <w:t>“出让金额”形式缴纳的“矿业权出让收益”，由于“矿业权出让收益”是根据评估价值与市场</w:t>
      </w:r>
      <w:proofErr w:type="gramStart"/>
      <w:r>
        <w:t>基准价熟高原</w:t>
      </w:r>
      <w:proofErr w:type="gramEnd"/>
      <w:r>
        <w:t>则确定的，情况较为复杂。目前，部分地方矿产资源主管部门制定发布了市场基准价，市场基准价是否含税并不清楚，制定者也基本没有考虑到增值税的因素，但从数据来源分析来看，多数是含增值税的。因此，建议在评估实务中，如果使用矿业权出让案例作为市场比较法的交易实例，而且该出让案例出让价是根据市场基准价确定的，可以视同为该交易实例含税，在评估中做出相应处理与披露；如果该出让案例出让价是根据评估</w:t>
      </w:r>
      <w:r>
        <w:rPr>
          <w:rFonts w:hint="eastAsia"/>
        </w:rPr>
        <w:t>价值确定的，可以视同为该交易实例不含税，在评估中做出相应处理与披露。</w:t>
      </w:r>
    </w:p>
    <w:p w14:paraId="7083D7C1" w14:textId="77777777" w:rsidR="00FA0363" w:rsidRDefault="00FA0363" w:rsidP="00FA0363">
      <w:pPr>
        <w:pStyle w:val="13"/>
      </w:pPr>
      <w:r>
        <w:t>C按照“出让收益率”形式缴纳的“矿业权出让收益”，分析初步认为是含增值税的。建议在评估实务中，可以视同为该交易实例含税，在评估中做出相应处理与披露。</w:t>
      </w:r>
      <w:r>
        <w:rPr>
          <w:rFonts w:hint="eastAsia"/>
        </w:rPr>
        <w:t>通常在市场法评估矿业</w:t>
      </w:r>
      <w:proofErr w:type="gramStart"/>
      <w:r>
        <w:rPr>
          <w:rFonts w:hint="eastAsia"/>
        </w:rPr>
        <w:t>权资产</w:t>
      </w:r>
      <w:proofErr w:type="gramEnd"/>
      <w:r>
        <w:rPr>
          <w:rFonts w:hint="eastAsia"/>
        </w:rPr>
        <w:t>中，采取的是二级市场价格，即矿业权的转让价格，</w:t>
      </w:r>
      <w:r>
        <w:t>这里的价格均为含税价格。</w:t>
      </w:r>
    </w:p>
    <w:p w14:paraId="0CF9048C" w14:textId="77777777" w:rsidR="00FA0363" w:rsidRDefault="00FA0363" w:rsidP="00FA0363">
      <w:pPr>
        <w:pStyle w:val="ab"/>
        <w:spacing w:before="62" w:after="62"/>
        <w:ind w:firstLine="482"/>
      </w:pPr>
      <w:r>
        <w:rPr>
          <w:rFonts w:hint="eastAsia"/>
        </w:rPr>
        <w:lastRenderedPageBreak/>
        <w:t>问题</w:t>
      </w:r>
      <w:r>
        <w:t>7：采用收益法评估不动产、机器设备、无形资产（除土地使用权、矿业权），收入或者收益所适用的增值税税率有何不同？</w:t>
      </w:r>
    </w:p>
    <w:p w14:paraId="48302508" w14:textId="77777777" w:rsidR="00FA0363" w:rsidRDefault="00FA0363" w:rsidP="00FA0363">
      <w:pPr>
        <w:pStyle w:val="13"/>
      </w:pPr>
      <w:r>
        <w:rPr>
          <w:rFonts w:hint="eastAsia"/>
        </w:rPr>
        <w:t>答：采用收益法对不动产进行评估，通常采取净租金折现的思路进行评估；采用收益法对机器设备进行评估，可以采用净租金折现或者净收益折现的思路进行；对无形资产采用收益法评估，通常将使用无形资产带来的额外收益折现的思路进行，额外收益可以通过增量收益、节省许可费、收益分成或者超额收益等方式估算。在应用收益法评估过程中，各项收入、成本费用均采用不含税金额。</w:t>
      </w:r>
    </w:p>
    <w:p w14:paraId="7A098A41" w14:textId="77777777" w:rsidR="00FA0363" w:rsidRDefault="00FA0363" w:rsidP="00FA0363">
      <w:pPr>
        <w:pStyle w:val="13"/>
      </w:pPr>
      <w:r>
        <w:rPr>
          <w:rFonts w:hint="eastAsia"/>
        </w:rPr>
        <w:t>全面实行营</w:t>
      </w:r>
      <w:proofErr w:type="gramStart"/>
      <w:r>
        <w:rPr>
          <w:rFonts w:hint="eastAsia"/>
        </w:rPr>
        <w:t>改增之后</w:t>
      </w:r>
      <w:proofErr w:type="gramEnd"/>
      <w:r>
        <w:rPr>
          <w:rFonts w:hint="eastAsia"/>
        </w:rPr>
        <w:t>，不同类别资产租赁收入、许可使用收入适用的增值税率不同，</w:t>
      </w:r>
      <w:r>
        <w:t>在计算时应当正确选用。</w:t>
      </w:r>
    </w:p>
    <w:p w14:paraId="5B09E476" w14:textId="77777777" w:rsidR="00FA0363" w:rsidRDefault="00FA0363" w:rsidP="00FA0363">
      <w:pPr>
        <w:pStyle w:val="13"/>
      </w:pPr>
      <w:r>
        <w:rPr>
          <w:rFonts w:hint="eastAsia"/>
        </w:rPr>
        <w:t>根据《财政部、国家税务总局关于调整增值税税率的有关通知》（财税〔</w:t>
      </w:r>
      <w:r>
        <w:t>2018〕32号），对于一般纳税人，如果采用一般计税方法，设备等有形动产租赁收入适用的增值税率为16%，不动产租赁收入适用的增值税率为10%，让渡无形资产使用权（或者无形资产许可），所获得的许可使用费收入适用6%的增值税税率。</w:t>
      </w:r>
    </w:p>
    <w:p w14:paraId="258E5EA8" w14:textId="77777777" w:rsidR="00FA0363" w:rsidRDefault="00FA0363" w:rsidP="00FA0363">
      <w:pPr>
        <w:pStyle w:val="13"/>
      </w:pPr>
      <w:r>
        <w:rPr>
          <w:rFonts w:hint="eastAsia"/>
        </w:rPr>
        <w:t>如果一般纳税人在经营租赁收入中，对于</w:t>
      </w:r>
      <w:r>
        <w:t>2016年4月30前取得的不动产，选择了简易计税方法，或者企业为小规模纳税人，应当采用相应的计税方式计算应缴增值税额，同时应当注意此时的租金为含税租金。</w:t>
      </w:r>
    </w:p>
    <w:p w14:paraId="61D21A10" w14:textId="77777777" w:rsidR="00FA0363" w:rsidRDefault="00FA0363" w:rsidP="00FA0363">
      <w:pPr>
        <w:pStyle w:val="13"/>
        <w:ind w:firstLine="482"/>
      </w:pPr>
      <w:r w:rsidRPr="00500CAE">
        <w:rPr>
          <w:rStyle w:val="ac"/>
          <w:rFonts w:hint="eastAsia"/>
        </w:rPr>
        <w:t>问题</w:t>
      </w:r>
      <w:r w:rsidRPr="00500CAE">
        <w:rPr>
          <w:rStyle w:val="ac"/>
        </w:rPr>
        <w:t>8：企业价值评估，不同的评估方法如何考虑增值税？</w:t>
      </w:r>
    </w:p>
    <w:p w14:paraId="543EB925" w14:textId="77777777" w:rsidR="00FA0363" w:rsidRDefault="00FA0363" w:rsidP="00FA0363">
      <w:pPr>
        <w:pStyle w:val="13"/>
      </w:pPr>
      <w:r>
        <w:t>答：</w:t>
      </w:r>
      <w:r>
        <w:rPr>
          <w:rFonts w:hint="eastAsia"/>
        </w:rPr>
        <w:t>（</w:t>
      </w:r>
      <w:r>
        <w:t>1）资产基础法。对各项资产分别采取相应的评估方法评估，累加得出资产价值，再减去负债得出企业价值。在这个过程中，对于各项资产负债，如果是一般纳税人，应该采用的是不含税价，如果是小规模纳税人，采用应该是含税价。主要单项资产评估如何考虑增值税，参见上述相关问题。</w:t>
      </w:r>
    </w:p>
    <w:p w14:paraId="05519869" w14:textId="77777777" w:rsidR="00FA0363" w:rsidRDefault="00FA0363" w:rsidP="00FA0363">
      <w:pPr>
        <w:pStyle w:val="13"/>
      </w:pPr>
      <w:r>
        <w:rPr>
          <w:rFonts w:hint="eastAsia"/>
        </w:rPr>
        <w:t>（</w:t>
      </w:r>
      <w:r>
        <w:t>2）收益法。收益模型不同，增值税的考虑有所差异。A.采用现金流量折现模型时，如果是一般纳税人，假设其外购的货物和服务均能够取得增值税专用发票，预测的收入、成本、费用等均为不含税数据；资本性支出项目也应该采用不含税价。同时，税金及附加科目应当充分考虑到增值税的影响，即先计算应缴纳的增值税，再城建税及教育费附</w:t>
      </w:r>
      <w:r>
        <w:rPr>
          <w:rFonts w:hint="eastAsia"/>
        </w:rPr>
        <w:t>加。另外，还应注意投资收益科目中是否有金融商品的转让收益。自</w:t>
      </w:r>
      <w:r>
        <w:t>2016年5月全面施行“营改增”后，按照《关于全面推开营业税改征增值税试点的通知》（财税〔2016〕36号），金融产品也纳入到增值税的征税范围。金融商品包括外汇、证券、期货等。在金融商品转让活动中，将买卖差价作为销售额，在一个会计期间内，将盈亏进行正负</w:t>
      </w:r>
      <w:proofErr w:type="gramStart"/>
      <w:r>
        <w:t>抵销</w:t>
      </w:r>
      <w:proofErr w:type="gramEnd"/>
      <w:r>
        <w:t>，然后将余额作为增值税征收额。应纳增值税额=销售额×征收率（6%）。在现金流折现模型评估中应关注投资收益科目，如果存在股票、债券等金融商品买卖产生的收入应该计算增值税；在实务中通常按照投资</w:t>
      </w:r>
      <w:r>
        <w:rPr>
          <w:rFonts w:hint="eastAsia"/>
        </w:rPr>
        <w:t>收益率来预测投资收益科目，投资收益率的计算亦是参考了企业历史经营期内获取的投资收益的情况或者同类金融商品的市场收益率状况，这时也应该计算增值税，并将计算出</w:t>
      </w:r>
      <w:r>
        <w:rPr>
          <w:rFonts w:hint="eastAsia"/>
        </w:rPr>
        <w:lastRenderedPageBreak/>
        <w:t>来的增值税额直接加到收入、成本、费用等项目计算出来的应纳增值税税额上，并以加总的结果作为计算税金及附加的基础。</w:t>
      </w:r>
      <w:r>
        <w:t>B采用股利折现模型时，股利目前未纳入增值税调整范围，因此采用股利折现模型计算的评估结果均未考虑增值税影响。</w:t>
      </w:r>
    </w:p>
    <w:p w14:paraId="2650B110" w14:textId="77777777" w:rsidR="00FA0363" w:rsidRDefault="00FA0363" w:rsidP="00FA0363">
      <w:pPr>
        <w:pStyle w:val="13"/>
      </w:pPr>
      <w:r>
        <w:rPr>
          <w:rFonts w:hint="eastAsia"/>
        </w:rPr>
        <w:t>（</w:t>
      </w:r>
      <w:r>
        <w:t>3）市场法。由于股权投资类资产（不含上市公司股票）不属于增值税的调整范围，因此采用交易案例比较法时，取得的可比价格应该均未包括增值税。采用交易案例比较法，选择交易案例，被评估企业为一般纳税人时，尽可能选择一般纳税人作为可比交易案例，被评估企业为小规模纳税人，尽可能选择小规模纳税人作为可比交易案例。如果被评估企业为一般纳税人，选择了小规模纳税人作为可比交易案例，进行可比指标比较过程中，应把可比交易案例的收入等含税的财务指标折算为不含税指标后再进行比较，确保比较口径的一致性。采用上市公司比较法，取得的股价应</w:t>
      </w:r>
      <w:r>
        <w:rPr>
          <w:rFonts w:hint="eastAsia"/>
        </w:rPr>
        <w:t>该是不含税价，股票属于金融商品，出售金融商品适用的税率为</w:t>
      </w:r>
      <w:r>
        <w:t>6%，金融商品转让的增值税税基是“金融商品出现的正负差，按盈亏相抵后的余额为销售额”，征税方式与其他应税资产和服务不同。在评估中，可以忽略这个影响，不考虑股价可能引起的增值税税负。其他处理与交易案例比较法一致。</w:t>
      </w:r>
    </w:p>
    <w:p w14:paraId="00A58025" w14:textId="77777777" w:rsidR="00FA0363" w:rsidRDefault="00FA0363" w:rsidP="00FA0363">
      <w:pPr>
        <w:pStyle w:val="ab"/>
        <w:spacing w:before="62" w:after="62"/>
        <w:ind w:firstLine="482"/>
      </w:pPr>
      <w:r>
        <w:rPr>
          <w:rFonts w:hint="eastAsia"/>
        </w:rPr>
        <w:t>问题</w:t>
      </w:r>
      <w:r>
        <w:t>9：企业价值评估中，外购软件、专利资产、专有技术、商标资产、著作权资产等无形资产评估，如何考虑增值税？</w:t>
      </w:r>
    </w:p>
    <w:p w14:paraId="6831A9EF" w14:textId="77777777" w:rsidR="00FA0363" w:rsidRDefault="00FA0363" w:rsidP="00FA0363">
      <w:pPr>
        <w:pStyle w:val="13"/>
      </w:pPr>
      <w:r>
        <w:rPr>
          <w:rFonts w:hint="eastAsia"/>
        </w:rPr>
        <w:t>答：如果被评估企业为一般纳税人，则无形资产的评估结果应该为不含税价格；如果被评估企业为小规模纳税人，则评估结果应为含税价格。</w:t>
      </w:r>
    </w:p>
    <w:p w14:paraId="54513341" w14:textId="77777777" w:rsidR="00FA0363" w:rsidRDefault="00FA0363" w:rsidP="00FA0363">
      <w:pPr>
        <w:pStyle w:val="13"/>
      </w:pPr>
      <w:r>
        <w:rPr>
          <w:rFonts w:hint="eastAsia"/>
        </w:rPr>
        <w:t>不同评估方法增值税处理方式如下：</w:t>
      </w:r>
    </w:p>
    <w:p w14:paraId="4A282C77" w14:textId="77777777" w:rsidR="00FA0363" w:rsidRDefault="00FA0363" w:rsidP="00FA0363">
      <w:pPr>
        <w:pStyle w:val="13"/>
      </w:pPr>
      <w:r>
        <w:rPr>
          <w:rFonts w:hint="eastAsia"/>
        </w:rPr>
        <w:t>（</w:t>
      </w:r>
      <w:r>
        <w:t>1）市场法。通过询价得出的结果通常为含税价。通常情况下，我们可以假设无形资产出售方为一般纳税人，能够开具增值税专用发票，把询价结果调整为不含税价。但应特别注意，目前，销售软件、专利资产等的企业多为小规模纳税人，小规模纳税人可以到税务机关申请代开增值税专用发票，但是对于购买方来说，能够抵扣的税额并不是16%，而是3%。如果评估过程中对于无形资产出售方的情况非常了解，可以在含税价调整为不含税过程中使用不同的税率。</w:t>
      </w:r>
    </w:p>
    <w:p w14:paraId="023EA1A2" w14:textId="77777777" w:rsidR="00FA0363" w:rsidRDefault="00FA0363" w:rsidP="00FA0363">
      <w:pPr>
        <w:pStyle w:val="13"/>
      </w:pPr>
      <w:r>
        <w:rPr>
          <w:rFonts w:hint="eastAsia"/>
        </w:rPr>
        <w:t>（</w:t>
      </w:r>
      <w:r>
        <w:t>2）收益法。未来收益测算的过程一般纳税人为不含税价，小规模纳税人为含税</w:t>
      </w:r>
      <w:r>
        <w:rPr>
          <w:rFonts w:hint="eastAsia"/>
        </w:rPr>
        <w:t>价。</w:t>
      </w:r>
    </w:p>
    <w:p w14:paraId="37CB7382" w14:textId="77777777" w:rsidR="00FA0363" w:rsidRDefault="00FA0363" w:rsidP="00FA0363">
      <w:pPr>
        <w:pStyle w:val="13"/>
      </w:pPr>
      <w:r>
        <w:rPr>
          <w:rFonts w:hint="eastAsia"/>
        </w:rPr>
        <w:t>（</w:t>
      </w:r>
      <w:r>
        <w:t>3）成本法。其增值税的处理方式和收益法一致。</w:t>
      </w:r>
    </w:p>
    <w:p w14:paraId="131B09CA" w14:textId="77777777" w:rsidR="00FA0363" w:rsidRDefault="00FA0363" w:rsidP="00FA0363">
      <w:pPr>
        <w:pStyle w:val="13"/>
        <w:ind w:firstLine="482"/>
      </w:pPr>
      <w:r w:rsidRPr="00500CAE">
        <w:rPr>
          <w:rStyle w:val="ac"/>
          <w:rFonts w:hint="eastAsia"/>
        </w:rPr>
        <w:t>问题</w:t>
      </w:r>
      <w:r w:rsidRPr="00500CAE">
        <w:rPr>
          <w:rStyle w:val="ac"/>
        </w:rPr>
        <w:t>10：企业价值评估，采用资产基础法时如何选择增值税税率？</w:t>
      </w:r>
    </w:p>
    <w:p w14:paraId="0F534069" w14:textId="77777777" w:rsidR="00FA0363" w:rsidRDefault="00FA0363" w:rsidP="00FA0363">
      <w:pPr>
        <w:pStyle w:val="13"/>
      </w:pPr>
      <w:r>
        <w:t>答：</w:t>
      </w:r>
      <w:r>
        <w:rPr>
          <w:rFonts w:hint="eastAsia"/>
        </w:rPr>
        <w:t>（</w:t>
      </w:r>
      <w:r>
        <w:t>1）在资产评估通常遵循“所选取的价格标准应该在评估基准日有效”的原则，资</w:t>
      </w:r>
      <w:r>
        <w:rPr>
          <w:rFonts w:hint="eastAsia"/>
        </w:rPr>
        <w:t>产涉及的税率应该是评估基准日的税率，而不是历史税率。</w:t>
      </w:r>
    </w:p>
    <w:p w14:paraId="07DAAE33" w14:textId="77777777" w:rsidR="00FA0363" w:rsidRDefault="00FA0363" w:rsidP="00FA0363">
      <w:pPr>
        <w:pStyle w:val="13"/>
      </w:pPr>
      <w:r>
        <w:rPr>
          <w:rFonts w:hint="eastAsia"/>
        </w:rPr>
        <w:t>（</w:t>
      </w:r>
      <w:r>
        <w:t>2）固定资产。根据《财政部国家税务总局关于全面推开营业税改增值税试点的通知》（财税〔2016〕36号）附件2：“营业税改征增值税试点有关事项的规定”，对提供建筑服务、销售不动产、不动产经营租赁服务的企业，区别销售服务行为以及</w:t>
      </w:r>
      <w:r>
        <w:lastRenderedPageBreak/>
        <w:t>销售标的物的取得时间等，可以选择简易计税方法；一般纳税人销售自己使用过的、纳入</w:t>
      </w:r>
      <w:proofErr w:type="gramStart"/>
      <w:r>
        <w:t>营改增试点</w:t>
      </w:r>
      <w:proofErr w:type="gramEnd"/>
      <w:r>
        <w:t>之日前取得的固定资产，按照现行旧货相关增值税政策执行。</w:t>
      </w:r>
    </w:p>
    <w:p w14:paraId="6B599AE3" w14:textId="77777777" w:rsidR="00FA0363" w:rsidRDefault="00FA0363" w:rsidP="00FA0363">
      <w:pPr>
        <w:pStyle w:val="13"/>
      </w:pPr>
      <w:r>
        <w:rPr>
          <w:rFonts w:hint="eastAsia"/>
        </w:rPr>
        <w:t>旧货相关增值税政策财税：〔</w:t>
      </w:r>
      <w:r>
        <w:t>2009〕9号、国税函〔2009〕90号和财税〔2014〕57号文规定：纳税人销售旧货，按照简易办法依照3%</w:t>
      </w:r>
      <w:proofErr w:type="gramStart"/>
      <w:r>
        <w:t>征收率减按</w:t>
      </w:r>
      <w:proofErr w:type="gramEnd"/>
      <w:r>
        <w:t>2%征收增值税，应开具普通发票，不得自行开具或者由税务机关代开增值税专用发票。</w:t>
      </w:r>
    </w:p>
    <w:p w14:paraId="6797F7CA" w14:textId="77777777" w:rsidR="00FA0363" w:rsidRDefault="00FA0363" w:rsidP="00FA0363">
      <w:pPr>
        <w:pStyle w:val="13"/>
      </w:pPr>
      <w:r>
        <w:rPr>
          <w:rFonts w:hint="eastAsia"/>
        </w:rPr>
        <w:t>（</w:t>
      </w:r>
      <w:r>
        <w:t>3）房屋建筑物、投资性房地产及存货。对于非房地产开发企业：根据《不动产进项税额分期抵扣暂行办法》（国家税务总局公告2016年第15号），增值税一般纳税人2016年5月1日后取得并在会计制度上按固定资产核算的不动产，以及2016年5月1</w:t>
      </w:r>
      <w:r>
        <w:rPr>
          <w:rFonts w:hint="eastAsia"/>
        </w:rPr>
        <w:t>日后发生的不动产在建工程，其进项税额应按照本办法有关规定分</w:t>
      </w:r>
      <w:r>
        <w:t>2年从销项税额中抵扣，第一年抵扣比例为60%，第二年抵扣比例为40%。取得的不动产，包括以直接购买、接受捐赠、接受投资入股以及抵债等各种形式取得的不动产。纳税人新建、改建、扩建、修缮、装饰不动产，属于不动产在建工程。非房地产开发企业应区分评估基准日房地产</w:t>
      </w:r>
      <w:r>
        <w:rPr>
          <w:rFonts w:hint="eastAsia"/>
        </w:rPr>
        <w:t>项目的取得时间和取得方式，符合</w:t>
      </w:r>
      <w:r>
        <w:t>15号公告条件的不动产，可以按照不含税价作为评</w:t>
      </w:r>
      <w:r>
        <w:rPr>
          <w:rFonts w:hint="eastAsia"/>
        </w:rPr>
        <w:t>估值；不符合</w:t>
      </w:r>
      <w:r>
        <w:t>15号公告条件的不动产，也就是在2016年之前取得的不动产，本着与账面值匹配的原则，宜采用含税价作为评估结果。对于房地产开发企业：应先区分项目时间和计税方法，开工日期在2016年4月30日前的老项目，可以选择适用简易计税方法征收率为5%，一经选择，36个月内不得变更。在这种情况下，评估结果应为含税价。开工日期在2016年4月30日之后的项目，目前适用税率为10%。</w:t>
      </w:r>
    </w:p>
    <w:p w14:paraId="4C09EE01" w14:textId="24EEE383" w:rsidR="00FA0363" w:rsidRDefault="00FA0363" w:rsidP="00FA0363">
      <w:pPr>
        <w:pStyle w:val="13"/>
      </w:pPr>
      <w:r>
        <w:rPr>
          <w:rFonts w:hint="eastAsia"/>
        </w:rPr>
        <w:t>参与本期解答专家：</w:t>
      </w:r>
      <w:r>
        <w:tab/>
        <w:t>王生龙</w:t>
      </w:r>
      <w:r w:rsidR="00ED0DA7">
        <w:rPr>
          <w:rFonts w:hint="eastAsia"/>
        </w:rPr>
        <w:t>、</w:t>
      </w:r>
      <w:r>
        <w:t>邓艳芳</w:t>
      </w:r>
      <w:r w:rsidR="00ED0DA7">
        <w:rPr>
          <w:rFonts w:hint="eastAsia"/>
        </w:rPr>
        <w:t xml:space="preserve"> </w:t>
      </w:r>
      <w:r>
        <w:t>中</w:t>
      </w:r>
      <w:proofErr w:type="gramStart"/>
      <w:r>
        <w:t>联资产</w:t>
      </w:r>
      <w:proofErr w:type="gramEnd"/>
      <w:r>
        <w:t>评估集团有限公司</w:t>
      </w:r>
    </w:p>
    <w:p w14:paraId="33FC6C3D" w14:textId="7B9AD222" w:rsidR="00FA0363" w:rsidRDefault="00FA0363" w:rsidP="00FA0363">
      <w:pPr>
        <w:pStyle w:val="13"/>
        <w:ind w:firstLineChars="1300" w:firstLine="3120"/>
      </w:pPr>
      <w:r>
        <w:rPr>
          <w:rFonts w:hint="eastAsia"/>
        </w:rPr>
        <w:t>刘兴旺</w:t>
      </w:r>
      <w:r w:rsidR="00ED0DA7">
        <w:rPr>
          <w:rFonts w:hint="eastAsia"/>
        </w:rPr>
        <w:t xml:space="preserve"> </w:t>
      </w:r>
      <w:r>
        <w:t>北京天健兴业资产评估有限公司</w:t>
      </w:r>
    </w:p>
    <w:p w14:paraId="75D12BC3" w14:textId="7D7C4F5E" w:rsidR="00FA0363" w:rsidRDefault="00FA0363" w:rsidP="00FA0363">
      <w:pPr>
        <w:pStyle w:val="13"/>
        <w:ind w:firstLineChars="1300" w:firstLine="3120"/>
      </w:pPr>
      <w:r>
        <w:t>王崇虎</w:t>
      </w:r>
      <w:r w:rsidR="00ED0DA7">
        <w:rPr>
          <w:rFonts w:hint="eastAsia"/>
        </w:rPr>
        <w:t xml:space="preserve"> </w:t>
      </w:r>
      <w:r>
        <w:t>中和资产评估有限公司</w:t>
      </w:r>
    </w:p>
    <w:p w14:paraId="7488BC3E" w14:textId="77777777" w:rsidR="00FA0363" w:rsidRDefault="00FA0363" w:rsidP="00FA0363">
      <w:pPr>
        <w:pStyle w:val="13"/>
      </w:pPr>
    </w:p>
    <w:p w14:paraId="3CAA7FA6" w14:textId="77777777" w:rsidR="00FA0363" w:rsidRDefault="00FA0363" w:rsidP="00FA0363">
      <w:pPr>
        <w:pStyle w:val="13"/>
      </w:pPr>
      <w:r>
        <w:rPr>
          <w:rFonts w:hint="eastAsia"/>
        </w:rPr>
        <w:t>特此感谢！</w:t>
      </w:r>
    </w:p>
    <w:p w14:paraId="73EFD726" w14:textId="77777777" w:rsidR="00FA0363" w:rsidRDefault="00FA0363" w:rsidP="00FA0363">
      <w:pPr>
        <w:pStyle w:val="13"/>
        <w:jc w:val="right"/>
      </w:pPr>
      <w:r>
        <w:t>2018年9月13日</w:t>
      </w:r>
    </w:p>
    <w:p w14:paraId="531DB075" w14:textId="77777777" w:rsidR="00FA0363" w:rsidRDefault="00FA0363" w:rsidP="00FA0363">
      <w:pPr>
        <w:pStyle w:val="31"/>
        <w:spacing w:before="156" w:after="62"/>
      </w:pPr>
      <w:bookmarkStart w:id="112" w:name="_Toc81833374"/>
      <w:r>
        <w:rPr>
          <w:rFonts w:hint="eastAsia"/>
        </w:rPr>
        <w:t>北京资产评估协会专业技术委员会执业问题解答（</w:t>
      </w:r>
      <w:r>
        <w:t>2018年第三期）</w:t>
      </w:r>
      <w:bookmarkEnd w:id="112"/>
    </w:p>
    <w:p w14:paraId="350768D3" w14:textId="77777777" w:rsidR="00FA0363" w:rsidRDefault="00FA0363" w:rsidP="00FA0363">
      <w:pPr>
        <w:pStyle w:val="13"/>
      </w:pPr>
      <w:r>
        <w:rPr>
          <w:rFonts w:hint="eastAsia"/>
        </w:rPr>
        <w:t>近年来，中国企业走出去参与国际竞争，引发了新一轮国际层面的并购高潮，境外资产评估项目随之逐年增多，资产评估实践也正在逐步适应国际化的企业并购需求。总结归纳境外资产评估实践特点，不但有助于资产评估专业人员参与境外资产评估项目，</w:t>
      </w:r>
      <w:r>
        <w:t>而且有助于推动资产评估专业体系的更加完善。北京资产评估协会资产评估专业技术委员会组织业内专家对境外资产评估项目中的一些实践问题进行了初步研究归纳，对有关问题做了相应初步解答，供大家在境外资产评估项目中参考。</w:t>
      </w:r>
    </w:p>
    <w:p w14:paraId="784D24D7" w14:textId="77777777" w:rsidR="00FA0363" w:rsidRDefault="00FA0363" w:rsidP="00FA0363">
      <w:pPr>
        <w:pStyle w:val="13"/>
      </w:pPr>
      <w:r>
        <w:rPr>
          <w:rFonts w:hint="eastAsia"/>
        </w:rPr>
        <w:t>本</w:t>
      </w:r>
      <w:proofErr w:type="gramStart"/>
      <w:r>
        <w:rPr>
          <w:rFonts w:hint="eastAsia"/>
        </w:rPr>
        <w:t>解答仅</w:t>
      </w:r>
      <w:proofErr w:type="gramEnd"/>
      <w:r>
        <w:rPr>
          <w:rFonts w:hint="eastAsia"/>
        </w:rPr>
        <w:t>根据部分评估实践归纳形成，提出的有关看法仅代表起草专家个人的</w:t>
      </w:r>
      <w:r>
        <w:rPr>
          <w:rFonts w:hint="eastAsia"/>
        </w:rPr>
        <w:lastRenderedPageBreak/>
        <w:t>观点，</w:t>
      </w:r>
      <w:r>
        <w:t>不是相关法律法规、资产评估执业准则的解读，也不能替代资产评估专业人员个人的职业判断，在执业中资产评估专业人员应结合项目实际情况、自身职业判断合理使用，不能直接照搬照抄。</w:t>
      </w:r>
    </w:p>
    <w:p w14:paraId="428B432B" w14:textId="77777777" w:rsidR="00FA0363" w:rsidRDefault="00FA0363" w:rsidP="00FA0363">
      <w:pPr>
        <w:pStyle w:val="13"/>
      </w:pPr>
      <w:r>
        <w:t>1、境外资产评估项目，一般工作程序和主要工作内容是什么？</w:t>
      </w:r>
    </w:p>
    <w:p w14:paraId="739C9439" w14:textId="77777777" w:rsidR="00FA0363" w:rsidRDefault="00FA0363" w:rsidP="00FA0363">
      <w:pPr>
        <w:pStyle w:val="13"/>
      </w:pPr>
      <w:r>
        <w:rPr>
          <w:rFonts w:hint="eastAsia"/>
        </w:rPr>
        <w:t>答：以境内企业收购境外企业为例。一般工作程序大体分为国内先行准备、境外现场核查和尽调、国内分析信息资料出具资产评估报告三个阶段。</w:t>
      </w:r>
    </w:p>
    <w:p w14:paraId="58EF331C" w14:textId="77777777" w:rsidR="00FA0363" w:rsidRDefault="00FA0363" w:rsidP="00FA0363">
      <w:pPr>
        <w:pStyle w:val="13"/>
      </w:pPr>
      <w:r>
        <w:rPr>
          <w:rFonts w:hint="eastAsia"/>
        </w:rPr>
        <w:t>国内先行准备阶段，一般需要完成的工作有：</w:t>
      </w:r>
    </w:p>
    <w:p w14:paraId="6B88A24B" w14:textId="77777777" w:rsidR="00FA0363" w:rsidRDefault="00FA0363" w:rsidP="00FA0363">
      <w:pPr>
        <w:pStyle w:val="13"/>
      </w:pPr>
      <w:r>
        <w:rPr>
          <w:rFonts w:hint="eastAsia"/>
        </w:rPr>
        <w:t>（</w:t>
      </w:r>
      <w:r>
        <w:t>1）系统收集标的公司（被评估单位）基本信息资料，明确交易行为实质以及评估</w:t>
      </w:r>
      <w:r>
        <w:rPr>
          <w:rFonts w:hint="eastAsia"/>
        </w:rPr>
        <w:t>工作内容，制定评估方案。标的公司基本信息一般有企业数据（主要是标的公司上传的在线数据库（</w:t>
      </w:r>
      <w:r>
        <w:t>DATEROOM），包括财务、法律、客户、供应、产品等信息；或者标的公司公开的数据库资料）、外部数据（主要是相关</w:t>
      </w:r>
      <w:proofErr w:type="gramStart"/>
      <w:r>
        <w:t>咨</w:t>
      </w:r>
      <w:proofErr w:type="gramEnd"/>
      <w:r>
        <w:t>讯终端（如Bloomberg）中的相关行业的分析数据和分析报告）。</w:t>
      </w:r>
    </w:p>
    <w:p w14:paraId="73C71160" w14:textId="77777777" w:rsidR="00FA0363" w:rsidRDefault="00FA0363" w:rsidP="00FA0363">
      <w:pPr>
        <w:pStyle w:val="13"/>
      </w:pPr>
      <w:r>
        <w:rPr>
          <w:rFonts w:hint="eastAsia"/>
        </w:rPr>
        <w:t>（</w:t>
      </w:r>
      <w:r>
        <w:t>2）对国内收购方（通常也是委托方）进行访谈，了解初步的收购框架、明确评估标的股权、资产及业务；了解收购方针对标的公司的业务发展目标及规划。</w:t>
      </w:r>
    </w:p>
    <w:p w14:paraId="36F29313" w14:textId="77777777" w:rsidR="00FA0363" w:rsidRDefault="00FA0363" w:rsidP="00FA0363">
      <w:pPr>
        <w:pStyle w:val="13"/>
      </w:pPr>
      <w:r>
        <w:rPr>
          <w:rFonts w:hint="eastAsia"/>
        </w:rPr>
        <w:t>（</w:t>
      </w:r>
      <w:r>
        <w:t>3）编制</w:t>
      </w:r>
      <w:proofErr w:type="gramStart"/>
      <w:r>
        <w:t>境外尽调计划</w:t>
      </w:r>
      <w:proofErr w:type="gramEnd"/>
      <w:r>
        <w:t>、</w:t>
      </w:r>
      <w:proofErr w:type="gramStart"/>
      <w:r>
        <w:t>尽调提纲</w:t>
      </w:r>
      <w:proofErr w:type="gramEnd"/>
      <w:r>
        <w:t>和资料清单。与其他各专业机构（如有）协作共同</w:t>
      </w:r>
      <w:proofErr w:type="gramStart"/>
      <w:r>
        <w:t>形成尽调提纲</w:t>
      </w:r>
      <w:proofErr w:type="gramEnd"/>
      <w:r>
        <w:t>和资料清单（一般在已有的在线数据库基础上增补，尽量利用标的企业可以最快提供的形式、格式和报表体系，最大限度节省基础资料提交时间。特别需要注意的是，安排计划时，要充分考虑资产所在地有关法定节假日的规定，中资员工占大多数的公司，评估工作时间可以安排适当加班，中资员工可以配合，但当地国人较多的企业则需要制定非常准确和详细的计划。也要十分注意境外国家或地区的工作理念，一般对工作计划非常的严格。</w:t>
      </w:r>
    </w:p>
    <w:p w14:paraId="13011BD8" w14:textId="77777777" w:rsidR="00FA0363" w:rsidRDefault="00FA0363" w:rsidP="00FA0363">
      <w:pPr>
        <w:pStyle w:val="13"/>
      </w:pPr>
      <w:r>
        <w:rPr>
          <w:rFonts w:hint="eastAsia"/>
        </w:rPr>
        <w:t>开展境外现场</w:t>
      </w:r>
      <w:proofErr w:type="gramStart"/>
      <w:r>
        <w:rPr>
          <w:rFonts w:hint="eastAsia"/>
        </w:rPr>
        <w:t>的尽调工作</w:t>
      </w:r>
      <w:proofErr w:type="gramEnd"/>
      <w:r>
        <w:rPr>
          <w:rFonts w:hint="eastAsia"/>
        </w:rPr>
        <w:t>。一般需要完成的工作有：</w:t>
      </w:r>
    </w:p>
    <w:p w14:paraId="2C95DC13" w14:textId="77777777" w:rsidR="00FA0363" w:rsidRDefault="00FA0363" w:rsidP="00FA0363">
      <w:pPr>
        <w:pStyle w:val="13"/>
      </w:pPr>
      <w:r>
        <w:rPr>
          <w:rFonts w:hint="eastAsia"/>
        </w:rPr>
        <w:t>（</w:t>
      </w:r>
      <w:r>
        <w:t>1）取得标的公司的资产负债表及利润表各科目明细（如有）；核实业务、经营、财务数据；对实物资产等进行清查核实等；</w:t>
      </w:r>
    </w:p>
    <w:p w14:paraId="0C289DFF" w14:textId="77777777" w:rsidR="00FA0363" w:rsidRDefault="00FA0363" w:rsidP="00FA0363">
      <w:pPr>
        <w:pStyle w:val="13"/>
      </w:pPr>
      <w:r>
        <w:rPr>
          <w:rFonts w:hint="eastAsia"/>
        </w:rPr>
        <w:t>（</w:t>
      </w:r>
      <w:r>
        <w:t>2）完成标的公司管理层访谈，了解企业的发展战略和发展规划；了解企业产品</w:t>
      </w:r>
      <w:r>
        <w:rPr>
          <w:rFonts w:hint="eastAsia"/>
        </w:rPr>
        <w:t>（服务）的市场定位、客户的市场需求状况，是否有稳定的客户基础等。搜集目标企业</w:t>
      </w:r>
      <w:r>
        <w:t>主要产品市场的地域分布和市场占有率等资料，结合竞争对手等情况，对目标企业主要产品的行业地位进行分析；了解企业的行业属性和企业规模等情况，了解目标企业的产品销售模式，了解企业产品的市场认知度和信誉度；了解企业生产流程和生产能力；了解企业主要产品的定价策略及结算模式；了解产品成本构成和主要原材料价格水平变化；了解企业的税种、税率等。</w:t>
      </w:r>
    </w:p>
    <w:p w14:paraId="0D41F1FE" w14:textId="77777777" w:rsidR="00FA0363" w:rsidRDefault="00FA0363" w:rsidP="00FA0363">
      <w:pPr>
        <w:pStyle w:val="13"/>
      </w:pPr>
      <w:r>
        <w:rPr>
          <w:rFonts w:hint="eastAsia"/>
        </w:rPr>
        <w:t>在现场工作中，应特别注重与相关</w:t>
      </w:r>
      <w:proofErr w:type="gramStart"/>
      <w:r>
        <w:rPr>
          <w:rFonts w:hint="eastAsia"/>
        </w:rPr>
        <w:t>现场尽调团队</w:t>
      </w:r>
      <w:proofErr w:type="gramEnd"/>
      <w:r>
        <w:rPr>
          <w:rFonts w:hint="eastAsia"/>
        </w:rPr>
        <w:t>的沟通、协同，包括境内投行、境内外律师、境内外审计师、境外对方评估师、其他机构（税务师等）。</w:t>
      </w:r>
    </w:p>
    <w:p w14:paraId="35ED5326" w14:textId="77777777" w:rsidR="00FA0363" w:rsidRDefault="00FA0363" w:rsidP="00FA0363">
      <w:pPr>
        <w:pStyle w:val="13"/>
      </w:pPr>
      <w:r>
        <w:rPr>
          <w:rFonts w:hint="eastAsia"/>
        </w:rPr>
        <w:t>最后，评估师在国内进行汇总、对接，完善评估资料并出具评估报告。</w:t>
      </w:r>
    </w:p>
    <w:p w14:paraId="6C9BA348" w14:textId="77777777" w:rsidR="00FA0363" w:rsidRDefault="00FA0363" w:rsidP="00FA0363">
      <w:pPr>
        <w:pStyle w:val="13"/>
      </w:pPr>
      <w:r>
        <w:lastRenderedPageBreak/>
        <w:t>2、国内资产评估机构进行境外资产评估，是否可以出具估值报告？</w:t>
      </w:r>
    </w:p>
    <w:p w14:paraId="29D3F020" w14:textId="77777777" w:rsidR="00FA0363" w:rsidRDefault="00FA0363" w:rsidP="00FA0363">
      <w:pPr>
        <w:pStyle w:val="13"/>
      </w:pPr>
      <w:r>
        <w:rPr>
          <w:rFonts w:hint="eastAsia"/>
        </w:rPr>
        <w:t>答：根据目前相关文件规定，中央企业境外国有产权变动行为的估值业务，可以出具估值报告。根据</w:t>
      </w:r>
      <w:r>
        <w:t>2011年《中央企业境外国有产权管理暂行办法》（国务院国资委令27号）第十条，中央企业及其各级子企业独资或者控股的境外企业在境外发生转让或者受让产权、以非货币资产出资、非上市公司国有股东股权比例变动、合并分立、解散清算等经济行为时，应当聘请具有相应资质、专业经验和良好信誉的专业机构对标的物进行评估或者估值，评估项目或者估值情况应当由中央企业备案；涉及中央企业重要子企业由国有独资转为绝对控股、绝对控股转为相对控股或者失去控股地位等经济行为的，评估项目或者估值情况应当报国资委备案或者核准。</w:t>
      </w:r>
      <w:r>
        <w:rPr>
          <w:rFonts w:hint="eastAsia"/>
        </w:rPr>
        <w:t>中央企业及其各级子企业独资或者控股的境外企业在进行与评估或者估值相应的经济行为时，其交易对价应当以经备案的评估或者估值结果为基准。根据</w:t>
      </w:r>
      <w:r>
        <w:t>2017年《中央企业境外投资监督管理办法》（国务院国资</w:t>
      </w:r>
      <w:r>
        <w:rPr>
          <w:rFonts w:hint="eastAsia"/>
        </w:rPr>
        <w:t>委令第</w:t>
      </w:r>
      <w:r>
        <w:t>35号）第十三条，中央企业应当根据企业发展战略和规划，按照经国资委确认的主业，选择、确定境外投资项目，做好境外投资项目的融资、投资、管理、退出全过程的研究论证。对于境外新投资项目，应当充分借助国内外中介机构的专业服务，深入进行技术、市场、财务和法律等方面的可行性研究与论证，提高境外投资决策质量，其中股权类投资项目应开展必要的尽职调查，并按要求履行资产评估或估值程序。根据《企业国有资产评估项目备案工作指引》（</w:t>
      </w:r>
      <w:proofErr w:type="gramStart"/>
      <w:r>
        <w:t>国资发产权</w:t>
      </w:r>
      <w:proofErr w:type="gramEnd"/>
      <w:r>
        <w:t>〔2013〕64号），第五章专门提出了境外评估或估值报告审核要点。</w:t>
      </w:r>
    </w:p>
    <w:p w14:paraId="42AFD5EA" w14:textId="77777777" w:rsidR="00FA0363" w:rsidRDefault="00FA0363" w:rsidP="00FA0363">
      <w:pPr>
        <w:pStyle w:val="13"/>
      </w:pPr>
      <w:r>
        <w:rPr>
          <w:rFonts w:hint="eastAsia"/>
        </w:rPr>
        <w:t>近年来的资产评估实践中，国内资产评估机构就国有企业设立在境外的上市子公司在境外开展重组事项，已经出具了多份估值报告，并进行了公告。例如《兖煤澳洲有限公司拟以现金方式购买联合煤炭工业有限公司股权项目估值报告》。</w:t>
      </w:r>
    </w:p>
    <w:p w14:paraId="6EAE4720" w14:textId="77777777" w:rsidR="00FA0363" w:rsidRDefault="00FA0363" w:rsidP="00FA0363">
      <w:pPr>
        <w:pStyle w:val="13"/>
      </w:pPr>
      <w:r>
        <w:t>3、境外企业价值评估，如何考虑不同国家（或地区）会计准则差异的影响？</w:t>
      </w:r>
    </w:p>
    <w:p w14:paraId="2EEB7DA7" w14:textId="77777777" w:rsidR="00FA0363" w:rsidRDefault="00FA0363" w:rsidP="00FA0363">
      <w:pPr>
        <w:pStyle w:val="13"/>
      </w:pPr>
      <w:r>
        <w:rPr>
          <w:rFonts w:hint="eastAsia"/>
        </w:rPr>
        <w:t>答：资产基础法，一般可能需要关注会计准则差异对资产及负债科目名称及其账面记录数字的影响。例如，收入、成本确认原则对流动资产、流动负债账面价值的影响，</w:t>
      </w:r>
      <w:r>
        <w:t>公允价值计量、减值损失计提、折旧摊销政策对资产或负债账面价值的影响，暂时性差异估计对递延资产、负债账面价值的影响等。特别是科目及其核算的内容与方式，有时候也是资产评估重要参考。</w:t>
      </w:r>
    </w:p>
    <w:p w14:paraId="1B404038" w14:textId="77777777" w:rsidR="00FA0363" w:rsidRDefault="00FA0363" w:rsidP="00FA0363">
      <w:pPr>
        <w:pStyle w:val="13"/>
      </w:pPr>
      <w:r>
        <w:rPr>
          <w:rFonts w:hint="eastAsia"/>
        </w:rPr>
        <w:t>收益法，一般可能需要关注会计准则差异对资产评估基准日前及预测年度利润表有关数据的影响，并采用适当的方式调整获得不受会计准则差异影响的现金流，进而估算评估结果。</w:t>
      </w:r>
    </w:p>
    <w:p w14:paraId="0AEC61F0" w14:textId="77777777" w:rsidR="00FA0363" w:rsidRDefault="00FA0363" w:rsidP="00FA0363">
      <w:pPr>
        <w:pStyle w:val="13"/>
      </w:pPr>
      <w:r>
        <w:rPr>
          <w:rFonts w:hint="eastAsia"/>
        </w:rPr>
        <w:t>市场法，一般可能需要关注会计准则差异对估值使用的价值比率（或乘数）及财务指标的影响，尽可能在遵循同一会计准则的被评估单位和可比公司之间进行对比分析。如果不得不对遵循不同会计准则的被评估单位和可比公司之间进行对比分析，</w:t>
      </w:r>
      <w:proofErr w:type="gramStart"/>
      <w:r>
        <w:rPr>
          <w:rFonts w:hint="eastAsia"/>
        </w:rPr>
        <w:t>需判断</w:t>
      </w:r>
      <w:proofErr w:type="gramEnd"/>
      <w:r>
        <w:rPr>
          <w:rFonts w:hint="eastAsia"/>
        </w:rPr>
        <w:t>会计准则差异对价值比率（或乘数）及财务指标的影响程度，若存在较重大影</w:t>
      </w:r>
      <w:r>
        <w:rPr>
          <w:rFonts w:hint="eastAsia"/>
        </w:rPr>
        <w:lastRenderedPageBreak/>
        <w:t>响时，采用适当方式消除或减小会计准则差异对价值比率（或乘数）及财务指标的影响。对于使用的非财务乘数（或行业特定乘数），一般不涉及财务指标，会计准则差异对估值结果没有影响。</w:t>
      </w:r>
    </w:p>
    <w:p w14:paraId="2975F381" w14:textId="77777777" w:rsidR="00FA0363" w:rsidRDefault="00FA0363" w:rsidP="00FA0363">
      <w:pPr>
        <w:pStyle w:val="13"/>
      </w:pPr>
      <w:r>
        <w:t>4、境外资产评估项目出具资产评估报告，对应的审计报告是否必须依据中国会计准则，会计报表是否必须以人民币为本位币？</w:t>
      </w:r>
    </w:p>
    <w:p w14:paraId="2D0B61FF" w14:textId="77777777" w:rsidR="00FA0363" w:rsidRDefault="00FA0363" w:rsidP="00FA0363">
      <w:pPr>
        <w:pStyle w:val="13"/>
      </w:pPr>
      <w:r>
        <w:rPr>
          <w:rFonts w:hint="eastAsia"/>
        </w:rPr>
        <w:t>答：根据《企业国有资产评估项目备案工作指引》（</w:t>
      </w:r>
      <w:proofErr w:type="gramStart"/>
      <w:r>
        <w:rPr>
          <w:rFonts w:hint="eastAsia"/>
        </w:rPr>
        <w:t>国资发产权</w:t>
      </w:r>
      <w:proofErr w:type="gramEnd"/>
      <w:r>
        <w:rPr>
          <w:rFonts w:hint="eastAsia"/>
        </w:rPr>
        <w:t>〔</w:t>
      </w:r>
      <w:r>
        <w:t>2013〕64号）第六条，企业提出资产评估项目备案申请时，应当向备案管理单位报送与经济行为相对应的无保留意见标准审计报告。据我们了解，有中央企业内部备案指引指出，对于境外企业，应同时提交中、外会计准则之间的转换会计报表（资产负债表、利润表、权益变动表）及差异说明。近年来的多个重大资产重组项目，其披露的境外标的公司的专项审计报告为中国准则下的标准无保留审计报告，报告中采用的本位币为人民币。</w:t>
      </w:r>
    </w:p>
    <w:p w14:paraId="28BB4E14" w14:textId="77777777" w:rsidR="00FA0363" w:rsidRDefault="00FA0363" w:rsidP="00FA0363">
      <w:pPr>
        <w:pStyle w:val="13"/>
      </w:pPr>
      <w:r>
        <w:rPr>
          <w:rFonts w:hint="eastAsia"/>
        </w:rPr>
        <w:t>资产评估实践中，我们遇到的做法是，由境外审计团队开展境外准则的审计工作，</w:t>
      </w:r>
      <w:r>
        <w:t>境内审计团队负责会计准则的转换工作，境外审计团队一般不会与境内评估师进行审计有关专业的对接工作。例如，航天科工集团所属某上市公司重大资产重组项目，2016年7月通过中国证监会重组委审核，该项目并购的标的均为境外公司，行业属于制造业。项目审计师出具了二年一期中国审计准则下的标准无保留审计报告。例如，某上市公司重大资产重组项目，不涉及国有资产产权变动事宜，其重组报告书中披露：“本所接受天海投资委托，对</w:t>
      </w:r>
      <w:proofErr w:type="spellStart"/>
      <w:r>
        <w:t>IngramMicroInc</w:t>
      </w:r>
      <w:proofErr w:type="spellEnd"/>
      <w:r>
        <w:t>.根据美国公认会计准则编制的截至2016年1月2日</w:t>
      </w:r>
      <w:proofErr w:type="gramStart"/>
      <w:r>
        <w:t>止</w:t>
      </w:r>
      <w:proofErr w:type="gramEnd"/>
      <w:r>
        <w:t>财务年度及截至2015年1月3日</w:t>
      </w:r>
      <w:proofErr w:type="gramStart"/>
      <w:r>
        <w:t>止</w:t>
      </w:r>
      <w:proofErr w:type="gramEnd"/>
      <w:r>
        <w:t>财务年度的合并财务报表中股东权益和净利润金额，调整至符合中国企业会计准则（包括财政部于2006年2月15日及以后期间颁布的《企业会计准则-基本准则》、各项具体会计准则及相关规定）编制的股东权益和净利润金额之间的准则差异调节出具了</w:t>
      </w:r>
      <w:proofErr w:type="gramStart"/>
      <w:r>
        <w:t>鉴证</w:t>
      </w:r>
      <w:proofErr w:type="gramEnd"/>
      <w:r>
        <w:t>报告。”</w:t>
      </w:r>
    </w:p>
    <w:p w14:paraId="34AF11F5" w14:textId="77777777" w:rsidR="00FA0363" w:rsidRDefault="00FA0363" w:rsidP="00FA0363">
      <w:pPr>
        <w:pStyle w:val="13"/>
      </w:pPr>
      <w:r>
        <w:rPr>
          <w:rFonts w:hint="eastAsia"/>
        </w:rPr>
        <w:t>综上，我们初步认为，如果出具需要履行评估备案程序的资产评估报告，建议审计师出具中国审计准则下的审计报告，报告中采用的本位币为人民币。</w:t>
      </w:r>
    </w:p>
    <w:p w14:paraId="3B50C2CA" w14:textId="77777777" w:rsidR="00FA0363" w:rsidRDefault="00FA0363" w:rsidP="00FA0363">
      <w:pPr>
        <w:pStyle w:val="13"/>
      </w:pPr>
      <w:r>
        <w:t>5、涉及多种货币的境外被评估单位，如何考虑汇率波动的影响？评估结论如何表</w:t>
      </w:r>
      <w:r>
        <w:rPr>
          <w:rFonts w:hint="eastAsia"/>
        </w:rPr>
        <w:t>示？</w:t>
      </w:r>
    </w:p>
    <w:p w14:paraId="244D909B" w14:textId="77777777" w:rsidR="00FA0363" w:rsidRDefault="00FA0363" w:rsidP="00FA0363">
      <w:pPr>
        <w:pStyle w:val="13"/>
      </w:pPr>
      <w:r>
        <w:rPr>
          <w:rFonts w:hint="eastAsia"/>
        </w:rPr>
        <w:t>答：境外资产评估项目，应当关注被评估单位的本位币与其他外币之间的汇率波动幅度，货币结转方式及频率，以及相应的汇率风险管理方式，合理分析判断汇率波动是否对评估结论产生重大影响。</w:t>
      </w:r>
    </w:p>
    <w:p w14:paraId="4EB16040" w14:textId="77777777" w:rsidR="00FA0363" w:rsidRDefault="00FA0363" w:rsidP="00FA0363">
      <w:pPr>
        <w:pStyle w:val="13"/>
      </w:pPr>
      <w:r>
        <w:rPr>
          <w:rFonts w:hint="eastAsia"/>
        </w:rPr>
        <w:t>（</w:t>
      </w:r>
      <w:r>
        <w:t>1）对于评估基准日及以前</w:t>
      </w:r>
      <w:proofErr w:type="gramStart"/>
      <w:r>
        <w:t>年度汇率</w:t>
      </w:r>
      <w:proofErr w:type="gramEnd"/>
      <w:r>
        <w:t>波动幅度较小，换汇行为并不频繁，且采用了相对充分的汇率风险对冲管理措施的被评估单位，可以假设汇率保持不变，并于评估报告中披露评估结论未考虑未来汇率波动的影响。</w:t>
      </w:r>
    </w:p>
    <w:p w14:paraId="05C65E35" w14:textId="77777777" w:rsidR="00FA0363" w:rsidRDefault="00FA0363" w:rsidP="00FA0363">
      <w:pPr>
        <w:pStyle w:val="13"/>
      </w:pPr>
      <w:r>
        <w:rPr>
          <w:rFonts w:hint="eastAsia"/>
        </w:rPr>
        <w:t>（</w:t>
      </w:r>
      <w:r>
        <w:t>2）对于评估基准日或以前</w:t>
      </w:r>
      <w:proofErr w:type="gramStart"/>
      <w:r>
        <w:t>年度汇率</w:t>
      </w:r>
      <w:proofErr w:type="gramEnd"/>
      <w:r>
        <w:t>波动幅度较大，换汇行为频繁发生，且汇</w:t>
      </w:r>
      <w:r>
        <w:lastRenderedPageBreak/>
        <w:t>率风险对冲管理措施不充分的被评估单位，可以考虑聘请具有专门知识、技能和经验的专家</w:t>
      </w:r>
      <w:r>
        <w:rPr>
          <w:rFonts w:hint="eastAsia"/>
        </w:rPr>
        <w:t>（如外汇分析师）协助工作，作为资产评估专业支持；或者利用具有专门资质或相关经验的机构（如外汇分析机构）出具的专业报告，作为资产评估依据，继续开展评估工作。若无法取得关于汇率未来波动情形的专家工作或专业报告作为评估依据，资产评估专业人员需综合判断未来汇率波动对评估结论的影响程度。</w:t>
      </w:r>
    </w:p>
    <w:p w14:paraId="2618BA66" w14:textId="77777777" w:rsidR="00FA0363" w:rsidRDefault="00FA0363" w:rsidP="00FA0363">
      <w:pPr>
        <w:pStyle w:val="13"/>
      </w:pPr>
      <w:r>
        <w:rPr>
          <w:rFonts w:hint="eastAsia"/>
        </w:rPr>
        <w:t>根据《企业国有资产评估项目备案工作指引》（</w:t>
      </w:r>
      <w:proofErr w:type="gramStart"/>
      <w:r>
        <w:rPr>
          <w:rFonts w:hint="eastAsia"/>
        </w:rPr>
        <w:t>国资发产权</w:t>
      </w:r>
      <w:proofErr w:type="gramEnd"/>
      <w:r>
        <w:rPr>
          <w:rFonts w:hint="eastAsia"/>
        </w:rPr>
        <w:t>〔</w:t>
      </w:r>
      <w:r>
        <w:t>2013〕64号）境外评估或估值报告审核要点，评估或估值结果是否以人民币为计量币种，使用其他币种计量的，是否注明了该币种与人民币在评估基准日的汇率。</w:t>
      </w:r>
    </w:p>
    <w:p w14:paraId="1DB395CD" w14:textId="77777777" w:rsidR="00FA0363" w:rsidRDefault="00FA0363" w:rsidP="00FA0363">
      <w:pPr>
        <w:pStyle w:val="13"/>
      </w:pPr>
      <w:r>
        <w:t>6、境外资产评估项目中，评估程序受到限制时如何处理？</w:t>
      </w:r>
    </w:p>
    <w:p w14:paraId="0D869C89" w14:textId="77777777" w:rsidR="00FA0363" w:rsidRDefault="00FA0363" w:rsidP="00FA0363">
      <w:pPr>
        <w:pStyle w:val="13"/>
      </w:pPr>
      <w:r>
        <w:rPr>
          <w:rFonts w:hint="eastAsia"/>
        </w:rPr>
        <w:t>答：与境内传统资产评估项目实践不同，境外资产评估项目，特别是境外并购的资</w:t>
      </w:r>
      <w:r>
        <w:t>产评估项目，经常遇到必需资产评估资料的严重不足以及必要资产评估程序的履行限制。根据我们的了解，这些限制，在境外估值机构看来并不影响执行估值，其提供的估值服务也能够很好帮助并购双方顺利完成交易。但是，他们会根据有关评估标准，严格估值业务类型及出具估值报告的类型。例如，澳大利亚会计职业与道德标准委员会（APESB）发布的《APES225ValuationServices》，针对评估业务提出三种协议类型及其估值报告类型，包括评估协</w:t>
      </w:r>
      <w:r>
        <w:rPr>
          <w:rFonts w:hint="eastAsia"/>
        </w:rPr>
        <w:t>议、有限评估协议和计算协议。其中的有限评估协议，是指工作范围受</w:t>
      </w:r>
      <w:r>
        <w:t>限的情况下进行评估并提供评估报告的协议。有限评估协议也可以称为“限制范围估值协议”或“指示性估值协议”。相应的出具“指示性估值报告”。境内评估机构进行境外资产评估项目时，特别是企业并购评估项目，出售方公开的数据库是逐步开放的，从而</w:t>
      </w:r>
      <w:r>
        <w:rPr>
          <w:rFonts w:hint="eastAsia"/>
        </w:rPr>
        <w:t>信息资料经常不完整，也会遇到并购方已经进行了包括估值在内的大量前期工作之后而要求所聘估值机构不做重复工作，遇到此类“限制”情形，我们认为可以按照交易对方所聘请估值机构相同或相似的做法，如《</w:t>
      </w:r>
      <w:r>
        <w:t>APES225ValuationServices》中的“指示性估值报告”进行估值，不但有利于在“同一基础”进行估值，更有利于并购双方依照估值结果顺利达成交易。将评估工作理想化乃至将评估工作孤立于交易之外并不符合交易的客观需求。当然，涉及国有资产评估业务以及证券评估业务，对此有明确规定的，必须要遵守相关规定。</w:t>
      </w:r>
    </w:p>
    <w:p w14:paraId="002FFD0E" w14:textId="77777777" w:rsidR="00FA0363" w:rsidRDefault="00FA0363" w:rsidP="00FA0363">
      <w:pPr>
        <w:pStyle w:val="13"/>
      </w:pPr>
      <w:r>
        <w:t>7、因办公介质及授权模式差异，境外资产评估资料如何进行收集与确认？</w:t>
      </w:r>
    </w:p>
    <w:p w14:paraId="4C0BA7ED" w14:textId="77777777" w:rsidR="00FA0363" w:rsidRDefault="00FA0363" w:rsidP="00FA0363">
      <w:pPr>
        <w:pStyle w:val="13"/>
      </w:pPr>
      <w:r>
        <w:rPr>
          <w:rFonts w:hint="eastAsia"/>
        </w:rPr>
        <w:t>答：境外资产评估项目执行过程中，（</w:t>
      </w:r>
      <w:r>
        <w:t>1）当存在办公介质差异时，资产评估专业人员需要理解，在无纸化办公的国家或地区执业过程中，无法获取纸质资料或者仅获得有限的纸质资料均属于客观情况，通过邮件、虚拟资料库等渠道获取的电子介质资料在来源可靠、授权合法的情况下可以作为核查验证的证明资料，包括但不限于邮件正文、邮件附件、邮件截图、各种文件格式的电子文档、电话录音、视频存档等，也包括企业并购中的开放的数据库。（2）当存在授权模式差异时，需要清楚，境外企业可能并不通过加盖公章的方式进行授权或确认，可由具备适当权限的管理层人</w:t>
      </w:r>
      <w:r>
        <w:rPr>
          <w:rFonts w:hint="eastAsia"/>
        </w:rPr>
        <w:t>员的</w:t>
      </w:r>
      <w:r>
        <w:rPr>
          <w:rFonts w:hint="eastAsia"/>
        </w:rPr>
        <w:lastRenderedPageBreak/>
        <w:t>个人签字对相应核查材料进行授权。（</w:t>
      </w:r>
      <w:r>
        <w:t>3）当存在语言文字差异时，评估中取得的相关文件资料涉及执业人员无法阅读或理解的其他语种时，可以聘请或者要求委托方聘请翻译机构或翻译人员进行翻译，并在翻译后的文件基础上开展核查验证。</w:t>
      </w:r>
    </w:p>
    <w:p w14:paraId="7635FE85" w14:textId="77777777" w:rsidR="00FA0363" w:rsidRDefault="00FA0363" w:rsidP="00FA0363">
      <w:pPr>
        <w:pStyle w:val="13"/>
      </w:pPr>
      <w:r>
        <w:t>8、境外资产评估项目，如何核实并利用税目及税率确定相关评估参数？</w:t>
      </w:r>
    </w:p>
    <w:p w14:paraId="1072313A" w14:textId="77777777" w:rsidR="00FA0363" w:rsidRDefault="00FA0363" w:rsidP="00FA0363">
      <w:pPr>
        <w:pStyle w:val="13"/>
      </w:pPr>
      <w:r>
        <w:rPr>
          <w:rFonts w:hint="eastAsia"/>
        </w:rPr>
        <w:t>答：由于不同国家或地区的税法、税制存在较多的地域特征，在具体境外资产评估项目中，对税务相关问题进行核查需要相应的专业知识和能力，资产评估机构认为自己不具备对境外税务相关事项进行核查验证专业能力的，应当聘请具有专门知识、技能和经验的专家（如税务师）协助工作，作为资产评估专业支持；或者利用具有专门资质或相关经验的机构（如税务中介机构）出具的专业报告，作为资产评估依据。在聘请专家协助工作或者利用专业机构的专业报告时，资产评估机构应当综合考虑专家及专业机构的专业胜任能力，</w:t>
      </w:r>
      <w:proofErr w:type="gramStart"/>
      <w:r>
        <w:rPr>
          <w:rFonts w:hint="eastAsia"/>
        </w:rPr>
        <w:t>合理关注</w:t>
      </w:r>
      <w:proofErr w:type="gramEnd"/>
      <w:r>
        <w:rPr>
          <w:rFonts w:hint="eastAsia"/>
        </w:rPr>
        <w:t>专家及专业机构的独立性，并按准则要求对聘请专家协助工作及利用专业机构专业报告的情况进行披露。</w:t>
      </w:r>
    </w:p>
    <w:p w14:paraId="07D729C2" w14:textId="77777777" w:rsidR="00FA0363" w:rsidRDefault="00FA0363" w:rsidP="00FA0363">
      <w:pPr>
        <w:pStyle w:val="13"/>
      </w:pPr>
      <w:r>
        <w:rPr>
          <w:rFonts w:hint="eastAsia"/>
        </w:rPr>
        <w:t>在一些境外企业并购项目中，特别是服务于境内并购方的评估项目，如果同时聘请有</w:t>
      </w:r>
      <w:proofErr w:type="gramStart"/>
      <w:r>
        <w:rPr>
          <w:rFonts w:hint="eastAsia"/>
        </w:rPr>
        <w:t>综合尽调团队</w:t>
      </w:r>
      <w:proofErr w:type="gramEnd"/>
      <w:r>
        <w:rPr>
          <w:rFonts w:hint="eastAsia"/>
        </w:rPr>
        <w:t>或者专门的税务或</w:t>
      </w:r>
      <w:proofErr w:type="gramStart"/>
      <w:r>
        <w:rPr>
          <w:rFonts w:hint="eastAsia"/>
        </w:rPr>
        <w:t>法律尽调团队</w:t>
      </w:r>
      <w:proofErr w:type="gramEnd"/>
      <w:r>
        <w:rPr>
          <w:rFonts w:hint="eastAsia"/>
        </w:rPr>
        <w:t>，建议评估人员及时跟进、了解</w:t>
      </w:r>
      <w:proofErr w:type="gramStart"/>
      <w:r>
        <w:rPr>
          <w:rFonts w:hint="eastAsia"/>
        </w:rPr>
        <w:t>相应尽调团队</w:t>
      </w:r>
      <w:proofErr w:type="gramEnd"/>
      <w:r>
        <w:rPr>
          <w:rFonts w:hint="eastAsia"/>
        </w:rPr>
        <w:t>获取的有关信息资料，在出具正式评估报告时，建议收集取得</w:t>
      </w:r>
      <w:proofErr w:type="gramStart"/>
      <w:r>
        <w:rPr>
          <w:rFonts w:hint="eastAsia"/>
        </w:rPr>
        <w:t>相关尽调团队</w:t>
      </w:r>
      <w:proofErr w:type="gramEnd"/>
      <w:r>
        <w:rPr>
          <w:rFonts w:hint="eastAsia"/>
        </w:rPr>
        <w:t>出具的</w:t>
      </w:r>
      <w:proofErr w:type="gramStart"/>
      <w:r>
        <w:rPr>
          <w:rFonts w:hint="eastAsia"/>
        </w:rPr>
        <w:t>正式尽调报告</w:t>
      </w:r>
      <w:proofErr w:type="gramEnd"/>
      <w:r>
        <w:rPr>
          <w:rFonts w:hint="eastAsia"/>
        </w:rPr>
        <w:t>，作为评估依据；对评估基准日后的税收信息变化，如果是</w:t>
      </w:r>
      <w:proofErr w:type="gramStart"/>
      <w:r>
        <w:rPr>
          <w:rFonts w:hint="eastAsia"/>
        </w:rPr>
        <w:t>尽调时间</w:t>
      </w:r>
      <w:proofErr w:type="gramEnd"/>
      <w:r>
        <w:rPr>
          <w:rFonts w:hint="eastAsia"/>
        </w:rPr>
        <w:t>原因，则应当在有关评估参数确定中考虑，如果是税收本身政策的变化，一般可以通过“期后重大事项”披露，也可以本着为交易定价服务的宗旨，反映在评估结论中。当然，相关部门对此有明确规定的，必须严格按照规定进行处理。</w:t>
      </w:r>
    </w:p>
    <w:p w14:paraId="6469A6FB" w14:textId="77777777" w:rsidR="00FA0363" w:rsidRDefault="00FA0363" w:rsidP="00FA0363">
      <w:pPr>
        <w:pStyle w:val="13"/>
      </w:pPr>
      <w:r>
        <w:t>9、境外资产评估项目，如何对养老金、企业年金、管理层激励、辞退福利等薪酬相关资产、负债、损益进行清查核实？</w:t>
      </w:r>
    </w:p>
    <w:p w14:paraId="4437CB2B" w14:textId="77777777" w:rsidR="00FA0363" w:rsidRDefault="00FA0363" w:rsidP="00FA0363">
      <w:pPr>
        <w:pStyle w:val="13"/>
      </w:pPr>
      <w:r>
        <w:rPr>
          <w:rFonts w:hint="eastAsia"/>
        </w:rPr>
        <w:t>答：由于不同国家或地区涉及的薪酬体系及社会保障制度不同，在具体境外资产评估项目中对薪酬相关问题进行核查需要相应的专业知识和能力，资产评估机构认为自己不具备对境外薪酬相关事项进行核查验证专业能力的，可以聘请具有专门知识、技能和经验的专家（如精算师）协助工作，作为资产评估专业支持；或者利用具有专门资质或相关经验的机构（如保险咨询机构）出具的专业报告，作为资产评估依据。</w:t>
      </w:r>
    </w:p>
    <w:p w14:paraId="2B79FE40" w14:textId="77777777" w:rsidR="00FA0363" w:rsidRDefault="00FA0363" w:rsidP="00FA0363">
      <w:pPr>
        <w:pStyle w:val="13"/>
      </w:pPr>
      <w:r>
        <w:rPr>
          <w:rFonts w:hint="eastAsia"/>
        </w:rPr>
        <w:t>在一些境外企业并购项目中，特别是服务于境内并购方的评估项目，如果同时聘请有</w:t>
      </w:r>
      <w:proofErr w:type="gramStart"/>
      <w:r>
        <w:rPr>
          <w:rFonts w:hint="eastAsia"/>
        </w:rPr>
        <w:t>综合尽调团队</w:t>
      </w:r>
      <w:proofErr w:type="gramEnd"/>
      <w:r>
        <w:rPr>
          <w:rFonts w:hint="eastAsia"/>
        </w:rPr>
        <w:t>或者专门的</w:t>
      </w:r>
      <w:proofErr w:type="gramStart"/>
      <w:r>
        <w:rPr>
          <w:rFonts w:hint="eastAsia"/>
        </w:rPr>
        <w:t>劳</w:t>
      </w:r>
      <w:proofErr w:type="gramEnd"/>
      <w:r>
        <w:rPr>
          <w:rFonts w:hint="eastAsia"/>
        </w:rPr>
        <w:t>工薪</w:t>
      </w:r>
      <w:proofErr w:type="gramStart"/>
      <w:r>
        <w:rPr>
          <w:rFonts w:hint="eastAsia"/>
        </w:rPr>
        <w:t>酬尽调</w:t>
      </w:r>
      <w:proofErr w:type="gramEnd"/>
      <w:r>
        <w:rPr>
          <w:rFonts w:hint="eastAsia"/>
        </w:rPr>
        <w:t>团队，建议评估人员及时跟进、了解</w:t>
      </w:r>
      <w:proofErr w:type="gramStart"/>
      <w:r>
        <w:rPr>
          <w:rFonts w:hint="eastAsia"/>
        </w:rPr>
        <w:t>相应尽调团队</w:t>
      </w:r>
      <w:proofErr w:type="gramEnd"/>
      <w:r>
        <w:rPr>
          <w:rFonts w:hint="eastAsia"/>
        </w:rPr>
        <w:t>获取的有关信息资料，在出具正式评估报告时，建议收集取得</w:t>
      </w:r>
      <w:proofErr w:type="gramStart"/>
      <w:r>
        <w:rPr>
          <w:rFonts w:hint="eastAsia"/>
        </w:rPr>
        <w:t>相关尽调团队</w:t>
      </w:r>
      <w:proofErr w:type="gramEnd"/>
      <w:r>
        <w:rPr>
          <w:rFonts w:hint="eastAsia"/>
        </w:rPr>
        <w:t>出具的</w:t>
      </w:r>
      <w:proofErr w:type="gramStart"/>
      <w:r>
        <w:rPr>
          <w:rFonts w:hint="eastAsia"/>
        </w:rPr>
        <w:t>正式尽调报告</w:t>
      </w:r>
      <w:proofErr w:type="gramEnd"/>
      <w:r>
        <w:rPr>
          <w:rFonts w:hint="eastAsia"/>
        </w:rPr>
        <w:t>，作为评估依据；对评估基准日后的</w:t>
      </w:r>
      <w:proofErr w:type="gramStart"/>
      <w:r>
        <w:rPr>
          <w:rFonts w:hint="eastAsia"/>
        </w:rPr>
        <w:t>劳</w:t>
      </w:r>
      <w:proofErr w:type="gramEnd"/>
      <w:r>
        <w:rPr>
          <w:rFonts w:hint="eastAsia"/>
        </w:rPr>
        <w:t>工薪</w:t>
      </w:r>
      <w:proofErr w:type="gramStart"/>
      <w:r>
        <w:rPr>
          <w:rFonts w:hint="eastAsia"/>
        </w:rPr>
        <w:t>酬</w:t>
      </w:r>
      <w:proofErr w:type="gramEnd"/>
      <w:r>
        <w:rPr>
          <w:rFonts w:hint="eastAsia"/>
        </w:rPr>
        <w:t>信息变化，如果是</w:t>
      </w:r>
      <w:proofErr w:type="gramStart"/>
      <w:r>
        <w:rPr>
          <w:rFonts w:hint="eastAsia"/>
        </w:rPr>
        <w:t>尽调时间</w:t>
      </w:r>
      <w:proofErr w:type="gramEnd"/>
      <w:r>
        <w:rPr>
          <w:rFonts w:hint="eastAsia"/>
        </w:rPr>
        <w:t>原因，则应当在有关评估参数确定中考虑，如果是</w:t>
      </w:r>
      <w:proofErr w:type="gramStart"/>
      <w:r>
        <w:rPr>
          <w:rFonts w:hint="eastAsia"/>
        </w:rPr>
        <w:t>劳</w:t>
      </w:r>
      <w:proofErr w:type="gramEnd"/>
      <w:r>
        <w:rPr>
          <w:rFonts w:hint="eastAsia"/>
        </w:rPr>
        <w:t>工薪</w:t>
      </w:r>
      <w:proofErr w:type="gramStart"/>
      <w:r>
        <w:rPr>
          <w:rFonts w:hint="eastAsia"/>
        </w:rPr>
        <w:t>酬</w:t>
      </w:r>
      <w:proofErr w:type="gramEnd"/>
      <w:r>
        <w:rPr>
          <w:rFonts w:hint="eastAsia"/>
        </w:rPr>
        <w:t>本身政策的变化，一般可以通过“期后重大事项”披露，也可以本着为交易定价服务的宗旨，反映在评估结论中。当然，相关部门对此有明确规定的，必须严格按照规定进行处理。</w:t>
      </w:r>
    </w:p>
    <w:p w14:paraId="021B97A0" w14:textId="77777777" w:rsidR="00FA0363" w:rsidRDefault="00FA0363" w:rsidP="00FA0363">
      <w:pPr>
        <w:pStyle w:val="13"/>
      </w:pPr>
      <w:r>
        <w:lastRenderedPageBreak/>
        <w:t>10、估算CAPM模型中的权益成本时，无风险收益率和风险溢价的确定原则是什</w:t>
      </w:r>
      <w:r>
        <w:rPr>
          <w:rFonts w:hint="eastAsia"/>
        </w:rPr>
        <w:t>么？</w:t>
      </w:r>
    </w:p>
    <w:p w14:paraId="77947557" w14:textId="77777777" w:rsidR="00FA0363" w:rsidRDefault="00FA0363" w:rsidP="00FA0363">
      <w:pPr>
        <w:pStyle w:val="13"/>
      </w:pPr>
      <w:r>
        <w:rPr>
          <w:rFonts w:hint="eastAsia"/>
        </w:rPr>
        <w:t>答：基本原则：结合评估目的、价值类型及评估假设，合理确定无风险收益率及风险溢价的选择标准。</w:t>
      </w:r>
    </w:p>
    <w:p w14:paraId="15668EDC" w14:textId="77777777" w:rsidR="00FA0363" w:rsidRDefault="00FA0363" w:rsidP="00FA0363">
      <w:pPr>
        <w:pStyle w:val="13"/>
      </w:pPr>
      <w:r>
        <w:rPr>
          <w:rFonts w:hint="eastAsia"/>
        </w:rPr>
        <w:t>针对不同的评估目的、价值类型及评估假设，被评估单位经营决策所在国家或地区、被评估单位核心资产所在国家或地区、被评估单位主营业务所在国家或地区、被评估单位主要投融资行为所在国家或地区、委托方所在国家或地区，都可能作为无风险收益率及风险溢价的数据来源地。</w:t>
      </w:r>
    </w:p>
    <w:p w14:paraId="1A8348E5" w14:textId="77777777" w:rsidR="00FA0363" w:rsidRDefault="00FA0363" w:rsidP="00FA0363">
      <w:pPr>
        <w:pStyle w:val="13"/>
      </w:pPr>
      <w:r>
        <w:rPr>
          <w:rFonts w:hint="eastAsia"/>
        </w:rPr>
        <w:t>风险溢价</w:t>
      </w:r>
      <w:proofErr w:type="gramStart"/>
      <w:r>
        <w:rPr>
          <w:rFonts w:hint="eastAsia"/>
        </w:rPr>
        <w:t>系市场</w:t>
      </w:r>
      <w:proofErr w:type="gramEnd"/>
      <w:r>
        <w:rPr>
          <w:rFonts w:hint="eastAsia"/>
        </w:rPr>
        <w:t>报酬率基于相同市场的无风险收益率的溢价，因此通常情况下无风险收益率与市场报酬率的数据来源地应当相同。</w:t>
      </w:r>
    </w:p>
    <w:p w14:paraId="39902ACB" w14:textId="77777777" w:rsidR="00FA0363" w:rsidRDefault="00FA0363" w:rsidP="00FA0363">
      <w:pPr>
        <w:pStyle w:val="13"/>
      </w:pPr>
      <w:r>
        <w:rPr>
          <w:rFonts w:hint="eastAsia"/>
        </w:rPr>
        <w:t>如果所涉及国家或地区的数据无法获得，可以考虑选用其他标准重新确定数据来源地，也可以考虑选用相对公开的无风险收益率和风险溢价数据（如美国无风险收益率及风险溢价），并参考长期国债利率或同业拆借利率等差异，在</w:t>
      </w:r>
      <w:r>
        <w:t>CAPM模型中相应调整国别风险溢价。</w:t>
      </w:r>
    </w:p>
    <w:p w14:paraId="6AC69106" w14:textId="77777777" w:rsidR="00FA0363" w:rsidRDefault="00FA0363" w:rsidP="00FA0363">
      <w:pPr>
        <w:pStyle w:val="13"/>
      </w:pPr>
      <w:r>
        <w:t>11、使用CAPM模型估算权益成本时，BETA值的确定原则是什么？</w:t>
      </w:r>
    </w:p>
    <w:p w14:paraId="5EB686DE" w14:textId="77777777" w:rsidR="00FA0363" w:rsidRDefault="00FA0363" w:rsidP="00FA0363">
      <w:pPr>
        <w:pStyle w:val="13"/>
      </w:pPr>
      <w:r>
        <w:rPr>
          <w:rFonts w:hint="eastAsia"/>
        </w:rPr>
        <w:t>答：基本原则：结合评估目的、价值类型及评估假设，合理确定</w:t>
      </w:r>
      <w:r>
        <w:t>Beta的选择标准。针对不同的评估目的、价值类型及评估假设，被评估单位经营决策所在国家或地区、被评估单位核心资产所在国家或地区、被评估单位主营业务所在国家或地区、被评估单位主要投融资行为所在国家或地区、委托方所在国家或地区，都可能作为Beta值的数据来源地。</w:t>
      </w:r>
    </w:p>
    <w:p w14:paraId="1B60DDE0" w14:textId="77777777" w:rsidR="00FA0363" w:rsidRDefault="00FA0363" w:rsidP="00FA0363">
      <w:pPr>
        <w:pStyle w:val="13"/>
      </w:pPr>
      <w:r>
        <w:t>Beta值是衡量特定股票波动相对特定指数波动的偏离程度的指标，因此通常情况下应当选择基于同一指数的股票的Beta值作为计算基础。</w:t>
      </w:r>
    </w:p>
    <w:p w14:paraId="6E2C8B13" w14:textId="77777777" w:rsidR="00FA0363" w:rsidRDefault="00FA0363" w:rsidP="00FA0363">
      <w:pPr>
        <w:pStyle w:val="13"/>
      </w:pPr>
      <w:r>
        <w:rPr>
          <w:rFonts w:hint="eastAsia"/>
        </w:rPr>
        <w:t>在资本资产定价模型中，</w:t>
      </w:r>
      <w:r>
        <w:t>Beta值作为风险大小的衡量参数，用作与相应风险溢价的匹配，因此通常情况下Beta值与风险溢价的数据来源地应当相同。</w:t>
      </w:r>
    </w:p>
    <w:p w14:paraId="3DE05AA7" w14:textId="77777777" w:rsidR="00FA0363" w:rsidRDefault="00FA0363" w:rsidP="00FA0363">
      <w:pPr>
        <w:pStyle w:val="13"/>
      </w:pPr>
      <w:r>
        <w:rPr>
          <w:rFonts w:hint="eastAsia"/>
        </w:rPr>
        <w:t>如果所涉及国家或地区的数据无法获得，可以考虑选用其他标准重新确定数据来源地，也可以考虑选用相对公开的</w:t>
      </w:r>
      <w:r>
        <w:t>Beta值数据（如美国股市Beta值），并参考长期国债或同业拆借利率差异，在CAPM模型中相应调整国别风险溢价。</w:t>
      </w:r>
    </w:p>
    <w:p w14:paraId="63029128" w14:textId="77777777" w:rsidR="00FA0363" w:rsidRDefault="00FA0363" w:rsidP="00FA0363">
      <w:pPr>
        <w:pStyle w:val="13"/>
      </w:pPr>
      <w:r>
        <w:t>12、境外资产评估使用市场法，可比公司及价值比率确定基本考虑是什么？</w:t>
      </w:r>
    </w:p>
    <w:p w14:paraId="74879939" w14:textId="77777777" w:rsidR="00FA0363" w:rsidRDefault="00FA0363" w:rsidP="00FA0363">
      <w:pPr>
        <w:pStyle w:val="13"/>
      </w:pPr>
      <w:r>
        <w:rPr>
          <w:rFonts w:hint="eastAsia"/>
        </w:rPr>
        <w:t>答：可比公司（交易案例）的选择、价值比率（或乘数）的购建，以及价值比率（或乘数）调整，是采用市场法评估企业价值的三大技术环节。</w:t>
      </w:r>
    </w:p>
    <w:p w14:paraId="110E1CEA" w14:textId="77777777" w:rsidR="00FA0363" w:rsidRDefault="00FA0363" w:rsidP="00FA0363">
      <w:pPr>
        <w:pStyle w:val="13"/>
      </w:pPr>
      <w:r>
        <w:rPr>
          <w:rFonts w:hint="eastAsia"/>
        </w:rPr>
        <w:t>（</w:t>
      </w:r>
      <w:r>
        <w:t>1）选择可比公司时，首先应当清楚：不同证券交易所上市的上市公司由于市场差异，价值比率（或乘数）并不必然可比；不同区域、不同时间发生的公司股权交易，由于地域差异及时间差异的存在，价值比率也并不必然可比。因此，在选择可比公司时，需关注可比公司在交易时间上是否接近，股权交易或者股票交易市场是否相</w:t>
      </w:r>
      <w:r>
        <w:lastRenderedPageBreak/>
        <w:t>同或者相近，尽可能减少时间及市场差异对可比公司可比性的影响。</w:t>
      </w:r>
    </w:p>
    <w:p w14:paraId="65780490" w14:textId="77777777" w:rsidR="00FA0363" w:rsidRDefault="00FA0363" w:rsidP="00FA0363">
      <w:pPr>
        <w:pStyle w:val="13"/>
      </w:pPr>
      <w:r>
        <w:rPr>
          <w:rFonts w:hint="eastAsia"/>
        </w:rPr>
        <w:t>（</w:t>
      </w:r>
      <w:r>
        <w:t>2）选择财务</w:t>
      </w:r>
      <w:proofErr w:type="gramStart"/>
      <w:r>
        <w:t>类价值</w:t>
      </w:r>
      <w:proofErr w:type="gramEnd"/>
      <w:r>
        <w:t>比率（或乘数）时，需特别关注不同会计准则对价值比率的影</w:t>
      </w:r>
      <w:r>
        <w:rPr>
          <w:rFonts w:hint="eastAsia"/>
        </w:rPr>
        <w:t>响，尽可能只在遵循同一会计准则的被评估单位和可比公司之间进行对比分析。如果不得不对遵循不同会计准则的被评估单位和可比公司之间进行对比分析，</w:t>
      </w:r>
      <w:proofErr w:type="gramStart"/>
      <w:r>
        <w:rPr>
          <w:rFonts w:hint="eastAsia"/>
        </w:rPr>
        <w:t>需判断</w:t>
      </w:r>
      <w:proofErr w:type="gramEnd"/>
      <w:r>
        <w:rPr>
          <w:rFonts w:hint="eastAsia"/>
        </w:rPr>
        <w:t>会计准则差异对价值比率的影响程度，若存在较重大影响时，需采用适当方式消除或减小会计准则差异对价值比率的影响。</w:t>
      </w:r>
    </w:p>
    <w:p w14:paraId="4853F40F" w14:textId="77777777" w:rsidR="00FA0363" w:rsidRDefault="00FA0363" w:rsidP="00FA0363">
      <w:pPr>
        <w:pStyle w:val="13"/>
      </w:pPr>
      <w:r>
        <w:rPr>
          <w:rFonts w:hint="eastAsia"/>
        </w:rPr>
        <w:t>（</w:t>
      </w:r>
      <w:r>
        <w:t>3）采用市场法评估境外企业并购投资价值时的可比公司及价值比率。境外企业并购投资价值评估，很多情形是对并购整合后公司的估值（含标的公司独立市场价值和并购产生的协同效应价值）。采用市场法时，首先遇到的问题是，并购整合是标的公司针对特定的并购方而言的，并购整合后公司价值也应基于并购双方以特定的并购动机以及并购方案评估。国内很多人认为市场法不适应境外企业并购投资价值评估。我们总结部分境外估值案例后认为，市场法能够很好应用于境外企业并购投资价值评估。至少有以下几点：</w:t>
      </w:r>
    </w:p>
    <w:p w14:paraId="57C6C4EE" w14:textId="77777777" w:rsidR="00FA0363" w:rsidRDefault="00FA0363" w:rsidP="00FA0363">
      <w:pPr>
        <w:pStyle w:val="13"/>
      </w:pPr>
      <w:r>
        <w:rPr>
          <w:rFonts w:hint="eastAsia"/>
        </w:rPr>
        <w:t>①市场法能够很好的作为收益法的交叉验证方法，尤其是采用收益途径评估方法得出估值区间时，利用类似交易案例构建价值乘数，验证区间的合理性，尽管可能不能直接估算单独协同效应的价值，但至少可以验证收益途径得出的区间范围是否低于标的公司独立市场价值，或者高于标的公司投资价值的最高值。</w:t>
      </w:r>
    </w:p>
    <w:p w14:paraId="7F7DC45C" w14:textId="77777777" w:rsidR="00FA0363" w:rsidRDefault="00FA0363" w:rsidP="00FA0363">
      <w:pPr>
        <w:pStyle w:val="13"/>
      </w:pPr>
      <w:r>
        <w:rPr>
          <w:rFonts w:hint="eastAsia"/>
        </w:rPr>
        <w:t>②价值比率（或乘数），不仅仅可以采用财务指标构建并运用，还可以利用非财务乘数构建。财务乘数，可以运用到标的公司并购整合后价值的估算。例如，企业横向并购，</w:t>
      </w:r>
      <w:r>
        <w:t>其协同效应主要体现在定价权的提升以及可变成本降低等规模效应等方面，评估中可以采用PS</w:t>
      </w:r>
      <w:proofErr w:type="gramStart"/>
      <w:r>
        <w:t>等营收指标</w:t>
      </w:r>
      <w:proofErr w:type="gramEnd"/>
      <w:r>
        <w:t>的价值乘数，选择可比交易案例甚至可比上市公司，对并购整合后公司进行估值。非财务乘数，大量运用到并购整合后价值的估算中，与企业价值有关并能够反映企业价值或者是并购交易定价的决定因素等所有特征值和变量，均可构建为价值比率或乘数并运用到并购整合后企业价值评估中。例如</w:t>
      </w:r>
      <w:r>
        <w:rPr>
          <w:rFonts w:hint="eastAsia"/>
        </w:rPr>
        <w:t>，基于移动互联网的各种经营业态的公司，单位活跃用户</w:t>
      </w:r>
      <w:proofErr w:type="gramStart"/>
      <w:r>
        <w:rPr>
          <w:rFonts w:hint="eastAsia"/>
        </w:rPr>
        <w:t>数价值</w:t>
      </w:r>
      <w:proofErr w:type="gramEnd"/>
      <w:r>
        <w:rPr>
          <w:rFonts w:hint="eastAsia"/>
        </w:rPr>
        <w:t>就可作为该类公司的价值乘数进行估值；油气公司股权并购或者油气区块交易，单位产量或单位储量的价值就可作为该类公司的价值乘数进行估值。</w:t>
      </w:r>
    </w:p>
    <w:p w14:paraId="16E2FED3" w14:textId="77777777" w:rsidR="00FA0363" w:rsidRDefault="00FA0363" w:rsidP="00FA0363">
      <w:pPr>
        <w:pStyle w:val="13"/>
      </w:pPr>
      <w:r>
        <w:t>13、收益法评估境外企业并购投资价值，最重要的评估假设是什么？</w:t>
      </w:r>
    </w:p>
    <w:p w14:paraId="1D56B2CE" w14:textId="77777777" w:rsidR="00FA0363" w:rsidRDefault="00FA0363" w:rsidP="00FA0363">
      <w:pPr>
        <w:pStyle w:val="13"/>
      </w:pPr>
      <w:r>
        <w:rPr>
          <w:rFonts w:hint="eastAsia"/>
        </w:rPr>
        <w:t>答：企业并购投资价值收益法评估中，除考虑做出市场价值评估常见的假设外，还需要考虑做出企业并购按并购整合计划时间和按照并购方案实现并购整合两个重要的假设条件。企业并购整合方案是各种协同效应实现的具体安排，同一标的不同的并购者、同一标的同一并购者不同的并购方案，投资价值均不同，重要的原因是协同效应基于的并购方案不同，尽管标的一样。另一方面，投资价值评估收益预测包含的各种协同效应增量净现金流，是在并购整合的基础上实现的，而并购整合需要一定的</w:t>
      </w:r>
      <w:r>
        <w:rPr>
          <w:rFonts w:hint="eastAsia"/>
        </w:rPr>
        <w:lastRenderedPageBreak/>
        <w:t>时间，不同的并购整合期，企业价值也不同。</w:t>
      </w:r>
    </w:p>
    <w:p w14:paraId="22164D9F" w14:textId="77777777" w:rsidR="00FA0363" w:rsidRDefault="00FA0363" w:rsidP="00FA0363">
      <w:pPr>
        <w:pStyle w:val="13"/>
      </w:pPr>
      <w:r>
        <w:t>14、收益法评估境外企业并购投资价值，确定预测期需要考虑的因素？</w:t>
      </w:r>
    </w:p>
    <w:p w14:paraId="4CAC9CDC" w14:textId="77777777" w:rsidR="00FA0363" w:rsidRDefault="00FA0363" w:rsidP="00FA0363">
      <w:pPr>
        <w:pStyle w:val="13"/>
      </w:pPr>
      <w:r>
        <w:rPr>
          <w:rFonts w:hint="eastAsia"/>
        </w:rPr>
        <w:t>答：预测期是收益期的一部分（收益期</w:t>
      </w:r>
      <w:r>
        <w:t>=预测期+预测期后），是从评估基准日到企业达到稳定状态的收益期限。一般来说，企业收入成本结构、资本结构、资本性支出、投资收益和风险水平等是“稳定状态”的主要标志。即：企业收入成本结构基本接近行业平均水平，收入成本结构基本定型；企业的资本结构逐渐接近行业平均水平或企业的目标资本结构水平；资本性支出，企业的投资活动应趋于减少，企业只对现有生产能力进行简单的更新，常规的改进以及升级；投资收益逐渐接近行业平均水平或市场平均水平；风险水平逐渐接近行业平均水平或市场平均水平。企业并购投</w:t>
      </w:r>
      <w:r>
        <w:rPr>
          <w:rFonts w:hint="eastAsia"/>
        </w:rPr>
        <w:t>资价值收益法评估中，</w:t>
      </w:r>
      <w:r>
        <w:t>确定预测期除考虑上述因素外，还需要考虑企业并购整合期，企业并购整合是各种协同效应实现的准备阶段，投资价值评估收益预测包含的各种协同效应增量净现金流，是在并购整合的基础上逐步或分别实现的。一般认为，企业并购投资价值收益法评估中的预测期长于市场价值收益法评估中的预测期，尤其存在管理协同效应的企业并购。</w:t>
      </w:r>
    </w:p>
    <w:p w14:paraId="150A846F" w14:textId="77777777" w:rsidR="00FA0363" w:rsidRDefault="00FA0363" w:rsidP="00FA0363">
      <w:pPr>
        <w:pStyle w:val="13"/>
      </w:pPr>
      <w:r>
        <w:t>15、采用资产基础法评估境外企业价值，主要考虑哪些特殊性？</w:t>
      </w:r>
    </w:p>
    <w:p w14:paraId="4F874800" w14:textId="77777777" w:rsidR="00FA0363" w:rsidRDefault="00FA0363" w:rsidP="00FA0363">
      <w:pPr>
        <w:pStyle w:val="13"/>
      </w:pPr>
      <w:r>
        <w:rPr>
          <w:rFonts w:hint="eastAsia"/>
        </w:rPr>
        <w:t>答：国内建设项目，一般采用竣工决算方式，</w:t>
      </w:r>
      <w:proofErr w:type="gramStart"/>
      <w:r>
        <w:rPr>
          <w:rFonts w:hint="eastAsia"/>
        </w:rPr>
        <w:t>即施工</w:t>
      </w:r>
      <w:proofErr w:type="gramEnd"/>
      <w:r>
        <w:rPr>
          <w:rFonts w:hint="eastAsia"/>
        </w:rPr>
        <w:t>方向业主移交工程，业主进行造价审核进而编制结算表的方式移交工程，业主（投资方）按照会计准则规范进行固定资产入账核算。而境外企业多数是业主（投资方）、施工建设（建设方）和运营方分工进行，施工建设（建设方）向业主（投资方）整体交付，业主聘用专业运营商和职业经理人运营。采用资产基础法评估境外企业价值时，涉及各类固定资产的评估，按照国内做法，要求企业按照单台（套）设备、单栋（项）建筑填写并提供明细以及相关竣工结算资料，可能不具备操作性，多数评估实践，也就回避这一问题，即不采用资产基础法。我们研究部分评估实践认为，一方面，国内的实践做法（即按照资产明细逐项估值）并不必然是精确的，实际做法也是通过测算系数的方式进行的（除了案例），即使对明细资产逐项采用案例的做法估值，既没有必要，也并不一定就是所谓的准确的；另一方面，境外企业固定资产费用项目（也就是资产评估中的重置全价项目）一般来说相对规范，</w:t>
      </w:r>
      <w:r>
        <w:t>特别是资本化的费用项目，资产的价格信息公开透明且完整，通过测算价值系数的方式，完全可以满足重置成本的估值要求。</w:t>
      </w:r>
    </w:p>
    <w:p w14:paraId="13E21240" w14:textId="77777777" w:rsidR="00FA0363" w:rsidRDefault="00FA0363" w:rsidP="00FA0363">
      <w:pPr>
        <w:pStyle w:val="13"/>
      </w:pPr>
      <w:r>
        <w:t>16、采用资产基础法评估境外企业价值，超出会计折旧年限但仍在正常使用的经济寿命年限和成新率如何考虑？</w:t>
      </w:r>
    </w:p>
    <w:p w14:paraId="62E2EA74" w14:textId="77777777" w:rsidR="00FA0363" w:rsidRDefault="00FA0363" w:rsidP="00FA0363">
      <w:pPr>
        <w:pStyle w:val="13"/>
      </w:pPr>
      <w:r>
        <w:rPr>
          <w:rFonts w:hint="eastAsia"/>
        </w:rPr>
        <w:t>答：采用资产基础法评估境外企业价值，对一些长期资产的评估，判断并确定其经济寿命年限时，特别要注意考虑资产所在地相同或类似资产的经济寿命，以据此计算理论成新率。由于企业对资产的使用和维护方式不同，在可能的情况下，或聘请专家或充分听取企业资产使用或管理人员的意见，采用专家判定方式确定现场成新率。</w:t>
      </w:r>
    </w:p>
    <w:p w14:paraId="36494FBD" w14:textId="77777777" w:rsidR="00FA0363" w:rsidRDefault="00FA0363" w:rsidP="00FA0363">
      <w:pPr>
        <w:pStyle w:val="13"/>
      </w:pPr>
      <w:r>
        <w:rPr>
          <w:rFonts w:hint="eastAsia"/>
        </w:rPr>
        <w:lastRenderedPageBreak/>
        <w:t>资产评估专业人员应当知悉，并非所有长期资产都存在经济寿命年限，境外资产评估执业过程中，应重点关注土地、商标及其他使用年限不确定的无形资产等资产的实际受益期限，合理确定评估方法及评估参数。</w:t>
      </w:r>
    </w:p>
    <w:p w14:paraId="3584D935" w14:textId="77777777" w:rsidR="00FA0363" w:rsidRDefault="00FA0363" w:rsidP="00FA0363">
      <w:pPr>
        <w:pStyle w:val="13"/>
      </w:pPr>
      <w:r>
        <w:t>17、</w:t>
      </w:r>
      <w:proofErr w:type="gramStart"/>
      <w:r>
        <w:t>境外涉矿企业</w:t>
      </w:r>
      <w:proofErr w:type="gramEnd"/>
      <w:r>
        <w:t>价值评估中，如何利用矿产资源储量资料？</w:t>
      </w:r>
    </w:p>
    <w:p w14:paraId="448D8E09" w14:textId="77777777" w:rsidR="00FA0363" w:rsidRDefault="00FA0363" w:rsidP="00FA0363">
      <w:pPr>
        <w:pStyle w:val="13"/>
      </w:pPr>
      <w:r>
        <w:rPr>
          <w:rFonts w:hint="eastAsia"/>
        </w:rPr>
        <w:t>固体矿产资源储量的数量大小不是绝对的，是基于一定的“分类，定义”标准下的</w:t>
      </w:r>
      <w:r>
        <w:t>数量概念。不同的分类、定义，有不同级别、数量的矿产资源数量。不同国家有不同的矿产资源储量标准。同一矿产地采用不同的资源储量标准，数量存在差异，有时差异很大。包括联合国在内，各矿业大国一直在不断完善储量分类标准。澳大利亚的</w:t>
      </w:r>
      <w:proofErr w:type="spellStart"/>
      <w:r>
        <w:t>JORCCode</w:t>
      </w:r>
      <w:proofErr w:type="spellEnd"/>
      <w:r>
        <w:t>，加拿大CIM的NI43—101，南非SAMREC规则</w:t>
      </w:r>
      <w:proofErr w:type="gramStart"/>
      <w:r>
        <w:t>》</w:t>
      </w:r>
      <w:proofErr w:type="gramEnd"/>
      <w:r>
        <w:t>三个储量标准，不但是香港联交所规定的矿业公司披露矿产资源量、储量及╱或勘探结果的数据的准则，而且是全球矿业资本市场以及矿业交</w:t>
      </w:r>
      <w:r>
        <w:rPr>
          <w:rFonts w:hint="eastAsia"/>
        </w:rPr>
        <w:t>易市场普遍采用的储量标准。</w:t>
      </w:r>
      <w:proofErr w:type="gramStart"/>
      <w:r>
        <w:rPr>
          <w:rFonts w:hint="eastAsia"/>
        </w:rPr>
        <w:t>境外涉矿企业</w:t>
      </w:r>
      <w:proofErr w:type="gramEnd"/>
      <w:r>
        <w:rPr>
          <w:rFonts w:hint="eastAsia"/>
        </w:rPr>
        <w:t>价值评估中，通常收集到</w:t>
      </w:r>
      <w:r>
        <w:t>的矿产资源储量资料也一般是按照上述标准估算的。我们分析评估实践案例认为，实践中做法是可行的。即：一般来说，可以聘请国内的专业或专门机构（如矿产资源储量评审机构），也可以聘请独立的矿产地质专家，将按照上述国外标准估算的固体矿产资源储量转换为国内目前的《固体矿产资源/储量分类》（GB/T17766-1999）下的各类各级资源、储量，转换的结果，在相同或相似涵义下的资源储量类型的数量不小于国外标准下的资源储量数据时，可以直接采用国外标准下的资源储</w:t>
      </w:r>
      <w:r>
        <w:rPr>
          <w:rFonts w:hint="eastAsia"/>
        </w:rPr>
        <w:t>量数据确定相关评估参数（</w:t>
      </w:r>
      <w:proofErr w:type="gramStart"/>
      <w:r>
        <w:rPr>
          <w:rFonts w:hint="eastAsia"/>
        </w:rPr>
        <w:t>如收</w:t>
      </w:r>
      <w:r>
        <w:t>益</w:t>
      </w:r>
      <w:proofErr w:type="gramEnd"/>
      <w:r>
        <w:t>期、生产规模、井巷寿命年限等）；转换的结果，在相同或相似涵义下的资源储量类型的数量小于国外标准下的资源储量数据时，可能需要深入分析原因，如有可能的话，再</w:t>
      </w:r>
      <w:r>
        <w:rPr>
          <w:rFonts w:hint="eastAsia"/>
        </w:rPr>
        <w:t>聘请另外机构进行验证分析，在没有搞清楚原因的情况下，不建议直接采用或谨慎采用国外资源储量数据或国内数据确定相关评估参数。当然，相关部门对此有明确规定的，</w:t>
      </w:r>
      <w:r>
        <w:t>必须严格按照规定利用资源储量数据。</w:t>
      </w:r>
    </w:p>
    <w:p w14:paraId="058EC990" w14:textId="77777777" w:rsidR="00FA0363" w:rsidRDefault="00FA0363" w:rsidP="00FA0363">
      <w:pPr>
        <w:pStyle w:val="13"/>
      </w:pPr>
      <w:r>
        <w:t>18、境外资产评估项目，如何与交易对方所聘估值机构进行专业沟通？</w:t>
      </w:r>
    </w:p>
    <w:p w14:paraId="51D74811" w14:textId="77777777" w:rsidR="00FA0363" w:rsidRDefault="00FA0363" w:rsidP="00FA0363">
      <w:pPr>
        <w:pStyle w:val="13"/>
      </w:pPr>
      <w:r>
        <w:rPr>
          <w:rFonts w:hint="eastAsia"/>
        </w:rPr>
        <w:t>境外资产评估项目，特别是境外企业并购项目，很多时候都是并购双方分别聘请各自的估值机构，在进行到一定阶段（多数是估值最后阶段），双方评估师会就有关专业问题，包括专业判断问题进行沟通。对于境内企业并购境外企业的并购项目，就成为境内资产评估师与境外估值专业人员的沟通。如何有效的与境外估值专业人员沟通，帮助中国企业顺利实现并购，是境内资产评估师承做该类业务不可回避的问题。而有效沟通的前提是了解境外机构估值的一些做法。</w:t>
      </w:r>
    </w:p>
    <w:p w14:paraId="4AF49B34" w14:textId="77777777" w:rsidR="00FA0363" w:rsidRDefault="00FA0363" w:rsidP="00FA0363">
      <w:pPr>
        <w:pStyle w:val="13"/>
      </w:pPr>
      <w:r>
        <w:rPr>
          <w:rFonts w:hint="eastAsia"/>
        </w:rPr>
        <w:t>境外机构估值有很多不同于境内评估的做法。以收益法为例。例如，对于产品价格的预测，他们会客观、如实的披露自己采用了哪家分析</w:t>
      </w:r>
      <w:proofErr w:type="gramStart"/>
      <w:r>
        <w:rPr>
          <w:rFonts w:hint="eastAsia"/>
        </w:rPr>
        <w:t>师或者</w:t>
      </w:r>
      <w:proofErr w:type="gramEnd"/>
      <w:r>
        <w:rPr>
          <w:rFonts w:hint="eastAsia"/>
        </w:rPr>
        <w:t>数据公司或者经纪人的预测，一般是一个区间；对于采用收入增长率预测，他们会客观、如实的披露综合了哪些方面（包括估值雇主）的看法，如实将这些看法（具体增长率）加上自己的判</w:t>
      </w:r>
      <w:r>
        <w:rPr>
          <w:rFonts w:hint="eastAsia"/>
        </w:rPr>
        <w:lastRenderedPageBreak/>
        <w:t>断综合成一个区间；对于运营成本费用，他们就每一个成本费用项目，综合企业自身以及行业水平设计几种情景，进行分析组合形成一个区间；对于新增的资本支出，他们会与企业详细讨论企业未来改造计划、产能优化等资本开支项目，</w:t>
      </w:r>
      <w:proofErr w:type="gramStart"/>
      <w:r>
        <w:rPr>
          <w:rFonts w:hint="eastAsia"/>
        </w:rPr>
        <w:t>且初步</w:t>
      </w:r>
      <w:proofErr w:type="gramEnd"/>
      <w:r>
        <w:rPr>
          <w:rFonts w:hint="eastAsia"/>
        </w:rPr>
        <w:t>落实融资计划及资金来源，</w:t>
      </w:r>
      <w:r>
        <w:t>做出详细的投融资及还款计划，作为估值的依据，企业并购项目中，这些内容也会构成企业并购方案的内容之一；折现率（CAPM）具体参数确定，他们会根据每一个具体参数做出一个可能的范围，特别是企业特定风险报酬，会与企业展开讨论预计几个可能值形成区间范围，等等。如此，得出一个估值区间，并以有关估值乘数辅助验证。</w:t>
      </w:r>
    </w:p>
    <w:p w14:paraId="24F2EA5E" w14:textId="77777777" w:rsidR="00FA0363" w:rsidRDefault="00FA0363" w:rsidP="00FA0363">
      <w:pPr>
        <w:pStyle w:val="13"/>
      </w:pPr>
      <w:r>
        <w:rPr>
          <w:rFonts w:hint="eastAsia"/>
        </w:rPr>
        <w:t>境内企业价值评估的实践是，对于每一个评估参数（预测指标）都是一个确定的数字，得出的也是一个唯一的、确定的评估结果。这样与境外机构估值沟通时，就应当考虑每一个确定值参数的确定依据和未来的发生概率。承做境外资产评估项目，特别是境外企业并购估值项目，需要做好这个准备。</w:t>
      </w:r>
    </w:p>
    <w:p w14:paraId="1615CEC6" w14:textId="77777777" w:rsidR="00FA0363" w:rsidRDefault="00FA0363" w:rsidP="00FA0363">
      <w:pPr>
        <w:pStyle w:val="13"/>
      </w:pPr>
      <w:r>
        <w:rPr>
          <w:rFonts w:hint="eastAsia"/>
        </w:rPr>
        <w:t>本期参与解答专家：</w:t>
      </w:r>
    </w:p>
    <w:p w14:paraId="5DAA455D" w14:textId="38CBC04D" w:rsidR="00FA0363" w:rsidRDefault="00FA0363" w:rsidP="00FA0363">
      <w:pPr>
        <w:pStyle w:val="13"/>
      </w:pPr>
      <w:r>
        <w:rPr>
          <w:rFonts w:hint="eastAsia"/>
        </w:rPr>
        <w:t>王生龙</w:t>
      </w:r>
      <w:r w:rsidR="00ED0DA7">
        <w:rPr>
          <w:rFonts w:hint="eastAsia"/>
        </w:rPr>
        <w:t>、</w:t>
      </w:r>
      <w:r>
        <w:t>李业强</w:t>
      </w:r>
      <w:r w:rsidR="00ED0DA7">
        <w:rPr>
          <w:rFonts w:hint="eastAsia"/>
        </w:rPr>
        <w:t xml:space="preserve"> </w:t>
      </w:r>
      <w:r>
        <w:t>中</w:t>
      </w:r>
      <w:proofErr w:type="gramStart"/>
      <w:r>
        <w:t>联资产</w:t>
      </w:r>
      <w:proofErr w:type="gramEnd"/>
      <w:r>
        <w:t>评估集团有限公司</w:t>
      </w:r>
    </w:p>
    <w:p w14:paraId="6833ECE8" w14:textId="7B9D2E39" w:rsidR="00FA0363" w:rsidRDefault="00FA0363" w:rsidP="00FA0363">
      <w:pPr>
        <w:pStyle w:val="13"/>
      </w:pPr>
      <w:proofErr w:type="gramStart"/>
      <w:r>
        <w:t>郁宁</w:t>
      </w:r>
      <w:proofErr w:type="gramEnd"/>
      <w:r w:rsidR="00ED0DA7">
        <w:rPr>
          <w:rFonts w:hint="eastAsia"/>
        </w:rPr>
        <w:t xml:space="preserve"> </w:t>
      </w:r>
      <w:r>
        <w:t>北京中企</w:t>
      </w:r>
      <w:proofErr w:type="gramStart"/>
      <w:r>
        <w:t>华资产</w:t>
      </w:r>
      <w:proofErr w:type="gramEnd"/>
      <w:r>
        <w:t>评估有限责任公司</w:t>
      </w:r>
    </w:p>
    <w:p w14:paraId="2B145E3E" w14:textId="77777777" w:rsidR="00FA0363" w:rsidRDefault="00FA0363" w:rsidP="00FA0363">
      <w:pPr>
        <w:pStyle w:val="31"/>
        <w:spacing w:before="156" w:after="62"/>
      </w:pPr>
      <w:bookmarkStart w:id="113" w:name="_Toc81833375"/>
      <w:r>
        <w:rPr>
          <w:rFonts w:hint="eastAsia"/>
        </w:rPr>
        <w:t>北京资产评估协会专业技术委员会关于执行法院拟处置京牌小客车</w:t>
      </w:r>
      <w:r>
        <w:br w:type="textWrapping" w:clear="all"/>
      </w:r>
      <w:r>
        <w:rPr>
          <w:rFonts w:hint="eastAsia"/>
        </w:rPr>
        <w:t>资产评估业务的特别提示</w:t>
      </w:r>
      <w:bookmarkEnd w:id="113"/>
    </w:p>
    <w:p w14:paraId="477041D2" w14:textId="77777777" w:rsidR="00FA0363" w:rsidRDefault="00FA0363" w:rsidP="00FA0363">
      <w:pPr>
        <w:pStyle w:val="13"/>
      </w:pPr>
      <w:r>
        <w:rPr>
          <w:rFonts w:hint="eastAsia"/>
        </w:rPr>
        <w:t>为配合法院做好处置京牌小客车的评估工作，规范评估执业行为，北京资产评估协会专业技术委员会根据北京市高级人民法院相关文件要求，在调研和听取多方意见的基础上，针对该项业务有关事项做出特别提示。</w:t>
      </w:r>
    </w:p>
    <w:p w14:paraId="3899F233" w14:textId="77777777" w:rsidR="00FA0363" w:rsidRDefault="00FA0363" w:rsidP="00FA0363">
      <w:pPr>
        <w:pStyle w:val="13"/>
      </w:pPr>
      <w:r>
        <w:rPr>
          <w:rFonts w:hint="eastAsia"/>
        </w:rPr>
        <w:t>本</w:t>
      </w:r>
      <w:proofErr w:type="gramStart"/>
      <w:r>
        <w:rPr>
          <w:rFonts w:hint="eastAsia"/>
        </w:rPr>
        <w:t>提示仅</w:t>
      </w:r>
      <w:proofErr w:type="gramEnd"/>
      <w:r>
        <w:rPr>
          <w:rFonts w:hint="eastAsia"/>
        </w:rPr>
        <w:t>供评估机构及相关从业人员在执业时参考，不能替代相关法律法规、评估准则以及评估师职业判断。提示中所涉及评估程序的相关内容，评估机构及相关从业人员在执业中需结合项目实际情况、执业风险以及评估师的职业判断确定，不能直接照搬照抄。</w:t>
      </w:r>
    </w:p>
    <w:p w14:paraId="04ED715D" w14:textId="77777777" w:rsidR="00FA0363" w:rsidRDefault="00FA0363" w:rsidP="00FA0363">
      <w:pPr>
        <w:pStyle w:val="ab"/>
        <w:spacing w:before="62" w:after="62"/>
        <w:ind w:firstLine="482"/>
      </w:pPr>
      <w:r>
        <w:rPr>
          <w:rFonts w:hint="eastAsia"/>
        </w:rPr>
        <w:t>一、明确委托评估对象的价值内涵</w:t>
      </w:r>
    </w:p>
    <w:p w14:paraId="2422A04E" w14:textId="77777777" w:rsidR="00FA0363" w:rsidRDefault="00FA0363" w:rsidP="00FA0363">
      <w:pPr>
        <w:pStyle w:val="13"/>
      </w:pPr>
      <w:r>
        <w:rPr>
          <w:rFonts w:hint="eastAsia"/>
        </w:rPr>
        <w:t>根据委托方的要求，在与法院签署委托协议时，应明确委托评估对象的价值内涵为不含京牌牌照的小客车价值。</w:t>
      </w:r>
    </w:p>
    <w:p w14:paraId="5F6C878E" w14:textId="77777777" w:rsidR="00FA0363" w:rsidRDefault="00FA0363" w:rsidP="00FA0363">
      <w:pPr>
        <w:pStyle w:val="ab"/>
        <w:spacing w:before="62" w:after="62"/>
        <w:ind w:firstLine="482"/>
      </w:pPr>
      <w:r>
        <w:rPr>
          <w:rFonts w:hint="eastAsia"/>
        </w:rPr>
        <w:t>二、评估程序中的现场勘查</w:t>
      </w:r>
    </w:p>
    <w:p w14:paraId="61994DC4" w14:textId="77777777" w:rsidR="00FA0363" w:rsidRDefault="00FA0363" w:rsidP="00FA0363">
      <w:pPr>
        <w:pStyle w:val="13"/>
      </w:pPr>
      <w:r>
        <w:rPr>
          <w:rFonts w:hint="eastAsia"/>
        </w:rPr>
        <w:t>由于法院委托评估的京牌小客车与二手车交易市场正常交易的旧机动车相比，具有封存时间长、部分车辆的档案不齐全、现场勘查和技术测试的评估程序受限等现实情况，</w:t>
      </w:r>
      <w:r>
        <w:t>评估人员在进行现场勘查时除应履行评估准则规定的勘查程序外，还应关注法院查封车辆的上述特殊情况对评估结果的影响。具体应履行以下重点程序：</w:t>
      </w:r>
    </w:p>
    <w:p w14:paraId="514949B8" w14:textId="77777777" w:rsidR="00FA0363" w:rsidRDefault="00FA0363" w:rsidP="00FA0363">
      <w:pPr>
        <w:pStyle w:val="13"/>
      </w:pPr>
      <w:r>
        <w:t>1、权属状况</w:t>
      </w:r>
    </w:p>
    <w:p w14:paraId="039DF8CE" w14:textId="77777777" w:rsidR="00FA0363" w:rsidRDefault="00FA0363" w:rsidP="00FA0363">
      <w:pPr>
        <w:pStyle w:val="13"/>
      </w:pPr>
      <w:r>
        <w:rPr>
          <w:rFonts w:hint="eastAsia"/>
        </w:rPr>
        <w:lastRenderedPageBreak/>
        <w:t>（</w:t>
      </w:r>
      <w:r>
        <w:t>1）根据法院提供的由车管所出具的车辆查询登记表，尽可能收集机动车登记证书、行驶证等基础资料与车辆查询登记表信息进行核对。当机动车登记证书、行驶证无法取得时，应以车辆查询登记表记载的信息为基础与车架号、发动机号等车辆自身信息进行核对。</w:t>
      </w:r>
    </w:p>
    <w:p w14:paraId="5E5EABF5" w14:textId="77777777" w:rsidR="00FA0363" w:rsidRDefault="00FA0363" w:rsidP="00FA0363">
      <w:pPr>
        <w:pStyle w:val="13"/>
      </w:pPr>
      <w:r>
        <w:t>2、技术状况</w:t>
      </w:r>
    </w:p>
    <w:p w14:paraId="70F7CDE3" w14:textId="77777777" w:rsidR="00FA0363" w:rsidRDefault="00FA0363" w:rsidP="00FA0363">
      <w:pPr>
        <w:pStyle w:val="13"/>
      </w:pPr>
      <w:r>
        <w:rPr>
          <w:rFonts w:hint="eastAsia"/>
        </w:rPr>
        <w:t>（</w:t>
      </w:r>
      <w:r>
        <w:t>1）勘查时记录查封时间，查看车辆上的封条或向法院收集查封资料，并做好评估对象基本情况信息（包括车辆类别、名称、型号、生产厂家、初次登记日期、表征行驶里程等）的登记工作。</w:t>
      </w:r>
    </w:p>
    <w:p w14:paraId="6DA26F47" w14:textId="77777777" w:rsidR="00FA0363" w:rsidRDefault="00FA0363" w:rsidP="00FA0363">
      <w:pPr>
        <w:pStyle w:val="13"/>
      </w:pPr>
      <w:r>
        <w:rPr>
          <w:rFonts w:hint="eastAsia"/>
        </w:rPr>
        <w:t>（</w:t>
      </w:r>
      <w:r>
        <w:t>2）按照车身、发动机舱、驾驶舱、底盘、启动、路试等项目顺序检查车辆技术状</w:t>
      </w:r>
      <w:r>
        <w:rPr>
          <w:rFonts w:hint="eastAsia"/>
        </w:rPr>
        <w:t>况，具体可参考《二手车鉴定评估技术规范》相关内容判别车辆是否发生过碰撞、火烧等事故，确定车体结构是否完好无损、有无事故痕迹等，并对</w:t>
      </w:r>
      <w:proofErr w:type="gramStart"/>
      <w:r>
        <w:rPr>
          <w:rFonts w:hint="eastAsia"/>
        </w:rPr>
        <w:t>委估对象</w:t>
      </w:r>
      <w:proofErr w:type="gramEnd"/>
      <w:r>
        <w:rPr>
          <w:rFonts w:hint="eastAsia"/>
        </w:rPr>
        <w:t>前端、尾部、侧面、内饰（包括但不限于方向盘、档位、车座）、外观、发动机等方位进行拍摄。</w:t>
      </w:r>
    </w:p>
    <w:p w14:paraId="0B93F3B4" w14:textId="77777777" w:rsidR="00FA0363" w:rsidRDefault="00FA0363" w:rsidP="00FA0363">
      <w:pPr>
        <w:pStyle w:val="13"/>
      </w:pPr>
      <w:r>
        <w:rPr>
          <w:rFonts w:hint="eastAsia"/>
        </w:rPr>
        <w:t>（</w:t>
      </w:r>
      <w:r>
        <w:t>3）因客观因素限制无法开仓检查相关要件且进行启动、路试的，应详细记录原因，并结合车辆登记时间、行驶里程数、查封时间等合理推断车辆的技术状况。若无法合理推断时，可以聘请专业技术人员协助。</w:t>
      </w:r>
    </w:p>
    <w:p w14:paraId="45F8EC13" w14:textId="77777777" w:rsidR="00FA0363" w:rsidRDefault="00FA0363" w:rsidP="00FA0363">
      <w:pPr>
        <w:pStyle w:val="ab"/>
        <w:spacing w:before="62" w:after="62"/>
        <w:ind w:firstLine="482"/>
      </w:pPr>
      <w:r>
        <w:rPr>
          <w:rFonts w:hint="eastAsia"/>
        </w:rPr>
        <w:t>三、评估方法</w:t>
      </w:r>
    </w:p>
    <w:p w14:paraId="79856AC4" w14:textId="77777777" w:rsidR="00FA0363" w:rsidRDefault="00FA0363" w:rsidP="00FA0363">
      <w:pPr>
        <w:pStyle w:val="13"/>
      </w:pPr>
      <w:r>
        <w:rPr>
          <w:rFonts w:hint="eastAsia"/>
        </w:rPr>
        <w:t>评估人员应根据评估对象及其能收集到的资料，分析所选评估方法的适用性，恰当选择与评估目的等评估要素匹配的评估方法。</w:t>
      </w:r>
    </w:p>
    <w:p w14:paraId="0E5DE78E" w14:textId="77777777" w:rsidR="00FA0363" w:rsidRDefault="00FA0363" w:rsidP="00FA0363">
      <w:pPr>
        <w:pStyle w:val="13"/>
      </w:pPr>
      <w:r>
        <w:rPr>
          <w:rFonts w:hint="eastAsia"/>
        </w:rPr>
        <w:t>（一）市场法</w:t>
      </w:r>
    </w:p>
    <w:p w14:paraId="4388D9EC" w14:textId="77777777" w:rsidR="00FA0363" w:rsidRDefault="00FA0363" w:rsidP="00FA0363">
      <w:pPr>
        <w:pStyle w:val="13"/>
      </w:pPr>
      <w:r>
        <w:t>1、评估人员应知晓参照物与评估对象具有相似性和可比性是运用市场法的基础，恰当使用市场法对参照物与评估对象的差异进行调整；</w:t>
      </w:r>
    </w:p>
    <w:p w14:paraId="741D1A6F" w14:textId="77777777" w:rsidR="00FA0363" w:rsidRDefault="00FA0363" w:rsidP="00FA0363">
      <w:pPr>
        <w:pStyle w:val="13"/>
      </w:pPr>
      <w:r>
        <w:t>2、慎重使用该类业务以往的成交案例作为可比案例；</w:t>
      </w:r>
    </w:p>
    <w:p w14:paraId="1B8BFD27" w14:textId="77777777" w:rsidR="00FA0363" w:rsidRDefault="00FA0363" w:rsidP="00FA0363">
      <w:pPr>
        <w:pStyle w:val="13"/>
      </w:pPr>
      <w:r>
        <w:t>3、评估价值的确定可以参考《二手车鉴定评估技术规范》相关内容，但应当知晓该规范是对各部分状况进行打分，得出技术状况的总分值后才可进行比较和因素修正。</w:t>
      </w:r>
    </w:p>
    <w:p w14:paraId="647B7923" w14:textId="77777777" w:rsidR="00FA0363" w:rsidRDefault="00FA0363" w:rsidP="00FA0363">
      <w:pPr>
        <w:pStyle w:val="13"/>
      </w:pPr>
      <w:r>
        <w:rPr>
          <w:rFonts w:hint="eastAsia"/>
        </w:rPr>
        <w:t>（二）成本法</w:t>
      </w:r>
    </w:p>
    <w:p w14:paraId="6FE327DA" w14:textId="77777777" w:rsidR="00FA0363" w:rsidRDefault="00FA0363" w:rsidP="00FA0363">
      <w:pPr>
        <w:pStyle w:val="13"/>
      </w:pPr>
      <w:r>
        <w:t>1、受客观条件所限、无法对车辆的部分技术状况进行现场勘查的，应结合查封时间长短、车检和保养情况等考虑该部分的技术状况对成新率的影响；</w:t>
      </w:r>
    </w:p>
    <w:p w14:paraId="787CC4DC" w14:textId="77777777" w:rsidR="00FA0363" w:rsidRDefault="00FA0363" w:rsidP="00FA0363">
      <w:pPr>
        <w:pStyle w:val="13"/>
      </w:pPr>
      <w:r>
        <w:t>2、在计算成新率时，应关注被评估车辆经济寿命年限、行驶里程与强制报废标准存在的差异对车辆成新率的影响；</w:t>
      </w:r>
    </w:p>
    <w:p w14:paraId="65993710" w14:textId="77777777" w:rsidR="00FA0363" w:rsidRDefault="00FA0363" w:rsidP="00FA0363">
      <w:pPr>
        <w:pStyle w:val="13"/>
      </w:pPr>
      <w:r>
        <w:t>3、评估结论应与正常市场交易价格具有可比性。</w:t>
      </w:r>
    </w:p>
    <w:p w14:paraId="41E2467E" w14:textId="77777777" w:rsidR="00FA0363" w:rsidRDefault="00FA0363" w:rsidP="00FA0363">
      <w:pPr>
        <w:pStyle w:val="ab"/>
        <w:spacing w:before="62" w:after="62"/>
        <w:ind w:firstLine="482"/>
      </w:pPr>
      <w:r>
        <w:lastRenderedPageBreak/>
        <w:t>四、价值类型</w:t>
      </w:r>
    </w:p>
    <w:p w14:paraId="20B715E9" w14:textId="77777777" w:rsidR="00FA0363" w:rsidRDefault="00FA0363" w:rsidP="00FA0363">
      <w:pPr>
        <w:pStyle w:val="13"/>
      </w:pPr>
      <w:r>
        <w:rPr>
          <w:rFonts w:hint="eastAsia"/>
        </w:rPr>
        <w:t>该类业务的价值类型应确定为市场价值。</w:t>
      </w:r>
    </w:p>
    <w:p w14:paraId="2AD03FB9" w14:textId="77777777" w:rsidR="00FA0363" w:rsidRDefault="00FA0363" w:rsidP="00FA0363">
      <w:pPr>
        <w:pStyle w:val="ab"/>
        <w:spacing w:before="62" w:after="62"/>
        <w:ind w:firstLine="482"/>
      </w:pPr>
      <w:r>
        <w:rPr>
          <w:rFonts w:hint="eastAsia"/>
        </w:rPr>
        <w:t>五、报告格式</w:t>
      </w:r>
    </w:p>
    <w:p w14:paraId="122958E7" w14:textId="77777777" w:rsidR="00FA0363" w:rsidRDefault="00FA0363" w:rsidP="00FA0363">
      <w:pPr>
        <w:pStyle w:val="13"/>
      </w:pPr>
      <w:r>
        <w:rPr>
          <w:rFonts w:hint="eastAsia"/>
        </w:rPr>
        <w:t>（一）根据法院委托评估对象的特点，结合委托方的要求，合理确定评估报告的详略程度。</w:t>
      </w:r>
    </w:p>
    <w:p w14:paraId="57444E56" w14:textId="77777777" w:rsidR="00FA0363" w:rsidRDefault="00FA0363" w:rsidP="00FA0363">
      <w:pPr>
        <w:pStyle w:val="13"/>
      </w:pPr>
      <w:r>
        <w:rPr>
          <w:rFonts w:hint="eastAsia"/>
        </w:rPr>
        <w:t>（二）重点对评估程序中现场勘查的主要结论及程序受限情况予以描述，对于推断的结论应重点阐述推断过程。</w:t>
      </w:r>
    </w:p>
    <w:p w14:paraId="727E30D3" w14:textId="77777777" w:rsidR="00FA0363" w:rsidRDefault="00FA0363" w:rsidP="00FA0363">
      <w:pPr>
        <w:pStyle w:val="13"/>
      </w:pPr>
      <w:r>
        <w:rPr>
          <w:rFonts w:hint="eastAsia"/>
        </w:rPr>
        <w:t>（三）由于被评估对象有一车一况，</w:t>
      </w:r>
      <w:proofErr w:type="gramStart"/>
      <w:r>
        <w:rPr>
          <w:rFonts w:hint="eastAsia"/>
        </w:rPr>
        <w:t>一况</w:t>
      </w:r>
      <w:proofErr w:type="gramEnd"/>
      <w:r>
        <w:rPr>
          <w:rFonts w:hint="eastAsia"/>
        </w:rPr>
        <w:t>一价的属性，应在报告说明中单独对被评估的每辆车进行描述。</w:t>
      </w:r>
    </w:p>
    <w:p w14:paraId="6E240AF5" w14:textId="77777777" w:rsidR="00FA0363" w:rsidRDefault="00FA0363" w:rsidP="00FA0363">
      <w:pPr>
        <w:pStyle w:val="ab"/>
        <w:spacing w:before="62" w:after="62"/>
        <w:ind w:firstLine="482"/>
      </w:pPr>
      <w:r>
        <w:rPr>
          <w:rFonts w:hint="eastAsia"/>
        </w:rPr>
        <w:t>六、披露事项</w:t>
      </w:r>
    </w:p>
    <w:p w14:paraId="77C54007" w14:textId="77777777" w:rsidR="00FA0363" w:rsidRDefault="00FA0363" w:rsidP="00FA0363">
      <w:pPr>
        <w:pStyle w:val="13"/>
      </w:pPr>
      <w:r>
        <w:rPr>
          <w:rFonts w:hint="eastAsia"/>
        </w:rPr>
        <w:t>（一）明确评估结果为不含京牌牌照的价值。</w:t>
      </w:r>
    </w:p>
    <w:p w14:paraId="65364374" w14:textId="77777777" w:rsidR="00FA0363" w:rsidRDefault="00FA0363" w:rsidP="00FA0363">
      <w:pPr>
        <w:pStyle w:val="13"/>
      </w:pPr>
      <w:r>
        <w:rPr>
          <w:rFonts w:hint="eastAsia"/>
        </w:rPr>
        <w:t>（二）评估报告仅对车辆的价值发表意见，不对权属发表意见。</w:t>
      </w:r>
    </w:p>
    <w:p w14:paraId="6DC69D2B" w14:textId="77777777" w:rsidR="00FA0363" w:rsidRDefault="00FA0363" w:rsidP="00FA0363">
      <w:pPr>
        <w:pStyle w:val="13"/>
      </w:pPr>
      <w:r>
        <w:rPr>
          <w:rFonts w:hint="eastAsia"/>
        </w:rPr>
        <w:t>（三）对评估程序受限事项，包括但不限于勘察、事故咨询等，应予以详细披露。</w:t>
      </w:r>
    </w:p>
    <w:p w14:paraId="77886744" w14:textId="77777777" w:rsidR="00FA0363" w:rsidRDefault="00FA0363" w:rsidP="00FA0363">
      <w:pPr>
        <w:pStyle w:val="13"/>
      </w:pPr>
      <w:r>
        <w:rPr>
          <w:rFonts w:hint="eastAsia"/>
        </w:rPr>
        <w:t>（四）评估报告只能用于载明的评估目的和用途。</w:t>
      </w:r>
    </w:p>
    <w:p w14:paraId="46EE843A" w14:textId="77777777" w:rsidR="00FA0363" w:rsidRDefault="00FA0363" w:rsidP="00FA0363">
      <w:pPr>
        <w:pStyle w:val="13"/>
      </w:pPr>
      <w:r>
        <w:rPr>
          <w:rFonts w:hint="eastAsia"/>
        </w:rPr>
        <w:t>（五）评估报告使用有效期超过一年，应重新评估。</w:t>
      </w:r>
    </w:p>
    <w:p w14:paraId="47538DE5" w14:textId="77777777" w:rsidR="00FA0363" w:rsidRDefault="00FA0363" w:rsidP="00FA0363">
      <w:pPr>
        <w:pStyle w:val="13"/>
        <w:jc w:val="right"/>
      </w:pPr>
      <w:r>
        <w:t>2016.9.18</w:t>
      </w:r>
    </w:p>
    <w:p w14:paraId="6B776873" w14:textId="22A295C1" w:rsidR="00FA0363" w:rsidRDefault="00FA0363" w:rsidP="00FA0363">
      <w:pPr>
        <w:pStyle w:val="31"/>
        <w:spacing w:before="156" w:after="62"/>
      </w:pPr>
      <w:bookmarkStart w:id="114" w:name="_Toc81833376"/>
      <w:r>
        <w:rPr>
          <w:rFonts w:hint="eastAsia"/>
        </w:rPr>
        <w:t>北京资产评估协会资产评估专业技术委员会执业问题解答〔</w:t>
      </w:r>
      <w:r>
        <w:t>2019〕年第1期</w:t>
      </w:r>
      <w:r>
        <w:br/>
        <w:t>—关于权属资料的核查验证</w:t>
      </w:r>
      <w:bookmarkEnd w:id="114"/>
    </w:p>
    <w:p w14:paraId="5EEEF0F2" w14:textId="6F8F5C22" w:rsidR="00FA0363" w:rsidRDefault="00FA0363" w:rsidP="00FA0363">
      <w:pPr>
        <w:pStyle w:val="ab"/>
        <w:spacing w:before="62" w:after="62"/>
        <w:ind w:firstLine="482"/>
      </w:pPr>
      <w:r>
        <w:rPr>
          <w:rFonts w:hint="eastAsia"/>
        </w:rPr>
        <w:t>第一部分</w:t>
      </w:r>
      <w:r w:rsidR="00F811C3">
        <w:rPr>
          <w:rFonts w:hint="eastAsia"/>
        </w:rPr>
        <w:t xml:space="preserve"> </w:t>
      </w:r>
      <w:r>
        <w:t>特别提示</w:t>
      </w:r>
    </w:p>
    <w:p w14:paraId="0F9E66C8" w14:textId="77777777" w:rsidR="00FA0363" w:rsidRDefault="00FA0363" w:rsidP="00FA0363">
      <w:pPr>
        <w:pStyle w:val="13"/>
      </w:pPr>
      <w:r>
        <w:rPr>
          <w:rFonts w:hint="eastAsia"/>
        </w:rPr>
        <w:t>《资产评估法》第十三条规定了评估专业人员应当履行的义务，对评估活动中使用的有关文件、证明和资料的真实性、准确性、完整性进行核查和验证。第四章评估程序第二十五条规定，评估专业人员应当根据评估业务具体情况，对评估对象进行现场调查，收集权属证明、财务会计信息和其他资料并进行核查验证、分析整理，作为评估的依据。《资产评估基本准则》资产评估程序第十五条规定，资产评估专业人员应当依法对资产评估活动中使用的资料进行核查和验证。核查验证成为目前评估实践中资产评估专业人员普遍关注的问题。</w:t>
      </w:r>
    </w:p>
    <w:p w14:paraId="4AD9CB97" w14:textId="77777777" w:rsidR="00FA0363" w:rsidRDefault="00FA0363" w:rsidP="00FA0363">
      <w:pPr>
        <w:pStyle w:val="13"/>
      </w:pPr>
      <w:r>
        <w:rPr>
          <w:rFonts w:hint="eastAsia"/>
        </w:rPr>
        <w:t>北京资产评估协会资产评估专业技术委员会就不动产产权登记及权属有关政策问题，邀请了自然资源部不动产登记中心有关领导专家进行现场咨询研讨，并组织业内专家对权属资料的核查验证部分评估实践问题思路进行了初步归纳，对有关问题做了相应解答，并经自然资源部不动产登记中心有关专家审定，与船舶、专利、计算机软件、军队不动产的权属资料核查验证有关问题一起形成本问答，供大家在资产评估业务实践中参考。</w:t>
      </w:r>
    </w:p>
    <w:p w14:paraId="20643DE5" w14:textId="77777777" w:rsidR="00FA0363" w:rsidRDefault="00FA0363" w:rsidP="00FA0363">
      <w:pPr>
        <w:pStyle w:val="13"/>
      </w:pPr>
      <w:r>
        <w:rPr>
          <w:rFonts w:hint="eastAsia"/>
        </w:rPr>
        <w:t>本</w:t>
      </w:r>
      <w:proofErr w:type="gramStart"/>
      <w:r>
        <w:rPr>
          <w:rFonts w:hint="eastAsia"/>
        </w:rPr>
        <w:t>解答仅</w:t>
      </w:r>
      <w:proofErr w:type="gramEnd"/>
      <w:r>
        <w:rPr>
          <w:rFonts w:hint="eastAsia"/>
        </w:rPr>
        <w:t>根据部分评估实践归纳形成，提出的有关看法仅代表起草专家个人的</w:t>
      </w:r>
      <w:r>
        <w:rPr>
          <w:rFonts w:hint="eastAsia"/>
        </w:rPr>
        <w:lastRenderedPageBreak/>
        <w:t>观点，不是对相关法律法规、资产评估执业准则的解读，也不能替代资产评估专业人员个人的职业判断。在执业中资产评估专业人员应结合项目实际情况、自身职业判断合理使用，不能直接照搬照抄。</w:t>
      </w:r>
    </w:p>
    <w:p w14:paraId="40A72C18" w14:textId="69CE6E39" w:rsidR="00FA0363" w:rsidRDefault="00FA0363" w:rsidP="00FA0363">
      <w:pPr>
        <w:pStyle w:val="ab"/>
        <w:spacing w:before="62" w:after="62"/>
        <w:ind w:firstLine="482"/>
      </w:pPr>
      <w:r>
        <w:rPr>
          <w:rFonts w:hint="eastAsia"/>
        </w:rPr>
        <w:t>第二部分</w:t>
      </w:r>
      <w:r w:rsidR="00F811C3">
        <w:rPr>
          <w:rFonts w:hint="eastAsia"/>
        </w:rPr>
        <w:t xml:space="preserve"> </w:t>
      </w:r>
      <w:r>
        <w:t>问题目录（略）</w:t>
      </w:r>
    </w:p>
    <w:p w14:paraId="68536D82" w14:textId="2F6773E0" w:rsidR="00FA0363" w:rsidRDefault="00FA0363" w:rsidP="00FA0363">
      <w:pPr>
        <w:pStyle w:val="ab"/>
        <w:spacing w:before="62" w:after="62"/>
        <w:ind w:firstLine="482"/>
      </w:pPr>
      <w:r>
        <w:rPr>
          <w:rFonts w:hint="eastAsia"/>
        </w:rPr>
        <w:t>第三部分</w:t>
      </w:r>
      <w:r w:rsidR="00F811C3">
        <w:rPr>
          <w:rFonts w:hint="eastAsia"/>
        </w:rPr>
        <w:t xml:space="preserve"> </w:t>
      </w:r>
      <w:r>
        <w:t>问题解答</w:t>
      </w:r>
    </w:p>
    <w:p w14:paraId="639CF76E" w14:textId="77777777" w:rsidR="00FA0363" w:rsidRDefault="00FA0363" w:rsidP="00FA0363">
      <w:pPr>
        <w:pStyle w:val="ab"/>
        <w:spacing w:before="62" w:after="62"/>
        <w:ind w:firstLine="482"/>
      </w:pPr>
      <w:r>
        <w:t>1.</w:t>
      </w:r>
      <w:r>
        <w:tab/>
        <w:t>什么是权属证明或凭证？什么文件代表真正的权属？二者的关系是什么？</w:t>
      </w:r>
    </w:p>
    <w:p w14:paraId="17CD23AF" w14:textId="77777777" w:rsidR="00FA0363" w:rsidRDefault="00FA0363" w:rsidP="00FA0363">
      <w:pPr>
        <w:pStyle w:val="13"/>
      </w:pPr>
      <w:r>
        <w:rPr>
          <w:rFonts w:hint="eastAsia"/>
        </w:rPr>
        <w:t>不动产权属证书，是指在不动产登记机构对不动产情况进行审查、登记后，颁发给不动产权利人用于证明其享有不动产权利的证书。不动产权属证书是某人享有不动产物权的凭证，当事人之间发生权属争议时，应依据登记簿记载的权利状况来解决纷争，确认权利。</w:t>
      </w:r>
    </w:p>
    <w:p w14:paraId="33DEB98E" w14:textId="77777777" w:rsidR="00FA0363" w:rsidRDefault="00FA0363" w:rsidP="00FA0363">
      <w:pPr>
        <w:pStyle w:val="13"/>
      </w:pPr>
      <w:r>
        <w:rPr>
          <w:rFonts w:hint="eastAsia"/>
        </w:rPr>
        <w:t>一般情况下，不动产登记权属证书反映的权利状况与不动产登记簿记载的内容是一致的，但在它们不一致的情况下，应当依据什么情况来确认物权的归属呢？我国</w:t>
      </w:r>
    </w:p>
    <w:p w14:paraId="02815348" w14:textId="77777777" w:rsidR="00FA0363" w:rsidRDefault="00FA0363" w:rsidP="00FA0363">
      <w:pPr>
        <w:pStyle w:val="13"/>
      </w:pPr>
      <w:r>
        <w:rPr>
          <w:rFonts w:hint="eastAsia"/>
        </w:rPr>
        <w:t>《物权法》第</w:t>
      </w:r>
      <w:r>
        <w:t>17条规定：不动产</w:t>
      </w:r>
      <w:proofErr w:type="gramStart"/>
      <w:r>
        <w:t>权属证</w:t>
      </w:r>
      <w:proofErr w:type="gramEnd"/>
      <w:r>
        <w:t>记载的事项，应当与不动产登记簿一致，记载不一致的除有证据证明不动产登记簿有错误外，以不动产登记簿为准。不动产登记簿的证明力强于不动产登记权属证书。</w:t>
      </w:r>
    </w:p>
    <w:p w14:paraId="3664AAB4" w14:textId="77777777" w:rsidR="00FA0363" w:rsidRDefault="00FA0363" w:rsidP="00FA0363">
      <w:pPr>
        <w:pStyle w:val="13"/>
      </w:pPr>
      <w:r>
        <w:rPr>
          <w:rFonts w:hint="eastAsia"/>
        </w:rPr>
        <w:t>不动产登记簿是指用于记载不动产现状以及与该不动产相关的权利关系的簿册。不动产登记簿由登记机构管理。《物权法》</w:t>
      </w:r>
      <w:r>
        <w:t>16条第一款“不动产登记簿是物权归属和内容的根据。”即不动产登记簿应当是不动产物权的法律依据。不动产权属证书是不动产登记簿的外在表现形式，其应当以不动产登记簿为根据。</w:t>
      </w:r>
    </w:p>
    <w:p w14:paraId="4EF5820D" w14:textId="77777777" w:rsidR="00FA0363" w:rsidRDefault="00FA0363" w:rsidP="00FA0363">
      <w:pPr>
        <w:pStyle w:val="ab"/>
        <w:spacing w:before="62" w:after="62"/>
        <w:ind w:firstLine="482"/>
      </w:pPr>
      <w:r>
        <w:t>2.</w:t>
      </w:r>
      <w:r>
        <w:tab/>
        <w:t>为什么说权属证明或凭证不能绝对认定权属的真伪？</w:t>
      </w:r>
    </w:p>
    <w:p w14:paraId="3B8B0237" w14:textId="77777777" w:rsidR="00FA0363" w:rsidRDefault="00FA0363" w:rsidP="00FA0363">
      <w:pPr>
        <w:pStyle w:val="13"/>
      </w:pPr>
      <w:r>
        <w:rPr>
          <w:rFonts w:hint="eastAsia"/>
        </w:rPr>
        <w:t>如上，不动产登记权属证书反映的权利状况与不动产登记簿记载的内容有可能不一致，而且，不动产登记簿是由登记机构管理，不动产登记权属证书是权利人保存</w:t>
      </w:r>
      <w:r>
        <w:t>的，所以，不排除权利人自身以及其他人对权属证明的修改、伪造以及过失误用、故意误用，作废等情形。</w:t>
      </w:r>
    </w:p>
    <w:p w14:paraId="5EE0DB7C" w14:textId="77777777" w:rsidR="00FA0363" w:rsidRDefault="00FA0363" w:rsidP="00FA0363">
      <w:pPr>
        <w:pStyle w:val="13"/>
      </w:pPr>
      <w:r>
        <w:rPr>
          <w:rFonts w:hint="eastAsia"/>
        </w:rPr>
        <w:t>经咨询法律专业人士，主流观点认为，</w:t>
      </w:r>
      <w:proofErr w:type="gramStart"/>
      <w:r>
        <w:rPr>
          <w:rFonts w:hint="eastAsia"/>
        </w:rPr>
        <w:t>单依据</w:t>
      </w:r>
      <w:proofErr w:type="gramEnd"/>
      <w:r>
        <w:rPr>
          <w:rFonts w:hint="eastAsia"/>
        </w:rPr>
        <w:t>不动产登记权属证书判定权属真</w:t>
      </w:r>
      <w:r>
        <w:t>伪，显然是片面的。核实权属也只有一条途径，即：核实不动产登记权属证书反映的权利状况与不动产登记簿记载的内容的一致性。</w:t>
      </w:r>
    </w:p>
    <w:p w14:paraId="73510646" w14:textId="77777777" w:rsidR="00FA0363" w:rsidRDefault="00FA0363" w:rsidP="00FA0363">
      <w:pPr>
        <w:pStyle w:val="13"/>
      </w:pPr>
      <w:r>
        <w:rPr>
          <w:rFonts w:hint="eastAsia"/>
        </w:rPr>
        <w:t>我们认为，评估实践中，常以权属证书不全或缺失，就认定“产权瑕疵”，是不严谨的，属证书不全或缺失充其量是权属资料或证明瑕疵，而不是产权的瑕疵；权属证书齐全充其量是权属资料或证明完整，而不能绝对认定产权无瑕疵。</w:t>
      </w:r>
    </w:p>
    <w:p w14:paraId="066AB0A8" w14:textId="77777777" w:rsidR="00FA0363" w:rsidRDefault="00FA0363" w:rsidP="00FA0363">
      <w:pPr>
        <w:pStyle w:val="13"/>
      </w:pPr>
      <w:r>
        <w:rPr>
          <w:rFonts w:hint="eastAsia"/>
        </w:rPr>
        <w:t>我们认为，在目前法律框架内，评估</w:t>
      </w:r>
      <w:proofErr w:type="gramStart"/>
      <w:r>
        <w:rPr>
          <w:rFonts w:hint="eastAsia"/>
        </w:rPr>
        <w:t>师依法</w:t>
      </w:r>
      <w:proofErr w:type="gramEnd"/>
      <w:r>
        <w:rPr>
          <w:rFonts w:hint="eastAsia"/>
        </w:rPr>
        <w:t>不具有查询</w:t>
      </w:r>
      <w:proofErr w:type="gramStart"/>
      <w:r>
        <w:rPr>
          <w:rFonts w:hint="eastAsia"/>
        </w:rPr>
        <w:t>不</w:t>
      </w:r>
      <w:proofErr w:type="gramEnd"/>
      <w:r>
        <w:rPr>
          <w:rFonts w:hint="eastAsia"/>
        </w:rPr>
        <w:t>定产权属资料（包括登记簿和登记原始资料）的权限，进而无法核实不动产登记权属证书反映的权利状况与不动产登记簿记载的内容的一致性，也就无法做到所谓的“核查验证”。</w:t>
      </w:r>
    </w:p>
    <w:p w14:paraId="4607CF02" w14:textId="77777777" w:rsidR="00FA0363" w:rsidRDefault="00FA0363" w:rsidP="00FA0363">
      <w:pPr>
        <w:pStyle w:val="13"/>
      </w:pPr>
      <w:r>
        <w:rPr>
          <w:rFonts w:hint="eastAsia"/>
        </w:rPr>
        <w:lastRenderedPageBreak/>
        <w:t>据悉，目前有关部门正在研究起草《不动产法》，建议有关部门与自然资源部门联系协调，将评估师列为不动产权属查询合法主体，进而真正实现评估师对权属资料</w:t>
      </w:r>
      <w:r>
        <w:t>“三性”的核查验证。</w:t>
      </w:r>
    </w:p>
    <w:p w14:paraId="349D5F7C" w14:textId="77777777" w:rsidR="00FA0363" w:rsidRDefault="00FA0363" w:rsidP="00FA0363">
      <w:pPr>
        <w:pStyle w:val="ab"/>
        <w:spacing w:before="62" w:after="62"/>
        <w:ind w:firstLine="482"/>
      </w:pPr>
      <w:r>
        <w:t>3.</w:t>
      </w:r>
      <w:r>
        <w:tab/>
        <w:t>当前，有效的不动产产权证明或凭证有哪些类型？</w:t>
      </w:r>
    </w:p>
    <w:p w14:paraId="1464F722" w14:textId="77777777" w:rsidR="00FA0363" w:rsidRDefault="00FA0363" w:rsidP="00FA0363">
      <w:pPr>
        <w:pStyle w:val="13"/>
      </w:pPr>
      <w:r>
        <w:rPr>
          <w:rFonts w:hint="eastAsia"/>
        </w:rPr>
        <w:t>不动产登记簿采取电子介质，并具有唯一、确定的纸质转化形式。不动产登记簿以宗地、宗海为单位编制，</w:t>
      </w:r>
      <w:proofErr w:type="gramStart"/>
      <w:r>
        <w:rPr>
          <w:rFonts w:hint="eastAsia"/>
        </w:rPr>
        <w:t>一</w:t>
      </w:r>
      <w:proofErr w:type="gramEnd"/>
      <w:r>
        <w:rPr>
          <w:rFonts w:hint="eastAsia"/>
        </w:rPr>
        <w:t>宗地或者一宗</w:t>
      </w:r>
      <w:proofErr w:type="gramStart"/>
      <w:r>
        <w:rPr>
          <w:rFonts w:hint="eastAsia"/>
        </w:rPr>
        <w:t>海范围</w:t>
      </w:r>
      <w:proofErr w:type="gramEnd"/>
      <w:r>
        <w:rPr>
          <w:rFonts w:hint="eastAsia"/>
        </w:rPr>
        <w:t>内的全部不动产编入一个不动产登记簿。</w:t>
      </w:r>
      <w:proofErr w:type="gramStart"/>
      <w:r>
        <w:rPr>
          <w:rFonts w:hint="eastAsia"/>
        </w:rPr>
        <w:t>宗地或宗海</w:t>
      </w:r>
      <w:proofErr w:type="gramEnd"/>
      <w:r>
        <w:rPr>
          <w:rFonts w:hint="eastAsia"/>
        </w:rPr>
        <w:t>权属界线发生变化的，应当重新建簿，并实现与原不动产登记簿关联。不动产登记簿由不动产登记机构负责管理，并永久保存。</w:t>
      </w:r>
    </w:p>
    <w:p w14:paraId="00699A17" w14:textId="77777777" w:rsidR="00FA0363" w:rsidRDefault="00FA0363" w:rsidP="00FA0363">
      <w:pPr>
        <w:pStyle w:val="13"/>
      </w:pPr>
      <w:r>
        <w:rPr>
          <w:rFonts w:hint="eastAsia"/>
        </w:rPr>
        <w:t>目前，不动产登记实行“发新停旧”登记原则，所以统一登记后存在各种有效的权证类型。如下：</w:t>
      </w:r>
    </w:p>
    <w:p w14:paraId="6E490373" w14:textId="77777777" w:rsidR="00FA0363" w:rsidRDefault="00FA0363" w:rsidP="00FA0363">
      <w:pPr>
        <w:pStyle w:val="13"/>
      </w:pPr>
      <w:r>
        <w:t>1.</w:t>
      </w:r>
      <w:r>
        <w:tab/>
        <w:t>《不动产权证书》</w:t>
      </w:r>
    </w:p>
    <w:p w14:paraId="02163B3C" w14:textId="77777777" w:rsidR="00FA0363" w:rsidRDefault="00FA0363" w:rsidP="00FA0363">
      <w:pPr>
        <w:pStyle w:val="13"/>
      </w:pPr>
      <w:r>
        <w:t>2.</w:t>
      </w:r>
      <w:r>
        <w:tab/>
        <w:t>《国有土地使用证》</w:t>
      </w:r>
    </w:p>
    <w:p w14:paraId="29EB103D" w14:textId="77777777" w:rsidR="00FA0363" w:rsidRDefault="00FA0363" w:rsidP="00FA0363">
      <w:pPr>
        <w:pStyle w:val="13"/>
      </w:pPr>
      <w:r>
        <w:t>3.</w:t>
      </w:r>
      <w:r>
        <w:tab/>
        <w:t>《集体土地所有证》</w:t>
      </w:r>
    </w:p>
    <w:p w14:paraId="39DACAC8" w14:textId="77777777" w:rsidR="00FA0363" w:rsidRDefault="00FA0363" w:rsidP="00FA0363">
      <w:pPr>
        <w:pStyle w:val="13"/>
      </w:pPr>
      <w:r>
        <w:t>4.</w:t>
      </w:r>
      <w:r>
        <w:tab/>
        <w:t>《集体土地使用证》</w:t>
      </w:r>
    </w:p>
    <w:p w14:paraId="19A2243D" w14:textId="77777777" w:rsidR="00FA0363" w:rsidRDefault="00FA0363" w:rsidP="00FA0363">
      <w:pPr>
        <w:pStyle w:val="13"/>
      </w:pPr>
      <w:r>
        <w:t>5.</w:t>
      </w:r>
      <w:r>
        <w:tab/>
        <w:t>《土地他项权利证明书》</w:t>
      </w:r>
    </w:p>
    <w:p w14:paraId="7C54F9DE" w14:textId="77777777" w:rsidR="00FA0363" w:rsidRDefault="00FA0363" w:rsidP="00FA0363">
      <w:pPr>
        <w:pStyle w:val="13"/>
      </w:pPr>
      <w:r>
        <w:t>6.</w:t>
      </w:r>
      <w:r>
        <w:tab/>
        <w:t>《房屋所有权证》</w:t>
      </w:r>
    </w:p>
    <w:p w14:paraId="6302C550" w14:textId="77777777" w:rsidR="00FA0363" w:rsidRDefault="00FA0363" w:rsidP="00FA0363">
      <w:pPr>
        <w:pStyle w:val="13"/>
      </w:pPr>
      <w:r>
        <w:t>7.</w:t>
      </w:r>
      <w:r>
        <w:tab/>
        <w:t>《房屋他项权证》</w:t>
      </w:r>
    </w:p>
    <w:p w14:paraId="7C587E14" w14:textId="77777777" w:rsidR="00FA0363" w:rsidRDefault="00FA0363" w:rsidP="00FA0363">
      <w:pPr>
        <w:pStyle w:val="13"/>
      </w:pPr>
      <w:r>
        <w:t>8.</w:t>
      </w:r>
      <w:r>
        <w:tab/>
        <w:t>《土地房屋权证》</w:t>
      </w:r>
    </w:p>
    <w:p w14:paraId="69E9B44F" w14:textId="77777777" w:rsidR="00FA0363" w:rsidRDefault="00FA0363" w:rsidP="00FA0363">
      <w:pPr>
        <w:pStyle w:val="13"/>
      </w:pPr>
      <w:r>
        <w:t>9.</w:t>
      </w:r>
      <w:r>
        <w:tab/>
        <w:t>《房地产权证》</w:t>
      </w:r>
    </w:p>
    <w:p w14:paraId="45B71C08" w14:textId="77777777" w:rsidR="00FA0363" w:rsidRDefault="00FA0363" w:rsidP="00FA0363">
      <w:pPr>
        <w:pStyle w:val="13"/>
      </w:pPr>
      <w:r>
        <w:t>10.《在建工程抵押登记证明》</w:t>
      </w:r>
    </w:p>
    <w:p w14:paraId="1CBB36E0" w14:textId="77777777" w:rsidR="00FA0363" w:rsidRDefault="00FA0363" w:rsidP="00FA0363">
      <w:pPr>
        <w:pStyle w:val="13"/>
      </w:pPr>
      <w:r>
        <w:t>11.《不动产抵押登记证明》</w:t>
      </w:r>
    </w:p>
    <w:p w14:paraId="5534EC4A" w14:textId="77777777" w:rsidR="00FA0363" w:rsidRDefault="00FA0363" w:rsidP="00FA0363">
      <w:pPr>
        <w:pStyle w:val="ab"/>
        <w:spacing w:before="62" w:after="62"/>
        <w:ind w:firstLine="482"/>
      </w:pPr>
      <w:r>
        <w:t>4.</w:t>
      </w:r>
      <w:r>
        <w:tab/>
        <w:t>“真的假的证”，是什么情形？</w:t>
      </w:r>
    </w:p>
    <w:p w14:paraId="6A59C692" w14:textId="77777777" w:rsidR="00FA0363" w:rsidRDefault="00FA0363" w:rsidP="00FA0363">
      <w:pPr>
        <w:pStyle w:val="13"/>
      </w:pPr>
      <w:r>
        <w:rPr>
          <w:rFonts w:hint="eastAsia"/>
        </w:rPr>
        <w:t>评估实务中经常遇到“真的假的证”，何为“真的假的证”？不动产权证主要包括</w:t>
      </w:r>
      <w:r>
        <w:t>2方面内容，一是不动产权证样式，即不动产权证外观、颜色、内页形式、印章（不动</w:t>
      </w:r>
      <w:r>
        <w:rPr>
          <w:rFonts w:hint="eastAsia"/>
        </w:rPr>
        <w:t>产登记专用章）等；二是不动产权证内容，</w:t>
      </w:r>
      <w:proofErr w:type="gramStart"/>
      <w:r>
        <w:rPr>
          <w:rFonts w:hint="eastAsia"/>
        </w:rPr>
        <w:t>如权利</w:t>
      </w:r>
      <w:proofErr w:type="gramEnd"/>
      <w:r>
        <w:rPr>
          <w:rFonts w:hint="eastAsia"/>
        </w:rPr>
        <w:t>人、共有情况、坐落、不动产单元号、权利类型（国有建设用地、集体建设用地）、权利性质（出让、划拨）、用途、面积、使用期限、权利其他状况等。</w:t>
      </w:r>
    </w:p>
    <w:p w14:paraId="1123BA44" w14:textId="77777777" w:rsidR="00FA0363" w:rsidRDefault="00FA0363" w:rsidP="00FA0363">
      <w:pPr>
        <w:pStyle w:val="13"/>
      </w:pPr>
      <w:r>
        <w:rPr>
          <w:rFonts w:hint="eastAsia"/>
        </w:rPr>
        <w:t>从上述</w:t>
      </w:r>
      <w:r>
        <w:t>2方面进行分析基本可以判断该证的真伪了，比如可以核实不动产权证样式是否符合国土资源部门颁发的证书样式，</w:t>
      </w:r>
      <w:proofErr w:type="gramStart"/>
      <w:r>
        <w:t>证载内容</w:t>
      </w:r>
      <w:proofErr w:type="gramEnd"/>
      <w:r>
        <w:t>是否完整、清晰，印章是否清楚，通过查询端口是否可以查到该证编号及全部信息等。但如果申请人在向不动产产权登记部门申请登记时，提供了虚假的不动产信息，该信息包括但不限于坐落、界址、面积、用途、权利人、权属资料来源、权利类型、权利性质等，使得不动产证登</w:t>
      </w:r>
    </w:p>
    <w:p w14:paraId="22AD7369" w14:textId="77777777" w:rsidR="00FA0363" w:rsidRDefault="00FA0363" w:rsidP="00FA0363">
      <w:pPr>
        <w:pStyle w:val="13"/>
      </w:pPr>
      <w:r>
        <w:rPr>
          <w:rFonts w:hint="eastAsia"/>
        </w:rPr>
        <w:t>记的内容失实，此时就会形成“真的假的证”，即不动产权证本身是真的，但所</w:t>
      </w:r>
      <w:r>
        <w:rPr>
          <w:rFonts w:hint="eastAsia"/>
        </w:rPr>
        <w:lastRenderedPageBreak/>
        <w:t>记载的信息（或内容）是假的。</w:t>
      </w:r>
    </w:p>
    <w:p w14:paraId="7331392A" w14:textId="64CEDD0F" w:rsidR="00FA0363" w:rsidRDefault="00FA0363" w:rsidP="00FA0363">
      <w:pPr>
        <w:pStyle w:val="ab"/>
        <w:spacing w:before="62" w:after="62"/>
        <w:ind w:firstLine="482"/>
      </w:pPr>
      <w:r>
        <w:t>5.如何通过查询不动产登记簿和登记原始资料，核实不动产产权证明？</w:t>
      </w:r>
    </w:p>
    <w:p w14:paraId="426AFF09" w14:textId="77777777" w:rsidR="00FA0363" w:rsidRDefault="00FA0363" w:rsidP="00FA0363">
      <w:pPr>
        <w:pStyle w:val="13"/>
      </w:pPr>
      <w:r>
        <w:rPr>
          <w:rFonts w:hint="eastAsia"/>
        </w:rPr>
        <w:t>《不动产登记簿》是不动产统一登记的核心依据，由登记机构持有并保存。按照“暂行条例”的规定，《不动产登记簿》记载不动产的坐落、界址、空间界限、面积、用途等自然状况；不动产权利的主体、类型、内容、来源、期限、权利变化等权属状况；以及涉及不动产权利限制、提示的事项等。</w:t>
      </w:r>
    </w:p>
    <w:p w14:paraId="1DC6E300" w14:textId="77777777" w:rsidR="00FA0363" w:rsidRDefault="00FA0363" w:rsidP="00FA0363">
      <w:pPr>
        <w:pStyle w:val="13"/>
      </w:pPr>
      <w:r>
        <w:rPr>
          <w:rFonts w:hint="eastAsia"/>
        </w:rPr>
        <w:t>《物权法》第十七条规定“不动产权属证书记载的事项，应当与不动产登记簿一致；记载不一致的，除有证据证明不动产登记簿确有错误外，以不动产登记簿为准。”</w:t>
      </w:r>
    </w:p>
    <w:p w14:paraId="71FF2B99" w14:textId="77777777" w:rsidR="00FA0363" w:rsidRDefault="00FA0363" w:rsidP="00FA0363">
      <w:pPr>
        <w:pStyle w:val="13"/>
      </w:pPr>
      <w:r>
        <w:rPr>
          <w:rFonts w:hint="eastAsia"/>
        </w:rPr>
        <w:t>根据《不动产登记资料查询暂行办法》的规定，不动产权利人、利害关系人可到不动产所在地的市、县人民政府不动产登记机构查询不动产登记资料，权利人可以查询包括不动产登记簿和原始资料在内的不动产登记资料，利害关系人仅可以查询登记簿。单位查询的，由单位经办人持单位介绍信申请查询；不动产权利人查询的，持房屋所有权证、本人有效身份证件申请查询；其他利害相关人查询的，持授权委托书、亲属关系证明等申请查询。</w:t>
      </w:r>
    </w:p>
    <w:p w14:paraId="65387A0D" w14:textId="77777777" w:rsidR="00FA0363" w:rsidRDefault="00FA0363" w:rsidP="00FA0363">
      <w:pPr>
        <w:pStyle w:val="ab"/>
        <w:spacing w:before="62" w:after="62"/>
        <w:ind w:firstLine="482"/>
      </w:pPr>
      <w:r>
        <w:t>6.查询不动产登记资料，对于电子化查询结果，如何收集记录？</w:t>
      </w:r>
    </w:p>
    <w:p w14:paraId="42AF2D19" w14:textId="77777777" w:rsidR="00FA0363" w:rsidRDefault="00FA0363" w:rsidP="00FA0363">
      <w:pPr>
        <w:pStyle w:val="13"/>
      </w:pPr>
      <w:r>
        <w:rPr>
          <w:rFonts w:hint="eastAsia"/>
        </w:rPr>
        <w:t>不动产登记资料包括不动产登记簿等不动产登记结果和不动产登记原始资料。不动产登记原始资料，包括不动产登记申请书、申请人身份材料、不动产权属来源、登记原因、不动产权</w:t>
      </w:r>
      <w:proofErr w:type="gramStart"/>
      <w:r>
        <w:rPr>
          <w:rFonts w:hint="eastAsia"/>
        </w:rPr>
        <w:t>籍调查</w:t>
      </w:r>
      <w:proofErr w:type="gramEnd"/>
      <w:r>
        <w:rPr>
          <w:rFonts w:hint="eastAsia"/>
        </w:rPr>
        <w:t>成果等材料以及不动产登记机构审核材料。对于不动产登记资料通过电子化查询获得的结果，建议为两种情况收集记录：</w:t>
      </w:r>
    </w:p>
    <w:p w14:paraId="5561F2E5" w14:textId="77777777" w:rsidR="00FA0363" w:rsidRDefault="00FA0363" w:rsidP="00FA0363">
      <w:pPr>
        <w:pStyle w:val="13"/>
      </w:pPr>
      <w:r>
        <w:rPr>
          <w:rFonts w:hint="eastAsia"/>
        </w:rPr>
        <w:t>（</w:t>
      </w:r>
      <w:r>
        <w:t>1）在不动产所在地的市、县人民政府不动产登记机构查询</w:t>
      </w:r>
    </w:p>
    <w:p w14:paraId="29B01ABA" w14:textId="77777777" w:rsidR="00FA0363" w:rsidRDefault="00FA0363" w:rsidP="00FA0363">
      <w:pPr>
        <w:pStyle w:val="13"/>
      </w:pPr>
      <w:r>
        <w:rPr>
          <w:rFonts w:hint="eastAsia"/>
        </w:rPr>
        <w:t>评估人员和不动产权利人、利害关系人或其委托代理人在不动产所在地的市、县人民政府不动产登记机构获得的电子化查询结果，现场打印并由不动产所在地的市、县人民政府不动产登记机构出具不动产登记资料查询结果证明，查询结果证明应当注明出具的时间，并加盖不动产登记机构查询专用章。</w:t>
      </w:r>
    </w:p>
    <w:p w14:paraId="63FE1BBF" w14:textId="77777777" w:rsidR="00FA0363" w:rsidRDefault="00FA0363" w:rsidP="00FA0363">
      <w:pPr>
        <w:pStyle w:val="13"/>
      </w:pPr>
      <w:r>
        <w:rPr>
          <w:rFonts w:hint="eastAsia"/>
        </w:rPr>
        <w:t>（</w:t>
      </w:r>
      <w:r>
        <w:t>2）通过不动产登记机构官方网站或指定渠道获取的电子化查询结果</w:t>
      </w:r>
    </w:p>
    <w:p w14:paraId="267B67D9" w14:textId="77777777" w:rsidR="00FA0363" w:rsidRDefault="00FA0363" w:rsidP="00FA0363">
      <w:pPr>
        <w:pStyle w:val="13"/>
      </w:pPr>
      <w:r>
        <w:rPr>
          <w:rFonts w:hint="eastAsia"/>
        </w:rPr>
        <w:t>根据自然资源部和各地方政府的要求，不动产登记机构应当加强不动产登记信息化建设，以不动产登记信息管理基础平台为基础，通过运用互联网技术、设置自助查询终端、在相关场所设置登记信息查询端口等方式，为查询人提供便利。不动产所在地的市、县人民政府不动产登记机构已开通互联网、自助查询终端或登记信息查询端口等查询方式的，评估人员可能通过上述渠道查询并打印电子化查询结果（查询结</w:t>
      </w:r>
      <w:r>
        <w:t>果，带有登记机构电子签章和查询日期）。</w:t>
      </w:r>
    </w:p>
    <w:p w14:paraId="674BB42A" w14:textId="77777777" w:rsidR="00FA0363" w:rsidRDefault="00FA0363" w:rsidP="00FA0363">
      <w:pPr>
        <w:pStyle w:val="13"/>
      </w:pPr>
      <w:r>
        <w:rPr>
          <w:rFonts w:hint="eastAsia"/>
        </w:rPr>
        <w:t>该方式获取的电子化查询结果只能作为参考，评估人员可以对其进行分析判断后作为评估依据资料。最准确的不动产登记资料应当以从不动产所在地的市、县人民</w:t>
      </w:r>
      <w:r>
        <w:rPr>
          <w:rFonts w:hint="eastAsia"/>
        </w:rPr>
        <w:lastRenderedPageBreak/>
        <w:t>政府不动产登记机构复制的不动产登记资料并加盖不动产登记机构查询专用章为准。</w:t>
      </w:r>
    </w:p>
    <w:p w14:paraId="5E4BA245" w14:textId="77777777" w:rsidR="00FA0363" w:rsidRDefault="00FA0363" w:rsidP="00FA0363">
      <w:pPr>
        <w:pStyle w:val="13"/>
        <w:ind w:firstLine="482"/>
        <w:rPr>
          <w:rStyle w:val="ac"/>
        </w:rPr>
      </w:pPr>
      <w:r w:rsidRPr="00184872">
        <w:rPr>
          <w:rStyle w:val="ac"/>
        </w:rPr>
        <w:t>7.</w:t>
      </w:r>
      <w:r w:rsidRPr="00184872">
        <w:rPr>
          <w:rStyle w:val="ac"/>
        </w:rPr>
        <w:tab/>
        <w:t>当前使用“产权正在办理中”为什么是错误的？“已受理”如何核实状态？</w:t>
      </w:r>
    </w:p>
    <w:p w14:paraId="169D2A4E" w14:textId="77777777" w:rsidR="00FA0363" w:rsidRDefault="00FA0363" w:rsidP="00FA0363">
      <w:pPr>
        <w:pStyle w:val="13"/>
      </w:pPr>
      <w:r>
        <w:t>对于部分尚未取得房屋所有权证、国有土地使用证或不动产权证等法律权属登记</w:t>
      </w:r>
      <w:r>
        <w:rPr>
          <w:rFonts w:hint="eastAsia"/>
        </w:rPr>
        <w:t>文件的不动产，在目前的资产评估实践中，有的委托人或被评估单位会出具“产权正在办理中”的声明、说明或承诺等文件。</w:t>
      </w:r>
    </w:p>
    <w:p w14:paraId="266CA1C4" w14:textId="77777777" w:rsidR="00FA0363" w:rsidRDefault="00FA0363" w:rsidP="00FA0363">
      <w:pPr>
        <w:pStyle w:val="13"/>
      </w:pPr>
      <w:r>
        <w:rPr>
          <w:rFonts w:hint="eastAsia"/>
        </w:rPr>
        <w:t>根据《不动产登记暂行条例》（国务院令第</w:t>
      </w:r>
      <w:r>
        <w:t>656号）中第十七条规定“不动产登记机构收到不动产登记申请材料，应当分别按照下列情况办理：（一）属于登记职责范围，申请材料齐全、符合法定形式，或者申请人按照要求提交全部补正申请材料的，应当受理并书面告知申请人；（二）申请材料存在可以当场更正的错误的，应当告知申请人当场更正，申请人当场更正后，应当受理并书面告知申请人；（三）申请材料不齐全或者不符合法定形式的，应当当场书面告知申请人不予受理并一次性告知需要补正的全部内容；（四）申请登记的不动产不属于本机构登记范围的，</w:t>
      </w:r>
      <w:r>
        <w:rPr>
          <w:rFonts w:hint="eastAsia"/>
        </w:rPr>
        <w:t>应当当场书面告知申请人不予受理并告知申请人向有登记权的机构申请。不动产登记机构未当场书面告知申请人不予受理的，视为受理。”不动产登记管理部门对于申请不动产登记的，按规定必须向申请人出具书面的受理通知书或不予受理通知书，因此仅有委托人或被评估单位自行出具“产权正在办理中”的声明、说明或承诺不符合相关法规政策规定，应当以不动产登记部门出具的受理通知书作为“产权正在办理中”的依据。同时《不动产登记暂行条例》（国务院令第</w:t>
      </w:r>
      <w:r>
        <w:t>656号）第二十条规定“不动产登记机构应当自受理登记</w:t>
      </w:r>
      <w:r>
        <w:rPr>
          <w:rFonts w:hint="eastAsia"/>
        </w:rPr>
        <w:t>申请之日起</w:t>
      </w:r>
      <w:r>
        <w:t>30个工作日内办结不动产登记手续，法律另有规定的除外。”按照《国务院办公厅关于压缩不动产登记办理时间的通知》，自然资源部根据国务院的要求，出台了配套制度，进一步压缩办理不动产登记时间，经向自然资源部相关部门调查了解，目前要求到2019年底全国所有市县一般登记、抵押登记业务办理时间力争分别压缩至10个、5个工作日以内，2020年底全国所有市县一般登记、抵押登记业务办理时间力争全部压缩至5个工作日以内。评估人员可以根据相关部门和当地政府的规定在现场调查工作期间核实其不动产登记办理进</w:t>
      </w:r>
      <w:r>
        <w:rPr>
          <w:rFonts w:hint="eastAsia"/>
        </w:rPr>
        <w:t>度情况。</w:t>
      </w:r>
    </w:p>
    <w:p w14:paraId="3086B538" w14:textId="77777777" w:rsidR="00FA0363" w:rsidRDefault="00FA0363" w:rsidP="00FA0363">
      <w:pPr>
        <w:pStyle w:val="13"/>
      </w:pPr>
      <w:r>
        <w:rPr>
          <w:rFonts w:hint="eastAsia"/>
        </w:rPr>
        <w:t>《不动产登记资料查询暂行办法》（自然资源部令第</w:t>
      </w:r>
      <w:r>
        <w:t>80号2019年7月16日自然</w:t>
      </w:r>
      <w:r>
        <w:rPr>
          <w:rFonts w:hint="eastAsia"/>
        </w:rPr>
        <w:t>资源部第</w:t>
      </w:r>
      <w:r>
        <w:t>2次部务会《自然资源部关于废止和修改的第一批部门规章的决定》修正）第六条规定“不动产登记机构应当加强不动产登记信息化建设，以不动产登记信息管理基础平台为基础，通过运用互联网技术、设置自助查询终端、在相关场所设置登记信息查询端口等方式，为查询人提供便利。”</w:t>
      </w:r>
    </w:p>
    <w:p w14:paraId="3AE2F717" w14:textId="77777777" w:rsidR="00FA0363" w:rsidRDefault="00FA0363" w:rsidP="00FA0363">
      <w:pPr>
        <w:pStyle w:val="13"/>
      </w:pPr>
      <w:r>
        <w:rPr>
          <w:rFonts w:hint="eastAsia"/>
        </w:rPr>
        <w:t>对于不动产登记部门已出具“受理通知书”处于正在办理中的不动产登记事项，</w:t>
      </w:r>
      <w:r>
        <w:t>评估人员可以同委托人或被评估单位相关人员一同前往县级人民政府不动产登记机关或行政服务中心等办公窗口凭不动产登记申请“受理通知书”现场查询核实登记事项办理进度，部分城市在相关办公场所设置了自助查询终端，通过扫描</w:t>
      </w:r>
      <w:proofErr w:type="gramStart"/>
      <w:r>
        <w:t>二维码或</w:t>
      </w:r>
      <w:proofErr w:type="gramEnd"/>
      <w:r>
        <w:t>输</w:t>
      </w:r>
      <w:r>
        <w:lastRenderedPageBreak/>
        <w:t>入“受理通知书”号码等方式自助查询并打印查询结果，有的还开通了互联网查询方式，通过不动产登记部门官方网站查询“已受理”事项的办理进度和结果。总之，对于不动产登记部门已受理的不动产登记申请事项的查询方式，评估人员应当首先</w:t>
      </w:r>
      <w:r>
        <w:rPr>
          <w:rFonts w:hint="eastAsia"/>
        </w:rPr>
        <w:t>到当地不动产登记部门受理申请的办公场所咨询了解获取查询渠道、方法。</w:t>
      </w:r>
    </w:p>
    <w:p w14:paraId="302E0DB7" w14:textId="77777777" w:rsidR="00FA0363" w:rsidRDefault="00FA0363" w:rsidP="00FA0363">
      <w:pPr>
        <w:pStyle w:val="13"/>
        <w:ind w:firstLine="482"/>
      </w:pPr>
      <w:r w:rsidRPr="00184872">
        <w:rPr>
          <w:rStyle w:val="ac"/>
        </w:rPr>
        <w:t>8.</w:t>
      </w:r>
      <w:r w:rsidRPr="00184872">
        <w:rPr>
          <w:rStyle w:val="ac"/>
        </w:rPr>
        <w:tab/>
        <w:t>企业改制，房屋和土地分属不同主体，权属资料核查验证需要注意哪些方面？</w:t>
      </w:r>
      <w:r>
        <w:t>企业出现房屋和土地分属不同权利主体的现象，通常是不动产统一登记实施之前</w:t>
      </w:r>
    </w:p>
    <w:p w14:paraId="71D0EF95" w14:textId="77777777" w:rsidR="00FA0363" w:rsidRDefault="00FA0363" w:rsidP="00FA0363">
      <w:pPr>
        <w:pStyle w:val="13"/>
      </w:pPr>
      <w:r>
        <w:rPr>
          <w:rFonts w:hint="eastAsia"/>
        </w:rPr>
        <w:t>由于房屋所有权和土地使用权分散登记产生的历史遗留问题。企业改制时，房屋和土地权属登记信息需要改变，接受相关房屋和土地使用权的企业就需要申请不动产变更或转移登记，换发《不动产权证书》。根据自然资源部的要求，对于多部门分散登记时期因相关管理环节不完善、不规范导致的历史遗留问题，各地要积极主动与规划、住建等部门会商研究，报请市县人民政府出台政策及时解决。建议资产评估专业人员注意收集不动产所在地的地方政府出台的解决历史遗留问题处理意见。</w:t>
      </w:r>
    </w:p>
    <w:p w14:paraId="7784199E" w14:textId="77777777" w:rsidR="00FA0363" w:rsidRDefault="00FA0363" w:rsidP="00FA0363">
      <w:pPr>
        <w:pStyle w:val="13"/>
      </w:pPr>
      <w:r>
        <w:rPr>
          <w:rFonts w:hint="eastAsia"/>
        </w:rPr>
        <w:t>资产评估专业人员需要被评估企业说明造成房屋和土地分属不同权利主体的原</w:t>
      </w:r>
      <w:r>
        <w:t>因，对于权利人名称变化但同步办理不动产变更登记的需要核查企业发生变更的材料等申请权属变更登记的资料；对于合法取得土地上的房屋所有权发生转移且已取得房屋所有权属证书，但没有同步办理土地使用权转移的，需要核查企业是否具有或者在其配合下通过到不动产登记机构查询登记资料获得办理房屋、土地权利主体一致的建设用地使用权及房屋所有权不动产登记所需的资料。对于过去登记尚未解决的历史遗留问题需要关注是否能够满足当地政府解决历史遗留问题处理意见对办理相关登记</w:t>
      </w:r>
      <w:r>
        <w:rPr>
          <w:rFonts w:hint="eastAsia"/>
        </w:rPr>
        <w:t>事项所要求的条件（例如，房地权利人能否就办理更正登记达成一致等）。</w:t>
      </w:r>
    </w:p>
    <w:p w14:paraId="21D7B138" w14:textId="77777777" w:rsidR="00FA0363" w:rsidRDefault="00FA0363" w:rsidP="00FA0363">
      <w:pPr>
        <w:pStyle w:val="ab"/>
        <w:spacing w:before="62" w:after="62"/>
        <w:ind w:firstLine="482"/>
      </w:pPr>
      <w:r>
        <w:t>9.</w:t>
      </w:r>
      <w:r>
        <w:tab/>
        <w:t>产权登记证明资料中的相关信息不完整，如何处理？</w:t>
      </w:r>
    </w:p>
    <w:p w14:paraId="6AB67DB2" w14:textId="77777777" w:rsidR="00FA0363" w:rsidRDefault="00FA0363" w:rsidP="00FA0363">
      <w:pPr>
        <w:pStyle w:val="13"/>
      </w:pPr>
      <w:r>
        <w:rPr>
          <w:rFonts w:hint="eastAsia"/>
        </w:rPr>
        <w:t>《不动产权证书》或《不动产登记证明》出现信息不完整，一种情况是登记簿和权证填写时允许不填写的内容，例如《不动产权证书》中的“权利性质”不填写国有还是集体，国有土地未填写“使用期限”等。异议登记的《不动产登记证明》可以不填写“义务人”。另一种情况可能</w:t>
      </w:r>
      <w:proofErr w:type="gramStart"/>
      <w:r>
        <w:rPr>
          <w:rFonts w:hint="eastAsia"/>
        </w:rPr>
        <w:t>是证载信息</w:t>
      </w:r>
      <w:proofErr w:type="gramEnd"/>
      <w:r>
        <w:rPr>
          <w:rFonts w:hint="eastAsia"/>
        </w:rPr>
        <w:t>填写发生失误或存在其他不规范行为所致。这种情形下，资产评估人员需要权利人提供能够说明相关信息的原始资料，必要时在权利人配合下根据不动产所在地不动产登记信息的查询条件，向当地不动产登记部门申请登记信息和原始资料查询，以查明原因。作为资产评估专业人员进行评估操作和信息披露的依据。对已经确认的登记差错，权利人可以依法申请更正登记。</w:t>
      </w:r>
    </w:p>
    <w:p w14:paraId="7600F306" w14:textId="77777777" w:rsidR="00FA0363" w:rsidRDefault="00FA0363" w:rsidP="00FA0363">
      <w:pPr>
        <w:pStyle w:val="ab"/>
        <w:spacing w:before="62" w:after="62"/>
        <w:ind w:firstLine="482"/>
      </w:pPr>
      <w:r>
        <w:t>10.采矿许可证和勘查许可证核查验证有什么渠道？</w:t>
      </w:r>
    </w:p>
    <w:p w14:paraId="1D781376" w14:textId="77777777" w:rsidR="00FA0363" w:rsidRDefault="00FA0363" w:rsidP="00FA0363">
      <w:pPr>
        <w:pStyle w:val="13"/>
      </w:pPr>
      <w:r>
        <w:rPr>
          <w:rFonts w:hint="eastAsia"/>
        </w:rPr>
        <w:t>在我国，采矿许可证和矿产资源勘查许可证，客观上既是一种行政许可证明，又是一种物权产权证明（二合一），但没有产权登记性质的产权管理制度。目前，也未纳入不动产登记范畴。评估实践中对其权属资料的核查验证，可以核实一些管理审批</w:t>
      </w:r>
      <w:r>
        <w:rPr>
          <w:rFonts w:hint="eastAsia"/>
        </w:rPr>
        <w:lastRenderedPageBreak/>
        <w:t>的信息。目前，自然资源部建立了有关矿产资源信息数据系统，开通了互联网查询方</w:t>
      </w:r>
      <w:r>
        <w:t>式，可以通过自然资源部官方网站对采矿权信息、探矿</w:t>
      </w:r>
      <w:proofErr w:type="gramStart"/>
      <w:r>
        <w:t>权信息</w:t>
      </w:r>
      <w:proofErr w:type="gramEnd"/>
      <w:r>
        <w:t>和矿业权人勘查开采信息等进行查验。具体查询操作情况如下：</w:t>
      </w:r>
    </w:p>
    <w:p w14:paraId="228F4719" w14:textId="77777777" w:rsidR="00FA0363" w:rsidRDefault="00FA0363" w:rsidP="00FA0363">
      <w:pPr>
        <w:pStyle w:val="13"/>
      </w:pPr>
      <w:r>
        <w:rPr>
          <w:rFonts w:hint="eastAsia"/>
        </w:rPr>
        <w:t>（</w:t>
      </w:r>
      <w:r>
        <w:t>1）登记信息查验</w:t>
      </w:r>
    </w:p>
    <w:p w14:paraId="6DA74A85" w14:textId="77777777" w:rsidR="00FA0363" w:rsidRDefault="00FA0363" w:rsidP="00FA0363">
      <w:pPr>
        <w:pStyle w:val="13"/>
      </w:pPr>
      <w:r>
        <w:rPr>
          <w:rFonts w:hint="eastAsia"/>
        </w:rPr>
        <w:t>从自然资源</w:t>
      </w:r>
      <w:proofErr w:type="gramStart"/>
      <w:r>
        <w:rPr>
          <w:rFonts w:hint="eastAsia"/>
        </w:rPr>
        <w:t>部官网</w:t>
      </w:r>
      <w:proofErr w:type="gramEnd"/>
      <w:r>
        <w:rPr>
          <w:rFonts w:hint="eastAsia"/>
        </w:rPr>
        <w:t>（</w:t>
      </w:r>
      <w:r>
        <w:t>http://www.mnr.gov.cn/）选择“服务”点击-“网上办事”，选择点击“采矿权登记信息查验”或“探矿权登记信息查验”，输入许可证号和校验码后即可进行查询。</w:t>
      </w:r>
    </w:p>
    <w:p w14:paraId="45E2B23F" w14:textId="77777777" w:rsidR="00FA0363" w:rsidRDefault="00FA0363" w:rsidP="00FA0363">
      <w:pPr>
        <w:pStyle w:val="13"/>
      </w:pPr>
      <w:r>
        <w:rPr>
          <w:rFonts w:hint="eastAsia"/>
        </w:rPr>
        <w:t>（</w:t>
      </w:r>
      <w:r>
        <w:t>2）勘查开采信息查验</w:t>
      </w:r>
    </w:p>
    <w:p w14:paraId="24DD0450" w14:textId="77777777" w:rsidR="00FA0363" w:rsidRDefault="00FA0363" w:rsidP="00FA0363">
      <w:pPr>
        <w:pStyle w:val="13"/>
      </w:pPr>
      <w:r>
        <w:rPr>
          <w:rFonts w:hint="eastAsia"/>
        </w:rPr>
        <w:t>通过自然资源部“矿业权人勘查开采信息公示系统”可以对采矿权涉及的开采矿种、开采方式、生产规模、采矿权有效期限、矿区面积、矿权价款、矿产资源补偿</w:t>
      </w:r>
      <w:r>
        <w:t>费、环境恢复保证金、设计采矿能力和实际采矿能力、设计开采回采率和实际开采回采率、矿石地质品位、设计选矿回收率和实际选矿回收率、精矿品位、尾矿品位等有关矿产资源开采许可情况和重要评估参数进行查验，也可以对探矿权涉及的勘查项目名称、勘查单位名称和地址、探矿权有效期限、登记勘查矿种、勘查实施方案计划总投资和计划当年投资、是否完成勘查进度、处罚情况、探矿权使用费缴纳情况、当</w:t>
      </w:r>
      <w:r>
        <w:rPr>
          <w:rFonts w:hint="eastAsia"/>
        </w:rPr>
        <w:t>年完成主要实物工作量及投入技术力量等有关矿产资源勘查情况和重要评估参数进行查验。从自然资源</w:t>
      </w:r>
      <w:proofErr w:type="gramStart"/>
      <w:r>
        <w:rPr>
          <w:rFonts w:hint="eastAsia"/>
        </w:rPr>
        <w:t>部官网</w:t>
      </w:r>
      <w:proofErr w:type="gramEnd"/>
      <w:r>
        <w:rPr>
          <w:rFonts w:hint="eastAsia"/>
        </w:rPr>
        <w:t>（</w:t>
      </w:r>
      <w:r>
        <w:t>http://www.mnr.gov.cn/）选择“服务”点击-“网上办事”，选择点击“矿业权人勘查开采信息公示系统”，输入许可证编号后点击搜索，再点击查询显示的权利人名称，即可对矿业权人的相关勘查开采信息数据内容进行查询。</w:t>
      </w:r>
    </w:p>
    <w:p w14:paraId="4DFB3A58" w14:textId="77777777" w:rsidR="00FA0363" w:rsidRDefault="00FA0363" w:rsidP="00FA0363">
      <w:pPr>
        <w:pStyle w:val="ab"/>
        <w:spacing w:before="62" w:after="62"/>
        <w:ind w:firstLine="482"/>
      </w:pPr>
      <w:r>
        <w:t>11.林地、林木的权属资料核查验证需注意哪些主要方面？</w:t>
      </w:r>
    </w:p>
    <w:p w14:paraId="39FA0E2C" w14:textId="77777777" w:rsidR="00FA0363" w:rsidRDefault="00FA0363" w:rsidP="00FA0363">
      <w:pPr>
        <w:pStyle w:val="13"/>
      </w:pPr>
      <w:r>
        <w:rPr>
          <w:rFonts w:hint="eastAsia"/>
        </w:rPr>
        <w:t>在我国实施不动产统一登记制度前，国务院林业主管部门或者县级以上人民政府向权利人核发的确认森林、林木和林地所有权或使用权的法律凭证是《林权证》。</w:t>
      </w:r>
      <w:r>
        <w:t>2015年3月1日《中华人民共和国不动产登记暂行条例》正式实施。实行不动产统一登记制度后，森林、林木和林地的权利归属和其他法定事项的登记由县级以上人民政府依法确定的、统一负责不动产登记的不动产登记机构负责；国务院确定的重点国有林区的森林、林木和林地的不动产登记，由自然资源部受理并会同有关部门办理；完成登记依法向权利人核发《不动产权证书》或者《不动产登记证明》</w:t>
      </w:r>
      <w:r>
        <w:rPr>
          <w:rFonts w:hint="eastAsia"/>
        </w:rPr>
        <w:t>。</w:t>
      </w:r>
    </w:p>
    <w:p w14:paraId="48FE7D68" w14:textId="77777777" w:rsidR="00FA0363" w:rsidRDefault="00FA0363" w:rsidP="00FA0363">
      <w:pPr>
        <w:pStyle w:val="13"/>
      </w:pPr>
      <w:r>
        <w:rPr>
          <w:rFonts w:hint="eastAsia"/>
        </w:rPr>
        <w:t>我国</w:t>
      </w:r>
      <w:r>
        <w:t>2015年3月1日在江西省崇义县颁发了全国首批林权类《不动产权证书》，</w:t>
      </w:r>
      <w:r>
        <w:rPr>
          <w:rFonts w:hint="eastAsia"/>
        </w:rPr>
        <w:t>但各地启用新证书的进度并不一样（例如，</w:t>
      </w:r>
      <w:r>
        <w:t>2019年11月6日媒体报道北京发出了第一本林权类《不动产权证书》）。按照规定，不动产统一登记后，已经依法发放的《林权证》、《林权抵押登记证明书》等证书或证明继续有效。各地会按照“不变不换”（即：</w:t>
      </w:r>
      <w:r>
        <w:rPr>
          <w:rFonts w:hint="eastAsia"/>
        </w:rPr>
        <w:t>权利不变动，簿证不更换）的原则，在需要依法办理变更、转移等登记时逐步更换新簿证。</w:t>
      </w:r>
    </w:p>
    <w:p w14:paraId="661DED4C" w14:textId="77777777" w:rsidR="00FA0363" w:rsidRDefault="00FA0363" w:rsidP="00FA0363">
      <w:pPr>
        <w:pStyle w:val="13"/>
      </w:pPr>
      <w:r>
        <w:rPr>
          <w:rFonts w:hint="eastAsia"/>
        </w:rPr>
        <w:lastRenderedPageBreak/>
        <w:t>林权类《不动产登记簿》以宗为单位登记土地中林地的所有权、农户的林地承包经营权、通过流转取得的林地使用权，并按照不动产单元登记位于相关林地的森林、林木的所有权及使用权。登记簿的内容包括“宗地基本信息”、“不动产权利登记目录”、“不动产权利及其他事项登记信息”，反映其首次、变更、转移、注销、更正等登记的内容。其中，“不动产权利及其他事项登记信息”的“林权登记信息”记载的具体登记内容主要有：林地权利人、林地共有情况、权利人类型、登记类型、登记原因、使用权（承包）面积、林地使用（承包）起止日期、林地所有权性质、森林</w:t>
      </w:r>
      <w:r>
        <w:t>/林木所有权人、森林/林木使用权人、主要树种、株数、林种、起源、造林年度、小地名、林班、小班、不动产权证书号、登记时间、附记等。“不动产权利及其他事项登记信息”还包括相关不动产的抵押权登记、地役权登记、预告登记、异</w:t>
      </w:r>
      <w:r>
        <w:rPr>
          <w:rFonts w:hint="eastAsia"/>
        </w:rPr>
        <w:t>议登记和查封登记等信息。</w:t>
      </w:r>
    </w:p>
    <w:p w14:paraId="252579BE" w14:textId="77777777" w:rsidR="00FA0363" w:rsidRDefault="00FA0363" w:rsidP="00FA0363">
      <w:pPr>
        <w:pStyle w:val="13"/>
      </w:pPr>
      <w:r>
        <w:rPr>
          <w:rFonts w:hint="eastAsia"/>
        </w:rPr>
        <w:t>不动产登记机构应当根据不动产登记簿填写，并向不动产权利人核发《不动产权证书》；办理抵押权登记、地役权登记、预告登记和异议登记，则应当向申请人核发不动产登记证明。林权类《不动产权证书》主要登记林地</w:t>
      </w:r>
      <w:r>
        <w:t>/森林、林木的：不动产权证书号、权利人、共有情况、坐落、不动产单元号、权利类型、权利性质（森林、林木填写林种）、用途、面积、使用期限（起止时间）、权利其他状况（记载主要树种、造林年度、小地名，以及依据《森林资源规划设计调查技术规程》确定的用途）、附记、附图等内容。</w:t>
      </w:r>
    </w:p>
    <w:p w14:paraId="29BC2E8A" w14:textId="77777777" w:rsidR="00FA0363" w:rsidRDefault="00FA0363" w:rsidP="00FA0363">
      <w:pPr>
        <w:pStyle w:val="13"/>
      </w:pPr>
      <w:r>
        <w:rPr>
          <w:rFonts w:hint="eastAsia"/>
        </w:rPr>
        <w:t>根据《物权法》，不动产权属证书记载的事项，应当与不动产登记簿一致；记载不一致的，除有证据证明不动产登记簿确有错误外，以不动产登记簿为准。</w:t>
      </w:r>
    </w:p>
    <w:p w14:paraId="335226AC" w14:textId="77777777" w:rsidR="00FA0363" w:rsidRDefault="00FA0363" w:rsidP="00FA0363">
      <w:pPr>
        <w:pStyle w:val="13"/>
      </w:pPr>
      <w:r>
        <w:rPr>
          <w:rFonts w:hint="eastAsia"/>
        </w:rPr>
        <w:t>不动产登记簿上记载的权利人可以向不动产所在地的市、县人民政府不动产登记机构申请，根据当地的管理和技术条件运用互联网技术、信息查询端口、自助查询终端、登记机构现场查询等方式查询不动产登记结果和不动产登记原始资料。因买卖、互换、赠与、租赁、抵押不动产构成利害关系，因不动产存在民事纠纷且已经提起诉讼、仲裁而构成利害关系，以及法律法规规定的其他情形的利害关系人也可以通过申请查询有利害关系的不动产登记结果。查询后还可以要求复制不动产登记资料或要求不动产登记机构出具不动产登记资料查询结果证明。</w:t>
      </w:r>
    </w:p>
    <w:p w14:paraId="71A25359" w14:textId="77777777" w:rsidR="00FA0363" w:rsidRDefault="00FA0363" w:rsidP="00FA0363">
      <w:pPr>
        <w:pStyle w:val="13"/>
      </w:pPr>
      <w:r>
        <w:rPr>
          <w:rFonts w:hint="eastAsia"/>
        </w:rPr>
        <w:t>资产评估专业人员对执行评估业务时需要核查的不动产登记信息，可以根据评估目的和评估委托关系陪同不动产权利人或不动产利害关系人查询，也可以作为不动产权利人或不动产利害关系人的委托代理人在其授权委托范围内查询不动产登记资料。</w:t>
      </w:r>
    </w:p>
    <w:p w14:paraId="7B646661" w14:textId="77777777" w:rsidR="00FA0363" w:rsidRDefault="00FA0363" w:rsidP="00FA0363">
      <w:pPr>
        <w:pStyle w:val="ab"/>
        <w:spacing w:before="62" w:after="62"/>
        <w:ind w:firstLine="482"/>
      </w:pPr>
      <w:r>
        <w:t>12.军队所属单位房地产权属资料核查验证需要注意哪些方面？</w:t>
      </w:r>
    </w:p>
    <w:p w14:paraId="55B88A8D" w14:textId="77777777" w:rsidR="00FA0363" w:rsidRDefault="00FA0363" w:rsidP="00FA0363">
      <w:pPr>
        <w:pStyle w:val="13"/>
      </w:pPr>
      <w:r>
        <w:rPr>
          <w:rFonts w:hint="eastAsia"/>
        </w:rPr>
        <w:t>《中国人民解放军房地产管理条例》规定，中国人民解放军房地产，是指依法由军队使用管理的土地及其地上地下用于营房保障的建筑物、构筑物、附属设施设备，</w:t>
      </w:r>
      <w:r>
        <w:lastRenderedPageBreak/>
        <w:t>以及其他附着物。军队房地产的权属归中央军委，其土地使用权和建筑物、构筑物以及其他附着物的所有权，由总后勤部代表行使。军队房地产使用管理单位依据有关规定，到房地产所在地县级以上地方人民政府办理房地产登记手续，领取土地使用权、房屋所有权证书。2018年6月，中共中央办公厅、国务院办公厅、中央军委办公厅印发《关于深入推进军队全面停止有偿服务工作的指导意见》，明确了</w:t>
      </w:r>
      <w:r>
        <w:rPr>
          <w:rFonts w:hint="eastAsia"/>
        </w:rPr>
        <w:t>包括房地产租赁在内的</w:t>
      </w:r>
      <w:r>
        <w:t>15个行业有偿服务活动全部停止，主要采取委托管理、资产置换、保障社会化等方式进行处理。由此我们理解，军队房地产权属资料核查验证，主要是停止有偿服务项目涉及的军队房地产。</w:t>
      </w:r>
    </w:p>
    <w:p w14:paraId="23A8320B" w14:textId="77777777" w:rsidR="00FA0363" w:rsidRDefault="00FA0363" w:rsidP="00FA0363">
      <w:pPr>
        <w:pStyle w:val="13"/>
      </w:pPr>
      <w:r>
        <w:rPr>
          <w:rFonts w:hint="eastAsia"/>
        </w:rPr>
        <w:t>军队所属单位房地产产权证书，包括三种类型，一是当地县级以上地方人民政府印发的土地使用权证书，二是当地县级以上地方人民政府印发的房屋所有权证书（停止有偿的租金评估项目，都是这两类“老证”），三是中央军委后勤保障部印发的《军队房地产使用许可证》（停止有偿的接收评估项目，接收后逐步变更为该证）。房屋产权证</w:t>
      </w:r>
      <w:proofErr w:type="gramStart"/>
      <w:r>
        <w:rPr>
          <w:rFonts w:hint="eastAsia"/>
        </w:rPr>
        <w:t>证载权利</w:t>
      </w:r>
      <w:proofErr w:type="gramEnd"/>
      <w:r>
        <w:rPr>
          <w:rFonts w:hint="eastAsia"/>
        </w:rPr>
        <w:t>人一般会显示部队对外番号，但是因为部队对外番号会定期更换，所以部队</w:t>
      </w:r>
      <w:proofErr w:type="gramStart"/>
      <w:r>
        <w:rPr>
          <w:rFonts w:hint="eastAsia"/>
        </w:rPr>
        <w:t>现对外</w:t>
      </w:r>
      <w:proofErr w:type="gramEnd"/>
      <w:r>
        <w:rPr>
          <w:rFonts w:hint="eastAsia"/>
        </w:rPr>
        <w:t>番号</w:t>
      </w:r>
      <w:proofErr w:type="gramStart"/>
      <w:r>
        <w:rPr>
          <w:rFonts w:hint="eastAsia"/>
        </w:rPr>
        <w:t>和证载信息</w:t>
      </w:r>
      <w:proofErr w:type="gramEnd"/>
      <w:r>
        <w:rPr>
          <w:rFonts w:hint="eastAsia"/>
        </w:rPr>
        <w:t>不一致也是较普遍的现象，在提供时部分涉及保密需要</w:t>
      </w:r>
      <w:proofErr w:type="gramStart"/>
      <w:r>
        <w:rPr>
          <w:rFonts w:hint="eastAsia"/>
        </w:rPr>
        <w:t>进行脱密处理</w:t>
      </w:r>
      <w:proofErr w:type="gramEnd"/>
      <w:r>
        <w:rPr>
          <w:rFonts w:hint="eastAsia"/>
        </w:rPr>
        <w:t>。</w:t>
      </w:r>
    </w:p>
    <w:p w14:paraId="06949C47" w14:textId="77777777" w:rsidR="00FA0363" w:rsidRDefault="00FA0363" w:rsidP="00FA0363">
      <w:pPr>
        <w:pStyle w:val="13"/>
      </w:pPr>
      <w:r>
        <w:rPr>
          <w:rFonts w:hint="eastAsia"/>
        </w:rPr>
        <w:t>军队所属单位房地产产权资料核查验证，需注意以下几个方面：</w:t>
      </w:r>
    </w:p>
    <w:p w14:paraId="0E3BFFD3" w14:textId="77777777" w:rsidR="00FA0363" w:rsidRDefault="00FA0363" w:rsidP="00FA0363">
      <w:pPr>
        <w:pStyle w:val="13"/>
      </w:pPr>
      <w:r>
        <w:rPr>
          <w:rFonts w:hint="eastAsia"/>
        </w:rPr>
        <w:t>（</w:t>
      </w:r>
      <w:r>
        <w:t>1）一般来说，无法到发证机关核实产权资料。由于军队资产的评估有诸多限制，委托人一般不会配合评估人员去发证机关核实产权证。</w:t>
      </w:r>
    </w:p>
    <w:p w14:paraId="2ED205B0" w14:textId="77777777" w:rsidR="00FA0363" w:rsidRDefault="00FA0363" w:rsidP="00FA0363">
      <w:pPr>
        <w:pStyle w:val="13"/>
      </w:pPr>
      <w:r>
        <w:rPr>
          <w:rFonts w:hint="eastAsia"/>
        </w:rPr>
        <w:t>（</w:t>
      </w:r>
      <w:r>
        <w:t>2）资料缺失或信息前后不一。部分军队房地产没有办理产权登记，也无法提供相关规划审批和设计文件，无法确定用途，或已有证但实际使用用途和法定权益用途不一致，如部分租赁合同中原房屋已被拆除，租户重新进行了翻建，造成用途不一</w:t>
      </w:r>
      <w:r>
        <w:rPr>
          <w:rFonts w:hint="eastAsia"/>
        </w:rPr>
        <w:t>致。</w:t>
      </w:r>
    </w:p>
    <w:p w14:paraId="4A310814" w14:textId="77777777" w:rsidR="00FA0363" w:rsidRDefault="00FA0363" w:rsidP="00FA0363">
      <w:pPr>
        <w:pStyle w:val="13"/>
      </w:pPr>
      <w:r>
        <w:rPr>
          <w:rFonts w:hint="eastAsia"/>
        </w:rPr>
        <w:t>（</w:t>
      </w:r>
      <w:r>
        <w:t>3）现场核查中存在多种产权证与实际情况不符或约定产权的情况，如加建、拆</w:t>
      </w:r>
      <w:r>
        <w:rPr>
          <w:rFonts w:hint="eastAsia"/>
        </w:rPr>
        <w:t>除重建、以租代建</w:t>
      </w:r>
      <w:r>
        <w:t>-以空地出租，由承租方出资建设房屋，一般约定租赁期满后房屋产权归军队所有，相应的租期较长、租金较低。</w:t>
      </w:r>
    </w:p>
    <w:p w14:paraId="560FCA9F" w14:textId="77777777" w:rsidR="00FA0363" w:rsidRDefault="00FA0363" w:rsidP="00FA0363">
      <w:pPr>
        <w:pStyle w:val="13"/>
      </w:pPr>
      <w:r>
        <w:rPr>
          <w:rFonts w:hint="eastAsia"/>
        </w:rPr>
        <w:t>如果评估对象没有办理产权证</w:t>
      </w:r>
      <w:proofErr w:type="gramStart"/>
      <w:r>
        <w:rPr>
          <w:rFonts w:hint="eastAsia"/>
        </w:rPr>
        <w:t>或证载面积</w:t>
      </w:r>
      <w:proofErr w:type="gramEnd"/>
      <w:r>
        <w:rPr>
          <w:rFonts w:hint="eastAsia"/>
        </w:rPr>
        <w:t>、用途与实际不符，需要查验取得不动产的相关证明文件如军队登记清册、合同等资料。</w:t>
      </w:r>
    </w:p>
    <w:p w14:paraId="36DD0A0F" w14:textId="77777777" w:rsidR="00FA0363" w:rsidRDefault="00FA0363" w:rsidP="00FA0363">
      <w:pPr>
        <w:pStyle w:val="ab"/>
        <w:spacing w:before="62" w:after="62"/>
        <w:ind w:firstLine="482"/>
      </w:pPr>
      <w:r>
        <w:t>13.计算机著作权权属资料核查验证需要注意哪些主要方面？</w:t>
      </w:r>
    </w:p>
    <w:p w14:paraId="58D7A230" w14:textId="77777777" w:rsidR="00FA0363" w:rsidRDefault="00FA0363" w:rsidP="00FA0363">
      <w:pPr>
        <w:pStyle w:val="13"/>
      </w:pPr>
      <w:r>
        <w:rPr>
          <w:rFonts w:hint="eastAsia"/>
        </w:rPr>
        <w:t>评估实务当中，涉及计算机软件著作权的评估项目大量出现，无论是对计算机软件著作权的评估还是企业价值评估中涉及到软件著作权，按照相应的评估准则，均需要对计算机软件著作权的法律权属资料进行收集，并履行核查验证程序。那么计算机软件著作权的权属资料都有哪些？如何对其真实性、准确性、完整性进行核查验证都是我们直接面对的问题。</w:t>
      </w:r>
    </w:p>
    <w:p w14:paraId="6375E2E1" w14:textId="77777777" w:rsidR="00FA0363" w:rsidRDefault="00FA0363" w:rsidP="00FA0363">
      <w:pPr>
        <w:pStyle w:val="13"/>
      </w:pPr>
      <w:r>
        <w:rPr>
          <w:rFonts w:hint="eastAsia"/>
        </w:rPr>
        <w:t>（</w:t>
      </w:r>
      <w:r>
        <w:t>1）计算机软件著作权权属资料的名称、种类</w:t>
      </w:r>
    </w:p>
    <w:p w14:paraId="3C8DAA9B" w14:textId="77777777" w:rsidR="00FA0363" w:rsidRDefault="00FA0363" w:rsidP="00FA0363">
      <w:pPr>
        <w:pStyle w:val="13"/>
      </w:pPr>
      <w:r>
        <w:rPr>
          <w:rFonts w:hint="eastAsia"/>
        </w:rPr>
        <w:lastRenderedPageBreak/>
        <w:t>我国实行计算机软件著作权登记制度。根据《计算机软件保护条例》《计算机软件著作权登记办法》，</w:t>
      </w:r>
      <w:r>
        <w:t>计算机软件著作权登记证书是软件著作权有效或登记申请文件所述事实的初步证明。计算机软件著作权权属资料包括：计算机软件著作权登记证书、软件著作权专有许可使用合同、转让软件著作权合同、软件著作权质押合同等。</w:t>
      </w:r>
    </w:p>
    <w:p w14:paraId="21D6C01F" w14:textId="77777777" w:rsidR="00FA0363" w:rsidRDefault="00FA0363" w:rsidP="00FA0363">
      <w:pPr>
        <w:pStyle w:val="13"/>
      </w:pPr>
      <w:r>
        <w:rPr>
          <w:rFonts w:hint="eastAsia"/>
        </w:rPr>
        <w:t>（</w:t>
      </w:r>
      <w:r>
        <w:t>2）计算机著作权权属资料核查验证需要注意哪些主要方面</w:t>
      </w:r>
    </w:p>
    <w:p w14:paraId="46952780" w14:textId="77777777" w:rsidR="00FA0363" w:rsidRDefault="00FA0363" w:rsidP="00FA0363">
      <w:pPr>
        <w:pStyle w:val="13"/>
      </w:pPr>
      <w:r>
        <w:rPr>
          <w:rFonts w:hint="eastAsia"/>
        </w:rPr>
        <w:t>根据《计算机软件著作权登记办法》，软件著作权、软件著作权专有许可合同和转让合同，需要在国务院著作权行政管理部门认定的软件登记机构进行登记，因此，可以通过查询登记管理机关相关公告的方式，对权属证明资料进行核查验证。</w:t>
      </w:r>
    </w:p>
    <w:p w14:paraId="631922DA" w14:textId="77777777" w:rsidR="00FA0363" w:rsidRDefault="00FA0363" w:rsidP="00FA0363">
      <w:pPr>
        <w:pStyle w:val="13"/>
      </w:pPr>
      <w:r>
        <w:rPr>
          <w:rFonts w:hint="eastAsia"/>
        </w:rPr>
        <w:t>目前的国务院著作权行政管理部门为中央宣传部国家版权局，国家版权局版权保护中心负责计算机软件著作权的登记等工作。任何人均可查阅软件登记公告以及可公开的有关登记文件。软件登记公告的内容包括：软件著作权的登记；软件著作权合同登记事项；软件登记的撤销；软件著作权质押合同等其他事项。</w:t>
      </w:r>
    </w:p>
    <w:p w14:paraId="565AFEBA" w14:textId="77777777" w:rsidR="00FA0363" w:rsidRDefault="00FA0363" w:rsidP="00FA0363">
      <w:pPr>
        <w:pStyle w:val="13"/>
      </w:pPr>
      <w:r>
        <w:rPr>
          <w:rFonts w:hint="eastAsia"/>
        </w:rPr>
        <w:t>（</w:t>
      </w:r>
      <w:r>
        <w:t>3）查询的渠道和方法</w:t>
      </w:r>
    </w:p>
    <w:p w14:paraId="7BEB173C" w14:textId="77777777" w:rsidR="00FA0363" w:rsidRDefault="00FA0363" w:rsidP="00FA0363">
      <w:pPr>
        <w:pStyle w:val="13"/>
      </w:pPr>
      <w:r>
        <w:rPr>
          <w:rFonts w:hint="eastAsia"/>
        </w:rPr>
        <w:t>查询的渠道有两种，一种是网站，一种是</w:t>
      </w:r>
      <w:proofErr w:type="gramStart"/>
      <w:r>
        <w:rPr>
          <w:rFonts w:hint="eastAsia"/>
        </w:rPr>
        <w:t>微信公众号</w:t>
      </w:r>
      <w:proofErr w:type="gramEnd"/>
      <w:r>
        <w:rPr>
          <w:rFonts w:hint="eastAsia"/>
        </w:rPr>
        <w:t>。第一种方式，可以登陆</w:t>
      </w:r>
      <w:r>
        <w:t>“中国版权保护中心www.ccopyright.com.cn”</w:t>
      </w:r>
      <w:proofErr w:type="gramStart"/>
      <w:r>
        <w:t>官网查询</w:t>
      </w:r>
      <w:proofErr w:type="gramEnd"/>
      <w:r>
        <w:t>，右则会有向导，点击“证书</w:t>
      </w:r>
      <w:r>
        <w:rPr>
          <w:rFonts w:hint="eastAsia"/>
        </w:rPr>
        <w:t>查询”，可以看到“软件著作权登记”、“作品著作权登记”、“商标注册查询”、“专利申请查询”等，点击“软件著作权登记”，可以按照相应的选型进行查询。另外一种方式就是通过</w:t>
      </w:r>
      <w:proofErr w:type="gramStart"/>
      <w:r>
        <w:rPr>
          <w:rFonts w:hint="eastAsia"/>
        </w:rPr>
        <w:t>微信公众</w:t>
      </w:r>
      <w:proofErr w:type="gramEnd"/>
      <w:r>
        <w:rPr>
          <w:rFonts w:hint="eastAsia"/>
        </w:rPr>
        <w:t>平台</w:t>
      </w:r>
      <w:r>
        <w:t>1、关注“中国版权服务”，2、点击“中国版权服务”，3、进入公众号；4、选择下方的“微平台”模块，5、进入微平台首页；6、选择“登记公</w:t>
      </w:r>
      <w:r>
        <w:rPr>
          <w:rFonts w:hint="eastAsia"/>
        </w:rPr>
        <w:t>告”，选择“计算机软件著作权登记公告”进入登记信息查询界面；</w:t>
      </w:r>
      <w:r>
        <w:t>7、根据下方提示：输入登记证书上面的至少两项信息即可查询到是否公示。如果有你的登记信息证明证书是真实有效的。</w:t>
      </w:r>
    </w:p>
    <w:p w14:paraId="04E747B2" w14:textId="77777777" w:rsidR="00FA0363" w:rsidRDefault="00FA0363" w:rsidP="00FA0363">
      <w:pPr>
        <w:pStyle w:val="ab"/>
        <w:spacing w:before="62" w:after="62"/>
        <w:ind w:firstLine="482"/>
      </w:pPr>
      <w:r>
        <w:t>14.专利资产权属资料核查验证需要注意哪些主要方面？</w:t>
      </w:r>
    </w:p>
    <w:p w14:paraId="37B6248C" w14:textId="77777777" w:rsidR="00FA0363" w:rsidRDefault="00FA0363" w:rsidP="00FA0363">
      <w:pPr>
        <w:pStyle w:val="13"/>
      </w:pPr>
      <w:r>
        <w:rPr>
          <w:rFonts w:hint="eastAsia"/>
        </w:rPr>
        <w:t>根据现行有关规定，尚未获得授权的专利申请的权属资料有（</w:t>
      </w:r>
      <w:r>
        <w:t>1）专利申请受理通知书；（2）专利申请转让或专利申请人名称、地址变更时，还会需要手续合格通知</w:t>
      </w:r>
      <w:r>
        <w:rPr>
          <w:rFonts w:hint="eastAsia"/>
        </w:rPr>
        <w:t>书。（专利申请人名称变更，是指专利申请人的名称变化，如，从</w:t>
      </w:r>
      <w:r>
        <w:t>XX有限责任公司变更为XX股份有限公司）。已获得授权的专利的权属资料有（1）专利证书；（2）专利转让或专利权人名称变更时，还会需要手续合格通知书。（3）评估基准日（或评估基准日后的某日）专利登记薄副本（专利登记簿副本是一种表明专利即时法律状态的证明）。</w:t>
      </w:r>
    </w:p>
    <w:p w14:paraId="61A4E121" w14:textId="77777777" w:rsidR="00FA0363" w:rsidRDefault="00FA0363" w:rsidP="00FA0363">
      <w:pPr>
        <w:pStyle w:val="13"/>
      </w:pPr>
      <w:r>
        <w:rPr>
          <w:rFonts w:hint="eastAsia"/>
        </w:rPr>
        <w:t>如果是单项专利的专利登记簿副本，</w:t>
      </w:r>
      <w:proofErr w:type="gramStart"/>
      <w:r>
        <w:rPr>
          <w:rFonts w:hint="eastAsia"/>
        </w:rPr>
        <w:t>除专利</w:t>
      </w:r>
      <w:proofErr w:type="gramEnd"/>
      <w:r>
        <w:rPr>
          <w:rFonts w:hint="eastAsia"/>
        </w:rPr>
        <w:t>名称、专利号、专利权人等基本内容外，专利登记簿副本的内容还包括：专利权的授予；专利申请权、专利权的转移；专利权的质押、保全及其解除；专利实施许可合同的备案；专利权的无效宣告；专利权的终止；专利权的恢复；专利实施的强制许可；专利权人姓名或者名称、国籍和地址</w:t>
      </w:r>
      <w:r>
        <w:rPr>
          <w:rFonts w:hint="eastAsia"/>
        </w:rPr>
        <w:lastRenderedPageBreak/>
        <w:t>的变更。如果是批量专利的专利登记簿副本，专利登记簿副本的内容，</w:t>
      </w:r>
      <w:proofErr w:type="gramStart"/>
      <w:r>
        <w:rPr>
          <w:rFonts w:hint="eastAsia"/>
        </w:rPr>
        <w:t>除专利</w:t>
      </w:r>
      <w:proofErr w:type="gramEnd"/>
      <w:r>
        <w:rPr>
          <w:rFonts w:hint="eastAsia"/>
        </w:rPr>
        <w:t>名称、专利号、专利权人外，只显示上述日期当日的法律状态，是专利权维持，还是专利权的终止等等。</w:t>
      </w:r>
    </w:p>
    <w:p w14:paraId="0D5D99C4" w14:textId="77777777" w:rsidR="00FA0363" w:rsidRDefault="00FA0363" w:rsidP="00FA0363">
      <w:pPr>
        <w:pStyle w:val="13"/>
        <w:wordWrap w:val="0"/>
      </w:pPr>
      <w:r>
        <w:rPr>
          <w:rFonts w:hint="eastAsia"/>
        </w:rPr>
        <w:t>专利权属资料查询渠道相对开放，在很多网站可以查询相关资料。如，正在申请中的专利可在国家知识产权</w:t>
      </w:r>
      <w:proofErr w:type="gramStart"/>
      <w:r>
        <w:rPr>
          <w:rFonts w:hint="eastAsia"/>
        </w:rPr>
        <w:t>局官网</w:t>
      </w:r>
      <w:proofErr w:type="gramEnd"/>
      <w:r>
        <w:rPr>
          <w:rFonts w:hint="eastAsia"/>
        </w:rPr>
        <w:t>（</w:t>
      </w:r>
      <w:r>
        <w:t>http://www.cnipa.gov.cn/zwfwpt/index.htm）查询。已申请专利的查询，有国知局检索网站（http://cpquery.sipo.gov.cn/）（数据跟新速度快、中国数据最全），速派（http://www.soopat.com/）（响应速度快；</w:t>
      </w:r>
      <w:proofErr w:type="gramStart"/>
      <w:r>
        <w:t>日活量</w:t>
      </w:r>
      <w:proofErr w:type="gramEnd"/>
      <w:r>
        <w:rPr>
          <w:rFonts w:hint="eastAsia"/>
        </w:rPr>
        <w:t>高）</w:t>
      </w:r>
      <w:proofErr w:type="spellStart"/>
      <w:r>
        <w:t>GlobalDossier</w:t>
      </w:r>
      <w:proofErr w:type="spellEnd"/>
      <w:r>
        <w:t>（https://link.zhihu.com/?target=https%3A//globaldossier.uspto.gov/%23/）（由美国专利商标局推出，能够检索到2001年以后的中美日</w:t>
      </w:r>
      <w:proofErr w:type="gramStart"/>
      <w:r>
        <w:t>韩欧五</w:t>
      </w:r>
      <w:proofErr w:type="gramEnd"/>
      <w:r>
        <w:t>大局的每件申请的审查过</w:t>
      </w:r>
      <w:r>
        <w:rPr>
          <w:rFonts w:hint="eastAsia"/>
        </w:rPr>
        <w:t>程，对于有同族的检索尤其有效），</w:t>
      </w:r>
      <w:proofErr w:type="gramStart"/>
      <w:r>
        <w:rPr>
          <w:rFonts w:hint="eastAsia"/>
        </w:rPr>
        <w:t>佰腾网</w:t>
      </w:r>
      <w:proofErr w:type="gramEnd"/>
      <w:r>
        <w:rPr>
          <w:rFonts w:hint="eastAsia"/>
        </w:rPr>
        <w:t>（</w:t>
      </w:r>
      <w:r>
        <w:t>https://www.baiten.cn/）专利之星</w:t>
      </w:r>
      <w:r>
        <w:rPr>
          <w:rFonts w:hint="eastAsia"/>
        </w:rPr>
        <w:t>（</w:t>
      </w:r>
      <w:r>
        <w:t>http://www.patentstar.cn/frmLogin.aspx）（国知局旗下的检索中心开发的一款具备免费检索功能的检索系统（以游客的方式登录即可免费使用），检索方式贴近审查员使用的检索系统，对于普通用户来说需要稍微学习一下检索规则。）大为专利搜索引擎</w:t>
      </w:r>
      <w:r>
        <w:rPr>
          <w:rFonts w:hint="eastAsia"/>
        </w:rPr>
        <w:t>（</w:t>
      </w:r>
      <w:r>
        <w:t>http://www.innojoy.com/search/index.html）WIPO（世界知识产权组织）检索系统</w:t>
      </w:r>
      <w:r>
        <w:rPr>
          <w:rFonts w:hint="eastAsia"/>
        </w:rPr>
        <w:t>（</w:t>
      </w:r>
      <w:r>
        <w:t>https://patentscope2.wipo.int/search/en/structuredSearch.jsf）（</w:t>
      </w:r>
      <w:r>
        <w:rPr>
          <w:rFonts w:hint="eastAsia"/>
        </w:rPr>
        <w:t>主要针对有</w:t>
      </w:r>
      <w:r>
        <w:t>PCT的申请文件，数据范围是全球性的）。专利汇</w:t>
      </w:r>
      <w:r>
        <w:rPr>
          <w:rFonts w:hint="eastAsia"/>
        </w:rPr>
        <w:t>（</w:t>
      </w:r>
      <w:r>
        <w:t>https://www.patenthub.cn/）（速度快，中文数据很全）中国知识产权大数据与智慧服务系统（http://www.zldsj.com/）（数据全更新快，具备初步知识图谱和分析功能，还能提供下载功能）。万象云（https://www.wanxiangyun.net/search/index）（功能与</w:t>
      </w:r>
      <w:proofErr w:type="spellStart"/>
      <w:r>
        <w:t>incopat</w:t>
      </w:r>
      <w:proofErr w:type="spellEnd"/>
      <w:r>
        <w:t>的类似，有初步分析功能和下载功能。）INCOPAT（https://www.incopat.com/）（上手容易，有初步分析功能和下载功能。智慧芽</w:t>
      </w:r>
      <w:r>
        <w:rPr>
          <w:rFonts w:hint="eastAsia"/>
        </w:rPr>
        <w:t>（</w:t>
      </w:r>
      <w:r>
        <w:t>https://www.zhihuiya.com/?utm_source=baidu&amp;utm_medium=cpc&amp;utm_campaign=Patsnap-%E4%B8%93%E5%88%A9%E5%93%81%E7%89%8C&amp;utm_content=%E5%93%81%E7%89%8C-%E4%B8%93%E5%88%A9-%E9%87%8D%E7%82%B9&amp;utm_term=%E6%99%BA%E6%85%A7%E8%8A%BD）</w:t>
      </w:r>
    </w:p>
    <w:p w14:paraId="5AE0A175" w14:textId="77777777" w:rsidR="00FA0363" w:rsidRDefault="00FA0363" w:rsidP="00FA0363">
      <w:pPr>
        <w:pStyle w:val="13"/>
      </w:pPr>
      <w:r>
        <w:rPr>
          <w:rFonts w:hint="eastAsia"/>
        </w:rPr>
        <w:t>同样与</w:t>
      </w:r>
      <w:proofErr w:type="spellStart"/>
      <w:r>
        <w:t>incopat</w:t>
      </w:r>
      <w:proofErr w:type="spellEnd"/>
      <w:r>
        <w:t>和万象云类似，有初步分析功能和下载功能。</w:t>
      </w:r>
      <w:proofErr w:type="spellStart"/>
      <w:r>
        <w:t>Patentics</w:t>
      </w:r>
      <w:proofErr w:type="spellEnd"/>
      <w:r>
        <w:rPr>
          <w:rFonts w:hint="eastAsia"/>
        </w:rPr>
        <w:t>（</w:t>
      </w:r>
      <w:r>
        <w:t>http://www.patentics.com/scn.htm）（</w:t>
      </w:r>
      <w:proofErr w:type="gramStart"/>
      <w:r>
        <w:t>索智推出</w:t>
      </w:r>
      <w:proofErr w:type="gramEnd"/>
      <w:r>
        <w:t>的这个专利检索系统最大的特点就是语义检索的匹配度很高，特别符合审查</w:t>
      </w:r>
      <w:proofErr w:type="gramStart"/>
      <w:r>
        <w:t>员专利</w:t>
      </w:r>
      <w:proofErr w:type="gramEnd"/>
      <w:r>
        <w:t>审查时的检索策略和检索习惯。）</w:t>
      </w:r>
    </w:p>
    <w:p w14:paraId="769EFA9D" w14:textId="77777777" w:rsidR="00FA0363" w:rsidRDefault="00FA0363" w:rsidP="00FA0363">
      <w:pPr>
        <w:pStyle w:val="ab"/>
        <w:spacing w:before="62" w:after="62"/>
        <w:ind w:firstLine="482"/>
      </w:pPr>
      <w:r>
        <w:t>15.船舶权属核查需要注意哪些主要方面？</w:t>
      </w:r>
    </w:p>
    <w:p w14:paraId="4C015591" w14:textId="77777777" w:rsidR="00FA0363" w:rsidRDefault="00FA0363" w:rsidP="00FA0363">
      <w:pPr>
        <w:pStyle w:val="13"/>
      </w:pPr>
      <w:r>
        <w:rPr>
          <w:rFonts w:hint="eastAsia"/>
        </w:rPr>
        <w:t>船舶证书是根据联合国和其他国际组织的有关公约、规则、规定和协定来制定</w:t>
      </w:r>
      <w:r>
        <w:t>的，由船舶登记的国家当局或当局授权的机构签发。未获得必要的证书或证书过期或未进行检验并延期，有关港口当局可以进行强制检验或将船舶滞留。</w:t>
      </w:r>
    </w:p>
    <w:p w14:paraId="6A3C7151" w14:textId="77777777" w:rsidR="00FA0363" w:rsidRDefault="00FA0363" w:rsidP="00FA0363">
      <w:pPr>
        <w:pStyle w:val="13"/>
      </w:pPr>
      <w:r>
        <w:rPr>
          <w:rFonts w:hint="eastAsia"/>
        </w:rPr>
        <w:t>总体来讲，船舶所必须持有的证书大体上分为两大类：一类是由船旗国主管机关颁发的相关法律证书，一类是由各国政府授权的相关船舶检验机构颁发的技术证书。</w:t>
      </w:r>
    </w:p>
    <w:p w14:paraId="2BD421DE" w14:textId="77777777" w:rsidR="00FA0363" w:rsidRDefault="00FA0363" w:rsidP="00FA0363">
      <w:pPr>
        <w:pStyle w:val="13"/>
      </w:pPr>
      <w:r>
        <w:rPr>
          <w:rFonts w:hint="eastAsia"/>
        </w:rPr>
        <w:t>国际航运船舶证书多达</w:t>
      </w:r>
      <w:r>
        <w:t>30多种。与资产评估最为密切的是由船旗国政府颁发的</w:t>
      </w:r>
      <w:r>
        <w:rPr>
          <w:rFonts w:hint="eastAsia"/>
        </w:rPr>
        <w:lastRenderedPageBreak/>
        <w:t>《船舶登记证书》</w:t>
      </w:r>
      <w:r>
        <w:t>CERTIFICATEOFREGISTRY）（船舶国籍证书）。任何一艘船舶，</w:t>
      </w:r>
      <w:r>
        <w:rPr>
          <w:rFonts w:hint="eastAsia"/>
        </w:rPr>
        <w:t>船舶所有人（船东）必须向一个国家政府主管机关进行登记注册，取得登记国的国</w:t>
      </w:r>
      <w:r>
        <w:t>籍，悬挂登记国的国旗，并以登记国的某一个港口作为船籍港，由船舶登记国家主管机关颁发船舶登记证书。船舶的登记基本上有两种方式，一种是在本国进行登记，如中国的船舶所有人在中国境内进行登记，悬挂中国国旗，注册港口一般为船公司所在地，中国船舶登记的政府主管机关是中国海事局。还有一种登记方式是船舶所有人不在本国境内登记，而是将船舶在国外某一国家进行登记注册，悬挂登记注册国的国旗，</w:t>
      </w:r>
      <w:proofErr w:type="gramStart"/>
      <w:r>
        <w:t>受登记</w:t>
      </w:r>
      <w:proofErr w:type="gramEnd"/>
      <w:r>
        <w:t>注册国的相关法律制约，向登记注册国政府交纳营业税，针对中国</w:t>
      </w:r>
      <w:r>
        <w:rPr>
          <w:rFonts w:hint="eastAsia"/>
        </w:rPr>
        <w:t>航运企业，这种现象也非常普遍。</w:t>
      </w:r>
    </w:p>
    <w:p w14:paraId="04241BA4" w14:textId="77777777" w:rsidR="00FA0363" w:rsidRDefault="00FA0363" w:rsidP="00FA0363">
      <w:pPr>
        <w:pStyle w:val="13"/>
      </w:pPr>
      <w:r>
        <w:rPr>
          <w:rFonts w:hint="eastAsia"/>
        </w:rPr>
        <w:t>中国籍的船舶还应取得《船舶所有权证书》，上述证书</w:t>
      </w:r>
      <w:proofErr w:type="gramStart"/>
      <w:r>
        <w:rPr>
          <w:rFonts w:hint="eastAsia"/>
        </w:rPr>
        <w:t>中注均明了</w:t>
      </w:r>
      <w:proofErr w:type="gramEnd"/>
      <w:r>
        <w:rPr>
          <w:rFonts w:hint="eastAsia"/>
        </w:rPr>
        <w:t>船舶的所有人。中国籍船舶的《船舶所有权证书》上会注明船舶的共有情况、</w:t>
      </w:r>
      <w:proofErr w:type="gramStart"/>
      <w:r>
        <w:rPr>
          <w:rFonts w:hint="eastAsia"/>
        </w:rPr>
        <w:t>它项权利</w:t>
      </w:r>
      <w:proofErr w:type="gramEnd"/>
      <w:r>
        <w:rPr>
          <w:rFonts w:hint="eastAsia"/>
        </w:rPr>
        <w:t>情况。</w:t>
      </w:r>
    </w:p>
    <w:p w14:paraId="78451BD2" w14:textId="77777777" w:rsidR="00FA0363" w:rsidRDefault="00FA0363" w:rsidP="00FA0363">
      <w:pPr>
        <w:pStyle w:val="13"/>
      </w:pPr>
      <w:r>
        <w:rPr>
          <w:rFonts w:hint="eastAsia"/>
        </w:rPr>
        <w:t>船舶权属核查验证时，需要关注如下问题：</w:t>
      </w:r>
    </w:p>
    <w:p w14:paraId="0E493ECE" w14:textId="77777777" w:rsidR="00FA0363" w:rsidRDefault="00FA0363" w:rsidP="00FA0363">
      <w:pPr>
        <w:pStyle w:val="13"/>
      </w:pPr>
      <w:r>
        <w:rPr>
          <w:rFonts w:hint="eastAsia"/>
        </w:rPr>
        <w:t>（</w:t>
      </w:r>
      <w:r>
        <w:t>1）船舶证书有效性或时效性核查。船舶特殊性和极高的安全性要求对各类证书有有效期的严格要求，证书失效将导致船舶不具备适航条件。以中华人民共和国船舶检验局为例，其颁发的船舶检验证书称为《船舶检验证书簿》。船舶检验证书（</w:t>
      </w:r>
      <w:proofErr w:type="spellStart"/>
      <w:r>
        <w:t>shipcertificatesofinspection</w:t>
      </w:r>
      <w:proofErr w:type="spellEnd"/>
      <w:r>
        <w:t>）是验船机构对船舶进行技术检验后签发的证明文件，其作用是证明船舶结构、船舶载重线、船舶稳性、抗沉性、吨位、舾装设备、消防设备、起货设备、主辅机械设备、锅炉和受压容器、电气设备、无线电通信设备和信号设备符合有关国际公约或船舶规范的要求</w:t>
      </w:r>
      <w:r>
        <w:rPr>
          <w:rFonts w:hint="eastAsia"/>
        </w:rPr>
        <w:t>。对于中国籍的船舶，评估师需要取得《船舶检验证书簿》，并查验其中的各项证书是否在有效期内。</w:t>
      </w:r>
    </w:p>
    <w:p w14:paraId="2AFB0D86" w14:textId="77777777" w:rsidR="00FA0363" w:rsidRDefault="00FA0363" w:rsidP="00FA0363">
      <w:pPr>
        <w:pStyle w:val="13"/>
      </w:pPr>
      <w:r>
        <w:rPr>
          <w:rFonts w:hint="eastAsia"/>
        </w:rPr>
        <w:t>（</w:t>
      </w:r>
      <w:r>
        <w:t>2）船舶证书完整性核查。根据船舶的类型、船籍和航线等确定所搜集证书的种类。一般情况下，船东现场会提供一套完整的船舶证书。中国籍船舶，《船舶检验证书簿》基本涵盖了所需的各类船舶证书。</w:t>
      </w:r>
    </w:p>
    <w:p w14:paraId="7C42995B" w14:textId="77777777" w:rsidR="00FA0363" w:rsidRDefault="00FA0363" w:rsidP="00FA0363">
      <w:pPr>
        <w:pStyle w:val="13"/>
      </w:pPr>
      <w:r>
        <w:rPr>
          <w:rFonts w:hint="eastAsia"/>
        </w:rPr>
        <w:t>（</w:t>
      </w:r>
      <w:r>
        <w:t>3）船舶和证书真实性核查。船舶资产价值较高，大型船舶的造价甚至高达上亿美元，属于企业的最重要的资产，评估师现场对各类证书需与原件进行核实，并要求企业盖章确认。此外，评估师需要对船舶进行现场勘察核实，一方面确定船舶的真实性，另一方面根据对船体、轮机、舾装和电气设备的勘察，从而作为确定船舶成新率的依据。</w:t>
      </w:r>
    </w:p>
    <w:p w14:paraId="2202236F" w14:textId="77777777" w:rsidR="00FA0363" w:rsidRDefault="00FA0363" w:rsidP="00FA0363">
      <w:pPr>
        <w:pStyle w:val="13"/>
      </w:pPr>
      <w:r>
        <w:rPr>
          <w:rFonts w:hint="eastAsia"/>
        </w:rPr>
        <w:t>随着科技手段的不断发展进步，对于由于船舶在航线中行驶无法现场勘察时，评估师可以查询相关网站确定航行历史记录和现时航线，例如，我们可以登录“船讯网”（</w:t>
      </w:r>
      <w:r>
        <w:t>http://www.shipxy.com/）查询船舶的现时航行情况以及相关数据，以确定船舶资产的真实性。</w:t>
      </w:r>
    </w:p>
    <w:p w14:paraId="4716180A" w14:textId="3E376E4D" w:rsidR="00FA0363" w:rsidRDefault="00FA0363" w:rsidP="00AF7342">
      <w:pPr>
        <w:pStyle w:val="13"/>
        <w:ind w:firstLineChars="0" w:firstLine="0"/>
        <w:rPr>
          <w:rStyle w:val="aa"/>
        </w:rPr>
      </w:pPr>
      <w:r w:rsidRPr="006A1589">
        <w:rPr>
          <w:rStyle w:val="aa"/>
          <w:rFonts w:hint="eastAsia"/>
        </w:rPr>
        <w:t>第四部分</w:t>
      </w:r>
      <w:r w:rsidR="00F811C3">
        <w:rPr>
          <w:rStyle w:val="aa"/>
          <w:rFonts w:hint="eastAsia"/>
        </w:rPr>
        <w:t xml:space="preserve"> </w:t>
      </w:r>
      <w:r w:rsidRPr="006A1589">
        <w:rPr>
          <w:rStyle w:val="aa"/>
        </w:rPr>
        <w:t>问题解答起草专家名单</w:t>
      </w:r>
    </w:p>
    <w:p w14:paraId="35A512BF" w14:textId="77777777" w:rsidR="00FA0363" w:rsidRDefault="00FA0363" w:rsidP="00FA0363">
      <w:pPr>
        <w:pStyle w:val="13"/>
      </w:pPr>
      <w:r>
        <w:t>编写人：王生龙</w:t>
      </w:r>
      <w:r>
        <w:tab/>
        <w:t>高艳华中瑞</w:t>
      </w:r>
      <w:proofErr w:type="gramStart"/>
      <w:r>
        <w:t>世联资产</w:t>
      </w:r>
      <w:proofErr w:type="gramEnd"/>
      <w:r>
        <w:t>评估集团公司</w:t>
      </w:r>
    </w:p>
    <w:p w14:paraId="18CCFE6F" w14:textId="77777777" w:rsidR="00FA0363" w:rsidRDefault="00FA0363" w:rsidP="00FA0363">
      <w:pPr>
        <w:pStyle w:val="13"/>
      </w:pPr>
      <w:r>
        <w:rPr>
          <w:rFonts w:hint="eastAsia"/>
        </w:rPr>
        <w:lastRenderedPageBreak/>
        <w:t>杨剑萍</w:t>
      </w:r>
      <w:r>
        <w:tab/>
        <w:t>中水致</w:t>
      </w:r>
      <w:proofErr w:type="gramStart"/>
      <w:r>
        <w:t>远资产</w:t>
      </w:r>
      <w:proofErr w:type="gramEnd"/>
      <w:r>
        <w:t>评估有限公司</w:t>
      </w:r>
    </w:p>
    <w:p w14:paraId="0B49A206" w14:textId="77777777" w:rsidR="00FA0363" w:rsidRDefault="00FA0363" w:rsidP="00FA0363">
      <w:pPr>
        <w:pStyle w:val="13"/>
      </w:pPr>
      <w:r>
        <w:t>刘</w:t>
      </w:r>
      <w:r>
        <w:tab/>
      </w:r>
      <w:proofErr w:type="gramStart"/>
      <w:r>
        <w:t>珂</w:t>
      </w:r>
      <w:proofErr w:type="gramEnd"/>
      <w:r>
        <w:tab/>
        <w:t>中企</w:t>
      </w:r>
      <w:proofErr w:type="gramStart"/>
      <w:r>
        <w:t>华资产</w:t>
      </w:r>
      <w:proofErr w:type="gramEnd"/>
      <w:r>
        <w:t>评估有限责任公司</w:t>
      </w:r>
    </w:p>
    <w:p w14:paraId="22D96E6A" w14:textId="77777777" w:rsidR="00FA0363" w:rsidRDefault="00FA0363" w:rsidP="00FA0363">
      <w:pPr>
        <w:pStyle w:val="13"/>
      </w:pPr>
      <w:r>
        <w:rPr>
          <w:rFonts w:hint="eastAsia"/>
        </w:rPr>
        <w:t>刘伍堂</w:t>
      </w:r>
      <w:r>
        <w:tab/>
        <w:t>连城资产评估有限公司</w:t>
      </w:r>
    </w:p>
    <w:p w14:paraId="0A6D8EC2" w14:textId="77777777" w:rsidR="00FA0363" w:rsidRDefault="00FA0363" w:rsidP="00FA0363">
      <w:pPr>
        <w:pStyle w:val="13"/>
      </w:pPr>
      <w:r>
        <w:t>王崇虎</w:t>
      </w:r>
      <w:r>
        <w:tab/>
        <w:t>中和资产评估有限公司</w:t>
      </w:r>
    </w:p>
    <w:p w14:paraId="280A6F6F" w14:textId="77777777" w:rsidR="00FA0363" w:rsidRDefault="00FA0363" w:rsidP="00FA0363">
      <w:pPr>
        <w:pStyle w:val="13"/>
      </w:pPr>
      <w:r>
        <w:t>赵</w:t>
      </w:r>
      <w:r>
        <w:tab/>
        <w:t>林</w:t>
      </w:r>
      <w:r>
        <w:tab/>
        <w:t>中同</w:t>
      </w:r>
      <w:proofErr w:type="gramStart"/>
      <w:r>
        <w:t>华资产</w:t>
      </w:r>
      <w:proofErr w:type="gramEnd"/>
      <w:r>
        <w:t>评估有限公司</w:t>
      </w:r>
    </w:p>
    <w:p w14:paraId="3361CFB0" w14:textId="77777777" w:rsidR="00FA0363" w:rsidRDefault="00FA0363" w:rsidP="00FA0363">
      <w:pPr>
        <w:pStyle w:val="13"/>
      </w:pPr>
      <w:r>
        <w:rPr>
          <w:rFonts w:hint="eastAsia"/>
        </w:rPr>
        <w:t>刘兴旺</w:t>
      </w:r>
      <w:r>
        <w:tab/>
        <w:t>天健兴业资产评估有限公司</w:t>
      </w:r>
    </w:p>
    <w:p w14:paraId="4A696F06" w14:textId="77777777" w:rsidR="00FA0363" w:rsidRDefault="00FA0363" w:rsidP="00FA0363">
      <w:pPr>
        <w:pStyle w:val="13"/>
      </w:pPr>
      <w:r>
        <w:rPr>
          <w:rFonts w:hint="eastAsia"/>
        </w:rPr>
        <w:t>潘</w:t>
      </w:r>
      <w:r>
        <w:t>宇方</w:t>
      </w:r>
      <w:proofErr w:type="gramStart"/>
      <w:r>
        <w:t>炜</w:t>
      </w:r>
      <w:proofErr w:type="gramEnd"/>
      <w:r>
        <w:tab/>
      </w:r>
      <w:proofErr w:type="gramStart"/>
      <w:r>
        <w:t>中通诚资产</w:t>
      </w:r>
      <w:proofErr w:type="gramEnd"/>
      <w:r>
        <w:t>评估有限责任公司</w:t>
      </w:r>
    </w:p>
    <w:p w14:paraId="49D51C16" w14:textId="77777777" w:rsidR="00FA0363" w:rsidRDefault="00FA0363" w:rsidP="00FA0363">
      <w:pPr>
        <w:pStyle w:val="13"/>
      </w:pPr>
      <w:proofErr w:type="gramStart"/>
      <w:r>
        <w:t>李向亮</w:t>
      </w:r>
      <w:proofErr w:type="gramEnd"/>
      <w:r>
        <w:tab/>
        <w:t>北京工商大学经济学院</w:t>
      </w:r>
    </w:p>
    <w:p w14:paraId="062E3993" w14:textId="77777777" w:rsidR="00FA0363" w:rsidRDefault="00FA0363" w:rsidP="00FA0363">
      <w:pPr>
        <w:pStyle w:val="31"/>
        <w:spacing w:before="156" w:after="62"/>
      </w:pPr>
      <w:bookmarkStart w:id="115" w:name="_Toc81833377"/>
      <w:r>
        <w:rPr>
          <w:rFonts w:hint="eastAsia"/>
        </w:rPr>
        <w:t>北京资产评估协会风险管理委员会风险研究报告</w:t>
      </w:r>
      <w:r>
        <w:t>2019年第1期—企业价值评估</w:t>
      </w:r>
      <w:bookmarkEnd w:id="115"/>
    </w:p>
    <w:p w14:paraId="36636B3C" w14:textId="77777777" w:rsidR="00FA0363" w:rsidRDefault="00FA0363" w:rsidP="00FA0363">
      <w:pPr>
        <w:pStyle w:val="13"/>
      </w:pPr>
      <w:r>
        <w:rPr>
          <w:rFonts w:hint="eastAsia"/>
        </w:rPr>
        <w:t>【特别提示】为促进北京地区资产评估机构提高风险意识，健全内部管理，防范执业风险，北京资产评估协会风险管理委员会针对行业执业质量检查、证监会及各地监管局对资产评估机构处罚中发现的问题开展了系列研究，并形成专项报告。现将研究报告予以发布，供大家在执业中参考。研究报告仅代表专家个人观点，不属于资产评估执业规范性文件。</w:t>
      </w:r>
    </w:p>
    <w:p w14:paraId="1F15A46E" w14:textId="77777777" w:rsidR="00FA0363" w:rsidRDefault="00FA0363" w:rsidP="00FA0363">
      <w:pPr>
        <w:pStyle w:val="13"/>
      </w:pPr>
      <w:r>
        <w:rPr>
          <w:rFonts w:hint="eastAsia"/>
        </w:rPr>
        <w:t>根据公开信息，</w:t>
      </w:r>
      <w:r>
        <w:t>2019年1-12月，证监会及各地监管局对资产评估机构出具了3份行政处罚、18份警示函、3份监管谈话文件，24份惩处文件涉及28个评估项目，其中股权收购评估项目10个、商誉减值测试评估项目12个、股权转让评估项目3个、投</w:t>
      </w:r>
      <w:r>
        <w:rPr>
          <w:rFonts w:hint="eastAsia"/>
        </w:rPr>
        <w:t>资性房地产评估项目</w:t>
      </w:r>
      <w:r>
        <w:t>2个、无形资产评估项目1个。</w:t>
      </w:r>
    </w:p>
    <w:p w14:paraId="1C51DC51" w14:textId="77777777" w:rsidR="00FA0363" w:rsidRDefault="00FA0363" w:rsidP="00FA0363">
      <w:pPr>
        <w:pStyle w:val="13"/>
      </w:pPr>
      <w:r>
        <w:rPr>
          <w:rFonts w:hint="eastAsia"/>
        </w:rPr>
        <w:t>惩处文件涉及的企业价值评估项目中监管处罚问题共计</w:t>
      </w:r>
      <w:r>
        <w:t>77个，委员会对其进行分析整理，将其中典型问题从以下三个方面进行风险提示：执业质量控制制度、评估程序缺失、其他问题。</w:t>
      </w:r>
    </w:p>
    <w:p w14:paraId="0B7DC66D" w14:textId="77777777" w:rsidR="00FA0363" w:rsidRDefault="00FA0363" w:rsidP="00FA0363">
      <w:pPr>
        <w:pStyle w:val="ab"/>
        <w:spacing w:before="62" w:after="62"/>
        <w:ind w:firstLine="482"/>
      </w:pPr>
      <w:r>
        <w:rPr>
          <w:rFonts w:hint="eastAsia"/>
        </w:rPr>
        <w:t>一、执业质量控制制度风险提示</w:t>
      </w:r>
    </w:p>
    <w:p w14:paraId="73320382" w14:textId="77777777" w:rsidR="00FA0363" w:rsidRDefault="00FA0363" w:rsidP="00FA0363">
      <w:pPr>
        <w:pStyle w:val="13"/>
      </w:pPr>
      <w:r>
        <w:rPr>
          <w:rFonts w:hint="eastAsia"/>
        </w:rPr>
        <w:t>（一）监管案例中提出的问题</w:t>
      </w:r>
    </w:p>
    <w:p w14:paraId="60BD901B" w14:textId="77777777" w:rsidR="00FA0363" w:rsidRDefault="00FA0363" w:rsidP="00FA0363">
      <w:pPr>
        <w:pStyle w:val="13"/>
      </w:pPr>
      <w:r>
        <w:t>1.</w:t>
      </w:r>
      <w:r>
        <w:tab/>
        <w:t>公司内部制度不完善，未设立客户沟通、投诉处理的专职部门或岗位；未对分支机构定期或不定期的业务检查进行留痕记录。</w:t>
      </w:r>
    </w:p>
    <w:p w14:paraId="634E3BA4" w14:textId="77777777" w:rsidR="00FA0363" w:rsidRDefault="00FA0363" w:rsidP="00FA0363">
      <w:pPr>
        <w:pStyle w:val="13"/>
      </w:pPr>
      <w:r>
        <w:t>2.</w:t>
      </w:r>
      <w:r>
        <w:tab/>
        <w:t>内部审核程序流于形式。评估师未对质量复核人提出的复核意见予以充分回复的情况下，出具评估报告。</w:t>
      </w:r>
    </w:p>
    <w:p w14:paraId="4B52E8A1" w14:textId="77777777" w:rsidR="00FA0363" w:rsidRDefault="00FA0363" w:rsidP="00FA0363">
      <w:pPr>
        <w:pStyle w:val="13"/>
      </w:pPr>
      <w:r>
        <w:t>3.</w:t>
      </w:r>
      <w:r>
        <w:tab/>
        <w:t>评估底稿中未对评估报告三级审核工作记录打印归档。</w:t>
      </w:r>
    </w:p>
    <w:p w14:paraId="46B35176" w14:textId="77777777" w:rsidR="00FA0363" w:rsidRDefault="00FA0363" w:rsidP="00FA0363">
      <w:pPr>
        <w:pStyle w:val="13"/>
      </w:pPr>
      <w:r>
        <w:t>4.</w:t>
      </w:r>
      <w:r>
        <w:tab/>
        <w:t>业务风险评估程序不到位。评估底稿中《评估项目风险评价表》记录的内容与实际情况不符。</w:t>
      </w:r>
    </w:p>
    <w:p w14:paraId="68490810" w14:textId="77777777" w:rsidR="00FA0363" w:rsidRDefault="00FA0363" w:rsidP="00FA0363">
      <w:pPr>
        <w:pStyle w:val="13"/>
      </w:pPr>
      <w:r>
        <w:t>5.</w:t>
      </w:r>
      <w:r>
        <w:tab/>
        <w:t>业务约定</w:t>
      </w:r>
      <w:proofErr w:type="gramStart"/>
      <w:r>
        <w:t>书签订</w:t>
      </w:r>
      <w:proofErr w:type="gramEnd"/>
      <w:r>
        <w:t>时间晚于评估报告出具日。</w:t>
      </w:r>
    </w:p>
    <w:p w14:paraId="54C732BD" w14:textId="77777777" w:rsidR="00FA0363" w:rsidRDefault="00FA0363" w:rsidP="00FA0363">
      <w:pPr>
        <w:pStyle w:val="13"/>
      </w:pPr>
      <w:r>
        <w:t>6.</w:t>
      </w:r>
      <w:r>
        <w:tab/>
        <w:t>评估业务基本事项调查表填表日期为2017年8月1日，评估程序表底中复核日</w:t>
      </w:r>
      <w:r>
        <w:rPr>
          <w:rFonts w:hint="eastAsia"/>
        </w:rPr>
        <w:t>期为</w:t>
      </w:r>
      <w:r>
        <w:t>2017年9月1日，晚于评估报告日2017年7月21日。</w:t>
      </w:r>
    </w:p>
    <w:p w14:paraId="78F27032" w14:textId="77777777" w:rsidR="00FA0363" w:rsidRDefault="00FA0363" w:rsidP="00FA0363">
      <w:pPr>
        <w:pStyle w:val="13"/>
      </w:pPr>
      <w:r>
        <w:rPr>
          <w:rFonts w:hint="eastAsia"/>
        </w:rPr>
        <w:lastRenderedPageBreak/>
        <w:t>（二）执业风险提示</w:t>
      </w:r>
    </w:p>
    <w:p w14:paraId="07C731D1" w14:textId="77777777" w:rsidR="00FA0363" w:rsidRDefault="00FA0363" w:rsidP="00FA0363">
      <w:pPr>
        <w:pStyle w:val="13"/>
      </w:pPr>
      <w:proofErr w:type="gramStart"/>
      <w:r>
        <w:rPr>
          <w:rFonts w:hint="eastAsia"/>
        </w:rPr>
        <w:t>内部质控控制</w:t>
      </w:r>
      <w:proofErr w:type="gramEnd"/>
      <w:r>
        <w:rPr>
          <w:rFonts w:hint="eastAsia"/>
        </w:rPr>
        <w:t>制度相关问题共计</w:t>
      </w:r>
      <w:r>
        <w:t>15个，占比19.5%。包含公司质量控制制度不健全和评估人员素质有待提高两个方面。从上述问题看，评估机构内部治理机制和管理制度建设没有完全到位，或评估机构虽然建立了风控制度，但落实执行情况和执行效果不到位形成的。</w:t>
      </w:r>
    </w:p>
    <w:p w14:paraId="7FCED7F1" w14:textId="77777777" w:rsidR="00FA0363" w:rsidRDefault="00FA0363" w:rsidP="00FA0363">
      <w:pPr>
        <w:pStyle w:val="13"/>
      </w:pPr>
      <w:r>
        <w:rPr>
          <w:rFonts w:hint="eastAsia"/>
        </w:rPr>
        <w:t>另外，加强评估专业人员的执业素养是专业胜任能力风险防范与应对的最佳途径。评估机构日常应组织有针对性的理论学习、评估准则学习和有关职业道德教育等；评估人员应通过对所做项目的重温总结经验教训。</w:t>
      </w:r>
    </w:p>
    <w:p w14:paraId="3D3F4185" w14:textId="77777777" w:rsidR="00FA0363" w:rsidRDefault="00FA0363" w:rsidP="00FA0363">
      <w:pPr>
        <w:pStyle w:val="ab"/>
        <w:spacing w:before="62" w:after="62"/>
        <w:ind w:firstLine="482"/>
      </w:pPr>
      <w:r>
        <w:rPr>
          <w:rFonts w:hint="eastAsia"/>
        </w:rPr>
        <w:t>二、执业程序缺失风险提示</w:t>
      </w:r>
    </w:p>
    <w:p w14:paraId="3EC166A8" w14:textId="77777777" w:rsidR="00FA0363" w:rsidRDefault="00FA0363" w:rsidP="00FA0363">
      <w:pPr>
        <w:pStyle w:val="13"/>
      </w:pPr>
      <w:r>
        <w:rPr>
          <w:rFonts w:hint="eastAsia"/>
        </w:rPr>
        <w:t>（一）监管案例中关于现场调查提出的问题</w:t>
      </w:r>
    </w:p>
    <w:p w14:paraId="1C8BFE9E" w14:textId="77777777" w:rsidR="00FA0363" w:rsidRDefault="00FA0363" w:rsidP="00FA0363">
      <w:pPr>
        <w:pStyle w:val="13"/>
      </w:pPr>
      <w:r>
        <w:t>1.</w:t>
      </w:r>
      <w:r>
        <w:tab/>
        <w:t>未通过适当方式对应收票据进行调查以获取需要的基础资料，未针对应收股利、应付股利的评估获取完整的基础资料等评估程序不完整的情形。</w:t>
      </w:r>
    </w:p>
    <w:p w14:paraId="41B3C718" w14:textId="77777777" w:rsidR="00FA0363" w:rsidRDefault="00FA0363" w:rsidP="00FA0363">
      <w:pPr>
        <w:pStyle w:val="13"/>
      </w:pPr>
      <w:r>
        <w:t>2.</w:t>
      </w:r>
      <w:r>
        <w:tab/>
        <w:t>采用资产基础法评估时，存在递延所得税、预收账款评估资料不完整，取得的被评估单位资料不符合准则要求等情形。</w:t>
      </w:r>
    </w:p>
    <w:p w14:paraId="28E9B970" w14:textId="77777777" w:rsidR="00FA0363" w:rsidRDefault="00FA0363" w:rsidP="00FA0363">
      <w:pPr>
        <w:pStyle w:val="13"/>
      </w:pPr>
      <w:r>
        <w:t>3.</w:t>
      </w:r>
      <w:r>
        <w:tab/>
        <w:t>个别银行存款评估过程中，未取得评估基准日银行账户对账单及银行存款余额调节表。</w:t>
      </w:r>
    </w:p>
    <w:p w14:paraId="297BCFBC" w14:textId="77777777" w:rsidR="00FA0363" w:rsidRDefault="00FA0363" w:rsidP="00FA0363">
      <w:pPr>
        <w:pStyle w:val="13"/>
      </w:pPr>
      <w:r>
        <w:t>4.</w:t>
      </w:r>
      <w:r>
        <w:tab/>
        <w:t>评估说明称“其他非流动资产账面价值5,329,976.01元，共5项。经核实相关资料和账面记录等，按财务会计制度核实，未发现不符情况”，评估底稿中未见关于其他非流动资产的评估底稿。</w:t>
      </w:r>
    </w:p>
    <w:p w14:paraId="0DDD352B" w14:textId="77777777" w:rsidR="00FA0363" w:rsidRDefault="00FA0363" w:rsidP="00FA0363">
      <w:pPr>
        <w:pStyle w:val="13"/>
      </w:pPr>
      <w:r>
        <w:rPr>
          <w:rFonts w:hint="eastAsia"/>
        </w:rPr>
        <w:t>（二）监管案例中关于现场勘查记录、书面询问记录、</w:t>
      </w:r>
      <w:proofErr w:type="gramStart"/>
      <w:r>
        <w:rPr>
          <w:rFonts w:hint="eastAsia"/>
        </w:rPr>
        <w:t>函证记录</w:t>
      </w:r>
      <w:proofErr w:type="gramEnd"/>
      <w:r>
        <w:rPr>
          <w:rFonts w:hint="eastAsia"/>
        </w:rPr>
        <w:t>等方面提出的问题</w:t>
      </w:r>
    </w:p>
    <w:p w14:paraId="7A4D6C3D" w14:textId="77777777" w:rsidR="00FA0363" w:rsidRDefault="00FA0363" w:rsidP="00FA0363">
      <w:pPr>
        <w:pStyle w:val="13"/>
      </w:pPr>
      <w:r>
        <w:t>1.</w:t>
      </w:r>
      <w:r>
        <w:tab/>
        <w:t>评估程序不完整。未对银行账户截至评估基准日的余额实施评估程序，部分银行</w:t>
      </w:r>
      <w:r>
        <w:rPr>
          <w:rFonts w:hint="eastAsia"/>
        </w:rPr>
        <w:t>存款</w:t>
      </w:r>
      <w:proofErr w:type="gramStart"/>
      <w:r>
        <w:rPr>
          <w:rFonts w:hint="eastAsia"/>
        </w:rPr>
        <w:t>未函证</w:t>
      </w:r>
      <w:proofErr w:type="gramEnd"/>
      <w:r>
        <w:rPr>
          <w:rFonts w:hint="eastAsia"/>
        </w:rPr>
        <w:t>也未取得审计机构基于评估基准日的</w:t>
      </w:r>
      <w:proofErr w:type="gramStart"/>
      <w:r>
        <w:rPr>
          <w:rFonts w:hint="eastAsia"/>
        </w:rPr>
        <w:t>询证函</w:t>
      </w:r>
      <w:proofErr w:type="gramEnd"/>
      <w:r>
        <w:rPr>
          <w:rFonts w:hint="eastAsia"/>
        </w:rPr>
        <w:t>回函。</w:t>
      </w:r>
    </w:p>
    <w:p w14:paraId="073E5427" w14:textId="77777777" w:rsidR="00FA0363" w:rsidRDefault="00FA0363" w:rsidP="00FA0363">
      <w:pPr>
        <w:pStyle w:val="13"/>
      </w:pPr>
      <w:r>
        <w:t>2.</w:t>
      </w:r>
      <w:r>
        <w:tab/>
        <w:t>所得税审计数与所得税申报表数不符且未见底稿中有相应分析和说明。</w:t>
      </w:r>
    </w:p>
    <w:p w14:paraId="7D2F1689" w14:textId="77777777" w:rsidR="00FA0363" w:rsidRDefault="00FA0363" w:rsidP="00FA0363">
      <w:pPr>
        <w:pStyle w:val="13"/>
      </w:pPr>
      <w:r>
        <w:t>3.</w:t>
      </w:r>
      <w:r>
        <w:tab/>
        <w:t>未对母公司及各子公司库存现金、存货、固定资产实施必要</w:t>
      </w:r>
      <w:proofErr w:type="gramStart"/>
      <w:r>
        <w:t>的监盘程序</w:t>
      </w:r>
      <w:proofErr w:type="gramEnd"/>
      <w:r>
        <w:t>，未对母公司及各子公司固定资产-机器设备、电子设备、车辆及车辆评估中重要调整因素已行驶里程</w:t>
      </w:r>
      <w:proofErr w:type="gramStart"/>
      <w:r>
        <w:t>数实施</w:t>
      </w:r>
      <w:proofErr w:type="gramEnd"/>
      <w:r>
        <w:t>有效的勘查、调查程序。</w:t>
      </w:r>
    </w:p>
    <w:p w14:paraId="128072B8" w14:textId="77777777" w:rsidR="00FA0363" w:rsidRDefault="00FA0363" w:rsidP="00FA0363">
      <w:pPr>
        <w:pStyle w:val="13"/>
      </w:pPr>
      <w:r>
        <w:t>4.</w:t>
      </w:r>
      <w:r>
        <w:tab/>
        <w:t>采用收益法评估时，对于标的公司提供的与未来收益预测密切相关的主要销售订单，没有将相关协议传真件与原件进行核对；未对协议对方当事人名称与工商登记信息及印章名称核对，部门印章法律效力存疑及缺少签署日期等明显异常未采取进一步措施进行核查验证，导致未能发现该协议未经对方当事人真实签署的情况。</w:t>
      </w:r>
    </w:p>
    <w:p w14:paraId="64BDB483" w14:textId="77777777" w:rsidR="00FA0363" w:rsidRDefault="00FA0363" w:rsidP="00FA0363">
      <w:pPr>
        <w:pStyle w:val="13"/>
      </w:pPr>
      <w:r>
        <w:t>5.</w:t>
      </w:r>
      <w:r>
        <w:tab/>
        <w:t>抽样访谈比例过低等。</w:t>
      </w:r>
    </w:p>
    <w:p w14:paraId="5CC30438" w14:textId="77777777" w:rsidR="00FA0363" w:rsidRDefault="00FA0363" w:rsidP="00FA0363">
      <w:pPr>
        <w:pStyle w:val="13"/>
      </w:pPr>
      <w:r>
        <w:rPr>
          <w:rFonts w:hint="eastAsia"/>
        </w:rPr>
        <w:t>（三）监管案例中关于收集评估资料提出的问题</w:t>
      </w:r>
    </w:p>
    <w:p w14:paraId="4085B122" w14:textId="77777777" w:rsidR="00FA0363" w:rsidRDefault="00FA0363" w:rsidP="00FA0363">
      <w:pPr>
        <w:pStyle w:val="13"/>
      </w:pPr>
      <w:r>
        <w:t>1.</w:t>
      </w:r>
      <w:r>
        <w:tab/>
        <w:t>对于评估说明市场法中“通过网上查询得到国内机构计算的部分汽车企业</w:t>
      </w:r>
      <w:r>
        <w:lastRenderedPageBreak/>
        <w:t>上市公司的不可流动折扣率”，以及收益法中“营业税金及附加的测算税率依据系最新2016汽车整车制造行业平均增值税税负率2.93%”的表述，底稿中均无相关文件及网址说明，</w:t>
      </w:r>
      <w:proofErr w:type="gramStart"/>
      <w:r>
        <w:t>且数据</w:t>
      </w:r>
      <w:proofErr w:type="gramEnd"/>
      <w:r>
        <w:t>来源均为百度查询，数据的可靠性不足。</w:t>
      </w:r>
    </w:p>
    <w:p w14:paraId="63E9488E" w14:textId="77777777" w:rsidR="00FA0363" w:rsidRDefault="00FA0363" w:rsidP="00FA0363">
      <w:pPr>
        <w:pStyle w:val="13"/>
      </w:pPr>
      <w:r>
        <w:t>2.</w:t>
      </w:r>
      <w:r>
        <w:tab/>
        <w:t>标的公司预测销售渠道收入2019年及以后呈现高增长趋势，预测依据为历史销售收入规模、同比增长情况、销售计划、开店计划、运营规划、营销推广计划等，但管理层盈利预测中并无2019年度及以后的具体销售计划、开店计划、运营规划、营销推广计划等，在未获取上述依据的情形下，认可了管理层的预测金额，其业绩高增长的评估预测依据不足。</w:t>
      </w:r>
    </w:p>
    <w:p w14:paraId="07915C50" w14:textId="77777777" w:rsidR="00FA0363" w:rsidRDefault="00FA0363" w:rsidP="00FA0363">
      <w:pPr>
        <w:pStyle w:val="13"/>
      </w:pPr>
      <w:r>
        <w:t>3.</w:t>
      </w:r>
      <w:r>
        <w:tab/>
        <w:t>获取的标的公司管理层关于渠道销售预测的底稿中，缺乏部分品牌高增长的依据及其说明，标的公司基础预测数据等应由标的公司提供的重要资料无签字、印章或其</w:t>
      </w:r>
      <w:r>
        <w:rPr>
          <w:rFonts w:hint="eastAsia"/>
        </w:rPr>
        <w:t>他法律允许的方式。</w:t>
      </w:r>
    </w:p>
    <w:p w14:paraId="6E8F0BAD" w14:textId="77777777" w:rsidR="00FA0363" w:rsidRDefault="00FA0363" w:rsidP="00FA0363">
      <w:pPr>
        <w:pStyle w:val="13"/>
      </w:pPr>
      <w:r>
        <w:t>4.</w:t>
      </w:r>
      <w:r>
        <w:tab/>
        <w:t>收益法预测依据不足主要表现：（1）母公司其他业务收入预测依据不足；（2）部分子公司收入预测中各期机组达到稳定发电量前每年发电利用小时</w:t>
      </w:r>
      <w:proofErr w:type="gramStart"/>
      <w:r>
        <w:t>数预测</w:t>
      </w:r>
      <w:proofErr w:type="gramEnd"/>
      <w:r>
        <w:t>依据不充</w:t>
      </w:r>
      <w:r>
        <w:rPr>
          <w:rFonts w:hint="eastAsia"/>
        </w:rPr>
        <w:t>分；（</w:t>
      </w:r>
      <w:r>
        <w:t>3）未对部分子公司主营业务成本-修理费、其他及管理费用-其他费用内容进行分析，相关每兆瓦定额费用及后续年度增幅比例预测依据不足；（4）部分子公司在建工程预测</w:t>
      </w:r>
      <w:proofErr w:type="gramStart"/>
      <w:r>
        <w:t>期转固缺乏</w:t>
      </w:r>
      <w:proofErr w:type="gramEnd"/>
      <w:r>
        <w:t>相关预测依据；（5）部分子公司应收账款中应收补贴电价款年周转率预测依据不足；（6）部分子公司应付账款预测期支付的相关依据不足。</w:t>
      </w:r>
    </w:p>
    <w:p w14:paraId="00BFE8E8" w14:textId="77777777" w:rsidR="00FA0363" w:rsidRDefault="00FA0363" w:rsidP="00FA0363">
      <w:pPr>
        <w:pStyle w:val="13"/>
      </w:pPr>
      <w:r>
        <w:t>5.</w:t>
      </w:r>
      <w:r>
        <w:tab/>
        <w:t>评估说明显示在</w:t>
      </w:r>
      <w:proofErr w:type="gramStart"/>
      <w:r>
        <w:t>计算市净</w:t>
      </w:r>
      <w:proofErr w:type="gramEnd"/>
      <w:r>
        <w:t>率（P/B）指标时你公司选取了新三板可比公司评估基准日当日的收盘价作为市场价格，未充分考虑可比公司收盘价波动性较大且成交量较小的情况，评估底稿中未见对选取评估基准日当日收盘价作为市场价格的理由及对该市场价格公允</w:t>
      </w:r>
      <w:proofErr w:type="gramStart"/>
      <w:r>
        <w:t>性予以</w:t>
      </w:r>
      <w:proofErr w:type="gramEnd"/>
      <w:r>
        <w:t>充分关注的记录，缺乏必要的职业谨慎。</w:t>
      </w:r>
    </w:p>
    <w:p w14:paraId="5D56C5E6" w14:textId="77777777" w:rsidR="00FA0363" w:rsidRDefault="00FA0363" w:rsidP="00FA0363">
      <w:pPr>
        <w:pStyle w:val="13"/>
      </w:pPr>
      <w:r>
        <w:t>6.</w:t>
      </w:r>
      <w:r>
        <w:tab/>
        <w:t>评估说明显示在市场法评估过程中选取了可比指标对可比公司</w:t>
      </w:r>
      <w:proofErr w:type="gramStart"/>
      <w:r>
        <w:t>的市净率</w:t>
      </w:r>
      <w:proofErr w:type="gramEnd"/>
      <w:r>
        <w:t>（P/B）进行修正，但评估底稿中未见对可比指标进行筛选的过程及确定可比指标的分析理</w:t>
      </w:r>
      <w:r>
        <w:rPr>
          <w:rFonts w:hint="eastAsia"/>
        </w:rPr>
        <w:t>由。</w:t>
      </w:r>
    </w:p>
    <w:p w14:paraId="64F2FC8B" w14:textId="77777777" w:rsidR="00FA0363" w:rsidRDefault="00FA0363" w:rsidP="00FA0363">
      <w:pPr>
        <w:pStyle w:val="13"/>
      </w:pPr>
      <w:r>
        <w:t>7.</w:t>
      </w:r>
      <w:r>
        <w:tab/>
        <w:t>评估底稿中未见不采用交易案例比较法的具体原因，在评估过程中机构仅通过搜</w:t>
      </w:r>
      <w:r>
        <w:rPr>
          <w:rFonts w:hint="eastAsia"/>
        </w:rPr>
        <w:t>索挂牌项目以及在上海联合产权交易所而</w:t>
      </w:r>
      <w:proofErr w:type="gramStart"/>
      <w:r>
        <w:rPr>
          <w:rFonts w:hint="eastAsia"/>
        </w:rPr>
        <w:t>非所有</w:t>
      </w:r>
      <w:proofErr w:type="gramEnd"/>
      <w:r>
        <w:rPr>
          <w:rFonts w:hint="eastAsia"/>
        </w:rPr>
        <w:t>产权交易所或其他市场上进行搜索样本，从而得出样本数量有限结论的依据不充分。</w:t>
      </w:r>
    </w:p>
    <w:p w14:paraId="58CF4CB1" w14:textId="77777777" w:rsidR="00FA0363" w:rsidRDefault="00FA0363" w:rsidP="00FA0363">
      <w:pPr>
        <w:pStyle w:val="13"/>
      </w:pPr>
      <w:r>
        <w:t>8.</w:t>
      </w:r>
      <w:r>
        <w:tab/>
        <w:t>设备评估底稿中仅见打印版的网页报价，未记录询价日期、询价人员等详细情</w:t>
      </w:r>
      <w:r>
        <w:rPr>
          <w:rFonts w:hint="eastAsia"/>
        </w:rPr>
        <w:t>况。</w:t>
      </w:r>
    </w:p>
    <w:p w14:paraId="23BE073B" w14:textId="77777777" w:rsidR="00FA0363" w:rsidRDefault="00FA0363" w:rsidP="00FA0363">
      <w:pPr>
        <w:pStyle w:val="13"/>
      </w:pPr>
      <w:r>
        <w:t>9.</w:t>
      </w:r>
      <w:r>
        <w:tab/>
        <w:t>评估证据不足。存在部分应收账款的全额评估减值未获取充分评估证据，对同一</w:t>
      </w:r>
      <w:r>
        <w:rPr>
          <w:rFonts w:hint="eastAsia"/>
        </w:rPr>
        <w:t>单位往来款采取不同的确认原则且无充分评估证据，存货评估取得的证据不足等情形。</w:t>
      </w:r>
    </w:p>
    <w:p w14:paraId="4C282F9C" w14:textId="77777777" w:rsidR="00FA0363" w:rsidRDefault="00FA0363" w:rsidP="00FA0363">
      <w:pPr>
        <w:pStyle w:val="13"/>
      </w:pPr>
      <w:r>
        <w:rPr>
          <w:rFonts w:hint="eastAsia"/>
        </w:rPr>
        <w:t>（四）监管案例中关于评定估算提出的问题</w:t>
      </w:r>
    </w:p>
    <w:p w14:paraId="3CB750F5" w14:textId="77777777" w:rsidR="00FA0363" w:rsidRDefault="00FA0363" w:rsidP="00FA0363">
      <w:pPr>
        <w:pStyle w:val="13"/>
      </w:pPr>
      <w:r>
        <w:t>1.</w:t>
      </w:r>
      <w:r>
        <w:tab/>
        <w:t>采用收益法评估时，折现期计算错误导致低估全部股东权益。</w:t>
      </w:r>
    </w:p>
    <w:p w14:paraId="5FA9A650" w14:textId="77777777" w:rsidR="00FA0363" w:rsidRDefault="00FA0363" w:rsidP="00FA0363">
      <w:pPr>
        <w:pStyle w:val="13"/>
      </w:pPr>
      <w:r>
        <w:lastRenderedPageBreak/>
        <w:t>2.</w:t>
      </w:r>
      <w:r>
        <w:tab/>
        <w:t>采用收益法评估时，按照所设定的对比公司所从事的行业或主营业务为汽车配件制造业以及资产规模、收入规模与被评估单位接近等标准，选取可比公司。但可比公司的资产规模、收入规模与标的公司差异显著，且一家公司业务类型存在显著差异，机构在选取标的过程中存在未严格按照设定标准操作的行为，导致折现率的测算依据</w:t>
      </w:r>
      <w:r>
        <w:rPr>
          <w:rFonts w:hint="eastAsia"/>
        </w:rPr>
        <w:t>不充分。</w:t>
      </w:r>
    </w:p>
    <w:p w14:paraId="0A5E26B4" w14:textId="77777777" w:rsidR="00FA0363" w:rsidRDefault="00FA0363" w:rsidP="00FA0363">
      <w:pPr>
        <w:pStyle w:val="13"/>
      </w:pPr>
      <w:r>
        <w:t>3.</w:t>
      </w:r>
      <w:r>
        <w:tab/>
        <w:t>标的公司拟将一项技术运用至现有的生产设备中。上述设备将在预测期中期全额计提完折旧。未对生产设备全额计提折旧后能否正常使用执行必要的评估程序。</w:t>
      </w:r>
    </w:p>
    <w:p w14:paraId="58FF807C" w14:textId="77777777" w:rsidR="00FA0363" w:rsidRDefault="00FA0363" w:rsidP="00FA0363">
      <w:pPr>
        <w:pStyle w:val="13"/>
      </w:pPr>
      <w:r>
        <w:t>4.</w:t>
      </w:r>
      <w:r>
        <w:tab/>
        <w:t>在用收益法评估管理费用的预测中，2021年及以后年度每年少预测税金140.05</w:t>
      </w:r>
      <w:r>
        <w:rPr>
          <w:rFonts w:hint="eastAsia"/>
        </w:rPr>
        <w:t>万元，影响评估值约</w:t>
      </w:r>
      <w:r>
        <w:t>500万元，相对最终评估值影响比率为0.45%。</w:t>
      </w:r>
    </w:p>
    <w:p w14:paraId="5CF0FE9F" w14:textId="77777777" w:rsidR="00FA0363" w:rsidRDefault="00FA0363" w:rsidP="00FA0363">
      <w:pPr>
        <w:pStyle w:val="13"/>
      </w:pPr>
      <w:r>
        <w:t>5.</w:t>
      </w:r>
      <w:r>
        <w:tab/>
        <w:t>标的公司已连续计提固定资产减值准备，但评估中未对减值因素进行合理分析，且未考虑对评估结论的影响。</w:t>
      </w:r>
    </w:p>
    <w:p w14:paraId="2464F0FB" w14:textId="77777777" w:rsidR="00FA0363" w:rsidRDefault="00FA0363" w:rsidP="00FA0363">
      <w:pPr>
        <w:pStyle w:val="13"/>
      </w:pPr>
      <w:r>
        <w:t>6.</w:t>
      </w:r>
      <w:r>
        <w:tab/>
        <w:t>市场法评估中，未对可比上市公司及被评估单位的溢余资产、非经营性资产进行分析、调整。</w:t>
      </w:r>
    </w:p>
    <w:p w14:paraId="4F7D9125" w14:textId="77777777" w:rsidR="00FA0363" w:rsidRDefault="00FA0363" w:rsidP="00FA0363">
      <w:pPr>
        <w:pStyle w:val="13"/>
      </w:pPr>
      <w:r>
        <w:t>7.2017年审计报告中对一年内到期非流动资产和长期应收款计提了坏账准备，在资产基础法评估过程中对一年内到期非流动资产和长期应收款未确认相关评估风险损失，评估说明称“经核实，该项资产收回有保障，未发现有减值可能”、“没有充分证据表明款项无法收回”，但评估底稿中未见相关核实或分析、证据等内容。</w:t>
      </w:r>
    </w:p>
    <w:p w14:paraId="1F36089E" w14:textId="77777777" w:rsidR="00FA0363" w:rsidRDefault="00FA0363" w:rsidP="00FA0363">
      <w:pPr>
        <w:pStyle w:val="13"/>
      </w:pPr>
      <w:r>
        <w:rPr>
          <w:rFonts w:hint="eastAsia"/>
        </w:rPr>
        <w:t>（五）执业风险提示</w:t>
      </w:r>
    </w:p>
    <w:p w14:paraId="76F55682" w14:textId="77777777" w:rsidR="00FA0363" w:rsidRDefault="00FA0363" w:rsidP="00FA0363">
      <w:pPr>
        <w:pStyle w:val="13"/>
      </w:pPr>
      <w:r>
        <w:rPr>
          <w:rFonts w:hint="eastAsia"/>
        </w:rPr>
        <w:t>执业质量程序缺失主要是履行现场调查、收集评估资料和评定估算程序时所形成的工作记录及相关资料缺失。执业程序缺失相关问题共计</w:t>
      </w:r>
      <w:r>
        <w:t>55个，占比71.4%。其中：现场调查记录与相关资料缺失共计7个；现场勘查记录、</w:t>
      </w:r>
      <w:proofErr w:type="gramStart"/>
      <w:r>
        <w:t>函证记录</w:t>
      </w:r>
      <w:proofErr w:type="gramEnd"/>
      <w:r>
        <w:t>方面缺少共计6</w:t>
      </w:r>
      <w:r>
        <w:rPr>
          <w:rFonts w:hint="eastAsia"/>
        </w:rPr>
        <w:t>个；收集的评估资料缺失或支持资料不足共计</w:t>
      </w:r>
      <w:r>
        <w:t>19个；评定估算错误和分析不到位问题</w:t>
      </w:r>
      <w:r>
        <w:rPr>
          <w:rFonts w:hint="eastAsia"/>
        </w:rPr>
        <w:t>共计</w:t>
      </w:r>
      <w:r>
        <w:t>23个。55个问题中涉及资产基础法共计21个、收益法29个、市场法5个。资产基础法评估中现场调查、现场勘察、收集评估资料和评定估算方面均有涉及</w:t>
      </w:r>
      <w:r>
        <w:rPr>
          <w:rFonts w:hint="eastAsia"/>
        </w:rPr>
        <w:t>且比重均衡，现场调查、清查核实是评估工作的前提，资产基础法评估中往往因为审计在前，相关的往来账款核对记录不完整或缺失，审计存在调整事项评估没有完整记录；没有有效</w:t>
      </w:r>
      <w:proofErr w:type="gramStart"/>
      <w:r>
        <w:rPr>
          <w:rFonts w:hint="eastAsia"/>
        </w:rPr>
        <w:t>执行监盘和</w:t>
      </w:r>
      <w:proofErr w:type="gramEnd"/>
      <w:r>
        <w:rPr>
          <w:rFonts w:hint="eastAsia"/>
        </w:rPr>
        <w:t>现场核查工作等。收集评估资料方面实物资产询价记录不完整、对</w:t>
      </w:r>
      <w:proofErr w:type="gramStart"/>
      <w:r>
        <w:rPr>
          <w:rFonts w:hint="eastAsia"/>
        </w:rPr>
        <w:t>询证函</w:t>
      </w:r>
      <w:proofErr w:type="gramEnd"/>
      <w:r>
        <w:rPr>
          <w:rFonts w:hint="eastAsia"/>
        </w:rPr>
        <w:t>回函缺少程序管理，对评估结果的支持度不够；评定估算方面评估参数使用错误、公式链接错误造成的计算错误和对评估存在了增减值事项底稿没有相关说明。</w:t>
      </w:r>
    </w:p>
    <w:p w14:paraId="3D04B383" w14:textId="77777777" w:rsidR="00FA0363" w:rsidRDefault="00FA0363" w:rsidP="00FA0363">
      <w:pPr>
        <w:pStyle w:val="13"/>
      </w:pPr>
      <w:r>
        <w:rPr>
          <w:rFonts w:hint="eastAsia"/>
        </w:rPr>
        <w:t>收益法评估中主要问题集中在收集评估资料和评定估算两个方面。这两个方面共计</w:t>
      </w:r>
      <w:r>
        <w:t>27个问题，占比35%；收集评估资料主要体现在收集的参数资料不可靠、对于高增</w:t>
      </w:r>
      <w:r>
        <w:rPr>
          <w:rFonts w:hint="eastAsia"/>
        </w:rPr>
        <w:t>长趋势预测缺少必要的支持资料、收集的资料缺少盖章签字以及依据不足；评定估算中主要问题可比公司没有可比性，导致折现率测算依据不充分、折现期使用错</w:t>
      </w:r>
      <w:r>
        <w:rPr>
          <w:rFonts w:hint="eastAsia"/>
        </w:rPr>
        <w:lastRenderedPageBreak/>
        <w:t>误、分析判断的缺失造成盈利预测未来收入预测趋势不合理或与历史业绩和现实经营状况相互矛盾的情形等等。</w:t>
      </w:r>
    </w:p>
    <w:p w14:paraId="78676CD9" w14:textId="77777777" w:rsidR="00FA0363" w:rsidRDefault="00FA0363" w:rsidP="00FA0363">
      <w:pPr>
        <w:pStyle w:val="13"/>
      </w:pPr>
      <w:r>
        <w:rPr>
          <w:rFonts w:hint="eastAsia"/>
        </w:rPr>
        <w:t>市场法评估突出问题集中在收集评估资料方面。获取的样本数量有限底稿支持依据不足、底稿中评估程序缺失与评估说明描述的程序不一致、市场法评估中未对可比公司市场价格公允</w:t>
      </w:r>
      <w:proofErr w:type="gramStart"/>
      <w:r>
        <w:rPr>
          <w:rFonts w:hint="eastAsia"/>
        </w:rPr>
        <w:t>性予以</w:t>
      </w:r>
      <w:proofErr w:type="gramEnd"/>
      <w:r>
        <w:rPr>
          <w:rFonts w:hint="eastAsia"/>
        </w:rPr>
        <w:t>关注等。</w:t>
      </w:r>
    </w:p>
    <w:p w14:paraId="32C7ACE1" w14:textId="77777777" w:rsidR="00FA0363" w:rsidRDefault="00FA0363" w:rsidP="00FA0363">
      <w:pPr>
        <w:pStyle w:val="13"/>
      </w:pPr>
      <w:r>
        <w:rPr>
          <w:rFonts w:hint="eastAsia"/>
        </w:rPr>
        <w:t>上述问题产生的原因主要还是评估师对准则理解以及对工作底稿留痕重要性的意识不够引起。</w:t>
      </w:r>
    </w:p>
    <w:p w14:paraId="31400AE2" w14:textId="77777777" w:rsidR="00FA0363" w:rsidRDefault="00FA0363" w:rsidP="00FA0363">
      <w:pPr>
        <w:pStyle w:val="ab"/>
        <w:spacing w:before="62" w:after="62"/>
        <w:ind w:firstLine="482"/>
      </w:pPr>
      <w:r>
        <w:rPr>
          <w:rFonts w:hint="eastAsia"/>
        </w:rPr>
        <w:t>三、其他问题提示</w:t>
      </w:r>
    </w:p>
    <w:p w14:paraId="00EE3D19" w14:textId="77777777" w:rsidR="00FA0363" w:rsidRDefault="00FA0363" w:rsidP="00FA0363">
      <w:pPr>
        <w:pStyle w:val="13"/>
      </w:pPr>
      <w:r>
        <w:rPr>
          <w:rFonts w:hint="eastAsia"/>
        </w:rPr>
        <w:t>（一）监管案例中提出的问题</w:t>
      </w:r>
    </w:p>
    <w:p w14:paraId="4EAA9603" w14:textId="77777777" w:rsidR="00FA0363" w:rsidRDefault="00FA0363" w:rsidP="00FA0363">
      <w:pPr>
        <w:pStyle w:val="13"/>
      </w:pPr>
      <w:r>
        <w:t>1.</w:t>
      </w:r>
      <w:r>
        <w:tab/>
        <w:t>未在评估报告中披露法院冻结存款事项。</w:t>
      </w:r>
    </w:p>
    <w:p w14:paraId="0149D832" w14:textId="77777777" w:rsidR="00FA0363" w:rsidRDefault="00FA0363" w:rsidP="00FA0363">
      <w:pPr>
        <w:pStyle w:val="13"/>
      </w:pPr>
      <w:r>
        <w:t>2.</w:t>
      </w:r>
      <w:r>
        <w:tab/>
        <w:t>被评估单位存在固定资产及土地使用权抵押担保事项、应收账款质押事项、未决诉讼情况，但评估报告中未披露。</w:t>
      </w:r>
    </w:p>
    <w:p w14:paraId="08F7B2B6" w14:textId="77777777" w:rsidR="00FA0363" w:rsidRDefault="00FA0363" w:rsidP="00FA0363">
      <w:pPr>
        <w:pStyle w:val="13"/>
      </w:pPr>
      <w:r>
        <w:t>3.</w:t>
      </w:r>
      <w:r>
        <w:tab/>
        <w:t>对采用其他证券服务机构的专业意见的内容缺乏审慎复核记录。</w:t>
      </w:r>
    </w:p>
    <w:p w14:paraId="218F9A9B" w14:textId="77777777" w:rsidR="00FA0363" w:rsidRDefault="00FA0363" w:rsidP="00FA0363">
      <w:pPr>
        <w:pStyle w:val="13"/>
      </w:pPr>
      <w:r>
        <w:rPr>
          <w:rFonts w:hint="eastAsia"/>
        </w:rPr>
        <w:t>（二）执业风险提示</w:t>
      </w:r>
    </w:p>
    <w:p w14:paraId="1D2AEAEA" w14:textId="77777777" w:rsidR="00FA0363" w:rsidRDefault="00FA0363" w:rsidP="00FA0363">
      <w:pPr>
        <w:pStyle w:val="13"/>
      </w:pPr>
      <w:r>
        <w:rPr>
          <w:rFonts w:hint="eastAsia"/>
        </w:rPr>
        <w:t>其他问题共计</w:t>
      </w:r>
      <w:r>
        <w:t>7个，</w:t>
      </w:r>
      <w:proofErr w:type="gramStart"/>
      <w:r>
        <w:t>占比较</w:t>
      </w:r>
      <w:proofErr w:type="gramEnd"/>
      <w:r>
        <w:t>小。主要是评估报告披露不完整或未披露事项以及对专业意见未</w:t>
      </w:r>
      <w:proofErr w:type="gramStart"/>
      <w:r>
        <w:t>按利用</w:t>
      </w:r>
      <w:proofErr w:type="gramEnd"/>
      <w:r>
        <w:t>专家工作及相关报告准则要求执行程序等，建议评估专业人员熟记相关准则，按准则要求做好完整披露工作。</w:t>
      </w:r>
    </w:p>
    <w:p w14:paraId="1282D07D" w14:textId="77777777" w:rsidR="00FA0363" w:rsidRDefault="00FA0363" w:rsidP="00FA0363">
      <w:pPr>
        <w:pStyle w:val="13"/>
      </w:pPr>
      <w:r>
        <w:rPr>
          <w:rFonts w:hint="eastAsia"/>
        </w:rPr>
        <w:t>评估机构职业风险防范及预警机制建设的关键，是评估机构拥有较为完善的内部治理机制和管理制度和落实执行风险防范及预警机制相关的制度保证和措施保证。另外，评估机构应当建立一整套有利于人才引进、人才培养和人才发挥作用的制度和机制，评估专业人员和评估机构的专业胜任能力才是抵御评估机构职业风险的利器和根本。</w:t>
      </w:r>
    </w:p>
    <w:p w14:paraId="3F851374" w14:textId="54B5EEFD" w:rsidR="00FA0363" w:rsidRDefault="00FA0363" w:rsidP="00FA0363">
      <w:pPr>
        <w:pStyle w:val="31"/>
        <w:spacing w:before="156" w:after="62"/>
      </w:pPr>
      <w:bookmarkStart w:id="116" w:name="_Toc81833378"/>
      <w:r>
        <w:rPr>
          <w:rFonts w:hint="eastAsia"/>
        </w:rPr>
        <w:t>北京资产评估协会风险管理委员会风险研究报告</w:t>
      </w:r>
      <w:r>
        <w:t>2019年第2期</w:t>
      </w:r>
      <w:r w:rsidR="00F811C3">
        <w:br/>
      </w:r>
      <w:r>
        <w:t>—商誉减值测试评估</w:t>
      </w:r>
      <w:bookmarkEnd w:id="116"/>
    </w:p>
    <w:p w14:paraId="6F4828A2" w14:textId="77777777" w:rsidR="00FA0363" w:rsidRDefault="00FA0363" w:rsidP="00FA0363">
      <w:pPr>
        <w:pStyle w:val="13"/>
      </w:pPr>
      <w:r>
        <w:rPr>
          <w:rFonts w:hint="eastAsia"/>
        </w:rPr>
        <w:t>【特别提示】为促进北京地区资产评估机构提高风险意识，健全内部管理，防范执业风险，北京资产评估协会风险管理委员会针对行业执业质量检查、证监会及各地监管局对资产评估机构处罚中发现的问题开展了系列研究，并形成专项报告。现将研究报告予以发布，供大家在执业中参考。研究报告仅代表专家个人观点，不属于资产评估执业规范性文件。</w:t>
      </w:r>
    </w:p>
    <w:p w14:paraId="3E4BCF21" w14:textId="77777777" w:rsidR="00FA0363" w:rsidRDefault="00FA0363" w:rsidP="00FA0363">
      <w:pPr>
        <w:pStyle w:val="13"/>
      </w:pPr>
      <w:r>
        <w:rPr>
          <w:rFonts w:hint="eastAsia"/>
        </w:rPr>
        <w:t>根据公开信息，</w:t>
      </w:r>
      <w:r>
        <w:t>2019年1-12月，证监会及各地监管局对资产评估机构出具了3份行政处罚、18份警示函、3份监管谈话文件，24份惩处文件涉及28个评估项目，其中股权收购评估项目10个、商誉减值测试评估项目12个、股权转让评估项目3个、投</w:t>
      </w:r>
      <w:r>
        <w:rPr>
          <w:rFonts w:hint="eastAsia"/>
        </w:rPr>
        <w:t>资性房地产评估项目</w:t>
      </w:r>
      <w:r>
        <w:t>2个、无形资产评估项目1个。</w:t>
      </w:r>
    </w:p>
    <w:p w14:paraId="7D55FDA0" w14:textId="77777777" w:rsidR="00FA0363" w:rsidRDefault="00FA0363" w:rsidP="00FA0363">
      <w:pPr>
        <w:pStyle w:val="13"/>
      </w:pPr>
      <w:r>
        <w:rPr>
          <w:rFonts w:hint="eastAsia"/>
        </w:rPr>
        <w:lastRenderedPageBreak/>
        <w:t>委员会对</w:t>
      </w:r>
      <w:r>
        <w:t>2019年证监会及各地证监局惩处文件涉及的12个商誉减值测试评估项目中的执业风险行为进行了整理、分析，并就以下六方面问题提示资产评估师在执业中予以关注。</w:t>
      </w:r>
    </w:p>
    <w:p w14:paraId="66EFDEC1" w14:textId="77777777" w:rsidR="00FA0363" w:rsidRDefault="00FA0363" w:rsidP="00FA0363">
      <w:pPr>
        <w:pStyle w:val="ab"/>
        <w:spacing w:before="62" w:after="62"/>
        <w:ind w:firstLine="482"/>
      </w:pPr>
      <w:r>
        <w:rPr>
          <w:rFonts w:hint="eastAsia"/>
        </w:rPr>
        <w:t>一、监管案例中关于商誉减值测试评估提出的问题</w:t>
      </w:r>
    </w:p>
    <w:p w14:paraId="1B41873B" w14:textId="77777777" w:rsidR="00FA0363" w:rsidRDefault="00FA0363" w:rsidP="00FA0363">
      <w:pPr>
        <w:pStyle w:val="13"/>
      </w:pPr>
      <w:r>
        <w:rPr>
          <w:rFonts w:hint="eastAsia"/>
        </w:rPr>
        <w:t>（一）商誉相关资产组辨识及核查验证问题</w:t>
      </w:r>
    </w:p>
    <w:p w14:paraId="3BED923D" w14:textId="77777777" w:rsidR="00FA0363" w:rsidRDefault="00FA0363" w:rsidP="00FA0363">
      <w:pPr>
        <w:pStyle w:val="13"/>
      </w:pPr>
      <w:r>
        <w:t>1、资产评估师未对商誉相关资产组（或资产组组合）进行充分辨识。针对商誉相关资产组的确认范围，无评估师、企业、年报审计机构三方沟通记录。同时，资产评估师未对与商誉相关资产组的具体内容进行充分辨识。</w:t>
      </w:r>
    </w:p>
    <w:p w14:paraId="241003A8" w14:textId="77777777" w:rsidR="00FA0363" w:rsidRDefault="00FA0363" w:rsidP="00FA0363">
      <w:pPr>
        <w:pStyle w:val="13"/>
      </w:pPr>
      <w:r>
        <w:t>2、</w:t>
      </w:r>
      <w:proofErr w:type="gramStart"/>
      <w:r>
        <w:t>延安必康在</w:t>
      </w:r>
      <w:proofErr w:type="gramEnd"/>
      <w:r>
        <w:t>反向购买江苏九九久科技股份有限公司形成商誉对应资产组认定中，以江苏九九久特种纤维制品有限公司在反向购买日为上市公司的参股公司，且经营状况不佳为由，未将其纳入商誉分摊资产组的范围。对此，资产评估师在评估中未</w:t>
      </w:r>
      <w:proofErr w:type="gramStart"/>
      <w:r>
        <w:t>有效关注</w:t>
      </w:r>
      <w:proofErr w:type="gramEnd"/>
      <w:r>
        <w:t>相关资产、负债在运营中的作用。</w:t>
      </w:r>
    </w:p>
    <w:p w14:paraId="1569012D" w14:textId="77777777" w:rsidR="00FA0363" w:rsidRDefault="00FA0363" w:rsidP="00FA0363">
      <w:pPr>
        <w:pStyle w:val="13"/>
      </w:pPr>
      <w:r>
        <w:rPr>
          <w:rFonts w:hint="eastAsia"/>
        </w:rPr>
        <w:t>（二）评估方法及参数指标前后期一致性问题</w:t>
      </w:r>
    </w:p>
    <w:p w14:paraId="785ED736" w14:textId="77777777" w:rsidR="00FA0363" w:rsidRDefault="00FA0363" w:rsidP="00FA0363">
      <w:pPr>
        <w:pStyle w:val="13"/>
      </w:pPr>
      <w:r>
        <w:t>1、折现率计算模型的选取时，2016年形成商誉及2017年减值测试均选用的</w:t>
      </w:r>
    </w:p>
    <w:p w14:paraId="697337D6" w14:textId="77777777" w:rsidR="00FA0363" w:rsidRDefault="00FA0363" w:rsidP="00FA0363">
      <w:pPr>
        <w:pStyle w:val="13"/>
      </w:pPr>
      <w:r>
        <w:t>WACC模型，2018年选取CAPM模型，前后不一致，未说明原因。</w:t>
      </w:r>
    </w:p>
    <w:p w14:paraId="04320B73" w14:textId="77777777" w:rsidR="00FA0363" w:rsidRDefault="00FA0363" w:rsidP="00FA0363">
      <w:pPr>
        <w:pStyle w:val="13"/>
      </w:pPr>
      <w:r>
        <w:t>2、企业特定风险系数的选取时，2016年采用2%，2017年和2018年减值测试均采用1%，前后不一致，未说明原因。</w:t>
      </w:r>
    </w:p>
    <w:p w14:paraId="0EEDF42D" w14:textId="77777777" w:rsidR="00FA0363" w:rsidRDefault="00FA0363" w:rsidP="00FA0363">
      <w:pPr>
        <w:pStyle w:val="13"/>
      </w:pPr>
      <w:r>
        <w:t>3、企业风险系数β的选取，2018年、2017年、2016年三年选取的可比公司不一致，未说明原因。</w:t>
      </w:r>
    </w:p>
    <w:p w14:paraId="59BD1B11" w14:textId="77777777" w:rsidR="00FA0363" w:rsidRDefault="00FA0363" w:rsidP="00FA0363">
      <w:pPr>
        <w:pStyle w:val="13"/>
      </w:pPr>
      <w:r>
        <w:rPr>
          <w:rFonts w:hint="eastAsia"/>
        </w:rPr>
        <w:t>（三）包含商誉资产组账面价值与预计现金流一致性问题</w:t>
      </w:r>
    </w:p>
    <w:p w14:paraId="46C44845" w14:textId="77777777" w:rsidR="00FA0363" w:rsidRDefault="00FA0363" w:rsidP="00FA0363">
      <w:pPr>
        <w:pStyle w:val="13"/>
      </w:pPr>
      <w:r>
        <w:rPr>
          <w:rFonts w:hint="eastAsia"/>
        </w:rPr>
        <w:t>在对与商誉相关的经营性资产组可回收价值进行评估时，将</w:t>
      </w:r>
      <w:r>
        <w:t>4.25亿元其他应付款</w:t>
      </w:r>
      <w:r>
        <w:rPr>
          <w:rFonts w:hint="eastAsia"/>
        </w:rPr>
        <w:t>认定为经营性负债，纳入资产组，但是在预测未来营运资金时又剔除了该笔负债对未来现金流量的影响，前后口径不一致。</w:t>
      </w:r>
    </w:p>
    <w:p w14:paraId="73156AE3" w14:textId="77777777" w:rsidR="00FA0363" w:rsidRDefault="00FA0363" w:rsidP="00FA0363">
      <w:pPr>
        <w:pStyle w:val="13"/>
      </w:pPr>
      <w:r>
        <w:rPr>
          <w:rFonts w:hint="eastAsia"/>
        </w:rPr>
        <w:t>（四）预计未来现金流量评估依据核查验证问题</w:t>
      </w:r>
    </w:p>
    <w:p w14:paraId="17B26EEB" w14:textId="77777777" w:rsidR="00FA0363" w:rsidRDefault="00FA0363" w:rsidP="00FA0363">
      <w:pPr>
        <w:pStyle w:val="13"/>
      </w:pPr>
      <w:r>
        <w:t>1、资产评估</w:t>
      </w:r>
      <w:proofErr w:type="gramStart"/>
      <w:r>
        <w:t>师收益</w:t>
      </w:r>
      <w:proofErr w:type="gramEnd"/>
      <w:r>
        <w:t>预测时主要依据企业与客户签订的合同，但对该公司主要合同项目及客户情况的调查分析工作不到位，评估依据不充分。</w:t>
      </w:r>
    </w:p>
    <w:p w14:paraId="3355E8F1" w14:textId="77777777" w:rsidR="00FA0363" w:rsidRDefault="00FA0363" w:rsidP="00FA0363">
      <w:pPr>
        <w:pStyle w:val="13"/>
      </w:pPr>
      <w:r>
        <w:t>2、资产</w:t>
      </w:r>
      <w:proofErr w:type="gramStart"/>
      <w:r>
        <w:t>评估师未充分</w:t>
      </w:r>
      <w:proofErr w:type="gramEnd"/>
      <w:r>
        <w:t>核查验证新上游戏预测数据。根据《游戏收入测表》显示及统计，预测期前两年（2018年度、2019年度）评估预测的其他游戏（计划2018年上线24款，2019年上线10款），收入占游戏总收入的比重分别为35.9%和46.2%。资产评估师未对其他游戏收入进行具体且可靠的统计、分析和计算，资产评估说明中无具体预测过程说明，企业提供的预测表中无数据来源及具体形成依据的说明，直接“采信了企业的关于其他页游收入的预测”数据。</w:t>
      </w:r>
    </w:p>
    <w:p w14:paraId="01D6288A" w14:textId="77777777" w:rsidR="00FA0363" w:rsidRDefault="00FA0363" w:rsidP="00FA0363">
      <w:pPr>
        <w:pStyle w:val="13"/>
      </w:pPr>
      <w:r>
        <w:t>3、资产评估</w:t>
      </w:r>
      <w:proofErr w:type="gramStart"/>
      <w:r>
        <w:t>师未关注</w:t>
      </w:r>
      <w:proofErr w:type="gramEnd"/>
      <w:r>
        <w:t>和调整预测数与实际数的差异。根据资产评估说明，评估人员于2018年3月5日至3月20日对企业提供的全部主营业务经营性资产和负债</w:t>
      </w:r>
      <w:r>
        <w:lastRenderedPageBreak/>
        <w:t>进行了必要的清查、核实，对企业财务、经营情况进行系统调查。2018年1-2月部分预测数与实际数存在差异，</w:t>
      </w:r>
      <w:proofErr w:type="gramStart"/>
      <w:r>
        <w:t>比如页游“神曲”</w:t>
      </w:r>
      <w:proofErr w:type="gramEnd"/>
      <w:r>
        <w:t>预测活跃用户数与付费用户数明显高于实际数，资产</w:t>
      </w:r>
      <w:proofErr w:type="gramStart"/>
      <w:r>
        <w:t>评估师未对此</w:t>
      </w:r>
      <w:proofErr w:type="gramEnd"/>
      <w:r>
        <w:t>进行关注并进行核查、调整，仍按企业提供数据进行认定预</w:t>
      </w:r>
      <w:r>
        <w:rPr>
          <w:rFonts w:hint="eastAsia"/>
        </w:rPr>
        <w:t>测。</w:t>
      </w:r>
    </w:p>
    <w:p w14:paraId="0FDDF873" w14:textId="77777777" w:rsidR="00FA0363" w:rsidRDefault="00FA0363" w:rsidP="00FA0363">
      <w:pPr>
        <w:pStyle w:val="13"/>
      </w:pPr>
      <w:r>
        <w:t>4、对美国Epic新增业务及新产品销售情况的预测未进行必要的核查验证。子公</w:t>
      </w:r>
      <w:r>
        <w:rPr>
          <w:rFonts w:hint="eastAsia"/>
        </w:rPr>
        <w:t>司美国</w:t>
      </w:r>
      <w:r>
        <w:t>Epic2018年经营情况不佳，预计未来通过增加代销业务、加快推出新产品等方式提高业绩。资产评估师对美国Epic新增业务情况的预测，主要依赖美国Epic管理层提供的预测数据，底稿中仅收集了少量框架合同，对新增业务的销售量、价格、毛利率的选取依据未进行必要的核查验证。对美国Epic</w:t>
      </w:r>
      <w:proofErr w:type="gramStart"/>
      <w:r>
        <w:t>待获批</w:t>
      </w:r>
      <w:proofErr w:type="gramEnd"/>
      <w:r>
        <w:t>新产品销售情况的预测，主要依赖美国Epic管理层提供的预测数据，未见收集研发进度的依据，对待获批新产品销售量、价格、毛利率的选取依据未进行必要的核查验证。</w:t>
      </w:r>
    </w:p>
    <w:p w14:paraId="5190FDBD" w14:textId="77777777" w:rsidR="00FA0363" w:rsidRDefault="00FA0363" w:rsidP="00FA0363">
      <w:pPr>
        <w:pStyle w:val="13"/>
      </w:pPr>
      <w:r>
        <w:rPr>
          <w:rFonts w:hint="eastAsia"/>
        </w:rPr>
        <w:t>（五）预计未来现金流量现值模型计算错误风问题</w:t>
      </w:r>
    </w:p>
    <w:p w14:paraId="426321B6" w14:textId="77777777" w:rsidR="00FA0363" w:rsidRDefault="00FA0363" w:rsidP="00FA0363">
      <w:pPr>
        <w:pStyle w:val="13"/>
      </w:pPr>
      <w:r>
        <w:t>1、在自由现金流的计算中，未充分考虑2018年流动负债中不包含非经营性流动</w:t>
      </w:r>
      <w:r>
        <w:rPr>
          <w:rFonts w:hint="eastAsia"/>
        </w:rPr>
        <w:t>负债、与以前年度差异较大的情况，未对口径不一致的数据进行调整，按</w:t>
      </w:r>
      <w:r>
        <w:t>2016-2018</w:t>
      </w:r>
      <w:r>
        <w:rPr>
          <w:rFonts w:hint="eastAsia"/>
        </w:rPr>
        <w:t>年三年数据简单平均确定</w:t>
      </w:r>
      <w:r>
        <w:t>2019年营运资金占营业收入的比例，营运资金增加额的预测</w:t>
      </w:r>
      <w:r>
        <w:rPr>
          <w:rFonts w:hint="eastAsia"/>
        </w:rPr>
        <w:t>基础不合理。</w:t>
      </w:r>
    </w:p>
    <w:p w14:paraId="70112C17" w14:textId="77777777" w:rsidR="00FA0363" w:rsidRDefault="00FA0363" w:rsidP="00FA0363">
      <w:pPr>
        <w:pStyle w:val="13"/>
      </w:pPr>
      <w:r>
        <w:t>2、</w:t>
      </w:r>
      <w:proofErr w:type="gramStart"/>
      <w:r>
        <w:t>在掌视亿通</w:t>
      </w:r>
      <w:proofErr w:type="gramEnd"/>
      <w:r>
        <w:t>资产组可收回价值评估项目中，相关资产组</w:t>
      </w:r>
      <w:proofErr w:type="gramStart"/>
      <w:r>
        <w:t>评估值虚减</w:t>
      </w:r>
      <w:proofErr w:type="gramEnd"/>
      <w:r>
        <w:t>1.04亿元，占原评估值31.54%；</w:t>
      </w:r>
      <w:proofErr w:type="gramStart"/>
      <w:r>
        <w:t>在车音智能</w:t>
      </w:r>
      <w:proofErr w:type="gramEnd"/>
      <w:r>
        <w:t>资产组可收回价值评估项目中，相关资产组评估值虚增0.43亿元，占原评估值1.40%。</w:t>
      </w:r>
    </w:p>
    <w:p w14:paraId="5DD55A8D" w14:textId="77777777" w:rsidR="00FA0363" w:rsidRDefault="00FA0363" w:rsidP="00FA0363">
      <w:pPr>
        <w:pStyle w:val="13"/>
      </w:pPr>
      <w:r>
        <w:t>3、折现率计算错误。资产评估师在测算企业目标财务杠杆系数的β值时，选取汉商股份、南宁百货、昆百大A作为可比企业，并采用可比公司评估基准日前3年即36个月的历史数据计算β值。但在评估底稿折现率计算表中，昆百大A的调整β值采用了评估基准日前4年即48个月的历史数据计算，导致高估企业价值2,903.54万元，占企业评估基准</w:t>
      </w:r>
      <w:proofErr w:type="gramStart"/>
      <w:r>
        <w:t>日股东</w:t>
      </w:r>
      <w:proofErr w:type="gramEnd"/>
      <w:r>
        <w:t>全部权益评估价值的3.39%。</w:t>
      </w:r>
    </w:p>
    <w:p w14:paraId="5CFFB826" w14:textId="77777777" w:rsidR="00FA0363" w:rsidRDefault="00FA0363" w:rsidP="00FA0363">
      <w:pPr>
        <w:pStyle w:val="13"/>
      </w:pPr>
      <w:r>
        <w:t>4、折现期划分不准确。企业出租给欧阳文思（千叶珠宝）营业使用的房屋，租赁期为2015年2月12日至2020年2月11日，房屋所有权证书显示土地使用年限至2045年7月28日。评估底稿将折现期划分为2018年、2019年、2020年1月至2月11日、2020年2月12日至年底、2021年至2044年、2045年1月至7月28日，对应折现期应分别为1年、2年、2.12年、3年、4年、27.58年，但测算表中记录的折现期分别为1年、2年、3年、4年、5年、28.58年，与现金流的产生期间不匹配。</w:t>
      </w:r>
    </w:p>
    <w:p w14:paraId="59487D58" w14:textId="77777777" w:rsidR="00FA0363" w:rsidRDefault="00FA0363" w:rsidP="00FA0363">
      <w:pPr>
        <w:pStyle w:val="13"/>
      </w:pPr>
      <w:r>
        <w:t>5、未考虑资产减值损失对资产组现金流量的影响。资产评估师用收益法预测斯诺实业与商誉相关的经营性资产组未来现金流量时，未将对现金流量没有影响的资产减值损失金额加回。</w:t>
      </w:r>
    </w:p>
    <w:p w14:paraId="4CFD7641" w14:textId="77777777" w:rsidR="00FA0363" w:rsidRDefault="00FA0363" w:rsidP="00FA0363">
      <w:pPr>
        <w:pStyle w:val="13"/>
      </w:pPr>
      <w:r>
        <w:lastRenderedPageBreak/>
        <w:t>6、在九九</w:t>
      </w:r>
      <w:proofErr w:type="gramStart"/>
      <w:r>
        <w:t>久资产组</w:t>
      </w:r>
      <w:proofErr w:type="gramEnd"/>
      <w:r>
        <w:t>评估中，主营业务成本预测相关参数选取不准确；税金及附加预测未考虑追加资本性支出对应增值税的影响；营运资金预测未考虑追加资本性支出对应折旧金额的影响。上述事项造成相关项目多计或少计评估值，累计导致九九</w:t>
      </w:r>
      <w:proofErr w:type="gramStart"/>
      <w:r>
        <w:t>久资产组</w:t>
      </w:r>
      <w:proofErr w:type="gramEnd"/>
      <w:r>
        <w:t>评估值高估2143.89万元。</w:t>
      </w:r>
    </w:p>
    <w:p w14:paraId="32AE7AEC" w14:textId="77777777" w:rsidR="00FA0363" w:rsidRDefault="00FA0363" w:rsidP="00FA0363">
      <w:pPr>
        <w:pStyle w:val="13"/>
      </w:pPr>
      <w:r>
        <w:rPr>
          <w:rFonts w:hint="eastAsia"/>
        </w:rPr>
        <w:t>（六）预计未来现金流量预测依据不充分问题</w:t>
      </w:r>
    </w:p>
    <w:p w14:paraId="6AAE8B5F" w14:textId="77777777" w:rsidR="00FA0363" w:rsidRDefault="00FA0363" w:rsidP="00FA0363">
      <w:pPr>
        <w:pStyle w:val="13"/>
      </w:pPr>
      <w:r>
        <w:t>1、评估报告中披露的折现率、收入增长率、毛利率等关键评估参数选取依据不充</w:t>
      </w:r>
      <w:r>
        <w:rPr>
          <w:rFonts w:hint="eastAsia"/>
        </w:rPr>
        <w:t>分。</w:t>
      </w:r>
    </w:p>
    <w:p w14:paraId="45259AF8" w14:textId="77777777" w:rsidR="00FA0363" w:rsidRDefault="00FA0363" w:rsidP="00FA0363">
      <w:pPr>
        <w:pStyle w:val="13"/>
      </w:pPr>
      <w:r>
        <w:t>2、在测算企业预测期营运资本增加额时，对企业2016年合并资产负债表应收账</w:t>
      </w:r>
      <w:r>
        <w:rPr>
          <w:rFonts w:hint="eastAsia"/>
        </w:rPr>
        <w:t>款期末余额调增</w:t>
      </w:r>
      <w:r>
        <w:t>1,578.86万元，预付账款期末余额调增517.73万元，合计调增2,096.59万元。评估底稿中未见上述调整评定估算过程的记录，评估调整依据不充分。</w:t>
      </w:r>
      <w:r>
        <w:rPr>
          <w:rFonts w:hint="eastAsia"/>
        </w:rPr>
        <w:t>上述调整造成往来款的周转率发生变化，导致低估企业价值。</w:t>
      </w:r>
    </w:p>
    <w:p w14:paraId="4EB705AB" w14:textId="77777777" w:rsidR="00FA0363" w:rsidRDefault="00FA0363" w:rsidP="00FA0363">
      <w:pPr>
        <w:pStyle w:val="13"/>
      </w:pPr>
      <w:r>
        <w:t>3、预测的企业销售量与公司预测数据、框架合同数量均存在差异。预测的石墨化产能利用率与辅料产能利用率不一致；评估预测的毛利率与公司预测的毛利率不一</w:t>
      </w:r>
      <w:r>
        <w:rPr>
          <w:rFonts w:hint="eastAsia"/>
        </w:rPr>
        <w:t>致，且与市场整体毛利率变化趋势不一致等，但资产评估师未对上述关键参数的预测依据进行充分说明。</w:t>
      </w:r>
    </w:p>
    <w:p w14:paraId="5E614856" w14:textId="77777777" w:rsidR="00FA0363" w:rsidRDefault="00FA0363" w:rsidP="00FA0363">
      <w:pPr>
        <w:pStyle w:val="13"/>
      </w:pPr>
      <w:r>
        <w:t>4、在今日彩印资产组评估底稿中，未记录永续期折旧采用5年预测期平均数的依据和理由。</w:t>
      </w:r>
    </w:p>
    <w:p w14:paraId="5520F591" w14:textId="77777777" w:rsidR="00FA0363" w:rsidRDefault="00FA0363" w:rsidP="00FA0363">
      <w:pPr>
        <w:pStyle w:val="13"/>
      </w:pPr>
      <w:r>
        <w:t>5、未记录计算确定的折现率为15.47%，但实际选取折现率为15%的依据和理</w:t>
      </w:r>
      <w:r>
        <w:rPr>
          <w:rFonts w:hint="eastAsia"/>
        </w:rPr>
        <w:t>由。</w:t>
      </w:r>
    </w:p>
    <w:p w14:paraId="6C798BD9" w14:textId="77777777" w:rsidR="00FA0363" w:rsidRDefault="00FA0363" w:rsidP="00FA0363">
      <w:pPr>
        <w:pStyle w:val="13"/>
      </w:pPr>
      <w:r>
        <w:t>6、在</w:t>
      </w:r>
      <w:proofErr w:type="gramStart"/>
      <w:r>
        <w:t>延安必康合并</w:t>
      </w:r>
      <w:proofErr w:type="gramEnd"/>
      <w:r>
        <w:t>陕西必康制药集团控股有限公司麟游分公司形成商誉对应资产</w:t>
      </w:r>
      <w:r>
        <w:rPr>
          <w:rFonts w:hint="eastAsia"/>
        </w:rPr>
        <w:t>组评估底稿中，未记录无形资产可收回价值评估时，对销售收入以企业合并时被评估单位的产能为基础进行预测的理由和依据。</w:t>
      </w:r>
    </w:p>
    <w:p w14:paraId="0DF6EB50" w14:textId="77777777" w:rsidR="00FA0363" w:rsidRDefault="00FA0363" w:rsidP="00FA0363">
      <w:pPr>
        <w:pStyle w:val="ab"/>
        <w:spacing w:before="62" w:after="62"/>
        <w:ind w:firstLine="482"/>
      </w:pPr>
      <w:r>
        <w:rPr>
          <w:rFonts w:hint="eastAsia"/>
        </w:rPr>
        <w:t>二、商誉减值测试评估重点问题风险提示</w:t>
      </w:r>
    </w:p>
    <w:p w14:paraId="54AE09B1" w14:textId="77777777" w:rsidR="00FA0363" w:rsidRDefault="00FA0363" w:rsidP="00FA0363">
      <w:pPr>
        <w:pStyle w:val="13"/>
      </w:pPr>
      <w:r>
        <w:rPr>
          <w:rFonts w:hint="eastAsia"/>
        </w:rPr>
        <w:t>商誉减值测试评估监管案例存在的六个方面问题中，有四个重点问题需要资产评估</w:t>
      </w:r>
      <w:proofErr w:type="gramStart"/>
      <w:r>
        <w:rPr>
          <w:rFonts w:hint="eastAsia"/>
        </w:rPr>
        <w:t>师重点</w:t>
      </w:r>
      <w:proofErr w:type="gramEnd"/>
      <w:r>
        <w:rPr>
          <w:rFonts w:hint="eastAsia"/>
        </w:rPr>
        <w:t>予以关注，我们以商誉减值测试评估依据为出发点，列示了商誉减值测试评估中的重点问题风险事项，提示资产评估师执业中予以关注。</w:t>
      </w:r>
    </w:p>
    <w:p w14:paraId="33B6BCE5" w14:textId="77777777" w:rsidR="00FA0363" w:rsidRDefault="00FA0363" w:rsidP="00FA0363">
      <w:pPr>
        <w:pStyle w:val="13"/>
      </w:pPr>
      <w:r>
        <w:rPr>
          <w:rFonts w:hint="eastAsia"/>
        </w:rPr>
        <w:t>（一）评估对象、评估范围确认中的风险提示</w:t>
      </w:r>
    </w:p>
    <w:p w14:paraId="04795EC2" w14:textId="77777777" w:rsidR="00FA0363" w:rsidRDefault="00FA0363" w:rsidP="00FA0363">
      <w:pPr>
        <w:pStyle w:val="13"/>
      </w:pPr>
      <w:r>
        <w:t>1、执业风险提示依据</w:t>
      </w:r>
    </w:p>
    <w:p w14:paraId="3F34E97B" w14:textId="77777777" w:rsidR="00FA0363" w:rsidRDefault="00FA0363" w:rsidP="00FA0363">
      <w:pPr>
        <w:pStyle w:val="13"/>
      </w:pPr>
      <w:r>
        <w:rPr>
          <w:rFonts w:hint="eastAsia"/>
        </w:rPr>
        <w:t>（</w:t>
      </w:r>
      <w:r>
        <w:t>1）财政部监督监察局2019年3月29日发布的《关于进一步加强商誉减值监管的通知（财监便〔2019〕23号）》（以下简称“23号通知”）要求，“评估机构应与委托方就商誉减值评估事项约定评估基准日、评估对象、评估范围和价值类型等关键要</w:t>
      </w:r>
      <w:r>
        <w:rPr>
          <w:rFonts w:hint="eastAsia"/>
        </w:rPr>
        <w:t>素，并按照约定开展评估。”</w:t>
      </w:r>
    </w:p>
    <w:p w14:paraId="6BEDE594" w14:textId="77777777" w:rsidR="00FA0363" w:rsidRDefault="00FA0363" w:rsidP="00FA0363">
      <w:pPr>
        <w:pStyle w:val="13"/>
      </w:pPr>
      <w:r>
        <w:rPr>
          <w:rFonts w:hint="eastAsia"/>
        </w:rPr>
        <w:t>（</w:t>
      </w:r>
      <w:r>
        <w:t>2）《以财务报告为目的的评估指南（2017）》（以下简称“财报指南”）第8条、</w:t>
      </w:r>
    </w:p>
    <w:p w14:paraId="208D4D10" w14:textId="77777777" w:rsidR="00FA0363" w:rsidRDefault="00FA0363" w:rsidP="00FA0363">
      <w:pPr>
        <w:pStyle w:val="13"/>
      </w:pPr>
      <w:r>
        <w:rPr>
          <w:rFonts w:hint="eastAsia"/>
        </w:rPr>
        <w:t>第</w:t>
      </w:r>
      <w:r>
        <w:t>12条规定，“执行以财务报告为目的的评估业务，应当与企业和执行审计业务的注册会计师进行必要的沟通，明确评估业务基本事项并充分理解会计准则或者</w:t>
      </w:r>
      <w:r>
        <w:lastRenderedPageBreak/>
        <w:t>相关会计核算、披露的具体要求。”“执行以财务报告为目的的评估业务，应当与委托人进行充分协商，明确评估对象，并充分考虑评估对象的法律、物理与经济等具体特征对评估业务的影响。”</w:t>
      </w:r>
    </w:p>
    <w:p w14:paraId="67D220AC" w14:textId="77777777" w:rsidR="00FA0363" w:rsidRDefault="00FA0363" w:rsidP="00FA0363">
      <w:pPr>
        <w:pStyle w:val="13"/>
      </w:pPr>
      <w:r>
        <w:t>2、执业风险提示事项</w:t>
      </w:r>
    </w:p>
    <w:p w14:paraId="033C59BA" w14:textId="77777777" w:rsidR="00FA0363" w:rsidRDefault="00FA0363" w:rsidP="00FA0363">
      <w:pPr>
        <w:pStyle w:val="13"/>
      </w:pPr>
      <w:r>
        <w:rPr>
          <w:rFonts w:hint="eastAsia"/>
        </w:rPr>
        <w:t>（</w:t>
      </w:r>
      <w:r>
        <w:t>1）资产评估机构承接业务前，资产评估师应与委托人沟通商誉减值测试评估目的，资产评估师应知晓商誉减值测试评估目的不是唯一的，委托人委托评估目的通常是为企业商誉减值测试中确定包含商誉资产组可收回金额提供价值参考，也可能是为确定包含商誉资产组公允价值减处置费用的余额或为确定包含商誉资产组预计未来现金流量的现值提供价值参考，资产评估师应知晓不同评估目的会影响评估对象、评估范围和评估范围、价值类型等评估要素的确定。</w:t>
      </w:r>
    </w:p>
    <w:p w14:paraId="3D4AF5FC" w14:textId="77777777" w:rsidR="00FA0363" w:rsidRDefault="00FA0363" w:rsidP="00FA0363">
      <w:pPr>
        <w:pStyle w:val="13"/>
      </w:pPr>
      <w:r>
        <w:rPr>
          <w:rFonts w:hint="eastAsia"/>
        </w:rPr>
        <w:t>资产评估机构与委托人签订的评估业务委托合同中，资产评估师应将与委托人沟通确定的评估目的、评估对象和评估范围、评估方法、价值类型、评估基准日等主要评估要素在业务委托合同中予以明确。</w:t>
      </w:r>
    </w:p>
    <w:p w14:paraId="7FCB8DFA" w14:textId="77777777" w:rsidR="00FA0363" w:rsidRDefault="00FA0363" w:rsidP="00FA0363">
      <w:pPr>
        <w:pStyle w:val="13"/>
      </w:pPr>
      <w:r>
        <w:rPr>
          <w:rFonts w:hint="eastAsia"/>
        </w:rPr>
        <w:t>（</w:t>
      </w:r>
      <w:r>
        <w:t>2）现场工作中，资产评估师应与承担年报审计的注册会计师就商誉减值测试评估的评估对象和评估范围、评估方法、价值类型、关键评估参数确定等评估要素进行沟通，并将与注册会计师沟通记录在工作档案中存档。</w:t>
      </w:r>
    </w:p>
    <w:p w14:paraId="3F12A0F6" w14:textId="77777777" w:rsidR="00FA0363" w:rsidRDefault="00FA0363" w:rsidP="00FA0363">
      <w:pPr>
        <w:pStyle w:val="13"/>
      </w:pPr>
      <w:r>
        <w:rPr>
          <w:rFonts w:hint="eastAsia"/>
        </w:rPr>
        <w:t>（二）评估对象、评估范围核查中的风险提示</w:t>
      </w:r>
    </w:p>
    <w:p w14:paraId="48B5E1FF" w14:textId="77777777" w:rsidR="00FA0363" w:rsidRDefault="00FA0363" w:rsidP="00FA0363">
      <w:pPr>
        <w:pStyle w:val="13"/>
      </w:pPr>
      <w:r>
        <w:t>1、执业风险提示依据</w:t>
      </w:r>
    </w:p>
    <w:p w14:paraId="04ABCB4F" w14:textId="77777777" w:rsidR="00FA0363" w:rsidRDefault="00FA0363" w:rsidP="00FA0363">
      <w:pPr>
        <w:pStyle w:val="13"/>
      </w:pPr>
      <w:r>
        <w:rPr>
          <w:rFonts w:hint="eastAsia"/>
        </w:rPr>
        <w:t>（</w:t>
      </w:r>
      <w:r>
        <w:t>1）23号通知中要求，“评估机构应合理判断相关资产组或资产组合独立产生现金流的能力，与初始确认是否一致”。</w:t>
      </w:r>
    </w:p>
    <w:p w14:paraId="4DA336BE" w14:textId="77777777" w:rsidR="00FA0363" w:rsidRDefault="00FA0363" w:rsidP="00FA0363">
      <w:pPr>
        <w:pStyle w:val="13"/>
      </w:pPr>
      <w:r>
        <w:rPr>
          <w:rFonts w:hint="eastAsia"/>
        </w:rPr>
        <w:t>（</w:t>
      </w:r>
      <w:r>
        <w:t>2）证监会会计部2018年11月发布的《会计监管风险提示第8号-商誉减值》</w:t>
      </w:r>
    </w:p>
    <w:p w14:paraId="0977F4D6" w14:textId="77777777" w:rsidR="00FA0363" w:rsidRDefault="00FA0363" w:rsidP="00FA0363">
      <w:pPr>
        <w:pStyle w:val="13"/>
      </w:pPr>
      <w:r>
        <w:rPr>
          <w:rFonts w:hint="eastAsia"/>
        </w:rPr>
        <w:t>（以下简称“</w:t>
      </w:r>
      <w:r>
        <w:t>8号风险提示”）监管要求，“资产评估师应充分关注商誉所在资产组或资产组组合的法律、物理、技术与经济等具体特征，合理判断相关资产组或资产组组合独立产生现金流的能力，关注其与商誉初始确认时的资产组或资产组组合的一致性。”</w:t>
      </w:r>
    </w:p>
    <w:p w14:paraId="59F8791A" w14:textId="77777777" w:rsidR="00FA0363" w:rsidRDefault="00FA0363" w:rsidP="00FA0363">
      <w:pPr>
        <w:pStyle w:val="13"/>
      </w:pPr>
      <w:r>
        <w:t>2、执业风险提示事项</w:t>
      </w:r>
    </w:p>
    <w:p w14:paraId="2C4ABF9A" w14:textId="77777777" w:rsidR="00FA0363" w:rsidRDefault="00FA0363" w:rsidP="00FA0363">
      <w:pPr>
        <w:pStyle w:val="13"/>
      </w:pPr>
      <w:r>
        <w:rPr>
          <w:rFonts w:hint="eastAsia"/>
        </w:rPr>
        <w:t>（</w:t>
      </w:r>
      <w:r>
        <w:t>1）资产评估</w:t>
      </w:r>
      <w:proofErr w:type="gramStart"/>
      <w:r>
        <w:t>师应当</w:t>
      </w:r>
      <w:proofErr w:type="gramEnd"/>
      <w:r>
        <w:t>知晓商誉减值测试评估对包含商誉资产组的现场调查、核查验证的目的是判断包含商誉资产</w:t>
      </w:r>
      <w:proofErr w:type="gramStart"/>
      <w:r>
        <w:t>组独立</w:t>
      </w:r>
      <w:proofErr w:type="gramEnd"/>
      <w:r>
        <w:t>产生现金流的能力，并将核查相关评估程序在工作档案中予以留存。</w:t>
      </w:r>
    </w:p>
    <w:p w14:paraId="4AA532AA" w14:textId="77777777" w:rsidR="00FA0363" w:rsidRDefault="00FA0363" w:rsidP="00FA0363">
      <w:pPr>
        <w:pStyle w:val="13"/>
      </w:pPr>
      <w:r>
        <w:rPr>
          <w:rFonts w:hint="eastAsia"/>
        </w:rPr>
        <w:t>（</w:t>
      </w:r>
      <w:r>
        <w:t>2）包含商誉资产</w:t>
      </w:r>
      <w:proofErr w:type="gramStart"/>
      <w:r>
        <w:t>组产生</w:t>
      </w:r>
      <w:proofErr w:type="gramEnd"/>
      <w:r>
        <w:t>现金流能力的核查包括四个方面的内容：第一，法律特征。资产评估师通过现场调查、访谈、审阅、核对相关文件等手段，重点关注包含商誉资产组的合</w:t>
      </w:r>
      <w:proofErr w:type="gramStart"/>
      <w:r>
        <w:t>规</w:t>
      </w:r>
      <w:proofErr w:type="gramEnd"/>
      <w:r>
        <w:t>性、法律权属，如资产评估师应取得包含商誉资产</w:t>
      </w:r>
      <w:proofErr w:type="gramStart"/>
      <w:r>
        <w:t>组经营</w:t>
      </w:r>
      <w:proofErr w:type="gramEnd"/>
      <w:r>
        <w:t>的政府许可</w:t>
      </w:r>
      <w:r>
        <w:rPr>
          <w:rFonts w:hint="eastAsia"/>
        </w:rPr>
        <w:t>文件、主要资产法律权属归属文件等。第二，物理特征。资产评估师通过现场勘查、实地调查、函证、询问等手段，重点关注包含商誉资产组的存在状态是否满足正常使</w:t>
      </w:r>
      <w:r>
        <w:rPr>
          <w:rFonts w:hint="eastAsia"/>
        </w:rPr>
        <w:lastRenderedPageBreak/>
        <w:t>用要求，如资产评估师应将现场调查记录在工作档案中留存。第三，技术特征。资产评估师通过访谈、查阅文件等手段，重点关注包含商誉资产组的技术水平，如资产评估师可以通过对研发人员、生产人员、销售人员的访谈了解生产产品的技术及市场竞争优劣势。第四，经济特征。资产评估师可以通过财务数据分析等手段，重点关注包含商誉资产组生产产品的利润指标表现，如资产评估师可以通过对比分析其产品与同行业产品财务指标的差异评价其经济表现。</w:t>
      </w:r>
    </w:p>
    <w:p w14:paraId="3E9574AE" w14:textId="77777777" w:rsidR="00FA0363" w:rsidRDefault="00FA0363" w:rsidP="00FA0363">
      <w:pPr>
        <w:pStyle w:val="13"/>
      </w:pPr>
      <w:r>
        <w:rPr>
          <w:rFonts w:hint="eastAsia"/>
        </w:rPr>
        <w:t>资产评估师承做商誉减值测试评估，应重点熟悉《企业会计准则第</w:t>
      </w:r>
      <w:r>
        <w:t>8号-资产减值</w:t>
      </w:r>
      <w:r>
        <w:rPr>
          <w:rFonts w:hint="eastAsia"/>
        </w:rPr>
        <w:t>（</w:t>
      </w:r>
      <w:r>
        <w:t>2006）》（以下简称“8号准则”）中与评估对象、评估范围相关的会计准则条款规定，并以此为依据，判断企业填报的评估明细表内容是否符合商誉减值测试要求，并就企业确定的包含商誉资产</w:t>
      </w:r>
      <w:proofErr w:type="gramStart"/>
      <w:r>
        <w:t>组范围</w:t>
      </w:r>
      <w:proofErr w:type="gramEnd"/>
      <w:r>
        <w:t>与年报审计的注册会计师进行沟通。</w:t>
      </w:r>
    </w:p>
    <w:p w14:paraId="06AA17A6" w14:textId="77777777" w:rsidR="00FA0363" w:rsidRDefault="00FA0363" w:rsidP="00FA0363">
      <w:pPr>
        <w:pStyle w:val="13"/>
      </w:pPr>
      <w:r>
        <w:t>8号准则中与评估对象、评估范围相关的主要会计准则条款如下：</w:t>
      </w:r>
    </w:p>
    <w:p w14:paraId="4659E604" w14:textId="77777777" w:rsidR="00FA0363" w:rsidRDefault="00FA0363" w:rsidP="00FA0363">
      <w:pPr>
        <w:pStyle w:val="13"/>
      </w:pPr>
      <w:r>
        <w:t>A.</w:t>
      </w:r>
      <w:r>
        <w:tab/>
        <w:t>第2条第三款：资产组，是指企业可以认定的最小资产组合，其产生的现金流入应当基本上独立于其他资产或者资产组产生的现金流入。</w:t>
      </w:r>
    </w:p>
    <w:p w14:paraId="01D9EF77" w14:textId="77777777" w:rsidR="00FA0363" w:rsidRDefault="00FA0363" w:rsidP="00FA0363">
      <w:pPr>
        <w:pStyle w:val="13"/>
      </w:pPr>
      <w:r>
        <w:t>B.</w:t>
      </w:r>
      <w:r>
        <w:tab/>
        <w:t>第18条第二款：资产组的认定，应当以资产组产生的主要现金流入是否独立于其他资产或者资产组的现金流入为依据。同时，在认定资产组时，应当考虑企业管理层管理生产经营活动的方式（如是按照生产线、业务种类还是按照地区或者区域等）和对资产的持续使用或者处置的决策方式等。</w:t>
      </w:r>
    </w:p>
    <w:p w14:paraId="20C44AB3" w14:textId="77777777" w:rsidR="00FA0363" w:rsidRDefault="00FA0363" w:rsidP="00FA0363">
      <w:pPr>
        <w:pStyle w:val="13"/>
      </w:pPr>
      <w:r>
        <w:t>C.</w:t>
      </w:r>
      <w:r>
        <w:tab/>
        <w:t>第19条第二款：资产组的账面价值包括可直接归属于资产组与可以合理和一致地分摊至资产组的资产账面价值，通常不应当包括已确认负债的账面价值，但如不考虑该负债金额就无法确定资产组可收回金额的除外。</w:t>
      </w:r>
    </w:p>
    <w:p w14:paraId="25727DC9" w14:textId="77777777" w:rsidR="00FA0363" w:rsidRDefault="00FA0363" w:rsidP="00FA0363">
      <w:pPr>
        <w:pStyle w:val="13"/>
      </w:pPr>
      <w:r>
        <w:t>D.</w:t>
      </w:r>
      <w:r>
        <w:tab/>
        <w:t>第23条第二款：相关的资产组或者资产组组合应当是能够从企业合并的协同效</w:t>
      </w:r>
      <w:r>
        <w:rPr>
          <w:rFonts w:hint="eastAsia"/>
        </w:rPr>
        <w:t>应中受益的资产组或者资产组组合，不应当大于按照《企业会计准则第</w:t>
      </w:r>
      <w:r>
        <w:t>35号—分部报告》所确定的报告分部。</w:t>
      </w:r>
    </w:p>
    <w:p w14:paraId="345060D0" w14:textId="77777777" w:rsidR="00FA0363" w:rsidRDefault="00FA0363" w:rsidP="00FA0363">
      <w:pPr>
        <w:pStyle w:val="13"/>
      </w:pPr>
      <w:r>
        <w:rPr>
          <w:rFonts w:hint="eastAsia"/>
        </w:rPr>
        <w:t>（三）商誉减值测试评估前后期一致性风险提示</w:t>
      </w:r>
    </w:p>
    <w:p w14:paraId="0A9EC868" w14:textId="77777777" w:rsidR="00FA0363" w:rsidRDefault="00FA0363" w:rsidP="00FA0363">
      <w:pPr>
        <w:pStyle w:val="13"/>
      </w:pPr>
      <w:r>
        <w:t>1、执业风险提示依据</w:t>
      </w:r>
    </w:p>
    <w:p w14:paraId="087B0425" w14:textId="77777777" w:rsidR="00FA0363" w:rsidRDefault="00FA0363" w:rsidP="00FA0363">
      <w:pPr>
        <w:pStyle w:val="13"/>
      </w:pPr>
      <w:r>
        <w:rPr>
          <w:rFonts w:hint="eastAsia"/>
        </w:rPr>
        <w:t>（</w:t>
      </w:r>
      <w:r>
        <w:t>1）23号通知中要求，“资产评估师应当恰当选择评估方法，初始计量和后续计</w:t>
      </w:r>
      <w:r>
        <w:rPr>
          <w:rFonts w:hint="eastAsia"/>
        </w:rPr>
        <w:t>量方法发生变化的项目应有充分理由。”</w:t>
      </w:r>
    </w:p>
    <w:p w14:paraId="725AA20E" w14:textId="77777777" w:rsidR="00FA0363" w:rsidRDefault="00FA0363" w:rsidP="00FA0363">
      <w:pPr>
        <w:pStyle w:val="13"/>
      </w:pPr>
      <w:r>
        <w:rPr>
          <w:rFonts w:hint="eastAsia"/>
        </w:rPr>
        <w:t>（</w:t>
      </w:r>
      <w:r>
        <w:t>2）8号风险提示监管要求，“若以前期间对商誉进行减值测试时，有关预测参数与期后实际情况存在重大偏差的，应充分关注管理层是否识别出导致偏差的主要因</w:t>
      </w:r>
      <w:r>
        <w:rPr>
          <w:rFonts w:hint="eastAsia"/>
        </w:rPr>
        <w:t>素，是否在本期商誉减值测试时充分考虑了相关因素的影响，并适当调整预测思路。”</w:t>
      </w:r>
    </w:p>
    <w:p w14:paraId="1A07F025" w14:textId="77777777" w:rsidR="00FA0363" w:rsidRDefault="00FA0363" w:rsidP="00FA0363">
      <w:pPr>
        <w:pStyle w:val="13"/>
      </w:pPr>
      <w:r>
        <w:t>2、执业风险提示事项</w:t>
      </w:r>
    </w:p>
    <w:p w14:paraId="3D947510" w14:textId="77777777" w:rsidR="00FA0363" w:rsidRDefault="00FA0363" w:rsidP="00FA0363">
      <w:pPr>
        <w:pStyle w:val="13"/>
      </w:pPr>
      <w:r>
        <w:rPr>
          <w:rFonts w:hint="eastAsia"/>
        </w:rPr>
        <w:t>（</w:t>
      </w:r>
      <w:r>
        <w:t>1）资产评估师应知晓商誉相关资产</w:t>
      </w:r>
      <w:proofErr w:type="gramStart"/>
      <w:r>
        <w:t>组范围</w:t>
      </w:r>
      <w:proofErr w:type="gramEnd"/>
      <w:r>
        <w:t>通常情况下，前后期应保持一致，资产评估师在商誉减值测试评估中，应对前后期商誉相关资产</w:t>
      </w:r>
      <w:proofErr w:type="gramStart"/>
      <w:r>
        <w:t>组范围</w:t>
      </w:r>
      <w:proofErr w:type="gramEnd"/>
      <w:r>
        <w:t>进行对比。</w:t>
      </w:r>
    </w:p>
    <w:p w14:paraId="035BB471" w14:textId="77777777" w:rsidR="00FA0363" w:rsidRDefault="00FA0363" w:rsidP="00FA0363">
      <w:pPr>
        <w:pStyle w:val="13"/>
      </w:pPr>
      <w:r>
        <w:rPr>
          <w:rFonts w:hint="eastAsia"/>
        </w:rPr>
        <w:lastRenderedPageBreak/>
        <w:t>（</w:t>
      </w:r>
      <w:r>
        <w:t>2）商誉减值测试评估前后期采用的评估方法应保持一致，除非以前期采用的评估方法已经不适用或者变更后的评估方法能够更合理的估算包含商誉资产组的可收回金额。</w:t>
      </w:r>
    </w:p>
    <w:p w14:paraId="70260D6B" w14:textId="77777777" w:rsidR="00FA0363" w:rsidRDefault="00FA0363" w:rsidP="00FA0363">
      <w:pPr>
        <w:pStyle w:val="13"/>
      </w:pPr>
      <w:r>
        <w:rPr>
          <w:rFonts w:hint="eastAsia"/>
        </w:rPr>
        <w:t>（</w:t>
      </w:r>
      <w:r>
        <w:t>3）资产评估师应核实以前期商誉减值测试评估企业管理</w:t>
      </w:r>
      <w:proofErr w:type="gramStart"/>
      <w:r>
        <w:t>层预测</w:t>
      </w:r>
      <w:proofErr w:type="gramEnd"/>
      <w:r>
        <w:t>的实现情况，如存在预测数据与实际实现财务数据存在较大差异的情况，应向管理层了解预测数据未实现的原因及在当期的表现，资产评估师要考虑以前期预测数据未实现因素对当期预测的影响，判断是否存在管理</w:t>
      </w:r>
      <w:proofErr w:type="gramStart"/>
      <w:r>
        <w:t>层预测</w:t>
      </w:r>
      <w:proofErr w:type="gramEnd"/>
      <w:r>
        <w:t>偏向。</w:t>
      </w:r>
    </w:p>
    <w:p w14:paraId="7EDDAED0" w14:textId="77777777" w:rsidR="00FA0363" w:rsidRDefault="00FA0363" w:rsidP="00FA0363">
      <w:pPr>
        <w:pStyle w:val="13"/>
      </w:pPr>
      <w:r>
        <w:rPr>
          <w:rFonts w:hint="eastAsia"/>
        </w:rPr>
        <w:t>（四）评估范围账面价值与预计现金</w:t>
      </w:r>
      <w:proofErr w:type="gramStart"/>
      <w:r>
        <w:rPr>
          <w:rFonts w:hint="eastAsia"/>
        </w:rPr>
        <w:t>流确定</w:t>
      </w:r>
      <w:proofErr w:type="gramEnd"/>
      <w:r>
        <w:rPr>
          <w:rFonts w:hint="eastAsia"/>
        </w:rPr>
        <w:t>方式一致性风险提示</w:t>
      </w:r>
    </w:p>
    <w:p w14:paraId="198865F7" w14:textId="77777777" w:rsidR="00FA0363" w:rsidRDefault="00FA0363" w:rsidP="00FA0363">
      <w:pPr>
        <w:pStyle w:val="13"/>
      </w:pPr>
      <w:r>
        <w:t>1、执业风险提示依据</w:t>
      </w:r>
    </w:p>
    <w:p w14:paraId="20BC66B6" w14:textId="77777777" w:rsidR="00FA0363" w:rsidRDefault="00FA0363" w:rsidP="00FA0363">
      <w:pPr>
        <w:pStyle w:val="13"/>
      </w:pPr>
      <w:r>
        <w:rPr>
          <w:rFonts w:hint="eastAsia"/>
        </w:rPr>
        <w:t>（</w:t>
      </w:r>
      <w:r>
        <w:t>1）8号准则第19条第一款规定，“资产组账面价值的确定基础应当与其可收回金额的确定方式相一致。”</w:t>
      </w:r>
    </w:p>
    <w:p w14:paraId="76BD0D82" w14:textId="77777777" w:rsidR="00FA0363" w:rsidRDefault="00FA0363" w:rsidP="00FA0363">
      <w:pPr>
        <w:pStyle w:val="13"/>
      </w:pPr>
      <w:r>
        <w:rPr>
          <w:rFonts w:hint="eastAsia"/>
        </w:rPr>
        <w:t>（</w:t>
      </w:r>
      <w:r>
        <w:t>2）8号风险提示监管要求，“采用预计未来现金净流量的现值估计可收回金额时，资产组或资产组组合的可收回金额与其账面价值的确定基础应保持一致，即二者应包括相同的资产和负债，且应按照与资产组或资产组组合内资产和负债一致的基础预测未来现金流量，如资产组的账面价值中未包括营运资金，但在确定可收回金额的未来现金流量时却考虑了期初营运资金的影响。”</w:t>
      </w:r>
    </w:p>
    <w:p w14:paraId="4DBC39AC" w14:textId="77777777" w:rsidR="00FA0363" w:rsidRDefault="00FA0363" w:rsidP="00FA0363">
      <w:pPr>
        <w:pStyle w:val="13"/>
      </w:pPr>
      <w:r>
        <w:t>2、执业风险提示事项</w:t>
      </w:r>
    </w:p>
    <w:p w14:paraId="48FD68A8" w14:textId="77777777" w:rsidR="00FA0363" w:rsidRDefault="00FA0363" w:rsidP="00FA0363">
      <w:pPr>
        <w:pStyle w:val="13"/>
      </w:pPr>
      <w:r>
        <w:rPr>
          <w:rFonts w:hint="eastAsia"/>
        </w:rPr>
        <w:t>（</w:t>
      </w:r>
      <w:r>
        <w:t>1）包含商誉资产组与预计现金流现值一致性风险提示</w:t>
      </w:r>
      <w:proofErr w:type="gramStart"/>
      <w:r>
        <w:t>一</w:t>
      </w:r>
      <w:proofErr w:type="gramEnd"/>
      <w:r>
        <w:t>：包含商誉资产</w:t>
      </w:r>
      <w:proofErr w:type="gramStart"/>
      <w:r>
        <w:t>组范围</w:t>
      </w:r>
      <w:proofErr w:type="gramEnd"/>
      <w:r>
        <w:t>内不应包含与资产</w:t>
      </w:r>
      <w:proofErr w:type="gramStart"/>
      <w:r>
        <w:t>组产生</w:t>
      </w:r>
      <w:proofErr w:type="gramEnd"/>
      <w:r>
        <w:t>现金流无关的资产、负债，即不应包括非经营性资产、负</w:t>
      </w:r>
      <w:r>
        <w:rPr>
          <w:rFonts w:hint="eastAsia"/>
        </w:rPr>
        <w:t>债，溢余资产、负债。</w:t>
      </w:r>
    </w:p>
    <w:p w14:paraId="3CA4C175" w14:textId="77777777" w:rsidR="00FA0363" w:rsidRDefault="00FA0363" w:rsidP="00FA0363">
      <w:pPr>
        <w:pStyle w:val="13"/>
      </w:pPr>
      <w:r>
        <w:rPr>
          <w:rFonts w:hint="eastAsia"/>
        </w:rPr>
        <w:t>（</w:t>
      </w:r>
      <w:r>
        <w:t>2）包含商誉资产组与预计现金流现值一致性风险提示二：包含商誉资产</w:t>
      </w:r>
      <w:proofErr w:type="gramStart"/>
      <w:r>
        <w:t>组产生</w:t>
      </w:r>
      <w:proofErr w:type="gramEnd"/>
      <w:r>
        <w:rPr>
          <w:rFonts w:hint="eastAsia"/>
        </w:rPr>
        <w:t>现金流的能力应与预计现金</w:t>
      </w:r>
      <w:proofErr w:type="gramStart"/>
      <w:r>
        <w:rPr>
          <w:rFonts w:hint="eastAsia"/>
        </w:rPr>
        <w:t>流规模</w:t>
      </w:r>
      <w:proofErr w:type="gramEnd"/>
      <w:r>
        <w:rPr>
          <w:rFonts w:hint="eastAsia"/>
        </w:rPr>
        <w:t>保持一致，预计现金流不应包括减值</w:t>
      </w:r>
      <w:proofErr w:type="gramStart"/>
      <w:r>
        <w:rPr>
          <w:rFonts w:hint="eastAsia"/>
        </w:rPr>
        <w:t>测试日</w:t>
      </w:r>
      <w:proofErr w:type="gramEnd"/>
      <w:r>
        <w:rPr>
          <w:rFonts w:hint="eastAsia"/>
        </w:rPr>
        <w:t>尚未发生的未来资产改良或尚未</w:t>
      </w:r>
      <w:proofErr w:type="gramStart"/>
      <w:r>
        <w:rPr>
          <w:rFonts w:hint="eastAsia"/>
        </w:rPr>
        <w:t>作出</w:t>
      </w:r>
      <w:proofErr w:type="gramEnd"/>
      <w:r>
        <w:rPr>
          <w:rFonts w:hint="eastAsia"/>
        </w:rPr>
        <w:t>承诺的重组事项影响。</w:t>
      </w:r>
    </w:p>
    <w:p w14:paraId="179E89D6" w14:textId="77777777" w:rsidR="00FA0363" w:rsidRDefault="00FA0363" w:rsidP="00FA0363">
      <w:pPr>
        <w:pStyle w:val="13"/>
      </w:pPr>
      <w:r>
        <w:rPr>
          <w:rFonts w:hint="eastAsia"/>
        </w:rPr>
        <w:t>（</w:t>
      </w:r>
      <w:r>
        <w:t>3）包含商誉资产组与预计现金流现值一致性风险提示三：包含商誉资产</w:t>
      </w:r>
      <w:proofErr w:type="gramStart"/>
      <w:r>
        <w:t>组范围</w:t>
      </w:r>
      <w:proofErr w:type="gramEnd"/>
      <w:r>
        <w:t>包含尚未完成的在建工程、无形资产等事项，预计现金流可以考虑该事项对未来现金流入的影响，同时应考虑达到预定使用状态的现金流出。</w:t>
      </w:r>
    </w:p>
    <w:p w14:paraId="381A9289" w14:textId="60FFE9B7" w:rsidR="00FA0363" w:rsidRDefault="00FA0363" w:rsidP="00FA0363">
      <w:pPr>
        <w:pStyle w:val="31"/>
        <w:spacing w:before="156" w:after="62"/>
      </w:pPr>
      <w:bookmarkStart w:id="117" w:name="_Toc81833379"/>
      <w:r>
        <w:rPr>
          <w:rFonts w:hint="eastAsia"/>
        </w:rPr>
        <w:t>北京资产评估协会维权委员会专家提示〔</w:t>
      </w:r>
      <w:r>
        <w:t>2019〕年第1号</w:t>
      </w:r>
      <w:r w:rsidR="00F811C3">
        <w:br/>
      </w:r>
      <w:r>
        <w:t>—资产评估委托合同风险提示</w:t>
      </w:r>
      <w:bookmarkEnd w:id="117"/>
    </w:p>
    <w:p w14:paraId="6E7469A8" w14:textId="77777777" w:rsidR="00FA0363" w:rsidRDefault="00FA0363" w:rsidP="00FA0363">
      <w:pPr>
        <w:pStyle w:val="13"/>
      </w:pPr>
      <w:r>
        <w:rPr>
          <w:rFonts w:hint="eastAsia"/>
        </w:rPr>
        <w:t>为规范资产评估行为，保护资产评估当事人的合法权益和公共利益，提高评估行业的风险事前预防能力，促进资产评估行业健康发展，北京资产评估协会维权委员会从专业和法律的角度对资产评估委托合同签订及履行过程中存在的相关风险事项进行梳理、归纳，并根据《中华人民共和国资产评估法》、《中华人民共和国合同法》、《资产评估执业准则—资产评估委托合同》等法律法规及行业规范有关规定，研究形</w:t>
      </w:r>
      <w:r>
        <w:rPr>
          <w:rFonts w:hint="eastAsia"/>
        </w:rPr>
        <w:lastRenderedPageBreak/>
        <w:t>成《资产评估委托合同风险提示》，</w:t>
      </w:r>
      <w:proofErr w:type="gramStart"/>
      <w:r>
        <w:rPr>
          <w:rFonts w:hint="eastAsia"/>
        </w:rPr>
        <w:t>供资产</w:t>
      </w:r>
      <w:proofErr w:type="gramEnd"/>
      <w:r>
        <w:rPr>
          <w:rFonts w:hint="eastAsia"/>
        </w:rPr>
        <w:t>评估机构和评估专业人员参考。</w:t>
      </w:r>
    </w:p>
    <w:p w14:paraId="030654B6" w14:textId="77777777" w:rsidR="00FA0363" w:rsidRDefault="00FA0363" w:rsidP="00FA0363">
      <w:pPr>
        <w:pStyle w:val="13"/>
      </w:pPr>
      <w:proofErr w:type="gramStart"/>
      <w:r>
        <w:rPr>
          <w:rFonts w:hint="eastAsia"/>
        </w:rPr>
        <w:t>本风险提示仅</w:t>
      </w:r>
      <w:proofErr w:type="gramEnd"/>
      <w:r>
        <w:rPr>
          <w:rFonts w:hint="eastAsia"/>
        </w:rPr>
        <w:t>代表北京资产评估协会维权委员会的专家观点，不能替代相关法</w:t>
      </w:r>
      <w:r>
        <w:t>律、法规、执业准则，也不能替代资产评估专业人员的职业判断。在执业中，资产评估机构及评估专业人员应结合项目实际情况、自身职业判断合理使用。</w:t>
      </w:r>
    </w:p>
    <w:p w14:paraId="24EC7534" w14:textId="77777777" w:rsidR="00FA0363" w:rsidRDefault="00FA0363" w:rsidP="00FA0363">
      <w:pPr>
        <w:pStyle w:val="13"/>
      </w:pPr>
      <w:r>
        <w:rPr>
          <w:rFonts w:hint="eastAsia"/>
        </w:rPr>
        <w:t>资产评估委托合同是资产评估机构接受委托人之委托开展资产评估业务，与委托人建立委托关系的法定书面依据。完善的委托合同具备事前预防风险的功能，是资产评估行业风险防范体系的重中之重。资产评估委托合同兼具资产评估的行业特征和委托合同的法律属性，因此，风险防范也应从评估业务的开展和法律实务两个角度展</w:t>
      </w:r>
      <w:r>
        <w:t>开。</w:t>
      </w:r>
    </w:p>
    <w:p w14:paraId="1E591061" w14:textId="77777777" w:rsidR="00FA0363" w:rsidRDefault="00FA0363" w:rsidP="00FA0363">
      <w:pPr>
        <w:pStyle w:val="ab"/>
        <w:spacing w:before="62" w:after="62"/>
        <w:ind w:firstLine="482"/>
      </w:pPr>
      <w:r>
        <w:rPr>
          <w:rFonts w:hint="eastAsia"/>
        </w:rPr>
        <w:t>一、资产评估委托合同订立的风险提示</w:t>
      </w:r>
    </w:p>
    <w:p w14:paraId="59D62477" w14:textId="77777777" w:rsidR="00FA0363" w:rsidRDefault="00FA0363" w:rsidP="00FA0363">
      <w:pPr>
        <w:pStyle w:val="13"/>
      </w:pPr>
      <w:r>
        <w:rPr>
          <w:rFonts w:hint="eastAsia"/>
        </w:rPr>
        <w:t>根据《资产评估执业准则—资产评估档案》之规定，当委托评估事项完成后，</w:t>
      </w:r>
      <w:r>
        <w:t>评估机构应将书面委托合同作为重要的工作底稿资料纳入档案管理并进行妥善保管。当评估机构与委托人产生纠纷甚至发生诉讼或仲裁时，该委托合同则成为确定合同当事人民事责任产生与承担的重要依据和证据材料。因此，签订完善、严谨的委托合同是资产评估机构及评估专业人员执业风险事前防范的重中之重。</w:t>
      </w:r>
    </w:p>
    <w:p w14:paraId="0741D129" w14:textId="77777777" w:rsidR="00FA0363" w:rsidRDefault="00FA0363" w:rsidP="00FA0363">
      <w:pPr>
        <w:pStyle w:val="13"/>
      </w:pPr>
      <w:r>
        <w:rPr>
          <w:rFonts w:hint="eastAsia"/>
        </w:rPr>
        <w:t>（一）项目承接风险提示</w:t>
      </w:r>
    </w:p>
    <w:p w14:paraId="0301C2E7" w14:textId="77777777" w:rsidR="00FA0363" w:rsidRDefault="00FA0363" w:rsidP="00FA0363">
      <w:pPr>
        <w:pStyle w:val="13"/>
      </w:pPr>
      <w:r>
        <w:rPr>
          <w:rFonts w:hint="eastAsia"/>
        </w:rPr>
        <w:t>资产评估行业的市场风险很大程度上来自委托合同正式签署之前的业务承接阶段。</w:t>
      </w:r>
    </w:p>
    <w:p w14:paraId="759EC373" w14:textId="77777777" w:rsidR="00FA0363" w:rsidRDefault="00FA0363" w:rsidP="00FA0363">
      <w:pPr>
        <w:pStyle w:val="13"/>
      </w:pPr>
      <w:r>
        <w:t>1.</w:t>
      </w:r>
      <w:r>
        <w:tab/>
        <w:t>资产评估机构可以根据自身情况，建立并完善业务承接阶段的项目风险识别及控</w:t>
      </w:r>
      <w:r>
        <w:rPr>
          <w:rFonts w:hint="eastAsia"/>
        </w:rPr>
        <w:t>制机制，增强业务承接人员的风险识别能力，避免将项目风险拖延</w:t>
      </w:r>
      <w:proofErr w:type="gramStart"/>
      <w:r>
        <w:rPr>
          <w:rFonts w:hint="eastAsia"/>
        </w:rPr>
        <w:t>至委托</w:t>
      </w:r>
      <w:proofErr w:type="gramEnd"/>
      <w:r>
        <w:rPr>
          <w:rFonts w:hint="eastAsia"/>
        </w:rPr>
        <w:t>合同订立之后的评估程序中，否则风险往往难以排除。</w:t>
      </w:r>
    </w:p>
    <w:p w14:paraId="66BD0112" w14:textId="77777777" w:rsidR="00FA0363" w:rsidRDefault="00FA0363" w:rsidP="00FA0363">
      <w:pPr>
        <w:pStyle w:val="13"/>
      </w:pPr>
      <w:r>
        <w:t>2.</w:t>
      </w:r>
      <w:r>
        <w:tab/>
        <w:t>资产评估机构一方面应当大力加强专业人才的培养，增强价值判断及市场预测能力；另一方面应当继续深化对非法</w:t>
      </w:r>
      <w:proofErr w:type="gramStart"/>
      <w:r>
        <w:t>定业务</w:t>
      </w:r>
      <w:proofErr w:type="gramEnd"/>
      <w:r>
        <w:t>的研究，扩大评估行业的业务范围及发展空间，以在源头上规避行业的市场风险。</w:t>
      </w:r>
    </w:p>
    <w:p w14:paraId="7BDF0ED7" w14:textId="77777777" w:rsidR="00FA0363" w:rsidRDefault="00FA0363" w:rsidP="00FA0363">
      <w:pPr>
        <w:pStyle w:val="13"/>
      </w:pPr>
      <w:r>
        <w:rPr>
          <w:rFonts w:hint="eastAsia"/>
        </w:rPr>
        <w:t>（二）合同主体风险提示</w:t>
      </w:r>
    </w:p>
    <w:p w14:paraId="37493F40" w14:textId="77777777" w:rsidR="00FA0363" w:rsidRDefault="00FA0363" w:rsidP="00FA0363">
      <w:pPr>
        <w:pStyle w:val="13"/>
      </w:pPr>
      <w:r>
        <w:t>1.</w:t>
      </w:r>
      <w:r>
        <w:tab/>
        <w:t>订立委托合同时，资产评估机构应当全面了解、认知委托人的主体资格、信用资质、履约能力等信息，避免与不能独立承担民事责任的组织（如公司部门）签订合</w:t>
      </w:r>
      <w:r>
        <w:rPr>
          <w:rFonts w:hint="eastAsia"/>
        </w:rPr>
        <w:t>同，避免签订与委托人履约能力明显不相符的合同；应当审查委托人代理人的授权文件及代理事项、代理期限和代理权限。委托人的营业执照、资质文件、代理人的授权文件等资料可归入合同档案，作为管理类工作底稿予以保存。</w:t>
      </w:r>
    </w:p>
    <w:p w14:paraId="100C3885" w14:textId="77777777" w:rsidR="00FA0363" w:rsidRDefault="00FA0363" w:rsidP="00FA0363">
      <w:pPr>
        <w:pStyle w:val="13"/>
      </w:pPr>
      <w:r>
        <w:t>2.</w:t>
      </w:r>
      <w:r>
        <w:tab/>
        <w:t>根据委托人的评估目的以及初步确定的评估对象和范围，可以通过采取评价资产评估机构及其评估专业人员自身是否具备本次评估业务专业胜任能力的措施，从而避免因技术水平欠缺或专业人员数量不足而引发评估质量问题等技术性风险。</w:t>
      </w:r>
    </w:p>
    <w:p w14:paraId="3FE0F79F" w14:textId="77777777" w:rsidR="00FA0363" w:rsidRDefault="00FA0363" w:rsidP="00FA0363">
      <w:pPr>
        <w:pStyle w:val="13"/>
      </w:pPr>
      <w:r>
        <w:t>3.</w:t>
      </w:r>
      <w:r>
        <w:tab/>
        <w:t>资产评估机构为公司制的，分公司可以在总公司的授权范围内对外签订合同，</w:t>
      </w:r>
      <w:r>
        <w:lastRenderedPageBreak/>
        <w:t>由分公司加盖分公司公章。分公司对外签订合同的民事责任由总公司承担。在出具资产评估报告的主体（总公司）与签订合同主体（分公司）不一致的情况下，建议在合同中以合理方式向委托人进行说明。</w:t>
      </w:r>
    </w:p>
    <w:p w14:paraId="3488562B" w14:textId="77777777" w:rsidR="00FA0363" w:rsidRDefault="00FA0363" w:rsidP="00FA0363">
      <w:pPr>
        <w:pStyle w:val="13"/>
      </w:pPr>
      <w:r>
        <w:rPr>
          <w:rFonts w:hint="eastAsia"/>
        </w:rPr>
        <w:t>（三）合同订立风险提示</w:t>
      </w:r>
    </w:p>
    <w:p w14:paraId="6D5E8D6E" w14:textId="77777777" w:rsidR="00FA0363" w:rsidRDefault="00FA0363" w:rsidP="00FA0363">
      <w:pPr>
        <w:pStyle w:val="13"/>
      </w:pPr>
      <w:r>
        <w:rPr>
          <w:rFonts w:hint="eastAsia"/>
        </w:rPr>
        <w:t>实务中存在合同当事人拒不订立或不及时订立委托合同的情况，尽管《资产评估执业准则—资产评估委托合同》第五条规定资产评估机构及其评估专业人员应当关注未及时订立资产评估委托合同开展资产评估业务可能产生的风险，但该条款并未明确具体的救济途径。对此，应当根据具体情况进行区别对待：</w:t>
      </w:r>
    </w:p>
    <w:p w14:paraId="5F649EAF" w14:textId="77777777" w:rsidR="00FA0363" w:rsidRDefault="00FA0363" w:rsidP="00FA0363">
      <w:pPr>
        <w:pStyle w:val="13"/>
      </w:pPr>
      <w:r>
        <w:t>1.</w:t>
      </w:r>
      <w:r>
        <w:tab/>
        <w:t>因资产评估机构的原因导致无法订立或无法及时订立资产评估委托合同的情形。</w:t>
      </w:r>
    </w:p>
    <w:p w14:paraId="322884CE" w14:textId="77777777" w:rsidR="00FA0363" w:rsidRDefault="00FA0363" w:rsidP="00FA0363">
      <w:pPr>
        <w:pStyle w:val="13"/>
      </w:pPr>
      <w:r>
        <w:rPr>
          <w:rFonts w:hint="eastAsia"/>
        </w:rPr>
        <w:t>根据《资产评估执业准则—资产评估委托合同》第二条第二款之规定，资产评估机构开展资产评估业务应当与委托人订立资产评估委托合同。在未签订书面委托合同的情况下开展资产评估业务，将面临很大的法律风险，增加维权成本。建议资产评估机构尽可能排除妨碍因素，及时与委托人签订书面委托合同。</w:t>
      </w:r>
    </w:p>
    <w:p w14:paraId="577B9585" w14:textId="77777777" w:rsidR="00FA0363" w:rsidRDefault="00FA0363" w:rsidP="00FA0363">
      <w:pPr>
        <w:pStyle w:val="13"/>
      </w:pPr>
      <w:r>
        <w:t>2.</w:t>
      </w:r>
      <w:r>
        <w:tab/>
        <w:t>因委托人的原因导致无法订立或无法及时订立资产评估委托合同的情形。根据</w:t>
      </w:r>
      <w:r>
        <w:rPr>
          <w:rFonts w:hint="eastAsia"/>
        </w:rPr>
        <w:t>《资产评估法》第二十三条之规定，委托人违反了其法定义务。在采用招投标形式开展的评估业务中，若中标后尚未开展评估工作，招标人逾期未签或拒签委托合同，此时资产评估机构有权要求招标人退还投标保证金，承担相应的违约责任、缔约过失责任或者预约合同的违约责任（司法实践对于中标通知书的法律性质存在争议，应根据具体情况进行判断），并赔偿相应的损失；若中标后已按照委托人的指示开展了部分评估工作，招标人逾期未签或拒签委托合同的，资产评估机构有权要求招标人承担违约责任或解除合同，并按照已经开展评估业务的时间、进度，或者已经完成的工作量支付相应的评估服务费。对于后者，资产评估机构及其评估专业人员在评估业务开展过程中应当及时编制工作底稿，保留工作痕迹并收集、留存相应的证据材料，比如邮件往来，</w:t>
      </w:r>
      <w:r>
        <w:t>QQ、</w:t>
      </w:r>
      <w:proofErr w:type="gramStart"/>
      <w:r>
        <w:t>微信等</w:t>
      </w:r>
      <w:proofErr w:type="gramEnd"/>
      <w:r>
        <w:t>通讯工具的聊天记录，差旅费单据，保密协议等。</w:t>
      </w:r>
    </w:p>
    <w:p w14:paraId="3B24027B" w14:textId="77777777" w:rsidR="00FA0363" w:rsidRDefault="00FA0363" w:rsidP="00FA0363">
      <w:pPr>
        <w:pStyle w:val="13"/>
      </w:pPr>
      <w:r>
        <w:rPr>
          <w:rFonts w:hint="eastAsia"/>
        </w:rPr>
        <w:t>（四）非合同形式建立委托关系风险提示</w:t>
      </w:r>
    </w:p>
    <w:p w14:paraId="6F80097D" w14:textId="77777777" w:rsidR="00FA0363" w:rsidRDefault="00FA0363" w:rsidP="00FA0363">
      <w:pPr>
        <w:pStyle w:val="13"/>
      </w:pPr>
      <w:r>
        <w:rPr>
          <w:rFonts w:hint="eastAsia"/>
        </w:rPr>
        <w:t>实务中，司法鉴定程序或其他特殊业务法律认可的建立评估委托关系的文书并非一概采用资产评估委托合同的形式。《资产评估执业准则—资产评估委托合同》第二十条就此问题作了概括性规定，要求以其他形式建立委托关系的，必须符合法律的要求。具体主要有以下两种情况：</w:t>
      </w:r>
    </w:p>
    <w:p w14:paraId="1DF8F454" w14:textId="77777777" w:rsidR="00FA0363" w:rsidRDefault="00FA0363" w:rsidP="00FA0363">
      <w:pPr>
        <w:pStyle w:val="13"/>
      </w:pPr>
      <w:r>
        <w:t>1.</w:t>
      </w:r>
      <w:r>
        <w:tab/>
        <w:t>人民法院委托已入选名单库的评估机构开展司法评估业务，其委托关系的凭证即为人民法院的评估委托书，而无需签订资产评估委托合同。根据最高人民法院《关于人民法院确定财产处置参考价若干问题的规定》第十七条之规定，人民法院的评估委托书应当载明财产名称、物理特征、规格数量、目的要求、完成期限以及其他</w:t>
      </w:r>
      <w:r>
        <w:lastRenderedPageBreak/>
        <w:t>需要明确的内容，同时，人民法院还应当将其查明的财产情况及相关材料一并移交给评估机构。以上内容与资产评估委托合同的关键要素相一致。</w:t>
      </w:r>
    </w:p>
    <w:p w14:paraId="72C1EDFD" w14:textId="77777777" w:rsidR="00FA0363" w:rsidRDefault="00FA0363" w:rsidP="00FA0363">
      <w:pPr>
        <w:pStyle w:val="13"/>
      </w:pPr>
      <w:r>
        <w:t>2.</w:t>
      </w:r>
      <w:r>
        <w:tab/>
        <w:t>根据《人民法院委托评估工作规范》的规定，评估机构收到人民法院通过询价评估系统发出的评估委托书，如果存在不能评估的法定情形，则应在三个工作日提出不</w:t>
      </w:r>
      <w:r>
        <w:rPr>
          <w:rFonts w:hint="eastAsia"/>
        </w:rPr>
        <w:t>承接委托评估申请，向人民法院说明情况；如果未在规定期限内提出上述申请的，视为接受委托，双方建立司法评估委托关系。在此类评估业务的执行过程中，资产评估机构及其评估专业人员不但要遵循资产评估执业准则，还需严格遵守与司法评估相关的法律规定。</w:t>
      </w:r>
    </w:p>
    <w:p w14:paraId="14D3FAF3" w14:textId="77777777" w:rsidR="00FA0363" w:rsidRDefault="00FA0363" w:rsidP="00FA0363">
      <w:pPr>
        <w:pStyle w:val="ab"/>
        <w:spacing w:before="62" w:after="62"/>
        <w:ind w:firstLine="482"/>
      </w:pPr>
      <w:r>
        <w:rPr>
          <w:rFonts w:hint="eastAsia"/>
        </w:rPr>
        <w:t>二、资产评估委托合同必备要素的风险提示</w:t>
      </w:r>
    </w:p>
    <w:p w14:paraId="234EEF75" w14:textId="77777777" w:rsidR="00FA0363" w:rsidRDefault="00FA0363" w:rsidP="00FA0363">
      <w:pPr>
        <w:pStyle w:val="13"/>
      </w:pPr>
      <w:r>
        <w:rPr>
          <w:rFonts w:hint="eastAsia"/>
        </w:rPr>
        <w:t>《资产评估执业准则—资产评估委托合同》第六条列举了十一项资产评估委托合同的必备要素。资产评估机构应当在委托合同中予以明确约定，在满足合法性、合理性要求的前提下，必然有助于资产评估业务风险的事前防范。</w:t>
      </w:r>
    </w:p>
    <w:p w14:paraId="2645114E" w14:textId="77777777" w:rsidR="00FA0363" w:rsidRDefault="00FA0363" w:rsidP="00FA0363">
      <w:pPr>
        <w:pStyle w:val="13"/>
      </w:pPr>
      <w:r>
        <w:rPr>
          <w:rFonts w:hint="eastAsia"/>
        </w:rPr>
        <w:t>（一）委托目的风险提示：明确、清晰约定评估目的</w:t>
      </w:r>
    </w:p>
    <w:p w14:paraId="42B5A0D9" w14:textId="77777777" w:rsidR="00FA0363" w:rsidRDefault="00FA0363" w:rsidP="00FA0363">
      <w:pPr>
        <w:pStyle w:val="13"/>
      </w:pPr>
      <w:r>
        <w:rPr>
          <w:rFonts w:hint="eastAsia"/>
        </w:rPr>
        <w:t>评估目的是界定资产评估对象的基础，直接反映了合同委托人的委托目的。其不但决定了评估结论的具体用途，还影响着整个评估过程及其运作条件。相同的评估对象在不同的评估目的下，可能会出现不同的评估结论。因此，资产评估机构及其评估专业人员应当将委托合同约定的评估目的贯穿于评估业务程序的始终。</w:t>
      </w:r>
    </w:p>
    <w:p w14:paraId="4CE8718F" w14:textId="77777777" w:rsidR="00FA0363" w:rsidRDefault="00FA0363" w:rsidP="00FA0363">
      <w:pPr>
        <w:pStyle w:val="13"/>
      </w:pPr>
      <w:r>
        <w:t>1.</w:t>
      </w:r>
      <w:r>
        <w:tab/>
        <w:t>根据《资产评估执业准则—资产评估委托合同》第七条之规定，资产评估机构应当与委托人协商一致，并在委托合同中明确、清晰地约定本次资产评估业务的评估目的。</w:t>
      </w:r>
    </w:p>
    <w:p w14:paraId="0C5954CB" w14:textId="77777777" w:rsidR="00FA0363" w:rsidRDefault="00FA0363" w:rsidP="00FA0363">
      <w:pPr>
        <w:pStyle w:val="13"/>
      </w:pPr>
      <w:r>
        <w:t>2.</w:t>
      </w:r>
      <w:r>
        <w:tab/>
        <w:t>尽管根据《资产评估执业准则—资产评估报告》第十六条之规定，委托合同约定的评估目的应当具有唯一性，但《资产评估执业准则—资产评估委托合同》考虑到实务中存在一份委托合同约定若干项评估业务等复杂情况，因此删除了该项要求。</w:t>
      </w:r>
    </w:p>
    <w:p w14:paraId="5A169B0E" w14:textId="77777777" w:rsidR="00FA0363" w:rsidRDefault="00FA0363" w:rsidP="00FA0363">
      <w:pPr>
        <w:pStyle w:val="13"/>
      </w:pPr>
      <w:r>
        <w:t>3.</w:t>
      </w:r>
      <w:r>
        <w:tab/>
        <w:t>评估对象和范围、评估基准日等其他合同要素的确定应与评估目的相适应，评估业务执行过程中亦应重点关注评估行为能否实现委托人要求的评估目的。资产评估机构应避免出现因己方原因导致评估目的无法实现的情形，否则根据《合同法》的规</w:t>
      </w:r>
      <w:r>
        <w:rPr>
          <w:rFonts w:hint="eastAsia"/>
        </w:rPr>
        <w:t>定，资产评估机构将面临解除合同的风险。</w:t>
      </w:r>
    </w:p>
    <w:p w14:paraId="3047417A" w14:textId="77777777" w:rsidR="00FA0363" w:rsidRDefault="00FA0363" w:rsidP="00FA0363">
      <w:pPr>
        <w:pStyle w:val="13"/>
      </w:pPr>
      <w:r>
        <w:rPr>
          <w:rFonts w:hint="eastAsia"/>
        </w:rPr>
        <w:t>（二）委托事项风险提示：准确约定评估对象和范围</w:t>
      </w:r>
    </w:p>
    <w:p w14:paraId="38A7B38C" w14:textId="77777777" w:rsidR="00FA0363" w:rsidRDefault="00FA0363" w:rsidP="00FA0363">
      <w:pPr>
        <w:pStyle w:val="13"/>
      </w:pPr>
      <w:r>
        <w:rPr>
          <w:rFonts w:hint="eastAsia"/>
        </w:rPr>
        <w:t>评估对象和评估范围，分别说明了委托评估的资产的种类与资产的数量或边界问题，反映了资产评估委托合同具体委托事项的范围及合同当事人权利义务的边界。</w:t>
      </w:r>
    </w:p>
    <w:p w14:paraId="149FCD9D" w14:textId="77777777" w:rsidR="00FA0363" w:rsidRDefault="00FA0363" w:rsidP="00FA0363">
      <w:pPr>
        <w:pStyle w:val="13"/>
      </w:pPr>
      <w:r>
        <w:t>1.</w:t>
      </w:r>
      <w:r>
        <w:tab/>
        <w:t>根据《资产评估执业准则—资产评估委托合同》第八条之规定，资产评估机构应当与委托人或其他相关当事人进行沟通，根据资产评估业务的要求和特点，结合本</w:t>
      </w:r>
      <w:r>
        <w:rPr>
          <w:rFonts w:hint="eastAsia"/>
        </w:rPr>
        <w:t>次评估业务的评估目的，在合同中明确表述评估对象和评估范围。对于不纳入评估范围的特定资产亦应在合同中予以明确。评估报告中可能涉及到与评估对象或评估</w:t>
      </w:r>
      <w:r>
        <w:rPr>
          <w:rFonts w:hint="eastAsia"/>
        </w:rPr>
        <w:lastRenderedPageBreak/>
        <w:t>范围有关的特殊事项，也应当如实说明。</w:t>
      </w:r>
    </w:p>
    <w:p w14:paraId="519FCC03" w14:textId="77777777" w:rsidR="00FA0363" w:rsidRDefault="00FA0363" w:rsidP="00FA0363">
      <w:pPr>
        <w:pStyle w:val="13"/>
      </w:pPr>
      <w:r>
        <w:t>2.</w:t>
      </w:r>
      <w:r>
        <w:tab/>
        <w:t>评估对象和评估范围的界定不准或约定不明，评估过程中未依合同约定的评估对象及范围进行全面调查或存在遗漏，以及编制评估报告时未对存在瑕疵、未决事项等不确定因素的评估对象进行瑕疵披露等，资产评估机构均将面临评估结论无法实现评估目的的风险，甚至造成委托人的利益损失，继而引发纠纷。</w:t>
      </w:r>
    </w:p>
    <w:p w14:paraId="7A626FF8" w14:textId="77777777" w:rsidR="00FA0363" w:rsidRDefault="00FA0363" w:rsidP="00FA0363">
      <w:pPr>
        <w:pStyle w:val="13"/>
      </w:pPr>
      <w:r>
        <w:t>3.</w:t>
      </w:r>
      <w:r>
        <w:tab/>
        <w:t>根据《资产评估对象法律权属指导意见》之规定，资产评估机构在接受委托前，应当明确告知委托人及其他相关当事人提供真实、合法、完整的评估对象法律权属</w:t>
      </w:r>
      <w:r>
        <w:rPr>
          <w:rFonts w:hint="eastAsia"/>
        </w:rPr>
        <w:t>（即评估对象的所有权和与所有权有关的其他财产权利）等资料的义务，并将违反该义务的相关责任明确约定</w:t>
      </w:r>
      <w:proofErr w:type="gramStart"/>
      <w:r>
        <w:rPr>
          <w:rFonts w:hint="eastAsia"/>
        </w:rPr>
        <w:t>于委托</w:t>
      </w:r>
      <w:proofErr w:type="gramEnd"/>
      <w:r>
        <w:rPr>
          <w:rFonts w:hint="eastAsia"/>
        </w:rPr>
        <w:t>合同中。评估机构对法律权属资料有核验查证的义</w:t>
      </w:r>
      <w:r>
        <w:t>务，具体方式包括但不限于比对原件、公开渠道查询、产权登记部门现场查询等；超出评估人员能力的事项可委托或要求委托人委托律师事务所等机构出具专业意见；无法查验的事项，可根据其对评估结论的影响程度采取在评估报告中披露等措施，直至终止执行评估业务。对于权属不清、瑕疵，权属关系复杂、资料不完备的评估对象，评估机构应当要求委托人和其他相关当事人提供承诺函或说明</w:t>
      </w:r>
      <w:proofErr w:type="gramStart"/>
      <w:r>
        <w:t>函予以</w:t>
      </w:r>
      <w:proofErr w:type="gramEnd"/>
      <w:r>
        <w:t>充分说</w:t>
      </w:r>
      <w:r>
        <w:rPr>
          <w:rFonts w:hint="eastAsia"/>
        </w:rPr>
        <w:t>明；若认为前述法律权属状况可能对评估结论和评估目的所对应经济行为造成影响，应考虑是否受理该业务；若发现权属资料虚假，或者委托人和其他相关当事人拒绝或无法提供执行评估业务必要的权属证明，导致委托合同无法继续履行的，评估机构可以考虑向委托人发出书面通知解除委托合同。</w:t>
      </w:r>
    </w:p>
    <w:p w14:paraId="2D6E77FA" w14:textId="77777777" w:rsidR="00FA0363" w:rsidRDefault="00FA0363" w:rsidP="00FA0363">
      <w:pPr>
        <w:pStyle w:val="13"/>
      </w:pPr>
      <w:r>
        <w:rPr>
          <w:rFonts w:hint="eastAsia"/>
        </w:rPr>
        <w:t>（三）委托时日风险提示：合理约定资产评估基准日</w:t>
      </w:r>
    </w:p>
    <w:p w14:paraId="01FD8778" w14:textId="77777777" w:rsidR="00FA0363" w:rsidRDefault="00FA0363" w:rsidP="00FA0363">
      <w:pPr>
        <w:pStyle w:val="13"/>
      </w:pPr>
      <w:r>
        <w:rPr>
          <w:rFonts w:hint="eastAsia"/>
        </w:rPr>
        <w:t>评估基准日是在形成评估结论中对标的物进行清查、核实以及估价所选用作价标准、依据、结论成立的特定时日，此为资产评估委托合同中的重要要求。</w:t>
      </w:r>
    </w:p>
    <w:p w14:paraId="7642AB4E" w14:textId="77777777" w:rsidR="00FA0363" w:rsidRDefault="00FA0363" w:rsidP="00FA0363">
      <w:pPr>
        <w:pStyle w:val="13"/>
      </w:pPr>
      <w:r>
        <w:t>1.</w:t>
      </w:r>
      <w:r>
        <w:tab/>
        <w:t>根据《资产评估执业准则—资产评估委托合同》第九条之规定，资产评估委托合同应当明确约定资产评估基准日。</w:t>
      </w:r>
    </w:p>
    <w:p w14:paraId="76B2CFB0" w14:textId="77777777" w:rsidR="00FA0363" w:rsidRDefault="00FA0363" w:rsidP="00FA0363">
      <w:pPr>
        <w:pStyle w:val="13"/>
      </w:pPr>
      <w:r>
        <w:t>2.</w:t>
      </w:r>
      <w:r>
        <w:tab/>
        <w:t>实务中，资产评估机构应根据评估项目的不同情形以及委托人的特殊要求，结合评估机构的自身状况选定恰当、有效的评估基准日。</w:t>
      </w:r>
    </w:p>
    <w:p w14:paraId="44D6898D" w14:textId="77777777" w:rsidR="00FA0363" w:rsidRDefault="00FA0363" w:rsidP="00FA0363">
      <w:pPr>
        <w:pStyle w:val="13"/>
      </w:pPr>
      <w:r>
        <w:t>3.</w:t>
      </w:r>
      <w:r>
        <w:tab/>
        <w:t>评估基准日的确定应当符合委托人的评估目的，避免出现评估报告完成后即面临</w:t>
      </w:r>
      <w:r>
        <w:rPr>
          <w:rFonts w:hint="eastAsia"/>
        </w:rPr>
        <w:t>失效等情况，以便于评估报告使用人的合理利用。</w:t>
      </w:r>
    </w:p>
    <w:p w14:paraId="7567AE60" w14:textId="77777777" w:rsidR="00FA0363" w:rsidRDefault="00FA0363" w:rsidP="00FA0363">
      <w:pPr>
        <w:pStyle w:val="13"/>
      </w:pPr>
      <w:r>
        <w:rPr>
          <w:rFonts w:hint="eastAsia"/>
        </w:rPr>
        <w:t>（四）报告使用风险提示：明确约定评估报告使用范围</w:t>
      </w:r>
    </w:p>
    <w:p w14:paraId="25999602" w14:textId="77777777" w:rsidR="00FA0363" w:rsidRDefault="00FA0363" w:rsidP="00FA0363">
      <w:pPr>
        <w:pStyle w:val="13"/>
      </w:pPr>
      <w:r>
        <w:t>1.《资产评估执业准则—资产评估委托合同》第十条引入《资产评估法》的相关规定，明确要求资产评估委托合同应当明确约定资产评估报告的使用人、用途、评估结论的使用有效期及资产评估报告的摘抄、引用或者披露等报告的使用范围。具体包含两个方面，第一，评估报告的使用人为委托人和评估报告中载明的评估报告使用</w:t>
      </w:r>
      <w:r>
        <w:rPr>
          <w:rFonts w:hint="eastAsia"/>
        </w:rPr>
        <w:t>人，评估报告的使用范围必须按照报告中载明的用途，此为委托人的义务；第二，评估报告使用人未按照评估报告载明的条件使用报告，评估机构和评估专业人员不承</w:t>
      </w:r>
      <w:r>
        <w:rPr>
          <w:rFonts w:hint="eastAsia"/>
        </w:rPr>
        <w:lastRenderedPageBreak/>
        <w:t>担责任。</w:t>
      </w:r>
    </w:p>
    <w:p w14:paraId="101C8B65" w14:textId="77777777" w:rsidR="00FA0363" w:rsidRDefault="00FA0363" w:rsidP="00FA0363">
      <w:pPr>
        <w:pStyle w:val="13"/>
      </w:pPr>
      <w:r>
        <w:t>2.</w:t>
      </w:r>
      <w:r>
        <w:tab/>
        <w:t>资产评估机构及其评估专业人员应当明确、详尽地约定评估报告的使用范围，具体内容可参照《资产评估执业准则—资产评估委托合同》第十条第一至第五项的规定，以对可能发生的泄露商业秘密等法律风险进行事前预防。</w:t>
      </w:r>
    </w:p>
    <w:p w14:paraId="321C4BCD" w14:textId="77777777" w:rsidR="00FA0363" w:rsidRDefault="00FA0363" w:rsidP="00FA0363">
      <w:pPr>
        <w:pStyle w:val="13"/>
      </w:pPr>
      <w:r>
        <w:t>3.</w:t>
      </w:r>
      <w:r>
        <w:tab/>
        <w:t>资产评估机构应当避免签订适用范围过广的保密条款。对于按照评估目的必须予以披露的有关事项，应当在对委托人充分解释的基础上在保密条款中予以约定排除，避免评估报告编制过程中因披露要求与保密要求之间界限的模糊性而引发法律风险。</w:t>
      </w:r>
    </w:p>
    <w:p w14:paraId="0294D476" w14:textId="77777777" w:rsidR="00FA0363" w:rsidRDefault="00FA0363" w:rsidP="00FA0363">
      <w:pPr>
        <w:pStyle w:val="13"/>
      </w:pPr>
      <w:r>
        <w:t>4.</w:t>
      </w:r>
      <w:r>
        <w:tab/>
        <w:t>实务中，资产评估机构按照行业惯例制作的技术报告并非资产评估报告，在委托合同未明确约定或法律另有规定的情况下，应当避免提交给委托人。</w:t>
      </w:r>
    </w:p>
    <w:p w14:paraId="22A7764E" w14:textId="77777777" w:rsidR="00FA0363" w:rsidRDefault="00FA0363" w:rsidP="00FA0363">
      <w:pPr>
        <w:pStyle w:val="13"/>
      </w:pPr>
      <w:r>
        <w:rPr>
          <w:rFonts w:hint="eastAsia"/>
        </w:rPr>
        <w:t>（五）履行期限风险提示：合理约定评估报告提交日及提交方式</w:t>
      </w:r>
    </w:p>
    <w:p w14:paraId="0D72541A" w14:textId="77777777" w:rsidR="00FA0363" w:rsidRDefault="00FA0363" w:rsidP="00FA0363">
      <w:pPr>
        <w:pStyle w:val="13"/>
      </w:pPr>
      <w:r>
        <w:t>1.</w:t>
      </w:r>
      <w:r>
        <w:tab/>
        <w:t>提交资产评估报告的期限即资产评估报告的提交日相当于委托事项的完成日，反映出资产评估委托合同的委托期限。超出提交日未提交评估报告的，资产评估机构将面临逾期违约的法律责任，为尽量规避这种法律责任，资产评估委托合同中可以约定评估机构有权根据实际情况在履行书面告知义务后进行期限变更、延长。</w:t>
      </w:r>
    </w:p>
    <w:p w14:paraId="761111AE" w14:textId="77777777" w:rsidR="00FA0363" w:rsidRDefault="00FA0363" w:rsidP="00FA0363">
      <w:pPr>
        <w:pStyle w:val="13"/>
      </w:pPr>
      <w:r>
        <w:t>2.</w:t>
      </w:r>
      <w:r>
        <w:tab/>
        <w:t>实务中，因客观因素导致可能逾期未提交评估报告的，资产评估机构需及时与委托人进行沟通。争取延后提交日，并进行补充约定；已经发生逾期的，资产评估机构只有在征得委托人书面同意后才能继续履行合同，开展评估业务。</w:t>
      </w:r>
    </w:p>
    <w:p w14:paraId="07E02ECF" w14:textId="77777777" w:rsidR="00FA0363" w:rsidRDefault="00FA0363" w:rsidP="00FA0363">
      <w:pPr>
        <w:pStyle w:val="13"/>
      </w:pPr>
      <w:r>
        <w:t>3.</w:t>
      </w:r>
      <w:r>
        <w:tab/>
        <w:t>资产评估机构应当根据评估事项的具体类型，厘清评估报告日与评估基准日的关系，在委托合同中合理确定评估报告提交日，避免评估报告一经提交就超过有效期继而引发纠纷的情况。</w:t>
      </w:r>
    </w:p>
    <w:p w14:paraId="3E707292" w14:textId="77777777" w:rsidR="00FA0363" w:rsidRDefault="00FA0363" w:rsidP="00FA0363">
      <w:pPr>
        <w:pStyle w:val="13"/>
      </w:pPr>
      <w:r>
        <w:t>4.</w:t>
      </w:r>
      <w:r>
        <w:tab/>
        <w:t>资产评估报告的提交方式亦需根据合同当事人的协商进行明确约定。提交报告应当有相应的签收程序。</w:t>
      </w:r>
    </w:p>
    <w:p w14:paraId="7AE82DCB" w14:textId="77777777" w:rsidR="00FA0363" w:rsidRDefault="00FA0363" w:rsidP="00FA0363">
      <w:pPr>
        <w:pStyle w:val="13"/>
      </w:pPr>
      <w:r>
        <w:rPr>
          <w:rFonts w:hint="eastAsia"/>
        </w:rPr>
        <w:t>（六）服务报酬风险提示：明确约定评估服务费条款</w:t>
      </w:r>
    </w:p>
    <w:p w14:paraId="3831AE05" w14:textId="77777777" w:rsidR="00FA0363" w:rsidRDefault="00FA0363" w:rsidP="00FA0363">
      <w:pPr>
        <w:pStyle w:val="13"/>
      </w:pPr>
      <w:r>
        <w:rPr>
          <w:rFonts w:hint="eastAsia"/>
        </w:rPr>
        <w:t>资产评估委托合同一般均为有偿合同，合同当事人应在协商一致的情况下在委托合同中明确约定服务报酬条款。</w:t>
      </w:r>
    </w:p>
    <w:p w14:paraId="64EDD799" w14:textId="77777777" w:rsidR="00FA0363" w:rsidRDefault="00FA0363" w:rsidP="00FA0363">
      <w:pPr>
        <w:pStyle w:val="13"/>
      </w:pPr>
      <w:r>
        <w:t>1.根据《资产评估执业准则—资产评估委托合同》第十二条之规定，资产评估委托合同应当明确资产评估服务费总额或者支付标准、计价货币种类、支付时间及支付方式，并明确资产评估服务费未包括的与资产评估服务相关的其他费用的内容及承担方式。付款条件的设置应当合理可行。</w:t>
      </w:r>
    </w:p>
    <w:p w14:paraId="1374E3FF" w14:textId="77777777" w:rsidR="00FA0363" w:rsidRDefault="00FA0363" w:rsidP="00FA0363">
      <w:pPr>
        <w:pStyle w:val="13"/>
      </w:pPr>
      <w:r>
        <w:t>2.《资产评估执业准则—资产评估委托合同》第十二条并未排除计时收费等特殊收费方式。但服务费的</w:t>
      </w:r>
      <w:proofErr w:type="gramStart"/>
      <w:r>
        <w:t>约定仍</w:t>
      </w:r>
      <w:proofErr w:type="gramEnd"/>
      <w:r>
        <w:t>应当符合行业有关收费管理的规定，避免因低价恶性竞争而引发的市场风险。</w:t>
      </w:r>
    </w:p>
    <w:p w14:paraId="065B7832" w14:textId="77777777" w:rsidR="00FA0363" w:rsidRDefault="00FA0363" w:rsidP="00FA0363">
      <w:pPr>
        <w:pStyle w:val="13"/>
      </w:pPr>
      <w:r>
        <w:t>3.对于委托合同对服务费条款约定不明的情形，根据《合同法》第六十二条之规</w:t>
      </w:r>
      <w:r>
        <w:lastRenderedPageBreak/>
        <w:t>定，对于报酬数额约定不明确的，应当按照订立合同时履行地的市场价格履行；对于依法应当执行政府定价或政府指导价的，应当按照规定履行；对于支付期限约定不明确的，委托人可以随时支付，资产评估机构也可以随时要求委托人支付，但应当给予对方必要的准备时间。需要注意的是，无论委托人是否预付费用，资产评估机构及其评估专业人员在评估业务执行过程中发生的各项费用支出均应保留相应的支出凭证，以备将来的核对或催收。</w:t>
      </w:r>
    </w:p>
    <w:p w14:paraId="7E1EBF5F" w14:textId="77777777" w:rsidR="00FA0363" w:rsidRDefault="00FA0363" w:rsidP="00FA0363">
      <w:pPr>
        <w:pStyle w:val="13"/>
      </w:pPr>
      <w:r>
        <w:t>4.</w:t>
      </w:r>
      <w:r>
        <w:tab/>
        <w:t>委托人未按照合同约定及时支付服务款项的，构成违约。经催告后在合理的期限内仍未履行的，资产评估机构可解除委托合同。委托人逾期付款，资产评估机构需注意追索服务费的诉讼时效保护期限（《民法总则》实施后一般为付款期届满后三年内，但需注意新旧法的衔接问题），应当在时效期限内及时通过诉讼、仲裁等司法程序保护自身权益。特殊原因确实无法及时启动司法程序的，资产评估机构与委托人的沟通应当明确表明催收欠款的意思表示（对账单、</w:t>
      </w:r>
      <w:proofErr w:type="gramStart"/>
      <w:r>
        <w:t>询证函</w:t>
      </w:r>
      <w:proofErr w:type="gramEnd"/>
      <w:r>
        <w:t>等仅具有确认款项数额意思的文件仅起到债权确认的效力，司法实践一般认为其不具有时效重新起算的</w:t>
      </w:r>
      <w:r>
        <w:rPr>
          <w:rFonts w:hint="eastAsia"/>
        </w:rPr>
        <w:t>效力），并保留相应的证据材料，如此才能通过引发时效中断而延长合法权益的保护期限。</w:t>
      </w:r>
    </w:p>
    <w:p w14:paraId="7CA09BF7" w14:textId="77777777" w:rsidR="00FA0363" w:rsidRDefault="00FA0363" w:rsidP="00FA0363">
      <w:pPr>
        <w:pStyle w:val="13"/>
      </w:pPr>
      <w:r>
        <w:rPr>
          <w:rFonts w:hint="eastAsia"/>
        </w:rPr>
        <w:t>（七）权利义务风险提示：明确约定各方权责</w:t>
      </w:r>
    </w:p>
    <w:p w14:paraId="388C47B2" w14:textId="77777777" w:rsidR="00FA0363" w:rsidRDefault="00FA0363" w:rsidP="00FA0363">
      <w:pPr>
        <w:pStyle w:val="13"/>
      </w:pPr>
      <w:r>
        <w:rPr>
          <w:rFonts w:hint="eastAsia"/>
        </w:rPr>
        <w:t>资产评估委托合同作为双</w:t>
      </w:r>
      <w:proofErr w:type="gramStart"/>
      <w:r>
        <w:rPr>
          <w:rFonts w:hint="eastAsia"/>
        </w:rPr>
        <w:t>务</w:t>
      </w:r>
      <w:proofErr w:type="gramEnd"/>
      <w:r>
        <w:rPr>
          <w:rFonts w:hint="eastAsia"/>
        </w:rPr>
        <w:t>合同，合同当事人互相承担义务和享有权利，且相互关联，互为因果。委托合同中应当明确约定委托人与资产评估机构的权利和义务，以便约束合同当事人依约履行各自的合同责任。</w:t>
      </w:r>
    </w:p>
    <w:p w14:paraId="78A73FF7" w14:textId="77777777" w:rsidR="00FA0363" w:rsidRDefault="00FA0363" w:rsidP="00FA0363">
      <w:pPr>
        <w:pStyle w:val="13"/>
      </w:pPr>
      <w:r>
        <w:t>1.委托人的协助、协调义务。实务中，资产评估机构与委托人的信息不对称已成为引发纠纷甚至导致处罚的主要风险之一。根据《资产评估执业准则—资产评估委托合同》第十三条之规定，资产评估委托合同应当约定，委托人应当为资产评估机构及其评估专业人员开展资产评估业务提供必要的工作条件和协助；委托人应当根据资产评估业务需要，负责资产评估机构及其评估专业人员与其他相关当事人之间的协调。建议评估机构在委托合同中加入相应条款，约定委托人无法提供协助、协调工作导致评估程序受阻或受限时评估机构免责的情况。2.委托人和其他相关当事人提供</w:t>
      </w:r>
      <w:r>
        <w:rPr>
          <w:rFonts w:hint="eastAsia"/>
        </w:rPr>
        <w:t>真实、完整、合法资料的义务。根据《资产评估执业准则—资产评估委托合同》第十五条之规定，资产评估委托合同应当约定，依法提供资产评估业务需要的资料并保证资料的真实性、完整性、合法性，恰当使用资产评估报告是委托人和其他相关当事人的责任；委托人或者其他相关当事人应当对其提供的资产评估明细表及其他重要资料的真实性、完整性、合法性进行确认，确认方式包括签字、盖章或者法律允许的其他方</w:t>
      </w:r>
      <w:r>
        <w:t>式；委托人和其他相关当事人如果拒绝提供或</w:t>
      </w:r>
      <w:proofErr w:type="gramStart"/>
      <w:r>
        <w:t>不</w:t>
      </w:r>
      <w:proofErr w:type="gramEnd"/>
      <w:r>
        <w:t>如实提供开展资产评估业务所需的权属证明、财务会计信息或者其他相关资料的，资产评估机构有权拒绝履行资产评估委托合同，从而降低因委托人或其他相关当事人的原因导致的收集整理资料不到位而引发的程序性风险。3.资产评估机构及其评估专业人员完成委托事项的义务。</w:t>
      </w:r>
      <w:r>
        <w:lastRenderedPageBreak/>
        <w:t>根据《资产评估执业准则</w:t>
      </w:r>
      <w:r>
        <w:rPr>
          <w:rFonts w:hint="eastAsia"/>
        </w:rPr>
        <w:t>—资产评估委托合同》第十四条之规定，资产评估委托合同应当约定，遵守相关法律、行政法规和资产评估准则，对评估对象在评估基准日特定目的下的价值进行分析和估算并出具资产评估报告，此为资产评估机构及其评估专业人员的主要合同义务。</w:t>
      </w:r>
    </w:p>
    <w:p w14:paraId="434DF1CC" w14:textId="77777777" w:rsidR="00FA0363" w:rsidRDefault="00FA0363" w:rsidP="00FA0363">
      <w:pPr>
        <w:pStyle w:val="13"/>
      </w:pPr>
      <w:r>
        <w:rPr>
          <w:rFonts w:hint="eastAsia"/>
        </w:rPr>
        <w:t>（八）合同解除风险提示：明确约定合同解除的情形及后果</w:t>
      </w:r>
    </w:p>
    <w:p w14:paraId="2041FDBF" w14:textId="77777777" w:rsidR="00FA0363" w:rsidRDefault="00FA0363" w:rsidP="00FA0363">
      <w:pPr>
        <w:pStyle w:val="13"/>
      </w:pPr>
      <w:r>
        <w:rPr>
          <w:rFonts w:hint="eastAsia"/>
        </w:rPr>
        <w:t>委托合同的基础一般为委托人对受托人的信任或对受托人技能的依赖，具有较强的人身属性，如果丧失信任关系，委托合同将很难顺利履行。因此，《合同法》规定委托人、受托人均享有合同的任意解除权，此为《合同法》结合委托合同的特征规定的</w:t>
      </w:r>
      <w:proofErr w:type="gramStart"/>
      <w:r>
        <w:rPr>
          <w:rFonts w:hint="eastAsia"/>
        </w:rPr>
        <w:t>特别</w:t>
      </w:r>
      <w:proofErr w:type="gramEnd"/>
      <w:r>
        <w:rPr>
          <w:rFonts w:hint="eastAsia"/>
        </w:rPr>
        <w:t>法定解除权。《资产评估执业准则—资产评估委托合同》在此基础上，吸收《资产评估法》第十八条、第十九条的规定，并结合行业特征，进一步概括、区分了资产评估业务终止、资产评估委托合同解除的情形，降低了资产评估机构的执业风险：</w:t>
      </w:r>
    </w:p>
    <w:p w14:paraId="1EB04BAD" w14:textId="77777777" w:rsidR="00FA0363" w:rsidRDefault="00FA0363" w:rsidP="00FA0363">
      <w:pPr>
        <w:pStyle w:val="13"/>
      </w:pPr>
      <w:r>
        <w:t>1.</w:t>
      </w:r>
      <w:r>
        <w:tab/>
        <w:t>特别法定解除：委托人的任意解除权。对于委托人提前单方解除委托合同的，根据《资产评估执业准则—资产评估委托合同》第十六条第一款之规定，委托合同应当约定委托人应按照已经开展资产评估业务的时间、进度，或者已经完成的工作量支付相应的评估服务费。同时，根据《合同法》的规定，如果因解除委托合同而给资产评估机构造成损失的，除不可归责于己方的事由外，解除合同的一方即委托人应当赔偿损失。为限制委托人随意行使任意解除权，资产评估机构可以在合同中约定具体且严格的损失赔偿标准，将损失尽可能细化，从而在一定程度上加强委托关系的</w:t>
      </w:r>
      <w:r>
        <w:rPr>
          <w:rFonts w:hint="eastAsia"/>
        </w:rPr>
        <w:t>稳定性。</w:t>
      </w:r>
    </w:p>
    <w:p w14:paraId="6C53E3AB" w14:textId="77777777" w:rsidR="00FA0363" w:rsidRDefault="00FA0363" w:rsidP="00FA0363">
      <w:pPr>
        <w:pStyle w:val="13"/>
      </w:pPr>
      <w:r>
        <w:t>2.</w:t>
      </w:r>
      <w:r>
        <w:tab/>
        <w:t>特别法定解除：特定条件下资产评估机构的合同单方解除权以及相应的报酬取得</w:t>
      </w:r>
      <w:r>
        <w:rPr>
          <w:rFonts w:hint="eastAsia"/>
        </w:rPr>
        <w:t>权。根据《资产评估执业准则—资产评估委托合同》第十六条第二款、第三款之规定，出现委托人要求出具虚假资产评估报告或者有其他非法干预评估结论情形的，或者因委托人或其他相关当事人原因导致资产评估程序受限，资产评估机构无法履行资产评估委托合同的，资产评估机构有权单方解除资产评估委托合同。资产评估委托合同当事人可以约定由委托人按照已经开展资产评估业务的时间、进度，或者已经完成的工作量支付相应的评估服务费。需要注意的是，资产评估机构行使合同解除权，应当注意保留《资产评估执业准则—资产评估委托合同》第十六条第二款、第三款列举的解除前提等事实方面的证据材料。</w:t>
      </w:r>
    </w:p>
    <w:p w14:paraId="6951FD52" w14:textId="77777777" w:rsidR="00FA0363" w:rsidRDefault="00FA0363" w:rsidP="00FA0363">
      <w:pPr>
        <w:pStyle w:val="13"/>
      </w:pPr>
      <w:r>
        <w:t>3.</w:t>
      </w:r>
      <w:r>
        <w:tab/>
        <w:t>一般法定解除：根据《合同法》的规定，有下列情形之一的，合同当事人可以解除合同：（一）因不可抗力致使不能实现合同目的；（二）在履行期限届满之前，当事人一方明确表示或者以自己的行为表明将不履行主要债务；（三）当事人一方迟延履行主要债务，经催告后在合理的期限内仍未履行；（四）当事人一方迟延履行债务或者有其他违约行为致使不能实现合同目的；（五）法律规定的其他情形。4.</w:t>
      </w:r>
      <w:r>
        <w:tab/>
        <w:t>合</w:t>
      </w:r>
      <w:r>
        <w:lastRenderedPageBreak/>
        <w:t>同的终止：根据《合同法》的规定，当委托人或者受托人死亡、丧失民事行为能力或者破产的，委托合同终止，但当事人另有约定或者根据委托事务的性质不宜终止的除外。具体分为两种情况，第一，当委托人死亡、丧失民事行为能力或破产，致使委托合同终止将损害委托人的利益时，在委托人的继承人、法定代理人或清算组织</w:t>
      </w:r>
      <w:r>
        <w:rPr>
          <w:rFonts w:hint="eastAsia"/>
        </w:rPr>
        <w:t>承受委托事务之前，资产评估机构应继续处理履行委托合同，执行评估业务；第二，</w:t>
      </w:r>
      <w:r>
        <w:t>当受托人即资产评估机构破产，致使委托合同终止的，资产评估机构的法定代理人或清算组织应当及时通知委托人。因委托合同终止将损害委托人利益的，在委托人</w:t>
      </w:r>
      <w:proofErr w:type="gramStart"/>
      <w:r>
        <w:t>作出</w:t>
      </w:r>
      <w:proofErr w:type="gramEnd"/>
      <w:r>
        <w:t>善后处理之前，资产评估机构的法定代理人或清算组织应当采取必要的措施。</w:t>
      </w:r>
    </w:p>
    <w:p w14:paraId="097029B4" w14:textId="77777777" w:rsidR="00FA0363" w:rsidRDefault="00FA0363" w:rsidP="00FA0363">
      <w:pPr>
        <w:pStyle w:val="13"/>
      </w:pPr>
      <w:r>
        <w:t>5.</w:t>
      </w:r>
      <w:r>
        <w:tab/>
        <w:t>约定解除：在上述法定解除的情形之外，当事人还可根据实际情况，针对合同履行期间可能存在的无法继续履行的情形设置约定解除条款。</w:t>
      </w:r>
    </w:p>
    <w:p w14:paraId="2EFC9BFC" w14:textId="77777777" w:rsidR="00FA0363" w:rsidRDefault="00FA0363" w:rsidP="00FA0363">
      <w:pPr>
        <w:pStyle w:val="13"/>
      </w:pPr>
      <w:r>
        <w:rPr>
          <w:rFonts w:hint="eastAsia"/>
        </w:rPr>
        <w:t>（九）违约责任风险提示：明确约定各方违约责任及免责条款</w:t>
      </w:r>
    </w:p>
    <w:p w14:paraId="2BF8D1DD" w14:textId="77777777" w:rsidR="00FA0363" w:rsidRDefault="00FA0363" w:rsidP="00FA0363">
      <w:pPr>
        <w:pStyle w:val="13"/>
      </w:pPr>
      <w:r>
        <w:rPr>
          <w:rFonts w:hint="eastAsia"/>
        </w:rPr>
        <w:t>资产评估委托合同应当明确约定当事人各方的违约责任，以便处理合同一方违约时有所遵循。</w:t>
      </w:r>
    </w:p>
    <w:p w14:paraId="0397D16C" w14:textId="77777777" w:rsidR="00FA0363" w:rsidRDefault="00FA0363" w:rsidP="00FA0363">
      <w:pPr>
        <w:pStyle w:val="13"/>
      </w:pPr>
      <w:r>
        <w:t>1.</w:t>
      </w:r>
      <w:r>
        <w:tab/>
        <w:t>合同当事人应根据《资产评估执业准则—资产评估委托合同》第十七条之规定，明确约定违约责任的性质、责任承担的条件、违约金或赔偿金的数额及计算方法；还可根据委托事项的性质和要求，就不可抗力及免责事由等事项</w:t>
      </w:r>
      <w:proofErr w:type="gramStart"/>
      <w:r>
        <w:t>作出</w:t>
      </w:r>
      <w:proofErr w:type="gramEnd"/>
      <w:r>
        <w:t>约定。</w:t>
      </w:r>
    </w:p>
    <w:p w14:paraId="7249D04F" w14:textId="77777777" w:rsidR="00FA0363" w:rsidRDefault="00FA0363" w:rsidP="00FA0363">
      <w:pPr>
        <w:pStyle w:val="13"/>
      </w:pPr>
      <w:r>
        <w:t>2.</w:t>
      </w:r>
      <w:r>
        <w:tab/>
        <w:t>委托人的违约责任：主要涉及委托人迟延支付或拒不支付合同约定的服务费用，以及因委托人指示不当、擅自另行委托、单方提前解除合同等情形下造成资产评估机构损失而产生的赔偿责任；</w:t>
      </w:r>
    </w:p>
    <w:p w14:paraId="14C949C2" w14:textId="77777777" w:rsidR="00FA0363" w:rsidRDefault="00FA0363" w:rsidP="00FA0363">
      <w:pPr>
        <w:pStyle w:val="13"/>
      </w:pPr>
      <w:r>
        <w:t>3.</w:t>
      </w:r>
      <w:r>
        <w:tab/>
        <w:t>资产评估机构的违约责任：主要涉及迟延交付或无法交付资产评估报告，以及因资产评估机构自身的过错行为、超越受托权限、不可归责于己方事由外时资产评估机构单方提前解除委托合同等情形下造成委托人损失而产生的赔偿责任。</w:t>
      </w:r>
    </w:p>
    <w:p w14:paraId="091F500D" w14:textId="77777777" w:rsidR="00FA0363" w:rsidRDefault="00FA0363" w:rsidP="00FA0363">
      <w:pPr>
        <w:pStyle w:val="13"/>
      </w:pPr>
      <w:r>
        <w:t>4.</w:t>
      </w:r>
      <w:r>
        <w:tab/>
        <w:t>违约金的设置：违约金的数额一般根据合同当事人预测的因一方违约可能带来的损失大小来确定，根据《合同法》及相关司法解释，如果约定的违约金低于实际发生的损失，守约方可以请求人民法院增加违约金；如果约定的违约金过分高于实际损失</w:t>
      </w:r>
      <w:r>
        <w:rPr>
          <w:rFonts w:hint="eastAsia"/>
        </w:rPr>
        <w:t>（一般为超过造成损失的百分之三十的），违约方可以请求人民法院减少违约金。人民法院应当以实际损失为基础，兼顾合同的履行情况、当事人的过错程度以及预期利益等综合因素，根据公平原则和诚实信用原则予以衡量。</w:t>
      </w:r>
    </w:p>
    <w:p w14:paraId="114EBB85" w14:textId="77777777" w:rsidR="00FA0363" w:rsidRDefault="00FA0363" w:rsidP="00FA0363">
      <w:pPr>
        <w:pStyle w:val="13"/>
      </w:pPr>
      <w:r>
        <w:t>5.</w:t>
      </w:r>
      <w:r>
        <w:tab/>
        <w:t>违约事实的取证：《民事诉讼法》规定了八种法定证据形式，实务中需要重点关注书证（以其内容来证明</w:t>
      </w:r>
      <w:proofErr w:type="gramStart"/>
      <w:r>
        <w:t>待证事实</w:t>
      </w:r>
      <w:proofErr w:type="gramEnd"/>
      <w:r>
        <w:t>有关情况的文字材料，如违约方解除合同的告知函等）、视听资料（比如录音、录像）、证人证言（需证人出庭作证）、电子证据（短信、微信、电子邮件等通讯软件产生的聊天记录）的取证方式。因取证的复杂性以及庭审</w:t>
      </w:r>
      <w:r>
        <w:rPr>
          <w:rFonts w:hint="eastAsia"/>
        </w:rPr>
        <w:t>质证的专业性，在必要的情况下应当及时聘请律师介入。</w:t>
      </w:r>
    </w:p>
    <w:p w14:paraId="147CAB05" w14:textId="77777777" w:rsidR="00FA0363" w:rsidRDefault="00FA0363" w:rsidP="00FA0363">
      <w:pPr>
        <w:pStyle w:val="13"/>
      </w:pPr>
      <w:r>
        <w:rPr>
          <w:rFonts w:hint="eastAsia"/>
        </w:rPr>
        <w:t>（十）争议解决风险提示：明确约定争议解决的方式和地点</w:t>
      </w:r>
    </w:p>
    <w:p w14:paraId="0DB9A028" w14:textId="77777777" w:rsidR="00FA0363" w:rsidRDefault="00FA0363" w:rsidP="00FA0363">
      <w:pPr>
        <w:pStyle w:val="13"/>
      </w:pPr>
      <w:r>
        <w:rPr>
          <w:rFonts w:hint="eastAsia"/>
        </w:rPr>
        <w:lastRenderedPageBreak/>
        <w:t>资产评估机构应当根据《资产评估执业准则—资产评估委托合同》第十八条的规定，在委托合同中明确约定资产评估委托合同履行过程中产生争议时争议解决的方式（和解、调解、仲裁、诉讼）和地点。其中，对于仲裁和诉讼两类法定纠纷解决方式，合同的约定应符合法律规定，否则可能因违反法律规定而导致该争议解决条款无效。</w:t>
      </w:r>
    </w:p>
    <w:p w14:paraId="2541E0FF" w14:textId="77777777" w:rsidR="00FA0363" w:rsidRDefault="00FA0363" w:rsidP="00FA0363">
      <w:pPr>
        <w:pStyle w:val="13"/>
      </w:pPr>
      <w:r>
        <w:t>1.</w:t>
      </w:r>
      <w:r>
        <w:tab/>
        <w:t>根据法律规定，当事人对于仲裁和诉讼方式只能选择约定其一。前者程序简便、</w:t>
      </w:r>
      <w:r>
        <w:rPr>
          <w:rFonts w:hint="eastAsia"/>
        </w:rPr>
        <w:t>保密性强，但成本相对较高且面临后续司法确认等风险；后者受理范围广泛，但周期相对较长。资产评估机构应当综合考虑项目风险及评估业务的复杂程度、时限要求紧迫程度、维</w:t>
      </w:r>
      <w:proofErr w:type="gramStart"/>
      <w:r>
        <w:rPr>
          <w:rFonts w:hint="eastAsia"/>
        </w:rPr>
        <w:t>权成本</w:t>
      </w:r>
      <w:proofErr w:type="gramEnd"/>
      <w:r>
        <w:rPr>
          <w:rFonts w:hint="eastAsia"/>
        </w:rPr>
        <w:t>等因素，恰当选择其中一种纠纷解决方式。</w:t>
      </w:r>
    </w:p>
    <w:p w14:paraId="6B614E88" w14:textId="77777777" w:rsidR="00FA0363" w:rsidRDefault="00FA0363" w:rsidP="00FA0363">
      <w:pPr>
        <w:pStyle w:val="13"/>
      </w:pPr>
      <w:r>
        <w:t>2.</w:t>
      </w:r>
      <w:r>
        <w:tab/>
        <w:t>若委托合同约定将争议交由仲裁机构管辖，则需明确约定当事人一致同意仲裁方式解决争议的意思表示、仲裁事项、选定的具有唯一性的仲裁委员会。</w:t>
      </w:r>
    </w:p>
    <w:p w14:paraId="0F0EA495" w14:textId="77777777" w:rsidR="00FA0363" w:rsidRDefault="00FA0363" w:rsidP="00FA0363">
      <w:pPr>
        <w:pStyle w:val="13"/>
      </w:pPr>
      <w:r>
        <w:t>3.</w:t>
      </w:r>
      <w:r>
        <w:tab/>
        <w:t>若委托合同约定将争议交由人民法院管辖，则可本着争取自身利益最大化、节约诉讼成本等原则，在不违反法律或相关司法解释的前提下，尽量选择对己方有利的法院管辖（如资产评估机构所在地人民法院）。</w:t>
      </w:r>
    </w:p>
    <w:p w14:paraId="3FCC8E45" w14:textId="77777777" w:rsidR="00FA0363" w:rsidRDefault="00FA0363" w:rsidP="00FA0363">
      <w:pPr>
        <w:pStyle w:val="13"/>
      </w:pPr>
      <w:r>
        <w:rPr>
          <w:rFonts w:hint="eastAsia"/>
        </w:rPr>
        <w:t>（十一）合同变更或补充风险提示：及时完善、弥补合同漏洞</w:t>
      </w:r>
    </w:p>
    <w:p w14:paraId="257AB201" w14:textId="77777777" w:rsidR="00FA0363" w:rsidRDefault="00FA0363" w:rsidP="00FA0363">
      <w:pPr>
        <w:pStyle w:val="13"/>
      </w:pPr>
      <w:r>
        <w:t>1.</w:t>
      </w:r>
      <w:r>
        <w:tab/>
        <w:t>根据《资产评估执业准则—资产评估委托合同》第十九条之规定，资产评估委托合同订立后发现相关事项存在遗漏、约定不明确，或者在合同履行中约定的内容发生变化的，资产评估机构可以要求与委托人订立补充合同或者重新订立资产评估委托合同，或者以法律允许的其他方式对资产评估委托合同的相关条款进行变更。</w:t>
      </w:r>
    </w:p>
    <w:p w14:paraId="6F0B8808" w14:textId="77777777" w:rsidR="00FA0363" w:rsidRDefault="00FA0363" w:rsidP="00FA0363">
      <w:pPr>
        <w:pStyle w:val="13"/>
      </w:pPr>
      <w:r>
        <w:t>2.</w:t>
      </w:r>
      <w:r>
        <w:tab/>
        <w:t>需要注意的是，当评估目的、评估对象、评估范围、评估基准日等重要合同要素发生变化时，现场勘查记录等工作底稿的内容也应当有相应的体现。</w:t>
      </w:r>
    </w:p>
    <w:p w14:paraId="286E9989" w14:textId="77777777" w:rsidR="00FA0363" w:rsidRDefault="00FA0363" w:rsidP="00FA0363">
      <w:pPr>
        <w:pStyle w:val="13"/>
      </w:pPr>
      <w:r>
        <w:t>3.</w:t>
      </w:r>
      <w:r>
        <w:tab/>
        <w:t>实务中，存在资产评估委托合同或补充协议的评估范围、评估费用等关键事项与招标文件不一致而引发纠纷的情形。尽管司法实践存在争议，但根据《招标投标法》第四十六条、《招投标法实施条例》第五十七条之规定，委托合同的实质性内容不得背离招标文件。对此情形建议区别处理：对于合同要求高于招标文件要求或者合同对招标文件的概括性规定进行细化的条款，当事人可以通过协商进行约定；对于合同</w:t>
      </w:r>
      <w:r>
        <w:rPr>
          <w:rFonts w:hint="eastAsia"/>
        </w:rPr>
        <w:t>要求低于招标文件要求的条款，因存在较大法律风险，不建议约定在合同中。</w:t>
      </w:r>
    </w:p>
    <w:p w14:paraId="3604F5B6" w14:textId="77777777" w:rsidR="00FA0363" w:rsidRDefault="00FA0363" w:rsidP="00FA0363">
      <w:pPr>
        <w:pStyle w:val="13"/>
      </w:pPr>
      <w:r>
        <w:rPr>
          <w:rFonts w:hint="eastAsia"/>
        </w:rPr>
        <w:t>（十二）其他合同要素风险提示</w:t>
      </w:r>
    </w:p>
    <w:p w14:paraId="775311E4" w14:textId="77777777" w:rsidR="00FA0363" w:rsidRDefault="00FA0363" w:rsidP="00FA0363">
      <w:pPr>
        <w:pStyle w:val="13"/>
      </w:pPr>
      <w:r>
        <w:rPr>
          <w:rFonts w:hint="eastAsia"/>
        </w:rPr>
        <w:t>委托合同的内容应当全面、准确，文字用语避免产生歧义，形式上除应包括上述各项条款外，还应重点关注下列事宜：</w:t>
      </w:r>
    </w:p>
    <w:p w14:paraId="48E262AC" w14:textId="77777777" w:rsidR="00FA0363" w:rsidRDefault="00FA0363" w:rsidP="00FA0363">
      <w:pPr>
        <w:pStyle w:val="13"/>
      </w:pPr>
      <w:r>
        <w:t>1.《资产评估执业准则—资产评估委托合同》第四条第二款规定了委托合同签字、盖章的形式要求：“资产评估委托合同应当由资产评估机构的法定代表人（或者执行合伙事务合伙人）签字并加盖资产评估机构印章”。此处执业准则使用“并”而非“或”的原意是为了更加严谨。但《合同法》关于合同的成立、生效的规定并不要</w:t>
      </w:r>
      <w:r>
        <w:lastRenderedPageBreak/>
        <w:t>求必须同时具备签字“和”盖章。建议评估机构在合同文本中使用“签字或盖章”，而在实际业务中要求委托人盖章并由法定代表人或有代理权限的工作人员签字。</w:t>
      </w:r>
    </w:p>
    <w:p w14:paraId="2FF02A4A" w14:textId="77777777" w:rsidR="00FA0363" w:rsidRDefault="00FA0363" w:rsidP="00FA0363">
      <w:pPr>
        <w:pStyle w:val="13"/>
      </w:pPr>
      <w:r>
        <w:t>2.资产评估机构和委托人的名称、住所、联系人及联系方式应当明确，名称（或姓名）应使用全称，不可简化或使用代号；联系方式或送达地址发生变更的，应当及时以书面方式通知委托人并保留送达凭证。建议在合同文本中增加“通知与送达”条</w:t>
      </w:r>
      <w:r>
        <w:rPr>
          <w:rFonts w:hint="eastAsia"/>
        </w:rPr>
        <w:t>款，专门就评估业务过程中的通知、送达问题进行约定。</w:t>
      </w:r>
    </w:p>
    <w:p w14:paraId="2B932F80" w14:textId="77777777" w:rsidR="00FA0363" w:rsidRDefault="00FA0363" w:rsidP="00FA0363">
      <w:pPr>
        <w:pStyle w:val="13"/>
      </w:pPr>
      <w:r>
        <w:t>3.根据《合同法》的意思自治原则，对于《资产评估执业准则—资产评估委托合同》未作规定的合同要素或相关事宜，资产评估机构可综合考虑委托人、评估项目以及机构自身的实际情况进一步进行约定。如委托人提前解除资产评估委托合同应当按照已经开展资产评估业务的时间、进度，或者已经完成的工作量支付相应的评估服务费，合同当事人可在委托合同解除条款部分协商约定此类情形下服务费的计算及支付条款。</w:t>
      </w:r>
    </w:p>
    <w:p w14:paraId="48921A71" w14:textId="77777777" w:rsidR="00FA0363" w:rsidRDefault="00FA0363" w:rsidP="00FA0363">
      <w:pPr>
        <w:pStyle w:val="ab"/>
        <w:spacing w:before="62" w:after="62"/>
        <w:ind w:firstLine="482"/>
      </w:pPr>
      <w:r>
        <w:rPr>
          <w:rFonts w:hint="eastAsia"/>
        </w:rPr>
        <w:t>三、资产评估委托合同风险的外部应对提示</w:t>
      </w:r>
    </w:p>
    <w:p w14:paraId="280D2BD5" w14:textId="77777777" w:rsidR="00FA0363" w:rsidRDefault="00FA0363" w:rsidP="00FA0363">
      <w:pPr>
        <w:pStyle w:val="13"/>
      </w:pPr>
      <w:r>
        <w:rPr>
          <w:rFonts w:hint="eastAsia"/>
        </w:rPr>
        <w:t>资产评估委托合同兼具评估行业和法律运行两方面的专业特征，资产评估机构及其评估专业人员在履行勤勉尽责义务并坚守客观、谨慎、独立等执业准则的基础上，</w:t>
      </w:r>
      <w:r>
        <w:t>还可积极寻求法律专业人士的帮助。</w:t>
      </w:r>
    </w:p>
    <w:p w14:paraId="1C57487F" w14:textId="2ED512D2" w:rsidR="00FA0363" w:rsidRDefault="00FA0363" w:rsidP="00FA0363">
      <w:pPr>
        <w:pStyle w:val="13"/>
      </w:pPr>
      <w:r>
        <w:rPr>
          <w:rFonts w:hint="eastAsia"/>
        </w:rPr>
        <w:t>建议资产评估机构在条件允许的情况下组建内部风险控制或法律事务部门，或者委托律师事务所及专业律师作为常年或专项法律顾问，对资产评估机构承接评估业</w:t>
      </w:r>
      <w:r>
        <w:t>务、签订委托合同、执行评估程序、提交评估报告、完善底稿档案等事项或流程出具法律意见，对评估业务法律风险防范与诉讼应对策略等事宜提供及时、准确、全面的</w:t>
      </w:r>
      <w:r>
        <w:rPr>
          <w:rFonts w:hint="eastAsia"/>
        </w:rPr>
        <w:t>专业化指导。</w:t>
      </w:r>
    </w:p>
    <w:p w14:paraId="5B84F9DD" w14:textId="0E1544DF" w:rsidR="00FA0363" w:rsidRDefault="00FA0363" w:rsidP="00FA0363">
      <w:pPr>
        <w:pStyle w:val="31"/>
        <w:spacing w:before="156" w:after="62"/>
      </w:pPr>
      <w:bookmarkStart w:id="118" w:name="_Toc81833380"/>
      <w:r>
        <w:rPr>
          <w:rFonts w:hint="eastAsia"/>
        </w:rPr>
        <w:t>浙江省注册会计师协会专业技术委员会专家提示（第</w:t>
      </w:r>
      <w:r>
        <w:t>1号）</w:t>
      </w:r>
      <w:r w:rsidR="00F811C3">
        <w:br/>
      </w:r>
      <w:r>
        <w:t>—商誉减值测试相关问题的关注</w:t>
      </w:r>
      <w:bookmarkEnd w:id="118"/>
    </w:p>
    <w:p w14:paraId="1772894D" w14:textId="77777777" w:rsidR="00FA0363" w:rsidRDefault="00FA0363" w:rsidP="00FA0363">
      <w:pPr>
        <w:pStyle w:val="13"/>
      </w:pPr>
      <w:r>
        <w:rPr>
          <w:rFonts w:hint="eastAsia"/>
        </w:rPr>
        <w:t>浙江省注册会计师协会专业技术委员会组织业内外审计、评估专家对商誉减值测试相关问题进行了研究，对商誉减值测试业务中注册会计师和评估专业人员可能会遇到的问题做出如下提示，供大家在执业中参考。</w:t>
      </w:r>
    </w:p>
    <w:p w14:paraId="200A05AC" w14:textId="77777777" w:rsidR="00FA0363" w:rsidRDefault="00FA0363" w:rsidP="00FA0363">
      <w:pPr>
        <w:pStyle w:val="13"/>
      </w:pPr>
      <w:r>
        <w:rPr>
          <w:rFonts w:hint="eastAsia"/>
        </w:rPr>
        <w:t>本</w:t>
      </w:r>
      <w:proofErr w:type="gramStart"/>
      <w:r>
        <w:rPr>
          <w:rFonts w:hint="eastAsia"/>
        </w:rPr>
        <w:t>提示仅</w:t>
      </w:r>
      <w:proofErr w:type="gramEnd"/>
      <w:r>
        <w:rPr>
          <w:rFonts w:hint="eastAsia"/>
        </w:rPr>
        <w:t>代表专家观点，不能替代相关法律、法规、会计准则、资产评估执业准则，也不能替代注册会计师和评估专业人员的职业判断，在执业中注册会计师和评估专业人员应结合项目实际情况、自身职业判断合理使用。</w:t>
      </w:r>
    </w:p>
    <w:p w14:paraId="3B8861E4" w14:textId="77777777" w:rsidR="00FA0363" w:rsidRDefault="00FA0363" w:rsidP="00FA0363">
      <w:pPr>
        <w:pStyle w:val="13"/>
      </w:pPr>
      <w:r>
        <w:t>1.</w:t>
      </w:r>
      <w:r>
        <w:tab/>
        <w:t>企业什么情况下需要对商誉进行减值测试？</w:t>
      </w:r>
    </w:p>
    <w:p w14:paraId="7A202976" w14:textId="77777777" w:rsidR="00FA0363" w:rsidRDefault="00FA0363" w:rsidP="00FA0363">
      <w:pPr>
        <w:pStyle w:val="13"/>
      </w:pPr>
      <w:r>
        <w:rPr>
          <w:rFonts w:hint="eastAsia"/>
        </w:rPr>
        <w:t>解答：根据《企业会计准则第</w:t>
      </w:r>
      <w:r>
        <w:t>8号—资产减值》第四条，企业应当在资产负债表</w:t>
      </w:r>
      <w:proofErr w:type="gramStart"/>
      <w:r>
        <w:t>日判断</w:t>
      </w:r>
      <w:proofErr w:type="gramEnd"/>
      <w:r>
        <w:t>资产是否存在可能发生减值的迹象。因企业合并所形成的商誉和使用寿命不确定的无形资产，无论是否存在减值迹象，每年都应当进行减值测试。按照相关准则</w:t>
      </w:r>
      <w:r>
        <w:lastRenderedPageBreak/>
        <w:t>的要求，在每个资产负债表日（比如每个季度末），都应当判断商誉所在资产组或者资产组组合是否存在减值迹象，只要存在减值迹象，就应该进行商</w:t>
      </w:r>
      <w:proofErr w:type="gramStart"/>
      <w:r>
        <w:t>誉</w:t>
      </w:r>
      <w:proofErr w:type="gramEnd"/>
      <w:r>
        <w:t>减值测试。对含商誉的资产组或者资产组组合进行减值测试前，应先对不含商誉的资产组或者资产组组合进行减值测试。</w:t>
      </w:r>
    </w:p>
    <w:p w14:paraId="3EE39891" w14:textId="77777777" w:rsidR="00FA0363" w:rsidRDefault="00FA0363" w:rsidP="00FA0363">
      <w:pPr>
        <w:pStyle w:val="13"/>
      </w:pPr>
      <w:r>
        <w:t>2.</w:t>
      </w:r>
      <w:r>
        <w:tab/>
        <w:t>商誉减值测试中资产组或资产组组合的界定应把握什么原则？</w:t>
      </w:r>
    </w:p>
    <w:p w14:paraId="3C60C087" w14:textId="77777777" w:rsidR="00FA0363" w:rsidRDefault="00FA0363" w:rsidP="00FA0363">
      <w:pPr>
        <w:pStyle w:val="13"/>
      </w:pPr>
      <w:r>
        <w:rPr>
          <w:rFonts w:hint="eastAsia"/>
        </w:rPr>
        <w:t>解答：对于商誉减值测试涉及的资产组或者资产组组合的界定，管理层、评估专业人员应与注册会计师一起就商誉减值测试事项进行充分的沟通，达成一致意见。</w:t>
      </w:r>
    </w:p>
    <w:p w14:paraId="66C6CA51" w14:textId="77777777" w:rsidR="00FA0363" w:rsidRDefault="00FA0363" w:rsidP="00FA0363">
      <w:pPr>
        <w:pStyle w:val="13"/>
      </w:pPr>
      <w:r>
        <w:rPr>
          <w:rFonts w:hint="eastAsia"/>
        </w:rPr>
        <w:t>《企业会计准则第</w:t>
      </w:r>
      <w:r>
        <w:t>8号—资产减值》第十八条规定，资产组的认定，应当以资产</w:t>
      </w:r>
      <w:proofErr w:type="gramStart"/>
      <w:r>
        <w:t>组产生</w:t>
      </w:r>
      <w:proofErr w:type="gramEnd"/>
      <w:r>
        <w:t>的主要现金流入是否独立于其他资产或者资产组的现金流入为依据。同时，在认定资产组时，应当考虑企业管理层管理生产经营活动的方式（如是按照生产线、业务种类还是按照地区或者区域等）和对资产的持续使用或者处置的决策方式等。</w:t>
      </w:r>
    </w:p>
    <w:p w14:paraId="734C6601" w14:textId="77777777" w:rsidR="00FA0363" w:rsidRDefault="00FA0363" w:rsidP="00FA0363">
      <w:pPr>
        <w:pStyle w:val="13"/>
      </w:pPr>
      <w:r>
        <w:rPr>
          <w:rFonts w:hint="eastAsia"/>
        </w:rPr>
        <w:t>从上述相关准则可以看出，商誉减值测试涉及的与商誉相关的资产组或资产组组合的界定，</w:t>
      </w:r>
      <w:proofErr w:type="gramStart"/>
      <w:r>
        <w:rPr>
          <w:rFonts w:hint="eastAsia"/>
        </w:rPr>
        <w:t>最</w:t>
      </w:r>
      <w:proofErr w:type="gramEnd"/>
      <w:r>
        <w:rPr>
          <w:rFonts w:hint="eastAsia"/>
        </w:rPr>
        <w:t>关键的因素是考虑资产组能否独立产生现金流入，同时考虑管理层管理生产经营活动的方式和对资产使用或处置的决策方式。</w:t>
      </w:r>
    </w:p>
    <w:p w14:paraId="54F239BC" w14:textId="77777777" w:rsidR="00FA0363" w:rsidRDefault="00FA0363" w:rsidP="00FA0363">
      <w:pPr>
        <w:pStyle w:val="13"/>
      </w:pPr>
      <w:r>
        <w:t>3.</w:t>
      </w:r>
      <w:r>
        <w:tab/>
        <w:t>资产组与资产组组合有什么区别？</w:t>
      </w:r>
    </w:p>
    <w:p w14:paraId="6B9DC76C" w14:textId="77777777" w:rsidR="00FA0363" w:rsidRDefault="00FA0363" w:rsidP="00FA0363">
      <w:pPr>
        <w:pStyle w:val="13"/>
      </w:pPr>
      <w:r>
        <w:rPr>
          <w:rFonts w:hint="eastAsia"/>
        </w:rPr>
        <w:t>解答：根据《企业会计准则第</w:t>
      </w:r>
      <w:r>
        <w:t>8号—资产减值》第二条，资产组，是指企业可以认定的最小资产组合，其产生的现金流入应当基本上独立于其他资产或者资产</w:t>
      </w:r>
      <w:proofErr w:type="gramStart"/>
      <w:r>
        <w:t>组产生</w:t>
      </w:r>
      <w:proofErr w:type="gramEnd"/>
      <w:r>
        <w:t>的现金流入。第二十条，资产组组合，是指由若干个资产组组成的最小资产组组合，包括资产组或者资产组组合，以及按合理方法分摊的总部资产部分。对于商誉减值测试涉及的资产组，如果按照合理方法分摊了部分总部资产，一般认定为资产组组合；对于被并购单位有很多业务模块（即若干资产组组成）但管理层对这些业务模块的生产经营活动方式和对资产的决策方式都是一体化管理的，可以认定为资产组组</w:t>
      </w:r>
      <w:r>
        <w:rPr>
          <w:rFonts w:hint="eastAsia"/>
        </w:rPr>
        <w:t>合。</w:t>
      </w:r>
    </w:p>
    <w:p w14:paraId="1EF86A2E" w14:textId="77777777" w:rsidR="00FA0363" w:rsidRDefault="00FA0363" w:rsidP="00FA0363">
      <w:pPr>
        <w:pStyle w:val="13"/>
      </w:pPr>
      <w:r>
        <w:t>4.</w:t>
      </w:r>
      <w:r>
        <w:tab/>
        <w:t>并购完成后，如果管理层对收购的业务在集团内进行了调整，原被收购的公司</w:t>
      </w:r>
      <w:r>
        <w:rPr>
          <w:rFonts w:hint="eastAsia"/>
        </w:rPr>
        <w:t>不复存在或者被收购的业务已经调整到其他公司，其商誉是否可以直接减值为零？</w:t>
      </w:r>
      <w:r>
        <w:t>解答：并购完成后，如果管理层对收购的业务在集团内部进行了调整，调整后可</w:t>
      </w:r>
    </w:p>
    <w:p w14:paraId="3B0E2893" w14:textId="77777777" w:rsidR="00FA0363" w:rsidRDefault="00FA0363" w:rsidP="00FA0363">
      <w:pPr>
        <w:pStyle w:val="13"/>
      </w:pPr>
      <w:r>
        <w:rPr>
          <w:rFonts w:hint="eastAsia"/>
        </w:rPr>
        <w:t>能导致原有商誉对应的资产组或资产组组合已经不在原来被收购公司内。只要该业务的资产组存在，不论它是以子公司名义存在，或是以孙公司名义存在，或者根本就不是以独立的法人主体存在，都不会影响该业务的资产</w:t>
      </w:r>
      <w:proofErr w:type="gramStart"/>
      <w:r>
        <w:rPr>
          <w:rFonts w:hint="eastAsia"/>
        </w:rPr>
        <w:t>组相关</w:t>
      </w:r>
      <w:proofErr w:type="gramEnd"/>
      <w:r>
        <w:rPr>
          <w:rFonts w:hint="eastAsia"/>
        </w:rPr>
        <w:t>商誉的存续。因此，不能简单的将商誉减值为零。</w:t>
      </w:r>
    </w:p>
    <w:p w14:paraId="29375C48" w14:textId="77777777" w:rsidR="00FA0363" w:rsidRDefault="00FA0363" w:rsidP="00FA0363">
      <w:pPr>
        <w:pStyle w:val="13"/>
      </w:pPr>
      <w:r>
        <w:t>5.</w:t>
      </w:r>
      <w:r>
        <w:tab/>
        <w:t>商誉减值测试中，与协同效应相关的商誉应该如何处理？未来收益预测是否应考虑协同效应的影响？</w:t>
      </w:r>
    </w:p>
    <w:p w14:paraId="4BDBF791" w14:textId="77777777" w:rsidR="00FA0363" w:rsidRDefault="00FA0363" w:rsidP="00FA0363">
      <w:pPr>
        <w:pStyle w:val="13"/>
      </w:pPr>
      <w:r>
        <w:rPr>
          <w:rFonts w:hint="eastAsia"/>
        </w:rPr>
        <w:t>解答：一般情况下，对于在收购的时候支付的对价中未包含未来可以预见的协同效应的，在商誉减值测试</w:t>
      </w:r>
      <w:proofErr w:type="gramStart"/>
      <w:r>
        <w:rPr>
          <w:rFonts w:hint="eastAsia"/>
        </w:rPr>
        <w:t>时未来</w:t>
      </w:r>
      <w:proofErr w:type="gramEnd"/>
      <w:r>
        <w:rPr>
          <w:rFonts w:hint="eastAsia"/>
        </w:rPr>
        <w:t>收益预测中不应考虑协同效应的影响；如果支付的对价中包含了未来可以预见的协同效应，应将商誉在受益的资产组或者资产组组合间</w:t>
      </w:r>
      <w:r>
        <w:rPr>
          <w:rFonts w:hint="eastAsia"/>
        </w:rPr>
        <w:lastRenderedPageBreak/>
        <w:t>进行合理分摊。如果协同效应</w:t>
      </w:r>
      <w:proofErr w:type="gramStart"/>
      <w:r>
        <w:rPr>
          <w:rFonts w:hint="eastAsia"/>
        </w:rPr>
        <w:t>仅导致</w:t>
      </w:r>
      <w:proofErr w:type="gramEnd"/>
      <w:r>
        <w:rPr>
          <w:rFonts w:hint="eastAsia"/>
        </w:rPr>
        <w:t>所并购进来的业务受益，则与协同效应相关的商誉全部分摊给被并购业务的资产组或资产组组合；如果协同效应导致被并购业务和原有业务均受益，则与协同效应相关的商誉需要在被并购的业务和原有业务的资产组或资产组组合之间按照账面价值或者公允价值的比例进行分摊。对于溢价中含协同效应</w:t>
      </w:r>
      <w:r>
        <w:t>的，其商誉减值测试</w:t>
      </w:r>
      <w:proofErr w:type="gramStart"/>
      <w:r>
        <w:t>时未来</w:t>
      </w:r>
      <w:proofErr w:type="gramEnd"/>
      <w:r>
        <w:t>收益预测应考虑协同效应的影响。</w:t>
      </w:r>
    </w:p>
    <w:p w14:paraId="50B56578" w14:textId="77777777" w:rsidR="00FA0363" w:rsidRDefault="00FA0363" w:rsidP="00FA0363">
      <w:pPr>
        <w:pStyle w:val="13"/>
      </w:pPr>
      <w:r>
        <w:t>6.</w:t>
      </w:r>
      <w:r>
        <w:tab/>
        <w:t>被并购对象是管理型的公司（总部无实质经营业务的投资公司或者集团公司），其涉及的业务板块较多，商誉减值测试时应如何处理？</w:t>
      </w:r>
    </w:p>
    <w:p w14:paraId="5A0286BB" w14:textId="77777777" w:rsidR="00FA0363" w:rsidRDefault="00FA0363" w:rsidP="00FA0363">
      <w:pPr>
        <w:pStyle w:val="13"/>
      </w:pPr>
      <w:r>
        <w:rPr>
          <w:rFonts w:hint="eastAsia"/>
        </w:rPr>
        <w:t>解答：如果被并购对象是管理型公司（总部无实质经营业务的投资公司或者集团公司），管辖较多业务板块，商誉减值测试可能存在两种情况：一种是商誉在各业务</w:t>
      </w:r>
      <w:proofErr w:type="gramStart"/>
      <w:r>
        <w:rPr>
          <w:rFonts w:hint="eastAsia"/>
        </w:rPr>
        <w:t>版块</w:t>
      </w:r>
      <w:proofErr w:type="gramEnd"/>
      <w:r>
        <w:rPr>
          <w:rFonts w:hint="eastAsia"/>
        </w:rPr>
        <w:t>的资产组或资产组组合之间进行了分摊，且能够以各业务</w:t>
      </w:r>
      <w:proofErr w:type="gramStart"/>
      <w:r>
        <w:rPr>
          <w:rFonts w:hint="eastAsia"/>
        </w:rPr>
        <w:t>版块</w:t>
      </w:r>
      <w:proofErr w:type="gramEnd"/>
      <w:r>
        <w:rPr>
          <w:rFonts w:hint="eastAsia"/>
        </w:rPr>
        <w:t>的资产组或资产组组合为对象进行减值测试，则商誉减值测试应以资产组或资产组组合为对象独立进行减值测试。另一种是商誉未在各个业务板块的资产组或资产组组合之间进行分摊，则应考虑重新分</w:t>
      </w:r>
      <w:proofErr w:type="gramStart"/>
      <w:r>
        <w:rPr>
          <w:rFonts w:hint="eastAsia"/>
        </w:rPr>
        <w:t>摊商誉并进行</w:t>
      </w:r>
      <w:proofErr w:type="gramEnd"/>
      <w:r>
        <w:rPr>
          <w:rFonts w:hint="eastAsia"/>
        </w:rPr>
        <w:t>减值测试；若无法对各业务</w:t>
      </w:r>
      <w:proofErr w:type="gramStart"/>
      <w:r>
        <w:rPr>
          <w:rFonts w:hint="eastAsia"/>
        </w:rPr>
        <w:t>版块</w:t>
      </w:r>
      <w:proofErr w:type="gramEnd"/>
      <w:r>
        <w:rPr>
          <w:rFonts w:hint="eastAsia"/>
        </w:rPr>
        <w:t>的资产组或资产组组合独立进行减值测试，则可将各个业务板块的资产组合并成资产组组合进行测试。</w:t>
      </w:r>
    </w:p>
    <w:p w14:paraId="2DF7A17B" w14:textId="77777777" w:rsidR="00FA0363" w:rsidRDefault="00FA0363" w:rsidP="00FA0363">
      <w:pPr>
        <w:pStyle w:val="13"/>
      </w:pPr>
      <w:r>
        <w:rPr>
          <w:rFonts w:hint="eastAsia"/>
        </w:rPr>
        <w:t>需要特别提醒的是，如果单独对各个业务板块的资产组或资产组组合进行减值测试，应该把母公司的资产及费用分摊到各个资产组或资产组组合及相应的预测现金流量中；若初始确认商誉时未将商誉分摊至各资产组或资产组组合，且被并购对象下属子公司存在少数股东时，重新分</w:t>
      </w:r>
      <w:proofErr w:type="gramStart"/>
      <w:r>
        <w:rPr>
          <w:rFonts w:hint="eastAsia"/>
        </w:rPr>
        <w:t>摊商誉时应</w:t>
      </w:r>
      <w:proofErr w:type="gramEnd"/>
      <w:r>
        <w:rPr>
          <w:rFonts w:hint="eastAsia"/>
        </w:rPr>
        <w:t>注意归属于少数股东的问题。</w:t>
      </w:r>
    </w:p>
    <w:p w14:paraId="0FFAB498" w14:textId="77777777" w:rsidR="00FA0363" w:rsidRDefault="00FA0363" w:rsidP="00FA0363">
      <w:pPr>
        <w:pStyle w:val="13"/>
      </w:pPr>
      <w:r>
        <w:t>7.</w:t>
      </w:r>
      <w:r>
        <w:tab/>
        <w:t>被并购对象经历再投资、再并购、处置重要资产等情形，商誉所在的资产组或者资产组组合应如何调整？</w:t>
      </w:r>
    </w:p>
    <w:p w14:paraId="1FEED495" w14:textId="77777777" w:rsidR="00FA0363" w:rsidRDefault="00FA0363" w:rsidP="00FA0363">
      <w:pPr>
        <w:pStyle w:val="13"/>
      </w:pPr>
      <w:r>
        <w:rPr>
          <w:rFonts w:hint="eastAsia"/>
        </w:rPr>
        <w:t>解答：根据《企业会计准则第</w:t>
      </w:r>
      <w:r>
        <w:t>8号—资产减值》第十八条，资产组一经确定，各个会计期间应当保持一致，不得随意变更。如需变更，企业管理层应当证明该变更是合理的，并根据本准则第二十七条的规定在附注中作相应说明。第二十四条，企业因重组等原因改变了其报告结构，从而影响到已分摊商誉的一个或者若干个资产组或者资产组组合构成的，应当按照与本条前款规定相似的分摊方法，将商誉重新分摊至受影响的资产组或者资产组组合。</w:t>
      </w:r>
    </w:p>
    <w:p w14:paraId="285E15CC" w14:textId="77777777" w:rsidR="00FA0363" w:rsidRDefault="00FA0363" w:rsidP="00FA0363">
      <w:pPr>
        <w:pStyle w:val="13"/>
      </w:pPr>
      <w:r>
        <w:rPr>
          <w:rFonts w:hint="eastAsia"/>
        </w:rPr>
        <w:t>对历次商誉减值测试对应的资产组或者资产组组合，重点关注期间是否发生了再投资、再并购、处置重要资产等情形，除符合因重组原因公司经营组成部分发生变化影响到原有资产组或者资产组组合的构成，需将商誉进行重新分摊外，不得随意扩大或者缩小商誉所在资产组或者资产组组合。如：</w:t>
      </w:r>
    </w:p>
    <w:p w14:paraId="3C76F965" w14:textId="77777777" w:rsidR="00FA0363" w:rsidRDefault="00FA0363" w:rsidP="00FA0363">
      <w:pPr>
        <w:pStyle w:val="13"/>
      </w:pPr>
      <w:r>
        <w:rPr>
          <w:rFonts w:hint="eastAsia"/>
        </w:rPr>
        <w:t>（</w:t>
      </w:r>
      <w:r>
        <w:t>1）并购业务完成后，如果被收购的A公司后续又收购了B公司，并形成新的商誉，如果AB公司的业务关联性较强，且管理层的监控和决策方式上基本是一体化管理，可以将上述两个业务合并为一个资产组或资产组组合进行商</w:t>
      </w:r>
      <w:proofErr w:type="gramStart"/>
      <w:r>
        <w:t>誉</w:t>
      </w:r>
      <w:proofErr w:type="gramEnd"/>
      <w:r>
        <w:t>减值测试，否则应该单独分别进行商</w:t>
      </w:r>
      <w:proofErr w:type="gramStart"/>
      <w:r>
        <w:t>誉</w:t>
      </w:r>
      <w:proofErr w:type="gramEnd"/>
      <w:r>
        <w:t>减值测试。</w:t>
      </w:r>
    </w:p>
    <w:p w14:paraId="3B4A59B4" w14:textId="77777777" w:rsidR="00FA0363" w:rsidRDefault="00FA0363" w:rsidP="00FA0363">
      <w:pPr>
        <w:pStyle w:val="13"/>
      </w:pPr>
      <w:r>
        <w:rPr>
          <w:rFonts w:hint="eastAsia"/>
        </w:rPr>
        <w:lastRenderedPageBreak/>
        <w:t>（</w:t>
      </w:r>
      <w:r>
        <w:t>2）并购业务完成后，如果公司再并购、再投资形成新的商誉，</w:t>
      </w:r>
      <w:proofErr w:type="gramStart"/>
      <w:r>
        <w:t>且新该商誉</w:t>
      </w:r>
      <w:proofErr w:type="gramEnd"/>
      <w:r>
        <w:t>含协</w:t>
      </w:r>
      <w:r>
        <w:rPr>
          <w:rFonts w:hint="eastAsia"/>
        </w:rPr>
        <w:t>同效应，则应将与这些协同效应相关的商誉分摊至受益的其他资产组或资产组组合。而原先并购形成的商誉一般与后续并购无关，不再重新分摊至新增资产组。</w:t>
      </w:r>
    </w:p>
    <w:p w14:paraId="2E602935" w14:textId="77777777" w:rsidR="00FA0363" w:rsidRDefault="00FA0363" w:rsidP="00FA0363">
      <w:pPr>
        <w:pStyle w:val="13"/>
      </w:pPr>
      <w:r>
        <w:rPr>
          <w:rFonts w:hint="eastAsia"/>
        </w:rPr>
        <w:t>（</w:t>
      </w:r>
      <w:r>
        <w:t>3）并购业务完成后，公司后续在集团内部对业务结构进行了调整，例如为了便于管理层的监控和决策将生产线、人员、业务等按照内部管理需求重新构建，应将相关的商誉跟随锁定或者按照能否独立产生现金流及管理层的监控和决策方式重新分摊至相关资产组或资产组组合。</w:t>
      </w:r>
    </w:p>
    <w:p w14:paraId="3A198F6D" w14:textId="77777777" w:rsidR="00FA0363" w:rsidRDefault="00FA0363" w:rsidP="00FA0363">
      <w:pPr>
        <w:pStyle w:val="13"/>
      </w:pPr>
      <w:r>
        <w:t>8.</w:t>
      </w:r>
      <w:r>
        <w:tab/>
        <w:t>对于并购对象非百分之百股权并购所形成的商誉，如何进行商</w:t>
      </w:r>
      <w:proofErr w:type="gramStart"/>
      <w:r>
        <w:t>誉</w:t>
      </w:r>
      <w:proofErr w:type="gramEnd"/>
      <w:r>
        <w:t>减值测试？解答：对于并购对象非百分之百股权的并购业务（包括并购对象的子公司为非全</w:t>
      </w:r>
    </w:p>
    <w:p w14:paraId="01A012C8" w14:textId="77777777" w:rsidR="00FA0363" w:rsidRDefault="00FA0363" w:rsidP="00FA0363">
      <w:pPr>
        <w:pStyle w:val="13"/>
      </w:pPr>
      <w:r>
        <w:rPr>
          <w:rFonts w:hint="eastAsia"/>
        </w:rPr>
        <w:t>资子公司），按照会计准则，合并时的商誉已经剔除了归属于少数股东的商誉，但是在对包含商誉的资产组或资产组组合预测其可收回金额时包含归属于少数股东的商誉部分。为了使减值测试口径一致，应把归属于少数股东权益的商誉加回，调整资产组或资产组组合的账面价值，然后根据调整后的资产组或资产组组合账面价值</w:t>
      </w:r>
      <w:proofErr w:type="gramStart"/>
      <w:r>
        <w:rPr>
          <w:rFonts w:hint="eastAsia"/>
        </w:rPr>
        <w:t>与其可</w:t>
      </w:r>
      <w:proofErr w:type="gramEnd"/>
      <w:r>
        <w:rPr>
          <w:rFonts w:hint="eastAsia"/>
        </w:rPr>
        <w:t>收回金额进行比较，以确定商誉是否发生了减值。</w:t>
      </w:r>
    </w:p>
    <w:p w14:paraId="74FD2F63" w14:textId="77777777" w:rsidR="00FA0363" w:rsidRDefault="00FA0363" w:rsidP="00FA0363">
      <w:pPr>
        <w:pStyle w:val="13"/>
      </w:pPr>
      <w:r>
        <w:t>9.</w:t>
      </w:r>
      <w:r>
        <w:tab/>
        <w:t>当商誉相关资产组或者资产组组合的可回收金额低于其账面价值，且减值金额高于商誉账面价值时，应如何确认、分摊相关资产组或者资产组组合的减值？</w:t>
      </w:r>
    </w:p>
    <w:p w14:paraId="300FD3AA" w14:textId="77777777" w:rsidR="00FA0363" w:rsidRDefault="00FA0363" w:rsidP="00FA0363">
      <w:pPr>
        <w:pStyle w:val="13"/>
      </w:pPr>
      <w:r>
        <w:rPr>
          <w:rFonts w:hint="eastAsia"/>
        </w:rPr>
        <w:t>解答：按照《企业会计准则第</w:t>
      </w:r>
      <w:r>
        <w:t>8号—资产减值》的规定，在对商誉进行减值测试时，如与商誉相关的资产组或资产组组合存在减值迹象的，应先对不包含商誉的资产组或资产组组合进行减值测试，确认相应的减值损失；再对包含商誉的资产组或资产组组合进行减值测试。若包含商誉的资产组或资产组组合存在减值，应先抵减分摊</w:t>
      </w:r>
      <w:proofErr w:type="gramStart"/>
      <w:r>
        <w:t>至资产组</w:t>
      </w:r>
      <w:proofErr w:type="gramEnd"/>
      <w:r>
        <w:t>或资产组组合中商誉的账面价值；再按比例抵减其他各项资产的账面价值。抵减后的各资产的账面价值不得低于以下三者之中的最高者：该资产的公允价值减去弃置费用后的净额（如可确定的）、该资产预计未来现金流量的现值（如可确定的</w:t>
      </w:r>
      <w:r>
        <w:rPr>
          <w:rFonts w:hint="eastAsia"/>
        </w:rPr>
        <w:t>）和零。因此导致的未能分摊的减值损失金额，应当按照相关资产组中的其他各项资产的账面价值所占比重进行分摊。</w:t>
      </w:r>
    </w:p>
    <w:p w14:paraId="6A37F8F2" w14:textId="77777777" w:rsidR="00FA0363" w:rsidRDefault="00FA0363" w:rsidP="00FA0363">
      <w:pPr>
        <w:pStyle w:val="13"/>
      </w:pPr>
      <w:r>
        <w:rPr>
          <w:rFonts w:hint="eastAsia"/>
        </w:rPr>
        <w:t>按比例抵减的一般方法包括：按照各资产组或者资产组组合的公允价值</w:t>
      </w:r>
      <w:proofErr w:type="gramStart"/>
      <w:r>
        <w:rPr>
          <w:rFonts w:hint="eastAsia"/>
        </w:rPr>
        <w:t>占相关</w:t>
      </w:r>
      <w:proofErr w:type="gramEnd"/>
      <w:r>
        <w:rPr>
          <w:rFonts w:hint="eastAsia"/>
        </w:rPr>
        <w:t>资产组或者资产组组合公允价值总额的比例进行分摊。公允价值难以可靠计量的，按照各资产组或者资产组组合的账面价值</w:t>
      </w:r>
      <w:proofErr w:type="gramStart"/>
      <w:r>
        <w:rPr>
          <w:rFonts w:hint="eastAsia"/>
        </w:rPr>
        <w:t>占相关</w:t>
      </w:r>
      <w:proofErr w:type="gramEnd"/>
      <w:r>
        <w:rPr>
          <w:rFonts w:hint="eastAsia"/>
        </w:rPr>
        <w:t>资产组或者资产组组合的账面价值总额的比例进行分摊。</w:t>
      </w:r>
    </w:p>
    <w:p w14:paraId="0056541A" w14:textId="77777777" w:rsidR="00FA0363" w:rsidRDefault="00FA0363" w:rsidP="00FA0363">
      <w:pPr>
        <w:pStyle w:val="13"/>
      </w:pPr>
      <w:r>
        <w:rPr>
          <w:rFonts w:hint="eastAsia"/>
        </w:rPr>
        <w:t>但当出现以下特殊情况时，参考国际会计准则第</w:t>
      </w:r>
      <w:r>
        <w:t>36号（IAS36）“资产减值测试”可采用的方法如下：</w:t>
      </w:r>
    </w:p>
    <w:p w14:paraId="0AE52A69" w14:textId="77777777" w:rsidR="00FA0363" w:rsidRDefault="00FA0363" w:rsidP="00FA0363">
      <w:pPr>
        <w:pStyle w:val="13"/>
      </w:pPr>
      <w:r>
        <w:rPr>
          <w:rFonts w:hint="eastAsia"/>
        </w:rPr>
        <w:t>假定于</w:t>
      </w:r>
      <w:r>
        <w:t>20X8年末，对某集团商誉进行减值测试，该商誉账面价值为400万元，与商誉相关的一项固定资产账面净值为1,000万元，另一项无形资产账面净值为350万</w:t>
      </w:r>
      <w:r>
        <w:rPr>
          <w:rFonts w:hint="eastAsia"/>
        </w:rPr>
        <w:t>元，即该集团资产组（包含商誉）的账面价值合计金额为</w:t>
      </w:r>
      <w:r>
        <w:t>1,750万元。经计算，确</w:t>
      </w:r>
      <w:r>
        <w:lastRenderedPageBreak/>
        <w:t>定资产组在20X8年年末的可回收金额为1,000万元。比较资产组的账面价值与可回收金额，应确认减值损失为750万元（1,750-1,000）。</w:t>
      </w:r>
    </w:p>
    <w:p w14:paraId="1498C422" w14:textId="77777777" w:rsidR="00FA0363" w:rsidRDefault="00FA0363" w:rsidP="00FA0363">
      <w:pPr>
        <w:pStyle w:val="13"/>
      </w:pPr>
      <w:r>
        <w:rPr>
          <w:rFonts w:hint="eastAsia"/>
        </w:rPr>
        <w:t>当在对不包含商誉的资产组或资产组组合进行减值测试时，某项资产组或资产组组合并无减值迹象，则在进行商</w:t>
      </w:r>
      <w:proofErr w:type="gramStart"/>
      <w:r>
        <w:rPr>
          <w:rFonts w:hint="eastAsia"/>
        </w:rPr>
        <w:t>誉</w:t>
      </w:r>
      <w:proofErr w:type="gramEnd"/>
      <w:r>
        <w:rPr>
          <w:rFonts w:hint="eastAsia"/>
        </w:rPr>
        <w:t>减值计算时，剩余应抵减金额，不应分摊至该项资产。即，若在进行固定资产与无形资产的减值测试时，固定资产不存在减值迹象，则某集团应先分摊</w:t>
      </w:r>
      <w:r>
        <w:t>400万元为商誉减值损失，剩余350万元，确认为无形资产减值损失。</w:t>
      </w:r>
    </w:p>
    <w:p w14:paraId="43A900DE" w14:textId="77777777" w:rsidR="00FA0363" w:rsidRDefault="00FA0363" w:rsidP="00FA0363">
      <w:pPr>
        <w:pStyle w:val="13"/>
      </w:pPr>
      <w:r>
        <w:rPr>
          <w:rFonts w:hint="eastAsia"/>
        </w:rPr>
        <w:t>当在对不包含商誉的资产组或资产组组合进行减值测试时，无法单独进行可回收金额预测时，可以允许任意分配除商誉减值外的金额。</w:t>
      </w:r>
    </w:p>
    <w:p w14:paraId="45931BE7" w14:textId="77777777" w:rsidR="00FA0363" w:rsidRDefault="00FA0363" w:rsidP="00FA0363">
      <w:pPr>
        <w:pStyle w:val="13"/>
      </w:pPr>
      <w:r>
        <w:t>10.商誉所在资产组或者资产组组合</w:t>
      </w:r>
      <w:proofErr w:type="gramStart"/>
      <w:r>
        <w:t>是否含递延</w:t>
      </w:r>
      <w:proofErr w:type="gramEnd"/>
      <w:r>
        <w:t>所得税资产及有息负债？</w:t>
      </w:r>
    </w:p>
    <w:p w14:paraId="37A24795" w14:textId="77777777" w:rsidR="00FA0363" w:rsidRDefault="00FA0363" w:rsidP="00FA0363">
      <w:pPr>
        <w:pStyle w:val="13"/>
      </w:pPr>
      <w:r>
        <w:rPr>
          <w:rFonts w:hint="eastAsia"/>
        </w:rPr>
        <w:t>解答：根据《企业会计准则第</w:t>
      </w:r>
      <w:r>
        <w:t>8号—资产减值》十二条“预计资产的未来现金流量不应当包括筹资活动产生的现金流入或者流出以及与所得税收付有关的现金流量”之规定，与商誉相关的资产组或资产组组合不包括递延所得税资产/负债及有息负债。因减值测试采用的未来现金流量由资产组或资产组组合的营运资产和相关负债产生，被并购方的投资款、非经营性资产、非经营性负债及无效资产、溢</w:t>
      </w:r>
      <w:proofErr w:type="gramStart"/>
      <w:r>
        <w:t>余资产</w:t>
      </w:r>
      <w:proofErr w:type="gramEnd"/>
      <w:r>
        <w:t>亦不应包括在与商誉相关的资产组或资产组组合中。</w:t>
      </w:r>
    </w:p>
    <w:p w14:paraId="67A0F0B9" w14:textId="77777777" w:rsidR="00FA0363" w:rsidRDefault="00FA0363" w:rsidP="00FA0363">
      <w:pPr>
        <w:pStyle w:val="13"/>
      </w:pPr>
      <w:r>
        <w:t>11.商誉所在资产组或者资产组组合是否含营运资金？</w:t>
      </w:r>
    </w:p>
    <w:p w14:paraId="243FE1FE" w14:textId="77777777" w:rsidR="00FA0363" w:rsidRDefault="00FA0363" w:rsidP="00FA0363">
      <w:pPr>
        <w:pStyle w:val="13"/>
      </w:pPr>
      <w:r>
        <w:rPr>
          <w:rFonts w:hint="eastAsia"/>
        </w:rPr>
        <w:t>解答：因相关会计准则未明确商誉相关资产组或者资产组组合是否含营运资金，</w:t>
      </w:r>
      <w:r>
        <w:t>如果商誉相关资产组或者资产组组合的账面价值中包括了营运资金，那么未来现金流量的现值不需要扣除初始营运资金；反之，如果资产组或者资产组组合账面价值中不包含营运资金，未来现金流量的现值需扣除初始营运资金。</w:t>
      </w:r>
    </w:p>
    <w:p w14:paraId="41CD9F9F" w14:textId="77777777" w:rsidR="00FA0363" w:rsidRDefault="00FA0363" w:rsidP="00FA0363">
      <w:pPr>
        <w:pStyle w:val="13"/>
      </w:pPr>
      <w:r>
        <w:t>12.执行商誉减值测试评估业务时对评估专业人员有何特殊要求？</w:t>
      </w:r>
    </w:p>
    <w:p w14:paraId="18D7D2E5" w14:textId="77777777" w:rsidR="00FA0363" w:rsidRDefault="00FA0363" w:rsidP="00FA0363">
      <w:pPr>
        <w:pStyle w:val="13"/>
      </w:pPr>
      <w:r>
        <w:rPr>
          <w:rFonts w:hint="eastAsia"/>
        </w:rPr>
        <w:t>解答：根据《以财务报告为目的的评估指南》第八条，“执行以财务报告为目的的评估业务，应当与企业和执行审计业务的注册会计师进行必要的沟通，明确评估业务基本事项并充分理解会计准则或者相关会计核算、披露的具体要求。”在执行商誉减值测试这类以财务报告为目的的评估业务之前，评估专业人员首先应就评估业务的基本事项（包括评估对象和范围、评估基准日、价值类型、评估方法等）和执行审计业务的注册会计师进行必要的沟通，并达成一致意见；其次应当充分理解相关会计准则或者相关会计核算的具体要求。</w:t>
      </w:r>
    </w:p>
    <w:p w14:paraId="2AC2477A" w14:textId="77777777" w:rsidR="00FA0363" w:rsidRDefault="00FA0363" w:rsidP="00FA0363">
      <w:pPr>
        <w:pStyle w:val="13"/>
      </w:pPr>
      <w:r>
        <w:t>13.商誉减值测试资产组或资产组组合价值评估的对象能否为股东全部权益？</w:t>
      </w:r>
    </w:p>
    <w:p w14:paraId="7A3CDFB5" w14:textId="77777777" w:rsidR="00FA0363" w:rsidRDefault="00FA0363" w:rsidP="00FA0363">
      <w:pPr>
        <w:pStyle w:val="13"/>
      </w:pPr>
      <w:r>
        <w:rPr>
          <w:rFonts w:hint="eastAsia"/>
        </w:rPr>
        <w:t>解答：商誉的产生源于公司的并购，并购的对象一般是标的公司的股东全部权益或股东部分权益。在并购完成后，企业在购买</w:t>
      </w:r>
      <w:proofErr w:type="gramStart"/>
      <w:r>
        <w:rPr>
          <w:rFonts w:hint="eastAsia"/>
        </w:rPr>
        <w:t>日按照</w:t>
      </w:r>
      <w:proofErr w:type="gramEnd"/>
      <w:r>
        <w:rPr>
          <w:rFonts w:hint="eastAsia"/>
        </w:rPr>
        <w:t>合理的方法将商誉分摊</w:t>
      </w:r>
      <w:proofErr w:type="gramStart"/>
      <w:r>
        <w:rPr>
          <w:rFonts w:hint="eastAsia"/>
        </w:rPr>
        <w:t>至资产组</w:t>
      </w:r>
      <w:proofErr w:type="gramEnd"/>
      <w:r>
        <w:rPr>
          <w:rFonts w:hint="eastAsia"/>
        </w:rPr>
        <w:t>或者资产组组合，那么商誉减值测试的评估对象是与商誉相关的资产组或者资产组组合，而不是被并购公司的股东全部权益或股东部分权益。因此，商誉减值测试资产</w:t>
      </w:r>
      <w:r>
        <w:rPr>
          <w:rFonts w:hint="eastAsia"/>
        </w:rPr>
        <w:lastRenderedPageBreak/>
        <w:t>组或资产组组合价值评估的对象并不是股东全部权益或股东部分权益。</w:t>
      </w:r>
    </w:p>
    <w:p w14:paraId="0C5F16C9" w14:textId="77777777" w:rsidR="00FA0363" w:rsidRDefault="00FA0363" w:rsidP="00FA0363">
      <w:pPr>
        <w:pStyle w:val="13"/>
      </w:pPr>
      <w:r>
        <w:rPr>
          <w:rFonts w:hint="eastAsia"/>
        </w:rPr>
        <w:t>与商誉相关的资产组或者资产组组合具体对应的范围，管理层、注册会计师应与评估专业人员共同协商，并取得一致意见。评估专业人员可以把上述洽谈协商过程形成记录，作为商誉减值测试评估业务中评估对象和评估范围识别程序执行的底稿。</w:t>
      </w:r>
    </w:p>
    <w:p w14:paraId="36F9C7CE" w14:textId="77777777" w:rsidR="00FA0363" w:rsidRDefault="00FA0363" w:rsidP="00FA0363">
      <w:pPr>
        <w:pStyle w:val="13"/>
      </w:pPr>
      <w:r>
        <w:t>14.商誉减值测试资产组或资产组组合价值评估的评估目的如何确定？</w:t>
      </w:r>
    </w:p>
    <w:p w14:paraId="2772F8D0" w14:textId="77777777" w:rsidR="00FA0363" w:rsidRDefault="00FA0363" w:rsidP="00FA0363">
      <w:pPr>
        <w:pStyle w:val="13"/>
      </w:pPr>
      <w:r>
        <w:rPr>
          <w:rFonts w:hint="eastAsia"/>
        </w:rPr>
        <w:t>解答：该类业务的评估目的可直接定义为：商誉减值测试，不应以“管理层了解资产价值或者股东全部权益价值”等评估目的来代替，也不应以企业价值评估来代替。</w:t>
      </w:r>
    </w:p>
    <w:p w14:paraId="00C00847" w14:textId="77777777" w:rsidR="00FA0363" w:rsidRDefault="00FA0363" w:rsidP="00FA0363">
      <w:pPr>
        <w:pStyle w:val="13"/>
      </w:pPr>
      <w:r>
        <w:t>15.商誉减值测试资产组或资产组组合价值评估的价值类型如何确定？</w:t>
      </w:r>
    </w:p>
    <w:p w14:paraId="620A2E8F" w14:textId="77777777" w:rsidR="00FA0363" w:rsidRDefault="00FA0363" w:rsidP="00FA0363">
      <w:pPr>
        <w:pStyle w:val="13"/>
      </w:pPr>
      <w:r>
        <w:rPr>
          <w:rFonts w:hint="eastAsia"/>
        </w:rPr>
        <w:t>解答：根据《以财务报告为目的的评估指南》第十八条，“执行以财务报告为目的的评估业务，应当根据会计准则或者相关会计核算与披露的具体要求、评估对象等相关条件明确价值类型。会计准则规定的计量属性可以理解为相对应的评估价值类型。”</w:t>
      </w:r>
      <w:r>
        <w:t>在以商誉减值测试为目的资产评估业务中一般将价值类型定义为《企业会计准则第8</w:t>
      </w:r>
      <w:r>
        <w:rPr>
          <w:rFonts w:hint="eastAsia"/>
        </w:rPr>
        <w:t>号—资产减值》规定的可回收价值，并按照《企业会计准则第</w:t>
      </w:r>
      <w:r>
        <w:t>8号—资产减值》的要求对可回收价值进行定义。如果委托方另行约定，需符合企业会计准则且明确理由，并在评估报告中披露理由及价值类型的定义。</w:t>
      </w:r>
    </w:p>
    <w:p w14:paraId="3BA90894" w14:textId="77777777" w:rsidR="00FA0363" w:rsidRDefault="00FA0363" w:rsidP="00FA0363">
      <w:pPr>
        <w:pStyle w:val="13"/>
      </w:pPr>
      <w:r>
        <w:t>16.商誉减值测试资产组或资产组组合价值评估的基准</w:t>
      </w:r>
      <w:proofErr w:type="gramStart"/>
      <w:r>
        <w:t>日如何</w:t>
      </w:r>
      <w:proofErr w:type="gramEnd"/>
      <w:r>
        <w:t>确定？</w:t>
      </w:r>
    </w:p>
    <w:p w14:paraId="5EBAF8E5" w14:textId="77777777" w:rsidR="00FA0363" w:rsidRDefault="00FA0363" w:rsidP="00FA0363">
      <w:pPr>
        <w:pStyle w:val="13"/>
      </w:pPr>
      <w:r>
        <w:rPr>
          <w:rFonts w:hint="eastAsia"/>
        </w:rPr>
        <w:t>解答：《企业会计准则第</w:t>
      </w:r>
      <w:r>
        <w:t>8号—资产减值》第四条规定，企业应当在资产负债表</w:t>
      </w:r>
      <w:proofErr w:type="gramStart"/>
      <w:r>
        <w:t>日判断</w:t>
      </w:r>
      <w:proofErr w:type="gramEnd"/>
      <w:r>
        <w:t>资产是否存在可能发生减值的迹象。因企业合并所形成的商誉和使用寿命不确定的无形资产，无论是否存在减值迹象，每年都应当进行减值测试。</w:t>
      </w:r>
    </w:p>
    <w:p w14:paraId="45EB4EF2" w14:textId="77777777" w:rsidR="00FA0363" w:rsidRDefault="00FA0363" w:rsidP="00FA0363">
      <w:pPr>
        <w:pStyle w:val="13"/>
      </w:pPr>
      <w:r>
        <w:rPr>
          <w:rFonts w:hint="eastAsia"/>
        </w:rPr>
        <w:t>此类业务的评估基准日为商誉减值测试日，确定依据主要为所服务的财务报告，</w:t>
      </w:r>
      <w:r>
        <w:t>故基准</w:t>
      </w:r>
      <w:proofErr w:type="gramStart"/>
      <w:r>
        <w:t>日一般</w:t>
      </w:r>
      <w:proofErr w:type="gramEnd"/>
      <w:r>
        <w:t>为资产负债表日。</w:t>
      </w:r>
    </w:p>
    <w:p w14:paraId="6F406703" w14:textId="77777777" w:rsidR="00FA0363" w:rsidRDefault="00FA0363" w:rsidP="00FA0363">
      <w:pPr>
        <w:pStyle w:val="13"/>
      </w:pPr>
      <w:r>
        <w:t>17.商誉减值测试资产组或资产组组合价值评估方法的确定应关注哪些事项？</w:t>
      </w:r>
    </w:p>
    <w:p w14:paraId="14BCDAC6" w14:textId="77777777" w:rsidR="00FA0363" w:rsidRDefault="00FA0363" w:rsidP="00FA0363">
      <w:pPr>
        <w:pStyle w:val="13"/>
      </w:pPr>
      <w:r>
        <w:rPr>
          <w:rFonts w:hint="eastAsia"/>
        </w:rPr>
        <w:t>解答：商誉减值测试评估方法需依据《以财务报告为目的的评估指南》及会计准则的相关规定进行确定。首次进行商</w:t>
      </w:r>
      <w:proofErr w:type="gramStart"/>
      <w:r>
        <w:rPr>
          <w:rFonts w:hint="eastAsia"/>
        </w:rPr>
        <w:t>誉</w:t>
      </w:r>
      <w:proofErr w:type="gramEnd"/>
      <w:r>
        <w:rPr>
          <w:rFonts w:hint="eastAsia"/>
        </w:rPr>
        <w:t>减值测试评估时应根据会计准则要求、市场条件和资料收集情况，选择恰当的评估方法。后续期间商誉减值测试的评估方法应与首次减值测试评估方法保持一致，除非有证据显示变更新的评估方法所得出的评估结论更具代表性，或原有的评估方法不再适用。</w:t>
      </w:r>
    </w:p>
    <w:p w14:paraId="2C219AFF" w14:textId="77777777" w:rsidR="00FA0363" w:rsidRDefault="00FA0363" w:rsidP="00FA0363">
      <w:pPr>
        <w:pStyle w:val="13"/>
      </w:pPr>
      <w:r>
        <w:t>18.采用预计未来现金净流量的现值估计可收回金额，在现金流量预测过程中，对于管理层提供的财务预算或者预测数据（包括但不限于销量、价格、成本、费用、预测期增长率），应如何判断其合理性？</w:t>
      </w:r>
    </w:p>
    <w:p w14:paraId="204403E7" w14:textId="77777777" w:rsidR="00FA0363" w:rsidRDefault="00FA0363" w:rsidP="00FA0363">
      <w:pPr>
        <w:pStyle w:val="13"/>
      </w:pPr>
      <w:r>
        <w:rPr>
          <w:rFonts w:hint="eastAsia"/>
        </w:rPr>
        <w:t>解答：（</w:t>
      </w:r>
      <w:r>
        <w:t>1）应关注本期减值测试取得的预测数据与形成商誉及以前年度减值测试的预测数据是否存在重大差异，</w:t>
      </w:r>
      <w:proofErr w:type="gramStart"/>
      <w:r>
        <w:t>若明显</w:t>
      </w:r>
      <w:proofErr w:type="gramEnd"/>
      <w:r>
        <w:t>不一致，应核查其原因。</w:t>
      </w:r>
    </w:p>
    <w:p w14:paraId="6C567188" w14:textId="77777777" w:rsidR="00FA0363" w:rsidRDefault="00FA0363" w:rsidP="00FA0363">
      <w:pPr>
        <w:pStyle w:val="13"/>
      </w:pPr>
      <w:r>
        <w:rPr>
          <w:rFonts w:hint="eastAsia"/>
        </w:rPr>
        <w:t>（</w:t>
      </w:r>
      <w:r>
        <w:t>2）应尽可能取得形成商誉时或以前年度商誉减值测试时的预测数据，并关注</w:t>
      </w:r>
      <w:r>
        <w:lastRenderedPageBreak/>
        <w:t>其与期后实际经营情况之间是否存在重大差异，分析导致差异的主要因素，判断在本期商誉减值测试时取得的预测数据是否已充分考虑了相关因素的影响。</w:t>
      </w:r>
    </w:p>
    <w:p w14:paraId="4B4E6C96" w14:textId="77777777" w:rsidR="00FA0363" w:rsidRDefault="00FA0363" w:rsidP="00FA0363">
      <w:pPr>
        <w:pStyle w:val="13"/>
      </w:pPr>
      <w:r>
        <w:rPr>
          <w:rFonts w:hint="eastAsia"/>
        </w:rPr>
        <w:t>（</w:t>
      </w:r>
      <w:r>
        <w:t>3）应充分关注是否存在行业产能过剩、相关政策发生明显不利变化、市场竞争程度明显加剧、相关技术已升级换代、产品及服务已被模仿、核心团队发生明显不利变化、行政许可或特许经营放开等减值迹象，本期减值测试取得的预测数据是否已充分考虑上述因素影响。</w:t>
      </w:r>
    </w:p>
    <w:p w14:paraId="1AA88BD7" w14:textId="77777777" w:rsidR="00FA0363" w:rsidRDefault="00FA0363" w:rsidP="00FA0363">
      <w:pPr>
        <w:pStyle w:val="13"/>
      </w:pPr>
      <w:r>
        <w:rPr>
          <w:rFonts w:hint="eastAsia"/>
        </w:rPr>
        <w:t>（</w:t>
      </w:r>
      <w:r>
        <w:t>4）应尽量搜集与资产组或资产组组合相关的战略发展规划、商业计划，以及在手合同订单，获得预测数据的支持资料，并且分析预测数据是否与历史数据、资产组或资产组组合产能、生产现状、商业计划、行业数据、宏观经济运行状况等相符；</w:t>
      </w:r>
      <w:proofErr w:type="gramStart"/>
      <w:r>
        <w:t>若明显</w:t>
      </w:r>
      <w:proofErr w:type="gramEnd"/>
      <w:r>
        <w:t>不符的，应提请委托人或资产组或资产组组合经营管理</w:t>
      </w:r>
      <w:proofErr w:type="gramStart"/>
      <w:r>
        <w:t>方调整</w:t>
      </w:r>
      <w:proofErr w:type="gramEnd"/>
      <w:r>
        <w:t>并重新提供预测数</w:t>
      </w:r>
      <w:r>
        <w:rPr>
          <w:rFonts w:hint="eastAsia"/>
        </w:rPr>
        <w:t>据。</w:t>
      </w:r>
    </w:p>
    <w:p w14:paraId="4F09664F" w14:textId="77777777" w:rsidR="00FA0363" w:rsidRDefault="00FA0363" w:rsidP="00FA0363">
      <w:pPr>
        <w:pStyle w:val="13"/>
      </w:pPr>
      <w:r>
        <w:rPr>
          <w:rFonts w:hint="eastAsia"/>
        </w:rPr>
        <w:t>（</w:t>
      </w:r>
      <w:r>
        <w:t>5）与预测相关的重大假设是否与可获取的内部、外部信息相符，在不符时是否</w:t>
      </w:r>
      <w:r>
        <w:rPr>
          <w:rFonts w:hint="eastAsia"/>
        </w:rPr>
        <w:t>有合理理由支持。</w:t>
      </w:r>
    </w:p>
    <w:p w14:paraId="36A6CF2C" w14:textId="77777777" w:rsidR="00FA0363" w:rsidRDefault="00FA0363" w:rsidP="00FA0363">
      <w:pPr>
        <w:pStyle w:val="13"/>
      </w:pPr>
      <w:r>
        <w:t>19.商誉减值测试在预计资产未来现金流量时应当考虑的主要因素有哪些？解答：</w:t>
      </w:r>
    </w:p>
    <w:p w14:paraId="3866A918" w14:textId="77777777" w:rsidR="00FA0363" w:rsidRDefault="00FA0363" w:rsidP="00FA0363">
      <w:pPr>
        <w:pStyle w:val="13"/>
      </w:pPr>
      <w:r>
        <w:rPr>
          <w:rFonts w:hint="eastAsia"/>
        </w:rPr>
        <w:t>（</w:t>
      </w:r>
      <w:r>
        <w:t>1）预计资产组或资产组组合的未来现金流量不应当包括筹资活动产生的现金流入或者流出，以及与所得税收</w:t>
      </w:r>
      <w:proofErr w:type="gramStart"/>
      <w:r>
        <w:t>付有关</w:t>
      </w:r>
      <w:proofErr w:type="gramEnd"/>
      <w:r>
        <w:t>的现金流量。</w:t>
      </w:r>
    </w:p>
    <w:p w14:paraId="5571DCF4" w14:textId="77777777" w:rsidR="00FA0363" w:rsidRDefault="00FA0363" w:rsidP="00FA0363">
      <w:pPr>
        <w:pStyle w:val="13"/>
      </w:pPr>
      <w:r>
        <w:rPr>
          <w:rFonts w:hint="eastAsia"/>
        </w:rPr>
        <w:t>（</w:t>
      </w:r>
      <w:r>
        <w:t>2）</w:t>
      </w:r>
      <w:proofErr w:type="gramStart"/>
      <w:r>
        <w:t>若资产组</w:t>
      </w:r>
      <w:proofErr w:type="gramEnd"/>
      <w:r>
        <w:t>或资产组组合账面价值不包含营运资金，应从未来现金流量现值中扣除期初营运资金需求额。</w:t>
      </w:r>
    </w:p>
    <w:p w14:paraId="0C365150" w14:textId="77777777" w:rsidR="00FA0363" w:rsidRDefault="00FA0363" w:rsidP="00FA0363">
      <w:pPr>
        <w:pStyle w:val="13"/>
      </w:pPr>
      <w:r>
        <w:rPr>
          <w:rFonts w:hint="eastAsia"/>
        </w:rPr>
        <w:t>（</w:t>
      </w:r>
      <w:r>
        <w:t>3）预计资产未来现金流量和折现率，应当在一致的基础上考虑因一般通货膨胀而导致物价上涨等因素的影响。如果折现率考虑了这一影响因素，资产预计未来现金流量也应当考虑；折现率没有考虑这一影响因素的，预计未来现金流量则不予考虑。</w:t>
      </w:r>
    </w:p>
    <w:p w14:paraId="1ADA2748" w14:textId="77777777" w:rsidR="00FA0363" w:rsidRDefault="00FA0363" w:rsidP="00FA0363">
      <w:pPr>
        <w:pStyle w:val="13"/>
      </w:pPr>
      <w:r>
        <w:rPr>
          <w:rFonts w:hint="eastAsia"/>
        </w:rPr>
        <w:t>（</w:t>
      </w:r>
      <w:r>
        <w:t>4）预计资产未来现金流量应当分析以前期间现金流量预计数与实际数的差异情况，以评判预计当期现金流量所依据的假设的合理性。通常应当确保当期预计现金流量所依据假设与前期实际结果相一致。</w:t>
      </w:r>
    </w:p>
    <w:p w14:paraId="3E21B7FE" w14:textId="77777777" w:rsidR="00FA0363" w:rsidRDefault="00FA0363" w:rsidP="00FA0363">
      <w:pPr>
        <w:pStyle w:val="13"/>
      </w:pPr>
      <w:r>
        <w:rPr>
          <w:rFonts w:hint="eastAsia"/>
        </w:rPr>
        <w:t>（</w:t>
      </w:r>
      <w:r>
        <w:t>5）预计资产未来现金流量应当以资产的当前状况为基础，不应包括与将来可能会发生的、尚未</w:t>
      </w:r>
      <w:proofErr w:type="gramStart"/>
      <w:r>
        <w:t>作出</w:t>
      </w:r>
      <w:proofErr w:type="gramEnd"/>
      <w:r>
        <w:t>承诺的重组事项有关或者与资产改良有关的预计未来现金流量。未来发生的现金流出是为了维持资产正常运转或者原定正常产出水平所必需的，预计资产未来现金流量时应当将其考虑在内。</w:t>
      </w:r>
    </w:p>
    <w:p w14:paraId="2E9C6603" w14:textId="77777777" w:rsidR="00FA0363" w:rsidRDefault="00FA0363" w:rsidP="00FA0363">
      <w:pPr>
        <w:pStyle w:val="13"/>
      </w:pPr>
      <w:r>
        <w:rPr>
          <w:rFonts w:hint="eastAsia"/>
        </w:rPr>
        <w:t>（</w:t>
      </w:r>
      <w:r>
        <w:t>6）预计在建工程、开发过程中的无形资产等的未来现金流量，应当包括预期为使该资产达到预定可使用或可销售状态而发生的全部现金流出,但不应扣除已确认的应付工程款、设备款等负债金额。</w:t>
      </w:r>
    </w:p>
    <w:p w14:paraId="410259A8" w14:textId="77777777" w:rsidR="00FA0363" w:rsidRDefault="00FA0363" w:rsidP="00FA0363">
      <w:pPr>
        <w:pStyle w:val="13"/>
      </w:pPr>
      <w:r>
        <w:rPr>
          <w:rFonts w:hint="eastAsia"/>
        </w:rPr>
        <w:t>（</w:t>
      </w:r>
      <w:r>
        <w:t>7）资产的未来现金流量受内部转移价格影响的，应当采用在公平交易前提下</w:t>
      </w:r>
      <w:r>
        <w:lastRenderedPageBreak/>
        <w:t>企业管理层能够达成的</w:t>
      </w:r>
      <w:proofErr w:type="gramStart"/>
      <w:r>
        <w:t>最佳价格</w:t>
      </w:r>
      <w:proofErr w:type="gramEnd"/>
      <w:r>
        <w:t>估计数进行预计。</w:t>
      </w:r>
    </w:p>
    <w:p w14:paraId="12365056" w14:textId="77777777" w:rsidR="00FA0363" w:rsidRDefault="00FA0363" w:rsidP="00FA0363">
      <w:pPr>
        <w:pStyle w:val="13"/>
      </w:pPr>
      <w:r>
        <w:rPr>
          <w:rFonts w:hint="eastAsia"/>
        </w:rPr>
        <w:t>（</w:t>
      </w:r>
      <w:r>
        <w:t>8）预计资产的未来现金流量应当以经企业管理层批准的最近财务预算或者预测数据，以及该预算或者预测期之后年份稳定的或者递减的增长率为基础。企业管理层如能证明递增的增长率是合理的，可以以递增的增长率为基础。</w:t>
      </w:r>
    </w:p>
    <w:p w14:paraId="48B49F99" w14:textId="77777777" w:rsidR="00FA0363" w:rsidRDefault="00FA0363" w:rsidP="00FA0363">
      <w:pPr>
        <w:pStyle w:val="13"/>
      </w:pPr>
      <w:r>
        <w:rPr>
          <w:rFonts w:hint="eastAsia"/>
        </w:rPr>
        <w:t>在对预算或者预测期之后年份的现金流量进行预计时，所使用的增长率除了企业能够证明更高的增长率是合理的之外，不应当超过企业经营的产品、市场、所处的行业或者所在国家或者地区的长期平均增长率，或者该资产所处市场的长期平均增长率。</w:t>
      </w:r>
    </w:p>
    <w:p w14:paraId="545B9ECD" w14:textId="77777777" w:rsidR="00FA0363" w:rsidRDefault="00FA0363" w:rsidP="00FA0363">
      <w:pPr>
        <w:pStyle w:val="13"/>
      </w:pPr>
      <w:r>
        <w:t>20.商誉减值测试未来现金流的预测期和收益期如何确定，永续期的固定资产更新</w:t>
      </w:r>
      <w:r>
        <w:rPr>
          <w:rFonts w:hint="eastAsia"/>
        </w:rPr>
        <w:t>支出应如何考虑？</w:t>
      </w:r>
    </w:p>
    <w:p w14:paraId="59E7FFBA" w14:textId="77777777" w:rsidR="00FA0363" w:rsidRDefault="00FA0363" w:rsidP="00FA0363">
      <w:pPr>
        <w:pStyle w:val="13"/>
      </w:pPr>
      <w:r>
        <w:rPr>
          <w:rFonts w:hint="eastAsia"/>
        </w:rPr>
        <w:t>解答：预测</w:t>
      </w:r>
      <w:proofErr w:type="gramStart"/>
      <w:r>
        <w:rPr>
          <w:rFonts w:hint="eastAsia"/>
        </w:rPr>
        <w:t>期建立</w:t>
      </w:r>
      <w:proofErr w:type="gramEnd"/>
      <w:r>
        <w:rPr>
          <w:rFonts w:hint="eastAsia"/>
        </w:rPr>
        <w:t>在预算或者预测基础上的预计现金流量最多涵盖</w:t>
      </w:r>
      <w:r>
        <w:t>5年，企业管理层如能证明更长的期间是合理的，可以涵盖更长的期间。对于含商誉的资产组或者资产组组合来说，除部分特殊行业存在许可经营期限限制等情况，收益期一般情况下指永续年限。</w:t>
      </w:r>
    </w:p>
    <w:p w14:paraId="344A79EF" w14:textId="77777777" w:rsidR="00FA0363" w:rsidRDefault="00FA0363" w:rsidP="00FA0363">
      <w:pPr>
        <w:pStyle w:val="13"/>
      </w:pPr>
      <w:r>
        <w:rPr>
          <w:rFonts w:hint="eastAsia"/>
        </w:rPr>
        <w:t>按照《企业会计准则第</w:t>
      </w:r>
      <w:r>
        <w:t>8号—资产减值》第十一条，预计资产未来现金流量时，企业管理层应当在合理和有依据的基础上对资产剩余使用寿命内整个经济状况进行最佳估计。</w:t>
      </w:r>
    </w:p>
    <w:p w14:paraId="283486DD" w14:textId="77777777" w:rsidR="00FA0363" w:rsidRDefault="00FA0363" w:rsidP="00FA0363">
      <w:pPr>
        <w:pStyle w:val="13"/>
      </w:pPr>
      <w:r>
        <w:rPr>
          <w:rFonts w:hint="eastAsia"/>
        </w:rPr>
        <w:t>商誉减值测试的对象是包含商誉的资产组或资产组组合，因商誉没有特定期限的使用寿命，因此将分摊了商誉的资产组或资产组组合中相关资产的更新改造支出都视为是商誉的维持性支出，同时会假设存在永续阶段，即不再需要考虑相关资产的处置价值。这并不违反会计准则的上述规定。如果减值测试的对象是不包含商誉的资产或资产组，则应当不考虑相关资产未来的更新改造支出，并且应当考虑资产使用寿命结束时的处置价值。</w:t>
      </w:r>
    </w:p>
    <w:p w14:paraId="0226993E" w14:textId="77777777" w:rsidR="00FA0363" w:rsidRDefault="00FA0363" w:rsidP="00FA0363">
      <w:pPr>
        <w:pStyle w:val="13"/>
      </w:pPr>
      <w:r>
        <w:t>21.商誉减值测试中折现率的确定途径有哪些？</w:t>
      </w:r>
    </w:p>
    <w:p w14:paraId="1DD1818B" w14:textId="77777777" w:rsidR="00FA0363" w:rsidRDefault="00FA0363" w:rsidP="00FA0363">
      <w:pPr>
        <w:pStyle w:val="13"/>
      </w:pPr>
      <w:r>
        <w:rPr>
          <w:rFonts w:hint="eastAsia"/>
        </w:rPr>
        <w:t>解答：根据《企业会计准则第</w:t>
      </w:r>
      <w:r>
        <w:t>8号—资产减值》第十三条，折现率是反映当前市场货币时间价值和资产特定风险的税前利率。该折现率是企业在购置或者投资资产时所要求的必要报酬率。在预计资产的未来现金流量时已经对资产特定风险的影响作了调整的，估计折现率不需要考虑这些特定风险。如果用于估计折现率的基础是税后的，应当将其调整为税前的折现率。确定折现率时，应关注是否与相应的宏观、行业、地域、特定市场、特定市场主体的风险因素相匹配，是否与未来现金净流量均一致采用税前口径。如果在预计资产的未来现金流量时，已经对资产特定风险的影响</w:t>
      </w:r>
      <w:r>
        <w:rPr>
          <w:rFonts w:hint="eastAsia"/>
        </w:rPr>
        <w:t>做了调整的，折现率的估计不需要考虑这些特定风险。</w:t>
      </w:r>
    </w:p>
    <w:p w14:paraId="096376D0" w14:textId="77777777" w:rsidR="00FA0363" w:rsidRDefault="00FA0363" w:rsidP="00FA0363">
      <w:pPr>
        <w:pStyle w:val="13"/>
      </w:pPr>
      <w:r>
        <w:rPr>
          <w:rFonts w:hint="eastAsia"/>
        </w:rPr>
        <w:t>根据《企业会计准则第</w:t>
      </w:r>
      <w:r>
        <w:t>8号—资产减值》应用指南，折现率的确定通常应当以</w:t>
      </w:r>
      <w:r>
        <w:rPr>
          <w:rFonts w:hint="eastAsia"/>
        </w:rPr>
        <w:t>该资产的市场利率为依据。无法从市场获得的，可以使用替代利率估计折现率。</w:t>
      </w:r>
    </w:p>
    <w:p w14:paraId="47D1AE5A" w14:textId="77777777" w:rsidR="00FA0363" w:rsidRDefault="00FA0363" w:rsidP="00FA0363">
      <w:pPr>
        <w:pStyle w:val="13"/>
      </w:pPr>
      <w:r>
        <w:rPr>
          <w:rFonts w:hint="eastAsia"/>
        </w:rPr>
        <w:lastRenderedPageBreak/>
        <w:t>替代利率可以根据加权平均资金成本、增量借款利率或者其他相关市场借款利率作适当调整后确定。调整时，应当考虑与资产预计未来现金流量有关的特定风险以及其他有关货币风险和价格风险等。</w:t>
      </w:r>
    </w:p>
    <w:p w14:paraId="521A93A7" w14:textId="77777777" w:rsidR="00FA0363" w:rsidRDefault="00FA0363" w:rsidP="00FA0363">
      <w:pPr>
        <w:pStyle w:val="13"/>
      </w:pPr>
      <w:r>
        <w:rPr>
          <w:rFonts w:hint="eastAsia"/>
        </w:rPr>
        <w:t>估计资产未来现金流量现值时，通常应当使用单一的折现率；资产未来现金流量的现值对未来不同期间的风险差异或者利率的期限结构反应敏感的，应当使用不同的折现率。</w:t>
      </w:r>
    </w:p>
    <w:p w14:paraId="609F4927" w14:textId="77777777" w:rsidR="00FA0363" w:rsidRDefault="00FA0363" w:rsidP="00FA0363">
      <w:pPr>
        <w:pStyle w:val="13"/>
      </w:pPr>
      <w:r>
        <w:rPr>
          <w:rFonts w:hint="eastAsia"/>
        </w:rPr>
        <w:t>折现率的确定途径可以参考以下几种：</w:t>
      </w:r>
    </w:p>
    <w:p w14:paraId="59C6550D" w14:textId="77777777" w:rsidR="00FA0363" w:rsidRDefault="00FA0363" w:rsidP="00FA0363">
      <w:pPr>
        <w:pStyle w:val="13"/>
      </w:pPr>
      <w:r>
        <w:rPr>
          <w:rFonts w:hint="eastAsia"/>
        </w:rPr>
        <w:t>（</w:t>
      </w:r>
      <w:r>
        <w:t>1）以该资产的市场利率为依据，参考类似资产的税前收益率，即通过可比公司的收益率调整得到。具体直接将可比公司收益率剔除所得税的影响，并通过比较两者差异调整测算出税前折现率。</w:t>
      </w:r>
    </w:p>
    <w:p w14:paraId="28B9C58A" w14:textId="77777777" w:rsidR="00FA0363" w:rsidRDefault="00FA0363" w:rsidP="00FA0363">
      <w:pPr>
        <w:pStyle w:val="13"/>
      </w:pPr>
      <w:r>
        <w:rPr>
          <w:rFonts w:hint="eastAsia"/>
        </w:rPr>
        <w:t>（</w:t>
      </w:r>
      <w:r>
        <w:t>2）无法从市场获得的，可以使用替代利率估计折现率，采用替代利率加权平均成本模型（WACC）计算折现率，将税后折现率调整为税前折现率。通常税前折现率并不一定等于税后折现率除以（1-T（所得税率））。采用</w:t>
      </w:r>
      <w:proofErr w:type="gramStart"/>
      <w:r>
        <w:t>该途径</w:t>
      </w:r>
      <w:proofErr w:type="gramEnd"/>
      <w:r>
        <w:t>时应该比较一下税前税后折现率与相应现金流折算出的现值是否存在重大差异，并判断采用折现率的合理</w:t>
      </w:r>
      <w:r>
        <w:rPr>
          <w:rFonts w:hint="eastAsia"/>
        </w:rPr>
        <w:t>性。</w:t>
      </w:r>
    </w:p>
    <w:p w14:paraId="79DC1599" w14:textId="77777777" w:rsidR="00FA0363" w:rsidRDefault="00FA0363" w:rsidP="00FA0363">
      <w:pPr>
        <w:pStyle w:val="13"/>
      </w:pPr>
      <w:r>
        <w:rPr>
          <w:rFonts w:hint="eastAsia"/>
        </w:rPr>
        <w:t>（</w:t>
      </w:r>
      <w:r>
        <w:t>3）从理论上来说，采用税后折现率根据税后现金流量的折现结果与采用税前折</w:t>
      </w:r>
      <w:r>
        <w:rPr>
          <w:rFonts w:hint="eastAsia"/>
        </w:rPr>
        <w:t>现率根据税前现金流量的折现结果应该一致。因此，根据税后现金流量的折现结果与税前现金流量测算出的税前折现率，也是计算税前折现率的一个有效途径。</w:t>
      </w:r>
    </w:p>
    <w:p w14:paraId="0B357FF4" w14:textId="77777777" w:rsidR="00FA0363" w:rsidRDefault="00FA0363" w:rsidP="00FA0363">
      <w:pPr>
        <w:pStyle w:val="13"/>
      </w:pPr>
      <w:r>
        <w:rPr>
          <w:rFonts w:hint="eastAsia"/>
        </w:rPr>
        <w:t>（</w:t>
      </w:r>
      <w:r>
        <w:t>4）替代利率也可以根据其他相关市场借款利率作适当调整后确定。调整时，应当考虑与资产预计未来现金流量有关的特定风险以及其他有关货币风险和价格风险</w:t>
      </w:r>
      <w:r>
        <w:rPr>
          <w:rFonts w:hint="eastAsia"/>
        </w:rPr>
        <w:t>等。</w:t>
      </w:r>
    </w:p>
    <w:p w14:paraId="1E7A6060" w14:textId="77777777" w:rsidR="00FA0363" w:rsidRDefault="00FA0363" w:rsidP="00FA0363">
      <w:pPr>
        <w:pStyle w:val="13"/>
      </w:pPr>
      <w:r>
        <w:t>22.采用资产的公允价值减去处置费用后的净额估计可收回金额时，处置费用一般</w:t>
      </w:r>
      <w:r>
        <w:rPr>
          <w:rFonts w:hint="eastAsia"/>
        </w:rPr>
        <w:t>包括哪些内容？</w:t>
      </w:r>
    </w:p>
    <w:p w14:paraId="57D00735" w14:textId="77777777" w:rsidR="00FA0363" w:rsidRDefault="00FA0363" w:rsidP="00FA0363">
      <w:pPr>
        <w:pStyle w:val="13"/>
      </w:pPr>
      <w:r>
        <w:rPr>
          <w:rFonts w:hint="eastAsia"/>
        </w:rPr>
        <w:t>解答：资产的处置费用包括与资产处置有关的法律费用、相关税费、搬运费以及为使资产达到可销售状态所发生的直接费用等。</w:t>
      </w:r>
    </w:p>
    <w:p w14:paraId="62B16F44" w14:textId="77777777" w:rsidR="00FA0363" w:rsidRDefault="00FA0363" w:rsidP="00FA0363">
      <w:pPr>
        <w:pStyle w:val="13"/>
      </w:pPr>
      <w:r>
        <w:t>23.采用资产的公允价值减去处置费用后的净额估计可收回金额时，公允价值是否可以采用预计未来现金流量的现值？公允价值是否完全等同于评估中的市场价值？</w:t>
      </w:r>
    </w:p>
    <w:p w14:paraId="4C067CF0" w14:textId="77777777" w:rsidR="00FA0363" w:rsidRDefault="00FA0363" w:rsidP="00FA0363">
      <w:pPr>
        <w:pStyle w:val="13"/>
      </w:pPr>
      <w:r>
        <w:rPr>
          <w:rFonts w:hint="eastAsia"/>
        </w:rPr>
        <w:t>解答：根据《企业会计准则第</w:t>
      </w:r>
      <w:r>
        <w:t>8号—资产减值》第八条，资产的公允价值减去处置费用后的净额，应当根据公平交易中销售协议价格减去可直接归属于该资产处置费用的金额确定。不存在销售协议但存在资产活跃市场的，应当按照该资产的市场价格减去处置费用后的金额确定。资产的市场价格通常应当根据资产的买方出价确定。在不存在销售协议和资产活跃市场的情况下，应当以可获取的最佳信息为基础，估计资产的公允价值减去处置费用后的净额，该净额可以参考同行业类似资产的最近交易价格或者结果进行估计。企业按照上述规定仍然无法可靠估计资产的公允价值减</w:t>
      </w:r>
      <w:r>
        <w:lastRenderedPageBreak/>
        <w:t>去</w:t>
      </w:r>
      <w:r>
        <w:rPr>
          <w:rFonts w:hint="eastAsia"/>
        </w:rPr>
        <w:t>处置费用后的净额的，应当以该资产预计未来现金流量的现值作为其可收回金额。</w:t>
      </w:r>
    </w:p>
    <w:p w14:paraId="2FF3D8FB" w14:textId="77777777" w:rsidR="00FA0363" w:rsidRDefault="00FA0363" w:rsidP="00FA0363">
      <w:pPr>
        <w:pStyle w:val="13"/>
      </w:pPr>
      <w:r>
        <w:rPr>
          <w:rFonts w:hint="eastAsia"/>
        </w:rPr>
        <w:t>因此，采用净额计算可回收金额中资产的市场价格并不等同于完全的市场价值，</w:t>
      </w:r>
      <w:r>
        <w:t>采用的市场价格通常是指买方价格。也不存在采用资产预计未来现金流量的现值估算公允价值再减去处置费用估算净额的情况。</w:t>
      </w:r>
    </w:p>
    <w:p w14:paraId="38D7EE33" w14:textId="77777777" w:rsidR="00FA0363" w:rsidRDefault="00FA0363" w:rsidP="00FA0363">
      <w:pPr>
        <w:pStyle w:val="13"/>
      </w:pPr>
      <w:r>
        <w:rPr>
          <w:rFonts w:hint="eastAsia"/>
        </w:rPr>
        <w:t>当商誉所在资产组或资产组组合包含土地使用权、房屋建筑物等资产时，应充分关注相关资产组或资产组组合的公允价值确定是否合理，避免未合理确定土地使用权或房屋建筑物的公允价值从而规避商誉减值的情形。</w:t>
      </w:r>
    </w:p>
    <w:p w14:paraId="4ED9EC46" w14:textId="77777777" w:rsidR="00FA0363" w:rsidRDefault="00FA0363" w:rsidP="00FA0363">
      <w:pPr>
        <w:pStyle w:val="13"/>
      </w:pPr>
      <w:r>
        <w:t>24.对上市公司的多个特定现金产出单位进行商</w:t>
      </w:r>
      <w:proofErr w:type="gramStart"/>
      <w:r>
        <w:t>誉</w:t>
      </w:r>
      <w:proofErr w:type="gramEnd"/>
      <w:r>
        <w:t>减值测试时，如何判断整体合理</w:t>
      </w:r>
      <w:r>
        <w:rPr>
          <w:rFonts w:hint="eastAsia"/>
        </w:rPr>
        <w:t>性？</w:t>
      </w:r>
    </w:p>
    <w:p w14:paraId="194A19CA" w14:textId="77777777" w:rsidR="00FA0363" w:rsidRDefault="00FA0363" w:rsidP="00FA0363">
      <w:pPr>
        <w:pStyle w:val="13"/>
      </w:pPr>
      <w:r>
        <w:rPr>
          <w:rFonts w:hint="eastAsia"/>
        </w:rPr>
        <w:t>解答：对上市公司的多个特定现金产出单位进行商</w:t>
      </w:r>
      <w:proofErr w:type="gramStart"/>
      <w:r>
        <w:rPr>
          <w:rFonts w:hint="eastAsia"/>
        </w:rPr>
        <w:t>誉</w:t>
      </w:r>
      <w:proofErr w:type="gramEnd"/>
      <w:r>
        <w:rPr>
          <w:rFonts w:hint="eastAsia"/>
        </w:rPr>
        <w:t>减值测试时，应获取评估基准日的上市公司市值，对现金产出单位的在用价值计算结果进行整体合理性测试。</w:t>
      </w:r>
      <w:r>
        <w:t>即，对商誉进行减值测试时，当有关资产组或资产组组合的在用价值是其上市公司的主要贡献部分时，其与其他净资产的公允价值或账面价值之和应与上市公司整体市值相近。因此，测算商誉所在资产组或资产组组合现金流现值时使用的折现率，应当选取不小于上市公司整体股权价值等于上市公司市值时的折现率。</w:t>
      </w:r>
    </w:p>
    <w:p w14:paraId="4ACC247D" w14:textId="77777777" w:rsidR="00FA0363" w:rsidRDefault="00FA0363" w:rsidP="00FA0363">
      <w:pPr>
        <w:pStyle w:val="13"/>
      </w:pPr>
      <w:r>
        <w:t>25.商誉减值测试中，如何对资产组或者资产组组合进行现场调查与核查验证？解答：（1）对于与资产组或者资产组组合涉及的相关资产的核查，应合理利用观</w:t>
      </w:r>
    </w:p>
    <w:p w14:paraId="14A09B8A" w14:textId="77777777" w:rsidR="00FA0363" w:rsidRDefault="00FA0363" w:rsidP="00FA0363">
      <w:pPr>
        <w:pStyle w:val="13"/>
      </w:pPr>
      <w:r>
        <w:rPr>
          <w:rFonts w:hint="eastAsia"/>
        </w:rPr>
        <w:t>察、询问、访谈、核对、函证、监盘、勘查、书面审查、实地调查等手段，充分关注法律、物理、技术与经济等具体特征。</w:t>
      </w:r>
    </w:p>
    <w:p w14:paraId="707BC596" w14:textId="77777777" w:rsidR="00FA0363" w:rsidRDefault="00FA0363" w:rsidP="00FA0363">
      <w:pPr>
        <w:pStyle w:val="13"/>
      </w:pPr>
      <w:r>
        <w:rPr>
          <w:rFonts w:hint="eastAsia"/>
        </w:rPr>
        <w:t>（</w:t>
      </w:r>
      <w:r>
        <w:t>2）关注其与商誉初始确认时的资产组或者资产组组合的一致性；若不一致，对于资产组或资产组组合调整的事项应经管理层、注册会计师确认。</w:t>
      </w:r>
    </w:p>
    <w:p w14:paraId="5757FE22" w14:textId="77777777" w:rsidR="00FA0363" w:rsidRDefault="00FA0363" w:rsidP="00FA0363">
      <w:pPr>
        <w:pStyle w:val="13"/>
      </w:pPr>
      <w:r>
        <w:t>26.商誉减值测试中，如何对管理层提供的财务预算与预测数据进行核查？</w:t>
      </w:r>
    </w:p>
    <w:p w14:paraId="65BD34E4" w14:textId="77777777" w:rsidR="00FA0363" w:rsidRDefault="00FA0363" w:rsidP="00FA0363">
      <w:pPr>
        <w:pStyle w:val="13"/>
      </w:pPr>
      <w:r>
        <w:rPr>
          <w:rFonts w:hint="eastAsia"/>
        </w:rPr>
        <w:t>解答：（</w:t>
      </w:r>
      <w:r>
        <w:t>1）应充分了解商誉所在资产组或资产组组合所处的宏观经济环境、行业发展趋势、市场容量和竞争状况、地域因素等外部环境信息及公司产能、生产现状、在手合同及订单、商业计划等内部经营信息，并评价其与委托人提供的财务预算或预测数据的一致性。</w:t>
      </w:r>
    </w:p>
    <w:p w14:paraId="26A3072A" w14:textId="77777777" w:rsidR="00FA0363" w:rsidRDefault="00FA0363" w:rsidP="00FA0363">
      <w:pPr>
        <w:pStyle w:val="13"/>
      </w:pPr>
      <w:r>
        <w:rPr>
          <w:rFonts w:hint="eastAsia"/>
        </w:rPr>
        <w:t>（</w:t>
      </w:r>
      <w:r>
        <w:t>2）对未来现金净流量预测时，应以资产的当前状况为基础，以税前口径为预测依据，并充分关注选取的关键参数（包括但不限于销量、价格、成本、费用、预测期增长率、稳定期增长率）是否有可靠的数据来源，是否与历史数据、运营计划、商业机会、行业数据、行业研究报告、宏观经济运行状况相符；相关预测参数与历史数据及其变动趋势不一致的，应特别重视相关变动的依据及其合理性；与此相关的重大假设是否与可获取的内部、外部信息相符，在不符时是否有合理理由支持。</w:t>
      </w:r>
    </w:p>
    <w:p w14:paraId="5756A528" w14:textId="77777777" w:rsidR="00FA0363" w:rsidRDefault="00FA0363" w:rsidP="00FA0363">
      <w:pPr>
        <w:pStyle w:val="13"/>
      </w:pPr>
      <w:r>
        <w:rPr>
          <w:rFonts w:hint="eastAsia"/>
        </w:rPr>
        <w:t>（</w:t>
      </w:r>
      <w:r>
        <w:t>3）在确定未来现金净流量的预测期时，应建立在经管理层批准的最近财务预算或预测数据基础上，其中详细预测期原则上最多涵盖5年。</w:t>
      </w:r>
    </w:p>
    <w:p w14:paraId="320AD3A3" w14:textId="77777777" w:rsidR="00FA0363" w:rsidRDefault="00FA0363" w:rsidP="00FA0363">
      <w:pPr>
        <w:pStyle w:val="13"/>
      </w:pPr>
      <w:r>
        <w:rPr>
          <w:rFonts w:hint="eastAsia"/>
        </w:rPr>
        <w:lastRenderedPageBreak/>
        <w:t>需要注意的是，若以前期间对商誉进行减值测试时，有关预测参数与期后实际情况存在重大偏差的，应充分关注管理层是否识别出导致偏差的主要因素，是否在本期商誉减值测试时充分考虑了相关因素的影响，并适当调整预测思路。</w:t>
      </w:r>
    </w:p>
    <w:p w14:paraId="6465E177" w14:textId="77777777" w:rsidR="00FA0363" w:rsidRDefault="00FA0363" w:rsidP="00FA0363">
      <w:pPr>
        <w:pStyle w:val="13"/>
      </w:pPr>
      <w:r>
        <w:rPr>
          <w:rFonts w:hint="eastAsia"/>
        </w:rPr>
        <w:t>（</w:t>
      </w:r>
      <w:r>
        <w:t>4）应充分关注以前年度的预测数据和历史实现情况，并分析其主要差异原因及其合理性，并</w:t>
      </w:r>
      <w:proofErr w:type="gramStart"/>
      <w:r>
        <w:t>关注扣非和不扣非净利润</w:t>
      </w:r>
      <w:proofErr w:type="gramEnd"/>
      <w:r>
        <w:t>口径的差异情况，以及相关因素的可持续性及其对未来收益预测的影响。</w:t>
      </w:r>
    </w:p>
    <w:p w14:paraId="3387767C" w14:textId="77777777" w:rsidR="00FA0363" w:rsidRDefault="00FA0363" w:rsidP="00FA0363">
      <w:pPr>
        <w:pStyle w:val="13"/>
      </w:pPr>
      <w:r>
        <w:t>27.商誉减值测试信息披露需关注哪些事项？</w:t>
      </w:r>
    </w:p>
    <w:p w14:paraId="6ED94E3B" w14:textId="77777777" w:rsidR="00FA0363" w:rsidRDefault="00FA0363" w:rsidP="00FA0363">
      <w:pPr>
        <w:pStyle w:val="13"/>
      </w:pPr>
      <w:r>
        <w:rPr>
          <w:rFonts w:hint="eastAsia"/>
        </w:rPr>
        <w:t>解答：根据《公开发行证券的公司信息披露编报规则第</w:t>
      </w:r>
      <w:r>
        <w:t>15号—财务报告的一般规定（2014年修订）》（证监会公告〔2014〕54号）第十九条，资产项目应按以下要求进行披露：（二十三）按被投资单位或项目列示产生商誉的事项，对应商誉的期初余额、期末余额和本期增减变动情况，以及减值准备的期初余额、期末余额和本期增减变动情况。披露商誉减值测试过程、参数及商誉减值损失的确认方法。</w:t>
      </w:r>
    </w:p>
    <w:p w14:paraId="219B2FD0" w14:textId="77777777" w:rsidR="00FA0363" w:rsidRDefault="00FA0363" w:rsidP="00FA0363">
      <w:pPr>
        <w:pStyle w:val="13"/>
      </w:pPr>
      <w:r>
        <w:rPr>
          <w:rFonts w:hint="eastAsia"/>
        </w:rPr>
        <w:t>公司应根据上述规定及《企业会计准则第</w:t>
      </w:r>
      <w:r>
        <w:t>8号—资产减值》第三十条和第三十一条的相关要求对商誉减值测试的相关信息进行如实披露，同时也必须满足《企业会计准则—基本准则》和《企业会计准则第30号—财务报表列报》中对信息披露的</w:t>
      </w:r>
      <w:r>
        <w:rPr>
          <w:rFonts w:hint="eastAsia"/>
        </w:rPr>
        <w:t>基本要求，根据实际发生的情形，按照其适用的准则要求进行披露，不应有虚假记载、误导性陈述或重大遗漏的情形。具体如下：</w:t>
      </w:r>
    </w:p>
    <w:p w14:paraId="5985F423" w14:textId="77777777" w:rsidR="00FA0363" w:rsidRDefault="00FA0363" w:rsidP="00FA0363">
      <w:pPr>
        <w:pStyle w:val="13"/>
      </w:pPr>
      <w:r>
        <w:rPr>
          <w:rFonts w:hint="eastAsia"/>
        </w:rPr>
        <w:t>（</w:t>
      </w:r>
      <w:r>
        <w:t>1）应充分披露商誉所在资产组或资产组组合的相关信息，包括该资产组或资产组组合的构成、账面金额、确定方法，并明确说明该资产组或资产组组合是否与购买日、以前年度商誉减值测试时所确定的资产组或资产组组合一致。如果资产组或资产组组合的构成发生变化，应在披露前后会计期间资产组或资产组组合构成的同时，充分披露导致其变化的主要事实与依据。</w:t>
      </w:r>
    </w:p>
    <w:p w14:paraId="02F3B7B0" w14:textId="77777777" w:rsidR="00FA0363" w:rsidRDefault="00FA0363" w:rsidP="00FA0363">
      <w:pPr>
        <w:pStyle w:val="13"/>
      </w:pPr>
      <w:r>
        <w:rPr>
          <w:rFonts w:hint="eastAsia"/>
        </w:rPr>
        <w:t>（</w:t>
      </w:r>
      <w:r>
        <w:t>2）应在披露商誉减值金额的同时，详细披露商誉减值测试的过程与方法，包括但不限于可收回金额的确定方法、重要假设及其合理理由、关键参数（如预计未来现金流量现值时的预测期增长率、稳定期增长率、利润率、折现率、预测期等）及其确定依据等信息。如果前述信息与形成商誉时或以前年度商誉减值测试时的信息、公司历史经验或外部信息明显不一致，还应披露存在的差异及其原因。</w:t>
      </w:r>
    </w:p>
    <w:p w14:paraId="5ADA8DAA" w14:textId="77777777" w:rsidR="00FA0363" w:rsidRDefault="00FA0363" w:rsidP="00FA0363">
      <w:pPr>
        <w:pStyle w:val="13"/>
      </w:pPr>
      <w:r>
        <w:rPr>
          <w:rFonts w:hint="eastAsia"/>
        </w:rPr>
        <w:t>（</w:t>
      </w:r>
      <w:r>
        <w:t>3）形成商誉时的并购重组相关方有业绩承诺的，应充分披露业绩承诺的完成情况及其对商誉减值测试的影响。</w:t>
      </w:r>
    </w:p>
    <w:p w14:paraId="0D798B7B" w14:textId="77777777" w:rsidR="00FA0363" w:rsidRDefault="00FA0363" w:rsidP="00FA0363">
      <w:pPr>
        <w:pStyle w:val="13"/>
      </w:pPr>
      <w:r>
        <w:t>28.商誉减值测试中资产组或资产组组合价值评估报告信息披露需关注哪些事项？注册会计师利用评估机构工作成果时，需要注意什么？</w:t>
      </w:r>
    </w:p>
    <w:p w14:paraId="0AE89433" w14:textId="77777777" w:rsidR="00FA0363" w:rsidRDefault="00FA0363" w:rsidP="00FA0363">
      <w:pPr>
        <w:pStyle w:val="13"/>
      </w:pPr>
      <w:r>
        <w:rPr>
          <w:rFonts w:hint="eastAsia"/>
        </w:rPr>
        <w:t>解答：评估专业人员需在评估报告中详细披露评估对象、评估范围、价值类型、评估方法、评估假设等评估要素及其合理性，并充分披露关键评估参数的测算依据和逻辑推理过程。如果选取的关键评估参数与形成商誉时或以前年度商誉减值测试时</w:t>
      </w:r>
      <w:r>
        <w:rPr>
          <w:rFonts w:hint="eastAsia"/>
        </w:rPr>
        <w:lastRenderedPageBreak/>
        <w:t>的信息、公司历史经验或外部信息明显不一致，建议披露存在的差异及其原因。同时，</w:t>
      </w:r>
      <w:r>
        <w:t>应关注评估基准日至评估报告日之间发生的与评估对象相关的重大期后事项，包括但不限于内外部环境的重大变化、重大诉讼与仲裁的最新进展等，并在评估报告中详细披露该事项及其对评估结论的影响。</w:t>
      </w:r>
    </w:p>
    <w:p w14:paraId="178A29F1" w14:textId="77777777" w:rsidR="00FA0363" w:rsidRDefault="00FA0363" w:rsidP="00FA0363">
      <w:pPr>
        <w:pStyle w:val="13"/>
      </w:pPr>
      <w:r>
        <w:rPr>
          <w:rFonts w:hint="eastAsia"/>
        </w:rPr>
        <w:t>注册会计师在利用资产评估机构的工作成果时，除应重点关注商誉减值测试中可收回金额的确定方法、重要假设及其合理理由、关键参数（如预计未来现金流量现值时的预测期增长率、稳定期增长率、利润率、折现率、预测期等）及其确定依据的合理性外，还应注意评估报告披露的特别事项、报告限制使用条件等，并关注上述信息在财务报告中披露口径与评估报告披露口径的一致性。</w:t>
      </w:r>
    </w:p>
    <w:p w14:paraId="2A77CBFB" w14:textId="77777777" w:rsidR="00FA0363" w:rsidRDefault="00FA0363" w:rsidP="00FA0363">
      <w:pPr>
        <w:pStyle w:val="13"/>
        <w:jc w:val="right"/>
      </w:pPr>
      <w:r>
        <w:rPr>
          <w:rFonts w:hint="eastAsia"/>
        </w:rPr>
        <w:t>二〇一九年三月十日</w:t>
      </w:r>
    </w:p>
    <w:p w14:paraId="131BDAB9" w14:textId="77777777" w:rsidR="00ED0DA7" w:rsidRDefault="00FA0363" w:rsidP="00FA0363">
      <w:pPr>
        <w:pStyle w:val="31"/>
        <w:spacing w:before="156" w:after="62"/>
      </w:pPr>
      <w:bookmarkStart w:id="119" w:name="_Toc81833381"/>
      <w:r>
        <w:rPr>
          <w:rFonts w:hint="eastAsia"/>
        </w:rPr>
        <w:t>深圳市注册会计师协会专业技术委员会第十次研讨会会议纪要</w:t>
      </w:r>
      <w:bookmarkEnd w:id="119"/>
    </w:p>
    <w:p w14:paraId="3805D556" w14:textId="1011BA11" w:rsidR="00FA0363" w:rsidRPr="00F811C3" w:rsidRDefault="00FA0363" w:rsidP="00AF7342">
      <w:pPr>
        <w:pStyle w:val="13"/>
        <w:ind w:firstLineChars="0" w:firstLine="0"/>
        <w:jc w:val="center"/>
        <w:rPr>
          <w:rStyle w:val="aa"/>
        </w:rPr>
      </w:pPr>
      <w:r w:rsidRPr="00F811C3">
        <w:rPr>
          <w:rStyle w:val="aa"/>
          <w:rFonts w:hint="eastAsia"/>
        </w:rPr>
        <w:t>（</w:t>
      </w:r>
      <w:r w:rsidRPr="00F811C3">
        <w:rPr>
          <w:rStyle w:val="aa"/>
        </w:rPr>
        <w:t>2019年9月23日）</w:t>
      </w:r>
    </w:p>
    <w:p w14:paraId="52D60D26" w14:textId="77777777" w:rsidR="00FA0363" w:rsidRDefault="00FA0363" w:rsidP="00FA0363">
      <w:pPr>
        <w:pStyle w:val="13"/>
      </w:pPr>
      <w:r>
        <w:t>2019年8月27日下午，深圳市注册会计师协会专业技术委员会</w:t>
      </w:r>
      <w:proofErr w:type="gramStart"/>
      <w:r>
        <w:t>在信永中和</w:t>
      </w:r>
      <w:proofErr w:type="gramEnd"/>
      <w:r>
        <w:t>会计师事务所（特殊普通合伙）深圳分所召开了第十次研讨会。参加本次研讨会的人员有专业技术委员会主任委员俞善敖、副主任委员朱蓉、委员张兴、王茜、周到，深圳证监局和深圳证券交易所代表，具有证券期货审计业务资格的会计师事务所的代表，深圳市注协</w:t>
      </w:r>
      <w:proofErr w:type="gramStart"/>
      <w:r>
        <w:t>杨梅副</w:t>
      </w:r>
      <w:proofErr w:type="gramEnd"/>
      <w:r>
        <w:t>秘书长、高伟娜、蔡锦涛等共三十六人，会议由俞善敖主持。</w:t>
      </w:r>
    </w:p>
    <w:p w14:paraId="78C33A86" w14:textId="77777777" w:rsidR="00FA0363" w:rsidRDefault="00FA0363" w:rsidP="00FA0363">
      <w:pPr>
        <w:pStyle w:val="13"/>
      </w:pPr>
      <w:r>
        <w:rPr>
          <w:rFonts w:hint="eastAsia"/>
        </w:rPr>
        <w:t>本次研讨会的主题是“商誉减值及其审计问题”。首先，俞善敖对本次研讨会的背景作了简单的介绍。其次，</w:t>
      </w:r>
      <w:proofErr w:type="gramStart"/>
      <w:r>
        <w:rPr>
          <w:rFonts w:hint="eastAsia"/>
        </w:rPr>
        <w:t>信永中和</w:t>
      </w:r>
      <w:proofErr w:type="gramEnd"/>
      <w:r>
        <w:rPr>
          <w:rFonts w:hint="eastAsia"/>
        </w:rPr>
        <w:t>会计师事务所（特殊普通合伙）</w:t>
      </w:r>
      <w:proofErr w:type="gramStart"/>
      <w:r>
        <w:rPr>
          <w:rFonts w:hint="eastAsia"/>
        </w:rPr>
        <w:t>风险委</w:t>
      </w:r>
      <w:proofErr w:type="gramEnd"/>
      <w:r>
        <w:rPr>
          <w:rFonts w:hint="eastAsia"/>
        </w:rPr>
        <w:t>主席王仁平合伙人作为本次研讨会的主讲人，结合案例从商誉及商誉减值的概念、商誉减值测试以及商誉审计等三个方面进行讲解，并提出了相关问题。再次，与会代表就相关问题进行了讨论，讨论过程中现场气氛热烈，与会代表不时提出自己的观点和看法。深圳证监局代表就深圳本地上市公司</w:t>
      </w:r>
      <w:r>
        <w:t>2018年年报商誉及其减值计提的情况作了介绍，并就工作过程中碰到的一些有关商誉减值处理问题提出了意见。深交所代</w:t>
      </w:r>
      <w:r>
        <w:rPr>
          <w:rFonts w:hint="eastAsia"/>
        </w:rPr>
        <w:t>表结合其监管上市公司</w:t>
      </w:r>
      <w:r>
        <w:t>2018年年报情况对商誉及其减值发表了看法。</w:t>
      </w:r>
      <w:proofErr w:type="gramStart"/>
      <w:r>
        <w:t>信永中和</w:t>
      </w:r>
      <w:proofErr w:type="gramEnd"/>
      <w:r>
        <w:t>会计师事务所（特殊普通合伙）合伙人郭晋龙还从法律的视角对商誉的本质发表了自己的意见。现将会议纪要如下：</w:t>
      </w:r>
    </w:p>
    <w:p w14:paraId="74A93112" w14:textId="77777777" w:rsidR="00FA0363" w:rsidRDefault="00FA0363" w:rsidP="00FA0363">
      <w:pPr>
        <w:pStyle w:val="ab"/>
        <w:spacing w:before="62" w:after="62"/>
        <w:ind w:firstLine="482"/>
      </w:pPr>
      <w:r>
        <w:rPr>
          <w:rFonts w:hint="eastAsia"/>
        </w:rPr>
        <w:t>一、商誉的会计处理</w:t>
      </w:r>
    </w:p>
    <w:p w14:paraId="19CC6C43" w14:textId="77777777" w:rsidR="00FA0363" w:rsidRDefault="00FA0363" w:rsidP="00FA0363">
      <w:pPr>
        <w:pStyle w:val="13"/>
      </w:pPr>
      <w:r>
        <w:rPr>
          <w:rFonts w:hint="eastAsia"/>
        </w:rPr>
        <w:t>商誉是一个会计概念，其内涵随着人们对商誉认识的深入而不断发生变化。现行企业会计准则没有对商誉做出定义。根据现行企业会计准则的规定，“购买方对合并成本大于合并中取得的被购买方可辨认净资产公允价值份额的差额，应当确认为商誉。”</w:t>
      </w:r>
      <w:r>
        <w:t>“企业合并所形成的商誉，至少应当在每年年度终了进行减值测试。商誉应当结合与其相关的资产组或者资产组组合进行减值测试。”这些规定明确了商誉的确</w:t>
      </w:r>
      <w:r>
        <w:lastRenderedPageBreak/>
        <w:t>认条件、初始计量以及后续计量，为商誉的会计处理提供了规范。</w:t>
      </w:r>
    </w:p>
    <w:p w14:paraId="52620F65" w14:textId="77777777" w:rsidR="00FA0363" w:rsidRDefault="00FA0363" w:rsidP="00FA0363">
      <w:pPr>
        <w:pStyle w:val="13"/>
      </w:pPr>
      <w:r>
        <w:rPr>
          <w:rFonts w:hint="eastAsia"/>
        </w:rPr>
        <w:t>据不完全统计，</w:t>
      </w:r>
      <w:r>
        <w:t>2018年末，商誉存在期末余额的A股上市公司有2052家，商誉金额共计13097.26亿元；2018年度，计提商誉减值损失的A股上市公司共885家，计提商誉减值损失共计1667.94亿元。分析这些上市公司商誉的形成过程，可以发现商誉</w:t>
      </w:r>
      <w:r>
        <w:rPr>
          <w:rFonts w:hint="eastAsia"/>
        </w:rPr>
        <w:t>的金额大概由以下几部分组成：一是符合资产的确认条件而没有确认资产的金额；二是可辨认资产、负债没有按照公允价值计量，其公允价值大于或小于账面价值的差</w:t>
      </w:r>
      <w:r>
        <w:t>额；三是购买方以发行权益</w:t>
      </w:r>
      <w:proofErr w:type="gramStart"/>
      <w:r>
        <w:t>性证券</w:t>
      </w:r>
      <w:proofErr w:type="gramEnd"/>
      <w:r>
        <w:t>作为对价进行非同</w:t>
      </w:r>
      <w:proofErr w:type="gramStart"/>
      <w:r>
        <w:t>一控制</w:t>
      </w:r>
      <w:proofErr w:type="gramEnd"/>
      <w:r>
        <w:t>下企业合并时，所发行权益</w:t>
      </w:r>
      <w:proofErr w:type="gramStart"/>
      <w:r>
        <w:t>性证券因</w:t>
      </w:r>
      <w:proofErr w:type="gramEnd"/>
      <w:r>
        <w:t>购买日市场价格波动影响商誉的金额；四是真正商誉的价值，包括不符合资产确认条件的经济资源价值，比如管理层团队、高素质的科研人才等。从上述分析可以看出，这些A股上市公司账面的商誉金额并不一定是真正的商誉，相当部分可能是可辨认资产或负债的金额。</w:t>
      </w:r>
    </w:p>
    <w:p w14:paraId="16F5735B" w14:textId="77777777" w:rsidR="00FA0363" w:rsidRDefault="00FA0363" w:rsidP="00FA0363">
      <w:pPr>
        <w:pStyle w:val="13"/>
      </w:pPr>
      <w:r>
        <w:rPr>
          <w:rFonts w:hint="eastAsia"/>
        </w:rPr>
        <w:t>与会代表认为，由于在商誉的初始计量和后续计量过程中涉及大量的判断和估</w:t>
      </w:r>
      <w:r>
        <w:t>计，商誉的计量往往成为部分上市公司调节不同会计期间利润的工具。因此，建议改变现行商誉的会计处理方法，采用“摊销加减值”的方法，将商誉在一定期限内予以摊销，并在相关资产组或资产组组合存在减值迹象时进行减值测试。为了减少商誉会计处理方法的改变对资本市场可能带来的影响，可采用给予上市公司采用新会计政策的过渡期、因会计政策变更导致的累积影响数调整期初留存收益等多种措施予以应对。</w:t>
      </w:r>
    </w:p>
    <w:p w14:paraId="61571F7B" w14:textId="77777777" w:rsidR="00FA0363" w:rsidRDefault="00FA0363" w:rsidP="00FA0363">
      <w:pPr>
        <w:pStyle w:val="13"/>
      </w:pPr>
      <w:r>
        <w:rPr>
          <w:rFonts w:hint="eastAsia"/>
        </w:rPr>
        <w:t>与会代表认为，商誉减值测试是商誉会计处理中的难点，它涉及到资产组或资产组组合（以下简称“资产组”）的确定、可收回金额的预计等诸多需要</w:t>
      </w:r>
      <w:proofErr w:type="gramStart"/>
      <w:r>
        <w:rPr>
          <w:rFonts w:hint="eastAsia"/>
        </w:rPr>
        <w:t>作出</w:t>
      </w:r>
      <w:proofErr w:type="gramEnd"/>
      <w:r>
        <w:rPr>
          <w:rFonts w:hint="eastAsia"/>
        </w:rPr>
        <w:t>重大判断或估计的问题。在认定与商誉相关的资产组时，需要考虑以下几点：（</w:t>
      </w:r>
      <w:r>
        <w:t>1）与商誉相关的资产组不仅包括因企业合并产生商誉的资产组，而且还包括能够从企业合并的协同效应中受益的资产组。（2）一个会计核算主体并不简单等同于一个资产组，一家子公司有可能是一个资产组，有可能是二个或二个以上的资产组,也有可能不是一个资产组，这需要从现金流量和管理层对生产经营活动的管理或者监控方式二个方</w:t>
      </w:r>
      <w:r>
        <w:rPr>
          <w:rFonts w:hint="eastAsia"/>
        </w:rPr>
        <w:t>面考虑认定资产组。（</w:t>
      </w:r>
      <w:r>
        <w:t>3）收购的子公司包含二个或二个以上的资产组时，并不一定全部都是与形成商誉相关的资产组，这需要分析形成商誉的原因。（4）自购买日起应当将商誉分摊到相关的资产组，后续会计期间认定的资产</w:t>
      </w:r>
      <w:proofErr w:type="gramStart"/>
      <w:r>
        <w:t>组及其</w:t>
      </w:r>
      <w:proofErr w:type="gramEnd"/>
      <w:r>
        <w:t>分摊的商誉金额通常情况下应当与购买日保持一致，不得随意扩大或缩小商誉所在的资产组。（5）当出售或处置与商誉相关的资产组或资产组中的一项经营时，应当终止确认已经分摊至该资产组或能够分摊至该经营的商誉。（6）</w:t>
      </w:r>
      <w:proofErr w:type="gramStart"/>
      <w:r>
        <w:t>因集团</w:t>
      </w:r>
      <w:proofErr w:type="gramEnd"/>
      <w:r>
        <w:t>内部重组原因导致企业经营的组成部分发生变化，继而影响到已分摊商</w:t>
      </w:r>
      <w:proofErr w:type="gramStart"/>
      <w:r>
        <w:t>誉</w:t>
      </w:r>
      <w:proofErr w:type="gramEnd"/>
      <w:r>
        <w:t>所在的资产组构成的，应当重新将商</w:t>
      </w:r>
      <w:r>
        <w:rPr>
          <w:rFonts w:hint="eastAsia"/>
        </w:rPr>
        <w:t>誉分摊至相关的资产组。（</w:t>
      </w:r>
      <w:r>
        <w:t>7）</w:t>
      </w:r>
      <w:r>
        <w:rPr>
          <w:rFonts w:hint="eastAsia"/>
        </w:rPr>
        <w:t>资产组不应包括与业务无关的单独资产及负债。（</w:t>
      </w:r>
      <w:r>
        <w:t>8）资产组与业务是两个不同的概念，资产组是可以认定的最小资产组合，一般不包括已确认的负债，强调</w:t>
      </w:r>
      <w:r>
        <w:lastRenderedPageBreak/>
        <w:t>现金流入，而业务是有关资产及负债的组合，具备投入、加工处理过程和产出等要素，因此一个资产组不能简单等同于一项业务，或一项业务不能简单等同于一个资产组。</w:t>
      </w:r>
    </w:p>
    <w:p w14:paraId="665F9F14" w14:textId="77777777" w:rsidR="00FA0363" w:rsidRDefault="00FA0363" w:rsidP="00FA0363">
      <w:pPr>
        <w:pStyle w:val="13"/>
      </w:pPr>
      <w:r>
        <w:rPr>
          <w:rFonts w:hint="eastAsia"/>
        </w:rPr>
        <w:t>在预计资产组的可收回金额时，需要考虑以下几点：（</w:t>
      </w:r>
      <w:r>
        <w:t>1）资产组可收回金额应与其账面价值的确定基础保持一致。在预计资产组的可收回金额时，不包括与该资产组无关的现金流量，不包括与筹资活动和所得税收</w:t>
      </w:r>
      <w:proofErr w:type="gramStart"/>
      <w:r>
        <w:t>付相关</w:t>
      </w:r>
      <w:proofErr w:type="gramEnd"/>
      <w:r>
        <w:t>的现金流量，通常也不包括与已在财务报表中确认的负债有关的现金流量。对于营运资金，在确定资产组的账面价值与可收回金额时均不应将其包括在内，但如果资产组的账面价值将其包括在内，则在预计可收回金额时也应将期初营运资金对未来现金流量的影响考虑在内，反之亦然。（2）评估师对资产组进行评估得出的评估值并不一定就是资产组的可收回</w:t>
      </w:r>
      <w:r>
        <w:rPr>
          <w:rFonts w:hint="eastAsia"/>
        </w:rPr>
        <w:t>金额，</w:t>
      </w:r>
      <w:r>
        <w:t>利用评估师的工作成果时需要综合考虑资产评估机构的评估目的、评估基准日、评估范围、价值类型、评估假设等因素对评估值的影响，分析这些因素是否与资产减值测试相符。（3）公司股票的市场价格并不一定就是资产组的可收回金额，在利用公司股票的市场价格预计资产组的可收回金额时，需要考虑公司的资产组构成、资产组所包含的资产及负债范围、大宗交易对市场价格的影响、处置费用等。（4）在预计资产组的未来现金流量时，应当以资产组的当前状况和历史财务数据为基础，考虑所在国家或地区的宏观经济环境、所处行业的经济状况以及企业生产经营</w:t>
      </w:r>
      <w:r>
        <w:rPr>
          <w:rFonts w:hint="eastAsia"/>
        </w:rPr>
        <w:t>的实际情况等因素，</w:t>
      </w:r>
      <w:r>
        <w:t>合理选择销量、价格、成本、费用、预测期增长率、稳定期增长率等关键参数。（5）预测资产组的未来现金流量的期限应当与资产组的剩余使用寿命保持一致，而不能以企业持续经营假设为基础确定其预测期是无限的。</w:t>
      </w:r>
    </w:p>
    <w:p w14:paraId="7D66A398" w14:textId="77777777" w:rsidR="00FA0363" w:rsidRDefault="00FA0363" w:rsidP="00FA0363">
      <w:pPr>
        <w:pStyle w:val="ab"/>
        <w:spacing w:before="62" w:after="62"/>
        <w:ind w:firstLine="482"/>
      </w:pPr>
      <w:r>
        <w:rPr>
          <w:rFonts w:hint="eastAsia"/>
        </w:rPr>
        <w:t>二、商誉的审计</w:t>
      </w:r>
    </w:p>
    <w:p w14:paraId="659EFC8C" w14:textId="77777777" w:rsidR="00FA0363" w:rsidRDefault="00FA0363" w:rsidP="00FA0363">
      <w:pPr>
        <w:pStyle w:val="13"/>
      </w:pPr>
      <w:r>
        <w:rPr>
          <w:rFonts w:hint="eastAsia"/>
        </w:rPr>
        <w:t>商誉的审计是财务报表审计的重要组成部分。针对商誉的审计，注册会计师应当从客户承接开始，有效地识别并</w:t>
      </w:r>
      <w:proofErr w:type="gramStart"/>
      <w:r>
        <w:rPr>
          <w:rFonts w:hint="eastAsia"/>
        </w:rPr>
        <w:t>评估重</w:t>
      </w:r>
      <w:proofErr w:type="gramEnd"/>
      <w:r>
        <w:rPr>
          <w:rFonts w:hint="eastAsia"/>
        </w:rPr>
        <w:t>大错报风险，针对评估的重大错报风险设计并实施应对审计程序。</w:t>
      </w:r>
    </w:p>
    <w:p w14:paraId="1F4B6A4B" w14:textId="77777777" w:rsidR="00FA0363" w:rsidRDefault="00FA0363" w:rsidP="00FA0363">
      <w:pPr>
        <w:pStyle w:val="13"/>
      </w:pPr>
      <w:r>
        <w:t>1.</w:t>
      </w:r>
      <w:r>
        <w:tab/>
        <w:t>识别并</w:t>
      </w:r>
      <w:proofErr w:type="gramStart"/>
      <w:r>
        <w:t>评估重</w:t>
      </w:r>
      <w:proofErr w:type="gramEnd"/>
      <w:r>
        <w:t>大错报风险</w:t>
      </w:r>
    </w:p>
    <w:p w14:paraId="2B397426" w14:textId="77777777" w:rsidR="00FA0363" w:rsidRDefault="00FA0363" w:rsidP="00FA0363">
      <w:pPr>
        <w:pStyle w:val="13"/>
      </w:pPr>
      <w:r>
        <w:rPr>
          <w:rFonts w:hint="eastAsia"/>
        </w:rPr>
        <w:t>注册会计师在识别并</w:t>
      </w:r>
      <w:proofErr w:type="gramStart"/>
      <w:r>
        <w:rPr>
          <w:rFonts w:hint="eastAsia"/>
        </w:rPr>
        <w:t>评估重</w:t>
      </w:r>
      <w:proofErr w:type="gramEnd"/>
      <w:r>
        <w:rPr>
          <w:rFonts w:hint="eastAsia"/>
        </w:rPr>
        <w:t>大错报风险时，应当从以下方面予以考虑：</w:t>
      </w:r>
    </w:p>
    <w:p w14:paraId="5629926C" w14:textId="77777777" w:rsidR="00FA0363" w:rsidRDefault="00FA0363" w:rsidP="00FA0363">
      <w:pPr>
        <w:pStyle w:val="13"/>
      </w:pPr>
      <w:r>
        <w:rPr>
          <w:rFonts w:hint="eastAsia"/>
        </w:rPr>
        <w:t>（</w:t>
      </w:r>
      <w:r>
        <w:t>1）</w:t>
      </w:r>
      <w:r>
        <w:tab/>
        <w:t>商誉对财务报表整体的重要程度。</w:t>
      </w:r>
    </w:p>
    <w:p w14:paraId="13E3110E" w14:textId="77777777" w:rsidR="00FA0363" w:rsidRDefault="00FA0363" w:rsidP="00FA0363">
      <w:pPr>
        <w:pStyle w:val="13"/>
      </w:pPr>
      <w:r>
        <w:rPr>
          <w:rFonts w:hint="eastAsia"/>
        </w:rPr>
        <w:t>（</w:t>
      </w:r>
      <w:r>
        <w:t>2）</w:t>
      </w:r>
      <w:r>
        <w:tab/>
        <w:t>管理层进行财务报表舞弊的动机、压力和可能性。</w:t>
      </w:r>
    </w:p>
    <w:p w14:paraId="0911F512" w14:textId="77777777" w:rsidR="00FA0363" w:rsidRDefault="00FA0363" w:rsidP="00FA0363">
      <w:pPr>
        <w:pStyle w:val="13"/>
      </w:pPr>
      <w:r>
        <w:rPr>
          <w:rFonts w:hint="eastAsia"/>
        </w:rPr>
        <w:t>（</w:t>
      </w:r>
      <w:r>
        <w:t>3）</w:t>
      </w:r>
      <w:r>
        <w:tab/>
        <w:t>管理层在确认和计量商誉方面的经验与能力。</w:t>
      </w:r>
    </w:p>
    <w:p w14:paraId="10F362BF" w14:textId="77777777" w:rsidR="00FA0363" w:rsidRDefault="00FA0363" w:rsidP="00FA0363">
      <w:pPr>
        <w:pStyle w:val="13"/>
      </w:pPr>
      <w:r>
        <w:rPr>
          <w:rFonts w:hint="eastAsia"/>
        </w:rPr>
        <w:t>（</w:t>
      </w:r>
      <w:r>
        <w:t>4）</w:t>
      </w:r>
      <w:r>
        <w:tab/>
        <w:t>被审计单位相关的内部控制与公司治理要求。</w:t>
      </w:r>
    </w:p>
    <w:p w14:paraId="641FFD7F" w14:textId="77777777" w:rsidR="00FA0363" w:rsidRDefault="00FA0363" w:rsidP="00FA0363">
      <w:pPr>
        <w:pStyle w:val="13"/>
      </w:pPr>
      <w:r>
        <w:rPr>
          <w:rFonts w:hint="eastAsia"/>
        </w:rPr>
        <w:t>（</w:t>
      </w:r>
      <w:r>
        <w:t>5）</w:t>
      </w:r>
      <w:r>
        <w:tab/>
        <w:t>财务信息计量的主观程度，特别是计量结果是否具有高度不确定性。</w:t>
      </w:r>
    </w:p>
    <w:p w14:paraId="3A4CCF3F" w14:textId="77777777" w:rsidR="00FA0363" w:rsidRDefault="00FA0363" w:rsidP="00FA0363">
      <w:pPr>
        <w:pStyle w:val="13"/>
      </w:pPr>
      <w:r>
        <w:t>2.</w:t>
      </w:r>
      <w:r>
        <w:tab/>
        <w:t>设计并实施应对审计程序</w:t>
      </w:r>
    </w:p>
    <w:p w14:paraId="2FB7831F" w14:textId="77777777" w:rsidR="00FA0363" w:rsidRDefault="00FA0363" w:rsidP="00FA0363">
      <w:pPr>
        <w:pStyle w:val="13"/>
      </w:pPr>
      <w:r>
        <w:rPr>
          <w:rFonts w:hint="eastAsia"/>
        </w:rPr>
        <w:t>针对商誉及其减值存在的重大错报风险，注册会计师应当设计并实施应对审计程序。</w:t>
      </w:r>
    </w:p>
    <w:p w14:paraId="2E2E10EF" w14:textId="77777777" w:rsidR="00FA0363" w:rsidRDefault="00FA0363" w:rsidP="00FA0363">
      <w:pPr>
        <w:pStyle w:val="13"/>
      </w:pPr>
      <w:r>
        <w:rPr>
          <w:rFonts w:hint="eastAsia"/>
        </w:rPr>
        <w:t>与会代表认为，商誉减值测试是被审计单位管理层的会计责任，注册会计师的责</w:t>
      </w:r>
      <w:r>
        <w:rPr>
          <w:rFonts w:hint="eastAsia"/>
        </w:rPr>
        <w:lastRenderedPageBreak/>
        <w:t>任是设计并实施针对商誉减值的应对审计程序，获取充分适当的审计证据，以确定商誉减值是否包含对财务报表产生重大影响的错报。即使基于审计的需要对商誉减值进行了独立测试，注册会计师对商誉减值的审计责任也不能代替被审计单位管理层进行商</w:t>
      </w:r>
      <w:proofErr w:type="gramStart"/>
      <w:r>
        <w:rPr>
          <w:rFonts w:hint="eastAsia"/>
        </w:rPr>
        <w:t>誉</w:t>
      </w:r>
      <w:proofErr w:type="gramEnd"/>
      <w:r>
        <w:rPr>
          <w:rFonts w:hint="eastAsia"/>
        </w:rPr>
        <w:t>减值测试的会计责任。</w:t>
      </w:r>
    </w:p>
    <w:p w14:paraId="384C5E0B" w14:textId="77777777" w:rsidR="00FA0363" w:rsidRDefault="00FA0363" w:rsidP="00FA0363">
      <w:pPr>
        <w:pStyle w:val="13"/>
      </w:pPr>
      <w:r>
        <w:rPr>
          <w:rFonts w:hint="eastAsia"/>
        </w:rPr>
        <w:t>与会代表认为，包括商誉在内的资产组减值与长期股权投资减值是有区别的，资产组减值是从合并财务报表的角度考虑问题，相关资产组的账面价值不包括与业务无关的单独资产及负债，通常也不包括已在财务报表中确认的负债，与相关资产组的账面价值相对应，其可收回金额不包括与业务无关的单独资产及负债产生的现金流量，</w:t>
      </w:r>
      <w:r>
        <w:t>通常也不包括与已在财务报表中确认的负债有关的现金流量；而长期股权投资减值则是从母公司财务报表的角度考虑问题，其账面价值是指股权投资的成本，其可收回金额可能直接按照被投资公司股票的市场价格确定，也可能采用市场法或收益法等</w:t>
      </w:r>
      <w:r>
        <w:rPr>
          <w:rFonts w:hint="eastAsia"/>
        </w:rPr>
        <w:t>估值技术确定。尽管两者存在区别，但注册会计师应当关注两者之间可能存在的内在联</w:t>
      </w:r>
      <w:r>
        <w:t>系，即当长期股权投资发生减值时，包括商誉在内的资产组也可能发生减值，反之亦然。</w:t>
      </w:r>
    </w:p>
    <w:p w14:paraId="64C08ED5" w14:textId="587AA856" w:rsidR="00FA0363" w:rsidRDefault="00FA0363" w:rsidP="00FA0363">
      <w:pPr>
        <w:pStyle w:val="13"/>
      </w:pPr>
      <w:r>
        <w:rPr>
          <w:rFonts w:hint="eastAsia"/>
        </w:rPr>
        <w:t>上述会议纪要仅为与会代表的观点，仅供使用者参考。</w:t>
      </w:r>
    </w:p>
    <w:p w14:paraId="7498BD49" w14:textId="77777777" w:rsidR="00FA0363" w:rsidRDefault="00FA0363">
      <w:pPr>
        <w:widowControl/>
        <w:jc w:val="left"/>
        <w:rPr>
          <w:rFonts w:ascii="宋体" w:hAnsi="宋体"/>
          <w:sz w:val="24"/>
          <w:szCs w:val="24"/>
        </w:rPr>
      </w:pPr>
      <w:r>
        <w:br w:type="page"/>
      </w:r>
    </w:p>
    <w:p w14:paraId="4A345C1E" w14:textId="77777777" w:rsidR="00FA0363" w:rsidRDefault="00FA0363" w:rsidP="00FA0363">
      <w:pPr>
        <w:pStyle w:val="11"/>
      </w:pPr>
      <w:bookmarkStart w:id="120" w:name="_Toc81833382"/>
      <w:r>
        <w:rPr>
          <w:rFonts w:hint="eastAsia"/>
        </w:rPr>
        <w:lastRenderedPageBreak/>
        <w:t>房地产估价规范</w:t>
      </w:r>
      <w:bookmarkEnd w:id="120"/>
    </w:p>
    <w:p w14:paraId="55BEC376" w14:textId="77777777" w:rsidR="00FA0363" w:rsidRDefault="00FA0363" w:rsidP="00FA0363">
      <w:pPr>
        <w:pStyle w:val="21"/>
        <w:spacing w:before="156" w:after="93"/>
      </w:pPr>
      <w:bookmarkStart w:id="121" w:name="_Toc81833383"/>
      <w:r>
        <w:rPr>
          <w:rFonts w:hint="eastAsia"/>
        </w:rPr>
        <w:t>国家标准</w:t>
      </w:r>
      <w:bookmarkEnd w:id="121"/>
    </w:p>
    <w:p w14:paraId="125D7A89" w14:textId="1406A898" w:rsidR="00FA0363" w:rsidRDefault="00FA0363" w:rsidP="00FA0363">
      <w:pPr>
        <w:pStyle w:val="31"/>
        <w:spacing w:before="156" w:after="62"/>
      </w:pPr>
      <w:bookmarkStart w:id="122" w:name="_Toc81833384"/>
      <w:r>
        <w:rPr>
          <w:rFonts w:hint="eastAsia"/>
        </w:rPr>
        <w:t>房地产估价规范（</w:t>
      </w:r>
      <w:r>
        <w:t>GB/T50291-2015）（住建部第797号）</w:t>
      </w:r>
      <w:bookmarkEnd w:id="122"/>
    </w:p>
    <w:p w14:paraId="27328621" w14:textId="77777777" w:rsidR="00FA0363" w:rsidRDefault="00FA0363" w:rsidP="00ED0DA7">
      <w:pPr>
        <w:pStyle w:val="13"/>
        <w:ind w:firstLineChars="0" w:firstLine="0"/>
        <w:jc w:val="center"/>
      </w:pPr>
      <w:r>
        <w:rPr>
          <w:rFonts w:hint="eastAsia"/>
        </w:rPr>
        <w:t>住房城乡建设部关于发布国家标准《房地产估价规范》的公告</w:t>
      </w:r>
    </w:p>
    <w:p w14:paraId="585067D8" w14:textId="77777777" w:rsidR="00FA0363" w:rsidRDefault="00FA0363" w:rsidP="00FA0363">
      <w:pPr>
        <w:pStyle w:val="13"/>
      </w:pPr>
      <w:proofErr w:type="gramStart"/>
      <w:r>
        <w:rPr>
          <w:rFonts w:hint="eastAsia"/>
        </w:rPr>
        <w:t>现批准</w:t>
      </w:r>
      <w:proofErr w:type="gramEnd"/>
      <w:r>
        <w:rPr>
          <w:rFonts w:hint="eastAsia"/>
        </w:rPr>
        <w:t>《房地产估价规范》为国家标准，编号为</w:t>
      </w:r>
      <w:r>
        <w:t>GB/T50291-2015，自2015年12月1日起实施。原《房地产估价规范》GB/T50291-1999同时废止。</w:t>
      </w:r>
    </w:p>
    <w:p w14:paraId="1FACAABA" w14:textId="77777777" w:rsidR="00FA0363" w:rsidRDefault="00FA0363" w:rsidP="00FA0363">
      <w:pPr>
        <w:pStyle w:val="13"/>
      </w:pPr>
      <w:r>
        <w:rPr>
          <w:rFonts w:hint="eastAsia"/>
        </w:rPr>
        <w:t>本规范由我部标准定额研究所组织中国建筑工业出版社出版发行。</w:t>
      </w:r>
    </w:p>
    <w:p w14:paraId="3E1E7291" w14:textId="77777777" w:rsidR="00FA0363" w:rsidRDefault="00FA0363" w:rsidP="00FA0363">
      <w:pPr>
        <w:pStyle w:val="13"/>
        <w:jc w:val="right"/>
      </w:pPr>
      <w:r>
        <w:rPr>
          <w:rFonts w:hint="eastAsia"/>
        </w:rPr>
        <w:t>中华人民共和国住房和城乡建设部</w:t>
      </w:r>
    </w:p>
    <w:p w14:paraId="311E0C14" w14:textId="77777777" w:rsidR="00FA0363" w:rsidRDefault="00FA0363" w:rsidP="00FA0363">
      <w:pPr>
        <w:pStyle w:val="13"/>
        <w:jc w:val="right"/>
      </w:pPr>
      <w:r>
        <w:t>2015年4月8日</w:t>
      </w:r>
    </w:p>
    <w:p w14:paraId="68C22837" w14:textId="77777777" w:rsidR="00FA0363" w:rsidRDefault="00FA0363" w:rsidP="00FA0363">
      <w:pPr>
        <w:pStyle w:val="13"/>
      </w:pPr>
    </w:p>
    <w:p w14:paraId="7B8DB4B9" w14:textId="77777777" w:rsidR="00FA0363" w:rsidRDefault="00FA0363" w:rsidP="00AF7342">
      <w:pPr>
        <w:pStyle w:val="a9"/>
        <w:spacing w:before="62" w:after="62"/>
      </w:pPr>
      <w:r>
        <w:rPr>
          <w:rFonts w:hint="eastAsia"/>
        </w:rPr>
        <w:t>房地产估价规范</w:t>
      </w:r>
    </w:p>
    <w:p w14:paraId="065B08E2" w14:textId="77777777" w:rsidR="00FA0363" w:rsidRDefault="00FA0363" w:rsidP="00AF7342">
      <w:pPr>
        <w:pStyle w:val="a9"/>
        <w:spacing w:before="62" w:after="62"/>
      </w:pPr>
      <w:proofErr w:type="spellStart"/>
      <w:r>
        <w:t>Codeforrealestateappraisal</w:t>
      </w:r>
      <w:proofErr w:type="spellEnd"/>
    </w:p>
    <w:p w14:paraId="6D707A53" w14:textId="77777777" w:rsidR="00FA0363" w:rsidRDefault="00FA0363" w:rsidP="00AF7342">
      <w:pPr>
        <w:pStyle w:val="a9"/>
        <w:spacing w:before="62" w:after="62"/>
      </w:pPr>
      <w:r>
        <w:t>GB/T50291-2015</w:t>
      </w:r>
    </w:p>
    <w:p w14:paraId="0F11B326" w14:textId="77777777" w:rsidR="00FA0363" w:rsidRDefault="00FA0363" w:rsidP="00FA0363">
      <w:pPr>
        <w:pStyle w:val="13"/>
        <w:jc w:val="center"/>
      </w:pPr>
      <w:r>
        <w:rPr>
          <w:rFonts w:hint="eastAsia"/>
        </w:rPr>
        <w:t>主编部门：中华人民共和国住房和城乡建设部</w:t>
      </w:r>
    </w:p>
    <w:p w14:paraId="351268FC" w14:textId="77777777" w:rsidR="00FA0363" w:rsidRDefault="00FA0363" w:rsidP="00FA0363">
      <w:pPr>
        <w:pStyle w:val="13"/>
        <w:jc w:val="center"/>
      </w:pPr>
      <w:r>
        <w:rPr>
          <w:rFonts w:hint="eastAsia"/>
        </w:rPr>
        <w:t>批准部门：中华人民共和国住房和城乡建设部</w:t>
      </w:r>
    </w:p>
    <w:p w14:paraId="1E525D85" w14:textId="77777777" w:rsidR="00FA0363" w:rsidRDefault="00FA0363" w:rsidP="00FA0363">
      <w:pPr>
        <w:pStyle w:val="13"/>
        <w:jc w:val="center"/>
      </w:pPr>
      <w:r>
        <w:rPr>
          <w:rFonts w:hint="eastAsia"/>
        </w:rPr>
        <w:t>施行日期：</w:t>
      </w:r>
      <w:r>
        <w:t>2015年12月1日</w:t>
      </w:r>
    </w:p>
    <w:p w14:paraId="58DA8637" w14:textId="0BC43E24" w:rsidR="00FA0363" w:rsidRDefault="00FA0363" w:rsidP="00AF7342">
      <w:pPr>
        <w:pStyle w:val="a9"/>
        <w:spacing w:before="62" w:after="62"/>
      </w:pPr>
      <w:r>
        <w:t>1</w:t>
      </w:r>
      <w:r w:rsidR="00F811C3">
        <w:t xml:space="preserve"> </w:t>
      </w:r>
      <w:r>
        <w:t>总则</w:t>
      </w:r>
    </w:p>
    <w:p w14:paraId="525BD015" w14:textId="6010CF0B" w:rsidR="00FA0363" w:rsidRDefault="00FA0363" w:rsidP="00FA0363">
      <w:pPr>
        <w:pStyle w:val="13"/>
        <w:ind w:firstLine="482"/>
      </w:pPr>
      <w:r w:rsidRPr="005D2CDF">
        <w:rPr>
          <w:b/>
          <w:bCs/>
        </w:rPr>
        <w:t>1.0.1</w:t>
      </w:r>
      <w:r w:rsidR="002451CD">
        <w:t xml:space="preserve"> </w:t>
      </w:r>
      <w:r>
        <w:t>为了规范房地产估价行为，统一房地产估价程序和方法，保障房地产估价质量，制定本规范。</w:t>
      </w:r>
    </w:p>
    <w:p w14:paraId="274AA93F" w14:textId="614CFF80" w:rsidR="00FA0363" w:rsidRDefault="00FA0363" w:rsidP="00FA0363">
      <w:pPr>
        <w:pStyle w:val="13"/>
        <w:ind w:firstLine="482"/>
      </w:pPr>
      <w:r w:rsidRPr="005D2CDF">
        <w:rPr>
          <w:b/>
          <w:bCs/>
        </w:rPr>
        <w:t>1.0.2</w:t>
      </w:r>
      <w:r w:rsidR="002451CD">
        <w:t xml:space="preserve"> </w:t>
      </w:r>
      <w:r>
        <w:t>本规范适用于房地产估价活动。</w:t>
      </w:r>
    </w:p>
    <w:p w14:paraId="764B93C6" w14:textId="3A8F01A2" w:rsidR="00FA0363" w:rsidRDefault="00FA0363" w:rsidP="00FA0363">
      <w:pPr>
        <w:pStyle w:val="13"/>
        <w:ind w:firstLine="482"/>
      </w:pPr>
      <w:r w:rsidRPr="005D2CDF">
        <w:rPr>
          <w:b/>
          <w:bCs/>
        </w:rPr>
        <w:t>1.0.3</w:t>
      </w:r>
      <w:r w:rsidR="002451CD">
        <w:t xml:space="preserve"> </w:t>
      </w:r>
      <w:r>
        <w:t>房地产估价除应符合本规范的规定外，尚应符合国家现行有关强制性标准的规定。</w:t>
      </w:r>
    </w:p>
    <w:p w14:paraId="4C71147B" w14:textId="0290A3CE" w:rsidR="00FA0363" w:rsidRDefault="00FA0363" w:rsidP="00AF7342">
      <w:pPr>
        <w:pStyle w:val="a9"/>
        <w:spacing w:before="62" w:after="62"/>
      </w:pPr>
      <w:r>
        <w:t>2</w:t>
      </w:r>
      <w:r w:rsidR="00F811C3">
        <w:t xml:space="preserve"> </w:t>
      </w:r>
      <w:r>
        <w:t>估价原则</w:t>
      </w:r>
    </w:p>
    <w:p w14:paraId="292B8EC6" w14:textId="470CC51C" w:rsidR="00FA0363" w:rsidRDefault="00FA0363" w:rsidP="00FA0363">
      <w:pPr>
        <w:pStyle w:val="13"/>
        <w:ind w:firstLine="482"/>
      </w:pPr>
      <w:r w:rsidRPr="005D2CDF">
        <w:rPr>
          <w:b/>
          <w:bCs/>
        </w:rPr>
        <w:t>2.0.1</w:t>
      </w:r>
      <w:r w:rsidR="002451CD">
        <w:t xml:space="preserve"> </w:t>
      </w:r>
      <w:r>
        <w:t>评估市场价值，应遵循下列原则：</w:t>
      </w:r>
    </w:p>
    <w:p w14:paraId="0710FE7A" w14:textId="2BF0F192" w:rsidR="00FA0363" w:rsidRDefault="00FA0363" w:rsidP="00FA0363">
      <w:pPr>
        <w:pStyle w:val="13"/>
      </w:pPr>
      <w:r>
        <w:t>1</w:t>
      </w:r>
      <w:r w:rsidR="002451CD">
        <w:t xml:space="preserve"> </w:t>
      </w:r>
      <w:r>
        <w:t>独立、客观、公正原则；</w:t>
      </w:r>
    </w:p>
    <w:p w14:paraId="31FF38CE" w14:textId="4D09F0DD" w:rsidR="00FA0363" w:rsidRDefault="00FA0363" w:rsidP="00FA0363">
      <w:pPr>
        <w:pStyle w:val="13"/>
      </w:pPr>
      <w:r>
        <w:t>2</w:t>
      </w:r>
      <w:r w:rsidR="002451CD">
        <w:t xml:space="preserve"> </w:t>
      </w:r>
      <w:r>
        <w:t>合法原则；</w:t>
      </w:r>
    </w:p>
    <w:p w14:paraId="2733104D" w14:textId="2E647E63" w:rsidR="00FA0363" w:rsidRDefault="00FA0363" w:rsidP="00FA0363">
      <w:pPr>
        <w:pStyle w:val="13"/>
      </w:pPr>
      <w:r>
        <w:t>3</w:t>
      </w:r>
      <w:r w:rsidR="002451CD">
        <w:t xml:space="preserve"> </w:t>
      </w:r>
      <w:r>
        <w:t>价值日期原则；</w:t>
      </w:r>
    </w:p>
    <w:p w14:paraId="6D052F2A" w14:textId="2F243CE4" w:rsidR="00FA0363" w:rsidRDefault="00FA0363" w:rsidP="00FA0363">
      <w:pPr>
        <w:pStyle w:val="13"/>
      </w:pPr>
      <w:r>
        <w:t>4</w:t>
      </w:r>
      <w:r w:rsidR="002451CD">
        <w:t xml:space="preserve"> </w:t>
      </w:r>
      <w:r>
        <w:t>替代原则；</w:t>
      </w:r>
    </w:p>
    <w:p w14:paraId="7AEF4C40" w14:textId="7A5BE6C7" w:rsidR="00FA0363" w:rsidRDefault="00FA0363" w:rsidP="00FA0363">
      <w:pPr>
        <w:pStyle w:val="13"/>
      </w:pPr>
      <w:r>
        <w:t>5</w:t>
      </w:r>
      <w:r w:rsidR="002451CD">
        <w:t xml:space="preserve"> </w:t>
      </w:r>
      <w:r>
        <w:t>最高</w:t>
      </w:r>
      <w:proofErr w:type="gramStart"/>
      <w:r>
        <w:t>最佳利用</w:t>
      </w:r>
      <w:proofErr w:type="gramEnd"/>
      <w:r>
        <w:t>原则。</w:t>
      </w:r>
    </w:p>
    <w:p w14:paraId="494D25F7" w14:textId="58264D06" w:rsidR="00FA0363" w:rsidRDefault="00FA0363" w:rsidP="00FA0363">
      <w:pPr>
        <w:pStyle w:val="13"/>
        <w:ind w:firstLine="482"/>
      </w:pPr>
      <w:r w:rsidRPr="005D2CDF">
        <w:rPr>
          <w:b/>
          <w:bCs/>
        </w:rPr>
        <w:t>2.0.2</w:t>
      </w:r>
      <w:r w:rsidR="002451CD">
        <w:t xml:space="preserve"> </w:t>
      </w:r>
      <w:r>
        <w:t>房地产的抵押评估价值和抵押净值评估，除应遵循市场价值评估原则外，还应遵循谨慎原则，</w:t>
      </w:r>
    </w:p>
    <w:p w14:paraId="2FB6522B" w14:textId="69DC61F6" w:rsidR="00FA0363" w:rsidRDefault="00FA0363" w:rsidP="00FA0363">
      <w:pPr>
        <w:pStyle w:val="13"/>
        <w:ind w:firstLine="482"/>
      </w:pPr>
      <w:r w:rsidRPr="005D2CDF">
        <w:rPr>
          <w:b/>
          <w:bCs/>
        </w:rPr>
        <w:lastRenderedPageBreak/>
        <w:t>2.0.3</w:t>
      </w:r>
      <w:r w:rsidR="002451CD">
        <w:t xml:space="preserve"> </w:t>
      </w:r>
      <w:r>
        <w:t>房地产的投资价值、现状价值等其他价值和价格评估应根据估价目的和价值类型从市场价值评估的原则中选择适用原则，并可增加其他适用原则</w:t>
      </w:r>
    </w:p>
    <w:p w14:paraId="007B0282" w14:textId="0F43B7CC" w:rsidR="00FA0363" w:rsidRDefault="00FA0363" w:rsidP="00FA0363">
      <w:pPr>
        <w:pStyle w:val="13"/>
        <w:ind w:firstLine="482"/>
      </w:pPr>
      <w:r w:rsidRPr="005D2CDF">
        <w:rPr>
          <w:b/>
          <w:bCs/>
        </w:rPr>
        <w:t>2.0.4</w:t>
      </w:r>
      <w:r w:rsidR="002451CD">
        <w:t xml:space="preserve"> </w:t>
      </w:r>
      <w:r>
        <w:t>遵行不同估价原则的评估价值，应符合下列规定：</w:t>
      </w:r>
    </w:p>
    <w:p w14:paraId="0A1BE243" w14:textId="6BC9105B" w:rsidR="00FA0363" w:rsidRDefault="00FA0363" w:rsidP="00FA0363">
      <w:pPr>
        <w:pStyle w:val="13"/>
      </w:pPr>
      <w:r>
        <w:t>1</w:t>
      </w:r>
      <w:r w:rsidR="002451CD">
        <w:t xml:space="preserve"> </w:t>
      </w:r>
      <w:r>
        <w:t>遵循独立、客观、公正原则，评估价值应对各方估价利害关系人均是公平合理的价值或价格。</w:t>
      </w:r>
    </w:p>
    <w:p w14:paraId="6AC3DE2F" w14:textId="69058A1F" w:rsidR="00FA0363" w:rsidRDefault="00FA0363" w:rsidP="00FA0363">
      <w:pPr>
        <w:pStyle w:val="13"/>
      </w:pPr>
      <w:r>
        <w:t>2</w:t>
      </w:r>
      <w:r w:rsidR="002451CD">
        <w:t xml:space="preserve"> </w:t>
      </w:r>
      <w:r>
        <w:t>遵循合法原则，估价结果应是在依法判定的估价对象状况下的价值或价格。</w:t>
      </w:r>
    </w:p>
    <w:p w14:paraId="772F9F1A" w14:textId="10A898C3" w:rsidR="00FA0363" w:rsidRDefault="00FA0363" w:rsidP="00FA0363">
      <w:pPr>
        <w:pStyle w:val="13"/>
      </w:pPr>
      <w:r>
        <w:t>3</w:t>
      </w:r>
      <w:r w:rsidR="002451CD">
        <w:t xml:space="preserve"> </w:t>
      </w:r>
      <w:r>
        <w:t>遵循价值时点原则，估价结果应是在根据估价目的确定的某一特定时间的价值或价格。</w:t>
      </w:r>
    </w:p>
    <w:p w14:paraId="78F7B1DC" w14:textId="251E7E2E" w:rsidR="00FA0363" w:rsidRDefault="00FA0363" w:rsidP="00FA0363">
      <w:pPr>
        <w:pStyle w:val="13"/>
      </w:pPr>
      <w:r>
        <w:t>4</w:t>
      </w:r>
      <w:r w:rsidR="002451CD">
        <w:t xml:space="preserve"> </w:t>
      </w:r>
      <w:r>
        <w:t>遵循替代原则，估价结果应与类似房地产在同等条件下的价值或价格偏差在合理范围内。</w:t>
      </w:r>
    </w:p>
    <w:p w14:paraId="516F4A38" w14:textId="06962823" w:rsidR="00FA0363" w:rsidRDefault="00FA0363" w:rsidP="00FA0363">
      <w:pPr>
        <w:pStyle w:val="13"/>
      </w:pPr>
      <w:r>
        <w:t>5</w:t>
      </w:r>
      <w:r w:rsidR="002451CD">
        <w:t xml:space="preserve"> </w:t>
      </w:r>
      <w:r>
        <w:t>遵循最高</w:t>
      </w:r>
      <w:proofErr w:type="gramStart"/>
      <w:r>
        <w:t>最佳利用</w:t>
      </w:r>
      <w:proofErr w:type="gramEnd"/>
      <w:r>
        <w:t>原则，估价结果应是在估价对象最高</w:t>
      </w:r>
      <w:proofErr w:type="gramStart"/>
      <w:r>
        <w:t>最佳利用</w:t>
      </w:r>
      <w:proofErr w:type="gramEnd"/>
      <w:r>
        <w:t>状况下的价值或价格。</w:t>
      </w:r>
    </w:p>
    <w:p w14:paraId="357F2594" w14:textId="77777777" w:rsidR="00FA0363" w:rsidRDefault="00FA0363" w:rsidP="00FA0363">
      <w:pPr>
        <w:pStyle w:val="13"/>
      </w:pPr>
      <w:r>
        <w:t>6  遵循谨慎原则，评估价值应在充分考虑导致估价对象价值或价格偏低的因素，慎重考虑导致估价对象价值或价格偏高因素下的价值或价格。</w:t>
      </w:r>
    </w:p>
    <w:p w14:paraId="69D1736F" w14:textId="779F763D" w:rsidR="00FA0363" w:rsidRDefault="00FA0363" w:rsidP="00FA0363">
      <w:pPr>
        <w:pStyle w:val="13"/>
        <w:ind w:firstLine="482"/>
      </w:pPr>
      <w:r w:rsidRPr="005D2CDF">
        <w:rPr>
          <w:b/>
          <w:bCs/>
        </w:rPr>
        <w:t>2.0.5</w:t>
      </w:r>
      <w:r w:rsidR="002451CD">
        <w:t xml:space="preserve"> </w:t>
      </w:r>
      <w:r>
        <w:t>最高</w:t>
      </w:r>
      <w:proofErr w:type="gramStart"/>
      <w:r>
        <w:t>最佳利用</w:t>
      </w:r>
      <w:proofErr w:type="gramEnd"/>
      <w:r>
        <w:t>状况包括最佳的用途、规模和档次等，应按法律上允许、技术上可能、财务上可行、价值最大化的次序进行分析、筛选和判断确定。并符合下列规定：</w:t>
      </w:r>
    </w:p>
    <w:p w14:paraId="23464CE8" w14:textId="6D1A0CBB" w:rsidR="00FA0363" w:rsidRDefault="00FA0363" w:rsidP="00FA0363">
      <w:pPr>
        <w:pStyle w:val="13"/>
      </w:pPr>
      <w:r>
        <w:t>1</w:t>
      </w:r>
      <w:r w:rsidR="002451CD">
        <w:t xml:space="preserve"> </w:t>
      </w:r>
      <w:r>
        <w:t>当估价对象权利人和意向取得者对估价对象依法享有的开发利用权利不同时，应根据估价目的确定是从估价对象权利人的角度或从意向取得者的角度进行估价，再根据其对估价对象依法享有的开发利用权利，确定估价对象的最高</w:t>
      </w:r>
      <w:proofErr w:type="gramStart"/>
      <w:r>
        <w:t>最佳利用</w:t>
      </w:r>
      <w:proofErr w:type="gramEnd"/>
      <w:r>
        <w:t>状况。</w:t>
      </w:r>
    </w:p>
    <w:p w14:paraId="5B01231E" w14:textId="6829CAAA" w:rsidR="00FA0363" w:rsidRDefault="00FA0363" w:rsidP="00FA0363">
      <w:pPr>
        <w:pStyle w:val="13"/>
      </w:pPr>
      <w:r>
        <w:t>2</w:t>
      </w:r>
      <w:r w:rsidR="002451CD">
        <w:t xml:space="preserve"> </w:t>
      </w:r>
      <w:r>
        <w:t>当估价对象已做了某种使用，应在调查及分析其利用现状基础上，对其最高</w:t>
      </w:r>
      <w:proofErr w:type="gramStart"/>
      <w:r>
        <w:t>最佳利用</w:t>
      </w:r>
      <w:proofErr w:type="gramEnd"/>
      <w:r>
        <w:t>和相应的估价前提</w:t>
      </w:r>
      <w:proofErr w:type="gramStart"/>
      <w:r>
        <w:t>作出</w:t>
      </w:r>
      <w:proofErr w:type="gramEnd"/>
      <w:r>
        <w:t>下列的判断和选择，并在估价报告中说明：</w:t>
      </w:r>
    </w:p>
    <w:p w14:paraId="55AD10A3" w14:textId="03F701DE" w:rsidR="00FA0363" w:rsidRDefault="00FA0363" w:rsidP="00FA0363">
      <w:pPr>
        <w:pStyle w:val="13"/>
      </w:pPr>
      <w:r>
        <w:t>1</w:t>
      </w:r>
      <w:r w:rsidR="002451CD">
        <w:t xml:space="preserve"> </w:t>
      </w:r>
      <w:r>
        <w:t>维持现状前提：分析、判断维持现状、继续利用最为合理的，应以维持现状为前提进行估价；</w:t>
      </w:r>
    </w:p>
    <w:p w14:paraId="6B6415C7" w14:textId="03C8EF3E" w:rsidR="00FA0363" w:rsidRDefault="00FA0363" w:rsidP="00FA0363">
      <w:pPr>
        <w:pStyle w:val="13"/>
      </w:pPr>
      <w:r>
        <w:t>2</w:t>
      </w:r>
      <w:r w:rsidR="002451CD">
        <w:t xml:space="preserve"> </w:t>
      </w:r>
      <w:r>
        <w:t>更新改造前提：分析、判断更新改造再予以利用最为合理的，应以更新改造为前</w:t>
      </w:r>
      <w:r>
        <w:rPr>
          <w:rFonts w:hint="eastAsia"/>
        </w:rPr>
        <w:t>提进行估价；</w:t>
      </w:r>
    </w:p>
    <w:p w14:paraId="79A467F4" w14:textId="584DDAA9" w:rsidR="00FA0363" w:rsidRDefault="00FA0363" w:rsidP="00FA0363">
      <w:pPr>
        <w:pStyle w:val="13"/>
      </w:pPr>
      <w:r>
        <w:t>3</w:t>
      </w:r>
      <w:r w:rsidR="002451CD">
        <w:t xml:space="preserve"> </w:t>
      </w:r>
      <w:r>
        <w:t>改变用途前提：分析、判断改变用途再予以利用最为合理的，应以改变用途为前提进行估价；</w:t>
      </w:r>
    </w:p>
    <w:p w14:paraId="3334F4CD" w14:textId="1B7D06E3" w:rsidR="00FA0363" w:rsidRDefault="00FA0363" w:rsidP="00FA0363">
      <w:pPr>
        <w:pStyle w:val="13"/>
      </w:pPr>
      <w:r>
        <w:t>4</w:t>
      </w:r>
      <w:r w:rsidR="002451CD">
        <w:t xml:space="preserve"> </w:t>
      </w:r>
      <w:r>
        <w:t>扩大规模前提：分析、判断扩大规模再予以利用最为合理的，应以扩大规模为前提进行估价；</w:t>
      </w:r>
    </w:p>
    <w:p w14:paraId="11A02B60" w14:textId="4B718C1B" w:rsidR="00FA0363" w:rsidRDefault="00FA0363" w:rsidP="00FA0363">
      <w:pPr>
        <w:pStyle w:val="13"/>
      </w:pPr>
      <w:r>
        <w:t>5</w:t>
      </w:r>
      <w:r w:rsidR="002451CD">
        <w:t xml:space="preserve"> </w:t>
      </w:r>
      <w:r>
        <w:t>重新开发前提：分析、判断重新开发再予以利用最为合理的，应以重新开发为前提进行估价；</w:t>
      </w:r>
    </w:p>
    <w:p w14:paraId="48ACBF9E" w14:textId="750C4305" w:rsidR="00FA0363" w:rsidRDefault="00FA0363" w:rsidP="00FA0363">
      <w:pPr>
        <w:pStyle w:val="13"/>
      </w:pPr>
      <w:r>
        <w:t>6</w:t>
      </w:r>
      <w:r w:rsidR="002451CD">
        <w:t xml:space="preserve"> </w:t>
      </w:r>
      <w:r>
        <w:t>上述情形的某种组合或其他特殊利用最为合理的，应选</w:t>
      </w:r>
      <w:proofErr w:type="gramStart"/>
      <w:r>
        <w:t>择上述</w:t>
      </w:r>
      <w:proofErr w:type="gramEnd"/>
      <w:r>
        <w:t>前提的某种组合或其他特殊利用前提进行估价。</w:t>
      </w:r>
    </w:p>
    <w:p w14:paraId="263FDDA7" w14:textId="68902490" w:rsidR="00FA0363" w:rsidRDefault="00FA0363" w:rsidP="00FA0363">
      <w:pPr>
        <w:pStyle w:val="13"/>
        <w:ind w:firstLine="482"/>
      </w:pPr>
      <w:r w:rsidRPr="005D2CDF">
        <w:rPr>
          <w:b/>
          <w:bCs/>
        </w:rPr>
        <w:lastRenderedPageBreak/>
        <w:t>2.0.6</w:t>
      </w:r>
      <w:r w:rsidR="002451CD">
        <w:t xml:space="preserve"> </w:t>
      </w:r>
      <w:r>
        <w:t>当估价对象的实际用途、登记用途、规划用途之间不一致时，应按下列规定确定估价所依据的用途，并应作为估价假设中的不相一致假设在估价报告中说明及对估价报告和估价结果的使用</w:t>
      </w:r>
      <w:proofErr w:type="gramStart"/>
      <w:r>
        <w:t>作出</w:t>
      </w:r>
      <w:proofErr w:type="gramEnd"/>
      <w:r>
        <w:t>相应限制：</w:t>
      </w:r>
    </w:p>
    <w:p w14:paraId="7B270D8E" w14:textId="73F654D6" w:rsidR="00FA0363" w:rsidRDefault="00FA0363" w:rsidP="00FA0363">
      <w:pPr>
        <w:pStyle w:val="13"/>
      </w:pPr>
      <w:r>
        <w:t>1</w:t>
      </w:r>
      <w:r w:rsidR="002451CD">
        <w:t xml:space="preserve"> </w:t>
      </w:r>
      <w:r>
        <w:t>政府或其有关部门对估价对象的用途有认定或处理的，应按其认定或处理结果进行估价；</w:t>
      </w:r>
    </w:p>
    <w:p w14:paraId="24400224" w14:textId="3CD055B3" w:rsidR="00FA0363" w:rsidRDefault="00FA0363" w:rsidP="00FA0363">
      <w:pPr>
        <w:pStyle w:val="13"/>
      </w:pPr>
      <w:r>
        <w:t>2</w:t>
      </w:r>
      <w:r w:rsidR="002451CD">
        <w:t xml:space="preserve"> </w:t>
      </w:r>
      <w:r>
        <w:t>政府或其有关部门对估价对象的用途没有认定或处理的，应按下列规定执行：</w:t>
      </w:r>
    </w:p>
    <w:p w14:paraId="469ED4CD" w14:textId="77777777" w:rsidR="00FA0363" w:rsidRDefault="00FA0363" w:rsidP="00FA0363">
      <w:pPr>
        <w:pStyle w:val="13"/>
      </w:pPr>
      <w:r>
        <w:t>1）登记用途、规划用途之间不一致的，可根据估价目的或最高</w:t>
      </w:r>
      <w:proofErr w:type="gramStart"/>
      <w:r>
        <w:t>最佳利用</w:t>
      </w:r>
      <w:proofErr w:type="gramEnd"/>
      <w:r>
        <w:t>原则选择其中一种用途；</w:t>
      </w:r>
    </w:p>
    <w:p w14:paraId="56569F61" w14:textId="77777777" w:rsidR="00FA0363" w:rsidRDefault="00FA0363" w:rsidP="00FA0363">
      <w:pPr>
        <w:pStyle w:val="13"/>
      </w:pPr>
      <w:r>
        <w:t>2）实际用途与登记用途、规划用途均不一致的，应根据估价目的确定估价所依据的用途。</w:t>
      </w:r>
    </w:p>
    <w:p w14:paraId="542D1D16" w14:textId="57A2D4B7" w:rsidR="00FA0363" w:rsidRDefault="00F811C3" w:rsidP="00AF7342">
      <w:pPr>
        <w:pStyle w:val="a9"/>
        <w:spacing w:before="62" w:after="62"/>
      </w:pPr>
      <w:r>
        <w:rPr>
          <w:rFonts w:hint="eastAsia"/>
        </w:rPr>
        <w:t>3</w:t>
      </w:r>
      <w:r>
        <w:t xml:space="preserve"> </w:t>
      </w:r>
      <w:r w:rsidR="00FA0363">
        <w:rPr>
          <w:rFonts w:hint="eastAsia"/>
        </w:rPr>
        <w:t>估价程序</w:t>
      </w:r>
    </w:p>
    <w:p w14:paraId="61C1AE74" w14:textId="552B728D" w:rsidR="00FA0363" w:rsidRDefault="00FA0363" w:rsidP="00FA0363">
      <w:pPr>
        <w:pStyle w:val="13"/>
        <w:ind w:firstLine="482"/>
      </w:pPr>
      <w:r w:rsidRPr="005D2CDF">
        <w:rPr>
          <w:b/>
          <w:bCs/>
        </w:rPr>
        <w:t>3.0.1</w:t>
      </w:r>
      <w:r w:rsidR="002451CD">
        <w:t xml:space="preserve"> </w:t>
      </w:r>
      <w:r>
        <w:t>房地产估价工作应按下列程序进行：</w:t>
      </w:r>
    </w:p>
    <w:p w14:paraId="5E4E93B2" w14:textId="05CF9BDF" w:rsidR="00FA0363" w:rsidRDefault="00FA0363" w:rsidP="00FA0363">
      <w:pPr>
        <w:pStyle w:val="13"/>
      </w:pPr>
      <w:r>
        <w:t>1</w:t>
      </w:r>
      <w:r w:rsidR="002451CD">
        <w:t xml:space="preserve"> </w:t>
      </w:r>
      <w:r>
        <w:t>受理估价委托</w:t>
      </w:r>
    </w:p>
    <w:p w14:paraId="078501AA" w14:textId="4D5CAABD" w:rsidR="00FA0363" w:rsidRDefault="00FA0363" w:rsidP="00FA0363">
      <w:pPr>
        <w:pStyle w:val="13"/>
      </w:pPr>
      <w:r>
        <w:t>2</w:t>
      </w:r>
      <w:r w:rsidR="002451CD">
        <w:t xml:space="preserve"> </w:t>
      </w:r>
      <w:r>
        <w:t>明确估价基本事项；</w:t>
      </w:r>
    </w:p>
    <w:p w14:paraId="149D7CC0" w14:textId="120BBFBF" w:rsidR="00FA0363" w:rsidRDefault="00FA0363" w:rsidP="00FA0363">
      <w:pPr>
        <w:pStyle w:val="13"/>
      </w:pPr>
      <w:r>
        <w:t>3</w:t>
      </w:r>
      <w:r w:rsidR="002451CD">
        <w:t xml:space="preserve"> </w:t>
      </w:r>
      <w:r>
        <w:t>制定估价作业方案；</w:t>
      </w:r>
    </w:p>
    <w:p w14:paraId="78C788BF" w14:textId="733CB518" w:rsidR="00FA0363" w:rsidRDefault="00FA0363" w:rsidP="00FA0363">
      <w:pPr>
        <w:pStyle w:val="13"/>
      </w:pPr>
      <w:r>
        <w:t>4</w:t>
      </w:r>
      <w:r w:rsidR="002451CD">
        <w:t xml:space="preserve"> </w:t>
      </w:r>
      <w:r>
        <w:t>搜集估价所需资料；</w:t>
      </w:r>
    </w:p>
    <w:p w14:paraId="19D5EDAB" w14:textId="3AC56A81" w:rsidR="00FA0363" w:rsidRDefault="00FA0363" w:rsidP="00FA0363">
      <w:pPr>
        <w:pStyle w:val="13"/>
      </w:pPr>
      <w:r>
        <w:t>5</w:t>
      </w:r>
      <w:r w:rsidR="002451CD">
        <w:t xml:space="preserve"> </w:t>
      </w:r>
      <w:r>
        <w:t>实地查勘估价对象；</w:t>
      </w:r>
    </w:p>
    <w:p w14:paraId="3F0B6A59" w14:textId="35848B5C" w:rsidR="00FA0363" w:rsidRDefault="00FA0363" w:rsidP="00FA0363">
      <w:pPr>
        <w:pStyle w:val="13"/>
      </w:pPr>
      <w:r>
        <w:t>6</w:t>
      </w:r>
      <w:r w:rsidR="002451CD">
        <w:t xml:space="preserve"> </w:t>
      </w:r>
      <w:r>
        <w:t>选定估价方法进行测算；</w:t>
      </w:r>
    </w:p>
    <w:p w14:paraId="33FBBF22" w14:textId="79E8D590" w:rsidR="00FA0363" w:rsidRDefault="00FA0363" w:rsidP="00FA0363">
      <w:pPr>
        <w:pStyle w:val="13"/>
      </w:pPr>
      <w:r>
        <w:t>7</w:t>
      </w:r>
      <w:r w:rsidR="002451CD">
        <w:t xml:space="preserve"> </w:t>
      </w:r>
      <w:r>
        <w:t>确定估价结果；</w:t>
      </w:r>
    </w:p>
    <w:p w14:paraId="49677C81" w14:textId="21DDCD83" w:rsidR="00FA0363" w:rsidRDefault="00FA0363" w:rsidP="00FA0363">
      <w:pPr>
        <w:pStyle w:val="13"/>
      </w:pPr>
      <w:r>
        <w:t>8</w:t>
      </w:r>
      <w:r w:rsidR="002451CD">
        <w:t xml:space="preserve"> </w:t>
      </w:r>
      <w:r>
        <w:t>撰写估价报告；</w:t>
      </w:r>
    </w:p>
    <w:p w14:paraId="2220498A" w14:textId="0E2765A0" w:rsidR="00FA0363" w:rsidRDefault="00FA0363" w:rsidP="00FA0363">
      <w:pPr>
        <w:pStyle w:val="13"/>
      </w:pPr>
      <w:r>
        <w:t>9</w:t>
      </w:r>
      <w:r w:rsidR="002451CD">
        <w:t xml:space="preserve"> </w:t>
      </w:r>
      <w:r>
        <w:t>审核估价报告；</w:t>
      </w:r>
    </w:p>
    <w:p w14:paraId="4BB20375" w14:textId="77A1003C" w:rsidR="00FA0363" w:rsidRDefault="00FA0363" w:rsidP="00FA0363">
      <w:pPr>
        <w:pStyle w:val="13"/>
      </w:pPr>
      <w:r>
        <w:t>10</w:t>
      </w:r>
      <w:r w:rsidR="002451CD">
        <w:t xml:space="preserve"> </w:t>
      </w:r>
      <w:r>
        <w:t>交付估价报告；</w:t>
      </w:r>
    </w:p>
    <w:p w14:paraId="073B6E8F" w14:textId="7D7AF686" w:rsidR="00FA0363" w:rsidRDefault="00FA0363" w:rsidP="00FA0363">
      <w:pPr>
        <w:pStyle w:val="13"/>
      </w:pPr>
      <w:r>
        <w:t>11</w:t>
      </w:r>
      <w:r w:rsidR="002451CD">
        <w:t xml:space="preserve"> </w:t>
      </w:r>
      <w:r>
        <w:t>估价资料归档。</w:t>
      </w:r>
    </w:p>
    <w:p w14:paraId="0E0D0944" w14:textId="34D2EB2E" w:rsidR="00FA0363" w:rsidRDefault="00FA0363" w:rsidP="00FA0363">
      <w:pPr>
        <w:pStyle w:val="13"/>
        <w:ind w:firstLine="482"/>
      </w:pPr>
      <w:r w:rsidRPr="005D2CDF">
        <w:rPr>
          <w:b/>
          <w:bCs/>
        </w:rPr>
        <w:t>3.0.2</w:t>
      </w:r>
      <w:r w:rsidR="002451CD">
        <w:t xml:space="preserve"> </w:t>
      </w:r>
      <w:r>
        <w:t>估价委托应由房地产估价机构统一受理，并应符合下列规定：</w:t>
      </w:r>
    </w:p>
    <w:p w14:paraId="25293AB7" w14:textId="631D589A" w:rsidR="00FA0363" w:rsidRDefault="00FA0363" w:rsidP="00FA0363">
      <w:pPr>
        <w:pStyle w:val="13"/>
      </w:pPr>
      <w:r>
        <w:t>1</w:t>
      </w:r>
      <w:r w:rsidR="002451CD">
        <w:t xml:space="preserve"> </w:t>
      </w:r>
      <w:r>
        <w:t>在接受估价委托时，应要求估价委托人出具估价委托书；</w:t>
      </w:r>
    </w:p>
    <w:p w14:paraId="39BE3D1F" w14:textId="75366A56" w:rsidR="00FA0363" w:rsidRDefault="00FA0363" w:rsidP="00FA0363">
      <w:pPr>
        <w:pStyle w:val="13"/>
      </w:pPr>
      <w:r>
        <w:t>2</w:t>
      </w:r>
      <w:r w:rsidR="002451CD">
        <w:t xml:space="preserve"> </w:t>
      </w:r>
      <w:r>
        <w:t>决定受理估价委托后，应根据估价项目的规模、难度和完成时间确定参加估价的注册房地产估价师数量，并清洗选派两名能胜任该估价工作的注册房地产估价</w:t>
      </w:r>
      <w:proofErr w:type="gramStart"/>
      <w:r>
        <w:t>题共同</w:t>
      </w:r>
      <w:proofErr w:type="gramEnd"/>
      <w:r>
        <w:t>进行估价，且应明确其中</w:t>
      </w:r>
      <w:proofErr w:type="gramStart"/>
      <w:r>
        <w:t>一人为项目</w:t>
      </w:r>
      <w:proofErr w:type="gramEnd"/>
      <w:r>
        <w:t>负责人。</w:t>
      </w:r>
    </w:p>
    <w:p w14:paraId="523BA268" w14:textId="77777777" w:rsidR="00FA0363" w:rsidRDefault="00FA0363" w:rsidP="00FA0363">
      <w:pPr>
        <w:pStyle w:val="13"/>
      </w:pPr>
      <w:r>
        <w:t>4除应采用批量估价的项目外，每个估价项目应至少有一名注册房地产估价师全程参与受理估价委托、实地查勘估价对拟定估价报告等估价工作。</w:t>
      </w:r>
    </w:p>
    <w:p w14:paraId="54D248F2" w14:textId="15499721" w:rsidR="00FA0363" w:rsidRDefault="00FA0363" w:rsidP="00FA0363">
      <w:pPr>
        <w:pStyle w:val="13"/>
        <w:ind w:firstLine="482"/>
      </w:pPr>
      <w:r w:rsidRPr="005D2CDF">
        <w:rPr>
          <w:b/>
          <w:bCs/>
        </w:rPr>
        <w:t>3.0.3</w:t>
      </w:r>
      <w:r w:rsidR="002451CD">
        <w:t xml:space="preserve"> </w:t>
      </w:r>
      <w:r>
        <w:t>估价基本事项包括估价目的、价值时点、估价对象和价值类型，应与估价委托人进行沟通及调查有关情况和规定的基础上确定，并应符合下列规定：</w:t>
      </w:r>
    </w:p>
    <w:p w14:paraId="22454B9A" w14:textId="45113257" w:rsidR="00FA0363" w:rsidRDefault="00FA0363" w:rsidP="00FA0363">
      <w:pPr>
        <w:pStyle w:val="13"/>
      </w:pPr>
      <w:r>
        <w:t>1</w:t>
      </w:r>
      <w:r w:rsidR="002451CD">
        <w:t xml:space="preserve"> </w:t>
      </w:r>
      <w:r>
        <w:t>估价目的应根据委托人真实、具体的估价需要以及估价报告的预期用途或预期使用者确定，对其表述应具体、准确、简洁。</w:t>
      </w:r>
    </w:p>
    <w:p w14:paraId="577204B2" w14:textId="051A862B" w:rsidR="00FA0363" w:rsidRDefault="00FA0363" w:rsidP="00FA0363">
      <w:pPr>
        <w:pStyle w:val="13"/>
      </w:pPr>
      <w:r>
        <w:lastRenderedPageBreak/>
        <w:t>2</w:t>
      </w:r>
      <w:r w:rsidR="002451CD">
        <w:t xml:space="preserve"> </w:t>
      </w:r>
      <w:r>
        <w:t>价值时点应根据估价目的确定，采用公历表示，宜具体到日。回顾性估价和预测性估价的价值时点在难以具体</w:t>
      </w:r>
      <w:proofErr w:type="gramStart"/>
      <w:r>
        <w:t>到日且能</w:t>
      </w:r>
      <w:proofErr w:type="gramEnd"/>
      <w:r>
        <w:t>满足估价目的需要的情况下，可到周或旬、月、季、半年、年等。</w:t>
      </w:r>
    </w:p>
    <w:p w14:paraId="4C2B11E1" w14:textId="597AD54C" w:rsidR="00FA0363" w:rsidRDefault="00FA0363" w:rsidP="00FA0363">
      <w:pPr>
        <w:pStyle w:val="13"/>
      </w:pPr>
      <w:r>
        <w:t>3</w:t>
      </w:r>
      <w:r w:rsidR="002451CD">
        <w:t xml:space="preserve"> </w:t>
      </w:r>
      <w:r>
        <w:t>估价对象应在估价委托人指定及提供有关情况和资料的基础上，根据估价目的依法确定。并应明确界定其财产范围和空间范围，不得遗漏或虚构。法律、行政法规规定不得买卖、租赁、抵押、作为出资或进行其他活动的房地产，或征收不予补偿的房地产，不应作为相应估价目的的估价对象。对作为估价对象的，应在估价报告中根据估价目的分析、说明其进行相应买卖或租赁、抵押、作为出资等活动的合法性。</w:t>
      </w:r>
    </w:p>
    <w:p w14:paraId="2B59D030" w14:textId="675ED6F0" w:rsidR="00FA0363" w:rsidRDefault="00FA0363" w:rsidP="00FA0363">
      <w:pPr>
        <w:pStyle w:val="13"/>
      </w:pPr>
      <w:r>
        <w:t>4</w:t>
      </w:r>
      <w:r w:rsidR="002451CD">
        <w:t xml:space="preserve"> </w:t>
      </w:r>
      <w:r>
        <w:t>价值类型应根据估价目的确定，并应包括价值或价格的名称、价值定义或内涵。</w:t>
      </w:r>
    </w:p>
    <w:p w14:paraId="2F94870C" w14:textId="175FB660" w:rsidR="00FA0363" w:rsidRDefault="00FA0363" w:rsidP="00FA0363">
      <w:pPr>
        <w:pStyle w:val="13"/>
        <w:ind w:firstLine="482"/>
      </w:pPr>
      <w:r w:rsidRPr="005D2CDF">
        <w:rPr>
          <w:b/>
          <w:bCs/>
        </w:rPr>
        <w:t>3.0.4</w:t>
      </w:r>
      <w:r w:rsidR="002451CD">
        <w:t xml:space="preserve"> </w:t>
      </w:r>
      <w:r>
        <w:t>制定估价作业方案应对估价目的进行分析的基础上编制，并应包括下列内容：</w:t>
      </w:r>
    </w:p>
    <w:p w14:paraId="700DA761" w14:textId="475D0AFF" w:rsidR="00FA0363" w:rsidRDefault="00FA0363" w:rsidP="00FA0363">
      <w:pPr>
        <w:pStyle w:val="13"/>
      </w:pPr>
      <w:r>
        <w:t>1</w:t>
      </w:r>
      <w:r w:rsidR="002451CD">
        <w:t xml:space="preserve"> </w:t>
      </w:r>
      <w:r>
        <w:t>估价工作的主要内容及质量要求，应包括拟采用的估价方法和估价技术路线，拟搜集的估价所需资料及其来源渠道等；</w:t>
      </w:r>
    </w:p>
    <w:p w14:paraId="56DB3424" w14:textId="3EB46CEB" w:rsidR="00FA0363" w:rsidRDefault="00FA0363" w:rsidP="00FA0363">
      <w:pPr>
        <w:pStyle w:val="13"/>
      </w:pPr>
      <w:r>
        <w:t>2</w:t>
      </w:r>
      <w:r w:rsidR="002451CD">
        <w:t xml:space="preserve"> </w:t>
      </w:r>
      <w:r>
        <w:t>估价工作的具体步骤及时间进度；</w:t>
      </w:r>
    </w:p>
    <w:p w14:paraId="326C2551" w14:textId="1E0369FF" w:rsidR="00FA0363" w:rsidRDefault="00FA0363" w:rsidP="00FA0363">
      <w:pPr>
        <w:pStyle w:val="13"/>
      </w:pPr>
      <w:r>
        <w:t>3</w:t>
      </w:r>
      <w:r w:rsidR="002451CD">
        <w:t xml:space="preserve"> </w:t>
      </w:r>
      <w:r>
        <w:t>估价工作的人员安排。</w:t>
      </w:r>
    </w:p>
    <w:p w14:paraId="79E05EE7" w14:textId="774DBF67" w:rsidR="00FA0363" w:rsidRDefault="00FA0363" w:rsidP="00FA0363">
      <w:pPr>
        <w:pStyle w:val="13"/>
        <w:ind w:firstLine="482"/>
      </w:pPr>
      <w:r w:rsidRPr="005D2CDF">
        <w:rPr>
          <w:b/>
          <w:bCs/>
        </w:rPr>
        <w:t>3.0.5</w:t>
      </w:r>
      <w:r w:rsidR="002451CD">
        <w:t xml:space="preserve"> </w:t>
      </w:r>
      <w:r>
        <w:t>估价所需资料应针对估价项目进行搜集，并应包括下列资料：</w:t>
      </w:r>
    </w:p>
    <w:p w14:paraId="2FA5B2E3" w14:textId="3EEFDBB8" w:rsidR="00FA0363" w:rsidRDefault="00FA0363" w:rsidP="00FA0363">
      <w:pPr>
        <w:pStyle w:val="13"/>
      </w:pPr>
      <w:r>
        <w:t>1</w:t>
      </w:r>
      <w:r w:rsidR="002451CD">
        <w:t xml:space="preserve"> </w:t>
      </w:r>
      <w:r>
        <w:t>反映估价对象区位、实物和权益状况的资料</w:t>
      </w:r>
    </w:p>
    <w:p w14:paraId="02CC88C2" w14:textId="5DFFAD50" w:rsidR="00FA0363" w:rsidRDefault="00FA0363" w:rsidP="00FA0363">
      <w:pPr>
        <w:pStyle w:val="13"/>
      </w:pPr>
      <w:r>
        <w:t>2</w:t>
      </w:r>
      <w:r w:rsidR="002451CD">
        <w:t xml:space="preserve"> </w:t>
      </w:r>
      <w:r>
        <w:t>估价对象及其同类房地产的交易、收益、成本等资料；</w:t>
      </w:r>
    </w:p>
    <w:p w14:paraId="7BA7293A" w14:textId="47DB324B" w:rsidR="00FA0363" w:rsidRDefault="00FA0363" w:rsidP="00FA0363">
      <w:pPr>
        <w:pStyle w:val="13"/>
      </w:pPr>
      <w:r>
        <w:t>3</w:t>
      </w:r>
      <w:r w:rsidR="002451CD">
        <w:t xml:space="preserve"> </w:t>
      </w:r>
      <w:r>
        <w:t>对估价对象所在地区的房地产价值和价格有影响的资料；</w:t>
      </w:r>
    </w:p>
    <w:p w14:paraId="56E5A376" w14:textId="15D99CAA" w:rsidR="00FA0363" w:rsidRDefault="00FA0363" w:rsidP="00FA0363">
      <w:pPr>
        <w:pStyle w:val="13"/>
      </w:pPr>
      <w:r>
        <w:t>4</w:t>
      </w:r>
      <w:r w:rsidR="002451CD">
        <w:t xml:space="preserve"> </w:t>
      </w:r>
      <w:r>
        <w:t>对房地产价值和价格有普遍影响的资料。</w:t>
      </w:r>
    </w:p>
    <w:p w14:paraId="42BCCD58" w14:textId="570B6012" w:rsidR="00FA0363" w:rsidRDefault="00FA0363" w:rsidP="00FA0363">
      <w:pPr>
        <w:pStyle w:val="13"/>
        <w:ind w:firstLine="482"/>
      </w:pPr>
      <w:r w:rsidRPr="005D2CDF">
        <w:rPr>
          <w:b/>
          <w:bCs/>
        </w:rPr>
        <w:t>3.0.6</w:t>
      </w:r>
      <w:r w:rsidR="002451CD">
        <w:t xml:space="preserve"> </w:t>
      </w:r>
      <w:r>
        <w:t>对搜集的估价所需资料应进行检查。当估价委托人是估价对象权利人时，应查看估价对象的权属证明原件，并应将复印与原件核对，不得仅凭复印件判断或假定估价对象的权属状况。</w:t>
      </w:r>
    </w:p>
    <w:p w14:paraId="601E7CE3" w14:textId="1E4600AB" w:rsidR="00FA0363" w:rsidRDefault="00FA0363" w:rsidP="00FA0363">
      <w:pPr>
        <w:pStyle w:val="13"/>
        <w:ind w:firstLine="482"/>
      </w:pPr>
      <w:r w:rsidRPr="005D2CDF">
        <w:rPr>
          <w:b/>
          <w:bCs/>
        </w:rPr>
        <w:t>3.0.7</w:t>
      </w:r>
      <w:r w:rsidR="002451CD">
        <w:t xml:space="preserve"> </w:t>
      </w:r>
      <w:r>
        <w:t>估价对象的实地查勘应符合下列规定：</w:t>
      </w:r>
    </w:p>
    <w:p w14:paraId="0CA9FB17" w14:textId="1E49045F" w:rsidR="00FA0363" w:rsidRDefault="00FA0363" w:rsidP="00FA0363">
      <w:pPr>
        <w:pStyle w:val="13"/>
      </w:pPr>
      <w:r>
        <w:t>1</w:t>
      </w:r>
      <w:r w:rsidR="002451CD">
        <w:t xml:space="preserve"> </w:t>
      </w:r>
      <w:r>
        <w:t>应观察、询问、检查、核对估价对象的区位状况、实物状况和权益状况，</w:t>
      </w:r>
    </w:p>
    <w:p w14:paraId="70126709" w14:textId="23977AB7" w:rsidR="00FA0363" w:rsidRDefault="00FA0363" w:rsidP="00FA0363">
      <w:pPr>
        <w:pStyle w:val="13"/>
      </w:pPr>
      <w:r>
        <w:t>2</w:t>
      </w:r>
      <w:r w:rsidR="002451CD">
        <w:t xml:space="preserve"> </w:t>
      </w:r>
      <w:proofErr w:type="gramStart"/>
      <w:r>
        <w:t>应拍摄</w:t>
      </w:r>
      <w:proofErr w:type="gramEnd"/>
      <w:r>
        <w:t>反映估价对象外观和内部状况以及周围环境状况的照片等影像资料，并应补充搜集估价所需的关于估价对象的其他资料；</w:t>
      </w:r>
    </w:p>
    <w:p w14:paraId="0D07C1A1" w14:textId="3DBDEEE1" w:rsidR="00FA0363" w:rsidRDefault="00FA0363" w:rsidP="00FA0363">
      <w:pPr>
        <w:pStyle w:val="13"/>
      </w:pPr>
      <w:r>
        <w:t>3</w:t>
      </w:r>
      <w:r w:rsidR="002451CD">
        <w:t xml:space="preserve"> </w:t>
      </w:r>
      <w:r>
        <w:t>应制作实地查勘记录，并记载实地查勘的对象、内容、结果、时间和人员及其签名，等，记载的内容应真实、客观、准确、完整、清晰。</w:t>
      </w:r>
    </w:p>
    <w:p w14:paraId="7D9BEC9D" w14:textId="280ADA38" w:rsidR="00FA0363" w:rsidRDefault="00FA0363" w:rsidP="00FA0363">
      <w:pPr>
        <w:pStyle w:val="13"/>
        <w:ind w:firstLine="482"/>
      </w:pPr>
      <w:r w:rsidRPr="005D2CDF">
        <w:rPr>
          <w:b/>
          <w:bCs/>
        </w:rPr>
        <w:t>3.0.8</w:t>
      </w:r>
      <w:r w:rsidR="002451CD">
        <w:t xml:space="preserve"> </w:t>
      </w:r>
      <w:proofErr w:type="gramStart"/>
      <w:r>
        <w:t>当无法</w:t>
      </w:r>
      <w:proofErr w:type="gramEnd"/>
      <w:r>
        <w:t>进入估价对象内部进行实地查勘时，应对估价对象的外部状况和区位状况进行实地查勘，并应在估价报告中说明未进入估价对象内部进行实地查勘及其具体原因。对未进扩实地查勘的估价对象内部进行实地查勘及其具体原因。对未进行实地查勘的估价对象内部状况，应作为估价假设中的依据不足假设在估价报告</w:t>
      </w:r>
      <w:r>
        <w:lastRenderedPageBreak/>
        <w:t>中说明。</w:t>
      </w:r>
    </w:p>
    <w:p w14:paraId="61D14CE7" w14:textId="2D40C8C1" w:rsidR="00FA0363" w:rsidRDefault="00FA0363" w:rsidP="00FA0363">
      <w:pPr>
        <w:pStyle w:val="13"/>
        <w:ind w:firstLine="482"/>
      </w:pPr>
      <w:r w:rsidRPr="005D2CDF">
        <w:rPr>
          <w:b/>
          <w:bCs/>
        </w:rPr>
        <w:t>3.0.9</w:t>
      </w:r>
      <w:r w:rsidR="002451CD">
        <w:t xml:space="preserve"> </w:t>
      </w:r>
      <w:r>
        <w:t>以估价中遇有难以解决的复杂、疑难、特殊的估价技术问题时，应寻求相关估价专家或单位提供专业帮助，并应在估价报告中说明。</w:t>
      </w:r>
    </w:p>
    <w:p w14:paraId="35801C26" w14:textId="3F29C66F" w:rsidR="00FA0363" w:rsidRDefault="00FA0363" w:rsidP="00FA0363">
      <w:pPr>
        <w:pStyle w:val="13"/>
        <w:ind w:firstLine="482"/>
      </w:pPr>
      <w:r w:rsidRPr="005D2CDF">
        <w:rPr>
          <w:b/>
          <w:bCs/>
        </w:rPr>
        <w:t>3.0.10</w:t>
      </w:r>
      <w:r w:rsidR="002451CD">
        <w:t xml:space="preserve"> </w:t>
      </w:r>
      <w:r>
        <w:t>对估价对象的房屋安全、质量缺陷、环境污染、建筑面积、财务状况等估价专业以外的专业问题，经实地查勘、查阅现有资料或向相关专业领域的专家咨询后，仍难以</w:t>
      </w:r>
      <w:proofErr w:type="gramStart"/>
      <w:r>
        <w:t>作出</w:t>
      </w:r>
      <w:proofErr w:type="gramEnd"/>
      <w:r>
        <w:t>常规判断和相应假设的，应建议估价委托人聘请具有相应资质资格的专业机构或专家先行鉴定或检测、测量、审计等。再以专业机构或专家出具的专业意见为依据进行估价，并应在估价报告中说明。</w:t>
      </w:r>
    </w:p>
    <w:p w14:paraId="0EC4BCAB" w14:textId="7F790FED" w:rsidR="00FA0363" w:rsidRDefault="00FA0363" w:rsidP="00FA0363">
      <w:pPr>
        <w:pStyle w:val="13"/>
        <w:ind w:firstLine="482"/>
      </w:pPr>
      <w:r w:rsidRPr="005D2CDF">
        <w:rPr>
          <w:b/>
          <w:bCs/>
        </w:rPr>
        <w:t>3.0.11</w:t>
      </w:r>
      <w:r w:rsidR="002451CD">
        <w:t xml:space="preserve"> </w:t>
      </w:r>
      <w:r>
        <w:t>估价报告在交付估价委托人前，应以其内容和形式等进行审查核定，并应形成审核记录，记载审核的意见、结论、日期和人员及其签名。</w:t>
      </w:r>
    </w:p>
    <w:p w14:paraId="2C869DF3" w14:textId="53B87604" w:rsidR="00FA0363" w:rsidRDefault="00FA0363" w:rsidP="00FA0363">
      <w:pPr>
        <w:pStyle w:val="13"/>
        <w:ind w:firstLine="482"/>
      </w:pPr>
      <w:r w:rsidRPr="005D2CDF">
        <w:rPr>
          <w:b/>
          <w:bCs/>
        </w:rPr>
        <w:t>3.0.12</w:t>
      </w:r>
      <w:r w:rsidR="002451CD">
        <w:t xml:space="preserve"> </w:t>
      </w:r>
      <w:r>
        <w:t>估价报告经内部审核合格后，应由不少于两名注册房地产估价师签名及加盖房地产估价机构公章，并应按有关规定和估价委托合同约定交付估价委托人。</w:t>
      </w:r>
    </w:p>
    <w:p w14:paraId="43664519" w14:textId="63F3D0EC" w:rsidR="00FA0363" w:rsidRDefault="00FA0363" w:rsidP="00FA0363">
      <w:pPr>
        <w:pStyle w:val="13"/>
        <w:ind w:firstLine="482"/>
      </w:pPr>
      <w:r w:rsidRPr="005D2CDF">
        <w:rPr>
          <w:b/>
          <w:bCs/>
        </w:rPr>
        <w:t>3.0.13</w:t>
      </w:r>
      <w:r w:rsidR="002451CD">
        <w:t xml:space="preserve"> </w:t>
      </w:r>
      <w:r>
        <w:t>估价报告交付估价委托人后，不得擅自改动、更换、删除或销毁下列估价资</w:t>
      </w:r>
      <w:r>
        <w:rPr>
          <w:rFonts w:hint="eastAsia"/>
        </w:rPr>
        <w:t>料：</w:t>
      </w:r>
    </w:p>
    <w:p w14:paraId="4575B768" w14:textId="53BD0B4D" w:rsidR="00FA0363" w:rsidRDefault="00FA0363" w:rsidP="00FA0363">
      <w:pPr>
        <w:pStyle w:val="13"/>
      </w:pPr>
      <w:r>
        <w:t>1</w:t>
      </w:r>
      <w:r w:rsidR="002451CD">
        <w:t xml:space="preserve"> </w:t>
      </w:r>
      <w:r>
        <w:t>估价报告；</w:t>
      </w:r>
    </w:p>
    <w:p w14:paraId="5009FD20" w14:textId="164C827D" w:rsidR="00FA0363" w:rsidRDefault="00FA0363" w:rsidP="00FA0363">
      <w:pPr>
        <w:pStyle w:val="13"/>
      </w:pPr>
      <w:r>
        <w:t>2</w:t>
      </w:r>
      <w:r w:rsidR="002451CD">
        <w:t xml:space="preserve"> </w:t>
      </w:r>
      <w:r>
        <w:t>估价委托书和估价委托合同；</w:t>
      </w:r>
    </w:p>
    <w:p w14:paraId="2A40A77E" w14:textId="1DE56806" w:rsidR="00FA0363" w:rsidRDefault="00FA0363" w:rsidP="00FA0363">
      <w:pPr>
        <w:pStyle w:val="13"/>
      </w:pPr>
      <w:r>
        <w:t>3</w:t>
      </w:r>
      <w:r w:rsidR="002451CD">
        <w:t xml:space="preserve"> </w:t>
      </w:r>
      <w:r>
        <w:t>估价所依据的估价委托人提供的资料；</w:t>
      </w:r>
    </w:p>
    <w:p w14:paraId="0D6651B6" w14:textId="664272B4" w:rsidR="00FA0363" w:rsidRDefault="00FA0363" w:rsidP="00FA0363">
      <w:pPr>
        <w:pStyle w:val="13"/>
      </w:pPr>
      <w:r>
        <w:t>4</w:t>
      </w:r>
      <w:r w:rsidR="002451CD">
        <w:t xml:space="preserve"> </w:t>
      </w:r>
      <w:r>
        <w:t>估价项目来源和沟通情况记录</w:t>
      </w:r>
    </w:p>
    <w:p w14:paraId="29596ACA" w14:textId="4D95B428" w:rsidR="00FA0363" w:rsidRDefault="00FA0363" w:rsidP="00FA0363">
      <w:pPr>
        <w:pStyle w:val="13"/>
      </w:pPr>
      <w:r>
        <w:t>5</w:t>
      </w:r>
      <w:r w:rsidR="002451CD">
        <w:t xml:space="preserve"> </w:t>
      </w:r>
      <w:r>
        <w:t>估价对象实地查勘记录；</w:t>
      </w:r>
    </w:p>
    <w:p w14:paraId="66629FA5" w14:textId="7C8296E0" w:rsidR="00FA0363" w:rsidRDefault="00FA0363" w:rsidP="00FA0363">
      <w:pPr>
        <w:pStyle w:val="13"/>
      </w:pPr>
      <w:r>
        <w:t>6</w:t>
      </w:r>
      <w:r w:rsidR="002451CD">
        <w:t xml:space="preserve"> </w:t>
      </w:r>
      <w:r>
        <w:t>估价报告内部审核记录；</w:t>
      </w:r>
    </w:p>
    <w:p w14:paraId="70937C18" w14:textId="77E83FE3" w:rsidR="00FA0363" w:rsidRDefault="00FA0363" w:rsidP="00FA0363">
      <w:pPr>
        <w:pStyle w:val="13"/>
      </w:pPr>
      <w:r>
        <w:t>7</w:t>
      </w:r>
      <w:r w:rsidR="002451CD">
        <w:t xml:space="preserve"> </w:t>
      </w:r>
      <w:r>
        <w:t>估价中的不同意见记录</w:t>
      </w:r>
    </w:p>
    <w:p w14:paraId="650C87EC" w14:textId="77777777" w:rsidR="00FA0363" w:rsidRDefault="00FA0363" w:rsidP="00FA0363">
      <w:pPr>
        <w:pStyle w:val="13"/>
      </w:pPr>
      <w:r>
        <w:t>6外部专业帮助的专业意见。</w:t>
      </w:r>
    </w:p>
    <w:p w14:paraId="2CC75575" w14:textId="0FE95CBD" w:rsidR="00FA0363" w:rsidRDefault="00FA0363" w:rsidP="00FA0363">
      <w:pPr>
        <w:pStyle w:val="13"/>
        <w:ind w:firstLine="482"/>
      </w:pPr>
      <w:r w:rsidRPr="005D2CDF">
        <w:rPr>
          <w:b/>
          <w:bCs/>
        </w:rPr>
        <w:t>3.0.14</w:t>
      </w:r>
      <w:r w:rsidR="002451CD">
        <w:t xml:space="preserve"> </w:t>
      </w:r>
      <w:r>
        <w:t>房地产估价机构应及时整理和保存估价资料，并应保存到估价服务的行为结</w:t>
      </w:r>
      <w:r>
        <w:rPr>
          <w:rFonts w:hint="eastAsia"/>
        </w:rPr>
        <w:t>束且不得少于</w:t>
      </w:r>
      <w:r>
        <w:t>10年。保存期限应自估价报告出具之日起计算。</w:t>
      </w:r>
    </w:p>
    <w:p w14:paraId="7626327B" w14:textId="1CC74991" w:rsidR="00FA0363" w:rsidRDefault="00FA0363" w:rsidP="00AF7342">
      <w:pPr>
        <w:pStyle w:val="a9"/>
        <w:spacing w:before="62" w:after="62"/>
      </w:pPr>
      <w:r>
        <w:t>4</w:t>
      </w:r>
      <w:r w:rsidR="00F811C3">
        <w:t xml:space="preserve"> </w:t>
      </w:r>
      <w:r>
        <w:t>估价方法</w:t>
      </w:r>
    </w:p>
    <w:p w14:paraId="326B95BD" w14:textId="7E01F7DA" w:rsidR="00FA0363" w:rsidRDefault="00FA0363" w:rsidP="002451CD">
      <w:pPr>
        <w:pStyle w:val="ab"/>
        <w:spacing w:before="62" w:after="62"/>
        <w:ind w:firstLine="482"/>
      </w:pPr>
      <w:r w:rsidRPr="005D2CDF">
        <w:t>4.1</w:t>
      </w:r>
      <w:r w:rsidR="002451CD">
        <w:t xml:space="preserve"> </w:t>
      </w:r>
      <w:r>
        <w:t>估价方法选用</w:t>
      </w:r>
    </w:p>
    <w:p w14:paraId="645C53A4" w14:textId="6FBE746B" w:rsidR="00FA0363" w:rsidRDefault="00FA0363" w:rsidP="00FA0363">
      <w:pPr>
        <w:pStyle w:val="13"/>
        <w:ind w:firstLine="482"/>
      </w:pPr>
      <w:r w:rsidRPr="005D2CDF">
        <w:rPr>
          <w:b/>
          <w:bCs/>
        </w:rPr>
        <w:t>4.1.1</w:t>
      </w:r>
      <w:r w:rsidR="002451CD">
        <w:t xml:space="preserve"> </w:t>
      </w:r>
      <w:r>
        <w:t>选用估价方法时，应根据估价对象及其所在地的房地产市场状况等客观条件，对比较法、收益法、成本法、假设开发法等进行适用性分析。</w:t>
      </w:r>
    </w:p>
    <w:p w14:paraId="4501AE91" w14:textId="28D41B94" w:rsidR="00FA0363" w:rsidRDefault="00FA0363" w:rsidP="00FA0363">
      <w:pPr>
        <w:pStyle w:val="13"/>
      </w:pPr>
      <w:r>
        <w:t>4.1.2</w:t>
      </w:r>
      <w:r w:rsidR="002451CD">
        <w:t xml:space="preserve"> </w:t>
      </w:r>
      <w:r>
        <w:t>估价方法的选用，应符合下列规定：</w:t>
      </w:r>
    </w:p>
    <w:p w14:paraId="6C92D168" w14:textId="72FE6565" w:rsidR="00FA0363" w:rsidRDefault="00FA0363" w:rsidP="00FA0363">
      <w:pPr>
        <w:pStyle w:val="13"/>
      </w:pPr>
      <w:r>
        <w:t>1</w:t>
      </w:r>
      <w:r w:rsidR="002451CD">
        <w:t xml:space="preserve"> </w:t>
      </w:r>
      <w:r>
        <w:t>估价对象的同类房地产有较多交易的，应选用比较法。</w:t>
      </w:r>
    </w:p>
    <w:p w14:paraId="57786FBA" w14:textId="1568D976" w:rsidR="00FA0363" w:rsidRDefault="00FA0363" w:rsidP="00FA0363">
      <w:pPr>
        <w:pStyle w:val="13"/>
      </w:pPr>
      <w:r>
        <w:t>2</w:t>
      </w:r>
      <w:r w:rsidR="002451CD">
        <w:t xml:space="preserve"> </w:t>
      </w:r>
      <w:r>
        <w:t>估价对象或其同类房地产通常有租金等经济收入的，应选用收益法。</w:t>
      </w:r>
    </w:p>
    <w:p w14:paraId="4263109B" w14:textId="169018A2" w:rsidR="00FA0363" w:rsidRDefault="00FA0363" w:rsidP="00FA0363">
      <w:pPr>
        <w:pStyle w:val="13"/>
      </w:pPr>
      <w:r>
        <w:t>3</w:t>
      </w:r>
      <w:r w:rsidR="002451CD">
        <w:t xml:space="preserve"> </w:t>
      </w:r>
      <w:r>
        <w:t>估价对象可假定为独立的开发建设项目进行重新开发建设的，宜选用成本法；当估价对象的同类房地产没有交易或交易很少，且估价对象或其同类房地产没有租金等经济收入时，应选用成本法。</w:t>
      </w:r>
    </w:p>
    <w:p w14:paraId="6D80E292" w14:textId="794AA679" w:rsidR="00FA0363" w:rsidRDefault="00FA0363" w:rsidP="00FA0363">
      <w:pPr>
        <w:pStyle w:val="13"/>
      </w:pPr>
      <w:r>
        <w:lastRenderedPageBreak/>
        <w:t>4</w:t>
      </w:r>
      <w:r w:rsidR="002451CD">
        <w:t xml:space="preserve"> </w:t>
      </w:r>
      <w:r>
        <w:t>估价对象具有开发或再开发潜力且开发完成后的价值可采用除成本法以外的方法测算的，应选用假设开发法。</w:t>
      </w:r>
    </w:p>
    <w:p w14:paraId="0480FA32" w14:textId="44C13BDA" w:rsidR="00FA0363" w:rsidRDefault="00FA0363" w:rsidP="00FA0363">
      <w:pPr>
        <w:pStyle w:val="13"/>
        <w:ind w:firstLine="482"/>
      </w:pPr>
      <w:r w:rsidRPr="005D2CDF">
        <w:rPr>
          <w:b/>
          <w:bCs/>
        </w:rPr>
        <w:t>4.1.3</w:t>
      </w:r>
      <w:r w:rsidR="002451CD">
        <w:t xml:space="preserve"> </w:t>
      </w:r>
      <w:r>
        <w:t>当估价对象仅适用一种估价方法进行估价时，可只选用一种方法进行估价。当估价对象适用两种或两种以上估价方法进行估价时，宜同时选用所有适用的估价方法</w:t>
      </w:r>
      <w:r>
        <w:rPr>
          <w:rFonts w:hint="eastAsia"/>
        </w:rPr>
        <w:t>进行估价，不得随意取舍；</w:t>
      </w:r>
      <w:proofErr w:type="gramStart"/>
      <w:r>
        <w:rPr>
          <w:rFonts w:hint="eastAsia"/>
        </w:rPr>
        <w:t>当必须</w:t>
      </w:r>
      <w:proofErr w:type="gramEnd"/>
      <w:r>
        <w:rPr>
          <w:rFonts w:hint="eastAsia"/>
        </w:rPr>
        <w:t>取舍时，应在估价报告中说明并陈述理由。</w:t>
      </w:r>
    </w:p>
    <w:p w14:paraId="630B0D14" w14:textId="77777777" w:rsidR="00FA0363" w:rsidRDefault="00FA0363" w:rsidP="002451CD">
      <w:pPr>
        <w:pStyle w:val="ab"/>
        <w:spacing w:before="62" w:after="62"/>
        <w:ind w:firstLine="482"/>
      </w:pPr>
      <w:r w:rsidRPr="005D2CDF">
        <w:t>4.2</w:t>
      </w:r>
      <w:r>
        <w:t>比较法</w:t>
      </w:r>
    </w:p>
    <w:p w14:paraId="3A01ABF5" w14:textId="64627D09" w:rsidR="00FA0363" w:rsidRDefault="00FA0363" w:rsidP="00FA0363">
      <w:pPr>
        <w:pStyle w:val="13"/>
        <w:ind w:firstLine="482"/>
      </w:pPr>
      <w:r w:rsidRPr="005D2CDF">
        <w:rPr>
          <w:b/>
          <w:bCs/>
        </w:rPr>
        <w:t>4.2.1</w:t>
      </w:r>
      <w:r w:rsidR="002451CD">
        <w:t xml:space="preserve"> </w:t>
      </w:r>
      <w:r>
        <w:t>运用比较法估价，应按下列步骤进行：</w:t>
      </w:r>
    </w:p>
    <w:p w14:paraId="6D2E9ADC" w14:textId="596AE1AC" w:rsidR="00FA0363" w:rsidRDefault="00FA0363" w:rsidP="00FA0363">
      <w:pPr>
        <w:pStyle w:val="13"/>
      </w:pPr>
      <w:r>
        <w:t>1</w:t>
      </w:r>
      <w:r w:rsidR="002451CD">
        <w:t xml:space="preserve"> </w:t>
      </w:r>
      <w:r>
        <w:t>搜集交易实例；</w:t>
      </w:r>
    </w:p>
    <w:p w14:paraId="2FF7E75A" w14:textId="33950089" w:rsidR="00FA0363" w:rsidRDefault="00FA0363" w:rsidP="00FA0363">
      <w:pPr>
        <w:pStyle w:val="13"/>
      </w:pPr>
      <w:r>
        <w:t>2</w:t>
      </w:r>
      <w:r w:rsidR="002451CD">
        <w:t xml:space="preserve"> </w:t>
      </w:r>
      <w:r>
        <w:t>选取可比实例；</w:t>
      </w:r>
    </w:p>
    <w:p w14:paraId="5473443B" w14:textId="6ADE3865" w:rsidR="00FA0363" w:rsidRDefault="00FA0363" w:rsidP="00FA0363">
      <w:pPr>
        <w:pStyle w:val="13"/>
      </w:pPr>
      <w:r>
        <w:t>3</w:t>
      </w:r>
      <w:r w:rsidR="002451CD">
        <w:t xml:space="preserve"> </w:t>
      </w:r>
      <w:r>
        <w:t>建立比较基础；</w:t>
      </w:r>
    </w:p>
    <w:p w14:paraId="650D71C9" w14:textId="5E711587" w:rsidR="00FA0363" w:rsidRDefault="00FA0363" w:rsidP="00FA0363">
      <w:pPr>
        <w:pStyle w:val="13"/>
      </w:pPr>
      <w:r>
        <w:t>4</w:t>
      </w:r>
      <w:r w:rsidR="002451CD">
        <w:t xml:space="preserve"> </w:t>
      </w:r>
      <w:r>
        <w:t>进行交易情况修正；</w:t>
      </w:r>
    </w:p>
    <w:p w14:paraId="4FD30A81" w14:textId="2ED700DE" w:rsidR="00FA0363" w:rsidRDefault="00FA0363" w:rsidP="00FA0363">
      <w:pPr>
        <w:pStyle w:val="13"/>
      </w:pPr>
      <w:r>
        <w:t>5</w:t>
      </w:r>
      <w:r w:rsidR="002451CD">
        <w:t xml:space="preserve"> </w:t>
      </w:r>
      <w:r>
        <w:t>进行市场状况调整；</w:t>
      </w:r>
    </w:p>
    <w:p w14:paraId="6E46D293" w14:textId="53D8E1F4" w:rsidR="00FA0363" w:rsidRDefault="00FA0363" w:rsidP="00FA0363">
      <w:pPr>
        <w:pStyle w:val="13"/>
      </w:pPr>
      <w:r>
        <w:t>6</w:t>
      </w:r>
      <w:r w:rsidR="002451CD">
        <w:t xml:space="preserve"> </w:t>
      </w:r>
      <w:r>
        <w:t>进行房地产状况调整；</w:t>
      </w:r>
    </w:p>
    <w:p w14:paraId="2E0937D5" w14:textId="262B74BA" w:rsidR="00FA0363" w:rsidRDefault="00FA0363" w:rsidP="00FA0363">
      <w:pPr>
        <w:pStyle w:val="13"/>
      </w:pPr>
      <w:r>
        <w:t>7</w:t>
      </w:r>
      <w:r w:rsidR="002451CD">
        <w:t xml:space="preserve"> </w:t>
      </w:r>
      <w:r>
        <w:t>计算比较价值。</w:t>
      </w:r>
    </w:p>
    <w:p w14:paraId="32AFA58B" w14:textId="1876EC7D" w:rsidR="00FA0363" w:rsidRDefault="00FA0363" w:rsidP="00FA0363">
      <w:pPr>
        <w:pStyle w:val="13"/>
        <w:ind w:firstLine="482"/>
      </w:pPr>
      <w:r w:rsidRPr="005D2CDF">
        <w:rPr>
          <w:b/>
          <w:bCs/>
        </w:rPr>
        <w:t>4.2.2</w:t>
      </w:r>
      <w:r w:rsidR="002451CD">
        <w:t xml:space="preserve"> </w:t>
      </w:r>
      <w:r>
        <w:t>搜集交易实例信息应满足比较法运用的需要，</w:t>
      </w:r>
      <w:proofErr w:type="gramStart"/>
      <w:r>
        <w:t>宜包括</w:t>
      </w:r>
      <w:proofErr w:type="gramEnd"/>
      <w:r>
        <w:t>下列内容：</w:t>
      </w:r>
    </w:p>
    <w:p w14:paraId="176EA40F" w14:textId="38D07260" w:rsidR="00FA0363" w:rsidRDefault="00FA0363" w:rsidP="00FA0363">
      <w:pPr>
        <w:pStyle w:val="13"/>
      </w:pPr>
      <w:r>
        <w:t>1</w:t>
      </w:r>
      <w:r w:rsidR="002451CD">
        <w:t xml:space="preserve"> </w:t>
      </w:r>
      <w:r>
        <w:t>交易对象基本状况；</w:t>
      </w:r>
    </w:p>
    <w:p w14:paraId="0A988FC5" w14:textId="0A9AE53F" w:rsidR="00FA0363" w:rsidRDefault="00FA0363" w:rsidP="00FA0363">
      <w:pPr>
        <w:pStyle w:val="13"/>
      </w:pPr>
      <w:r>
        <w:t>2</w:t>
      </w:r>
      <w:r w:rsidR="002451CD">
        <w:t xml:space="preserve"> </w:t>
      </w:r>
      <w:r>
        <w:t>交易双方基本情况；</w:t>
      </w:r>
    </w:p>
    <w:p w14:paraId="19D03483" w14:textId="442FADD6" w:rsidR="00FA0363" w:rsidRDefault="00FA0363" w:rsidP="00FA0363">
      <w:pPr>
        <w:pStyle w:val="13"/>
      </w:pPr>
      <w:r>
        <w:t>3</w:t>
      </w:r>
      <w:r w:rsidR="002451CD">
        <w:t xml:space="preserve"> </w:t>
      </w:r>
      <w:r>
        <w:t>交易方式</w:t>
      </w:r>
    </w:p>
    <w:p w14:paraId="637B450D" w14:textId="770DBC50" w:rsidR="00FA0363" w:rsidRDefault="00FA0363" w:rsidP="00FA0363">
      <w:pPr>
        <w:pStyle w:val="13"/>
      </w:pPr>
      <w:r>
        <w:t>4</w:t>
      </w:r>
      <w:r w:rsidR="002451CD">
        <w:t xml:space="preserve"> </w:t>
      </w:r>
      <w:r>
        <w:t>成交日期；</w:t>
      </w:r>
    </w:p>
    <w:p w14:paraId="0B14FE29" w14:textId="076DA890" w:rsidR="00FA0363" w:rsidRDefault="00FA0363" w:rsidP="00FA0363">
      <w:pPr>
        <w:pStyle w:val="13"/>
      </w:pPr>
      <w:r>
        <w:t>5</w:t>
      </w:r>
      <w:r w:rsidR="002451CD">
        <w:t xml:space="preserve"> </w:t>
      </w:r>
      <w:r>
        <w:t>成交价格、付款方式、融资条件及交易税费负担情况；</w:t>
      </w:r>
    </w:p>
    <w:p w14:paraId="3F6716BA" w14:textId="2D63FFEA" w:rsidR="00FA0363" w:rsidRDefault="00FA0363" w:rsidP="00FA0363">
      <w:pPr>
        <w:pStyle w:val="13"/>
      </w:pPr>
      <w:r>
        <w:t>6</w:t>
      </w:r>
      <w:r w:rsidR="002451CD">
        <w:t xml:space="preserve"> </w:t>
      </w:r>
      <w:r>
        <w:t>交易目的等。</w:t>
      </w:r>
    </w:p>
    <w:p w14:paraId="70DFC15F" w14:textId="4B29A847" w:rsidR="00FA0363" w:rsidRDefault="00FA0363" w:rsidP="00FA0363">
      <w:pPr>
        <w:pStyle w:val="13"/>
        <w:ind w:firstLine="482"/>
      </w:pPr>
      <w:r w:rsidRPr="005D2CDF">
        <w:rPr>
          <w:b/>
          <w:bCs/>
        </w:rPr>
        <w:t>4.2.3</w:t>
      </w:r>
      <w:r w:rsidR="002451CD">
        <w:t xml:space="preserve"> </w:t>
      </w:r>
      <w:r>
        <w:t>选取的可比实例应符合下列规定：</w:t>
      </w:r>
    </w:p>
    <w:p w14:paraId="530A579D" w14:textId="0CD2DFB3" w:rsidR="00FA0363" w:rsidRDefault="00FA0363" w:rsidP="00FA0363">
      <w:pPr>
        <w:pStyle w:val="13"/>
      </w:pPr>
      <w:r>
        <w:t>1</w:t>
      </w:r>
      <w:r w:rsidR="002451CD">
        <w:t xml:space="preserve"> </w:t>
      </w:r>
      <w:r>
        <w:t>可比实例应从交易实例中选取且不得少于三个；</w:t>
      </w:r>
    </w:p>
    <w:p w14:paraId="4ED016D9" w14:textId="7691372C" w:rsidR="00FA0363" w:rsidRDefault="00FA0363" w:rsidP="00FA0363">
      <w:pPr>
        <w:pStyle w:val="13"/>
      </w:pPr>
      <w:r>
        <w:t>2</w:t>
      </w:r>
      <w:r w:rsidR="002451CD">
        <w:t xml:space="preserve"> </w:t>
      </w:r>
      <w:r>
        <w:t>可比实例的交易方式应适合估价目的；</w:t>
      </w:r>
    </w:p>
    <w:p w14:paraId="2009637E" w14:textId="2E6780F2" w:rsidR="00FA0363" w:rsidRDefault="00FA0363" w:rsidP="00FA0363">
      <w:pPr>
        <w:pStyle w:val="13"/>
      </w:pPr>
      <w:r>
        <w:t>3</w:t>
      </w:r>
      <w:r w:rsidR="002451CD">
        <w:t xml:space="preserve"> </w:t>
      </w:r>
      <w:r>
        <w:t>可比实例房地产应与估价对象的相似</w:t>
      </w:r>
    </w:p>
    <w:p w14:paraId="233A9864" w14:textId="1F82E1BE" w:rsidR="00FA0363" w:rsidRDefault="00FA0363" w:rsidP="00FA0363">
      <w:pPr>
        <w:pStyle w:val="13"/>
      </w:pPr>
      <w:r>
        <w:t>4</w:t>
      </w:r>
      <w:r w:rsidR="002451CD">
        <w:t xml:space="preserve"> </w:t>
      </w:r>
      <w:r>
        <w:t>可比实例的成交日期接近价值时点，与价值时点相关不宜超过一年，且不得超过两年；</w:t>
      </w:r>
    </w:p>
    <w:p w14:paraId="19F4EFF9" w14:textId="57145047" w:rsidR="00FA0363" w:rsidRDefault="00FA0363" w:rsidP="00FA0363">
      <w:pPr>
        <w:pStyle w:val="13"/>
      </w:pPr>
      <w:r>
        <w:t>5</w:t>
      </w:r>
      <w:r w:rsidR="002451CD">
        <w:t xml:space="preserve"> </w:t>
      </w:r>
      <w:r>
        <w:t>可比实例的成交价格应为正常价格或可修正为正常价格。</w:t>
      </w:r>
    </w:p>
    <w:p w14:paraId="64A6ED69" w14:textId="7D8ECDE6" w:rsidR="00FA0363" w:rsidRDefault="00FA0363" w:rsidP="00FA0363">
      <w:pPr>
        <w:pStyle w:val="13"/>
      </w:pPr>
      <w:r>
        <w:t>6</w:t>
      </w:r>
      <w:r w:rsidR="002451CD">
        <w:t xml:space="preserve"> </w:t>
      </w:r>
      <w:r>
        <w:t>在同等条件下，应将位置与估价对象较近、成交日期与价值时点较近的交易实例选为可比实例。</w:t>
      </w:r>
    </w:p>
    <w:p w14:paraId="72EEB9B2" w14:textId="7C6D5583" w:rsidR="00FA0363" w:rsidRDefault="00FA0363" w:rsidP="00FA0363">
      <w:pPr>
        <w:pStyle w:val="13"/>
        <w:ind w:firstLine="482"/>
      </w:pPr>
      <w:r w:rsidRPr="005D2CDF">
        <w:rPr>
          <w:b/>
          <w:bCs/>
        </w:rPr>
        <w:t>4.2.4</w:t>
      </w:r>
      <w:r w:rsidR="002451CD">
        <w:t xml:space="preserve"> </w:t>
      </w:r>
      <w:r>
        <w:t>下列特殊交易情况下的交易实例，不宜选为可比实例：</w:t>
      </w:r>
    </w:p>
    <w:p w14:paraId="4B56D8BA" w14:textId="23EBC741" w:rsidR="00FA0363" w:rsidRDefault="00FA0363" w:rsidP="00FA0363">
      <w:pPr>
        <w:pStyle w:val="13"/>
      </w:pPr>
      <w:r>
        <w:t>1</w:t>
      </w:r>
      <w:r w:rsidR="002451CD">
        <w:t xml:space="preserve"> </w:t>
      </w:r>
      <w:r>
        <w:t>利害关系人之间的交易；</w:t>
      </w:r>
    </w:p>
    <w:p w14:paraId="5DC5232C" w14:textId="09408AEA" w:rsidR="00FA0363" w:rsidRDefault="00FA0363" w:rsidP="00FA0363">
      <w:pPr>
        <w:pStyle w:val="13"/>
      </w:pPr>
      <w:r>
        <w:t>2</w:t>
      </w:r>
      <w:r w:rsidR="002451CD">
        <w:t xml:space="preserve"> </w:t>
      </w:r>
      <w:r>
        <w:t>对交易对象或市场行情缺乏了解的交易；</w:t>
      </w:r>
    </w:p>
    <w:p w14:paraId="6EE33363" w14:textId="7308CA3E" w:rsidR="00FA0363" w:rsidRDefault="00FA0363" w:rsidP="00FA0363">
      <w:pPr>
        <w:pStyle w:val="13"/>
      </w:pPr>
      <w:r>
        <w:t>3</w:t>
      </w:r>
      <w:r w:rsidR="002451CD">
        <w:t xml:space="preserve"> </w:t>
      </w:r>
      <w:r>
        <w:t>被迫出售或被迫购买的交易；</w:t>
      </w:r>
    </w:p>
    <w:p w14:paraId="1D374617" w14:textId="422CFC99" w:rsidR="00FA0363" w:rsidRDefault="00FA0363" w:rsidP="00FA0363">
      <w:pPr>
        <w:pStyle w:val="13"/>
      </w:pPr>
      <w:r>
        <w:lastRenderedPageBreak/>
        <w:t>4</w:t>
      </w:r>
      <w:r w:rsidR="002451CD">
        <w:t xml:space="preserve"> </w:t>
      </w:r>
      <w:r>
        <w:t>人为哄抬价格的交易；</w:t>
      </w:r>
    </w:p>
    <w:p w14:paraId="6C88B433" w14:textId="737D6500" w:rsidR="00FA0363" w:rsidRDefault="00FA0363" w:rsidP="00FA0363">
      <w:pPr>
        <w:pStyle w:val="13"/>
      </w:pPr>
      <w:r>
        <w:t>5</w:t>
      </w:r>
      <w:r w:rsidR="002451CD">
        <w:t xml:space="preserve"> </w:t>
      </w:r>
      <w:r>
        <w:t>对交易对象有特殊偏好的交易；</w:t>
      </w:r>
    </w:p>
    <w:p w14:paraId="5375EC2E" w14:textId="79BBBF15" w:rsidR="00FA0363" w:rsidRDefault="00FA0363" w:rsidP="00FA0363">
      <w:pPr>
        <w:pStyle w:val="13"/>
      </w:pPr>
      <w:r>
        <w:t>6</w:t>
      </w:r>
      <w:r w:rsidR="002451CD">
        <w:t xml:space="preserve"> </w:t>
      </w:r>
      <w:r>
        <w:t>相邻房地产合并的交易；</w:t>
      </w:r>
    </w:p>
    <w:p w14:paraId="6DF29107" w14:textId="089AB232" w:rsidR="00FA0363" w:rsidRDefault="00FA0363" w:rsidP="00FA0363">
      <w:pPr>
        <w:pStyle w:val="13"/>
      </w:pPr>
      <w:r>
        <w:t>7</w:t>
      </w:r>
      <w:r w:rsidR="002451CD">
        <w:t xml:space="preserve"> </w:t>
      </w:r>
      <w:r>
        <w:t>受迷信影响的交易；</w:t>
      </w:r>
    </w:p>
    <w:p w14:paraId="0DB29E1A" w14:textId="331A3159" w:rsidR="00FA0363" w:rsidRDefault="00FA0363" w:rsidP="00FA0363">
      <w:pPr>
        <w:pStyle w:val="13"/>
        <w:ind w:firstLine="482"/>
      </w:pPr>
      <w:r w:rsidRPr="005D2CDF">
        <w:rPr>
          <w:b/>
          <w:bCs/>
        </w:rPr>
        <w:t>4.2.5</w:t>
      </w:r>
      <w:r w:rsidR="002451CD">
        <w:t xml:space="preserve"> </w:t>
      </w:r>
      <w:r>
        <w:t>可比实例及其有关信息应真实、可靠、不得虚构。应对可比实例的</w:t>
      </w:r>
      <w:proofErr w:type="gramStart"/>
      <w:r>
        <w:t>外部善</w:t>
      </w:r>
      <w:proofErr w:type="gramEnd"/>
      <w:r>
        <w:t>和区位状况进行实地查勘，并应在估价报告说明可比实例的名称、位置及附位置图和外观照</w:t>
      </w:r>
      <w:r>
        <w:rPr>
          <w:rFonts w:hint="eastAsia"/>
        </w:rPr>
        <w:t>片。</w:t>
      </w:r>
    </w:p>
    <w:p w14:paraId="1867F5EF" w14:textId="5C5D282E" w:rsidR="00FA0363" w:rsidRDefault="00FA0363" w:rsidP="00FA0363">
      <w:pPr>
        <w:pStyle w:val="13"/>
        <w:ind w:firstLine="482"/>
      </w:pPr>
      <w:r w:rsidRPr="005D2CDF">
        <w:rPr>
          <w:b/>
          <w:bCs/>
        </w:rPr>
        <w:t>4.2.6</w:t>
      </w:r>
      <w:r w:rsidR="002451CD">
        <w:t xml:space="preserve"> </w:t>
      </w:r>
      <w:r>
        <w:t>选取可比实例后，应建立比较基础，对可比实例的成交价格进行标准化处理，</w:t>
      </w:r>
      <w:r>
        <w:rPr>
          <w:rFonts w:hint="eastAsia"/>
        </w:rPr>
        <w:t>统一标准化处理应包括统一财产范围、统一付款方式、统一融资条件、统一税费负担、统一计价单位并应符合下列规定：</w:t>
      </w:r>
    </w:p>
    <w:p w14:paraId="675284EC" w14:textId="04D4EDE3" w:rsidR="00FA0363" w:rsidRDefault="00FA0363" w:rsidP="00FA0363">
      <w:pPr>
        <w:pStyle w:val="13"/>
      </w:pPr>
      <w:r>
        <w:t>1</w:t>
      </w:r>
      <w:r w:rsidR="002451CD">
        <w:t xml:space="preserve"> </w:t>
      </w:r>
      <w:r>
        <w:t>统一财产范围，应对可比实例与估价对象的财产范围进行对比，并应消除因财产范围不同而造成的价格差异。</w:t>
      </w:r>
    </w:p>
    <w:p w14:paraId="63C24D4A" w14:textId="3C9FB208" w:rsidR="00FA0363" w:rsidRDefault="00FA0363" w:rsidP="00FA0363">
      <w:pPr>
        <w:pStyle w:val="13"/>
      </w:pPr>
      <w:r>
        <w:t>2</w:t>
      </w:r>
      <w:r w:rsidR="002451CD">
        <w:t xml:space="preserve"> </w:t>
      </w:r>
      <w:r>
        <w:t>统一付款方式，应将可比实例不是在成交日期或一次性付清方式下的价格，调整为在成交日期且一次性付清的价格。</w:t>
      </w:r>
    </w:p>
    <w:p w14:paraId="301BFDE1" w14:textId="53068CFD" w:rsidR="00FA0363" w:rsidRDefault="00FA0363" w:rsidP="00FA0363">
      <w:pPr>
        <w:pStyle w:val="13"/>
      </w:pPr>
      <w:r>
        <w:t>3</w:t>
      </w:r>
      <w:r w:rsidR="002451CD">
        <w:t xml:space="preserve"> </w:t>
      </w:r>
      <w:r>
        <w:t>统一融资条件，应将可比实例在非常规融资条件下的价格，调整为在常规融资条件下的价格。</w:t>
      </w:r>
    </w:p>
    <w:p w14:paraId="3CE76D17" w14:textId="00990894" w:rsidR="00FA0363" w:rsidRDefault="00FA0363" w:rsidP="00FA0363">
      <w:pPr>
        <w:pStyle w:val="13"/>
      </w:pPr>
      <w:r>
        <w:t>4</w:t>
      </w:r>
      <w:r w:rsidR="002451CD">
        <w:t xml:space="preserve"> </w:t>
      </w:r>
      <w:r>
        <w:t>统一税费负担，应将可比实例在交易税费非正常负担情况下的价格，调整为在交易税费正常负担情况下的价格。</w:t>
      </w:r>
    </w:p>
    <w:p w14:paraId="1550E8B8" w14:textId="10289656" w:rsidR="00FA0363" w:rsidRDefault="00FA0363" w:rsidP="00FA0363">
      <w:pPr>
        <w:pStyle w:val="13"/>
      </w:pPr>
      <w:r>
        <w:t>5</w:t>
      </w:r>
      <w:r w:rsidR="002451CD">
        <w:t xml:space="preserve"> </w:t>
      </w:r>
      <w:r>
        <w:t>统一计价单位，包括统一为总价或单价、楼面地价，统一币种和货币单位，统一面积或体积内涵及计量单位等。不同币种之间的换算宜国务院金融主管部门颂的成交日期的市场汇率中间价计算。</w:t>
      </w:r>
    </w:p>
    <w:p w14:paraId="5BFC9AC2" w14:textId="51D926FE" w:rsidR="00FA0363" w:rsidRDefault="00FA0363" w:rsidP="00FA0363">
      <w:pPr>
        <w:pStyle w:val="13"/>
        <w:ind w:firstLine="482"/>
      </w:pPr>
      <w:r w:rsidRPr="005D2CDF">
        <w:rPr>
          <w:b/>
          <w:bCs/>
        </w:rPr>
        <w:t>4.2.7</w:t>
      </w:r>
      <w:r w:rsidR="002451CD">
        <w:t xml:space="preserve"> </w:t>
      </w:r>
      <w:r>
        <w:t>当满足本规范第4.2.3条要求的交易实例少于三个时，在掌握特殊交易情况且能量化其对成交价格影响的情况下，可将特殊交易情况下的交易实例选为可比实例，但应对其进行交易情况修正。修正时，应消除交易中的特殊因素所造成的可比实例成交价格偏差，将可比实例的非正常成交价格修正为正常价格。</w:t>
      </w:r>
    </w:p>
    <w:p w14:paraId="04C9DBFF" w14:textId="7975E504" w:rsidR="00FA0363" w:rsidRDefault="00FA0363" w:rsidP="00FA0363">
      <w:pPr>
        <w:pStyle w:val="13"/>
        <w:ind w:firstLine="482"/>
      </w:pPr>
      <w:r w:rsidRPr="005D2CDF">
        <w:rPr>
          <w:b/>
          <w:bCs/>
        </w:rPr>
        <w:t>4.2.8</w:t>
      </w:r>
      <w:r w:rsidR="002451CD">
        <w:t xml:space="preserve"> </w:t>
      </w:r>
      <w:r>
        <w:t>进行市场状况调整，应消除成交日期的市场状况与价值时点的市场状况不同</w:t>
      </w:r>
      <w:r>
        <w:rPr>
          <w:rFonts w:hint="eastAsia"/>
        </w:rPr>
        <w:t>造成的价格差异，将可比实例在其成交日期的价格调整为在价值时点价格，并应在调查及分析可比实例所在地同类房地产价格变动情况的基础上，采用可比实例所在地同类房地产的价格变动率或价格指数进行调整，且价格变动率或价格指数的来源应真实、可靠。</w:t>
      </w:r>
    </w:p>
    <w:p w14:paraId="4F097F1B" w14:textId="336EE33C" w:rsidR="00FA0363" w:rsidRDefault="00FA0363" w:rsidP="00FA0363">
      <w:pPr>
        <w:pStyle w:val="13"/>
        <w:ind w:firstLine="482"/>
      </w:pPr>
      <w:r w:rsidRPr="005D2CDF">
        <w:rPr>
          <w:b/>
          <w:bCs/>
        </w:rPr>
        <w:t>4.2.9</w:t>
      </w:r>
      <w:r w:rsidR="002451CD">
        <w:t xml:space="preserve"> </w:t>
      </w:r>
      <w:r>
        <w:t>房地产状况调整应消除可比实例状况与估价对象状况不同造成的价格差异，包括区位状况调整、实物状况调整和权益状况调整。</w:t>
      </w:r>
    </w:p>
    <w:p w14:paraId="3A5E14DD" w14:textId="4ABFCABE" w:rsidR="00FA0363" w:rsidRDefault="00FA0363" w:rsidP="00FA0363">
      <w:pPr>
        <w:pStyle w:val="13"/>
        <w:ind w:firstLine="482"/>
      </w:pPr>
      <w:r w:rsidRPr="005D2CDF">
        <w:rPr>
          <w:b/>
          <w:bCs/>
        </w:rPr>
        <w:t>4.2.10</w:t>
      </w:r>
      <w:r w:rsidR="002451CD">
        <w:t xml:space="preserve"> </w:t>
      </w:r>
      <w:r>
        <w:t>进行区位状况调整，应将可比实例在自身区位状况下的价格调整为在估价对象区位状况下的价格。</w:t>
      </w:r>
    </w:p>
    <w:p w14:paraId="465324E5" w14:textId="77777777" w:rsidR="00FA0363" w:rsidRDefault="00FA0363" w:rsidP="00FA0363">
      <w:pPr>
        <w:pStyle w:val="13"/>
      </w:pPr>
      <w:r>
        <w:rPr>
          <w:rFonts w:hint="eastAsia"/>
        </w:rPr>
        <w:lastRenderedPageBreak/>
        <w:t>且调整的内容应包括位置、交通、周围环境、外部配套设施等。单套住宅的区位因素还应包括所处楼幢、楼层和朝向。</w:t>
      </w:r>
    </w:p>
    <w:p w14:paraId="7EBB5162" w14:textId="1AE62A85" w:rsidR="00FA0363" w:rsidRDefault="00FA0363" w:rsidP="00FA0363">
      <w:pPr>
        <w:pStyle w:val="13"/>
        <w:ind w:firstLine="482"/>
      </w:pPr>
      <w:r w:rsidRPr="005D2CDF">
        <w:rPr>
          <w:b/>
          <w:bCs/>
        </w:rPr>
        <w:t>4.2.11</w:t>
      </w:r>
      <w:r w:rsidR="002451CD">
        <w:t xml:space="preserve"> </w:t>
      </w:r>
      <w:r>
        <w:t>进行实物状况调整，应将可比实例在自身实物状况下的价格调整为在估价对象实物状况下的价格。</w:t>
      </w:r>
    </w:p>
    <w:p w14:paraId="732E27E4" w14:textId="77777777" w:rsidR="00FA0363" w:rsidRDefault="00FA0363" w:rsidP="00FA0363">
      <w:pPr>
        <w:pStyle w:val="13"/>
      </w:pPr>
      <w:r>
        <w:rPr>
          <w:rFonts w:hint="eastAsia"/>
        </w:rPr>
        <w:t>土地实物状况调整的内容应包括面积、形状、地形、地势、地质、土壤、开发程度。建筑物实物状况调整的内容应包括建筑规模、建筑结构、设施设备、装饰装修、空间布局、建筑功能、外观、新旧程度等。</w:t>
      </w:r>
    </w:p>
    <w:p w14:paraId="4CBD4971" w14:textId="307C4AB8" w:rsidR="00FA0363" w:rsidRDefault="00FA0363" w:rsidP="00FA0363">
      <w:pPr>
        <w:pStyle w:val="13"/>
        <w:ind w:firstLine="482"/>
      </w:pPr>
      <w:r w:rsidRPr="005D2CDF">
        <w:rPr>
          <w:b/>
          <w:bCs/>
        </w:rPr>
        <w:t>4.2.12</w:t>
      </w:r>
      <w:r w:rsidR="002451CD">
        <w:t xml:space="preserve"> </w:t>
      </w:r>
      <w:r>
        <w:t>进行权益状况调整，应将可比实例在自身权益状况下的价格调整为在估价对象权益状况下的价格。</w:t>
      </w:r>
    </w:p>
    <w:p w14:paraId="14B75862" w14:textId="77777777" w:rsidR="00FA0363" w:rsidRDefault="00FA0363" w:rsidP="00FA0363">
      <w:pPr>
        <w:pStyle w:val="13"/>
      </w:pPr>
      <w:r>
        <w:rPr>
          <w:rFonts w:hint="eastAsia"/>
        </w:rPr>
        <w:t>且调整的内容应包括规划条件、土地使用期限、共有情况、用益物</w:t>
      </w:r>
      <w:proofErr w:type="gramStart"/>
      <w:r>
        <w:rPr>
          <w:rFonts w:hint="eastAsia"/>
        </w:rPr>
        <w:t>权设立</w:t>
      </w:r>
      <w:proofErr w:type="gramEnd"/>
      <w:r>
        <w:rPr>
          <w:rFonts w:hint="eastAsia"/>
        </w:rPr>
        <w:t>情况、担保物</w:t>
      </w:r>
      <w:proofErr w:type="gramStart"/>
      <w:r>
        <w:rPr>
          <w:rFonts w:hint="eastAsia"/>
        </w:rPr>
        <w:t>权设立</w:t>
      </w:r>
      <w:proofErr w:type="gramEnd"/>
      <w:r>
        <w:rPr>
          <w:rFonts w:hint="eastAsia"/>
        </w:rPr>
        <w:t>情况、租赁或占用情况、拖欠税费情况、查封等形式限制权利情况、权属清晰情况等。</w:t>
      </w:r>
    </w:p>
    <w:p w14:paraId="58C66365" w14:textId="02B1C5C7" w:rsidR="00FA0363" w:rsidRDefault="00FA0363" w:rsidP="00FA0363">
      <w:pPr>
        <w:pStyle w:val="13"/>
        <w:ind w:firstLine="482"/>
      </w:pPr>
      <w:r w:rsidRPr="005D2CDF">
        <w:rPr>
          <w:b/>
          <w:bCs/>
        </w:rPr>
        <w:t>4.2.13</w:t>
      </w:r>
      <w:r w:rsidR="002451CD">
        <w:t xml:space="preserve"> </w:t>
      </w:r>
      <w:r>
        <w:t>进行区位、实物和权益状况调整时，应将可比实例估价对象的区位状况、实物状况和权益状况因素逐项进行比较，找出各种因素之间的差异，量化状况差异造成的价格差异，对可比实例的价格进行相应调整。调整的具体内容和比较因素，应根据估价对象的用途等情况确定。</w:t>
      </w:r>
    </w:p>
    <w:p w14:paraId="4DDFF195" w14:textId="1EEC85ED" w:rsidR="00FA0363" w:rsidRDefault="00FA0363" w:rsidP="00FA0363">
      <w:pPr>
        <w:pStyle w:val="13"/>
        <w:ind w:firstLine="482"/>
      </w:pPr>
      <w:r w:rsidRPr="005D2CDF">
        <w:rPr>
          <w:b/>
          <w:bCs/>
        </w:rPr>
        <w:t>4.2.14</w:t>
      </w:r>
      <w:r w:rsidR="002451CD">
        <w:t xml:space="preserve"> </w:t>
      </w:r>
      <w:r>
        <w:t>交易情况修正、市场状况调整和房地产状况调整，视具体情况可基于总价或单价，采用金额、百分比或回归分析法，通过直接比较或间接比较对可比实例成交价格进行调整。</w:t>
      </w:r>
    </w:p>
    <w:p w14:paraId="2343BD71" w14:textId="4745A396" w:rsidR="00FA0363" w:rsidRDefault="00FA0363" w:rsidP="00FA0363">
      <w:pPr>
        <w:pStyle w:val="13"/>
        <w:ind w:firstLine="482"/>
      </w:pPr>
      <w:r w:rsidRPr="005D2CDF">
        <w:rPr>
          <w:b/>
          <w:bCs/>
        </w:rPr>
        <w:t>4.2.15</w:t>
      </w:r>
      <w:r w:rsidR="002451CD">
        <w:rPr>
          <w:b/>
          <w:bCs/>
        </w:rPr>
        <w:t xml:space="preserve"> </w:t>
      </w:r>
      <w:r>
        <w:t>进行交易情况修正、市场状况调整、区位状况调整、实物状况调整和权益状况调整时，应符合下列规定：</w:t>
      </w:r>
    </w:p>
    <w:p w14:paraId="7A7230CA" w14:textId="77777777" w:rsidR="002451CD" w:rsidRDefault="002451CD" w:rsidP="002451CD">
      <w:pPr>
        <w:pStyle w:val="13"/>
      </w:pPr>
      <w:r>
        <w:t>1</w:t>
      </w:r>
      <w:r>
        <w:rPr>
          <w:rFonts w:hint="eastAsia"/>
        </w:rPr>
        <w:t>、</w:t>
      </w:r>
      <w:r>
        <w:t>分别对可比实例成交价格的单项调整幅度不应超过 20%，综合调整幅度不应超过30%。</w:t>
      </w:r>
    </w:p>
    <w:p w14:paraId="09C6B12B" w14:textId="77777777" w:rsidR="002451CD" w:rsidRDefault="002451CD" w:rsidP="002451CD">
      <w:pPr>
        <w:pStyle w:val="13"/>
      </w:pPr>
      <w:r>
        <w:t>2</w:t>
      </w:r>
      <w:r>
        <w:rPr>
          <w:rFonts w:hint="eastAsia"/>
        </w:rPr>
        <w:t>、</w:t>
      </w:r>
      <w:r>
        <w:t>经修正和调整后的各个可比实例价格中，</w:t>
      </w:r>
      <w:proofErr w:type="gramStart"/>
      <w:r>
        <w:t>最</w:t>
      </w:r>
      <w:proofErr w:type="gramEnd"/>
      <w:r>
        <w:t>高价与最低价的比值不宜大于 1.2</w:t>
      </w:r>
      <w:r>
        <w:rPr>
          <w:rFonts w:hint="eastAsia"/>
        </w:rPr>
        <w:t>。</w:t>
      </w:r>
    </w:p>
    <w:p w14:paraId="268774CC" w14:textId="77777777" w:rsidR="002451CD" w:rsidRDefault="002451CD" w:rsidP="002451CD">
      <w:pPr>
        <w:pStyle w:val="13"/>
      </w:pPr>
      <w:r>
        <w:t>3</w:t>
      </w:r>
      <w:r>
        <w:rPr>
          <w:rFonts w:hint="eastAsia"/>
        </w:rPr>
        <w:t>、</w:t>
      </w:r>
      <w:r>
        <w:t>当幅度或比值超出本条规定时，宜更换可比实例</w:t>
      </w:r>
      <w:r>
        <w:rPr>
          <w:rFonts w:hint="eastAsia"/>
        </w:rPr>
        <w:t>。</w:t>
      </w:r>
    </w:p>
    <w:p w14:paraId="35987619" w14:textId="77777777" w:rsidR="002451CD" w:rsidRDefault="002451CD" w:rsidP="002451CD">
      <w:pPr>
        <w:pStyle w:val="13"/>
      </w:pPr>
      <w:r>
        <w:t>4</w:t>
      </w:r>
      <w:r>
        <w:rPr>
          <w:rFonts w:hint="eastAsia"/>
        </w:rPr>
        <w:t>、</w:t>
      </w:r>
      <w:r>
        <w:t>当因估价对象或市场状况特殊，无更合适的可比实例替换时，应在估价报告中说明并陈述理由。</w:t>
      </w:r>
    </w:p>
    <w:p w14:paraId="34F77B91" w14:textId="344AEC72" w:rsidR="002451CD" w:rsidRDefault="002451CD" w:rsidP="002451CD">
      <w:pPr>
        <w:pStyle w:val="13"/>
        <w:ind w:firstLine="482"/>
      </w:pPr>
      <w:r w:rsidRPr="002E2D3F">
        <w:rPr>
          <w:b/>
          <w:bCs/>
        </w:rPr>
        <w:t>4.2.16</w:t>
      </w:r>
      <w:r>
        <w:rPr>
          <w:b/>
          <w:bCs/>
        </w:rPr>
        <w:t xml:space="preserve"> </w:t>
      </w:r>
      <w:r>
        <w:t>对经修正和调整后的各个可比实例价格，应根据它们之间的差异程度、可比实例与估价对象的相似程度、可比实例资料的可靠程度等情况，选用简单算术平均、加权算术平均等方法计算出比较价值。</w:t>
      </w:r>
    </w:p>
    <w:p w14:paraId="154C4564" w14:textId="568E902B" w:rsidR="002451CD" w:rsidRDefault="002451CD" w:rsidP="002451CD">
      <w:pPr>
        <w:pStyle w:val="13"/>
        <w:ind w:firstLine="482"/>
      </w:pPr>
      <w:r w:rsidRPr="002E2D3F">
        <w:rPr>
          <w:b/>
          <w:bCs/>
        </w:rPr>
        <w:t>4.2.17</w:t>
      </w:r>
      <w:r>
        <w:t xml:space="preserve"> 比较法的原理和技术，可用于其他的估价方法中有关估价数据的测算。</w:t>
      </w:r>
    </w:p>
    <w:p w14:paraId="2A0ECD65" w14:textId="754546BE" w:rsidR="002451CD" w:rsidRPr="002451CD" w:rsidRDefault="002451CD" w:rsidP="002451CD">
      <w:pPr>
        <w:pStyle w:val="ab"/>
        <w:spacing w:before="62" w:after="62"/>
        <w:ind w:firstLine="482"/>
      </w:pPr>
      <w:r w:rsidRPr="002451CD">
        <w:t>4.3 收益法</w:t>
      </w:r>
    </w:p>
    <w:p w14:paraId="14EA5AC9" w14:textId="115CC2C5" w:rsidR="002451CD" w:rsidRDefault="002451CD" w:rsidP="002451CD">
      <w:pPr>
        <w:pStyle w:val="13"/>
        <w:ind w:firstLine="482"/>
      </w:pPr>
      <w:r w:rsidRPr="002E2D3F">
        <w:rPr>
          <w:b/>
          <w:bCs/>
        </w:rPr>
        <w:t>4.3.1</w:t>
      </w:r>
      <w:r>
        <w:rPr>
          <w:b/>
          <w:bCs/>
        </w:rPr>
        <w:t xml:space="preserve"> </w:t>
      </w:r>
      <w:r>
        <w:t>运用收益法估价，应按下列步骤进行：</w:t>
      </w:r>
    </w:p>
    <w:p w14:paraId="7DA9823E" w14:textId="1C3698A6" w:rsidR="002451CD" w:rsidRDefault="002451CD" w:rsidP="002451CD">
      <w:pPr>
        <w:pStyle w:val="13"/>
      </w:pPr>
      <w:r>
        <w:lastRenderedPageBreak/>
        <w:t>1 选用具体估价方法；</w:t>
      </w:r>
    </w:p>
    <w:p w14:paraId="6AF691B0" w14:textId="6B0E6E6D" w:rsidR="002451CD" w:rsidRDefault="002451CD" w:rsidP="002451CD">
      <w:pPr>
        <w:pStyle w:val="13"/>
      </w:pPr>
      <w:r>
        <w:t>2 估计未来收益期或持有期；</w:t>
      </w:r>
    </w:p>
    <w:p w14:paraId="103FEEDF" w14:textId="14F66080" w:rsidR="002451CD" w:rsidRDefault="002451CD" w:rsidP="002451CD">
      <w:pPr>
        <w:pStyle w:val="13"/>
      </w:pPr>
      <w:r>
        <w:t>3 测算未来净收益；</w:t>
      </w:r>
    </w:p>
    <w:p w14:paraId="7FBBA412" w14:textId="2E66E400" w:rsidR="002451CD" w:rsidRDefault="002451CD" w:rsidP="002451CD">
      <w:pPr>
        <w:pStyle w:val="13"/>
      </w:pPr>
      <w:r>
        <w:t>4 测算报酬率或资本化率、收益乘数；</w:t>
      </w:r>
    </w:p>
    <w:p w14:paraId="5C92362E" w14:textId="535F7A00" w:rsidR="002451CD" w:rsidRDefault="002451CD" w:rsidP="002451CD">
      <w:pPr>
        <w:pStyle w:val="13"/>
      </w:pPr>
      <w:r>
        <w:t>5 计算收益价值。</w:t>
      </w:r>
    </w:p>
    <w:p w14:paraId="7035756C" w14:textId="4F44D238" w:rsidR="002451CD" w:rsidRDefault="002451CD" w:rsidP="002451CD">
      <w:pPr>
        <w:pStyle w:val="13"/>
        <w:ind w:firstLine="482"/>
      </w:pPr>
      <w:r w:rsidRPr="002E2D3F">
        <w:rPr>
          <w:b/>
          <w:bCs/>
        </w:rPr>
        <w:t>4.3.2</w:t>
      </w:r>
      <w:r>
        <w:rPr>
          <w:b/>
          <w:bCs/>
        </w:rPr>
        <w:t xml:space="preserve"> </w:t>
      </w:r>
      <w:r>
        <w:t>收益法估价时，应区分报酬资本化法和直接资本化法，并应优先选用报酬资本化法。报酬资本化法估价时，应</w:t>
      </w:r>
      <w:proofErr w:type="gramStart"/>
      <w:r>
        <w:t>区分全</w:t>
      </w:r>
      <w:proofErr w:type="gramEnd"/>
      <w:r>
        <w:t>剩余寿命模式和持有加转售模式。</w:t>
      </w:r>
      <w:proofErr w:type="gramStart"/>
      <w:r>
        <w:t>当收益</w:t>
      </w:r>
      <w:proofErr w:type="gramEnd"/>
      <w:r>
        <w:t>期较长，难以预测该期限内各年净收益时，宜选用持有加转售模式。</w:t>
      </w:r>
    </w:p>
    <w:p w14:paraId="4DE6B3F5" w14:textId="52182FFF" w:rsidR="002451CD" w:rsidRDefault="002451CD" w:rsidP="002451CD">
      <w:pPr>
        <w:pStyle w:val="13"/>
        <w:ind w:firstLine="482"/>
      </w:pPr>
      <w:r w:rsidRPr="002E2D3F">
        <w:rPr>
          <w:b/>
          <w:bCs/>
        </w:rPr>
        <w:t>4.3.3</w:t>
      </w:r>
      <w:r>
        <w:t xml:space="preserve"> 选用全剩余寿命模式进行估价时，收益价值应按下式计算：</w:t>
      </w:r>
    </w:p>
    <w:p w14:paraId="2692A46F" w14:textId="77777777" w:rsidR="002451CD" w:rsidRDefault="002451CD" w:rsidP="002451CD">
      <w:pPr>
        <w:pStyle w:val="13"/>
        <w:jc w:val="center"/>
      </w:pPr>
      <w:r w:rsidRPr="002E2D3F">
        <w:rPr>
          <w:noProof/>
        </w:rPr>
        <w:drawing>
          <wp:inline distT="0" distB="0" distL="0" distR="0" wp14:anchorId="4F69514D" wp14:editId="1660E904">
            <wp:extent cx="3764214" cy="67619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85073" cy="679942"/>
                    </a:xfrm>
                    <a:prstGeom prst="rect">
                      <a:avLst/>
                    </a:prstGeom>
                    <a:noFill/>
                    <a:ln>
                      <a:noFill/>
                    </a:ln>
                  </pic:spPr>
                </pic:pic>
              </a:graphicData>
            </a:graphic>
          </wp:inline>
        </w:drawing>
      </w:r>
    </w:p>
    <w:p w14:paraId="62BAF569" w14:textId="77777777" w:rsidR="002451CD" w:rsidRDefault="002451CD" w:rsidP="002451CD">
      <w:pPr>
        <w:pStyle w:val="13"/>
      </w:pPr>
      <w:r>
        <w:rPr>
          <w:rFonts w:hint="eastAsia"/>
        </w:rPr>
        <w:t>式中：</w:t>
      </w:r>
      <w:r>
        <w:t>V─收益价值（元，元/m2）；</w:t>
      </w:r>
    </w:p>
    <w:p w14:paraId="3965BB1A" w14:textId="77777777" w:rsidR="002451CD" w:rsidRDefault="002451CD" w:rsidP="002451CD">
      <w:pPr>
        <w:pStyle w:val="13"/>
        <w:ind w:firstLineChars="500" w:firstLine="1200"/>
      </w:pPr>
      <w:r>
        <w:t xml:space="preserve">Ai─未来第 </w:t>
      </w:r>
      <w:proofErr w:type="spellStart"/>
      <w:r>
        <w:t>i</w:t>
      </w:r>
      <w:proofErr w:type="spellEnd"/>
      <w:r>
        <w:t xml:space="preserve"> 年的净收益（元，元/m2）；</w:t>
      </w:r>
    </w:p>
    <w:p w14:paraId="0EC794E3" w14:textId="24CFBFA6" w:rsidR="002451CD" w:rsidRDefault="002451CD" w:rsidP="002451CD">
      <w:pPr>
        <w:pStyle w:val="13"/>
        <w:ind w:firstLineChars="500" w:firstLine="1200"/>
      </w:pPr>
      <w:r>
        <w:t>Y─报酬率（%）</w:t>
      </w:r>
      <w:r w:rsidR="003068F8">
        <w:t>；</w:t>
      </w:r>
      <w:r>
        <w:t>n─收益期（年）。</w:t>
      </w:r>
    </w:p>
    <w:p w14:paraId="19A78409" w14:textId="73A75AE0" w:rsidR="002451CD" w:rsidRDefault="002451CD" w:rsidP="002451CD">
      <w:pPr>
        <w:pStyle w:val="13"/>
        <w:ind w:firstLine="482"/>
      </w:pPr>
      <w:r w:rsidRPr="002E2D3F">
        <w:rPr>
          <w:b/>
          <w:bCs/>
        </w:rPr>
        <w:t>4.3.4</w:t>
      </w:r>
      <w:r>
        <w:t xml:space="preserve"> 选用持有加转售模式进行估价时，收益价值应按正式计算</w:t>
      </w:r>
    </w:p>
    <w:p w14:paraId="4A811041" w14:textId="77777777" w:rsidR="002451CD" w:rsidRDefault="002451CD" w:rsidP="002451CD">
      <w:pPr>
        <w:pStyle w:val="13"/>
        <w:jc w:val="center"/>
      </w:pPr>
      <w:r w:rsidRPr="002E2D3F">
        <w:rPr>
          <w:noProof/>
        </w:rPr>
        <w:drawing>
          <wp:inline distT="0" distB="0" distL="0" distR="0" wp14:anchorId="1ED80377" wp14:editId="6009AADE">
            <wp:extent cx="3957320" cy="591820"/>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57320" cy="591820"/>
                    </a:xfrm>
                    <a:prstGeom prst="rect">
                      <a:avLst/>
                    </a:prstGeom>
                    <a:noFill/>
                    <a:ln>
                      <a:noFill/>
                    </a:ln>
                  </pic:spPr>
                </pic:pic>
              </a:graphicData>
            </a:graphic>
          </wp:inline>
        </w:drawing>
      </w:r>
    </w:p>
    <w:p w14:paraId="5459764A" w14:textId="77777777" w:rsidR="002451CD" w:rsidRDefault="002451CD" w:rsidP="002451CD">
      <w:pPr>
        <w:pStyle w:val="13"/>
      </w:pPr>
      <w:r>
        <w:rPr>
          <w:rFonts w:hint="eastAsia"/>
        </w:rPr>
        <w:t>式中：</w:t>
      </w:r>
      <w:r>
        <w:t>V─收益价值（元，元/m2）；</w:t>
      </w:r>
    </w:p>
    <w:p w14:paraId="071BC536" w14:textId="77777777" w:rsidR="002451CD" w:rsidRDefault="002451CD" w:rsidP="002451CD">
      <w:pPr>
        <w:pStyle w:val="13"/>
        <w:ind w:firstLineChars="500" w:firstLine="1200"/>
      </w:pPr>
      <w:r>
        <w:t>Ai─期间净收益（元，元/m2）；</w:t>
      </w:r>
    </w:p>
    <w:p w14:paraId="1DBA5715" w14:textId="77777777" w:rsidR="002451CD" w:rsidRDefault="002451CD" w:rsidP="002451CD">
      <w:pPr>
        <w:pStyle w:val="13"/>
        <w:ind w:firstLineChars="500" w:firstLine="1200"/>
      </w:pPr>
      <w:r>
        <w:t xml:space="preserve">Vt─期末转售收益（元，元/m2） </w:t>
      </w:r>
      <w:proofErr w:type="spellStart"/>
      <w:r>
        <w:t>Yt</w:t>
      </w:r>
      <w:proofErr w:type="spellEnd"/>
      <w:r>
        <w:t>─期末报酬率（%）</w:t>
      </w:r>
    </w:p>
    <w:p w14:paraId="10AB7D2D" w14:textId="77777777" w:rsidR="002451CD" w:rsidRDefault="002451CD" w:rsidP="002451CD">
      <w:pPr>
        <w:pStyle w:val="13"/>
        <w:ind w:firstLineChars="500" w:firstLine="1200"/>
      </w:pPr>
      <w:r>
        <w:t xml:space="preserve">Yi─未来第 </w:t>
      </w:r>
      <w:proofErr w:type="spellStart"/>
      <w:r>
        <w:t>i</w:t>
      </w:r>
      <w:proofErr w:type="spellEnd"/>
      <w:r>
        <w:t xml:space="preserve"> 年报酬率（%）；</w:t>
      </w:r>
    </w:p>
    <w:p w14:paraId="1DEDD1D6" w14:textId="77777777" w:rsidR="002451CD" w:rsidRDefault="002451CD" w:rsidP="002451CD">
      <w:pPr>
        <w:pStyle w:val="13"/>
        <w:ind w:firstLineChars="500" w:firstLine="1200"/>
      </w:pPr>
      <w:r>
        <w:t>t─持有期（年）。</w:t>
      </w:r>
    </w:p>
    <w:p w14:paraId="4797B1D8" w14:textId="643ACFA7" w:rsidR="002451CD" w:rsidRDefault="002451CD" w:rsidP="002451CD">
      <w:pPr>
        <w:pStyle w:val="13"/>
        <w:ind w:firstLine="482"/>
      </w:pPr>
      <w:r w:rsidRPr="002E2D3F">
        <w:rPr>
          <w:b/>
          <w:bCs/>
        </w:rPr>
        <w:t>4.3.5</w:t>
      </w:r>
      <w:r>
        <w:t xml:space="preserve"> 选用直接资本化法进行估价时，收益价值按下式计算：</w:t>
      </w:r>
    </w:p>
    <w:p w14:paraId="218E80AA" w14:textId="77777777" w:rsidR="002451CD" w:rsidRDefault="002451CD" w:rsidP="002451CD">
      <w:pPr>
        <w:pStyle w:val="13"/>
        <w:jc w:val="center"/>
      </w:pPr>
      <w:r w:rsidRPr="002E2D3F">
        <w:rPr>
          <w:noProof/>
        </w:rPr>
        <w:drawing>
          <wp:inline distT="0" distB="0" distL="0" distR="0" wp14:anchorId="5CC64237" wp14:editId="3CE72347">
            <wp:extent cx="3404235" cy="537845"/>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04235" cy="537845"/>
                    </a:xfrm>
                    <a:prstGeom prst="rect">
                      <a:avLst/>
                    </a:prstGeom>
                    <a:noFill/>
                    <a:ln>
                      <a:noFill/>
                    </a:ln>
                  </pic:spPr>
                </pic:pic>
              </a:graphicData>
            </a:graphic>
          </wp:inline>
        </w:drawing>
      </w:r>
    </w:p>
    <w:p w14:paraId="72EAC163" w14:textId="77777777" w:rsidR="002451CD" w:rsidRDefault="002451CD" w:rsidP="002451CD">
      <w:pPr>
        <w:pStyle w:val="13"/>
      </w:pPr>
      <w:r>
        <w:rPr>
          <w:rFonts w:hint="eastAsia"/>
        </w:rPr>
        <w:t>式中：</w:t>
      </w:r>
      <w:r>
        <w:t>V─收益价值（元，元/m2）；</w:t>
      </w:r>
    </w:p>
    <w:p w14:paraId="3309E5AE" w14:textId="58D0AE21" w:rsidR="002451CD" w:rsidRDefault="002451CD" w:rsidP="002451CD">
      <w:pPr>
        <w:pStyle w:val="13"/>
        <w:ind w:firstLineChars="500" w:firstLine="1200"/>
      </w:pPr>
      <w:r>
        <w:t>NOI─未来第一年的净收益（元，元/m2）</w:t>
      </w:r>
      <w:r w:rsidR="003068F8">
        <w:t>；</w:t>
      </w:r>
    </w:p>
    <w:p w14:paraId="1DBD21A6" w14:textId="77777777" w:rsidR="002451CD" w:rsidRDefault="002451CD" w:rsidP="002451CD">
      <w:pPr>
        <w:pStyle w:val="13"/>
        <w:ind w:firstLineChars="500" w:firstLine="1200"/>
      </w:pPr>
      <w:r>
        <w:t>R─资本化率（%）。</w:t>
      </w:r>
    </w:p>
    <w:p w14:paraId="7BC0A42F" w14:textId="2A85F5D3" w:rsidR="002451CD" w:rsidRDefault="002451CD" w:rsidP="002451CD">
      <w:pPr>
        <w:pStyle w:val="13"/>
        <w:ind w:firstLine="482"/>
      </w:pPr>
      <w:r w:rsidRPr="002E2D3F">
        <w:rPr>
          <w:b/>
          <w:bCs/>
        </w:rPr>
        <w:t>4.3.6</w:t>
      </w:r>
      <w:r>
        <w:rPr>
          <w:b/>
          <w:bCs/>
        </w:rPr>
        <w:t xml:space="preserve"> </w:t>
      </w:r>
      <w:r>
        <w:t>收益期应根据建设用地使用权剩余期限和建筑物剩余经济寿命进行测算，并应符合下列规定：</w:t>
      </w:r>
    </w:p>
    <w:p w14:paraId="286798D6" w14:textId="24D88E78" w:rsidR="002451CD" w:rsidRDefault="002451CD" w:rsidP="002451CD">
      <w:pPr>
        <w:pStyle w:val="13"/>
      </w:pPr>
      <w:r>
        <w:t>1 建设用地使用权剩余期限和建筑物剩余经济寿命同时结束的，收益期为建设用地使用权剩余期限或建筑物剩余经济寿命；</w:t>
      </w:r>
    </w:p>
    <w:p w14:paraId="295F03AA" w14:textId="4753EF73" w:rsidR="002451CD" w:rsidRDefault="002451CD" w:rsidP="002451CD">
      <w:pPr>
        <w:pStyle w:val="13"/>
      </w:pPr>
      <w:r>
        <w:lastRenderedPageBreak/>
        <w:t>2 建设用地使用权剩余期限和建筑物剩余经济寿命不同时结束的，应选取其中较短</w:t>
      </w:r>
      <w:r>
        <w:rPr>
          <w:rFonts w:hint="eastAsia"/>
        </w:rPr>
        <w:t>者为收益期，并应对超出收益期的建设用地使用权或建筑物按第</w:t>
      </w:r>
      <w:r>
        <w:t xml:space="preserve"> 4.3.16 条规定处理。</w:t>
      </w:r>
    </w:p>
    <w:p w14:paraId="3D1C53E5" w14:textId="335C2029" w:rsidR="002451CD" w:rsidRDefault="002451CD" w:rsidP="002451CD">
      <w:pPr>
        <w:pStyle w:val="13"/>
      </w:pPr>
      <w:r>
        <w:t>3 评估承租人权益价值的，收益期应为剩余租赁期限。</w:t>
      </w:r>
    </w:p>
    <w:p w14:paraId="02CB4872" w14:textId="78BB6F59" w:rsidR="002451CD" w:rsidRDefault="002451CD" w:rsidP="002451CD">
      <w:pPr>
        <w:pStyle w:val="13"/>
        <w:ind w:firstLine="482"/>
      </w:pPr>
      <w:r w:rsidRPr="002E2D3F">
        <w:rPr>
          <w:b/>
          <w:bCs/>
        </w:rPr>
        <w:t>4.3.7</w:t>
      </w:r>
      <w:r>
        <w:t xml:space="preserve"> 持有期应根据市场上投资者对同类房地产的典型持有时间，以及能预测期间收益的一般期限来确定，并宜为 5 年至 10 年。</w:t>
      </w:r>
    </w:p>
    <w:p w14:paraId="4BA6DF22" w14:textId="5663633E" w:rsidR="002451CD" w:rsidRDefault="002451CD" w:rsidP="002451CD">
      <w:pPr>
        <w:pStyle w:val="13"/>
        <w:ind w:firstLine="482"/>
      </w:pPr>
      <w:r w:rsidRPr="002E2D3F">
        <w:rPr>
          <w:b/>
          <w:bCs/>
        </w:rPr>
        <w:t>4.3.8</w:t>
      </w:r>
      <w:r>
        <w:t xml:space="preserve"> 净收益可通过租赁收入测算的，应优先通过租赁收入测算，并应符合下列规</w:t>
      </w:r>
      <w:r>
        <w:rPr>
          <w:rFonts w:hint="eastAsia"/>
        </w:rPr>
        <w:t>定：</w:t>
      </w:r>
    </w:p>
    <w:p w14:paraId="5BCAEB27" w14:textId="50830395" w:rsidR="002451CD" w:rsidRDefault="002451CD" w:rsidP="002451CD">
      <w:pPr>
        <w:pStyle w:val="13"/>
      </w:pPr>
      <w:r>
        <w:t>1 根据租赁合同和租赁市场资料测算净收益，且净收益应为有效毛收入减去由出租</w:t>
      </w:r>
      <w:r>
        <w:rPr>
          <w:rFonts w:hint="eastAsia"/>
        </w:rPr>
        <w:t>人负担的运营费用。</w:t>
      </w:r>
    </w:p>
    <w:p w14:paraId="12AC12CF" w14:textId="5B1522C6" w:rsidR="002451CD" w:rsidRDefault="002451CD" w:rsidP="002451CD">
      <w:pPr>
        <w:pStyle w:val="13"/>
      </w:pPr>
      <w:r>
        <w:t>2 有效毛收入应为潜在毛收入减去空置和收租损失，再加上租赁保证金或押金的利息等各种其他收入，或为租赁收入加上其他收入。</w:t>
      </w:r>
    </w:p>
    <w:p w14:paraId="6E5A484B" w14:textId="498746A3" w:rsidR="002451CD" w:rsidRDefault="002451CD" w:rsidP="002451CD">
      <w:pPr>
        <w:pStyle w:val="13"/>
      </w:pPr>
      <w:r>
        <w:t>3 运营费用包括房地产税、房屋保险费、物业服务费、管理费用、维修费、水电费等维持房地产正常使用或营业的必要支出，并应根据租赁合同约定的租金（以下</w:t>
      </w:r>
      <w:proofErr w:type="gramStart"/>
      <w:r>
        <w:t>称合同</w:t>
      </w:r>
      <w:proofErr w:type="gramEnd"/>
      <w:r>
        <w:t>租金）涵义决定取舍。其中由承租人负担的部分，不应计入。</w:t>
      </w:r>
    </w:p>
    <w:p w14:paraId="18944ED3" w14:textId="54C2835A" w:rsidR="002451CD" w:rsidRDefault="002451CD" w:rsidP="002451CD">
      <w:pPr>
        <w:pStyle w:val="13"/>
      </w:pPr>
      <w:r>
        <w:t>4 评估承租人权益价值的，净收益应为市场租金减去合同租金。</w:t>
      </w:r>
    </w:p>
    <w:p w14:paraId="0CA0A595" w14:textId="40EF120E" w:rsidR="002451CD" w:rsidRDefault="002451CD" w:rsidP="002451CD">
      <w:pPr>
        <w:pStyle w:val="13"/>
        <w:ind w:firstLine="482"/>
      </w:pPr>
      <w:r w:rsidRPr="002E2D3F">
        <w:rPr>
          <w:b/>
          <w:bCs/>
        </w:rPr>
        <w:t>4.3.9</w:t>
      </w:r>
      <w:r>
        <w:t xml:space="preserve"> 净收益不可直接通过租赁收入测算的，应根据估价对象的用途等情况 ，选择下列方式之一测算：</w:t>
      </w:r>
    </w:p>
    <w:p w14:paraId="09FD1010" w14:textId="0F9DD7E3" w:rsidR="002451CD" w:rsidRDefault="002451CD" w:rsidP="002451CD">
      <w:pPr>
        <w:pStyle w:val="13"/>
      </w:pPr>
      <w:r>
        <w:t>1 商服经营型房地产，应根据经营资料测算净收益，且净收益应为经营收入减去经营成本、经营费用、经营税金及附加、管理费用、财务费用以及应归属于商服经营者的利润后的余额。</w:t>
      </w:r>
    </w:p>
    <w:p w14:paraId="4C5DDB80" w14:textId="200A418F" w:rsidR="002451CD" w:rsidRDefault="002451CD" w:rsidP="002451CD">
      <w:pPr>
        <w:pStyle w:val="13"/>
      </w:pPr>
      <w:r>
        <w:t>2 生产型房地产，根据产品市场价格和原材料、人工费用等资料测算净收益，且净收益应为产品销售收入减去生产成本、销售费用、销售税金及附加、管理费用、财务费用以及应归属于生产者的利润后的余额。</w:t>
      </w:r>
    </w:p>
    <w:p w14:paraId="47BAA55A" w14:textId="4258F76A" w:rsidR="002451CD" w:rsidRDefault="002451CD" w:rsidP="002451CD">
      <w:pPr>
        <w:pStyle w:val="13"/>
      </w:pPr>
      <w:r>
        <w:t>3 尚未使用或自用的房地产，可比照有收益的类似房地产的有关资料按上述相应方式测算净收益，或通过直接比较得出净收益。</w:t>
      </w:r>
    </w:p>
    <w:p w14:paraId="5E663E18" w14:textId="46B30DFF" w:rsidR="002451CD" w:rsidRDefault="002451CD" w:rsidP="002451CD">
      <w:pPr>
        <w:pStyle w:val="13"/>
        <w:ind w:firstLine="482"/>
      </w:pPr>
      <w:r w:rsidRPr="002E2D3F">
        <w:rPr>
          <w:b/>
          <w:bCs/>
        </w:rPr>
        <w:t>4.3.10</w:t>
      </w:r>
      <w:r>
        <w:t xml:space="preserve"> 估价中采用的收入和费用或净收益取值，应符合下列规定：</w:t>
      </w:r>
    </w:p>
    <w:p w14:paraId="1368F4BD" w14:textId="77E9771A" w:rsidR="002451CD" w:rsidRDefault="002451CD" w:rsidP="002451CD">
      <w:pPr>
        <w:pStyle w:val="13"/>
      </w:pPr>
      <w:r>
        <w:t>1 除有租约限制且评估出租人权益价值外，都应采用正常客观的数据。</w:t>
      </w:r>
    </w:p>
    <w:p w14:paraId="3C81BE38" w14:textId="3B319781" w:rsidR="002451CD" w:rsidRDefault="002451CD" w:rsidP="002451CD">
      <w:pPr>
        <w:pStyle w:val="13"/>
      </w:pPr>
      <w:r>
        <w:t>2 有租约限制且评估出租人权益价值的，已出租部分在租赁期间应按合同租金确定租赁收入、未出租部分和已出租部分在租赁期间届满后应按市场租金确定租赁收入。</w:t>
      </w:r>
    </w:p>
    <w:p w14:paraId="586B2FBA" w14:textId="15D7D168" w:rsidR="002451CD" w:rsidRDefault="002451CD" w:rsidP="002451CD">
      <w:pPr>
        <w:pStyle w:val="13"/>
      </w:pPr>
      <w:r>
        <w:t>3 评估出租人权益价值或承租人权益价值时，合同租金明显高于或低于市场租金的</w:t>
      </w:r>
      <w:r w:rsidR="003068F8">
        <w:t>，</w:t>
      </w:r>
      <w:r>
        <w:t>应调查租赁合同的真实性、分析解除租赁合同的可能性及其对收益价值的影响。</w:t>
      </w:r>
    </w:p>
    <w:p w14:paraId="2312D40E" w14:textId="1CCA1D69" w:rsidR="002451CD" w:rsidRDefault="002451CD" w:rsidP="002451CD">
      <w:pPr>
        <w:pStyle w:val="13"/>
        <w:ind w:firstLine="482"/>
      </w:pPr>
      <w:r w:rsidRPr="002E2D3F">
        <w:rPr>
          <w:b/>
          <w:bCs/>
        </w:rPr>
        <w:lastRenderedPageBreak/>
        <w:t>4.3.11</w:t>
      </w:r>
      <w:r>
        <w:t xml:space="preserve"> 测算净收益时，价值时点为现在的，应调查估价对象至少最近三年的实际收入、费用或净收益等情况。利用估价对象的资料得出的收入、费用或净收益等数据，应与类似房地产在正常情况下的收入、费用或净收益等数据进行比较。若与正常客观的数据有差异，应进行分析并予以适当修正。</w:t>
      </w:r>
    </w:p>
    <w:p w14:paraId="245DDCA1" w14:textId="22772427" w:rsidR="002451CD" w:rsidRDefault="002451CD" w:rsidP="002451CD">
      <w:pPr>
        <w:pStyle w:val="13"/>
        <w:ind w:firstLine="482"/>
      </w:pPr>
      <w:r w:rsidRPr="002E2D3F">
        <w:rPr>
          <w:b/>
          <w:bCs/>
        </w:rPr>
        <w:t>4.3.12</w:t>
      </w:r>
      <w:r>
        <w:t xml:space="preserve"> 期末转售收益应是在持有期末的转售价格减去转售成本。持有期末的房地产转</w:t>
      </w:r>
      <w:proofErr w:type="gramStart"/>
      <w:r>
        <w:t>售价格可采用</w:t>
      </w:r>
      <w:proofErr w:type="gramEnd"/>
      <w:r>
        <w:t>直接资本化法、比较法等方面来测算。持有期末的转售成本应为转让人负担的销售费用、销售税费等费用和税金。</w:t>
      </w:r>
    </w:p>
    <w:p w14:paraId="3FE5C12A" w14:textId="14E9646D" w:rsidR="002451CD" w:rsidRDefault="002451CD" w:rsidP="002451CD">
      <w:pPr>
        <w:pStyle w:val="13"/>
        <w:ind w:firstLine="482"/>
      </w:pPr>
      <w:r w:rsidRPr="002E2D3F">
        <w:rPr>
          <w:b/>
          <w:bCs/>
        </w:rPr>
        <w:t>4.3.13</w:t>
      </w:r>
      <w:r>
        <w:t xml:space="preserve"> 测算净收益时，应根据净收益过去、现在、未来的变动情况，判断确定未来</w:t>
      </w:r>
      <w:r>
        <w:rPr>
          <w:rFonts w:hint="eastAsia"/>
        </w:rPr>
        <w:t>净收益流量及其类型和对应的收益法公式，并应在估价报告中说明判断确定的结果及理由。</w:t>
      </w:r>
    </w:p>
    <w:p w14:paraId="6C303655" w14:textId="1E4122D2" w:rsidR="002451CD" w:rsidRDefault="002451CD" w:rsidP="002451CD">
      <w:pPr>
        <w:pStyle w:val="13"/>
        <w:ind w:firstLine="482"/>
      </w:pPr>
      <w:r w:rsidRPr="002E2D3F">
        <w:rPr>
          <w:b/>
          <w:bCs/>
        </w:rPr>
        <w:t>4.3.14</w:t>
      </w:r>
      <w:r>
        <w:t xml:space="preserve"> </w:t>
      </w:r>
      <w:proofErr w:type="gramStart"/>
      <w:r>
        <w:t>报酬率宜选用</w:t>
      </w:r>
      <w:proofErr w:type="gramEnd"/>
      <w:r>
        <w:t>下列方法确定：</w:t>
      </w:r>
    </w:p>
    <w:p w14:paraId="10A13F10" w14:textId="40A7016A" w:rsidR="002451CD" w:rsidRDefault="002451CD" w:rsidP="002451CD">
      <w:pPr>
        <w:pStyle w:val="13"/>
      </w:pPr>
      <w:r>
        <w:t>1 市场提取法：选取不少于三个可比实例，利用其价格、净收益等数据，选用相应</w:t>
      </w:r>
      <w:r>
        <w:rPr>
          <w:rFonts w:hint="eastAsia"/>
        </w:rPr>
        <w:t>的收益法公式，测算报酬率。</w:t>
      </w:r>
    </w:p>
    <w:p w14:paraId="14FCF6BF" w14:textId="06749B54" w:rsidR="002451CD" w:rsidRDefault="002451CD" w:rsidP="002451CD">
      <w:pPr>
        <w:pStyle w:val="13"/>
      </w:pPr>
      <w:r>
        <w:t>2 累加法：以安全利率加风险调整值作为报酬率。安全利率可选用国务院金融主管部门公布的同一时期一年定期存款年利率或同一时期一年期国债年利率；风险调整值为承担额外风险所要求的补偿，应根据估价对象及其所在地区、行业、市场等存在的风险来确定。</w:t>
      </w:r>
    </w:p>
    <w:p w14:paraId="4792BE20" w14:textId="7EDC54F9" w:rsidR="002451CD" w:rsidRDefault="002451CD" w:rsidP="002451CD">
      <w:pPr>
        <w:pStyle w:val="13"/>
      </w:pPr>
      <w:r>
        <w:t>3 投资收益率排序插入法：找出相关投资类型及其收益率、风险程度，按风险大小排序，将估价对象与这些投资的风险程度进行比较，判断、确定报酬率。</w:t>
      </w:r>
    </w:p>
    <w:p w14:paraId="6394A911" w14:textId="10D9A053" w:rsidR="002451CD" w:rsidRDefault="002451CD" w:rsidP="002451CD">
      <w:pPr>
        <w:pStyle w:val="13"/>
        <w:ind w:firstLine="482"/>
      </w:pPr>
      <w:r w:rsidRPr="002E2D3F">
        <w:rPr>
          <w:b/>
          <w:bCs/>
        </w:rPr>
        <w:t>4.3.15</w:t>
      </w:r>
      <w:r>
        <w:t xml:space="preserve"> 资本</w:t>
      </w:r>
      <w:proofErr w:type="gramStart"/>
      <w:r>
        <w:t>化率宜采用</w:t>
      </w:r>
      <w:proofErr w:type="gramEnd"/>
      <w:r>
        <w:t>市场提取法确定。其中的综合资本化率还可根据具体情况</w:t>
      </w:r>
      <w:r w:rsidR="003068F8">
        <w:t>，</w:t>
      </w:r>
      <w:r>
        <w:t>选用下列方法确定：</w:t>
      </w:r>
    </w:p>
    <w:p w14:paraId="5926CA0A" w14:textId="199680B6" w:rsidR="002451CD" w:rsidRDefault="002451CD" w:rsidP="002451CD">
      <w:pPr>
        <w:pStyle w:val="13"/>
      </w:pPr>
      <w:r>
        <w:t>1 根据房地产的购买资金构成，将购买房地产的抵押贷款收益率与权益资金收益率的加权平均数作为资本化率，按下式计算：</w:t>
      </w:r>
    </w:p>
    <w:p w14:paraId="4021CBCE" w14:textId="77777777" w:rsidR="002451CD" w:rsidRDefault="002451CD" w:rsidP="002451CD">
      <w:pPr>
        <w:pStyle w:val="13"/>
        <w:ind w:firstLine="432"/>
        <w:jc w:val="right"/>
      </w:pPr>
      <w:r>
        <w:rPr>
          <w:rFonts w:ascii="Times New Roman" w:hAnsi="Times New Roman"/>
          <w:i/>
          <w:spacing w:val="-14"/>
          <w:w w:val="102"/>
        </w:rPr>
        <w:t>R</w:t>
      </w:r>
      <w:r>
        <w:rPr>
          <w:rFonts w:ascii="Times New Roman" w:hAnsi="Times New Roman"/>
          <w:spacing w:val="-21"/>
          <w:w w:val="109"/>
          <w:position w:val="-5"/>
          <w:sz w:val="13"/>
        </w:rPr>
        <w:t>0</w:t>
      </w:r>
      <w:r>
        <w:rPr>
          <w:spacing w:val="-8"/>
          <w:w w:val="102"/>
        </w:rPr>
        <w:t>＝</w:t>
      </w:r>
      <w:r>
        <w:rPr>
          <w:rFonts w:ascii="Times New Roman" w:hAnsi="Times New Roman"/>
          <w:i/>
          <w:w w:val="102"/>
        </w:rPr>
        <w:t>M</w:t>
      </w:r>
      <w:r>
        <w:rPr>
          <w:rFonts w:ascii="Times New Roman" w:hAnsi="Times New Roman"/>
          <w:i/>
          <w:spacing w:val="-4"/>
        </w:rPr>
        <w:t xml:space="preserve"> </w:t>
      </w:r>
      <w:r>
        <w:rPr>
          <w:rFonts w:ascii="Symbol" w:hAnsi="Symbol"/>
          <w:w w:val="102"/>
        </w:rPr>
        <w:t></w:t>
      </w:r>
      <w:r>
        <w:rPr>
          <w:rFonts w:ascii="Times New Roman" w:hAnsi="Times New Roman"/>
          <w:spacing w:val="-24"/>
        </w:rPr>
        <w:t xml:space="preserve"> </w:t>
      </w:r>
      <w:r>
        <w:rPr>
          <w:rFonts w:ascii="Times New Roman" w:hAnsi="Times New Roman"/>
          <w:i/>
          <w:spacing w:val="-10"/>
          <w:w w:val="102"/>
        </w:rPr>
        <w:t>R</w:t>
      </w:r>
      <w:r>
        <w:rPr>
          <w:rFonts w:ascii="Times New Roman" w:hAnsi="Times New Roman"/>
          <w:i/>
          <w:spacing w:val="5"/>
          <w:w w:val="109"/>
          <w:position w:val="-5"/>
          <w:sz w:val="13"/>
        </w:rPr>
        <w:t>M</w:t>
      </w:r>
      <w:r>
        <w:rPr>
          <w:spacing w:val="-7"/>
          <w:w w:val="102"/>
        </w:rPr>
        <w:t>＋</w:t>
      </w:r>
      <w:r>
        <w:rPr>
          <w:spacing w:val="-56"/>
          <w:w w:val="102"/>
        </w:rPr>
        <w:t>（</w:t>
      </w:r>
      <w:r>
        <w:rPr>
          <w:rFonts w:ascii="Times New Roman" w:hAnsi="Times New Roman"/>
          <w:spacing w:val="-45"/>
          <w:w w:val="102"/>
        </w:rPr>
        <w:t>1</w:t>
      </w:r>
      <w:r>
        <w:rPr>
          <w:spacing w:val="-8"/>
          <w:w w:val="102"/>
        </w:rPr>
        <w:t>－</w:t>
      </w:r>
      <w:r>
        <w:rPr>
          <w:rFonts w:ascii="Times New Roman" w:hAnsi="Times New Roman"/>
          <w:i/>
          <w:spacing w:val="1"/>
          <w:w w:val="102"/>
        </w:rPr>
        <w:t>M</w:t>
      </w:r>
      <w:r>
        <w:rPr>
          <w:spacing w:val="-108"/>
          <w:w w:val="102"/>
        </w:rPr>
        <w:t>）</w:t>
      </w:r>
      <w:r>
        <w:rPr>
          <w:rFonts w:ascii="Symbol" w:hAnsi="Symbol"/>
          <w:w w:val="102"/>
        </w:rPr>
        <w:t></w:t>
      </w:r>
      <w:r>
        <w:rPr>
          <w:rFonts w:ascii="Times New Roman" w:hAnsi="Times New Roman"/>
          <w:spacing w:val="-24"/>
        </w:rPr>
        <w:t xml:space="preserve"> </w:t>
      </w:r>
      <w:r>
        <w:rPr>
          <w:rFonts w:ascii="Times New Roman" w:hAnsi="Times New Roman"/>
          <w:i/>
          <w:spacing w:val="-15"/>
          <w:w w:val="102"/>
        </w:rPr>
        <w:t>R</w:t>
      </w:r>
      <w:r>
        <w:rPr>
          <w:rFonts w:ascii="Times New Roman" w:hAnsi="Times New Roman"/>
          <w:i/>
          <w:spacing w:val="-7"/>
          <w:w w:val="109"/>
          <w:position w:val="-5"/>
          <w:sz w:val="13"/>
        </w:rPr>
        <w:t>E</w:t>
      </w:r>
      <w:r>
        <w:t xml:space="preserve">             </w:t>
      </w:r>
      <w:r>
        <w:rPr>
          <w:rFonts w:hint="eastAsia"/>
        </w:rPr>
        <w:t>（</w:t>
      </w:r>
      <w:r>
        <w:t>4.3.15-1）</w:t>
      </w:r>
    </w:p>
    <w:p w14:paraId="6B94866F" w14:textId="77777777" w:rsidR="002451CD" w:rsidRDefault="002451CD" w:rsidP="002451CD">
      <w:pPr>
        <w:pStyle w:val="13"/>
      </w:pPr>
      <w:r>
        <w:rPr>
          <w:rFonts w:hint="eastAsia"/>
        </w:rPr>
        <w:t>式中：</w:t>
      </w:r>
      <w:r>
        <w:t>R0─综合资本化率（%）；</w:t>
      </w:r>
    </w:p>
    <w:p w14:paraId="3BF6400B" w14:textId="77777777" w:rsidR="002451CD" w:rsidRDefault="002451CD" w:rsidP="002451CD">
      <w:pPr>
        <w:pStyle w:val="13"/>
        <w:ind w:firstLineChars="500" w:firstLine="1200"/>
      </w:pPr>
      <w:r>
        <w:t>M─贷款价值比率（%），即抵押贷款额与房地产价值的百分比；</w:t>
      </w:r>
    </w:p>
    <w:p w14:paraId="7103B93D" w14:textId="4FE855B4" w:rsidR="002451CD" w:rsidRDefault="002451CD" w:rsidP="002451CD">
      <w:pPr>
        <w:pStyle w:val="13"/>
        <w:ind w:firstLineChars="500" w:firstLine="1200"/>
      </w:pPr>
      <w:r>
        <w:t>RM─抵押贷款资本化率（%），即第一年还本付息额与抵押贷款额的百分比；</w:t>
      </w:r>
    </w:p>
    <w:p w14:paraId="36E651CC" w14:textId="77777777" w:rsidR="002451CD" w:rsidRDefault="002451CD" w:rsidP="002451CD">
      <w:pPr>
        <w:pStyle w:val="13"/>
        <w:ind w:firstLineChars="500" w:firstLine="1200"/>
      </w:pPr>
      <w:r>
        <w:t>RE─权益资金要求的正常收益率（%）。</w:t>
      </w:r>
    </w:p>
    <w:p w14:paraId="3CDCC3AB" w14:textId="1B29EF51" w:rsidR="002451CD" w:rsidRDefault="002451CD" w:rsidP="002451CD">
      <w:pPr>
        <w:pStyle w:val="13"/>
      </w:pPr>
      <w:r>
        <w:t>2 根据房地产中土地和建筑物的价值构成，将土地资本化率与建筑资本化率的加权平均数作为综合资本化率，按下式计算：</w:t>
      </w:r>
    </w:p>
    <w:p w14:paraId="7C4B58AD" w14:textId="77777777" w:rsidR="002451CD" w:rsidRDefault="002451CD" w:rsidP="002451CD">
      <w:pPr>
        <w:pStyle w:val="13"/>
        <w:ind w:firstLine="503"/>
        <w:jc w:val="right"/>
      </w:pPr>
      <w:r>
        <w:rPr>
          <w:rFonts w:ascii="Times New Roman" w:hAnsi="Times New Roman"/>
          <w:i/>
          <w:w w:val="105"/>
        </w:rPr>
        <w:t>R</w:t>
      </w:r>
      <w:r>
        <w:rPr>
          <w:rFonts w:ascii="Times New Roman" w:hAnsi="Times New Roman"/>
          <w:w w:val="105"/>
          <w:position w:val="-5"/>
          <w:sz w:val="13"/>
        </w:rPr>
        <w:t>0</w:t>
      </w:r>
      <w:r>
        <w:rPr>
          <w:w w:val="105"/>
        </w:rPr>
        <w:t>＝</w:t>
      </w:r>
      <w:r>
        <w:rPr>
          <w:rFonts w:ascii="Times New Roman" w:hAnsi="Times New Roman"/>
          <w:i/>
          <w:w w:val="105"/>
        </w:rPr>
        <w:t xml:space="preserve">L </w:t>
      </w:r>
      <w:r>
        <w:rPr>
          <w:rFonts w:ascii="Symbol" w:hAnsi="Symbol"/>
          <w:w w:val="105"/>
        </w:rPr>
        <w:t></w:t>
      </w:r>
      <w:r>
        <w:rPr>
          <w:rFonts w:ascii="Times New Roman" w:hAnsi="Times New Roman"/>
          <w:w w:val="105"/>
        </w:rPr>
        <w:t xml:space="preserve"> </w:t>
      </w:r>
      <w:r>
        <w:rPr>
          <w:rFonts w:ascii="Times New Roman" w:hAnsi="Times New Roman"/>
          <w:i/>
          <w:w w:val="105"/>
        </w:rPr>
        <w:t>R</w:t>
      </w:r>
      <w:r>
        <w:rPr>
          <w:rFonts w:ascii="Times New Roman" w:hAnsi="Times New Roman"/>
          <w:i/>
          <w:w w:val="105"/>
          <w:position w:val="-5"/>
          <w:sz w:val="13"/>
        </w:rPr>
        <w:t>L</w:t>
      </w:r>
      <w:r>
        <w:rPr>
          <w:w w:val="105"/>
        </w:rPr>
        <w:t>＋</w:t>
      </w:r>
      <w:r>
        <w:rPr>
          <w:rFonts w:ascii="Times New Roman" w:hAnsi="Times New Roman"/>
          <w:i/>
          <w:w w:val="105"/>
        </w:rPr>
        <w:t xml:space="preserve">B </w:t>
      </w:r>
      <w:r>
        <w:rPr>
          <w:rFonts w:ascii="Symbol" w:hAnsi="Symbol"/>
          <w:w w:val="105"/>
        </w:rPr>
        <w:t></w:t>
      </w:r>
      <w:r>
        <w:rPr>
          <w:rFonts w:ascii="Times New Roman" w:hAnsi="Times New Roman"/>
          <w:w w:val="105"/>
        </w:rPr>
        <w:t xml:space="preserve"> </w:t>
      </w:r>
      <w:r>
        <w:rPr>
          <w:rFonts w:ascii="Times New Roman" w:hAnsi="Times New Roman"/>
          <w:i/>
          <w:w w:val="105"/>
        </w:rPr>
        <w:t>R</w:t>
      </w:r>
      <w:r>
        <w:rPr>
          <w:rFonts w:ascii="Times New Roman" w:hAnsi="Times New Roman"/>
          <w:i/>
          <w:w w:val="105"/>
          <w:position w:val="-5"/>
          <w:sz w:val="13"/>
        </w:rPr>
        <w:t xml:space="preserve">B                         </w:t>
      </w:r>
      <w:r>
        <w:rPr>
          <w:rFonts w:hint="eastAsia"/>
        </w:rPr>
        <w:t>（</w:t>
      </w:r>
      <w:r>
        <w:t>4.3.15-2）</w:t>
      </w:r>
    </w:p>
    <w:p w14:paraId="7195D1B7" w14:textId="77777777" w:rsidR="002451CD" w:rsidRDefault="002451CD" w:rsidP="002451CD">
      <w:pPr>
        <w:pStyle w:val="13"/>
      </w:pPr>
      <w:r>
        <w:rPr>
          <w:rFonts w:hint="eastAsia"/>
        </w:rPr>
        <w:t>式中：</w:t>
      </w:r>
      <w:r>
        <w:t>R0─综合资本化率（%），适用于土地与建筑物合一的估价；</w:t>
      </w:r>
    </w:p>
    <w:p w14:paraId="1B9B56D7" w14:textId="36CE48C1" w:rsidR="002451CD" w:rsidRDefault="002451CD" w:rsidP="002451CD">
      <w:pPr>
        <w:pStyle w:val="13"/>
        <w:ind w:firstLineChars="500" w:firstLine="1200"/>
      </w:pPr>
      <w:r>
        <w:lastRenderedPageBreak/>
        <w:t>RL─土地资本化率（%），适用于土地估价</w:t>
      </w:r>
      <w:r w:rsidR="003068F8">
        <w:t>；</w:t>
      </w:r>
    </w:p>
    <w:p w14:paraId="315F253D" w14:textId="33D7E80F" w:rsidR="002451CD" w:rsidRDefault="002451CD" w:rsidP="002451CD">
      <w:pPr>
        <w:pStyle w:val="13"/>
        <w:ind w:firstLineChars="500" w:firstLine="1200"/>
      </w:pPr>
      <w:r>
        <w:t>RB─建筑物资本化率（%），适用于建筑物估价</w:t>
      </w:r>
      <w:r w:rsidR="003068F8">
        <w:t>；</w:t>
      </w:r>
    </w:p>
    <w:p w14:paraId="2A24524E" w14:textId="77777777" w:rsidR="002451CD" w:rsidRDefault="002451CD" w:rsidP="002451CD">
      <w:pPr>
        <w:pStyle w:val="13"/>
        <w:ind w:firstLineChars="500" w:firstLine="1200"/>
      </w:pPr>
      <w:r>
        <w:t>L─土地价值占房地价值的比率（%）；</w:t>
      </w:r>
    </w:p>
    <w:p w14:paraId="4E763634" w14:textId="77777777" w:rsidR="002451CD" w:rsidRDefault="002451CD" w:rsidP="002451CD">
      <w:pPr>
        <w:pStyle w:val="13"/>
        <w:ind w:firstLineChars="500" w:firstLine="1200"/>
      </w:pPr>
      <w:r>
        <w:t>B─建筑物价值占房地价值的比率（%），L＋B＝100%。</w:t>
      </w:r>
    </w:p>
    <w:p w14:paraId="280A47C0" w14:textId="3E52E957" w:rsidR="002451CD" w:rsidRDefault="002451CD" w:rsidP="002451CD">
      <w:pPr>
        <w:pStyle w:val="13"/>
        <w:ind w:firstLine="482"/>
      </w:pPr>
      <w:r w:rsidRPr="002E2D3F">
        <w:rPr>
          <w:b/>
          <w:bCs/>
        </w:rPr>
        <w:t xml:space="preserve"> 4.3.16</w:t>
      </w:r>
      <w:r>
        <w:t xml:space="preserve"> 收益价值的计算，应符合下列规定：</w:t>
      </w:r>
    </w:p>
    <w:p w14:paraId="2D6F68F1" w14:textId="454746C1" w:rsidR="002451CD" w:rsidRDefault="002451CD" w:rsidP="002451CD">
      <w:pPr>
        <w:pStyle w:val="13"/>
      </w:pPr>
      <w:r>
        <w:t>1 对土地使用权剩余期限长于建筑物剩余经济寿命的房地产，收益价值应为按收益 期计算的价值，加</w:t>
      </w:r>
      <w:proofErr w:type="gramStart"/>
      <w:r>
        <w:t>自收益</w:t>
      </w:r>
      <w:proofErr w:type="gramEnd"/>
      <w:r>
        <w:t>期结束时起计算的剩余期限建设用地使用权在价值时点的价值。</w:t>
      </w:r>
    </w:p>
    <w:p w14:paraId="2619B760" w14:textId="6837A0B8" w:rsidR="002451CD" w:rsidRDefault="002451CD" w:rsidP="002451CD">
      <w:pPr>
        <w:pStyle w:val="13"/>
      </w:pPr>
      <w:r>
        <w:t>2 对建筑物剩余经济寿命超过土地用地使用权剩余期限，且出让合同约定建设用地使用权期间届满无偿收回建设用地使用权及地上建筑物的非住宅房地产，收益价值应为按收益期计算的价值。</w:t>
      </w:r>
    </w:p>
    <w:p w14:paraId="439C9ED7" w14:textId="40262AAA" w:rsidR="002451CD" w:rsidRDefault="002451CD" w:rsidP="002451CD">
      <w:pPr>
        <w:pStyle w:val="13"/>
      </w:pPr>
      <w:r>
        <w:t>3 对建筑物剩余经济寿命超过土地用地使用权剩余期限，且出让合同未约定建设用地使用权期间届满无偿收回建设用地使用权及地上建筑物的房地产，收益价值应为按收益期计算的价值，加建筑物在收益期结束时的价值折现到价值时点的价值。</w:t>
      </w:r>
    </w:p>
    <w:p w14:paraId="6A866416" w14:textId="0AC7EFD5" w:rsidR="002451CD" w:rsidRDefault="002451CD" w:rsidP="002451CD">
      <w:pPr>
        <w:pStyle w:val="13"/>
      </w:pPr>
      <w:r>
        <w:t>4 利用土地与建筑物共同产生的收益单独测算土地价值，可采用下式</w:t>
      </w:r>
    </w:p>
    <w:p w14:paraId="40BA92DC" w14:textId="77777777" w:rsidR="002451CD" w:rsidRDefault="002451CD" w:rsidP="002451CD">
      <w:pPr>
        <w:pStyle w:val="13"/>
        <w:jc w:val="center"/>
      </w:pPr>
      <w:r>
        <w:rPr>
          <w:noProof/>
        </w:rPr>
        <w:drawing>
          <wp:inline distT="0" distB="0" distL="0" distR="0" wp14:anchorId="0A4138D5" wp14:editId="032DF549">
            <wp:extent cx="4295775" cy="683879"/>
            <wp:effectExtent l="0" t="0" r="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01477" cy="684787"/>
                    </a:xfrm>
                    <a:prstGeom prst="rect">
                      <a:avLst/>
                    </a:prstGeom>
                  </pic:spPr>
                </pic:pic>
              </a:graphicData>
            </a:graphic>
          </wp:inline>
        </w:drawing>
      </w:r>
    </w:p>
    <w:p w14:paraId="50A0C6DB" w14:textId="77777777" w:rsidR="002451CD" w:rsidRDefault="002451CD" w:rsidP="002451CD">
      <w:pPr>
        <w:pStyle w:val="13"/>
      </w:pPr>
      <w:r>
        <w:rPr>
          <w:rFonts w:hint="eastAsia"/>
        </w:rPr>
        <w:t>式中：</w:t>
      </w:r>
      <w:r>
        <w:t>A0─土地与地上建筑物共同产生的净收益（元，元/m2）；</w:t>
      </w:r>
    </w:p>
    <w:p w14:paraId="42F99D98" w14:textId="60FD1B35" w:rsidR="002451CD" w:rsidRDefault="002451CD" w:rsidP="002451CD">
      <w:pPr>
        <w:pStyle w:val="13"/>
        <w:ind w:firstLineChars="500" w:firstLine="1200"/>
      </w:pPr>
      <w:r>
        <w:t>VL─土地价值（元，元/m2）</w:t>
      </w:r>
      <w:r w:rsidR="003068F8">
        <w:t>；</w:t>
      </w:r>
    </w:p>
    <w:p w14:paraId="7D1FA87B" w14:textId="77777777" w:rsidR="002451CD" w:rsidRDefault="002451CD" w:rsidP="002451CD">
      <w:pPr>
        <w:pStyle w:val="13"/>
        <w:ind w:firstLineChars="500" w:firstLine="1200"/>
      </w:pPr>
      <w:r>
        <w:t>VB─建筑物价值（元，元/m2）。</w:t>
      </w:r>
    </w:p>
    <w:p w14:paraId="428F75D6" w14:textId="77777777" w:rsidR="002451CD" w:rsidRDefault="002451CD" w:rsidP="002451CD">
      <w:pPr>
        <w:pStyle w:val="13"/>
      </w:pPr>
      <w:r>
        <w:rPr>
          <w:rFonts w:hint="eastAsia"/>
        </w:rPr>
        <w:t>利用土地与建筑物共同产生的收益单独测算建筑物价值，可采用下式：</w:t>
      </w:r>
    </w:p>
    <w:p w14:paraId="14A87606" w14:textId="77777777" w:rsidR="002451CD" w:rsidRDefault="002451CD" w:rsidP="002451CD">
      <w:pPr>
        <w:pStyle w:val="13"/>
        <w:jc w:val="center"/>
      </w:pPr>
      <w:r>
        <w:rPr>
          <w:noProof/>
        </w:rPr>
        <w:drawing>
          <wp:inline distT="0" distB="0" distL="0" distR="0" wp14:anchorId="1527A3F3" wp14:editId="2CC95E1F">
            <wp:extent cx="4271072" cy="706931"/>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94054" cy="710735"/>
                    </a:xfrm>
                    <a:prstGeom prst="rect">
                      <a:avLst/>
                    </a:prstGeom>
                  </pic:spPr>
                </pic:pic>
              </a:graphicData>
            </a:graphic>
          </wp:inline>
        </w:drawing>
      </w:r>
    </w:p>
    <w:p w14:paraId="1DC49182" w14:textId="7F417956" w:rsidR="002451CD" w:rsidRDefault="002451CD" w:rsidP="002451CD">
      <w:pPr>
        <w:pStyle w:val="13"/>
        <w:ind w:firstLine="482"/>
      </w:pPr>
      <w:r w:rsidRPr="003A509D">
        <w:rPr>
          <w:b/>
          <w:bCs/>
        </w:rPr>
        <w:t>4.3.17</w:t>
      </w:r>
      <w:r>
        <w:t xml:space="preserve"> </w:t>
      </w:r>
      <w:proofErr w:type="gramStart"/>
      <w:r>
        <w:t>自收益</w:t>
      </w:r>
      <w:proofErr w:type="gramEnd"/>
      <w:r>
        <w:t>期结束时起计算的剩余期限土地使用权在价值时点的价值，可根据具体情况，选用下列方法计算 ：</w:t>
      </w:r>
    </w:p>
    <w:p w14:paraId="190EED17" w14:textId="52CF00EB" w:rsidR="002451CD" w:rsidRDefault="002451CD" w:rsidP="002451CD">
      <w:pPr>
        <w:pStyle w:val="13"/>
      </w:pPr>
      <w:r>
        <w:t>1 先分别</w:t>
      </w:r>
      <w:proofErr w:type="gramStart"/>
      <w:r>
        <w:t>测算自价值</w:t>
      </w:r>
      <w:proofErr w:type="gramEnd"/>
      <w:r>
        <w:t>时点起计算的剩余期限土附表很可能和以收益期为使用期限的土地使用权在价值时点的价值，再将两者相减；</w:t>
      </w:r>
    </w:p>
    <w:p w14:paraId="6CAA3C0E" w14:textId="742546F8" w:rsidR="002451CD" w:rsidRDefault="002451CD" w:rsidP="002451CD">
      <w:pPr>
        <w:pStyle w:val="13"/>
      </w:pPr>
      <w:r>
        <w:t>2 先预测</w:t>
      </w:r>
      <w:proofErr w:type="gramStart"/>
      <w:r>
        <w:t>自收益</w:t>
      </w:r>
      <w:proofErr w:type="gramEnd"/>
      <w:r>
        <w:t>期结束进起计算的剩余期限土地使用权在收益期结束时的价值，再将其折现到价值时点。</w:t>
      </w:r>
    </w:p>
    <w:p w14:paraId="59CEE7D6" w14:textId="5D9C577F" w:rsidR="002451CD" w:rsidRDefault="002451CD" w:rsidP="002451CD">
      <w:pPr>
        <w:pStyle w:val="ab"/>
        <w:spacing w:before="62" w:after="62"/>
        <w:ind w:firstLine="482"/>
      </w:pPr>
      <w:r>
        <w:t>4.4 成本法</w:t>
      </w:r>
    </w:p>
    <w:p w14:paraId="71A0D53B" w14:textId="08E2D512" w:rsidR="002451CD" w:rsidRDefault="002451CD" w:rsidP="002451CD">
      <w:pPr>
        <w:pStyle w:val="13"/>
        <w:ind w:firstLine="482"/>
      </w:pPr>
      <w:r w:rsidRPr="003A509D">
        <w:rPr>
          <w:b/>
          <w:bCs/>
        </w:rPr>
        <w:t>4.4.1</w:t>
      </w:r>
      <w:r>
        <w:t xml:space="preserve"> 运用成本法估价，应按下列步骤进行：</w:t>
      </w:r>
    </w:p>
    <w:p w14:paraId="42212621" w14:textId="147A1DC2" w:rsidR="002451CD" w:rsidRDefault="002451CD" w:rsidP="002451CD">
      <w:pPr>
        <w:pStyle w:val="13"/>
      </w:pPr>
      <w:r>
        <w:t>1 选择具体估价路径；</w:t>
      </w:r>
    </w:p>
    <w:p w14:paraId="0CC096D5" w14:textId="0CC5CE38" w:rsidR="002451CD" w:rsidRDefault="002451CD" w:rsidP="002451CD">
      <w:pPr>
        <w:pStyle w:val="13"/>
      </w:pPr>
      <w:r>
        <w:lastRenderedPageBreak/>
        <w:t>2 测算重置成本或重建成本；</w:t>
      </w:r>
    </w:p>
    <w:p w14:paraId="536730DC" w14:textId="581E3672" w:rsidR="002451CD" w:rsidRDefault="002451CD" w:rsidP="002451CD">
      <w:pPr>
        <w:pStyle w:val="13"/>
      </w:pPr>
      <w:r>
        <w:t>3 测算折旧；</w:t>
      </w:r>
    </w:p>
    <w:p w14:paraId="38CA4CB4" w14:textId="2CE30560" w:rsidR="002451CD" w:rsidRDefault="002451CD" w:rsidP="002451CD">
      <w:pPr>
        <w:pStyle w:val="13"/>
      </w:pPr>
      <w:r>
        <w:t>4 计算成本价值。</w:t>
      </w:r>
    </w:p>
    <w:p w14:paraId="43ED54A1" w14:textId="11BFC459" w:rsidR="002451CD" w:rsidRDefault="002451CD" w:rsidP="002451CD">
      <w:pPr>
        <w:pStyle w:val="13"/>
        <w:ind w:firstLine="482"/>
      </w:pPr>
      <w:r w:rsidRPr="003A509D">
        <w:rPr>
          <w:b/>
          <w:bCs/>
        </w:rPr>
        <w:t>4.4.2</w:t>
      </w:r>
      <w:r>
        <w:t xml:space="preserve"> 成本法估价时，对包含土地和建筑物的估价对象，应选</w:t>
      </w:r>
      <w:proofErr w:type="gramStart"/>
      <w:r>
        <w:t>择具体</w:t>
      </w:r>
      <w:proofErr w:type="gramEnd"/>
      <w:r>
        <w:t>估价路径，并应符合下列规定：</w:t>
      </w:r>
    </w:p>
    <w:p w14:paraId="02D48A05" w14:textId="0FEB837F" w:rsidR="002451CD" w:rsidRDefault="002451CD" w:rsidP="002451CD">
      <w:pPr>
        <w:pStyle w:val="13"/>
      </w:pPr>
      <w:r>
        <w:t>1 应根据估价对象状况和土地市场状况，选择</w:t>
      </w:r>
      <w:proofErr w:type="gramStart"/>
      <w:r>
        <w:t>房地合估路径</w:t>
      </w:r>
      <w:proofErr w:type="gramEnd"/>
      <w:r>
        <w:t>或</w:t>
      </w:r>
      <w:proofErr w:type="gramStart"/>
      <w:r>
        <w:t>房地产分估路径</w:t>
      </w:r>
      <w:proofErr w:type="gramEnd"/>
      <w:r>
        <w:t>，并应优先选择</w:t>
      </w:r>
      <w:proofErr w:type="gramStart"/>
      <w:r>
        <w:t>房地合估路径</w:t>
      </w:r>
      <w:proofErr w:type="gramEnd"/>
      <w:r>
        <w:t>。</w:t>
      </w:r>
    </w:p>
    <w:p w14:paraId="2EBF9A04" w14:textId="480862F7" w:rsidR="002451CD" w:rsidRDefault="002451CD" w:rsidP="002451CD">
      <w:pPr>
        <w:pStyle w:val="13"/>
      </w:pPr>
      <w:r>
        <w:t>2 当选择</w:t>
      </w:r>
      <w:proofErr w:type="gramStart"/>
      <w:r>
        <w:t>房地合估路径</w:t>
      </w:r>
      <w:proofErr w:type="gramEnd"/>
      <w:r>
        <w:t>时，应把土地当作原材料，模拟房地产开发过程，测算房地产重置成本或重建成本进行估价。</w:t>
      </w:r>
    </w:p>
    <w:p w14:paraId="078447C7" w14:textId="4127E043" w:rsidR="002451CD" w:rsidRDefault="002451CD" w:rsidP="002451CD">
      <w:pPr>
        <w:pStyle w:val="13"/>
      </w:pPr>
      <w:r>
        <w:t>3 选择</w:t>
      </w:r>
      <w:proofErr w:type="gramStart"/>
      <w:r>
        <w:t>房地分估路径</w:t>
      </w:r>
      <w:proofErr w:type="gramEnd"/>
      <w:r>
        <w:t>时，应把土地和建筑物分别作为独立的物，分别测算土地重置成本、建筑物重置成本或重建成本。</w:t>
      </w:r>
    </w:p>
    <w:p w14:paraId="78C249DF" w14:textId="0FDD368B" w:rsidR="002451CD" w:rsidRDefault="002451CD" w:rsidP="002451CD">
      <w:pPr>
        <w:pStyle w:val="13"/>
        <w:ind w:firstLine="482"/>
      </w:pPr>
      <w:r w:rsidRPr="003A509D">
        <w:rPr>
          <w:b/>
          <w:bCs/>
        </w:rPr>
        <w:t>4.4.3</w:t>
      </w:r>
      <w:r>
        <w:t xml:space="preserve"> 测算重置成本或重建成本，应符合下列规定：</w:t>
      </w:r>
    </w:p>
    <w:p w14:paraId="5098F323" w14:textId="00760D71" w:rsidR="002451CD" w:rsidRDefault="002451CD" w:rsidP="002451CD">
      <w:pPr>
        <w:pStyle w:val="13"/>
      </w:pPr>
      <w:r>
        <w:t>1 重置成本或重建成本应为在价值时点</w:t>
      </w:r>
      <w:proofErr w:type="gramStart"/>
      <w:r>
        <w:t>重新重新</w:t>
      </w:r>
      <w:proofErr w:type="gramEnd"/>
      <w:r>
        <w:t>开发建设全新状况的房地产的必要支出及应得利润。</w:t>
      </w:r>
    </w:p>
    <w:p w14:paraId="16B45AC3" w14:textId="364A03A2" w:rsidR="002451CD" w:rsidRDefault="002451CD" w:rsidP="002451CD">
      <w:pPr>
        <w:pStyle w:val="13"/>
      </w:pPr>
      <w:r>
        <w:t>2 房地产的必要支出及应得利润应包括土地成本、建设成本</w:t>
      </w:r>
      <w:r w:rsidR="003068F8">
        <w:t>、</w:t>
      </w:r>
      <w:r>
        <w:t>管理费用、销售费用、投资利息、销售税费</w:t>
      </w:r>
      <w:r w:rsidR="003068F8">
        <w:t>、</w:t>
      </w:r>
      <w:r>
        <w:t>开发利润。</w:t>
      </w:r>
    </w:p>
    <w:p w14:paraId="200AA489" w14:textId="094544A0" w:rsidR="002451CD" w:rsidRDefault="002451CD" w:rsidP="002451CD">
      <w:pPr>
        <w:pStyle w:val="13"/>
        <w:ind w:firstLine="482"/>
      </w:pPr>
      <w:r w:rsidRPr="003A509D">
        <w:rPr>
          <w:b/>
          <w:bCs/>
        </w:rPr>
        <w:t>4.4.4</w:t>
      </w:r>
      <w:r>
        <w:t xml:space="preserve"> 测算土地成本和土地重置成本，可采用比较法、成本法、基准地价修正法等方法，并应符合下列规定：</w:t>
      </w:r>
    </w:p>
    <w:p w14:paraId="5356F05D" w14:textId="0F22C97A" w:rsidR="002451CD" w:rsidRDefault="002451CD" w:rsidP="002451CD">
      <w:pPr>
        <w:pStyle w:val="13"/>
      </w:pPr>
      <w:r>
        <w:t>1 土地成本和土地重置成本应为在价值时点重新购置土地的必要支出，或重新开发土地的必要支出及应得利润</w:t>
      </w:r>
    </w:p>
    <w:p w14:paraId="494FFC65" w14:textId="148ED8DD" w:rsidR="002451CD" w:rsidRDefault="002451CD" w:rsidP="002451CD">
      <w:pPr>
        <w:pStyle w:val="13"/>
      </w:pPr>
      <w:r>
        <w:t>2 重新购置土地的必要支出应包括土地购置价款和相关税费，重新开发土地的必要支出及应得利润应包括待开发土地成本、管理费用、销售费用、投资利息、销售税费和开发利润。</w:t>
      </w:r>
    </w:p>
    <w:p w14:paraId="1C929C04" w14:textId="0C518E89" w:rsidR="002451CD" w:rsidRDefault="002451CD" w:rsidP="002451CD">
      <w:pPr>
        <w:pStyle w:val="13"/>
      </w:pPr>
      <w:r>
        <w:t>3 除估价对象状况相对于价值时点应为历史状况或未来状况外，土地状况应为土地在价值时点的状况，土地使用期限应为自 价值时点起计算的土地使用权剩余期限。</w:t>
      </w:r>
    </w:p>
    <w:p w14:paraId="3F77F974" w14:textId="3C35E81D" w:rsidR="002451CD" w:rsidRDefault="002451CD" w:rsidP="002451CD">
      <w:pPr>
        <w:pStyle w:val="13"/>
        <w:ind w:firstLine="482"/>
      </w:pPr>
      <w:r w:rsidRPr="003A509D">
        <w:rPr>
          <w:b/>
          <w:bCs/>
        </w:rPr>
        <w:t>4.4.5</w:t>
      </w:r>
      <w:r>
        <w:t xml:space="preserve"> 测算建筑物重置成本或重建成本，可采用单位比较法、分部分项法、工料测量法等方法，或利用政府或其有关部门公布的房屋重置价格扣除其中可能包含的土地价值且进行适当调整，并应符合下列规定：</w:t>
      </w:r>
    </w:p>
    <w:p w14:paraId="78A9B339" w14:textId="29AC17AD" w:rsidR="002451CD" w:rsidRDefault="002451CD" w:rsidP="002451CD">
      <w:pPr>
        <w:pStyle w:val="13"/>
      </w:pPr>
      <w:r>
        <w:t>1 对一般建筑物，或因年代久远、已缺少与旧建筑物相同的建筑材料、建筑构配件</w:t>
      </w:r>
      <w:r>
        <w:rPr>
          <w:rFonts w:hint="eastAsia"/>
        </w:rPr>
        <w:t>和设备，或因建筑技术、工艺改变等使得旧建筑物复原建造有困难的建筑物宜测算重置成本；</w:t>
      </w:r>
    </w:p>
    <w:p w14:paraId="214D9AFA" w14:textId="25A386AA" w:rsidR="002451CD" w:rsidRDefault="002451CD" w:rsidP="002451CD">
      <w:pPr>
        <w:pStyle w:val="13"/>
      </w:pPr>
      <w:r>
        <w:t>2 对具有历史、艺术、科学价值或代表性的建筑物，宜测算重建成本；</w:t>
      </w:r>
    </w:p>
    <w:p w14:paraId="393F39AB" w14:textId="69861E52" w:rsidR="002451CD" w:rsidRDefault="002451CD" w:rsidP="002451CD">
      <w:pPr>
        <w:pStyle w:val="13"/>
      </w:pPr>
      <w:r>
        <w:t>3 建筑物重置成本和重建成本应为在价值时点重新建造全新建筑物的必要支出</w:t>
      </w:r>
      <w:r>
        <w:lastRenderedPageBreak/>
        <w:t>及应得利润；</w:t>
      </w:r>
    </w:p>
    <w:p w14:paraId="49942E96" w14:textId="72FCC857" w:rsidR="002451CD" w:rsidRDefault="002451CD" w:rsidP="002451CD">
      <w:pPr>
        <w:pStyle w:val="13"/>
      </w:pPr>
      <w:r>
        <w:t>4 建筑的必要支出及应得利润应包括建筑物建设成本、管理费用、销售费用、投资利息、销售税费和开发利润。</w:t>
      </w:r>
    </w:p>
    <w:p w14:paraId="54CC05AF" w14:textId="71AD9D38" w:rsidR="002451CD" w:rsidRDefault="002451CD" w:rsidP="002451CD">
      <w:pPr>
        <w:pStyle w:val="13"/>
      </w:pPr>
      <w:r>
        <w:t>5 利用政府或其有关部门公布的房屋重置价格扣除其中包括的土地价值且进行适当调整测算建筑物重置成本或重建成本的，应了解该房屋重置价格的内涵。</w:t>
      </w:r>
    </w:p>
    <w:p w14:paraId="3202F892" w14:textId="2D94213B" w:rsidR="002451CD" w:rsidRDefault="002451CD" w:rsidP="002451CD">
      <w:pPr>
        <w:pStyle w:val="13"/>
        <w:ind w:firstLine="482"/>
      </w:pPr>
      <w:r w:rsidRPr="003A509D">
        <w:rPr>
          <w:b/>
          <w:bCs/>
        </w:rPr>
        <w:t>4.4.6</w:t>
      </w:r>
      <w:r>
        <w:t xml:space="preserve"> 各项必要支出及应得利润的测算，应符合下列规定：</w:t>
      </w:r>
    </w:p>
    <w:p w14:paraId="3706C564" w14:textId="6A7FD7ED" w:rsidR="002451CD" w:rsidRDefault="002451CD" w:rsidP="002451CD">
      <w:pPr>
        <w:pStyle w:val="13"/>
      </w:pPr>
      <w:r>
        <w:t>1 各项必要支出及应得利润应为正常客观的支出和利润</w:t>
      </w:r>
    </w:p>
    <w:p w14:paraId="19CF6AB1" w14:textId="13D93348" w:rsidR="002451CD" w:rsidRDefault="002451CD" w:rsidP="002451CD">
      <w:pPr>
        <w:pStyle w:val="13"/>
      </w:pPr>
      <w:r>
        <w:t>2 销售税费和开发利润不应作为投资利息的计算基数</w:t>
      </w:r>
    </w:p>
    <w:p w14:paraId="453CC837" w14:textId="707EFD93" w:rsidR="002451CD" w:rsidRDefault="002451CD" w:rsidP="002451CD">
      <w:pPr>
        <w:pStyle w:val="13"/>
      </w:pPr>
      <w:r>
        <w:t>3 作为投资利息计算基数的各项必要支出的计算期，应</w:t>
      </w:r>
      <w:proofErr w:type="gramStart"/>
      <w:r>
        <w:t>为别自其</w:t>
      </w:r>
      <w:proofErr w:type="gramEnd"/>
      <w:r>
        <w:t>发生时起至建设期结束时止；</w:t>
      </w:r>
    </w:p>
    <w:p w14:paraId="47D9BD7F" w14:textId="015C9C5F" w:rsidR="002451CD" w:rsidRDefault="002451CD" w:rsidP="002451CD">
      <w:pPr>
        <w:pStyle w:val="13"/>
      </w:pPr>
      <w:r>
        <w:t>4 开发利润应在明确其计算基数和相应开发利润率的基础上，为其计算基数乘以开发建设类似房地产的相应开发利润率。</w:t>
      </w:r>
    </w:p>
    <w:p w14:paraId="074790F9" w14:textId="4A211605" w:rsidR="002451CD" w:rsidRDefault="002451CD" w:rsidP="002451CD">
      <w:pPr>
        <w:pStyle w:val="13"/>
        <w:ind w:firstLine="482"/>
      </w:pPr>
      <w:r w:rsidRPr="003A509D">
        <w:rPr>
          <w:b/>
          <w:bCs/>
        </w:rPr>
        <w:t>4.4.7</w:t>
      </w:r>
      <w:r>
        <w:t xml:space="preserve"> 建筑物折旧应是各种原因造成的建筑物价值减损，并应等于建筑物在价值时点的重置成本或重建成本减去建筑物在价值时点的市场价值，包括物质折旧、功能折旧和外部折旧。</w:t>
      </w:r>
    </w:p>
    <w:p w14:paraId="5F916025" w14:textId="7986CC30" w:rsidR="002451CD" w:rsidRDefault="002451CD" w:rsidP="002451CD">
      <w:pPr>
        <w:pStyle w:val="13"/>
        <w:ind w:firstLine="482"/>
      </w:pPr>
      <w:r w:rsidRPr="003A509D">
        <w:rPr>
          <w:b/>
          <w:bCs/>
        </w:rPr>
        <w:t>4.4.8</w:t>
      </w:r>
      <w:r>
        <w:t xml:space="preserve"> 测算建筑物折旧可选用 年龄-寿命法</w:t>
      </w:r>
      <w:r w:rsidR="003068F8">
        <w:t>、</w:t>
      </w:r>
      <w:r>
        <w:t>市场提取法、分解法。</w:t>
      </w:r>
    </w:p>
    <w:p w14:paraId="6722546A" w14:textId="756AA760" w:rsidR="002451CD" w:rsidRDefault="002451CD" w:rsidP="002451CD">
      <w:pPr>
        <w:pStyle w:val="13"/>
        <w:ind w:firstLine="482"/>
      </w:pPr>
      <w:r w:rsidRPr="003A509D">
        <w:rPr>
          <w:b/>
          <w:bCs/>
        </w:rPr>
        <w:t>4.4.9</w:t>
      </w:r>
      <w:r>
        <w:t xml:space="preserve"> 采用年龄-寿命法测算建筑物折旧后的价值，可选用下列公式：</w:t>
      </w:r>
    </w:p>
    <w:p w14:paraId="2B0D52B5" w14:textId="079556DE" w:rsidR="002451CD" w:rsidRDefault="002451CD" w:rsidP="002451CD">
      <w:pPr>
        <w:pStyle w:val="13"/>
      </w:pPr>
      <w:r>
        <w:t>1 直线法下建筑物折旧后的价值计算公式：</w:t>
      </w:r>
    </w:p>
    <w:p w14:paraId="392AA852" w14:textId="77777777" w:rsidR="002451CD" w:rsidRDefault="002451CD" w:rsidP="002451CD">
      <w:pPr>
        <w:spacing w:before="113" w:line="401" w:lineRule="exact"/>
        <w:ind w:right="51"/>
        <w:jc w:val="center"/>
        <w:rPr>
          <w:rFonts w:ascii="Times New Roman" w:hAnsi="Times New Roman"/>
          <w:i/>
          <w:sz w:val="24"/>
        </w:rPr>
      </w:pPr>
      <w:r>
        <w:rPr>
          <w:rFonts w:ascii="Times New Roman" w:hAnsi="Times New Roman"/>
          <w:i/>
          <w:position w:val="2"/>
          <w:sz w:val="24"/>
        </w:rPr>
        <w:t xml:space="preserve">                   V</w:t>
      </w:r>
      <w:r>
        <w:rPr>
          <w:position w:val="2"/>
          <w:sz w:val="24"/>
        </w:rPr>
        <w:t>＝</w:t>
      </w:r>
      <w:r>
        <w:rPr>
          <w:rFonts w:ascii="Times New Roman" w:hAnsi="Times New Roman"/>
          <w:i/>
          <w:position w:val="2"/>
          <w:sz w:val="24"/>
        </w:rPr>
        <w:t>C</w:t>
      </w:r>
      <w:r>
        <w:rPr>
          <w:position w:val="2"/>
          <w:sz w:val="24"/>
        </w:rPr>
        <w:t>－</w:t>
      </w:r>
      <w:r>
        <w:rPr>
          <w:rFonts w:ascii="Symbol" w:hAnsi="Symbol"/>
          <w:sz w:val="31"/>
        </w:rPr>
        <w:t></w:t>
      </w:r>
      <w:r>
        <w:rPr>
          <w:rFonts w:ascii="Times New Roman" w:hAnsi="Times New Roman"/>
          <w:i/>
          <w:position w:val="2"/>
          <w:sz w:val="24"/>
        </w:rPr>
        <w:t xml:space="preserve">C </w:t>
      </w:r>
      <w:r>
        <w:rPr>
          <w:rFonts w:ascii="Symbol" w:hAnsi="Symbol"/>
          <w:position w:val="2"/>
          <w:sz w:val="24"/>
        </w:rPr>
        <w:t></w:t>
      </w:r>
      <w:r>
        <w:rPr>
          <w:rFonts w:ascii="Times New Roman" w:hAnsi="Times New Roman"/>
          <w:position w:val="2"/>
          <w:sz w:val="24"/>
        </w:rPr>
        <w:t xml:space="preserve"> </w:t>
      </w:r>
      <w:r>
        <w:rPr>
          <w:rFonts w:ascii="Times New Roman" w:hAnsi="Times New Roman"/>
          <w:i/>
          <w:position w:val="2"/>
          <w:sz w:val="24"/>
        </w:rPr>
        <w:t xml:space="preserve">S </w:t>
      </w:r>
      <w:r>
        <w:rPr>
          <w:rFonts w:ascii="Symbol" w:hAnsi="Symbol"/>
          <w:sz w:val="31"/>
        </w:rPr>
        <w:t></w:t>
      </w:r>
      <w:r>
        <w:rPr>
          <w:rFonts w:ascii="Symbol" w:hAnsi="Symbol"/>
          <w:position w:val="2"/>
          <w:sz w:val="24"/>
        </w:rPr>
        <w:t></w:t>
      </w:r>
      <w:r>
        <w:rPr>
          <w:rFonts w:ascii="Times New Roman" w:hAnsi="Times New Roman"/>
          <w:position w:val="2"/>
          <w:sz w:val="24"/>
        </w:rPr>
        <w:t xml:space="preserve"> </w:t>
      </w:r>
      <w:r>
        <w:rPr>
          <w:rFonts w:ascii="Times New Roman" w:hAnsi="Times New Roman"/>
          <w:i/>
          <w:position w:val="17"/>
          <w:sz w:val="24"/>
        </w:rPr>
        <w:t>t</w:t>
      </w:r>
      <w:r>
        <w:rPr>
          <w:rStyle w:val="14"/>
        </w:rPr>
        <w:t xml:space="preserve">                   </w:t>
      </w:r>
      <w:r>
        <w:rPr>
          <w:rStyle w:val="14"/>
          <w:rFonts w:hint="eastAsia"/>
        </w:rPr>
        <w:t>（</w:t>
      </w:r>
      <w:r w:rsidRPr="00140A43">
        <w:rPr>
          <w:rStyle w:val="14"/>
        </w:rPr>
        <w:t>4.4.9-1</w:t>
      </w:r>
      <w:r w:rsidRPr="00140A43">
        <w:rPr>
          <w:rStyle w:val="14"/>
          <w:rFonts w:hint="eastAsia"/>
        </w:rPr>
        <w:t>）</w:t>
      </w:r>
    </w:p>
    <w:p w14:paraId="34881EF7" w14:textId="77777777" w:rsidR="002451CD" w:rsidRDefault="002451CD" w:rsidP="002451CD">
      <w:pPr>
        <w:spacing w:line="215" w:lineRule="exact"/>
        <w:jc w:val="center"/>
        <w:rPr>
          <w:rFonts w:ascii="Times New Roman"/>
          <w:i/>
          <w:sz w:val="24"/>
        </w:rPr>
      </w:pPr>
      <w:r>
        <w:rPr>
          <w:rFonts w:ascii="Times New Roman"/>
          <w:i/>
          <w:w w:val="103"/>
          <w:sz w:val="24"/>
        </w:rPr>
        <w:t xml:space="preserve">    N</w:t>
      </w:r>
    </w:p>
    <w:p w14:paraId="6518C704" w14:textId="77777777" w:rsidR="002451CD" w:rsidRPr="00140A43" w:rsidRDefault="002451CD" w:rsidP="002451CD">
      <w:pPr>
        <w:pStyle w:val="a7"/>
        <w:spacing w:before="3"/>
        <w:ind w:left="0"/>
        <w:rPr>
          <w:rFonts w:ascii="Times New Roman"/>
          <w:i/>
          <w:sz w:val="21"/>
          <w:lang w:val="en-US"/>
        </w:rPr>
      </w:pPr>
    </w:p>
    <w:p w14:paraId="0297C3C4" w14:textId="2BD7A0DC" w:rsidR="002451CD" w:rsidRDefault="002451CD" w:rsidP="002451CD">
      <w:pPr>
        <w:pStyle w:val="13"/>
      </w:pPr>
      <w:r w:rsidRPr="003A509D">
        <w:t>2</w:t>
      </w:r>
      <w:r>
        <w:t xml:space="preserve"> </w:t>
      </w:r>
      <w:r w:rsidRPr="003A509D">
        <w:t>成新折扣法下建筑物折旧后的价值计算公式：</w:t>
      </w:r>
    </w:p>
    <w:p w14:paraId="133DEB7B" w14:textId="77777777" w:rsidR="002451CD" w:rsidRDefault="002451CD" w:rsidP="002451CD">
      <w:pPr>
        <w:spacing w:before="1"/>
        <w:ind w:right="583" w:firstLineChars="800" w:firstLine="1926"/>
        <w:jc w:val="left"/>
        <w:rPr>
          <w:rFonts w:ascii="Times New Roman" w:hAnsi="Times New Roman"/>
          <w:i/>
          <w:sz w:val="23"/>
        </w:rPr>
      </w:pPr>
      <w:r>
        <w:rPr>
          <w:rFonts w:ascii="Times New Roman" w:hAnsi="Times New Roman"/>
          <w:i/>
          <w:w w:val="105"/>
          <w:sz w:val="23"/>
        </w:rPr>
        <w:t>V</w:t>
      </w:r>
      <w:r>
        <w:rPr>
          <w:w w:val="105"/>
          <w:sz w:val="23"/>
        </w:rPr>
        <w:t>＝</w:t>
      </w:r>
      <w:r>
        <w:rPr>
          <w:rFonts w:ascii="Times New Roman" w:hAnsi="Times New Roman"/>
          <w:i/>
          <w:w w:val="105"/>
          <w:sz w:val="23"/>
        </w:rPr>
        <w:t xml:space="preserve">C </w:t>
      </w:r>
      <w:r>
        <w:rPr>
          <w:rFonts w:ascii="Symbol" w:hAnsi="Symbol"/>
          <w:w w:val="105"/>
          <w:sz w:val="23"/>
        </w:rPr>
        <w:t></w:t>
      </w:r>
      <w:r>
        <w:rPr>
          <w:rFonts w:ascii="Times New Roman" w:hAnsi="Times New Roman"/>
          <w:w w:val="105"/>
          <w:sz w:val="23"/>
        </w:rPr>
        <w:t xml:space="preserve"> </w:t>
      </w:r>
      <w:r>
        <w:rPr>
          <w:rFonts w:ascii="Times New Roman" w:hAnsi="Times New Roman"/>
          <w:i/>
          <w:w w:val="105"/>
          <w:sz w:val="23"/>
        </w:rPr>
        <w:t xml:space="preserve">q                                 </w:t>
      </w:r>
      <w:r w:rsidRPr="00140A43">
        <w:rPr>
          <w:rStyle w:val="14"/>
        </w:rPr>
        <w:t>（4.4.9-2）</w:t>
      </w:r>
    </w:p>
    <w:p w14:paraId="497F86C8" w14:textId="77777777" w:rsidR="002451CD" w:rsidRDefault="002451CD" w:rsidP="002451CD">
      <w:pPr>
        <w:pStyle w:val="13"/>
      </w:pPr>
      <w:r>
        <w:rPr>
          <w:rFonts w:hint="eastAsia"/>
        </w:rPr>
        <w:t>式中：</w:t>
      </w:r>
      <w:r>
        <w:t>V─建筑物折旧后的价值（元，元/m2）；</w:t>
      </w:r>
    </w:p>
    <w:p w14:paraId="3C6280DF" w14:textId="77777777" w:rsidR="002451CD" w:rsidRDefault="002451CD" w:rsidP="002451CD">
      <w:pPr>
        <w:pStyle w:val="13"/>
        <w:ind w:firstLineChars="500" w:firstLine="1200"/>
      </w:pPr>
      <w:r>
        <w:t>C─建筑物重置成本或重建成本（元，元/m2）；</w:t>
      </w:r>
    </w:p>
    <w:p w14:paraId="29F6B92A" w14:textId="77777777" w:rsidR="002451CD" w:rsidRDefault="002451CD" w:rsidP="002451CD">
      <w:pPr>
        <w:pStyle w:val="13"/>
      </w:pPr>
      <w:r>
        <w:t xml:space="preserve">      S─建筑物预计净残值（元，元 m2）；</w:t>
      </w:r>
    </w:p>
    <w:p w14:paraId="792A450A" w14:textId="32B3C202" w:rsidR="002451CD" w:rsidRDefault="002451CD" w:rsidP="002451CD">
      <w:pPr>
        <w:pStyle w:val="13"/>
      </w:pPr>
      <w:r>
        <w:t xml:space="preserve">      t─建筑物有效年龄（年）</w:t>
      </w:r>
      <w:r w:rsidR="003068F8">
        <w:t>；</w:t>
      </w:r>
    </w:p>
    <w:p w14:paraId="65A78718" w14:textId="2657E76F" w:rsidR="002451CD" w:rsidRDefault="002451CD" w:rsidP="002451CD">
      <w:pPr>
        <w:pStyle w:val="13"/>
        <w:ind w:firstLineChars="500" w:firstLine="1200"/>
      </w:pPr>
      <w:r>
        <w:t>N─建筑物经济寿命（年）</w:t>
      </w:r>
      <w:r w:rsidR="003068F8">
        <w:t>；</w:t>
      </w:r>
    </w:p>
    <w:p w14:paraId="66F6844D" w14:textId="77777777" w:rsidR="002451CD" w:rsidRDefault="002451CD" w:rsidP="002451CD">
      <w:pPr>
        <w:pStyle w:val="13"/>
        <w:ind w:firstLineChars="500" w:firstLine="1200"/>
      </w:pPr>
      <w:r>
        <w:t>q─建筑物成新率（%）。</w:t>
      </w:r>
    </w:p>
    <w:p w14:paraId="1A3E5CFC" w14:textId="42FFD182" w:rsidR="002451CD" w:rsidRDefault="002451CD" w:rsidP="002451CD">
      <w:pPr>
        <w:pStyle w:val="13"/>
        <w:ind w:firstLine="482"/>
      </w:pPr>
      <w:r w:rsidRPr="00140A43">
        <w:rPr>
          <w:b/>
          <w:bCs/>
        </w:rPr>
        <w:t>4.4.10</w:t>
      </w:r>
      <w:r>
        <w:rPr>
          <w:b/>
          <w:bCs/>
        </w:rPr>
        <w:t xml:space="preserve"> </w:t>
      </w:r>
      <w:r>
        <w:t>建筑物有效年龄应根据建筑物的施工、使用、维护和更新改造等状况，在建筑物实际年龄的基础上进行适当加减调整得出。</w:t>
      </w:r>
    </w:p>
    <w:p w14:paraId="6581EF4F" w14:textId="272A53A8" w:rsidR="002451CD" w:rsidRDefault="002451CD" w:rsidP="002451CD">
      <w:pPr>
        <w:pStyle w:val="13"/>
        <w:ind w:firstLine="482"/>
      </w:pPr>
      <w:r w:rsidRPr="00140A43">
        <w:rPr>
          <w:b/>
          <w:bCs/>
        </w:rPr>
        <w:t>4.4.11</w:t>
      </w:r>
      <w:r>
        <w:t xml:space="preserve"> 建筑物经济寿命应自建筑物竣工时起计算，可在建筑物设计使用年限的基础上，根据建筑物的施工、使用、维护和更新改造等状况及周围环境、房地产市场状况等进行等综合分析判断后确定。非住宅建筑物经济寿命晚于土地使用期限结束，且出让合同等约定土地使用权期间届满后无偿 收回土地使用权及地上建筑物的，测</w:t>
      </w:r>
      <w:r>
        <w:lastRenderedPageBreak/>
        <w:t>算建筑物折旧时，应将建筑物经济寿命替换为自建筑物竣工时起至土地使用权期间届满之日止的时</w:t>
      </w:r>
      <w:r>
        <w:rPr>
          <w:rFonts w:hint="eastAsia"/>
        </w:rPr>
        <w:t>间。</w:t>
      </w:r>
    </w:p>
    <w:p w14:paraId="44C699A4" w14:textId="04235236" w:rsidR="002451CD" w:rsidRDefault="002451CD" w:rsidP="002451CD">
      <w:pPr>
        <w:pStyle w:val="13"/>
        <w:ind w:firstLine="482"/>
      </w:pPr>
      <w:r w:rsidRPr="00140A43">
        <w:rPr>
          <w:b/>
          <w:bCs/>
        </w:rPr>
        <w:t>4.4.12</w:t>
      </w:r>
      <w:r>
        <w:rPr>
          <w:b/>
          <w:bCs/>
        </w:rPr>
        <w:t xml:space="preserve"> </w:t>
      </w:r>
      <w:r>
        <w:t>采用市场提取法测算建筑物折旧，应先从交易实例中选取不少于三个含有与</w:t>
      </w:r>
      <w:r>
        <w:rPr>
          <w:rFonts w:hint="eastAsia"/>
        </w:rPr>
        <w:t>估价对象中的建筑物具有类似折旧状况的建筑物的可比实例，再通过这些可比实例的成交价格减去土地重置成本得到建筑物折旧后的价值，然后将建筑物重置成本或重建成本减去建筑物折旧后的价值得到建筑物折旧。</w:t>
      </w:r>
    </w:p>
    <w:p w14:paraId="120110A8" w14:textId="22F20B5A" w:rsidR="002451CD" w:rsidRDefault="002451CD" w:rsidP="002451CD">
      <w:pPr>
        <w:pStyle w:val="13"/>
        <w:ind w:firstLine="482"/>
      </w:pPr>
      <w:r w:rsidRPr="00140A43">
        <w:rPr>
          <w:b/>
          <w:bCs/>
        </w:rPr>
        <w:t>4.4.13</w:t>
      </w:r>
      <w:r>
        <w:t xml:space="preserve"> 采用分解法测算建筑物折旧，应先把建筑物折旧分成物质折旧、功能折旧、外部折旧等各个组成部分，分别测算出各个组成部分并应分为可修复和不可修复两类</w:t>
      </w:r>
      <w:r w:rsidR="003068F8">
        <w:t>，</w:t>
      </w:r>
      <w:r>
        <w:t>再分别测算各个组成部分，然后相加得到建筑折旧。修复成本小于或等于修复所能带来的房地产价值增加额的，应为可修复折旧；否则，应作为不可修复折旧。对可修复的</w:t>
      </w:r>
      <w:r w:rsidR="003068F8">
        <w:t>，</w:t>
      </w:r>
      <w:r>
        <w:t>应测算修复成本并将其作为折旧额。</w:t>
      </w:r>
    </w:p>
    <w:p w14:paraId="4DE8BBF8" w14:textId="3136363F" w:rsidR="002451CD" w:rsidRDefault="002451CD" w:rsidP="002451CD">
      <w:pPr>
        <w:pStyle w:val="13"/>
        <w:ind w:firstLine="482"/>
      </w:pPr>
      <w:r w:rsidRPr="00140A43">
        <w:rPr>
          <w:b/>
          <w:bCs/>
        </w:rPr>
        <w:t>4.4.14</w:t>
      </w:r>
      <w:r>
        <w:t xml:space="preserve"> 测算建筑物折旧时，应到估价对象现场，观察、判断建筑物的实际新旧程度</w:t>
      </w:r>
      <w:r w:rsidR="003068F8">
        <w:t>，</w:t>
      </w:r>
      <w:r>
        <w:t>并应根据建筑物的建成时间和使用、维护、更新改造等情况，确定折旧额或成新率。</w:t>
      </w:r>
    </w:p>
    <w:p w14:paraId="7480091C" w14:textId="77777777" w:rsidR="002451CD" w:rsidRDefault="002451CD" w:rsidP="002451CD">
      <w:pPr>
        <w:pStyle w:val="13"/>
        <w:ind w:firstLine="482"/>
      </w:pPr>
      <w:r w:rsidRPr="00140A43">
        <w:rPr>
          <w:b/>
          <w:bCs/>
        </w:rPr>
        <w:t xml:space="preserve">4.4.14 </w:t>
      </w:r>
      <w:r>
        <w:t>成本价值应为符合下列规定：</w:t>
      </w:r>
    </w:p>
    <w:p w14:paraId="6EEA6637" w14:textId="70B1616D" w:rsidR="002451CD" w:rsidRDefault="002451CD" w:rsidP="002451CD">
      <w:pPr>
        <w:pStyle w:val="13"/>
      </w:pPr>
      <w:r>
        <w:t>1 对估价对象为包含土地和建筑物的计税的，</w:t>
      </w:r>
      <w:proofErr w:type="gramStart"/>
      <w:r>
        <w:t>房地合估路径</w:t>
      </w:r>
      <w:proofErr w:type="gramEnd"/>
      <w:r>
        <w:t>的成本价值应为房地产重置成本或重建成本减去建筑物折旧，</w:t>
      </w:r>
      <w:proofErr w:type="gramStart"/>
      <w:r>
        <w:t>房地分估路径</w:t>
      </w:r>
      <w:proofErr w:type="gramEnd"/>
      <w:r>
        <w:t>的成本价值为土地重置成本加上建筑物重置成本或重建成本减去建筑物折旧。</w:t>
      </w:r>
    </w:p>
    <w:p w14:paraId="31602D50" w14:textId="1B84F48E" w:rsidR="002451CD" w:rsidRDefault="002451CD" w:rsidP="002451CD">
      <w:pPr>
        <w:pStyle w:val="13"/>
      </w:pPr>
      <w:r>
        <w:t>2 对估价对象为土地的，成本价值应为重新开发土地的必要支出及应得利润。</w:t>
      </w:r>
    </w:p>
    <w:p w14:paraId="51B72E1A" w14:textId="515658CD" w:rsidR="002451CD" w:rsidRDefault="002451CD" w:rsidP="002451CD">
      <w:pPr>
        <w:pStyle w:val="13"/>
      </w:pPr>
      <w:r>
        <w:t>3 对估价对象为建筑物的，成本价值应为建筑物重置成本减去建筑物折旧。</w:t>
      </w:r>
    </w:p>
    <w:p w14:paraId="7B7085B1" w14:textId="38C2E98D" w:rsidR="002451CD" w:rsidRDefault="002451CD" w:rsidP="002451CD">
      <w:pPr>
        <w:pStyle w:val="13"/>
        <w:ind w:firstLine="482"/>
      </w:pPr>
      <w:r w:rsidRPr="00140A43">
        <w:rPr>
          <w:b/>
          <w:bCs/>
        </w:rPr>
        <w:t>4.4.16</w:t>
      </w:r>
      <w:r>
        <w:t xml:space="preserve"> 在建工程和新近开发完成的房地产，采用成本法估价的，可不扣除折旧，但对存在减价因素的，应予以相应的减价调整。</w:t>
      </w:r>
    </w:p>
    <w:p w14:paraId="26C5C6DF" w14:textId="4C813C79" w:rsidR="002451CD" w:rsidRDefault="002451CD" w:rsidP="002451CD">
      <w:pPr>
        <w:pStyle w:val="13"/>
        <w:ind w:firstLine="482"/>
      </w:pPr>
      <w:r w:rsidRPr="00140A43">
        <w:rPr>
          <w:b/>
          <w:bCs/>
        </w:rPr>
        <w:t>4.4.17</w:t>
      </w:r>
      <w:r>
        <w:t xml:space="preserve"> 成本法测算出的价值一般是房屋所有权和土地使用权且不存在租赁、抵押、查封等情况下的价值。当估价对象的权益状况与此不同，应对成本法测算出的价值进行</w:t>
      </w:r>
      <w:r>
        <w:rPr>
          <w:rFonts w:hint="eastAsia"/>
        </w:rPr>
        <w:t>相应调整。</w:t>
      </w:r>
    </w:p>
    <w:p w14:paraId="0C6B1E53" w14:textId="4BC941EC" w:rsidR="002451CD" w:rsidRDefault="002451CD" w:rsidP="002451CD">
      <w:pPr>
        <w:pStyle w:val="ab"/>
        <w:spacing w:before="62" w:after="62"/>
        <w:ind w:firstLine="482"/>
      </w:pPr>
      <w:r>
        <w:t>4.5 假设开发法</w:t>
      </w:r>
    </w:p>
    <w:p w14:paraId="04770A4E" w14:textId="382B2493" w:rsidR="002451CD" w:rsidRDefault="002451CD" w:rsidP="002451CD">
      <w:pPr>
        <w:pStyle w:val="13"/>
        <w:ind w:firstLine="482"/>
      </w:pPr>
      <w:r w:rsidRPr="00140A43">
        <w:rPr>
          <w:b/>
          <w:bCs/>
        </w:rPr>
        <w:t>4.5.1</w:t>
      </w:r>
      <w:r>
        <w:rPr>
          <w:b/>
          <w:bCs/>
        </w:rPr>
        <w:t xml:space="preserve"> </w:t>
      </w:r>
      <w:r>
        <w:t>运用假设开发法估价，应按下列步骤进行：</w:t>
      </w:r>
    </w:p>
    <w:p w14:paraId="65D315FF" w14:textId="74DD25B6" w:rsidR="002451CD" w:rsidRDefault="002451CD" w:rsidP="002451CD">
      <w:pPr>
        <w:pStyle w:val="13"/>
      </w:pPr>
      <w:r>
        <w:t>1 选用具体估价方法；</w:t>
      </w:r>
    </w:p>
    <w:p w14:paraId="6DFFB24C" w14:textId="127688F5" w:rsidR="002451CD" w:rsidRDefault="002451CD" w:rsidP="002451CD">
      <w:pPr>
        <w:pStyle w:val="13"/>
      </w:pPr>
      <w:r>
        <w:t>2 选择估价前提；</w:t>
      </w:r>
    </w:p>
    <w:p w14:paraId="05680593" w14:textId="4D4A1335" w:rsidR="002451CD" w:rsidRDefault="002451CD" w:rsidP="002451CD">
      <w:pPr>
        <w:pStyle w:val="13"/>
      </w:pPr>
      <w:r>
        <w:t>3 选取最佳开发经营方式；</w:t>
      </w:r>
    </w:p>
    <w:p w14:paraId="02AA848A" w14:textId="128E844D" w:rsidR="002451CD" w:rsidRDefault="002451CD" w:rsidP="002451CD">
      <w:pPr>
        <w:pStyle w:val="13"/>
      </w:pPr>
      <w:r>
        <w:t>4 测算后续开发经营期；</w:t>
      </w:r>
    </w:p>
    <w:p w14:paraId="62AB5515" w14:textId="527BED21" w:rsidR="002451CD" w:rsidRDefault="002451CD" w:rsidP="002451CD">
      <w:pPr>
        <w:pStyle w:val="13"/>
      </w:pPr>
      <w:r>
        <w:t>5 测算开发完成后的价值；</w:t>
      </w:r>
    </w:p>
    <w:p w14:paraId="61EBF440" w14:textId="289B5B32" w:rsidR="002451CD" w:rsidRDefault="002451CD" w:rsidP="002451CD">
      <w:pPr>
        <w:pStyle w:val="13"/>
      </w:pPr>
      <w:r>
        <w:t>6 测算后续开发的必要支出；</w:t>
      </w:r>
    </w:p>
    <w:p w14:paraId="34062221" w14:textId="6F7C651A" w:rsidR="002451CD" w:rsidRDefault="002451CD" w:rsidP="002451CD">
      <w:pPr>
        <w:pStyle w:val="13"/>
      </w:pPr>
      <w:r>
        <w:t>7 确定折现率或后续开发的利息和利润；</w:t>
      </w:r>
    </w:p>
    <w:p w14:paraId="6A580E86" w14:textId="2AD9C331" w:rsidR="002451CD" w:rsidRDefault="002451CD" w:rsidP="002451CD">
      <w:pPr>
        <w:pStyle w:val="13"/>
      </w:pPr>
      <w:r>
        <w:lastRenderedPageBreak/>
        <w:t>8 计算开发价值。</w:t>
      </w:r>
    </w:p>
    <w:p w14:paraId="4F320FE8" w14:textId="5816E8B9" w:rsidR="002451CD" w:rsidRDefault="002451CD" w:rsidP="002451CD">
      <w:pPr>
        <w:pStyle w:val="13"/>
        <w:ind w:firstLine="482"/>
      </w:pPr>
      <w:r w:rsidRPr="00140A43">
        <w:rPr>
          <w:b/>
          <w:bCs/>
        </w:rPr>
        <w:t>4.5.2</w:t>
      </w:r>
      <w:r>
        <w:t xml:space="preserve"> 假设开发法估价时，应选</w:t>
      </w:r>
      <w:proofErr w:type="gramStart"/>
      <w:r>
        <w:t>择具体</w:t>
      </w:r>
      <w:proofErr w:type="gramEnd"/>
      <w:r>
        <w:t>估价方法，并应符合下列规定：</w:t>
      </w:r>
    </w:p>
    <w:p w14:paraId="4E992055" w14:textId="352793AF" w:rsidR="002451CD" w:rsidRDefault="002451CD" w:rsidP="002451CD">
      <w:pPr>
        <w:pStyle w:val="13"/>
      </w:pPr>
      <w:r>
        <w:t>1 应根据估价对象所处开发建设阶段等情况，选择动态分析方法或静态分析方法</w:t>
      </w:r>
      <w:r w:rsidR="003068F8">
        <w:t>，</w:t>
      </w:r>
      <w:r>
        <w:t>应优先选用动态分析方法。</w:t>
      </w:r>
    </w:p>
    <w:p w14:paraId="637A29AE" w14:textId="7AF5F1C3" w:rsidR="002451CD" w:rsidRDefault="002451CD" w:rsidP="002451CD">
      <w:pPr>
        <w:pStyle w:val="13"/>
      </w:pPr>
      <w:r>
        <w:t>2 动态分析方法应对后续开发的必要支出和开发完成后的房地产价值进行折现现金流量分析，且</w:t>
      </w:r>
      <w:proofErr w:type="gramStart"/>
      <w:r>
        <w:t>不</w:t>
      </w:r>
      <w:proofErr w:type="gramEnd"/>
      <w:r>
        <w:t>另外测算后续攷的投资利息和应得利润；</w:t>
      </w:r>
    </w:p>
    <w:p w14:paraId="609DD904" w14:textId="28616282" w:rsidR="002451CD" w:rsidRDefault="002451CD" w:rsidP="002451CD">
      <w:pPr>
        <w:pStyle w:val="13"/>
      </w:pPr>
      <w:r>
        <w:t>3 静态分析方法应另外测算后续攷的投资利息和应得利润。</w:t>
      </w:r>
    </w:p>
    <w:p w14:paraId="229B625F" w14:textId="62198FF3" w:rsidR="002451CD" w:rsidRDefault="002451CD" w:rsidP="002451CD">
      <w:pPr>
        <w:pStyle w:val="13"/>
        <w:ind w:firstLine="482"/>
      </w:pPr>
      <w:r w:rsidRPr="00140A43">
        <w:rPr>
          <w:b/>
          <w:bCs/>
        </w:rPr>
        <w:t>4.5.3</w:t>
      </w:r>
      <w:r>
        <w:t xml:space="preserve"> 假设开发法的估价前提应根据估价目的和估价对象所处开发建设状态等情况</w:t>
      </w:r>
      <w:r w:rsidR="003068F8">
        <w:t>，</w:t>
      </w:r>
      <w:r>
        <w:t>并应经过分析，选择下列之一：</w:t>
      </w:r>
    </w:p>
    <w:p w14:paraId="3E1989EA" w14:textId="0F91190E" w:rsidR="002451CD" w:rsidRDefault="002451CD" w:rsidP="002451CD">
      <w:pPr>
        <w:pStyle w:val="13"/>
      </w:pPr>
      <w:r>
        <w:t>1 业主自行开发前提；</w:t>
      </w:r>
    </w:p>
    <w:p w14:paraId="74CCA0B5" w14:textId="22E10F54" w:rsidR="002451CD" w:rsidRDefault="002451CD" w:rsidP="002451CD">
      <w:pPr>
        <w:pStyle w:val="13"/>
      </w:pPr>
      <w:r>
        <w:t>2 自愿转让开发前提；</w:t>
      </w:r>
    </w:p>
    <w:p w14:paraId="693E43A0" w14:textId="73CBC23B" w:rsidR="002451CD" w:rsidRDefault="002451CD" w:rsidP="002451CD">
      <w:pPr>
        <w:pStyle w:val="13"/>
      </w:pPr>
      <w:r>
        <w:t>3 被迫转让开发前提。</w:t>
      </w:r>
    </w:p>
    <w:p w14:paraId="14B54557" w14:textId="455C412C" w:rsidR="002451CD" w:rsidRDefault="002451CD" w:rsidP="002451CD">
      <w:pPr>
        <w:pStyle w:val="13"/>
        <w:ind w:firstLine="482"/>
      </w:pPr>
      <w:r w:rsidRPr="00140A43">
        <w:rPr>
          <w:b/>
          <w:bCs/>
        </w:rPr>
        <w:t>4.5.4</w:t>
      </w:r>
      <w:r>
        <w:t xml:space="preserve"> 选取最佳开发经营方式，应先调查估价对象状况、估价对象所在房地产市场状况等情况，再据此确定未来开发完成的房地产状况及其经营方式。</w:t>
      </w:r>
    </w:p>
    <w:p w14:paraId="0931E9E2" w14:textId="6338144A" w:rsidR="002451CD" w:rsidRDefault="002451CD" w:rsidP="002451CD">
      <w:pPr>
        <w:pStyle w:val="13"/>
        <w:ind w:firstLine="482"/>
      </w:pPr>
      <w:r w:rsidRPr="00140A43">
        <w:rPr>
          <w:b/>
          <w:bCs/>
        </w:rPr>
        <w:t>4.5.5</w:t>
      </w:r>
      <w:r>
        <w:t xml:space="preserve"> 后续开发经营期应根据估价对象状况、未来开发完成后的房地产状况、未来开发完成房地产经营方式、类似房地产开发项目相应的一般期限，估价前提、估价对象所处开发建设状态、未来房地产市场状况等进行测算。</w:t>
      </w:r>
    </w:p>
    <w:p w14:paraId="5AE63D52" w14:textId="3DB04790" w:rsidR="002451CD" w:rsidRDefault="002451CD" w:rsidP="002451CD">
      <w:pPr>
        <w:pStyle w:val="13"/>
        <w:ind w:firstLine="482"/>
      </w:pPr>
      <w:r w:rsidRPr="00140A43">
        <w:rPr>
          <w:b/>
          <w:bCs/>
        </w:rPr>
        <w:t>4.5.6</w:t>
      </w:r>
      <w:r>
        <w:t xml:space="preserve"> 后续开发的必要支出应根据估价对象状况、未来开发完成后的房地产状况、未来开发完成房地产经营方式、类似房地产开发项目相应的一般期限，估价前提、估价对象所处开发建设状态等来确定，并应符合下列规定：</w:t>
      </w:r>
    </w:p>
    <w:p w14:paraId="4DCB51CC" w14:textId="13D482AC" w:rsidR="002451CD" w:rsidRDefault="002451CD" w:rsidP="002451CD">
      <w:pPr>
        <w:pStyle w:val="13"/>
      </w:pPr>
      <w:r>
        <w:t>1 后续开发的必要支出应为将估价对象开发成未来开发完成后的房地产所必须付出的各项成本、费用和税金，动态分析法的构成包括后续开发的建设成本、管理费用、销售费用</w:t>
      </w:r>
      <w:r w:rsidR="003068F8">
        <w:t>、</w:t>
      </w:r>
      <w:r>
        <w:t>销售税费等，静态分析法的构成项目还包括后续开发的投资利息。当估价前提为自愿转让开发和被迫转让开发时，构成项目还应包括估价对象取得税费。</w:t>
      </w:r>
    </w:p>
    <w:p w14:paraId="0C0DE53D" w14:textId="42CDB43D" w:rsidR="002451CD" w:rsidRDefault="002451CD" w:rsidP="002451CD">
      <w:pPr>
        <w:pStyle w:val="13"/>
      </w:pPr>
      <w:r>
        <w:t>2 动态分析法中折现前后续开发的必要支出应为其在未来发生时的金额；在静态分析方法中，应为假设其在价值时点发生时的金额。</w:t>
      </w:r>
    </w:p>
    <w:p w14:paraId="0C201EBE" w14:textId="523E7604" w:rsidR="002451CD" w:rsidRDefault="002451CD" w:rsidP="002451CD">
      <w:pPr>
        <w:pStyle w:val="13"/>
        <w:ind w:firstLine="482"/>
      </w:pPr>
      <w:r w:rsidRPr="00140A43">
        <w:rPr>
          <w:b/>
          <w:bCs/>
        </w:rPr>
        <w:t>4.5.7</w:t>
      </w:r>
      <w:r>
        <w:t xml:space="preserve"> 开发完成后价值测算，应符合下列规定：</w:t>
      </w:r>
    </w:p>
    <w:p w14:paraId="474820BC" w14:textId="2B8E1561" w:rsidR="002451CD" w:rsidRDefault="002451CD" w:rsidP="002451CD">
      <w:pPr>
        <w:pStyle w:val="13"/>
      </w:pPr>
      <w:r>
        <w:t>1 不应采用成本法测算，</w:t>
      </w:r>
    </w:p>
    <w:p w14:paraId="351CB19A" w14:textId="47A1C67D" w:rsidR="002451CD" w:rsidRDefault="002451CD" w:rsidP="002451CD">
      <w:pPr>
        <w:pStyle w:val="13"/>
      </w:pPr>
      <w:r>
        <w:t>2 当采用比较法测算时，应先测算开发完成后的房地产单价 再将该单价乘以未来开发完成后的房地产面积或体积等得出开发完成后的房地产总价值；当未来开发完成后的房地产中有不同用途、档次等差别较大时，应分别测算不同部分的单价，再将它们乘以相应的面积或体积等后相加得出开发完成后的房地产总价值。</w:t>
      </w:r>
    </w:p>
    <w:p w14:paraId="28D62A9A" w14:textId="0E782D90" w:rsidR="002451CD" w:rsidRDefault="002451CD" w:rsidP="002451CD">
      <w:pPr>
        <w:pStyle w:val="13"/>
        <w:ind w:firstLine="482"/>
      </w:pPr>
      <w:r w:rsidRPr="00140A43">
        <w:rPr>
          <w:b/>
          <w:bCs/>
        </w:rPr>
        <w:t>4.5.8</w:t>
      </w:r>
      <w:r>
        <w:t xml:space="preserve"> 动态分析方法中折现</w:t>
      </w:r>
      <w:proofErr w:type="gramStart"/>
      <w:r>
        <w:t>前开发</w:t>
      </w:r>
      <w:proofErr w:type="gramEnd"/>
      <w:r>
        <w:t>完成后的价值测算，应符合下列规定：</w:t>
      </w:r>
    </w:p>
    <w:p w14:paraId="3B2D1EA0" w14:textId="343648A5" w:rsidR="002451CD" w:rsidRDefault="002451CD" w:rsidP="002451CD">
      <w:pPr>
        <w:pStyle w:val="13"/>
      </w:pPr>
      <w:r>
        <w:t>1 应为未来开发完成后的房地产在其未来开发完成时的价值；但当能预计未来</w:t>
      </w:r>
      <w:r>
        <w:lastRenderedPageBreak/>
        <w:t>开发完成后的房地产预售或存在延迟销售时，应为预售或延迟销售时的价值；</w:t>
      </w:r>
    </w:p>
    <w:p w14:paraId="4CFCC14E" w14:textId="531993F8" w:rsidR="002451CD" w:rsidRDefault="002451CD" w:rsidP="002451CD">
      <w:pPr>
        <w:pStyle w:val="13"/>
      </w:pPr>
      <w:r>
        <w:t>2 应根据类似房地产未来市场价格变动趋势进行预测。</w:t>
      </w:r>
    </w:p>
    <w:p w14:paraId="1790BDBB" w14:textId="37159CBD" w:rsidR="002451CD" w:rsidRDefault="002451CD" w:rsidP="002451CD">
      <w:pPr>
        <w:pStyle w:val="13"/>
        <w:ind w:firstLine="482"/>
      </w:pPr>
      <w:r w:rsidRPr="00140A43">
        <w:rPr>
          <w:b/>
          <w:bCs/>
        </w:rPr>
        <w:t>4.5.9</w:t>
      </w:r>
      <w:r>
        <w:t xml:space="preserve"> 静态分析法中开发完成后的价值，可为假设未来开发完成后的房地产在价值时点的价值。</w:t>
      </w:r>
    </w:p>
    <w:p w14:paraId="26CB7418" w14:textId="2B1FD670" w:rsidR="002451CD" w:rsidRDefault="002451CD" w:rsidP="002451CD">
      <w:pPr>
        <w:pStyle w:val="13"/>
        <w:ind w:firstLine="482"/>
      </w:pPr>
      <w:r w:rsidRPr="00140A43">
        <w:rPr>
          <w:b/>
          <w:bCs/>
        </w:rPr>
        <w:t>4.5.10</w:t>
      </w:r>
      <w:r>
        <w:t xml:space="preserve"> 动态分析方法中的折现率，应为同类房地产开发项目一般所要求的收益率。</w:t>
      </w:r>
    </w:p>
    <w:p w14:paraId="6631894B" w14:textId="5CE626A7" w:rsidR="002451CD" w:rsidRDefault="002451CD" w:rsidP="002451CD">
      <w:pPr>
        <w:pStyle w:val="13"/>
        <w:ind w:firstLine="482"/>
      </w:pPr>
      <w:r w:rsidRPr="00140A43">
        <w:rPr>
          <w:b/>
          <w:bCs/>
        </w:rPr>
        <w:t>4.5.11</w:t>
      </w:r>
      <w:r>
        <w:t xml:space="preserve"> 静态分析方法中的后续开发的利息的计算基数，应包括估价对象价值或价格和后续开发的建设成本、管理费用、销售费用。当估价前提为自愿转让开发和被迫转让开发时，计算基数还应包括估价对象取得税费。各项计算基数的计息期，应分别自其发</w:t>
      </w:r>
      <w:r>
        <w:rPr>
          <w:rFonts w:hint="eastAsia"/>
        </w:rPr>
        <w:t>生时起至建设期结束时止。</w:t>
      </w:r>
    </w:p>
    <w:p w14:paraId="156CF484" w14:textId="4C90FB23" w:rsidR="002451CD" w:rsidRDefault="002451CD" w:rsidP="002451CD">
      <w:pPr>
        <w:pStyle w:val="13"/>
        <w:ind w:firstLine="482"/>
      </w:pPr>
      <w:r w:rsidRPr="00140A43">
        <w:rPr>
          <w:b/>
          <w:bCs/>
        </w:rPr>
        <w:t>4.5.12</w:t>
      </w:r>
      <w:r>
        <w:rPr>
          <w:b/>
          <w:bCs/>
        </w:rPr>
        <w:t xml:space="preserve"> </w:t>
      </w:r>
      <w:r>
        <w:t>静态分析法中后续开发的应得利润，应在明确其计算基数和相应开发利润率的基础上，为其计算基数乘以类似房地产副局长相应开发利润率。</w:t>
      </w:r>
    </w:p>
    <w:p w14:paraId="0FED1F82" w14:textId="0F88004F" w:rsidR="002451CD" w:rsidRDefault="002451CD" w:rsidP="002451CD">
      <w:pPr>
        <w:pStyle w:val="13"/>
        <w:ind w:firstLine="482"/>
      </w:pPr>
      <w:r w:rsidRPr="00140A43">
        <w:rPr>
          <w:b/>
          <w:bCs/>
        </w:rPr>
        <w:t>4.5.13</w:t>
      </w:r>
      <w:r>
        <w:t xml:space="preserve"> 采用动态分析方法的开发价值，应为开发完成后的价值与后续开发的必要支</w:t>
      </w:r>
      <w:r>
        <w:rPr>
          <w:rFonts w:hint="eastAsia"/>
        </w:rPr>
        <w:t>出折现到价值时点后相减；采用静态分析方法的开发价值，应为开发完成后的价值减去后续开发的必要支出及应得利润。</w:t>
      </w:r>
    </w:p>
    <w:p w14:paraId="16DE7082" w14:textId="77777777" w:rsidR="002451CD" w:rsidRDefault="002451CD" w:rsidP="002451CD">
      <w:pPr>
        <w:pStyle w:val="ab"/>
        <w:spacing w:before="62" w:after="62"/>
        <w:ind w:firstLine="482"/>
      </w:pPr>
      <w:r>
        <w:t>4.6 其他估价方法</w:t>
      </w:r>
    </w:p>
    <w:p w14:paraId="6E8EDA21" w14:textId="77777777" w:rsidR="002451CD" w:rsidRDefault="002451CD" w:rsidP="002451CD">
      <w:pPr>
        <w:pStyle w:val="13"/>
        <w:ind w:firstLine="482"/>
      </w:pPr>
      <w:r w:rsidRPr="00140A43">
        <w:rPr>
          <w:b/>
          <w:bCs/>
        </w:rPr>
        <w:t>4.6.1</w:t>
      </w:r>
      <w:r>
        <w:t xml:space="preserve"> 其他估价方法包括基准地价修正法、</w:t>
      </w:r>
      <w:proofErr w:type="gramStart"/>
      <w:r>
        <w:t>路线价</w:t>
      </w:r>
      <w:proofErr w:type="gramEnd"/>
      <w:r>
        <w:t>法、标准价调整法、多元回归分析</w:t>
      </w:r>
      <w:r>
        <w:rPr>
          <w:rFonts w:hint="eastAsia"/>
        </w:rPr>
        <w:t>法、修复成本法、收益损失资本化法和价差法等，应根据估价目的和估价对象等情况分析选用。</w:t>
      </w:r>
    </w:p>
    <w:tbl>
      <w:tblPr>
        <w:tblStyle w:val="1f0"/>
        <w:tblW w:w="5000" w:type="pct"/>
        <w:tblLook w:val="04A0" w:firstRow="1" w:lastRow="0" w:firstColumn="1" w:lastColumn="0" w:noHBand="0" w:noVBand="1"/>
      </w:tblPr>
      <w:tblGrid>
        <w:gridCol w:w="733"/>
        <w:gridCol w:w="2241"/>
        <w:gridCol w:w="5746"/>
      </w:tblGrid>
      <w:tr w:rsidR="002451CD" w:rsidRPr="002451CD" w14:paraId="490883E7" w14:textId="77777777" w:rsidTr="002451CD">
        <w:trPr>
          <w:trHeight w:val="340"/>
        </w:trPr>
        <w:tc>
          <w:tcPr>
            <w:tcW w:w="420" w:type="pct"/>
            <w:vAlign w:val="center"/>
          </w:tcPr>
          <w:p w14:paraId="795318F3" w14:textId="77777777" w:rsidR="002451CD" w:rsidRPr="002451CD" w:rsidRDefault="002451CD" w:rsidP="002451CD">
            <w:pPr>
              <w:pStyle w:val="TableParagraph"/>
              <w:jc w:val="center"/>
              <w:rPr>
                <w:sz w:val="18"/>
                <w:szCs w:val="18"/>
              </w:rPr>
            </w:pPr>
            <w:r w:rsidRPr="002451CD">
              <w:rPr>
                <w:sz w:val="18"/>
                <w:szCs w:val="18"/>
              </w:rPr>
              <w:t>序号</w:t>
            </w:r>
          </w:p>
        </w:tc>
        <w:tc>
          <w:tcPr>
            <w:tcW w:w="1285" w:type="pct"/>
            <w:vAlign w:val="center"/>
          </w:tcPr>
          <w:p w14:paraId="03F110F3" w14:textId="77777777" w:rsidR="002451CD" w:rsidRPr="002451CD" w:rsidRDefault="002451CD" w:rsidP="002451CD">
            <w:pPr>
              <w:pStyle w:val="TableParagraph"/>
              <w:jc w:val="center"/>
              <w:rPr>
                <w:sz w:val="18"/>
                <w:szCs w:val="18"/>
              </w:rPr>
            </w:pPr>
            <w:r w:rsidRPr="002451CD">
              <w:rPr>
                <w:sz w:val="18"/>
                <w:szCs w:val="18"/>
              </w:rPr>
              <w:t>估价方法</w:t>
            </w:r>
          </w:p>
        </w:tc>
        <w:tc>
          <w:tcPr>
            <w:tcW w:w="3295" w:type="pct"/>
            <w:vAlign w:val="center"/>
          </w:tcPr>
          <w:p w14:paraId="5223F8B1" w14:textId="77777777" w:rsidR="002451CD" w:rsidRPr="002451CD" w:rsidRDefault="002451CD" w:rsidP="002451CD">
            <w:pPr>
              <w:pStyle w:val="TableParagraph"/>
              <w:jc w:val="center"/>
              <w:rPr>
                <w:sz w:val="18"/>
                <w:szCs w:val="18"/>
              </w:rPr>
            </w:pPr>
            <w:r w:rsidRPr="002451CD">
              <w:rPr>
                <w:sz w:val="18"/>
                <w:szCs w:val="18"/>
              </w:rPr>
              <w:t>适用范围</w:t>
            </w:r>
          </w:p>
        </w:tc>
      </w:tr>
      <w:tr w:rsidR="002451CD" w:rsidRPr="002451CD" w14:paraId="2FB8F506" w14:textId="77777777" w:rsidTr="002451CD">
        <w:trPr>
          <w:trHeight w:val="340"/>
        </w:trPr>
        <w:tc>
          <w:tcPr>
            <w:tcW w:w="420" w:type="pct"/>
            <w:vAlign w:val="center"/>
          </w:tcPr>
          <w:p w14:paraId="66B91A72" w14:textId="77777777" w:rsidR="002451CD" w:rsidRPr="002451CD" w:rsidRDefault="002451CD" w:rsidP="002451CD">
            <w:pPr>
              <w:pStyle w:val="TableParagraph"/>
              <w:jc w:val="center"/>
              <w:rPr>
                <w:rFonts w:ascii="Times New Roman"/>
                <w:sz w:val="18"/>
                <w:szCs w:val="18"/>
              </w:rPr>
            </w:pPr>
            <w:r w:rsidRPr="002451CD">
              <w:rPr>
                <w:rFonts w:ascii="Times New Roman"/>
                <w:sz w:val="18"/>
                <w:szCs w:val="18"/>
              </w:rPr>
              <w:t>1</w:t>
            </w:r>
          </w:p>
        </w:tc>
        <w:tc>
          <w:tcPr>
            <w:tcW w:w="1285" w:type="pct"/>
            <w:vAlign w:val="center"/>
          </w:tcPr>
          <w:p w14:paraId="663865F9" w14:textId="77777777" w:rsidR="002451CD" w:rsidRPr="002451CD" w:rsidRDefault="002451CD" w:rsidP="002451CD">
            <w:pPr>
              <w:pStyle w:val="TableParagraph"/>
              <w:jc w:val="both"/>
              <w:rPr>
                <w:sz w:val="18"/>
                <w:szCs w:val="18"/>
              </w:rPr>
            </w:pPr>
            <w:r w:rsidRPr="002451CD">
              <w:rPr>
                <w:sz w:val="18"/>
                <w:szCs w:val="18"/>
              </w:rPr>
              <w:t>基准地价修正法</w:t>
            </w:r>
          </w:p>
        </w:tc>
        <w:tc>
          <w:tcPr>
            <w:tcW w:w="3295" w:type="pct"/>
            <w:vAlign w:val="center"/>
          </w:tcPr>
          <w:p w14:paraId="1CACE424" w14:textId="77777777" w:rsidR="002451CD" w:rsidRPr="002451CD" w:rsidRDefault="002451CD" w:rsidP="002451CD">
            <w:pPr>
              <w:pStyle w:val="TableParagraph"/>
              <w:jc w:val="both"/>
              <w:rPr>
                <w:sz w:val="18"/>
                <w:szCs w:val="18"/>
              </w:rPr>
            </w:pPr>
            <w:r w:rsidRPr="002451CD">
              <w:rPr>
                <w:sz w:val="18"/>
                <w:szCs w:val="18"/>
              </w:rPr>
              <w:t>政府或其有关部门已公布基准地价地区的土地估价</w:t>
            </w:r>
          </w:p>
        </w:tc>
      </w:tr>
      <w:tr w:rsidR="002451CD" w:rsidRPr="002451CD" w14:paraId="1339A154" w14:textId="77777777" w:rsidTr="002451CD">
        <w:trPr>
          <w:trHeight w:val="340"/>
        </w:trPr>
        <w:tc>
          <w:tcPr>
            <w:tcW w:w="420" w:type="pct"/>
            <w:vAlign w:val="center"/>
          </w:tcPr>
          <w:p w14:paraId="659CA6A4" w14:textId="77777777" w:rsidR="002451CD" w:rsidRPr="002451CD" w:rsidRDefault="002451CD" w:rsidP="002451CD">
            <w:pPr>
              <w:pStyle w:val="TableParagraph"/>
              <w:jc w:val="center"/>
              <w:rPr>
                <w:rFonts w:ascii="Times New Roman"/>
                <w:sz w:val="18"/>
                <w:szCs w:val="18"/>
              </w:rPr>
            </w:pPr>
            <w:r w:rsidRPr="002451CD">
              <w:rPr>
                <w:rFonts w:ascii="Times New Roman"/>
                <w:sz w:val="18"/>
                <w:szCs w:val="18"/>
              </w:rPr>
              <w:t>2</w:t>
            </w:r>
          </w:p>
        </w:tc>
        <w:tc>
          <w:tcPr>
            <w:tcW w:w="1285" w:type="pct"/>
            <w:vAlign w:val="center"/>
          </w:tcPr>
          <w:p w14:paraId="45B1DC03" w14:textId="77777777" w:rsidR="002451CD" w:rsidRPr="002451CD" w:rsidRDefault="002451CD" w:rsidP="002451CD">
            <w:pPr>
              <w:pStyle w:val="TableParagraph"/>
              <w:jc w:val="both"/>
              <w:rPr>
                <w:sz w:val="18"/>
                <w:szCs w:val="18"/>
              </w:rPr>
            </w:pPr>
            <w:proofErr w:type="gramStart"/>
            <w:r w:rsidRPr="002451CD">
              <w:rPr>
                <w:sz w:val="18"/>
                <w:szCs w:val="18"/>
              </w:rPr>
              <w:t>路线价</w:t>
            </w:r>
            <w:proofErr w:type="gramEnd"/>
            <w:r w:rsidRPr="002451CD">
              <w:rPr>
                <w:sz w:val="18"/>
                <w:szCs w:val="18"/>
              </w:rPr>
              <w:t>法</w:t>
            </w:r>
          </w:p>
        </w:tc>
        <w:tc>
          <w:tcPr>
            <w:tcW w:w="3295" w:type="pct"/>
            <w:vAlign w:val="center"/>
          </w:tcPr>
          <w:p w14:paraId="53523149" w14:textId="77777777" w:rsidR="002451CD" w:rsidRPr="002451CD" w:rsidRDefault="002451CD" w:rsidP="002451CD">
            <w:pPr>
              <w:pStyle w:val="TableParagraph"/>
              <w:jc w:val="both"/>
              <w:rPr>
                <w:sz w:val="18"/>
                <w:szCs w:val="18"/>
              </w:rPr>
            </w:pPr>
            <w:r w:rsidRPr="002451CD">
              <w:rPr>
                <w:sz w:val="18"/>
                <w:szCs w:val="18"/>
              </w:rPr>
              <w:t>城镇临街商业用地批量估价</w:t>
            </w:r>
          </w:p>
        </w:tc>
      </w:tr>
      <w:tr w:rsidR="002451CD" w:rsidRPr="002451CD" w14:paraId="294EC8F6" w14:textId="77777777" w:rsidTr="002451CD">
        <w:trPr>
          <w:trHeight w:val="340"/>
        </w:trPr>
        <w:tc>
          <w:tcPr>
            <w:tcW w:w="420" w:type="pct"/>
            <w:vAlign w:val="center"/>
          </w:tcPr>
          <w:p w14:paraId="24EEC4E5" w14:textId="77777777" w:rsidR="002451CD" w:rsidRPr="002451CD" w:rsidRDefault="002451CD" w:rsidP="002451CD">
            <w:pPr>
              <w:pStyle w:val="TableParagraph"/>
              <w:jc w:val="center"/>
              <w:rPr>
                <w:rFonts w:ascii="Times New Roman"/>
                <w:sz w:val="18"/>
                <w:szCs w:val="18"/>
              </w:rPr>
            </w:pPr>
            <w:r w:rsidRPr="002451CD">
              <w:rPr>
                <w:rFonts w:ascii="Times New Roman"/>
                <w:sz w:val="18"/>
                <w:szCs w:val="18"/>
              </w:rPr>
              <w:t>3</w:t>
            </w:r>
          </w:p>
        </w:tc>
        <w:tc>
          <w:tcPr>
            <w:tcW w:w="1285" w:type="pct"/>
            <w:vAlign w:val="center"/>
          </w:tcPr>
          <w:p w14:paraId="77045390" w14:textId="77777777" w:rsidR="002451CD" w:rsidRPr="002451CD" w:rsidRDefault="002451CD" w:rsidP="002451CD">
            <w:pPr>
              <w:pStyle w:val="TableParagraph"/>
              <w:jc w:val="both"/>
              <w:rPr>
                <w:sz w:val="18"/>
                <w:szCs w:val="18"/>
              </w:rPr>
            </w:pPr>
            <w:r w:rsidRPr="002451CD">
              <w:rPr>
                <w:sz w:val="18"/>
                <w:szCs w:val="18"/>
              </w:rPr>
              <w:t>标准价调整法</w:t>
            </w:r>
          </w:p>
        </w:tc>
        <w:tc>
          <w:tcPr>
            <w:tcW w:w="3295" w:type="pct"/>
            <w:vAlign w:val="center"/>
          </w:tcPr>
          <w:p w14:paraId="7C06BB5D" w14:textId="77777777" w:rsidR="002451CD" w:rsidRPr="002451CD" w:rsidRDefault="002451CD" w:rsidP="002451CD">
            <w:pPr>
              <w:pStyle w:val="TableParagraph"/>
              <w:jc w:val="both"/>
              <w:rPr>
                <w:sz w:val="18"/>
                <w:szCs w:val="18"/>
              </w:rPr>
            </w:pPr>
            <w:r w:rsidRPr="002451CD">
              <w:rPr>
                <w:sz w:val="18"/>
                <w:szCs w:val="18"/>
              </w:rPr>
              <w:t>大量相似的房地产批量估价</w:t>
            </w:r>
          </w:p>
        </w:tc>
      </w:tr>
      <w:tr w:rsidR="002451CD" w:rsidRPr="002451CD" w14:paraId="12251FF8" w14:textId="77777777" w:rsidTr="002451CD">
        <w:trPr>
          <w:trHeight w:val="340"/>
        </w:trPr>
        <w:tc>
          <w:tcPr>
            <w:tcW w:w="420" w:type="pct"/>
            <w:vAlign w:val="center"/>
          </w:tcPr>
          <w:p w14:paraId="4E8047AE" w14:textId="77777777" w:rsidR="002451CD" w:rsidRPr="002451CD" w:rsidRDefault="002451CD" w:rsidP="002451CD">
            <w:pPr>
              <w:pStyle w:val="TableParagraph"/>
              <w:jc w:val="center"/>
              <w:rPr>
                <w:rFonts w:ascii="Times New Roman"/>
                <w:sz w:val="18"/>
                <w:szCs w:val="18"/>
              </w:rPr>
            </w:pPr>
            <w:r w:rsidRPr="002451CD">
              <w:rPr>
                <w:rFonts w:ascii="Times New Roman"/>
                <w:sz w:val="18"/>
                <w:szCs w:val="18"/>
              </w:rPr>
              <w:t>4</w:t>
            </w:r>
          </w:p>
        </w:tc>
        <w:tc>
          <w:tcPr>
            <w:tcW w:w="1285" w:type="pct"/>
            <w:vAlign w:val="center"/>
          </w:tcPr>
          <w:p w14:paraId="2A4AAE89" w14:textId="77777777" w:rsidR="002451CD" w:rsidRPr="002451CD" w:rsidRDefault="002451CD" w:rsidP="002451CD">
            <w:pPr>
              <w:pStyle w:val="TableParagraph"/>
              <w:jc w:val="both"/>
              <w:rPr>
                <w:sz w:val="18"/>
                <w:szCs w:val="18"/>
              </w:rPr>
            </w:pPr>
            <w:r w:rsidRPr="002451CD">
              <w:rPr>
                <w:sz w:val="18"/>
                <w:szCs w:val="18"/>
              </w:rPr>
              <w:t>多元回归分析法</w:t>
            </w:r>
          </w:p>
        </w:tc>
        <w:tc>
          <w:tcPr>
            <w:tcW w:w="3295" w:type="pct"/>
            <w:vAlign w:val="center"/>
          </w:tcPr>
          <w:p w14:paraId="0E168CD2" w14:textId="77777777" w:rsidR="002451CD" w:rsidRPr="002451CD" w:rsidRDefault="002451CD" w:rsidP="002451CD">
            <w:pPr>
              <w:pStyle w:val="TableParagraph"/>
              <w:jc w:val="both"/>
              <w:rPr>
                <w:sz w:val="18"/>
                <w:szCs w:val="18"/>
              </w:rPr>
            </w:pPr>
            <w:r w:rsidRPr="002451CD">
              <w:rPr>
                <w:sz w:val="18"/>
                <w:szCs w:val="18"/>
              </w:rPr>
              <w:t>大量相似的房地产批量估价</w:t>
            </w:r>
          </w:p>
        </w:tc>
      </w:tr>
      <w:tr w:rsidR="002451CD" w:rsidRPr="002451CD" w14:paraId="6E1F3DE6" w14:textId="77777777" w:rsidTr="002451CD">
        <w:trPr>
          <w:trHeight w:val="340"/>
        </w:trPr>
        <w:tc>
          <w:tcPr>
            <w:tcW w:w="420" w:type="pct"/>
            <w:vAlign w:val="center"/>
          </w:tcPr>
          <w:p w14:paraId="3548321B" w14:textId="77777777" w:rsidR="002451CD" w:rsidRPr="002451CD" w:rsidRDefault="002451CD" w:rsidP="002451CD">
            <w:pPr>
              <w:pStyle w:val="TableParagraph"/>
              <w:jc w:val="center"/>
              <w:rPr>
                <w:rFonts w:ascii="Times New Roman"/>
                <w:sz w:val="18"/>
                <w:szCs w:val="18"/>
              </w:rPr>
            </w:pPr>
            <w:r w:rsidRPr="002451CD">
              <w:rPr>
                <w:rFonts w:ascii="Times New Roman"/>
                <w:sz w:val="18"/>
                <w:szCs w:val="18"/>
              </w:rPr>
              <w:t>5</w:t>
            </w:r>
          </w:p>
        </w:tc>
        <w:tc>
          <w:tcPr>
            <w:tcW w:w="1285" w:type="pct"/>
            <w:vAlign w:val="center"/>
          </w:tcPr>
          <w:p w14:paraId="2DB6F473" w14:textId="77777777" w:rsidR="002451CD" w:rsidRPr="002451CD" w:rsidRDefault="002451CD" w:rsidP="002451CD">
            <w:pPr>
              <w:pStyle w:val="TableParagraph"/>
              <w:jc w:val="both"/>
              <w:rPr>
                <w:sz w:val="18"/>
                <w:szCs w:val="18"/>
              </w:rPr>
            </w:pPr>
            <w:r w:rsidRPr="002451CD">
              <w:rPr>
                <w:sz w:val="18"/>
                <w:szCs w:val="18"/>
              </w:rPr>
              <w:t>修复成本法</w:t>
            </w:r>
          </w:p>
        </w:tc>
        <w:tc>
          <w:tcPr>
            <w:tcW w:w="3295" w:type="pct"/>
            <w:vAlign w:val="center"/>
          </w:tcPr>
          <w:p w14:paraId="5ECCB3EC" w14:textId="77777777" w:rsidR="002451CD" w:rsidRPr="002451CD" w:rsidRDefault="002451CD" w:rsidP="002451CD">
            <w:pPr>
              <w:pStyle w:val="TableParagraph"/>
              <w:jc w:val="both"/>
              <w:rPr>
                <w:sz w:val="18"/>
                <w:szCs w:val="18"/>
              </w:rPr>
            </w:pPr>
            <w:r w:rsidRPr="002451CD">
              <w:rPr>
                <w:sz w:val="18"/>
                <w:szCs w:val="18"/>
              </w:rPr>
              <w:t>可修复的房地产价值减损评估</w:t>
            </w:r>
          </w:p>
        </w:tc>
      </w:tr>
      <w:tr w:rsidR="002451CD" w:rsidRPr="002451CD" w14:paraId="30826148" w14:textId="77777777" w:rsidTr="002451CD">
        <w:trPr>
          <w:trHeight w:val="340"/>
        </w:trPr>
        <w:tc>
          <w:tcPr>
            <w:tcW w:w="420" w:type="pct"/>
            <w:vAlign w:val="center"/>
          </w:tcPr>
          <w:p w14:paraId="3F96803D" w14:textId="77777777" w:rsidR="002451CD" w:rsidRPr="002451CD" w:rsidRDefault="002451CD" w:rsidP="002451CD">
            <w:pPr>
              <w:pStyle w:val="TableParagraph"/>
              <w:jc w:val="center"/>
              <w:rPr>
                <w:rFonts w:ascii="Times New Roman"/>
                <w:sz w:val="18"/>
                <w:szCs w:val="18"/>
              </w:rPr>
            </w:pPr>
            <w:r w:rsidRPr="002451CD">
              <w:rPr>
                <w:rFonts w:ascii="Times New Roman"/>
                <w:sz w:val="18"/>
                <w:szCs w:val="18"/>
              </w:rPr>
              <w:t>6</w:t>
            </w:r>
          </w:p>
        </w:tc>
        <w:tc>
          <w:tcPr>
            <w:tcW w:w="1285" w:type="pct"/>
            <w:vAlign w:val="center"/>
          </w:tcPr>
          <w:p w14:paraId="0BC27C5B" w14:textId="77777777" w:rsidR="002451CD" w:rsidRPr="002451CD" w:rsidRDefault="002451CD" w:rsidP="002451CD">
            <w:pPr>
              <w:pStyle w:val="TableParagraph"/>
              <w:jc w:val="both"/>
              <w:rPr>
                <w:sz w:val="18"/>
                <w:szCs w:val="18"/>
              </w:rPr>
            </w:pPr>
            <w:r w:rsidRPr="002451CD">
              <w:rPr>
                <w:sz w:val="18"/>
                <w:szCs w:val="18"/>
              </w:rPr>
              <w:t>损失资本化法</w:t>
            </w:r>
          </w:p>
        </w:tc>
        <w:tc>
          <w:tcPr>
            <w:tcW w:w="3295" w:type="pct"/>
            <w:vAlign w:val="center"/>
          </w:tcPr>
          <w:p w14:paraId="3F295A84" w14:textId="77777777" w:rsidR="002451CD" w:rsidRPr="002451CD" w:rsidRDefault="002451CD" w:rsidP="002451CD">
            <w:pPr>
              <w:pStyle w:val="TableParagraph"/>
              <w:jc w:val="both"/>
              <w:rPr>
                <w:sz w:val="18"/>
                <w:szCs w:val="18"/>
              </w:rPr>
            </w:pPr>
            <w:r w:rsidRPr="002451CD">
              <w:rPr>
                <w:sz w:val="18"/>
                <w:szCs w:val="18"/>
              </w:rPr>
              <w:t>不可修复的房地产价值减损评估</w:t>
            </w:r>
          </w:p>
        </w:tc>
      </w:tr>
      <w:tr w:rsidR="002451CD" w:rsidRPr="002451CD" w14:paraId="3A68D2D9" w14:textId="77777777" w:rsidTr="002451CD">
        <w:trPr>
          <w:trHeight w:val="340"/>
        </w:trPr>
        <w:tc>
          <w:tcPr>
            <w:tcW w:w="420" w:type="pct"/>
            <w:vAlign w:val="center"/>
          </w:tcPr>
          <w:p w14:paraId="14DACD24" w14:textId="77777777" w:rsidR="002451CD" w:rsidRPr="002451CD" w:rsidRDefault="002451CD" w:rsidP="002451CD">
            <w:pPr>
              <w:pStyle w:val="TableParagraph"/>
              <w:jc w:val="center"/>
              <w:rPr>
                <w:rFonts w:ascii="Times New Roman"/>
                <w:sz w:val="18"/>
                <w:szCs w:val="18"/>
              </w:rPr>
            </w:pPr>
            <w:r w:rsidRPr="002451CD">
              <w:rPr>
                <w:rFonts w:ascii="Times New Roman"/>
                <w:sz w:val="18"/>
                <w:szCs w:val="18"/>
              </w:rPr>
              <w:t>7</w:t>
            </w:r>
          </w:p>
        </w:tc>
        <w:tc>
          <w:tcPr>
            <w:tcW w:w="1285" w:type="pct"/>
            <w:vAlign w:val="center"/>
          </w:tcPr>
          <w:p w14:paraId="28FCAA95" w14:textId="77777777" w:rsidR="002451CD" w:rsidRPr="002451CD" w:rsidRDefault="002451CD" w:rsidP="002451CD">
            <w:pPr>
              <w:pStyle w:val="TableParagraph"/>
              <w:jc w:val="both"/>
              <w:rPr>
                <w:sz w:val="18"/>
                <w:szCs w:val="18"/>
              </w:rPr>
            </w:pPr>
            <w:r w:rsidRPr="002451CD">
              <w:rPr>
                <w:sz w:val="18"/>
                <w:szCs w:val="18"/>
              </w:rPr>
              <w:t>价差法</w:t>
            </w:r>
          </w:p>
        </w:tc>
        <w:tc>
          <w:tcPr>
            <w:tcW w:w="3295" w:type="pct"/>
            <w:vAlign w:val="center"/>
          </w:tcPr>
          <w:p w14:paraId="0028DB11" w14:textId="77777777" w:rsidR="002451CD" w:rsidRPr="002451CD" w:rsidRDefault="002451CD" w:rsidP="002451CD">
            <w:pPr>
              <w:pStyle w:val="TableParagraph"/>
              <w:jc w:val="both"/>
              <w:rPr>
                <w:sz w:val="18"/>
                <w:szCs w:val="18"/>
              </w:rPr>
            </w:pPr>
            <w:r w:rsidRPr="002451CD">
              <w:rPr>
                <w:sz w:val="18"/>
                <w:szCs w:val="18"/>
              </w:rPr>
              <w:t>不可修复的房地产价值减损评价，房地产价值增加评估</w:t>
            </w:r>
          </w:p>
        </w:tc>
      </w:tr>
    </w:tbl>
    <w:p w14:paraId="626DA719" w14:textId="77777777" w:rsidR="002451CD" w:rsidRDefault="002451CD" w:rsidP="002451CD">
      <w:pPr>
        <w:pStyle w:val="13"/>
        <w:ind w:firstLine="482"/>
      </w:pPr>
      <w:r w:rsidRPr="00140A43">
        <w:rPr>
          <w:b/>
          <w:bCs/>
        </w:rPr>
        <w:t>4.6.2</w:t>
      </w:r>
      <w:r>
        <w:t xml:space="preserve"> 运用基准地价修正法宗地估价时，应按下列步骤进行：</w:t>
      </w:r>
    </w:p>
    <w:p w14:paraId="23B05143" w14:textId="31F9A9BE" w:rsidR="002451CD" w:rsidRDefault="002451CD" w:rsidP="002451CD">
      <w:pPr>
        <w:pStyle w:val="13"/>
      </w:pPr>
      <w:r>
        <w:t>1 搜集有关基准地价资料；</w:t>
      </w:r>
    </w:p>
    <w:p w14:paraId="3E2A2F63" w14:textId="41D3E333" w:rsidR="002451CD" w:rsidRDefault="002451CD" w:rsidP="002451CD">
      <w:pPr>
        <w:pStyle w:val="13"/>
      </w:pPr>
      <w:r>
        <w:t>2 查找估价对象宗地所在位置的基准地价；</w:t>
      </w:r>
    </w:p>
    <w:p w14:paraId="7368BDB5" w14:textId="74944714" w:rsidR="002451CD" w:rsidRDefault="002451CD" w:rsidP="002451CD">
      <w:pPr>
        <w:pStyle w:val="13"/>
      </w:pPr>
      <w:r>
        <w:t>3 对基准地价进行市场状况调整；</w:t>
      </w:r>
    </w:p>
    <w:p w14:paraId="1442B34E" w14:textId="4A572710" w:rsidR="002451CD" w:rsidRDefault="002451CD" w:rsidP="002451CD">
      <w:pPr>
        <w:pStyle w:val="13"/>
      </w:pPr>
      <w:r>
        <w:t>4 进行基准地价进行土地状况调整；</w:t>
      </w:r>
    </w:p>
    <w:p w14:paraId="5DE57633" w14:textId="03F746B0" w:rsidR="002451CD" w:rsidRPr="00140A43" w:rsidRDefault="002451CD" w:rsidP="002451CD">
      <w:pPr>
        <w:pStyle w:val="13"/>
      </w:pPr>
      <w:r>
        <w:t>5 测算估价对象宗地价值或价格。</w:t>
      </w:r>
    </w:p>
    <w:p w14:paraId="46F46B94" w14:textId="77777777" w:rsidR="002451CD" w:rsidRDefault="002451CD" w:rsidP="002451CD">
      <w:pPr>
        <w:pStyle w:val="13"/>
        <w:ind w:firstLine="482"/>
      </w:pPr>
      <w:r w:rsidRPr="00140A43">
        <w:rPr>
          <w:rFonts w:hint="eastAsia"/>
          <w:b/>
          <w:bCs/>
        </w:rPr>
        <w:t>4</w:t>
      </w:r>
      <w:r w:rsidRPr="00140A43">
        <w:rPr>
          <w:b/>
          <w:bCs/>
        </w:rPr>
        <w:t xml:space="preserve">.6.3 </w:t>
      </w:r>
      <w:r w:rsidRPr="00140A43">
        <w:rPr>
          <w:rFonts w:hint="eastAsia"/>
        </w:rPr>
        <w:t>基准地价修正法估价时，符合下列规定</w:t>
      </w:r>
    </w:p>
    <w:p w14:paraId="29CFD992" w14:textId="290067AF" w:rsidR="002451CD" w:rsidRDefault="002451CD" w:rsidP="002451CD">
      <w:pPr>
        <w:pStyle w:val="13"/>
      </w:pPr>
      <w:r>
        <w:t>1 在将基准地价调整为宗地价值或价格前，应了解基准地价的内涵；</w:t>
      </w:r>
    </w:p>
    <w:p w14:paraId="25DA707C" w14:textId="19A50F64" w:rsidR="002451CD" w:rsidRDefault="002451CD" w:rsidP="002451CD">
      <w:pPr>
        <w:pStyle w:val="13"/>
      </w:pPr>
      <w:r>
        <w:lastRenderedPageBreak/>
        <w:t>2 对基准地价进行市场状况调整，应将基准地价在其基准日期的价值调整为在价值日期的价值，调整的方法与比较法中市场状况调整的方法相同。</w:t>
      </w:r>
    </w:p>
    <w:p w14:paraId="481A1299" w14:textId="435B226B" w:rsidR="002451CD" w:rsidRDefault="002451CD" w:rsidP="002451CD">
      <w:pPr>
        <w:pStyle w:val="13"/>
      </w:pPr>
      <w:r>
        <w:t>3 对基准地价进行土地状况调整，应将估价对象宗地状况与基准地价对应的土地状况进行比较，根据之间的差异对基准地价进行相应的调整。</w:t>
      </w:r>
    </w:p>
    <w:p w14:paraId="2B485159" w14:textId="450DF87B" w:rsidR="002451CD" w:rsidRDefault="002451CD" w:rsidP="002451CD">
      <w:pPr>
        <w:pStyle w:val="13"/>
      </w:pPr>
      <w:r>
        <w:t>4 运用基准地价修正法评估宗地价值或价格，宜按估价对象所在地对基准地价的有关规定执行。</w:t>
      </w:r>
    </w:p>
    <w:p w14:paraId="10658E0A" w14:textId="65A43E2D" w:rsidR="002451CD" w:rsidRDefault="002451CD" w:rsidP="002451CD">
      <w:pPr>
        <w:pStyle w:val="13"/>
        <w:ind w:firstLine="482"/>
      </w:pPr>
      <w:r w:rsidRPr="00140A43">
        <w:rPr>
          <w:b/>
          <w:bCs/>
        </w:rPr>
        <w:t>4.6.4</w:t>
      </w:r>
      <w:r>
        <w:t xml:space="preserve"> 运用</w:t>
      </w:r>
      <w:proofErr w:type="gramStart"/>
      <w:r>
        <w:t>路线价</w:t>
      </w:r>
      <w:proofErr w:type="gramEnd"/>
      <w:r>
        <w:t>法估价时，应先在城镇街道上划分</w:t>
      </w:r>
      <w:proofErr w:type="gramStart"/>
      <w:r>
        <w:t>路线价</w:t>
      </w:r>
      <w:proofErr w:type="gramEnd"/>
      <w:r>
        <w:t>区段并设定标准临街深度，再在每个</w:t>
      </w:r>
      <w:proofErr w:type="gramStart"/>
      <w:r>
        <w:t>路线价</w:t>
      </w:r>
      <w:proofErr w:type="gramEnd"/>
      <w:r>
        <w:t>区段内选取一定数量的标准临街宗地并测算平均单价或楼面地价</w:t>
      </w:r>
      <w:r w:rsidR="003068F8">
        <w:t>，</w:t>
      </w:r>
      <w:r>
        <w:t>然后利用相关调整系数将</w:t>
      </w:r>
      <w:proofErr w:type="gramStart"/>
      <w:r>
        <w:t>该平均</w:t>
      </w:r>
      <w:proofErr w:type="gramEnd"/>
      <w:r>
        <w:t>单价或楼面地价调整为各宗临街土地的价值或价格。</w:t>
      </w:r>
    </w:p>
    <w:p w14:paraId="2306CCC8" w14:textId="04E80078" w:rsidR="002451CD" w:rsidRDefault="002451CD" w:rsidP="002451CD">
      <w:pPr>
        <w:pStyle w:val="13"/>
        <w:ind w:firstLine="482"/>
      </w:pPr>
      <w:r w:rsidRPr="00140A43">
        <w:rPr>
          <w:b/>
          <w:bCs/>
        </w:rPr>
        <w:t>4.6.5</w:t>
      </w:r>
      <w:r>
        <w:t xml:space="preserve"> 运用标准价调整法 ，应先确定估价范围，对估价范围内的所有被估价房地产进行分组，使同一组内的房地产具有相似性，再在每组内设定标准房地产并测算其价值或价格，然后利用楼幢、楼层、朝向等调整系数，将标准房地产价值或价格调整为各宗房地产的价值价格。</w:t>
      </w:r>
    </w:p>
    <w:p w14:paraId="56EAE281" w14:textId="27793EA4" w:rsidR="002451CD" w:rsidRDefault="002451CD" w:rsidP="002451CD">
      <w:pPr>
        <w:pStyle w:val="13"/>
        <w:ind w:firstLine="482"/>
      </w:pPr>
      <w:r w:rsidRPr="00140A43">
        <w:rPr>
          <w:b/>
          <w:bCs/>
        </w:rPr>
        <w:t>4.6.6</w:t>
      </w:r>
      <w:r>
        <w:t xml:space="preserve"> 运用多元回归分析法估价，应先确定估价范围，对估价范围内的所有被估价房地产进行分组，使同一组内的房地产具有相似性，再在每组内把房地产价值或价格作为因变量，把影响房地产价值的若干因素作为自变量，设定多元回归模型，搜集大量房地产成交价格及其影响因素数据，经过试算优化和分析检验，确定多元回归模型，再利用该模型计算出各宗房地产的价值或价格。</w:t>
      </w:r>
    </w:p>
    <w:p w14:paraId="0C006481" w14:textId="2D1DB65C" w:rsidR="002451CD" w:rsidRDefault="002451CD" w:rsidP="002451CD">
      <w:pPr>
        <w:pStyle w:val="13"/>
        <w:ind w:firstLine="482"/>
      </w:pPr>
      <w:r w:rsidRPr="00140A43">
        <w:rPr>
          <w:b/>
          <w:bCs/>
        </w:rPr>
        <w:t>4.6.7</w:t>
      </w:r>
      <w:r>
        <w:t xml:space="preserve"> 运用修复成本法房地产价值减损评估时，应测算修复的必要支出及应得利润</w:t>
      </w:r>
      <w:r w:rsidR="003068F8">
        <w:t>，</w:t>
      </w:r>
      <w:r>
        <w:t>将其作为房地产价值减损额。</w:t>
      </w:r>
    </w:p>
    <w:p w14:paraId="061C6316" w14:textId="4824A8A2" w:rsidR="002451CD" w:rsidRDefault="002451CD" w:rsidP="002451CD">
      <w:pPr>
        <w:pStyle w:val="13"/>
        <w:ind w:firstLine="482"/>
      </w:pPr>
      <w:r w:rsidRPr="00140A43">
        <w:rPr>
          <w:b/>
          <w:bCs/>
        </w:rPr>
        <w:t>4.6.8</w:t>
      </w:r>
      <w:r>
        <w:t xml:space="preserve"> 运用收益损失资本</w:t>
      </w:r>
      <w:proofErr w:type="gramStart"/>
      <w:r>
        <w:t>化法进行房</w:t>
      </w:r>
      <w:proofErr w:type="gramEnd"/>
      <w:r>
        <w:t>地产价值减损评估时，应先预测未来各年的净收益减少额或收入减少额、运营费用增加额，再计算其现值之和作为房地产价值减损额。</w:t>
      </w:r>
    </w:p>
    <w:p w14:paraId="0A11FBA4" w14:textId="089E0FAE" w:rsidR="002451CD" w:rsidRDefault="002451CD" w:rsidP="002451CD">
      <w:pPr>
        <w:pStyle w:val="13"/>
        <w:ind w:firstLine="482"/>
      </w:pPr>
      <w:r w:rsidRPr="00140A43">
        <w:rPr>
          <w:b/>
          <w:bCs/>
        </w:rPr>
        <w:t>4.6.9</w:t>
      </w:r>
      <w:r>
        <w:t xml:space="preserve"> 运用</w:t>
      </w:r>
      <w:proofErr w:type="gramStart"/>
      <w:r>
        <w:t>价差法进行房</w:t>
      </w:r>
      <w:proofErr w:type="gramEnd"/>
      <w:r>
        <w:t xml:space="preserve">地产价值减损或价值增加额评估时，应先分别评估房地产在改变之前状况下的价值和改变之后状况下的价值，再将两者之差作为房地产价值减损 </w:t>
      </w:r>
      <w:r>
        <w:rPr>
          <w:rFonts w:hint="eastAsia"/>
        </w:rPr>
        <w:t>额或增加额。</w:t>
      </w:r>
    </w:p>
    <w:p w14:paraId="6EEF8257" w14:textId="79790F01" w:rsidR="002451CD" w:rsidRDefault="002451CD" w:rsidP="00AF7342">
      <w:pPr>
        <w:pStyle w:val="a9"/>
        <w:spacing w:before="62" w:after="62"/>
      </w:pPr>
      <w:r>
        <w:t>5 不同估价目的下的估价房地产抵押估价</w:t>
      </w:r>
    </w:p>
    <w:p w14:paraId="3441A3C2" w14:textId="6FB84A91" w:rsidR="002451CD" w:rsidRDefault="002451CD" w:rsidP="002451CD">
      <w:pPr>
        <w:pStyle w:val="ab"/>
        <w:spacing w:before="62" w:after="62"/>
        <w:ind w:firstLine="482"/>
      </w:pPr>
      <w:r w:rsidRPr="002451CD">
        <w:t>5.1</w:t>
      </w:r>
      <w:r>
        <w:t xml:space="preserve"> </w:t>
      </w:r>
      <w:r w:rsidRPr="002451CD">
        <w:t>房地产抵押估价</w:t>
      </w:r>
    </w:p>
    <w:p w14:paraId="7568338C" w14:textId="2A748B15" w:rsidR="002451CD" w:rsidRDefault="002451CD" w:rsidP="002451CD">
      <w:pPr>
        <w:pStyle w:val="13"/>
        <w:ind w:firstLine="482"/>
      </w:pPr>
      <w:r w:rsidRPr="00140A43">
        <w:rPr>
          <w:b/>
          <w:bCs/>
        </w:rPr>
        <w:t>5.1.1</w:t>
      </w:r>
      <w:r>
        <w:t xml:space="preserve"> 房地产抵押估价应区分抵押贷款前估价和贷款后重估。</w:t>
      </w:r>
    </w:p>
    <w:p w14:paraId="398E6A16" w14:textId="61173F3C" w:rsidR="002451CD" w:rsidRDefault="002451CD" w:rsidP="002451CD">
      <w:pPr>
        <w:pStyle w:val="13"/>
        <w:ind w:firstLine="482"/>
      </w:pPr>
      <w:r w:rsidRPr="00140A43">
        <w:rPr>
          <w:b/>
          <w:bCs/>
        </w:rPr>
        <w:t>5.1.2</w:t>
      </w:r>
      <w:r>
        <w:t xml:space="preserve"> 房地产抵押贷款前估价，应包括下列内容：</w:t>
      </w:r>
    </w:p>
    <w:p w14:paraId="27889AF2" w14:textId="18B2EF02" w:rsidR="002451CD" w:rsidRDefault="002451CD" w:rsidP="002451CD">
      <w:pPr>
        <w:pStyle w:val="13"/>
      </w:pPr>
      <w:r>
        <w:t>1 评估抵押房地</w:t>
      </w:r>
      <w:proofErr w:type="gramStart"/>
      <w:r>
        <w:t>产假定未设立</w:t>
      </w:r>
      <w:proofErr w:type="gramEnd"/>
      <w:r>
        <w:t>法定优先受偿权下的价值；</w:t>
      </w:r>
    </w:p>
    <w:p w14:paraId="3EACFE4C" w14:textId="2BD84DE9" w:rsidR="002451CD" w:rsidRDefault="002451CD" w:rsidP="002451CD">
      <w:pPr>
        <w:pStyle w:val="13"/>
      </w:pPr>
      <w:r>
        <w:t>2 调查抵押房地产法定优先受偿</w:t>
      </w:r>
      <w:proofErr w:type="gramStart"/>
      <w:r>
        <w:t>权设立</w:t>
      </w:r>
      <w:proofErr w:type="gramEnd"/>
      <w:r>
        <w:t>情况及相应的法定优先受偿款</w:t>
      </w:r>
    </w:p>
    <w:p w14:paraId="0DA46EEC" w14:textId="20D7EB66" w:rsidR="002451CD" w:rsidRDefault="002451CD" w:rsidP="002451CD">
      <w:pPr>
        <w:pStyle w:val="13"/>
      </w:pPr>
      <w:r>
        <w:t>3 计算抵押房地产的抵押价值或抵押净值</w:t>
      </w:r>
    </w:p>
    <w:p w14:paraId="784007E2" w14:textId="2297C3A2" w:rsidR="002451CD" w:rsidRDefault="002451CD" w:rsidP="002451CD">
      <w:pPr>
        <w:pStyle w:val="13"/>
      </w:pPr>
      <w:r>
        <w:lastRenderedPageBreak/>
        <w:t>4 分析抵押房地产的变现能力并</w:t>
      </w:r>
      <w:proofErr w:type="gramStart"/>
      <w:r>
        <w:t>作出</w:t>
      </w:r>
      <w:proofErr w:type="gramEnd"/>
      <w:r>
        <w:t>风险提示</w:t>
      </w:r>
    </w:p>
    <w:p w14:paraId="4B7B5320" w14:textId="275B82D3" w:rsidR="002451CD" w:rsidRDefault="002451CD" w:rsidP="002451CD">
      <w:pPr>
        <w:pStyle w:val="13"/>
        <w:ind w:firstLine="482"/>
      </w:pPr>
      <w:r w:rsidRPr="00140A43">
        <w:rPr>
          <w:b/>
          <w:bCs/>
        </w:rPr>
        <w:t>5.1.3</w:t>
      </w:r>
      <w:r>
        <w:t xml:space="preserve"> 评估房地产抵押价值应遵循谨慎原则，</w:t>
      </w:r>
      <w:proofErr w:type="gramStart"/>
      <w:r>
        <w:t>不</w:t>
      </w:r>
      <w:proofErr w:type="gramEnd"/>
      <w:r>
        <w:t>高估假定未设立法定优先受偿权下的价值，不得低估法定优先受偿款及预期实现抵押权的费用和税金。</w:t>
      </w:r>
    </w:p>
    <w:p w14:paraId="5530CD5D" w14:textId="0A46BFF1" w:rsidR="002451CD" w:rsidRDefault="002451CD" w:rsidP="002451CD">
      <w:pPr>
        <w:pStyle w:val="13"/>
        <w:ind w:firstLine="482"/>
      </w:pPr>
      <w:r w:rsidRPr="00140A43">
        <w:rPr>
          <w:b/>
          <w:bCs/>
        </w:rPr>
        <w:t>5.1.4</w:t>
      </w:r>
      <w:r>
        <w:t xml:space="preserve"> 评估待开发房地</w:t>
      </w:r>
      <w:proofErr w:type="gramStart"/>
      <w:r>
        <w:t>产假定未设立</w:t>
      </w:r>
      <w:proofErr w:type="gramEnd"/>
      <w:r>
        <w:t>法定优先受偿权下的价值采用假设开发法的</w:t>
      </w:r>
      <w:r w:rsidR="003068F8">
        <w:t>，</w:t>
      </w:r>
      <w:r>
        <w:t>应选择被迫转让开发前提进行估价。</w:t>
      </w:r>
    </w:p>
    <w:p w14:paraId="4C43415A" w14:textId="46864C3A" w:rsidR="002451CD" w:rsidRDefault="002451CD" w:rsidP="002451CD">
      <w:pPr>
        <w:pStyle w:val="13"/>
        <w:ind w:firstLine="482"/>
      </w:pPr>
      <w:r w:rsidRPr="00140A43">
        <w:rPr>
          <w:b/>
          <w:bCs/>
        </w:rPr>
        <w:t>5.1.5</w:t>
      </w:r>
      <w:r>
        <w:t xml:space="preserve"> 抵押房地产已出租的，其假定未设立法定优先受偿权下的价值应符合下列规</w:t>
      </w:r>
      <w:r>
        <w:rPr>
          <w:rFonts w:hint="eastAsia"/>
        </w:rPr>
        <w:t>定：</w:t>
      </w:r>
    </w:p>
    <w:p w14:paraId="4B2EE7FF" w14:textId="5D7CD0C8" w:rsidR="002451CD" w:rsidRDefault="002451CD" w:rsidP="002451CD">
      <w:pPr>
        <w:pStyle w:val="13"/>
      </w:pPr>
      <w:r>
        <w:t>1 合同租金低于市场租金的应为出租人权益价值；</w:t>
      </w:r>
    </w:p>
    <w:p w14:paraId="6186F45B" w14:textId="137A5C04" w:rsidR="002451CD" w:rsidRDefault="002451CD" w:rsidP="002451CD">
      <w:pPr>
        <w:pStyle w:val="13"/>
      </w:pPr>
      <w:r>
        <w:t>2 合同租金高于市场租金的，应为无租约限制价值。</w:t>
      </w:r>
    </w:p>
    <w:p w14:paraId="11593548" w14:textId="2E930564" w:rsidR="002451CD" w:rsidRDefault="002451CD" w:rsidP="002451CD">
      <w:pPr>
        <w:pStyle w:val="13"/>
        <w:ind w:firstLine="482"/>
      </w:pPr>
      <w:r w:rsidRPr="00140A43">
        <w:rPr>
          <w:b/>
          <w:bCs/>
        </w:rPr>
        <w:t>5.1.6</w:t>
      </w:r>
      <w:r>
        <w:t xml:space="preserve"> 抵押房地产的建设用地使用权是以划拨方式取得的，应选</w:t>
      </w:r>
      <w:proofErr w:type="gramStart"/>
      <w:r>
        <w:t>择下列</w:t>
      </w:r>
      <w:proofErr w:type="gramEnd"/>
      <w:r>
        <w:t>方式之一评</w:t>
      </w:r>
      <w:r>
        <w:rPr>
          <w:rFonts w:hint="eastAsia"/>
        </w:rPr>
        <w:t>估其假定未设立法定优先受偿权下的价值：</w:t>
      </w:r>
    </w:p>
    <w:p w14:paraId="265DC60D" w14:textId="6B987F5D" w:rsidR="002451CD" w:rsidRDefault="002451CD" w:rsidP="002451CD">
      <w:pPr>
        <w:pStyle w:val="13"/>
      </w:pPr>
      <w:r>
        <w:t>1 直接评估在划拨建设用地使用权下的假定未设立法定优先受偿权下的价值；</w:t>
      </w:r>
    </w:p>
    <w:p w14:paraId="7683B1B8" w14:textId="402BBCC0" w:rsidR="002451CD" w:rsidRDefault="002451CD" w:rsidP="002451CD">
      <w:pPr>
        <w:pStyle w:val="13"/>
      </w:pPr>
      <w:r>
        <w:t>2 先评估在出让建设用地使用权状况下的假定未设立法定优先受偿权下的价值，且 该出让建设用地使用权的使用期限设定为</w:t>
      </w:r>
      <w:proofErr w:type="gramStart"/>
      <w:r>
        <w:t>自价值</w:t>
      </w:r>
      <w:proofErr w:type="gramEnd"/>
      <w:r>
        <w:t>时点起计算的相应用途法定出让最高 年限，再减去由划拨建设用地使用权转变为出让建设用地使用权应支付的出让金等费用。</w:t>
      </w:r>
    </w:p>
    <w:p w14:paraId="3545C73F" w14:textId="0A390CE1" w:rsidR="002451CD" w:rsidRDefault="002451CD" w:rsidP="002451CD">
      <w:pPr>
        <w:pStyle w:val="13"/>
        <w:ind w:firstLine="482"/>
      </w:pPr>
      <w:r w:rsidRPr="00140A43">
        <w:rPr>
          <w:b/>
          <w:bCs/>
        </w:rPr>
        <w:t>5.1.7</w:t>
      </w:r>
      <w:r>
        <w:t xml:space="preserve"> 由划拨建设用地使用权转变为出让建设用地使用权需要缴纳的出让金等费用</w:t>
      </w:r>
      <w:r w:rsidR="003068F8">
        <w:t>，</w:t>
      </w:r>
      <w:r>
        <w:t>应按估价对象所在地规定的标准进行测算，估价对象所在地没有规定的，可按同类房地 产已缴纳的标准进行估算。</w:t>
      </w:r>
    </w:p>
    <w:p w14:paraId="50F988D6" w14:textId="0909D675" w:rsidR="002451CD" w:rsidRDefault="002451CD" w:rsidP="002451CD">
      <w:pPr>
        <w:pStyle w:val="13"/>
        <w:ind w:firstLine="482"/>
      </w:pPr>
      <w:r w:rsidRPr="00140A43">
        <w:rPr>
          <w:b/>
          <w:bCs/>
        </w:rPr>
        <w:t>5.1.8</w:t>
      </w:r>
      <w:r>
        <w:t xml:space="preserve"> 抵押房地产为按份共有的，其抵押价值或抵押净值应为抵押人在共有房地产中享有的份额的抵押价值或抵押净值。</w:t>
      </w:r>
    </w:p>
    <w:p w14:paraId="1003687D" w14:textId="76C3CE12" w:rsidR="002451CD" w:rsidRDefault="002451CD" w:rsidP="002451CD">
      <w:pPr>
        <w:pStyle w:val="13"/>
        <w:ind w:firstLine="482"/>
      </w:pPr>
      <w:r w:rsidRPr="00140A43">
        <w:rPr>
          <w:b/>
          <w:bCs/>
        </w:rPr>
        <w:t>5.1.9</w:t>
      </w:r>
      <w:r>
        <w:t xml:space="preserve"> 抵押房地产为享受国家优惠政策购买的，其抵押价值或抵押净值应为房地产权利人可处分和收益的份额的抵押价值或抵押净值。</w:t>
      </w:r>
    </w:p>
    <w:p w14:paraId="6DCC48B7" w14:textId="421675A2" w:rsidR="002451CD" w:rsidRDefault="002451CD" w:rsidP="002451CD">
      <w:pPr>
        <w:pStyle w:val="13"/>
        <w:ind w:firstLine="482"/>
      </w:pPr>
      <w:r w:rsidRPr="00140A43">
        <w:rPr>
          <w:b/>
          <w:bCs/>
        </w:rPr>
        <w:t>5.1.10</w:t>
      </w:r>
      <w:r>
        <w:t xml:space="preserve"> 房地产抵押估价用于设立</w:t>
      </w:r>
      <w:proofErr w:type="gramStart"/>
      <w:r>
        <w:t>最</w:t>
      </w:r>
      <w:proofErr w:type="gramEnd"/>
      <w:r>
        <w:t>高额抵押权，且</w:t>
      </w:r>
      <w:proofErr w:type="gramStart"/>
      <w:r>
        <w:t>最</w:t>
      </w:r>
      <w:proofErr w:type="gramEnd"/>
      <w:r>
        <w:t>高额抵押</w:t>
      </w:r>
      <w:proofErr w:type="gramStart"/>
      <w:r>
        <w:t>权设立</w:t>
      </w:r>
      <w:proofErr w:type="gramEnd"/>
      <w:r>
        <w:t>前已存在的债权经当事人同意转入</w:t>
      </w:r>
      <w:proofErr w:type="gramStart"/>
      <w:r>
        <w:t>最</w:t>
      </w:r>
      <w:proofErr w:type="gramEnd"/>
      <w:r>
        <w:t>高额抵押担保的债权范围的，抵押价值或抵押净值可不减去相应的已抵押的债权数额，但应在估价报告中说明并对估价报告和估价结果的使用</w:t>
      </w:r>
      <w:proofErr w:type="gramStart"/>
      <w:r>
        <w:t>作出</w:t>
      </w:r>
      <w:proofErr w:type="gramEnd"/>
      <w:r>
        <w:t>相应限制。</w:t>
      </w:r>
    </w:p>
    <w:p w14:paraId="510E955B" w14:textId="78FE6931" w:rsidR="002451CD" w:rsidRDefault="002451CD" w:rsidP="002451CD">
      <w:pPr>
        <w:pStyle w:val="13"/>
        <w:ind w:firstLine="482"/>
      </w:pPr>
      <w:r w:rsidRPr="00140A43">
        <w:rPr>
          <w:b/>
          <w:bCs/>
        </w:rPr>
        <w:t>5.1.11</w:t>
      </w:r>
      <w:r>
        <w:t xml:space="preserve"> 在进行续贷房地产抵押估价时，应调查及在估价报告中说明抵押房地产状况和房地产市场状况发生的变化，并应根据已发生的变化情况进行估价。对同一抵押权人的续贷房地产估价，抵押价值、抵押净值可不减去续借对应的已抵押担保的债权数额</w:t>
      </w:r>
      <w:r w:rsidR="003068F8">
        <w:t>，</w:t>
      </w:r>
      <w:r>
        <w:t>但应在估价报告中说明并对估价报告和估价结果的使用</w:t>
      </w:r>
      <w:proofErr w:type="gramStart"/>
      <w:r>
        <w:t>作出</w:t>
      </w:r>
      <w:proofErr w:type="gramEnd"/>
      <w:r>
        <w:t>相应限制。</w:t>
      </w:r>
    </w:p>
    <w:p w14:paraId="3784AE15" w14:textId="5D9B55AD" w:rsidR="002451CD" w:rsidRDefault="002451CD" w:rsidP="002451CD">
      <w:pPr>
        <w:pStyle w:val="13"/>
        <w:ind w:firstLine="482"/>
      </w:pPr>
      <w:r w:rsidRPr="00140A43">
        <w:rPr>
          <w:b/>
          <w:bCs/>
        </w:rPr>
        <w:t>5.1.12</w:t>
      </w:r>
      <w:r>
        <w:t xml:space="preserve"> 房地产抵押贷款后重估，应根据监测抵押房地产市场价格变化、掌握抵押价值或抵押净值变化情况及有关信息披露等的需要，定期或在房地产市场价格变化较快、抵押房地产状况发生较大改变时，对抵押房地产的市场价格或市场价值、抵</w:t>
      </w:r>
      <w:r>
        <w:lastRenderedPageBreak/>
        <w:t>押价值、抵押净值等进行重新评估，并应为抵押权人提供相关风险提示。</w:t>
      </w:r>
    </w:p>
    <w:p w14:paraId="7817364A" w14:textId="56542330" w:rsidR="002451CD" w:rsidRDefault="002451CD" w:rsidP="002451CD">
      <w:pPr>
        <w:pStyle w:val="13"/>
        <w:ind w:firstLine="482"/>
      </w:pPr>
      <w:r w:rsidRPr="00140A43">
        <w:rPr>
          <w:b/>
          <w:bCs/>
        </w:rPr>
        <w:t>5.1.13</w:t>
      </w:r>
      <w:r>
        <w:t xml:space="preserve"> 重新评估大量相似的抵押房地产在同一价值时点市场价格或市场价值、抵押价值、抵押净值，可采取批量估价方法。</w:t>
      </w:r>
    </w:p>
    <w:p w14:paraId="2D8AACD8" w14:textId="6F971C10" w:rsidR="002451CD" w:rsidRDefault="002451CD" w:rsidP="002451CD">
      <w:pPr>
        <w:pStyle w:val="ab"/>
        <w:spacing w:before="62" w:after="62"/>
        <w:ind w:firstLine="482"/>
      </w:pPr>
      <w:r>
        <w:t>5.2 房地产税收估价</w:t>
      </w:r>
    </w:p>
    <w:p w14:paraId="3C15ACF7" w14:textId="49627D7A" w:rsidR="002451CD" w:rsidRDefault="002451CD" w:rsidP="002451CD">
      <w:pPr>
        <w:pStyle w:val="13"/>
        <w:ind w:firstLine="482"/>
      </w:pPr>
      <w:r w:rsidRPr="00140A43">
        <w:rPr>
          <w:b/>
          <w:bCs/>
        </w:rPr>
        <w:t>5.2.1</w:t>
      </w:r>
      <w:r>
        <w:t xml:space="preserve"> 房地产税收估价，应区分房地产保有环节的税收估价、房地产交易环节的税收估价和房地产开发环节的税收估价，并应按相应税种为核定计税依据而进行估价。</w:t>
      </w:r>
    </w:p>
    <w:p w14:paraId="2699590C" w14:textId="2C4D9298" w:rsidR="002451CD" w:rsidRDefault="002451CD" w:rsidP="002451CD">
      <w:pPr>
        <w:pStyle w:val="13"/>
        <w:ind w:firstLine="482"/>
      </w:pPr>
      <w:r w:rsidRPr="00140A43">
        <w:rPr>
          <w:b/>
          <w:bCs/>
        </w:rPr>
        <w:t>5.2.2</w:t>
      </w:r>
      <w:r>
        <w:t xml:space="preserve"> 房地产税收估价，应兼顾公平、精准、效率和成本。对同类房地产数量较多、相互之间具有一定可比性的应税房地产，应优先选用批量估价方法进行估价。对同类房地产数量较少、相互间可比性差、难以采用批量估价方法估价的房地产，应采用个案估价方法进行估价。</w:t>
      </w:r>
    </w:p>
    <w:p w14:paraId="63F9E89D" w14:textId="39D23011" w:rsidR="002451CD" w:rsidRDefault="002451CD" w:rsidP="002451CD">
      <w:pPr>
        <w:pStyle w:val="13"/>
        <w:ind w:firstLine="482"/>
      </w:pPr>
      <w:r w:rsidRPr="00140A43">
        <w:rPr>
          <w:b/>
          <w:bCs/>
        </w:rPr>
        <w:t>5.2.3</w:t>
      </w:r>
      <w:r>
        <w:t xml:space="preserve"> 房地产持有环节的税收估价，各估价对象的价值时点应相同，房地产交易环节的税收估价，价值时点应为应税房地产的成交日期。</w:t>
      </w:r>
    </w:p>
    <w:p w14:paraId="055DC547" w14:textId="1980E8D0" w:rsidR="002451CD" w:rsidRDefault="002451CD" w:rsidP="002451CD">
      <w:pPr>
        <w:pStyle w:val="ab"/>
        <w:spacing w:before="62" w:after="62"/>
        <w:ind w:firstLine="482"/>
      </w:pPr>
      <w:r>
        <w:t>5.3 房地产征收、征用估价</w:t>
      </w:r>
    </w:p>
    <w:p w14:paraId="7965DA07" w14:textId="4859C800" w:rsidR="002451CD" w:rsidRDefault="002451CD" w:rsidP="002451CD">
      <w:pPr>
        <w:pStyle w:val="13"/>
      </w:pPr>
      <w:r>
        <w:t>5.3.1 房地产征收估价，包括国有土地上房屋征收评估、集体土地征收评估。</w:t>
      </w:r>
    </w:p>
    <w:p w14:paraId="536A494F" w14:textId="26E90A18" w:rsidR="002451CD" w:rsidRDefault="002451CD" w:rsidP="002451CD">
      <w:pPr>
        <w:pStyle w:val="13"/>
      </w:pPr>
      <w:r>
        <w:t>5.3.2 国有土地上房屋征收评估，应区分被征收房屋价值评估、被征收房屋室内装饰装修价值评估、被征收房屋类似房地产的市场价格测算、用于产权调换房屋价值评估、因征收房屋造成的搬迁费用评估、因征收房屋造成的临时安置费用评估、因征收房屋造成的停产停业损失评估等。</w:t>
      </w:r>
    </w:p>
    <w:p w14:paraId="2F8B44D3" w14:textId="7073C2D8" w:rsidR="002451CD" w:rsidRDefault="002451CD" w:rsidP="002451CD">
      <w:pPr>
        <w:pStyle w:val="13"/>
        <w:ind w:firstLine="482"/>
      </w:pPr>
      <w:r w:rsidRPr="00140A43">
        <w:rPr>
          <w:b/>
          <w:bCs/>
        </w:rPr>
        <w:t>5.3.3</w:t>
      </w:r>
      <w:r>
        <w:t xml:space="preserve"> 被 征收房屋价值评估，应符合下列规定：</w:t>
      </w:r>
    </w:p>
    <w:p w14:paraId="0CDC266D" w14:textId="31ED3BB0" w:rsidR="002451CD" w:rsidRDefault="002451CD" w:rsidP="002451CD">
      <w:pPr>
        <w:pStyle w:val="13"/>
      </w:pPr>
      <w:r>
        <w:t>1 被征收房屋价值应包括补征收房屋及其占用范围内的土地使用权和属于补征收人的其他不动产的价值。</w:t>
      </w:r>
    </w:p>
    <w:p w14:paraId="74BAD9EB" w14:textId="2376FCB9" w:rsidR="002451CD" w:rsidRDefault="002451CD" w:rsidP="002451CD">
      <w:pPr>
        <w:pStyle w:val="13"/>
      </w:pPr>
      <w:r>
        <w:t>2 当被征收房屋室内装饰装修价值由征收当事人协商确定或房地产估价机构另行评估确定时，被征收房屋价值不应包括被征收房屋室内装饰装修的价值，并应在被征收房屋价值评估报告中</w:t>
      </w:r>
      <w:proofErr w:type="gramStart"/>
      <w:r>
        <w:t>作出</w:t>
      </w:r>
      <w:proofErr w:type="gramEnd"/>
      <w:r>
        <w:t>特别说明。</w:t>
      </w:r>
    </w:p>
    <w:p w14:paraId="3F4700A9" w14:textId="3024C2EA" w:rsidR="002451CD" w:rsidRDefault="002451CD" w:rsidP="002451CD">
      <w:pPr>
        <w:pStyle w:val="13"/>
      </w:pPr>
      <w:r>
        <w:t>3 被征收房屋的价值应为在正常交易情况下，由熟悉情况的交易双方以公平交易方式在房屋征收决定公告之日自愿进行交易的金额，且假定被征收房屋没有租赁、抵押、查封等情况。</w:t>
      </w:r>
    </w:p>
    <w:p w14:paraId="21F129A4" w14:textId="472B21B6" w:rsidR="002451CD" w:rsidRDefault="002451CD" w:rsidP="002451CD">
      <w:pPr>
        <w:pStyle w:val="13"/>
      </w:pPr>
      <w:r>
        <w:t>4 当被征收房地产为正常开发建设的待开发房地产或因征收已停建、缓建的未完工程且采用假设开发法估价时，应选择业主自行开发前提进行估价</w:t>
      </w:r>
    </w:p>
    <w:p w14:paraId="3BD72EAD" w14:textId="1DD2630D" w:rsidR="002451CD" w:rsidRDefault="002451CD" w:rsidP="002451CD">
      <w:pPr>
        <w:pStyle w:val="13"/>
      </w:pPr>
      <w:r>
        <w:t>5 当被征收房地产为非征收原因已停建、缓建的未完工程且采用假设开发法估价时</w:t>
      </w:r>
      <w:r w:rsidR="003068F8">
        <w:t>，</w:t>
      </w:r>
      <w:r>
        <w:t>应选择自愿转让开发前提进行估价。</w:t>
      </w:r>
    </w:p>
    <w:p w14:paraId="4926823B" w14:textId="080E738A" w:rsidR="002451CD" w:rsidRDefault="002451CD" w:rsidP="002451CD">
      <w:pPr>
        <w:pStyle w:val="13"/>
        <w:ind w:firstLine="482"/>
      </w:pPr>
      <w:r w:rsidRPr="00140A43">
        <w:rPr>
          <w:b/>
          <w:bCs/>
        </w:rPr>
        <w:t>5.3.4</w:t>
      </w:r>
      <w:r>
        <w:t xml:space="preserve"> 用于产权调换房屋价值评估，应符合下列规定：</w:t>
      </w:r>
    </w:p>
    <w:p w14:paraId="655EF40A" w14:textId="38CF58FA" w:rsidR="002451CD" w:rsidRDefault="002451CD" w:rsidP="002451CD">
      <w:pPr>
        <w:pStyle w:val="13"/>
      </w:pPr>
      <w:r>
        <w:lastRenderedPageBreak/>
        <w:t>1 用于产权调换房屋价值应包括用于产权调换房屋其占用范围内的土地使用权和用于产权调换的其他不动产的价值；</w:t>
      </w:r>
    </w:p>
    <w:p w14:paraId="06C4FEF9" w14:textId="4CA3BAF6" w:rsidR="002451CD" w:rsidRDefault="002451CD" w:rsidP="002451CD">
      <w:pPr>
        <w:pStyle w:val="13"/>
      </w:pPr>
      <w:r>
        <w:t>2 用于产权调换房屋价值就是在房屋征收决定公告之日的市场价值，当政府或其有关部门对用于产权调换房屋价格有规定的，应按其规定执行。</w:t>
      </w:r>
    </w:p>
    <w:p w14:paraId="4E765A0B" w14:textId="2FE28B4A" w:rsidR="002451CD" w:rsidRDefault="002451CD" w:rsidP="002451CD">
      <w:pPr>
        <w:pStyle w:val="13"/>
        <w:ind w:firstLine="482"/>
      </w:pPr>
      <w:r w:rsidRPr="00140A43">
        <w:rPr>
          <w:b/>
          <w:bCs/>
        </w:rPr>
        <w:t>5.3.5</w:t>
      </w:r>
      <w:r>
        <w:t xml:space="preserve"> 房地产征用估价，应评估被征用房地产的市场租金，为给予使用上的补偿提供参考依据。并可</w:t>
      </w:r>
      <w:proofErr w:type="gramStart"/>
      <w:r>
        <w:t>评估因</w:t>
      </w:r>
      <w:proofErr w:type="gramEnd"/>
      <w:r>
        <w:t>征用造成的搬迁费用、临时安置费用、停产停业损失；当房地产被征用或征用后毁损的，还可评估被征用房地产的价值减损额；当房地产被征用或征用后灭失的，还可评估被 征用房地产的市场价值，为相关补偿提供参考依据。</w:t>
      </w:r>
    </w:p>
    <w:p w14:paraId="2D692BB1" w14:textId="0DB6EC5E" w:rsidR="002451CD" w:rsidRDefault="002451CD" w:rsidP="002451CD">
      <w:pPr>
        <w:pStyle w:val="ab"/>
        <w:spacing w:before="62" w:after="62"/>
        <w:ind w:firstLine="482"/>
      </w:pPr>
      <w:r>
        <w:t>5.4 房地产拍卖、变卖估价</w:t>
      </w:r>
    </w:p>
    <w:p w14:paraId="36BDFB05" w14:textId="52ADDB81" w:rsidR="002451CD" w:rsidRDefault="002451CD" w:rsidP="002451CD">
      <w:pPr>
        <w:pStyle w:val="13"/>
        <w:ind w:firstLine="482"/>
      </w:pPr>
      <w:r w:rsidRPr="00140A43">
        <w:rPr>
          <w:b/>
          <w:bCs/>
        </w:rPr>
        <w:t>5.4.1</w:t>
      </w:r>
      <w:r>
        <w:t xml:space="preserve"> 房地产拍卖估价，应区分司法拍卖估价和普通拍卖估价。</w:t>
      </w:r>
    </w:p>
    <w:p w14:paraId="3153C0DD" w14:textId="665DF9C0" w:rsidR="002451CD" w:rsidRDefault="002451CD" w:rsidP="002451CD">
      <w:pPr>
        <w:pStyle w:val="13"/>
        <w:ind w:firstLine="482"/>
      </w:pPr>
      <w:r w:rsidRPr="00140A43">
        <w:rPr>
          <w:b/>
          <w:bCs/>
        </w:rPr>
        <w:t>5.4.2</w:t>
      </w:r>
      <w:r>
        <w:t xml:space="preserve"> 房地产司法拍卖估价应符合下列规定：</w:t>
      </w:r>
    </w:p>
    <w:p w14:paraId="751AB426" w14:textId="329B86F0" w:rsidR="002451CD" w:rsidRDefault="002451CD" w:rsidP="002451CD">
      <w:pPr>
        <w:pStyle w:val="13"/>
      </w:pPr>
      <w:r>
        <w:t>1 应根据最高人民法院的有关规定和人民法院的委托要求评估拍卖财产的市场价值或市场价格或其他特定价值或价格，</w:t>
      </w:r>
    </w:p>
    <w:p w14:paraId="1C7E1C27" w14:textId="3FBAE52B" w:rsidR="002451CD" w:rsidRDefault="002451CD" w:rsidP="002451CD">
      <w:pPr>
        <w:pStyle w:val="13"/>
      </w:pPr>
      <w:r>
        <w:t>2 评估价值的影响因素应包括拍卖财产存在的瑕疵，但不应包括拍卖房地产被查封及拍卖房地产上原有的担保物权和其他优先受偿权；</w:t>
      </w:r>
    </w:p>
    <w:p w14:paraId="2D0AD1DF" w14:textId="2D37165F" w:rsidR="002451CD" w:rsidRDefault="002451CD" w:rsidP="002451CD">
      <w:pPr>
        <w:pStyle w:val="13"/>
      </w:pPr>
      <w:r>
        <w:t>3 人民法院依法书面说明依法将拍卖房地产上原有的租赁权及用益物权除去后进行拍卖的，评估价值的影响因素不应包括拍卖房地产上原有的租赁权和用益物权，并应</w:t>
      </w:r>
      <w:r>
        <w:rPr>
          <w:rFonts w:hint="eastAsia"/>
        </w:rPr>
        <w:t>在估价报告中</w:t>
      </w:r>
      <w:proofErr w:type="gramStart"/>
      <w:r>
        <w:rPr>
          <w:rFonts w:hint="eastAsia"/>
        </w:rPr>
        <w:t>作出</w:t>
      </w:r>
      <w:proofErr w:type="gramEnd"/>
      <w:r>
        <w:rPr>
          <w:rFonts w:hint="eastAsia"/>
        </w:rPr>
        <w:t>特别说明；</w:t>
      </w:r>
    </w:p>
    <w:p w14:paraId="1322195A" w14:textId="09D9CA3D" w:rsidR="002451CD" w:rsidRDefault="002451CD" w:rsidP="002451CD">
      <w:pPr>
        <w:pStyle w:val="13"/>
      </w:pPr>
      <w:r>
        <w:t>4 当拍卖房地产为待开发房地产且采用假设开发法估价时，应选择被迫转让开发前提进行估价。</w:t>
      </w:r>
    </w:p>
    <w:p w14:paraId="1E335429" w14:textId="6E6499C3" w:rsidR="002451CD" w:rsidRDefault="002451CD" w:rsidP="002451CD">
      <w:pPr>
        <w:pStyle w:val="13"/>
        <w:ind w:firstLine="482"/>
      </w:pPr>
      <w:r w:rsidRPr="00140A43">
        <w:rPr>
          <w:b/>
          <w:bCs/>
        </w:rPr>
        <w:t>5.4.3</w:t>
      </w:r>
      <w:r>
        <w:t xml:space="preserve"> 房地产普通拍卖估价，可根据估价委托人的需要，评估市场价值或市场价格、快速变现价值，为确定拍卖标的</w:t>
      </w:r>
      <w:proofErr w:type="gramStart"/>
      <w:r>
        <w:t>的</w:t>
      </w:r>
      <w:proofErr w:type="gramEnd"/>
      <w:r>
        <w:t>保留</w:t>
      </w:r>
      <w:proofErr w:type="gramStart"/>
      <w:r>
        <w:t>价提供</w:t>
      </w:r>
      <w:proofErr w:type="gramEnd"/>
      <w:r>
        <w:t>参考依据。快速变现价值可根据变现时限短于正常销售期的时间长短，在市场价值或市场价格的</w:t>
      </w:r>
      <w:proofErr w:type="gramStart"/>
      <w:r>
        <w:t>的</w:t>
      </w:r>
      <w:proofErr w:type="gramEnd"/>
      <w:r>
        <w:t>基础上进行适当减价确定。</w:t>
      </w:r>
    </w:p>
    <w:p w14:paraId="323060CB" w14:textId="52B613BF" w:rsidR="002451CD" w:rsidRDefault="002451CD" w:rsidP="002451CD">
      <w:pPr>
        <w:pStyle w:val="13"/>
        <w:ind w:firstLine="482"/>
      </w:pPr>
      <w:r w:rsidRPr="00140A43">
        <w:rPr>
          <w:b/>
          <w:bCs/>
        </w:rPr>
        <w:t>5.4.4</w:t>
      </w:r>
      <w:r>
        <w:t xml:space="preserve"> 房地产变卖估价，应评估市场价值。</w:t>
      </w:r>
    </w:p>
    <w:p w14:paraId="04FE128F" w14:textId="2A40CC71" w:rsidR="002451CD" w:rsidRDefault="002451CD" w:rsidP="002451CD">
      <w:pPr>
        <w:pStyle w:val="ab"/>
        <w:spacing w:before="62" w:after="62"/>
        <w:ind w:firstLine="482"/>
      </w:pPr>
      <w:r>
        <w:t>5.5 房地产分割、合并估价</w:t>
      </w:r>
    </w:p>
    <w:p w14:paraId="221A9E04" w14:textId="186EED87" w:rsidR="002451CD" w:rsidRDefault="002451CD" w:rsidP="002451CD">
      <w:pPr>
        <w:pStyle w:val="13"/>
        <w:ind w:firstLine="482"/>
      </w:pPr>
      <w:r w:rsidRPr="00140A43">
        <w:rPr>
          <w:b/>
          <w:bCs/>
        </w:rPr>
        <w:t>5.5.1</w:t>
      </w:r>
      <w:r>
        <w:t xml:space="preserve"> 房地产分割、合并估价，应以房地产的实物分割或合并为前提，并应分析实物分割、合并对房地产价值或价格的影响。</w:t>
      </w:r>
    </w:p>
    <w:p w14:paraId="722CBD6B" w14:textId="437608B8" w:rsidR="002451CD" w:rsidRDefault="002451CD" w:rsidP="002451CD">
      <w:pPr>
        <w:pStyle w:val="13"/>
        <w:ind w:firstLine="482"/>
      </w:pPr>
      <w:r w:rsidRPr="00140A43">
        <w:rPr>
          <w:b/>
          <w:bCs/>
        </w:rPr>
        <w:t>5.5.2</w:t>
      </w:r>
      <w:r>
        <w:t xml:space="preserve"> 房地产分割估价，不应简单地将分割前的整体房地产价值或价格按面积或土地面积、体积等进行分摊得出分割后的各部分房地产价值或价格，应对分割后的各部分房地产分别进行估价，并应</w:t>
      </w:r>
      <w:proofErr w:type="gramStart"/>
      <w:r>
        <w:t>分析因</w:t>
      </w:r>
      <w:proofErr w:type="gramEnd"/>
      <w:r>
        <w:t>分割造成的房地产价值或价格增减。</w:t>
      </w:r>
    </w:p>
    <w:p w14:paraId="396B9407" w14:textId="09B52ECE" w:rsidR="002451CD" w:rsidRDefault="002451CD" w:rsidP="002451CD">
      <w:pPr>
        <w:pStyle w:val="13"/>
        <w:ind w:firstLine="482"/>
      </w:pPr>
      <w:r w:rsidRPr="00140A43">
        <w:rPr>
          <w:b/>
          <w:bCs/>
        </w:rPr>
        <w:t>5.5.3</w:t>
      </w:r>
      <w:r>
        <w:t xml:space="preserve"> 房地产合并估价，不应简单地将合并前的各部分房地产价值或价格相加</w:t>
      </w:r>
      <w:r>
        <w:lastRenderedPageBreak/>
        <w:t>作为合并后的整体房地产价值或价格，应对合并后的整体房地产进行估价，并应</w:t>
      </w:r>
      <w:proofErr w:type="gramStart"/>
      <w:r>
        <w:t>分析因</w:t>
      </w:r>
      <w:proofErr w:type="gramEnd"/>
      <w:r>
        <w:t>合并造成的房地产价值或价格增减。</w:t>
      </w:r>
    </w:p>
    <w:p w14:paraId="6F1AA895" w14:textId="26F5298C" w:rsidR="002451CD" w:rsidRDefault="002451CD" w:rsidP="002451CD">
      <w:pPr>
        <w:pStyle w:val="ab"/>
        <w:spacing w:before="62" w:after="62"/>
        <w:ind w:firstLine="482"/>
      </w:pPr>
      <w:r>
        <w:t>5.6 房地产损害赔偿估价</w:t>
      </w:r>
    </w:p>
    <w:p w14:paraId="6CC24660" w14:textId="231A19D9" w:rsidR="002451CD" w:rsidRDefault="002451CD" w:rsidP="002451CD">
      <w:pPr>
        <w:pStyle w:val="13"/>
        <w:ind w:firstLine="482"/>
      </w:pPr>
      <w:r w:rsidRPr="00140A43">
        <w:rPr>
          <w:b/>
          <w:bCs/>
        </w:rPr>
        <w:t>5.6.1</w:t>
      </w:r>
      <w:r>
        <w:t xml:space="preserve"> 房地产损害赔偿估价，应区分被损害房地产价值减损评估、因房地产损害造成的其他财产损失评估、因房地产损害造成的搬迁费用评估、因房地产损害造成的临时安置费用评估、因房地产损害造成的停产停业损失评估等。</w:t>
      </w:r>
    </w:p>
    <w:p w14:paraId="7412C097" w14:textId="2D554F87" w:rsidR="002451CD" w:rsidRDefault="002451CD" w:rsidP="002451CD">
      <w:pPr>
        <w:pStyle w:val="13"/>
        <w:ind w:firstLine="482"/>
      </w:pPr>
      <w:r w:rsidRPr="00140A43">
        <w:rPr>
          <w:b/>
          <w:bCs/>
        </w:rPr>
        <w:t>5.6.2</w:t>
      </w:r>
      <w:r>
        <w:t xml:space="preserve"> 被损害房地产价值减损评估，应符合下列规定：</w:t>
      </w:r>
    </w:p>
    <w:p w14:paraId="0E735A78" w14:textId="5EAAB220" w:rsidR="002451CD" w:rsidRDefault="002451CD" w:rsidP="002451CD">
      <w:pPr>
        <w:pStyle w:val="13"/>
      </w:pPr>
      <w:r>
        <w:t>1 应调查并在估价报告中说明被损害房地产在损害发生前后的状况；</w:t>
      </w:r>
    </w:p>
    <w:p w14:paraId="7A625993" w14:textId="36419C3B" w:rsidR="002451CD" w:rsidRDefault="002451CD" w:rsidP="002451CD">
      <w:pPr>
        <w:pStyle w:val="13"/>
      </w:pPr>
      <w:r>
        <w:t>2 应区分并分析、测算、判断可修复和不可修复的被损害房地产价值减损及房地产损害中可修复和不可修复的部分；</w:t>
      </w:r>
    </w:p>
    <w:p w14:paraId="2A134E25" w14:textId="177B1D47" w:rsidR="002451CD" w:rsidRDefault="002451CD" w:rsidP="002451CD">
      <w:pPr>
        <w:pStyle w:val="13"/>
      </w:pPr>
      <w:r>
        <w:t>3 对可修复的被损害房地产价值减损和房地产损害中可修复的部分，宜采用修复成本法测算其修复成本作为价值减损额；</w:t>
      </w:r>
    </w:p>
    <w:p w14:paraId="41A9B117" w14:textId="623235DB" w:rsidR="002451CD" w:rsidRDefault="002451CD" w:rsidP="002451CD">
      <w:pPr>
        <w:pStyle w:val="13"/>
      </w:pPr>
      <w:r>
        <w:t>4 对不可修复的被损害房地产价值减损，应根据估价对象及其所在地的房地产市场状况，分析损失资本化法、价差法等方法的适用性，从中选用适用的方法进行评估。</w:t>
      </w:r>
    </w:p>
    <w:p w14:paraId="25FB9C6B" w14:textId="7962428C" w:rsidR="002451CD" w:rsidRDefault="002451CD" w:rsidP="002451CD">
      <w:pPr>
        <w:pStyle w:val="ab"/>
        <w:spacing w:before="62" w:after="62"/>
        <w:ind w:firstLine="482"/>
      </w:pPr>
      <w:r>
        <w:t>5.7 房地产保险估价</w:t>
      </w:r>
    </w:p>
    <w:p w14:paraId="40AC7F46" w14:textId="19DC694D" w:rsidR="002451CD" w:rsidRDefault="002451CD" w:rsidP="002451CD">
      <w:pPr>
        <w:pStyle w:val="13"/>
        <w:ind w:firstLine="482"/>
      </w:pPr>
      <w:r w:rsidRPr="00140A43">
        <w:rPr>
          <w:b/>
          <w:bCs/>
        </w:rPr>
        <w:t>5.7.1</w:t>
      </w:r>
      <w:r>
        <w:t xml:space="preserve"> 房地产保险估价，应区分房地产投保时的保险价值评估和保险事故发生后的财产损失评估。</w:t>
      </w:r>
    </w:p>
    <w:p w14:paraId="349B886E" w14:textId="6D64E6BA" w:rsidR="002451CD" w:rsidRDefault="002451CD" w:rsidP="002451CD">
      <w:pPr>
        <w:pStyle w:val="13"/>
        <w:ind w:firstLine="482"/>
      </w:pPr>
      <w:r w:rsidRPr="00140A43">
        <w:rPr>
          <w:b/>
          <w:bCs/>
        </w:rPr>
        <w:t>5.7.2</w:t>
      </w:r>
      <w:r>
        <w:rPr>
          <w:b/>
          <w:bCs/>
        </w:rPr>
        <w:t xml:space="preserve"> </w:t>
      </w:r>
      <w:r>
        <w:t>房地产投保时的保险价值评估，宜评估假定在价值时点因保险事故发生而可能遭受损失的房地产的重置成本或重建成本，可采用成本法、比较法。</w:t>
      </w:r>
    </w:p>
    <w:p w14:paraId="4DCDC24C" w14:textId="050D434D" w:rsidR="002451CD" w:rsidRDefault="002451CD" w:rsidP="002451CD">
      <w:pPr>
        <w:pStyle w:val="13"/>
        <w:ind w:firstLine="482"/>
      </w:pPr>
      <w:r w:rsidRPr="00140A43">
        <w:rPr>
          <w:b/>
          <w:bCs/>
        </w:rPr>
        <w:t>5.7.3</w:t>
      </w:r>
      <w:r>
        <w:t xml:space="preserve"> 保险事故发生后的财产损失评估，应调查保险标的在投保时和保险事故发生后的状况，</w:t>
      </w:r>
      <w:proofErr w:type="gramStart"/>
      <w:r>
        <w:t>评估因</w:t>
      </w:r>
      <w:proofErr w:type="gramEnd"/>
      <w:r>
        <w:t>保险事故发生造成的财产损失，可选用修复成本法、价差法、损失资本化法等方法。对于其中可修复部分，宜估算其修复成本测算其修复成本作为财产损失</w:t>
      </w:r>
      <w:r>
        <w:rPr>
          <w:rFonts w:hint="eastAsia"/>
        </w:rPr>
        <w:t>额。</w:t>
      </w:r>
    </w:p>
    <w:p w14:paraId="69A3AB62" w14:textId="498A8094" w:rsidR="002451CD" w:rsidRDefault="002451CD" w:rsidP="002451CD">
      <w:pPr>
        <w:pStyle w:val="ab"/>
        <w:spacing w:before="62" w:after="62"/>
        <w:ind w:firstLine="482"/>
      </w:pPr>
      <w:r>
        <w:t>5.8 房地产转让估价</w:t>
      </w:r>
    </w:p>
    <w:p w14:paraId="46F2BD45" w14:textId="2B595220" w:rsidR="002451CD" w:rsidRDefault="002451CD" w:rsidP="002451CD">
      <w:pPr>
        <w:pStyle w:val="13"/>
        <w:ind w:firstLine="482"/>
      </w:pPr>
      <w:r w:rsidRPr="00140A43">
        <w:rPr>
          <w:b/>
          <w:bCs/>
        </w:rPr>
        <w:t>5.8.1</w:t>
      </w:r>
      <w:r>
        <w:t xml:space="preserve"> 房地产转让估价，应区分转让人需要的估价和受让人需要的估价，并应根据估</w:t>
      </w:r>
      <w:r>
        <w:rPr>
          <w:rFonts w:hint="eastAsia"/>
        </w:rPr>
        <w:t>价委托人的具体需要，评估市场价值或投资价值、卖方要价、买方出价、买卖双方协议价等。</w:t>
      </w:r>
    </w:p>
    <w:p w14:paraId="6953E4C5" w14:textId="3416436B" w:rsidR="002451CD" w:rsidRDefault="002451CD" w:rsidP="002451CD">
      <w:pPr>
        <w:pStyle w:val="13"/>
        <w:ind w:firstLine="482"/>
      </w:pPr>
      <w:r w:rsidRPr="00140A43">
        <w:rPr>
          <w:b/>
          <w:bCs/>
        </w:rPr>
        <w:t>5.8.2</w:t>
      </w:r>
      <w:r>
        <w:t xml:space="preserve"> 房地产转让估价应调查转让人、受让人对转让对象状况、转让价款支付方式、转让税费负担等转让条件的设定或约定，并应符合下列规定：</w:t>
      </w:r>
    </w:p>
    <w:p w14:paraId="527C3833" w14:textId="0D18CFD7" w:rsidR="002451CD" w:rsidRDefault="002451CD" w:rsidP="002451CD">
      <w:pPr>
        <w:pStyle w:val="13"/>
      </w:pPr>
      <w:r>
        <w:t>1 当转让人、受让人对转让条件有书面设定或约定时，宜评估在其书面设定或约定的转让条件下的价值或价格；</w:t>
      </w:r>
    </w:p>
    <w:p w14:paraId="0284E62E" w14:textId="3036A535" w:rsidR="002451CD" w:rsidRDefault="002451CD" w:rsidP="002451CD">
      <w:pPr>
        <w:pStyle w:val="13"/>
      </w:pPr>
      <w:r>
        <w:t>2 当转让人、受让人对转让条件无书面设定或约定或书面设定、约定不明确时，</w:t>
      </w:r>
      <w:r>
        <w:lastRenderedPageBreak/>
        <w:t>应评估转让对象在价值时点的状况、转让价款在价值时点一次性付清、转让税费正常负担下的价值或价格。</w:t>
      </w:r>
    </w:p>
    <w:p w14:paraId="3F7F2A88" w14:textId="52A736DA" w:rsidR="002451CD" w:rsidRDefault="002451CD" w:rsidP="002451CD">
      <w:pPr>
        <w:pStyle w:val="13"/>
        <w:ind w:firstLine="482"/>
      </w:pPr>
      <w:r w:rsidRPr="00140A43">
        <w:rPr>
          <w:b/>
          <w:bCs/>
        </w:rPr>
        <w:t>5.8.3</w:t>
      </w:r>
      <w:r>
        <w:t xml:space="preserve"> 已出租的房地产转让估价，应评估出租人权益价值；转让人书面设定或转让人与受让人书面约定依法将原有的租赁关系解除后进行转让的，可另行评估租约限制价值，并应在估价报告中同时说明出租人权益价值和无租约限制价值及其使用条件。</w:t>
      </w:r>
    </w:p>
    <w:p w14:paraId="0C8F899D" w14:textId="5E35052C" w:rsidR="002451CD" w:rsidRDefault="002451CD" w:rsidP="002451CD">
      <w:pPr>
        <w:pStyle w:val="13"/>
        <w:ind w:firstLine="482"/>
      </w:pPr>
      <w:r w:rsidRPr="00140A43">
        <w:rPr>
          <w:b/>
          <w:bCs/>
        </w:rPr>
        <w:t>5.8.4</w:t>
      </w:r>
      <w:r>
        <w:rPr>
          <w:b/>
          <w:bCs/>
        </w:rPr>
        <w:t xml:space="preserve"> </w:t>
      </w:r>
      <w:r>
        <w:t>以划拨方式取得建设用地使用权的房地产转让估价，估价对象应符合法律、法规规定的转让条件，并应根据国家和估价对象据地的土地收益处理规定，给出需要缴纳的出让金等费用或转让价格中所含的土地收益。</w:t>
      </w:r>
    </w:p>
    <w:p w14:paraId="799F0D38" w14:textId="77777777" w:rsidR="002451CD" w:rsidRDefault="002451CD" w:rsidP="002451CD">
      <w:pPr>
        <w:pStyle w:val="13"/>
        <w:ind w:firstLine="482"/>
      </w:pPr>
      <w:r w:rsidRPr="00140A43">
        <w:rPr>
          <w:b/>
          <w:bCs/>
        </w:rPr>
        <w:t>5.8.4</w:t>
      </w:r>
      <w:r>
        <w:t xml:space="preserve"> 保障性住房销售价格评估，应根据分享产权、独享产权等产权享有方式，评估市场价值或其他特定价值、价格、对采取分享产权的，宜评估市场价值；对采取独享产</w:t>
      </w:r>
      <w:r>
        <w:rPr>
          <w:rFonts w:hint="eastAsia"/>
        </w:rPr>
        <w:t>权的，宜根据类似商品住房的市场价格、保障性住房的成本价格、保障性住房供应对象的支付能力、政府补贴水平及每套住房所处楼幢、楼层、朝向等保障性住房价格影响因素，测算公平合理的销售价格水平。但国家和保障性住房所在地以保障性住房销售价格确定有特别规定的，应按其规定执行。</w:t>
      </w:r>
    </w:p>
    <w:p w14:paraId="65CB1E98" w14:textId="2F36FD94" w:rsidR="002451CD" w:rsidRDefault="002451CD" w:rsidP="002451CD">
      <w:pPr>
        <w:pStyle w:val="ab"/>
        <w:spacing w:before="62" w:after="62"/>
        <w:ind w:firstLine="482"/>
      </w:pPr>
      <w:r>
        <w:t>5.9 房地产租赁价格评估</w:t>
      </w:r>
    </w:p>
    <w:p w14:paraId="3C6193CC" w14:textId="16D4C7E2" w:rsidR="002451CD" w:rsidRDefault="002451CD" w:rsidP="002451CD">
      <w:pPr>
        <w:pStyle w:val="13"/>
        <w:ind w:firstLine="482"/>
      </w:pPr>
      <w:r w:rsidRPr="00140A43">
        <w:rPr>
          <w:b/>
          <w:bCs/>
        </w:rPr>
        <w:t>5.9.1</w:t>
      </w:r>
      <w:r>
        <w:t xml:space="preserve"> 房地产租赁估价，应区分出租人需要的估价和承租人需要的估价，并应根据估价委托人的具体需要，评估市场租金或其他特定租金、承租人权益价值等。</w:t>
      </w:r>
    </w:p>
    <w:p w14:paraId="066FC624" w14:textId="60D6F3B6" w:rsidR="002451CD" w:rsidRDefault="002451CD" w:rsidP="002451CD">
      <w:pPr>
        <w:pStyle w:val="13"/>
        <w:ind w:firstLine="482"/>
      </w:pPr>
      <w:r w:rsidRPr="00140A43">
        <w:rPr>
          <w:b/>
          <w:bCs/>
        </w:rPr>
        <w:t>5.9.2</w:t>
      </w:r>
      <w:r>
        <w:t xml:space="preserve"> 以营利为目的出租划拨建设用地使用权上的房屋租赁估价，应根据国家和估价对象所在地的土地收益的处理规定，给出租金中所含的土地收益。</w:t>
      </w:r>
    </w:p>
    <w:p w14:paraId="0910FC11" w14:textId="37B30F4B" w:rsidR="002451CD" w:rsidRDefault="002451CD" w:rsidP="002451CD">
      <w:pPr>
        <w:pStyle w:val="13"/>
        <w:ind w:firstLine="482"/>
      </w:pPr>
      <w:r w:rsidRPr="00140A43">
        <w:rPr>
          <w:b/>
          <w:bCs/>
        </w:rPr>
        <w:t>5.9.3</w:t>
      </w:r>
      <w:r>
        <w:t xml:space="preserve"> 保障性住房的租赁价格评估，应根据货币补贴、实物补贴等租金补贴方式，评估市场租金或其他特定租金。对采取货币补贴的，宜评估市场租金；对采取实物补贴的</w:t>
      </w:r>
      <w:r w:rsidR="003068F8">
        <w:t>，</w:t>
      </w:r>
      <w:r>
        <w:t>宜根据类似商品住房的市场租金、保障性住房的成本租金、保障性住房供应对象的支付能力、政府补贴水平及每套住房所处楼幢、楼层、朝向等保障性住房租金影响因素，测算公平合理的租金水平。但国家和保障性住房所在地对保障性住房租赁价格确定有特别</w:t>
      </w:r>
      <w:r>
        <w:rPr>
          <w:rFonts w:hint="eastAsia"/>
        </w:rPr>
        <w:t>规定的，应按其规定执行。</w:t>
      </w:r>
    </w:p>
    <w:p w14:paraId="6BA2D95C" w14:textId="2D78C07D" w:rsidR="002451CD" w:rsidRDefault="002451CD" w:rsidP="002451CD">
      <w:pPr>
        <w:pStyle w:val="ab"/>
        <w:spacing w:before="62" w:after="62"/>
        <w:ind w:firstLine="482"/>
      </w:pPr>
      <w:r>
        <w:t>5.10 建设用地使用权出让估价</w:t>
      </w:r>
    </w:p>
    <w:p w14:paraId="61799FAC" w14:textId="3F8FA62C" w:rsidR="002451CD" w:rsidRDefault="002451CD" w:rsidP="002451CD">
      <w:pPr>
        <w:pStyle w:val="13"/>
        <w:ind w:firstLine="482"/>
      </w:pPr>
      <w:r w:rsidRPr="00140A43">
        <w:rPr>
          <w:b/>
          <w:bCs/>
        </w:rPr>
        <w:t>5.10.1</w:t>
      </w:r>
      <w:r>
        <w:t xml:space="preserve"> 建设用地使用权出让估价，应区分出让人需要的估价和意向用地者需要的估</w:t>
      </w:r>
      <w:r>
        <w:rPr>
          <w:rFonts w:hint="eastAsia"/>
        </w:rPr>
        <w:t>价。</w:t>
      </w:r>
    </w:p>
    <w:p w14:paraId="11EF7010" w14:textId="229EFBBC" w:rsidR="002451CD" w:rsidRDefault="002451CD" w:rsidP="002451CD">
      <w:pPr>
        <w:pStyle w:val="13"/>
        <w:ind w:firstLine="482"/>
      </w:pPr>
      <w:r w:rsidRPr="00140A43">
        <w:rPr>
          <w:b/>
          <w:bCs/>
        </w:rPr>
        <w:t>5.10.2</w:t>
      </w:r>
      <w:r>
        <w:t xml:space="preserve"> 出让人需要的建设用地使用权出让估价，应根据招标、拍卖、挂牌、协议等</w:t>
      </w:r>
      <w:r>
        <w:rPr>
          <w:rFonts w:hint="eastAsia"/>
        </w:rPr>
        <w:t>出让方式和出让人的具体需要，评估市场价格或相应出让方式的底价。</w:t>
      </w:r>
    </w:p>
    <w:p w14:paraId="29AAE2D7" w14:textId="5D14758A" w:rsidR="002451CD" w:rsidRDefault="002451CD" w:rsidP="002451CD">
      <w:pPr>
        <w:pStyle w:val="13"/>
        <w:ind w:firstLine="482"/>
      </w:pPr>
      <w:r w:rsidRPr="00140A43">
        <w:rPr>
          <w:b/>
          <w:bCs/>
        </w:rPr>
        <w:t>5.10.3</w:t>
      </w:r>
      <w:r>
        <w:rPr>
          <w:b/>
          <w:bCs/>
        </w:rPr>
        <w:t xml:space="preserve"> </w:t>
      </w:r>
      <w:r>
        <w:t>意向用地者需要的建设用地使用权出让估价，应根据招标、拍卖、挂牌协议等出让方式和意向用地者具体需要，评估市场价值或投资价值、相应出让方式的</w:t>
      </w:r>
      <w:r>
        <w:lastRenderedPageBreak/>
        <w:t>最高报价，最高报价、竞争对手的可能出价等。</w:t>
      </w:r>
    </w:p>
    <w:p w14:paraId="1BCD2175" w14:textId="6E4D826C" w:rsidR="002451CD" w:rsidRDefault="002451CD" w:rsidP="002451CD">
      <w:pPr>
        <w:pStyle w:val="13"/>
        <w:ind w:firstLine="482"/>
      </w:pPr>
      <w:r w:rsidRPr="00140A43">
        <w:rPr>
          <w:b/>
          <w:bCs/>
        </w:rPr>
        <w:t>5.10.4</w:t>
      </w:r>
      <w:r>
        <w:t xml:space="preserve"> 建设用地使用权出让估价应调查出让人对交付土地状况、出让金等费用的支付方式等出让条件的规定，并应符合下列规定：</w:t>
      </w:r>
    </w:p>
    <w:p w14:paraId="278946B1" w14:textId="1B97FEA9" w:rsidR="002451CD" w:rsidRDefault="002451CD" w:rsidP="002451CD">
      <w:pPr>
        <w:pStyle w:val="13"/>
      </w:pPr>
      <w:r>
        <w:t>1 当出让人对出让条件有明文规定时，应评估在其明文规定的出让条件下的价值或价格；</w:t>
      </w:r>
    </w:p>
    <w:p w14:paraId="5869CF30" w14:textId="02C415E6" w:rsidR="002451CD" w:rsidRDefault="002451CD" w:rsidP="002451CD">
      <w:pPr>
        <w:pStyle w:val="13"/>
      </w:pPr>
      <w:r>
        <w:t>2 当出让人对出让条件无明文规定或规定不明确时，宜评估在价值时点的土地状况、</w:t>
      </w:r>
      <w:r>
        <w:rPr>
          <w:rFonts w:hint="eastAsia"/>
        </w:rPr>
        <w:t>出让金等费用在价值时点一次性付清等条件下的价值或价格。</w:t>
      </w:r>
    </w:p>
    <w:p w14:paraId="6E3E4AF0" w14:textId="168F3A81" w:rsidR="002451CD" w:rsidRDefault="002451CD" w:rsidP="002451CD">
      <w:pPr>
        <w:pStyle w:val="13"/>
        <w:ind w:firstLine="482"/>
      </w:pPr>
      <w:r w:rsidRPr="00140A43">
        <w:rPr>
          <w:b/>
          <w:bCs/>
        </w:rPr>
        <w:t>5.10.5</w:t>
      </w:r>
      <w:r>
        <w:t xml:space="preserve"> 当出让人需要的建设用地使用权出让估价采用假设开发法时，宜选择自愿转让开发前提进行估价。</w:t>
      </w:r>
    </w:p>
    <w:p w14:paraId="66CDC59B" w14:textId="744CA995" w:rsidR="002451CD" w:rsidRDefault="002451CD" w:rsidP="002451CD">
      <w:pPr>
        <w:pStyle w:val="13"/>
        <w:ind w:firstLine="482"/>
      </w:pPr>
      <w:r w:rsidRPr="00140A43">
        <w:rPr>
          <w:b/>
          <w:bCs/>
        </w:rPr>
        <w:t>5.10.6</w:t>
      </w:r>
      <w:r>
        <w:t xml:space="preserve"> 当意向用地者需要的建设用地使用权出让估价采用假设开发法时，应符合下列规定：</w:t>
      </w:r>
    </w:p>
    <w:p w14:paraId="7F22C537" w14:textId="31912F57" w:rsidR="002451CD" w:rsidRDefault="002451CD" w:rsidP="002451CD">
      <w:pPr>
        <w:pStyle w:val="13"/>
      </w:pPr>
      <w:r>
        <w:t>1 当土地未被 任何意向用地者占有时，应选择自愿转让开发前提进行估价；</w:t>
      </w:r>
    </w:p>
    <w:p w14:paraId="73F4BD1F" w14:textId="73E8C79D" w:rsidR="002451CD" w:rsidRDefault="002451CD" w:rsidP="002451CD">
      <w:pPr>
        <w:pStyle w:val="13"/>
      </w:pPr>
      <w:r>
        <w:t>2 当土地已被该意向用地者占有时，应选择介于业主自行开发与自愿转让开发之间的某种前提进行估价；</w:t>
      </w:r>
    </w:p>
    <w:p w14:paraId="0F084F11" w14:textId="372E75D7" w:rsidR="002451CD" w:rsidRDefault="002451CD" w:rsidP="002451CD">
      <w:pPr>
        <w:pStyle w:val="13"/>
      </w:pPr>
      <w:r>
        <w:t>3 当土地已被其他意向用地者占有时，应选择介于自愿转让开发与被迫转让开发之间的某种前提进行估价；</w:t>
      </w:r>
    </w:p>
    <w:p w14:paraId="4CCDFBF1" w14:textId="1319E04F" w:rsidR="002451CD" w:rsidRDefault="002451CD" w:rsidP="002451CD">
      <w:pPr>
        <w:pStyle w:val="ab"/>
        <w:spacing w:before="62" w:after="62"/>
        <w:ind w:firstLine="482"/>
      </w:pPr>
      <w:r>
        <w:t>5.11 房地产投资信托基金物业评估</w:t>
      </w:r>
    </w:p>
    <w:p w14:paraId="1547324E" w14:textId="521EE707" w:rsidR="002451CD" w:rsidRDefault="002451CD" w:rsidP="002451CD">
      <w:pPr>
        <w:pStyle w:val="13"/>
        <w:ind w:firstLine="482"/>
      </w:pPr>
      <w:r w:rsidRPr="00C41D4B">
        <w:rPr>
          <w:b/>
          <w:bCs/>
        </w:rPr>
        <w:t>5.11.1</w:t>
      </w:r>
      <w:r>
        <w:rPr>
          <w:b/>
          <w:bCs/>
        </w:rPr>
        <w:t xml:space="preserve"> </w:t>
      </w:r>
      <w:r>
        <w:t>房地产投资信托基金物业评估，应区分房地产投资信托基金物业状况评价、其他房地产投资基金物业估价。</w:t>
      </w:r>
    </w:p>
    <w:p w14:paraId="6761A76F" w14:textId="224897B7" w:rsidR="002451CD" w:rsidRDefault="002451CD" w:rsidP="002451CD">
      <w:pPr>
        <w:pStyle w:val="13"/>
        <w:ind w:firstLine="482"/>
      </w:pPr>
      <w:r w:rsidRPr="00C41D4B">
        <w:rPr>
          <w:b/>
          <w:bCs/>
        </w:rPr>
        <w:t>5.11.2</w:t>
      </w:r>
      <w:r>
        <w:rPr>
          <w:b/>
          <w:bCs/>
        </w:rPr>
        <w:t xml:space="preserve"> </w:t>
      </w:r>
      <w:r>
        <w:t>房地产投资信托物业评估，应根据房地产投资信托基金发行上市、运营管理、退出市场及相关信息披露等的需要，可包括下列全部或部分内容：</w:t>
      </w:r>
    </w:p>
    <w:p w14:paraId="28614A02" w14:textId="1D9E03B7" w:rsidR="002451CD" w:rsidRDefault="002451CD" w:rsidP="002451CD">
      <w:pPr>
        <w:pStyle w:val="13"/>
      </w:pPr>
      <w:r>
        <w:t>1 信托物业状况评价</w:t>
      </w:r>
    </w:p>
    <w:p w14:paraId="3760EBCB" w14:textId="1591B090" w:rsidR="002451CD" w:rsidRDefault="002451CD" w:rsidP="002451CD">
      <w:pPr>
        <w:pStyle w:val="13"/>
      </w:pPr>
      <w:r>
        <w:t>2 信托物业市场调研，</w:t>
      </w:r>
    </w:p>
    <w:p w14:paraId="1C42A603" w14:textId="5F0B490F" w:rsidR="002451CD" w:rsidRDefault="002451CD" w:rsidP="002451CD">
      <w:pPr>
        <w:pStyle w:val="13"/>
      </w:pPr>
      <w:r>
        <w:t>3 信托物业价值评估</w:t>
      </w:r>
    </w:p>
    <w:p w14:paraId="43E77DB5" w14:textId="18AC72D3" w:rsidR="002451CD" w:rsidRDefault="002451CD" w:rsidP="002451CD">
      <w:pPr>
        <w:pStyle w:val="13"/>
        <w:ind w:firstLine="482"/>
      </w:pPr>
      <w:r w:rsidRPr="00C41D4B">
        <w:rPr>
          <w:b/>
          <w:bCs/>
        </w:rPr>
        <w:t>5.11.3</w:t>
      </w:r>
      <w:r>
        <w:t xml:space="preserve"> 信托物业价值评估，应符合下列规定：</w:t>
      </w:r>
    </w:p>
    <w:p w14:paraId="22CE6092" w14:textId="4EF7CC5B" w:rsidR="002451CD" w:rsidRDefault="002451CD" w:rsidP="002451CD">
      <w:pPr>
        <w:pStyle w:val="13"/>
      </w:pPr>
      <w:r>
        <w:t>1 应对信托物业的市场价值或其他价值、价格进行分析、测算和判断，并提供相关专业意见；</w:t>
      </w:r>
    </w:p>
    <w:p w14:paraId="625B9661" w14:textId="0670379B" w:rsidR="002451CD" w:rsidRDefault="002451CD" w:rsidP="002451CD">
      <w:pPr>
        <w:pStyle w:val="13"/>
      </w:pPr>
      <w:r>
        <w:t>2 宜采用报酬资本化法中的持有加转售模式；</w:t>
      </w:r>
    </w:p>
    <w:p w14:paraId="6EA5032B" w14:textId="39A6B504" w:rsidR="002451CD" w:rsidRDefault="002451CD" w:rsidP="002451CD">
      <w:pPr>
        <w:pStyle w:val="13"/>
      </w:pPr>
      <w:r>
        <w:t>3 应遵循一致性原则。当为同一估价目的，对同一房地产投资信托基金的同类物业在同一价值日期的价值进行评估，应采用相同的估价方法。</w:t>
      </w:r>
    </w:p>
    <w:p w14:paraId="4B777318" w14:textId="4DC6331F" w:rsidR="002451CD" w:rsidRDefault="002451CD" w:rsidP="002451CD">
      <w:pPr>
        <w:pStyle w:val="13"/>
      </w:pPr>
      <w:r>
        <w:t>4 应遵循一贯性原则当为同一估价目的，对同一房地产投资信托基金的同类物业在同一价值日期的价值进行评估，应采用相同的估价方法。</w:t>
      </w:r>
    </w:p>
    <w:p w14:paraId="40873DE7" w14:textId="7906D693" w:rsidR="002451CD" w:rsidRDefault="002451CD" w:rsidP="002451CD">
      <w:pPr>
        <w:pStyle w:val="13"/>
        <w:ind w:firstLine="482"/>
      </w:pPr>
      <w:r w:rsidRPr="00C41D4B">
        <w:rPr>
          <w:b/>
          <w:bCs/>
        </w:rPr>
        <w:t>5.11.4</w:t>
      </w:r>
      <w:r>
        <w:t xml:space="preserve"> 已出租的信托物业价值评估，应进行租赁状况调查和分析，查看估价对象的</w:t>
      </w:r>
      <w:r>
        <w:rPr>
          <w:rFonts w:hint="eastAsia"/>
        </w:rPr>
        <w:t>租赁合同原件，并应与执行财务、法律尽职调查的专业人员进行沟通，从不同的</w:t>
      </w:r>
      <w:r>
        <w:rPr>
          <w:rFonts w:hint="eastAsia"/>
        </w:rPr>
        <w:lastRenderedPageBreak/>
        <w:t>信息来源交叉检查估价委托人提供的租赁信息的真实性和客观性。</w:t>
      </w:r>
    </w:p>
    <w:p w14:paraId="1F5EAD1F" w14:textId="63555EE2" w:rsidR="002451CD" w:rsidRDefault="002451CD" w:rsidP="002451CD">
      <w:pPr>
        <w:pStyle w:val="13"/>
        <w:ind w:firstLine="482"/>
      </w:pPr>
      <w:r w:rsidRPr="00C41D4B">
        <w:rPr>
          <w:b/>
          <w:bCs/>
        </w:rPr>
        <w:t>5.11.5</w:t>
      </w:r>
      <w:r>
        <w:t xml:space="preserve"> 信托物业状况评价，应对信托物业的实物状况、权益状况和区位状况进行调查、描述、分析和评定，并提供相关专业意见。</w:t>
      </w:r>
    </w:p>
    <w:p w14:paraId="0E244ED0" w14:textId="12FC3E7D" w:rsidR="002451CD" w:rsidRDefault="002451CD" w:rsidP="002451CD">
      <w:pPr>
        <w:pStyle w:val="13"/>
        <w:ind w:firstLine="482"/>
      </w:pPr>
      <w:r w:rsidRPr="00C41D4B">
        <w:rPr>
          <w:b/>
          <w:bCs/>
        </w:rPr>
        <w:t>5.11.6</w:t>
      </w:r>
      <w:r>
        <w:t xml:space="preserve"> 信托物业市场调研，应对信托物业所在地区的经济社会发展状况、房地产市场状况及信托物业自身有关市场状况进行调查、描述、分析和预测，并提供相关专业意</w:t>
      </w:r>
      <w:r>
        <w:rPr>
          <w:rFonts w:hint="eastAsia"/>
        </w:rPr>
        <w:t>见。</w:t>
      </w:r>
    </w:p>
    <w:p w14:paraId="21F03F28" w14:textId="074431A9" w:rsidR="002451CD" w:rsidRDefault="002451CD" w:rsidP="002451CD">
      <w:pPr>
        <w:pStyle w:val="13"/>
        <w:ind w:firstLine="482"/>
      </w:pPr>
      <w:r w:rsidRPr="00C41D4B">
        <w:rPr>
          <w:b/>
          <w:bCs/>
        </w:rPr>
        <w:t>5.11.7</w:t>
      </w:r>
      <w:r>
        <w:t xml:space="preserve"> 其他房地产投资基金物业估价，应根据具体情况，按相应估价目的的房地产</w:t>
      </w:r>
      <w:r>
        <w:rPr>
          <w:rFonts w:hint="eastAsia"/>
        </w:rPr>
        <w:t>估价进行。</w:t>
      </w:r>
    </w:p>
    <w:p w14:paraId="18B3A0D9" w14:textId="3AB64B5F" w:rsidR="002451CD" w:rsidRDefault="002451CD" w:rsidP="002451CD">
      <w:pPr>
        <w:pStyle w:val="ab"/>
        <w:spacing w:before="62" w:after="62"/>
        <w:ind w:firstLine="482"/>
      </w:pPr>
      <w:r>
        <w:t>5.12 为财务报告服务的房地产估价</w:t>
      </w:r>
    </w:p>
    <w:p w14:paraId="3E2E6AF7" w14:textId="1B847D14" w:rsidR="002451CD" w:rsidRDefault="002451CD" w:rsidP="002451CD">
      <w:pPr>
        <w:pStyle w:val="13"/>
        <w:ind w:firstLine="482"/>
      </w:pPr>
      <w:r w:rsidRPr="00C41D4B">
        <w:rPr>
          <w:b/>
          <w:bCs/>
        </w:rPr>
        <w:t>5.12.1</w:t>
      </w:r>
      <w:r>
        <w:t xml:space="preserve"> 为财务报告服务的房地产估价，应区分投资性房地产公允价值评估，作为存货的房地产可变现净值评估，存在减值迹象的房地产可回收金额评估，受赠、合并对价分摊等涉及的房地产入账价值评估，境外上市公司的固定资产重估等。</w:t>
      </w:r>
    </w:p>
    <w:p w14:paraId="15CA602C" w14:textId="74C000DD" w:rsidR="002451CD" w:rsidRDefault="002451CD" w:rsidP="002451CD">
      <w:pPr>
        <w:pStyle w:val="13"/>
        <w:ind w:firstLine="482"/>
      </w:pPr>
      <w:r w:rsidRPr="00C41D4B">
        <w:rPr>
          <w:b/>
          <w:bCs/>
        </w:rPr>
        <w:t>5.12.3</w:t>
      </w:r>
      <w:r>
        <w:t xml:space="preserve"> 从事为财务报告服务的房地产估价业务时，应与估价委托人及执行审计业务的注册会计师进行必要的沟通，熟悉相关会计准则、会计制度，了解相关会计确认、计量和报告的要求，理解公允价值、现值、可变现净值、重置成本、历史成本等会计计量属性及其与房地产估价相关价值、价格的联系和区别。</w:t>
      </w:r>
    </w:p>
    <w:p w14:paraId="0FD834AE" w14:textId="3A6B5D51" w:rsidR="002451CD" w:rsidRDefault="002451CD" w:rsidP="002451CD">
      <w:pPr>
        <w:pStyle w:val="13"/>
        <w:ind w:firstLine="482"/>
      </w:pPr>
      <w:r w:rsidRPr="00C41D4B">
        <w:rPr>
          <w:b/>
          <w:bCs/>
        </w:rPr>
        <w:t>5.12.4</w:t>
      </w:r>
      <w:r>
        <w:t xml:space="preserve"> 为财务报告服务的房地产估价，应根据相关要求，选择资产负债表日、减值测试日、购买日、转换当日、首次执行日等某一特定日期为价值时点。</w:t>
      </w:r>
    </w:p>
    <w:p w14:paraId="7469AFA1" w14:textId="2EC4C3D5" w:rsidR="002451CD" w:rsidRDefault="002451CD" w:rsidP="002451CD">
      <w:pPr>
        <w:pStyle w:val="13"/>
        <w:ind w:firstLine="482"/>
      </w:pPr>
      <w:r w:rsidRPr="00C41D4B">
        <w:rPr>
          <w:b/>
          <w:bCs/>
        </w:rPr>
        <w:t>5.12.5</w:t>
      </w:r>
      <w:r>
        <w:t xml:space="preserve"> 为财务报告服务的房地产估价，应根据相应的公允价值、现值、可变现净值、重置成本、历史成本等等会计计量属性，选用比较法、收益法、假设开发法、成本法等方法评估相应的价值或价格。对采用公允价值计量的，应评估市场价值。</w:t>
      </w:r>
    </w:p>
    <w:p w14:paraId="1583AB14" w14:textId="168F9E99" w:rsidR="002451CD" w:rsidRDefault="002451CD" w:rsidP="002451CD">
      <w:pPr>
        <w:pStyle w:val="ab"/>
        <w:spacing w:before="62" w:after="62"/>
        <w:ind w:firstLine="482"/>
      </w:pPr>
      <w:r>
        <w:t>5.13 企业各种经济活动涉及的房地产估价</w:t>
      </w:r>
    </w:p>
    <w:p w14:paraId="7746CDD8" w14:textId="657FCBE1" w:rsidR="002451CD" w:rsidRDefault="002451CD" w:rsidP="002451CD">
      <w:pPr>
        <w:pStyle w:val="13"/>
        <w:ind w:firstLine="482"/>
      </w:pPr>
      <w:r w:rsidRPr="00C41D4B">
        <w:rPr>
          <w:b/>
          <w:bCs/>
        </w:rPr>
        <w:t>5.13.1</w:t>
      </w:r>
      <w:r>
        <w:t xml:space="preserve"> 企业各种经济活动涉及的房地产估价，包括用房地产作价出资设立企业，以及企业改制、上市、资产重组、资产置换、收购资产、出售资产、产权转让、对外投资、合资、合作、租赁、合并、分立、清算、抵债等经济活动中的房地产估价。</w:t>
      </w:r>
    </w:p>
    <w:p w14:paraId="7253BE6B" w14:textId="6912F286" w:rsidR="002451CD" w:rsidRDefault="002451CD" w:rsidP="002451CD">
      <w:pPr>
        <w:pStyle w:val="13"/>
        <w:ind w:firstLine="482"/>
      </w:pPr>
      <w:r w:rsidRPr="00C41D4B">
        <w:rPr>
          <w:b/>
          <w:bCs/>
        </w:rPr>
        <w:t>5.13.2</w:t>
      </w:r>
      <w:r>
        <w:t xml:space="preserve"> 企业各种经济活动涉及的房地产估价，应根据企业经济活动类型，按相应估价目的的房地产估价进行。对于房地产权属发生转移的，应按相应的房地产转让行为进</w:t>
      </w:r>
      <w:r>
        <w:rPr>
          <w:rFonts w:hint="eastAsia"/>
        </w:rPr>
        <w:t>行估价。</w:t>
      </w:r>
    </w:p>
    <w:p w14:paraId="11BCFEE4" w14:textId="6639DDDD" w:rsidR="002451CD" w:rsidRDefault="002451CD" w:rsidP="002451CD">
      <w:pPr>
        <w:pStyle w:val="13"/>
        <w:ind w:firstLine="482"/>
      </w:pPr>
      <w:r w:rsidRPr="00C41D4B">
        <w:rPr>
          <w:b/>
          <w:bCs/>
        </w:rPr>
        <w:t>5.13.3</w:t>
      </w:r>
      <w:r>
        <w:t xml:space="preserve"> 企业各种经济活动涉及的房地产估价，应调查估价对象合法改变用途的可能性，并分析、判断以“维持现状前提”或“改变用途前提”进行估价。</w:t>
      </w:r>
    </w:p>
    <w:p w14:paraId="1A8B3996" w14:textId="2DD5A728" w:rsidR="002451CD" w:rsidRDefault="002451CD" w:rsidP="002451CD">
      <w:pPr>
        <w:pStyle w:val="13"/>
        <w:ind w:firstLine="482"/>
      </w:pPr>
      <w:r w:rsidRPr="00C41D4B">
        <w:rPr>
          <w:b/>
          <w:bCs/>
        </w:rPr>
        <w:t>5.13.4</w:t>
      </w:r>
      <w:r>
        <w:t xml:space="preserve"> 用房地产作价出资设立企业和关联交易涉及的房地产估价，应评估市场价值。</w:t>
      </w:r>
    </w:p>
    <w:p w14:paraId="6A2CF147" w14:textId="0F92DF3D" w:rsidR="002451CD" w:rsidRDefault="002451CD" w:rsidP="002451CD">
      <w:pPr>
        <w:pStyle w:val="13"/>
        <w:ind w:firstLine="482"/>
      </w:pPr>
      <w:r w:rsidRPr="00C41D4B">
        <w:rPr>
          <w:b/>
          <w:bCs/>
        </w:rPr>
        <w:t>5.13.5</w:t>
      </w:r>
      <w:r>
        <w:t xml:space="preserve"> 企业破产清算等强制处分涉及的房地产估价，评估价值的影响因素应包</w:t>
      </w:r>
      <w:r>
        <w:lastRenderedPageBreak/>
        <w:t>括估价对象的通用性、可分割转让性，改变用途、更新改造等的合法性和可能性及变现时限、</w:t>
      </w:r>
      <w:r>
        <w:rPr>
          <w:rFonts w:hint="eastAsia"/>
        </w:rPr>
        <w:t>对潜在购买者范围的限制等。</w:t>
      </w:r>
    </w:p>
    <w:p w14:paraId="59311D10" w14:textId="3A376DC9" w:rsidR="002451CD" w:rsidRDefault="002451CD" w:rsidP="002451CD">
      <w:pPr>
        <w:pStyle w:val="ab"/>
        <w:spacing w:before="62" w:after="62"/>
        <w:ind w:firstLine="482"/>
      </w:pPr>
      <w:r>
        <w:t>5.14 房地产纠纷估价</w:t>
      </w:r>
    </w:p>
    <w:p w14:paraId="4C34DAB5" w14:textId="4B335DA6" w:rsidR="002451CD" w:rsidRDefault="002451CD" w:rsidP="002451CD">
      <w:pPr>
        <w:pStyle w:val="13"/>
        <w:ind w:firstLine="482"/>
      </w:pPr>
      <w:r w:rsidRPr="00C41D4B">
        <w:rPr>
          <w:b/>
          <w:bCs/>
        </w:rPr>
        <w:t>5.14.1</w:t>
      </w:r>
      <w:r>
        <w:t xml:space="preserve"> 房地产纠纷估价，应对有争议的房地产评估价值、、赔偿金额、补偿金额、交易价格、市场价格、租金、成本、费用分摊、价值分配等进行鉴别和判断，提出客观、公平、合理的鉴定意见，为和解、调解、仲裁、行政裁决、行政复议、诉讼等方式解决纠纷提供相关参考依据或证据。</w:t>
      </w:r>
    </w:p>
    <w:p w14:paraId="22B7412D" w14:textId="6DD857A9" w:rsidR="002451CD" w:rsidRDefault="002451CD" w:rsidP="002451CD">
      <w:pPr>
        <w:pStyle w:val="13"/>
        <w:ind w:firstLine="482"/>
      </w:pPr>
      <w:r w:rsidRPr="00C41D4B">
        <w:rPr>
          <w:b/>
          <w:bCs/>
        </w:rPr>
        <w:t>5.14.2</w:t>
      </w:r>
      <w:r>
        <w:rPr>
          <w:b/>
          <w:bCs/>
        </w:rPr>
        <w:t xml:space="preserve"> </w:t>
      </w:r>
      <w:r>
        <w:t>房地产纠纷估价，应根据纠纷的类型，按相应估价目的的房地产估价进行。</w:t>
      </w:r>
    </w:p>
    <w:p w14:paraId="6B4C12A4" w14:textId="04C4A003" w:rsidR="002451CD" w:rsidRDefault="002451CD" w:rsidP="002451CD">
      <w:pPr>
        <w:pStyle w:val="13"/>
        <w:ind w:firstLine="482"/>
      </w:pPr>
      <w:r w:rsidRPr="00C41D4B">
        <w:rPr>
          <w:b/>
          <w:bCs/>
        </w:rPr>
        <w:t>5.14.3</w:t>
      </w:r>
      <w:r>
        <w:t xml:space="preserve"> 房地产纠纷估价，应</w:t>
      </w:r>
      <w:proofErr w:type="gramStart"/>
      <w:r>
        <w:t>注了解</w:t>
      </w:r>
      <w:proofErr w:type="gramEnd"/>
      <w:r>
        <w:t>纠纷双方的利益诉求，估价结果应平衡纠纷双方的利益，有利于化解纠纷。</w:t>
      </w:r>
    </w:p>
    <w:p w14:paraId="60741FBA" w14:textId="28DE7391" w:rsidR="002451CD" w:rsidRDefault="002451CD" w:rsidP="002451CD">
      <w:pPr>
        <w:pStyle w:val="ab"/>
        <w:spacing w:before="62" w:after="62"/>
        <w:ind w:firstLine="482"/>
      </w:pPr>
      <w:r>
        <w:t>5.15 其他目的的房地产估价</w:t>
      </w:r>
    </w:p>
    <w:p w14:paraId="61F2100A" w14:textId="2399AE8A" w:rsidR="002451CD" w:rsidRDefault="002451CD" w:rsidP="002451CD">
      <w:pPr>
        <w:pStyle w:val="13"/>
        <w:ind w:firstLine="482"/>
      </w:pPr>
      <w:r w:rsidRPr="00C41D4B">
        <w:rPr>
          <w:b/>
          <w:bCs/>
        </w:rPr>
        <w:t>5.15.1</w:t>
      </w:r>
      <w:r>
        <w:t xml:space="preserve"> 其他目的的房地产估价，应区分分家析产估价，为办理出国移民提供财产证明的估价，为行政机关处理、纪律检查部门查处、检察机关立案等需要而进行的估价</w:t>
      </w:r>
      <w:r w:rsidR="003068F8">
        <w:t>，</w:t>
      </w:r>
      <w:r>
        <w:t>改变土地使用条件补地价评估，国有土地上房屋征收预评估等。</w:t>
      </w:r>
    </w:p>
    <w:p w14:paraId="1E5E37EF" w14:textId="4BBAAE5B" w:rsidR="002451CD" w:rsidRDefault="002451CD" w:rsidP="002451CD">
      <w:pPr>
        <w:pStyle w:val="13"/>
        <w:ind w:firstLine="482"/>
      </w:pPr>
      <w:r w:rsidRPr="00C41D4B">
        <w:rPr>
          <w:b/>
          <w:bCs/>
        </w:rPr>
        <w:t>5.15.2</w:t>
      </w:r>
      <w:r>
        <w:rPr>
          <w:b/>
          <w:bCs/>
        </w:rPr>
        <w:t xml:space="preserve"> </w:t>
      </w:r>
      <w:r>
        <w:t>分家析产估价，应符合下列规定：</w:t>
      </w:r>
    </w:p>
    <w:p w14:paraId="1F949FAC" w14:textId="7F6F4E7F" w:rsidR="002451CD" w:rsidRDefault="002451CD" w:rsidP="002451CD">
      <w:pPr>
        <w:pStyle w:val="13"/>
      </w:pPr>
      <w:r>
        <w:t>1 应区分财产分割的分家析产估价和财产不分割的分家析产估价</w:t>
      </w:r>
    </w:p>
    <w:p w14:paraId="23BE46C7" w14:textId="20EA63C1" w:rsidR="002451CD" w:rsidRDefault="002451CD" w:rsidP="002451CD">
      <w:pPr>
        <w:pStyle w:val="13"/>
      </w:pPr>
      <w:r>
        <w:t>2 财产分割的分家析产估价，应按本规范对房地产分割估价的规定执行；</w:t>
      </w:r>
    </w:p>
    <w:p w14:paraId="55AE0A19" w14:textId="6B44FF1F" w:rsidR="002451CD" w:rsidRDefault="002451CD" w:rsidP="002451CD">
      <w:pPr>
        <w:pStyle w:val="13"/>
      </w:pPr>
      <w:r>
        <w:t>3 财产不分割的分家析产估价，宜评估财产的市场价值。</w:t>
      </w:r>
    </w:p>
    <w:p w14:paraId="10C637B4" w14:textId="792FD214" w:rsidR="002451CD" w:rsidRDefault="002451CD" w:rsidP="002451CD">
      <w:pPr>
        <w:pStyle w:val="13"/>
        <w:ind w:firstLine="482"/>
      </w:pPr>
      <w:r w:rsidRPr="00C41D4B">
        <w:rPr>
          <w:b/>
          <w:bCs/>
        </w:rPr>
        <w:t>5.15.3</w:t>
      </w:r>
      <w:r>
        <w:rPr>
          <w:b/>
          <w:bCs/>
        </w:rPr>
        <w:t xml:space="preserve"> </w:t>
      </w:r>
      <w:r>
        <w:t>为出境提供证明的估价，应评估财产的市场价值</w:t>
      </w:r>
    </w:p>
    <w:p w14:paraId="1F53A6F8" w14:textId="70EB8319" w:rsidR="002451CD" w:rsidRDefault="002451CD" w:rsidP="002451CD">
      <w:pPr>
        <w:pStyle w:val="13"/>
        <w:ind w:firstLine="482"/>
      </w:pPr>
      <w:r w:rsidRPr="00C41D4B">
        <w:rPr>
          <w:b/>
          <w:bCs/>
        </w:rPr>
        <w:t>5.15.4</w:t>
      </w:r>
      <w:r>
        <w:t xml:space="preserve"> 为行政机关处理、经委检查部门查处、检察机关立案等服务的估价，应慎重确定价值时点等估价基本事项。</w:t>
      </w:r>
    </w:p>
    <w:p w14:paraId="673942DF" w14:textId="2D9BD4B8" w:rsidR="002451CD" w:rsidRDefault="002451CD" w:rsidP="002451CD">
      <w:pPr>
        <w:pStyle w:val="13"/>
        <w:ind w:firstLine="482"/>
      </w:pPr>
      <w:r w:rsidRPr="00C41D4B">
        <w:rPr>
          <w:b/>
          <w:bCs/>
        </w:rPr>
        <w:t>5.15.5</w:t>
      </w:r>
      <w:r>
        <w:rPr>
          <w:b/>
          <w:bCs/>
        </w:rPr>
        <w:t xml:space="preserve"> </w:t>
      </w:r>
      <w:r>
        <w:t>改变土地使用条件补地价评估，应调查变更土地用途、调整容积率、延长土地使用期限等改变土地使用条件需要补缴地价的原因，明确需要补缴地价的内涵，以相</w:t>
      </w:r>
      <w:r>
        <w:rPr>
          <w:rFonts w:hint="eastAsia"/>
        </w:rPr>
        <w:t>关部门同意补缴地价的日期为价值时点，评估新土地使用条件下的总地价和原土地使用条件下的总地价，以该两者的差额作为评估出的需要补缴的地价。但国家和需要补缴地建设用地使用权所在地以需要补缴的地价确定有特别规定的，应按其规定执行。</w:t>
      </w:r>
    </w:p>
    <w:p w14:paraId="1AC7497E" w14:textId="77777777" w:rsidR="002451CD" w:rsidRDefault="002451CD" w:rsidP="00AF7342">
      <w:pPr>
        <w:pStyle w:val="a9"/>
        <w:spacing w:before="62" w:after="62"/>
      </w:pPr>
      <w:r>
        <w:t>6 估价结果</w:t>
      </w:r>
    </w:p>
    <w:p w14:paraId="6A5B3080" w14:textId="7EE9E4AF" w:rsidR="002451CD" w:rsidRDefault="002451CD" w:rsidP="002451CD">
      <w:pPr>
        <w:pStyle w:val="13"/>
        <w:ind w:firstLine="482"/>
      </w:pPr>
      <w:r w:rsidRPr="00C41D4B">
        <w:rPr>
          <w:b/>
          <w:bCs/>
        </w:rPr>
        <w:t>6.0.1</w:t>
      </w:r>
      <w:r>
        <w:t xml:space="preserve"> 估价结果应包括评估价值和相关专业意见。</w:t>
      </w:r>
    </w:p>
    <w:p w14:paraId="47609483" w14:textId="38DE4838" w:rsidR="002451CD" w:rsidRDefault="002451CD" w:rsidP="002451CD">
      <w:pPr>
        <w:pStyle w:val="13"/>
        <w:ind w:firstLine="482"/>
      </w:pPr>
      <w:r w:rsidRPr="00C41D4B">
        <w:rPr>
          <w:b/>
          <w:bCs/>
        </w:rPr>
        <w:t>6.0.2</w:t>
      </w:r>
      <w:r>
        <w:t xml:space="preserve"> 在确定估价结果前，应对所选用的估价方法的测算结果进行校核，同时选用两种或两种以上估价方法进行估价的，还应对不同估价方法的测算结果进行比较分析。</w:t>
      </w:r>
    </w:p>
    <w:p w14:paraId="5F2E42A6" w14:textId="0EDC96B8" w:rsidR="002451CD" w:rsidRDefault="002451CD" w:rsidP="002451CD">
      <w:pPr>
        <w:pStyle w:val="13"/>
        <w:ind w:firstLine="482"/>
      </w:pPr>
      <w:r w:rsidRPr="00C41D4B">
        <w:rPr>
          <w:b/>
          <w:bCs/>
        </w:rPr>
        <w:lastRenderedPageBreak/>
        <w:t>6.0.3</w:t>
      </w:r>
      <w:r>
        <w:t xml:space="preserve"> 在对测算结果进行校核和比较分析时，应做下列检查，找出测算结果存在差错和造成各个测算结果之间差异的原因，并应改正错误，消除不合理的差异：</w:t>
      </w:r>
    </w:p>
    <w:p w14:paraId="0CBFCB13" w14:textId="65FF6D93" w:rsidR="002451CD" w:rsidRDefault="002451CD" w:rsidP="002451CD">
      <w:pPr>
        <w:pStyle w:val="13"/>
      </w:pPr>
      <w:r>
        <w:t>1 估价计算的正确性；</w:t>
      </w:r>
    </w:p>
    <w:p w14:paraId="34DE598A" w14:textId="25073654" w:rsidR="002451CD" w:rsidRDefault="002451CD" w:rsidP="002451CD">
      <w:pPr>
        <w:pStyle w:val="13"/>
      </w:pPr>
      <w:r>
        <w:t>2 估价基础数据的正确性；</w:t>
      </w:r>
    </w:p>
    <w:p w14:paraId="511DE178" w14:textId="67186667" w:rsidR="002451CD" w:rsidRDefault="002451CD" w:rsidP="002451CD">
      <w:pPr>
        <w:pStyle w:val="13"/>
      </w:pPr>
      <w:r>
        <w:t>3 估价参数的合理性；</w:t>
      </w:r>
    </w:p>
    <w:p w14:paraId="025F8660" w14:textId="3C468FFC" w:rsidR="002451CD" w:rsidRDefault="002451CD" w:rsidP="002451CD">
      <w:pPr>
        <w:pStyle w:val="13"/>
      </w:pPr>
      <w:r>
        <w:t>4 计算公式选用恰当性；</w:t>
      </w:r>
    </w:p>
    <w:p w14:paraId="25B2B2D2" w14:textId="1D5E2546" w:rsidR="002451CD" w:rsidRDefault="002451CD" w:rsidP="002451CD">
      <w:pPr>
        <w:pStyle w:val="13"/>
      </w:pPr>
      <w:r>
        <w:t>5 不同估价方法的估价对象范围一致性；</w:t>
      </w:r>
    </w:p>
    <w:p w14:paraId="5382E0A2" w14:textId="1330E254" w:rsidR="002451CD" w:rsidRDefault="002451CD" w:rsidP="002451CD">
      <w:pPr>
        <w:pStyle w:val="13"/>
      </w:pPr>
      <w:r>
        <w:t>6 不同估价方法的估价前提一致性；</w:t>
      </w:r>
    </w:p>
    <w:p w14:paraId="5EF07620" w14:textId="7DE3715E" w:rsidR="002451CD" w:rsidRDefault="002451CD" w:rsidP="002451CD">
      <w:pPr>
        <w:pStyle w:val="13"/>
      </w:pPr>
      <w:r>
        <w:t>7 估价方法的适用性；</w:t>
      </w:r>
    </w:p>
    <w:p w14:paraId="49F08A35" w14:textId="0AE27DB0" w:rsidR="002451CD" w:rsidRDefault="002451CD" w:rsidP="002451CD">
      <w:pPr>
        <w:pStyle w:val="13"/>
      </w:pPr>
      <w:r>
        <w:t>8 估价假设合理性；</w:t>
      </w:r>
    </w:p>
    <w:p w14:paraId="2BF2F244" w14:textId="48A8726A" w:rsidR="002451CD" w:rsidRDefault="002451CD" w:rsidP="002451CD">
      <w:pPr>
        <w:pStyle w:val="13"/>
      </w:pPr>
      <w:r>
        <w:t>9 估价依据的正确性</w:t>
      </w:r>
    </w:p>
    <w:p w14:paraId="2244DA78" w14:textId="2FA44D15" w:rsidR="002451CD" w:rsidRDefault="002451CD" w:rsidP="002451CD">
      <w:pPr>
        <w:pStyle w:val="13"/>
      </w:pPr>
      <w:r>
        <w:t>10 估价原则的正确性；</w:t>
      </w:r>
    </w:p>
    <w:p w14:paraId="467DF72C" w14:textId="75322CD4" w:rsidR="002451CD" w:rsidRDefault="002451CD" w:rsidP="002451CD">
      <w:pPr>
        <w:pStyle w:val="13"/>
      </w:pPr>
      <w:r>
        <w:t>11 房地产市场状况的特殊性。</w:t>
      </w:r>
    </w:p>
    <w:p w14:paraId="69803B0F" w14:textId="00A2C81A" w:rsidR="002451CD" w:rsidRDefault="002451CD" w:rsidP="002451CD">
      <w:pPr>
        <w:pStyle w:val="13"/>
        <w:ind w:firstLine="482"/>
      </w:pPr>
      <w:r w:rsidRPr="00C41D4B">
        <w:rPr>
          <w:b/>
          <w:bCs/>
        </w:rPr>
        <w:t>6.0.4</w:t>
      </w:r>
      <w:r>
        <w:t xml:space="preserve"> 估价基础数据和参数的来源或确定的依据或方法应在估价报告中说明。估价参数应优先选用房地产估价行业组织的估价参数；不选用的，应在估价报告中陈述理由。</w:t>
      </w:r>
    </w:p>
    <w:p w14:paraId="776693C0" w14:textId="495BB0A5" w:rsidR="002451CD" w:rsidRDefault="002451CD" w:rsidP="002451CD">
      <w:pPr>
        <w:pStyle w:val="13"/>
        <w:ind w:firstLine="482"/>
      </w:pPr>
      <w:r w:rsidRPr="00C41D4B">
        <w:rPr>
          <w:b/>
          <w:bCs/>
        </w:rPr>
        <w:t>6.0.5</w:t>
      </w:r>
      <w:r>
        <w:t xml:space="preserve"> 综合测算结果的确定，应符合下列规定：</w:t>
      </w:r>
    </w:p>
    <w:p w14:paraId="353F1CC5" w14:textId="24FAE80E" w:rsidR="002451CD" w:rsidRDefault="002451CD" w:rsidP="002451CD">
      <w:pPr>
        <w:pStyle w:val="13"/>
      </w:pPr>
      <w:r>
        <w:t>1 对同时选用两种或两种以上估价方法进行估价的，应在确认各个测算结果无差错及其之间差异的合理性后，根据估价目的及不同估价方法的适用程度、数据可靠程度、测算结果之间差异程度等情况，选用简单算术平均、加权算术平均等方法得出综合测算结果，并应在估价报告中说明得出综合测算结果的方法和理由。</w:t>
      </w:r>
    </w:p>
    <w:p w14:paraId="513F7A52" w14:textId="035FC3F7" w:rsidR="002451CD" w:rsidRDefault="002451CD" w:rsidP="002451CD">
      <w:pPr>
        <w:pStyle w:val="13"/>
      </w:pPr>
      <w:r>
        <w:t>2 选用一种估价方法进行估价的，应在确认测算结果无差错后，将其作为测算结果。</w:t>
      </w:r>
    </w:p>
    <w:p w14:paraId="0B4483F1" w14:textId="35CB3E07" w:rsidR="002451CD" w:rsidRDefault="002451CD" w:rsidP="002451CD">
      <w:pPr>
        <w:pStyle w:val="13"/>
        <w:ind w:firstLine="482"/>
      </w:pPr>
      <w:r w:rsidRPr="00C41D4B">
        <w:rPr>
          <w:b/>
          <w:bCs/>
        </w:rPr>
        <w:t>6.0.6</w:t>
      </w:r>
      <w:r>
        <w:t xml:space="preserve"> 最终评估价值的确定，应符合下列规定：</w:t>
      </w:r>
    </w:p>
    <w:p w14:paraId="5E867A75" w14:textId="089A94D0" w:rsidR="002451CD" w:rsidRDefault="002451CD" w:rsidP="002451CD">
      <w:pPr>
        <w:pStyle w:val="13"/>
      </w:pPr>
      <w:r>
        <w:t>1 应根据未能在综合测算结果中反映的价值或价格影响因素，对综合测算结果进行适当调整后确定最终评价价值，并应在估价报告中陈述调整的理由；</w:t>
      </w:r>
    </w:p>
    <w:p w14:paraId="6814C666" w14:textId="4CD3E49C" w:rsidR="002451CD" w:rsidRDefault="002451CD" w:rsidP="002451CD">
      <w:pPr>
        <w:pStyle w:val="13"/>
      </w:pPr>
      <w:r>
        <w:t>2 当确认不存在未能在综合测算结果中反映的价值价格的影响因素时，可直接将综合测算结果确定为最终评估价值；</w:t>
      </w:r>
    </w:p>
    <w:p w14:paraId="000C267A" w14:textId="378BB2C3" w:rsidR="002451CD" w:rsidRDefault="002451CD" w:rsidP="002451CD">
      <w:pPr>
        <w:pStyle w:val="13"/>
      </w:pPr>
      <w:r>
        <w:t>3 最终评估价值的精度应满足估价目的需要的精度，并应将其误差控制在合理范围</w:t>
      </w:r>
      <w:r>
        <w:rPr>
          <w:rFonts w:hint="eastAsia"/>
        </w:rPr>
        <w:t>内。</w:t>
      </w:r>
    </w:p>
    <w:p w14:paraId="6D2CCD9D" w14:textId="0C118581" w:rsidR="002451CD" w:rsidRDefault="002451CD" w:rsidP="00AF7342">
      <w:pPr>
        <w:pStyle w:val="a9"/>
        <w:spacing w:before="62" w:after="62"/>
      </w:pPr>
      <w:r>
        <w:t>7 估价报告</w:t>
      </w:r>
    </w:p>
    <w:p w14:paraId="6AD9022F" w14:textId="41295F71" w:rsidR="002451CD" w:rsidRDefault="002451CD" w:rsidP="002451CD">
      <w:pPr>
        <w:pStyle w:val="13"/>
        <w:ind w:firstLine="482"/>
      </w:pPr>
      <w:r w:rsidRPr="00C41D4B">
        <w:rPr>
          <w:b/>
          <w:bCs/>
        </w:rPr>
        <w:t>7.0.1</w:t>
      </w:r>
      <w:r>
        <w:t xml:space="preserve"> 估价报告应采取书面形式，并应真实、客观、准确、完整、清晰、规范。</w:t>
      </w:r>
    </w:p>
    <w:p w14:paraId="2235C02F" w14:textId="745B1200" w:rsidR="002451CD" w:rsidRDefault="002451CD" w:rsidP="002451CD">
      <w:pPr>
        <w:pStyle w:val="13"/>
        <w:ind w:firstLine="482"/>
      </w:pPr>
      <w:r w:rsidRPr="00C41D4B">
        <w:rPr>
          <w:b/>
          <w:bCs/>
        </w:rPr>
        <w:t>7.0.2</w:t>
      </w:r>
      <w:r>
        <w:t xml:space="preserve"> 叙述式估价报告应包括下列部分：</w:t>
      </w:r>
    </w:p>
    <w:p w14:paraId="031A8F57" w14:textId="60C153D8" w:rsidR="002451CD" w:rsidRDefault="002451CD" w:rsidP="002451CD">
      <w:pPr>
        <w:pStyle w:val="13"/>
      </w:pPr>
      <w:r>
        <w:t>1 封面；</w:t>
      </w:r>
    </w:p>
    <w:p w14:paraId="2CF99BED" w14:textId="546D9740" w:rsidR="002451CD" w:rsidRDefault="002451CD" w:rsidP="002451CD">
      <w:pPr>
        <w:pStyle w:val="13"/>
      </w:pPr>
      <w:r>
        <w:lastRenderedPageBreak/>
        <w:t>2 致估价委托人函；</w:t>
      </w:r>
    </w:p>
    <w:p w14:paraId="7EDFAA17" w14:textId="2688F1BB" w:rsidR="002451CD" w:rsidRDefault="002451CD" w:rsidP="002451CD">
      <w:pPr>
        <w:pStyle w:val="13"/>
      </w:pPr>
      <w:r>
        <w:t>3 目录；</w:t>
      </w:r>
    </w:p>
    <w:p w14:paraId="658D20C6" w14:textId="31DDD8A4" w:rsidR="002451CD" w:rsidRDefault="002451CD" w:rsidP="002451CD">
      <w:pPr>
        <w:pStyle w:val="13"/>
      </w:pPr>
      <w:r>
        <w:t>4 估价师声明；</w:t>
      </w:r>
    </w:p>
    <w:p w14:paraId="722F45D6" w14:textId="1C3C9A8C" w:rsidR="002451CD" w:rsidRDefault="002451CD" w:rsidP="002451CD">
      <w:pPr>
        <w:pStyle w:val="13"/>
      </w:pPr>
      <w:r>
        <w:t>5 估价假设和限制条件；</w:t>
      </w:r>
    </w:p>
    <w:p w14:paraId="1A9710E4" w14:textId="4805F72B" w:rsidR="002451CD" w:rsidRDefault="002451CD" w:rsidP="002451CD">
      <w:pPr>
        <w:pStyle w:val="13"/>
      </w:pPr>
      <w:r>
        <w:t>6 估价结果报告；</w:t>
      </w:r>
    </w:p>
    <w:p w14:paraId="306FAEE8" w14:textId="0CEA9BEB" w:rsidR="002451CD" w:rsidRDefault="002451CD" w:rsidP="002451CD">
      <w:pPr>
        <w:pStyle w:val="13"/>
      </w:pPr>
      <w:r>
        <w:t>7 估价技术报告；</w:t>
      </w:r>
    </w:p>
    <w:p w14:paraId="4795B6F9" w14:textId="18F0A91B" w:rsidR="002451CD" w:rsidRDefault="002451CD" w:rsidP="002451CD">
      <w:pPr>
        <w:pStyle w:val="13"/>
      </w:pPr>
      <w:r>
        <w:t>8 附件</w:t>
      </w:r>
    </w:p>
    <w:p w14:paraId="55994D3E" w14:textId="47A23AC6" w:rsidR="002451CD" w:rsidRDefault="002451CD" w:rsidP="002451CD">
      <w:pPr>
        <w:pStyle w:val="13"/>
        <w:ind w:firstLine="482"/>
      </w:pPr>
      <w:r w:rsidRPr="00C41D4B">
        <w:rPr>
          <w:b/>
          <w:bCs/>
        </w:rPr>
        <w:t>7.0.3</w:t>
      </w:r>
      <w:r>
        <w:t xml:space="preserve"> 房地产抵押贷款前估价报告，应包括估价对象变现能力分析与风险提示。</w:t>
      </w:r>
    </w:p>
    <w:p w14:paraId="753514BE" w14:textId="13C86404" w:rsidR="002451CD" w:rsidRDefault="002451CD" w:rsidP="002451CD">
      <w:pPr>
        <w:pStyle w:val="13"/>
        <w:ind w:firstLine="482"/>
      </w:pPr>
      <w:r w:rsidRPr="00C41D4B">
        <w:rPr>
          <w:b/>
          <w:bCs/>
        </w:rPr>
        <w:t>7.0.4</w:t>
      </w:r>
      <w:r>
        <w:t xml:space="preserve"> 根据估价委托人的需要或有关要求，可在完事的估价报告的基础上形成估价</w:t>
      </w:r>
      <w:r>
        <w:rPr>
          <w:rFonts w:hint="eastAsia"/>
        </w:rPr>
        <w:t>报告摘要。</w:t>
      </w:r>
    </w:p>
    <w:p w14:paraId="1069B955" w14:textId="7F7490C0" w:rsidR="002451CD" w:rsidRDefault="002451CD" w:rsidP="002451CD">
      <w:pPr>
        <w:pStyle w:val="13"/>
        <w:ind w:firstLine="482"/>
      </w:pPr>
      <w:r w:rsidRPr="00C41D4B">
        <w:rPr>
          <w:b/>
          <w:bCs/>
        </w:rPr>
        <w:t>7.0.5</w:t>
      </w:r>
      <w:r>
        <w:t xml:space="preserve"> 估价技术报告可按估价委托合同约定不向估价委托人提供。</w:t>
      </w:r>
    </w:p>
    <w:p w14:paraId="42F7B28B" w14:textId="3AC4E22B" w:rsidR="002451CD" w:rsidRDefault="002451CD" w:rsidP="002451CD">
      <w:pPr>
        <w:pStyle w:val="13"/>
        <w:ind w:firstLine="482"/>
      </w:pPr>
      <w:r w:rsidRPr="00C41D4B">
        <w:rPr>
          <w:b/>
          <w:bCs/>
        </w:rPr>
        <w:t>7.0.6</w:t>
      </w:r>
      <w:r>
        <w:t xml:space="preserve"> 封面应简明记载下列事项：</w:t>
      </w:r>
    </w:p>
    <w:p w14:paraId="33894EF8" w14:textId="6A2E22FF" w:rsidR="002451CD" w:rsidRDefault="002451CD" w:rsidP="002451CD">
      <w:pPr>
        <w:pStyle w:val="13"/>
      </w:pPr>
      <w:r>
        <w:t>1 估价报告名称；宜为房地产估价报告，也可结合估价对象和估价目的给估价报告命名；</w:t>
      </w:r>
    </w:p>
    <w:p w14:paraId="35A75D15" w14:textId="5F301B88" w:rsidR="002451CD" w:rsidRDefault="002451CD" w:rsidP="002451CD">
      <w:pPr>
        <w:pStyle w:val="13"/>
      </w:pPr>
      <w:r>
        <w:t>2 估价报告编号。应反映估价机构简称、估价报告出具年份，并应按顺序编号数，不得重复、遗漏、跳号；</w:t>
      </w:r>
    </w:p>
    <w:p w14:paraId="70AAB210" w14:textId="4AC442E1" w:rsidR="002451CD" w:rsidRDefault="002451CD" w:rsidP="002451CD">
      <w:pPr>
        <w:pStyle w:val="13"/>
      </w:pPr>
      <w:r>
        <w:t>3 估价项目名称；应根据估价对象的名称或位置和估价目的，提炼出简洁的名称；</w:t>
      </w:r>
    </w:p>
    <w:p w14:paraId="5F7DFBEF" w14:textId="390CB978" w:rsidR="002451CD" w:rsidRDefault="002451CD" w:rsidP="002451CD">
      <w:pPr>
        <w:pStyle w:val="13"/>
      </w:pPr>
      <w:r>
        <w:t>4 估价委托人，当为单位时，应写明其名称，当为个人时应写明其姓名；</w:t>
      </w:r>
    </w:p>
    <w:p w14:paraId="7F36DDDB" w14:textId="3C481B1D" w:rsidR="002451CD" w:rsidRDefault="002451CD" w:rsidP="002451CD">
      <w:pPr>
        <w:pStyle w:val="13"/>
      </w:pPr>
      <w:r>
        <w:t>5 房地产估价机构，应写明其名称；</w:t>
      </w:r>
    </w:p>
    <w:p w14:paraId="76EA192F" w14:textId="32473D93" w:rsidR="002451CD" w:rsidRDefault="002451CD" w:rsidP="002451CD">
      <w:pPr>
        <w:pStyle w:val="13"/>
      </w:pPr>
      <w:r>
        <w:t>6 注册房地产估价师，应写明的</w:t>
      </w:r>
      <w:proofErr w:type="gramStart"/>
      <w:r>
        <w:t>呢参加</w:t>
      </w:r>
      <w:proofErr w:type="gramEnd"/>
      <w:r>
        <w:t>估价的注册房地产估价师的</w:t>
      </w:r>
      <w:proofErr w:type="gramStart"/>
      <w:r>
        <w:t>的</w:t>
      </w:r>
      <w:proofErr w:type="gramEnd"/>
      <w:r>
        <w:t>姓名和注册号；</w:t>
      </w:r>
    </w:p>
    <w:p w14:paraId="0DD51F61" w14:textId="39001F9E" w:rsidR="002451CD" w:rsidRDefault="002451CD" w:rsidP="002451CD">
      <w:pPr>
        <w:pStyle w:val="13"/>
      </w:pPr>
      <w:r>
        <w:t>7 估价报告出具日期；应与致委托人函日期一致。</w:t>
      </w:r>
    </w:p>
    <w:p w14:paraId="44219717" w14:textId="5D5D4C73" w:rsidR="002451CD" w:rsidRDefault="002451CD" w:rsidP="002451CD">
      <w:pPr>
        <w:pStyle w:val="13"/>
        <w:ind w:firstLine="482"/>
      </w:pPr>
      <w:r w:rsidRPr="00C41D4B">
        <w:rPr>
          <w:b/>
          <w:bCs/>
        </w:rPr>
        <w:t>7.0.7</w:t>
      </w:r>
      <w:r>
        <w:t xml:space="preserve"> 致估价</w:t>
      </w:r>
      <w:proofErr w:type="gramStart"/>
      <w:r>
        <w:t>委托人函应包括</w:t>
      </w:r>
      <w:proofErr w:type="gramEnd"/>
      <w:r>
        <w:t>下列内容：</w:t>
      </w:r>
    </w:p>
    <w:p w14:paraId="57AE38CD" w14:textId="52A068A2" w:rsidR="002451CD" w:rsidRDefault="002451CD" w:rsidP="002451CD">
      <w:pPr>
        <w:pStyle w:val="13"/>
      </w:pPr>
      <w:r>
        <w:t>1 致函对象；应写明估价委托人的名称或姓名</w:t>
      </w:r>
    </w:p>
    <w:p w14:paraId="51C5FC72" w14:textId="624DFB3E" w:rsidR="002451CD" w:rsidRDefault="002451CD" w:rsidP="002451CD">
      <w:pPr>
        <w:pStyle w:val="13"/>
      </w:pPr>
      <w:r>
        <w:t>2 估价目的；应写明估价委托人对估价报告的预期用途，或估价是为了满足估价委托人的体积需要；</w:t>
      </w:r>
    </w:p>
    <w:p w14:paraId="33727170" w14:textId="44CFC862" w:rsidR="002451CD" w:rsidRDefault="002451CD" w:rsidP="002451CD">
      <w:pPr>
        <w:pStyle w:val="13"/>
      </w:pPr>
      <w:r>
        <w:t>3 估价对象；应写明估价对象的财产范围及名称、坐落、规模、用途、权属等基本状况；</w:t>
      </w:r>
    </w:p>
    <w:p w14:paraId="4876AF3A" w14:textId="324036B4" w:rsidR="002451CD" w:rsidRDefault="002451CD" w:rsidP="002451CD">
      <w:pPr>
        <w:pStyle w:val="13"/>
      </w:pPr>
      <w:r>
        <w:t>4 价值时点；应写明所评估的估价对象价值或价格对应的时间</w:t>
      </w:r>
    </w:p>
    <w:p w14:paraId="0C2D203C" w14:textId="07643EE7" w:rsidR="002451CD" w:rsidRDefault="002451CD" w:rsidP="002451CD">
      <w:pPr>
        <w:pStyle w:val="13"/>
      </w:pPr>
      <w:r>
        <w:t>5 价值类型；应写明所评估的估价对象价值或价格的名称，当所评估的估价对象价值或价格无规范的名称时，应写明其定义或内涵；</w:t>
      </w:r>
    </w:p>
    <w:p w14:paraId="3A3A614F" w14:textId="147C3BF8" w:rsidR="002451CD" w:rsidRDefault="002451CD" w:rsidP="002451CD">
      <w:pPr>
        <w:pStyle w:val="13"/>
      </w:pPr>
      <w:r>
        <w:t>6 估价方法；应写明的</w:t>
      </w:r>
      <w:proofErr w:type="gramStart"/>
      <w:r>
        <w:t>呢色突然</w:t>
      </w:r>
      <w:proofErr w:type="gramEnd"/>
      <w:r>
        <w:t>估价方法的名称</w:t>
      </w:r>
    </w:p>
    <w:p w14:paraId="6CB3E06C" w14:textId="346F56FD" w:rsidR="002451CD" w:rsidRDefault="002451CD" w:rsidP="002451CD">
      <w:pPr>
        <w:pStyle w:val="13"/>
      </w:pPr>
      <w:r>
        <w:t>7 估价结果；应写明最终评估价值的总价，并应注明其大写金额；除估价对象无</w:t>
      </w:r>
      <w:r>
        <w:lastRenderedPageBreak/>
        <w:t>法用单价表示外，还应写明最终评估价值的单价；</w:t>
      </w:r>
    </w:p>
    <w:p w14:paraId="4BB58F70" w14:textId="0CB17D38" w:rsidR="002451CD" w:rsidRDefault="002451CD" w:rsidP="002451CD">
      <w:pPr>
        <w:pStyle w:val="13"/>
      </w:pPr>
      <w:r>
        <w:t>8 特别提示，应写明与评估价值和使用估价报告、估价结果有关的引起估价委托人和估价报告使用注意事项；</w:t>
      </w:r>
    </w:p>
    <w:p w14:paraId="0F4C8D70" w14:textId="5892F690" w:rsidR="002451CD" w:rsidRDefault="002451CD" w:rsidP="002451CD">
      <w:pPr>
        <w:pStyle w:val="13"/>
      </w:pPr>
      <w:r>
        <w:t>9 致函日期。应注明致函的年、月、日。</w:t>
      </w:r>
    </w:p>
    <w:p w14:paraId="06DABBB0" w14:textId="2731CE1E" w:rsidR="002451CD" w:rsidRDefault="002451CD" w:rsidP="002451CD">
      <w:pPr>
        <w:pStyle w:val="13"/>
        <w:ind w:firstLine="482"/>
      </w:pPr>
      <w:r w:rsidRPr="00C41D4B">
        <w:rPr>
          <w:b/>
          <w:bCs/>
        </w:rPr>
        <w:t>7.0.8</w:t>
      </w:r>
      <w:r>
        <w:t xml:space="preserve"> 致估价</w:t>
      </w:r>
      <w:proofErr w:type="gramStart"/>
      <w:r>
        <w:t>委托人函应加盖</w:t>
      </w:r>
      <w:proofErr w:type="gramEnd"/>
      <w:r>
        <w:t>房地产估价机构公章，不得以其他印章代替公章，法定代表人或执行合伙人宜在其上签名或盖章。</w:t>
      </w:r>
    </w:p>
    <w:p w14:paraId="105EF2AE" w14:textId="3FEDA363" w:rsidR="002451CD" w:rsidRDefault="002451CD" w:rsidP="002451CD">
      <w:pPr>
        <w:pStyle w:val="13"/>
        <w:ind w:firstLine="482"/>
      </w:pPr>
      <w:r w:rsidRPr="00C41D4B">
        <w:rPr>
          <w:b/>
          <w:bCs/>
        </w:rPr>
        <w:t>7.0.9</w:t>
      </w:r>
      <w:r>
        <w:t xml:space="preserve"> 目录应按估价报告各个组成部分的前后次序列出其名称及对应的页码</w:t>
      </w:r>
    </w:p>
    <w:p w14:paraId="2590C957" w14:textId="4D4BDF19" w:rsidR="002451CD" w:rsidRDefault="002451CD" w:rsidP="002451CD">
      <w:pPr>
        <w:pStyle w:val="13"/>
      </w:pPr>
      <w:r>
        <w:t>1 估价师声明</w:t>
      </w:r>
    </w:p>
    <w:p w14:paraId="3E88D710" w14:textId="7C52BA86" w:rsidR="002451CD" w:rsidRDefault="002451CD" w:rsidP="002451CD">
      <w:pPr>
        <w:pStyle w:val="13"/>
      </w:pPr>
      <w:r>
        <w:t>2 估价假设和限制条件；</w:t>
      </w:r>
    </w:p>
    <w:p w14:paraId="22AF4D17" w14:textId="54180D5E" w:rsidR="002451CD" w:rsidRDefault="002451CD" w:rsidP="002451CD">
      <w:pPr>
        <w:pStyle w:val="13"/>
      </w:pPr>
      <w:r>
        <w:t>3 估价结果报告；</w:t>
      </w:r>
    </w:p>
    <w:p w14:paraId="3A2D41C0" w14:textId="6F49DF92" w:rsidR="002451CD" w:rsidRDefault="002451CD" w:rsidP="002451CD">
      <w:pPr>
        <w:pStyle w:val="13"/>
      </w:pPr>
      <w:r>
        <w:t>4 估价技术报告；</w:t>
      </w:r>
    </w:p>
    <w:p w14:paraId="754026C8" w14:textId="6DD3E6D3" w:rsidR="002451CD" w:rsidRDefault="002451CD" w:rsidP="002451CD">
      <w:pPr>
        <w:pStyle w:val="13"/>
      </w:pPr>
      <w:r>
        <w:t>5 附件。</w:t>
      </w:r>
    </w:p>
    <w:p w14:paraId="391CC429" w14:textId="5ECB5B1D" w:rsidR="002451CD" w:rsidRDefault="002451CD" w:rsidP="002451CD">
      <w:pPr>
        <w:pStyle w:val="13"/>
        <w:ind w:firstLine="482"/>
      </w:pPr>
      <w:r w:rsidRPr="00C41D4B">
        <w:rPr>
          <w:b/>
          <w:bCs/>
        </w:rPr>
        <w:t>7.0.10</w:t>
      </w:r>
      <w:r>
        <w:t xml:space="preserve"> 估价结果报告、估价技术报告和附件的各个组成部分，应在估价报告的目录</w:t>
      </w:r>
      <w:r>
        <w:rPr>
          <w:rFonts w:hint="eastAsia"/>
        </w:rPr>
        <w:t>中按前后次序列出其名称及对应的页码。</w:t>
      </w:r>
    </w:p>
    <w:p w14:paraId="1F9E3C54" w14:textId="73520987" w:rsidR="002451CD" w:rsidRDefault="002451CD" w:rsidP="002451CD">
      <w:pPr>
        <w:pStyle w:val="13"/>
        <w:ind w:firstLine="482"/>
      </w:pPr>
      <w:r w:rsidRPr="00C41D4B">
        <w:rPr>
          <w:b/>
          <w:bCs/>
        </w:rPr>
        <w:t>7.0.11</w:t>
      </w:r>
      <w:r>
        <w:t xml:space="preserve"> 当按估价委托合同约定不向估价委托人提供估价技术报告时，目录中可不列出估价技术报告及其各个组成部分，但在估价技术报告中应有单独的目录，且该目录中应按前后次序列出估价技术报告各个组成部分的名称及对应的页码。</w:t>
      </w:r>
    </w:p>
    <w:p w14:paraId="147D176B" w14:textId="341BEF1F" w:rsidR="002451CD" w:rsidRDefault="002451CD" w:rsidP="002451CD">
      <w:pPr>
        <w:pStyle w:val="13"/>
        <w:ind w:firstLine="482"/>
      </w:pPr>
      <w:r w:rsidRPr="00C41D4B">
        <w:rPr>
          <w:b/>
          <w:bCs/>
        </w:rPr>
        <w:t>7.0.12</w:t>
      </w:r>
      <w:r>
        <w:t xml:space="preserve"> 估价师声应写明所有参加估价的注册房地产估价师对其估价职业道德、专业胜任能力和勤勉尽责估价的承诺和保证。不得将估价师声明变成注册房地产估价师和房地产免责声明。</w:t>
      </w:r>
    </w:p>
    <w:p w14:paraId="1DF8207E" w14:textId="645C98F8" w:rsidR="002451CD" w:rsidRDefault="002451CD" w:rsidP="002451CD">
      <w:pPr>
        <w:pStyle w:val="13"/>
        <w:ind w:firstLine="482"/>
      </w:pPr>
      <w:r w:rsidRPr="00C41D4B">
        <w:rPr>
          <w:b/>
          <w:bCs/>
        </w:rPr>
        <w:t>7.0.13</w:t>
      </w:r>
      <w:r>
        <w:t xml:space="preserve"> </w:t>
      </w:r>
      <w:proofErr w:type="gramStart"/>
      <w:r>
        <w:t>鉴证</w:t>
      </w:r>
      <w:proofErr w:type="gramEnd"/>
      <w:r>
        <w:t>性估价报告的估价师声明应包括下列内容：</w:t>
      </w:r>
    </w:p>
    <w:p w14:paraId="5303333A" w14:textId="7AFDE2E1" w:rsidR="002451CD" w:rsidRDefault="002451CD" w:rsidP="002451CD">
      <w:pPr>
        <w:pStyle w:val="13"/>
      </w:pPr>
      <w:r>
        <w:t>1 注册房地产估价师在估价报告中对事实的说明是真实和准确的，没有虚假记载、误导性陈述和重大遗漏。</w:t>
      </w:r>
    </w:p>
    <w:p w14:paraId="3CD10D6A" w14:textId="08A68656" w:rsidR="002451CD" w:rsidRDefault="002451CD" w:rsidP="002451CD">
      <w:pPr>
        <w:pStyle w:val="13"/>
      </w:pPr>
      <w:r>
        <w:t>2 估价报告中的分析、意见和结论是注册房地产估价师独立、客观、公正的专业分析、意见和结论，但受到估价报告中已经说明的估价假设和限制条件的限制。</w:t>
      </w:r>
    </w:p>
    <w:p w14:paraId="3AFC7114" w14:textId="733D3158" w:rsidR="002451CD" w:rsidRDefault="002451CD" w:rsidP="002451CD">
      <w:pPr>
        <w:pStyle w:val="13"/>
      </w:pPr>
      <w:r>
        <w:t>3 注册房地产估价师与估价报告中的估价对象没有现实或潜在的利益，与估价委托人及估价利害关系人没有利害关系，也对估价对象、估价委托人及估价利害关系人没有偏见；</w:t>
      </w:r>
    </w:p>
    <w:p w14:paraId="018AD061" w14:textId="0BBBEC15" w:rsidR="002451CD" w:rsidRDefault="002451CD" w:rsidP="002451CD">
      <w:pPr>
        <w:pStyle w:val="13"/>
      </w:pPr>
      <w:r>
        <w:t>4 注册房地产估价师是按照有关房地产估价标准的规定进行估价工作，撰写估价报</w:t>
      </w:r>
      <w:r>
        <w:rPr>
          <w:rFonts w:hint="eastAsia"/>
        </w:rPr>
        <w:t>告。</w:t>
      </w:r>
    </w:p>
    <w:p w14:paraId="4568D0FC" w14:textId="531B8F9B" w:rsidR="002451CD" w:rsidRDefault="002451CD" w:rsidP="002451CD">
      <w:pPr>
        <w:pStyle w:val="13"/>
        <w:ind w:firstLine="482"/>
      </w:pPr>
      <w:r w:rsidRPr="00C41D4B">
        <w:rPr>
          <w:b/>
          <w:bCs/>
        </w:rPr>
        <w:t>7.0.14</w:t>
      </w:r>
      <w:r>
        <w:rPr>
          <w:b/>
          <w:bCs/>
        </w:rPr>
        <w:t xml:space="preserve"> </w:t>
      </w:r>
      <w:r>
        <w:t>非</w:t>
      </w:r>
      <w:proofErr w:type="gramStart"/>
      <w:r>
        <w:t>鉴证</w:t>
      </w:r>
      <w:proofErr w:type="gramEnd"/>
      <w:r>
        <w:t>性估价报告的估价师声明的内容，可根据实际情况对</w:t>
      </w:r>
      <w:proofErr w:type="gramStart"/>
      <w:r>
        <w:t>鉴证</w:t>
      </w:r>
      <w:proofErr w:type="gramEnd"/>
      <w:r>
        <w:t>性估价报告</w:t>
      </w:r>
      <w:r>
        <w:rPr>
          <w:rFonts w:hint="eastAsia"/>
        </w:rPr>
        <w:t>的估价师声明的内容进行适当增减。</w:t>
      </w:r>
    </w:p>
    <w:p w14:paraId="612632C8" w14:textId="27C3F696" w:rsidR="002451CD" w:rsidRDefault="002451CD" w:rsidP="002451CD">
      <w:pPr>
        <w:pStyle w:val="13"/>
        <w:ind w:firstLine="482"/>
      </w:pPr>
      <w:r w:rsidRPr="00C41D4B">
        <w:rPr>
          <w:b/>
          <w:bCs/>
        </w:rPr>
        <w:t>7.0.15</w:t>
      </w:r>
      <w:r>
        <w:t xml:space="preserve"> 估价假设应针对估价对象状况等估价前提，</w:t>
      </w:r>
      <w:proofErr w:type="gramStart"/>
      <w:r>
        <w:t>作出</w:t>
      </w:r>
      <w:proofErr w:type="gramEnd"/>
      <w:r>
        <w:t>必要、合理且有依据的假定</w:t>
      </w:r>
      <w:r w:rsidR="003068F8">
        <w:t>，</w:t>
      </w:r>
      <w:r>
        <w:t>不得为了规避应尽的检查资料、调查情况等勤勉尽责义务或为了高估、低估估</w:t>
      </w:r>
      <w:r>
        <w:lastRenderedPageBreak/>
        <w:t>价对象的价值或价格滥用估价假设。</w:t>
      </w:r>
    </w:p>
    <w:p w14:paraId="117702CB" w14:textId="70DBE13D" w:rsidR="002451CD" w:rsidRDefault="002451CD" w:rsidP="002451CD">
      <w:pPr>
        <w:pStyle w:val="13"/>
        <w:ind w:firstLine="482"/>
      </w:pPr>
      <w:r w:rsidRPr="00C41D4B">
        <w:rPr>
          <w:b/>
          <w:bCs/>
        </w:rPr>
        <w:t>7.0.16</w:t>
      </w:r>
      <w:r>
        <w:t xml:space="preserve"> 估价假设和限制条件应说明下列内容：</w:t>
      </w:r>
    </w:p>
    <w:p w14:paraId="1DB2DAF3" w14:textId="0B166BC8" w:rsidR="002451CD" w:rsidRDefault="002451CD" w:rsidP="002451CD">
      <w:pPr>
        <w:pStyle w:val="13"/>
      </w:pPr>
      <w:r>
        <w:t>1 一般假设：应说明对估价所依据的估价对象权属、面积、用途等资料在进行了检查，在无理由怀疑其合法性、真实性、准确性和完整性且未予以核实的情况下，对其合法性、真实性、准确性和完整性的合理假定；对房屋安全、环境污染等影响估价对象价值或价格的因素予以了关注，在无理由怀疑存在安全隐患且无相应的专业机构检测或鉴定的情况下，对其安全性等的合理假定。</w:t>
      </w:r>
    </w:p>
    <w:p w14:paraId="4ACCC4E0" w14:textId="77777777" w:rsidR="00ED0DA7" w:rsidRDefault="002451CD" w:rsidP="002451CD">
      <w:pPr>
        <w:pStyle w:val="13"/>
      </w:pPr>
      <w:r>
        <w:t>2 未确定事项假设：应说明对估价所必需的尚未明确或不够明确的土地用途、容积率等事项所做的合理的、最可能的假定，当估价对象无未定事项时，应无未定事项假设。</w:t>
      </w:r>
    </w:p>
    <w:p w14:paraId="71864E67" w14:textId="7E7ADF13" w:rsidR="002451CD" w:rsidRDefault="002451CD" w:rsidP="002451CD">
      <w:pPr>
        <w:pStyle w:val="13"/>
      </w:pPr>
      <w:r>
        <w:t>3 背离实际情况假设：应说明因估价目的的特殊需要、交易条件设定或约定，对估</w:t>
      </w:r>
      <w:r>
        <w:rPr>
          <w:rFonts w:hint="eastAsia"/>
        </w:rPr>
        <w:t>价对象所做的与实际情况不一致的合理假定。当估价设定的估价对象状况与估价对象的实际状况无不一致时，应无背离事实假设。</w:t>
      </w:r>
    </w:p>
    <w:p w14:paraId="487AB31D" w14:textId="77ECD89B" w:rsidR="002451CD" w:rsidRDefault="002451CD" w:rsidP="002451CD">
      <w:pPr>
        <w:pStyle w:val="13"/>
      </w:pPr>
      <w:r>
        <w:t>4 不相一致假设，应说明在估价对象的实际用途、登记用途、规划用途等用途之间不一致，或不同权属证明上的权利人之间不一致，估价对象的名称或地址不一致等情况下，对估价所依据的用途或权利人、名称、地址等的合理假定。当估价对象状况之间无不一致时，应无不相一致假设。</w:t>
      </w:r>
    </w:p>
    <w:p w14:paraId="26363661" w14:textId="04981A3D" w:rsidR="002451CD" w:rsidRDefault="002451CD" w:rsidP="002451CD">
      <w:pPr>
        <w:pStyle w:val="13"/>
      </w:pPr>
      <w:r>
        <w:t>5 依据不足假设，应说明在估价委托人无法提供估价所必需的反映估价对象状况的资料及注册房地产估价师进行尽职调查仍然难以取得该资料的情况下，缺少该资料及对相应估价对象状况的合理假定。当无依据不足时，应无依据不足假设。</w:t>
      </w:r>
    </w:p>
    <w:p w14:paraId="08D0EEB9" w14:textId="1F9A3556" w:rsidR="002451CD" w:rsidRDefault="002451CD" w:rsidP="002451CD">
      <w:pPr>
        <w:pStyle w:val="13"/>
      </w:pPr>
      <w:r>
        <w:t>6 估价报告使用限制，应说明估价报告和估价结果的用途、使用者、使用期限等使 用范围及在使用估价报告及估价结果时需注意的其他事项。其中，估价报告使用期限应 自估价报告出具之日起计算，根据估价目的和预计估价对象的市场价格变化程度来确定</w:t>
      </w:r>
      <w:r w:rsidR="003068F8">
        <w:t>，</w:t>
      </w:r>
      <w:r>
        <w:t>不宜超过一年。</w:t>
      </w:r>
    </w:p>
    <w:p w14:paraId="5262ED9F" w14:textId="4EC08968" w:rsidR="002451CD" w:rsidRDefault="002451CD" w:rsidP="002451CD">
      <w:pPr>
        <w:pStyle w:val="13"/>
        <w:ind w:firstLine="482"/>
      </w:pPr>
      <w:r w:rsidRPr="00C41D4B">
        <w:rPr>
          <w:b/>
          <w:bCs/>
        </w:rPr>
        <w:t>7.0.17</w:t>
      </w:r>
      <w:r>
        <w:t xml:space="preserve"> 估价结果报告应包括下列内容：</w:t>
      </w:r>
    </w:p>
    <w:p w14:paraId="3842D25E" w14:textId="5D383576" w:rsidR="002451CD" w:rsidRDefault="002451CD" w:rsidP="002451CD">
      <w:pPr>
        <w:pStyle w:val="13"/>
      </w:pPr>
      <w:r>
        <w:t>1 估价委托人，当为单位时，应写明其名称、住所、法定人代表人姓名，当为个人时，应写明其姓名和住址。</w:t>
      </w:r>
    </w:p>
    <w:p w14:paraId="768D1F4F" w14:textId="389257D9" w:rsidR="002451CD" w:rsidRDefault="002451CD" w:rsidP="002451CD">
      <w:pPr>
        <w:pStyle w:val="13"/>
      </w:pPr>
      <w:r>
        <w:t>2 房地产估价机构，应写明房地产估价机构的名称、法定代表人或执行事务合伙人姓名、资质等级和资质证书编号。</w:t>
      </w:r>
    </w:p>
    <w:p w14:paraId="1EF71EA0" w14:textId="15B121E8" w:rsidR="002451CD" w:rsidRDefault="002451CD" w:rsidP="002451CD">
      <w:pPr>
        <w:pStyle w:val="13"/>
      </w:pPr>
      <w:r>
        <w:t>3 估价目的；应说明估价委托人对估价报告的预期用途，或估价是为了满足估价委托人的何种需要；</w:t>
      </w:r>
    </w:p>
    <w:p w14:paraId="095E9C99" w14:textId="7733BD99" w:rsidR="002451CD" w:rsidRDefault="002451CD" w:rsidP="002451CD">
      <w:pPr>
        <w:pStyle w:val="13"/>
      </w:pPr>
      <w:r>
        <w:t>4 估价对象；应说明估价对象的财产范围及名称、坐落、规模、用途、权属等基本状况；对土地基本状况的说明，还应包括四至、形状、开发程度、土地使用期限；对建筑物基本状况的说明，还应包括建筑结构、设施设备、装饰装修、新旧程度。</w:t>
      </w:r>
    </w:p>
    <w:p w14:paraId="0DAA3D1A" w14:textId="17862641" w:rsidR="002451CD" w:rsidRDefault="002451CD" w:rsidP="002451CD">
      <w:pPr>
        <w:pStyle w:val="13"/>
      </w:pPr>
      <w:r>
        <w:lastRenderedPageBreak/>
        <w:t>5 价值时点；应说明所评估的估价对象价值或价格对应的时间及其确定的简要理由。</w:t>
      </w:r>
    </w:p>
    <w:p w14:paraId="56F6C5AB" w14:textId="2231549C" w:rsidR="002451CD" w:rsidRDefault="002451CD" w:rsidP="002451CD">
      <w:pPr>
        <w:pStyle w:val="13"/>
      </w:pPr>
      <w:r>
        <w:t>6 价值类型；应说明所评估的估价对象价值或价格的名称、定义或内涵。</w:t>
      </w:r>
    </w:p>
    <w:p w14:paraId="540A05F0" w14:textId="436E89C2" w:rsidR="002451CD" w:rsidRDefault="002451CD" w:rsidP="002451CD">
      <w:pPr>
        <w:pStyle w:val="13"/>
      </w:pPr>
      <w:r>
        <w:t>7 估价原则；应说明所遵循的估价原则的名称、定义或内涵。</w:t>
      </w:r>
    </w:p>
    <w:p w14:paraId="1F92B9B5" w14:textId="77777777" w:rsidR="002451CD" w:rsidRDefault="002451CD" w:rsidP="002451CD">
      <w:pPr>
        <w:pStyle w:val="13"/>
      </w:pPr>
      <w:r>
        <w:rPr>
          <w:rFonts w:hint="eastAsia"/>
        </w:rPr>
        <w:t>8</w:t>
      </w:r>
      <w:r>
        <w:t xml:space="preserve">  </w:t>
      </w:r>
      <w:r w:rsidRPr="00C41D4B">
        <w:rPr>
          <w:rFonts w:hint="eastAsia"/>
        </w:rPr>
        <w:t>估价依据；应说明估价所依据的有关法律、法规和政策，有关估价标准，估价委托书、估价委托合同、估价委托人提供的估价所需资料，房地产估价机构、注册房地产估价师掌握和搜集的估价所需资料</w:t>
      </w:r>
      <w:r>
        <w:rPr>
          <w:rFonts w:hint="eastAsia"/>
        </w:rPr>
        <w:t>。</w:t>
      </w:r>
    </w:p>
    <w:p w14:paraId="5AEB0F59" w14:textId="77D9D01E" w:rsidR="002451CD" w:rsidRDefault="002451CD" w:rsidP="002451CD">
      <w:pPr>
        <w:pStyle w:val="13"/>
      </w:pPr>
      <w:r>
        <w:t>9 估价方法；应说明所采用的估价方法的名称和定义。当按估价委托合同约定不向</w:t>
      </w:r>
      <w:r>
        <w:rPr>
          <w:rFonts w:hint="eastAsia"/>
        </w:rPr>
        <w:t>估价委托人提供估价技术报告时，还应说明估价测算的简要内容。</w:t>
      </w:r>
    </w:p>
    <w:p w14:paraId="06B8A4D3" w14:textId="222D9D72" w:rsidR="002451CD" w:rsidRDefault="002451CD" w:rsidP="002451CD">
      <w:pPr>
        <w:pStyle w:val="13"/>
      </w:pPr>
      <w:r>
        <w:t>10 估价结果；应符合下列要求：</w:t>
      </w:r>
    </w:p>
    <w:p w14:paraId="7497DDCF" w14:textId="77777777" w:rsidR="002451CD" w:rsidRDefault="002451CD" w:rsidP="002451CD">
      <w:pPr>
        <w:pStyle w:val="13"/>
      </w:pPr>
      <w:r>
        <w:t>1）除房地产抵押估价外，当估价对象为单宗房地产时，可按表 7.0.17-1 说明不同估价方法的测算结果和最终评估价值。</w:t>
      </w:r>
    </w:p>
    <w:p w14:paraId="01254005" w14:textId="77777777" w:rsidR="002451CD" w:rsidRDefault="002451CD" w:rsidP="002451CD">
      <w:pPr>
        <w:pStyle w:val="13"/>
        <w:jc w:val="center"/>
      </w:pPr>
      <w:r>
        <w:rPr>
          <w:rFonts w:hint="eastAsia"/>
        </w:rPr>
        <w:t>表</w:t>
      </w:r>
      <w:r>
        <w:t xml:space="preserve"> 7.0.17-1 估价结果汇总表</w:t>
      </w:r>
    </w:p>
    <w:p w14:paraId="0D15B000" w14:textId="77777777" w:rsidR="002451CD" w:rsidRPr="00C41D4B" w:rsidRDefault="002451CD" w:rsidP="002451CD">
      <w:pPr>
        <w:pStyle w:val="13"/>
        <w:jc w:val="right"/>
      </w:pPr>
      <w:r w:rsidRPr="00C41D4B">
        <w:rPr>
          <w:rFonts w:hint="eastAsia"/>
        </w:rPr>
        <w:t>币种：</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849"/>
        <w:gridCol w:w="1631"/>
        <w:gridCol w:w="1631"/>
        <w:gridCol w:w="1629"/>
      </w:tblGrid>
      <w:tr w:rsidR="002451CD" w:rsidRPr="002451CD" w14:paraId="195261F9" w14:textId="77777777" w:rsidTr="00796C46">
        <w:trPr>
          <w:trHeight w:val="340"/>
          <w:jc w:val="center"/>
        </w:trPr>
        <w:tc>
          <w:tcPr>
            <w:tcW w:w="2196" w:type="pct"/>
            <w:gridSpan w:val="2"/>
            <w:tcBorders>
              <w:tl2br w:val="single" w:sz="4" w:space="0" w:color="auto"/>
            </w:tcBorders>
            <w:vAlign w:val="center"/>
          </w:tcPr>
          <w:p w14:paraId="140D9B9D" w14:textId="77777777" w:rsidR="002451CD" w:rsidRPr="002451CD" w:rsidRDefault="002451CD" w:rsidP="00796C46">
            <w:pPr>
              <w:pStyle w:val="TableParagraph"/>
              <w:jc w:val="right"/>
              <w:rPr>
                <w:sz w:val="21"/>
                <w:szCs w:val="21"/>
              </w:rPr>
            </w:pPr>
            <w:r w:rsidRPr="002451CD">
              <w:rPr>
                <w:sz w:val="21"/>
                <w:szCs w:val="21"/>
              </w:rPr>
              <w:t>估价方法</w:t>
            </w:r>
          </w:p>
          <w:p w14:paraId="69178A12" w14:textId="77777777" w:rsidR="002451CD" w:rsidRPr="002451CD" w:rsidRDefault="002451CD" w:rsidP="00796C46">
            <w:pPr>
              <w:pStyle w:val="TableParagraph"/>
              <w:jc w:val="both"/>
              <w:rPr>
                <w:sz w:val="21"/>
                <w:szCs w:val="21"/>
              </w:rPr>
            </w:pPr>
            <w:r w:rsidRPr="002451CD">
              <w:rPr>
                <w:sz w:val="21"/>
                <w:szCs w:val="21"/>
              </w:rPr>
              <w:t>相关结果</w:t>
            </w:r>
          </w:p>
        </w:tc>
        <w:tc>
          <w:tcPr>
            <w:tcW w:w="935" w:type="pct"/>
            <w:vAlign w:val="center"/>
          </w:tcPr>
          <w:p w14:paraId="4718C74B" w14:textId="77777777" w:rsidR="002451CD" w:rsidRPr="002451CD" w:rsidRDefault="002451CD" w:rsidP="00796C46">
            <w:pPr>
              <w:pStyle w:val="TableParagraph"/>
              <w:jc w:val="center"/>
              <w:rPr>
                <w:rFonts w:ascii="Times New Roman"/>
                <w:sz w:val="21"/>
                <w:szCs w:val="21"/>
              </w:rPr>
            </w:pPr>
          </w:p>
        </w:tc>
        <w:tc>
          <w:tcPr>
            <w:tcW w:w="935" w:type="pct"/>
            <w:vAlign w:val="center"/>
          </w:tcPr>
          <w:p w14:paraId="1CA255E0" w14:textId="77777777" w:rsidR="002451CD" w:rsidRPr="002451CD" w:rsidRDefault="002451CD" w:rsidP="00796C46">
            <w:pPr>
              <w:pStyle w:val="TableParagraph"/>
              <w:jc w:val="center"/>
              <w:rPr>
                <w:rFonts w:ascii="Times New Roman"/>
                <w:sz w:val="21"/>
                <w:szCs w:val="21"/>
              </w:rPr>
            </w:pPr>
          </w:p>
        </w:tc>
        <w:tc>
          <w:tcPr>
            <w:tcW w:w="934" w:type="pct"/>
            <w:vAlign w:val="center"/>
          </w:tcPr>
          <w:p w14:paraId="1AC52CBF" w14:textId="77777777" w:rsidR="002451CD" w:rsidRPr="002451CD" w:rsidRDefault="002451CD" w:rsidP="00796C46">
            <w:pPr>
              <w:pStyle w:val="TableParagraph"/>
              <w:jc w:val="center"/>
              <w:rPr>
                <w:rFonts w:ascii="Times New Roman"/>
                <w:sz w:val="21"/>
                <w:szCs w:val="21"/>
              </w:rPr>
            </w:pPr>
          </w:p>
        </w:tc>
      </w:tr>
      <w:tr w:rsidR="002451CD" w:rsidRPr="002451CD" w14:paraId="6F706820" w14:textId="77777777" w:rsidTr="00796C46">
        <w:trPr>
          <w:trHeight w:val="340"/>
          <w:jc w:val="center"/>
        </w:trPr>
        <w:tc>
          <w:tcPr>
            <w:tcW w:w="1136" w:type="pct"/>
            <w:vMerge w:val="restart"/>
            <w:vAlign w:val="center"/>
          </w:tcPr>
          <w:p w14:paraId="7BB41B82" w14:textId="77777777" w:rsidR="002451CD" w:rsidRPr="002451CD" w:rsidRDefault="002451CD" w:rsidP="00796C46">
            <w:pPr>
              <w:pStyle w:val="TableParagraph"/>
              <w:jc w:val="center"/>
              <w:rPr>
                <w:sz w:val="21"/>
                <w:szCs w:val="21"/>
              </w:rPr>
            </w:pPr>
            <w:r w:rsidRPr="002451CD">
              <w:rPr>
                <w:sz w:val="21"/>
                <w:szCs w:val="21"/>
              </w:rPr>
              <w:t>测算结果</w:t>
            </w:r>
          </w:p>
        </w:tc>
        <w:tc>
          <w:tcPr>
            <w:tcW w:w="1059" w:type="pct"/>
            <w:vAlign w:val="center"/>
          </w:tcPr>
          <w:p w14:paraId="4790519F" w14:textId="77777777" w:rsidR="002451CD" w:rsidRPr="002451CD" w:rsidRDefault="002451CD" w:rsidP="00796C46">
            <w:pPr>
              <w:pStyle w:val="TableParagraph"/>
              <w:jc w:val="both"/>
              <w:rPr>
                <w:sz w:val="21"/>
                <w:szCs w:val="21"/>
              </w:rPr>
            </w:pPr>
            <w:r w:rsidRPr="002451CD">
              <w:rPr>
                <w:sz w:val="21"/>
                <w:szCs w:val="21"/>
              </w:rPr>
              <w:t>总价（元或万元）</w:t>
            </w:r>
          </w:p>
        </w:tc>
        <w:tc>
          <w:tcPr>
            <w:tcW w:w="935" w:type="pct"/>
            <w:vAlign w:val="center"/>
          </w:tcPr>
          <w:p w14:paraId="0698234C" w14:textId="77777777" w:rsidR="002451CD" w:rsidRPr="002451CD" w:rsidRDefault="002451CD" w:rsidP="00796C46">
            <w:pPr>
              <w:pStyle w:val="TableParagraph"/>
              <w:jc w:val="center"/>
              <w:rPr>
                <w:rFonts w:ascii="Times New Roman"/>
                <w:sz w:val="21"/>
                <w:szCs w:val="21"/>
              </w:rPr>
            </w:pPr>
          </w:p>
        </w:tc>
        <w:tc>
          <w:tcPr>
            <w:tcW w:w="935" w:type="pct"/>
            <w:vAlign w:val="center"/>
          </w:tcPr>
          <w:p w14:paraId="158EC89E" w14:textId="77777777" w:rsidR="002451CD" w:rsidRPr="002451CD" w:rsidRDefault="002451CD" w:rsidP="00796C46">
            <w:pPr>
              <w:pStyle w:val="TableParagraph"/>
              <w:jc w:val="center"/>
              <w:rPr>
                <w:rFonts w:ascii="Times New Roman"/>
                <w:sz w:val="21"/>
                <w:szCs w:val="21"/>
              </w:rPr>
            </w:pPr>
          </w:p>
        </w:tc>
        <w:tc>
          <w:tcPr>
            <w:tcW w:w="934" w:type="pct"/>
            <w:vAlign w:val="center"/>
          </w:tcPr>
          <w:p w14:paraId="21B31D1B" w14:textId="77777777" w:rsidR="002451CD" w:rsidRPr="002451CD" w:rsidRDefault="002451CD" w:rsidP="00796C46">
            <w:pPr>
              <w:pStyle w:val="TableParagraph"/>
              <w:jc w:val="center"/>
              <w:rPr>
                <w:rFonts w:ascii="Times New Roman"/>
                <w:sz w:val="21"/>
                <w:szCs w:val="21"/>
              </w:rPr>
            </w:pPr>
          </w:p>
        </w:tc>
      </w:tr>
      <w:tr w:rsidR="002451CD" w:rsidRPr="00796C46" w14:paraId="5E864063" w14:textId="77777777" w:rsidTr="00796C46">
        <w:trPr>
          <w:trHeight w:val="340"/>
          <w:jc w:val="center"/>
        </w:trPr>
        <w:tc>
          <w:tcPr>
            <w:tcW w:w="1136" w:type="pct"/>
            <w:vMerge/>
            <w:tcBorders>
              <w:top w:val="nil"/>
            </w:tcBorders>
            <w:vAlign w:val="center"/>
          </w:tcPr>
          <w:p w14:paraId="4657933A" w14:textId="77777777" w:rsidR="002451CD" w:rsidRPr="002451CD" w:rsidRDefault="002451CD" w:rsidP="00796C46">
            <w:pPr>
              <w:jc w:val="center"/>
              <w:rPr>
                <w:sz w:val="21"/>
                <w:szCs w:val="21"/>
              </w:rPr>
            </w:pPr>
          </w:p>
        </w:tc>
        <w:tc>
          <w:tcPr>
            <w:tcW w:w="1059" w:type="pct"/>
            <w:vAlign w:val="center"/>
          </w:tcPr>
          <w:p w14:paraId="28B7FECC" w14:textId="77777777" w:rsidR="002451CD" w:rsidRPr="002451CD" w:rsidRDefault="002451CD" w:rsidP="00796C46">
            <w:pPr>
              <w:pStyle w:val="TableParagraph"/>
              <w:jc w:val="both"/>
              <w:rPr>
                <w:sz w:val="21"/>
                <w:szCs w:val="21"/>
              </w:rPr>
            </w:pPr>
            <w:r w:rsidRPr="002451CD">
              <w:rPr>
                <w:sz w:val="21"/>
                <w:szCs w:val="21"/>
              </w:rPr>
              <w:t>单价（元</w:t>
            </w:r>
            <w:r w:rsidRPr="00796C46">
              <w:rPr>
                <w:sz w:val="21"/>
                <w:szCs w:val="21"/>
              </w:rPr>
              <w:t>/m2</w:t>
            </w:r>
            <w:r w:rsidRPr="002451CD">
              <w:rPr>
                <w:sz w:val="21"/>
                <w:szCs w:val="21"/>
              </w:rPr>
              <w:t>）</w:t>
            </w:r>
          </w:p>
        </w:tc>
        <w:tc>
          <w:tcPr>
            <w:tcW w:w="935" w:type="pct"/>
            <w:vAlign w:val="center"/>
          </w:tcPr>
          <w:p w14:paraId="35B6B313" w14:textId="77777777" w:rsidR="002451CD" w:rsidRPr="00796C46" w:rsidRDefault="002451CD" w:rsidP="00796C46">
            <w:pPr>
              <w:pStyle w:val="TableParagraph"/>
              <w:jc w:val="center"/>
              <w:rPr>
                <w:sz w:val="21"/>
                <w:szCs w:val="21"/>
              </w:rPr>
            </w:pPr>
          </w:p>
        </w:tc>
        <w:tc>
          <w:tcPr>
            <w:tcW w:w="935" w:type="pct"/>
            <w:vAlign w:val="center"/>
          </w:tcPr>
          <w:p w14:paraId="3D00A703" w14:textId="77777777" w:rsidR="002451CD" w:rsidRPr="00796C46" w:rsidRDefault="002451CD" w:rsidP="00796C46">
            <w:pPr>
              <w:pStyle w:val="TableParagraph"/>
              <w:jc w:val="center"/>
              <w:rPr>
                <w:sz w:val="21"/>
                <w:szCs w:val="21"/>
              </w:rPr>
            </w:pPr>
          </w:p>
        </w:tc>
        <w:tc>
          <w:tcPr>
            <w:tcW w:w="934" w:type="pct"/>
            <w:vAlign w:val="center"/>
          </w:tcPr>
          <w:p w14:paraId="5D13E006" w14:textId="77777777" w:rsidR="002451CD" w:rsidRPr="00796C46" w:rsidRDefault="002451CD" w:rsidP="00796C46">
            <w:pPr>
              <w:pStyle w:val="TableParagraph"/>
              <w:jc w:val="center"/>
              <w:rPr>
                <w:sz w:val="21"/>
                <w:szCs w:val="21"/>
              </w:rPr>
            </w:pPr>
          </w:p>
        </w:tc>
      </w:tr>
      <w:tr w:rsidR="002451CD" w:rsidRPr="00796C46" w14:paraId="78CBE756" w14:textId="77777777" w:rsidTr="00796C46">
        <w:trPr>
          <w:trHeight w:val="340"/>
          <w:jc w:val="center"/>
        </w:trPr>
        <w:tc>
          <w:tcPr>
            <w:tcW w:w="1136" w:type="pct"/>
            <w:vMerge w:val="restart"/>
            <w:vAlign w:val="center"/>
          </w:tcPr>
          <w:p w14:paraId="26551291" w14:textId="77777777" w:rsidR="002451CD" w:rsidRPr="002451CD" w:rsidRDefault="002451CD" w:rsidP="00796C46">
            <w:pPr>
              <w:pStyle w:val="TableParagraph"/>
              <w:jc w:val="center"/>
              <w:rPr>
                <w:sz w:val="21"/>
                <w:szCs w:val="21"/>
              </w:rPr>
            </w:pPr>
            <w:r w:rsidRPr="002451CD">
              <w:rPr>
                <w:sz w:val="21"/>
                <w:szCs w:val="21"/>
              </w:rPr>
              <w:t>评估价值</w:t>
            </w:r>
          </w:p>
        </w:tc>
        <w:tc>
          <w:tcPr>
            <w:tcW w:w="1059" w:type="pct"/>
            <w:vAlign w:val="center"/>
          </w:tcPr>
          <w:p w14:paraId="28B61B4B" w14:textId="77777777" w:rsidR="002451CD" w:rsidRPr="002451CD" w:rsidRDefault="002451CD" w:rsidP="00796C46">
            <w:pPr>
              <w:pStyle w:val="TableParagraph"/>
              <w:jc w:val="both"/>
              <w:rPr>
                <w:sz w:val="21"/>
                <w:szCs w:val="21"/>
              </w:rPr>
            </w:pPr>
            <w:r w:rsidRPr="002451CD">
              <w:rPr>
                <w:sz w:val="21"/>
                <w:szCs w:val="21"/>
              </w:rPr>
              <w:t>总价（元或万元）</w:t>
            </w:r>
          </w:p>
        </w:tc>
        <w:tc>
          <w:tcPr>
            <w:tcW w:w="935" w:type="pct"/>
            <w:vAlign w:val="center"/>
          </w:tcPr>
          <w:p w14:paraId="6D41E52F" w14:textId="77777777" w:rsidR="002451CD" w:rsidRPr="00796C46" w:rsidRDefault="002451CD" w:rsidP="00796C46">
            <w:pPr>
              <w:pStyle w:val="TableParagraph"/>
              <w:jc w:val="center"/>
              <w:rPr>
                <w:sz w:val="21"/>
                <w:szCs w:val="21"/>
              </w:rPr>
            </w:pPr>
          </w:p>
        </w:tc>
        <w:tc>
          <w:tcPr>
            <w:tcW w:w="935" w:type="pct"/>
            <w:vAlign w:val="center"/>
          </w:tcPr>
          <w:p w14:paraId="14022D38" w14:textId="77777777" w:rsidR="002451CD" w:rsidRPr="00796C46" w:rsidRDefault="002451CD" w:rsidP="00796C46">
            <w:pPr>
              <w:pStyle w:val="TableParagraph"/>
              <w:jc w:val="center"/>
              <w:rPr>
                <w:sz w:val="21"/>
                <w:szCs w:val="21"/>
              </w:rPr>
            </w:pPr>
          </w:p>
        </w:tc>
        <w:tc>
          <w:tcPr>
            <w:tcW w:w="934" w:type="pct"/>
            <w:vAlign w:val="center"/>
          </w:tcPr>
          <w:p w14:paraId="328D7B9C" w14:textId="77777777" w:rsidR="002451CD" w:rsidRPr="00796C46" w:rsidRDefault="002451CD" w:rsidP="00796C46">
            <w:pPr>
              <w:pStyle w:val="TableParagraph"/>
              <w:jc w:val="center"/>
              <w:rPr>
                <w:sz w:val="21"/>
                <w:szCs w:val="21"/>
              </w:rPr>
            </w:pPr>
          </w:p>
        </w:tc>
      </w:tr>
      <w:tr w:rsidR="002451CD" w:rsidRPr="00796C46" w14:paraId="733FD139" w14:textId="77777777" w:rsidTr="00796C46">
        <w:trPr>
          <w:trHeight w:val="340"/>
          <w:jc w:val="center"/>
        </w:trPr>
        <w:tc>
          <w:tcPr>
            <w:tcW w:w="1136" w:type="pct"/>
            <w:vMerge/>
            <w:tcBorders>
              <w:top w:val="nil"/>
            </w:tcBorders>
            <w:vAlign w:val="center"/>
          </w:tcPr>
          <w:p w14:paraId="4176BC03" w14:textId="77777777" w:rsidR="002451CD" w:rsidRPr="002451CD" w:rsidRDefault="002451CD" w:rsidP="00796C46">
            <w:pPr>
              <w:jc w:val="center"/>
              <w:rPr>
                <w:sz w:val="21"/>
                <w:szCs w:val="21"/>
              </w:rPr>
            </w:pPr>
          </w:p>
        </w:tc>
        <w:tc>
          <w:tcPr>
            <w:tcW w:w="1059" w:type="pct"/>
            <w:vAlign w:val="center"/>
          </w:tcPr>
          <w:p w14:paraId="03179CFB" w14:textId="77777777" w:rsidR="002451CD" w:rsidRPr="002451CD" w:rsidRDefault="002451CD" w:rsidP="00796C46">
            <w:pPr>
              <w:pStyle w:val="TableParagraph"/>
              <w:jc w:val="both"/>
              <w:rPr>
                <w:sz w:val="21"/>
                <w:szCs w:val="21"/>
              </w:rPr>
            </w:pPr>
            <w:r w:rsidRPr="002451CD">
              <w:rPr>
                <w:sz w:val="21"/>
                <w:szCs w:val="21"/>
              </w:rPr>
              <w:t>单价（元</w:t>
            </w:r>
            <w:r w:rsidRPr="00796C46">
              <w:rPr>
                <w:sz w:val="21"/>
                <w:szCs w:val="21"/>
              </w:rPr>
              <w:t>/m2</w:t>
            </w:r>
            <w:r w:rsidRPr="002451CD">
              <w:rPr>
                <w:sz w:val="21"/>
                <w:szCs w:val="21"/>
              </w:rPr>
              <w:t>）</w:t>
            </w:r>
          </w:p>
        </w:tc>
        <w:tc>
          <w:tcPr>
            <w:tcW w:w="935" w:type="pct"/>
            <w:vAlign w:val="center"/>
          </w:tcPr>
          <w:p w14:paraId="3BEDED26" w14:textId="77777777" w:rsidR="002451CD" w:rsidRPr="00796C46" w:rsidRDefault="002451CD" w:rsidP="00796C46">
            <w:pPr>
              <w:pStyle w:val="TableParagraph"/>
              <w:jc w:val="center"/>
              <w:rPr>
                <w:sz w:val="21"/>
                <w:szCs w:val="21"/>
              </w:rPr>
            </w:pPr>
          </w:p>
        </w:tc>
        <w:tc>
          <w:tcPr>
            <w:tcW w:w="935" w:type="pct"/>
            <w:vAlign w:val="center"/>
          </w:tcPr>
          <w:p w14:paraId="31AFABD7" w14:textId="77777777" w:rsidR="002451CD" w:rsidRPr="00796C46" w:rsidRDefault="002451CD" w:rsidP="00796C46">
            <w:pPr>
              <w:pStyle w:val="TableParagraph"/>
              <w:jc w:val="center"/>
              <w:rPr>
                <w:sz w:val="21"/>
                <w:szCs w:val="21"/>
              </w:rPr>
            </w:pPr>
          </w:p>
        </w:tc>
        <w:tc>
          <w:tcPr>
            <w:tcW w:w="934" w:type="pct"/>
            <w:vAlign w:val="center"/>
          </w:tcPr>
          <w:p w14:paraId="3B602A34" w14:textId="77777777" w:rsidR="002451CD" w:rsidRPr="00796C46" w:rsidRDefault="002451CD" w:rsidP="00796C46">
            <w:pPr>
              <w:pStyle w:val="TableParagraph"/>
              <w:jc w:val="center"/>
              <w:rPr>
                <w:sz w:val="21"/>
                <w:szCs w:val="21"/>
              </w:rPr>
            </w:pPr>
          </w:p>
        </w:tc>
      </w:tr>
    </w:tbl>
    <w:p w14:paraId="724A6AB8" w14:textId="77777777" w:rsidR="002451CD" w:rsidRDefault="002451CD" w:rsidP="002451CD">
      <w:pPr>
        <w:pStyle w:val="13"/>
      </w:pPr>
      <w:r>
        <w:t>2）除房地产抵押估价外，当估价对象为多宗房地产时，可按表 7.0.17-2 说明不同估</w:t>
      </w:r>
      <w:r>
        <w:rPr>
          <w:rFonts w:hint="eastAsia"/>
        </w:rPr>
        <w:t>价方法的测算结果和最终评估价值；</w:t>
      </w:r>
    </w:p>
    <w:p w14:paraId="2BED0E27" w14:textId="77777777" w:rsidR="002451CD" w:rsidRDefault="002451CD" w:rsidP="002451CD">
      <w:pPr>
        <w:pStyle w:val="13"/>
        <w:jc w:val="center"/>
      </w:pPr>
      <w:r>
        <w:rPr>
          <w:rFonts w:hint="eastAsia"/>
        </w:rPr>
        <w:t>表</w:t>
      </w:r>
      <w:r>
        <w:t xml:space="preserve"> 7.0.17-2 估价结果汇总表</w:t>
      </w:r>
    </w:p>
    <w:p w14:paraId="2A2CC13A" w14:textId="4C34ADCD" w:rsidR="002451CD" w:rsidRDefault="002451CD" w:rsidP="00796C46">
      <w:pPr>
        <w:pStyle w:val="13"/>
        <w:jc w:val="right"/>
      </w:pPr>
      <w:r>
        <w:rPr>
          <w:rFonts w:hint="eastAsia"/>
        </w:rPr>
        <w:t>币种</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1870"/>
        <w:gridCol w:w="1235"/>
        <w:gridCol w:w="1235"/>
        <w:gridCol w:w="1238"/>
        <w:gridCol w:w="1435"/>
      </w:tblGrid>
      <w:tr w:rsidR="002451CD" w:rsidRPr="00796C46" w14:paraId="66C5F83C" w14:textId="77777777" w:rsidTr="00796C46">
        <w:trPr>
          <w:trHeight w:val="340"/>
          <w:tblHeader/>
          <w:jc w:val="center"/>
        </w:trPr>
        <w:tc>
          <w:tcPr>
            <w:tcW w:w="2050" w:type="pct"/>
            <w:gridSpan w:val="2"/>
            <w:vMerge w:val="restart"/>
            <w:tcBorders>
              <w:tl2br w:val="single" w:sz="4" w:space="0" w:color="auto"/>
            </w:tcBorders>
            <w:vAlign w:val="center"/>
          </w:tcPr>
          <w:p w14:paraId="11FD9C13" w14:textId="77777777" w:rsidR="002451CD" w:rsidRPr="00796C46" w:rsidRDefault="002451CD" w:rsidP="00796C46">
            <w:pPr>
              <w:pStyle w:val="TableParagraph"/>
              <w:jc w:val="right"/>
              <w:rPr>
                <w:sz w:val="21"/>
                <w:szCs w:val="21"/>
              </w:rPr>
            </w:pPr>
            <w:r w:rsidRPr="00796C46">
              <w:rPr>
                <w:sz w:val="21"/>
                <w:szCs w:val="21"/>
              </w:rPr>
              <w:t>估价方法</w:t>
            </w:r>
          </w:p>
          <w:p w14:paraId="49593BC0" w14:textId="77777777" w:rsidR="002451CD" w:rsidRPr="00796C46" w:rsidRDefault="002451CD" w:rsidP="00796C46">
            <w:pPr>
              <w:pStyle w:val="TableParagraph"/>
              <w:rPr>
                <w:sz w:val="21"/>
                <w:szCs w:val="21"/>
              </w:rPr>
            </w:pPr>
            <w:r w:rsidRPr="00796C46">
              <w:rPr>
                <w:sz w:val="21"/>
                <w:szCs w:val="21"/>
              </w:rPr>
              <w:t>相关结果</w:t>
            </w:r>
          </w:p>
        </w:tc>
        <w:tc>
          <w:tcPr>
            <w:tcW w:w="2126" w:type="pct"/>
            <w:gridSpan w:val="3"/>
            <w:vAlign w:val="center"/>
          </w:tcPr>
          <w:p w14:paraId="7F560D16" w14:textId="77777777" w:rsidR="002451CD" w:rsidRPr="00796C46" w:rsidRDefault="002451CD" w:rsidP="00796C46">
            <w:pPr>
              <w:pStyle w:val="TableParagraph"/>
              <w:jc w:val="center"/>
              <w:rPr>
                <w:sz w:val="21"/>
                <w:szCs w:val="21"/>
              </w:rPr>
            </w:pPr>
            <w:r w:rsidRPr="00796C46">
              <w:rPr>
                <w:sz w:val="21"/>
                <w:szCs w:val="21"/>
              </w:rPr>
              <w:t>测算结果</w:t>
            </w:r>
          </w:p>
        </w:tc>
        <w:tc>
          <w:tcPr>
            <w:tcW w:w="823" w:type="pct"/>
            <w:vMerge w:val="restart"/>
            <w:vAlign w:val="center"/>
          </w:tcPr>
          <w:p w14:paraId="115436C6" w14:textId="77777777" w:rsidR="002451CD" w:rsidRPr="00796C46" w:rsidRDefault="002451CD" w:rsidP="00796C46">
            <w:pPr>
              <w:pStyle w:val="TableParagraph"/>
              <w:jc w:val="center"/>
              <w:rPr>
                <w:sz w:val="21"/>
                <w:szCs w:val="21"/>
              </w:rPr>
            </w:pPr>
            <w:r w:rsidRPr="00796C46">
              <w:rPr>
                <w:sz w:val="21"/>
                <w:szCs w:val="21"/>
              </w:rPr>
              <w:t>估价结果</w:t>
            </w:r>
          </w:p>
        </w:tc>
      </w:tr>
      <w:tr w:rsidR="002451CD" w:rsidRPr="00796C46" w14:paraId="6D7D7CBE" w14:textId="77777777" w:rsidTr="00796C46">
        <w:trPr>
          <w:trHeight w:val="340"/>
          <w:tblHeader/>
          <w:jc w:val="center"/>
        </w:trPr>
        <w:tc>
          <w:tcPr>
            <w:tcW w:w="2050" w:type="pct"/>
            <w:gridSpan w:val="2"/>
            <w:vMerge/>
            <w:tcBorders>
              <w:top w:val="single" w:sz="4" w:space="0" w:color="000000"/>
              <w:tl2br w:val="single" w:sz="4" w:space="0" w:color="auto"/>
            </w:tcBorders>
            <w:vAlign w:val="center"/>
          </w:tcPr>
          <w:p w14:paraId="53D0F960" w14:textId="77777777" w:rsidR="002451CD" w:rsidRPr="00796C46" w:rsidRDefault="002451CD" w:rsidP="00796C46">
            <w:pPr>
              <w:jc w:val="center"/>
              <w:rPr>
                <w:sz w:val="21"/>
                <w:szCs w:val="21"/>
              </w:rPr>
            </w:pPr>
          </w:p>
        </w:tc>
        <w:tc>
          <w:tcPr>
            <w:tcW w:w="708" w:type="pct"/>
            <w:vAlign w:val="center"/>
          </w:tcPr>
          <w:p w14:paraId="12FBC114" w14:textId="77777777" w:rsidR="002451CD" w:rsidRPr="00796C46" w:rsidRDefault="002451CD" w:rsidP="00796C46">
            <w:pPr>
              <w:pStyle w:val="TableParagraph"/>
              <w:jc w:val="center"/>
              <w:rPr>
                <w:rFonts w:ascii="Times New Roman"/>
                <w:sz w:val="21"/>
                <w:szCs w:val="21"/>
              </w:rPr>
            </w:pPr>
          </w:p>
        </w:tc>
        <w:tc>
          <w:tcPr>
            <w:tcW w:w="708" w:type="pct"/>
            <w:vAlign w:val="center"/>
          </w:tcPr>
          <w:p w14:paraId="5F2AD0A4" w14:textId="77777777" w:rsidR="002451CD" w:rsidRPr="00796C46" w:rsidRDefault="002451CD" w:rsidP="00796C46">
            <w:pPr>
              <w:pStyle w:val="TableParagraph"/>
              <w:jc w:val="center"/>
              <w:rPr>
                <w:rFonts w:ascii="Times New Roman"/>
                <w:sz w:val="21"/>
                <w:szCs w:val="21"/>
              </w:rPr>
            </w:pPr>
          </w:p>
        </w:tc>
        <w:tc>
          <w:tcPr>
            <w:tcW w:w="710" w:type="pct"/>
            <w:vAlign w:val="center"/>
          </w:tcPr>
          <w:p w14:paraId="0892FC26" w14:textId="77777777" w:rsidR="002451CD" w:rsidRPr="00796C46" w:rsidRDefault="002451CD" w:rsidP="00796C46">
            <w:pPr>
              <w:pStyle w:val="TableParagraph"/>
              <w:jc w:val="center"/>
              <w:rPr>
                <w:rFonts w:ascii="Times New Roman"/>
                <w:sz w:val="21"/>
                <w:szCs w:val="21"/>
              </w:rPr>
            </w:pPr>
          </w:p>
        </w:tc>
        <w:tc>
          <w:tcPr>
            <w:tcW w:w="823" w:type="pct"/>
            <w:vMerge/>
            <w:tcBorders>
              <w:top w:val="nil"/>
            </w:tcBorders>
            <w:vAlign w:val="center"/>
          </w:tcPr>
          <w:p w14:paraId="09DFE5BF" w14:textId="77777777" w:rsidR="002451CD" w:rsidRPr="00796C46" w:rsidRDefault="002451CD" w:rsidP="00796C46">
            <w:pPr>
              <w:jc w:val="center"/>
              <w:rPr>
                <w:sz w:val="21"/>
                <w:szCs w:val="21"/>
              </w:rPr>
            </w:pPr>
          </w:p>
        </w:tc>
      </w:tr>
      <w:tr w:rsidR="002451CD" w:rsidRPr="00796C46" w14:paraId="2F8FEA0E" w14:textId="77777777" w:rsidTr="00796C46">
        <w:trPr>
          <w:trHeight w:val="340"/>
          <w:jc w:val="center"/>
        </w:trPr>
        <w:tc>
          <w:tcPr>
            <w:tcW w:w="978" w:type="pct"/>
            <w:vMerge w:val="restart"/>
            <w:vAlign w:val="center"/>
          </w:tcPr>
          <w:p w14:paraId="3E7CF2DB" w14:textId="77777777" w:rsidR="002451CD" w:rsidRPr="00796C46" w:rsidRDefault="002451CD" w:rsidP="00796C46">
            <w:pPr>
              <w:pStyle w:val="TableParagraph"/>
              <w:jc w:val="center"/>
              <w:rPr>
                <w:rFonts w:ascii="Times New Roman" w:eastAsia="Times New Roman"/>
                <w:sz w:val="21"/>
                <w:szCs w:val="21"/>
              </w:rPr>
            </w:pPr>
            <w:r w:rsidRPr="00796C46">
              <w:rPr>
                <w:sz w:val="21"/>
                <w:szCs w:val="21"/>
              </w:rPr>
              <w:t xml:space="preserve">估价对象 </w:t>
            </w:r>
            <w:r w:rsidRPr="00796C46">
              <w:rPr>
                <w:rFonts w:ascii="Times New Roman" w:eastAsia="Times New Roman"/>
                <w:sz w:val="21"/>
                <w:szCs w:val="21"/>
              </w:rPr>
              <w:t>1</w:t>
            </w:r>
          </w:p>
        </w:tc>
        <w:tc>
          <w:tcPr>
            <w:tcW w:w="1072" w:type="pct"/>
            <w:vAlign w:val="center"/>
          </w:tcPr>
          <w:p w14:paraId="5A7D9387" w14:textId="77777777" w:rsidR="002451CD" w:rsidRPr="00796C46" w:rsidRDefault="002451CD" w:rsidP="00796C46">
            <w:pPr>
              <w:pStyle w:val="TableParagraph"/>
              <w:jc w:val="both"/>
              <w:rPr>
                <w:sz w:val="21"/>
                <w:szCs w:val="21"/>
              </w:rPr>
            </w:pPr>
            <w:r w:rsidRPr="00796C46">
              <w:rPr>
                <w:sz w:val="21"/>
                <w:szCs w:val="21"/>
              </w:rPr>
              <w:t>总价（元或万元）</w:t>
            </w:r>
          </w:p>
        </w:tc>
        <w:tc>
          <w:tcPr>
            <w:tcW w:w="708" w:type="pct"/>
            <w:vAlign w:val="center"/>
          </w:tcPr>
          <w:p w14:paraId="1E9175F7" w14:textId="77777777" w:rsidR="002451CD" w:rsidRPr="00796C46" w:rsidRDefault="002451CD" w:rsidP="00796C46">
            <w:pPr>
              <w:pStyle w:val="TableParagraph"/>
              <w:jc w:val="center"/>
              <w:rPr>
                <w:sz w:val="21"/>
                <w:szCs w:val="21"/>
              </w:rPr>
            </w:pPr>
          </w:p>
        </w:tc>
        <w:tc>
          <w:tcPr>
            <w:tcW w:w="708" w:type="pct"/>
            <w:vAlign w:val="center"/>
          </w:tcPr>
          <w:p w14:paraId="4D6748FD" w14:textId="77777777" w:rsidR="002451CD" w:rsidRPr="00796C46" w:rsidRDefault="002451CD" w:rsidP="00796C46">
            <w:pPr>
              <w:pStyle w:val="TableParagraph"/>
              <w:jc w:val="center"/>
              <w:rPr>
                <w:sz w:val="21"/>
                <w:szCs w:val="21"/>
              </w:rPr>
            </w:pPr>
          </w:p>
        </w:tc>
        <w:tc>
          <w:tcPr>
            <w:tcW w:w="710" w:type="pct"/>
            <w:vAlign w:val="center"/>
          </w:tcPr>
          <w:p w14:paraId="0E67FDF6" w14:textId="77777777" w:rsidR="002451CD" w:rsidRPr="00796C46" w:rsidRDefault="002451CD" w:rsidP="00796C46">
            <w:pPr>
              <w:pStyle w:val="TableParagraph"/>
              <w:jc w:val="center"/>
              <w:rPr>
                <w:sz w:val="21"/>
                <w:szCs w:val="21"/>
              </w:rPr>
            </w:pPr>
          </w:p>
        </w:tc>
        <w:tc>
          <w:tcPr>
            <w:tcW w:w="823" w:type="pct"/>
            <w:vAlign w:val="center"/>
          </w:tcPr>
          <w:p w14:paraId="468676FF" w14:textId="77777777" w:rsidR="002451CD" w:rsidRPr="00796C46" w:rsidRDefault="002451CD" w:rsidP="00796C46">
            <w:pPr>
              <w:pStyle w:val="TableParagraph"/>
              <w:jc w:val="center"/>
              <w:rPr>
                <w:sz w:val="21"/>
                <w:szCs w:val="21"/>
              </w:rPr>
            </w:pPr>
          </w:p>
        </w:tc>
      </w:tr>
      <w:tr w:rsidR="002451CD" w:rsidRPr="00796C46" w14:paraId="25B9891A" w14:textId="77777777" w:rsidTr="00796C46">
        <w:trPr>
          <w:trHeight w:val="340"/>
          <w:jc w:val="center"/>
        </w:trPr>
        <w:tc>
          <w:tcPr>
            <w:tcW w:w="978" w:type="pct"/>
            <w:vMerge/>
            <w:tcBorders>
              <w:top w:val="nil"/>
            </w:tcBorders>
            <w:vAlign w:val="center"/>
          </w:tcPr>
          <w:p w14:paraId="3F12F79F" w14:textId="77777777" w:rsidR="002451CD" w:rsidRPr="00796C46" w:rsidRDefault="002451CD" w:rsidP="00796C46">
            <w:pPr>
              <w:jc w:val="center"/>
              <w:rPr>
                <w:sz w:val="21"/>
                <w:szCs w:val="21"/>
              </w:rPr>
            </w:pPr>
          </w:p>
        </w:tc>
        <w:tc>
          <w:tcPr>
            <w:tcW w:w="1072" w:type="pct"/>
            <w:vAlign w:val="center"/>
          </w:tcPr>
          <w:p w14:paraId="55B2751D" w14:textId="77777777" w:rsidR="002451CD" w:rsidRPr="00796C46" w:rsidRDefault="002451CD" w:rsidP="00796C46">
            <w:pPr>
              <w:pStyle w:val="TableParagraph"/>
              <w:jc w:val="both"/>
              <w:rPr>
                <w:sz w:val="21"/>
                <w:szCs w:val="21"/>
              </w:rPr>
            </w:pPr>
            <w:r w:rsidRPr="00796C46">
              <w:rPr>
                <w:sz w:val="21"/>
                <w:szCs w:val="21"/>
              </w:rPr>
              <w:t>单价（元/ m2）</w:t>
            </w:r>
          </w:p>
        </w:tc>
        <w:tc>
          <w:tcPr>
            <w:tcW w:w="708" w:type="pct"/>
            <w:vAlign w:val="center"/>
          </w:tcPr>
          <w:p w14:paraId="3A43B805" w14:textId="77777777" w:rsidR="002451CD" w:rsidRPr="00796C46" w:rsidRDefault="002451CD" w:rsidP="00796C46">
            <w:pPr>
              <w:pStyle w:val="TableParagraph"/>
              <w:jc w:val="center"/>
              <w:rPr>
                <w:sz w:val="21"/>
                <w:szCs w:val="21"/>
              </w:rPr>
            </w:pPr>
          </w:p>
        </w:tc>
        <w:tc>
          <w:tcPr>
            <w:tcW w:w="708" w:type="pct"/>
            <w:vAlign w:val="center"/>
          </w:tcPr>
          <w:p w14:paraId="52F77387" w14:textId="77777777" w:rsidR="002451CD" w:rsidRPr="00796C46" w:rsidRDefault="002451CD" w:rsidP="00796C46">
            <w:pPr>
              <w:pStyle w:val="TableParagraph"/>
              <w:jc w:val="center"/>
              <w:rPr>
                <w:sz w:val="21"/>
                <w:szCs w:val="21"/>
              </w:rPr>
            </w:pPr>
          </w:p>
        </w:tc>
        <w:tc>
          <w:tcPr>
            <w:tcW w:w="710" w:type="pct"/>
            <w:vAlign w:val="center"/>
          </w:tcPr>
          <w:p w14:paraId="7A17E877" w14:textId="77777777" w:rsidR="002451CD" w:rsidRPr="00796C46" w:rsidRDefault="002451CD" w:rsidP="00796C46">
            <w:pPr>
              <w:pStyle w:val="TableParagraph"/>
              <w:jc w:val="center"/>
              <w:rPr>
                <w:sz w:val="21"/>
                <w:szCs w:val="21"/>
              </w:rPr>
            </w:pPr>
          </w:p>
        </w:tc>
        <w:tc>
          <w:tcPr>
            <w:tcW w:w="823" w:type="pct"/>
            <w:vAlign w:val="center"/>
          </w:tcPr>
          <w:p w14:paraId="023E290D" w14:textId="77777777" w:rsidR="002451CD" w:rsidRPr="00796C46" w:rsidRDefault="002451CD" w:rsidP="00796C46">
            <w:pPr>
              <w:pStyle w:val="TableParagraph"/>
              <w:jc w:val="center"/>
              <w:rPr>
                <w:sz w:val="21"/>
                <w:szCs w:val="21"/>
              </w:rPr>
            </w:pPr>
          </w:p>
        </w:tc>
      </w:tr>
      <w:tr w:rsidR="002451CD" w:rsidRPr="00796C46" w14:paraId="36A2A494" w14:textId="77777777" w:rsidTr="00796C46">
        <w:trPr>
          <w:trHeight w:val="340"/>
          <w:jc w:val="center"/>
        </w:trPr>
        <w:tc>
          <w:tcPr>
            <w:tcW w:w="978" w:type="pct"/>
            <w:vMerge w:val="restart"/>
            <w:vAlign w:val="center"/>
          </w:tcPr>
          <w:p w14:paraId="3AA100FB" w14:textId="77777777" w:rsidR="002451CD" w:rsidRPr="00796C46" w:rsidRDefault="002451CD" w:rsidP="00796C46">
            <w:pPr>
              <w:pStyle w:val="TableParagraph"/>
              <w:jc w:val="center"/>
              <w:rPr>
                <w:rFonts w:ascii="Times New Roman" w:eastAsia="Times New Roman"/>
                <w:sz w:val="21"/>
                <w:szCs w:val="21"/>
              </w:rPr>
            </w:pPr>
            <w:r w:rsidRPr="00796C46">
              <w:rPr>
                <w:sz w:val="21"/>
                <w:szCs w:val="21"/>
              </w:rPr>
              <w:t xml:space="preserve">估价对象 </w:t>
            </w:r>
            <w:r w:rsidRPr="00796C46">
              <w:rPr>
                <w:rFonts w:ascii="Times New Roman" w:eastAsia="Times New Roman"/>
                <w:sz w:val="21"/>
                <w:szCs w:val="21"/>
              </w:rPr>
              <w:t>2</w:t>
            </w:r>
          </w:p>
        </w:tc>
        <w:tc>
          <w:tcPr>
            <w:tcW w:w="1072" w:type="pct"/>
            <w:vAlign w:val="center"/>
          </w:tcPr>
          <w:p w14:paraId="4DAF7E37" w14:textId="77777777" w:rsidR="002451CD" w:rsidRPr="00796C46" w:rsidRDefault="002451CD" w:rsidP="00796C46">
            <w:pPr>
              <w:pStyle w:val="TableParagraph"/>
              <w:jc w:val="both"/>
              <w:rPr>
                <w:sz w:val="21"/>
                <w:szCs w:val="21"/>
              </w:rPr>
            </w:pPr>
            <w:r w:rsidRPr="00796C46">
              <w:rPr>
                <w:sz w:val="21"/>
                <w:szCs w:val="21"/>
              </w:rPr>
              <w:t>总价（元或万元）</w:t>
            </w:r>
          </w:p>
        </w:tc>
        <w:tc>
          <w:tcPr>
            <w:tcW w:w="708" w:type="pct"/>
            <w:vAlign w:val="center"/>
          </w:tcPr>
          <w:p w14:paraId="6089E66F" w14:textId="77777777" w:rsidR="002451CD" w:rsidRPr="00796C46" w:rsidRDefault="002451CD" w:rsidP="00796C46">
            <w:pPr>
              <w:pStyle w:val="TableParagraph"/>
              <w:jc w:val="center"/>
              <w:rPr>
                <w:sz w:val="21"/>
                <w:szCs w:val="21"/>
              </w:rPr>
            </w:pPr>
          </w:p>
        </w:tc>
        <w:tc>
          <w:tcPr>
            <w:tcW w:w="708" w:type="pct"/>
            <w:vAlign w:val="center"/>
          </w:tcPr>
          <w:p w14:paraId="255A2417" w14:textId="77777777" w:rsidR="002451CD" w:rsidRPr="00796C46" w:rsidRDefault="002451CD" w:rsidP="00796C46">
            <w:pPr>
              <w:pStyle w:val="TableParagraph"/>
              <w:jc w:val="center"/>
              <w:rPr>
                <w:sz w:val="21"/>
                <w:szCs w:val="21"/>
              </w:rPr>
            </w:pPr>
          </w:p>
        </w:tc>
        <w:tc>
          <w:tcPr>
            <w:tcW w:w="710" w:type="pct"/>
            <w:vAlign w:val="center"/>
          </w:tcPr>
          <w:p w14:paraId="0E275230" w14:textId="77777777" w:rsidR="002451CD" w:rsidRPr="00796C46" w:rsidRDefault="002451CD" w:rsidP="00796C46">
            <w:pPr>
              <w:pStyle w:val="TableParagraph"/>
              <w:jc w:val="center"/>
              <w:rPr>
                <w:sz w:val="21"/>
                <w:szCs w:val="21"/>
              </w:rPr>
            </w:pPr>
          </w:p>
        </w:tc>
        <w:tc>
          <w:tcPr>
            <w:tcW w:w="823" w:type="pct"/>
            <w:vAlign w:val="center"/>
          </w:tcPr>
          <w:p w14:paraId="1588A806" w14:textId="77777777" w:rsidR="002451CD" w:rsidRPr="00796C46" w:rsidRDefault="002451CD" w:rsidP="00796C46">
            <w:pPr>
              <w:pStyle w:val="TableParagraph"/>
              <w:jc w:val="center"/>
              <w:rPr>
                <w:sz w:val="21"/>
                <w:szCs w:val="21"/>
              </w:rPr>
            </w:pPr>
          </w:p>
        </w:tc>
      </w:tr>
      <w:tr w:rsidR="002451CD" w:rsidRPr="00796C46" w14:paraId="33DFB035" w14:textId="77777777" w:rsidTr="00796C46">
        <w:trPr>
          <w:trHeight w:val="340"/>
          <w:jc w:val="center"/>
        </w:trPr>
        <w:tc>
          <w:tcPr>
            <w:tcW w:w="978" w:type="pct"/>
            <w:vMerge/>
            <w:tcBorders>
              <w:top w:val="nil"/>
            </w:tcBorders>
            <w:vAlign w:val="center"/>
          </w:tcPr>
          <w:p w14:paraId="189096AA" w14:textId="77777777" w:rsidR="002451CD" w:rsidRPr="00796C46" w:rsidRDefault="002451CD" w:rsidP="00796C46">
            <w:pPr>
              <w:jc w:val="center"/>
              <w:rPr>
                <w:sz w:val="21"/>
                <w:szCs w:val="21"/>
              </w:rPr>
            </w:pPr>
          </w:p>
        </w:tc>
        <w:tc>
          <w:tcPr>
            <w:tcW w:w="1072" w:type="pct"/>
            <w:vAlign w:val="center"/>
          </w:tcPr>
          <w:p w14:paraId="7DF0A383" w14:textId="77777777" w:rsidR="002451CD" w:rsidRPr="00796C46" w:rsidRDefault="002451CD" w:rsidP="00796C46">
            <w:pPr>
              <w:pStyle w:val="TableParagraph"/>
              <w:jc w:val="both"/>
              <w:rPr>
                <w:sz w:val="21"/>
                <w:szCs w:val="21"/>
              </w:rPr>
            </w:pPr>
            <w:r w:rsidRPr="00796C46">
              <w:rPr>
                <w:sz w:val="21"/>
                <w:szCs w:val="21"/>
              </w:rPr>
              <w:t>单价（元/ m2）</w:t>
            </w:r>
          </w:p>
        </w:tc>
        <w:tc>
          <w:tcPr>
            <w:tcW w:w="708" w:type="pct"/>
            <w:vAlign w:val="center"/>
          </w:tcPr>
          <w:p w14:paraId="13BDDBCB" w14:textId="77777777" w:rsidR="002451CD" w:rsidRPr="00796C46" w:rsidRDefault="002451CD" w:rsidP="00796C46">
            <w:pPr>
              <w:pStyle w:val="TableParagraph"/>
              <w:jc w:val="center"/>
              <w:rPr>
                <w:sz w:val="21"/>
                <w:szCs w:val="21"/>
              </w:rPr>
            </w:pPr>
          </w:p>
        </w:tc>
        <w:tc>
          <w:tcPr>
            <w:tcW w:w="708" w:type="pct"/>
            <w:vAlign w:val="center"/>
          </w:tcPr>
          <w:p w14:paraId="75A5B051" w14:textId="77777777" w:rsidR="002451CD" w:rsidRPr="00796C46" w:rsidRDefault="002451CD" w:rsidP="00796C46">
            <w:pPr>
              <w:pStyle w:val="TableParagraph"/>
              <w:jc w:val="center"/>
              <w:rPr>
                <w:sz w:val="21"/>
                <w:szCs w:val="21"/>
              </w:rPr>
            </w:pPr>
          </w:p>
        </w:tc>
        <w:tc>
          <w:tcPr>
            <w:tcW w:w="710" w:type="pct"/>
            <w:vAlign w:val="center"/>
          </w:tcPr>
          <w:p w14:paraId="706A0EC1" w14:textId="77777777" w:rsidR="002451CD" w:rsidRPr="00796C46" w:rsidRDefault="002451CD" w:rsidP="00796C46">
            <w:pPr>
              <w:pStyle w:val="TableParagraph"/>
              <w:jc w:val="center"/>
              <w:rPr>
                <w:sz w:val="21"/>
                <w:szCs w:val="21"/>
              </w:rPr>
            </w:pPr>
          </w:p>
        </w:tc>
        <w:tc>
          <w:tcPr>
            <w:tcW w:w="823" w:type="pct"/>
            <w:vAlign w:val="center"/>
          </w:tcPr>
          <w:p w14:paraId="2FC501B8" w14:textId="77777777" w:rsidR="002451CD" w:rsidRPr="00796C46" w:rsidRDefault="002451CD" w:rsidP="00796C46">
            <w:pPr>
              <w:pStyle w:val="TableParagraph"/>
              <w:jc w:val="center"/>
              <w:rPr>
                <w:sz w:val="21"/>
                <w:szCs w:val="21"/>
              </w:rPr>
            </w:pPr>
          </w:p>
        </w:tc>
      </w:tr>
      <w:tr w:rsidR="00796C46" w:rsidRPr="00796C46" w14:paraId="58370FE8" w14:textId="77777777" w:rsidTr="00796C46">
        <w:trPr>
          <w:trHeight w:val="340"/>
          <w:jc w:val="center"/>
        </w:trPr>
        <w:tc>
          <w:tcPr>
            <w:tcW w:w="978" w:type="pct"/>
            <w:vMerge w:val="restart"/>
            <w:vAlign w:val="center"/>
          </w:tcPr>
          <w:p w14:paraId="2777BC38" w14:textId="77777777" w:rsidR="00796C46" w:rsidRPr="00796C46" w:rsidRDefault="00796C46" w:rsidP="00796C46">
            <w:pPr>
              <w:pStyle w:val="TableParagraph"/>
              <w:jc w:val="center"/>
              <w:rPr>
                <w:rFonts w:ascii="Times New Roman" w:eastAsia="Times New Roman"/>
                <w:sz w:val="21"/>
                <w:szCs w:val="21"/>
              </w:rPr>
            </w:pPr>
            <w:r w:rsidRPr="00796C46">
              <w:rPr>
                <w:sz w:val="21"/>
                <w:szCs w:val="21"/>
              </w:rPr>
              <w:t xml:space="preserve">估价对象 </w:t>
            </w:r>
            <w:r w:rsidRPr="00796C46">
              <w:rPr>
                <w:rFonts w:ascii="Times New Roman" w:eastAsia="Times New Roman"/>
                <w:sz w:val="21"/>
                <w:szCs w:val="21"/>
              </w:rPr>
              <w:t>3</w:t>
            </w:r>
          </w:p>
        </w:tc>
        <w:tc>
          <w:tcPr>
            <w:tcW w:w="1072" w:type="pct"/>
            <w:vAlign w:val="center"/>
          </w:tcPr>
          <w:p w14:paraId="377C7774" w14:textId="77777777" w:rsidR="00796C46" w:rsidRPr="00796C46" w:rsidRDefault="00796C46" w:rsidP="00796C46">
            <w:pPr>
              <w:pStyle w:val="TableParagraph"/>
              <w:jc w:val="both"/>
              <w:rPr>
                <w:sz w:val="21"/>
                <w:szCs w:val="21"/>
              </w:rPr>
            </w:pPr>
            <w:r w:rsidRPr="00796C46">
              <w:rPr>
                <w:sz w:val="21"/>
                <w:szCs w:val="21"/>
              </w:rPr>
              <w:t>总价（元或万元）</w:t>
            </w:r>
          </w:p>
        </w:tc>
        <w:tc>
          <w:tcPr>
            <w:tcW w:w="708" w:type="pct"/>
            <w:vAlign w:val="center"/>
          </w:tcPr>
          <w:p w14:paraId="3CFF5F14" w14:textId="77777777" w:rsidR="00796C46" w:rsidRPr="00796C46" w:rsidRDefault="00796C46" w:rsidP="00796C46">
            <w:pPr>
              <w:pStyle w:val="TableParagraph"/>
              <w:jc w:val="center"/>
              <w:rPr>
                <w:sz w:val="21"/>
                <w:szCs w:val="21"/>
              </w:rPr>
            </w:pPr>
          </w:p>
        </w:tc>
        <w:tc>
          <w:tcPr>
            <w:tcW w:w="708" w:type="pct"/>
            <w:vAlign w:val="center"/>
          </w:tcPr>
          <w:p w14:paraId="2BEF561D" w14:textId="77777777" w:rsidR="00796C46" w:rsidRPr="00796C46" w:rsidRDefault="00796C46" w:rsidP="00796C46">
            <w:pPr>
              <w:pStyle w:val="TableParagraph"/>
              <w:jc w:val="center"/>
              <w:rPr>
                <w:sz w:val="21"/>
                <w:szCs w:val="21"/>
              </w:rPr>
            </w:pPr>
          </w:p>
        </w:tc>
        <w:tc>
          <w:tcPr>
            <w:tcW w:w="710" w:type="pct"/>
            <w:vAlign w:val="center"/>
          </w:tcPr>
          <w:p w14:paraId="17C753D4" w14:textId="77777777" w:rsidR="00796C46" w:rsidRPr="00796C46" w:rsidRDefault="00796C46" w:rsidP="00796C46">
            <w:pPr>
              <w:pStyle w:val="TableParagraph"/>
              <w:jc w:val="center"/>
              <w:rPr>
                <w:sz w:val="21"/>
                <w:szCs w:val="21"/>
              </w:rPr>
            </w:pPr>
          </w:p>
        </w:tc>
        <w:tc>
          <w:tcPr>
            <w:tcW w:w="823" w:type="pct"/>
            <w:vAlign w:val="center"/>
          </w:tcPr>
          <w:p w14:paraId="54E7B5D2" w14:textId="77777777" w:rsidR="00796C46" w:rsidRPr="00796C46" w:rsidRDefault="00796C46" w:rsidP="00796C46">
            <w:pPr>
              <w:pStyle w:val="TableParagraph"/>
              <w:jc w:val="center"/>
              <w:rPr>
                <w:sz w:val="21"/>
                <w:szCs w:val="21"/>
              </w:rPr>
            </w:pPr>
          </w:p>
        </w:tc>
      </w:tr>
      <w:tr w:rsidR="00796C46" w:rsidRPr="00796C46" w14:paraId="5339E26B" w14:textId="77777777" w:rsidTr="00796C46">
        <w:trPr>
          <w:trHeight w:val="340"/>
          <w:jc w:val="center"/>
        </w:trPr>
        <w:tc>
          <w:tcPr>
            <w:tcW w:w="978" w:type="pct"/>
            <w:vMerge/>
            <w:vAlign w:val="center"/>
          </w:tcPr>
          <w:p w14:paraId="536A1038" w14:textId="77777777" w:rsidR="00796C46" w:rsidRPr="00796C46" w:rsidRDefault="00796C46" w:rsidP="00796C46">
            <w:pPr>
              <w:pStyle w:val="TableParagraph"/>
              <w:jc w:val="center"/>
              <w:rPr>
                <w:rFonts w:ascii="Times New Roman"/>
                <w:sz w:val="21"/>
                <w:szCs w:val="21"/>
              </w:rPr>
            </w:pPr>
          </w:p>
        </w:tc>
        <w:tc>
          <w:tcPr>
            <w:tcW w:w="1072" w:type="pct"/>
            <w:vAlign w:val="center"/>
          </w:tcPr>
          <w:p w14:paraId="26FD257D" w14:textId="77777777" w:rsidR="00796C46" w:rsidRPr="00796C46" w:rsidRDefault="00796C46" w:rsidP="00796C46">
            <w:pPr>
              <w:pStyle w:val="TableParagraph"/>
              <w:jc w:val="both"/>
              <w:rPr>
                <w:sz w:val="21"/>
                <w:szCs w:val="21"/>
              </w:rPr>
            </w:pPr>
            <w:r w:rsidRPr="00796C46">
              <w:rPr>
                <w:sz w:val="21"/>
                <w:szCs w:val="21"/>
              </w:rPr>
              <w:t>单价（元/ m2）</w:t>
            </w:r>
          </w:p>
        </w:tc>
        <w:tc>
          <w:tcPr>
            <w:tcW w:w="708" w:type="pct"/>
            <w:vAlign w:val="center"/>
          </w:tcPr>
          <w:p w14:paraId="5893EA86" w14:textId="77777777" w:rsidR="00796C46" w:rsidRPr="00796C46" w:rsidRDefault="00796C46" w:rsidP="00796C46">
            <w:pPr>
              <w:pStyle w:val="TableParagraph"/>
              <w:jc w:val="center"/>
              <w:rPr>
                <w:sz w:val="21"/>
                <w:szCs w:val="21"/>
              </w:rPr>
            </w:pPr>
          </w:p>
        </w:tc>
        <w:tc>
          <w:tcPr>
            <w:tcW w:w="708" w:type="pct"/>
            <w:vAlign w:val="center"/>
          </w:tcPr>
          <w:p w14:paraId="3D9906C6" w14:textId="77777777" w:rsidR="00796C46" w:rsidRPr="00796C46" w:rsidRDefault="00796C46" w:rsidP="00796C46">
            <w:pPr>
              <w:pStyle w:val="TableParagraph"/>
              <w:jc w:val="center"/>
              <w:rPr>
                <w:sz w:val="21"/>
                <w:szCs w:val="21"/>
              </w:rPr>
            </w:pPr>
          </w:p>
        </w:tc>
        <w:tc>
          <w:tcPr>
            <w:tcW w:w="710" w:type="pct"/>
            <w:vAlign w:val="center"/>
          </w:tcPr>
          <w:p w14:paraId="32A5A994" w14:textId="77777777" w:rsidR="00796C46" w:rsidRPr="00796C46" w:rsidRDefault="00796C46" w:rsidP="00796C46">
            <w:pPr>
              <w:pStyle w:val="TableParagraph"/>
              <w:jc w:val="center"/>
              <w:rPr>
                <w:sz w:val="21"/>
                <w:szCs w:val="21"/>
              </w:rPr>
            </w:pPr>
          </w:p>
        </w:tc>
        <w:tc>
          <w:tcPr>
            <w:tcW w:w="823" w:type="pct"/>
            <w:vAlign w:val="center"/>
          </w:tcPr>
          <w:p w14:paraId="18676FD4" w14:textId="77777777" w:rsidR="00796C46" w:rsidRPr="00796C46" w:rsidRDefault="00796C46" w:rsidP="00796C46">
            <w:pPr>
              <w:pStyle w:val="TableParagraph"/>
              <w:jc w:val="center"/>
              <w:rPr>
                <w:sz w:val="21"/>
                <w:szCs w:val="21"/>
              </w:rPr>
            </w:pPr>
          </w:p>
        </w:tc>
      </w:tr>
      <w:tr w:rsidR="002451CD" w:rsidRPr="00796C46" w14:paraId="77F5D713" w14:textId="77777777" w:rsidTr="00796C46">
        <w:trPr>
          <w:trHeight w:val="340"/>
          <w:jc w:val="center"/>
        </w:trPr>
        <w:tc>
          <w:tcPr>
            <w:tcW w:w="978" w:type="pct"/>
            <w:vMerge w:val="restart"/>
            <w:vAlign w:val="center"/>
          </w:tcPr>
          <w:p w14:paraId="729DEB58" w14:textId="77777777" w:rsidR="002451CD" w:rsidRPr="00796C46" w:rsidRDefault="002451CD" w:rsidP="00796C46">
            <w:pPr>
              <w:pStyle w:val="TableParagraph"/>
              <w:jc w:val="center"/>
              <w:rPr>
                <w:rFonts w:ascii="Times New Roman" w:hAnsi="Times New Roman"/>
                <w:sz w:val="21"/>
                <w:szCs w:val="21"/>
              </w:rPr>
            </w:pPr>
            <w:r w:rsidRPr="00796C46">
              <w:rPr>
                <w:rFonts w:ascii="Times New Roman" w:hAnsi="Times New Roman"/>
                <w:sz w:val="21"/>
                <w:szCs w:val="21"/>
              </w:rPr>
              <w:t>……</w:t>
            </w:r>
          </w:p>
        </w:tc>
        <w:tc>
          <w:tcPr>
            <w:tcW w:w="1072" w:type="pct"/>
            <w:vAlign w:val="center"/>
          </w:tcPr>
          <w:p w14:paraId="2F5A832F" w14:textId="77777777" w:rsidR="002451CD" w:rsidRPr="00796C46" w:rsidRDefault="002451CD" w:rsidP="00796C46">
            <w:pPr>
              <w:pStyle w:val="TableParagraph"/>
              <w:jc w:val="both"/>
              <w:rPr>
                <w:sz w:val="21"/>
                <w:szCs w:val="21"/>
              </w:rPr>
            </w:pPr>
            <w:r w:rsidRPr="00796C46">
              <w:rPr>
                <w:sz w:val="21"/>
                <w:szCs w:val="21"/>
              </w:rPr>
              <w:t>总价（元或万元）</w:t>
            </w:r>
          </w:p>
        </w:tc>
        <w:tc>
          <w:tcPr>
            <w:tcW w:w="708" w:type="pct"/>
            <w:vAlign w:val="center"/>
          </w:tcPr>
          <w:p w14:paraId="3E67716C" w14:textId="77777777" w:rsidR="002451CD" w:rsidRPr="00796C46" w:rsidRDefault="002451CD" w:rsidP="00796C46">
            <w:pPr>
              <w:pStyle w:val="TableParagraph"/>
              <w:jc w:val="center"/>
              <w:rPr>
                <w:sz w:val="21"/>
                <w:szCs w:val="21"/>
              </w:rPr>
            </w:pPr>
          </w:p>
        </w:tc>
        <w:tc>
          <w:tcPr>
            <w:tcW w:w="708" w:type="pct"/>
            <w:vAlign w:val="center"/>
          </w:tcPr>
          <w:p w14:paraId="217723CA" w14:textId="77777777" w:rsidR="002451CD" w:rsidRPr="00796C46" w:rsidRDefault="002451CD" w:rsidP="00796C46">
            <w:pPr>
              <w:pStyle w:val="TableParagraph"/>
              <w:jc w:val="center"/>
              <w:rPr>
                <w:sz w:val="21"/>
                <w:szCs w:val="21"/>
              </w:rPr>
            </w:pPr>
          </w:p>
        </w:tc>
        <w:tc>
          <w:tcPr>
            <w:tcW w:w="710" w:type="pct"/>
            <w:vAlign w:val="center"/>
          </w:tcPr>
          <w:p w14:paraId="72A4B0E8" w14:textId="77777777" w:rsidR="002451CD" w:rsidRPr="00796C46" w:rsidRDefault="002451CD" w:rsidP="00796C46">
            <w:pPr>
              <w:pStyle w:val="TableParagraph"/>
              <w:jc w:val="center"/>
              <w:rPr>
                <w:sz w:val="21"/>
                <w:szCs w:val="21"/>
              </w:rPr>
            </w:pPr>
          </w:p>
        </w:tc>
        <w:tc>
          <w:tcPr>
            <w:tcW w:w="823" w:type="pct"/>
            <w:vAlign w:val="center"/>
          </w:tcPr>
          <w:p w14:paraId="33239AC9" w14:textId="77777777" w:rsidR="002451CD" w:rsidRPr="00796C46" w:rsidRDefault="002451CD" w:rsidP="00796C46">
            <w:pPr>
              <w:pStyle w:val="TableParagraph"/>
              <w:jc w:val="center"/>
              <w:rPr>
                <w:sz w:val="21"/>
                <w:szCs w:val="21"/>
              </w:rPr>
            </w:pPr>
          </w:p>
        </w:tc>
      </w:tr>
      <w:tr w:rsidR="002451CD" w:rsidRPr="00796C46" w14:paraId="67388790" w14:textId="77777777" w:rsidTr="00796C46">
        <w:trPr>
          <w:trHeight w:val="340"/>
          <w:jc w:val="center"/>
        </w:trPr>
        <w:tc>
          <w:tcPr>
            <w:tcW w:w="978" w:type="pct"/>
            <w:vMerge/>
            <w:tcBorders>
              <w:top w:val="nil"/>
            </w:tcBorders>
            <w:vAlign w:val="center"/>
          </w:tcPr>
          <w:p w14:paraId="2D48EDBD" w14:textId="77777777" w:rsidR="002451CD" w:rsidRPr="00796C46" w:rsidRDefault="002451CD" w:rsidP="00796C46">
            <w:pPr>
              <w:jc w:val="center"/>
              <w:rPr>
                <w:sz w:val="21"/>
                <w:szCs w:val="21"/>
              </w:rPr>
            </w:pPr>
          </w:p>
        </w:tc>
        <w:tc>
          <w:tcPr>
            <w:tcW w:w="1072" w:type="pct"/>
            <w:vAlign w:val="center"/>
          </w:tcPr>
          <w:p w14:paraId="61D52C9F" w14:textId="77777777" w:rsidR="002451CD" w:rsidRPr="00796C46" w:rsidRDefault="002451CD" w:rsidP="00796C46">
            <w:pPr>
              <w:pStyle w:val="TableParagraph"/>
              <w:jc w:val="both"/>
              <w:rPr>
                <w:sz w:val="21"/>
                <w:szCs w:val="21"/>
              </w:rPr>
            </w:pPr>
            <w:r w:rsidRPr="00796C46">
              <w:rPr>
                <w:sz w:val="21"/>
                <w:szCs w:val="21"/>
              </w:rPr>
              <w:t>单价（元/ m2）</w:t>
            </w:r>
          </w:p>
        </w:tc>
        <w:tc>
          <w:tcPr>
            <w:tcW w:w="708" w:type="pct"/>
            <w:vAlign w:val="center"/>
          </w:tcPr>
          <w:p w14:paraId="4A1DBC1C" w14:textId="77777777" w:rsidR="002451CD" w:rsidRPr="00796C46" w:rsidRDefault="002451CD" w:rsidP="00796C46">
            <w:pPr>
              <w:pStyle w:val="TableParagraph"/>
              <w:jc w:val="center"/>
              <w:rPr>
                <w:sz w:val="21"/>
                <w:szCs w:val="21"/>
              </w:rPr>
            </w:pPr>
          </w:p>
        </w:tc>
        <w:tc>
          <w:tcPr>
            <w:tcW w:w="708" w:type="pct"/>
            <w:vAlign w:val="center"/>
          </w:tcPr>
          <w:p w14:paraId="71C64AAC" w14:textId="77777777" w:rsidR="002451CD" w:rsidRPr="00796C46" w:rsidRDefault="002451CD" w:rsidP="00796C46">
            <w:pPr>
              <w:pStyle w:val="TableParagraph"/>
              <w:jc w:val="center"/>
              <w:rPr>
                <w:sz w:val="21"/>
                <w:szCs w:val="21"/>
              </w:rPr>
            </w:pPr>
          </w:p>
        </w:tc>
        <w:tc>
          <w:tcPr>
            <w:tcW w:w="710" w:type="pct"/>
            <w:vAlign w:val="center"/>
          </w:tcPr>
          <w:p w14:paraId="5F2B93C8" w14:textId="77777777" w:rsidR="002451CD" w:rsidRPr="00796C46" w:rsidRDefault="002451CD" w:rsidP="00796C46">
            <w:pPr>
              <w:pStyle w:val="TableParagraph"/>
              <w:jc w:val="center"/>
              <w:rPr>
                <w:sz w:val="21"/>
                <w:szCs w:val="21"/>
              </w:rPr>
            </w:pPr>
          </w:p>
        </w:tc>
        <w:tc>
          <w:tcPr>
            <w:tcW w:w="823" w:type="pct"/>
            <w:vAlign w:val="center"/>
          </w:tcPr>
          <w:p w14:paraId="25D13DB1" w14:textId="77777777" w:rsidR="002451CD" w:rsidRPr="00796C46" w:rsidRDefault="002451CD" w:rsidP="00796C46">
            <w:pPr>
              <w:pStyle w:val="TableParagraph"/>
              <w:jc w:val="center"/>
              <w:rPr>
                <w:sz w:val="21"/>
                <w:szCs w:val="21"/>
              </w:rPr>
            </w:pPr>
          </w:p>
        </w:tc>
      </w:tr>
      <w:tr w:rsidR="002451CD" w:rsidRPr="00796C46" w14:paraId="1CCD2AB8" w14:textId="77777777" w:rsidTr="00796C46">
        <w:trPr>
          <w:trHeight w:val="340"/>
          <w:jc w:val="center"/>
        </w:trPr>
        <w:tc>
          <w:tcPr>
            <w:tcW w:w="978" w:type="pct"/>
            <w:vMerge w:val="restart"/>
            <w:vAlign w:val="center"/>
          </w:tcPr>
          <w:p w14:paraId="188D1E70" w14:textId="77777777" w:rsidR="002451CD" w:rsidRPr="00796C46" w:rsidRDefault="002451CD" w:rsidP="00796C46">
            <w:pPr>
              <w:pStyle w:val="TableParagraph"/>
              <w:jc w:val="center"/>
              <w:rPr>
                <w:sz w:val="21"/>
                <w:szCs w:val="21"/>
              </w:rPr>
            </w:pPr>
            <w:r w:rsidRPr="00796C46">
              <w:rPr>
                <w:sz w:val="21"/>
                <w:szCs w:val="21"/>
              </w:rPr>
              <w:t>汇总评估价值</w:t>
            </w:r>
          </w:p>
        </w:tc>
        <w:tc>
          <w:tcPr>
            <w:tcW w:w="1072" w:type="pct"/>
            <w:vAlign w:val="center"/>
          </w:tcPr>
          <w:p w14:paraId="78D5750B" w14:textId="77777777" w:rsidR="002451CD" w:rsidRPr="00796C46" w:rsidRDefault="002451CD" w:rsidP="00796C46">
            <w:pPr>
              <w:pStyle w:val="TableParagraph"/>
              <w:jc w:val="both"/>
              <w:rPr>
                <w:sz w:val="21"/>
                <w:szCs w:val="21"/>
              </w:rPr>
            </w:pPr>
            <w:r w:rsidRPr="00796C46">
              <w:rPr>
                <w:sz w:val="21"/>
                <w:szCs w:val="21"/>
              </w:rPr>
              <w:t>总价（元或万元）</w:t>
            </w:r>
          </w:p>
        </w:tc>
        <w:tc>
          <w:tcPr>
            <w:tcW w:w="708" w:type="pct"/>
            <w:vAlign w:val="center"/>
          </w:tcPr>
          <w:p w14:paraId="2FF81657" w14:textId="77777777" w:rsidR="002451CD" w:rsidRPr="00796C46" w:rsidRDefault="002451CD" w:rsidP="00796C46">
            <w:pPr>
              <w:pStyle w:val="TableParagraph"/>
              <w:jc w:val="center"/>
              <w:rPr>
                <w:sz w:val="21"/>
                <w:szCs w:val="21"/>
              </w:rPr>
            </w:pPr>
          </w:p>
        </w:tc>
        <w:tc>
          <w:tcPr>
            <w:tcW w:w="708" w:type="pct"/>
            <w:vAlign w:val="center"/>
          </w:tcPr>
          <w:p w14:paraId="5B7DDE72" w14:textId="77777777" w:rsidR="002451CD" w:rsidRPr="00796C46" w:rsidRDefault="002451CD" w:rsidP="00796C46">
            <w:pPr>
              <w:pStyle w:val="TableParagraph"/>
              <w:jc w:val="center"/>
              <w:rPr>
                <w:sz w:val="21"/>
                <w:szCs w:val="21"/>
              </w:rPr>
            </w:pPr>
          </w:p>
        </w:tc>
        <w:tc>
          <w:tcPr>
            <w:tcW w:w="710" w:type="pct"/>
            <w:vAlign w:val="center"/>
          </w:tcPr>
          <w:p w14:paraId="06CBA943" w14:textId="77777777" w:rsidR="002451CD" w:rsidRPr="00796C46" w:rsidRDefault="002451CD" w:rsidP="00796C46">
            <w:pPr>
              <w:pStyle w:val="TableParagraph"/>
              <w:jc w:val="center"/>
              <w:rPr>
                <w:sz w:val="21"/>
                <w:szCs w:val="21"/>
              </w:rPr>
            </w:pPr>
          </w:p>
        </w:tc>
        <w:tc>
          <w:tcPr>
            <w:tcW w:w="823" w:type="pct"/>
            <w:vAlign w:val="center"/>
          </w:tcPr>
          <w:p w14:paraId="4E292DC1" w14:textId="77777777" w:rsidR="002451CD" w:rsidRPr="00796C46" w:rsidRDefault="002451CD" w:rsidP="00796C46">
            <w:pPr>
              <w:pStyle w:val="TableParagraph"/>
              <w:jc w:val="center"/>
              <w:rPr>
                <w:sz w:val="21"/>
                <w:szCs w:val="21"/>
              </w:rPr>
            </w:pPr>
          </w:p>
        </w:tc>
      </w:tr>
      <w:tr w:rsidR="002451CD" w:rsidRPr="00796C46" w14:paraId="19F0F039" w14:textId="77777777" w:rsidTr="00796C46">
        <w:trPr>
          <w:trHeight w:val="340"/>
          <w:jc w:val="center"/>
        </w:trPr>
        <w:tc>
          <w:tcPr>
            <w:tcW w:w="978" w:type="pct"/>
            <w:vMerge/>
            <w:tcBorders>
              <w:top w:val="nil"/>
            </w:tcBorders>
            <w:vAlign w:val="center"/>
          </w:tcPr>
          <w:p w14:paraId="05EC9403" w14:textId="77777777" w:rsidR="002451CD" w:rsidRPr="00796C46" w:rsidRDefault="002451CD" w:rsidP="00796C46">
            <w:pPr>
              <w:jc w:val="center"/>
              <w:rPr>
                <w:sz w:val="21"/>
                <w:szCs w:val="21"/>
              </w:rPr>
            </w:pPr>
          </w:p>
        </w:tc>
        <w:tc>
          <w:tcPr>
            <w:tcW w:w="1072" w:type="pct"/>
            <w:vAlign w:val="center"/>
          </w:tcPr>
          <w:p w14:paraId="5FF6EF49" w14:textId="77777777" w:rsidR="002451CD" w:rsidRPr="00796C46" w:rsidRDefault="002451CD" w:rsidP="00796C46">
            <w:pPr>
              <w:pStyle w:val="TableParagraph"/>
              <w:jc w:val="both"/>
              <w:rPr>
                <w:sz w:val="21"/>
                <w:szCs w:val="21"/>
              </w:rPr>
            </w:pPr>
            <w:r w:rsidRPr="00796C46">
              <w:rPr>
                <w:sz w:val="21"/>
                <w:szCs w:val="21"/>
              </w:rPr>
              <w:t>单价（元/ m2）</w:t>
            </w:r>
          </w:p>
        </w:tc>
        <w:tc>
          <w:tcPr>
            <w:tcW w:w="708" w:type="pct"/>
            <w:vAlign w:val="center"/>
          </w:tcPr>
          <w:p w14:paraId="1F46A634" w14:textId="77777777" w:rsidR="002451CD" w:rsidRPr="00796C46" w:rsidRDefault="002451CD" w:rsidP="00796C46">
            <w:pPr>
              <w:pStyle w:val="TableParagraph"/>
              <w:jc w:val="center"/>
              <w:rPr>
                <w:sz w:val="21"/>
                <w:szCs w:val="21"/>
              </w:rPr>
            </w:pPr>
          </w:p>
        </w:tc>
        <w:tc>
          <w:tcPr>
            <w:tcW w:w="708" w:type="pct"/>
            <w:vAlign w:val="center"/>
          </w:tcPr>
          <w:p w14:paraId="7462D4D5" w14:textId="77777777" w:rsidR="002451CD" w:rsidRPr="00796C46" w:rsidRDefault="002451CD" w:rsidP="00796C46">
            <w:pPr>
              <w:pStyle w:val="TableParagraph"/>
              <w:jc w:val="center"/>
              <w:rPr>
                <w:sz w:val="21"/>
                <w:szCs w:val="21"/>
              </w:rPr>
            </w:pPr>
          </w:p>
        </w:tc>
        <w:tc>
          <w:tcPr>
            <w:tcW w:w="710" w:type="pct"/>
            <w:vAlign w:val="center"/>
          </w:tcPr>
          <w:p w14:paraId="0E8BD536" w14:textId="77777777" w:rsidR="002451CD" w:rsidRPr="00796C46" w:rsidRDefault="002451CD" w:rsidP="00796C46">
            <w:pPr>
              <w:pStyle w:val="TableParagraph"/>
              <w:jc w:val="center"/>
              <w:rPr>
                <w:sz w:val="21"/>
                <w:szCs w:val="21"/>
              </w:rPr>
            </w:pPr>
          </w:p>
        </w:tc>
        <w:tc>
          <w:tcPr>
            <w:tcW w:w="823" w:type="pct"/>
            <w:vAlign w:val="center"/>
          </w:tcPr>
          <w:p w14:paraId="257F2666" w14:textId="77777777" w:rsidR="002451CD" w:rsidRPr="00796C46" w:rsidRDefault="002451CD" w:rsidP="00796C46">
            <w:pPr>
              <w:pStyle w:val="TableParagraph"/>
              <w:jc w:val="center"/>
              <w:rPr>
                <w:sz w:val="21"/>
                <w:szCs w:val="21"/>
              </w:rPr>
            </w:pPr>
          </w:p>
        </w:tc>
      </w:tr>
    </w:tbl>
    <w:p w14:paraId="4B3C7407" w14:textId="77777777" w:rsidR="002451CD" w:rsidRDefault="002451CD" w:rsidP="002451CD">
      <w:pPr>
        <w:pStyle w:val="13"/>
      </w:pPr>
      <w:r>
        <w:t xml:space="preserve">3）房地产抵押估价中假定未设立法定优先受偿权下的价值，可按表 7.0.17-1 </w:t>
      </w:r>
      <w:r>
        <w:lastRenderedPageBreak/>
        <w:t>或表7.0.17-2 说明不同估价方法测算结果和最终评估价值；</w:t>
      </w:r>
    </w:p>
    <w:p w14:paraId="693C08A8" w14:textId="77777777" w:rsidR="002451CD" w:rsidRDefault="002451CD" w:rsidP="002451CD">
      <w:pPr>
        <w:pStyle w:val="13"/>
      </w:pPr>
      <w:r>
        <w:t>4）房地产抵押评估结果，可按表 7.0.17-3 说明最终评估价值；</w:t>
      </w:r>
    </w:p>
    <w:p w14:paraId="3F250640" w14:textId="77777777" w:rsidR="002451CD" w:rsidRDefault="002451CD" w:rsidP="002451CD">
      <w:pPr>
        <w:pStyle w:val="13"/>
      </w:pPr>
      <w:r>
        <w:rPr>
          <w:rFonts w:hint="eastAsia"/>
        </w:rPr>
        <w:t>表</w:t>
      </w:r>
      <w:r>
        <w:t xml:space="preserve"> 7.0.17-3 估价结果汇总表</w:t>
      </w:r>
    </w:p>
    <w:p w14:paraId="0A6D8A56" w14:textId="77777777" w:rsidR="002451CD" w:rsidRDefault="002451CD" w:rsidP="00796C46">
      <w:pPr>
        <w:pStyle w:val="13"/>
        <w:jc w:val="right"/>
      </w:pPr>
      <w:r>
        <w:rPr>
          <w:rFonts w:hint="eastAsia"/>
        </w:rPr>
        <w:t>币种：</w:t>
      </w:r>
    </w:p>
    <w:tbl>
      <w:tblPr>
        <w:tblStyle w:val="1f0"/>
        <w:tblW w:w="5000" w:type="pct"/>
        <w:tblLook w:val="04A0" w:firstRow="1" w:lastRow="0" w:firstColumn="1" w:lastColumn="0" w:noHBand="0" w:noVBand="1"/>
      </w:tblPr>
      <w:tblGrid>
        <w:gridCol w:w="2089"/>
        <w:gridCol w:w="1866"/>
        <w:gridCol w:w="1366"/>
        <w:gridCol w:w="1367"/>
        <w:gridCol w:w="1366"/>
        <w:gridCol w:w="666"/>
      </w:tblGrid>
      <w:tr w:rsidR="002451CD" w:rsidRPr="00796C46" w14:paraId="292C6844" w14:textId="77777777" w:rsidTr="00796C46">
        <w:trPr>
          <w:trHeight w:val="340"/>
        </w:trPr>
        <w:tc>
          <w:tcPr>
            <w:tcW w:w="2267" w:type="pct"/>
            <w:gridSpan w:val="2"/>
            <w:vMerge w:val="restart"/>
            <w:tcBorders>
              <w:tl2br w:val="single" w:sz="4" w:space="0" w:color="auto"/>
            </w:tcBorders>
            <w:vAlign w:val="center"/>
          </w:tcPr>
          <w:p w14:paraId="2760CADA" w14:textId="77777777" w:rsidR="002451CD" w:rsidRPr="00796C46" w:rsidRDefault="002451CD" w:rsidP="00796C46">
            <w:pPr>
              <w:pStyle w:val="TableParagraph"/>
              <w:jc w:val="right"/>
              <w:rPr>
                <w:sz w:val="21"/>
                <w:szCs w:val="21"/>
              </w:rPr>
            </w:pPr>
            <w:r w:rsidRPr="00796C46">
              <w:rPr>
                <w:sz w:val="21"/>
                <w:szCs w:val="21"/>
              </w:rPr>
              <w:t>估价对象</w:t>
            </w:r>
          </w:p>
          <w:p w14:paraId="4752DD38" w14:textId="77777777" w:rsidR="002451CD" w:rsidRPr="00796C46" w:rsidRDefault="002451CD" w:rsidP="00796C46">
            <w:pPr>
              <w:pStyle w:val="TableParagraph"/>
              <w:rPr>
                <w:sz w:val="21"/>
                <w:szCs w:val="21"/>
              </w:rPr>
            </w:pPr>
            <w:r w:rsidRPr="00796C46">
              <w:rPr>
                <w:sz w:val="21"/>
                <w:szCs w:val="21"/>
              </w:rPr>
              <w:t>项目及结果</w:t>
            </w:r>
          </w:p>
        </w:tc>
        <w:tc>
          <w:tcPr>
            <w:tcW w:w="2733" w:type="pct"/>
            <w:gridSpan w:val="4"/>
            <w:vAlign w:val="center"/>
          </w:tcPr>
          <w:p w14:paraId="50FD86E2" w14:textId="77777777" w:rsidR="002451CD" w:rsidRPr="00796C46" w:rsidRDefault="002451CD" w:rsidP="00796C46">
            <w:pPr>
              <w:pStyle w:val="TableParagraph"/>
              <w:jc w:val="center"/>
              <w:rPr>
                <w:sz w:val="21"/>
                <w:szCs w:val="21"/>
              </w:rPr>
            </w:pPr>
            <w:r w:rsidRPr="00796C46">
              <w:rPr>
                <w:sz w:val="21"/>
                <w:szCs w:val="21"/>
              </w:rPr>
              <w:t>测算结果</w:t>
            </w:r>
          </w:p>
        </w:tc>
      </w:tr>
      <w:tr w:rsidR="002451CD" w:rsidRPr="00796C46" w14:paraId="2DB51192" w14:textId="77777777" w:rsidTr="00796C46">
        <w:trPr>
          <w:trHeight w:val="340"/>
        </w:trPr>
        <w:tc>
          <w:tcPr>
            <w:tcW w:w="2267" w:type="pct"/>
            <w:gridSpan w:val="2"/>
            <w:vMerge/>
            <w:vAlign w:val="center"/>
          </w:tcPr>
          <w:p w14:paraId="27A8BC37" w14:textId="77777777" w:rsidR="002451CD" w:rsidRPr="00796C46" w:rsidRDefault="002451CD" w:rsidP="00796C46">
            <w:pPr>
              <w:jc w:val="center"/>
              <w:rPr>
                <w:szCs w:val="21"/>
              </w:rPr>
            </w:pPr>
          </w:p>
        </w:tc>
        <w:tc>
          <w:tcPr>
            <w:tcW w:w="783" w:type="pct"/>
            <w:vAlign w:val="center"/>
          </w:tcPr>
          <w:p w14:paraId="0F4956B6" w14:textId="77777777" w:rsidR="002451CD" w:rsidRPr="00796C46" w:rsidRDefault="002451CD" w:rsidP="00796C46">
            <w:pPr>
              <w:pStyle w:val="TableParagraph"/>
              <w:jc w:val="center"/>
              <w:rPr>
                <w:rFonts w:ascii="Times New Roman" w:eastAsia="Times New Roman"/>
                <w:sz w:val="21"/>
                <w:szCs w:val="21"/>
              </w:rPr>
            </w:pPr>
            <w:r w:rsidRPr="00796C46">
              <w:rPr>
                <w:sz w:val="21"/>
                <w:szCs w:val="21"/>
              </w:rPr>
              <w:t xml:space="preserve">估价对象 </w:t>
            </w:r>
            <w:r w:rsidRPr="00796C46">
              <w:rPr>
                <w:rFonts w:ascii="Times New Roman" w:eastAsia="Times New Roman"/>
                <w:sz w:val="21"/>
                <w:szCs w:val="21"/>
              </w:rPr>
              <w:t>1</w:t>
            </w:r>
          </w:p>
        </w:tc>
        <w:tc>
          <w:tcPr>
            <w:tcW w:w="784" w:type="pct"/>
            <w:vAlign w:val="center"/>
          </w:tcPr>
          <w:p w14:paraId="0B903799" w14:textId="77777777" w:rsidR="002451CD" w:rsidRPr="00796C46" w:rsidRDefault="002451CD" w:rsidP="00796C46">
            <w:pPr>
              <w:pStyle w:val="TableParagraph"/>
              <w:jc w:val="center"/>
              <w:rPr>
                <w:rFonts w:ascii="Times New Roman" w:eastAsia="Times New Roman"/>
                <w:sz w:val="21"/>
                <w:szCs w:val="21"/>
              </w:rPr>
            </w:pPr>
            <w:r w:rsidRPr="00796C46">
              <w:rPr>
                <w:sz w:val="21"/>
                <w:szCs w:val="21"/>
              </w:rPr>
              <w:t xml:space="preserve">估价对象 </w:t>
            </w:r>
            <w:r w:rsidRPr="00796C46">
              <w:rPr>
                <w:rFonts w:ascii="Times New Roman" w:eastAsia="Times New Roman"/>
                <w:sz w:val="21"/>
                <w:szCs w:val="21"/>
              </w:rPr>
              <w:t>2</w:t>
            </w:r>
          </w:p>
        </w:tc>
        <w:tc>
          <w:tcPr>
            <w:tcW w:w="783" w:type="pct"/>
            <w:vAlign w:val="center"/>
          </w:tcPr>
          <w:p w14:paraId="36B193E4" w14:textId="77777777" w:rsidR="002451CD" w:rsidRPr="00796C46" w:rsidRDefault="002451CD" w:rsidP="00796C46">
            <w:pPr>
              <w:pStyle w:val="TableParagraph"/>
              <w:jc w:val="center"/>
              <w:rPr>
                <w:rFonts w:ascii="Times New Roman" w:eastAsia="Times New Roman"/>
                <w:sz w:val="21"/>
                <w:szCs w:val="21"/>
              </w:rPr>
            </w:pPr>
            <w:r w:rsidRPr="00796C46">
              <w:rPr>
                <w:sz w:val="21"/>
                <w:szCs w:val="21"/>
              </w:rPr>
              <w:t xml:space="preserve">估价对象 </w:t>
            </w:r>
            <w:r w:rsidRPr="00796C46">
              <w:rPr>
                <w:rFonts w:ascii="Times New Roman" w:eastAsia="Times New Roman"/>
                <w:sz w:val="21"/>
                <w:szCs w:val="21"/>
              </w:rPr>
              <w:t>3</w:t>
            </w:r>
          </w:p>
        </w:tc>
        <w:tc>
          <w:tcPr>
            <w:tcW w:w="384" w:type="pct"/>
            <w:vAlign w:val="center"/>
          </w:tcPr>
          <w:p w14:paraId="55836B37" w14:textId="77777777" w:rsidR="002451CD" w:rsidRPr="00796C46" w:rsidRDefault="002451CD" w:rsidP="00796C46">
            <w:pPr>
              <w:pStyle w:val="TableParagraph"/>
              <w:jc w:val="center"/>
              <w:rPr>
                <w:rFonts w:ascii="Times New Roman" w:hAnsi="Times New Roman"/>
                <w:sz w:val="21"/>
                <w:szCs w:val="21"/>
              </w:rPr>
            </w:pPr>
            <w:r w:rsidRPr="00796C46">
              <w:rPr>
                <w:rFonts w:ascii="Times New Roman" w:hAnsi="Times New Roman"/>
                <w:sz w:val="21"/>
                <w:szCs w:val="21"/>
              </w:rPr>
              <w:t>……</w:t>
            </w:r>
          </w:p>
        </w:tc>
      </w:tr>
      <w:tr w:rsidR="002451CD" w:rsidRPr="00796C46" w14:paraId="01F00E37" w14:textId="77777777" w:rsidTr="00796C46">
        <w:trPr>
          <w:trHeight w:val="340"/>
        </w:trPr>
        <w:tc>
          <w:tcPr>
            <w:tcW w:w="1198" w:type="pct"/>
            <w:vMerge w:val="restart"/>
            <w:vAlign w:val="center"/>
          </w:tcPr>
          <w:p w14:paraId="166FD9CB" w14:textId="77777777" w:rsidR="002451CD" w:rsidRPr="00796C46" w:rsidRDefault="002451CD" w:rsidP="00796C46">
            <w:pPr>
              <w:pStyle w:val="TableParagraph"/>
              <w:jc w:val="both"/>
              <w:rPr>
                <w:sz w:val="21"/>
                <w:szCs w:val="21"/>
              </w:rPr>
            </w:pPr>
            <w:r w:rsidRPr="00796C46">
              <w:rPr>
                <w:rFonts w:ascii="Times New Roman" w:eastAsia="Times New Roman"/>
                <w:sz w:val="21"/>
                <w:szCs w:val="21"/>
              </w:rPr>
              <w:t xml:space="preserve">1  </w:t>
            </w:r>
            <w:r w:rsidRPr="00796C46">
              <w:rPr>
                <w:sz w:val="21"/>
                <w:szCs w:val="21"/>
              </w:rPr>
              <w:t>假定未设立法定</w:t>
            </w:r>
          </w:p>
          <w:p w14:paraId="5C030CB9" w14:textId="77777777" w:rsidR="002451CD" w:rsidRPr="00796C46" w:rsidRDefault="002451CD" w:rsidP="00796C46">
            <w:pPr>
              <w:pStyle w:val="TableParagraph"/>
              <w:jc w:val="both"/>
              <w:rPr>
                <w:sz w:val="21"/>
                <w:szCs w:val="21"/>
              </w:rPr>
            </w:pPr>
            <w:r w:rsidRPr="00796C46">
              <w:rPr>
                <w:sz w:val="21"/>
                <w:szCs w:val="21"/>
              </w:rPr>
              <w:t>优先受偿下的价值</w:t>
            </w:r>
          </w:p>
        </w:tc>
        <w:tc>
          <w:tcPr>
            <w:tcW w:w="1070" w:type="pct"/>
            <w:vAlign w:val="center"/>
          </w:tcPr>
          <w:p w14:paraId="7C0BF616" w14:textId="77777777" w:rsidR="002451CD" w:rsidRPr="00796C46" w:rsidRDefault="002451CD" w:rsidP="00796C46">
            <w:pPr>
              <w:pStyle w:val="TableParagraph"/>
              <w:jc w:val="both"/>
              <w:rPr>
                <w:sz w:val="21"/>
                <w:szCs w:val="21"/>
              </w:rPr>
            </w:pPr>
            <w:r w:rsidRPr="00796C46">
              <w:rPr>
                <w:sz w:val="21"/>
                <w:szCs w:val="21"/>
              </w:rPr>
              <w:t>总价（元或万元）</w:t>
            </w:r>
          </w:p>
        </w:tc>
        <w:tc>
          <w:tcPr>
            <w:tcW w:w="783" w:type="pct"/>
            <w:vAlign w:val="center"/>
          </w:tcPr>
          <w:p w14:paraId="71ECA4DF" w14:textId="77777777" w:rsidR="002451CD" w:rsidRPr="00796C46" w:rsidRDefault="002451CD" w:rsidP="00796C46">
            <w:pPr>
              <w:pStyle w:val="TableParagraph"/>
              <w:jc w:val="center"/>
              <w:rPr>
                <w:rFonts w:ascii="Times New Roman"/>
                <w:sz w:val="21"/>
                <w:szCs w:val="21"/>
              </w:rPr>
            </w:pPr>
          </w:p>
        </w:tc>
        <w:tc>
          <w:tcPr>
            <w:tcW w:w="784" w:type="pct"/>
            <w:vAlign w:val="center"/>
          </w:tcPr>
          <w:p w14:paraId="1E7DFB05" w14:textId="77777777" w:rsidR="002451CD" w:rsidRPr="00796C46" w:rsidRDefault="002451CD" w:rsidP="00796C46">
            <w:pPr>
              <w:pStyle w:val="TableParagraph"/>
              <w:jc w:val="center"/>
              <w:rPr>
                <w:rFonts w:ascii="Times New Roman"/>
                <w:sz w:val="21"/>
                <w:szCs w:val="21"/>
              </w:rPr>
            </w:pPr>
          </w:p>
        </w:tc>
        <w:tc>
          <w:tcPr>
            <w:tcW w:w="783" w:type="pct"/>
            <w:vAlign w:val="center"/>
          </w:tcPr>
          <w:p w14:paraId="6213B9F8" w14:textId="77777777" w:rsidR="002451CD" w:rsidRPr="00796C46" w:rsidRDefault="002451CD" w:rsidP="00796C46">
            <w:pPr>
              <w:pStyle w:val="TableParagraph"/>
              <w:jc w:val="center"/>
              <w:rPr>
                <w:rFonts w:ascii="Times New Roman"/>
                <w:sz w:val="21"/>
                <w:szCs w:val="21"/>
              </w:rPr>
            </w:pPr>
          </w:p>
        </w:tc>
        <w:tc>
          <w:tcPr>
            <w:tcW w:w="384" w:type="pct"/>
            <w:vAlign w:val="center"/>
          </w:tcPr>
          <w:p w14:paraId="29D2400D" w14:textId="77777777" w:rsidR="002451CD" w:rsidRPr="00796C46" w:rsidRDefault="002451CD" w:rsidP="00796C46">
            <w:pPr>
              <w:pStyle w:val="TableParagraph"/>
              <w:jc w:val="center"/>
              <w:rPr>
                <w:rFonts w:ascii="Times New Roman"/>
                <w:sz w:val="21"/>
                <w:szCs w:val="21"/>
              </w:rPr>
            </w:pPr>
          </w:p>
        </w:tc>
      </w:tr>
      <w:tr w:rsidR="002451CD" w:rsidRPr="00796C46" w14:paraId="54BCC7CF" w14:textId="77777777" w:rsidTr="00796C46">
        <w:trPr>
          <w:trHeight w:val="340"/>
        </w:trPr>
        <w:tc>
          <w:tcPr>
            <w:tcW w:w="1198" w:type="pct"/>
            <w:vMerge/>
            <w:vAlign w:val="center"/>
          </w:tcPr>
          <w:p w14:paraId="715DFF23" w14:textId="77777777" w:rsidR="002451CD" w:rsidRPr="00796C46" w:rsidRDefault="002451CD" w:rsidP="00796C46">
            <w:pPr>
              <w:rPr>
                <w:szCs w:val="21"/>
              </w:rPr>
            </w:pPr>
          </w:p>
        </w:tc>
        <w:tc>
          <w:tcPr>
            <w:tcW w:w="1070" w:type="pct"/>
            <w:vAlign w:val="center"/>
          </w:tcPr>
          <w:p w14:paraId="3E11D389" w14:textId="77777777" w:rsidR="002451CD" w:rsidRPr="00796C46" w:rsidRDefault="002451CD" w:rsidP="00796C46">
            <w:pPr>
              <w:pStyle w:val="TableParagraph"/>
              <w:jc w:val="both"/>
              <w:rPr>
                <w:sz w:val="21"/>
                <w:szCs w:val="21"/>
              </w:rPr>
            </w:pPr>
            <w:r w:rsidRPr="00796C46">
              <w:rPr>
                <w:sz w:val="21"/>
                <w:szCs w:val="21"/>
              </w:rPr>
              <w:t>单价（元/m2）</w:t>
            </w:r>
          </w:p>
        </w:tc>
        <w:tc>
          <w:tcPr>
            <w:tcW w:w="783" w:type="pct"/>
            <w:vAlign w:val="center"/>
          </w:tcPr>
          <w:p w14:paraId="4CECF5E0" w14:textId="77777777" w:rsidR="002451CD" w:rsidRPr="00796C46" w:rsidRDefault="002451CD" w:rsidP="00796C46">
            <w:pPr>
              <w:pStyle w:val="TableParagraph"/>
              <w:jc w:val="center"/>
              <w:rPr>
                <w:sz w:val="21"/>
                <w:szCs w:val="21"/>
              </w:rPr>
            </w:pPr>
          </w:p>
        </w:tc>
        <w:tc>
          <w:tcPr>
            <w:tcW w:w="784" w:type="pct"/>
            <w:vAlign w:val="center"/>
          </w:tcPr>
          <w:p w14:paraId="39A17AAD" w14:textId="77777777" w:rsidR="002451CD" w:rsidRPr="00796C46" w:rsidRDefault="002451CD" w:rsidP="00796C46">
            <w:pPr>
              <w:pStyle w:val="TableParagraph"/>
              <w:jc w:val="center"/>
              <w:rPr>
                <w:sz w:val="21"/>
                <w:szCs w:val="21"/>
              </w:rPr>
            </w:pPr>
          </w:p>
        </w:tc>
        <w:tc>
          <w:tcPr>
            <w:tcW w:w="783" w:type="pct"/>
            <w:vAlign w:val="center"/>
          </w:tcPr>
          <w:p w14:paraId="02EC12B2" w14:textId="77777777" w:rsidR="002451CD" w:rsidRPr="00796C46" w:rsidRDefault="002451CD" w:rsidP="00796C46">
            <w:pPr>
              <w:pStyle w:val="TableParagraph"/>
              <w:jc w:val="center"/>
              <w:rPr>
                <w:sz w:val="21"/>
                <w:szCs w:val="21"/>
              </w:rPr>
            </w:pPr>
          </w:p>
        </w:tc>
        <w:tc>
          <w:tcPr>
            <w:tcW w:w="384" w:type="pct"/>
            <w:vAlign w:val="center"/>
          </w:tcPr>
          <w:p w14:paraId="3595F3F5" w14:textId="77777777" w:rsidR="002451CD" w:rsidRPr="00796C46" w:rsidRDefault="002451CD" w:rsidP="00796C46">
            <w:pPr>
              <w:pStyle w:val="TableParagraph"/>
              <w:jc w:val="center"/>
              <w:rPr>
                <w:sz w:val="21"/>
                <w:szCs w:val="21"/>
              </w:rPr>
            </w:pPr>
          </w:p>
        </w:tc>
      </w:tr>
      <w:tr w:rsidR="002451CD" w:rsidRPr="00796C46" w14:paraId="672EC9AA" w14:textId="77777777" w:rsidTr="00796C46">
        <w:trPr>
          <w:trHeight w:val="340"/>
        </w:trPr>
        <w:tc>
          <w:tcPr>
            <w:tcW w:w="1198" w:type="pct"/>
            <w:vMerge w:val="restart"/>
            <w:vAlign w:val="center"/>
          </w:tcPr>
          <w:p w14:paraId="60327129" w14:textId="23CD898C" w:rsidR="002451CD" w:rsidRPr="00796C46" w:rsidRDefault="002451CD" w:rsidP="00796C46">
            <w:pPr>
              <w:pStyle w:val="TableParagraph"/>
              <w:jc w:val="both"/>
              <w:rPr>
                <w:sz w:val="21"/>
                <w:szCs w:val="21"/>
              </w:rPr>
            </w:pPr>
            <w:r w:rsidRPr="00796C46">
              <w:rPr>
                <w:rFonts w:ascii="Times New Roman" w:eastAsia="Times New Roman"/>
                <w:sz w:val="21"/>
                <w:szCs w:val="21"/>
              </w:rPr>
              <w:t xml:space="preserve">2 </w:t>
            </w:r>
            <w:r w:rsidRPr="00796C46">
              <w:rPr>
                <w:sz w:val="21"/>
                <w:szCs w:val="21"/>
              </w:rPr>
              <w:t>估价师知悉的法定优先受偿款</w:t>
            </w:r>
          </w:p>
        </w:tc>
        <w:tc>
          <w:tcPr>
            <w:tcW w:w="1070" w:type="pct"/>
            <w:vAlign w:val="center"/>
          </w:tcPr>
          <w:p w14:paraId="0A2C23DD" w14:textId="77777777" w:rsidR="002451CD" w:rsidRPr="00796C46" w:rsidRDefault="002451CD" w:rsidP="00796C46">
            <w:pPr>
              <w:pStyle w:val="TableParagraph"/>
              <w:jc w:val="both"/>
              <w:rPr>
                <w:sz w:val="21"/>
                <w:szCs w:val="21"/>
              </w:rPr>
            </w:pPr>
            <w:r w:rsidRPr="00796C46">
              <w:rPr>
                <w:sz w:val="21"/>
                <w:szCs w:val="21"/>
              </w:rPr>
              <w:t>总价（元或万元）</w:t>
            </w:r>
          </w:p>
        </w:tc>
        <w:tc>
          <w:tcPr>
            <w:tcW w:w="783" w:type="pct"/>
            <w:vAlign w:val="center"/>
          </w:tcPr>
          <w:p w14:paraId="5A689353" w14:textId="77777777" w:rsidR="002451CD" w:rsidRPr="00796C46" w:rsidRDefault="002451CD" w:rsidP="00796C46">
            <w:pPr>
              <w:pStyle w:val="TableParagraph"/>
              <w:jc w:val="center"/>
              <w:rPr>
                <w:sz w:val="21"/>
                <w:szCs w:val="21"/>
              </w:rPr>
            </w:pPr>
          </w:p>
        </w:tc>
        <w:tc>
          <w:tcPr>
            <w:tcW w:w="784" w:type="pct"/>
            <w:vAlign w:val="center"/>
          </w:tcPr>
          <w:p w14:paraId="78E8C046" w14:textId="77777777" w:rsidR="002451CD" w:rsidRPr="00796C46" w:rsidRDefault="002451CD" w:rsidP="00796C46">
            <w:pPr>
              <w:pStyle w:val="TableParagraph"/>
              <w:jc w:val="center"/>
              <w:rPr>
                <w:sz w:val="21"/>
                <w:szCs w:val="21"/>
              </w:rPr>
            </w:pPr>
          </w:p>
        </w:tc>
        <w:tc>
          <w:tcPr>
            <w:tcW w:w="783" w:type="pct"/>
            <w:vAlign w:val="center"/>
          </w:tcPr>
          <w:p w14:paraId="14253791" w14:textId="77777777" w:rsidR="002451CD" w:rsidRPr="00796C46" w:rsidRDefault="002451CD" w:rsidP="00796C46">
            <w:pPr>
              <w:pStyle w:val="TableParagraph"/>
              <w:jc w:val="center"/>
              <w:rPr>
                <w:sz w:val="21"/>
                <w:szCs w:val="21"/>
              </w:rPr>
            </w:pPr>
          </w:p>
        </w:tc>
        <w:tc>
          <w:tcPr>
            <w:tcW w:w="384" w:type="pct"/>
            <w:vAlign w:val="center"/>
          </w:tcPr>
          <w:p w14:paraId="72D16C25" w14:textId="77777777" w:rsidR="002451CD" w:rsidRPr="00796C46" w:rsidRDefault="002451CD" w:rsidP="00796C46">
            <w:pPr>
              <w:pStyle w:val="TableParagraph"/>
              <w:jc w:val="center"/>
              <w:rPr>
                <w:sz w:val="21"/>
                <w:szCs w:val="21"/>
              </w:rPr>
            </w:pPr>
          </w:p>
        </w:tc>
      </w:tr>
      <w:tr w:rsidR="002451CD" w:rsidRPr="00796C46" w14:paraId="60B3362C" w14:textId="77777777" w:rsidTr="00796C46">
        <w:trPr>
          <w:trHeight w:val="340"/>
        </w:trPr>
        <w:tc>
          <w:tcPr>
            <w:tcW w:w="1198" w:type="pct"/>
            <w:vMerge/>
            <w:vAlign w:val="center"/>
          </w:tcPr>
          <w:p w14:paraId="08FB7346" w14:textId="77777777" w:rsidR="002451CD" w:rsidRPr="00796C46" w:rsidRDefault="002451CD" w:rsidP="00796C46">
            <w:pPr>
              <w:rPr>
                <w:szCs w:val="21"/>
              </w:rPr>
            </w:pPr>
          </w:p>
        </w:tc>
        <w:tc>
          <w:tcPr>
            <w:tcW w:w="1070" w:type="pct"/>
            <w:vAlign w:val="center"/>
          </w:tcPr>
          <w:p w14:paraId="31820937" w14:textId="77777777" w:rsidR="002451CD" w:rsidRPr="00796C46" w:rsidRDefault="002451CD" w:rsidP="00796C46">
            <w:pPr>
              <w:pStyle w:val="TableParagraph"/>
              <w:jc w:val="both"/>
              <w:rPr>
                <w:sz w:val="21"/>
                <w:szCs w:val="21"/>
              </w:rPr>
            </w:pPr>
            <w:r w:rsidRPr="00796C46">
              <w:rPr>
                <w:sz w:val="21"/>
                <w:szCs w:val="21"/>
              </w:rPr>
              <w:t>单价（元/m2）</w:t>
            </w:r>
          </w:p>
        </w:tc>
        <w:tc>
          <w:tcPr>
            <w:tcW w:w="783" w:type="pct"/>
            <w:vAlign w:val="center"/>
          </w:tcPr>
          <w:p w14:paraId="64A85314" w14:textId="77777777" w:rsidR="002451CD" w:rsidRPr="00796C46" w:rsidRDefault="002451CD" w:rsidP="00796C46">
            <w:pPr>
              <w:pStyle w:val="TableParagraph"/>
              <w:jc w:val="center"/>
              <w:rPr>
                <w:sz w:val="21"/>
                <w:szCs w:val="21"/>
              </w:rPr>
            </w:pPr>
          </w:p>
        </w:tc>
        <w:tc>
          <w:tcPr>
            <w:tcW w:w="784" w:type="pct"/>
            <w:vAlign w:val="center"/>
          </w:tcPr>
          <w:p w14:paraId="288806C6" w14:textId="77777777" w:rsidR="002451CD" w:rsidRPr="00796C46" w:rsidRDefault="002451CD" w:rsidP="00796C46">
            <w:pPr>
              <w:pStyle w:val="TableParagraph"/>
              <w:jc w:val="center"/>
              <w:rPr>
                <w:sz w:val="21"/>
                <w:szCs w:val="21"/>
              </w:rPr>
            </w:pPr>
          </w:p>
        </w:tc>
        <w:tc>
          <w:tcPr>
            <w:tcW w:w="783" w:type="pct"/>
            <w:vAlign w:val="center"/>
          </w:tcPr>
          <w:p w14:paraId="0578B1F9" w14:textId="77777777" w:rsidR="002451CD" w:rsidRPr="00796C46" w:rsidRDefault="002451CD" w:rsidP="00796C46">
            <w:pPr>
              <w:pStyle w:val="TableParagraph"/>
              <w:jc w:val="center"/>
              <w:rPr>
                <w:sz w:val="21"/>
                <w:szCs w:val="21"/>
              </w:rPr>
            </w:pPr>
          </w:p>
        </w:tc>
        <w:tc>
          <w:tcPr>
            <w:tcW w:w="384" w:type="pct"/>
            <w:vAlign w:val="center"/>
          </w:tcPr>
          <w:p w14:paraId="02506159" w14:textId="77777777" w:rsidR="002451CD" w:rsidRPr="00796C46" w:rsidRDefault="002451CD" w:rsidP="00796C46">
            <w:pPr>
              <w:pStyle w:val="TableParagraph"/>
              <w:jc w:val="center"/>
              <w:rPr>
                <w:sz w:val="21"/>
                <w:szCs w:val="21"/>
              </w:rPr>
            </w:pPr>
          </w:p>
        </w:tc>
      </w:tr>
      <w:tr w:rsidR="002451CD" w:rsidRPr="00796C46" w14:paraId="12E8662F" w14:textId="77777777" w:rsidTr="00796C46">
        <w:trPr>
          <w:trHeight w:val="340"/>
        </w:trPr>
        <w:tc>
          <w:tcPr>
            <w:tcW w:w="1198" w:type="pct"/>
            <w:vMerge w:val="restart"/>
            <w:vAlign w:val="center"/>
          </w:tcPr>
          <w:p w14:paraId="5C3F3BAD" w14:textId="1F22756F" w:rsidR="002451CD" w:rsidRPr="00796C46" w:rsidRDefault="002451CD" w:rsidP="00796C46">
            <w:pPr>
              <w:pStyle w:val="TableParagraph"/>
              <w:jc w:val="both"/>
              <w:rPr>
                <w:sz w:val="21"/>
                <w:szCs w:val="21"/>
              </w:rPr>
            </w:pPr>
            <w:r w:rsidRPr="00796C46">
              <w:rPr>
                <w:rFonts w:ascii="Times New Roman" w:eastAsia="Times New Roman"/>
                <w:sz w:val="21"/>
                <w:szCs w:val="21"/>
              </w:rPr>
              <w:t xml:space="preserve">2.1 </w:t>
            </w:r>
            <w:r w:rsidRPr="00796C46">
              <w:rPr>
                <w:sz w:val="21"/>
                <w:szCs w:val="21"/>
              </w:rPr>
              <w:t>已抵押担保的债权数额</w:t>
            </w:r>
          </w:p>
        </w:tc>
        <w:tc>
          <w:tcPr>
            <w:tcW w:w="1070" w:type="pct"/>
            <w:vAlign w:val="center"/>
          </w:tcPr>
          <w:p w14:paraId="00E140EE" w14:textId="77777777" w:rsidR="002451CD" w:rsidRPr="00796C46" w:rsidRDefault="002451CD" w:rsidP="00796C46">
            <w:pPr>
              <w:pStyle w:val="TableParagraph"/>
              <w:jc w:val="both"/>
              <w:rPr>
                <w:sz w:val="21"/>
                <w:szCs w:val="21"/>
              </w:rPr>
            </w:pPr>
            <w:r w:rsidRPr="00796C46">
              <w:rPr>
                <w:sz w:val="21"/>
                <w:szCs w:val="21"/>
              </w:rPr>
              <w:t>总价（元或万元）</w:t>
            </w:r>
          </w:p>
        </w:tc>
        <w:tc>
          <w:tcPr>
            <w:tcW w:w="783" w:type="pct"/>
            <w:vAlign w:val="center"/>
          </w:tcPr>
          <w:p w14:paraId="5C849F36" w14:textId="77777777" w:rsidR="002451CD" w:rsidRPr="00796C46" w:rsidRDefault="002451CD" w:rsidP="00796C46">
            <w:pPr>
              <w:pStyle w:val="TableParagraph"/>
              <w:jc w:val="center"/>
              <w:rPr>
                <w:sz w:val="21"/>
                <w:szCs w:val="21"/>
              </w:rPr>
            </w:pPr>
          </w:p>
        </w:tc>
        <w:tc>
          <w:tcPr>
            <w:tcW w:w="784" w:type="pct"/>
            <w:vAlign w:val="center"/>
          </w:tcPr>
          <w:p w14:paraId="66DCAFA9" w14:textId="77777777" w:rsidR="002451CD" w:rsidRPr="00796C46" w:rsidRDefault="002451CD" w:rsidP="00796C46">
            <w:pPr>
              <w:pStyle w:val="TableParagraph"/>
              <w:jc w:val="center"/>
              <w:rPr>
                <w:sz w:val="21"/>
                <w:szCs w:val="21"/>
              </w:rPr>
            </w:pPr>
          </w:p>
        </w:tc>
        <w:tc>
          <w:tcPr>
            <w:tcW w:w="783" w:type="pct"/>
            <w:vAlign w:val="center"/>
          </w:tcPr>
          <w:p w14:paraId="3B4BD1EB" w14:textId="77777777" w:rsidR="002451CD" w:rsidRPr="00796C46" w:rsidRDefault="002451CD" w:rsidP="00796C46">
            <w:pPr>
              <w:pStyle w:val="TableParagraph"/>
              <w:jc w:val="center"/>
              <w:rPr>
                <w:sz w:val="21"/>
                <w:szCs w:val="21"/>
              </w:rPr>
            </w:pPr>
          </w:p>
        </w:tc>
        <w:tc>
          <w:tcPr>
            <w:tcW w:w="384" w:type="pct"/>
            <w:vAlign w:val="center"/>
          </w:tcPr>
          <w:p w14:paraId="66C0F0F2" w14:textId="77777777" w:rsidR="002451CD" w:rsidRPr="00796C46" w:rsidRDefault="002451CD" w:rsidP="00796C46">
            <w:pPr>
              <w:pStyle w:val="TableParagraph"/>
              <w:jc w:val="center"/>
              <w:rPr>
                <w:sz w:val="21"/>
                <w:szCs w:val="21"/>
              </w:rPr>
            </w:pPr>
          </w:p>
        </w:tc>
      </w:tr>
      <w:tr w:rsidR="002451CD" w:rsidRPr="00796C46" w14:paraId="7D142989" w14:textId="77777777" w:rsidTr="00796C46">
        <w:trPr>
          <w:trHeight w:val="340"/>
        </w:trPr>
        <w:tc>
          <w:tcPr>
            <w:tcW w:w="1198" w:type="pct"/>
            <w:vMerge/>
            <w:vAlign w:val="center"/>
          </w:tcPr>
          <w:p w14:paraId="78A4CC9F" w14:textId="77777777" w:rsidR="002451CD" w:rsidRPr="00796C46" w:rsidRDefault="002451CD" w:rsidP="00796C46">
            <w:pPr>
              <w:rPr>
                <w:szCs w:val="21"/>
              </w:rPr>
            </w:pPr>
          </w:p>
        </w:tc>
        <w:tc>
          <w:tcPr>
            <w:tcW w:w="1070" w:type="pct"/>
            <w:vAlign w:val="center"/>
          </w:tcPr>
          <w:p w14:paraId="654AEEC3" w14:textId="77777777" w:rsidR="002451CD" w:rsidRPr="00796C46" w:rsidRDefault="002451CD" w:rsidP="00796C46">
            <w:pPr>
              <w:pStyle w:val="TableParagraph"/>
              <w:jc w:val="both"/>
              <w:rPr>
                <w:sz w:val="21"/>
                <w:szCs w:val="21"/>
              </w:rPr>
            </w:pPr>
            <w:r w:rsidRPr="00796C46">
              <w:rPr>
                <w:sz w:val="21"/>
                <w:szCs w:val="21"/>
              </w:rPr>
              <w:t>单价（元/m2）</w:t>
            </w:r>
          </w:p>
        </w:tc>
        <w:tc>
          <w:tcPr>
            <w:tcW w:w="783" w:type="pct"/>
            <w:vAlign w:val="center"/>
          </w:tcPr>
          <w:p w14:paraId="06B6AA8D" w14:textId="77777777" w:rsidR="002451CD" w:rsidRPr="00796C46" w:rsidRDefault="002451CD" w:rsidP="00796C46">
            <w:pPr>
              <w:pStyle w:val="TableParagraph"/>
              <w:jc w:val="center"/>
              <w:rPr>
                <w:sz w:val="21"/>
                <w:szCs w:val="21"/>
              </w:rPr>
            </w:pPr>
          </w:p>
        </w:tc>
        <w:tc>
          <w:tcPr>
            <w:tcW w:w="784" w:type="pct"/>
            <w:vAlign w:val="center"/>
          </w:tcPr>
          <w:p w14:paraId="28B9926E" w14:textId="77777777" w:rsidR="002451CD" w:rsidRPr="00796C46" w:rsidRDefault="002451CD" w:rsidP="00796C46">
            <w:pPr>
              <w:pStyle w:val="TableParagraph"/>
              <w:jc w:val="center"/>
              <w:rPr>
                <w:sz w:val="21"/>
                <w:szCs w:val="21"/>
              </w:rPr>
            </w:pPr>
          </w:p>
        </w:tc>
        <w:tc>
          <w:tcPr>
            <w:tcW w:w="783" w:type="pct"/>
            <w:vAlign w:val="center"/>
          </w:tcPr>
          <w:p w14:paraId="72334A11" w14:textId="77777777" w:rsidR="002451CD" w:rsidRPr="00796C46" w:rsidRDefault="002451CD" w:rsidP="00796C46">
            <w:pPr>
              <w:pStyle w:val="TableParagraph"/>
              <w:jc w:val="center"/>
              <w:rPr>
                <w:sz w:val="21"/>
                <w:szCs w:val="21"/>
              </w:rPr>
            </w:pPr>
          </w:p>
        </w:tc>
        <w:tc>
          <w:tcPr>
            <w:tcW w:w="384" w:type="pct"/>
            <w:vAlign w:val="center"/>
          </w:tcPr>
          <w:p w14:paraId="34AD72A6" w14:textId="77777777" w:rsidR="002451CD" w:rsidRPr="00796C46" w:rsidRDefault="002451CD" w:rsidP="00796C46">
            <w:pPr>
              <w:pStyle w:val="TableParagraph"/>
              <w:jc w:val="center"/>
              <w:rPr>
                <w:sz w:val="21"/>
                <w:szCs w:val="21"/>
              </w:rPr>
            </w:pPr>
          </w:p>
        </w:tc>
      </w:tr>
      <w:tr w:rsidR="002451CD" w:rsidRPr="00796C46" w14:paraId="75A829A5" w14:textId="77777777" w:rsidTr="00796C46">
        <w:trPr>
          <w:trHeight w:val="340"/>
        </w:trPr>
        <w:tc>
          <w:tcPr>
            <w:tcW w:w="1198" w:type="pct"/>
            <w:vMerge w:val="restart"/>
            <w:vAlign w:val="center"/>
          </w:tcPr>
          <w:p w14:paraId="1DBD0734" w14:textId="07FFF84C" w:rsidR="002451CD" w:rsidRPr="00796C46" w:rsidRDefault="002451CD" w:rsidP="00796C46">
            <w:pPr>
              <w:pStyle w:val="TableParagraph"/>
              <w:jc w:val="both"/>
              <w:rPr>
                <w:sz w:val="21"/>
                <w:szCs w:val="21"/>
              </w:rPr>
            </w:pPr>
            <w:r w:rsidRPr="00796C46">
              <w:rPr>
                <w:rFonts w:ascii="Times New Roman" w:eastAsia="Times New Roman"/>
                <w:sz w:val="21"/>
                <w:szCs w:val="21"/>
              </w:rPr>
              <w:t xml:space="preserve">2.2 </w:t>
            </w:r>
            <w:r w:rsidRPr="00796C46">
              <w:rPr>
                <w:sz w:val="21"/>
                <w:szCs w:val="21"/>
              </w:rPr>
              <w:t>拖欠建设工程款</w:t>
            </w:r>
          </w:p>
        </w:tc>
        <w:tc>
          <w:tcPr>
            <w:tcW w:w="1070" w:type="pct"/>
            <w:vAlign w:val="center"/>
          </w:tcPr>
          <w:p w14:paraId="77CA26A9" w14:textId="77777777" w:rsidR="002451CD" w:rsidRPr="00796C46" w:rsidRDefault="002451CD" w:rsidP="00796C46">
            <w:pPr>
              <w:pStyle w:val="TableParagraph"/>
              <w:jc w:val="both"/>
              <w:rPr>
                <w:sz w:val="21"/>
                <w:szCs w:val="21"/>
              </w:rPr>
            </w:pPr>
            <w:r w:rsidRPr="00796C46">
              <w:rPr>
                <w:sz w:val="21"/>
                <w:szCs w:val="21"/>
              </w:rPr>
              <w:t>总价（元或万元）</w:t>
            </w:r>
          </w:p>
        </w:tc>
        <w:tc>
          <w:tcPr>
            <w:tcW w:w="783" w:type="pct"/>
            <w:vAlign w:val="center"/>
          </w:tcPr>
          <w:p w14:paraId="213A1A42" w14:textId="77777777" w:rsidR="002451CD" w:rsidRPr="00796C46" w:rsidRDefault="002451CD" w:rsidP="00796C46">
            <w:pPr>
              <w:pStyle w:val="TableParagraph"/>
              <w:jc w:val="center"/>
              <w:rPr>
                <w:sz w:val="21"/>
                <w:szCs w:val="21"/>
              </w:rPr>
            </w:pPr>
          </w:p>
        </w:tc>
        <w:tc>
          <w:tcPr>
            <w:tcW w:w="784" w:type="pct"/>
            <w:vAlign w:val="center"/>
          </w:tcPr>
          <w:p w14:paraId="4D0E0901" w14:textId="77777777" w:rsidR="002451CD" w:rsidRPr="00796C46" w:rsidRDefault="002451CD" w:rsidP="00796C46">
            <w:pPr>
              <w:pStyle w:val="TableParagraph"/>
              <w:jc w:val="center"/>
              <w:rPr>
                <w:sz w:val="21"/>
                <w:szCs w:val="21"/>
              </w:rPr>
            </w:pPr>
          </w:p>
        </w:tc>
        <w:tc>
          <w:tcPr>
            <w:tcW w:w="783" w:type="pct"/>
            <w:vAlign w:val="center"/>
          </w:tcPr>
          <w:p w14:paraId="2E7C3997" w14:textId="77777777" w:rsidR="002451CD" w:rsidRPr="00796C46" w:rsidRDefault="002451CD" w:rsidP="00796C46">
            <w:pPr>
              <w:pStyle w:val="TableParagraph"/>
              <w:jc w:val="center"/>
              <w:rPr>
                <w:sz w:val="21"/>
                <w:szCs w:val="21"/>
              </w:rPr>
            </w:pPr>
          </w:p>
        </w:tc>
        <w:tc>
          <w:tcPr>
            <w:tcW w:w="384" w:type="pct"/>
            <w:vAlign w:val="center"/>
          </w:tcPr>
          <w:p w14:paraId="6EBA219B" w14:textId="77777777" w:rsidR="002451CD" w:rsidRPr="00796C46" w:rsidRDefault="002451CD" w:rsidP="00796C46">
            <w:pPr>
              <w:pStyle w:val="TableParagraph"/>
              <w:jc w:val="center"/>
              <w:rPr>
                <w:sz w:val="21"/>
                <w:szCs w:val="21"/>
              </w:rPr>
            </w:pPr>
          </w:p>
        </w:tc>
      </w:tr>
      <w:tr w:rsidR="002451CD" w:rsidRPr="00796C46" w14:paraId="14E069FD" w14:textId="77777777" w:rsidTr="00796C46">
        <w:trPr>
          <w:trHeight w:val="340"/>
        </w:trPr>
        <w:tc>
          <w:tcPr>
            <w:tcW w:w="1198" w:type="pct"/>
            <w:vMerge/>
            <w:vAlign w:val="center"/>
          </w:tcPr>
          <w:p w14:paraId="4F52A656" w14:textId="77777777" w:rsidR="002451CD" w:rsidRPr="00796C46" w:rsidRDefault="002451CD" w:rsidP="00796C46">
            <w:pPr>
              <w:rPr>
                <w:szCs w:val="21"/>
              </w:rPr>
            </w:pPr>
          </w:p>
        </w:tc>
        <w:tc>
          <w:tcPr>
            <w:tcW w:w="1070" w:type="pct"/>
            <w:vAlign w:val="center"/>
          </w:tcPr>
          <w:p w14:paraId="30C413C6" w14:textId="77777777" w:rsidR="002451CD" w:rsidRPr="00796C46" w:rsidRDefault="002451CD" w:rsidP="00796C46">
            <w:pPr>
              <w:pStyle w:val="TableParagraph"/>
              <w:jc w:val="both"/>
              <w:rPr>
                <w:sz w:val="21"/>
                <w:szCs w:val="21"/>
              </w:rPr>
            </w:pPr>
            <w:r w:rsidRPr="00796C46">
              <w:rPr>
                <w:sz w:val="21"/>
                <w:szCs w:val="21"/>
              </w:rPr>
              <w:t>单价（元/m2）</w:t>
            </w:r>
          </w:p>
        </w:tc>
        <w:tc>
          <w:tcPr>
            <w:tcW w:w="783" w:type="pct"/>
            <w:vAlign w:val="center"/>
          </w:tcPr>
          <w:p w14:paraId="6D37674C" w14:textId="77777777" w:rsidR="002451CD" w:rsidRPr="00796C46" w:rsidRDefault="002451CD" w:rsidP="00796C46">
            <w:pPr>
              <w:pStyle w:val="TableParagraph"/>
              <w:jc w:val="center"/>
              <w:rPr>
                <w:sz w:val="21"/>
                <w:szCs w:val="21"/>
              </w:rPr>
            </w:pPr>
          </w:p>
        </w:tc>
        <w:tc>
          <w:tcPr>
            <w:tcW w:w="784" w:type="pct"/>
            <w:vAlign w:val="center"/>
          </w:tcPr>
          <w:p w14:paraId="0182BCAF" w14:textId="77777777" w:rsidR="002451CD" w:rsidRPr="00796C46" w:rsidRDefault="002451CD" w:rsidP="00796C46">
            <w:pPr>
              <w:pStyle w:val="TableParagraph"/>
              <w:jc w:val="center"/>
              <w:rPr>
                <w:sz w:val="21"/>
                <w:szCs w:val="21"/>
              </w:rPr>
            </w:pPr>
          </w:p>
        </w:tc>
        <w:tc>
          <w:tcPr>
            <w:tcW w:w="783" w:type="pct"/>
            <w:vAlign w:val="center"/>
          </w:tcPr>
          <w:p w14:paraId="0F8D329C" w14:textId="77777777" w:rsidR="002451CD" w:rsidRPr="00796C46" w:rsidRDefault="002451CD" w:rsidP="00796C46">
            <w:pPr>
              <w:pStyle w:val="TableParagraph"/>
              <w:jc w:val="center"/>
              <w:rPr>
                <w:sz w:val="21"/>
                <w:szCs w:val="21"/>
              </w:rPr>
            </w:pPr>
          </w:p>
        </w:tc>
        <w:tc>
          <w:tcPr>
            <w:tcW w:w="384" w:type="pct"/>
            <w:vAlign w:val="center"/>
          </w:tcPr>
          <w:p w14:paraId="36DB4485" w14:textId="77777777" w:rsidR="002451CD" w:rsidRPr="00796C46" w:rsidRDefault="002451CD" w:rsidP="00796C46">
            <w:pPr>
              <w:pStyle w:val="TableParagraph"/>
              <w:jc w:val="center"/>
              <w:rPr>
                <w:sz w:val="21"/>
                <w:szCs w:val="21"/>
              </w:rPr>
            </w:pPr>
          </w:p>
        </w:tc>
      </w:tr>
      <w:tr w:rsidR="002451CD" w:rsidRPr="00796C46" w14:paraId="440C48EA" w14:textId="77777777" w:rsidTr="00796C46">
        <w:trPr>
          <w:trHeight w:val="340"/>
        </w:trPr>
        <w:tc>
          <w:tcPr>
            <w:tcW w:w="1198" w:type="pct"/>
            <w:vMerge w:val="restart"/>
            <w:vAlign w:val="center"/>
          </w:tcPr>
          <w:p w14:paraId="69E5B1BA" w14:textId="01E52E57" w:rsidR="002451CD" w:rsidRPr="00796C46" w:rsidRDefault="002451CD" w:rsidP="00796C46">
            <w:pPr>
              <w:pStyle w:val="TableParagraph"/>
              <w:jc w:val="both"/>
              <w:rPr>
                <w:sz w:val="21"/>
                <w:szCs w:val="21"/>
              </w:rPr>
            </w:pPr>
            <w:r w:rsidRPr="00796C46">
              <w:rPr>
                <w:rFonts w:ascii="Times New Roman" w:eastAsia="Times New Roman"/>
                <w:sz w:val="21"/>
                <w:szCs w:val="21"/>
              </w:rPr>
              <w:t xml:space="preserve">2.3 </w:t>
            </w:r>
            <w:r w:rsidRPr="00796C46">
              <w:rPr>
                <w:sz w:val="21"/>
                <w:szCs w:val="21"/>
              </w:rPr>
              <w:t>其他法定优先受偿款</w:t>
            </w:r>
          </w:p>
        </w:tc>
        <w:tc>
          <w:tcPr>
            <w:tcW w:w="1070" w:type="pct"/>
            <w:vAlign w:val="center"/>
          </w:tcPr>
          <w:p w14:paraId="2BE02429" w14:textId="77777777" w:rsidR="002451CD" w:rsidRPr="00796C46" w:rsidRDefault="002451CD" w:rsidP="00796C46">
            <w:pPr>
              <w:pStyle w:val="TableParagraph"/>
              <w:jc w:val="both"/>
              <w:rPr>
                <w:sz w:val="21"/>
                <w:szCs w:val="21"/>
              </w:rPr>
            </w:pPr>
            <w:r w:rsidRPr="00796C46">
              <w:rPr>
                <w:sz w:val="21"/>
                <w:szCs w:val="21"/>
              </w:rPr>
              <w:t>总价（元或万元）</w:t>
            </w:r>
          </w:p>
        </w:tc>
        <w:tc>
          <w:tcPr>
            <w:tcW w:w="783" w:type="pct"/>
            <w:vAlign w:val="center"/>
          </w:tcPr>
          <w:p w14:paraId="50D7F6DC" w14:textId="77777777" w:rsidR="002451CD" w:rsidRPr="00796C46" w:rsidRDefault="002451CD" w:rsidP="00796C46">
            <w:pPr>
              <w:pStyle w:val="TableParagraph"/>
              <w:jc w:val="center"/>
              <w:rPr>
                <w:sz w:val="21"/>
                <w:szCs w:val="21"/>
              </w:rPr>
            </w:pPr>
          </w:p>
        </w:tc>
        <w:tc>
          <w:tcPr>
            <w:tcW w:w="784" w:type="pct"/>
            <w:vAlign w:val="center"/>
          </w:tcPr>
          <w:p w14:paraId="08263815" w14:textId="77777777" w:rsidR="002451CD" w:rsidRPr="00796C46" w:rsidRDefault="002451CD" w:rsidP="00796C46">
            <w:pPr>
              <w:pStyle w:val="TableParagraph"/>
              <w:jc w:val="center"/>
              <w:rPr>
                <w:sz w:val="21"/>
                <w:szCs w:val="21"/>
              </w:rPr>
            </w:pPr>
          </w:p>
        </w:tc>
        <w:tc>
          <w:tcPr>
            <w:tcW w:w="783" w:type="pct"/>
            <w:vAlign w:val="center"/>
          </w:tcPr>
          <w:p w14:paraId="3D422F28" w14:textId="77777777" w:rsidR="002451CD" w:rsidRPr="00796C46" w:rsidRDefault="002451CD" w:rsidP="00796C46">
            <w:pPr>
              <w:pStyle w:val="TableParagraph"/>
              <w:jc w:val="center"/>
              <w:rPr>
                <w:sz w:val="21"/>
                <w:szCs w:val="21"/>
              </w:rPr>
            </w:pPr>
          </w:p>
        </w:tc>
        <w:tc>
          <w:tcPr>
            <w:tcW w:w="384" w:type="pct"/>
            <w:vAlign w:val="center"/>
          </w:tcPr>
          <w:p w14:paraId="2F17EDD8" w14:textId="77777777" w:rsidR="002451CD" w:rsidRPr="00796C46" w:rsidRDefault="002451CD" w:rsidP="00796C46">
            <w:pPr>
              <w:pStyle w:val="TableParagraph"/>
              <w:jc w:val="center"/>
              <w:rPr>
                <w:sz w:val="21"/>
                <w:szCs w:val="21"/>
              </w:rPr>
            </w:pPr>
          </w:p>
        </w:tc>
      </w:tr>
      <w:tr w:rsidR="002451CD" w:rsidRPr="00796C46" w14:paraId="33B4523E" w14:textId="77777777" w:rsidTr="00796C46">
        <w:trPr>
          <w:trHeight w:val="340"/>
        </w:trPr>
        <w:tc>
          <w:tcPr>
            <w:tcW w:w="1198" w:type="pct"/>
            <w:vMerge/>
            <w:vAlign w:val="center"/>
          </w:tcPr>
          <w:p w14:paraId="265623DC" w14:textId="77777777" w:rsidR="002451CD" w:rsidRPr="00796C46" w:rsidRDefault="002451CD" w:rsidP="00796C46">
            <w:pPr>
              <w:rPr>
                <w:szCs w:val="21"/>
              </w:rPr>
            </w:pPr>
          </w:p>
        </w:tc>
        <w:tc>
          <w:tcPr>
            <w:tcW w:w="1070" w:type="pct"/>
            <w:vAlign w:val="center"/>
          </w:tcPr>
          <w:p w14:paraId="51AA6325" w14:textId="77777777" w:rsidR="002451CD" w:rsidRPr="00796C46" w:rsidRDefault="002451CD" w:rsidP="00796C46">
            <w:pPr>
              <w:pStyle w:val="TableParagraph"/>
              <w:jc w:val="both"/>
              <w:rPr>
                <w:sz w:val="21"/>
                <w:szCs w:val="21"/>
              </w:rPr>
            </w:pPr>
            <w:r w:rsidRPr="00796C46">
              <w:rPr>
                <w:sz w:val="21"/>
                <w:szCs w:val="21"/>
              </w:rPr>
              <w:t>单价（元/m2）</w:t>
            </w:r>
          </w:p>
        </w:tc>
        <w:tc>
          <w:tcPr>
            <w:tcW w:w="783" w:type="pct"/>
            <w:vAlign w:val="center"/>
          </w:tcPr>
          <w:p w14:paraId="10AA7370" w14:textId="77777777" w:rsidR="002451CD" w:rsidRPr="00796C46" w:rsidRDefault="002451CD" w:rsidP="00796C46">
            <w:pPr>
              <w:pStyle w:val="TableParagraph"/>
              <w:jc w:val="center"/>
              <w:rPr>
                <w:sz w:val="21"/>
                <w:szCs w:val="21"/>
              </w:rPr>
            </w:pPr>
          </w:p>
        </w:tc>
        <w:tc>
          <w:tcPr>
            <w:tcW w:w="784" w:type="pct"/>
            <w:vAlign w:val="center"/>
          </w:tcPr>
          <w:p w14:paraId="761B3FDD" w14:textId="77777777" w:rsidR="002451CD" w:rsidRPr="00796C46" w:rsidRDefault="002451CD" w:rsidP="00796C46">
            <w:pPr>
              <w:pStyle w:val="TableParagraph"/>
              <w:jc w:val="center"/>
              <w:rPr>
                <w:sz w:val="21"/>
                <w:szCs w:val="21"/>
              </w:rPr>
            </w:pPr>
          </w:p>
        </w:tc>
        <w:tc>
          <w:tcPr>
            <w:tcW w:w="783" w:type="pct"/>
            <w:vAlign w:val="center"/>
          </w:tcPr>
          <w:p w14:paraId="0E6DF9A0" w14:textId="77777777" w:rsidR="002451CD" w:rsidRPr="00796C46" w:rsidRDefault="002451CD" w:rsidP="00796C46">
            <w:pPr>
              <w:pStyle w:val="TableParagraph"/>
              <w:jc w:val="center"/>
              <w:rPr>
                <w:sz w:val="21"/>
                <w:szCs w:val="21"/>
              </w:rPr>
            </w:pPr>
          </w:p>
        </w:tc>
        <w:tc>
          <w:tcPr>
            <w:tcW w:w="384" w:type="pct"/>
            <w:vAlign w:val="center"/>
          </w:tcPr>
          <w:p w14:paraId="2C0E17D0" w14:textId="77777777" w:rsidR="002451CD" w:rsidRPr="00796C46" w:rsidRDefault="002451CD" w:rsidP="00796C46">
            <w:pPr>
              <w:pStyle w:val="TableParagraph"/>
              <w:jc w:val="center"/>
              <w:rPr>
                <w:sz w:val="21"/>
                <w:szCs w:val="21"/>
              </w:rPr>
            </w:pPr>
          </w:p>
        </w:tc>
      </w:tr>
      <w:tr w:rsidR="002451CD" w:rsidRPr="00796C46" w14:paraId="1254EF2D" w14:textId="77777777" w:rsidTr="00796C46">
        <w:trPr>
          <w:trHeight w:val="340"/>
        </w:trPr>
        <w:tc>
          <w:tcPr>
            <w:tcW w:w="1198" w:type="pct"/>
            <w:vMerge w:val="restart"/>
            <w:vAlign w:val="center"/>
          </w:tcPr>
          <w:p w14:paraId="1F7D1B69" w14:textId="77777777" w:rsidR="002451CD" w:rsidRPr="00796C46" w:rsidRDefault="002451CD" w:rsidP="00796C46">
            <w:pPr>
              <w:pStyle w:val="TableParagraph"/>
              <w:jc w:val="both"/>
              <w:rPr>
                <w:sz w:val="21"/>
                <w:szCs w:val="21"/>
              </w:rPr>
            </w:pPr>
            <w:r w:rsidRPr="00796C46">
              <w:rPr>
                <w:rFonts w:ascii="Times New Roman" w:eastAsia="Times New Roman"/>
                <w:sz w:val="21"/>
                <w:szCs w:val="21"/>
              </w:rPr>
              <w:t xml:space="preserve">3 </w:t>
            </w:r>
            <w:r w:rsidRPr="00796C46">
              <w:rPr>
                <w:sz w:val="21"/>
                <w:szCs w:val="21"/>
              </w:rPr>
              <w:t>抵押价值</w:t>
            </w:r>
          </w:p>
        </w:tc>
        <w:tc>
          <w:tcPr>
            <w:tcW w:w="1070" w:type="pct"/>
            <w:vAlign w:val="center"/>
          </w:tcPr>
          <w:p w14:paraId="1D915F4B" w14:textId="77777777" w:rsidR="002451CD" w:rsidRPr="00796C46" w:rsidRDefault="002451CD" w:rsidP="00796C46">
            <w:pPr>
              <w:pStyle w:val="TableParagraph"/>
              <w:jc w:val="both"/>
              <w:rPr>
                <w:sz w:val="21"/>
                <w:szCs w:val="21"/>
              </w:rPr>
            </w:pPr>
            <w:r w:rsidRPr="00796C46">
              <w:rPr>
                <w:sz w:val="21"/>
                <w:szCs w:val="21"/>
              </w:rPr>
              <w:t>总价（元或万元）</w:t>
            </w:r>
          </w:p>
        </w:tc>
        <w:tc>
          <w:tcPr>
            <w:tcW w:w="783" w:type="pct"/>
            <w:vAlign w:val="center"/>
          </w:tcPr>
          <w:p w14:paraId="6D01730C" w14:textId="77777777" w:rsidR="002451CD" w:rsidRPr="00796C46" w:rsidRDefault="002451CD" w:rsidP="00796C46">
            <w:pPr>
              <w:pStyle w:val="TableParagraph"/>
              <w:jc w:val="center"/>
              <w:rPr>
                <w:sz w:val="21"/>
                <w:szCs w:val="21"/>
              </w:rPr>
            </w:pPr>
          </w:p>
        </w:tc>
        <w:tc>
          <w:tcPr>
            <w:tcW w:w="784" w:type="pct"/>
            <w:vAlign w:val="center"/>
          </w:tcPr>
          <w:p w14:paraId="6BA7730A" w14:textId="77777777" w:rsidR="002451CD" w:rsidRPr="00796C46" w:rsidRDefault="002451CD" w:rsidP="00796C46">
            <w:pPr>
              <w:pStyle w:val="TableParagraph"/>
              <w:jc w:val="center"/>
              <w:rPr>
                <w:sz w:val="21"/>
                <w:szCs w:val="21"/>
              </w:rPr>
            </w:pPr>
          </w:p>
        </w:tc>
        <w:tc>
          <w:tcPr>
            <w:tcW w:w="783" w:type="pct"/>
            <w:vAlign w:val="center"/>
          </w:tcPr>
          <w:p w14:paraId="11F54531" w14:textId="77777777" w:rsidR="002451CD" w:rsidRPr="00796C46" w:rsidRDefault="002451CD" w:rsidP="00796C46">
            <w:pPr>
              <w:pStyle w:val="TableParagraph"/>
              <w:jc w:val="center"/>
              <w:rPr>
                <w:sz w:val="21"/>
                <w:szCs w:val="21"/>
              </w:rPr>
            </w:pPr>
          </w:p>
        </w:tc>
        <w:tc>
          <w:tcPr>
            <w:tcW w:w="384" w:type="pct"/>
            <w:vAlign w:val="center"/>
          </w:tcPr>
          <w:p w14:paraId="096C1456" w14:textId="77777777" w:rsidR="002451CD" w:rsidRPr="00796C46" w:rsidRDefault="002451CD" w:rsidP="00796C46">
            <w:pPr>
              <w:pStyle w:val="TableParagraph"/>
              <w:jc w:val="center"/>
              <w:rPr>
                <w:sz w:val="21"/>
                <w:szCs w:val="21"/>
              </w:rPr>
            </w:pPr>
          </w:p>
        </w:tc>
      </w:tr>
      <w:tr w:rsidR="002451CD" w:rsidRPr="00796C46" w14:paraId="6A1C4E81" w14:textId="77777777" w:rsidTr="00796C46">
        <w:trPr>
          <w:trHeight w:val="340"/>
        </w:trPr>
        <w:tc>
          <w:tcPr>
            <w:tcW w:w="1198" w:type="pct"/>
            <w:vMerge/>
            <w:vAlign w:val="center"/>
          </w:tcPr>
          <w:p w14:paraId="5F685335" w14:textId="77777777" w:rsidR="002451CD" w:rsidRPr="00796C46" w:rsidRDefault="002451CD" w:rsidP="00796C46">
            <w:pPr>
              <w:rPr>
                <w:szCs w:val="21"/>
              </w:rPr>
            </w:pPr>
          </w:p>
        </w:tc>
        <w:tc>
          <w:tcPr>
            <w:tcW w:w="1070" w:type="pct"/>
            <w:vAlign w:val="center"/>
          </w:tcPr>
          <w:p w14:paraId="404D0B7E" w14:textId="77777777" w:rsidR="002451CD" w:rsidRPr="00796C46" w:rsidRDefault="002451CD" w:rsidP="00796C46">
            <w:pPr>
              <w:pStyle w:val="TableParagraph"/>
              <w:jc w:val="both"/>
              <w:rPr>
                <w:sz w:val="21"/>
                <w:szCs w:val="21"/>
              </w:rPr>
            </w:pPr>
            <w:r w:rsidRPr="00796C46">
              <w:rPr>
                <w:sz w:val="21"/>
                <w:szCs w:val="21"/>
              </w:rPr>
              <w:t>单价（元/m2）</w:t>
            </w:r>
          </w:p>
        </w:tc>
        <w:tc>
          <w:tcPr>
            <w:tcW w:w="783" w:type="pct"/>
            <w:vAlign w:val="center"/>
          </w:tcPr>
          <w:p w14:paraId="66BEC88C" w14:textId="77777777" w:rsidR="002451CD" w:rsidRPr="00796C46" w:rsidRDefault="002451CD" w:rsidP="00796C46">
            <w:pPr>
              <w:pStyle w:val="TableParagraph"/>
              <w:jc w:val="center"/>
              <w:rPr>
                <w:sz w:val="21"/>
                <w:szCs w:val="21"/>
              </w:rPr>
            </w:pPr>
          </w:p>
        </w:tc>
        <w:tc>
          <w:tcPr>
            <w:tcW w:w="784" w:type="pct"/>
            <w:vAlign w:val="center"/>
          </w:tcPr>
          <w:p w14:paraId="402092A7" w14:textId="77777777" w:rsidR="002451CD" w:rsidRPr="00796C46" w:rsidRDefault="002451CD" w:rsidP="00796C46">
            <w:pPr>
              <w:pStyle w:val="TableParagraph"/>
              <w:jc w:val="center"/>
              <w:rPr>
                <w:sz w:val="21"/>
                <w:szCs w:val="21"/>
              </w:rPr>
            </w:pPr>
          </w:p>
        </w:tc>
        <w:tc>
          <w:tcPr>
            <w:tcW w:w="783" w:type="pct"/>
            <w:vAlign w:val="center"/>
          </w:tcPr>
          <w:p w14:paraId="3CA6EACF" w14:textId="77777777" w:rsidR="002451CD" w:rsidRPr="00796C46" w:rsidRDefault="002451CD" w:rsidP="00796C46">
            <w:pPr>
              <w:pStyle w:val="TableParagraph"/>
              <w:jc w:val="center"/>
              <w:rPr>
                <w:sz w:val="21"/>
                <w:szCs w:val="21"/>
              </w:rPr>
            </w:pPr>
          </w:p>
        </w:tc>
        <w:tc>
          <w:tcPr>
            <w:tcW w:w="384" w:type="pct"/>
            <w:vAlign w:val="center"/>
          </w:tcPr>
          <w:p w14:paraId="6A8ACE61" w14:textId="77777777" w:rsidR="002451CD" w:rsidRPr="00796C46" w:rsidRDefault="002451CD" w:rsidP="00796C46">
            <w:pPr>
              <w:pStyle w:val="TableParagraph"/>
              <w:jc w:val="center"/>
              <w:rPr>
                <w:sz w:val="21"/>
                <w:szCs w:val="21"/>
              </w:rPr>
            </w:pPr>
          </w:p>
        </w:tc>
      </w:tr>
    </w:tbl>
    <w:p w14:paraId="5AFCA0F3" w14:textId="77777777" w:rsidR="002451CD" w:rsidRDefault="002451CD" w:rsidP="002451CD">
      <w:pPr>
        <w:pStyle w:val="13"/>
      </w:pPr>
      <w:r>
        <w:rPr>
          <w:rFonts w:hint="eastAsia"/>
        </w:rPr>
        <w:t>5）当估价对象无法用单价表示时，最终评估价值可不注明单价，除此之外的最终评估价值均应注明单价和总价，且总价应注明大写金额；</w:t>
      </w:r>
    </w:p>
    <w:p w14:paraId="28B76E4F" w14:textId="77777777" w:rsidR="002451CD" w:rsidRDefault="002451CD" w:rsidP="002451CD">
      <w:pPr>
        <w:pStyle w:val="13"/>
      </w:pPr>
      <w:r>
        <w:t>6）当最终评估价值的币种为外币时，应说明国务院金融主管部门公布的价值时点</w:t>
      </w:r>
      <w:r>
        <w:rPr>
          <w:rFonts w:hint="eastAsia"/>
        </w:rPr>
        <w:t>的人民币市场汇率中间价，并应注明最终评估价值的单价和总价所折合的人民币价值。</w:t>
      </w:r>
    </w:p>
    <w:p w14:paraId="200F92FC" w14:textId="0B213330" w:rsidR="002451CD" w:rsidRDefault="002451CD" w:rsidP="002451CD">
      <w:pPr>
        <w:pStyle w:val="13"/>
      </w:pPr>
      <w:r>
        <w:t>11 注册房地产估价师（列出所有参加估价的注册房地产估价师的姓名、注册号，并由本人签名，不得以个人印章代替签名）</w:t>
      </w:r>
    </w:p>
    <w:p w14:paraId="10868F90" w14:textId="77777777" w:rsidR="002451CD" w:rsidRDefault="002451CD" w:rsidP="002451CD">
      <w:pPr>
        <w:pStyle w:val="a7"/>
        <w:ind w:left="3812"/>
      </w:pPr>
      <w:r>
        <w:t xml:space="preserve">表 </w:t>
      </w:r>
      <w:r>
        <w:rPr>
          <w:rFonts w:ascii="Times New Roman" w:eastAsia="Times New Roman"/>
        </w:rPr>
        <w:t xml:space="preserve">7.0.17-4 </w:t>
      </w:r>
      <w:r>
        <w:t>参加估价的注册房地产估价师</w:t>
      </w:r>
    </w:p>
    <w:p w14:paraId="153E3BC4" w14:textId="77777777" w:rsidR="002451CD" w:rsidRDefault="002451CD" w:rsidP="002451CD">
      <w:pPr>
        <w:pStyle w:val="a7"/>
        <w:spacing w:before="1"/>
        <w:ind w:left="0"/>
        <w:rPr>
          <w:sz w:val="7"/>
        </w:rPr>
      </w:pP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7"/>
        <w:gridCol w:w="2907"/>
        <w:gridCol w:w="2906"/>
      </w:tblGrid>
      <w:tr w:rsidR="002451CD" w:rsidRPr="00796C46" w14:paraId="0634836A" w14:textId="77777777" w:rsidTr="00796C46">
        <w:trPr>
          <w:trHeight w:val="340"/>
          <w:jc w:val="center"/>
        </w:trPr>
        <w:tc>
          <w:tcPr>
            <w:tcW w:w="1667" w:type="pct"/>
          </w:tcPr>
          <w:p w14:paraId="0F878760" w14:textId="77777777" w:rsidR="002451CD" w:rsidRPr="00796C46" w:rsidRDefault="002451CD" w:rsidP="00226138">
            <w:pPr>
              <w:pStyle w:val="TableParagraph"/>
              <w:spacing w:before="91"/>
              <w:ind w:left="1053" w:right="1045"/>
              <w:jc w:val="center"/>
              <w:rPr>
                <w:sz w:val="21"/>
                <w:szCs w:val="21"/>
              </w:rPr>
            </w:pPr>
            <w:r w:rsidRPr="00796C46">
              <w:rPr>
                <w:sz w:val="21"/>
                <w:szCs w:val="21"/>
              </w:rPr>
              <w:t>姓 名</w:t>
            </w:r>
          </w:p>
        </w:tc>
        <w:tc>
          <w:tcPr>
            <w:tcW w:w="1667" w:type="pct"/>
          </w:tcPr>
          <w:p w14:paraId="5D61380D" w14:textId="77777777" w:rsidR="002451CD" w:rsidRPr="00796C46" w:rsidRDefault="002451CD" w:rsidP="00226138">
            <w:pPr>
              <w:pStyle w:val="TableParagraph"/>
              <w:spacing w:before="91"/>
              <w:ind w:left="1050" w:right="1045"/>
              <w:jc w:val="center"/>
              <w:rPr>
                <w:sz w:val="21"/>
                <w:szCs w:val="21"/>
              </w:rPr>
            </w:pPr>
            <w:r w:rsidRPr="00796C46">
              <w:rPr>
                <w:sz w:val="21"/>
                <w:szCs w:val="21"/>
              </w:rPr>
              <w:t>注册号</w:t>
            </w:r>
          </w:p>
        </w:tc>
        <w:tc>
          <w:tcPr>
            <w:tcW w:w="1666" w:type="pct"/>
          </w:tcPr>
          <w:p w14:paraId="75B0442E" w14:textId="11EC665E" w:rsidR="002451CD" w:rsidRPr="00796C46" w:rsidRDefault="002451CD" w:rsidP="00226138">
            <w:pPr>
              <w:pStyle w:val="TableParagraph"/>
              <w:spacing w:before="91"/>
              <w:ind w:left="828" w:right="822"/>
              <w:jc w:val="center"/>
              <w:rPr>
                <w:sz w:val="21"/>
                <w:szCs w:val="21"/>
              </w:rPr>
            </w:pPr>
            <w:r w:rsidRPr="00796C46">
              <w:rPr>
                <w:sz w:val="21"/>
                <w:szCs w:val="21"/>
              </w:rPr>
              <w:t xml:space="preserve">签 </w:t>
            </w:r>
            <w:proofErr w:type="gramStart"/>
            <w:r w:rsidRPr="00796C46">
              <w:rPr>
                <w:sz w:val="21"/>
                <w:szCs w:val="21"/>
              </w:rPr>
              <w:t>名</w:t>
            </w:r>
            <w:r w:rsidR="003068F8">
              <w:rPr>
                <w:sz w:val="21"/>
                <w:szCs w:val="21"/>
              </w:rPr>
              <w:t>日</w:t>
            </w:r>
            <w:proofErr w:type="gramEnd"/>
            <w:r w:rsidRPr="00796C46">
              <w:rPr>
                <w:sz w:val="21"/>
                <w:szCs w:val="21"/>
              </w:rPr>
              <w:t xml:space="preserve"> 期</w:t>
            </w:r>
          </w:p>
        </w:tc>
      </w:tr>
      <w:tr w:rsidR="002451CD" w:rsidRPr="00796C46" w14:paraId="6EB9D8D5" w14:textId="77777777" w:rsidTr="00796C46">
        <w:trPr>
          <w:trHeight w:val="340"/>
          <w:jc w:val="center"/>
        </w:trPr>
        <w:tc>
          <w:tcPr>
            <w:tcW w:w="1667" w:type="pct"/>
          </w:tcPr>
          <w:p w14:paraId="27A21FCC" w14:textId="77777777" w:rsidR="002451CD" w:rsidRPr="00796C46" w:rsidRDefault="002451CD" w:rsidP="00226138">
            <w:pPr>
              <w:pStyle w:val="TableParagraph"/>
              <w:rPr>
                <w:rFonts w:ascii="Times New Roman"/>
                <w:sz w:val="21"/>
                <w:szCs w:val="21"/>
              </w:rPr>
            </w:pPr>
          </w:p>
        </w:tc>
        <w:tc>
          <w:tcPr>
            <w:tcW w:w="1667" w:type="pct"/>
          </w:tcPr>
          <w:p w14:paraId="11AAA7FC" w14:textId="77777777" w:rsidR="002451CD" w:rsidRPr="00796C46" w:rsidRDefault="002451CD" w:rsidP="00226138">
            <w:pPr>
              <w:pStyle w:val="TableParagraph"/>
              <w:rPr>
                <w:rFonts w:ascii="Times New Roman"/>
                <w:sz w:val="21"/>
                <w:szCs w:val="21"/>
              </w:rPr>
            </w:pPr>
          </w:p>
        </w:tc>
        <w:tc>
          <w:tcPr>
            <w:tcW w:w="1666" w:type="pct"/>
          </w:tcPr>
          <w:p w14:paraId="5AFB1DFA" w14:textId="622C8408" w:rsidR="002451CD" w:rsidRPr="00796C46" w:rsidRDefault="002451CD" w:rsidP="00226138">
            <w:pPr>
              <w:pStyle w:val="TableParagraph"/>
              <w:spacing w:before="92"/>
              <w:ind w:left="828" w:right="822"/>
              <w:jc w:val="center"/>
              <w:rPr>
                <w:sz w:val="21"/>
                <w:szCs w:val="21"/>
              </w:rPr>
            </w:pPr>
            <w:r w:rsidRPr="00796C46">
              <w:rPr>
                <w:sz w:val="21"/>
                <w:szCs w:val="21"/>
              </w:rPr>
              <w:t>年</w:t>
            </w:r>
            <w:r w:rsidR="003068F8">
              <w:rPr>
                <w:sz w:val="21"/>
                <w:szCs w:val="21"/>
              </w:rPr>
              <w:t>月</w:t>
            </w:r>
            <w:r w:rsidRPr="00796C46">
              <w:rPr>
                <w:sz w:val="21"/>
                <w:szCs w:val="21"/>
              </w:rPr>
              <w:t>日</w:t>
            </w:r>
          </w:p>
        </w:tc>
      </w:tr>
      <w:tr w:rsidR="002451CD" w:rsidRPr="00796C46" w14:paraId="539F29A7" w14:textId="77777777" w:rsidTr="00796C46">
        <w:trPr>
          <w:trHeight w:val="340"/>
          <w:jc w:val="center"/>
        </w:trPr>
        <w:tc>
          <w:tcPr>
            <w:tcW w:w="1667" w:type="pct"/>
          </w:tcPr>
          <w:p w14:paraId="6AC05B7D" w14:textId="77777777" w:rsidR="002451CD" w:rsidRPr="00796C46" w:rsidRDefault="002451CD" w:rsidP="00226138">
            <w:pPr>
              <w:pStyle w:val="TableParagraph"/>
              <w:rPr>
                <w:rFonts w:ascii="Times New Roman"/>
                <w:sz w:val="21"/>
                <w:szCs w:val="21"/>
              </w:rPr>
            </w:pPr>
          </w:p>
        </w:tc>
        <w:tc>
          <w:tcPr>
            <w:tcW w:w="1667" w:type="pct"/>
          </w:tcPr>
          <w:p w14:paraId="7082AAD7" w14:textId="77777777" w:rsidR="002451CD" w:rsidRPr="00796C46" w:rsidRDefault="002451CD" w:rsidP="00226138">
            <w:pPr>
              <w:pStyle w:val="TableParagraph"/>
              <w:rPr>
                <w:rFonts w:ascii="Times New Roman"/>
                <w:sz w:val="21"/>
                <w:szCs w:val="21"/>
              </w:rPr>
            </w:pPr>
          </w:p>
        </w:tc>
        <w:tc>
          <w:tcPr>
            <w:tcW w:w="1666" w:type="pct"/>
          </w:tcPr>
          <w:p w14:paraId="5FE0F18A" w14:textId="73BE2DB1" w:rsidR="002451CD" w:rsidRPr="00796C46" w:rsidRDefault="002451CD" w:rsidP="00226138">
            <w:pPr>
              <w:pStyle w:val="TableParagraph"/>
              <w:spacing w:before="92"/>
              <w:ind w:left="828" w:right="822"/>
              <w:jc w:val="center"/>
              <w:rPr>
                <w:sz w:val="21"/>
                <w:szCs w:val="21"/>
              </w:rPr>
            </w:pPr>
            <w:r w:rsidRPr="00796C46">
              <w:rPr>
                <w:sz w:val="21"/>
                <w:szCs w:val="21"/>
              </w:rPr>
              <w:t>年</w:t>
            </w:r>
            <w:r w:rsidR="003068F8">
              <w:rPr>
                <w:sz w:val="21"/>
                <w:szCs w:val="21"/>
              </w:rPr>
              <w:t>月</w:t>
            </w:r>
            <w:r w:rsidRPr="00796C46">
              <w:rPr>
                <w:sz w:val="21"/>
                <w:szCs w:val="21"/>
              </w:rPr>
              <w:t>日</w:t>
            </w:r>
          </w:p>
        </w:tc>
      </w:tr>
      <w:tr w:rsidR="002451CD" w:rsidRPr="00796C46" w14:paraId="7FACCED2" w14:textId="77777777" w:rsidTr="00796C46">
        <w:trPr>
          <w:trHeight w:val="340"/>
          <w:jc w:val="center"/>
        </w:trPr>
        <w:tc>
          <w:tcPr>
            <w:tcW w:w="1667" w:type="pct"/>
          </w:tcPr>
          <w:p w14:paraId="1C0DC270" w14:textId="77777777" w:rsidR="002451CD" w:rsidRPr="00796C46" w:rsidRDefault="002451CD" w:rsidP="00226138">
            <w:pPr>
              <w:pStyle w:val="TableParagraph"/>
              <w:rPr>
                <w:rFonts w:ascii="Times New Roman"/>
                <w:sz w:val="21"/>
                <w:szCs w:val="21"/>
              </w:rPr>
            </w:pPr>
          </w:p>
        </w:tc>
        <w:tc>
          <w:tcPr>
            <w:tcW w:w="1667" w:type="pct"/>
          </w:tcPr>
          <w:p w14:paraId="56E90333" w14:textId="77777777" w:rsidR="002451CD" w:rsidRPr="00796C46" w:rsidRDefault="002451CD" w:rsidP="00226138">
            <w:pPr>
              <w:pStyle w:val="TableParagraph"/>
              <w:rPr>
                <w:rFonts w:ascii="Times New Roman"/>
                <w:sz w:val="21"/>
                <w:szCs w:val="21"/>
              </w:rPr>
            </w:pPr>
          </w:p>
        </w:tc>
        <w:tc>
          <w:tcPr>
            <w:tcW w:w="1666" w:type="pct"/>
          </w:tcPr>
          <w:p w14:paraId="442CA46D" w14:textId="32099CAE" w:rsidR="002451CD" w:rsidRPr="00796C46" w:rsidRDefault="002451CD" w:rsidP="00226138">
            <w:pPr>
              <w:pStyle w:val="TableParagraph"/>
              <w:spacing w:before="91"/>
              <w:ind w:left="828" w:right="822"/>
              <w:jc w:val="center"/>
              <w:rPr>
                <w:sz w:val="21"/>
                <w:szCs w:val="21"/>
              </w:rPr>
            </w:pPr>
            <w:r w:rsidRPr="00796C46">
              <w:rPr>
                <w:sz w:val="21"/>
                <w:szCs w:val="21"/>
              </w:rPr>
              <w:t>年</w:t>
            </w:r>
            <w:r w:rsidR="003068F8">
              <w:rPr>
                <w:sz w:val="21"/>
                <w:szCs w:val="21"/>
              </w:rPr>
              <w:t>月</w:t>
            </w:r>
            <w:r w:rsidRPr="00796C46">
              <w:rPr>
                <w:sz w:val="21"/>
                <w:szCs w:val="21"/>
              </w:rPr>
              <w:t>日</w:t>
            </w:r>
          </w:p>
        </w:tc>
      </w:tr>
    </w:tbl>
    <w:p w14:paraId="23875DB4" w14:textId="313C0A37" w:rsidR="002451CD" w:rsidRDefault="002451CD" w:rsidP="002451CD">
      <w:pPr>
        <w:pStyle w:val="13"/>
      </w:pPr>
      <w:r>
        <w:t>12 实地查勘期（应说明实地查勘估价对象的起止日期，具体为自进入估价对象现场之日起至完成实地查勘之日止）</w:t>
      </w:r>
    </w:p>
    <w:p w14:paraId="1B228F58" w14:textId="053879CB" w:rsidR="002451CD" w:rsidRDefault="002451CD" w:rsidP="002451CD">
      <w:pPr>
        <w:pStyle w:val="13"/>
      </w:pPr>
      <w:r>
        <w:t>13 估价作业期（应说明估价工作的起止日期，具体为自受理估价委托之日起至估价报告出具之日止）</w:t>
      </w:r>
    </w:p>
    <w:p w14:paraId="17E1EB5A" w14:textId="703F74CF" w:rsidR="002451CD" w:rsidRDefault="002451CD" w:rsidP="002451CD">
      <w:pPr>
        <w:pStyle w:val="13"/>
        <w:ind w:firstLine="482"/>
      </w:pPr>
      <w:r w:rsidRPr="004E72DE">
        <w:rPr>
          <w:b/>
          <w:bCs/>
        </w:rPr>
        <w:t>7.0.18</w:t>
      </w:r>
      <w:r>
        <w:t xml:space="preserve"> 估价技术报告应详细记载下列事项：</w:t>
      </w:r>
    </w:p>
    <w:p w14:paraId="510EA101" w14:textId="76A9DFF5" w:rsidR="002451CD" w:rsidRDefault="002451CD" w:rsidP="002451CD">
      <w:pPr>
        <w:pStyle w:val="13"/>
      </w:pPr>
      <w:r>
        <w:rPr>
          <w:rFonts w:hint="eastAsia"/>
        </w:rPr>
        <w:lastRenderedPageBreak/>
        <w:t>（一）估价对象描述与分析，应有针对性地较详细说明、分析估价对象的区位状况、实物状况和权益状况。区位状况应包括位置、交通、外部配套设施、周围环境等状况</w:t>
      </w:r>
      <w:r w:rsidR="003068F8">
        <w:rPr>
          <w:rFonts w:hint="eastAsia"/>
        </w:rPr>
        <w:t>，</w:t>
      </w:r>
      <w:r>
        <w:t>单套住宅的区位状况还应包括所处楼幢、楼层和朝向。对土地实物状况应包括土地面积、形状、地势、地质、土壤、开发程度等；对建筑物实物状况应包括建筑规模、建筑结构、设施设备、装饰装修、空间布局、建筑功能、外观、新旧程度等。权益状况应包括用途、规划条件、所有权、土地使用权、共有情况、用益物</w:t>
      </w:r>
      <w:proofErr w:type="gramStart"/>
      <w:r>
        <w:t>权设立</w:t>
      </w:r>
      <w:proofErr w:type="gramEnd"/>
      <w:r>
        <w:t>情况、担保物</w:t>
      </w:r>
      <w:proofErr w:type="gramStart"/>
      <w:r>
        <w:t>权设立</w:t>
      </w:r>
      <w:proofErr w:type="gramEnd"/>
      <w:r>
        <w:t>情况、租赁或占用情况、拖欠税费情况、查封等形式限制权利情</w:t>
      </w:r>
      <w:r>
        <w:rPr>
          <w:rFonts w:hint="eastAsia"/>
        </w:rPr>
        <w:t>况、权属清晰情况等。</w:t>
      </w:r>
    </w:p>
    <w:p w14:paraId="39437DE1" w14:textId="77777777" w:rsidR="002451CD" w:rsidRDefault="002451CD" w:rsidP="002451CD">
      <w:pPr>
        <w:pStyle w:val="13"/>
      </w:pPr>
      <w:r>
        <w:rPr>
          <w:rFonts w:hint="eastAsia"/>
        </w:rPr>
        <w:t>（二）市场背景描述与分析（应简要说明估价对象所在地区的经济社会发展状况和房地产市场总体状况，并有针对性详细说明、分析过去、现在和</w:t>
      </w:r>
      <w:proofErr w:type="gramStart"/>
      <w:r>
        <w:rPr>
          <w:rFonts w:hint="eastAsia"/>
        </w:rPr>
        <w:t>可</w:t>
      </w:r>
      <w:proofErr w:type="gramEnd"/>
      <w:r>
        <w:rPr>
          <w:rFonts w:hint="eastAsia"/>
        </w:rPr>
        <w:t>预见的未来同类房地产的市场状况）</w:t>
      </w:r>
    </w:p>
    <w:p w14:paraId="6D40E465" w14:textId="77777777" w:rsidR="002451CD" w:rsidRDefault="002451CD" w:rsidP="002451CD">
      <w:pPr>
        <w:pStyle w:val="13"/>
      </w:pPr>
      <w:r>
        <w:rPr>
          <w:rFonts w:hint="eastAsia"/>
        </w:rPr>
        <w:t>（三）估价对象最高</w:t>
      </w:r>
      <w:proofErr w:type="gramStart"/>
      <w:r>
        <w:rPr>
          <w:rFonts w:hint="eastAsia"/>
        </w:rPr>
        <w:t>最佳利用</w:t>
      </w:r>
      <w:proofErr w:type="gramEnd"/>
      <w:r>
        <w:rPr>
          <w:rFonts w:hint="eastAsia"/>
        </w:rPr>
        <w:t>分析，应说明估价对象的最高</w:t>
      </w:r>
      <w:proofErr w:type="gramStart"/>
      <w:r>
        <w:rPr>
          <w:rFonts w:hint="eastAsia"/>
        </w:rPr>
        <w:t>最佳利用</w:t>
      </w:r>
      <w:proofErr w:type="gramEnd"/>
      <w:r>
        <w:rPr>
          <w:rFonts w:hint="eastAsia"/>
        </w:rPr>
        <w:t>状况为估价前提，并应有针对性地较详细分析、说明估价对象的最高</w:t>
      </w:r>
      <w:proofErr w:type="gramStart"/>
      <w:r>
        <w:rPr>
          <w:rFonts w:hint="eastAsia"/>
        </w:rPr>
        <w:t>最佳利用</w:t>
      </w:r>
      <w:proofErr w:type="gramEnd"/>
      <w:r>
        <w:rPr>
          <w:rFonts w:hint="eastAsia"/>
        </w:rPr>
        <w:t>状况。当估价对象已为某种利用时，应从维持现状、更新改造、改变用途、改变规模、重新开发及它们的某种组合或其他特殊利用中分析、判断何种利用为最高最佳利用。当根据估价目的不以最高</w:t>
      </w:r>
      <w:proofErr w:type="gramStart"/>
      <w:r>
        <w:rPr>
          <w:rFonts w:hint="eastAsia"/>
        </w:rPr>
        <w:t>佳利用</w:t>
      </w:r>
      <w:proofErr w:type="gramEnd"/>
      <w:r>
        <w:rPr>
          <w:rFonts w:hint="eastAsia"/>
        </w:rPr>
        <w:t>状况为估价前提时，可不进行估价对象最高</w:t>
      </w:r>
      <w:proofErr w:type="gramStart"/>
      <w:r>
        <w:rPr>
          <w:rFonts w:hint="eastAsia"/>
        </w:rPr>
        <w:t>最佳利用</w:t>
      </w:r>
      <w:proofErr w:type="gramEnd"/>
      <w:r>
        <w:rPr>
          <w:rFonts w:hint="eastAsia"/>
        </w:rPr>
        <w:t>分析。</w:t>
      </w:r>
    </w:p>
    <w:p w14:paraId="6D86F7B7" w14:textId="77777777" w:rsidR="002451CD" w:rsidRDefault="002451CD" w:rsidP="002451CD">
      <w:pPr>
        <w:pStyle w:val="13"/>
      </w:pPr>
      <w:r>
        <w:rPr>
          <w:rFonts w:hint="eastAsia"/>
        </w:rPr>
        <w:t>（四）估价方法适用性分析，逐一分析比较法、收益法、成本法、假设开发法等方法是否适用于估价对象。对于理论上不适用的，简述理由；对于理论上适用但客观条件不具备而不能选用的，充分陈述不选用的理由。对于选用的估价方法，简述选用的理由并说明估价技术路线。</w:t>
      </w:r>
    </w:p>
    <w:p w14:paraId="6DDA1F97" w14:textId="77777777" w:rsidR="002451CD" w:rsidRDefault="002451CD" w:rsidP="002451CD">
      <w:pPr>
        <w:pStyle w:val="13"/>
      </w:pPr>
      <w:r>
        <w:rPr>
          <w:rFonts w:hint="eastAsia"/>
        </w:rPr>
        <w:t>（五）估价测算过程，应详细说明所选用的估价方法的价值测算步骤、计算公式和计算过程及其中的估价基础数据和估价参数的来源或确定依据等。</w:t>
      </w:r>
    </w:p>
    <w:p w14:paraId="63FAC449" w14:textId="77777777" w:rsidR="002451CD" w:rsidRDefault="002451CD" w:rsidP="002451CD">
      <w:pPr>
        <w:pStyle w:val="13"/>
      </w:pPr>
      <w:r>
        <w:rPr>
          <w:rFonts w:hint="eastAsia"/>
        </w:rPr>
        <w:t>（六）估价结果确定，说明不同估价方法的测算结果和最终的估价结果，并较详细说明最终的估价结果确定的方法和理由。</w:t>
      </w:r>
    </w:p>
    <w:p w14:paraId="26491C08" w14:textId="0914A8C1" w:rsidR="002451CD" w:rsidRDefault="002451CD" w:rsidP="002451CD">
      <w:pPr>
        <w:pStyle w:val="13"/>
        <w:ind w:firstLine="482"/>
      </w:pPr>
      <w:r w:rsidRPr="004E72DE">
        <w:rPr>
          <w:b/>
          <w:bCs/>
        </w:rPr>
        <w:t>7.0.19</w:t>
      </w:r>
      <w:r>
        <w:t xml:space="preserve"> 附件应包括下列内容：</w:t>
      </w:r>
    </w:p>
    <w:p w14:paraId="5DC52DE1" w14:textId="61F0A872" w:rsidR="002451CD" w:rsidRDefault="002451CD" w:rsidP="002451CD">
      <w:pPr>
        <w:pStyle w:val="13"/>
      </w:pPr>
      <w:r>
        <w:t>1 估价委托书复印件；</w:t>
      </w:r>
    </w:p>
    <w:p w14:paraId="707DFBCF" w14:textId="532F6A78" w:rsidR="002451CD" w:rsidRDefault="002451CD" w:rsidP="002451CD">
      <w:pPr>
        <w:pStyle w:val="13"/>
      </w:pPr>
      <w:r>
        <w:t>2 估价对象的位置示意图</w:t>
      </w:r>
    </w:p>
    <w:p w14:paraId="2C3223B2" w14:textId="73A6E9BF" w:rsidR="002451CD" w:rsidRDefault="002451CD" w:rsidP="002451CD">
      <w:pPr>
        <w:pStyle w:val="13"/>
      </w:pPr>
      <w:r>
        <w:t>3 估价对象实地查勘情况和相关照片，应说明对估价对象进行了实地查勘及进行实</w:t>
      </w:r>
      <w:r>
        <w:rPr>
          <w:rFonts w:hint="eastAsia"/>
        </w:rPr>
        <w:t>地查勘的注册房地产估价师。因本</w:t>
      </w:r>
      <w:proofErr w:type="gramStart"/>
      <w:r>
        <w:rPr>
          <w:rFonts w:hint="eastAsia"/>
        </w:rPr>
        <w:t>规范第</w:t>
      </w:r>
      <w:proofErr w:type="gramEnd"/>
      <w:r>
        <w:t xml:space="preserve"> 3.0.8 条规定情形未能进入估价对象内进行实地查勘的，附件中可不包括估价对象内部状况照片，</w:t>
      </w:r>
    </w:p>
    <w:p w14:paraId="1A9021EF" w14:textId="0638E33E" w:rsidR="002451CD" w:rsidRDefault="002451CD" w:rsidP="002451CD">
      <w:pPr>
        <w:pStyle w:val="13"/>
      </w:pPr>
      <w:r>
        <w:t>4 权属证明复印件；当估价委托人不是估价对象权利人且估价报告为非</w:t>
      </w:r>
      <w:proofErr w:type="gramStart"/>
      <w:r>
        <w:t>鉴证</w:t>
      </w:r>
      <w:proofErr w:type="gramEnd"/>
      <w:r>
        <w:t>性估价报告时，可不包括估价对象权属证明复印件，但应说明无估价对象权属证明复印具体原因，并将估价对象权属状况作为估价假设中的依据不足假设在估价报告中说明。</w:t>
      </w:r>
    </w:p>
    <w:p w14:paraId="26727F21" w14:textId="772A19B5" w:rsidR="002451CD" w:rsidRDefault="002451CD" w:rsidP="002451CD">
      <w:pPr>
        <w:pStyle w:val="13"/>
      </w:pPr>
      <w:r>
        <w:lastRenderedPageBreak/>
        <w:t>5 估价对象法定优先受偿</w:t>
      </w:r>
      <w:proofErr w:type="gramStart"/>
      <w:r>
        <w:t>款调查</w:t>
      </w:r>
      <w:proofErr w:type="gramEnd"/>
      <w:r>
        <w:t>情况，应说明对估价对象法定优先受偿</w:t>
      </w:r>
      <w:proofErr w:type="gramStart"/>
      <w:r>
        <w:t>权设立</w:t>
      </w:r>
      <w:proofErr w:type="gramEnd"/>
      <w:r>
        <w:t>情况及相应的法定优先受偿款进行了调查，并应提供反映估价对象宗室优先受偿款的资料。当不是房地产抵押估价报告时，可不包括该情况。</w:t>
      </w:r>
    </w:p>
    <w:p w14:paraId="1183DC66" w14:textId="3A59FBE2" w:rsidR="002451CD" w:rsidRDefault="002451CD" w:rsidP="002451CD">
      <w:pPr>
        <w:pStyle w:val="13"/>
      </w:pPr>
      <w:r>
        <w:t>6 可比实例位置图和外观照片。当未采用比较法进行估价时，可不包括该图和照片。</w:t>
      </w:r>
    </w:p>
    <w:p w14:paraId="0AAAEC81" w14:textId="6FE38ABA" w:rsidR="002451CD" w:rsidRDefault="002451CD" w:rsidP="002451CD">
      <w:pPr>
        <w:pStyle w:val="13"/>
      </w:pPr>
      <w:r>
        <w:t>7 专业帮助情况和相关专业意见，应符合下列规定：</w:t>
      </w:r>
    </w:p>
    <w:p w14:paraId="5A3FD439" w14:textId="77777777" w:rsidR="002451CD" w:rsidRDefault="002451CD" w:rsidP="002451CD">
      <w:pPr>
        <w:pStyle w:val="13"/>
      </w:pPr>
      <w:r>
        <w:t>1）当有本</w:t>
      </w:r>
      <w:proofErr w:type="gramStart"/>
      <w:r>
        <w:t>规范第</w:t>
      </w:r>
      <w:proofErr w:type="gramEnd"/>
      <w:r>
        <w:t xml:space="preserve"> 3.0.9 条规定的情形时，应说明有专业帮助，并应说明专业帮助的内容及提供专业帮助的专家或单位的姓名或名称，相关资格、职称或资质；</w:t>
      </w:r>
    </w:p>
    <w:p w14:paraId="5DBD73DC" w14:textId="77777777" w:rsidR="002451CD" w:rsidRDefault="002451CD" w:rsidP="002451CD">
      <w:pPr>
        <w:pStyle w:val="13"/>
      </w:pPr>
      <w:r>
        <w:t>2）当有本规范 3.0.10 条规定的情形时，应提供相关专业意见复印件，并应说明出具相关专业意见的专业机构或专家的名称或姓名 ，相关资质或资格、职称；</w:t>
      </w:r>
    </w:p>
    <w:p w14:paraId="4812A101" w14:textId="77777777" w:rsidR="002451CD" w:rsidRDefault="002451CD" w:rsidP="002451CD">
      <w:pPr>
        <w:pStyle w:val="13"/>
      </w:pPr>
      <w:r>
        <w:t>3）当没有专业帮助或</w:t>
      </w:r>
      <w:proofErr w:type="gramStart"/>
      <w:r>
        <w:t>未依据</w:t>
      </w:r>
      <w:proofErr w:type="gramEnd"/>
      <w:r>
        <w:t>相关专业意见时，应说明没有专业帮助或</w:t>
      </w:r>
      <w:proofErr w:type="gramStart"/>
      <w:r>
        <w:t>未依据</w:t>
      </w:r>
      <w:proofErr w:type="gramEnd"/>
      <w:r>
        <w:t>相关专业意见。</w:t>
      </w:r>
    </w:p>
    <w:p w14:paraId="0DB7744A" w14:textId="5481D34D" w:rsidR="002451CD" w:rsidRDefault="002451CD" w:rsidP="002451CD">
      <w:pPr>
        <w:pStyle w:val="13"/>
      </w:pPr>
      <w:r>
        <w:t>8 估价所依据的其他文件资料；</w:t>
      </w:r>
    </w:p>
    <w:p w14:paraId="51F4F4F4" w14:textId="34581DBD" w:rsidR="002451CD" w:rsidRDefault="002451CD" w:rsidP="002451CD">
      <w:pPr>
        <w:pStyle w:val="13"/>
      </w:pPr>
      <w:r>
        <w:t>9 房地产估价机构的营业执照和资质证书复印件；</w:t>
      </w:r>
    </w:p>
    <w:p w14:paraId="3D6605B7" w14:textId="6029162D" w:rsidR="002451CD" w:rsidRDefault="002451CD" w:rsidP="002451CD">
      <w:pPr>
        <w:pStyle w:val="13"/>
      </w:pPr>
      <w:r>
        <w:t>10 注册房地产估价师的注册证书复印件。</w:t>
      </w:r>
    </w:p>
    <w:p w14:paraId="0DF6057D" w14:textId="1E306856" w:rsidR="002451CD" w:rsidRDefault="002451CD" w:rsidP="002451CD">
      <w:pPr>
        <w:pStyle w:val="13"/>
        <w:ind w:firstLine="482"/>
      </w:pPr>
      <w:r w:rsidRPr="00482349">
        <w:rPr>
          <w:b/>
          <w:bCs/>
        </w:rPr>
        <w:t>7.0.20</w:t>
      </w:r>
      <w:r>
        <w:t xml:space="preserve"> 估价对象变现能力分析与风险提示，应较详细分析、说明估价的通用性、独立使用性、可分割转让性、区位、开发程度、价值大小及房地产市场状况等影响估价对象变现能力的因素及其对变现能力的影响，假定估价对象在价值时点拍卖或变卖时最可能实现的价格与其市场价值市场价格的差异程度 ，变现的时间长短及费用、税金的种类和清偿顺序；预期可能导致估价对象抵押价值或抵押净值下跌的因素及其对估价对象抵押价值或抵押净值的影响，未来可能产生的房地产信贷风险关注点等。当不是房地产抵押估价报告时，不包括估价对象变现能力分析与风险提示</w:t>
      </w:r>
      <w:r>
        <w:rPr>
          <w:rFonts w:hint="eastAsia"/>
        </w:rPr>
        <w:t>。</w:t>
      </w:r>
    </w:p>
    <w:p w14:paraId="323D553E" w14:textId="4D47338D" w:rsidR="002451CD" w:rsidRDefault="002451CD" w:rsidP="002451CD">
      <w:pPr>
        <w:pStyle w:val="13"/>
        <w:ind w:firstLine="482"/>
      </w:pPr>
      <w:r w:rsidRPr="00482349">
        <w:rPr>
          <w:b/>
          <w:bCs/>
        </w:rPr>
        <w:t>7.0.21</w:t>
      </w:r>
      <w:r>
        <w:t xml:space="preserve"> 当为成套住宅抵押估价或基于同一估价目的的大量相似的房地产批量估价时，估价报告可采取表格形式。</w:t>
      </w:r>
    </w:p>
    <w:p w14:paraId="75FBF447" w14:textId="4E22FB5E" w:rsidR="002451CD" w:rsidRDefault="002451CD" w:rsidP="002451CD">
      <w:pPr>
        <w:pStyle w:val="13"/>
        <w:ind w:firstLine="482"/>
      </w:pPr>
      <w:r w:rsidRPr="00482349">
        <w:rPr>
          <w:b/>
          <w:bCs/>
        </w:rPr>
        <w:t>7.0.22</w:t>
      </w:r>
      <w:r>
        <w:t xml:space="preserve"> 估价报告应做到图文并茂。纸质估价报告应装订成册，纸张大小宜采用尺寸为 210mm×297mm 的 A4 纸规格。</w:t>
      </w:r>
    </w:p>
    <w:p w14:paraId="5DD72FF1" w14:textId="77777777" w:rsidR="002451CD" w:rsidRDefault="002451CD" w:rsidP="00AF7342">
      <w:pPr>
        <w:pStyle w:val="a9"/>
        <w:spacing w:before="62" w:after="62"/>
      </w:pPr>
      <w:r>
        <w:t>8 估价职业道德</w:t>
      </w:r>
    </w:p>
    <w:p w14:paraId="23571CF9" w14:textId="68CAD895" w:rsidR="002451CD" w:rsidRDefault="002451CD" w:rsidP="002451CD">
      <w:pPr>
        <w:pStyle w:val="13"/>
        <w:ind w:firstLine="482"/>
      </w:pPr>
      <w:r w:rsidRPr="00482349">
        <w:rPr>
          <w:b/>
          <w:bCs/>
        </w:rPr>
        <w:t>8.0.1</w:t>
      </w:r>
      <w:r>
        <w:t xml:space="preserve"> 房地产估价师和房地产估价机构必须回避与自己、近亲属、关联方及其他利害关系人有利害关系的房地产估价业务。</w:t>
      </w:r>
    </w:p>
    <w:p w14:paraId="5FFF4FED" w14:textId="520F637C" w:rsidR="002451CD" w:rsidRDefault="002451CD" w:rsidP="002451CD">
      <w:pPr>
        <w:pStyle w:val="13"/>
        <w:ind w:firstLine="482"/>
      </w:pPr>
      <w:r w:rsidRPr="00482349">
        <w:rPr>
          <w:b/>
          <w:bCs/>
        </w:rPr>
        <w:t>8.0.2</w:t>
      </w:r>
      <w:r>
        <w:t xml:space="preserve"> 房地产估价师和房地产估价机构不得承接超出自己专业胜任能力的估价业务</w:t>
      </w:r>
      <w:r w:rsidR="003068F8">
        <w:t>，</w:t>
      </w:r>
      <w:r>
        <w:t>对于部分超出自己专业胜任能力的工作，应聘请具有相应专业胜任能力的专业人员或专 业机构提供专业帮助。</w:t>
      </w:r>
    </w:p>
    <w:p w14:paraId="60AA1E46" w14:textId="7B735C7E" w:rsidR="002451CD" w:rsidRDefault="002451CD" w:rsidP="002451CD">
      <w:pPr>
        <w:pStyle w:val="13"/>
        <w:ind w:firstLine="482"/>
      </w:pPr>
      <w:r w:rsidRPr="00482349">
        <w:rPr>
          <w:b/>
          <w:bCs/>
        </w:rPr>
        <w:t>8.0.3</w:t>
      </w:r>
      <w:r>
        <w:t xml:space="preserve"> 房地产估价师和房地产估价机构应诚实正直诚实、不得作任何虚假的估价，不得按估价委托人或其他单位、个人高估或低估要求进行估价，且不得按预先设</w:t>
      </w:r>
      <w:r>
        <w:lastRenderedPageBreak/>
        <w:t>定的价值或价格进行估价。</w:t>
      </w:r>
    </w:p>
    <w:p w14:paraId="795841D6" w14:textId="43E5EBC9" w:rsidR="002451CD" w:rsidRDefault="002451CD" w:rsidP="002451CD">
      <w:pPr>
        <w:pStyle w:val="13"/>
        <w:ind w:firstLine="482"/>
      </w:pPr>
      <w:r w:rsidRPr="00482349">
        <w:rPr>
          <w:b/>
          <w:bCs/>
        </w:rPr>
        <w:t>8.0.4</w:t>
      </w:r>
      <w:r>
        <w:t xml:space="preserve"> 房地产估价师和房地产估价机构应勤勉尽职做好每项估价工作，应搜集合法、真实、准确、完整的估价所需资料，且应对搜集的估价所需资料进行检查，并应对估价对象进行实地查勘。</w:t>
      </w:r>
    </w:p>
    <w:p w14:paraId="49E2A9D9" w14:textId="3B28E0EB" w:rsidR="002451CD" w:rsidRDefault="002451CD" w:rsidP="002451CD">
      <w:pPr>
        <w:pStyle w:val="13"/>
        <w:ind w:firstLine="482"/>
      </w:pPr>
      <w:r w:rsidRPr="00482349">
        <w:rPr>
          <w:b/>
          <w:bCs/>
        </w:rPr>
        <w:t>8.0.5</w:t>
      </w:r>
      <w:r>
        <w:t xml:space="preserve"> 房地产估价师和房地产估价机构应在估价假设等重大估价事项上，向估价委托人详细说明，务求估价委托人清楚估价的限制条件和估价结果的使用限制。</w:t>
      </w:r>
    </w:p>
    <w:p w14:paraId="29D55230" w14:textId="497DD579" w:rsidR="002451CD" w:rsidRDefault="002451CD" w:rsidP="002451CD">
      <w:pPr>
        <w:pStyle w:val="13"/>
        <w:ind w:firstLine="482"/>
      </w:pPr>
      <w:r w:rsidRPr="00482349">
        <w:rPr>
          <w:b/>
          <w:bCs/>
        </w:rPr>
        <w:t>8.0.6</w:t>
      </w:r>
      <w:r>
        <w:t xml:space="preserve"> 房地产估价师和房地产估价机构应保守在执业活动中知悉的国家秘密、商业秘密，不得泄露个人隐私；应妥善保管估价委托人提供的资料，未经估价委托人同意，不得擅自将其提供给其他个人和单位。</w:t>
      </w:r>
    </w:p>
    <w:p w14:paraId="77BED26D" w14:textId="2C569F2B" w:rsidR="002451CD" w:rsidRDefault="002451CD" w:rsidP="002451CD">
      <w:pPr>
        <w:pStyle w:val="13"/>
        <w:ind w:firstLine="482"/>
      </w:pPr>
      <w:r w:rsidRPr="00482349">
        <w:rPr>
          <w:b/>
          <w:bCs/>
        </w:rPr>
        <w:t>8.0.7</w:t>
      </w:r>
      <w:r>
        <w:t xml:space="preserve"> 房地产估价师和房地产估价机构应维护自己的良好社会形象及房地产估价行业声誉，不得采取迎合估价委托人或估价利害关系人不当要求、恶性压价、支付回扣、贬低同行、虚假宣传等不正当手段承揽估价业务，不得索贿、受贿或利用开展估价业务谋取不正当利益。</w:t>
      </w:r>
    </w:p>
    <w:p w14:paraId="6E9B9B60" w14:textId="2FBA584B" w:rsidR="002451CD" w:rsidRDefault="002451CD" w:rsidP="002451CD">
      <w:pPr>
        <w:pStyle w:val="13"/>
        <w:ind w:firstLine="482"/>
      </w:pPr>
      <w:r w:rsidRPr="00482349">
        <w:rPr>
          <w:b/>
          <w:bCs/>
        </w:rPr>
        <w:t>8.0.8</w:t>
      </w:r>
      <w:r>
        <w:t xml:space="preserve"> 房地产估价师和房地产估价机构不得允许其他个人或单位以自己的名义从事估价业务，不得以估价者身份在非自己估价的估价报告上签名、盖章，不得以其他房地产估价师、房地产估价机构的名义从事估价业务。</w:t>
      </w:r>
    </w:p>
    <w:p w14:paraId="62A4B4C6" w14:textId="77777777" w:rsidR="002451CD" w:rsidRDefault="002451CD" w:rsidP="00AF7342">
      <w:pPr>
        <w:pStyle w:val="a9"/>
        <w:spacing w:before="62" w:after="62"/>
      </w:pPr>
      <w:r>
        <w:rPr>
          <w:rFonts w:hint="eastAsia"/>
        </w:rPr>
        <w:t>本规范用词说明</w:t>
      </w:r>
    </w:p>
    <w:p w14:paraId="63B7F65B" w14:textId="3AA6EEFC" w:rsidR="002451CD" w:rsidRDefault="002451CD" w:rsidP="002451CD">
      <w:pPr>
        <w:pStyle w:val="13"/>
      </w:pPr>
      <w:r>
        <w:t>1 为便于在执行本规范条文时区别对待，以要求严格程度不同的用词说明如下：</w:t>
      </w:r>
    </w:p>
    <w:p w14:paraId="2372E683" w14:textId="77777777" w:rsidR="002451CD" w:rsidRDefault="002451CD" w:rsidP="002451CD">
      <w:pPr>
        <w:pStyle w:val="13"/>
      </w:pPr>
      <w:r>
        <w:t>1）表示很严格，非这样做不可的：</w:t>
      </w:r>
    </w:p>
    <w:p w14:paraId="0A02072F" w14:textId="77777777" w:rsidR="002451CD" w:rsidRDefault="002451CD" w:rsidP="002451CD">
      <w:pPr>
        <w:pStyle w:val="13"/>
      </w:pPr>
      <w:r>
        <w:rPr>
          <w:rFonts w:hint="eastAsia"/>
        </w:rPr>
        <w:t>正面词用“必须”，反面词用“严禁”</w:t>
      </w:r>
    </w:p>
    <w:p w14:paraId="0ADA5684" w14:textId="77777777" w:rsidR="002451CD" w:rsidRDefault="002451CD" w:rsidP="002451CD">
      <w:pPr>
        <w:pStyle w:val="13"/>
      </w:pPr>
      <w:r>
        <w:t>2）表示严格，在正常情况下均应这样做的：</w:t>
      </w:r>
    </w:p>
    <w:p w14:paraId="7535C185" w14:textId="77777777" w:rsidR="002451CD" w:rsidRDefault="002451CD" w:rsidP="002451CD">
      <w:pPr>
        <w:pStyle w:val="13"/>
      </w:pPr>
      <w:r>
        <w:rPr>
          <w:rFonts w:hint="eastAsia"/>
        </w:rPr>
        <w:t>正面词用“应”，反面词用“不应”或“不得”</w:t>
      </w:r>
      <w:r>
        <w:t xml:space="preserve"> </w:t>
      </w:r>
    </w:p>
    <w:p w14:paraId="2A4DF4AB" w14:textId="77777777" w:rsidR="002451CD" w:rsidRDefault="002451CD" w:rsidP="002451CD">
      <w:pPr>
        <w:pStyle w:val="13"/>
      </w:pPr>
      <w:r>
        <w:t xml:space="preserve">3）表示稍有选择，在条件许可时首先应这样做的： 正面词用“宜”，反面词用“不宜” </w:t>
      </w:r>
    </w:p>
    <w:p w14:paraId="0BB00696" w14:textId="77777777" w:rsidR="002451CD" w:rsidRDefault="002451CD" w:rsidP="002451CD">
      <w:pPr>
        <w:pStyle w:val="13"/>
      </w:pPr>
      <w:r>
        <w:t>4）表示有选择，在一定条件下可以这样做的，采用“可”</w:t>
      </w:r>
    </w:p>
    <w:p w14:paraId="7AF96063" w14:textId="5A3AC9AA" w:rsidR="002451CD" w:rsidRDefault="002451CD" w:rsidP="002451CD">
      <w:pPr>
        <w:pStyle w:val="13"/>
      </w:pPr>
      <w:r>
        <w:t xml:space="preserve">2 条文中指明应按其他有关标准执行时的写法为： </w:t>
      </w:r>
    </w:p>
    <w:p w14:paraId="4BF3A323" w14:textId="77777777" w:rsidR="002451CD" w:rsidRDefault="002451CD" w:rsidP="002451CD">
      <w:pPr>
        <w:pStyle w:val="13"/>
      </w:pPr>
      <w:r>
        <w:t>“应符合……的规定”或“应按……执行”</w:t>
      </w:r>
    </w:p>
    <w:p w14:paraId="5654B56D" w14:textId="77777777" w:rsidR="00796C46" w:rsidRDefault="00796C46" w:rsidP="00796C46">
      <w:pPr>
        <w:pStyle w:val="31"/>
        <w:spacing w:before="156" w:after="62"/>
      </w:pPr>
      <w:bookmarkStart w:id="123" w:name="_Toc81833385"/>
      <w:r>
        <w:rPr>
          <w:rFonts w:hint="eastAsia"/>
        </w:rPr>
        <w:t>房地产估价规范条文说明</w:t>
      </w:r>
      <w:bookmarkEnd w:id="123"/>
    </w:p>
    <w:p w14:paraId="0AC100ED" w14:textId="77777777" w:rsidR="00796C46" w:rsidRPr="00F811C3" w:rsidRDefault="00796C46" w:rsidP="00AF7342">
      <w:pPr>
        <w:pStyle w:val="a9"/>
        <w:spacing w:before="62" w:after="62"/>
      </w:pPr>
      <w:r w:rsidRPr="00F811C3">
        <w:t>1 总则</w:t>
      </w:r>
    </w:p>
    <w:p w14:paraId="294D2DE9" w14:textId="77777777" w:rsidR="00796C46" w:rsidRDefault="00796C46" w:rsidP="00796C46">
      <w:pPr>
        <w:pStyle w:val="13"/>
        <w:ind w:firstLine="482"/>
      </w:pPr>
      <w:r w:rsidRPr="00797CCF">
        <w:rPr>
          <w:b/>
          <w:bCs/>
        </w:rPr>
        <w:t>1.0.1</w:t>
      </w:r>
      <w:r>
        <w:t xml:space="preserve"> 本条是关于制定本规范的目的的规定。制定本规范的目的主要有三个：一是规范房地产估价活动；二是统一房地产估价程序和方法；三是保证房地产估价质量。</w:t>
      </w:r>
    </w:p>
    <w:p w14:paraId="10E704C3" w14:textId="77777777" w:rsidR="00796C46" w:rsidRDefault="00796C46" w:rsidP="00796C46">
      <w:pPr>
        <w:pStyle w:val="13"/>
      </w:pPr>
      <w:r>
        <w:rPr>
          <w:rFonts w:hint="eastAsia"/>
        </w:rPr>
        <w:t>房地产估价的专业性很强，需要专门知识和经验，评估价值的高低直接关系到有</w:t>
      </w:r>
      <w:r>
        <w:rPr>
          <w:rFonts w:hint="eastAsia"/>
        </w:rPr>
        <w:lastRenderedPageBreak/>
        <w:t>关单位和个人的切身利益，甚至关系到公共利益和人民财产安全。《中华人民共和国城市房地产管理法》规定国家实行房地产价格评估制度，并规定房地产价格评估应按照国家规定的技术标准和评估程序进行评估。本规范即是国家规定的技术标准和评估程序。</w:t>
      </w:r>
    </w:p>
    <w:p w14:paraId="09AE5A66" w14:textId="77777777" w:rsidR="00796C46" w:rsidRDefault="00796C46" w:rsidP="00796C46">
      <w:pPr>
        <w:pStyle w:val="13"/>
        <w:ind w:firstLine="482"/>
      </w:pPr>
      <w:r w:rsidRPr="00797CCF">
        <w:rPr>
          <w:b/>
          <w:bCs/>
        </w:rPr>
        <w:t>1.0.2</w:t>
      </w:r>
      <w:r>
        <w:t xml:space="preserve"> 本条是关于本规范适用范围的规定。本规范所称房地产估价活动，包括</w:t>
      </w:r>
      <w:proofErr w:type="gramStart"/>
      <w:r>
        <w:t>为了各种</w:t>
      </w:r>
      <w:proofErr w:type="gramEnd"/>
      <w:r>
        <w:t>需要，对各种房地产的各种价值和价格进行评估的活动。</w:t>
      </w:r>
    </w:p>
    <w:p w14:paraId="00CEBF52" w14:textId="77777777" w:rsidR="00796C46" w:rsidRDefault="00796C46" w:rsidP="00796C46">
      <w:pPr>
        <w:pStyle w:val="13"/>
      </w:pPr>
      <w:r>
        <w:rPr>
          <w:rFonts w:hint="eastAsia"/>
        </w:rPr>
        <w:t>各种需要，是指房地产抵押、税收、征收、征用、拍卖、变卖、分割、合并、损害赔偿、保险、转让、租赁、建设用地使用权出让、房地产投资基金、投资性房地产公允价值计量、用房地产作价出资设立企业，以及企业改制、上市、资产重组、资产置换、收购资产、出售资产、产权转让、对外投资、合资、合作、租赁、合并、分立、清算、抵债等各种活动对房地产估价的需要。</w:t>
      </w:r>
    </w:p>
    <w:p w14:paraId="168E4C1D" w14:textId="77777777" w:rsidR="00796C46" w:rsidRDefault="00796C46" w:rsidP="00796C46">
      <w:pPr>
        <w:pStyle w:val="13"/>
      </w:pPr>
      <w:r>
        <w:rPr>
          <w:rFonts w:hint="eastAsia"/>
        </w:rPr>
        <w:t>各种房地产，是指房屋、构筑物、土地、在建房地产、未建房地产、已灭失房地产、以房地产为主的整体资产、整体资产中的房地产等财产或相关权益。从用途来看，包括住宅、办公楼、商铺、酒店、餐馆、厂房、仓库、机场、码头、火车站、汽车站、汽车加油站、高尔夫球场、游乐场、主题公园、影剧院、体育场、学校、医院、农地、林地、牧场等。</w:t>
      </w:r>
    </w:p>
    <w:p w14:paraId="6C0AA52A" w14:textId="77777777" w:rsidR="00796C46" w:rsidRDefault="00796C46" w:rsidP="00796C46">
      <w:pPr>
        <w:pStyle w:val="13"/>
      </w:pPr>
      <w:r>
        <w:rPr>
          <w:rFonts w:hint="eastAsia"/>
        </w:rPr>
        <w:t>各种价值和价格，包括市场价值、投资价值、现状价值、快速变现价值、残余价值、抵押价值、抵押净值、计税价值、保险价值、卖方要价、买方出价、招标底价、拍卖底价、挂牌底价等。</w:t>
      </w:r>
    </w:p>
    <w:p w14:paraId="6F6F1D2D" w14:textId="77777777" w:rsidR="00796C46" w:rsidRDefault="00796C46" w:rsidP="00796C46">
      <w:pPr>
        <w:pStyle w:val="13"/>
        <w:ind w:firstLine="482"/>
      </w:pPr>
      <w:r w:rsidRPr="00797CCF">
        <w:rPr>
          <w:b/>
          <w:bCs/>
        </w:rPr>
        <w:t>1.0.3</w:t>
      </w:r>
      <w:r>
        <w:t xml:space="preserve"> 本条规定房地产估价除执行本规范外，还应符合《房地产估价基本术语标准》GB/T 50899 等国家现行有关标准的规定。</w:t>
      </w:r>
    </w:p>
    <w:p w14:paraId="14BF3293" w14:textId="77777777" w:rsidR="00796C46" w:rsidRDefault="00796C46" w:rsidP="00796C46">
      <w:pPr>
        <w:pStyle w:val="13"/>
      </w:pPr>
      <w:r>
        <w:rPr>
          <w:rFonts w:hint="eastAsia"/>
        </w:rPr>
        <w:t>本规范和《房地产估价基本术语标准》</w:t>
      </w:r>
      <w:r>
        <w:t>GB/T 50899 均是国家标准，本规范中的房地</w:t>
      </w:r>
      <w:r>
        <w:rPr>
          <w:rFonts w:hint="eastAsia"/>
        </w:rPr>
        <w:t>产估价术语的含义应按《房地产估价基本术语标准》</w:t>
      </w:r>
      <w:r>
        <w:t>GB/T 50899 的规定理解。</w:t>
      </w:r>
    </w:p>
    <w:p w14:paraId="0603E22F" w14:textId="77777777" w:rsidR="00796C46" w:rsidRDefault="00796C46" w:rsidP="00AF7342">
      <w:pPr>
        <w:pStyle w:val="a9"/>
        <w:spacing w:before="62" w:after="62"/>
      </w:pPr>
      <w:r>
        <w:t>2 估价原则</w:t>
      </w:r>
    </w:p>
    <w:p w14:paraId="5E08E210" w14:textId="484479B0" w:rsidR="00796C46" w:rsidRDefault="00796C46" w:rsidP="00796C46">
      <w:pPr>
        <w:pStyle w:val="13"/>
        <w:ind w:firstLine="482"/>
      </w:pPr>
      <w:r w:rsidRPr="00797CCF">
        <w:rPr>
          <w:b/>
          <w:bCs/>
        </w:rPr>
        <w:t>2.0.1</w:t>
      </w:r>
      <w:r>
        <w:t xml:space="preserve"> 本条明确了市场价值评估应遵循的五项原则。市场价值过去称为公开市场价值，是估价中最基本、最重要、最常用的一种价值类型，是指估价对象经适当营销后</w:t>
      </w:r>
      <w:r w:rsidR="003068F8">
        <w:t>，</w:t>
      </w:r>
      <w:r>
        <w:t>由熟悉情况、谨慎行事且不受强迫的交易双方，以公平交易方式在价值时点自愿进行交易的金额。</w:t>
      </w:r>
    </w:p>
    <w:p w14:paraId="15D57A79" w14:textId="5BEA261F" w:rsidR="00796C46" w:rsidRDefault="00796C46" w:rsidP="00796C46">
      <w:pPr>
        <w:pStyle w:val="13"/>
        <w:ind w:firstLine="482"/>
      </w:pPr>
      <w:r w:rsidRPr="00797CCF">
        <w:rPr>
          <w:b/>
          <w:bCs/>
        </w:rPr>
        <w:t>2.0.2</w:t>
      </w:r>
      <w:r>
        <w:rPr>
          <w:b/>
          <w:bCs/>
        </w:rPr>
        <w:t xml:space="preserve"> </w:t>
      </w:r>
      <w:r w:rsidRPr="00797CCF">
        <w:rPr>
          <w:b/>
          <w:bCs/>
        </w:rPr>
        <w:t>、2.0.3</w:t>
      </w:r>
      <w:r>
        <w:t xml:space="preserve">   过去认为估价一般就是评估市场价值，因此没有区分市场价值评估与其他价值和价格评估应遵循的原则。随着经济社会对房地产估价需求的多样化以及房地 产估价业务的深化和拓展，需要评估其他价值和价格的情形越来越多。在这些价值和价 格评估中，有的除了要遵循市场价值评估应遵循的原则，还要遵循其他原则，如抵押价 值和抵押净值评估还应遵循谨慎原则。而有的不一定要遵循市场价值评估应遵循的所有 原则，如投资价值评估要站在某个特定单位或个人的立场</w:t>
      </w:r>
      <w:r>
        <w:lastRenderedPageBreak/>
        <w:t>上而非站在中立的立场上进行 评估，因此不一定要遵循独立、客观</w:t>
      </w:r>
      <w:r>
        <w:rPr>
          <w:rFonts w:hint="eastAsia"/>
        </w:rPr>
        <w:t>、公正原则；再如现状价值评估，是按房地产的利</w:t>
      </w:r>
      <w:r>
        <w:t xml:space="preserve"> 用现状而非最高</w:t>
      </w:r>
      <w:proofErr w:type="gramStart"/>
      <w:r>
        <w:t>最佳利用</w:t>
      </w:r>
      <w:proofErr w:type="gramEnd"/>
      <w:r>
        <w:t>状况进行评估，因此不应遵循最高</w:t>
      </w:r>
      <w:proofErr w:type="gramStart"/>
      <w:r>
        <w:t>最佳利用</w:t>
      </w:r>
      <w:proofErr w:type="gramEnd"/>
      <w:r>
        <w:t xml:space="preserve">原则。总之，在评 </w:t>
      </w:r>
      <w:proofErr w:type="gramStart"/>
      <w:r>
        <w:t>估市场</w:t>
      </w:r>
      <w:proofErr w:type="gramEnd"/>
      <w:r>
        <w:t>价值以外的其他价值和价格时，可在市场价值评估应遵循的原则外增加估价原则</w:t>
      </w:r>
      <w:r w:rsidR="003068F8">
        <w:t>，</w:t>
      </w:r>
      <w:r>
        <w:t>或者在市场价值评估应遵循的原则中进行取舍，但这种增加或取舍不能是随意的，应根</w:t>
      </w:r>
      <w:r>
        <w:rPr>
          <w:rFonts w:hint="eastAsia"/>
        </w:rPr>
        <w:t>据估价目的和价值类型来增加或取舍。</w:t>
      </w:r>
    </w:p>
    <w:p w14:paraId="39C834B2" w14:textId="2E368E24" w:rsidR="00796C46" w:rsidRDefault="00796C46" w:rsidP="00796C46">
      <w:pPr>
        <w:pStyle w:val="13"/>
        <w:ind w:firstLine="482"/>
      </w:pPr>
      <w:r w:rsidRPr="00797CCF">
        <w:rPr>
          <w:b/>
          <w:bCs/>
        </w:rPr>
        <w:t>2.0.4</w:t>
      </w:r>
      <w:r>
        <w:t xml:space="preserve"> 独立、客观、公正原则中，所谓“独立”，就是要求注册房地产估价师和房地产估价机构与估价委托人及估价利害关系人没有利害关系，在估价中不受包括估价委托人在内的任何单位和个人的影响，应凭自己的专业知识、实践经验和职业道德进行估价</w:t>
      </w:r>
      <w:r w:rsidR="003068F8">
        <w:t>；</w:t>
      </w:r>
      <w:r>
        <w:t xml:space="preserve">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 </w:t>
      </w:r>
    </w:p>
    <w:p w14:paraId="509A681B" w14:textId="77777777" w:rsidR="00796C46" w:rsidRDefault="00796C46" w:rsidP="00796C46">
      <w:pPr>
        <w:pStyle w:val="13"/>
      </w:pPr>
      <w:r>
        <w:rPr>
          <w:rFonts w:hint="eastAsia"/>
        </w:rPr>
        <w:t>合法原则中，所称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w:t>
      </w:r>
      <w:r>
        <w:t xml:space="preserve"> ）。因此，合法原则中所讲的“法”，是广义</w:t>
      </w:r>
      <w:r>
        <w:rPr>
          <w:rFonts w:hint="eastAsia"/>
        </w:rPr>
        <w:t>的“法”。但遵循合法原则，并不意味着只有合法的房地产才能成为估价对象，而是指依法判定估价对象是哪种状况的房地产，就应将其作为那种状况的房地产来估价。</w:t>
      </w:r>
      <w:r>
        <w:t xml:space="preserve"> </w:t>
      </w:r>
    </w:p>
    <w:p w14:paraId="4E98ACAC" w14:textId="77777777" w:rsidR="00796C46" w:rsidRDefault="00796C46" w:rsidP="00796C46">
      <w:pPr>
        <w:pStyle w:val="13"/>
      </w:pPr>
      <w:r>
        <w:rPr>
          <w:rFonts w:hint="eastAsia"/>
        </w:rPr>
        <w:t>市场价值评估之所以要遵循替代原则，是因为根据经济学原理，在同一个市场上相同的商品有相同的价格。因为在同一个市场上如果有两个以上价格不同的相同商品同时存在时，则理性的买者会购买其中价格最低的；或者反过来，如果有两个以上价格相同的相似商品同时存在时，则理性的买者会购买其中效用最大的。卖者为了使其产品能够卖出，相互之间也会进行价格竞争。市场上买者、卖者的这些行为导致的结果，是在相同的商品之间形成相同的价格。房地产价格的形成一般也如此，只是由于房地产的独一无二特性，使得完全相同的房地产几乎没有，但在同一个房地产市场上，相似的房地产会有相近的价格。替代原则对具体的房地产估价工作，指明了两点：一是，当存在着一定数量与估价对象相似的房地产并已知它们的价格时，可以通过这些相似房地产的价格推算出估价对象的价值或价格。在通常情况下，由于房地产的独一无二特性，难以找到各方面状况均与估价对象相同的房地产，所以实际上是寻找与估价对象具有替代性的相似房地产，然后将它们与估价对象进行比较，再根据它们与</w:t>
      </w:r>
      <w:r>
        <w:rPr>
          <w:rFonts w:hint="eastAsia"/>
        </w:rPr>
        <w:lastRenderedPageBreak/>
        <w:t>估价对象之间的差异对其价格进行适当修正和调整。二是，在估价时不能孤立地思考估价对象的价值或价格，而要考虑相似房地产之间的价格比较，特别是同一个房地产估价机构，在同一个城市、同一个时期，为了同一种估价目的，对不同区位、不同档次的房地产的评估价值应有合理的“价差”尤其是较好的房地产的评估价值不应低于较差的房地产的评估价值。</w:t>
      </w:r>
    </w:p>
    <w:p w14:paraId="52252CA8" w14:textId="77777777" w:rsidR="00796C46" w:rsidRDefault="00796C46" w:rsidP="00796C46">
      <w:pPr>
        <w:pStyle w:val="13"/>
      </w:pPr>
      <w:r>
        <w:rPr>
          <w:rFonts w:hint="eastAsia"/>
        </w:rPr>
        <w:t>还需要说明的是，替代原则是针对评估价值而言的，不论采用何种估价方法进行估价，最后都应把评估价值放到市场上去衡量，只有当评估价值没有不合理偏离类似房地产在同等条件下的正常价格时，才可以说评估价值是合理的。</w:t>
      </w:r>
    </w:p>
    <w:p w14:paraId="772F11A1" w14:textId="77777777" w:rsidR="00796C46" w:rsidRDefault="00796C46" w:rsidP="00796C46">
      <w:pPr>
        <w:pStyle w:val="13"/>
        <w:ind w:firstLine="482"/>
      </w:pPr>
      <w:r w:rsidRPr="00797CCF">
        <w:rPr>
          <w:b/>
          <w:bCs/>
        </w:rPr>
        <w:t>2.0.5</w:t>
      </w:r>
      <w:r>
        <w:t xml:space="preserve"> 最高</w:t>
      </w:r>
      <w:proofErr w:type="gramStart"/>
      <w:r>
        <w:t>最佳利用</w:t>
      </w:r>
      <w:proofErr w:type="gramEnd"/>
      <w:r>
        <w:t>需要同时满足四个条件：一是法律上允许；二是技术上可能；三是财务上可行；四是价值最大化。实际估价中在选择估价对象的最高最佳利用时，往往容易忽视“法律上允许”这个前提，甚至误以为最高</w:t>
      </w:r>
      <w:proofErr w:type="gramStart"/>
      <w:r>
        <w:t>最佳利用</w:t>
      </w:r>
      <w:proofErr w:type="gramEnd"/>
      <w:r>
        <w:t>原则与合法原则有时是冲突的。实际上，最高</w:t>
      </w:r>
      <w:proofErr w:type="gramStart"/>
      <w:r>
        <w:t>最佳利用</w:t>
      </w:r>
      <w:proofErr w:type="gramEnd"/>
      <w:r>
        <w:t>不是无条件的最高最佳利用，而是在法律、法规、政策以及建设用地使用权出让合同</w:t>
      </w:r>
      <w:proofErr w:type="gramStart"/>
      <w:r>
        <w:t>等允许</w:t>
      </w:r>
      <w:proofErr w:type="gramEnd"/>
      <w:r>
        <w:t>范围内的最高最佳利用。</w:t>
      </w:r>
    </w:p>
    <w:p w14:paraId="63C43D34" w14:textId="13CFD61C" w:rsidR="00796C46" w:rsidRDefault="00796C46" w:rsidP="00796C46">
      <w:pPr>
        <w:pStyle w:val="13"/>
      </w:pPr>
      <w:r>
        <w:rPr>
          <w:rFonts w:hint="eastAsia"/>
        </w:rPr>
        <w:t>我国目前的土地利用管理不是“认地</w:t>
      </w:r>
      <w:proofErr w:type="gramStart"/>
      <w:r>
        <w:rPr>
          <w:rFonts w:hint="eastAsia"/>
        </w:rPr>
        <w:t>不</w:t>
      </w:r>
      <w:proofErr w:type="gramEnd"/>
      <w:r>
        <w:rPr>
          <w:rFonts w:hint="eastAsia"/>
        </w:rPr>
        <w:t>认人”，因此房地产权利人和意向取得者依法对房地产享有的开发利用权利可能是不同的。由于最高</w:t>
      </w:r>
      <w:proofErr w:type="gramStart"/>
      <w:r>
        <w:rPr>
          <w:rFonts w:hint="eastAsia"/>
        </w:rPr>
        <w:t>最佳利用</w:t>
      </w:r>
      <w:proofErr w:type="gramEnd"/>
      <w:r>
        <w:rPr>
          <w:rFonts w:hint="eastAsia"/>
        </w:rPr>
        <w:t>应是法律上允许的</w:t>
      </w:r>
      <w:r w:rsidR="003068F8">
        <w:rPr>
          <w:rFonts w:hint="eastAsia"/>
        </w:rPr>
        <w:t>，</w:t>
      </w:r>
      <w:r>
        <w:t>所以上述两者的最高</w:t>
      </w:r>
      <w:proofErr w:type="gramStart"/>
      <w:r>
        <w:t>最佳利用</w:t>
      </w:r>
      <w:proofErr w:type="gramEnd"/>
      <w:r>
        <w:t>状况可能不同，从而导致从房地产权利人角度和从意向取得者角度进行估价的结果可能不同。因此，当估价对象的权利人和意向取得者对估价对象依法享有的开发利用权利不相同时，应确定是从房地产权利人角度还是从意向取得者角度进行估价。但到底应从哪个角度进行估价，不是估价委托人或注册房地产估价师可以随意决定的，而应根据估价目的来确定。例如，建设用地使用权</w:t>
      </w:r>
      <w:r>
        <w:rPr>
          <w:rFonts w:hint="eastAsia"/>
        </w:rPr>
        <w:t>出让估价，一般应从意向用地者角度进行估价；被征收房屋价值评估，一般应从被征收人角度进行估价；房地产司法拍卖等房地产处置估价，一般应从意向取得者角度进行估价；房地产税收估价</w:t>
      </w:r>
      <w:r w:rsidR="003068F8">
        <w:rPr>
          <w:rFonts w:hint="eastAsia"/>
        </w:rPr>
        <w:t>，</w:t>
      </w:r>
      <w:r>
        <w:t>一般应从房地产权利人角度进行估价。</w:t>
      </w:r>
    </w:p>
    <w:p w14:paraId="7A6CED7F" w14:textId="77777777" w:rsidR="00796C46" w:rsidRDefault="00796C46" w:rsidP="00796C46">
      <w:pPr>
        <w:pStyle w:val="13"/>
      </w:pPr>
      <w:r>
        <w:rPr>
          <w:rFonts w:hint="eastAsia"/>
        </w:rPr>
        <w:t>现有房地产应维持现状的财务上可行的条件是：现状房地产的价值≥（新房地产的价值</w:t>
      </w:r>
      <w:r>
        <w:t>-将现状房地产改变为新房地产的必要支出及应得利润）。</w:t>
      </w:r>
    </w:p>
    <w:p w14:paraId="3FE019C6" w14:textId="77777777" w:rsidR="00796C46" w:rsidRDefault="00796C46" w:rsidP="00796C46">
      <w:pPr>
        <w:pStyle w:val="13"/>
      </w:pPr>
      <w:r>
        <w:rPr>
          <w:rFonts w:hint="eastAsia"/>
        </w:rPr>
        <w:t>现有房地产应更新改造的财务上可行的条件是：更新改造后的房地产价值</w:t>
      </w:r>
      <w:r>
        <w:t>-更新改造的必要支出及应得利润）&gt;现状房地产的价值。</w:t>
      </w:r>
    </w:p>
    <w:p w14:paraId="1349857E" w14:textId="77777777" w:rsidR="00796C46" w:rsidRDefault="00796C46" w:rsidP="00796C46">
      <w:pPr>
        <w:pStyle w:val="13"/>
      </w:pPr>
      <w:r>
        <w:rPr>
          <w:rFonts w:hint="eastAsia"/>
        </w:rPr>
        <w:t>现有房地产应改变用途的财务上可行的条件是：（新用途下的房地产价值</w:t>
      </w:r>
      <w:r>
        <w:t>-改变用途</w:t>
      </w:r>
      <w:r>
        <w:rPr>
          <w:rFonts w:hint="eastAsia"/>
        </w:rPr>
        <w:t>的必要支出及应得利润）</w:t>
      </w:r>
      <w:r>
        <w:t>&gt;现用途下的房地产价值。</w:t>
      </w:r>
    </w:p>
    <w:p w14:paraId="0692EDF8" w14:textId="77777777" w:rsidR="00796C46" w:rsidRDefault="00796C46" w:rsidP="00796C46">
      <w:pPr>
        <w:pStyle w:val="13"/>
      </w:pPr>
      <w:r>
        <w:rPr>
          <w:rFonts w:hint="eastAsia"/>
        </w:rPr>
        <w:t>现有房地产应改变规模的财务上可行的条件是：（改变规模后的房地产价值</w:t>
      </w:r>
      <w:r>
        <w:t>-改变规模的必要支出及应得利润）&gt;</w:t>
      </w:r>
      <w:proofErr w:type="gramStart"/>
      <w:r>
        <w:t>现规模</w:t>
      </w:r>
      <w:proofErr w:type="gramEnd"/>
      <w:r>
        <w:t>下的房地产价值。</w:t>
      </w:r>
    </w:p>
    <w:p w14:paraId="4DC0099A" w14:textId="77777777" w:rsidR="00796C46" w:rsidRDefault="00796C46" w:rsidP="00796C46">
      <w:pPr>
        <w:pStyle w:val="13"/>
      </w:pPr>
      <w:r>
        <w:rPr>
          <w:rFonts w:hint="eastAsia"/>
        </w:rPr>
        <w:t>现有房地产应重新开发的财务上可行的条件是（重新开发完成后的房地产价值</w:t>
      </w:r>
      <w:r>
        <w:t>-重新开发的必要支出及应得利润）&gt;现有房地产的价值。</w:t>
      </w:r>
    </w:p>
    <w:p w14:paraId="5B3D2FDC" w14:textId="1A2957DA" w:rsidR="00796C46" w:rsidRDefault="00796C46" w:rsidP="00796C46">
      <w:pPr>
        <w:pStyle w:val="13"/>
        <w:ind w:firstLine="482"/>
      </w:pPr>
      <w:r w:rsidRPr="00797CCF">
        <w:rPr>
          <w:b/>
          <w:bCs/>
        </w:rPr>
        <w:t>2.0.6</w:t>
      </w:r>
      <w:r>
        <w:t xml:space="preserve"> 本条是关于估价对象的用途不一致时如何确定估价所依据的用途的规定。</w:t>
      </w:r>
      <w:r>
        <w:lastRenderedPageBreak/>
        <w:t>目前，房地产的实际用途、房屋登记用途、土地登记用途、规划用途等用途之间不一致的情况较为常见，如土地登记用途为工业，房屋登记用途为办公；房屋登记用途为住宅</w:t>
      </w:r>
      <w:r w:rsidR="003068F8">
        <w:t>，</w:t>
      </w:r>
      <w:r>
        <w:t>实际用途为商铺。同一房地产，按照不同的用途进行估价，评估价值往往差异较大。由于估价目的和价值类型多样复杂，在估价实务中究竟应按照哪种用途来估价难以一概而论。本条结合近几年来房地产估价特别是国有土地上房屋征收评估实践，规定：在政府或其有关部门有认定的情况下，应按政府或其有关部门认定</w:t>
      </w:r>
      <w:r>
        <w:rPr>
          <w:rFonts w:hint="eastAsia"/>
        </w:rPr>
        <w:t>的用途进行估价；在没有政府或其有关部门认定的情况下，对房屋登记用途、土地登记用途、规划用途之间的不一致，可根据估价目的或最高</w:t>
      </w:r>
      <w:proofErr w:type="gramStart"/>
      <w:r>
        <w:rPr>
          <w:rFonts w:hint="eastAsia"/>
        </w:rPr>
        <w:t>最佳利用</w:t>
      </w:r>
      <w:proofErr w:type="gramEnd"/>
      <w:r>
        <w:rPr>
          <w:rFonts w:hint="eastAsia"/>
        </w:rPr>
        <w:t>原则选择其中之一进行估价，对实际用途与房屋登记用途、土地登记用途、规划用途均不一致的，应根据估价目的，合理确定估价所依据的用途。</w:t>
      </w:r>
    </w:p>
    <w:p w14:paraId="5561FFBC" w14:textId="77777777" w:rsidR="00796C46" w:rsidRDefault="00796C46" w:rsidP="00AF7342">
      <w:pPr>
        <w:pStyle w:val="a9"/>
        <w:spacing w:before="62" w:after="62"/>
      </w:pPr>
      <w:r>
        <w:t>3 估价程序</w:t>
      </w:r>
    </w:p>
    <w:p w14:paraId="2B9CAFF5" w14:textId="313D1687" w:rsidR="00796C46" w:rsidRDefault="00796C46" w:rsidP="00796C46">
      <w:pPr>
        <w:pStyle w:val="13"/>
        <w:ind w:firstLine="482"/>
      </w:pPr>
      <w:r w:rsidRPr="00797CCF">
        <w:rPr>
          <w:b/>
          <w:bCs/>
        </w:rPr>
        <w:t>3.0.1</w:t>
      </w:r>
      <w:r>
        <w:t xml:space="preserve"> 按照科学、严谨、完整的估价程序按部就班地开展估价工作，可以使估价工作具有计划性并规范化、精细化，避免顾此失彼、疏忽遗漏或重复浪费，从而可以保证估价工作质量，提高估价工作效率。履行必要的估价程序是完成任何估价项目的基本要求</w:t>
      </w:r>
      <w:r w:rsidR="003068F8">
        <w:t>，</w:t>
      </w:r>
      <w:r>
        <w:t>也是房地产估价机构和注册房地产估价师防范估价风险、有效保护自己的重要手段。完成任何估价项目，房地产估价机构和注册房地产估价师都不得随意简化或省略本规范规定的估价程序。</w:t>
      </w:r>
    </w:p>
    <w:p w14:paraId="3517099E" w14:textId="77777777" w:rsidR="00796C46" w:rsidRDefault="00796C46" w:rsidP="00796C46">
      <w:pPr>
        <w:pStyle w:val="13"/>
      </w:pPr>
      <w:r>
        <w:rPr>
          <w:rFonts w:hint="eastAsia"/>
        </w:rPr>
        <w:t>对因评估价值异议引起的估价鉴定，其中一项重要的鉴定内容是检查房地产估价机构和注册房地产估价师是否履行了必要的估价程序（包括必要的估价工作步骤和估价工作内容）来开展估价工作，即检查在履行估价程序方面是否存在简化、省略等问题或疏漏。例如，是否尽职搜集了估价所需资料，包括是否要求了估价委托人如实提供其知悉的估价所需资料，自己是否努力搜集了其他估价所需的资料，并对估价所依据的资料进行了审慎检查；是否对估价对象进行了认真的实地查勘；是否采用了适用的估价方法对估价对象价值或价格进行了正确、仔细的测算。除非是有意高估或低估，一般情况下只要估价程序做到位了，评估价值不会出现太大的偏差。因此，房地产估价机构和注册房地产估价师开展任何估价项目，都必须在估价程序上经得起严格检查。</w:t>
      </w:r>
    </w:p>
    <w:p w14:paraId="4FD8D467" w14:textId="77777777" w:rsidR="00796C46" w:rsidRDefault="00796C46" w:rsidP="00796C46">
      <w:pPr>
        <w:pStyle w:val="13"/>
      </w:pPr>
      <w:r>
        <w:rPr>
          <w:rFonts w:hint="eastAsia"/>
        </w:rPr>
        <w:t>在实际估价中，本条估价程序中的一些工作步骤之间不是绝对分割开的，可以有某些交叉（如搜集估价所需资料可在受理估价委托时就要求委托人提供，在实地查勘估价对象时还可进一步补充搜集有关资料），有时甚至需要一定的反复，但不得随意简化和省略。</w:t>
      </w:r>
    </w:p>
    <w:p w14:paraId="4C5963BC" w14:textId="77777777" w:rsidR="00796C46" w:rsidRDefault="00796C46" w:rsidP="00796C46">
      <w:pPr>
        <w:pStyle w:val="13"/>
        <w:ind w:firstLine="482"/>
      </w:pPr>
      <w:r w:rsidRPr="00797CCF">
        <w:rPr>
          <w:b/>
          <w:bCs/>
        </w:rPr>
        <w:t>3.0.2</w:t>
      </w:r>
      <w:r>
        <w:t xml:space="preserve"> 估价委托应由房地产估价机构统一受理，注册房地产估价师不得以个人名义承揽估价业务，分支机构应以设立该分支机构的房地产估价机构的名义承揽估价业务。</w:t>
      </w:r>
    </w:p>
    <w:p w14:paraId="1C5407DA" w14:textId="77777777" w:rsidR="00796C46" w:rsidRDefault="00796C46" w:rsidP="00796C46">
      <w:pPr>
        <w:pStyle w:val="13"/>
      </w:pPr>
      <w:r>
        <w:rPr>
          <w:rFonts w:hint="eastAsia"/>
        </w:rPr>
        <w:lastRenderedPageBreak/>
        <w:t>房地产估价机构在接受估价委托时，应要求估价委托人向其出具估价委托书，可采取填写估价委托书的方式。估价委托书一般应载明估价委托人的名称或姓名、委托的房地产估价机构的名称、估价目的、估价对象、估价要求、委托日期等内容。估价委托书将作为估价依据放人估价报告的附件中。</w:t>
      </w:r>
    </w:p>
    <w:p w14:paraId="5EBE06E4" w14:textId="77777777" w:rsidR="00796C46" w:rsidRDefault="00796C46" w:rsidP="00796C46">
      <w:pPr>
        <w:pStyle w:val="13"/>
      </w:pPr>
      <w:r>
        <w:rPr>
          <w:rFonts w:hint="eastAsia"/>
        </w:rPr>
        <w:t>无超出本机构的估价业务范围、与本机构有利害关系或利益冲突、本机构的专业能力难以胜任、估价业务有较大风险等不应受理的情形，房地产估价机构决定受理估价委托的，应与估价委托人订立书面估价委托合同。估价委托合同一般应载明以下内容：一是估价委托人和房地产估价机构的基本情况，包括估价委托人的名称或姓名、住所，房地产估价机构的名称、住所。二是负责本估价项目的注册房地产估价师，包括姓名、注册号。每个估价项目应选派一名能胜任该项目估价工作的注册房地产估价师担任项目负责人。三是估价目的和估价对象。四是估价委托人应提供的估价所需资料，包括资料的目录、数量，如估价委托人应向估价机构提供估价对象的权属证明、历史成交价格、运营收益（包括收入和费用）、开发建设成本以及有关会计报表等资料。五是估价过程中双方的权利和义务，如房地产估价机构和注册房地产估价师等有关人员应保守在估价活动中知悉的估价委托人的商业秘密，不得泄露估价委托人的个人隐私；估价委托人保证所提供的资料是合法、真实、准确和完整的，没有隐匿或虚报的情况，应协助注册房地产估价师对估价对象进行实地查勘，搜集估价所需资料。六是估价费用及其支付的方式、期限。七是估价报告及其交付，包括交付的估价报告类型、份数以及估价报告的交付期限、方式等。例如，是仅提供估价结果报告，还是既提供估价结果报告又提供估价技术报告；是提供中文估价报告，还是提供英文估价报告，或是既提供中文估价报告又提供英文估价报告。在确定估价报告交付期限时，应保证有足够的时间以保质完成该估价项目，不得</w:t>
      </w:r>
      <w:r>
        <w:t>"立等可取"。八是违约责任。九是解决争议的方法。十是其他需要约定的事项。此外，估价委托合同中还应注明其签订日期。</w:t>
      </w:r>
    </w:p>
    <w:p w14:paraId="3B1B4AB8" w14:textId="77777777" w:rsidR="00796C46" w:rsidRDefault="00796C46" w:rsidP="00796C46">
      <w:pPr>
        <w:pStyle w:val="13"/>
      </w:pPr>
      <w:r>
        <w:rPr>
          <w:rFonts w:hint="eastAsia"/>
        </w:rPr>
        <w:t>估价工作应由注册房地产估价师完成，其他人员只能协助或帮助注册房地产估价师开展有关工作。为了保证估价质量，每个估价项目应明确一名能够胜任其估价工作的注册房地产估价师担任项目负责人，并应有与其估价工作量和难度相适应的两名或两名以上足够数量并能够胜任其估价工作的注册房地产估价师进行估价。</w:t>
      </w:r>
    </w:p>
    <w:p w14:paraId="210E5248" w14:textId="77777777" w:rsidR="00796C46" w:rsidRDefault="00796C46" w:rsidP="00796C46">
      <w:pPr>
        <w:pStyle w:val="13"/>
      </w:pPr>
      <w:r>
        <w:rPr>
          <w:rFonts w:hint="eastAsia"/>
        </w:rPr>
        <w:t>应采用批量估价的项目主要是适用于批量估价的房地产计税价值评估、房地产抵押贷款后重估。房地产抵押贷款前估价、房屋征收估价不宜采用批量估价。除应采用批量估价的项目外，不得将有机联系的估价工作前后割裂开来，采取流水作业方式，分别由不同的人员完成其中一部分工作。</w:t>
      </w:r>
    </w:p>
    <w:p w14:paraId="3D775B0A" w14:textId="77777777" w:rsidR="00796C46" w:rsidRDefault="00796C46" w:rsidP="00796C46">
      <w:pPr>
        <w:pStyle w:val="13"/>
        <w:ind w:firstLine="482"/>
      </w:pPr>
      <w:r w:rsidRPr="00797CCF">
        <w:rPr>
          <w:b/>
          <w:bCs/>
        </w:rPr>
        <w:t>3.0.3</w:t>
      </w:r>
      <w:r>
        <w:t xml:space="preserve"> 房地产估价的核心内容是为了特定目的，对特定房地产在特定时间的特定价值进行分析、测算和判断。因此，在分析、测算和判断特定价值之前，必须弄清</w:t>
      </w:r>
      <w:r>
        <w:lastRenderedPageBreak/>
        <w:t>特定目的、特定房地产、特定时间和特定价值，即要弄清估价目的、估价对象、价值时点和价值类型。弄清这四者称为确定估价基本事项。</w:t>
      </w:r>
    </w:p>
    <w:p w14:paraId="26EC6208" w14:textId="77777777" w:rsidR="00796C46" w:rsidRDefault="00796C46" w:rsidP="00796C46">
      <w:pPr>
        <w:pStyle w:val="13"/>
      </w:pPr>
      <w:r>
        <w:rPr>
          <w:rFonts w:hint="eastAsia"/>
        </w:rPr>
        <w:t>在实际估价中，一些房地产估价师不是在与估价委托人进行充分沟通交流的基础上依法确定估价基本事项，而是寄希望于估价委托人自己说清楚估价基本事项，甚至还因此抱怨估价委托人。这种想法和做法是不正确的。</w:t>
      </w:r>
    </w:p>
    <w:p w14:paraId="557986C0" w14:textId="326C25DE" w:rsidR="00796C46" w:rsidRDefault="00796C46" w:rsidP="00796C46">
      <w:pPr>
        <w:pStyle w:val="13"/>
      </w:pPr>
      <w:r>
        <w:rPr>
          <w:rFonts w:hint="eastAsia"/>
        </w:rPr>
        <w:t>在一个估价项目中，估价目的、估价对象、价值时点和价值类型之间有着内在联系</w:t>
      </w:r>
      <w:r w:rsidR="003068F8">
        <w:rPr>
          <w:rFonts w:hint="eastAsia"/>
        </w:rPr>
        <w:t>，</w:t>
      </w:r>
      <w:r>
        <w:t>其中估价目的是龙头。因为只有确定了估价目的，才能确定估价对象、价值时点和价值类型。例如，从确定估价对象来看，法律、行政法规规定不得买卖、租赁、抵押、作为出资或进行其他活动的房地产，或征收不予补偿的房地产，就不应作为相应估价目的的估价对象。估价对象、价值时点和价值类型三者之间，估价对象有时与价值时点有关</w:t>
      </w:r>
      <w:r w:rsidR="003068F8">
        <w:t>，</w:t>
      </w:r>
      <w:r>
        <w:t>其余一般是相互独立的。确定价值时点一般应在确定估价对象之前，因为一些估价目的要求估价对象状况应是在价值时点的状况，价值时点不同，估</w:t>
      </w:r>
      <w:r>
        <w:rPr>
          <w:rFonts w:hint="eastAsia"/>
        </w:rPr>
        <w:t>价对象状况可能不同。</w:t>
      </w:r>
    </w:p>
    <w:p w14:paraId="32335648" w14:textId="77777777" w:rsidR="00796C46" w:rsidRDefault="00796C46" w:rsidP="00796C46">
      <w:pPr>
        <w:pStyle w:val="13"/>
        <w:ind w:firstLine="482"/>
      </w:pPr>
      <w:r w:rsidRPr="00797CCF">
        <w:rPr>
          <w:b/>
          <w:bCs/>
        </w:rPr>
        <w:t>3.0.4</w:t>
      </w:r>
      <w:r>
        <w:t xml:space="preserve"> 编制估价作业方案的目的是为了保质、按时完成估价项目。估价作业方案的</w:t>
      </w:r>
      <w:r>
        <w:rPr>
          <w:rFonts w:hint="eastAsia"/>
        </w:rPr>
        <w:t>核心是解决将要做什么、什么时候做以及由谁来做，是关于保质、按时完成一个估价项目的未来一系列行动的计划。</w:t>
      </w:r>
    </w:p>
    <w:p w14:paraId="7681DC86" w14:textId="77777777" w:rsidR="00796C46" w:rsidRDefault="00796C46" w:rsidP="00796C46">
      <w:pPr>
        <w:pStyle w:val="13"/>
        <w:ind w:firstLine="482"/>
      </w:pPr>
      <w:r w:rsidRPr="00797CCF">
        <w:rPr>
          <w:b/>
          <w:bCs/>
        </w:rPr>
        <w:t>3.0.5</w:t>
      </w:r>
      <w:r>
        <w:t xml:space="preserve"> 除反映估价对象状况及其历史成交价格、运营收益、开发建设成本（包括成本、费用、税金和利润等）等资料外，房地产估价机构和注册房地产估价师平常就应留意搜集和积累估价所需资料，建立包括交易实例库在内的各种估价资料库。在估价时更应根据估价对象和估价作业方案中拟采用的估价方法，有针对性地搜集估价所需资料。特别是对反映估价对象状况及其历史成交价格、运营收益、开发建设成本等资料，不仅在此时应搜集，而且在前面受理估价委托时就可要求委托人尽量提供，在后面实地查勘估价对象时还可进一步补充搜集。</w:t>
      </w:r>
    </w:p>
    <w:p w14:paraId="6EF5EEBF" w14:textId="77777777" w:rsidR="00796C46" w:rsidRDefault="00796C46" w:rsidP="00796C46">
      <w:pPr>
        <w:pStyle w:val="13"/>
        <w:ind w:firstLine="482"/>
      </w:pPr>
      <w:r w:rsidRPr="00797CCF">
        <w:rPr>
          <w:b/>
          <w:bCs/>
        </w:rPr>
        <w:t>3.0.6</w:t>
      </w:r>
      <w:r>
        <w:t xml:space="preserve"> 虽然估价委托人应当如实提供其掌握的估价所需资料，并对其提供的资料的合法性、真实性、准确性和完整性负责，但也要对估价委托人提供的资料进行审慎检查。对于估价对象的权属状况，当估价委托人是估价对象权利人的，不能仅凭权属证明复印件</w:t>
      </w:r>
      <w:proofErr w:type="gramStart"/>
      <w:r>
        <w:t>作出</w:t>
      </w:r>
      <w:proofErr w:type="gramEnd"/>
      <w:r>
        <w:t>判断，应与原件核对。</w:t>
      </w:r>
    </w:p>
    <w:p w14:paraId="6BD50F25" w14:textId="77777777" w:rsidR="00796C46" w:rsidRDefault="00796C46" w:rsidP="00796C46">
      <w:pPr>
        <w:pStyle w:val="13"/>
        <w:ind w:firstLine="482"/>
      </w:pPr>
      <w:r w:rsidRPr="00797CCF">
        <w:rPr>
          <w:b/>
          <w:bCs/>
        </w:rPr>
        <w:t>3.0.7</w:t>
      </w:r>
      <w:r>
        <w:t xml:space="preserve"> 房地产具有独一无二特性，且其价值、价格与区位密切相关，只有身临其境才能真正了解和认识它，因此实地查勘估价对象是做好房地产估价不可省略的工作步骤。任何房地产估价项目，应至少有一名参加该项目的注册房地产估价师负责实施估价对象实地查勘工作。</w:t>
      </w:r>
    </w:p>
    <w:p w14:paraId="67B2DEB9" w14:textId="77777777" w:rsidR="00796C46" w:rsidRDefault="00796C46" w:rsidP="00796C46">
      <w:pPr>
        <w:pStyle w:val="13"/>
      </w:pPr>
      <w:r>
        <w:rPr>
          <w:rFonts w:hint="eastAsia"/>
        </w:rPr>
        <w:t>在实地查勘时，一般需要估价委托人或其代表以及被查勘房地产的房屋所有权人、土地使用权人等房地产权利人到场，实地查勘人员应向他们以及房地产使用人、邻居等知情人员详细询问估价需要弄清的问题，认真听取他们关于估价对象状况的</w:t>
      </w:r>
      <w:r>
        <w:rPr>
          <w:rFonts w:hint="eastAsia"/>
        </w:rPr>
        <w:lastRenderedPageBreak/>
        <w:t>介绍，并采取笔记、拍照、录音、录像等方式将实地查勘情况记录下来，形成实地查勘记录。实地查勘时，特别要注意核对估价对象的坐落和空间范围，防止搞错估价对象。</w:t>
      </w:r>
    </w:p>
    <w:p w14:paraId="541748C8" w14:textId="77777777" w:rsidR="00796C46" w:rsidRDefault="00796C46" w:rsidP="00796C46">
      <w:pPr>
        <w:pStyle w:val="13"/>
      </w:pPr>
      <w:r>
        <w:rPr>
          <w:rFonts w:hint="eastAsia"/>
        </w:rPr>
        <w:t>负责实施实地查勘的注册房地产估价师应当在实地查勘记录上签名，陪同实地查勘的估价委托人或者其代表和被查勘房地产的权利人宜在实地查勘记录上签名或者盖章。对被征收房屋价值评估的，房屋征收部门、被征收人和注册房地产估价师应当在被征收房屋实地查勘记录上签名或者盖章。被征收人拒绝签名或者盖章的，应当由房屋征收部门、注册房地产估价师和无利害关系的第三人见证，并应当在被征收房屋实地查勘记录上签名或者盖章，有关情况应当在估价报告中说明。</w:t>
      </w:r>
    </w:p>
    <w:p w14:paraId="1C4FF7E0" w14:textId="77777777" w:rsidR="00796C46" w:rsidRDefault="00796C46" w:rsidP="00796C46">
      <w:pPr>
        <w:pStyle w:val="13"/>
        <w:ind w:firstLine="482"/>
      </w:pPr>
      <w:r w:rsidRPr="00797CCF">
        <w:rPr>
          <w:b/>
          <w:bCs/>
        </w:rPr>
        <w:t>3.0.8</w:t>
      </w:r>
      <w:r>
        <w:t xml:space="preserve"> 无法进入估价对象内部进行实地查勘的情形，是指因征收、司法拍卖等强制取得或者强制转让房地产，房地产占有人拒绝注册房地产估价师进入估价对象内部进行实地查勘；或者因估价对象涉及国家秘密，注册房地产估价师不得进入其内部进行实地查勘。如果有上述无法进入估价对象内部进行实地查勘情形的，注册房地产估价师可以不进入估价对象内部进行实地查勘，但应当对估价对象的外部状况和区位状况进行实地查勘。</w:t>
      </w:r>
    </w:p>
    <w:p w14:paraId="42E51056" w14:textId="65AD04BA" w:rsidR="00796C46" w:rsidRDefault="00796C46" w:rsidP="00796C46">
      <w:pPr>
        <w:pStyle w:val="13"/>
        <w:ind w:firstLine="482"/>
      </w:pPr>
      <w:r w:rsidRPr="00797CCF">
        <w:rPr>
          <w:b/>
          <w:bCs/>
        </w:rPr>
        <w:t>3.0.9、3.0.10</w:t>
      </w:r>
      <w:r>
        <w:t xml:space="preserve"> 房地产估价中遇到的专业问题可分为两类：一是房地产估价专业领域内的；二是房地产估价专业领域外的。对于房地产估价专业领域内的，首先是房地产估价师和房地产估价机构不得承接超出自己专业胜任能力的估价业务；其次是对于承接的估价业务中有部分超出自己专业胜任能力的，应聘请具有相应专业胜任能力的专家或单位提供专业帮助。估价对象的房屋安全、质量缺陷、环境污染、建筑面积、财务状况等</w:t>
      </w:r>
      <w:r w:rsidR="003068F8">
        <w:t>，</w:t>
      </w:r>
      <w:r>
        <w:t>均是影响估价对象价值、价格的重要因素，且日益受到人们的重视，在房地产估价时应当予以关注和考虑。但对它们的鉴定、检测、</w:t>
      </w:r>
      <w:r>
        <w:rPr>
          <w:rFonts w:hint="eastAsia"/>
        </w:rPr>
        <w:t>测量、审计等，不属于房地产估价专业领域，也是注册房地产估价师和房地产估价机构难以胜任的。因此，经实地查勘、查阅现有资料或向相关专业领域的专家咨询后，仍然难以对它们</w:t>
      </w:r>
      <w:proofErr w:type="gramStart"/>
      <w:r>
        <w:rPr>
          <w:rFonts w:hint="eastAsia"/>
        </w:rPr>
        <w:t>作出</w:t>
      </w:r>
      <w:proofErr w:type="gramEnd"/>
      <w:r>
        <w:rPr>
          <w:rFonts w:hint="eastAsia"/>
        </w:rPr>
        <w:t>常规判断和相应假设的</w:t>
      </w:r>
      <w:r w:rsidR="003068F8">
        <w:rPr>
          <w:rFonts w:hint="eastAsia"/>
        </w:rPr>
        <w:t>，</w:t>
      </w:r>
      <w:r>
        <w:t>应当建议估价委托人聘请具有相应资质的专业机构或者相应资格的专家先行鉴定或检测、测量、审计等，再以专业机构或者专家出具的专业意见为依据进行估价。</w:t>
      </w:r>
    </w:p>
    <w:p w14:paraId="68B0836A" w14:textId="77777777" w:rsidR="00796C46" w:rsidRDefault="00796C46" w:rsidP="00796C46">
      <w:pPr>
        <w:pStyle w:val="13"/>
        <w:ind w:firstLine="482"/>
      </w:pPr>
      <w:r w:rsidRPr="00797CCF">
        <w:rPr>
          <w:b/>
          <w:bCs/>
        </w:rPr>
        <w:t>3.0.11</w:t>
      </w:r>
      <w:r>
        <w:t xml:space="preserve"> 对撰写完成而尚未向估价委托人出具的估价报告进行审核，类似于对生产出的产品在出厂之前进行质量检验，是房地产估价机构防范估价风险的最后一道防线。为了保证出具的每份估价报告都是合格的，房地产估价机构应建立健全估价报告内部审核等估价报告质量管理制度，选派本机构的房地产估价师或外聘房地产估价专家担任审核人员，按房地产估价相关要求，对估价报告的内容和形式等进行审核，保证估价报告真实、客观、准确、完整、清晰、规范。</w:t>
      </w:r>
    </w:p>
    <w:p w14:paraId="56AE60FC" w14:textId="77777777" w:rsidR="00796C46" w:rsidRDefault="00796C46" w:rsidP="00796C46">
      <w:pPr>
        <w:pStyle w:val="13"/>
      </w:pPr>
      <w:r>
        <w:rPr>
          <w:rFonts w:hint="eastAsia"/>
        </w:rPr>
        <w:t>担任审核人员的本机构人员，应为注册后从事房地产估价工作五年或五年以上</w:t>
      </w:r>
      <w:r>
        <w:rPr>
          <w:rFonts w:hint="eastAsia"/>
        </w:rPr>
        <w:lastRenderedPageBreak/>
        <w:t>的注册房地产估价师，或曾经是注册后从事房地产估价工作五年或五年以上的注册房地产估价师、</w:t>
      </w:r>
      <w:proofErr w:type="gramStart"/>
      <w:r>
        <w:rPr>
          <w:rFonts w:hint="eastAsia"/>
        </w:rPr>
        <w:t>现年龄</w:t>
      </w:r>
      <w:proofErr w:type="gramEnd"/>
      <w:r>
        <w:rPr>
          <w:rFonts w:hint="eastAsia"/>
        </w:rPr>
        <w:t>超过</w:t>
      </w:r>
      <w:r>
        <w:t xml:space="preserve"> 65 周岁不予注册的人员；外聘的房地产估价专家，应具有房地产估价师资格或具有高级专业技术职务，并从事与房地产估价相关的科研、教学、管理等工作五年或五年以上。</w:t>
      </w:r>
    </w:p>
    <w:p w14:paraId="7ACB7777" w14:textId="77777777" w:rsidR="00796C46" w:rsidRDefault="00796C46" w:rsidP="00796C46">
      <w:pPr>
        <w:pStyle w:val="13"/>
        <w:ind w:firstLine="482"/>
      </w:pPr>
      <w:r w:rsidRPr="00797CCF">
        <w:rPr>
          <w:b/>
          <w:bCs/>
        </w:rPr>
        <w:t>3.0.12</w:t>
      </w:r>
      <w:r>
        <w:t xml:space="preserve"> 每份房地产估价报告应有不少于两名注册房地产估价师签名，并有房地产估价机构盖公章。注册房地产估价师不得以盖执业专用章等个人印章代替签名；可以只签名不盖个人印章，也可以既签名又</w:t>
      </w:r>
      <w:proofErr w:type="gramStart"/>
      <w:r>
        <w:t>盖个人</w:t>
      </w:r>
      <w:proofErr w:type="gramEnd"/>
      <w:r>
        <w:t>印章。房地产估价机构不得以盖估价报告专用章等其他印章代替盖公章。分支机构应以设立该分支机构的房地产估价机构的名义出具估价报告，并加盖该房地产估价机构公章。</w:t>
      </w:r>
    </w:p>
    <w:p w14:paraId="6AB2FADA" w14:textId="77777777" w:rsidR="00796C46" w:rsidRDefault="00796C46" w:rsidP="00796C46">
      <w:pPr>
        <w:pStyle w:val="13"/>
      </w:pPr>
      <w:r>
        <w:rPr>
          <w:rFonts w:hint="eastAsia"/>
        </w:rPr>
        <w:t>估价报告应是在其上签名的注册房地产估价师和盖章的房地产估价机构亲自完成的。在估价报告上签名的注册房地产估价师和盖章的房地产估价机构，对估价报告的内容和结论负责并依法承担责任。</w:t>
      </w:r>
    </w:p>
    <w:p w14:paraId="6F4E6950" w14:textId="77777777" w:rsidR="00796C46" w:rsidRDefault="00796C46" w:rsidP="00796C46">
      <w:pPr>
        <w:pStyle w:val="13"/>
        <w:ind w:firstLine="482"/>
      </w:pPr>
      <w:r w:rsidRPr="00797CCF">
        <w:rPr>
          <w:b/>
          <w:bCs/>
        </w:rPr>
        <w:t>3.0.14</w:t>
      </w:r>
      <w:r>
        <w:t xml:space="preserve"> 保存估价资料的目的是建立估价档案和估价资料库，为今后的相关估价及管理工作奠定基础，同时有助于解决日后可能发生的估价争议，有助于房地产估价机构和房地产估价师展现估价业绩，有助于房地产估价行业主管部门和房地产估价行业组织对房地产估价机构和房地产估价师开展有关检查和考核等。房地产估价机构应建立健全估价档案管理制度，保证估价档案完整、真实和安全。估价档案应有序存放、妥善保管、避免损毁、防止丢失、查找方便。</w:t>
      </w:r>
    </w:p>
    <w:p w14:paraId="2E2B2663" w14:textId="77777777" w:rsidR="00796C46" w:rsidRDefault="00796C46" w:rsidP="00796C46">
      <w:pPr>
        <w:pStyle w:val="13"/>
      </w:pPr>
      <w:r>
        <w:rPr>
          <w:rFonts w:hint="eastAsia"/>
        </w:rPr>
        <w:t>本</w:t>
      </w:r>
      <w:proofErr w:type="gramStart"/>
      <w:r>
        <w:rPr>
          <w:rFonts w:hint="eastAsia"/>
        </w:rPr>
        <w:t>规范第</w:t>
      </w:r>
      <w:proofErr w:type="gramEnd"/>
      <w:r>
        <w:t xml:space="preserve"> 3.0.13 条所列的估价资料中，一般的估价项目通常没有估价中的不同意见记录和外部专业帮助的专业意见，但是如果有的话，应将其保存。</w:t>
      </w:r>
    </w:p>
    <w:p w14:paraId="486C7569" w14:textId="77777777" w:rsidR="00796C46" w:rsidRDefault="00796C46" w:rsidP="00AF7342">
      <w:pPr>
        <w:pStyle w:val="a9"/>
        <w:spacing w:before="62" w:after="62"/>
      </w:pPr>
      <w:r>
        <w:t>4 估价方法</w:t>
      </w:r>
    </w:p>
    <w:p w14:paraId="03E127FF" w14:textId="77777777" w:rsidR="00796C46" w:rsidRDefault="00796C46" w:rsidP="00E73797">
      <w:pPr>
        <w:pStyle w:val="ab"/>
        <w:spacing w:before="62" w:after="62"/>
        <w:ind w:firstLine="482"/>
      </w:pPr>
      <w:r>
        <w:t>4.1 估价方法选用</w:t>
      </w:r>
    </w:p>
    <w:p w14:paraId="6FC815DC" w14:textId="77777777" w:rsidR="00796C46" w:rsidRDefault="00796C46" w:rsidP="00796C46">
      <w:pPr>
        <w:pStyle w:val="13"/>
        <w:ind w:firstLine="482"/>
      </w:pPr>
      <w:r w:rsidRPr="00D47B5F">
        <w:rPr>
          <w:b/>
          <w:bCs/>
        </w:rPr>
        <w:t>4.1.1</w:t>
      </w:r>
      <w:r>
        <w:t xml:space="preserve"> 选用估价方法是实际估价中的一个关键，也是容易出错之处。为了防止选用估价方法的随意性，本条规定应进行估价方法适用性分析，根据估价对象及其所在地的房地产市场状况等客观条件，逐一分析比较法、收益法、成本法、假设开发法等估价方法是否适用于估价对象。</w:t>
      </w:r>
    </w:p>
    <w:p w14:paraId="69FB89E9" w14:textId="77777777" w:rsidR="00796C46" w:rsidRDefault="00796C46" w:rsidP="00796C46">
      <w:pPr>
        <w:pStyle w:val="13"/>
      </w:pPr>
      <w:r>
        <w:rPr>
          <w:rFonts w:hint="eastAsia"/>
        </w:rPr>
        <w:t>某种估价方法不适用于估价对象，是指该估价方法在理论上不适用或者客观条件不具备导致其不能用，而不包括房地产估价机构、注册房地产估价师不掌握该估价方法所需要的资料数据等非客观原因导致的不能用。</w:t>
      </w:r>
    </w:p>
    <w:p w14:paraId="71E6AC8C" w14:textId="77777777" w:rsidR="00796C46" w:rsidRDefault="00796C46" w:rsidP="00796C46">
      <w:pPr>
        <w:pStyle w:val="13"/>
        <w:ind w:firstLine="482"/>
      </w:pPr>
      <w:r w:rsidRPr="00D47B5F">
        <w:rPr>
          <w:b/>
          <w:bCs/>
        </w:rPr>
        <w:t>4.1.2</w:t>
      </w:r>
      <w:r>
        <w:t xml:space="preserve"> 本条针对四类房地产，分别规定了它们的估价方法如何选用。</w:t>
      </w:r>
    </w:p>
    <w:p w14:paraId="39766F32" w14:textId="77777777" w:rsidR="00796C46" w:rsidRDefault="00796C46" w:rsidP="00796C46">
      <w:pPr>
        <w:pStyle w:val="13"/>
      </w:pPr>
      <w:r>
        <w:rPr>
          <w:rFonts w:hint="eastAsia"/>
        </w:rPr>
        <w:t>假设开发法中开发完成后的价值如果采用成本法测算，则形式上的假设开发法实质上是成本法，因此选用假设开发法估价的，开发完成后的价值应可采用成本法以外的方法测算。</w:t>
      </w:r>
    </w:p>
    <w:p w14:paraId="0F94A037" w14:textId="77777777" w:rsidR="00796C46" w:rsidRDefault="00796C46" w:rsidP="00796C46">
      <w:pPr>
        <w:pStyle w:val="13"/>
        <w:ind w:firstLine="482"/>
      </w:pPr>
      <w:r w:rsidRPr="00D47B5F">
        <w:rPr>
          <w:b/>
          <w:bCs/>
        </w:rPr>
        <w:t>4.1.3</w:t>
      </w:r>
      <w:r>
        <w:t xml:space="preserve"> 过去认为的必须采用两种估价方法进行估价，是对估价方法选用的一种</w:t>
      </w:r>
      <w:r>
        <w:lastRenderedPageBreak/>
        <w:t>误解。正确的估价方法选用是：经过估价方法适用性分析后，估价对象适用几种估价方法进行估价，就应选用几种估价方法进行估价。而不是仅适用一种估价方法进行估价的，也要强行采用两种估价方法进行估价，或者适用三种或三种以上估价方法进行估价的，也可只采用两种估价方法进行估价。</w:t>
      </w:r>
    </w:p>
    <w:p w14:paraId="53D329A8" w14:textId="22C505B1" w:rsidR="00796C46" w:rsidRDefault="00796C46" w:rsidP="00796C46">
      <w:pPr>
        <w:pStyle w:val="13"/>
      </w:pPr>
      <w:r>
        <w:rPr>
          <w:rFonts w:hint="eastAsia"/>
        </w:rPr>
        <w:t>不同估价方法之间的关系有以下三种：一是互相验证。不同的估价方法是从不同的</w:t>
      </w:r>
      <w:r>
        <w:t xml:space="preserve"> 方面或角度来测量房地产价值或价格的，它们之间不是替代关系。在可以同时采用多种 估价方法进行估价的情况下，同时采用多种估价方法进行估价可以使评估价值更加合理。二是互相补充。例如，有些房地产适用成本法估价而不适用比较法估价，如在建工程</w:t>
      </w:r>
      <w:r w:rsidR="003068F8">
        <w:t>；</w:t>
      </w:r>
      <w:r>
        <w:t>有些房地产可能相反，适用比较法估价而不适用成本法估价，如位置和环境很好、适宜 建造别墅、尚未开发的生地。三是互相引用。例如，比较法中的土地使用期限调整系数</w:t>
      </w:r>
      <w:r w:rsidR="003068F8">
        <w:t>，</w:t>
      </w:r>
      <w:r>
        <w:t>可以采用收益法测算；收益法中的租金收入、成本法</w:t>
      </w:r>
      <w:r>
        <w:rPr>
          <w:rFonts w:hint="eastAsia"/>
        </w:rPr>
        <w:t>中的土地成本，可以采用比较法测</w:t>
      </w:r>
      <w:r>
        <w:t xml:space="preserve"> 算；假设开发法中的开发完成后的价值，可以采用比较法和收益法测算。</w:t>
      </w:r>
    </w:p>
    <w:p w14:paraId="66F1FD67" w14:textId="77777777" w:rsidR="00796C46" w:rsidRDefault="00796C46" w:rsidP="00796C46">
      <w:pPr>
        <w:pStyle w:val="13"/>
      </w:pPr>
      <w:r>
        <w:rPr>
          <w:rFonts w:hint="eastAsia"/>
        </w:rPr>
        <w:t>还需要说明的是，对同一估价对象选用了两种或两种以上估价方法进行估价，是指该两种或两种以上估价方法均是用于直接得出估价对象的价值或价格，而不包括估价方法之间引用的情况。例如，</w:t>
      </w:r>
      <w:proofErr w:type="gramStart"/>
      <w:r>
        <w:rPr>
          <w:rFonts w:hint="eastAsia"/>
        </w:rPr>
        <w:t>某宗待开发</w:t>
      </w:r>
      <w:proofErr w:type="gramEnd"/>
      <w:r>
        <w:rPr>
          <w:rFonts w:hint="eastAsia"/>
        </w:rPr>
        <w:t>房地产采用假设开发法进行估价，其中开发完成后的价值采用比较法或收益法测算，</w:t>
      </w:r>
      <w:proofErr w:type="gramStart"/>
      <w:r>
        <w:rPr>
          <w:rFonts w:hint="eastAsia"/>
        </w:rPr>
        <w:t>则该待开发</w:t>
      </w:r>
      <w:proofErr w:type="gramEnd"/>
      <w:r>
        <w:rPr>
          <w:rFonts w:hint="eastAsia"/>
        </w:rPr>
        <w:t>房地产实际上只采用了假设开发法一种方法进行估价，而不是采用了假设开发法和比较法或假设开发法和收益法两种方法进行估价，或者采用了假设开发法、比较法和收益法三种方法进行估价。</w:t>
      </w:r>
    </w:p>
    <w:p w14:paraId="6C933D6B" w14:textId="77777777" w:rsidR="00796C46" w:rsidRDefault="00796C46" w:rsidP="00E73797">
      <w:pPr>
        <w:pStyle w:val="ab"/>
        <w:spacing w:before="62" w:after="62"/>
        <w:ind w:firstLine="482"/>
      </w:pPr>
      <w:r>
        <w:t>4.2 比较法</w:t>
      </w:r>
    </w:p>
    <w:p w14:paraId="67A82C60" w14:textId="77777777" w:rsidR="00796C46" w:rsidRDefault="00796C46" w:rsidP="00796C46">
      <w:pPr>
        <w:pStyle w:val="13"/>
        <w:ind w:firstLine="482"/>
      </w:pPr>
      <w:r w:rsidRPr="00D47B5F">
        <w:rPr>
          <w:b/>
          <w:bCs/>
        </w:rPr>
        <w:t>4.2.1</w:t>
      </w:r>
      <w:r>
        <w:t xml:space="preserve"> 比较法是选取一定数量的可比实例，将它们与估价对象进行比较，根据其间的差异对可比实例成交价格进行处理后得到估价对象价值或价格的方法。该方法适用于同类房地产数量较多、经常发生交易且具有一定可比性的房地产，如住宅，特别是数量较多、可比'性较好的存量成套住宅；写字楼；商铺；标准厂房；房地产开发用地等。下列房地产难以采用比较法估价：同类房地产数量很少的房地产，如特殊厂房、机场、码头、博物馆、教堂、寺庙、古建筑等；很少发生交易的房地产，如学校、医院、行政办公楼等；可比性很差的房地产，如在建工程等。</w:t>
      </w:r>
    </w:p>
    <w:p w14:paraId="39BB5E7B" w14:textId="54D52D86" w:rsidR="00796C46" w:rsidRDefault="00796C46" w:rsidP="00796C46">
      <w:pPr>
        <w:pStyle w:val="13"/>
      </w:pPr>
      <w:r>
        <w:rPr>
          <w:rFonts w:hint="eastAsia"/>
        </w:rPr>
        <w:t>比较法估价需要在价值时点的近期有较多类似房地产的交易。房地产市场不够活跃或类似房地产交易较少的地区，难以采用比较法估价。房地产市场总体上较活跃的地区</w:t>
      </w:r>
      <w:r w:rsidR="003068F8">
        <w:rPr>
          <w:rFonts w:hint="eastAsia"/>
        </w:rPr>
        <w:t>，</w:t>
      </w:r>
      <w:r>
        <w:t>在某些情况下比较法也可能不适用，如可能由于某些原因导致在一段较长时期很少发生房地产交易。</w:t>
      </w:r>
    </w:p>
    <w:p w14:paraId="642454F8" w14:textId="77777777" w:rsidR="00796C46" w:rsidRDefault="00796C46" w:rsidP="00796C46">
      <w:pPr>
        <w:pStyle w:val="13"/>
      </w:pPr>
      <w:r>
        <w:rPr>
          <w:rFonts w:hint="eastAsia"/>
        </w:rPr>
        <w:t>目前，获取房地产真实成交价格以及估价所必要的交易房地产状况等信息，是运用比较法估价的难点。尽管如此，以下情况不能成为不采用比较法估价的理由：估价</w:t>
      </w:r>
      <w:r>
        <w:rPr>
          <w:rFonts w:hint="eastAsia"/>
        </w:rPr>
        <w:lastRenderedPageBreak/>
        <w:t>对象所在地存在较多类似房地产的交易，而由于房地产估价机构和房地产估价师没有努力去搜集和积累交易实例，造成不能采用比较法估价。</w:t>
      </w:r>
    </w:p>
    <w:p w14:paraId="60DCA873" w14:textId="77777777" w:rsidR="00796C46" w:rsidRDefault="00796C46" w:rsidP="00796C46">
      <w:pPr>
        <w:pStyle w:val="13"/>
        <w:ind w:firstLine="482"/>
      </w:pPr>
      <w:r w:rsidRPr="00D47B5F">
        <w:rPr>
          <w:b/>
          <w:bCs/>
        </w:rPr>
        <w:t>4.2.2</w:t>
      </w:r>
      <w:r>
        <w:t xml:space="preserve"> 运用比较法估价需要拥有估价对象所在地的大量、真实成交的房地产交易实例。只有这样，才能掌握估价对象所在地的房地产市场行情，保证评估出的估价对象价值或价格不会超出合理的范围；才能选择出符合一定数量和质量要求的可比实例，保证根据这些可比实例的成交价格测算出的估价对象价值或价格更加准确而不会出现较大误差。因此，房地产估价机构和房地产估价师应努力搜集较多的交易实例。</w:t>
      </w:r>
    </w:p>
    <w:p w14:paraId="0C37355F" w14:textId="77777777" w:rsidR="00796C46" w:rsidRDefault="00796C46" w:rsidP="00796C46">
      <w:pPr>
        <w:pStyle w:val="13"/>
      </w:pPr>
      <w:r>
        <w:rPr>
          <w:rFonts w:hint="eastAsia"/>
        </w:rPr>
        <w:t>房地产估价机构应建立房地产买卖、租赁等交易实例库。建立房地产交易实例</w:t>
      </w:r>
      <w:proofErr w:type="gramStart"/>
      <w:r>
        <w:rPr>
          <w:rFonts w:hint="eastAsia"/>
        </w:rPr>
        <w:t>库不仅</w:t>
      </w:r>
      <w:proofErr w:type="gramEnd"/>
      <w:r>
        <w:rPr>
          <w:rFonts w:hint="eastAsia"/>
        </w:rPr>
        <w:t>是比较法的需要，而且是从事房地产估价及相关咨询业务的一项基础性工作，也是形成房地产估价机构</w:t>
      </w:r>
    </w:p>
    <w:p w14:paraId="3D073F13" w14:textId="77777777" w:rsidR="00796C46" w:rsidRDefault="00796C46" w:rsidP="00796C46">
      <w:pPr>
        <w:pStyle w:val="13"/>
      </w:pPr>
      <w:r>
        <w:rPr>
          <w:rFonts w:hint="eastAsia"/>
        </w:rPr>
        <w:t>核心竞争力的重要手段之一。建立房地产交易实例库有利于交易实例资料的保存和在需要时查找、调用，能有效提高估价工作效率。</w:t>
      </w:r>
    </w:p>
    <w:p w14:paraId="5A0B9344" w14:textId="77777777" w:rsidR="00796C46" w:rsidRDefault="00796C46" w:rsidP="00796C46">
      <w:pPr>
        <w:pStyle w:val="13"/>
        <w:ind w:firstLine="482"/>
      </w:pPr>
      <w:r w:rsidRPr="00D47B5F">
        <w:rPr>
          <w:b/>
          <w:bCs/>
        </w:rPr>
        <w:t>4.2.3</w:t>
      </w:r>
      <w:r>
        <w:t xml:space="preserve"> 可作为比较法估价的价格依据的，应是交易实例的成交价格。挂牌价等</w:t>
      </w:r>
      <w:proofErr w:type="gramStart"/>
      <w:r>
        <w:t>非成交</w:t>
      </w:r>
      <w:proofErr w:type="gramEnd"/>
      <w:r>
        <w:t>价格，只能作为估价的参考，不能作为估价的依据。</w:t>
      </w:r>
    </w:p>
    <w:p w14:paraId="091D8FF7" w14:textId="77777777" w:rsidR="00796C46" w:rsidRDefault="00796C46" w:rsidP="00796C46">
      <w:pPr>
        <w:pStyle w:val="13"/>
      </w:pPr>
      <w:r>
        <w:rPr>
          <w:rFonts w:hint="eastAsia"/>
        </w:rPr>
        <w:t>针对实际估价中选取可比实例的随意性，或者为了达到高估或低估的目的，明显有更合适的可比实例不选取，本条规定在同等条件下应选</w:t>
      </w:r>
      <w:proofErr w:type="gramStart"/>
      <w:r>
        <w:rPr>
          <w:rFonts w:hint="eastAsia"/>
        </w:rPr>
        <w:t>取位置</w:t>
      </w:r>
      <w:proofErr w:type="gramEnd"/>
      <w:r>
        <w:rPr>
          <w:rFonts w:hint="eastAsia"/>
        </w:rPr>
        <w:t>与估价对象较近、成交日期与价值时点较近的交易实例。</w:t>
      </w:r>
    </w:p>
    <w:p w14:paraId="4E28BEA9" w14:textId="77777777" w:rsidR="00796C46" w:rsidRDefault="00796C46" w:rsidP="00796C46">
      <w:pPr>
        <w:pStyle w:val="13"/>
        <w:ind w:firstLine="482"/>
      </w:pPr>
      <w:r w:rsidRPr="00D47B5F">
        <w:rPr>
          <w:b/>
          <w:bCs/>
        </w:rPr>
        <w:t>4.2.6</w:t>
      </w:r>
      <w:r>
        <w:t xml:space="preserve"> 建立比较基础的目的，是对可比实例的成交价格进行标准化处理，以统一可比实例成交价格的内涵和形式，使可比实例成交价格与估价对象价值或价格之间、各个可比实例的成交价格之间的口径一致、相互可比。</w:t>
      </w:r>
    </w:p>
    <w:p w14:paraId="0C2741A0" w14:textId="477BC361" w:rsidR="00796C46" w:rsidRDefault="00796C46" w:rsidP="00796C46">
      <w:pPr>
        <w:pStyle w:val="13"/>
      </w:pPr>
      <w:r>
        <w:rPr>
          <w:rFonts w:hint="eastAsia"/>
        </w:rPr>
        <w:t>可比实例与估价对象的财产范围不同主要有三种情况：一是含有非房地产成分。例如，估价对象是“纯粹”的房地产，而选取的可比实例是有附赠家具、家电、汽车，附带入学指标、户口指标、特许经营权等的交易实例；或相反。二是带有债权债务的房地产。例如，估价对象是“干净”的房地产，而选取的可比实例是设立了抵押权、地役权</w:t>
      </w:r>
      <w:r w:rsidR="003068F8">
        <w:rPr>
          <w:rFonts w:hint="eastAsia"/>
        </w:rPr>
        <w:t>，</w:t>
      </w:r>
      <w:r>
        <w:t>有拖欠建设工程价款，或由买方代付卖方欠缴的水电费、燃气费、通信费（如电话费、上网费、有线电视收看费等）、供暖费、物业服务费、房产税等费用和税金的交易实例</w:t>
      </w:r>
      <w:r w:rsidR="003068F8">
        <w:t>；</w:t>
      </w:r>
      <w:r>
        <w:t>或相反。三是房地产的实物范围不同。例如，估价对象为土地，而选取的可比实例是含有类似土地的房地产交易实例；估价对象是一套封阳台的住宅，而选取的可比实例是未封阳台的住宅；估价对象是一套不带车位的住宅，而选</w:t>
      </w:r>
      <w:r>
        <w:rPr>
          <w:rFonts w:hint="eastAsia"/>
        </w:rPr>
        <w:t>取的可比实例是一套带车位的住宅。</w:t>
      </w:r>
    </w:p>
    <w:p w14:paraId="590D3DA3" w14:textId="77777777" w:rsidR="00796C46" w:rsidRDefault="00796C46" w:rsidP="00796C46">
      <w:pPr>
        <w:pStyle w:val="13"/>
      </w:pPr>
      <w:r>
        <w:rPr>
          <w:rFonts w:hint="eastAsia"/>
        </w:rPr>
        <w:t>在统一计价单位方面，价格有总价、单价，土地还有楼面地价；币种有人民币、美元、港元等；货币单位有元、万元、亿元等。采用单价的，有单位面积、单位体积、每延长米（如围墙、道路）、每个（如车位</w:t>
      </w:r>
      <w:proofErr w:type="gramStart"/>
      <w:r>
        <w:rPr>
          <w:rFonts w:hint="eastAsia"/>
        </w:rPr>
        <w:t>〉</w:t>
      </w:r>
      <w:proofErr w:type="gramEnd"/>
      <w:r>
        <w:rPr>
          <w:rFonts w:hint="eastAsia"/>
        </w:rPr>
        <w:t>、每间等的价格。采用面积的，有建筑面</w:t>
      </w:r>
      <w:r>
        <w:rPr>
          <w:rFonts w:hint="eastAsia"/>
        </w:rPr>
        <w:lastRenderedPageBreak/>
        <w:t>积、套内建筑面积、使用面积等；面积计量单位有平方米、公顷、平方英尺、亩等。</w:t>
      </w:r>
    </w:p>
    <w:p w14:paraId="6C027DFD" w14:textId="77777777" w:rsidR="00796C46" w:rsidRDefault="00796C46" w:rsidP="00796C46">
      <w:pPr>
        <w:pStyle w:val="13"/>
        <w:ind w:firstLine="482"/>
      </w:pPr>
      <w:r w:rsidRPr="00D47B5F">
        <w:rPr>
          <w:b/>
          <w:bCs/>
        </w:rPr>
        <w:t>4.2.11</w:t>
      </w:r>
      <w:r>
        <w:t xml:space="preserve"> 建筑功能包括防水、保温、隔热、隔声、通风、采光、日照等。</w:t>
      </w:r>
    </w:p>
    <w:p w14:paraId="36A842B4" w14:textId="77777777" w:rsidR="00796C46" w:rsidRDefault="00796C46" w:rsidP="00796C46">
      <w:pPr>
        <w:pStyle w:val="13"/>
        <w:ind w:firstLine="482"/>
      </w:pPr>
      <w:r w:rsidRPr="00D47B5F">
        <w:rPr>
          <w:b/>
          <w:bCs/>
        </w:rPr>
        <w:t>4.2.13</w:t>
      </w:r>
      <w:r>
        <w:t xml:space="preserve"> 因不同用途的房地产，影响其价值或价格的区位、实物和权益状况因素有所不同，所以在实际估价中，应根据估价对象的用途确定调整的具体内容和比较因素。</w:t>
      </w:r>
    </w:p>
    <w:p w14:paraId="7013CD87" w14:textId="5DD214B3" w:rsidR="00796C46" w:rsidRDefault="00796C46" w:rsidP="00796C46">
      <w:pPr>
        <w:pStyle w:val="13"/>
        <w:ind w:firstLine="482"/>
      </w:pPr>
      <w:r w:rsidRPr="00D47B5F">
        <w:rPr>
          <w:b/>
          <w:bCs/>
        </w:rPr>
        <w:t>4.2.14</w:t>
      </w:r>
      <w:r>
        <w:t xml:space="preserve"> 本条是对修正、调整方法的规定。总价调整是基于总价对可比实例成交价格进行调整。单价调整是基于单价对可比实例成交价格进行调整。金额调整是采用金额对可比实例成交价格进行调整。百分比调整是采用百分比对可比实例成交价格进行调整。直接比较调整是以估价对象状况为基准，将可比实例状况与估价对象状况进行比较，根据两者差异情况对可比实例成交价格进行调整。间接比较调整是设定某种标准房地产</w:t>
      </w:r>
      <w:r w:rsidR="003068F8">
        <w:t>，</w:t>
      </w:r>
      <w:r>
        <w:t>以该标准房地产状况为基准，将估价对象状况和可比实例状况分别与其进行比较，根据两者差异情况对可比实例成交价格进行调整。</w:t>
      </w:r>
    </w:p>
    <w:p w14:paraId="42C0A197" w14:textId="77777777" w:rsidR="00796C46" w:rsidRDefault="00796C46" w:rsidP="00796C46">
      <w:pPr>
        <w:pStyle w:val="13"/>
        <w:ind w:firstLine="482"/>
      </w:pPr>
      <w:r w:rsidRPr="00D47B5F">
        <w:rPr>
          <w:b/>
          <w:bCs/>
        </w:rPr>
        <w:t>4.2.15</w:t>
      </w:r>
      <w:r>
        <w:t xml:space="preserve"> 本条所称修正和调整，不包括建立比较基础。“单项”是指交易情况修正、市场状况调整、区位状况调整、实物状况调整、权益状况调整五项中的任何一项。“综合” 是指该五项合在一起。调整幅度不宜超过 20%和 30%，是指不宜超过可比实例经建立比较基础后的成交价格的 20%和 30%。</w:t>
      </w:r>
    </w:p>
    <w:p w14:paraId="7303E6E8" w14:textId="77777777" w:rsidR="00796C46" w:rsidRDefault="00796C46" w:rsidP="00E73797">
      <w:pPr>
        <w:pStyle w:val="ab"/>
        <w:spacing w:before="62" w:after="62"/>
        <w:ind w:firstLine="482"/>
      </w:pPr>
      <w:r>
        <w:t>4.3 收益法</w:t>
      </w:r>
    </w:p>
    <w:p w14:paraId="77BE564D" w14:textId="77777777" w:rsidR="00796C46" w:rsidRDefault="00796C46" w:rsidP="00796C46">
      <w:pPr>
        <w:pStyle w:val="13"/>
        <w:ind w:firstLine="482"/>
      </w:pPr>
      <w:r w:rsidRPr="00D47B5F">
        <w:rPr>
          <w:b/>
          <w:bCs/>
        </w:rPr>
        <w:t>4.3.1</w:t>
      </w:r>
      <w:r>
        <w:t xml:space="preserve"> 收益法是预测估价对象的未来收益，利用报酬率或资本化率、收益乘数将未</w:t>
      </w:r>
      <w:r>
        <w:rPr>
          <w:rFonts w:hint="eastAsia"/>
        </w:rPr>
        <w:t>来收益转换为价值得到估价对象价值或价格的方法。将未来收益转换为价值，类似于根据利息倒推出本金，称为资本化。该方法适用于估价对象或其同类房地产通常有租金等经济收入的收益性房地产，包括住宅、写字楼、商店、酒店、餐馆、游乐场、影剧院、停车场、汽车加油站、标准厂房（用于出租的）、仓库（用于出租的）、农地等。这些估价对象不限于其目前是否有收益，只要其同类房地产有收益即可。例如，估价对象目前为自用或空置的住宅，虽然目前没有收益，但因同类住宅以出租方式获取收益的情形很多，所以可将该住宅设想为出租的情况下来运用收益法估价。即先根据有租赁收益的同类住宅的有关资料，采用比较法测算该住宅的租金水平、空置率和运营费用等，再利用收益法估价。收益法一般不适用于行政办公楼、学校、公园等公用、公益性房地产的估价。</w:t>
      </w:r>
    </w:p>
    <w:p w14:paraId="5C01CA46" w14:textId="0EA97A39" w:rsidR="00796C46" w:rsidRDefault="00796C46" w:rsidP="00796C46">
      <w:pPr>
        <w:pStyle w:val="13"/>
        <w:ind w:firstLine="482"/>
      </w:pPr>
      <w:r w:rsidRPr="00D47B5F">
        <w:rPr>
          <w:b/>
          <w:bCs/>
        </w:rPr>
        <w:t>4.3.2</w:t>
      </w:r>
      <w:r>
        <w:rPr>
          <w:b/>
          <w:bCs/>
        </w:rPr>
        <w:t xml:space="preserve"> </w:t>
      </w:r>
      <w:r w:rsidRPr="00D47B5F">
        <w:rPr>
          <w:b/>
          <w:bCs/>
        </w:rPr>
        <w:t>~4.3.5</w:t>
      </w:r>
      <w:r>
        <w:t xml:space="preserve"> 根据将未来收益转换为价值的方式不同，或者说资本</w:t>
      </w:r>
      <w:proofErr w:type="gramStart"/>
      <w:r>
        <w:t>化类型</w:t>
      </w:r>
      <w:proofErr w:type="gramEnd"/>
      <w:r>
        <w:t>的不同，收</w:t>
      </w:r>
      <w:r>
        <w:rPr>
          <w:rFonts w:hint="eastAsia"/>
        </w:rPr>
        <w:t>益法分为报酬资本化法和直接资本化法。报酬资本化法是预测估价对象未来各年的净收</w:t>
      </w:r>
      <w:r>
        <w:t xml:space="preserve"> 益，利用报酬率将其折现到价值时点后相加得到估价对象价值或价格的方法，它实质上是一种折现现金流量分析（discounted cash flow analysis，DCF），即房地产的价值或价格 等于其未来各年的净收益的现值之</w:t>
      </w:r>
      <w:proofErr w:type="gramStart"/>
      <w:r>
        <w:t>和</w:t>
      </w:r>
      <w:proofErr w:type="gramEnd"/>
      <w:r>
        <w:t>。直接资本化法是预测估价对象未来第一年的收益</w:t>
      </w:r>
      <w:r w:rsidR="003068F8">
        <w:t>，</w:t>
      </w:r>
      <w:r>
        <w:t>将其除以资本化率或乘以收益乘数得到估价对象价值</w:t>
      </w:r>
      <w:r>
        <w:lastRenderedPageBreak/>
        <w:t>或价格的方法。</w:t>
      </w:r>
    </w:p>
    <w:p w14:paraId="4BB9B479" w14:textId="77777777" w:rsidR="00796C46" w:rsidRDefault="00796C46" w:rsidP="00796C46">
      <w:pPr>
        <w:pStyle w:val="13"/>
      </w:pPr>
      <w:r>
        <w:rPr>
          <w:rFonts w:hint="eastAsia"/>
        </w:rPr>
        <w:t>报酬资本化法又分为“全剩余寿命模式”和“持有加转售模式”并鉴于收益期一般较长，通常难以准确预测该期限内各年净收益的情况，倡导采用“持有加转售模式”</w:t>
      </w:r>
      <w:r>
        <w:t xml:space="preserve"> 来估价，即利用持有期、期间收益和期末转售收益，选用相应的收益法公式来估价。</w:t>
      </w:r>
    </w:p>
    <w:p w14:paraId="2E4D6604" w14:textId="77777777" w:rsidR="00796C46" w:rsidRDefault="00796C46" w:rsidP="00796C46">
      <w:pPr>
        <w:pStyle w:val="13"/>
        <w:ind w:firstLine="482"/>
      </w:pPr>
      <w:r w:rsidRPr="00D47B5F">
        <w:rPr>
          <w:b/>
          <w:bCs/>
        </w:rPr>
        <w:t>4.3.6</w:t>
      </w:r>
      <w:r>
        <w:t xml:space="preserve"> 收益期是预计在正常市场和运营状况下估价对象未来可获取净收益的时间。具体是</w:t>
      </w:r>
      <w:proofErr w:type="gramStart"/>
      <w:r>
        <w:t>自价值</w:t>
      </w:r>
      <w:proofErr w:type="gramEnd"/>
      <w:r>
        <w:t>时点起至估价对象未来不能获取净收益时止的时间。</w:t>
      </w:r>
    </w:p>
    <w:p w14:paraId="6A4F7C0B" w14:textId="77777777" w:rsidR="00796C46" w:rsidRDefault="00796C46" w:rsidP="00796C46">
      <w:pPr>
        <w:pStyle w:val="13"/>
      </w:pPr>
      <w:r>
        <w:rPr>
          <w:rFonts w:hint="eastAsia"/>
        </w:rPr>
        <w:t>土地使用权包括建设用地使用权、土地承包经营权、宅基地使用权、地役权等。土地使用权剩余期限是</w:t>
      </w:r>
      <w:proofErr w:type="gramStart"/>
      <w:r>
        <w:rPr>
          <w:rFonts w:hint="eastAsia"/>
        </w:rPr>
        <w:t>自价值</w:t>
      </w:r>
      <w:proofErr w:type="gramEnd"/>
      <w:r>
        <w:rPr>
          <w:rFonts w:hint="eastAsia"/>
        </w:rPr>
        <w:t>时点起至土地使用期限（或承包期、利用期限）结束时止的时间。</w:t>
      </w:r>
    </w:p>
    <w:p w14:paraId="0656B4F9" w14:textId="77777777" w:rsidR="00796C46" w:rsidRDefault="00796C46" w:rsidP="00796C46">
      <w:pPr>
        <w:pStyle w:val="13"/>
      </w:pPr>
      <w:r>
        <w:rPr>
          <w:rFonts w:hint="eastAsia"/>
        </w:rPr>
        <w:t>建筑物剩余经济寿命是</w:t>
      </w:r>
      <w:proofErr w:type="gramStart"/>
      <w:r>
        <w:rPr>
          <w:rFonts w:hint="eastAsia"/>
        </w:rPr>
        <w:t>自价值</w:t>
      </w:r>
      <w:proofErr w:type="gramEnd"/>
      <w:r>
        <w:rPr>
          <w:rFonts w:hint="eastAsia"/>
        </w:rPr>
        <w:t>时点起至建筑物经济寿命结束时止的时间。建筑物经济寿命是建筑物自竣工时起至其对房地产价值不再有贡献时止的时间，可在建筑物设计使用年限的基础上，根据建筑物的施工、使用、维护和更新改造等状况，以及周围环境、房地产市场状况等进行综合分析判断后确定。</w:t>
      </w:r>
    </w:p>
    <w:p w14:paraId="47697B6A" w14:textId="77777777" w:rsidR="00796C46" w:rsidRDefault="00796C46" w:rsidP="00796C46">
      <w:pPr>
        <w:pStyle w:val="13"/>
        <w:ind w:firstLine="482"/>
      </w:pPr>
      <w:r w:rsidRPr="00D47B5F">
        <w:rPr>
          <w:b/>
          <w:bCs/>
        </w:rPr>
        <w:t>4.3.7</w:t>
      </w:r>
      <w:r>
        <w:t xml:space="preserve"> 本条借鉴国外和我国香港地区房地产估价中通常确定的持有期长度哩给出了5年~l0年的参考值。</w:t>
      </w:r>
    </w:p>
    <w:p w14:paraId="34B06BDF" w14:textId="43303514" w:rsidR="00796C46" w:rsidRDefault="00796C46" w:rsidP="00796C46">
      <w:pPr>
        <w:pStyle w:val="13"/>
        <w:ind w:firstLine="482"/>
      </w:pPr>
      <w:r w:rsidRPr="00D47B5F">
        <w:rPr>
          <w:b/>
          <w:bCs/>
        </w:rPr>
        <w:t>4.3.8、4.3.9</w:t>
      </w:r>
      <w:r>
        <w:t xml:space="preserve"> 期间收益也是净收益，因此净收益的测算包含</w:t>
      </w:r>
      <w:proofErr w:type="gramStart"/>
      <w:r>
        <w:t>了期间</w:t>
      </w:r>
      <w:proofErr w:type="gramEnd"/>
      <w:r>
        <w:t>收益的测算。收益性房地产获取收益的方式，可分为出租和经营两大类。据此，测算净收益的途径可分为两种：一是通过租赁收入测算净收益，如存在大量租赁实例的住宅、写字楼、商铺、停车场、标准厂房、仓库等类房地产；二是通过经营收入测算净收益，如酒店、影剧院、娱乐中心、汽车加油站、高尔夫球场等类房地产。在英国，将前一种情况下的收益法称为投资法，后一种情况下的收益法称为利润法。有些房地产既有大量租赁实例又有经营收入，如商铺、餐馆、农地等。在实际估价中，只</w:t>
      </w:r>
      <w:r>
        <w:rPr>
          <w:rFonts w:hint="eastAsia"/>
        </w:rPr>
        <w:t>要是能够通过租赁收人测算净收益的</w:t>
      </w:r>
      <w:r w:rsidR="003068F8">
        <w:rPr>
          <w:rFonts w:hint="eastAsia"/>
        </w:rPr>
        <w:t>，</w:t>
      </w:r>
      <w:r>
        <w:t>宜通过租赁收人来测算净收益。因此，通过租赁收人测算净收益的收益法是收益法的典型形式。</w:t>
      </w:r>
    </w:p>
    <w:p w14:paraId="6F272619" w14:textId="77777777" w:rsidR="00796C46" w:rsidRDefault="00796C46" w:rsidP="00796C46">
      <w:pPr>
        <w:pStyle w:val="13"/>
        <w:ind w:firstLine="482"/>
      </w:pPr>
      <w:r w:rsidRPr="00D47B5F">
        <w:rPr>
          <w:b/>
          <w:bCs/>
        </w:rPr>
        <w:t>4.3.10</w:t>
      </w:r>
      <w:r>
        <w:t xml:space="preserve"> 有租约限制的，评估出租人权益价值时根据合同租金估价，是基于租赁合同及合同租金是真实的。但在实际中，出现了为高评估</w:t>
      </w:r>
      <w:proofErr w:type="gramStart"/>
      <w:r>
        <w:t>价对象</w:t>
      </w:r>
      <w:proofErr w:type="gramEnd"/>
      <w:r>
        <w:t>价值或价格，估价委托人伪造租赁合同或虚报租金的现象。另外，也有合同租金明显高于或明显低于市场租金的真实情况，但这种租赁关系可能不牢固。针对这些情况，本条规定在合同租金明显高于或明显低于市场租金的情况下，应关注租赁合同的真实性、解除租赁合同的可能性及其对收益价值的影响。</w:t>
      </w:r>
    </w:p>
    <w:p w14:paraId="4BED6FFD" w14:textId="77777777" w:rsidR="00796C46" w:rsidRDefault="00796C46" w:rsidP="00796C46">
      <w:pPr>
        <w:pStyle w:val="13"/>
        <w:ind w:firstLine="482"/>
      </w:pPr>
      <w:r w:rsidRPr="00D47B5F">
        <w:rPr>
          <w:b/>
          <w:bCs/>
        </w:rPr>
        <w:t>4.3.13</w:t>
      </w:r>
      <w:r>
        <w:t xml:space="preserve"> 未来净收益流量的常规类型可分为以下几种：一是每年基本上不变；二是每年基本上按某个比率递增；三是每年基本上按某个数额递增；四是每年基本上按某个比率递减；五是每年基本上按某个数额递减。</w:t>
      </w:r>
    </w:p>
    <w:p w14:paraId="6EEE0DC1" w14:textId="77777777" w:rsidR="00796C46" w:rsidRDefault="00796C46" w:rsidP="00796C46">
      <w:pPr>
        <w:pStyle w:val="13"/>
        <w:ind w:firstLine="482"/>
      </w:pPr>
      <w:r w:rsidRPr="00D47B5F">
        <w:rPr>
          <w:b/>
          <w:bCs/>
        </w:rPr>
        <w:t>4.3.15</w:t>
      </w:r>
      <w:r>
        <w:t xml:space="preserve"> 综合资本化率除可采用市场提取法确定外，还可选用本条规定的方法确</w:t>
      </w:r>
      <w:r>
        <w:lastRenderedPageBreak/>
        <w:t>定。贷款价值比是抵押贷款额与房地产价值的百分比。抵押贷款资本化率也称为抵押贷款常数，是第一年还本付息额与抵押贷款额的百分比。权益资金资本化率是权益资金（自有资金）所要求的正常收益率。</w:t>
      </w:r>
    </w:p>
    <w:p w14:paraId="3D92A4F1" w14:textId="77777777" w:rsidR="00796C46" w:rsidRDefault="00796C46" w:rsidP="00796C46">
      <w:pPr>
        <w:pStyle w:val="13"/>
      </w:pPr>
      <w:r>
        <w:rPr>
          <w:rFonts w:hint="eastAsia"/>
        </w:rPr>
        <w:t>土地价值占房地价值的比率（</w:t>
      </w:r>
      <w:r>
        <w:t xml:space="preserve">L）与建筑物价值占房地价值的比率（B）之和应为 100%。 </w:t>
      </w:r>
    </w:p>
    <w:p w14:paraId="3DCE86E5" w14:textId="77777777" w:rsidR="00796C46" w:rsidRDefault="00796C46" w:rsidP="00796C46">
      <w:pPr>
        <w:pStyle w:val="13"/>
        <w:ind w:firstLine="482"/>
      </w:pPr>
      <w:r w:rsidRPr="00D47B5F">
        <w:rPr>
          <w:b/>
          <w:bCs/>
        </w:rPr>
        <w:t>4.3.16、4.3.17</w:t>
      </w:r>
      <w:r>
        <w:t xml:space="preserve"> 土地使用权剩余期限超过建筑物剩余经济寿命的房地产的收益价值</w:t>
      </w:r>
      <w:r>
        <w:rPr>
          <w:rFonts w:hint="eastAsia"/>
        </w:rPr>
        <w:t>计算举例如下：某</w:t>
      </w:r>
      <w:proofErr w:type="gramStart"/>
      <w:r>
        <w:rPr>
          <w:rFonts w:hint="eastAsia"/>
        </w:rPr>
        <w:t>宗收益</w:t>
      </w:r>
      <w:proofErr w:type="gramEnd"/>
      <w:r>
        <w:rPr>
          <w:rFonts w:hint="eastAsia"/>
        </w:rPr>
        <w:t>性房地产的建筑物剩余经济寿命为</w:t>
      </w:r>
      <w:r>
        <w:t xml:space="preserve"> 30 年，建设用地使用权剩</w:t>
      </w:r>
      <w:r>
        <w:rPr>
          <w:rFonts w:hint="eastAsia"/>
        </w:rPr>
        <w:t>余期限为</w:t>
      </w:r>
      <w:r>
        <w:t xml:space="preserve"> 40 年，测算该房地产现在的价值，可先测算该房地产 30 年收益期的价值然后</w:t>
      </w:r>
      <w:r>
        <w:rPr>
          <w:rFonts w:hint="eastAsia"/>
        </w:rPr>
        <w:t>加</w:t>
      </w:r>
      <w:r>
        <w:t xml:space="preserve"> 30 年后的 10 年使用期限建设用地使用权在现在的价值。该 30 年后的 10 年使用期限</w:t>
      </w:r>
      <w:r>
        <w:rPr>
          <w:rFonts w:hint="eastAsia"/>
        </w:rPr>
        <w:t>建设用地使用权在现在的价值，等于现在</w:t>
      </w:r>
      <w:r>
        <w:t xml:space="preserve"> 40 年使用期限的建设用地使用权的价值减去</w:t>
      </w:r>
      <w:r>
        <w:rPr>
          <w:rFonts w:hint="eastAsia"/>
        </w:rPr>
        <w:t>现在</w:t>
      </w:r>
      <w:r>
        <w:t xml:space="preserve"> 30 年使用期限的建设用地使用权的价值。</w:t>
      </w:r>
    </w:p>
    <w:p w14:paraId="3719D4C3" w14:textId="77777777" w:rsidR="00796C46" w:rsidRDefault="00796C46" w:rsidP="00E73797">
      <w:pPr>
        <w:pStyle w:val="ab"/>
        <w:spacing w:before="62" w:after="62"/>
        <w:ind w:firstLine="482"/>
      </w:pPr>
      <w:r>
        <w:t>4.4 成本法</w:t>
      </w:r>
    </w:p>
    <w:p w14:paraId="750400F2" w14:textId="77777777" w:rsidR="00796C46" w:rsidRDefault="00796C46" w:rsidP="00796C46">
      <w:pPr>
        <w:pStyle w:val="13"/>
        <w:ind w:firstLine="482"/>
      </w:pPr>
      <w:r w:rsidRPr="00D47B5F">
        <w:rPr>
          <w:b/>
          <w:bCs/>
        </w:rPr>
        <w:t>4.4.1</w:t>
      </w:r>
      <w:r>
        <w:t xml:space="preserve"> 成本法是测算估价对象在价值时点的重置成本或重建成本和折旧，将重置成本或重建成本减去折旧得到估价对象价值或价格的方法。</w:t>
      </w:r>
    </w:p>
    <w:p w14:paraId="35A54863" w14:textId="77777777" w:rsidR="00796C46" w:rsidRDefault="00796C46" w:rsidP="00796C46">
      <w:pPr>
        <w:pStyle w:val="13"/>
      </w:pPr>
      <w:r>
        <w:rPr>
          <w:rFonts w:hint="eastAsia"/>
        </w:rPr>
        <w:t>新近开发完成的房地产（简称新开发的房地产）、可以假设重新开发的现有房地产（简称旧的房地产）、正在开发的房地产（即在建工程）、计划开发的房地产（如期房），都可以采用成本法进行估价。对很少发生交易而限制了比较法运用，又没有经济收入或没有潜在经济收入而限制了收益法运用的房地产，如学校、医院、图书馆、体育场馆、公园、行政办公楼、军队营房等以公益、公用为目的的房地产，特别适用成本法估价。化工厂、钢铁厂、发电厂、油田、码头、机场之类有独特设计或只针对特定使用者的特殊需要而开发建设的房地产，以及单独的建筑物或其装饰装修部分，通常也是采用成本法进行估价。</w:t>
      </w:r>
    </w:p>
    <w:p w14:paraId="20D6DD33" w14:textId="2EE919A0" w:rsidR="00796C46" w:rsidRDefault="00796C46" w:rsidP="00796C46">
      <w:pPr>
        <w:pStyle w:val="13"/>
      </w:pPr>
      <w:r>
        <w:rPr>
          <w:rFonts w:hint="eastAsia"/>
        </w:rPr>
        <w:t>在房地产保险（包括投保和理赔</w:t>
      </w:r>
      <w:proofErr w:type="gramStart"/>
      <w:r>
        <w:rPr>
          <w:rFonts w:hint="eastAsia"/>
        </w:rPr>
        <w:t>〉</w:t>
      </w:r>
      <w:proofErr w:type="gramEnd"/>
      <w:r>
        <w:rPr>
          <w:rFonts w:hint="eastAsia"/>
        </w:rPr>
        <w:t>和房地产损害赔偿中，往往也是采用成本法进行估价。因为在保险事故发生后或其他损害中，房地产的损毁通常是建筑物的局部，需要将其恢复到原状；对发生建筑物全部损毁的，有时也需要采取重建方式来解决。另外</w:t>
      </w:r>
      <w:r w:rsidR="003068F8">
        <w:rPr>
          <w:rFonts w:hint="eastAsia"/>
        </w:rPr>
        <w:t>，</w:t>
      </w:r>
      <w:r>
        <w:t>在房地产市场不够活跃或同类房地产交易较少的地区难以采用比较法估价时，通常只好采用成本法进行估价。</w:t>
      </w:r>
    </w:p>
    <w:p w14:paraId="6DF0C232" w14:textId="0169C866" w:rsidR="00796C46" w:rsidRDefault="00796C46" w:rsidP="00796C46">
      <w:pPr>
        <w:pStyle w:val="13"/>
      </w:pPr>
      <w:r>
        <w:rPr>
          <w:rFonts w:hint="eastAsia"/>
        </w:rPr>
        <w:t>成本法一般适用于测算可独立开发建设的整体房地产的价值或价格。当采用成本法测算局部房地产的价值或价格时，例如测算某幢住宅楼中某套住宅的价值，通常是先测算该整幢住宅楼的平均价值，然后在此基础上进行楼层、朝向、装饰装修等因素调整后才可得到该套住宅的价值。在实际估价中，根据估价对象这类房地产的开发建设方式</w:t>
      </w:r>
      <w:r w:rsidR="003068F8">
        <w:rPr>
          <w:rFonts w:hint="eastAsia"/>
        </w:rPr>
        <w:t>，</w:t>
      </w:r>
      <w:r>
        <w:t>还可能需要先测算整个“小区”的平均价值，然后调整到“楼幢”的平均价值，再在此基础上进行楼层、朝向、装饰装修等因素调整后得出该套住宅的价值。采用成本法测算开发区中某宗土地的价值或价格，通常也与此类似。</w:t>
      </w:r>
    </w:p>
    <w:p w14:paraId="4856DBBE" w14:textId="77777777" w:rsidR="00796C46" w:rsidRDefault="00796C46" w:rsidP="00796C46">
      <w:pPr>
        <w:pStyle w:val="13"/>
        <w:ind w:firstLine="482"/>
      </w:pPr>
      <w:r w:rsidRPr="00D47B5F">
        <w:rPr>
          <w:b/>
          <w:bCs/>
        </w:rPr>
        <w:lastRenderedPageBreak/>
        <w:t>4.4.2</w:t>
      </w:r>
      <w:r>
        <w:t xml:space="preserve"> 要注意</w:t>
      </w:r>
      <w:proofErr w:type="gramStart"/>
      <w:r>
        <w:t>房地合估路径</w:t>
      </w:r>
      <w:proofErr w:type="gramEnd"/>
      <w:r>
        <w:t>中把土地当作原材料的土地重置成本与</w:t>
      </w:r>
      <w:proofErr w:type="gramStart"/>
      <w:r>
        <w:t>房地分估路径</w:t>
      </w:r>
      <w:proofErr w:type="gramEnd"/>
      <w:r>
        <w:t>中把土地当作独立的物的土地重置成本是不同的。另外，在选择</w:t>
      </w:r>
      <w:proofErr w:type="gramStart"/>
      <w:r>
        <w:t>房地分估路径</w:t>
      </w:r>
      <w:proofErr w:type="gramEnd"/>
      <w:r>
        <w:t>时，要注意</w:t>
      </w:r>
      <w:r>
        <w:rPr>
          <w:rFonts w:hint="eastAsia"/>
        </w:rPr>
        <w:t>土地和建筑物的成本构成划分及相互衔接，防止漏项或重复计算。</w:t>
      </w:r>
    </w:p>
    <w:p w14:paraId="4738F14C" w14:textId="77777777" w:rsidR="00796C46" w:rsidRDefault="00796C46" w:rsidP="00796C46">
      <w:pPr>
        <w:pStyle w:val="13"/>
        <w:ind w:firstLine="482"/>
      </w:pPr>
      <w:r w:rsidRPr="00D47B5F">
        <w:rPr>
          <w:b/>
          <w:bCs/>
        </w:rPr>
        <w:t>4.4.3</w:t>
      </w:r>
      <w:r>
        <w:t xml:space="preserve"> 本条的房地产重置成本或重建成本构成，实际上就是房地产价格构成。</w:t>
      </w:r>
    </w:p>
    <w:p w14:paraId="6E8DD250" w14:textId="215D5CE5" w:rsidR="00796C46" w:rsidRDefault="00796C46" w:rsidP="00796C46">
      <w:pPr>
        <w:pStyle w:val="13"/>
      </w:pPr>
      <w:r>
        <w:rPr>
          <w:rFonts w:hint="eastAsia"/>
        </w:rPr>
        <w:t>运用成本法估价的一项基础工作，是要弄清估价对象的价格构成。在现实中，特别</w:t>
      </w:r>
      <w:r>
        <w:t xml:space="preserve"> 是目前在土地供应、房地产开发经营和相关税费等制度、政策、规则尚不完善、不明晰</w:t>
      </w:r>
      <w:r w:rsidR="003068F8">
        <w:t>、</w:t>
      </w:r>
      <w:r>
        <w:t>不统一、时常发生变化的情况下，房地产价格构成很复杂，不同时期、不同地区、不同 用途或不同类型的房地产，其价格构成可能不同。房地产价格构成还可能因不同的单位 和个人对构成项目划分的不同而有所不同。但在实际运用成本法估价时，不论估价对象 的价格构成多么复杂，首先最为关键的是要模拟估价对象所在地的房地产开发经营过程</w:t>
      </w:r>
      <w:r w:rsidR="003068F8">
        <w:t>，</w:t>
      </w:r>
      <w:r>
        <w:t>深人调查从取得土地到房屋竣工验收乃至完成租售</w:t>
      </w:r>
      <w:r>
        <w:rPr>
          <w:rFonts w:hint="eastAsia"/>
        </w:rPr>
        <w:t>的全过程中所需要做的各项工作——一般要经过获取土地、前期工作、施工建设、竣工验收、商品房租售等阶段，在该全过程中发生的各项成本、费用、税金等必要支出及其支付或缴纳的标准、时间和依据</w:t>
      </w:r>
      <w:r w:rsidR="003068F8">
        <w:rPr>
          <w:rFonts w:hint="eastAsia"/>
        </w:rPr>
        <w:t>，</w:t>
      </w:r>
      <w:r>
        <w:t>以及正常的开发利润，进而整理出这些成本、费用、税金和利润等的清单，做到既不遗漏，也不重复。然后在此基础上结合估价对象的实际情况，确定估价对象的价格构成</w:t>
      </w:r>
      <w:r w:rsidR="003068F8">
        <w:t>，</w:t>
      </w:r>
      <w:r>
        <w:t>进而测算出各个构成项目的金额。</w:t>
      </w:r>
    </w:p>
    <w:p w14:paraId="51CA41DF" w14:textId="77777777" w:rsidR="00796C46" w:rsidRDefault="00796C46" w:rsidP="00796C46">
      <w:pPr>
        <w:pStyle w:val="13"/>
        <w:ind w:firstLine="482"/>
      </w:pPr>
      <w:r w:rsidRPr="00D47B5F">
        <w:rPr>
          <w:b/>
          <w:bCs/>
        </w:rPr>
        <w:t>4.4.4</w:t>
      </w:r>
      <w:r>
        <w:t xml:space="preserve"> 对同一宗房地产，</w:t>
      </w:r>
      <w:proofErr w:type="gramStart"/>
      <w:r>
        <w:t>房地合估路径</w:t>
      </w:r>
      <w:proofErr w:type="gramEnd"/>
      <w:r>
        <w:t>中的土地成本与</w:t>
      </w:r>
      <w:proofErr w:type="gramStart"/>
      <w:r>
        <w:t>房地分估路径</w:t>
      </w:r>
      <w:proofErr w:type="gramEnd"/>
      <w:r>
        <w:t>中的土地重置成本，虽然针对的是同一块土地，但两者对应的土地状况一般是不同的。</w:t>
      </w:r>
      <w:proofErr w:type="gramStart"/>
      <w:r>
        <w:t>房地分估路径</w:t>
      </w:r>
      <w:proofErr w:type="gramEnd"/>
      <w:r>
        <w:t>中的土地重置成本对应的土地状况，比</w:t>
      </w:r>
      <w:proofErr w:type="gramStart"/>
      <w:r>
        <w:t>房地合估路径</w:t>
      </w:r>
      <w:proofErr w:type="gramEnd"/>
      <w:r>
        <w:t>中的土地成本对应的土地状况，一般要“熟”些。</w:t>
      </w:r>
    </w:p>
    <w:p w14:paraId="574DD6C3" w14:textId="77777777" w:rsidR="00796C46" w:rsidRDefault="00796C46" w:rsidP="00796C46">
      <w:pPr>
        <w:pStyle w:val="13"/>
        <w:ind w:firstLine="482"/>
      </w:pPr>
      <w:r w:rsidRPr="00D47B5F">
        <w:rPr>
          <w:b/>
          <w:bCs/>
        </w:rPr>
        <w:t>4.4.5</w:t>
      </w:r>
      <w:r>
        <w:t xml:space="preserve"> 单位比较法、分部分项法、工料测量法测算的建筑物重置成本或重建成本般是越来越精确的。</w:t>
      </w:r>
    </w:p>
    <w:p w14:paraId="6034CD01" w14:textId="77777777" w:rsidR="00796C46" w:rsidRDefault="00796C46" w:rsidP="00796C46">
      <w:pPr>
        <w:pStyle w:val="13"/>
        <w:ind w:firstLine="482"/>
      </w:pPr>
      <w:r w:rsidRPr="00D47B5F">
        <w:rPr>
          <w:b/>
          <w:bCs/>
        </w:rPr>
        <w:t>4.4.6</w:t>
      </w:r>
      <w:r>
        <w:t xml:space="preserve"> 开发利润率有多种，如成本利润率、投资利润率、销售利润率等。不同的开发利润率，不仅内涵不同，而且计算口径不同。因此，在测算开发利润时，应搞清楚开发利润率的含义，并据此采用相应的计算基数；或者反过来，当确定了计算基数后，应选用相应的开发利润率。</w:t>
      </w:r>
    </w:p>
    <w:p w14:paraId="64A99B38" w14:textId="77777777" w:rsidR="00796C46" w:rsidRDefault="00796C46" w:rsidP="00796C46">
      <w:pPr>
        <w:pStyle w:val="13"/>
        <w:ind w:firstLine="482"/>
      </w:pPr>
      <w:r w:rsidRPr="00D47B5F">
        <w:rPr>
          <w:b/>
          <w:bCs/>
        </w:rPr>
        <w:t>4.4.9、4.4.10</w:t>
      </w:r>
      <w:r>
        <w:t xml:space="preserve"> 建筑物有效年龄是根据价值时点的建筑物实际状况判断的建筑物年龄。建筑物实际年龄是建筑物自竣工时起</w:t>
      </w:r>
      <w:proofErr w:type="gramStart"/>
      <w:r>
        <w:t>至价值</w:t>
      </w:r>
      <w:proofErr w:type="gramEnd"/>
      <w:r>
        <w:t>时点止的年数。建筑物有效年龄可能大于或小于建筑物实际年龄，其大小的影响因素主要有建筑物的施工、使用、维护和更新改造等状况。</w:t>
      </w:r>
    </w:p>
    <w:p w14:paraId="59B496D9" w14:textId="3CF754A9" w:rsidR="00796C46" w:rsidRDefault="00796C46" w:rsidP="00796C46">
      <w:pPr>
        <w:pStyle w:val="13"/>
        <w:ind w:firstLine="482"/>
      </w:pPr>
      <w:r w:rsidRPr="00D47B5F">
        <w:rPr>
          <w:b/>
          <w:bCs/>
        </w:rPr>
        <w:t>4.4.16</w:t>
      </w:r>
      <w:r>
        <w:t xml:space="preserve"> 新近开发完成的房地产包括新开发的房地、新开发的土地和新建成的建筑物。在建工程和新近开发完成的房地产虽然不存在一般意义上的折旧，但应考虑存在的减价 因素予以适当减价调整。减价因素包括选址不当、规划设计不合理、工程施工质量欠佳</w:t>
      </w:r>
      <w:r w:rsidR="003068F8">
        <w:t>、</w:t>
      </w:r>
      <w:r>
        <w:t>周围环境被破坏、房地产市场不景气等。例如，采用成本法评估某个</w:t>
      </w:r>
      <w:r>
        <w:lastRenderedPageBreak/>
        <w:t>在建工程的市场价 值，虽然该在建工程实实在在投人了较多费用，或无论谁来开发建设都需要这么多支出</w:t>
      </w:r>
      <w:r w:rsidR="003068F8">
        <w:t>，</w:t>
      </w:r>
      <w:r>
        <w:t>但在房地产市场不景气的情况下应予以减价调整。</w:t>
      </w:r>
    </w:p>
    <w:p w14:paraId="000BE511" w14:textId="77777777" w:rsidR="00796C46" w:rsidRDefault="00796C46" w:rsidP="00796C46">
      <w:pPr>
        <w:pStyle w:val="13"/>
        <w:ind w:firstLine="482"/>
      </w:pPr>
      <w:r w:rsidRPr="00D47B5F">
        <w:rPr>
          <w:b/>
          <w:bCs/>
        </w:rPr>
        <w:t>4.4.17</w:t>
      </w:r>
      <w:r>
        <w:rPr>
          <w:b/>
          <w:bCs/>
        </w:rPr>
        <w:t xml:space="preserve"> </w:t>
      </w:r>
      <w:r>
        <w:t>这种情况下的调整一般是减价调整，个别情况下是加价调整。</w:t>
      </w:r>
    </w:p>
    <w:p w14:paraId="635F75AB" w14:textId="77777777" w:rsidR="00796C46" w:rsidRDefault="00796C46" w:rsidP="00E73797">
      <w:pPr>
        <w:pStyle w:val="ab"/>
        <w:spacing w:before="62" w:after="62"/>
        <w:ind w:firstLine="482"/>
      </w:pPr>
      <w:r>
        <w:t>4.5 假设开发法</w:t>
      </w:r>
    </w:p>
    <w:p w14:paraId="60321FAD" w14:textId="77777777" w:rsidR="00796C46" w:rsidRDefault="00796C46" w:rsidP="00796C46">
      <w:pPr>
        <w:pStyle w:val="13"/>
        <w:ind w:firstLine="482"/>
      </w:pPr>
      <w:r w:rsidRPr="00D47B5F">
        <w:rPr>
          <w:b/>
          <w:bCs/>
        </w:rPr>
        <w:t>4.5.1</w:t>
      </w:r>
      <w:r>
        <w:t xml:space="preserve"> 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该方法在形式上是测算新开发的房地产（如新建商品房）价值的成本法的"倒算法"。两者的主要区别是：成本法中的土地价值为已知，需要求得的是开发完成后的房地产价值；而在假设开发法中，开发完成后的房地产价值已事先通过预测得到，需要求得的是土地价值。</w:t>
      </w:r>
    </w:p>
    <w:p w14:paraId="7DF60F4E" w14:textId="358A7D51" w:rsidR="00796C46" w:rsidRDefault="00796C46" w:rsidP="00796C46">
      <w:pPr>
        <w:pStyle w:val="13"/>
      </w:pPr>
      <w:r>
        <w:rPr>
          <w:rFonts w:hint="eastAsia"/>
        </w:rPr>
        <w:t>假设开发法适用于具有开发或再开发潜力且开发完成后的价值可以采用比较法、收益法等成本法以外的方法测算的房地产，包括可供开发的土地（包括生地、毛地、熟地</w:t>
      </w:r>
      <w:r w:rsidR="003068F8">
        <w:rPr>
          <w:rFonts w:hint="eastAsia"/>
        </w:rPr>
        <w:t>，</w:t>
      </w:r>
      <w:r>
        <w:t>典型的是各种房地产开发用地）、在建工程（或称为房地产开发项目）、可重新开发、更新改造或改变用途的旧房（包括改建、扩建、重新装饰装修等。如果是拆除重建，则属于毛地的范畴）。</w:t>
      </w:r>
    </w:p>
    <w:p w14:paraId="63B60CE8" w14:textId="34760819" w:rsidR="00796C46" w:rsidRDefault="00796C46" w:rsidP="00796C46">
      <w:pPr>
        <w:pStyle w:val="13"/>
        <w:ind w:firstLine="482"/>
      </w:pPr>
      <w:r w:rsidRPr="00D47B5F">
        <w:rPr>
          <w:b/>
          <w:bCs/>
        </w:rPr>
        <w:t>4.5.2</w:t>
      </w:r>
      <w:r>
        <w:t xml:space="preserve"> 估价对象所处开发建设阶段，是指估价对象的规划条件尚未明确、已经明确</w:t>
      </w:r>
      <w:r w:rsidR="003068F8">
        <w:t>，</w:t>
      </w:r>
      <w:r>
        <w:t>建筑设计方案已确定，项目已开工等。</w:t>
      </w:r>
    </w:p>
    <w:p w14:paraId="5A1A1DEF" w14:textId="77777777" w:rsidR="00796C46" w:rsidRDefault="00796C46" w:rsidP="00796C46">
      <w:pPr>
        <w:pStyle w:val="13"/>
      </w:pPr>
      <w:r>
        <w:rPr>
          <w:rFonts w:hint="eastAsia"/>
        </w:rPr>
        <w:t>房地产开发期限一般较长，土地成本和后续的建设成本、管理费用、销售费用、销售税费以及开发完成后的价值等所发生的时间通常不同，特别是大型房地产开发项目。因此，运用假设开发法估价应考虑资金的时间价值。但考虑资金的时间价值有两种方式：</w:t>
      </w:r>
      <w:r>
        <w:t xml:space="preserve"> 一是折现现金流量分析的方式，这种方式下的假设开发法称为动态分析法；二是测算后续开发的利息和利润（也称为投资利息、开发利润）的方式，这种方式下的假设开发法称为静态分析法。</w:t>
      </w:r>
    </w:p>
    <w:p w14:paraId="36FB4B1E" w14:textId="77777777" w:rsidR="00796C46" w:rsidRDefault="00796C46" w:rsidP="00796C46">
      <w:pPr>
        <w:pStyle w:val="13"/>
        <w:ind w:firstLine="482"/>
      </w:pPr>
      <w:r w:rsidRPr="00D47B5F">
        <w:rPr>
          <w:b/>
          <w:bCs/>
        </w:rPr>
        <w:t>4.5.3</w:t>
      </w:r>
      <w:r>
        <w:t xml:space="preserve"> 估价对象所处开发建设状态，是指估价对象是在正常开发建设，还是半停工或已停建、缓建等。</w:t>
      </w:r>
    </w:p>
    <w:p w14:paraId="617D89F3" w14:textId="340267E8" w:rsidR="00796C46" w:rsidRDefault="00796C46" w:rsidP="00796C46">
      <w:pPr>
        <w:pStyle w:val="13"/>
      </w:pPr>
      <w:r>
        <w:rPr>
          <w:rFonts w:hint="eastAsia"/>
        </w:rPr>
        <w:t>在运用假设开发法评估待开发房地产价值时，面临着待开发房地产是继续由其业主（拥有者或房地产开发企业）开发，还是要被其业主自愿转让给他人开发，或要被人民法院强制拍卖、变卖给他人开发。在这三种情形下，测算出的后续开发经营期的长短和后续开发的必要支出的数额是不同的，从而计算出的待开发房地产价值是不同的。例如</w:t>
      </w:r>
      <w:r w:rsidR="003068F8">
        <w:rPr>
          <w:rFonts w:hint="eastAsia"/>
        </w:rPr>
        <w:t>，</w:t>
      </w:r>
      <w:r>
        <w:t>估价对象为某个房地产开发企业开发的商品房在建工程，在运用假设开发法测算其价值时，要搞清楚该在建工程是仍然由该房地产开发企业续建完成，还是将由其他房地产开发企业续建完成，特别是该在建工程是否要被人民法院强制拍卖。假如测算该商品房在建工程的后续建设期，通过比较法得到类似商品房的正常建</w:t>
      </w:r>
      <w:r>
        <w:rPr>
          <w:rFonts w:hint="eastAsia"/>
        </w:rPr>
        <w:lastRenderedPageBreak/>
        <w:t>设期为</w:t>
      </w:r>
      <w:r>
        <w:t xml:space="preserve"> 3 年，该在建工程的</w:t>
      </w:r>
    </w:p>
    <w:p w14:paraId="28221721" w14:textId="77777777" w:rsidR="00796C46" w:rsidRDefault="00796C46" w:rsidP="00796C46">
      <w:pPr>
        <w:pStyle w:val="13"/>
      </w:pPr>
      <w:r>
        <w:rPr>
          <w:rFonts w:hint="eastAsia"/>
        </w:rPr>
        <w:t>正常建设期为</w:t>
      </w:r>
      <w:r>
        <w:t xml:space="preserve"> 2 年，则在该在建工程由现房地产开发企业续建完成的情况下，其后续建</w:t>
      </w:r>
      <w:r>
        <w:rPr>
          <w:rFonts w:hint="eastAsia"/>
        </w:rPr>
        <w:t>设期为</w:t>
      </w:r>
      <w:r>
        <w:t xml:space="preserve"> 1 年。但如果该在建工程要被人民法院强制拍卖，则还应加由现房地产开发企业转为其他房地产开发企业的“换手”的正常期限，如需要办理有关变更等交接手续，相当于产生了一个新的“前期”。如果“换手”的正常期限为 0.5 年，则该在建工程的后续</w:t>
      </w:r>
      <w:r>
        <w:rPr>
          <w:rFonts w:hint="eastAsia"/>
        </w:rPr>
        <w:t>建设期为</w:t>
      </w:r>
      <w:r>
        <w:t xml:space="preserve"> 1.5 年。在“换手”的情况下，不仅会有一个新的“前期”通常还会发生新的“前期费用”，因此在测算后续开发的必要支出时，还应加这部分“前期费用”。</w:t>
      </w:r>
    </w:p>
    <w:p w14:paraId="3EDE1D63" w14:textId="7FF1ED48" w:rsidR="00796C46" w:rsidRDefault="00796C46" w:rsidP="00796C46">
      <w:pPr>
        <w:pStyle w:val="13"/>
        <w:ind w:firstLine="482"/>
      </w:pPr>
      <w:r w:rsidRPr="00D47B5F">
        <w:rPr>
          <w:b/>
          <w:bCs/>
        </w:rPr>
        <w:t>4.5.4</w:t>
      </w:r>
      <w:r>
        <w:t xml:space="preserve"> 运用假设开发法估价的关键之一，是要把握住两头：一是待开发房地产状况</w:t>
      </w:r>
      <w:r w:rsidR="003068F8">
        <w:t>；</w:t>
      </w:r>
      <w:r>
        <w:t>二是未来开发完成后的房地产状况。然后假设将待开发房地产状况"变成"未来开发完成后的房地产状况，需要做哪些工作，完成这些工作需要多长时间，需要哪些必要支出</w:t>
      </w:r>
      <w:r w:rsidR="003068F8">
        <w:t>，</w:t>
      </w:r>
      <w:r>
        <w:t>相应要获得多少利润。现实中的待开发房地产状况和未来开发完成后的房地产状况是多种多样的。待开发房地产状况可分为可供开发的土地，在建工程，可重新开发、更新改造或改变用途的旧房三大类。可供开发的土地又可分为生地、毛地、熟地三类。未来开发完成后的房地产状况，包括房地产类型、用途、规</w:t>
      </w:r>
      <w:r>
        <w:rPr>
          <w:rFonts w:hint="eastAsia"/>
        </w:rPr>
        <w:t>模和档次等。未来开发完成后的房地产状况，对生地和毛地的估价对象来说，有熟地和新房两类；对熟地、在建工程和旧房的估价对象来说，只有新房一类。新房又可分为毛坯房、粗装修房和精装修房。另外</w:t>
      </w:r>
      <w:r w:rsidR="003068F8">
        <w:rPr>
          <w:rFonts w:hint="eastAsia"/>
        </w:rPr>
        <w:t>，</w:t>
      </w:r>
      <w:r>
        <w:t>未来开发完成后的房地产状况不一定是纯粹的房地产，还可能包含家具、机器设备等动产和特许经营权等权利。</w:t>
      </w:r>
    </w:p>
    <w:p w14:paraId="6A1A34FB" w14:textId="77777777" w:rsidR="00796C46" w:rsidRDefault="00796C46" w:rsidP="00796C46">
      <w:pPr>
        <w:pStyle w:val="13"/>
      </w:pPr>
      <w:r>
        <w:rPr>
          <w:rFonts w:hint="eastAsia"/>
        </w:rPr>
        <w:t>未来开发完成后的房地产经营方式，包括出售、出租、自营等。</w:t>
      </w:r>
    </w:p>
    <w:p w14:paraId="0A6F6F1B" w14:textId="7638A227" w:rsidR="00796C46" w:rsidRDefault="00796C46" w:rsidP="00796C46">
      <w:pPr>
        <w:pStyle w:val="13"/>
        <w:ind w:firstLine="482"/>
      </w:pPr>
      <w:r w:rsidRPr="00D47B5F">
        <w:rPr>
          <w:b/>
          <w:bCs/>
        </w:rPr>
        <w:t>4.5.5</w:t>
      </w:r>
      <w:r>
        <w:t xml:space="preserve"> 为了测算后续开发的各项必要支出和开发完成后的价值发生的时间及金额</w:t>
      </w:r>
      <w:r w:rsidR="003068F8">
        <w:t>，</w:t>
      </w:r>
      <w:r>
        <w:t>便于进行折现现金流量分析或者测算后续开发的利息和利润，需要测算后续开发经营期。后续开发经营期的起点是（假设）取得估价对象（待开发房地产）的时间（即价值时点）</w:t>
      </w:r>
      <w:r w:rsidR="003068F8">
        <w:t>，</w:t>
      </w:r>
      <w:r>
        <w:t>终点是未来开发完成后的房地产经营结束的时间。测算考虑的因素包括：估价对象状况、未来开发完成后的房地产状况、未来开发完成后的房地产经营方式、类似房地产开发项 目相应的一般期限、估价前提、估价对象所处开发建设状态、未来房地产市场状况等。</w:t>
      </w:r>
    </w:p>
    <w:p w14:paraId="70062431" w14:textId="77777777" w:rsidR="00796C46" w:rsidRDefault="00796C46" w:rsidP="00796C46">
      <w:pPr>
        <w:pStyle w:val="13"/>
        <w:ind w:firstLine="482"/>
      </w:pPr>
      <w:r w:rsidRPr="00D47B5F">
        <w:rPr>
          <w:b/>
          <w:bCs/>
        </w:rPr>
        <w:t>4.5.6</w:t>
      </w:r>
      <w:r>
        <w:t xml:space="preserve"> 估价前提为业主自行开发的，后续开发的必要支出一般不包括估价对象取得税费。</w:t>
      </w:r>
    </w:p>
    <w:p w14:paraId="36A74D49" w14:textId="77777777" w:rsidR="00796C46" w:rsidRDefault="00796C46" w:rsidP="00796C46">
      <w:pPr>
        <w:pStyle w:val="13"/>
        <w:ind w:firstLine="482"/>
      </w:pPr>
      <w:r w:rsidRPr="00D47B5F">
        <w:rPr>
          <w:b/>
          <w:bCs/>
        </w:rPr>
        <w:t>4.5.7</w:t>
      </w:r>
      <w:r>
        <w:t xml:space="preserve"> 开发完成后的价值如果采用成本法测算，则形式上的假设开发法实际上为成本法，因此假设开发法中不应采用成本法来测算开发完成后的价值。</w:t>
      </w:r>
    </w:p>
    <w:p w14:paraId="4B4CA922" w14:textId="3D70B41F" w:rsidR="00796C46" w:rsidRDefault="00796C46" w:rsidP="00796C46">
      <w:pPr>
        <w:pStyle w:val="13"/>
      </w:pPr>
      <w:r>
        <w:rPr>
          <w:rFonts w:hint="eastAsia"/>
        </w:rPr>
        <w:t>本条规定采用比较法测算开发完成后的价值时，应先测算开发完成后的房地产单价</w:t>
      </w:r>
      <w:r w:rsidR="003068F8">
        <w:rPr>
          <w:rFonts w:hint="eastAsia"/>
        </w:rPr>
        <w:t>，</w:t>
      </w:r>
      <w:r>
        <w:t>并且当未来开发完成后的房地产中有不同用途或档次等较大差别时，应分别测算不同部 分的单价，是为了避免实际估价中对开发完成后的价值测算过于粗略。</w:t>
      </w:r>
    </w:p>
    <w:p w14:paraId="57015F5B" w14:textId="77777777" w:rsidR="00796C46" w:rsidRDefault="00796C46" w:rsidP="00796C46">
      <w:pPr>
        <w:pStyle w:val="13"/>
        <w:ind w:firstLine="482"/>
      </w:pPr>
      <w:r w:rsidRPr="00D47B5F">
        <w:rPr>
          <w:b/>
          <w:bCs/>
        </w:rPr>
        <w:lastRenderedPageBreak/>
        <w:t>4.5.12</w:t>
      </w:r>
      <w:r>
        <w:t xml:space="preserve"> 开发利润率有成本利润率、投资利润率、销售利润率等多种。不同种类的开发利润率的内涵不同，计算口径也不同。因此，在测算开发利润时，应搞清楚开发利润率的含义，并据此采用相应的计算基数；或者反过来，当确定了计算基数后，应选用相</w:t>
      </w:r>
      <w:r>
        <w:rPr>
          <w:rFonts w:hint="eastAsia"/>
        </w:rPr>
        <w:t>应的开发利润率。</w:t>
      </w:r>
    </w:p>
    <w:p w14:paraId="6AB41660" w14:textId="77777777" w:rsidR="00796C46" w:rsidRDefault="00796C46" w:rsidP="00E73797">
      <w:pPr>
        <w:pStyle w:val="ab"/>
        <w:spacing w:before="62" w:after="62"/>
        <w:ind w:firstLine="482"/>
      </w:pPr>
      <w:r>
        <w:t>4.6 其他估价方法</w:t>
      </w:r>
    </w:p>
    <w:p w14:paraId="19CB456E" w14:textId="77777777" w:rsidR="00796C46" w:rsidRDefault="00796C46" w:rsidP="00796C46">
      <w:pPr>
        <w:pStyle w:val="13"/>
        <w:ind w:firstLine="482"/>
      </w:pPr>
      <w:r w:rsidRPr="00D47B5F">
        <w:rPr>
          <w:b/>
          <w:bCs/>
        </w:rPr>
        <w:t>4.6.2</w:t>
      </w:r>
      <w:r>
        <w:t xml:space="preserve"> 基准地价修正法是在政府或其有关部门已公布基准地价的地区，利用有关调整系数对估价对象宗地所在位置的基准地价进行调整后得到估价对象宗地价值或价格的方法。</w:t>
      </w:r>
    </w:p>
    <w:p w14:paraId="26335DA9" w14:textId="46203FB5" w:rsidR="00796C46" w:rsidRDefault="00796C46" w:rsidP="00796C46">
      <w:pPr>
        <w:pStyle w:val="13"/>
        <w:ind w:firstLine="482"/>
      </w:pPr>
      <w:r w:rsidRPr="00D47B5F">
        <w:rPr>
          <w:b/>
          <w:bCs/>
        </w:rPr>
        <w:t>4.6.3</w:t>
      </w:r>
      <w:r>
        <w:t xml:space="preserve"> 各地的基准地价内涵可能不同，有的是综合的级别价，有的是分类的级别价或区片价、路线价；有的是土地单价，有的是楼面地价；此外，基准地价对应的基准日期、土地使用权性质、土地使用期限、容积率、土地开发程度等都有可能不同。因此</w:t>
      </w:r>
      <w:r w:rsidR="003068F8">
        <w:t>，</w:t>
      </w:r>
      <w:r>
        <w:t>在运用基准地价评估宗地价值或价格时，应搞清楚估价对象所在地的基准地价内涵。</w:t>
      </w:r>
    </w:p>
    <w:p w14:paraId="1B9CE7ED" w14:textId="77777777" w:rsidR="00796C46" w:rsidRDefault="00796C46" w:rsidP="00796C46">
      <w:pPr>
        <w:pStyle w:val="13"/>
      </w:pPr>
      <w:r>
        <w:rPr>
          <w:rFonts w:hint="eastAsia"/>
        </w:rPr>
        <w:t>宗地是指土地权属界线封闭的地块或者空间。</w:t>
      </w:r>
    </w:p>
    <w:p w14:paraId="6D7A262B" w14:textId="637FC0CC" w:rsidR="00796C46" w:rsidRDefault="00796C46" w:rsidP="00796C46">
      <w:pPr>
        <w:pStyle w:val="13"/>
        <w:ind w:firstLine="482"/>
      </w:pPr>
      <w:r w:rsidRPr="00D47B5F">
        <w:rPr>
          <w:b/>
          <w:bCs/>
        </w:rPr>
        <w:t>4.6.5、4.6.6</w:t>
      </w:r>
      <w:r>
        <w:t xml:space="preserve"> 标准价调整法和多元回归分析法都需要确定估价范围，并对该范围内的所有被估价房地产进行分组。估价范围包括估价的区域范围和房地产种类。估价的区</w:t>
      </w:r>
      <w:r>
        <w:rPr>
          <w:rFonts w:hint="eastAsia"/>
        </w:rPr>
        <w:t>域范围，即需要对哪个地区范围内的房地产进行估价，例如是某个城市的全部行政区</w:t>
      </w:r>
      <w:r w:rsidR="003068F8">
        <w:rPr>
          <w:rFonts w:hint="eastAsia"/>
        </w:rPr>
        <w:t>，</w:t>
      </w:r>
      <w:r>
        <w:t>还是其规划区、建成区、某个或某几个辖区内的房地产。估价的房地产种类，即需要对哪些用途和类型的房地产进行估价，例如是住宅，还是办公楼、商铺、酒店、厂房等</w:t>
      </w:r>
      <w:r w:rsidR="003068F8">
        <w:t>，</w:t>
      </w:r>
      <w:r>
        <w:t>或是各种房地产。</w:t>
      </w:r>
    </w:p>
    <w:p w14:paraId="02172CDF" w14:textId="5C45AD96" w:rsidR="00796C46" w:rsidRDefault="00796C46" w:rsidP="00796C46">
      <w:pPr>
        <w:pStyle w:val="13"/>
      </w:pPr>
      <w:r>
        <w:rPr>
          <w:rFonts w:hint="eastAsia"/>
        </w:rPr>
        <w:t>对估价范围内的所有被估价房地产进行分组简称“房地产分组”是把相似的房地</w:t>
      </w:r>
      <w:r>
        <w:t xml:space="preserve"> 产划分在同一组内。进行房地产分组，通常是将估价范围内的所有被估价房地产，先按 用途划分，简称“分用途”，如分为居住、办公、商业、酒店、工业等用途的房地产</w:t>
      </w:r>
      <w:r w:rsidR="003068F8">
        <w:t>；</w:t>
      </w:r>
      <w:r>
        <w:t>再按类型划分，简称“分类型”，如将住宅分为高层住宅、多层住宅、低层住宅等，将 商业房地产分为大型商场、小型店铺等；然后按区位划分，简称“分区域”或“分区”</w:t>
      </w:r>
      <w:r w:rsidR="003068F8">
        <w:t>，</w:t>
      </w:r>
      <w:r>
        <w:t>如按自然小区划分。从理论上讲，划分</w:t>
      </w:r>
      <w:proofErr w:type="gramStart"/>
      <w:r>
        <w:t>的组越小</w:t>
      </w:r>
      <w:proofErr w:type="gramEnd"/>
      <w:r>
        <w:t>，组内的房地产越相似，从而需要调整 的因素或估价模型中的自变量就会越少。但如果分组过</w:t>
      </w:r>
      <w:r>
        <w:rPr>
          <w:rFonts w:hint="eastAsia"/>
        </w:rPr>
        <w:t>小，则组内的交易实例等“样本”</w:t>
      </w:r>
      <w:r>
        <w:t xml:space="preserve"> 可能较少，从而难以满足测算标准房地产价值或价格（简称标准价）或建立估价模型的 需要。</w:t>
      </w:r>
    </w:p>
    <w:p w14:paraId="4E211431" w14:textId="5E1007B7" w:rsidR="00796C46" w:rsidRDefault="00796C46" w:rsidP="00796C46">
      <w:pPr>
        <w:pStyle w:val="13"/>
      </w:pPr>
      <w:r>
        <w:rPr>
          <w:rFonts w:hint="eastAsia"/>
        </w:rPr>
        <w:t>在运用多元回归分析法时，考虑到某些较少见或不普遍的影响房地产价值或价格的</w:t>
      </w:r>
      <w:r>
        <w:t xml:space="preserve"> 特殊因素如果作为多元回归模型中的自变量，会增加多元回归模型的复杂性和准确性等</w:t>
      </w:r>
      <w:r w:rsidR="003068F8">
        <w:t>，</w:t>
      </w:r>
      <w:r>
        <w:t>可先将这些特殊因素不作为多元回归模型中的自变量，</w:t>
      </w:r>
      <w:proofErr w:type="gramStart"/>
      <w:r>
        <w:t>待利用</w:t>
      </w:r>
      <w:proofErr w:type="gramEnd"/>
      <w:r>
        <w:t>多元回归模型计算</w:t>
      </w:r>
      <w:proofErr w:type="gramStart"/>
      <w:r>
        <w:t>出被估</w:t>
      </w:r>
      <w:proofErr w:type="gramEnd"/>
      <w:r>
        <w:t xml:space="preserve"> 价房地产的价值或价格后，再利用特殊因素调整系数对那些存在特殊因素的被估价房地 产的多元回归模型计算结果进行调整，从而得出这些被估价房地</w:t>
      </w:r>
      <w:r>
        <w:lastRenderedPageBreak/>
        <w:t>产的价值或价格。</w:t>
      </w:r>
    </w:p>
    <w:p w14:paraId="661089F2" w14:textId="77777777" w:rsidR="00796C46" w:rsidRDefault="00796C46" w:rsidP="00AF7342">
      <w:pPr>
        <w:pStyle w:val="a9"/>
        <w:spacing w:before="62" w:after="62"/>
      </w:pPr>
      <w:r>
        <w:t>5 不同估价目的下的估价</w:t>
      </w:r>
    </w:p>
    <w:p w14:paraId="2388FA35" w14:textId="77777777" w:rsidR="00796C46" w:rsidRDefault="00796C46" w:rsidP="00E73797">
      <w:pPr>
        <w:pStyle w:val="ab"/>
        <w:spacing w:before="62" w:after="62"/>
        <w:ind w:firstLine="482"/>
      </w:pPr>
      <w:r>
        <w:t>5.1 房地产抵押估价</w:t>
      </w:r>
    </w:p>
    <w:p w14:paraId="58F38F4E" w14:textId="77777777" w:rsidR="00796C46" w:rsidRDefault="00796C46" w:rsidP="00796C46">
      <w:pPr>
        <w:pStyle w:val="13"/>
        <w:ind w:firstLine="482"/>
      </w:pPr>
      <w:r w:rsidRPr="00D47B5F">
        <w:rPr>
          <w:b/>
          <w:bCs/>
        </w:rPr>
        <w:t>5.1.1~5.1.13</w:t>
      </w:r>
      <w:r>
        <w:t xml:space="preserve"> 本节规定了房地产抵押估价的种类、内容、原则，以及一些特殊情况下的处理等。</w:t>
      </w:r>
    </w:p>
    <w:p w14:paraId="12CD8B31" w14:textId="77777777" w:rsidR="00796C46" w:rsidRDefault="00796C46" w:rsidP="00796C46">
      <w:pPr>
        <w:pStyle w:val="13"/>
      </w:pPr>
      <w:r>
        <w:rPr>
          <w:rFonts w:hint="eastAsia"/>
        </w:rPr>
        <w:t>抵押价值为估价对象假定未设立法定优先受偿权下的价值减去注册房地产估价师知悉的法定优先受偿款后的价值。抵押净值为抵押价值减去预期实现抵押权的费用和税金后的价值。</w:t>
      </w:r>
    </w:p>
    <w:p w14:paraId="726180D5" w14:textId="47FA404D" w:rsidR="00796C46" w:rsidRDefault="00796C46" w:rsidP="00E73797">
      <w:pPr>
        <w:pStyle w:val="ab"/>
        <w:spacing w:before="62" w:after="62"/>
        <w:ind w:firstLine="482"/>
      </w:pPr>
      <w:r>
        <w:t>5.2 房地产税收估价</w:t>
      </w:r>
    </w:p>
    <w:p w14:paraId="219867C3" w14:textId="77777777" w:rsidR="00796C46" w:rsidRDefault="00796C46" w:rsidP="00796C46">
      <w:pPr>
        <w:pStyle w:val="13"/>
        <w:ind w:firstLine="482"/>
      </w:pPr>
      <w:r w:rsidRPr="00D47B5F">
        <w:rPr>
          <w:b/>
          <w:bCs/>
        </w:rPr>
        <w:t>5.2.1~5.2.3</w:t>
      </w:r>
      <w:r>
        <w:t xml:space="preserve"> 本节规定了房地产税收估价的种类、原则，批量估价的方法和个案估价的方法的适用，价值时点的确定等。</w:t>
      </w:r>
    </w:p>
    <w:p w14:paraId="6ED16B65" w14:textId="77777777" w:rsidR="00796C46" w:rsidRDefault="00796C46" w:rsidP="00796C46">
      <w:pPr>
        <w:pStyle w:val="13"/>
      </w:pPr>
      <w:r>
        <w:rPr>
          <w:rFonts w:hint="eastAsia"/>
        </w:rPr>
        <w:t>在房地产税收估价中，评估的价值或价格统称为计税价值，它是指为征税目的而评估的价值或价格。</w:t>
      </w:r>
    </w:p>
    <w:p w14:paraId="7311ED6F" w14:textId="77777777" w:rsidR="00796C46" w:rsidRDefault="00796C46" w:rsidP="00E73797">
      <w:pPr>
        <w:pStyle w:val="ab"/>
        <w:spacing w:before="62" w:after="62"/>
        <w:ind w:firstLine="482"/>
      </w:pPr>
      <w:r>
        <w:t>5.3 房地产征收、征用估价</w:t>
      </w:r>
    </w:p>
    <w:p w14:paraId="11CEC352" w14:textId="77777777" w:rsidR="00796C46" w:rsidRDefault="00796C46" w:rsidP="00796C46">
      <w:pPr>
        <w:pStyle w:val="13"/>
        <w:ind w:firstLine="482"/>
      </w:pPr>
      <w:r w:rsidRPr="00D47B5F">
        <w:rPr>
          <w:b/>
          <w:bCs/>
        </w:rPr>
        <w:t>5.3.1</w:t>
      </w:r>
      <w:r>
        <w:rPr>
          <w:b/>
          <w:bCs/>
        </w:rPr>
        <w:t xml:space="preserve"> </w:t>
      </w:r>
      <w:r w:rsidRPr="00D47B5F">
        <w:rPr>
          <w:b/>
          <w:bCs/>
        </w:rPr>
        <w:t>~5.3.5</w:t>
      </w:r>
      <w:r>
        <w:t xml:space="preserve"> 本节规定了房地产征收、征用估价的种类、内容，以及一些特殊情况下的处理等。</w:t>
      </w:r>
    </w:p>
    <w:p w14:paraId="4427EE57" w14:textId="7FAD8DF5" w:rsidR="00796C46" w:rsidRDefault="00796C46" w:rsidP="00796C46">
      <w:pPr>
        <w:pStyle w:val="13"/>
      </w:pPr>
      <w:r>
        <w:rPr>
          <w:rFonts w:hint="eastAsia"/>
        </w:rPr>
        <w:t>征收和征用既有共同之处，又有不同之处。共同之处在于，都是为了公共利益需要</w:t>
      </w:r>
      <w:r w:rsidR="003068F8">
        <w:rPr>
          <w:rFonts w:hint="eastAsia"/>
        </w:rPr>
        <w:t>，</w:t>
      </w:r>
      <w:r>
        <w:t>都具有强制性，都要经过法定程序，都应依法给予补偿。不同之处在于，征收主要是所有权的改变，是国家将集体或私人所有的财产强行征为国有，不存在返还的问题；而征用只是使用权的改变，是国家强行使用集体或私人所有的财产，被征用的财产使用后</w:t>
      </w:r>
      <w:r w:rsidR="003068F8">
        <w:t>，</w:t>
      </w:r>
      <w:r>
        <w:t>应当返还</w:t>
      </w:r>
      <w:proofErr w:type="gramStart"/>
      <w:r>
        <w:t>给财产</w:t>
      </w:r>
      <w:proofErr w:type="gramEnd"/>
      <w:r>
        <w:t>所有人。征收和征用虽然具有强制性，但都不是无偿的，应给予公平补</w:t>
      </w:r>
      <w:r>
        <w:rPr>
          <w:rFonts w:hint="eastAsia"/>
        </w:rPr>
        <w:t>偿。</w:t>
      </w:r>
    </w:p>
    <w:p w14:paraId="4AEF595F" w14:textId="77777777" w:rsidR="00796C46" w:rsidRDefault="00796C46" w:rsidP="00E73797">
      <w:pPr>
        <w:pStyle w:val="ab"/>
        <w:spacing w:before="62" w:after="62"/>
        <w:ind w:firstLine="482"/>
      </w:pPr>
      <w:r>
        <w:t>5.4 房地产拍卖、变卖估价</w:t>
      </w:r>
    </w:p>
    <w:p w14:paraId="5B445C37" w14:textId="77777777" w:rsidR="00796C46" w:rsidRDefault="00796C46" w:rsidP="00796C46">
      <w:pPr>
        <w:pStyle w:val="13"/>
        <w:ind w:firstLine="482"/>
      </w:pPr>
      <w:r w:rsidRPr="00D47B5F">
        <w:rPr>
          <w:b/>
          <w:bCs/>
        </w:rPr>
        <w:t>5.4.1~5.4.4</w:t>
      </w:r>
      <w:r>
        <w:t xml:space="preserve"> 本节规定了房地产拍卖、变卖估价的种类，房地产司法拍卖估价应注意</w:t>
      </w:r>
      <w:r>
        <w:rPr>
          <w:rFonts w:hint="eastAsia"/>
        </w:rPr>
        <w:t>的问题等。</w:t>
      </w:r>
    </w:p>
    <w:p w14:paraId="6892877D" w14:textId="77777777" w:rsidR="00796C46" w:rsidRDefault="00796C46" w:rsidP="00796C46">
      <w:pPr>
        <w:pStyle w:val="13"/>
      </w:pPr>
      <w:r>
        <w:rPr>
          <w:rFonts w:hint="eastAsia"/>
        </w:rPr>
        <w:t>房地产司法拍卖估价应考虑拍卖房地产瑕疵的影响，但不应考虑拍卖房地产被查封以及拍卖房地产上原有的担保物权和其他优先受偿权的影响；应考虑拍卖房地产上原有的租赁权和用益物权的影响，但人民法院书面说明依法将原有的租赁权和用益物权除去后进行拍卖的，应不考虑拍卖房地产上原有的租赁权和用益物权的影响。</w:t>
      </w:r>
    </w:p>
    <w:p w14:paraId="5864BA9F" w14:textId="77777777" w:rsidR="00796C46" w:rsidRDefault="00796C46" w:rsidP="00E73797">
      <w:pPr>
        <w:pStyle w:val="ab"/>
        <w:spacing w:before="62" w:after="62"/>
        <w:ind w:firstLine="482"/>
      </w:pPr>
      <w:r>
        <w:t>5.5 房地产分割、合并估价</w:t>
      </w:r>
    </w:p>
    <w:p w14:paraId="2B585B67" w14:textId="77777777" w:rsidR="00796C46" w:rsidRDefault="00796C46" w:rsidP="00796C46">
      <w:pPr>
        <w:pStyle w:val="13"/>
        <w:ind w:firstLine="482"/>
      </w:pPr>
      <w:r w:rsidRPr="00D47B5F">
        <w:rPr>
          <w:b/>
          <w:bCs/>
        </w:rPr>
        <w:t>5.5.1~5.5.3</w:t>
      </w:r>
      <w:r>
        <w:t xml:space="preserve"> 本节规定了房地产分割、合并估价的前提以及应注意的问题等。</w:t>
      </w:r>
    </w:p>
    <w:p w14:paraId="77B738A2" w14:textId="77777777" w:rsidR="00796C46" w:rsidRDefault="00796C46" w:rsidP="00796C46">
      <w:pPr>
        <w:pStyle w:val="13"/>
      </w:pPr>
      <w:r>
        <w:rPr>
          <w:rFonts w:hint="eastAsia"/>
        </w:rPr>
        <w:lastRenderedPageBreak/>
        <w:t>房地产分割、合并估价的前提是实物分割、合井。房地产的面积或规模对房地产的价值和价格有较大影响，因此分割、合并之前和之后的价值和价格之间通常不是简单的加减关系，而应根据分割、合并后的实际状况进行估价。</w:t>
      </w:r>
    </w:p>
    <w:p w14:paraId="4B04A439" w14:textId="77777777" w:rsidR="00796C46" w:rsidRDefault="00796C46" w:rsidP="00E73797">
      <w:pPr>
        <w:pStyle w:val="ab"/>
        <w:spacing w:before="62" w:after="62"/>
        <w:ind w:firstLine="482"/>
      </w:pPr>
      <w:r>
        <w:t>5.6 房地产损害赔偿估价</w:t>
      </w:r>
    </w:p>
    <w:p w14:paraId="0C1D04D6" w14:textId="77777777" w:rsidR="00796C46" w:rsidRDefault="00796C46" w:rsidP="00796C46">
      <w:pPr>
        <w:pStyle w:val="13"/>
        <w:ind w:firstLine="482"/>
      </w:pPr>
      <w:r w:rsidRPr="00D47B5F">
        <w:rPr>
          <w:b/>
          <w:bCs/>
        </w:rPr>
        <w:t>5.6.1~5.6.2</w:t>
      </w:r>
      <w:r>
        <w:t xml:space="preserve"> 本节规定了房地产损害赔偿估价的种类、内容，被损害房地产价值减损评估应注意的问题、适用的评估方法等。</w:t>
      </w:r>
    </w:p>
    <w:p w14:paraId="504F4F52" w14:textId="77777777" w:rsidR="00796C46" w:rsidRDefault="00796C46" w:rsidP="00796C46">
      <w:pPr>
        <w:pStyle w:val="13"/>
      </w:pPr>
      <w:r>
        <w:rPr>
          <w:rFonts w:hint="eastAsia"/>
        </w:rPr>
        <w:t>修复成本法是测算修复的必要支出及应得利润，将其作为房地产价值减损额的方法。</w:t>
      </w:r>
    </w:p>
    <w:p w14:paraId="0DA2E4DE" w14:textId="77777777" w:rsidR="00796C46" w:rsidRDefault="00796C46" w:rsidP="00E73797">
      <w:pPr>
        <w:pStyle w:val="ab"/>
        <w:spacing w:before="62" w:after="62"/>
        <w:ind w:firstLine="482"/>
      </w:pPr>
      <w:r>
        <w:t>5.7 房地产保险估价</w:t>
      </w:r>
    </w:p>
    <w:p w14:paraId="3D32D797" w14:textId="77777777" w:rsidR="00796C46" w:rsidRDefault="00796C46" w:rsidP="00796C46">
      <w:pPr>
        <w:pStyle w:val="13"/>
        <w:ind w:firstLine="482"/>
      </w:pPr>
      <w:r w:rsidRPr="00D47B5F">
        <w:rPr>
          <w:b/>
          <w:bCs/>
        </w:rPr>
        <w:t>5.7.1~5.7.3</w:t>
      </w:r>
      <w:r>
        <w:t xml:space="preserve"> 本节规定了房地产保险估价的种类、内容、适用的方法等。</w:t>
      </w:r>
    </w:p>
    <w:p w14:paraId="62858582" w14:textId="77777777" w:rsidR="00796C46" w:rsidRDefault="00796C46" w:rsidP="00796C46">
      <w:pPr>
        <w:pStyle w:val="13"/>
      </w:pPr>
      <w:r>
        <w:rPr>
          <w:rFonts w:hint="eastAsia"/>
        </w:rPr>
        <w:t>房地产投保时的保险价值评估，应根据投保的险种确定估价对象范围。估价对象范围一般不包括即使保险事故发生也不会遭受损失的部分。例如投保火灾险的保险价值评估，估价对象一般不包括土地。</w:t>
      </w:r>
    </w:p>
    <w:p w14:paraId="375FBB45" w14:textId="77777777" w:rsidR="00796C46" w:rsidRDefault="00796C46" w:rsidP="00796C46">
      <w:pPr>
        <w:pStyle w:val="13"/>
      </w:pPr>
      <w:r>
        <w:rPr>
          <w:rFonts w:hint="eastAsia"/>
        </w:rPr>
        <w:t>价差法是分别评估房地产在改变之前和改变之后状况下的价值，将两者之差作为房地产价值减损额或价值增加额的方法。损失资本化法是预测未来各年的净收益减少额或收人减少额、运营费用增加额，将其现值之和作为房地产价值减损额的方法。</w:t>
      </w:r>
    </w:p>
    <w:p w14:paraId="6EA0273F" w14:textId="77777777" w:rsidR="00796C46" w:rsidRDefault="00796C46" w:rsidP="00E73797">
      <w:pPr>
        <w:pStyle w:val="ab"/>
        <w:spacing w:before="62" w:after="62"/>
        <w:ind w:firstLine="482"/>
      </w:pPr>
      <w:r>
        <w:t>5.8 房地产转让估价</w:t>
      </w:r>
    </w:p>
    <w:p w14:paraId="110E8C48" w14:textId="77777777" w:rsidR="00796C46" w:rsidRDefault="00796C46" w:rsidP="00796C46">
      <w:pPr>
        <w:pStyle w:val="13"/>
        <w:ind w:firstLine="482"/>
      </w:pPr>
      <w:r w:rsidRPr="00D47B5F">
        <w:rPr>
          <w:b/>
          <w:bCs/>
        </w:rPr>
        <w:t xml:space="preserve">5.8.1~5.8.5 </w:t>
      </w:r>
      <w:r>
        <w:t>本节规定了房地产转让估价的种类、内容、价值类型，以及一些特殊情况下的处理等。</w:t>
      </w:r>
    </w:p>
    <w:p w14:paraId="76286B50" w14:textId="77777777" w:rsidR="00796C46" w:rsidRDefault="00796C46" w:rsidP="00796C46">
      <w:pPr>
        <w:pStyle w:val="13"/>
      </w:pPr>
      <w:r>
        <w:rPr>
          <w:rFonts w:hint="eastAsia"/>
        </w:rPr>
        <w:t>房地产转让包括房屋所有权转让和土地使用权转让，是指房屋所有权人或土地使用权人通过买卖、互换、赠予或者其他合法方式将其房屋所有权和土地使用权（简称房地产）转移给他人的行为。其他合法方式包括用房地产作价出资、作价人股、抵偿债务等。</w:t>
      </w:r>
    </w:p>
    <w:p w14:paraId="07A9CF02" w14:textId="77777777" w:rsidR="00796C46" w:rsidRDefault="00796C46" w:rsidP="00E73797">
      <w:pPr>
        <w:pStyle w:val="ab"/>
        <w:spacing w:before="62" w:after="62"/>
        <w:ind w:firstLine="482"/>
      </w:pPr>
      <w:r>
        <w:t>5.9 房地产租赁估价</w:t>
      </w:r>
    </w:p>
    <w:p w14:paraId="1877256B" w14:textId="77777777" w:rsidR="00796C46" w:rsidRDefault="00796C46" w:rsidP="00796C46">
      <w:pPr>
        <w:pStyle w:val="13"/>
        <w:ind w:firstLine="482"/>
      </w:pPr>
      <w:r w:rsidRPr="00D47B5F">
        <w:rPr>
          <w:b/>
          <w:bCs/>
        </w:rPr>
        <w:t>5.9.1~5.9.3</w:t>
      </w:r>
      <w:r>
        <w:t xml:space="preserve"> 本节规定了房地产租赁估价的种类、租金类型、价值类型以及应注意的问题等。</w:t>
      </w:r>
    </w:p>
    <w:p w14:paraId="2DE33B5C" w14:textId="77777777" w:rsidR="00796C46" w:rsidRDefault="00796C46" w:rsidP="00796C46">
      <w:pPr>
        <w:pStyle w:val="13"/>
      </w:pPr>
      <w:r>
        <w:rPr>
          <w:rFonts w:hint="eastAsia"/>
        </w:rPr>
        <w:t>房地产租赁包括房屋租赁、土地租赁和土地使用权出租，是指房屋所有权人、土地所有权人、土地使用权人作为出租人将其房地产出租给承租人使用，由承租人向出租人支付租金的行为。</w:t>
      </w:r>
    </w:p>
    <w:p w14:paraId="016908D3" w14:textId="77777777" w:rsidR="00796C46" w:rsidRDefault="00796C46" w:rsidP="00E73797">
      <w:pPr>
        <w:pStyle w:val="ab"/>
        <w:spacing w:before="62" w:after="62"/>
        <w:ind w:firstLine="482"/>
      </w:pPr>
      <w:r>
        <w:t>5.10 建设用地使用权出让估价</w:t>
      </w:r>
    </w:p>
    <w:p w14:paraId="3584364F" w14:textId="72711E90" w:rsidR="00796C46" w:rsidRDefault="00796C46" w:rsidP="00796C46">
      <w:pPr>
        <w:pStyle w:val="13"/>
        <w:ind w:firstLine="482"/>
      </w:pPr>
      <w:r w:rsidRPr="00D47B5F">
        <w:rPr>
          <w:b/>
          <w:bCs/>
        </w:rPr>
        <w:t>5.10.1</w:t>
      </w:r>
      <w:r>
        <w:rPr>
          <w:b/>
          <w:bCs/>
        </w:rPr>
        <w:t xml:space="preserve"> </w:t>
      </w:r>
      <w:r w:rsidRPr="00D47B5F">
        <w:rPr>
          <w:b/>
          <w:bCs/>
        </w:rPr>
        <w:t>~5.10.3</w:t>
      </w:r>
      <w:r>
        <w:t xml:space="preserve">  过去的建设用地使用权出让估价，主要是出让人需要的估价。本节规定建设用地使用权出让估价不仅包括出让人需要的估价，还包括意向用地者</w:t>
      </w:r>
      <w:r>
        <w:lastRenderedPageBreak/>
        <w:t>需要的估价</w:t>
      </w:r>
      <w:r w:rsidR="003068F8">
        <w:t>，</w:t>
      </w:r>
      <w:r>
        <w:t>并对这些估价中的价值类型等不同于其他估价的特别之处作了规定。</w:t>
      </w:r>
    </w:p>
    <w:p w14:paraId="2C243C42" w14:textId="77777777" w:rsidR="00796C46" w:rsidRDefault="00796C46" w:rsidP="00796C46">
      <w:pPr>
        <w:pStyle w:val="13"/>
        <w:ind w:firstLine="482"/>
      </w:pPr>
      <w:r w:rsidRPr="00D47B5F">
        <w:rPr>
          <w:b/>
          <w:bCs/>
        </w:rPr>
        <w:t>5.10.5、5.10.6</w:t>
      </w:r>
      <w:r>
        <w:t xml:space="preserve"> 建设用地使用权出让估价通常采用假设开发法。在假设开发法中，选择的估价前提（业主自行开发前提、自愿转让开发前提、被迫转让开发前提）不同，估价结果会有所不同，但估价前提不是随意选择的。为此，该两条针对不同情形的建设用地使用权出让估价，对假设开发法的估价前提选择作了明确规定。</w:t>
      </w:r>
    </w:p>
    <w:p w14:paraId="052880D4" w14:textId="77777777" w:rsidR="00796C46" w:rsidRDefault="00796C46" w:rsidP="00E73797">
      <w:pPr>
        <w:pStyle w:val="ab"/>
        <w:spacing w:before="62" w:after="62"/>
        <w:ind w:firstLine="482"/>
      </w:pPr>
      <w:r>
        <w:t>5.11 房地产投资基金物业估价</w:t>
      </w:r>
    </w:p>
    <w:p w14:paraId="7DE2F81D" w14:textId="77777777" w:rsidR="00796C46" w:rsidRDefault="00796C46" w:rsidP="00796C46">
      <w:pPr>
        <w:pStyle w:val="13"/>
        <w:ind w:firstLine="482"/>
      </w:pPr>
      <w:r w:rsidRPr="00D47B5F">
        <w:rPr>
          <w:b/>
          <w:bCs/>
        </w:rPr>
        <w:t>5.11.1~5.11.7</w:t>
      </w:r>
      <w:r>
        <w:t xml:space="preserve"> 本节规定了房地产技资基金物业估价的种类、内容，房地产投资信托基金物业价值评估的方法选择、原则以及应注意的问题等。</w:t>
      </w:r>
    </w:p>
    <w:p w14:paraId="07556C18" w14:textId="77777777" w:rsidR="00796C46" w:rsidRDefault="00796C46" w:rsidP="00796C46">
      <w:pPr>
        <w:pStyle w:val="13"/>
      </w:pPr>
      <w:r>
        <w:rPr>
          <w:rFonts w:hint="eastAsia"/>
        </w:rPr>
        <w:t>房地产投资信托基金运营管理包括房地产技资信托基金物业的收购、经营（即持有运营，如出租）和出售等。</w:t>
      </w:r>
    </w:p>
    <w:p w14:paraId="73209C6C" w14:textId="77777777" w:rsidR="00796C46" w:rsidRDefault="00796C46" w:rsidP="00E73797">
      <w:pPr>
        <w:pStyle w:val="ab"/>
        <w:spacing w:before="62" w:after="62"/>
        <w:ind w:firstLine="482"/>
      </w:pPr>
      <w:r>
        <w:t>5.12 为财务报告服务的房地产估价</w:t>
      </w:r>
    </w:p>
    <w:p w14:paraId="451DD4EB" w14:textId="77777777" w:rsidR="00796C46" w:rsidRDefault="00796C46" w:rsidP="00796C46">
      <w:pPr>
        <w:pStyle w:val="13"/>
        <w:ind w:firstLine="482"/>
      </w:pPr>
      <w:r w:rsidRPr="00D47B5F">
        <w:rPr>
          <w:b/>
          <w:bCs/>
        </w:rPr>
        <w:t>5.12.1~5.12.4</w:t>
      </w:r>
      <w:r>
        <w:t xml:space="preserve"> 本节规定了为财务报告服务的房地产估价的种类、内容、价值类型、价值时点、方法等。</w:t>
      </w:r>
    </w:p>
    <w:p w14:paraId="247E149D" w14:textId="77777777" w:rsidR="00796C46" w:rsidRDefault="00796C46" w:rsidP="00796C46">
      <w:pPr>
        <w:pStyle w:val="13"/>
      </w:pPr>
      <w:r>
        <w:rPr>
          <w:rFonts w:hint="eastAsia"/>
        </w:rPr>
        <w:t>会计上的公允价值，与估价上的市场价值相当，是指在公平交易中，熟悉情况的交易双方自愿进行资产交换的金额。现值是指预计从资产持续使用和最终处置中所产生的未来净现金流人量的折现金额。可变现净值是指资产正常对外销售所能收到现金或者现金等价物的金额扣减该资产至完工时估计将要发生的成本、估计的销售费用以及相关税费后的金额。重置成本是指现在购买相同或相似的资产所需支付的现金或者现金等价物的金额。</w:t>
      </w:r>
    </w:p>
    <w:p w14:paraId="13E98B54" w14:textId="77777777" w:rsidR="00796C46" w:rsidRDefault="00796C46" w:rsidP="00E73797">
      <w:pPr>
        <w:pStyle w:val="ab"/>
        <w:spacing w:before="62" w:after="62"/>
        <w:ind w:firstLine="482"/>
      </w:pPr>
      <w:r>
        <w:t>5.13 企业各种经济活动涉及的房地产估价</w:t>
      </w:r>
    </w:p>
    <w:p w14:paraId="0192C327" w14:textId="77777777" w:rsidR="00796C46" w:rsidRDefault="00796C46" w:rsidP="00796C46">
      <w:pPr>
        <w:pStyle w:val="13"/>
        <w:ind w:firstLine="482"/>
      </w:pPr>
      <w:r w:rsidRPr="00D47B5F">
        <w:rPr>
          <w:b/>
          <w:bCs/>
        </w:rPr>
        <w:t>5.13.1</w:t>
      </w:r>
      <w:r>
        <w:rPr>
          <w:b/>
          <w:bCs/>
        </w:rPr>
        <w:t xml:space="preserve"> </w:t>
      </w:r>
      <w:r w:rsidRPr="00D47B5F">
        <w:rPr>
          <w:b/>
          <w:bCs/>
        </w:rPr>
        <w:t>~5.13.5</w:t>
      </w:r>
      <w:r>
        <w:t xml:space="preserve"> 本节规定了企业各种经济活动涉及的房地产估价的种类以及应注意的问题等。</w:t>
      </w:r>
    </w:p>
    <w:p w14:paraId="76555408" w14:textId="77777777" w:rsidR="00796C46" w:rsidRDefault="00796C46" w:rsidP="00796C46">
      <w:pPr>
        <w:pStyle w:val="13"/>
      </w:pPr>
      <w:r>
        <w:rPr>
          <w:rFonts w:hint="eastAsia"/>
        </w:rPr>
        <w:t>企业改制是指国有企业或者集体企业、事业单位整体或者部分改为有限责任公司、股份有限公司或者股份合作制等形式。企业资产重组是指根据业务重组的需要，对同一企业内部或者不同企业之间现存的各类资产进行重新组合。企业上市是指股份有限公司按照法律法规的规定及证券监督管理机构要求的程序在证券交易所公开发行股票并挂牌交易，为企业发展融通资金的行为。企业产权转让是指企业产权持有者将所持有的企业产权有偿转移给他人（自然人、法人或者其他组织）的行为。在企业产权转让中，转让人需要估价为其确定企业产权转让价格提供参考依据，受让人需要估价为其确定出价或报价提供参考依据。企业租赁是指企业所有者在一定期限内，以收取租金的形式，将企业整体资产或者部分资产的经营使用权转让给其他经营使用者的行为。企业合资是指两个以上企业共同出资成立另外公司并分享股权，以进行某些新产品、新技术或新事业的开发。其中，企业以房地产或者房地产为主的非货币</w:t>
      </w:r>
      <w:r>
        <w:rPr>
          <w:rFonts w:hint="eastAsia"/>
        </w:rPr>
        <w:lastRenderedPageBreak/>
        <w:t>财产出资的，通常需要房地产估价服务。企业合作是指不同企业之间通过协议或其他联合方式，共同开发产品或市场，</w:t>
      </w:r>
    </w:p>
    <w:p w14:paraId="42859ED5" w14:textId="59C13E90" w:rsidR="00796C46" w:rsidRDefault="00796C46" w:rsidP="00796C46">
      <w:pPr>
        <w:pStyle w:val="13"/>
      </w:pPr>
      <w:r>
        <w:rPr>
          <w:rFonts w:hint="eastAsia"/>
        </w:rPr>
        <w:t>共享利益，以获取整体优势的经营方式。例如，一方提供土地、房屋，另一方或多方提供资金、设备，开展有关合资、合作，然后各方按照一定比例分配相关经济利益。在这种情况下，需要评估所提供的土地、房屋的价值，以便与所提供的资金、设备的价值进行比较，从而为确定各方的经济利益分配比例提供参考依据。企业对外投资是指企业以货币、实物、无形资产或者购买股票、债券等有价证券方式向其他单位投资的行为。其中，企业以房地产或者房地产为主的非货币财产对外投资的，通常需要房地产估价服务。企业合并是指两个以上企业合并为一个企业的行为。企业合并有吸收合并和新设合并。吸收合并是指两个以上企业合并时，其中一个企业吸收了其他企业而存续，被吸收的企业解散。新设合并是指两个以上企业合并设立一个新的企业，合并各方解散。在现实中</w:t>
      </w:r>
      <w:r w:rsidR="003068F8">
        <w:rPr>
          <w:rFonts w:hint="eastAsia"/>
        </w:rPr>
        <w:t>，</w:t>
      </w:r>
      <w:r>
        <w:t>一个企业吸收其他企业的动机之一，是看中了被吸收企业的场地（土地或房屋），以取得企业发展所需要的场所。在这种情况下，根据具体情况，需要评估被吸收企业或者其中房地产的价值。企业分立是指一个企业分为两个以上企业的行为。企业分立的，其财产需要作相应的分割，从而需要估价为财产分割提供参考依据。企业清算是指企业违反法律法规被依法关闭、出资人决定</w:t>
      </w:r>
      <w:r>
        <w:rPr>
          <w:rFonts w:hint="eastAsia"/>
        </w:rPr>
        <w:t>解散、被依法宣告破产、公司章程规定的营业期限届满或公司章程规定的其他解散事由出现等情况下的企业财产清理、处理等。</w:t>
      </w:r>
    </w:p>
    <w:p w14:paraId="1B2B345D" w14:textId="77777777" w:rsidR="00796C46" w:rsidRDefault="00796C46" w:rsidP="00E73797">
      <w:pPr>
        <w:pStyle w:val="ab"/>
        <w:spacing w:before="62" w:after="62"/>
        <w:ind w:firstLine="482"/>
      </w:pPr>
      <w:r>
        <w:t>5.14 房地产纠纷估价</w:t>
      </w:r>
    </w:p>
    <w:p w14:paraId="6384853C" w14:textId="77777777" w:rsidR="00796C46" w:rsidRDefault="00796C46" w:rsidP="00796C46">
      <w:pPr>
        <w:pStyle w:val="13"/>
        <w:ind w:firstLine="482"/>
      </w:pPr>
      <w:r w:rsidRPr="00D47B5F">
        <w:rPr>
          <w:b/>
          <w:bCs/>
        </w:rPr>
        <w:t>5.14.1~5.14.3</w:t>
      </w:r>
      <w:r>
        <w:t xml:space="preserve"> 房地产纠纷是特定主体基于与房地产相关的利益冲突而产生的一种双边对抗行为。本节规定了房地产纠纷估价的种类以及应注意的问题等。其中“应根据纠纷的类型，按相应估价目的的房地产估价进行”，是指对评估价值有争议的，应按照该评估价值对应的估价目的、估价对象、价值时点、价值类型等进行，除非原评估时对它们的确定有误；对赔偿金额有争议的，应按照相应的损害赔偿估价进行；对征收、征用补偿金额有争议的，应按照相应的征收、征用估价进行；对交易价格有争议的，应按照相应的转让、租赁等交易估价进行。</w:t>
      </w:r>
    </w:p>
    <w:p w14:paraId="6DF84A80" w14:textId="77777777" w:rsidR="00796C46" w:rsidRDefault="00796C46" w:rsidP="00E73797">
      <w:pPr>
        <w:pStyle w:val="ab"/>
        <w:spacing w:before="62" w:after="62"/>
        <w:ind w:firstLine="482"/>
      </w:pPr>
      <w:r>
        <w:t>5.15 其他目的的房地产估价</w:t>
      </w:r>
    </w:p>
    <w:p w14:paraId="694F0C6E" w14:textId="77777777" w:rsidR="00796C46" w:rsidRDefault="00796C46" w:rsidP="00796C46">
      <w:pPr>
        <w:pStyle w:val="13"/>
        <w:ind w:firstLine="482"/>
      </w:pPr>
      <w:r w:rsidRPr="00D47B5F">
        <w:rPr>
          <w:b/>
          <w:bCs/>
        </w:rPr>
        <w:t>5.15.1~5.15.6</w:t>
      </w:r>
      <w:r>
        <w:t xml:space="preserve"> 本节对分家析产估价，为出境提供财产证明的估价，为行政机关处理、纪律检查部门查处、检察机关立案等服务的估价，改变土地使用条件补地价评估，国有土地上房屋征收预评估等目的的房地产估价与其他目的的估价不同之处或特别需要注意的方面</w:t>
      </w:r>
      <w:proofErr w:type="gramStart"/>
      <w:r>
        <w:t>作出</w:t>
      </w:r>
      <w:proofErr w:type="gramEnd"/>
      <w:r>
        <w:t>了规定。</w:t>
      </w:r>
    </w:p>
    <w:p w14:paraId="189CC296" w14:textId="77777777" w:rsidR="00796C46" w:rsidRDefault="00796C46" w:rsidP="00796C46">
      <w:pPr>
        <w:pStyle w:val="13"/>
      </w:pPr>
      <w:r>
        <w:rPr>
          <w:rFonts w:hint="eastAsia"/>
        </w:rPr>
        <w:t>分家析产主要是因家庭成员不能够再在一起生活，而要求分割家庭共有财产。主要有离婚、继承导致的分家析产。</w:t>
      </w:r>
    </w:p>
    <w:p w14:paraId="50E1BA2D" w14:textId="77777777" w:rsidR="00796C46" w:rsidRDefault="00796C46" w:rsidP="00796C46">
      <w:pPr>
        <w:pStyle w:val="13"/>
      </w:pPr>
      <w:r>
        <w:rPr>
          <w:rFonts w:hint="eastAsia"/>
        </w:rPr>
        <w:lastRenderedPageBreak/>
        <w:t>为行政机关处理、纪律检查部门查处、检察机关立案等服务的估价中，应特别注意价值时点的确定，因为房地产市场是变化的，价值时点不同，估价对象的价值或价格可能差异很大。</w:t>
      </w:r>
    </w:p>
    <w:p w14:paraId="7EB02756" w14:textId="77777777" w:rsidR="00796C46" w:rsidRDefault="00796C46" w:rsidP="00AF7342">
      <w:pPr>
        <w:pStyle w:val="a9"/>
        <w:spacing w:before="62" w:after="62"/>
      </w:pPr>
      <w:r>
        <w:t>6 估价结果</w:t>
      </w:r>
    </w:p>
    <w:p w14:paraId="46E20A06" w14:textId="77777777" w:rsidR="00796C46" w:rsidRDefault="00796C46" w:rsidP="00796C46">
      <w:pPr>
        <w:pStyle w:val="13"/>
        <w:ind w:firstLine="482"/>
      </w:pPr>
      <w:r w:rsidRPr="00D47B5F">
        <w:rPr>
          <w:b/>
          <w:bCs/>
        </w:rPr>
        <w:t>6.0.1</w:t>
      </w:r>
      <w:r>
        <w:t xml:space="preserve"> 估价结果是估价的最终结论，通常是人们最关注的。为了避免估价结果仅给出评估价值因信息不够而易造成误解，本条规定估价结果不仅应包括评估价值，还应包括相关专业意见。</w:t>
      </w:r>
    </w:p>
    <w:p w14:paraId="68A764B7" w14:textId="77777777" w:rsidR="00796C46" w:rsidRDefault="00796C46" w:rsidP="00796C46">
      <w:pPr>
        <w:pStyle w:val="13"/>
        <w:ind w:firstLine="482"/>
      </w:pPr>
      <w:r w:rsidRPr="00D47B5F">
        <w:rPr>
          <w:b/>
          <w:bCs/>
        </w:rPr>
        <w:t>6.0.2</w:t>
      </w:r>
      <w:r>
        <w:t xml:space="preserve"> 为了保证测算结果没有错误，以及不同估价方法的测算结果之间的差异是正常合理的，本条规定在确定评估价值之前，应对所选用的估价方法的测算结果进行校核和比较分析。</w:t>
      </w:r>
    </w:p>
    <w:p w14:paraId="78CFA6D4" w14:textId="77777777" w:rsidR="00796C46" w:rsidRDefault="00796C46" w:rsidP="00796C46">
      <w:pPr>
        <w:pStyle w:val="13"/>
        <w:ind w:firstLine="482"/>
      </w:pPr>
      <w:r w:rsidRPr="00D47B5F">
        <w:rPr>
          <w:b/>
          <w:bCs/>
        </w:rPr>
        <w:t>6.0.3</w:t>
      </w:r>
      <w:r>
        <w:t xml:space="preserve"> 本条列举了可能造成测算结果出现错误的主要方面及不同估价方法的测算结果之间差异的主要原因。</w:t>
      </w:r>
    </w:p>
    <w:p w14:paraId="514017DD" w14:textId="79374486" w:rsidR="00796C46" w:rsidRDefault="00796C46" w:rsidP="00796C46">
      <w:pPr>
        <w:pStyle w:val="13"/>
      </w:pPr>
      <w:r>
        <w:rPr>
          <w:rFonts w:hint="eastAsia"/>
        </w:rPr>
        <w:t>不同估价方法的估价对象财产范围的一致性，是指不同估价方法所隐含的估价对象</w:t>
      </w:r>
      <w:r>
        <w:t xml:space="preserve"> 财产范围是否相同。实际估价中容易忽略这一点，往往造成估价错误。例如，评估某个 酒店的价值同时选用了收益法和成本法，收益法的测算结果可能是包含了家具等动产和 无形资产的整体资产价值，而成本法的测算结果可能仅是土地和建筑物等不动产的价值</w:t>
      </w:r>
      <w:r w:rsidR="003068F8">
        <w:t>，</w:t>
      </w:r>
      <w:r>
        <w:t>因此，收益法的估价对象财产范围与成本法的估价对象财产范围实际上是不同的。</w:t>
      </w:r>
    </w:p>
    <w:p w14:paraId="22E05513" w14:textId="77777777" w:rsidR="00796C46" w:rsidRDefault="00796C46" w:rsidP="00796C46">
      <w:pPr>
        <w:pStyle w:val="13"/>
      </w:pPr>
      <w:r>
        <w:rPr>
          <w:rFonts w:hint="eastAsia"/>
        </w:rPr>
        <w:t>房地产市场状况的特殊性，是指房地产市场是否正常、过热或不景气。在不同的房地产市场状况下，比较法、收益法、成本法等估价方法的测算结果的高低差异通常是不同的。例如，在房地产市场过热下，比较法的测算结果通常最高；在房地产市场不景气下，比较法的测算结果通常最低。</w:t>
      </w:r>
    </w:p>
    <w:p w14:paraId="132C80F0" w14:textId="77777777" w:rsidR="00796C46" w:rsidRDefault="00796C46" w:rsidP="00796C46">
      <w:pPr>
        <w:pStyle w:val="13"/>
        <w:ind w:firstLine="482"/>
      </w:pPr>
      <w:r w:rsidRPr="00D47B5F">
        <w:rPr>
          <w:b/>
          <w:bCs/>
        </w:rPr>
        <w:t>6.0.5</w:t>
      </w:r>
      <w:r>
        <w:t xml:space="preserve"> 在同时选用两种或两种以上估价方法进行估价的情况下，根据估价目的的特殊要求，可以将其中一种估价方法的测算结果作为综合测算结果。例如，为征收补偿的需要，同时选用比较法、收益法和成本法对被征收房屋价值进行评估，在比较法的测算结果最高的情况下，可以将比较法的测算结果作为综合测算结果，因为《国有土地上房屋征收与补偿条例》第十九条规定“对被征收房屋价值的补偿，不得低于房屋征收决定</w:t>
      </w:r>
      <w:r>
        <w:rPr>
          <w:rFonts w:hint="eastAsia"/>
        </w:rPr>
        <w:t>公告之日被征收房屋类似房地产的市场价格”。而如果在这种情况下将比较法、收益法和成本法的测算结果采用简单算术平均或加权算术平均等方法计算出综合测算结果，则最终评估价值就会低于房屋征收决定公告之日被征收房屋类似房地产的市场价格。得出综合测算结果的方法和理由，应包括采用的是简单算术平均、加权算术平均，还是其他方法，以及采用其中某种方法的依据是什么；采用加权算术平均的，各个测算结果的权重是多少，以及确定各个权重的依据是什么。仅将其中一种估价方法的测算结果作为综合测算结果的，应充分说明这样做是根据估价目</w:t>
      </w:r>
      <w:r>
        <w:rPr>
          <w:rFonts w:hint="eastAsia"/>
        </w:rPr>
        <w:lastRenderedPageBreak/>
        <w:t>的的何种特殊要求。</w:t>
      </w:r>
    </w:p>
    <w:p w14:paraId="2D5B3228" w14:textId="77777777" w:rsidR="00796C46" w:rsidRDefault="00796C46" w:rsidP="00796C46">
      <w:pPr>
        <w:pStyle w:val="13"/>
        <w:ind w:firstLine="482"/>
      </w:pPr>
      <w:r w:rsidRPr="00F75239">
        <w:rPr>
          <w:b/>
          <w:bCs/>
        </w:rPr>
        <w:t>6.0.6</w:t>
      </w:r>
      <w:r>
        <w:t xml:space="preserve"> 测算结果是通过估价方法计算得出的，可能还有一些对估价对象价值或价格有影响的因素难以通过测算结果反映出来，因此需要对这些因素的影响程度进行</w:t>
      </w:r>
      <w:proofErr w:type="gramStart"/>
      <w:r>
        <w:t>考量</w:t>
      </w:r>
      <w:proofErr w:type="gramEnd"/>
      <w:r>
        <w:t>，对综合测算结果进行适当调整后确定最终评估价值。</w:t>
      </w:r>
    </w:p>
    <w:p w14:paraId="1EA00080" w14:textId="77777777" w:rsidR="00796C46" w:rsidRDefault="00796C46" w:rsidP="00796C46">
      <w:pPr>
        <w:pStyle w:val="13"/>
      </w:pPr>
      <w:r>
        <w:rPr>
          <w:rFonts w:hint="eastAsia"/>
        </w:rPr>
        <w:t>应承</w:t>
      </w:r>
      <w:proofErr w:type="gramStart"/>
      <w:r>
        <w:rPr>
          <w:rFonts w:hint="eastAsia"/>
        </w:rPr>
        <w:t>认任何</w:t>
      </w:r>
      <w:proofErr w:type="gramEnd"/>
      <w:r>
        <w:rPr>
          <w:rFonts w:hint="eastAsia"/>
        </w:rPr>
        <w:t>评估价值都有一定的误差，只是应将误差控制在合理的范围内。房地产的真实价值仅在理论上存在，实际中不可得知，评估价值有误差是不可避免的。即使是对高度、面积、重量等一般物理量的测量，被测量物和测量工具都是有形的实物，但也不可避免地存在误差。而房地产估价的被测量物是无形的价值或价格，测量工具</w:t>
      </w:r>
      <w:proofErr w:type="gramStart"/>
      <w:r>
        <w:rPr>
          <w:rFonts w:hint="eastAsia"/>
        </w:rPr>
        <w:t>是元形的</w:t>
      </w:r>
      <w:proofErr w:type="gramEnd"/>
      <w:r>
        <w:rPr>
          <w:rFonts w:hint="eastAsia"/>
        </w:rPr>
        <w:t>估价方法，因此房地产评估价值不仅存在误差，而且其误差要大于一般物理量测量的误差。</w:t>
      </w:r>
    </w:p>
    <w:p w14:paraId="7B3FEB6A" w14:textId="77777777" w:rsidR="00796C46" w:rsidRDefault="00796C46" w:rsidP="00796C46">
      <w:pPr>
        <w:pStyle w:val="13"/>
      </w:pPr>
      <w:r>
        <w:rPr>
          <w:rFonts w:hint="eastAsia"/>
        </w:rPr>
        <w:t>判断一个评估价值的误差大小，理论上是将它与真实价值进行比较，但由于真实价值不可得知，出现了替代它的两种选择：一是实际成交价格，二是其他估价专业人士（通常为公认的具有较高专业胜任能力的若干名房地产估价专家或估价专家委员会）的重新评估价值。评估价值一般是假定在正常交易情况下进行交易的最可能价格，而实际成交时的交易情况不一定是正常的，从而实际成交价格不一定是正常价格，另外成交日期与价值时点通常存在“时间错位”因此，一般不能直接用实际成交价格，而应采用其他估价专业人士对同一估价对象在同一估价目的、同一价值时点的重新评估价值。如果要用实际成交价格，则应对它进行适当修正或调整。</w:t>
      </w:r>
    </w:p>
    <w:p w14:paraId="5E373532" w14:textId="77777777" w:rsidR="00796C46" w:rsidRDefault="00796C46" w:rsidP="00AF7342">
      <w:pPr>
        <w:pStyle w:val="a9"/>
        <w:spacing w:before="62" w:after="62"/>
      </w:pPr>
      <w:r>
        <w:t>7 估价报告</w:t>
      </w:r>
    </w:p>
    <w:p w14:paraId="0700AA64" w14:textId="77777777" w:rsidR="00796C46" w:rsidRDefault="00796C46" w:rsidP="00796C46">
      <w:pPr>
        <w:pStyle w:val="13"/>
        <w:ind w:firstLine="482"/>
      </w:pPr>
      <w:r w:rsidRPr="00F75239">
        <w:rPr>
          <w:b/>
          <w:bCs/>
        </w:rPr>
        <w:t>7.0.1</w:t>
      </w:r>
      <w:r>
        <w:t xml:space="preserve"> 估价报告是房地产估价机构和注册房地产估价师向估价委托人所做的关于估价情况和结果的正式陈述。理论上，估价报告有书面估价报告和口头估价报告。为了估价报告的严肃性、规范化等，本条规定估价报告应采取书面形式，即应为书面估价报告。</w:t>
      </w:r>
      <w:r>
        <w:rPr>
          <w:rFonts w:hint="eastAsia"/>
        </w:rPr>
        <w:t>估价报告真实，即估价报告应按事物的本来面目陈述事实、描述状况、说明情况，</w:t>
      </w:r>
      <w:r>
        <w:t>没有虚假记载。</w:t>
      </w:r>
    </w:p>
    <w:p w14:paraId="3F956F08" w14:textId="77777777" w:rsidR="00796C46" w:rsidRDefault="00796C46" w:rsidP="00796C46">
      <w:pPr>
        <w:pStyle w:val="13"/>
      </w:pPr>
      <w:r>
        <w:rPr>
          <w:rFonts w:hint="eastAsia"/>
        </w:rPr>
        <w:t>估价报告客观，即估价报告应不加个人偏见地进行叙述、分析和评论，得出的结论应有依据，没有误导</w:t>
      </w:r>
      <w:r>
        <w:t>'性陈述。</w:t>
      </w:r>
    </w:p>
    <w:p w14:paraId="62D1624B" w14:textId="77777777" w:rsidR="00796C46" w:rsidRDefault="00796C46" w:rsidP="00796C46">
      <w:pPr>
        <w:pStyle w:val="13"/>
      </w:pPr>
      <w:r>
        <w:rPr>
          <w:rFonts w:hint="eastAsia"/>
        </w:rPr>
        <w:t>估价报告准确，即估价报告中的估价基础数据应正确，用语应明确肯定、避免产生误解，对未予以核实的事项不得轻率写人，对难以确定的事项及其对估价结果的影响应予以说明，没有含糊其辞。</w:t>
      </w:r>
    </w:p>
    <w:p w14:paraId="15B4AFAA" w14:textId="77777777" w:rsidR="00796C46" w:rsidRDefault="00796C46" w:rsidP="00796C46">
      <w:pPr>
        <w:pStyle w:val="13"/>
      </w:pPr>
      <w:r>
        <w:rPr>
          <w:rFonts w:hint="eastAsia"/>
        </w:rPr>
        <w:t>估价报告完整，即估价报告应全面反映估价情况和结果，包含估价报告使用者所需要的必要信息及与其知识水平相适应的必要信息，正文内容和附件资料应齐全、配套，</w:t>
      </w:r>
      <w:r>
        <w:t>不得隐瞒事实，没有重大遗漏。</w:t>
      </w:r>
    </w:p>
    <w:p w14:paraId="4FC3CD1F" w14:textId="77777777" w:rsidR="00796C46" w:rsidRDefault="00796C46" w:rsidP="00796C46">
      <w:pPr>
        <w:pStyle w:val="13"/>
      </w:pPr>
      <w:r>
        <w:rPr>
          <w:rFonts w:hint="eastAsia"/>
        </w:rPr>
        <w:t>估价报告清晰，即估价报告应层次分明，用简洁的文字或图表对有关情况和结果进行归纳总结，避免不必要的重复，便于估价报告使用者理解和使用。</w:t>
      </w:r>
    </w:p>
    <w:p w14:paraId="25A0F93A" w14:textId="77777777" w:rsidR="00796C46" w:rsidRDefault="00796C46" w:rsidP="00796C46">
      <w:pPr>
        <w:pStyle w:val="13"/>
      </w:pPr>
      <w:r>
        <w:rPr>
          <w:rFonts w:hint="eastAsia"/>
        </w:rPr>
        <w:lastRenderedPageBreak/>
        <w:t>估价报告规范，即估价报告的制作应符合规定的格式，文字、图表等的使用应符合相应的标准，房地产估价术语及其他专业术语应符合《房地产估价基本术语标准》</w:t>
      </w:r>
      <w:r>
        <w:t>GB/T 50899 等有关规定。</w:t>
      </w:r>
    </w:p>
    <w:p w14:paraId="2B85ED2E" w14:textId="77777777" w:rsidR="00796C46" w:rsidRDefault="00796C46" w:rsidP="00796C46">
      <w:pPr>
        <w:pStyle w:val="13"/>
        <w:ind w:firstLine="482"/>
      </w:pPr>
      <w:r w:rsidRPr="00F75239">
        <w:rPr>
          <w:b/>
          <w:bCs/>
        </w:rPr>
        <w:t>7.0.2</w:t>
      </w:r>
      <w:r>
        <w:t xml:space="preserve"> 书面估价报告可分为叙述式估价报告和表格式估价报告。本条对叙述式估价报告的组成部分作了明确规定。</w:t>
      </w:r>
    </w:p>
    <w:p w14:paraId="4BE8BFA6" w14:textId="77777777" w:rsidR="00796C46" w:rsidRDefault="00796C46" w:rsidP="00796C46">
      <w:pPr>
        <w:pStyle w:val="13"/>
        <w:ind w:firstLine="482"/>
      </w:pPr>
      <w:r w:rsidRPr="00F75239">
        <w:rPr>
          <w:b/>
          <w:bCs/>
        </w:rPr>
        <w:t>7.0.3</w:t>
      </w:r>
      <w:r>
        <w:t xml:space="preserve"> 房地产抵押贷款前估价报告的内容，除了应包括一般估价报告的内容外，还应包括估价对象变现能力分析与风险提示。</w:t>
      </w:r>
    </w:p>
    <w:p w14:paraId="3B0D1726" w14:textId="77777777" w:rsidR="00796C46" w:rsidRDefault="00796C46" w:rsidP="00796C46">
      <w:pPr>
        <w:pStyle w:val="13"/>
        <w:ind w:firstLine="482"/>
      </w:pPr>
      <w:r w:rsidRPr="00F75239">
        <w:rPr>
          <w:b/>
          <w:bCs/>
        </w:rPr>
        <w:t>7.0.4</w:t>
      </w:r>
      <w:r>
        <w:t xml:space="preserve"> 本条为了更好地满足现实中估价委托人的需要和有关部门的要求等，规定可编制估价报告摘要。但是，编制估价报告摘要的，仍然应当撰写完整的估价报告，不得以估价报告摘要替代。</w:t>
      </w:r>
    </w:p>
    <w:p w14:paraId="003DF077" w14:textId="77777777" w:rsidR="00796C46" w:rsidRDefault="00796C46" w:rsidP="00796C46">
      <w:pPr>
        <w:pStyle w:val="13"/>
        <w:ind w:firstLine="482"/>
      </w:pPr>
      <w:r w:rsidRPr="00F75239">
        <w:rPr>
          <w:b/>
          <w:bCs/>
        </w:rPr>
        <w:t>7.0.5</w:t>
      </w:r>
      <w:r>
        <w:t xml:space="preserve"> 估价报告可分为估价结果报告和估价技术报告。估价结果报告应向估价委托人提供，但估价技术报告是否向估价委托人提供，应在房地产估价机构与估价委托人订立的书面估价委托合同中约定，房地产估价机构不能单方面决定不向估价委托人提供。估价委托合同中对是否向估价委托人提供估价技术报告未作约定或约定不明确的，如果估价委托人要求提供估价技术报告，则房地产估价机构应向其提供估价技术报告。</w:t>
      </w:r>
    </w:p>
    <w:p w14:paraId="633EA8AB" w14:textId="77777777" w:rsidR="00796C46" w:rsidRDefault="00796C46" w:rsidP="00796C46">
      <w:pPr>
        <w:pStyle w:val="13"/>
        <w:ind w:firstLine="482"/>
      </w:pPr>
      <w:r w:rsidRPr="00F75239">
        <w:rPr>
          <w:b/>
          <w:bCs/>
        </w:rPr>
        <w:t>7.0.6</w:t>
      </w:r>
      <w:r>
        <w:t xml:space="preserve"> 结合估价对象和估价目的给估价报告命名，如房地产抵押估价报告、房地产</w:t>
      </w:r>
      <w:r>
        <w:rPr>
          <w:rFonts w:hint="eastAsia"/>
        </w:rPr>
        <w:t>司法拍卖估价报告、被征收房屋价值评估报告、被征收房屋室内装饰装修价值评估报告、用于产权调换房屋价值评估报告、因征收房屋造成的停产停业损失评估报告、房地产价值减损评估报告等。</w:t>
      </w:r>
    </w:p>
    <w:p w14:paraId="75D9A51A" w14:textId="77777777" w:rsidR="00796C46" w:rsidRDefault="00796C46" w:rsidP="00796C46">
      <w:pPr>
        <w:pStyle w:val="13"/>
      </w:pPr>
      <w:r>
        <w:rPr>
          <w:rFonts w:hint="eastAsia"/>
        </w:rPr>
        <w:t>估价报告编号是出具估价报告的房地产估价机构对估价报告的编号，编号应有规则，</w:t>
      </w:r>
      <w:r>
        <w:t>以便于今后查找以及识别估价报告的真伪。</w:t>
      </w:r>
    </w:p>
    <w:p w14:paraId="399FBDC6" w14:textId="77777777" w:rsidR="00796C46" w:rsidRDefault="00796C46" w:rsidP="00796C46">
      <w:pPr>
        <w:pStyle w:val="13"/>
      </w:pPr>
      <w:r>
        <w:rPr>
          <w:rFonts w:hint="eastAsia"/>
        </w:rPr>
        <w:t>估价项目名称一般是根据估价对象的名称和估价目的来命名。估价对象没有名称的，</w:t>
      </w:r>
      <w:r>
        <w:t>可根据估价对象的位置和估价目的来命名。估价项目名称应简洁明了，避免过长的文字表述。</w:t>
      </w:r>
    </w:p>
    <w:p w14:paraId="40401AFD" w14:textId="77777777" w:rsidR="00796C46" w:rsidRDefault="00796C46" w:rsidP="00796C46">
      <w:pPr>
        <w:pStyle w:val="13"/>
      </w:pPr>
      <w:r>
        <w:rPr>
          <w:rFonts w:hint="eastAsia"/>
        </w:rPr>
        <w:t>本条要求写明的估价委托人的名称和房地产估价机构的名称，均应写明其全称。</w:t>
      </w:r>
    </w:p>
    <w:p w14:paraId="76582F61" w14:textId="77777777" w:rsidR="00796C46" w:rsidRDefault="00796C46" w:rsidP="00796C46">
      <w:pPr>
        <w:pStyle w:val="13"/>
        <w:ind w:firstLine="482"/>
      </w:pPr>
      <w:r w:rsidRPr="00F75239">
        <w:rPr>
          <w:b/>
          <w:bCs/>
        </w:rPr>
        <w:t>7.0.7</w:t>
      </w:r>
      <w:r>
        <w:t xml:space="preserve"> 致估价委托人函是房地产估价机构和注册房地产估价师正式地向估价委托人报告估价结果、呈送估价报告的文件，是一种商务公函，</w:t>
      </w:r>
      <w:proofErr w:type="gramStart"/>
      <w:r>
        <w:t>应内容</w:t>
      </w:r>
      <w:proofErr w:type="gramEnd"/>
      <w:r>
        <w:t>全面、前后一致、简明扼要，同时可起着估价报告摘要的作用。</w:t>
      </w:r>
    </w:p>
    <w:p w14:paraId="301E836A" w14:textId="77777777" w:rsidR="00796C46" w:rsidRDefault="00796C46" w:rsidP="00796C46">
      <w:pPr>
        <w:pStyle w:val="13"/>
        <w:ind w:firstLine="482"/>
      </w:pPr>
      <w:r w:rsidRPr="00F75239">
        <w:rPr>
          <w:b/>
          <w:bCs/>
        </w:rPr>
        <w:t>7.0.9</w:t>
      </w:r>
      <w:r>
        <w:t xml:space="preserve"> 要求目录按估价报告各个组成部分的前后次序列出其名称及对应的页码，目的是便于估价委托人或估价报告使用者对估价报告的框架和内容有一个总体了解，并容易找到其关注的内容。</w:t>
      </w:r>
    </w:p>
    <w:p w14:paraId="1DA457FF" w14:textId="77777777" w:rsidR="00796C46" w:rsidRDefault="00796C46" w:rsidP="00796C46">
      <w:pPr>
        <w:pStyle w:val="13"/>
        <w:ind w:firstLine="482"/>
      </w:pPr>
      <w:r w:rsidRPr="00F75239">
        <w:rPr>
          <w:b/>
          <w:bCs/>
        </w:rPr>
        <w:t>7.0.13</w:t>
      </w:r>
      <w:r>
        <w:t xml:space="preserve"> </w:t>
      </w:r>
      <w:proofErr w:type="gramStart"/>
      <w:r>
        <w:t>鉴证</w:t>
      </w:r>
      <w:proofErr w:type="gramEnd"/>
      <w:r>
        <w:t>性估价报告是房地产估价机构向估价委托人出具的起着价值证明作用的估价报告，其估价师声明的内容应按本条规定撰写，不得随意添加或删减。</w:t>
      </w:r>
    </w:p>
    <w:p w14:paraId="44D086FC" w14:textId="77777777" w:rsidR="00796C46" w:rsidRDefault="00796C46" w:rsidP="00796C46">
      <w:pPr>
        <w:pStyle w:val="13"/>
      </w:pPr>
      <w:r>
        <w:rPr>
          <w:rFonts w:hint="eastAsia"/>
        </w:rPr>
        <w:lastRenderedPageBreak/>
        <w:t>有关房地产估价标准具体列出，包括国家标准和相关专项标准。国家标准主要是《房地产估价规范》和《房地产估价基本术语标准》。相关专项标准主要是房地产估价行业主管部门或房地产估价行业组织针对特定估价目的制定的具体估价指导意见、办法等，如《房地产抵押估价指导意见》、《国有土地上房屋征收评估办法》等。</w:t>
      </w:r>
    </w:p>
    <w:p w14:paraId="0ED757FA" w14:textId="77777777" w:rsidR="00796C46" w:rsidRDefault="00796C46" w:rsidP="00796C46">
      <w:pPr>
        <w:pStyle w:val="13"/>
        <w:ind w:firstLine="482"/>
      </w:pPr>
      <w:r w:rsidRPr="00F75239">
        <w:rPr>
          <w:b/>
          <w:bCs/>
        </w:rPr>
        <w:t>7.0.16</w:t>
      </w:r>
      <w:r>
        <w:t xml:space="preserve"> 任何房地产估价都是有前提条件的，并且是在一定假设下</w:t>
      </w:r>
      <w:proofErr w:type="gramStart"/>
      <w:r>
        <w:t>作出</w:t>
      </w:r>
      <w:proofErr w:type="gramEnd"/>
      <w:r>
        <w:t>的，但估价假设应当是必要的、合理的、有依据的，而不是随意</w:t>
      </w:r>
      <w:proofErr w:type="gramStart"/>
      <w:r>
        <w:t>作出</w:t>
      </w:r>
      <w:proofErr w:type="gramEnd"/>
      <w:r>
        <w:t>的，更不得为了规避应尽的审慎检查资料、尽职调查情况等勤勉尽责估价义务而胡乱假设，或者为了高估、低估估价对象的价值或价格而胡乱假设。</w:t>
      </w:r>
    </w:p>
    <w:p w14:paraId="7656D0E8" w14:textId="77777777" w:rsidR="00796C46" w:rsidRDefault="00796C46" w:rsidP="00796C46">
      <w:pPr>
        <w:pStyle w:val="13"/>
      </w:pPr>
      <w:r>
        <w:rPr>
          <w:rFonts w:hint="eastAsia"/>
        </w:rPr>
        <w:t>一般假设应建立在对估价所依据的资料进行了审慎检查、对估价对象状况进行了必要关注的基础上。尽管有关法律、法规规定或在估价委托合同中约定估价委托人应如实提供估价所必需的资料并对其合法性、真实性、准确性和完整性负责，以及房地产估价机构和注册房地产估价师估价所依据的资料进行了审慎检查，但如果未予以核实，就不能简单地认为估价委托人提供的资料属实无误，而应</w:t>
      </w:r>
      <w:proofErr w:type="gramStart"/>
      <w:r>
        <w:rPr>
          <w:rFonts w:hint="eastAsia"/>
        </w:rPr>
        <w:t>作出</w:t>
      </w:r>
      <w:proofErr w:type="gramEnd"/>
      <w:r>
        <w:rPr>
          <w:rFonts w:hint="eastAsia"/>
        </w:rPr>
        <w:t>相应的假设。</w:t>
      </w:r>
    </w:p>
    <w:p w14:paraId="7B99523B" w14:textId="77777777" w:rsidR="00796C46" w:rsidRDefault="00796C46" w:rsidP="00796C46">
      <w:pPr>
        <w:pStyle w:val="13"/>
        <w:ind w:firstLine="482"/>
      </w:pPr>
      <w:r w:rsidRPr="00F75239">
        <w:rPr>
          <w:b/>
          <w:bCs/>
        </w:rPr>
        <w:t>7.0.17</w:t>
      </w:r>
      <w:r>
        <w:rPr>
          <w:b/>
          <w:bCs/>
        </w:rPr>
        <w:t xml:space="preserve"> </w:t>
      </w:r>
      <w:r>
        <w:t>本规范将</w:t>
      </w:r>
      <w:proofErr w:type="gramStart"/>
      <w:r>
        <w:t>原规范</w:t>
      </w:r>
      <w:proofErr w:type="gramEnd"/>
      <w:r>
        <w:t>中的“估价人员”明确为注册房地产估价师或房地产估价师。非注册房地产估价师只能作为“参与估价人员”协助或帮助注册房地产估价师开展有关工作，并且其工作的质量和后果均由注册房地产估价师承担。这样规定，一是为了避免现实中以为参与估价工作的人员都是估价人员的误解，用一般人员代替注册房地产估价师；二是杜绝注册房地产估价师不亲自估价的现象；三是加大注册房地产估价师的责任，同时提高其地位。</w:t>
      </w:r>
    </w:p>
    <w:p w14:paraId="43F4AEAC" w14:textId="77777777" w:rsidR="00796C46" w:rsidRDefault="00796C46" w:rsidP="00796C46">
      <w:pPr>
        <w:pStyle w:val="13"/>
        <w:ind w:firstLine="482"/>
      </w:pPr>
      <w:r w:rsidRPr="00F75239">
        <w:rPr>
          <w:b/>
          <w:bCs/>
        </w:rPr>
        <w:t>7.0.18</w:t>
      </w:r>
      <w:r>
        <w:t xml:space="preserve"> 不论估价委托合同中约定是否向估价委托人提供估价技术报告，注册房地产估价师和房地产估价机构都应严格按照本条的规定完成估价技术报告，并将其存档，以便于解决日后可能出现的估价纠纷，以及供房地产估价行业主管部门和房地产估价行业组织检查等。</w:t>
      </w:r>
    </w:p>
    <w:p w14:paraId="1CDDE576" w14:textId="77777777" w:rsidR="00796C46" w:rsidRDefault="00796C46" w:rsidP="00796C46">
      <w:pPr>
        <w:pStyle w:val="13"/>
        <w:ind w:firstLine="482"/>
      </w:pPr>
      <w:r w:rsidRPr="00F75239">
        <w:rPr>
          <w:b/>
          <w:bCs/>
        </w:rPr>
        <w:t>7.0.19</w:t>
      </w:r>
      <w:r>
        <w:t xml:space="preserve"> 附件是估价报告的重要组成部分，不是可有可无，其中一些还是重要的估价依据，如估价委托书、估价对象实地查勘情况、估价对象权属证明、估价对象法定优先受偿</w:t>
      </w:r>
      <w:proofErr w:type="gramStart"/>
      <w:r>
        <w:t>款调查</w:t>
      </w:r>
      <w:proofErr w:type="gramEnd"/>
      <w:r>
        <w:t>情况、专业帮助情况和相关专业意见等。因此，估价报告中附件的内容应符合本条的规定，应齐全、完整、真实。</w:t>
      </w:r>
    </w:p>
    <w:p w14:paraId="07B8A5B4" w14:textId="77777777" w:rsidR="00796C46" w:rsidRDefault="00796C46" w:rsidP="00796C46">
      <w:pPr>
        <w:pStyle w:val="13"/>
      </w:pPr>
      <w:r>
        <w:rPr>
          <w:rFonts w:hint="eastAsia"/>
        </w:rPr>
        <w:t>注册房地产估价师的估价资格证书目前是房地产估价师注册证书。</w:t>
      </w:r>
    </w:p>
    <w:p w14:paraId="51B9A8F4" w14:textId="77777777" w:rsidR="00796C46" w:rsidRDefault="00796C46" w:rsidP="00796C46">
      <w:pPr>
        <w:pStyle w:val="13"/>
        <w:ind w:firstLine="482"/>
      </w:pPr>
      <w:r w:rsidRPr="00F75239">
        <w:rPr>
          <w:b/>
          <w:bCs/>
        </w:rPr>
        <w:t>7.0.20</w:t>
      </w:r>
      <w:r>
        <w:t xml:space="preserve"> 变现能力是指在没有过多损失的条件下，将非现金财产转换为现金的速度。对变现能力的理解，关键是注意"在没有过多损失的条件下"。因为变现能力是与变现价格相联系的。可以说没有卖不出去的商品，只有卖不出去的价格。只要价格低到一定程度，总会有人购买。可见，如果没有价格的约束，任何商品都能很快变现。房地产由于具有独一无二、价值较大、易受限制等特性，加上交易手续较复杂、交易税费较多等原因，使得同一宗房地产的买卖不会频繁发生，</w:t>
      </w:r>
      <w:proofErr w:type="gramStart"/>
      <w:r>
        <w:t>一</w:t>
      </w:r>
      <w:proofErr w:type="gramEnd"/>
      <w:r>
        <w:t>且需要出售，通常需要</w:t>
      </w:r>
      <w:r>
        <w:lastRenderedPageBreak/>
        <w:t>较长时间才能脱手。例如，需要数月甚至一两年才能找到合适的买者，讨</w:t>
      </w:r>
      <w:r>
        <w:rPr>
          <w:rFonts w:hint="eastAsia"/>
        </w:rPr>
        <w:t>价还价的时间一般也较长。因此，房地产与股票、债券、黄金等相比，变现能力弱。当需要将房地产快速变现时，通常要以一定幅度的降价为代价才能实现；有时即使作了一定幅度的降价，在短期内也可能找不到买者。</w:t>
      </w:r>
    </w:p>
    <w:p w14:paraId="5A938C2E" w14:textId="2B846B2C" w:rsidR="00796C46" w:rsidRDefault="00796C46" w:rsidP="00796C46">
      <w:pPr>
        <w:pStyle w:val="13"/>
      </w:pPr>
      <w:r>
        <w:rPr>
          <w:rFonts w:hint="eastAsia"/>
        </w:rPr>
        <w:t>不同类型的房地产及在不同的房地产市场状况下，变现能力有所不同。影响某宗房地产变现能力的因素主要有：一是该房地产的通用性。所谓通用性，即是否常见、是否普遍使用。通常情况下，通用性越差的房地产，如用途越专业化的房地产，使用者的范围越窄，越不容易找到买者，变现能力会越弱。例如，厂房一般比住宅的变现能力弱</w:t>
      </w:r>
      <w:r w:rsidR="003068F8">
        <w:rPr>
          <w:rFonts w:hint="eastAsia"/>
        </w:rPr>
        <w:t>；</w:t>
      </w:r>
      <w:r>
        <w:t>厂房中，特殊厂房一般比标准厂房的变现能力弱。二是该房地产的独立使用性。所谓独立使用性，即能否单独地使用而不受限制。例如，某个单位大院内或厂区内的一幢房屋的独立使用性就不好，如果大门关闭，便难以出人。通常情况下，独立使用性越差的房地产，越妨碍房地产的使用，变现能力会越弱。三是该房地产</w:t>
      </w:r>
      <w:r>
        <w:rPr>
          <w:rFonts w:hint="eastAsia"/>
        </w:rPr>
        <w:t>的可分割转让性。所谓可分割转让性，是指在物理上、经济上是否可以分离开来使用。例如，保龄球馆的一个球道，高尔夫球场的一个球洞，工厂的一个车间，在物理上一般是</w:t>
      </w:r>
      <w:proofErr w:type="gramStart"/>
      <w:r>
        <w:rPr>
          <w:rFonts w:hint="eastAsia"/>
        </w:rPr>
        <w:t>不</w:t>
      </w:r>
      <w:proofErr w:type="gramEnd"/>
      <w:r>
        <w:rPr>
          <w:rFonts w:hint="eastAsia"/>
        </w:rPr>
        <w:t>耳分割转让的。此外</w:t>
      </w:r>
      <w:r w:rsidR="003068F8">
        <w:rPr>
          <w:rFonts w:hint="eastAsia"/>
        </w:rPr>
        <w:t>，</w:t>
      </w:r>
      <w:r>
        <w:t>由于价值越大的房地产变现能力越弱，所以容易分割转让的房地产，变现能力较强；反之，变现能力较弱。四是该房地产的区位。通常情况下，所处位置越偏僻、越不成熟区域的房地产，变现能力会越弱。例如，郊区的房地产一般比市区的房地产变现能力弱</w:t>
      </w:r>
      <w:r w:rsidR="003068F8">
        <w:t>，</w:t>
      </w:r>
      <w:r>
        <w:t>商圈外的商业用房一般比商圈内的商业用房变现能力弱。五是该房地产的开发程度。通常情况下，开发程度越低的房地</w:t>
      </w:r>
      <w:r>
        <w:rPr>
          <w:rFonts w:hint="eastAsia"/>
        </w:rPr>
        <w:t>产，不确定因素越多，变现能力会越弱。例如，生地、毛地一般比熟地的变现能力弱，在建工程一般比现房的变现能力弱。六是该房地产的价值大小。通常情况下，价值越大的房地产，购买所需要的资金越多，越不容易找到买者</w:t>
      </w:r>
      <w:r w:rsidR="003068F8">
        <w:rPr>
          <w:rFonts w:hint="eastAsia"/>
        </w:rPr>
        <w:t>，</w:t>
      </w:r>
      <w:r>
        <w:t>变现能力会越弱。例如，大型商场一般比小店铺的变现能力弱。七是该类房地产的市场状况。房地产市场越不景气，出售房地产会越困难，变现能力就越弱。例如，房地产在经济萧条时期一般比在经济繁荣时期的变现能力弱。</w:t>
      </w:r>
    </w:p>
    <w:p w14:paraId="69759DFF" w14:textId="77777777" w:rsidR="00796C46" w:rsidRDefault="00796C46" w:rsidP="00796C46">
      <w:pPr>
        <w:pStyle w:val="13"/>
        <w:ind w:firstLine="482"/>
      </w:pPr>
      <w:r w:rsidRPr="00F75239">
        <w:rPr>
          <w:b/>
          <w:bCs/>
        </w:rPr>
        <w:t>7.0.21</w:t>
      </w:r>
      <w:r>
        <w:t xml:space="preserve"> 表格式估价报告可比叙述式估价报告简明扼要一些，但并非是简单或省略的估价报告，其内容应包含叙述式估价报告应有的内容，两者的差别主要是表现形式上的</w:t>
      </w:r>
      <w:r>
        <w:rPr>
          <w:rFonts w:hint="eastAsia"/>
        </w:rPr>
        <w:t>不同。</w:t>
      </w:r>
    </w:p>
    <w:p w14:paraId="603B1EF2" w14:textId="77777777" w:rsidR="00796C46" w:rsidRDefault="00796C46" w:rsidP="00AF7342">
      <w:pPr>
        <w:pStyle w:val="a9"/>
        <w:spacing w:before="62" w:after="62"/>
      </w:pPr>
      <w:r>
        <w:t>8 估价职业道德</w:t>
      </w:r>
    </w:p>
    <w:p w14:paraId="571F058D" w14:textId="77777777" w:rsidR="00796C46" w:rsidRDefault="00796C46" w:rsidP="00796C46">
      <w:pPr>
        <w:pStyle w:val="13"/>
        <w:ind w:firstLine="482"/>
      </w:pPr>
      <w:r w:rsidRPr="00F75239">
        <w:rPr>
          <w:b/>
          <w:bCs/>
        </w:rPr>
        <w:t>8.0.1~8.0.8</w:t>
      </w:r>
      <w:r>
        <w:t xml:space="preserve"> 估价职业道德是房地产估价师和房地产估价机构在从事房地产估价活动时应遵守的道德规范和行为准则。它要求房地产估价师和房地产估价机构以良好的思想、态度、作风和行为去做好房地产估价工作。</w:t>
      </w:r>
    </w:p>
    <w:p w14:paraId="5C24D1AE" w14:textId="77777777" w:rsidR="00796C46" w:rsidRDefault="00796C46" w:rsidP="00796C46">
      <w:pPr>
        <w:pStyle w:val="13"/>
      </w:pPr>
      <w:r>
        <w:rPr>
          <w:rFonts w:hint="eastAsia"/>
        </w:rPr>
        <w:t>房地产估价师</w:t>
      </w:r>
      <w:proofErr w:type="gramStart"/>
      <w:r>
        <w:rPr>
          <w:rFonts w:hint="eastAsia"/>
        </w:rPr>
        <w:t>即使具有</w:t>
      </w:r>
      <w:proofErr w:type="gramEnd"/>
      <w:r>
        <w:rPr>
          <w:rFonts w:hint="eastAsia"/>
        </w:rPr>
        <w:t>扎实的估价专业知识和丰富的估价实践经验，但如果没有良好的估价职业道德，则估价结果难以客观、公平、合理。这不仅会损害估价利害</w:t>
      </w:r>
      <w:r>
        <w:rPr>
          <w:rFonts w:hint="eastAsia"/>
        </w:rPr>
        <w:lastRenderedPageBreak/>
        <w:t>关系人的合法权益，而且会借着估价这种“公正”的外衣扰乱市场秩序。更有甚者，与有关当事人恶意串通出具虚假的估价报告损害他人合法权益。例如，在房地产抵押估价中，与借款人恶意串通高估抵押房地产的价值骗取较多的贷款；在房屋征收估价中，与房屋征收部门的工作人员恶意串通虚增被征收房屋面积，甚至虚构被征收房屋</w:t>
      </w:r>
      <w:proofErr w:type="gramStart"/>
      <w:r>
        <w:rPr>
          <w:rFonts w:hint="eastAsia"/>
        </w:rPr>
        <w:t>套取征收</w:t>
      </w:r>
      <w:proofErr w:type="gramEnd"/>
      <w:r>
        <w:rPr>
          <w:rFonts w:hint="eastAsia"/>
        </w:rPr>
        <w:t>补偿费用，与被征收人恶意串通高估被征收房屋的价值骗取较多的补偿；在房地产司法拍卖估价中，与法官、拍卖机构恶意串通低估拍卖房地产的价值损害被执行人的合法权益。这些不仅违反了估价职业道德，而且会被依法追究法律责任。因此，房地产估价师和房地产估价机构具有良好的职业道德是十分重要的。</w:t>
      </w:r>
    </w:p>
    <w:p w14:paraId="0B8CE9CA" w14:textId="77777777" w:rsidR="00796C46" w:rsidRDefault="00796C46" w:rsidP="00796C46">
      <w:pPr>
        <w:pStyle w:val="13"/>
      </w:pPr>
      <w:r>
        <w:rPr>
          <w:rFonts w:hint="eastAsia"/>
        </w:rPr>
        <w:t>本章分别对回避制度、胜任能力、诚实估价、尽职调查、告知义务、保守秘密、维护形象、不得借名等估价应遵守的职业道德作了明确规定。</w:t>
      </w:r>
    </w:p>
    <w:p w14:paraId="78C7697F" w14:textId="1A8E7F94" w:rsidR="00FA0363" w:rsidRDefault="00FA0363" w:rsidP="00FA0363">
      <w:pPr>
        <w:pStyle w:val="31"/>
        <w:spacing w:before="156" w:after="62"/>
      </w:pPr>
      <w:bookmarkStart w:id="124" w:name="_Toc81833386"/>
      <w:r>
        <w:rPr>
          <w:rFonts w:hint="eastAsia"/>
        </w:rPr>
        <w:t>房地产估价基本术语标准（</w:t>
      </w:r>
      <w:r>
        <w:t>GB/T 50899-2013）（住建部公告第84号）</w:t>
      </w:r>
      <w:bookmarkEnd w:id="124"/>
    </w:p>
    <w:p w14:paraId="17CFF94A" w14:textId="77777777" w:rsidR="00FA0363" w:rsidRDefault="00FA0363" w:rsidP="00FA0363">
      <w:pPr>
        <w:pStyle w:val="13"/>
      </w:pPr>
      <w:proofErr w:type="gramStart"/>
      <w:r>
        <w:rPr>
          <w:rFonts w:hint="eastAsia"/>
        </w:rPr>
        <w:t>现批准</w:t>
      </w:r>
      <w:proofErr w:type="gramEnd"/>
      <w:r>
        <w:rPr>
          <w:rFonts w:hint="eastAsia"/>
        </w:rPr>
        <w:t>《房地产估价基本术语标准》为国家标准，编号为</w:t>
      </w:r>
      <w:r>
        <w:t xml:space="preserve"> GB/T50899-2013，自 2014</w:t>
      </w:r>
      <w:r>
        <w:rPr>
          <w:rFonts w:hint="eastAsia"/>
        </w:rPr>
        <w:t>年</w:t>
      </w:r>
      <w:r>
        <w:t>2月1日起实施。</w:t>
      </w:r>
    </w:p>
    <w:p w14:paraId="209B3E16" w14:textId="77777777" w:rsidR="00FA0363" w:rsidRDefault="00FA0363" w:rsidP="00FA0363">
      <w:pPr>
        <w:pStyle w:val="13"/>
      </w:pPr>
      <w:r>
        <w:rPr>
          <w:rFonts w:hint="eastAsia"/>
        </w:rPr>
        <w:t>本规范由我部标准定额研究所组织中国建筑工业出版社出版发行。</w:t>
      </w:r>
    </w:p>
    <w:p w14:paraId="7EA9A04A" w14:textId="77777777" w:rsidR="00FA0363" w:rsidRDefault="00FA0363" w:rsidP="00FA0363">
      <w:pPr>
        <w:pStyle w:val="13"/>
        <w:jc w:val="right"/>
      </w:pPr>
      <w:r>
        <w:rPr>
          <w:rFonts w:hint="eastAsia"/>
        </w:rPr>
        <w:t>中华人民共和国住房和城乡建设部</w:t>
      </w:r>
    </w:p>
    <w:p w14:paraId="4C772FF7" w14:textId="246E8678" w:rsidR="00FA0363" w:rsidRDefault="00FA0363" w:rsidP="00FA0363">
      <w:pPr>
        <w:pStyle w:val="13"/>
        <w:jc w:val="right"/>
      </w:pPr>
      <w:r>
        <w:t>2013</w:t>
      </w:r>
      <w:r w:rsidR="003068F8">
        <w:t>年</w:t>
      </w:r>
      <w:r>
        <w:t>6</w:t>
      </w:r>
      <w:r w:rsidR="003068F8">
        <w:t>月</w:t>
      </w:r>
      <w:r>
        <w:t>26</w:t>
      </w:r>
      <w:r w:rsidR="003068F8">
        <w:t>日</w:t>
      </w:r>
    </w:p>
    <w:p w14:paraId="7E62BF88" w14:textId="77777777" w:rsidR="00FA0363" w:rsidRDefault="00FA0363" w:rsidP="00AF7342">
      <w:pPr>
        <w:pStyle w:val="a9"/>
        <w:spacing w:before="62" w:after="62"/>
      </w:pPr>
      <w:r>
        <w:rPr>
          <w:rFonts w:hint="eastAsia"/>
        </w:rPr>
        <w:t>房地产估价基本术语标准</w:t>
      </w:r>
    </w:p>
    <w:p w14:paraId="2D5ABBC5" w14:textId="13DAA44F" w:rsidR="00FA0363" w:rsidRDefault="00FA0363" w:rsidP="00AF7342">
      <w:pPr>
        <w:pStyle w:val="a9"/>
        <w:spacing w:before="62" w:after="62"/>
      </w:pPr>
      <w:r>
        <w:t>1 总则</w:t>
      </w:r>
    </w:p>
    <w:p w14:paraId="0CE235AF" w14:textId="60757A27" w:rsidR="00FA0363" w:rsidRDefault="00FA0363" w:rsidP="00FA0363">
      <w:pPr>
        <w:pStyle w:val="13"/>
        <w:ind w:firstLine="482"/>
      </w:pPr>
      <w:r w:rsidRPr="009676FB">
        <w:rPr>
          <w:b/>
          <w:bCs/>
        </w:rPr>
        <w:t>1.0.1</w:t>
      </w:r>
      <w:r w:rsidR="002451CD">
        <w:t xml:space="preserve"> </w:t>
      </w:r>
      <w:r>
        <w:t>为统一和规范房地产估价的术语并有利于国内外的交流和合作，制定本标准。</w:t>
      </w:r>
    </w:p>
    <w:p w14:paraId="5D322821" w14:textId="3946FC36" w:rsidR="00FA0363" w:rsidRDefault="00FA0363" w:rsidP="00FA0363">
      <w:pPr>
        <w:pStyle w:val="13"/>
        <w:ind w:firstLine="482"/>
      </w:pPr>
      <w:r w:rsidRPr="009676FB">
        <w:rPr>
          <w:b/>
          <w:bCs/>
        </w:rPr>
        <w:t>1.0.2</w:t>
      </w:r>
      <w:r w:rsidR="002451CD">
        <w:t xml:space="preserve"> </w:t>
      </w:r>
      <w:r>
        <w:t>本标准适用于房地产估价活动，以及与房地产估价相关的管理、教学、科研和其他相关领域。</w:t>
      </w:r>
    </w:p>
    <w:p w14:paraId="683A649C" w14:textId="72282498" w:rsidR="00FA0363" w:rsidRDefault="00FA0363" w:rsidP="00FA0363">
      <w:pPr>
        <w:pStyle w:val="13"/>
        <w:ind w:firstLine="482"/>
      </w:pPr>
      <w:r w:rsidRPr="009676FB">
        <w:rPr>
          <w:b/>
          <w:bCs/>
        </w:rPr>
        <w:t>1.0.3</w:t>
      </w:r>
      <w:r w:rsidR="002451CD">
        <w:t xml:space="preserve"> </w:t>
      </w:r>
      <w:r>
        <w:t>使用房地产估价术语时，除应符合本标准的规定外，尚应符合国家现行有关标准的规定。</w:t>
      </w:r>
    </w:p>
    <w:p w14:paraId="2332A0B8" w14:textId="47B55DC2" w:rsidR="00FA0363" w:rsidRDefault="00FA0363" w:rsidP="00AF7342">
      <w:pPr>
        <w:pStyle w:val="a9"/>
        <w:spacing w:before="62" w:after="62"/>
      </w:pPr>
      <w:r>
        <w:t>2 通用术语</w:t>
      </w:r>
    </w:p>
    <w:p w14:paraId="684C89D5" w14:textId="67BB8499" w:rsidR="00FA0363" w:rsidRDefault="00FA0363" w:rsidP="00FA0363">
      <w:pPr>
        <w:pStyle w:val="13"/>
        <w:ind w:firstLine="482"/>
      </w:pPr>
      <w:r w:rsidRPr="009676FB">
        <w:rPr>
          <w:b/>
          <w:bCs/>
        </w:rPr>
        <w:t>2.0.1</w:t>
      </w:r>
      <w:r w:rsidR="002451CD">
        <w:t xml:space="preserve"> </w:t>
      </w:r>
      <w:r>
        <w:t>房地产估价 real estate appraisal；property valuation</w:t>
      </w:r>
    </w:p>
    <w:p w14:paraId="5B50AC29" w14:textId="77777777" w:rsidR="00FA0363" w:rsidRDefault="00FA0363" w:rsidP="00FA0363">
      <w:pPr>
        <w:pStyle w:val="13"/>
      </w:pPr>
      <w:r>
        <w:rPr>
          <w:rFonts w:hint="eastAsia"/>
        </w:rPr>
        <w:t>房地产估价机构接受他人委托，选派注册房地产估价师对房地产的价值或价格进行分析、测算和判断，并提供相关专业意见的活动。</w:t>
      </w:r>
    </w:p>
    <w:p w14:paraId="40E97D6E" w14:textId="2973E072" w:rsidR="00FA0363" w:rsidRDefault="00FA0363" w:rsidP="00FA0363">
      <w:pPr>
        <w:pStyle w:val="13"/>
        <w:ind w:firstLine="482"/>
      </w:pPr>
      <w:r w:rsidRPr="009676FB">
        <w:rPr>
          <w:b/>
          <w:bCs/>
        </w:rPr>
        <w:t>2.0.2</w:t>
      </w:r>
      <w:r w:rsidR="002451CD">
        <w:t xml:space="preserve"> </w:t>
      </w:r>
      <w:r>
        <w:t>房地产估价机构 real estate appraisal company</w:t>
      </w:r>
    </w:p>
    <w:p w14:paraId="587DCB50" w14:textId="77777777" w:rsidR="00FA0363" w:rsidRDefault="00FA0363" w:rsidP="00FA0363">
      <w:pPr>
        <w:pStyle w:val="13"/>
      </w:pPr>
      <w:r>
        <w:rPr>
          <w:rFonts w:hint="eastAsia"/>
        </w:rPr>
        <w:t>依法设立并取得房地产估价机构资质，从事房地产估价活动的中介服务机构。</w:t>
      </w:r>
    </w:p>
    <w:p w14:paraId="6CED9A8B" w14:textId="1C4A3F21" w:rsidR="00FA0363" w:rsidRDefault="00FA0363" w:rsidP="00FA0363">
      <w:pPr>
        <w:pStyle w:val="13"/>
        <w:ind w:firstLine="482"/>
      </w:pPr>
      <w:r w:rsidRPr="009676FB">
        <w:rPr>
          <w:b/>
          <w:bCs/>
        </w:rPr>
        <w:t>2.0.3</w:t>
      </w:r>
      <w:r w:rsidR="002451CD">
        <w:t xml:space="preserve"> </w:t>
      </w:r>
      <w:r>
        <w:t>房地产估价师 real estate appraisal；property valuer</w:t>
      </w:r>
    </w:p>
    <w:p w14:paraId="724EC892" w14:textId="77777777" w:rsidR="00FA0363" w:rsidRDefault="00FA0363" w:rsidP="00FA0363">
      <w:pPr>
        <w:pStyle w:val="13"/>
      </w:pPr>
      <w:r>
        <w:rPr>
          <w:rFonts w:hint="eastAsia"/>
        </w:rPr>
        <w:t>通过全国房地产估价师职业资格考试或资格认定、资格互认，取得房地产估价师职业资格的人员。</w:t>
      </w:r>
    </w:p>
    <w:p w14:paraId="53716F77" w14:textId="1680B2A8" w:rsidR="00FA0363" w:rsidRDefault="00FA0363" w:rsidP="00FA0363">
      <w:pPr>
        <w:pStyle w:val="13"/>
        <w:ind w:firstLine="482"/>
      </w:pPr>
      <w:r w:rsidRPr="009676FB">
        <w:rPr>
          <w:b/>
          <w:bCs/>
        </w:rPr>
        <w:lastRenderedPageBreak/>
        <w:t>2.0.4</w:t>
      </w:r>
      <w:r w:rsidR="002451CD">
        <w:t xml:space="preserve"> </w:t>
      </w:r>
      <w:r>
        <w:t>注册房地产估价师 incensed real estate appraisal；certified property valuer</w:t>
      </w:r>
    </w:p>
    <w:p w14:paraId="41CE0DC2" w14:textId="77777777" w:rsidR="00FA0363" w:rsidRDefault="00FA0363" w:rsidP="00FA0363">
      <w:pPr>
        <w:pStyle w:val="13"/>
      </w:pPr>
      <w:r>
        <w:rPr>
          <w:rFonts w:hint="eastAsia"/>
        </w:rPr>
        <w:t>经过执业注册，从事房地产估价活动的房地产估价师。</w:t>
      </w:r>
    </w:p>
    <w:p w14:paraId="18F2AA0A" w14:textId="1430C80C" w:rsidR="00FA0363" w:rsidRDefault="00FA0363" w:rsidP="00FA0363">
      <w:pPr>
        <w:pStyle w:val="13"/>
        <w:ind w:firstLine="482"/>
      </w:pPr>
      <w:r w:rsidRPr="009676FB">
        <w:rPr>
          <w:b/>
          <w:bCs/>
        </w:rPr>
        <w:t>2.0.5</w:t>
      </w:r>
      <w:r w:rsidR="002451CD">
        <w:t xml:space="preserve"> </w:t>
      </w:r>
      <w:r>
        <w:t>估价委托人 client</w:t>
      </w:r>
    </w:p>
    <w:p w14:paraId="3071FDF4" w14:textId="77777777" w:rsidR="00FA0363" w:rsidRDefault="00FA0363" w:rsidP="00FA0363">
      <w:pPr>
        <w:pStyle w:val="13"/>
      </w:pPr>
      <w:r>
        <w:rPr>
          <w:rFonts w:hint="eastAsia"/>
        </w:rPr>
        <w:t>委托房地产估价机构为其提供估价服务的单位或个人。</w:t>
      </w:r>
    </w:p>
    <w:p w14:paraId="20283596" w14:textId="2DF21AE3" w:rsidR="00FA0363" w:rsidRDefault="00FA0363" w:rsidP="00FA0363">
      <w:pPr>
        <w:pStyle w:val="13"/>
        <w:ind w:firstLine="482"/>
      </w:pPr>
      <w:r w:rsidRPr="009676FB">
        <w:rPr>
          <w:b/>
          <w:bCs/>
        </w:rPr>
        <w:t>2.0.6</w:t>
      </w:r>
      <w:r w:rsidR="002451CD">
        <w:t xml:space="preserve"> </w:t>
      </w:r>
      <w:r>
        <w:t>估价当事人 parties involved in appraisal</w:t>
      </w:r>
    </w:p>
    <w:p w14:paraId="419C7AF5" w14:textId="77777777" w:rsidR="00FA0363" w:rsidRDefault="00FA0363" w:rsidP="00FA0363">
      <w:pPr>
        <w:pStyle w:val="13"/>
      </w:pPr>
      <w:r>
        <w:rPr>
          <w:rFonts w:hint="eastAsia"/>
        </w:rPr>
        <w:t>与房地产估价活动有直接关系的单位和个人，包括房地产估价机构、注册房地产估价师和估价委托人</w:t>
      </w:r>
    </w:p>
    <w:p w14:paraId="2B25DD13" w14:textId="25058166" w:rsidR="00FA0363" w:rsidRDefault="00FA0363" w:rsidP="00FA0363">
      <w:pPr>
        <w:pStyle w:val="13"/>
        <w:ind w:firstLine="482"/>
      </w:pPr>
      <w:r w:rsidRPr="009676FB">
        <w:rPr>
          <w:b/>
          <w:bCs/>
        </w:rPr>
        <w:t>2.0.7</w:t>
      </w:r>
      <w:r w:rsidR="002451CD">
        <w:t xml:space="preserve"> </w:t>
      </w:r>
      <w:r>
        <w:t>估价利害关系人 interested parties</w:t>
      </w:r>
    </w:p>
    <w:p w14:paraId="669EF419" w14:textId="77777777" w:rsidR="00FA0363" w:rsidRDefault="00FA0363" w:rsidP="00FA0363">
      <w:pPr>
        <w:pStyle w:val="13"/>
      </w:pPr>
      <w:r>
        <w:rPr>
          <w:rFonts w:hint="eastAsia"/>
        </w:rPr>
        <w:t>估价结果会直接影响其合法权益的单位和个人。</w:t>
      </w:r>
    </w:p>
    <w:p w14:paraId="7B0746E2" w14:textId="00B27500" w:rsidR="00FA0363" w:rsidRDefault="00FA0363" w:rsidP="00FA0363">
      <w:pPr>
        <w:pStyle w:val="13"/>
        <w:ind w:firstLine="482"/>
      </w:pPr>
      <w:r w:rsidRPr="009676FB">
        <w:rPr>
          <w:b/>
          <w:bCs/>
        </w:rPr>
        <w:t>2.0.8</w:t>
      </w:r>
      <w:r w:rsidR="002451CD">
        <w:t xml:space="preserve"> </w:t>
      </w:r>
      <w:r>
        <w:t>估价项目 appraisal project appraisal assignment</w:t>
      </w:r>
    </w:p>
    <w:p w14:paraId="61374A34" w14:textId="77777777" w:rsidR="00FA0363" w:rsidRDefault="00FA0363" w:rsidP="00FA0363">
      <w:pPr>
        <w:pStyle w:val="13"/>
      </w:pPr>
      <w:r>
        <w:rPr>
          <w:rFonts w:hint="eastAsia"/>
        </w:rPr>
        <w:t>估价委托人委托房地产估价机构为其提供估价服务的某项特定任务。</w:t>
      </w:r>
    </w:p>
    <w:p w14:paraId="2126A1B5" w14:textId="66407B59" w:rsidR="00FA0363" w:rsidRDefault="00FA0363" w:rsidP="00FA0363">
      <w:pPr>
        <w:pStyle w:val="13"/>
        <w:ind w:firstLine="482"/>
      </w:pPr>
      <w:r w:rsidRPr="009676FB">
        <w:rPr>
          <w:b/>
          <w:bCs/>
        </w:rPr>
        <w:t>2.0.9</w:t>
      </w:r>
      <w:r w:rsidR="002451CD">
        <w:t xml:space="preserve"> </w:t>
      </w:r>
      <w:r>
        <w:t>估价目的 appraisal purpose；purpose of valuation</w:t>
      </w:r>
    </w:p>
    <w:p w14:paraId="6216570C" w14:textId="77777777" w:rsidR="00FA0363" w:rsidRDefault="00FA0363" w:rsidP="00FA0363">
      <w:pPr>
        <w:pStyle w:val="13"/>
      </w:pPr>
      <w:r>
        <w:rPr>
          <w:rFonts w:hint="eastAsia"/>
        </w:rPr>
        <w:t>估价委托人对估价报告的预期用途。</w:t>
      </w:r>
    </w:p>
    <w:p w14:paraId="0E164D57" w14:textId="0303402C" w:rsidR="00FA0363" w:rsidRDefault="00FA0363" w:rsidP="00FA0363">
      <w:pPr>
        <w:pStyle w:val="13"/>
        <w:ind w:firstLine="482"/>
      </w:pPr>
      <w:r w:rsidRPr="009676FB">
        <w:rPr>
          <w:b/>
          <w:bCs/>
        </w:rPr>
        <w:t>2.0.10</w:t>
      </w:r>
      <w:r w:rsidR="002451CD">
        <w:t xml:space="preserve"> </w:t>
      </w:r>
      <w:r>
        <w:t>估价对象 subject property</w:t>
      </w:r>
    </w:p>
    <w:p w14:paraId="08A1BE41" w14:textId="77777777" w:rsidR="00FA0363" w:rsidRDefault="00FA0363" w:rsidP="00FA0363">
      <w:pPr>
        <w:pStyle w:val="13"/>
      </w:pPr>
      <w:r>
        <w:rPr>
          <w:rFonts w:hint="eastAsia"/>
        </w:rPr>
        <w:t>所估价的房地产等财产或相关权益。</w:t>
      </w:r>
    </w:p>
    <w:p w14:paraId="400C6734" w14:textId="5243BD36" w:rsidR="00FA0363" w:rsidRDefault="00FA0363" w:rsidP="00FA0363">
      <w:pPr>
        <w:pStyle w:val="13"/>
        <w:ind w:firstLine="482"/>
      </w:pPr>
      <w:r w:rsidRPr="009676FB">
        <w:rPr>
          <w:b/>
          <w:bCs/>
        </w:rPr>
        <w:t>2.0.11</w:t>
      </w:r>
      <w:r w:rsidR="002451CD">
        <w:t xml:space="preserve"> </w:t>
      </w:r>
      <w:r>
        <w:t>价值时点 date of value</w:t>
      </w:r>
    </w:p>
    <w:p w14:paraId="36E01A72" w14:textId="77777777" w:rsidR="00FA0363" w:rsidRDefault="00FA0363" w:rsidP="00FA0363">
      <w:pPr>
        <w:pStyle w:val="13"/>
      </w:pPr>
      <w:r>
        <w:rPr>
          <w:rFonts w:hint="eastAsia"/>
        </w:rPr>
        <w:t>所评估的估价对象价值或价格对应某一特定的时间。</w:t>
      </w:r>
    </w:p>
    <w:p w14:paraId="4E63581C" w14:textId="2DFB40DA" w:rsidR="00FA0363" w:rsidRDefault="00FA0363" w:rsidP="00FA0363">
      <w:pPr>
        <w:pStyle w:val="13"/>
        <w:ind w:firstLine="482"/>
      </w:pPr>
      <w:r w:rsidRPr="009676FB">
        <w:rPr>
          <w:b/>
          <w:bCs/>
        </w:rPr>
        <w:t>2.0.12</w:t>
      </w:r>
      <w:r w:rsidR="002451CD">
        <w:t xml:space="preserve"> </w:t>
      </w:r>
      <w:r>
        <w:t>价值类型 type of value</w:t>
      </w:r>
    </w:p>
    <w:p w14:paraId="54381C10" w14:textId="77777777" w:rsidR="00FA0363" w:rsidRDefault="00FA0363" w:rsidP="00FA0363">
      <w:pPr>
        <w:pStyle w:val="13"/>
      </w:pPr>
      <w:r>
        <w:rPr>
          <w:rFonts w:hint="eastAsia"/>
        </w:rPr>
        <w:t>所评估的估价对象价值或价格，包括价值或价格的名称、定义或内涵。</w:t>
      </w:r>
    </w:p>
    <w:p w14:paraId="07996F40" w14:textId="14DD9BD1" w:rsidR="00FA0363" w:rsidRDefault="00FA0363" w:rsidP="00FA0363">
      <w:pPr>
        <w:pStyle w:val="13"/>
        <w:ind w:firstLine="482"/>
      </w:pPr>
      <w:r w:rsidRPr="009676FB">
        <w:rPr>
          <w:b/>
          <w:bCs/>
        </w:rPr>
        <w:t>2.0.13</w:t>
      </w:r>
      <w:r w:rsidR="002451CD">
        <w:t xml:space="preserve"> </w:t>
      </w:r>
      <w:r>
        <w:t>估价原则 appraisal principles；valuation principles</w:t>
      </w:r>
    </w:p>
    <w:p w14:paraId="244DB122" w14:textId="77777777" w:rsidR="00FA0363" w:rsidRDefault="00FA0363" w:rsidP="00FA0363">
      <w:pPr>
        <w:pStyle w:val="13"/>
      </w:pPr>
      <w:r>
        <w:rPr>
          <w:rFonts w:hint="eastAsia"/>
        </w:rPr>
        <w:t>估价活动所以距的法则或标准。</w:t>
      </w:r>
    </w:p>
    <w:p w14:paraId="539138BF" w14:textId="16F98054" w:rsidR="00FA0363" w:rsidRDefault="00FA0363" w:rsidP="00FA0363">
      <w:pPr>
        <w:pStyle w:val="13"/>
        <w:ind w:firstLine="482"/>
      </w:pPr>
      <w:r w:rsidRPr="009676FB">
        <w:rPr>
          <w:b/>
          <w:bCs/>
        </w:rPr>
        <w:t>2.0.14</w:t>
      </w:r>
      <w:r w:rsidR="002451CD">
        <w:t xml:space="preserve"> </w:t>
      </w:r>
      <w:r>
        <w:t>估价程序 appraisal process</w:t>
      </w:r>
      <w:r w:rsidR="003068F8">
        <w:t>；</w:t>
      </w:r>
      <w:r>
        <w:t>valuation process</w:t>
      </w:r>
    </w:p>
    <w:p w14:paraId="053AD799" w14:textId="77777777" w:rsidR="00FA0363" w:rsidRDefault="00FA0363" w:rsidP="00FA0363">
      <w:pPr>
        <w:pStyle w:val="13"/>
      </w:pPr>
      <w:r>
        <w:rPr>
          <w:rFonts w:hint="eastAsia"/>
        </w:rPr>
        <w:t>完成估价项目所需做的各项工作进行的先后次序。</w:t>
      </w:r>
    </w:p>
    <w:p w14:paraId="3D6DC4C0" w14:textId="718CA7B8" w:rsidR="00FA0363" w:rsidRDefault="00FA0363" w:rsidP="00FA0363">
      <w:pPr>
        <w:pStyle w:val="13"/>
        <w:ind w:firstLine="482"/>
      </w:pPr>
      <w:r w:rsidRPr="009676FB">
        <w:rPr>
          <w:b/>
          <w:bCs/>
        </w:rPr>
        <w:t>2.0.15</w:t>
      </w:r>
      <w:r w:rsidR="002451CD">
        <w:t xml:space="preserve"> </w:t>
      </w:r>
      <w:r>
        <w:t>估价依据 appraisal support documentation</w:t>
      </w:r>
      <w:r w:rsidR="003068F8">
        <w:t>；</w:t>
      </w:r>
      <w:r>
        <w:t>valuation evidence</w:t>
      </w:r>
    </w:p>
    <w:p w14:paraId="3721CE1F" w14:textId="77777777" w:rsidR="00FA0363" w:rsidRDefault="00FA0363" w:rsidP="00FA0363">
      <w:pPr>
        <w:pStyle w:val="13"/>
      </w:pPr>
      <w:r>
        <w:rPr>
          <w:rFonts w:hint="eastAsia"/>
        </w:rPr>
        <w:t>作为估价的前提或基础的文件、标准和资料。</w:t>
      </w:r>
    </w:p>
    <w:p w14:paraId="26ED42F8" w14:textId="0A4CCB12" w:rsidR="00FA0363" w:rsidRDefault="00FA0363" w:rsidP="00FA0363">
      <w:pPr>
        <w:pStyle w:val="13"/>
        <w:ind w:firstLine="482"/>
      </w:pPr>
      <w:r w:rsidRPr="009676FB">
        <w:rPr>
          <w:b/>
          <w:bCs/>
        </w:rPr>
        <w:t>2.0.16</w:t>
      </w:r>
      <w:r w:rsidR="002451CD">
        <w:rPr>
          <w:b/>
          <w:bCs/>
        </w:rPr>
        <w:t xml:space="preserve"> </w:t>
      </w:r>
      <w:r>
        <w:t>估价假设 appraisal assumptions</w:t>
      </w:r>
    </w:p>
    <w:p w14:paraId="772EF769" w14:textId="77777777" w:rsidR="00FA0363" w:rsidRDefault="00FA0363" w:rsidP="00FA0363">
      <w:pPr>
        <w:pStyle w:val="13"/>
      </w:pPr>
      <w:r>
        <w:rPr>
          <w:rFonts w:hint="eastAsia"/>
        </w:rPr>
        <w:t>针对估价对象状况等估价前提所做的必要、合理且有依据的假定，包括一般假设、未定事项假设、背离事实假设、不相一致假设和依据不足假设。</w:t>
      </w:r>
    </w:p>
    <w:p w14:paraId="5FD676BF" w14:textId="143BBC6C" w:rsidR="00FA0363" w:rsidRDefault="00FA0363" w:rsidP="00FA0363">
      <w:pPr>
        <w:pStyle w:val="13"/>
        <w:ind w:firstLine="482"/>
      </w:pPr>
      <w:r w:rsidRPr="009676FB">
        <w:rPr>
          <w:b/>
          <w:bCs/>
        </w:rPr>
        <w:t>2.0.17</w:t>
      </w:r>
      <w:r w:rsidR="002451CD">
        <w:t xml:space="preserve"> </w:t>
      </w:r>
      <w:r>
        <w:t>估价方法 appraisal approaches</w:t>
      </w:r>
      <w:r w:rsidR="003068F8">
        <w:t>；</w:t>
      </w:r>
      <w:r>
        <w:t>valuation methods</w:t>
      </w:r>
    </w:p>
    <w:p w14:paraId="4196641D" w14:textId="77777777" w:rsidR="00FA0363" w:rsidRDefault="00FA0363" w:rsidP="00FA0363">
      <w:pPr>
        <w:pStyle w:val="13"/>
      </w:pPr>
      <w:r>
        <w:rPr>
          <w:rFonts w:hint="eastAsia"/>
        </w:rPr>
        <w:t>测算估价对象或价格所采用的方法，包括比较法、收益法、成本法、假设开发法等。</w:t>
      </w:r>
    </w:p>
    <w:p w14:paraId="418B8780" w14:textId="3324FA1F" w:rsidR="00FA0363" w:rsidRDefault="00FA0363" w:rsidP="00FA0363">
      <w:pPr>
        <w:pStyle w:val="13"/>
        <w:ind w:firstLine="482"/>
      </w:pPr>
      <w:r w:rsidRPr="009676FB">
        <w:rPr>
          <w:b/>
          <w:bCs/>
        </w:rPr>
        <w:t>2.0.18</w:t>
      </w:r>
      <w:r w:rsidR="002451CD">
        <w:t xml:space="preserve"> </w:t>
      </w:r>
      <w:r>
        <w:t>估价基础数据 basic date for appraisal</w:t>
      </w:r>
    </w:p>
    <w:p w14:paraId="20DA009C" w14:textId="77777777" w:rsidR="00FA0363" w:rsidRDefault="00FA0363" w:rsidP="00FA0363">
      <w:pPr>
        <w:pStyle w:val="13"/>
      </w:pPr>
      <w:r>
        <w:rPr>
          <w:rFonts w:hint="eastAsia"/>
        </w:rPr>
        <w:t>估价测算所使用的反映估价对象状况的数据，以及估价对象及其类似房地产的</w:t>
      </w:r>
      <w:r>
        <w:rPr>
          <w:rFonts w:hint="eastAsia"/>
        </w:rPr>
        <w:lastRenderedPageBreak/>
        <w:t>成交价格、运营收益、开发建设成本等数据。</w:t>
      </w:r>
    </w:p>
    <w:p w14:paraId="6656229B" w14:textId="002E6EAB" w:rsidR="00FA0363" w:rsidRDefault="00FA0363" w:rsidP="00FA0363">
      <w:pPr>
        <w:pStyle w:val="13"/>
        <w:ind w:firstLine="482"/>
      </w:pPr>
      <w:r w:rsidRPr="009676FB">
        <w:rPr>
          <w:b/>
          <w:bCs/>
        </w:rPr>
        <w:t>2.0.19</w:t>
      </w:r>
      <w:r w:rsidR="002451CD">
        <w:t xml:space="preserve"> </w:t>
      </w:r>
      <w:r>
        <w:t>估价参数 appraisal parameters</w:t>
      </w:r>
    </w:p>
    <w:p w14:paraId="117A8E85" w14:textId="77777777" w:rsidR="00FA0363" w:rsidRDefault="00FA0363" w:rsidP="00FA0363">
      <w:pPr>
        <w:pStyle w:val="13"/>
      </w:pPr>
      <w:r>
        <w:rPr>
          <w:rFonts w:hint="eastAsia"/>
        </w:rPr>
        <w:t>用于测算估价对象价值或价格的系数、比率或比值。</w:t>
      </w:r>
    </w:p>
    <w:p w14:paraId="25BA419C" w14:textId="27F20E67" w:rsidR="00FA0363" w:rsidRDefault="00FA0363" w:rsidP="00FA0363">
      <w:pPr>
        <w:pStyle w:val="13"/>
        <w:ind w:firstLine="482"/>
      </w:pPr>
      <w:r w:rsidRPr="009676FB">
        <w:rPr>
          <w:b/>
          <w:bCs/>
        </w:rPr>
        <w:t>2.0.20</w:t>
      </w:r>
      <w:r w:rsidR="002451CD">
        <w:t xml:space="preserve"> </w:t>
      </w:r>
      <w:r>
        <w:t>估价结果 final value opinion</w:t>
      </w:r>
    </w:p>
    <w:p w14:paraId="7573C779" w14:textId="77777777" w:rsidR="00FA0363" w:rsidRDefault="00FA0363" w:rsidP="00FA0363">
      <w:pPr>
        <w:pStyle w:val="13"/>
      </w:pPr>
      <w:r>
        <w:rPr>
          <w:rFonts w:hint="eastAsia"/>
        </w:rPr>
        <w:t>通过房地产估价活动得出的估价对象价值或价格及提供的相关专业意见。</w:t>
      </w:r>
    </w:p>
    <w:p w14:paraId="75B869EF" w14:textId="00FE559C" w:rsidR="00FA0363" w:rsidRDefault="00FA0363" w:rsidP="00FA0363">
      <w:pPr>
        <w:pStyle w:val="13"/>
        <w:ind w:firstLine="482"/>
      </w:pPr>
      <w:r w:rsidRPr="009676FB">
        <w:rPr>
          <w:b/>
          <w:bCs/>
        </w:rPr>
        <w:t>2.0.21</w:t>
      </w:r>
      <w:r w:rsidR="002451CD">
        <w:t xml:space="preserve"> </w:t>
      </w:r>
      <w:r>
        <w:t>估价报告 appraisal report</w:t>
      </w:r>
      <w:r w:rsidR="003068F8">
        <w:t>；</w:t>
      </w:r>
      <w:r>
        <w:t>valuation report</w:t>
      </w:r>
    </w:p>
    <w:p w14:paraId="3EC4F521" w14:textId="77777777" w:rsidR="00FA0363" w:rsidRDefault="00FA0363" w:rsidP="00FA0363">
      <w:pPr>
        <w:pStyle w:val="13"/>
      </w:pPr>
      <w:r>
        <w:rPr>
          <w:rFonts w:hint="eastAsia"/>
        </w:rPr>
        <w:t>房地产估价机构和注册房地产估价师向估价委托人所作的关于估价情况和结果的正是陈述。</w:t>
      </w:r>
    </w:p>
    <w:p w14:paraId="24FCBDD8" w14:textId="739F4C30" w:rsidR="00FA0363" w:rsidRDefault="00FA0363" w:rsidP="00FA0363">
      <w:pPr>
        <w:pStyle w:val="13"/>
        <w:ind w:firstLine="482"/>
      </w:pPr>
      <w:r w:rsidRPr="009676FB">
        <w:rPr>
          <w:b/>
          <w:bCs/>
        </w:rPr>
        <w:t>2.0.22</w:t>
      </w:r>
      <w:r w:rsidR="002451CD">
        <w:t xml:space="preserve"> </w:t>
      </w:r>
      <w:r>
        <w:t>批量估价 mass appraisal</w:t>
      </w:r>
    </w:p>
    <w:p w14:paraId="0F0BCC8E" w14:textId="77777777" w:rsidR="00FA0363" w:rsidRDefault="00FA0363" w:rsidP="00FA0363">
      <w:pPr>
        <w:pStyle w:val="13"/>
      </w:pPr>
      <w:r>
        <w:rPr>
          <w:rFonts w:hint="eastAsia"/>
        </w:rPr>
        <w:t>基于统一估价目的，利用共同的数据，采用相同的方法，并经过统计检验，对大量相似的房地产在给定日期的价值或价格进行评估。</w:t>
      </w:r>
    </w:p>
    <w:p w14:paraId="52B32932" w14:textId="06FE6931" w:rsidR="00FA0363" w:rsidRDefault="00FA0363" w:rsidP="00FA0363">
      <w:pPr>
        <w:pStyle w:val="13"/>
        <w:ind w:firstLine="482"/>
      </w:pPr>
      <w:r w:rsidRPr="009676FB">
        <w:rPr>
          <w:b/>
          <w:bCs/>
        </w:rPr>
        <w:t>2.0.23</w:t>
      </w:r>
      <w:r w:rsidR="002451CD">
        <w:t xml:space="preserve"> </w:t>
      </w:r>
      <w:r>
        <w:t>个案估价 sing-</w:t>
      </w:r>
      <w:proofErr w:type="spellStart"/>
      <w:r>
        <w:t>proerty</w:t>
      </w:r>
      <w:proofErr w:type="spellEnd"/>
      <w:r>
        <w:t xml:space="preserve"> appraisal</w:t>
      </w:r>
    </w:p>
    <w:p w14:paraId="3E403330" w14:textId="77777777" w:rsidR="00FA0363" w:rsidRDefault="00FA0363" w:rsidP="00FA0363">
      <w:pPr>
        <w:pStyle w:val="13"/>
      </w:pPr>
      <w:r>
        <w:rPr>
          <w:rFonts w:hint="eastAsia"/>
        </w:rPr>
        <w:t>相对于批量估价而言，单独对一宗或若干宗房地产的价值或价格进行评估。</w:t>
      </w:r>
    </w:p>
    <w:p w14:paraId="3FF891FA" w14:textId="146378AA" w:rsidR="00FA0363" w:rsidRDefault="00FA0363" w:rsidP="00FA0363">
      <w:pPr>
        <w:pStyle w:val="13"/>
        <w:ind w:firstLine="482"/>
      </w:pPr>
      <w:r w:rsidRPr="009676FB">
        <w:rPr>
          <w:b/>
          <w:bCs/>
        </w:rPr>
        <w:t>2.0.24</w:t>
      </w:r>
      <w:r w:rsidR="002451CD">
        <w:t xml:space="preserve"> </w:t>
      </w:r>
      <w:r>
        <w:t>类似房地产 similar property；</w:t>
      </w:r>
      <w:proofErr w:type="spellStart"/>
      <w:r>
        <w:t>conparbale</w:t>
      </w:r>
      <w:proofErr w:type="spellEnd"/>
      <w:r>
        <w:t xml:space="preserve"> </w:t>
      </w:r>
      <w:proofErr w:type="spellStart"/>
      <w:r>
        <w:t>proerty</w:t>
      </w:r>
      <w:proofErr w:type="spellEnd"/>
    </w:p>
    <w:p w14:paraId="3E04FFFC" w14:textId="77777777" w:rsidR="00FA0363" w:rsidRDefault="00FA0363" w:rsidP="00FA0363">
      <w:pPr>
        <w:pStyle w:val="13"/>
      </w:pPr>
      <w:r>
        <w:rPr>
          <w:rFonts w:hint="eastAsia"/>
        </w:rPr>
        <w:t>与对象房地产的区位、用途、权力性质、档次、规模、建筑结构、新旧程度等相同或相近的房地产。</w:t>
      </w:r>
    </w:p>
    <w:p w14:paraId="60DD2A0E" w14:textId="1E5BA910" w:rsidR="00FA0363" w:rsidRDefault="00FA0363" w:rsidP="00FA0363">
      <w:pPr>
        <w:pStyle w:val="13"/>
        <w:ind w:firstLine="482"/>
      </w:pPr>
      <w:r w:rsidRPr="009676FB">
        <w:rPr>
          <w:b/>
          <w:bCs/>
        </w:rPr>
        <w:t>2.0.25</w:t>
      </w:r>
      <w:r w:rsidR="002451CD">
        <w:t xml:space="preserve"> </w:t>
      </w:r>
      <w:r>
        <w:t>估价信用档案 appraisers credit records</w:t>
      </w:r>
    </w:p>
    <w:p w14:paraId="1FA34E2E" w14:textId="77777777" w:rsidR="00FA0363" w:rsidRDefault="00FA0363" w:rsidP="00FA0363">
      <w:pPr>
        <w:pStyle w:val="13"/>
      </w:pPr>
      <w:r>
        <w:rPr>
          <w:rFonts w:hint="eastAsia"/>
        </w:rPr>
        <w:t>房地产估价行业主管部门或房地产估价行业组织记录房地产估价师和房地产估价机构的基本情况、业绩、良好行为、不良行为等内容，供社会公众查询的信用信息管理系统。</w:t>
      </w:r>
    </w:p>
    <w:p w14:paraId="56FAEE30" w14:textId="245E10C0" w:rsidR="00FA0363" w:rsidRDefault="00FA0363" w:rsidP="00AF7342">
      <w:pPr>
        <w:pStyle w:val="a9"/>
        <w:spacing w:before="62" w:after="62"/>
      </w:pPr>
      <w:r>
        <w:t>3</w:t>
      </w:r>
      <w:r w:rsidR="00F811C3">
        <w:t xml:space="preserve"> </w:t>
      </w:r>
      <w:r>
        <w:t>价格和价值</w:t>
      </w:r>
    </w:p>
    <w:p w14:paraId="7390791B" w14:textId="4928AA79" w:rsidR="00FA0363" w:rsidRDefault="00FA0363" w:rsidP="00FA0363">
      <w:pPr>
        <w:pStyle w:val="13"/>
        <w:ind w:firstLine="482"/>
      </w:pPr>
      <w:r w:rsidRPr="009676FB">
        <w:rPr>
          <w:b/>
          <w:bCs/>
        </w:rPr>
        <w:t>3.0.1</w:t>
      </w:r>
      <w:r w:rsidR="002451CD">
        <w:t xml:space="preserve"> </w:t>
      </w:r>
      <w:r>
        <w:t xml:space="preserve">成交价格 transaction </w:t>
      </w:r>
      <w:proofErr w:type="spellStart"/>
      <w:r>
        <w:t>price,actual</w:t>
      </w:r>
      <w:proofErr w:type="spellEnd"/>
      <w:r>
        <w:t xml:space="preserve"> sale price</w:t>
      </w:r>
    </w:p>
    <w:p w14:paraId="08830091" w14:textId="77777777" w:rsidR="00FA0363" w:rsidRDefault="00FA0363" w:rsidP="00FA0363">
      <w:pPr>
        <w:pStyle w:val="13"/>
      </w:pPr>
      <w:r>
        <w:rPr>
          <w:rFonts w:hint="eastAsia"/>
        </w:rPr>
        <w:t>在成功的交易中买方支付和卖方接受的金额。</w:t>
      </w:r>
    </w:p>
    <w:p w14:paraId="24B9629D" w14:textId="5B37EB9E" w:rsidR="00FA0363" w:rsidRDefault="00FA0363" w:rsidP="00FA0363">
      <w:pPr>
        <w:pStyle w:val="13"/>
        <w:ind w:firstLine="482"/>
      </w:pPr>
      <w:r w:rsidRPr="009676FB">
        <w:rPr>
          <w:b/>
          <w:bCs/>
        </w:rPr>
        <w:t>3.0.2</w:t>
      </w:r>
      <w:r w:rsidR="002451CD">
        <w:t xml:space="preserve"> </w:t>
      </w:r>
      <w:r>
        <w:t>正常价格 normal price</w:t>
      </w:r>
    </w:p>
    <w:p w14:paraId="7708F3C1" w14:textId="77777777" w:rsidR="00FA0363" w:rsidRDefault="00FA0363" w:rsidP="00FA0363">
      <w:pPr>
        <w:pStyle w:val="13"/>
      </w:pPr>
      <w:r>
        <w:rPr>
          <w:rFonts w:hint="eastAsia"/>
        </w:rPr>
        <w:t>不存在特殊交易情况下的成交价格，或成交价格经交易情况修正后的价格。</w:t>
      </w:r>
    </w:p>
    <w:p w14:paraId="2D7C2156" w14:textId="1FEB2269" w:rsidR="00FA0363" w:rsidRDefault="00FA0363" w:rsidP="00FA0363">
      <w:pPr>
        <w:pStyle w:val="13"/>
        <w:ind w:firstLine="482"/>
      </w:pPr>
      <w:r w:rsidRPr="009676FB">
        <w:rPr>
          <w:b/>
          <w:bCs/>
        </w:rPr>
        <w:t>3.0.3</w:t>
      </w:r>
      <w:r w:rsidR="002451CD">
        <w:t xml:space="preserve"> </w:t>
      </w:r>
      <w:r>
        <w:t>市场价格 average market price</w:t>
      </w:r>
    </w:p>
    <w:p w14:paraId="0E179B37" w14:textId="77777777" w:rsidR="00FA0363" w:rsidRDefault="00FA0363" w:rsidP="00FA0363">
      <w:pPr>
        <w:pStyle w:val="13"/>
      </w:pPr>
      <w:r>
        <w:rPr>
          <w:rFonts w:hint="eastAsia"/>
        </w:rPr>
        <w:t>某种房地产在市场上的平均交易价格。</w:t>
      </w:r>
    </w:p>
    <w:p w14:paraId="3AAA3E95" w14:textId="374DD506" w:rsidR="00FA0363" w:rsidRDefault="00FA0363" w:rsidP="00FA0363">
      <w:pPr>
        <w:pStyle w:val="13"/>
        <w:ind w:firstLine="482"/>
      </w:pPr>
      <w:r w:rsidRPr="009676FB">
        <w:rPr>
          <w:b/>
          <w:bCs/>
        </w:rPr>
        <w:t>3.0.4</w:t>
      </w:r>
      <w:r w:rsidR="002451CD">
        <w:t xml:space="preserve"> </w:t>
      </w:r>
      <w:r>
        <w:t>评估价值 appraisal value</w:t>
      </w:r>
    </w:p>
    <w:p w14:paraId="302FBD69" w14:textId="77777777" w:rsidR="00FA0363" w:rsidRDefault="00FA0363" w:rsidP="00FA0363">
      <w:pPr>
        <w:pStyle w:val="13"/>
      </w:pPr>
      <w:r>
        <w:rPr>
          <w:rFonts w:hint="eastAsia"/>
        </w:rPr>
        <w:t>通过房地产估价活动得出的估价对象价值或价格。</w:t>
      </w:r>
    </w:p>
    <w:p w14:paraId="32823279" w14:textId="44BEC773" w:rsidR="00FA0363" w:rsidRDefault="00FA0363" w:rsidP="00FA0363">
      <w:pPr>
        <w:pStyle w:val="13"/>
        <w:ind w:firstLine="482"/>
      </w:pPr>
      <w:r w:rsidRPr="009676FB">
        <w:rPr>
          <w:b/>
          <w:bCs/>
        </w:rPr>
        <w:t>3.0.5</w:t>
      </w:r>
      <w:r w:rsidR="002451CD">
        <w:t xml:space="preserve"> </w:t>
      </w:r>
      <w:r>
        <w:t>市场价值 market value</w:t>
      </w:r>
    </w:p>
    <w:p w14:paraId="47D710D1" w14:textId="77777777" w:rsidR="00FA0363" w:rsidRDefault="00FA0363" w:rsidP="00FA0363">
      <w:pPr>
        <w:pStyle w:val="13"/>
      </w:pPr>
      <w:r>
        <w:rPr>
          <w:rFonts w:hint="eastAsia"/>
        </w:rPr>
        <w:t>估价对象经适当营销后，由熟悉情况、谨慎行事且不受强迫的交易双方，以公平交易方式在价值时点自愿进行交易的金额。</w:t>
      </w:r>
    </w:p>
    <w:p w14:paraId="20ACF8FF" w14:textId="364A5191" w:rsidR="00FA0363" w:rsidRDefault="00FA0363" w:rsidP="00FA0363">
      <w:pPr>
        <w:pStyle w:val="13"/>
        <w:ind w:firstLine="482"/>
      </w:pPr>
      <w:r w:rsidRPr="009676FB">
        <w:rPr>
          <w:b/>
          <w:bCs/>
        </w:rPr>
        <w:t>3.0.6</w:t>
      </w:r>
      <w:r w:rsidR="002451CD">
        <w:t xml:space="preserve"> </w:t>
      </w:r>
      <w:r>
        <w:t>投资价值 investment value</w:t>
      </w:r>
    </w:p>
    <w:p w14:paraId="26D904A9" w14:textId="77777777" w:rsidR="00FA0363" w:rsidRDefault="00FA0363" w:rsidP="00FA0363">
      <w:pPr>
        <w:pStyle w:val="13"/>
      </w:pPr>
      <w:r>
        <w:rPr>
          <w:rFonts w:hint="eastAsia"/>
        </w:rPr>
        <w:t>估价对象对某个特定单位或个人的价值。</w:t>
      </w:r>
    </w:p>
    <w:p w14:paraId="6E949FCF" w14:textId="0211C1B2" w:rsidR="00FA0363" w:rsidRDefault="00FA0363" w:rsidP="00FA0363">
      <w:pPr>
        <w:pStyle w:val="13"/>
        <w:ind w:firstLine="482"/>
      </w:pPr>
      <w:r w:rsidRPr="009676FB">
        <w:rPr>
          <w:b/>
          <w:bCs/>
        </w:rPr>
        <w:lastRenderedPageBreak/>
        <w:t>3.0.7</w:t>
      </w:r>
      <w:r w:rsidR="002451CD">
        <w:t xml:space="preserve"> </w:t>
      </w:r>
      <w:r>
        <w:t>现状价值 value in use</w:t>
      </w:r>
    </w:p>
    <w:p w14:paraId="56C3AEED" w14:textId="77777777" w:rsidR="00FA0363" w:rsidRDefault="00FA0363" w:rsidP="00FA0363">
      <w:pPr>
        <w:pStyle w:val="13"/>
      </w:pPr>
      <w:r>
        <w:rPr>
          <w:rFonts w:hint="eastAsia"/>
        </w:rPr>
        <w:t>估价对象在某一特定时间的实际状况下的价值。</w:t>
      </w:r>
    </w:p>
    <w:p w14:paraId="2C1A9523" w14:textId="09AC0FAA" w:rsidR="00FA0363" w:rsidRDefault="00FA0363" w:rsidP="00FA0363">
      <w:pPr>
        <w:pStyle w:val="13"/>
        <w:ind w:firstLine="482"/>
      </w:pPr>
      <w:r w:rsidRPr="009676FB">
        <w:rPr>
          <w:b/>
          <w:bCs/>
        </w:rPr>
        <w:t>3.0.8</w:t>
      </w:r>
      <w:r w:rsidR="002451CD">
        <w:t xml:space="preserve"> </w:t>
      </w:r>
      <w:r>
        <w:t>快速变现价值 liquidation value</w:t>
      </w:r>
    </w:p>
    <w:p w14:paraId="12D82DCB" w14:textId="77777777" w:rsidR="00FA0363" w:rsidRDefault="00FA0363" w:rsidP="00FA0363">
      <w:pPr>
        <w:pStyle w:val="13"/>
      </w:pPr>
      <w:r>
        <w:rPr>
          <w:rFonts w:hint="eastAsia"/>
        </w:rPr>
        <w:t>估价对象在没有充足的时间进行营销情况下的价值。</w:t>
      </w:r>
    </w:p>
    <w:p w14:paraId="0A618291" w14:textId="71A7BCA8" w:rsidR="00FA0363" w:rsidRDefault="00FA0363" w:rsidP="00FA0363">
      <w:pPr>
        <w:pStyle w:val="13"/>
        <w:ind w:firstLine="482"/>
      </w:pPr>
      <w:r w:rsidRPr="009676FB">
        <w:rPr>
          <w:b/>
          <w:bCs/>
        </w:rPr>
        <w:t>3.0.9</w:t>
      </w:r>
      <w:r w:rsidR="002451CD">
        <w:t xml:space="preserve"> </w:t>
      </w:r>
      <w:r>
        <w:t>残余价值 residual value</w:t>
      </w:r>
    </w:p>
    <w:p w14:paraId="59DAA288" w14:textId="77777777" w:rsidR="00FA0363" w:rsidRDefault="00FA0363" w:rsidP="00FA0363">
      <w:pPr>
        <w:pStyle w:val="13"/>
      </w:pPr>
      <w:r>
        <w:rPr>
          <w:rFonts w:hint="eastAsia"/>
        </w:rPr>
        <w:t>估价对象在非继续利用情况下的价值。</w:t>
      </w:r>
    </w:p>
    <w:p w14:paraId="339A1B8A" w14:textId="4904EB13" w:rsidR="00FA0363" w:rsidRDefault="00FA0363" w:rsidP="00FA0363">
      <w:pPr>
        <w:pStyle w:val="13"/>
        <w:ind w:firstLine="482"/>
      </w:pPr>
      <w:r w:rsidRPr="009676FB">
        <w:rPr>
          <w:b/>
          <w:bCs/>
        </w:rPr>
        <w:t>3.0.10</w:t>
      </w:r>
      <w:r w:rsidR="002451CD">
        <w:t xml:space="preserve"> </w:t>
      </w:r>
      <w:r>
        <w:t>抵押价值 mortgage value</w:t>
      </w:r>
      <w:r w:rsidR="003068F8">
        <w:t>；</w:t>
      </w:r>
      <w:r>
        <w:t>mortgage lending value</w:t>
      </w:r>
    </w:p>
    <w:p w14:paraId="3A1F58B2" w14:textId="77777777" w:rsidR="00FA0363" w:rsidRDefault="00FA0363" w:rsidP="00FA0363">
      <w:pPr>
        <w:pStyle w:val="13"/>
      </w:pPr>
      <w:r>
        <w:rPr>
          <w:rFonts w:hint="eastAsia"/>
        </w:rPr>
        <w:t>估价对象假定未设立法定优先受偿权下的价值减去注册房地产估价师知悉的法定优先受偿款后的价值。</w:t>
      </w:r>
    </w:p>
    <w:p w14:paraId="5F9A7D27" w14:textId="22391E23" w:rsidR="00FA0363" w:rsidRDefault="00FA0363" w:rsidP="00FA0363">
      <w:pPr>
        <w:pStyle w:val="13"/>
        <w:ind w:firstLine="482"/>
      </w:pPr>
      <w:r w:rsidRPr="009676FB">
        <w:rPr>
          <w:b/>
          <w:bCs/>
        </w:rPr>
        <w:t>3.0.11</w:t>
      </w:r>
      <w:r w:rsidR="002451CD">
        <w:t xml:space="preserve"> </w:t>
      </w:r>
      <w:r>
        <w:t>抵押净值 net mortgage value</w:t>
      </w:r>
    </w:p>
    <w:p w14:paraId="44C02EDD" w14:textId="77777777" w:rsidR="00FA0363" w:rsidRDefault="00FA0363" w:rsidP="00FA0363">
      <w:pPr>
        <w:pStyle w:val="13"/>
      </w:pPr>
      <w:r>
        <w:rPr>
          <w:rFonts w:hint="eastAsia"/>
        </w:rPr>
        <w:t>抵押价值减去预期实现抵押权的费用和税金后的价值。</w:t>
      </w:r>
    </w:p>
    <w:p w14:paraId="1BD2AB21" w14:textId="09D39B53" w:rsidR="00FA0363" w:rsidRDefault="00FA0363" w:rsidP="00FA0363">
      <w:pPr>
        <w:pStyle w:val="13"/>
        <w:ind w:firstLine="482"/>
      </w:pPr>
      <w:r w:rsidRPr="009676FB">
        <w:rPr>
          <w:b/>
          <w:bCs/>
        </w:rPr>
        <w:t>3.0.12</w:t>
      </w:r>
      <w:r w:rsidR="002451CD">
        <w:rPr>
          <w:b/>
          <w:bCs/>
        </w:rPr>
        <w:t xml:space="preserve"> </w:t>
      </w:r>
      <w:r>
        <w:t>法定优先受偿款 liens</w:t>
      </w:r>
    </w:p>
    <w:p w14:paraId="7BFBD877" w14:textId="77777777" w:rsidR="00FA0363" w:rsidRDefault="00FA0363" w:rsidP="00FA0363">
      <w:pPr>
        <w:pStyle w:val="13"/>
      </w:pPr>
      <w:r>
        <w:rPr>
          <w:rFonts w:hint="eastAsia"/>
        </w:rPr>
        <w:t>假定在价值时点实现抵押权时，已存在的依法优先于本次抵押贷款受偿的款额，包括以抵押担保的债权数额、发包人拖欠承包人的建设工程价款、其他法定优先受偿款。</w:t>
      </w:r>
    </w:p>
    <w:p w14:paraId="07AC5860" w14:textId="45C42860" w:rsidR="00FA0363" w:rsidRDefault="00FA0363" w:rsidP="00FA0363">
      <w:pPr>
        <w:pStyle w:val="13"/>
        <w:ind w:firstLine="482"/>
      </w:pPr>
      <w:r w:rsidRPr="009676FB">
        <w:rPr>
          <w:b/>
          <w:bCs/>
        </w:rPr>
        <w:t>3.0.13</w:t>
      </w:r>
      <w:r w:rsidR="002451CD">
        <w:t xml:space="preserve"> </w:t>
      </w:r>
      <w:r>
        <w:t>计税价值 assessed value；</w:t>
      </w:r>
      <w:proofErr w:type="spellStart"/>
      <w:r>
        <w:t>ta×able</w:t>
      </w:r>
      <w:proofErr w:type="spellEnd"/>
      <w:r>
        <w:t xml:space="preserve"> value</w:t>
      </w:r>
    </w:p>
    <w:p w14:paraId="79C71A30" w14:textId="77777777" w:rsidR="00FA0363" w:rsidRDefault="00FA0363" w:rsidP="00FA0363">
      <w:pPr>
        <w:pStyle w:val="13"/>
      </w:pPr>
      <w:r>
        <w:rPr>
          <w:rFonts w:hint="eastAsia"/>
        </w:rPr>
        <w:t>为征税目的而评估的价值。</w:t>
      </w:r>
    </w:p>
    <w:p w14:paraId="66448FEF" w14:textId="6CEE2FC4" w:rsidR="00FA0363" w:rsidRDefault="00FA0363" w:rsidP="00FA0363">
      <w:pPr>
        <w:pStyle w:val="13"/>
        <w:ind w:firstLine="482"/>
      </w:pPr>
      <w:r w:rsidRPr="009676FB">
        <w:rPr>
          <w:b/>
          <w:bCs/>
        </w:rPr>
        <w:t>3.0.14</w:t>
      </w:r>
      <w:r w:rsidR="002451CD">
        <w:rPr>
          <w:b/>
          <w:bCs/>
        </w:rPr>
        <w:t xml:space="preserve"> </w:t>
      </w:r>
      <w:r>
        <w:t>保险价值 insurable value</w:t>
      </w:r>
    </w:p>
    <w:p w14:paraId="6F529E43" w14:textId="77777777" w:rsidR="00FA0363" w:rsidRDefault="00FA0363" w:rsidP="00FA0363">
      <w:pPr>
        <w:pStyle w:val="13"/>
      </w:pPr>
      <w:r>
        <w:rPr>
          <w:rFonts w:hint="eastAsia"/>
        </w:rPr>
        <w:t>为保险目的而评估的价值。</w:t>
      </w:r>
    </w:p>
    <w:p w14:paraId="4F8E5365" w14:textId="31F24CBE" w:rsidR="00FA0363" w:rsidRDefault="00FA0363" w:rsidP="00FA0363">
      <w:pPr>
        <w:pStyle w:val="13"/>
        <w:ind w:firstLine="482"/>
      </w:pPr>
      <w:r w:rsidRPr="009676FB">
        <w:rPr>
          <w:b/>
          <w:bCs/>
        </w:rPr>
        <w:t>3.0.15</w:t>
      </w:r>
      <w:r w:rsidR="002451CD">
        <w:t xml:space="preserve"> </w:t>
      </w:r>
      <w:r>
        <w:t>完全产权价值 value of fee simple interest</w:t>
      </w:r>
    </w:p>
    <w:p w14:paraId="222228A1" w14:textId="77777777" w:rsidR="00FA0363" w:rsidRDefault="00FA0363" w:rsidP="00FA0363">
      <w:pPr>
        <w:pStyle w:val="13"/>
      </w:pPr>
      <w:r>
        <w:rPr>
          <w:rFonts w:hint="eastAsia"/>
        </w:rPr>
        <w:t>房屋所有权和已出让方式取得的建设用地使用权在不受任何其他房地产权利等限制情况下的价值。</w:t>
      </w:r>
    </w:p>
    <w:p w14:paraId="137D6149" w14:textId="66B99CD8" w:rsidR="00FA0363" w:rsidRDefault="00FA0363" w:rsidP="00FA0363">
      <w:pPr>
        <w:pStyle w:val="13"/>
        <w:ind w:firstLine="482"/>
      </w:pPr>
      <w:r w:rsidRPr="009676FB">
        <w:rPr>
          <w:b/>
          <w:bCs/>
        </w:rPr>
        <w:t>3.0.16</w:t>
      </w:r>
      <w:r w:rsidR="002451CD">
        <w:t xml:space="preserve"> </w:t>
      </w:r>
      <w:r>
        <w:t xml:space="preserve">无租约限制价值 value of property as if no </w:t>
      </w:r>
      <w:proofErr w:type="spellStart"/>
      <w:r>
        <w:t>lersa</w:t>
      </w:r>
      <w:proofErr w:type="spellEnd"/>
      <w:r>
        <w:t xml:space="preserve"> </w:t>
      </w:r>
      <w:proofErr w:type="spellStart"/>
      <w:r>
        <w:t>e×isted</w:t>
      </w:r>
      <w:proofErr w:type="spellEnd"/>
      <w:r>
        <w:t xml:space="preserve"> interest</w:t>
      </w:r>
    </w:p>
    <w:p w14:paraId="4C09FB38" w14:textId="77777777" w:rsidR="00FA0363" w:rsidRDefault="00FA0363" w:rsidP="00FA0363">
      <w:pPr>
        <w:pStyle w:val="13"/>
      </w:pPr>
      <w:r>
        <w:rPr>
          <w:rFonts w:hint="eastAsia"/>
        </w:rPr>
        <w:t>房地产在不考虑租赁因素影响情况下的价值。其评估价值为</w:t>
      </w:r>
      <w:proofErr w:type="gramStart"/>
      <w:r>
        <w:rPr>
          <w:rFonts w:hint="eastAsia"/>
        </w:rPr>
        <w:t>为</w:t>
      </w:r>
      <w:proofErr w:type="gramEnd"/>
      <w:r>
        <w:rPr>
          <w:rFonts w:hint="eastAsia"/>
        </w:rPr>
        <w:t>出租部分和已出租部分均按市场租金确定租金收入所评估的价值。</w:t>
      </w:r>
    </w:p>
    <w:p w14:paraId="35F77B0C" w14:textId="4A801A07" w:rsidR="00FA0363" w:rsidRDefault="00FA0363" w:rsidP="00FA0363">
      <w:pPr>
        <w:pStyle w:val="13"/>
        <w:ind w:firstLine="482"/>
      </w:pPr>
      <w:r w:rsidRPr="009676FB">
        <w:rPr>
          <w:b/>
          <w:bCs/>
        </w:rPr>
        <w:t>3.0.17</w:t>
      </w:r>
      <w:r w:rsidR="002451CD">
        <w:rPr>
          <w:b/>
          <w:bCs/>
        </w:rPr>
        <w:t xml:space="preserve"> </w:t>
      </w:r>
      <w:r>
        <w:t>出租人权益价值 value of leased fee interest</w:t>
      </w:r>
    </w:p>
    <w:p w14:paraId="72383DD1" w14:textId="77777777" w:rsidR="00FA0363" w:rsidRDefault="00FA0363" w:rsidP="00FA0363">
      <w:pPr>
        <w:pStyle w:val="13"/>
      </w:pPr>
      <w:r>
        <w:rPr>
          <w:rFonts w:hint="eastAsia"/>
        </w:rPr>
        <w:t>出租人对自己的已出租房地产依法享有的权益的价值。其评估价值为已出租部分在租赁期间按合同租金确定租金收入，未出租部分和已出租部分在租金期间届满后按市场租金确定租金收入所评估的价值。</w:t>
      </w:r>
    </w:p>
    <w:p w14:paraId="72A87F8C" w14:textId="76660108" w:rsidR="00FA0363" w:rsidRDefault="00FA0363" w:rsidP="00FA0363">
      <w:pPr>
        <w:pStyle w:val="13"/>
        <w:ind w:firstLine="482"/>
      </w:pPr>
      <w:r w:rsidRPr="009676FB">
        <w:rPr>
          <w:b/>
          <w:bCs/>
        </w:rPr>
        <w:t>3.0.18</w:t>
      </w:r>
      <w:r w:rsidR="002451CD">
        <w:t xml:space="preserve"> </w:t>
      </w:r>
      <w:r>
        <w:t>承租人权益价值 value of leasehold interest</w:t>
      </w:r>
    </w:p>
    <w:p w14:paraId="45320B2E" w14:textId="77777777" w:rsidR="00FA0363" w:rsidRDefault="00FA0363" w:rsidP="00FA0363">
      <w:pPr>
        <w:pStyle w:val="13"/>
      </w:pPr>
      <w:r>
        <w:rPr>
          <w:rFonts w:hint="eastAsia"/>
        </w:rPr>
        <w:t>承租人对他人所有的已出租房地产依法享有的权益的价值。其评估价值为按合同租金与市场租金的差额所评估的价值。</w:t>
      </w:r>
    </w:p>
    <w:p w14:paraId="2BE3BE27" w14:textId="0B5DB96D" w:rsidR="00FA0363" w:rsidRDefault="00FA0363" w:rsidP="00FA0363">
      <w:pPr>
        <w:pStyle w:val="13"/>
        <w:ind w:firstLine="482"/>
      </w:pPr>
      <w:r w:rsidRPr="009676FB">
        <w:rPr>
          <w:b/>
          <w:bCs/>
        </w:rPr>
        <w:t>3.0.19</w:t>
      </w:r>
      <w:r w:rsidR="002451CD">
        <w:t xml:space="preserve"> </w:t>
      </w:r>
      <w:r>
        <w:t>房地价值 building and land value</w:t>
      </w:r>
    </w:p>
    <w:p w14:paraId="5B029ADC" w14:textId="77777777" w:rsidR="00FA0363" w:rsidRDefault="00FA0363" w:rsidP="00FA0363">
      <w:pPr>
        <w:pStyle w:val="13"/>
      </w:pPr>
      <w:r>
        <w:rPr>
          <w:rFonts w:hint="eastAsia"/>
        </w:rPr>
        <w:lastRenderedPageBreak/>
        <w:t>建筑物及其占用范围内的土地的价值，或土地及附着于该土地上的建筑物的价值。</w:t>
      </w:r>
    </w:p>
    <w:p w14:paraId="0DFBC8B6" w14:textId="6AF77B3C" w:rsidR="00FA0363" w:rsidRDefault="00FA0363" w:rsidP="00FA0363">
      <w:pPr>
        <w:pStyle w:val="13"/>
        <w:ind w:firstLine="482"/>
      </w:pPr>
      <w:r w:rsidRPr="009676FB">
        <w:rPr>
          <w:b/>
          <w:bCs/>
        </w:rPr>
        <w:t>3.0.20</w:t>
      </w:r>
      <w:r w:rsidR="002451CD">
        <w:t xml:space="preserve"> </w:t>
      </w:r>
      <w:r>
        <w:t>建筑物价值 building value</w:t>
      </w:r>
    </w:p>
    <w:p w14:paraId="0F4F98FB" w14:textId="77777777" w:rsidR="00FA0363" w:rsidRDefault="00FA0363" w:rsidP="00FA0363">
      <w:pPr>
        <w:pStyle w:val="13"/>
      </w:pPr>
      <w:r>
        <w:rPr>
          <w:rFonts w:hint="eastAsia"/>
        </w:rPr>
        <w:t>建筑物自身的价值，不包含该建筑物占用范围内的土地的价值。</w:t>
      </w:r>
    </w:p>
    <w:p w14:paraId="7BAC84C2" w14:textId="28A0FB94" w:rsidR="00FA0363" w:rsidRDefault="00FA0363" w:rsidP="00FA0363">
      <w:pPr>
        <w:pStyle w:val="13"/>
        <w:ind w:firstLine="482"/>
      </w:pPr>
      <w:r w:rsidRPr="009676FB">
        <w:rPr>
          <w:b/>
          <w:bCs/>
        </w:rPr>
        <w:t>3.0.21</w:t>
      </w:r>
      <w:r w:rsidR="002451CD">
        <w:t xml:space="preserve"> </w:t>
      </w:r>
      <w:r>
        <w:t>土地价值 land value</w:t>
      </w:r>
    </w:p>
    <w:p w14:paraId="246E13CB" w14:textId="77777777" w:rsidR="00FA0363" w:rsidRDefault="00FA0363" w:rsidP="00FA0363">
      <w:pPr>
        <w:pStyle w:val="13"/>
      </w:pPr>
      <w:r>
        <w:rPr>
          <w:rFonts w:hint="eastAsia"/>
        </w:rPr>
        <w:t>土地自身的价值，不包含附着于该土地上的建筑物的价值。</w:t>
      </w:r>
    </w:p>
    <w:p w14:paraId="2DFA1C67" w14:textId="2DBE53F1" w:rsidR="00FA0363" w:rsidRDefault="00FA0363" w:rsidP="00FA0363">
      <w:pPr>
        <w:pStyle w:val="13"/>
        <w:ind w:firstLine="482"/>
      </w:pPr>
      <w:r w:rsidRPr="009676FB">
        <w:rPr>
          <w:b/>
          <w:bCs/>
        </w:rPr>
        <w:t>3.0.22</w:t>
      </w:r>
      <w:r w:rsidR="002451CD">
        <w:t xml:space="preserve"> </w:t>
      </w:r>
      <w:r>
        <w:t xml:space="preserve">楼面地价 land </w:t>
      </w:r>
      <w:proofErr w:type="spellStart"/>
      <w:r>
        <w:t>paice</w:t>
      </w:r>
      <w:proofErr w:type="spellEnd"/>
      <w:r>
        <w:t xml:space="preserve"> per unit of build-up are</w:t>
      </w:r>
    </w:p>
    <w:p w14:paraId="6F206419" w14:textId="77777777" w:rsidR="00FA0363" w:rsidRDefault="00FA0363" w:rsidP="00FA0363">
      <w:pPr>
        <w:pStyle w:val="13"/>
      </w:pPr>
      <w:r>
        <w:rPr>
          <w:rFonts w:hint="eastAsia"/>
        </w:rPr>
        <w:t>一定地块内分摊到单位建筑面积上的土地价格。</w:t>
      </w:r>
    </w:p>
    <w:p w14:paraId="48ACF444" w14:textId="17044504" w:rsidR="00FA0363" w:rsidRDefault="00FA0363" w:rsidP="00FA0363">
      <w:pPr>
        <w:pStyle w:val="13"/>
        <w:ind w:firstLine="482"/>
      </w:pPr>
      <w:r w:rsidRPr="009676FB">
        <w:rPr>
          <w:b/>
          <w:bCs/>
        </w:rPr>
        <w:t>3.0.23</w:t>
      </w:r>
      <w:r w:rsidR="002451CD">
        <w:t xml:space="preserve"> </w:t>
      </w:r>
      <w:r>
        <w:t>比较价值 sales comparison approach indication</w:t>
      </w:r>
    </w:p>
    <w:p w14:paraId="2E239ECF" w14:textId="77777777" w:rsidR="00FA0363" w:rsidRDefault="00FA0363" w:rsidP="00FA0363">
      <w:pPr>
        <w:pStyle w:val="13"/>
      </w:pPr>
      <w:r>
        <w:rPr>
          <w:rFonts w:hint="eastAsia"/>
        </w:rPr>
        <w:t>采用比较法测算出的估价对象价值或价格。</w:t>
      </w:r>
    </w:p>
    <w:p w14:paraId="27903754" w14:textId="20A31694" w:rsidR="00FA0363" w:rsidRDefault="00FA0363" w:rsidP="00FA0363">
      <w:pPr>
        <w:pStyle w:val="13"/>
        <w:ind w:firstLine="482"/>
      </w:pPr>
      <w:r w:rsidRPr="009676FB">
        <w:rPr>
          <w:b/>
          <w:bCs/>
        </w:rPr>
        <w:t>3.0.24</w:t>
      </w:r>
      <w:r w:rsidR="002451CD">
        <w:t xml:space="preserve"> </w:t>
      </w:r>
      <w:r>
        <w:t xml:space="preserve">收益价值 </w:t>
      </w:r>
      <w:proofErr w:type="spellStart"/>
      <w:r>
        <w:t>incom</w:t>
      </w:r>
      <w:proofErr w:type="spellEnd"/>
      <w:r>
        <w:t xml:space="preserve"> capitalization approach indication</w:t>
      </w:r>
    </w:p>
    <w:p w14:paraId="62A759F8" w14:textId="77777777" w:rsidR="00FA0363" w:rsidRDefault="00FA0363" w:rsidP="00FA0363">
      <w:pPr>
        <w:pStyle w:val="13"/>
      </w:pPr>
      <w:r>
        <w:rPr>
          <w:rFonts w:hint="eastAsia"/>
        </w:rPr>
        <w:t>采用收益法测算出的估价对象价值或价格。</w:t>
      </w:r>
    </w:p>
    <w:p w14:paraId="493371BC" w14:textId="1743CA3F" w:rsidR="00FA0363" w:rsidRDefault="00FA0363" w:rsidP="00FA0363">
      <w:pPr>
        <w:pStyle w:val="13"/>
        <w:ind w:firstLine="482"/>
      </w:pPr>
      <w:r w:rsidRPr="009676FB">
        <w:rPr>
          <w:b/>
          <w:bCs/>
        </w:rPr>
        <w:t>3.0.25</w:t>
      </w:r>
      <w:r w:rsidR="002451CD">
        <w:t xml:space="preserve"> </w:t>
      </w:r>
      <w:r>
        <w:t>成本价值 cost approach indication</w:t>
      </w:r>
    </w:p>
    <w:p w14:paraId="559F0FB0" w14:textId="77777777" w:rsidR="00FA0363" w:rsidRDefault="00FA0363" w:rsidP="00FA0363">
      <w:pPr>
        <w:pStyle w:val="13"/>
      </w:pPr>
      <w:r>
        <w:rPr>
          <w:rFonts w:hint="eastAsia"/>
        </w:rPr>
        <w:t>采用成本法测算出的估价对象价值或价格。</w:t>
      </w:r>
    </w:p>
    <w:p w14:paraId="5229BD56" w14:textId="4537C8A9" w:rsidR="00FA0363" w:rsidRDefault="00FA0363" w:rsidP="00FA0363">
      <w:pPr>
        <w:pStyle w:val="13"/>
        <w:ind w:firstLine="482"/>
      </w:pPr>
      <w:r w:rsidRPr="009676FB">
        <w:rPr>
          <w:b/>
          <w:bCs/>
        </w:rPr>
        <w:t>3.0.26</w:t>
      </w:r>
      <w:r w:rsidR="002451CD">
        <w:rPr>
          <w:b/>
          <w:bCs/>
        </w:rPr>
        <w:t xml:space="preserve"> </w:t>
      </w:r>
      <w:r>
        <w:t>开发价值 hypothetical development method indication</w:t>
      </w:r>
    </w:p>
    <w:p w14:paraId="26516363" w14:textId="77777777" w:rsidR="00FA0363" w:rsidRDefault="00FA0363" w:rsidP="00FA0363">
      <w:pPr>
        <w:pStyle w:val="13"/>
      </w:pPr>
      <w:r>
        <w:rPr>
          <w:rFonts w:hint="eastAsia"/>
        </w:rPr>
        <w:t>采用假设开发法测算出的估价对象价值或价格。</w:t>
      </w:r>
    </w:p>
    <w:p w14:paraId="1B5E89F6" w14:textId="45DE3374" w:rsidR="00FA0363" w:rsidRDefault="00FA0363" w:rsidP="00AF7342">
      <w:pPr>
        <w:pStyle w:val="a9"/>
        <w:spacing w:before="62" w:after="62"/>
      </w:pPr>
      <w:r>
        <w:t>4</w:t>
      </w:r>
      <w:r w:rsidR="00F811C3">
        <w:t xml:space="preserve"> </w:t>
      </w:r>
      <w:r>
        <w:t>估价原则</w:t>
      </w:r>
    </w:p>
    <w:p w14:paraId="14DF504D" w14:textId="60B7803F" w:rsidR="00FA0363" w:rsidRDefault="00FA0363" w:rsidP="00FA0363">
      <w:pPr>
        <w:pStyle w:val="13"/>
        <w:ind w:firstLine="482"/>
      </w:pPr>
      <w:r w:rsidRPr="009676FB">
        <w:rPr>
          <w:b/>
          <w:bCs/>
        </w:rPr>
        <w:t>4.0.1</w:t>
      </w:r>
      <w:r w:rsidR="002451CD">
        <w:t xml:space="preserve"> </w:t>
      </w:r>
      <w:r>
        <w:t xml:space="preserve">独立、客观、公正原则 principle of </w:t>
      </w:r>
      <w:proofErr w:type="spellStart"/>
      <w:r>
        <w:t>independence,objectivity</w:t>
      </w:r>
      <w:proofErr w:type="spellEnd"/>
      <w:r>
        <w:t xml:space="preserve"> and impartiality</w:t>
      </w:r>
    </w:p>
    <w:p w14:paraId="56185AB6" w14:textId="77777777" w:rsidR="00FA0363" w:rsidRDefault="00FA0363" w:rsidP="00FA0363">
      <w:pPr>
        <w:pStyle w:val="13"/>
      </w:pPr>
      <w:r>
        <w:rPr>
          <w:rFonts w:hint="eastAsia"/>
        </w:rPr>
        <w:t>要求站在中立的立场上，实事求是、公平正直地评估出对各方估价利害关系人均是公平合理的价值或价格的原则。</w:t>
      </w:r>
    </w:p>
    <w:p w14:paraId="7F5CCF8E" w14:textId="2B5B0D09" w:rsidR="00FA0363" w:rsidRDefault="00FA0363" w:rsidP="00FA0363">
      <w:pPr>
        <w:pStyle w:val="13"/>
        <w:ind w:firstLine="482"/>
      </w:pPr>
      <w:r w:rsidRPr="009676FB">
        <w:rPr>
          <w:b/>
          <w:bCs/>
        </w:rPr>
        <w:t>4.0.2</w:t>
      </w:r>
      <w:r w:rsidR="002451CD">
        <w:t xml:space="preserve"> </w:t>
      </w:r>
      <w:r>
        <w:t>合法原则 principle of legality</w:t>
      </w:r>
    </w:p>
    <w:p w14:paraId="269379D1" w14:textId="77777777" w:rsidR="00FA0363" w:rsidRDefault="00FA0363" w:rsidP="00FA0363">
      <w:pPr>
        <w:pStyle w:val="13"/>
      </w:pPr>
      <w:r>
        <w:rPr>
          <w:rFonts w:hint="eastAsia"/>
        </w:rPr>
        <w:t>要求估价结果是在依法判定的估价对象状况下的价值或价格的原则。</w:t>
      </w:r>
      <w:r>
        <w:t xml:space="preserve"> 4.0.3 价值时点原则 principle of date of value</w:t>
      </w:r>
    </w:p>
    <w:p w14:paraId="02B50AE4" w14:textId="77777777" w:rsidR="00FA0363" w:rsidRDefault="00FA0363" w:rsidP="00FA0363">
      <w:pPr>
        <w:pStyle w:val="13"/>
      </w:pPr>
      <w:r>
        <w:rPr>
          <w:rFonts w:hint="eastAsia"/>
        </w:rPr>
        <w:t>要求估价结果是在根据估价目的确定的某一特定时间的价值或价格的原则。</w:t>
      </w:r>
    </w:p>
    <w:p w14:paraId="766F76A3" w14:textId="7FF04AB4" w:rsidR="00FA0363" w:rsidRDefault="00FA0363" w:rsidP="00FA0363">
      <w:pPr>
        <w:pStyle w:val="13"/>
        <w:ind w:firstLine="482"/>
      </w:pPr>
      <w:r w:rsidRPr="009676FB">
        <w:rPr>
          <w:b/>
          <w:bCs/>
        </w:rPr>
        <w:t>4.0.4</w:t>
      </w:r>
      <w:r w:rsidR="002451CD">
        <w:t xml:space="preserve"> </w:t>
      </w:r>
      <w:r>
        <w:t>替代原则 principle of substitution</w:t>
      </w:r>
    </w:p>
    <w:p w14:paraId="2D2732B2" w14:textId="77777777" w:rsidR="00FA0363" w:rsidRDefault="00FA0363" w:rsidP="00FA0363">
      <w:pPr>
        <w:pStyle w:val="13"/>
      </w:pPr>
      <w:r>
        <w:rPr>
          <w:rFonts w:hint="eastAsia"/>
        </w:rPr>
        <w:t>要求估价结果与估价对象的类似房地产在同等条件下的价值或价格偏差在合理范围内的原则。</w:t>
      </w:r>
    </w:p>
    <w:p w14:paraId="53D09B39" w14:textId="77FC6730" w:rsidR="00FA0363" w:rsidRDefault="00FA0363" w:rsidP="00FA0363">
      <w:pPr>
        <w:pStyle w:val="13"/>
        <w:ind w:firstLine="482"/>
      </w:pPr>
      <w:r w:rsidRPr="009676FB">
        <w:rPr>
          <w:b/>
          <w:bCs/>
        </w:rPr>
        <w:t>4.0.5</w:t>
      </w:r>
      <w:r w:rsidR="002451CD">
        <w:t xml:space="preserve"> </w:t>
      </w:r>
      <w:r>
        <w:t>最高</w:t>
      </w:r>
      <w:proofErr w:type="gramStart"/>
      <w:r>
        <w:t>最佳利用</w:t>
      </w:r>
      <w:proofErr w:type="gramEnd"/>
      <w:r>
        <w:t>原则 principle of highest and best use</w:t>
      </w:r>
    </w:p>
    <w:p w14:paraId="04DFBB45" w14:textId="77777777" w:rsidR="00FA0363" w:rsidRDefault="00FA0363" w:rsidP="00FA0363">
      <w:pPr>
        <w:pStyle w:val="13"/>
      </w:pPr>
      <w:r>
        <w:rPr>
          <w:rFonts w:hint="eastAsia"/>
        </w:rPr>
        <w:t>要求估价结果是在估价对象最高</w:t>
      </w:r>
      <w:proofErr w:type="gramStart"/>
      <w:r>
        <w:rPr>
          <w:rFonts w:hint="eastAsia"/>
        </w:rPr>
        <w:t>最佳利用</w:t>
      </w:r>
      <w:proofErr w:type="gramEnd"/>
      <w:r>
        <w:rPr>
          <w:rFonts w:hint="eastAsia"/>
        </w:rPr>
        <w:t>状况下的价值或价格的原则。</w:t>
      </w:r>
    </w:p>
    <w:p w14:paraId="161FE637" w14:textId="543E90AD" w:rsidR="00FA0363" w:rsidRDefault="00FA0363" w:rsidP="00FA0363">
      <w:pPr>
        <w:pStyle w:val="13"/>
        <w:ind w:firstLine="482"/>
      </w:pPr>
      <w:r w:rsidRPr="009676FB">
        <w:rPr>
          <w:b/>
          <w:bCs/>
        </w:rPr>
        <w:t>4.0.6</w:t>
      </w:r>
      <w:r w:rsidR="002451CD">
        <w:t xml:space="preserve"> </w:t>
      </w:r>
      <w:r>
        <w:t>最高</w:t>
      </w:r>
      <w:proofErr w:type="gramStart"/>
      <w:r>
        <w:t>最佳利用</w:t>
      </w:r>
      <w:proofErr w:type="gramEnd"/>
      <w:r>
        <w:t xml:space="preserve"> highest and best use</w:t>
      </w:r>
    </w:p>
    <w:p w14:paraId="60CF7C88" w14:textId="0644F61B" w:rsidR="00FA0363" w:rsidRDefault="00FA0363" w:rsidP="00FA0363">
      <w:pPr>
        <w:pStyle w:val="13"/>
      </w:pPr>
      <w:r>
        <w:rPr>
          <w:rFonts w:hint="eastAsia"/>
        </w:rPr>
        <w:t>房地产在法律上允许、技术上可能、财务上可行并使价值最大的合理、可能的利用</w:t>
      </w:r>
      <w:r w:rsidR="003068F8">
        <w:rPr>
          <w:rFonts w:hint="eastAsia"/>
        </w:rPr>
        <w:t>，</w:t>
      </w:r>
      <w:r>
        <w:t>包括最佳的用途、规模、档次等</w:t>
      </w:r>
    </w:p>
    <w:p w14:paraId="12E96239" w14:textId="7F974987" w:rsidR="00FA0363" w:rsidRDefault="00FA0363" w:rsidP="00FA0363">
      <w:pPr>
        <w:pStyle w:val="13"/>
        <w:ind w:firstLine="482"/>
      </w:pPr>
      <w:r w:rsidRPr="009676FB">
        <w:rPr>
          <w:b/>
          <w:bCs/>
        </w:rPr>
        <w:t>4.0.7</w:t>
      </w:r>
      <w:r w:rsidR="002451CD">
        <w:t xml:space="preserve"> </w:t>
      </w:r>
      <w:r>
        <w:t>谨慎原则 principle of cautious</w:t>
      </w:r>
    </w:p>
    <w:p w14:paraId="1E69DF01" w14:textId="77777777" w:rsidR="00FA0363" w:rsidRDefault="00FA0363" w:rsidP="00FA0363">
      <w:pPr>
        <w:pStyle w:val="13"/>
      </w:pPr>
      <w:r>
        <w:rPr>
          <w:rFonts w:hint="eastAsia"/>
        </w:rPr>
        <w:lastRenderedPageBreak/>
        <w:t>要求在影响估价对象价值或价格的因素存在不确定性的情况下对其做出判断时，应充分考虑其导致估价对象价值或价格偏低的一面，慎重考虑其导致估价对象价值或价格偏高的一面的原则。</w:t>
      </w:r>
    </w:p>
    <w:p w14:paraId="5E9CE8FA" w14:textId="77777777" w:rsidR="00FA0363" w:rsidRDefault="00FA0363" w:rsidP="00AF7342">
      <w:pPr>
        <w:pStyle w:val="a9"/>
        <w:spacing w:before="62" w:after="62"/>
      </w:pPr>
      <w:r>
        <w:t>5 估价程序</w:t>
      </w:r>
    </w:p>
    <w:p w14:paraId="44A2A0D4" w14:textId="3A41C684" w:rsidR="00FA0363" w:rsidRDefault="00FA0363" w:rsidP="00FA0363">
      <w:pPr>
        <w:pStyle w:val="13"/>
        <w:ind w:firstLine="482"/>
      </w:pPr>
      <w:r w:rsidRPr="009676FB">
        <w:rPr>
          <w:b/>
          <w:bCs/>
        </w:rPr>
        <w:t>5.0.1</w:t>
      </w:r>
      <w:r w:rsidR="002451CD">
        <w:t xml:space="preserve"> </w:t>
      </w:r>
      <w:r>
        <w:t>估价委托书 appraisal assignment</w:t>
      </w:r>
    </w:p>
    <w:p w14:paraId="2E00AEF9" w14:textId="77777777" w:rsidR="00FA0363" w:rsidRDefault="00FA0363" w:rsidP="00FA0363">
      <w:pPr>
        <w:pStyle w:val="13"/>
      </w:pPr>
      <w:r>
        <w:rPr>
          <w:rFonts w:hint="eastAsia"/>
        </w:rPr>
        <w:t>估价委托人出具的委托房地产估价机构为其提供估价服务的文件。</w:t>
      </w:r>
    </w:p>
    <w:p w14:paraId="6B4544A5" w14:textId="514038A3" w:rsidR="00FA0363" w:rsidRDefault="00FA0363" w:rsidP="00FA0363">
      <w:pPr>
        <w:pStyle w:val="13"/>
        <w:ind w:firstLine="482"/>
      </w:pPr>
      <w:r w:rsidRPr="009676FB">
        <w:rPr>
          <w:b/>
          <w:bCs/>
        </w:rPr>
        <w:t>5.0.2</w:t>
      </w:r>
      <w:r w:rsidR="002451CD">
        <w:t xml:space="preserve"> </w:t>
      </w:r>
      <w:r>
        <w:t>估价委托合同 appraisal contract</w:t>
      </w:r>
    </w:p>
    <w:p w14:paraId="5B676500" w14:textId="77777777" w:rsidR="00FA0363" w:rsidRDefault="00FA0363" w:rsidP="00FA0363">
      <w:pPr>
        <w:pStyle w:val="13"/>
      </w:pPr>
      <w:r>
        <w:rPr>
          <w:rFonts w:hint="eastAsia"/>
        </w:rPr>
        <w:t>房地产估价机构和估价委托人之间就估价服务事宜订立的协议。</w:t>
      </w:r>
    </w:p>
    <w:p w14:paraId="289AA2F8" w14:textId="7F2F3380" w:rsidR="00FA0363" w:rsidRDefault="00FA0363" w:rsidP="00FA0363">
      <w:pPr>
        <w:pStyle w:val="13"/>
        <w:ind w:firstLine="482"/>
      </w:pPr>
      <w:r w:rsidRPr="009676FB">
        <w:rPr>
          <w:b/>
          <w:bCs/>
        </w:rPr>
        <w:t>5.0.3</w:t>
      </w:r>
      <w:r w:rsidR="002451CD">
        <w:t xml:space="preserve"> </w:t>
      </w:r>
      <w:r>
        <w:t>估价基本事项 basic appraisal issues</w:t>
      </w:r>
    </w:p>
    <w:p w14:paraId="4F6AC222" w14:textId="77777777" w:rsidR="00FA0363" w:rsidRDefault="00FA0363" w:rsidP="00FA0363">
      <w:pPr>
        <w:pStyle w:val="13"/>
      </w:pPr>
      <w:r>
        <w:rPr>
          <w:rFonts w:hint="eastAsia"/>
        </w:rPr>
        <w:t>估价目的、价值时点、估价对象和价值类型的统称。</w:t>
      </w:r>
    </w:p>
    <w:p w14:paraId="4DA67B7A" w14:textId="7F6DE008" w:rsidR="00FA0363" w:rsidRDefault="00FA0363" w:rsidP="00FA0363">
      <w:pPr>
        <w:pStyle w:val="13"/>
        <w:ind w:firstLine="482"/>
      </w:pPr>
      <w:r w:rsidRPr="009676FB">
        <w:rPr>
          <w:b/>
          <w:bCs/>
        </w:rPr>
        <w:t>5.0.4</w:t>
      </w:r>
      <w:r w:rsidR="002451CD">
        <w:t xml:space="preserve"> </w:t>
      </w:r>
      <w:r>
        <w:t>估价作业方案 appraisal work plan</w:t>
      </w:r>
    </w:p>
    <w:p w14:paraId="06DBCB18" w14:textId="77777777" w:rsidR="00FA0363" w:rsidRDefault="00FA0363" w:rsidP="00FA0363">
      <w:pPr>
        <w:pStyle w:val="13"/>
      </w:pPr>
      <w:r>
        <w:rPr>
          <w:rFonts w:hint="eastAsia"/>
        </w:rPr>
        <w:t>为完成特定估价项目而指定的用于知道未来估价工作的计划，包括工作的主要内容、质量要求、作业步骤、时间进度、人员安排等。</w:t>
      </w:r>
    </w:p>
    <w:p w14:paraId="390B0E0B" w14:textId="566D8B1F" w:rsidR="00FA0363" w:rsidRDefault="00FA0363" w:rsidP="00FA0363">
      <w:pPr>
        <w:pStyle w:val="13"/>
        <w:ind w:firstLine="482"/>
      </w:pPr>
      <w:r w:rsidRPr="009676FB">
        <w:rPr>
          <w:b/>
          <w:bCs/>
        </w:rPr>
        <w:t>5.0.5</w:t>
      </w:r>
      <w:r w:rsidR="002451CD">
        <w:t xml:space="preserve"> </w:t>
      </w:r>
      <w:r>
        <w:t>估价技术路线 appraisal technical route</w:t>
      </w:r>
    </w:p>
    <w:p w14:paraId="782689EB" w14:textId="77777777" w:rsidR="00FA0363" w:rsidRDefault="00FA0363" w:rsidP="00FA0363">
      <w:pPr>
        <w:pStyle w:val="13"/>
      </w:pPr>
      <w:r>
        <w:rPr>
          <w:rFonts w:hint="eastAsia"/>
        </w:rPr>
        <w:t>评估估价对象价值或价格所遵循的基本途径和知道整个估价过程的技术思路</w:t>
      </w:r>
    </w:p>
    <w:p w14:paraId="7985F8F9" w14:textId="7C8A7EB9" w:rsidR="00FA0363" w:rsidRDefault="00FA0363" w:rsidP="00FA0363">
      <w:pPr>
        <w:pStyle w:val="13"/>
        <w:ind w:firstLine="482"/>
      </w:pPr>
      <w:r w:rsidRPr="009676FB">
        <w:rPr>
          <w:b/>
          <w:bCs/>
        </w:rPr>
        <w:t>5.0.6</w:t>
      </w:r>
      <w:r w:rsidR="002451CD">
        <w:t xml:space="preserve"> </w:t>
      </w:r>
      <w:r>
        <w:t>实地查勘 on-site inspection</w:t>
      </w:r>
    </w:p>
    <w:p w14:paraId="23AD6B5C" w14:textId="77777777" w:rsidR="00FA0363" w:rsidRDefault="00FA0363" w:rsidP="00FA0363">
      <w:pPr>
        <w:pStyle w:val="13"/>
      </w:pPr>
      <w:r>
        <w:rPr>
          <w:rFonts w:hint="eastAsia"/>
        </w:rPr>
        <w:t>注册房地产估价师到估价对象或可比实例现场，观察、询问、检查、核对、记录估价对象或状况的活动。</w:t>
      </w:r>
    </w:p>
    <w:p w14:paraId="4EFC687C" w14:textId="0E4B8738" w:rsidR="00FA0363" w:rsidRDefault="00FA0363" w:rsidP="00FA0363">
      <w:pPr>
        <w:pStyle w:val="13"/>
        <w:ind w:firstLine="482"/>
      </w:pPr>
      <w:r w:rsidRPr="009676FB">
        <w:rPr>
          <w:b/>
          <w:bCs/>
        </w:rPr>
        <w:t>5.0.7</w:t>
      </w:r>
      <w:r w:rsidR="002451CD">
        <w:t xml:space="preserve"> </w:t>
      </w:r>
      <w:r>
        <w:t>实地勘察记录 on-site inspection notes</w:t>
      </w:r>
      <w:r w:rsidR="003068F8">
        <w:t>；</w:t>
      </w:r>
      <w:r>
        <w:t>on-site inspection records</w:t>
      </w:r>
    </w:p>
    <w:p w14:paraId="44414280" w14:textId="77777777" w:rsidR="00FA0363" w:rsidRDefault="00FA0363" w:rsidP="00FA0363">
      <w:pPr>
        <w:pStyle w:val="13"/>
      </w:pPr>
      <w:r>
        <w:rPr>
          <w:rFonts w:hint="eastAsia"/>
        </w:rPr>
        <w:t>记载实地查看的对象、内容、结果、人员和时间等内容的材料。</w:t>
      </w:r>
    </w:p>
    <w:p w14:paraId="16A10018" w14:textId="6213B616" w:rsidR="00FA0363" w:rsidRDefault="00FA0363" w:rsidP="00FA0363">
      <w:pPr>
        <w:pStyle w:val="13"/>
        <w:ind w:firstLine="482"/>
      </w:pPr>
      <w:r w:rsidRPr="009676FB">
        <w:rPr>
          <w:b/>
          <w:bCs/>
        </w:rPr>
        <w:t>5.0.8</w:t>
      </w:r>
      <w:r w:rsidR="002451CD">
        <w:t xml:space="preserve"> </w:t>
      </w:r>
      <w:r>
        <w:t>估价报告内部审核 internal appraisal review</w:t>
      </w:r>
    </w:p>
    <w:p w14:paraId="398D5928" w14:textId="77777777" w:rsidR="00FA0363" w:rsidRDefault="00FA0363" w:rsidP="00FA0363">
      <w:pPr>
        <w:pStyle w:val="13"/>
      </w:pPr>
      <w:r>
        <w:rPr>
          <w:rFonts w:hint="eastAsia"/>
        </w:rPr>
        <w:t>房地产估价机构按房地产估价相关要求和内部审核制度，对自己的已撰写完成而尚未向估价委托人出具的估价报告的内容和形式等的审查核定。</w:t>
      </w:r>
    </w:p>
    <w:p w14:paraId="7EA23576" w14:textId="3228C878" w:rsidR="00FA0363" w:rsidRDefault="00FA0363" w:rsidP="00FA0363">
      <w:pPr>
        <w:pStyle w:val="13"/>
        <w:ind w:firstLine="482"/>
      </w:pPr>
      <w:r w:rsidRPr="009676FB">
        <w:rPr>
          <w:b/>
          <w:bCs/>
        </w:rPr>
        <w:t>5.0.9</w:t>
      </w:r>
      <w:r w:rsidR="002451CD">
        <w:t xml:space="preserve"> </w:t>
      </w:r>
      <w:r>
        <w:t>估价资料归档 appraisal date filing</w:t>
      </w:r>
    </w:p>
    <w:p w14:paraId="2FE9D938" w14:textId="77777777" w:rsidR="00FA0363" w:rsidRDefault="00FA0363" w:rsidP="00FA0363">
      <w:pPr>
        <w:pStyle w:val="13"/>
      </w:pPr>
      <w:r>
        <w:rPr>
          <w:rFonts w:hint="eastAsia"/>
        </w:rPr>
        <w:t>收集、整理在估价活动中获得和形成的文字、图表、声像等形式的资料，对其中具有保存价值的资料进行分类并保存。</w:t>
      </w:r>
    </w:p>
    <w:p w14:paraId="393EFBCE" w14:textId="3D628B18" w:rsidR="00FA0363" w:rsidRDefault="00FA0363" w:rsidP="00FA0363">
      <w:pPr>
        <w:pStyle w:val="13"/>
        <w:ind w:firstLine="482"/>
      </w:pPr>
      <w:r w:rsidRPr="009676FB">
        <w:rPr>
          <w:b/>
          <w:bCs/>
        </w:rPr>
        <w:t>5.0.10</w:t>
      </w:r>
      <w:r w:rsidR="002451CD">
        <w:t xml:space="preserve"> </w:t>
      </w:r>
      <w:r>
        <w:t>估价档案 appraisal archives</w:t>
      </w:r>
    </w:p>
    <w:p w14:paraId="404EEC19" w14:textId="77777777" w:rsidR="00FA0363" w:rsidRDefault="00FA0363" w:rsidP="00FA0363">
      <w:pPr>
        <w:pStyle w:val="13"/>
      </w:pPr>
      <w:r>
        <w:rPr>
          <w:rFonts w:hint="eastAsia"/>
        </w:rPr>
        <w:t>房地产估价机构和注册房地产估价师在估价活动中获得和形成的具有保存价值的文字、图标、声像等形式的资料。</w:t>
      </w:r>
    </w:p>
    <w:p w14:paraId="2EC441E4" w14:textId="6831F027" w:rsidR="00FA0363" w:rsidRDefault="00FA0363" w:rsidP="00AF7342">
      <w:pPr>
        <w:pStyle w:val="a9"/>
        <w:spacing w:before="62" w:after="62"/>
      </w:pPr>
      <w:r>
        <w:t>6 估价方法</w:t>
      </w:r>
    </w:p>
    <w:p w14:paraId="3A209441" w14:textId="7760D919" w:rsidR="00FA0363" w:rsidRPr="009676FB" w:rsidRDefault="00FA0363" w:rsidP="00AF7342">
      <w:pPr>
        <w:pStyle w:val="a9"/>
        <w:spacing w:before="62" w:after="62"/>
      </w:pPr>
      <w:r w:rsidRPr="009676FB">
        <w:t>6.1</w:t>
      </w:r>
      <w:r w:rsidR="00F811C3">
        <w:t xml:space="preserve"> </w:t>
      </w:r>
      <w:r w:rsidRPr="009676FB">
        <w:t>比较法</w:t>
      </w:r>
    </w:p>
    <w:p w14:paraId="0EE465F2" w14:textId="074840AC" w:rsidR="00FA0363" w:rsidRDefault="00FA0363" w:rsidP="00FA0363">
      <w:pPr>
        <w:pStyle w:val="13"/>
        <w:ind w:firstLine="482"/>
      </w:pPr>
      <w:r w:rsidRPr="009676FB">
        <w:rPr>
          <w:b/>
          <w:bCs/>
        </w:rPr>
        <w:t>6.1.1</w:t>
      </w:r>
      <w:r w:rsidR="002451CD">
        <w:t xml:space="preserve"> </w:t>
      </w:r>
      <w:r>
        <w:t>比较法 sales comparison approach；comparative method</w:t>
      </w:r>
    </w:p>
    <w:p w14:paraId="6B27B0B4" w14:textId="77777777" w:rsidR="00FA0363" w:rsidRDefault="00FA0363" w:rsidP="00FA0363">
      <w:pPr>
        <w:pStyle w:val="13"/>
      </w:pPr>
      <w:r>
        <w:rPr>
          <w:rFonts w:hint="eastAsia"/>
        </w:rPr>
        <w:lastRenderedPageBreak/>
        <w:t>选取一定数量的可比实例，将它们与估价对象进行比较，根据期间的差异对可比实例成交价格进行处理后得到估价对象价值或价格的方法。</w:t>
      </w:r>
    </w:p>
    <w:p w14:paraId="6CB2E7A4" w14:textId="47856BFB" w:rsidR="00FA0363" w:rsidRDefault="00FA0363" w:rsidP="00FA0363">
      <w:pPr>
        <w:pStyle w:val="13"/>
        <w:ind w:firstLine="482"/>
      </w:pPr>
      <w:r w:rsidRPr="009676FB">
        <w:rPr>
          <w:b/>
          <w:bCs/>
        </w:rPr>
        <w:t>6.1.2</w:t>
      </w:r>
      <w:r w:rsidR="002451CD">
        <w:t xml:space="preserve"> </w:t>
      </w:r>
      <w:r>
        <w:t>交易实例 property sales</w:t>
      </w:r>
      <w:r w:rsidR="003068F8">
        <w:t>；</w:t>
      </w:r>
      <w:r>
        <w:t>property transactions</w:t>
      </w:r>
    </w:p>
    <w:p w14:paraId="266D8154" w14:textId="77777777" w:rsidR="00FA0363" w:rsidRDefault="00FA0363" w:rsidP="00FA0363">
      <w:pPr>
        <w:pStyle w:val="13"/>
      </w:pPr>
      <w:r>
        <w:rPr>
          <w:rFonts w:hint="eastAsia"/>
        </w:rPr>
        <w:t>真实成交的房地产等财产或相关权益及有关信息，包括交易对象的基本状况、交易双方基本情况、交易方式、成交日期、成交价格、付款方式、融资条件、交易税费负担、交易目的等。</w:t>
      </w:r>
    </w:p>
    <w:p w14:paraId="52074C01" w14:textId="1C90F7D7" w:rsidR="00FA0363" w:rsidRDefault="00FA0363" w:rsidP="00FA0363">
      <w:pPr>
        <w:pStyle w:val="13"/>
        <w:ind w:firstLine="482"/>
      </w:pPr>
      <w:r w:rsidRPr="009676FB">
        <w:rPr>
          <w:b/>
          <w:bCs/>
        </w:rPr>
        <w:t>6.1.3</w:t>
      </w:r>
      <w:r w:rsidR="002451CD">
        <w:t xml:space="preserve"> </w:t>
      </w:r>
      <w:r>
        <w:t>可比实例 comparable property；</w:t>
      </w:r>
      <w:proofErr w:type="spellStart"/>
      <w:r>
        <w:t>comparables</w:t>
      </w:r>
      <w:proofErr w:type="spellEnd"/>
    </w:p>
    <w:p w14:paraId="7CFBB00E" w14:textId="77777777" w:rsidR="00FA0363" w:rsidRDefault="00FA0363" w:rsidP="00FA0363">
      <w:pPr>
        <w:pStyle w:val="13"/>
      </w:pPr>
      <w:r>
        <w:rPr>
          <w:rFonts w:hint="eastAsia"/>
        </w:rPr>
        <w:t>交易实例中交易方式适合估价目的、成交日期接近价值时点、成交价格为正常价格或可修正为正常价格的估价对象的类似房地产等财产或相关权益。</w:t>
      </w:r>
    </w:p>
    <w:p w14:paraId="5E9E064A" w14:textId="667A31A6" w:rsidR="00FA0363" w:rsidRDefault="00FA0363" w:rsidP="00FA0363">
      <w:pPr>
        <w:pStyle w:val="13"/>
        <w:ind w:firstLine="482"/>
      </w:pPr>
      <w:r w:rsidRPr="009676FB">
        <w:rPr>
          <w:b/>
          <w:bCs/>
        </w:rPr>
        <w:t>6.1.4</w:t>
      </w:r>
      <w:r w:rsidR="002451CD">
        <w:t xml:space="preserve"> </w:t>
      </w:r>
      <w:r>
        <w:t xml:space="preserve">建立比较基准 </w:t>
      </w:r>
      <w:proofErr w:type="spellStart"/>
      <w:r>
        <w:t>estabishing</w:t>
      </w:r>
      <w:proofErr w:type="spellEnd"/>
      <w:r>
        <w:t xml:space="preserve"> comparison basis</w:t>
      </w:r>
    </w:p>
    <w:p w14:paraId="6F6432CD" w14:textId="77777777" w:rsidR="00FA0363" w:rsidRDefault="00FA0363" w:rsidP="00FA0363">
      <w:pPr>
        <w:pStyle w:val="13"/>
      </w:pPr>
      <w:r>
        <w:rPr>
          <w:rFonts w:hint="eastAsia"/>
        </w:rPr>
        <w:t>使可比实例成交价格与估价对象价值或价格之间、各个可比实例的成交价格之间口径一致、相互可比的处理。</w:t>
      </w:r>
    </w:p>
    <w:p w14:paraId="71FDCE38" w14:textId="4F1705CE" w:rsidR="00FA0363" w:rsidRDefault="00FA0363" w:rsidP="00FA0363">
      <w:pPr>
        <w:pStyle w:val="13"/>
        <w:ind w:firstLine="482"/>
      </w:pPr>
      <w:r w:rsidRPr="009676FB">
        <w:rPr>
          <w:b/>
          <w:bCs/>
        </w:rPr>
        <w:t>6.1.5</w:t>
      </w:r>
      <w:r w:rsidR="002451CD">
        <w:t xml:space="preserve"> </w:t>
      </w:r>
      <w:r>
        <w:t>交易情况修正 conditions of sale adjustment</w:t>
      </w:r>
    </w:p>
    <w:p w14:paraId="30DD1BFA" w14:textId="77777777" w:rsidR="00FA0363" w:rsidRDefault="00FA0363" w:rsidP="00FA0363">
      <w:pPr>
        <w:pStyle w:val="13"/>
      </w:pPr>
      <w:r>
        <w:rPr>
          <w:rFonts w:hint="eastAsia"/>
        </w:rPr>
        <w:t>使可比实例的非正常成交价格成为正常价格的处理。</w:t>
      </w:r>
    </w:p>
    <w:p w14:paraId="2D87135F" w14:textId="4ABD7C47" w:rsidR="00FA0363" w:rsidRDefault="00FA0363" w:rsidP="00FA0363">
      <w:pPr>
        <w:pStyle w:val="13"/>
        <w:ind w:firstLine="482"/>
      </w:pPr>
      <w:r w:rsidRPr="009676FB">
        <w:rPr>
          <w:b/>
          <w:bCs/>
        </w:rPr>
        <w:t>6.1.6</w:t>
      </w:r>
      <w:r w:rsidR="002451CD">
        <w:t xml:space="preserve"> </w:t>
      </w:r>
      <w:r>
        <w:t>市场状况调整 market conditions adjustment；</w:t>
      </w:r>
      <w:proofErr w:type="spellStart"/>
      <w:r>
        <w:t>tinme</w:t>
      </w:r>
      <w:proofErr w:type="spellEnd"/>
      <w:r>
        <w:t xml:space="preserve"> adjustment</w:t>
      </w:r>
    </w:p>
    <w:p w14:paraId="31FEFD47" w14:textId="77777777" w:rsidR="00FA0363" w:rsidRDefault="00FA0363" w:rsidP="00FA0363">
      <w:pPr>
        <w:pStyle w:val="13"/>
      </w:pPr>
      <w:r>
        <w:rPr>
          <w:rFonts w:hint="eastAsia"/>
        </w:rPr>
        <w:t>使可比实例在其成交日期的价格成为在价值时点的价格的处理。</w:t>
      </w:r>
    </w:p>
    <w:p w14:paraId="1E475780" w14:textId="06659F56" w:rsidR="00FA0363" w:rsidRDefault="00FA0363" w:rsidP="00FA0363">
      <w:pPr>
        <w:pStyle w:val="13"/>
        <w:ind w:firstLine="482"/>
      </w:pPr>
      <w:r w:rsidRPr="009676FB">
        <w:rPr>
          <w:b/>
          <w:bCs/>
        </w:rPr>
        <w:t>6.1.7</w:t>
      </w:r>
      <w:r w:rsidR="002451CD">
        <w:t xml:space="preserve"> </w:t>
      </w:r>
      <w:r>
        <w:t>房地产状况调整 property conditions adjustment</w:t>
      </w:r>
    </w:p>
    <w:p w14:paraId="31F480A6" w14:textId="77777777" w:rsidR="00FA0363" w:rsidRDefault="00FA0363" w:rsidP="00FA0363">
      <w:pPr>
        <w:pStyle w:val="13"/>
      </w:pPr>
      <w:r>
        <w:rPr>
          <w:rFonts w:hint="eastAsia"/>
        </w:rPr>
        <w:t>使可比实例在自身状况下的价格成为在估价对象状况下的价格处理，包括区位状况调整、实物状况调整和权益状况调整。</w:t>
      </w:r>
    </w:p>
    <w:p w14:paraId="0BF82E29" w14:textId="6FB918EC" w:rsidR="00FA0363" w:rsidRDefault="00FA0363" w:rsidP="00FA0363">
      <w:pPr>
        <w:pStyle w:val="13"/>
        <w:ind w:firstLine="482"/>
      </w:pPr>
      <w:r w:rsidRPr="009676FB">
        <w:rPr>
          <w:b/>
          <w:bCs/>
        </w:rPr>
        <w:t>6.1.8</w:t>
      </w:r>
      <w:r w:rsidR="002451CD">
        <w:t xml:space="preserve"> </w:t>
      </w:r>
      <w:r>
        <w:t>总价调整 adjustment based on total price</w:t>
      </w:r>
    </w:p>
    <w:p w14:paraId="4B0F83CE" w14:textId="77777777" w:rsidR="00FA0363" w:rsidRDefault="00FA0363" w:rsidP="00FA0363">
      <w:pPr>
        <w:pStyle w:val="13"/>
      </w:pPr>
      <w:r>
        <w:rPr>
          <w:rFonts w:hint="eastAsia"/>
        </w:rPr>
        <w:t>基于总价对可比实例成交价格进行的调整。</w:t>
      </w:r>
    </w:p>
    <w:p w14:paraId="2D40566C" w14:textId="7023AF5D" w:rsidR="00FA0363" w:rsidRDefault="00FA0363" w:rsidP="00FA0363">
      <w:pPr>
        <w:pStyle w:val="13"/>
        <w:ind w:firstLine="482"/>
      </w:pPr>
      <w:r w:rsidRPr="009676FB">
        <w:rPr>
          <w:b/>
          <w:bCs/>
        </w:rPr>
        <w:t>6.1.9</w:t>
      </w:r>
      <w:r w:rsidR="002451CD">
        <w:t xml:space="preserve"> </w:t>
      </w:r>
      <w:r>
        <w:t>单价调整 adjustment based on unit price</w:t>
      </w:r>
    </w:p>
    <w:p w14:paraId="184025E2" w14:textId="77777777" w:rsidR="00FA0363" w:rsidRDefault="00FA0363" w:rsidP="00FA0363">
      <w:pPr>
        <w:pStyle w:val="13"/>
      </w:pPr>
      <w:r>
        <w:rPr>
          <w:rFonts w:hint="eastAsia"/>
        </w:rPr>
        <w:t>基于单价对可比实例成交价格进行的调整。</w:t>
      </w:r>
    </w:p>
    <w:p w14:paraId="6FFA0EDD" w14:textId="66D86AA9" w:rsidR="00FA0363" w:rsidRDefault="00FA0363" w:rsidP="00FA0363">
      <w:pPr>
        <w:pStyle w:val="13"/>
        <w:ind w:firstLine="482"/>
      </w:pPr>
      <w:r w:rsidRPr="009676FB">
        <w:rPr>
          <w:b/>
          <w:bCs/>
        </w:rPr>
        <w:t>6.1.10</w:t>
      </w:r>
      <w:r w:rsidR="002451CD">
        <w:t xml:space="preserve"> </w:t>
      </w:r>
      <w:r>
        <w:t>金额调整 dollar adjustments</w:t>
      </w:r>
    </w:p>
    <w:p w14:paraId="6719243A" w14:textId="77777777" w:rsidR="00FA0363" w:rsidRDefault="00FA0363" w:rsidP="00FA0363">
      <w:pPr>
        <w:pStyle w:val="13"/>
      </w:pPr>
      <w:r>
        <w:rPr>
          <w:rFonts w:hint="eastAsia"/>
        </w:rPr>
        <w:t>采用金额对可比实例成交价格进行的调整。</w:t>
      </w:r>
    </w:p>
    <w:p w14:paraId="4A8FAD4C" w14:textId="41AC617E" w:rsidR="00FA0363" w:rsidRDefault="00FA0363" w:rsidP="00FA0363">
      <w:pPr>
        <w:pStyle w:val="13"/>
        <w:ind w:firstLine="482"/>
      </w:pPr>
      <w:r w:rsidRPr="009676FB">
        <w:rPr>
          <w:b/>
          <w:bCs/>
        </w:rPr>
        <w:t>6.1.11</w:t>
      </w:r>
      <w:r w:rsidR="002451CD">
        <w:t xml:space="preserve"> </w:t>
      </w:r>
      <w:r>
        <w:t>百分比调整 percentage adjustments</w:t>
      </w:r>
    </w:p>
    <w:p w14:paraId="04F8097D" w14:textId="77777777" w:rsidR="00FA0363" w:rsidRDefault="00FA0363" w:rsidP="00FA0363">
      <w:pPr>
        <w:pStyle w:val="13"/>
      </w:pPr>
      <w:r>
        <w:rPr>
          <w:rFonts w:hint="eastAsia"/>
        </w:rPr>
        <w:t>采用百分比对可比实例成交价格进行的调整。</w:t>
      </w:r>
    </w:p>
    <w:p w14:paraId="3A90C1D3" w14:textId="5C0F6B7A" w:rsidR="00FA0363" w:rsidRDefault="00FA0363" w:rsidP="00FA0363">
      <w:pPr>
        <w:pStyle w:val="13"/>
        <w:ind w:firstLine="482"/>
      </w:pPr>
      <w:r w:rsidRPr="009676FB">
        <w:rPr>
          <w:b/>
          <w:bCs/>
        </w:rPr>
        <w:t>6.1.12</w:t>
      </w:r>
      <w:r w:rsidR="002451CD">
        <w:t xml:space="preserve"> </w:t>
      </w:r>
      <w:r>
        <w:t>直接比较调整 direct comparison adjustments</w:t>
      </w:r>
    </w:p>
    <w:p w14:paraId="5E688515" w14:textId="77777777" w:rsidR="00FA0363" w:rsidRDefault="00FA0363" w:rsidP="00FA0363">
      <w:pPr>
        <w:pStyle w:val="13"/>
      </w:pPr>
      <w:r>
        <w:rPr>
          <w:rFonts w:hint="eastAsia"/>
        </w:rPr>
        <w:t>以估价对象状况为基准，将可比实例状况与估价对象状况进行比较，根据其间的差异对可比实例成交价格进行的调整。</w:t>
      </w:r>
    </w:p>
    <w:p w14:paraId="6AC650C4" w14:textId="14D2E4B2" w:rsidR="00FA0363" w:rsidRDefault="00FA0363" w:rsidP="00FA0363">
      <w:pPr>
        <w:pStyle w:val="13"/>
        <w:ind w:firstLine="482"/>
      </w:pPr>
      <w:r w:rsidRPr="009676FB">
        <w:rPr>
          <w:b/>
          <w:bCs/>
        </w:rPr>
        <w:t>6.1.13</w:t>
      </w:r>
      <w:r w:rsidR="002451CD">
        <w:t xml:space="preserve"> </w:t>
      </w:r>
      <w:r>
        <w:t>间接比较调整 indirect comparison adjustments</w:t>
      </w:r>
    </w:p>
    <w:p w14:paraId="55155CBF" w14:textId="77777777" w:rsidR="00FA0363" w:rsidRDefault="00FA0363" w:rsidP="00FA0363">
      <w:pPr>
        <w:pStyle w:val="13"/>
      </w:pPr>
      <w:r>
        <w:rPr>
          <w:rFonts w:hint="eastAsia"/>
        </w:rPr>
        <w:t>选定或设定标准房地产，将估价对象状况和可比实例状况分别与标准房地产状况进行比较，根据其间的差异对可比实例成交价格进行的调整。</w:t>
      </w:r>
    </w:p>
    <w:p w14:paraId="2F93FACE" w14:textId="7C2F50B7" w:rsidR="00FA0363" w:rsidRDefault="00FA0363" w:rsidP="00FA0363">
      <w:pPr>
        <w:pStyle w:val="13"/>
        <w:ind w:firstLine="482"/>
      </w:pPr>
      <w:r w:rsidRPr="009676FB">
        <w:rPr>
          <w:b/>
          <w:bCs/>
        </w:rPr>
        <w:t>6.1.14</w:t>
      </w:r>
      <w:r w:rsidR="002451CD">
        <w:t xml:space="preserve"> </w:t>
      </w:r>
      <w:proofErr w:type="gramStart"/>
      <w:r>
        <w:t>楼幢调整</w:t>
      </w:r>
      <w:proofErr w:type="gramEnd"/>
      <w:r>
        <w:t>系数 building adjusting factor</w:t>
      </w:r>
    </w:p>
    <w:p w14:paraId="5B098E7F" w14:textId="77777777" w:rsidR="00FA0363" w:rsidRDefault="00FA0363" w:rsidP="00FA0363">
      <w:pPr>
        <w:pStyle w:val="13"/>
      </w:pPr>
      <w:r>
        <w:rPr>
          <w:rFonts w:hint="eastAsia"/>
        </w:rPr>
        <w:lastRenderedPageBreak/>
        <w:t>对位于</w:t>
      </w:r>
      <w:proofErr w:type="gramStart"/>
      <w:r>
        <w:rPr>
          <w:rFonts w:hint="eastAsia"/>
        </w:rPr>
        <w:t>不</w:t>
      </w:r>
      <w:proofErr w:type="gramEnd"/>
      <w:r>
        <w:rPr>
          <w:rFonts w:hint="eastAsia"/>
        </w:rPr>
        <w:t>同楼幢的房地产价格进行转换的系数。</w:t>
      </w:r>
    </w:p>
    <w:p w14:paraId="18AC79ED" w14:textId="18871227" w:rsidR="00FA0363" w:rsidRDefault="00FA0363" w:rsidP="00FA0363">
      <w:pPr>
        <w:pStyle w:val="13"/>
        <w:ind w:firstLine="482"/>
      </w:pPr>
      <w:r w:rsidRPr="009676FB">
        <w:rPr>
          <w:b/>
          <w:bCs/>
        </w:rPr>
        <w:t>6.1.15</w:t>
      </w:r>
      <w:r w:rsidR="002451CD">
        <w:rPr>
          <w:b/>
          <w:bCs/>
        </w:rPr>
        <w:t xml:space="preserve"> </w:t>
      </w:r>
      <w:r>
        <w:t>楼层调整系数 floor adjusting factor</w:t>
      </w:r>
    </w:p>
    <w:p w14:paraId="2BCE4022" w14:textId="77777777" w:rsidR="00FA0363" w:rsidRDefault="00FA0363" w:rsidP="00FA0363">
      <w:pPr>
        <w:pStyle w:val="13"/>
      </w:pPr>
      <w:r>
        <w:rPr>
          <w:rFonts w:hint="eastAsia"/>
        </w:rPr>
        <w:t>对位于</w:t>
      </w:r>
      <w:proofErr w:type="gramStart"/>
      <w:r>
        <w:rPr>
          <w:rFonts w:hint="eastAsia"/>
        </w:rPr>
        <w:t>不</w:t>
      </w:r>
      <w:proofErr w:type="gramEnd"/>
      <w:r>
        <w:rPr>
          <w:rFonts w:hint="eastAsia"/>
        </w:rPr>
        <w:t>同楼层的房地产价格进行转换的系数。</w:t>
      </w:r>
    </w:p>
    <w:p w14:paraId="227F1352" w14:textId="19205506" w:rsidR="00FA0363" w:rsidRDefault="00FA0363" w:rsidP="00FA0363">
      <w:pPr>
        <w:pStyle w:val="13"/>
        <w:ind w:firstLine="482"/>
      </w:pPr>
      <w:r w:rsidRPr="009676FB">
        <w:rPr>
          <w:b/>
          <w:bCs/>
        </w:rPr>
        <w:t>6.1.16</w:t>
      </w:r>
      <w:r w:rsidR="002451CD">
        <w:t xml:space="preserve"> </w:t>
      </w:r>
      <w:r>
        <w:t>朝向调整系数 aspect adjusting factor</w:t>
      </w:r>
    </w:p>
    <w:p w14:paraId="001508C2" w14:textId="77777777" w:rsidR="00FA0363" w:rsidRDefault="00FA0363" w:rsidP="00FA0363">
      <w:pPr>
        <w:pStyle w:val="13"/>
      </w:pPr>
      <w:r>
        <w:rPr>
          <w:rFonts w:hint="eastAsia"/>
        </w:rPr>
        <w:t>对位于不同朝向的房地产价格进行转换的系数。</w:t>
      </w:r>
    </w:p>
    <w:p w14:paraId="41FDB765" w14:textId="0EBB06C9" w:rsidR="00FA0363" w:rsidRDefault="00FA0363" w:rsidP="00AF7342">
      <w:pPr>
        <w:pStyle w:val="a9"/>
        <w:spacing w:before="62" w:after="62"/>
      </w:pPr>
      <w:r>
        <w:t>6.2</w:t>
      </w:r>
      <w:r w:rsidR="00F811C3">
        <w:t xml:space="preserve"> </w:t>
      </w:r>
      <w:r>
        <w:t>收益法</w:t>
      </w:r>
    </w:p>
    <w:p w14:paraId="3D716B05" w14:textId="77C532A4" w:rsidR="00FA0363" w:rsidRDefault="00FA0363" w:rsidP="00FA0363">
      <w:pPr>
        <w:pStyle w:val="13"/>
        <w:ind w:firstLine="482"/>
      </w:pPr>
      <w:r w:rsidRPr="009676FB">
        <w:rPr>
          <w:b/>
          <w:bCs/>
        </w:rPr>
        <w:t>6.2.1</w:t>
      </w:r>
      <w:r w:rsidR="002451CD">
        <w:t xml:space="preserve"> </w:t>
      </w:r>
      <w:r>
        <w:t>收益法 income capitalization approach；income approach</w:t>
      </w:r>
    </w:p>
    <w:p w14:paraId="43237150" w14:textId="77777777" w:rsidR="00FA0363" w:rsidRDefault="00FA0363" w:rsidP="00FA0363">
      <w:pPr>
        <w:pStyle w:val="13"/>
      </w:pPr>
      <w:r>
        <w:rPr>
          <w:rFonts w:hint="eastAsia"/>
        </w:rPr>
        <w:t>预测估价对象的未来收益，利用报酬率或资本化率、收益乘数将未来收益转换为价值得到估价对象价值或价格的方法。</w:t>
      </w:r>
    </w:p>
    <w:p w14:paraId="41BEE361" w14:textId="77142DFD" w:rsidR="00FA0363" w:rsidRDefault="00FA0363" w:rsidP="00FA0363">
      <w:pPr>
        <w:pStyle w:val="13"/>
        <w:ind w:firstLine="482"/>
      </w:pPr>
      <w:r w:rsidRPr="009676FB">
        <w:rPr>
          <w:b/>
          <w:bCs/>
        </w:rPr>
        <w:t>6.2.2</w:t>
      </w:r>
      <w:r w:rsidR="002451CD">
        <w:t xml:space="preserve"> </w:t>
      </w:r>
      <w:r>
        <w:t>报酬资本化法 yield capitalization</w:t>
      </w:r>
    </w:p>
    <w:p w14:paraId="5325C77F" w14:textId="77777777" w:rsidR="00FA0363" w:rsidRDefault="00FA0363" w:rsidP="00FA0363">
      <w:pPr>
        <w:pStyle w:val="13"/>
      </w:pPr>
      <w:r>
        <w:rPr>
          <w:rFonts w:hint="eastAsia"/>
        </w:rPr>
        <w:t>预测估价对象未来各年的净收益，利用报酬率将其折现到价值时点后相加得到估价对象价值或价格的方法。</w:t>
      </w:r>
    </w:p>
    <w:p w14:paraId="6B632302" w14:textId="7EC1CADE" w:rsidR="00FA0363" w:rsidRDefault="00FA0363" w:rsidP="00FA0363">
      <w:pPr>
        <w:pStyle w:val="13"/>
        <w:ind w:firstLine="482"/>
      </w:pPr>
      <w:r w:rsidRPr="009676FB">
        <w:rPr>
          <w:b/>
          <w:bCs/>
        </w:rPr>
        <w:t>6.2.3</w:t>
      </w:r>
      <w:r w:rsidR="002451CD">
        <w:t xml:space="preserve"> </w:t>
      </w:r>
      <w:r>
        <w:t>直接资本化法 direct capitalization</w:t>
      </w:r>
    </w:p>
    <w:p w14:paraId="5542F5B1" w14:textId="77777777" w:rsidR="00FA0363" w:rsidRDefault="00FA0363" w:rsidP="00FA0363">
      <w:pPr>
        <w:pStyle w:val="13"/>
      </w:pPr>
      <w:r>
        <w:rPr>
          <w:rFonts w:hint="eastAsia"/>
        </w:rPr>
        <w:t>预测估价对象未来第一年的收益，将其除以资本化率或乘以收益乘数得到对象价值或价格的方法。</w:t>
      </w:r>
    </w:p>
    <w:p w14:paraId="04D86BC9" w14:textId="26697603" w:rsidR="00FA0363" w:rsidRDefault="00FA0363" w:rsidP="00FA0363">
      <w:pPr>
        <w:pStyle w:val="13"/>
        <w:ind w:firstLine="482"/>
      </w:pPr>
      <w:r w:rsidRPr="009676FB">
        <w:rPr>
          <w:b/>
          <w:bCs/>
        </w:rPr>
        <w:t>6.2.4</w:t>
      </w:r>
      <w:r w:rsidR="002451CD">
        <w:t xml:space="preserve"> </w:t>
      </w:r>
      <w:r>
        <w:t>收益乘数法 income multiplier method</w:t>
      </w:r>
    </w:p>
    <w:p w14:paraId="7DABA162" w14:textId="77777777" w:rsidR="00FA0363" w:rsidRDefault="00FA0363" w:rsidP="00FA0363">
      <w:pPr>
        <w:pStyle w:val="13"/>
      </w:pPr>
      <w:r>
        <w:rPr>
          <w:rFonts w:hint="eastAsia"/>
        </w:rPr>
        <w:t>预测估价对象未来第一年的收益，将其乘以收益乘数得到估价对象价值或价格的方法。</w:t>
      </w:r>
    </w:p>
    <w:p w14:paraId="3C5B229D" w14:textId="7441E046" w:rsidR="00FA0363" w:rsidRDefault="00FA0363" w:rsidP="00FA0363">
      <w:pPr>
        <w:pStyle w:val="13"/>
        <w:ind w:firstLine="482"/>
      </w:pPr>
      <w:r w:rsidRPr="009676FB">
        <w:rPr>
          <w:b/>
          <w:bCs/>
        </w:rPr>
        <w:t>6.2.5</w:t>
      </w:r>
      <w:r w:rsidR="002451CD">
        <w:t xml:space="preserve"> </w:t>
      </w:r>
      <w:r>
        <w:t>收益期 remaining economic life</w:t>
      </w:r>
    </w:p>
    <w:p w14:paraId="0F4BBE2D" w14:textId="77777777" w:rsidR="00FA0363" w:rsidRDefault="00FA0363" w:rsidP="00FA0363">
      <w:pPr>
        <w:pStyle w:val="13"/>
      </w:pPr>
      <w:r>
        <w:rPr>
          <w:rFonts w:hint="eastAsia"/>
        </w:rPr>
        <w:t>预计正常市场和运营状况下估价对象未来可获取净收益的时间，即</w:t>
      </w:r>
      <w:proofErr w:type="gramStart"/>
      <w:r>
        <w:rPr>
          <w:rFonts w:hint="eastAsia"/>
        </w:rPr>
        <w:t>自价值</w:t>
      </w:r>
      <w:proofErr w:type="gramEnd"/>
      <w:r>
        <w:rPr>
          <w:rFonts w:hint="eastAsia"/>
        </w:rPr>
        <w:t>时点起至估价对象未来不能获取净收益时止的时间。</w:t>
      </w:r>
    </w:p>
    <w:p w14:paraId="67CB6F5B" w14:textId="75944CCA" w:rsidR="00FA0363" w:rsidRDefault="00FA0363" w:rsidP="00FA0363">
      <w:pPr>
        <w:pStyle w:val="13"/>
        <w:ind w:firstLine="482"/>
      </w:pPr>
      <w:r w:rsidRPr="009676FB">
        <w:rPr>
          <w:b/>
          <w:bCs/>
        </w:rPr>
        <w:t>6.2.6</w:t>
      </w:r>
      <w:r w:rsidR="002451CD">
        <w:t xml:space="preserve"> </w:t>
      </w:r>
      <w:r>
        <w:t>持有期 holding period</w:t>
      </w:r>
    </w:p>
    <w:p w14:paraId="027BD9F1" w14:textId="77777777" w:rsidR="00FA0363" w:rsidRDefault="00FA0363" w:rsidP="00FA0363">
      <w:pPr>
        <w:pStyle w:val="13"/>
      </w:pPr>
      <w:r>
        <w:rPr>
          <w:rFonts w:hint="eastAsia"/>
        </w:rPr>
        <w:t>预计正常情况下持有估价对象的时间，即</w:t>
      </w:r>
      <w:proofErr w:type="gramStart"/>
      <w:r>
        <w:rPr>
          <w:rFonts w:hint="eastAsia"/>
        </w:rPr>
        <w:t>自价值</w:t>
      </w:r>
      <w:proofErr w:type="gramEnd"/>
      <w:r>
        <w:rPr>
          <w:rFonts w:hint="eastAsia"/>
        </w:rPr>
        <w:t>时点起至估价对象未来转售时止的时间。</w:t>
      </w:r>
    </w:p>
    <w:p w14:paraId="6464AAE5" w14:textId="67ECE5EE" w:rsidR="00FA0363" w:rsidRDefault="00FA0363" w:rsidP="00FA0363">
      <w:pPr>
        <w:pStyle w:val="13"/>
        <w:ind w:firstLine="482"/>
      </w:pPr>
      <w:r w:rsidRPr="009676FB">
        <w:rPr>
          <w:b/>
          <w:bCs/>
        </w:rPr>
        <w:t>6.2.7</w:t>
      </w:r>
      <w:r w:rsidR="002451CD">
        <w:t xml:space="preserve"> </w:t>
      </w:r>
      <w:r>
        <w:t>潜在毛收入 potential gross income</w:t>
      </w:r>
    </w:p>
    <w:p w14:paraId="04FD03D1" w14:textId="77777777" w:rsidR="00FA0363" w:rsidRDefault="00FA0363" w:rsidP="00FA0363">
      <w:pPr>
        <w:pStyle w:val="13"/>
      </w:pPr>
      <w:r>
        <w:rPr>
          <w:rFonts w:hint="eastAsia"/>
        </w:rPr>
        <w:t>估价对象在充分利用、没有空置和收租损失情况下所能获得的归因于估价对象的总收入。</w:t>
      </w:r>
    </w:p>
    <w:p w14:paraId="79880D43" w14:textId="0A1EA89A" w:rsidR="00FA0363" w:rsidRDefault="00FA0363" w:rsidP="00FA0363">
      <w:pPr>
        <w:pStyle w:val="13"/>
        <w:ind w:firstLine="482"/>
      </w:pPr>
      <w:r w:rsidRPr="009676FB">
        <w:rPr>
          <w:b/>
          <w:bCs/>
        </w:rPr>
        <w:t>6.2.8</w:t>
      </w:r>
      <w:r w:rsidR="002451CD">
        <w:t xml:space="preserve"> </w:t>
      </w:r>
      <w:r>
        <w:t>空置和收租损失 vacancy and collection loss</w:t>
      </w:r>
    </w:p>
    <w:p w14:paraId="7371C736" w14:textId="77777777" w:rsidR="00FA0363" w:rsidRDefault="00FA0363" w:rsidP="00FA0363">
      <w:pPr>
        <w:pStyle w:val="13"/>
      </w:pPr>
      <w:r>
        <w:rPr>
          <w:rFonts w:hint="eastAsia"/>
        </w:rPr>
        <w:t>因空置或承租人拖欠租金等造成的收入损失。</w:t>
      </w:r>
    </w:p>
    <w:p w14:paraId="6EF456D4" w14:textId="34B17D89" w:rsidR="00FA0363" w:rsidRDefault="00FA0363" w:rsidP="00FA0363">
      <w:pPr>
        <w:pStyle w:val="13"/>
        <w:ind w:firstLine="482"/>
      </w:pPr>
      <w:r w:rsidRPr="009676FB">
        <w:rPr>
          <w:b/>
          <w:bCs/>
        </w:rPr>
        <w:t>6.2.9</w:t>
      </w:r>
      <w:r w:rsidR="002451CD">
        <w:t xml:space="preserve"> </w:t>
      </w:r>
      <w:r>
        <w:t>有效毛收入 effective gross income</w:t>
      </w:r>
    </w:p>
    <w:p w14:paraId="2EB3F8BB" w14:textId="77777777" w:rsidR="00FA0363" w:rsidRDefault="00FA0363" w:rsidP="00FA0363">
      <w:pPr>
        <w:pStyle w:val="13"/>
      </w:pPr>
      <w:r>
        <w:rPr>
          <w:rFonts w:hint="eastAsia"/>
        </w:rPr>
        <w:t>潜在毛收入减去空置和收租损失后的收入。</w:t>
      </w:r>
    </w:p>
    <w:p w14:paraId="4959DF32" w14:textId="12E1DBCB" w:rsidR="00FA0363" w:rsidRDefault="00FA0363" w:rsidP="00FA0363">
      <w:pPr>
        <w:pStyle w:val="13"/>
        <w:ind w:firstLine="482"/>
      </w:pPr>
      <w:r w:rsidRPr="009676FB">
        <w:rPr>
          <w:b/>
          <w:bCs/>
        </w:rPr>
        <w:t>6.2.10</w:t>
      </w:r>
      <w:r w:rsidR="002451CD">
        <w:t xml:space="preserve"> </w:t>
      </w:r>
      <w:r>
        <w:t xml:space="preserve">运营费用 operating </w:t>
      </w:r>
      <w:proofErr w:type="spellStart"/>
      <w:r>
        <w:t>e×penses</w:t>
      </w:r>
      <w:proofErr w:type="spellEnd"/>
    </w:p>
    <w:p w14:paraId="17D46306" w14:textId="77777777" w:rsidR="00FA0363" w:rsidRDefault="00FA0363" w:rsidP="00FA0363">
      <w:pPr>
        <w:pStyle w:val="13"/>
      </w:pPr>
      <w:r>
        <w:rPr>
          <w:rFonts w:hint="eastAsia"/>
        </w:rPr>
        <w:t>维持估价对象正常使用或营业的必要支出。</w:t>
      </w:r>
    </w:p>
    <w:p w14:paraId="49E79932" w14:textId="55F082CD" w:rsidR="00FA0363" w:rsidRDefault="00FA0363" w:rsidP="00FA0363">
      <w:pPr>
        <w:pStyle w:val="13"/>
        <w:ind w:firstLine="482"/>
      </w:pPr>
      <w:r w:rsidRPr="009676FB">
        <w:rPr>
          <w:b/>
          <w:bCs/>
        </w:rPr>
        <w:t>6.2.11</w:t>
      </w:r>
      <w:r w:rsidR="002451CD">
        <w:rPr>
          <w:b/>
          <w:bCs/>
        </w:rPr>
        <w:t xml:space="preserve"> </w:t>
      </w:r>
      <w:r>
        <w:t xml:space="preserve">运营费用率 operating </w:t>
      </w:r>
      <w:proofErr w:type="spellStart"/>
      <w:r>
        <w:t>e×penses</w:t>
      </w:r>
      <w:proofErr w:type="spellEnd"/>
      <w:r>
        <w:t xml:space="preserve"> ratio</w:t>
      </w:r>
    </w:p>
    <w:p w14:paraId="54ECFFF6" w14:textId="77777777" w:rsidR="00FA0363" w:rsidRDefault="00FA0363" w:rsidP="00FA0363">
      <w:pPr>
        <w:pStyle w:val="13"/>
      </w:pPr>
      <w:r>
        <w:rPr>
          <w:rFonts w:hint="eastAsia"/>
        </w:rPr>
        <w:lastRenderedPageBreak/>
        <w:t>运营费用与有效毛收入的百分比。</w:t>
      </w:r>
    </w:p>
    <w:p w14:paraId="23245051" w14:textId="7D0C40D4" w:rsidR="00FA0363" w:rsidRDefault="00FA0363" w:rsidP="00FA0363">
      <w:pPr>
        <w:pStyle w:val="13"/>
        <w:ind w:firstLine="482"/>
      </w:pPr>
      <w:r w:rsidRPr="009676FB">
        <w:rPr>
          <w:b/>
          <w:bCs/>
        </w:rPr>
        <w:t>6.2.12</w:t>
      </w:r>
      <w:r w:rsidR="002451CD">
        <w:t xml:space="preserve"> </w:t>
      </w:r>
      <w:r>
        <w:t>净收益 net operating income</w:t>
      </w:r>
    </w:p>
    <w:p w14:paraId="432A05FF" w14:textId="77777777" w:rsidR="00FA0363" w:rsidRDefault="00FA0363" w:rsidP="00FA0363">
      <w:pPr>
        <w:pStyle w:val="13"/>
      </w:pPr>
      <w:r>
        <w:rPr>
          <w:rFonts w:hint="eastAsia"/>
        </w:rPr>
        <w:t>有关收入减去费用后归因于估价对象的收益。</w:t>
      </w:r>
    </w:p>
    <w:p w14:paraId="3E34E7EC" w14:textId="1A833AF0" w:rsidR="00FA0363" w:rsidRDefault="00FA0363" w:rsidP="00FA0363">
      <w:pPr>
        <w:pStyle w:val="13"/>
        <w:ind w:firstLine="482"/>
      </w:pPr>
      <w:r w:rsidRPr="009676FB">
        <w:rPr>
          <w:b/>
          <w:bCs/>
        </w:rPr>
        <w:t>6.2.13</w:t>
      </w:r>
      <w:r w:rsidR="002451CD">
        <w:t xml:space="preserve"> </w:t>
      </w:r>
      <w:r>
        <w:t>净收益率 net income ratio</w:t>
      </w:r>
    </w:p>
    <w:p w14:paraId="0EB20BE0" w14:textId="77777777" w:rsidR="00FA0363" w:rsidRDefault="00FA0363" w:rsidP="00FA0363">
      <w:pPr>
        <w:pStyle w:val="13"/>
      </w:pPr>
      <w:r>
        <w:rPr>
          <w:rFonts w:hint="eastAsia"/>
        </w:rPr>
        <w:t>净收益与有效毛收入的百分比。</w:t>
      </w:r>
    </w:p>
    <w:p w14:paraId="5F7E3A42" w14:textId="2E54F2A5" w:rsidR="00FA0363" w:rsidRDefault="00FA0363" w:rsidP="00FA0363">
      <w:pPr>
        <w:pStyle w:val="13"/>
        <w:ind w:firstLine="482"/>
      </w:pPr>
      <w:r w:rsidRPr="009676FB">
        <w:rPr>
          <w:b/>
          <w:bCs/>
        </w:rPr>
        <w:t>6.2.14</w:t>
      </w:r>
      <w:r w:rsidR="002451CD">
        <w:t xml:space="preserve"> </w:t>
      </w:r>
      <w:r>
        <w:t>期间收益 annual income</w:t>
      </w:r>
    </w:p>
    <w:p w14:paraId="088DE46D" w14:textId="77777777" w:rsidR="00FA0363" w:rsidRDefault="00FA0363" w:rsidP="00FA0363">
      <w:pPr>
        <w:pStyle w:val="13"/>
      </w:pPr>
      <w:r>
        <w:rPr>
          <w:rFonts w:hint="eastAsia"/>
        </w:rPr>
        <w:t>预计持有期间各年可获得的净收益。</w:t>
      </w:r>
    </w:p>
    <w:p w14:paraId="4680D308" w14:textId="3113526D" w:rsidR="00FA0363" w:rsidRDefault="00FA0363" w:rsidP="00FA0363">
      <w:pPr>
        <w:pStyle w:val="13"/>
        <w:ind w:firstLine="482"/>
      </w:pPr>
      <w:r w:rsidRPr="009676FB">
        <w:rPr>
          <w:b/>
          <w:bCs/>
        </w:rPr>
        <w:t>6.2.15</w:t>
      </w:r>
      <w:r w:rsidR="002451CD">
        <w:t xml:space="preserve"> </w:t>
      </w:r>
      <w:r>
        <w:t>期末转售收益 reversion；income at reversion</w:t>
      </w:r>
    </w:p>
    <w:p w14:paraId="572CC4E7" w14:textId="77777777" w:rsidR="00FA0363" w:rsidRDefault="00FA0363" w:rsidP="00FA0363">
      <w:pPr>
        <w:pStyle w:val="13"/>
      </w:pPr>
      <w:r>
        <w:rPr>
          <w:rFonts w:hint="eastAsia"/>
        </w:rPr>
        <w:t>预计在持有期末转售房地产时可获得的净收益。</w:t>
      </w:r>
    </w:p>
    <w:p w14:paraId="6B8ABA71" w14:textId="3F0321ED" w:rsidR="00FA0363" w:rsidRDefault="00FA0363" w:rsidP="00FA0363">
      <w:pPr>
        <w:pStyle w:val="13"/>
        <w:ind w:firstLine="482"/>
      </w:pPr>
      <w:r w:rsidRPr="009676FB">
        <w:rPr>
          <w:b/>
          <w:bCs/>
        </w:rPr>
        <w:t>6.2.16</w:t>
      </w:r>
      <w:r w:rsidR="002451CD">
        <w:t xml:space="preserve"> </w:t>
      </w:r>
      <w:r>
        <w:t>实际收益 actual income</w:t>
      </w:r>
    </w:p>
    <w:p w14:paraId="441F69CD" w14:textId="77777777" w:rsidR="00FA0363" w:rsidRDefault="00FA0363" w:rsidP="00FA0363">
      <w:pPr>
        <w:pStyle w:val="13"/>
      </w:pPr>
      <w:r>
        <w:rPr>
          <w:rFonts w:hint="eastAsia"/>
        </w:rPr>
        <w:t>估价对象实际获得收益。</w:t>
      </w:r>
    </w:p>
    <w:p w14:paraId="042AB4EB" w14:textId="11541B82" w:rsidR="00FA0363" w:rsidRDefault="00FA0363" w:rsidP="00FA0363">
      <w:pPr>
        <w:pStyle w:val="13"/>
        <w:ind w:firstLine="482"/>
      </w:pPr>
      <w:r w:rsidRPr="009676FB">
        <w:rPr>
          <w:b/>
          <w:bCs/>
        </w:rPr>
        <w:t>6.2.17</w:t>
      </w:r>
      <w:r w:rsidR="002451CD">
        <w:t xml:space="preserve"> </w:t>
      </w:r>
      <w:r>
        <w:t>客观收益 objective income</w:t>
      </w:r>
    </w:p>
    <w:p w14:paraId="756B4DDF" w14:textId="77777777" w:rsidR="00FA0363" w:rsidRDefault="00FA0363" w:rsidP="00FA0363">
      <w:pPr>
        <w:pStyle w:val="13"/>
      </w:pPr>
      <w:r>
        <w:rPr>
          <w:rFonts w:hint="eastAsia"/>
        </w:rPr>
        <w:t>估价对象在正常情况下所能获得的收益，或实际收益经剔除特殊的、偶然的因素后收益。</w:t>
      </w:r>
    </w:p>
    <w:p w14:paraId="30974E30" w14:textId="17ACD126" w:rsidR="00FA0363" w:rsidRDefault="00FA0363" w:rsidP="00FA0363">
      <w:pPr>
        <w:pStyle w:val="13"/>
        <w:ind w:firstLine="482"/>
      </w:pPr>
      <w:r w:rsidRPr="009676FB">
        <w:rPr>
          <w:b/>
          <w:bCs/>
        </w:rPr>
        <w:t>6.2.18</w:t>
      </w:r>
      <w:r w:rsidR="002451CD">
        <w:t xml:space="preserve"> </w:t>
      </w:r>
      <w:r>
        <w:t>合同租金 contract rent</w:t>
      </w:r>
    </w:p>
    <w:p w14:paraId="379F49C0" w14:textId="77777777" w:rsidR="00FA0363" w:rsidRDefault="00FA0363" w:rsidP="00FA0363">
      <w:pPr>
        <w:pStyle w:val="13"/>
      </w:pPr>
      <w:r>
        <w:rPr>
          <w:rFonts w:hint="eastAsia"/>
        </w:rPr>
        <w:t>租赁合同约定的租金。</w:t>
      </w:r>
    </w:p>
    <w:p w14:paraId="74DD1B12" w14:textId="47AA66DD" w:rsidR="00FA0363" w:rsidRDefault="00FA0363" w:rsidP="00FA0363">
      <w:pPr>
        <w:pStyle w:val="13"/>
        <w:ind w:firstLine="482"/>
      </w:pPr>
      <w:r w:rsidRPr="009676FB">
        <w:rPr>
          <w:b/>
          <w:bCs/>
        </w:rPr>
        <w:t>6.2.19</w:t>
      </w:r>
      <w:r w:rsidR="002451CD">
        <w:t xml:space="preserve"> </w:t>
      </w:r>
      <w:r>
        <w:t>市场租金 market rent</w:t>
      </w:r>
    </w:p>
    <w:p w14:paraId="616476F3" w14:textId="77777777" w:rsidR="00FA0363" w:rsidRDefault="00FA0363" w:rsidP="00FA0363">
      <w:pPr>
        <w:pStyle w:val="13"/>
      </w:pPr>
      <w:r>
        <w:rPr>
          <w:rFonts w:hint="eastAsia"/>
        </w:rPr>
        <w:t>某种房地产在市场上的平均租金。</w:t>
      </w:r>
    </w:p>
    <w:p w14:paraId="66343A64" w14:textId="78CC9562" w:rsidR="00FA0363" w:rsidRDefault="00FA0363" w:rsidP="00FA0363">
      <w:pPr>
        <w:pStyle w:val="13"/>
        <w:ind w:firstLine="482"/>
      </w:pPr>
      <w:r w:rsidRPr="009676FB">
        <w:rPr>
          <w:b/>
          <w:bCs/>
        </w:rPr>
        <w:t>6.2.20</w:t>
      </w:r>
      <w:r w:rsidR="002451CD">
        <w:t xml:space="preserve"> </w:t>
      </w:r>
      <w:r>
        <w:t>安全利率 safe rate</w:t>
      </w:r>
    </w:p>
    <w:p w14:paraId="7CB100AA" w14:textId="77777777" w:rsidR="00FA0363" w:rsidRDefault="00FA0363" w:rsidP="00FA0363">
      <w:pPr>
        <w:pStyle w:val="13"/>
      </w:pPr>
      <w:r>
        <w:rPr>
          <w:rFonts w:hint="eastAsia"/>
        </w:rPr>
        <w:t>没有风险或绩效风险的投资报酬率。</w:t>
      </w:r>
    </w:p>
    <w:p w14:paraId="2D738101" w14:textId="1A32EA7D" w:rsidR="00FA0363" w:rsidRDefault="00FA0363" w:rsidP="00FA0363">
      <w:pPr>
        <w:pStyle w:val="13"/>
        <w:ind w:firstLine="482"/>
      </w:pPr>
      <w:r w:rsidRPr="009676FB">
        <w:rPr>
          <w:b/>
          <w:bCs/>
        </w:rPr>
        <w:t>6.2.21</w:t>
      </w:r>
      <w:r w:rsidR="002451CD">
        <w:t xml:space="preserve"> </w:t>
      </w:r>
      <w:r>
        <w:t>报酬率 yield rate</w:t>
      </w:r>
    </w:p>
    <w:p w14:paraId="4328D7F5" w14:textId="77777777" w:rsidR="00FA0363" w:rsidRDefault="00FA0363" w:rsidP="00FA0363">
      <w:pPr>
        <w:pStyle w:val="13"/>
      </w:pPr>
      <w:r>
        <w:rPr>
          <w:rFonts w:hint="eastAsia"/>
        </w:rPr>
        <w:t>将估价对象未来各年的净收益转换为估价对象价值或价格的折现率。</w:t>
      </w:r>
    </w:p>
    <w:p w14:paraId="10F1AE9E" w14:textId="5E8427D1" w:rsidR="00FA0363" w:rsidRDefault="00FA0363" w:rsidP="00FA0363">
      <w:pPr>
        <w:pStyle w:val="13"/>
        <w:ind w:firstLine="482"/>
      </w:pPr>
      <w:r w:rsidRPr="009676FB">
        <w:rPr>
          <w:b/>
          <w:bCs/>
        </w:rPr>
        <w:t>6.2.22</w:t>
      </w:r>
      <w:r w:rsidR="002451CD">
        <w:t xml:space="preserve"> </w:t>
      </w:r>
      <w:r>
        <w:t>资本化率 capitalization rate</w:t>
      </w:r>
    </w:p>
    <w:p w14:paraId="22C4AA5C" w14:textId="77777777" w:rsidR="00FA0363" w:rsidRDefault="00FA0363" w:rsidP="00FA0363">
      <w:pPr>
        <w:pStyle w:val="13"/>
      </w:pPr>
      <w:r>
        <w:rPr>
          <w:rFonts w:hint="eastAsia"/>
        </w:rPr>
        <w:t>房地产未来第一年的净收益与其价值或价格的百分比。</w:t>
      </w:r>
    </w:p>
    <w:p w14:paraId="6DC83F6B" w14:textId="6A5BB565" w:rsidR="00FA0363" w:rsidRDefault="00FA0363" w:rsidP="00FA0363">
      <w:pPr>
        <w:pStyle w:val="13"/>
        <w:ind w:firstLine="482"/>
      </w:pPr>
      <w:r w:rsidRPr="009676FB">
        <w:rPr>
          <w:b/>
          <w:bCs/>
        </w:rPr>
        <w:t>6.2.23</w:t>
      </w:r>
      <w:r w:rsidR="002451CD">
        <w:t xml:space="preserve"> </w:t>
      </w:r>
      <w:r>
        <w:t>综合资本化率 overall capitalization rate</w:t>
      </w:r>
    </w:p>
    <w:p w14:paraId="3635EE52" w14:textId="77777777" w:rsidR="00FA0363" w:rsidRDefault="00FA0363" w:rsidP="00FA0363">
      <w:pPr>
        <w:pStyle w:val="13"/>
      </w:pPr>
      <w:r>
        <w:rPr>
          <w:rFonts w:hint="eastAsia"/>
        </w:rPr>
        <w:t>用于将全部房地产的</w:t>
      </w:r>
      <w:proofErr w:type="gramStart"/>
      <w:r>
        <w:rPr>
          <w:rFonts w:hint="eastAsia"/>
        </w:rPr>
        <w:t>经收益</w:t>
      </w:r>
      <w:proofErr w:type="gramEnd"/>
      <w:r>
        <w:rPr>
          <w:rFonts w:hint="eastAsia"/>
        </w:rPr>
        <w:t>转换为房地产价值的资本化率。</w:t>
      </w:r>
    </w:p>
    <w:p w14:paraId="4E04A2C5" w14:textId="6215C55F" w:rsidR="00FA0363" w:rsidRDefault="00FA0363" w:rsidP="00FA0363">
      <w:pPr>
        <w:pStyle w:val="13"/>
        <w:ind w:firstLine="482"/>
      </w:pPr>
      <w:r w:rsidRPr="009676FB">
        <w:rPr>
          <w:b/>
          <w:bCs/>
        </w:rPr>
        <w:t>6.2.24</w:t>
      </w:r>
      <w:r w:rsidR="002451CD">
        <w:t xml:space="preserve"> </w:t>
      </w:r>
      <w:r>
        <w:t>土地资本化率 land capitalization rate</w:t>
      </w:r>
    </w:p>
    <w:p w14:paraId="22E53762" w14:textId="77777777" w:rsidR="00FA0363" w:rsidRDefault="00FA0363" w:rsidP="00FA0363">
      <w:pPr>
        <w:pStyle w:val="13"/>
      </w:pPr>
      <w:r>
        <w:rPr>
          <w:rFonts w:hint="eastAsia"/>
        </w:rPr>
        <w:t>用于将归因于土地的净收益转换为土地价值的资本化率。</w:t>
      </w:r>
    </w:p>
    <w:p w14:paraId="4E8A7FF2" w14:textId="0CE5B508" w:rsidR="00FA0363" w:rsidRDefault="00FA0363" w:rsidP="00FA0363">
      <w:pPr>
        <w:pStyle w:val="13"/>
        <w:ind w:firstLine="482"/>
      </w:pPr>
      <w:r w:rsidRPr="009676FB">
        <w:rPr>
          <w:b/>
          <w:bCs/>
        </w:rPr>
        <w:t>6.2.25</w:t>
      </w:r>
      <w:r w:rsidR="002451CD">
        <w:t xml:space="preserve"> </w:t>
      </w:r>
      <w:r>
        <w:t>建筑物资本化率 building capitalization rate</w:t>
      </w:r>
    </w:p>
    <w:p w14:paraId="325B3C7C" w14:textId="77777777" w:rsidR="00FA0363" w:rsidRDefault="00FA0363" w:rsidP="00FA0363">
      <w:pPr>
        <w:pStyle w:val="13"/>
      </w:pPr>
      <w:r>
        <w:rPr>
          <w:rFonts w:hint="eastAsia"/>
        </w:rPr>
        <w:t>用于将归因于建筑物的</w:t>
      </w:r>
      <w:proofErr w:type="gramStart"/>
      <w:r>
        <w:rPr>
          <w:rFonts w:hint="eastAsia"/>
        </w:rPr>
        <w:t>经收益</w:t>
      </w:r>
      <w:proofErr w:type="gramEnd"/>
      <w:r>
        <w:rPr>
          <w:rFonts w:hint="eastAsia"/>
        </w:rPr>
        <w:t>转换为建筑物价值的资本化率。</w:t>
      </w:r>
    </w:p>
    <w:p w14:paraId="712C2527" w14:textId="4028B935" w:rsidR="00FA0363" w:rsidRDefault="00FA0363" w:rsidP="00FA0363">
      <w:pPr>
        <w:pStyle w:val="13"/>
        <w:ind w:firstLine="482"/>
      </w:pPr>
      <w:r w:rsidRPr="009676FB">
        <w:rPr>
          <w:b/>
          <w:bCs/>
        </w:rPr>
        <w:t>6.2.26</w:t>
      </w:r>
      <w:r w:rsidR="002451CD">
        <w:rPr>
          <w:b/>
          <w:bCs/>
        </w:rPr>
        <w:t xml:space="preserve"> </w:t>
      </w:r>
      <w:r>
        <w:t>收益乘数 income multiplier</w:t>
      </w:r>
    </w:p>
    <w:p w14:paraId="459A4DA4" w14:textId="77777777" w:rsidR="00FA0363" w:rsidRDefault="00FA0363" w:rsidP="00FA0363">
      <w:pPr>
        <w:pStyle w:val="13"/>
      </w:pPr>
      <w:r>
        <w:rPr>
          <w:rFonts w:hint="eastAsia"/>
        </w:rPr>
        <w:t>房地产价值或价格与其未来第一年的收益的比值，包括潜在毛收入成熟、毛租金乘数、有效毛收入乘数、净收益乘数。</w:t>
      </w:r>
    </w:p>
    <w:p w14:paraId="4BA16BD0" w14:textId="7DC1BC3C" w:rsidR="00FA0363" w:rsidRDefault="00FA0363" w:rsidP="00FA0363">
      <w:pPr>
        <w:pStyle w:val="13"/>
        <w:ind w:firstLine="482"/>
      </w:pPr>
      <w:r w:rsidRPr="009676FB">
        <w:rPr>
          <w:b/>
          <w:bCs/>
        </w:rPr>
        <w:t>6.2.27</w:t>
      </w:r>
      <w:r w:rsidR="002451CD">
        <w:t xml:space="preserve"> </w:t>
      </w:r>
      <w:r>
        <w:t xml:space="preserve">市场提取法 market </w:t>
      </w:r>
      <w:proofErr w:type="spellStart"/>
      <w:r>
        <w:t>e×traction</w:t>
      </w:r>
      <w:proofErr w:type="spellEnd"/>
      <w:r>
        <w:t xml:space="preserve"> method</w:t>
      </w:r>
    </w:p>
    <w:p w14:paraId="0AB1DF3C" w14:textId="77777777" w:rsidR="00FA0363" w:rsidRDefault="00FA0363" w:rsidP="00FA0363">
      <w:pPr>
        <w:pStyle w:val="13"/>
      </w:pPr>
      <w:r>
        <w:rPr>
          <w:rFonts w:hint="eastAsia"/>
        </w:rPr>
        <w:lastRenderedPageBreak/>
        <w:t>通过可比实例的有关数据测算相关估价参数的方法。</w:t>
      </w:r>
    </w:p>
    <w:p w14:paraId="64CDBE03" w14:textId="3D92C02A" w:rsidR="00FA0363" w:rsidRDefault="00FA0363" w:rsidP="00FA0363">
      <w:pPr>
        <w:pStyle w:val="13"/>
        <w:ind w:firstLine="482"/>
      </w:pPr>
      <w:r w:rsidRPr="009676FB">
        <w:rPr>
          <w:b/>
          <w:bCs/>
        </w:rPr>
        <w:t>6.2.28</w:t>
      </w:r>
      <w:r w:rsidR="002451CD">
        <w:rPr>
          <w:b/>
          <w:bCs/>
        </w:rPr>
        <w:t xml:space="preserve"> </w:t>
      </w:r>
      <w:r>
        <w:t>土地剩余技术 land residual technique</w:t>
      </w:r>
    </w:p>
    <w:p w14:paraId="43FF624A" w14:textId="77777777" w:rsidR="00FA0363" w:rsidRDefault="00FA0363" w:rsidP="00FA0363">
      <w:pPr>
        <w:pStyle w:val="13"/>
      </w:pPr>
      <w:r>
        <w:rPr>
          <w:rFonts w:hint="eastAsia"/>
        </w:rPr>
        <w:t>从土地和建筑物共同产生的净收益中减去建筑物的净收益，分离出归因于土地的净收益，再利用土地资本化率或土地报酬率将土地净收益转换为土地价值的方法。</w:t>
      </w:r>
    </w:p>
    <w:p w14:paraId="376A8B9F" w14:textId="35820407" w:rsidR="00FA0363" w:rsidRDefault="00FA0363" w:rsidP="00FA0363">
      <w:pPr>
        <w:pStyle w:val="13"/>
        <w:ind w:firstLine="482"/>
      </w:pPr>
      <w:r w:rsidRPr="009676FB">
        <w:rPr>
          <w:b/>
          <w:bCs/>
        </w:rPr>
        <w:t>6.2.29</w:t>
      </w:r>
      <w:r w:rsidR="002451CD">
        <w:t xml:space="preserve"> </w:t>
      </w:r>
      <w:r>
        <w:t>建筑物剩余技术 building residual technique</w:t>
      </w:r>
    </w:p>
    <w:p w14:paraId="0D7B2B55" w14:textId="77777777" w:rsidR="00FA0363" w:rsidRDefault="00FA0363" w:rsidP="00FA0363">
      <w:pPr>
        <w:pStyle w:val="13"/>
      </w:pPr>
      <w:r>
        <w:rPr>
          <w:rFonts w:hint="eastAsia"/>
        </w:rPr>
        <w:t>从土地和建筑物共同产生的净收益中减去土地的净收益，分离出归因于建筑物的净收益，再利用建筑物资本化率或建筑物报酬率建筑物净收益转换为建筑物价值的方法。</w:t>
      </w:r>
    </w:p>
    <w:p w14:paraId="493A03D1" w14:textId="7692521A" w:rsidR="00FA0363" w:rsidRDefault="00FA0363" w:rsidP="00AF7342">
      <w:pPr>
        <w:pStyle w:val="a9"/>
        <w:spacing w:before="62" w:after="62"/>
      </w:pPr>
      <w:r>
        <w:t>6.3</w:t>
      </w:r>
      <w:r w:rsidR="00F811C3">
        <w:t xml:space="preserve"> </w:t>
      </w:r>
      <w:r>
        <w:t>成本法</w:t>
      </w:r>
    </w:p>
    <w:p w14:paraId="51B13BA5" w14:textId="7833375A" w:rsidR="00FA0363" w:rsidRDefault="00FA0363" w:rsidP="00FA0363">
      <w:pPr>
        <w:pStyle w:val="13"/>
        <w:ind w:firstLine="482"/>
      </w:pPr>
      <w:r w:rsidRPr="009676FB">
        <w:rPr>
          <w:b/>
          <w:bCs/>
        </w:rPr>
        <w:t>6.3.1</w:t>
      </w:r>
      <w:r w:rsidR="002451CD">
        <w:t xml:space="preserve"> </w:t>
      </w:r>
      <w:r>
        <w:t>成本法 cost approach；contractor's method</w:t>
      </w:r>
    </w:p>
    <w:p w14:paraId="174A172A" w14:textId="77777777" w:rsidR="00FA0363" w:rsidRDefault="00FA0363" w:rsidP="00FA0363">
      <w:pPr>
        <w:pStyle w:val="13"/>
      </w:pPr>
      <w:r>
        <w:rPr>
          <w:rFonts w:hint="eastAsia"/>
        </w:rPr>
        <w:t>测算估价对象在价值时点的重置成本或重建成本和折旧，将重置成本或重建成本减去折旧得到估价对象价值或价格的方法。</w:t>
      </w:r>
    </w:p>
    <w:p w14:paraId="10676128" w14:textId="1ACB2718" w:rsidR="00FA0363" w:rsidRDefault="00FA0363" w:rsidP="00FA0363">
      <w:pPr>
        <w:pStyle w:val="13"/>
        <w:ind w:firstLine="482"/>
      </w:pPr>
      <w:r w:rsidRPr="009676FB">
        <w:rPr>
          <w:b/>
          <w:bCs/>
        </w:rPr>
        <w:t>6.3.2</w:t>
      </w:r>
      <w:r w:rsidR="002451CD">
        <w:t xml:space="preserve"> </w:t>
      </w:r>
      <w:r>
        <w:t>土地重置成本 land replacement cost</w:t>
      </w:r>
    </w:p>
    <w:p w14:paraId="6906E62A" w14:textId="77777777" w:rsidR="00FA0363" w:rsidRDefault="00FA0363" w:rsidP="00FA0363">
      <w:pPr>
        <w:pStyle w:val="13"/>
      </w:pPr>
      <w:r>
        <w:rPr>
          <w:rFonts w:hint="eastAsia"/>
        </w:rPr>
        <w:t>在价值时点重新购置土地的必要支出，或重新开发土地的必要支出及应得利润。</w:t>
      </w:r>
    </w:p>
    <w:p w14:paraId="48B8C0A9" w14:textId="7D12829D" w:rsidR="00FA0363" w:rsidRDefault="00FA0363" w:rsidP="00FA0363">
      <w:pPr>
        <w:pStyle w:val="13"/>
        <w:ind w:firstLine="482"/>
      </w:pPr>
      <w:r w:rsidRPr="009676FB">
        <w:rPr>
          <w:b/>
          <w:bCs/>
        </w:rPr>
        <w:t>6.3.3</w:t>
      </w:r>
      <w:r w:rsidR="002451CD">
        <w:t xml:space="preserve"> </w:t>
      </w:r>
      <w:r>
        <w:t>建筑物重置成本 building replacement cost</w:t>
      </w:r>
    </w:p>
    <w:p w14:paraId="72C3E058" w14:textId="77777777" w:rsidR="00FA0363" w:rsidRDefault="00FA0363" w:rsidP="00FA0363">
      <w:pPr>
        <w:pStyle w:val="13"/>
      </w:pPr>
      <w:r>
        <w:rPr>
          <w:rFonts w:hint="eastAsia"/>
        </w:rPr>
        <w:t>采用价值时点的建筑材料，建筑构配件和设备及建筑技术、工艺等，在家知识点的国家财税制度和市场价格体系下，重新建造与估价对象中的建筑物具有相同效用的全新建筑物的必要支出及应得利润。</w:t>
      </w:r>
    </w:p>
    <w:p w14:paraId="5F827EB6" w14:textId="3C7FEE95" w:rsidR="00FA0363" w:rsidRDefault="00FA0363" w:rsidP="00FA0363">
      <w:pPr>
        <w:pStyle w:val="13"/>
        <w:ind w:firstLine="482"/>
      </w:pPr>
      <w:r w:rsidRPr="009676FB">
        <w:rPr>
          <w:b/>
          <w:bCs/>
        </w:rPr>
        <w:t>6.3.4</w:t>
      </w:r>
      <w:r w:rsidR="002451CD">
        <w:t xml:space="preserve"> </w:t>
      </w:r>
      <w:r>
        <w:t>建筑物重建成本 building reproduction cost</w:t>
      </w:r>
    </w:p>
    <w:p w14:paraId="2C43F7F1" w14:textId="4E163680" w:rsidR="00FA0363" w:rsidRDefault="00FA0363" w:rsidP="00FA0363">
      <w:pPr>
        <w:pStyle w:val="13"/>
      </w:pPr>
      <w:r>
        <w:rPr>
          <w:rFonts w:hint="eastAsia"/>
        </w:rPr>
        <w:t>采用估价对象中的建筑物相同的建筑材料、建筑构配件和设备及建筑技术、工艺等</w:t>
      </w:r>
      <w:r w:rsidR="003068F8">
        <w:rPr>
          <w:rFonts w:hint="eastAsia"/>
        </w:rPr>
        <w:t>，</w:t>
      </w:r>
      <w:r>
        <w:t>在价值时点的国家财税制度和市场价格体系下，重新建造与估价对象中的建筑物完全相同的全新建筑物的必要支出及应得利润。</w:t>
      </w:r>
    </w:p>
    <w:p w14:paraId="468B9AA3" w14:textId="35B8084B" w:rsidR="00FA0363" w:rsidRDefault="00FA0363" w:rsidP="00FA0363">
      <w:pPr>
        <w:pStyle w:val="13"/>
        <w:ind w:firstLine="482"/>
      </w:pPr>
      <w:r w:rsidRPr="00797CCF">
        <w:rPr>
          <w:b/>
          <w:bCs/>
        </w:rPr>
        <w:t>6.3.5</w:t>
      </w:r>
      <w:r w:rsidR="002451CD">
        <w:t xml:space="preserve"> </w:t>
      </w:r>
      <w:r>
        <w:t>实际成本 actual cost</w:t>
      </w:r>
    </w:p>
    <w:p w14:paraId="74B840FE" w14:textId="77777777" w:rsidR="00FA0363" w:rsidRDefault="00FA0363" w:rsidP="00FA0363">
      <w:pPr>
        <w:pStyle w:val="13"/>
      </w:pPr>
      <w:r>
        <w:rPr>
          <w:rFonts w:hint="eastAsia"/>
        </w:rPr>
        <w:t>购置估价对象实际支出，或开发建设估价对象的实际支出</w:t>
      </w:r>
      <w:proofErr w:type="gramStart"/>
      <w:r>
        <w:rPr>
          <w:rFonts w:hint="eastAsia"/>
        </w:rPr>
        <w:t>及所得</w:t>
      </w:r>
      <w:proofErr w:type="gramEnd"/>
      <w:r>
        <w:rPr>
          <w:rFonts w:hint="eastAsia"/>
        </w:rPr>
        <w:t>利润。</w:t>
      </w:r>
    </w:p>
    <w:p w14:paraId="5BA2520C" w14:textId="05878FDF" w:rsidR="00FA0363" w:rsidRDefault="00FA0363" w:rsidP="00FA0363">
      <w:pPr>
        <w:pStyle w:val="13"/>
        <w:ind w:firstLine="482"/>
      </w:pPr>
      <w:r w:rsidRPr="00797CCF">
        <w:rPr>
          <w:b/>
          <w:bCs/>
        </w:rPr>
        <w:t>6.3.6</w:t>
      </w:r>
      <w:r w:rsidR="002451CD">
        <w:t xml:space="preserve"> </w:t>
      </w:r>
      <w:r>
        <w:t>客观成本 objective cost</w:t>
      </w:r>
    </w:p>
    <w:p w14:paraId="7D328746" w14:textId="77777777" w:rsidR="00FA0363" w:rsidRDefault="00FA0363" w:rsidP="00FA0363">
      <w:pPr>
        <w:pStyle w:val="13"/>
      </w:pPr>
      <w:r>
        <w:rPr>
          <w:rFonts w:hint="eastAsia"/>
        </w:rPr>
        <w:t>购置估价对象的必要支出，或开发建设估价对象的必要支出及应得利润，或实际成本经剔除特殊的、偶然的因素后的成本。</w:t>
      </w:r>
    </w:p>
    <w:p w14:paraId="167C7E5F" w14:textId="717BECE3" w:rsidR="00FA0363" w:rsidRDefault="00FA0363" w:rsidP="00FA0363">
      <w:pPr>
        <w:pStyle w:val="13"/>
        <w:ind w:firstLine="482"/>
      </w:pPr>
      <w:r w:rsidRPr="00797CCF">
        <w:rPr>
          <w:b/>
          <w:bCs/>
        </w:rPr>
        <w:t>6.3.7</w:t>
      </w:r>
      <w:r w:rsidR="002451CD">
        <w:t xml:space="preserve"> </w:t>
      </w:r>
      <w:r>
        <w:t>单位比较法 comparative-unit method</w:t>
      </w:r>
    </w:p>
    <w:p w14:paraId="4108B264" w14:textId="77777777" w:rsidR="00FA0363" w:rsidRDefault="00FA0363" w:rsidP="00FA0363">
      <w:pPr>
        <w:pStyle w:val="13"/>
      </w:pPr>
      <w:r>
        <w:rPr>
          <w:rFonts w:hint="eastAsia"/>
        </w:rPr>
        <w:t>以建筑物为整体，选取与该类建筑物的建筑安装工程密切相关的某种计量单位为比较单位，调查在价值时点的近期建成的类似建筑物的单位建筑安装工程费，对其进行处理后得到建筑物建筑安装工程费的方法。</w:t>
      </w:r>
    </w:p>
    <w:p w14:paraId="05B082CB" w14:textId="21892FCD" w:rsidR="00FA0363" w:rsidRDefault="00FA0363" w:rsidP="00FA0363">
      <w:pPr>
        <w:pStyle w:val="13"/>
        <w:ind w:firstLine="482"/>
      </w:pPr>
      <w:r w:rsidRPr="00797CCF">
        <w:rPr>
          <w:b/>
          <w:bCs/>
        </w:rPr>
        <w:t>6.3.8</w:t>
      </w:r>
      <w:r w:rsidR="002451CD">
        <w:t xml:space="preserve"> </w:t>
      </w:r>
      <w:r>
        <w:t>分部分项法 unit-in-place method</w:t>
      </w:r>
    </w:p>
    <w:p w14:paraId="5F965EC4" w14:textId="3515F678" w:rsidR="00FA0363" w:rsidRDefault="00FA0363" w:rsidP="00FA0363">
      <w:pPr>
        <w:pStyle w:val="13"/>
      </w:pPr>
      <w:r>
        <w:rPr>
          <w:rFonts w:hint="eastAsia"/>
        </w:rPr>
        <w:t>把建筑物分解为各个分部工程或分项工程，测算每个分部工程或分项工程的数量</w:t>
      </w:r>
      <w:r w:rsidR="003068F8">
        <w:rPr>
          <w:rFonts w:hint="eastAsia"/>
        </w:rPr>
        <w:t>，</w:t>
      </w:r>
      <w:r>
        <w:t>调查各个分部工程或分项工程在价值时点的单位价格或单位成本，将各个分部工</w:t>
      </w:r>
      <w:r>
        <w:lastRenderedPageBreak/>
        <w:t>程或分项工程的数量乘以相应的单位价格或单位成本后相加得到建筑物建筑安装工程费的方</w:t>
      </w:r>
      <w:r>
        <w:rPr>
          <w:rFonts w:hint="eastAsia"/>
        </w:rPr>
        <w:t>法。</w:t>
      </w:r>
    </w:p>
    <w:p w14:paraId="26BE67D0" w14:textId="1BDA0414" w:rsidR="00FA0363" w:rsidRDefault="00FA0363" w:rsidP="00FA0363">
      <w:pPr>
        <w:pStyle w:val="13"/>
        <w:ind w:firstLine="482"/>
      </w:pPr>
      <w:r w:rsidRPr="00797CCF">
        <w:rPr>
          <w:b/>
          <w:bCs/>
        </w:rPr>
        <w:t>6.3.9</w:t>
      </w:r>
      <w:r w:rsidR="002451CD">
        <w:t xml:space="preserve"> </w:t>
      </w:r>
      <w:r>
        <w:t>工料测量法 quantity survey method</w:t>
      </w:r>
    </w:p>
    <w:p w14:paraId="71A14B89" w14:textId="77777777" w:rsidR="00FA0363" w:rsidRDefault="00FA0363" w:rsidP="00FA0363">
      <w:pPr>
        <w:pStyle w:val="13"/>
      </w:pPr>
      <w:r>
        <w:rPr>
          <w:rFonts w:hint="eastAsia"/>
        </w:rPr>
        <w:t>把建筑物还原为建筑材料、建筑物配件和设备，测算重新建造该建筑物所需的建筑材料、建筑构配件、设备的种类和数量、施工机械台班数、人工时数，调查在价值时点相应的单价及人工费标准，将各种建筑材料、建筑构配件、设备、施工机械台班的数量及人工时数乘以相应的单价和人工费标准后相加，并计取相应的措施项目费、</w:t>
      </w:r>
      <w:proofErr w:type="gramStart"/>
      <w:r>
        <w:rPr>
          <w:rFonts w:hint="eastAsia"/>
        </w:rPr>
        <w:t>规</w:t>
      </w:r>
      <w:proofErr w:type="gramEnd"/>
      <w:r>
        <w:rPr>
          <w:rFonts w:hint="eastAsia"/>
        </w:rPr>
        <w:t>费和税金等得到建筑物建筑安装工程费的方法。</w:t>
      </w:r>
    </w:p>
    <w:p w14:paraId="53DBB0B8" w14:textId="1469ED30" w:rsidR="00FA0363" w:rsidRDefault="00FA0363" w:rsidP="00FA0363">
      <w:pPr>
        <w:pStyle w:val="13"/>
        <w:ind w:firstLine="482"/>
      </w:pPr>
      <w:r w:rsidRPr="00797CCF">
        <w:rPr>
          <w:b/>
          <w:bCs/>
        </w:rPr>
        <w:t>6.3.10</w:t>
      </w:r>
      <w:r w:rsidR="002451CD">
        <w:t xml:space="preserve"> </w:t>
      </w:r>
      <w:r>
        <w:t>房地产开发利润率 developer's profit rate</w:t>
      </w:r>
    </w:p>
    <w:p w14:paraId="2E1756B1" w14:textId="77777777" w:rsidR="00FA0363" w:rsidRDefault="00FA0363" w:rsidP="00FA0363">
      <w:pPr>
        <w:pStyle w:val="13"/>
      </w:pPr>
      <w:r>
        <w:rPr>
          <w:rFonts w:hint="eastAsia"/>
        </w:rPr>
        <w:t>房地产开发利润与房地产开发投资或开发成本、销售价格等的百分比，分为投资利润率、直接成本利润率、成本利润率、销售利润率、税前利润率、税后利润率，总利润率、年利润率等。</w:t>
      </w:r>
    </w:p>
    <w:p w14:paraId="50658197" w14:textId="75DB4F5B" w:rsidR="00FA0363" w:rsidRDefault="00FA0363" w:rsidP="00FA0363">
      <w:pPr>
        <w:pStyle w:val="13"/>
        <w:ind w:firstLine="482"/>
      </w:pPr>
      <w:r w:rsidRPr="00797CCF">
        <w:rPr>
          <w:b/>
          <w:bCs/>
        </w:rPr>
        <w:t>6.3.11</w:t>
      </w:r>
      <w:r w:rsidR="002451CD">
        <w:t xml:space="preserve"> </w:t>
      </w:r>
      <w:r>
        <w:t>建筑物折旧 depreciation of building</w:t>
      </w:r>
    </w:p>
    <w:p w14:paraId="61296E05" w14:textId="77777777" w:rsidR="00FA0363" w:rsidRDefault="00FA0363" w:rsidP="00FA0363">
      <w:pPr>
        <w:pStyle w:val="13"/>
      </w:pPr>
      <w:r>
        <w:rPr>
          <w:rFonts w:hint="eastAsia"/>
        </w:rPr>
        <w:t>各种原因造成的建筑物价值减损，其金额为建筑物在价值时点的重置成本或重建成本与在价值时点的市场价值之差，包括物质折旧、功能折旧和外部折旧。</w:t>
      </w:r>
    </w:p>
    <w:p w14:paraId="0D6EB2CD" w14:textId="48639D93" w:rsidR="00FA0363" w:rsidRDefault="00FA0363" w:rsidP="00FA0363">
      <w:pPr>
        <w:pStyle w:val="13"/>
        <w:ind w:firstLine="482"/>
      </w:pPr>
      <w:r w:rsidRPr="00797CCF">
        <w:rPr>
          <w:b/>
          <w:bCs/>
        </w:rPr>
        <w:t>6.3.12</w:t>
      </w:r>
      <w:r w:rsidR="002451CD">
        <w:t xml:space="preserve"> </w:t>
      </w:r>
      <w:r>
        <w:t>物质折旧 physical deterioration</w:t>
      </w:r>
    </w:p>
    <w:p w14:paraId="6ACE150C" w14:textId="77777777" w:rsidR="00FA0363" w:rsidRDefault="00FA0363" w:rsidP="00FA0363">
      <w:pPr>
        <w:pStyle w:val="13"/>
      </w:pPr>
      <w:r>
        <w:rPr>
          <w:rFonts w:hint="eastAsia"/>
        </w:rPr>
        <w:t>因自然力作用或使用导致建筑物老化、磨损或损坏造成的建筑物价值减损。</w:t>
      </w:r>
    </w:p>
    <w:p w14:paraId="7F0A5E7F" w14:textId="2B54FB05" w:rsidR="00FA0363" w:rsidRDefault="00FA0363" w:rsidP="00FA0363">
      <w:pPr>
        <w:pStyle w:val="13"/>
        <w:ind w:firstLine="482"/>
      </w:pPr>
      <w:r w:rsidRPr="00797CCF">
        <w:rPr>
          <w:b/>
          <w:bCs/>
        </w:rPr>
        <w:t>6.3.13</w:t>
      </w:r>
      <w:r w:rsidR="002451CD">
        <w:t xml:space="preserve"> </w:t>
      </w:r>
      <w:r>
        <w:t>功能折旧 functional obsolescence</w:t>
      </w:r>
    </w:p>
    <w:p w14:paraId="4BD83921" w14:textId="77777777" w:rsidR="00FA0363" w:rsidRDefault="00FA0363" w:rsidP="00FA0363">
      <w:pPr>
        <w:pStyle w:val="13"/>
      </w:pPr>
      <w:r>
        <w:rPr>
          <w:rFonts w:hint="eastAsia"/>
        </w:rPr>
        <w:t>因建筑功能不足或过剩造成的建筑物价值减损，包括功能不足折旧和功能过剩折旧。</w:t>
      </w:r>
    </w:p>
    <w:p w14:paraId="41147EBB" w14:textId="7A8175F6" w:rsidR="00FA0363" w:rsidRDefault="00FA0363" w:rsidP="00FA0363">
      <w:pPr>
        <w:pStyle w:val="13"/>
        <w:ind w:firstLine="482"/>
      </w:pPr>
      <w:r w:rsidRPr="00797CCF">
        <w:rPr>
          <w:b/>
          <w:bCs/>
        </w:rPr>
        <w:t>6.3.14</w:t>
      </w:r>
      <w:r w:rsidR="002451CD">
        <w:t xml:space="preserve"> </w:t>
      </w:r>
      <w:r>
        <w:t>功能不足折旧 functional obsolescence caused by deficiency</w:t>
      </w:r>
    </w:p>
    <w:p w14:paraId="4A4E9A4F" w14:textId="77777777" w:rsidR="00FA0363" w:rsidRDefault="00FA0363" w:rsidP="00FA0363">
      <w:pPr>
        <w:pStyle w:val="13"/>
      </w:pPr>
      <w:r>
        <w:rPr>
          <w:rFonts w:hint="eastAsia"/>
        </w:rPr>
        <w:t>因建筑物中某些部件、设施设备、功能等缺乏或低于市场要求的标准造成的建筑物价值减损。</w:t>
      </w:r>
    </w:p>
    <w:p w14:paraId="4482A263" w14:textId="6F256F07" w:rsidR="00FA0363" w:rsidRDefault="00FA0363" w:rsidP="00FA0363">
      <w:pPr>
        <w:pStyle w:val="13"/>
        <w:ind w:firstLine="482"/>
      </w:pPr>
      <w:r w:rsidRPr="00797CCF">
        <w:rPr>
          <w:b/>
          <w:bCs/>
        </w:rPr>
        <w:t>6.3.15</w:t>
      </w:r>
      <w:r w:rsidR="002451CD">
        <w:t xml:space="preserve"> </w:t>
      </w:r>
      <w:r>
        <w:t xml:space="preserve">功能过剩折旧 functional obsolescence caused by </w:t>
      </w:r>
      <w:proofErr w:type="spellStart"/>
      <w:r>
        <w:t>superadequacy</w:t>
      </w:r>
      <w:proofErr w:type="spellEnd"/>
    </w:p>
    <w:p w14:paraId="629C9A10" w14:textId="77777777" w:rsidR="00FA0363" w:rsidRDefault="00FA0363" w:rsidP="00FA0363">
      <w:pPr>
        <w:pStyle w:val="13"/>
      </w:pPr>
      <w:r>
        <w:rPr>
          <w:rFonts w:hint="eastAsia"/>
        </w:rPr>
        <w:t>因建筑物中某些部件、设施设备、功能等超过市场要求的标准而对房地产价值的贡献小于其成本造成的建筑物价值减损。</w:t>
      </w:r>
    </w:p>
    <w:p w14:paraId="2CCF3972" w14:textId="3B5AAB9E" w:rsidR="00FA0363" w:rsidRDefault="00FA0363" w:rsidP="00FA0363">
      <w:pPr>
        <w:pStyle w:val="13"/>
        <w:ind w:firstLine="482"/>
      </w:pPr>
      <w:r w:rsidRPr="00797CCF">
        <w:rPr>
          <w:b/>
          <w:bCs/>
        </w:rPr>
        <w:t>6.3.16</w:t>
      </w:r>
      <w:r w:rsidR="002451CD">
        <w:t xml:space="preserve"> </w:t>
      </w:r>
      <w:r>
        <w:t xml:space="preserve">外部折旧 </w:t>
      </w:r>
      <w:proofErr w:type="spellStart"/>
      <w:r>
        <w:t>e×ternal</w:t>
      </w:r>
      <w:proofErr w:type="spellEnd"/>
      <w:r>
        <w:t xml:space="preserve"> obsolescence</w:t>
      </w:r>
    </w:p>
    <w:p w14:paraId="24DB97E4" w14:textId="77777777" w:rsidR="00FA0363" w:rsidRDefault="00FA0363" w:rsidP="00FA0363">
      <w:pPr>
        <w:pStyle w:val="13"/>
      </w:pPr>
      <w:r>
        <w:rPr>
          <w:rFonts w:hint="eastAsia"/>
        </w:rPr>
        <w:t>因建筑物以外的各种不利因素造成的建筑物价值减损。</w:t>
      </w:r>
    </w:p>
    <w:p w14:paraId="175ED8A0" w14:textId="01A6716A" w:rsidR="00FA0363" w:rsidRDefault="00FA0363" w:rsidP="00FA0363">
      <w:pPr>
        <w:pStyle w:val="13"/>
        <w:ind w:firstLine="482"/>
      </w:pPr>
      <w:r w:rsidRPr="00797CCF">
        <w:rPr>
          <w:b/>
          <w:bCs/>
        </w:rPr>
        <w:t>6.3.17</w:t>
      </w:r>
      <w:r w:rsidR="002451CD">
        <w:t xml:space="preserve"> </w:t>
      </w:r>
      <w:r>
        <w:t>年龄寿命法 age-life method</w:t>
      </w:r>
    </w:p>
    <w:p w14:paraId="2CA940F3" w14:textId="77777777" w:rsidR="00FA0363" w:rsidRDefault="00FA0363" w:rsidP="00FA0363">
      <w:pPr>
        <w:pStyle w:val="13"/>
      </w:pPr>
      <w:r>
        <w:rPr>
          <w:rFonts w:hint="eastAsia"/>
        </w:rPr>
        <w:t>根据建筑物的有效年龄和预期经济寿命或预期剩余经济寿命来测算建筑物折旧的方法。</w:t>
      </w:r>
    </w:p>
    <w:p w14:paraId="742D8769" w14:textId="30583D81" w:rsidR="00FA0363" w:rsidRDefault="00FA0363" w:rsidP="00FA0363">
      <w:pPr>
        <w:pStyle w:val="13"/>
        <w:ind w:firstLine="482"/>
      </w:pPr>
      <w:r w:rsidRPr="00797CCF">
        <w:rPr>
          <w:b/>
          <w:bCs/>
        </w:rPr>
        <w:t>6.3.18</w:t>
      </w:r>
      <w:r w:rsidR="002451CD">
        <w:t xml:space="preserve"> </w:t>
      </w:r>
      <w:r>
        <w:t>分解法 breakdown method</w:t>
      </w:r>
    </w:p>
    <w:p w14:paraId="11B0BEE2" w14:textId="77777777" w:rsidR="00FA0363" w:rsidRDefault="00FA0363" w:rsidP="00FA0363">
      <w:pPr>
        <w:pStyle w:val="13"/>
      </w:pPr>
      <w:r>
        <w:rPr>
          <w:rFonts w:hint="eastAsia"/>
        </w:rPr>
        <w:t>把建筑物折旧分成物质折旧、功能折旧、外部折旧等各个组成部分，分别测算出各个组成部分后相加得到建筑物折旧的方法。</w:t>
      </w:r>
    </w:p>
    <w:p w14:paraId="4497A1C5" w14:textId="57850283" w:rsidR="00FA0363" w:rsidRDefault="00FA0363" w:rsidP="00FA0363">
      <w:pPr>
        <w:pStyle w:val="13"/>
        <w:ind w:firstLine="482"/>
      </w:pPr>
      <w:r w:rsidRPr="00797CCF">
        <w:rPr>
          <w:b/>
          <w:bCs/>
        </w:rPr>
        <w:lastRenderedPageBreak/>
        <w:t>6.3.19</w:t>
      </w:r>
      <w:r w:rsidR="002451CD">
        <w:t xml:space="preserve"> </w:t>
      </w:r>
      <w:r>
        <w:t>建筑物实际年龄 actual age of building</w:t>
      </w:r>
    </w:p>
    <w:p w14:paraId="0825C8DA" w14:textId="77777777" w:rsidR="00FA0363" w:rsidRDefault="00FA0363" w:rsidP="00FA0363">
      <w:pPr>
        <w:pStyle w:val="13"/>
      </w:pPr>
      <w:r>
        <w:rPr>
          <w:rFonts w:hint="eastAsia"/>
        </w:rPr>
        <w:t>建筑物自竣工时起</w:t>
      </w:r>
      <w:proofErr w:type="gramStart"/>
      <w:r>
        <w:rPr>
          <w:rFonts w:hint="eastAsia"/>
        </w:rPr>
        <w:t>至价值</w:t>
      </w:r>
      <w:proofErr w:type="gramEnd"/>
      <w:r>
        <w:rPr>
          <w:rFonts w:hint="eastAsia"/>
        </w:rPr>
        <w:t>时点止的年数。</w:t>
      </w:r>
    </w:p>
    <w:p w14:paraId="2C971535" w14:textId="33A6A582" w:rsidR="00FA0363" w:rsidRDefault="00FA0363" w:rsidP="00FA0363">
      <w:pPr>
        <w:pStyle w:val="13"/>
        <w:ind w:firstLine="482"/>
      </w:pPr>
      <w:r w:rsidRPr="00797CCF">
        <w:rPr>
          <w:b/>
          <w:bCs/>
        </w:rPr>
        <w:t>6.3.20</w:t>
      </w:r>
      <w:r w:rsidR="002451CD">
        <w:t xml:space="preserve"> </w:t>
      </w:r>
      <w:r>
        <w:t>建筑物有效年龄 effective age of building</w:t>
      </w:r>
    </w:p>
    <w:p w14:paraId="3B156D11" w14:textId="77777777" w:rsidR="00FA0363" w:rsidRDefault="00FA0363" w:rsidP="00FA0363">
      <w:pPr>
        <w:pStyle w:val="13"/>
      </w:pPr>
      <w:r>
        <w:rPr>
          <w:rFonts w:hint="eastAsia"/>
        </w:rPr>
        <w:t>根据价值时点的建筑物实际状况判断的建筑年龄。</w:t>
      </w:r>
    </w:p>
    <w:p w14:paraId="400604B6" w14:textId="7217D73A" w:rsidR="00FA0363" w:rsidRDefault="00FA0363" w:rsidP="00FA0363">
      <w:pPr>
        <w:pStyle w:val="13"/>
        <w:ind w:firstLine="482"/>
      </w:pPr>
      <w:r w:rsidRPr="00797CCF">
        <w:rPr>
          <w:b/>
          <w:bCs/>
        </w:rPr>
        <w:t>6.3.21</w:t>
      </w:r>
      <w:r w:rsidR="002451CD">
        <w:t xml:space="preserve"> </w:t>
      </w:r>
      <w:r>
        <w:t>建筑自然寿命 physical life of building</w:t>
      </w:r>
    </w:p>
    <w:p w14:paraId="41EF844C" w14:textId="77777777" w:rsidR="00FA0363" w:rsidRDefault="00FA0363" w:rsidP="00FA0363">
      <w:pPr>
        <w:pStyle w:val="13"/>
      </w:pPr>
      <w:r>
        <w:rPr>
          <w:rFonts w:hint="eastAsia"/>
        </w:rPr>
        <w:t>建筑字竣工时起至其主要结构构件自然老化或损坏而不能保证建筑物安全使用时止的时间。</w:t>
      </w:r>
    </w:p>
    <w:p w14:paraId="1CB32AB5" w14:textId="3E7B502A" w:rsidR="00FA0363" w:rsidRDefault="00FA0363" w:rsidP="00FA0363">
      <w:pPr>
        <w:pStyle w:val="13"/>
        <w:ind w:firstLine="482"/>
      </w:pPr>
      <w:r w:rsidRPr="00797CCF">
        <w:rPr>
          <w:b/>
          <w:bCs/>
        </w:rPr>
        <w:t>6.3.22</w:t>
      </w:r>
      <w:r w:rsidR="002451CD">
        <w:t xml:space="preserve"> </w:t>
      </w:r>
      <w:r>
        <w:t>建筑物经济寿命 economic life of building</w:t>
      </w:r>
    </w:p>
    <w:p w14:paraId="207A2617" w14:textId="77777777" w:rsidR="00FA0363" w:rsidRDefault="00FA0363" w:rsidP="00FA0363">
      <w:pPr>
        <w:pStyle w:val="13"/>
      </w:pPr>
      <w:r>
        <w:rPr>
          <w:rFonts w:hint="eastAsia"/>
        </w:rPr>
        <w:t>建筑物对房地产价值有贡献的时间，即建筑物自竣工时起至其对房地产价值不在有贡献时止的时间。</w:t>
      </w:r>
    </w:p>
    <w:p w14:paraId="09140D03" w14:textId="10C6B8DF" w:rsidR="00FA0363" w:rsidRDefault="00FA0363" w:rsidP="00FA0363">
      <w:pPr>
        <w:pStyle w:val="13"/>
        <w:ind w:firstLine="482"/>
      </w:pPr>
      <w:r w:rsidRPr="00797CCF">
        <w:rPr>
          <w:b/>
          <w:bCs/>
        </w:rPr>
        <w:t>6.3.23</w:t>
      </w:r>
      <w:r w:rsidR="002451CD">
        <w:t xml:space="preserve"> </w:t>
      </w:r>
      <w:r>
        <w:t>建筑物剩余自然寿命 remaining physical life of building</w:t>
      </w:r>
    </w:p>
    <w:p w14:paraId="6143D898" w14:textId="77777777" w:rsidR="00FA0363" w:rsidRDefault="00FA0363" w:rsidP="00FA0363">
      <w:pPr>
        <w:pStyle w:val="13"/>
      </w:pPr>
      <w:r>
        <w:rPr>
          <w:rFonts w:hint="eastAsia"/>
        </w:rPr>
        <w:t>建筑物的自然寿命减去实际年龄后的寿命。</w:t>
      </w:r>
    </w:p>
    <w:p w14:paraId="02D93B61" w14:textId="7C9A91EF" w:rsidR="00FA0363" w:rsidRDefault="00FA0363" w:rsidP="00FA0363">
      <w:pPr>
        <w:pStyle w:val="13"/>
        <w:ind w:firstLine="482"/>
      </w:pPr>
      <w:r w:rsidRPr="00797CCF">
        <w:rPr>
          <w:b/>
          <w:bCs/>
        </w:rPr>
        <w:t>6.3.24</w:t>
      </w:r>
      <w:r w:rsidR="002451CD">
        <w:t xml:space="preserve"> </w:t>
      </w:r>
      <w:r>
        <w:t>建筑物剩余经济寿命 remaining economic life of building</w:t>
      </w:r>
    </w:p>
    <w:p w14:paraId="62C7AAE3" w14:textId="77777777" w:rsidR="00FA0363" w:rsidRDefault="00FA0363" w:rsidP="00FA0363">
      <w:pPr>
        <w:pStyle w:val="13"/>
      </w:pPr>
      <w:r>
        <w:rPr>
          <w:rFonts w:hint="eastAsia"/>
        </w:rPr>
        <w:t>建筑物经济寿命减去有效年龄后的寿命，即</w:t>
      </w:r>
      <w:proofErr w:type="gramStart"/>
      <w:r>
        <w:rPr>
          <w:rFonts w:hint="eastAsia"/>
        </w:rPr>
        <w:t>自价值</w:t>
      </w:r>
      <w:proofErr w:type="gramEnd"/>
      <w:r>
        <w:rPr>
          <w:rFonts w:hint="eastAsia"/>
        </w:rPr>
        <w:t>时点起至建筑物经济寿命结束时止的时间。</w:t>
      </w:r>
    </w:p>
    <w:p w14:paraId="20F3BE94" w14:textId="5A64194B" w:rsidR="00FA0363" w:rsidRDefault="00FA0363" w:rsidP="00FA0363">
      <w:pPr>
        <w:pStyle w:val="13"/>
        <w:ind w:firstLine="482"/>
      </w:pPr>
      <w:r w:rsidRPr="00797CCF">
        <w:rPr>
          <w:b/>
          <w:bCs/>
        </w:rPr>
        <w:t>6.3.25</w:t>
      </w:r>
      <w:r w:rsidR="002451CD">
        <w:t xml:space="preserve"> </w:t>
      </w:r>
      <w:r>
        <w:t>建筑物成新率 building market value to replacement cost ratio</w:t>
      </w:r>
    </w:p>
    <w:p w14:paraId="41E304C3" w14:textId="77777777" w:rsidR="00FA0363" w:rsidRDefault="00FA0363" w:rsidP="00FA0363">
      <w:pPr>
        <w:pStyle w:val="13"/>
      </w:pPr>
      <w:r>
        <w:rPr>
          <w:rFonts w:hint="eastAsia"/>
        </w:rPr>
        <w:t>建筑物的市场价值与其重置成本或重建成本的百分比。</w:t>
      </w:r>
    </w:p>
    <w:p w14:paraId="3D3A943E" w14:textId="0F2418B0" w:rsidR="00FA0363" w:rsidRDefault="00FA0363" w:rsidP="00FA0363">
      <w:pPr>
        <w:pStyle w:val="13"/>
        <w:ind w:firstLine="482"/>
      </w:pPr>
      <w:r w:rsidRPr="00797CCF">
        <w:rPr>
          <w:b/>
          <w:bCs/>
        </w:rPr>
        <w:t>6.3.26</w:t>
      </w:r>
      <w:r w:rsidR="002451CD">
        <w:t xml:space="preserve"> </w:t>
      </w:r>
      <w:r>
        <w:t>修复成本 cost to cure</w:t>
      </w:r>
    </w:p>
    <w:p w14:paraId="0B55DB7A" w14:textId="77777777" w:rsidR="00FA0363" w:rsidRDefault="00FA0363" w:rsidP="00FA0363">
      <w:pPr>
        <w:pStyle w:val="13"/>
      </w:pPr>
      <w:r>
        <w:rPr>
          <w:rFonts w:hint="eastAsia"/>
        </w:rPr>
        <w:t>采用合理的修复方案恢复到新的或相当于新的状况的必要支出及应得利润。</w:t>
      </w:r>
    </w:p>
    <w:p w14:paraId="77D19FB3" w14:textId="399C2BBC" w:rsidR="00FA0363" w:rsidRDefault="00FA0363" w:rsidP="00FA0363">
      <w:pPr>
        <w:pStyle w:val="13"/>
        <w:ind w:firstLine="482"/>
      </w:pPr>
      <w:r w:rsidRPr="00797CCF">
        <w:rPr>
          <w:b/>
          <w:bCs/>
        </w:rPr>
        <w:t>6.3.27</w:t>
      </w:r>
      <w:r w:rsidR="002451CD">
        <w:t xml:space="preserve"> </w:t>
      </w:r>
      <w:r>
        <w:t>可修复 curable</w:t>
      </w:r>
    </w:p>
    <w:p w14:paraId="3FE881B3" w14:textId="77777777" w:rsidR="00FA0363" w:rsidRDefault="00FA0363" w:rsidP="00FA0363">
      <w:pPr>
        <w:pStyle w:val="13"/>
      </w:pPr>
      <w:r>
        <w:rPr>
          <w:rFonts w:hint="eastAsia"/>
        </w:rPr>
        <w:t>预计修复成本小于或等于修复所能带来的房地产价值增加额。</w:t>
      </w:r>
    </w:p>
    <w:p w14:paraId="55C48A9D" w14:textId="2D877263" w:rsidR="00FA0363" w:rsidRDefault="00FA0363" w:rsidP="00FA0363">
      <w:pPr>
        <w:pStyle w:val="13"/>
        <w:ind w:firstLine="482"/>
      </w:pPr>
      <w:r w:rsidRPr="00797CCF">
        <w:rPr>
          <w:b/>
          <w:bCs/>
        </w:rPr>
        <w:t>6.3.28</w:t>
      </w:r>
      <w:r w:rsidR="002451CD">
        <w:t xml:space="preserve"> </w:t>
      </w:r>
      <w:r>
        <w:t>不可修复 incurable</w:t>
      </w:r>
    </w:p>
    <w:p w14:paraId="70069A06" w14:textId="77777777" w:rsidR="00FA0363" w:rsidRDefault="00FA0363" w:rsidP="00FA0363">
      <w:pPr>
        <w:pStyle w:val="13"/>
      </w:pPr>
      <w:r>
        <w:rPr>
          <w:rFonts w:hint="eastAsia"/>
        </w:rPr>
        <w:t>预计修复成本大于修复所能带来的房地产价值增加额。</w:t>
      </w:r>
    </w:p>
    <w:p w14:paraId="484FD516" w14:textId="3FC1A455" w:rsidR="00FA0363" w:rsidRDefault="00FA0363" w:rsidP="00AF7342">
      <w:pPr>
        <w:pStyle w:val="a9"/>
        <w:spacing w:before="62" w:after="62"/>
      </w:pPr>
      <w:r>
        <w:t>6.4</w:t>
      </w:r>
      <w:r w:rsidR="00F811C3">
        <w:t xml:space="preserve"> </w:t>
      </w:r>
      <w:r>
        <w:t>假设开发法</w:t>
      </w:r>
    </w:p>
    <w:p w14:paraId="39AE7F0A" w14:textId="59FF24CE" w:rsidR="00FA0363" w:rsidRDefault="00FA0363" w:rsidP="00FA0363">
      <w:pPr>
        <w:pStyle w:val="13"/>
        <w:ind w:firstLine="482"/>
      </w:pPr>
      <w:r w:rsidRPr="00797CCF">
        <w:rPr>
          <w:b/>
          <w:bCs/>
        </w:rPr>
        <w:t>6.4.1</w:t>
      </w:r>
      <w:r w:rsidR="002451CD">
        <w:t xml:space="preserve"> </w:t>
      </w:r>
      <w:r>
        <w:t>假设开发法 hypothetical development method；residual method</w:t>
      </w:r>
    </w:p>
    <w:p w14:paraId="764C787F" w14:textId="777A7E9D" w:rsidR="00FA0363" w:rsidRDefault="00FA0363" w:rsidP="00FA0363">
      <w:pPr>
        <w:pStyle w:val="13"/>
      </w:pPr>
      <w:r>
        <w:rPr>
          <w:rFonts w:hint="eastAsia"/>
        </w:rPr>
        <w:t>求得估价对象后续开发的必要支出及折现率或后续开发的必要支出及应得利润和开发完成后的价值，将开发完成后价值和后续开发的必要支出折现到价值时点后相减</w:t>
      </w:r>
      <w:r w:rsidR="003068F8">
        <w:rPr>
          <w:rFonts w:hint="eastAsia"/>
        </w:rPr>
        <w:t>，</w:t>
      </w:r>
      <w:r>
        <w:t>或将开发完成后的价值减去后续开发的必要支出及应得利润得到估价对象价值或价格的方法。</w:t>
      </w:r>
    </w:p>
    <w:p w14:paraId="6EB7A67B" w14:textId="74C7A421" w:rsidR="00FA0363" w:rsidRDefault="00FA0363" w:rsidP="00FA0363">
      <w:pPr>
        <w:pStyle w:val="13"/>
        <w:ind w:firstLine="482"/>
      </w:pPr>
      <w:r w:rsidRPr="00797CCF">
        <w:rPr>
          <w:b/>
          <w:bCs/>
        </w:rPr>
        <w:t>6.4.2</w:t>
      </w:r>
      <w:r w:rsidR="002451CD">
        <w:t xml:space="preserve"> </w:t>
      </w:r>
      <w:r>
        <w:t>待开发房地产 proposed development</w:t>
      </w:r>
      <w:r w:rsidR="003068F8">
        <w:t>；</w:t>
      </w:r>
      <w:r>
        <w:t>development property</w:t>
      </w:r>
    </w:p>
    <w:p w14:paraId="167AB0C0" w14:textId="77777777" w:rsidR="00FA0363" w:rsidRDefault="00FA0363" w:rsidP="00FA0363">
      <w:pPr>
        <w:pStyle w:val="13"/>
      </w:pPr>
      <w:r>
        <w:rPr>
          <w:rFonts w:hint="eastAsia"/>
        </w:rPr>
        <w:t>具有开发或再开发潜力的房地产，包括可供开发的土地，在建工程，可重新开发、更新改造或改变用途的房地产等。</w:t>
      </w:r>
    </w:p>
    <w:p w14:paraId="7BDB7729" w14:textId="5F4BE15B" w:rsidR="00FA0363" w:rsidRDefault="00FA0363" w:rsidP="00FA0363">
      <w:pPr>
        <w:pStyle w:val="13"/>
        <w:ind w:firstLine="482"/>
      </w:pPr>
      <w:r w:rsidRPr="00797CCF">
        <w:rPr>
          <w:b/>
          <w:bCs/>
        </w:rPr>
        <w:t>6.4.3</w:t>
      </w:r>
      <w:r w:rsidR="002451CD">
        <w:t xml:space="preserve"> </w:t>
      </w:r>
      <w:r>
        <w:t>业主自行开发前提 assumption of development by owner-occupier</w:t>
      </w:r>
    </w:p>
    <w:p w14:paraId="2D774FB0" w14:textId="77777777" w:rsidR="00FA0363" w:rsidRDefault="00FA0363" w:rsidP="00FA0363">
      <w:pPr>
        <w:pStyle w:val="13"/>
      </w:pPr>
      <w:r>
        <w:rPr>
          <w:rFonts w:hint="eastAsia"/>
        </w:rPr>
        <w:t>估价对象将由其业主继续开发完成的一种假设开发估价前提。</w:t>
      </w:r>
    </w:p>
    <w:p w14:paraId="5538ED13" w14:textId="1B0365EA" w:rsidR="00FA0363" w:rsidRDefault="00FA0363" w:rsidP="00FA0363">
      <w:pPr>
        <w:pStyle w:val="13"/>
        <w:ind w:firstLine="482"/>
      </w:pPr>
      <w:r w:rsidRPr="00797CCF">
        <w:rPr>
          <w:b/>
          <w:bCs/>
        </w:rPr>
        <w:lastRenderedPageBreak/>
        <w:t>6.4.4</w:t>
      </w:r>
      <w:r w:rsidR="002451CD">
        <w:t xml:space="preserve"> </w:t>
      </w:r>
      <w:r>
        <w:t>自愿转让开发前提 assumption of development by intended developer</w:t>
      </w:r>
    </w:p>
    <w:p w14:paraId="03EBDF74" w14:textId="77777777" w:rsidR="00FA0363" w:rsidRDefault="00FA0363" w:rsidP="00FA0363">
      <w:pPr>
        <w:pStyle w:val="13"/>
      </w:pPr>
      <w:r>
        <w:rPr>
          <w:rFonts w:hint="eastAsia"/>
        </w:rPr>
        <w:t>估价对象将被其业主自愿转让给他人开发完成的一种假设开发法估价前提。</w:t>
      </w:r>
    </w:p>
    <w:p w14:paraId="0AE807B0" w14:textId="2961B2F5" w:rsidR="00FA0363" w:rsidRDefault="00FA0363" w:rsidP="00FA0363">
      <w:pPr>
        <w:pStyle w:val="13"/>
        <w:ind w:firstLine="482"/>
      </w:pPr>
      <w:r w:rsidRPr="00797CCF">
        <w:rPr>
          <w:b/>
          <w:bCs/>
        </w:rPr>
        <w:t>6.4.5</w:t>
      </w:r>
      <w:r w:rsidR="002451CD">
        <w:t xml:space="preserve"> </w:t>
      </w:r>
      <w:r>
        <w:t>被迫转让开发前提 assumption of development by un-intended developer</w:t>
      </w:r>
    </w:p>
    <w:p w14:paraId="027B944D" w14:textId="77777777" w:rsidR="00FA0363" w:rsidRDefault="00FA0363" w:rsidP="00FA0363">
      <w:pPr>
        <w:pStyle w:val="13"/>
      </w:pPr>
      <w:r>
        <w:rPr>
          <w:rFonts w:hint="eastAsia"/>
        </w:rPr>
        <w:t>估价对象将被迫转让给他人开发完成的一种假设开发法估价前提。</w:t>
      </w:r>
    </w:p>
    <w:p w14:paraId="59F50BA3" w14:textId="3EDEF97E" w:rsidR="00FA0363" w:rsidRDefault="00FA0363" w:rsidP="00FA0363">
      <w:pPr>
        <w:pStyle w:val="13"/>
        <w:ind w:firstLine="482"/>
      </w:pPr>
      <w:r w:rsidRPr="00797CCF">
        <w:rPr>
          <w:b/>
          <w:bCs/>
        </w:rPr>
        <w:t>6.4.6</w:t>
      </w:r>
      <w:r w:rsidR="002451CD">
        <w:t xml:space="preserve"> </w:t>
      </w:r>
      <w:r>
        <w:t>后续开发经营期 remaining construction and operating period</w:t>
      </w:r>
    </w:p>
    <w:p w14:paraId="28CC58DD" w14:textId="77777777" w:rsidR="00FA0363" w:rsidRDefault="00FA0363" w:rsidP="00FA0363">
      <w:pPr>
        <w:pStyle w:val="13"/>
      </w:pPr>
      <w:proofErr w:type="gramStart"/>
      <w:r>
        <w:rPr>
          <w:rFonts w:hint="eastAsia"/>
        </w:rPr>
        <w:t>自价值</w:t>
      </w:r>
      <w:proofErr w:type="gramEnd"/>
      <w:r>
        <w:rPr>
          <w:rFonts w:hint="eastAsia"/>
        </w:rPr>
        <w:t>时点起至未来开发完成后的房地产经营结束时止的时间，包括后续建设期、销售期和运营期。</w:t>
      </w:r>
    </w:p>
    <w:p w14:paraId="4279EF4D" w14:textId="6D200B08" w:rsidR="00FA0363" w:rsidRDefault="00FA0363" w:rsidP="00FA0363">
      <w:pPr>
        <w:pStyle w:val="13"/>
        <w:ind w:firstLine="482"/>
      </w:pPr>
      <w:r w:rsidRPr="00797CCF">
        <w:rPr>
          <w:b/>
          <w:bCs/>
        </w:rPr>
        <w:t>6.4.7</w:t>
      </w:r>
      <w:r w:rsidR="002451CD">
        <w:t xml:space="preserve"> </w:t>
      </w:r>
      <w:r>
        <w:t>后续建设期 remaining construction period</w:t>
      </w:r>
    </w:p>
    <w:p w14:paraId="5ADE2EB8" w14:textId="77777777" w:rsidR="00FA0363" w:rsidRDefault="00FA0363" w:rsidP="00FA0363">
      <w:pPr>
        <w:pStyle w:val="13"/>
      </w:pPr>
      <w:proofErr w:type="gramStart"/>
      <w:r>
        <w:rPr>
          <w:rFonts w:hint="eastAsia"/>
        </w:rPr>
        <w:t>自价值</w:t>
      </w:r>
      <w:proofErr w:type="gramEnd"/>
      <w:r>
        <w:rPr>
          <w:rFonts w:hint="eastAsia"/>
        </w:rPr>
        <w:t>时点起至未来开发完成后的房地产竣工时止的时间。</w:t>
      </w:r>
    </w:p>
    <w:p w14:paraId="18B32934" w14:textId="15A03318" w:rsidR="00FA0363" w:rsidRDefault="00FA0363" w:rsidP="00FA0363">
      <w:pPr>
        <w:pStyle w:val="13"/>
        <w:ind w:firstLine="482"/>
      </w:pPr>
      <w:r w:rsidRPr="00797CCF">
        <w:rPr>
          <w:b/>
          <w:bCs/>
        </w:rPr>
        <w:t>6.4.8</w:t>
      </w:r>
      <w:r w:rsidR="002451CD">
        <w:t xml:space="preserve"> </w:t>
      </w:r>
      <w:r>
        <w:t>销售期 marketing period</w:t>
      </w:r>
    </w:p>
    <w:p w14:paraId="339139AC" w14:textId="77777777" w:rsidR="00FA0363" w:rsidRDefault="00FA0363" w:rsidP="00FA0363">
      <w:pPr>
        <w:pStyle w:val="13"/>
      </w:pPr>
      <w:proofErr w:type="gramStart"/>
      <w:r>
        <w:rPr>
          <w:rFonts w:hint="eastAsia"/>
        </w:rPr>
        <w:t>自未来</w:t>
      </w:r>
      <w:proofErr w:type="gramEnd"/>
      <w:r>
        <w:rPr>
          <w:rFonts w:hint="eastAsia"/>
        </w:rPr>
        <w:t>开发完成后的房地产开始销售时起至其售出时止的时间。</w:t>
      </w:r>
    </w:p>
    <w:p w14:paraId="655E51E0" w14:textId="2B66036E" w:rsidR="00FA0363" w:rsidRDefault="00FA0363" w:rsidP="00FA0363">
      <w:pPr>
        <w:pStyle w:val="13"/>
        <w:ind w:firstLine="482"/>
      </w:pPr>
      <w:r w:rsidRPr="00797CCF">
        <w:rPr>
          <w:b/>
          <w:bCs/>
        </w:rPr>
        <w:t>6.4.9</w:t>
      </w:r>
      <w:r w:rsidR="002451CD">
        <w:t xml:space="preserve"> </w:t>
      </w:r>
      <w:r>
        <w:t>运营期 operating period</w:t>
      </w:r>
    </w:p>
    <w:p w14:paraId="6E77E8C5" w14:textId="77777777" w:rsidR="00FA0363" w:rsidRDefault="00FA0363" w:rsidP="00FA0363">
      <w:pPr>
        <w:pStyle w:val="13"/>
      </w:pPr>
      <w:proofErr w:type="gramStart"/>
      <w:r>
        <w:rPr>
          <w:rFonts w:hint="eastAsia"/>
        </w:rPr>
        <w:t>自未来</w:t>
      </w:r>
      <w:proofErr w:type="gramEnd"/>
      <w:r>
        <w:rPr>
          <w:rFonts w:hint="eastAsia"/>
        </w:rPr>
        <w:t>开发完成后的房地产竣工时起至其持有期或经济寿命结束时止的时间。</w:t>
      </w:r>
    </w:p>
    <w:p w14:paraId="0929CB13" w14:textId="6E033A30" w:rsidR="00FA0363" w:rsidRDefault="00FA0363" w:rsidP="00FA0363">
      <w:pPr>
        <w:pStyle w:val="13"/>
        <w:ind w:firstLine="482"/>
      </w:pPr>
      <w:r w:rsidRPr="00797CCF">
        <w:rPr>
          <w:b/>
          <w:bCs/>
        </w:rPr>
        <w:t>6.4.10</w:t>
      </w:r>
      <w:r w:rsidR="002451CD">
        <w:t xml:space="preserve"> </w:t>
      </w:r>
      <w:r>
        <w:t>开发完成后的价值 gross development value</w:t>
      </w:r>
    </w:p>
    <w:p w14:paraId="236054F9" w14:textId="77777777" w:rsidR="00FA0363" w:rsidRDefault="00FA0363" w:rsidP="00FA0363">
      <w:pPr>
        <w:pStyle w:val="13"/>
      </w:pPr>
      <w:r>
        <w:rPr>
          <w:rFonts w:hint="eastAsia"/>
        </w:rPr>
        <w:t>未来开发完成后的房地产的价值或价格。</w:t>
      </w:r>
    </w:p>
    <w:p w14:paraId="41A8895B" w14:textId="7707F452" w:rsidR="00FA0363" w:rsidRDefault="00FA0363" w:rsidP="00FA0363">
      <w:pPr>
        <w:pStyle w:val="13"/>
        <w:ind w:firstLine="482"/>
      </w:pPr>
      <w:r w:rsidRPr="00797CCF">
        <w:rPr>
          <w:b/>
          <w:bCs/>
        </w:rPr>
        <w:t>6.4.11</w:t>
      </w:r>
      <w:r w:rsidR="002451CD">
        <w:t xml:space="preserve"> </w:t>
      </w:r>
      <w:r>
        <w:t>后续开发的必要支出 development cost</w:t>
      </w:r>
    </w:p>
    <w:p w14:paraId="79AA4B09" w14:textId="77777777" w:rsidR="00FA0363" w:rsidRDefault="00FA0363" w:rsidP="00FA0363">
      <w:pPr>
        <w:pStyle w:val="13"/>
      </w:pPr>
      <w:r>
        <w:rPr>
          <w:rFonts w:hint="eastAsia"/>
        </w:rPr>
        <w:t>将待开发房地产开发成本未来开发完成后的房地产必须付出的各项成本、费用和税金。</w:t>
      </w:r>
    </w:p>
    <w:p w14:paraId="150D9674" w14:textId="77777777" w:rsidR="00FA0363" w:rsidRDefault="00FA0363" w:rsidP="00FA0363">
      <w:pPr>
        <w:pStyle w:val="13"/>
        <w:ind w:firstLine="482"/>
      </w:pPr>
      <w:r w:rsidRPr="00797CCF">
        <w:rPr>
          <w:b/>
          <w:bCs/>
        </w:rPr>
        <w:t>6.4.1</w:t>
      </w:r>
      <w:r>
        <w:rPr>
          <w:b/>
          <w:bCs/>
        </w:rPr>
        <w:t>2</w:t>
      </w:r>
      <w:r>
        <w:t xml:space="preserve"> 后续开发的应得利润 developer's profit</w:t>
      </w:r>
    </w:p>
    <w:p w14:paraId="45518F1F" w14:textId="77777777" w:rsidR="00FA0363" w:rsidRDefault="00FA0363" w:rsidP="00FA0363">
      <w:pPr>
        <w:pStyle w:val="13"/>
      </w:pPr>
      <w:r>
        <w:rPr>
          <w:rFonts w:hint="eastAsia"/>
        </w:rPr>
        <w:t>将待开发房地产开发成未来开发完成后的房地产应获得的利润，通常为同类房地产开发项目在正常情况下所能获得的开发利润。</w:t>
      </w:r>
    </w:p>
    <w:p w14:paraId="64EC6DD4" w14:textId="15E58C3A" w:rsidR="00FA0363" w:rsidRDefault="00FA0363" w:rsidP="00AF7342">
      <w:pPr>
        <w:pStyle w:val="a9"/>
        <w:spacing w:before="62" w:after="62"/>
      </w:pPr>
      <w:r>
        <w:t>6.5</w:t>
      </w:r>
      <w:r w:rsidR="002451CD">
        <w:t xml:space="preserve"> </w:t>
      </w:r>
      <w:r>
        <w:t>其他估价方法</w:t>
      </w:r>
    </w:p>
    <w:p w14:paraId="5D3E487D" w14:textId="3C532CA9" w:rsidR="00FA0363" w:rsidRDefault="00FA0363" w:rsidP="00FA0363">
      <w:pPr>
        <w:pStyle w:val="13"/>
        <w:ind w:firstLine="482"/>
      </w:pPr>
      <w:r w:rsidRPr="00797CCF">
        <w:rPr>
          <w:b/>
          <w:bCs/>
        </w:rPr>
        <w:t>6.5.1</w:t>
      </w:r>
      <w:r w:rsidR="002451CD">
        <w:t xml:space="preserve"> </w:t>
      </w:r>
      <w:r>
        <w:t>基准地价修正法 benchmarks land value adjustment method</w:t>
      </w:r>
    </w:p>
    <w:p w14:paraId="396FC185" w14:textId="77777777" w:rsidR="00FA0363" w:rsidRDefault="00FA0363" w:rsidP="00FA0363">
      <w:pPr>
        <w:pStyle w:val="13"/>
      </w:pPr>
      <w:r>
        <w:rPr>
          <w:rFonts w:hint="eastAsia"/>
        </w:rPr>
        <w:t>在政府或其有关部门已公布基准地价的地区，利用有关调整系数对估价对象宗地所在位置的基准地价进行调整后得到估价对象宗地价值或价格的方法。</w:t>
      </w:r>
    </w:p>
    <w:p w14:paraId="0F5FEA8E" w14:textId="3BF88E22" w:rsidR="00FA0363" w:rsidRDefault="00FA0363" w:rsidP="00FA0363">
      <w:pPr>
        <w:pStyle w:val="13"/>
        <w:ind w:firstLine="482"/>
      </w:pPr>
      <w:r w:rsidRPr="00797CCF">
        <w:rPr>
          <w:b/>
          <w:bCs/>
        </w:rPr>
        <w:t>6.5.2</w:t>
      </w:r>
      <w:r w:rsidR="002451CD">
        <w:t xml:space="preserve"> </w:t>
      </w:r>
      <w:proofErr w:type="gramStart"/>
      <w:r>
        <w:t>路线价</w:t>
      </w:r>
      <w:proofErr w:type="gramEnd"/>
      <w:r>
        <w:t>法 road rating method</w:t>
      </w:r>
    </w:p>
    <w:p w14:paraId="6DB5F7E4" w14:textId="77777777" w:rsidR="00FA0363" w:rsidRDefault="00FA0363" w:rsidP="00FA0363">
      <w:pPr>
        <w:pStyle w:val="13"/>
      </w:pPr>
      <w:r>
        <w:rPr>
          <w:rFonts w:hint="eastAsia"/>
        </w:rPr>
        <w:t>在城镇街道上划分</w:t>
      </w:r>
      <w:proofErr w:type="gramStart"/>
      <w:r>
        <w:rPr>
          <w:rFonts w:hint="eastAsia"/>
        </w:rPr>
        <w:t>路线价</w:t>
      </w:r>
      <w:proofErr w:type="gramEnd"/>
      <w:r>
        <w:rPr>
          <w:rFonts w:hint="eastAsia"/>
        </w:rPr>
        <w:t>区段并设定标准临街深度，在每个</w:t>
      </w:r>
      <w:proofErr w:type="gramStart"/>
      <w:r>
        <w:rPr>
          <w:rFonts w:hint="eastAsia"/>
        </w:rPr>
        <w:t>路线价</w:t>
      </w:r>
      <w:proofErr w:type="gramEnd"/>
      <w:r>
        <w:rPr>
          <w:rFonts w:hint="eastAsia"/>
        </w:rPr>
        <w:t>区段内选取一定数量的标准临街宗地并测算其平均单价或楼面地价，利用有关调整系数将</w:t>
      </w:r>
      <w:proofErr w:type="gramStart"/>
      <w:r>
        <w:rPr>
          <w:rFonts w:hint="eastAsia"/>
        </w:rPr>
        <w:t>该平均</w:t>
      </w:r>
      <w:proofErr w:type="gramEnd"/>
      <w:r>
        <w:rPr>
          <w:rFonts w:hint="eastAsia"/>
        </w:rPr>
        <w:t>单价或楼面地价调整为各宗临街土地价值或价格的方法。</w:t>
      </w:r>
    </w:p>
    <w:p w14:paraId="78F3C968" w14:textId="21ED43B6" w:rsidR="00FA0363" w:rsidRDefault="00FA0363" w:rsidP="00FA0363">
      <w:pPr>
        <w:pStyle w:val="13"/>
        <w:ind w:firstLine="482"/>
      </w:pPr>
      <w:r w:rsidRPr="00797CCF">
        <w:rPr>
          <w:b/>
          <w:bCs/>
        </w:rPr>
        <w:t>6.5.3</w:t>
      </w:r>
      <w:r w:rsidR="002451CD">
        <w:t xml:space="preserve"> </w:t>
      </w:r>
      <w:r>
        <w:t>标准价调整法 standard property value adjustment method</w:t>
      </w:r>
    </w:p>
    <w:p w14:paraId="3B82840E" w14:textId="77777777" w:rsidR="00FA0363" w:rsidRDefault="00FA0363" w:rsidP="00FA0363">
      <w:pPr>
        <w:pStyle w:val="13"/>
      </w:pPr>
      <w:r>
        <w:rPr>
          <w:rFonts w:hint="eastAsia"/>
        </w:rPr>
        <w:t>对估价范围内的所有被估价房地产进行分组，是同一组内的房地产具有相似性，在每组内选定或设定标准房地产并测算其价值或价格，利用有关调整系数将标准房</w:t>
      </w:r>
      <w:r>
        <w:rPr>
          <w:rFonts w:hint="eastAsia"/>
        </w:rPr>
        <w:lastRenderedPageBreak/>
        <w:t>地产价值或价格调整为各宗被估价房地产价值或价格的方法。</w:t>
      </w:r>
    </w:p>
    <w:p w14:paraId="1910EEDF" w14:textId="3325FFF8" w:rsidR="00FA0363" w:rsidRDefault="00FA0363" w:rsidP="00FA0363">
      <w:pPr>
        <w:pStyle w:val="13"/>
        <w:ind w:firstLine="482"/>
      </w:pPr>
      <w:r w:rsidRPr="00797CCF">
        <w:rPr>
          <w:b/>
          <w:bCs/>
        </w:rPr>
        <w:t>6.5.4</w:t>
      </w:r>
      <w:r w:rsidR="002451CD">
        <w:t xml:space="preserve"> </w:t>
      </w:r>
      <w:r>
        <w:t>多元回归分析法 multiple regression analysis</w:t>
      </w:r>
    </w:p>
    <w:p w14:paraId="39A89610" w14:textId="77777777" w:rsidR="00FA0363" w:rsidRDefault="00FA0363" w:rsidP="00FA0363">
      <w:pPr>
        <w:pStyle w:val="13"/>
      </w:pPr>
      <w:r>
        <w:rPr>
          <w:rFonts w:hint="eastAsia"/>
        </w:rPr>
        <w:t>对估价范围内的所有被估价房地产进行分组，是同一组内的房地产具有相似性，在每组内把房地产价值或价格作为因变量，把影响房地产价值或价格的若干因素作为自变量，设定多元回归模型，搜集大量房地产成交价格及其影响因素数据，经过试算优化和分析检验，确定多元回归模型，利用该模型计算出各宗被估价房地产价值或价格的方法。</w:t>
      </w:r>
    </w:p>
    <w:p w14:paraId="1391AE5F" w14:textId="5D762C8F" w:rsidR="00FA0363" w:rsidRDefault="00FA0363" w:rsidP="00FA0363">
      <w:pPr>
        <w:pStyle w:val="13"/>
        <w:ind w:firstLine="482"/>
      </w:pPr>
      <w:r w:rsidRPr="00797CCF">
        <w:rPr>
          <w:b/>
          <w:bCs/>
        </w:rPr>
        <w:t>6.5.5</w:t>
      </w:r>
      <w:r w:rsidR="002451CD">
        <w:t xml:space="preserve"> </w:t>
      </w:r>
      <w:r>
        <w:t>修复成本法 cure cost method</w:t>
      </w:r>
    </w:p>
    <w:p w14:paraId="56DB1BB9" w14:textId="77777777" w:rsidR="00FA0363" w:rsidRDefault="00FA0363" w:rsidP="00FA0363">
      <w:pPr>
        <w:pStyle w:val="13"/>
      </w:pPr>
      <w:r>
        <w:rPr>
          <w:rFonts w:hint="eastAsia"/>
        </w:rPr>
        <w:t>测算修复的必要支出及应得利润，将其作为房地产价值减损额的方法。</w:t>
      </w:r>
    </w:p>
    <w:p w14:paraId="2EC35E4D" w14:textId="03253A46" w:rsidR="00FA0363" w:rsidRDefault="00FA0363" w:rsidP="00FA0363">
      <w:pPr>
        <w:pStyle w:val="13"/>
        <w:ind w:firstLine="482"/>
      </w:pPr>
      <w:r w:rsidRPr="00797CCF">
        <w:rPr>
          <w:b/>
          <w:bCs/>
        </w:rPr>
        <w:t>6.5.6</w:t>
      </w:r>
      <w:r w:rsidR="002451CD">
        <w:t xml:space="preserve"> </w:t>
      </w:r>
      <w:r>
        <w:t>损失资本化法 income loss capitalization</w:t>
      </w:r>
    </w:p>
    <w:p w14:paraId="18057E80" w14:textId="77777777" w:rsidR="00FA0363" w:rsidRDefault="00FA0363" w:rsidP="00FA0363">
      <w:pPr>
        <w:pStyle w:val="13"/>
      </w:pPr>
      <w:r>
        <w:rPr>
          <w:rFonts w:hint="eastAsia"/>
        </w:rPr>
        <w:t>预测未来各年的净收益减少额或收入减少额、运营费用增加额，将其现值之和作为房地产价值减损额的方法。</w:t>
      </w:r>
    </w:p>
    <w:p w14:paraId="25D2B5C4" w14:textId="1B364D93" w:rsidR="00FA0363" w:rsidRDefault="00FA0363" w:rsidP="00FA0363">
      <w:pPr>
        <w:pStyle w:val="13"/>
        <w:ind w:firstLine="482"/>
      </w:pPr>
      <w:r w:rsidRPr="00797CCF">
        <w:rPr>
          <w:b/>
          <w:bCs/>
        </w:rPr>
        <w:t>6.5.7</w:t>
      </w:r>
      <w:r w:rsidR="002451CD">
        <w:t xml:space="preserve"> </w:t>
      </w:r>
      <w:r>
        <w:t>价差法 before and after method</w:t>
      </w:r>
    </w:p>
    <w:p w14:paraId="1F93DBB3" w14:textId="77777777" w:rsidR="00FA0363" w:rsidRDefault="00FA0363" w:rsidP="00FA0363">
      <w:pPr>
        <w:pStyle w:val="13"/>
      </w:pPr>
      <w:r>
        <w:rPr>
          <w:rFonts w:hint="eastAsia"/>
        </w:rPr>
        <w:t>分别评估房地产在改变之前和改变之后状况下的价值，将两者之差作为房地产价值减损额或价值增加额的方法</w:t>
      </w:r>
    </w:p>
    <w:p w14:paraId="06601E0C" w14:textId="77777777" w:rsidR="00FA0363" w:rsidRDefault="00FA0363" w:rsidP="00AF7342">
      <w:pPr>
        <w:pStyle w:val="a9"/>
        <w:spacing w:before="62" w:after="62"/>
      </w:pPr>
      <w:r>
        <w:t>7 估价报告</w:t>
      </w:r>
    </w:p>
    <w:p w14:paraId="306D78CB" w14:textId="06F78400" w:rsidR="00FA0363" w:rsidRDefault="00FA0363" w:rsidP="00FA0363">
      <w:pPr>
        <w:pStyle w:val="13"/>
        <w:ind w:firstLine="482"/>
      </w:pPr>
      <w:r w:rsidRPr="00797CCF">
        <w:rPr>
          <w:b/>
          <w:bCs/>
        </w:rPr>
        <w:t>7.0.1</w:t>
      </w:r>
      <w:r w:rsidR="002451CD">
        <w:t xml:space="preserve"> </w:t>
      </w:r>
      <w:r>
        <w:t>估价结果报告 summary appraisal report</w:t>
      </w:r>
    </w:p>
    <w:p w14:paraId="72BFD3B1" w14:textId="77777777" w:rsidR="00FA0363" w:rsidRDefault="00FA0363" w:rsidP="00FA0363">
      <w:pPr>
        <w:pStyle w:val="13"/>
      </w:pPr>
      <w:r>
        <w:rPr>
          <w:rFonts w:hint="eastAsia"/>
        </w:rPr>
        <w:t>简要记载估价委托人、房地产估价机构、注册房地产估价师、估价目的、估价对象、价值时点、价值类型、估价原则、估价依据、估价方法、估价结果、实地查勘期、估价作业期等内容的估价报告。</w:t>
      </w:r>
    </w:p>
    <w:p w14:paraId="4429263C" w14:textId="003B9A77" w:rsidR="00FA0363" w:rsidRDefault="00FA0363" w:rsidP="00FA0363">
      <w:pPr>
        <w:pStyle w:val="13"/>
        <w:ind w:firstLine="482"/>
      </w:pPr>
      <w:r w:rsidRPr="00797CCF">
        <w:rPr>
          <w:b/>
          <w:bCs/>
        </w:rPr>
        <w:t>7.0.2</w:t>
      </w:r>
      <w:r w:rsidR="002451CD">
        <w:t xml:space="preserve"> </w:t>
      </w:r>
      <w:r>
        <w:t>估价技术报告 appraisal technique report</w:t>
      </w:r>
    </w:p>
    <w:p w14:paraId="79ACAC3A" w14:textId="77777777" w:rsidR="00FA0363" w:rsidRDefault="00FA0363" w:rsidP="00FA0363">
      <w:pPr>
        <w:pStyle w:val="13"/>
      </w:pPr>
      <w:r>
        <w:rPr>
          <w:rFonts w:hint="eastAsia"/>
        </w:rPr>
        <w:t>详细记载估价对象描述与分析、市场背景描述与分析、估价方法适用性分析、估价测算过程、估价结果确定等内容的估价报告。</w:t>
      </w:r>
    </w:p>
    <w:p w14:paraId="70582481" w14:textId="11E4CF54" w:rsidR="00FA0363" w:rsidRDefault="00FA0363" w:rsidP="00FA0363">
      <w:pPr>
        <w:pStyle w:val="13"/>
        <w:ind w:firstLine="482"/>
      </w:pPr>
      <w:r w:rsidRPr="00797CCF">
        <w:rPr>
          <w:b/>
          <w:bCs/>
        </w:rPr>
        <w:t>7.0.3</w:t>
      </w:r>
      <w:r w:rsidR="002451CD">
        <w:t xml:space="preserve"> </w:t>
      </w:r>
      <w:proofErr w:type="gramStart"/>
      <w:r>
        <w:t>鉴证</w:t>
      </w:r>
      <w:proofErr w:type="gramEnd"/>
      <w:r>
        <w:t>性估价报告 appraisal report for identification</w:t>
      </w:r>
    </w:p>
    <w:p w14:paraId="007D5763" w14:textId="77777777" w:rsidR="00FA0363" w:rsidRDefault="00FA0363" w:rsidP="00FA0363">
      <w:pPr>
        <w:pStyle w:val="13"/>
      </w:pPr>
      <w:r>
        <w:rPr>
          <w:rFonts w:hint="eastAsia"/>
        </w:rPr>
        <w:t>房地产估价机构向估价委托人出具的起着价值证明作用的估价报告。</w:t>
      </w:r>
    </w:p>
    <w:p w14:paraId="638E2171" w14:textId="201BC1AE" w:rsidR="00FA0363" w:rsidRDefault="00FA0363" w:rsidP="00FA0363">
      <w:pPr>
        <w:pStyle w:val="13"/>
        <w:ind w:firstLine="482"/>
      </w:pPr>
      <w:r w:rsidRPr="00797CCF">
        <w:rPr>
          <w:b/>
          <w:bCs/>
        </w:rPr>
        <w:t>7.0.4</w:t>
      </w:r>
      <w:r w:rsidR="002451CD">
        <w:t xml:space="preserve"> </w:t>
      </w:r>
      <w:r>
        <w:t>致估价委托人函 letter of transmittal</w:t>
      </w:r>
    </w:p>
    <w:p w14:paraId="5EA5D9E5" w14:textId="77777777" w:rsidR="00FA0363" w:rsidRDefault="00FA0363" w:rsidP="00FA0363">
      <w:pPr>
        <w:pStyle w:val="13"/>
      </w:pPr>
      <w:r>
        <w:rPr>
          <w:rFonts w:hint="eastAsia"/>
        </w:rPr>
        <w:t>房地产估价机构和注册房地产估价师正式地向估价委托人报告估价结果、呈送估价报告的文件。</w:t>
      </w:r>
    </w:p>
    <w:p w14:paraId="1BA51670" w14:textId="6BD8D951" w:rsidR="00FA0363" w:rsidRDefault="00FA0363" w:rsidP="00FA0363">
      <w:pPr>
        <w:pStyle w:val="13"/>
        <w:ind w:firstLine="482"/>
      </w:pPr>
      <w:r w:rsidRPr="00797CCF">
        <w:rPr>
          <w:b/>
          <w:bCs/>
        </w:rPr>
        <w:t>7.0.5</w:t>
      </w:r>
      <w:r w:rsidR="002451CD">
        <w:t xml:space="preserve"> </w:t>
      </w:r>
      <w:r>
        <w:t>估价师声明 appraiser</w:t>
      </w:r>
      <w:proofErr w:type="gramStart"/>
      <w:r>
        <w:t>’</w:t>
      </w:r>
      <w:proofErr w:type="gramEnd"/>
      <w:r>
        <w:t>s certification</w:t>
      </w:r>
    </w:p>
    <w:p w14:paraId="275A7DE9" w14:textId="77777777" w:rsidR="00FA0363" w:rsidRDefault="00FA0363" w:rsidP="00FA0363">
      <w:pPr>
        <w:pStyle w:val="13"/>
      </w:pPr>
      <w:r>
        <w:rPr>
          <w:rFonts w:hint="eastAsia"/>
        </w:rPr>
        <w:t>注册房地产估价师在估价报告中对其估价职业道德、专业胜任能力、勤勉尽责估价等所作的承诺和保证。</w:t>
      </w:r>
    </w:p>
    <w:p w14:paraId="559D2876" w14:textId="5B65E4DB" w:rsidR="00FA0363" w:rsidRDefault="00FA0363" w:rsidP="00FA0363">
      <w:pPr>
        <w:pStyle w:val="13"/>
        <w:ind w:firstLine="482"/>
      </w:pPr>
      <w:r w:rsidRPr="00797CCF">
        <w:rPr>
          <w:b/>
          <w:bCs/>
        </w:rPr>
        <w:t>7.0.6</w:t>
      </w:r>
      <w:r w:rsidR="002451CD">
        <w:t xml:space="preserve"> </w:t>
      </w:r>
      <w:r>
        <w:t>估价假设和限制条件 assumptions and limiting conditions</w:t>
      </w:r>
    </w:p>
    <w:p w14:paraId="09262863" w14:textId="77777777" w:rsidR="00FA0363" w:rsidRDefault="00FA0363" w:rsidP="00FA0363">
      <w:pPr>
        <w:pStyle w:val="13"/>
      </w:pPr>
      <w:r>
        <w:rPr>
          <w:rFonts w:hint="eastAsia"/>
        </w:rPr>
        <w:t>估价报告中对估价假设和估价报告使用限制的说明，包括一般假设、未定事项假设、背离事实假设、不相一致假设、依据不足假设以及估价报告使用限制。</w:t>
      </w:r>
    </w:p>
    <w:p w14:paraId="17E81890" w14:textId="5DC796ED" w:rsidR="00FA0363" w:rsidRDefault="00FA0363" w:rsidP="00FA0363">
      <w:pPr>
        <w:pStyle w:val="13"/>
        <w:ind w:firstLine="482"/>
      </w:pPr>
      <w:r w:rsidRPr="00797CCF">
        <w:rPr>
          <w:b/>
          <w:bCs/>
        </w:rPr>
        <w:lastRenderedPageBreak/>
        <w:t>7.0.7</w:t>
      </w:r>
      <w:r w:rsidR="002451CD">
        <w:t xml:space="preserve"> </w:t>
      </w:r>
      <w:r>
        <w:t>估价报告使用限制 limiting condition of appraisal report</w:t>
      </w:r>
    </w:p>
    <w:p w14:paraId="3E030170" w14:textId="77777777" w:rsidR="00FA0363" w:rsidRDefault="00FA0363" w:rsidP="00FA0363">
      <w:pPr>
        <w:pStyle w:val="13"/>
      </w:pPr>
      <w:r>
        <w:rPr>
          <w:rFonts w:hint="eastAsia"/>
        </w:rPr>
        <w:t>对估价报告的用途、使用者、使用期限等使用范围的限定，以及在使用估价报告时需要注意的其他事项。</w:t>
      </w:r>
    </w:p>
    <w:p w14:paraId="145AF736" w14:textId="136A252B" w:rsidR="00FA0363" w:rsidRDefault="00FA0363" w:rsidP="00FA0363">
      <w:pPr>
        <w:pStyle w:val="13"/>
        <w:ind w:firstLine="482"/>
      </w:pPr>
      <w:r w:rsidRPr="00797CCF">
        <w:rPr>
          <w:b/>
          <w:bCs/>
        </w:rPr>
        <w:t>7.0.8</w:t>
      </w:r>
      <w:r w:rsidR="002451CD">
        <w:t xml:space="preserve"> </w:t>
      </w:r>
      <w:r>
        <w:t>估价报告使用者 intended user of appraisal report</w:t>
      </w:r>
    </w:p>
    <w:p w14:paraId="00CA9E13" w14:textId="77777777" w:rsidR="00FA0363" w:rsidRDefault="00FA0363" w:rsidP="00FA0363">
      <w:pPr>
        <w:pStyle w:val="13"/>
      </w:pPr>
      <w:r>
        <w:rPr>
          <w:rFonts w:hint="eastAsia"/>
        </w:rPr>
        <w:t>依法使用估价报告的单位或个人。</w:t>
      </w:r>
    </w:p>
    <w:p w14:paraId="781EEF01" w14:textId="7E78D6C5" w:rsidR="00FA0363" w:rsidRDefault="00FA0363" w:rsidP="00FA0363">
      <w:pPr>
        <w:pStyle w:val="13"/>
        <w:ind w:firstLine="482"/>
      </w:pPr>
      <w:r w:rsidRPr="00797CCF">
        <w:rPr>
          <w:b/>
          <w:bCs/>
        </w:rPr>
        <w:t>7.0.9</w:t>
      </w:r>
      <w:r w:rsidR="002451CD">
        <w:rPr>
          <w:b/>
          <w:bCs/>
        </w:rPr>
        <w:t xml:space="preserve"> </w:t>
      </w:r>
      <w:r>
        <w:t xml:space="preserve">估价报告使用期限 </w:t>
      </w:r>
      <w:proofErr w:type="spellStart"/>
      <w:r>
        <w:t>e×pired</w:t>
      </w:r>
      <w:proofErr w:type="spellEnd"/>
      <w:r>
        <w:t xml:space="preserve"> date of appraisal report</w:t>
      </w:r>
    </w:p>
    <w:p w14:paraId="55C3EABB" w14:textId="77777777" w:rsidR="00FA0363" w:rsidRDefault="00FA0363" w:rsidP="00FA0363">
      <w:pPr>
        <w:pStyle w:val="13"/>
      </w:pPr>
      <w:r>
        <w:rPr>
          <w:rFonts w:hint="eastAsia"/>
        </w:rPr>
        <w:t>自估价报告出具之日起计算，使用估价报告不得超过的时间。</w:t>
      </w:r>
    </w:p>
    <w:p w14:paraId="5810E691" w14:textId="74334597" w:rsidR="00FA0363" w:rsidRDefault="00FA0363" w:rsidP="00FA0363">
      <w:pPr>
        <w:pStyle w:val="13"/>
        <w:ind w:firstLine="482"/>
      </w:pPr>
      <w:r w:rsidRPr="00797CCF">
        <w:rPr>
          <w:b/>
          <w:bCs/>
        </w:rPr>
        <w:t>7.0.10</w:t>
      </w:r>
      <w:r w:rsidR="002451CD">
        <w:rPr>
          <w:b/>
          <w:bCs/>
        </w:rPr>
        <w:t xml:space="preserve"> </w:t>
      </w:r>
      <w:r>
        <w:t>估价报告出具日期 date of appraisal report</w:t>
      </w:r>
    </w:p>
    <w:p w14:paraId="1B6A3254" w14:textId="77777777" w:rsidR="00FA0363" w:rsidRDefault="00FA0363" w:rsidP="00FA0363">
      <w:pPr>
        <w:pStyle w:val="13"/>
      </w:pPr>
      <w:r>
        <w:rPr>
          <w:rFonts w:hint="eastAsia"/>
        </w:rPr>
        <w:t>致估价委托人函中的致函日期。</w:t>
      </w:r>
    </w:p>
    <w:p w14:paraId="54197856" w14:textId="4F445BC9" w:rsidR="00FA0363" w:rsidRDefault="00FA0363" w:rsidP="00FA0363">
      <w:pPr>
        <w:pStyle w:val="13"/>
        <w:ind w:firstLine="482"/>
      </w:pPr>
      <w:r w:rsidRPr="00797CCF">
        <w:rPr>
          <w:b/>
          <w:bCs/>
        </w:rPr>
        <w:t>7.0.11</w:t>
      </w:r>
      <w:r w:rsidR="002451CD">
        <w:t xml:space="preserve"> </w:t>
      </w:r>
      <w:r>
        <w:t>实地查勘期 on-site inspection period</w:t>
      </w:r>
    </w:p>
    <w:p w14:paraId="702A6171" w14:textId="77777777" w:rsidR="00FA0363" w:rsidRDefault="00FA0363" w:rsidP="00FA0363">
      <w:pPr>
        <w:pStyle w:val="13"/>
      </w:pPr>
      <w:r>
        <w:rPr>
          <w:rFonts w:hint="eastAsia"/>
        </w:rPr>
        <w:t>实地查勘期的起止日期，自进入实地查勘现场之日起至完成实地查勘之日止。</w:t>
      </w:r>
    </w:p>
    <w:p w14:paraId="24E922F7" w14:textId="74D8C48E" w:rsidR="00FA0363" w:rsidRDefault="00FA0363" w:rsidP="00FA0363">
      <w:pPr>
        <w:pStyle w:val="13"/>
        <w:ind w:firstLine="482"/>
      </w:pPr>
      <w:r w:rsidRPr="00797CCF">
        <w:rPr>
          <w:b/>
          <w:bCs/>
        </w:rPr>
        <w:t>7.0.12</w:t>
      </w:r>
      <w:r w:rsidR="002451CD">
        <w:t xml:space="preserve"> </w:t>
      </w:r>
      <w:r>
        <w:t>估价作业期 appraisal work period</w:t>
      </w:r>
    </w:p>
    <w:p w14:paraId="1EEF1B66" w14:textId="77777777" w:rsidR="00FA0363" w:rsidRDefault="00FA0363" w:rsidP="00FA0363">
      <w:pPr>
        <w:pStyle w:val="13"/>
      </w:pPr>
      <w:r>
        <w:rPr>
          <w:rFonts w:hint="eastAsia"/>
        </w:rPr>
        <w:t>估价工作的起止日期，自受理估价委托之日起至估价报告出具之日止。</w:t>
      </w:r>
    </w:p>
    <w:p w14:paraId="22560775" w14:textId="23C87F42" w:rsidR="00FA0363" w:rsidRDefault="004F6089" w:rsidP="00FA0363">
      <w:pPr>
        <w:pStyle w:val="21"/>
        <w:spacing w:before="156" w:after="93"/>
      </w:pPr>
      <w:bookmarkStart w:id="125" w:name="_Toc81833387"/>
      <w:r>
        <w:rPr>
          <w:rFonts w:hint="eastAsia"/>
        </w:rPr>
        <w:t>建设部及</w:t>
      </w:r>
      <w:r w:rsidR="00FA0363">
        <w:rPr>
          <w:rFonts w:hint="eastAsia"/>
        </w:rPr>
        <w:t>中房学规范</w:t>
      </w:r>
      <w:bookmarkEnd w:id="125"/>
    </w:p>
    <w:p w14:paraId="5968C6AE" w14:textId="4CCA8E5E" w:rsidR="00FA0363" w:rsidRDefault="00FA0363" w:rsidP="00FA0363">
      <w:pPr>
        <w:pStyle w:val="31"/>
        <w:spacing w:before="156" w:after="62"/>
      </w:pPr>
      <w:bookmarkStart w:id="126" w:name="_Toc81833388"/>
      <w:r>
        <w:rPr>
          <w:rFonts w:hint="eastAsia"/>
        </w:rPr>
        <w:t>房地产抵押估价指导意见（建住房〔</w:t>
      </w:r>
      <w:r>
        <w:t>20</w:t>
      </w:r>
      <w:r w:rsidR="00444314">
        <w:t>06</w:t>
      </w:r>
      <w:r>
        <w:t>〕8号）</w:t>
      </w:r>
      <w:bookmarkEnd w:id="126"/>
    </w:p>
    <w:p w14:paraId="239ADD60" w14:textId="5E2A003F" w:rsidR="00FA0363" w:rsidRDefault="00FA0363" w:rsidP="00AF7342">
      <w:pPr>
        <w:pStyle w:val="a9"/>
        <w:spacing w:before="62" w:after="62"/>
      </w:pPr>
      <w:r>
        <w:rPr>
          <w:rFonts w:hint="eastAsia"/>
        </w:rPr>
        <w:t>《关于规范与银行信贷业务相关的房</w:t>
      </w:r>
      <w:r>
        <w:t>地产抵押估价管理有关问题的通知》</w:t>
      </w:r>
    </w:p>
    <w:p w14:paraId="072B6F64" w14:textId="7F25B179" w:rsidR="00FA0363" w:rsidRDefault="00FA0363" w:rsidP="00AF7342">
      <w:pPr>
        <w:pStyle w:val="a9"/>
        <w:spacing w:before="62" w:after="62"/>
      </w:pPr>
      <w:r>
        <w:rPr>
          <w:rFonts w:hint="eastAsia"/>
        </w:rPr>
        <w:t>建住房〔</w:t>
      </w:r>
      <w:r>
        <w:t>20</w:t>
      </w:r>
      <w:r w:rsidR="0029453F">
        <w:t>06</w:t>
      </w:r>
      <w:r>
        <w:t>〕8号</w:t>
      </w:r>
    </w:p>
    <w:p w14:paraId="285CF5B1" w14:textId="77777777" w:rsidR="00FA0363" w:rsidRDefault="00FA0363" w:rsidP="00E73797">
      <w:pPr>
        <w:pStyle w:val="13"/>
        <w:ind w:firstLineChars="0" w:firstLine="0"/>
      </w:pPr>
      <w:r>
        <w:rPr>
          <w:rFonts w:hint="eastAsia"/>
        </w:rPr>
        <w:t>各省、自治区建设厅，直辖市房地局（建委），中国人民银行各分行、营业管理部、各省会（自治区首府）城市中心支行、副省级城市中心支行，</w:t>
      </w:r>
      <w:proofErr w:type="gramStart"/>
      <w:r>
        <w:rPr>
          <w:rFonts w:hint="eastAsia"/>
        </w:rPr>
        <w:t>各银监</w:t>
      </w:r>
      <w:proofErr w:type="gramEnd"/>
      <w:r>
        <w:rPr>
          <w:rFonts w:hint="eastAsia"/>
        </w:rPr>
        <w:t>局，各国有商业银行、股份制商业银行：</w:t>
      </w:r>
    </w:p>
    <w:p w14:paraId="114A6125" w14:textId="77777777" w:rsidR="00FA0363" w:rsidRDefault="00FA0363" w:rsidP="00FA0363">
      <w:pPr>
        <w:pStyle w:val="13"/>
      </w:pPr>
      <w:r>
        <w:rPr>
          <w:rFonts w:hint="eastAsia"/>
        </w:rPr>
        <w:t>为了加强房地产抵押估价管理，防范房地产信贷风险，维护房地产抵押当事人的合法权益，根据有关法律法规，现就有关问题通知如下：</w:t>
      </w:r>
    </w:p>
    <w:p w14:paraId="6D7D73BF" w14:textId="6A9E0FF7" w:rsidR="00FA0363" w:rsidRDefault="00FA0363" w:rsidP="00FA0363">
      <w:pPr>
        <w:pStyle w:val="13"/>
      </w:pPr>
      <w:r>
        <w:rPr>
          <w:rFonts w:hint="eastAsia"/>
        </w:rPr>
        <w:t>一、房地产管理部门要建立和完善房地产估价机构、注册房地产估价师信用档案，</w:t>
      </w:r>
      <w:r>
        <w:t>完善商品房预售合同登记备案、房屋权属登记等信息系统，为公众提供便捷的查询服务。</w:t>
      </w:r>
    </w:p>
    <w:p w14:paraId="00CE6625" w14:textId="77777777" w:rsidR="00FA0363" w:rsidRDefault="00FA0363" w:rsidP="00FA0363">
      <w:pPr>
        <w:pStyle w:val="13"/>
      </w:pPr>
      <w:r>
        <w:rPr>
          <w:rFonts w:hint="eastAsia"/>
        </w:rPr>
        <w:t>房屋权属档案和有关原始凭证的查阅，按照《城市房地产权属档案管理办法》的有关规定办理。</w:t>
      </w:r>
    </w:p>
    <w:p w14:paraId="09314162" w14:textId="77777777" w:rsidR="00FA0363" w:rsidRDefault="00FA0363" w:rsidP="00FA0363">
      <w:pPr>
        <w:pStyle w:val="13"/>
      </w:pPr>
      <w:r>
        <w:rPr>
          <w:rFonts w:hint="eastAsia"/>
        </w:rPr>
        <w:t>二、商业银行在发放房地产抵押贷款前，应当确定房地产抵押价值。房地产抵押价值由抵押当事人协商议定，或者由房地产估价机构进行评估。</w:t>
      </w:r>
    </w:p>
    <w:p w14:paraId="41A5F8F6" w14:textId="77777777" w:rsidR="00FA0363" w:rsidRDefault="00FA0363" w:rsidP="00FA0363">
      <w:pPr>
        <w:pStyle w:val="13"/>
      </w:pPr>
      <w:r>
        <w:rPr>
          <w:rFonts w:hint="eastAsia"/>
        </w:rPr>
        <w:t>房地产抵押价值由抵押当事人协商议定的，应当向房地产管理部门提供确定房地产抵押价值的书面协议；由房地产估价机构评估的，应当向房地产管理部门提供房地产抵押估价报告。</w:t>
      </w:r>
    </w:p>
    <w:p w14:paraId="174CC8BA" w14:textId="77777777" w:rsidR="00FA0363" w:rsidRDefault="00FA0363" w:rsidP="00FA0363">
      <w:pPr>
        <w:pStyle w:val="13"/>
      </w:pPr>
      <w:r>
        <w:rPr>
          <w:rFonts w:hint="eastAsia"/>
        </w:rPr>
        <w:lastRenderedPageBreak/>
        <w:t>房地产管理部门不得要求抵押当事人委托评估房地产抵押价值，不得指定房地产估价机构评估房地产抵押价值。</w:t>
      </w:r>
    </w:p>
    <w:p w14:paraId="77BD5126" w14:textId="77777777" w:rsidR="00FA0363" w:rsidRDefault="00FA0363" w:rsidP="00FA0363">
      <w:pPr>
        <w:pStyle w:val="13"/>
      </w:pPr>
      <w:r>
        <w:rPr>
          <w:rFonts w:hint="eastAsia"/>
        </w:rPr>
        <w:t>三、房地产抵押估价原则上由商业银行委托，但商业银行与借款人另有约定的，从其约定。估价费用由委托人承担。</w:t>
      </w:r>
    </w:p>
    <w:p w14:paraId="34DF06E2" w14:textId="77777777" w:rsidR="00FA0363" w:rsidRDefault="00FA0363" w:rsidP="00FA0363">
      <w:pPr>
        <w:pStyle w:val="13"/>
      </w:pPr>
      <w:r>
        <w:rPr>
          <w:rFonts w:hint="eastAsia"/>
        </w:rPr>
        <w:t>四、房地产估价机构的选用，由商业银行内信贷决策以外的部门，按照公正、公开、透明的原则，择优决定。</w:t>
      </w:r>
    </w:p>
    <w:p w14:paraId="6B17CB1D" w14:textId="77777777" w:rsidR="00FA0363" w:rsidRDefault="00FA0363" w:rsidP="00FA0363">
      <w:pPr>
        <w:pStyle w:val="13"/>
      </w:pPr>
      <w:r>
        <w:rPr>
          <w:rFonts w:hint="eastAsia"/>
        </w:rPr>
        <w:t>商业银行内部对房地产抵押价值进行审核的人员，应当具备房地产估价专业知识和技能，不得参与信贷决策。</w:t>
      </w:r>
    </w:p>
    <w:p w14:paraId="0AD80E86" w14:textId="77777777" w:rsidR="00FA0363" w:rsidRDefault="00FA0363" w:rsidP="00FA0363">
      <w:pPr>
        <w:pStyle w:val="13"/>
      </w:pPr>
      <w:r>
        <w:rPr>
          <w:rFonts w:hint="eastAsia"/>
        </w:rPr>
        <w:t>房地产估价机构的选用办法由商业银行制定。</w:t>
      </w:r>
    </w:p>
    <w:p w14:paraId="1DB1EF3E" w14:textId="77777777" w:rsidR="00FA0363" w:rsidRDefault="00FA0363" w:rsidP="00FA0363">
      <w:pPr>
        <w:pStyle w:val="13"/>
      </w:pPr>
      <w:r>
        <w:rPr>
          <w:rFonts w:hint="eastAsia"/>
        </w:rPr>
        <w:t>五、商业银行及其工作人员不得以任何形式向房地产估价机构收取中间业务费、业务协作费、回扣以及具有类似性质的不合理或非法费用。</w:t>
      </w:r>
    </w:p>
    <w:p w14:paraId="4E33D8B7" w14:textId="77777777" w:rsidR="00FA0363" w:rsidRDefault="00FA0363" w:rsidP="00FA0363">
      <w:pPr>
        <w:pStyle w:val="13"/>
      </w:pPr>
      <w:r>
        <w:rPr>
          <w:rFonts w:hint="eastAsia"/>
        </w:rPr>
        <w:t>六、任何单位和个人不得非法干预房地产抵押估价活动和估价结果。</w:t>
      </w:r>
    </w:p>
    <w:p w14:paraId="360DD15A" w14:textId="77777777" w:rsidR="00FA0363" w:rsidRDefault="00FA0363" w:rsidP="00FA0363">
      <w:pPr>
        <w:pStyle w:val="13"/>
      </w:pPr>
      <w:r>
        <w:rPr>
          <w:rFonts w:hint="eastAsia"/>
        </w:rPr>
        <w:t>七、房地产估价机构应当坚持独立、客观、公正的原则，严格执行房地产估价规范和标准，不得以迎合高估或者低估要求、给予“回扣”、恶意压低收费等不正当方式承揽房地产抵押估价业务。</w:t>
      </w:r>
    </w:p>
    <w:p w14:paraId="4B25409D" w14:textId="77777777" w:rsidR="00FA0363" w:rsidRDefault="00FA0363" w:rsidP="00FA0363">
      <w:pPr>
        <w:pStyle w:val="13"/>
      </w:pPr>
      <w:r>
        <w:rPr>
          <w:rFonts w:hint="eastAsia"/>
        </w:rPr>
        <w:t>八、商业银行应当加强对已抵押房地产市场价格变化的监测，及时掌握抵押价值变化情况。可以委托房地产估价机构定期或者在市场价格变化较快时，评估房地产抵押价值。处置抵押房地产前，应当委托房地产估价机构进行评估，了解房地产的市场价值。</w:t>
      </w:r>
    </w:p>
    <w:p w14:paraId="6F2C957C" w14:textId="77777777" w:rsidR="00FA0363" w:rsidRDefault="00FA0363" w:rsidP="00FA0363">
      <w:pPr>
        <w:pStyle w:val="13"/>
      </w:pPr>
      <w:r>
        <w:rPr>
          <w:rFonts w:hint="eastAsia"/>
        </w:rPr>
        <w:t>九、房地产管理部门要定期对房地产估价报告进行抽检，对有高估或低估等禁止行为的房地产估价机构和注册房地产估价师，要依法严肃查处，并记入其信用档案，向社会公示。</w:t>
      </w:r>
    </w:p>
    <w:p w14:paraId="1C6F96B5" w14:textId="77777777" w:rsidR="00FA0363" w:rsidRDefault="00FA0363" w:rsidP="00FA0363">
      <w:pPr>
        <w:pStyle w:val="13"/>
      </w:pPr>
      <w:r>
        <w:rPr>
          <w:rFonts w:hint="eastAsia"/>
        </w:rPr>
        <w:t>十、房地产抵押价值评估应当按照《房地产抵押估价指导意见》的要求进行。</w:t>
      </w:r>
    </w:p>
    <w:p w14:paraId="7FF55D84" w14:textId="77777777" w:rsidR="00FA0363" w:rsidRDefault="00FA0363" w:rsidP="00FA0363">
      <w:pPr>
        <w:pStyle w:val="13"/>
      </w:pPr>
      <w:r>
        <w:rPr>
          <w:rFonts w:hint="eastAsia"/>
        </w:rPr>
        <w:t>十一、违反本通知规定的，由相关部门按照有关规定进行查处，并依法追究有关责任人的责任。</w:t>
      </w:r>
    </w:p>
    <w:p w14:paraId="031180E6" w14:textId="77777777" w:rsidR="00FA0363" w:rsidRDefault="00FA0363" w:rsidP="00FA0363">
      <w:pPr>
        <w:pStyle w:val="13"/>
      </w:pPr>
      <w:r>
        <w:rPr>
          <w:rFonts w:hint="eastAsia"/>
        </w:rPr>
        <w:t>附：《房地产抵押估价指导意见》</w:t>
      </w:r>
    </w:p>
    <w:p w14:paraId="518AB96A" w14:textId="77777777" w:rsidR="00FA0363" w:rsidRDefault="00FA0363" w:rsidP="00FA0363">
      <w:pPr>
        <w:pStyle w:val="13"/>
        <w:jc w:val="right"/>
      </w:pPr>
      <w:r>
        <w:t xml:space="preserve"> </w:t>
      </w:r>
      <w:r>
        <w:rPr>
          <w:rFonts w:hint="eastAsia"/>
        </w:rPr>
        <w:t>中华人民共和国建设部</w:t>
      </w:r>
    </w:p>
    <w:p w14:paraId="51F80AC0" w14:textId="77777777" w:rsidR="00FA0363" w:rsidRDefault="00FA0363" w:rsidP="00FA0363">
      <w:pPr>
        <w:pStyle w:val="13"/>
        <w:jc w:val="right"/>
      </w:pPr>
      <w:r>
        <w:rPr>
          <w:rFonts w:hint="eastAsia"/>
        </w:rPr>
        <w:t>中国人民银行</w:t>
      </w:r>
    </w:p>
    <w:p w14:paraId="33C1402B" w14:textId="77777777" w:rsidR="00FA0363" w:rsidRDefault="00FA0363" w:rsidP="00FA0363">
      <w:pPr>
        <w:pStyle w:val="13"/>
        <w:jc w:val="right"/>
      </w:pPr>
      <w:r>
        <w:rPr>
          <w:rFonts w:hint="eastAsia"/>
        </w:rPr>
        <w:t>中国银行业监督管理委员会</w:t>
      </w:r>
    </w:p>
    <w:p w14:paraId="17C771FD" w14:textId="77777777" w:rsidR="00FA0363" w:rsidRDefault="00FA0363" w:rsidP="00FA0363">
      <w:pPr>
        <w:pStyle w:val="13"/>
        <w:jc w:val="right"/>
      </w:pPr>
      <w:r>
        <w:rPr>
          <w:rFonts w:hint="eastAsia"/>
        </w:rPr>
        <w:t>二〇〇六年一月十三日</w:t>
      </w:r>
    </w:p>
    <w:p w14:paraId="4AEE9FF7" w14:textId="77777777" w:rsidR="00FA0363" w:rsidRDefault="00FA0363" w:rsidP="00AF7342">
      <w:pPr>
        <w:pStyle w:val="a9"/>
        <w:spacing w:before="62" w:after="62"/>
      </w:pPr>
      <w:r>
        <w:rPr>
          <w:rFonts w:hint="eastAsia"/>
        </w:rPr>
        <w:t>房地产抵押估价指导意见</w:t>
      </w:r>
    </w:p>
    <w:p w14:paraId="3F7B9A93" w14:textId="5B589F18" w:rsidR="00FA0363" w:rsidRDefault="004E3EBB" w:rsidP="00FA0363">
      <w:pPr>
        <w:pStyle w:val="13"/>
        <w:ind w:firstLine="482"/>
      </w:pPr>
      <w:r w:rsidRPr="004E3EBB">
        <w:rPr>
          <w:rFonts w:hint="eastAsia"/>
          <w:b/>
          <w:bCs/>
        </w:rPr>
        <w:t xml:space="preserve">第一条 </w:t>
      </w:r>
      <w:r w:rsidR="00FA0363">
        <w:t>为了规范房地产抵押估价行为，保证房地产抵押估价质量，维护房地产抵押当事人的合法权益，防范房地产信贷风险，根据《中华人民共和国城市房地产管理法》、</w:t>
      </w:r>
      <w:r w:rsidR="00FA0363">
        <w:rPr>
          <w:rFonts w:hint="eastAsia"/>
        </w:rPr>
        <w:t>《中华人民共和国担保法》以及《房地产估价规范》、《商业银行房地产贷款风</w:t>
      </w:r>
      <w:r w:rsidR="00FA0363">
        <w:rPr>
          <w:rFonts w:hint="eastAsia"/>
        </w:rPr>
        <w:lastRenderedPageBreak/>
        <w:t>险管理指引》，制定本意见。</w:t>
      </w:r>
    </w:p>
    <w:p w14:paraId="03E5DD10" w14:textId="3B7D7BF3" w:rsidR="00FA0363" w:rsidRDefault="004E3EBB" w:rsidP="00FA0363">
      <w:pPr>
        <w:pStyle w:val="13"/>
        <w:ind w:firstLine="482"/>
      </w:pPr>
      <w:r w:rsidRPr="004E3EBB">
        <w:rPr>
          <w:rFonts w:hint="eastAsia"/>
          <w:b/>
          <w:bCs/>
        </w:rPr>
        <w:t xml:space="preserve">第二条 </w:t>
      </w:r>
      <w:r w:rsidR="00FA0363">
        <w:t>本意见适用于各类房地产抵押估价活动。</w:t>
      </w:r>
    </w:p>
    <w:p w14:paraId="245E5241" w14:textId="78FFEAB4" w:rsidR="00FA0363" w:rsidRDefault="004E3EBB" w:rsidP="00FA0363">
      <w:pPr>
        <w:pStyle w:val="13"/>
        <w:ind w:firstLine="482"/>
      </w:pPr>
      <w:r w:rsidRPr="004E3EBB">
        <w:rPr>
          <w:rFonts w:hint="eastAsia"/>
          <w:b/>
          <w:bCs/>
        </w:rPr>
        <w:t xml:space="preserve">第三条 </w:t>
      </w:r>
      <w:r w:rsidR="00FA0363">
        <w:t>本意见所称房地产抵押估价，是指为确定房地产抵押贷款额度提供价值参考依据，对房地产抵押价值进行分析、估算和判定的活动。</w:t>
      </w:r>
    </w:p>
    <w:p w14:paraId="51865E3B" w14:textId="5C710E76" w:rsidR="00FA0363" w:rsidRDefault="004E3EBB" w:rsidP="00FA0363">
      <w:pPr>
        <w:pStyle w:val="13"/>
        <w:ind w:firstLine="482"/>
      </w:pPr>
      <w:r w:rsidRPr="004E3EBB">
        <w:rPr>
          <w:rFonts w:hint="eastAsia"/>
          <w:b/>
          <w:bCs/>
        </w:rPr>
        <w:t xml:space="preserve">第四条 </w:t>
      </w:r>
      <w:r w:rsidR="00FA0363">
        <w:t>房地产抵押价值为抵押房地产在估价时点的市场价值，等于假定未设立法定优先受偿权利下的市场价值减去房地产估价师知悉的法定优先受偿款。</w:t>
      </w:r>
    </w:p>
    <w:p w14:paraId="2AD9D660" w14:textId="77777777" w:rsidR="00FA0363" w:rsidRDefault="00FA0363" w:rsidP="00FA0363">
      <w:pPr>
        <w:pStyle w:val="13"/>
      </w:pPr>
      <w:r>
        <w:rPr>
          <w:rFonts w:hint="eastAsia"/>
        </w:rPr>
        <w:t>本意见所称抵押房地产，包括拟抵押房地产和已抵押房地产。</w:t>
      </w:r>
    </w:p>
    <w:p w14:paraId="0201EBA8" w14:textId="77777777" w:rsidR="00FA0363" w:rsidRDefault="00FA0363" w:rsidP="00FA0363">
      <w:pPr>
        <w:pStyle w:val="13"/>
      </w:pPr>
      <w:r>
        <w:rPr>
          <w:rFonts w:hint="eastAsia"/>
        </w:rPr>
        <w:t>法定优先受偿款是指假定在估价时点实现抵押权时，法律规定优先于本次抵押贷款受偿的款额，包括发包人拖欠承包人的建筑工程价款，已抵押担保的债权数额，以及其他法定优先受偿款。</w:t>
      </w:r>
    </w:p>
    <w:p w14:paraId="1EBA4A26" w14:textId="46BAA5AB" w:rsidR="00FA0363" w:rsidRDefault="004E3EBB" w:rsidP="00FA0363">
      <w:pPr>
        <w:pStyle w:val="13"/>
        <w:ind w:firstLine="482"/>
      </w:pPr>
      <w:r w:rsidRPr="004E3EBB">
        <w:rPr>
          <w:rFonts w:hint="eastAsia"/>
          <w:b/>
          <w:bCs/>
        </w:rPr>
        <w:t xml:space="preserve">第五条 </w:t>
      </w:r>
      <w:r w:rsidR="00FA0363">
        <w:t>房地产抵押估价应当遵守独立、客观、公正、合法、谨慎的原则。</w:t>
      </w:r>
    </w:p>
    <w:p w14:paraId="6BBB5D89" w14:textId="2FFB656A" w:rsidR="00FA0363" w:rsidRDefault="004E3EBB" w:rsidP="00FA0363">
      <w:pPr>
        <w:pStyle w:val="13"/>
        <w:ind w:firstLine="482"/>
      </w:pPr>
      <w:r w:rsidRPr="004E3EBB">
        <w:rPr>
          <w:rFonts w:hint="eastAsia"/>
          <w:b/>
          <w:bCs/>
        </w:rPr>
        <w:t xml:space="preserve">第六条 </w:t>
      </w:r>
      <w:r w:rsidR="00FA0363">
        <w:t>房地产估价机构、房地产估价人员与房地产抵押当事人有利害关系或者是房地产抵押当事人的，应当回避。</w:t>
      </w:r>
    </w:p>
    <w:p w14:paraId="0E00376D" w14:textId="0ED10257" w:rsidR="00FA0363" w:rsidRDefault="004E3EBB" w:rsidP="00FA0363">
      <w:pPr>
        <w:pStyle w:val="13"/>
        <w:ind w:firstLine="482"/>
      </w:pPr>
      <w:r w:rsidRPr="004E3EBB">
        <w:rPr>
          <w:rFonts w:hint="eastAsia"/>
          <w:b/>
          <w:bCs/>
        </w:rPr>
        <w:t xml:space="preserve">第七条 </w:t>
      </w:r>
      <w:r w:rsidR="00FA0363">
        <w:t>从事房地产抵押估价的房地产估价师，应当具备相关金融专业知识和相应的房地产市场分析能力。</w:t>
      </w:r>
    </w:p>
    <w:p w14:paraId="395AFE61" w14:textId="45DB9AFD" w:rsidR="00FA0363" w:rsidRDefault="004E3EBB" w:rsidP="00FA0363">
      <w:pPr>
        <w:pStyle w:val="13"/>
        <w:ind w:firstLine="482"/>
      </w:pPr>
      <w:r w:rsidRPr="004E3EBB">
        <w:rPr>
          <w:rFonts w:hint="eastAsia"/>
          <w:b/>
          <w:bCs/>
        </w:rPr>
        <w:t xml:space="preserve">第八条 </w:t>
      </w:r>
      <w:r w:rsidR="00FA0363">
        <w:t>委托人应当向房地产估价机构如实提供房地产抵押估价所必需的情况和资料，并对所提供情况和资料的真实性、合法性和完整性负责。</w:t>
      </w:r>
    </w:p>
    <w:p w14:paraId="72DDA866" w14:textId="23922F2B" w:rsidR="00FA0363" w:rsidRDefault="00FA0363" w:rsidP="00FA0363">
      <w:pPr>
        <w:pStyle w:val="13"/>
      </w:pPr>
      <w:r>
        <w:rPr>
          <w:rFonts w:hint="eastAsia"/>
        </w:rPr>
        <w:t>房地产估价师应当勤勉尽责，了解抵押房地产的法定优先受偿权利等情况；必要时</w:t>
      </w:r>
      <w:r w:rsidR="003068F8">
        <w:rPr>
          <w:rFonts w:hint="eastAsia"/>
        </w:rPr>
        <w:t>，</w:t>
      </w:r>
      <w:r>
        <w:t>应当对委托人提供的有关情况和资料进行核查。</w:t>
      </w:r>
    </w:p>
    <w:p w14:paraId="3C92571A" w14:textId="477EF30F" w:rsidR="00FA0363" w:rsidRDefault="00E05BDA" w:rsidP="00FA0363">
      <w:pPr>
        <w:pStyle w:val="13"/>
        <w:ind w:firstLine="482"/>
      </w:pPr>
      <w:r w:rsidRPr="00E05BDA">
        <w:rPr>
          <w:rFonts w:hint="eastAsia"/>
          <w:b/>
          <w:bCs/>
        </w:rPr>
        <w:t xml:space="preserve">第九条 </w:t>
      </w:r>
      <w:r w:rsidR="00FA0363">
        <w:t>房地产抵押估价目的，应当表述为“为确定房地产抵押贷款额度提供参考依据而评估房地产抵押价值”。</w:t>
      </w:r>
    </w:p>
    <w:p w14:paraId="552458A3" w14:textId="3EF1CD15" w:rsidR="00FA0363" w:rsidRDefault="00E05BDA" w:rsidP="00FA0363">
      <w:pPr>
        <w:pStyle w:val="13"/>
        <w:ind w:firstLine="482"/>
      </w:pPr>
      <w:r w:rsidRPr="00E05BDA">
        <w:rPr>
          <w:rFonts w:hint="eastAsia"/>
          <w:b/>
          <w:bCs/>
        </w:rPr>
        <w:t xml:space="preserve">第十条 </w:t>
      </w:r>
      <w:r w:rsidR="00FA0363">
        <w:t>房地产抵押估价时点，原则上为完成估价对象实地查勘之日，但估价委托合同另有约定的除外。</w:t>
      </w:r>
    </w:p>
    <w:p w14:paraId="6E693709" w14:textId="77777777" w:rsidR="00FA0363" w:rsidRDefault="00FA0363" w:rsidP="00FA0363">
      <w:pPr>
        <w:pStyle w:val="13"/>
      </w:pPr>
      <w:r>
        <w:rPr>
          <w:rFonts w:hint="eastAsia"/>
        </w:rPr>
        <w:t>估价时点不是完成实地查勘之日的，应当在“估价的假设和限制条件”中假定估价对象在估价时点的状况与在完成实地查勘之日的状况一致，并在估价报告中提醒估价报告使用者注意。</w:t>
      </w:r>
    </w:p>
    <w:p w14:paraId="55713B98" w14:textId="7BEFAD94" w:rsidR="00FA0363" w:rsidRDefault="00E05BDA" w:rsidP="00FA0363">
      <w:pPr>
        <w:pStyle w:val="13"/>
        <w:ind w:firstLine="482"/>
      </w:pPr>
      <w:r w:rsidRPr="00E05BDA">
        <w:rPr>
          <w:rFonts w:hint="eastAsia"/>
          <w:b/>
          <w:bCs/>
        </w:rPr>
        <w:t xml:space="preserve">第十一条 </w:t>
      </w:r>
      <w:r w:rsidR="00FA0363">
        <w:t>法律、法规规定不得抵押的房地产，不应作为抵押估价对象。</w:t>
      </w:r>
    </w:p>
    <w:p w14:paraId="740822A3" w14:textId="359478E3" w:rsidR="00FA0363" w:rsidRDefault="00E05BDA" w:rsidP="00FA0363">
      <w:pPr>
        <w:pStyle w:val="13"/>
        <w:ind w:firstLine="482"/>
      </w:pPr>
      <w:r w:rsidRPr="00E05BDA">
        <w:rPr>
          <w:rFonts w:hint="eastAsia"/>
          <w:b/>
          <w:bCs/>
        </w:rPr>
        <w:t xml:space="preserve">第十二条 </w:t>
      </w:r>
      <w:r w:rsidR="00FA0363">
        <w:t>房地产抵押估价报告应当全面、详细地界定估价对象的范围和在估价时点的法定用途、实际用途以及区位、实物、权益状况。</w:t>
      </w:r>
    </w:p>
    <w:p w14:paraId="7725C10C" w14:textId="006F38CF" w:rsidR="00FA0363" w:rsidRDefault="00E05BDA" w:rsidP="00FA0363">
      <w:pPr>
        <w:pStyle w:val="13"/>
        <w:ind w:firstLine="482"/>
      </w:pPr>
      <w:r w:rsidRPr="00E05BDA">
        <w:rPr>
          <w:rFonts w:hint="eastAsia"/>
          <w:b/>
          <w:bCs/>
        </w:rPr>
        <w:t xml:space="preserve">第十三条 </w:t>
      </w:r>
      <w:r w:rsidR="00FA0363">
        <w:t>房地产估价师了解估价对象在估价时点是否存在法定优先受偿权利等情况的，房地产抵押相关当事人应当协助。</w:t>
      </w:r>
    </w:p>
    <w:p w14:paraId="7E6BD0AF" w14:textId="77777777" w:rsidR="00FA0363" w:rsidRDefault="00FA0363" w:rsidP="00FA0363">
      <w:pPr>
        <w:pStyle w:val="13"/>
      </w:pPr>
      <w:r>
        <w:rPr>
          <w:rFonts w:hint="eastAsia"/>
        </w:rPr>
        <w:t>法定优先受偿权利等情况的书面查询资料和调查记录，应当作为估价报告的附件。</w:t>
      </w:r>
    </w:p>
    <w:p w14:paraId="0931B600" w14:textId="4CC5BD09" w:rsidR="00FA0363" w:rsidRDefault="00E05BDA" w:rsidP="00FA0363">
      <w:pPr>
        <w:pStyle w:val="13"/>
        <w:ind w:firstLine="482"/>
      </w:pPr>
      <w:r w:rsidRPr="00E05BDA">
        <w:rPr>
          <w:rFonts w:hint="eastAsia"/>
          <w:b/>
          <w:bCs/>
        </w:rPr>
        <w:t xml:space="preserve">第十四条 </w:t>
      </w:r>
      <w:r w:rsidR="00FA0363">
        <w:t>房地产估价师应当对估价对象进行实地查勘，将估价对象现状与相关</w:t>
      </w:r>
      <w:r w:rsidR="00FA0363">
        <w:lastRenderedPageBreak/>
        <w:t>权</w:t>
      </w:r>
      <w:r w:rsidR="00FA0363">
        <w:rPr>
          <w:rFonts w:hint="eastAsia"/>
        </w:rPr>
        <w:t>属证明材料上记载的内容逐一进行对照，全面、细致地了解估价对象，做好实地查勘记录，拍摄能够反映估价对象外观、内部状况和周围环境、景观的照片。</w:t>
      </w:r>
    </w:p>
    <w:p w14:paraId="531FCB2E" w14:textId="77777777" w:rsidR="00FA0363" w:rsidRDefault="00FA0363" w:rsidP="00FA0363">
      <w:pPr>
        <w:pStyle w:val="13"/>
      </w:pPr>
      <w:r>
        <w:rPr>
          <w:rFonts w:hint="eastAsia"/>
        </w:rPr>
        <w:t>内外部状况照片应当作为估价报告的附件。由于各种原因不能拍摄内外部状况照片的，应当在估价报告中予以披露。</w:t>
      </w:r>
    </w:p>
    <w:p w14:paraId="05C291DC" w14:textId="77777777" w:rsidR="00FA0363" w:rsidRDefault="00FA0363" w:rsidP="00FA0363">
      <w:pPr>
        <w:pStyle w:val="13"/>
      </w:pPr>
      <w:r>
        <w:rPr>
          <w:rFonts w:hint="eastAsia"/>
        </w:rPr>
        <w:t>实地查勘记录应当作为估价档案资料妥善保管。</w:t>
      </w:r>
    </w:p>
    <w:p w14:paraId="146258DA" w14:textId="3CE33F29" w:rsidR="00FA0363" w:rsidRDefault="00E05BDA" w:rsidP="00FA0363">
      <w:pPr>
        <w:pStyle w:val="13"/>
        <w:ind w:firstLine="482"/>
      </w:pPr>
      <w:r w:rsidRPr="00E05BDA">
        <w:rPr>
          <w:rFonts w:hint="eastAsia"/>
          <w:b/>
          <w:bCs/>
        </w:rPr>
        <w:t xml:space="preserve">第十五条 </w:t>
      </w:r>
      <w:r w:rsidR="00FA0363">
        <w:t>在存在不确定因素的情况下，房地产估价师</w:t>
      </w:r>
      <w:proofErr w:type="gramStart"/>
      <w:r w:rsidR="00FA0363">
        <w:t>作出</w:t>
      </w:r>
      <w:proofErr w:type="gramEnd"/>
      <w:r w:rsidR="00FA0363">
        <w:t>估价相关判断时，应当保持必要的谨慎，充分估计抵押房地产在处置时可能受到的限制、未来可能发生的风险和损失，</w:t>
      </w:r>
      <w:proofErr w:type="gramStart"/>
      <w:r w:rsidR="00FA0363">
        <w:t>不</w:t>
      </w:r>
      <w:proofErr w:type="gramEnd"/>
      <w:r w:rsidR="00FA0363">
        <w:t>高估市场价值，不低估知悉的法定优先受偿款，并在估价报告中</w:t>
      </w:r>
      <w:proofErr w:type="gramStart"/>
      <w:r w:rsidR="00FA0363">
        <w:t>作出</w:t>
      </w:r>
      <w:proofErr w:type="gramEnd"/>
      <w:r w:rsidR="00FA0363">
        <w:t>必要的风险提示。</w:t>
      </w:r>
    </w:p>
    <w:p w14:paraId="1BF751F4" w14:textId="77777777" w:rsidR="00FA0363" w:rsidRDefault="00FA0363" w:rsidP="00FA0363">
      <w:pPr>
        <w:pStyle w:val="13"/>
      </w:pPr>
      <w:r>
        <w:rPr>
          <w:rFonts w:hint="eastAsia"/>
        </w:rPr>
        <w:t>在运用市场比较法估价时，</w:t>
      </w:r>
      <w:proofErr w:type="gramStart"/>
      <w:r>
        <w:rPr>
          <w:rFonts w:hint="eastAsia"/>
        </w:rPr>
        <w:t>不</w:t>
      </w:r>
      <w:proofErr w:type="gramEnd"/>
      <w:r>
        <w:rPr>
          <w:rFonts w:hint="eastAsia"/>
        </w:rPr>
        <w:t>应选</w:t>
      </w:r>
      <w:proofErr w:type="gramStart"/>
      <w:r>
        <w:rPr>
          <w:rFonts w:hint="eastAsia"/>
        </w:rPr>
        <w:t>取成交</w:t>
      </w:r>
      <w:proofErr w:type="gramEnd"/>
      <w:r>
        <w:rPr>
          <w:rFonts w:hint="eastAsia"/>
        </w:rPr>
        <w:t>价格明显高于市场价格的交易实例作为可比实例，并应当对可比实例进行必要的实地查勘。</w:t>
      </w:r>
    </w:p>
    <w:p w14:paraId="7A0FBE4D" w14:textId="77777777" w:rsidR="00FA0363" w:rsidRDefault="00FA0363" w:rsidP="00FA0363">
      <w:pPr>
        <w:pStyle w:val="13"/>
      </w:pPr>
      <w:r>
        <w:rPr>
          <w:rFonts w:hint="eastAsia"/>
        </w:rPr>
        <w:t>在运用成本法估价时，不应高估土地取得成本、开发成本、有关费税和利润，不应低估折旧。</w:t>
      </w:r>
    </w:p>
    <w:p w14:paraId="490486CF" w14:textId="77777777" w:rsidR="00FA0363" w:rsidRDefault="00FA0363" w:rsidP="00FA0363">
      <w:pPr>
        <w:pStyle w:val="13"/>
      </w:pPr>
      <w:r>
        <w:rPr>
          <w:rFonts w:hint="eastAsia"/>
        </w:rPr>
        <w:t>在运用收益法估价时，不应高估收入或者低估运营费用，选取的报酬</w:t>
      </w:r>
      <w:proofErr w:type="gramStart"/>
      <w:r>
        <w:rPr>
          <w:rFonts w:hint="eastAsia"/>
        </w:rPr>
        <w:t>率或者</w:t>
      </w:r>
      <w:proofErr w:type="gramEnd"/>
      <w:r>
        <w:rPr>
          <w:rFonts w:hint="eastAsia"/>
        </w:rPr>
        <w:t>资本化率不应偏低。</w:t>
      </w:r>
    </w:p>
    <w:p w14:paraId="4DB49056" w14:textId="77777777" w:rsidR="00FA0363" w:rsidRDefault="00FA0363" w:rsidP="00FA0363">
      <w:pPr>
        <w:pStyle w:val="13"/>
      </w:pPr>
      <w:r>
        <w:rPr>
          <w:rFonts w:hint="eastAsia"/>
        </w:rPr>
        <w:t>在运用假设开发法估价时，不应高估未来开发完成后的价值，不应低估开发成本、有关费税和利润。</w:t>
      </w:r>
    </w:p>
    <w:p w14:paraId="2312049E" w14:textId="77777777" w:rsidR="00FA0363" w:rsidRDefault="00FA0363" w:rsidP="00FA0363">
      <w:pPr>
        <w:pStyle w:val="13"/>
      </w:pPr>
      <w:r>
        <w:rPr>
          <w:rFonts w:hint="eastAsia"/>
        </w:rPr>
        <w:t>房地产估价行业组织已公布报酬率、资本化率、利润率等估价参数值的，应当优先选用；不选用的，应当在估价报告中说明理由。</w:t>
      </w:r>
    </w:p>
    <w:p w14:paraId="0547DEEB" w14:textId="34BE707D" w:rsidR="00FA0363" w:rsidRDefault="00E05BDA" w:rsidP="00FA0363">
      <w:pPr>
        <w:pStyle w:val="13"/>
        <w:ind w:firstLine="482"/>
      </w:pPr>
      <w:r w:rsidRPr="00E05BDA">
        <w:rPr>
          <w:rFonts w:hint="eastAsia"/>
          <w:b/>
          <w:bCs/>
        </w:rPr>
        <w:t xml:space="preserve">第十六条 </w:t>
      </w:r>
      <w:r w:rsidR="00FA0363">
        <w:t>估价对象的土地使用权是以划拨方式取得的，应当选择下列方式之一评估其抵押价值：</w:t>
      </w:r>
    </w:p>
    <w:p w14:paraId="313F95B8" w14:textId="77777777" w:rsidR="00FA0363" w:rsidRDefault="00FA0363" w:rsidP="00FA0363">
      <w:pPr>
        <w:pStyle w:val="13"/>
      </w:pPr>
      <w:r>
        <w:rPr>
          <w:rFonts w:hint="eastAsia"/>
        </w:rPr>
        <w:t>（一）直接评估在划拨土地使用权下的市场价值；</w:t>
      </w:r>
    </w:p>
    <w:p w14:paraId="6F5F7E18" w14:textId="77777777" w:rsidR="00FA0363" w:rsidRDefault="00FA0363" w:rsidP="00FA0363">
      <w:pPr>
        <w:pStyle w:val="13"/>
      </w:pPr>
      <w:r>
        <w:rPr>
          <w:rFonts w:hint="eastAsia"/>
        </w:rPr>
        <w:t>（二）评估假设在出让土地使用权下的市场价值，然后扣除划拨土地使用权应缴纳的土地使用权出让金或者相当于土地使用权出让金的价款。</w:t>
      </w:r>
    </w:p>
    <w:p w14:paraId="3D755F25" w14:textId="77777777" w:rsidR="00FA0363" w:rsidRDefault="00FA0363" w:rsidP="00FA0363">
      <w:pPr>
        <w:pStyle w:val="13"/>
      </w:pPr>
      <w:r>
        <w:rPr>
          <w:rFonts w:hint="eastAsia"/>
        </w:rPr>
        <w:t>选择上述方式评估抵押价值，均应当在估价报告中注明划拨土地使用权应缴纳的土地使用权出让金或者相当于土地使用权出让金价款的数额。该数额按照当地政府规定的标准测算；当地政府没有规定的，参照类似房地产已缴纳的标准估算。</w:t>
      </w:r>
    </w:p>
    <w:p w14:paraId="5ACFF52B" w14:textId="258CF18D" w:rsidR="00FA0363" w:rsidRDefault="00E05BDA" w:rsidP="00FA0363">
      <w:pPr>
        <w:pStyle w:val="13"/>
        <w:ind w:firstLine="482"/>
      </w:pPr>
      <w:r w:rsidRPr="00E05BDA">
        <w:rPr>
          <w:rFonts w:hint="eastAsia"/>
          <w:b/>
          <w:bCs/>
        </w:rPr>
        <w:t xml:space="preserve">第十七条 </w:t>
      </w:r>
      <w:r w:rsidR="00FA0363">
        <w:rPr>
          <w:rFonts w:hint="eastAsia"/>
        </w:rPr>
        <w:t>评估在建工程的抵押价值时，在建工程发包人与承包人应当出具在估价时点是否存在拖欠建筑工程价款的书面说明；存在拖欠建筑工程价款的，应当以书面形式提供拖欠的数额。</w:t>
      </w:r>
    </w:p>
    <w:p w14:paraId="76FD4D95" w14:textId="1D94719A" w:rsidR="00FA0363" w:rsidRDefault="00E05BDA" w:rsidP="00FA0363">
      <w:pPr>
        <w:pStyle w:val="13"/>
        <w:ind w:firstLine="482"/>
      </w:pPr>
      <w:r w:rsidRPr="00E05BDA">
        <w:rPr>
          <w:rFonts w:hint="eastAsia"/>
          <w:b/>
          <w:bCs/>
        </w:rPr>
        <w:t xml:space="preserve">第十八条 </w:t>
      </w:r>
      <w:r w:rsidR="00FA0363">
        <w:t>房地产估价师知悉估价对象已设定抵押权的，应当在估价报告中披露已抵押及其担保的债权情况。</w:t>
      </w:r>
    </w:p>
    <w:p w14:paraId="6E963A99" w14:textId="77CDF2D7" w:rsidR="00FA0363" w:rsidRDefault="00E05BDA" w:rsidP="00FA0363">
      <w:pPr>
        <w:pStyle w:val="13"/>
        <w:ind w:firstLine="482"/>
      </w:pPr>
      <w:r w:rsidRPr="00E05BDA">
        <w:rPr>
          <w:rFonts w:hint="eastAsia"/>
          <w:b/>
          <w:bCs/>
        </w:rPr>
        <w:t xml:space="preserve">第十九条 </w:t>
      </w:r>
      <w:r w:rsidR="00FA0363">
        <w:t>房地产估价师不得滥用假设和限制条件，应当针对房地产抵押估价业务的具体情况，在估价报告中合理且有依据地明确相关假设和限制条件。</w:t>
      </w:r>
    </w:p>
    <w:p w14:paraId="1452E7F6" w14:textId="77777777" w:rsidR="00FA0363" w:rsidRDefault="00FA0363" w:rsidP="00FA0363">
      <w:pPr>
        <w:pStyle w:val="13"/>
      </w:pPr>
      <w:r>
        <w:rPr>
          <w:rFonts w:hint="eastAsia"/>
        </w:rPr>
        <w:lastRenderedPageBreak/>
        <w:t>已作为假设和限制条件，对估价结果有重大影响的因素，应当在估价报告中予以披露，并说明其对估价结果可能产生的影响。</w:t>
      </w:r>
    </w:p>
    <w:p w14:paraId="4B997CE4" w14:textId="6C8EDFB7" w:rsidR="00FA0363" w:rsidRDefault="00E05BDA" w:rsidP="00FA0363">
      <w:pPr>
        <w:pStyle w:val="13"/>
        <w:ind w:firstLine="482"/>
      </w:pPr>
      <w:r w:rsidRPr="00E05BDA">
        <w:rPr>
          <w:rFonts w:hint="eastAsia"/>
          <w:b/>
          <w:bCs/>
        </w:rPr>
        <w:t xml:space="preserve">第二十条 </w:t>
      </w:r>
      <w:r w:rsidR="00FA0363">
        <w:t>房地产抵押估价报告应当包含估价的依据、原则、方法、相关数据来源与确定、相关参数选取与运用、主要计算过程等必要信息，使委托人和估价报告使用者了解估价对象的范围，</w:t>
      </w:r>
      <w:proofErr w:type="gramStart"/>
      <w:r w:rsidR="00FA0363">
        <w:t>合理理解</w:t>
      </w:r>
      <w:proofErr w:type="gramEnd"/>
      <w:r w:rsidR="00FA0363">
        <w:t>估价结果。</w:t>
      </w:r>
    </w:p>
    <w:p w14:paraId="5A591D54" w14:textId="386DC4B2" w:rsidR="00FA0363" w:rsidRDefault="00E05BDA" w:rsidP="00FA0363">
      <w:pPr>
        <w:pStyle w:val="13"/>
        <w:ind w:firstLine="482"/>
      </w:pPr>
      <w:r w:rsidRPr="00E05BDA">
        <w:rPr>
          <w:rFonts w:hint="eastAsia"/>
          <w:b/>
          <w:bCs/>
        </w:rPr>
        <w:t xml:space="preserve">第二十一条 </w:t>
      </w:r>
      <w:r w:rsidR="00FA0363">
        <w:t>房地产抵押估价报告应当确定估价对象的抵押价值，并分别说明假定未设立法定优先受偿权利下的市场价值，以及房地产估价师知悉的各项法定优先受偿款。</w:t>
      </w:r>
    </w:p>
    <w:p w14:paraId="27C70BF0" w14:textId="6B680D01" w:rsidR="00FA0363" w:rsidRDefault="00E05BDA" w:rsidP="00FA0363">
      <w:pPr>
        <w:pStyle w:val="13"/>
        <w:ind w:firstLine="482"/>
      </w:pPr>
      <w:r w:rsidRPr="00E05BDA">
        <w:rPr>
          <w:rFonts w:hint="eastAsia"/>
          <w:b/>
          <w:bCs/>
        </w:rPr>
        <w:t xml:space="preserve">第二十二条 </w:t>
      </w:r>
      <w:r w:rsidR="00FA0363">
        <w:t>房地产抵押估价报告应当向估价报告使用者作如下提示：</w:t>
      </w:r>
    </w:p>
    <w:p w14:paraId="1A21C9A9" w14:textId="77777777" w:rsidR="00FA0363" w:rsidRDefault="00FA0363" w:rsidP="00FA0363">
      <w:pPr>
        <w:pStyle w:val="13"/>
      </w:pPr>
      <w:r>
        <w:rPr>
          <w:rFonts w:hint="eastAsia"/>
        </w:rPr>
        <w:t>（一）估价对象状况和房地产市场状况因时间变化对房地产抵押价值可能产生的影响；</w:t>
      </w:r>
    </w:p>
    <w:p w14:paraId="1D421936" w14:textId="77777777" w:rsidR="00FA0363" w:rsidRDefault="00FA0363" w:rsidP="00FA0363">
      <w:pPr>
        <w:pStyle w:val="13"/>
      </w:pPr>
      <w:r>
        <w:rPr>
          <w:rFonts w:hint="eastAsia"/>
        </w:rPr>
        <w:t>（二）在抵押期间可能产生的房地产信贷风险关注点；</w:t>
      </w:r>
    </w:p>
    <w:p w14:paraId="0BCDE4AB" w14:textId="77777777" w:rsidR="00FA0363" w:rsidRDefault="00FA0363" w:rsidP="00FA0363">
      <w:pPr>
        <w:pStyle w:val="13"/>
      </w:pPr>
      <w:r>
        <w:rPr>
          <w:rFonts w:hint="eastAsia"/>
        </w:rPr>
        <w:t>（三）合理使用评估价值；</w:t>
      </w:r>
    </w:p>
    <w:p w14:paraId="74CA2280" w14:textId="77777777" w:rsidR="00FA0363" w:rsidRDefault="00FA0363" w:rsidP="00FA0363">
      <w:pPr>
        <w:pStyle w:val="13"/>
      </w:pPr>
      <w:r>
        <w:rPr>
          <w:rFonts w:hint="eastAsia"/>
        </w:rPr>
        <w:t>（四）定期或者在房地产市场价格变化较快时对房地产抵押价值进行再评估。</w:t>
      </w:r>
    </w:p>
    <w:p w14:paraId="099A730D" w14:textId="40FD6BDE" w:rsidR="00FA0363" w:rsidRDefault="00E05BDA" w:rsidP="00FA0363">
      <w:pPr>
        <w:pStyle w:val="13"/>
        <w:ind w:firstLine="482"/>
      </w:pPr>
      <w:r w:rsidRPr="00E05BDA">
        <w:rPr>
          <w:rFonts w:hint="eastAsia"/>
          <w:b/>
          <w:bCs/>
        </w:rPr>
        <w:t xml:space="preserve">第二十三条 </w:t>
      </w:r>
      <w:r w:rsidR="00FA0363">
        <w:t>房地产抵押估价应当关注房地产抵押价值未来下跌的风险，对预期可能导致房地产抵押价值下跌的因素予以分析和说明。</w:t>
      </w:r>
    </w:p>
    <w:p w14:paraId="053C7897" w14:textId="77777777" w:rsidR="00FA0363" w:rsidRDefault="00FA0363" w:rsidP="00FA0363">
      <w:pPr>
        <w:pStyle w:val="13"/>
      </w:pPr>
      <w:r>
        <w:rPr>
          <w:rFonts w:hint="eastAsia"/>
        </w:rPr>
        <w:t>在评估续贷房地产的抵押价值时，应当对房地产市场已经发生的变化予以充分考虑和说明。</w:t>
      </w:r>
    </w:p>
    <w:p w14:paraId="7BEAFB8A" w14:textId="3E1CC433" w:rsidR="00FA0363" w:rsidRDefault="00E05BDA" w:rsidP="00FA0363">
      <w:pPr>
        <w:pStyle w:val="13"/>
        <w:ind w:firstLine="482"/>
      </w:pPr>
      <w:r w:rsidRPr="00E05BDA">
        <w:rPr>
          <w:rFonts w:hint="eastAsia"/>
          <w:b/>
          <w:bCs/>
        </w:rPr>
        <w:t xml:space="preserve">第二十四条 </w:t>
      </w:r>
      <w:r w:rsidR="00FA0363">
        <w:t>房地产抵押估价报告应当包括估价对象的变现能力分析。</w:t>
      </w:r>
    </w:p>
    <w:p w14:paraId="00C0D04D" w14:textId="77777777" w:rsidR="00FA0363" w:rsidRDefault="00FA0363" w:rsidP="00FA0363">
      <w:pPr>
        <w:pStyle w:val="13"/>
      </w:pPr>
      <w:r>
        <w:rPr>
          <w:rFonts w:hint="eastAsia"/>
        </w:rPr>
        <w:t>变现能力是指假定在估价时点实现抵押权时，在没有过多损失的条件下，将抵押房地产转换为现金的可能性。</w:t>
      </w:r>
    </w:p>
    <w:p w14:paraId="0003D47F" w14:textId="77777777" w:rsidR="00FA0363" w:rsidRDefault="00FA0363" w:rsidP="00FA0363">
      <w:pPr>
        <w:pStyle w:val="13"/>
      </w:pPr>
      <w:r>
        <w:rPr>
          <w:rFonts w:hint="eastAsia"/>
        </w:rPr>
        <w:t>变现能力分析应当包括抵押房地产的通用性、独立使用性或者可分割转让性，假定在估价时点拍卖或者变卖时最可能实现的价格与评估的市场价值的差异程度，变现的时间长短以及费用、税金的种类、数额和清偿顺序。</w:t>
      </w:r>
    </w:p>
    <w:p w14:paraId="2DFBBA4C" w14:textId="4762DF89" w:rsidR="00FA0363" w:rsidRDefault="00E05BDA" w:rsidP="00FA0363">
      <w:pPr>
        <w:pStyle w:val="13"/>
        <w:ind w:firstLine="482"/>
      </w:pPr>
      <w:r w:rsidRPr="00E05BDA">
        <w:rPr>
          <w:rFonts w:hint="eastAsia"/>
          <w:b/>
          <w:bCs/>
        </w:rPr>
        <w:t xml:space="preserve">第二十五条 </w:t>
      </w:r>
      <w:r w:rsidR="00FA0363">
        <w:t>在处置房地产时，应当评估房地产的开市场价值，同时给出快速变现价</w:t>
      </w:r>
      <w:proofErr w:type="gramStart"/>
      <w:r w:rsidR="00FA0363">
        <w:t>值意见</w:t>
      </w:r>
      <w:proofErr w:type="gramEnd"/>
      <w:r w:rsidR="00FA0363">
        <w:t>及其理由。</w:t>
      </w:r>
    </w:p>
    <w:p w14:paraId="2D26B064" w14:textId="61729F2A" w:rsidR="00FA0363" w:rsidRDefault="00E05BDA" w:rsidP="00FA0363">
      <w:pPr>
        <w:pStyle w:val="13"/>
        <w:ind w:firstLine="482"/>
      </w:pPr>
      <w:r w:rsidRPr="00E05BDA">
        <w:rPr>
          <w:rFonts w:hint="eastAsia"/>
          <w:b/>
          <w:bCs/>
        </w:rPr>
        <w:t xml:space="preserve">第二十六条 </w:t>
      </w:r>
      <w:r w:rsidR="00FA0363">
        <w:t>估价报告应用有效期从估价报告出具之日起计，不得超过一年；房地产估价师预计估价对象的市场价格将有较大变化的，应当缩短估价报告应用有效期。</w:t>
      </w:r>
    </w:p>
    <w:p w14:paraId="4049B16A" w14:textId="77777777" w:rsidR="00FA0363" w:rsidRDefault="00FA0363" w:rsidP="00FA0363">
      <w:pPr>
        <w:pStyle w:val="13"/>
      </w:pPr>
      <w:r>
        <w:rPr>
          <w:rFonts w:hint="eastAsia"/>
        </w:rPr>
        <w:t>超过估价报告应用有效期使用估价报告的，相关责任由使用者承担。在估价报告应用有效期内使用估价报告的，相关责任由出具估价报告的估价机构承担，但使用者不当使用的除外。</w:t>
      </w:r>
    </w:p>
    <w:p w14:paraId="6627F51D" w14:textId="4FA6A382" w:rsidR="00FA0363" w:rsidRDefault="00E05BDA" w:rsidP="00FA0363">
      <w:pPr>
        <w:pStyle w:val="13"/>
        <w:ind w:firstLine="482"/>
      </w:pPr>
      <w:r w:rsidRPr="00E05BDA">
        <w:rPr>
          <w:rFonts w:hint="eastAsia"/>
          <w:b/>
          <w:bCs/>
        </w:rPr>
        <w:t xml:space="preserve">第二十七条 </w:t>
      </w:r>
      <w:r w:rsidR="00FA0363">
        <w:t>房地产抵押估价报告的名称，应当为“房地产抵押估价报告”，由房地产估价机构出具，加盖房地产估价机构公章，并有至少二名专职注册房地产估价</w:t>
      </w:r>
      <w:r w:rsidR="00FA0363">
        <w:lastRenderedPageBreak/>
        <w:t>师签字。</w:t>
      </w:r>
    </w:p>
    <w:p w14:paraId="25F34FEC" w14:textId="6EF476F1" w:rsidR="00FA0363" w:rsidRDefault="00E05BDA" w:rsidP="00FA0363">
      <w:pPr>
        <w:pStyle w:val="13"/>
        <w:ind w:firstLine="482"/>
      </w:pPr>
      <w:r w:rsidRPr="00E05BDA">
        <w:rPr>
          <w:rFonts w:hint="eastAsia"/>
          <w:b/>
          <w:bCs/>
        </w:rPr>
        <w:t xml:space="preserve">第二十八条 </w:t>
      </w:r>
      <w:r w:rsidR="00FA0363">
        <w:t>在房地产抵押估价活动中，本意见未作规定的事宜，应当按照《房地产估价规范》执行。</w:t>
      </w:r>
    </w:p>
    <w:p w14:paraId="024DEA47" w14:textId="63E002D3" w:rsidR="00FA0363" w:rsidRDefault="00E05BDA" w:rsidP="00FA0363">
      <w:pPr>
        <w:pStyle w:val="13"/>
        <w:ind w:firstLine="482"/>
      </w:pPr>
      <w:r w:rsidRPr="00E05BDA">
        <w:rPr>
          <w:rFonts w:hint="eastAsia"/>
          <w:b/>
          <w:bCs/>
        </w:rPr>
        <w:t xml:space="preserve">第二十九条 </w:t>
      </w:r>
      <w:r w:rsidR="00FA0363">
        <w:t>本意见由中国房地产估价师与房地产经纪人学会负责解释。</w:t>
      </w:r>
    </w:p>
    <w:p w14:paraId="02215B98" w14:textId="31A7C46B" w:rsidR="00FA0363" w:rsidRDefault="00E05BDA" w:rsidP="00FA0363">
      <w:pPr>
        <w:pStyle w:val="13"/>
        <w:ind w:firstLine="482"/>
      </w:pPr>
      <w:r w:rsidRPr="00E05BDA">
        <w:rPr>
          <w:rFonts w:hint="eastAsia"/>
          <w:b/>
          <w:bCs/>
        </w:rPr>
        <w:t xml:space="preserve">第三十条 </w:t>
      </w:r>
      <w:proofErr w:type="gramStart"/>
      <w:r w:rsidR="00FA0363">
        <w:t>本意见自</w:t>
      </w:r>
      <w:proofErr w:type="gramEnd"/>
      <w:r w:rsidR="00FA0363">
        <w:t xml:space="preserve"> 2006</w:t>
      </w:r>
      <w:r w:rsidR="003068F8">
        <w:t>年</w:t>
      </w:r>
      <w:r w:rsidR="00FA0363">
        <w:t>3</w:t>
      </w:r>
      <w:r w:rsidR="003068F8">
        <w:t>月</w:t>
      </w:r>
      <w:r w:rsidR="00FA0363">
        <w:t>1</w:t>
      </w:r>
      <w:r w:rsidR="003068F8">
        <w:t>日</w:t>
      </w:r>
      <w:r w:rsidR="00FA0363">
        <w:t>起施行。</w:t>
      </w:r>
    </w:p>
    <w:p w14:paraId="54C399BB" w14:textId="77777777" w:rsidR="00FA0363" w:rsidRDefault="00FA0363" w:rsidP="00FA0363">
      <w:pPr>
        <w:pStyle w:val="31"/>
        <w:spacing w:before="156" w:after="62"/>
      </w:pPr>
      <w:bookmarkStart w:id="127" w:name="_Toc81833389"/>
      <w:r>
        <w:rPr>
          <w:rFonts w:hint="eastAsia"/>
        </w:rPr>
        <w:t>房地产投资信托基金物业评估指引（试行）（中房学〔</w:t>
      </w:r>
      <w:r>
        <w:t>2015〕4号）</w:t>
      </w:r>
      <w:bookmarkEnd w:id="127"/>
    </w:p>
    <w:p w14:paraId="109F1350" w14:textId="77777777" w:rsidR="00FA0363" w:rsidRDefault="00FA0363" w:rsidP="00FA0363">
      <w:pPr>
        <w:pStyle w:val="13"/>
        <w:ind w:firstLineChars="0" w:firstLine="0"/>
      </w:pPr>
      <w:r>
        <w:rPr>
          <w:rFonts w:hint="eastAsia"/>
        </w:rPr>
        <w:t>各地房地产估价行业组织，房地产估价机构，房地产估价师：</w:t>
      </w:r>
    </w:p>
    <w:p w14:paraId="41B4955E" w14:textId="36332F47" w:rsidR="00FA0363" w:rsidRDefault="00FA0363" w:rsidP="00FA0363">
      <w:pPr>
        <w:pStyle w:val="13"/>
      </w:pPr>
      <w:r>
        <w:rPr>
          <w:rFonts w:hint="eastAsia"/>
        </w:rPr>
        <w:t>为有利于房地产投资信托基金发展，规范房地产投资信托基金物业状况评价、市场调研和价值评估活动，保证评估质量，保护投资者合法权益，满足相关信息披露需要</w:t>
      </w:r>
      <w:r w:rsidR="003068F8">
        <w:rPr>
          <w:rFonts w:hint="eastAsia"/>
        </w:rPr>
        <w:t>，</w:t>
      </w:r>
      <w:r>
        <w:t>我会制定了《房地产投资信托基金物业评估指引（试行）》，现印发给你们，请在相关评估活动中使用。在使用过程中应积极总结经验，并及时将有关意见和建议反馈我会。</w:t>
      </w:r>
    </w:p>
    <w:p w14:paraId="47D2FE8E" w14:textId="77777777" w:rsidR="00FA0363" w:rsidRDefault="00FA0363" w:rsidP="00FA0363">
      <w:pPr>
        <w:pStyle w:val="13"/>
      </w:pPr>
      <w:r>
        <w:rPr>
          <w:rFonts w:hint="eastAsia"/>
        </w:rPr>
        <w:t>附件：房地产投资信托基金物业评估指引（试行）</w:t>
      </w:r>
    </w:p>
    <w:p w14:paraId="047C6B66" w14:textId="77777777" w:rsidR="00FA0363" w:rsidRDefault="00FA0363" w:rsidP="00FA0363">
      <w:pPr>
        <w:pStyle w:val="13"/>
        <w:jc w:val="right"/>
      </w:pPr>
      <w:r>
        <w:rPr>
          <w:rFonts w:hint="eastAsia"/>
        </w:rPr>
        <w:t>中国房地产估价师与房地产经纪人学会</w:t>
      </w:r>
    </w:p>
    <w:p w14:paraId="3430EB6B" w14:textId="50CD6ABD" w:rsidR="00FA0363" w:rsidRDefault="00FA0363" w:rsidP="00FA0363">
      <w:pPr>
        <w:pStyle w:val="13"/>
        <w:jc w:val="right"/>
      </w:pPr>
      <w:r>
        <w:t>2015</w:t>
      </w:r>
      <w:r w:rsidR="003068F8">
        <w:t>年</w:t>
      </w:r>
      <w:r>
        <w:t>9</w:t>
      </w:r>
      <w:r w:rsidR="003068F8">
        <w:t>月</w:t>
      </w:r>
      <w:r>
        <w:t>10</w:t>
      </w:r>
      <w:r w:rsidR="003068F8">
        <w:t>日</w:t>
      </w:r>
    </w:p>
    <w:p w14:paraId="270C037A" w14:textId="11C48385" w:rsidR="00FA0363" w:rsidRDefault="00FA0363" w:rsidP="00AF7342">
      <w:pPr>
        <w:pStyle w:val="a9"/>
        <w:spacing w:before="62" w:after="62"/>
      </w:pPr>
      <w:r>
        <w:rPr>
          <w:rFonts w:hint="eastAsia"/>
        </w:rPr>
        <w:t>房地产投资信托基金物业评估指引（试行）</w:t>
      </w:r>
    </w:p>
    <w:p w14:paraId="12EE303F" w14:textId="3AF630DA" w:rsidR="00FA0363" w:rsidRDefault="00FA0363" w:rsidP="00AF7342">
      <w:pPr>
        <w:pStyle w:val="a9"/>
        <w:spacing w:before="62" w:after="62"/>
      </w:pPr>
      <w:r>
        <w:rPr>
          <w:rFonts w:hint="eastAsia"/>
        </w:rPr>
        <w:t>第一章</w:t>
      </w:r>
      <w:r>
        <w:t xml:space="preserve"> 总则</w:t>
      </w:r>
    </w:p>
    <w:p w14:paraId="56BD9AF5" w14:textId="2BC8350A" w:rsidR="00FA0363" w:rsidRDefault="004E3EBB" w:rsidP="00FA0363">
      <w:pPr>
        <w:pStyle w:val="13"/>
        <w:ind w:firstLine="482"/>
      </w:pPr>
      <w:r w:rsidRPr="004E3EBB">
        <w:rPr>
          <w:rFonts w:hint="eastAsia"/>
          <w:b/>
          <w:bCs/>
        </w:rPr>
        <w:t xml:space="preserve">第一条 </w:t>
      </w:r>
      <w:r w:rsidR="00FA0363">
        <w:t>为规范房地产投资信托基金物业评估活动，保证评估质量，保护投资者合法权益，满足相关信息披露需要，根据有关法律法规以及国家标准《房地产估价规范》和《房地产估价基本术语标准》，制定本指引。</w:t>
      </w:r>
    </w:p>
    <w:p w14:paraId="42EE7A14" w14:textId="678F3829" w:rsidR="00FA0363" w:rsidRDefault="004E3EBB" w:rsidP="00FA0363">
      <w:pPr>
        <w:pStyle w:val="13"/>
        <w:ind w:firstLine="482"/>
      </w:pPr>
      <w:r w:rsidRPr="004E3EBB">
        <w:rPr>
          <w:rFonts w:hint="eastAsia"/>
          <w:b/>
          <w:bCs/>
        </w:rPr>
        <w:t xml:space="preserve">第二条 </w:t>
      </w:r>
      <w:r w:rsidR="00FA0363">
        <w:t>对房地产投资信托基金持有或者拟持有的房屋及其占用范围内的土地、配套的设施设备和其他相关财产（以下简称信托物业）进行状况评价、市场调研和价值评估，适用本指引。</w:t>
      </w:r>
    </w:p>
    <w:p w14:paraId="51CE1945" w14:textId="6B366BA8" w:rsidR="00FA0363" w:rsidRDefault="004E3EBB" w:rsidP="00FA0363">
      <w:pPr>
        <w:pStyle w:val="13"/>
        <w:ind w:firstLine="482"/>
      </w:pPr>
      <w:r w:rsidRPr="004E3EBB">
        <w:rPr>
          <w:rFonts w:hint="eastAsia"/>
          <w:b/>
          <w:bCs/>
        </w:rPr>
        <w:t xml:space="preserve">第三条 </w:t>
      </w:r>
      <w:r w:rsidR="00FA0363">
        <w:t>本指引所称信托物业评估，包括信托物业状况评价、信托物业市场调研和信托物业价值评估。</w:t>
      </w:r>
    </w:p>
    <w:p w14:paraId="6AAC5B42" w14:textId="77777777" w:rsidR="00FA0363" w:rsidRDefault="00FA0363" w:rsidP="00FA0363">
      <w:pPr>
        <w:pStyle w:val="13"/>
      </w:pPr>
      <w:r>
        <w:rPr>
          <w:rFonts w:hint="eastAsia"/>
        </w:rPr>
        <w:t>本指引所称信托物业状况评价，是指对信托物业的实物状况、权益状况和区位状况进行调查、描述、分析和评定，并提供相关专业意见的活动。</w:t>
      </w:r>
    </w:p>
    <w:p w14:paraId="7135E218" w14:textId="77777777" w:rsidR="00FA0363" w:rsidRDefault="00FA0363" w:rsidP="00FA0363">
      <w:pPr>
        <w:pStyle w:val="13"/>
      </w:pPr>
      <w:r>
        <w:rPr>
          <w:rFonts w:hint="eastAsia"/>
        </w:rPr>
        <w:t>本指引所称信托物业市场调研，是指对信托物业所在地区的经济社会发展状况、房地产市场状况以及信托物业自身有关市场状况进行调查、描述、分析和预测，并提供相关专业意见的活动。</w:t>
      </w:r>
    </w:p>
    <w:p w14:paraId="3B2F9ADF" w14:textId="77777777" w:rsidR="00FA0363" w:rsidRDefault="00FA0363" w:rsidP="00FA0363">
      <w:pPr>
        <w:pStyle w:val="13"/>
      </w:pPr>
      <w:r>
        <w:rPr>
          <w:rFonts w:hint="eastAsia"/>
        </w:rPr>
        <w:t>本指引所称信托物业价值评估（简称信托物业估价），是指对信托物业的市场价值或者其他价值、价格进行分析、测算和判断，并提供相关专业意见的活动。</w:t>
      </w:r>
    </w:p>
    <w:p w14:paraId="2C552312" w14:textId="7FA56817" w:rsidR="00FA0363" w:rsidRDefault="004E3EBB" w:rsidP="00FA0363">
      <w:pPr>
        <w:pStyle w:val="13"/>
        <w:ind w:firstLine="482"/>
      </w:pPr>
      <w:r w:rsidRPr="004E3EBB">
        <w:rPr>
          <w:rFonts w:hint="eastAsia"/>
          <w:b/>
          <w:bCs/>
        </w:rPr>
        <w:t xml:space="preserve">第四条 </w:t>
      </w:r>
      <w:r w:rsidR="00FA0363">
        <w:t>一个信托物业评估项目的评估内容，根据房地产投资信托基金发行上市、</w:t>
      </w:r>
      <w:r w:rsidR="00FA0363">
        <w:lastRenderedPageBreak/>
        <w:t>运营管理（包括收购、经营、出售信托物业）、退出市场以及相关信息披露等的需要，可以包括信托物业评估的全部或者部分内容。</w:t>
      </w:r>
    </w:p>
    <w:p w14:paraId="592F3D02" w14:textId="1ABB10DB" w:rsidR="00FA0363" w:rsidRDefault="004E3EBB" w:rsidP="00FA0363">
      <w:pPr>
        <w:pStyle w:val="13"/>
        <w:ind w:firstLine="482"/>
      </w:pPr>
      <w:r w:rsidRPr="004E3EBB">
        <w:rPr>
          <w:rFonts w:hint="eastAsia"/>
          <w:b/>
          <w:bCs/>
        </w:rPr>
        <w:t xml:space="preserve">第五条 </w:t>
      </w:r>
      <w:r w:rsidR="00FA0363">
        <w:t>房地产估价机构和注册房地产估价师应当勤勉尽责，实事求是，保持应有的职业谨慎，对信托物业评估所依据的资料进行审慎检查，依法独立、客观、公正地进行信托物业评估，不得撰写、出具有虚假记载、误导性陈述或者重大遗漏的信托物业评估报告。</w:t>
      </w:r>
    </w:p>
    <w:p w14:paraId="04445CE8" w14:textId="593D82D0" w:rsidR="00FA0363" w:rsidRDefault="004E3EBB" w:rsidP="00FA0363">
      <w:pPr>
        <w:pStyle w:val="13"/>
        <w:ind w:firstLine="482"/>
      </w:pPr>
      <w:r w:rsidRPr="004E3EBB">
        <w:rPr>
          <w:rFonts w:hint="eastAsia"/>
          <w:b/>
          <w:bCs/>
        </w:rPr>
        <w:t xml:space="preserve">第六条 </w:t>
      </w:r>
      <w:r w:rsidR="00FA0363">
        <w:t>具有下列情形之一的信托物业评估委托，房地产估价机构不得受理：</w:t>
      </w:r>
    </w:p>
    <w:p w14:paraId="4DACE854" w14:textId="77777777" w:rsidR="00FA0363" w:rsidRDefault="00FA0363" w:rsidP="00FA0363">
      <w:pPr>
        <w:pStyle w:val="13"/>
      </w:pPr>
      <w:r>
        <w:rPr>
          <w:rFonts w:hint="eastAsia"/>
        </w:rPr>
        <w:t>（一）本机构与委托人、其他相关当事人有股权直接从属关系等利害关系，或者与评估对象有利益关系的；</w:t>
      </w:r>
    </w:p>
    <w:p w14:paraId="7D59B342" w14:textId="77777777" w:rsidR="00FA0363" w:rsidRDefault="00FA0363" w:rsidP="00FA0363">
      <w:pPr>
        <w:pStyle w:val="13"/>
      </w:pPr>
      <w:r>
        <w:rPr>
          <w:rFonts w:hint="eastAsia"/>
        </w:rPr>
        <w:t>（二）本机构的专业能力难以胜任的；</w:t>
      </w:r>
    </w:p>
    <w:p w14:paraId="753ED586" w14:textId="77777777" w:rsidR="00FA0363" w:rsidRDefault="00FA0363" w:rsidP="00FA0363">
      <w:pPr>
        <w:pStyle w:val="13"/>
      </w:pPr>
      <w:r>
        <w:rPr>
          <w:rFonts w:hint="eastAsia"/>
        </w:rPr>
        <w:t>（三）其他不符合法律、法规和规章规定情形的。</w:t>
      </w:r>
    </w:p>
    <w:p w14:paraId="06925AE9" w14:textId="32AD8214" w:rsidR="00FA0363" w:rsidRDefault="004E3EBB" w:rsidP="00FA0363">
      <w:pPr>
        <w:pStyle w:val="13"/>
        <w:ind w:firstLine="482"/>
      </w:pPr>
      <w:r w:rsidRPr="004E3EBB">
        <w:rPr>
          <w:rFonts w:hint="eastAsia"/>
          <w:b/>
          <w:bCs/>
        </w:rPr>
        <w:t xml:space="preserve">第七条 </w:t>
      </w:r>
      <w:r w:rsidR="00FA0363">
        <w:t>房地产估价机构在接受信托物业评估委托时，应当要求委托人向其出具评估委托书；决定受理信托物业评估委托的，应当与委托人订立书面评估委托合同。</w:t>
      </w:r>
    </w:p>
    <w:p w14:paraId="37B65F68" w14:textId="77777777" w:rsidR="00FA0363" w:rsidRDefault="00FA0363" w:rsidP="00FA0363">
      <w:pPr>
        <w:pStyle w:val="13"/>
      </w:pPr>
      <w:r>
        <w:rPr>
          <w:rFonts w:hint="eastAsia"/>
        </w:rPr>
        <w:t>评估委托书应当载明委托人的名称，委托的房地产估价机构的名称，评估内容（信托物业状况评价、市场调研、价值评估三者中的全部或者部分），评估目的，评估对象（名称、坐落等），评估要求（评估工作完成时间等），委托日期等内容。</w:t>
      </w:r>
    </w:p>
    <w:p w14:paraId="6A76EC8C" w14:textId="77777777" w:rsidR="00FA0363" w:rsidRDefault="00FA0363" w:rsidP="00FA0363">
      <w:pPr>
        <w:pStyle w:val="13"/>
      </w:pPr>
      <w:r>
        <w:rPr>
          <w:rFonts w:hint="eastAsia"/>
        </w:rPr>
        <w:t>评估委托合同应当载明委托人和房地产估价机构的基本情况，负责本评估项目的注册房地产估价师，评估内容、评估目的和评估对象，委托人应提供的评估所需资料，评估过程中双方的权利和义务，评估费用及其支付的方式、期限，评估报告及其交付，违约责任，解决争议的方法等内容。</w:t>
      </w:r>
    </w:p>
    <w:p w14:paraId="6F5DB9E8" w14:textId="77777777" w:rsidR="00FA0363" w:rsidRDefault="00FA0363" w:rsidP="00FA0363">
      <w:pPr>
        <w:pStyle w:val="13"/>
      </w:pPr>
      <w:r>
        <w:rPr>
          <w:rFonts w:hint="eastAsia"/>
        </w:rPr>
        <w:t>评估委托书和评估委托合同就同一事项所记载的内容应当一致。不一致的，以评估委托书为准。</w:t>
      </w:r>
    </w:p>
    <w:p w14:paraId="79B1ED91" w14:textId="571E9408" w:rsidR="00FA0363" w:rsidRDefault="004E3EBB" w:rsidP="00FA0363">
      <w:pPr>
        <w:pStyle w:val="13"/>
        <w:ind w:firstLine="482"/>
      </w:pPr>
      <w:r w:rsidRPr="004E3EBB">
        <w:rPr>
          <w:rFonts w:hint="eastAsia"/>
          <w:b/>
          <w:bCs/>
        </w:rPr>
        <w:t xml:space="preserve">第八条 </w:t>
      </w:r>
      <w:r w:rsidR="00FA0363">
        <w:t>房地产估价机构应当根据信托物业状况评价、市场调研和价值评估的需要</w:t>
      </w:r>
      <w:r w:rsidR="003068F8">
        <w:t>，</w:t>
      </w:r>
      <w:r w:rsidR="00FA0363">
        <w:t>选派熟悉本指引的注册房地产估价师以及具有相关资格或者相应胜任能力的专业人员进行。</w:t>
      </w:r>
    </w:p>
    <w:p w14:paraId="39F3D048" w14:textId="77777777" w:rsidR="00FA0363" w:rsidRDefault="00FA0363" w:rsidP="00FA0363">
      <w:pPr>
        <w:pStyle w:val="13"/>
      </w:pPr>
      <w:r>
        <w:rPr>
          <w:rFonts w:hint="eastAsia"/>
        </w:rPr>
        <w:t>房地产估价机构在信托物业评估中遇有本机构难以解决的复杂、疑难、特殊的技术问题的，应当寻求专业帮助，聘请本机构以外的相关专业领域的专家或者专业机构提供专业意见或者向其进行咨询，并在信托物业评估报告中说明。</w:t>
      </w:r>
    </w:p>
    <w:p w14:paraId="598A36B1" w14:textId="77777777" w:rsidR="00FA0363" w:rsidRDefault="00FA0363" w:rsidP="00FA0363">
      <w:pPr>
        <w:pStyle w:val="13"/>
      </w:pPr>
      <w:r>
        <w:rPr>
          <w:rFonts w:hint="eastAsia"/>
        </w:rPr>
        <w:t>评估人员、提供专业帮助的专家和专业机构应当与委托人、其他相关当事人无利害关系，与评估对象无利益关系。</w:t>
      </w:r>
    </w:p>
    <w:p w14:paraId="26610AA8" w14:textId="53D9E586" w:rsidR="00FA0363" w:rsidRDefault="00E05BDA" w:rsidP="00FA0363">
      <w:pPr>
        <w:pStyle w:val="13"/>
        <w:ind w:firstLine="482"/>
      </w:pPr>
      <w:r w:rsidRPr="00E05BDA">
        <w:rPr>
          <w:rFonts w:hint="eastAsia"/>
          <w:b/>
          <w:bCs/>
        </w:rPr>
        <w:t xml:space="preserve">第九条 </w:t>
      </w:r>
      <w:r w:rsidR="00FA0363">
        <w:t>同一房地产投资信托基金为了同一评估目的的信托物业状况评价、市场调研和价值评估，评估对象范围和评估时点应当一致。</w:t>
      </w:r>
    </w:p>
    <w:p w14:paraId="73E28726" w14:textId="3220EF18" w:rsidR="00FA0363" w:rsidRDefault="00E05BDA" w:rsidP="00FA0363">
      <w:pPr>
        <w:pStyle w:val="13"/>
        <w:ind w:firstLine="482"/>
      </w:pPr>
      <w:r w:rsidRPr="00E05BDA">
        <w:rPr>
          <w:rFonts w:hint="eastAsia"/>
          <w:b/>
          <w:bCs/>
        </w:rPr>
        <w:t xml:space="preserve">第十条 </w:t>
      </w:r>
      <w:r w:rsidR="00FA0363">
        <w:t>信托物业评估作业期自受理评估委托之日起至评估报告出具之日止，应当根据评估对象的数量和规模、评估的复杂程度和深度等情况合理确定，不得随意缩</w:t>
      </w:r>
      <w:r w:rsidR="00FA0363">
        <w:lastRenderedPageBreak/>
        <w:t>短或者拖延。</w:t>
      </w:r>
    </w:p>
    <w:p w14:paraId="5467BEE1" w14:textId="77777777" w:rsidR="00FA0363" w:rsidRDefault="00FA0363" w:rsidP="00AF7342">
      <w:pPr>
        <w:pStyle w:val="a9"/>
        <w:spacing w:before="62" w:after="62"/>
      </w:pPr>
      <w:r>
        <w:rPr>
          <w:rFonts w:hint="eastAsia"/>
        </w:rPr>
        <w:t>第二章</w:t>
      </w:r>
      <w:r>
        <w:t xml:space="preserve"> 信托物业状况评价</w:t>
      </w:r>
    </w:p>
    <w:p w14:paraId="2B12A42B" w14:textId="6E79BCB7" w:rsidR="00FA0363" w:rsidRDefault="00E05BDA" w:rsidP="00FA0363">
      <w:pPr>
        <w:pStyle w:val="13"/>
        <w:ind w:firstLine="482"/>
      </w:pPr>
      <w:r w:rsidRPr="00E05BDA">
        <w:rPr>
          <w:rFonts w:hint="eastAsia"/>
          <w:b/>
          <w:bCs/>
        </w:rPr>
        <w:t xml:space="preserve">第十一条 </w:t>
      </w:r>
      <w:r w:rsidR="00FA0363">
        <w:t>信托物业状况评价包括信托物业的实物状况、权益状况和区位状况评价</w:t>
      </w:r>
      <w:r w:rsidR="003068F8">
        <w:t>，</w:t>
      </w:r>
      <w:r w:rsidR="00FA0363">
        <w:t>以及运营费用分析与预测。</w:t>
      </w:r>
    </w:p>
    <w:p w14:paraId="0530C4B7" w14:textId="77777777" w:rsidR="00FA0363" w:rsidRDefault="00FA0363" w:rsidP="00FA0363">
      <w:pPr>
        <w:pStyle w:val="13"/>
      </w:pPr>
      <w:r>
        <w:rPr>
          <w:rFonts w:hint="eastAsia"/>
        </w:rPr>
        <w:t>信托物业实物状况评价应当有具有建筑学、建筑结构、建筑设备、物业管理等方面资格或者相应胜任能力的专业人员参与。信托物业权益状况评价应当有熟悉房地产法规政策的法律专业人员或者专家参与。</w:t>
      </w:r>
    </w:p>
    <w:p w14:paraId="3AF751B6" w14:textId="2631E087" w:rsidR="00FA0363" w:rsidRDefault="00E05BDA" w:rsidP="00FA0363">
      <w:pPr>
        <w:pStyle w:val="13"/>
        <w:ind w:firstLine="482"/>
      </w:pPr>
      <w:r w:rsidRPr="00E05BDA">
        <w:rPr>
          <w:rFonts w:hint="eastAsia"/>
          <w:b/>
          <w:bCs/>
        </w:rPr>
        <w:t xml:space="preserve">第十二条 </w:t>
      </w:r>
      <w:r w:rsidR="00FA0363">
        <w:t>信托物业实物状况评价通过查阅信托物业的有关文件、图纸、资料和维修记录，询问信托物业的用户、物业服务企业，实地观察、检查信托物业的结构、装修、设备以及使用、维护状况等方法进行。</w:t>
      </w:r>
    </w:p>
    <w:p w14:paraId="3D06738E" w14:textId="31E6FB53" w:rsidR="00FA0363" w:rsidRDefault="00E05BDA" w:rsidP="00FA0363">
      <w:pPr>
        <w:pStyle w:val="13"/>
        <w:ind w:firstLine="482"/>
      </w:pPr>
      <w:r w:rsidRPr="00E05BDA">
        <w:rPr>
          <w:rFonts w:hint="eastAsia"/>
          <w:b/>
          <w:bCs/>
        </w:rPr>
        <w:t xml:space="preserve">第十三条 </w:t>
      </w:r>
      <w:r w:rsidR="00FA0363">
        <w:t>信托物业实物状况评价应当包括下列内容：</w:t>
      </w:r>
    </w:p>
    <w:p w14:paraId="3B8BF085" w14:textId="77777777" w:rsidR="00FA0363" w:rsidRDefault="00FA0363" w:rsidP="00FA0363">
      <w:pPr>
        <w:pStyle w:val="13"/>
      </w:pPr>
      <w:r>
        <w:rPr>
          <w:rFonts w:hint="eastAsia"/>
        </w:rPr>
        <w:t>（一）信托物业性能评定；</w:t>
      </w:r>
    </w:p>
    <w:p w14:paraId="0296E14E" w14:textId="77777777" w:rsidR="00FA0363" w:rsidRDefault="00FA0363" w:rsidP="00FA0363">
      <w:pPr>
        <w:pStyle w:val="13"/>
      </w:pPr>
      <w:r>
        <w:rPr>
          <w:rFonts w:hint="eastAsia"/>
        </w:rPr>
        <w:t>（二）信托物业</w:t>
      </w:r>
      <w:proofErr w:type="gramStart"/>
      <w:r>
        <w:rPr>
          <w:rFonts w:hint="eastAsia"/>
        </w:rPr>
        <w:t>完损状况</w:t>
      </w:r>
      <w:proofErr w:type="gramEnd"/>
      <w:r>
        <w:rPr>
          <w:rFonts w:hint="eastAsia"/>
        </w:rPr>
        <w:t>评定；</w:t>
      </w:r>
    </w:p>
    <w:p w14:paraId="714E2FA5" w14:textId="77777777" w:rsidR="00FA0363" w:rsidRDefault="00FA0363" w:rsidP="00FA0363">
      <w:pPr>
        <w:pStyle w:val="13"/>
      </w:pPr>
      <w:r>
        <w:rPr>
          <w:rFonts w:hint="eastAsia"/>
        </w:rPr>
        <w:t>（三）信托物业新旧程度评定。</w:t>
      </w:r>
    </w:p>
    <w:p w14:paraId="5F86C3A1" w14:textId="5433B1B6" w:rsidR="00FA0363" w:rsidRDefault="00E05BDA" w:rsidP="00FA0363">
      <w:pPr>
        <w:pStyle w:val="13"/>
        <w:ind w:firstLine="482"/>
      </w:pPr>
      <w:r w:rsidRPr="00E05BDA">
        <w:rPr>
          <w:rFonts w:hint="eastAsia"/>
          <w:b/>
        </w:rPr>
        <w:t xml:space="preserve">第十四条 </w:t>
      </w:r>
      <w:r w:rsidR="00FA0363">
        <w:t>信托物业性能评定包括下列内容：</w:t>
      </w:r>
    </w:p>
    <w:p w14:paraId="500BDD9D" w14:textId="77777777" w:rsidR="00FA0363" w:rsidRDefault="00FA0363" w:rsidP="00FA0363">
      <w:pPr>
        <w:pStyle w:val="13"/>
      </w:pPr>
      <w:r>
        <w:rPr>
          <w:rFonts w:hint="eastAsia"/>
        </w:rPr>
        <w:t>（一）信托物业适用性能评定。包括对信托物业的平面布置、空间布局、内部交通、保温、隔热、隔声、设备设施配置、建筑装饰装修、利用率等满足目标客户需要的程度</w:t>
      </w:r>
      <w:proofErr w:type="gramStart"/>
      <w:r>
        <w:rPr>
          <w:rFonts w:hint="eastAsia"/>
        </w:rPr>
        <w:t>作出</w:t>
      </w:r>
      <w:proofErr w:type="gramEnd"/>
      <w:r>
        <w:rPr>
          <w:rFonts w:hint="eastAsia"/>
        </w:rPr>
        <w:t>评定。</w:t>
      </w:r>
    </w:p>
    <w:p w14:paraId="7241BFFA" w14:textId="77777777" w:rsidR="00FA0363" w:rsidRDefault="00FA0363" w:rsidP="00FA0363">
      <w:pPr>
        <w:pStyle w:val="13"/>
      </w:pPr>
      <w:r>
        <w:rPr>
          <w:rFonts w:hint="eastAsia"/>
        </w:rPr>
        <w:t>（二）信托物业环境性能评定。包括对信托物业的用地与规划、建筑造型、绿地与活动场地、环境污染、公共服务设施、智能化系统等</w:t>
      </w:r>
      <w:proofErr w:type="gramStart"/>
      <w:r>
        <w:rPr>
          <w:rFonts w:hint="eastAsia"/>
        </w:rPr>
        <w:t>作出</w:t>
      </w:r>
      <w:proofErr w:type="gramEnd"/>
      <w:r>
        <w:rPr>
          <w:rFonts w:hint="eastAsia"/>
        </w:rPr>
        <w:t>评定。</w:t>
      </w:r>
    </w:p>
    <w:p w14:paraId="5F6EC1E5" w14:textId="77777777" w:rsidR="00FA0363" w:rsidRDefault="00FA0363" w:rsidP="00FA0363">
      <w:pPr>
        <w:pStyle w:val="13"/>
      </w:pPr>
      <w:r>
        <w:rPr>
          <w:rFonts w:hint="eastAsia"/>
        </w:rPr>
        <w:t>（三）信托物业经济性能评定。包括对信托物业的节能、节水等</w:t>
      </w:r>
      <w:proofErr w:type="gramStart"/>
      <w:r>
        <w:rPr>
          <w:rFonts w:hint="eastAsia"/>
        </w:rPr>
        <w:t>作出</w:t>
      </w:r>
      <w:proofErr w:type="gramEnd"/>
      <w:r>
        <w:rPr>
          <w:rFonts w:hint="eastAsia"/>
        </w:rPr>
        <w:t>评定。</w:t>
      </w:r>
    </w:p>
    <w:p w14:paraId="37115392" w14:textId="77777777" w:rsidR="00FA0363" w:rsidRDefault="00FA0363" w:rsidP="00FA0363">
      <w:pPr>
        <w:pStyle w:val="13"/>
      </w:pPr>
      <w:r>
        <w:rPr>
          <w:rFonts w:hint="eastAsia"/>
        </w:rPr>
        <w:t>（四）信托物业安全性能评定。包括对信托物业的场地安全、建筑结构安全、建筑防火安全、建筑设备安全、日常安全防范措施等</w:t>
      </w:r>
      <w:proofErr w:type="gramStart"/>
      <w:r>
        <w:rPr>
          <w:rFonts w:hint="eastAsia"/>
        </w:rPr>
        <w:t>作出</w:t>
      </w:r>
      <w:proofErr w:type="gramEnd"/>
      <w:r>
        <w:rPr>
          <w:rFonts w:hint="eastAsia"/>
        </w:rPr>
        <w:t>评定。</w:t>
      </w:r>
    </w:p>
    <w:p w14:paraId="2EBFD8AA" w14:textId="77777777" w:rsidR="00FA0363" w:rsidRDefault="00FA0363" w:rsidP="00FA0363">
      <w:pPr>
        <w:pStyle w:val="13"/>
      </w:pPr>
      <w:r>
        <w:rPr>
          <w:rFonts w:hint="eastAsia"/>
        </w:rPr>
        <w:t>（五）信托物业耐久性能评定。包括对信托物业的结构、装修、设备等组成部分保证正常使用的年限分别</w:t>
      </w:r>
      <w:proofErr w:type="gramStart"/>
      <w:r>
        <w:rPr>
          <w:rFonts w:hint="eastAsia"/>
        </w:rPr>
        <w:t>作出</w:t>
      </w:r>
      <w:proofErr w:type="gramEnd"/>
      <w:r>
        <w:rPr>
          <w:rFonts w:hint="eastAsia"/>
        </w:rPr>
        <w:t>评定。</w:t>
      </w:r>
    </w:p>
    <w:p w14:paraId="10E7B652" w14:textId="576DBE12" w:rsidR="00FA0363" w:rsidRDefault="00E05BDA" w:rsidP="00FA0363">
      <w:pPr>
        <w:pStyle w:val="13"/>
        <w:ind w:firstLine="482"/>
      </w:pPr>
      <w:r w:rsidRPr="00E05BDA">
        <w:rPr>
          <w:rFonts w:hint="eastAsia"/>
          <w:b/>
          <w:bCs/>
        </w:rPr>
        <w:t xml:space="preserve">第十五条 </w:t>
      </w:r>
      <w:r w:rsidR="00FA0363">
        <w:t>信托物业</w:t>
      </w:r>
      <w:proofErr w:type="gramStart"/>
      <w:r w:rsidR="00FA0363">
        <w:t>完损状况</w:t>
      </w:r>
      <w:proofErr w:type="gramEnd"/>
      <w:r w:rsidR="00FA0363">
        <w:t>评定根据信托物业的结构、装修、设备等组成部分的完好、损坏程度做出。</w:t>
      </w:r>
    </w:p>
    <w:p w14:paraId="244A22FC" w14:textId="36652B20" w:rsidR="00FA0363" w:rsidRDefault="00E05BDA" w:rsidP="00FA0363">
      <w:pPr>
        <w:pStyle w:val="13"/>
        <w:ind w:firstLine="482"/>
      </w:pPr>
      <w:r w:rsidRPr="00E05BDA">
        <w:rPr>
          <w:rFonts w:hint="eastAsia"/>
          <w:b/>
          <w:bCs/>
        </w:rPr>
        <w:t xml:space="preserve">第十六条 </w:t>
      </w:r>
      <w:r w:rsidR="00FA0363">
        <w:t>信托物业新旧程度评定根据信托物业的年龄与预期寿命的比值做出。信托物业的年龄宜采用有效年龄。有效年龄根据建筑物的施工、使用、维护和更新</w:t>
      </w:r>
    </w:p>
    <w:p w14:paraId="4B2CE40E" w14:textId="591C9075" w:rsidR="00FA0363" w:rsidRDefault="00FA0363" w:rsidP="00FA0363">
      <w:pPr>
        <w:pStyle w:val="13"/>
      </w:pPr>
      <w:r>
        <w:rPr>
          <w:rFonts w:hint="eastAsia"/>
        </w:rPr>
        <w:t>改造等状况，在建筑物实际年龄的基础上进行适当加减调整得出。难以得出有效年龄的</w:t>
      </w:r>
      <w:r w:rsidR="003068F8">
        <w:rPr>
          <w:rFonts w:hint="eastAsia"/>
        </w:rPr>
        <w:t>，</w:t>
      </w:r>
      <w:r>
        <w:t>可以采用实际年龄。</w:t>
      </w:r>
    </w:p>
    <w:p w14:paraId="1435C401" w14:textId="52749BD6" w:rsidR="00FA0363" w:rsidRDefault="00FA0363" w:rsidP="00FA0363">
      <w:pPr>
        <w:pStyle w:val="13"/>
      </w:pPr>
      <w:r>
        <w:rPr>
          <w:rFonts w:hint="eastAsia"/>
        </w:rPr>
        <w:t>信托物业的预期寿命宜采用预期经济寿命。预期经济寿命自建筑物竣工时起计算</w:t>
      </w:r>
      <w:r w:rsidR="003068F8">
        <w:rPr>
          <w:rFonts w:hint="eastAsia"/>
        </w:rPr>
        <w:t>，</w:t>
      </w:r>
      <w:r>
        <w:t>可在建筑物设计使用年限的基础上，根据建筑物的施工、使用、维护和更新改造等状况</w:t>
      </w:r>
      <w:r w:rsidR="003068F8">
        <w:t>，</w:t>
      </w:r>
      <w:r>
        <w:t>以及周围环境、房地产市场状况等进行综合分析判断后确定。难以确定预期</w:t>
      </w:r>
      <w:r>
        <w:lastRenderedPageBreak/>
        <w:t>经济寿命的</w:t>
      </w:r>
      <w:r w:rsidR="003068F8">
        <w:t>，</w:t>
      </w:r>
      <w:r>
        <w:t>可以采用设计使用年限。</w:t>
      </w:r>
    </w:p>
    <w:p w14:paraId="6DAD28D0" w14:textId="1F8C89B5" w:rsidR="00FA0363" w:rsidRDefault="00E05BDA" w:rsidP="00FA0363">
      <w:pPr>
        <w:pStyle w:val="13"/>
        <w:ind w:firstLine="482"/>
      </w:pPr>
      <w:r w:rsidRPr="00E05BDA">
        <w:rPr>
          <w:rFonts w:hint="eastAsia"/>
          <w:b/>
          <w:bCs/>
        </w:rPr>
        <w:t xml:space="preserve">第十七条 </w:t>
      </w:r>
      <w:r w:rsidR="00FA0363">
        <w:t>信托物业权益状况评价通过查阅信托物业的权属证书或者不动产登记簿和有关批文、证书、合同，要求委托人提供或者协助取得有关证明、说明或者书面确认</w:t>
      </w:r>
      <w:r w:rsidR="003068F8">
        <w:t>，</w:t>
      </w:r>
      <w:r w:rsidR="00FA0363">
        <w:t>引用法律意见书中有关信托物业权益的法律意见等方法进行。</w:t>
      </w:r>
    </w:p>
    <w:p w14:paraId="27039439" w14:textId="66A5D026" w:rsidR="00FA0363" w:rsidRDefault="00E05BDA" w:rsidP="00FA0363">
      <w:pPr>
        <w:pStyle w:val="13"/>
        <w:ind w:firstLine="482"/>
      </w:pPr>
      <w:r w:rsidRPr="00E05BDA">
        <w:rPr>
          <w:rFonts w:hint="eastAsia"/>
          <w:b/>
          <w:bCs/>
        </w:rPr>
        <w:t xml:space="preserve">第十八条 </w:t>
      </w:r>
      <w:r w:rsidR="00FA0363">
        <w:t>信托物业权益状况评价应当说明下列内容，特别要关注产权的合法性、瑕疵和交易受限情况：</w:t>
      </w:r>
    </w:p>
    <w:p w14:paraId="4F5A0E78" w14:textId="77777777" w:rsidR="00FA0363" w:rsidRDefault="00FA0363" w:rsidP="00FA0363">
      <w:pPr>
        <w:pStyle w:val="13"/>
      </w:pPr>
      <w:r>
        <w:rPr>
          <w:rFonts w:hint="eastAsia"/>
        </w:rPr>
        <w:t>（一）土地所有权状况，包括土地所有权性质（国有土地或者集体土地）、集体土地所有权行使人。</w:t>
      </w:r>
    </w:p>
    <w:p w14:paraId="4CEA0189" w14:textId="77777777" w:rsidR="00FA0363" w:rsidRDefault="00FA0363" w:rsidP="00FA0363">
      <w:pPr>
        <w:pStyle w:val="13"/>
      </w:pPr>
      <w:r>
        <w:rPr>
          <w:rFonts w:hint="eastAsia"/>
        </w:rPr>
        <w:t>（二）土地使用权状况，包括土地使用权类型（建设用地使用权或者宅基地使用权、土地承包经营权等）、取得方式（如为建设用地使用权，是出让方式取得的还是划拨、租赁、作价出资、授权经营等方式取得的）、权利人、土地使用期限（如为出让方式取得的建设用地使用权，包括土地使用期限及其起止日期、剩余使用期限、续期的有关规定或约定）。</w:t>
      </w:r>
    </w:p>
    <w:p w14:paraId="4849CCD8" w14:textId="77777777" w:rsidR="00FA0363" w:rsidRDefault="00FA0363" w:rsidP="00FA0363">
      <w:pPr>
        <w:pStyle w:val="13"/>
      </w:pPr>
      <w:r>
        <w:rPr>
          <w:rFonts w:hint="eastAsia"/>
        </w:rPr>
        <w:t>（三）房屋所有权状况。</w:t>
      </w:r>
    </w:p>
    <w:p w14:paraId="52445FC5" w14:textId="77777777" w:rsidR="00FA0363" w:rsidRDefault="00FA0363" w:rsidP="00FA0363">
      <w:pPr>
        <w:pStyle w:val="13"/>
      </w:pPr>
      <w:r>
        <w:rPr>
          <w:rFonts w:hint="eastAsia"/>
        </w:rPr>
        <w:t>（四）抵押权、地役权等他项权利设立情况。</w:t>
      </w:r>
    </w:p>
    <w:p w14:paraId="241AF896" w14:textId="0BDA31A8" w:rsidR="00FA0363" w:rsidRDefault="00FA0363" w:rsidP="00FA0363">
      <w:pPr>
        <w:pStyle w:val="13"/>
      </w:pPr>
      <w:r>
        <w:rPr>
          <w:rFonts w:hint="eastAsia"/>
        </w:rPr>
        <w:t>（五）其他特殊情况，包括土地使用权、房屋所有权是否不明确或者归属有争议</w:t>
      </w:r>
      <w:r w:rsidR="003068F8">
        <w:rPr>
          <w:rFonts w:hint="eastAsia"/>
        </w:rPr>
        <w:t>；</w:t>
      </w:r>
      <w:r>
        <w:t>土地取得、房屋开发建设等手续是否不全；是否为临时用地、临时建筑，或者违法占地、违法建筑；是否被依法查封、采取财产保全措施或者以其他形式限制；是否未达到法律法规规定的转让条件；是否属于法律法规规定不得抵押或者不得作为出资的财产；是否已依法公告列入征收或者征用范围。</w:t>
      </w:r>
    </w:p>
    <w:p w14:paraId="39BF5B2C" w14:textId="5C977268" w:rsidR="00FA0363" w:rsidRDefault="00E05BDA" w:rsidP="00FA0363">
      <w:pPr>
        <w:pStyle w:val="13"/>
        <w:ind w:firstLine="482"/>
      </w:pPr>
      <w:r w:rsidRPr="00E05BDA">
        <w:rPr>
          <w:rFonts w:hint="eastAsia"/>
          <w:b/>
          <w:bCs/>
        </w:rPr>
        <w:t xml:space="preserve">第十九条 </w:t>
      </w:r>
      <w:r w:rsidR="00FA0363">
        <w:t>信托物业区位状况评价，应当对信托物业的位置、交通、外部配套设施</w:t>
      </w:r>
      <w:r w:rsidR="00FA0363">
        <w:rPr>
          <w:rFonts w:hint="eastAsia"/>
        </w:rPr>
        <w:t>（基础设施和公共服务设施）、周围环境（自然环境、人文环境和景观）以及未来规划等进行调查、分析和评价。</w:t>
      </w:r>
    </w:p>
    <w:p w14:paraId="7D19882A" w14:textId="1140F7CE" w:rsidR="00FA0363" w:rsidRDefault="00E05BDA" w:rsidP="00FA0363">
      <w:pPr>
        <w:pStyle w:val="13"/>
        <w:ind w:firstLine="482"/>
      </w:pPr>
      <w:r w:rsidRPr="00E05BDA">
        <w:rPr>
          <w:rFonts w:hint="eastAsia"/>
          <w:b/>
          <w:bCs/>
        </w:rPr>
        <w:t xml:space="preserve">第二十条 </w:t>
      </w:r>
      <w:r w:rsidR="00FA0363">
        <w:t>信托物业状况评价应当以照片或者文字方式记录发现的信托物业实物状况、权益状况和区位状况缺陷或者瑕疵。对于其中的严重缺陷和瑕疵，应当在评估报告中特别说明。</w:t>
      </w:r>
    </w:p>
    <w:p w14:paraId="5789A3A6" w14:textId="6BE94586" w:rsidR="00FA0363" w:rsidRDefault="00E05BDA" w:rsidP="00FA0363">
      <w:pPr>
        <w:pStyle w:val="13"/>
        <w:ind w:firstLine="482"/>
      </w:pPr>
      <w:r w:rsidRPr="00E05BDA">
        <w:rPr>
          <w:rFonts w:hint="eastAsia"/>
          <w:b/>
          <w:bCs/>
        </w:rPr>
        <w:t xml:space="preserve">第二十一条 </w:t>
      </w:r>
      <w:r w:rsidR="00FA0363">
        <w:t>信托物业运营费用分析与预测应当列明信托物业运营费用的构成，说明至少近 3 年实际发生的各年运营费用，预测未来 10 年以上的各年运营费用，特别要关注未来弥补信托物业实物状况、权益状况和区位状况缺陷或者瑕疵以及重新装饰装修、大修、更新改造等所需要的费用。</w:t>
      </w:r>
    </w:p>
    <w:p w14:paraId="565802D3" w14:textId="77777777" w:rsidR="00FA0363" w:rsidRDefault="00FA0363" w:rsidP="00AF7342">
      <w:pPr>
        <w:pStyle w:val="a9"/>
        <w:spacing w:before="62" w:after="62"/>
      </w:pPr>
      <w:r>
        <w:rPr>
          <w:rFonts w:hint="eastAsia"/>
        </w:rPr>
        <w:t>第三章</w:t>
      </w:r>
      <w:r>
        <w:t xml:space="preserve"> 信托物业市场调研</w:t>
      </w:r>
    </w:p>
    <w:p w14:paraId="09714B99" w14:textId="37A57FCB" w:rsidR="00FA0363" w:rsidRDefault="00E05BDA" w:rsidP="00FA0363">
      <w:pPr>
        <w:pStyle w:val="13"/>
        <w:ind w:firstLine="482"/>
      </w:pPr>
      <w:r w:rsidRPr="00E05BDA">
        <w:rPr>
          <w:b/>
          <w:bCs/>
        </w:rPr>
        <w:t xml:space="preserve">第二十二条 </w:t>
      </w:r>
      <w:r w:rsidR="00FA0363">
        <w:t>信托物业市场调研应当包括下列内容：</w:t>
      </w:r>
    </w:p>
    <w:p w14:paraId="5A6DD21F" w14:textId="77777777" w:rsidR="00FA0363" w:rsidRDefault="00FA0363" w:rsidP="00FA0363">
      <w:pPr>
        <w:pStyle w:val="13"/>
      </w:pPr>
      <w:r>
        <w:rPr>
          <w:rFonts w:hint="eastAsia"/>
        </w:rPr>
        <w:t>（一）信托物业所在地区经济社会发展状况；</w:t>
      </w:r>
    </w:p>
    <w:p w14:paraId="4222C92D" w14:textId="77777777" w:rsidR="00FA0363" w:rsidRDefault="00FA0363" w:rsidP="00FA0363">
      <w:pPr>
        <w:pStyle w:val="13"/>
      </w:pPr>
      <w:r>
        <w:rPr>
          <w:rFonts w:hint="eastAsia"/>
        </w:rPr>
        <w:t>（二）信托物业所在地区房地产市场总体状况；</w:t>
      </w:r>
    </w:p>
    <w:p w14:paraId="4B8C9BFD" w14:textId="77777777" w:rsidR="00FA0363" w:rsidRDefault="00FA0363" w:rsidP="00FA0363">
      <w:pPr>
        <w:pStyle w:val="13"/>
      </w:pPr>
      <w:r>
        <w:rPr>
          <w:rFonts w:hint="eastAsia"/>
        </w:rPr>
        <w:lastRenderedPageBreak/>
        <w:t>（三）信托物业所在地区同类物业市场状况；</w:t>
      </w:r>
    </w:p>
    <w:p w14:paraId="6C490E2D" w14:textId="77777777" w:rsidR="00FA0363" w:rsidRDefault="00FA0363" w:rsidP="00FA0363">
      <w:pPr>
        <w:pStyle w:val="13"/>
      </w:pPr>
      <w:r>
        <w:rPr>
          <w:rFonts w:hint="eastAsia"/>
        </w:rPr>
        <w:t>（四）信托物业自身有关市场状况。</w:t>
      </w:r>
    </w:p>
    <w:p w14:paraId="49B1C94F" w14:textId="4601E4F4" w:rsidR="00FA0363" w:rsidRDefault="00E05BDA" w:rsidP="00FA0363">
      <w:pPr>
        <w:pStyle w:val="13"/>
        <w:ind w:firstLine="482"/>
      </w:pPr>
      <w:r w:rsidRPr="00E05BDA">
        <w:rPr>
          <w:rFonts w:hint="eastAsia"/>
          <w:b/>
          <w:bCs/>
        </w:rPr>
        <w:t xml:space="preserve">第二十三条 </w:t>
      </w:r>
      <w:r w:rsidR="00FA0363">
        <w:t>信托物业所在地区经济社会发展状况调研，应当根据信托物业类型（用途、档次等），有针对性地对信托物业所在地区的自然环境、经济环境、社会环境、政策环境，以及有关规划、计划和其他可能影响该地区经济社会发展的主要因素及其变化趋势等进行调查和分析。</w:t>
      </w:r>
    </w:p>
    <w:p w14:paraId="4484CA5E" w14:textId="77777777" w:rsidR="00FA0363" w:rsidRDefault="00FA0363" w:rsidP="00FA0363">
      <w:pPr>
        <w:pStyle w:val="13"/>
      </w:pPr>
      <w:r>
        <w:rPr>
          <w:rFonts w:hint="eastAsia"/>
        </w:rPr>
        <w:t>自然环境包括地理位置、气候条件、地形地貌、地质条件等。</w:t>
      </w:r>
    </w:p>
    <w:p w14:paraId="35545CDA" w14:textId="77777777" w:rsidR="00FA0363" w:rsidRDefault="00FA0363" w:rsidP="00FA0363">
      <w:pPr>
        <w:pStyle w:val="13"/>
      </w:pPr>
      <w:r>
        <w:rPr>
          <w:rFonts w:hint="eastAsia"/>
        </w:rPr>
        <w:t>经济环境包括</w:t>
      </w:r>
      <w:r>
        <w:t xml:space="preserve"> GDP 增长，人均 GDP 及其增长，固定资产投资及其增长，产业结构、布局和规划，基础设施状况（包括基础设施现状和建设规划），居民收入水平，物价水平，利率等。</w:t>
      </w:r>
    </w:p>
    <w:p w14:paraId="007AF5D5" w14:textId="77777777" w:rsidR="00FA0363" w:rsidRDefault="00FA0363" w:rsidP="00FA0363">
      <w:pPr>
        <w:pStyle w:val="13"/>
      </w:pPr>
      <w:r>
        <w:rPr>
          <w:rFonts w:hint="eastAsia"/>
        </w:rPr>
        <w:t>社会环境包括人口规模和结构，城镇化水平和人口增长，家庭规模和构成等。</w:t>
      </w:r>
    </w:p>
    <w:p w14:paraId="0835AFAB" w14:textId="77777777" w:rsidR="00FA0363" w:rsidRDefault="00FA0363" w:rsidP="00FA0363">
      <w:pPr>
        <w:pStyle w:val="13"/>
      </w:pPr>
      <w:r>
        <w:rPr>
          <w:rFonts w:hint="eastAsia"/>
        </w:rPr>
        <w:t>政策环境包括与房地产行业相关的财政政策、货币政策、金融政策（特别是房地产信贷政策）、税收政策（特别是房地产税收政策）、房地产政策（包括土地供应和房地产投资、开发、交易等相关法规政策）等。</w:t>
      </w:r>
    </w:p>
    <w:p w14:paraId="0EA0EAF2" w14:textId="77777777" w:rsidR="00FA0363" w:rsidRDefault="00FA0363" w:rsidP="00FA0363">
      <w:pPr>
        <w:pStyle w:val="13"/>
      </w:pPr>
      <w:r>
        <w:rPr>
          <w:rFonts w:hint="eastAsia"/>
        </w:rPr>
        <w:t>有关规划和计划包括国民经济和社会发展规划、城乡规划（包括城市总体规划）、土地利用总体规划、住房建设规划等。</w:t>
      </w:r>
    </w:p>
    <w:p w14:paraId="4E621141" w14:textId="3A3FA9AC" w:rsidR="00FA0363" w:rsidRDefault="00E05BDA" w:rsidP="00FA0363">
      <w:pPr>
        <w:pStyle w:val="13"/>
        <w:ind w:firstLine="482"/>
      </w:pPr>
      <w:r w:rsidRPr="00E05BDA">
        <w:rPr>
          <w:rFonts w:hint="eastAsia"/>
          <w:b/>
          <w:bCs/>
        </w:rPr>
        <w:t xml:space="preserve">第二十四条 </w:t>
      </w:r>
      <w:r w:rsidR="00FA0363">
        <w:t>信托物业所在地区房地产市场总体状况调研，应当对全国房地产市场概况和信托物业所在城市的土地供应量、房地产开发投资、物业供应量（新开工面积、施工面积、竣工面积等）、成交量、价格水平、租金水平、空置量或者空置率等及其变化进行调查和分析，并结合历史数据，判断房地产市场趋势。</w:t>
      </w:r>
    </w:p>
    <w:p w14:paraId="233CC9D0" w14:textId="588C73B8" w:rsidR="00FA0363" w:rsidRDefault="00E05BDA" w:rsidP="00FA0363">
      <w:pPr>
        <w:pStyle w:val="13"/>
        <w:ind w:firstLine="482"/>
      </w:pPr>
      <w:r w:rsidRPr="00E05BDA">
        <w:rPr>
          <w:rFonts w:hint="eastAsia"/>
          <w:b/>
          <w:bCs/>
        </w:rPr>
        <w:t xml:space="preserve">第二十五条 </w:t>
      </w:r>
      <w:r w:rsidR="00FA0363">
        <w:t>信托物业所在地区同类物业市场状况调研，应当包括同类物业的存量、新增供应量、价格水平、租金水平或者经营收入水平、空置量或者空置率、客户构成等状况调查，供给和需求影响因素分析，未来的供给、需求、价格、租金或者经营收入、空置量或者空置率等变化趋势预测。</w:t>
      </w:r>
    </w:p>
    <w:p w14:paraId="6E16EE9A" w14:textId="77777777" w:rsidR="00FA0363" w:rsidRDefault="00FA0363" w:rsidP="00FA0363">
      <w:pPr>
        <w:pStyle w:val="13"/>
      </w:pPr>
      <w:r>
        <w:rPr>
          <w:rFonts w:hint="eastAsia"/>
        </w:rPr>
        <w:t>对信托物业为出租型物业的，应当重点进行房地产租赁市场状况调研。</w:t>
      </w:r>
    </w:p>
    <w:p w14:paraId="00CC7313" w14:textId="11375B75" w:rsidR="00FA0363" w:rsidRDefault="00E05BDA" w:rsidP="00FA0363">
      <w:pPr>
        <w:pStyle w:val="13"/>
        <w:ind w:firstLine="482"/>
      </w:pPr>
      <w:r w:rsidRPr="00E05BDA">
        <w:rPr>
          <w:rFonts w:hint="eastAsia"/>
          <w:b/>
          <w:bCs/>
        </w:rPr>
        <w:t xml:space="preserve">第二十六条 </w:t>
      </w:r>
      <w:r w:rsidR="00FA0363">
        <w:t>信托物业自身有关市场状况调研，应当包括信托物业租赁状况调研、商圈调研和竞争性物业对比分析。</w:t>
      </w:r>
    </w:p>
    <w:p w14:paraId="3E674D62" w14:textId="7003950F" w:rsidR="00FA0363" w:rsidRDefault="00E05BDA" w:rsidP="00FA0363">
      <w:pPr>
        <w:pStyle w:val="13"/>
        <w:ind w:firstLine="482"/>
      </w:pPr>
      <w:r w:rsidRPr="00E05BDA">
        <w:rPr>
          <w:rFonts w:hint="eastAsia"/>
          <w:b/>
          <w:bCs/>
        </w:rPr>
        <w:t xml:space="preserve">第二十七条 </w:t>
      </w:r>
      <w:r w:rsidR="00FA0363">
        <w:t>信托物业租赁状况调研，应当包括信托物业租赁状况调查、分析和预</w:t>
      </w:r>
      <w:r w:rsidR="00FA0363">
        <w:rPr>
          <w:rFonts w:hint="eastAsia"/>
        </w:rPr>
        <w:t>测。</w:t>
      </w:r>
    </w:p>
    <w:p w14:paraId="1C108C43" w14:textId="77777777" w:rsidR="00FA0363" w:rsidRDefault="00FA0363" w:rsidP="00FA0363">
      <w:pPr>
        <w:pStyle w:val="13"/>
      </w:pPr>
      <w:r>
        <w:rPr>
          <w:rFonts w:hint="eastAsia"/>
        </w:rPr>
        <w:t>信托物业租赁状况调查，应当查阅信托物业有关租赁合同，采取抽样调查或者重点调查、典型调查、全面调查等方式走访有关出租人和承租人，调查内容包括至少近</w:t>
      </w:r>
      <w:r>
        <w:t xml:space="preserve"> 3 年的承租人基本情况、租赁面积、免租期、租赁期限及起止日期、租金水平及调整、续租条款、换租期等。</w:t>
      </w:r>
    </w:p>
    <w:p w14:paraId="41E1953F" w14:textId="77777777" w:rsidR="00FA0363" w:rsidRDefault="00FA0363" w:rsidP="00FA0363">
      <w:pPr>
        <w:pStyle w:val="13"/>
      </w:pPr>
      <w:r>
        <w:rPr>
          <w:rFonts w:hint="eastAsia"/>
        </w:rPr>
        <w:t>信托物业租赁状况分析，包括至少近</w:t>
      </w:r>
      <w:r>
        <w:t xml:space="preserve"> 3 年的承租人构成、出租率等状况分析。</w:t>
      </w:r>
      <w:r>
        <w:lastRenderedPageBreak/>
        <w:t>对于</w:t>
      </w:r>
      <w:r>
        <w:rPr>
          <w:rFonts w:hint="eastAsia"/>
        </w:rPr>
        <w:t>商铺、写字楼、工业信托物业，还应当按照租赁面积或者租金额排序确定前</w:t>
      </w:r>
      <w:r>
        <w:t xml:space="preserve"> 10 大承租</w:t>
      </w:r>
      <w:r>
        <w:rPr>
          <w:rFonts w:hint="eastAsia"/>
        </w:rPr>
        <w:t>人，并对其背景信息等情况进行简要描述。</w:t>
      </w:r>
    </w:p>
    <w:p w14:paraId="0627607E" w14:textId="77777777" w:rsidR="00FA0363" w:rsidRDefault="00FA0363" w:rsidP="00FA0363">
      <w:pPr>
        <w:pStyle w:val="13"/>
      </w:pPr>
      <w:r>
        <w:rPr>
          <w:rFonts w:hint="eastAsia"/>
        </w:rPr>
        <w:t>信托物业租赁状况预测，包括预测信托物业未来</w:t>
      </w:r>
      <w:r>
        <w:t xml:space="preserve"> 10 年以上出租率和租金水平变化等情况。</w:t>
      </w:r>
    </w:p>
    <w:p w14:paraId="2FAD63A4" w14:textId="695DECDC" w:rsidR="00FA0363" w:rsidRDefault="00E05BDA" w:rsidP="00FA0363">
      <w:pPr>
        <w:pStyle w:val="13"/>
        <w:ind w:firstLine="482"/>
      </w:pPr>
      <w:r w:rsidRPr="00E05BDA">
        <w:rPr>
          <w:rFonts w:hint="eastAsia"/>
          <w:b/>
          <w:bCs/>
        </w:rPr>
        <w:t xml:space="preserve">第二十八条 </w:t>
      </w:r>
      <w:r w:rsidR="00FA0363">
        <w:t>适合进行商圈调研的信托物业，应当进行商圈调研。商圈调研内容包括商圈范围、商圈发展历程、业态构成、消费者特征、交通情况、道路设施情况、商圈内同类物业供求与租售概况、在建和拟建的同类物业项目等，并判断商圈发展趋势。</w:t>
      </w:r>
    </w:p>
    <w:p w14:paraId="29D46851" w14:textId="62D10B23" w:rsidR="00FA0363" w:rsidRDefault="00E05BDA" w:rsidP="00FA0363">
      <w:pPr>
        <w:pStyle w:val="13"/>
        <w:ind w:firstLine="482"/>
      </w:pPr>
      <w:r w:rsidRPr="00E05BDA">
        <w:rPr>
          <w:rFonts w:hint="eastAsia"/>
          <w:b/>
          <w:bCs/>
        </w:rPr>
        <w:t xml:space="preserve">第二十九条 </w:t>
      </w:r>
      <w:r w:rsidR="00FA0363">
        <w:t>竞争性物业对比分析，应当对与信托物业形成竞争的物业的名称、位置、规模（建筑面积、土地面积、可出租面积等）、用途、建成年份、市场定位、物业特征、配套设施、承租人构成、价格、租金（或者经营收入）、出租率、物业服务费、运营管理服务机构等进行调查，并与信托物业的相应状况进行比较分析，包括信托物业的优势、劣势、机遇和挑战分析，说明信托物业的市场竞争力等。</w:t>
      </w:r>
    </w:p>
    <w:p w14:paraId="54B2A7D1" w14:textId="77777777" w:rsidR="00FA0363" w:rsidRDefault="00FA0363" w:rsidP="00FA0363">
      <w:pPr>
        <w:pStyle w:val="13"/>
      </w:pPr>
      <w:r>
        <w:rPr>
          <w:rFonts w:hint="eastAsia"/>
        </w:rPr>
        <w:t>竞争性物业对比分析中表明信托物业的价格、租金（或者经营收入）、出租率、租金收益率等明显偏高或者明显偏低的，应当在评估报告中说明并陈述原因。</w:t>
      </w:r>
    </w:p>
    <w:p w14:paraId="64DCE633" w14:textId="77777777" w:rsidR="00FA0363" w:rsidRDefault="00FA0363" w:rsidP="00AF7342">
      <w:pPr>
        <w:pStyle w:val="a9"/>
        <w:spacing w:before="62" w:after="62"/>
      </w:pPr>
      <w:r>
        <w:rPr>
          <w:rFonts w:hint="eastAsia"/>
        </w:rPr>
        <w:t>第四章</w:t>
      </w:r>
      <w:r>
        <w:t xml:space="preserve"> 信托物业价值评估</w:t>
      </w:r>
    </w:p>
    <w:p w14:paraId="0978143D" w14:textId="2822EA4B" w:rsidR="00FA0363" w:rsidRDefault="00E05BDA" w:rsidP="00FA0363">
      <w:pPr>
        <w:pStyle w:val="13"/>
        <w:ind w:firstLine="482"/>
      </w:pPr>
      <w:r w:rsidRPr="00E05BDA">
        <w:rPr>
          <w:b/>
          <w:bCs/>
        </w:rPr>
        <w:t xml:space="preserve">第三十条 </w:t>
      </w:r>
      <w:r w:rsidR="00FA0363">
        <w:t>信托物业价值评估一般应当评估市场价值。</w:t>
      </w:r>
    </w:p>
    <w:p w14:paraId="5EAD163D" w14:textId="77777777" w:rsidR="00FA0363" w:rsidRDefault="00FA0363" w:rsidP="00FA0363">
      <w:pPr>
        <w:pStyle w:val="13"/>
      </w:pPr>
      <w:r>
        <w:rPr>
          <w:rFonts w:hint="eastAsia"/>
        </w:rPr>
        <w:t>已出租物业的市场价值分为无租约限制价值、出租人权益价值和承租人权益价值。信托物业价值评估一般应当评估出租人权益价值。</w:t>
      </w:r>
    </w:p>
    <w:p w14:paraId="313B1733" w14:textId="77777777" w:rsidR="00FA0363" w:rsidRDefault="00FA0363" w:rsidP="00FA0363">
      <w:pPr>
        <w:pStyle w:val="13"/>
      </w:pPr>
      <w:r>
        <w:rPr>
          <w:rFonts w:hint="eastAsia"/>
        </w:rPr>
        <w:t>为房地产信托投资基金财务报告服务的价值评估，市场价值一般可以等同于会计准则的公允价值。</w:t>
      </w:r>
    </w:p>
    <w:p w14:paraId="42F5CEBA" w14:textId="20F6EE9D" w:rsidR="00FA0363" w:rsidRDefault="00FA0363" w:rsidP="00FA0363">
      <w:pPr>
        <w:pStyle w:val="13"/>
      </w:pPr>
      <w:r>
        <w:rPr>
          <w:rFonts w:hint="eastAsia"/>
        </w:rPr>
        <w:t>评估报告中应当说明选择的价值类型，包括价值或者价格的名称、定义或者内涵</w:t>
      </w:r>
      <w:r w:rsidR="003068F8">
        <w:rPr>
          <w:rFonts w:hint="eastAsia"/>
        </w:rPr>
        <w:t>，</w:t>
      </w:r>
      <w:r>
        <w:t>并说明选择的理由。</w:t>
      </w:r>
    </w:p>
    <w:p w14:paraId="6B088F2F" w14:textId="6E3D8F66" w:rsidR="00FA0363" w:rsidRDefault="003B2FB1" w:rsidP="00FA0363">
      <w:pPr>
        <w:pStyle w:val="13"/>
        <w:ind w:firstLine="482"/>
      </w:pPr>
      <w:r w:rsidRPr="003B2FB1">
        <w:rPr>
          <w:rFonts w:hint="eastAsia"/>
          <w:b/>
          <w:bCs/>
        </w:rPr>
        <w:t xml:space="preserve">第三十一条 </w:t>
      </w:r>
      <w:r w:rsidR="00FA0363">
        <w:t>信托物业价值评估应当根据估价对象及其所在地的房地产市场状况等客观条件，对收益法、比较法、成本法等估价方法进行适用性分析后，选择适用的估价方法。</w:t>
      </w:r>
    </w:p>
    <w:p w14:paraId="4269E134" w14:textId="77777777" w:rsidR="00FA0363" w:rsidRDefault="00FA0363" w:rsidP="00FA0363">
      <w:pPr>
        <w:pStyle w:val="13"/>
      </w:pPr>
      <w:r>
        <w:rPr>
          <w:rFonts w:hint="eastAsia"/>
        </w:rPr>
        <w:t>信托物业或者其同类物业通常有租金等经济收入的，应当选用收益法作为最主要的估价方法，并优先选用报酬资本化法。信托物业的同类物业有较多交易的，应当选用比较法作为其中一种估价方法。</w:t>
      </w:r>
    </w:p>
    <w:p w14:paraId="72F16DB7" w14:textId="77777777" w:rsidR="00FA0363" w:rsidRDefault="00FA0363" w:rsidP="00FA0363">
      <w:pPr>
        <w:pStyle w:val="13"/>
      </w:pPr>
      <w:r>
        <w:rPr>
          <w:rFonts w:hint="eastAsia"/>
        </w:rPr>
        <w:t>信托物业仅适用一种估价方法进行估价的，可只选用一种估价方法进行估价。信托物业适用两种以上估价方法进行估价的，宜同时选用所有适用的估价方法进行估价，并对各种估价方法的测算结果进行校核和比较分析后，合理确定评估价值。</w:t>
      </w:r>
    </w:p>
    <w:p w14:paraId="330AFFEA" w14:textId="244900A9" w:rsidR="00FA0363" w:rsidRDefault="003B2FB1" w:rsidP="00FA0363">
      <w:pPr>
        <w:pStyle w:val="13"/>
        <w:ind w:firstLine="482"/>
      </w:pPr>
      <w:r w:rsidRPr="003B2FB1">
        <w:rPr>
          <w:rFonts w:hint="eastAsia"/>
          <w:b/>
          <w:bCs/>
        </w:rPr>
        <w:t xml:space="preserve">第三十二条 </w:t>
      </w:r>
      <w:r w:rsidR="00FA0363">
        <w:t>信托物业价值评估应当遵循一致性原则。为同一估价目的对同一房地产投资信托基金的同类物业在同一价值时点的价值或者价格进行评估，应当采用</w:t>
      </w:r>
      <w:r w:rsidR="00FA0363">
        <w:lastRenderedPageBreak/>
        <w:t>相同的估价方法。估价方法如有不同，应当在评估报告中说明并陈述理由。</w:t>
      </w:r>
    </w:p>
    <w:p w14:paraId="4808865B" w14:textId="77777777" w:rsidR="00FA0363" w:rsidRDefault="00FA0363" w:rsidP="00FA0363">
      <w:pPr>
        <w:pStyle w:val="13"/>
      </w:pPr>
      <w:r>
        <w:rPr>
          <w:rFonts w:hint="eastAsia"/>
        </w:rPr>
        <w:t>信托物业价值评估应当遵循一贯性原则。为同一估价目的对同一房地产投资信托基金的同一物业在不同价值时点的价值或者价格进行评估，应当采用相同的估价方法。估价方法如有改变，应当在评估报告中说明并陈述理由。</w:t>
      </w:r>
    </w:p>
    <w:p w14:paraId="0A171C71" w14:textId="1B002777" w:rsidR="00FA0363" w:rsidRDefault="003B2FB1" w:rsidP="00FA0363">
      <w:pPr>
        <w:pStyle w:val="13"/>
        <w:ind w:firstLine="482"/>
      </w:pPr>
      <w:r w:rsidRPr="003B2FB1">
        <w:rPr>
          <w:rFonts w:hint="eastAsia"/>
          <w:b/>
          <w:bCs/>
        </w:rPr>
        <w:t xml:space="preserve">第三十三条 </w:t>
      </w:r>
      <w:r w:rsidR="00FA0363">
        <w:t>对于已出租的信托物业，应当进行租赁状况调查和分析，查看估价对象的租赁合同原件，并与执行财务、法律尽职调查的专业人员进行沟通，从不同的信息来源交叉检查委托人提供的租赁信息的真实性和客观性。</w:t>
      </w:r>
    </w:p>
    <w:p w14:paraId="33AAC430" w14:textId="3CD5A3F8" w:rsidR="00FA0363" w:rsidRDefault="003B2FB1" w:rsidP="00FA0363">
      <w:pPr>
        <w:pStyle w:val="13"/>
        <w:ind w:firstLine="482"/>
      </w:pPr>
      <w:r w:rsidRPr="003B2FB1">
        <w:rPr>
          <w:rFonts w:hint="eastAsia"/>
          <w:b/>
          <w:bCs/>
        </w:rPr>
        <w:t xml:space="preserve">第三十四条 </w:t>
      </w:r>
      <w:r w:rsidR="00FA0363">
        <w:t>采用收益法评估信托物业价值，应当在评估报告中说明估价对象至少近 3 年的各年收入和运营费用，并在估价对象至少近 3 年及同类物业的收入和运营费用</w:t>
      </w:r>
      <w:r w:rsidR="00FA0363">
        <w:rPr>
          <w:rFonts w:hint="eastAsia"/>
        </w:rPr>
        <w:t>水平的基础上，合理预测估价对象未来</w:t>
      </w:r>
      <w:r w:rsidR="00FA0363">
        <w:t xml:space="preserve"> 10 年以上的各年收入和运营费用。其中，出租</w:t>
      </w:r>
      <w:r w:rsidR="00FA0363">
        <w:rPr>
          <w:rFonts w:hint="eastAsia"/>
        </w:rPr>
        <w:t>型物业应当在评估报告中说明估价对象至少近</w:t>
      </w:r>
      <w:r w:rsidR="00FA0363">
        <w:t xml:space="preserve"> 3 年的各年租金水平、空置率以及租金收</w:t>
      </w:r>
      <w:r w:rsidR="00FA0363">
        <w:rPr>
          <w:rFonts w:hint="eastAsia"/>
        </w:rPr>
        <w:t>入和其他收入，并在估价对象至少近</w:t>
      </w:r>
      <w:r w:rsidR="00FA0363">
        <w:t xml:space="preserve"> 3 年及同类物业租金水平、空置率的基础上，合理</w:t>
      </w:r>
      <w:r w:rsidR="00FA0363">
        <w:rPr>
          <w:rFonts w:hint="eastAsia"/>
        </w:rPr>
        <w:t>预测估价对象未来</w:t>
      </w:r>
      <w:r w:rsidR="00FA0363">
        <w:t xml:space="preserve"> 10 年以上的各年租金水平、空置率以及租金收入和其他收入。</w:t>
      </w:r>
    </w:p>
    <w:p w14:paraId="39353490" w14:textId="1FBA773B" w:rsidR="00FA0363" w:rsidRDefault="003B2FB1" w:rsidP="00FA0363">
      <w:pPr>
        <w:pStyle w:val="13"/>
        <w:ind w:firstLine="482"/>
      </w:pPr>
      <w:r w:rsidRPr="003B2FB1">
        <w:rPr>
          <w:rFonts w:hint="eastAsia"/>
          <w:b/>
          <w:bCs/>
        </w:rPr>
        <w:t xml:space="preserve">第三十五条 </w:t>
      </w:r>
      <w:r w:rsidR="00FA0363">
        <w:t>报酬</w:t>
      </w:r>
      <w:proofErr w:type="gramStart"/>
      <w:r w:rsidR="00FA0363">
        <w:t>率或者</w:t>
      </w:r>
      <w:proofErr w:type="gramEnd"/>
      <w:r w:rsidR="00FA0363">
        <w:t>资本化率的求取方法和有关计算过程应当在评估报告中说</w:t>
      </w:r>
      <w:r w:rsidR="00FA0363">
        <w:rPr>
          <w:rFonts w:hint="eastAsia"/>
        </w:rPr>
        <w:t>明。</w:t>
      </w:r>
    </w:p>
    <w:p w14:paraId="492E4AF5" w14:textId="77777777" w:rsidR="00FA0363" w:rsidRDefault="00FA0363" w:rsidP="00FA0363">
      <w:pPr>
        <w:pStyle w:val="13"/>
      </w:pPr>
      <w:r>
        <w:rPr>
          <w:rFonts w:hint="eastAsia"/>
        </w:rPr>
        <w:t>报酬</w:t>
      </w:r>
      <w:proofErr w:type="gramStart"/>
      <w:r>
        <w:rPr>
          <w:rFonts w:hint="eastAsia"/>
        </w:rPr>
        <w:t>率或者</w:t>
      </w:r>
      <w:proofErr w:type="gramEnd"/>
      <w:r>
        <w:rPr>
          <w:rFonts w:hint="eastAsia"/>
        </w:rPr>
        <w:t>资本化</w:t>
      </w:r>
      <w:proofErr w:type="gramStart"/>
      <w:r>
        <w:rPr>
          <w:rFonts w:hint="eastAsia"/>
        </w:rPr>
        <w:t>率采用</w:t>
      </w:r>
      <w:proofErr w:type="gramEnd"/>
      <w:r>
        <w:rPr>
          <w:rFonts w:hint="eastAsia"/>
        </w:rPr>
        <w:t>市场提取法求取的，应当选取不少于</w:t>
      </w:r>
      <w:r>
        <w:t xml:space="preserve"> 3 </w:t>
      </w:r>
      <w:proofErr w:type="gramStart"/>
      <w:r>
        <w:t>个</w:t>
      </w:r>
      <w:proofErr w:type="gramEnd"/>
      <w:r>
        <w:t>可比实例，并在</w:t>
      </w:r>
      <w:r>
        <w:rPr>
          <w:rFonts w:hint="eastAsia"/>
        </w:rPr>
        <w:t>评估报告中说明可比实例的名称、位置及附位置图和外观照片。</w:t>
      </w:r>
    </w:p>
    <w:p w14:paraId="0FFE8042" w14:textId="2581967B" w:rsidR="00FA0363" w:rsidRDefault="003B2FB1" w:rsidP="00FA0363">
      <w:pPr>
        <w:pStyle w:val="13"/>
        <w:ind w:firstLine="482"/>
      </w:pPr>
      <w:r w:rsidRPr="003B2FB1">
        <w:rPr>
          <w:rFonts w:hint="eastAsia"/>
          <w:b/>
          <w:bCs/>
        </w:rPr>
        <w:t xml:space="preserve">第三十六条 </w:t>
      </w:r>
      <w:r w:rsidR="00FA0363">
        <w:t xml:space="preserve">采用比较法评估信托物业价值，应当选取不少于 3 </w:t>
      </w:r>
      <w:proofErr w:type="gramStart"/>
      <w:r w:rsidR="00FA0363">
        <w:t>个</w:t>
      </w:r>
      <w:proofErr w:type="gramEnd"/>
      <w:r w:rsidR="00FA0363">
        <w:t>可比实例，并且在评估报告中说明可比实例的名称、位置及附位置图和外观照片。</w:t>
      </w:r>
    </w:p>
    <w:p w14:paraId="318B22FE" w14:textId="77777777" w:rsidR="00FA0363" w:rsidRDefault="00FA0363" w:rsidP="00AF7342">
      <w:pPr>
        <w:pStyle w:val="a9"/>
        <w:spacing w:before="62" w:after="62"/>
      </w:pPr>
      <w:r>
        <w:rPr>
          <w:rFonts w:hint="eastAsia"/>
        </w:rPr>
        <w:t>第五章</w:t>
      </w:r>
      <w:r>
        <w:t xml:space="preserve"> 信托物业评估报告</w:t>
      </w:r>
    </w:p>
    <w:p w14:paraId="41CA3AE6" w14:textId="190D6D32" w:rsidR="00FA0363" w:rsidRDefault="003B2FB1" w:rsidP="00FA0363">
      <w:pPr>
        <w:pStyle w:val="13"/>
        <w:ind w:firstLine="482"/>
      </w:pPr>
      <w:r w:rsidRPr="003B2FB1">
        <w:rPr>
          <w:rFonts w:hint="eastAsia"/>
          <w:b/>
          <w:bCs/>
        </w:rPr>
        <w:t xml:space="preserve">第三十七条 </w:t>
      </w:r>
      <w:r w:rsidR="00FA0363">
        <w:t>信托物业评估报告分为信托物业状况评价报告、信托物业市场调研报告和信托物业价值评估报告。</w:t>
      </w:r>
    </w:p>
    <w:p w14:paraId="06424E1E" w14:textId="77777777" w:rsidR="00FA0363" w:rsidRDefault="00FA0363" w:rsidP="00FA0363">
      <w:pPr>
        <w:pStyle w:val="13"/>
      </w:pPr>
      <w:r>
        <w:rPr>
          <w:rFonts w:hint="eastAsia"/>
        </w:rPr>
        <w:t>信托物业评估报告应当采取书面形式。</w:t>
      </w:r>
    </w:p>
    <w:p w14:paraId="38BB9018" w14:textId="4D7A3C1F" w:rsidR="00FA0363" w:rsidRDefault="003B2FB1" w:rsidP="00FA0363">
      <w:pPr>
        <w:pStyle w:val="13"/>
        <w:ind w:firstLine="482"/>
      </w:pPr>
      <w:r w:rsidRPr="003B2FB1">
        <w:rPr>
          <w:rFonts w:hint="eastAsia"/>
          <w:b/>
          <w:bCs/>
        </w:rPr>
        <w:t xml:space="preserve">第三十八条 </w:t>
      </w:r>
      <w:r w:rsidR="00FA0363">
        <w:t>完整的信托物业评估报告应当包括封面、致评估委托人函、目录、评估</w:t>
      </w:r>
      <w:r w:rsidR="00FA0363">
        <w:rPr>
          <w:rFonts w:hint="eastAsia"/>
        </w:rPr>
        <w:t>声明、评估假设和限制条件、评估结果报告、评估技术报告和附件。</w:t>
      </w:r>
    </w:p>
    <w:p w14:paraId="0E93AF3B" w14:textId="77777777" w:rsidR="00FA0363" w:rsidRDefault="00FA0363" w:rsidP="00FA0363">
      <w:pPr>
        <w:pStyle w:val="13"/>
      </w:pPr>
      <w:r>
        <w:rPr>
          <w:rFonts w:hint="eastAsia"/>
        </w:rPr>
        <w:t>根据委托人的需要或者房地产投资信托基金信息披露等要求，可以在完整的信托物业评估报告的基础上形成信托物业评估报告摘要。</w:t>
      </w:r>
    </w:p>
    <w:p w14:paraId="52B61AFC" w14:textId="69E7F43D" w:rsidR="00FA0363" w:rsidRDefault="003B2FB1" w:rsidP="00FA0363">
      <w:pPr>
        <w:pStyle w:val="13"/>
        <w:ind w:firstLine="482"/>
      </w:pPr>
      <w:r w:rsidRPr="003B2FB1">
        <w:rPr>
          <w:rFonts w:hint="eastAsia"/>
          <w:b/>
          <w:bCs/>
        </w:rPr>
        <w:t xml:space="preserve">第三十九条 </w:t>
      </w:r>
      <w:r w:rsidR="00FA0363">
        <w:t>房地产估价机构和评估人员应当在评估声明中对其在信托物业评估中的独立、客观、公正性，以及评估报告的合法性、真实性、合理性，没有虚假记载、误导性陈述和重大遗漏等</w:t>
      </w:r>
      <w:proofErr w:type="gramStart"/>
      <w:r w:rsidR="00FA0363">
        <w:t>作出</w:t>
      </w:r>
      <w:proofErr w:type="gramEnd"/>
      <w:r w:rsidR="00FA0363">
        <w:t>承诺和保证。</w:t>
      </w:r>
    </w:p>
    <w:p w14:paraId="2F362A5D" w14:textId="6E9F29B7" w:rsidR="00FA0363" w:rsidRDefault="003B2FB1" w:rsidP="00FA0363">
      <w:pPr>
        <w:pStyle w:val="13"/>
        <w:ind w:firstLine="482"/>
      </w:pPr>
      <w:r w:rsidRPr="003B2FB1">
        <w:rPr>
          <w:rFonts w:hint="eastAsia"/>
          <w:b/>
          <w:bCs/>
        </w:rPr>
        <w:t xml:space="preserve">第四十条 </w:t>
      </w:r>
      <w:r w:rsidR="00FA0363">
        <w:t>房地产估价机构和评估人员应当在评估假设和限制条件中有针对性并尽量简洁地对信托物业评估所必需、但尚不能肯定、而又必须予以明确的前提条件以及评估报告使用限制等</w:t>
      </w:r>
      <w:proofErr w:type="gramStart"/>
      <w:r w:rsidR="00FA0363">
        <w:t>作出</w:t>
      </w:r>
      <w:proofErr w:type="gramEnd"/>
      <w:r w:rsidR="00FA0363">
        <w:t>说明。</w:t>
      </w:r>
    </w:p>
    <w:p w14:paraId="4C03EC14" w14:textId="5A0A1239" w:rsidR="00FA0363" w:rsidRDefault="003B2FB1" w:rsidP="00FA0363">
      <w:pPr>
        <w:pStyle w:val="13"/>
        <w:ind w:firstLine="482"/>
      </w:pPr>
      <w:r w:rsidRPr="003B2FB1">
        <w:rPr>
          <w:rFonts w:hint="eastAsia"/>
          <w:b/>
          <w:bCs/>
        </w:rPr>
        <w:lastRenderedPageBreak/>
        <w:t xml:space="preserve">第四十一条 </w:t>
      </w:r>
      <w:r w:rsidR="00FA0363">
        <w:t>信托物业状况评价结果报告应当简明扼要说明下列事项：</w:t>
      </w:r>
    </w:p>
    <w:p w14:paraId="4D84A13E" w14:textId="77777777" w:rsidR="00FA0363" w:rsidRDefault="00FA0363" w:rsidP="00FA0363">
      <w:pPr>
        <w:pStyle w:val="13"/>
      </w:pPr>
      <w:r>
        <w:rPr>
          <w:rFonts w:hint="eastAsia"/>
        </w:rPr>
        <w:t>（一）委托人（名称、住所和法定代表人姓名）；</w:t>
      </w:r>
    </w:p>
    <w:p w14:paraId="742AA987" w14:textId="77777777" w:rsidR="00FA0363" w:rsidRDefault="00FA0363" w:rsidP="00FA0363">
      <w:pPr>
        <w:pStyle w:val="13"/>
      </w:pPr>
      <w:r>
        <w:rPr>
          <w:rFonts w:hint="eastAsia"/>
        </w:rPr>
        <w:t>（二）房地产估价机构（名称、住所、法定代表人或者执行事务合伙人姓名、相关资质）；</w:t>
      </w:r>
    </w:p>
    <w:p w14:paraId="23B6905D" w14:textId="77777777" w:rsidR="00FA0363" w:rsidRDefault="00FA0363" w:rsidP="00FA0363">
      <w:pPr>
        <w:pStyle w:val="13"/>
      </w:pPr>
      <w:r>
        <w:rPr>
          <w:rFonts w:hint="eastAsia"/>
        </w:rPr>
        <w:t>（三）评价目的；</w:t>
      </w:r>
    </w:p>
    <w:p w14:paraId="2DCCFE0D" w14:textId="77777777" w:rsidR="00FA0363" w:rsidRDefault="00FA0363" w:rsidP="00FA0363">
      <w:pPr>
        <w:pStyle w:val="13"/>
      </w:pPr>
      <w:r>
        <w:rPr>
          <w:rFonts w:hint="eastAsia"/>
        </w:rPr>
        <w:t>（四）评价对象（名称、坐落、范围、规模、用途、权属等基本状况）；</w:t>
      </w:r>
    </w:p>
    <w:p w14:paraId="2C3B1064" w14:textId="77777777" w:rsidR="00FA0363" w:rsidRDefault="00FA0363" w:rsidP="00FA0363">
      <w:pPr>
        <w:pStyle w:val="13"/>
      </w:pPr>
      <w:r>
        <w:rPr>
          <w:rFonts w:hint="eastAsia"/>
        </w:rPr>
        <w:t>（五）评价时点（所评价的物业状况对应的日期及其确定的简要理由）；</w:t>
      </w:r>
    </w:p>
    <w:p w14:paraId="70F093BB" w14:textId="77777777" w:rsidR="00FA0363" w:rsidRDefault="00FA0363" w:rsidP="00FA0363">
      <w:pPr>
        <w:pStyle w:val="13"/>
      </w:pPr>
      <w:r>
        <w:rPr>
          <w:rFonts w:hint="eastAsia"/>
        </w:rPr>
        <w:t>（六）评价原则；</w:t>
      </w:r>
    </w:p>
    <w:p w14:paraId="5860711B" w14:textId="77777777" w:rsidR="00FA0363" w:rsidRDefault="00FA0363" w:rsidP="00FA0363">
      <w:pPr>
        <w:pStyle w:val="13"/>
      </w:pPr>
      <w:r>
        <w:rPr>
          <w:rFonts w:hint="eastAsia"/>
        </w:rPr>
        <w:t>（七）评价依据；</w:t>
      </w:r>
    </w:p>
    <w:p w14:paraId="06E00289" w14:textId="77777777" w:rsidR="00FA0363" w:rsidRDefault="00FA0363" w:rsidP="00FA0363">
      <w:pPr>
        <w:pStyle w:val="13"/>
      </w:pPr>
      <w:r>
        <w:rPr>
          <w:rFonts w:hint="eastAsia"/>
        </w:rPr>
        <w:t>（八）评价方法；</w:t>
      </w:r>
    </w:p>
    <w:p w14:paraId="5ACE008F" w14:textId="77777777" w:rsidR="00FA0363" w:rsidRDefault="00FA0363" w:rsidP="00FA0363">
      <w:pPr>
        <w:pStyle w:val="13"/>
      </w:pPr>
      <w:r>
        <w:rPr>
          <w:rFonts w:hint="eastAsia"/>
        </w:rPr>
        <w:t>（九）评价结论；</w:t>
      </w:r>
    </w:p>
    <w:p w14:paraId="2BF85008" w14:textId="77777777" w:rsidR="00FA0363" w:rsidRDefault="00FA0363" w:rsidP="00FA0363">
      <w:pPr>
        <w:pStyle w:val="13"/>
      </w:pPr>
      <w:r>
        <w:rPr>
          <w:rFonts w:hint="eastAsia"/>
        </w:rPr>
        <w:t>（十）评价人员（包括执行评价的人员的姓名、相关资格或者专业技术职务、执行评价内容及本人签名，协助评价的人员的姓名、相关资格或者专业技术职务、协助评价内容及本人签名，帮助评价的专家的姓名、相关资格或者专业技术职务、帮助评价内容及本人签名）；</w:t>
      </w:r>
    </w:p>
    <w:p w14:paraId="702313D4" w14:textId="77777777" w:rsidR="00FA0363" w:rsidRDefault="00FA0363" w:rsidP="00FA0363">
      <w:pPr>
        <w:pStyle w:val="13"/>
      </w:pPr>
      <w:r>
        <w:rPr>
          <w:rFonts w:hint="eastAsia"/>
        </w:rPr>
        <w:t>（十一）实地查勘期；</w:t>
      </w:r>
    </w:p>
    <w:p w14:paraId="0CBC8C74" w14:textId="77777777" w:rsidR="00FA0363" w:rsidRDefault="00FA0363" w:rsidP="00FA0363">
      <w:pPr>
        <w:pStyle w:val="13"/>
      </w:pPr>
      <w:r>
        <w:rPr>
          <w:rFonts w:hint="eastAsia"/>
        </w:rPr>
        <w:t>（十二）评价作业期。</w:t>
      </w:r>
    </w:p>
    <w:p w14:paraId="3864E8ED" w14:textId="77777777" w:rsidR="00FA0363" w:rsidRDefault="00FA0363" w:rsidP="00FA0363">
      <w:pPr>
        <w:pStyle w:val="13"/>
      </w:pPr>
      <w:r>
        <w:rPr>
          <w:rFonts w:hint="eastAsia"/>
        </w:rPr>
        <w:t>信托物业状况评价技术报告应当包括下列内容：</w:t>
      </w:r>
    </w:p>
    <w:p w14:paraId="12489B13" w14:textId="77777777" w:rsidR="00FA0363" w:rsidRDefault="00FA0363" w:rsidP="00FA0363">
      <w:pPr>
        <w:pStyle w:val="13"/>
      </w:pPr>
      <w:r>
        <w:rPr>
          <w:rFonts w:hint="eastAsia"/>
        </w:rPr>
        <w:t>（一）评价对象的范围和基本状况描述；</w:t>
      </w:r>
    </w:p>
    <w:p w14:paraId="0671EC9E" w14:textId="77777777" w:rsidR="00FA0363" w:rsidRDefault="00FA0363" w:rsidP="00FA0363">
      <w:pPr>
        <w:pStyle w:val="13"/>
      </w:pPr>
      <w:r>
        <w:rPr>
          <w:rFonts w:hint="eastAsia"/>
        </w:rPr>
        <w:t>（二）评价对象实物状况描述与评价；</w:t>
      </w:r>
    </w:p>
    <w:p w14:paraId="5B8F0C2A" w14:textId="77777777" w:rsidR="00FA0363" w:rsidRDefault="00FA0363" w:rsidP="00FA0363">
      <w:pPr>
        <w:pStyle w:val="13"/>
      </w:pPr>
      <w:r>
        <w:rPr>
          <w:rFonts w:hint="eastAsia"/>
        </w:rPr>
        <w:t>（三）评价对象权益状况描述与评价；</w:t>
      </w:r>
    </w:p>
    <w:p w14:paraId="19D28BE4" w14:textId="77777777" w:rsidR="00FA0363" w:rsidRDefault="00FA0363" w:rsidP="00FA0363">
      <w:pPr>
        <w:pStyle w:val="13"/>
      </w:pPr>
      <w:r>
        <w:rPr>
          <w:rFonts w:hint="eastAsia"/>
        </w:rPr>
        <w:t>（四）评价对象区位状况描述与评价；</w:t>
      </w:r>
    </w:p>
    <w:p w14:paraId="3D4D5B22" w14:textId="77777777" w:rsidR="00FA0363" w:rsidRDefault="00FA0363" w:rsidP="00FA0363">
      <w:pPr>
        <w:pStyle w:val="13"/>
      </w:pPr>
      <w:r>
        <w:rPr>
          <w:rFonts w:hint="eastAsia"/>
        </w:rPr>
        <w:t>（五）评价对象运营费用分析与预测；</w:t>
      </w:r>
    </w:p>
    <w:p w14:paraId="5BADEEC2" w14:textId="77777777" w:rsidR="00FA0363" w:rsidRDefault="00FA0363" w:rsidP="00FA0363">
      <w:pPr>
        <w:pStyle w:val="13"/>
      </w:pPr>
      <w:r>
        <w:rPr>
          <w:rFonts w:hint="eastAsia"/>
        </w:rPr>
        <w:t>（六）信托物业状况评价综合结论。</w:t>
      </w:r>
    </w:p>
    <w:p w14:paraId="3AAD664A" w14:textId="7F1F3EF1" w:rsidR="00FA0363" w:rsidRDefault="003B2FB1" w:rsidP="00FA0363">
      <w:pPr>
        <w:pStyle w:val="13"/>
        <w:ind w:firstLine="482"/>
      </w:pPr>
      <w:r w:rsidRPr="003B2FB1">
        <w:rPr>
          <w:rFonts w:hint="eastAsia"/>
          <w:b/>
          <w:bCs/>
        </w:rPr>
        <w:t xml:space="preserve">第四十二条 </w:t>
      </w:r>
      <w:r w:rsidR="00FA0363">
        <w:t>信托物业市场调研结果报告应当简明扼要说明下列事项：</w:t>
      </w:r>
    </w:p>
    <w:p w14:paraId="2939E83F" w14:textId="77777777" w:rsidR="00FA0363" w:rsidRDefault="00FA0363" w:rsidP="00FA0363">
      <w:pPr>
        <w:pStyle w:val="13"/>
      </w:pPr>
      <w:r>
        <w:rPr>
          <w:rFonts w:hint="eastAsia"/>
        </w:rPr>
        <w:t>（一）委托人（名称、住所和法定代表人姓名）；</w:t>
      </w:r>
    </w:p>
    <w:p w14:paraId="2D8F77AE" w14:textId="77777777" w:rsidR="00FA0363" w:rsidRDefault="00FA0363" w:rsidP="00FA0363">
      <w:pPr>
        <w:pStyle w:val="13"/>
      </w:pPr>
      <w:r>
        <w:rPr>
          <w:rFonts w:hint="eastAsia"/>
        </w:rPr>
        <w:t>（二）房地产估价机构（名称、住所、法定代表人或者执行事务合伙人姓名、相关资质）；</w:t>
      </w:r>
    </w:p>
    <w:p w14:paraId="73EF09ED" w14:textId="77777777" w:rsidR="00FA0363" w:rsidRDefault="00FA0363" w:rsidP="00FA0363">
      <w:pPr>
        <w:pStyle w:val="13"/>
      </w:pPr>
      <w:r>
        <w:rPr>
          <w:rFonts w:hint="eastAsia"/>
        </w:rPr>
        <w:t>（三）调研目的；</w:t>
      </w:r>
    </w:p>
    <w:p w14:paraId="345CC062" w14:textId="77777777" w:rsidR="00FA0363" w:rsidRDefault="00FA0363" w:rsidP="00FA0363">
      <w:pPr>
        <w:pStyle w:val="13"/>
      </w:pPr>
      <w:r>
        <w:rPr>
          <w:rFonts w:hint="eastAsia"/>
        </w:rPr>
        <w:t>（四）调研对象（名称、坐落、范围、规模、用途、权属等基本状况）；</w:t>
      </w:r>
    </w:p>
    <w:p w14:paraId="654D5008" w14:textId="77777777" w:rsidR="00FA0363" w:rsidRDefault="00FA0363" w:rsidP="00FA0363">
      <w:pPr>
        <w:pStyle w:val="13"/>
      </w:pPr>
      <w:r>
        <w:rPr>
          <w:rFonts w:hint="eastAsia"/>
        </w:rPr>
        <w:t>（五）调研原则；</w:t>
      </w:r>
    </w:p>
    <w:p w14:paraId="62043A57" w14:textId="77777777" w:rsidR="00FA0363" w:rsidRDefault="00FA0363" w:rsidP="00FA0363">
      <w:pPr>
        <w:pStyle w:val="13"/>
      </w:pPr>
      <w:r>
        <w:rPr>
          <w:rFonts w:hint="eastAsia"/>
        </w:rPr>
        <w:t>（六）调研依据；</w:t>
      </w:r>
    </w:p>
    <w:p w14:paraId="573F09F9" w14:textId="77777777" w:rsidR="00FA0363" w:rsidRDefault="00FA0363" w:rsidP="00FA0363">
      <w:pPr>
        <w:pStyle w:val="13"/>
      </w:pPr>
      <w:r>
        <w:rPr>
          <w:rFonts w:hint="eastAsia"/>
        </w:rPr>
        <w:t>（七）调研方法（包括市场预测方法）；</w:t>
      </w:r>
    </w:p>
    <w:p w14:paraId="286E84A7" w14:textId="77777777" w:rsidR="00FA0363" w:rsidRDefault="00FA0363" w:rsidP="00FA0363">
      <w:pPr>
        <w:pStyle w:val="13"/>
      </w:pPr>
      <w:r>
        <w:rPr>
          <w:rFonts w:hint="eastAsia"/>
        </w:rPr>
        <w:t>（八）调研结论；</w:t>
      </w:r>
    </w:p>
    <w:p w14:paraId="32E3C36D" w14:textId="77777777" w:rsidR="00FA0363" w:rsidRDefault="00FA0363" w:rsidP="00FA0363">
      <w:pPr>
        <w:pStyle w:val="13"/>
      </w:pPr>
      <w:r>
        <w:rPr>
          <w:rFonts w:hint="eastAsia"/>
        </w:rPr>
        <w:lastRenderedPageBreak/>
        <w:t>（九）调研人员（包括执行调研的人员的姓名、相关资格或者专业技术职务、执行调研内容及本人签名，协助调研的人员的姓名、相关资格或者专业技术职务、协助调研内容及本人签名，帮助调研的专家的姓名、相关资格或者专业技术职务、帮助调研内容及本人签名）；</w:t>
      </w:r>
    </w:p>
    <w:p w14:paraId="66CCEE62" w14:textId="77777777" w:rsidR="00FA0363" w:rsidRDefault="00FA0363" w:rsidP="00FA0363">
      <w:pPr>
        <w:pStyle w:val="13"/>
      </w:pPr>
      <w:r>
        <w:rPr>
          <w:rFonts w:hint="eastAsia"/>
        </w:rPr>
        <w:t>（十）实地查勘期；</w:t>
      </w:r>
    </w:p>
    <w:p w14:paraId="5EE211DF" w14:textId="77777777" w:rsidR="00FA0363" w:rsidRDefault="00FA0363" w:rsidP="00FA0363">
      <w:pPr>
        <w:pStyle w:val="13"/>
      </w:pPr>
      <w:r>
        <w:rPr>
          <w:rFonts w:hint="eastAsia"/>
        </w:rPr>
        <w:t>（十一）调研作业期。</w:t>
      </w:r>
    </w:p>
    <w:p w14:paraId="21D483E9" w14:textId="77777777" w:rsidR="00FA0363" w:rsidRDefault="00FA0363" w:rsidP="00FA0363">
      <w:pPr>
        <w:pStyle w:val="13"/>
      </w:pPr>
      <w:r>
        <w:rPr>
          <w:rFonts w:hint="eastAsia"/>
        </w:rPr>
        <w:t>信托物业市场调研技术报告应当包括下列内容：</w:t>
      </w:r>
    </w:p>
    <w:p w14:paraId="70D54AB2" w14:textId="77777777" w:rsidR="00FA0363" w:rsidRDefault="00FA0363" w:rsidP="00FA0363">
      <w:pPr>
        <w:pStyle w:val="13"/>
      </w:pPr>
      <w:r>
        <w:rPr>
          <w:rFonts w:hint="eastAsia"/>
        </w:rPr>
        <w:t>（一）调研对象所在地区经济社会发展状况概述与分析；</w:t>
      </w:r>
    </w:p>
    <w:p w14:paraId="419F92B0" w14:textId="77777777" w:rsidR="00FA0363" w:rsidRDefault="00FA0363" w:rsidP="00FA0363">
      <w:pPr>
        <w:pStyle w:val="13"/>
      </w:pPr>
      <w:r>
        <w:rPr>
          <w:rFonts w:hint="eastAsia"/>
        </w:rPr>
        <w:t>（二）调研对象所在地区房地产市场总体状况描述与分析；</w:t>
      </w:r>
    </w:p>
    <w:p w14:paraId="21CB45E0" w14:textId="77777777" w:rsidR="00FA0363" w:rsidRDefault="00FA0363" w:rsidP="00FA0363">
      <w:pPr>
        <w:pStyle w:val="13"/>
      </w:pPr>
      <w:r>
        <w:rPr>
          <w:rFonts w:hint="eastAsia"/>
        </w:rPr>
        <w:t>（三）调研对象所在地区同类物业市场状况描述与分析；</w:t>
      </w:r>
    </w:p>
    <w:p w14:paraId="0E447759" w14:textId="77777777" w:rsidR="00FA0363" w:rsidRDefault="00FA0363" w:rsidP="00FA0363">
      <w:pPr>
        <w:pStyle w:val="13"/>
      </w:pPr>
      <w:r>
        <w:rPr>
          <w:rFonts w:hint="eastAsia"/>
        </w:rPr>
        <w:t>（四）调研对象自身有关市场状况描述与分析；</w:t>
      </w:r>
    </w:p>
    <w:p w14:paraId="73A3440E" w14:textId="77777777" w:rsidR="00FA0363" w:rsidRDefault="00FA0363" w:rsidP="00FA0363">
      <w:pPr>
        <w:pStyle w:val="13"/>
      </w:pPr>
      <w:r>
        <w:rPr>
          <w:rFonts w:hint="eastAsia"/>
        </w:rPr>
        <w:t>（五）信托物业市场调研综合结论。</w:t>
      </w:r>
    </w:p>
    <w:p w14:paraId="5976CC2A" w14:textId="04381D54" w:rsidR="00FA0363" w:rsidRDefault="003B2FB1" w:rsidP="00FA0363">
      <w:pPr>
        <w:pStyle w:val="13"/>
        <w:ind w:firstLine="482"/>
      </w:pPr>
      <w:r w:rsidRPr="003B2FB1">
        <w:rPr>
          <w:rFonts w:hint="eastAsia"/>
          <w:b/>
          <w:bCs/>
        </w:rPr>
        <w:t xml:space="preserve">第四十三条 </w:t>
      </w:r>
      <w:r w:rsidR="00FA0363">
        <w:t>信托物业价值评估结果报告应当简明扼要说明下列事项：</w:t>
      </w:r>
    </w:p>
    <w:p w14:paraId="3D83437F" w14:textId="77777777" w:rsidR="00FA0363" w:rsidRDefault="00FA0363" w:rsidP="00FA0363">
      <w:pPr>
        <w:pStyle w:val="13"/>
      </w:pPr>
      <w:r>
        <w:rPr>
          <w:rFonts w:hint="eastAsia"/>
        </w:rPr>
        <w:t>（一）估价委托人（名称、住所和法定代表人姓名）；</w:t>
      </w:r>
    </w:p>
    <w:p w14:paraId="6FC1299D" w14:textId="77777777" w:rsidR="00FA0363" w:rsidRDefault="00FA0363" w:rsidP="00FA0363">
      <w:pPr>
        <w:pStyle w:val="13"/>
      </w:pPr>
      <w:r>
        <w:rPr>
          <w:rFonts w:hint="eastAsia"/>
        </w:rPr>
        <w:t>（二）房地产估价机构（名称、住所、法定代表人或者执行事务合伙人姓名、资质等级和资质证书编号）；</w:t>
      </w:r>
    </w:p>
    <w:p w14:paraId="60665B01" w14:textId="77777777" w:rsidR="00FA0363" w:rsidRDefault="00FA0363" w:rsidP="00FA0363">
      <w:pPr>
        <w:pStyle w:val="13"/>
      </w:pPr>
      <w:r>
        <w:rPr>
          <w:rFonts w:hint="eastAsia"/>
        </w:rPr>
        <w:t>（三）估价目的（估价委托人对估价报告的预期用途，或者估价是为了满足估价委托人的何种需要）；</w:t>
      </w:r>
    </w:p>
    <w:p w14:paraId="51BE0FA7" w14:textId="77777777" w:rsidR="00FA0363" w:rsidRDefault="00FA0363" w:rsidP="00FA0363">
      <w:pPr>
        <w:pStyle w:val="13"/>
      </w:pPr>
      <w:r>
        <w:rPr>
          <w:rFonts w:hint="eastAsia"/>
        </w:rPr>
        <w:t>（四）估价对象（财产范围以及名称、坐落、规模、用途、权属等基本状况）；</w:t>
      </w:r>
    </w:p>
    <w:p w14:paraId="036B4ECA" w14:textId="77777777" w:rsidR="00FA0363" w:rsidRDefault="00FA0363" w:rsidP="00FA0363">
      <w:pPr>
        <w:pStyle w:val="13"/>
      </w:pPr>
      <w:r>
        <w:rPr>
          <w:rFonts w:hint="eastAsia"/>
        </w:rPr>
        <w:t>（五）价值时点（所评估的估价对象价值或者价格对应的时间及其确定的简要理由）；</w:t>
      </w:r>
    </w:p>
    <w:p w14:paraId="46BA5C0C" w14:textId="77777777" w:rsidR="00FA0363" w:rsidRDefault="00FA0363" w:rsidP="00FA0363">
      <w:pPr>
        <w:pStyle w:val="13"/>
      </w:pPr>
      <w:r>
        <w:rPr>
          <w:rFonts w:hint="eastAsia"/>
        </w:rPr>
        <w:t>（六）价值类型（所评估的估价对象价值或者价格的名称、定义或者内涵）；</w:t>
      </w:r>
    </w:p>
    <w:p w14:paraId="766A08D4" w14:textId="77777777" w:rsidR="00FA0363" w:rsidRDefault="00FA0363" w:rsidP="00FA0363">
      <w:pPr>
        <w:pStyle w:val="13"/>
      </w:pPr>
      <w:r>
        <w:rPr>
          <w:rFonts w:hint="eastAsia"/>
        </w:rPr>
        <w:t>（七）估价原则（所遵循的估价原则的名称、定义或者内涵）；</w:t>
      </w:r>
    </w:p>
    <w:p w14:paraId="5CE1B05D" w14:textId="77777777" w:rsidR="00FA0363" w:rsidRDefault="00FA0363" w:rsidP="00FA0363">
      <w:pPr>
        <w:pStyle w:val="13"/>
      </w:pPr>
      <w:r>
        <w:rPr>
          <w:rFonts w:hint="eastAsia"/>
        </w:rPr>
        <w:t>（八）估价依据（估价所依据的有关法律、法规和政策，有关估价标准，估价委托书、估价委托合同、估价委托人提供的估价所需资料，房地产估价机构、注册房地产估价师掌握和搜集的估价所需资料）；</w:t>
      </w:r>
    </w:p>
    <w:p w14:paraId="5937C9A8" w14:textId="77777777" w:rsidR="00FA0363" w:rsidRDefault="00FA0363" w:rsidP="00FA0363">
      <w:pPr>
        <w:pStyle w:val="13"/>
      </w:pPr>
      <w:r>
        <w:rPr>
          <w:rFonts w:hint="eastAsia"/>
        </w:rPr>
        <w:t>（九）估价方法（所采用的估价方法的名称、定义以及估价测算的简要内容）；</w:t>
      </w:r>
    </w:p>
    <w:p w14:paraId="4C40251F" w14:textId="77777777" w:rsidR="00FA0363" w:rsidRDefault="00FA0363" w:rsidP="00FA0363">
      <w:pPr>
        <w:pStyle w:val="13"/>
      </w:pPr>
      <w:r>
        <w:rPr>
          <w:rFonts w:hint="eastAsia"/>
        </w:rPr>
        <w:t>（十）估价结果（不同估价方法的测算结果、最终评估价值以及相关专业意见）；</w:t>
      </w:r>
    </w:p>
    <w:p w14:paraId="53DCF01A" w14:textId="77777777" w:rsidR="00FA0363" w:rsidRDefault="00FA0363" w:rsidP="00FA0363">
      <w:pPr>
        <w:pStyle w:val="13"/>
      </w:pPr>
      <w:r>
        <w:rPr>
          <w:rFonts w:hint="eastAsia"/>
        </w:rPr>
        <w:t>（十一）注册房地产估价师（姓名、注册号以及本人签名和签名日期）；</w:t>
      </w:r>
    </w:p>
    <w:p w14:paraId="5DF3E71E" w14:textId="77777777" w:rsidR="00FA0363" w:rsidRDefault="00FA0363" w:rsidP="00FA0363">
      <w:pPr>
        <w:pStyle w:val="13"/>
      </w:pPr>
      <w:r>
        <w:rPr>
          <w:rFonts w:hint="eastAsia"/>
        </w:rPr>
        <w:t>（十二）实地查勘期（实地查勘估价对象的起止日期）；</w:t>
      </w:r>
    </w:p>
    <w:p w14:paraId="70F64349" w14:textId="77777777" w:rsidR="00FA0363" w:rsidRDefault="00FA0363" w:rsidP="00FA0363">
      <w:pPr>
        <w:pStyle w:val="13"/>
      </w:pPr>
      <w:r>
        <w:rPr>
          <w:rFonts w:hint="eastAsia"/>
        </w:rPr>
        <w:t>（十三）估价作业期（估价工作的起止日期）。信托物业价值评估技术报告应当包括下列内容：</w:t>
      </w:r>
    </w:p>
    <w:p w14:paraId="32803C1C" w14:textId="77777777" w:rsidR="00FA0363" w:rsidRDefault="00FA0363" w:rsidP="00FA0363">
      <w:pPr>
        <w:pStyle w:val="13"/>
      </w:pPr>
      <w:r>
        <w:rPr>
          <w:rFonts w:hint="eastAsia"/>
        </w:rPr>
        <w:t>（一）估价对象描述与分析；</w:t>
      </w:r>
    </w:p>
    <w:p w14:paraId="7C8EC9EC" w14:textId="77777777" w:rsidR="00FA0363" w:rsidRDefault="00FA0363" w:rsidP="00FA0363">
      <w:pPr>
        <w:pStyle w:val="13"/>
      </w:pPr>
      <w:r>
        <w:rPr>
          <w:rFonts w:hint="eastAsia"/>
        </w:rPr>
        <w:t>（二）估价对象租赁现状描述与分析；</w:t>
      </w:r>
    </w:p>
    <w:p w14:paraId="0CE55514" w14:textId="77777777" w:rsidR="00FA0363" w:rsidRDefault="00FA0363" w:rsidP="00FA0363">
      <w:pPr>
        <w:pStyle w:val="13"/>
      </w:pPr>
      <w:r>
        <w:rPr>
          <w:rFonts w:hint="eastAsia"/>
        </w:rPr>
        <w:lastRenderedPageBreak/>
        <w:t>（三）市场背景描述与分析；</w:t>
      </w:r>
    </w:p>
    <w:p w14:paraId="54FD9AEF" w14:textId="77777777" w:rsidR="00FA0363" w:rsidRDefault="00FA0363" w:rsidP="00FA0363">
      <w:pPr>
        <w:pStyle w:val="13"/>
      </w:pPr>
      <w:r>
        <w:rPr>
          <w:rFonts w:hint="eastAsia"/>
        </w:rPr>
        <w:t>（四）估价对象最高</w:t>
      </w:r>
      <w:proofErr w:type="gramStart"/>
      <w:r>
        <w:rPr>
          <w:rFonts w:hint="eastAsia"/>
        </w:rPr>
        <w:t>最佳利用</w:t>
      </w:r>
      <w:proofErr w:type="gramEnd"/>
      <w:r>
        <w:rPr>
          <w:rFonts w:hint="eastAsia"/>
        </w:rPr>
        <w:t>分析；</w:t>
      </w:r>
    </w:p>
    <w:p w14:paraId="202DA548" w14:textId="77777777" w:rsidR="00FA0363" w:rsidRDefault="00FA0363" w:rsidP="00FA0363">
      <w:pPr>
        <w:pStyle w:val="13"/>
      </w:pPr>
      <w:r>
        <w:rPr>
          <w:rFonts w:hint="eastAsia"/>
        </w:rPr>
        <w:t>（五）估价方法适用性分析；</w:t>
      </w:r>
    </w:p>
    <w:p w14:paraId="122A888F" w14:textId="77777777" w:rsidR="00FA0363" w:rsidRDefault="00FA0363" w:rsidP="00FA0363">
      <w:pPr>
        <w:pStyle w:val="13"/>
      </w:pPr>
      <w:r>
        <w:rPr>
          <w:rFonts w:hint="eastAsia"/>
        </w:rPr>
        <w:t>（六）估价测算过程；</w:t>
      </w:r>
    </w:p>
    <w:p w14:paraId="04C5A1C8" w14:textId="77777777" w:rsidR="00FA0363" w:rsidRDefault="00FA0363" w:rsidP="00FA0363">
      <w:pPr>
        <w:pStyle w:val="13"/>
      </w:pPr>
      <w:r>
        <w:rPr>
          <w:rFonts w:hint="eastAsia"/>
        </w:rPr>
        <w:t>（七）估价结果确定。</w:t>
      </w:r>
    </w:p>
    <w:p w14:paraId="2CDC223D" w14:textId="03BE8A7F" w:rsidR="00FA0363" w:rsidRDefault="003B2FB1" w:rsidP="00FA0363">
      <w:pPr>
        <w:pStyle w:val="13"/>
        <w:ind w:firstLine="482"/>
      </w:pPr>
      <w:r w:rsidRPr="003B2FB1">
        <w:rPr>
          <w:rFonts w:hint="eastAsia"/>
          <w:b/>
        </w:rPr>
        <w:t xml:space="preserve">第四十四条 </w:t>
      </w:r>
      <w:r w:rsidR="00FA0363">
        <w:t>信托物业评估报告附件应当包括下列内容：</w:t>
      </w:r>
    </w:p>
    <w:p w14:paraId="141A5AED" w14:textId="77777777" w:rsidR="00FA0363" w:rsidRDefault="00FA0363" w:rsidP="00FA0363">
      <w:pPr>
        <w:pStyle w:val="13"/>
      </w:pPr>
      <w:r>
        <w:rPr>
          <w:rFonts w:hint="eastAsia"/>
        </w:rPr>
        <w:t>（一）评估委托书复印件；</w:t>
      </w:r>
    </w:p>
    <w:p w14:paraId="521EE4A1" w14:textId="77777777" w:rsidR="00FA0363" w:rsidRDefault="00FA0363" w:rsidP="00FA0363">
      <w:pPr>
        <w:pStyle w:val="13"/>
      </w:pPr>
      <w:r>
        <w:rPr>
          <w:rFonts w:hint="eastAsia"/>
        </w:rPr>
        <w:t>（二）评估对象位置图；</w:t>
      </w:r>
    </w:p>
    <w:p w14:paraId="0635C69D" w14:textId="77777777" w:rsidR="00FA0363" w:rsidRDefault="00FA0363" w:rsidP="00FA0363">
      <w:pPr>
        <w:pStyle w:val="13"/>
      </w:pPr>
      <w:r>
        <w:rPr>
          <w:rFonts w:hint="eastAsia"/>
        </w:rPr>
        <w:t>（三）评估对象实地查勘情况和相关照片（内部状况、外部状况和周围环境状况照片）；</w:t>
      </w:r>
    </w:p>
    <w:p w14:paraId="58112B82" w14:textId="77777777" w:rsidR="00FA0363" w:rsidRDefault="00FA0363" w:rsidP="00FA0363">
      <w:pPr>
        <w:pStyle w:val="13"/>
      </w:pPr>
      <w:r>
        <w:rPr>
          <w:rFonts w:hint="eastAsia"/>
        </w:rPr>
        <w:t>（四）评估对象权属证明复印件；</w:t>
      </w:r>
    </w:p>
    <w:p w14:paraId="25BEF617" w14:textId="77777777" w:rsidR="00FA0363" w:rsidRDefault="00FA0363" w:rsidP="00FA0363">
      <w:pPr>
        <w:pStyle w:val="13"/>
      </w:pPr>
      <w:r>
        <w:rPr>
          <w:rFonts w:hint="eastAsia"/>
        </w:rPr>
        <w:t>（五）房地产估价机构营业执照复印件；</w:t>
      </w:r>
    </w:p>
    <w:p w14:paraId="29F39E5C" w14:textId="77777777" w:rsidR="00FA0363" w:rsidRDefault="00FA0363" w:rsidP="00FA0363">
      <w:pPr>
        <w:pStyle w:val="13"/>
      </w:pPr>
      <w:r>
        <w:rPr>
          <w:rFonts w:hint="eastAsia"/>
        </w:rPr>
        <w:t>（六）房地产估价机构相关资质证书复印件；</w:t>
      </w:r>
    </w:p>
    <w:p w14:paraId="020EE646" w14:textId="77777777" w:rsidR="00FA0363" w:rsidRDefault="00FA0363" w:rsidP="00FA0363">
      <w:pPr>
        <w:pStyle w:val="13"/>
      </w:pPr>
      <w:r>
        <w:rPr>
          <w:rFonts w:hint="eastAsia"/>
        </w:rPr>
        <w:t>（七）评估人员相关资格或者专业技术职务证书复印件。</w:t>
      </w:r>
    </w:p>
    <w:p w14:paraId="10A4BD69" w14:textId="77777777" w:rsidR="00FA0363" w:rsidRDefault="00FA0363" w:rsidP="00AF7342">
      <w:pPr>
        <w:pStyle w:val="a9"/>
        <w:spacing w:before="62" w:after="62"/>
      </w:pPr>
      <w:r>
        <w:rPr>
          <w:rFonts w:hint="eastAsia"/>
        </w:rPr>
        <w:t>第六章</w:t>
      </w:r>
      <w:r>
        <w:t xml:space="preserve"> 附 则</w:t>
      </w:r>
    </w:p>
    <w:p w14:paraId="1B031E8B" w14:textId="46661C4E" w:rsidR="00FA0363" w:rsidRDefault="003B2FB1" w:rsidP="00FA0363">
      <w:pPr>
        <w:pStyle w:val="13"/>
        <w:ind w:firstLine="482"/>
      </w:pPr>
      <w:r w:rsidRPr="003B2FB1">
        <w:rPr>
          <w:rFonts w:hint="eastAsia"/>
          <w:b/>
          <w:bCs/>
        </w:rPr>
        <w:t xml:space="preserve">第四十五条 </w:t>
      </w:r>
      <w:r w:rsidR="00FA0363">
        <w:t>房地产投资信托基金运营管理期间收购或者出售某项信托物业的价值评估，价值时点应当在交易实际执行日期前 90</w:t>
      </w:r>
      <w:r w:rsidR="003068F8">
        <w:t>日</w:t>
      </w:r>
      <w:r w:rsidR="00FA0363">
        <w:t>内。价值时点超出该期间或者该期间房地产市场状况、估价对象状况发生重大变化的，应当对评估价值进行市场状况、房地产状况调整或者重新进行评估。</w:t>
      </w:r>
    </w:p>
    <w:p w14:paraId="61B78A38" w14:textId="77777777" w:rsidR="00FA0363" w:rsidRDefault="00FA0363" w:rsidP="00FA0363">
      <w:pPr>
        <w:pStyle w:val="13"/>
      </w:pPr>
      <w:r>
        <w:rPr>
          <w:rFonts w:hint="eastAsia"/>
        </w:rPr>
        <w:t>房地产投资信托基金退出市场的价值评估，参照有关房地产处置价值评估要求进行。</w:t>
      </w:r>
    </w:p>
    <w:p w14:paraId="593E6A5F" w14:textId="6D69B2BF" w:rsidR="00FA0363" w:rsidRDefault="003B2FB1" w:rsidP="00FA0363">
      <w:pPr>
        <w:pStyle w:val="13"/>
        <w:ind w:firstLine="482"/>
      </w:pPr>
      <w:r w:rsidRPr="003B2FB1">
        <w:rPr>
          <w:rFonts w:hint="eastAsia"/>
          <w:b/>
          <w:bCs/>
        </w:rPr>
        <w:t xml:space="preserve">第四十六条 </w:t>
      </w:r>
      <w:r w:rsidR="00FA0363">
        <w:t>本指引“至少近 3 年”之处，如果信托物业竣工年限不足 3 年的，则</w:t>
      </w:r>
      <w:r w:rsidR="00FA0363">
        <w:rPr>
          <w:rFonts w:hint="eastAsia"/>
        </w:rPr>
        <w:t>自竣工日期以来。</w:t>
      </w:r>
      <w:r w:rsidR="00FA0363">
        <w:t xml:space="preserve"> </w:t>
      </w:r>
    </w:p>
    <w:p w14:paraId="4A83AB28" w14:textId="77777777" w:rsidR="00FA0363" w:rsidRDefault="00FA0363" w:rsidP="00FA0363">
      <w:pPr>
        <w:pStyle w:val="13"/>
      </w:pPr>
      <w:r>
        <w:rPr>
          <w:rFonts w:hint="eastAsia"/>
        </w:rPr>
        <w:t>本指引“未来</w:t>
      </w:r>
      <w:r>
        <w:t xml:space="preserve"> 10 年以上”之处，如果信托物业剩余寿命不足 10 年的，则为信托物业剩余寿命。</w:t>
      </w:r>
    </w:p>
    <w:p w14:paraId="384A05E8" w14:textId="0EA18FE0" w:rsidR="00FA0363" w:rsidRDefault="003B2FB1" w:rsidP="00FA0363">
      <w:pPr>
        <w:pStyle w:val="13"/>
        <w:ind w:firstLine="482"/>
      </w:pPr>
      <w:r w:rsidRPr="003B2FB1">
        <w:rPr>
          <w:rFonts w:hint="eastAsia"/>
          <w:b/>
          <w:bCs/>
        </w:rPr>
        <w:t xml:space="preserve">第四十七条 </w:t>
      </w:r>
      <w:r w:rsidR="00FA0363">
        <w:t>因委托人未能按照评估委托合同的要求提供信托物业评估所必需的资料或者其他客观原因造成信托物业评估不能按照本指引要求的内容和深度进行的，应当在评估报告中说明达不到要求的内容和深度及其具体原因。</w:t>
      </w:r>
    </w:p>
    <w:p w14:paraId="0AD17019" w14:textId="77777777" w:rsidR="00FA0363" w:rsidRDefault="00FA0363" w:rsidP="00FA0363">
      <w:pPr>
        <w:pStyle w:val="13"/>
        <w:ind w:firstLine="482"/>
      </w:pPr>
      <w:r w:rsidRPr="00C82373">
        <w:rPr>
          <w:rFonts w:hint="eastAsia"/>
          <w:b/>
          <w:bCs/>
        </w:rPr>
        <w:t>第四十八条</w:t>
      </w:r>
      <w:r>
        <w:t xml:space="preserve"> 在信托物业评估活动中，本指引未作规定的事宜，应当按照《房地产估价规范》执行。</w:t>
      </w:r>
    </w:p>
    <w:p w14:paraId="5A728B8F" w14:textId="77777777" w:rsidR="006833EE" w:rsidRDefault="00FA0363" w:rsidP="00FA0363">
      <w:pPr>
        <w:pStyle w:val="13"/>
        <w:ind w:firstLine="482"/>
      </w:pPr>
      <w:r w:rsidRPr="00C82373">
        <w:rPr>
          <w:rFonts w:hint="eastAsia"/>
          <w:b/>
          <w:bCs/>
        </w:rPr>
        <w:t>第四十九条</w:t>
      </w:r>
      <w:r>
        <w:t xml:space="preserve"> 本指引由中国房地产估价师与房地产经纪人学会负责解释。</w:t>
      </w:r>
    </w:p>
    <w:p w14:paraId="1FC62841" w14:textId="2443DC98" w:rsidR="00FA0363" w:rsidRDefault="00FA0363" w:rsidP="00FA0363">
      <w:pPr>
        <w:pStyle w:val="13"/>
        <w:ind w:firstLine="482"/>
      </w:pPr>
      <w:r w:rsidRPr="006833EE">
        <w:rPr>
          <w:b/>
          <w:bCs/>
        </w:rPr>
        <w:t>第五十条</w:t>
      </w:r>
      <w:r>
        <w:t xml:space="preserve"> 本指引自发布之日起施行。</w:t>
      </w:r>
    </w:p>
    <w:p w14:paraId="42A0714E" w14:textId="0310AB13" w:rsidR="00777D43" w:rsidRPr="00777D43" w:rsidRDefault="00777D43" w:rsidP="00777D43">
      <w:pPr>
        <w:pStyle w:val="31"/>
        <w:spacing w:before="156" w:after="62"/>
      </w:pPr>
      <w:bookmarkStart w:id="128" w:name="_Toc81833390"/>
      <w:proofErr w:type="gramStart"/>
      <w:r w:rsidRPr="00777D43">
        <w:rPr>
          <w:rFonts w:hint="eastAsia"/>
        </w:rPr>
        <w:lastRenderedPageBreak/>
        <w:t>涉执房地产</w:t>
      </w:r>
      <w:proofErr w:type="gramEnd"/>
      <w:r w:rsidRPr="00777D43">
        <w:rPr>
          <w:rFonts w:hint="eastAsia"/>
        </w:rPr>
        <w:t>处置司法评估指导意见（试行）</w:t>
      </w:r>
      <w:r>
        <w:rPr>
          <w:rFonts w:hint="eastAsia"/>
        </w:rPr>
        <w:t>（</w:t>
      </w:r>
      <w:r w:rsidRPr="00777D43">
        <w:rPr>
          <w:rFonts w:hint="eastAsia"/>
        </w:rPr>
        <w:t>中房学〔</w:t>
      </w:r>
      <w:r w:rsidRPr="00777D43">
        <w:t>2021〕37号</w:t>
      </w:r>
      <w:r>
        <w:rPr>
          <w:rFonts w:hint="eastAsia"/>
        </w:rPr>
        <w:t>）</w:t>
      </w:r>
      <w:bookmarkEnd w:id="128"/>
    </w:p>
    <w:p w14:paraId="0B882353" w14:textId="77777777" w:rsidR="00777D43" w:rsidRPr="00777D43" w:rsidRDefault="00777D43" w:rsidP="00777D43">
      <w:pPr>
        <w:pStyle w:val="13"/>
        <w:ind w:firstLineChars="0" w:firstLine="0"/>
      </w:pPr>
      <w:r w:rsidRPr="00777D43">
        <w:rPr>
          <w:rFonts w:hint="eastAsia"/>
        </w:rPr>
        <w:t>各地房地产估价行业组织，房地产估价机构，房地产估价师：</w:t>
      </w:r>
    </w:p>
    <w:p w14:paraId="00BFF11C" w14:textId="77777777" w:rsidR="00777D43" w:rsidRPr="00777D43" w:rsidRDefault="00777D43" w:rsidP="00777D43">
      <w:pPr>
        <w:pStyle w:val="13"/>
      </w:pPr>
      <w:r w:rsidRPr="00777D43">
        <w:rPr>
          <w:rFonts w:hint="eastAsia"/>
        </w:rPr>
        <w:t>为了</w:t>
      </w:r>
      <w:proofErr w:type="gramStart"/>
      <w:r w:rsidRPr="00777D43">
        <w:rPr>
          <w:rFonts w:hint="eastAsia"/>
        </w:rPr>
        <w:t>规范涉执房地产</w:t>
      </w:r>
      <w:proofErr w:type="gramEnd"/>
      <w:r w:rsidRPr="00777D43">
        <w:rPr>
          <w:rFonts w:hint="eastAsia"/>
        </w:rPr>
        <w:t>处置司法评估行为，保障评估质量，维护当事人和利害关系人的合法权益，在广泛听取意见的基础上，</w:t>
      </w:r>
      <w:proofErr w:type="gramStart"/>
      <w:r w:rsidRPr="00777D43">
        <w:rPr>
          <w:rFonts w:hint="eastAsia"/>
        </w:rPr>
        <w:t>结合涉执房地产</w:t>
      </w:r>
      <w:proofErr w:type="gramEnd"/>
      <w:r w:rsidRPr="00777D43">
        <w:rPr>
          <w:rFonts w:hint="eastAsia"/>
        </w:rPr>
        <w:t>处置司法评估实践，我会制定了《涉执房地产处置司法评估指导意见（试行）》，现印发给你们，请在相关评估活动中使用。在使用过程中发现的问题和有关建议，请及时反馈我会。</w:t>
      </w:r>
    </w:p>
    <w:p w14:paraId="5E917D5C" w14:textId="77777777" w:rsidR="00777D43" w:rsidRPr="00777D43" w:rsidRDefault="00777D43" w:rsidP="00777D43">
      <w:pPr>
        <w:pStyle w:val="13"/>
      </w:pPr>
      <w:r w:rsidRPr="00777D43">
        <w:rPr>
          <w:rFonts w:hint="eastAsia"/>
        </w:rPr>
        <w:t>附件：</w:t>
      </w:r>
      <w:proofErr w:type="gramStart"/>
      <w:r w:rsidRPr="00777D43">
        <w:rPr>
          <w:rFonts w:hint="eastAsia"/>
        </w:rPr>
        <w:t>涉执房地产</w:t>
      </w:r>
      <w:proofErr w:type="gramEnd"/>
      <w:r w:rsidRPr="00777D43">
        <w:rPr>
          <w:rFonts w:hint="eastAsia"/>
        </w:rPr>
        <w:t>处置司法评估指导意见（试行）</w:t>
      </w:r>
    </w:p>
    <w:p w14:paraId="70C0C20C" w14:textId="317FB4DC" w:rsidR="00777D43" w:rsidRPr="00777D43" w:rsidRDefault="00777D43" w:rsidP="000400F7">
      <w:pPr>
        <w:pStyle w:val="13"/>
        <w:jc w:val="right"/>
      </w:pPr>
      <w:r w:rsidRPr="00777D43">
        <w:rPr>
          <w:rFonts w:hint="eastAsia"/>
        </w:rPr>
        <w:t>中国房地产估价师与房地产经纪人学会</w:t>
      </w:r>
    </w:p>
    <w:p w14:paraId="2DE14943" w14:textId="1FD0BAD1" w:rsidR="00777D43" w:rsidRPr="00777D43" w:rsidRDefault="00777D43" w:rsidP="00777D43">
      <w:pPr>
        <w:pStyle w:val="13"/>
        <w:jc w:val="right"/>
      </w:pPr>
      <w:r w:rsidRPr="00777D43">
        <w:rPr>
          <w:rFonts w:hint="eastAsia"/>
        </w:rPr>
        <w:t>2021年8月18日</w:t>
      </w:r>
    </w:p>
    <w:p w14:paraId="5E99CCEE" w14:textId="070EAA89" w:rsidR="00777D43" w:rsidRDefault="00777D43" w:rsidP="00AF7342">
      <w:pPr>
        <w:pStyle w:val="a9"/>
        <w:spacing w:before="62" w:after="62"/>
      </w:pPr>
      <w:proofErr w:type="gramStart"/>
      <w:r w:rsidRPr="00777D43">
        <w:rPr>
          <w:rFonts w:hint="eastAsia"/>
        </w:rPr>
        <w:t>涉执房地产</w:t>
      </w:r>
      <w:proofErr w:type="gramEnd"/>
      <w:r w:rsidRPr="00777D43">
        <w:rPr>
          <w:rFonts w:hint="eastAsia"/>
        </w:rPr>
        <w:t>处置司法评估指导意见（试行）</w:t>
      </w:r>
    </w:p>
    <w:p w14:paraId="68812CFC" w14:textId="055C87E6" w:rsidR="00777D43" w:rsidRPr="00777D43" w:rsidRDefault="00777D43" w:rsidP="00777D43">
      <w:pPr>
        <w:pStyle w:val="13"/>
        <w:ind w:firstLine="482"/>
      </w:pPr>
      <w:r w:rsidRPr="00777D43">
        <w:rPr>
          <w:rFonts w:hint="eastAsia"/>
          <w:b/>
          <w:bCs/>
        </w:rPr>
        <w:t>第一条</w:t>
      </w:r>
      <w:r w:rsidRPr="00777D43">
        <w:rPr>
          <w:rFonts w:hint="eastAsia"/>
        </w:rPr>
        <w:t xml:space="preserve"> 为了</w:t>
      </w:r>
      <w:proofErr w:type="gramStart"/>
      <w:r w:rsidRPr="00777D43">
        <w:rPr>
          <w:rFonts w:hint="eastAsia"/>
        </w:rPr>
        <w:t>规范涉执房地产</w:t>
      </w:r>
      <w:proofErr w:type="gramEnd"/>
      <w:r w:rsidRPr="00777D43">
        <w:rPr>
          <w:rFonts w:hint="eastAsia"/>
        </w:rPr>
        <w:t>处置司法评估行为，保障评估质量，维护当事人和利害关系人的合法权益，根据《中华人民共和国城市房地产管理法》《中华人民共和国资产评估法》《最高人民法院关于人民法院确定财产处置参考价若干问题的规定》《人民法院委托评估工作规范》等法律法规，以及《房地产估价规范》等标准规范，</w:t>
      </w:r>
      <w:proofErr w:type="gramStart"/>
      <w:r w:rsidRPr="00777D43">
        <w:rPr>
          <w:rFonts w:hint="eastAsia"/>
        </w:rPr>
        <w:t>结合涉执房地产</w:t>
      </w:r>
      <w:proofErr w:type="gramEnd"/>
      <w:r w:rsidRPr="00777D43">
        <w:rPr>
          <w:rFonts w:hint="eastAsia"/>
        </w:rPr>
        <w:t>处置司法评估实际，制定本意见。</w:t>
      </w:r>
    </w:p>
    <w:p w14:paraId="3EA7ACA5" w14:textId="64662C03" w:rsidR="00777D43" w:rsidRPr="00777D43" w:rsidRDefault="00777D43" w:rsidP="00777D43">
      <w:pPr>
        <w:pStyle w:val="13"/>
        <w:ind w:firstLine="482"/>
      </w:pPr>
      <w:r w:rsidRPr="00777D43">
        <w:rPr>
          <w:rFonts w:hint="eastAsia"/>
          <w:b/>
          <w:bCs/>
        </w:rPr>
        <w:t>第二条</w:t>
      </w:r>
      <w:r w:rsidRPr="00777D43">
        <w:rPr>
          <w:rFonts w:hint="eastAsia"/>
        </w:rPr>
        <w:t xml:space="preserve"> 本意见适用于为人民法院确定财产处置参考</w:t>
      </w:r>
      <w:proofErr w:type="gramStart"/>
      <w:r w:rsidRPr="00777D43">
        <w:rPr>
          <w:rFonts w:hint="eastAsia"/>
        </w:rPr>
        <w:t>价服务</w:t>
      </w:r>
      <w:proofErr w:type="gramEnd"/>
      <w:r w:rsidRPr="00777D43">
        <w:rPr>
          <w:rFonts w:hint="eastAsia"/>
        </w:rPr>
        <w:t>的房地产估价活动。</w:t>
      </w:r>
    </w:p>
    <w:p w14:paraId="4196FB66" w14:textId="3EB35392" w:rsidR="00777D43" w:rsidRPr="00777D43" w:rsidRDefault="00777D43" w:rsidP="00777D43">
      <w:pPr>
        <w:pStyle w:val="13"/>
        <w:ind w:firstLine="482"/>
      </w:pPr>
      <w:r w:rsidRPr="00777D43">
        <w:rPr>
          <w:rFonts w:hint="eastAsia"/>
          <w:b/>
          <w:bCs/>
        </w:rPr>
        <w:t>第三条</w:t>
      </w:r>
      <w:r w:rsidRPr="00777D43">
        <w:rPr>
          <w:rFonts w:hint="eastAsia"/>
        </w:rPr>
        <w:t xml:space="preserve"> 房地产估价机构及其注册房地产估价师</w:t>
      </w:r>
      <w:proofErr w:type="gramStart"/>
      <w:r w:rsidRPr="00777D43">
        <w:rPr>
          <w:rFonts w:hint="eastAsia"/>
        </w:rPr>
        <w:t>开展涉执房地产</w:t>
      </w:r>
      <w:proofErr w:type="gramEnd"/>
      <w:r w:rsidRPr="00777D43">
        <w:rPr>
          <w:rFonts w:hint="eastAsia"/>
        </w:rPr>
        <w:t>处置司法评估业务，应当遵守法律法规和房地产估价标准规范，遵循独立、客观、公正的原则。</w:t>
      </w:r>
    </w:p>
    <w:p w14:paraId="58376081" w14:textId="77777777" w:rsidR="00777D43" w:rsidRPr="00777D43" w:rsidRDefault="00777D43" w:rsidP="00777D43">
      <w:pPr>
        <w:pStyle w:val="13"/>
      </w:pPr>
      <w:r w:rsidRPr="00777D43">
        <w:rPr>
          <w:rFonts w:hint="eastAsia"/>
        </w:rPr>
        <w:t>房地产估价机构及其注册房地产估价师与委托人或者其他相关当事人及评估对象有利害关系的，应当回避。</w:t>
      </w:r>
    </w:p>
    <w:p w14:paraId="5F7E16A5" w14:textId="0099D1C6" w:rsidR="00777D43" w:rsidRPr="00777D43" w:rsidRDefault="00777D43" w:rsidP="00777D43">
      <w:pPr>
        <w:pStyle w:val="13"/>
        <w:ind w:firstLine="482"/>
      </w:pPr>
      <w:r w:rsidRPr="00777D43">
        <w:rPr>
          <w:rFonts w:hint="eastAsia"/>
          <w:b/>
          <w:bCs/>
        </w:rPr>
        <w:t>第四条</w:t>
      </w:r>
      <w:r w:rsidRPr="00777D43">
        <w:rPr>
          <w:rFonts w:hint="eastAsia"/>
        </w:rPr>
        <w:t xml:space="preserve"> 房地产估价机构应当按照《人民法院委托评估工作规范》的规定，及时接收人民法院的评估委托书，并查看评估委托书的下列内容是否完整：</w:t>
      </w:r>
    </w:p>
    <w:p w14:paraId="0337935C" w14:textId="77777777" w:rsidR="00777D43" w:rsidRPr="00777D43" w:rsidRDefault="00777D43" w:rsidP="00777D43">
      <w:pPr>
        <w:pStyle w:val="13"/>
      </w:pPr>
      <w:r w:rsidRPr="00777D43">
        <w:rPr>
          <w:rFonts w:hint="eastAsia"/>
        </w:rPr>
        <w:t>（一）人民法院名称、联系人及电话；</w:t>
      </w:r>
    </w:p>
    <w:p w14:paraId="061CD49E" w14:textId="77777777" w:rsidR="00777D43" w:rsidRPr="00777D43" w:rsidRDefault="00777D43" w:rsidP="00777D43">
      <w:pPr>
        <w:pStyle w:val="13"/>
      </w:pPr>
      <w:r w:rsidRPr="00777D43">
        <w:rPr>
          <w:rFonts w:hint="eastAsia"/>
        </w:rPr>
        <w:t>（二）房地产估价机构名称；</w:t>
      </w:r>
    </w:p>
    <w:p w14:paraId="1B155A9D" w14:textId="77777777" w:rsidR="00777D43" w:rsidRPr="00777D43" w:rsidRDefault="00777D43" w:rsidP="00777D43">
      <w:pPr>
        <w:pStyle w:val="13"/>
      </w:pPr>
      <w:r w:rsidRPr="00777D43">
        <w:rPr>
          <w:rFonts w:hint="eastAsia"/>
        </w:rPr>
        <w:t>（三）评估目的要求；</w:t>
      </w:r>
    </w:p>
    <w:p w14:paraId="1D41FFC3" w14:textId="77777777" w:rsidR="00777D43" w:rsidRPr="00777D43" w:rsidRDefault="00777D43" w:rsidP="00777D43">
      <w:pPr>
        <w:pStyle w:val="13"/>
      </w:pPr>
      <w:r w:rsidRPr="00777D43">
        <w:rPr>
          <w:rFonts w:hint="eastAsia"/>
        </w:rPr>
        <w:t>（四）评估对象基本情况，包括名称、坐落、四至、面积、用途、权属等，并附财产清单等；</w:t>
      </w:r>
    </w:p>
    <w:p w14:paraId="07FD920E" w14:textId="77777777" w:rsidR="00777D43" w:rsidRPr="00777D43" w:rsidRDefault="00777D43" w:rsidP="00777D43">
      <w:pPr>
        <w:pStyle w:val="13"/>
      </w:pPr>
      <w:r w:rsidRPr="00777D43">
        <w:rPr>
          <w:rFonts w:hint="eastAsia"/>
        </w:rPr>
        <w:t>（五）评估完成期限；</w:t>
      </w:r>
    </w:p>
    <w:p w14:paraId="25D8D361" w14:textId="77777777" w:rsidR="00777D43" w:rsidRPr="00777D43" w:rsidRDefault="00777D43" w:rsidP="00777D43">
      <w:pPr>
        <w:pStyle w:val="13"/>
      </w:pPr>
      <w:r w:rsidRPr="00777D43">
        <w:rPr>
          <w:rFonts w:hint="eastAsia"/>
        </w:rPr>
        <w:t>（六）评估材料的特别说明，包括对委托评估必须提供的材料而未能调取到或者实际不存在的，以及无法扫描而需要邮寄或者直接交付等情形的说明；</w:t>
      </w:r>
    </w:p>
    <w:p w14:paraId="0A31F97C" w14:textId="77777777" w:rsidR="00777D43" w:rsidRPr="00777D43" w:rsidRDefault="00777D43" w:rsidP="00777D43">
      <w:pPr>
        <w:pStyle w:val="13"/>
      </w:pPr>
      <w:r w:rsidRPr="00777D43">
        <w:rPr>
          <w:rFonts w:hint="eastAsia"/>
        </w:rPr>
        <w:t>（七）其他需要明确的内容。</w:t>
      </w:r>
    </w:p>
    <w:p w14:paraId="3A3CBF95" w14:textId="28114238" w:rsidR="00777D43" w:rsidRPr="00777D43" w:rsidRDefault="00777D43" w:rsidP="00777D43">
      <w:pPr>
        <w:pStyle w:val="13"/>
        <w:ind w:firstLine="482"/>
      </w:pPr>
      <w:r w:rsidRPr="00777D43">
        <w:rPr>
          <w:rFonts w:hint="eastAsia"/>
          <w:b/>
          <w:bCs/>
        </w:rPr>
        <w:t>第五条</w:t>
      </w:r>
      <w:r w:rsidRPr="00777D43">
        <w:rPr>
          <w:rFonts w:hint="eastAsia"/>
        </w:rPr>
        <w:t xml:space="preserve"> 房地产估价机构接收评估委托书后，认为有下列情形之一的，应当自接收评估委托书之日起三个工作日内以书面形式向人民法院提出不承接委托评估的申请：</w:t>
      </w:r>
    </w:p>
    <w:p w14:paraId="478E9BCC" w14:textId="77777777" w:rsidR="00777D43" w:rsidRPr="00777D43" w:rsidRDefault="00777D43" w:rsidP="00777D43">
      <w:pPr>
        <w:pStyle w:val="13"/>
      </w:pPr>
      <w:r w:rsidRPr="00777D43">
        <w:rPr>
          <w:rFonts w:hint="eastAsia"/>
        </w:rPr>
        <w:lastRenderedPageBreak/>
        <w:t>（一）本机构与当事人或者其他相关当事人及评估对象有利害关系的；</w:t>
      </w:r>
    </w:p>
    <w:p w14:paraId="44FBA90A" w14:textId="77777777" w:rsidR="00777D43" w:rsidRPr="00777D43" w:rsidRDefault="00777D43" w:rsidP="00777D43">
      <w:pPr>
        <w:pStyle w:val="13"/>
      </w:pPr>
      <w:r w:rsidRPr="00777D43">
        <w:rPr>
          <w:rFonts w:hint="eastAsia"/>
        </w:rPr>
        <w:t>（二）本机构已办理注销登记或者被市场监管部门吊销营业执照的；</w:t>
      </w:r>
    </w:p>
    <w:p w14:paraId="0590CCDD" w14:textId="77777777" w:rsidR="00777D43" w:rsidRPr="00777D43" w:rsidRDefault="00777D43" w:rsidP="00777D43">
      <w:pPr>
        <w:pStyle w:val="13"/>
      </w:pPr>
      <w:r w:rsidRPr="00777D43">
        <w:rPr>
          <w:rFonts w:hint="eastAsia"/>
        </w:rPr>
        <w:t>（三）本机构依法不能进行评估的其他情形。</w:t>
      </w:r>
    </w:p>
    <w:p w14:paraId="1F0FE0CD" w14:textId="77777777" w:rsidR="00777D43" w:rsidRPr="00777D43" w:rsidRDefault="00777D43" w:rsidP="00777D43">
      <w:pPr>
        <w:pStyle w:val="13"/>
      </w:pPr>
      <w:r w:rsidRPr="00777D43">
        <w:rPr>
          <w:rFonts w:hint="eastAsia"/>
        </w:rPr>
        <w:t>房地产估价机构未在第一款规定期限内向人民法院提出不承接委托评估书面申请的，或者人民法院书面通知不承接委托评估的理由不成立的，视为接受委托。</w:t>
      </w:r>
    </w:p>
    <w:p w14:paraId="3F2FD9E3" w14:textId="3926150B" w:rsidR="00777D43" w:rsidRPr="00777D43" w:rsidRDefault="00777D43" w:rsidP="00777D43">
      <w:pPr>
        <w:pStyle w:val="13"/>
        <w:ind w:firstLine="482"/>
      </w:pPr>
      <w:r w:rsidRPr="00777D43">
        <w:rPr>
          <w:rFonts w:hint="eastAsia"/>
          <w:b/>
          <w:bCs/>
        </w:rPr>
        <w:t>第六条</w:t>
      </w:r>
      <w:r w:rsidRPr="00777D43">
        <w:rPr>
          <w:rFonts w:hint="eastAsia"/>
        </w:rPr>
        <w:t xml:space="preserve"> 房地产估价机构接受委托或者人民法院书面通知不承接委托评估的理由不成立的，应当及时接收或者签收人民法院发送的委托评估材料，并根据《人民法院委托评估工作规范》附件中列明的房地产评估需要提供的材料清单，对委托评估材料进行清点。</w:t>
      </w:r>
    </w:p>
    <w:p w14:paraId="29C6A2E5" w14:textId="05021CE8" w:rsidR="00777D43" w:rsidRPr="00777D43" w:rsidRDefault="00777D43" w:rsidP="00777D43">
      <w:pPr>
        <w:pStyle w:val="13"/>
        <w:ind w:firstLine="482"/>
      </w:pPr>
      <w:r w:rsidRPr="00777D43">
        <w:rPr>
          <w:rFonts w:hint="eastAsia"/>
          <w:b/>
          <w:bCs/>
        </w:rPr>
        <w:t>第七条</w:t>
      </w:r>
      <w:r w:rsidRPr="00777D43">
        <w:rPr>
          <w:rFonts w:hint="eastAsia"/>
        </w:rPr>
        <w:t xml:space="preserve"> 委托评估材料不全而无法进行评估或者对评估结果有较大影响的，房地产估价机构应当及时以书面形式向人民法院提出补充材料申请，由人民法院通知当事人补充。</w:t>
      </w:r>
    </w:p>
    <w:p w14:paraId="44640555" w14:textId="77777777" w:rsidR="00777D43" w:rsidRPr="00777D43" w:rsidRDefault="00777D43" w:rsidP="00777D43">
      <w:pPr>
        <w:pStyle w:val="13"/>
      </w:pPr>
      <w:r w:rsidRPr="00777D43">
        <w:rPr>
          <w:rFonts w:hint="eastAsia"/>
        </w:rPr>
        <w:t>评估所必需的材料无法补充，或者补充后仍然难以满足评估需要，人民法院书面通知根据现有材料进行评估的，房地产估价机构可以根据现有材料进行评估，但应当在评估报告“估价假设和限制条件”的“依据不足假设”中说明因缺少评估所必需的材料可能影响评估结果的风险，并将向人民法院提出的补充材料书面申请及人民法院出具根据现有材料进行评估的书面通知作为评估报告的附件。</w:t>
      </w:r>
    </w:p>
    <w:p w14:paraId="4C2D550F" w14:textId="3D1B9A3E" w:rsidR="00777D43" w:rsidRPr="00777D43" w:rsidRDefault="00777D43" w:rsidP="00777D43">
      <w:pPr>
        <w:pStyle w:val="13"/>
        <w:ind w:firstLine="482"/>
      </w:pPr>
      <w:r w:rsidRPr="00777D43">
        <w:rPr>
          <w:rFonts w:hint="eastAsia"/>
          <w:b/>
          <w:bCs/>
        </w:rPr>
        <w:t>第八条</w:t>
      </w:r>
      <w:r w:rsidRPr="00777D43">
        <w:rPr>
          <w:rFonts w:hint="eastAsia"/>
        </w:rPr>
        <w:t xml:space="preserve"> </w:t>
      </w:r>
      <w:proofErr w:type="gramStart"/>
      <w:r w:rsidRPr="00777D43">
        <w:rPr>
          <w:rFonts w:hint="eastAsia"/>
        </w:rPr>
        <w:t>涉执房地产</w:t>
      </w:r>
      <w:proofErr w:type="gramEnd"/>
      <w:r w:rsidRPr="00777D43">
        <w:rPr>
          <w:rFonts w:hint="eastAsia"/>
        </w:rPr>
        <w:t>处置司法评估的评估目的，宜表述为“为人民法院确定财产处置参考价提供参考依据”。</w:t>
      </w:r>
    </w:p>
    <w:p w14:paraId="02250FB9" w14:textId="66F90B92" w:rsidR="00777D43" w:rsidRPr="00777D43" w:rsidRDefault="00777D43" w:rsidP="00777D43">
      <w:pPr>
        <w:pStyle w:val="13"/>
        <w:ind w:firstLine="482"/>
      </w:pPr>
      <w:r w:rsidRPr="00777D43">
        <w:rPr>
          <w:rFonts w:hint="eastAsia"/>
          <w:b/>
          <w:bCs/>
        </w:rPr>
        <w:t>第九条</w:t>
      </w:r>
      <w:r w:rsidRPr="00777D43">
        <w:rPr>
          <w:rFonts w:hint="eastAsia"/>
        </w:rPr>
        <w:t xml:space="preserve"> 房地产估价机构应当根据评估委托书和委托评估材料等情况，明确界定评估对象的财产范围，不得超出委托评估财产范围或者遗漏财产。评估对象的财产范围不明确的，应当提请人民法院书面予以明确。</w:t>
      </w:r>
    </w:p>
    <w:p w14:paraId="62D8D591" w14:textId="77777777" w:rsidR="00777D43" w:rsidRPr="00777D43" w:rsidRDefault="00777D43" w:rsidP="00777D43">
      <w:pPr>
        <w:pStyle w:val="13"/>
      </w:pPr>
      <w:r w:rsidRPr="00777D43">
        <w:rPr>
          <w:rFonts w:hint="eastAsia"/>
        </w:rPr>
        <w:t>评估对象的财产范围包含家具家电、机器设备、债权债务、特许经营权等非房地产（不动产）类财产的，或者不包含属于房地产（不动产）的房屋配套设施设备、装饰装修物、相关场地等财产的，应当在评估报告中具体列举说明。</w:t>
      </w:r>
    </w:p>
    <w:p w14:paraId="3385FFB5" w14:textId="454AB4B4" w:rsidR="00777D43" w:rsidRPr="00777D43" w:rsidRDefault="00777D43" w:rsidP="00777D43">
      <w:pPr>
        <w:pStyle w:val="13"/>
        <w:ind w:firstLine="482"/>
      </w:pPr>
      <w:r w:rsidRPr="00777D43">
        <w:rPr>
          <w:rFonts w:hint="eastAsia"/>
          <w:b/>
          <w:bCs/>
        </w:rPr>
        <w:t>第十条</w:t>
      </w:r>
      <w:r w:rsidRPr="00777D43">
        <w:rPr>
          <w:rFonts w:hint="eastAsia"/>
        </w:rPr>
        <w:t xml:space="preserve"> 人民法院明确价值时点的，价值时点一般以人民法院明确的时点为准。人民法院明确的价值时点与实地查勘完成之日不一致的，应当在评估报告“估价假设和限制条件”的“一般假设”中假定价值时点之日的评估对象状况与实地查勘完成之日的状况相同。</w:t>
      </w:r>
    </w:p>
    <w:p w14:paraId="36AFA00A" w14:textId="77777777" w:rsidR="00777D43" w:rsidRPr="00777D43" w:rsidRDefault="00777D43" w:rsidP="00777D43">
      <w:pPr>
        <w:pStyle w:val="13"/>
      </w:pPr>
      <w:r w:rsidRPr="00777D43">
        <w:rPr>
          <w:rFonts w:hint="eastAsia"/>
        </w:rPr>
        <w:t>人民法院未明确价值时点的，一般以评估对象实地查勘完成之日作为价值时点。</w:t>
      </w:r>
    </w:p>
    <w:p w14:paraId="0A9B7EF2" w14:textId="5E033355" w:rsidR="00777D43" w:rsidRPr="00777D43" w:rsidRDefault="00777D43" w:rsidP="00777D43">
      <w:pPr>
        <w:pStyle w:val="13"/>
        <w:ind w:firstLine="482"/>
      </w:pPr>
      <w:r w:rsidRPr="00777D43">
        <w:rPr>
          <w:rFonts w:hint="eastAsia"/>
          <w:b/>
          <w:bCs/>
        </w:rPr>
        <w:t>第十一条</w:t>
      </w:r>
      <w:r w:rsidRPr="00777D43">
        <w:rPr>
          <w:rFonts w:hint="eastAsia"/>
        </w:rPr>
        <w:t xml:space="preserve"> </w:t>
      </w:r>
      <w:proofErr w:type="gramStart"/>
      <w:r w:rsidRPr="00777D43">
        <w:rPr>
          <w:rFonts w:hint="eastAsia"/>
        </w:rPr>
        <w:t>涉执房地产</w:t>
      </w:r>
      <w:proofErr w:type="gramEnd"/>
      <w:r w:rsidRPr="00777D43">
        <w:rPr>
          <w:rFonts w:hint="eastAsia"/>
        </w:rPr>
        <w:t>处置司法评估的价值类型宜为市场价格，难以评估市场价格的，一般评估市场价值。</w:t>
      </w:r>
    </w:p>
    <w:p w14:paraId="0A61BF31" w14:textId="77777777" w:rsidR="00777D43" w:rsidRPr="00777D43" w:rsidRDefault="00777D43" w:rsidP="00777D43">
      <w:pPr>
        <w:pStyle w:val="13"/>
      </w:pPr>
      <w:r w:rsidRPr="00777D43">
        <w:rPr>
          <w:rFonts w:hint="eastAsia"/>
        </w:rPr>
        <w:t>根据评估委托书等人民法院的书面要求，评估符合评估目的要求的其他特定价格或者价值的，应当在评估报告中明确其定义或者内涵。</w:t>
      </w:r>
    </w:p>
    <w:p w14:paraId="62F073E5" w14:textId="3BD52AD5" w:rsidR="00777D43" w:rsidRPr="00777D43" w:rsidRDefault="00777D43" w:rsidP="00777D43">
      <w:pPr>
        <w:pStyle w:val="13"/>
        <w:ind w:firstLine="482"/>
      </w:pPr>
      <w:r w:rsidRPr="00777D43">
        <w:rPr>
          <w:rFonts w:hint="eastAsia"/>
          <w:b/>
          <w:bCs/>
        </w:rPr>
        <w:lastRenderedPageBreak/>
        <w:t>第十二条</w:t>
      </w:r>
      <w:r w:rsidRPr="00777D43">
        <w:rPr>
          <w:rFonts w:hint="eastAsia"/>
        </w:rPr>
        <w:t xml:space="preserve"> </w:t>
      </w:r>
      <w:proofErr w:type="gramStart"/>
      <w:r w:rsidRPr="00777D43">
        <w:rPr>
          <w:rFonts w:hint="eastAsia"/>
        </w:rPr>
        <w:t>涉执房地产</w:t>
      </w:r>
      <w:proofErr w:type="gramEnd"/>
      <w:r w:rsidRPr="00777D43">
        <w:rPr>
          <w:rFonts w:hint="eastAsia"/>
        </w:rPr>
        <w:t>处置司法评估应当关注评估对象交易税费负担方式及其对评估对象市场价格的影响。</w:t>
      </w:r>
    </w:p>
    <w:p w14:paraId="3D9B01C4" w14:textId="77777777" w:rsidR="00777D43" w:rsidRPr="00777D43" w:rsidRDefault="00777D43" w:rsidP="00777D43">
      <w:pPr>
        <w:pStyle w:val="13"/>
      </w:pPr>
      <w:r w:rsidRPr="00777D43">
        <w:rPr>
          <w:rFonts w:hint="eastAsia"/>
        </w:rPr>
        <w:t>人民法院书面明确评估对象交易税费负担方式的，根据人民法院书面意见进行评估，并在评估报告中说明具体的交易税费负担方式。人民法院未书面明确评估对象交易税费负担方式的，应当恰当选择下列情形之一，明确评估对象市场价格对应的交易税费负担或者处理方式，并在评估报告中予以说明：</w:t>
      </w:r>
    </w:p>
    <w:p w14:paraId="7E9F936B" w14:textId="77777777" w:rsidR="00777D43" w:rsidRPr="00777D43" w:rsidRDefault="00777D43" w:rsidP="00777D43">
      <w:pPr>
        <w:pStyle w:val="13"/>
      </w:pPr>
      <w:r w:rsidRPr="00777D43">
        <w:rPr>
          <w:rFonts w:hint="eastAsia"/>
        </w:rPr>
        <w:t>（一）按照法律法规规定，转让人和买受人各自负担；</w:t>
      </w:r>
    </w:p>
    <w:p w14:paraId="4AE75A32" w14:textId="77777777" w:rsidR="00777D43" w:rsidRPr="00777D43" w:rsidRDefault="00777D43" w:rsidP="00777D43">
      <w:pPr>
        <w:pStyle w:val="13"/>
      </w:pPr>
      <w:r w:rsidRPr="00777D43">
        <w:rPr>
          <w:rFonts w:hint="eastAsia"/>
        </w:rPr>
        <w:t>（二）全部由买受人负担；</w:t>
      </w:r>
    </w:p>
    <w:p w14:paraId="287C006A" w14:textId="77777777" w:rsidR="00777D43" w:rsidRPr="00777D43" w:rsidRDefault="00777D43" w:rsidP="00777D43">
      <w:pPr>
        <w:pStyle w:val="13"/>
      </w:pPr>
      <w:r w:rsidRPr="00777D43">
        <w:rPr>
          <w:rFonts w:hint="eastAsia"/>
        </w:rPr>
        <w:t>（三）全部从财产处置价款中扣除；</w:t>
      </w:r>
    </w:p>
    <w:p w14:paraId="3828AA97" w14:textId="77777777" w:rsidR="00777D43" w:rsidRPr="00777D43" w:rsidRDefault="00777D43" w:rsidP="00777D43">
      <w:pPr>
        <w:pStyle w:val="13"/>
      </w:pPr>
      <w:r w:rsidRPr="00777D43">
        <w:rPr>
          <w:rFonts w:hint="eastAsia"/>
        </w:rPr>
        <w:t>（四）按照以往</w:t>
      </w:r>
      <w:proofErr w:type="gramStart"/>
      <w:r w:rsidRPr="00777D43">
        <w:rPr>
          <w:rFonts w:hint="eastAsia"/>
        </w:rPr>
        <w:t>同类涉执房地产</w:t>
      </w:r>
      <w:proofErr w:type="gramEnd"/>
      <w:r w:rsidRPr="00777D43">
        <w:rPr>
          <w:rFonts w:hint="eastAsia"/>
        </w:rPr>
        <w:t>处置惯例负担；</w:t>
      </w:r>
    </w:p>
    <w:p w14:paraId="0B2532A8" w14:textId="77777777" w:rsidR="00777D43" w:rsidRPr="00777D43" w:rsidRDefault="00777D43" w:rsidP="00777D43">
      <w:pPr>
        <w:pStyle w:val="13"/>
      </w:pPr>
      <w:r w:rsidRPr="00777D43">
        <w:rPr>
          <w:rFonts w:hint="eastAsia"/>
        </w:rPr>
        <w:t>（五）按照当地同类财产交易习惯负担；</w:t>
      </w:r>
    </w:p>
    <w:p w14:paraId="2D151BAB" w14:textId="77777777" w:rsidR="00777D43" w:rsidRPr="00777D43" w:rsidRDefault="00777D43" w:rsidP="00777D43">
      <w:pPr>
        <w:pStyle w:val="13"/>
      </w:pPr>
      <w:r w:rsidRPr="00777D43">
        <w:rPr>
          <w:rFonts w:hint="eastAsia"/>
        </w:rPr>
        <w:t>（六）其他交易税费负担方式。</w:t>
      </w:r>
    </w:p>
    <w:p w14:paraId="1DD33149" w14:textId="77777777" w:rsidR="00777D43" w:rsidRPr="00777D43" w:rsidRDefault="00777D43" w:rsidP="00777D43">
      <w:pPr>
        <w:pStyle w:val="13"/>
      </w:pPr>
      <w:r w:rsidRPr="00777D43">
        <w:rPr>
          <w:rFonts w:hint="eastAsia"/>
        </w:rPr>
        <w:t>前款第（四）（五）（六）种负担方式，还应当在评估报告中说明具体负担情况。</w:t>
      </w:r>
    </w:p>
    <w:p w14:paraId="4A167FE8" w14:textId="7BD8F6E1" w:rsidR="00777D43" w:rsidRPr="00777D43" w:rsidRDefault="00777D43" w:rsidP="00777D43">
      <w:pPr>
        <w:pStyle w:val="13"/>
        <w:ind w:firstLine="482"/>
      </w:pPr>
      <w:r w:rsidRPr="00777D43">
        <w:rPr>
          <w:rFonts w:hint="eastAsia"/>
          <w:b/>
          <w:bCs/>
        </w:rPr>
        <w:t>第十三条</w:t>
      </w:r>
      <w:r w:rsidRPr="00777D43">
        <w:rPr>
          <w:rFonts w:hint="eastAsia"/>
        </w:rPr>
        <w:t xml:space="preserve"> </w:t>
      </w:r>
      <w:proofErr w:type="gramStart"/>
      <w:r w:rsidRPr="00777D43">
        <w:rPr>
          <w:rFonts w:hint="eastAsia"/>
        </w:rPr>
        <w:t>涉执房地产</w:t>
      </w:r>
      <w:proofErr w:type="gramEnd"/>
      <w:r w:rsidRPr="00777D43">
        <w:rPr>
          <w:rFonts w:hint="eastAsia"/>
        </w:rPr>
        <w:t>处置司法评估结果不应当考虑评估对象被查封以及原有的担保物权和其他优先受偿权的影响，并在评估报告“估价假设和限制条件”的“背离事实假设”中予以说明。</w:t>
      </w:r>
    </w:p>
    <w:p w14:paraId="5C35BE92" w14:textId="1339D37E" w:rsidR="00777D43" w:rsidRPr="00777D43" w:rsidRDefault="00777D43" w:rsidP="00777D43">
      <w:pPr>
        <w:pStyle w:val="13"/>
        <w:ind w:firstLine="482"/>
      </w:pPr>
      <w:r w:rsidRPr="00777D43">
        <w:rPr>
          <w:rFonts w:hint="eastAsia"/>
          <w:b/>
          <w:bCs/>
        </w:rPr>
        <w:t>第十四条</w:t>
      </w:r>
      <w:r>
        <w:rPr>
          <w:b/>
          <w:bCs/>
        </w:rPr>
        <w:t xml:space="preserve"> </w:t>
      </w:r>
      <w:proofErr w:type="gramStart"/>
      <w:r w:rsidRPr="00777D43">
        <w:rPr>
          <w:rFonts w:hint="eastAsia"/>
        </w:rPr>
        <w:t>涉执房地产</w:t>
      </w:r>
      <w:proofErr w:type="gramEnd"/>
      <w:r w:rsidRPr="00777D43">
        <w:rPr>
          <w:rFonts w:hint="eastAsia"/>
        </w:rPr>
        <w:t>处置司法评估应当关注评估对象是否存在租赁权、用益物权及占有使用情况。人民法院未明确存在租赁权、用益物权及占有使用情况，房地产估价机构经过尽职调查后也未发现、掌握相关情况的，可以假定评估对象不存在租赁权、用益物权及占有使用情况，并在评估报告“估价假设和限制条件”的“一般假设”中予以说明。</w:t>
      </w:r>
    </w:p>
    <w:p w14:paraId="14DCD855" w14:textId="77777777" w:rsidR="00777D43" w:rsidRPr="00777D43" w:rsidRDefault="00777D43" w:rsidP="00777D43">
      <w:pPr>
        <w:pStyle w:val="13"/>
      </w:pPr>
      <w:r w:rsidRPr="00777D43">
        <w:rPr>
          <w:rFonts w:hint="eastAsia"/>
        </w:rPr>
        <w:t>评估对象存在租赁权、用益物权及占用使用情况的，应当结合委托评估材料和实地查勘等情况，对人民法院查明的租赁权、用益物权及占有使用情况进行核查验证。人民法院书面说明依法将租赁权、用益物权及占有使用情况除去后拍卖或者变卖的，应当不考虑原有的租赁权、用益物权及占有使用情况对评估结果的影响，并在评估报告“估价假设和限制条件”的“背离事实假设”中予以说明；人民法院未书面说明除去原有的租赁权、用益物权及占有使用情况后拍卖或者变卖的，评估结果应当考虑原有的租赁权、用益物权及占有使用情况的影响，并在评估报告中予以说明。</w:t>
      </w:r>
    </w:p>
    <w:p w14:paraId="776400EE" w14:textId="2C7354FA" w:rsidR="00777D43" w:rsidRPr="00777D43" w:rsidRDefault="00777D43" w:rsidP="00777D43">
      <w:pPr>
        <w:pStyle w:val="13"/>
        <w:ind w:firstLine="482"/>
      </w:pPr>
      <w:r w:rsidRPr="00777D43">
        <w:rPr>
          <w:rFonts w:hint="eastAsia"/>
          <w:b/>
          <w:bCs/>
        </w:rPr>
        <w:t>第十五条</w:t>
      </w:r>
      <w:r w:rsidRPr="00777D43">
        <w:rPr>
          <w:rFonts w:hint="eastAsia"/>
        </w:rPr>
        <w:t xml:space="preserve"> </w:t>
      </w:r>
      <w:proofErr w:type="gramStart"/>
      <w:r w:rsidRPr="00777D43">
        <w:rPr>
          <w:rFonts w:hint="eastAsia"/>
        </w:rPr>
        <w:t>涉执房地产</w:t>
      </w:r>
      <w:proofErr w:type="gramEnd"/>
      <w:r w:rsidRPr="00777D43">
        <w:rPr>
          <w:rFonts w:hint="eastAsia"/>
        </w:rPr>
        <w:t>处置司法评估应当关注评估对象是否存在欠缴税金及相关费用，包括税收、物业费、供暖费、水电气费等及其滞纳金。人民法院未明确存在欠缴税金及相关费用的，可以假定评估对象不存在欠缴税金及相关费用，并在评估报告“估价假设和限制条件”的“一般假设”中予以说明。</w:t>
      </w:r>
    </w:p>
    <w:p w14:paraId="52849250" w14:textId="77777777" w:rsidR="00777D43" w:rsidRPr="00777D43" w:rsidRDefault="00777D43" w:rsidP="00777D43">
      <w:pPr>
        <w:pStyle w:val="13"/>
      </w:pPr>
      <w:r w:rsidRPr="00777D43">
        <w:rPr>
          <w:rFonts w:hint="eastAsia"/>
        </w:rPr>
        <w:t>人民法院查明评估对象有欠缴税金及相关费用，且书面明确该欠缴税金及相关费用从财产处置价款中扣除的，评估结果无需考虑欠缴税金及相关费用的影响；人民</w:t>
      </w:r>
      <w:r w:rsidRPr="00777D43">
        <w:rPr>
          <w:rFonts w:hint="eastAsia"/>
        </w:rPr>
        <w:lastRenderedPageBreak/>
        <w:t>法院书面明确该欠缴税金及相关费用不从财产处置价款中扣除、由买受人额外负担的，评估结果应当扣除欠缴税金及相关费用，并在评估报告中予以说明。</w:t>
      </w:r>
    </w:p>
    <w:p w14:paraId="42EDD79C" w14:textId="5F8FCA3E" w:rsidR="00777D43" w:rsidRPr="00777D43" w:rsidRDefault="00777D43" w:rsidP="00777D43">
      <w:pPr>
        <w:pStyle w:val="13"/>
        <w:ind w:firstLine="482"/>
      </w:pPr>
      <w:r w:rsidRPr="00777D43">
        <w:rPr>
          <w:rFonts w:hint="eastAsia"/>
          <w:b/>
          <w:bCs/>
        </w:rPr>
        <w:t>第十六条</w:t>
      </w:r>
      <w:r w:rsidRPr="00777D43">
        <w:rPr>
          <w:rFonts w:hint="eastAsia"/>
        </w:rPr>
        <w:t xml:space="preserve"> </w:t>
      </w:r>
      <w:proofErr w:type="gramStart"/>
      <w:r w:rsidRPr="00777D43">
        <w:rPr>
          <w:rFonts w:hint="eastAsia"/>
        </w:rPr>
        <w:t>涉执房地产</w:t>
      </w:r>
      <w:proofErr w:type="gramEnd"/>
      <w:r w:rsidRPr="00777D43">
        <w:rPr>
          <w:rFonts w:hint="eastAsia"/>
        </w:rPr>
        <w:t>处置司法评估应当关注评估费、拍卖费、诉讼费、律师费等财产处置费用及其对评估结果的影响。</w:t>
      </w:r>
    </w:p>
    <w:p w14:paraId="39755FA0" w14:textId="77777777" w:rsidR="00777D43" w:rsidRPr="00777D43" w:rsidRDefault="00777D43" w:rsidP="00777D43">
      <w:pPr>
        <w:pStyle w:val="13"/>
      </w:pPr>
      <w:r w:rsidRPr="00777D43">
        <w:rPr>
          <w:rFonts w:hint="eastAsia"/>
        </w:rPr>
        <w:t>人民法院书面明确前款财产处置费用从财产处置价款中扣除的，评估结果不应当扣除上述费用，否则评估结果应当扣除预估的上述费用，并在评估报告中予以说明。</w:t>
      </w:r>
    </w:p>
    <w:p w14:paraId="66E262CD" w14:textId="2A4E9B0B" w:rsidR="00777D43" w:rsidRPr="00777D43" w:rsidRDefault="00777D43" w:rsidP="00777D43">
      <w:pPr>
        <w:pStyle w:val="13"/>
        <w:ind w:firstLine="482"/>
      </w:pPr>
      <w:r w:rsidRPr="00777D43">
        <w:rPr>
          <w:rFonts w:hint="eastAsia"/>
          <w:b/>
          <w:bCs/>
        </w:rPr>
        <w:t>第十七条</w:t>
      </w:r>
      <w:r w:rsidRPr="00777D43">
        <w:rPr>
          <w:rFonts w:hint="eastAsia"/>
        </w:rPr>
        <w:t xml:space="preserve"> </w:t>
      </w:r>
      <w:proofErr w:type="gramStart"/>
      <w:r w:rsidRPr="00777D43">
        <w:rPr>
          <w:rFonts w:hint="eastAsia"/>
        </w:rPr>
        <w:t>涉执房地产</w:t>
      </w:r>
      <w:proofErr w:type="gramEnd"/>
      <w:r w:rsidRPr="00777D43">
        <w:rPr>
          <w:rFonts w:hint="eastAsia"/>
        </w:rPr>
        <w:t>处置司法评估应当关注并恰当考虑评估对象被迫转让及处置后被执行人不自愿配合交付因素对评估结果的不利影响，并在评估报告中予以说明。</w:t>
      </w:r>
    </w:p>
    <w:p w14:paraId="15F53EF9" w14:textId="3130C748" w:rsidR="00777D43" w:rsidRPr="00777D43" w:rsidRDefault="00777D43" w:rsidP="00777D43">
      <w:pPr>
        <w:pStyle w:val="13"/>
        <w:ind w:firstLine="482"/>
      </w:pPr>
      <w:r w:rsidRPr="00777D43">
        <w:rPr>
          <w:rFonts w:hint="eastAsia"/>
          <w:b/>
          <w:bCs/>
        </w:rPr>
        <w:t>第十八条</w:t>
      </w:r>
      <w:r w:rsidRPr="00777D43">
        <w:rPr>
          <w:rFonts w:hint="eastAsia"/>
        </w:rPr>
        <w:t xml:space="preserve"> </w:t>
      </w:r>
      <w:proofErr w:type="gramStart"/>
      <w:r w:rsidRPr="00777D43">
        <w:rPr>
          <w:rFonts w:hint="eastAsia"/>
        </w:rPr>
        <w:t>涉执房地产</w:t>
      </w:r>
      <w:proofErr w:type="gramEnd"/>
      <w:r w:rsidRPr="00777D43">
        <w:rPr>
          <w:rFonts w:hint="eastAsia"/>
        </w:rPr>
        <w:t>处置司法评估应当进行实地查勘。房地产估价机构应当及时要求人民法院组织对评估对象进行实地查勘，并要求人民法院通知当事人到场。当事人不到场的，不影响实地查勘的进行，但应当有见证人见证。</w:t>
      </w:r>
    </w:p>
    <w:p w14:paraId="7C7D8A87" w14:textId="77777777" w:rsidR="00777D43" w:rsidRPr="00777D43" w:rsidRDefault="00777D43" w:rsidP="00777D43">
      <w:pPr>
        <w:pStyle w:val="13"/>
      </w:pPr>
      <w:r w:rsidRPr="00777D43">
        <w:rPr>
          <w:rFonts w:hint="eastAsia"/>
        </w:rPr>
        <w:t>房地产估价机构应当安排两名及以上人员共同对评估对象进行实地查勘，其中至少有一名注册房地产估价师。人民法院要求由两名及以上注册房地产估价师进行实地查勘的，从其规定。</w:t>
      </w:r>
    </w:p>
    <w:p w14:paraId="77386675" w14:textId="77777777" w:rsidR="00777D43" w:rsidRPr="00777D43" w:rsidRDefault="00777D43" w:rsidP="00777D43">
      <w:pPr>
        <w:pStyle w:val="13"/>
      </w:pPr>
      <w:r w:rsidRPr="00777D43">
        <w:rPr>
          <w:rFonts w:hint="eastAsia"/>
        </w:rPr>
        <w:t>实地查勘时应当核对查勘对象与评估委托书载明的财产名称、坐落和财产范围等是否一致；不一致的，应当要求人民法院核实、明确。实地查勘记录应当由实地查勘的人员和在场当事人或者见证人签名或者盖章。在场当事人或者见证人拒绝签名或者盖章的，应当由</w:t>
      </w:r>
      <w:proofErr w:type="gramStart"/>
      <w:r w:rsidRPr="00777D43">
        <w:rPr>
          <w:rFonts w:hint="eastAsia"/>
        </w:rPr>
        <w:t>其他第三</w:t>
      </w:r>
      <w:proofErr w:type="gramEnd"/>
      <w:r w:rsidRPr="00777D43">
        <w:rPr>
          <w:rFonts w:hint="eastAsia"/>
        </w:rPr>
        <w:t>人签名或者盖章，并在评估报告中予以说明。</w:t>
      </w:r>
    </w:p>
    <w:p w14:paraId="49BF9BCD" w14:textId="77777777" w:rsidR="00777D43" w:rsidRPr="00777D43" w:rsidRDefault="00777D43" w:rsidP="00777D43">
      <w:pPr>
        <w:pStyle w:val="13"/>
      </w:pPr>
      <w:r w:rsidRPr="00777D43">
        <w:rPr>
          <w:rFonts w:hint="eastAsia"/>
        </w:rPr>
        <w:t>当事人不到场或者不予配合，无法进入评估对象内部查勘的，经书面征询人民法院意见，可以对评估对象内部布局、室内装饰装修物等情况进行合理假定，并在评估报告“估价假设和限制条件”的“依据不足假设”中予以说明。</w:t>
      </w:r>
    </w:p>
    <w:p w14:paraId="56C8E6B5" w14:textId="3759E1F5" w:rsidR="00777D43" w:rsidRPr="00777D43" w:rsidRDefault="00777D43" w:rsidP="00777D43">
      <w:pPr>
        <w:pStyle w:val="13"/>
        <w:ind w:firstLine="482"/>
      </w:pPr>
      <w:r w:rsidRPr="00777D43">
        <w:rPr>
          <w:rFonts w:hint="eastAsia"/>
          <w:b/>
          <w:bCs/>
        </w:rPr>
        <w:t>第十九条</w:t>
      </w:r>
      <w:r w:rsidRPr="00777D43">
        <w:rPr>
          <w:rFonts w:hint="eastAsia"/>
        </w:rPr>
        <w:t xml:space="preserve"> 评估对象状况存在不相一致情形的，应当按照下列方式进行处理，并在评估报告“估价假设和限制条件”的“不相一致假设”中予以说明：</w:t>
      </w:r>
    </w:p>
    <w:p w14:paraId="7447826C" w14:textId="77777777" w:rsidR="00777D43" w:rsidRPr="00777D43" w:rsidRDefault="00777D43" w:rsidP="00777D43">
      <w:pPr>
        <w:pStyle w:val="13"/>
      </w:pPr>
      <w:r w:rsidRPr="00777D43">
        <w:rPr>
          <w:rFonts w:hint="eastAsia"/>
        </w:rPr>
        <w:t>（一）实际用途与登记用途不一致的，一般应当按照登记用途进行评估；人民法院书面要求按照实际用途进行评估的，应当关注由登记用途改变为实际用途所需补缴的土地使用权出让金、相关税费等成本费用，考虑其对评估结果的影响，并提示按照实际用途持续使用可能存在的相应风险；</w:t>
      </w:r>
    </w:p>
    <w:p w14:paraId="76634CD0" w14:textId="77777777" w:rsidR="00777D43" w:rsidRPr="00777D43" w:rsidRDefault="00777D43" w:rsidP="00777D43">
      <w:pPr>
        <w:pStyle w:val="13"/>
      </w:pPr>
      <w:r w:rsidRPr="00777D43">
        <w:rPr>
          <w:rFonts w:hint="eastAsia"/>
        </w:rPr>
        <w:t>（二）房屋登记用途与土地登记用途不一致的，应当按照最高</w:t>
      </w:r>
      <w:proofErr w:type="gramStart"/>
      <w:r w:rsidRPr="00777D43">
        <w:rPr>
          <w:rFonts w:hint="eastAsia"/>
        </w:rPr>
        <w:t>最佳利用</w:t>
      </w:r>
      <w:proofErr w:type="gramEnd"/>
      <w:r w:rsidRPr="00777D43">
        <w:rPr>
          <w:rFonts w:hint="eastAsia"/>
        </w:rPr>
        <w:t>分析得出的最佳用途进行评估；</w:t>
      </w:r>
    </w:p>
    <w:p w14:paraId="5A86B0D6" w14:textId="77777777" w:rsidR="00777D43" w:rsidRPr="00777D43" w:rsidRDefault="00777D43" w:rsidP="00777D43">
      <w:pPr>
        <w:pStyle w:val="13"/>
      </w:pPr>
      <w:r w:rsidRPr="00777D43">
        <w:rPr>
          <w:rFonts w:hint="eastAsia"/>
        </w:rPr>
        <w:t>（三）实际面积与登记面积不一致的，应当根据人民法院书面明确的面积评估。人民法院不予书面明确的，对实际面积小于登记面积的，按照实际面积评估；对实际面积超出登记面积的部分，按照本意见第二十六条的规定评估。</w:t>
      </w:r>
    </w:p>
    <w:p w14:paraId="7C3AE385" w14:textId="0E3E54D1" w:rsidR="00777D43" w:rsidRPr="00777D43" w:rsidRDefault="00777D43" w:rsidP="00777D43">
      <w:pPr>
        <w:pStyle w:val="13"/>
        <w:ind w:firstLine="482"/>
      </w:pPr>
      <w:r w:rsidRPr="00777D43">
        <w:rPr>
          <w:rFonts w:hint="eastAsia"/>
          <w:b/>
          <w:bCs/>
        </w:rPr>
        <w:lastRenderedPageBreak/>
        <w:t>第二十条</w:t>
      </w:r>
      <w:r w:rsidRPr="00777D43">
        <w:rPr>
          <w:rFonts w:hint="eastAsia"/>
        </w:rPr>
        <w:t xml:space="preserve"> 评估对象由多宗房地产组合而成，或者为大宗房地产但可分割为若干小宗独立处置的，应当向人民法院征询评估对象是整体处置还是分别或者分割处置，并考虑不同处置方式对评估结果的影响，不应当低估整体处置方式的减价影响。</w:t>
      </w:r>
    </w:p>
    <w:p w14:paraId="7A376717" w14:textId="08487D1E" w:rsidR="00777D43" w:rsidRPr="00777D43" w:rsidRDefault="00777D43" w:rsidP="00777D43">
      <w:pPr>
        <w:pStyle w:val="13"/>
        <w:ind w:firstLine="482"/>
      </w:pPr>
      <w:r w:rsidRPr="00777D43">
        <w:rPr>
          <w:rFonts w:hint="eastAsia"/>
          <w:b/>
          <w:bCs/>
        </w:rPr>
        <w:t>第二十一条</w:t>
      </w:r>
      <w:r w:rsidRPr="00777D43">
        <w:rPr>
          <w:rFonts w:hint="eastAsia"/>
        </w:rPr>
        <w:t xml:space="preserve"> 评估对象为某宗房地产的部分或者局部的，应当关注评估对象的独立使用和交易的受限情况，充分考虑评估对象所在整宗房地产的其他部分对评估对象价值的影响，不应当低估相关减价影响。</w:t>
      </w:r>
    </w:p>
    <w:p w14:paraId="3A7ACE46" w14:textId="5FF49B4C" w:rsidR="00777D43" w:rsidRPr="00777D43" w:rsidRDefault="00777D43" w:rsidP="00777D43">
      <w:pPr>
        <w:pStyle w:val="13"/>
        <w:ind w:firstLine="482"/>
      </w:pPr>
      <w:r w:rsidRPr="00777D43">
        <w:rPr>
          <w:rFonts w:hint="eastAsia"/>
          <w:b/>
          <w:bCs/>
        </w:rPr>
        <w:t>第二十二条</w:t>
      </w:r>
      <w:r w:rsidRPr="00777D43">
        <w:rPr>
          <w:rFonts w:hint="eastAsia"/>
        </w:rPr>
        <w:t xml:space="preserve"> 评估对象为在建工程且可以独立续建的，采用假设开发法评估时，应当选择被迫转让开发前提，充分考虑转让税费、重复投入的成本费用、开发期限延长等因素；采用成本法评估时，应当充分考虑被迫转让、各类折旧等因素所导致的价值减损。</w:t>
      </w:r>
    </w:p>
    <w:p w14:paraId="14482315" w14:textId="77777777" w:rsidR="00777D43" w:rsidRPr="00777D43" w:rsidRDefault="00777D43" w:rsidP="00777D43">
      <w:pPr>
        <w:pStyle w:val="13"/>
      </w:pPr>
      <w:r w:rsidRPr="00777D43">
        <w:rPr>
          <w:rFonts w:hint="eastAsia"/>
        </w:rPr>
        <w:t>评估中还应当关注评估对象是否存在已预售情况，已预售部分一般不列入评估对象的财产范围；人民法院书面</w:t>
      </w:r>
      <w:proofErr w:type="gramStart"/>
      <w:r w:rsidRPr="00777D43">
        <w:rPr>
          <w:rFonts w:hint="eastAsia"/>
        </w:rPr>
        <w:t>明确需</w:t>
      </w:r>
      <w:proofErr w:type="gramEnd"/>
      <w:r w:rsidRPr="00777D43">
        <w:rPr>
          <w:rFonts w:hint="eastAsia"/>
        </w:rPr>
        <w:t>列入评估对象财产范围的，应当充分考虑已预售部分对评估结果的影响。</w:t>
      </w:r>
    </w:p>
    <w:p w14:paraId="2E769354" w14:textId="45F6A3AD" w:rsidR="00777D43" w:rsidRPr="00777D43" w:rsidRDefault="00777D43" w:rsidP="00777D43">
      <w:pPr>
        <w:pStyle w:val="13"/>
        <w:ind w:firstLine="482"/>
      </w:pPr>
      <w:r w:rsidRPr="00777D43">
        <w:rPr>
          <w:rFonts w:hint="eastAsia"/>
          <w:b/>
          <w:bCs/>
        </w:rPr>
        <w:t>第二十三条</w:t>
      </w:r>
      <w:r w:rsidRPr="00777D43">
        <w:rPr>
          <w:rFonts w:hint="eastAsia"/>
        </w:rPr>
        <w:t xml:space="preserve"> 评估对象为在建工程中的部分房地产、且不能独立续建的，按照下列方式处理：</w:t>
      </w:r>
    </w:p>
    <w:p w14:paraId="15FEC7EC" w14:textId="77777777" w:rsidR="00777D43" w:rsidRPr="00777D43" w:rsidRDefault="00777D43" w:rsidP="00777D43">
      <w:pPr>
        <w:pStyle w:val="13"/>
      </w:pPr>
      <w:r w:rsidRPr="00777D43">
        <w:rPr>
          <w:rFonts w:hint="eastAsia"/>
        </w:rPr>
        <w:t>（一）人民法院要求评估该部分的现状价值的，应当根据在建工程整体的形象进度，采用假设开发法和成本法评估；采用假设开发法评估时，应当选择被迫转让开发前提，充分考虑转让税费、重复投入的成本费用、开发期限延长等因素的影响；采用成本法评估时，应当充分考虑被迫转让、各类折旧等因素所导致的价值减损；</w:t>
      </w:r>
    </w:p>
    <w:p w14:paraId="6A486A5F" w14:textId="77777777" w:rsidR="00777D43" w:rsidRPr="00777D43" w:rsidRDefault="00777D43" w:rsidP="00777D43">
      <w:pPr>
        <w:pStyle w:val="13"/>
      </w:pPr>
      <w:r w:rsidRPr="00777D43">
        <w:rPr>
          <w:rFonts w:hint="eastAsia"/>
        </w:rPr>
        <w:t>（二）人民法院要求评估该部分的期房预售价值的，应当参照类似预售房屋的价格进行评估；同时应当充分考虑查封、所在项目开发建设手续完备程度、所在在建工程整体形象进度、以及是否取得预售许可、能否按期竣工交付等因素所导致的价值减损。</w:t>
      </w:r>
    </w:p>
    <w:p w14:paraId="77259CD8" w14:textId="21F2015C" w:rsidR="00777D43" w:rsidRPr="00777D43" w:rsidRDefault="00777D43" w:rsidP="00777D43">
      <w:pPr>
        <w:pStyle w:val="13"/>
        <w:ind w:firstLine="482"/>
      </w:pPr>
      <w:r w:rsidRPr="00777D43">
        <w:rPr>
          <w:rFonts w:hint="eastAsia"/>
          <w:b/>
          <w:bCs/>
        </w:rPr>
        <w:t>第二十四条</w:t>
      </w:r>
      <w:r w:rsidRPr="00777D43">
        <w:rPr>
          <w:rFonts w:hint="eastAsia"/>
        </w:rPr>
        <w:t xml:space="preserve"> 评估对象为未竣工交付的预购商品房的，宜参照类似预售商品房的价格进行评估，也可以参照类似存量房的价格进行评估，并考虑查封、可能延期交付等风险因素所导致的评估对象价值减损；买受人按照商品房预售合同约定未付清全部房价款，人民法院书面明确未付房价款由买受人承担的，评估结果应当扣除商品房预售合同约定的未付房价款。</w:t>
      </w:r>
    </w:p>
    <w:p w14:paraId="78FEFE9B" w14:textId="5C2AF445" w:rsidR="00777D43" w:rsidRPr="00777D43" w:rsidRDefault="00777D43" w:rsidP="00777D43">
      <w:pPr>
        <w:pStyle w:val="13"/>
        <w:ind w:firstLine="482"/>
      </w:pPr>
      <w:r w:rsidRPr="00777D43">
        <w:rPr>
          <w:rFonts w:hint="eastAsia"/>
          <w:b/>
          <w:bCs/>
        </w:rPr>
        <w:t>第二十五条</w:t>
      </w:r>
      <w:r w:rsidRPr="00777D43">
        <w:rPr>
          <w:rFonts w:hint="eastAsia"/>
        </w:rPr>
        <w:t xml:space="preserve"> 评估对象为共有产权住房、经济适用住房、安置住房等保障性住房的，评估时应当关注并恰当考虑该类房地产的交易限制、交易主体限制、交易费用增加、转移登记限制等对评估结果的影响。</w:t>
      </w:r>
    </w:p>
    <w:p w14:paraId="697A6F20" w14:textId="76E9F0B3" w:rsidR="00777D43" w:rsidRPr="00777D43" w:rsidRDefault="00777D43" w:rsidP="00777D43">
      <w:pPr>
        <w:pStyle w:val="13"/>
        <w:ind w:firstLine="482"/>
      </w:pPr>
      <w:r w:rsidRPr="00777D43">
        <w:rPr>
          <w:rFonts w:hint="eastAsia"/>
          <w:b/>
          <w:bCs/>
        </w:rPr>
        <w:t>第二十六条</w:t>
      </w:r>
      <w:r w:rsidRPr="00777D43">
        <w:rPr>
          <w:rFonts w:hint="eastAsia"/>
        </w:rPr>
        <w:t xml:space="preserve"> 人民法院书面明确为违法占地、违法建设、超过批准期限的临时建筑等违法房地产的，不应当列入评估对象财产范围。</w:t>
      </w:r>
    </w:p>
    <w:p w14:paraId="19061158" w14:textId="77777777" w:rsidR="00777D43" w:rsidRPr="00777D43" w:rsidRDefault="00777D43" w:rsidP="00777D43">
      <w:pPr>
        <w:pStyle w:val="13"/>
      </w:pPr>
      <w:r w:rsidRPr="00777D43">
        <w:rPr>
          <w:rFonts w:hint="eastAsia"/>
        </w:rPr>
        <w:t>未经登记或者缺乏合法建造证明，未依法认定为违法房地产的，应当根据评估对</w:t>
      </w:r>
      <w:r w:rsidRPr="00777D43">
        <w:rPr>
          <w:rFonts w:hint="eastAsia"/>
        </w:rPr>
        <w:lastRenderedPageBreak/>
        <w:t>象的具体情况，恰当选择下列方式之一进行评估：</w:t>
      </w:r>
    </w:p>
    <w:p w14:paraId="18D413F8" w14:textId="77777777" w:rsidR="00777D43" w:rsidRPr="00777D43" w:rsidRDefault="00777D43" w:rsidP="00777D43">
      <w:pPr>
        <w:pStyle w:val="13"/>
      </w:pPr>
      <w:r w:rsidRPr="00777D43">
        <w:rPr>
          <w:rFonts w:hint="eastAsia"/>
        </w:rPr>
        <w:t>（一）评估对象依法可以登记但未办理登记的，经书面征询人民法院同意，可以按照已登记房地产进行评估；评估结果应当为扣除办理登记需要发生的相关费用后的余额，并在评估报告中进行相应说明；</w:t>
      </w:r>
    </w:p>
    <w:p w14:paraId="1B0ED103" w14:textId="77777777" w:rsidR="00777D43" w:rsidRPr="00777D43" w:rsidRDefault="00777D43" w:rsidP="00777D43">
      <w:pPr>
        <w:pStyle w:val="13"/>
      </w:pPr>
      <w:r w:rsidRPr="00777D43">
        <w:rPr>
          <w:rFonts w:hint="eastAsia"/>
        </w:rPr>
        <w:t>（二）评估对象补充完善相关手续后可以办理登记的，经书面征询人民法院同意，可以按照已登记房地产进行评估；评估结果应当为扣除补充完善相关手续、办理登记需要发生的相关费用后的余额，并在评估报告中进行相应说明。</w:t>
      </w:r>
    </w:p>
    <w:p w14:paraId="2275113F" w14:textId="77777777" w:rsidR="00777D43" w:rsidRPr="00777D43" w:rsidRDefault="00777D43" w:rsidP="00777D43">
      <w:pPr>
        <w:pStyle w:val="13"/>
      </w:pPr>
      <w:r w:rsidRPr="00777D43">
        <w:rPr>
          <w:rFonts w:hint="eastAsia"/>
        </w:rPr>
        <w:t>（三）评估对象依法不予办理登记的，应当充分考虑无法办理登记对评估结果的影响，并在评估报告中进行相应说明。</w:t>
      </w:r>
    </w:p>
    <w:p w14:paraId="0023575C" w14:textId="07C409FA" w:rsidR="00777D43" w:rsidRPr="00777D43" w:rsidRDefault="00777D43" w:rsidP="00777D43">
      <w:pPr>
        <w:pStyle w:val="13"/>
        <w:ind w:firstLine="482"/>
      </w:pPr>
      <w:r w:rsidRPr="00777D43">
        <w:rPr>
          <w:rFonts w:hint="eastAsia"/>
          <w:b/>
          <w:bCs/>
        </w:rPr>
        <w:t>第二十七条</w:t>
      </w:r>
      <w:r w:rsidRPr="00777D43">
        <w:rPr>
          <w:rFonts w:hint="eastAsia"/>
        </w:rPr>
        <w:t xml:space="preserve"> 评估对象的土地为集体土地的，应当根据人民法院查明的集体土地使用权的类型、取得方式、使用期限等权益状况，结合国家和地方集体土地流转等相关规定合理评估，并在评估报告“估价假设和限制条件”的“一般假设”中对买受人具备相关资格等情况</w:t>
      </w:r>
      <w:proofErr w:type="gramStart"/>
      <w:r w:rsidRPr="00777D43">
        <w:rPr>
          <w:rFonts w:hint="eastAsia"/>
        </w:rPr>
        <w:t>作出</w:t>
      </w:r>
      <w:proofErr w:type="gramEnd"/>
      <w:r w:rsidRPr="00777D43">
        <w:rPr>
          <w:rFonts w:hint="eastAsia"/>
        </w:rPr>
        <w:t>假定。</w:t>
      </w:r>
    </w:p>
    <w:p w14:paraId="66DB241C" w14:textId="06BF748B" w:rsidR="00777D43" w:rsidRPr="00777D43" w:rsidRDefault="00777D43" w:rsidP="00777D43">
      <w:pPr>
        <w:pStyle w:val="13"/>
        <w:ind w:firstLine="482"/>
      </w:pPr>
      <w:r w:rsidRPr="00777D43">
        <w:rPr>
          <w:rFonts w:hint="eastAsia"/>
          <w:b/>
          <w:bCs/>
        </w:rPr>
        <w:t>第二十八条</w:t>
      </w:r>
      <w:r w:rsidRPr="00777D43">
        <w:rPr>
          <w:rFonts w:hint="eastAsia"/>
        </w:rPr>
        <w:t xml:space="preserve"> 评估对象包含房地产和其他财产的，评估报告中应当分别列示房地产和其他财产的评估结果。</w:t>
      </w:r>
    </w:p>
    <w:p w14:paraId="00052F27" w14:textId="77777777" w:rsidR="00777D43" w:rsidRPr="00777D43" w:rsidRDefault="00777D43" w:rsidP="00777D43">
      <w:pPr>
        <w:pStyle w:val="13"/>
      </w:pPr>
      <w:r w:rsidRPr="00777D43">
        <w:rPr>
          <w:rFonts w:hint="eastAsia"/>
        </w:rPr>
        <w:t>评估对象包含两宗及以上房地产，或者大宗房地产分割为小宗处置的，评估报告中应当分别列示各宗房地产的评估结果。</w:t>
      </w:r>
    </w:p>
    <w:p w14:paraId="61EE9906" w14:textId="79E6BF3A" w:rsidR="00777D43" w:rsidRPr="00777D43" w:rsidRDefault="00777D43" w:rsidP="00777D43">
      <w:pPr>
        <w:pStyle w:val="13"/>
        <w:ind w:firstLine="482"/>
      </w:pPr>
      <w:r w:rsidRPr="00777D43">
        <w:rPr>
          <w:rFonts w:hint="eastAsia"/>
          <w:b/>
          <w:bCs/>
        </w:rPr>
        <w:t>第二十九条</w:t>
      </w:r>
      <w:r w:rsidRPr="00777D43">
        <w:rPr>
          <w:rFonts w:hint="eastAsia"/>
        </w:rPr>
        <w:t xml:space="preserve"> 评估报告使用期限或者评估结果有效期自评估报告出具之日起计算，最长不得超过一年。</w:t>
      </w:r>
    </w:p>
    <w:p w14:paraId="19715B51" w14:textId="2442FFE5" w:rsidR="00777D43" w:rsidRPr="00777D43" w:rsidRDefault="00777D43" w:rsidP="00777D43">
      <w:pPr>
        <w:pStyle w:val="13"/>
        <w:ind w:firstLine="482"/>
      </w:pPr>
      <w:r w:rsidRPr="00777D43">
        <w:rPr>
          <w:rFonts w:hint="eastAsia"/>
          <w:b/>
          <w:bCs/>
        </w:rPr>
        <w:t>第三十条</w:t>
      </w:r>
      <w:r w:rsidRPr="00777D43">
        <w:rPr>
          <w:rFonts w:hint="eastAsia"/>
        </w:rPr>
        <w:t xml:space="preserve"> 评估报告应当</w:t>
      </w:r>
      <w:proofErr w:type="gramStart"/>
      <w:r w:rsidRPr="00777D43">
        <w:rPr>
          <w:rFonts w:hint="eastAsia"/>
        </w:rPr>
        <w:t>作出</w:t>
      </w:r>
      <w:proofErr w:type="gramEnd"/>
      <w:r w:rsidRPr="00777D43">
        <w:rPr>
          <w:rFonts w:hint="eastAsia"/>
        </w:rPr>
        <w:t>下列评估报告和评估结果使用的特别提示：</w:t>
      </w:r>
    </w:p>
    <w:p w14:paraId="2CC8F57D" w14:textId="77777777" w:rsidR="00777D43" w:rsidRPr="00777D43" w:rsidRDefault="00777D43" w:rsidP="00777D43">
      <w:pPr>
        <w:pStyle w:val="13"/>
      </w:pPr>
      <w:r w:rsidRPr="00777D43">
        <w:rPr>
          <w:rFonts w:hint="eastAsia"/>
        </w:rPr>
        <w:t>（一）应当按照法律规定和评估报告载明的用途、使用人、使用期限等使用范围使用评估报告。否则，房地产估价机构和注册房地产估价师依法不承担责任；</w:t>
      </w:r>
    </w:p>
    <w:p w14:paraId="347E85B1" w14:textId="77777777" w:rsidR="00777D43" w:rsidRPr="00777D43" w:rsidRDefault="00777D43" w:rsidP="00777D43">
      <w:pPr>
        <w:pStyle w:val="13"/>
      </w:pPr>
      <w:r w:rsidRPr="00777D43">
        <w:rPr>
          <w:rFonts w:hint="eastAsia"/>
        </w:rPr>
        <w:t>（二）评估结果仅为人民法院确定财产处置参考价服务，不是评估对象处置可实现的成交价格，也不应当被视为对评估对象处置成交价格的保证；</w:t>
      </w:r>
    </w:p>
    <w:p w14:paraId="74DBA380" w14:textId="77777777" w:rsidR="00777D43" w:rsidRPr="00777D43" w:rsidRDefault="00777D43" w:rsidP="00777D43">
      <w:pPr>
        <w:pStyle w:val="13"/>
      </w:pPr>
      <w:r w:rsidRPr="00777D43">
        <w:rPr>
          <w:rFonts w:hint="eastAsia"/>
        </w:rPr>
        <w:t>（三）财产拍卖或者变卖之日与价值时点不一致，可能导致评估结果对应的评估对象状况、房地产市场状况、欠缴税</w:t>
      </w:r>
      <w:proofErr w:type="gramStart"/>
      <w:r w:rsidRPr="00777D43">
        <w:rPr>
          <w:rFonts w:hint="eastAsia"/>
        </w:rPr>
        <w:t>费状况</w:t>
      </w:r>
      <w:proofErr w:type="gramEnd"/>
      <w:r w:rsidRPr="00777D43">
        <w:rPr>
          <w:rFonts w:hint="eastAsia"/>
        </w:rPr>
        <w:t>等与财产拍卖或者变卖时的相应状况不一致，发生明显变化的，评估结果应当进行相应调整后才可使用；</w:t>
      </w:r>
    </w:p>
    <w:p w14:paraId="291C5B4A" w14:textId="77777777" w:rsidR="00777D43" w:rsidRPr="00777D43" w:rsidRDefault="00777D43" w:rsidP="00777D43">
      <w:pPr>
        <w:pStyle w:val="13"/>
      </w:pPr>
      <w:r w:rsidRPr="00777D43">
        <w:rPr>
          <w:rFonts w:hint="eastAsia"/>
        </w:rPr>
        <w:t>（四）在评估报告使用期限或者评估结果有效期内，评估报告或者评估结果未使用之前，如果评估对象状况或者房地产市场状况发生明显变化的，评估结果应当进行相应调整后才可使用；</w:t>
      </w:r>
    </w:p>
    <w:p w14:paraId="3FE6EE0A" w14:textId="77777777" w:rsidR="00777D43" w:rsidRPr="00777D43" w:rsidRDefault="00777D43" w:rsidP="00777D43">
      <w:pPr>
        <w:pStyle w:val="13"/>
      </w:pPr>
      <w:r w:rsidRPr="00777D43">
        <w:rPr>
          <w:rFonts w:hint="eastAsia"/>
        </w:rPr>
        <w:t>（五）当事人、利害关系人收到评估报告后五日内可对评估报告的参照标准、计算方法或者评估结果等向人民法院提出书面异议；当事人、利害关系人对评估机构</w:t>
      </w:r>
      <w:proofErr w:type="gramStart"/>
      <w:r w:rsidRPr="00777D43">
        <w:rPr>
          <w:rFonts w:hint="eastAsia"/>
        </w:rPr>
        <w:t>作出</w:t>
      </w:r>
      <w:proofErr w:type="gramEnd"/>
      <w:r w:rsidRPr="00777D43">
        <w:rPr>
          <w:rFonts w:hint="eastAsia"/>
        </w:rPr>
        <w:t>的说明仍有异议的，可以提请人民法院委托评估行业组织进行专业技术评审。</w:t>
      </w:r>
    </w:p>
    <w:p w14:paraId="1946CC67" w14:textId="395FB65B" w:rsidR="00777D43" w:rsidRPr="00777D43" w:rsidRDefault="00777D43" w:rsidP="00777D43">
      <w:pPr>
        <w:pStyle w:val="13"/>
        <w:ind w:firstLine="482"/>
      </w:pPr>
      <w:r w:rsidRPr="00777D43">
        <w:rPr>
          <w:rFonts w:hint="eastAsia"/>
          <w:b/>
          <w:bCs/>
        </w:rPr>
        <w:t>第三十一条</w:t>
      </w:r>
      <w:r w:rsidRPr="00777D43">
        <w:rPr>
          <w:rFonts w:hint="eastAsia"/>
        </w:rPr>
        <w:t xml:space="preserve"> </w:t>
      </w:r>
      <w:proofErr w:type="gramStart"/>
      <w:r w:rsidRPr="00777D43">
        <w:rPr>
          <w:rFonts w:hint="eastAsia"/>
        </w:rPr>
        <w:t>涉执房地产</w:t>
      </w:r>
      <w:proofErr w:type="gramEnd"/>
      <w:r w:rsidRPr="00777D43">
        <w:rPr>
          <w:rFonts w:hint="eastAsia"/>
        </w:rPr>
        <w:t>处置司法评估的评估报告名称，宜为“涉执房地产处置</w:t>
      </w:r>
      <w:r w:rsidRPr="00777D43">
        <w:rPr>
          <w:rFonts w:hint="eastAsia"/>
        </w:rPr>
        <w:lastRenderedPageBreak/>
        <w:t>司法评估报告”。</w:t>
      </w:r>
    </w:p>
    <w:p w14:paraId="4C1C4BEE" w14:textId="77777777" w:rsidR="00777D43" w:rsidRPr="00777D43" w:rsidRDefault="00777D43" w:rsidP="00777D43">
      <w:pPr>
        <w:pStyle w:val="13"/>
      </w:pPr>
      <w:r w:rsidRPr="00777D43">
        <w:rPr>
          <w:rFonts w:hint="eastAsia"/>
        </w:rPr>
        <w:t>评估报告应当载明评估对象的名称、坐落、范围、规模、用途、区位状况、实物状况、权益状况、价值类型、价值时点、评估依据（包括评估标准）、评估方法、评估结果及有效期等。</w:t>
      </w:r>
    </w:p>
    <w:p w14:paraId="7499D25C" w14:textId="27E38372" w:rsidR="00777D43" w:rsidRPr="00777D43" w:rsidRDefault="00777D43" w:rsidP="00777D43">
      <w:pPr>
        <w:pStyle w:val="13"/>
        <w:ind w:firstLine="482"/>
      </w:pPr>
      <w:r w:rsidRPr="00777D43">
        <w:rPr>
          <w:rFonts w:hint="eastAsia"/>
          <w:b/>
          <w:bCs/>
        </w:rPr>
        <w:t>第三十二条</w:t>
      </w:r>
      <w:r w:rsidRPr="00777D43">
        <w:rPr>
          <w:rFonts w:hint="eastAsia"/>
        </w:rPr>
        <w:t xml:space="preserve"> 房地产估价机构应当在评估委托书载明的评估完成期限内出具评估报告，并将评估报告和预计需要收取的评估费交纳通知书一并提交人民法院。</w:t>
      </w:r>
    </w:p>
    <w:p w14:paraId="4C27F8A6" w14:textId="5E3683B4" w:rsidR="00777D43" w:rsidRPr="00777D43" w:rsidRDefault="00777D43" w:rsidP="00777D43">
      <w:pPr>
        <w:pStyle w:val="13"/>
        <w:ind w:firstLine="482"/>
      </w:pPr>
      <w:r w:rsidRPr="00777D43">
        <w:rPr>
          <w:rFonts w:hint="eastAsia"/>
          <w:b/>
          <w:bCs/>
        </w:rPr>
        <w:t>第三十三条</w:t>
      </w:r>
      <w:r w:rsidRPr="00777D43">
        <w:rPr>
          <w:rFonts w:hint="eastAsia"/>
        </w:rPr>
        <w:t xml:space="preserve"> 当事人、利害关系人对评估报告的参照标准、计算方法或者评估结果等提出书面异议，人民法院要求房地产估价机构予以书面说明的，房地产估价机构应当根据书面异议的具体内容，有针对性地及时</w:t>
      </w:r>
      <w:proofErr w:type="gramStart"/>
      <w:r w:rsidRPr="00777D43">
        <w:rPr>
          <w:rFonts w:hint="eastAsia"/>
        </w:rPr>
        <w:t>作出</w:t>
      </w:r>
      <w:proofErr w:type="gramEnd"/>
      <w:r w:rsidRPr="00777D43">
        <w:rPr>
          <w:rFonts w:hint="eastAsia"/>
        </w:rPr>
        <w:t>书面说明，并自收到人民法院通知之日起五日内提交人民法院。</w:t>
      </w:r>
    </w:p>
    <w:p w14:paraId="347AE16E" w14:textId="6C6781AE" w:rsidR="00777D43" w:rsidRPr="00777D43" w:rsidRDefault="00777D43" w:rsidP="00777D43">
      <w:pPr>
        <w:pStyle w:val="13"/>
        <w:ind w:firstLine="482"/>
      </w:pPr>
      <w:r w:rsidRPr="00777D43">
        <w:rPr>
          <w:rFonts w:hint="eastAsia"/>
          <w:b/>
          <w:bCs/>
        </w:rPr>
        <w:t>第三十四条</w:t>
      </w:r>
      <w:r w:rsidRPr="00777D43">
        <w:rPr>
          <w:rFonts w:hint="eastAsia"/>
        </w:rPr>
        <w:t xml:space="preserve"> 本意见</w:t>
      </w:r>
      <w:proofErr w:type="gramStart"/>
      <w:r w:rsidRPr="00777D43">
        <w:rPr>
          <w:rFonts w:hint="eastAsia"/>
        </w:rPr>
        <w:t>对涉执房地产</w:t>
      </w:r>
      <w:proofErr w:type="gramEnd"/>
      <w:r w:rsidRPr="00777D43">
        <w:rPr>
          <w:rFonts w:hint="eastAsia"/>
        </w:rPr>
        <w:t>处置司法评估未作规定的事项，按照《最高人民法院关于人民法院确定财产处置参考价若干问题的规定》《人民法院委托评估工作规范》以及《房地产估价规范》等相关规定执行。</w:t>
      </w:r>
    </w:p>
    <w:p w14:paraId="69270CBB" w14:textId="59E6E2A0" w:rsidR="00777D43" w:rsidRPr="00777D43" w:rsidRDefault="00777D43" w:rsidP="00777D43">
      <w:pPr>
        <w:pStyle w:val="13"/>
        <w:ind w:firstLine="482"/>
      </w:pPr>
      <w:r w:rsidRPr="00777D43">
        <w:rPr>
          <w:rFonts w:hint="eastAsia"/>
          <w:b/>
          <w:bCs/>
        </w:rPr>
        <w:t>第三十五条</w:t>
      </w:r>
      <w:r w:rsidRPr="00777D43">
        <w:rPr>
          <w:rFonts w:hint="eastAsia"/>
        </w:rPr>
        <w:t xml:space="preserve"> 本意见由中国房地产估价师与房地产经纪人学会负责解释。</w:t>
      </w:r>
    </w:p>
    <w:p w14:paraId="1A203E9F" w14:textId="0990FC0E" w:rsidR="00777D43" w:rsidRPr="00777D43" w:rsidRDefault="00777D43" w:rsidP="00777D43">
      <w:pPr>
        <w:pStyle w:val="13"/>
        <w:ind w:firstLine="482"/>
      </w:pPr>
      <w:r w:rsidRPr="00777D43">
        <w:rPr>
          <w:rFonts w:hint="eastAsia"/>
          <w:b/>
          <w:bCs/>
        </w:rPr>
        <w:t>第三十六条</w:t>
      </w:r>
      <w:r w:rsidRPr="00777D43">
        <w:rPr>
          <w:rFonts w:hint="eastAsia"/>
        </w:rPr>
        <w:t xml:space="preserve"> </w:t>
      </w:r>
      <w:proofErr w:type="gramStart"/>
      <w:r w:rsidRPr="00777D43">
        <w:rPr>
          <w:rFonts w:hint="eastAsia"/>
        </w:rPr>
        <w:t>本意见自2021年9月1日起</w:t>
      </w:r>
      <w:proofErr w:type="gramEnd"/>
      <w:r w:rsidRPr="00777D43">
        <w:rPr>
          <w:rFonts w:hint="eastAsia"/>
        </w:rPr>
        <w:t>施行。</w:t>
      </w:r>
    </w:p>
    <w:p w14:paraId="10030FCC" w14:textId="77777777" w:rsidR="00FA0363" w:rsidRDefault="00FA0363" w:rsidP="00FA0363">
      <w:pPr>
        <w:pStyle w:val="21"/>
        <w:spacing w:before="156" w:after="93"/>
      </w:pPr>
      <w:bookmarkStart w:id="129" w:name="_Toc81833391"/>
      <w:r>
        <w:rPr>
          <w:rFonts w:hint="eastAsia"/>
        </w:rPr>
        <w:t>房屋征收</w:t>
      </w:r>
      <w:bookmarkEnd w:id="129"/>
    </w:p>
    <w:p w14:paraId="6081B1D7" w14:textId="77777777" w:rsidR="00FA0363" w:rsidRDefault="00FA0363" w:rsidP="00FA0363">
      <w:pPr>
        <w:pStyle w:val="31"/>
        <w:spacing w:before="156" w:after="62"/>
      </w:pPr>
      <w:bookmarkStart w:id="130" w:name="_Toc81833392"/>
      <w:r>
        <w:rPr>
          <w:rFonts w:hint="eastAsia"/>
        </w:rPr>
        <w:t>国有土地上房屋征收评估办法（建房〔</w:t>
      </w:r>
      <w:r>
        <w:t>2011〕77号）</w:t>
      </w:r>
      <w:bookmarkEnd w:id="130"/>
    </w:p>
    <w:p w14:paraId="13B8D449" w14:textId="77777777" w:rsidR="00FA0363" w:rsidRDefault="00FA0363" w:rsidP="00E73797">
      <w:pPr>
        <w:pStyle w:val="13"/>
        <w:ind w:firstLineChars="0" w:firstLine="0"/>
      </w:pPr>
      <w:r>
        <w:rPr>
          <w:rFonts w:hint="eastAsia"/>
        </w:rPr>
        <w:t>各省、自治区住房城乡建设厅，直辖市住房城乡建设委员会（房地局），新疆生产建设兵团建设局：</w:t>
      </w:r>
    </w:p>
    <w:p w14:paraId="34B4A3F3" w14:textId="77777777" w:rsidR="00FA0363" w:rsidRDefault="00FA0363" w:rsidP="00FA0363">
      <w:pPr>
        <w:pStyle w:val="13"/>
      </w:pPr>
      <w:r>
        <w:rPr>
          <w:rFonts w:hint="eastAsia"/>
        </w:rPr>
        <w:t>根据《国有土地上房屋征收与补偿条例》，我部制定了《国有土地上房屋征收评估办法》。现印发给你们，请遵照执行。</w:t>
      </w:r>
    </w:p>
    <w:p w14:paraId="11027A4C" w14:textId="77777777" w:rsidR="00FA0363" w:rsidRDefault="00FA0363" w:rsidP="00FA0363">
      <w:pPr>
        <w:pStyle w:val="13"/>
        <w:jc w:val="right"/>
      </w:pPr>
      <w:r>
        <w:rPr>
          <w:rFonts w:hint="eastAsia"/>
        </w:rPr>
        <w:t>中华人民共和国住房和城乡建设部</w:t>
      </w:r>
    </w:p>
    <w:p w14:paraId="271A60FF" w14:textId="77777777" w:rsidR="00FA0363" w:rsidRDefault="00FA0363" w:rsidP="00FA0363">
      <w:pPr>
        <w:pStyle w:val="13"/>
        <w:jc w:val="right"/>
      </w:pPr>
      <w:r>
        <w:rPr>
          <w:rFonts w:hint="eastAsia"/>
        </w:rPr>
        <w:t>二〇一一年六月三日</w:t>
      </w:r>
    </w:p>
    <w:p w14:paraId="3A07D0A2" w14:textId="77777777" w:rsidR="00FA0363" w:rsidRDefault="00FA0363" w:rsidP="00AF7342">
      <w:pPr>
        <w:pStyle w:val="a9"/>
        <w:spacing w:before="62" w:after="62"/>
      </w:pPr>
      <w:r>
        <w:rPr>
          <w:rFonts w:hint="eastAsia"/>
        </w:rPr>
        <w:t>国有土地上房屋征收评估办法</w:t>
      </w:r>
    </w:p>
    <w:p w14:paraId="58DBA0F4" w14:textId="1D19F99F" w:rsidR="00FA0363" w:rsidRDefault="004E3EBB" w:rsidP="00FA0363">
      <w:pPr>
        <w:pStyle w:val="13"/>
        <w:ind w:firstLine="482"/>
      </w:pPr>
      <w:r w:rsidRPr="004E3EBB">
        <w:rPr>
          <w:rFonts w:hint="eastAsia"/>
          <w:b/>
          <w:bCs/>
        </w:rPr>
        <w:t xml:space="preserve">第一条 </w:t>
      </w:r>
      <w:r w:rsidR="00FA0363">
        <w:t>为规范国有土地上房屋征收评估活动，保证房屋征收评估结果客观公平</w:t>
      </w:r>
      <w:r w:rsidR="003068F8">
        <w:t>，</w:t>
      </w:r>
      <w:r w:rsidR="00FA0363">
        <w:t>根据《国有土地上房屋征收与补偿条例》，制定本办法。</w:t>
      </w:r>
    </w:p>
    <w:p w14:paraId="7CBAA321" w14:textId="16E47817" w:rsidR="00FA0363" w:rsidRDefault="004E3EBB" w:rsidP="00FA0363">
      <w:pPr>
        <w:pStyle w:val="13"/>
        <w:ind w:firstLine="482"/>
      </w:pPr>
      <w:r w:rsidRPr="004E3EBB">
        <w:rPr>
          <w:rFonts w:hint="eastAsia"/>
          <w:b/>
          <w:bCs/>
        </w:rPr>
        <w:t xml:space="preserve">第二条 </w:t>
      </w:r>
      <w:r w:rsidR="00FA0363">
        <w:t>评估国有土地上被征收房屋和用于产权调换房屋的价值，测算被征收房屋类似房地产的市场价格，以及对相关评估结果进行复核评估和鉴定，适用本办法。</w:t>
      </w:r>
    </w:p>
    <w:p w14:paraId="1F1117CF" w14:textId="514FD7A5" w:rsidR="00FA0363" w:rsidRDefault="004E3EBB" w:rsidP="00FA0363">
      <w:pPr>
        <w:pStyle w:val="13"/>
        <w:ind w:firstLine="482"/>
      </w:pPr>
      <w:r w:rsidRPr="004E3EBB">
        <w:rPr>
          <w:rFonts w:hint="eastAsia"/>
          <w:b/>
          <w:bCs/>
        </w:rPr>
        <w:t xml:space="preserve">第三条 </w:t>
      </w:r>
      <w:r w:rsidR="00FA0363">
        <w:t>房地产价格评估机构、房地产估价师、房地产价格评估专家委员会（以下称评估专家委员会）成员应当独立、客观、公正地开展房屋征收评估、鉴定工作，并对出具的评估、鉴定意见负责。</w:t>
      </w:r>
    </w:p>
    <w:p w14:paraId="6DCB2C8C" w14:textId="77777777" w:rsidR="00FA0363" w:rsidRDefault="00FA0363" w:rsidP="00FA0363">
      <w:pPr>
        <w:pStyle w:val="13"/>
      </w:pPr>
      <w:r>
        <w:rPr>
          <w:rFonts w:hint="eastAsia"/>
        </w:rPr>
        <w:t>任何单位和个人不得干预房屋征收评估、鉴定活动。与房屋征收当事人有利害关</w:t>
      </w:r>
      <w:r>
        <w:rPr>
          <w:rFonts w:hint="eastAsia"/>
        </w:rPr>
        <w:lastRenderedPageBreak/>
        <w:t>系的，应当回避。</w:t>
      </w:r>
    </w:p>
    <w:p w14:paraId="2678FA96" w14:textId="4DCB676C" w:rsidR="00FA0363" w:rsidRDefault="004E3EBB" w:rsidP="00FA0363">
      <w:pPr>
        <w:pStyle w:val="13"/>
        <w:ind w:firstLine="482"/>
      </w:pPr>
      <w:r w:rsidRPr="004E3EBB">
        <w:rPr>
          <w:rFonts w:hint="eastAsia"/>
          <w:b/>
          <w:bCs/>
        </w:rPr>
        <w:t xml:space="preserve">第四条 </w:t>
      </w:r>
      <w:r w:rsidR="00FA0363">
        <w:t>房地产价格评估机构由被征收人在规定时间内协商选定；在规定时间内协商不成的，由房屋征收部门通过组织被征收人按照少数服从多数的原则投票决定，或者采取摇号、抽签等随机方式确定。具体办法由省、自治区、直辖市制定。</w:t>
      </w:r>
    </w:p>
    <w:p w14:paraId="0A320C8F" w14:textId="77777777" w:rsidR="00FA0363" w:rsidRDefault="00FA0363" w:rsidP="00FA0363">
      <w:pPr>
        <w:pStyle w:val="13"/>
      </w:pPr>
      <w:r>
        <w:rPr>
          <w:rFonts w:hint="eastAsia"/>
        </w:rPr>
        <w:t>房地产价格评估机构不得采取迎合征收当事人不当要求、虚假宣传、恶意低收费等不正当手段承揽房屋征收评估业务。</w:t>
      </w:r>
    </w:p>
    <w:p w14:paraId="3D18890A" w14:textId="46667C07" w:rsidR="00FA0363" w:rsidRDefault="004E3EBB" w:rsidP="00FA0363">
      <w:pPr>
        <w:pStyle w:val="13"/>
        <w:ind w:firstLine="482"/>
      </w:pPr>
      <w:r w:rsidRPr="004E3EBB">
        <w:rPr>
          <w:rFonts w:hint="eastAsia"/>
          <w:b/>
          <w:bCs/>
        </w:rPr>
        <w:t xml:space="preserve">第五条 </w:t>
      </w:r>
      <w:r w:rsidR="00FA0363">
        <w:t>同一征收项目的房屋征收评估工作，原则上由一家房地产价格评估机构承担。房屋征收范围较大的，可以由两家以上房地产价格评估机构共同承担。</w:t>
      </w:r>
    </w:p>
    <w:p w14:paraId="714E1C39" w14:textId="77777777" w:rsidR="00FA0363" w:rsidRDefault="00FA0363" w:rsidP="00FA0363">
      <w:pPr>
        <w:pStyle w:val="13"/>
      </w:pPr>
      <w:r>
        <w:rPr>
          <w:rFonts w:hint="eastAsia"/>
        </w:rPr>
        <w:t>两家以上房地产价格评估机构承担的，应当共同协商确定一家房地产价格评估机构为牵头单位；牵头单位应当组织相关房地产价格评估机构就评估对象、评估时点、价值内涵、评估依据、评估假设、评估原则、评估技术路线、评估方法、重要参数选取、评估结果确定方式等进行沟通，统一标准。</w:t>
      </w:r>
    </w:p>
    <w:p w14:paraId="5C9D9D82" w14:textId="7DF1837F" w:rsidR="00FA0363" w:rsidRDefault="004E3EBB" w:rsidP="00FA0363">
      <w:pPr>
        <w:pStyle w:val="13"/>
        <w:ind w:firstLine="482"/>
      </w:pPr>
      <w:r w:rsidRPr="004E3EBB">
        <w:rPr>
          <w:rFonts w:hint="eastAsia"/>
          <w:b/>
          <w:bCs/>
        </w:rPr>
        <w:t xml:space="preserve">第六条 </w:t>
      </w:r>
      <w:r w:rsidR="00FA0363">
        <w:t>房地产价格评估机构选定或者确定后，一般由房屋征收部门作为委托人，</w:t>
      </w:r>
      <w:r w:rsidR="00FA0363">
        <w:rPr>
          <w:rFonts w:hint="eastAsia"/>
        </w:rPr>
        <w:t>向房地产价格评估机构出具房屋征收评估委托书，并与其签订房屋征收评估委托合同。房屋征收评估委托书应当载明委托人的名称、委托的房地产价格评估机构的名称、评估目的、评估对象范围、评估要求以及委托日期等内容。房屋征收评估委托合同应当载明下列事项：</w:t>
      </w:r>
    </w:p>
    <w:p w14:paraId="25B06629" w14:textId="77777777" w:rsidR="00FA0363" w:rsidRDefault="00FA0363" w:rsidP="00FA0363">
      <w:pPr>
        <w:pStyle w:val="13"/>
      </w:pPr>
      <w:r>
        <w:rPr>
          <w:rFonts w:hint="eastAsia"/>
        </w:rPr>
        <w:t>（一）委托人和房地产价格评估机构的基本情况；</w:t>
      </w:r>
    </w:p>
    <w:p w14:paraId="7B4BF5E1" w14:textId="77777777" w:rsidR="00FA0363" w:rsidRDefault="00FA0363" w:rsidP="00FA0363">
      <w:pPr>
        <w:pStyle w:val="13"/>
      </w:pPr>
      <w:r>
        <w:rPr>
          <w:rFonts w:hint="eastAsia"/>
        </w:rPr>
        <w:t>（二）负责本评估项目的注册房地产估价师；</w:t>
      </w:r>
    </w:p>
    <w:p w14:paraId="2C24A16A" w14:textId="77777777" w:rsidR="00FA0363" w:rsidRDefault="00FA0363" w:rsidP="00FA0363">
      <w:pPr>
        <w:pStyle w:val="13"/>
      </w:pPr>
      <w:r>
        <w:rPr>
          <w:rFonts w:hint="eastAsia"/>
        </w:rPr>
        <w:t>（三）评估目的、评估对象、评估时点等评估基本事项；</w:t>
      </w:r>
    </w:p>
    <w:p w14:paraId="14512FE9" w14:textId="77777777" w:rsidR="00FA0363" w:rsidRDefault="00FA0363" w:rsidP="00FA0363">
      <w:pPr>
        <w:pStyle w:val="13"/>
      </w:pPr>
      <w:r>
        <w:rPr>
          <w:rFonts w:hint="eastAsia"/>
        </w:rPr>
        <w:t>（四）委托人应提供的评估所需资料；</w:t>
      </w:r>
    </w:p>
    <w:p w14:paraId="09A7AD4D" w14:textId="77777777" w:rsidR="00FA0363" w:rsidRDefault="00FA0363" w:rsidP="00FA0363">
      <w:pPr>
        <w:pStyle w:val="13"/>
      </w:pPr>
      <w:r>
        <w:rPr>
          <w:rFonts w:hint="eastAsia"/>
        </w:rPr>
        <w:t>（五）评估过程中双方的权利和义务；</w:t>
      </w:r>
    </w:p>
    <w:p w14:paraId="00B02A89" w14:textId="77777777" w:rsidR="00FA0363" w:rsidRDefault="00FA0363" w:rsidP="00FA0363">
      <w:pPr>
        <w:pStyle w:val="13"/>
      </w:pPr>
      <w:r>
        <w:rPr>
          <w:rFonts w:hint="eastAsia"/>
        </w:rPr>
        <w:t>（六）评估费用及收取方式；</w:t>
      </w:r>
    </w:p>
    <w:p w14:paraId="015C68CB" w14:textId="77777777" w:rsidR="00FA0363" w:rsidRDefault="00FA0363" w:rsidP="00FA0363">
      <w:pPr>
        <w:pStyle w:val="13"/>
      </w:pPr>
      <w:r>
        <w:rPr>
          <w:rFonts w:hint="eastAsia"/>
        </w:rPr>
        <w:t>（七）评估报告交付时间、方式；</w:t>
      </w:r>
    </w:p>
    <w:p w14:paraId="512CEEDD" w14:textId="77777777" w:rsidR="00FA0363" w:rsidRDefault="00FA0363" w:rsidP="00FA0363">
      <w:pPr>
        <w:pStyle w:val="13"/>
      </w:pPr>
      <w:r>
        <w:rPr>
          <w:rFonts w:hint="eastAsia"/>
        </w:rPr>
        <w:t>（八）违约责任；</w:t>
      </w:r>
    </w:p>
    <w:p w14:paraId="43D485B0" w14:textId="77777777" w:rsidR="00FA0363" w:rsidRDefault="00FA0363" w:rsidP="00FA0363">
      <w:pPr>
        <w:pStyle w:val="13"/>
      </w:pPr>
      <w:r>
        <w:rPr>
          <w:rFonts w:hint="eastAsia"/>
        </w:rPr>
        <w:t>（九）解决争议的方法；</w:t>
      </w:r>
    </w:p>
    <w:p w14:paraId="4B1983A8" w14:textId="77777777" w:rsidR="00FA0363" w:rsidRDefault="00FA0363" w:rsidP="00FA0363">
      <w:pPr>
        <w:pStyle w:val="13"/>
      </w:pPr>
      <w:r>
        <w:rPr>
          <w:rFonts w:hint="eastAsia"/>
        </w:rPr>
        <w:t>（十）其他需要载明的事项。</w:t>
      </w:r>
    </w:p>
    <w:p w14:paraId="2CDCB241" w14:textId="2BC7D547" w:rsidR="00FA0363" w:rsidRDefault="004E3EBB" w:rsidP="00FA0363">
      <w:pPr>
        <w:pStyle w:val="13"/>
        <w:ind w:firstLine="482"/>
      </w:pPr>
      <w:r w:rsidRPr="004E3EBB">
        <w:rPr>
          <w:rFonts w:hint="eastAsia"/>
          <w:b/>
          <w:bCs/>
        </w:rPr>
        <w:t xml:space="preserve">第七条 </w:t>
      </w:r>
      <w:r w:rsidR="00FA0363">
        <w:t>房地产价格评估机构应当指派与房屋征收评估项目工作量相适应的足够数量的注册房地产估价师开展评估工作。</w:t>
      </w:r>
    </w:p>
    <w:p w14:paraId="29AF2282" w14:textId="77777777" w:rsidR="00FA0363" w:rsidRDefault="00FA0363" w:rsidP="00FA0363">
      <w:pPr>
        <w:pStyle w:val="13"/>
      </w:pPr>
      <w:r>
        <w:rPr>
          <w:rFonts w:hint="eastAsia"/>
        </w:rPr>
        <w:t>房地产价格评估机构不得转让或者变相转让受托的房屋征收评估业务。</w:t>
      </w:r>
    </w:p>
    <w:p w14:paraId="3ECBA639" w14:textId="6F398F9C" w:rsidR="00FA0363" w:rsidRDefault="004E3EBB" w:rsidP="00FA0363">
      <w:pPr>
        <w:pStyle w:val="13"/>
        <w:ind w:firstLine="482"/>
      </w:pPr>
      <w:r w:rsidRPr="004E3EBB">
        <w:rPr>
          <w:rFonts w:hint="eastAsia"/>
          <w:b/>
          <w:bCs/>
        </w:rPr>
        <w:t xml:space="preserve">第八条 </w:t>
      </w:r>
      <w:r w:rsidR="00FA0363">
        <w:t>被征收房屋价值评估目的应当表述为“为房屋征收部门与被征收人确定被征收房屋价值的补偿提供依据，评估被征收房屋的价值”。</w:t>
      </w:r>
    </w:p>
    <w:p w14:paraId="25B4C01C" w14:textId="77777777" w:rsidR="00FA0363" w:rsidRDefault="00FA0363" w:rsidP="00FA0363">
      <w:pPr>
        <w:pStyle w:val="13"/>
      </w:pPr>
      <w:r>
        <w:rPr>
          <w:rFonts w:hint="eastAsia"/>
        </w:rPr>
        <w:t>用于产权调换房屋价值评估目的应当表述为“为房屋征收部门与被征收人计算被征收房屋价值与用于产权调换房屋价值的差价提供依据，评估用于产权调换房屋</w:t>
      </w:r>
      <w:r>
        <w:rPr>
          <w:rFonts w:hint="eastAsia"/>
        </w:rPr>
        <w:lastRenderedPageBreak/>
        <w:t>的价值”。</w:t>
      </w:r>
    </w:p>
    <w:p w14:paraId="223ABF20" w14:textId="68E17F5D" w:rsidR="00FA0363" w:rsidRDefault="00E05BDA" w:rsidP="00FA0363">
      <w:pPr>
        <w:pStyle w:val="13"/>
        <w:ind w:firstLine="482"/>
      </w:pPr>
      <w:r w:rsidRPr="00E05BDA">
        <w:rPr>
          <w:rFonts w:hint="eastAsia"/>
          <w:b/>
          <w:bCs/>
        </w:rPr>
        <w:t xml:space="preserve">第九条 </w:t>
      </w:r>
      <w:r w:rsidR="00FA0363">
        <w:t>房屋征收评估前，房屋征收部门应当组织有关单位对被征收房屋情况进行调查，明确评估对象。评估对象应当全面、客观，不得遗漏、虚构。</w:t>
      </w:r>
    </w:p>
    <w:p w14:paraId="42C2F702" w14:textId="77777777" w:rsidR="00FA0363" w:rsidRDefault="00FA0363" w:rsidP="00FA0363">
      <w:pPr>
        <w:pStyle w:val="13"/>
      </w:pPr>
      <w:r>
        <w:rPr>
          <w:rFonts w:hint="eastAsia"/>
        </w:rPr>
        <w:t>房屋征收部门应当向受托的房地产价格评估机构提供征收范围内房屋情况，包括已经登记的房屋情况和未经登记建筑的认定、处理结果情况。调查结果应当在房屋征收范围内向被征收人公布。</w:t>
      </w:r>
    </w:p>
    <w:p w14:paraId="4C8ACD09" w14:textId="77777777" w:rsidR="00FA0363" w:rsidRDefault="00FA0363" w:rsidP="00FA0363">
      <w:pPr>
        <w:pStyle w:val="13"/>
      </w:pPr>
      <w:r>
        <w:rPr>
          <w:rFonts w:hint="eastAsia"/>
        </w:rPr>
        <w:t>对于已经登记的房屋，其性质、用途和建筑面积，一般以房屋权属证书和房屋登记簿的记载为准；房屋权属证书与房屋登记簿的记载不一致的，除有证据证明房屋登记簿确有错误外，以房屋登记簿为准。对于未经登记的建筑，应当按照市、县级人民政府的认定、处理结果进行评估。</w:t>
      </w:r>
    </w:p>
    <w:p w14:paraId="03E8ACC9" w14:textId="5F368688" w:rsidR="00FA0363" w:rsidRDefault="00E05BDA" w:rsidP="00FA0363">
      <w:pPr>
        <w:pStyle w:val="13"/>
        <w:ind w:firstLine="482"/>
      </w:pPr>
      <w:r w:rsidRPr="00E05BDA">
        <w:rPr>
          <w:rFonts w:hint="eastAsia"/>
          <w:b/>
          <w:bCs/>
        </w:rPr>
        <w:t xml:space="preserve">第十条 </w:t>
      </w:r>
      <w:r w:rsidR="00FA0363">
        <w:t>被征收房屋价值评估时点为房屋征收决定公告之日。</w:t>
      </w:r>
    </w:p>
    <w:p w14:paraId="10395EAF" w14:textId="77777777" w:rsidR="00FA0363" w:rsidRDefault="00FA0363" w:rsidP="00FA0363">
      <w:pPr>
        <w:pStyle w:val="13"/>
      </w:pPr>
      <w:r>
        <w:rPr>
          <w:rFonts w:hint="eastAsia"/>
        </w:rPr>
        <w:t>用于产权调换房屋价值评估时点应当与被征收房屋价值评估时点一致。</w:t>
      </w:r>
    </w:p>
    <w:p w14:paraId="03F213E1" w14:textId="2AFC84E6" w:rsidR="00FA0363" w:rsidRDefault="00E05BDA" w:rsidP="00FA0363">
      <w:pPr>
        <w:pStyle w:val="13"/>
        <w:ind w:firstLine="482"/>
      </w:pPr>
      <w:r w:rsidRPr="00E05BDA">
        <w:rPr>
          <w:rFonts w:hint="eastAsia"/>
          <w:b/>
          <w:bCs/>
        </w:rPr>
        <w:t xml:space="preserve">第十一条 </w:t>
      </w:r>
      <w:r w:rsidR="00FA0363">
        <w:t>被征收房屋价值是指被征收房屋及其占用范围内的土地使用权在正常交易情况下，由熟悉情况的交易双方以公平交易方式在评估时点自愿进行交易的金额，但不考虑被征收房屋租赁、抵押、查封等因素的影响。</w:t>
      </w:r>
    </w:p>
    <w:p w14:paraId="78F149F8" w14:textId="77777777" w:rsidR="00FA0363" w:rsidRDefault="00FA0363" w:rsidP="00FA0363">
      <w:pPr>
        <w:pStyle w:val="13"/>
      </w:pPr>
      <w:r>
        <w:rPr>
          <w:rFonts w:hint="eastAsia"/>
        </w:rPr>
        <w:t>前款所述不考虑租赁因素的影响，是指评估被征收房屋无租约限制的价值；不考虑抵押、查封因素的影响，是指评估价值中不扣除被征收房屋已抵押担保的债权数额、拖欠的建设工程价款和其他法定优先受偿款。</w:t>
      </w:r>
    </w:p>
    <w:p w14:paraId="5BAFA7E0" w14:textId="4B5B3A50" w:rsidR="00FA0363" w:rsidRDefault="00E05BDA" w:rsidP="00FA0363">
      <w:pPr>
        <w:pStyle w:val="13"/>
        <w:ind w:firstLine="482"/>
      </w:pPr>
      <w:r w:rsidRPr="00E05BDA">
        <w:rPr>
          <w:rFonts w:hint="eastAsia"/>
          <w:b/>
          <w:bCs/>
        </w:rPr>
        <w:t xml:space="preserve">第十二条 </w:t>
      </w:r>
      <w:r w:rsidR="00FA0363">
        <w:t>房地产价格评估机构应当安排注册房地产估价师对被征收房屋进行实地查勘，调查被征收房屋状况，拍摄反映被征收房屋内外部状况的照片等影像资料，做好实地查勘记录，并妥善保管。</w:t>
      </w:r>
    </w:p>
    <w:p w14:paraId="7CC83515" w14:textId="77777777" w:rsidR="00FA0363" w:rsidRDefault="00FA0363" w:rsidP="00FA0363">
      <w:pPr>
        <w:pStyle w:val="13"/>
      </w:pPr>
      <w:r>
        <w:rPr>
          <w:rFonts w:hint="eastAsia"/>
        </w:rPr>
        <w:t>被征收人应当协助注册房地产估价师对被征收房屋进行实地查勘，提供或者协助搜集被征收房屋价值评估所必需的情况和资料。</w:t>
      </w:r>
    </w:p>
    <w:p w14:paraId="27A9585F" w14:textId="77777777" w:rsidR="00FA0363" w:rsidRDefault="00FA0363" w:rsidP="00FA0363">
      <w:pPr>
        <w:pStyle w:val="13"/>
      </w:pPr>
      <w:r>
        <w:rPr>
          <w:rFonts w:hint="eastAsia"/>
        </w:rPr>
        <w:t>房屋征收部门、被征收人和注册房地产估价师应当在实地查勘记录上签字或者盖章确认。被征收人拒绝在实地查勘记录上签字或者盖章的，应当由房屋征收部门、注册房地产估价师和无利害关系的第三人见证，有关情况应当在评估报告中说明。</w:t>
      </w:r>
    </w:p>
    <w:p w14:paraId="26B0042A" w14:textId="2E6F7F1F" w:rsidR="00FA0363" w:rsidRDefault="00E05BDA" w:rsidP="00FA0363">
      <w:pPr>
        <w:pStyle w:val="13"/>
        <w:ind w:firstLine="482"/>
      </w:pPr>
      <w:r w:rsidRPr="00E05BDA">
        <w:rPr>
          <w:rFonts w:hint="eastAsia"/>
          <w:b/>
          <w:bCs/>
        </w:rPr>
        <w:t xml:space="preserve">第十三条 </w:t>
      </w:r>
      <w:r w:rsidR="00FA0363">
        <w:t>注册房地产估价师应当根据评估对象和当地房地产市场状况，对市场法、收益法、成本法、假设开发法等评估方法进行适用性分析后，选用其中一种或者多种方法对被征收房屋价值进行评估。</w:t>
      </w:r>
    </w:p>
    <w:p w14:paraId="499C75F5" w14:textId="77777777" w:rsidR="00FA0363" w:rsidRDefault="00FA0363" w:rsidP="00FA0363">
      <w:pPr>
        <w:pStyle w:val="13"/>
      </w:pPr>
      <w:r>
        <w:rPr>
          <w:rFonts w:hint="eastAsia"/>
        </w:rPr>
        <w:t>被征收房屋的类似房地产有交易的，应当选用市场法评估；被征收房屋或者其类似房地产有经济收益的，应当选用收益法评估；被征收房屋是在建工程的，应当选用假设开发法评估。</w:t>
      </w:r>
    </w:p>
    <w:p w14:paraId="12660269" w14:textId="77777777" w:rsidR="00FA0363" w:rsidRDefault="00FA0363" w:rsidP="00FA0363">
      <w:pPr>
        <w:pStyle w:val="13"/>
      </w:pPr>
      <w:r>
        <w:rPr>
          <w:rFonts w:hint="eastAsia"/>
        </w:rPr>
        <w:t>可以同时选用两种以上评估方法评估的，应当选用两种以上评估方法评估，并对各种评估方法的测算结果进行校核和比较分析后，合理确定评估结果。</w:t>
      </w:r>
    </w:p>
    <w:p w14:paraId="6E7737C7" w14:textId="42656764" w:rsidR="00FA0363" w:rsidRDefault="00E05BDA" w:rsidP="00FA0363">
      <w:pPr>
        <w:pStyle w:val="13"/>
        <w:ind w:firstLine="482"/>
      </w:pPr>
      <w:r w:rsidRPr="00E05BDA">
        <w:rPr>
          <w:rFonts w:hint="eastAsia"/>
          <w:b/>
          <w:bCs/>
        </w:rPr>
        <w:lastRenderedPageBreak/>
        <w:t xml:space="preserve">第十四条 </w:t>
      </w:r>
      <w:r w:rsidR="00FA0363">
        <w:t>被征收房屋价值评估应当考虑被征收房屋的区位、用途、建筑结构、新旧</w:t>
      </w:r>
      <w:r w:rsidR="00FA0363">
        <w:rPr>
          <w:rFonts w:hint="eastAsia"/>
        </w:rPr>
        <w:t>程度、建筑面积以及占地面积、土地使用权等影响被征收房屋价值的因素。</w:t>
      </w:r>
    </w:p>
    <w:p w14:paraId="6EA3D1FD" w14:textId="77777777" w:rsidR="00FA0363" w:rsidRDefault="00FA0363" w:rsidP="00FA0363">
      <w:pPr>
        <w:pStyle w:val="13"/>
      </w:pPr>
      <w:r>
        <w:rPr>
          <w:rFonts w:hint="eastAsia"/>
        </w:rPr>
        <w:t>被征收房屋室内装饰装修价值，机器设备、物资等搬迁费用，以及停产停业损失等补偿，由征收当事人协商确定；协商不成的，可以委托房地产价格评估机构通过评估确定。</w:t>
      </w:r>
    </w:p>
    <w:p w14:paraId="1DBBCB20" w14:textId="2E40BF26" w:rsidR="00FA0363" w:rsidRDefault="00E05BDA" w:rsidP="00FA0363">
      <w:pPr>
        <w:pStyle w:val="13"/>
        <w:ind w:firstLine="482"/>
      </w:pPr>
      <w:r w:rsidRPr="00E05BDA">
        <w:rPr>
          <w:rFonts w:hint="eastAsia"/>
          <w:b/>
          <w:bCs/>
        </w:rPr>
        <w:t xml:space="preserve">第十五条 </w:t>
      </w:r>
      <w:r w:rsidR="00FA0363">
        <w:t>房屋征收评估价值应当以人民币为计价的货币单位，精确到元。</w:t>
      </w:r>
    </w:p>
    <w:p w14:paraId="486C59F9" w14:textId="32E8E773" w:rsidR="00FA0363" w:rsidRDefault="00E05BDA" w:rsidP="00FA0363">
      <w:pPr>
        <w:pStyle w:val="13"/>
        <w:ind w:firstLine="482"/>
      </w:pPr>
      <w:r w:rsidRPr="00E05BDA">
        <w:rPr>
          <w:rFonts w:hint="eastAsia"/>
          <w:b/>
          <w:bCs/>
        </w:rPr>
        <w:t xml:space="preserve">第十六条 </w:t>
      </w:r>
      <w:r w:rsidR="00FA0363">
        <w:t>房地产价格评估机构应当按照房屋征收评估委托书或者委托合同的约定</w:t>
      </w:r>
      <w:r w:rsidR="003068F8">
        <w:t>，</w:t>
      </w:r>
      <w:r w:rsidR="00FA0363">
        <w:t xml:space="preserve">向房屋征收部门提供分户的初步评估结果。分户的初步评估结果应当包括评估对象的构 </w:t>
      </w:r>
      <w:proofErr w:type="gramStart"/>
      <w:r w:rsidR="00FA0363">
        <w:t>成及其</w:t>
      </w:r>
      <w:proofErr w:type="gramEnd"/>
      <w:r w:rsidR="00FA0363">
        <w:t>基本情况和评估价值。房屋征收部门应当将分户的初步评估结果在征收范围内向 被征收人公示。</w:t>
      </w:r>
    </w:p>
    <w:p w14:paraId="7FC48D01" w14:textId="77777777" w:rsidR="00FA0363" w:rsidRDefault="00FA0363" w:rsidP="00FA0363">
      <w:pPr>
        <w:pStyle w:val="13"/>
      </w:pPr>
      <w:r>
        <w:rPr>
          <w:rFonts w:hint="eastAsia"/>
        </w:rPr>
        <w:t>公示期间，房地产价格评估机构应当安排注册房地产估价师对分户的初步评估结果进行现场说明解释。存在错误的，房地产价格评估机构应当修正。</w:t>
      </w:r>
    </w:p>
    <w:p w14:paraId="3262609E" w14:textId="7C3C8AC4" w:rsidR="00FA0363" w:rsidRDefault="00E05BDA" w:rsidP="00FA0363">
      <w:pPr>
        <w:pStyle w:val="13"/>
        <w:ind w:firstLine="482"/>
      </w:pPr>
      <w:r w:rsidRPr="00E05BDA">
        <w:rPr>
          <w:rFonts w:hint="eastAsia"/>
          <w:b/>
          <w:bCs/>
        </w:rPr>
        <w:t xml:space="preserve">第十七条 </w:t>
      </w:r>
      <w:r w:rsidR="00FA0363">
        <w:t>分户初步评估结果公示期满后，房地产价格评估机构应当向房屋征收部门提供委托评估范围内被征收房屋的整体评估报告和分户评估报告。房屋征收部门应当向被征收人转交分户评估报告。</w:t>
      </w:r>
    </w:p>
    <w:p w14:paraId="03214D9E" w14:textId="77777777" w:rsidR="00FA0363" w:rsidRPr="00E73797" w:rsidRDefault="00FA0363" w:rsidP="00FA0363">
      <w:pPr>
        <w:pStyle w:val="13"/>
      </w:pPr>
      <w:r>
        <w:rPr>
          <w:rFonts w:hint="eastAsia"/>
        </w:rPr>
        <w:t>整体评估报告和分户评估报告应当由负责房屋征收评估项目的两名以上注册房</w:t>
      </w:r>
      <w:r w:rsidRPr="00E73797">
        <w:rPr>
          <w:rFonts w:hint="eastAsia"/>
        </w:rPr>
        <w:t>地产估价师签字，并加盖房地产价格评估机构公章。不得以印章代替签字。</w:t>
      </w:r>
    </w:p>
    <w:p w14:paraId="2FAB4D10" w14:textId="65277065" w:rsidR="00FA0363" w:rsidRDefault="00E05BDA" w:rsidP="00FA0363">
      <w:pPr>
        <w:pStyle w:val="13"/>
        <w:ind w:firstLine="482"/>
      </w:pPr>
      <w:r w:rsidRPr="00E05BDA">
        <w:rPr>
          <w:rFonts w:hint="eastAsia"/>
          <w:b/>
          <w:bCs/>
        </w:rPr>
        <w:t xml:space="preserve">第十八条 </w:t>
      </w:r>
      <w:r w:rsidR="00FA0363">
        <w:t>房屋征收评估业务完成后，房地产价格评估机构应当将评估报告及相关资料立卷、归档保管。</w:t>
      </w:r>
    </w:p>
    <w:p w14:paraId="59B82E2A" w14:textId="41E7E22D" w:rsidR="00FA0363" w:rsidRDefault="00E05BDA" w:rsidP="00FA0363">
      <w:pPr>
        <w:pStyle w:val="13"/>
        <w:ind w:firstLine="482"/>
      </w:pPr>
      <w:r w:rsidRPr="00E05BDA">
        <w:rPr>
          <w:rFonts w:hint="eastAsia"/>
          <w:b/>
          <w:bCs/>
        </w:rPr>
        <w:t xml:space="preserve">第十九条 </w:t>
      </w:r>
      <w:r w:rsidR="00FA0363">
        <w:t>被征收人或者房屋征收部门对评估报告有疑问的，出具评估报告的房地产价格评估机构应当向其</w:t>
      </w:r>
      <w:proofErr w:type="gramStart"/>
      <w:r w:rsidR="00FA0363">
        <w:t>作出</w:t>
      </w:r>
      <w:proofErr w:type="gramEnd"/>
      <w:r w:rsidR="00FA0363">
        <w:t>解释和说明。</w:t>
      </w:r>
    </w:p>
    <w:p w14:paraId="09CFD974" w14:textId="273D0C66" w:rsidR="00FA0363" w:rsidRDefault="00E05BDA" w:rsidP="00FA0363">
      <w:pPr>
        <w:pStyle w:val="13"/>
        <w:ind w:firstLine="482"/>
      </w:pPr>
      <w:r w:rsidRPr="00E05BDA">
        <w:rPr>
          <w:rFonts w:hint="eastAsia"/>
          <w:b/>
          <w:bCs/>
        </w:rPr>
        <w:t xml:space="preserve">第二十条 </w:t>
      </w:r>
      <w:r w:rsidR="00FA0363">
        <w:t>被征收人或者房屋征收部门对评估结果有异议的，应当自收到评估报告之日起 10</w:t>
      </w:r>
      <w:r w:rsidR="003068F8">
        <w:t>日</w:t>
      </w:r>
      <w:r w:rsidR="00FA0363">
        <w:t>内，向房地产价格评估机构申请复核评估。</w:t>
      </w:r>
    </w:p>
    <w:p w14:paraId="05D5E29A" w14:textId="77777777" w:rsidR="00FA0363" w:rsidRDefault="00FA0363" w:rsidP="00FA0363">
      <w:pPr>
        <w:pStyle w:val="13"/>
      </w:pPr>
      <w:r>
        <w:rPr>
          <w:rFonts w:hint="eastAsia"/>
        </w:rPr>
        <w:t>申请复核评估的，应当向原房地产价格评估机构提出书面复核评估申请，并指出评估报告存在的问题。</w:t>
      </w:r>
    </w:p>
    <w:p w14:paraId="7962EEE8" w14:textId="70D46732" w:rsidR="00FA0363" w:rsidRDefault="00E05BDA" w:rsidP="00FA0363">
      <w:pPr>
        <w:pStyle w:val="13"/>
        <w:ind w:firstLine="482"/>
      </w:pPr>
      <w:r w:rsidRPr="00E05BDA">
        <w:rPr>
          <w:rFonts w:hint="eastAsia"/>
          <w:b/>
          <w:bCs/>
        </w:rPr>
        <w:t xml:space="preserve">第二十一条 </w:t>
      </w:r>
      <w:r w:rsidR="00FA0363">
        <w:t>原房地产价格评估机构应当自收到书面复核评估申请之日起 10</w:t>
      </w:r>
      <w:r w:rsidR="003068F8">
        <w:t>日</w:t>
      </w:r>
      <w:r w:rsidR="00FA0363">
        <w:t>内对评估结果进行复核。复核后，改变原评估结果的，应当重新出具评估报告；评估结果没有改变的，应当书面告知复核评估申请人。</w:t>
      </w:r>
    </w:p>
    <w:p w14:paraId="637426A0" w14:textId="3AB79C6A" w:rsidR="00FA0363" w:rsidRDefault="00E05BDA" w:rsidP="00FA0363">
      <w:pPr>
        <w:pStyle w:val="13"/>
        <w:ind w:firstLine="482"/>
      </w:pPr>
      <w:r w:rsidRPr="00E05BDA">
        <w:rPr>
          <w:rFonts w:hint="eastAsia"/>
          <w:b/>
          <w:bCs/>
        </w:rPr>
        <w:t xml:space="preserve">第二十二条 </w:t>
      </w:r>
      <w:r w:rsidR="00FA0363">
        <w:t>被征收人或者房屋征收部门对原房地产价格评估机构的复核结果有异</w:t>
      </w:r>
      <w:r w:rsidR="00FA0363">
        <w:rPr>
          <w:rFonts w:hint="eastAsia"/>
        </w:rPr>
        <w:t>议的，应当自收到复核结果之日起</w:t>
      </w:r>
      <w:r w:rsidR="00FA0363">
        <w:t xml:space="preserve"> 10</w:t>
      </w:r>
      <w:r w:rsidR="003068F8">
        <w:t>日</w:t>
      </w:r>
      <w:r w:rsidR="00FA0363">
        <w:t>内，向被征收房屋所在地评估专家委员会申请鉴定。被征收人对</w:t>
      </w:r>
      <w:proofErr w:type="gramStart"/>
      <w:r w:rsidR="00FA0363">
        <w:t>补偿仍</w:t>
      </w:r>
      <w:proofErr w:type="gramEnd"/>
      <w:r w:rsidR="00FA0363">
        <w:t>有异议的，按照《国有土地上房屋征收与补偿条例》第二十六条规定处理。</w:t>
      </w:r>
    </w:p>
    <w:p w14:paraId="79FABB23" w14:textId="4C95CFB9" w:rsidR="00FA0363" w:rsidRDefault="00E05BDA" w:rsidP="00FA0363">
      <w:pPr>
        <w:pStyle w:val="13"/>
        <w:ind w:firstLine="482"/>
      </w:pPr>
      <w:r w:rsidRPr="00E05BDA">
        <w:rPr>
          <w:rFonts w:hint="eastAsia"/>
          <w:b/>
          <w:bCs/>
        </w:rPr>
        <w:t xml:space="preserve">第二十三条 </w:t>
      </w:r>
      <w:r w:rsidR="00FA0363">
        <w:t>各省、自治区住房城乡建设主管部门和设区城市的房地产管理部门应当组织成立评估专家委员会，对房地产价格评估机构做出的复核结果进行鉴定。</w:t>
      </w:r>
    </w:p>
    <w:p w14:paraId="22EA26F3" w14:textId="77777777" w:rsidR="00FA0363" w:rsidRDefault="00FA0363" w:rsidP="00FA0363">
      <w:pPr>
        <w:pStyle w:val="13"/>
      </w:pPr>
      <w:r>
        <w:rPr>
          <w:rFonts w:hint="eastAsia"/>
        </w:rPr>
        <w:lastRenderedPageBreak/>
        <w:t>评估专家委员会由房地产估价师以及价格、房地产、土地、城市规划、法律等方面的专家组成。</w:t>
      </w:r>
    </w:p>
    <w:p w14:paraId="0BE50E39" w14:textId="07E9C416" w:rsidR="00FA0363" w:rsidRDefault="00E05BDA" w:rsidP="00FA0363">
      <w:pPr>
        <w:pStyle w:val="13"/>
        <w:ind w:firstLine="482"/>
      </w:pPr>
      <w:r w:rsidRPr="00E05BDA">
        <w:rPr>
          <w:rFonts w:hint="eastAsia"/>
          <w:b/>
          <w:bCs/>
        </w:rPr>
        <w:t xml:space="preserve">第二十四条 </w:t>
      </w:r>
      <w:r w:rsidR="00FA0363">
        <w:t>评估专家委员会应当选派成员组成专家组，对复核结果进行鉴定。专家组成员为 3 人以上单数，其中房地产估价师不得少于二分之一、</w:t>
      </w:r>
    </w:p>
    <w:p w14:paraId="6D5F614B" w14:textId="45210BFF" w:rsidR="00FA0363" w:rsidRDefault="00E05BDA" w:rsidP="00FA0363">
      <w:pPr>
        <w:pStyle w:val="13"/>
        <w:ind w:firstLine="482"/>
      </w:pPr>
      <w:r w:rsidRPr="00E05BDA">
        <w:rPr>
          <w:rFonts w:hint="eastAsia"/>
          <w:b/>
          <w:bCs/>
        </w:rPr>
        <w:t xml:space="preserve">第二十五条 </w:t>
      </w:r>
      <w:r w:rsidR="00FA0363">
        <w:t>评估专家委员会应当自收到鉴定申请之日起 10</w:t>
      </w:r>
      <w:r w:rsidR="003068F8">
        <w:t>日</w:t>
      </w:r>
      <w:r w:rsidR="00FA0363">
        <w:t>内，对申请鉴定评估报告的评估程序、评估依据、评估假设、评估技术路线、评估方法选用、参数选取、评估结果确定方式等评估技术问题进行审核，出具书面鉴定意见。</w:t>
      </w:r>
    </w:p>
    <w:p w14:paraId="7F246A1C" w14:textId="77777777" w:rsidR="00FA0363" w:rsidRDefault="00FA0363" w:rsidP="00FA0363">
      <w:pPr>
        <w:pStyle w:val="13"/>
      </w:pPr>
      <w:r>
        <w:rPr>
          <w:rFonts w:hint="eastAsia"/>
        </w:rPr>
        <w:t>经评估专家委员会鉴定，评估报告不存在技术问题的，应当维持评估报告；评估报告存在技术问题的，出具评估报告的房地产价格评估机构应当改正错误，重新出具评估报告。</w:t>
      </w:r>
    </w:p>
    <w:p w14:paraId="3307BBB8" w14:textId="39FCCC33" w:rsidR="00FA0363" w:rsidRDefault="00E05BDA" w:rsidP="00FA0363">
      <w:pPr>
        <w:pStyle w:val="13"/>
        <w:ind w:firstLine="482"/>
      </w:pPr>
      <w:r w:rsidRPr="00E05BDA">
        <w:rPr>
          <w:rFonts w:hint="eastAsia"/>
          <w:b/>
          <w:bCs/>
        </w:rPr>
        <w:t xml:space="preserve">第二十六条 </w:t>
      </w:r>
      <w:r w:rsidR="00FA0363">
        <w:t>房屋征收评估鉴定过程中，房地产价格评估机构应当按照评估专家委员会要求，就鉴定涉及的评估相关事宜进行说明。需要对被征收房屋进行实地查勘和调查的，有关单位和个人应当协助。</w:t>
      </w:r>
    </w:p>
    <w:p w14:paraId="4AB94BF3" w14:textId="75EED795" w:rsidR="00FA0363" w:rsidRDefault="00E05BDA" w:rsidP="00FA0363">
      <w:pPr>
        <w:pStyle w:val="13"/>
        <w:ind w:firstLine="482"/>
      </w:pPr>
      <w:r w:rsidRPr="00E05BDA">
        <w:rPr>
          <w:rFonts w:hint="eastAsia"/>
          <w:b/>
          <w:bCs/>
        </w:rPr>
        <w:t xml:space="preserve">第二十七条 </w:t>
      </w:r>
      <w:r w:rsidR="00FA0363">
        <w:t>因房屋征收评估、复核评估、鉴定工作需要查询被征收房屋和用于产权调换房屋权属以及相关房地产交易信息的，房地产管理部门及其他相关部门应当提供便利。</w:t>
      </w:r>
    </w:p>
    <w:p w14:paraId="41A37568" w14:textId="6EC95842" w:rsidR="00FA0363" w:rsidRDefault="00E05BDA" w:rsidP="00FA0363">
      <w:pPr>
        <w:pStyle w:val="13"/>
        <w:ind w:firstLine="482"/>
      </w:pPr>
      <w:r w:rsidRPr="00E05BDA">
        <w:rPr>
          <w:rFonts w:hint="eastAsia"/>
          <w:b/>
          <w:bCs/>
        </w:rPr>
        <w:t xml:space="preserve">第二十八条 </w:t>
      </w:r>
      <w:r w:rsidR="00FA0363">
        <w:t>在房屋征收评估过程中，房屋征收部门或者被征收人不配合、不提供相关资料的，房地产价格评估机构应当在评估报告中说明有关情况。</w:t>
      </w:r>
    </w:p>
    <w:p w14:paraId="36DBDF3D" w14:textId="41AD86F0" w:rsidR="00FA0363" w:rsidRDefault="00E05BDA" w:rsidP="00FA0363">
      <w:pPr>
        <w:pStyle w:val="13"/>
        <w:ind w:firstLine="482"/>
      </w:pPr>
      <w:r w:rsidRPr="00E05BDA">
        <w:rPr>
          <w:rFonts w:hint="eastAsia"/>
          <w:b/>
          <w:bCs/>
        </w:rPr>
        <w:t xml:space="preserve">第二十九条 </w:t>
      </w:r>
      <w:r w:rsidR="00FA0363">
        <w:t>除政府对用于产权调换房屋价格有特别规定外，应当以评估方式确定用于产权调换房屋的市场价值。</w:t>
      </w:r>
    </w:p>
    <w:p w14:paraId="2C0FF370" w14:textId="6538603E" w:rsidR="00FA0363" w:rsidRDefault="00E05BDA" w:rsidP="00FA0363">
      <w:pPr>
        <w:pStyle w:val="13"/>
        <w:ind w:firstLine="482"/>
      </w:pPr>
      <w:r w:rsidRPr="00E05BDA">
        <w:rPr>
          <w:rFonts w:hint="eastAsia"/>
          <w:b/>
          <w:bCs/>
        </w:rPr>
        <w:t xml:space="preserve">第三十条 </w:t>
      </w:r>
      <w:r w:rsidR="00FA0363">
        <w:t>被征收房屋的类似房地产是指与被征收房屋的区位、用途、权利性质、档次、新旧程度、规模、建筑结构等相同或者相似的房地产。</w:t>
      </w:r>
    </w:p>
    <w:p w14:paraId="7AFAE614" w14:textId="77777777" w:rsidR="00FA0363" w:rsidRDefault="00FA0363" w:rsidP="00FA0363">
      <w:pPr>
        <w:pStyle w:val="13"/>
      </w:pPr>
      <w:r>
        <w:rPr>
          <w:rFonts w:hint="eastAsia"/>
        </w:rPr>
        <w:t>被征收房屋类似房地产的市场价格是指被征收房屋的类似房地产在评估时点的平均交易价格。确定被征收房屋类似房地产的市场价格，应当剔除偶然的和不正常的因素。</w:t>
      </w:r>
    </w:p>
    <w:p w14:paraId="065977AB" w14:textId="54B79437" w:rsidR="00FA0363" w:rsidRDefault="003B2FB1" w:rsidP="00FA0363">
      <w:pPr>
        <w:pStyle w:val="13"/>
        <w:ind w:firstLine="482"/>
      </w:pPr>
      <w:r w:rsidRPr="003B2FB1">
        <w:rPr>
          <w:rFonts w:hint="eastAsia"/>
          <w:b/>
          <w:bCs/>
        </w:rPr>
        <w:t xml:space="preserve">第三十一条 </w:t>
      </w:r>
      <w:r w:rsidR="00FA0363">
        <w:t>房屋征收评估、鉴定费用由委托人承担。但鉴定改变原评估结果的，鉴</w:t>
      </w:r>
      <w:r w:rsidR="00FA0363">
        <w:rPr>
          <w:rFonts w:hint="eastAsia"/>
        </w:rPr>
        <w:t>定费用由原房地产价格评估机构承担。复核评估费用由原房地产价格评估机构承担。房屋征收评估、鉴定费用按照政府价格主管部门规定的收费标准执行。</w:t>
      </w:r>
    </w:p>
    <w:p w14:paraId="31508BE7" w14:textId="032A1D09" w:rsidR="00FA0363" w:rsidRDefault="003B2FB1" w:rsidP="00FA0363">
      <w:pPr>
        <w:pStyle w:val="13"/>
        <w:ind w:firstLine="482"/>
      </w:pPr>
      <w:r w:rsidRPr="003B2FB1">
        <w:rPr>
          <w:rFonts w:hint="eastAsia"/>
          <w:b/>
          <w:bCs/>
        </w:rPr>
        <w:t xml:space="preserve">第三十二条 </w:t>
      </w:r>
      <w:r w:rsidR="00FA0363">
        <w:t>在房屋征收评估活动中，房地产价格评估机构和房地产估价师的违法违规行为，按照《国有土地上房屋征收与补偿条例》、《房地产估价机构管理办法》、《注册房地产估价师管理办法》等规定处罚。违反规定收费的，由政府价格主管部门依照《中华人民共和国价格法》规定处罚。</w:t>
      </w:r>
    </w:p>
    <w:p w14:paraId="7A13D9E8" w14:textId="7844FD01" w:rsidR="00FA0363" w:rsidRDefault="003B2FB1" w:rsidP="00FA0363">
      <w:pPr>
        <w:pStyle w:val="13"/>
        <w:ind w:firstLine="482"/>
      </w:pPr>
      <w:r w:rsidRPr="003B2FB1">
        <w:rPr>
          <w:rFonts w:hint="eastAsia"/>
          <w:b/>
          <w:bCs/>
        </w:rPr>
        <w:t xml:space="preserve">第三十三条 </w:t>
      </w:r>
      <w:r w:rsidR="00FA0363">
        <w:t>本办法自公布之日起施行。2003</w:t>
      </w:r>
      <w:r w:rsidR="003068F8">
        <w:t>年</w:t>
      </w:r>
      <w:r w:rsidR="00FA0363">
        <w:t>12</w:t>
      </w:r>
      <w:r w:rsidR="003068F8">
        <w:t>月</w:t>
      </w:r>
      <w:r w:rsidR="00FA0363">
        <w:t>1</w:t>
      </w:r>
      <w:r w:rsidR="003068F8">
        <w:t>日</w:t>
      </w:r>
      <w:r w:rsidR="00FA0363">
        <w:t>原建设部发布的《城市房屋拆迁估价指导意见》同时废止。但《国有土地上房屋征收与补偿条例》施行前</w:t>
      </w:r>
      <w:r w:rsidR="00FA0363">
        <w:lastRenderedPageBreak/>
        <w:t>已依法取得房屋拆迁许可证的项目，继续沿用原有规定。</w:t>
      </w:r>
    </w:p>
    <w:p w14:paraId="5C3CCFA1" w14:textId="77777777" w:rsidR="00FA0363" w:rsidRDefault="00FA0363" w:rsidP="00FA0363">
      <w:pPr>
        <w:pStyle w:val="21"/>
        <w:spacing w:before="156" w:after="93"/>
      </w:pPr>
      <w:bookmarkStart w:id="131" w:name="_Toc81833393"/>
      <w:r>
        <w:rPr>
          <w:rFonts w:hint="eastAsia"/>
        </w:rPr>
        <w:t>山东规范</w:t>
      </w:r>
      <w:bookmarkEnd w:id="131"/>
    </w:p>
    <w:p w14:paraId="23F62AA2" w14:textId="77777777" w:rsidR="00FA0363" w:rsidRDefault="00FA0363" w:rsidP="00FA0363">
      <w:pPr>
        <w:pStyle w:val="31"/>
        <w:spacing w:before="156" w:after="62"/>
      </w:pPr>
      <w:bookmarkStart w:id="132" w:name="_Toc81833394"/>
      <w:r>
        <w:rPr>
          <w:rFonts w:hint="eastAsia"/>
        </w:rPr>
        <w:t>山东省城市房屋拆迁评估管理办法</w:t>
      </w:r>
      <w:bookmarkEnd w:id="132"/>
    </w:p>
    <w:p w14:paraId="35CE45D8" w14:textId="6C109920" w:rsidR="00FA0363" w:rsidRDefault="004E3EBB" w:rsidP="00FA0363">
      <w:pPr>
        <w:pStyle w:val="13"/>
        <w:ind w:firstLine="482"/>
      </w:pPr>
      <w:r w:rsidRPr="004E3EBB">
        <w:rPr>
          <w:rFonts w:hint="eastAsia"/>
          <w:b/>
          <w:bCs/>
        </w:rPr>
        <w:t xml:space="preserve">第一条 </w:t>
      </w:r>
      <w:r w:rsidR="00FA0363">
        <w:t>为规范本省城市房屋拆迁评估行为，维护拆迁当事人的合法权益，根据《城市房屋拆迁管理条例》、《山东省城市房屋拆迂管理条例》、建设部《城市房屋拆迁估价指导意见》和国家标准《房地产估价规范》（GB/T50291－1999）的有关规定，结合本省实际情况，制定本办法。</w:t>
      </w:r>
    </w:p>
    <w:p w14:paraId="455A43C3" w14:textId="4F44283E" w:rsidR="00FA0363" w:rsidRDefault="004E3EBB" w:rsidP="00FA0363">
      <w:pPr>
        <w:pStyle w:val="13"/>
        <w:ind w:firstLine="482"/>
      </w:pPr>
      <w:r w:rsidRPr="004E3EBB">
        <w:rPr>
          <w:rFonts w:hint="eastAsia"/>
          <w:b/>
          <w:bCs/>
        </w:rPr>
        <w:t xml:space="preserve">第二条 </w:t>
      </w:r>
      <w:r w:rsidR="00FA0363">
        <w:t>凡在本省城市规划区内国有土地上实施房屋拆迁评估的，适用本办法。</w:t>
      </w:r>
    </w:p>
    <w:p w14:paraId="32E676F1" w14:textId="77777777" w:rsidR="00FA0363" w:rsidRDefault="00FA0363" w:rsidP="00FA0363">
      <w:pPr>
        <w:pStyle w:val="13"/>
      </w:pPr>
      <w:r>
        <w:rPr>
          <w:rFonts w:hint="eastAsia"/>
        </w:rPr>
        <w:t>因城市建设需要使用城市规划区范围内的集体土地，应当依法办理土地征收手续，拆迁该集体土地上房屋实施房屋拆</w:t>
      </w:r>
      <w:proofErr w:type="gramStart"/>
      <w:r>
        <w:rPr>
          <w:rFonts w:hint="eastAsia"/>
        </w:rPr>
        <w:t>迂</w:t>
      </w:r>
      <w:proofErr w:type="gramEnd"/>
      <w:r>
        <w:rPr>
          <w:rFonts w:hint="eastAsia"/>
        </w:rPr>
        <w:t>评估的，参照本办法执行。</w:t>
      </w:r>
    </w:p>
    <w:p w14:paraId="4E6DD2FE" w14:textId="0A1298DD" w:rsidR="00FA0363" w:rsidRDefault="004E3EBB" w:rsidP="00FA0363">
      <w:pPr>
        <w:pStyle w:val="13"/>
        <w:ind w:firstLine="482"/>
      </w:pPr>
      <w:r w:rsidRPr="004E3EBB">
        <w:rPr>
          <w:rFonts w:hint="eastAsia"/>
          <w:b/>
          <w:bCs/>
        </w:rPr>
        <w:t xml:space="preserve">第三条 </w:t>
      </w:r>
      <w:r w:rsidR="00FA0363">
        <w:t>省人民政府建设行政主管部门负责对全省城市房屋拆迁评估工作进行监督管理。</w:t>
      </w:r>
    </w:p>
    <w:p w14:paraId="66443323" w14:textId="13151E7B" w:rsidR="00FA0363" w:rsidRDefault="004E3EBB" w:rsidP="00FA0363">
      <w:pPr>
        <w:pStyle w:val="13"/>
        <w:ind w:firstLine="482"/>
      </w:pPr>
      <w:r w:rsidRPr="004E3EBB">
        <w:rPr>
          <w:rFonts w:hint="eastAsia"/>
          <w:b/>
          <w:bCs/>
        </w:rPr>
        <w:t xml:space="preserve">第四条 </w:t>
      </w:r>
      <w:r w:rsidR="00FA0363">
        <w:t>本办法所称城市房屋拆迁评估（以下称拆迁评估），是指房地产评估机构依据建设部《城市房屋拆迁估价指导意见》。《山东省城市房屋拆迂管理条例》的有关规定，对被拆迁房屋评估确定其货币补偿金额的活动。</w:t>
      </w:r>
    </w:p>
    <w:p w14:paraId="616AAFE3" w14:textId="37D90AAA" w:rsidR="00FA0363" w:rsidRDefault="004E3EBB" w:rsidP="00FA0363">
      <w:pPr>
        <w:pStyle w:val="13"/>
        <w:ind w:firstLine="482"/>
      </w:pPr>
      <w:r w:rsidRPr="004E3EBB">
        <w:rPr>
          <w:rFonts w:hint="eastAsia"/>
          <w:b/>
          <w:bCs/>
        </w:rPr>
        <w:t xml:space="preserve">第五条 </w:t>
      </w:r>
      <w:r w:rsidR="00FA0363">
        <w:t>从事拆迁评估的评估机构应当具备下列条件：</w:t>
      </w:r>
    </w:p>
    <w:p w14:paraId="54EA8010" w14:textId="77777777" w:rsidR="00FA0363" w:rsidRDefault="00FA0363" w:rsidP="00FA0363">
      <w:pPr>
        <w:pStyle w:val="13"/>
      </w:pPr>
      <w:r>
        <w:rPr>
          <w:rFonts w:hint="eastAsia"/>
        </w:rPr>
        <w:t>（一）取得三级（含三级）以上房地产评估资格等级。</w:t>
      </w:r>
    </w:p>
    <w:p w14:paraId="433FD588" w14:textId="77777777" w:rsidR="00FA0363" w:rsidRDefault="00FA0363" w:rsidP="00FA0363">
      <w:pPr>
        <w:pStyle w:val="13"/>
      </w:pPr>
      <w:r>
        <w:rPr>
          <w:rFonts w:hint="eastAsia"/>
        </w:rPr>
        <w:t>（二）有三名以上具有三年拆迁评估工作经验且经过省建设行政主管部门组织的拆迁法规、政策和拆迁专业知识系统培训并达到合格要求的注册房地产估价师。取得三级（含三级）房地产评估资格等级的评估机构只能在本市、县辖区内从事拆迁评估业务。二级（合二级）以上的，可以在全省范围内从事拆迁评估业务。</w:t>
      </w:r>
    </w:p>
    <w:p w14:paraId="02EF9595" w14:textId="19A891AD" w:rsidR="00FA0363" w:rsidRDefault="004E3EBB" w:rsidP="00FA0363">
      <w:pPr>
        <w:pStyle w:val="13"/>
        <w:ind w:firstLine="482"/>
      </w:pPr>
      <w:r w:rsidRPr="004E3EBB">
        <w:rPr>
          <w:rFonts w:hint="eastAsia"/>
          <w:b/>
          <w:bCs/>
        </w:rPr>
        <w:t xml:space="preserve">第六条 </w:t>
      </w:r>
      <w:r w:rsidR="00FA0363">
        <w:t>设区的市、县（市）房屋拆迁管理部门应当每年向社会公示一批符合本办法第五条规定条件的评估机构，供拆迁当事人选择。</w:t>
      </w:r>
    </w:p>
    <w:p w14:paraId="3C4A1A12" w14:textId="77777777" w:rsidR="00FA0363" w:rsidRDefault="00FA0363" w:rsidP="00FA0363">
      <w:pPr>
        <w:pStyle w:val="13"/>
      </w:pPr>
      <w:r>
        <w:rPr>
          <w:rFonts w:hint="eastAsia"/>
        </w:rPr>
        <w:t>未经当地房屋拆迁管理部门公示的评估机构，不得接受拆迁评估委托，不得出具拆迁评估报告。</w:t>
      </w:r>
    </w:p>
    <w:p w14:paraId="01D6ED13" w14:textId="76724ACA" w:rsidR="00FA0363" w:rsidRDefault="004E3EBB" w:rsidP="00FA0363">
      <w:pPr>
        <w:pStyle w:val="13"/>
        <w:ind w:firstLine="482"/>
      </w:pPr>
      <w:r w:rsidRPr="004E3EBB">
        <w:rPr>
          <w:rFonts w:hint="eastAsia"/>
          <w:b/>
          <w:bCs/>
        </w:rPr>
        <w:t xml:space="preserve">第七条 </w:t>
      </w:r>
      <w:r w:rsidR="00FA0363">
        <w:t>拆迁评估机构应当由拆迁当事人协商或被拆迁人投票的方式确定。协商或投票不成的，由拆迁当事人抽签确定，抽签由被拆迁房屋所在地的房屋拆迁管理部门组织进行。拆迁当事人放弃抽签的，由房屋拆迁管理部门指定。</w:t>
      </w:r>
    </w:p>
    <w:p w14:paraId="2D51B5CA" w14:textId="77777777" w:rsidR="00FA0363" w:rsidRDefault="00FA0363" w:rsidP="00FA0363">
      <w:pPr>
        <w:pStyle w:val="13"/>
      </w:pPr>
      <w:r>
        <w:rPr>
          <w:rFonts w:hint="eastAsia"/>
        </w:rPr>
        <w:t>房屋拆迁许可证确定的同一拆迁范围内的被拆迁房屋，原则上由一家评估机构评估。需要由两家或者两家以上评估机构评估的，评估机构之间应当就拆迁评估的依据、原则、程序、方法、参数选取等进行协调并执行共同的标准。</w:t>
      </w:r>
    </w:p>
    <w:p w14:paraId="32B7CF97" w14:textId="4B5C576D" w:rsidR="00FA0363" w:rsidRDefault="004E3EBB" w:rsidP="00FA0363">
      <w:pPr>
        <w:pStyle w:val="13"/>
        <w:ind w:firstLine="482"/>
      </w:pPr>
      <w:r w:rsidRPr="004E3EBB">
        <w:rPr>
          <w:rFonts w:hint="eastAsia"/>
          <w:b/>
          <w:bCs/>
        </w:rPr>
        <w:t xml:space="preserve">第八条 </w:t>
      </w:r>
      <w:r w:rsidR="00FA0363">
        <w:t>评估机构确定后，由拆迁人委托。委托人应当与评估机构签订书面拆</w:t>
      </w:r>
      <w:proofErr w:type="gramStart"/>
      <w:r w:rsidR="00FA0363">
        <w:t>迂</w:t>
      </w:r>
      <w:proofErr w:type="gramEnd"/>
      <w:r w:rsidR="00FA0363">
        <w:t>评估委托合同．并自合同签订后15日内报当地房屋拆迁管理部门备案。评估费用由</w:t>
      </w:r>
      <w:r w:rsidR="00FA0363">
        <w:lastRenderedPageBreak/>
        <w:t>拆迁人承担，但被拆迁人自行委托或本办法另有规定的除外。</w:t>
      </w:r>
    </w:p>
    <w:p w14:paraId="50A3B017" w14:textId="2BEF2084" w:rsidR="00FA0363" w:rsidRDefault="00E05BDA" w:rsidP="00FA0363">
      <w:pPr>
        <w:pStyle w:val="13"/>
        <w:ind w:firstLine="482"/>
      </w:pPr>
      <w:r w:rsidRPr="00E05BDA">
        <w:rPr>
          <w:rFonts w:hint="eastAsia"/>
          <w:b/>
          <w:bCs/>
        </w:rPr>
        <w:t xml:space="preserve">第九条 </w:t>
      </w:r>
      <w:r w:rsidR="00FA0363">
        <w:t>受托评估机构不得转让、变相转让受托的评估业务。</w:t>
      </w:r>
    </w:p>
    <w:p w14:paraId="32A75333" w14:textId="77777777" w:rsidR="00FA0363" w:rsidRDefault="00FA0363" w:rsidP="00FA0363">
      <w:pPr>
        <w:pStyle w:val="13"/>
      </w:pPr>
      <w:r>
        <w:rPr>
          <w:rFonts w:hint="eastAsia"/>
        </w:rPr>
        <w:t>评估机构和评估人员与拆迁当事人有利害关系或者是拆迁当事人的，应当回避。</w:t>
      </w:r>
    </w:p>
    <w:p w14:paraId="582F9422" w14:textId="0D78C119" w:rsidR="00FA0363" w:rsidRDefault="00E05BDA" w:rsidP="00FA0363">
      <w:pPr>
        <w:pStyle w:val="13"/>
        <w:ind w:firstLine="482"/>
      </w:pPr>
      <w:r w:rsidRPr="00E05BDA">
        <w:rPr>
          <w:rFonts w:hint="eastAsia"/>
          <w:b/>
          <w:bCs/>
        </w:rPr>
        <w:t xml:space="preserve">第十条 </w:t>
      </w:r>
      <w:r w:rsidR="00FA0363">
        <w:t>拆</w:t>
      </w:r>
      <w:proofErr w:type="gramStart"/>
      <w:r w:rsidR="00FA0363">
        <w:t>迂</w:t>
      </w:r>
      <w:proofErr w:type="gramEnd"/>
      <w:r w:rsidR="00FA0363">
        <w:t>当事人应当向评估机构如实提供房屋拆迁许可证、拆迁范围规划红线图及各类房屋的产权性质、面积、用途等拆迁评估所必须的依据、资料及有关数据，并协助评估机构做好实地查勘记录、拍摄反映被拆迁房屋外观和内部状况的影像资料等工作。实地查勘记录由实地查勘的评估人员、拆迁人、被拆迁人签字认可。</w:t>
      </w:r>
    </w:p>
    <w:p w14:paraId="3452B691" w14:textId="77777777" w:rsidR="00FA0363" w:rsidRDefault="00FA0363" w:rsidP="00FA0363">
      <w:pPr>
        <w:pStyle w:val="13"/>
      </w:pPr>
      <w:r>
        <w:rPr>
          <w:rFonts w:hint="eastAsia"/>
        </w:rPr>
        <w:t>因被拆</w:t>
      </w:r>
      <w:proofErr w:type="gramStart"/>
      <w:r>
        <w:rPr>
          <w:rFonts w:hint="eastAsia"/>
        </w:rPr>
        <w:t>迂</w:t>
      </w:r>
      <w:proofErr w:type="gramEnd"/>
      <w:r>
        <w:rPr>
          <w:rFonts w:hint="eastAsia"/>
        </w:rPr>
        <w:t>人的原因不能对被拆迁房屋进行实地查勘、拍摄影像资料或者被拆迁人不同意在实地查勘记录上签字的，拆迁人应当邀请公证机关工作人员或由除拆迁人和评估机构以外的无利害关系的第三人到场见证，并在分户评估报告中做出相应说明。评估机构可以依据被拆迁房屋的</w:t>
      </w:r>
      <w:proofErr w:type="gramStart"/>
      <w:r>
        <w:rPr>
          <w:rFonts w:hint="eastAsia"/>
        </w:rPr>
        <w:t>相关权局资料</w:t>
      </w:r>
      <w:proofErr w:type="gramEnd"/>
      <w:r>
        <w:rPr>
          <w:rFonts w:hint="eastAsia"/>
        </w:rPr>
        <w:t>，参照同区域该类房屋进行评估。</w:t>
      </w:r>
    </w:p>
    <w:p w14:paraId="6432A6D3" w14:textId="0D5849EA" w:rsidR="00FA0363" w:rsidRDefault="00E05BDA" w:rsidP="00FA0363">
      <w:pPr>
        <w:pStyle w:val="13"/>
        <w:ind w:firstLine="482"/>
      </w:pPr>
      <w:r w:rsidRPr="00E05BDA">
        <w:rPr>
          <w:rFonts w:hint="eastAsia"/>
          <w:b/>
          <w:bCs/>
        </w:rPr>
        <w:t xml:space="preserve">第十一条 </w:t>
      </w:r>
      <w:r w:rsidR="00FA0363">
        <w:t>拆迁当事人或受托评估机构和评估人员需要查问被拆迁房屋的房地产权属档案和相关房地产交易信息资料的，凭拆迁委托的有关证明，当地房地产管理部门应当协助查阅。</w:t>
      </w:r>
    </w:p>
    <w:p w14:paraId="0636D7CE" w14:textId="77777777" w:rsidR="00FA0363" w:rsidRDefault="00FA0363" w:rsidP="00FA0363">
      <w:pPr>
        <w:pStyle w:val="13"/>
      </w:pPr>
      <w:r>
        <w:rPr>
          <w:rFonts w:hint="eastAsia"/>
        </w:rPr>
        <w:t>评估机构评估测算新建普通商品房价格时，如需向有关房地产开发•企业征询销售价格，房地产开发企业应当如实提供。</w:t>
      </w:r>
    </w:p>
    <w:p w14:paraId="0101A393" w14:textId="33C34030" w:rsidR="00FA0363" w:rsidRDefault="00E05BDA" w:rsidP="00FA0363">
      <w:pPr>
        <w:pStyle w:val="13"/>
        <w:ind w:firstLine="482"/>
      </w:pPr>
      <w:r w:rsidRPr="00E05BDA">
        <w:rPr>
          <w:rFonts w:hint="eastAsia"/>
          <w:b/>
          <w:bCs/>
        </w:rPr>
        <w:t xml:space="preserve">第十二条 </w:t>
      </w:r>
      <w:r w:rsidR="00FA0363">
        <w:t>拆迁评估时点一般为房屋拆迁许可证颁发之日。拆迁规模大、分期分段实施的，以当期(段)房屋拆迁实施之日为评估时点。</w:t>
      </w:r>
    </w:p>
    <w:p w14:paraId="36ECF88C" w14:textId="71440BE5" w:rsidR="00FA0363" w:rsidRDefault="00E05BDA" w:rsidP="00FA0363">
      <w:pPr>
        <w:pStyle w:val="13"/>
        <w:ind w:firstLine="482"/>
      </w:pPr>
      <w:r w:rsidRPr="00E05BDA">
        <w:rPr>
          <w:rFonts w:hint="eastAsia"/>
          <w:b/>
          <w:bCs/>
        </w:rPr>
        <w:t xml:space="preserve">第十三条 </w:t>
      </w:r>
      <w:r w:rsidR="00FA0363">
        <w:t>被拆迁房屋的性质和面积一般以房屋权属证书及权属档案的记载为准。各地对被拆迁房屋的性质和面积认定有特别规定的，从其规定。拆迁人与被拆迁人对被拆迁房屋的性质或者面积协商一致的，可以按照协商结果进行评估。</w:t>
      </w:r>
    </w:p>
    <w:p w14:paraId="3C07EAE7" w14:textId="77777777" w:rsidR="00FA0363" w:rsidRDefault="00FA0363" w:rsidP="00FA0363">
      <w:pPr>
        <w:pStyle w:val="13"/>
      </w:pPr>
      <w:r>
        <w:rPr>
          <w:rFonts w:hint="eastAsia"/>
        </w:rPr>
        <w:t>对被拆迁房屋的性质不能协商一致的，应当向城市规划行政主管部门申请确认。对被拆迁房屋的面积不能协商一致的，可以向依照《房产测绘管理办法》设立的房屋面积鉴定机构申请鉴定；没有设立房屋面积鉴定机构的，可以委托具有房产测绘资格的房产测绘单位测算。</w:t>
      </w:r>
    </w:p>
    <w:p w14:paraId="16CB6F45" w14:textId="23F842F0" w:rsidR="00FA0363" w:rsidRDefault="00E05BDA" w:rsidP="00FA0363">
      <w:pPr>
        <w:pStyle w:val="13"/>
        <w:ind w:firstLine="482"/>
      </w:pPr>
      <w:r w:rsidRPr="00E05BDA">
        <w:rPr>
          <w:rFonts w:hint="eastAsia"/>
          <w:b/>
          <w:bCs/>
        </w:rPr>
        <w:t xml:space="preserve">第十四条 </w:t>
      </w:r>
      <w:r w:rsidR="00FA0363">
        <w:t>拆迁评估一般应当采用市场比较法。不具备采用市场比较法条件的，可以采用其他评估方法，并在评估报告中充分说明原因。</w:t>
      </w:r>
    </w:p>
    <w:p w14:paraId="15786B42" w14:textId="5F82057C" w:rsidR="00FA0363" w:rsidRDefault="00E05BDA" w:rsidP="00FA0363">
      <w:pPr>
        <w:pStyle w:val="13"/>
        <w:ind w:firstLine="482"/>
      </w:pPr>
      <w:r w:rsidRPr="00E05BDA">
        <w:rPr>
          <w:rFonts w:hint="eastAsia"/>
          <w:b/>
          <w:bCs/>
        </w:rPr>
        <w:t xml:space="preserve">第十五条 </w:t>
      </w:r>
      <w:r w:rsidR="00FA0363">
        <w:rPr>
          <w:rFonts w:hint="eastAsia"/>
        </w:rPr>
        <w:t>住宅房屋拆迁评估时，其测算的基本技术路线为：</w:t>
      </w:r>
    </w:p>
    <w:p w14:paraId="47B77780" w14:textId="77777777" w:rsidR="00FA0363" w:rsidRDefault="00FA0363" w:rsidP="00FA0363">
      <w:pPr>
        <w:pStyle w:val="13"/>
      </w:pPr>
      <w:r>
        <w:t>(</w:t>
      </w:r>
      <w:proofErr w:type="gramStart"/>
      <w:r>
        <w:t>一</w:t>
      </w:r>
      <w:proofErr w:type="gramEnd"/>
      <w:r>
        <w:t>)确定房屋类别。即根据房屋的性质、用途确定其所属类别为住宅。</w:t>
      </w:r>
    </w:p>
    <w:p w14:paraId="64705000" w14:textId="77777777" w:rsidR="00FA0363" w:rsidRDefault="00FA0363" w:rsidP="00FA0363">
      <w:pPr>
        <w:pStyle w:val="13"/>
      </w:pPr>
      <w:r>
        <w:t>(二)确立评．</w:t>
      </w:r>
      <w:proofErr w:type="gramStart"/>
      <w:r>
        <w:t>估</w:t>
      </w:r>
      <w:proofErr w:type="gramEnd"/>
      <w:r>
        <w:t>基准价格。即确定被拆迁住宅房屋</w:t>
      </w:r>
      <w:proofErr w:type="gramStart"/>
      <w:r>
        <w:t>所处压位该类</w:t>
      </w:r>
      <w:proofErr w:type="gramEnd"/>
      <w:r>
        <w:t>新建普通商品住宅房屋的市场价格。</w:t>
      </w:r>
    </w:p>
    <w:p w14:paraId="43B9FC6C" w14:textId="77777777" w:rsidR="00FA0363" w:rsidRDefault="00FA0363" w:rsidP="00FA0363">
      <w:pPr>
        <w:pStyle w:val="13"/>
      </w:pPr>
      <w:r>
        <w:rPr>
          <w:rFonts w:hint="eastAsia"/>
        </w:rPr>
        <w:t>该区位或者该区域有已建成该类普通商品住宅房屋的，应当依据其销售均价，确定该区位的新建普通商品住宅房屋市场销售价格；该区位没有的，可以依据规划部门</w:t>
      </w:r>
      <w:r>
        <w:rPr>
          <w:rFonts w:hint="eastAsia"/>
        </w:rPr>
        <w:lastRenderedPageBreak/>
        <w:t>批准的该项目的施工图及配套设施标准，推算该项目的普通商品住宅房屋的市场销售价格。</w:t>
      </w:r>
    </w:p>
    <w:p w14:paraId="51158EB4" w14:textId="77777777" w:rsidR="00FA0363" w:rsidRDefault="00FA0363" w:rsidP="00FA0363">
      <w:pPr>
        <w:pStyle w:val="13"/>
      </w:pPr>
      <w:r>
        <w:t>(三)测算价差。即确定被拆迁住宅房屋与该类新建普通商品住宅房屋的价差。</w:t>
      </w:r>
    </w:p>
    <w:p w14:paraId="43107691" w14:textId="77777777" w:rsidR="00FA0363" w:rsidRDefault="00FA0363" w:rsidP="00FA0363">
      <w:pPr>
        <w:pStyle w:val="13"/>
      </w:pPr>
      <w:r>
        <w:rPr>
          <w:rFonts w:hint="eastAsia"/>
        </w:rPr>
        <w:t>根据被拆迁住宅房屋的结构、成新、楼层、朝向等房地产状况调整因素确定被拆迁住宅房屋与该类新建普通商品住宅房屋的价差。</w:t>
      </w:r>
    </w:p>
    <w:p w14:paraId="69A17715" w14:textId="77777777" w:rsidR="00FA0363" w:rsidRDefault="00FA0363" w:rsidP="00FA0363">
      <w:pPr>
        <w:pStyle w:val="13"/>
      </w:pPr>
      <w:r>
        <w:t>(四)依据评估确定的被拆迁住宅房屋的货币补偿价格，结合其建筑面积计算确定被拆迁住宅房屋的货币补偿金额。</w:t>
      </w:r>
    </w:p>
    <w:p w14:paraId="72625BBC" w14:textId="77777777" w:rsidR="00FA0363" w:rsidRDefault="00FA0363" w:rsidP="00FA0363">
      <w:pPr>
        <w:pStyle w:val="13"/>
      </w:pPr>
      <w:r>
        <w:rPr>
          <w:rFonts w:hint="eastAsia"/>
        </w:rPr>
        <w:t>被拆迁房屋的货币补偿价格不得低于设区的市人民政府确定的拆迁房屋的最低货币补偿价格。</w:t>
      </w:r>
    </w:p>
    <w:p w14:paraId="426625D8" w14:textId="77777777" w:rsidR="00FA0363" w:rsidRDefault="00FA0363" w:rsidP="00FA0363">
      <w:pPr>
        <w:pStyle w:val="13"/>
      </w:pPr>
      <w:r>
        <w:t>(五)确定产权调换住宅房屋的价格。依据评估确定的该区位该类新建普通商品住宅房屋的</w:t>
      </w:r>
      <w:proofErr w:type="gramStart"/>
      <w:r>
        <w:t>不</w:t>
      </w:r>
      <w:proofErr w:type="gramEnd"/>
      <w:r>
        <w:t>同楼层的价格，结合被拆迁人选择的调换安置住宅房屋建筑面积计算调换安置住宅房屋的价款。</w:t>
      </w:r>
    </w:p>
    <w:p w14:paraId="63C6B4B2" w14:textId="7DB5C4E1" w:rsidR="00FA0363" w:rsidRDefault="00E05BDA" w:rsidP="00FA0363">
      <w:pPr>
        <w:pStyle w:val="13"/>
        <w:ind w:firstLine="482"/>
      </w:pPr>
      <w:r w:rsidRPr="00E05BDA">
        <w:rPr>
          <w:rFonts w:hint="eastAsia"/>
          <w:b/>
          <w:bCs/>
        </w:rPr>
        <w:t xml:space="preserve">第十六条 </w:t>
      </w:r>
      <w:r w:rsidR="00FA0363">
        <w:t>拆迁非住宅房屋评估时，应当按照下列程序进行：</w:t>
      </w:r>
    </w:p>
    <w:p w14:paraId="590EF9B6" w14:textId="77777777" w:rsidR="00FA0363" w:rsidRDefault="00FA0363" w:rsidP="00FA0363">
      <w:pPr>
        <w:pStyle w:val="13"/>
      </w:pPr>
      <w:r>
        <w:t>(</w:t>
      </w:r>
      <w:proofErr w:type="gramStart"/>
      <w:r>
        <w:t>一</w:t>
      </w:r>
      <w:proofErr w:type="gramEnd"/>
      <w:r>
        <w:t>)根据房屋的性质、用途等因素，确定非住宅房屋的类别。非住宅房屋包括营业性用房和非营业性用房，营业性用房划分为商场类建筑(大型百货商场、超市等)、商铺类建筑(门面房、商铺等)、商务类建筑(金融、证券、商业写字楼等)、旅馆类建筑、餐饮类建筑、娱乐类建筑；非营业性用房划分为工业性建筑(厂房、仓库等)、办公性建筑(行政办公楼)、公共性建筑(图书馆、博物馆等)</w:t>
      </w:r>
    </w:p>
    <w:p w14:paraId="2E8EAE49" w14:textId="77777777" w:rsidR="00FA0363" w:rsidRDefault="00FA0363" w:rsidP="00FA0363">
      <w:pPr>
        <w:pStyle w:val="13"/>
      </w:pPr>
      <w:r>
        <w:t>(二)非住宅房屋的货币补偿价格，应当按照建设部《城市房屋拆迁估价指导意见》和国家标准《房地产估价规范》(CB/T50291—1999)的规定，采用市场比较法或，收益法评估确定。不能采用市场比较法或收益法的，也可采用成本法或其它方法评估确定。</w:t>
      </w:r>
    </w:p>
    <w:p w14:paraId="32C0E0F7" w14:textId="0CDDEE4C" w:rsidR="00FA0363" w:rsidRDefault="00E05BDA" w:rsidP="00FA0363">
      <w:pPr>
        <w:pStyle w:val="13"/>
        <w:ind w:firstLine="482"/>
      </w:pPr>
      <w:r w:rsidRPr="00E05BDA">
        <w:rPr>
          <w:rFonts w:hint="eastAsia"/>
          <w:b/>
          <w:bCs/>
        </w:rPr>
        <w:t xml:space="preserve">第十七条 </w:t>
      </w:r>
      <w:r w:rsidR="00FA0363">
        <w:t>被拆迁住宅房屋和非住宅房屋的货币补偿价格，不包含搬迁补助费、临时安置补助费和拆迁非住宅房屋造成停产、停业的经营性补助费，以及被拆迁房屋室内自行装修装饰的补偿金额。</w:t>
      </w:r>
    </w:p>
    <w:p w14:paraId="2C833148" w14:textId="77777777" w:rsidR="00FA0363" w:rsidRDefault="00FA0363" w:rsidP="00FA0363">
      <w:pPr>
        <w:pStyle w:val="13"/>
      </w:pPr>
      <w:r>
        <w:rPr>
          <w:rFonts w:hint="eastAsia"/>
        </w:rPr>
        <w:t>被拆迁房屋室内自行装修装饰的补偿金额，由拆迁人和被拆迁人协商确定；协商不成的，可以通过委托评估确定。</w:t>
      </w:r>
    </w:p>
    <w:p w14:paraId="400670EC" w14:textId="406B5ACD" w:rsidR="00FA0363" w:rsidRDefault="00E05BDA" w:rsidP="00FA0363">
      <w:pPr>
        <w:pStyle w:val="13"/>
        <w:ind w:firstLine="482"/>
      </w:pPr>
      <w:r w:rsidRPr="00E05BDA">
        <w:rPr>
          <w:rFonts w:hint="eastAsia"/>
          <w:b/>
          <w:bCs/>
        </w:rPr>
        <w:t xml:space="preserve">第十八条 </w:t>
      </w:r>
      <w:r w:rsidR="00FA0363">
        <w:t>违章建筑和超过批准期限的临时建筑不予评估。</w:t>
      </w:r>
    </w:p>
    <w:p w14:paraId="5226D870" w14:textId="77777777" w:rsidR="00FA0363" w:rsidRDefault="00FA0363" w:rsidP="00FA0363">
      <w:pPr>
        <w:pStyle w:val="13"/>
      </w:pPr>
      <w:r>
        <w:rPr>
          <w:rFonts w:hint="eastAsia"/>
        </w:rPr>
        <w:t>拆除未超过批准期限的临时建筑应当按照工程造价结合剩余使用年限，评估其货币补偿金额。</w:t>
      </w:r>
    </w:p>
    <w:p w14:paraId="374A1E33" w14:textId="6CEAC160" w:rsidR="00FA0363" w:rsidRDefault="00E05BDA" w:rsidP="00FA0363">
      <w:pPr>
        <w:pStyle w:val="13"/>
        <w:ind w:firstLine="482"/>
      </w:pPr>
      <w:r w:rsidRPr="00E05BDA">
        <w:rPr>
          <w:rFonts w:hint="eastAsia"/>
          <w:b/>
          <w:bCs/>
        </w:rPr>
        <w:t xml:space="preserve">第十九条 </w:t>
      </w:r>
      <w:r w:rsidR="00FA0363">
        <w:t>拆迁评估应当遵循独立、客观、公正、合法的原则。拆迁评估机构应当如实出具评估报告，不得与拆迁当事人一方串通损害另一方的合法权益，不得以给予回扣等不正当手段获取拆迁评估业务。任何组织或者个人不得非法干预拆迁评估活动和评估结果。</w:t>
      </w:r>
    </w:p>
    <w:p w14:paraId="31755861" w14:textId="77777777" w:rsidR="00FA0363" w:rsidRDefault="00FA0363" w:rsidP="00FA0363">
      <w:pPr>
        <w:pStyle w:val="13"/>
      </w:pPr>
      <w:r>
        <w:rPr>
          <w:rFonts w:hint="eastAsia"/>
        </w:rPr>
        <w:lastRenderedPageBreak/>
        <w:t>评估报告必须由两名以上专职注册房地产估价师签字，并加盖注册房地产估价师专用章。</w:t>
      </w:r>
    </w:p>
    <w:p w14:paraId="7DCC5082" w14:textId="2F964B27" w:rsidR="00FA0363" w:rsidRDefault="00E05BDA" w:rsidP="00FA0363">
      <w:pPr>
        <w:pStyle w:val="13"/>
        <w:ind w:firstLine="482"/>
      </w:pPr>
      <w:r w:rsidRPr="00E05BDA">
        <w:rPr>
          <w:rFonts w:hint="eastAsia"/>
          <w:b/>
          <w:bCs/>
        </w:rPr>
        <w:t xml:space="preserve">第二十条 </w:t>
      </w:r>
      <w:r w:rsidR="00FA0363">
        <w:t>拆迁评估报告只作为被拆迁房屋货币补偿的依据。评估报告中估价目的统一载明为：房屋拆迁补偿评估。</w:t>
      </w:r>
    </w:p>
    <w:p w14:paraId="2239922D" w14:textId="77777777" w:rsidR="00FA0363" w:rsidRDefault="00FA0363" w:rsidP="00FA0363">
      <w:pPr>
        <w:pStyle w:val="13"/>
      </w:pPr>
      <w:r>
        <w:rPr>
          <w:rFonts w:hint="eastAsia"/>
        </w:rPr>
        <w:t>拆迁评估价格应当以人民币为计价货币单位，精确到元。</w:t>
      </w:r>
    </w:p>
    <w:p w14:paraId="15A98112" w14:textId="0BE4E4E4" w:rsidR="00FA0363" w:rsidRDefault="00E05BDA" w:rsidP="00FA0363">
      <w:pPr>
        <w:pStyle w:val="13"/>
        <w:ind w:firstLine="482"/>
      </w:pPr>
      <w:r w:rsidRPr="00E05BDA">
        <w:rPr>
          <w:rFonts w:hint="eastAsia"/>
          <w:b/>
          <w:bCs/>
        </w:rPr>
        <w:t xml:space="preserve">第二十一条 </w:t>
      </w:r>
      <w:r w:rsidR="00FA0363">
        <w:t>评估机构应当将初步评估结果向被拆迁人公示7日，并进行现场说明，听取有关意见。</w:t>
      </w:r>
    </w:p>
    <w:p w14:paraId="22C95646" w14:textId="77777777" w:rsidR="00FA0363" w:rsidRDefault="00FA0363" w:rsidP="00FA0363">
      <w:pPr>
        <w:pStyle w:val="13"/>
      </w:pPr>
      <w:r>
        <w:rPr>
          <w:rFonts w:hint="eastAsia"/>
        </w:rPr>
        <w:t>公示期满后，评估机构应当向拆迁当事人提供委托范围内被拆迁房屋的整体评估报告和分户评估报告。符合出具条件的分户评估报告应当在公示期满后</w:t>
      </w:r>
      <w:r>
        <w:t>10日内送达被拆迁</w:t>
      </w:r>
      <w:r>
        <w:rPr>
          <w:rFonts w:hint="eastAsia"/>
        </w:rPr>
        <w:t>人。</w:t>
      </w:r>
    </w:p>
    <w:p w14:paraId="20FF80E4" w14:textId="77777777" w:rsidR="00FA0363" w:rsidRDefault="00FA0363" w:rsidP="00FA0363">
      <w:pPr>
        <w:pStyle w:val="13"/>
      </w:pPr>
      <w:r>
        <w:rPr>
          <w:rFonts w:hint="eastAsia"/>
        </w:rPr>
        <w:t>整体评估报告是关于拆迁范围内所有被拆迁房屋货币补偿金额的评估报告。</w:t>
      </w:r>
    </w:p>
    <w:p w14:paraId="05006CEB" w14:textId="77777777" w:rsidR="00FA0363" w:rsidRDefault="00FA0363" w:rsidP="00FA0363">
      <w:pPr>
        <w:pStyle w:val="13"/>
      </w:pPr>
      <w:r>
        <w:rPr>
          <w:rFonts w:hint="eastAsia"/>
        </w:rPr>
        <w:t>分户评估报告是按房屋所有权证划分的被拆迁房屋货币补偿金额的评估报告。</w:t>
      </w:r>
    </w:p>
    <w:p w14:paraId="7C5F2EC9" w14:textId="5473DA83" w:rsidR="00FA0363" w:rsidRDefault="00E05BDA" w:rsidP="00FA0363">
      <w:pPr>
        <w:pStyle w:val="13"/>
        <w:ind w:firstLine="482"/>
      </w:pPr>
      <w:r w:rsidRPr="00E05BDA">
        <w:rPr>
          <w:rFonts w:hint="eastAsia"/>
          <w:b/>
          <w:bCs/>
        </w:rPr>
        <w:t xml:space="preserve">第二十二条 </w:t>
      </w:r>
      <w:r w:rsidR="00FA0363">
        <w:t>整体评估报告和分户评估报告要符合国家标准《房地产估价规范》(CB/T50291—1999)规定的规范格式要求。</w:t>
      </w:r>
    </w:p>
    <w:p w14:paraId="6A92D6CB" w14:textId="403EDD81" w:rsidR="00FA0363" w:rsidRDefault="00E05BDA" w:rsidP="00FA0363">
      <w:pPr>
        <w:pStyle w:val="13"/>
        <w:ind w:firstLine="482"/>
      </w:pPr>
      <w:r w:rsidRPr="00E05BDA">
        <w:rPr>
          <w:rFonts w:hint="eastAsia"/>
          <w:b/>
          <w:bCs/>
        </w:rPr>
        <w:t xml:space="preserve">第二十三条 </w:t>
      </w:r>
      <w:r w:rsidR="00FA0363">
        <w:t>拆迁人或被拆迁人对评估报告有疑问的，可以向评估机构咨询。评估机构应当解释拆迁评估的依据、原则、程序、方法、参数选取和评估结果产生的过程。</w:t>
      </w:r>
    </w:p>
    <w:p w14:paraId="1E471AAA" w14:textId="5D56A22D" w:rsidR="00FA0363" w:rsidRDefault="00E05BDA" w:rsidP="00FA0363">
      <w:pPr>
        <w:pStyle w:val="13"/>
        <w:ind w:firstLine="482"/>
      </w:pPr>
      <w:r w:rsidRPr="00E05BDA">
        <w:rPr>
          <w:rFonts w:hint="eastAsia"/>
          <w:b/>
          <w:bCs/>
        </w:rPr>
        <w:t xml:space="preserve">第二十四条 </w:t>
      </w:r>
      <w:r w:rsidR="00FA0363">
        <w:t>拆迁当事人对评估结果有异议的，应当通过协商解决。经协商仍达不成一致意见的，提出异议的当事人应自收到评估报告之日起5日内，可以向原评估机构书面申请复核评估，也可以另行委托符合本办法规定条件的其它评估机构评估。</w:t>
      </w:r>
    </w:p>
    <w:p w14:paraId="28D6BB55" w14:textId="3DFEFF98" w:rsidR="00FA0363" w:rsidRDefault="00E05BDA" w:rsidP="00FA0363">
      <w:pPr>
        <w:pStyle w:val="13"/>
        <w:ind w:firstLine="482"/>
      </w:pPr>
      <w:r w:rsidRPr="00E05BDA">
        <w:rPr>
          <w:rFonts w:hint="eastAsia"/>
          <w:b/>
          <w:bCs/>
        </w:rPr>
        <w:t xml:space="preserve">第二十五条 </w:t>
      </w:r>
      <w:r w:rsidR="00FA0363">
        <w:t>拆迁当事人向原评估机构申请复核评估的，该评估机构应当自收到书面复核评估申请之日起5日内给予答复。评估结果改变的，应当重新出具评估报告；评估结果没有改变的，出具书面通知。</w:t>
      </w:r>
    </w:p>
    <w:p w14:paraId="50DD81F9" w14:textId="77777777" w:rsidR="00FA0363" w:rsidRDefault="00FA0363" w:rsidP="00FA0363">
      <w:pPr>
        <w:pStyle w:val="13"/>
      </w:pPr>
      <w:r>
        <w:rPr>
          <w:rFonts w:hint="eastAsia"/>
        </w:rPr>
        <w:t>拆迁当事人另行委托评估机构评估的，受托评估机构应当在</w:t>
      </w:r>
      <w:r>
        <w:t>10日内出具评估报告。重新评估结果与原评估结果的差异在允许误差范围内的，原评估结果有效，重新评估费用由提出异议的拆迁当事人承担。</w:t>
      </w:r>
    </w:p>
    <w:p w14:paraId="5CCFFBFB" w14:textId="49B91C02" w:rsidR="00FA0363" w:rsidRDefault="00E05BDA" w:rsidP="00FA0363">
      <w:pPr>
        <w:pStyle w:val="13"/>
        <w:ind w:firstLine="482"/>
      </w:pPr>
      <w:r w:rsidRPr="00E05BDA">
        <w:rPr>
          <w:rFonts w:hint="eastAsia"/>
          <w:b/>
          <w:bCs/>
        </w:rPr>
        <w:t xml:space="preserve">第二十六条 </w:t>
      </w:r>
      <w:r w:rsidR="00FA0363">
        <w:t>拆迁当事人对原评估机构的复核结果有异议或者另行委托评估的结果与原评估结果在允许误差范围外且协商达不成一致意见的，自收到复核结果或者另行委托评估机构出具的评估报告之日起5日内，可以向被拆迁房屋所在地的房屋拆迁评估专家委员会(以下简称评估专家委员会)申请技术鉴定。</w:t>
      </w:r>
    </w:p>
    <w:p w14:paraId="3202B3D0" w14:textId="6EBE6A79" w:rsidR="00FA0363" w:rsidRDefault="00E05BDA" w:rsidP="00FA0363">
      <w:pPr>
        <w:pStyle w:val="13"/>
        <w:ind w:firstLine="482"/>
      </w:pPr>
      <w:r w:rsidRPr="00E05BDA">
        <w:rPr>
          <w:rFonts w:hint="eastAsia"/>
          <w:b/>
          <w:bCs/>
        </w:rPr>
        <w:t xml:space="preserve">第二十七条 </w:t>
      </w:r>
      <w:r w:rsidR="00FA0363">
        <w:t>评估专家委员会应当自收到申请之日起10日内，对申请鉴定的评估报告的评估依据、评估技术路线、评估方法选用、参数选取、评估结果确定方式等评估技术问题出具书面鉴定意见。</w:t>
      </w:r>
    </w:p>
    <w:p w14:paraId="2CB8EE0F" w14:textId="77777777" w:rsidR="00FA0363" w:rsidRDefault="00FA0363" w:rsidP="00FA0363">
      <w:pPr>
        <w:pStyle w:val="13"/>
      </w:pPr>
      <w:r>
        <w:rPr>
          <w:rFonts w:hint="eastAsia"/>
        </w:rPr>
        <w:lastRenderedPageBreak/>
        <w:t>评估报告不存在技术问题的，应维持评估报告；评估报告存在技术问题的，评估机构应当改正错误，重新出具评估报告。</w:t>
      </w:r>
    </w:p>
    <w:p w14:paraId="4D917177" w14:textId="77777777" w:rsidR="00FA0363" w:rsidRDefault="00FA0363" w:rsidP="00FA0363">
      <w:pPr>
        <w:pStyle w:val="13"/>
      </w:pPr>
      <w:r>
        <w:rPr>
          <w:rFonts w:hint="eastAsia"/>
        </w:rPr>
        <w:t>重新评估和专家鉴定费用由未被采用评估结果的评估机构承担。</w:t>
      </w:r>
    </w:p>
    <w:p w14:paraId="5FBACF06" w14:textId="13092365" w:rsidR="00FA0363" w:rsidRDefault="00E05BDA" w:rsidP="00FA0363">
      <w:pPr>
        <w:pStyle w:val="13"/>
        <w:ind w:firstLine="482"/>
      </w:pPr>
      <w:r w:rsidRPr="00E05BDA">
        <w:rPr>
          <w:rFonts w:hint="eastAsia"/>
          <w:b/>
          <w:bCs/>
        </w:rPr>
        <w:t xml:space="preserve">第二十八条 </w:t>
      </w:r>
      <w:r w:rsidR="00FA0363">
        <w:t>省建设行政主管部门和设区的市房屋拆迁管理部门，应当成立由资深专职注册房地产估价师及房地产、城市规划、法律等方面专家组成的评估专家委员会，对拆迁评估进行技术指导．受理拆迁评估技术鉴定</w:t>
      </w:r>
      <w:r w:rsidR="00FA0363">
        <w:rPr>
          <w:rFonts w:hint="eastAsia"/>
        </w:rPr>
        <w:t>。</w:t>
      </w:r>
    </w:p>
    <w:p w14:paraId="1CA50F7E" w14:textId="4D27F6D4" w:rsidR="00FA0363" w:rsidRDefault="00E05BDA" w:rsidP="00FA0363">
      <w:pPr>
        <w:pStyle w:val="13"/>
        <w:ind w:firstLine="482"/>
      </w:pPr>
      <w:r w:rsidRPr="00E05BDA">
        <w:rPr>
          <w:rFonts w:hint="eastAsia"/>
          <w:b/>
          <w:bCs/>
        </w:rPr>
        <w:t xml:space="preserve">第二十九条 </w:t>
      </w:r>
      <w:r w:rsidR="00FA0363">
        <w:t>受理拆迁评估技术鉴定后，评估专家委员会应当随机抽取3人以上(含3人)单数成员组成鉴定组，处理拆迁评估技术鉴定事宜。</w:t>
      </w:r>
    </w:p>
    <w:p w14:paraId="03502759" w14:textId="77777777" w:rsidR="00FA0363" w:rsidRDefault="00FA0363" w:rsidP="00FA0363">
      <w:pPr>
        <w:pStyle w:val="13"/>
      </w:pPr>
      <w:r>
        <w:rPr>
          <w:rFonts w:hint="eastAsia"/>
        </w:rPr>
        <w:t>鉴定组成员与原评估机构、拆迁当事人有利害关系或者是拆迁当事人的，应当回避。原评估机构应当配合评估专家委员会做好鉴定工作。</w:t>
      </w:r>
    </w:p>
    <w:p w14:paraId="35023B41" w14:textId="1428E559" w:rsidR="00FA0363" w:rsidRDefault="00E05BDA" w:rsidP="00FA0363">
      <w:pPr>
        <w:pStyle w:val="13"/>
        <w:ind w:firstLine="482"/>
      </w:pPr>
      <w:r w:rsidRPr="00E05BDA">
        <w:rPr>
          <w:rFonts w:hint="eastAsia"/>
          <w:b/>
          <w:bCs/>
        </w:rPr>
        <w:t xml:space="preserve">第三十条 </w:t>
      </w:r>
      <w:r w:rsidR="00FA0363">
        <w:t>评估专家委员会成员、评估机构、评估人员应当回避而未回避的，其鉴定意见或者评估结果无效。</w:t>
      </w:r>
    </w:p>
    <w:p w14:paraId="31A7EFC1" w14:textId="77777777" w:rsidR="00FA0363" w:rsidRDefault="00FA0363" w:rsidP="00FA0363">
      <w:pPr>
        <w:pStyle w:val="13"/>
      </w:pPr>
      <w:r>
        <w:rPr>
          <w:rFonts w:hint="eastAsia"/>
        </w:rPr>
        <w:t>拆迁当事人</w:t>
      </w:r>
      <w:proofErr w:type="gramStart"/>
      <w:r>
        <w:rPr>
          <w:rFonts w:hint="eastAsia"/>
        </w:rPr>
        <w:t>不</w:t>
      </w:r>
      <w:proofErr w:type="gramEnd"/>
      <w:r>
        <w:rPr>
          <w:rFonts w:hint="eastAsia"/>
        </w:rPr>
        <w:t>如实提供有关资料或者不协助评估机构实地查勘而造成评估失实或者其他后果的，应当承担相应责任。</w:t>
      </w:r>
    </w:p>
    <w:p w14:paraId="12A58001" w14:textId="483705B0" w:rsidR="00FA0363" w:rsidRDefault="003B2FB1" w:rsidP="00FA0363">
      <w:pPr>
        <w:pStyle w:val="13"/>
        <w:ind w:firstLine="482"/>
      </w:pPr>
      <w:r w:rsidRPr="003B2FB1">
        <w:rPr>
          <w:rFonts w:hint="eastAsia"/>
          <w:b/>
          <w:bCs/>
        </w:rPr>
        <w:t xml:space="preserve">第三十一条 </w:t>
      </w:r>
      <w:r w:rsidR="00FA0363">
        <w:t>对有下列行为之一的评估机构和评估人员，依据《山东省城市房屋拆迁管理条例》和建设部《房地产估价机构管理办法》、《房地产估价师注册管理办法》等规定进行处罚并记入其信用档案：</w:t>
      </w:r>
    </w:p>
    <w:p w14:paraId="722C6560" w14:textId="77777777" w:rsidR="00FA0363" w:rsidRDefault="00FA0363" w:rsidP="00FA0363">
      <w:pPr>
        <w:pStyle w:val="13"/>
      </w:pPr>
      <w:r>
        <w:t>(</w:t>
      </w:r>
      <w:proofErr w:type="gramStart"/>
      <w:r>
        <w:t>一</w:t>
      </w:r>
      <w:proofErr w:type="gramEnd"/>
      <w:r>
        <w:t>)出具不实评估报告的；</w:t>
      </w:r>
    </w:p>
    <w:p w14:paraId="2C3A0ADD" w14:textId="77777777" w:rsidR="00FA0363" w:rsidRDefault="00FA0363" w:rsidP="00FA0363">
      <w:pPr>
        <w:pStyle w:val="13"/>
      </w:pPr>
      <w:r>
        <w:t>(二)与拆迁当事人一方串通，损害对方合法权益的；</w:t>
      </w:r>
    </w:p>
    <w:p w14:paraId="49BF84D8" w14:textId="77777777" w:rsidR="00FA0363" w:rsidRDefault="00FA0363" w:rsidP="00FA0363">
      <w:pPr>
        <w:pStyle w:val="13"/>
      </w:pPr>
      <w:r>
        <w:t>(三)以回扣等不正当竞争手段获取拆迁评估业务的；</w:t>
      </w:r>
    </w:p>
    <w:p w14:paraId="53583406" w14:textId="77777777" w:rsidR="00FA0363" w:rsidRDefault="00FA0363" w:rsidP="00FA0363">
      <w:pPr>
        <w:pStyle w:val="13"/>
      </w:pPr>
      <w:r>
        <w:t>(四)允许他人借用自己名义从事拆迁评估活动或者转让相转让受托的拆迁评估业务的；</w:t>
      </w:r>
    </w:p>
    <w:p w14:paraId="79D0B70C" w14:textId="77777777" w:rsidR="00FA0363" w:rsidRDefault="00FA0363" w:rsidP="00FA0363">
      <w:pPr>
        <w:pStyle w:val="13"/>
      </w:pPr>
      <w:r>
        <w:t>(五)不履行评估技术咨询或者解释义务的；</w:t>
      </w:r>
    </w:p>
    <w:p w14:paraId="570B44A3" w14:textId="77777777" w:rsidR="00FA0363" w:rsidRDefault="00FA0363" w:rsidP="00FA0363">
      <w:pPr>
        <w:pStyle w:val="13"/>
      </w:pPr>
      <w:r>
        <w:t>(六)不配合评估鉴定专家小组进行鉴定，以及多次被。申请鉴定，经查证，确实存在问题的；</w:t>
      </w:r>
    </w:p>
    <w:p w14:paraId="66551607" w14:textId="77777777" w:rsidR="00FA0363" w:rsidRDefault="00FA0363" w:rsidP="00FA0363">
      <w:pPr>
        <w:pStyle w:val="13"/>
      </w:pPr>
      <w:r>
        <w:t>(七)违反国家标准《房地产估价规范》(GB/T50291—1999)和本办法其他规定的；</w:t>
      </w:r>
    </w:p>
    <w:p w14:paraId="693AEB33" w14:textId="77777777" w:rsidR="00FA0363" w:rsidRDefault="00FA0363" w:rsidP="00FA0363">
      <w:pPr>
        <w:pStyle w:val="13"/>
      </w:pPr>
      <w:r>
        <w:t>(八)法律、法规规定的其他情形。</w:t>
      </w:r>
    </w:p>
    <w:p w14:paraId="145DE982" w14:textId="6AC39641" w:rsidR="00FA0363" w:rsidRDefault="003B2FB1" w:rsidP="00FA0363">
      <w:pPr>
        <w:pStyle w:val="13"/>
        <w:ind w:firstLine="482"/>
      </w:pPr>
      <w:r w:rsidRPr="003B2FB1">
        <w:rPr>
          <w:rFonts w:hint="eastAsia"/>
          <w:b/>
          <w:bCs/>
        </w:rPr>
        <w:t xml:space="preserve">第三十二条 </w:t>
      </w:r>
      <w:r w:rsidR="00FA0363">
        <w:t>本办法自2007年5月1日起施行。此前已颁发房屋拆迁许可证的拆迁项目，其拆迁评估不适用本办法。</w:t>
      </w:r>
    </w:p>
    <w:p w14:paraId="71D3DBDE" w14:textId="77777777" w:rsidR="00FA0363" w:rsidRDefault="00FA0363" w:rsidP="00FA0363">
      <w:pPr>
        <w:pStyle w:val="13"/>
      </w:pPr>
      <w:r>
        <w:rPr>
          <w:rFonts w:hint="eastAsia"/>
        </w:rPr>
        <w:t>山东省住房和城乡建设厅</w:t>
      </w:r>
      <w:r>
        <w:t xml:space="preserve"> 山东省人力资源和社会保障厅 山东省物价局关于贯彻房地产经纪管理办法进一步规范房地产交易秩序的通知</w:t>
      </w:r>
    </w:p>
    <w:p w14:paraId="67A6C3F7" w14:textId="77777777" w:rsidR="00FA0363" w:rsidRDefault="00FA0363" w:rsidP="00FA0363">
      <w:pPr>
        <w:pStyle w:val="13"/>
      </w:pPr>
      <w:r>
        <w:rPr>
          <w:rFonts w:hint="eastAsia"/>
        </w:rPr>
        <w:t>（</w:t>
      </w:r>
      <w:r>
        <w:t>2011年9月19日 鲁建房字〔2011〕25号）</w:t>
      </w:r>
    </w:p>
    <w:p w14:paraId="03B8BF5D" w14:textId="77777777" w:rsidR="00FA0363" w:rsidRDefault="00FA0363" w:rsidP="00FA0363">
      <w:pPr>
        <w:pStyle w:val="13"/>
      </w:pPr>
      <w:r>
        <w:rPr>
          <w:rFonts w:hint="eastAsia"/>
        </w:rPr>
        <w:t>山东省住房和城乡建设厅关于下放房地产估价机构三级资质审批权限的通知</w:t>
      </w:r>
    </w:p>
    <w:p w14:paraId="61920416" w14:textId="77777777" w:rsidR="00FA0363" w:rsidRDefault="00FA0363" w:rsidP="00FA0363">
      <w:pPr>
        <w:pStyle w:val="13"/>
      </w:pPr>
      <w:r>
        <w:rPr>
          <w:rFonts w:hint="eastAsia"/>
        </w:rPr>
        <w:t>（</w:t>
      </w:r>
      <w:r>
        <w:t>2013年1月8日鲁建房函〔2014〕2号）</w:t>
      </w:r>
    </w:p>
    <w:p w14:paraId="39B3ADC3" w14:textId="77777777" w:rsidR="00FA0363" w:rsidRDefault="00FA0363" w:rsidP="00FA0363">
      <w:pPr>
        <w:pStyle w:val="31"/>
        <w:spacing w:before="156" w:after="62"/>
      </w:pPr>
      <w:bookmarkStart w:id="133" w:name="_Toc81833395"/>
      <w:r>
        <w:rPr>
          <w:rFonts w:hint="eastAsia"/>
        </w:rPr>
        <w:lastRenderedPageBreak/>
        <w:t>山东省国有土地上房屋征收与补偿条例</w:t>
      </w:r>
      <w:bookmarkEnd w:id="133"/>
    </w:p>
    <w:p w14:paraId="3D1DEFA7" w14:textId="77777777" w:rsidR="00FA0363" w:rsidRDefault="00FA0363" w:rsidP="00FA0363">
      <w:pPr>
        <w:pStyle w:val="13"/>
      </w:pPr>
      <w:r>
        <w:t>2014年11月27日山东省第十二届人民代表大会常务委员会第十一次会议通过 根据2020年7月24日山东省第十三届人民代表大会常务委员会第二十二次会议《关于修改&lt;山东省农民专业合作社条例&gt;等十二件地方性法规的决定》修正</w:t>
      </w:r>
    </w:p>
    <w:p w14:paraId="335D87C9" w14:textId="12EAC75F" w:rsidR="00FA0363" w:rsidRDefault="00FA0363" w:rsidP="00AF7342">
      <w:pPr>
        <w:pStyle w:val="a9"/>
        <w:spacing w:before="62" w:after="62"/>
      </w:pPr>
      <w:r>
        <w:rPr>
          <w:rFonts w:hint="eastAsia"/>
        </w:rPr>
        <w:t>第一章</w:t>
      </w:r>
      <w:r>
        <w:t xml:space="preserve"> 总则</w:t>
      </w:r>
    </w:p>
    <w:p w14:paraId="262F07FB" w14:textId="553E3CB6" w:rsidR="00FA0363" w:rsidRDefault="004E3EBB" w:rsidP="00FA0363">
      <w:pPr>
        <w:pStyle w:val="13"/>
        <w:ind w:firstLine="482"/>
      </w:pPr>
      <w:r w:rsidRPr="004E3EBB">
        <w:rPr>
          <w:rFonts w:hint="eastAsia"/>
          <w:b/>
          <w:bCs/>
        </w:rPr>
        <w:t xml:space="preserve">第一条 </w:t>
      </w:r>
      <w:r w:rsidR="00FA0363">
        <w:t>为了规范国有土地上房屋征收与补偿活动，维护公共利益，保障被征收房屋所有权人的合法权益，根据《国有土地上房屋征收与补偿条例》等法律、行政法规，结合本省实际，制定本条例。</w:t>
      </w:r>
    </w:p>
    <w:p w14:paraId="7551F97A" w14:textId="25439286" w:rsidR="00FA0363" w:rsidRDefault="004E3EBB" w:rsidP="00FA0363">
      <w:pPr>
        <w:pStyle w:val="13"/>
        <w:ind w:firstLine="482"/>
      </w:pPr>
      <w:r w:rsidRPr="004E3EBB">
        <w:rPr>
          <w:rFonts w:hint="eastAsia"/>
          <w:b/>
          <w:bCs/>
        </w:rPr>
        <w:t xml:space="preserve">第二条 </w:t>
      </w:r>
      <w:r w:rsidR="00FA0363">
        <w:t>在本省行政区域内，为了公共利益的需要，征收国有土地上单位、个人的房屋，对被征收房屋所有权人（以下简称被征收人）进行补偿，适用本条例。</w:t>
      </w:r>
    </w:p>
    <w:p w14:paraId="64DCC098" w14:textId="554CB0FD" w:rsidR="00FA0363" w:rsidRDefault="004E3EBB" w:rsidP="00FA0363">
      <w:pPr>
        <w:pStyle w:val="13"/>
        <w:ind w:firstLine="482"/>
      </w:pPr>
      <w:r w:rsidRPr="004E3EBB">
        <w:rPr>
          <w:rFonts w:hint="eastAsia"/>
          <w:b/>
          <w:bCs/>
        </w:rPr>
        <w:t xml:space="preserve">第三条 </w:t>
      </w:r>
      <w:r w:rsidR="00FA0363">
        <w:t>房屋征收与补偿应当遵循决策民主、程序正当、补偿公平、结果公开的原则。</w:t>
      </w:r>
      <w:r w:rsidR="00FA0363">
        <w:rPr>
          <w:rFonts w:hint="eastAsia"/>
        </w:rPr>
        <w:t>征收个人住宅的，应当保障被征收人的居住条件。</w:t>
      </w:r>
    </w:p>
    <w:p w14:paraId="03D56A0E" w14:textId="0BB56137" w:rsidR="00FA0363" w:rsidRDefault="004E3EBB" w:rsidP="00FA0363">
      <w:pPr>
        <w:pStyle w:val="13"/>
        <w:ind w:firstLine="482"/>
      </w:pPr>
      <w:r w:rsidRPr="004E3EBB">
        <w:rPr>
          <w:rFonts w:hint="eastAsia"/>
          <w:b/>
          <w:bCs/>
        </w:rPr>
        <w:t xml:space="preserve">第四条 </w:t>
      </w:r>
      <w:r w:rsidR="00FA0363">
        <w:t>市、县级人民政府负责本行政区域内国有土地上房屋征收与补偿工作。</w:t>
      </w:r>
    </w:p>
    <w:p w14:paraId="2D523E9A" w14:textId="77777777" w:rsidR="00FA0363" w:rsidRDefault="00FA0363" w:rsidP="00FA0363">
      <w:pPr>
        <w:pStyle w:val="13"/>
      </w:pPr>
      <w:r>
        <w:rPr>
          <w:rFonts w:hint="eastAsia"/>
        </w:rPr>
        <w:t>市、县级人民政府住房城乡建设、房地产主管部门或者市、县级人民政府确定的其他房屋征收部门（以下统称房屋征收部门）负责组织实施本行政区域内的房屋征收与补偿工作。</w:t>
      </w:r>
    </w:p>
    <w:p w14:paraId="47387788" w14:textId="77777777" w:rsidR="00FA0363" w:rsidRDefault="00FA0363" w:rsidP="00FA0363">
      <w:pPr>
        <w:pStyle w:val="13"/>
      </w:pPr>
      <w:r>
        <w:rPr>
          <w:rFonts w:hint="eastAsia"/>
        </w:rPr>
        <w:t>发展改革、财政、公安、教育、民政、自然资源、市场监督管理等部门按照职责分工，做好房屋征收与补偿的相关工作。</w:t>
      </w:r>
    </w:p>
    <w:p w14:paraId="5C4E7139" w14:textId="32E22F21" w:rsidR="00FA0363" w:rsidRDefault="004E3EBB" w:rsidP="00FA0363">
      <w:pPr>
        <w:pStyle w:val="13"/>
        <w:ind w:firstLine="482"/>
      </w:pPr>
      <w:r w:rsidRPr="004E3EBB">
        <w:rPr>
          <w:rFonts w:hint="eastAsia"/>
          <w:b/>
          <w:bCs/>
        </w:rPr>
        <w:t xml:space="preserve">第五条 </w:t>
      </w:r>
      <w:r w:rsidR="00FA0363">
        <w:t>房屋征收部门可以委托房屋征收实施单位承担房屋征收与补偿的具体工作。房屋征收实施单位不得以营利为目的。</w:t>
      </w:r>
    </w:p>
    <w:p w14:paraId="485A8939" w14:textId="77777777" w:rsidR="00FA0363" w:rsidRDefault="00FA0363" w:rsidP="00FA0363">
      <w:pPr>
        <w:pStyle w:val="13"/>
      </w:pPr>
      <w:r>
        <w:rPr>
          <w:rFonts w:hint="eastAsia"/>
        </w:rPr>
        <w:t>房屋征收部门对房屋征收实施单位在委托范围内实施的房屋征收与补偿行为负责监督，并对其行为后果承担法律责任。</w:t>
      </w:r>
    </w:p>
    <w:p w14:paraId="544F30AA" w14:textId="7E2539D8" w:rsidR="00FA0363" w:rsidRDefault="004E3EBB" w:rsidP="00FA0363">
      <w:pPr>
        <w:pStyle w:val="13"/>
        <w:ind w:firstLine="482"/>
      </w:pPr>
      <w:r w:rsidRPr="004E3EBB">
        <w:rPr>
          <w:rFonts w:hint="eastAsia"/>
          <w:b/>
          <w:bCs/>
        </w:rPr>
        <w:t xml:space="preserve">第六条 </w:t>
      </w:r>
      <w:r w:rsidR="00FA0363">
        <w:t>市、县级人民政府应当将房屋征收与补偿工作经费纳入本级财政预算。</w:t>
      </w:r>
    </w:p>
    <w:p w14:paraId="7D0AC53E" w14:textId="77777777" w:rsidR="00FA0363" w:rsidRDefault="00FA0363" w:rsidP="00FA0363">
      <w:pPr>
        <w:pStyle w:val="13"/>
      </w:pPr>
      <w:r>
        <w:rPr>
          <w:rFonts w:hint="eastAsia"/>
        </w:rPr>
        <w:t>省住房城乡建设主管部门应当会同发展改革、财政、自然资源等有关部门，加强对本省房屋征收与补偿工作的指导。</w:t>
      </w:r>
    </w:p>
    <w:p w14:paraId="213DD369" w14:textId="77777777" w:rsidR="00FA0363" w:rsidRDefault="00FA0363" w:rsidP="00FA0363">
      <w:pPr>
        <w:pStyle w:val="13"/>
      </w:pPr>
      <w:r>
        <w:rPr>
          <w:rFonts w:hint="eastAsia"/>
        </w:rPr>
        <w:t>乡镇人民政府、街道办事处和居民委员会应当配合房屋征收部门做好房屋征收与补偿工作。</w:t>
      </w:r>
    </w:p>
    <w:p w14:paraId="5BE42E99" w14:textId="7A5DEF58" w:rsidR="00FA0363" w:rsidRDefault="004E3EBB" w:rsidP="00FA0363">
      <w:pPr>
        <w:pStyle w:val="13"/>
        <w:ind w:firstLine="482"/>
      </w:pPr>
      <w:r w:rsidRPr="004E3EBB">
        <w:rPr>
          <w:rFonts w:hint="eastAsia"/>
          <w:b/>
          <w:bCs/>
        </w:rPr>
        <w:t xml:space="preserve">第七条 </w:t>
      </w:r>
      <w:r w:rsidR="00FA0363">
        <w:t>从事房屋征收与补偿工作的人员应当具备相关法律知识和业务知识，依法实施房屋征收与补偿行为。</w:t>
      </w:r>
    </w:p>
    <w:p w14:paraId="5BDC7A0C" w14:textId="77777777" w:rsidR="00FA0363" w:rsidRDefault="00FA0363" w:rsidP="00FA0363">
      <w:pPr>
        <w:pStyle w:val="13"/>
      </w:pPr>
      <w:r>
        <w:rPr>
          <w:rFonts w:hint="eastAsia"/>
        </w:rPr>
        <w:t>房屋征收部门或者房屋征收实施单位可以委托具备相应资质或者能力的单位承担测绘、预评估、房屋拆除、法律服务等专业性工作。</w:t>
      </w:r>
    </w:p>
    <w:p w14:paraId="34430FBA" w14:textId="0D8378CC" w:rsidR="00FA0363" w:rsidRDefault="004E3EBB" w:rsidP="00FA0363">
      <w:pPr>
        <w:pStyle w:val="13"/>
        <w:ind w:firstLine="482"/>
      </w:pPr>
      <w:r w:rsidRPr="004E3EBB">
        <w:rPr>
          <w:rFonts w:hint="eastAsia"/>
          <w:b/>
          <w:bCs/>
        </w:rPr>
        <w:t xml:space="preserve">第八条 </w:t>
      </w:r>
      <w:r w:rsidR="00FA0363">
        <w:t>任何组织和个人对违反本条例规定的行为，都有权向有关人民政府、房屋征收部门和其他有关部门投诉、举报。接到投诉、举报的人民政府和部门应当及时核实、处理。</w:t>
      </w:r>
    </w:p>
    <w:p w14:paraId="0BBF2598" w14:textId="77777777" w:rsidR="00FA0363" w:rsidRDefault="00FA0363" w:rsidP="00AF7342">
      <w:pPr>
        <w:pStyle w:val="a9"/>
        <w:spacing w:before="62" w:after="62"/>
      </w:pPr>
      <w:r>
        <w:rPr>
          <w:rFonts w:hint="eastAsia"/>
        </w:rPr>
        <w:lastRenderedPageBreak/>
        <w:t>第二章</w:t>
      </w:r>
      <w:r>
        <w:t xml:space="preserve"> 征收决定</w:t>
      </w:r>
    </w:p>
    <w:p w14:paraId="3F11F596" w14:textId="34B6B82A" w:rsidR="00FA0363" w:rsidRDefault="00E05BDA" w:rsidP="00FA0363">
      <w:pPr>
        <w:pStyle w:val="13"/>
        <w:ind w:firstLine="482"/>
      </w:pPr>
      <w:r w:rsidRPr="00E05BDA">
        <w:rPr>
          <w:rFonts w:hint="eastAsia"/>
          <w:b/>
          <w:bCs/>
        </w:rPr>
        <w:t xml:space="preserve">第九条 </w:t>
      </w:r>
      <w:r w:rsidR="00FA0363">
        <w:t>为了保障国家安全、促进国民经济和社会发展等公共利益的需要，有下列情形之一确需征收房屋的，由市、县级人民政府对国有土地上房屋依法进行征收：</w:t>
      </w:r>
    </w:p>
    <w:p w14:paraId="2F074C44" w14:textId="77777777" w:rsidR="00FA0363" w:rsidRDefault="00FA0363" w:rsidP="00FA0363">
      <w:pPr>
        <w:pStyle w:val="13"/>
      </w:pPr>
      <w:r>
        <w:rPr>
          <w:rFonts w:hint="eastAsia"/>
        </w:rPr>
        <w:t>（一）国防和外交的需要；</w:t>
      </w:r>
    </w:p>
    <w:p w14:paraId="46059F33" w14:textId="77777777" w:rsidR="00FA0363" w:rsidRDefault="00FA0363" w:rsidP="00FA0363">
      <w:pPr>
        <w:pStyle w:val="13"/>
      </w:pPr>
      <w:r>
        <w:rPr>
          <w:rFonts w:hint="eastAsia"/>
        </w:rPr>
        <w:t>（二）由政府组织实施的能源、交通、水利等基础设施建设的需要；</w:t>
      </w:r>
    </w:p>
    <w:p w14:paraId="60B940D7" w14:textId="77777777" w:rsidR="00FA0363" w:rsidRDefault="00FA0363" w:rsidP="00FA0363">
      <w:pPr>
        <w:pStyle w:val="13"/>
      </w:pPr>
      <w:r>
        <w:rPr>
          <w:rFonts w:hint="eastAsia"/>
        </w:rPr>
        <w:t>（三）由政府组织实施的科技、教育、文化、卫生、体育、环境和资源保护、防灾减灾、文物保护、社会福利、市政公用等公共事业的需要；</w:t>
      </w:r>
    </w:p>
    <w:p w14:paraId="3DF965BA" w14:textId="77777777" w:rsidR="00FA0363" w:rsidRDefault="00FA0363" w:rsidP="00FA0363">
      <w:pPr>
        <w:pStyle w:val="13"/>
      </w:pPr>
      <w:r>
        <w:rPr>
          <w:rFonts w:hint="eastAsia"/>
        </w:rPr>
        <w:t>（四）由政府组织实施的保障性安居工程建设的需要；</w:t>
      </w:r>
    </w:p>
    <w:p w14:paraId="23C06072" w14:textId="77777777" w:rsidR="00FA0363" w:rsidRDefault="00FA0363" w:rsidP="00FA0363">
      <w:pPr>
        <w:pStyle w:val="13"/>
      </w:pPr>
      <w:r>
        <w:rPr>
          <w:rFonts w:hint="eastAsia"/>
        </w:rPr>
        <w:t>（五）由政府依照城乡规划法有关规定组织实施的对危房集中、基础设施落后等地段进行旧城区改建的需要；</w:t>
      </w:r>
    </w:p>
    <w:p w14:paraId="2640C105" w14:textId="77777777" w:rsidR="00FA0363" w:rsidRDefault="00FA0363" w:rsidP="00FA0363">
      <w:pPr>
        <w:pStyle w:val="13"/>
      </w:pPr>
      <w:r>
        <w:rPr>
          <w:rFonts w:hint="eastAsia"/>
        </w:rPr>
        <w:t>（六）法律、行政法规规定的其他公共利益的需要。</w:t>
      </w:r>
    </w:p>
    <w:p w14:paraId="1D399ADC" w14:textId="77777777" w:rsidR="00FA0363" w:rsidRDefault="00FA0363" w:rsidP="00FA0363">
      <w:pPr>
        <w:pStyle w:val="13"/>
      </w:pPr>
      <w:r>
        <w:rPr>
          <w:rFonts w:hint="eastAsia"/>
        </w:rPr>
        <w:t>非因前款所列情形，不得对国有土地上房屋进行征收。</w:t>
      </w:r>
    </w:p>
    <w:p w14:paraId="45F6ACAF" w14:textId="1A48B324" w:rsidR="00FA0363" w:rsidRDefault="00E05BDA" w:rsidP="00FA0363">
      <w:pPr>
        <w:pStyle w:val="13"/>
        <w:ind w:firstLine="482"/>
      </w:pPr>
      <w:r w:rsidRPr="00E05BDA">
        <w:rPr>
          <w:rFonts w:hint="eastAsia"/>
          <w:b/>
          <w:bCs/>
        </w:rPr>
        <w:t xml:space="preserve">第十条 </w:t>
      </w:r>
      <w:r w:rsidR="00FA0363">
        <w:t>依照本条例第九条规定征收房屋的，由政府确定的建设项目组织实施单位向房屋征收部门提出启动房屋征收程序，说明房屋征收范围和符合公共利益的具体情形，并提交发展改革、自然资源等部门出具的建设项目符合国民经济和社会发展规划、土地利用总体规划、城乡规划和专项规划的证明文件。</w:t>
      </w:r>
    </w:p>
    <w:p w14:paraId="234B8959" w14:textId="77777777" w:rsidR="00FA0363" w:rsidRDefault="00FA0363" w:rsidP="00FA0363">
      <w:pPr>
        <w:pStyle w:val="13"/>
      </w:pPr>
      <w:r>
        <w:rPr>
          <w:rFonts w:hint="eastAsia"/>
        </w:rPr>
        <w:t>因保障性安居工程建设、旧城区改建需要征收房屋的，建设项目组织实施单位除提交前款规定的证明文件外，还应当提交发展改革部门出具的建设项目纳入国民经济和社会发展年度计划的证明文件。</w:t>
      </w:r>
    </w:p>
    <w:p w14:paraId="23E0D1A8" w14:textId="77777777" w:rsidR="00FA0363" w:rsidRDefault="00FA0363" w:rsidP="00FA0363">
      <w:pPr>
        <w:pStyle w:val="13"/>
      </w:pPr>
      <w:r>
        <w:rPr>
          <w:rFonts w:hint="eastAsia"/>
        </w:rPr>
        <w:t>房屋征收部门经审查，对房屋征收事项符合法定条件的，应当提出审查意见，报市、县级人民政府。市、县级人民政府决定启动房屋征收程序的，应当合理确定房屋征收范围。</w:t>
      </w:r>
    </w:p>
    <w:p w14:paraId="02D7E7F6" w14:textId="304F5CA9" w:rsidR="00FA0363" w:rsidRDefault="00E05BDA" w:rsidP="00FA0363">
      <w:pPr>
        <w:pStyle w:val="13"/>
        <w:ind w:firstLine="482"/>
      </w:pPr>
      <w:r w:rsidRPr="00E05BDA">
        <w:rPr>
          <w:rFonts w:hint="eastAsia"/>
          <w:b/>
          <w:bCs/>
        </w:rPr>
        <w:t xml:space="preserve">第十一条 </w:t>
      </w:r>
      <w:r w:rsidR="00FA0363">
        <w:t>房屋征收范围确定并公布后，不得在房屋征收范围内实施新建、扩建、改建房屋和改变房屋用途等不当增加补偿费用的行为；违反规定实施的，不予补偿。</w:t>
      </w:r>
    </w:p>
    <w:p w14:paraId="2FEA783F" w14:textId="77777777" w:rsidR="00FA0363" w:rsidRDefault="00FA0363" w:rsidP="00FA0363">
      <w:pPr>
        <w:pStyle w:val="13"/>
      </w:pPr>
      <w:r>
        <w:rPr>
          <w:rFonts w:hint="eastAsia"/>
        </w:rPr>
        <w:t>房屋征收部门应当将前款规定限制事项书面通知自然资源等有关部门暂停办理相关手续。暂停期限最长不得超过一年。</w:t>
      </w:r>
    </w:p>
    <w:p w14:paraId="5113E55A" w14:textId="747DA0BF" w:rsidR="00FA0363" w:rsidRDefault="00E05BDA" w:rsidP="00FA0363">
      <w:pPr>
        <w:pStyle w:val="13"/>
        <w:ind w:firstLine="482"/>
      </w:pPr>
      <w:r w:rsidRPr="00E05BDA">
        <w:rPr>
          <w:rFonts w:hint="eastAsia"/>
          <w:b/>
          <w:bCs/>
        </w:rPr>
        <w:t xml:space="preserve">第十二条 </w:t>
      </w:r>
      <w:r w:rsidR="00FA0363">
        <w:t>房屋征收部门应当对房屋征收范围内房屋权属、区位、用途、建筑面积等情况组织调查登记。对未经权属登记的房屋，房屋征收部门应当提请市、县级人民政府组织有关部门依法进行认定和处理。</w:t>
      </w:r>
    </w:p>
    <w:p w14:paraId="03527DB9" w14:textId="77777777" w:rsidR="00FA0363" w:rsidRDefault="00FA0363" w:rsidP="00FA0363">
      <w:pPr>
        <w:pStyle w:val="13"/>
      </w:pPr>
      <w:r>
        <w:rPr>
          <w:rFonts w:hint="eastAsia"/>
        </w:rPr>
        <w:t>房屋征收部门应当将房屋调查登记、认定和处理结果在房屋征收范围内公示。对房屋调查登记、认定和处理结果有异议的，市、县级人民政府应当组织有关部门及时进行复核、处理。</w:t>
      </w:r>
    </w:p>
    <w:p w14:paraId="0EADD563" w14:textId="5C717764" w:rsidR="00FA0363" w:rsidRDefault="00E05BDA" w:rsidP="00FA0363">
      <w:pPr>
        <w:pStyle w:val="13"/>
        <w:ind w:firstLine="482"/>
      </w:pPr>
      <w:r w:rsidRPr="00E05BDA">
        <w:rPr>
          <w:rFonts w:hint="eastAsia"/>
          <w:b/>
          <w:bCs/>
        </w:rPr>
        <w:t xml:space="preserve">第十三条 </w:t>
      </w:r>
      <w:r w:rsidR="00FA0363">
        <w:t>房屋征收部门应当拟定征收补偿方案，报市、县级人民政府。</w:t>
      </w:r>
    </w:p>
    <w:p w14:paraId="3DDFECC4" w14:textId="77777777" w:rsidR="00FA0363" w:rsidRDefault="00FA0363" w:rsidP="00FA0363">
      <w:pPr>
        <w:pStyle w:val="13"/>
      </w:pPr>
      <w:r>
        <w:rPr>
          <w:rFonts w:hint="eastAsia"/>
        </w:rPr>
        <w:t>征收补偿方案应当包括下列内容：</w:t>
      </w:r>
    </w:p>
    <w:p w14:paraId="528AF5B7" w14:textId="77777777" w:rsidR="00FA0363" w:rsidRDefault="00FA0363" w:rsidP="00FA0363">
      <w:pPr>
        <w:pStyle w:val="13"/>
      </w:pPr>
      <w:r>
        <w:rPr>
          <w:rFonts w:hint="eastAsia"/>
        </w:rPr>
        <w:lastRenderedPageBreak/>
        <w:t>（一）房屋征收部门、房屋征收实施单位；</w:t>
      </w:r>
    </w:p>
    <w:p w14:paraId="38015781" w14:textId="77777777" w:rsidR="00FA0363" w:rsidRDefault="00FA0363" w:rsidP="00FA0363">
      <w:pPr>
        <w:pStyle w:val="13"/>
      </w:pPr>
      <w:r>
        <w:rPr>
          <w:rFonts w:hint="eastAsia"/>
        </w:rPr>
        <w:t>（二）房屋征收范围、征收依据、征收目的、签约期限等；</w:t>
      </w:r>
    </w:p>
    <w:p w14:paraId="2686CA87" w14:textId="77777777" w:rsidR="00FA0363" w:rsidRDefault="00FA0363" w:rsidP="00FA0363">
      <w:pPr>
        <w:pStyle w:val="13"/>
      </w:pPr>
      <w:r>
        <w:rPr>
          <w:rFonts w:hint="eastAsia"/>
        </w:rPr>
        <w:t>（三）被征收房屋的基本情况；</w:t>
      </w:r>
    </w:p>
    <w:p w14:paraId="1C146EA4" w14:textId="77777777" w:rsidR="00FA0363" w:rsidRDefault="00FA0363" w:rsidP="00FA0363">
      <w:pPr>
        <w:pStyle w:val="13"/>
      </w:pPr>
      <w:r>
        <w:rPr>
          <w:rFonts w:hint="eastAsia"/>
        </w:rPr>
        <w:t>（四）补偿方式、补偿标准和评估办法；</w:t>
      </w:r>
    </w:p>
    <w:p w14:paraId="56E55C00" w14:textId="77777777" w:rsidR="00FA0363" w:rsidRDefault="00FA0363" w:rsidP="00FA0363">
      <w:pPr>
        <w:pStyle w:val="13"/>
      </w:pPr>
      <w:r>
        <w:rPr>
          <w:rFonts w:hint="eastAsia"/>
        </w:rPr>
        <w:t>（五）用于产权调换房屋的地点、单套建筑面积、套数，产权调换房屋的价值认定；</w:t>
      </w:r>
    </w:p>
    <w:p w14:paraId="38073E59" w14:textId="77777777" w:rsidR="00FA0363" w:rsidRDefault="00FA0363" w:rsidP="00FA0363">
      <w:pPr>
        <w:pStyle w:val="13"/>
      </w:pPr>
      <w:r>
        <w:rPr>
          <w:rFonts w:hint="eastAsia"/>
        </w:rPr>
        <w:t>（六）过渡方式和搬迁费、临时安置费、停产停业损失补偿费标准；</w:t>
      </w:r>
    </w:p>
    <w:p w14:paraId="08EFA7B7" w14:textId="77777777" w:rsidR="00FA0363" w:rsidRDefault="00FA0363" w:rsidP="00FA0363">
      <w:pPr>
        <w:pStyle w:val="13"/>
      </w:pPr>
      <w:r>
        <w:rPr>
          <w:rFonts w:hint="eastAsia"/>
        </w:rPr>
        <w:t>（七）补助和奖励等。</w:t>
      </w:r>
    </w:p>
    <w:p w14:paraId="6D01C09D" w14:textId="7CB55CE5" w:rsidR="00FA0363" w:rsidRDefault="00E05BDA" w:rsidP="00FA0363">
      <w:pPr>
        <w:pStyle w:val="13"/>
        <w:ind w:firstLine="482"/>
      </w:pPr>
      <w:r w:rsidRPr="00E05BDA">
        <w:rPr>
          <w:rFonts w:hint="eastAsia"/>
          <w:b/>
          <w:bCs/>
        </w:rPr>
        <w:t xml:space="preserve">第十四条 </w:t>
      </w:r>
      <w:r w:rsidR="00FA0363">
        <w:t>市、县级人民政府应当组织有关部门对征收补偿方案进行论证，并在房屋征收范围内予以公示。公示期限不得少于三十日。</w:t>
      </w:r>
    </w:p>
    <w:p w14:paraId="77473C85" w14:textId="77777777" w:rsidR="00FA0363" w:rsidRDefault="00FA0363" w:rsidP="00FA0363">
      <w:pPr>
        <w:pStyle w:val="13"/>
      </w:pPr>
      <w:r>
        <w:rPr>
          <w:rFonts w:hint="eastAsia"/>
        </w:rPr>
        <w:t>因旧城区改建需要征收房屋，超过半数的被征收人认为征收补偿方案不符合本条例规定的，市、县级人民政府应当组织由被征收人代表和公众代表参加的听证会，并根据听证会情况修改方案。听证工作由市、县级人民政府确定的部门或者机构组织实施。市、县级人民政府应当将征收补偿方案征求意见情况和根据公众意见修改情况及时公布。</w:t>
      </w:r>
    </w:p>
    <w:p w14:paraId="02E9B354" w14:textId="583E5BE8" w:rsidR="00FA0363" w:rsidRDefault="00E05BDA" w:rsidP="00FA0363">
      <w:pPr>
        <w:pStyle w:val="13"/>
        <w:ind w:firstLine="482"/>
      </w:pPr>
      <w:r w:rsidRPr="00E05BDA">
        <w:rPr>
          <w:rFonts w:hint="eastAsia"/>
          <w:b/>
          <w:bCs/>
        </w:rPr>
        <w:t xml:space="preserve">第十五条 </w:t>
      </w:r>
      <w:r w:rsidR="00FA0363">
        <w:t>市、县级人民政府</w:t>
      </w:r>
      <w:proofErr w:type="gramStart"/>
      <w:r w:rsidR="00FA0363">
        <w:t>作出</w:t>
      </w:r>
      <w:proofErr w:type="gramEnd"/>
      <w:r w:rsidR="00FA0363">
        <w:t>房屋征收决定前，应当对房屋征收的合法性、合理性、可行性、可控性以及征收补偿费用保障、风险化解措施、应急处置预案等内容进行评估论证，形成社会稳定风险评估报告。社会稳定风险评估报告应当作为是否</w:t>
      </w:r>
      <w:proofErr w:type="gramStart"/>
      <w:r w:rsidR="00FA0363">
        <w:t>作出</w:t>
      </w:r>
      <w:proofErr w:type="gramEnd"/>
      <w:r w:rsidR="00FA0363">
        <w:t>房屋征收决定的重要依据。</w:t>
      </w:r>
    </w:p>
    <w:p w14:paraId="5A915E7A" w14:textId="77777777" w:rsidR="00FA0363" w:rsidRDefault="00FA0363" w:rsidP="00FA0363">
      <w:pPr>
        <w:pStyle w:val="13"/>
      </w:pPr>
      <w:r>
        <w:rPr>
          <w:rFonts w:hint="eastAsia"/>
        </w:rPr>
        <w:t>房屋征收决定涉及被征收人数量较多的，应当经政府常务会议讨论。</w:t>
      </w:r>
    </w:p>
    <w:p w14:paraId="15E25AAC" w14:textId="77777777" w:rsidR="00FA0363" w:rsidRDefault="00FA0363" w:rsidP="00FA0363">
      <w:pPr>
        <w:pStyle w:val="13"/>
      </w:pPr>
      <w:proofErr w:type="gramStart"/>
      <w:r>
        <w:rPr>
          <w:rFonts w:hint="eastAsia"/>
        </w:rPr>
        <w:t>作出</w:t>
      </w:r>
      <w:proofErr w:type="gramEnd"/>
      <w:r>
        <w:rPr>
          <w:rFonts w:hint="eastAsia"/>
        </w:rPr>
        <w:t>房屋征收决定前，征收补偿费用应当足额到位、专户存储、专款专用。</w:t>
      </w:r>
    </w:p>
    <w:p w14:paraId="27BD35A1" w14:textId="0C22E9D9" w:rsidR="00FA0363" w:rsidRDefault="00E05BDA" w:rsidP="00FA0363">
      <w:pPr>
        <w:pStyle w:val="13"/>
        <w:ind w:firstLine="482"/>
      </w:pPr>
      <w:r w:rsidRPr="00E05BDA">
        <w:rPr>
          <w:rFonts w:hint="eastAsia"/>
          <w:b/>
          <w:bCs/>
        </w:rPr>
        <w:t xml:space="preserve">第十六条 </w:t>
      </w:r>
      <w:r w:rsidR="00FA0363">
        <w:t>房屋征收事项符合法定条件的，由市、县级人民政府依法</w:t>
      </w:r>
      <w:proofErr w:type="gramStart"/>
      <w:r w:rsidR="00FA0363">
        <w:t>作出</w:t>
      </w:r>
      <w:proofErr w:type="gramEnd"/>
      <w:r w:rsidR="00FA0363">
        <w:t>房屋征收决定。</w:t>
      </w:r>
    </w:p>
    <w:p w14:paraId="20BF1D5C" w14:textId="77777777" w:rsidR="00FA0363" w:rsidRDefault="00FA0363" w:rsidP="00FA0363">
      <w:pPr>
        <w:pStyle w:val="13"/>
      </w:pPr>
      <w:r>
        <w:rPr>
          <w:rFonts w:hint="eastAsia"/>
        </w:rPr>
        <w:t>市、县级人民政府应当自</w:t>
      </w:r>
      <w:proofErr w:type="gramStart"/>
      <w:r>
        <w:rPr>
          <w:rFonts w:hint="eastAsia"/>
        </w:rPr>
        <w:t>作出</w:t>
      </w:r>
      <w:proofErr w:type="gramEnd"/>
      <w:r>
        <w:rPr>
          <w:rFonts w:hint="eastAsia"/>
        </w:rPr>
        <w:t>房屋征收决定之日起三日内在房屋征收范围内发布公告。公告应当载明征收补偿方案和行政复议、行政诉讼权利等事项。</w:t>
      </w:r>
    </w:p>
    <w:p w14:paraId="5ED60AEB" w14:textId="77777777" w:rsidR="00FA0363" w:rsidRDefault="00FA0363" w:rsidP="00FA0363">
      <w:pPr>
        <w:pStyle w:val="13"/>
      </w:pPr>
      <w:r>
        <w:rPr>
          <w:rFonts w:hint="eastAsia"/>
        </w:rPr>
        <w:t>房屋被依法征收的，国有土地使用权同时收回。</w:t>
      </w:r>
    </w:p>
    <w:p w14:paraId="546DB190" w14:textId="53EF5117" w:rsidR="00FA0363" w:rsidRDefault="00FA0363" w:rsidP="00AF7342">
      <w:pPr>
        <w:pStyle w:val="a9"/>
        <w:spacing w:before="62" w:after="62"/>
      </w:pPr>
      <w:r>
        <w:rPr>
          <w:rFonts w:hint="eastAsia"/>
        </w:rPr>
        <w:t>第三章</w:t>
      </w:r>
      <w:r>
        <w:t xml:space="preserve"> 补偿</w:t>
      </w:r>
    </w:p>
    <w:p w14:paraId="0F41B323" w14:textId="0CBFE4B1" w:rsidR="00FA0363" w:rsidRDefault="00E05BDA" w:rsidP="00FA0363">
      <w:pPr>
        <w:pStyle w:val="13"/>
        <w:ind w:firstLine="482"/>
      </w:pPr>
      <w:r w:rsidRPr="00E05BDA">
        <w:rPr>
          <w:rFonts w:hint="eastAsia"/>
          <w:b/>
          <w:bCs/>
        </w:rPr>
        <w:t xml:space="preserve">第十七条 </w:t>
      </w:r>
      <w:proofErr w:type="gramStart"/>
      <w:r w:rsidR="00FA0363">
        <w:t>作出</w:t>
      </w:r>
      <w:proofErr w:type="gramEnd"/>
      <w:r w:rsidR="00FA0363">
        <w:t>房屋征收决定的人民政府应当对被征收人给予补偿，补偿内容应当包括：</w:t>
      </w:r>
    </w:p>
    <w:p w14:paraId="668206AD" w14:textId="77777777" w:rsidR="00FA0363" w:rsidRDefault="00FA0363" w:rsidP="00FA0363">
      <w:pPr>
        <w:pStyle w:val="13"/>
      </w:pPr>
      <w:r>
        <w:rPr>
          <w:rFonts w:hint="eastAsia"/>
        </w:rPr>
        <w:t>（一）被征收房屋价值补偿；</w:t>
      </w:r>
    </w:p>
    <w:p w14:paraId="25470732" w14:textId="77777777" w:rsidR="00FA0363" w:rsidRDefault="00FA0363" w:rsidP="00FA0363">
      <w:pPr>
        <w:pStyle w:val="13"/>
      </w:pPr>
      <w:r>
        <w:rPr>
          <w:rFonts w:hint="eastAsia"/>
        </w:rPr>
        <w:t>（二）因征收房屋造成的搬迁补偿；</w:t>
      </w:r>
    </w:p>
    <w:p w14:paraId="30EBD5AB" w14:textId="77777777" w:rsidR="00FA0363" w:rsidRDefault="00FA0363" w:rsidP="00FA0363">
      <w:pPr>
        <w:pStyle w:val="13"/>
      </w:pPr>
      <w:r>
        <w:rPr>
          <w:rFonts w:hint="eastAsia"/>
        </w:rPr>
        <w:t>（三）因征收房屋造成的临时安置补偿；</w:t>
      </w:r>
    </w:p>
    <w:p w14:paraId="6270C60E" w14:textId="77777777" w:rsidR="00FA0363" w:rsidRDefault="00FA0363" w:rsidP="00FA0363">
      <w:pPr>
        <w:pStyle w:val="13"/>
      </w:pPr>
      <w:r>
        <w:rPr>
          <w:rFonts w:hint="eastAsia"/>
        </w:rPr>
        <w:t>（四）因征收房屋造成的停产停业损失补偿。</w:t>
      </w:r>
    </w:p>
    <w:p w14:paraId="1B6AE520" w14:textId="77777777" w:rsidR="00FA0363" w:rsidRDefault="00FA0363" w:rsidP="00FA0363">
      <w:pPr>
        <w:pStyle w:val="13"/>
      </w:pPr>
      <w:r>
        <w:rPr>
          <w:rFonts w:hint="eastAsia"/>
        </w:rPr>
        <w:t>被征收房屋价值中包括房屋装饰装修价值以及附属于该房屋的国有土地使用权</w:t>
      </w:r>
      <w:r>
        <w:rPr>
          <w:rFonts w:hint="eastAsia"/>
        </w:rPr>
        <w:lastRenderedPageBreak/>
        <w:t>的价值。</w:t>
      </w:r>
    </w:p>
    <w:p w14:paraId="6EE4AE86" w14:textId="6D8E0025" w:rsidR="00FA0363" w:rsidRDefault="00E05BDA" w:rsidP="00FA0363">
      <w:pPr>
        <w:pStyle w:val="13"/>
        <w:ind w:firstLine="482"/>
      </w:pPr>
      <w:r w:rsidRPr="00E05BDA">
        <w:rPr>
          <w:rFonts w:hint="eastAsia"/>
          <w:b/>
          <w:bCs/>
        </w:rPr>
        <w:t xml:space="preserve">第十八条 </w:t>
      </w:r>
      <w:r w:rsidR="00FA0363">
        <w:t>市、县级人民政府应当制定补助和奖励办法，对被征收人给予补助和奖励。</w:t>
      </w:r>
    </w:p>
    <w:p w14:paraId="560849D5" w14:textId="54953E47" w:rsidR="00FA0363" w:rsidRDefault="00E05BDA" w:rsidP="00FA0363">
      <w:pPr>
        <w:pStyle w:val="13"/>
        <w:ind w:firstLine="482"/>
      </w:pPr>
      <w:r w:rsidRPr="00E05BDA">
        <w:rPr>
          <w:rFonts w:hint="eastAsia"/>
          <w:b/>
          <w:bCs/>
        </w:rPr>
        <w:t xml:space="preserve">第十九条 </w:t>
      </w:r>
      <w:r w:rsidR="00FA0363">
        <w:t>对被征收住宅房屋价值的补偿，按照房屋征收决定公告之日被征收房屋所处区位新建普通商品住房市场价格，由房地产价格评估机构评估确定。</w:t>
      </w:r>
    </w:p>
    <w:p w14:paraId="170553A9" w14:textId="77777777" w:rsidR="00FA0363" w:rsidRDefault="00FA0363" w:rsidP="00FA0363">
      <w:pPr>
        <w:pStyle w:val="13"/>
      </w:pPr>
      <w:r>
        <w:rPr>
          <w:rFonts w:hint="eastAsia"/>
        </w:rPr>
        <w:t>对被征收非住宅房屋价值的补偿，不得低于房屋征收决定公告之日被征收房屋所处区位类似房地产的市场价格，由房地产价格评估机构评估确定。</w:t>
      </w:r>
    </w:p>
    <w:p w14:paraId="426747B9" w14:textId="77777777" w:rsidR="00FA0363" w:rsidRDefault="00FA0363" w:rsidP="00FA0363">
      <w:pPr>
        <w:pStyle w:val="13"/>
      </w:pPr>
      <w:r>
        <w:rPr>
          <w:rFonts w:hint="eastAsia"/>
        </w:rPr>
        <w:t>被征收住宅房屋的最低补偿标准由设区的市人民政府确定，并向社会公布。</w:t>
      </w:r>
    </w:p>
    <w:p w14:paraId="0F374912" w14:textId="7C64C543" w:rsidR="00FA0363" w:rsidRDefault="00E05BDA" w:rsidP="00FA0363">
      <w:pPr>
        <w:pStyle w:val="13"/>
        <w:ind w:firstLine="482"/>
      </w:pPr>
      <w:r w:rsidRPr="00E05BDA">
        <w:rPr>
          <w:rFonts w:hint="eastAsia"/>
          <w:b/>
          <w:bCs/>
        </w:rPr>
        <w:t xml:space="preserve">第二十条 </w:t>
      </w:r>
      <w:r w:rsidR="00FA0363">
        <w:t>被征收人可以选择货币补偿，也可以选择房屋产权调换。本条例第二十四</w:t>
      </w:r>
      <w:r w:rsidR="00FA0363">
        <w:rPr>
          <w:rFonts w:hint="eastAsia"/>
        </w:rPr>
        <w:t>条规定的情形除外。</w:t>
      </w:r>
    </w:p>
    <w:p w14:paraId="56FAE83E" w14:textId="5F40AA74" w:rsidR="00FA0363" w:rsidRDefault="00E05BDA" w:rsidP="00FA0363">
      <w:pPr>
        <w:pStyle w:val="13"/>
        <w:ind w:firstLine="482"/>
      </w:pPr>
      <w:r w:rsidRPr="00E05BDA">
        <w:rPr>
          <w:rFonts w:hint="eastAsia"/>
          <w:b/>
          <w:bCs/>
        </w:rPr>
        <w:t xml:space="preserve">第二十一条 </w:t>
      </w:r>
      <w:r w:rsidR="00FA0363">
        <w:t>被征收人选择房屋产权调换的，</w:t>
      </w:r>
      <w:proofErr w:type="gramStart"/>
      <w:r w:rsidR="00FA0363">
        <w:t>作出</w:t>
      </w:r>
      <w:proofErr w:type="gramEnd"/>
      <w:r w:rsidR="00FA0363">
        <w:t>房屋征收决定的人民政府应当以所提供的产权调换房屋与被征收人的房屋进行产权调换。产权调换房屋和被征收房屋的价值均依照本条例的规定进行评估确定。双方结清差价后，该产权调换房屋的</w:t>
      </w:r>
      <w:proofErr w:type="gramStart"/>
      <w:r w:rsidR="00FA0363">
        <w:t>所有权归被征收</w:t>
      </w:r>
      <w:proofErr w:type="gramEnd"/>
      <w:r w:rsidR="00FA0363">
        <w:t>人所有。</w:t>
      </w:r>
    </w:p>
    <w:p w14:paraId="72AC6EE8" w14:textId="77777777" w:rsidR="00FA0363" w:rsidRDefault="00FA0363" w:rsidP="00FA0363">
      <w:pPr>
        <w:pStyle w:val="13"/>
      </w:pPr>
      <w:r>
        <w:rPr>
          <w:rFonts w:hint="eastAsia"/>
        </w:rPr>
        <w:t>因旧城区改建征收个人住宅，被征收人选择在改建地段进行房屋产权调换的，</w:t>
      </w:r>
      <w:proofErr w:type="gramStart"/>
      <w:r>
        <w:rPr>
          <w:rFonts w:hint="eastAsia"/>
        </w:rPr>
        <w:t>作出</w:t>
      </w:r>
      <w:proofErr w:type="gramEnd"/>
      <w:r>
        <w:rPr>
          <w:rFonts w:hint="eastAsia"/>
        </w:rPr>
        <w:t>房屋征收决定的人民政府应当提供改建地段或者就近地段的房屋。</w:t>
      </w:r>
    </w:p>
    <w:p w14:paraId="5C27B90F" w14:textId="4439B076" w:rsidR="00FA0363" w:rsidRDefault="00E05BDA" w:rsidP="00FA0363">
      <w:pPr>
        <w:pStyle w:val="13"/>
        <w:ind w:firstLine="482"/>
      </w:pPr>
      <w:r w:rsidRPr="00E05BDA">
        <w:rPr>
          <w:rFonts w:hint="eastAsia"/>
          <w:b/>
          <w:bCs/>
        </w:rPr>
        <w:t xml:space="preserve">第二十二条 </w:t>
      </w:r>
      <w:r w:rsidR="00FA0363">
        <w:t>用于产权调换的房屋，应当符合下列规定：</w:t>
      </w:r>
    </w:p>
    <w:p w14:paraId="7AF35B2C" w14:textId="77777777" w:rsidR="00FA0363" w:rsidRDefault="00FA0363" w:rsidP="00FA0363">
      <w:pPr>
        <w:pStyle w:val="13"/>
      </w:pPr>
      <w:r>
        <w:rPr>
          <w:rFonts w:hint="eastAsia"/>
        </w:rPr>
        <w:t>（一）符合国家和省规定的房屋建筑设计技术规范和标准；</w:t>
      </w:r>
    </w:p>
    <w:p w14:paraId="64FDA84F" w14:textId="77777777" w:rsidR="00FA0363" w:rsidRDefault="00FA0363" w:rsidP="00FA0363">
      <w:pPr>
        <w:pStyle w:val="13"/>
      </w:pPr>
      <w:r>
        <w:rPr>
          <w:rFonts w:hint="eastAsia"/>
        </w:rPr>
        <w:t>（二）符合国家和省规定的房屋质量安全标准；</w:t>
      </w:r>
    </w:p>
    <w:p w14:paraId="722ECC51" w14:textId="77777777" w:rsidR="00FA0363" w:rsidRDefault="00FA0363" w:rsidP="00FA0363">
      <w:pPr>
        <w:pStyle w:val="13"/>
      </w:pPr>
      <w:r>
        <w:rPr>
          <w:rFonts w:hint="eastAsia"/>
        </w:rPr>
        <w:t>（三）产权清晰。</w:t>
      </w:r>
    </w:p>
    <w:p w14:paraId="086135AB" w14:textId="78A457E8" w:rsidR="00FA0363" w:rsidRDefault="00E05BDA" w:rsidP="00FA0363">
      <w:pPr>
        <w:pStyle w:val="13"/>
        <w:ind w:firstLine="482"/>
      </w:pPr>
      <w:r w:rsidRPr="00E05BDA">
        <w:rPr>
          <w:rFonts w:hint="eastAsia"/>
          <w:b/>
          <w:bCs/>
        </w:rPr>
        <w:t xml:space="preserve">第二十三条 </w:t>
      </w:r>
      <w:r w:rsidR="00FA0363">
        <w:t>被征收房屋的建筑面积和用途，以房屋权属证书和房屋登记簿的记载为准。房屋权属证书与房屋登记</w:t>
      </w:r>
      <w:proofErr w:type="gramStart"/>
      <w:r w:rsidR="00FA0363">
        <w:t>簿记载不一致</w:t>
      </w:r>
      <w:proofErr w:type="gramEnd"/>
      <w:r w:rsidR="00FA0363">
        <w:t>的，除有证据证明房屋登记簿确有错误外，以房屋登记簿为准。</w:t>
      </w:r>
    </w:p>
    <w:p w14:paraId="14548683" w14:textId="7AB13B72" w:rsidR="00FA0363" w:rsidRDefault="00E05BDA" w:rsidP="00FA0363">
      <w:pPr>
        <w:pStyle w:val="13"/>
        <w:ind w:firstLine="482"/>
      </w:pPr>
      <w:r w:rsidRPr="00E05BDA">
        <w:rPr>
          <w:rFonts w:hint="eastAsia"/>
          <w:b/>
          <w:bCs/>
        </w:rPr>
        <w:t xml:space="preserve">第二十四条 </w:t>
      </w:r>
      <w:r w:rsidR="00FA0363">
        <w:t>被征收房屋属于公共租赁住房、公房管理部门直</w:t>
      </w:r>
      <w:proofErr w:type="gramStart"/>
      <w:r w:rsidR="00FA0363">
        <w:t>管住宅</w:t>
      </w:r>
      <w:proofErr w:type="gramEnd"/>
      <w:r w:rsidR="00FA0363">
        <w:t>公房或者单位自管住宅公房的，在租赁关系存续期间，被征收人未与承租人达成解除租赁协议但符合房屋承租规定的，</w:t>
      </w:r>
      <w:proofErr w:type="gramStart"/>
      <w:r w:rsidR="00FA0363">
        <w:t>作出</w:t>
      </w:r>
      <w:proofErr w:type="gramEnd"/>
      <w:r w:rsidR="00FA0363">
        <w:t>房屋征收决定的人民政府应当对被征收人实行房屋产权调换的补偿方式。用于产权调换的房屋由原房屋承租人承租，被征收人与原房屋承租人重新签订房屋租赁合同。</w:t>
      </w:r>
    </w:p>
    <w:p w14:paraId="09B91B92" w14:textId="6F321E35" w:rsidR="00FA0363" w:rsidRDefault="00E05BDA" w:rsidP="00FA0363">
      <w:pPr>
        <w:pStyle w:val="13"/>
        <w:ind w:firstLine="482"/>
      </w:pPr>
      <w:r w:rsidRPr="00E05BDA">
        <w:rPr>
          <w:rFonts w:hint="eastAsia"/>
          <w:b/>
          <w:bCs/>
        </w:rPr>
        <w:t xml:space="preserve">第二十五条 </w:t>
      </w:r>
      <w:r w:rsidR="00FA0363">
        <w:t>征收个人住宅，被征收人只有一套住宅房屋，且该房屋建筑面积低于四十五平方米的，房屋征收部门应当对被征收人进行最低面积补偿，最低面积补偿标准不得少于四十五平方米建筑面积，具体标准由设区的市人民政府确定并向社会公布。</w:t>
      </w:r>
    </w:p>
    <w:p w14:paraId="1D636A8F" w14:textId="77777777" w:rsidR="00FA0363" w:rsidRDefault="00FA0363" w:rsidP="00FA0363">
      <w:pPr>
        <w:pStyle w:val="13"/>
      </w:pPr>
      <w:r>
        <w:rPr>
          <w:rFonts w:hint="eastAsia"/>
        </w:rPr>
        <w:t>按照最低面积进行补偿所增加的费用，由</w:t>
      </w:r>
      <w:proofErr w:type="gramStart"/>
      <w:r>
        <w:rPr>
          <w:rFonts w:hint="eastAsia"/>
        </w:rPr>
        <w:t>作出</w:t>
      </w:r>
      <w:proofErr w:type="gramEnd"/>
      <w:r>
        <w:rPr>
          <w:rFonts w:hint="eastAsia"/>
        </w:rPr>
        <w:t>房屋征收决定的人民政府承担。</w:t>
      </w:r>
    </w:p>
    <w:p w14:paraId="09FBC479" w14:textId="77777777" w:rsidR="00FA0363" w:rsidRDefault="00FA0363" w:rsidP="00FA0363">
      <w:pPr>
        <w:pStyle w:val="13"/>
      </w:pPr>
      <w:r>
        <w:rPr>
          <w:rFonts w:hint="eastAsia"/>
        </w:rPr>
        <w:t>房屋征收部门应当将符合本条第一款规定条件的被征收人，在房屋征收范围内</w:t>
      </w:r>
      <w:r>
        <w:rPr>
          <w:rFonts w:hint="eastAsia"/>
        </w:rPr>
        <w:lastRenderedPageBreak/>
        <w:t>进行公示。公示期限不得少于十日。</w:t>
      </w:r>
    </w:p>
    <w:p w14:paraId="1AAD053D" w14:textId="523A1A3A" w:rsidR="00FA0363" w:rsidRDefault="00E05BDA" w:rsidP="00FA0363">
      <w:pPr>
        <w:pStyle w:val="13"/>
        <w:ind w:firstLine="482"/>
      </w:pPr>
      <w:r w:rsidRPr="00E05BDA">
        <w:rPr>
          <w:rFonts w:hint="eastAsia"/>
          <w:b/>
          <w:bCs/>
        </w:rPr>
        <w:t xml:space="preserve">第二十六条 </w:t>
      </w:r>
      <w:r w:rsidR="00FA0363">
        <w:t>被征收人符合住房保障条件的，</w:t>
      </w:r>
      <w:proofErr w:type="gramStart"/>
      <w:r w:rsidR="00FA0363">
        <w:t>作出</w:t>
      </w:r>
      <w:proofErr w:type="gramEnd"/>
      <w:r w:rsidR="00FA0363">
        <w:t>房屋征收决定的市、县级人民政府应当直接配租、配售保障性住房，不再轮候。</w:t>
      </w:r>
    </w:p>
    <w:p w14:paraId="7AAEC03C" w14:textId="77777777" w:rsidR="00FA0363" w:rsidRDefault="00FA0363" w:rsidP="00FA0363">
      <w:pPr>
        <w:pStyle w:val="13"/>
      </w:pPr>
      <w:r>
        <w:rPr>
          <w:rFonts w:hint="eastAsia"/>
        </w:rPr>
        <w:t>被征收人符合住房保障条件，也符合享受最低面积补偿条件的，房屋征收部门应当征求被征收人意见，由被征收人选择住房保障或者享受最低面积补偿。</w:t>
      </w:r>
    </w:p>
    <w:p w14:paraId="1D11BE27" w14:textId="2F268D9D" w:rsidR="00FA0363" w:rsidRDefault="00E05BDA" w:rsidP="00FA0363">
      <w:pPr>
        <w:pStyle w:val="13"/>
        <w:ind w:firstLine="482"/>
      </w:pPr>
      <w:r w:rsidRPr="00E05BDA">
        <w:rPr>
          <w:rFonts w:hint="eastAsia"/>
          <w:b/>
          <w:bCs/>
        </w:rPr>
        <w:t xml:space="preserve">第二十七条 </w:t>
      </w:r>
      <w:r w:rsidR="00FA0363">
        <w:t>因征收房屋造成搬迁的，房屋征收部门应当向被征收人支付搬迁费。</w:t>
      </w:r>
    </w:p>
    <w:p w14:paraId="4CB8977D" w14:textId="6672BFB6" w:rsidR="00FA0363" w:rsidRDefault="00E05BDA" w:rsidP="00FA0363">
      <w:pPr>
        <w:pStyle w:val="13"/>
        <w:ind w:firstLine="482"/>
      </w:pPr>
      <w:r w:rsidRPr="00E05BDA">
        <w:rPr>
          <w:rFonts w:hint="eastAsia"/>
          <w:b/>
          <w:bCs/>
        </w:rPr>
        <w:t xml:space="preserve">第二十八条 </w:t>
      </w:r>
      <w:r w:rsidR="00FA0363">
        <w:t>征收住宅房屋，房屋征收部门应当向被征收人支付临时安置费。</w:t>
      </w:r>
    </w:p>
    <w:p w14:paraId="60986E86" w14:textId="77777777" w:rsidR="00FA0363" w:rsidRDefault="00FA0363" w:rsidP="00FA0363">
      <w:pPr>
        <w:pStyle w:val="13"/>
      </w:pPr>
      <w:r>
        <w:rPr>
          <w:rFonts w:hint="eastAsia"/>
        </w:rPr>
        <w:t>被征收人选择货币补偿的，给予一次性临时安置费。</w:t>
      </w:r>
    </w:p>
    <w:p w14:paraId="52D4FBE5" w14:textId="77777777" w:rsidR="00FA0363" w:rsidRDefault="00FA0363" w:rsidP="00FA0363">
      <w:pPr>
        <w:pStyle w:val="13"/>
      </w:pPr>
      <w:r>
        <w:rPr>
          <w:rFonts w:hint="eastAsia"/>
        </w:rPr>
        <w:t>被征收人选择房屋产权调换的，按照补偿协议约定的过渡期限支付临时安置费；被征收人选择房屋征收部门提供的周转用房的，不支付临时安置费。</w:t>
      </w:r>
    </w:p>
    <w:p w14:paraId="4FD06BA3" w14:textId="77777777" w:rsidR="00FA0363" w:rsidRDefault="00FA0363" w:rsidP="00FA0363">
      <w:pPr>
        <w:pStyle w:val="13"/>
      </w:pPr>
      <w:r>
        <w:rPr>
          <w:rFonts w:hint="eastAsia"/>
        </w:rPr>
        <w:t>因房屋征收部门的责任延长过渡期限的，自逾期之日起按照标准双倍支付临时安置费；被征收人选择房屋征收部门提供的周转用房的，自逾期之日起按照标准支付临时安置费。</w:t>
      </w:r>
    </w:p>
    <w:p w14:paraId="09BE3831" w14:textId="3A0E8122" w:rsidR="00FA0363" w:rsidRDefault="00E05BDA" w:rsidP="00FA0363">
      <w:pPr>
        <w:pStyle w:val="13"/>
        <w:ind w:firstLine="482"/>
      </w:pPr>
      <w:r w:rsidRPr="00E05BDA">
        <w:rPr>
          <w:rFonts w:hint="eastAsia"/>
          <w:b/>
          <w:bCs/>
        </w:rPr>
        <w:t xml:space="preserve">第二十九条 </w:t>
      </w:r>
      <w:r w:rsidR="00FA0363">
        <w:t>因征收非住宅房屋给被征收人造成停产停业损失的，房屋征收部门应当向被征收人支付停产停业损失补偿费。</w:t>
      </w:r>
    </w:p>
    <w:p w14:paraId="617E5976" w14:textId="77777777" w:rsidR="00FA0363" w:rsidRDefault="00FA0363" w:rsidP="00FA0363">
      <w:pPr>
        <w:pStyle w:val="13"/>
      </w:pPr>
      <w:r>
        <w:rPr>
          <w:rFonts w:hint="eastAsia"/>
        </w:rPr>
        <w:t>被征收人选择货币补偿的，给予一次性停产停业损失补偿费。</w:t>
      </w:r>
    </w:p>
    <w:p w14:paraId="473ADD68" w14:textId="77777777" w:rsidR="00FA0363" w:rsidRDefault="00FA0363" w:rsidP="00FA0363">
      <w:pPr>
        <w:pStyle w:val="13"/>
      </w:pPr>
      <w:r>
        <w:rPr>
          <w:rFonts w:hint="eastAsia"/>
        </w:rPr>
        <w:t>被征收人选择房屋产权调换的，按照补偿协议约定的过渡期限支付停产停业损失补偿费；被征收人选择房屋征收部门提供的周转用房的，不支付停产停业损失补偿费。</w:t>
      </w:r>
    </w:p>
    <w:p w14:paraId="384CBAF2" w14:textId="77777777" w:rsidR="00FA0363" w:rsidRDefault="00FA0363" w:rsidP="00FA0363">
      <w:pPr>
        <w:pStyle w:val="13"/>
      </w:pPr>
      <w:r>
        <w:rPr>
          <w:rFonts w:hint="eastAsia"/>
        </w:rPr>
        <w:t>因房屋征收部门的责任延长过渡期限的，自逾期之日起按照标准双倍支付停产停业损失补偿费；被征收人选择房屋征收部门提供的周转用房的，自逾期之日起按照标准支付停产停业损失补偿费。</w:t>
      </w:r>
    </w:p>
    <w:p w14:paraId="72AC996C" w14:textId="338DED11" w:rsidR="00FA0363" w:rsidRDefault="00E05BDA" w:rsidP="00FA0363">
      <w:pPr>
        <w:pStyle w:val="13"/>
        <w:ind w:firstLine="482"/>
      </w:pPr>
      <w:r w:rsidRPr="00E05BDA">
        <w:rPr>
          <w:rFonts w:hint="eastAsia"/>
          <w:b/>
          <w:bCs/>
        </w:rPr>
        <w:t xml:space="preserve">第三十条 </w:t>
      </w:r>
      <w:r w:rsidR="00FA0363">
        <w:t>房屋征收部门应当与被征收人依法订立补偿协议，就补偿方式、补偿金额和支付期限、用于产权调换房屋的地点和面积、搬迁费、临时安置费、周转用房、停产停业损失补偿费、搬迁期限、过渡方式和过渡期限等事项进行约定。</w:t>
      </w:r>
    </w:p>
    <w:p w14:paraId="6286B753" w14:textId="584E3FC2" w:rsidR="00FA0363" w:rsidRDefault="003B2FB1" w:rsidP="00FA0363">
      <w:pPr>
        <w:pStyle w:val="13"/>
        <w:ind w:firstLine="482"/>
      </w:pPr>
      <w:r w:rsidRPr="003B2FB1">
        <w:rPr>
          <w:rFonts w:hint="eastAsia"/>
          <w:b/>
          <w:bCs/>
        </w:rPr>
        <w:t xml:space="preserve">第三十一条 </w:t>
      </w:r>
      <w:r w:rsidR="00FA0363">
        <w:t>房屋征收部门与被征收人在征收补偿方案确定的签约期限内达不成补偿协议，或者被征收房屋所有权人不明确的，由房屋征收部门报请</w:t>
      </w:r>
      <w:proofErr w:type="gramStart"/>
      <w:r w:rsidR="00FA0363">
        <w:t>作出</w:t>
      </w:r>
      <w:proofErr w:type="gramEnd"/>
      <w:r w:rsidR="00FA0363">
        <w:t>房屋征收决定的人民政府，按照征收补偿方案依法</w:t>
      </w:r>
      <w:proofErr w:type="gramStart"/>
      <w:r w:rsidR="00FA0363">
        <w:t>作出</w:t>
      </w:r>
      <w:proofErr w:type="gramEnd"/>
      <w:r w:rsidR="00FA0363">
        <w:t>补偿决定，并在房屋征收范围内予以公告。</w:t>
      </w:r>
    </w:p>
    <w:p w14:paraId="6533C4FD" w14:textId="77777777" w:rsidR="00FA0363" w:rsidRDefault="00FA0363" w:rsidP="00FA0363">
      <w:pPr>
        <w:pStyle w:val="13"/>
      </w:pPr>
      <w:r>
        <w:rPr>
          <w:rFonts w:hint="eastAsia"/>
        </w:rPr>
        <w:t>被征收人对补偿决定不服的，可以依法申请行政复议，也可以依法提起行政诉讼。</w:t>
      </w:r>
    </w:p>
    <w:p w14:paraId="0E1915F3" w14:textId="70C0ECAA" w:rsidR="00FA0363" w:rsidRDefault="003B2FB1" w:rsidP="00FA0363">
      <w:pPr>
        <w:pStyle w:val="13"/>
        <w:ind w:firstLine="482"/>
      </w:pPr>
      <w:r w:rsidRPr="003B2FB1">
        <w:rPr>
          <w:rFonts w:hint="eastAsia"/>
          <w:b/>
          <w:bCs/>
        </w:rPr>
        <w:t xml:space="preserve">第三十二条 </w:t>
      </w:r>
      <w:r w:rsidR="00FA0363">
        <w:t>实施房屋征收应当先补偿、后搬迁。</w:t>
      </w:r>
    </w:p>
    <w:p w14:paraId="736BBE4D" w14:textId="77777777" w:rsidR="00FA0363" w:rsidRDefault="00FA0363" w:rsidP="00FA0363">
      <w:pPr>
        <w:pStyle w:val="13"/>
      </w:pPr>
      <w:proofErr w:type="gramStart"/>
      <w:r>
        <w:rPr>
          <w:rFonts w:hint="eastAsia"/>
        </w:rPr>
        <w:t>作出</w:t>
      </w:r>
      <w:proofErr w:type="gramEnd"/>
      <w:r>
        <w:rPr>
          <w:rFonts w:hint="eastAsia"/>
        </w:rPr>
        <w:t>房屋征收决定的人民政府对被征收人给予补偿后，被征收人应当在补偿协议约定或者补偿决定确定的搬迁期限内完成搬迁。</w:t>
      </w:r>
    </w:p>
    <w:p w14:paraId="07708491" w14:textId="77777777" w:rsidR="00FA0363" w:rsidRDefault="00FA0363" w:rsidP="00FA0363">
      <w:pPr>
        <w:pStyle w:val="13"/>
      </w:pPr>
      <w:r>
        <w:rPr>
          <w:rFonts w:hint="eastAsia"/>
        </w:rPr>
        <w:lastRenderedPageBreak/>
        <w:t>任何单位和个人不得采取暴力、威胁或者违反规定中断供水、供热、供气、供电和道路通行等非法方式迫使被征收人搬迁。</w:t>
      </w:r>
    </w:p>
    <w:p w14:paraId="029A5412" w14:textId="77777777" w:rsidR="00FA0363" w:rsidRDefault="00FA0363" w:rsidP="00FA0363">
      <w:pPr>
        <w:pStyle w:val="13"/>
      </w:pPr>
      <w:r>
        <w:rPr>
          <w:rFonts w:hint="eastAsia"/>
        </w:rPr>
        <w:t>禁止建设单位参与搬迁活动。</w:t>
      </w:r>
    </w:p>
    <w:p w14:paraId="7597DC26" w14:textId="2656180C" w:rsidR="00FA0363" w:rsidRDefault="003B2FB1" w:rsidP="00FA0363">
      <w:pPr>
        <w:pStyle w:val="13"/>
        <w:ind w:firstLine="482"/>
      </w:pPr>
      <w:r w:rsidRPr="003B2FB1">
        <w:rPr>
          <w:rFonts w:hint="eastAsia"/>
          <w:b/>
          <w:bCs/>
        </w:rPr>
        <w:t xml:space="preserve">第三十三条 </w:t>
      </w:r>
      <w:r w:rsidR="00FA0363">
        <w:t>被征收人在法定期限内不申请行政复议或者不提起行政诉讼，在补偿决定规定的期限内又不搬迁的，</w:t>
      </w:r>
      <w:proofErr w:type="gramStart"/>
      <w:r w:rsidR="00FA0363">
        <w:t>作出</w:t>
      </w:r>
      <w:proofErr w:type="gramEnd"/>
      <w:r w:rsidR="00FA0363">
        <w:t>房屋征收决定的人民政府应当催告当事人履行搬迁义务，催告书</w:t>
      </w:r>
      <w:proofErr w:type="gramStart"/>
      <w:r w:rsidR="00FA0363">
        <w:t>送达十</w:t>
      </w:r>
      <w:proofErr w:type="gramEnd"/>
      <w:r w:rsidR="00FA0363">
        <w:t>日后当事人仍未履行搬迁义务的，可以自被征收人的法定起诉期限届满之日起三个月内，依法向被征收房屋所在地有管辖权的人民法院申请强制执行。</w:t>
      </w:r>
    </w:p>
    <w:p w14:paraId="5DE5A50D" w14:textId="77777777" w:rsidR="00FA0363" w:rsidRDefault="00FA0363" w:rsidP="00FA0363">
      <w:pPr>
        <w:pStyle w:val="13"/>
      </w:pPr>
      <w:r>
        <w:rPr>
          <w:rFonts w:hint="eastAsia"/>
        </w:rPr>
        <w:t>人民法院对强制执行的申请进行书面审查，对符合法律规定的，应当自立案之日起三十日内</w:t>
      </w:r>
      <w:proofErr w:type="gramStart"/>
      <w:r>
        <w:rPr>
          <w:rFonts w:hint="eastAsia"/>
        </w:rPr>
        <w:t>作出</w:t>
      </w:r>
      <w:proofErr w:type="gramEnd"/>
      <w:r>
        <w:rPr>
          <w:rFonts w:hint="eastAsia"/>
        </w:rPr>
        <w:t>执行裁定，并向被执行人发出执行通知书，责令其在指定的期限内履行搬迁义务；对拒不履行搬迁义务的，依法强制执行。</w:t>
      </w:r>
    </w:p>
    <w:p w14:paraId="4DF9CF3F" w14:textId="7AE60CC6" w:rsidR="00FA0363" w:rsidRDefault="003B2FB1" w:rsidP="00FA0363">
      <w:pPr>
        <w:pStyle w:val="13"/>
        <w:ind w:firstLine="482"/>
      </w:pPr>
      <w:r w:rsidRPr="003B2FB1">
        <w:rPr>
          <w:rFonts w:hint="eastAsia"/>
          <w:b/>
          <w:bCs/>
        </w:rPr>
        <w:t xml:space="preserve">第三十四条 </w:t>
      </w:r>
      <w:r w:rsidR="00FA0363">
        <w:t>房屋征收部门应当依法建立房屋征收补偿档案，并将分户补偿情况在房屋征收范围内向被征收人公布。</w:t>
      </w:r>
    </w:p>
    <w:p w14:paraId="03907078" w14:textId="69462126" w:rsidR="00FA0363" w:rsidRDefault="003B2FB1" w:rsidP="00FA0363">
      <w:pPr>
        <w:pStyle w:val="13"/>
        <w:ind w:firstLine="482"/>
      </w:pPr>
      <w:r w:rsidRPr="003B2FB1">
        <w:rPr>
          <w:rFonts w:hint="eastAsia"/>
          <w:b/>
          <w:bCs/>
        </w:rPr>
        <w:t xml:space="preserve">第三十五条 </w:t>
      </w:r>
      <w:r w:rsidR="00FA0363">
        <w:t>被征收人搬迁后，房屋征收部门应当将房屋征收决定、被征收房屋清单提供给房屋、土地登记机构。</w:t>
      </w:r>
    </w:p>
    <w:p w14:paraId="57375122" w14:textId="77777777" w:rsidR="00FA0363" w:rsidRDefault="00FA0363" w:rsidP="00FA0363">
      <w:pPr>
        <w:pStyle w:val="13"/>
      </w:pPr>
      <w:r>
        <w:rPr>
          <w:rFonts w:hint="eastAsia"/>
        </w:rPr>
        <w:t>房屋、土地登记机构应当依法办理房屋所有权、国有土地使用权注销登记。</w:t>
      </w:r>
    </w:p>
    <w:p w14:paraId="00305F45" w14:textId="21DBDDAA" w:rsidR="00FA0363" w:rsidRDefault="003B2FB1" w:rsidP="00FA0363">
      <w:pPr>
        <w:pStyle w:val="13"/>
        <w:ind w:firstLine="482"/>
      </w:pPr>
      <w:r w:rsidRPr="003B2FB1">
        <w:rPr>
          <w:rFonts w:hint="eastAsia"/>
          <w:b/>
          <w:bCs/>
        </w:rPr>
        <w:t xml:space="preserve">第三十六条 </w:t>
      </w:r>
      <w:r w:rsidR="00FA0363">
        <w:t>搬迁费、临时安置费、停产停业损失补偿费的具体标准，由设区的市人民政府制定并向社会公布。</w:t>
      </w:r>
    </w:p>
    <w:p w14:paraId="5AC38C58" w14:textId="77777777" w:rsidR="00FA0363" w:rsidRDefault="00FA0363" w:rsidP="00AF7342">
      <w:pPr>
        <w:pStyle w:val="a9"/>
        <w:spacing w:before="62" w:after="62"/>
      </w:pPr>
      <w:r>
        <w:rPr>
          <w:rFonts w:hint="eastAsia"/>
        </w:rPr>
        <w:t>第四章</w:t>
      </w:r>
      <w:r>
        <w:t xml:space="preserve"> 征收评估</w:t>
      </w:r>
    </w:p>
    <w:p w14:paraId="1AEBE13E" w14:textId="5A545546" w:rsidR="00FA0363" w:rsidRDefault="003B2FB1" w:rsidP="00FA0363">
      <w:pPr>
        <w:pStyle w:val="13"/>
        <w:ind w:firstLine="482"/>
      </w:pPr>
      <w:r w:rsidRPr="003B2FB1">
        <w:rPr>
          <w:rFonts w:hint="eastAsia"/>
          <w:b/>
          <w:bCs/>
        </w:rPr>
        <w:t xml:space="preserve">第三十七条 </w:t>
      </w:r>
      <w:r w:rsidR="00FA0363">
        <w:t>被征收房屋和产权调换房屋的价值，应当由经依法备案的房地产价格评估机构评估确定。</w:t>
      </w:r>
    </w:p>
    <w:p w14:paraId="662CBE25" w14:textId="77777777" w:rsidR="00FA0363" w:rsidRDefault="00FA0363" w:rsidP="00FA0363">
      <w:pPr>
        <w:pStyle w:val="13"/>
      </w:pPr>
      <w:r>
        <w:rPr>
          <w:rFonts w:hint="eastAsia"/>
        </w:rPr>
        <w:t>同一征收项目的房屋征收评估工作，一般由一个房地产价格评估机构承担。房屋征收范围较大的，可以由两个以上房地产价格评估机构共同承担，评估标准和方法应当统一。</w:t>
      </w:r>
    </w:p>
    <w:p w14:paraId="5D877B3D" w14:textId="63B591A5" w:rsidR="00FA0363" w:rsidRDefault="003B2FB1" w:rsidP="00FA0363">
      <w:pPr>
        <w:pStyle w:val="13"/>
        <w:ind w:firstLine="482"/>
      </w:pPr>
      <w:r w:rsidRPr="003B2FB1">
        <w:rPr>
          <w:rFonts w:hint="eastAsia"/>
          <w:b/>
          <w:bCs/>
        </w:rPr>
        <w:t xml:space="preserve">第三十八条 </w:t>
      </w:r>
      <w:r w:rsidR="00FA0363">
        <w:t>房屋征收部门应当在房屋征收决定</w:t>
      </w:r>
      <w:proofErr w:type="gramStart"/>
      <w:r w:rsidR="00FA0363">
        <w:t>作出</w:t>
      </w:r>
      <w:proofErr w:type="gramEnd"/>
      <w:r w:rsidR="00FA0363">
        <w:t>后，将房地产价格评估机构选定方式等相关事项在房屋征收范围内予以公布，并告知被征收人有协商选定房地产价格评估机构的权利。被征收人协商选定房地产价格评估机构的期限为十日。超过半数的被征收人共同签字认可的房地产价格评估机构，视为共同协商选定。</w:t>
      </w:r>
    </w:p>
    <w:p w14:paraId="318FBF48" w14:textId="77777777" w:rsidR="00FA0363" w:rsidRDefault="00FA0363" w:rsidP="00FA0363">
      <w:pPr>
        <w:pStyle w:val="13"/>
      </w:pPr>
      <w:r>
        <w:rPr>
          <w:rFonts w:hint="eastAsia"/>
        </w:rPr>
        <w:t>被征收房屋所在地乡镇人民政府、街道办事处和居民委员会可以组织被征收人协商选择房地产价格评估机构。</w:t>
      </w:r>
    </w:p>
    <w:p w14:paraId="72AA0B1D" w14:textId="2CFCF241" w:rsidR="00FA0363" w:rsidRDefault="003B2FB1" w:rsidP="00FA0363">
      <w:pPr>
        <w:pStyle w:val="13"/>
        <w:ind w:firstLine="482"/>
      </w:pPr>
      <w:r w:rsidRPr="003B2FB1">
        <w:rPr>
          <w:rFonts w:hint="eastAsia"/>
          <w:b/>
          <w:bCs/>
        </w:rPr>
        <w:t xml:space="preserve">第三十九条 </w:t>
      </w:r>
      <w:r w:rsidR="00FA0363">
        <w:t>被征收人在公告协商期内协商不成的，房屋征收部门可以组织采取逐户征询、集中投票或者通过抽签、摇号等随机方式选定房地产价格评估机构。</w:t>
      </w:r>
    </w:p>
    <w:p w14:paraId="00794F33" w14:textId="77777777" w:rsidR="00FA0363" w:rsidRDefault="00FA0363" w:rsidP="00FA0363">
      <w:pPr>
        <w:pStyle w:val="13"/>
      </w:pPr>
      <w:r>
        <w:rPr>
          <w:rFonts w:hint="eastAsia"/>
        </w:rPr>
        <w:t>采取集中投票、抽签或者摇号等方式选定房地产价格评估机构时，房屋征收部门应当邀请被征收人、乡镇人民政府、街道办事处和居民委员会代表等进行现场监督。</w:t>
      </w:r>
    </w:p>
    <w:p w14:paraId="48E00E26" w14:textId="6C56D587" w:rsidR="00FA0363" w:rsidRDefault="003B2FB1" w:rsidP="00FA0363">
      <w:pPr>
        <w:pStyle w:val="13"/>
        <w:ind w:firstLine="482"/>
      </w:pPr>
      <w:r w:rsidRPr="003B2FB1">
        <w:rPr>
          <w:rFonts w:hint="eastAsia"/>
          <w:b/>
          <w:bCs/>
        </w:rPr>
        <w:lastRenderedPageBreak/>
        <w:t xml:space="preserve">第四十条 </w:t>
      </w:r>
      <w:r w:rsidR="00FA0363">
        <w:t>房地产价格评估机构确定后，房屋征收部门与其签订房屋征收评估委托合同，并将确定的房地产价格评估机构在房屋征收范围内公布。</w:t>
      </w:r>
    </w:p>
    <w:p w14:paraId="568BB19B" w14:textId="2F58925E" w:rsidR="00FA0363" w:rsidRDefault="003B2FB1" w:rsidP="00FA0363">
      <w:pPr>
        <w:pStyle w:val="13"/>
        <w:ind w:firstLine="482"/>
      </w:pPr>
      <w:r w:rsidRPr="003B2FB1">
        <w:rPr>
          <w:rFonts w:hint="eastAsia"/>
          <w:b/>
          <w:bCs/>
        </w:rPr>
        <w:t xml:space="preserve">第四十一条 </w:t>
      </w:r>
      <w:r w:rsidR="00FA0363">
        <w:t>房地产价格评估机构应当按照相关标准规范，如实出具评估报告。</w:t>
      </w:r>
    </w:p>
    <w:p w14:paraId="48295888" w14:textId="77777777" w:rsidR="00FA0363" w:rsidRDefault="00FA0363" w:rsidP="00FA0363">
      <w:pPr>
        <w:pStyle w:val="13"/>
      </w:pPr>
      <w:r>
        <w:rPr>
          <w:rFonts w:hint="eastAsia"/>
        </w:rPr>
        <w:t>任何单位和个人不得非法干预评估活动和评估结果。</w:t>
      </w:r>
    </w:p>
    <w:p w14:paraId="75362F59" w14:textId="666F4DF2" w:rsidR="00FA0363" w:rsidRDefault="003B2FB1" w:rsidP="00FA0363">
      <w:pPr>
        <w:pStyle w:val="13"/>
        <w:ind w:firstLine="482"/>
      </w:pPr>
      <w:r w:rsidRPr="003B2FB1">
        <w:rPr>
          <w:rFonts w:hint="eastAsia"/>
          <w:b/>
          <w:bCs/>
        </w:rPr>
        <w:t xml:space="preserve">第四十二条 </w:t>
      </w:r>
      <w:r w:rsidR="00FA0363">
        <w:t>房地产价格评估机构应当按照委托合同的约定向房屋征收部门提供分户初步评估结果。</w:t>
      </w:r>
    </w:p>
    <w:p w14:paraId="3AC35049" w14:textId="77777777" w:rsidR="00FA0363" w:rsidRDefault="00FA0363" w:rsidP="00FA0363">
      <w:pPr>
        <w:pStyle w:val="13"/>
      </w:pPr>
      <w:r>
        <w:rPr>
          <w:rFonts w:hint="eastAsia"/>
        </w:rPr>
        <w:t>房屋征收部门应当将分户初步评估结果在房屋征收范围内向被征收人公示。公示期限不得少于五日。</w:t>
      </w:r>
    </w:p>
    <w:p w14:paraId="71EBCA2C" w14:textId="77777777" w:rsidR="00FA0363" w:rsidRDefault="00FA0363" w:rsidP="00FA0363">
      <w:pPr>
        <w:pStyle w:val="13"/>
      </w:pPr>
      <w:r>
        <w:rPr>
          <w:rFonts w:hint="eastAsia"/>
        </w:rPr>
        <w:t>公示期间，房地产价格评估机构应当进行现场说明，听取意见；分户初步评估结果存在错误的，应当予以修正。</w:t>
      </w:r>
    </w:p>
    <w:p w14:paraId="7DB7E906" w14:textId="77777777" w:rsidR="00FA0363" w:rsidRDefault="00FA0363" w:rsidP="00FA0363">
      <w:pPr>
        <w:pStyle w:val="13"/>
      </w:pPr>
      <w:r>
        <w:rPr>
          <w:rFonts w:hint="eastAsia"/>
        </w:rPr>
        <w:t>公示期满后，房地产价格评估机构应当向房屋征收部门提供整体评估报告和分户评估报告。房屋征收部门应当向被征收人转交分户评估报告。</w:t>
      </w:r>
    </w:p>
    <w:p w14:paraId="137392E1" w14:textId="16F1F1F4" w:rsidR="00FA0363" w:rsidRDefault="003B2FB1" w:rsidP="00FA0363">
      <w:pPr>
        <w:pStyle w:val="13"/>
        <w:ind w:firstLine="482"/>
      </w:pPr>
      <w:r w:rsidRPr="003B2FB1">
        <w:rPr>
          <w:rFonts w:hint="eastAsia"/>
          <w:b/>
          <w:bCs/>
        </w:rPr>
        <w:t xml:space="preserve">第四十三条 </w:t>
      </w:r>
      <w:r w:rsidR="00FA0363">
        <w:t>被征收人或者房屋征收部门对评估报告有异议的，应当自收到评估报告之日起十日内，向房地产价格评估机构书面申请复核。房地产价格评估机构应当自收到复核申请之日起十日内进行复核，出具复核结果。</w:t>
      </w:r>
    </w:p>
    <w:p w14:paraId="53D6736A" w14:textId="77777777" w:rsidR="00FA0363" w:rsidRDefault="00FA0363" w:rsidP="00FA0363">
      <w:pPr>
        <w:pStyle w:val="13"/>
      </w:pPr>
      <w:r>
        <w:rPr>
          <w:rFonts w:hint="eastAsia"/>
        </w:rPr>
        <w:t>对复核结果有异议的，应当自收到复核结果之日起十日内向设区的市房地产价格评估专家委员会申请鉴定。房地产价格评估专家委员会应当自收到鉴定申请之日起十日内对评估报告进行审核，出具鉴定结论。</w:t>
      </w:r>
    </w:p>
    <w:p w14:paraId="651693C1" w14:textId="77777777" w:rsidR="00FA0363" w:rsidRDefault="00FA0363" w:rsidP="00FA0363">
      <w:pPr>
        <w:pStyle w:val="13"/>
      </w:pPr>
      <w:r>
        <w:rPr>
          <w:rFonts w:hint="eastAsia"/>
        </w:rPr>
        <w:t>鉴定结论认为评估报告存在错误的，房地产价格评估机构应当改正错误，重新出具评估报告。</w:t>
      </w:r>
    </w:p>
    <w:p w14:paraId="2E2F42AF" w14:textId="77777777" w:rsidR="00FA0363" w:rsidRDefault="00FA0363" w:rsidP="00FA0363">
      <w:pPr>
        <w:pStyle w:val="13"/>
      </w:pPr>
      <w:r>
        <w:rPr>
          <w:rFonts w:hint="eastAsia"/>
        </w:rPr>
        <w:t>房地产价格评估专家委员会成员由设区的市房屋征收部门从注册房地产估价师以及价格、房地产、土地、城乡规划、法律等方面的专家中选定组成，并予以公示。</w:t>
      </w:r>
    </w:p>
    <w:p w14:paraId="661DF8CE" w14:textId="77777777" w:rsidR="00FA0363" w:rsidRDefault="00FA0363" w:rsidP="00AF7342">
      <w:pPr>
        <w:pStyle w:val="a9"/>
        <w:spacing w:before="62" w:after="62"/>
      </w:pPr>
      <w:r>
        <w:rPr>
          <w:rFonts w:hint="eastAsia"/>
        </w:rPr>
        <w:t>第五章</w:t>
      </w:r>
      <w:r>
        <w:t xml:space="preserve"> 法律责任</w:t>
      </w:r>
    </w:p>
    <w:p w14:paraId="26DEF0BF" w14:textId="4081A3D5" w:rsidR="00FA0363" w:rsidRDefault="003B2FB1" w:rsidP="00FA0363">
      <w:pPr>
        <w:pStyle w:val="13"/>
        <w:ind w:firstLine="482"/>
      </w:pPr>
      <w:r w:rsidRPr="003B2FB1">
        <w:rPr>
          <w:rFonts w:hint="eastAsia"/>
          <w:b/>
          <w:bCs/>
        </w:rPr>
        <w:t xml:space="preserve">第四十四条 </w:t>
      </w:r>
      <w:r w:rsidR="00FA0363">
        <w:t>违反本条例规定的行为，法律、行政法规已规定法律责任的，依照其规定执行；法律、行政法规未规定法律责任的，依照本条例规定执行。</w:t>
      </w:r>
    </w:p>
    <w:p w14:paraId="51C6972B" w14:textId="19781826" w:rsidR="00FA0363" w:rsidRDefault="003B2FB1" w:rsidP="00FA0363">
      <w:pPr>
        <w:pStyle w:val="13"/>
        <w:ind w:firstLine="482"/>
      </w:pPr>
      <w:r w:rsidRPr="003B2FB1">
        <w:rPr>
          <w:rFonts w:hint="eastAsia"/>
          <w:b/>
          <w:bCs/>
        </w:rPr>
        <w:t xml:space="preserve">第四十五条 </w:t>
      </w:r>
      <w:r w:rsidR="00FA0363">
        <w:t>违反本条例规定，市、县级人民政府及其有关部门有下列行为之一的，由上级人民政府或者本级人民政府责令改正，通报批评；造成损失的，依法承担赔偿责任；对直接负责的主管人员和其他直接责任人员，依法给予处分；构成犯罪的，依法追</w:t>
      </w:r>
      <w:r w:rsidR="00FA0363">
        <w:rPr>
          <w:rFonts w:hint="eastAsia"/>
        </w:rPr>
        <w:t>究刑事责任：</w:t>
      </w:r>
    </w:p>
    <w:p w14:paraId="4AA226E9" w14:textId="77777777" w:rsidR="00FA0363" w:rsidRDefault="00FA0363" w:rsidP="00FA0363">
      <w:pPr>
        <w:pStyle w:val="13"/>
      </w:pPr>
      <w:r>
        <w:rPr>
          <w:rFonts w:hint="eastAsia"/>
        </w:rPr>
        <w:t>（一）对不符合法定条件的房屋征收事项</w:t>
      </w:r>
      <w:proofErr w:type="gramStart"/>
      <w:r>
        <w:rPr>
          <w:rFonts w:hint="eastAsia"/>
        </w:rPr>
        <w:t>作出</w:t>
      </w:r>
      <w:proofErr w:type="gramEnd"/>
      <w:r>
        <w:rPr>
          <w:rFonts w:hint="eastAsia"/>
        </w:rPr>
        <w:t>房屋征收决定的；</w:t>
      </w:r>
    </w:p>
    <w:p w14:paraId="49BB8DC3" w14:textId="77777777" w:rsidR="00FA0363" w:rsidRDefault="00FA0363" w:rsidP="00FA0363">
      <w:pPr>
        <w:pStyle w:val="13"/>
      </w:pPr>
      <w:r>
        <w:rPr>
          <w:rFonts w:hint="eastAsia"/>
        </w:rPr>
        <w:t>（二）违反公示、公布、公告、征求意见、听证、评估等房屋征收法定程序实施房屋征收与补偿的；</w:t>
      </w:r>
    </w:p>
    <w:p w14:paraId="3B3A58DE" w14:textId="77777777" w:rsidR="00FA0363" w:rsidRDefault="00FA0363" w:rsidP="00FA0363">
      <w:pPr>
        <w:pStyle w:val="13"/>
      </w:pPr>
      <w:r>
        <w:rPr>
          <w:rFonts w:hint="eastAsia"/>
        </w:rPr>
        <w:t>（三）违反房屋征收法定补偿内容、标准实施房屋征收与补偿的；</w:t>
      </w:r>
    </w:p>
    <w:p w14:paraId="48700D1F" w14:textId="77777777" w:rsidR="00FA0363" w:rsidRDefault="00FA0363" w:rsidP="00FA0363">
      <w:pPr>
        <w:pStyle w:val="13"/>
      </w:pPr>
      <w:r>
        <w:rPr>
          <w:rFonts w:hint="eastAsia"/>
        </w:rPr>
        <w:t>（四）违反规定办理应当暂停办理的限制事项手续的；</w:t>
      </w:r>
    </w:p>
    <w:p w14:paraId="0DB43B40" w14:textId="77777777" w:rsidR="00FA0363" w:rsidRDefault="00FA0363" w:rsidP="00FA0363">
      <w:pPr>
        <w:pStyle w:val="13"/>
      </w:pPr>
      <w:r>
        <w:rPr>
          <w:rFonts w:hint="eastAsia"/>
        </w:rPr>
        <w:lastRenderedPageBreak/>
        <w:t>（五）非法干预评估活动和评估结果的；</w:t>
      </w:r>
    </w:p>
    <w:p w14:paraId="5651C9AF" w14:textId="77777777" w:rsidR="00FA0363" w:rsidRDefault="00FA0363" w:rsidP="00FA0363">
      <w:pPr>
        <w:pStyle w:val="13"/>
      </w:pPr>
      <w:r>
        <w:rPr>
          <w:rFonts w:hint="eastAsia"/>
        </w:rPr>
        <w:t>（六）违法组织实施强制搬迁的；</w:t>
      </w:r>
    </w:p>
    <w:p w14:paraId="1AB32AB3" w14:textId="77777777" w:rsidR="00FA0363" w:rsidRDefault="00FA0363" w:rsidP="00FA0363">
      <w:pPr>
        <w:pStyle w:val="13"/>
      </w:pPr>
      <w:r>
        <w:rPr>
          <w:rFonts w:hint="eastAsia"/>
        </w:rPr>
        <w:t>（七）未及时核实、处理投诉、举报的；</w:t>
      </w:r>
    </w:p>
    <w:p w14:paraId="6679CC9F" w14:textId="77777777" w:rsidR="00FA0363" w:rsidRDefault="00FA0363" w:rsidP="00FA0363">
      <w:pPr>
        <w:pStyle w:val="13"/>
      </w:pPr>
      <w:r>
        <w:rPr>
          <w:rFonts w:hint="eastAsia"/>
        </w:rPr>
        <w:t>（八）其他不履行法定职责，或者滥用职权、玩忽职守、徇私舞弊的行为。</w:t>
      </w:r>
    </w:p>
    <w:p w14:paraId="69ABE76C" w14:textId="77777777" w:rsidR="00FA0363" w:rsidRDefault="00FA0363" w:rsidP="00AF7342">
      <w:pPr>
        <w:pStyle w:val="a9"/>
        <w:spacing w:before="62" w:after="62"/>
      </w:pPr>
      <w:r>
        <w:rPr>
          <w:rFonts w:hint="eastAsia"/>
        </w:rPr>
        <w:t>第六章</w:t>
      </w:r>
      <w:r>
        <w:t xml:space="preserve"> 附 则</w:t>
      </w:r>
    </w:p>
    <w:p w14:paraId="02D9F726" w14:textId="78433B77" w:rsidR="00FA0363" w:rsidRDefault="003B2FB1" w:rsidP="00FA0363">
      <w:pPr>
        <w:pStyle w:val="13"/>
        <w:ind w:firstLine="482"/>
      </w:pPr>
      <w:r w:rsidRPr="003B2FB1">
        <w:rPr>
          <w:rFonts w:hint="eastAsia"/>
          <w:b/>
          <w:bCs/>
        </w:rPr>
        <w:t xml:space="preserve">第四十六条 </w:t>
      </w:r>
      <w:r w:rsidR="00FA0363">
        <w:t>本条例自2015年3月1日起施行。2000年4月14日山东省第九届人民代表大会常务委员会第十四次会议通过，2006年9月29日山东省第十届人民代表大会常务委员会第二十三次会议修订的《山东省城市房屋拆迁管理条例》同时废止。</w:t>
      </w:r>
    </w:p>
    <w:p w14:paraId="51B3219F" w14:textId="77777777" w:rsidR="000400F7" w:rsidRDefault="000400F7" w:rsidP="000400F7">
      <w:pPr>
        <w:pStyle w:val="31"/>
        <w:spacing w:before="156" w:after="62"/>
      </w:pPr>
      <w:bookmarkStart w:id="134" w:name="_Toc81833396"/>
      <w:bookmarkStart w:id="135" w:name="_Toc77032572"/>
      <w:r>
        <w:rPr>
          <w:rFonts w:hint="eastAsia"/>
        </w:rPr>
        <w:t>济南市国有土地上房屋征收评估技术规范（</w:t>
      </w:r>
      <w:proofErr w:type="gramStart"/>
      <w:r>
        <w:rPr>
          <w:rFonts w:hint="eastAsia"/>
        </w:rPr>
        <w:t>济建发</w:t>
      </w:r>
      <w:proofErr w:type="gramEnd"/>
      <w:r>
        <w:rPr>
          <w:rFonts w:hint="eastAsia"/>
        </w:rPr>
        <w:t>〔</w:t>
      </w:r>
      <w:r>
        <w:t>2019〕26号）</w:t>
      </w:r>
      <w:bookmarkEnd w:id="134"/>
    </w:p>
    <w:p w14:paraId="601DC054" w14:textId="77777777" w:rsidR="000400F7" w:rsidRDefault="000400F7" w:rsidP="00AF7342">
      <w:pPr>
        <w:pStyle w:val="a9"/>
        <w:spacing w:before="62" w:after="62"/>
      </w:pPr>
      <w:r>
        <w:rPr>
          <w:rFonts w:hint="eastAsia"/>
        </w:rPr>
        <w:t>第一章 总则</w:t>
      </w:r>
    </w:p>
    <w:p w14:paraId="7068421C" w14:textId="77777777" w:rsidR="000400F7" w:rsidRDefault="000400F7" w:rsidP="000400F7">
      <w:pPr>
        <w:pStyle w:val="ab"/>
        <w:spacing w:before="62" w:after="62"/>
        <w:ind w:firstLine="482"/>
      </w:pPr>
      <w:r w:rsidRPr="004E3EBB">
        <w:rPr>
          <w:rFonts w:hint="eastAsia"/>
        </w:rPr>
        <w:t xml:space="preserve">第一条 </w:t>
      </w:r>
      <w:r>
        <w:rPr>
          <w:rFonts w:hint="eastAsia"/>
        </w:rPr>
        <w:t>制定依据</w:t>
      </w:r>
    </w:p>
    <w:p w14:paraId="6ABD2614" w14:textId="77777777" w:rsidR="000400F7" w:rsidRDefault="000400F7" w:rsidP="000400F7">
      <w:pPr>
        <w:pStyle w:val="13"/>
      </w:pPr>
      <w:r>
        <w:rPr>
          <w:rFonts w:hint="eastAsia"/>
        </w:rPr>
        <w:t>为规范我市国有土地上房屋征收评估行为，根据《国有土地上房屋征收与补偿条例》、住房和城乡建设部《国有土地上房屋征收评估办法》（建房〔</w:t>
      </w:r>
      <w:r>
        <w:t>2011〕77号）、《济南市国有土地上房屋征收与补偿办法》（市政府令第248号）和《房地产估价规范》等有关规定，结合本市实际情况，制定本规范。</w:t>
      </w:r>
    </w:p>
    <w:p w14:paraId="756ABB7B" w14:textId="77777777" w:rsidR="000400F7" w:rsidRDefault="000400F7" w:rsidP="000400F7">
      <w:pPr>
        <w:pStyle w:val="ab"/>
        <w:spacing w:before="62" w:after="62"/>
        <w:ind w:firstLine="482"/>
      </w:pPr>
      <w:r w:rsidRPr="004E3EBB">
        <w:rPr>
          <w:rFonts w:hint="eastAsia"/>
        </w:rPr>
        <w:t xml:space="preserve">第二条 </w:t>
      </w:r>
      <w:r>
        <w:rPr>
          <w:rFonts w:hint="eastAsia"/>
        </w:rPr>
        <w:t>适用范围</w:t>
      </w:r>
    </w:p>
    <w:p w14:paraId="1AA7654E" w14:textId="77777777" w:rsidR="000400F7" w:rsidRDefault="000400F7" w:rsidP="000400F7">
      <w:pPr>
        <w:pStyle w:val="13"/>
      </w:pPr>
      <w:r>
        <w:rPr>
          <w:rFonts w:hint="eastAsia"/>
        </w:rPr>
        <w:t>本市市辖区内国有土地上房屋征收评估以及对相关评估结果进行复核评估和鉴定，适用本规范。</w:t>
      </w:r>
    </w:p>
    <w:p w14:paraId="22E6327C" w14:textId="77777777" w:rsidR="000400F7" w:rsidRDefault="000400F7" w:rsidP="000400F7">
      <w:pPr>
        <w:pStyle w:val="13"/>
      </w:pPr>
      <w:r>
        <w:rPr>
          <w:rFonts w:hint="eastAsia"/>
        </w:rPr>
        <w:t>本规范所称房屋征收评估，包括被征收房屋价值评估、用于产权调换房屋价值评估、被征收住宅房屋室内装饰装修价值评估等。</w:t>
      </w:r>
    </w:p>
    <w:p w14:paraId="742B8E05" w14:textId="77777777" w:rsidR="000400F7" w:rsidRDefault="000400F7" w:rsidP="000400F7">
      <w:pPr>
        <w:pStyle w:val="13"/>
      </w:pPr>
      <w:r>
        <w:rPr>
          <w:rFonts w:hint="eastAsia"/>
        </w:rPr>
        <w:t>按照被征收房屋产权用途划分，房屋征收评估的类型包括：住宅房屋、非住宅房屋（商业、办公、工业、仓储及其他）。</w:t>
      </w:r>
    </w:p>
    <w:p w14:paraId="45F440E4" w14:textId="77777777" w:rsidR="000400F7" w:rsidRDefault="000400F7" w:rsidP="000400F7">
      <w:pPr>
        <w:pStyle w:val="ab"/>
        <w:spacing w:before="62" w:after="62"/>
        <w:ind w:firstLine="482"/>
      </w:pPr>
      <w:r w:rsidRPr="004E3EBB">
        <w:rPr>
          <w:rFonts w:hint="eastAsia"/>
        </w:rPr>
        <w:t xml:space="preserve">第三条 </w:t>
      </w:r>
      <w:r>
        <w:rPr>
          <w:rFonts w:hint="eastAsia"/>
        </w:rPr>
        <w:t>估价目的</w:t>
      </w:r>
    </w:p>
    <w:p w14:paraId="466A3408" w14:textId="77777777" w:rsidR="000400F7" w:rsidRDefault="000400F7" w:rsidP="000400F7">
      <w:pPr>
        <w:pStyle w:val="13"/>
      </w:pPr>
      <w:r>
        <w:rPr>
          <w:rFonts w:hint="eastAsia"/>
        </w:rPr>
        <w:t>被征收房屋价值评估目的应当表述为“为房屋征收部门与被征收人确定被征收房屋价值的补偿提供依据，评估被征收房屋的价值”。</w:t>
      </w:r>
    </w:p>
    <w:p w14:paraId="735B0280" w14:textId="77777777" w:rsidR="000400F7" w:rsidRDefault="000400F7" w:rsidP="000400F7">
      <w:pPr>
        <w:pStyle w:val="13"/>
      </w:pPr>
      <w:r>
        <w:rPr>
          <w:rFonts w:hint="eastAsia"/>
        </w:rPr>
        <w:t>用于产权调换房屋价值评估目的应当表述为“为房屋征收部门与被征收人计算被征收房屋价值与用于产权调换房屋价值的差价提供依据，评估用于产权调换房屋的价值”。</w:t>
      </w:r>
    </w:p>
    <w:p w14:paraId="057BE26A" w14:textId="77777777" w:rsidR="000400F7" w:rsidRDefault="000400F7" w:rsidP="000400F7">
      <w:pPr>
        <w:pStyle w:val="13"/>
      </w:pPr>
      <w:r>
        <w:rPr>
          <w:rFonts w:hint="eastAsia"/>
        </w:rPr>
        <w:t>被征收住宅房屋室内装饰装修评估目的应当表述为“为房屋征收部门与被征收人协商被征收住宅房屋室内装饰装修价值的补偿提供依据，评估被征收住宅房屋室内装饰装修价值”。</w:t>
      </w:r>
    </w:p>
    <w:p w14:paraId="7CA99DFF" w14:textId="77777777" w:rsidR="000400F7" w:rsidRDefault="000400F7" w:rsidP="000400F7">
      <w:pPr>
        <w:pStyle w:val="ab"/>
        <w:spacing w:before="62" w:after="62"/>
        <w:ind w:firstLine="482"/>
      </w:pPr>
      <w:r w:rsidRPr="004E3EBB">
        <w:rPr>
          <w:rFonts w:hint="eastAsia"/>
        </w:rPr>
        <w:lastRenderedPageBreak/>
        <w:t xml:space="preserve">第四条 </w:t>
      </w:r>
      <w:r>
        <w:rPr>
          <w:rFonts w:hint="eastAsia"/>
        </w:rPr>
        <w:t>价值类型</w:t>
      </w:r>
    </w:p>
    <w:p w14:paraId="121F4743" w14:textId="77777777" w:rsidR="000400F7" w:rsidRDefault="000400F7" w:rsidP="000400F7">
      <w:pPr>
        <w:pStyle w:val="13"/>
      </w:pPr>
      <w:r>
        <w:rPr>
          <w:rFonts w:hint="eastAsia"/>
        </w:rPr>
        <w:t>住宅房屋征收评估的价值是按照被征收住宅房屋所处区位新建普通商品住宅的市场价格结合房屋结构、楼层、朝向、成新等因素修正后的征收补偿价值。</w:t>
      </w:r>
    </w:p>
    <w:p w14:paraId="54FD801F" w14:textId="77777777" w:rsidR="000400F7" w:rsidRDefault="000400F7" w:rsidP="000400F7">
      <w:pPr>
        <w:pStyle w:val="13"/>
      </w:pPr>
      <w:r>
        <w:rPr>
          <w:rFonts w:hint="eastAsia"/>
        </w:rPr>
        <w:t>用于产权调换房屋的价值为公开市场价值，价值内涵应当根据估价对象的具体情况进行准确表述。</w:t>
      </w:r>
    </w:p>
    <w:p w14:paraId="1C291A9A" w14:textId="77777777" w:rsidR="000400F7" w:rsidRDefault="000400F7" w:rsidP="000400F7">
      <w:pPr>
        <w:pStyle w:val="13"/>
      </w:pPr>
      <w:r>
        <w:rPr>
          <w:rFonts w:hint="eastAsia"/>
        </w:rPr>
        <w:t>非住宅房屋征收评估的价值是指被征收非住宅房屋及其占用范围内的土地使用权在正常交易情况下，由熟悉情况的交易双方以公平交易方式在价值时点自愿进行交易的金额，是被征收非住宅房屋的公开市场价值。</w:t>
      </w:r>
    </w:p>
    <w:p w14:paraId="6FEE4AA7" w14:textId="77777777" w:rsidR="000400F7" w:rsidRDefault="000400F7" w:rsidP="000400F7">
      <w:pPr>
        <w:pStyle w:val="13"/>
      </w:pPr>
      <w:r>
        <w:rPr>
          <w:rFonts w:hint="eastAsia"/>
        </w:rPr>
        <w:t>被征收住宅房屋室内装饰装修价值评估的价值为在用价值，价值内涵应当根据估价对象的具体情况进行准确表述。</w:t>
      </w:r>
    </w:p>
    <w:p w14:paraId="23B2D82A" w14:textId="77777777" w:rsidR="000400F7" w:rsidRDefault="000400F7" w:rsidP="000400F7">
      <w:pPr>
        <w:pStyle w:val="13"/>
      </w:pPr>
      <w:r>
        <w:rPr>
          <w:rFonts w:hint="eastAsia"/>
        </w:rPr>
        <w:t>被征收非住宅房屋的装饰装修价值包含在非住宅房屋的整体评估价值中，如需单独分离出装饰装修的价值，当事人应另行委托。</w:t>
      </w:r>
    </w:p>
    <w:p w14:paraId="1F1B8187" w14:textId="77777777" w:rsidR="000400F7" w:rsidRDefault="000400F7" w:rsidP="000400F7">
      <w:pPr>
        <w:pStyle w:val="13"/>
      </w:pPr>
      <w:r>
        <w:t xml:space="preserve"> 房屋征收评估不考虑租赁、抵押、查封等他项权利限制的影响。</w:t>
      </w:r>
    </w:p>
    <w:p w14:paraId="7D44C958" w14:textId="77777777" w:rsidR="000400F7" w:rsidRDefault="000400F7" w:rsidP="00AF7342">
      <w:pPr>
        <w:pStyle w:val="a9"/>
        <w:spacing w:before="62" w:after="62"/>
      </w:pPr>
      <w:r>
        <w:rPr>
          <w:rFonts w:hint="eastAsia"/>
        </w:rPr>
        <w:t>第二章 基本规定</w:t>
      </w:r>
    </w:p>
    <w:p w14:paraId="52ED22BD" w14:textId="77777777" w:rsidR="000400F7" w:rsidRDefault="000400F7" w:rsidP="000400F7">
      <w:pPr>
        <w:pStyle w:val="ab"/>
        <w:spacing w:before="62" w:after="62"/>
        <w:ind w:firstLine="482"/>
      </w:pPr>
      <w:r w:rsidRPr="004E3EBB">
        <w:rPr>
          <w:rFonts w:hint="eastAsia"/>
        </w:rPr>
        <w:t xml:space="preserve">第五条 </w:t>
      </w:r>
      <w:r>
        <w:rPr>
          <w:rFonts w:hint="eastAsia"/>
        </w:rPr>
        <w:t>委托合同</w:t>
      </w:r>
    </w:p>
    <w:p w14:paraId="6E5A8A8B" w14:textId="77777777" w:rsidR="000400F7" w:rsidRDefault="000400F7" w:rsidP="000400F7">
      <w:pPr>
        <w:pStyle w:val="13"/>
      </w:pPr>
      <w:r>
        <w:rPr>
          <w:rFonts w:hint="eastAsia"/>
        </w:rPr>
        <w:t>房屋征收评估一般由房屋征收部门作为委托人，向房地产价格评估机构（以下简称评估机构）出具房屋征收评估委托书，并与其签订房屋征收评估委托合同。</w:t>
      </w:r>
    </w:p>
    <w:p w14:paraId="2281E731" w14:textId="77777777" w:rsidR="000400F7" w:rsidRDefault="000400F7" w:rsidP="000400F7">
      <w:pPr>
        <w:pStyle w:val="13"/>
      </w:pPr>
      <w:r>
        <w:rPr>
          <w:rFonts w:hint="eastAsia"/>
        </w:rPr>
        <w:t>房屋征收评估委托书应当载明委托人的名称、委托的评估机构的名称、评估目的、评估对象范围、评估要求以及委托日期等内容。</w:t>
      </w:r>
    </w:p>
    <w:p w14:paraId="6C8EFD78" w14:textId="77777777" w:rsidR="000400F7" w:rsidRDefault="000400F7" w:rsidP="000400F7">
      <w:pPr>
        <w:pStyle w:val="13"/>
      </w:pPr>
      <w:r>
        <w:rPr>
          <w:rFonts w:hint="eastAsia"/>
        </w:rPr>
        <w:t>房屋征收评估委托合同应当载明下列事项：</w:t>
      </w:r>
    </w:p>
    <w:p w14:paraId="449EC70D" w14:textId="77777777" w:rsidR="000400F7" w:rsidRDefault="000400F7" w:rsidP="000400F7">
      <w:pPr>
        <w:pStyle w:val="13"/>
      </w:pPr>
      <w:r>
        <w:rPr>
          <w:rFonts w:hint="eastAsia"/>
        </w:rPr>
        <w:t>（一）委托人和评估机构的基本情况；</w:t>
      </w:r>
    </w:p>
    <w:p w14:paraId="1A470B47" w14:textId="77777777" w:rsidR="000400F7" w:rsidRDefault="000400F7" w:rsidP="000400F7">
      <w:pPr>
        <w:pStyle w:val="13"/>
      </w:pPr>
      <w:r>
        <w:rPr>
          <w:rFonts w:hint="eastAsia"/>
        </w:rPr>
        <w:t>（二）负责本评估项目的注册房地产估价师；</w:t>
      </w:r>
    </w:p>
    <w:p w14:paraId="32885632" w14:textId="77777777" w:rsidR="000400F7" w:rsidRDefault="000400F7" w:rsidP="000400F7">
      <w:pPr>
        <w:pStyle w:val="13"/>
      </w:pPr>
      <w:r>
        <w:rPr>
          <w:rFonts w:hint="eastAsia"/>
        </w:rPr>
        <w:t>（三）估价目的、估价对象、价值时点等评估基本事项；</w:t>
      </w:r>
    </w:p>
    <w:p w14:paraId="335F86DE" w14:textId="77777777" w:rsidR="000400F7" w:rsidRDefault="000400F7" w:rsidP="000400F7">
      <w:pPr>
        <w:pStyle w:val="13"/>
      </w:pPr>
      <w:r>
        <w:rPr>
          <w:rFonts w:hint="eastAsia"/>
        </w:rPr>
        <w:t>（四）委托人应提供的评估所需材料；</w:t>
      </w:r>
    </w:p>
    <w:p w14:paraId="72C5D028" w14:textId="77777777" w:rsidR="000400F7" w:rsidRDefault="000400F7" w:rsidP="000400F7">
      <w:pPr>
        <w:pStyle w:val="13"/>
      </w:pPr>
      <w:r>
        <w:rPr>
          <w:rFonts w:hint="eastAsia"/>
        </w:rPr>
        <w:t>（五）评估过程中双方的权利和义务；</w:t>
      </w:r>
    </w:p>
    <w:p w14:paraId="29CF82BF" w14:textId="77777777" w:rsidR="000400F7" w:rsidRDefault="000400F7" w:rsidP="000400F7">
      <w:pPr>
        <w:pStyle w:val="13"/>
      </w:pPr>
      <w:r>
        <w:rPr>
          <w:rFonts w:hint="eastAsia"/>
        </w:rPr>
        <w:t>（六）评估费用及收取方式；</w:t>
      </w:r>
    </w:p>
    <w:p w14:paraId="18D7A8BD" w14:textId="77777777" w:rsidR="000400F7" w:rsidRDefault="000400F7" w:rsidP="000400F7">
      <w:pPr>
        <w:pStyle w:val="13"/>
      </w:pPr>
      <w:r>
        <w:rPr>
          <w:rFonts w:hint="eastAsia"/>
        </w:rPr>
        <w:t>（七）评估报告交付时间、方式；</w:t>
      </w:r>
    </w:p>
    <w:p w14:paraId="24711BDA" w14:textId="77777777" w:rsidR="000400F7" w:rsidRDefault="000400F7" w:rsidP="000400F7">
      <w:pPr>
        <w:pStyle w:val="13"/>
      </w:pPr>
      <w:r>
        <w:rPr>
          <w:rFonts w:hint="eastAsia"/>
        </w:rPr>
        <w:t>（八）违约责任；</w:t>
      </w:r>
    </w:p>
    <w:p w14:paraId="22462EB9" w14:textId="77777777" w:rsidR="000400F7" w:rsidRDefault="000400F7" w:rsidP="000400F7">
      <w:pPr>
        <w:pStyle w:val="13"/>
      </w:pPr>
      <w:r>
        <w:rPr>
          <w:rFonts w:hint="eastAsia"/>
        </w:rPr>
        <w:t>（九）解决争议的方法；</w:t>
      </w:r>
    </w:p>
    <w:p w14:paraId="797B2F58" w14:textId="77777777" w:rsidR="000400F7" w:rsidRDefault="000400F7" w:rsidP="000400F7">
      <w:pPr>
        <w:pStyle w:val="13"/>
      </w:pPr>
      <w:r>
        <w:rPr>
          <w:rFonts w:hint="eastAsia"/>
        </w:rPr>
        <w:t>（十）其他需要载明的事项。</w:t>
      </w:r>
    </w:p>
    <w:p w14:paraId="05D42F65" w14:textId="77777777" w:rsidR="000400F7" w:rsidRDefault="000400F7" w:rsidP="000400F7">
      <w:pPr>
        <w:pStyle w:val="ab"/>
        <w:spacing w:before="62" w:after="62"/>
        <w:ind w:firstLine="482"/>
      </w:pPr>
      <w:r>
        <w:t xml:space="preserve"> </w:t>
      </w:r>
      <w:r w:rsidRPr="004E3EBB">
        <w:t xml:space="preserve">第六条 </w:t>
      </w:r>
      <w:r>
        <w:t>评估基础资料</w:t>
      </w:r>
    </w:p>
    <w:p w14:paraId="382AE2E0" w14:textId="77777777" w:rsidR="000400F7" w:rsidRDefault="000400F7" w:rsidP="000400F7">
      <w:pPr>
        <w:pStyle w:val="13"/>
      </w:pPr>
      <w:r>
        <w:rPr>
          <w:rFonts w:hint="eastAsia"/>
        </w:rPr>
        <w:t>受托的评估机构应要求委托人提供以下资料：</w:t>
      </w:r>
    </w:p>
    <w:p w14:paraId="604E7328" w14:textId="77777777" w:rsidR="000400F7" w:rsidRDefault="000400F7" w:rsidP="000400F7">
      <w:pPr>
        <w:pStyle w:val="13"/>
      </w:pPr>
      <w:r>
        <w:rPr>
          <w:rFonts w:hint="eastAsia"/>
        </w:rPr>
        <w:t>（一）征收评估委托书；</w:t>
      </w:r>
    </w:p>
    <w:p w14:paraId="3CA49FD2" w14:textId="77777777" w:rsidR="000400F7" w:rsidRDefault="000400F7" w:rsidP="000400F7">
      <w:pPr>
        <w:pStyle w:val="13"/>
      </w:pPr>
      <w:r>
        <w:rPr>
          <w:rFonts w:hint="eastAsia"/>
        </w:rPr>
        <w:lastRenderedPageBreak/>
        <w:t>（二）房屋征收决定公告；</w:t>
      </w:r>
    </w:p>
    <w:p w14:paraId="12941069" w14:textId="77777777" w:rsidR="000400F7" w:rsidRDefault="000400F7" w:rsidP="000400F7">
      <w:pPr>
        <w:pStyle w:val="13"/>
      </w:pPr>
      <w:r>
        <w:rPr>
          <w:rFonts w:hint="eastAsia"/>
        </w:rPr>
        <w:t>（三）被征收房屋的《房屋所有权证》、《国有土地使用证》、《不动产权证书》；</w:t>
      </w:r>
    </w:p>
    <w:p w14:paraId="55464CCF" w14:textId="77777777" w:rsidR="000400F7" w:rsidRDefault="000400F7" w:rsidP="000400F7">
      <w:pPr>
        <w:pStyle w:val="13"/>
      </w:pPr>
      <w:r>
        <w:rPr>
          <w:rFonts w:hint="eastAsia"/>
        </w:rPr>
        <w:t>（四）被征收房屋的建筑结构、用途、附属设施等情况一览表；</w:t>
      </w:r>
    </w:p>
    <w:p w14:paraId="04FD71AD" w14:textId="77777777" w:rsidR="000400F7" w:rsidRDefault="000400F7" w:rsidP="000400F7">
      <w:pPr>
        <w:pStyle w:val="13"/>
      </w:pPr>
      <w:r>
        <w:rPr>
          <w:rFonts w:hint="eastAsia"/>
        </w:rPr>
        <w:t>（五）产权调换房屋的权属证明资料及规划、设计资料；</w:t>
      </w:r>
    </w:p>
    <w:p w14:paraId="09FEB079" w14:textId="77777777" w:rsidR="000400F7" w:rsidRDefault="000400F7" w:rsidP="000400F7">
      <w:pPr>
        <w:pStyle w:val="13"/>
      </w:pPr>
      <w:r>
        <w:rPr>
          <w:rFonts w:hint="eastAsia"/>
        </w:rPr>
        <w:t>（六）其他与征收评估有关的资料。</w:t>
      </w:r>
    </w:p>
    <w:p w14:paraId="0AC4D565" w14:textId="77777777" w:rsidR="000400F7" w:rsidRDefault="000400F7" w:rsidP="000400F7">
      <w:pPr>
        <w:pStyle w:val="ab"/>
        <w:spacing w:before="62" w:after="62"/>
        <w:ind w:firstLine="482"/>
      </w:pPr>
      <w:r w:rsidRPr="004E3EBB">
        <w:rPr>
          <w:rFonts w:hint="eastAsia"/>
        </w:rPr>
        <w:t xml:space="preserve">第七条 </w:t>
      </w:r>
      <w:r>
        <w:rPr>
          <w:rFonts w:hint="eastAsia"/>
        </w:rPr>
        <w:t>估价机构基本要求</w:t>
      </w:r>
    </w:p>
    <w:p w14:paraId="3C3B4973" w14:textId="77777777" w:rsidR="000400F7" w:rsidRDefault="000400F7" w:rsidP="000400F7">
      <w:pPr>
        <w:pStyle w:val="13"/>
      </w:pPr>
      <w:r>
        <w:rPr>
          <w:rFonts w:hint="eastAsia"/>
        </w:rPr>
        <w:t>评估机构应当指派与房屋征收评估项目工作量相适应的足够数量的注册房地产估价师开展评估工作。</w:t>
      </w:r>
    </w:p>
    <w:p w14:paraId="497D9EBD" w14:textId="77777777" w:rsidR="000400F7" w:rsidRDefault="000400F7" w:rsidP="000400F7">
      <w:pPr>
        <w:pStyle w:val="13"/>
      </w:pPr>
      <w:r>
        <w:rPr>
          <w:rFonts w:hint="eastAsia"/>
        </w:rPr>
        <w:t>评估机构不得转让或者变相转让受托的房屋征收评估业务。</w:t>
      </w:r>
    </w:p>
    <w:p w14:paraId="733F89F4" w14:textId="77777777" w:rsidR="000400F7" w:rsidRDefault="000400F7" w:rsidP="000400F7">
      <w:pPr>
        <w:pStyle w:val="ab"/>
        <w:spacing w:before="62" w:after="62"/>
        <w:ind w:firstLine="482"/>
      </w:pPr>
      <w:r w:rsidRPr="004E3EBB">
        <w:rPr>
          <w:rFonts w:hint="eastAsia"/>
        </w:rPr>
        <w:t xml:space="preserve">第八条 </w:t>
      </w:r>
      <w:r>
        <w:rPr>
          <w:rFonts w:hint="eastAsia"/>
        </w:rPr>
        <w:t>现场查勘</w:t>
      </w:r>
    </w:p>
    <w:p w14:paraId="679C58EA" w14:textId="77777777" w:rsidR="000400F7" w:rsidRDefault="000400F7" w:rsidP="000400F7">
      <w:pPr>
        <w:pStyle w:val="13"/>
      </w:pPr>
      <w:r>
        <w:rPr>
          <w:rFonts w:hint="eastAsia"/>
        </w:rPr>
        <w:t>评估机构应当安排注册房地产估价师对被征收房屋进行实地查勘，对估价对象的位置、周围环境、估价对象的外观、建筑结构等状况进行查勘，并对事先收集的有关估价对象的坐落、四至、面积、产权等资料进行核实，同时搜集补充估价所需的其他资料，对估价对象及其周围环境或临路状况进行拍照等，做好实地查勘记录，并妥善保管。</w:t>
      </w:r>
    </w:p>
    <w:p w14:paraId="740BEBD6" w14:textId="77777777" w:rsidR="000400F7" w:rsidRDefault="000400F7" w:rsidP="000400F7">
      <w:pPr>
        <w:pStyle w:val="13"/>
      </w:pPr>
      <w:r>
        <w:rPr>
          <w:rFonts w:hint="eastAsia"/>
        </w:rPr>
        <w:t>房屋征收部门、被征收人和注册房地产估价师应当在实地查勘记录上签字或者盖章确认。</w:t>
      </w:r>
    </w:p>
    <w:p w14:paraId="086360FD" w14:textId="77777777" w:rsidR="000400F7" w:rsidRDefault="000400F7" w:rsidP="000400F7">
      <w:pPr>
        <w:pStyle w:val="13"/>
      </w:pPr>
      <w:r>
        <w:rPr>
          <w:rFonts w:hint="eastAsia"/>
        </w:rPr>
        <w:t>被征收人拒绝在实地查勘记录上签字或者盖章的，应当由房屋征收部门、注册房地产估价师和无利害关系的第三人见证，有关情况应当在评估报告中说明。</w:t>
      </w:r>
    </w:p>
    <w:p w14:paraId="678C8148" w14:textId="77777777" w:rsidR="000400F7" w:rsidRDefault="000400F7" w:rsidP="000400F7">
      <w:pPr>
        <w:pStyle w:val="13"/>
      </w:pPr>
      <w:r>
        <w:rPr>
          <w:rFonts w:hint="eastAsia"/>
        </w:rPr>
        <w:t>由于被征收人的原因不能拍摄被征收房屋内部状况照片的，可以参照被征收房屋同建筑</w:t>
      </w:r>
      <w:proofErr w:type="gramStart"/>
      <w:r>
        <w:rPr>
          <w:rFonts w:hint="eastAsia"/>
        </w:rPr>
        <w:t>楼幢内</w:t>
      </w:r>
      <w:proofErr w:type="gramEnd"/>
      <w:r>
        <w:rPr>
          <w:rFonts w:hint="eastAsia"/>
        </w:rPr>
        <w:t>或相邻的大小、户型相似房屋的现场查勘情况，作为被征收房屋实物状况的参照依据，但在评估报告中应予以披露和说明。</w:t>
      </w:r>
    </w:p>
    <w:p w14:paraId="144889EA" w14:textId="77777777" w:rsidR="000400F7" w:rsidRDefault="000400F7" w:rsidP="000400F7">
      <w:pPr>
        <w:pStyle w:val="13"/>
      </w:pPr>
      <w:r>
        <w:rPr>
          <w:rFonts w:hint="eastAsia"/>
        </w:rPr>
        <w:t>房地产估价师在现场查勘中发现被征收房屋的性质、实际用途、面积、建筑结构、权属记载等与委托人提供的被征收房屋情况不一致的，应当</w:t>
      </w:r>
      <w:proofErr w:type="gramStart"/>
      <w:r>
        <w:rPr>
          <w:rFonts w:hint="eastAsia"/>
        </w:rPr>
        <w:t>作出</w:t>
      </w:r>
      <w:proofErr w:type="gramEnd"/>
      <w:r>
        <w:rPr>
          <w:rFonts w:hint="eastAsia"/>
        </w:rPr>
        <w:t>书面记录，经委托人书面确认后进行评估。</w:t>
      </w:r>
    </w:p>
    <w:p w14:paraId="3DDF98EB" w14:textId="77777777" w:rsidR="000400F7" w:rsidRDefault="000400F7" w:rsidP="000400F7">
      <w:pPr>
        <w:pStyle w:val="13"/>
      </w:pPr>
      <w:r>
        <w:rPr>
          <w:rFonts w:hint="eastAsia"/>
        </w:rPr>
        <w:t>房屋征收部门应当在评估资料提供、现场查勘等方面对评估机构给予配合，不予配合的，评估机构有权拒绝出具评估报告。</w:t>
      </w:r>
    </w:p>
    <w:p w14:paraId="45FA5114" w14:textId="77777777" w:rsidR="000400F7" w:rsidRDefault="000400F7" w:rsidP="000400F7">
      <w:pPr>
        <w:pStyle w:val="ab"/>
        <w:spacing w:before="62" w:after="62"/>
        <w:ind w:firstLine="482"/>
      </w:pPr>
      <w:r w:rsidRPr="00E05BDA">
        <w:rPr>
          <w:rFonts w:hint="eastAsia"/>
        </w:rPr>
        <w:t xml:space="preserve">第九条 </w:t>
      </w:r>
      <w:r>
        <w:rPr>
          <w:rFonts w:hint="eastAsia"/>
        </w:rPr>
        <w:t>报告出具</w:t>
      </w:r>
    </w:p>
    <w:p w14:paraId="2F0540B6" w14:textId="77777777" w:rsidR="000400F7" w:rsidRDefault="000400F7" w:rsidP="000400F7">
      <w:pPr>
        <w:pStyle w:val="13"/>
      </w:pPr>
      <w:r>
        <w:rPr>
          <w:rFonts w:hint="eastAsia"/>
        </w:rPr>
        <w:t>评估机构应当按照房屋征收评估委托书或者委托合同的约定，向房屋征收部门提供初步评估结果。初步评估结果应当包括评估对象的构成及其基本情况和评估价值。房屋征收部门应当将初步评估结果在征收范围内向被征收人公示，不具备公示初步评估结果条件的非住宅房屋，应当在具备评估条件时逐户送达评估报告。</w:t>
      </w:r>
    </w:p>
    <w:p w14:paraId="779054CA" w14:textId="77777777" w:rsidR="000400F7" w:rsidRDefault="000400F7" w:rsidP="000400F7">
      <w:pPr>
        <w:pStyle w:val="13"/>
      </w:pPr>
      <w:r>
        <w:rPr>
          <w:rFonts w:hint="eastAsia"/>
        </w:rPr>
        <w:t>公示期间，评估机构应当安排注册房地产估价师对初步评估结果进行现场说明</w:t>
      </w:r>
      <w:r>
        <w:rPr>
          <w:rFonts w:hint="eastAsia"/>
        </w:rPr>
        <w:lastRenderedPageBreak/>
        <w:t>解释。存在错误的，评估机构应当修正。</w:t>
      </w:r>
    </w:p>
    <w:p w14:paraId="7711BEF1" w14:textId="77777777" w:rsidR="000400F7" w:rsidRDefault="000400F7" w:rsidP="000400F7">
      <w:pPr>
        <w:pStyle w:val="13"/>
      </w:pPr>
      <w:r>
        <w:t xml:space="preserve"> 初步评估结果公示期满后，评估机构应当向房屋征收部门提供委托评估范围内被征收房屋的整体评估报告和分户评估报告。房屋征收部门应当向被征收人转交分户评估报告。</w:t>
      </w:r>
    </w:p>
    <w:p w14:paraId="7ED7239A" w14:textId="77777777" w:rsidR="000400F7" w:rsidRDefault="000400F7" w:rsidP="000400F7">
      <w:pPr>
        <w:pStyle w:val="13"/>
      </w:pPr>
      <w:r>
        <w:rPr>
          <w:rFonts w:hint="eastAsia"/>
        </w:rPr>
        <w:t>征收补偿评估的货币单位（单价、总价）应精确到人民币元。</w:t>
      </w:r>
    </w:p>
    <w:p w14:paraId="1E7DB51F" w14:textId="77777777" w:rsidR="000400F7" w:rsidRDefault="000400F7" w:rsidP="000400F7">
      <w:pPr>
        <w:pStyle w:val="13"/>
      </w:pPr>
      <w:r>
        <w:rPr>
          <w:rFonts w:hint="eastAsia"/>
        </w:rPr>
        <w:t>整体评估报告和分户评估报告应当由负责房屋征收评估项目的两名以上（含</w:t>
      </w:r>
      <w:r>
        <w:t>2名）注册房地产估价师签字，并加盖评估机构公章，不得以印章代替签字。</w:t>
      </w:r>
    </w:p>
    <w:p w14:paraId="579A2892" w14:textId="77777777" w:rsidR="000400F7" w:rsidRDefault="000400F7" w:rsidP="000400F7">
      <w:pPr>
        <w:pStyle w:val="13"/>
      </w:pPr>
      <w:r>
        <w:rPr>
          <w:rFonts w:hint="eastAsia"/>
        </w:rPr>
        <w:t>整体评估报告按《房地产估价规范》的标准格式撰写，分户评估报告可采用表格等简明形式。</w:t>
      </w:r>
    </w:p>
    <w:p w14:paraId="50135FBA" w14:textId="77777777" w:rsidR="000400F7" w:rsidRDefault="000400F7" w:rsidP="000400F7">
      <w:pPr>
        <w:pStyle w:val="13"/>
      </w:pPr>
      <w:r>
        <w:rPr>
          <w:rFonts w:hint="eastAsia"/>
        </w:rPr>
        <w:t>分户报告应载明下列事项：</w:t>
      </w:r>
    </w:p>
    <w:p w14:paraId="124C319F" w14:textId="77777777" w:rsidR="000400F7" w:rsidRDefault="000400F7" w:rsidP="000400F7">
      <w:pPr>
        <w:pStyle w:val="13"/>
      </w:pPr>
      <w:r>
        <w:rPr>
          <w:rFonts w:hint="eastAsia"/>
        </w:rPr>
        <w:t>（一）被征收人姓名（名称）；</w:t>
      </w:r>
    </w:p>
    <w:p w14:paraId="10186C71" w14:textId="77777777" w:rsidR="000400F7" w:rsidRDefault="000400F7" w:rsidP="000400F7">
      <w:pPr>
        <w:pStyle w:val="13"/>
      </w:pPr>
      <w:r>
        <w:rPr>
          <w:rFonts w:hint="eastAsia"/>
        </w:rPr>
        <w:t>（二）委托人名称；</w:t>
      </w:r>
    </w:p>
    <w:p w14:paraId="1404F010" w14:textId="77777777" w:rsidR="000400F7" w:rsidRDefault="000400F7" w:rsidP="000400F7">
      <w:pPr>
        <w:pStyle w:val="13"/>
      </w:pPr>
      <w:r>
        <w:rPr>
          <w:rFonts w:hint="eastAsia"/>
        </w:rPr>
        <w:t>（三）估价机构名称及盖章；</w:t>
      </w:r>
    </w:p>
    <w:p w14:paraId="1C7A5474" w14:textId="77777777" w:rsidR="000400F7" w:rsidRDefault="000400F7" w:rsidP="000400F7">
      <w:pPr>
        <w:pStyle w:val="13"/>
      </w:pPr>
      <w:r>
        <w:rPr>
          <w:rFonts w:hint="eastAsia"/>
        </w:rPr>
        <w:t>（四）估价对象；</w:t>
      </w:r>
    </w:p>
    <w:p w14:paraId="1C06BA4A" w14:textId="77777777" w:rsidR="000400F7" w:rsidRDefault="000400F7" w:rsidP="000400F7">
      <w:pPr>
        <w:pStyle w:val="13"/>
      </w:pPr>
      <w:r>
        <w:rPr>
          <w:rFonts w:hint="eastAsia"/>
        </w:rPr>
        <w:t>（五）价值时点；</w:t>
      </w:r>
    </w:p>
    <w:p w14:paraId="49255BAF" w14:textId="77777777" w:rsidR="000400F7" w:rsidRDefault="000400F7" w:rsidP="000400F7">
      <w:pPr>
        <w:pStyle w:val="13"/>
      </w:pPr>
      <w:r>
        <w:rPr>
          <w:rFonts w:hint="eastAsia"/>
        </w:rPr>
        <w:t>（六）估价目的；</w:t>
      </w:r>
    </w:p>
    <w:p w14:paraId="393B2842" w14:textId="77777777" w:rsidR="000400F7" w:rsidRDefault="000400F7" w:rsidP="000400F7">
      <w:pPr>
        <w:pStyle w:val="13"/>
      </w:pPr>
      <w:r>
        <w:rPr>
          <w:rFonts w:hint="eastAsia"/>
        </w:rPr>
        <w:t>（七）估价依据；</w:t>
      </w:r>
    </w:p>
    <w:p w14:paraId="2D844418" w14:textId="77777777" w:rsidR="000400F7" w:rsidRDefault="000400F7" w:rsidP="000400F7">
      <w:pPr>
        <w:pStyle w:val="13"/>
      </w:pPr>
      <w:r>
        <w:rPr>
          <w:rFonts w:hint="eastAsia"/>
        </w:rPr>
        <w:t>（八）价值类型；</w:t>
      </w:r>
    </w:p>
    <w:p w14:paraId="46351792" w14:textId="77777777" w:rsidR="000400F7" w:rsidRDefault="000400F7" w:rsidP="000400F7">
      <w:pPr>
        <w:pStyle w:val="13"/>
      </w:pPr>
      <w:r>
        <w:rPr>
          <w:rFonts w:hint="eastAsia"/>
        </w:rPr>
        <w:t>（九）估价方法；</w:t>
      </w:r>
    </w:p>
    <w:p w14:paraId="7DD6277C" w14:textId="77777777" w:rsidR="000400F7" w:rsidRDefault="000400F7" w:rsidP="000400F7">
      <w:pPr>
        <w:pStyle w:val="13"/>
      </w:pPr>
      <w:r>
        <w:rPr>
          <w:rFonts w:hint="eastAsia"/>
        </w:rPr>
        <w:t>（十）估价结果；</w:t>
      </w:r>
    </w:p>
    <w:p w14:paraId="1BB5AC05" w14:textId="77777777" w:rsidR="000400F7" w:rsidRDefault="000400F7" w:rsidP="000400F7">
      <w:pPr>
        <w:pStyle w:val="13"/>
      </w:pPr>
      <w:r>
        <w:rPr>
          <w:rFonts w:hint="eastAsia"/>
        </w:rPr>
        <w:t>（十一）注册估价师签字</w:t>
      </w:r>
      <w:r>
        <w:t>/盖章；</w:t>
      </w:r>
    </w:p>
    <w:p w14:paraId="23950BEB" w14:textId="77777777" w:rsidR="000400F7" w:rsidRDefault="000400F7" w:rsidP="000400F7">
      <w:pPr>
        <w:pStyle w:val="13"/>
      </w:pPr>
      <w:r>
        <w:rPr>
          <w:rFonts w:hint="eastAsia"/>
        </w:rPr>
        <w:t>（十二）需载明救济途径，即对评估报告有异议的处理方式；</w:t>
      </w:r>
    </w:p>
    <w:p w14:paraId="27F6F084" w14:textId="77777777" w:rsidR="000400F7" w:rsidRDefault="000400F7" w:rsidP="000400F7">
      <w:pPr>
        <w:pStyle w:val="13"/>
      </w:pPr>
      <w:r>
        <w:t>（十三）其他需要说明的事项。</w:t>
      </w:r>
    </w:p>
    <w:p w14:paraId="4775CFFE" w14:textId="77777777" w:rsidR="000400F7" w:rsidRDefault="000400F7" w:rsidP="000400F7">
      <w:pPr>
        <w:pStyle w:val="ab"/>
        <w:spacing w:before="62" w:after="62"/>
        <w:ind w:firstLine="482"/>
      </w:pPr>
      <w:r w:rsidRPr="00E05BDA">
        <w:rPr>
          <w:rFonts w:hint="eastAsia"/>
        </w:rPr>
        <w:t xml:space="preserve">第十条 </w:t>
      </w:r>
      <w:r>
        <w:rPr>
          <w:rFonts w:hint="eastAsia"/>
        </w:rPr>
        <w:t>报告使用期限</w:t>
      </w:r>
    </w:p>
    <w:p w14:paraId="0DB92D86" w14:textId="77777777" w:rsidR="000400F7" w:rsidRDefault="000400F7" w:rsidP="000400F7">
      <w:pPr>
        <w:pStyle w:val="13"/>
      </w:pPr>
      <w:r>
        <w:rPr>
          <w:rFonts w:hint="eastAsia"/>
        </w:rPr>
        <w:t>征收估价报告中应说明使用有效期。</w:t>
      </w:r>
    </w:p>
    <w:p w14:paraId="141436E3" w14:textId="77777777" w:rsidR="000400F7" w:rsidRDefault="000400F7" w:rsidP="000400F7">
      <w:pPr>
        <w:pStyle w:val="13"/>
      </w:pPr>
      <w:r>
        <w:rPr>
          <w:rFonts w:hint="eastAsia"/>
        </w:rPr>
        <w:t>报告使用有效期自出具正式评估报告之日起一年内有效。</w:t>
      </w:r>
    </w:p>
    <w:p w14:paraId="668A67B2" w14:textId="77777777" w:rsidR="000400F7" w:rsidRDefault="000400F7" w:rsidP="000400F7">
      <w:pPr>
        <w:pStyle w:val="ab"/>
        <w:spacing w:before="62" w:after="62"/>
        <w:ind w:firstLine="482"/>
      </w:pPr>
      <w:r w:rsidRPr="00E05BDA">
        <w:rPr>
          <w:rFonts w:hint="eastAsia"/>
        </w:rPr>
        <w:t xml:space="preserve">第十一条 </w:t>
      </w:r>
      <w:r>
        <w:rPr>
          <w:rFonts w:hint="eastAsia"/>
        </w:rPr>
        <w:t>复核与重新评估</w:t>
      </w:r>
    </w:p>
    <w:p w14:paraId="66B91192" w14:textId="77777777" w:rsidR="000400F7" w:rsidRDefault="000400F7" w:rsidP="000400F7">
      <w:pPr>
        <w:pStyle w:val="13"/>
      </w:pPr>
      <w:r>
        <w:rPr>
          <w:rFonts w:hint="eastAsia"/>
        </w:rPr>
        <w:t>被征收人或者房屋征收部门对评估报告有疑问的，出具评估报告的评估机构应当向其</w:t>
      </w:r>
      <w:proofErr w:type="gramStart"/>
      <w:r>
        <w:rPr>
          <w:rFonts w:hint="eastAsia"/>
        </w:rPr>
        <w:t>作出</w:t>
      </w:r>
      <w:proofErr w:type="gramEnd"/>
      <w:r>
        <w:rPr>
          <w:rFonts w:hint="eastAsia"/>
        </w:rPr>
        <w:t>解释和说明。</w:t>
      </w:r>
    </w:p>
    <w:p w14:paraId="64E3FC2F" w14:textId="77777777" w:rsidR="000400F7" w:rsidRDefault="000400F7" w:rsidP="000400F7">
      <w:pPr>
        <w:pStyle w:val="13"/>
      </w:pPr>
      <w:r>
        <w:rPr>
          <w:rFonts w:hint="eastAsia"/>
        </w:rPr>
        <w:t>被征收人或者房屋征收部门对评估报告有异议的，应当自收到评估报告之日起</w:t>
      </w:r>
      <w:r>
        <w:t>10日内，向原评估机构申请复核评估。</w:t>
      </w:r>
    </w:p>
    <w:p w14:paraId="194E715E" w14:textId="77777777" w:rsidR="000400F7" w:rsidRDefault="000400F7" w:rsidP="000400F7">
      <w:pPr>
        <w:pStyle w:val="13"/>
      </w:pPr>
      <w:r>
        <w:rPr>
          <w:rFonts w:hint="eastAsia"/>
        </w:rPr>
        <w:t>申请复核评估的，应当向原评估机构提出书面复核评估申请，并指出评估报告存在的问题。</w:t>
      </w:r>
    </w:p>
    <w:p w14:paraId="715FD1E7" w14:textId="77777777" w:rsidR="000400F7" w:rsidRDefault="000400F7" w:rsidP="000400F7">
      <w:pPr>
        <w:pStyle w:val="13"/>
      </w:pPr>
      <w:r>
        <w:rPr>
          <w:rFonts w:hint="eastAsia"/>
        </w:rPr>
        <w:lastRenderedPageBreak/>
        <w:t>原评估机构应当自收到书面复核评估申请之日起</w:t>
      </w:r>
      <w:r>
        <w:t>10日内对评估结果进行复核。复核后，改变评估结果的，应当重新出具评估报告；评估结果没有改变的，应当书面告知复核评估申请人。</w:t>
      </w:r>
    </w:p>
    <w:p w14:paraId="040471F3" w14:textId="77777777" w:rsidR="000400F7" w:rsidRDefault="000400F7" w:rsidP="000400F7">
      <w:pPr>
        <w:pStyle w:val="13"/>
      </w:pPr>
      <w:r>
        <w:rPr>
          <w:rFonts w:hint="eastAsia"/>
        </w:rPr>
        <w:t>复核评估费用由原评估机构承担。</w:t>
      </w:r>
    </w:p>
    <w:p w14:paraId="39942176" w14:textId="77777777" w:rsidR="000400F7" w:rsidRDefault="000400F7" w:rsidP="000400F7">
      <w:pPr>
        <w:pStyle w:val="ab"/>
        <w:spacing w:before="62" w:after="62"/>
        <w:ind w:firstLine="482"/>
      </w:pPr>
      <w:r w:rsidRPr="00E05BDA">
        <w:rPr>
          <w:rFonts w:hint="eastAsia"/>
        </w:rPr>
        <w:t xml:space="preserve">第十二条 </w:t>
      </w:r>
      <w:r>
        <w:rPr>
          <w:rFonts w:hint="eastAsia"/>
        </w:rPr>
        <w:t>技术鉴定</w:t>
      </w:r>
    </w:p>
    <w:p w14:paraId="02D48FD3" w14:textId="77777777" w:rsidR="000400F7" w:rsidRDefault="000400F7" w:rsidP="000400F7">
      <w:pPr>
        <w:pStyle w:val="13"/>
      </w:pPr>
      <w:r>
        <w:rPr>
          <w:rFonts w:hint="eastAsia"/>
        </w:rPr>
        <w:t>被征收人或者房屋征收部门对原评估机构的复核结果有异议的，应当自收到复核结果之日起</w:t>
      </w:r>
      <w:r>
        <w:t>10日内，向济南市国有土地上房屋征收和拆迁评估专家委员会（以下简称评估专家委员会）申请鉴定。</w:t>
      </w:r>
    </w:p>
    <w:p w14:paraId="2F9E50F8" w14:textId="77777777" w:rsidR="000400F7" w:rsidRDefault="000400F7" w:rsidP="000400F7">
      <w:pPr>
        <w:pStyle w:val="13"/>
      </w:pPr>
      <w:r>
        <w:rPr>
          <w:rFonts w:hint="eastAsia"/>
        </w:rPr>
        <w:t>评估专家委员会应当自收到鉴定申请之日起</w:t>
      </w:r>
      <w:r>
        <w:t>10日内，对申请鉴定评估报告的估价程序、估价依据、估价假设、估价技术路线、估价方法选用、参数选取、估价结果确定方式等评估技术问题进行审核，出具书面鉴定意见。</w:t>
      </w:r>
    </w:p>
    <w:p w14:paraId="6795003A" w14:textId="77777777" w:rsidR="000400F7" w:rsidRDefault="000400F7" w:rsidP="000400F7">
      <w:pPr>
        <w:pStyle w:val="13"/>
      </w:pPr>
      <w:r>
        <w:rPr>
          <w:rFonts w:hint="eastAsia"/>
        </w:rPr>
        <w:t>经评估专家委员会鉴定，评估报告不存在技术问题的，应当维持原评估报告；评估报告存在技术问题的，出具评估报告的评估机构应当改正错误，重新出具评估报告。</w:t>
      </w:r>
    </w:p>
    <w:p w14:paraId="5A36A283" w14:textId="77777777" w:rsidR="000400F7" w:rsidRDefault="000400F7" w:rsidP="000400F7">
      <w:pPr>
        <w:pStyle w:val="13"/>
      </w:pPr>
      <w:r>
        <w:rPr>
          <w:rFonts w:hint="eastAsia"/>
        </w:rPr>
        <w:t>房屋征收评估鉴定过程中，评估机构应当按照评估专家委员会要求，就鉴定涉及的评估相关事宜进行说明。需要对被征收房屋进行实地查勘和调查的，有关单位和个人应当协助。</w:t>
      </w:r>
    </w:p>
    <w:p w14:paraId="7D055593" w14:textId="77777777" w:rsidR="000400F7" w:rsidRDefault="000400F7" w:rsidP="000400F7">
      <w:pPr>
        <w:pStyle w:val="13"/>
      </w:pPr>
      <w:r>
        <w:rPr>
          <w:rFonts w:hint="eastAsia"/>
        </w:rPr>
        <w:t>鉴定费用由申请人承担。但鉴定改变原评估结果的，鉴定费用由原评估机构承担。</w:t>
      </w:r>
    </w:p>
    <w:p w14:paraId="50B0EE60" w14:textId="77777777" w:rsidR="000400F7" w:rsidRDefault="000400F7" w:rsidP="000400F7">
      <w:pPr>
        <w:pStyle w:val="ab"/>
        <w:spacing w:before="62" w:after="62"/>
        <w:ind w:firstLine="482"/>
      </w:pPr>
      <w:r w:rsidRPr="00E05BDA">
        <w:rPr>
          <w:rFonts w:hint="eastAsia"/>
        </w:rPr>
        <w:t xml:space="preserve">第十三条 </w:t>
      </w:r>
      <w:r>
        <w:rPr>
          <w:rFonts w:hint="eastAsia"/>
        </w:rPr>
        <w:t>资料存档</w:t>
      </w:r>
    </w:p>
    <w:p w14:paraId="2EB5AA06" w14:textId="77777777" w:rsidR="000400F7" w:rsidRDefault="000400F7" w:rsidP="000400F7">
      <w:pPr>
        <w:pStyle w:val="13"/>
      </w:pPr>
      <w:r>
        <w:rPr>
          <w:rFonts w:hint="eastAsia"/>
        </w:rPr>
        <w:t>房屋征收评估业务完成后，评估机构应当将下列资料与评估报告（含技术报告）共同整理归档保存：</w:t>
      </w:r>
    </w:p>
    <w:p w14:paraId="0A487728" w14:textId="77777777" w:rsidR="000400F7" w:rsidRDefault="000400F7" w:rsidP="000400F7">
      <w:pPr>
        <w:pStyle w:val="13"/>
      </w:pPr>
      <w:r>
        <w:rPr>
          <w:rFonts w:hint="eastAsia"/>
        </w:rPr>
        <w:t>（一）房屋征收评估委托合同；</w:t>
      </w:r>
    </w:p>
    <w:p w14:paraId="190FFE3E" w14:textId="77777777" w:rsidR="000400F7" w:rsidRDefault="000400F7" w:rsidP="000400F7">
      <w:pPr>
        <w:pStyle w:val="13"/>
      </w:pPr>
      <w:r>
        <w:rPr>
          <w:rFonts w:hint="eastAsia"/>
        </w:rPr>
        <w:t>（二）房屋征收决定公告；</w:t>
      </w:r>
    </w:p>
    <w:p w14:paraId="159959A8" w14:textId="77777777" w:rsidR="000400F7" w:rsidRDefault="000400F7" w:rsidP="000400F7">
      <w:pPr>
        <w:pStyle w:val="13"/>
      </w:pPr>
      <w:r>
        <w:rPr>
          <w:rFonts w:hint="eastAsia"/>
        </w:rPr>
        <w:t>（三）已登记房屋的产权证、土地使用证、不动产权证书及有关材料和未经登记建筑认定处理情况等资料；</w:t>
      </w:r>
    </w:p>
    <w:p w14:paraId="3711404C" w14:textId="77777777" w:rsidR="000400F7" w:rsidRDefault="000400F7" w:rsidP="000400F7">
      <w:pPr>
        <w:pStyle w:val="13"/>
      </w:pPr>
      <w:r>
        <w:rPr>
          <w:rFonts w:hint="eastAsia"/>
        </w:rPr>
        <w:t>（四）评估对象的实地查勘记录等资料；</w:t>
      </w:r>
    </w:p>
    <w:p w14:paraId="2BDC7B47" w14:textId="77777777" w:rsidR="000400F7" w:rsidRDefault="000400F7" w:rsidP="000400F7">
      <w:pPr>
        <w:pStyle w:val="13"/>
      </w:pPr>
      <w:r>
        <w:rPr>
          <w:rFonts w:hint="eastAsia"/>
        </w:rPr>
        <w:t>（五）复核评估申请与复核报告（如涉及复核）；</w:t>
      </w:r>
    </w:p>
    <w:p w14:paraId="44721A33" w14:textId="77777777" w:rsidR="000400F7" w:rsidRDefault="000400F7" w:rsidP="000400F7">
      <w:pPr>
        <w:pStyle w:val="13"/>
      </w:pPr>
      <w:r>
        <w:rPr>
          <w:rFonts w:hint="eastAsia"/>
        </w:rPr>
        <w:t>（六）其它涉及评估项目的必要资料。</w:t>
      </w:r>
    </w:p>
    <w:p w14:paraId="6863F456" w14:textId="77777777" w:rsidR="000400F7" w:rsidRDefault="000400F7" w:rsidP="000400F7">
      <w:pPr>
        <w:pStyle w:val="13"/>
      </w:pPr>
      <w:r>
        <w:rPr>
          <w:rFonts w:hint="eastAsia"/>
        </w:rPr>
        <w:t>整体评估报告和分户评估报告应有纸质与电子文档，评估报告及有关资料的保存期限应不少于三十年。</w:t>
      </w:r>
    </w:p>
    <w:p w14:paraId="5DA170F7" w14:textId="77777777" w:rsidR="000400F7" w:rsidRDefault="000400F7" w:rsidP="00AF7342">
      <w:pPr>
        <w:pStyle w:val="a9"/>
        <w:spacing w:before="62" w:after="62"/>
      </w:pPr>
      <w:r>
        <w:rPr>
          <w:rFonts w:hint="eastAsia"/>
        </w:rPr>
        <w:lastRenderedPageBreak/>
        <w:t>第三章 住宅房屋的评估</w:t>
      </w:r>
    </w:p>
    <w:p w14:paraId="157798E3" w14:textId="77777777" w:rsidR="000400F7" w:rsidRDefault="000400F7" w:rsidP="000400F7">
      <w:pPr>
        <w:pStyle w:val="ab"/>
        <w:spacing w:before="62" w:after="62"/>
        <w:ind w:firstLine="482"/>
      </w:pPr>
      <w:r w:rsidRPr="00E05BDA">
        <w:rPr>
          <w:rFonts w:hint="eastAsia"/>
        </w:rPr>
        <w:t xml:space="preserve">第十四条 </w:t>
      </w:r>
      <w:r>
        <w:rPr>
          <w:rFonts w:hint="eastAsia"/>
        </w:rPr>
        <w:t>基本概念</w:t>
      </w:r>
    </w:p>
    <w:p w14:paraId="2830F82F" w14:textId="77777777" w:rsidR="000400F7" w:rsidRDefault="000400F7" w:rsidP="000400F7">
      <w:pPr>
        <w:pStyle w:val="13"/>
      </w:pPr>
      <w:r>
        <w:rPr>
          <w:rFonts w:hint="eastAsia"/>
        </w:rPr>
        <w:t>被征收的住宅房屋，补偿价值按照其所处区位新建普通商品住宅的市场价格，结合被征收房屋建筑结构、楼层、朝向、新旧程度和装饰装修情况等因素评估确定。</w:t>
      </w:r>
    </w:p>
    <w:p w14:paraId="79ADF3FE" w14:textId="77777777" w:rsidR="000400F7" w:rsidRDefault="000400F7" w:rsidP="000400F7">
      <w:pPr>
        <w:pStyle w:val="13"/>
      </w:pPr>
      <w:r>
        <w:rPr>
          <w:rFonts w:hint="eastAsia"/>
        </w:rPr>
        <w:t>新建普通商品住宅是指房屋征收公告发布</w:t>
      </w:r>
      <w:proofErr w:type="gramStart"/>
      <w:r>
        <w:rPr>
          <w:rFonts w:hint="eastAsia"/>
        </w:rPr>
        <w:t>时近期</w:t>
      </w:r>
      <w:proofErr w:type="gramEnd"/>
      <w:r>
        <w:rPr>
          <w:rFonts w:hint="eastAsia"/>
        </w:rPr>
        <w:t>建成的，按照国家规定的建筑设计标准和质量安全等技术规范建造，功能齐全、价格合理、能够满足居住生活需要的一般性商品住宅。</w:t>
      </w:r>
    </w:p>
    <w:p w14:paraId="21765E12" w14:textId="77777777" w:rsidR="000400F7" w:rsidRDefault="000400F7" w:rsidP="000400F7">
      <w:pPr>
        <w:pStyle w:val="ab"/>
        <w:spacing w:before="62" w:after="62"/>
        <w:ind w:firstLine="482"/>
      </w:pPr>
      <w:r w:rsidRPr="00E05BDA">
        <w:rPr>
          <w:rFonts w:hint="eastAsia"/>
        </w:rPr>
        <w:t xml:space="preserve">第十五条 </w:t>
      </w:r>
      <w:r>
        <w:rPr>
          <w:rFonts w:hint="eastAsia"/>
        </w:rPr>
        <w:t>住宅房屋分类</w:t>
      </w:r>
    </w:p>
    <w:p w14:paraId="5503A9AF" w14:textId="77777777" w:rsidR="000400F7" w:rsidRDefault="000400F7" w:rsidP="000400F7">
      <w:pPr>
        <w:pStyle w:val="13"/>
      </w:pPr>
      <w:r>
        <w:rPr>
          <w:rFonts w:hint="eastAsia"/>
        </w:rPr>
        <w:t>按照房屋层数不同，住宅可分为平房、低层住宅（</w:t>
      </w:r>
      <w:r>
        <w:t>2-3层）、多层住宅（4-6层）、中高层住宅（7-9层）、高层住宅（10层以上）；</w:t>
      </w:r>
    </w:p>
    <w:p w14:paraId="089193EA" w14:textId="77777777" w:rsidR="000400F7" w:rsidRDefault="000400F7" w:rsidP="000400F7">
      <w:pPr>
        <w:pStyle w:val="13"/>
      </w:pPr>
      <w:r>
        <w:rPr>
          <w:rFonts w:hint="eastAsia"/>
        </w:rPr>
        <w:t>按照套型设计不同，住宅可划分为成套住宅（包括单元住宅与独门院落）、非成套住宅；</w:t>
      </w:r>
    </w:p>
    <w:p w14:paraId="53E43CB7" w14:textId="77777777" w:rsidR="000400F7" w:rsidRDefault="000400F7" w:rsidP="000400F7">
      <w:pPr>
        <w:pStyle w:val="13"/>
      </w:pPr>
      <w:r>
        <w:rPr>
          <w:rFonts w:hint="eastAsia"/>
        </w:rPr>
        <w:t>按照建筑结构不同，住宅可划分为简易结构、砖木结构、砖混结构、钢混结构等。</w:t>
      </w:r>
    </w:p>
    <w:p w14:paraId="75FA27F9" w14:textId="77777777" w:rsidR="000400F7" w:rsidRDefault="000400F7" w:rsidP="000400F7">
      <w:pPr>
        <w:pStyle w:val="13"/>
      </w:pPr>
      <w:r>
        <w:rPr>
          <w:rFonts w:hint="eastAsia"/>
        </w:rPr>
        <w:t>本条第二款规定的成套住宅是指按照套型设计，每套住宅设有卧室、起居室（厅）、厨房和卫生间等基本空间的住宅；非成套住宅是指按照套型设计，每套住宅设计中缺少上述一项或者多项基本空间的住宅。</w:t>
      </w:r>
    </w:p>
    <w:p w14:paraId="18DC6017" w14:textId="77777777" w:rsidR="000400F7" w:rsidRDefault="000400F7" w:rsidP="000400F7">
      <w:pPr>
        <w:pStyle w:val="ab"/>
        <w:spacing w:before="62" w:after="62"/>
        <w:ind w:firstLine="482"/>
      </w:pPr>
      <w:r w:rsidRPr="00E05BDA">
        <w:rPr>
          <w:rFonts w:hint="eastAsia"/>
        </w:rPr>
        <w:t xml:space="preserve">第十六条 </w:t>
      </w:r>
      <w:r>
        <w:rPr>
          <w:rFonts w:hint="eastAsia"/>
        </w:rPr>
        <w:t>住宅房屋评估技术路线</w:t>
      </w:r>
    </w:p>
    <w:p w14:paraId="595F03BB" w14:textId="77777777" w:rsidR="000400F7" w:rsidRDefault="000400F7" w:rsidP="000400F7">
      <w:pPr>
        <w:pStyle w:val="13"/>
      </w:pPr>
      <w:r>
        <w:rPr>
          <w:rFonts w:hint="eastAsia"/>
        </w:rPr>
        <w:t>（一）测算新建普通商品住宅的市场价格。采用适宜的评估</w:t>
      </w:r>
      <w:r>
        <w:t>方法评估确定被征收房屋所在区位内的新建普通商品住宅的市场价格。</w:t>
      </w:r>
    </w:p>
    <w:p w14:paraId="2D1F11AC" w14:textId="77777777" w:rsidR="000400F7" w:rsidRDefault="000400F7" w:rsidP="000400F7">
      <w:pPr>
        <w:pStyle w:val="13"/>
      </w:pPr>
      <w:r>
        <w:rPr>
          <w:rFonts w:hint="eastAsia"/>
        </w:rPr>
        <w:t>该区位内有已建成该类新建普通商品住宅的，优先采用比较法，评估时应当依据其销售均价，确定该区位的新建普通商品住宅市场销售价格。该区位没有该类新建普通商品住宅的，可以采用成本法或其他评估方法。采用成本法时可以依据拟新建项目立项、规划、用地批准文件以及设计图、建设标准、配套设施标准，推算该项目的新建普通商品住宅的市场销售价格。</w:t>
      </w:r>
    </w:p>
    <w:p w14:paraId="1BF5CD2D" w14:textId="77777777" w:rsidR="000400F7" w:rsidRDefault="000400F7" w:rsidP="000400F7">
      <w:pPr>
        <w:pStyle w:val="13"/>
      </w:pPr>
      <w:r>
        <w:rPr>
          <w:rFonts w:hint="eastAsia"/>
        </w:rPr>
        <w:t>（二）确立评估基准房。在征收项目范围内根据被征收房屋的结构、套型进行分类，每类住宅均设定“标准样本住宅”作为评估基准房。</w:t>
      </w:r>
    </w:p>
    <w:p w14:paraId="3FCCFB15" w14:textId="77777777" w:rsidR="000400F7" w:rsidRDefault="000400F7" w:rsidP="000400F7">
      <w:pPr>
        <w:pStyle w:val="13"/>
      </w:pPr>
      <w:r>
        <w:rPr>
          <w:rFonts w:hint="eastAsia"/>
        </w:rPr>
        <w:t>（三）测算基准价格。按照被征收房屋所在区位内的新建普通商品住宅的市场价格，进行结构、套型调整，测算各类评估</w:t>
      </w:r>
      <w:proofErr w:type="gramStart"/>
      <w:r>
        <w:rPr>
          <w:rFonts w:hint="eastAsia"/>
        </w:rPr>
        <w:t>基准房</w:t>
      </w:r>
      <w:proofErr w:type="gramEnd"/>
      <w:r>
        <w:rPr>
          <w:rFonts w:hint="eastAsia"/>
        </w:rPr>
        <w:t>的基准价格。</w:t>
      </w:r>
    </w:p>
    <w:p w14:paraId="35C93643" w14:textId="77777777" w:rsidR="000400F7" w:rsidRDefault="000400F7" w:rsidP="000400F7">
      <w:pPr>
        <w:pStyle w:val="13"/>
      </w:pPr>
      <w:r>
        <w:rPr>
          <w:rFonts w:hint="eastAsia"/>
        </w:rPr>
        <w:t>（四）确定被征收房屋的评估价格。各被征收房屋分别与对应类型“标准样本住宅”进行房地产实体状况因素比较，进行成新、楼层、朝向调整后得出各被征收住宅房屋的评估价格。</w:t>
      </w:r>
    </w:p>
    <w:p w14:paraId="033375D2" w14:textId="77777777" w:rsidR="000400F7" w:rsidRDefault="000400F7" w:rsidP="000400F7">
      <w:pPr>
        <w:pStyle w:val="ab"/>
        <w:spacing w:before="62" w:after="62"/>
        <w:ind w:firstLine="482"/>
      </w:pPr>
      <w:r w:rsidRPr="00E05BDA">
        <w:rPr>
          <w:rFonts w:hint="eastAsia"/>
        </w:rPr>
        <w:t xml:space="preserve">第十七条 </w:t>
      </w:r>
      <w:r>
        <w:rPr>
          <w:rFonts w:hint="eastAsia"/>
        </w:rPr>
        <w:t>新建普通商品住宅市场价格的评估</w:t>
      </w:r>
    </w:p>
    <w:p w14:paraId="683BA5B8" w14:textId="77777777" w:rsidR="000400F7" w:rsidRDefault="000400F7" w:rsidP="000400F7">
      <w:pPr>
        <w:pStyle w:val="13"/>
      </w:pPr>
      <w:r>
        <w:rPr>
          <w:rFonts w:hint="eastAsia"/>
        </w:rPr>
        <w:t>新建普通商品住宅市场价格的评估宜选取两种或两种以上评估方法进行评估；</w:t>
      </w:r>
      <w:r>
        <w:rPr>
          <w:rFonts w:hint="eastAsia"/>
        </w:rPr>
        <w:lastRenderedPageBreak/>
        <w:t>评估方法应当优先采用比较法或成本法。</w:t>
      </w:r>
    </w:p>
    <w:p w14:paraId="53517908" w14:textId="77777777" w:rsidR="000400F7" w:rsidRDefault="000400F7" w:rsidP="000400F7">
      <w:pPr>
        <w:pStyle w:val="13"/>
      </w:pPr>
      <w:r>
        <w:rPr>
          <w:rFonts w:hint="eastAsia"/>
        </w:rPr>
        <w:t>（一）比较法</w:t>
      </w:r>
    </w:p>
    <w:p w14:paraId="779D1C0B" w14:textId="77777777" w:rsidR="000400F7" w:rsidRDefault="000400F7" w:rsidP="000400F7">
      <w:pPr>
        <w:pStyle w:val="13"/>
      </w:pPr>
      <w:r>
        <w:rPr>
          <w:rFonts w:hint="eastAsia"/>
        </w:rPr>
        <w:t>采用比较法评估新建普通商品住宅基准价格的计算公式为：</w:t>
      </w:r>
    </w:p>
    <w:p w14:paraId="6149C0AA" w14:textId="77777777" w:rsidR="000400F7" w:rsidRDefault="000400F7" w:rsidP="000400F7">
      <w:pPr>
        <w:pStyle w:val="13"/>
      </w:pPr>
      <w:r>
        <w:rPr>
          <w:rFonts w:hint="eastAsia"/>
        </w:rPr>
        <w:t>新建普通商品住宅的价格</w:t>
      </w:r>
      <w:r>
        <w:t>=可比实例价格±P1±P1±P2。</w:t>
      </w:r>
    </w:p>
    <w:p w14:paraId="65711E89" w14:textId="77777777" w:rsidR="000400F7" w:rsidRDefault="000400F7" w:rsidP="000400F7">
      <w:pPr>
        <w:pStyle w:val="13"/>
      </w:pPr>
      <w:r>
        <w:t>1.P1-交易情况修正。进行交易情况修正，应排除交易行为中的特殊因素所造成的可比实例成交价格偏差，将可比实例的成交价格调整为正常价格。</w:t>
      </w:r>
    </w:p>
    <w:p w14:paraId="3FAD535F" w14:textId="77777777" w:rsidR="000400F7" w:rsidRDefault="000400F7" w:rsidP="000400F7">
      <w:pPr>
        <w:pStyle w:val="13"/>
      </w:pPr>
      <w:r>
        <w:t>2.P2-市场状况调整。进行市场状况调整，即将可比实例在其成交日期的价格调整为在价值时点的价格。市场状况调整宜采用类似房地产价格变动情况或指数进行调整。在无类似房地产的价格变动情况或指数时，可根据当地房地产价格的变动情况和趋势做出判断，给予调整。</w:t>
      </w:r>
    </w:p>
    <w:p w14:paraId="77644909" w14:textId="77777777" w:rsidR="000400F7" w:rsidRDefault="000400F7" w:rsidP="000400F7">
      <w:pPr>
        <w:pStyle w:val="13"/>
      </w:pPr>
      <w:r>
        <w:t>3.P3-房地产状况调整。进行房地产状况调整，即将可比实例在其实物状况下的价格调整为在新建普通商品住宅实物状况下的价格；房地产状况调整包括区位状况调整、实物状况调整、权益状况调整。</w:t>
      </w:r>
    </w:p>
    <w:p w14:paraId="5D52E331" w14:textId="77777777" w:rsidR="000400F7" w:rsidRDefault="000400F7" w:rsidP="000400F7">
      <w:pPr>
        <w:pStyle w:val="13"/>
      </w:pPr>
      <w:r>
        <w:t>4.进行交易情况修正、市场状况调整、区位状况调整、实物状况调整、权益状况调整时，应符合下列规定：</w:t>
      </w:r>
    </w:p>
    <w:p w14:paraId="4FE2B1A1" w14:textId="77777777" w:rsidR="000400F7" w:rsidRDefault="000400F7" w:rsidP="000400F7">
      <w:pPr>
        <w:pStyle w:val="13"/>
      </w:pPr>
      <w:r>
        <w:rPr>
          <w:rFonts w:hint="eastAsia"/>
        </w:rPr>
        <w:t>（</w:t>
      </w:r>
      <w:r>
        <w:t>1）分别对可比实例成交价格的修正或调整幅度不宜超过20%，共同对可比实例成交价格的修正和调整幅度不宜超过30%；</w:t>
      </w:r>
    </w:p>
    <w:p w14:paraId="46C55DBB" w14:textId="77777777" w:rsidR="000400F7" w:rsidRDefault="000400F7" w:rsidP="000400F7">
      <w:pPr>
        <w:pStyle w:val="13"/>
      </w:pPr>
      <w:r>
        <w:rPr>
          <w:rFonts w:hint="eastAsia"/>
        </w:rPr>
        <w:t>（</w:t>
      </w:r>
      <w:r>
        <w:t>2）经修正和调整后的各个可比实例价格中，</w:t>
      </w:r>
      <w:proofErr w:type="gramStart"/>
      <w:r>
        <w:t>最</w:t>
      </w:r>
      <w:proofErr w:type="gramEnd"/>
      <w:r>
        <w:t>高价与最低价的比值不宜大于1.2；</w:t>
      </w:r>
    </w:p>
    <w:p w14:paraId="1CA9AC86" w14:textId="77777777" w:rsidR="000400F7" w:rsidRDefault="000400F7" w:rsidP="000400F7">
      <w:pPr>
        <w:pStyle w:val="13"/>
      </w:pPr>
      <w:r>
        <w:rPr>
          <w:rFonts w:hint="eastAsia"/>
        </w:rPr>
        <w:t>（</w:t>
      </w:r>
      <w:r>
        <w:t>3）当幅度和比值超出本条规定时，宜更换可比实例；</w:t>
      </w:r>
    </w:p>
    <w:p w14:paraId="344C3F23" w14:textId="77777777" w:rsidR="000400F7" w:rsidRDefault="000400F7" w:rsidP="000400F7">
      <w:pPr>
        <w:pStyle w:val="13"/>
      </w:pPr>
      <w:r>
        <w:rPr>
          <w:rFonts w:hint="eastAsia"/>
        </w:rPr>
        <w:t>（</w:t>
      </w:r>
      <w:r>
        <w:t>4）当因估价对象或市场状况特殊，无更合适的可比实例替换时，应在估价报告中说明并陈述理由。</w:t>
      </w:r>
    </w:p>
    <w:p w14:paraId="6C1EECDE" w14:textId="77777777" w:rsidR="000400F7" w:rsidRDefault="000400F7" w:rsidP="000400F7">
      <w:pPr>
        <w:pStyle w:val="13"/>
      </w:pPr>
      <w:r>
        <w:t>普通商品住宅的基准价格按比准价格的算术平均值或加权平均值确定。</w:t>
      </w:r>
    </w:p>
    <w:p w14:paraId="7971E19A" w14:textId="77777777" w:rsidR="000400F7" w:rsidRDefault="000400F7" w:rsidP="000400F7">
      <w:pPr>
        <w:pStyle w:val="13"/>
      </w:pPr>
      <w:r>
        <w:rPr>
          <w:rFonts w:hint="eastAsia"/>
        </w:rPr>
        <w:t>采用比较法进行评估时，应在被征收房屋同一供求圈搜集成交时间一般不超过</w:t>
      </w:r>
      <w:r>
        <w:t>12个月的市场交易实例，并确定与估价对象的区位、公共配套设施、户型设计优劣、装修标准相当等相近的3个以上可比实例。可比实例所在的建设项目应为新建或者建成年限小于5年。</w:t>
      </w:r>
    </w:p>
    <w:p w14:paraId="20E8D2F3" w14:textId="77777777" w:rsidR="000400F7" w:rsidRDefault="000400F7" w:rsidP="000400F7">
      <w:pPr>
        <w:pStyle w:val="13"/>
      </w:pPr>
      <w:r>
        <w:rPr>
          <w:rFonts w:hint="eastAsia"/>
        </w:rPr>
        <w:t>本规范所称案例以建设项目为基本单位。（实例的均价可根据在售新楼盘均价，或已完成楼盘的二手房均价。）</w:t>
      </w:r>
    </w:p>
    <w:p w14:paraId="1EF16D73" w14:textId="77777777" w:rsidR="000400F7" w:rsidRDefault="000400F7" w:rsidP="000400F7">
      <w:pPr>
        <w:pStyle w:val="13"/>
      </w:pPr>
      <w:r>
        <w:rPr>
          <w:rFonts w:hint="eastAsia"/>
        </w:rPr>
        <w:t>（二）成本法</w:t>
      </w:r>
    </w:p>
    <w:p w14:paraId="2F009EF5" w14:textId="77777777" w:rsidR="000400F7" w:rsidRDefault="000400F7" w:rsidP="000400F7">
      <w:pPr>
        <w:pStyle w:val="13"/>
      </w:pPr>
      <w:r>
        <w:rPr>
          <w:rFonts w:hint="eastAsia"/>
        </w:rPr>
        <w:t>新建普通商品住宅的价格由普通商品住宅开发成本和开发利润构成。</w:t>
      </w:r>
    </w:p>
    <w:p w14:paraId="45DEF019" w14:textId="77777777" w:rsidR="000400F7" w:rsidRDefault="000400F7" w:rsidP="000400F7">
      <w:pPr>
        <w:pStyle w:val="13"/>
      </w:pPr>
      <w:r>
        <w:t>1.普通商品住宅的开发成本包括土地取得费用，平均建设成本、管理费用、投资</w:t>
      </w:r>
      <w:r>
        <w:rPr>
          <w:rFonts w:hint="eastAsia"/>
        </w:rPr>
        <w:t>利息、销售税费。</w:t>
      </w:r>
    </w:p>
    <w:p w14:paraId="14ADD9C8" w14:textId="77777777" w:rsidR="000400F7" w:rsidRDefault="000400F7" w:rsidP="000400F7">
      <w:pPr>
        <w:pStyle w:val="13"/>
      </w:pPr>
      <w:r>
        <w:t>2.土地取得费用的计算按《城镇土地估价规程》的相关规定进行计算确定。</w:t>
      </w:r>
    </w:p>
    <w:p w14:paraId="6C889A4E" w14:textId="77777777" w:rsidR="000400F7" w:rsidRDefault="000400F7" w:rsidP="000400F7">
      <w:pPr>
        <w:pStyle w:val="13"/>
      </w:pPr>
      <w:r>
        <w:lastRenderedPageBreak/>
        <w:t>3.建设成本包含勘查设计和前期工程费、基础设施建设费、房屋建筑安装工程费、公共配套设施费等费用。</w:t>
      </w:r>
    </w:p>
    <w:p w14:paraId="4F949B92" w14:textId="77777777" w:rsidR="000400F7" w:rsidRDefault="000400F7" w:rsidP="000400F7">
      <w:pPr>
        <w:pStyle w:val="13"/>
      </w:pPr>
      <w:r>
        <w:t>4.管理费用一般取值为土地取得成本和建设成本的3%-5%。</w:t>
      </w:r>
    </w:p>
    <w:p w14:paraId="132105FC" w14:textId="77777777" w:rsidR="000400F7" w:rsidRDefault="000400F7" w:rsidP="000400F7">
      <w:pPr>
        <w:pStyle w:val="13"/>
      </w:pPr>
      <w:r>
        <w:t>5.投资利息按中国人民银行公布的同期（一年期）贷款利率和合理的建设工期计</w:t>
      </w:r>
      <w:r>
        <w:rPr>
          <w:rFonts w:hint="eastAsia"/>
        </w:rPr>
        <w:t>算确定。</w:t>
      </w:r>
    </w:p>
    <w:p w14:paraId="74EF5522" w14:textId="77777777" w:rsidR="000400F7" w:rsidRDefault="000400F7" w:rsidP="000400F7">
      <w:pPr>
        <w:pStyle w:val="13"/>
      </w:pPr>
      <w:r>
        <w:t>6.销售税费包含销售费用、增值税、城市维护建设税、教育费附加。销售费用一般取值不高于销售收入的3%，增值税暂按预征3%计取，城市维护建设税、教育费附加按有关规定计取。</w:t>
      </w:r>
    </w:p>
    <w:p w14:paraId="1CA1E939" w14:textId="77777777" w:rsidR="000400F7" w:rsidRDefault="000400F7" w:rsidP="000400F7">
      <w:pPr>
        <w:pStyle w:val="13"/>
      </w:pPr>
      <w:r>
        <w:t>7.普通商品住宅的利润以销售利润率计算，一般取值15%-25%。</w:t>
      </w:r>
    </w:p>
    <w:p w14:paraId="0A7CEA88" w14:textId="77777777" w:rsidR="000400F7" w:rsidRDefault="000400F7" w:rsidP="000400F7">
      <w:pPr>
        <w:pStyle w:val="ab"/>
        <w:spacing w:before="62" w:after="62"/>
        <w:ind w:firstLine="482"/>
      </w:pPr>
      <w:r w:rsidRPr="00E05BDA">
        <w:rPr>
          <w:rFonts w:hint="eastAsia"/>
        </w:rPr>
        <w:t xml:space="preserve">第十八条 </w:t>
      </w:r>
      <w:r>
        <w:rPr>
          <w:rFonts w:hint="eastAsia"/>
        </w:rPr>
        <w:t>低容积率独立院落房屋的评估</w:t>
      </w:r>
    </w:p>
    <w:p w14:paraId="753E0712" w14:textId="77777777" w:rsidR="000400F7" w:rsidRDefault="000400F7" w:rsidP="000400F7">
      <w:pPr>
        <w:pStyle w:val="13"/>
      </w:pPr>
      <w:r>
        <w:rPr>
          <w:rFonts w:hint="eastAsia"/>
        </w:rPr>
        <w:t>对于按</w:t>
      </w:r>
      <w:proofErr w:type="gramStart"/>
      <w:r>
        <w:rPr>
          <w:rFonts w:hint="eastAsia"/>
        </w:rPr>
        <w:t>证载及</w:t>
      </w:r>
      <w:proofErr w:type="gramEnd"/>
      <w:r>
        <w:rPr>
          <w:rFonts w:hint="eastAsia"/>
        </w:rPr>
        <w:t>认定为合法的房产、土地面积计算容积率低于</w:t>
      </w:r>
      <w:r>
        <w:t>0.8的独立院落私有房屋，容积率在0.8（含）-0.7部分，每降低0.01，被征收房屋的评估价格增加1.5%；容积率低于0.7（含）部分，一般每降低0.01，被征收房屋的评估价格增加2%。以上修正系数累进计算。</w:t>
      </w:r>
    </w:p>
    <w:p w14:paraId="67A2290F" w14:textId="77777777" w:rsidR="000400F7" w:rsidRDefault="000400F7" w:rsidP="000400F7">
      <w:pPr>
        <w:pStyle w:val="13"/>
      </w:pPr>
      <w:r>
        <w:rPr>
          <w:rFonts w:hint="eastAsia"/>
        </w:rPr>
        <w:t>独立院落是指具有独用通道出入和独立土地、房产权属证书及认定为合法的低层私有住宅院落。</w:t>
      </w:r>
    </w:p>
    <w:p w14:paraId="530E1777" w14:textId="77777777" w:rsidR="000400F7" w:rsidRDefault="000400F7" w:rsidP="00AF7342">
      <w:pPr>
        <w:pStyle w:val="a9"/>
        <w:spacing w:before="62" w:after="62"/>
      </w:pPr>
      <w:r>
        <w:rPr>
          <w:rFonts w:hint="eastAsia"/>
        </w:rPr>
        <w:t>第四章 非住宅房屋的评估</w:t>
      </w:r>
    </w:p>
    <w:p w14:paraId="5EA7031A" w14:textId="77777777" w:rsidR="000400F7" w:rsidRDefault="000400F7" w:rsidP="000400F7">
      <w:pPr>
        <w:pStyle w:val="ab"/>
        <w:spacing w:before="62" w:after="62"/>
        <w:ind w:firstLine="482"/>
      </w:pPr>
      <w:r w:rsidRPr="00E05BDA">
        <w:rPr>
          <w:rFonts w:hint="eastAsia"/>
        </w:rPr>
        <w:t xml:space="preserve">第十九条 </w:t>
      </w:r>
      <w:r>
        <w:rPr>
          <w:rFonts w:hint="eastAsia"/>
        </w:rPr>
        <w:t>评估方法</w:t>
      </w:r>
    </w:p>
    <w:p w14:paraId="482ED23D" w14:textId="77777777" w:rsidR="000400F7" w:rsidRDefault="000400F7" w:rsidP="000400F7">
      <w:pPr>
        <w:pStyle w:val="13"/>
      </w:pPr>
      <w:r>
        <w:rPr>
          <w:rFonts w:hint="eastAsia"/>
        </w:rPr>
        <w:t>非住宅房屋的评估一般采用两种以上的评估方法进行评估。只能采用一种方法的，应当说明原因。评估时能采用比较法的应当优先采用比较法，凡有收益的房屋可采用收益法进行评估。</w:t>
      </w:r>
    </w:p>
    <w:p w14:paraId="4744472D" w14:textId="77777777" w:rsidR="000400F7" w:rsidRDefault="000400F7" w:rsidP="000400F7">
      <w:pPr>
        <w:pStyle w:val="13"/>
      </w:pPr>
      <w:r>
        <w:rPr>
          <w:rFonts w:hint="eastAsia"/>
        </w:rPr>
        <w:t>采用收益法评估时，房屋的收益、费用、报酬率的计算应当符合《房地产估价规范》的有关规定。</w:t>
      </w:r>
    </w:p>
    <w:p w14:paraId="216B5B19" w14:textId="77777777" w:rsidR="000400F7" w:rsidRDefault="000400F7" w:rsidP="000400F7">
      <w:pPr>
        <w:pStyle w:val="ab"/>
        <w:spacing w:before="62" w:after="62"/>
        <w:ind w:firstLine="482"/>
      </w:pPr>
      <w:r w:rsidRPr="00E05BDA">
        <w:rPr>
          <w:rFonts w:hint="eastAsia"/>
        </w:rPr>
        <w:t xml:space="preserve">第二十条 </w:t>
      </w:r>
      <w:r>
        <w:rPr>
          <w:rFonts w:hint="eastAsia"/>
        </w:rPr>
        <w:t>商业用房的评估</w:t>
      </w:r>
    </w:p>
    <w:p w14:paraId="2E928814" w14:textId="77777777" w:rsidR="000400F7" w:rsidRDefault="000400F7" w:rsidP="000400F7">
      <w:pPr>
        <w:pStyle w:val="13"/>
      </w:pPr>
      <w:r>
        <w:rPr>
          <w:rFonts w:hint="eastAsia"/>
        </w:rPr>
        <w:t>本条所述商业用房系指商业服务、旅游、金融保险、电讯信息等行业的经营用房。</w:t>
      </w:r>
    </w:p>
    <w:p w14:paraId="467B315F" w14:textId="77777777" w:rsidR="000400F7" w:rsidRDefault="000400F7" w:rsidP="000400F7">
      <w:pPr>
        <w:pStyle w:val="13"/>
      </w:pPr>
      <w:r>
        <w:rPr>
          <w:rFonts w:hint="eastAsia"/>
        </w:rPr>
        <w:t>采用比较法对商业用房进行评估时，选取的市场可比实例应为估价对象同一供求圈内，档次相当、权益性质相同，面积接近；选取的可比实例规模一般应当在估价对象规模的</w:t>
      </w:r>
      <w:r>
        <w:t>0.5-2倍范围内；交易日期原则上不超过一年；价值类型与所选用的估价方法匹配。</w:t>
      </w:r>
    </w:p>
    <w:p w14:paraId="7F21D5A3" w14:textId="77777777" w:rsidR="000400F7" w:rsidRDefault="000400F7" w:rsidP="000400F7">
      <w:pPr>
        <w:pStyle w:val="ab"/>
        <w:spacing w:before="62" w:after="62"/>
        <w:ind w:firstLine="482"/>
      </w:pPr>
      <w:r w:rsidRPr="00E05BDA">
        <w:rPr>
          <w:rFonts w:hint="eastAsia"/>
        </w:rPr>
        <w:t xml:space="preserve">第二十一条 </w:t>
      </w:r>
      <w:r>
        <w:rPr>
          <w:rFonts w:hint="eastAsia"/>
        </w:rPr>
        <w:t>办公用房的评估</w:t>
      </w:r>
    </w:p>
    <w:p w14:paraId="500DBD08" w14:textId="77777777" w:rsidR="000400F7" w:rsidRDefault="000400F7" w:rsidP="000400F7">
      <w:pPr>
        <w:pStyle w:val="13"/>
      </w:pPr>
      <w:r>
        <w:rPr>
          <w:rFonts w:hint="eastAsia"/>
        </w:rPr>
        <w:t>办公用房的评估按照办公房屋的规模、档次、设施设备等，可将办公用房划分为商务办公用房、行政办公用房、其他办公用房等。</w:t>
      </w:r>
    </w:p>
    <w:p w14:paraId="3A19CE9F" w14:textId="77777777" w:rsidR="000400F7" w:rsidRDefault="000400F7" w:rsidP="000400F7">
      <w:pPr>
        <w:pStyle w:val="13"/>
      </w:pPr>
      <w:r>
        <w:rPr>
          <w:rFonts w:hint="eastAsia"/>
        </w:rPr>
        <w:t>办公用房评估应当充分考虑其区位、建筑规模、楼宇档次、设施设备、车位配备、</w:t>
      </w:r>
      <w:r>
        <w:rPr>
          <w:rFonts w:hint="eastAsia"/>
        </w:rPr>
        <w:lastRenderedPageBreak/>
        <w:t>经营业态、物业管理水平等影响办公房屋价值的因素。</w:t>
      </w:r>
    </w:p>
    <w:p w14:paraId="0B188720" w14:textId="77777777" w:rsidR="000400F7" w:rsidRDefault="000400F7" w:rsidP="000400F7">
      <w:pPr>
        <w:pStyle w:val="13"/>
      </w:pPr>
      <w:r>
        <w:rPr>
          <w:rFonts w:hint="eastAsia"/>
        </w:rPr>
        <w:t>行政办公用房和独立办公楼宇，不能采用比较法和收益法进行评估的，可以采用成本法进行评估；评估时应当综合考虑建筑物和土地以及其设施设备相结合所形成的房地合一的价值，必要时应当做市场状况修正。</w:t>
      </w:r>
    </w:p>
    <w:p w14:paraId="4704968A" w14:textId="77777777" w:rsidR="000400F7" w:rsidRDefault="000400F7" w:rsidP="000400F7">
      <w:pPr>
        <w:pStyle w:val="ab"/>
        <w:spacing w:before="62" w:after="62"/>
        <w:ind w:firstLine="482"/>
      </w:pPr>
      <w:r w:rsidRPr="00E05BDA">
        <w:rPr>
          <w:rFonts w:hint="eastAsia"/>
        </w:rPr>
        <w:t xml:space="preserve">第二十二条 </w:t>
      </w:r>
      <w:r>
        <w:rPr>
          <w:rFonts w:hint="eastAsia"/>
        </w:rPr>
        <w:t>工业仓储用房的评估</w:t>
      </w:r>
    </w:p>
    <w:p w14:paraId="161003A7" w14:textId="77777777" w:rsidR="000400F7" w:rsidRDefault="000400F7" w:rsidP="000400F7">
      <w:pPr>
        <w:pStyle w:val="13"/>
      </w:pPr>
      <w:r>
        <w:rPr>
          <w:rFonts w:hint="eastAsia"/>
        </w:rPr>
        <w:t>按照工业仓储用房的区位、通用性、建筑规模、内部配套设施、用途等，可将工业用房划分为通用性工业用房和专业性工业用房、仓储性工业用房、办公性工业用房、企业总部基地等。</w:t>
      </w:r>
    </w:p>
    <w:p w14:paraId="7F68D722" w14:textId="77777777" w:rsidR="000400F7" w:rsidRDefault="000400F7" w:rsidP="000400F7">
      <w:pPr>
        <w:pStyle w:val="13"/>
      </w:pPr>
      <w:r>
        <w:rPr>
          <w:rFonts w:hint="eastAsia"/>
        </w:rPr>
        <w:t>工业用房能够采用比较法等方法评估的宜采用比较法等方法进行评估；采用成本法评估的，建筑物、构筑物、地上附着物和其他定着物采用成本法求取重置价值，土地使用权价值可采用基准地价修正法、成本逼近法和市场比较法求取。</w:t>
      </w:r>
    </w:p>
    <w:p w14:paraId="74123FC4" w14:textId="77777777" w:rsidR="000400F7" w:rsidRDefault="000400F7" w:rsidP="000400F7">
      <w:pPr>
        <w:pStyle w:val="13"/>
      </w:pPr>
      <w:r>
        <w:rPr>
          <w:rFonts w:hint="eastAsia"/>
        </w:rPr>
        <w:t>通用性工业用房、仓储性工业用房、办公性工业用房、企业总部基地工业用房，能够取得交易案例和市场租金的，可以采用比较法和收益法进行评估。</w:t>
      </w:r>
    </w:p>
    <w:p w14:paraId="7B252B53" w14:textId="77777777" w:rsidR="000400F7" w:rsidRDefault="000400F7" w:rsidP="000400F7">
      <w:pPr>
        <w:pStyle w:val="13"/>
      </w:pPr>
      <w:r>
        <w:rPr>
          <w:rFonts w:hint="eastAsia"/>
        </w:rPr>
        <w:t>第五章产权调换房屋的评估</w:t>
      </w:r>
    </w:p>
    <w:p w14:paraId="5BFC095C" w14:textId="77777777" w:rsidR="000400F7" w:rsidRDefault="000400F7" w:rsidP="000400F7">
      <w:pPr>
        <w:pStyle w:val="ab"/>
        <w:spacing w:before="62" w:after="62"/>
        <w:ind w:firstLine="482"/>
      </w:pPr>
      <w:r w:rsidRPr="00E05BDA">
        <w:rPr>
          <w:rFonts w:hint="eastAsia"/>
        </w:rPr>
        <w:t xml:space="preserve">第二十三条 </w:t>
      </w:r>
      <w:r>
        <w:rPr>
          <w:rFonts w:hint="eastAsia"/>
        </w:rPr>
        <w:t>分类及价值类型</w:t>
      </w:r>
    </w:p>
    <w:p w14:paraId="6EFFF226" w14:textId="77777777" w:rsidR="000400F7" w:rsidRDefault="000400F7" w:rsidP="000400F7">
      <w:pPr>
        <w:pStyle w:val="13"/>
      </w:pPr>
      <w:r>
        <w:rPr>
          <w:rFonts w:hint="eastAsia"/>
        </w:rPr>
        <w:t>用于产权调换的房屋包括已建成的现房和在建、待建的期房两种情形。</w:t>
      </w:r>
    </w:p>
    <w:p w14:paraId="6BF992F0" w14:textId="77777777" w:rsidR="000400F7" w:rsidRDefault="000400F7" w:rsidP="000400F7">
      <w:pPr>
        <w:pStyle w:val="13"/>
      </w:pPr>
      <w:r>
        <w:rPr>
          <w:rFonts w:hint="eastAsia"/>
        </w:rPr>
        <w:t>除政府对用于产权调换房屋价格有特别规定外，用于产权调换房屋的价值为公开市场价值。</w:t>
      </w:r>
    </w:p>
    <w:p w14:paraId="6086FA32" w14:textId="77777777" w:rsidR="000400F7" w:rsidRDefault="000400F7" w:rsidP="000400F7">
      <w:pPr>
        <w:pStyle w:val="ab"/>
        <w:spacing w:before="62" w:after="62"/>
        <w:ind w:firstLine="482"/>
      </w:pPr>
      <w:r w:rsidRPr="00E05BDA">
        <w:rPr>
          <w:rFonts w:hint="eastAsia"/>
        </w:rPr>
        <w:t xml:space="preserve">第二十四条 </w:t>
      </w:r>
      <w:r>
        <w:rPr>
          <w:rFonts w:hint="eastAsia"/>
        </w:rPr>
        <w:t>产权调换房屋评估的基本规定</w:t>
      </w:r>
    </w:p>
    <w:p w14:paraId="3539377E" w14:textId="77777777" w:rsidR="000400F7" w:rsidRDefault="000400F7" w:rsidP="000400F7">
      <w:pPr>
        <w:pStyle w:val="13"/>
      </w:pPr>
      <w:r>
        <w:rPr>
          <w:rFonts w:hint="eastAsia"/>
        </w:rPr>
        <w:t>用于产权调换的房屋为现房的，按《房地产估价规范》的相关规定进行价值评估。</w:t>
      </w:r>
    </w:p>
    <w:p w14:paraId="6F12A2C1" w14:textId="77777777" w:rsidR="000400F7" w:rsidRDefault="000400F7" w:rsidP="000400F7">
      <w:pPr>
        <w:pStyle w:val="13"/>
      </w:pPr>
      <w:r>
        <w:rPr>
          <w:rFonts w:hint="eastAsia"/>
        </w:rPr>
        <w:t>用于产权调换的房屋为期房的，评估时应当依据委托方提供的经规划部门批准的产权调换房屋规划设计方案等资料，假设评估对象在估价时点已按照房屋设计文件和房屋验收标准建成，采用比较法、收益法、成本法等评估方法评估估价对象的市场价值，并出具评估报告。</w:t>
      </w:r>
    </w:p>
    <w:p w14:paraId="38FAB8FB" w14:textId="77777777" w:rsidR="000400F7" w:rsidRDefault="000400F7" w:rsidP="000400F7">
      <w:pPr>
        <w:pStyle w:val="13"/>
      </w:pPr>
      <w:r>
        <w:rPr>
          <w:rFonts w:hint="eastAsia"/>
        </w:rPr>
        <w:t>产权调换房屋的评估结果为分户价格。评估时先评估</w:t>
      </w:r>
      <w:proofErr w:type="gramStart"/>
      <w:r>
        <w:rPr>
          <w:rFonts w:hint="eastAsia"/>
        </w:rPr>
        <w:t>基准楼</w:t>
      </w:r>
      <w:proofErr w:type="gramEnd"/>
      <w:r>
        <w:t xml:space="preserve"> 层的单价，进行楼层修正得出其他楼层的平均单价后，再根据各楼层各户的朝向、户型、面积等因素进行修正，计算得出各楼层的分户价格。</w:t>
      </w:r>
    </w:p>
    <w:p w14:paraId="05973A32" w14:textId="77777777" w:rsidR="000400F7" w:rsidRDefault="000400F7" w:rsidP="00AF7342">
      <w:pPr>
        <w:pStyle w:val="a9"/>
        <w:spacing w:before="62" w:after="62"/>
      </w:pPr>
      <w:r>
        <w:rPr>
          <w:rFonts w:hint="eastAsia"/>
        </w:rPr>
        <w:t>第六章 其他房屋的评估</w:t>
      </w:r>
    </w:p>
    <w:p w14:paraId="15A04ECF" w14:textId="77777777" w:rsidR="000400F7" w:rsidRDefault="000400F7" w:rsidP="000400F7">
      <w:pPr>
        <w:pStyle w:val="ab"/>
        <w:spacing w:before="62" w:after="62"/>
        <w:ind w:firstLine="482"/>
      </w:pPr>
      <w:r w:rsidRPr="00E05BDA">
        <w:rPr>
          <w:rFonts w:hint="eastAsia"/>
        </w:rPr>
        <w:t xml:space="preserve">第二十五条 </w:t>
      </w:r>
      <w:r>
        <w:rPr>
          <w:rFonts w:hint="eastAsia"/>
        </w:rPr>
        <w:t>其他房屋的分类及评估的基本规定</w:t>
      </w:r>
    </w:p>
    <w:p w14:paraId="41FC08FB" w14:textId="77777777" w:rsidR="000400F7" w:rsidRDefault="000400F7" w:rsidP="000400F7">
      <w:pPr>
        <w:pStyle w:val="13"/>
      </w:pPr>
      <w:r>
        <w:rPr>
          <w:rFonts w:hint="eastAsia"/>
        </w:rPr>
        <w:t>按照房地产的用途和实物状态，其他房屋包括：学校、医院、加油站、加气站、农贸市场、影剧院、游乐场馆、体育场馆、交通设施、公用设施等建筑。</w:t>
      </w:r>
    </w:p>
    <w:p w14:paraId="7CF15E58" w14:textId="77777777" w:rsidR="000400F7" w:rsidRDefault="000400F7" w:rsidP="000400F7">
      <w:pPr>
        <w:pStyle w:val="13"/>
      </w:pPr>
      <w:r>
        <w:rPr>
          <w:rFonts w:hint="eastAsia"/>
        </w:rPr>
        <w:t>上述房屋能够产生收益的，应当采用收益法进行评估；无法取得收益或者不能够产生收益的，可采用成本法进行评估。</w:t>
      </w:r>
    </w:p>
    <w:p w14:paraId="52BD5C04" w14:textId="77777777" w:rsidR="000400F7" w:rsidRDefault="000400F7" w:rsidP="000400F7">
      <w:pPr>
        <w:pStyle w:val="13"/>
      </w:pPr>
      <w:r>
        <w:rPr>
          <w:rFonts w:hint="eastAsia"/>
        </w:rPr>
        <w:lastRenderedPageBreak/>
        <w:t>加油站、加气站等在实际经营中存在特许经营权的房屋，采用收益法评估时，其收益价值中应当包含其特许经营权所带来的价值，但在客观收益中应扣除其行业平均利润。不含特许经营权的，可只采用成本法进行评估。估价报告应明确估价对象的价值类型和价值内涵。</w:t>
      </w:r>
    </w:p>
    <w:p w14:paraId="457FDDA5" w14:textId="77777777" w:rsidR="000400F7" w:rsidRDefault="000400F7" w:rsidP="00AF7342">
      <w:pPr>
        <w:pStyle w:val="a9"/>
        <w:spacing w:before="62" w:after="62"/>
      </w:pPr>
      <w:r>
        <w:rPr>
          <w:rFonts w:hint="eastAsia"/>
        </w:rPr>
        <w:t>第七章 被征收住宅房屋室内装饰装修价值评估</w:t>
      </w:r>
    </w:p>
    <w:p w14:paraId="5566D4C3" w14:textId="77777777" w:rsidR="000400F7" w:rsidRDefault="000400F7" w:rsidP="000400F7">
      <w:pPr>
        <w:pStyle w:val="ab"/>
        <w:spacing w:before="62" w:after="62"/>
        <w:ind w:firstLine="482"/>
      </w:pPr>
      <w:r w:rsidRPr="00E05BDA">
        <w:rPr>
          <w:rFonts w:hint="eastAsia"/>
        </w:rPr>
        <w:t xml:space="preserve">第二十六条 </w:t>
      </w:r>
      <w:r>
        <w:rPr>
          <w:rFonts w:hint="eastAsia"/>
        </w:rPr>
        <w:t>基本概念</w:t>
      </w:r>
    </w:p>
    <w:p w14:paraId="64FD242A" w14:textId="77777777" w:rsidR="000400F7" w:rsidRDefault="000400F7" w:rsidP="000400F7">
      <w:pPr>
        <w:pStyle w:val="13"/>
      </w:pPr>
      <w:r>
        <w:rPr>
          <w:rFonts w:hint="eastAsia"/>
        </w:rPr>
        <w:t>室内装饰装修是指建筑主体工程完工以后，为了满足使用功能的需求所进行的装饰、装修（如门、窗、栏杆、楼梯、隔断等配件的装设，墙面、柱梁、顶棚、地面、楼层等表面的修饰）。</w:t>
      </w:r>
    </w:p>
    <w:p w14:paraId="5E614B9A" w14:textId="77777777" w:rsidR="000400F7" w:rsidRDefault="000400F7" w:rsidP="000400F7">
      <w:pPr>
        <w:pStyle w:val="ab"/>
        <w:spacing w:before="62" w:after="62"/>
        <w:ind w:firstLine="482"/>
      </w:pPr>
      <w:r w:rsidRPr="00E05BDA">
        <w:t xml:space="preserve">第二十七条 </w:t>
      </w:r>
      <w:r>
        <w:t>评估方法</w:t>
      </w:r>
    </w:p>
    <w:p w14:paraId="559E45CF" w14:textId="77777777" w:rsidR="000400F7" w:rsidRDefault="000400F7" w:rsidP="000400F7">
      <w:pPr>
        <w:pStyle w:val="13"/>
      </w:pPr>
      <w:r>
        <w:rPr>
          <w:rFonts w:hint="eastAsia"/>
        </w:rPr>
        <w:t>被征收住宅房屋室内装饰装修价值评估采用成本法，即：房屋装饰装修补偿价格＝装饰装修项目重置价格×成新率。</w:t>
      </w:r>
    </w:p>
    <w:p w14:paraId="33E9017F" w14:textId="77777777" w:rsidR="000400F7" w:rsidRDefault="000400F7" w:rsidP="000400F7">
      <w:pPr>
        <w:pStyle w:val="13"/>
      </w:pPr>
      <w:r>
        <w:rPr>
          <w:rFonts w:hint="eastAsia"/>
        </w:rPr>
        <w:t>装饰装修项目重置价格根据实际装饰装修项目、用料、工程量、房屋装饰装修工程定额标准的有关规定及房屋装饰装修市场价格等评估确定。</w:t>
      </w:r>
    </w:p>
    <w:p w14:paraId="0CEB432D" w14:textId="77777777" w:rsidR="000400F7" w:rsidRDefault="000400F7" w:rsidP="000400F7">
      <w:pPr>
        <w:pStyle w:val="13"/>
      </w:pPr>
      <w:r>
        <w:rPr>
          <w:rFonts w:hint="eastAsia"/>
        </w:rPr>
        <w:t>住宅房屋室内装饰装修耐用年限一般为</w:t>
      </w:r>
      <w:r>
        <w:t>10年，估价师应当结合估价对象实际情况综合确定其成新率。</w:t>
      </w:r>
    </w:p>
    <w:p w14:paraId="387CC740" w14:textId="77777777" w:rsidR="000400F7" w:rsidRDefault="000400F7" w:rsidP="000400F7">
      <w:pPr>
        <w:pStyle w:val="13"/>
      </w:pPr>
      <w:r>
        <w:rPr>
          <w:rFonts w:hint="eastAsia"/>
        </w:rPr>
        <w:t>被征收房屋室内装饰装修折旧采用直线折旧法和实际观察法进行计算。一般情况下，装饰装修综合成新率不低于</w:t>
      </w:r>
      <w:r>
        <w:t>30%。</w:t>
      </w:r>
    </w:p>
    <w:p w14:paraId="25F4BB0B" w14:textId="77777777" w:rsidR="000400F7" w:rsidRDefault="000400F7" w:rsidP="000400F7">
      <w:pPr>
        <w:pStyle w:val="13"/>
      </w:pPr>
      <w:r>
        <w:rPr>
          <w:rFonts w:hint="eastAsia"/>
        </w:rPr>
        <w:t>第八章其他类型房屋评估及特殊事项处理</w:t>
      </w:r>
    </w:p>
    <w:p w14:paraId="38B851D7" w14:textId="77777777" w:rsidR="000400F7" w:rsidRDefault="000400F7" w:rsidP="000400F7">
      <w:pPr>
        <w:pStyle w:val="ab"/>
        <w:spacing w:before="62" w:after="62"/>
        <w:ind w:firstLine="482"/>
      </w:pPr>
      <w:r w:rsidRPr="00E05BDA">
        <w:rPr>
          <w:rFonts w:hint="eastAsia"/>
        </w:rPr>
        <w:t xml:space="preserve">第二十八条 </w:t>
      </w:r>
      <w:r>
        <w:rPr>
          <w:rFonts w:hint="eastAsia"/>
        </w:rPr>
        <w:t>在建工程的评估</w:t>
      </w:r>
    </w:p>
    <w:p w14:paraId="12286B77" w14:textId="77777777" w:rsidR="000400F7" w:rsidRDefault="000400F7" w:rsidP="000400F7">
      <w:pPr>
        <w:pStyle w:val="13"/>
      </w:pPr>
      <w:r>
        <w:rPr>
          <w:rFonts w:hint="eastAsia"/>
        </w:rPr>
        <w:t>在建工程可采用假设开发法或成本法评估，以政府管理部门批准的规划用途、参数或规划设计方案等进行评估，工程建设进度以政府管理部门通知停止施工时的状态为准。</w:t>
      </w:r>
    </w:p>
    <w:p w14:paraId="33AF7D36" w14:textId="77777777" w:rsidR="000400F7" w:rsidRDefault="000400F7" w:rsidP="000400F7">
      <w:pPr>
        <w:pStyle w:val="ab"/>
        <w:spacing w:before="62" w:after="62"/>
        <w:ind w:firstLine="482"/>
      </w:pPr>
      <w:r w:rsidRPr="00E05BDA">
        <w:rPr>
          <w:rFonts w:hint="eastAsia"/>
        </w:rPr>
        <w:t xml:space="preserve">第二十九条 </w:t>
      </w:r>
      <w:r>
        <w:rPr>
          <w:rFonts w:hint="eastAsia"/>
        </w:rPr>
        <w:t>临时建筑的评估</w:t>
      </w:r>
    </w:p>
    <w:p w14:paraId="6E63574F" w14:textId="77777777" w:rsidR="000400F7" w:rsidRDefault="000400F7" w:rsidP="000400F7">
      <w:pPr>
        <w:pStyle w:val="13"/>
      </w:pPr>
      <w:r>
        <w:rPr>
          <w:rFonts w:hint="eastAsia"/>
        </w:rPr>
        <w:t>临时建筑采用成本法评估。</w:t>
      </w:r>
    </w:p>
    <w:p w14:paraId="7419519B" w14:textId="77777777" w:rsidR="000400F7" w:rsidRDefault="000400F7" w:rsidP="000400F7">
      <w:pPr>
        <w:pStyle w:val="13"/>
      </w:pPr>
      <w:r>
        <w:rPr>
          <w:rFonts w:hint="eastAsia"/>
        </w:rPr>
        <w:t>临时建筑的价值根据工程成本费用结合剩余使用年限评估确定。</w:t>
      </w:r>
    </w:p>
    <w:p w14:paraId="0A5C9455" w14:textId="77777777" w:rsidR="000400F7" w:rsidRDefault="000400F7" w:rsidP="000400F7">
      <w:pPr>
        <w:pStyle w:val="13"/>
      </w:pPr>
      <w:r>
        <w:rPr>
          <w:rFonts w:hint="eastAsia"/>
        </w:rPr>
        <w:t>临时建筑评估价值</w:t>
      </w:r>
      <w:r>
        <w:t>=工程成本费用×剩余使用年限/批准使用年限。</w:t>
      </w:r>
    </w:p>
    <w:p w14:paraId="1CB33F72" w14:textId="77777777" w:rsidR="000400F7" w:rsidRDefault="000400F7" w:rsidP="000400F7">
      <w:pPr>
        <w:pStyle w:val="ab"/>
        <w:spacing w:before="62" w:after="62"/>
        <w:ind w:firstLine="482"/>
      </w:pPr>
      <w:r w:rsidRPr="00E05BDA">
        <w:t xml:space="preserve">第三十条 </w:t>
      </w:r>
      <w:r>
        <w:t>其他非住宅征收评估问题处理</w:t>
      </w:r>
    </w:p>
    <w:p w14:paraId="2395C598" w14:textId="77777777" w:rsidR="000400F7" w:rsidRDefault="000400F7" w:rsidP="000400F7">
      <w:pPr>
        <w:pStyle w:val="13"/>
      </w:pPr>
      <w:r>
        <w:rPr>
          <w:rFonts w:hint="eastAsia"/>
        </w:rPr>
        <w:t>（一）评估机构可以接受房屋征收部门委托，对大型、特殊机器设备的迁移费进行评估。机器设备迁移费评估的主要内容包括：因征收房屋造成的可恢复使用机器设备的拆卸、搬运和安装费用，无法恢复使用机器设备的价值。当在估价中遇有难以解决的复杂、疑难、特殊的估价技术问题时，可寻求相关专家或单位提供专业帮助，再</w:t>
      </w:r>
      <w:r>
        <w:rPr>
          <w:rFonts w:hint="eastAsia"/>
        </w:rPr>
        <w:lastRenderedPageBreak/>
        <w:t>以相关专家或单位出具的专家意见为依据进行估价，并在估价报告中进行说明。</w:t>
      </w:r>
    </w:p>
    <w:p w14:paraId="43CA0F24" w14:textId="77777777" w:rsidR="000400F7" w:rsidRDefault="000400F7" w:rsidP="000400F7">
      <w:pPr>
        <w:pStyle w:val="13"/>
      </w:pPr>
      <w:r>
        <w:rPr>
          <w:rFonts w:hint="eastAsia"/>
        </w:rPr>
        <w:t>（二）关于划拨土地的处理</w:t>
      </w:r>
    </w:p>
    <w:p w14:paraId="39B3B763" w14:textId="77777777" w:rsidR="000400F7" w:rsidRDefault="000400F7" w:rsidP="000400F7">
      <w:pPr>
        <w:pStyle w:val="13"/>
      </w:pPr>
      <w:r>
        <w:rPr>
          <w:rFonts w:hint="eastAsia"/>
        </w:rPr>
        <w:t>征收评估时涉及的被征收非住宅房屋的合法用地为划拨时，应将其占用的合法用地国有土地使用权中包含的政府收益部分予以扣除，政府收益的计算标准按有关规定执行。</w:t>
      </w:r>
    </w:p>
    <w:p w14:paraId="3E8F2C9A" w14:textId="77777777" w:rsidR="000400F7" w:rsidRDefault="000400F7" w:rsidP="000400F7">
      <w:pPr>
        <w:pStyle w:val="13"/>
      </w:pPr>
      <w:r>
        <w:rPr>
          <w:rFonts w:hint="eastAsia"/>
        </w:rPr>
        <w:t>（三）关于房屋所有权证、土地使用证</w:t>
      </w:r>
      <w:proofErr w:type="gramStart"/>
      <w:r>
        <w:rPr>
          <w:rFonts w:hint="eastAsia"/>
        </w:rPr>
        <w:t>证</w:t>
      </w:r>
      <w:proofErr w:type="gramEnd"/>
      <w:r>
        <w:rPr>
          <w:rFonts w:hint="eastAsia"/>
        </w:rPr>
        <w:t>载用途及实际用途不相一致情况的处理</w:t>
      </w:r>
    </w:p>
    <w:p w14:paraId="15AEEF68" w14:textId="77777777" w:rsidR="000400F7" w:rsidRDefault="000400F7" w:rsidP="000400F7">
      <w:pPr>
        <w:pStyle w:val="13"/>
      </w:pPr>
      <w:r>
        <w:t>1.若土地证载用途与</w:t>
      </w:r>
      <w:proofErr w:type="gramStart"/>
      <w:r>
        <w:t>房产证载用途</w:t>
      </w:r>
      <w:proofErr w:type="gramEnd"/>
      <w:r>
        <w:t>不一致，但房产证或土地使用证</w:t>
      </w:r>
      <w:proofErr w:type="gramStart"/>
      <w:r>
        <w:t>证</w:t>
      </w:r>
      <w:proofErr w:type="gramEnd"/>
      <w:r>
        <w:t>载用途与实际用途一致，可按</w:t>
      </w:r>
      <w:proofErr w:type="gramStart"/>
      <w:r>
        <w:t>房产证载或</w:t>
      </w:r>
      <w:proofErr w:type="gramEnd"/>
      <w:r>
        <w:t>土地使用证</w:t>
      </w:r>
      <w:proofErr w:type="gramStart"/>
      <w:r>
        <w:t>证</w:t>
      </w:r>
      <w:proofErr w:type="gramEnd"/>
      <w:r>
        <w:t>载用途评估。</w:t>
      </w:r>
    </w:p>
    <w:p w14:paraId="73232BFD" w14:textId="77777777" w:rsidR="000400F7" w:rsidRDefault="000400F7" w:rsidP="000400F7">
      <w:pPr>
        <w:pStyle w:val="13"/>
      </w:pPr>
      <w:r>
        <w:t>2.若土地证载用途、房产证</w:t>
      </w:r>
      <w:proofErr w:type="gramStart"/>
      <w:r>
        <w:t>证</w:t>
      </w:r>
      <w:proofErr w:type="gramEnd"/>
      <w:r>
        <w:t>载用途、房产实际用途均不一致，可按照最高最佳使用原则合理确定一种用途进行评估，评估时被征收房屋的补偿价值应从所评估的房地产市场价值中扣除按最高最佳使用原则确定的土地用途评估的价格与按土地证载用途的土地评估价格的用途差额。</w:t>
      </w:r>
    </w:p>
    <w:p w14:paraId="275B867E" w14:textId="77777777" w:rsidR="000400F7" w:rsidRDefault="000400F7" w:rsidP="000400F7">
      <w:pPr>
        <w:pStyle w:val="13"/>
      </w:pPr>
      <w:r>
        <w:t>（四）关于房屋所有权人和土地使用权人不一致的处理</w:t>
      </w:r>
    </w:p>
    <w:p w14:paraId="7D4353BB" w14:textId="77777777" w:rsidR="000400F7" w:rsidRDefault="000400F7" w:rsidP="000400F7">
      <w:pPr>
        <w:pStyle w:val="13"/>
      </w:pPr>
      <w:r>
        <w:rPr>
          <w:rFonts w:hint="eastAsia"/>
        </w:rPr>
        <w:t>对于房屋所有权人和土地使用权人不一致，并双方对分割无争议的，应采取合理的方式分割房屋和土地的价值。</w:t>
      </w:r>
    </w:p>
    <w:p w14:paraId="1AF02379" w14:textId="77777777" w:rsidR="000400F7" w:rsidRDefault="000400F7" w:rsidP="000400F7">
      <w:pPr>
        <w:pStyle w:val="13"/>
      </w:pPr>
      <w:r>
        <w:rPr>
          <w:rFonts w:hint="eastAsia"/>
        </w:rPr>
        <w:t>（五）非住宅房屋土地使用权面积分摊方法</w:t>
      </w:r>
    </w:p>
    <w:p w14:paraId="098D9A39" w14:textId="77777777" w:rsidR="000400F7" w:rsidRDefault="000400F7" w:rsidP="000400F7">
      <w:pPr>
        <w:pStyle w:val="13"/>
      </w:pPr>
      <w:r>
        <w:rPr>
          <w:rFonts w:hint="eastAsia"/>
        </w:rPr>
        <w:t>被征收非住宅房屋没有单独土地使用权证的，评估时其占用的土地使用权面积按照实际容积率进行分摊。</w:t>
      </w:r>
    </w:p>
    <w:p w14:paraId="18623834" w14:textId="77777777" w:rsidR="000400F7" w:rsidRDefault="000400F7" w:rsidP="000400F7">
      <w:pPr>
        <w:pStyle w:val="13"/>
      </w:pPr>
      <w:r>
        <w:rPr>
          <w:rFonts w:hint="eastAsia"/>
        </w:rPr>
        <w:t>不适合用实际容积率分摊被征收房屋占地面积的，可按以下方式处理：</w:t>
      </w:r>
      <w:r>
        <w:t>1.若非住宅房屋为单层，可按容积率0.8计算其占用的土地使用权面积；2.若非住宅房屋为2层，可按容积率1.0计算其占用的土地使用权面积；3.若非住宅房屋为3层及以上，可按容积率1.3-1.5计算其占用的土地使用权面积。</w:t>
      </w:r>
    </w:p>
    <w:p w14:paraId="0B12DEE9" w14:textId="77777777" w:rsidR="000400F7" w:rsidRDefault="000400F7" w:rsidP="000400F7">
      <w:pPr>
        <w:pStyle w:val="13"/>
      </w:pPr>
      <w:r>
        <w:rPr>
          <w:rFonts w:hint="eastAsia"/>
        </w:rPr>
        <w:t>（六）未登记建筑的评估</w:t>
      </w:r>
    </w:p>
    <w:p w14:paraId="6DFE5713" w14:textId="77777777" w:rsidR="000400F7" w:rsidRDefault="000400F7" w:rsidP="000400F7">
      <w:pPr>
        <w:pStyle w:val="13"/>
      </w:pPr>
      <w:r>
        <w:rPr>
          <w:rFonts w:hint="eastAsia"/>
        </w:rPr>
        <w:t>对于尚未进行产权登记的房屋，须以依法出具的认定结果为产权依据进行评估。违章建筑和超过批准期限的临时建筑不予评估。</w:t>
      </w:r>
    </w:p>
    <w:p w14:paraId="515F6A37" w14:textId="77777777" w:rsidR="000400F7" w:rsidRDefault="000400F7" w:rsidP="00AF7342">
      <w:pPr>
        <w:pStyle w:val="a9"/>
        <w:spacing w:before="62" w:after="62"/>
      </w:pPr>
      <w:r>
        <w:rPr>
          <w:rFonts w:hint="eastAsia"/>
        </w:rPr>
        <w:t>第九章 附则</w:t>
      </w:r>
    </w:p>
    <w:p w14:paraId="547A92A0" w14:textId="77777777" w:rsidR="000400F7" w:rsidRDefault="000400F7" w:rsidP="000400F7">
      <w:pPr>
        <w:pStyle w:val="ab"/>
        <w:spacing w:before="62" w:after="62"/>
        <w:ind w:firstLine="482"/>
      </w:pPr>
      <w:r w:rsidRPr="003B2FB1">
        <w:rPr>
          <w:rFonts w:hint="eastAsia"/>
        </w:rPr>
        <w:t xml:space="preserve">第三十一条 </w:t>
      </w:r>
      <w:r>
        <w:rPr>
          <w:rFonts w:hint="eastAsia"/>
        </w:rPr>
        <w:t>职业道德</w:t>
      </w:r>
    </w:p>
    <w:p w14:paraId="7D57EB5F" w14:textId="77777777" w:rsidR="000400F7" w:rsidRDefault="000400F7" w:rsidP="000400F7">
      <w:pPr>
        <w:pStyle w:val="13"/>
      </w:pPr>
      <w:r>
        <w:rPr>
          <w:rFonts w:hint="eastAsia"/>
        </w:rPr>
        <w:t>房地产评估人员和评估机构对委托人提供的情况和资料应当保守秘密。</w:t>
      </w:r>
    </w:p>
    <w:p w14:paraId="30EDA741" w14:textId="77777777" w:rsidR="000400F7" w:rsidRDefault="000400F7" w:rsidP="000400F7">
      <w:pPr>
        <w:pStyle w:val="13"/>
      </w:pPr>
      <w:r>
        <w:rPr>
          <w:rFonts w:hint="eastAsia"/>
        </w:rPr>
        <w:t>房地产评估人员和评估机构应坚持独立、客观、公正原则，不得出具虚假评估报告。</w:t>
      </w:r>
    </w:p>
    <w:p w14:paraId="28363950" w14:textId="77777777" w:rsidR="000400F7" w:rsidRDefault="000400F7" w:rsidP="000400F7">
      <w:pPr>
        <w:pStyle w:val="13"/>
      </w:pPr>
      <w:r>
        <w:rPr>
          <w:rFonts w:hint="eastAsia"/>
        </w:rPr>
        <w:t>征收补偿评估涉及两个以上评估机构的，房地产评估人员和评估机构之间应相互尊重，并可以就评估的有关事项进行沟通交流，不得有诋毁、贬低他人的言行。</w:t>
      </w:r>
    </w:p>
    <w:p w14:paraId="43417D97" w14:textId="77777777" w:rsidR="000400F7" w:rsidRDefault="000400F7" w:rsidP="000400F7">
      <w:pPr>
        <w:pStyle w:val="13"/>
      </w:pPr>
      <w:r>
        <w:rPr>
          <w:rFonts w:hint="eastAsia"/>
        </w:rPr>
        <w:t>房地产评估人员和评估机构不得允许他人借用自己名义从事征收补偿评估业务。</w:t>
      </w:r>
    </w:p>
    <w:p w14:paraId="427BE74B" w14:textId="77777777" w:rsidR="000400F7" w:rsidRDefault="000400F7" w:rsidP="000400F7">
      <w:pPr>
        <w:pStyle w:val="13"/>
      </w:pPr>
      <w:r>
        <w:rPr>
          <w:rFonts w:hint="eastAsia"/>
        </w:rPr>
        <w:t>评估机构应执行国家物价部门或政府相关部门规定的评估收费标准，不得以不</w:t>
      </w:r>
      <w:r>
        <w:rPr>
          <w:rFonts w:hint="eastAsia"/>
        </w:rPr>
        <w:lastRenderedPageBreak/>
        <w:t>正当理由或名目收取额外费用，也不得降低收费标准，进行不正当竞争。</w:t>
      </w:r>
    </w:p>
    <w:p w14:paraId="2664EF21" w14:textId="77777777" w:rsidR="000400F7" w:rsidRDefault="000400F7" w:rsidP="000400F7">
      <w:pPr>
        <w:pStyle w:val="ab"/>
        <w:spacing w:before="62" w:after="62"/>
        <w:ind w:firstLine="482"/>
      </w:pPr>
      <w:r w:rsidRPr="003B2FB1">
        <w:rPr>
          <w:rFonts w:hint="eastAsia"/>
        </w:rPr>
        <w:t xml:space="preserve">第三十二条 </w:t>
      </w:r>
      <w:r>
        <w:rPr>
          <w:rFonts w:hint="eastAsia"/>
        </w:rPr>
        <w:t>其它</w:t>
      </w:r>
    </w:p>
    <w:p w14:paraId="09369863" w14:textId="77777777" w:rsidR="000400F7" w:rsidRDefault="000400F7" w:rsidP="000400F7">
      <w:pPr>
        <w:pStyle w:val="13"/>
      </w:pPr>
      <w:r>
        <w:rPr>
          <w:rFonts w:hint="eastAsia"/>
        </w:rPr>
        <w:t>本规范将“评估”与“估价”作为同义词来使用。本规范未作规定的，应按照国家、省市等有关评估规定执行。征收评估报告不适用于房屋征收补偿目的以外的其他任何用途。</w:t>
      </w:r>
    </w:p>
    <w:p w14:paraId="0E80C7D0" w14:textId="77777777" w:rsidR="000400F7" w:rsidRDefault="000400F7" w:rsidP="000400F7">
      <w:pPr>
        <w:pStyle w:val="ab"/>
        <w:spacing w:before="62" w:after="62"/>
        <w:ind w:firstLine="482"/>
      </w:pPr>
      <w:r w:rsidRPr="003B2FB1">
        <w:rPr>
          <w:rFonts w:hint="eastAsia"/>
        </w:rPr>
        <w:t xml:space="preserve">第三十三条 </w:t>
      </w:r>
      <w:r>
        <w:rPr>
          <w:rFonts w:hint="eastAsia"/>
        </w:rPr>
        <w:t>解释部门</w:t>
      </w:r>
    </w:p>
    <w:p w14:paraId="7D7E32BA" w14:textId="77777777" w:rsidR="000400F7" w:rsidRDefault="000400F7" w:rsidP="000400F7">
      <w:pPr>
        <w:pStyle w:val="13"/>
      </w:pPr>
      <w:r>
        <w:rPr>
          <w:rFonts w:hint="eastAsia"/>
        </w:rPr>
        <w:t>本规范由济南市住房和城乡建设局及济南市国有土地上房屋征收和拆迁评估专家委员会负责解释。</w:t>
      </w:r>
    </w:p>
    <w:p w14:paraId="6D6D044D" w14:textId="77777777" w:rsidR="000400F7" w:rsidRDefault="000400F7" w:rsidP="000400F7">
      <w:pPr>
        <w:pStyle w:val="ab"/>
        <w:spacing w:before="62" w:after="62"/>
        <w:ind w:firstLine="482"/>
      </w:pPr>
      <w:r w:rsidRPr="003B2FB1">
        <w:rPr>
          <w:rFonts w:hint="eastAsia"/>
        </w:rPr>
        <w:t xml:space="preserve">第三十四条 </w:t>
      </w:r>
      <w:r>
        <w:rPr>
          <w:rFonts w:hint="eastAsia"/>
        </w:rPr>
        <w:t>适用范围说明</w:t>
      </w:r>
    </w:p>
    <w:p w14:paraId="0A4AEC32" w14:textId="77777777" w:rsidR="000400F7" w:rsidRDefault="000400F7" w:rsidP="000400F7">
      <w:pPr>
        <w:pStyle w:val="13"/>
      </w:pPr>
      <w:r>
        <w:rPr>
          <w:rFonts w:hint="eastAsia"/>
        </w:rPr>
        <w:t>本市</w:t>
      </w:r>
      <w:proofErr w:type="gramStart"/>
      <w:r>
        <w:rPr>
          <w:rFonts w:hint="eastAsia"/>
        </w:rPr>
        <w:t>市辖区含历下区</w:t>
      </w:r>
      <w:proofErr w:type="gramEnd"/>
      <w:r>
        <w:rPr>
          <w:rFonts w:hint="eastAsia"/>
        </w:rPr>
        <w:t>、市中区、槐荫区、天桥区、历城区、长清区、章丘区、济阳区、莱芜区、钢城区、高新技术产业开发区。商河县、平阴县参照执行。</w:t>
      </w:r>
    </w:p>
    <w:p w14:paraId="7753F521" w14:textId="77777777" w:rsidR="000400F7" w:rsidRDefault="000400F7" w:rsidP="000400F7">
      <w:pPr>
        <w:pStyle w:val="ab"/>
        <w:spacing w:before="62" w:after="62"/>
        <w:ind w:firstLine="482"/>
      </w:pPr>
      <w:r w:rsidRPr="003B2FB1">
        <w:rPr>
          <w:rFonts w:hint="eastAsia"/>
        </w:rPr>
        <w:t xml:space="preserve">第三十五条 </w:t>
      </w:r>
      <w:r>
        <w:rPr>
          <w:rFonts w:hint="eastAsia"/>
        </w:rPr>
        <w:t>实施时间</w:t>
      </w:r>
    </w:p>
    <w:p w14:paraId="6AEFF151" w14:textId="77777777" w:rsidR="000400F7" w:rsidRDefault="000400F7" w:rsidP="000400F7">
      <w:pPr>
        <w:pStyle w:val="13"/>
      </w:pPr>
      <w:r>
        <w:rPr>
          <w:rFonts w:hint="eastAsia"/>
        </w:rPr>
        <w:t>本规范自</w:t>
      </w:r>
      <w:r>
        <w:t>2019年7月30日起施行，原《济南市国有土地上房屋征收评估技术规范》（试行）（</w:t>
      </w:r>
      <w:proofErr w:type="gramStart"/>
      <w:r>
        <w:t>济建发</w:t>
      </w:r>
      <w:proofErr w:type="gramEnd"/>
      <w:r>
        <w:t>〔2013〕15号）同时废 止。本规范施行前已依法</w:t>
      </w:r>
      <w:proofErr w:type="gramStart"/>
      <w:r>
        <w:t>作出</w:t>
      </w:r>
      <w:proofErr w:type="gramEnd"/>
      <w:r>
        <w:t>房屋征收决定</w:t>
      </w:r>
      <w:r>
        <w:rPr>
          <w:rFonts w:hint="eastAsia"/>
        </w:rPr>
        <w:t>的项目，继续沿用原有规定。</w:t>
      </w:r>
    </w:p>
    <w:p w14:paraId="120993DC" w14:textId="77777777" w:rsidR="000400F7" w:rsidRDefault="000400F7" w:rsidP="000400F7">
      <w:pPr>
        <w:pStyle w:val="13"/>
      </w:pPr>
      <w:r>
        <w:rPr>
          <w:rFonts w:hint="eastAsia"/>
        </w:rPr>
        <w:t>附件：</w:t>
      </w:r>
      <w:r>
        <w:t>1.评估</w:t>
      </w:r>
      <w:proofErr w:type="gramStart"/>
      <w:r>
        <w:t>基准房</w:t>
      </w:r>
      <w:proofErr w:type="gramEnd"/>
      <w:r>
        <w:t>的结构、套型调整系数</w:t>
      </w:r>
    </w:p>
    <w:p w14:paraId="147A13E6" w14:textId="77777777" w:rsidR="000400F7" w:rsidRDefault="000400F7" w:rsidP="000400F7">
      <w:pPr>
        <w:pStyle w:val="13"/>
        <w:ind w:firstLineChars="500" w:firstLine="1200"/>
      </w:pPr>
      <w:r>
        <w:t>2.被征收房屋楼层、朝向、成新调整系数</w:t>
      </w:r>
    </w:p>
    <w:p w14:paraId="2A5A2224" w14:textId="77777777" w:rsidR="000400F7" w:rsidRDefault="000400F7" w:rsidP="000400F7">
      <w:pPr>
        <w:pStyle w:val="13"/>
        <w:ind w:firstLineChars="500" w:firstLine="1200"/>
      </w:pPr>
      <w:r>
        <w:t>3.住宅房屋产权调换房屋调整系数</w:t>
      </w:r>
    </w:p>
    <w:p w14:paraId="5EDC92C5" w14:textId="77777777" w:rsidR="000400F7" w:rsidRDefault="000400F7" w:rsidP="000400F7">
      <w:pPr>
        <w:pStyle w:val="13"/>
      </w:pPr>
      <w:r>
        <w:rPr>
          <w:rFonts w:hint="eastAsia"/>
        </w:rPr>
        <w:t>附件</w:t>
      </w:r>
      <w:r>
        <w:t xml:space="preserve"> 1</w:t>
      </w:r>
    </w:p>
    <w:p w14:paraId="4EF78BA6" w14:textId="77777777" w:rsidR="000400F7" w:rsidRDefault="000400F7" w:rsidP="000400F7">
      <w:pPr>
        <w:pStyle w:val="a7"/>
        <w:spacing w:line="381" w:lineRule="auto"/>
        <w:ind w:right="1414" w:firstLine="480"/>
        <w:jc w:val="center"/>
        <w:rPr>
          <w:b/>
          <w:bCs/>
        </w:rPr>
      </w:pPr>
      <w:r>
        <w:rPr>
          <w:rFonts w:hint="eastAsia"/>
          <w:b/>
          <w:bCs/>
        </w:rPr>
        <w:t>评估</w:t>
      </w:r>
      <w:proofErr w:type="gramStart"/>
      <w:r>
        <w:rPr>
          <w:rFonts w:hint="eastAsia"/>
          <w:b/>
          <w:bCs/>
        </w:rPr>
        <w:t>基准房</w:t>
      </w:r>
      <w:proofErr w:type="gramEnd"/>
      <w:r>
        <w:rPr>
          <w:rFonts w:hint="eastAsia"/>
          <w:b/>
          <w:bCs/>
        </w:rPr>
        <w:t>的结构、套型调整系数</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6"/>
        <w:gridCol w:w="1985"/>
        <w:gridCol w:w="2412"/>
        <w:gridCol w:w="1718"/>
        <w:gridCol w:w="1473"/>
      </w:tblGrid>
      <w:tr w:rsidR="000400F7" w:rsidRPr="00E73797" w14:paraId="42B3D9FD" w14:textId="77777777" w:rsidTr="00C41313">
        <w:trPr>
          <w:trHeight w:val="454"/>
          <w:jc w:val="center"/>
        </w:trPr>
        <w:tc>
          <w:tcPr>
            <w:tcW w:w="646" w:type="pct"/>
            <w:tcBorders>
              <w:top w:val="single" w:sz="6" w:space="0" w:color="000000"/>
              <w:left w:val="single" w:sz="6" w:space="0" w:color="000000"/>
            </w:tcBorders>
            <w:vAlign w:val="center"/>
          </w:tcPr>
          <w:p w14:paraId="09B5315B"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简易结构</w:t>
            </w:r>
          </w:p>
        </w:tc>
        <w:tc>
          <w:tcPr>
            <w:tcW w:w="1139" w:type="pct"/>
            <w:tcBorders>
              <w:top w:val="single" w:sz="6" w:space="0" w:color="000000"/>
            </w:tcBorders>
            <w:vAlign w:val="center"/>
          </w:tcPr>
          <w:p w14:paraId="07331F91"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其他等级砖木平房</w:t>
            </w:r>
          </w:p>
        </w:tc>
        <w:tc>
          <w:tcPr>
            <w:tcW w:w="1384" w:type="pct"/>
            <w:tcBorders>
              <w:top w:val="single" w:sz="6" w:space="0" w:color="000000"/>
            </w:tcBorders>
            <w:vAlign w:val="center"/>
          </w:tcPr>
          <w:p w14:paraId="4F4EB74C"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砖混平房、砖木一等平房</w:t>
            </w:r>
          </w:p>
        </w:tc>
        <w:tc>
          <w:tcPr>
            <w:tcW w:w="986" w:type="pct"/>
            <w:tcBorders>
              <w:top w:val="single" w:sz="6" w:space="0" w:color="000000"/>
            </w:tcBorders>
            <w:vAlign w:val="center"/>
          </w:tcPr>
          <w:p w14:paraId="19DAAC3D"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非成套单元楼房</w:t>
            </w:r>
          </w:p>
        </w:tc>
        <w:tc>
          <w:tcPr>
            <w:tcW w:w="845" w:type="pct"/>
            <w:tcBorders>
              <w:top w:val="single" w:sz="6" w:space="0" w:color="000000"/>
              <w:right w:val="single" w:sz="6" w:space="0" w:color="000000"/>
            </w:tcBorders>
            <w:vAlign w:val="center"/>
          </w:tcPr>
          <w:p w14:paraId="750E5A87"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成套单元楼房</w:t>
            </w:r>
          </w:p>
        </w:tc>
      </w:tr>
      <w:tr w:rsidR="000400F7" w:rsidRPr="00E73797" w14:paraId="56DB0184" w14:textId="77777777" w:rsidTr="00C41313">
        <w:trPr>
          <w:trHeight w:val="454"/>
          <w:jc w:val="center"/>
        </w:trPr>
        <w:tc>
          <w:tcPr>
            <w:tcW w:w="646" w:type="pct"/>
            <w:tcBorders>
              <w:left w:val="single" w:sz="6" w:space="0" w:color="000000"/>
              <w:bottom w:val="single" w:sz="6" w:space="0" w:color="000000"/>
            </w:tcBorders>
            <w:vAlign w:val="center"/>
          </w:tcPr>
          <w:p w14:paraId="08BE9CF3"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0.95</w:t>
            </w:r>
          </w:p>
        </w:tc>
        <w:tc>
          <w:tcPr>
            <w:tcW w:w="1139" w:type="pct"/>
            <w:tcBorders>
              <w:bottom w:val="single" w:sz="6" w:space="0" w:color="000000"/>
            </w:tcBorders>
            <w:vAlign w:val="center"/>
          </w:tcPr>
          <w:p w14:paraId="1397C82F"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0.97</w:t>
            </w:r>
          </w:p>
        </w:tc>
        <w:tc>
          <w:tcPr>
            <w:tcW w:w="1384" w:type="pct"/>
            <w:tcBorders>
              <w:bottom w:val="single" w:sz="6" w:space="0" w:color="000000"/>
            </w:tcBorders>
            <w:vAlign w:val="center"/>
          </w:tcPr>
          <w:p w14:paraId="40E76580"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0.98</w:t>
            </w:r>
          </w:p>
        </w:tc>
        <w:tc>
          <w:tcPr>
            <w:tcW w:w="986" w:type="pct"/>
            <w:tcBorders>
              <w:bottom w:val="single" w:sz="6" w:space="0" w:color="000000"/>
            </w:tcBorders>
            <w:vAlign w:val="center"/>
          </w:tcPr>
          <w:p w14:paraId="082DC2B5"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0.98</w:t>
            </w:r>
          </w:p>
        </w:tc>
        <w:tc>
          <w:tcPr>
            <w:tcW w:w="845" w:type="pct"/>
            <w:tcBorders>
              <w:bottom w:val="single" w:sz="6" w:space="0" w:color="000000"/>
              <w:right w:val="single" w:sz="6" w:space="0" w:color="000000"/>
            </w:tcBorders>
            <w:vAlign w:val="center"/>
          </w:tcPr>
          <w:p w14:paraId="5E93601C"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1</w:t>
            </w:r>
          </w:p>
        </w:tc>
      </w:tr>
    </w:tbl>
    <w:p w14:paraId="2AD5FBA6" w14:textId="77777777" w:rsidR="000400F7" w:rsidRDefault="000400F7" w:rsidP="000400F7">
      <w:pPr>
        <w:pStyle w:val="13"/>
      </w:pPr>
      <w:r>
        <w:rPr>
          <w:rFonts w:hint="eastAsia"/>
        </w:rPr>
        <w:t>注：</w:t>
      </w:r>
      <w:r>
        <w:t xml:space="preserve">1.砖木一等结构标准： </w:t>
      </w:r>
      <w:proofErr w:type="gramStart"/>
      <w:r>
        <w:t>一</w:t>
      </w:r>
      <w:proofErr w:type="gramEnd"/>
      <w:r>
        <w:t>砖墙（石墙） 承重，木屋架、木檩条、双面坡瓦屋面，水泥地面或砖铺地，</w:t>
      </w:r>
      <w:proofErr w:type="gramStart"/>
      <w:r>
        <w:t>檐高</w:t>
      </w:r>
      <w:proofErr w:type="gramEnd"/>
      <w:r>
        <w:t xml:space="preserve"> 2.8 米以上，水电齐全。2.以上 评估</w:t>
      </w:r>
      <w:proofErr w:type="gramStart"/>
      <w:r>
        <w:t>基准房均按具</w:t>
      </w:r>
      <w:r>
        <w:rPr>
          <w:rFonts w:hint="eastAsia"/>
        </w:rPr>
        <w:t>备接自</w:t>
      </w:r>
      <w:proofErr w:type="gramEnd"/>
      <w:r>
        <w:rPr>
          <w:rFonts w:hint="eastAsia"/>
        </w:rPr>
        <w:t>市政管网的管道燃气和集中供热考虑，</w:t>
      </w:r>
      <w:r>
        <w:t>若缺少管 道燃气减 40 元/平方米，若缺少集中供热减 140 元/平方米。</w:t>
      </w:r>
    </w:p>
    <w:p w14:paraId="6E23C8D9" w14:textId="77777777" w:rsidR="000400F7" w:rsidRDefault="000400F7" w:rsidP="000400F7">
      <w:pPr>
        <w:pStyle w:val="13"/>
      </w:pPr>
      <w:r>
        <w:rPr>
          <w:rFonts w:hint="eastAsia"/>
        </w:rPr>
        <w:t>附件</w:t>
      </w:r>
      <w:r>
        <w:t xml:space="preserve"> 2</w:t>
      </w:r>
    </w:p>
    <w:p w14:paraId="6DDD19DA" w14:textId="77777777" w:rsidR="000400F7" w:rsidRDefault="000400F7" w:rsidP="000400F7">
      <w:pPr>
        <w:pStyle w:val="13"/>
      </w:pPr>
      <w:r>
        <w:rPr>
          <w:rFonts w:hint="eastAsia"/>
        </w:rPr>
        <w:t>被征收房屋楼层、朝向、成新调整系数</w:t>
      </w:r>
    </w:p>
    <w:p w14:paraId="5635A51F" w14:textId="77777777" w:rsidR="000400F7" w:rsidRDefault="000400F7" w:rsidP="000400F7">
      <w:pPr>
        <w:pStyle w:val="13"/>
      </w:pPr>
      <w:r w:rsidRPr="00516124">
        <w:t>1.楼层调整系数（按地上自然层计算）                   单位： 元/平方米</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423"/>
        <w:gridCol w:w="1069"/>
        <w:gridCol w:w="1244"/>
        <w:gridCol w:w="1246"/>
        <w:gridCol w:w="1244"/>
        <w:gridCol w:w="1244"/>
        <w:gridCol w:w="1244"/>
      </w:tblGrid>
      <w:tr w:rsidR="000400F7" w:rsidRPr="00E73797" w14:paraId="5BB84222" w14:textId="77777777" w:rsidTr="000400F7">
        <w:trPr>
          <w:trHeight w:val="340"/>
          <w:tblHeader/>
          <w:jc w:val="center"/>
        </w:trPr>
        <w:tc>
          <w:tcPr>
            <w:tcW w:w="816" w:type="pct"/>
            <w:tcBorders>
              <w:top w:val="single" w:sz="6" w:space="0" w:color="000000"/>
              <w:left w:val="single" w:sz="6" w:space="0" w:color="000000"/>
              <w:tl2br w:val="single" w:sz="2" w:space="0" w:color="000000"/>
            </w:tcBorders>
            <w:vAlign w:val="center"/>
          </w:tcPr>
          <w:p w14:paraId="630C89E0" w14:textId="77777777" w:rsidR="000400F7" w:rsidRDefault="000400F7" w:rsidP="00C41313">
            <w:pPr>
              <w:jc w:val="right"/>
              <w:rPr>
                <w:rFonts w:ascii="宋体" w:hAnsi="宋体" w:cs="黑体"/>
                <w:sz w:val="21"/>
                <w:szCs w:val="21"/>
              </w:rPr>
            </w:pPr>
            <w:r w:rsidRPr="00E73797">
              <w:rPr>
                <w:rFonts w:ascii="宋体" w:hAnsi="宋体" w:cs="黑体"/>
                <w:sz w:val="21"/>
                <w:szCs w:val="21"/>
              </w:rPr>
              <w:t>总层数</w:t>
            </w:r>
          </w:p>
          <w:p w14:paraId="73123AA0" w14:textId="77777777" w:rsidR="000400F7" w:rsidRPr="00E73797" w:rsidRDefault="000400F7" w:rsidP="00C41313">
            <w:pPr>
              <w:jc w:val="left"/>
              <w:rPr>
                <w:rFonts w:ascii="宋体" w:hAnsi="宋体" w:cs="黑体"/>
                <w:sz w:val="21"/>
                <w:szCs w:val="21"/>
              </w:rPr>
            </w:pPr>
            <w:r w:rsidRPr="00E73797">
              <w:rPr>
                <w:rFonts w:ascii="宋体" w:hAnsi="宋体" w:cs="黑体"/>
                <w:sz w:val="21"/>
                <w:szCs w:val="21"/>
              </w:rPr>
              <w:t>层次</w:t>
            </w:r>
          </w:p>
        </w:tc>
        <w:tc>
          <w:tcPr>
            <w:tcW w:w="613" w:type="pct"/>
            <w:tcBorders>
              <w:top w:val="single" w:sz="6" w:space="0" w:color="000000"/>
            </w:tcBorders>
            <w:vAlign w:val="center"/>
          </w:tcPr>
          <w:p w14:paraId="1D600DAE"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二</w:t>
            </w:r>
          </w:p>
        </w:tc>
        <w:tc>
          <w:tcPr>
            <w:tcW w:w="713" w:type="pct"/>
            <w:tcBorders>
              <w:top w:val="single" w:sz="6" w:space="0" w:color="000000"/>
            </w:tcBorders>
            <w:vAlign w:val="center"/>
          </w:tcPr>
          <w:p w14:paraId="08F981F0"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三</w:t>
            </w:r>
          </w:p>
        </w:tc>
        <w:tc>
          <w:tcPr>
            <w:tcW w:w="715" w:type="pct"/>
            <w:tcBorders>
              <w:top w:val="single" w:sz="6" w:space="0" w:color="000000"/>
            </w:tcBorders>
            <w:vAlign w:val="center"/>
          </w:tcPr>
          <w:p w14:paraId="66FA90BA"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四</w:t>
            </w:r>
          </w:p>
        </w:tc>
        <w:tc>
          <w:tcPr>
            <w:tcW w:w="714" w:type="pct"/>
            <w:tcBorders>
              <w:top w:val="single" w:sz="6" w:space="0" w:color="000000"/>
            </w:tcBorders>
            <w:vAlign w:val="center"/>
          </w:tcPr>
          <w:p w14:paraId="358F26C8"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五</w:t>
            </w:r>
          </w:p>
        </w:tc>
        <w:tc>
          <w:tcPr>
            <w:tcW w:w="714" w:type="pct"/>
            <w:tcBorders>
              <w:top w:val="single" w:sz="6" w:space="0" w:color="000000"/>
            </w:tcBorders>
            <w:vAlign w:val="center"/>
          </w:tcPr>
          <w:p w14:paraId="4FCFA01F"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六</w:t>
            </w:r>
          </w:p>
        </w:tc>
        <w:tc>
          <w:tcPr>
            <w:tcW w:w="714" w:type="pct"/>
            <w:tcBorders>
              <w:top w:val="single" w:sz="6" w:space="0" w:color="000000"/>
              <w:right w:val="single" w:sz="6" w:space="0" w:color="000000"/>
            </w:tcBorders>
            <w:vAlign w:val="center"/>
          </w:tcPr>
          <w:p w14:paraId="6B3E9A74" w14:textId="77777777" w:rsidR="000400F7" w:rsidRPr="00E73797" w:rsidRDefault="000400F7" w:rsidP="00C41313">
            <w:pPr>
              <w:jc w:val="center"/>
              <w:rPr>
                <w:rFonts w:ascii="宋体" w:hAnsi="宋体" w:cs="黑体"/>
                <w:sz w:val="21"/>
                <w:szCs w:val="21"/>
              </w:rPr>
            </w:pPr>
            <w:r w:rsidRPr="00E73797">
              <w:rPr>
                <w:rFonts w:ascii="宋体" w:hAnsi="宋体" w:cs="黑体"/>
                <w:sz w:val="21"/>
                <w:szCs w:val="21"/>
              </w:rPr>
              <w:t>七</w:t>
            </w:r>
          </w:p>
        </w:tc>
      </w:tr>
      <w:tr w:rsidR="000400F7" w:rsidRPr="00E73797" w14:paraId="7E8BEEE5" w14:textId="77777777" w:rsidTr="00C41313">
        <w:trPr>
          <w:trHeight w:val="340"/>
          <w:jc w:val="center"/>
        </w:trPr>
        <w:tc>
          <w:tcPr>
            <w:tcW w:w="816" w:type="pct"/>
            <w:tcBorders>
              <w:left w:val="single" w:sz="6" w:space="0" w:color="000000"/>
            </w:tcBorders>
            <w:vAlign w:val="center"/>
          </w:tcPr>
          <w:p w14:paraId="46CE0511"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1</w:t>
            </w:r>
          </w:p>
        </w:tc>
        <w:tc>
          <w:tcPr>
            <w:tcW w:w="613" w:type="pct"/>
            <w:vAlign w:val="center"/>
          </w:tcPr>
          <w:p w14:paraId="68A53A89"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c>
          <w:tcPr>
            <w:tcW w:w="713" w:type="pct"/>
            <w:vAlign w:val="center"/>
          </w:tcPr>
          <w:p w14:paraId="25C3800C"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c>
          <w:tcPr>
            <w:tcW w:w="715" w:type="pct"/>
            <w:vAlign w:val="center"/>
          </w:tcPr>
          <w:p w14:paraId="581423E0"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c>
          <w:tcPr>
            <w:tcW w:w="714" w:type="pct"/>
            <w:vAlign w:val="center"/>
          </w:tcPr>
          <w:p w14:paraId="17B12836"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c>
          <w:tcPr>
            <w:tcW w:w="714" w:type="pct"/>
            <w:vAlign w:val="center"/>
          </w:tcPr>
          <w:p w14:paraId="02605F4F"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c>
          <w:tcPr>
            <w:tcW w:w="714" w:type="pct"/>
            <w:tcBorders>
              <w:right w:val="single" w:sz="6" w:space="0" w:color="000000"/>
            </w:tcBorders>
            <w:vAlign w:val="center"/>
          </w:tcPr>
          <w:p w14:paraId="46351C4F"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r>
      <w:tr w:rsidR="000400F7" w:rsidRPr="00E73797" w14:paraId="32EF9341" w14:textId="77777777" w:rsidTr="00C41313">
        <w:trPr>
          <w:trHeight w:val="340"/>
          <w:jc w:val="center"/>
        </w:trPr>
        <w:tc>
          <w:tcPr>
            <w:tcW w:w="816" w:type="pct"/>
            <w:tcBorders>
              <w:left w:val="single" w:sz="6" w:space="0" w:color="000000"/>
            </w:tcBorders>
            <w:vAlign w:val="center"/>
          </w:tcPr>
          <w:p w14:paraId="5958C31F"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2</w:t>
            </w:r>
          </w:p>
        </w:tc>
        <w:tc>
          <w:tcPr>
            <w:tcW w:w="613" w:type="pct"/>
            <w:vAlign w:val="center"/>
          </w:tcPr>
          <w:p w14:paraId="3D4266E3"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c>
          <w:tcPr>
            <w:tcW w:w="713" w:type="pct"/>
            <w:vAlign w:val="center"/>
          </w:tcPr>
          <w:p w14:paraId="3771D826" w14:textId="77777777" w:rsidR="000400F7" w:rsidRPr="00E73797" w:rsidRDefault="000400F7" w:rsidP="00C41313">
            <w:pPr>
              <w:jc w:val="center"/>
              <w:rPr>
                <w:rFonts w:ascii="宋体" w:hAnsi="宋体" w:cs="仿宋"/>
                <w:sz w:val="21"/>
                <w:szCs w:val="21"/>
              </w:rPr>
            </w:pPr>
            <w:r w:rsidRPr="00E73797">
              <w:rPr>
                <w:rFonts w:ascii="宋体" w:hAnsi="宋体" w:cs="仿宋"/>
                <w:spacing w:val="-12"/>
                <w:sz w:val="21"/>
                <w:szCs w:val="21"/>
              </w:rPr>
              <w:t>100</w:t>
            </w:r>
          </w:p>
        </w:tc>
        <w:tc>
          <w:tcPr>
            <w:tcW w:w="715" w:type="pct"/>
            <w:vAlign w:val="center"/>
          </w:tcPr>
          <w:p w14:paraId="257E00CC" w14:textId="77777777" w:rsidR="000400F7" w:rsidRPr="00E73797" w:rsidRDefault="000400F7" w:rsidP="00C41313">
            <w:pPr>
              <w:jc w:val="center"/>
              <w:rPr>
                <w:rFonts w:ascii="宋体" w:hAnsi="宋体" w:cs="仿宋"/>
                <w:sz w:val="21"/>
                <w:szCs w:val="21"/>
              </w:rPr>
            </w:pPr>
            <w:r w:rsidRPr="00E73797">
              <w:rPr>
                <w:rFonts w:ascii="宋体" w:hAnsi="宋体" w:cs="仿宋"/>
                <w:spacing w:val="-12"/>
                <w:sz w:val="21"/>
                <w:szCs w:val="21"/>
              </w:rPr>
              <w:t>150</w:t>
            </w:r>
          </w:p>
        </w:tc>
        <w:tc>
          <w:tcPr>
            <w:tcW w:w="714" w:type="pct"/>
            <w:vAlign w:val="center"/>
          </w:tcPr>
          <w:p w14:paraId="6DF16786" w14:textId="77777777" w:rsidR="000400F7" w:rsidRPr="00E73797" w:rsidRDefault="000400F7" w:rsidP="00C41313">
            <w:pPr>
              <w:jc w:val="center"/>
              <w:rPr>
                <w:rFonts w:ascii="宋体" w:hAnsi="宋体" w:cs="仿宋"/>
                <w:sz w:val="21"/>
                <w:szCs w:val="21"/>
              </w:rPr>
            </w:pPr>
            <w:r w:rsidRPr="00E73797">
              <w:rPr>
                <w:rFonts w:ascii="宋体" w:hAnsi="宋体" w:cs="仿宋"/>
                <w:spacing w:val="-12"/>
                <w:sz w:val="21"/>
                <w:szCs w:val="21"/>
              </w:rPr>
              <w:t>150</w:t>
            </w:r>
          </w:p>
        </w:tc>
        <w:tc>
          <w:tcPr>
            <w:tcW w:w="714" w:type="pct"/>
            <w:vAlign w:val="center"/>
          </w:tcPr>
          <w:p w14:paraId="611D8294" w14:textId="77777777" w:rsidR="000400F7" w:rsidRPr="00E73797" w:rsidRDefault="000400F7" w:rsidP="00C41313">
            <w:pPr>
              <w:jc w:val="center"/>
              <w:rPr>
                <w:rFonts w:ascii="宋体" w:hAnsi="宋体" w:cs="仿宋"/>
                <w:sz w:val="21"/>
                <w:szCs w:val="21"/>
              </w:rPr>
            </w:pPr>
            <w:r w:rsidRPr="00E73797">
              <w:rPr>
                <w:rFonts w:ascii="宋体" w:hAnsi="宋体" w:cs="仿宋"/>
                <w:spacing w:val="-12"/>
                <w:sz w:val="21"/>
                <w:szCs w:val="21"/>
              </w:rPr>
              <w:t>150</w:t>
            </w:r>
          </w:p>
        </w:tc>
        <w:tc>
          <w:tcPr>
            <w:tcW w:w="714" w:type="pct"/>
            <w:tcBorders>
              <w:right w:val="single" w:sz="6" w:space="0" w:color="000000"/>
            </w:tcBorders>
            <w:vAlign w:val="center"/>
          </w:tcPr>
          <w:p w14:paraId="44274E31" w14:textId="77777777" w:rsidR="000400F7" w:rsidRPr="00E73797" w:rsidRDefault="000400F7" w:rsidP="00C41313">
            <w:pPr>
              <w:jc w:val="center"/>
              <w:rPr>
                <w:rFonts w:ascii="宋体" w:hAnsi="宋体" w:cs="仿宋"/>
                <w:sz w:val="21"/>
                <w:szCs w:val="21"/>
              </w:rPr>
            </w:pPr>
            <w:r w:rsidRPr="00E73797">
              <w:rPr>
                <w:rFonts w:ascii="宋体" w:hAnsi="宋体" w:cs="仿宋"/>
                <w:spacing w:val="-12"/>
                <w:sz w:val="21"/>
                <w:szCs w:val="21"/>
              </w:rPr>
              <w:t>150</w:t>
            </w:r>
          </w:p>
        </w:tc>
      </w:tr>
      <w:tr w:rsidR="000400F7" w:rsidRPr="00E73797" w14:paraId="5BFD35B5" w14:textId="77777777" w:rsidTr="00C41313">
        <w:trPr>
          <w:trHeight w:val="340"/>
          <w:jc w:val="center"/>
        </w:trPr>
        <w:tc>
          <w:tcPr>
            <w:tcW w:w="816" w:type="pct"/>
            <w:tcBorders>
              <w:left w:val="single" w:sz="6" w:space="0" w:color="000000"/>
            </w:tcBorders>
            <w:vAlign w:val="center"/>
          </w:tcPr>
          <w:p w14:paraId="2BF0FC35"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lastRenderedPageBreak/>
              <w:t>3</w:t>
            </w:r>
          </w:p>
        </w:tc>
        <w:tc>
          <w:tcPr>
            <w:tcW w:w="613" w:type="pct"/>
            <w:vAlign w:val="center"/>
          </w:tcPr>
          <w:p w14:paraId="57083DB1" w14:textId="77777777" w:rsidR="000400F7" w:rsidRPr="00E73797" w:rsidRDefault="000400F7" w:rsidP="00C41313">
            <w:pPr>
              <w:jc w:val="center"/>
              <w:rPr>
                <w:rFonts w:ascii="宋体" w:hAnsi="宋体"/>
                <w:sz w:val="21"/>
                <w:szCs w:val="21"/>
              </w:rPr>
            </w:pPr>
          </w:p>
        </w:tc>
        <w:tc>
          <w:tcPr>
            <w:tcW w:w="713" w:type="pct"/>
            <w:vAlign w:val="center"/>
          </w:tcPr>
          <w:p w14:paraId="7233913B"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c>
          <w:tcPr>
            <w:tcW w:w="715" w:type="pct"/>
            <w:vAlign w:val="center"/>
          </w:tcPr>
          <w:p w14:paraId="3F576DC8" w14:textId="77777777" w:rsidR="000400F7" w:rsidRPr="00E73797" w:rsidRDefault="000400F7" w:rsidP="00C41313">
            <w:pPr>
              <w:jc w:val="center"/>
              <w:rPr>
                <w:rFonts w:ascii="宋体" w:hAnsi="宋体" w:cs="仿宋"/>
                <w:sz w:val="21"/>
                <w:szCs w:val="21"/>
              </w:rPr>
            </w:pPr>
            <w:r w:rsidRPr="00E73797">
              <w:rPr>
                <w:rFonts w:ascii="宋体" w:hAnsi="宋体" w:cs="仿宋"/>
                <w:spacing w:val="-12"/>
                <w:sz w:val="21"/>
                <w:szCs w:val="21"/>
              </w:rPr>
              <w:t>100</w:t>
            </w:r>
          </w:p>
        </w:tc>
        <w:tc>
          <w:tcPr>
            <w:tcW w:w="714" w:type="pct"/>
            <w:vAlign w:val="center"/>
          </w:tcPr>
          <w:p w14:paraId="181B7A7C" w14:textId="77777777" w:rsidR="000400F7" w:rsidRPr="00E73797" w:rsidRDefault="000400F7" w:rsidP="00C41313">
            <w:pPr>
              <w:jc w:val="center"/>
              <w:rPr>
                <w:rFonts w:ascii="宋体" w:hAnsi="宋体" w:cs="仿宋"/>
                <w:sz w:val="21"/>
                <w:szCs w:val="21"/>
              </w:rPr>
            </w:pPr>
            <w:r w:rsidRPr="00E73797">
              <w:rPr>
                <w:rFonts w:ascii="宋体" w:hAnsi="宋体" w:cs="仿宋"/>
                <w:spacing w:val="-12"/>
                <w:sz w:val="21"/>
                <w:szCs w:val="21"/>
              </w:rPr>
              <w:t>150</w:t>
            </w:r>
          </w:p>
        </w:tc>
        <w:tc>
          <w:tcPr>
            <w:tcW w:w="714" w:type="pct"/>
            <w:vAlign w:val="center"/>
          </w:tcPr>
          <w:p w14:paraId="71369EF1" w14:textId="77777777" w:rsidR="000400F7" w:rsidRPr="00E73797" w:rsidRDefault="000400F7" w:rsidP="00C41313">
            <w:pPr>
              <w:jc w:val="center"/>
              <w:rPr>
                <w:rFonts w:ascii="宋体" w:hAnsi="宋体" w:cs="仿宋"/>
                <w:sz w:val="21"/>
                <w:szCs w:val="21"/>
              </w:rPr>
            </w:pPr>
            <w:r w:rsidRPr="00E73797">
              <w:rPr>
                <w:rFonts w:ascii="宋体" w:hAnsi="宋体" w:cs="仿宋"/>
                <w:spacing w:val="-12"/>
                <w:sz w:val="21"/>
                <w:szCs w:val="21"/>
              </w:rPr>
              <w:t>150</w:t>
            </w:r>
          </w:p>
        </w:tc>
        <w:tc>
          <w:tcPr>
            <w:tcW w:w="714" w:type="pct"/>
            <w:tcBorders>
              <w:right w:val="single" w:sz="6" w:space="0" w:color="000000"/>
            </w:tcBorders>
            <w:vAlign w:val="center"/>
          </w:tcPr>
          <w:p w14:paraId="577C70B8" w14:textId="77777777" w:rsidR="000400F7" w:rsidRPr="00E73797" w:rsidRDefault="000400F7" w:rsidP="00C41313">
            <w:pPr>
              <w:jc w:val="center"/>
              <w:rPr>
                <w:rFonts w:ascii="宋体" w:hAnsi="宋体" w:cs="仿宋"/>
                <w:sz w:val="21"/>
                <w:szCs w:val="21"/>
              </w:rPr>
            </w:pPr>
            <w:r w:rsidRPr="00E73797">
              <w:rPr>
                <w:rFonts w:ascii="宋体" w:hAnsi="宋体" w:cs="仿宋"/>
                <w:spacing w:val="-12"/>
                <w:sz w:val="21"/>
                <w:szCs w:val="21"/>
              </w:rPr>
              <w:t>150</w:t>
            </w:r>
          </w:p>
        </w:tc>
      </w:tr>
      <w:tr w:rsidR="000400F7" w:rsidRPr="00E73797" w14:paraId="4B7846F5" w14:textId="77777777" w:rsidTr="00C41313">
        <w:trPr>
          <w:trHeight w:val="340"/>
          <w:jc w:val="center"/>
        </w:trPr>
        <w:tc>
          <w:tcPr>
            <w:tcW w:w="816" w:type="pct"/>
            <w:tcBorders>
              <w:left w:val="single" w:sz="6" w:space="0" w:color="000000"/>
            </w:tcBorders>
            <w:vAlign w:val="center"/>
          </w:tcPr>
          <w:p w14:paraId="1C024C0E"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4</w:t>
            </w:r>
          </w:p>
        </w:tc>
        <w:tc>
          <w:tcPr>
            <w:tcW w:w="613" w:type="pct"/>
            <w:vAlign w:val="center"/>
          </w:tcPr>
          <w:p w14:paraId="1F2C6CC3" w14:textId="77777777" w:rsidR="000400F7" w:rsidRPr="00E73797" w:rsidRDefault="000400F7" w:rsidP="00C41313">
            <w:pPr>
              <w:jc w:val="center"/>
              <w:rPr>
                <w:rFonts w:ascii="宋体" w:hAnsi="宋体"/>
                <w:sz w:val="21"/>
                <w:szCs w:val="21"/>
              </w:rPr>
            </w:pPr>
          </w:p>
        </w:tc>
        <w:tc>
          <w:tcPr>
            <w:tcW w:w="713" w:type="pct"/>
            <w:vAlign w:val="center"/>
          </w:tcPr>
          <w:p w14:paraId="065526BF" w14:textId="77777777" w:rsidR="000400F7" w:rsidRPr="00E73797" w:rsidRDefault="000400F7" w:rsidP="00C41313">
            <w:pPr>
              <w:jc w:val="center"/>
              <w:rPr>
                <w:rFonts w:ascii="宋体" w:hAnsi="宋体"/>
                <w:sz w:val="21"/>
                <w:szCs w:val="21"/>
              </w:rPr>
            </w:pPr>
          </w:p>
        </w:tc>
        <w:tc>
          <w:tcPr>
            <w:tcW w:w="715" w:type="pct"/>
            <w:vAlign w:val="center"/>
          </w:tcPr>
          <w:p w14:paraId="0BBC1FD1" w14:textId="77777777" w:rsidR="000400F7" w:rsidRPr="00E73797" w:rsidRDefault="000400F7" w:rsidP="00C41313">
            <w:pPr>
              <w:jc w:val="center"/>
              <w:rPr>
                <w:rFonts w:ascii="宋体" w:hAnsi="宋体" w:cs="仿宋"/>
                <w:sz w:val="21"/>
                <w:szCs w:val="21"/>
              </w:rPr>
            </w:pPr>
            <w:r w:rsidRPr="00E73797">
              <w:rPr>
                <w:rFonts w:ascii="宋体" w:hAnsi="宋体" w:cs="仿宋"/>
                <w:spacing w:val="-5"/>
                <w:sz w:val="21"/>
                <w:szCs w:val="21"/>
              </w:rPr>
              <w:t>-50</w:t>
            </w:r>
          </w:p>
        </w:tc>
        <w:tc>
          <w:tcPr>
            <w:tcW w:w="714" w:type="pct"/>
            <w:vAlign w:val="center"/>
          </w:tcPr>
          <w:p w14:paraId="4B1D51C4"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c>
          <w:tcPr>
            <w:tcW w:w="714" w:type="pct"/>
            <w:vAlign w:val="center"/>
          </w:tcPr>
          <w:p w14:paraId="3ED6B8ED"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c>
          <w:tcPr>
            <w:tcW w:w="714" w:type="pct"/>
            <w:tcBorders>
              <w:right w:val="single" w:sz="6" w:space="0" w:color="000000"/>
            </w:tcBorders>
            <w:vAlign w:val="center"/>
          </w:tcPr>
          <w:p w14:paraId="4E812514" w14:textId="77777777" w:rsidR="000400F7" w:rsidRPr="00E73797" w:rsidRDefault="000400F7" w:rsidP="00C41313">
            <w:pPr>
              <w:jc w:val="center"/>
              <w:rPr>
                <w:rFonts w:ascii="宋体" w:hAnsi="宋体" w:cs="仿宋"/>
                <w:sz w:val="21"/>
                <w:szCs w:val="21"/>
              </w:rPr>
            </w:pPr>
            <w:r w:rsidRPr="00E73797">
              <w:rPr>
                <w:rFonts w:ascii="宋体" w:hAnsi="宋体" w:cs="仿宋"/>
                <w:spacing w:val="-8"/>
                <w:sz w:val="21"/>
                <w:szCs w:val="21"/>
              </w:rPr>
              <w:t>50</w:t>
            </w:r>
          </w:p>
        </w:tc>
      </w:tr>
      <w:tr w:rsidR="000400F7" w:rsidRPr="00E73797" w14:paraId="6C5D73E5" w14:textId="77777777" w:rsidTr="00C41313">
        <w:trPr>
          <w:trHeight w:val="340"/>
          <w:jc w:val="center"/>
        </w:trPr>
        <w:tc>
          <w:tcPr>
            <w:tcW w:w="816" w:type="pct"/>
            <w:tcBorders>
              <w:left w:val="single" w:sz="6" w:space="0" w:color="000000"/>
            </w:tcBorders>
            <w:vAlign w:val="center"/>
          </w:tcPr>
          <w:p w14:paraId="604704E9"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5</w:t>
            </w:r>
          </w:p>
        </w:tc>
        <w:tc>
          <w:tcPr>
            <w:tcW w:w="613" w:type="pct"/>
            <w:vAlign w:val="center"/>
          </w:tcPr>
          <w:p w14:paraId="1F944BAB" w14:textId="77777777" w:rsidR="000400F7" w:rsidRPr="00E73797" w:rsidRDefault="000400F7" w:rsidP="00C41313">
            <w:pPr>
              <w:jc w:val="center"/>
              <w:rPr>
                <w:rFonts w:ascii="宋体" w:hAnsi="宋体"/>
                <w:sz w:val="21"/>
                <w:szCs w:val="21"/>
              </w:rPr>
            </w:pPr>
          </w:p>
        </w:tc>
        <w:tc>
          <w:tcPr>
            <w:tcW w:w="713" w:type="pct"/>
            <w:vAlign w:val="center"/>
          </w:tcPr>
          <w:p w14:paraId="17279D9D" w14:textId="77777777" w:rsidR="000400F7" w:rsidRPr="00E73797" w:rsidRDefault="000400F7" w:rsidP="00C41313">
            <w:pPr>
              <w:jc w:val="center"/>
              <w:rPr>
                <w:rFonts w:ascii="宋体" w:hAnsi="宋体"/>
                <w:sz w:val="21"/>
                <w:szCs w:val="21"/>
              </w:rPr>
            </w:pPr>
          </w:p>
        </w:tc>
        <w:tc>
          <w:tcPr>
            <w:tcW w:w="715" w:type="pct"/>
            <w:vAlign w:val="center"/>
          </w:tcPr>
          <w:p w14:paraId="65D6563E" w14:textId="77777777" w:rsidR="000400F7" w:rsidRPr="00E73797" w:rsidRDefault="000400F7" w:rsidP="00C41313">
            <w:pPr>
              <w:jc w:val="center"/>
              <w:rPr>
                <w:rFonts w:ascii="宋体" w:hAnsi="宋体"/>
                <w:sz w:val="21"/>
                <w:szCs w:val="21"/>
              </w:rPr>
            </w:pPr>
          </w:p>
        </w:tc>
        <w:tc>
          <w:tcPr>
            <w:tcW w:w="714" w:type="pct"/>
            <w:vAlign w:val="center"/>
          </w:tcPr>
          <w:p w14:paraId="6AB769EE" w14:textId="77777777" w:rsidR="000400F7" w:rsidRPr="00E73797" w:rsidRDefault="000400F7" w:rsidP="00C41313">
            <w:pPr>
              <w:jc w:val="center"/>
              <w:rPr>
                <w:rFonts w:ascii="宋体" w:hAnsi="宋体" w:cs="仿宋"/>
                <w:sz w:val="21"/>
                <w:szCs w:val="21"/>
              </w:rPr>
            </w:pPr>
            <w:r w:rsidRPr="00E73797">
              <w:rPr>
                <w:rFonts w:ascii="宋体" w:hAnsi="宋体" w:cs="仿宋"/>
                <w:spacing w:val="-5"/>
                <w:sz w:val="21"/>
                <w:szCs w:val="21"/>
              </w:rPr>
              <w:t>-50</w:t>
            </w:r>
          </w:p>
        </w:tc>
        <w:tc>
          <w:tcPr>
            <w:tcW w:w="714" w:type="pct"/>
            <w:vAlign w:val="center"/>
          </w:tcPr>
          <w:p w14:paraId="1967AE66" w14:textId="77777777" w:rsidR="000400F7" w:rsidRPr="00E73797" w:rsidRDefault="000400F7" w:rsidP="00C41313">
            <w:pPr>
              <w:jc w:val="center"/>
              <w:rPr>
                <w:rFonts w:ascii="宋体" w:hAnsi="宋体" w:cs="仿宋"/>
                <w:sz w:val="21"/>
                <w:szCs w:val="21"/>
              </w:rPr>
            </w:pPr>
            <w:r w:rsidRPr="00E73797">
              <w:rPr>
                <w:rFonts w:ascii="宋体" w:hAnsi="宋体" w:cs="仿宋"/>
                <w:spacing w:val="-5"/>
                <w:sz w:val="21"/>
                <w:szCs w:val="21"/>
              </w:rPr>
              <w:t>-50</w:t>
            </w:r>
          </w:p>
        </w:tc>
        <w:tc>
          <w:tcPr>
            <w:tcW w:w="714" w:type="pct"/>
            <w:tcBorders>
              <w:right w:val="single" w:sz="6" w:space="0" w:color="000000"/>
            </w:tcBorders>
            <w:vAlign w:val="center"/>
          </w:tcPr>
          <w:p w14:paraId="399A37DA"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0</w:t>
            </w:r>
          </w:p>
        </w:tc>
      </w:tr>
      <w:tr w:rsidR="000400F7" w:rsidRPr="00E73797" w14:paraId="283776D7" w14:textId="77777777" w:rsidTr="00C41313">
        <w:trPr>
          <w:trHeight w:val="340"/>
          <w:jc w:val="center"/>
        </w:trPr>
        <w:tc>
          <w:tcPr>
            <w:tcW w:w="816" w:type="pct"/>
            <w:tcBorders>
              <w:left w:val="single" w:sz="6" w:space="0" w:color="000000"/>
            </w:tcBorders>
            <w:vAlign w:val="center"/>
          </w:tcPr>
          <w:p w14:paraId="5833FFE4"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6</w:t>
            </w:r>
          </w:p>
        </w:tc>
        <w:tc>
          <w:tcPr>
            <w:tcW w:w="613" w:type="pct"/>
            <w:vAlign w:val="center"/>
          </w:tcPr>
          <w:p w14:paraId="5DECB6A7" w14:textId="77777777" w:rsidR="000400F7" w:rsidRPr="00E73797" w:rsidRDefault="000400F7" w:rsidP="00C41313">
            <w:pPr>
              <w:jc w:val="center"/>
              <w:rPr>
                <w:rFonts w:ascii="宋体" w:hAnsi="宋体"/>
                <w:sz w:val="21"/>
                <w:szCs w:val="21"/>
              </w:rPr>
            </w:pPr>
          </w:p>
        </w:tc>
        <w:tc>
          <w:tcPr>
            <w:tcW w:w="713" w:type="pct"/>
            <w:vAlign w:val="center"/>
          </w:tcPr>
          <w:p w14:paraId="5D2802ED" w14:textId="77777777" w:rsidR="000400F7" w:rsidRPr="00E73797" w:rsidRDefault="000400F7" w:rsidP="00C41313">
            <w:pPr>
              <w:jc w:val="center"/>
              <w:rPr>
                <w:rFonts w:ascii="宋体" w:hAnsi="宋体"/>
                <w:sz w:val="21"/>
                <w:szCs w:val="21"/>
              </w:rPr>
            </w:pPr>
          </w:p>
        </w:tc>
        <w:tc>
          <w:tcPr>
            <w:tcW w:w="715" w:type="pct"/>
            <w:vAlign w:val="center"/>
          </w:tcPr>
          <w:p w14:paraId="63052B44" w14:textId="77777777" w:rsidR="000400F7" w:rsidRPr="00E73797" w:rsidRDefault="000400F7" w:rsidP="00C41313">
            <w:pPr>
              <w:jc w:val="center"/>
              <w:rPr>
                <w:rFonts w:ascii="宋体" w:hAnsi="宋体"/>
                <w:sz w:val="21"/>
                <w:szCs w:val="21"/>
              </w:rPr>
            </w:pPr>
          </w:p>
        </w:tc>
        <w:tc>
          <w:tcPr>
            <w:tcW w:w="714" w:type="pct"/>
            <w:vAlign w:val="center"/>
          </w:tcPr>
          <w:p w14:paraId="5859C27E" w14:textId="77777777" w:rsidR="000400F7" w:rsidRPr="00E73797" w:rsidRDefault="000400F7" w:rsidP="00C41313">
            <w:pPr>
              <w:jc w:val="center"/>
              <w:rPr>
                <w:rFonts w:ascii="宋体" w:hAnsi="宋体"/>
                <w:sz w:val="21"/>
                <w:szCs w:val="21"/>
              </w:rPr>
            </w:pPr>
          </w:p>
        </w:tc>
        <w:tc>
          <w:tcPr>
            <w:tcW w:w="714" w:type="pct"/>
            <w:vAlign w:val="center"/>
          </w:tcPr>
          <w:p w14:paraId="0687401B" w14:textId="77777777" w:rsidR="000400F7" w:rsidRPr="00E73797" w:rsidRDefault="000400F7" w:rsidP="00C41313">
            <w:pPr>
              <w:jc w:val="center"/>
              <w:rPr>
                <w:rFonts w:ascii="宋体" w:hAnsi="宋体" w:cs="仿宋"/>
                <w:sz w:val="21"/>
                <w:szCs w:val="21"/>
              </w:rPr>
            </w:pPr>
            <w:r w:rsidRPr="00E73797">
              <w:rPr>
                <w:rFonts w:ascii="宋体" w:hAnsi="宋体" w:cs="仿宋"/>
                <w:spacing w:val="-4"/>
                <w:sz w:val="21"/>
                <w:szCs w:val="21"/>
              </w:rPr>
              <w:t>-100</w:t>
            </w:r>
          </w:p>
        </w:tc>
        <w:tc>
          <w:tcPr>
            <w:tcW w:w="714" w:type="pct"/>
            <w:tcBorders>
              <w:right w:val="single" w:sz="6" w:space="0" w:color="000000"/>
            </w:tcBorders>
            <w:vAlign w:val="center"/>
          </w:tcPr>
          <w:p w14:paraId="0DB3079B" w14:textId="77777777" w:rsidR="000400F7" w:rsidRPr="00E73797" w:rsidRDefault="000400F7" w:rsidP="00C41313">
            <w:pPr>
              <w:jc w:val="center"/>
              <w:rPr>
                <w:rFonts w:ascii="宋体" w:hAnsi="宋体" w:cs="仿宋"/>
                <w:sz w:val="21"/>
                <w:szCs w:val="21"/>
              </w:rPr>
            </w:pPr>
            <w:r w:rsidRPr="00E73797">
              <w:rPr>
                <w:rFonts w:ascii="宋体" w:hAnsi="宋体" w:cs="仿宋"/>
                <w:spacing w:val="-5"/>
                <w:sz w:val="21"/>
                <w:szCs w:val="21"/>
              </w:rPr>
              <w:t>-50</w:t>
            </w:r>
          </w:p>
        </w:tc>
      </w:tr>
      <w:tr w:rsidR="000400F7" w:rsidRPr="00E73797" w14:paraId="18F5A8E4" w14:textId="77777777" w:rsidTr="00C41313">
        <w:trPr>
          <w:trHeight w:val="340"/>
          <w:jc w:val="center"/>
        </w:trPr>
        <w:tc>
          <w:tcPr>
            <w:tcW w:w="816" w:type="pct"/>
            <w:tcBorders>
              <w:left w:val="single" w:sz="6" w:space="0" w:color="000000"/>
            </w:tcBorders>
            <w:vAlign w:val="center"/>
          </w:tcPr>
          <w:p w14:paraId="72D6CC0D"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7</w:t>
            </w:r>
          </w:p>
        </w:tc>
        <w:tc>
          <w:tcPr>
            <w:tcW w:w="613" w:type="pct"/>
            <w:vAlign w:val="center"/>
          </w:tcPr>
          <w:p w14:paraId="355F0689" w14:textId="77777777" w:rsidR="000400F7" w:rsidRPr="00E73797" w:rsidRDefault="000400F7" w:rsidP="00C41313">
            <w:pPr>
              <w:jc w:val="center"/>
              <w:rPr>
                <w:rFonts w:ascii="宋体" w:hAnsi="宋体"/>
                <w:sz w:val="21"/>
                <w:szCs w:val="21"/>
              </w:rPr>
            </w:pPr>
          </w:p>
        </w:tc>
        <w:tc>
          <w:tcPr>
            <w:tcW w:w="713" w:type="pct"/>
            <w:vAlign w:val="center"/>
          </w:tcPr>
          <w:p w14:paraId="198A7A55" w14:textId="77777777" w:rsidR="000400F7" w:rsidRPr="00E73797" w:rsidRDefault="000400F7" w:rsidP="00C41313">
            <w:pPr>
              <w:jc w:val="center"/>
              <w:rPr>
                <w:rFonts w:ascii="宋体" w:hAnsi="宋体"/>
                <w:sz w:val="21"/>
                <w:szCs w:val="21"/>
              </w:rPr>
            </w:pPr>
          </w:p>
        </w:tc>
        <w:tc>
          <w:tcPr>
            <w:tcW w:w="715" w:type="pct"/>
            <w:vAlign w:val="center"/>
          </w:tcPr>
          <w:p w14:paraId="7083CA12" w14:textId="77777777" w:rsidR="000400F7" w:rsidRPr="00E73797" w:rsidRDefault="000400F7" w:rsidP="00C41313">
            <w:pPr>
              <w:jc w:val="center"/>
              <w:rPr>
                <w:rFonts w:ascii="宋体" w:hAnsi="宋体"/>
                <w:sz w:val="21"/>
                <w:szCs w:val="21"/>
              </w:rPr>
            </w:pPr>
          </w:p>
        </w:tc>
        <w:tc>
          <w:tcPr>
            <w:tcW w:w="714" w:type="pct"/>
            <w:vAlign w:val="center"/>
          </w:tcPr>
          <w:p w14:paraId="0AEC016A" w14:textId="77777777" w:rsidR="000400F7" w:rsidRPr="00E73797" w:rsidRDefault="000400F7" w:rsidP="00C41313">
            <w:pPr>
              <w:jc w:val="center"/>
              <w:rPr>
                <w:rFonts w:ascii="宋体" w:hAnsi="宋体"/>
                <w:sz w:val="21"/>
                <w:szCs w:val="21"/>
              </w:rPr>
            </w:pPr>
          </w:p>
        </w:tc>
        <w:tc>
          <w:tcPr>
            <w:tcW w:w="714" w:type="pct"/>
            <w:vAlign w:val="center"/>
          </w:tcPr>
          <w:p w14:paraId="1AFEF024" w14:textId="77777777" w:rsidR="000400F7" w:rsidRPr="00E73797" w:rsidRDefault="000400F7" w:rsidP="00C41313">
            <w:pPr>
              <w:jc w:val="center"/>
              <w:rPr>
                <w:rFonts w:ascii="宋体" w:hAnsi="宋体"/>
                <w:sz w:val="21"/>
                <w:szCs w:val="21"/>
              </w:rPr>
            </w:pPr>
          </w:p>
        </w:tc>
        <w:tc>
          <w:tcPr>
            <w:tcW w:w="714" w:type="pct"/>
            <w:tcBorders>
              <w:right w:val="single" w:sz="6" w:space="0" w:color="000000"/>
            </w:tcBorders>
            <w:vAlign w:val="center"/>
          </w:tcPr>
          <w:p w14:paraId="414F4422" w14:textId="77777777" w:rsidR="000400F7" w:rsidRPr="00E73797" w:rsidRDefault="000400F7" w:rsidP="00C41313">
            <w:pPr>
              <w:jc w:val="center"/>
              <w:rPr>
                <w:rFonts w:ascii="宋体" w:hAnsi="宋体" w:cs="仿宋"/>
                <w:sz w:val="21"/>
                <w:szCs w:val="21"/>
              </w:rPr>
            </w:pPr>
            <w:r w:rsidRPr="00E73797">
              <w:rPr>
                <w:rFonts w:ascii="宋体" w:hAnsi="宋体" w:cs="仿宋"/>
                <w:spacing w:val="-4"/>
                <w:sz w:val="21"/>
                <w:szCs w:val="21"/>
              </w:rPr>
              <w:t>-150</w:t>
            </w:r>
          </w:p>
        </w:tc>
      </w:tr>
      <w:tr w:rsidR="000400F7" w:rsidRPr="00E73797" w14:paraId="0B2D01E9" w14:textId="77777777" w:rsidTr="00C41313">
        <w:trPr>
          <w:trHeight w:val="340"/>
          <w:jc w:val="center"/>
        </w:trPr>
        <w:tc>
          <w:tcPr>
            <w:tcW w:w="816" w:type="pct"/>
            <w:tcBorders>
              <w:left w:val="single" w:sz="6" w:space="0" w:color="000000"/>
              <w:bottom w:val="single" w:sz="6" w:space="0" w:color="000000"/>
            </w:tcBorders>
            <w:vAlign w:val="center"/>
          </w:tcPr>
          <w:p w14:paraId="235CF2D2" w14:textId="77777777" w:rsidR="000400F7" w:rsidRPr="00E73797" w:rsidRDefault="000400F7" w:rsidP="00C41313">
            <w:pPr>
              <w:jc w:val="center"/>
              <w:rPr>
                <w:rFonts w:ascii="宋体" w:hAnsi="宋体" w:cs="仿宋"/>
                <w:sz w:val="21"/>
                <w:szCs w:val="21"/>
              </w:rPr>
            </w:pPr>
            <w:r w:rsidRPr="00E73797">
              <w:rPr>
                <w:rFonts w:ascii="宋体" w:hAnsi="宋体" w:cs="仿宋"/>
                <w:sz w:val="21"/>
                <w:szCs w:val="21"/>
              </w:rPr>
              <w:t>8</w:t>
            </w:r>
          </w:p>
        </w:tc>
        <w:tc>
          <w:tcPr>
            <w:tcW w:w="613" w:type="pct"/>
            <w:tcBorders>
              <w:bottom w:val="single" w:sz="6" w:space="0" w:color="000000"/>
            </w:tcBorders>
            <w:vAlign w:val="center"/>
          </w:tcPr>
          <w:p w14:paraId="3FDC1A69" w14:textId="77777777" w:rsidR="000400F7" w:rsidRPr="00E73797" w:rsidRDefault="000400F7" w:rsidP="00C41313">
            <w:pPr>
              <w:jc w:val="center"/>
              <w:rPr>
                <w:rFonts w:ascii="宋体" w:hAnsi="宋体"/>
                <w:sz w:val="21"/>
                <w:szCs w:val="21"/>
              </w:rPr>
            </w:pPr>
          </w:p>
        </w:tc>
        <w:tc>
          <w:tcPr>
            <w:tcW w:w="713" w:type="pct"/>
            <w:tcBorders>
              <w:bottom w:val="single" w:sz="6" w:space="0" w:color="000000"/>
            </w:tcBorders>
            <w:vAlign w:val="center"/>
          </w:tcPr>
          <w:p w14:paraId="79EE09DB" w14:textId="77777777" w:rsidR="000400F7" w:rsidRPr="00E73797" w:rsidRDefault="000400F7" w:rsidP="00C41313">
            <w:pPr>
              <w:jc w:val="center"/>
              <w:rPr>
                <w:rFonts w:ascii="宋体" w:hAnsi="宋体"/>
                <w:sz w:val="21"/>
                <w:szCs w:val="21"/>
              </w:rPr>
            </w:pPr>
          </w:p>
        </w:tc>
        <w:tc>
          <w:tcPr>
            <w:tcW w:w="715" w:type="pct"/>
            <w:tcBorders>
              <w:bottom w:val="single" w:sz="6" w:space="0" w:color="000000"/>
            </w:tcBorders>
            <w:vAlign w:val="center"/>
          </w:tcPr>
          <w:p w14:paraId="3BFCFCFC" w14:textId="77777777" w:rsidR="000400F7" w:rsidRPr="00E73797" w:rsidRDefault="000400F7" w:rsidP="00C41313">
            <w:pPr>
              <w:jc w:val="center"/>
              <w:rPr>
                <w:rFonts w:ascii="宋体" w:hAnsi="宋体"/>
                <w:sz w:val="21"/>
                <w:szCs w:val="21"/>
              </w:rPr>
            </w:pPr>
          </w:p>
        </w:tc>
        <w:tc>
          <w:tcPr>
            <w:tcW w:w="714" w:type="pct"/>
            <w:tcBorders>
              <w:bottom w:val="single" w:sz="6" w:space="0" w:color="000000"/>
            </w:tcBorders>
            <w:vAlign w:val="center"/>
          </w:tcPr>
          <w:p w14:paraId="73823512" w14:textId="77777777" w:rsidR="000400F7" w:rsidRPr="00E73797" w:rsidRDefault="000400F7" w:rsidP="00C41313">
            <w:pPr>
              <w:jc w:val="center"/>
              <w:rPr>
                <w:rFonts w:ascii="宋体" w:hAnsi="宋体"/>
                <w:sz w:val="21"/>
                <w:szCs w:val="21"/>
              </w:rPr>
            </w:pPr>
          </w:p>
        </w:tc>
        <w:tc>
          <w:tcPr>
            <w:tcW w:w="714" w:type="pct"/>
            <w:tcBorders>
              <w:bottom w:val="single" w:sz="6" w:space="0" w:color="000000"/>
            </w:tcBorders>
            <w:vAlign w:val="center"/>
          </w:tcPr>
          <w:p w14:paraId="653AF876" w14:textId="77777777" w:rsidR="000400F7" w:rsidRPr="00E73797" w:rsidRDefault="000400F7" w:rsidP="00C41313">
            <w:pPr>
              <w:jc w:val="center"/>
              <w:rPr>
                <w:rFonts w:ascii="宋体" w:hAnsi="宋体"/>
                <w:sz w:val="21"/>
                <w:szCs w:val="21"/>
              </w:rPr>
            </w:pPr>
          </w:p>
        </w:tc>
        <w:tc>
          <w:tcPr>
            <w:tcW w:w="714" w:type="pct"/>
            <w:tcBorders>
              <w:bottom w:val="single" w:sz="6" w:space="0" w:color="000000"/>
              <w:right w:val="single" w:sz="6" w:space="0" w:color="000000"/>
            </w:tcBorders>
            <w:vAlign w:val="center"/>
          </w:tcPr>
          <w:p w14:paraId="225AA9B3" w14:textId="77777777" w:rsidR="000400F7" w:rsidRPr="00E73797" w:rsidRDefault="000400F7" w:rsidP="00C41313">
            <w:pPr>
              <w:jc w:val="center"/>
              <w:rPr>
                <w:rFonts w:ascii="宋体" w:hAnsi="宋体"/>
                <w:sz w:val="21"/>
                <w:szCs w:val="21"/>
              </w:rPr>
            </w:pPr>
          </w:p>
        </w:tc>
      </w:tr>
    </w:tbl>
    <w:p w14:paraId="58AEFEDE" w14:textId="77777777" w:rsidR="000400F7" w:rsidRDefault="000400F7" w:rsidP="000400F7">
      <w:pPr>
        <w:pStyle w:val="13"/>
      </w:pPr>
      <w:r>
        <w:rPr>
          <w:rFonts w:hint="eastAsia"/>
        </w:rPr>
        <w:t>注：（</w:t>
      </w:r>
      <w:r>
        <w:t>1）坡屋面和经特殊保温处理的顶层可根据实际情况作适当调整，上调幅度</w:t>
      </w:r>
      <w:r>
        <w:rPr>
          <w:rFonts w:hint="eastAsia"/>
        </w:rPr>
        <w:t>不超过</w:t>
      </w:r>
      <w:r>
        <w:t xml:space="preserve"> 100 元/平方米；（2）多层带电梯的楼房据实际情况另行调 整；（3） 一楼附</w:t>
      </w:r>
      <w:r>
        <w:rPr>
          <w:rFonts w:hint="eastAsia"/>
        </w:rPr>
        <w:t>带经统一配建的独立院落时，</w:t>
      </w:r>
      <w:r>
        <w:t>价格作相应调整，上调幅度 最高不超过其房屋评估价值的2% 。</w:t>
      </w:r>
    </w:p>
    <w:p w14:paraId="4C745F78" w14:textId="77777777" w:rsidR="000400F7" w:rsidRDefault="000400F7" w:rsidP="000400F7">
      <w:pPr>
        <w:pStyle w:val="13"/>
      </w:pPr>
      <w:r>
        <w:t>2.朝向调整系数表</w:t>
      </w:r>
    </w:p>
    <w:p w14:paraId="277F49C0" w14:textId="77777777" w:rsidR="000400F7" w:rsidRDefault="000400F7" w:rsidP="000400F7">
      <w:pPr>
        <w:pStyle w:val="13"/>
      </w:pPr>
      <w:r>
        <w:rPr>
          <w:rFonts w:hint="eastAsia"/>
        </w:rPr>
        <w:t>（</w:t>
      </w:r>
      <w:r>
        <w:t>1）平房朝向调整</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039"/>
        <w:gridCol w:w="1666"/>
        <w:gridCol w:w="1675"/>
        <w:gridCol w:w="1675"/>
        <w:gridCol w:w="1659"/>
      </w:tblGrid>
      <w:tr w:rsidR="000400F7" w:rsidRPr="00495C65" w14:paraId="28E4BCD0" w14:textId="77777777" w:rsidTr="00C41313">
        <w:trPr>
          <w:trHeight w:val="340"/>
          <w:jc w:val="center"/>
        </w:trPr>
        <w:tc>
          <w:tcPr>
            <w:tcW w:w="1170" w:type="pct"/>
            <w:tcBorders>
              <w:top w:val="single" w:sz="6" w:space="0" w:color="000000"/>
              <w:left w:val="single" w:sz="6" w:space="0" w:color="000000"/>
            </w:tcBorders>
            <w:vAlign w:val="center"/>
          </w:tcPr>
          <w:p w14:paraId="593D0558" w14:textId="77777777" w:rsidR="000400F7" w:rsidRPr="00495C65" w:rsidRDefault="000400F7" w:rsidP="00C41313">
            <w:pPr>
              <w:spacing w:line="204" w:lineRule="auto"/>
              <w:jc w:val="center"/>
              <w:rPr>
                <w:rFonts w:cs="黑体"/>
                <w:sz w:val="21"/>
                <w:szCs w:val="21"/>
              </w:rPr>
            </w:pPr>
            <w:r w:rsidRPr="00495C65">
              <w:rPr>
                <w:rFonts w:cs="黑体"/>
                <w:spacing w:val="-6"/>
                <w:sz w:val="21"/>
                <w:szCs w:val="21"/>
              </w:rPr>
              <w:t>朝向</w:t>
            </w:r>
          </w:p>
        </w:tc>
        <w:tc>
          <w:tcPr>
            <w:tcW w:w="956" w:type="pct"/>
            <w:tcBorders>
              <w:top w:val="single" w:sz="6" w:space="0" w:color="000000"/>
            </w:tcBorders>
            <w:vAlign w:val="center"/>
          </w:tcPr>
          <w:p w14:paraId="1502DC76" w14:textId="77777777" w:rsidR="000400F7" w:rsidRPr="00495C65" w:rsidRDefault="000400F7" w:rsidP="00C41313">
            <w:pPr>
              <w:spacing w:line="204" w:lineRule="auto"/>
              <w:jc w:val="center"/>
              <w:rPr>
                <w:rFonts w:cs="黑体"/>
                <w:sz w:val="21"/>
                <w:szCs w:val="21"/>
              </w:rPr>
            </w:pPr>
            <w:r w:rsidRPr="00495C65">
              <w:rPr>
                <w:rFonts w:cs="黑体"/>
                <w:sz w:val="21"/>
                <w:szCs w:val="21"/>
              </w:rPr>
              <w:t>东</w:t>
            </w:r>
          </w:p>
        </w:tc>
        <w:tc>
          <w:tcPr>
            <w:tcW w:w="961" w:type="pct"/>
            <w:tcBorders>
              <w:top w:val="single" w:sz="6" w:space="0" w:color="000000"/>
            </w:tcBorders>
            <w:vAlign w:val="center"/>
          </w:tcPr>
          <w:p w14:paraId="29D04607" w14:textId="77777777" w:rsidR="000400F7" w:rsidRPr="00495C65" w:rsidRDefault="000400F7" w:rsidP="00C41313">
            <w:pPr>
              <w:spacing w:line="204" w:lineRule="auto"/>
              <w:jc w:val="center"/>
              <w:rPr>
                <w:rFonts w:cs="黑体"/>
                <w:sz w:val="21"/>
                <w:szCs w:val="21"/>
              </w:rPr>
            </w:pPr>
            <w:r w:rsidRPr="00495C65">
              <w:rPr>
                <w:rFonts w:cs="黑体"/>
                <w:sz w:val="21"/>
                <w:szCs w:val="21"/>
              </w:rPr>
              <w:t>西</w:t>
            </w:r>
          </w:p>
        </w:tc>
        <w:tc>
          <w:tcPr>
            <w:tcW w:w="961" w:type="pct"/>
            <w:tcBorders>
              <w:top w:val="single" w:sz="6" w:space="0" w:color="000000"/>
            </w:tcBorders>
            <w:vAlign w:val="center"/>
          </w:tcPr>
          <w:p w14:paraId="361B45FF" w14:textId="77777777" w:rsidR="000400F7" w:rsidRPr="00495C65" w:rsidRDefault="000400F7" w:rsidP="00C41313">
            <w:pPr>
              <w:spacing w:line="204" w:lineRule="auto"/>
              <w:jc w:val="center"/>
              <w:rPr>
                <w:rFonts w:cs="黑体"/>
                <w:sz w:val="21"/>
                <w:szCs w:val="21"/>
              </w:rPr>
            </w:pPr>
            <w:r w:rsidRPr="00495C65">
              <w:rPr>
                <w:rFonts w:cs="黑体"/>
                <w:sz w:val="21"/>
                <w:szCs w:val="21"/>
              </w:rPr>
              <w:t>南</w:t>
            </w:r>
          </w:p>
        </w:tc>
        <w:tc>
          <w:tcPr>
            <w:tcW w:w="952" w:type="pct"/>
            <w:tcBorders>
              <w:top w:val="single" w:sz="6" w:space="0" w:color="000000"/>
              <w:right w:val="single" w:sz="6" w:space="0" w:color="000000"/>
            </w:tcBorders>
            <w:vAlign w:val="center"/>
          </w:tcPr>
          <w:p w14:paraId="4F591E1A" w14:textId="77777777" w:rsidR="000400F7" w:rsidRPr="00495C65" w:rsidRDefault="000400F7" w:rsidP="00C41313">
            <w:pPr>
              <w:spacing w:line="204" w:lineRule="auto"/>
              <w:jc w:val="center"/>
              <w:rPr>
                <w:rFonts w:cs="黑体"/>
                <w:sz w:val="21"/>
                <w:szCs w:val="21"/>
              </w:rPr>
            </w:pPr>
            <w:r w:rsidRPr="00495C65">
              <w:rPr>
                <w:rFonts w:cs="黑体"/>
                <w:sz w:val="21"/>
                <w:szCs w:val="21"/>
              </w:rPr>
              <w:t>北</w:t>
            </w:r>
          </w:p>
        </w:tc>
      </w:tr>
      <w:tr w:rsidR="000400F7" w:rsidRPr="00495C65" w14:paraId="72D60CBE" w14:textId="77777777" w:rsidTr="00C41313">
        <w:trPr>
          <w:trHeight w:val="340"/>
          <w:jc w:val="center"/>
        </w:trPr>
        <w:tc>
          <w:tcPr>
            <w:tcW w:w="1170" w:type="pct"/>
            <w:tcBorders>
              <w:left w:val="single" w:sz="6" w:space="0" w:color="000000"/>
              <w:bottom w:val="single" w:sz="6" w:space="0" w:color="000000"/>
            </w:tcBorders>
            <w:vAlign w:val="center"/>
          </w:tcPr>
          <w:p w14:paraId="6A2C4A95" w14:textId="77777777" w:rsidR="000400F7" w:rsidRPr="00495C65" w:rsidRDefault="000400F7" w:rsidP="00C41313">
            <w:pPr>
              <w:spacing w:line="204" w:lineRule="auto"/>
              <w:jc w:val="center"/>
              <w:rPr>
                <w:rFonts w:cs="仿宋"/>
                <w:sz w:val="21"/>
                <w:szCs w:val="21"/>
              </w:rPr>
            </w:pPr>
            <w:r w:rsidRPr="00495C65">
              <w:rPr>
                <w:rFonts w:cs="仿宋"/>
                <w:spacing w:val="-3"/>
                <w:sz w:val="21"/>
                <w:szCs w:val="21"/>
              </w:rPr>
              <w:t>调整系数（</w:t>
            </w:r>
            <w:r w:rsidRPr="00495C65">
              <w:rPr>
                <w:rFonts w:cs="仿宋"/>
                <w:spacing w:val="-3"/>
                <w:sz w:val="21"/>
                <w:szCs w:val="21"/>
              </w:rPr>
              <w:t>%</w:t>
            </w:r>
            <w:r w:rsidRPr="00495C65">
              <w:rPr>
                <w:rFonts w:cs="仿宋"/>
                <w:spacing w:val="-3"/>
                <w:sz w:val="21"/>
                <w:szCs w:val="21"/>
              </w:rPr>
              <w:t>）</w:t>
            </w:r>
          </w:p>
        </w:tc>
        <w:tc>
          <w:tcPr>
            <w:tcW w:w="956" w:type="pct"/>
            <w:tcBorders>
              <w:bottom w:val="single" w:sz="6" w:space="0" w:color="000000"/>
            </w:tcBorders>
            <w:vAlign w:val="center"/>
          </w:tcPr>
          <w:p w14:paraId="403619DC" w14:textId="77777777" w:rsidR="000400F7" w:rsidRPr="00495C65" w:rsidRDefault="000400F7" w:rsidP="00C41313">
            <w:pPr>
              <w:spacing w:line="204" w:lineRule="auto"/>
              <w:jc w:val="center"/>
              <w:rPr>
                <w:rFonts w:cs="仿宋"/>
                <w:sz w:val="21"/>
                <w:szCs w:val="21"/>
              </w:rPr>
            </w:pPr>
            <w:r w:rsidRPr="00495C65">
              <w:rPr>
                <w:rFonts w:cs="仿宋"/>
                <w:spacing w:val="-4"/>
                <w:sz w:val="21"/>
                <w:szCs w:val="21"/>
              </w:rPr>
              <w:t>-0.5</w:t>
            </w:r>
          </w:p>
        </w:tc>
        <w:tc>
          <w:tcPr>
            <w:tcW w:w="961" w:type="pct"/>
            <w:tcBorders>
              <w:bottom w:val="single" w:sz="6" w:space="0" w:color="000000"/>
            </w:tcBorders>
            <w:vAlign w:val="center"/>
          </w:tcPr>
          <w:p w14:paraId="768ADDB1" w14:textId="77777777" w:rsidR="000400F7" w:rsidRPr="00495C65" w:rsidRDefault="000400F7" w:rsidP="00C41313">
            <w:pPr>
              <w:spacing w:line="204" w:lineRule="auto"/>
              <w:jc w:val="center"/>
              <w:rPr>
                <w:rFonts w:cs="仿宋"/>
                <w:sz w:val="21"/>
                <w:szCs w:val="21"/>
              </w:rPr>
            </w:pPr>
            <w:r w:rsidRPr="00495C65">
              <w:rPr>
                <w:rFonts w:cs="仿宋"/>
                <w:spacing w:val="-4"/>
                <w:sz w:val="21"/>
                <w:szCs w:val="21"/>
              </w:rPr>
              <w:t>-0.5</w:t>
            </w:r>
          </w:p>
        </w:tc>
        <w:tc>
          <w:tcPr>
            <w:tcW w:w="961" w:type="pct"/>
            <w:tcBorders>
              <w:bottom w:val="single" w:sz="6" w:space="0" w:color="000000"/>
            </w:tcBorders>
            <w:vAlign w:val="center"/>
          </w:tcPr>
          <w:p w14:paraId="4867C829" w14:textId="77777777" w:rsidR="000400F7" w:rsidRPr="00495C65" w:rsidRDefault="000400F7" w:rsidP="00C41313">
            <w:pPr>
              <w:spacing w:line="204" w:lineRule="auto"/>
              <w:jc w:val="center"/>
              <w:rPr>
                <w:rFonts w:cs="仿宋"/>
                <w:sz w:val="21"/>
                <w:szCs w:val="21"/>
              </w:rPr>
            </w:pPr>
            <w:r w:rsidRPr="00495C65">
              <w:rPr>
                <w:rFonts w:cs="仿宋"/>
                <w:sz w:val="21"/>
                <w:szCs w:val="21"/>
              </w:rPr>
              <w:t>0</w:t>
            </w:r>
          </w:p>
        </w:tc>
        <w:tc>
          <w:tcPr>
            <w:tcW w:w="952" w:type="pct"/>
            <w:tcBorders>
              <w:bottom w:val="single" w:sz="6" w:space="0" w:color="000000"/>
              <w:right w:val="single" w:sz="6" w:space="0" w:color="000000"/>
            </w:tcBorders>
            <w:vAlign w:val="center"/>
          </w:tcPr>
          <w:p w14:paraId="5076A649" w14:textId="77777777" w:rsidR="000400F7" w:rsidRPr="00495C65" w:rsidRDefault="000400F7" w:rsidP="00C41313">
            <w:pPr>
              <w:spacing w:line="204" w:lineRule="auto"/>
              <w:jc w:val="center"/>
              <w:rPr>
                <w:rFonts w:cs="仿宋"/>
                <w:sz w:val="21"/>
                <w:szCs w:val="21"/>
              </w:rPr>
            </w:pPr>
            <w:r w:rsidRPr="00495C65">
              <w:rPr>
                <w:rFonts w:cs="仿宋"/>
                <w:spacing w:val="-4"/>
                <w:sz w:val="21"/>
                <w:szCs w:val="21"/>
              </w:rPr>
              <w:t>-0.5</w:t>
            </w:r>
          </w:p>
        </w:tc>
      </w:tr>
    </w:tbl>
    <w:p w14:paraId="18B3C724" w14:textId="77777777" w:rsidR="000400F7" w:rsidRDefault="000400F7" w:rsidP="000400F7">
      <w:pPr>
        <w:pStyle w:val="13"/>
      </w:pPr>
      <w:r>
        <w:rPr>
          <w:rFonts w:hint="eastAsia"/>
        </w:rPr>
        <w:t>（</w:t>
      </w:r>
      <w:r>
        <w:t>2）楼房朝向调整</w:t>
      </w:r>
    </w:p>
    <w:p w14:paraId="43EB7C21" w14:textId="77777777" w:rsidR="000400F7" w:rsidRDefault="000400F7" w:rsidP="000400F7">
      <w:pPr>
        <w:pStyle w:val="13"/>
      </w:pPr>
      <w:r>
        <w:t xml:space="preserve"> 以南</w:t>
      </w:r>
      <w:proofErr w:type="gramStart"/>
      <w:r>
        <w:t>北朝向</w:t>
      </w:r>
      <w:proofErr w:type="gramEnd"/>
      <w:r>
        <w:t>为基准，其他朝向-0.5％。</w:t>
      </w:r>
    </w:p>
    <w:p w14:paraId="3C05E5D7" w14:textId="77777777" w:rsidR="000400F7" w:rsidRDefault="000400F7" w:rsidP="000400F7">
      <w:pPr>
        <w:pStyle w:val="13"/>
      </w:pPr>
      <w:r>
        <w:t>3.成新调整</w:t>
      </w:r>
    </w:p>
    <w:p w14:paraId="494F3981" w14:textId="77777777" w:rsidR="000400F7" w:rsidRDefault="000400F7" w:rsidP="000400F7">
      <w:pPr>
        <w:pStyle w:val="13"/>
      </w:pPr>
      <w:r>
        <w:rPr>
          <w:rFonts w:hint="eastAsia"/>
        </w:rPr>
        <w:t>以评估</w:t>
      </w:r>
      <w:proofErr w:type="gramStart"/>
      <w:r>
        <w:rPr>
          <w:rFonts w:hint="eastAsia"/>
        </w:rPr>
        <w:t>基准房</w:t>
      </w:r>
      <w:proofErr w:type="gramEnd"/>
      <w:r>
        <w:rPr>
          <w:rFonts w:hint="eastAsia"/>
        </w:rPr>
        <w:t>为基准，</w:t>
      </w:r>
      <w:r>
        <w:t xml:space="preserve">根据被征收房屋的建成年代和维护情 </w:t>
      </w:r>
      <w:proofErr w:type="gramStart"/>
      <w:r>
        <w:t>况</w:t>
      </w:r>
      <w:proofErr w:type="gramEnd"/>
      <w:r>
        <w:t>作适当调整，成新调整一般不超过 500 元/平方米。</w:t>
      </w:r>
    </w:p>
    <w:p w14:paraId="7F5DDFE1" w14:textId="77777777" w:rsidR="000400F7" w:rsidRDefault="000400F7" w:rsidP="000400F7">
      <w:pPr>
        <w:pStyle w:val="13"/>
      </w:pPr>
      <w:r>
        <w:rPr>
          <w:rFonts w:hint="eastAsia"/>
        </w:rPr>
        <w:t>附件</w:t>
      </w:r>
      <w:r>
        <w:t xml:space="preserve"> 3</w:t>
      </w:r>
    </w:p>
    <w:p w14:paraId="4F62A8A8" w14:textId="77777777" w:rsidR="000400F7" w:rsidRDefault="000400F7" w:rsidP="000400F7">
      <w:pPr>
        <w:pStyle w:val="13"/>
      </w:pPr>
      <w:r>
        <w:rPr>
          <w:rFonts w:hint="eastAsia"/>
        </w:rPr>
        <w:t>住宅房屋产权调换房屋调整系数</w:t>
      </w:r>
    </w:p>
    <w:p w14:paraId="16ED20DB" w14:textId="77777777" w:rsidR="000400F7" w:rsidRDefault="000400F7" w:rsidP="000400F7">
      <w:pPr>
        <w:pStyle w:val="13"/>
      </w:pPr>
      <w:r>
        <w:t>1.楼层调整</w:t>
      </w:r>
    </w:p>
    <w:p w14:paraId="221233A6" w14:textId="77777777" w:rsidR="000400F7" w:rsidRDefault="000400F7" w:rsidP="000400F7">
      <w:pPr>
        <w:pStyle w:val="13"/>
      </w:pPr>
      <w:r>
        <w:rPr>
          <w:rFonts w:hint="eastAsia"/>
        </w:rPr>
        <w:t>多层房屋可参照被征收房屋调整系数并结合安置房屋的每</w:t>
      </w:r>
      <w:r>
        <w:t xml:space="preserve"> 层户数、有无电梯等实际情况进行调整。中高层、高层房屋楼层 调整可根据具体工程实际情况合理确定，每层增减幅度以 20-50 元/平方米为宜。</w:t>
      </w:r>
    </w:p>
    <w:p w14:paraId="2F5422B9" w14:textId="77777777" w:rsidR="000400F7" w:rsidRDefault="000400F7" w:rsidP="000400F7">
      <w:pPr>
        <w:pStyle w:val="13"/>
      </w:pPr>
      <w:r>
        <w:t>2.朝向、户型调整</w:t>
      </w:r>
    </w:p>
    <w:p w14:paraId="49C4EE9F" w14:textId="77777777" w:rsidR="000400F7" w:rsidRDefault="000400F7" w:rsidP="000400F7">
      <w:pPr>
        <w:pStyle w:val="13"/>
      </w:pPr>
      <w:r>
        <w:rPr>
          <w:rFonts w:hint="eastAsia"/>
        </w:rPr>
        <w:t>朝向、户型调整应根据产权调换房屋具体情况酌情合理确</w:t>
      </w:r>
      <w:r>
        <w:t xml:space="preserve"> 定。</w:t>
      </w:r>
    </w:p>
    <w:p w14:paraId="23031451" w14:textId="682B543E" w:rsidR="000400F7" w:rsidRDefault="000400F7" w:rsidP="000400F7">
      <w:pPr>
        <w:pStyle w:val="13"/>
      </w:pPr>
      <w:r>
        <w:rPr>
          <w:rFonts w:hint="eastAsia"/>
        </w:rPr>
        <w:t>本附件所列调整数值及系数属一般性规定，</w:t>
      </w:r>
      <w:r>
        <w:t>具体工程中可根 据实际情况作适当调整。</w:t>
      </w:r>
    </w:p>
    <w:p w14:paraId="614BB626" w14:textId="77777777" w:rsidR="000400F7" w:rsidRDefault="000400F7">
      <w:pPr>
        <w:widowControl/>
        <w:jc w:val="left"/>
        <w:rPr>
          <w:rFonts w:ascii="宋体" w:hAnsi="宋体"/>
          <w:sz w:val="24"/>
          <w:szCs w:val="24"/>
        </w:rPr>
      </w:pPr>
      <w:r>
        <w:br w:type="page"/>
      </w:r>
    </w:p>
    <w:p w14:paraId="31E6529A" w14:textId="140FC79E" w:rsidR="00495C65" w:rsidRDefault="00495C65" w:rsidP="00495C65">
      <w:pPr>
        <w:pStyle w:val="21"/>
        <w:spacing w:before="156" w:after="93"/>
      </w:pPr>
      <w:bookmarkStart w:id="136" w:name="_Toc81833397"/>
      <w:r w:rsidRPr="00CC6069">
        <w:lastRenderedPageBreak/>
        <w:t>北京规范</w:t>
      </w:r>
      <w:bookmarkEnd w:id="135"/>
      <w:bookmarkEnd w:id="136"/>
    </w:p>
    <w:p w14:paraId="61FEDA8E" w14:textId="7DB477EF" w:rsidR="000400F7" w:rsidRDefault="000400F7" w:rsidP="000400F7">
      <w:pPr>
        <w:pStyle w:val="31"/>
        <w:spacing w:before="156" w:after="62"/>
      </w:pPr>
      <w:bookmarkStart w:id="137" w:name="北京市企业国有建设用地使用权收购补偿价格评估技术指引（北估秘〔2018〕010号"/>
      <w:bookmarkStart w:id="138" w:name="_bookmark102"/>
      <w:bookmarkStart w:id="139" w:name="_Toc81833398"/>
      <w:bookmarkStart w:id="140" w:name="_Toc77032573"/>
      <w:bookmarkEnd w:id="137"/>
      <w:bookmarkEnd w:id="138"/>
      <w:r>
        <w:rPr>
          <w:rFonts w:hint="eastAsia"/>
        </w:rPr>
        <w:t>北京市土地增值税扣除项目评估技术指引（旧房及建筑物评估）</w:t>
      </w:r>
      <w:r>
        <w:br/>
        <w:t>(京</w:t>
      </w:r>
      <w:proofErr w:type="gramStart"/>
      <w:r>
        <w:t>地税财行</w:t>
      </w:r>
      <w:proofErr w:type="gramEnd"/>
      <w:r>
        <w:t>[2016]40号）</w:t>
      </w:r>
      <w:bookmarkEnd w:id="139"/>
    </w:p>
    <w:p w14:paraId="0913644A" w14:textId="77777777" w:rsidR="000400F7" w:rsidRDefault="000400F7" w:rsidP="00AF7342">
      <w:pPr>
        <w:pStyle w:val="a9"/>
        <w:spacing w:before="62" w:after="62"/>
      </w:pPr>
      <w:r>
        <w:rPr>
          <w:rFonts w:hint="eastAsia"/>
        </w:rPr>
        <w:t>北京市地方税务局关于加强土地增值税存量房税收征管工作的通知</w:t>
      </w:r>
    </w:p>
    <w:p w14:paraId="47FB112C" w14:textId="77777777" w:rsidR="000400F7" w:rsidRDefault="000400F7" w:rsidP="000400F7">
      <w:pPr>
        <w:pStyle w:val="13"/>
        <w:ind w:firstLineChars="0" w:firstLine="0"/>
      </w:pPr>
      <w:r>
        <w:rPr>
          <w:rFonts w:hint="eastAsia"/>
        </w:rPr>
        <w:t>各区地方税务局、各分局，市局各处室、直属单位：</w:t>
      </w:r>
    </w:p>
    <w:p w14:paraId="05CE97DC" w14:textId="77777777" w:rsidR="000400F7" w:rsidRDefault="000400F7" w:rsidP="000400F7">
      <w:pPr>
        <w:pStyle w:val="13"/>
      </w:pPr>
      <w:r>
        <w:rPr>
          <w:rFonts w:hint="eastAsia"/>
        </w:rPr>
        <w:t>为进一步加强土地增值税存量房税收征管工作，合理评估土地增值税扣除项目、防范税收执法风险，现将有关事项通知如下：</w:t>
      </w:r>
    </w:p>
    <w:p w14:paraId="61A4825A" w14:textId="77777777" w:rsidR="000400F7" w:rsidRDefault="000400F7" w:rsidP="000400F7">
      <w:pPr>
        <w:pStyle w:val="13"/>
      </w:pPr>
      <w:r>
        <w:rPr>
          <w:rFonts w:hint="eastAsia"/>
        </w:rPr>
        <w:t>一、转让旧房及建筑物的纳税人，根据《中华人民共和国土地增值税暂行条例》第六条第三款的规定以旧房及建筑物的评估价格作为扣除项目的，可委托具有房地产估价机构资质的房地产估价机构开展旧房及建筑物价格评估工作。受委托的房地产估价机构应按照《北京市土地增值税扣除项目评估技术指引（旧房及建筑物评估）》（见 附件）的要求出具评估报告。</w:t>
      </w:r>
    </w:p>
    <w:p w14:paraId="7F298FB5" w14:textId="77777777" w:rsidR="000400F7" w:rsidRDefault="000400F7" w:rsidP="000400F7">
      <w:pPr>
        <w:pStyle w:val="13"/>
      </w:pPr>
      <w:r>
        <w:rPr>
          <w:rFonts w:hint="eastAsia"/>
        </w:rPr>
        <w:t>二、纳税人应如实申报房地产成交价格。申报的房地产成交价格低于旧房及建筑物评估价格的，税务机关应按照《中华人民共和国土地增值税暂行条例》第九条的规定计算征收税款。</w:t>
      </w:r>
    </w:p>
    <w:p w14:paraId="787B0ADC" w14:textId="77777777" w:rsidR="000400F7" w:rsidRDefault="000400F7" w:rsidP="000400F7">
      <w:pPr>
        <w:pStyle w:val="13"/>
      </w:pPr>
      <w:r>
        <w:rPr>
          <w:rFonts w:hint="eastAsia"/>
        </w:rPr>
        <w:t>三、房地产估价机构在执业过程中应遵守职业道德，坚持独立、客观、公正的原则，</w:t>
      </w:r>
      <w:r>
        <w:t>对估价结果的真实性、合理性负责。提供虚假评估结果，造成纳税人不缴或少缴土地增值税的，房地产估价机构应承担相应的责任。</w:t>
      </w:r>
    </w:p>
    <w:p w14:paraId="235CA0B8" w14:textId="77777777" w:rsidR="000400F7" w:rsidRDefault="000400F7" w:rsidP="000400F7">
      <w:pPr>
        <w:pStyle w:val="13"/>
      </w:pPr>
      <w:r>
        <w:rPr>
          <w:rFonts w:hint="eastAsia"/>
        </w:rPr>
        <w:t>四、本通知自发布之日起执行。纳税人转让旧房及建筑物申报缴纳土地增值税时，需要委托房地产估价机构进行评估的，应按照本通知的相关规定，提交关于旧房及建筑物价格的房地产估价报告。对于通知发布前，纳税人已经进行土地增值税纳税申报并向税务机关提交旧房及建筑物估价报告的，可按原管理规定执行。</w:t>
      </w:r>
    </w:p>
    <w:p w14:paraId="338E83FE" w14:textId="77777777" w:rsidR="000400F7" w:rsidRDefault="000400F7" w:rsidP="000400F7">
      <w:pPr>
        <w:pStyle w:val="13"/>
      </w:pPr>
      <w:r>
        <w:rPr>
          <w:rFonts w:hint="eastAsia"/>
        </w:rPr>
        <w:t>附件：北京市土地增值税扣除项目评估技术指引（旧房及建筑物评估）</w:t>
      </w:r>
    </w:p>
    <w:p w14:paraId="7D6A763F" w14:textId="77777777" w:rsidR="000400F7" w:rsidRDefault="000400F7" w:rsidP="000400F7">
      <w:pPr>
        <w:pStyle w:val="13"/>
        <w:jc w:val="right"/>
      </w:pPr>
      <w:r>
        <w:rPr>
          <w:rFonts w:hint="eastAsia"/>
        </w:rPr>
        <w:t>北京市地方税务局</w:t>
      </w:r>
    </w:p>
    <w:p w14:paraId="784739F5" w14:textId="77777777" w:rsidR="000400F7" w:rsidRDefault="000400F7" w:rsidP="000400F7">
      <w:pPr>
        <w:pStyle w:val="13"/>
        <w:jc w:val="right"/>
      </w:pPr>
      <w:r>
        <w:t>2016年2月29日</w:t>
      </w:r>
    </w:p>
    <w:p w14:paraId="5F875B92" w14:textId="77777777" w:rsidR="000400F7" w:rsidRPr="00A73489" w:rsidRDefault="000400F7" w:rsidP="00AF7342">
      <w:pPr>
        <w:pStyle w:val="a9"/>
        <w:spacing w:before="62" w:after="62"/>
      </w:pPr>
      <w:r w:rsidRPr="00A73489">
        <w:rPr>
          <w:rFonts w:hint="eastAsia"/>
        </w:rPr>
        <w:t>北京市土地增值税扣除项目评估技术指引</w:t>
      </w:r>
    </w:p>
    <w:p w14:paraId="66D0DBB5" w14:textId="77777777" w:rsidR="000400F7" w:rsidRDefault="000400F7" w:rsidP="00AF7342">
      <w:pPr>
        <w:pStyle w:val="a9"/>
        <w:spacing w:before="62" w:after="62"/>
      </w:pPr>
      <w:r>
        <w:rPr>
          <w:rFonts w:hint="eastAsia"/>
        </w:rPr>
        <w:t>（旧房及建筑物评估）</w:t>
      </w:r>
    </w:p>
    <w:p w14:paraId="7589AFA1" w14:textId="77777777" w:rsidR="000400F7" w:rsidRDefault="000400F7" w:rsidP="00AF7342">
      <w:pPr>
        <w:pStyle w:val="a9"/>
        <w:spacing w:before="62" w:after="62"/>
      </w:pPr>
      <w:r>
        <w:t>1 总则</w:t>
      </w:r>
    </w:p>
    <w:p w14:paraId="3E239D83" w14:textId="77777777" w:rsidR="000400F7" w:rsidRDefault="000400F7" w:rsidP="000400F7">
      <w:pPr>
        <w:pStyle w:val="ab"/>
        <w:spacing w:before="62" w:after="62"/>
        <w:ind w:firstLine="482"/>
      </w:pPr>
      <w:r>
        <w:rPr>
          <w:rFonts w:hint="eastAsia"/>
        </w:rPr>
        <w:t>1</w:t>
      </w:r>
      <w:r>
        <w:t xml:space="preserve">.1 </w:t>
      </w:r>
      <w:r>
        <w:rPr>
          <w:rFonts w:hint="eastAsia"/>
        </w:rPr>
        <w:t>目的与依据</w:t>
      </w:r>
    </w:p>
    <w:p w14:paraId="775E8553" w14:textId="77777777" w:rsidR="000400F7" w:rsidRDefault="000400F7" w:rsidP="000400F7">
      <w:pPr>
        <w:pStyle w:val="13"/>
      </w:pPr>
      <w:r>
        <w:rPr>
          <w:rFonts w:hint="eastAsia"/>
        </w:rPr>
        <w:t>为规范北京市土地增值税扣除项目的房地产估价活动，合理评估土地增值税扣除项目，</w:t>
      </w:r>
      <w:r>
        <w:t>保障国家和本市土地增值税相关法规制度的顺利实施，依据《中华人民共和国土地增值税暂行条例》（以下简称《暂行条例》）《中华人民共和国土地增值税暂行</w:t>
      </w:r>
      <w:r>
        <w:lastRenderedPageBreak/>
        <w:t>条例实施细则》（以下简称《实施细则》）等法规文件以及《房地产估价规范》《房地产估价基本术语标准》，制定《北京市土地增值税扣除项目评估技术指引（旧房及建筑物评估）》（以下简称《指引》）。</w:t>
      </w:r>
    </w:p>
    <w:p w14:paraId="002DC016" w14:textId="77777777" w:rsidR="000400F7" w:rsidRDefault="000400F7" w:rsidP="000400F7">
      <w:pPr>
        <w:pStyle w:val="ab"/>
        <w:spacing w:before="62" w:after="62"/>
        <w:ind w:firstLine="482"/>
      </w:pPr>
      <w:r>
        <w:rPr>
          <w:rFonts w:hint="eastAsia"/>
        </w:rPr>
        <w:t>1</w:t>
      </w:r>
      <w:r>
        <w:t xml:space="preserve">.2 </w:t>
      </w:r>
      <w:r>
        <w:rPr>
          <w:rFonts w:hint="eastAsia"/>
        </w:rPr>
        <w:t>适用范围</w:t>
      </w:r>
    </w:p>
    <w:p w14:paraId="762EB413" w14:textId="77777777" w:rsidR="000400F7" w:rsidRDefault="000400F7" w:rsidP="000400F7">
      <w:pPr>
        <w:pStyle w:val="13"/>
      </w:pPr>
      <w:r>
        <w:rPr>
          <w:rFonts w:hint="eastAsia"/>
        </w:rPr>
        <w:t>本指引适用于依据《暂行条例》《实施细则》转让旧房及建筑物时</w:t>
      </w:r>
      <w:r>
        <w:t>,确定土地增值税扣除项目金额的旧房及建筑物价格估价活动。</w:t>
      </w:r>
    </w:p>
    <w:p w14:paraId="78BF43EC" w14:textId="77777777" w:rsidR="000400F7" w:rsidRDefault="000400F7" w:rsidP="000400F7">
      <w:pPr>
        <w:pStyle w:val="ab"/>
        <w:spacing w:before="62" w:after="62"/>
        <w:ind w:firstLine="482"/>
      </w:pPr>
      <w:r>
        <w:rPr>
          <w:rFonts w:hint="eastAsia"/>
        </w:rPr>
        <w:t>1</w:t>
      </w:r>
      <w:r>
        <w:t xml:space="preserve">.3 </w:t>
      </w:r>
      <w:r>
        <w:rPr>
          <w:rFonts w:hint="eastAsia"/>
        </w:rPr>
        <w:t>估价原则</w:t>
      </w:r>
    </w:p>
    <w:p w14:paraId="5C9DA919" w14:textId="77777777" w:rsidR="000400F7" w:rsidRDefault="000400F7" w:rsidP="000400F7">
      <w:pPr>
        <w:pStyle w:val="13"/>
      </w:pPr>
      <w:r>
        <w:rPr>
          <w:rFonts w:hint="eastAsia"/>
        </w:rPr>
        <w:t>房地产估价机构和注册房地产估价师须遵循课税报告的特点，依据《暂行条例》《实施细则》以及相关的税制规定、政策，依据本指引独立、客观、公正地开展相关估价活动，并对出具的估价报告负责；遵循本指引的相关规定，不得对估价对象随意设定假设条件，不得根据预先设定的结果进行估价。</w:t>
      </w:r>
    </w:p>
    <w:p w14:paraId="276D015F" w14:textId="77777777" w:rsidR="000400F7" w:rsidRDefault="000400F7" w:rsidP="000400F7">
      <w:pPr>
        <w:pStyle w:val="ab"/>
        <w:spacing w:before="62" w:after="62"/>
        <w:ind w:firstLine="482"/>
      </w:pPr>
      <w:r>
        <w:rPr>
          <w:rFonts w:hint="eastAsia"/>
        </w:rPr>
        <w:t>1</w:t>
      </w:r>
      <w:r>
        <w:t xml:space="preserve">.4 </w:t>
      </w:r>
      <w:r>
        <w:rPr>
          <w:rFonts w:hint="eastAsia"/>
        </w:rPr>
        <w:t>作用</w:t>
      </w:r>
    </w:p>
    <w:p w14:paraId="1BDA5276" w14:textId="77777777" w:rsidR="000400F7" w:rsidRDefault="000400F7" w:rsidP="000400F7">
      <w:pPr>
        <w:pStyle w:val="13"/>
      </w:pPr>
      <w:r>
        <w:rPr>
          <w:rFonts w:hint="eastAsia"/>
        </w:rPr>
        <w:t>依据本指引得到的估价结果和估价报告可作为确定土地增值税扣除项目金额的参考依据，供税务机关审核。</w:t>
      </w:r>
    </w:p>
    <w:p w14:paraId="219A2E25" w14:textId="77777777" w:rsidR="000400F7" w:rsidRDefault="000400F7" w:rsidP="00AF7342">
      <w:pPr>
        <w:pStyle w:val="a9"/>
        <w:spacing w:before="62" w:after="62"/>
      </w:pPr>
      <w:r>
        <w:rPr>
          <w:rFonts w:hint="eastAsia"/>
        </w:rPr>
        <w:t>2</w:t>
      </w:r>
      <w:r>
        <w:t xml:space="preserve"> </w:t>
      </w:r>
      <w:r>
        <w:rPr>
          <w:rFonts w:hint="eastAsia"/>
        </w:rPr>
        <w:t>评估内容</w:t>
      </w:r>
    </w:p>
    <w:p w14:paraId="32E8FA8A" w14:textId="77777777" w:rsidR="000400F7" w:rsidRDefault="000400F7" w:rsidP="000400F7">
      <w:pPr>
        <w:pStyle w:val="ab"/>
        <w:spacing w:before="62" w:after="62"/>
        <w:ind w:firstLine="482"/>
      </w:pPr>
      <w:r>
        <w:rPr>
          <w:rFonts w:hint="eastAsia"/>
        </w:rPr>
        <w:t>2</w:t>
      </w:r>
      <w:r>
        <w:t xml:space="preserve">.1 </w:t>
      </w:r>
      <w:r>
        <w:rPr>
          <w:rFonts w:hint="eastAsia"/>
        </w:rPr>
        <w:t>旧房及建筑物价格</w:t>
      </w:r>
    </w:p>
    <w:p w14:paraId="2EE04358" w14:textId="77777777" w:rsidR="000400F7" w:rsidRDefault="000400F7" w:rsidP="000400F7">
      <w:pPr>
        <w:pStyle w:val="13"/>
      </w:pPr>
      <w:r>
        <w:rPr>
          <w:rFonts w:hint="eastAsia"/>
        </w:rPr>
        <w:t>本指引所称旧房及建筑物价格，为旧房及建筑物重置成本价乘以成新度折扣率后的价格，亦称旧房及建筑物重置成新价。</w:t>
      </w:r>
    </w:p>
    <w:p w14:paraId="6C845E2F" w14:textId="77777777" w:rsidR="000400F7" w:rsidRDefault="000400F7" w:rsidP="000400F7">
      <w:pPr>
        <w:pStyle w:val="ab"/>
        <w:spacing w:before="62" w:after="62"/>
        <w:ind w:firstLine="482"/>
      </w:pPr>
      <w:r>
        <w:rPr>
          <w:rFonts w:hint="eastAsia"/>
        </w:rPr>
        <w:t>2</w:t>
      </w:r>
      <w:r>
        <w:t xml:space="preserve">.2 </w:t>
      </w:r>
      <w:r>
        <w:rPr>
          <w:rFonts w:hint="eastAsia"/>
        </w:rPr>
        <w:t>旧房及建筑物重置成本价</w:t>
      </w:r>
    </w:p>
    <w:p w14:paraId="2D1E1B66" w14:textId="77777777" w:rsidR="000400F7" w:rsidRDefault="000400F7" w:rsidP="000400F7">
      <w:pPr>
        <w:pStyle w:val="13"/>
      </w:pPr>
      <w:r>
        <w:rPr>
          <w:rFonts w:hint="eastAsia"/>
        </w:rPr>
        <w:t>本指引所称旧房及建筑物重置成本价，是指采用价值时点的建筑材料、建筑构配件和设备及建筑技术、工艺等，在价值时点的国家财税制度和市场价格体系下，重新建造与估价对象建筑物具有相同效用的全新建筑物的必要支出</w:t>
      </w:r>
      <w:r>
        <w:t>。</w:t>
      </w:r>
    </w:p>
    <w:p w14:paraId="770DE84D" w14:textId="77777777" w:rsidR="000400F7" w:rsidRDefault="000400F7" w:rsidP="000400F7">
      <w:pPr>
        <w:pStyle w:val="13"/>
      </w:pPr>
      <w:r>
        <w:rPr>
          <w:rFonts w:hint="eastAsia"/>
        </w:rPr>
        <w:t>旧房及建筑物重置成本采用成本法评估，包括前期开发成本、房屋建设成本、管理费用、财务费用及其</w:t>
      </w:r>
      <w:proofErr w:type="gramStart"/>
      <w:r>
        <w:rPr>
          <w:rFonts w:hint="eastAsia"/>
        </w:rPr>
        <w:t>他成本</w:t>
      </w:r>
      <w:proofErr w:type="gramEnd"/>
      <w:r>
        <w:rPr>
          <w:rFonts w:hint="eastAsia"/>
        </w:rPr>
        <w:t>费用。</w:t>
      </w:r>
    </w:p>
    <w:p w14:paraId="6B95C06A" w14:textId="77777777" w:rsidR="000400F7" w:rsidRDefault="000400F7" w:rsidP="000400F7">
      <w:pPr>
        <w:pStyle w:val="ab"/>
        <w:spacing w:before="62" w:after="62"/>
        <w:ind w:firstLine="482"/>
      </w:pPr>
      <w:r>
        <w:t xml:space="preserve">2.3 </w:t>
      </w:r>
      <w:r>
        <w:rPr>
          <w:rFonts w:hint="eastAsia"/>
        </w:rPr>
        <w:t>成新度折扣率</w:t>
      </w:r>
    </w:p>
    <w:p w14:paraId="6B0398D1" w14:textId="77777777" w:rsidR="000400F7" w:rsidRDefault="000400F7" w:rsidP="000400F7">
      <w:pPr>
        <w:pStyle w:val="13"/>
      </w:pPr>
      <w:r>
        <w:rPr>
          <w:rFonts w:hint="eastAsia"/>
        </w:rPr>
        <w:t>成新度折扣率是指扣除建筑物因折旧造成价值减损后的余值占建筑物重置成本的百分比。</w:t>
      </w:r>
    </w:p>
    <w:p w14:paraId="040A82F0" w14:textId="77777777" w:rsidR="000400F7" w:rsidRDefault="000400F7" w:rsidP="00AF7342">
      <w:pPr>
        <w:pStyle w:val="a9"/>
        <w:spacing w:before="62" w:after="62"/>
      </w:pPr>
      <w:r>
        <w:rPr>
          <w:rFonts w:hint="eastAsia"/>
        </w:rPr>
        <w:t>3</w:t>
      </w:r>
      <w:r>
        <w:t xml:space="preserve"> </w:t>
      </w:r>
      <w:r>
        <w:rPr>
          <w:rFonts w:hint="eastAsia"/>
        </w:rPr>
        <w:t>评估相关事项</w:t>
      </w:r>
    </w:p>
    <w:p w14:paraId="224DF227" w14:textId="77777777" w:rsidR="000400F7" w:rsidRDefault="000400F7" w:rsidP="000400F7">
      <w:pPr>
        <w:pStyle w:val="ab"/>
        <w:spacing w:before="62" w:after="62"/>
        <w:ind w:firstLine="482"/>
      </w:pPr>
      <w:r>
        <w:rPr>
          <w:rFonts w:hint="eastAsia"/>
        </w:rPr>
        <w:t>3</w:t>
      </w:r>
      <w:r>
        <w:t xml:space="preserve">.1 </w:t>
      </w:r>
      <w:r>
        <w:rPr>
          <w:rFonts w:hint="eastAsia"/>
        </w:rPr>
        <w:t>估价目的</w:t>
      </w:r>
    </w:p>
    <w:p w14:paraId="234F8827" w14:textId="77777777" w:rsidR="000400F7" w:rsidRDefault="000400F7" w:rsidP="000400F7">
      <w:pPr>
        <w:pStyle w:val="13"/>
      </w:pPr>
      <w:r>
        <w:rPr>
          <w:rFonts w:hint="eastAsia"/>
        </w:rPr>
        <w:t>土地增值税扣除项目的估价目的应表述为：为估价委托人转让旧房及建筑物时向政府主管部门申报计算土地增值税扣除项目提供参考依据而评估旧房及建筑物价格，即旧房及建筑物重置成新价。</w:t>
      </w:r>
    </w:p>
    <w:p w14:paraId="3D270CAC" w14:textId="77777777" w:rsidR="000400F7" w:rsidRDefault="000400F7" w:rsidP="000400F7">
      <w:pPr>
        <w:pStyle w:val="ab"/>
        <w:spacing w:before="62" w:after="62"/>
        <w:ind w:firstLine="482"/>
      </w:pPr>
      <w:r w:rsidRPr="00317B68">
        <w:lastRenderedPageBreak/>
        <w:t>3.</w:t>
      </w:r>
      <w:r>
        <w:t xml:space="preserve">2 </w:t>
      </w:r>
      <w:r>
        <w:rPr>
          <w:rFonts w:hint="eastAsia"/>
        </w:rPr>
        <w:t>价值时点</w:t>
      </w:r>
    </w:p>
    <w:p w14:paraId="1E1DE76C" w14:textId="77777777" w:rsidR="000400F7" w:rsidRDefault="000400F7" w:rsidP="000400F7">
      <w:pPr>
        <w:pStyle w:val="13"/>
      </w:pPr>
      <w:r>
        <w:rPr>
          <w:rFonts w:hint="eastAsia"/>
        </w:rPr>
        <w:t>依据本指引开展旧房及建筑物价格估价活动，价值时点为纳税人转让旧房及建筑物的时点。即转让房地产的交易合同签订之日、或房地产拍卖成交之日、或产权交易成交之日。</w:t>
      </w:r>
    </w:p>
    <w:p w14:paraId="7C43D1E7" w14:textId="77777777" w:rsidR="000400F7" w:rsidRDefault="000400F7" w:rsidP="000400F7">
      <w:pPr>
        <w:pStyle w:val="ab"/>
        <w:spacing w:before="62" w:after="62"/>
        <w:ind w:firstLine="482"/>
      </w:pPr>
      <w:r w:rsidRPr="006C21F3">
        <w:t>3.</w:t>
      </w:r>
      <w:r>
        <w:t xml:space="preserve">3 </w:t>
      </w:r>
      <w:r>
        <w:rPr>
          <w:rFonts w:hint="eastAsia"/>
        </w:rPr>
        <w:t>前期开发成本发生时间</w:t>
      </w:r>
    </w:p>
    <w:p w14:paraId="50D8898C" w14:textId="77777777" w:rsidR="000400F7" w:rsidRDefault="000400F7" w:rsidP="000400F7">
      <w:pPr>
        <w:pStyle w:val="13"/>
      </w:pPr>
      <w:r>
        <w:rPr>
          <w:rFonts w:hint="eastAsia"/>
        </w:rPr>
        <w:t>前期开发成本发生时间，是实施房屋及建筑物所在宗地红线外的基础设施建设（通路、通电、通信、通上水、通下水、通燃气、通热）及宗地内场地拆迁平整的时间。</w:t>
      </w:r>
    </w:p>
    <w:p w14:paraId="1E2198CD" w14:textId="77777777" w:rsidR="000400F7" w:rsidRDefault="000400F7" w:rsidP="000400F7">
      <w:pPr>
        <w:pStyle w:val="ab"/>
        <w:spacing w:before="62" w:after="62"/>
        <w:ind w:firstLine="482"/>
      </w:pPr>
      <w:r w:rsidRPr="006C21F3">
        <w:t>3.</w:t>
      </w:r>
      <w:r>
        <w:t xml:space="preserve">4 </w:t>
      </w:r>
      <w:r>
        <w:rPr>
          <w:rFonts w:hint="eastAsia"/>
        </w:rPr>
        <w:t>评估应收集的资料</w:t>
      </w:r>
    </w:p>
    <w:p w14:paraId="09EFBB41" w14:textId="77777777" w:rsidR="000400F7" w:rsidRDefault="000400F7" w:rsidP="000400F7">
      <w:pPr>
        <w:pStyle w:val="13"/>
      </w:pPr>
      <w:r>
        <w:rPr>
          <w:rFonts w:hint="eastAsia"/>
        </w:rPr>
        <w:t>房地产估价机构和注册房地产估价师在进行土地增值税扣除项目旧房及建筑物价格评估时，应要求纳税人提供以下资料：</w:t>
      </w:r>
    </w:p>
    <w:p w14:paraId="4CEF6ABA" w14:textId="77777777" w:rsidR="000400F7" w:rsidRDefault="000400F7" w:rsidP="000400F7">
      <w:pPr>
        <w:pStyle w:val="13"/>
      </w:pPr>
      <w:r>
        <w:rPr>
          <w:rFonts w:hint="eastAsia"/>
        </w:rPr>
        <w:t>（1）国有土地使用证；</w:t>
      </w:r>
    </w:p>
    <w:p w14:paraId="17DE51AA" w14:textId="77777777" w:rsidR="000400F7" w:rsidRDefault="000400F7" w:rsidP="000400F7">
      <w:pPr>
        <w:pStyle w:val="13"/>
      </w:pPr>
      <w:r w:rsidRPr="006C21F3">
        <w:rPr>
          <w:rFonts w:hint="eastAsia"/>
        </w:rPr>
        <w:t>（</w:t>
      </w:r>
      <w:r>
        <w:t>2</w:t>
      </w:r>
      <w:r w:rsidRPr="006C21F3">
        <w:t>）</w:t>
      </w:r>
      <w:r>
        <w:rPr>
          <w:rFonts w:hint="eastAsia"/>
        </w:rPr>
        <w:t>房屋所有权证或不动产权证书；</w:t>
      </w:r>
    </w:p>
    <w:p w14:paraId="46EFB668" w14:textId="77777777" w:rsidR="000400F7" w:rsidRDefault="000400F7" w:rsidP="000400F7">
      <w:pPr>
        <w:pStyle w:val="13"/>
      </w:pPr>
      <w:r w:rsidRPr="006C21F3">
        <w:rPr>
          <w:rFonts w:hint="eastAsia"/>
        </w:rPr>
        <w:t>（</w:t>
      </w:r>
      <w:r>
        <w:t>3</w:t>
      </w:r>
      <w:r w:rsidRPr="006C21F3">
        <w:t>）</w:t>
      </w:r>
      <w:r>
        <w:rPr>
          <w:rFonts w:hint="eastAsia"/>
        </w:rPr>
        <w:t>转让房地产时的交易合同、拍卖成交确认书、产权交易资料等文件；</w:t>
      </w:r>
    </w:p>
    <w:p w14:paraId="753590D7" w14:textId="77777777" w:rsidR="000400F7" w:rsidRDefault="000400F7" w:rsidP="000400F7">
      <w:pPr>
        <w:pStyle w:val="13"/>
      </w:pPr>
      <w:r w:rsidRPr="006C21F3">
        <w:rPr>
          <w:rFonts w:hint="eastAsia"/>
        </w:rPr>
        <w:t>（</w:t>
      </w:r>
      <w:r>
        <w:t>4</w:t>
      </w:r>
      <w:r w:rsidRPr="006C21F3">
        <w:t>）</w:t>
      </w:r>
      <w:r>
        <w:rPr>
          <w:rFonts w:hint="eastAsia"/>
        </w:rPr>
        <w:t>取得房地产时的购买合同、购买发票、或缴纳契税证明；</w:t>
      </w:r>
    </w:p>
    <w:p w14:paraId="230278E0" w14:textId="77777777" w:rsidR="000400F7" w:rsidRDefault="000400F7" w:rsidP="000400F7">
      <w:pPr>
        <w:pStyle w:val="13"/>
      </w:pPr>
      <w:r w:rsidRPr="006C21F3">
        <w:rPr>
          <w:rFonts w:hint="eastAsia"/>
        </w:rPr>
        <w:t>（</w:t>
      </w:r>
      <w:r>
        <w:t>5</w:t>
      </w:r>
      <w:r w:rsidRPr="006C21F3">
        <w:t>）</w:t>
      </w:r>
      <w:r>
        <w:rPr>
          <w:rFonts w:hint="eastAsia"/>
        </w:rPr>
        <w:t>土地使用的用地批文；</w:t>
      </w:r>
    </w:p>
    <w:p w14:paraId="30E3EB17" w14:textId="77777777" w:rsidR="000400F7" w:rsidRDefault="000400F7" w:rsidP="000400F7">
      <w:pPr>
        <w:pStyle w:val="13"/>
      </w:pPr>
      <w:r w:rsidRPr="006C21F3">
        <w:rPr>
          <w:rFonts w:hint="eastAsia"/>
        </w:rPr>
        <w:t>（</w:t>
      </w:r>
      <w:r>
        <w:t>6</w:t>
      </w:r>
      <w:r w:rsidRPr="006C21F3">
        <w:t>）</w:t>
      </w:r>
      <w:r>
        <w:rPr>
          <w:rFonts w:hint="eastAsia"/>
        </w:rPr>
        <w:t>征地、征收补偿、与土地开发相关费用的支付凭证及有关资料；</w:t>
      </w:r>
    </w:p>
    <w:p w14:paraId="32BE904C" w14:textId="77777777" w:rsidR="000400F7" w:rsidRDefault="000400F7" w:rsidP="000400F7">
      <w:pPr>
        <w:pStyle w:val="13"/>
      </w:pPr>
      <w:r w:rsidRPr="006C21F3">
        <w:rPr>
          <w:rFonts w:hint="eastAsia"/>
        </w:rPr>
        <w:t>（</w:t>
      </w:r>
      <w:r>
        <w:t>7</w:t>
      </w:r>
      <w:r w:rsidRPr="006C21F3">
        <w:t>）</w:t>
      </w:r>
      <w:r>
        <w:rPr>
          <w:rFonts w:hint="eastAsia"/>
        </w:rPr>
        <w:t>土地使用权出让合同、出让金支付凭证；</w:t>
      </w:r>
    </w:p>
    <w:p w14:paraId="53B27D43" w14:textId="77777777" w:rsidR="000400F7" w:rsidRDefault="000400F7" w:rsidP="000400F7">
      <w:pPr>
        <w:pStyle w:val="13"/>
      </w:pPr>
      <w:r w:rsidRPr="006C21F3">
        <w:rPr>
          <w:rFonts w:hint="eastAsia"/>
        </w:rPr>
        <w:t>（</w:t>
      </w:r>
      <w:r>
        <w:t>8</w:t>
      </w:r>
      <w:r w:rsidRPr="006C21F3">
        <w:t>）</w:t>
      </w:r>
      <w:r>
        <w:rPr>
          <w:rFonts w:hint="eastAsia"/>
        </w:rPr>
        <w:t>税务机关要求的其他材料。</w:t>
      </w:r>
    </w:p>
    <w:p w14:paraId="017C6263" w14:textId="77777777" w:rsidR="000400F7" w:rsidRDefault="000400F7" w:rsidP="00AF7342">
      <w:pPr>
        <w:pStyle w:val="a9"/>
        <w:spacing w:before="62" w:after="62"/>
      </w:pPr>
      <w:r>
        <w:t>4 前期开发成本的评估</w:t>
      </w:r>
    </w:p>
    <w:p w14:paraId="1BD72AC9" w14:textId="77777777" w:rsidR="000400F7" w:rsidRDefault="000400F7" w:rsidP="000400F7">
      <w:pPr>
        <w:pStyle w:val="ab"/>
        <w:spacing w:before="62" w:after="62"/>
        <w:ind w:firstLine="482"/>
      </w:pPr>
      <w:r>
        <w:rPr>
          <w:rFonts w:hint="eastAsia"/>
        </w:rPr>
        <w:t>4</w:t>
      </w:r>
      <w:r>
        <w:t xml:space="preserve">.1 </w:t>
      </w:r>
      <w:r>
        <w:rPr>
          <w:rFonts w:hint="eastAsia"/>
        </w:rPr>
        <w:t>前期开发成本的内涵</w:t>
      </w:r>
    </w:p>
    <w:p w14:paraId="28912B0D" w14:textId="77777777" w:rsidR="000400F7" w:rsidRDefault="000400F7" w:rsidP="000400F7">
      <w:pPr>
        <w:pStyle w:val="13"/>
      </w:pPr>
      <w:r>
        <w:rPr>
          <w:rFonts w:hint="eastAsia"/>
        </w:rPr>
        <w:t>前期开发成本是为实现房屋主体的建造、使用条件所发生的土地开发费用，通常包括房屋及建筑物所在宗地红线外的基础设施建设费用（通路、通电、通信、通上水、通下水、通燃气、通热）及宗地内场地拆迁平整费用。</w:t>
      </w:r>
    </w:p>
    <w:p w14:paraId="642D6262" w14:textId="77777777" w:rsidR="000400F7" w:rsidRDefault="000400F7" w:rsidP="000400F7">
      <w:pPr>
        <w:pStyle w:val="ab"/>
        <w:spacing w:before="62" w:after="62"/>
        <w:ind w:firstLine="482"/>
      </w:pPr>
      <w:r w:rsidRPr="0037473C">
        <w:t>4.</w:t>
      </w:r>
      <w:r>
        <w:t xml:space="preserve">2 </w:t>
      </w:r>
      <w:r>
        <w:rPr>
          <w:rFonts w:hint="eastAsia"/>
        </w:rPr>
        <w:t>估价方法</w:t>
      </w:r>
    </w:p>
    <w:p w14:paraId="3C2424D4" w14:textId="77777777" w:rsidR="000400F7" w:rsidRDefault="000400F7" w:rsidP="000400F7">
      <w:pPr>
        <w:pStyle w:val="13"/>
      </w:pPr>
      <w:r>
        <w:rPr>
          <w:rFonts w:hint="eastAsia"/>
        </w:rPr>
        <w:t>前期开发成本的评估，应根据发生前期开发成本费用时所对应的基准地价标准和修正体系，采用基准地价修正法进行。</w:t>
      </w:r>
    </w:p>
    <w:p w14:paraId="51A5A54B" w14:textId="77777777" w:rsidR="000400F7" w:rsidRDefault="000400F7" w:rsidP="000400F7">
      <w:pPr>
        <w:pStyle w:val="ab"/>
        <w:spacing w:before="62" w:after="62"/>
        <w:ind w:firstLine="482"/>
      </w:pPr>
      <w:r w:rsidRPr="0037473C">
        <w:t>4.</w:t>
      </w:r>
      <w:r>
        <w:t xml:space="preserve">3 </w:t>
      </w:r>
      <w:r>
        <w:rPr>
          <w:rFonts w:hint="eastAsia"/>
        </w:rPr>
        <w:t>发生时间的确定</w:t>
      </w:r>
    </w:p>
    <w:p w14:paraId="5AC304A3" w14:textId="77777777" w:rsidR="000400F7" w:rsidRDefault="000400F7" w:rsidP="000400F7">
      <w:pPr>
        <w:pStyle w:val="13"/>
      </w:pPr>
      <w:r>
        <w:rPr>
          <w:rFonts w:hint="eastAsia"/>
        </w:rPr>
        <w:t>以有偿转让方式获得房屋，且房屋所附着土地为出让土地使用权的，前期开发成本的发生时间为购买房屋时房地产交易合同的签订之日。如果无法提供购买合同的，则价值时点按下列材料依次确定：购房发票开具日期（若有多张发票，以第一张为准）、契税单据开具日期。</w:t>
      </w:r>
    </w:p>
    <w:p w14:paraId="0695CB9E" w14:textId="77777777" w:rsidR="000400F7" w:rsidRDefault="000400F7" w:rsidP="000400F7">
      <w:pPr>
        <w:pStyle w:val="13"/>
      </w:pPr>
      <w:r>
        <w:rPr>
          <w:rFonts w:hint="eastAsia"/>
        </w:rPr>
        <w:lastRenderedPageBreak/>
        <w:t>以自</w:t>
      </w:r>
      <w:proofErr w:type="gramStart"/>
      <w:r>
        <w:rPr>
          <w:rFonts w:hint="eastAsia"/>
        </w:rPr>
        <w:t>建方式</w:t>
      </w:r>
      <w:proofErr w:type="gramEnd"/>
      <w:r>
        <w:rPr>
          <w:rFonts w:hint="eastAsia"/>
        </w:rPr>
        <w:t>获得房屋，且房屋所附着土地为出让土地使用权并进行了基础设施建设、场地平整的，前期开发成本的发生时间为土地出让合同签订之日。土地出让合同签订之</w:t>
      </w:r>
      <w:r>
        <w:t>后因故重新签订出让合同或签订出让合同补充协议的，应</w:t>
      </w:r>
      <w:proofErr w:type="gramStart"/>
      <w:r>
        <w:t>视重新</w:t>
      </w:r>
      <w:proofErr w:type="gramEnd"/>
      <w:r>
        <w:t>签订或补充的内容确定发生时间。</w:t>
      </w:r>
    </w:p>
    <w:p w14:paraId="3BB11D2D" w14:textId="77777777" w:rsidR="000400F7" w:rsidRDefault="000400F7" w:rsidP="000400F7">
      <w:pPr>
        <w:pStyle w:val="13"/>
      </w:pPr>
      <w:r>
        <w:rPr>
          <w:rFonts w:hint="eastAsia"/>
        </w:rPr>
        <w:t>以自</w:t>
      </w:r>
      <w:proofErr w:type="gramStart"/>
      <w:r>
        <w:rPr>
          <w:rFonts w:hint="eastAsia"/>
        </w:rPr>
        <w:t>建方式</w:t>
      </w:r>
      <w:proofErr w:type="gramEnd"/>
      <w:r>
        <w:rPr>
          <w:rFonts w:hint="eastAsia"/>
        </w:rPr>
        <w:t>获得房屋，且房屋所附着土地为划拨土地使用权并进行了基础设施建设、场地平整的，前期开发成本的发生时间为用地批文批准之日。</w:t>
      </w:r>
    </w:p>
    <w:p w14:paraId="14B92AB5" w14:textId="77777777" w:rsidR="000400F7" w:rsidRDefault="000400F7" w:rsidP="000400F7">
      <w:pPr>
        <w:pStyle w:val="ab"/>
        <w:spacing w:before="62" w:after="62"/>
        <w:ind w:firstLine="482"/>
      </w:pPr>
      <w:r w:rsidRPr="00073512">
        <w:t>4.</w:t>
      </w:r>
      <w:r>
        <w:t xml:space="preserve">4 </w:t>
      </w:r>
      <w:r>
        <w:rPr>
          <w:rFonts w:hint="eastAsia"/>
        </w:rPr>
        <w:t>基准地价的选择</w:t>
      </w:r>
    </w:p>
    <w:p w14:paraId="1EA80FB0" w14:textId="77777777" w:rsidR="000400F7" w:rsidRPr="00A73489" w:rsidRDefault="000400F7" w:rsidP="000400F7">
      <w:pPr>
        <w:pStyle w:val="13"/>
      </w:pPr>
      <w:r>
        <w:rPr>
          <w:rFonts w:hint="eastAsia"/>
        </w:rPr>
        <w:t>根据确定的前期开发成本发生时间，选用相应的基准地价标准和修正体系进行评估。</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2229"/>
        <w:gridCol w:w="3894"/>
      </w:tblGrid>
      <w:tr w:rsidR="000400F7" w:rsidRPr="00F25307" w14:paraId="2A7A1F90" w14:textId="77777777" w:rsidTr="00C41313">
        <w:trPr>
          <w:trHeight w:val="514"/>
          <w:jc w:val="center"/>
        </w:trPr>
        <w:tc>
          <w:tcPr>
            <w:tcW w:w="1489" w:type="pct"/>
            <w:vAlign w:val="center"/>
          </w:tcPr>
          <w:p w14:paraId="306E93AD"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前期开发成本发生时间</w:t>
            </w:r>
          </w:p>
        </w:tc>
        <w:tc>
          <w:tcPr>
            <w:tcW w:w="1278" w:type="pct"/>
            <w:vAlign w:val="center"/>
          </w:tcPr>
          <w:p w14:paraId="1D242B4B"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适用的基准地价</w:t>
            </w:r>
          </w:p>
        </w:tc>
        <w:tc>
          <w:tcPr>
            <w:tcW w:w="2233" w:type="pct"/>
            <w:vAlign w:val="center"/>
          </w:tcPr>
          <w:p w14:paraId="0F9D8EC0"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计算公式</w:t>
            </w:r>
          </w:p>
        </w:tc>
      </w:tr>
      <w:tr w:rsidR="000400F7" w:rsidRPr="00F25307" w14:paraId="0352797F" w14:textId="77777777" w:rsidTr="00C41313">
        <w:trPr>
          <w:trHeight w:val="1955"/>
          <w:jc w:val="center"/>
        </w:trPr>
        <w:tc>
          <w:tcPr>
            <w:tcW w:w="1489" w:type="pct"/>
            <w:vAlign w:val="center"/>
          </w:tcPr>
          <w:p w14:paraId="2A19998D"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2002年12月10日之前</w:t>
            </w:r>
          </w:p>
        </w:tc>
        <w:tc>
          <w:tcPr>
            <w:tcW w:w="1278" w:type="pct"/>
            <w:vAlign w:val="center"/>
          </w:tcPr>
          <w:p w14:paraId="33247F94"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1993年北京市基准地价（京政发〔1993〕34</w:t>
            </w:r>
            <w:r w:rsidRPr="00F25307">
              <w:rPr>
                <w:rFonts w:hint="eastAsia"/>
                <w:sz w:val="21"/>
                <w:szCs w:val="21"/>
              </w:rPr>
              <w:t>号</w:t>
            </w:r>
            <w:r w:rsidRPr="00F25307">
              <w:rPr>
                <w:sz w:val="21"/>
                <w:szCs w:val="21"/>
              </w:rPr>
              <w:t>）</w:t>
            </w:r>
          </w:p>
        </w:tc>
        <w:tc>
          <w:tcPr>
            <w:tcW w:w="2233" w:type="pct"/>
            <w:vAlign w:val="center"/>
          </w:tcPr>
          <w:p w14:paraId="1A3F23F0"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前期开发成本（元/建筑面积）</w:t>
            </w:r>
            <w:r w:rsidRPr="00F25307">
              <w:rPr>
                <w:rFonts w:hint="eastAsia"/>
                <w:sz w:val="21"/>
                <w:szCs w:val="21"/>
              </w:rPr>
              <w:t>=</w:t>
            </w:r>
            <w:r w:rsidRPr="00F25307">
              <w:rPr>
                <w:sz w:val="21"/>
                <w:szCs w:val="21"/>
              </w:rPr>
              <w:t>[（市政</w:t>
            </w:r>
            <w:proofErr w:type="gramStart"/>
            <w:r w:rsidRPr="00F25307">
              <w:rPr>
                <w:sz w:val="21"/>
                <w:szCs w:val="21"/>
              </w:rPr>
              <w:t>及四源费</w:t>
            </w:r>
            <w:proofErr w:type="gramEnd"/>
            <w:r w:rsidRPr="00F25307">
              <w:rPr>
                <w:sz w:val="21"/>
                <w:szCs w:val="21"/>
              </w:rPr>
              <w:t>+小区建设配套费）×容积率+城镇拆迁费×调整系数（或+近郊区县征地费或远郊区县征地费）]÷容积率×期日修正系数×年期修正系数</w:t>
            </w:r>
          </w:p>
        </w:tc>
      </w:tr>
      <w:tr w:rsidR="000400F7" w:rsidRPr="00F25307" w14:paraId="29602FF1" w14:textId="77777777" w:rsidTr="00C41313">
        <w:trPr>
          <w:trHeight w:val="979"/>
          <w:jc w:val="center"/>
        </w:trPr>
        <w:tc>
          <w:tcPr>
            <w:tcW w:w="1489" w:type="pct"/>
            <w:vAlign w:val="center"/>
          </w:tcPr>
          <w:p w14:paraId="0E0B9F4F"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2002年12月10日（含）～2014年8月28日之前</w:t>
            </w:r>
          </w:p>
        </w:tc>
        <w:tc>
          <w:tcPr>
            <w:tcW w:w="1278" w:type="pct"/>
            <w:vAlign w:val="center"/>
          </w:tcPr>
          <w:p w14:paraId="6EEB4695"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2002年北京市基准地价（京政发〔2002〕</w:t>
            </w:r>
          </w:p>
          <w:p w14:paraId="52FFAB67"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32</w:t>
            </w:r>
            <w:r w:rsidRPr="00F25307">
              <w:rPr>
                <w:rFonts w:hint="eastAsia"/>
                <w:sz w:val="21"/>
                <w:szCs w:val="21"/>
              </w:rPr>
              <w:t>号</w:t>
            </w:r>
            <w:r w:rsidRPr="00F25307">
              <w:rPr>
                <w:sz w:val="21"/>
                <w:szCs w:val="21"/>
              </w:rPr>
              <w:t>）</w:t>
            </w:r>
          </w:p>
        </w:tc>
        <w:tc>
          <w:tcPr>
            <w:tcW w:w="2233" w:type="pct"/>
            <w:vAlign w:val="center"/>
          </w:tcPr>
          <w:p w14:paraId="355F7033"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前期开发成本（元/建筑面积）=楼面熟地价-地价款</w:t>
            </w:r>
          </w:p>
        </w:tc>
      </w:tr>
      <w:tr w:rsidR="000400F7" w:rsidRPr="00F25307" w14:paraId="736DB2BE" w14:textId="77777777" w:rsidTr="00C41313">
        <w:trPr>
          <w:trHeight w:val="652"/>
          <w:jc w:val="center"/>
        </w:trPr>
        <w:tc>
          <w:tcPr>
            <w:tcW w:w="1489" w:type="pct"/>
            <w:vAlign w:val="center"/>
          </w:tcPr>
          <w:p w14:paraId="6A1BFB1A"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2014年8月28日（含）以后</w:t>
            </w:r>
          </w:p>
        </w:tc>
        <w:tc>
          <w:tcPr>
            <w:tcW w:w="1278" w:type="pct"/>
            <w:vAlign w:val="center"/>
          </w:tcPr>
          <w:p w14:paraId="4E7D0A62"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2014年北京市基准</w:t>
            </w:r>
          </w:p>
          <w:p w14:paraId="2E0427B2"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地价（京政发〔2014〕</w:t>
            </w:r>
            <w:r w:rsidRPr="00F25307">
              <w:rPr>
                <w:rFonts w:hint="eastAsia"/>
                <w:sz w:val="21"/>
                <w:szCs w:val="21"/>
              </w:rPr>
              <w:t>2</w:t>
            </w:r>
            <w:r w:rsidRPr="00F25307">
              <w:rPr>
                <w:sz w:val="21"/>
                <w:szCs w:val="21"/>
              </w:rPr>
              <w:t>6</w:t>
            </w:r>
            <w:r w:rsidRPr="00F25307">
              <w:rPr>
                <w:rFonts w:hint="eastAsia"/>
                <w:sz w:val="21"/>
                <w:szCs w:val="21"/>
              </w:rPr>
              <w:t>号）</w:t>
            </w:r>
          </w:p>
        </w:tc>
        <w:tc>
          <w:tcPr>
            <w:tcW w:w="2233" w:type="pct"/>
            <w:vAlign w:val="center"/>
          </w:tcPr>
          <w:p w14:paraId="7073A630"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前期开发成本（元/建筑面积）=楼面熟</w:t>
            </w:r>
          </w:p>
          <w:p w14:paraId="1FBB6711" w14:textId="77777777" w:rsidR="000400F7" w:rsidRPr="00F25307" w:rsidRDefault="000400F7" w:rsidP="00C41313">
            <w:pPr>
              <w:pStyle w:val="13"/>
              <w:spacing w:line="240" w:lineRule="auto"/>
              <w:ind w:firstLineChars="0" w:firstLine="0"/>
              <w:jc w:val="left"/>
              <w:rPr>
                <w:sz w:val="21"/>
                <w:szCs w:val="21"/>
              </w:rPr>
            </w:pPr>
            <w:r w:rsidRPr="00F25307">
              <w:rPr>
                <w:sz w:val="21"/>
                <w:szCs w:val="21"/>
              </w:rPr>
              <w:t>地价-政府土地出让收益</w:t>
            </w:r>
          </w:p>
        </w:tc>
      </w:tr>
    </w:tbl>
    <w:p w14:paraId="526F0C5F" w14:textId="77777777" w:rsidR="000400F7" w:rsidRDefault="000400F7" w:rsidP="000400F7">
      <w:pPr>
        <w:pStyle w:val="13"/>
      </w:pPr>
      <w:r>
        <w:rPr>
          <w:rFonts w:hint="eastAsia"/>
        </w:rPr>
        <w:t>说明：</w:t>
      </w:r>
    </w:p>
    <w:p w14:paraId="093A8157" w14:textId="77777777" w:rsidR="000400F7" w:rsidRDefault="000400F7" w:rsidP="000400F7">
      <w:pPr>
        <w:pStyle w:val="13"/>
      </w:pPr>
      <w:r>
        <w:rPr>
          <w:rFonts w:hint="eastAsia"/>
        </w:rPr>
        <w:t>①应用</w:t>
      </w:r>
      <w:r>
        <w:t>1993年北京市基准地价进行前期开发成本测算，当被转让旧房及建筑物为非住宅时，不计</w:t>
      </w:r>
      <w:proofErr w:type="gramStart"/>
      <w:r>
        <w:t>取小区</w:t>
      </w:r>
      <w:proofErr w:type="gramEnd"/>
      <w:r>
        <w:t>建设配套费。</w:t>
      </w:r>
    </w:p>
    <w:p w14:paraId="24809E81" w14:textId="77777777" w:rsidR="000400F7" w:rsidRDefault="000400F7" w:rsidP="000400F7">
      <w:pPr>
        <w:pStyle w:val="13"/>
      </w:pPr>
      <w:r>
        <w:rPr>
          <w:rFonts w:hint="eastAsia"/>
        </w:rPr>
        <w:t>②应用</w:t>
      </w:r>
      <w:r>
        <w:t>1993年北京市基准地价进行前期开发成本测算，“城镇拆迁费×调整系数”与</w:t>
      </w:r>
      <w:r>
        <w:rPr>
          <w:rFonts w:hint="eastAsia"/>
        </w:rPr>
        <w:t>“近郊区县征地费或远郊区县征地费”</w:t>
      </w:r>
      <w:r>
        <w:t>应根据被转让旧房及建筑物区位状况择一计取。</w:t>
      </w:r>
    </w:p>
    <w:p w14:paraId="754D81AB" w14:textId="77777777" w:rsidR="000400F7" w:rsidRDefault="000400F7" w:rsidP="000400F7">
      <w:pPr>
        <w:pStyle w:val="13"/>
      </w:pPr>
      <w:r>
        <w:rPr>
          <w:rFonts w:hint="eastAsia"/>
        </w:rPr>
        <w:t>③应用</w:t>
      </w:r>
      <w:r>
        <w:t>1993年北京市基准地价进行前期开发成本测算，估价结果加和出让金得到的楼面熟地价不得高于2002年北京市基准地价（京政发〔2002〕32号）之“北京市基准地价表”中同用途、同级别用地经容积率修正、年期修正后的楼面熟地价水平。</w:t>
      </w:r>
    </w:p>
    <w:p w14:paraId="39746FE9" w14:textId="77777777" w:rsidR="000400F7" w:rsidRDefault="000400F7" w:rsidP="000400F7">
      <w:pPr>
        <w:pStyle w:val="13"/>
      </w:pPr>
      <w:r>
        <w:rPr>
          <w:rFonts w:hint="eastAsia"/>
        </w:rPr>
        <w:t>④应用</w:t>
      </w:r>
      <w:r>
        <w:t>2002年北京市基准地价测算“地价款”，可采用基准地价修正法或审定地价比较法测算。“地价款”内涵是毛地价还是出让金，应根据被转让旧房及建筑物所在地区地价款的具体缴纳情况确定。</w:t>
      </w:r>
    </w:p>
    <w:p w14:paraId="42F621F9" w14:textId="77777777" w:rsidR="000400F7" w:rsidRDefault="000400F7" w:rsidP="000400F7">
      <w:pPr>
        <w:pStyle w:val="ab"/>
        <w:spacing w:before="62" w:after="62"/>
        <w:ind w:firstLine="482"/>
      </w:pPr>
      <w:r>
        <w:rPr>
          <w:rFonts w:hint="eastAsia"/>
        </w:rPr>
        <w:lastRenderedPageBreak/>
        <w:t>4</w:t>
      </w:r>
      <w:r>
        <w:t>.5</w:t>
      </w:r>
      <w:r>
        <w:rPr>
          <w:rFonts w:hint="eastAsia"/>
        </w:rPr>
        <w:t>基准地价修正因素</w:t>
      </w:r>
    </w:p>
    <w:p w14:paraId="77822F9C" w14:textId="77777777" w:rsidR="000400F7" w:rsidRDefault="000400F7" w:rsidP="000400F7">
      <w:pPr>
        <w:pStyle w:val="13"/>
      </w:pPr>
      <w:r>
        <w:rPr>
          <w:rFonts w:hint="eastAsia"/>
        </w:rPr>
        <w:t>基准地价修正因素的选择，应和所适用的基准地价体系一致。</w:t>
      </w:r>
    </w:p>
    <w:p w14:paraId="586971ED" w14:textId="77777777" w:rsidR="000400F7" w:rsidRDefault="000400F7" w:rsidP="000400F7">
      <w:pPr>
        <w:pStyle w:val="13"/>
      </w:pPr>
      <w:r>
        <w:rPr>
          <w:rFonts w:hint="eastAsia"/>
        </w:rPr>
        <w:t>需要进行期日修正的，一般应依据“中国城市地价动态监测网”公布的北京市地价指数、地价增长率或其他公开的土地价格指数、增长率信息确定期日修正系数。期日修正是将基准地价基准日的价格水平修正至前期开发成本发生时间的价格水平。</w:t>
      </w:r>
    </w:p>
    <w:p w14:paraId="60446D7C" w14:textId="77777777" w:rsidR="000400F7" w:rsidRDefault="000400F7" w:rsidP="000400F7">
      <w:pPr>
        <w:pStyle w:val="13"/>
      </w:pPr>
      <w:r>
        <w:rPr>
          <w:rFonts w:hint="eastAsia"/>
        </w:rPr>
        <w:t>需要进行年期修正的，土地还原率的确定应以基准地价中列示的数值为准；基准地价中没有明确土地还原率取值的，可采用累加法（即安全利率加风险调整值法）确定。土地使用权剩余期限以相应用途的法定最高使用年期扣减至前期开发成本发生时间土地已使用年期的余值确定。</w:t>
      </w:r>
    </w:p>
    <w:p w14:paraId="3C290676" w14:textId="77777777" w:rsidR="000400F7" w:rsidRDefault="000400F7" w:rsidP="000400F7">
      <w:pPr>
        <w:pStyle w:val="13"/>
      </w:pPr>
      <w:r>
        <w:rPr>
          <w:rFonts w:hint="eastAsia"/>
        </w:rPr>
        <w:t>需要进行土地开发程度修正的，应以基准地价中列示的数值为准；基准地价中没有明确取值的，可结合估价对象所在区域及其本身状况确定。</w:t>
      </w:r>
    </w:p>
    <w:p w14:paraId="0CE9C399" w14:textId="77777777" w:rsidR="000400F7" w:rsidRDefault="000400F7" w:rsidP="000400F7">
      <w:pPr>
        <w:pStyle w:val="ab"/>
        <w:spacing w:before="62" w:after="62"/>
        <w:ind w:firstLine="482"/>
      </w:pPr>
      <w:r>
        <w:rPr>
          <w:rFonts w:hint="eastAsia"/>
        </w:rPr>
        <w:t>4</w:t>
      </w:r>
      <w:r>
        <w:t>.6</w:t>
      </w:r>
      <w:r>
        <w:rPr>
          <w:rFonts w:hint="eastAsia"/>
        </w:rPr>
        <w:t>容积率的确定</w:t>
      </w:r>
    </w:p>
    <w:p w14:paraId="7F01792E" w14:textId="77777777" w:rsidR="000400F7" w:rsidRDefault="000400F7" w:rsidP="000400F7">
      <w:pPr>
        <w:pStyle w:val="13"/>
      </w:pPr>
      <w:r>
        <w:rPr>
          <w:rFonts w:hint="eastAsia"/>
        </w:rPr>
        <w:t>评估前期开发成本依照下列情况确定容积率：</w:t>
      </w:r>
    </w:p>
    <w:p w14:paraId="7692C72E" w14:textId="77777777" w:rsidR="000400F7" w:rsidRDefault="000400F7" w:rsidP="000400F7">
      <w:pPr>
        <w:pStyle w:val="13"/>
      </w:pPr>
      <w:r>
        <w:rPr>
          <w:rFonts w:hint="eastAsia"/>
        </w:rPr>
        <w:t>1容积率能够直接获取或测算的，直接应用于前期开发成本的评估。</w:t>
      </w:r>
    </w:p>
    <w:p w14:paraId="77F01815" w14:textId="77777777" w:rsidR="000400F7" w:rsidRDefault="000400F7" w:rsidP="000400F7">
      <w:pPr>
        <w:pStyle w:val="13"/>
      </w:pPr>
      <w:r>
        <w:rPr>
          <w:rFonts w:hint="eastAsia"/>
        </w:rPr>
        <w:t>2容积率无法直接获取或测算的，采用旧房及建筑物所在项目的平均容积率，并在估价报告中说明并陈述理由。</w:t>
      </w:r>
    </w:p>
    <w:p w14:paraId="50D8DEE1" w14:textId="77777777" w:rsidR="000400F7" w:rsidRDefault="000400F7" w:rsidP="000400F7">
      <w:pPr>
        <w:pStyle w:val="13"/>
      </w:pPr>
      <w:r>
        <w:t>3</w:t>
      </w:r>
      <w:r>
        <w:rPr>
          <w:rFonts w:hint="eastAsia"/>
        </w:rPr>
        <w:t>上述条件均无法满足的，采用所适用基准地价规定的相应级别平均容积率。</w:t>
      </w:r>
    </w:p>
    <w:p w14:paraId="2AEB4451" w14:textId="77777777" w:rsidR="000400F7" w:rsidRDefault="000400F7" w:rsidP="00AF7342">
      <w:pPr>
        <w:pStyle w:val="a9"/>
        <w:spacing w:before="62" w:after="62"/>
      </w:pPr>
      <w:r>
        <w:t>5 房屋建设成本的评估</w:t>
      </w:r>
    </w:p>
    <w:p w14:paraId="1EA8A474" w14:textId="77777777" w:rsidR="000400F7" w:rsidRDefault="000400F7" w:rsidP="000400F7">
      <w:pPr>
        <w:pStyle w:val="ab"/>
        <w:spacing w:before="62" w:after="62"/>
        <w:ind w:firstLine="482"/>
      </w:pPr>
      <w:r>
        <w:rPr>
          <w:rFonts w:hint="eastAsia"/>
        </w:rPr>
        <w:t>5</w:t>
      </w:r>
      <w:r>
        <w:t xml:space="preserve">.1 </w:t>
      </w:r>
      <w:r>
        <w:rPr>
          <w:rFonts w:hint="eastAsia"/>
        </w:rPr>
        <w:t>房屋建设成本的构成</w:t>
      </w:r>
    </w:p>
    <w:p w14:paraId="46B9C57D" w14:textId="77777777" w:rsidR="000400F7" w:rsidRDefault="000400F7" w:rsidP="000400F7">
      <w:pPr>
        <w:pStyle w:val="13"/>
      </w:pPr>
      <w:r>
        <w:rPr>
          <w:rFonts w:hint="eastAsia"/>
        </w:rPr>
        <w:t>房屋建设成本的评估，应根据纳税人转让旧房及建筑物的时点（即估价报告价值时点）进行。</w:t>
      </w:r>
    </w:p>
    <w:p w14:paraId="5FDA33F6" w14:textId="77777777" w:rsidR="000400F7" w:rsidRDefault="000400F7" w:rsidP="000400F7">
      <w:pPr>
        <w:pStyle w:val="13"/>
      </w:pPr>
      <w:r>
        <w:rPr>
          <w:rFonts w:hint="eastAsia"/>
        </w:rPr>
        <w:t>房屋建设成本包括建筑安装工程费、勘察设计和前期工程费、室外工程费（包括基础设施建设费及公共配套设施建设费）。</w:t>
      </w:r>
    </w:p>
    <w:p w14:paraId="51083F41" w14:textId="77777777" w:rsidR="000400F7" w:rsidRDefault="000400F7" w:rsidP="000400F7">
      <w:pPr>
        <w:pStyle w:val="ab"/>
        <w:spacing w:before="62" w:after="62"/>
        <w:ind w:firstLine="482"/>
      </w:pPr>
      <w:r>
        <w:rPr>
          <w:rFonts w:hint="eastAsia"/>
        </w:rPr>
        <w:t>5</w:t>
      </w:r>
      <w:r>
        <w:t xml:space="preserve">.2 </w:t>
      </w:r>
      <w:r>
        <w:rPr>
          <w:rFonts w:hint="eastAsia"/>
        </w:rPr>
        <w:t>构成因素内涵及取值</w:t>
      </w:r>
    </w:p>
    <w:p w14:paraId="446F871E" w14:textId="77777777" w:rsidR="000400F7" w:rsidRDefault="000400F7" w:rsidP="000400F7">
      <w:pPr>
        <w:pStyle w:val="13"/>
      </w:pPr>
      <w:r>
        <w:t xml:space="preserve">5.2.1 </w:t>
      </w:r>
      <w:r>
        <w:rPr>
          <w:rFonts w:hint="eastAsia"/>
        </w:rPr>
        <w:t>建筑安装工程费</w:t>
      </w:r>
    </w:p>
    <w:p w14:paraId="059F4FF6" w14:textId="77777777" w:rsidR="000400F7" w:rsidRDefault="000400F7" w:rsidP="000400F7">
      <w:pPr>
        <w:pStyle w:val="13"/>
      </w:pPr>
      <w:r>
        <w:rPr>
          <w:rFonts w:hint="eastAsia"/>
        </w:rPr>
        <w:t>建筑安装工程费是指建造建筑物所发生的建筑工程费用（结构、建筑、装修及特殊装修工程费）、设备采购费用和安装工程费用（给排水、电气照明及设备安装、空调通风、弱电设备及安装、电梯及其安装、其他设备及安装等）。</w:t>
      </w:r>
    </w:p>
    <w:p w14:paraId="4BCB3D79" w14:textId="77777777" w:rsidR="000400F7" w:rsidRDefault="000400F7" w:rsidP="000400F7">
      <w:pPr>
        <w:pStyle w:val="13"/>
      </w:pPr>
      <w:r>
        <w:rPr>
          <w:rFonts w:hint="eastAsia"/>
        </w:rPr>
        <w:t>建筑安装工程费取值参照北京市住房和城乡建设委员会公布的北京市房屋重置成新价评估技术标准执行。标准中未载明项目的价格可以根据市场水平、定额等资料据实估价。</w:t>
      </w:r>
    </w:p>
    <w:p w14:paraId="4F023222" w14:textId="77777777" w:rsidR="000400F7" w:rsidRDefault="000400F7" w:rsidP="000400F7">
      <w:pPr>
        <w:pStyle w:val="13"/>
      </w:pPr>
      <w:r w:rsidRPr="009B6FED">
        <w:t>5.2.</w:t>
      </w:r>
      <w:r>
        <w:t xml:space="preserve">2 </w:t>
      </w:r>
      <w:r>
        <w:rPr>
          <w:rFonts w:hint="eastAsia"/>
        </w:rPr>
        <w:t>勘察设计和前期工程费</w:t>
      </w:r>
    </w:p>
    <w:p w14:paraId="224A20C3" w14:textId="77777777" w:rsidR="000400F7" w:rsidRDefault="000400F7" w:rsidP="000400F7">
      <w:pPr>
        <w:pStyle w:val="13"/>
      </w:pPr>
      <w:r>
        <w:rPr>
          <w:rFonts w:hint="eastAsia"/>
        </w:rPr>
        <w:t>勘察设计和前期工程费主要包括开发项目的前期规划、设计、可行性研究、水文</w:t>
      </w:r>
      <w:r>
        <w:rPr>
          <w:rFonts w:hint="eastAsia"/>
        </w:rPr>
        <w:lastRenderedPageBreak/>
        <w:t>地质勘测等房屋建造所需前期工作的必要支出。根据旧房及建筑物的建造类型、档次及建筑规模等，勘察设计和前期工程费按建筑安装工程费的</w:t>
      </w:r>
      <w:r>
        <w:t>5%-8%计取。</w:t>
      </w:r>
    </w:p>
    <w:p w14:paraId="10D7AD96" w14:textId="77777777" w:rsidR="000400F7" w:rsidRDefault="000400F7" w:rsidP="000400F7">
      <w:pPr>
        <w:pStyle w:val="13"/>
      </w:pPr>
      <w:r w:rsidRPr="009B6FED">
        <w:t>5.2.</w:t>
      </w:r>
      <w:r>
        <w:t xml:space="preserve">3 </w:t>
      </w:r>
      <w:r>
        <w:rPr>
          <w:rFonts w:hint="eastAsia"/>
        </w:rPr>
        <w:t>室外工程费（包括基础设施建设费及公共配套设施建设费）</w:t>
      </w:r>
    </w:p>
    <w:p w14:paraId="3D2B17AD" w14:textId="77777777" w:rsidR="000400F7" w:rsidRDefault="000400F7" w:rsidP="000400F7">
      <w:pPr>
        <w:pStyle w:val="13"/>
      </w:pPr>
      <w:r>
        <w:rPr>
          <w:rFonts w:hint="eastAsia"/>
        </w:rPr>
        <w:t>基础设施建设费是指建筑物</w:t>
      </w:r>
      <w:r>
        <w:t>2米以外和项目红线范围内的各种管线、道路工程的建设费用。主要包括：自来水、雨水、污水、燃气、热力、供电、电信、道路、绿化、环卫、室外照明等设施的建设费用，各项设施与市政设施干线、干管、干道等的接口费用。根据旧房及建筑物的基础设施建设程度，基础设施建设费按建筑安装工程费的5%-15%计取。</w:t>
      </w:r>
    </w:p>
    <w:p w14:paraId="39382CED" w14:textId="77777777" w:rsidR="000400F7" w:rsidRDefault="000400F7" w:rsidP="000400F7">
      <w:pPr>
        <w:pStyle w:val="13"/>
      </w:pPr>
      <w:r>
        <w:rPr>
          <w:rFonts w:hint="eastAsia"/>
        </w:rPr>
        <w:t>公共配套设施建设费是指居住小区内为居民服务配套建设的各种非营利性的公共配套设施（或公建设施）的建设费用，主要包括居委会、派出所、托儿所、幼儿园、公共厕所、停车场等。根据旧房及建筑物的公共配套设施建设程度，公共配套设施建设费按建筑安装工程费的</w:t>
      </w:r>
      <w:r>
        <w:t>10%-15%计取。（注：非居住项目不计取公共配套设施建设费，取值费率为0%。）</w:t>
      </w:r>
    </w:p>
    <w:p w14:paraId="3B205B36" w14:textId="77777777" w:rsidR="000400F7" w:rsidRDefault="000400F7" w:rsidP="00AF7342">
      <w:pPr>
        <w:pStyle w:val="a9"/>
        <w:spacing w:before="62" w:after="62"/>
      </w:pPr>
      <w:r>
        <w:t>6 管理费用的评估</w:t>
      </w:r>
    </w:p>
    <w:p w14:paraId="6357FBA9" w14:textId="77777777" w:rsidR="000400F7" w:rsidRDefault="000400F7" w:rsidP="000400F7">
      <w:pPr>
        <w:pStyle w:val="ab"/>
        <w:spacing w:before="62" w:after="62"/>
        <w:ind w:firstLine="482"/>
      </w:pPr>
      <w:r>
        <w:t>6.1 管理费用内涵及取值</w:t>
      </w:r>
    </w:p>
    <w:p w14:paraId="415E6274" w14:textId="77777777" w:rsidR="000400F7" w:rsidRDefault="000400F7" w:rsidP="000400F7">
      <w:pPr>
        <w:pStyle w:val="13"/>
      </w:pPr>
      <w:r>
        <w:rPr>
          <w:rFonts w:hint="eastAsia"/>
        </w:rPr>
        <w:t>管理费用是指为组织和管理旧房及建筑物开发建造活动而发生的各种费用。根据旧房及建筑物的开发、建造类型、档次及规模、开发单位社会知名度等，管理费用分别按照下列要求取值：</w:t>
      </w:r>
    </w:p>
    <w:p w14:paraId="5CF3D0BC" w14:textId="77777777" w:rsidR="000400F7" w:rsidRDefault="000400F7" w:rsidP="000400F7">
      <w:pPr>
        <w:pStyle w:val="13"/>
      </w:pPr>
      <w:r>
        <w:rPr>
          <w:rFonts w:hint="eastAsia"/>
        </w:rPr>
        <w:t>前期开发过程中发生的管理费用按前期开发成本的</w:t>
      </w:r>
      <w:r>
        <w:t>1%-3%计取。</w:t>
      </w:r>
    </w:p>
    <w:p w14:paraId="109B98E9" w14:textId="77777777" w:rsidR="000400F7" w:rsidRDefault="000400F7" w:rsidP="000400F7">
      <w:pPr>
        <w:pStyle w:val="13"/>
      </w:pPr>
      <w:r>
        <w:t>房屋建设过程中发生的管理费用按房屋建设成本的2%-5%计取。</w:t>
      </w:r>
    </w:p>
    <w:p w14:paraId="3C45E99A" w14:textId="77777777" w:rsidR="000400F7" w:rsidRDefault="000400F7" w:rsidP="00AF7342">
      <w:pPr>
        <w:pStyle w:val="a9"/>
        <w:spacing w:before="62" w:after="62"/>
      </w:pPr>
      <w:r>
        <w:t>7 财务费用的评估</w:t>
      </w:r>
    </w:p>
    <w:p w14:paraId="611F934F" w14:textId="77777777" w:rsidR="000400F7" w:rsidRDefault="000400F7" w:rsidP="000400F7">
      <w:pPr>
        <w:pStyle w:val="ab"/>
        <w:spacing w:before="62" w:after="62"/>
        <w:ind w:firstLine="482"/>
      </w:pPr>
      <w:r>
        <w:t>7.1 财务费用内涵及取值</w:t>
      </w:r>
    </w:p>
    <w:p w14:paraId="136319CA" w14:textId="77777777" w:rsidR="000400F7" w:rsidRDefault="000400F7" w:rsidP="000400F7">
      <w:pPr>
        <w:pStyle w:val="13"/>
      </w:pPr>
      <w:r>
        <w:rPr>
          <w:rFonts w:hint="eastAsia"/>
        </w:rPr>
        <w:t>财务费用主要是指为旧房及建筑物开发建造活动筹集资金而发生的利息支出。</w:t>
      </w:r>
    </w:p>
    <w:p w14:paraId="5BE116EC" w14:textId="77777777" w:rsidR="000400F7" w:rsidRDefault="000400F7" w:rsidP="000400F7">
      <w:pPr>
        <w:pStyle w:val="13"/>
      </w:pPr>
      <w:r>
        <w:rPr>
          <w:rFonts w:hint="eastAsia"/>
        </w:rPr>
        <w:t>前期开发过程中发生的财务费用以前期开发成本及其管理费用为计息基数；利率的取值根据前期开发成本发生时间对应的中国人民银行公布的同期贷款利率确定；前期开发成本在所确定建设期内一次性投入，前期开发成本的管理费用在所确定建设期内均匀投入，均按照复利计算。一般情况下，前期开发成本及其管理费用的计息期不宜超过三年。</w:t>
      </w:r>
    </w:p>
    <w:p w14:paraId="653952F1" w14:textId="77777777" w:rsidR="000400F7" w:rsidRDefault="000400F7" w:rsidP="000400F7">
      <w:pPr>
        <w:pStyle w:val="13"/>
      </w:pPr>
      <w:r>
        <w:rPr>
          <w:rFonts w:hint="eastAsia"/>
        </w:rPr>
        <w:t>房屋建设过程中发生的财务费用以房屋建设成本及其管理费用为计息基数；利率的取值根据估价报告价值时点对应的中国人民银行公布的同期贷款利率确定；房屋建设成本及其管理费用在所确定建设期内均匀投入，按照复利计算。一般情况下，房屋建设成本及其管理费用的计息期不宜超过三年。</w:t>
      </w:r>
    </w:p>
    <w:p w14:paraId="632FE760" w14:textId="77777777" w:rsidR="000400F7" w:rsidRDefault="000400F7" w:rsidP="00AF7342">
      <w:pPr>
        <w:pStyle w:val="a9"/>
        <w:spacing w:before="62" w:after="62"/>
      </w:pPr>
      <w:r>
        <w:lastRenderedPageBreak/>
        <w:t>8 其他成本费用的评估</w:t>
      </w:r>
    </w:p>
    <w:p w14:paraId="3FCC496F" w14:textId="77777777" w:rsidR="000400F7" w:rsidRDefault="000400F7" w:rsidP="000400F7">
      <w:pPr>
        <w:pStyle w:val="ab"/>
        <w:spacing w:before="62" w:after="62"/>
        <w:ind w:firstLine="482"/>
      </w:pPr>
      <w:r>
        <w:t>8.1 其他成本费用内涵及取值</w:t>
      </w:r>
    </w:p>
    <w:p w14:paraId="1B29EEF5" w14:textId="77777777" w:rsidR="000400F7" w:rsidRDefault="000400F7" w:rsidP="000400F7">
      <w:pPr>
        <w:pStyle w:val="13"/>
      </w:pPr>
      <w:r>
        <w:rPr>
          <w:rFonts w:hint="eastAsia"/>
        </w:rPr>
        <w:t>其他成本费用是指除前期开发成本、房屋建设成本、管理费用、财务费用以外可能发生或未知的成本费用。</w:t>
      </w:r>
    </w:p>
    <w:p w14:paraId="32C0F95B" w14:textId="77777777" w:rsidR="000400F7" w:rsidRDefault="000400F7" w:rsidP="000400F7">
      <w:pPr>
        <w:pStyle w:val="13"/>
      </w:pPr>
      <w:r>
        <w:rPr>
          <w:rFonts w:hint="eastAsia"/>
        </w:rPr>
        <w:t>前期开发过程中发生的其他成本费用以前期开发成本及其管理费用为计费基数，根据旧房及建筑物的用途、前期开发规模等，按照工业用途</w:t>
      </w:r>
      <w:r>
        <w:t>18%-28%、居住用途30%-50%、商业用途35%-50%、办公用途25%-40%计取。</w:t>
      </w:r>
    </w:p>
    <w:p w14:paraId="302AF56C" w14:textId="77777777" w:rsidR="000400F7" w:rsidRDefault="000400F7" w:rsidP="000400F7">
      <w:pPr>
        <w:pStyle w:val="13"/>
      </w:pPr>
      <w:r>
        <w:rPr>
          <w:rFonts w:hint="eastAsia"/>
        </w:rPr>
        <w:t>房屋建设过程中发生的其他成本费用以房屋建设成本及其管理费用为计费基数，根据旧房及建筑物的用途、建造类型、档次、规模等，按照工业用途</w:t>
      </w:r>
      <w:r>
        <w:t>18%-28%、居住用途30%-50%、商业用途35%-50%、办公用途25%-40%计取。</w:t>
      </w:r>
    </w:p>
    <w:p w14:paraId="7B15F025" w14:textId="77777777" w:rsidR="000400F7" w:rsidRDefault="000400F7" w:rsidP="00AF7342">
      <w:pPr>
        <w:pStyle w:val="a9"/>
        <w:spacing w:before="62" w:after="62"/>
      </w:pPr>
      <w:r>
        <w:t>9 成新度折扣率的评估</w:t>
      </w:r>
    </w:p>
    <w:p w14:paraId="13AAB953" w14:textId="77777777" w:rsidR="000400F7" w:rsidRDefault="000400F7" w:rsidP="000400F7">
      <w:pPr>
        <w:pStyle w:val="13"/>
        <w:ind w:firstLine="482"/>
      </w:pPr>
      <w:r w:rsidRPr="006E7EB0">
        <w:rPr>
          <w:rStyle w:val="ac"/>
          <w:rFonts w:hint="eastAsia"/>
        </w:rPr>
        <w:t>9</w:t>
      </w:r>
      <w:r w:rsidRPr="006E7EB0">
        <w:rPr>
          <w:rStyle w:val="ac"/>
        </w:rPr>
        <w:t>.1</w:t>
      </w:r>
      <w:r>
        <w:rPr>
          <w:rFonts w:hint="eastAsia"/>
        </w:rPr>
        <w:t>成新度折扣率的计算以纳税人转让旧房及建筑物的时点，采用年龄</w:t>
      </w:r>
      <w:r>
        <w:t>-寿命法，具体以直线法和观察法综合确定。</w:t>
      </w:r>
    </w:p>
    <w:p w14:paraId="17945EA0" w14:textId="77777777" w:rsidR="000400F7" w:rsidRDefault="000400F7" w:rsidP="000400F7">
      <w:pPr>
        <w:pStyle w:val="13"/>
      </w:pPr>
      <w:r>
        <w:t>9.1.1</w:t>
      </w:r>
      <w:r>
        <w:rPr>
          <w:rFonts w:hint="eastAsia"/>
        </w:rPr>
        <w:t>直线法计算成新度折扣率</w:t>
      </w:r>
    </w:p>
    <w:p w14:paraId="31FEDFD1" w14:textId="77777777" w:rsidR="000400F7" w:rsidRDefault="000400F7" w:rsidP="000400F7">
      <w:pPr>
        <w:pStyle w:val="13"/>
      </w:pPr>
      <w:r>
        <w:rPr>
          <w:rFonts w:hint="eastAsia"/>
        </w:rPr>
        <w:t>1</w:t>
      </w:r>
      <w:r>
        <w:t xml:space="preserve"> </w:t>
      </w:r>
      <w:r>
        <w:rPr>
          <w:rFonts w:hint="eastAsia"/>
        </w:rPr>
        <w:t>基本公式</w:t>
      </w:r>
    </w:p>
    <w:p w14:paraId="19DD178A" w14:textId="77777777" w:rsidR="000400F7" w:rsidRDefault="000400F7" w:rsidP="000400F7">
      <w:pPr>
        <w:pStyle w:val="13"/>
      </w:pPr>
      <w:r>
        <w:rPr>
          <w:rFonts w:hint="eastAsia"/>
        </w:rPr>
        <w:t>成新度折扣率＝</w:t>
      </w:r>
      <w:r>
        <w:t>1-（1-残值率）×已经使用年限／经济耐用年限</w:t>
      </w:r>
    </w:p>
    <w:p w14:paraId="51DCCEF7" w14:textId="77777777" w:rsidR="000400F7" w:rsidRDefault="000400F7" w:rsidP="000400F7">
      <w:pPr>
        <w:pStyle w:val="13"/>
      </w:pPr>
      <w:r>
        <w:rPr>
          <w:rFonts w:hint="eastAsia"/>
        </w:rPr>
        <w:t>其中：已经使用年限＝纳税人转让旧房及建筑物年份</w:t>
      </w:r>
      <w:r>
        <w:t>-房屋建成年份</w:t>
      </w:r>
    </w:p>
    <w:p w14:paraId="1EFCBEA9" w14:textId="77777777" w:rsidR="000400F7" w:rsidRDefault="000400F7" w:rsidP="000400F7">
      <w:pPr>
        <w:pStyle w:val="13"/>
      </w:pPr>
      <w:r>
        <w:t>经济耐用年限和残值率参见《房产经济耐用年限和残值率表》。</w:t>
      </w:r>
    </w:p>
    <w:p w14:paraId="612B2692" w14:textId="77777777" w:rsidR="000400F7" w:rsidRPr="005B63DB" w:rsidRDefault="000400F7" w:rsidP="000400F7">
      <w:pPr>
        <w:pStyle w:val="13"/>
        <w:jc w:val="center"/>
      </w:pPr>
      <w:r>
        <w:rPr>
          <w:rFonts w:hint="eastAsia"/>
        </w:rPr>
        <w:t>房产经济耐用年限和残值率表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3"/>
        <w:gridCol w:w="1582"/>
        <w:gridCol w:w="1584"/>
        <w:gridCol w:w="1224"/>
        <w:gridCol w:w="1667"/>
      </w:tblGrid>
      <w:tr w:rsidR="000400F7" w:rsidRPr="00F25307" w14:paraId="4F40485D" w14:textId="77777777" w:rsidTr="00C41313">
        <w:trPr>
          <w:trHeight w:val="325"/>
          <w:jc w:val="center"/>
        </w:trPr>
        <w:tc>
          <w:tcPr>
            <w:tcW w:w="1527" w:type="pct"/>
            <w:vMerge w:val="restart"/>
            <w:vAlign w:val="center"/>
          </w:tcPr>
          <w:p w14:paraId="4F738C53"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建筑结构</w:t>
            </w:r>
          </w:p>
        </w:tc>
        <w:tc>
          <w:tcPr>
            <w:tcW w:w="2517" w:type="pct"/>
            <w:gridSpan w:val="3"/>
            <w:vAlign w:val="center"/>
          </w:tcPr>
          <w:p w14:paraId="1EDB2B77"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经济耐用年限（年）</w:t>
            </w:r>
          </w:p>
        </w:tc>
        <w:tc>
          <w:tcPr>
            <w:tcW w:w="957" w:type="pct"/>
            <w:vMerge w:val="restart"/>
            <w:vAlign w:val="center"/>
          </w:tcPr>
          <w:p w14:paraId="591F2981"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残值率</w:t>
            </w:r>
          </w:p>
          <w:p w14:paraId="1B881953"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w:t>
            </w:r>
          </w:p>
        </w:tc>
      </w:tr>
      <w:tr w:rsidR="000400F7" w:rsidRPr="00F25307" w14:paraId="49181059" w14:textId="77777777" w:rsidTr="00C41313">
        <w:trPr>
          <w:trHeight w:val="651"/>
          <w:jc w:val="center"/>
        </w:trPr>
        <w:tc>
          <w:tcPr>
            <w:tcW w:w="1527" w:type="pct"/>
            <w:vMerge/>
            <w:tcBorders>
              <w:top w:val="nil"/>
            </w:tcBorders>
            <w:vAlign w:val="center"/>
          </w:tcPr>
          <w:p w14:paraId="7024EF00" w14:textId="77777777" w:rsidR="000400F7" w:rsidRPr="00F25307" w:rsidRDefault="000400F7" w:rsidP="00C41313">
            <w:pPr>
              <w:pStyle w:val="13"/>
              <w:spacing w:line="240" w:lineRule="auto"/>
              <w:ind w:firstLineChars="0" w:firstLine="0"/>
              <w:jc w:val="center"/>
              <w:rPr>
                <w:sz w:val="21"/>
                <w:szCs w:val="21"/>
              </w:rPr>
            </w:pPr>
          </w:p>
        </w:tc>
        <w:tc>
          <w:tcPr>
            <w:tcW w:w="907" w:type="pct"/>
            <w:vAlign w:val="center"/>
          </w:tcPr>
          <w:p w14:paraId="53F1BD53"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生产用房</w:t>
            </w:r>
          </w:p>
        </w:tc>
        <w:tc>
          <w:tcPr>
            <w:tcW w:w="908" w:type="pct"/>
            <w:vAlign w:val="center"/>
          </w:tcPr>
          <w:p w14:paraId="7BF8E966"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受腐蚀的生产用房</w:t>
            </w:r>
          </w:p>
        </w:tc>
        <w:tc>
          <w:tcPr>
            <w:tcW w:w="702" w:type="pct"/>
            <w:vAlign w:val="center"/>
          </w:tcPr>
          <w:p w14:paraId="171EDC80"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非生产用房</w:t>
            </w:r>
          </w:p>
        </w:tc>
        <w:tc>
          <w:tcPr>
            <w:tcW w:w="957" w:type="pct"/>
            <w:vMerge/>
            <w:tcBorders>
              <w:top w:val="nil"/>
            </w:tcBorders>
            <w:vAlign w:val="center"/>
          </w:tcPr>
          <w:p w14:paraId="15FDEA74" w14:textId="77777777" w:rsidR="000400F7" w:rsidRPr="00F25307" w:rsidRDefault="000400F7" w:rsidP="00C41313">
            <w:pPr>
              <w:pStyle w:val="13"/>
              <w:spacing w:line="240" w:lineRule="auto"/>
              <w:ind w:firstLineChars="0" w:firstLine="0"/>
              <w:jc w:val="center"/>
              <w:rPr>
                <w:sz w:val="21"/>
                <w:szCs w:val="21"/>
              </w:rPr>
            </w:pPr>
          </w:p>
        </w:tc>
      </w:tr>
      <w:tr w:rsidR="000400F7" w:rsidRPr="00F25307" w14:paraId="5ADD5195" w14:textId="77777777" w:rsidTr="00C41313">
        <w:trPr>
          <w:trHeight w:val="347"/>
          <w:jc w:val="center"/>
        </w:trPr>
        <w:tc>
          <w:tcPr>
            <w:tcW w:w="1527" w:type="pct"/>
            <w:vAlign w:val="center"/>
          </w:tcPr>
          <w:p w14:paraId="3B38069E"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钢</w:t>
            </w:r>
          </w:p>
        </w:tc>
        <w:tc>
          <w:tcPr>
            <w:tcW w:w="907" w:type="pct"/>
            <w:vAlign w:val="center"/>
          </w:tcPr>
          <w:p w14:paraId="6F629E88"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70</w:t>
            </w:r>
          </w:p>
        </w:tc>
        <w:tc>
          <w:tcPr>
            <w:tcW w:w="908" w:type="pct"/>
            <w:vAlign w:val="center"/>
          </w:tcPr>
          <w:p w14:paraId="3568BE05"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50</w:t>
            </w:r>
          </w:p>
        </w:tc>
        <w:tc>
          <w:tcPr>
            <w:tcW w:w="702" w:type="pct"/>
            <w:vAlign w:val="center"/>
          </w:tcPr>
          <w:p w14:paraId="0E4E8DFA"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80</w:t>
            </w:r>
          </w:p>
        </w:tc>
        <w:tc>
          <w:tcPr>
            <w:tcW w:w="957" w:type="pct"/>
            <w:vAlign w:val="center"/>
          </w:tcPr>
          <w:p w14:paraId="76A96039"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0</w:t>
            </w:r>
          </w:p>
        </w:tc>
      </w:tr>
      <w:tr w:rsidR="000400F7" w:rsidRPr="00F25307" w14:paraId="705D57B2" w14:textId="77777777" w:rsidTr="00C41313">
        <w:trPr>
          <w:trHeight w:val="651"/>
          <w:jc w:val="center"/>
        </w:trPr>
        <w:tc>
          <w:tcPr>
            <w:tcW w:w="1527" w:type="pct"/>
            <w:vAlign w:val="center"/>
          </w:tcPr>
          <w:p w14:paraId="778FAA1A"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钢混（包括框架、剪力墙、筒体、框剪等）</w:t>
            </w:r>
          </w:p>
        </w:tc>
        <w:tc>
          <w:tcPr>
            <w:tcW w:w="907" w:type="pct"/>
            <w:vAlign w:val="center"/>
          </w:tcPr>
          <w:p w14:paraId="5D7D93A4"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50</w:t>
            </w:r>
          </w:p>
        </w:tc>
        <w:tc>
          <w:tcPr>
            <w:tcW w:w="908" w:type="pct"/>
            <w:vAlign w:val="center"/>
          </w:tcPr>
          <w:p w14:paraId="3595DF82"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35</w:t>
            </w:r>
          </w:p>
        </w:tc>
        <w:tc>
          <w:tcPr>
            <w:tcW w:w="702" w:type="pct"/>
            <w:vAlign w:val="center"/>
          </w:tcPr>
          <w:p w14:paraId="51AC4B67"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60</w:t>
            </w:r>
          </w:p>
        </w:tc>
        <w:tc>
          <w:tcPr>
            <w:tcW w:w="957" w:type="pct"/>
            <w:vAlign w:val="center"/>
          </w:tcPr>
          <w:p w14:paraId="59D58BB4"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0</w:t>
            </w:r>
          </w:p>
        </w:tc>
      </w:tr>
      <w:tr w:rsidR="000400F7" w:rsidRPr="00F25307" w14:paraId="53F58285" w14:textId="77777777" w:rsidTr="00C41313">
        <w:trPr>
          <w:trHeight w:val="401"/>
          <w:jc w:val="center"/>
        </w:trPr>
        <w:tc>
          <w:tcPr>
            <w:tcW w:w="1527" w:type="pct"/>
            <w:vAlign w:val="center"/>
          </w:tcPr>
          <w:p w14:paraId="47FA49AA"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砖混</w:t>
            </w:r>
          </w:p>
        </w:tc>
        <w:tc>
          <w:tcPr>
            <w:tcW w:w="907" w:type="pct"/>
            <w:vAlign w:val="center"/>
          </w:tcPr>
          <w:p w14:paraId="67E8DE4A"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40</w:t>
            </w:r>
          </w:p>
        </w:tc>
        <w:tc>
          <w:tcPr>
            <w:tcW w:w="908" w:type="pct"/>
            <w:vAlign w:val="center"/>
          </w:tcPr>
          <w:p w14:paraId="6BA4AD6C"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30</w:t>
            </w:r>
          </w:p>
        </w:tc>
        <w:tc>
          <w:tcPr>
            <w:tcW w:w="702" w:type="pct"/>
            <w:vAlign w:val="center"/>
          </w:tcPr>
          <w:p w14:paraId="279E01B2"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50</w:t>
            </w:r>
          </w:p>
        </w:tc>
        <w:tc>
          <w:tcPr>
            <w:tcW w:w="957" w:type="pct"/>
            <w:vAlign w:val="center"/>
          </w:tcPr>
          <w:p w14:paraId="73B3CE12"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2</w:t>
            </w:r>
          </w:p>
        </w:tc>
      </w:tr>
      <w:tr w:rsidR="000400F7" w:rsidRPr="00F25307" w14:paraId="0149C0F3" w14:textId="77777777" w:rsidTr="00C41313">
        <w:trPr>
          <w:trHeight w:val="774"/>
          <w:jc w:val="center"/>
        </w:trPr>
        <w:tc>
          <w:tcPr>
            <w:tcW w:w="1527" w:type="pct"/>
            <w:vAlign w:val="center"/>
          </w:tcPr>
          <w:p w14:paraId="0C9D1D6F"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砖木</w:t>
            </w:r>
          </w:p>
        </w:tc>
        <w:tc>
          <w:tcPr>
            <w:tcW w:w="907" w:type="pct"/>
            <w:vAlign w:val="center"/>
          </w:tcPr>
          <w:p w14:paraId="027EDB22"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30</w:t>
            </w:r>
          </w:p>
        </w:tc>
        <w:tc>
          <w:tcPr>
            <w:tcW w:w="908" w:type="pct"/>
            <w:vAlign w:val="center"/>
          </w:tcPr>
          <w:p w14:paraId="57A9567B"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20</w:t>
            </w:r>
          </w:p>
        </w:tc>
        <w:tc>
          <w:tcPr>
            <w:tcW w:w="702" w:type="pct"/>
            <w:vAlign w:val="center"/>
          </w:tcPr>
          <w:p w14:paraId="16679032"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40</w:t>
            </w:r>
          </w:p>
        </w:tc>
        <w:tc>
          <w:tcPr>
            <w:tcW w:w="957" w:type="pct"/>
            <w:vAlign w:val="center"/>
          </w:tcPr>
          <w:p w14:paraId="1E137AAD"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一等：6</w:t>
            </w:r>
          </w:p>
          <w:p w14:paraId="6C55EE46"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二等：4</w:t>
            </w:r>
          </w:p>
          <w:p w14:paraId="37A2F2CF"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三等：3</w:t>
            </w:r>
          </w:p>
        </w:tc>
      </w:tr>
      <w:tr w:rsidR="000400F7" w:rsidRPr="00F25307" w14:paraId="2992A831" w14:textId="77777777" w:rsidTr="00C41313">
        <w:trPr>
          <w:trHeight w:val="414"/>
          <w:jc w:val="center"/>
        </w:trPr>
        <w:tc>
          <w:tcPr>
            <w:tcW w:w="1527" w:type="pct"/>
            <w:vAlign w:val="center"/>
          </w:tcPr>
          <w:p w14:paraId="057BE447"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简易</w:t>
            </w:r>
          </w:p>
        </w:tc>
        <w:tc>
          <w:tcPr>
            <w:tcW w:w="2517" w:type="pct"/>
            <w:gridSpan w:val="3"/>
            <w:vAlign w:val="center"/>
          </w:tcPr>
          <w:p w14:paraId="7CF11B88"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10</w:t>
            </w:r>
          </w:p>
        </w:tc>
        <w:tc>
          <w:tcPr>
            <w:tcW w:w="957" w:type="pct"/>
            <w:vAlign w:val="center"/>
          </w:tcPr>
          <w:p w14:paraId="48BA2E65"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0</w:t>
            </w:r>
          </w:p>
        </w:tc>
      </w:tr>
    </w:tbl>
    <w:p w14:paraId="7A4B2EEC" w14:textId="77777777" w:rsidR="000400F7" w:rsidRDefault="000400F7" w:rsidP="000400F7">
      <w:pPr>
        <w:pStyle w:val="13"/>
      </w:pPr>
      <w:r>
        <w:rPr>
          <w:rFonts w:hint="eastAsia"/>
        </w:rPr>
        <w:t>说明：</w:t>
      </w:r>
    </w:p>
    <w:p w14:paraId="31540CBF" w14:textId="77777777" w:rsidR="000400F7" w:rsidRDefault="000400F7" w:rsidP="000400F7">
      <w:pPr>
        <w:pStyle w:val="13"/>
      </w:pPr>
      <w:r>
        <w:rPr>
          <w:rFonts w:hint="eastAsia"/>
        </w:rPr>
        <w:t>①工业房产为生产用房，居住、商业、办公、旅馆业等房产为非生产用房。</w:t>
      </w:r>
    </w:p>
    <w:p w14:paraId="0079BC5B" w14:textId="77777777" w:rsidR="000400F7" w:rsidRDefault="000400F7" w:rsidP="000400F7">
      <w:pPr>
        <w:pStyle w:val="13"/>
      </w:pPr>
      <w:r>
        <w:rPr>
          <w:rFonts w:hint="eastAsia"/>
        </w:rPr>
        <w:t>②非住宅建筑物经济寿命（耐用年限）晚于土地使用期限结束，且出让合同等约定土地使用权期间届满后无偿收回土地使用权及地上建筑物的，应将建筑物经济寿命替换为自建筑物竣工时起至土地使用权期间届满之日止的时间。</w:t>
      </w:r>
    </w:p>
    <w:p w14:paraId="593B8EAD" w14:textId="77777777" w:rsidR="000400F7" w:rsidRDefault="000400F7" w:rsidP="000400F7">
      <w:pPr>
        <w:pStyle w:val="13"/>
      </w:pPr>
      <w:r>
        <w:rPr>
          <w:rFonts w:hint="eastAsia"/>
        </w:rPr>
        <w:lastRenderedPageBreak/>
        <w:t>2</w:t>
      </w:r>
      <w:r>
        <w:t xml:space="preserve"> </w:t>
      </w:r>
      <w:r>
        <w:rPr>
          <w:rFonts w:hint="eastAsia"/>
        </w:rPr>
        <w:t>房屋建成年份的确定</w:t>
      </w:r>
    </w:p>
    <w:p w14:paraId="5CDD75B6" w14:textId="77777777" w:rsidR="000400F7" w:rsidRDefault="000400F7" w:rsidP="000400F7">
      <w:pPr>
        <w:pStyle w:val="13"/>
      </w:pPr>
      <w:r>
        <w:rPr>
          <w:rFonts w:hint="eastAsia"/>
        </w:rPr>
        <w:t>房屋建成年份依照下列情况确定：</w:t>
      </w:r>
    </w:p>
    <w:p w14:paraId="36F9BDE1" w14:textId="77777777" w:rsidR="000400F7" w:rsidRDefault="000400F7" w:rsidP="000400F7">
      <w:pPr>
        <w:pStyle w:val="13"/>
      </w:pPr>
      <w:r>
        <w:rPr>
          <w:rFonts w:hint="eastAsia"/>
        </w:rPr>
        <w:t>①建成年份有明确文件依据的，直接采用。</w:t>
      </w:r>
    </w:p>
    <w:p w14:paraId="25F636C2" w14:textId="77777777" w:rsidR="000400F7" w:rsidRDefault="000400F7" w:rsidP="000400F7">
      <w:pPr>
        <w:pStyle w:val="13"/>
      </w:pPr>
      <w:r>
        <w:rPr>
          <w:rFonts w:hint="eastAsia"/>
        </w:rPr>
        <w:t>②在无明确文件记载的情况下，以《房屋登记表》测绘日期等资料确定建成年份。</w:t>
      </w:r>
    </w:p>
    <w:p w14:paraId="719F7808" w14:textId="77777777" w:rsidR="000400F7" w:rsidRDefault="000400F7" w:rsidP="000400F7">
      <w:pPr>
        <w:pStyle w:val="13"/>
      </w:pPr>
      <w:r>
        <w:rPr>
          <w:rFonts w:hint="eastAsia"/>
        </w:rPr>
        <w:t>③当纳税人提供房屋大修（指对房屋外墙、屋面、地面、门窗、设备、管道等全项目维修，拆换部分主体构件或设备，或经过主体改造达到大修理标准的）证明材料时，</w:t>
      </w:r>
      <w:r>
        <w:t>房屋建成年份从大修时间计起。</w:t>
      </w:r>
    </w:p>
    <w:p w14:paraId="0DCCB6A8" w14:textId="77777777" w:rsidR="000400F7" w:rsidRDefault="000400F7" w:rsidP="000400F7">
      <w:pPr>
        <w:pStyle w:val="13"/>
      </w:pPr>
      <w:r>
        <w:rPr>
          <w:rFonts w:hint="eastAsia"/>
        </w:rPr>
        <w:t>9</w:t>
      </w:r>
      <w:r>
        <w:t xml:space="preserve">.1.2 </w:t>
      </w:r>
      <w:r>
        <w:rPr>
          <w:rFonts w:hint="eastAsia"/>
        </w:rPr>
        <w:t>观察法计算成新度折扣率</w:t>
      </w:r>
    </w:p>
    <w:p w14:paraId="0188064E" w14:textId="77777777" w:rsidR="000400F7" w:rsidRDefault="000400F7" w:rsidP="000400F7">
      <w:pPr>
        <w:pStyle w:val="13"/>
      </w:pPr>
      <w:r>
        <w:rPr>
          <w:rFonts w:hint="eastAsia"/>
        </w:rPr>
        <w:t>成新度折扣率</w:t>
      </w:r>
      <w:r>
        <w:t>=基础工程部分得分×权重+结构工程部分得分×权重+设备安装及装饰工程部分得分×权重</w:t>
      </w:r>
    </w:p>
    <w:p w14:paraId="5A668572" w14:textId="77777777" w:rsidR="000400F7" w:rsidRDefault="000400F7" w:rsidP="000400F7">
      <w:pPr>
        <w:pStyle w:val="13"/>
      </w:pPr>
    </w:p>
    <w:p w14:paraId="2A1A5F93" w14:textId="77777777" w:rsidR="000400F7" w:rsidRDefault="000400F7" w:rsidP="000400F7">
      <w:pPr>
        <w:pStyle w:val="13"/>
        <w:jc w:val="center"/>
      </w:pPr>
      <w:r w:rsidRPr="00A0484B">
        <w:rPr>
          <w:rFonts w:hint="eastAsia"/>
        </w:rPr>
        <w:t>不同建筑结构主要工程项目权重比例</w:t>
      </w:r>
      <w:r w:rsidRPr="00A0484B">
        <w:t>（%）</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1"/>
        <w:gridCol w:w="1521"/>
        <w:gridCol w:w="1521"/>
        <w:gridCol w:w="1243"/>
        <w:gridCol w:w="1444"/>
      </w:tblGrid>
      <w:tr w:rsidR="000400F7" w:rsidRPr="00F25307" w14:paraId="1B788208" w14:textId="77777777" w:rsidTr="00C41313">
        <w:trPr>
          <w:trHeight w:val="378"/>
          <w:jc w:val="center"/>
        </w:trPr>
        <w:tc>
          <w:tcPr>
            <w:tcW w:w="1715" w:type="pct"/>
            <w:vMerge w:val="restart"/>
            <w:tcBorders>
              <w:tl2br w:val="single" w:sz="4" w:space="0" w:color="000000"/>
            </w:tcBorders>
            <w:vAlign w:val="center"/>
          </w:tcPr>
          <w:p w14:paraId="50D164B1" w14:textId="77777777" w:rsidR="000400F7" w:rsidRPr="00F25307" w:rsidRDefault="000400F7" w:rsidP="00C41313">
            <w:pPr>
              <w:pStyle w:val="13"/>
              <w:spacing w:line="240" w:lineRule="auto"/>
              <w:ind w:firstLineChars="0" w:firstLine="0"/>
              <w:jc w:val="center"/>
              <w:rPr>
                <w:sz w:val="21"/>
                <w:szCs w:val="21"/>
              </w:rPr>
            </w:pPr>
            <w:r w:rsidRPr="00F25307">
              <w:rPr>
                <w:rFonts w:hint="eastAsia"/>
                <w:sz w:val="21"/>
                <w:szCs w:val="21"/>
              </w:rPr>
              <w:t xml:space="preserve"> </w:t>
            </w:r>
            <w:r w:rsidRPr="00F25307">
              <w:rPr>
                <w:sz w:val="21"/>
                <w:szCs w:val="21"/>
              </w:rPr>
              <w:t xml:space="preserve">          结构分类</w:t>
            </w:r>
          </w:p>
          <w:p w14:paraId="0C10AF6C" w14:textId="77777777" w:rsidR="000400F7" w:rsidRPr="00F25307" w:rsidRDefault="000400F7" w:rsidP="00C41313">
            <w:pPr>
              <w:pStyle w:val="13"/>
              <w:spacing w:line="240" w:lineRule="auto"/>
              <w:ind w:firstLineChars="0" w:firstLine="0"/>
              <w:jc w:val="left"/>
              <w:rPr>
                <w:sz w:val="21"/>
                <w:szCs w:val="21"/>
              </w:rPr>
            </w:pPr>
            <w:r w:rsidRPr="00F25307">
              <w:rPr>
                <w:rFonts w:hint="eastAsia"/>
                <w:sz w:val="21"/>
                <w:szCs w:val="21"/>
              </w:rPr>
              <w:t xml:space="preserve"> </w:t>
            </w:r>
            <w:r w:rsidRPr="00F25307">
              <w:rPr>
                <w:sz w:val="21"/>
                <w:szCs w:val="21"/>
              </w:rPr>
              <w:t xml:space="preserve">  项目名称</w:t>
            </w:r>
          </w:p>
        </w:tc>
        <w:tc>
          <w:tcPr>
            <w:tcW w:w="3285" w:type="pct"/>
            <w:gridSpan w:val="4"/>
            <w:vAlign w:val="center"/>
          </w:tcPr>
          <w:p w14:paraId="772682E5"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建筑结构类型</w:t>
            </w:r>
          </w:p>
        </w:tc>
      </w:tr>
      <w:tr w:rsidR="000400F7" w:rsidRPr="00F25307" w14:paraId="319CC7D6" w14:textId="77777777" w:rsidTr="00C41313">
        <w:trPr>
          <w:trHeight w:val="378"/>
          <w:jc w:val="center"/>
        </w:trPr>
        <w:tc>
          <w:tcPr>
            <w:tcW w:w="1715" w:type="pct"/>
            <w:vMerge/>
            <w:tcBorders>
              <w:top w:val="single" w:sz="4" w:space="0" w:color="000000"/>
              <w:tl2br w:val="single" w:sz="4" w:space="0" w:color="000000"/>
            </w:tcBorders>
            <w:vAlign w:val="center"/>
          </w:tcPr>
          <w:p w14:paraId="792123AD" w14:textId="77777777" w:rsidR="000400F7" w:rsidRPr="00F25307" w:rsidRDefault="000400F7" w:rsidP="00C41313">
            <w:pPr>
              <w:pStyle w:val="13"/>
              <w:spacing w:line="240" w:lineRule="auto"/>
              <w:ind w:firstLineChars="0" w:firstLine="0"/>
              <w:jc w:val="center"/>
              <w:rPr>
                <w:sz w:val="21"/>
                <w:szCs w:val="21"/>
              </w:rPr>
            </w:pPr>
          </w:p>
        </w:tc>
        <w:tc>
          <w:tcPr>
            <w:tcW w:w="872" w:type="pct"/>
            <w:vAlign w:val="center"/>
          </w:tcPr>
          <w:p w14:paraId="07629B96"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砖木</w:t>
            </w:r>
          </w:p>
        </w:tc>
        <w:tc>
          <w:tcPr>
            <w:tcW w:w="872" w:type="pct"/>
            <w:vAlign w:val="center"/>
          </w:tcPr>
          <w:p w14:paraId="6CF78728"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砖混</w:t>
            </w:r>
          </w:p>
        </w:tc>
        <w:tc>
          <w:tcPr>
            <w:tcW w:w="713" w:type="pct"/>
            <w:vAlign w:val="center"/>
          </w:tcPr>
          <w:p w14:paraId="6F08F62D"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钢</w:t>
            </w:r>
            <w:proofErr w:type="gramStart"/>
            <w:r w:rsidRPr="00F25307">
              <w:rPr>
                <w:sz w:val="21"/>
                <w:szCs w:val="21"/>
              </w:rPr>
              <w:t>砼</w:t>
            </w:r>
            <w:proofErr w:type="gramEnd"/>
            <w:r w:rsidRPr="00F25307">
              <w:rPr>
                <w:sz w:val="21"/>
                <w:szCs w:val="21"/>
              </w:rPr>
              <w:t>结构</w:t>
            </w:r>
          </w:p>
        </w:tc>
        <w:tc>
          <w:tcPr>
            <w:tcW w:w="829" w:type="pct"/>
            <w:vAlign w:val="center"/>
          </w:tcPr>
          <w:p w14:paraId="45D904DF"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钢结构</w:t>
            </w:r>
          </w:p>
        </w:tc>
      </w:tr>
      <w:tr w:rsidR="000400F7" w:rsidRPr="00F25307" w14:paraId="43CA546D" w14:textId="77777777" w:rsidTr="00C41313">
        <w:trPr>
          <w:trHeight w:val="378"/>
          <w:jc w:val="center"/>
        </w:trPr>
        <w:tc>
          <w:tcPr>
            <w:tcW w:w="1715" w:type="pct"/>
            <w:vAlign w:val="center"/>
          </w:tcPr>
          <w:p w14:paraId="66AB3B00"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基础工程</w:t>
            </w:r>
          </w:p>
        </w:tc>
        <w:tc>
          <w:tcPr>
            <w:tcW w:w="872" w:type="pct"/>
            <w:vAlign w:val="center"/>
          </w:tcPr>
          <w:p w14:paraId="52035C2B"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20</w:t>
            </w:r>
          </w:p>
        </w:tc>
        <w:tc>
          <w:tcPr>
            <w:tcW w:w="872" w:type="pct"/>
            <w:vAlign w:val="center"/>
          </w:tcPr>
          <w:p w14:paraId="65F3D069"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20</w:t>
            </w:r>
          </w:p>
        </w:tc>
        <w:tc>
          <w:tcPr>
            <w:tcW w:w="713" w:type="pct"/>
            <w:vAlign w:val="center"/>
          </w:tcPr>
          <w:p w14:paraId="558F3079"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20</w:t>
            </w:r>
          </w:p>
        </w:tc>
        <w:tc>
          <w:tcPr>
            <w:tcW w:w="829" w:type="pct"/>
            <w:vAlign w:val="center"/>
          </w:tcPr>
          <w:p w14:paraId="7143741C"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25</w:t>
            </w:r>
          </w:p>
        </w:tc>
      </w:tr>
      <w:tr w:rsidR="000400F7" w:rsidRPr="00F25307" w14:paraId="58EE3683" w14:textId="77777777" w:rsidTr="00C41313">
        <w:trPr>
          <w:trHeight w:val="378"/>
          <w:jc w:val="center"/>
        </w:trPr>
        <w:tc>
          <w:tcPr>
            <w:tcW w:w="1715" w:type="pct"/>
            <w:vAlign w:val="center"/>
          </w:tcPr>
          <w:p w14:paraId="4415B5FC"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结构工程</w:t>
            </w:r>
          </w:p>
        </w:tc>
        <w:tc>
          <w:tcPr>
            <w:tcW w:w="872" w:type="pct"/>
            <w:vAlign w:val="center"/>
          </w:tcPr>
          <w:p w14:paraId="0FF35CF7"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55</w:t>
            </w:r>
          </w:p>
        </w:tc>
        <w:tc>
          <w:tcPr>
            <w:tcW w:w="872" w:type="pct"/>
            <w:vAlign w:val="center"/>
          </w:tcPr>
          <w:p w14:paraId="06423019"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45</w:t>
            </w:r>
          </w:p>
        </w:tc>
        <w:tc>
          <w:tcPr>
            <w:tcW w:w="713" w:type="pct"/>
            <w:vAlign w:val="center"/>
          </w:tcPr>
          <w:p w14:paraId="343BE3AF"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50</w:t>
            </w:r>
          </w:p>
        </w:tc>
        <w:tc>
          <w:tcPr>
            <w:tcW w:w="829" w:type="pct"/>
            <w:vAlign w:val="center"/>
          </w:tcPr>
          <w:p w14:paraId="789A77AE"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55</w:t>
            </w:r>
          </w:p>
        </w:tc>
      </w:tr>
      <w:tr w:rsidR="000400F7" w:rsidRPr="00F25307" w14:paraId="51055F53" w14:textId="77777777" w:rsidTr="00C41313">
        <w:trPr>
          <w:trHeight w:val="378"/>
          <w:jc w:val="center"/>
        </w:trPr>
        <w:tc>
          <w:tcPr>
            <w:tcW w:w="1715" w:type="pct"/>
            <w:vAlign w:val="center"/>
          </w:tcPr>
          <w:p w14:paraId="45AE136F"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设备安装及装饰工程</w:t>
            </w:r>
          </w:p>
        </w:tc>
        <w:tc>
          <w:tcPr>
            <w:tcW w:w="872" w:type="pct"/>
            <w:vAlign w:val="center"/>
          </w:tcPr>
          <w:p w14:paraId="422C6CFB"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25</w:t>
            </w:r>
          </w:p>
        </w:tc>
        <w:tc>
          <w:tcPr>
            <w:tcW w:w="872" w:type="pct"/>
            <w:vAlign w:val="center"/>
          </w:tcPr>
          <w:p w14:paraId="3D5DA2FD"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35</w:t>
            </w:r>
          </w:p>
        </w:tc>
        <w:tc>
          <w:tcPr>
            <w:tcW w:w="713" w:type="pct"/>
            <w:vAlign w:val="center"/>
          </w:tcPr>
          <w:p w14:paraId="4C429A87"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30</w:t>
            </w:r>
          </w:p>
        </w:tc>
        <w:tc>
          <w:tcPr>
            <w:tcW w:w="829" w:type="pct"/>
            <w:vAlign w:val="center"/>
          </w:tcPr>
          <w:p w14:paraId="322F05FC"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20</w:t>
            </w:r>
          </w:p>
        </w:tc>
      </w:tr>
      <w:tr w:rsidR="000400F7" w:rsidRPr="00F25307" w14:paraId="192F60DF" w14:textId="77777777" w:rsidTr="00C41313">
        <w:trPr>
          <w:trHeight w:val="380"/>
          <w:jc w:val="center"/>
        </w:trPr>
        <w:tc>
          <w:tcPr>
            <w:tcW w:w="1715" w:type="pct"/>
            <w:vAlign w:val="center"/>
          </w:tcPr>
          <w:p w14:paraId="5626D7A1"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小计</w:t>
            </w:r>
          </w:p>
        </w:tc>
        <w:tc>
          <w:tcPr>
            <w:tcW w:w="872" w:type="pct"/>
            <w:vAlign w:val="center"/>
          </w:tcPr>
          <w:p w14:paraId="2B2B2B95"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100</w:t>
            </w:r>
          </w:p>
        </w:tc>
        <w:tc>
          <w:tcPr>
            <w:tcW w:w="872" w:type="pct"/>
            <w:vAlign w:val="center"/>
          </w:tcPr>
          <w:p w14:paraId="3233C2C7"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100</w:t>
            </w:r>
          </w:p>
        </w:tc>
        <w:tc>
          <w:tcPr>
            <w:tcW w:w="713" w:type="pct"/>
            <w:vAlign w:val="center"/>
          </w:tcPr>
          <w:p w14:paraId="06C4295C"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100</w:t>
            </w:r>
          </w:p>
        </w:tc>
        <w:tc>
          <w:tcPr>
            <w:tcW w:w="829" w:type="pct"/>
            <w:vAlign w:val="center"/>
          </w:tcPr>
          <w:p w14:paraId="2E735277" w14:textId="77777777" w:rsidR="000400F7" w:rsidRPr="00F25307" w:rsidRDefault="000400F7" w:rsidP="00C41313">
            <w:pPr>
              <w:pStyle w:val="13"/>
              <w:spacing w:line="240" w:lineRule="auto"/>
              <w:ind w:firstLineChars="0" w:firstLine="0"/>
              <w:jc w:val="center"/>
              <w:rPr>
                <w:sz w:val="21"/>
                <w:szCs w:val="21"/>
              </w:rPr>
            </w:pPr>
            <w:r w:rsidRPr="00F25307">
              <w:rPr>
                <w:sz w:val="21"/>
                <w:szCs w:val="21"/>
              </w:rPr>
              <w:t>100</w:t>
            </w:r>
          </w:p>
        </w:tc>
      </w:tr>
    </w:tbl>
    <w:p w14:paraId="49A402FC" w14:textId="77777777" w:rsidR="000400F7" w:rsidRPr="000A209F" w:rsidRDefault="000400F7" w:rsidP="000400F7">
      <w:pPr>
        <w:pStyle w:val="13"/>
      </w:pPr>
      <w:r w:rsidRPr="000A209F">
        <w:rPr>
          <w:rFonts w:hint="eastAsia"/>
        </w:rPr>
        <w:t>说明：上表中的比例为参考比例，应按照不同结构、设计、装饰装修标准等结合实际情况进行测算，调整幅度在±</w:t>
      </w:r>
      <w:r w:rsidRPr="000A209F">
        <w:t>10%为宜。</w:t>
      </w:r>
    </w:p>
    <w:p w14:paraId="34134B53" w14:textId="77777777" w:rsidR="000400F7" w:rsidRPr="000A209F" w:rsidRDefault="000400F7" w:rsidP="000400F7">
      <w:pPr>
        <w:pStyle w:val="13"/>
      </w:pPr>
      <w:r>
        <w:t>9.1.3</w:t>
      </w:r>
      <w:r w:rsidRPr="000A209F">
        <w:rPr>
          <w:rFonts w:hint="eastAsia"/>
        </w:rPr>
        <w:t>取值说明</w:t>
      </w:r>
    </w:p>
    <w:p w14:paraId="633D7775" w14:textId="77777777" w:rsidR="000400F7" w:rsidRDefault="000400F7" w:rsidP="000400F7">
      <w:pPr>
        <w:pStyle w:val="13"/>
      </w:pPr>
      <w:r w:rsidRPr="000A209F">
        <w:rPr>
          <w:rFonts w:hint="eastAsia"/>
        </w:rPr>
        <w:t>一般情况下，直线法成新度折扣率所占权重不应低于</w:t>
      </w:r>
      <w:r w:rsidRPr="000A209F">
        <w:t>30%。</w:t>
      </w:r>
    </w:p>
    <w:p w14:paraId="481CA835" w14:textId="77777777" w:rsidR="000400F7" w:rsidRDefault="000400F7" w:rsidP="00AF7342">
      <w:pPr>
        <w:pStyle w:val="a9"/>
        <w:spacing w:before="62" w:after="62"/>
      </w:pPr>
      <w:r>
        <w:t>10 估价报告的要求</w:t>
      </w:r>
    </w:p>
    <w:p w14:paraId="0E6DD7E4" w14:textId="77777777" w:rsidR="000400F7" w:rsidRDefault="000400F7" w:rsidP="000400F7">
      <w:pPr>
        <w:pStyle w:val="ab"/>
        <w:spacing w:before="62" w:after="62"/>
        <w:ind w:firstLine="482"/>
      </w:pPr>
      <w:r>
        <w:rPr>
          <w:rFonts w:hint="eastAsia"/>
        </w:rPr>
        <w:t>1</w:t>
      </w:r>
      <w:r>
        <w:t xml:space="preserve">0.1 </w:t>
      </w:r>
      <w:r>
        <w:rPr>
          <w:rFonts w:hint="eastAsia"/>
        </w:rPr>
        <w:t>报告内容构成与格式</w:t>
      </w:r>
    </w:p>
    <w:p w14:paraId="2700091E" w14:textId="77777777" w:rsidR="000400F7" w:rsidRDefault="000400F7" w:rsidP="000400F7">
      <w:pPr>
        <w:pStyle w:val="13"/>
      </w:pPr>
      <w:r>
        <w:rPr>
          <w:rFonts w:hint="eastAsia"/>
        </w:rPr>
        <w:t>核定土地增值税扣除项目的房地产估价报告，需符合《暂行条例》、《实施细则》等相关的税制规定、政策，以《房地产估价规范》、《房地产估价基本术语标准》所要求的报告内容和格式为准撰写。提交税务机关审核的房地产估价报告应包括估价结果报告和估价技术报告。</w:t>
      </w:r>
    </w:p>
    <w:p w14:paraId="476A7BB8" w14:textId="77777777" w:rsidR="000400F7" w:rsidRDefault="000400F7" w:rsidP="000400F7">
      <w:pPr>
        <w:pStyle w:val="ab"/>
        <w:spacing w:before="62" w:after="62"/>
        <w:ind w:firstLine="482"/>
      </w:pPr>
      <w:r>
        <w:rPr>
          <w:rFonts w:hint="eastAsia"/>
        </w:rPr>
        <w:t>1</w:t>
      </w:r>
      <w:r>
        <w:t xml:space="preserve">0.2 </w:t>
      </w:r>
      <w:r>
        <w:rPr>
          <w:rFonts w:hint="eastAsia"/>
        </w:rPr>
        <w:t>特别说明</w:t>
      </w:r>
    </w:p>
    <w:p w14:paraId="5B19280B" w14:textId="77777777" w:rsidR="000400F7" w:rsidRDefault="000400F7" w:rsidP="000400F7">
      <w:pPr>
        <w:pStyle w:val="13"/>
      </w:pPr>
      <w:r>
        <w:rPr>
          <w:rFonts w:hint="eastAsia"/>
        </w:rPr>
        <w:t>1</w:t>
      </w:r>
      <w:r>
        <w:t xml:space="preserve"> </w:t>
      </w:r>
      <w:r>
        <w:rPr>
          <w:rFonts w:hint="eastAsia"/>
        </w:rPr>
        <w:t>对旧房及建筑物重置成本的各项费用构成、成新度折扣率应分别评估，并在估价技术报告中有详细的估价过程。</w:t>
      </w:r>
    </w:p>
    <w:p w14:paraId="6F2224E8" w14:textId="77777777" w:rsidR="000400F7" w:rsidRDefault="000400F7" w:rsidP="000400F7">
      <w:pPr>
        <w:pStyle w:val="13"/>
      </w:pPr>
      <w:r>
        <w:t xml:space="preserve">2 </w:t>
      </w:r>
      <w:r>
        <w:rPr>
          <w:rFonts w:hint="eastAsia"/>
        </w:rPr>
        <w:t>价值时点、前期开发成本发生时间的确定应有合理的依据或理由。</w:t>
      </w:r>
    </w:p>
    <w:p w14:paraId="0BEEBC3D" w14:textId="77777777" w:rsidR="000400F7" w:rsidRDefault="000400F7" w:rsidP="000400F7">
      <w:pPr>
        <w:pStyle w:val="13"/>
      </w:pPr>
      <w:r>
        <w:t xml:space="preserve">3 </w:t>
      </w:r>
      <w:r>
        <w:rPr>
          <w:rFonts w:hint="eastAsia"/>
        </w:rPr>
        <w:t>估价过程中对所适用的基准地价应有较详细的介绍。</w:t>
      </w:r>
    </w:p>
    <w:p w14:paraId="60B82F9F" w14:textId="77777777" w:rsidR="000400F7" w:rsidRDefault="000400F7" w:rsidP="000400F7">
      <w:pPr>
        <w:pStyle w:val="13"/>
      </w:pPr>
      <w:r>
        <w:lastRenderedPageBreak/>
        <w:t xml:space="preserve">4 </w:t>
      </w:r>
      <w:r>
        <w:rPr>
          <w:rFonts w:hint="eastAsia"/>
        </w:rPr>
        <w:t>估价结果应分别列明前</w:t>
      </w:r>
      <w:proofErr w:type="gramStart"/>
      <w:r>
        <w:rPr>
          <w:rFonts w:hint="eastAsia"/>
        </w:rPr>
        <w:t>期开发</w:t>
      </w:r>
      <w:proofErr w:type="gramEnd"/>
      <w:r>
        <w:rPr>
          <w:rFonts w:hint="eastAsia"/>
        </w:rPr>
        <w:t>成本、房屋建设成本、管理费用、财务费用、其他成本费用及成新度折扣率。有多幢建筑物的，</w:t>
      </w:r>
      <w:proofErr w:type="gramStart"/>
      <w:r>
        <w:rPr>
          <w:rFonts w:hint="eastAsia"/>
        </w:rPr>
        <w:t>应分幢列明</w:t>
      </w:r>
      <w:proofErr w:type="gramEnd"/>
      <w:r>
        <w:rPr>
          <w:rFonts w:hint="eastAsia"/>
        </w:rPr>
        <w:t>。</w:t>
      </w:r>
    </w:p>
    <w:p w14:paraId="1507E133" w14:textId="77777777" w:rsidR="000400F7" w:rsidRDefault="000400F7" w:rsidP="00AF7342">
      <w:pPr>
        <w:pStyle w:val="a9"/>
        <w:spacing w:before="62" w:after="62"/>
      </w:pPr>
      <w:r>
        <w:t>11 附 则</w:t>
      </w:r>
    </w:p>
    <w:p w14:paraId="6A570D5C" w14:textId="77777777" w:rsidR="000400F7" w:rsidRDefault="000400F7" w:rsidP="000400F7">
      <w:pPr>
        <w:pStyle w:val="13"/>
      </w:pPr>
      <w:r>
        <w:rPr>
          <w:rFonts w:hint="eastAsia"/>
        </w:rPr>
        <w:t>1</w:t>
      </w:r>
      <w:r>
        <w:t xml:space="preserve">1.1 </w:t>
      </w:r>
      <w:r>
        <w:rPr>
          <w:rFonts w:hint="eastAsia"/>
        </w:rPr>
        <w:t>本指引由北京市地方税务局负责解释。</w:t>
      </w:r>
    </w:p>
    <w:p w14:paraId="28A8663A" w14:textId="77777777" w:rsidR="000400F7" w:rsidRDefault="000400F7" w:rsidP="000400F7">
      <w:pPr>
        <w:pStyle w:val="13"/>
      </w:pPr>
      <w:r>
        <w:rPr>
          <w:rFonts w:hint="eastAsia"/>
        </w:rPr>
        <w:t>1</w:t>
      </w:r>
      <w:r>
        <w:t xml:space="preserve">1.2 </w:t>
      </w:r>
      <w:r>
        <w:rPr>
          <w:rFonts w:hint="eastAsia"/>
        </w:rPr>
        <w:t>本指引由北京房地产估价师和土地估价师协会协助制定。</w:t>
      </w:r>
    </w:p>
    <w:p w14:paraId="5F6696CF" w14:textId="77777777" w:rsidR="000400F7" w:rsidRDefault="000400F7" w:rsidP="000400F7">
      <w:pPr>
        <w:pStyle w:val="13"/>
      </w:pPr>
      <w:r>
        <w:rPr>
          <w:rFonts w:hint="eastAsia"/>
        </w:rPr>
        <w:t>附件：《房地产估价报告》模板</w:t>
      </w:r>
    </w:p>
    <w:p w14:paraId="6BFBAC05" w14:textId="77777777" w:rsidR="00495C65" w:rsidRPr="00FE0439" w:rsidRDefault="00495C65" w:rsidP="00495C65">
      <w:pPr>
        <w:pStyle w:val="31"/>
        <w:spacing w:before="156" w:after="62"/>
        <w:rPr>
          <w:spacing w:val="-6"/>
        </w:rPr>
      </w:pPr>
      <w:bookmarkStart w:id="141" w:name="_Toc81833399"/>
      <w:r w:rsidRPr="00FE0439">
        <w:rPr>
          <w:spacing w:val="-6"/>
        </w:rPr>
        <w:t>北京市企业国有建设用地使用权收购补偿价格评估技术指引（</w:t>
      </w:r>
      <w:proofErr w:type="gramStart"/>
      <w:r w:rsidRPr="00FE0439">
        <w:rPr>
          <w:spacing w:val="-6"/>
        </w:rPr>
        <w:t>北估秘</w:t>
      </w:r>
      <w:proofErr w:type="gramEnd"/>
      <w:r w:rsidRPr="00FE0439">
        <w:rPr>
          <w:spacing w:val="-6"/>
        </w:rPr>
        <w:t>〔2018〕010</w:t>
      </w:r>
      <w:r w:rsidRPr="00FE0439">
        <w:rPr>
          <w:rFonts w:hint="eastAsia"/>
          <w:spacing w:val="-6"/>
        </w:rPr>
        <w:t>号</w:t>
      </w:r>
      <w:r w:rsidRPr="00FE0439">
        <w:rPr>
          <w:spacing w:val="-6"/>
        </w:rPr>
        <w:t>）</w:t>
      </w:r>
      <w:bookmarkEnd w:id="140"/>
      <w:bookmarkEnd w:id="141"/>
    </w:p>
    <w:p w14:paraId="31031FFF" w14:textId="77777777" w:rsidR="00495C65" w:rsidRPr="004F1AAA" w:rsidRDefault="00495C65" w:rsidP="00495C65">
      <w:pPr>
        <w:pStyle w:val="13"/>
        <w:ind w:firstLineChars="0" w:firstLine="0"/>
        <w:jc w:val="left"/>
      </w:pPr>
      <w:proofErr w:type="gramStart"/>
      <w:r w:rsidRPr="004F1AAA">
        <w:rPr>
          <w:rFonts w:hint="eastAsia"/>
        </w:rPr>
        <w:t>各土地</w:t>
      </w:r>
      <w:proofErr w:type="gramEnd"/>
      <w:r w:rsidRPr="004F1AAA">
        <w:rPr>
          <w:rFonts w:hint="eastAsia"/>
        </w:rPr>
        <w:t>估价机构：</w:t>
      </w:r>
    </w:p>
    <w:p w14:paraId="5FEF4DEE" w14:textId="77777777" w:rsidR="00495C65" w:rsidRPr="004F1AAA" w:rsidRDefault="00495C65" w:rsidP="00495C65">
      <w:pPr>
        <w:pStyle w:val="13"/>
      </w:pPr>
      <w:r w:rsidRPr="004F1AAA">
        <w:t>2015年4月，我会发布了《北京市企业国有建设用地使用权收购补偿价格评估技术指引》有效期为2年，现已到期。为了保障国有土地收回工作的顺利进行，规范收回补偿评估，我会参与完善了《北京市企业国有建设用地使用权收购补偿价格评估技术指引》，已向北京市土地整理储备中心进行备案，现向全行业发布试行。</w:t>
      </w:r>
    </w:p>
    <w:p w14:paraId="7A8D8A8F" w14:textId="77777777" w:rsidR="00495C65" w:rsidRPr="004F1AAA" w:rsidRDefault="00495C65" w:rsidP="00495C65">
      <w:pPr>
        <w:pStyle w:val="13"/>
      </w:pPr>
      <w:r w:rsidRPr="004F1AAA">
        <w:t>附件：北京市企业国有建设用地使用权收购补偿价格评估技术指引</w:t>
      </w:r>
    </w:p>
    <w:p w14:paraId="23098DC2" w14:textId="77777777" w:rsidR="00495C65" w:rsidRPr="004F1AAA" w:rsidRDefault="00495C65" w:rsidP="00495C65">
      <w:pPr>
        <w:widowControl/>
        <w:spacing w:line="312" w:lineRule="auto"/>
        <w:ind w:firstLineChars="200" w:firstLine="480"/>
        <w:jc w:val="right"/>
        <w:rPr>
          <w:rFonts w:ascii="宋体" w:hAnsi="宋体" w:cs="Times New Roman"/>
          <w:sz w:val="24"/>
          <w:szCs w:val="24"/>
        </w:rPr>
      </w:pPr>
      <w:r w:rsidRPr="004F1AAA">
        <w:rPr>
          <w:rFonts w:ascii="宋体" w:hAnsi="宋体" w:cs="Times New Roman"/>
          <w:sz w:val="24"/>
          <w:szCs w:val="24"/>
        </w:rPr>
        <w:t>北京房地产估价师和土地估价师与不动产登记代理人协会</w:t>
      </w:r>
    </w:p>
    <w:p w14:paraId="408FFE0E" w14:textId="77777777" w:rsidR="00495C65" w:rsidRPr="004F1AAA" w:rsidRDefault="00495C65" w:rsidP="00495C65">
      <w:pPr>
        <w:widowControl/>
        <w:spacing w:line="312" w:lineRule="auto"/>
        <w:ind w:firstLineChars="200" w:firstLine="480"/>
        <w:jc w:val="right"/>
        <w:rPr>
          <w:rFonts w:ascii="宋体" w:hAnsi="宋体" w:cs="Times New Roman"/>
          <w:sz w:val="24"/>
          <w:szCs w:val="24"/>
        </w:rPr>
      </w:pPr>
      <w:r w:rsidRPr="004F1AAA">
        <w:rPr>
          <w:rFonts w:ascii="宋体" w:hAnsi="宋体" w:cs="Times New Roman"/>
          <w:sz w:val="24"/>
          <w:szCs w:val="24"/>
        </w:rPr>
        <w:t>二〇一八年四月十七日</w:t>
      </w:r>
    </w:p>
    <w:p w14:paraId="6F1229DD" w14:textId="77777777" w:rsidR="00495C65" w:rsidRPr="00562DBD" w:rsidRDefault="00495C65" w:rsidP="00AF7342">
      <w:pPr>
        <w:pStyle w:val="a9"/>
        <w:spacing w:before="62" w:after="62"/>
      </w:pPr>
      <w:r w:rsidRPr="00562DBD">
        <w:t>北京市企业国有建设用地使用权收购补偿价格评估技术指引</w:t>
      </w:r>
    </w:p>
    <w:p w14:paraId="26DCE7C4" w14:textId="77777777" w:rsidR="00495C65" w:rsidRPr="002B70F1" w:rsidRDefault="00495C65" w:rsidP="00495C65">
      <w:pPr>
        <w:pStyle w:val="13"/>
      </w:pPr>
      <w:r w:rsidRPr="002B70F1">
        <w:t>为规范企业国有建设用地使用权收购补偿价格评估工作，促进北京市土地收购储备工作的顺利开展，依据《土地储备管理办法》（国土资</w:t>
      </w:r>
      <w:proofErr w:type="gramStart"/>
      <w:r w:rsidRPr="002B70F1">
        <w:t>规</w:t>
      </w:r>
      <w:proofErr w:type="gramEnd"/>
      <w:r w:rsidRPr="002B70F1">
        <w:t>〔2017〕17</w:t>
      </w:r>
      <w:r w:rsidRPr="002B70F1">
        <w:rPr>
          <w:rFonts w:hint="eastAsia"/>
        </w:rPr>
        <w:t>号</w:t>
      </w:r>
      <w:r w:rsidRPr="002B70F1">
        <w:t>）、《北京市收回企业国有土地使用权补偿办法》（京国土用〔2005〕534</w:t>
      </w:r>
      <w:r w:rsidRPr="002B70F1">
        <w:rPr>
          <w:rFonts w:hint="eastAsia"/>
        </w:rPr>
        <w:t>号</w:t>
      </w:r>
      <w:r w:rsidRPr="002B70F1">
        <w:t>）相关法规，结合本市实际情况，制定本评估指引。</w:t>
      </w:r>
    </w:p>
    <w:p w14:paraId="03B41403" w14:textId="77777777" w:rsidR="00495C65" w:rsidRPr="002B70F1" w:rsidRDefault="00495C65" w:rsidP="00495C65">
      <w:pPr>
        <w:pStyle w:val="ab"/>
        <w:spacing w:before="62" w:after="62"/>
        <w:ind w:firstLine="482"/>
      </w:pPr>
      <w:r w:rsidRPr="002B70F1">
        <w:rPr>
          <w:rFonts w:hint="eastAsia"/>
        </w:rPr>
        <w:t>1</w:t>
      </w:r>
      <w:r w:rsidRPr="002B70F1">
        <w:t>.适用范围</w:t>
      </w:r>
    </w:p>
    <w:p w14:paraId="2E706758" w14:textId="77777777" w:rsidR="00495C65" w:rsidRPr="002B70F1" w:rsidRDefault="00495C65" w:rsidP="00495C65">
      <w:pPr>
        <w:pStyle w:val="13"/>
      </w:pPr>
      <w:r w:rsidRPr="002B70F1">
        <w:t>本指引适用于北京市土地储备机构收购企业国有建设用地使用权时，评估机构对被收购国有建设用地使用权的收购补偿价格的评估。</w:t>
      </w:r>
    </w:p>
    <w:p w14:paraId="293973E9" w14:textId="77777777" w:rsidR="00495C65" w:rsidRPr="002B70F1" w:rsidRDefault="00495C65" w:rsidP="00495C65">
      <w:pPr>
        <w:pStyle w:val="13"/>
      </w:pPr>
      <w:r w:rsidRPr="002B70F1">
        <w:t>企业国有建设用地使用权收购过程中，涉及补偿评估均适用本指引。评估机构应区分货币补偿、实物补偿或货币实物相结合的补偿不同方式进行评估。被收购人选择实物补偿的，收购人应计算被收购土地价值与实物补偿价值的差价。</w:t>
      </w:r>
    </w:p>
    <w:p w14:paraId="1C207C6D" w14:textId="77777777" w:rsidR="00495C65" w:rsidRPr="002B70F1" w:rsidRDefault="00495C65" w:rsidP="00495C65">
      <w:pPr>
        <w:pStyle w:val="ab"/>
        <w:spacing w:before="62" w:after="62"/>
        <w:ind w:firstLine="482"/>
      </w:pPr>
      <w:r w:rsidRPr="002B70F1">
        <w:rPr>
          <w:rFonts w:hint="eastAsia"/>
        </w:rPr>
        <w:t>2</w:t>
      </w:r>
      <w:r w:rsidRPr="002B70F1">
        <w:t>.价格内涵</w:t>
      </w:r>
    </w:p>
    <w:p w14:paraId="25521FB7" w14:textId="77777777" w:rsidR="00495C65" w:rsidRPr="002B70F1" w:rsidRDefault="00495C65" w:rsidP="00495C65">
      <w:pPr>
        <w:pStyle w:val="13"/>
      </w:pPr>
      <w:r w:rsidRPr="002B70F1">
        <w:t>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其中土地使用权价格应依据土地取得时规定的具体类型（出让、划拨等）确定。</w:t>
      </w:r>
    </w:p>
    <w:p w14:paraId="5A977935" w14:textId="77777777" w:rsidR="00495C65" w:rsidRPr="002B70F1" w:rsidRDefault="00495C65" w:rsidP="00495C65">
      <w:pPr>
        <w:pStyle w:val="ab"/>
        <w:spacing w:before="62" w:after="62"/>
        <w:ind w:firstLine="482"/>
      </w:pPr>
      <w:r w:rsidRPr="002B70F1">
        <w:rPr>
          <w:rFonts w:hint="eastAsia"/>
        </w:rPr>
        <w:lastRenderedPageBreak/>
        <w:t>3</w:t>
      </w:r>
      <w:r w:rsidRPr="002B70F1">
        <w:t>.估价目的</w:t>
      </w:r>
    </w:p>
    <w:p w14:paraId="0011DC45" w14:textId="77777777" w:rsidR="00495C65" w:rsidRPr="002B70F1" w:rsidRDefault="00495C65" w:rsidP="00495C65">
      <w:pPr>
        <w:pStyle w:val="13"/>
      </w:pPr>
      <w:r w:rsidRPr="002B70F1">
        <w:t>估价目的需针对收购补偿的不同情况，考虑收购标的实体与权利状况确定。</w:t>
      </w:r>
    </w:p>
    <w:p w14:paraId="483BF9C4" w14:textId="77777777" w:rsidR="00495C65" w:rsidRPr="002B70F1" w:rsidRDefault="00495C65" w:rsidP="00495C65">
      <w:pPr>
        <w:pStyle w:val="13"/>
      </w:pPr>
      <w:r w:rsidRPr="002B70F1">
        <w:t>企业国有建设用地使用权收购补偿价格评估目的宜表述为“为北京市土地储备机构收购的国有建设用地使用权的补偿提供依据，评估被收购国有建设用地使用权的收购补偿价格”。</w:t>
      </w:r>
    </w:p>
    <w:p w14:paraId="3FE99E9C" w14:textId="77777777" w:rsidR="00495C65" w:rsidRPr="002B70F1" w:rsidRDefault="00495C65" w:rsidP="00495C65">
      <w:pPr>
        <w:pStyle w:val="13"/>
      </w:pPr>
      <w:r w:rsidRPr="002B70F1">
        <w:t>涉及到需对实物补偿价格、货币实物补偿相结合的补偿价格进行评估时，应当分别对评估目的进行适当表述。</w:t>
      </w:r>
    </w:p>
    <w:p w14:paraId="007695F3" w14:textId="77777777" w:rsidR="00495C65" w:rsidRPr="002B70F1" w:rsidRDefault="00495C65" w:rsidP="00495C65">
      <w:pPr>
        <w:pStyle w:val="ab"/>
        <w:spacing w:before="62" w:after="62"/>
        <w:ind w:firstLine="482"/>
      </w:pPr>
      <w:r w:rsidRPr="002B70F1">
        <w:rPr>
          <w:rFonts w:hint="eastAsia"/>
        </w:rPr>
        <w:t>4</w:t>
      </w:r>
      <w:r w:rsidRPr="002B70F1">
        <w:t>.估价原则</w:t>
      </w:r>
    </w:p>
    <w:p w14:paraId="6063457F" w14:textId="77777777" w:rsidR="00495C65" w:rsidRPr="002B70F1" w:rsidRDefault="00495C65" w:rsidP="00495C65">
      <w:pPr>
        <w:pStyle w:val="13"/>
      </w:pPr>
      <w:r w:rsidRPr="002B70F1">
        <w:t>企业国有建设用地使用权收购补偿价格评估应遵循《城镇土地估价规程》（GB/T18508-2014）及《房地产估价规范》（GB/T50291-2015）规定的相关原则。</w:t>
      </w:r>
    </w:p>
    <w:p w14:paraId="5B6DF825" w14:textId="77777777" w:rsidR="00495C65" w:rsidRPr="002B70F1" w:rsidRDefault="00495C65" w:rsidP="00495C65">
      <w:pPr>
        <w:pStyle w:val="13"/>
      </w:pPr>
      <w:r w:rsidRPr="002B70F1">
        <w:t>除此之外，考虑企业国有建设用地使用权收购的特殊性，应特别遵循谨慎性原则，在评估中确定相关参数和结果时，应充分考虑土地市场运行状况、有关行业发展状况，以及存在的风险。</w:t>
      </w:r>
    </w:p>
    <w:p w14:paraId="24D59509" w14:textId="77777777" w:rsidR="00495C65" w:rsidRPr="002B70F1" w:rsidRDefault="00495C65" w:rsidP="00495C65">
      <w:pPr>
        <w:pStyle w:val="ab"/>
        <w:spacing w:before="62" w:after="62"/>
        <w:ind w:firstLine="482"/>
      </w:pPr>
      <w:r w:rsidRPr="002B70F1">
        <w:rPr>
          <w:rFonts w:hint="eastAsia"/>
        </w:rPr>
        <w:t>5</w:t>
      </w:r>
      <w:r w:rsidRPr="002B70F1">
        <w:t>.用途及面积认定</w:t>
      </w:r>
    </w:p>
    <w:p w14:paraId="30C33BD5" w14:textId="77777777" w:rsidR="00495C65" w:rsidRPr="002B70F1" w:rsidRDefault="00495C65" w:rsidP="00495C65">
      <w:pPr>
        <w:pStyle w:val="13"/>
      </w:pPr>
      <w:r w:rsidRPr="002B70F1">
        <w:t>企业国有建设用地使用权收购补偿价格应当按照合法用途和面积进行评估。当实际用途、面积与合法用途、面积不一致时，以合法的用途、面积为准。</w:t>
      </w:r>
    </w:p>
    <w:p w14:paraId="4CDB31BF" w14:textId="77777777" w:rsidR="00495C65" w:rsidRPr="002B70F1" w:rsidRDefault="00495C65" w:rsidP="00495C65">
      <w:pPr>
        <w:pStyle w:val="13"/>
      </w:pPr>
      <w:r w:rsidRPr="002B70F1">
        <w:t>合法用途指国有土地使用证</w:t>
      </w:r>
      <w:proofErr w:type="gramStart"/>
      <w:r w:rsidRPr="002B70F1">
        <w:t>的证载用途</w:t>
      </w:r>
      <w:proofErr w:type="gramEnd"/>
      <w:r w:rsidRPr="002B70F1">
        <w:t>或不动产权</w:t>
      </w:r>
      <w:proofErr w:type="gramStart"/>
      <w:r w:rsidRPr="002B70F1">
        <w:t>证书证载用途</w:t>
      </w:r>
      <w:proofErr w:type="gramEnd"/>
      <w:r w:rsidRPr="002B70F1">
        <w:t>；未进行土地登记的，如有规划文件按规划文件确定；以上权属文件或规划文件均没有时，按房屋所有权证</w:t>
      </w:r>
      <w:proofErr w:type="gramStart"/>
      <w:r w:rsidRPr="002B70F1">
        <w:t>的证载用途</w:t>
      </w:r>
      <w:proofErr w:type="gramEnd"/>
      <w:r w:rsidRPr="002B70F1">
        <w:t>确定。</w:t>
      </w:r>
    </w:p>
    <w:p w14:paraId="10103E49" w14:textId="77777777" w:rsidR="00495C65" w:rsidRPr="002B70F1" w:rsidRDefault="00495C65" w:rsidP="00495C65">
      <w:pPr>
        <w:pStyle w:val="13"/>
      </w:pPr>
      <w:r w:rsidRPr="002B70F1">
        <w:t>被收购对象土地面积应按照国有土地使用证记载的土地面积认定；尚未取得国有土地使用证的，按照其他相关土地权属来源文件进行认定。</w:t>
      </w:r>
    </w:p>
    <w:p w14:paraId="5A323E73" w14:textId="77777777" w:rsidR="00495C65" w:rsidRPr="002B70F1" w:rsidRDefault="00495C65" w:rsidP="00495C65">
      <w:pPr>
        <w:pStyle w:val="13"/>
      </w:pPr>
      <w:r w:rsidRPr="002B70F1">
        <w:t>被收购对象建筑面积应按照房屋所有权证记载的建筑面积认定；未办理房屋所有权证的，在既有房屋建筑总面积内按照建设批准文件或相关政策进行认定。</w:t>
      </w:r>
    </w:p>
    <w:p w14:paraId="5492AA00" w14:textId="77777777" w:rsidR="00495C65" w:rsidRPr="002B70F1" w:rsidRDefault="00495C65" w:rsidP="00495C65">
      <w:pPr>
        <w:pStyle w:val="ab"/>
        <w:spacing w:before="62" w:after="62"/>
        <w:ind w:firstLine="482"/>
      </w:pPr>
      <w:r w:rsidRPr="002B70F1">
        <w:rPr>
          <w:rFonts w:hint="eastAsia"/>
        </w:rPr>
        <w:t>6</w:t>
      </w:r>
      <w:r w:rsidRPr="002B70F1">
        <w:t>.估价技术路线及报告类型</w:t>
      </w:r>
    </w:p>
    <w:p w14:paraId="1990B53E" w14:textId="77777777" w:rsidR="00495C65" w:rsidRPr="002B70F1" w:rsidRDefault="00495C65" w:rsidP="00495C65">
      <w:pPr>
        <w:pStyle w:val="13"/>
      </w:pPr>
      <w:r w:rsidRPr="002B70F1">
        <w:t>企业国有建设用地使用权收购补偿价格评估宜按本指引第2条价格内涵分别评估，土地使用权价格、建（构）筑物价格可选择房地分开评估或房地统一评估的技术路线。在选取报告类型时遵循以下要求：</w:t>
      </w:r>
    </w:p>
    <w:p w14:paraId="5F85CCEF" w14:textId="77777777" w:rsidR="00495C65" w:rsidRPr="002B70F1" w:rsidRDefault="00495C65" w:rsidP="00495C65">
      <w:pPr>
        <w:pStyle w:val="13"/>
      </w:pPr>
      <w:r w:rsidRPr="002B70F1">
        <w:t>尚未开发建设的空地，应采用土地估价报告的形式；</w:t>
      </w:r>
    </w:p>
    <w:p w14:paraId="2B13DC9E" w14:textId="77777777" w:rsidR="00495C65" w:rsidRPr="002B70F1" w:rsidRDefault="00495C65" w:rsidP="00495C65">
      <w:pPr>
        <w:pStyle w:val="13"/>
      </w:pPr>
      <w:r w:rsidRPr="002B70F1">
        <w:t>按照房地分开评估的技术路线时，应采用土地估价报告的形式；按照房地统一评估的技术路线时，应采用房地产估价报告的形式。</w:t>
      </w:r>
    </w:p>
    <w:p w14:paraId="3403738A" w14:textId="77777777" w:rsidR="00495C65" w:rsidRPr="002B70F1" w:rsidRDefault="00495C65" w:rsidP="00495C65">
      <w:pPr>
        <w:pStyle w:val="13"/>
      </w:pPr>
      <w:r w:rsidRPr="002B70F1">
        <w:t>采用土地估价报告的形式，其评估方法的使用依据《城镇土地估价规程》结合本指引的规定执行；采用房地产估价报告的形式，其评估方法的使用依据《房地产估价规范》的相关规定执行。</w:t>
      </w:r>
    </w:p>
    <w:p w14:paraId="03743C52" w14:textId="77777777" w:rsidR="00495C65" w:rsidRPr="002B70F1" w:rsidRDefault="00495C65" w:rsidP="00495C65">
      <w:pPr>
        <w:pStyle w:val="ab"/>
        <w:spacing w:before="62" w:after="62"/>
        <w:ind w:firstLine="482"/>
      </w:pPr>
      <w:r w:rsidRPr="002B70F1">
        <w:rPr>
          <w:rFonts w:hint="eastAsia"/>
        </w:rPr>
        <w:lastRenderedPageBreak/>
        <w:t>7</w:t>
      </w:r>
      <w:r w:rsidRPr="002B70F1">
        <w:t>.技术要点</w:t>
      </w:r>
    </w:p>
    <w:p w14:paraId="1D3AB855" w14:textId="77777777" w:rsidR="00495C65" w:rsidRPr="002B70F1" w:rsidRDefault="00495C65" w:rsidP="00495C65">
      <w:pPr>
        <w:pStyle w:val="13"/>
      </w:pPr>
      <w:r w:rsidRPr="002B70F1">
        <w:rPr>
          <w:rFonts w:hint="eastAsia"/>
        </w:rPr>
        <w:t>7</w:t>
      </w:r>
      <w:r w:rsidRPr="002B70F1">
        <w:t>.1不同技术路线</w:t>
      </w:r>
    </w:p>
    <w:p w14:paraId="70BE649A" w14:textId="77777777" w:rsidR="00495C65" w:rsidRPr="002B70F1" w:rsidRDefault="00495C65" w:rsidP="00495C65">
      <w:pPr>
        <w:pStyle w:val="13"/>
      </w:pPr>
      <w:r w:rsidRPr="002B70F1">
        <w:t>（</w:t>
      </w:r>
      <w:r w:rsidRPr="002B70F1">
        <w:rPr>
          <w:rFonts w:hint="eastAsia"/>
        </w:rPr>
        <w:t>1</w:t>
      </w:r>
      <w:r w:rsidRPr="002B70F1">
        <w:t>）采用房地分开评估时，估价师评估土地使用权价格应在主要估价方法中至少选用两种适宜的估价方法进行估价。</w:t>
      </w:r>
    </w:p>
    <w:p w14:paraId="53264BF9" w14:textId="77777777" w:rsidR="00495C65" w:rsidRPr="002B70F1" w:rsidRDefault="00495C65" w:rsidP="00495C65">
      <w:pPr>
        <w:pStyle w:val="13"/>
      </w:pPr>
      <w:r w:rsidRPr="002B70F1">
        <w:t>房地分开评估时，建（构）筑物价格的评估采用北京市相应的房屋重置成新价评估技术标准。</w:t>
      </w:r>
    </w:p>
    <w:p w14:paraId="7F3D7C2D" w14:textId="77777777" w:rsidR="00495C65" w:rsidRPr="002B70F1" w:rsidRDefault="00495C65" w:rsidP="00495C65">
      <w:pPr>
        <w:pStyle w:val="13"/>
      </w:pPr>
      <w:r w:rsidRPr="002B70F1">
        <w:t>采用房地分开评估时，实际容积率小于1.0的，设定容积率为1.0进行土地使用权价格评估。</w:t>
      </w:r>
    </w:p>
    <w:p w14:paraId="74D1B9B0" w14:textId="77777777" w:rsidR="00495C65" w:rsidRPr="002B70F1" w:rsidRDefault="00495C65" w:rsidP="00495C65">
      <w:pPr>
        <w:pStyle w:val="13"/>
      </w:pPr>
      <w:r w:rsidRPr="002B70F1">
        <w:rPr>
          <w:rFonts w:hint="eastAsia"/>
        </w:rPr>
        <w:t>（</w:t>
      </w:r>
      <w:r w:rsidRPr="002B70F1">
        <w:t>2）采用房地统一评估时，运用成本法只能采用房地统一评估的路径。采用房地统一评估时，按实际容积率进行评估。</w:t>
      </w:r>
    </w:p>
    <w:p w14:paraId="2CCD9225" w14:textId="77777777" w:rsidR="00495C65" w:rsidRPr="002B70F1" w:rsidRDefault="00495C65" w:rsidP="00495C65">
      <w:pPr>
        <w:pStyle w:val="13"/>
      </w:pPr>
      <w:r w:rsidRPr="002B70F1">
        <w:t>实际容积率按本指引第5条认定的合法建筑面积和土地面积确定。</w:t>
      </w:r>
    </w:p>
    <w:p w14:paraId="656C5CFF" w14:textId="77777777" w:rsidR="00495C65" w:rsidRPr="002B70F1" w:rsidRDefault="00495C65" w:rsidP="00495C65">
      <w:pPr>
        <w:pStyle w:val="13"/>
      </w:pPr>
      <w:r w:rsidRPr="002B70F1">
        <w:rPr>
          <w:rFonts w:hint="eastAsia"/>
        </w:rPr>
        <w:t>7</w:t>
      </w:r>
      <w:r w:rsidRPr="002B70F1">
        <w:t>.2房地</w:t>
      </w:r>
      <w:proofErr w:type="gramStart"/>
      <w:r w:rsidRPr="002B70F1">
        <w:t>分估时</w:t>
      </w:r>
      <w:proofErr w:type="gramEnd"/>
      <w:r w:rsidRPr="002B70F1">
        <w:t>个别方法的运用</w:t>
      </w:r>
    </w:p>
    <w:p w14:paraId="09388E63" w14:textId="77777777" w:rsidR="00495C65" w:rsidRPr="002B70F1" w:rsidRDefault="00495C65" w:rsidP="00495C65">
      <w:pPr>
        <w:pStyle w:val="13"/>
      </w:pPr>
      <w:r w:rsidRPr="002B70F1">
        <w:rPr>
          <w:rFonts w:hint="eastAsia"/>
        </w:rPr>
        <w:t>7</w:t>
      </w:r>
      <w:r w:rsidRPr="002B70F1">
        <w:t>.2.1市场比较法</w:t>
      </w:r>
    </w:p>
    <w:p w14:paraId="59BB2715" w14:textId="77777777" w:rsidR="00495C65" w:rsidRPr="002B70F1" w:rsidRDefault="00495C65" w:rsidP="00495C65">
      <w:pPr>
        <w:pStyle w:val="13"/>
      </w:pPr>
      <w:r w:rsidRPr="002B70F1">
        <w:t>被收购土地有类似市场交易案例的，土地使用权价格评估宜优先选用市场比较法。具体评估中应采用土地交易案例的楼面成交单价，同时特别考虑交易方式、土地使用权类型及开发程度等对价格的影响。</w:t>
      </w:r>
    </w:p>
    <w:p w14:paraId="7BD73687" w14:textId="77777777" w:rsidR="00495C65" w:rsidRPr="002B70F1" w:rsidRDefault="00495C65" w:rsidP="00495C65">
      <w:pPr>
        <w:pStyle w:val="13"/>
      </w:pPr>
      <w:r w:rsidRPr="002B70F1">
        <w:t>7.2.2成本逼近法</w:t>
      </w:r>
    </w:p>
    <w:p w14:paraId="0A53DA73" w14:textId="77777777" w:rsidR="00495C65" w:rsidRPr="002B70F1" w:rsidRDefault="00495C65" w:rsidP="00495C65">
      <w:pPr>
        <w:pStyle w:val="13"/>
      </w:pPr>
      <w:r w:rsidRPr="002B70F1">
        <w:t>被收购土地所在区域内具有开发土地各项客观费用数据的，宜选用成本逼近法。应结合估价对象现状合理确定开发周期。</w:t>
      </w:r>
    </w:p>
    <w:p w14:paraId="4DF01590" w14:textId="77777777" w:rsidR="00495C65" w:rsidRPr="002B70F1" w:rsidRDefault="00495C65" w:rsidP="00495C65">
      <w:pPr>
        <w:pStyle w:val="13"/>
      </w:pPr>
      <w:r w:rsidRPr="002B70F1">
        <w:t>土地使用权价格评估采用成本逼近法的，应收集与相关的土地取得费、土地开发费、税费、利息、利润及土地增值等资料。可通过直接或间接的方式求取土地取得费、土地开发费、税费、利息、利润。</w:t>
      </w:r>
    </w:p>
    <w:p w14:paraId="0E782077" w14:textId="77777777" w:rsidR="00495C65" w:rsidRPr="002B70F1" w:rsidRDefault="00495C65" w:rsidP="00495C65">
      <w:pPr>
        <w:pStyle w:val="13"/>
      </w:pPr>
      <w:r w:rsidRPr="002B70F1">
        <w:t>成本逼近法中土地取得费，可选用同区域或类似区域内三个（含）以上经审定后的土地一级开发项目的成本数据进行修正后确定。</w:t>
      </w:r>
    </w:p>
    <w:p w14:paraId="31821EF7" w14:textId="77777777" w:rsidR="00495C65" w:rsidRPr="002B70F1" w:rsidRDefault="00495C65" w:rsidP="00495C65">
      <w:pPr>
        <w:pStyle w:val="13"/>
      </w:pPr>
      <w:r w:rsidRPr="002B70F1">
        <w:t>评估划拨土地使用权价格不计土地增值收益。评估出让土地使用权价格时政府土地出让收益标准可参考北京市公布的基准地价相关规定分析后确定。</w:t>
      </w:r>
    </w:p>
    <w:p w14:paraId="67EACA3C" w14:textId="77777777" w:rsidR="00495C65" w:rsidRPr="002B70F1" w:rsidRDefault="00495C65" w:rsidP="00495C65">
      <w:pPr>
        <w:pStyle w:val="13"/>
      </w:pPr>
      <w:r w:rsidRPr="002B70F1">
        <w:t>7.2.3剩余法</w:t>
      </w:r>
    </w:p>
    <w:p w14:paraId="355D5E34" w14:textId="77777777" w:rsidR="00495C65" w:rsidRPr="002B70F1" w:rsidRDefault="00495C65" w:rsidP="00495C65">
      <w:pPr>
        <w:pStyle w:val="13"/>
      </w:pPr>
      <w:r w:rsidRPr="002B70F1">
        <w:t>选择剩余法评估土地使用权价格时，除应遵循《城镇土地估价规程》外，</w:t>
      </w:r>
      <w:proofErr w:type="gramStart"/>
      <w:r w:rsidRPr="002B70F1">
        <w:t>待估宗地</w:t>
      </w:r>
      <w:proofErr w:type="gramEnd"/>
      <w:r w:rsidRPr="002B70F1">
        <w:t>开发条件应依据估价期日宗地的现状合法用途确定。</w:t>
      </w:r>
    </w:p>
    <w:p w14:paraId="59F3B4C6" w14:textId="77777777" w:rsidR="00495C65" w:rsidRPr="002B70F1" w:rsidRDefault="00495C65" w:rsidP="00495C65">
      <w:pPr>
        <w:pStyle w:val="13"/>
      </w:pPr>
      <w:r w:rsidRPr="002B70F1">
        <w:t>7.2.4基准地价系数修正法</w:t>
      </w:r>
    </w:p>
    <w:p w14:paraId="756AFF7F" w14:textId="77777777" w:rsidR="00495C65" w:rsidRPr="002B70F1" w:rsidRDefault="00495C65" w:rsidP="00495C65">
      <w:pPr>
        <w:pStyle w:val="13"/>
      </w:pPr>
      <w:r w:rsidRPr="002B70F1">
        <w:t>在估价期</w:t>
      </w:r>
      <w:proofErr w:type="gramStart"/>
      <w:r w:rsidRPr="002B70F1">
        <w:t>日存在</w:t>
      </w:r>
      <w:proofErr w:type="gramEnd"/>
      <w:r w:rsidRPr="002B70F1">
        <w:t>基准地价的（若公示地价超过3年，须进行适用性分析论证或提供政府部门的证明），可选用基准地价系数修正法。</w:t>
      </w:r>
    </w:p>
    <w:p w14:paraId="24D896BC" w14:textId="77777777" w:rsidR="00495C65" w:rsidRPr="002B70F1" w:rsidRDefault="00495C65" w:rsidP="00495C65">
      <w:pPr>
        <w:pStyle w:val="13"/>
      </w:pPr>
      <w:r w:rsidRPr="002B70F1">
        <w:rPr>
          <w:rFonts w:hint="eastAsia"/>
        </w:rPr>
        <w:t>7</w:t>
      </w:r>
      <w:r w:rsidRPr="002B70F1">
        <w:t>.3特殊情况的处理</w:t>
      </w:r>
    </w:p>
    <w:p w14:paraId="241B7DD8" w14:textId="77777777" w:rsidR="00495C65" w:rsidRPr="002B70F1" w:rsidRDefault="00495C65" w:rsidP="00495C65">
      <w:pPr>
        <w:pStyle w:val="13"/>
      </w:pPr>
      <w:r w:rsidRPr="002B70F1">
        <w:t>对于仅收购部分土地的情况，评估时应将被收购部分与整体房地产综合考虑，可</w:t>
      </w:r>
      <w:r w:rsidRPr="002B70F1">
        <w:lastRenderedPageBreak/>
        <w:t>采用收购部分单独评估、整体分割评估、整体价值减损评估中的一种方式确定。</w:t>
      </w:r>
    </w:p>
    <w:p w14:paraId="4DB78F40" w14:textId="77777777" w:rsidR="00495C65" w:rsidRPr="002B70F1" w:rsidRDefault="00495C65" w:rsidP="00495C65">
      <w:pPr>
        <w:pStyle w:val="13"/>
      </w:pPr>
      <w:r w:rsidRPr="002B70F1">
        <w:t>7.4其他价格及费用的确定</w:t>
      </w:r>
    </w:p>
    <w:p w14:paraId="15FF648B" w14:textId="77777777" w:rsidR="00495C65" w:rsidRPr="002B70F1" w:rsidRDefault="00495C65" w:rsidP="00495C65">
      <w:pPr>
        <w:pStyle w:val="13"/>
      </w:pPr>
      <w:r w:rsidRPr="002B70F1">
        <w:t>企业国有建设用地使用权收购补偿价格评估时，附属物价格、无法恢复使用的设施设备补偿价格应参照相关评估规范进行评估，其中用于生产制造的设施设备补偿价格，评估机构可聘请除本行业</w:t>
      </w:r>
      <w:proofErr w:type="gramStart"/>
      <w:r w:rsidRPr="002B70F1">
        <w:t>外相关</w:t>
      </w:r>
      <w:proofErr w:type="gramEnd"/>
      <w:r w:rsidRPr="002B70F1">
        <w:t>专业人士或机构提供专业帮助，并在评估报告中予以披露（评估时应考虑原地续用价值及拆除后可回收利用价值）；停产停业损失补偿费用以及搬迁补偿费用参照本市有关规定进行评估。</w:t>
      </w:r>
    </w:p>
    <w:p w14:paraId="01C0D741" w14:textId="77777777" w:rsidR="00495C65" w:rsidRPr="002B70F1" w:rsidRDefault="00495C65" w:rsidP="00495C65">
      <w:pPr>
        <w:pStyle w:val="ab"/>
        <w:spacing w:before="62" w:after="62"/>
        <w:ind w:firstLine="482"/>
      </w:pPr>
      <w:r w:rsidRPr="002B70F1">
        <w:rPr>
          <w:rFonts w:hint="eastAsia"/>
        </w:rPr>
        <w:t>8</w:t>
      </w:r>
      <w:r w:rsidRPr="002B70F1">
        <w:t>.附则</w:t>
      </w:r>
    </w:p>
    <w:p w14:paraId="5E0E9946" w14:textId="77777777" w:rsidR="00495C65" w:rsidRPr="002B70F1" w:rsidRDefault="00495C65" w:rsidP="00495C65">
      <w:pPr>
        <w:pStyle w:val="13"/>
      </w:pPr>
      <w:r w:rsidRPr="002B70F1">
        <w:t>本指引自2018年4月17日起实施，由北京房地产估价师和土地估价师与不动产登记代理人协会负责解释，并根据土地市场运行情况，适时修订。本指引有效期为五年。</w:t>
      </w:r>
    </w:p>
    <w:p w14:paraId="711B0944" w14:textId="77777777" w:rsidR="00495C65" w:rsidRPr="004F1AAA" w:rsidRDefault="00495C65" w:rsidP="00495C65">
      <w:pPr>
        <w:pStyle w:val="31"/>
        <w:spacing w:before="156" w:after="62"/>
      </w:pPr>
      <w:bookmarkStart w:id="142" w:name="北京市共有产权住房价格评估技术指引（试行）（北估秘〔2018〕012号）"/>
      <w:bookmarkStart w:id="143" w:name="_bookmark103"/>
      <w:bookmarkStart w:id="144" w:name="_Toc77032574"/>
      <w:bookmarkStart w:id="145" w:name="_Toc81833400"/>
      <w:bookmarkEnd w:id="142"/>
      <w:bookmarkEnd w:id="143"/>
      <w:r w:rsidRPr="004F1AAA">
        <w:t>北京市共有产权住房价格评估技术指引（试行）（</w:t>
      </w:r>
      <w:proofErr w:type="gramStart"/>
      <w:r w:rsidRPr="004F1AAA">
        <w:t>北估秘</w:t>
      </w:r>
      <w:proofErr w:type="gramEnd"/>
      <w:r w:rsidRPr="004F1AAA">
        <w:t>〔2018〕012</w:t>
      </w:r>
      <w:r w:rsidRPr="004F1AAA">
        <w:rPr>
          <w:rFonts w:hint="eastAsia"/>
        </w:rPr>
        <w:t>号</w:t>
      </w:r>
      <w:r w:rsidRPr="004F1AAA">
        <w:t>）</w:t>
      </w:r>
      <w:bookmarkEnd w:id="144"/>
      <w:bookmarkEnd w:id="145"/>
    </w:p>
    <w:p w14:paraId="353F69B1" w14:textId="77777777" w:rsidR="00495C65" w:rsidRPr="004F1AAA" w:rsidRDefault="00495C65" w:rsidP="00495C65">
      <w:pPr>
        <w:pStyle w:val="13"/>
        <w:ind w:firstLineChars="0" w:firstLine="0"/>
        <w:jc w:val="left"/>
      </w:pPr>
      <w:r w:rsidRPr="004F1AAA">
        <w:t>各房地产估价机构：</w:t>
      </w:r>
    </w:p>
    <w:p w14:paraId="5CC68C08" w14:textId="77777777" w:rsidR="00495C65" w:rsidRPr="004F1AAA" w:rsidRDefault="00495C65" w:rsidP="00495C65">
      <w:pPr>
        <w:pStyle w:val="13"/>
      </w:pPr>
      <w:r w:rsidRPr="004F1AAA">
        <w:t>为进一步规范本市共有产权住房价格评估活动，维护共有产权住房购房人和政府的合法权益，保证共有产权住房价格合理，依据住房和城乡建设部等六部委《关于试点城市发展共有产权性质政策性商品住房的指导意见》（建保〔2014〕174</w:t>
      </w:r>
      <w:r w:rsidRPr="004F1AAA">
        <w:rPr>
          <w:rFonts w:hint="eastAsia"/>
        </w:rPr>
        <w:t>号</w:t>
      </w:r>
      <w:r w:rsidRPr="004F1AAA">
        <w:t>）、《房地产估价规范》（GB/T50291-2015）及《北京市共有产权住房管理暂行办法》（京建法〔2017〕16</w:t>
      </w:r>
      <w:r w:rsidRPr="004F1AAA">
        <w:rPr>
          <w:rFonts w:hint="eastAsia"/>
        </w:rPr>
        <w:t>号</w:t>
      </w:r>
      <w:r w:rsidRPr="004F1AAA">
        <w:t>）、《北京市共有产权住房规划设计宜居建设导则（试行）》等有关规定，结合本市实际情况，我会制定《北京市共有产权住房价格评估技术指引（试行）》。现向全行业发布，请参考执行。</w:t>
      </w:r>
    </w:p>
    <w:p w14:paraId="47F6FBDA" w14:textId="77777777" w:rsidR="00495C65" w:rsidRPr="004F1AAA" w:rsidRDefault="00495C65" w:rsidP="00495C65">
      <w:pPr>
        <w:pStyle w:val="13"/>
      </w:pPr>
      <w:r w:rsidRPr="004F1AAA">
        <w:t>附件：北京市共有产权住房价格评估技术指引（试行）</w:t>
      </w:r>
    </w:p>
    <w:p w14:paraId="6928B814" w14:textId="77777777" w:rsidR="00495C65" w:rsidRPr="004F1AAA" w:rsidRDefault="00495C65" w:rsidP="00495C65">
      <w:pPr>
        <w:pStyle w:val="13"/>
        <w:jc w:val="right"/>
      </w:pPr>
      <w:r w:rsidRPr="004F1AAA">
        <w:t>北京房地产估价师和土地估价师与不动产登记代理人协会</w:t>
      </w:r>
    </w:p>
    <w:p w14:paraId="5A2AC7F5" w14:textId="77777777" w:rsidR="00495C65" w:rsidRPr="004F1AAA" w:rsidRDefault="00495C65" w:rsidP="00495C65">
      <w:pPr>
        <w:pStyle w:val="13"/>
        <w:jc w:val="right"/>
      </w:pPr>
      <w:r w:rsidRPr="004F1AAA">
        <w:t>二〇一八年七月二十四日</w:t>
      </w:r>
    </w:p>
    <w:p w14:paraId="3645E309" w14:textId="77777777" w:rsidR="00495C65" w:rsidRPr="004F1AAA" w:rsidRDefault="00495C65" w:rsidP="00AF7342">
      <w:pPr>
        <w:pStyle w:val="a9"/>
        <w:spacing w:before="62" w:after="62"/>
      </w:pPr>
      <w:r w:rsidRPr="004F1AAA">
        <w:t>北京市共有产权住房价格评估技术指引（试行）</w:t>
      </w:r>
    </w:p>
    <w:p w14:paraId="3223B2BA" w14:textId="77777777" w:rsidR="00495C65" w:rsidRPr="004F1AAA" w:rsidRDefault="00495C65" w:rsidP="00AF7342">
      <w:pPr>
        <w:pStyle w:val="a9"/>
        <w:spacing w:before="62" w:after="62"/>
      </w:pPr>
      <w:r w:rsidRPr="004F1AAA">
        <w:t>1 总则</w:t>
      </w:r>
    </w:p>
    <w:p w14:paraId="1E8C56F9" w14:textId="77777777" w:rsidR="00495C65" w:rsidRPr="004F1AAA" w:rsidRDefault="00495C65" w:rsidP="00495C65">
      <w:pPr>
        <w:pStyle w:val="13"/>
      </w:pPr>
      <w:r w:rsidRPr="004F1AAA">
        <w:t>1.0.1为进一步规范本市共有产权住房价格评估活动，维护共有产权住房购房人和政府的合法权益，保证共有产权住房价格合理，依据住房和城乡建设部等六部委《关于试点城市发展共有产权性质政策性商品住房的指导意见》（建保〔2014〕174</w:t>
      </w:r>
      <w:r w:rsidRPr="004F1AAA">
        <w:rPr>
          <w:rFonts w:hint="eastAsia"/>
        </w:rPr>
        <w:t>号</w:t>
      </w:r>
      <w:r w:rsidRPr="004F1AAA">
        <w:t>）、《房地产估价规范》（GB/T 50291-2015）及《北京市共有产权住房管理暂行办法》（京建法〔2017〕16</w:t>
      </w:r>
      <w:r w:rsidRPr="004F1AAA">
        <w:rPr>
          <w:rFonts w:hint="eastAsia"/>
        </w:rPr>
        <w:t>号</w:t>
      </w:r>
      <w:r w:rsidRPr="004F1AAA">
        <w:t>）、《北京市共有产权住房规划设计宜居建设导则（试行）》等有关规定，结合本市实际情况，制定本指引。</w:t>
      </w:r>
    </w:p>
    <w:p w14:paraId="08F15A4A" w14:textId="77777777" w:rsidR="00495C65" w:rsidRPr="004F1AAA" w:rsidRDefault="00495C65" w:rsidP="00495C65">
      <w:pPr>
        <w:pStyle w:val="13"/>
      </w:pPr>
      <w:r w:rsidRPr="004F1AAA">
        <w:t>1.0.2本市行政区域内共有产权住房项目销售均价评估，共有产权住房同地段、同品质普通商品住房价格及产权份额比例评估，共有产权住房回购价格评估，共有产</w:t>
      </w:r>
      <w:r w:rsidRPr="004F1AAA">
        <w:lastRenderedPageBreak/>
        <w:t>权住房再上市价格评估，适用本指引。</w:t>
      </w:r>
    </w:p>
    <w:p w14:paraId="2E217577" w14:textId="77777777" w:rsidR="00495C65" w:rsidRPr="004F1AAA" w:rsidRDefault="00495C65" w:rsidP="00495C65">
      <w:pPr>
        <w:pStyle w:val="13"/>
      </w:pPr>
      <w:r w:rsidRPr="004F1AAA">
        <w:t>1.0.3涉及共有产权住房的价格评估目的应当分别表述为：</w:t>
      </w:r>
    </w:p>
    <w:p w14:paraId="54A432FE" w14:textId="77777777" w:rsidR="00495C65" w:rsidRPr="004F1AAA" w:rsidRDefault="00495C65" w:rsidP="00495C65">
      <w:pPr>
        <w:pStyle w:val="13"/>
      </w:pPr>
      <w:r>
        <w:t>1.</w:t>
      </w:r>
      <w:r w:rsidRPr="004F1AAA">
        <w:t>“共有产权住房项目土地上市前，为确定共有产权住房销售均价提供参考依据”；</w:t>
      </w:r>
    </w:p>
    <w:p w14:paraId="3A450F2B" w14:textId="77777777" w:rsidR="00495C65" w:rsidRPr="004F1AAA" w:rsidRDefault="00495C65" w:rsidP="00495C65">
      <w:pPr>
        <w:pStyle w:val="13"/>
      </w:pPr>
      <w:r>
        <w:t>2</w:t>
      </w:r>
      <w:r w:rsidRPr="005E2100">
        <w:t>.</w:t>
      </w:r>
      <w:r w:rsidRPr="004F1AAA">
        <w:t>“房屋销售前，对共有产权住房项目同地段、同品质普通商品住房的价格评估，为确定共有产权份额提供参考依据”；</w:t>
      </w:r>
    </w:p>
    <w:p w14:paraId="0663B6BF" w14:textId="77777777" w:rsidR="00495C65" w:rsidRPr="0054094D" w:rsidRDefault="00495C65" w:rsidP="00495C65">
      <w:pPr>
        <w:pStyle w:val="13"/>
      </w:pPr>
      <w:r w:rsidRPr="0054094D">
        <w:t>3.“为共有产权住房购房人取得不动产权证未满5年，因特殊原因确需将所购房屋产权份额转让给代持机构的回购价格评估，提供参考依据”；</w:t>
      </w:r>
    </w:p>
    <w:p w14:paraId="3A6673DC" w14:textId="77777777" w:rsidR="00495C65" w:rsidRPr="0054094D" w:rsidRDefault="00495C65" w:rsidP="00495C65">
      <w:pPr>
        <w:pStyle w:val="13"/>
      </w:pPr>
      <w:r w:rsidRPr="0054094D">
        <w:t>4.“为共有产权住房购房人取得不动产权证满5年，转让所购房屋产权份额的再上市的市场价格评估，提供参考依据”。</w:t>
      </w:r>
    </w:p>
    <w:p w14:paraId="07779ACA" w14:textId="77777777" w:rsidR="00495C65" w:rsidRPr="0054094D" w:rsidRDefault="00495C65" w:rsidP="00495C65">
      <w:pPr>
        <w:pStyle w:val="13"/>
      </w:pPr>
      <w:r w:rsidRPr="0054094D">
        <w:t>1.0.4共有产权住房项目销售均价，共有产权住房项目同地段、同品质普通商品住房价格和共有产权份额评估，共有产权住房回购价格评估，以及共有产权住房再上市价格价值时点，均以估价委托书确定的价值时点为准，评估结果是价税（增值税）合计的形式。</w:t>
      </w:r>
    </w:p>
    <w:p w14:paraId="1279DF06" w14:textId="77777777" w:rsidR="00495C65" w:rsidRPr="004F1AAA" w:rsidRDefault="00495C65" w:rsidP="00AF7342">
      <w:pPr>
        <w:pStyle w:val="a9"/>
        <w:spacing w:before="62" w:after="62"/>
      </w:pPr>
      <w:r w:rsidRPr="004F1AAA">
        <w:t>2 共有产权住房项目销售均价评估</w:t>
      </w:r>
    </w:p>
    <w:p w14:paraId="686DA006" w14:textId="77777777" w:rsidR="00495C65" w:rsidRPr="00E33139" w:rsidRDefault="00495C65" w:rsidP="00495C65">
      <w:pPr>
        <w:pStyle w:val="13"/>
      </w:pPr>
      <w:r w:rsidRPr="00E33139">
        <w:rPr>
          <w:rFonts w:hint="eastAsia"/>
        </w:rPr>
        <w:t>2</w:t>
      </w:r>
      <w:r w:rsidRPr="00E33139">
        <w:t>.0.1共有产权住房项目销售均价是指向购房人出售共有产权住房的平均价格，也是共有产权住房项目土地上市前，需要在土地供应文件中予以明确的销售价格。销售均价评估依据共有产权住房项目的控制性规划条件进行评估。</w:t>
      </w:r>
    </w:p>
    <w:p w14:paraId="50A104E2" w14:textId="77777777" w:rsidR="00495C65" w:rsidRPr="00E33139" w:rsidRDefault="00495C65" w:rsidP="00495C65">
      <w:pPr>
        <w:pStyle w:val="13"/>
      </w:pPr>
      <w:r w:rsidRPr="00E33139">
        <w:t>2.0.2共有产权住房项目销售均价评估，可以采用成本法、比较法。</w:t>
      </w:r>
    </w:p>
    <w:p w14:paraId="4C4531DC" w14:textId="77777777" w:rsidR="00495C65" w:rsidRPr="00E33139" w:rsidRDefault="00495C65" w:rsidP="00495C65">
      <w:pPr>
        <w:pStyle w:val="13"/>
      </w:pPr>
      <w:r w:rsidRPr="00E33139">
        <w:t>2.0.3运用成本法评估共有产权住房项目销售均价，采取房地</w:t>
      </w:r>
      <w:proofErr w:type="gramStart"/>
      <w:r w:rsidRPr="00E33139">
        <w:t>合估或者房地分估</w:t>
      </w:r>
      <w:proofErr w:type="gramEnd"/>
      <w:r w:rsidRPr="00E33139">
        <w:t>的技术路线进行评估。</w:t>
      </w:r>
    </w:p>
    <w:p w14:paraId="1596A402" w14:textId="77777777" w:rsidR="00495C65" w:rsidRPr="00E33139" w:rsidRDefault="00495C65" w:rsidP="00495C65">
      <w:pPr>
        <w:pStyle w:val="13"/>
      </w:pPr>
      <w:r w:rsidRPr="00E33139">
        <w:rPr>
          <w:rFonts w:hint="eastAsia"/>
        </w:rPr>
        <w:t>1</w:t>
      </w:r>
      <w:r w:rsidRPr="00E33139">
        <w:t>.采用房地</w:t>
      </w:r>
      <w:proofErr w:type="gramStart"/>
      <w:r w:rsidRPr="00E33139">
        <w:t>合估技术</w:t>
      </w:r>
      <w:proofErr w:type="gramEnd"/>
      <w:r w:rsidRPr="00E33139">
        <w:t>路线，测算共有产权住房项目的房地产重置成本。房地产重置成本是指在价值时点，重新开发建设全新状况的设定装修情况下的共有产权住房项目的必要支出和应得利润，包括土地成本、建设成本、管理费用、销售费用、投资利息、销售税费和开发利润。</w:t>
      </w:r>
    </w:p>
    <w:p w14:paraId="4F1EA775" w14:textId="77777777" w:rsidR="00495C65" w:rsidRPr="00E33139" w:rsidRDefault="00495C65" w:rsidP="00495C65">
      <w:pPr>
        <w:pStyle w:val="13"/>
      </w:pPr>
      <w:r w:rsidRPr="00E33139">
        <w:rPr>
          <w:rFonts w:hint="eastAsia"/>
        </w:rPr>
        <w:t>2</w:t>
      </w:r>
      <w:r w:rsidRPr="00E33139">
        <w:t>.采用房地</w:t>
      </w:r>
      <w:proofErr w:type="gramStart"/>
      <w:r w:rsidRPr="00E33139">
        <w:t>分估技术</w:t>
      </w:r>
      <w:proofErr w:type="gramEnd"/>
      <w:r w:rsidRPr="00E33139">
        <w:t>路线，分别测算土地重置成本、建筑物重置成本。</w:t>
      </w:r>
    </w:p>
    <w:p w14:paraId="660B1F53" w14:textId="77777777" w:rsidR="00495C65" w:rsidRPr="00E33139" w:rsidRDefault="00495C65" w:rsidP="00495C65">
      <w:pPr>
        <w:pStyle w:val="13"/>
      </w:pPr>
      <w:r w:rsidRPr="00E33139">
        <w:t>共有产权住房项目销售均价=土地重置成本+建筑物重置成本</w:t>
      </w:r>
    </w:p>
    <w:p w14:paraId="53BD9B9A" w14:textId="77777777" w:rsidR="00495C65" w:rsidRPr="00E33139" w:rsidRDefault="00495C65" w:rsidP="00495C65">
      <w:pPr>
        <w:pStyle w:val="13"/>
      </w:pPr>
      <w:r w:rsidRPr="00E33139">
        <w:t>（</w:t>
      </w:r>
      <w:r w:rsidRPr="00E33139">
        <w:rPr>
          <w:rFonts w:hint="eastAsia"/>
        </w:rPr>
        <w:t>1</w:t>
      </w:r>
      <w:r w:rsidRPr="00E33139">
        <w:t>）土地重置成本是在价值时点重新购置土地的必要支出，或重新开发土地的必要支出及应得利润，可采用比较法、成本法等进行测算。</w:t>
      </w:r>
    </w:p>
    <w:p w14:paraId="2C0744BA" w14:textId="77777777" w:rsidR="00495C65" w:rsidRPr="00E33139" w:rsidRDefault="00495C65" w:rsidP="00495C65">
      <w:pPr>
        <w:pStyle w:val="13"/>
      </w:pPr>
      <w:r w:rsidRPr="00E33139">
        <w:t>重新购置土地的必要支出应包括土地购置价款和相关税费，可采用比较法评估，在可比区域选取至少三个共有产权住房项目土地出让成交案例进行比较修正，同时考虑重新购置土地的必要支出在建筑物开发周期的管理费用、投资利息、开发利润和交易税费。</w:t>
      </w:r>
    </w:p>
    <w:p w14:paraId="2DE46EFC" w14:textId="77777777" w:rsidR="00495C65" w:rsidRPr="00E33139" w:rsidRDefault="00495C65" w:rsidP="00495C65">
      <w:pPr>
        <w:pStyle w:val="13"/>
      </w:pPr>
      <w:r w:rsidRPr="00E33139">
        <w:t>重新开发土地的必要支出及应得利润，可采用成本法测算，包括土地取得成本、</w:t>
      </w:r>
      <w:r w:rsidRPr="00E33139">
        <w:lastRenderedPageBreak/>
        <w:t>土地开发成本、土地开发周期和建筑物开发周期的管理费用、投资利息、销售税费和开发利润。</w:t>
      </w:r>
    </w:p>
    <w:p w14:paraId="2F82841A" w14:textId="77777777" w:rsidR="00495C65" w:rsidRPr="00E33139" w:rsidRDefault="00495C65" w:rsidP="00495C65">
      <w:pPr>
        <w:pStyle w:val="13"/>
      </w:pPr>
      <w:r w:rsidRPr="00E33139">
        <w:rPr>
          <w:rFonts w:hint="eastAsia"/>
        </w:rPr>
        <w:t>（</w:t>
      </w:r>
      <w:r w:rsidRPr="00E33139">
        <w:t>2）测算建筑物重置成本，按照新建房屋建造和装修标准进行。新建房屋建造和装修标准以被委托的共有产权住房项目房屋设计标准为准。估价期间尚无房屋设计标准的，可以参照《北京市共有产权住房规划设计宜居建设导则（试行）》设定建筑标准、面积套型、设备管线、装修标准进行估算。</w:t>
      </w:r>
    </w:p>
    <w:p w14:paraId="3D12A905" w14:textId="77777777" w:rsidR="00495C65" w:rsidRPr="002A730D" w:rsidRDefault="00495C65" w:rsidP="00495C65">
      <w:pPr>
        <w:pStyle w:val="13"/>
      </w:pPr>
      <w:r w:rsidRPr="002A730D">
        <w:rPr>
          <w:rFonts w:hint="eastAsia"/>
        </w:rPr>
        <w:t>2</w:t>
      </w:r>
      <w:r w:rsidRPr="002A730D">
        <w:t>.0.4运用比较法评估共有产权住房项目销售均价，在可比区域内选取至少三个土地出让已成交的共有产权住房项目销售均价实例，进行市场状况调整、房地产状况调整，修正确定共有产权住房项目的销售均价。</w:t>
      </w:r>
    </w:p>
    <w:p w14:paraId="0FEAFAEA" w14:textId="77777777" w:rsidR="00495C65" w:rsidRPr="002A730D" w:rsidRDefault="00495C65" w:rsidP="00495C65">
      <w:pPr>
        <w:pStyle w:val="13"/>
      </w:pPr>
      <w:r w:rsidRPr="002A730D">
        <w:t>2.0.5对于采用两种以上方法评估共有产权住房项目销售均价的，以项目开发建设成本和适当利润为基础，综合确定各评估方法的权重，评估出共有产权住房项目销售均价。</w:t>
      </w:r>
    </w:p>
    <w:p w14:paraId="44A88B2B" w14:textId="77777777" w:rsidR="00495C65" w:rsidRPr="002A730D" w:rsidRDefault="00495C65" w:rsidP="00495C65">
      <w:pPr>
        <w:pStyle w:val="13"/>
      </w:pPr>
      <w:r w:rsidRPr="002A730D">
        <w:t>2.0.6共有产权住房项目的销售均价，应同时考虑同地段、同品质普通商品住房项目的价格水平和居民家庭的购房支付能力。销售均价应当低于同地段、同品质普通商品住房项目的价格水平，与区域内或其他同档次区域的其他共有产权住房项目价格实现均衡，并根据本市居民家庭支付能力，使销售均价匹配无房家庭购房支付能力。</w:t>
      </w:r>
    </w:p>
    <w:p w14:paraId="10EFD840" w14:textId="77777777" w:rsidR="00495C65" w:rsidRPr="004F1AAA" w:rsidRDefault="00495C65" w:rsidP="00AF7342">
      <w:pPr>
        <w:pStyle w:val="a9"/>
        <w:spacing w:before="62" w:after="62"/>
      </w:pPr>
      <w:r w:rsidRPr="004F1AAA">
        <w:t>3 共有产权住房项目同地段、同品质普通商品住房价格评估</w:t>
      </w:r>
    </w:p>
    <w:p w14:paraId="5C47CABE" w14:textId="77777777" w:rsidR="00495C65" w:rsidRPr="004F1AAA" w:rsidRDefault="00495C65" w:rsidP="00495C65">
      <w:pPr>
        <w:pStyle w:val="13"/>
      </w:pPr>
      <w:r w:rsidRPr="004F1AAA">
        <w:rPr>
          <w:rFonts w:hint="eastAsia"/>
        </w:rPr>
        <w:t>3</w:t>
      </w:r>
      <w:r w:rsidRPr="004F1AAA">
        <w:t>.0.1共有产权住房项目同地段、同品质普通商品住房价格是指为确定共有产权住房购房人产权份额，在共有产权住房项目明确规划设计方案，对共有产权住房项目同地段、同品质普通商品住房进行评估的价格。</w:t>
      </w:r>
    </w:p>
    <w:p w14:paraId="4939BD67" w14:textId="77777777" w:rsidR="00495C65" w:rsidRPr="004F1AAA" w:rsidRDefault="00495C65" w:rsidP="00495C65">
      <w:pPr>
        <w:pStyle w:val="13"/>
      </w:pPr>
      <w:r w:rsidRPr="004F1AAA">
        <w:t>3.0.2同地段是指按照就近原则，能够满足共有产权住房项目市场价格评估所需要的可比实例所形成的同质区域。同品质是指使用功能、建筑结构、面积、户型、装修、设备、周边环境及配套与共有产权住房项目相同或相似。</w:t>
      </w:r>
    </w:p>
    <w:p w14:paraId="47240537" w14:textId="77777777" w:rsidR="00495C65" w:rsidRPr="004F1AAA" w:rsidRDefault="00495C65" w:rsidP="00495C65">
      <w:pPr>
        <w:pStyle w:val="13"/>
      </w:pPr>
      <w:r w:rsidRPr="004F1AAA">
        <w:t>3.0.3共有产权住房项目同地段、同品质普通商品住房的价格采取标准房地产价格进行评估。</w:t>
      </w:r>
    </w:p>
    <w:p w14:paraId="4BE8DEEE" w14:textId="77777777" w:rsidR="00495C65" w:rsidRPr="004F1AAA" w:rsidRDefault="00495C65" w:rsidP="00495C65">
      <w:pPr>
        <w:pStyle w:val="13"/>
      </w:pPr>
      <w:r w:rsidRPr="004F1AAA">
        <w:t>标准房地产是指参照项目的户型、面积、朝向、装修及设备等因素所设定的具有代表性指标的房屋。</w:t>
      </w:r>
    </w:p>
    <w:p w14:paraId="3FBD2308" w14:textId="77777777" w:rsidR="00495C65" w:rsidRPr="004F1AAA" w:rsidRDefault="00495C65" w:rsidP="00495C65">
      <w:pPr>
        <w:pStyle w:val="13"/>
      </w:pPr>
      <w:r w:rsidRPr="004F1AAA">
        <w:t>3.0.4在确定标准房地产价格时优先采用比较法评估共有产权住房的市场价值。在比较法无法满足估价要求时，可以采用收益法或成本法进行评估。</w:t>
      </w:r>
    </w:p>
    <w:p w14:paraId="55F5CA30" w14:textId="77777777" w:rsidR="00495C65" w:rsidRPr="004F1AAA" w:rsidRDefault="00495C65" w:rsidP="00495C65">
      <w:pPr>
        <w:pStyle w:val="13"/>
      </w:pPr>
      <w:r w:rsidRPr="004F1AAA">
        <w:t>3.0.5同地段、同品质普通商品住房价格采用比较法评估时，应选</w:t>
      </w:r>
      <w:proofErr w:type="gramStart"/>
      <w:r w:rsidRPr="004F1AAA">
        <w:t>取符合</w:t>
      </w:r>
      <w:proofErr w:type="gramEnd"/>
      <w:r w:rsidRPr="004F1AAA">
        <w:t>要求的不少于三个住宅小区的可比实例，且可比实例应优先采用新建普通商品住宅项目，条件不具备时，可采用存量住宅项目。</w:t>
      </w:r>
    </w:p>
    <w:p w14:paraId="515A7CF0" w14:textId="77777777" w:rsidR="00495C65" w:rsidRPr="004F1AAA" w:rsidRDefault="00495C65" w:rsidP="00495C65">
      <w:pPr>
        <w:pStyle w:val="13"/>
      </w:pPr>
      <w:r w:rsidRPr="004F1AAA">
        <w:t>3.0.6选择新建普通商品住宅项目时，可通过住宅项目的销售均价确定该小区标</w:t>
      </w:r>
      <w:r w:rsidRPr="004F1AAA">
        <w:lastRenderedPageBreak/>
        <w:t>准房地产市场价格；选择存量住宅项目时，根据所评估的共有产权住房项目的标准房地产指标、住宅小区的建筑标准，设定住宅小区标准房地产的建筑标准。依据《房地产估价规范》，对每个住宅小区选取的不少于三个可比实例交易价格进行标准化处理，将所选可比实例与标准房地产进行比较，进行房地产状况调整，计算住宅小区标准房地产价格。</w:t>
      </w:r>
    </w:p>
    <w:p w14:paraId="1777D370" w14:textId="77777777" w:rsidR="00495C65" w:rsidRPr="004F1AAA" w:rsidRDefault="00495C65" w:rsidP="00495C65">
      <w:pPr>
        <w:pStyle w:val="13"/>
      </w:pPr>
      <w:r w:rsidRPr="004F1AAA">
        <w:t>3.0.7将所选取的住宅小区标准房地产价格进行市场状况调整、房地产状况调整，分析确定共有产权住房项目同地段、同品质普通商品住房价格。</w:t>
      </w:r>
    </w:p>
    <w:p w14:paraId="6AF737C4" w14:textId="77777777" w:rsidR="00495C65" w:rsidRPr="004F1AAA" w:rsidRDefault="00495C65" w:rsidP="00495C65">
      <w:pPr>
        <w:pStyle w:val="13"/>
      </w:pPr>
      <w:r w:rsidRPr="004F1AAA">
        <w:t>3.0.8按照上述方法评估得出的同地段、同品质普通商品住房价格，因市场行情或区域因素，可建议予以合理折让，作为确定购房人产权份额的价格基数。</w:t>
      </w:r>
    </w:p>
    <w:p w14:paraId="2923505E" w14:textId="77777777" w:rsidR="00495C65" w:rsidRPr="004F1AAA" w:rsidRDefault="00495C65" w:rsidP="00495C65">
      <w:pPr>
        <w:pStyle w:val="13"/>
      </w:pPr>
      <w:r w:rsidRPr="004F1AAA">
        <w:t>1.购房人产权份额，按照共有产权住房项目销售</w:t>
      </w:r>
      <w:proofErr w:type="gramStart"/>
      <w:r w:rsidRPr="004F1AAA">
        <w:t>均价占</w:t>
      </w:r>
      <w:proofErr w:type="gramEnd"/>
      <w:r w:rsidRPr="004F1AAA">
        <w:t>同地段、同品质普通商品住房价格的比例测算。</w:t>
      </w:r>
    </w:p>
    <w:p w14:paraId="4ACEEADB" w14:textId="77777777" w:rsidR="00495C65" w:rsidRPr="004F1AAA" w:rsidRDefault="00495C65" w:rsidP="00495C65">
      <w:pPr>
        <w:pStyle w:val="13"/>
      </w:pPr>
      <w:r w:rsidRPr="004F1AAA">
        <w:rPr>
          <w:rFonts w:hint="eastAsia"/>
        </w:rPr>
        <w:t>2</w:t>
      </w:r>
      <w:r w:rsidRPr="004F1AAA">
        <w:t>.建议购房人产权份额比例每5%或10%为一个档位间隔，可按靠近档位就高的原则确定。</w:t>
      </w:r>
    </w:p>
    <w:p w14:paraId="7F14C30C" w14:textId="77777777" w:rsidR="00495C65" w:rsidRPr="004F1AAA" w:rsidRDefault="00495C65" w:rsidP="00AF7342">
      <w:pPr>
        <w:pStyle w:val="a9"/>
        <w:spacing w:before="62" w:after="62"/>
      </w:pPr>
      <w:r w:rsidRPr="004F1AAA">
        <w:t>4 共有产权住房回购价格评估</w:t>
      </w:r>
    </w:p>
    <w:p w14:paraId="5A8BAE5A" w14:textId="77777777" w:rsidR="00495C65" w:rsidRPr="004F1AAA" w:rsidRDefault="00495C65" w:rsidP="00495C65">
      <w:pPr>
        <w:pStyle w:val="13"/>
      </w:pPr>
      <w:r w:rsidRPr="004F1AAA">
        <w:rPr>
          <w:rFonts w:hint="eastAsia"/>
        </w:rPr>
        <w:t>4</w:t>
      </w:r>
      <w:r w:rsidRPr="004F1AAA">
        <w:t>.0.1共有产权住房回购价格是指，共有产权住房购房人取得不动产权证未满5年，因特殊原因确需转让所购房屋产权份额，由</w:t>
      </w:r>
      <w:proofErr w:type="gramStart"/>
      <w:r w:rsidRPr="004F1AAA">
        <w:t>代持机构</w:t>
      </w:r>
      <w:proofErr w:type="gramEnd"/>
      <w:r w:rsidRPr="004F1AAA">
        <w:t>回购的房屋价格。</w:t>
      </w:r>
    </w:p>
    <w:p w14:paraId="3BAC8A70" w14:textId="77777777" w:rsidR="00495C65" w:rsidRPr="004F1AAA" w:rsidRDefault="00495C65" w:rsidP="00495C65">
      <w:pPr>
        <w:pStyle w:val="13"/>
      </w:pPr>
      <w:r w:rsidRPr="004F1AAA">
        <w:t>4.0.2回</w:t>
      </w:r>
      <w:proofErr w:type="gramStart"/>
      <w:r w:rsidRPr="004F1AAA">
        <w:t>购价格按购买</w:t>
      </w:r>
      <w:proofErr w:type="gramEnd"/>
      <w:r w:rsidRPr="004F1AAA">
        <w:t>价格应考虑建筑物折旧和居民消费价格指数等因素确定。</w:t>
      </w:r>
    </w:p>
    <w:p w14:paraId="6547B90F" w14:textId="77777777" w:rsidR="00495C65" w:rsidRPr="004F1AAA" w:rsidRDefault="00495C65" w:rsidP="00AF7342">
      <w:pPr>
        <w:pStyle w:val="a9"/>
        <w:spacing w:before="62" w:after="62"/>
      </w:pPr>
      <w:r w:rsidRPr="004F1AAA">
        <w:t>5 共有产权住房再上市价格评估</w:t>
      </w:r>
    </w:p>
    <w:p w14:paraId="0B937481" w14:textId="77777777" w:rsidR="00495C65" w:rsidRPr="004F1AAA" w:rsidRDefault="00495C65" w:rsidP="00495C65">
      <w:pPr>
        <w:pStyle w:val="13"/>
      </w:pPr>
      <w:r w:rsidRPr="004F1AAA">
        <w:rPr>
          <w:rFonts w:hint="eastAsia"/>
        </w:rPr>
        <w:t>5</w:t>
      </w:r>
      <w:r w:rsidRPr="004F1AAA">
        <w:t>.0.1共有产权住房再上市价格是指，共有产权住房购房人取得不动产权证满5年，转让所购共有产权住房产权份额的市场价格。通常指在正常交易情况下，由熟悉情况的交易双方以公平交易方式在价值时点自愿进行交易的金额。</w:t>
      </w:r>
    </w:p>
    <w:p w14:paraId="32E93C99" w14:textId="77777777" w:rsidR="00495C65" w:rsidRPr="004F1AAA" w:rsidRDefault="00495C65" w:rsidP="00495C65">
      <w:pPr>
        <w:pStyle w:val="13"/>
      </w:pPr>
      <w:r w:rsidRPr="004F1AAA">
        <w:t>5.0.2共有产权住房再上市价格评估优先采用比较法进行评估共有产权住房的市场价值。在比较法无法满足估价要求时，可以采用收益法或成本法进行评估。</w:t>
      </w:r>
    </w:p>
    <w:p w14:paraId="38C69B37" w14:textId="77777777" w:rsidR="00495C65" w:rsidRPr="004F1AAA" w:rsidRDefault="00495C65" w:rsidP="00495C65">
      <w:pPr>
        <w:pStyle w:val="13"/>
      </w:pPr>
      <w:r w:rsidRPr="004F1AAA">
        <w:t>5.0.3采用比较法评估时，选取可比区域的至少三个可比实例交易价格。选择存量住宅项目时，根据共有产权住房项目的标准房地产指标、住宅小区的建筑标准，设定住宅小区标准房地产的建筑标准。依据《房地产估价规范》，对每个住宅小区选取的三个可比实例交易价格进行标准化处理，然后进行房地产状况调整，分析确定共有产权住房再上市价格。</w:t>
      </w:r>
    </w:p>
    <w:p w14:paraId="363D5A75" w14:textId="77777777" w:rsidR="00495C65" w:rsidRPr="004F1AAA" w:rsidRDefault="00495C65" w:rsidP="00AF7342">
      <w:pPr>
        <w:pStyle w:val="a9"/>
        <w:spacing w:before="62" w:after="62"/>
      </w:pPr>
      <w:r w:rsidRPr="004F1AAA">
        <w:t>6 评估结果</w:t>
      </w:r>
    </w:p>
    <w:p w14:paraId="6AC40D4C" w14:textId="77777777" w:rsidR="00495C65" w:rsidRPr="004F1AAA" w:rsidRDefault="00495C65" w:rsidP="00495C65">
      <w:pPr>
        <w:pStyle w:val="13"/>
      </w:pPr>
      <w:r w:rsidRPr="004F1AAA">
        <w:rPr>
          <w:rFonts w:hint="eastAsia"/>
        </w:rPr>
        <w:t>6</w:t>
      </w:r>
      <w:r w:rsidRPr="004F1AAA">
        <w:t>.0.1涉及共有产权住房项目价格评估时，应委托具有相应资质的房地产估价机构按照本指引进行。房地产估价机构应当按照估价委托书或者委托合同的约定，</w:t>
      </w:r>
      <w:proofErr w:type="gramStart"/>
      <w:r w:rsidRPr="004F1AAA">
        <w:t>向代持机构</w:t>
      </w:r>
      <w:proofErr w:type="gramEnd"/>
      <w:r w:rsidRPr="004F1AAA">
        <w:t>提供评估报告。</w:t>
      </w:r>
    </w:p>
    <w:p w14:paraId="7E3F11CB" w14:textId="77777777" w:rsidR="00495C65" w:rsidRPr="004F1AAA" w:rsidRDefault="00495C65" w:rsidP="00495C65">
      <w:pPr>
        <w:pStyle w:val="13"/>
      </w:pPr>
      <w:r w:rsidRPr="004F1AAA">
        <w:t>6.0.2评估报告提交委托方之后，在市住房城乡建设委会同市发展改革委、市财</w:t>
      </w:r>
      <w:r w:rsidRPr="004F1AAA">
        <w:lastRenderedPageBreak/>
        <w:t>政局、市规划</w:t>
      </w:r>
      <w:proofErr w:type="gramStart"/>
      <w:r w:rsidRPr="004F1AAA">
        <w:t>国土委</w:t>
      </w:r>
      <w:proofErr w:type="gramEnd"/>
      <w:r w:rsidRPr="004F1AAA">
        <w:t>共同审核之前，同地段住宅房地产市场若发生较大波动，评估机构应在调查分析市场波动情况后，根据市场波动情况对评估报告进行调整。</w:t>
      </w:r>
    </w:p>
    <w:p w14:paraId="549A9C3F" w14:textId="77777777" w:rsidR="00495C65" w:rsidRPr="004F1AAA" w:rsidRDefault="00495C65" w:rsidP="00AF7342">
      <w:pPr>
        <w:pStyle w:val="a9"/>
        <w:spacing w:before="62" w:after="62"/>
      </w:pPr>
      <w:r w:rsidRPr="004F1AAA">
        <w:t>7 附则</w:t>
      </w:r>
    </w:p>
    <w:p w14:paraId="4A68EE55" w14:textId="7F1726BC" w:rsidR="00495C65" w:rsidRPr="004F1AAA" w:rsidRDefault="00495C65" w:rsidP="00495C65">
      <w:pPr>
        <w:pStyle w:val="13"/>
      </w:pPr>
      <w:r w:rsidRPr="004F1AAA">
        <w:t>7.0.1本指引自 2018</w:t>
      </w:r>
      <w:r w:rsidR="003068F8">
        <w:t>年</w:t>
      </w:r>
      <w:r w:rsidRPr="004F1AAA">
        <w:t>8</w:t>
      </w:r>
      <w:r w:rsidR="003068F8">
        <w:t>月</w:t>
      </w:r>
      <w:r w:rsidRPr="004F1AAA">
        <w:t>1</w:t>
      </w:r>
      <w:r w:rsidR="003068F8">
        <w:t>日</w:t>
      </w:r>
      <w:r w:rsidRPr="004F1AAA">
        <w:t>起实施，由北京房地产估价师和土地估价师与不动产登记代理人协会负责解释。本指引有效期为一年，根据政策和市场情况，适时修订。</w:t>
      </w:r>
    </w:p>
    <w:p w14:paraId="368C1DBA" w14:textId="72567A8C" w:rsidR="00495C65" w:rsidRPr="004F1AAA" w:rsidRDefault="00495C65" w:rsidP="00495C65">
      <w:pPr>
        <w:pStyle w:val="31"/>
        <w:spacing w:before="156" w:after="62"/>
      </w:pPr>
      <w:bookmarkStart w:id="146" w:name="关于发布《社会单位利用自用国有土地集中建设的公共租赁住房项目投资者权益价值评估指"/>
      <w:bookmarkStart w:id="147" w:name="_bookmark104"/>
      <w:bookmarkStart w:id="148" w:name="_Toc77032575"/>
      <w:bookmarkStart w:id="149" w:name="_Toc81833401"/>
      <w:bookmarkEnd w:id="146"/>
      <w:bookmarkEnd w:id="147"/>
      <w:r w:rsidRPr="004F1AAA">
        <w:t>社会单位利用自用国有土地集中建设的公共租赁住房项目投资者权益价值评估指引（试行）（</w:t>
      </w:r>
      <w:proofErr w:type="gramStart"/>
      <w:r w:rsidRPr="004F1AAA">
        <w:t>北估秘</w:t>
      </w:r>
      <w:proofErr w:type="gramEnd"/>
      <w:r w:rsidRPr="004F1AAA">
        <w:t>〔2018〕018</w:t>
      </w:r>
      <w:r w:rsidRPr="004F1AAA">
        <w:rPr>
          <w:rFonts w:hint="eastAsia"/>
        </w:rPr>
        <w:t>号</w:t>
      </w:r>
      <w:r w:rsidRPr="004F1AAA">
        <w:t>）</w:t>
      </w:r>
      <w:bookmarkEnd w:id="148"/>
      <w:bookmarkEnd w:id="149"/>
    </w:p>
    <w:p w14:paraId="385D4329" w14:textId="77777777" w:rsidR="00495C65" w:rsidRPr="004F1AAA" w:rsidRDefault="00495C65" w:rsidP="00495C65">
      <w:pPr>
        <w:pStyle w:val="13"/>
        <w:ind w:firstLineChars="0" w:firstLine="0"/>
        <w:jc w:val="left"/>
      </w:pPr>
      <w:r w:rsidRPr="004F1AAA">
        <w:t>各会员单位：</w:t>
      </w:r>
    </w:p>
    <w:p w14:paraId="6CE64685" w14:textId="77777777" w:rsidR="00495C65" w:rsidRPr="004F1AAA" w:rsidRDefault="00495C65" w:rsidP="00495C65">
      <w:pPr>
        <w:pStyle w:val="13"/>
      </w:pPr>
      <w:r w:rsidRPr="004F1AAA">
        <w:t>为规范本市由社会单位利用自用国有土地集中建设的公共租赁住房项目投资者权益价值评估活动，依据《关于加快发展公共租赁住房的指导意见》（建保﹝2010﹞87</w:t>
      </w:r>
      <w:r w:rsidRPr="004F1AAA">
        <w:rPr>
          <w:rFonts w:hint="eastAsia"/>
        </w:rPr>
        <w:t>号</w:t>
      </w:r>
      <w:r w:rsidRPr="004F1AAA">
        <w:t>）、《关于加强本市公共租赁住房建设和管理的通知》（京政发﹝2011﹞61</w:t>
      </w:r>
      <w:r w:rsidRPr="004F1AAA">
        <w:rPr>
          <w:rFonts w:hint="eastAsia"/>
        </w:rPr>
        <w:t>号</w:t>
      </w:r>
      <w:r w:rsidRPr="004F1AAA">
        <w:t>）、《北京市公共租赁住房建设技术导则（试行）》（京建发﹝2010﹞413</w:t>
      </w:r>
      <w:r w:rsidRPr="004F1AAA">
        <w:rPr>
          <w:rFonts w:hint="eastAsia"/>
        </w:rPr>
        <w:t>号</w:t>
      </w:r>
      <w:r w:rsidRPr="004F1AAA">
        <w:t>）及《房地产估价规范》（GB/T 50291-2015）等有关规定，结合本市实际情况，我会制定《社会单位利用自用国有土地集中建设的公共租赁住房项目投资者权益价值评估指引（试行）》。现将该指引向全行业发布，请参考执行。</w:t>
      </w:r>
    </w:p>
    <w:p w14:paraId="592C5938" w14:textId="77777777" w:rsidR="00495C65" w:rsidRPr="004F1AAA" w:rsidRDefault="00495C65" w:rsidP="00495C65">
      <w:pPr>
        <w:pStyle w:val="13"/>
      </w:pPr>
      <w:r w:rsidRPr="004F1AAA">
        <w:t>本指引有效期为一年，根据政策和市场情况，适时修订，调整结果在我会网站公布。附件：《社会单位利用自用国有土地集中建设的公共租赁住房项目投资者权益价值评估指引（试行）》</w:t>
      </w:r>
    </w:p>
    <w:p w14:paraId="1567B1C2" w14:textId="77777777" w:rsidR="00495C65" w:rsidRPr="004F1AAA" w:rsidRDefault="00495C65" w:rsidP="00495C65">
      <w:pPr>
        <w:pStyle w:val="13"/>
        <w:jc w:val="right"/>
      </w:pPr>
      <w:r w:rsidRPr="004F1AAA">
        <w:t>北京房地产估价师和土地估价师与不动产登记代理人协会</w:t>
      </w:r>
    </w:p>
    <w:p w14:paraId="461B0EFB" w14:textId="77777777" w:rsidR="00495C65" w:rsidRPr="004F1AAA" w:rsidRDefault="00495C65" w:rsidP="00495C65">
      <w:pPr>
        <w:pStyle w:val="13"/>
        <w:jc w:val="right"/>
      </w:pPr>
      <w:r w:rsidRPr="004F1AAA">
        <w:t>二〇一八年十月二十九日</w:t>
      </w:r>
    </w:p>
    <w:p w14:paraId="171A932B" w14:textId="77777777" w:rsidR="00495C65" w:rsidRPr="004F1AAA" w:rsidRDefault="00495C65" w:rsidP="00AF7342">
      <w:pPr>
        <w:pStyle w:val="a9"/>
        <w:spacing w:before="62" w:after="62"/>
      </w:pPr>
      <w:r w:rsidRPr="004F1AAA">
        <w:t>社会单位利用自用国有土地集中建设的</w:t>
      </w:r>
    </w:p>
    <w:p w14:paraId="718CA63E" w14:textId="77777777" w:rsidR="00495C65" w:rsidRPr="004F1AAA" w:rsidRDefault="00495C65" w:rsidP="00AF7342">
      <w:pPr>
        <w:pStyle w:val="a9"/>
        <w:spacing w:before="62" w:after="62"/>
      </w:pPr>
      <w:r w:rsidRPr="004F1AAA">
        <w:t>公共租赁住房项目投资者权益价值评估指引（试行）</w:t>
      </w:r>
    </w:p>
    <w:p w14:paraId="3BD29F9F" w14:textId="77777777" w:rsidR="00495C65" w:rsidRPr="004F1AAA" w:rsidRDefault="00495C65" w:rsidP="00AF7342">
      <w:pPr>
        <w:pStyle w:val="a9"/>
        <w:spacing w:before="62" w:after="62"/>
      </w:pPr>
      <w:r w:rsidRPr="004F1AAA">
        <w:t>1 总则</w:t>
      </w:r>
    </w:p>
    <w:p w14:paraId="1A425D6C" w14:textId="77777777" w:rsidR="00495C65" w:rsidRPr="004F1AAA" w:rsidRDefault="00495C65" w:rsidP="00495C65">
      <w:pPr>
        <w:pStyle w:val="13"/>
      </w:pPr>
      <w:r w:rsidRPr="004F1AAA">
        <w:rPr>
          <w:rFonts w:hint="eastAsia"/>
        </w:rPr>
        <w:t>1</w:t>
      </w:r>
      <w:r w:rsidRPr="004F1AAA">
        <w:t>.0.1为规范本市由社会单位利用自用国有土地集中建设的公共租赁住房项目投资者权益价值评估活动，为确定投资者权益价值提供参考依据，依据《关于加快发展公共租赁住房的指导意见》（建保﹝2010﹞87</w:t>
      </w:r>
      <w:r w:rsidRPr="004F1AAA">
        <w:rPr>
          <w:rFonts w:hint="eastAsia"/>
        </w:rPr>
        <w:t>号</w:t>
      </w:r>
      <w:r w:rsidRPr="004F1AAA">
        <w:t>）、《关于加强本市公共租赁住房建设和管理的通知》（京政发﹝2011﹞61</w:t>
      </w:r>
      <w:r w:rsidRPr="004F1AAA">
        <w:rPr>
          <w:rFonts w:hint="eastAsia"/>
        </w:rPr>
        <w:t>号</w:t>
      </w:r>
      <w:r w:rsidRPr="004F1AAA">
        <w:t>）、《北京市公共租赁住房建设技术导则（试行）》（京建发﹝2010﹞413</w:t>
      </w:r>
      <w:r w:rsidRPr="004F1AAA">
        <w:rPr>
          <w:rFonts w:hint="eastAsia"/>
        </w:rPr>
        <w:t>号</w:t>
      </w:r>
      <w:r w:rsidRPr="004F1AAA">
        <w:t>）及《房地产估价规范》（GB/T 50291-2015）等有关规定，结合本市实际情况，制定本指引。</w:t>
      </w:r>
    </w:p>
    <w:p w14:paraId="7F06B6B9" w14:textId="77777777" w:rsidR="00495C65" w:rsidRPr="004F1AAA" w:rsidRDefault="00495C65" w:rsidP="00495C65">
      <w:pPr>
        <w:pStyle w:val="13"/>
      </w:pPr>
      <w:r w:rsidRPr="004F1AAA">
        <w:t>1.0.2本指引所称公共租赁住房项目，是指政府提供政策支持，由社会单位集中建设，限定户型面积、供应对象和租金水平，面向本市中低收入住房困难家庭等群体出租的住房所在的项目，建设内容包括公共租赁住房、配套公建、车库等。</w:t>
      </w:r>
    </w:p>
    <w:p w14:paraId="3F9CC3C7" w14:textId="77777777" w:rsidR="00495C65" w:rsidRPr="004F1AAA" w:rsidRDefault="00495C65" w:rsidP="00495C65">
      <w:pPr>
        <w:pStyle w:val="13"/>
      </w:pPr>
      <w:r w:rsidRPr="004F1AAA">
        <w:lastRenderedPageBreak/>
        <w:t>1.0.3本指引所称公共租赁住房项目投资者权益价值是指公共租赁住房项目按照规定的建设标准已建设完成并具备使用条件的房地产整体价值，不考虑是否存在拖欠的地价款和建设工程款、抵押权利及其他负债等状况。</w:t>
      </w:r>
    </w:p>
    <w:p w14:paraId="7C0F8AC5" w14:textId="77777777" w:rsidR="00495C65" w:rsidRPr="004F1AAA" w:rsidRDefault="00495C65" w:rsidP="00495C65">
      <w:pPr>
        <w:pStyle w:val="13"/>
      </w:pPr>
      <w:r w:rsidRPr="004F1AAA">
        <w:t>1.0.4房地产估价机构接受委托对社会单位利用自用国有土地集中建设的公共租赁住房项目投资者权益价值进行评估，适用于本指引。</w:t>
      </w:r>
    </w:p>
    <w:p w14:paraId="7B4BB3D4" w14:textId="77777777" w:rsidR="00495C65" w:rsidRPr="004F1AAA" w:rsidRDefault="00495C65" w:rsidP="00495C65">
      <w:pPr>
        <w:pStyle w:val="13"/>
      </w:pPr>
      <w:r w:rsidRPr="004F1AAA">
        <w:t>1.0.5房地产估价机构和注册房地产估价师须遵循公共租赁住房项目的特点，依据“公共租赁住房建设实行‘谁投资、谁所有’，投资者权益可依法转让”的原则开展估价活动。</w:t>
      </w:r>
    </w:p>
    <w:p w14:paraId="223ECD6B" w14:textId="77777777" w:rsidR="00495C65" w:rsidRPr="004F1AAA" w:rsidRDefault="00495C65" w:rsidP="00AF7342">
      <w:pPr>
        <w:pStyle w:val="a9"/>
        <w:spacing w:before="62" w:after="62"/>
      </w:pPr>
      <w:r w:rsidRPr="004F1AAA">
        <w:t>2 评估技术路线</w:t>
      </w:r>
    </w:p>
    <w:p w14:paraId="5E5B5005" w14:textId="77777777" w:rsidR="00495C65" w:rsidRPr="004F1AAA" w:rsidRDefault="00495C65" w:rsidP="00495C65">
      <w:pPr>
        <w:pStyle w:val="13"/>
      </w:pPr>
      <w:r w:rsidRPr="004F1AAA">
        <w:rPr>
          <w:rFonts w:hint="eastAsia"/>
        </w:rPr>
        <w:t>2</w:t>
      </w:r>
      <w:r w:rsidRPr="004F1AAA">
        <w:t>.0.1公共租赁住房项目投资者权益价值，可以采用成本法、收益法。</w:t>
      </w:r>
    </w:p>
    <w:p w14:paraId="7019BAF6" w14:textId="77777777" w:rsidR="00495C65" w:rsidRPr="004F1AAA" w:rsidRDefault="00495C65" w:rsidP="00495C65">
      <w:pPr>
        <w:pStyle w:val="13"/>
      </w:pPr>
      <w:r w:rsidRPr="004F1AAA">
        <w:t>2.0.2价值时点以估价委托书确定的价值时点为准。</w:t>
      </w:r>
    </w:p>
    <w:p w14:paraId="262665D5" w14:textId="77777777" w:rsidR="00495C65" w:rsidRPr="004F1AAA" w:rsidRDefault="00495C65" w:rsidP="00AF7342">
      <w:pPr>
        <w:pStyle w:val="a9"/>
        <w:spacing w:before="62" w:after="62"/>
      </w:pPr>
      <w:r w:rsidRPr="004F1AAA">
        <w:rPr>
          <w:rFonts w:hint="eastAsia"/>
        </w:rPr>
        <w:t>3</w:t>
      </w:r>
      <w:r w:rsidRPr="004F1AAA">
        <w:t xml:space="preserve"> 成本法</w:t>
      </w:r>
    </w:p>
    <w:p w14:paraId="2A1D569A" w14:textId="77777777" w:rsidR="00495C65" w:rsidRPr="004F1AAA" w:rsidRDefault="00495C65" w:rsidP="00495C65">
      <w:pPr>
        <w:pStyle w:val="13"/>
      </w:pPr>
      <w:r w:rsidRPr="004F1AAA">
        <w:rPr>
          <w:rFonts w:hint="eastAsia"/>
        </w:rPr>
        <w:t>3</w:t>
      </w:r>
      <w:r w:rsidRPr="004F1AAA">
        <w:t>.0.1运用成本法评估公共租赁住房项目投资者权益价值，采取房地</w:t>
      </w:r>
      <w:proofErr w:type="gramStart"/>
      <w:r w:rsidRPr="004F1AAA">
        <w:t>合估或者房地分估</w:t>
      </w:r>
      <w:proofErr w:type="gramEnd"/>
      <w:r w:rsidRPr="004F1AAA">
        <w:t>的技术路线进行评估。</w:t>
      </w:r>
    </w:p>
    <w:p w14:paraId="42900A97" w14:textId="77777777" w:rsidR="00495C65" w:rsidRPr="004F1AAA" w:rsidRDefault="00495C65" w:rsidP="00495C65">
      <w:pPr>
        <w:pStyle w:val="13"/>
      </w:pPr>
      <w:r w:rsidRPr="004F1AAA">
        <w:t>3.0.2采用房地</w:t>
      </w:r>
      <w:proofErr w:type="gramStart"/>
      <w:r w:rsidRPr="004F1AAA">
        <w:t>合估技术</w:t>
      </w:r>
      <w:proofErr w:type="gramEnd"/>
      <w:r w:rsidRPr="004F1AAA">
        <w:t>路线，测算公共租赁住房项目的房地产重置成本。</w:t>
      </w:r>
    </w:p>
    <w:p w14:paraId="2AF328FC" w14:textId="77777777" w:rsidR="00495C65" w:rsidRPr="004F1AAA" w:rsidRDefault="00495C65" w:rsidP="00495C65">
      <w:pPr>
        <w:pStyle w:val="13"/>
      </w:pPr>
      <w:r w:rsidRPr="004F1AAA">
        <w:t>房地产重置成本是指在价值时点，按照规定的建设标准已建设完成并具备使用条件的公共租赁住房项目的必要支出和应得利润，包括土地成本、建设成本、管理费用、销售费用、投资利息、销售税费和开发利润，相关参数取值参照公共租赁住房相关文件规定。</w:t>
      </w:r>
    </w:p>
    <w:p w14:paraId="4D781520" w14:textId="77777777" w:rsidR="00495C65" w:rsidRPr="004F1AAA" w:rsidRDefault="00495C65" w:rsidP="00495C65">
      <w:pPr>
        <w:pStyle w:val="13"/>
      </w:pPr>
      <w:r w:rsidRPr="004F1AAA">
        <w:t>3.0.</w:t>
      </w:r>
      <w:r>
        <w:t>3</w:t>
      </w:r>
      <w:r w:rsidRPr="004F1AAA">
        <w:t>采用房地</w:t>
      </w:r>
      <w:proofErr w:type="gramStart"/>
      <w:r w:rsidRPr="004F1AAA">
        <w:t>分估技术</w:t>
      </w:r>
      <w:proofErr w:type="gramEnd"/>
      <w:r w:rsidRPr="004F1AAA">
        <w:t>路线，分别测算土地重置成本、建筑物重置成本。</w:t>
      </w:r>
    </w:p>
    <w:p w14:paraId="12CF54B4" w14:textId="77777777" w:rsidR="00495C65" w:rsidRPr="004F1AAA" w:rsidRDefault="00495C65" w:rsidP="00495C65">
      <w:pPr>
        <w:pStyle w:val="13"/>
      </w:pPr>
      <w:r w:rsidRPr="004F1AAA">
        <w:t>公共租赁住房项目投资者权益价值=土地重置成本+建筑物重置成本。</w:t>
      </w:r>
    </w:p>
    <w:p w14:paraId="36F13C55" w14:textId="77777777" w:rsidR="00495C65" w:rsidRPr="004F1AAA" w:rsidRDefault="00495C65" w:rsidP="00495C65">
      <w:pPr>
        <w:pStyle w:val="13"/>
      </w:pPr>
      <w:r w:rsidRPr="004F1AAA">
        <w:rPr>
          <w:rFonts w:hint="eastAsia"/>
        </w:rPr>
        <w:t>（1）</w:t>
      </w:r>
      <w:r w:rsidRPr="004F1AAA">
        <w:t>土地重置成本是在价值时点重新购置土地的必要支出，或重新开发土地的必要支出及应得利润。</w:t>
      </w:r>
    </w:p>
    <w:p w14:paraId="5FA45288" w14:textId="77777777" w:rsidR="00495C65" w:rsidRPr="004F1AAA" w:rsidRDefault="00495C65" w:rsidP="00495C65">
      <w:pPr>
        <w:pStyle w:val="13"/>
      </w:pPr>
      <w:r w:rsidRPr="004F1AAA">
        <w:t>重新购置土地的必要支出应包括土地购置价款和相关税费，可采用比较法评估，在可比案例中选取至少三个公共租赁住房项目土地出让成交案例进行比较修正，同时考虑重新购置土地的必要支出在建筑物开发周期的管理费用、投资利息、开发利润和交易税费。</w:t>
      </w:r>
    </w:p>
    <w:p w14:paraId="3DFF1A73" w14:textId="77777777" w:rsidR="00495C65" w:rsidRPr="004F1AAA" w:rsidRDefault="00495C65" w:rsidP="00495C65">
      <w:pPr>
        <w:pStyle w:val="13"/>
      </w:pPr>
      <w:r w:rsidRPr="004F1AAA">
        <w:t>重新开发土地的必要支出及应得利润，可采用成本法测算，包括土地取得成本、土地开发成本、土地开发周期和建筑物开发周期的管理费用、投资利息、销售税费和开发利润。</w:t>
      </w:r>
    </w:p>
    <w:p w14:paraId="7EA68EF5" w14:textId="77777777" w:rsidR="00495C65" w:rsidRPr="004F1AAA" w:rsidRDefault="00495C65" w:rsidP="00495C65">
      <w:pPr>
        <w:pStyle w:val="13"/>
      </w:pPr>
      <w:r w:rsidRPr="004F1AAA">
        <w:t>国有建设用地使用权以出让方式取得的，价值中的政府土地出让收益标准应参考北京市公布的基准地价相关规定分析后确定。国有建设用地使用权以划拨方式取得的，价值中不计土地增值收益。国有建设用地使用权以国有土地租赁方式取得的，</w:t>
      </w:r>
      <w:r w:rsidRPr="004F1AAA">
        <w:lastRenderedPageBreak/>
        <w:t>按照《城镇土地估价规程》测算。</w:t>
      </w:r>
    </w:p>
    <w:p w14:paraId="56C73D65" w14:textId="77777777" w:rsidR="00495C65" w:rsidRPr="004F1AAA" w:rsidRDefault="00495C65" w:rsidP="00495C65">
      <w:pPr>
        <w:pStyle w:val="13"/>
      </w:pPr>
      <w:r w:rsidRPr="004F1AAA">
        <w:rPr>
          <w:rFonts w:hint="eastAsia"/>
        </w:rPr>
        <w:t>（2）</w:t>
      </w:r>
      <w:r w:rsidRPr="004F1AAA">
        <w:t>测算建筑物重置成本，按照新建房屋建造和装修</w:t>
      </w:r>
    </w:p>
    <w:p w14:paraId="348B3737" w14:textId="77777777" w:rsidR="00495C65" w:rsidRPr="004F1AAA" w:rsidRDefault="00495C65" w:rsidP="00495C65">
      <w:pPr>
        <w:pStyle w:val="13"/>
      </w:pPr>
      <w:r w:rsidRPr="004F1AAA">
        <w:t>标准进行。新建房屋建造和装修标准以被委托的公共租赁住房项目的房屋设计标准为准。估价期间尚无房屋设计标准的，可以参照《北京市公共租赁住房建设技术导则》（京建发﹝2010﹞413</w:t>
      </w:r>
      <w:r w:rsidRPr="004F1AAA">
        <w:rPr>
          <w:rFonts w:hint="eastAsia"/>
        </w:rPr>
        <w:t>号</w:t>
      </w:r>
      <w:r w:rsidRPr="004F1AAA">
        <w:t>）进行估算。</w:t>
      </w:r>
    </w:p>
    <w:p w14:paraId="5BD2058E" w14:textId="77777777" w:rsidR="00495C65" w:rsidRPr="004F1AAA" w:rsidRDefault="00495C65" w:rsidP="00AF7342">
      <w:pPr>
        <w:pStyle w:val="a9"/>
        <w:spacing w:before="62" w:after="62"/>
      </w:pPr>
      <w:r w:rsidRPr="004F1AAA">
        <w:rPr>
          <w:rFonts w:hint="eastAsia"/>
        </w:rPr>
        <w:t>4</w:t>
      </w:r>
      <w:r w:rsidRPr="004F1AAA">
        <w:t xml:space="preserve"> 收益法</w:t>
      </w:r>
    </w:p>
    <w:p w14:paraId="232C0ADB" w14:textId="77777777" w:rsidR="00495C65" w:rsidRPr="00EE238F" w:rsidRDefault="00495C65" w:rsidP="00495C65">
      <w:pPr>
        <w:pStyle w:val="13"/>
      </w:pPr>
      <w:r w:rsidRPr="00EE238F">
        <w:rPr>
          <w:rFonts w:hint="eastAsia"/>
        </w:rPr>
        <w:t>4</w:t>
      </w:r>
      <w:r w:rsidRPr="00EE238F">
        <w:t>.0.1采用收益法评估公共租赁住房项目投资者权益价值需根据公共租赁住房项目的特点进行评估。</w:t>
      </w:r>
    </w:p>
    <w:p w14:paraId="6BA9271B" w14:textId="77777777" w:rsidR="00495C65" w:rsidRPr="00EE238F" w:rsidRDefault="00495C65" w:rsidP="00495C65">
      <w:pPr>
        <w:pStyle w:val="13"/>
      </w:pPr>
      <w:r w:rsidRPr="00EE238F">
        <w:t>4.0.2公共租赁住房的租金水平，由政府统筹考虑住房市场租金水平和供应对象的支付能力等因素合理确定，并按年度实行动态调整。</w:t>
      </w:r>
    </w:p>
    <w:p w14:paraId="534E35D0" w14:textId="77777777" w:rsidR="00495C65" w:rsidRPr="00EE238F" w:rsidRDefault="00495C65" w:rsidP="00495C65">
      <w:pPr>
        <w:pStyle w:val="13"/>
      </w:pPr>
      <w:r w:rsidRPr="00EE238F">
        <w:t>于价值时点，公共租赁住房的租金水平已确定的，按照确定的租金水平进行评估。于价值时点，公共租赁住房的租金水平尚未确定的，可采用比较法评估确定，在可比案例中选取至少三个公共租赁住房项目住房的租金水平进行比较修正。公共租赁住房可比案例不足时，依据市场租金与公共租赁住房租金确定规则进行评估。</w:t>
      </w:r>
    </w:p>
    <w:p w14:paraId="7A7341E7" w14:textId="77777777" w:rsidR="00495C65" w:rsidRPr="00EE238F" w:rsidRDefault="00495C65" w:rsidP="00495C65">
      <w:pPr>
        <w:pStyle w:val="13"/>
      </w:pPr>
      <w:r w:rsidRPr="00EE238F">
        <w:t>公共租赁住房的租金水平调整幅度，应按照北京市现行操作规则确定。</w:t>
      </w:r>
    </w:p>
    <w:p w14:paraId="32B436DA" w14:textId="77777777" w:rsidR="00495C65" w:rsidRPr="00EE238F" w:rsidRDefault="00495C65" w:rsidP="00495C65">
      <w:pPr>
        <w:pStyle w:val="13"/>
      </w:pPr>
      <w:r w:rsidRPr="00EE238F">
        <w:t>公共租赁住房的运营费用一般包含物业服务费、保险费、维修费、管理费用等，不包含采暖费、水费、电费、天然气费、电话通信费、有线电视费、网络通信费和家具、家电使用费以及租赁税金等。</w:t>
      </w:r>
    </w:p>
    <w:p w14:paraId="46A90D74" w14:textId="77777777" w:rsidR="00495C65" w:rsidRPr="00EE238F" w:rsidRDefault="00495C65" w:rsidP="00495C65">
      <w:pPr>
        <w:pStyle w:val="13"/>
      </w:pPr>
      <w:r w:rsidRPr="00EE238F">
        <w:t>4.0.3公共租赁住房项目中的配套公建、车库等的租金水平按照客观市场情况确定。</w:t>
      </w:r>
    </w:p>
    <w:p w14:paraId="5E760730" w14:textId="77777777" w:rsidR="00495C65" w:rsidRPr="00EE238F" w:rsidRDefault="00495C65" w:rsidP="00495C65">
      <w:pPr>
        <w:pStyle w:val="13"/>
      </w:pPr>
      <w:r w:rsidRPr="00EE238F">
        <w:t>4.0.4报酬</w:t>
      </w:r>
      <w:proofErr w:type="gramStart"/>
      <w:r w:rsidRPr="00EE238F">
        <w:t>率采用</w:t>
      </w:r>
      <w:proofErr w:type="gramEnd"/>
      <w:r w:rsidRPr="00EE238F">
        <w:t>安全利率加风险调整值的方法确定。</w:t>
      </w:r>
    </w:p>
    <w:p w14:paraId="70FE936D" w14:textId="77777777" w:rsidR="00495C65" w:rsidRPr="00EE238F" w:rsidRDefault="00495C65" w:rsidP="00495C65">
      <w:pPr>
        <w:pStyle w:val="13"/>
      </w:pPr>
      <w:r w:rsidRPr="00EE238F">
        <w:t>4.0.5土地为划拨时，收益期取建筑物最高经济寿命。</w:t>
      </w:r>
    </w:p>
    <w:p w14:paraId="716AB860" w14:textId="77777777" w:rsidR="00495C65" w:rsidRPr="004F1AAA" w:rsidRDefault="00495C65" w:rsidP="00AF7342">
      <w:pPr>
        <w:pStyle w:val="a9"/>
        <w:spacing w:before="62" w:after="62"/>
      </w:pPr>
      <w:r w:rsidRPr="004F1AAA">
        <w:rPr>
          <w:rFonts w:hint="eastAsia"/>
        </w:rPr>
        <w:t>5</w:t>
      </w:r>
      <w:r w:rsidRPr="004F1AAA">
        <w:t xml:space="preserve"> 评估结果</w:t>
      </w:r>
    </w:p>
    <w:p w14:paraId="26303DC7" w14:textId="77777777" w:rsidR="00495C65" w:rsidRPr="004F1AAA" w:rsidRDefault="00495C65" w:rsidP="00495C65">
      <w:pPr>
        <w:pStyle w:val="13"/>
      </w:pPr>
      <w:r w:rsidRPr="004F1AAA">
        <w:t>5.0.1当公共租赁住房项目为已建成时，报告使用方应在估价结果基础上考虑建筑物折旧并适当减价修正。</w:t>
      </w:r>
    </w:p>
    <w:p w14:paraId="23BEBB5C" w14:textId="77777777" w:rsidR="00495C65" w:rsidRPr="004F1AAA" w:rsidRDefault="00495C65" w:rsidP="00495C65">
      <w:pPr>
        <w:pStyle w:val="13"/>
      </w:pPr>
      <w:r w:rsidRPr="004F1AAA">
        <w:t>5.0.2当公共租赁住房项目为在建工程或尚未开发时，报告使用方应在估价结果基础上考虑后续投入并适当减价修正。</w:t>
      </w:r>
    </w:p>
    <w:p w14:paraId="67267782" w14:textId="77777777" w:rsidR="00495C65" w:rsidRPr="004F1AAA" w:rsidRDefault="00495C65" w:rsidP="00AF7342">
      <w:pPr>
        <w:pStyle w:val="a9"/>
        <w:spacing w:before="62" w:after="62"/>
      </w:pPr>
      <w:r w:rsidRPr="004F1AAA">
        <w:rPr>
          <w:rFonts w:hint="eastAsia"/>
        </w:rPr>
        <w:t>6</w:t>
      </w:r>
      <w:r w:rsidRPr="004F1AAA">
        <w:t xml:space="preserve"> 附则</w:t>
      </w:r>
    </w:p>
    <w:p w14:paraId="49C3B42E" w14:textId="77777777" w:rsidR="00495C65" w:rsidRPr="004F1AAA" w:rsidRDefault="00495C65" w:rsidP="00495C65">
      <w:pPr>
        <w:pStyle w:val="13"/>
      </w:pPr>
      <w:r w:rsidRPr="004F1AAA">
        <w:t>6.0.1社会单位利用自用国有土地以配建方式建设的公共租赁住房投资者权益价值评估参考本指引。</w:t>
      </w:r>
    </w:p>
    <w:p w14:paraId="73E42F82" w14:textId="77777777" w:rsidR="00495C65" w:rsidRPr="004F1AAA" w:rsidRDefault="00495C65" w:rsidP="00495C65">
      <w:pPr>
        <w:pStyle w:val="13"/>
      </w:pPr>
      <w:r w:rsidRPr="004F1AAA">
        <w:t>6.0.2本指引自2018年11月1日起实施，由北京房地产估价师和土地估价师与不动产登记代理人协会负责解释。本指引有效期为一年，根据政策和市场情况，适时修订。</w:t>
      </w:r>
    </w:p>
    <w:p w14:paraId="13FF9686" w14:textId="77777777" w:rsidR="00495C65" w:rsidRPr="00C957F3" w:rsidRDefault="00495C65" w:rsidP="00495C65">
      <w:pPr>
        <w:pStyle w:val="31"/>
        <w:spacing w:before="156" w:after="62"/>
        <w:rPr>
          <w:spacing w:val="-8"/>
        </w:rPr>
      </w:pPr>
      <w:bookmarkStart w:id="150" w:name="北京市“平房四合院”协议出让地价评估技术有关问题的说明（北估秘〔2019〕001"/>
      <w:bookmarkStart w:id="151" w:name="_bookmark105"/>
      <w:bookmarkStart w:id="152" w:name="_Toc77032576"/>
      <w:bookmarkStart w:id="153" w:name="_Toc81833402"/>
      <w:bookmarkEnd w:id="150"/>
      <w:bookmarkEnd w:id="151"/>
      <w:r w:rsidRPr="00C957F3">
        <w:rPr>
          <w:spacing w:val="-8"/>
        </w:rPr>
        <w:lastRenderedPageBreak/>
        <w:t>北京市“平房四合院”协议出让地价评估技术有关问题的说明（</w:t>
      </w:r>
      <w:proofErr w:type="gramStart"/>
      <w:r w:rsidRPr="00C957F3">
        <w:rPr>
          <w:spacing w:val="-8"/>
        </w:rPr>
        <w:t>北估秘</w:t>
      </w:r>
      <w:proofErr w:type="gramEnd"/>
      <w:r w:rsidRPr="00C957F3">
        <w:rPr>
          <w:spacing w:val="-8"/>
        </w:rPr>
        <w:t>〔2019〕001</w:t>
      </w:r>
      <w:r w:rsidRPr="00C957F3">
        <w:rPr>
          <w:rFonts w:hint="eastAsia"/>
          <w:spacing w:val="-8"/>
        </w:rPr>
        <w:t>号</w:t>
      </w:r>
      <w:r w:rsidRPr="00C957F3">
        <w:rPr>
          <w:spacing w:val="-8"/>
        </w:rPr>
        <w:t>）</w:t>
      </w:r>
      <w:bookmarkEnd w:id="152"/>
      <w:bookmarkEnd w:id="153"/>
    </w:p>
    <w:p w14:paraId="4F3E55BD" w14:textId="77777777" w:rsidR="00495C65" w:rsidRPr="004F1AAA" w:rsidRDefault="00495C65" w:rsidP="00495C65">
      <w:pPr>
        <w:pStyle w:val="13"/>
        <w:ind w:firstLineChars="0" w:firstLine="0"/>
        <w:jc w:val="left"/>
      </w:pPr>
      <w:r w:rsidRPr="004F1AAA">
        <w:t>各房地产估价机构：</w:t>
      </w:r>
    </w:p>
    <w:p w14:paraId="256C234E" w14:textId="77777777" w:rsidR="00495C65" w:rsidRPr="004F1AAA" w:rsidRDefault="00495C65" w:rsidP="00495C65">
      <w:pPr>
        <w:pStyle w:val="13"/>
      </w:pPr>
      <w:r w:rsidRPr="004F1AAA">
        <w:t>根据《国有建设用地使用权出让地价评估技术规范》（</w:t>
      </w:r>
      <w:proofErr w:type="gramStart"/>
      <w:r w:rsidRPr="004F1AAA">
        <w:t>国土资厅发</w:t>
      </w:r>
      <w:proofErr w:type="gramEnd"/>
      <w:r w:rsidRPr="004F1AAA">
        <w:t>〔2018〕4</w:t>
      </w:r>
      <w:r w:rsidRPr="004F1AAA">
        <w:rPr>
          <w:rFonts w:hint="eastAsia"/>
        </w:rPr>
        <w:t>号</w:t>
      </w:r>
      <w:r w:rsidRPr="004F1AAA">
        <w:t>）、《城镇土地估价规程》（GB/T18508-2014）等，结合本市实际情况，我会对《北京市“平房四合院”协议出让地价评估技术有关问题的说明》（以下简称“说明”）进行了更新。本《说明》已在北京市土地利用事务中心备案，现向全行业发布，请参考执行。</w:t>
      </w:r>
    </w:p>
    <w:p w14:paraId="4093338A" w14:textId="77777777" w:rsidR="00495C65" w:rsidRPr="004F1AAA" w:rsidRDefault="00495C65" w:rsidP="00495C65">
      <w:pPr>
        <w:pStyle w:val="13"/>
      </w:pPr>
      <w:r w:rsidRPr="004F1AAA">
        <w:t>附件：《北京市“平房四合院”协议出让地价评估技术有关问题的说明》</w:t>
      </w:r>
    </w:p>
    <w:p w14:paraId="6A2D048E" w14:textId="77777777" w:rsidR="00495C65" w:rsidRPr="004F1AAA" w:rsidRDefault="00495C65" w:rsidP="00495C65">
      <w:pPr>
        <w:pStyle w:val="13"/>
        <w:jc w:val="right"/>
      </w:pPr>
      <w:r w:rsidRPr="004F1AAA">
        <w:t>北京房地产估价师和土地估价师与不动产登记代理人协会</w:t>
      </w:r>
    </w:p>
    <w:p w14:paraId="5C14AA1B" w14:textId="77777777" w:rsidR="00495C65" w:rsidRPr="004F1AAA" w:rsidRDefault="00495C65" w:rsidP="00495C65">
      <w:pPr>
        <w:pStyle w:val="13"/>
        <w:jc w:val="right"/>
      </w:pPr>
      <w:r w:rsidRPr="004F1AAA">
        <w:t>二〇一九年一月二十八日</w:t>
      </w:r>
    </w:p>
    <w:p w14:paraId="1FCEA494" w14:textId="77777777" w:rsidR="00495C65" w:rsidRPr="004F1AAA" w:rsidRDefault="00495C65" w:rsidP="00AF7342">
      <w:pPr>
        <w:pStyle w:val="a9"/>
        <w:spacing w:before="62" w:after="62"/>
      </w:pPr>
      <w:r w:rsidRPr="004F1AAA">
        <w:t>北京市“平房四合院”协议出让地价评估技术有关问题更新的说明</w:t>
      </w:r>
    </w:p>
    <w:p w14:paraId="558C8247" w14:textId="77777777" w:rsidR="00495C65" w:rsidRPr="004F1AAA" w:rsidRDefault="00495C65" w:rsidP="00495C65">
      <w:pPr>
        <w:pStyle w:val="13"/>
      </w:pPr>
      <w:r w:rsidRPr="004F1AAA">
        <w:t>根据《国有建设用地使用权出让地价评估技术规范》（</w:t>
      </w:r>
      <w:proofErr w:type="gramStart"/>
      <w:r w:rsidRPr="004F1AAA">
        <w:t>国土资厅发</w:t>
      </w:r>
      <w:proofErr w:type="gramEnd"/>
      <w:r w:rsidRPr="004F1AAA">
        <w:t>〔2018〕4</w:t>
      </w:r>
      <w:r w:rsidRPr="004F1AAA">
        <w:rPr>
          <w:rFonts w:hint="eastAsia"/>
        </w:rPr>
        <w:t>号</w:t>
      </w:r>
      <w:r w:rsidRPr="004F1AAA">
        <w:t>）、《城镇土地估价规程》（GB/T18508-2014）等，结合本市实际情况，对“平房四合院”协议出让价格评估的以下问题进行更新说明：</w:t>
      </w:r>
    </w:p>
    <w:p w14:paraId="0A6EC6B2" w14:textId="77777777" w:rsidR="00495C65" w:rsidRPr="004F1AAA" w:rsidRDefault="00495C65" w:rsidP="00495C65">
      <w:pPr>
        <w:pStyle w:val="ab"/>
        <w:spacing w:before="62" w:after="62"/>
        <w:ind w:firstLine="482"/>
      </w:pPr>
      <w:r w:rsidRPr="004F1AAA">
        <w:t>一、评估方法</w:t>
      </w:r>
    </w:p>
    <w:p w14:paraId="56C95987" w14:textId="77777777" w:rsidR="00495C65" w:rsidRPr="004F1AAA" w:rsidRDefault="00495C65" w:rsidP="00495C65">
      <w:pPr>
        <w:pStyle w:val="13"/>
      </w:pPr>
      <w:r w:rsidRPr="004F1AAA">
        <w:t>根据《国有建设用地使用权出让地价评估技术规范》（</w:t>
      </w:r>
      <w:proofErr w:type="gramStart"/>
      <w:r w:rsidRPr="004F1AAA">
        <w:t>国土资厅发</w:t>
      </w:r>
      <w:proofErr w:type="gramEnd"/>
      <w:r w:rsidRPr="004F1AAA">
        <w:t>〔2018〕4</w:t>
      </w:r>
      <w:r w:rsidRPr="004F1AAA">
        <w:rPr>
          <w:rFonts w:hint="eastAsia"/>
        </w:rPr>
        <w:t>号</w:t>
      </w:r>
      <w:r w:rsidRPr="004F1AAA">
        <w:t>）关于评估方法的规定，结合本市实际情况，应选用三种方法评估，（1）收益还原法、（2）市场比较法、（3）剩余法之二，以及（4）成本逼近法或（5）基准地价系数修正法。</w:t>
      </w:r>
    </w:p>
    <w:p w14:paraId="057C7919" w14:textId="77777777" w:rsidR="00495C65" w:rsidRPr="004F1AAA" w:rsidRDefault="00495C65" w:rsidP="00495C65">
      <w:pPr>
        <w:pStyle w:val="13"/>
      </w:pPr>
      <w:r w:rsidRPr="004F1AAA">
        <w:t>方法选用顺位为市场比较法、基准地价系数修正法、剩余法、收益还原法、成本逼近法。</w:t>
      </w:r>
    </w:p>
    <w:p w14:paraId="133E5A86" w14:textId="77777777" w:rsidR="00495C65" w:rsidRPr="004F1AAA" w:rsidRDefault="00495C65" w:rsidP="00495C65">
      <w:pPr>
        <w:pStyle w:val="ab"/>
        <w:spacing w:before="62" w:after="62"/>
        <w:ind w:firstLine="482"/>
      </w:pPr>
      <w:r w:rsidRPr="004F1AAA">
        <w:t>二、适用范围</w:t>
      </w:r>
    </w:p>
    <w:p w14:paraId="5A23811F" w14:textId="77777777" w:rsidR="00495C65" w:rsidRPr="004F1AAA" w:rsidRDefault="00495C65" w:rsidP="00495C65">
      <w:pPr>
        <w:pStyle w:val="13"/>
      </w:pPr>
      <w:r w:rsidRPr="004F1AAA">
        <w:t>使用范围为平房、四合院建筑形式的住宅。</w:t>
      </w:r>
    </w:p>
    <w:p w14:paraId="1F1D762E" w14:textId="77777777" w:rsidR="00495C65" w:rsidRPr="004F1AAA" w:rsidRDefault="00495C65" w:rsidP="00495C65">
      <w:pPr>
        <w:pStyle w:val="ab"/>
        <w:spacing w:before="62" w:after="62"/>
        <w:ind w:firstLine="482"/>
      </w:pPr>
      <w:r w:rsidRPr="004F1AAA">
        <w:t>三、评估价格形式</w:t>
      </w:r>
    </w:p>
    <w:p w14:paraId="484B761D" w14:textId="77777777" w:rsidR="00495C65" w:rsidRPr="004F1AAA" w:rsidRDefault="00495C65" w:rsidP="00495C65">
      <w:pPr>
        <w:pStyle w:val="13"/>
      </w:pPr>
      <w:r w:rsidRPr="004F1AAA">
        <w:t>对容积率小于1.0的，采用楼面地价测算。</w:t>
      </w:r>
    </w:p>
    <w:p w14:paraId="11FF013E" w14:textId="77777777" w:rsidR="00495C65" w:rsidRPr="004F1AAA" w:rsidRDefault="00495C65" w:rsidP="00495C65">
      <w:pPr>
        <w:pStyle w:val="ab"/>
        <w:spacing w:before="62" w:after="62"/>
        <w:ind w:firstLine="482"/>
      </w:pPr>
      <w:r w:rsidRPr="004F1AAA">
        <w:t>四、评估的主要参数</w:t>
      </w:r>
    </w:p>
    <w:p w14:paraId="7EDF5EAB" w14:textId="77777777" w:rsidR="00495C65" w:rsidRPr="004F1AAA" w:rsidRDefault="00495C65" w:rsidP="00495C65">
      <w:pPr>
        <w:pStyle w:val="13"/>
      </w:pPr>
      <w:r w:rsidRPr="004F1AAA">
        <w:t>剩余法中开发周期为一年，投资利润率为20-30%，开发程度为“七通一平”。</w:t>
      </w:r>
    </w:p>
    <w:p w14:paraId="5A3FBA55" w14:textId="77777777" w:rsidR="00495C65" w:rsidRPr="004F1AAA" w:rsidRDefault="00495C65" w:rsidP="00495C65">
      <w:pPr>
        <w:pStyle w:val="13"/>
      </w:pPr>
      <w:r w:rsidRPr="004F1AAA">
        <w:t>剩余法（评估现有不动产中所含土地价格）=（不动产交易价格-房屋现值-不动产交易税费）/[（1+管理费用+投资利润率+利息率）×（1+契税及印花税率）]</w:t>
      </w:r>
    </w:p>
    <w:p w14:paraId="59DC4497" w14:textId="77777777" w:rsidR="00495C65" w:rsidRPr="004F1AAA" w:rsidRDefault="00495C65" w:rsidP="00495C65">
      <w:pPr>
        <w:pStyle w:val="13"/>
      </w:pPr>
      <w:r w:rsidRPr="004F1AAA">
        <w:t>其中利息率按复利计算。</w:t>
      </w:r>
    </w:p>
    <w:p w14:paraId="72403C67" w14:textId="77777777" w:rsidR="00495C65" w:rsidRPr="004F1AAA" w:rsidRDefault="00495C65" w:rsidP="00495C65">
      <w:pPr>
        <w:pStyle w:val="ab"/>
        <w:spacing w:before="62" w:after="62"/>
        <w:ind w:firstLine="482"/>
      </w:pPr>
      <w:r w:rsidRPr="004F1AAA">
        <w:t>五、评估结果的权重</w:t>
      </w:r>
    </w:p>
    <w:p w14:paraId="255A3CAC" w14:textId="77777777" w:rsidR="00495C65" w:rsidRPr="004F1AAA" w:rsidRDefault="00495C65" w:rsidP="00495C65">
      <w:pPr>
        <w:pStyle w:val="13"/>
      </w:pPr>
      <w:r w:rsidRPr="004F1AAA">
        <w:t>①在确定各评估方法权重时，需说明选用或不选用的理由。顺位最后的评估方法</w:t>
      </w:r>
      <w:r w:rsidRPr="004F1AAA">
        <w:lastRenderedPageBreak/>
        <w:t>权重不高于30%。</w:t>
      </w:r>
    </w:p>
    <w:p w14:paraId="11D652B3" w14:textId="77777777" w:rsidR="00495C65" w:rsidRPr="004F1AAA" w:rsidRDefault="00495C65" w:rsidP="00495C65">
      <w:pPr>
        <w:pStyle w:val="13"/>
      </w:pPr>
      <w:r w:rsidRPr="004F1AAA">
        <w:t>②当未采用市场比较法时，基准地价系数修正法权重不低于40%。</w:t>
      </w:r>
    </w:p>
    <w:p w14:paraId="662F6A0D" w14:textId="77777777" w:rsidR="00495C65" w:rsidRPr="004F1AAA" w:rsidRDefault="00495C65" w:rsidP="00495C65">
      <w:pPr>
        <w:pStyle w:val="ab"/>
        <w:spacing w:before="62" w:after="62"/>
        <w:ind w:firstLine="482"/>
      </w:pPr>
      <w:r w:rsidRPr="004F1AAA">
        <w:t>六、出让底价建议</w:t>
      </w:r>
    </w:p>
    <w:p w14:paraId="44046A6F" w14:textId="77777777" w:rsidR="00495C65" w:rsidRPr="004F1AAA" w:rsidRDefault="00495C65" w:rsidP="00495C65">
      <w:pPr>
        <w:pStyle w:val="13"/>
      </w:pPr>
      <w:r w:rsidRPr="004F1AAA">
        <w:t>估价师应调查可比较实例的成交信息，并提出出让底价建议，出让底价应不低于宗地所在级别基准地价低限修正后的结果。</w:t>
      </w:r>
    </w:p>
    <w:p w14:paraId="78740BDF" w14:textId="77777777" w:rsidR="00495C65" w:rsidRPr="004F1AAA" w:rsidRDefault="00495C65" w:rsidP="00495C65">
      <w:pPr>
        <w:pStyle w:val="ab"/>
        <w:spacing w:before="62" w:after="62"/>
        <w:ind w:firstLine="482"/>
      </w:pPr>
      <w:r w:rsidRPr="004F1AAA">
        <w:t>七、其他</w:t>
      </w:r>
    </w:p>
    <w:p w14:paraId="16F86B44" w14:textId="77777777" w:rsidR="00495C65" w:rsidRPr="004F1AAA" w:rsidRDefault="00495C65" w:rsidP="00495C65">
      <w:pPr>
        <w:pStyle w:val="13"/>
      </w:pPr>
      <w:proofErr w:type="gramStart"/>
      <w:r w:rsidRPr="004F1AAA">
        <w:t>本说明自</w:t>
      </w:r>
      <w:proofErr w:type="gramEnd"/>
      <w:r w:rsidRPr="004F1AAA">
        <w:t>发布之日起施行，由北京房地产估价师和土地估价师与不动产登记代理人协会负责解释，根据市场变化需求，适时调整。《北京市“平房四合院”协议出让地价评估技术有关问题的说明》（</w:t>
      </w:r>
      <w:proofErr w:type="gramStart"/>
      <w:r w:rsidRPr="004F1AAA">
        <w:t>北估秘</w:t>
      </w:r>
      <w:proofErr w:type="gramEnd"/>
      <w:r w:rsidRPr="004F1AAA">
        <w:t>〔2016〕020</w:t>
      </w:r>
      <w:r w:rsidRPr="004F1AAA">
        <w:rPr>
          <w:rFonts w:hint="eastAsia"/>
        </w:rPr>
        <w:t>号</w:t>
      </w:r>
      <w:r w:rsidRPr="004F1AAA">
        <w:t>）废止。</w:t>
      </w:r>
    </w:p>
    <w:p w14:paraId="5337CFEA" w14:textId="77777777" w:rsidR="00495C65" w:rsidRPr="00D25EE7" w:rsidRDefault="00495C65" w:rsidP="00495C65">
      <w:pPr>
        <w:pStyle w:val="31"/>
        <w:spacing w:before="156" w:after="62"/>
      </w:pPr>
      <w:bookmarkStart w:id="154" w:name="北京市“地下空间”使用权协议出让地价评估技术更新的说明（北估秘〔2019〕002"/>
      <w:bookmarkStart w:id="155" w:name="_bookmark106"/>
      <w:bookmarkStart w:id="156" w:name="_Toc77032577"/>
      <w:bookmarkStart w:id="157" w:name="_Toc81833403"/>
      <w:bookmarkEnd w:id="154"/>
      <w:bookmarkEnd w:id="155"/>
      <w:r w:rsidRPr="00D25EE7">
        <w:t>北京市“地下空间”使用权协议出让地价评估技术更新的说明（</w:t>
      </w:r>
      <w:proofErr w:type="gramStart"/>
      <w:r w:rsidRPr="00D25EE7">
        <w:t>北估秘</w:t>
      </w:r>
      <w:proofErr w:type="gramEnd"/>
      <w:r w:rsidRPr="00D25EE7">
        <w:t>〔2019〕002</w:t>
      </w:r>
      <w:r w:rsidRPr="00D25EE7">
        <w:rPr>
          <w:rFonts w:hint="eastAsia"/>
        </w:rPr>
        <w:t>号</w:t>
      </w:r>
      <w:r w:rsidRPr="00D25EE7">
        <w:t>）</w:t>
      </w:r>
      <w:bookmarkEnd w:id="156"/>
      <w:bookmarkEnd w:id="157"/>
    </w:p>
    <w:p w14:paraId="1F303766" w14:textId="77777777" w:rsidR="00495C65" w:rsidRPr="004F1AAA" w:rsidRDefault="00495C65" w:rsidP="00495C65">
      <w:pPr>
        <w:pStyle w:val="13"/>
        <w:ind w:firstLineChars="0" w:firstLine="0"/>
        <w:jc w:val="left"/>
      </w:pPr>
      <w:r w:rsidRPr="004F1AAA">
        <w:t>各房地产估价机构：</w:t>
      </w:r>
    </w:p>
    <w:p w14:paraId="17CA1368" w14:textId="77777777" w:rsidR="00495C65" w:rsidRPr="004F1AAA" w:rsidRDefault="00495C65" w:rsidP="00495C65">
      <w:pPr>
        <w:pStyle w:val="13"/>
      </w:pPr>
      <w:r w:rsidRPr="004F1AAA">
        <w:t>根据《国有建设用地使用权出让地价评估技术规范》（</w:t>
      </w:r>
      <w:proofErr w:type="gramStart"/>
      <w:r w:rsidRPr="004F1AAA">
        <w:t>国土资厅发</w:t>
      </w:r>
      <w:proofErr w:type="gramEnd"/>
      <w:r w:rsidRPr="004F1AAA">
        <w:t>〔2018〕4</w:t>
      </w:r>
      <w:r w:rsidRPr="004F1AAA">
        <w:rPr>
          <w:rFonts w:hint="eastAsia"/>
        </w:rPr>
        <w:t>号</w:t>
      </w:r>
      <w:r w:rsidRPr="004F1AAA">
        <w:t>）、《城镇土地估价规程》（GB/T18508-2014）等，结合本市实际情况，结合本市实际情况，我会对《北京市“地下空间”使用权协议出让地价评估技术更新的说明》（以下简称“说明”）进行了更新。本《说明》已在北京市土地利用事务中心备案，现向全行业发布，请参考执行。</w:t>
      </w:r>
    </w:p>
    <w:p w14:paraId="3E573DF8" w14:textId="77777777" w:rsidR="00495C65" w:rsidRPr="004F1AAA" w:rsidRDefault="00495C65" w:rsidP="00495C65">
      <w:pPr>
        <w:pStyle w:val="13"/>
      </w:pPr>
      <w:r w:rsidRPr="004F1AAA">
        <w:t>附件：《北京市“地下空间”使用权协议出让地价评估技术更新的说明》</w:t>
      </w:r>
    </w:p>
    <w:p w14:paraId="33F12DFC" w14:textId="77777777" w:rsidR="00495C65" w:rsidRPr="004F1AAA" w:rsidRDefault="00495C65" w:rsidP="00495C65">
      <w:pPr>
        <w:pStyle w:val="13"/>
        <w:jc w:val="right"/>
      </w:pPr>
      <w:r w:rsidRPr="004F1AAA">
        <w:t>北京房地产估价师和土地估价师与不动产登记代理人协会</w:t>
      </w:r>
    </w:p>
    <w:p w14:paraId="467DDCAF" w14:textId="77777777" w:rsidR="00495C65" w:rsidRPr="004F1AAA" w:rsidRDefault="00495C65" w:rsidP="00495C65">
      <w:pPr>
        <w:pStyle w:val="13"/>
        <w:jc w:val="right"/>
      </w:pPr>
      <w:r w:rsidRPr="004F1AAA">
        <w:t>二〇一九年一月二十八日</w:t>
      </w:r>
    </w:p>
    <w:p w14:paraId="658811FE" w14:textId="77777777" w:rsidR="00495C65" w:rsidRPr="004F1AAA" w:rsidRDefault="00495C65" w:rsidP="00AF7342">
      <w:pPr>
        <w:pStyle w:val="a9"/>
        <w:spacing w:before="62" w:after="62"/>
      </w:pPr>
      <w:r w:rsidRPr="004F1AAA">
        <w:t>北京市“地下空间”使用权协议出让地价评估技术更新的说明</w:t>
      </w:r>
    </w:p>
    <w:p w14:paraId="3027371C" w14:textId="77777777" w:rsidR="00495C65" w:rsidRPr="004F1AAA" w:rsidRDefault="00495C65" w:rsidP="00495C65">
      <w:pPr>
        <w:pStyle w:val="13"/>
      </w:pPr>
      <w:r w:rsidRPr="004F1AAA">
        <w:t>根据《国有建设用地使用权出让地价评估技术规范》（</w:t>
      </w:r>
      <w:proofErr w:type="gramStart"/>
      <w:r w:rsidRPr="004F1AAA">
        <w:t>国土资厅发</w:t>
      </w:r>
      <w:proofErr w:type="gramEnd"/>
      <w:r w:rsidRPr="004F1AAA">
        <w:t>〔2018〕4</w:t>
      </w:r>
      <w:r w:rsidRPr="004F1AAA">
        <w:rPr>
          <w:rFonts w:hint="eastAsia"/>
        </w:rPr>
        <w:t>号</w:t>
      </w:r>
      <w:r w:rsidRPr="004F1AAA">
        <w:t>）、《城镇土地估价规程》（GB/T18508-2014）等，结合本市实际情况，对地下空间使用权协议出让地价评估技术问题进行更新说明：</w:t>
      </w:r>
    </w:p>
    <w:p w14:paraId="6B79EDFC" w14:textId="77777777" w:rsidR="00495C65" w:rsidRPr="004F1AAA" w:rsidRDefault="00495C65" w:rsidP="00495C65">
      <w:pPr>
        <w:pStyle w:val="ab"/>
        <w:spacing w:before="62" w:after="62"/>
        <w:ind w:firstLine="482"/>
      </w:pPr>
      <w:r w:rsidRPr="004F1AAA">
        <w:t>一、评估方法</w:t>
      </w:r>
    </w:p>
    <w:p w14:paraId="3FABBAF5" w14:textId="77777777" w:rsidR="00495C65" w:rsidRPr="004F1AAA" w:rsidRDefault="00495C65" w:rsidP="00495C65">
      <w:pPr>
        <w:pStyle w:val="13"/>
      </w:pPr>
      <w:r w:rsidRPr="004F1AAA">
        <w:t>根据《国有建设用地使用权出让地价评估技术规范》（</w:t>
      </w:r>
      <w:proofErr w:type="gramStart"/>
      <w:r w:rsidRPr="004F1AAA">
        <w:t>国土资厅发</w:t>
      </w:r>
      <w:proofErr w:type="gramEnd"/>
      <w:r w:rsidRPr="004F1AAA">
        <w:t>〔2018〕4</w:t>
      </w:r>
      <w:r w:rsidRPr="004F1AAA">
        <w:rPr>
          <w:rFonts w:hint="eastAsia"/>
        </w:rPr>
        <w:t>号</w:t>
      </w:r>
      <w:r w:rsidRPr="004F1AAA">
        <w:t>）关于评估方法的规定，结合本市实际情况，应选用二种方法评估，（1）剩余法、（2）收益还原法、（3）市场比较法之一，以及（4）成本逼近法或（5）基准地价系数修正法。</w:t>
      </w:r>
    </w:p>
    <w:p w14:paraId="3A301DC0" w14:textId="77777777" w:rsidR="00495C65" w:rsidRPr="004F1AAA" w:rsidRDefault="00495C65" w:rsidP="00495C65">
      <w:pPr>
        <w:pStyle w:val="13"/>
      </w:pPr>
      <w:r w:rsidRPr="004F1AAA">
        <w:t>当市场比较法不适用时，方法选用顺位为基准地价系数修正法、剩余法、收益还原法；当市场比较法适用时优先使用市场比较法。</w:t>
      </w:r>
    </w:p>
    <w:p w14:paraId="62F212EF" w14:textId="77777777" w:rsidR="00495C65" w:rsidRPr="004F1AAA" w:rsidRDefault="00495C65" w:rsidP="00495C65">
      <w:pPr>
        <w:pStyle w:val="ab"/>
        <w:spacing w:before="62" w:after="62"/>
        <w:ind w:firstLine="482"/>
      </w:pPr>
      <w:r w:rsidRPr="004F1AAA">
        <w:lastRenderedPageBreak/>
        <w:t>二、评估思路</w:t>
      </w:r>
    </w:p>
    <w:p w14:paraId="7BCD3FE6" w14:textId="77777777" w:rsidR="00495C65" w:rsidRPr="004F1AAA" w:rsidRDefault="00495C65" w:rsidP="00495C65">
      <w:pPr>
        <w:pStyle w:val="13"/>
      </w:pPr>
      <w:r w:rsidRPr="004F1AAA">
        <w:t>选择适宜的评估方法评估地上楼面地价，然后各方法分别参照《北京市基准地价地下空间修正系数表》进行地下空间修正，如估价师自行选取修正系数则应进行充分的论述及说明，最后综合确定地下空间使用权价格。</w:t>
      </w:r>
    </w:p>
    <w:p w14:paraId="0C195C09" w14:textId="77777777" w:rsidR="00495C65" w:rsidRPr="004F1AAA" w:rsidRDefault="00495C65" w:rsidP="00495C65">
      <w:pPr>
        <w:pStyle w:val="13"/>
      </w:pPr>
      <w:r w:rsidRPr="004F1AAA">
        <w:t>如市场条件允许，可直接测算地下空间使用权价格。</w:t>
      </w:r>
    </w:p>
    <w:p w14:paraId="43EC73F3" w14:textId="77777777" w:rsidR="00495C65" w:rsidRPr="004F1AAA" w:rsidRDefault="00495C65" w:rsidP="00495C65">
      <w:pPr>
        <w:pStyle w:val="ab"/>
        <w:spacing w:before="62" w:after="62"/>
        <w:ind w:firstLine="482"/>
      </w:pPr>
      <w:r w:rsidRPr="004F1AAA">
        <w:t>三、权重选择</w:t>
      </w:r>
    </w:p>
    <w:p w14:paraId="61291155" w14:textId="77777777" w:rsidR="00495C65" w:rsidRPr="004F1AAA" w:rsidRDefault="00495C65" w:rsidP="00495C65">
      <w:pPr>
        <w:pStyle w:val="13"/>
      </w:pPr>
      <w:r w:rsidRPr="004F1AAA">
        <w:t>当其他方法评估结果低于基准地价系数修正法评估结果时，以基准地价系数修正法评估结果为主。</w:t>
      </w:r>
    </w:p>
    <w:p w14:paraId="7F8AE4D5" w14:textId="77777777" w:rsidR="00495C65" w:rsidRPr="004F1AAA" w:rsidRDefault="00495C65" w:rsidP="00495C65">
      <w:pPr>
        <w:pStyle w:val="ab"/>
        <w:spacing w:before="62" w:after="62"/>
        <w:ind w:firstLine="482"/>
      </w:pPr>
      <w:r w:rsidRPr="004F1AAA">
        <w:t>四、出让底价建议</w:t>
      </w:r>
    </w:p>
    <w:p w14:paraId="0E79C25B" w14:textId="77777777" w:rsidR="00495C65" w:rsidRPr="004F1AAA" w:rsidRDefault="00495C65" w:rsidP="00495C65">
      <w:pPr>
        <w:pStyle w:val="13"/>
      </w:pPr>
      <w:r w:rsidRPr="004F1AAA">
        <w:t>出让底价应不低于宗地所在级别基准地价低限修正后对应地下空间的结果。</w:t>
      </w:r>
    </w:p>
    <w:p w14:paraId="7021E403" w14:textId="77777777" w:rsidR="00495C65" w:rsidRPr="004F1AAA" w:rsidRDefault="00495C65" w:rsidP="00495C65">
      <w:pPr>
        <w:pStyle w:val="ab"/>
        <w:spacing w:before="62" w:after="62"/>
        <w:ind w:firstLine="482"/>
      </w:pPr>
      <w:r w:rsidRPr="004F1AAA">
        <w:t>五、其他</w:t>
      </w:r>
    </w:p>
    <w:p w14:paraId="5F3547D1" w14:textId="77777777" w:rsidR="00495C65" w:rsidRPr="004F1AAA" w:rsidRDefault="00495C65" w:rsidP="00495C65">
      <w:pPr>
        <w:pStyle w:val="13"/>
      </w:pPr>
      <w:proofErr w:type="gramStart"/>
      <w:r w:rsidRPr="004F1AAA">
        <w:t>本说明自</w:t>
      </w:r>
      <w:proofErr w:type="gramEnd"/>
      <w:r w:rsidRPr="004F1AAA">
        <w:t>发布之日起施行，由北京房地产估价师和土地估价师与不动产登记代理人协会负责解释，根据市场变化需求，适时调整。《北京市“地下空间”协议出让地价评估技术有关问题的说明》（</w:t>
      </w:r>
      <w:proofErr w:type="gramStart"/>
      <w:r w:rsidRPr="004F1AAA">
        <w:t>北估秘</w:t>
      </w:r>
      <w:proofErr w:type="gramEnd"/>
      <w:r w:rsidRPr="004F1AAA">
        <w:t>〔2016〕019</w:t>
      </w:r>
      <w:r w:rsidRPr="004F1AAA">
        <w:rPr>
          <w:rFonts w:hint="eastAsia"/>
        </w:rPr>
        <w:t>号</w:t>
      </w:r>
      <w:r w:rsidRPr="004F1AAA">
        <w:t>）废止。</w:t>
      </w:r>
    </w:p>
    <w:p w14:paraId="1A10F92A" w14:textId="7AA83575" w:rsidR="00495C65" w:rsidRPr="004F1AAA" w:rsidRDefault="00495C65" w:rsidP="00495C65">
      <w:pPr>
        <w:pStyle w:val="31"/>
        <w:spacing w:before="156" w:after="62"/>
      </w:pPr>
      <w:bookmarkStart w:id="158" w:name="_bookmark107"/>
      <w:bookmarkStart w:id="159" w:name="核心区历史文化街区平房直管公房申请式退租补偿价值评估技术指引（北估秘〔2019〕"/>
      <w:bookmarkStart w:id="160" w:name="_Toc77032578"/>
      <w:bookmarkStart w:id="161" w:name="_Toc81833404"/>
      <w:bookmarkEnd w:id="158"/>
      <w:bookmarkEnd w:id="159"/>
      <w:r w:rsidRPr="004F1AAA">
        <w:t>核心区历史文化街区平房直管公房</w:t>
      </w:r>
      <w:proofErr w:type="gramStart"/>
      <w:r w:rsidRPr="004F1AAA">
        <w:t>申请式退租</w:t>
      </w:r>
      <w:proofErr w:type="gramEnd"/>
      <w:r w:rsidRPr="004F1AAA">
        <w:t>补偿价值评估技术指引</w:t>
      </w:r>
      <w:r w:rsidR="000400F7">
        <w:br/>
      </w:r>
      <w:r w:rsidRPr="004F1AAA">
        <w:t>（</w:t>
      </w:r>
      <w:proofErr w:type="gramStart"/>
      <w:r w:rsidRPr="004F1AAA">
        <w:t>北估秘</w:t>
      </w:r>
      <w:proofErr w:type="gramEnd"/>
      <w:r w:rsidRPr="004F1AAA">
        <w:t>〔2019〕019</w:t>
      </w:r>
      <w:r w:rsidRPr="004F1AAA">
        <w:rPr>
          <w:rFonts w:hint="eastAsia"/>
        </w:rPr>
        <w:t>号</w:t>
      </w:r>
      <w:r w:rsidRPr="004F1AAA">
        <w:t>）</w:t>
      </w:r>
      <w:bookmarkEnd w:id="160"/>
      <w:bookmarkEnd w:id="161"/>
    </w:p>
    <w:p w14:paraId="18338ABD" w14:textId="77777777" w:rsidR="00495C65" w:rsidRPr="004F1AAA" w:rsidRDefault="00495C65" w:rsidP="00495C65">
      <w:pPr>
        <w:pStyle w:val="13"/>
        <w:ind w:firstLineChars="0" w:firstLine="0"/>
        <w:jc w:val="left"/>
      </w:pPr>
      <w:r w:rsidRPr="004F1AAA">
        <w:t>各估价机构、相关单位：</w:t>
      </w:r>
    </w:p>
    <w:p w14:paraId="0C5E3D45" w14:textId="77777777" w:rsidR="00495C65" w:rsidRPr="004F1AAA" w:rsidRDefault="00495C65" w:rsidP="00495C65">
      <w:pPr>
        <w:pStyle w:val="13"/>
      </w:pPr>
      <w:r w:rsidRPr="004F1AAA">
        <w:t>为规范本市核心区历史文化街区平房直管公房</w:t>
      </w:r>
      <w:proofErr w:type="gramStart"/>
      <w:r w:rsidRPr="004F1AAA">
        <w:t>申请式退租</w:t>
      </w:r>
      <w:proofErr w:type="gramEnd"/>
      <w:r w:rsidRPr="004F1AAA">
        <w:t>补偿价值评估活动，依据《关于做好核心区历史文化街区平房直管公房申请式退租、恢复性修建和经营管理有关工作的通知》、《房地产估价规范》,参照《北京市国有土地上房屋征收评估暂行办法》相关规定，结合工作实际，我会制定《核心区历史文化街区平房直管公房申请式退租补偿价值评估技术指引》（以下简称指引），现将该《指引》向全行业发布，请参考执行。</w:t>
      </w:r>
    </w:p>
    <w:p w14:paraId="166133EB" w14:textId="77777777" w:rsidR="00495C65" w:rsidRPr="004F1AAA" w:rsidRDefault="00495C65" w:rsidP="00495C65">
      <w:pPr>
        <w:pStyle w:val="13"/>
      </w:pPr>
      <w:r w:rsidRPr="004F1AAA">
        <w:t>本《指引》自2020年1月1日起施行，有效期三年。</w:t>
      </w:r>
    </w:p>
    <w:p w14:paraId="2A118C86" w14:textId="77777777" w:rsidR="00495C65" w:rsidRPr="004F1AAA" w:rsidRDefault="00495C65" w:rsidP="00495C65">
      <w:pPr>
        <w:pStyle w:val="13"/>
        <w:jc w:val="right"/>
      </w:pPr>
      <w:r w:rsidRPr="004F1AAA">
        <w:t>北京房地产估价师和土地估价师与不动产登记代理人协会</w:t>
      </w:r>
    </w:p>
    <w:p w14:paraId="7E48B576" w14:textId="77777777" w:rsidR="00495C65" w:rsidRPr="004F1AAA" w:rsidRDefault="00495C65" w:rsidP="00495C65">
      <w:pPr>
        <w:pStyle w:val="13"/>
        <w:jc w:val="right"/>
      </w:pPr>
      <w:r w:rsidRPr="004F1AAA">
        <w:t>二〇一九年十二月二十四日</w:t>
      </w:r>
    </w:p>
    <w:p w14:paraId="46666654" w14:textId="77777777" w:rsidR="00495C65" w:rsidRPr="004F1AAA" w:rsidRDefault="00495C65" w:rsidP="00AF7342">
      <w:pPr>
        <w:pStyle w:val="a9"/>
        <w:spacing w:before="62" w:after="62"/>
      </w:pPr>
      <w:r w:rsidRPr="004F1AAA">
        <w:t>核心区历史文化街区平房直管公房</w:t>
      </w:r>
      <w:proofErr w:type="gramStart"/>
      <w:r w:rsidRPr="004F1AAA">
        <w:t>申请式退租</w:t>
      </w:r>
      <w:proofErr w:type="gramEnd"/>
      <w:r w:rsidRPr="004F1AAA">
        <w:t>补偿价值评估技术指引</w:t>
      </w:r>
    </w:p>
    <w:p w14:paraId="61708519" w14:textId="77777777" w:rsidR="00495C65" w:rsidRPr="004F1AAA" w:rsidRDefault="00495C65" w:rsidP="00495C65">
      <w:pPr>
        <w:pStyle w:val="13"/>
      </w:pPr>
      <w:r w:rsidRPr="004F1AAA">
        <w:t>为规范本市核心区历史文化街区平房直管公房</w:t>
      </w:r>
      <w:proofErr w:type="gramStart"/>
      <w:r w:rsidRPr="004F1AAA">
        <w:t>申请式退租</w:t>
      </w:r>
      <w:proofErr w:type="gramEnd"/>
      <w:r w:rsidRPr="004F1AAA">
        <w:t>补偿价值评估活动，依据《关于做好核心区历史文化街区平房直管公房申请式退租、恢复性修建和经营管理有关工作的通知》、《房地产估价规范》,参照《北京市国有土地上房屋征收评估暂行办法》相关规定，结合工作实际，制定本指引。</w:t>
      </w:r>
    </w:p>
    <w:p w14:paraId="34AEEF18" w14:textId="77777777" w:rsidR="00495C65" w:rsidRPr="004F1AAA" w:rsidRDefault="00495C65" w:rsidP="00495C65">
      <w:pPr>
        <w:pStyle w:val="ab"/>
        <w:spacing w:before="62" w:after="62"/>
        <w:ind w:firstLine="482"/>
      </w:pPr>
      <w:r w:rsidRPr="004F1AAA">
        <w:lastRenderedPageBreak/>
        <w:t>一、适用范围</w:t>
      </w:r>
    </w:p>
    <w:p w14:paraId="36172B7C" w14:textId="77777777" w:rsidR="00495C65" w:rsidRPr="004F1AAA" w:rsidRDefault="00495C65" w:rsidP="00495C65">
      <w:pPr>
        <w:pStyle w:val="13"/>
      </w:pPr>
      <w:r w:rsidRPr="004F1AAA">
        <w:t>本指引适用于开展核心区历史文化街区平房直管公房申请</w:t>
      </w:r>
      <w:proofErr w:type="gramStart"/>
      <w:r w:rsidRPr="004F1AAA">
        <w:t>式退租工作</w:t>
      </w:r>
      <w:proofErr w:type="gramEnd"/>
      <w:r w:rsidRPr="004F1AAA">
        <w:t>时，区主管部门制定片区</w:t>
      </w:r>
      <w:proofErr w:type="gramStart"/>
      <w:r w:rsidRPr="004F1AAA">
        <w:t>申请式退租</w:t>
      </w:r>
      <w:proofErr w:type="gramEnd"/>
      <w:r w:rsidRPr="004F1AAA">
        <w:t>和恢复性修建方案，房地产价格评估机构确定</w:t>
      </w:r>
      <w:proofErr w:type="gramStart"/>
      <w:r w:rsidRPr="004F1AAA">
        <w:t>申请式退租房</w:t>
      </w:r>
      <w:proofErr w:type="gramEnd"/>
      <w:r w:rsidRPr="004F1AAA">
        <w:t>屋（以下简称退租房屋）补偿价值的评估活动，以及对相关评估结果进行复核、鉴定等。</w:t>
      </w:r>
    </w:p>
    <w:p w14:paraId="31EBFDA1" w14:textId="77777777" w:rsidR="00495C65" w:rsidRPr="004F1AAA" w:rsidRDefault="00495C65" w:rsidP="00495C65">
      <w:pPr>
        <w:pStyle w:val="ab"/>
        <w:spacing w:before="62" w:after="62"/>
        <w:ind w:firstLine="482"/>
      </w:pPr>
      <w:r w:rsidRPr="004F1AAA">
        <w:t>二、估价原则</w:t>
      </w:r>
    </w:p>
    <w:p w14:paraId="456DCB33" w14:textId="77777777" w:rsidR="00495C65" w:rsidRPr="004F1AAA" w:rsidRDefault="00495C65" w:rsidP="00495C65">
      <w:pPr>
        <w:pStyle w:val="13"/>
      </w:pPr>
      <w:r w:rsidRPr="004F1AAA">
        <w:t>退租房屋补偿价值评估应遵循《房地产估价规范》，并参照《国有土地上房屋征收评估办法》、《北京市国有土地上房屋征收评估暂行办法》规定的相关原则。</w:t>
      </w:r>
    </w:p>
    <w:p w14:paraId="201948D5" w14:textId="77777777" w:rsidR="00495C65" w:rsidRPr="004F1AAA" w:rsidRDefault="00495C65" w:rsidP="00495C65">
      <w:pPr>
        <w:pStyle w:val="ab"/>
        <w:spacing w:before="62" w:after="62"/>
        <w:ind w:firstLine="482"/>
      </w:pPr>
      <w:r w:rsidRPr="004F1AAA">
        <w:t>三、估价目的</w:t>
      </w:r>
    </w:p>
    <w:p w14:paraId="050BDD0A" w14:textId="77777777" w:rsidR="00495C65" w:rsidRPr="004F1AAA" w:rsidRDefault="00495C65" w:rsidP="00495C65">
      <w:pPr>
        <w:pStyle w:val="13"/>
      </w:pPr>
      <w:r w:rsidRPr="004F1AAA">
        <w:t>退租房屋补偿价值评估目的应表述为“为直管公房退租实施主体与直管公房承租人确定补偿提供依据，评估退租房屋的补偿价值”。</w:t>
      </w:r>
    </w:p>
    <w:p w14:paraId="332B6AF3" w14:textId="77777777" w:rsidR="00495C65" w:rsidRPr="004F1AAA" w:rsidRDefault="00495C65" w:rsidP="00495C65">
      <w:pPr>
        <w:pStyle w:val="ab"/>
        <w:spacing w:before="62" w:after="62"/>
        <w:ind w:firstLine="482"/>
      </w:pPr>
      <w:r w:rsidRPr="004F1AAA">
        <w:t>四、价值时点</w:t>
      </w:r>
    </w:p>
    <w:p w14:paraId="23B2CD76" w14:textId="77777777" w:rsidR="00495C65" w:rsidRPr="004F1AAA" w:rsidRDefault="00495C65" w:rsidP="00495C65">
      <w:pPr>
        <w:pStyle w:val="13"/>
      </w:pPr>
      <w:r w:rsidRPr="004F1AAA">
        <w:t>退租房屋补偿价值评估时点为</w:t>
      </w:r>
      <w:proofErr w:type="gramStart"/>
      <w:r w:rsidRPr="004F1AAA">
        <w:t>申请式退租</w:t>
      </w:r>
      <w:proofErr w:type="gramEnd"/>
      <w:r w:rsidRPr="004F1AAA">
        <w:t>和恢复性修建方案向社会公告之日。</w:t>
      </w:r>
    </w:p>
    <w:p w14:paraId="1D80F1E6" w14:textId="77777777" w:rsidR="00495C65" w:rsidRPr="004F1AAA" w:rsidRDefault="00495C65" w:rsidP="00495C65">
      <w:pPr>
        <w:pStyle w:val="ab"/>
        <w:spacing w:before="62" w:after="62"/>
        <w:ind w:firstLine="482"/>
      </w:pPr>
      <w:r w:rsidRPr="004F1AAA">
        <w:t>五、价值定义</w:t>
      </w:r>
    </w:p>
    <w:p w14:paraId="76CCC9B6" w14:textId="77777777" w:rsidR="00495C65" w:rsidRPr="004F1AAA" w:rsidRDefault="00495C65" w:rsidP="00495C65">
      <w:pPr>
        <w:pStyle w:val="13"/>
      </w:pPr>
      <w:r w:rsidRPr="004F1AAA">
        <w:t>（一）退租房屋补偿价值</w:t>
      </w:r>
    </w:p>
    <w:p w14:paraId="29633E0F" w14:textId="77777777" w:rsidR="00495C65" w:rsidRPr="004F1AAA" w:rsidRDefault="00495C65" w:rsidP="00495C65">
      <w:pPr>
        <w:pStyle w:val="13"/>
      </w:pPr>
      <w:r w:rsidRPr="004F1AAA">
        <w:t>退租房屋补偿价值为退租房屋市场价值总额扣除退租房屋重置成新价款。公式如下：退租房屋补偿价值=退租房屋市场价值-退租房屋重置成新价款</w:t>
      </w:r>
    </w:p>
    <w:p w14:paraId="5F509180" w14:textId="77777777" w:rsidR="00495C65" w:rsidRPr="004F1AAA" w:rsidRDefault="00495C65" w:rsidP="00495C65">
      <w:pPr>
        <w:pStyle w:val="13"/>
      </w:pPr>
      <w:r w:rsidRPr="004F1AAA">
        <w:t>其中：退租房屋市场价值</w:t>
      </w:r>
      <w:proofErr w:type="gramStart"/>
      <w:r w:rsidRPr="004F1AAA">
        <w:t>是指退租房</w:t>
      </w:r>
      <w:proofErr w:type="gramEnd"/>
      <w:r w:rsidRPr="004F1AAA">
        <w:t>屋及其占用范围内的土地使用权在正常交易情况下，由熟悉情况的交易双方以公平交易方式在价值时点自愿进行交易的金额，但不考虑退租房屋租赁、抵押、查封等因素的影响。</w:t>
      </w:r>
    </w:p>
    <w:p w14:paraId="30EAC35A" w14:textId="77777777" w:rsidR="00495C65" w:rsidRPr="004F1AAA" w:rsidRDefault="00495C65" w:rsidP="00495C65">
      <w:pPr>
        <w:pStyle w:val="13"/>
      </w:pPr>
      <w:r w:rsidRPr="004F1AAA">
        <w:t>（二）退租房屋装修、设备及附属物价值</w:t>
      </w:r>
    </w:p>
    <w:p w14:paraId="39552418" w14:textId="77777777" w:rsidR="00495C65" w:rsidRPr="004F1AAA" w:rsidRDefault="00495C65" w:rsidP="00495C65">
      <w:pPr>
        <w:pStyle w:val="13"/>
      </w:pPr>
      <w:r w:rsidRPr="004F1AAA">
        <w:t>退租房屋装修、设备及附属物价值，由退</w:t>
      </w:r>
      <w:proofErr w:type="gramStart"/>
      <w:r w:rsidRPr="004F1AAA">
        <w:t>租实施</w:t>
      </w:r>
      <w:proofErr w:type="gramEnd"/>
      <w:r w:rsidRPr="004F1AAA">
        <w:t>主体及直管公房承租人协商确定；协商不成的，可以委托房地产价格评估机构通过评估确定。</w:t>
      </w:r>
    </w:p>
    <w:p w14:paraId="125682BD" w14:textId="77777777" w:rsidR="00495C65" w:rsidRPr="004F1AAA" w:rsidRDefault="00495C65" w:rsidP="00495C65">
      <w:pPr>
        <w:pStyle w:val="ab"/>
        <w:spacing w:before="62" w:after="62"/>
        <w:ind w:firstLine="482"/>
      </w:pPr>
      <w:r w:rsidRPr="004F1AAA">
        <w:t>六、评估方法</w:t>
      </w:r>
    </w:p>
    <w:p w14:paraId="1BE25438" w14:textId="77777777" w:rsidR="00495C65" w:rsidRPr="004F1AAA" w:rsidRDefault="00495C65" w:rsidP="00495C65">
      <w:pPr>
        <w:pStyle w:val="13"/>
      </w:pPr>
      <w:r w:rsidRPr="004F1AAA">
        <w:t>（一）退租房屋补偿价值评估</w:t>
      </w:r>
    </w:p>
    <w:p w14:paraId="54C5ADBA" w14:textId="77777777" w:rsidR="00495C65" w:rsidRPr="004F1AAA" w:rsidRDefault="00495C65" w:rsidP="00495C65">
      <w:pPr>
        <w:pStyle w:val="13"/>
      </w:pPr>
      <w:r w:rsidRPr="004F1AAA">
        <w:t>1、一般评估方法</w:t>
      </w:r>
    </w:p>
    <w:p w14:paraId="3EA69A0D" w14:textId="77777777" w:rsidR="00495C65" w:rsidRPr="004F1AAA" w:rsidRDefault="00495C65" w:rsidP="00495C65">
      <w:pPr>
        <w:pStyle w:val="13"/>
      </w:pPr>
      <w:r w:rsidRPr="004F1AAA">
        <w:t>依据《房地产估价规范》，通常的房地产市场价值评估方法有比较法、收益法、成本法及假设开发法等估价方法。根据退租房屋及其所在地房地产市场状况，对上述评估方法进行适用性分析，选用其中一种或者多种方法对退租房屋市场价值进行评估，扣除房屋重置成新价款，求取退租房屋补偿价值。</w:t>
      </w:r>
    </w:p>
    <w:p w14:paraId="1870CAA1" w14:textId="77777777" w:rsidR="00495C65" w:rsidRPr="004F1AAA" w:rsidRDefault="00495C65" w:rsidP="00495C65">
      <w:pPr>
        <w:pStyle w:val="13"/>
      </w:pPr>
      <w:r w:rsidRPr="004F1AAA">
        <w:t>2、成片住宅退租房屋补偿价值评估</w:t>
      </w:r>
    </w:p>
    <w:p w14:paraId="3A1A372A" w14:textId="77777777" w:rsidR="00495C65" w:rsidRPr="004F1AAA" w:rsidRDefault="00495C65" w:rsidP="00495C65">
      <w:pPr>
        <w:pStyle w:val="13"/>
      </w:pPr>
      <w:r w:rsidRPr="004F1AAA">
        <w:t>对于房屋类似、分布密集的成片住宅</w:t>
      </w:r>
      <w:proofErr w:type="gramStart"/>
      <w:r w:rsidRPr="004F1AAA">
        <w:t>申请式退租</w:t>
      </w:r>
      <w:proofErr w:type="gramEnd"/>
      <w:r w:rsidRPr="004F1AAA">
        <w:t>项目，可采用对住宅标准房屋市</w:t>
      </w:r>
      <w:r w:rsidRPr="004F1AAA">
        <w:lastRenderedPageBreak/>
        <w:t>场价格进行修正的评估路径求取</w:t>
      </w:r>
    </w:p>
    <w:p w14:paraId="1AC31456" w14:textId="77777777" w:rsidR="00495C65" w:rsidRPr="004F1AAA" w:rsidRDefault="00495C65" w:rsidP="00495C65">
      <w:pPr>
        <w:pStyle w:val="13"/>
      </w:pPr>
      <w:r w:rsidRPr="004F1AAA">
        <w:t>退租房屋的市场价值。公式如下：</w:t>
      </w:r>
    </w:p>
    <w:p w14:paraId="48EFE50F" w14:textId="77777777" w:rsidR="00495C65" w:rsidRPr="004F1AAA" w:rsidRDefault="00495C65" w:rsidP="00495C65">
      <w:pPr>
        <w:pStyle w:val="13"/>
      </w:pPr>
      <w:r w:rsidRPr="004F1AAA">
        <w:t>退租房屋补偿价值=（标准房屋市场价格-标准房屋重置成新价+退租房屋重置成新价）×因素修正×退租房屋建筑面积-退租房屋重置成新价款</w:t>
      </w:r>
    </w:p>
    <w:p w14:paraId="363344AB" w14:textId="77777777" w:rsidR="00495C65" w:rsidRPr="004F1AAA" w:rsidRDefault="00495C65" w:rsidP="00495C65">
      <w:pPr>
        <w:pStyle w:val="13"/>
      </w:pPr>
      <w:r w:rsidRPr="004F1AAA">
        <w:rPr>
          <w:rFonts w:hint="eastAsia"/>
        </w:rPr>
        <w:t>（1）</w:t>
      </w:r>
      <w:r w:rsidRPr="004F1AAA">
        <w:t>住宅标准房屋是指在退租房</w:t>
      </w:r>
      <w:proofErr w:type="gramStart"/>
      <w:r w:rsidRPr="004F1AAA">
        <w:t>屋所在</w:t>
      </w:r>
      <w:proofErr w:type="gramEnd"/>
      <w:r w:rsidRPr="004F1AAA">
        <w:t>区域的环境状况下，模拟重建类似住宅房屋。一般应满足以下条件：</w:t>
      </w:r>
    </w:p>
    <w:p w14:paraId="67DE3441" w14:textId="77777777" w:rsidR="00495C65" w:rsidRPr="004F1AAA" w:rsidRDefault="00495C65" w:rsidP="00495C65">
      <w:pPr>
        <w:pStyle w:val="13"/>
      </w:pPr>
      <w:r w:rsidRPr="004F1AAA">
        <w:t>①同区域内建设的具有长时间可居住价值，较好流通性，砖混、钢混或以上标准建筑结构的房屋；</w:t>
      </w:r>
    </w:p>
    <w:p w14:paraId="52877D2D" w14:textId="77777777" w:rsidR="00495C65" w:rsidRPr="004F1AAA" w:rsidRDefault="00495C65" w:rsidP="00495C65">
      <w:pPr>
        <w:pStyle w:val="13"/>
      </w:pPr>
      <w:r w:rsidRPr="004F1AAA">
        <w:t>②普通装修标准（不低于四白落地，水泥地面，带门窗等标准）；</w:t>
      </w:r>
    </w:p>
    <w:p w14:paraId="32D9FFD7" w14:textId="77777777" w:rsidR="00495C65" w:rsidRPr="004F1AAA" w:rsidRDefault="00495C65" w:rsidP="00495C65">
      <w:pPr>
        <w:pStyle w:val="13"/>
      </w:pPr>
      <w:r w:rsidRPr="004F1AAA">
        <w:t>③项目容积率大于1或符合区域住宅控制性规划。</w:t>
      </w:r>
    </w:p>
    <w:p w14:paraId="7038A26F" w14:textId="77777777" w:rsidR="00495C65" w:rsidRPr="004F1AAA" w:rsidRDefault="00495C65" w:rsidP="00495C65">
      <w:pPr>
        <w:pStyle w:val="13"/>
      </w:pPr>
      <w:r w:rsidRPr="004F1AAA">
        <w:t>如果申请退</w:t>
      </w:r>
      <w:proofErr w:type="gramStart"/>
      <w:r w:rsidRPr="004F1AAA">
        <w:t>租区域</w:t>
      </w:r>
      <w:proofErr w:type="gramEnd"/>
      <w:r w:rsidRPr="004F1AAA">
        <w:t>范围较大或呈狭长带状分布，应将申请退</w:t>
      </w:r>
      <w:proofErr w:type="gramStart"/>
      <w:r w:rsidRPr="004F1AAA">
        <w:t>租房屋按房屋</w:t>
      </w:r>
      <w:proofErr w:type="gramEnd"/>
      <w:r w:rsidRPr="004F1AAA">
        <w:t>所在区域分组，每组分别设定标准房屋。</w:t>
      </w:r>
    </w:p>
    <w:p w14:paraId="47BC7987" w14:textId="77777777" w:rsidR="00495C65" w:rsidRPr="004F1AAA" w:rsidRDefault="00495C65" w:rsidP="00495C65">
      <w:pPr>
        <w:pStyle w:val="13"/>
      </w:pPr>
      <w:r w:rsidRPr="004F1AAA">
        <w:rPr>
          <w:rFonts w:hint="eastAsia"/>
        </w:rPr>
        <w:t>（</w:t>
      </w:r>
      <w:r w:rsidRPr="004F1AAA">
        <w:t>2）标准房屋市场价格评估可采用比较法，选用的可比实例一般采用退租房屋项目周边距离1公里之内所有类似住宅项目中至少三个住宅小区项目。</w:t>
      </w:r>
    </w:p>
    <w:p w14:paraId="248F1DF7" w14:textId="77777777" w:rsidR="00495C65" w:rsidRPr="004F1AAA" w:rsidRDefault="00495C65" w:rsidP="00495C65">
      <w:pPr>
        <w:pStyle w:val="13"/>
      </w:pPr>
      <w:r w:rsidRPr="004F1AAA">
        <w:t>①可比实例价格为选取的住宅项目近期内平均成交价格；</w:t>
      </w:r>
    </w:p>
    <w:p w14:paraId="217D521E" w14:textId="77777777" w:rsidR="00495C65" w:rsidRPr="004F1AAA" w:rsidRDefault="00495C65" w:rsidP="00495C65">
      <w:pPr>
        <w:pStyle w:val="13"/>
      </w:pPr>
      <w:r w:rsidRPr="004F1AAA">
        <w:t>②运用比较法进行因素修正时，三个可比实例单项因素修正调整幅度合计不宜超过20%、综合因素修正调整幅度合计不宜超过30%，修正后求取的三个比准价格中最高值与最低值差额幅度不宜超过20%；</w:t>
      </w:r>
    </w:p>
    <w:p w14:paraId="5FC40404" w14:textId="77777777" w:rsidR="00495C65" w:rsidRPr="004F1AAA" w:rsidRDefault="00495C65" w:rsidP="00495C65">
      <w:pPr>
        <w:pStyle w:val="13"/>
        <w:rPr>
          <w:rFonts w:cs="Times New Roman"/>
        </w:rPr>
      </w:pPr>
      <w:r w:rsidRPr="004F1AAA">
        <w:rPr>
          <w:rFonts w:cs="Times New Roman"/>
        </w:rPr>
        <w:t>③条件不具备时，可采用单套住宅成交价格，但须进行楼层、朝向、成新等因素修正；</w:t>
      </w:r>
    </w:p>
    <w:p w14:paraId="7DDAF35A" w14:textId="77777777" w:rsidR="00495C65" w:rsidRPr="004F1AAA" w:rsidRDefault="00495C65" w:rsidP="00495C65">
      <w:pPr>
        <w:pStyle w:val="13"/>
        <w:rPr>
          <w:rFonts w:cs="Times New Roman"/>
        </w:rPr>
      </w:pPr>
      <w:r w:rsidRPr="004F1AAA">
        <w:rPr>
          <w:rFonts w:cs="Times New Roman"/>
        </w:rPr>
        <w:t>④当幅度或比值超过本条规定时，宜更换可比实例；</w:t>
      </w:r>
    </w:p>
    <w:p w14:paraId="53B6C518" w14:textId="77777777" w:rsidR="00495C65" w:rsidRPr="004F1AAA" w:rsidRDefault="00495C65" w:rsidP="00495C65">
      <w:pPr>
        <w:pStyle w:val="13"/>
        <w:rPr>
          <w:rFonts w:cs="Times New Roman"/>
        </w:rPr>
      </w:pPr>
      <w:r w:rsidRPr="004F1AAA">
        <w:rPr>
          <w:rFonts w:cs="Times New Roman"/>
        </w:rPr>
        <w:t>⑤当因估价对象或市场情况特殊，无合适的可比实例时，可扩大选择范围并在估价报告中说明。</w:t>
      </w:r>
    </w:p>
    <w:p w14:paraId="25B41E3C" w14:textId="77777777" w:rsidR="00495C65" w:rsidRPr="004F1AAA" w:rsidRDefault="00495C65" w:rsidP="00495C65">
      <w:pPr>
        <w:pStyle w:val="13"/>
        <w:rPr>
          <w:rFonts w:cs="Times New Roman"/>
        </w:rPr>
      </w:pPr>
      <w:r w:rsidRPr="004F1AAA">
        <w:rPr>
          <w:rFonts w:cs="Times New Roman" w:hint="eastAsia"/>
        </w:rPr>
        <w:t>（</w:t>
      </w:r>
      <w:r w:rsidRPr="004F1AAA">
        <w:rPr>
          <w:rFonts w:cs="Times New Roman"/>
        </w:rPr>
        <w:t>3）因素修正参照《北京市国有土地上房屋征收评估暂行办法》执行。</w:t>
      </w:r>
    </w:p>
    <w:p w14:paraId="09F8A896" w14:textId="77777777" w:rsidR="00495C65" w:rsidRPr="004F1AAA" w:rsidRDefault="00495C65" w:rsidP="00495C65">
      <w:pPr>
        <w:pStyle w:val="13"/>
        <w:rPr>
          <w:rFonts w:cs="Times New Roman"/>
        </w:rPr>
      </w:pPr>
      <w:r w:rsidRPr="004F1AAA">
        <w:rPr>
          <w:rFonts w:cs="Times New Roman" w:hint="eastAsia"/>
        </w:rPr>
        <w:t>（</w:t>
      </w:r>
      <w:r w:rsidRPr="004F1AAA">
        <w:rPr>
          <w:rFonts w:cs="Times New Roman"/>
        </w:rPr>
        <w:t>4）标准房屋重置成新价、退租房屋重置成新价，根据评估对象的实际情况，可依据《北京市房屋重置成新价评估技术标准》进行测算。</w:t>
      </w:r>
    </w:p>
    <w:p w14:paraId="23682C3B" w14:textId="77777777" w:rsidR="00495C65" w:rsidRPr="004F1AAA" w:rsidRDefault="00495C65" w:rsidP="00495C65">
      <w:pPr>
        <w:pStyle w:val="13"/>
        <w:rPr>
          <w:rFonts w:cs="Times New Roman"/>
        </w:rPr>
      </w:pPr>
      <w:r w:rsidRPr="004F1AAA">
        <w:rPr>
          <w:rFonts w:cs="Times New Roman"/>
        </w:rPr>
        <w:t>（二）退租房屋装修、设备及附属物价值评估</w:t>
      </w:r>
    </w:p>
    <w:p w14:paraId="6E758D93" w14:textId="77777777" w:rsidR="00495C65" w:rsidRPr="004F1AAA" w:rsidRDefault="00495C65" w:rsidP="00495C65">
      <w:pPr>
        <w:pStyle w:val="13"/>
        <w:rPr>
          <w:rFonts w:cs="Times New Roman"/>
        </w:rPr>
      </w:pPr>
      <w:r w:rsidRPr="004F1AAA">
        <w:rPr>
          <w:rFonts w:cs="Times New Roman"/>
        </w:rPr>
        <w:t>退租房屋装修、设备及附属物价值评估，根据评估对象的实际情况，可依据《北京市房屋重置成新价评估技术标准》进行测算。</w:t>
      </w:r>
    </w:p>
    <w:p w14:paraId="2EC53ECF" w14:textId="77777777" w:rsidR="00495C65" w:rsidRPr="004F1AAA" w:rsidRDefault="00495C65" w:rsidP="00495C65">
      <w:pPr>
        <w:pStyle w:val="ab"/>
        <w:spacing w:before="62" w:after="62"/>
        <w:ind w:firstLine="482"/>
      </w:pPr>
      <w:r w:rsidRPr="004F1AAA">
        <w:t>七、评估报告使用期限及评估报告格式</w:t>
      </w:r>
    </w:p>
    <w:p w14:paraId="60074F28" w14:textId="77777777" w:rsidR="00495C65" w:rsidRPr="004F1AAA" w:rsidRDefault="00495C65" w:rsidP="00495C65">
      <w:pPr>
        <w:pStyle w:val="13"/>
        <w:rPr>
          <w:rFonts w:cs="Times New Roman"/>
        </w:rPr>
      </w:pPr>
      <w:r w:rsidRPr="004F1AAA">
        <w:rPr>
          <w:rFonts w:cs="Times New Roman"/>
        </w:rPr>
        <w:t>评估报告原则上</w:t>
      </w:r>
      <w:proofErr w:type="gramStart"/>
      <w:r w:rsidRPr="004F1AAA">
        <w:rPr>
          <w:rFonts w:cs="Times New Roman"/>
        </w:rPr>
        <w:t>自报告</w:t>
      </w:r>
      <w:proofErr w:type="gramEnd"/>
      <w:r w:rsidRPr="004F1AAA">
        <w:rPr>
          <w:rFonts w:cs="Times New Roman"/>
        </w:rPr>
        <w:t>出具之日起一年内有效。</w:t>
      </w:r>
    </w:p>
    <w:p w14:paraId="1374A812" w14:textId="77777777" w:rsidR="00495C65" w:rsidRPr="004F1AAA" w:rsidRDefault="00495C65" w:rsidP="00495C65">
      <w:pPr>
        <w:pStyle w:val="13"/>
        <w:rPr>
          <w:rFonts w:cs="Times New Roman"/>
        </w:rPr>
      </w:pPr>
      <w:r w:rsidRPr="004F1AAA">
        <w:rPr>
          <w:rFonts w:cs="Times New Roman"/>
        </w:rPr>
        <w:t>评估报告应当按照《房地产估价规范》规定的格式出具。</w:t>
      </w:r>
    </w:p>
    <w:p w14:paraId="7D607BA6" w14:textId="77777777" w:rsidR="00495C65" w:rsidRPr="004F1AAA" w:rsidRDefault="00495C65" w:rsidP="00495C65">
      <w:pPr>
        <w:pStyle w:val="ab"/>
        <w:spacing w:before="62" w:after="62"/>
        <w:ind w:firstLine="482"/>
      </w:pPr>
      <w:r w:rsidRPr="004F1AAA">
        <w:lastRenderedPageBreak/>
        <w:t>八、评估复核及鉴定</w:t>
      </w:r>
    </w:p>
    <w:p w14:paraId="79748996" w14:textId="77777777" w:rsidR="00495C65" w:rsidRPr="004F1AAA" w:rsidRDefault="00495C65" w:rsidP="00495C65">
      <w:pPr>
        <w:pStyle w:val="13"/>
        <w:rPr>
          <w:rFonts w:cs="Times New Roman"/>
        </w:rPr>
      </w:pPr>
      <w:r w:rsidRPr="004F1AAA">
        <w:rPr>
          <w:rFonts w:cs="Times New Roman"/>
        </w:rPr>
        <w:t>退</w:t>
      </w:r>
      <w:proofErr w:type="gramStart"/>
      <w:r w:rsidRPr="004F1AAA">
        <w:rPr>
          <w:rFonts w:cs="Times New Roman"/>
        </w:rPr>
        <w:t>租实施</w:t>
      </w:r>
      <w:proofErr w:type="gramEnd"/>
      <w:r w:rsidRPr="004F1AAA">
        <w:rPr>
          <w:rFonts w:cs="Times New Roman"/>
        </w:rPr>
        <w:t>主体或直管公房承租人对评估结果有异议的，可申请复核评估、鉴定程序。具体复核评估、鉴定程序参照《北京市国有土地上房屋征收评估暂行办法》相关规定执行。</w:t>
      </w:r>
    </w:p>
    <w:p w14:paraId="06CF2A1E" w14:textId="77777777" w:rsidR="00495C65" w:rsidRPr="004F1AAA" w:rsidRDefault="00495C65" w:rsidP="00495C65">
      <w:pPr>
        <w:pStyle w:val="ab"/>
        <w:spacing w:before="62" w:after="62"/>
        <w:ind w:firstLine="482"/>
      </w:pPr>
      <w:r w:rsidRPr="004F1AAA">
        <w:t>九、附则</w:t>
      </w:r>
    </w:p>
    <w:p w14:paraId="548F86A8" w14:textId="77777777" w:rsidR="00495C65" w:rsidRPr="004F1AAA" w:rsidRDefault="00495C65" w:rsidP="00495C65">
      <w:pPr>
        <w:pStyle w:val="13"/>
        <w:rPr>
          <w:rFonts w:cs="Times New Roman"/>
        </w:rPr>
      </w:pPr>
      <w:r w:rsidRPr="004F1AAA">
        <w:rPr>
          <w:rFonts w:cs="Times New Roman"/>
        </w:rPr>
        <w:t>本指引自2020年1月1日起施行，有效期三年。</w:t>
      </w:r>
    </w:p>
    <w:p w14:paraId="212DB8FE" w14:textId="77777777" w:rsidR="00495C65" w:rsidRPr="004F1AAA" w:rsidRDefault="00495C65" w:rsidP="00495C65">
      <w:pPr>
        <w:pStyle w:val="31"/>
        <w:spacing w:before="156" w:after="62"/>
      </w:pPr>
      <w:bookmarkStart w:id="162" w:name="_bookmark108"/>
      <w:bookmarkStart w:id="163" w:name="北京市公共租赁住房项目市场租金评估技术指引（北估秘〔2019〕020号）"/>
      <w:bookmarkStart w:id="164" w:name="_Toc77032579"/>
      <w:bookmarkStart w:id="165" w:name="_Toc81833405"/>
      <w:bookmarkEnd w:id="162"/>
      <w:bookmarkEnd w:id="163"/>
      <w:r w:rsidRPr="004F1AAA">
        <w:t>北京市公共租赁住房项目市场租金评估技术指引（</w:t>
      </w:r>
      <w:proofErr w:type="gramStart"/>
      <w:r w:rsidRPr="004F1AAA">
        <w:t>北估秘</w:t>
      </w:r>
      <w:proofErr w:type="gramEnd"/>
      <w:r w:rsidRPr="004F1AAA">
        <w:t>〔2019〕020</w:t>
      </w:r>
      <w:r w:rsidRPr="004F1AAA">
        <w:rPr>
          <w:rFonts w:hint="eastAsia"/>
        </w:rPr>
        <w:t>号</w:t>
      </w:r>
      <w:r w:rsidRPr="004F1AAA">
        <w:t>）</w:t>
      </w:r>
      <w:bookmarkEnd w:id="164"/>
      <w:bookmarkEnd w:id="165"/>
    </w:p>
    <w:p w14:paraId="721EB991" w14:textId="77777777" w:rsidR="00495C65" w:rsidRPr="004F1AAA" w:rsidRDefault="00495C65" w:rsidP="00495C65">
      <w:pPr>
        <w:pStyle w:val="13"/>
        <w:ind w:firstLineChars="0" w:firstLine="0"/>
      </w:pPr>
      <w:r w:rsidRPr="004F1AAA">
        <w:t>各估价机构、相关单位：</w:t>
      </w:r>
    </w:p>
    <w:p w14:paraId="1FC1F2F4" w14:textId="77777777" w:rsidR="00495C65" w:rsidRPr="004F1AAA" w:rsidRDefault="00495C65" w:rsidP="00495C65">
      <w:pPr>
        <w:pStyle w:val="13"/>
      </w:pPr>
      <w:r w:rsidRPr="004F1AAA">
        <w:t>为规范本市公共租赁住房项目租金评估活动，维护公共租赁住房项目相关各方的合法权益，依据国务院办公厅《关于保障性安居工程建设和管理的指导意见》（国办发〔2011〕45</w:t>
      </w:r>
      <w:r w:rsidRPr="004F1AAA">
        <w:rPr>
          <w:rFonts w:hint="eastAsia"/>
        </w:rPr>
        <w:t>号</w:t>
      </w:r>
      <w:r w:rsidRPr="004F1AAA">
        <w:t>）、《公共租赁住房管理办法》（2012住建部令第11</w:t>
      </w:r>
      <w:r w:rsidRPr="004F1AAA">
        <w:rPr>
          <w:rFonts w:hint="eastAsia"/>
        </w:rPr>
        <w:t>号</w:t>
      </w:r>
      <w:r w:rsidRPr="004F1AAA">
        <w:t>）、北京市人民政府《关于加强本市公共租赁住房建设和管理的通知》（京政发〔2011〕61</w:t>
      </w:r>
      <w:r w:rsidRPr="004F1AAA">
        <w:rPr>
          <w:rFonts w:hint="eastAsia"/>
        </w:rPr>
        <w:t>号</w:t>
      </w:r>
      <w:r w:rsidRPr="004F1AAA">
        <w:t>）、北京市《公共租赁住房建设与评价标准》（DB11/T1365-2016）、《北京市公共租赁住房建设技术导则（试行）》（京建发〔2010〕413</w:t>
      </w:r>
      <w:r w:rsidRPr="004F1AAA">
        <w:rPr>
          <w:rFonts w:hint="eastAsia"/>
        </w:rPr>
        <w:t>号</w:t>
      </w:r>
      <w:r w:rsidRPr="004F1AAA">
        <w:t>）及《房地产估价规范》（GB/T50291-2015），结合本市实际，我会制定《北京市公共租赁住房项目市场租金评估技术指引》（以下简称指引），现将该《指引》向全行业发布，请参考执行。</w:t>
      </w:r>
    </w:p>
    <w:p w14:paraId="6E92371B" w14:textId="77777777" w:rsidR="00495C65" w:rsidRPr="004F1AAA" w:rsidRDefault="00495C65" w:rsidP="00495C65">
      <w:pPr>
        <w:pStyle w:val="13"/>
      </w:pPr>
      <w:r w:rsidRPr="004F1AAA">
        <w:t>本《指引》自2020年1月1日起施行，有效期三年。</w:t>
      </w:r>
    </w:p>
    <w:p w14:paraId="7A58F70C" w14:textId="77777777" w:rsidR="00495C65" w:rsidRPr="004F1AAA" w:rsidRDefault="00495C65" w:rsidP="00495C65">
      <w:pPr>
        <w:pStyle w:val="13"/>
        <w:jc w:val="right"/>
      </w:pPr>
      <w:r w:rsidRPr="004F1AAA">
        <w:t>北京房地产估价师和土地估价师与不动产登记代理人协会</w:t>
      </w:r>
    </w:p>
    <w:p w14:paraId="420A8B75" w14:textId="77777777" w:rsidR="00495C65" w:rsidRPr="004F1AAA" w:rsidRDefault="00495C65" w:rsidP="00495C65">
      <w:pPr>
        <w:pStyle w:val="13"/>
        <w:jc w:val="right"/>
      </w:pPr>
      <w:r w:rsidRPr="004F1AAA">
        <w:t>二〇一九年十二月二十六日</w:t>
      </w:r>
    </w:p>
    <w:p w14:paraId="2994EA56" w14:textId="77777777" w:rsidR="00495C65" w:rsidRPr="001A617C" w:rsidRDefault="00495C65" w:rsidP="00AF7342">
      <w:pPr>
        <w:pStyle w:val="a9"/>
        <w:spacing w:before="62" w:after="62"/>
      </w:pPr>
      <w:r w:rsidRPr="001A617C">
        <w:t>北京市公共租赁住房项目市场租金评估技术指引</w:t>
      </w:r>
    </w:p>
    <w:p w14:paraId="50EEAF1F" w14:textId="77777777" w:rsidR="00495C65" w:rsidRPr="001A617C" w:rsidRDefault="00495C65" w:rsidP="00AF7342">
      <w:pPr>
        <w:pStyle w:val="a9"/>
        <w:spacing w:before="62" w:after="62"/>
      </w:pPr>
      <w:r w:rsidRPr="001A617C">
        <w:t>1 总则</w:t>
      </w:r>
    </w:p>
    <w:p w14:paraId="6FC115D8" w14:textId="77777777" w:rsidR="00495C65" w:rsidRPr="004F1AAA" w:rsidRDefault="00495C65" w:rsidP="00495C65">
      <w:pPr>
        <w:pStyle w:val="13"/>
      </w:pPr>
      <w:r w:rsidRPr="004F1AAA">
        <w:rPr>
          <w:rFonts w:hint="eastAsia"/>
        </w:rPr>
        <w:t>1</w:t>
      </w:r>
      <w:r w:rsidRPr="004F1AAA">
        <w:t>.01为规范本市公共租赁住房项目租金评估活动，维护公共租赁住房项目相关各方的合法权益，依据国务院办公厅《关于保障性安居工程建设和管理的指导意见》（国办发〔2011〕45</w:t>
      </w:r>
      <w:r w:rsidRPr="004F1AAA">
        <w:rPr>
          <w:rFonts w:hint="eastAsia"/>
        </w:rPr>
        <w:t>号</w:t>
      </w:r>
      <w:r w:rsidRPr="004F1AAA">
        <w:t>）、《公共租赁住房管理办法》（2012住建部令第11</w:t>
      </w:r>
      <w:r w:rsidRPr="004F1AAA">
        <w:rPr>
          <w:rFonts w:hint="eastAsia"/>
        </w:rPr>
        <w:t>号</w:t>
      </w:r>
      <w:r w:rsidRPr="004F1AAA">
        <w:t>）、北京市人民政府《关于加强本市公共租赁住房建设和管理的通知》（京政发〔2011〕61</w:t>
      </w:r>
      <w:r w:rsidRPr="004F1AAA">
        <w:rPr>
          <w:rFonts w:hint="eastAsia"/>
        </w:rPr>
        <w:t>号</w:t>
      </w:r>
      <w:r w:rsidRPr="004F1AAA">
        <w:t>）、北京市《公共租赁住房建设与评价标准》（DB11/T1365－2016）、《北京市公共租赁住房建设技术导则（试行）》（京建发〔2010〕413</w:t>
      </w:r>
      <w:r w:rsidRPr="004F1AAA">
        <w:rPr>
          <w:rFonts w:hint="eastAsia"/>
        </w:rPr>
        <w:t>号</w:t>
      </w:r>
      <w:r w:rsidRPr="004F1AAA">
        <w:t>）及《房地产估价规范》（GB/T50291-2015），结合本市实际，制定本指引。</w:t>
      </w:r>
    </w:p>
    <w:p w14:paraId="5D6FFAA6" w14:textId="77777777" w:rsidR="00495C65" w:rsidRPr="004F1AAA" w:rsidRDefault="00495C65" w:rsidP="00495C65">
      <w:pPr>
        <w:pStyle w:val="13"/>
      </w:pPr>
      <w:r w:rsidRPr="004F1AAA">
        <w:t>1.02北</w:t>
      </w:r>
      <w:r w:rsidRPr="004F1AAA">
        <w:rPr>
          <w:rFonts w:hint="eastAsia"/>
        </w:rPr>
        <w:t>京</w:t>
      </w:r>
      <w:r w:rsidRPr="004F1AAA">
        <w:t>市公共租赁住房项目市场租金评估适用本指引。</w:t>
      </w:r>
    </w:p>
    <w:p w14:paraId="2BEFA3D3" w14:textId="77777777" w:rsidR="00495C65" w:rsidRPr="004F1AAA" w:rsidRDefault="00495C65" w:rsidP="00495C65">
      <w:pPr>
        <w:pStyle w:val="13"/>
      </w:pPr>
      <w:r w:rsidRPr="004F1AAA">
        <w:t>1.03</w:t>
      </w:r>
      <w:r w:rsidRPr="004F1AAA">
        <w:rPr>
          <w:rFonts w:hint="eastAsia"/>
        </w:rPr>
        <w:t>公</w:t>
      </w:r>
      <w:r w:rsidRPr="004F1AAA">
        <w:t>共租赁住房项目市场租金是指与公共租赁住房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236C9040" w14:textId="77777777" w:rsidR="00495C65" w:rsidRPr="004F1AAA" w:rsidRDefault="00495C65" w:rsidP="00495C65">
      <w:pPr>
        <w:pStyle w:val="13"/>
      </w:pPr>
      <w:r w:rsidRPr="004F1AAA">
        <w:rPr>
          <w:rFonts w:hint="eastAsia"/>
        </w:rPr>
        <w:lastRenderedPageBreak/>
        <w:t>（1）</w:t>
      </w:r>
      <w:r w:rsidRPr="004F1AAA">
        <w:t>同地段是指按照就近原则，能够满足公共租赁住房项目市场租金评估所需要的可比小区数量所形成的同质区域。</w:t>
      </w:r>
    </w:p>
    <w:p w14:paraId="16E69C61" w14:textId="77777777" w:rsidR="00495C65" w:rsidRPr="004F1AAA" w:rsidRDefault="00495C65" w:rsidP="00495C65">
      <w:pPr>
        <w:pStyle w:val="13"/>
      </w:pPr>
      <w:r w:rsidRPr="004F1AAA">
        <w:rPr>
          <w:rFonts w:hint="eastAsia"/>
        </w:rPr>
        <w:t>（</w:t>
      </w:r>
      <w:r w:rsidRPr="004F1AAA">
        <w:t>2）同类型是指使用功能、建筑结构、面积、户型、装修、家具家电设备及周边环境与</w:t>
      </w:r>
      <w:proofErr w:type="gramStart"/>
      <w:r w:rsidRPr="004F1AAA">
        <w:t>配套相同</w:t>
      </w:r>
      <w:proofErr w:type="gramEnd"/>
      <w:r w:rsidRPr="004F1AAA">
        <w:t>或相似的住房。</w:t>
      </w:r>
    </w:p>
    <w:p w14:paraId="2809E066" w14:textId="77777777" w:rsidR="00495C65" w:rsidRPr="004F1AAA" w:rsidRDefault="00495C65" w:rsidP="00495C65">
      <w:pPr>
        <w:pStyle w:val="13"/>
      </w:pPr>
      <w:r w:rsidRPr="004F1AAA">
        <w:rPr>
          <w:rFonts w:hint="eastAsia"/>
        </w:rPr>
        <w:t>（</w:t>
      </w:r>
      <w:r w:rsidRPr="004F1AAA">
        <w:t>3）估价时段是指价值时点前一年。</w:t>
      </w:r>
    </w:p>
    <w:p w14:paraId="1DF27483" w14:textId="77777777" w:rsidR="00495C65" w:rsidRPr="004F1AAA" w:rsidRDefault="00495C65" w:rsidP="00495C65">
      <w:pPr>
        <w:pStyle w:val="13"/>
      </w:pPr>
      <w:r w:rsidRPr="004F1AAA">
        <w:t>1.04公共租赁住房项目市场租金采取标准房进行评估。标准房是指参照被评估公共租赁住房项目的户型、面积、朝向、楼层、装修及设备等因素按照众数原则设定的房屋状况。</w:t>
      </w:r>
    </w:p>
    <w:p w14:paraId="796C75B1" w14:textId="77777777" w:rsidR="00495C65" w:rsidRPr="004F1AAA" w:rsidRDefault="00495C65" w:rsidP="00495C65">
      <w:pPr>
        <w:pStyle w:val="13"/>
      </w:pPr>
      <w:r w:rsidRPr="004F1AAA">
        <w:t>1.05估价目的应当表述为“为估价委托人确定公共租赁住房项目市场租金提供价格参考依据”。</w:t>
      </w:r>
    </w:p>
    <w:p w14:paraId="50EBF8AB" w14:textId="77777777" w:rsidR="00495C65" w:rsidRPr="004F1AAA" w:rsidRDefault="00495C65" w:rsidP="00495C65">
      <w:pPr>
        <w:pStyle w:val="13"/>
      </w:pPr>
      <w:r w:rsidRPr="004F1AAA">
        <w:t>1.06公共租赁住房项目市场租金采用比较法进行评估。采用成本法的评估结果对公共租赁住房项目的成本收益进行分析。</w:t>
      </w:r>
    </w:p>
    <w:p w14:paraId="07AF8B38" w14:textId="77777777" w:rsidR="00495C65" w:rsidRPr="004F1AAA" w:rsidRDefault="00495C65" w:rsidP="00495C65">
      <w:pPr>
        <w:pStyle w:val="13"/>
      </w:pPr>
      <w:r w:rsidRPr="004F1AAA">
        <w:t>1.07公共租赁住房项目市场租金评估应当遵循固定用途使用原则。</w:t>
      </w:r>
    </w:p>
    <w:p w14:paraId="747CA7AD" w14:textId="77777777" w:rsidR="00495C65" w:rsidRPr="004F1AAA" w:rsidRDefault="00495C65" w:rsidP="00AF7342">
      <w:pPr>
        <w:pStyle w:val="a9"/>
        <w:spacing w:before="62" w:after="62"/>
      </w:pPr>
      <w:r w:rsidRPr="004F1AAA">
        <w:t>2 比较法评估公共租赁住房项目市场租金</w:t>
      </w:r>
    </w:p>
    <w:p w14:paraId="6D398ADC" w14:textId="77777777" w:rsidR="00495C65" w:rsidRPr="004F1AAA" w:rsidRDefault="00495C65" w:rsidP="00495C65">
      <w:pPr>
        <w:pStyle w:val="13"/>
      </w:pPr>
      <w:r w:rsidRPr="004F1AAA">
        <w:rPr>
          <w:rFonts w:hint="eastAsia"/>
        </w:rPr>
        <w:t>2</w:t>
      </w:r>
      <w:r w:rsidRPr="004F1AAA">
        <w:t>.01从同地段、同类型方面定性、定量阐述可比实例的选取。</w:t>
      </w:r>
    </w:p>
    <w:p w14:paraId="5391133B" w14:textId="77777777" w:rsidR="00495C65" w:rsidRPr="004F1AAA" w:rsidRDefault="00495C65" w:rsidP="00495C65">
      <w:pPr>
        <w:pStyle w:val="13"/>
      </w:pPr>
      <w:r w:rsidRPr="004F1AAA">
        <w:t>2.02以公共租赁住房项目为中心，在可比区域内按照邻近原则选择不少于3个与公共租赁住房项目状况类似的普通住宅小区作为可比住宅小区；当可比住宅小区数量不足3个时，可适当扩大范围。</w:t>
      </w:r>
    </w:p>
    <w:p w14:paraId="7F9B9B44" w14:textId="77777777" w:rsidR="00495C65" w:rsidRPr="004F1AAA" w:rsidRDefault="00495C65" w:rsidP="00495C65">
      <w:pPr>
        <w:pStyle w:val="13"/>
      </w:pPr>
      <w:r w:rsidRPr="004F1AAA">
        <w:t>2.03估价机构评估前应对公共租赁住房项目区域公共租赁住房项目情况进行调查，在选取可比实例及估价过程中统筹考虑。</w:t>
      </w:r>
    </w:p>
    <w:p w14:paraId="0FA081EF" w14:textId="77777777" w:rsidR="00495C65" w:rsidRPr="004F1AAA" w:rsidRDefault="00495C65" w:rsidP="00495C65">
      <w:pPr>
        <w:pStyle w:val="13"/>
      </w:pPr>
      <w:r w:rsidRPr="004F1AAA">
        <w:t>2.04在估价时段内，每个可比住宅小区每季度选择至少1个可比实例。</w:t>
      </w:r>
    </w:p>
    <w:p w14:paraId="1BA5559D" w14:textId="77777777" w:rsidR="00495C65" w:rsidRPr="004F1AAA" w:rsidRDefault="00495C65" w:rsidP="00495C65">
      <w:pPr>
        <w:pStyle w:val="13"/>
      </w:pPr>
      <w:r w:rsidRPr="004F1AAA">
        <w:t>2.05可比实例数据来源为估价机构监测数据、估价机构市场调查数据、行业主管部门监测数据。如数据不全，需说明理由。</w:t>
      </w:r>
    </w:p>
    <w:p w14:paraId="30D22CD2" w14:textId="77777777" w:rsidR="00495C65" w:rsidRPr="004F1AAA" w:rsidRDefault="00495C65" w:rsidP="00495C65">
      <w:pPr>
        <w:pStyle w:val="13"/>
      </w:pPr>
      <w:r w:rsidRPr="004F1AAA">
        <w:t>2.06将各可比小区相应的可比实例的季度平均租金进行算术平均得到各可比住宅小区年平均租金，并作为可比住宅小区标准房的租金。</w:t>
      </w:r>
    </w:p>
    <w:p w14:paraId="0A0E4464" w14:textId="77777777" w:rsidR="00495C65" w:rsidRPr="004F1AAA" w:rsidRDefault="00495C65" w:rsidP="00495C65">
      <w:pPr>
        <w:pStyle w:val="13"/>
      </w:pPr>
      <w:r w:rsidRPr="004F1AAA">
        <w:t>2.07将所选可比小区与评估对象公共租赁住房标准房进行比较，进行区位状况调整和实物状况调整，计算各可比住宅小区比准租金。区位状况包括：居住区成熟度、交通条件、商业设施、自然环境、公共配套等；实物状况包括：物业服务、小区环境、配套设施、户型、装修、设备等。调整因素可根据项目实际情况增减。（见附件可比住宅小区因素说明表）</w:t>
      </w:r>
    </w:p>
    <w:p w14:paraId="60626A79" w14:textId="77777777" w:rsidR="00495C65" w:rsidRPr="004F1AAA" w:rsidRDefault="00495C65" w:rsidP="00495C65">
      <w:pPr>
        <w:pStyle w:val="13"/>
      </w:pPr>
      <w:r w:rsidRPr="004F1AAA">
        <w:t>2.08将各可比住宅小区比准租金进行算术平均得到公共租赁住房项目市场租金。</w:t>
      </w:r>
    </w:p>
    <w:p w14:paraId="3A9B7C00" w14:textId="77777777" w:rsidR="00495C65" w:rsidRPr="004F1AAA" w:rsidRDefault="00495C65" w:rsidP="00495C65">
      <w:pPr>
        <w:pStyle w:val="13"/>
      </w:pPr>
      <w:r w:rsidRPr="004F1AAA">
        <w:t>2.09因素修正视具体情况可采用百分率法、差额法或回归分析法。每项修正对可比实例租金的调整不宜超过5%，综合调整不宜超过15%。</w:t>
      </w:r>
    </w:p>
    <w:p w14:paraId="79F0CFE2" w14:textId="77777777" w:rsidR="00495C65" w:rsidRPr="004F1AAA" w:rsidRDefault="00495C65" w:rsidP="00AF7342">
      <w:pPr>
        <w:pStyle w:val="a9"/>
        <w:spacing w:before="62" w:after="62"/>
      </w:pPr>
      <w:r w:rsidRPr="004F1AAA">
        <w:lastRenderedPageBreak/>
        <w:t>3 成本收益测算</w:t>
      </w:r>
    </w:p>
    <w:p w14:paraId="266400AC" w14:textId="77777777" w:rsidR="00495C65" w:rsidRPr="004F1AAA" w:rsidRDefault="00495C65" w:rsidP="00495C65">
      <w:pPr>
        <w:pStyle w:val="13"/>
      </w:pPr>
      <w:r w:rsidRPr="004F1AAA">
        <w:rPr>
          <w:rFonts w:hint="eastAsia"/>
        </w:rPr>
        <w:t>3</w:t>
      </w:r>
      <w:r w:rsidRPr="004F1AAA">
        <w:t>.01成本收益测算采用成本法，公共租赁住房项目成本由建设、运营和管理费用构成。</w:t>
      </w:r>
    </w:p>
    <w:p w14:paraId="657A8BCB" w14:textId="77777777" w:rsidR="00495C65" w:rsidRPr="004F1AAA" w:rsidRDefault="00495C65" w:rsidP="00495C65">
      <w:pPr>
        <w:pStyle w:val="13"/>
      </w:pPr>
      <w:r w:rsidRPr="004F1AAA">
        <w:t>3.02公共租赁住房项目建设费用指通过新建、改建、收购等方式取得公共租赁住房项目而发生的实际费用，根据不同的取得方式分别测算。</w:t>
      </w:r>
    </w:p>
    <w:p w14:paraId="2951C543" w14:textId="77777777" w:rsidR="00495C65" w:rsidRPr="004F1AAA" w:rsidRDefault="00495C65" w:rsidP="00495C65">
      <w:pPr>
        <w:pStyle w:val="13"/>
      </w:pPr>
      <w:r w:rsidRPr="004F1AAA">
        <w:rPr>
          <w:rFonts w:hint="eastAsia"/>
        </w:rPr>
        <w:t>（1）</w:t>
      </w:r>
      <w:r w:rsidRPr="004F1AAA">
        <w:t>价值时点尚未发生、预计需要发生的费用，已经签订合同的按照合同计算，未签合同的按市场水平测算。无法取得公共租赁住房项目实际成本的按市场水平测算。</w:t>
      </w:r>
    </w:p>
    <w:p w14:paraId="41095F00" w14:textId="77777777" w:rsidR="00495C65" w:rsidRPr="004F1AAA" w:rsidRDefault="00495C65" w:rsidP="00495C65">
      <w:pPr>
        <w:pStyle w:val="13"/>
      </w:pPr>
      <w:r w:rsidRPr="004F1AAA">
        <w:rPr>
          <w:rFonts w:hint="eastAsia"/>
        </w:rPr>
        <w:t>（</w:t>
      </w:r>
      <w:r w:rsidRPr="004F1AAA">
        <w:t>2）通过新建、改建、收购取得，由利息、折旧构成。</w:t>
      </w:r>
    </w:p>
    <w:p w14:paraId="1F8E5DAA" w14:textId="77777777" w:rsidR="00495C65" w:rsidRPr="004F1AAA" w:rsidRDefault="00495C65" w:rsidP="00495C65">
      <w:pPr>
        <w:pStyle w:val="13"/>
      </w:pPr>
      <w:r w:rsidRPr="004F1AAA">
        <w:rPr>
          <w:rFonts w:hint="eastAsia"/>
        </w:rPr>
        <w:t>（</w:t>
      </w:r>
      <w:r w:rsidRPr="004F1AAA">
        <w:t>3）按非生产用房经济耐用年限，将公共租赁住房项目建设成本按直线法折算至每年，测算年折旧及摊销成本。</w:t>
      </w:r>
    </w:p>
    <w:p w14:paraId="33AC145B" w14:textId="77777777" w:rsidR="00495C65" w:rsidRPr="004F1AAA" w:rsidRDefault="00495C65" w:rsidP="00495C65">
      <w:pPr>
        <w:pStyle w:val="13"/>
      </w:pPr>
      <w:r w:rsidRPr="004F1AAA">
        <w:t>3.03公共租赁住房项目运营费用由维修费、保险费、</w:t>
      </w:r>
      <w:proofErr w:type="gramStart"/>
      <w:r w:rsidRPr="004F1AAA">
        <w:t>物业费</w:t>
      </w:r>
      <w:proofErr w:type="gramEnd"/>
      <w:r w:rsidRPr="004F1AAA">
        <w:t>构成。</w:t>
      </w:r>
    </w:p>
    <w:p w14:paraId="6B95B97A" w14:textId="77777777" w:rsidR="00495C65" w:rsidRPr="004F1AAA" w:rsidRDefault="00495C65" w:rsidP="00495C65">
      <w:pPr>
        <w:pStyle w:val="13"/>
      </w:pPr>
      <w:r w:rsidRPr="004F1AAA">
        <w:rPr>
          <w:rFonts w:hint="eastAsia"/>
        </w:rPr>
        <w:t>（</w:t>
      </w:r>
      <w:r w:rsidRPr="004F1AAA">
        <w:t>1）维修费，主要包括室内部分及附属设施设备、公用部位和共用设施设备及相关场地的维修运行费用。按照实际发生或参考同类项目测算。</w:t>
      </w:r>
    </w:p>
    <w:p w14:paraId="69F97607" w14:textId="77777777" w:rsidR="00495C65" w:rsidRPr="004F1AAA" w:rsidRDefault="00495C65" w:rsidP="00495C65">
      <w:pPr>
        <w:pStyle w:val="13"/>
      </w:pPr>
      <w:r w:rsidRPr="004F1AAA">
        <w:rPr>
          <w:rFonts w:hint="eastAsia"/>
        </w:rPr>
        <w:t>（</w:t>
      </w:r>
      <w:r w:rsidRPr="004F1AAA">
        <w:t>2）保险费，房屋产权人为使自己的房产避免意外损失而向保险公司支付的费用，以房屋建筑物重置成新价格为基数按照合理的费率测算。</w:t>
      </w:r>
    </w:p>
    <w:p w14:paraId="2231DC5C" w14:textId="77777777" w:rsidR="00495C65" w:rsidRPr="004F1AAA" w:rsidRDefault="00495C65" w:rsidP="00495C65">
      <w:pPr>
        <w:pStyle w:val="13"/>
      </w:pPr>
      <w:r w:rsidRPr="004F1AAA">
        <w:rPr>
          <w:rFonts w:hint="eastAsia"/>
        </w:rPr>
        <w:t>（</w:t>
      </w:r>
      <w:r w:rsidRPr="004F1AAA">
        <w:t>3）物业费，根据房屋的建筑类别，按照公共租赁住房项目一般的</w:t>
      </w:r>
      <w:proofErr w:type="gramStart"/>
      <w:r w:rsidRPr="004F1AAA">
        <w:t>物业费水平</w:t>
      </w:r>
      <w:proofErr w:type="gramEnd"/>
      <w:r w:rsidRPr="004F1AAA">
        <w:t>取值，已委托物业管理的按实际费用取值。</w:t>
      </w:r>
    </w:p>
    <w:p w14:paraId="6DDF8BE3" w14:textId="77777777" w:rsidR="00495C65" w:rsidRPr="004F1AAA" w:rsidRDefault="00495C65" w:rsidP="00495C65">
      <w:pPr>
        <w:pStyle w:val="13"/>
      </w:pPr>
      <w:r w:rsidRPr="004F1AAA">
        <w:rPr>
          <w:rFonts w:hint="eastAsia"/>
        </w:rPr>
        <w:t>3</w:t>
      </w:r>
      <w:r w:rsidRPr="004F1AAA">
        <w:t>.04公共租赁住房项目管理成本由管理费、利息和利润构成。</w:t>
      </w:r>
    </w:p>
    <w:p w14:paraId="340674D5" w14:textId="77777777" w:rsidR="00495C65" w:rsidRPr="004F1AAA" w:rsidRDefault="00495C65" w:rsidP="00495C65">
      <w:pPr>
        <w:pStyle w:val="13"/>
      </w:pPr>
      <w:r w:rsidRPr="004F1AAA">
        <w:rPr>
          <w:rFonts w:hint="eastAsia"/>
        </w:rPr>
        <w:t>（</w:t>
      </w:r>
      <w:r w:rsidRPr="004F1AAA">
        <w:t>1）管理费，指运营管理机构人员、办公等的正常开支费用，按照实际发生或参考同类项目测算。</w:t>
      </w:r>
    </w:p>
    <w:p w14:paraId="76BCE279" w14:textId="77777777" w:rsidR="00495C65" w:rsidRPr="004F1AAA" w:rsidRDefault="00495C65" w:rsidP="00495C65">
      <w:pPr>
        <w:pStyle w:val="13"/>
        <w:rPr>
          <w:rFonts w:cs="Times New Roman"/>
        </w:rPr>
      </w:pPr>
      <w:r w:rsidRPr="004F1AAA">
        <w:rPr>
          <w:rFonts w:cs="Times New Roman" w:hint="eastAsia"/>
        </w:rPr>
        <w:t>（</w:t>
      </w:r>
      <w:r w:rsidRPr="004F1AAA">
        <w:rPr>
          <w:rFonts w:cs="Times New Roman"/>
        </w:rPr>
        <w:t>2）利息指公共租赁住房项目建设成本中的贷款资金应付利息或收购成本中的贷款资金应付利息。利息以公租房项目实际情况计算。</w:t>
      </w:r>
    </w:p>
    <w:p w14:paraId="474926A8" w14:textId="77777777" w:rsidR="00495C65" w:rsidRPr="004F1AAA" w:rsidRDefault="00495C65" w:rsidP="00495C65">
      <w:pPr>
        <w:pStyle w:val="13"/>
        <w:rPr>
          <w:rFonts w:cs="Times New Roman"/>
        </w:rPr>
      </w:pPr>
      <w:r w:rsidRPr="004F1AAA">
        <w:rPr>
          <w:rFonts w:cs="Times New Roman" w:hint="eastAsia"/>
        </w:rPr>
        <w:t>（</w:t>
      </w:r>
      <w:r w:rsidRPr="004F1AAA">
        <w:rPr>
          <w:rFonts w:cs="Times New Roman"/>
        </w:rPr>
        <w:t>3）公共租赁住房项目属于保障性住房，不以获取利润为主要目的，按照保本微利原则记取利润率。</w:t>
      </w:r>
    </w:p>
    <w:p w14:paraId="5C5CC7AE" w14:textId="77777777" w:rsidR="00495C65" w:rsidRPr="004F1AAA" w:rsidRDefault="00495C65" w:rsidP="00495C65">
      <w:pPr>
        <w:pStyle w:val="13"/>
        <w:rPr>
          <w:rFonts w:cs="Times New Roman"/>
        </w:rPr>
      </w:pPr>
      <w:r w:rsidRPr="004F1AAA">
        <w:rPr>
          <w:rFonts w:cs="Times New Roman"/>
        </w:rPr>
        <w:t>3.05按照公共租赁住房项目的具体情况对成本进行静态或者动态分析。</w:t>
      </w:r>
    </w:p>
    <w:p w14:paraId="6E655771" w14:textId="77777777" w:rsidR="00495C65" w:rsidRPr="004F1AAA" w:rsidRDefault="00495C65" w:rsidP="00495C65">
      <w:pPr>
        <w:pStyle w:val="13"/>
        <w:rPr>
          <w:rFonts w:cs="Times New Roman"/>
        </w:rPr>
      </w:pPr>
      <w:r w:rsidRPr="004F1AAA">
        <w:rPr>
          <w:rFonts w:cs="Times New Roman"/>
        </w:rPr>
        <w:t>3.06成本静态分析，测算公共租赁住房项目每月发生的实际成本。</w:t>
      </w:r>
    </w:p>
    <w:p w14:paraId="40D88635" w14:textId="77777777" w:rsidR="00495C65" w:rsidRPr="004F1AAA" w:rsidRDefault="00495C65" w:rsidP="00495C65">
      <w:pPr>
        <w:pStyle w:val="13"/>
        <w:rPr>
          <w:rFonts w:cs="Times New Roman"/>
          <w:iCs/>
        </w:rPr>
      </w:pPr>
      <m:oMathPara>
        <m:oMath>
          <m:r>
            <m:rPr>
              <m:sty m:val="p"/>
            </m:rPr>
            <w:rPr>
              <w:rFonts w:ascii="Cambria Math" w:hAnsi="Cambria Math" w:cs="Times New Roman" w:hint="eastAsia"/>
            </w:rPr>
            <m:t>月成本租金</m:t>
          </m:r>
          <m:r>
            <m:rPr>
              <m:sty m:val="p"/>
            </m:rPr>
            <w:rPr>
              <w:rFonts w:ascii="Cambria Math" w:hAnsi="Cambria Math" w:cs="Times New Roman" w:hint="eastAsia"/>
            </w:rPr>
            <m:t>=</m:t>
          </m:r>
          <m:f>
            <m:fPr>
              <m:ctrlPr>
                <w:rPr>
                  <w:rFonts w:ascii="Cambria Math" w:hAnsi="Cambria Math" w:cs="Times New Roman"/>
                  <w:iCs/>
                </w:rPr>
              </m:ctrlPr>
            </m:fPr>
            <m:num>
              <m:r>
                <m:rPr>
                  <m:sty m:val="p"/>
                </m:rPr>
                <w:rPr>
                  <w:rFonts w:ascii="Cambria Math" w:hAnsi="Cambria Math" w:cs="Times New Roman" w:hint="eastAsia"/>
                </w:rPr>
                <m:t>年折旧及摊销成本</m:t>
              </m:r>
              <m:r>
                <m:rPr>
                  <m:sty m:val="p"/>
                </m:rPr>
                <w:rPr>
                  <w:rFonts w:ascii="Cambria Math" w:hAnsi="Cambria Math" w:cs="Times New Roman"/>
                </w:rPr>
                <m:t>+</m:t>
              </m:r>
              <m:r>
                <m:rPr>
                  <m:sty m:val="p"/>
                </m:rPr>
                <w:rPr>
                  <w:rFonts w:ascii="Cambria Math" w:hAnsi="Cambria Math" w:cs="Times New Roman"/>
                </w:rPr>
                <m:t>年运营成本</m:t>
              </m:r>
              <m:r>
                <m:rPr>
                  <m:sty m:val="p"/>
                </m:rPr>
                <w:rPr>
                  <w:rFonts w:ascii="Cambria Math" w:hAnsi="Cambria Math" w:cs="Times New Roman"/>
                </w:rPr>
                <m:t>+</m:t>
              </m:r>
              <m:r>
                <m:rPr>
                  <m:sty m:val="p"/>
                </m:rPr>
                <w:rPr>
                  <w:rFonts w:ascii="Cambria Math" w:hAnsi="Cambria Math" w:cs="Times New Roman"/>
                </w:rPr>
                <m:t>年管理成本</m:t>
              </m:r>
            </m:num>
            <m:den>
              <m:r>
                <m:rPr>
                  <m:sty m:val="p"/>
                </m:rPr>
                <w:rPr>
                  <w:rFonts w:ascii="Cambria Math" w:hAnsi="Cambria Math" w:cs="Times New Roman" w:hint="eastAsia"/>
                </w:rPr>
                <m:t>公租房项目建筑面积×</m:t>
              </m:r>
              <m:r>
                <m:rPr>
                  <m:sty m:val="p"/>
                </m:rPr>
                <w:rPr>
                  <w:rFonts w:ascii="Cambria Math" w:hAnsi="Cambria Math" w:cs="Times New Roman"/>
                </w:rPr>
                <m:t>12</m:t>
              </m:r>
              <m:r>
                <m:rPr>
                  <m:sty m:val="p"/>
                </m:rPr>
                <w:rPr>
                  <w:rFonts w:ascii="Cambria Math" w:hAnsi="Cambria Math" w:cs="Times New Roman"/>
                </w:rPr>
                <m:t>个月</m:t>
              </m:r>
            </m:den>
          </m:f>
        </m:oMath>
      </m:oMathPara>
    </w:p>
    <w:p w14:paraId="4DA17858" w14:textId="77777777" w:rsidR="00495C65" w:rsidRPr="004F1AAA" w:rsidRDefault="00495C65" w:rsidP="00495C65">
      <w:pPr>
        <w:pStyle w:val="13"/>
        <w:rPr>
          <w:rFonts w:cs="Times New Roman"/>
        </w:rPr>
      </w:pPr>
      <w:r w:rsidRPr="004F1AAA">
        <w:rPr>
          <w:rFonts w:cs="Times New Roman"/>
        </w:rPr>
        <w:t>3.07成本动态分析，将公共租赁住房项目取得成本在设定的回收年限内，根据实际运营成本，模拟投资回收，分析现金流量，测算公共租赁住房项目成本租金。</w:t>
      </w:r>
    </w:p>
    <w:p w14:paraId="4692A0AF" w14:textId="77777777" w:rsidR="00495C65" w:rsidRPr="004F1AAA" w:rsidRDefault="00495C65" w:rsidP="00495C65">
      <w:pPr>
        <w:pStyle w:val="13"/>
        <w:jc w:val="center"/>
        <w:rPr>
          <w:rFonts w:cs="Times New Roman"/>
        </w:rPr>
      </w:pPr>
      <w:r w:rsidRPr="004F1AAA">
        <w:rPr>
          <w:rFonts w:cs="Times New Roman"/>
          <w:noProof/>
        </w:rPr>
        <w:drawing>
          <wp:inline distT="0" distB="0" distL="0" distR="0" wp14:anchorId="3B9D8333" wp14:editId="24BF08C8">
            <wp:extent cx="3433313" cy="458908"/>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50140" cy="461157"/>
                    </a:xfrm>
                    <a:prstGeom prst="rect">
                      <a:avLst/>
                    </a:prstGeom>
                  </pic:spPr>
                </pic:pic>
              </a:graphicData>
            </a:graphic>
          </wp:inline>
        </w:drawing>
      </w:r>
    </w:p>
    <w:p w14:paraId="022B35D1" w14:textId="77777777" w:rsidR="00495C65" w:rsidRPr="004F1AAA" w:rsidRDefault="00495C65" w:rsidP="00495C65">
      <w:pPr>
        <w:pStyle w:val="13"/>
        <w:rPr>
          <w:rFonts w:cs="Times New Roman"/>
        </w:rPr>
      </w:pPr>
      <w:r w:rsidRPr="004F1AAA">
        <w:rPr>
          <w:rFonts w:cs="Times New Roman" w:hint="eastAsia"/>
        </w:rPr>
        <w:lastRenderedPageBreak/>
        <w:t>式中：</w:t>
      </w:r>
    </w:p>
    <w:p w14:paraId="4EBC370A" w14:textId="77777777" w:rsidR="00495C65" w:rsidRPr="004F1AAA" w:rsidRDefault="00495C65" w:rsidP="00495C65">
      <w:pPr>
        <w:pStyle w:val="13"/>
        <w:rPr>
          <w:rFonts w:cs="Times New Roman"/>
        </w:rPr>
      </w:pPr>
      <w:r w:rsidRPr="004F1AAA">
        <w:rPr>
          <w:rFonts w:cs="Times New Roman"/>
          <w:i/>
          <w:iCs/>
        </w:rPr>
        <w:t>R</w:t>
      </w:r>
      <w:r w:rsidRPr="004F1AAA">
        <w:rPr>
          <w:rFonts w:cs="Times New Roman"/>
        </w:rPr>
        <w:t>—公共租赁住房项目年成本租金</w:t>
      </w:r>
    </w:p>
    <w:p w14:paraId="2598699B" w14:textId="77777777" w:rsidR="00495C65" w:rsidRPr="004F1AAA" w:rsidRDefault="00495C65" w:rsidP="00495C65">
      <w:pPr>
        <w:pStyle w:val="13"/>
        <w:rPr>
          <w:rFonts w:cs="Times New Roman"/>
        </w:rPr>
      </w:pPr>
      <w:r w:rsidRPr="004F1AAA">
        <w:rPr>
          <w:rFonts w:cs="Times New Roman"/>
          <w:i/>
          <w:iCs/>
        </w:rPr>
        <w:t>P</w:t>
      </w:r>
      <w:r w:rsidRPr="004F1AAA">
        <w:rPr>
          <w:rFonts w:cs="Times New Roman"/>
        </w:rPr>
        <w:t>—公共租赁住房项目取得成本</w:t>
      </w:r>
    </w:p>
    <w:p w14:paraId="63182A29" w14:textId="77777777" w:rsidR="00495C65" w:rsidRPr="004F1AAA" w:rsidRDefault="00495C65" w:rsidP="00495C65">
      <w:pPr>
        <w:pStyle w:val="13"/>
        <w:rPr>
          <w:rFonts w:cs="Times New Roman"/>
        </w:rPr>
      </w:pPr>
      <w:r w:rsidRPr="004F1AAA">
        <w:rPr>
          <w:rFonts w:cs="Times New Roman"/>
          <w:i/>
          <w:iCs/>
        </w:rPr>
        <w:t>C</w:t>
      </w:r>
      <w:r w:rsidRPr="004F1AAA">
        <w:rPr>
          <w:rFonts w:cs="Times New Roman"/>
          <w:i/>
          <w:iCs/>
          <w:vertAlign w:val="subscript"/>
        </w:rPr>
        <w:t>0</w:t>
      </w:r>
      <w:r w:rsidRPr="004F1AAA">
        <w:rPr>
          <w:rFonts w:cs="Times New Roman"/>
        </w:rPr>
        <w:t>—年运营和管理成本</w:t>
      </w:r>
    </w:p>
    <w:p w14:paraId="31165258" w14:textId="77777777" w:rsidR="00495C65" w:rsidRPr="004F1AAA" w:rsidRDefault="00495C65" w:rsidP="00495C65">
      <w:pPr>
        <w:pStyle w:val="13"/>
        <w:rPr>
          <w:rFonts w:cs="Times New Roman"/>
        </w:rPr>
      </w:pPr>
      <w:proofErr w:type="spellStart"/>
      <w:r w:rsidRPr="004F1AAA">
        <w:rPr>
          <w:rFonts w:cs="Times New Roman"/>
          <w:i/>
          <w:iCs/>
        </w:rPr>
        <w:t>i</w:t>
      </w:r>
      <w:proofErr w:type="spellEnd"/>
      <w:r w:rsidRPr="004F1AAA">
        <w:rPr>
          <w:rFonts w:cs="Times New Roman"/>
        </w:rPr>
        <w:t>—投资报酬率3-5%</w:t>
      </w:r>
    </w:p>
    <w:p w14:paraId="4061BF94" w14:textId="77777777" w:rsidR="00495C65" w:rsidRPr="004F1AAA" w:rsidRDefault="00495C65" w:rsidP="00495C65">
      <w:pPr>
        <w:pStyle w:val="13"/>
        <w:rPr>
          <w:rFonts w:cs="Times New Roman"/>
        </w:rPr>
      </w:pPr>
      <w:r w:rsidRPr="004F1AAA">
        <w:rPr>
          <w:rFonts w:cs="Times New Roman"/>
          <w:i/>
          <w:iCs/>
        </w:rPr>
        <w:t>g1</w:t>
      </w:r>
      <w:r w:rsidRPr="004F1AAA">
        <w:rPr>
          <w:rFonts w:cs="Times New Roman"/>
        </w:rPr>
        <w:t>—租金年增长率</w:t>
      </w:r>
    </w:p>
    <w:p w14:paraId="00FF60CB" w14:textId="77777777" w:rsidR="00495C65" w:rsidRPr="004F1AAA" w:rsidRDefault="00495C65" w:rsidP="00495C65">
      <w:pPr>
        <w:pStyle w:val="13"/>
        <w:rPr>
          <w:rFonts w:cs="Times New Roman"/>
        </w:rPr>
      </w:pPr>
      <w:r w:rsidRPr="004F1AAA">
        <w:rPr>
          <w:rFonts w:cs="Times New Roman"/>
          <w:i/>
          <w:iCs/>
        </w:rPr>
        <w:t>g2</w:t>
      </w:r>
      <w:r w:rsidRPr="004F1AAA">
        <w:rPr>
          <w:rFonts w:cs="Times New Roman"/>
        </w:rPr>
        <w:t>—成本年增长率</w:t>
      </w:r>
    </w:p>
    <w:p w14:paraId="6030FEEC" w14:textId="77777777" w:rsidR="00495C65" w:rsidRPr="004F1AAA" w:rsidRDefault="00495C65" w:rsidP="00495C65">
      <w:pPr>
        <w:pStyle w:val="13"/>
        <w:rPr>
          <w:rFonts w:cs="Times New Roman"/>
        </w:rPr>
      </w:pPr>
      <w:r w:rsidRPr="004F1AAA">
        <w:rPr>
          <w:rFonts w:cs="Times New Roman"/>
        </w:rPr>
        <w:t>n—剩余经济耐用年限</w:t>
      </w:r>
    </w:p>
    <w:p w14:paraId="52B07FE6" w14:textId="77777777" w:rsidR="00495C65" w:rsidRPr="004F1AAA" w:rsidRDefault="00495C65" w:rsidP="00AF7342">
      <w:pPr>
        <w:pStyle w:val="a9"/>
        <w:spacing w:before="62" w:after="62"/>
      </w:pPr>
      <w:r w:rsidRPr="004F1AAA">
        <w:t>4 评估结果</w:t>
      </w:r>
    </w:p>
    <w:p w14:paraId="58276987" w14:textId="77777777" w:rsidR="00495C65" w:rsidRPr="004F1AAA" w:rsidRDefault="00495C65" w:rsidP="00495C65">
      <w:pPr>
        <w:pStyle w:val="13"/>
      </w:pPr>
      <w:r w:rsidRPr="004F1AAA">
        <w:rPr>
          <w:rFonts w:hint="eastAsia"/>
        </w:rPr>
        <w:t>4</w:t>
      </w:r>
      <w:r w:rsidRPr="004F1AAA">
        <w:t>.01公共租赁住房项目市场租金评估，应委托具有相应资质的房地产估价机构按照本指引进行。房地产估价机构应当按照估价委托书的要求，向估价委托人提供估价报告。</w:t>
      </w:r>
    </w:p>
    <w:p w14:paraId="7B084B1D" w14:textId="77777777" w:rsidR="00495C65" w:rsidRPr="004F1AAA" w:rsidRDefault="00495C65" w:rsidP="00495C65">
      <w:pPr>
        <w:pStyle w:val="13"/>
        <w:rPr>
          <w:rFonts w:cs="Times New Roman"/>
        </w:rPr>
      </w:pPr>
      <w:r w:rsidRPr="004F1AAA">
        <w:rPr>
          <w:rFonts w:cs="Times New Roman" w:hint="eastAsia"/>
        </w:rPr>
        <w:t>4</w:t>
      </w:r>
      <w:r w:rsidRPr="004F1AAA">
        <w:rPr>
          <w:rFonts w:cs="Times New Roman"/>
        </w:rPr>
        <w:t>.02公共租赁住房项目市场租金评估结果自出具报告之日起一年内有效，超过一年的需重新评估。</w:t>
      </w:r>
    </w:p>
    <w:p w14:paraId="08368708" w14:textId="77777777" w:rsidR="00495C65" w:rsidRPr="004F1AAA" w:rsidRDefault="00495C65" w:rsidP="00AF7342">
      <w:pPr>
        <w:pStyle w:val="a9"/>
        <w:spacing w:before="62" w:after="62"/>
      </w:pPr>
      <w:r w:rsidRPr="004F1AAA">
        <w:t>5  附 则</w:t>
      </w:r>
    </w:p>
    <w:p w14:paraId="2EE6FC2C" w14:textId="77777777" w:rsidR="00495C65" w:rsidRPr="004F1AAA" w:rsidRDefault="00495C65" w:rsidP="00495C65">
      <w:pPr>
        <w:pStyle w:val="13"/>
      </w:pPr>
      <w:r w:rsidRPr="004F1AAA">
        <w:rPr>
          <w:rFonts w:hint="eastAsia"/>
        </w:rPr>
        <w:t>5</w:t>
      </w:r>
      <w:r w:rsidRPr="004F1AAA">
        <w:t>.01本指引自2020年1月1日起施行，有效期三年。</w:t>
      </w:r>
    </w:p>
    <w:p w14:paraId="6E64FBA6" w14:textId="77777777" w:rsidR="00495C65" w:rsidRPr="004F1AAA" w:rsidRDefault="00495C65" w:rsidP="00495C65">
      <w:pPr>
        <w:pStyle w:val="13"/>
      </w:pPr>
      <w:r w:rsidRPr="004F1AAA">
        <w:t>5.02本指引施行中有关意见、建议请向北京房地产估价师和土地估价师与不动产登记代理人协会反馈。</w:t>
      </w:r>
    </w:p>
    <w:p w14:paraId="3316FD13" w14:textId="77777777" w:rsidR="00495C65" w:rsidRPr="004F1AAA" w:rsidRDefault="00495C65" w:rsidP="00495C65">
      <w:pPr>
        <w:pStyle w:val="13"/>
      </w:pPr>
      <w:r w:rsidRPr="004F1AAA">
        <w:t>5.03本指引由北京房地产估价师和土地估价师与不动产登记代理人协会负责解释。</w:t>
      </w:r>
    </w:p>
    <w:p w14:paraId="13F79FCA" w14:textId="77777777" w:rsidR="00495C65" w:rsidRPr="004F1AAA" w:rsidRDefault="00495C65" w:rsidP="00495C65">
      <w:pPr>
        <w:pStyle w:val="13"/>
      </w:pPr>
      <w:r w:rsidRPr="004F1AAA">
        <w:t>附：可比住宅小区因素说明表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
        <w:gridCol w:w="1686"/>
        <w:gridCol w:w="6545"/>
      </w:tblGrid>
      <w:tr w:rsidR="00495C65" w:rsidRPr="00495C65" w14:paraId="2362A143" w14:textId="77777777" w:rsidTr="00495C65">
        <w:trPr>
          <w:trHeight w:val="325"/>
          <w:tblHeader/>
          <w:jc w:val="center"/>
        </w:trPr>
        <w:tc>
          <w:tcPr>
            <w:tcW w:w="1247" w:type="pct"/>
            <w:gridSpan w:val="2"/>
            <w:vAlign w:val="center"/>
          </w:tcPr>
          <w:p w14:paraId="1DB9D2B7"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因素</w:t>
            </w:r>
          </w:p>
        </w:tc>
        <w:tc>
          <w:tcPr>
            <w:tcW w:w="3753" w:type="pct"/>
            <w:vAlign w:val="center"/>
          </w:tcPr>
          <w:p w14:paraId="7CD57125"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描述</w:t>
            </w:r>
          </w:p>
        </w:tc>
      </w:tr>
      <w:tr w:rsidR="00495C65" w:rsidRPr="00495C65" w14:paraId="1BD5CC69" w14:textId="77777777" w:rsidTr="00495C65">
        <w:trPr>
          <w:trHeight w:val="652"/>
          <w:jc w:val="center"/>
        </w:trPr>
        <w:tc>
          <w:tcPr>
            <w:tcW w:w="280" w:type="pct"/>
            <w:vMerge w:val="restart"/>
            <w:vAlign w:val="center"/>
          </w:tcPr>
          <w:p w14:paraId="19D154E5"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区</w:t>
            </w:r>
          </w:p>
          <w:p w14:paraId="0EB28898"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位</w:t>
            </w:r>
          </w:p>
          <w:p w14:paraId="722EF9EB"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状</w:t>
            </w:r>
          </w:p>
          <w:p w14:paraId="0F36B040" w14:textId="77777777" w:rsidR="00495C65" w:rsidRPr="00495C65" w:rsidRDefault="00495C65" w:rsidP="00495C65">
            <w:pPr>
              <w:pStyle w:val="13"/>
              <w:spacing w:line="240" w:lineRule="auto"/>
              <w:ind w:firstLineChars="0" w:firstLine="0"/>
              <w:jc w:val="center"/>
              <w:rPr>
                <w:sz w:val="21"/>
                <w:szCs w:val="21"/>
                <w:lang w:val="zh-CN" w:bidi="zh-CN"/>
              </w:rPr>
            </w:pPr>
            <w:proofErr w:type="gramStart"/>
            <w:r w:rsidRPr="00495C65">
              <w:rPr>
                <w:sz w:val="21"/>
                <w:szCs w:val="21"/>
                <w:lang w:val="zh-CN" w:bidi="zh-CN"/>
              </w:rPr>
              <w:t>况</w:t>
            </w:r>
            <w:proofErr w:type="gramEnd"/>
          </w:p>
        </w:tc>
        <w:tc>
          <w:tcPr>
            <w:tcW w:w="967" w:type="pct"/>
            <w:vAlign w:val="center"/>
          </w:tcPr>
          <w:p w14:paraId="40142EBD"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居住区成熟度</w:t>
            </w:r>
          </w:p>
        </w:tc>
        <w:tc>
          <w:tcPr>
            <w:tcW w:w="3753" w:type="pct"/>
            <w:vAlign w:val="center"/>
          </w:tcPr>
          <w:p w14:paraId="6151D7EF" w14:textId="77777777" w:rsidR="00495C65" w:rsidRPr="00495C65" w:rsidRDefault="00495C65" w:rsidP="00495C65">
            <w:pPr>
              <w:pStyle w:val="13"/>
              <w:spacing w:line="240" w:lineRule="auto"/>
              <w:ind w:firstLineChars="0" w:firstLine="0"/>
              <w:jc w:val="left"/>
              <w:rPr>
                <w:sz w:val="21"/>
                <w:szCs w:val="21"/>
                <w:lang w:val="zh-CN" w:bidi="zh-CN"/>
              </w:rPr>
            </w:pPr>
            <w:r w:rsidRPr="00495C65">
              <w:rPr>
                <w:sz w:val="21"/>
                <w:szCs w:val="21"/>
                <w:lang w:val="zh-CN" w:bidi="zh-CN"/>
              </w:rPr>
              <w:t>所在区域的食宿，游乐，购物、教育等各类设施是否齐全，能否完全满足居民的生活需求。</w:t>
            </w:r>
          </w:p>
        </w:tc>
      </w:tr>
      <w:tr w:rsidR="00495C65" w:rsidRPr="00495C65" w14:paraId="2B30AB92" w14:textId="77777777" w:rsidTr="00495C65">
        <w:trPr>
          <w:trHeight w:val="652"/>
          <w:jc w:val="center"/>
        </w:trPr>
        <w:tc>
          <w:tcPr>
            <w:tcW w:w="280" w:type="pct"/>
            <w:vMerge/>
            <w:vAlign w:val="center"/>
          </w:tcPr>
          <w:p w14:paraId="740F90CA"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14327B83"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交通条件</w:t>
            </w:r>
          </w:p>
        </w:tc>
        <w:tc>
          <w:tcPr>
            <w:tcW w:w="3753" w:type="pct"/>
            <w:vAlign w:val="center"/>
          </w:tcPr>
          <w:p w14:paraId="6FB91A3E" w14:textId="77777777" w:rsidR="00495C65" w:rsidRPr="00495C65" w:rsidRDefault="00495C65" w:rsidP="00495C65">
            <w:pPr>
              <w:pStyle w:val="13"/>
              <w:spacing w:line="240" w:lineRule="auto"/>
              <w:ind w:firstLineChars="0" w:firstLine="0"/>
              <w:jc w:val="left"/>
              <w:rPr>
                <w:sz w:val="21"/>
                <w:szCs w:val="21"/>
                <w:lang w:val="zh-CN" w:bidi="zh-CN"/>
              </w:rPr>
            </w:pPr>
            <w:r w:rsidRPr="00495C65">
              <w:rPr>
                <w:sz w:val="21"/>
                <w:szCs w:val="21"/>
                <w:lang w:val="zh-CN" w:bidi="zh-CN"/>
              </w:rPr>
              <w:t>小区的对外交通条件，如能否便捷进入城市主干道、搭乘城市公共交通体系如公交、地铁等快速到达城市的其他区域。</w:t>
            </w:r>
          </w:p>
        </w:tc>
      </w:tr>
      <w:tr w:rsidR="00495C65" w:rsidRPr="00495C65" w14:paraId="7C053174" w14:textId="77777777" w:rsidTr="00495C65">
        <w:trPr>
          <w:trHeight w:val="487"/>
          <w:jc w:val="center"/>
        </w:trPr>
        <w:tc>
          <w:tcPr>
            <w:tcW w:w="280" w:type="pct"/>
            <w:vMerge/>
            <w:vAlign w:val="center"/>
          </w:tcPr>
          <w:p w14:paraId="0532BB03"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063D13B2"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商业设施</w:t>
            </w:r>
          </w:p>
        </w:tc>
        <w:tc>
          <w:tcPr>
            <w:tcW w:w="3753" w:type="pct"/>
            <w:vAlign w:val="center"/>
          </w:tcPr>
          <w:p w14:paraId="70295094" w14:textId="77777777" w:rsidR="00495C65" w:rsidRPr="00495C65" w:rsidRDefault="00495C65" w:rsidP="00495C65">
            <w:pPr>
              <w:pStyle w:val="13"/>
              <w:spacing w:line="240" w:lineRule="auto"/>
              <w:ind w:firstLineChars="0" w:firstLine="0"/>
              <w:jc w:val="left"/>
              <w:rPr>
                <w:sz w:val="21"/>
                <w:szCs w:val="21"/>
                <w:lang w:val="zh-CN" w:bidi="zh-CN"/>
              </w:rPr>
            </w:pPr>
            <w:r w:rsidRPr="00495C65">
              <w:rPr>
                <w:sz w:val="21"/>
                <w:szCs w:val="21"/>
                <w:lang w:val="zh-CN" w:bidi="zh-CN"/>
              </w:rPr>
              <w:t>商业、商业街、购物中心等配套设施情况。</w:t>
            </w:r>
          </w:p>
        </w:tc>
      </w:tr>
      <w:tr w:rsidR="00495C65" w:rsidRPr="00495C65" w14:paraId="12E7794F" w14:textId="77777777" w:rsidTr="00495C65">
        <w:trPr>
          <w:trHeight w:val="489"/>
          <w:jc w:val="center"/>
        </w:trPr>
        <w:tc>
          <w:tcPr>
            <w:tcW w:w="280" w:type="pct"/>
            <w:vMerge/>
            <w:vAlign w:val="center"/>
          </w:tcPr>
          <w:p w14:paraId="6E471A5C"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38CB38ED"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自然环境</w:t>
            </w:r>
          </w:p>
        </w:tc>
        <w:tc>
          <w:tcPr>
            <w:tcW w:w="3753" w:type="pct"/>
            <w:vAlign w:val="center"/>
          </w:tcPr>
          <w:p w14:paraId="6753BF87" w14:textId="77777777" w:rsidR="00495C65" w:rsidRPr="00495C65" w:rsidRDefault="00495C65" w:rsidP="00495C65">
            <w:pPr>
              <w:pStyle w:val="13"/>
              <w:spacing w:line="240" w:lineRule="auto"/>
              <w:ind w:firstLineChars="0" w:firstLine="0"/>
              <w:jc w:val="left"/>
              <w:rPr>
                <w:sz w:val="21"/>
                <w:szCs w:val="21"/>
                <w:lang w:val="zh-CN" w:bidi="zh-CN"/>
              </w:rPr>
            </w:pPr>
            <w:r w:rsidRPr="00495C65">
              <w:rPr>
                <w:sz w:val="21"/>
                <w:szCs w:val="21"/>
                <w:lang w:val="zh-CN" w:bidi="zh-CN"/>
              </w:rPr>
              <w:t>小区所在区域的自然环境，如公园、河流、湖泊、风景区等。</w:t>
            </w:r>
          </w:p>
        </w:tc>
      </w:tr>
      <w:tr w:rsidR="00495C65" w:rsidRPr="00495C65" w14:paraId="4BB91837" w14:textId="77777777" w:rsidTr="00495C65">
        <w:trPr>
          <w:trHeight w:val="652"/>
          <w:jc w:val="center"/>
        </w:trPr>
        <w:tc>
          <w:tcPr>
            <w:tcW w:w="280" w:type="pct"/>
            <w:vMerge/>
            <w:vAlign w:val="center"/>
          </w:tcPr>
          <w:p w14:paraId="55258851"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1BEB633F"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公共配套</w:t>
            </w:r>
          </w:p>
        </w:tc>
        <w:tc>
          <w:tcPr>
            <w:tcW w:w="3753" w:type="pct"/>
            <w:vAlign w:val="center"/>
          </w:tcPr>
          <w:p w14:paraId="304B16DE" w14:textId="77777777" w:rsidR="00495C65" w:rsidRPr="00495C65" w:rsidRDefault="00495C65" w:rsidP="00495C65">
            <w:pPr>
              <w:pStyle w:val="13"/>
              <w:spacing w:line="240" w:lineRule="auto"/>
              <w:ind w:firstLineChars="0" w:firstLine="0"/>
              <w:jc w:val="left"/>
              <w:rPr>
                <w:sz w:val="21"/>
                <w:szCs w:val="21"/>
                <w:lang w:val="zh-CN" w:bidi="zh-CN"/>
              </w:rPr>
            </w:pPr>
            <w:r w:rsidRPr="00495C65">
              <w:rPr>
                <w:sz w:val="21"/>
                <w:szCs w:val="21"/>
                <w:lang w:val="zh-CN" w:bidi="zh-CN"/>
              </w:rPr>
              <w:t>小区周围是否有学校、医院、银行、体育场馆等配套设施，能否较好的满足人民教育、医疗、休闲的需求。</w:t>
            </w:r>
          </w:p>
        </w:tc>
      </w:tr>
      <w:tr w:rsidR="00495C65" w:rsidRPr="00495C65" w14:paraId="3CEF75EA" w14:textId="77777777" w:rsidTr="00495C65">
        <w:trPr>
          <w:trHeight w:val="652"/>
          <w:jc w:val="center"/>
        </w:trPr>
        <w:tc>
          <w:tcPr>
            <w:tcW w:w="280" w:type="pct"/>
            <w:vMerge w:val="restart"/>
            <w:vAlign w:val="center"/>
          </w:tcPr>
          <w:p w14:paraId="16E2E075"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实</w:t>
            </w:r>
          </w:p>
          <w:p w14:paraId="18C9A041"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物</w:t>
            </w:r>
          </w:p>
          <w:p w14:paraId="0A15967D"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状</w:t>
            </w:r>
          </w:p>
          <w:p w14:paraId="793AE7B6" w14:textId="77777777" w:rsidR="00495C65" w:rsidRPr="00495C65" w:rsidRDefault="00495C65" w:rsidP="00495C65">
            <w:pPr>
              <w:pStyle w:val="13"/>
              <w:spacing w:line="240" w:lineRule="auto"/>
              <w:ind w:firstLineChars="0" w:firstLine="0"/>
              <w:jc w:val="center"/>
              <w:rPr>
                <w:sz w:val="21"/>
                <w:szCs w:val="21"/>
                <w:lang w:val="zh-CN" w:bidi="zh-CN"/>
              </w:rPr>
            </w:pPr>
            <w:proofErr w:type="gramStart"/>
            <w:r w:rsidRPr="00495C65">
              <w:rPr>
                <w:sz w:val="21"/>
                <w:szCs w:val="21"/>
                <w:lang w:val="zh-CN" w:bidi="zh-CN"/>
              </w:rPr>
              <w:t>况</w:t>
            </w:r>
            <w:proofErr w:type="gramEnd"/>
          </w:p>
        </w:tc>
        <w:tc>
          <w:tcPr>
            <w:tcW w:w="967" w:type="pct"/>
            <w:vAlign w:val="center"/>
          </w:tcPr>
          <w:p w14:paraId="63D83B0F"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物业服务</w:t>
            </w:r>
          </w:p>
        </w:tc>
        <w:tc>
          <w:tcPr>
            <w:tcW w:w="3753" w:type="pct"/>
            <w:vAlign w:val="center"/>
          </w:tcPr>
          <w:p w14:paraId="795E97B8" w14:textId="77777777" w:rsidR="00495C65" w:rsidRPr="00495C65" w:rsidRDefault="00495C65" w:rsidP="00495C65">
            <w:pPr>
              <w:pStyle w:val="13"/>
              <w:spacing w:line="240" w:lineRule="auto"/>
              <w:ind w:firstLineChars="0" w:firstLine="0"/>
              <w:jc w:val="left"/>
              <w:rPr>
                <w:sz w:val="21"/>
                <w:szCs w:val="21"/>
                <w:lang w:val="zh-CN" w:bidi="zh-CN"/>
              </w:rPr>
            </w:pPr>
            <w:r w:rsidRPr="00495C65">
              <w:rPr>
                <w:sz w:val="21"/>
                <w:szCs w:val="21"/>
                <w:lang w:val="zh-CN" w:bidi="zh-CN"/>
              </w:rPr>
              <w:t>物业服务是被政府相关部门认可的物业服务商，物业服务接受公共租赁住房管理机构的监督，物业服务有保障。</w:t>
            </w:r>
          </w:p>
        </w:tc>
      </w:tr>
      <w:tr w:rsidR="00495C65" w:rsidRPr="00495C65" w14:paraId="548C503D" w14:textId="77777777" w:rsidTr="00495C65">
        <w:trPr>
          <w:trHeight w:val="487"/>
          <w:jc w:val="center"/>
        </w:trPr>
        <w:tc>
          <w:tcPr>
            <w:tcW w:w="280" w:type="pct"/>
            <w:vMerge/>
            <w:tcBorders>
              <w:top w:val="nil"/>
            </w:tcBorders>
            <w:vAlign w:val="center"/>
          </w:tcPr>
          <w:p w14:paraId="498B6674"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03E63ED2"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小区环境</w:t>
            </w:r>
          </w:p>
        </w:tc>
        <w:tc>
          <w:tcPr>
            <w:tcW w:w="3753" w:type="pct"/>
            <w:vAlign w:val="center"/>
          </w:tcPr>
          <w:p w14:paraId="3304A720" w14:textId="77777777" w:rsidR="00495C65" w:rsidRPr="00495C65" w:rsidRDefault="00495C65" w:rsidP="00495C65">
            <w:pPr>
              <w:pStyle w:val="13"/>
              <w:spacing w:line="240" w:lineRule="auto"/>
              <w:ind w:firstLineChars="0" w:firstLine="0"/>
              <w:jc w:val="left"/>
              <w:rPr>
                <w:sz w:val="21"/>
                <w:szCs w:val="21"/>
                <w:lang w:val="zh-CN" w:bidi="zh-CN"/>
              </w:rPr>
            </w:pPr>
            <w:r w:rsidRPr="00495C65">
              <w:rPr>
                <w:sz w:val="21"/>
                <w:szCs w:val="21"/>
                <w:lang w:val="zh-CN" w:bidi="zh-CN"/>
              </w:rPr>
              <w:t>绿化、居住环境通常可以给小区带来较高的价值。</w:t>
            </w:r>
          </w:p>
        </w:tc>
      </w:tr>
      <w:tr w:rsidR="00495C65" w:rsidRPr="00495C65" w14:paraId="79BF5ABD" w14:textId="77777777" w:rsidTr="00495C65">
        <w:trPr>
          <w:trHeight w:val="489"/>
          <w:jc w:val="center"/>
        </w:trPr>
        <w:tc>
          <w:tcPr>
            <w:tcW w:w="280" w:type="pct"/>
            <w:vMerge/>
            <w:tcBorders>
              <w:top w:val="nil"/>
            </w:tcBorders>
            <w:vAlign w:val="center"/>
          </w:tcPr>
          <w:p w14:paraId="25EF174B"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605D57A2"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配套设施</w:t>
            </w:r>
          </w:p>
        </w:tc>
        <w:tc>
          <w:tcPr>
            <w:tcW w:w="3753" w:type="pct"/>
            <w:vAlign w:val="center"/>
          </w:tcPr>
          <w:p w14:paraId="77F7D550" w14:textId="77777777" w:rsidR="00495C65" w:rsidRPr="00495C65" w:rsidRDefault="00495C65" w:rsidP="00495C65">
            <w:pPr>
              <w:pStyle w:val="13"/>
              <w:spacing w:line="240" w:lineRule="auto"/>
              <w:ind w:firstLineChars="0" w:firstLine="0"/>
              <w:jc w:val="left"/>
              <w:rPr>
                <w:sz w:val="21"/>
                <w:szCs w:val="21"/>
                <w:lang w:val="zh-CN" w:bidi="zh-CN"/>
              </w:rPr>
            </w:pPr>
            <w:r w:rsidRPr="00495C65">
              <w:rPr>
                <w:sz w:val="21"/>
                <w:szCs w:val="21"/>
                <w:lang w:val="zh-CN" w:bidi="zh-CN"/>
              </w:rPr>
              <w:t>住宅小区的配套设施，如医疗站、活动站等。</w:t>
            </w:r>
          </w:p>
        </w:tc>
      </w:tr>
      <w:tr w:rsidR="00495C65" w:rsidRPr="00495C65" w14:paraId="05BC7FC4" w14:textId="77777777" w:rsidTr="00495C65">
        <w:trPr>
          <w:trHeight w:val="978"/>
          <w:jc w:val="center"/>
        </w:trPr>
        <w:tc>
          <w:tcPr>
            <w:tcW w:w="280" w:type="pct"/>
            <w:vMerge/>
            <w:tcBorders>
              <w:top w:val="nil"/>
            </w:tcBorders>
            <w:vAlign w:val="center"/>
          </w:tcPr>
          <w:p w14:paraId="3D090E74"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1F7C537B"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居住管理</w:t>
            </w:r>
          </w:p>
        </w:tc>
        <w:tc>
          <w:tcPr>
            <w:tcW w:w="3753" w:type="pct"/>
            <w:vAlign w:val="center"/>
          </w:tcPr>
          <w:p w14:paraId="7F9B5944" w14:textId="77777777" w:rsidR="00495C65" w:rsidRPr="00495C65" w:rsidRDefault="00495C65" w:rsidP="00495C65">
            <w:pPr>
              <w:pStyle w:val="13"/>
              <w:spacing w:line="240" w:lineRule="auto"/>
              <w:ind w:firstLineChars="0" w:firstLine="0"/>
              <w:jc w:val="left"/>
              <w:rPr>
                <w:sz w:val="21"/>
                <w:szCs w:val="21"/>
                <w:lang w:val="zh-CN" w:bidi="zh-CN"/>
              </w:rPr>
            </w:pPr>
            <w:r w:rsidRPr="00495C65">
              <w:rPr>
                <w:sz w:val="21"/>
                <w:szCs w:val="21"/>
                <w:lang w:val="zh-CN" w:bidi="zh-CN"/>
              </w:rPr>
              <w:t>公共租赁住房项目均配置一定数量的经政府相关部门审核聘任的管理人员，具有较强的责任心和可靠性，可以“管理人员数量/住户数量”指标进行比较。</w:t>
            </w:r>
          </w:p>
        </w:tc>
      </w:tr>
      <w:tr w:rsidR="00495C65" w:rsidRPr="00495C65" w14:paraId="2BD336B9" w14:textId="77777777" w:rsidTr="00495C65">
        <w:trPr>
          <w:trHeight w:val="2282"/>
          <w:jc w:val="center"/>
        </w:trPr>
        <w:tc>
          <w:tcPr>
            <w:tcW w:w="280" w:type="pct"/>
            <w:vMerge/>
            <w:tcBorders>
              <w:top w:val="nil"/>
            </w:tcBorders>
            <w:vAlign w:val="center"/>
          </w:tcPr>
          <w:p w14:paraId="2B7E31A2"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2342ECDE"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户型</w:t>
            </w:r>
          </w:p>
        </w:tc>
        <w:tc>
          <w:tcPr>
            <w:tcW w:w="3753" w:type="pct"/>
            <w:vAlign w:val="center"/>
          </w:tcPr>
          <w:p w14:paraId="5985D265"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1</w:t>
            </w:r>
            <w:r w:rsidRPr="00495C65">
              <w:rPr>
                <w:sz w:val="21"/>
                <w:szCs w:val="21"/>
                <w:lang w:val="zh-CN" w:bidi="zh-CN"/>
              </w:rPr>
              <w:t>.套内卧室、起居室、餐厅、厨房、卫生间、储藏室、阳台等功能空间布局组织合理性，休息、学习与活动空间的相互干扰程度；</w:t>
            </w:r>
          </w:p>
          <w:p w14:paraId="7DE54D0C"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2</w:t>
            </w:r>
            <w:r w:rsidRPr="00495C65">
              <w:rPr>
                <w:sz w:val="21"/>
                <w:szCs w:val="21"/>
                <w:lang w:val="zh-CN" w:bidi="zh-CN"/>
              </w:rPr>
              <w:t>.居住空间的自然通风、采光和视线干扰情况；</w:t>
            </w:r>
          </w:p>
          <w:p w14:paraId="60C9B5D3"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3</w:t>
            </w:r>
            <w:r w:rsidRPr="00495C65">
              <w:rPr>
                <w:sz w:val="21"/>
                <w:szCs w:val="21"/>
                <w:lang w:val="zh-CN" w:bidi="zh-CN"/>
              </w:rPr>
              <w:t>.厨房位置及其自然通风和采光情况；</w:t>
            </w:r>
          </w:p>
          <w:p w14:paraId="35515238"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4</w:t>
            </w:r>
            <w:r w:rsidRPr="00495C65">
              <w:rPr>
                <w:sz w:val="21"/>
                <w:szCs w:val="21"/>
                <w:lang w:val="zh-CN" w:bidi="zh-CN"/>
              </w:rPr>
              <w:t>.卫生间位置及其自然通风情况；</w:t>
            </w:r>
          </w:p>
          <w:p w14:paraId="0BCBFDC5"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5</w:t>
            </w:r>
            <w:r w:rsidRPr="00495C65">
              <w:rPr>
                <w:sz w:val="21"/>
                <w:szCs w:val="21"/>
                <w:lang w:val="zh-CN" w:bidi="zh-CN"/>
              </w:rPr>
              <w:t>.门窗、墙体的隔声效果。</w:t>
            </w:r>
          </w:p>
        </w:tc>
      </w:tr>
      <w:tr w:rsidR="00495C65" w:rsidRPr="00495C65" w14:paraId="253075F4" w14:textId="77777777" w:rsidTr="00495C65">
        <w:trPr>
          <w:trHeight w:val="977"/>
          <w:jc w:val="center"/>
        </w:trPr>
        <w:tc>
          <w:tcPr>
            <w:tcW w:w="280" w:type="pct"/>
            <w:vMerge/>
            <w:tcBorders>
              <w:top w:val="nil"/>
            </w:tcBorders>
            <w:vAlign w:val="center"/>
          </w:tcPr>
          <w:p w14:paraId="60E72DF9"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1FDB9056"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装修</w:t>
            </w:r>
          </w:p>
        </w:tc>
        <w:tc>
          <w:tcPr>
            <w:tcW w:w="3753" w:type="pct"/>
            <w:vAlign w:val="center"/>
          </w:tcPr>
          <w:p w14:paraId="453CF5C7"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1</w:t>
            </w:r>
            <w:r w:rsidRPr="00495C65">
              <w:rPr>
                <w:sz w:val="21"/>
                <w:szCs w:val="21"/>
                <w:lang w:val="zh-CN" w:bidi="zh-CN"/>
              </w:rPr>
              <w:t>.采用工业化集成装修，装修效果；</w:t>
            </w:r>
          </w:p>
          <w:p w14:paraId="4EADB885"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2</w:t>
            </w:r>
            <w:r w:rsidRPr="00495C65">
              <w:rPr>
                <w:sz w:val="21"/>
                <w:szCs w:val="21"/>
                <w:lang w:val="zh-CN" w:bidi="zh-CN"/>
              </w:rPr>
              <w:t>.装修用材环保、污染情况，与居住功能适宜情况；</w:t>
            </w:r>
          </w:p>
          <w:p w14:paraId="798CAF5D"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3</w:t>
            </w:r>
            <w:r w:rsidRPr="00495C65">
              <w:rPr>
                <w:sz w:val="21"/>
                <w:szCs w:val="21"/>
                <w:lang w:val="zh-CN" w:bidi="zh-CN"/>
              </w:rPr>
              <w:t>.公共部位装修效果。</w:t>
            </w:r>
          </w:p>
        </w:tc>
      </w:tr>
      <w:tr w:rsidR="00495C65" w:rsidRPr="00495C65" w14:paraId="018C6308" w14:textId="77777777" w:rsidTr="00495C65">
        <w:trPr>
          <w:trHeight w:val="978"/>
          <w:jc w:val="center"/>
        </w:trPr>
        <w:tc>
          <w:tcPr>
            <w:tcW w:w="280" w:type="pct"/>
            <w:vMerge/>
            <w:tcBorders>
              <w:top w:val="nil"/>
            </w:tcBorders>
            <w:vAlign w:val="center"/>
          </w:tcPr>
          <w:p w14:paraId="4F29CC29" w14:textId="77777777" w:rsidR="00495C65" w:rsidRPr="00495C65" w:rsidRDefault="00495C65" w:rsidP="00495C65">
            <w:pPr>
              <w:pStyle w:val="13"/>
              <w:spacing w:line="240" w:lineRule="auto"/>
              <w:ind w:firstLineChars="0" w:firstLine="0"/>
              <w:jc w:val="center"/>
              <w:rPr>
                <w:sz w:val="21"/>
                <w:szCs w:val="21"/>
                <w:lang w:val="zh-CN" w:bidi="zh-CN"/>
              </w:rPr>
            </w:pPr>
          </w:p>
        </w:tc>
        <w:tc>
          <w:tcPr>
            <w:tcW w:w="967" w:type="pct"/>
            <w:vAlign w:val="center"/>
          </w:tcPr>
          <w:p w14:paraId="118A156B" w14:textId="77777777" w:rsidR="00495C65" w:rsidRPr="00495C65" w:rsidRDefault="00495C65" w:rsidP="00495C65">
            <w:pPr>
              <w:pStyle w:val="13"/>
              <w:spacing w:line="240" w:lineRule="auto"/>
              <w:ind w:firstLineChars="0" w:firstLine="0"/>
              <w:jc w:val="center"/>
              <w:rPr>
                <w:sz w:val="21"/>
                <w:szCs w:val="21"/>
                <w:lang w:val="zh-CN" w:bidi="zh-CN"/>
              </w:rPr>
            </w:pPr>
            <w:r w:rsidRPr="00495C65">
              <w:rPr>
                <w:sz w:val="21"/>
                <w:szCs w:val="21"/>
                <w:lang w:val="zh-CN" w:bidi="zh-CN"/>
              </w:rPr>
              <w:t>设备</w:t>
            </w:r>
          </w:p>
        </w:tc>
        <w:tc>
          <w:tcPr>
            <w:tcW w:w="3753" w:type="pct"/>
            <w:vAlign w:val="center"/>
          </w:tcPr>
          <w:p w14:paraId="79645926"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1</w:t>
            </w:r>
            <w:r w:rsidRPr="00495C65">
              <w:rPr>
                <w:sz w:val="21"/>
                <w:szCs w:val="21"/>
                <w:lang w:val="zh-CN" w:bidi="zh-CN"/>
              </w:rPr>
              <w:t>.洗衣机、冰箱、空调器、灶具等设备的配置情况；</w:t>
            </w:r>
          </w:p>
          <w:p w14:paraId="19BCF840" w14:textId="77777777" w:rsidR="00495C65" w:rsidRPr="00495C65" w:rsidRDefault="00495C65" w:rsidP="00495C65">
            <w:pPr>
              <w:pStyle w:val="13"/>
              <w:spacing w:line="240" w:lineRule="auto"/>
              <w:ind w:firstLineChars="0" w:firstLine="0"/>
              <w:jc w:val="left"/>
              <w:rPr>
                <w:sz w:val="21"/>
                <w:szCs w:val="21"/>
                <w:lang w:val="zh-CN" w:bidi="zh-CN"/>
              </w:rPr>
            </w:pPr>
            <w:r w:rsidRPr="00495C65">
              <w:rPr>
                <w:rFonts w:hint="eastAsia"/>
                <w:sz w:val="21"/>
                <w:szCs w:val="21"/>
                <w:lang w:val="zh-CN" w:bidi="zh-CN"/>
              </w:rPr>
              <w:t>2</w:t>
            </w:r>
            <w:r w:rsidRPr="00495C65">
              <w:rPr>
                <w:sz w:val="21"/>
                <w:szCs w:val="21"/>
                <w:lang w:val="zh-CN" w:bidi="zh-CN"/>
              </w:rPr>
              <w:t>.家具的配置情况；以上设备设施的质量、新旧程度、使用功能及可靠性。</w:t>
            </w:r>
          </w:p>
        </w:tc>
      </w:tr>
    </w:tbl>
    <w:p w14:paraId="01BFCABB" w14:textId="77777777" w:rsidR="00495C65" w:rsidRDefault="00495C65" w:rsidP="00495C65">
      <w:pPr>
        <w:pStyle w:val="31"/>
        <w:spacing w:before="156" w:after="62"/>
      </w:pPr>
      <w:bookmarkStart w:id="166" w:name="_Toc81833406"/>
      <w:r>
        <w:rPr>
          <w:rFonts w:hint="eastAsia"/>
        </w:rPr>
        <w:t>关于发布《北京市房地产估价报告评审标准》的通知（</w:t>
      </w:r>
      <w:r>
        <w:t>2019年5月31日）</w:t>
      </w:r>
      <w:bookmarkEnd w:id="166"/>
    </w:p>
    <w:p w14:paraId="35D10A7A" w14:textId="77777777" w:rsidR="00495C65" w:rsidRPr="005D72F4" w:rsidRDefault="00495C65" w:rsidP="00495C65">
      <w:pPr>
        <w:pStyle w:val="13"/>
        <w:ind w:firstLineChars="0" w:firstLine="0"/>
      </w:pPr>
      <w:r w:rsidRPr="005D72F4">
        <w:rPr>
          <w:rFonts w:hint="eastAsia"/>
        </w:rPr>
        <w:t>各房地产估价机构：</w:t>
      </w:r>
    </w:p>
    <w:p w14:paraId="2F8BC58B" w14:textId="77777777" w:rsidR="00495C65" w:rsidRDefault="00495C65" w:rsidP="00495C65">
      <w:pPr>
        <w:pStyle w:val="13"/>
      </w:pPr>
      <w:r w:rsidRPr="005D72F4">
        <w:rPr>
          <w:rFonts w:hint="eastAsia"/>
        </w:rPr>
        <w:t>为提高房地产估价报告质量，促进北京市房地产估价行业整体业务水平的提升</w:t>
      </w:r>
      <w:r w:rsidRPr="005D72F4">
        <w:t>,保证估价报告评审客观公平，根据《资产评估法》、《房地产估价规范》（GB/T50291-2015）、《房地产估价基本术语标准》（GB/T50899-2013）等法律法规及标准，结合北京市房地产估价管理工作情况，对2008年发布的《估价报告质量评定管理办法》进行了修订。</w:t>
      </w:r>
    </w:p>
    <w:p w14:paraId="20264136" w14:textId="77777777" w:rsidR="00495C65" w:rsidRDefault="00495C65" w:rsidP="00495C65">
      <w:pPr>
        <w:pStyle w:val="13"/>
      </w:pPr>
      <w:r w:rsidRPr="005D72F4">
        <w:t>现将《北京市房地产估价报告评审标准》发布，凡经北京市住房和城乡建设委员会</w:t>
      </w:r>
      <w:r w:rsidRPr="005D72F4">
        <w:rPr>
          <w:rFonts w:hint="eastAsia"/>
        </w:rPr>
        <w:t>备案的房地产估价机构出具的估价报告的评审，皆适用本标准。</w:t>
      </w:r>
    </w:p>
    <w:p w14:paraId="76A074AE" w14:textId="77777777" w:rsidR="00495C65" w:rsidRPr="005D72F4" w:rsidRDefault="00495C65" w:rsidP="00495C65">
      <w:pPr>
        <w:pStyle w:val="13"/>
      </w:pPr>
      <w:r w:rsidRPr="005D72F4">
        <w:rPr>
          <w:rFonts w:hint="eastAsia"/>
        </w:rPr>
        <w:t>附件：《北京市房地产估价报告评审标准》</w:t>
      </w:r>
    </w:p>
    <w:p w14:paraId="04A91CAB" w14:textId="77777777" w:rsidR="00495C65" w:rsidRPr="005D72F4" w:rsidRDefault="00495C65" w:rsidP="00495C65">
      <w:pPr>
        <w:pStyle w:val="13"/>
        <w:jc w:val="right"/>
      </w:pPr>
      <w:r w:rsidRPr="005D72F4">
        <w:rPr>
          <w:rFonts w:hint="eastAsia"/>
        </w:rPr>
        <w:t>北京房地产估价师和土地估价师与不动产登记代理人协会</w:t>
      </w:r>
    </w:p>
    <w:p w14:paraId="66BD7D7F" w14:textId="77777777" w:rsidR="00495C65" w:rsidRDefault="00495C65" w:rsidP="00495C65">
      <w:pPr>
        <w:pStyle w:val="13"/>
        <w:jc w:val="right"/>
      </w:pPr>
      <w:r w:rsidRPr="005D72F4">
        <w:rPr>
          <w:rFonts w:hint="eastAsia"/>
        </w:rPr>
        <w:t>二〇一九年五月三十一日</w:t>
      </w:r>
    </w:p>
    <w:p w14:paraId="332929E6" w14:textId="77777777" w:rsidR="00495C65" w:rsidRDefault="00495C65" w:rsidP="00495C65">
      <w:pPr>
        <w:pStyle w:val="21"/>
        <w:spacing w:before="156" w:after="93"/>
      </w:pPr>
      <w:bookmarkStart w:id="167" w:name="_Toc81833407"/>
      <w:r>
        <w:rPr>
          <w:rFonts w:hint="eastAsia"/>
        </w:rPr>
        <w:t>浙江规范</w:t>
      </w:r>
      <w:bookmarkEnd w:id="167"/>
    </w:p>
    <w:p w14:paraId="4D391E31" w14:textId="77777777" w:rsidR="00495C65" w:rsidRDefault="00495C65" w:rsidP="00495C65">
      <w:pPr>
        <w:pStyle w:val="31"/>
        <w:spacing w:before="156" w:after="62"/>
      </w:pPr>
      <w:bookmarkStart w:id="168" w:name="_Toc81833408"/>
      <w:r>
        <w:rPr>
          <w:rFonts w:hint="eastAsia"/>
        </w:rPr>
        <w:t>浙江省房地产估价技术指引第</w:t>
      </w:r>
      <w:r>
        <w:t>1号（</w:t>
      </w:r>
      <w:proofErr w:type="gramStart"/>
      <w:r>
        <w:t>浙估协</w:t>
      </w:r>
      <w:proofErr w:type="gramEnd"/>
      <w:r>
        <w:t>〔2016〕46号）</w:t>
      </w:r>
      <w:bookmarkEnd w:id="168"/>
    </w:p>
    <w:p w14:paraId="23481C23" w14:textId="77777777" w:rsidR="00495C65" w:rsidRDefault="00495C65" w:rsidP="00495C65">
      <w:pPr>
        <w:pStyle w:val="13"/>
        <w:ind w:firstLineChars="0" w:firstLine="0"/>
      </w:pPr>
      <w:r>
        <w:rPr>
          <w:rFonts w:hint="eastAsia"/>
        </w:rPr>
        <w:t>各房地产估价机构、房地产估价师：</w:t>
      </w:r>
    </w:p>
    <w:p w14:paraId="206C387E" w14:textId="77777777" w:rsidR="00495C65" w:rsidRDefault="00495C65" w:rsidP="00495C65">
      <w:pPr>
        <w:pStyle w:val="13"/>
      </w:pPr>
      <w:r>
        <w:rPr>
          <w:rFonts w:hint="eastAsia"/>
        </w:rPr>
        <w:t>为了更好地贯彻执行《中华人民共和国资产评估法》和国家标准《房地产估价规范》（</w:t>
      </w:r>
      <w:r>
        <w:t>GB/T50291-2015），协会估价技术委员会调研起草了《浙江省房地产估价技术指引》第1号，经估价技术委员会全体会议审核、并在房地产估价报告抽检中试用，技</w:t>
      </w:r>
      <w:r>
        <w:lastRenderedPageBreak/>
        <w:t>术指引对进一步规范房地产估价活动具有补充完善的积极作用。现决定予以发布，在全省房地产估价活动中推广使用。《浙江省房地产估价技术指引》也是我省房地产估价报告评审</w:t>
      </w:r>
      <w:r>
        <w:rPr>
          <w:rFonts w:hint="eastAsia"/>
        </w:rPr>
        <w:t>标准的补充依据之一。</w:t>
      </w:r>
    </w:p>
    <w:p w14:paraId="72C00214" w14:textId="77777777" w:rsidR="00495C65" w:rsidRDefault="00495C65" w:rsidP="00495C65">
      <w:pPr>
        <w:pStyle w:val="13"/>
      </w:pPr>
      <w:r>
        <w:rPr>
          <w:rFonts w:hint="eastAsia"/>
        </w:rPr>
        <w:t>附件：浙江省房地产估价技术指引第</w:t>
      </w:r>
      <w:r>
        <w:t>1号</w:t>
      </w:r>
    </w:p>
    <w:p w14:paraId="4B1C9DF8" w14:textId="77777777" w:rsidR="00495C65" w:rsidRDefault="00495C65" w:rsidP="00495C65">
      <w:pPr>
        <w:pStyle w:val="13"/>
        <w:jc w:val="right"/>
      </w:pPr>
      <w:r>
        <w:rPr>
          <w:rFonts w:hint="eastAsia"/>
        </w:rPr>
        <w:t>浙江省房地产估价师与经纪人协会</w:t>
      </w:r>
    </w:p>
    <w:p w14:paraId="23E511BB" w14:textId="77777777" w:rsidR="00495C65" w:rsidRDefault="00495C65" w:rsidP="00495C65">
      <w:pPr>
        <w:pStyle w:val="13"/>
        <w:jc w:val="right"/>
      </w:pPr>
      <w:r>
        <w:t>2016年9月13日</w:t>
      </w:r>
    </w:p>
    <w:p w14:paraId="25E5F639" w14:textId="77777777" w:rsidR="00495C65" w:rsidRPr="00A5311F" w:rsidRDefault="00495C65" w:rsidP="00AF7342">
      <w:pPr>
        <w:pStyle w:val="a9"/>
        <w:spacing w:before="62" w:after="62"/>
      </w:pPr>
      <w:r w:rsidRPr="00A5311F">
        <w:rPr>
          <w:rFonts w:hint="eastAsia"/>
        </w:rPr>
        <w:t>浙江省房地产估价技术指引第</w:t>
      </w:r>
      <w:r w:rsidRPr="00A5311F">
        <w:t>1号</w:t>
      </w:r>
    </w:p>
    <w:p w14:paraId="0223A088" w14:textId="77777777" w:rsidR="00495C65" w:rsidRDefault="00495C65" w:rsidP="00495C65">
      <w:pPr>
        <w:pStyle w:val="13"/>
      </w:pPr>
      <w:r>
        <w:rPr>
          <w:rFonts w:hint="eastAsia"/>
        </w:rPr>
        <w:t>一、估价报告分为估价结果报告和估价技术报告。向估价委托人提供的可以仅为估价结果报告，但要在估价委托合同中</w:t>
      </w:r>
      <w:proofErr w:type="gramStart"/>
      <w:r>
        <w:rPr>
          <w:rFonts w:hint="eastAsia"/>
        </w:rPr>
        <w:t>作出</w:t>
      </w:r>
      <w:proofErr w:type="gramEnd"/>
      <w:r>
        <w:rPr>
          <w:rFonts w:hint="eastAsia"/>
        </w:rPr>
        <w:t>不提供估价技术报告的约定。房地产估价行业主管部门和房地产估价行业组织检查时或出现估价纠纷时必须提供估价结果报告和估价技术报告。</w:t>
      </w:r>
    </w:p>
    <w:p w14:paraId="2BD2413F" w14:textId="77777777" w:rsidR="00495C65" w:rsidRDefault="00495C65" w:rsidP="00495C65">
      <w:pPr>
        <w:pStyle w:val="13"/>
      </w:pPr>
      <w:r>
        <w:rPr>
          <w:rFonts w:hint="eastAsia"/>
        </w:rPr>
        <w:t>二、估价报告中的《致估价委托人函》是估价报告的一个组成部分，必须与估价规范中规定的估价报告所有组成部分一起出具，不应单独向估价委托人提供。</w:t>
      </w:r>
    </w:p>
    <w:p w14:paraId="3C1DDE70" w14:textId="77777777" w:rsidR="00495C65" w:rsidRDefault="00495C65" w:rsidP="00495C65">
      <w:pPr>
        <w:pStyle w:val="13"/>
      </w:pPr>
      <w:r>
        <w:rPr>
          <w:rFonts w:hint="eastAsia"/>
        </w:rPr>
        <w:t>三、《房地产预评估函》、《房地产评估咨询函》等属于价格咨询服务，不能作为起着价值证明作用的</w:t>
      </w:r>
      <w:proofErr w:type="gramStart"/>
      <w:r>
        <w:rPr>
          <w:rFonts w:hint="eastAsia"/>
        </w:rPr>
        <w:t>鉴证</w:t>
      </w:r>
      <w:proofErr w:type="gramEnd"/>
      <w:r>
        <w:rPr>
          <w:rFonts w:hint="eastAsia"/>
        </w:rPr>
        <w:t>性估价报告使用，不承担相应的法律责任。</w:t>
      </w:r>
    </w:p>
    <w:p w14:paraId="60EB4348" w14:textId="77777777" w:rsidR="00495C65" w:rsidRDefault="00495C65" w:rsidP="00495C65">
      <w:pPr>
        <w:pStyle w:val="13"/>
      </w:pPr>
      <w:r>
        <w:rPr>
          <w:rFonts w:hint="eastAsia"/>
        </w:rPr>
        <w:t>四、估价报告中可不再使用中国注册估价师专用章，但参加估价的注册房地产估价师须在估价结果报告中由本人签名及注明签名日期，不得以个人印章代替签名；可以只签名不盖个人印章，也可以既签名又</w:t>
      </w:r>
      <w:proofErr w:type="gramStart"/>
      <w:r>
        <w:rPr>
          <w:rFonts w:hint="eastAsia"/>
        </w:rPr>
        <w:t>盖个人</w:t>
      </w:r>
      <w:proofErr w:type="gramEnd"/>
      <w:r>
        <w:rPr>
          <w:rFonts w:hint="eastAsia"/>
        </w:rPr>
        <w:t>印章。</w:t>
      </w:r>
    </w:p>
    <w:p w14:paraId="3C80FDC5" w14:textId="77777777" w:rsidR="00495C65" w:rsidRDefault="00495C65" w:rsidP="00495C65">
      <w:pPr>
        <w:pStyle w:val="13"/>
      </w:pPr>
      <w:r>
        <w:rPr>
          <w:rFonts w:hint="eastAsia"/>
        </w:rPr>
        <w:t>五、估价报告使用期限应根据估价目的和预计估价对象的市场价格变化程度确定，</w:t>
      </w:r>
      <w:r>
        <w:t>不宜超过一年，鉴于目前我国的房地产市场行情变化状况，抵押目的的估价报告使用期限以半年左右为宜。</w:t>
      </w:r>
    </w:p>
    <w:p w14:paraId="3B943586" w14:textId="77777777" w:rsidR="00495C65" w:rsidRDefault="00495C65" w:rsidP="00495C65">
      <w:pPr>
        <w:pStyle w:val="13"/>
      </w:pPr>
      <w:r>
        <w:rPr>
          <w:rFonts w:hint="eastAsia"/>
        </w:rPr>
        <w:t>六、合法原则是指依法判定估价对象是哪种状况的房地产，就应将其作为那种状况</w:t>
      </w:r>
      <w:r>
        <w:t>的房地产来估价。无房地产权证的房地产（包括构筑物、附属物），可以作为估价对象进行评估，但应根据估价目的，合理确定其价值。抵押估价、征收估价和司法拍卖估价时，建设工程规划许可证未批准的房地产不宜列入估价对象范围，确需列入估价对象范围的，应由估价委托人出具书面意见。</w:t>
      </w:r>
    </w:p>
    <w:p w14:paraId="3FD6300B" w14:textId="77777777" w:rsidR="00495C65" w:rsidRDefault="00495C65" w:rsidP="00495C65">
      <w:pPr>
        <w:pStyle w:val="13"/>
      </w:pPr>
      <w:r>
        <w:rPr>
          <w:rFonts w:hint="eastAsia"/>
        </w:rPr>
        <w:t>七、估价对象的实际用途未经政府或有关部门认定或处理的，应根据估价目的确定估价所依据的用途。抵押估价和司法拍卖估价时，宜选择登记用途和规划用途。征收估价时，应按征收政策确定其用途。</w:t>
      </w:r>
    </w:p>
    <w:p w14:paraId="16FDF216" w14:textId="77777777" w:rsidR="00495C65" w:rsidRDefault="00495C65" w:rsidP="00495C65">
      <w:pPr>
        <w:pStyle w:val="13"/>
      </w:pPr>
      <w:r>
        <w:rPr>
          <w:rFonts w:hint="eastAsia"/>
        </w:rPr>
        <w:t>八、估价对象的房屋安全、质量缺陷、环境污染、建筑面积、财务状况（包括法定优先受偿款）等，均是影响估价对象价值、价格的重要因素，建议估价委托人聘请具有相应资质的专业机构或者相应资格的专家先行鉴定或检测、测量、审计等，再以专业机构或专家出具的专业意见为依据进行估价。未经具有相应资质的专业机构或者相应资格的专家先行鉴定或检测、测量、审计的，应在估价假设中</w:t>
      </w:r>
      <w:proofErr w:type="gramStart"/>
      <w:r>
        <w:rPr>
          <w:rFonts w:hint="eastAsia"/>
        </w:rPr>
        <w:t>作出</w:t>
      </w:r>
      <w:proofErr w:type="gramEnd"/>
      <w:r>
        <w:rPr>
          <w:rFonts w:hint="eastAsia"/>
        </w:rPr>
        <w:t>相应的假设。</w:t>
      </w:r>
    </w:p>
    <w:p w14:paraId="273CF289" w14:textId="77777777" w:rsidR="00495C65" w:rsidRDefault="00495C65" w:rsidP="00495C65">
      <w:pPr>
        <w:pStyle w:val="13"/>
      </w:pPr>
      <w:r>
        <w:rPr>
          <w:rFonts w:hint="eastAsia"/>
        </w:rPr>
        <w:lastRenderedPageBreak/>
        <w:t>九、评估抵押净值时，由于土地增值税征收政策复杂，需要扣减时，建议估价委托人聘请具有相应资质的专业机构或者相应资格的专家先行测算，否则应在估价假设中</w:t>
      </w:r>
      <w:proofErr w:type="gramStart"/>
      <w:r>
        <w:rPr>
          <w:rFonts w:hint="eastAsia"/>
        </w:rPr>
        <w:t>作出</w:t>
      </w:r>
      <w:proofErr w:type="gramEnd"/>
      <w:r>
        <w:rPr>
          <w:rFonts w:hint="eastAsia"/>
        </w:rPr>
        <w:t>相应的假设。</w:t>
      </w:r>
    </w:p>
    <w:p w14:paraId="6831429D" w14:textId="77777777" w:rsidR="00495C65" w:rsidRDefault="00495C65" w:rsidP="00495C65">
      <w:pPr>
        <w:pStyle w:val="13"/>
      </w:pPr>
      <w:r>
        <w:rPr>
          <w:rFonts w:hint="eastAsia"/>
        </w:rPr>
        <w:t>十、在估价对象变现能力分析时，应准确分析估价对象的通用性、独立使用性、可分割转让性、区位、开发程度、价值大小及房地产市场状况及拍卖或变卖时受让人心理因素等对估价对象变现能力的影响。特别是项目定位有重大缺陷或价值特别巨大的通用性又较差的估价对象以及大型在建工程，要充分预期拍卖或变卖时最可能实现的价格与其市场价值或市场价格的差异程度。</w:t>
      </w:r>
    </w:p>
    <w:p w14:paraId="44D580DD" w14:textId="77777777" w:rsidR="00495C65" w:rsidRDefault="00495C65" w:rsidP="00495C65">
      <w:pPr>
        <w:pStyle w:val="13"/>
      </w:pPr>
      <w:r>
        <w:rPr>
          <w:rFonts w:hint="eastAsia"/>
        </w:rPr>
        <w:t>十一、运用基准地价系数修正法评估土地价值时，宜选用发布时间三年以内的基准地价文件，</w:t>
      </w:r>
      <w:proofErr w:type="gramStart"/>
      <w:r>
        <w:rPr>
          <w:rFonts w:hint="eastAsia"/>
        </w:rPr>
        <w:t>不</w:t>
      </w:r>
      <w:proofErr w:type="gramEnd"/>
      <w:r>
        <w:rPr>
          <w:rFonts w:hint="eastAsia"/>
        </w:rPr>
        <w:t>应选</w:t>
      </w:r>
      <w:proofErr w:type="gramStart"/>
      <w:r>
        <w:rPr>
          <w:rFonts w:hint="eastAsia"/>
        </w:rPr>
        <w:t>用发布</w:t>
      </w:r>
      <w:proofErr w:type="gramEnd"/>
      <w:r>
        <w:rPr>
          <w:rFonts w:hint="eastAsia"/>
        </w:rPr>
        <w:t>时间超过六年的基准地价文件，当选</w:t>
      </w:r>
      <w:proofErr w:type="gramStart"/>
      <w:r>
        <w:rPr>
          <w:rFonts w:hint="eastAsia"/>
        </w:rPr>
        <w:t>用发布</w:t>
      </w:r>
      <w:proofErr w:type="gramEnd"/>
      <w:r>
        <w:rPr>
          <w:rFonts w:hint="eastAsia"/>
        </w:rPr>
        <w:t>时间三至六年的基准地价文件时，应充分说明选用的合理性。</w:t>
      </w:r>
    </w:p>
    <w:p w14:paraId="4DBD737A" w14:textId="77777777" w:rsidR="00495C65" w:rsidRDefault="00495C65" w:rsidP="00495C65">
      <w:pPr>
        <w:pStyle w:val="13"/>
      </w:pPr>
      <w:r>
        <w:rPr>
          <w:rFonts w:hint="eastAsia"/>
        </w:rPr>
        <w:t>十二、在估价结果报告中的估价结果可单列最终评估价值而不列不同估价方法的测算结果。</w:t>
      </w:r>
    </w:p>
    <w:p w14:paraId="7803FD50" w14:textId="77777777" w:rsidR="00495C65" w:rsidRDefault="00495C65" w:rsidP="00495C65">
      <w:pPr>
        <w:pStyle w:val="13"/>
      </w:pPr>
      <w:r>
        <w:rPr>
          <w:rFonts w:hint="eastAsia"/>
        </w:rPr>
        <w:t>十三、在评估活动中使用的有关文件、证明和资料的真实性、准确性、完整性应进行核查和验证，难以验证的，应由委托人在其提供的文件、证明和资料复印件上签字（提供人是单位的应盖章），委托人应当对其提供的权属证明、财务会计信息和其他资料的真实性、完整性和合法性负责，并在估价假设中</w:t>
      </w:r>
      <w:proofErr w:type="gramStart"/>
      <w:r>
        <w:rPr>
          <w:rFonts w:hint="eastAsia"/>
        </w:rPr>
        <w:t>作出</w:t>
      </w:r>
      <w:proofErr w:type="gramEnd"/>
      <w:r>
        <w:rPr>
          <w:rFonts w:hint="eastAsia"/>
        </w:rPr>
        <w:t>相应的假设。其文件、证明和资料的交接都应有签收记录并存档。</w:t>
      </w:r>
    </w:p>
    <w:p w14:paraId="4C19D8C7" w14:textId="77777777" w:rsidR="00495C65" w:rsidRDefault="00495C65" w:rsidP="00495C65">
      <w:pPr>
        <w:pStyle w:val="31"/>
        <w:spacing w:before="156" w:after="62"/>
      </w:pPr>
      <w:bookmarkStart w:id="169" w:name="_Toc81833409"/>
      <w:r>
        <w:rPr>
          <w:rFonts w:hint="eastAsia"/>
        </w:rPr>
        <w:t>浙江省房地产司法评估指导意见（试行）（</w:t>
      </w:r>
      <w:proofErr w:type="gramStart"/>
      <w:r>
        <w:rPr>
          <w:rFonts w:hint="eastAsia"/>
        </w:rPr>
        <w:t>浙估协</w:t>
      </w:r>
      <w:proofErr w:type="gramEnd"/>
      <w:r>
        <w:rPr>
          <w:rFonts w:hint="eastAsia"/>
        </w:rPr>
        <w:t>〔</w:t>
      </w:r>
      <w:r>
        <w:t>2018〕66号）</w:t>
      </w:r>
      <w:bookmarkEnd w:id="169"/>
    </w:p>
    <w:p w14:paraId="253DE053" w14:textId="77777777" w:rsidR="00495C65" w:rsidRDefault="00495C65" w:rsidP="00495C65">
      <w:pPr>
        <w:pStyle w:val="13"/>
        <w:ind w:firstLineChars="0" w:firstLine="0"/>
      </w:pPr>
      <w:r>
        <w:rPr>
          <w:rFonts w:hint="eastAsia"/>
        </w:rPr>
        <w:t>各房地产估价机构：</w:t>
      </w:r>
    </w:p>
    <w:p w14:paraId="51D389FF" w14:textId="77777777" w:rsidR="00495C65" w:rsidRDefault="00495C65" w:rsidP="00495C65">
      <w:pPr>
        <w:pStyle w:val="13"/>
      </w:pPr>
      <w:r>
        <w:rPr>
          <w:rFonts w:hint="eastAsia"/>
        </w:rPr>
        <w:t>为进一步提高房地产司法评估质量，规范我省房地产司法评估行为，我会在广泛征求意见的基础上，拟定了《浙江省房地产司法评估指导意见（试行）》，现印发给你们，</w:t>
      </w:r>
      <w:r>
        <w:t>请认真贯彻执行。</w:t>
      </w:r>
    </w:p>
    <w:p w14:paraId="3B61DE2B" w14:textId="77777777" w:rsidR="00495C65" w:rsidRDefault="00495C65" w:rsidP="00495C65">
      <w:pPr>
        <w:pStyle w:val="13"/>
      </w:pPr>
      <w:r>
        <w:rPr>
          <w:rFonts w:hint="eastAsia"/>
        </w:rPr>
        <w:t>附件：浙江省房地产司法评估指导意见（试行）</w:t>
      </w:r>
    </w:p>
    <w:p w14:paraId="3494EBFE" w14:textId="77777777" w:rsidR="00495C65" w:rsidRDefault="00495C65" w:rsidP="00495C65">
      <w:pPr>
        <w:pStyle w:val="13"/>
        <w:jc w:val="right"/>
      </w:pPr>
      <w:r>
        <w:rPr>
          <w:rFonts w:hint="eastAsia"/>
        </w:rPr>
        <w:t>浙江省房地产估价师与经纪人协会</w:t>
      </w:r>
    </w:p>
    <w:p w14:paraId="502E36FB" w14:textId="77777777" w:rsidR="00495C65" w:rsidRDefault="00495C65" w:rsidP="00495C65">
      <w:pPr>
        <w:pStyle w:val="13"/>
        <w:jc w:val="right"/>
      </w:pPr>
      <w:r>
        <w:t>2018年12月18日</w:t>
      </w:r>
    </w:p>
    <w:p w14:paraId="18000E82" w14:textId="77777777" w:rsidR="00495C65" w:rsidRDefault="00495C65" w:rsidP="00495C65">
      <w:pPr>
        <w:pStyle w:val="13"/>
      </w:pPr>
      <w:r>
        <w:rPr>
          <w:rFonts w:hint="eastAsia"/>
        </w:rPr>
        <w:t>抄送：浙江省高级人民法院、浙江省住房和城乡建设厅、各设区市建委（建设局）、杭州市房管局</w:t>
      </w:r>
    </w:p>
    <w:p w14:paraId="10F6801A" w14:textId="77777777" w:rsidR="00495C65" w:rsidRDefault="00495C65" w:rsidP="00AF7342">
      <w:pPr>
        <w:pStyle w:val="a9"/>
        <w:spacing w:before="62" w:after="62"/>
      </w:pPr>
      <w:r>
        <w:rPr>
          <w:rFonts w:hint="eastAsia"/>
        </w:rPr>
        <w:t>浙江省房地产司法评估指导意见（试行）</w:t>
      </w:r>
    </w:p>
    <w:p w14:paraId="5B9D1313" w14:textId="77777777" w:rsidR="00495C65" w:rsidRDefault="00495C65" w:rsidP="00AF7342">
      <w:pPr>
        <w:pStyle w:val="a9"/>
        <w:spacing w:before="62" w:after="62"/>
      </w:pPr>
      <w:r>
        <w:t>第一章 总 则</w:t>
      </w:r>
    </w:p>
    <w:p w14:paraId="33F1B17F" w14:textId="122BC04F" w:rsidR="00495C65" w:rsidRDefault="004E3EBB" w:rsidP="00495C65">
      <w:pPr>
        <w:pStyle w:val="13"/>
        <w:ind w:firstLine="482"/>
      </w:pPr>
      <w:r w:rsidRPr="004E3EBB">
        <w:rPr>
          <w:rFonts w:hint="eastAsia"/>
          <w:b/>
          <w:bCs/>
        </w:rPr>
        <w:t xml:space="preserve">第一条 </w:t>
      </w:r>
      <w:r w:rsidR="00495C65">
        <w:t>为规范房地产司法评估行为，保证房地产司法评估质量，提高房地产司法评估公信力，根据《中华人民共和国物权法》、《中华人民共和国城市房地产管理法》、</w:t>
      </w:r>
      <w:r w:rsidR="00495C65">
        <w:rPr>
          <w:rFonts w:hint="eastAsia"/>
        </w:rPr>
        <w:t>《中华人民共和国土地管理法》、《中华人民共和国资产评估法》等有关法律、法</w:t>
      </w:r>
      <w:r w:rsidR="00495C65">
        <w:rPr>
          <w:rFonts w:hint="eastAsia"/>
        </w:rPr>
        <w:lastRenderedPageBreak/>
        <w:t>规、规章，以及《房地产估价规范》（</w:t>
      </w:r>
      <w:r w:rsidR="00495C65">
        <w:t>GB/T50291-2015）和《房地产估价基本术语标准》</w:t>
      </w:r>
      <w:r w:rsidR="00495C65">
        <w:rPr>
          <w:rFonts w:hint="eastAsia"/>
        </w:rPr>
        <w:t>（</w:t>
      </w:r>
      <w:r w:rsidR="00495C65">
        <w:t>GB/T50899-2013）等，结合本省实际，制定本意见。</w:t>
      </w:r>
    </w:p>
    <w:p w14:paraId="5A3316B3" w14:textId="686044BC" w:rsidR="00495C65" w:rsidRDefault="004E3EBB" w:rsidP="00495C65">
      <w:pPr>
        <w:pStyle w:val="13"/>
        <w:ind w:firstLine="482"/>
      </w:pPr>
      <w:r w:rsidRPr="004E3EBB">
        <w:rPr>
          <w:rFonts w:hint="eastAsia"/>
          <w:b/>
          <w:bCs/>
        </w:rPr>
        <w:t xml:space="preserve">第二条 </w:t>
      </w:r>
      <w:r w:rsidR="00495C65">
        <w:t>在本省范围内从事房地产司法评估活动的，应当遵循本意见。</w:t>
      </w:r>
    </w:p>
    <w:p w14:paraId="74FAA864" w14:textId="705BB442" w:rsidR="00495C65" w:rsidRDefault="004E3EBB" w:rsidP="00495C65">
      <w:pPr>
        <w:pStyle w:val="13"/>
        <w:ind w:firstLine="482"/>
      </w:pPr>
      <w:r w:rsidRPr="004E3EBB">
        <w:rPr>
          <w:rFonts w:hint="eastAsia"/>
          <w:b/>
          <w:bCs/>
        </w:rPr>
        <w:t xml:space="preserve">第三条 </w:t>
      </w:r>
      <w:r w:rsidR="00495C65">
        <w:t>本意见所称房地产司法评估，是指在诉讼活动及案件查处中，涉及房地产的项目，需由房地产估价机构选派注册房地产估价师对其价值或者价格、价值减损额、相关经济损失等进行分析、测算和判断，并提供相关专业意见的活动。</w:t>
      </w:r>
    </w:p>
    <w:p w14:paraId="4F1AFC96" w14:textId="043E8A6F" w:rsidR="00495C65" w:rsidRDefault="004E3EBB" w:rsidP="00495C65">
      <w:pPr>
        <w:pStyle w:val="13"/>
        <w:ind w:firstLine="482"/>
      </w:pPr>
      <w:r w:rsidRPr="004E3EBB">
        <w:rPr>
          <w:rFonts w:hint="eastAsia"/>
          <w:b/>
          <w:bCs/>
        </w:rPr>
        <w:t xml:space="preserve">第四条 </w:t>
      </w:r>
      <w:r w:rsidR="00495C65">
        <w:t>本意见所称房地产估价对象是指不动产</w:t>
      </w:r>
      <w:proofErr w:type="gramStart"/>
      <w:r w:rsidR="00495C65">
        <w:t>权属证载</w:t>
      </w:r>
      <w:proofErr w:type="gramEnd"/>
      <w:r w:rsidR="00495C65">
        <w:t>的房屋、土地以及估价对象正常使用所必需的配套附属构筑物、设施设备等。不包含不影响估价对象正常使用的、可移动搬迁的设施、设备等，委托人另有要求的除外。</w:t>
      </w:r>
    </w:p>
    <w:p w14:paraId="5958F4DC" w14:textId="12468846" w:rsidR="00495C65" w:rsidRDefault="004E3EBB" w:rsidP="00495C65">
      <w:pPr>
        <w:pStyle w:val="13"/>
        <w:ind w:firstLine="482"/>
      </w:pPr>
      <w:r w:rsidRPr="004E3EBB">
        <w:rPr>
          <w:rFonts w:hint="eastAsia"/>
          <w:b/>
          <w:bCs/>
        </w:rPr>
        <w:t xml:space="preserve">第五条 </w:t>
      </w:r>
      <w:r w:rsidR="00495C65">
        <w:t>本意见所称房地产司法评估委托人（以下简称委托人）是指人民法院、人民检察院、公安机关、监察机关以及相关案件办理单位。</w:t>
      </w:r>
    </w:p>
    <w:p w14:paraId="44B68B1E" w14:textId="419459DF" w:rsidR="00495C65" w:rsidRDefault="004E3EBB" w:rsidP="00495C65">
      <w:pPr>
        <w:pStyle w:val="13"/>
        <w:ind w:firstLine="482"/>
      </w:pPr>
      <w:r w:rsidRPr="004E3EBB">
        <w:rPr>
          <w:rFonts w:hint="eastAsia"/>
          <w:b/>
          <w:bCs/>
        </w:rPr>
        <w:t xml:space="preserve">第六条 </w:t>
      </w:r>
      <w:r w:rsidR="00495C65">
        <w:t>委托人应当提供房地产司法评估所必需的资料，并对所提供资料的真实性、合法性、完整性负责。</w:t>
      </w:r>
    </w:p>
    <w:p w14:paraId="2A03C6A8" w14:textId="77777777" w:rsidR="00495C65" w:rsidRDefault="00495C65" w:rsidP="00495C65">
      <w:pPr>
        <w:pStyle w:val="13"/>
      </w:pPr>
      <w:r>
        <w:rPr>
          <w:rFonts w:hint="eastAsia"/>
        </w:rPr>
        <w:t>房地产估价机构有权要求委托人及其当事人、利害关系人配合注册房地产估价师对估价对象进行实地勘验，有权要求委托人及当事人、利害关系人补充、完善资料。</w:t>
      </w:r>
    </w:p>
    <w:p w14:paraId="6DE8DCD1" w14:textId="77777777" w:rsidR="00495C65" w:rsidRDefault="00495C65" w:rsidP="00495C65">
      <w:pPr>
        <w:pStyle w:val="13"/>
      </w:pPr>
      <w:r>
        <w:rPr>
          <w:rFonts w:hint="eastAsia"/>
        </w:rPr>
        <w:t>当事人、利害关系人补充提供的资料，须经委托人确认。</w:t>
      </w:r>
    </w:p>
    <w:p w14:paraId="196C2A33" w14:textId="77777777" w:rsidR="00495C65" w:rsidRDefault="00495C65" w:rsidP="00AF7342">
      <w:pPr>
        <w:pStyle w:val="a9"/>
        <w:spacing w:before="62" w:after="62"/>
      </w:pPr>
      <w:r>
        <w:rPr>
          <w:rFonts w:hint="eastAsia"/>
        </w:rPr>
        <w:t>第二章</w:t>
      </w:r>
      <w:r>
        <w:t xml:space="preserve"> 从业要求</w:t>
      </w:r>
    </w:p>
    <w:p w14:paraId="659BAC22" w14:textId="155A9BC4" w:rsidR="00495C65" w:rsidRDefault="004E3EBB" w:rsidP="00495C65">
      <w:pPr>
        <w:pStyle w:val="13"/>
        <w:ind w:firstLine="482"/>
      </w:pPr>
      <w:r w:rsidRPr="004E3EBB">
        <w:rPr>
          <w:rFonts w:hint="eastAsia"/>
          <w:b/>
          <w:bCs/>
        </w:rPr>
        <w:t xml:space="preserve">第七条 </w:t>
      </w:r>
      <w:r w:rsidR="00495C65">
        <w:t>房地产估价机构和注册房地产估价师从事房地产司法评估活动，应当遵守法律、法规、规章，遵守房地产估价准则、规范及标准，恪守职业道德。</w:t>
      </w:r>
    </w:p>
    <w:p w14:paraId="20278ABE" w14:textId="1C7CD78D" w:rsidR="00495C65" w:rsidRDefault="004E3EBB" w:rsidP="00495C65">
      <w:pPr>
        <w:pStyle w:val="13"/>
        <w:ind w:firstLine="482"/>
      </w:pPr>
      <w:r w:rsidRPr="004E3EBB">
        <w:rPr>
          <w:rFonts w:hint="eastAsia"/>
          <w:b/>
          <w:bCs/>
        </w:rPr>
        <w:t xml:space="preserve">第八条 </w:t>
      </w:r>
      <w:r w:rsidR="00495C65">
        <w:t>在浙江省从事房地产司法评估活动的房地产估价机构（含外地估价机构在浙江省设立的分支机构），应当取得房地产估价备案证明，具有二级以上资质及浙江省房地产估价师与经纪人协会评定的、当年有效的B级以上资信评级，且配备的专职房地产估价师不得少于5人。</w:t>
      </w:r>
    </w:p>
    <w:p w14:paraId="28024E34" w14:textId="58110DED" w:rsidR="00495C65" w:rsidRDefault="00E05BDA" w:rsidP="00495C65">
      <w:pPr>
        <w:pStyle w:val="13"/>
        <w:ind w:firstLine="482"/>
      </w:pPr>
      <w:r w:rsidRPr="00E05BDA">
        <w:rPr>
          <w:rFonts w:hint="eastAsia"/>
          <w:b/>
          <w:bCs/>
        </w:rPr>
        <w:t xml:space="preserve">第九条 </w:t>
      </w:r>
      <w:r w:rsidR="00495C65">
        <w:t>房地产估价机构和从业人员不得泄露在执业活动中知悉的国家秘密、商业秘密和个人隐私。</w:t>
      </w:r>
    </w:p>
    <w:p w14:paraId="7B7ED6B0" w14:textId="77777777" w:rsidR="00495C65" w:rsidRDefault="00495C65" w:rsidP="00495C65">
      <w:pPr>
        <w:pStyle w:val="13"/>
      </w:pPr>
      <w:r>
        <w:rPr>
          <w:rFonts w:hint="eastAsia"/>
        </w:rPr>
        <w:t>未经委托人同意，不得向其他个人或者组织提供与估价事项有关的信息，但法律、法规另有规定的除外。</w:t>
      </w:r>
    </w:p>
    <w:p w14:paraId="4BFF07D0" w14:textId="7EED4052" w:rsidR="00495C65" w:rsidRDefault="00E05BDA" w:rsidP="00495C65">
      <w:pPr>
        <w:pStyle w:val="13"/>
        <w:ind w:firstLine="482"/>
      </w:pPr>
      <w:r w:rsidRPr="00E05BDA">
        <w:rPr>
          <w:rFonts w:hint="eastAsia"/>
          <w:b/>
          <w:bCs/>
        </w:rPr>
        <w:t xml:space="preserve">第十条 </w:t>
      </w:r>
      <w:r w:rsidR="00495C65">
        <w:t>房地产估价机构和注册房地产估价师与估价对象、估价利害关系人有利害</w:t>
      </w:r>
      <w:r w:rsidR="00495C65">
        <w:rPr>
          <w:rFonts w:hint="eastAsia"/>
        </w:rPr>
        <w:t>关系的，以及其他可能影响其独立、客观、公正估价情形的，应当回避。</w:t>
      </w:r>
    </w:p>
    <w:p w14:paraId="11DB835E" w14:textId="4C368076" w:rsidR="00495C65" w:rsidRDefault="00E05BDA" w:rsidP="00495C65">
      <w:pPr>
        <w:pStyle w:val="13"/>
        <w:ind w:firstLine="482"/>
      </w:pPr>
      <w:r w:rsidRPr="00E05BDA">
        <w:rPr>
          <w:rFonts w:hint="eastAsia"/>
          <w:b/>
          <w:bCs/>
        </w:rPr>
        <w:t xml:space="preserve">第十一条 </w:t>
      </w:r>
      <w:r w:rsidR="00495C65">
        <w:t>注册房地产估价师应当依法独立、客观、公正地进行评估活动，并对出具的房地产估价报告负责。</w:t>
      </w:r>
    </w:p>
    <w:p w14:paraId="2D4B6798" w14:textId="77777777" w:rsidR="00495C65" w:rsidRDefault="00495C65" w:rsidP="00495C65">
      <w:pPr>
        <w:pStyle w:val="13"/>
      </w:pPr>
      <w:r>
        <w:rPr>
          <w:rFonts w:hint="eastAsia"/>
        </w:rPr>
        <w:t>房地产司法评估实行注册房地产估价师负责制度。</w:t>
      </w:r>
    </w:p>
    <w:p w14:paraId="40D1FFC5" w14:textId="77777777" w:rsidR="00495C65" w:rsidRDefault="00495C65" w:rsidP="00AF7342">
      <w:pPr>
        <w:pStyle w:val="a9"/>
        <w:spacing w:before="62" w:after="62"/>
      </w:pPr>
      <w:r>
        <w:rPr>
          <w:rFonts w:hint="eastAsia"/>
        </w:rPr>
        <w:lastRenderedPageBreak/>
        <w:t>第三章</w:t>
      </w:r>
      <w:r>
        <w:t xml:space="preserve"> 估价程序</w:t>
      </w:r>
    </w:p>
    <w:p w14:paraId="534E0254" w14:textId="3DBB68E0" w:rsidR="00495C65" w:rsidRDefault="00E05BDA" w:rsidP="00495C65">
      <w:pPr>
        <w:pStyle w:val="13"/>
        <w:ind w:firstLine="482"/>
      </w:pPr>
      <w:r w:rsidRPr="00E05BDA">
        <w:rPr>
          <w:rFonts w:hint="eastAsia"/>
          <w:b/>
          <w:bCs/>
        </w:rPr>
        <w:t xml:space="preserve">第十二条 </w:t>
      </w:r>
      <w:r w:rsidR="00495C65">
        <w:t>房地产估价机构承办房地产司法评估业务，应当取得委托人出具房地产司法评估委托书，签收委托人提供的房地产司法评估资料交接表、房地产司法评估资料质证情况记录及所载明的资料。</w:t>
      </w:r>
    </w:p>
    <w:p w14:paraId="72BC4194" w14:textId="3BBCAF93" w:rsidR="00495C65" w:rsidRDefault="00E05BDA" w:rsidP="00495C65">
      <w:pPr>
        <w:pStyle w:val="13"/>
        <w:ind w:firstLine="482"/>
      </w:pPr>
      <w:r w:rsidRPr="00E05BDA">
        <w:rPr>
          <w:rFonts w:hint="eastAsia"/>
          <w:b/>
          <w:bCs/>
        </w:rPr>
        <w:t xml:space="preserve">第十三条 </w:t>
      </w:r>
      <w:r w:rsidR="00495C65">
        <w:t>委托估价基本事项应包括但不限于估价目的、价值时点、估价对象和价值类型等。</w:t>
      </w:r>
    </w:p>
    <w:p w14:paraId="3B2CCEA4" w14:textId="77777777" w:rsidR="00495C65" w:rsidRDefault="00495C65" w:rsidP="00495C65">
      <w:pPr>
        <w:pStyle w:val="13"/>
      </w:pPr>
      <w:r>
        <w:rPr>
          <w:rFonts w:hint="eastAsia"/>
        </w:rPr>
        <w:t>估价目的：为司法处置（诉讼）提供参考依据而评估房地产市场价值。价值时点：一般为实地勘验日，委托人另有约定的除外。</w:t>
      </w:r>
    </w:p>
    <w:p w14:paraId="4100376E" w14:textId="77777777" w:rsidR="00495C65" w:rsidRDefault="00495C65" w:rsidP="00495C65">
      <w:pPr>
        <w:pStyle w:val="13"/>
      </w:pPr>
      <w:r>
        <w:rPr>
          <w:rFonts w:hint="eastAsia"/>
        </w:rPr>
        <w:t>估价对象：明确估价对象的范围，包括权证记载的和</w:t>
      </w:r>
      <w:proofErr w:type="gramStart"/>
      <w:r>
        <w:rPr>
          <w:rFonts w:hint="eastAsia"/>
        </w:rPr>
        <w:t>无权证</w:t>
      </w:r>
      <w:proofErr w:type="gramEnd"/>
      <w:r>
        <w:rPr>
          <w:rFonts w:hint="eastAsia"/>
        </w:rPr>
        <w:t>记载的房屋、附属物、构筑物及相应权益等。</w:t>
      </w:r>
    </w:p>
    <w:p w14:paraId="405B463C" w14:textId="77777777" w:rsidR="00495C65" w:rsidRDefault="00495C65" w:rsidP="00495C65">
      <w:pPr>
        <w:pStyle w:val="13"/>
      </w:pPr>
      <w:r>
        <w:rPr>
          <w:rFonts w:hint="eastAsia"/>
        </w:rPr>
        <w:t>价值类型：为估价对象的房地产市场价值或公允价值。</w:t>
      </w:r>
    </w:p>
    <w:p w14:paraId="08A24C62" w14:textId="7666E90E" w:rsidR="00495C65" w:rsidRDefault="00E05BDA" w:rsidP="00495C65">
      <w:pPr>
        <w:pStyle w:val="13"/>
        <w:ind w:firstLine="482"/>
      </w:pPr>
      <w:r w:rsidRPr="00E05BDA">
        <w:rPr>
          <w:rFonts w:hint="eastAsia"/>
          <w:b/>
          <w:bCs/>
        </w:rPr>
        <w:t xml:space="preserve">第十四条 </w:t>
      </w:r>
      <w:r w:rsidR="00495C65">
        <w:t>房地产估价机构应当对委托事项、估价对象的相关资料进行审查，对提供资料能够满足估价需要的司法评估委托，应予受理；对提供资料不完整、不充分的，经补充后能够满足估价需要的，予以受理。</w:t>
      </w:r>
    </w:p>
    <w:p w14:paraId="5559043F" w14:textId="77777777" w:rsidR="00495C65" w:rsidRDefault="00495C65" w:rsidP="00495C65">
      <w:pPr>
        <w:pStyle w:val="13"/>
      </w:pPr>
      <w:r>
        <w:rPr>
          <w:rFonts w:hint="eastAsia"/>
        </w:rPr>
        <w:t>房地产估价机构认为需要补充估价资料的，应当一次性书面告知委托人，并列出所需资料的清单。</w:t>
      </w:r>
    </w:p>
    <w:p w14:paraId="5304CB03" w14:textId="480CA0DC" w:rsidR="00495C65" w:rsidRDefault="00E05BDA" w:rsidP="00495C65">
      <w:pPr>
        <w:pStyle w:val="13"/>
        <w:ind w:firstLine="482"/>
      </w:pPr>
      <w:r w:rsidRPr="00E05BDA">
        <w:rPr>
          <w:rFonts w:hint="eastAsia"/>
          <w:b/>
          <w:bCs/>
        </w:rPr>
        <w:t xml:space="preserve">第十五条 </w:t>
      </w:r>
      <w:r w:rsidR="00495C65">
        <w:t>受理估价委托后，房地产估价机构应当委派至少一名注册房地产估价师与委托人或当事人、相关利害关系人一同进行实地勘验。估价对象占有方不配合的，可通过委托人向占有方、当事人及其他估价利害关系人告知其应当履行的配合义务和不履行该义务可能存在的风险。</w:t>
      </w:r>
    </w:p>
    <w:p w14:paraId="79ED2208" w14:textId="58AAEA2F" w:rsidR="00495C65" w:rsidRDefault="00E05BDA" w:rsidP="00495C65">
      <w:pPr>
        <w:pStyle w:val="13"/>
        <w:ind w:firstLine="482"/>
      </w:pPr>
      <w:r w:rsidRPr="00E05BDA">
        <w:rPr>
          <w:rFonts w:hint="eastAsia"/>
          <w:b/>
          <w:bCs/>
        </w:rPr>
        <w:t xml:space="preserve">第十六条 </w:t>
      </w:r>
      <w:r w:rsidR="00495C65">
        <w:t>估价对象灭失且委托人提供估价对象的相关资料不能满足估价需要，或者估价对象的所有人、占有方等不配合，导致注册房地产估价师不能对估价对象进行实地勘验等具有估价依据严重不足情形的，房地产估价机构可以向委托人申请退回评估或者终止评估。</w:t>
      </w:r>
    </w:p>
    <w:p w14:paraId="193F74FC" w14:textId="77777777" w:rsidR="00495C65" w:rsidRDefault="00495C65" w:rsidP="00495C65">
      <w:pPr>
        <w:pStyle w:val="13"/>
      </w:pPr>
      <w:r>
        <w:rPr>
          <w:rFonts w:hint="eastAsia"/>
        </w:rPr>
        <w:t>房地产估价机构申请退回评估或终止评估的，应当以书面形式说明理由并连同委托资料一并退回委托人。</w:t>
      </w:r>
    </w:p>
    <w:p w14:paraId="3277A690" w14:textId="1531B938" w:rsidR="00495C65" w:rsidRDefault="00E05BDA" w:rsidP="00495C65">
      <w:pPr>
        <w:pStyle w:val="13"/>
        <w:ind w:firstLine="482"/>
      </w:pPr>
      <w:r w:rsidRPr="00E05BDA">
        <w:rPr>
          <w:rFonts w:hint="eastAsia"/>
          <w:b/>
          <w:bCs/>
        </w:rPr>
        <w:t xml:space="preserve">第十七条 </w:t>
      </w:r>
      <w:r w:rsidR="00495C65">
        <w:t>估价依据不足而估价委托人要求估价或者委托人认为必须估价的，房地产估价机构应当将估价风险告知委托人。若估价委托人书面明确设定估价依据条件，并自愿承担按照其设定依据条件进行估价的风险、法律后果的，房地产估价机构可按照其设定依据条件进行估价，出具咨询性估价报告，但要在估价假设和限制条件中进行披露。</w:t>
      </w:r>
    </w:p>
    <w:p w14:paraId="333DB2F0" w14:textId="0B1C150A" w:rsidR="00495C65" w:rsidRDefault="00E05BDA" w:rsidP="00495C65">
      <w:pPr>
        <w:pStyle w:val="13"/>
        <w:ind w:firstLine="482"/>
      </w:pPr>
      <w:r w:rsidRPr="00E05BDA">
        <w:rPr>
          <w:rFonts w:hint="eastAsia"/>
          <w:b/>
          <w:bCs/>
        </w:rPr>
        <w:t xml:space="preserve">第十八条 </w:t>
      </w:r>
      <w:r w:rsidR="00495C65">
        <w:t>房地产估价机构应当对估价对象的权益状况和实物状况资料进行尽职调查核对，包括估价对象的权属资料，查封、抵押、租赁等权益限制资料，以及装饰装修情况等。</w:t>
      </w:r>
    </w:p>
    <w:p w14:paraId="610665BF" w14:textId="47D91EEA" w:rsidR="00495C65" w:rsidRDefault="00E05BDA" w:rsidP="00495C65">
      <w:pPr>
        <w:pStyle w:val="13"/>
        <w:ind w:firstLine="482"/>
      </w:pPr>
      <w:r w:rsidRPr="00E05BDA">
        <w:rPr>
          <w:rFonts w:hint="eastAsia"/>
          <w:b/>
          <w:bCs/>
        </w:rPr>
        <w:lastRenderedPageBreak/>
        <w:t xml:space="preserve">第十九条 </w:t>
      </w:r>
      <w:r w:rsidR="00495C65">
        <w:t>房地产估价机构认为估价依据、资料需要估价利害关系人双方认可或发表意见的，应当通知委托人组织进行，并提供相应指导。</w:t>
      </w:r>
    </w:p>
    <w:p w14:paraId="4D7A31F1" w14:textId="6683D829" w:rsidR="00495C65" w:rsidRDefault="00E05BDA" w:rsidP="00495C65">
      <w:pPr>
        <w:pStyle w:val="13"/>
        <w:ind w:firstLine="482"/>
      </w:pPr>
      <w:r w:rsidRPr="00E05BDA">
        <w:rPr>
          <w:rFonts w:hint="eastAsia"/>
          <w:b/>
          <w:bCs/>
        </w:rPr>
        <w:t xml:space="preserve">第二十条 </w:t>
      </w:r>
      <w:r w:rsidR="00495C65">
        <w:t>注册房地产估价师应当对估价对象进行实地勘验，将估价对象现状与相关权属证明资料上记载的内容逐一进行对照，全面、细致地了解估价对象，拍摄、制作能够反映估价对象实物状况和周围环境状况的照片等影像资料，做好实地勘验记录。</w:t>
      </w:r>
    </w:p>
    <w:p w14:paraId="63DAD76B" w14:textId="77777777" w:rsidR="00495C65" w:rsidRDefault="00495C65" w:rsidP="00495C65">
      <w:pPr>
        <w:pStyle w:val="13"/>
      </w:pPr>
      <w:r>
        <w:rPr>
          <w:rFonts w:hint="eastAsia"/>
        </w:rPr>
        <w:t>因估价对象占有人拒绝配合等原因，导致注册房地产估价师不能进入其内部进行实地勘验的，经委托人同意后，可以就与估价对象除装饰装修状况不一致外的其他类似的房地产进行实地勘验，并对估价对象的装饰装修状况在委托书中明确或者合理假定后进行估价，但在估价报告中应当予以说明。</w:t>
      </w:r>
    </w:p>
    <w:p w14:paraId="5D872126" w14:textId="533C698E" w:rsidR="00495C65" w:rsidRDefault="00E05BDA" w:rsidP="00495C65">
      <w:pPr>
        <w:pStyle w:val="13"/>
        <w:ind w:firstLine="482"/>
      </w:pPr>
      <w:r w:rsidRPr="00E05BDA">
        <w:rPr>
          <w:rFonts w:hint="eastAsia"/>
          <w:b/>
          <w:bCs/>
        </w:rPr>
        <w:t xml:space="preserve">第二十一条 </w:t>
      </w:r>
      <w:r w:rsidR="00495C65">
        <w:t>注册房地产估价师的实地勘验记录须由注册房地产估价师、委托人指派的现场勘验人员和估价利害关系人或者其代理人签名，估价利害关系人或者其代理人拒绝签名的，应当由见证人见证，无见证人的，注册房地产估价师应当提供与估价对象的合影佐证影像。</w:t>
      </w:r>
    </w:p>
    <w:p w14:paraId="240FA39F" w14:textId="77777777" w:rsidR="00495C65" w:rsidRDefault="00495C65" w:rsidP="00495C65">
      <w:pPr>
        <w:pStyle w:val="13"/>
      </w:pPr>
      <w:r>
        <w:rPr>
          <w:rFonts w:hint="eastAsia"/>
        </w:rPr>
        <w:t>以上情形，应当在勘验记录中载明并在估价报告中说明。</w:t>
      </w:r>
    </w:p>
    <w:p w14:paraId="0704C50F" w14:textId="76907F14" w:rsidR="00495C65" w:rsidRDefault="00E05BDA" w:rsidP="00495C65">
      <w:pPr>
        <w:pStyle w:val="13"/>
        <w:ind w:firstLine="482"/>
      </w:pPr>
      <w:r w:rsidRPr="00E05BDA">
        <w:rPr>
          <w:rFonts w:hint="eastAsia"/>
          <w:b/>
          <w:bCs/>
        </w:rPr>
        <w:t xml:space="preserve">第二十二条 </w:t>
      </w:r>
      <w:r w:rsidR="00495C65">
        <w:t>房地产估价机构应当在委托书载明的估价期限内完成估价工作，并出具房地产司法评估报告。委托书中未载明估价期限的，应当自收到委托书之日起三十日内完成，但补充材料、调整估价范围等所需的时间不计入估价期限。</w:t>
      </w:r>
    </w:p>
    <w:p w14:paraId="5D089010" w14:textId="77777777" w:rsidR="00495C65" w:rsidRDefault="00495C65" w:rsidP="00495C65">
      <w:pPr>
        <w:pStyle w:val="13"/>
      </w:pPr>
      <w:r>
        <w:rPr>
          <w:rFonts w:hint="eastAsia"/>
        </w:rPr>
        <w:t>房地产估价机构在约定估价期限内不能完成估价的，应当在期限届满前五日向委托人书面说明理由申请延期并须经委托人认可。</w:t>
      </w:r>
    </w:p>
    <w:p w14:paraId="2C8B97D2" w14:textId="07C0F636" w:rsidR="00495C65" w:rsidRDefault="00E05BDA" w:rsidP="00495C65">
      <w:pPr>
        <w:pStyle w:val="13"/>
        <w:ind w:firstLine="482"/>
      </w:pPr>
      <w:r w:rsidRPr="00E05BDA">
        <w:rPr>
          <w:rFonts w:hint="eastAsia"/>
          <w:b/>
          <w:bCs/>
        </w:rPr>
        <w:t xml:space="preserve">第二十三条 </w:t>
      </w:r>
      <w:r w:rsidR="00495C65">
        <w:t>当事人或者利害关系人对估价报告有异议的，应在规定的期限内通过委托人向房地产估价机构转交书面意见。房地产估价机构应当自收到该书面异议之日起在规定的期限内对估价报告进行复核，并就异议问题予以解释和书面答复，经复核确需改变原估价结果及相关内容的，应当重新出具估价报告；估价报告没有改变的，应书面告知委托人。</w:t>
      </w:r>
    </w:p>
    <w:p w14:paraId="024C1D3F" w14:textId="77777777" w:rsidR="00495C65" w:rsidRDefault="00495C65" w:rsidP="00495C65">
      <w:pPr>
        <w:pStyle w:val="13"/>
      </w:pPr>
      <w:r>
        <w:rPr>
          <w:rFonts w:hint="eastAsia"/>
        </w:rPr>
        <w:t>当事人或者利害关系人对估价报告的异议权利，应当在估价报告中告知。</w:t>
      </w:r>
    </w:p>
    <w:p w14:paraId="3D0AB814" w14:textId="1D65447A" w:rsidR="00495C65" w:rsidRDefault="00E05BDA" w:rsidP="00495C65">
      <w:pPr>
        <w:pStyle w:val="13"/>
        <w:ind w:firstLine="482"/>
      </w:pPr>
      <w:r w:rsidRPr="00E05BDA">
        <w:rPr>
          <w:rFonts w:hint="eastAsia"/>
          <w:b/>
          <w:bCs/>
        </w:rPr>
        <w:t xml:space="preserve">第二十四条 </w:t>
      </w:r>
      <w:r w:rsidR="00495C65">
        <w:t>房地产估价机构在规定期限内未作说明或者当事人、利害关系人对</w:t>
      </w:r>
      <w:proofErr w:type="gramStart"/>
      <w:r w:rsidR="00495C65">
        <w:t>作出</w:t>
      </w:r>
      <w:proofErr w:type="gramEnd"/>
      <w:r w:rsidR="00495C65">
        <w:t>的说明仍有异议的，委托人可向浙江省房地产估价师与经纪人协会提出专业技术评审申请，专家委员会应当在十五日内组织专家依据《房地产估价规范》以及本指导意见等进行评审，并向委托人出具评审结论。</w:t>
      </w:r>
    </w:p>
    <w:p w14:paraId="5F44A7F7" w14:textId="77777777" w:rsidR="00495C65" w:rsidRDefault="00495C65" w:rsidP="00495C65">
      <w:pPr>
        <w:pStyle w:val="13"/>
      </w:pPr>
      <w:r>
        <w:rPr>
          <w:rFonts w:hint="eastAsia"/>
        </w:rPr>
        <w:t>委托人应根据专业评审出具的结论认定评估结果或者责令原评估机构予以补正。</w:t>
      </w:r>
    </w:p>
    <w:p w14:paraId="67EC9142" w14:textId="77777777" w:rsidR="00495C65" w:rsidRDefault="00495C65" w:rsidP="00495C65">
      <w:pPr>
        <w:pStyle w:val="13"/>
      </w:pPr>
      <w:r>
        <w:rPr>
          <w:rFonts w:hint="eastAsia"/>
        </w:rPr>
        <w:t>委托人提出申请评审的，应按相关规定的费用标准支付评审费用。</w:t>
      </w:r>
    </w:p>
    <w:p w14:paraId="798D8BB5" w14:textId="3D0280A2" w:rsidR="00495C65" w:rsidRDefault="00E05BDA" w:rsidP="00495C65">
      <w:pPr>
        <w:pStyle w:val="13"/>
        <w:ind w:firstLine="482"/>
      </w:pPr>
      <w:r w:rsidRPr="00E05BDA">
        <w:rPr>
          <w:rFonts w:hint="eastAsia"/>
          <w:b/>
          <w:bCs/>
        </w:rPr>
        <w:t xml:space="preserve">第二十五条 </w:t>
      </w:r>
      <w:r w:rsidR="00495C65">
        <w:t>房地产估价机构在进行实地勘验前，可以要求收取一定费用，比例与委托人协商确定，完成估价后，应当及时通知委托人预付评估费用，收到预付费用</w:t>
      </w:r>
      <w:r w:rsidR="00495C65">
        <w:lastRenderedPageBreak/>
        <w:t>后三日内须将纸质评估报告及相关影像资料交付委托人。</w:t>
      </w:r>
    </w:p>
    <w:p w14:paraId="46358CD3" w14:textId="77777777" w:rsidR="00495C65" w:rsidRDefault="00495C65" w:rsidP="00495C65">
      <w:pPr>
        <w:pStyle w:val="13"/>
      </w:pPr>
      <w:r>
        <w:rPr>
          <w:rFonts w:hint="eastAsia"/>
        </w:rPr>
        <w:t>相关影像资料应按委托人的要求制作。</w:t>
      </w:r>
    </w:p>
    <w:p w14:paraId="0F684E0D" w14:textId="77777777" w:rsidR="00495C65" w:rsidRDefault="00495C65" w:rsidP="00495C65">
      <w:pPr>
        <w:pStyle w:val="13"/>
      </w:pPr>
      <w:r>
        <w:rPr>
          <w:rFonts w:hint="eastAsia"/>
        </w:rPr>
        <w:t>评估费用的标准按相关规定执行。</w:t>
      </w:r>
    </w:p>
    <w:p w14:paraId="2F870292" w14:textId="0085BA5A" w:rsidR="00495C65" w:rsidRDefault="00E05BDA" w:rsidP="00495C65">
      <w:pPr>
        <w:pStyle w:val="13"/>
        <w:ind w:firstLine="482"/>
      </w:pPr>
      <w:r w:rsidRPr="00E05BDA">
        <w:rPr>
          <w:rFonts w:hint="eastAsia"/>
          <w:b/>
          <w:bCs/>
        </w:rPr>
        <w:t xml:space="preserve">第二十六条 </w:t>
      </w:r>
      <w:r w:rsidR="00495C65">
        <w:t>委托人财产处置结束后，房地产估价机构应按以下规定与委托人结算评估费用：</w:t>
      </w:r>
    </w:p>
    <w:p w14:paraId="697A5734" w14:textId="77777777" w:rsidR="00495C65" w:rsidRDefault="00495C65" w:rsidP="00495C65">
      <w:pPr>
        <w:pStyle w:val="13"/>
      </w:pPr>
      <w:r>
        <w:rPr>
          <w:rFonts w:hint="eastAsia"/>
        </w:rPr>
        <w:t>财产处置未成交的，以评估价为基准按相关规定的费用标准计付</w:t>
      </w:r>
      <w:r>
        <w:t>70%费用；财产处置成交价高于评估价的，以评估价为基准按相关规定的费用标准计付费用；财产处置成交价低于评估价的，以成交价为基准按相关规定的费用标准计付费用。</w:t>
      </w:r>
    </w:p>
    <w:p w14:paraId="157060A0" w14:textId="77777777" w:rsidR="00495C65" w:rsidRDefault="00495C65" w:rsidP="00495C65">
      <w:pPr>
        <w:pStyle w:val="13"/>
      </w:pPr>
      <w:r>
        <w:rPr>
          <w:rFonts w:hint="eastAsia"/>
        </w:rPr>
        <w:t>委托人撤回委托评估的，已完成实地勘验的，按预估估价费用标准的</w:t>
      </w:r>
      <w:r>
        <w:t>30%计付费用；已完成估价报告的，以评估价为基准按相关规定的费用标准计付70%费用。</w:t>
      </w:r>
    </w:p>
    <w:p w14:paraId="1337A1D6" w14:textId="77777777" w:rsidR="00495C65" w:rsidRDefault="00495C65" w:rsidP="00495C65">
      <w:pPr>
        <w:pStyle w:val="13"/>
      </w:pPr>
      <w:r>
        <w:rPr>
          <w:rFonts w:hint="eastAsia"/>
        </w:rPr>
        <w:t>委托人要求重新出具估价报告的，以评估价为基准按相关规定的费用标准另行计付</w:t>
      </w:r>
      <w:r>
        <w:t>30%费用。</w:t>
      </w:r>
    </w:p>
    <w:p w14:paraId="58483BB3" w14:textId="77777777" w:rsidR="00495C65" w:rsidRDefault="00495C65" w:rsidP="00AF7342">
      <w:pPr>
        <w:pStyle w:val="a9"/>
        <w:spacing w:before="62" w:after="62"/>
      </w:pPr>
      <w:r>
        <w:rPr>
          <w:rFonts w:hint="eastAsia"/>
        </w:rPr>
        <w:t>第四章</w:t>
      </w:r>
      <w:r>
        <w:t xml:space="preserve"> 房地产司法评估报告</w:t>
      </w:r>
    </w:p>
    <w:p w14:paraId="66271B44" w14:textId="0C959174" w:rsidR="00495C65" w:rsidRPr="00C86FB3" w:rsidRDefault="00E05BDA" w:rsidP="00495C65">
      <w:pPr>
        <w:pStyle w:val="13"/>
        <w:ind w:firstLine="482"/>
      </w:pPr>
      <w:r w:rsidRPr="00E05BDA">
        <w:rPr>
          <w:rFonts w:hint="eastAsia"/>
          <w:b/>
          <w:bCs/>
        </w:rPr>
        <w:t xml:space="preserve">第二十七条 </w:t>
      </w:r>
      <w:r w:rsidR="00495C65">
        <w:t>房地产司法评估报告分为</w:t>
      </w:r>
      <w:proofErr w:type="gramStart"/>
      <w:r w:rsidR="00495C65">
        <w:t>鉴证</w:t>
      </w:r>
      <w:proofErr w:type="gramEnd"/>
      <w:r w:rsidR="00495C65">
        <w:t>性估价报告和咨询性估价报告。</w:t>
      </w:r>
    </w:p>
    <w:p w14:paraId="054DE65C" w14:textId="77777777" w:rsidR="00495C65" w:rsidRDefault="00495C65" w:rsidP="00495C65">
      <w:pPr>
        <w:pStyle w:val="13"/>
      </w:pPr>
      <w:proofErr w:type="gramStart"/>
      <w:r>
        <w:rPr>
          <w:rFonts w:hint="eastAsia"/>
        </w:rPr>
        <w:t>鉴证</w:t>
      </w:r>
      <w:proofErr w:type="gramEnd"/>
      <w:r>
        <w:rPr>
          <w:rFonts w:hint="eastAsia"/>
        </w:rPr>
        <w:t>性估价报告，是指房地产估价机构向委托人出具的起着价值证明作用的报告，</w:t>
      </w:r>
      <w:r>
        <w:t>内容应当包括：估价依据、估价程序、估价方法、报告使用提示等必要信息，使委托人和估价报告使用者了解估价对象的范围，</w:t>
      </w:r>
      <w:proofErr w:type="gramStart"/>
      <w:r>
        <w:t>合理理解</w:t>
      </w:r>
      <w:proofErr w:type="gramEnd"/>
      <w:r>
        <w:t>使用估价结果。房地产司法</w:t>
      </w:r>
      <w:proofErr w:type="gramStart"/>
      <w:r>
        <w:t>鉴证</w:t>
      </w:r>
      <w:proofErr w:type="gramEnd"/>
      <w:r>
        <w:t>性估价，估价报告的名称为“房地产司法评估报告”。</w:t>
      </w:r>
    </w:p>
    <w:p w14:paraId="188B050E" w14:textId="77777777" w:rsidR="00495C65" w:rsidRDefault="00495C65" w:rsidP="00495C65">
      <w:pPr>
        <w:pStyle w:val="13"/>
      </w:pPr>
      <w:r>
        <w:rPr>
          <w:rFonts w:hint="eastAsia"/>
        </w:rPr>
        <w:t>咨询性估价报告，是指受客观原因限制，委托人或有关当事人明知存在估价依据不充分、必要的估价程序不能完全履行的情况下，仍然委托估价而出具的估价报告。委托人和估价报告使用者需在了解估价依据、估价程序等方面存在重大缺失的前提下，</w:t>
      </w:r>
      <w:proofErr w:type="gramStart"/>
      <w:r>
        <w:rPr>
          <w:rFonts w:hint="eastAsia"/>
        </w:rPr>
        <w:t>合理理解</w:t>
      </w:r>
      <w:proofErr w:type="gramEnd"/>
      <w:r>
        <w:rPr>
          <w:rFonts w:hint="eastAsia"/>
        </w:rPr>
        <w:t>使用估价结果。房地产司法咨询性估价，估价报告的名称为“房地产司法咨询报告”。</w:t>
      </w:r>
    </w:p>
    <w:p w14:paraId="284DB551" w14:textId="77777777" w:rsidR="00495C65" w:rsidRDefault="00495C65" w:rsidP="00495C65">
      <w:pPr>
        <w:pStyle w:val="13"/>
      </w:pPr>
      <w:proofErr w:type="gramStart"/>
      <w:r>
        <w:rPr>
          <w:rFonts w:hint="eastAsia"/>
        </w:rPr>
        <w:t>鉴证</w:t>
      </w:r>
      <w:proofErr w:type="gramEnd"/>
      <w:r>
        <w:rPr>
          <w:rFonts w:hint="eastAsia"/>
        </w:rPr>
        <w:t>性估价报告和咨询性估价报告均为房地产估价结果报告。</w:t>
      </w:r>
    </w:p>
    <w:p w14:paraId="4831A5FD" w14:textId="16E6D241" w:rsidR="00495C65" w:rsidRDefault="00E05BDA" w:rsidP="00495C65">
      <w:pPr>
        <w:pStyle w:val="13"/>
        <w:ind w:firstLine="482"/>
      </w:pPr>
      <w:r w:rsidRPr="00E05BDA">
        <w:rPr>
          <w:rFonts w:hint="eastAsia"/>
          <w:b/>
          <w:bCs/>
        </w:rPr>
        <w:t xml:space="preserve">第二十八条 </w:t>
      </w:r>
      <w:r w:rsidR="00495C65">
        <w:t>房地产司法评估报告应当说明估价依据类型，并充分披露下列估价依据的内容：</w:t>
      </w:r>
    </w:p>
    <w:p w14:paraId="33B9B247" w14:textId="77777777" w:rsidR="00495C65" w:rsidRDefault="00495C65" w:rsidP="00495C65">
      <w:pPr>
        <w:pStyle w:val="13"/>
      </w:pPr>
      <w:r>
        <w:rPr>
          <w:rFonts w:hint="eastAsia"/>
        </w:rPr>
        <w:t>（一）经当事人质证、委托人提供的资料；</w:t>
      </w:r>
    </w:p>
    <w:p w14:paraId="75F91FB0" w14:textId="77777777" w:rsidR="00495C65" w:rsidRDefault="00495C65" w:rsidP="00495C65">
      <w:pPr>
        <w:pStyle w:val="13"/>
      </w:pPr>
      <w:r>
        <w:rPr>
          <w:rFonts w:hint="eastAsia"/>
        </w:rPr>
        <w:t>（二）经委托人同意诉讼当事人补充，委托人提供的资料；</w:t>
      </w:r>
    </w:p>
    <w:p w14:paraId="7141913B" w14:textId="77777777" w:rsidR="00495C65" w:rsidRDefault="00495C65" w:rsidP="00495C65">
      <w:pPr>
        <w:pStyle w:val="13"/>
      </w:pPr>
      <w:r>
        <w:rPr>
          <w:rFonts w:hint="eastAsia"/>
        </w:rPr>
        <w:t>（三）委托人调查取得的资料；</w:t>
      </w:r>
    </w:p>
    <w:p w14:paraId="7B6D6CA8" w14:textId="77777777" w:rsidR="00495C65" w:rsidRDefault="00495C65" w:rsidP="00495C65">
      <w:pPr>
        <w:pStyle w:val="13"/>
      </w:pPr>
      <w:r>
        <w:rPr>
          <w:rFonts w:hint="eastAsia"/>
        </w:rPr>
        <w:t>（四）房地产估价机构依据估价程序取得的资料；</w:t>
      </w:r>
    </w:p>
    <w:p w14:paraId="2FEE5C59" w14:textId="77777777" w:rsidR="00495C65" w:rsidRDefault="00495C65" w:rsidP="00495C65">
      <w:pPr>
        <w:pStyle w:val="13"/>
      </w:pPr>
      <w:r>
        <w:rPr>
          <w:rFonts w:hint="eastAsia"/>
        </w:rPr>
        <w:t>（五）其他。</w:t>
      </w:r>
    </w:p>
    <w:p w14:paraId="66598AC9" w14:textId="77777777" w:rsidR="00495C65" w:rsidRDefault="00495C65" w:rsidP="00495C65">
      <w:pPr>
        <w:pStyle w:val="13"/>
      </w:pPr>
      <w:r>
        <w:rPr>
          <w:rFonts w:hint="eastAsia"/>
        </w:rPr>
        <w:t>房地产司法评估依据缺失的，应当在估价报告中说明原因及委托人设定的鉴定条件，</w:t>
      </w:r>
      <w:r>
        <w:t>并对估价程序、估价依据和估价规范等标准的执行，以及报告的使用限制等方面做出特别提示说明。</w:t>
      </w:r>
    </w:p>
    <w:p w14:paraId="142E33AA" w14:textId="77777777" w:rsidR="00495C65" w:rsidRDefault="00495C65" w:rsidP="00AF7342">
      <w:pPr>
        <w:pStyle w:val="a9"/>
        <w:spacing w:before="62" w:after="62"/>
      </w:pPr>
      <w:r>
        <w:rPr>
          <w:rFonts w:hint="eastAsia"/>
        </w:rPr>
        <w:lastRenderedPageBreak/>
        <w:t>第五章</w:t>
      </w:r>
      <w:r>
        <w:t xml:space="preserve"> 房地产司法评估的质证</w:t>
      </w:r>
    </w:p>
    <w:p w14:paraId="4B80B0C9" w14:textId="25C069FB" w:rsidR="00495C65" w:rsidRDefault="00E05BDA" w:rsidP="00495C65">
      <w:pPr>
        <w:pStyle w:val="13"/>
        <w:ind w:firstLine="482"/>
      </w:pPr>
      <w:r w:rsidRPr="00E05BDA">
        <w:rPr>
          <w:rFonts w:hint="eastAsia"/>
          <w:b/>
          <w:bCs/>
        </w:rPr>
        <w:t xml:space="preserve">第二十九条 </w:t>
      </w:r>
      <w:r w:rsidR="00495C65">
        <w:t>承办房地产司法评估的注册房地产估价师有出庭接受质询的义务，就委托人及当事人围绕估价的相关问题提出的质疑和询问，应当给予回答、进行说明。应当回答的问题包括但不限于是否具有执业胜任能力；是否保持了估价的独立性；注册房地产估价师从事司法评估中是否遵循职业操守；估价程序或操作流程是否符合相应行业规范准则，估价报告的合法性、公允性、客观性等。</w:t>
      </w:r>
    </w:p>
    <w:p w14:paraId="230AF96B" w14:textId="4D96551C" w:rsidR="00495C65" w:rsidRDefault="00E05BDA" w:rsidP="00495C65">
      <w:pPr>
        <w:pStyle w:val="13"/>
        <w:ind w:firstLine="482"/>
      </w:pPr>
      <w:r w:rsidRPr="00E05BDA">
        <w:rPr>
          <w:rFonts w:hint="eastAsia"/>
          <w:b/>
          <w:bCs/>
        </w:rPr>
        <w:t xml:space="preserve">第三十条 </w:t>
      </w:r>
      <w:r w:rsidR="00495C65">
        <w:t>就司法评估报告的有关内容，注册房地产估价师出庭时应当关注：</w:t>
      </w:r>
    </w:p>
    <w:p w14:paraId="770F5502" w14:textId="77777777" w:rsidR="00495C65" w:rsidRDefault="00495C65" w:rsidP="00495C65">
      <w:pPr>
        <w:pStyle w:val="13"/>
      </w:pPr>
      <w:r>
        <w:rPr>
          <w:rFonts w:hint="eastAsia"/>
        </w:rPr>
        <w:t>（一）司法评估报告的完整性，即报告是否存在重大疏漏或缺项；</w:t>
      </w:r>
    </w:p>
    <w:p w14:paraId="223D3772" w14:textId="77777777" w:rsidR="00495C65" w:rsidRDefault="00495C65" w:rsidP="00495C65">
      <w:pPr>
        <w:pStyle w:val="13"/>
      </w:pPr>
      <w:r>
        <w:rPr>
          <w:rFonts w:hint="eastAsia"/>
        </w:rPr>
        <w:t>（二）司法评估报告的附件资料的来源，及其真实性、合法性和完整性；</w:t>
      </w:r>
    </w:p>
    <w:p w14:paraId="2184E4DC" w14:textId="77777777" w:rsidR="00495C65" w:rsidRDefault="00495C65" w:rsidP="00495C65">
      <w:pPr>
        <w:pStyle w:val="13"/>
      </w:pPr>
      <w:r>
        <w:rPr>
          <w:rFonts w:hint="eastAsia"/>
        </w:rPr>
        <w:t>（三）房地产司法评估方法、估价技术路线等，是否存在不当或违反行业规范等；</w:t>
      </w:r>
    </w:p>
    <w:p w14:paraId="024C9A9A" w14:textId="77777777" w:rsidR="00495C65" w:rsidRDefault="00495C65" w:rsidP="00495C65">
      <w:pPr>
        <w:pStyle w:val="13"/>
      </w:pPr>
      <w:r>
        <w:rPr>
          <w:rFonts w:hint="eastAsia"/>
        </w:rPr>
        <w:t>（四）司法评估结果是否存在重大价值差异；</w:t>
      </w:r>
    </w:p>
    <w:p w14:paraId="4FD3AEC8" w14:textId="77777777" w:rsidR="00495C65" w:rsidRDefault="00495C65" w:rsidP="00495C65">
      <w:pPr>
        <w:pStyle w:val="13"/>
      </w:pPr>
      <w:r>
        <w:rPr>
          <w:rFonts w:hint="eastAsia"/>
        </w:rPr>
        <w:t>（五）注册房地产估价师及估价机构是否签名盖章。</w:t>
      </w:r>
    </w:p>
    <w:p w14:paraId="06E50847" w14:textId="4C570A39" w:rsidR="00495C65" w:rsidRDefault="003B2FB1" w:rsidP="00495C65">
      <w:pPr>
        <w:pStyle w:val="13"/>
        <w:ind w:firstLine="482"/>
      </w:pPr>
      <w:r w:rsidRPr="003B2FB1">
        <w:rPr>
          <w:rFonts w:hint="eastAsia"/>
          <w:b/>
          <w:bCs/>
        </w:rPr>
        <w:t xml:space="preserve">第三十一条 </w:t>
      </w:r>
      <w:r w:rsidR="00495C65">
        <w:t>出庭人员应向法庭提交房地产估价机构指派出庭作证的公函，出示其</w:t>
      </w:r>
      <w:r w:rsidR="00495C65">
        <w:rPr>
          <w:rFonts w:hint="eastAsia"/>
        </w:rPr>
        <w:t>《房地产估价师注册证书》并提交复印件，必要时可以经法庭许可后提交在估价过程中收集的相关资料、所依据的技术标准和估价规范准则等。</w:t>
      </w:r>
    </w:p>
    <w:p w14:paraId="1B7B3934" w14:textId="335EE396" w:rsidR="00495C65" w:rsidRDefault="003B2FB1" w:rsidP="00495C65">
      <w:pPr>
        <w:pStyle w:val="13"/>
        <w:ind w:firstLine="482"/>
      </w:pPr>
      <w:r w:rsidRPr="003B2FB1">
        <w:rPr>
          <w:rFonts w:hint="eastAsia"/>
          <w:b/>
          <w:bCs/>
        </w:rPr>
        <w:t xml:space="preserve">第三十二条 </w:t>
      </w:r>
      <w:r w:rsidR="00495C65">
        <w:t>以书面方式作证时，应当针对诉讼当事人提出的估价异议、法庭提出的问题给予解释或者说明，必要时可以附具在估价过程中收集的相关资料、所依据的技术标准和估价规范准则相关条文等。如果注册房地产估价师认为某一事项或问题与估价过程、评估报告无关，可以向法庭明确提出；若法庭明确要求作证时，应提供书面资料。</w:t>
      </w:r>
    </w:p>
    <w:p w14:paraId="614E3636" w14:textId="77777777" w:rsidR="00495C65" w:rsidRDefault="00495C65" w:rsidP="00495C65">
      <w:pPr>
        <w:pStyle w:val="13"/>
      </w:pPr>
      <w:r>
        <w:t>书面证言应当由被指定作证的注册房地产估价师签名，其所在房地产估价机构负责</w:t>
      </w:r>
      <w:r>
        <w:rPr>
          <w:rFonts w:hint="eastAsia"/>
        </w:rPr>
        <w:t>人签名或盖章，并加盖房地产估价机构印章。</w:t>
      </w:r>
    </w:p>
    <w:p w14:paraId="1082A9E9" w14:textId="281D3899" w:rsidR="00495C65" w:rsidRDefault="003B2FB1" w:rsidP="00495C65">
      <w:pPr>
        <w:pStyle w:val="13"/>
        <w:ind w:firstLine="482"/>
      </w:pPr>
      <w:r w:rsidRPr="003B2FB1">
        <w:rPr>
          <w:rFonts w:hint="eastAsia"/>
          <w:b/>
          <w:bCs/>
        </w:rPr>
        <w:t xml:space="preserve">第三十三条 </w:t>
      </w:r>
      <w:r w:rsidR="00495C65">
        <w:t>具有房地产司法评估资格的房地产估价机构的注册房地产估价师，可以受当事人的聘请，经当事人向人民法院申请同意，以专家证人或者专家辅助人身份出庭，就案件的房地产司法评估专门性问题进行说明。</w:t>
      </w:r>
    </w:p>
    <w:p w14:paraId="7FBCFF85" w14:textId="15D591DC" w:rsidR="00495C65" w:rsidRDefault="003B2FB1" w:rsidP="00495C65">
      <w:pPr>
        <w:pStyle w:val="13"/>
        <w:ind w:firstLine="482"/>
      </w:pPr>
      <w:r w:rsidRPr="003B2FB1">
        <w:rPr>
          <w:rFonts w:hint="eastAsia"/>
          <w:b/>
          <w:bCs/>
        </w:rPr>
        <w:t xml:space="preserve">第三十四条 </w:t>
      </w:r>
      <w:r w:rsidR="00495C65">
        <w:t>以专家证人身份出庭的注册房地产估价师，应当向法庭提交房地产估价机构指派其本人出庭的公函，出示其《房地产估价师注册证书》并提交复印件。应当回答审判人员和当事人就房地产司法评估专门性问题的询问，经法官允许，可以对承办房地产司法评估的注册房地产估价师进行询问。经人民法院准许，当事人各自申请的以专家辅助人身份出庭的注册房地产估价师可以就案件中的房地产司法评估问题进行对质，对质内容应限于估价报告出具日的估价规范标准、技术水平及行业惯例。</w:t>
      </w:r>
    </w:p>
    <w:p w14:paraId="10A39425" w14:textId="77777777" w:rsidR="00495C65" w:rsidRDefault="00495C65" w:rsidP="00AF7342">
      <w:pPr>
        <w:pStyle w:val="a9"/>
        <w:spacing w:before="62" w:after="62"/>
      </w:pPr>
      <w:r>
        <w:rPr>
          <w:rFonts w:hint="eastAsia"/>
        </w:rPr>
        <w:t>第六章</w:t>
      </w:r>
      <w:r>
        <w:t xml:space="preserve"> 附 则</w:t>
      </w:r>
    </w:p>
    <w:p w14:paraId="6E77089C" w14:textId="444D85E6" w:rsidR="00495C65" w:rsidRDefault="003B2FB1" w:rsidP="00495C65">
      <w:pPr>
        <w:pStyle w:val="13"/>
        <w:ind w:firstLine="482"/>
      </w:pPr>
      <w:r w:rsidRPr="003B2FB1">
        <w:rPr>
          <w:rFonts w:hint="eastAsia"/>
          <w:b/>
          <w:bCs/>
        </w:rPr>
        <w:t xml:space="preserve">第三十五条 </w:t>
      </w:r>
      <w:r w:rsidR="00495C65">
        <w:t>在房地产司法评估活动中，本意见未作规定的事项，应当按照《房</w:t>
      </w:r>
      <w:r w:rsidR="00495C65">
        <w:lastRenderedPageBreak/>
        <w:t>地产估价规范》执行。司法评估所涉及的估价方法、技术路线，本会将另行制定《房地产司法评估技术指引》予以规范。</w:t>
      </w:r>
    </w:p>
    <w:p w14:paraId="67923936" w14:textId="7198FD5B" w:rsidR="00495C65" w:rsidRDefault="003B2FB1" w:rsidP="00495C65">
      <w:pPr>
        <w:pStyle w:val="13"/>
        <w:ind w:firstLine="482"/>
      </w:pPr>
      <w:r w:rsidRPr="003B2FB1">
        <w:rPr>
          <w:rFonts w:hint="eastAsia"/>
          <w:b/>
          <w:bCs/>
        </w:rPr>
        <w:t xml:space="preserve">第三十六条 </w:t>
      </w:r>
      <w:r w:rsidR="00495C65">
        <w:t>仲裁、行政处罚中涉及的房地产估价，参照本意见执行。</w:t>
      </w:r>
    </w:p>
    <w:p w14:paraId="6FA9C639" w14:textId="03C6DCFE" w:rsidR="00495C65" w:rsidRDefault="003B2FB1" w:rsidP="00495C65">
      <w:pPr>
        <w:pStyle w:val="13"/>
        <w:ind w:firstLine="482"/>
      </w:pPr>
      <w:r w:rsidRPr="003B2FB1">
        <w:rPr>
          <w:b/>
          <w:bCs/>
        </w:rPr>
        <w:t xml:space="preserve">第三十七条 </w:t>
      </w:r>
      <w:r w:rsidR="00495C65">
        <w:t>本意见由浙江省房地产估价师与经纪人协会负责解释。</w:t>
      </w:r>
    </w:p>
    <w:p w14:paraId="5F267157" w14:textId="143E5C4B" w:rsidR="00495C65" w:rsidRDefault="003B2FB1" w:rsidP="00495C65">
      <w:pPr>
        <w:pStyle w:val="13"/>
        <w:ind w:firstLine="482"/>
      </w:pPr>
      <w:r w:rsidRPr="003B2FB1">
        <w:rPr>
          <w:b/>
          <w:bCs/>
        </w:rPr>
        <w:t xml:space="preserve">第三十八条 </w:t>
      </w:r>
      <w:proofErr w:type="gramStart"/>
      <w:r w:rsidR="00495C65">
        <w:t>本意见自发布</w:t>
      </w:r>
      <w:proofErr w:type="gramEnd"/>
      <w:r w:rsidR="00495C65">
        <w:t>之日起施行。</w:t>
      </w:r>
    </w:p>
    <w:p w14:paraId="60D70187" w14:textId="77777777" w:rsidR="00495C65" w:rsidRDefault="00495C65" w:rsidP="00495C65">
      <w:pPr>
        <w:pStyle w:val="31"/>
        <w:spacing w:before="156" w:after="62"/>
      </w:pPr>
      <w:bookmarkStart w:id="170" w:name="_Toc81833410"/>
      <w:r>
        <w:rPr>
          <w:rFonts w:hint="eastAsia"/>
        </w:rPr>
        <w:t>浙江省地下空间估价技术指引（试行）（</w:t>
      </w:r>
      <w:proofErr w:type="gramStart"/>
      <w:r>
        <w:rPr>
          <w:rFonts w:hint="eastAsia"/>
        </w:rPr>
        <w:t>浙估协</w:t>
      </w:r>
      <w:proofErr w:type="gramEnd"/>
      <w:r>
        <w:rPr>
          <w:rFonts w:hint="eastAsia"/>
        </w:rPr>
        <w:t>〔</w:t>
      </w:r>
      <w:r>
        <w:t>2019〕24号）</w:t>
      </w:r>
      <w:bookmarkEnd w:id="170"/>
    </w:p>
    <w:p w14:paraId="3362799A" w14:textId="77777777" w:rsidR="00495C65" w:rsidRDefault="00495C65" w:rsidP="00495C65">
      <w:pPr>
        <w:pStyle w:val="13"/>
      </w:pPr>
      <w:r>
        <w:rPr>
          <w:rFonts w:hint="eastAsia"/>
        </w:rPr>
        <w:t>为规范地下空间估价行为，保证估价结果的客观合理性，根据《中华人民共和国资产评估法》、《房地产估价规范》及相关法规、技术标准，结合地下空间房地产特点和浙江省地下空间开发利用情况，制定本技术指引。</w:t>
      </w:r>
    </w:p>
    <w:p w14:paraId="63DFCF73" w14:textId="77777777" w:rsidR="00495C65" w:rsidRDefault="00495C65" w:rsidP="00495C65">
      <w:pPr>
        <w:pStyle w:val="ab"/>
        <w:spacing w:before="62" w:after="62"/>
        <w:ind w:firstLine="482"/>
      </w:pPr>
      <w:r>
        <w:rPr>
          <w:rFonts w:hint="eastAsia"/>
        </w:rPr>
        <w:t>一、适用范围</w:t>
      </w:r>
    </w:p>
    <w:p w14:paraId="1C266C0F" w14:textId="77777777" w:rsidR="00495C65" w:rsidRDefault="00495C65" w:rsidP="00495C65">
      <w:pPr>
        <w:pStyle w:val="13"/>
      </w:pPr>
      <w:r>
        <w:t>1、本指引所称地下空间，是指地表以下的空间，分为结合地面建筑一并开发建设的结建地下空间和独立开发建设的单建地下空间。</w:t>
      </w:r>
    </w:p>
    <w:p w14:paraId="090C49E7" w14:textId="77777777" w:rsidR="00495C65" w:rsidRDefault="00495C65" w:rsidP="00495C65">
      <w:pPr>
        <w:pStyle w:val="13"/>
      </w:pPr>
      <w:r>
        <w:t>2、根据我省地下空间开发利用情况和估价业务需求，本指引主要针对规划用途为停车、商业、仓储等地下空间估价而制定。其他用途或功能的地下空间估价，可参照本指引。</w:t>
      </w:r>
    </w:p>
    <w:p w14:paraId="377BDD37" w14:textId="77777777" w:rsidR="00495C65" w:rsidRDefault="00495C65" w:rsidP="00495C65">
      <w:pPr>
        <w:pStyle w:val="13"/>
      </w:pPr>
      <w:r>
        <w:t>3、本指引适用于地下空间抵押、转让、租赁、税收、拍卖、诉讼、损害赔偿、保险、出资、分割或合并、投资及需要进行地下空间估价的其他情形。</w:t>
      </w:r>
    </w:p>
    <w:p w14:paraId="25E24699" w14:textId="77777777" w:rsidR="00495C65" w:rsidRDefault="00495C65" w:rsidP="00495C65">
      <w:pPr>
        <w:pStyle w:val="ab"/>
        <w:spacing w:before="62" w:after="62"/>
        <w:ind w:firstLine="482"/>
      </w:pPr>
      <w:r>
        <w:rPr>
          <w:rFonts w:hint="eastAsia"/>
        </w:rPr>
        <w:t>二、基本要求</w:t>
      </w:r>
    </w:p>
    <w:p w14:paraId="74BB1739" w14:textId="77777777" w:rsidR="00495C65" w:rsidRDefault="00495C65" w:rsidP="00495C65">
      <w:pPr>
        <w:pStyle w:val="13"/>
      </w:pPr>
      <w:r>
        <w:t>1、地下空间估价，应充分考虑地下空间的特殊性，根据估价目的和项目整体情况，明确估价对象的界限范围和价值内涵，合理地进行单建或结建地下空间的价值评估。</w:t>
      </w:r>
    </w:p>
    <w:p w14:paraId="4876D606" w14:textId="77777777" w:rsidR="00495C65" w:rsidRDefault="00495C65" w:rsidP="00495C65">
      <w:pPr>
        <w:pStyle w:val="13"/>
      </w:pPr>
      <w:r>
        <w:t>2、地下空间估价，应充分关注并遵循估价对象所在地有关地下空间的开发利用、不动产登记、权利限制及优惠政策等规定。</w:t>
      </w:r>
    </w:p>
    <w:p w14:paraId="11FD88D0" w14:textId="77777777" w:rsidR="00495C65" w:rsidRDefault="00495C65" w:rsidP="00495C65">
      <w:pPr>
        <w:pStyle w:val="13"/>
      </w:pPr>
      <w:r>
        <w:t>3、估价对象应符合估价目的对应经济行为的处分要求。</w:t>
      </w:r>
    </w:p>
    <w:p w14:paraId="467644DE" w14:textId="77777777" w:rsidR="00495C65" w:rsidRDefault="00495C65" w:rsidP="00495C65">
      <w:pPr>
        <w:pStyle w:val="13"/>
      </w:pPr>
      <w:r>
        <w:t>4、注册房地产估价师应具备地下空间相关专业知识、估价经验和专业胜任能力。</w:t>
      </w:r>
    </w:p>
    <w:p w14:paraId="423CC00E" w14:textId="77777777" w:rsidR="00495C65" w:rsidRDefault="00495C65" w:rsidP="00495C65">
      <w:pPr>
        <w:pStyle w:val="ab"/>
        <w:spacing w:before="62" w:after="62"/>
        <w:ind w:firstLine="482"/>
      </w:pPr>
      <w:r>
        <w:t>三、估价原则</w:t>
      </w:r>
    </w:p>
    <w:p w14:paraId="2FA0B6E6" w14:textId="77777777" w:rsidR="00495C65" w:rsidRDefault="00495C65" w:rsidP="00495C65">
      <w:pPr>
        <w:pStyle w:val="13"/>
      </w:pPr>
      <w:r>
        <w:rPr>
          <w:rFonts w:hint="eastAsia"/>
        </w:rPr>
        <w:t>地下空间估价，应根据估价目的和价值类型确定估价原则。除遵循《房地产估价规范》相关估价原则外，还应遵循以下原则：</w:t>
      </w:r>
    </w:p>
    <w:p w14:paraId="439558EA" w14:textId="77777777" w:rsidR="00495C65" w:rsidRDefault="00495C65" w:rsidP="00495C65">
      <w:pPr>
        <w:pStyle w:val="13"/>
      </w:pPr>
      <w:r>
        <w:t>1、经济效益原则</w:t>
      </w:r>
    </w:p>
    <w:p w14:paraId="5380EE29" w14:textId="77777777" w:rsidR="00495C65" w:rsidRDefault="00495C65" w:rsidP="00495C65">
      <w:pPr>
        <w:pStyle w:val="13"/>
      </w:pPr>
      <w:r>
        <w:rPr>
          <w:rFonts w:hint="eastAsia"/>
        </w:rPr>
        <w:t>地下空间的开发和利用，通常具有社会效益、经济效益、战备效益和环境效益。本指引地下空间估价，主要以地下空间的经济效益为主进行估价（投资效益分析等咨询性报告除外）。</w:t>
      </w:r>
    </w:p>
    <w:p w14:paraId="143D7CFB" w14:textId="77777777" w:rsidR="00495C65" w:rsidRDefault="00495C65" w:rsidP="00495C65">
      <w:pPr>
        <w:pStyle w:val="13"/>
      </w:pPr>
      <w:r>
        <w:t>2、整体性原则</w:t>
      </w:r>
    </w:p>
    <w:p w14:paraId="15F053BF" w14:textId="77777777" w:rsidR="00495C65" w:rsidRDefault="00495C65" w:rsidP="00495C65">
      <w:pPr>
        <w:pStyle w:val="13"/>
      </w:pPr>
      <w:r>
        <w:rPr>
          <w:rFonts w:hint="eastAsia"/>
        </w:rPr>
        <w:lastRenderedPageBreak/>
        <w:t>地下空间估价应与地面空间功能相结合，并考虑地上空间、地下空间的互联互通及其整体性对估价对象的价值影响。</w:t>
      </w:r>
    </w:p>
    <w:p w14:paraId="3FC98075" w14:textId="77777777" w:rsidR="00495C65" w:rsidRDefault="00495C65" w:rsidP="00495C65">
      <w:pPr>
        <w:pStyle w:val="13"/>
      </w:pPr>
      <w:r>
        <w:t>3、成本效用均衡原则</w:t>
      </w:r>
    </w:p>
    <w:p w14:paraId="3051D994" w14:textId="77777777" w:rsidR="00495C65" w:rsidRDefault="00495C65" w:rsidP="00495C65">
      <w:pPr>
        <w:pStyle w:val="13"/>
      </w:pPr>
      <w:r>
        <w:rPr>
          <w:rFonts w:hint="eastAsia"/>
        </w:rPr>
        <w:t>地下空间的开发成本应与其预期产生的效用或经济效益相当。结建地下空间估价时，</w:t>
      </w:r>
      <w:r>
        <w:t>其开发成本应按假定为单建地下空间的客观开发成本考虑，不宜采用整个结建项目地下工程的开发成本指标进行估价。</w:t>
      </w:r>
    </w:p>
    <w:p w14:paraId="4F14CAC5" w14:textId="77777777" w:rsidR="00495C65" w:rsidRDefault="00495C65" w:rsidP="00495C65">
      <w:pPr>
        <w:pStyle w:val="ab"/>
        <w:spacing w:before="62" w:after="62"/>
        <w:ind w:firstLine="482"/>
      </w:pPr>
      <w:r>
        <w:rPr>
          <w:rFonts w:hint="eastAsia"/>
        </w:rPr>
        <w:t>四、资料搜集</w:t>
      </w:r>
    </w:p>
    <w:p w14:paraId="6BB3D6C2" w14:textId="77777777" w:rsidR="00495C65" w:rsidRDefault="00495C65" w:rsidP="00495C65">
      <w:pPr>
        <w:pStyle w:val="13"/>
      </w:pPr>
      <w:r>
        <w:t>1、需由委托人提供的资料，主要包括：</w:t>
      </w:r>
    </w:p>
    <w:p w14:paraId="6D42BF98" w14:textId="77777777" w:rsidR="00495C65" w:rsidRDefault="00495C65" w:rsidP="00495C65">
      <w:pPr>
        <w:pStyle w:val="13"/>
      </w:pPr>
      <w:r>
        <w:rPr>
          <w:rFonts w:hint="eastAsia"/>
        </w:rPr>
        <w:t>①权属证明和《国有土地使用权出让合同》或《国有土地划拨决定书》等资料；</w:t>
      </w:r>
    </w:p>
    <w:p w14:paraId="34BD1272" w14:textId="77777777" w:rsidR="00495C65" w:rsidRDefault="00495C65" w:rsidP="00495C65">
      <w:pPr>
        <w:pStyle w:val="13"/>
      </w:pPr>
      <w:r>
        <w:rPr>
          <w:rFonts w:hint="eastAsia"/>
        </w:rPr>
        <w:t>②房屋租赁合同或损益表（自营）等收益资料；</w:t>
      </w:r>
    </w:p>
    <w:p w14:paraId="54796C5D" w14:textId="77777777" w:rsidR="00495C65" w:rsidRDefault="00495C65" w:rsidP="00495C65">
      <w:pPr>
        <w:pStyle w:val="13"/>
      </w:pPr>
      <w:r>
        <w:rPr>
          <w:rFonts w:hint="eastAsia"/>
        </w:rPr>
        <w:t>③允许分割转让的销售资料；</w:t>
      </w:r>
    </w:p>
    <w:p w14:paraId="513F1A87" w14:textId="77777777" w:rsidR="00495C65" w:rsidRDefault="00495C65" w:rsidP="00495C65">
      <w:pPr>
        <w:pStyle w:val="13"/>
      </w:pPr>
      <w:r>
        <w:rPr>
          <w:rFonts w:hint="eastAsia"/>
        </w:rPr>
        <w:t>④工程预（结）算资料；</w:t>
      </w:r>
    </w:p>
    <w:p w14:paraId="7CE998B6" w14:textId="77777777" w:rsidR="00495C65" w:rsidRDefault="00495C65" w:rsidP="00495C65">
      <w:pPr>
        <w:pStyle w:val="13"/>
      </w:pPr>
      <w:r>
        <w:rPr>
          <w:rFonts w:hint="eastAsia"/>
        </w:rPr>
        <w:t>⑤地下空间土地出让金或划拨土地政府收益金缴</w:t>
      </w:r>
      <w:proofErr w:type="gramStart"/>
      <w:r>
        <w:rPr>
          <w:rFonts w:hint="eastAsia"/>
        </w:rPr>
        <w:t>讫</w:t>
      </w:r>
      <w:proofErr w:type="gramEnd"/>
      <w:r>
        <w:rPr>
          <w:rFonts w:hint="eastAsia"/>
        </w:rPr>
        <w:t>证明；</w:t>
      </w:r>
    </w:p>
    <w:p w14:paraId="28947EFF" w14:textId="77777777" w:rsidR="00495C65" w:rsidRDefault="00495C65" w:rsidP="00495C65">
      <w:pPr>
        <w:pStyle w:val="13"/>
      </w:pPr>
      <w:r>
        <w:rPr>
          <w:rFonts w:hint="eastAsia"/>
        </w:rPr>
        <w:t>⑥项目中涉及地下空间的政府相关批复文件等资料；</w:t>
      </w:r>
    </w:p>
    <w:p w14:paraId="63D8C04C" w14:textId="77777777" w:rsidR="00495C65" w:rsidRDefault="00495C65" w:rsidP="00495C65">
      <w:pPr>
        <w:pStyle w:val="13"/>
      </w:pPr>
      <w:r>
        <w:rPr>
          <w:rFonts w:hint="eastAsia"/>
        </w:rPr>
        <w:t>⑦根据估价对象、估价目的、价值类型需要提供的其他资料。</w:t>
      </w:r>
    </w:p>
    <w:p w14:paraId="0D55FE47" w14:textId="77777777" w:rsidR="00495C65" w:rsidRDefault="00495C65" w:rsidP="00495C65">
      <w:pPr>
        <w:pStyle w:val="13"/>
      </w:pPr>
      <w:r>
        <w:t>2、需由估价师搜集的资料，主要包括：</w:t>
      </w:r>
    </w:p>
    <w:p w14:paraId="37089507" w14:textId="77777777" w:rsidR="00495C65" w:rsidRDefault="00495C65" w:rsidP="00495C65">
      <w:pPr>
        <w:pStyle w:val="13"/>
      </w:pPr>
      <w:r>
        <w:rPr>
          <w:rFonts w:hint="eastAsia"/>
        </w:rPr>
        <w:t>①反映估价对象区位、实物、权益状况的资料；</w:t>
      </w:r>
    </w:p>
    <w:p w14:paraId="5F49FFF6" w14:textId="77777777" w:rsidR="00495C65" w:rsidRDefault="00495C65" w:rsidP="00495C65">
      <w:pPr>
        <w:pStyle w:val="13"/>
      </w:pPr>
      <w:r>
        <w:rPr>
          <w:rFonts w:hint="eastAsia"/>
        </w:rPr>
        <w:t>②反映估价对象及其同类房地产的交易、收益、成本等资料；</w:t>
      </w:r>
    </w:p>
    <w:p w14:paraId="34ED7914" w14:textId="77777777" w:rsidR="00495C65" w:rsidRDefault="00495C65" w:rsidP="00495C65">
      <w:pPr>
        <w:pStyle w:val="13"/>
      </w:pPr>
      <w:r>
        <w:rPr>
          <w:rFonts w:hint="eastAsia"/>
        </w:rPr>
        <w:t>③当地经济发展状况、房地产市场整体状况和地下空间房地产市场状况等资料；</w:t>
      </w:r>
    </w:p>
    <w:p w14:paraId="154ABFA5" w14:textId="77777777" w:rsidR="00495C65" w:rsidRDefault="00495C65" w:rsidP="00495C65">
      <w:pPr>
        <w:pStyle w:val="13"/>
      </w:pPr>
      <w:r>
        <w:rPr>
          <w:rFonts w:hint="eastAsia"/>
        </w:rPr>
        <w:t>④国家及当地的地下空间开发利用、建设用地使用权供应与取得、权利登记、权利限制、优惠政策等资料；</w:t>
      </w:r>
    </w:p>
    <w:p w14:paraId="6FA6EC70" w14:textId="77777777" w:rsidR="00495C65" w:rsidRDefault="00495C65" w:rsidP="00495C65">
      <w:pPr>
        <w:pStyle w:val="13"/>
      </w:pPr>
      <w:r>
        <w:rPr>
          <w:rFonts w:hint="eastAsia"/>
        </w:rPr>
        <w:t>⑤当地的地下空间总体规划、详细规划概况和地下空间的开发利用现状；</w:t>
      </w:r>
    </w:p>
    <w:p w14:paraId="71C97A2C" w14:textId="77777777" w:rsidR="00495C65" w:rsidRDefault="00495C65" w:rsidP="00495C65">
      <w:pPr>
        <w:pStyle w:val="13"/>
      </w:pPr>
      <w:r>
        <w:rPr>
          <w:rFonts w:hint="eastAsia"/>
        </w:rPr>
        <w:t>⑥当地的地下空间土地使用权出让或划拨成交案例资料；</w:t>
      </w:r>
    </w:p>
    <w:p w14:paraId="5960E2FE" w14:textId="77777777" w:rsidR="00495C65" w:rsidRDefault="00495C65" w:rsidP="00495C65">
      <w:pPr>
        <w:pStyle w:val="13"/>
      </w:pPr>
      <w:r>
        <w:rPr>
          <w:rFonts w:hint="eastAsia"/>
        </w:rPr>
        <w:t>⑦当地的地下空间建造成本及相关成本费用等资料；</w:t>
      </w:r>
    </w:p>
    <w:p w14:paraId="74F11199" w14:textId="77777777" w:rsidR="00495C65" w:rsidRDefault="00495C65" w:rsidP="00495C65">
      <w:pPr>
        <w:pStyle w:val="13"/>
      </w:pPr>
      <w:r>
        <w:rPr>
          <w:rFonts w:hint="eastAsia"/>
        </w:rPr>
        <w:t>⑧根据估价对象、估价目的、价值类型需要搜集的其他资料。</w:t>
      </w:r>
    </w:p>
    <w:p w14:paraId="5F3D06ED" w14:textId="77777777" w:rsidR="00495C65" w:rsidRDefault="00495C65" w:rsidP="00495C65">
      <w:pPr>
        <w:pStyle w:val="ab"/>
        <w:spacing w:before="62" w:after="62"/>
        <w:ind w:firstLine="482"/>
      </w:pPr>
      <w:r>
        <w:rPr>
          <w:rFonts w:hint="eastAsia"/>
        </w:rPr>
        <w:t>五、现场查勘</w:t>
      </w:r>
    </w:p>
    <w:p w14:paraId="433FA51D" w14:textId="77777777" w:rsidR="00495C65" w:rsidRDefault="00495C65" w:rsidP="00495C65">
      <w:pPr>
        <w:pStyle w:val="13"/>
      </w:pPr>
      <w:r>
        <w:t>1、查勘顺序</w:t>
      </w:r>
    </w:p>
    <w:p w14:paraId="7BAE1C67" w14:textId="77777777" w:rsidR="00495C65" w:rsidRDefault="00495C65" w:rsidP="00495C65">
      <w:pPr>
        <w:pStyle w:val="13"/>
      </w:pPr>
      <w:r>
        <w:rPr>
          <w:rFonts w:hint="eastAsia"/>
        </w:rPr>
        <w:t>相对地上建筑而言，地下空间通常具有隐蔽性。注册房地产估价师在明确估价基本事项的基础上，结合单建或结建情况，宜遵循先地上后地下、先室外后室内、先整体后局部的顺序进行现场查勘，并依顺序做好查勘记录。</w:t>
      </w:r>
    </w:p>
    <w:p w14:paraId="61849793" w14:textId="77777777" w:rsidR="00495C65" w:rsidRDefault="00495C65" w:rsidP="00495C65">
      <w:pPr>
        <w:pStyle w:val="13"/>
      </w:pPr>
      <w:r>
        <w:t>2、现场查勘表</w:t>
      </w:r>
    </w:p>
    <w:p w14:paraId="36B7BB7E" w14:textId="77777777" w:rsidR="00495C65" w:rsidRDefault="00495C65" w:rsidP="00495C65">
      <w:pPr>
        <w:pStyle w:val="13"/>
      </w:pPr>
      <w:r w:rsidRPr="00C35C07">
        <w:rPr>
          <w:rFonts w:hint="eastAsia"/>
        </w:rPr>
        <w:t>现场查勘表参考格式详见表</w:t>
      </w:r>
      <w:r w:rsidRPr="00C35C07">
        <w:t>1《地下空间现场查勘表》</w:t>
      </w:r>
      <w:r>
        <w:rPr>
          <w:rFonts w:hint="eastAsia"/>
        </w:rPr>
        <w:t>。</w:t>
      </w:r>
    </w:p>
    <w:p w14:paraId="41A0A97D" w14:textId="77777777" w:rsidR="00495C65" w:rsidRDefault="00495C65" w:rsidP="00495C65">
      <w:pPr>
        <w:pStyle w:val="13"/>
      </w:pPr>
      <w:r>
        <w:rPr>
          <w:rFonts w:hint="eastAsia"/>
        </w:rPr>
        <w:t>注册房地产估价师应根据估价对象类型和特点，结合表</w:t>
      </w:r>
      <w:r>
        <w:t>1内容编制相应的现场</w:t>
      </w:r>
      <w:r>
        <w:lastRenderedPageBreak/>
        <w:t>查勘</w:t>
      </w:r>
      <w:r>
        <w:rPr>
          <w:rFonts w:hint="eastAsia"/>
        </w:rPr>
        <w:t>表，并对查勘内容合理增减。</w:t>
      </w:r>
    </w:p>
    <w:p w14:paraId="4B92FCA6" w14:textId="77777777" w:rsidR="00495C65" w:rsidRDefault="00495C65" w:rsidP="00495C65">
      <w:pPr>
        <w:pStyle w:val="13"/>
      </w:pPr>
      <w:r>
        <w:t>3、查勘照片要求</w:t>
      </w:r>
    </w:p>
    <w:p w14:paraId="60F336C8" w14:textId="77777777" w:rsidR="00495C65" w:rsidRDefault="00495C65" w:rsidP="00495C65">
      <w:pPr>
        <w:pStyle w:val="13"/>
      </w:pPr>
      <w:r>
        <w:rPr>
          <w:rFonts w:hint="eastAsia"/>
        </w:rPr>
        <w:t>现场查勘照片应反映估价对象室外、室内、地上、地下、互联互通和周围环境等状况，主要包括：</w:t>
      </w:r>
    </w:p>
    <w:p w14:paraId="6D89859F" w14:textId="77777777" w:rsidR="00495C65" w:rsidRDefault="00495C65" w:rsidP="00495C65">
      <w:pPr>
        <w:pStyle w:val="13"/>
      </w:pPr>
      <w:r>
        <w:rPr>
          <w:rFonts w:hint="eastAsia"/>
        </w:rPr>
        <w:t>①结建地下空间的地上建筑外观、周围环境；</w:t>
      </w:r>
    </w:p>
    <w:p w14:paraId="4FD82557" w14:textId="77777777" w:rsidR="00495C65" w:rsidRDefault="00495C65" w:rsidP="00495C65">
      <w:pPr>
        <w:pStyle w:val="13"/>
      </w:pPr>
      <w:r>
        <w:rPr>
          <w:rFonts w:hint="eastAsia"/>
        </w:rPr>
        <w:t>②单建地下空间的地表物外观、周围环境；</w:t>
      </w:r>
    </w:p>
    <w:p w14:paraId="321D48C2" w14:textId="77777777" w:rsidR="00495C65" w:rsidRDefault="00495C65" w:rsidP="00495C65">
      <w:pPr>
        <w:pStyle w:val="13"/>
      </w:pPr>
      <w:r>
        <w:rPr>
          <w:rFonts w:hint="eastAsia"/>
        </w:rPr>
        <w:t>③地上出口的醒目状况及周围环境；</w:t>
      </w:r>
    </w:p>
    <w:p w14:paraId="287CFF43" w14:textId="77777777" w:rsidR="00495C65" w:rsidRDefault="00495C65" w:rsidP="00495C65">
      <w:pPr>
        <w:pStyle w:val="13"/>
      </w:pPr>
      <w:r>
        <w:rPr>
          <w:rFonts w:hint="eastAsia"/>
        </w:rPr>
        <w:t>④与其他地下空间的地下连通通道；</w:t>
      </w:r>
    </w:p>
    <w:p w14:paraId="5E597D70" w14:textId="77777777" w:rsidR="00495C65" w:rsidRDefault="00495C65" w:rsidP="00495C65">
      <w:pPr>
        <w:pStyle w:val="13"/>
      </w:pPr>
      <w:r>
        <w:rPr>
          <w:rFonts w:hint="eastAsia"/>
        </w:rPr>
        <w:t>⑤估价对象室内、室外状况及地下整体环境现状；</w:t>
      </w:r>
    </w:p>
    <w:p w14:paraId="2A2E1232" w14:textId="77777777" w:rsidR="00495C65" w:rsidRDefault="00495C65" w:rsidP="00495C65">
      <w:pPr>
        <w:pStyle w:val="13"/>
      </w:pPr>
      <w:r>
        <w:rPr>
          <w:rFonts w:hint="eastAsia"/>
        </w:rPr>
        <w:t>⑥估价对象所处地下空间的功能分区整体状况等。</w:t>
      </w:r>
    </w:p>
    <w:p w14:paraId="447CE034" w14:textId="77777777" w:rsidR="00495C65" w:rsidRDefault="00495C65" w:rsidP="00495C65">
      <w:pPr>
        <w:pStyle w:val="13"/>
        <w:jc w:val="center"/>
      </w:pPr>
      <w:r w:rsidRPr="00607799">
        <w:rPr>
          <w:rFonts w:hint="eastAsia"/>
        </w:rPr>
        <w:t>表</w:t>
      </w:r>
      <w:r w:rsidRPr="00607799">
        <w:t>1</w:t>
      </w:r>
      <w:r>
        <w:t xml:space="preserve"> </w:t>
      </w:r>
      <w:r w:rsidRPr="00607799">
        <w:t>地下空间现场查勘表</w:t>
      </w:r>
    </w:p>
    <w:tbl>
      <w:tblPr>
        <w:tblStyle w:val="TableNormal"/>
        <w:tblW w:w="89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1598"/>
        <w:gridCol w:w="199"/>
        <w:gridCol w:w="709"/>
        <w:gridCol w:w="1276"/>
        <w:gridCol w:w="1276"/>
        <w:gridCol w:w="708"/>
        <w:gridCol w:w="440"/>
        <w:gridCol w:w="1148"/>
      </w:tblGrid>
      <w:tr w:rsidR="00495C65" w:rsidRPr="00F25307" w14:paraId="02C307AA" w14:textId="77777777" w:rsidTr="00226138">
        <w:trPr>
          <w:trHeight w:val="651"/>
        </w:trPr>
        <w:tc>
          <w:tcPr>
            <w:tcW w:w="3198" w:type="dxa"/>
            <w:gridSpan w:val="2"/>
            <w:vAlign w:val="center"/>
          </w:tcPr>
          <w:p w14:paraId="05B21525" w14:textId="77777777" w:rsidR="00495C65" w:rsidRPr="00F25307" w:rsidRDefault="00495C65" w:rsidP="00F25307">
            <w:pPr>
              <w:pStyle w:val="13"/>
              <w:spacing w:line="240" w:lineRule="auto"/>
              <w:ind w:firstLineChars="0" w:firstLine="0"/>
              <w:rPr>
                <w:sz w:val="21"/>
                <w:szCs w:val="21"/>
              </w:rPr>
            </w:pPr>
            <w:r w:rsidRPr="00F25307">
              <w:rPr>
                <w:sz w:val="21"/>
                <w:szCs w:val="21"/>
              </w:rPr>
              <w:t>查勘人：</w:t>
            </w:r>
          </w:p>
        </w:tc>
        <w:tc>
          <w:tcPr>
            <w:tcW w:w="4168" w:type="dxa"/>
            <w:gridSpan w:val="5"/>
            <w:vAlign w:val="center"/>
          </w:tcPr>
          <w:p w14:paraId="1BE1CF49" w14:textId="77777777" w:rsidR="00495C65" w:rsidRPr="00F25307" w:rsidRDefault="00495C65" w:rsidP="00F25307">
            <w:pPr>
              <w:pStyle w:val="13"/>
              <w:spacing w:line="240" w:lineRule="auto"/>
              <w:ind w:firstLineChars="0" w:firstLine="0"/>
              <w:rPr>
                <w:sz w:val="21"/>
                <w:szCs w:val="21"/>
              </w:rPr>
            </w:pPr>
            <w:r w:rsidRPr="00F25307">
              <w:rPr>
                <w:sz w:val="21"/>
                <w:szCs w:val="21"/>
              </w:rPr>
              <w:t>房地产估价师注册号：</w:t>
            </w:r>
          </w:p>
        </w:tc>
        <w:tc>
          <w:tcPr>
            <w:tcW w:w="1588" w:type="dxa"/>
            <w:gridSpan w:val="2"/>
            <w:vAlign w:val="center"/>
          </w:tcPr>
          <w:p w14:paraId="40D9E8C1" w14:textId="4ED7FDD5" w:rsidR="00495C65" w:rsidRPr="00F25307" w:rsidRDefault="00495C65" w:rsidP="00F25307">
            <w:pPr>
              <w:pStyle w:val="13"/>
              <w:spacing w:line="240" w:lineRule="auto"/>
              <w:ind w:firstLineChars="0" w:firstLine="0"/>
              <w:rPr>
                <w:sz w:val="21"/>
                <w:szCs w:val="21"/>
              </w:rPr>
            </w:pPr>
            <w:r w:rsidRPr="00F25307">
              <w:rPr>
                <w:rFonts w:hint="eastAsia"/>
                <w:sz w:val="21"/>
                <w:szCs w:val="21"/>
              </w:rPr>
              <w:t xml:space="preserve"> </w:t>
            </w:r>
            <w:r w:rsidRPr="00F25307">
              <w:rPr>
                <w:sz w:val="21"/>
                <w:szCs w:val="21"/>
              </w:rPr>
              <w:t xml:space="preserve"> </w:t>
            </w:r>
            <w:r w:rsidR="003068F8">
              <w:rPr>
                <w:sz w:val="21"/>
                <w:szCs w:val="21"/>
              </w:rPr>
              <w:t>年月日</w:t>
            </w:r>
          </w:p>
        </w:tc>
      </w:tr>
      <w:tr w:rsidR="00495C65" w:rsidRPr="00F25307" w14:paraId="21F4E757" w14:textId="77777777" w:rsidTr="00226138">
        <w:trPr>
          <w:trHeight w:val="454"/>
        </w:trPr>
        <w:tc>
          <w:tcPr>
            <w:tcW w:w="1600" w:type="dxa"/>
            <w:vAlign w:val="center"/>
          </w:tcPr>
          <w:p w14:paraId="0F09A62E" w14:textId="77777777" w:rsidR="00495C65" w:rsidRPr="00F25307" w:rsidRDefault="00495C65" w:rsidP="00F25307">
            <w:pPr>
              <w:pStyle w:val="13"/>
              <w:spacing w:line="240" w:lineRule="auto"/>
              <w:ind w:firstLineChars="0" w:firstLine="0"/>
              <w:rPr>
                <w:sz w:val="21"/>
                <w:szCs w:val="21"/>
              </w:rPr>
            </w:pPr>
            <w:r w:rsidRPr="00F25307">
              <w:rPr>
                <w:sz w:val="21"/>
                <w:szCs w:val="21"/>
              </w:rPr>
              <w:t>项目名称</w:t>
            </w:r>
          </w:p>
        </w:tc>
        <w:tc>
          <w:tcPr>
            <w:tcW w:w="7354" w:type="dxa"/>
            <w:gridSpan w:val="8"/>
            <w:vAlign w:val="center"/>
          </w:tcPr>
          <w:p w14:paraId="0038E6A5" w14:textId="77777777" w:rsidR="00495C65" w:rsidRPr="00F25307" w:rsidRDefault="00495C65" w:rsidP="00F25307">
            <w:pPr>
              <w:pStyle w:val="13"/>
              <w:spacing w:line="240" w:lineRule="auto"/>
              <w:ind w:firstLineChars="0" w:firstLine="0"/>
              <w:rPr>
                <w:sz w:val="21"/>
                <w:szCs w:val="21"/>
              </w:rPr>
            </w:pPr>
          </w:p>
        </w:tc>
      </w:tr>
      <w:tr w:rsidR="00495C65" w:rsidRPr="00F25307" w14:paraId="2FD6AD85" w14:textId="77777777" w:rsidTr="00226138">
        <w:trPr>
          <w:trHeight w:val="380"/>
        </w:trPr>
        <w:tc>
          <w:tcPr>
            <w:tcW w:w="1600" w:type="dxa"/>
            <w:vAlign w:val="center"/>
          </w:tcPr>
          <w:p w14:paraId="4B5BAC34" w14:textId="77777777" w:rsidR="00495C65" w:rsidRPr="00F25307" w:rsidRDefault="00495C65" w:rsidP="00F25307">
            <w:pPr>
              <w:pStyle w:val="13"/>
              <w:spacing w:line="240" w:lineRule="auto"/>
              <w:ind w:firstLineChars="0" w:firstLine="0"/>
              <w:rPr>
                <w:sz w:val="21"/>
                <w:szCs w:val="21"/>
              </w:rPr>
            </w:pPr>
            <w:r w:rsidRPr="00F25307">
              <w:rPr>
                <w:sz w:val="21"/>
                <w:szCs w:val="21"/>
              </w:rPr>
              <w:t>建设方式</w:t>
            </w:r>
          </w:p>
        </w:tc>
        <w:tc>
          <w:tcPr>
            <w:tcW w:w="7354" w:type="dxa"/>
            <w:gridSpan w:val="8"/>
            <w:vAlign w:val="center"/>
          </w:tcPr>
          <w:p w14:paraId="16EA2694" w14:textId="77777777" w:rsidR="00495C65" w:rsidRPr="00F25307" w:rsidRDefault="00495C65" w:rsidP="00F25307">
            <w:pPr>
              <w:pStyle w:val="13"/>
              <w:spacing w:line="240" w:lineRule="auto"/>
              <w:ind w:firstLineChars="0" w:firstLine="0"/>
              <w:rPr>
                <w:sz w:val="21"/>
                <w:szCs w:val="21"/>
              </w:rPr>
            </w:pPr>
            <w:r w:rsidRPr="00F25307">
              <w:rPr>
                <w:sz w:val="21"/>
                <w:szCs w:val="21"/>
              </w:rPr>
              <w:t>□ 单建；□与（</w:t>
            </w:r>
            <w:r w:rsidRPr="00F25307">
              <w:rPr>
                <w:rFonts w:hint="eastAsia"/>
                <w:sz w:val="21"/>
                <w:szCs w:val="21"/>
              </w:rPr>
              <w:t xml:space="preserve"> </w:t>
            </w:r>
            <w:r w:rsidRPr="00F25307">
              <w:rPr>
                <w:sz w:val="21"/>
                <w:szCs w:val="21"/>
              </w:rPr>
              <w:t xml:space="preserve">     ）项目结建</w:t>
            </w:r>
          </w:p>
        </w:tc>
      </w:tr>
      <w:tr w:rsidR="00495C65" w:rsidRPr="00F25307" w14:paraId="0A85E327" w14:textId="77777777" w:rsidTr="00226138">
        <w:trPr>
          <w:trHeight w:val="413"/>
        </w:trPr>
        <w:tc>
          <w:tcPr>
            <w:tcW w:w="1600" w:type="dxa"/>
            <w:vAlign w:val="center"/>
          </w:tcPr>
          <w:p w14:paraId="59CB922B" w14:textId="77777777" w:rsidR="00495C65" w:rsidRPr="00F25307" w:rsidRDefault="00495C65" w:rsidP="00F25307">
            <w:pPr>
              <w:pStyle w:val="13"/>
              <w:spacing w:line="240" w:lineRule="auto"/>
              <w:ind w:firstLineChars="0" w:firstLine="0"/>
              <w:rPr>
                <w:sz w:val="21"/>
                <w:szCs w:val="21"/>
              </w:rPr>
            </w:pPr>
            <w:r w:rsidRPr="00F25307">
              <w:rPr>
                <w:sz w:val="21"/>
                <w:szCs w:val="21"/>
              </w:rPr>
              <w:t>坐落</w:t>
            </w:r>
          </w:p>
        </w:tc>
        <w:tc>
          <w:tcPr>
            <w:tcW w:w="7354" w:type="dxa"/>
            <w:gridSpan w:val="8"/>
            <w:vAlign w:val="center"/>
          </w:tcPr>
          <w:p w14:paraId="71B36711" w14:textId="77777777" w:rsidR="00495C65" w:rsidRPr="00F25307" w:rsidRDefault="00495C65" w:rsidP="00F25307">
            <w:pPr>
              <w:pStyle w:val="13"/>
              <w:spacing w:line="240" w:lineRule="auto"/>
              <w:ind w:firstLineChars="0" w:firstLine="0"/>
              <w:rPr>
                <w:sz w:val="21"/>
                <w:szCs w:val="21"/>
              </w:rPr>
            </w:pPr>
          </w:p>
        </w:tc>
      </w:tr>
      <w:tr w:rsidR="00495C65" w:rsidRPr="00F25307" w14:paraId="6CC17C6F" w14:textId="77777777" w:rsidTr="00226138">
        <w:trPr>
          <w:trHeight w:val="1303"/>
        </w:trPr>
        <w:tc>
          <w:tcPr>
            <w:tcW w:w="1600" w:type="dxa"/>
            <w:vAlign w:val="center"/>
          </w:tcPr>
          <w:p w14:paraId="4D67F8E7" w14:textId="77777777" w:rsidR="00495C65" w:rsidRPr="00F25307" w:rsidRDefault="00495C65" w:rsidP="00F25307">
            <w:pPr>
              <w:pStyle w:val="13"/>
              <w:spacing w:line="240" w:lineRule="auto"/>
              <w:ind w:firstLineChars="0" w:firstLine="0"/>
              <w:rPr>
                <w:sz w:val="21"/>
                <w:szCs w:val="21"/>
              </w:rPr>
            </w:pPr>
            <w:r w:rsidRPr="00F25307">
              <w:rPr>
                <w:sz w:val="21"/>
                <w:szCs w:val="21"/>
              </w:rPr>
              <w:t>区域位置</w:t>
            </w:r>
          </w:p>
        </w:tc>
        <w:tc>
          <w:tcPr>
            <w:tcW w:w="7354" w:type="dxa"/>
            <w:gridSpan w:val="8"/>
            <w:vAlign w:val="center"/>
          </w:tcPr>
          <w:p w14:paraId="28C4966D" w14:textId="77777777" w:rsidR="00495C65" w:rsidRPr="00F25307" w:rsidRDefault="00495C65" w:rsidP="00F25307">
            <w:pPr>
              <w:pStyle w:val="13"/>
              <w:spacing w:line="240" w:lineRule="auto"/>
              <w:ind w:firstLineChars="0" w:firstLine="0"/>
              <w:rPr>
                <w:sz w:val="21"/>
                <w:szCs w:val="21"/>
              </w:rPr>
            </w:pPr>
            <w:r w:rsidRPr="00F25307">
              <w:rPr>
                <w:sz w:val="21"/>
                <w:szCs w:val="21"/>
              </w:rPr>
              <w:t>估价对象位于：□市中心；□市区次中心；□市郊；□乡镇；□其他</w:t>
            </w:r>
          </w:p>
          <w:p w14:paraId="18CBABA4" w14:textId="77777777" w:rsidR="00495C65" w:rsidRPr="00F25307" w:rsidRDefault="00495C65" w:rsidP="00F25307">
            <w:pPr>
              <w:pStyle w:val="13"/>
              <w:spacing w:line="240" w:lineRule="auto"/>
              <w:ind w:firstLineChars="0" w:firstLine="0"/>
              <w:rPr>
                <w:sz w:val="21"/>
                <w:szCs w:val="21"/>
              </w:rPr>
            </w:pPr>
            <w:r w:rsidRPr="00F25307">
              <w:rPr>
                <w:sz w:val="21"/>
                <w:szCs w:val="21"/>
              </w:rPr>
              <w:t>（</w:t>
            </w:r>
            <w:r w:rsidRPr="00F25307">
              <w:rPr>
                <w:rFonts w:hint="eastAsia"/>
                <w:sz w:val="21"/>
                <w:szCs w:val="21"/>
              </w:rPr>
              <w:t xml:space="preserve"> </w:t>
            </w:r>
            <w:r w:rsidRPr="00F25307">
              <w:rPr>
                <w:sz w:val="21"/>
                <w:szCs w:val="21"/>
              </w:rPr>
              <w:t xml:space="preserve">     ）。</w:t>
            </w:r>
          </w:p>
          <w:p w14:paraId="58847676" w14:textId="77777777" w:rsidR="00495C65" w:rsidRPr="00F25307" w:rsidRDefault="00495C65" w:rsidP="00F25307">
            <w:pPr>
              <w:pStyle w:val="13"/>
              <w:spacing w:line="240" w:lineRule="auto"/>
              <w:ind w:firstLineChars="0" w:firstLine="0"/>
              <w:rPr>
                <w:sz w:val="21"/>
                <w:szCs w:val="21"/>
              </w:rPr>
            </w:pPr>
            <w:r w:rsidRPr="00F25307">
              <w:rPr>
                <w:sz w:val="21"/>
                <w:szCs w:val="21"/>
              </w:rPr>
              <w:t>距市级商业中心（   ）约（   ）km；距区级商业中心（   ）约（   ）km。</w:t>
            </w:r>
          </w:p>
        </w:tc>
      </w:tr>
      <w:tr w:rsidR="00495C65" w:rsidRPr="00F25307" w14:paraId="6DD37FEF" w14:textId="77777777" w:rsidTr="00226138">
        <w:trPr>
          <w:trHeight w:val="454"/>
        </w:trPr>
        <w:tc>
          <w:tcPr>
            <w:tcW w:w="1600" w:type="dxa"/>
            <w:vMerge w:val="restart"/>
            <w:vAlign w:val="center"/>
          </w:tcPr>
          <w:p w14:paraId="55CF99EC" w14:textId="77777777" w:rsidR="00495C65" w:rsidRPr="00F25307" w:rsidRDefault="00495C65" w:rsidP="00F25307">
            <w:pPr>
              <w:pStyle w:val="13"/>
              <w:spacing w:line="240" w:lineRule="auto"/>
              <w:ind w:firstLineChars="0" w:firstLine="0"/>
              <w:rPr>
                <w:sz w:val="21"/>
                <w:szCs w:val="21"/>
              </w:rPr>
            </w:pPr>
            <w:r w:rsidRPr="00F25307">
              <w:rPr>
                <w:sz w:val="21"/>
                <w:szCs w:val="21"/>
              </w:rPr>
              <w:t>项目四至</w:t>
            </w:r>
          </w:p>
        </w:tc>
        <w:tc>
          <w:tcPr>
            <w:tcW w:w="7354" w:type="dxa"/>
            <w:gridSpan w:val="8"/>
            <w:vAlign w:val="center"/>
          </w:tcPr>
          <w:p w14:paraId="1850C648" w14:textId="77777777" w:rsidR="00495C65" w:rsidRPr="00F25307" w:rsidRDefault="00495C65" w:rsidP="00F25307">
            <w:pPr>
              <w:pStyle w:val="13"/>
              <w:spacing w:line="240" w:lineRule="auto"/>
              <w:ind w:firstLineChars="0" w:firstLine="0"/>
              <w:rPr>
                <w:sz w:val="21"/>
                <w:szCs w:val="21"/>
              </w:rPr>
            </w:pPr>
            <w:r w:rsidRPr="00F25307">
              <w:rPr>
                <w:sz w:val="21"/>
                <w:szCs w:val="21"/>
              </w:rPr>
              <w:t>东至：</w:t>
            </w:r>
            <w:r w:rsidRPr="00F25307">
              <w:rPr>
                <w:rFonts w:hint="eastAsia"/>
                <w:sz w:val="21"/>
                <w:szCs w:val="21"/>
              </w:rPr>
              <w:t xml:space="preserve"> </w:t>
            </w:r>
            <w:r w:rsidRPr="00F25307">
              <w:rPr>
                <w:sz w:val="21"/>
                <w:szCs w:val="21"/>
              </w:rPr>
              <w:t xml:space="preserve">                  南至：</w:t>
            </w:r>
          </w:p>
        </w:tc>
      </w:tr>
      <w:tr w:rsidR="00495C65" w:rsidRPr="00F25307" w14:paraId="73B6AC95" w14:textId="77777777" w:rsidTr="00226138">
        <w:trPr>
          <w:trHeight w:val="454"/>
        </w:trPr>
        <w:tc>
          <w:tcPr>
            <w:tcW w:w="1600" w:type="dxa"/>
            <w:vMerge/>
            <w:vAlign w:val="center"/>
          </w:tcPr>
          <w:p w14:paraId="65DFF479" w14:textId="77777777" w:rsidR="00495C65" w:rsidRPr="00F25307" w:rsidRDefault="00495C65" w:rsidP="00F25307">
            <w:pPr>
              <w:pStyle w:val="13"/>
              <w:spacing w:line="240" w:lineRule="auto"/>
              <w:ind w:firstLineChars="0" w:firstLine="0"/>
              <w:rPr>
                <w:sz w:val="21"/>
                <w:szCs w:val="21"/>
              </w:rPr>
            </w:pPr>
          </w:p>
        </w:tc>
        <w:tc>
          <w:tcPr>
            <w:tcW w:w="7354" w:type="dxa"/>
            <w:gridSpan w:val="8"/>
            <w:vAlign w:val="center"/>
          </w:tcPr>
          <w:p w14:paraId="5BB2C183" w14:textId="77777777" w:rsidR="00495C65" w:rsidRPr="00F25307" w:rsidRDefault="00495C65" w:rsidP="00F25307">
            <w:pPr>
              <w:pStyle w:val="13"/>
              <w:spacing w:line="240" w:lineRule="auto"/>
              <w:ind w:firstLineChars="0" w:firstLine="0"/>
              <w:rPr>
                <w:sz w:val="21"/>
                <w:szCs w:val="21"/>
              </w:rPr>
            </w:pPr>
            <w:r w:rsidRPr="00F25307">
              <w:rPr>
                <w:sz w:val="21"/>
                <w:szCs w:val="21"/>
              </w:rPr>
              <w:t>西至</w:t>
            </w:r>
            <w:r w:rsidRPr="00F25307">
              <w:rPr>
                <w:rFonts w:hint="eastAsia"/>
                <w:sz w:val="21"/>
                <w:szCs w:val="21"/>
              </w:rPr>
              <w:t>：</w:t>
            </w:r>
            <w:r w:rsidRPr="00F25307">
              <w:rPr>
                <w:sz w:val="21"/>
                <w:szCs w:val="21"/>
              </w:rPr>
              <w:t xml:space="preserve">                   北至：</w:t>
            </w:r>
          </w:p>
        </w:tc>
      </w:tr>
      <w:tr w:rsidR="00495C65" w:rsidRPr="00F25307" w14:paraId="09C3BAA8" w14:textId="77777777" w:rsidTr="00226138">
        <w:trPr>
          <w:trHeight w:val="651"/>
        </w:trPr>
        <w:tc>
          <w:tcPr>
            <w:tcW w:w="1600" w:type="dxa"/>
            <w:vAlign w:val="center"/>
          </w:tcPr>
          <w:p w14:paraId="4207C2D8" w14:textId="77777777" w:rsidR="00495C65" w:rsidRPr="00F25307" w:rsidRDefault="00495C65" w:rsidP="00F25307">
            <w:pPr>
              <w:pStyle w:val="13"/>
              <w:spacing w:line="240" w:lineRule="auto"/>
              <w:ind w:firstLineChars="0" w:firstLine="0"/>
              <w:rPr>
                <w:sz w:val="21"/>
                <w:szCs w:val="21"/>
              </w:rPr>
            </w:pPr>
            <w:r w:rsidRPr="00F25307">
              <w:rPr>
                <w:sz w:val="21"/>
                <w:szCs w:val="21"/>
              </w:rPr>
              <w:t>估价目的</w:t>
            </w:r>
          </w:p>
        </w:tc>
        <w:tc>
          <w:tcPr>
            <w:tcW w:w="7354" w:type="dxa"/>
            <w:gridSpan w:val="8"/>
            <w:vAlign w:val="center"/>
          </w:tcPr>
          <w:p w14:paraId="3ECAB5E8" w14:textId="77777777" w:rsidR="00495C65" w:rsidRPr="00F25307" w:rsidRDefault="00495C65" w:rsidP="00F25307">
            <w:pPr>
              <w:pStyle w:val="13"/>
              <w:spacing w:line="240" w:lineRule="auto"/>
              <w:ind w:firstLineChars="0" w:firstLine="0"/>
              <w:rPr>
                <w:sz w:val="21"/>
                <w:szCs w:val="21"/>
              </w:rPr>
            </w:pPr>
            <w:r w:rsidRPr="00F25307">
              <w:rPr>
                <w:sz w:val="21"/>
                <w:szCs w:val="21"/>
              </w:rPr>
              <w:t>□抵押；□转让；□拍卖；□租赁；□税收；□损害赔偿；□投资；</w:t>
            </w:r>
          </w:p>
          <w:p w14:paraId="01B14C2B" w14:textId="77777777" w:rsidR="00495C65" w:rsidRPr="00F25307" w:rsidRDefault="00495C65" w:rsidP="00F25307">
            <w:pPr>
              <w:pStyle w:val="13"/>
              <w:spacing w:line="240" w:lineRule="auto"/>
              <w:ind w:firstLineChars="0" w:firstLine="0"/>
              <w:rPr>
                <w:sz w:val="21"/>
                <w:szCs w:val="21"/>
              </w:rPr>
            </w:pPr>
            <w:r w:rsidRPr="00F25307">
              <w:rPr>
                <w:sz w:val="21"/>
                <w:szCs w:val="21"/>
              </w:rPr>
              <w:t>□建设用地使用权出让；□其他（   ）</w:t>
            </w:r>
          </w:p>
        </w:tc>
      </w:tr>
      <w:tr w:rsidR="00495C65" w:rsidRPr="00F25307" w14:paraId="5A16348E" w14:textId="77777777" w:rsidTr="00226138">
        <w:trPr>
          <w:trHeight w:val="652"/>
        </w:trPr>
        <w:tc>
          <w:tcPr>
            <w:tcW w:w="1600" w:type="dxa"/>
            <w:vAlign w:val="center"/>
          </w:tcPr>
          <w:p w14:paraId="34DC78E1" w14:textId="77777777" w:rsidR="00495C65" w:rsidRPr="00F25307" w:rsidRDefault="00495C65" w:rsidP="00F25307">
            <w:pPr>
              <w:pStyle w:val="13"/>
              <w:spacing w:line="240" w:lineRule="auto"/>
              <w:ind w:firstLineChars="0" w:firstLine="0"/>
              <w:rPr>
                <w:sz w:val="21"/>
                <w:szCs w:val="21"/>
              </w:rPr>
            </w:pPr>
            <w:r w:rsidRPr="00F25307">
              <w:rPr>
                <w:sz w:val="21"/>
                <w:szCs w:val="21"/>
              </w:rPr>
              <w:t>规划用途</w:t>
            </w:r>
          </w:p>
        </w:tc>
        <w:tc>
          <w:tcPr>
            <w:tcW w:w="7354" w:type="dxa"/>
            <w:gridSpan w:val="8"/>
            <w:vAlign w:val="center"/>
          </w:tcPr>
          <w:p w14:paraId="091622E7" w14:textId="77777777" w:rsidR="00495C65" w:rsidRPr="00F25307" w:rsidRDefault="00495C65" w:rsidP="00F25307">
            <w:pPr>
              <w:pStyle w:val="13"/>
              <w:spacing w:line="240" w:lineRule="auto"/>
              <w:ind w:firstLineChars="0" w:firstLine="0"/>
              <w:rPr>
                <w:sz w:val="21"/>
                <w:szCs w:val="21"/>
              </w:rPr>
            </w:pPr>
            <w:r w:rsidRPr="00F25307">
              <w:rPr>
                <w:sz w:val="21"/>
                <w:szCs w:val="21"/>
              </w:rPr>
              <w:t>□地下车库；□商业；□办公；□旅游；□娱乐；□仓储；</w:t>
            </w:r>
          </w:p>
          <w:p w14:paraId="3145B3F9" w14:textId="77777777" w:rsidR="00495C65" w:rsidRPr="00F25307" w:rsidRDefault="00495C65" w:rsidP="00F25307">
            <w:pPr>
              <w:pStyle w:val="13"/>
              <w:spacing w:line="240" w:lineRule="auto"/>
              <w:ind w:firstLineChars="0" w:firstLine="0"/>
              <w:rPr>
                <w:sz w:val="21"/>
                <w:szCs w:val="21"/>
              </w:rPr>
            </w:pPr>
            <w:r w:rsidRPr="00F25307">
              <w:rPr>
                <w:sz w:val="21"/>
                <w:szCs w:val="21"/>
              </w:rPr>
              <w:t>□“兼顾人防”平时用途（   ）；□其他（   ）</w:t>
            </w:r>
          </w:p>
        </w:tc>
      </w:tr>
      <w:tr w:rsidR="00495C65" w:rsidRPr="00F25307" w14:paraId="7039C2F8" w14:textId="77777777" w:rsidTr="00226138">
        <w:trPr>
          <w:trHeight w:val="454"/>
        </w:trPr>
        <w:tc>
          <w:tcPr>
            <w:tcW w:w="1600" w:type="dxa"/>
            <w:vAlign w:val="center"/>
          </w:tcPr>
          <w:p w14:paraId="20EB0CA8" w14:textId="77777777" w:rsidR="00495C65" w:rsidRPr="00F25307" w:rsidRDefault="00495C65" w:rsidP="00F25307">
            <w:pPr>
              <w:pStyle w:val="13"/>
              <w:spacing w:line="240" w:lineRule="auto"/>
              <w:ind w:firstLineChars="0" w:firstLine="0"/>
              <w:rPr>
                <w:sz w:val="21"/>
                <w:szCs w:val="21"/>
              </w:rPr>
            </w:pPr>
            <w:r w:rsidRPr="00F25307">
              <w:rPr>
                <w:sz w:val="21"/>
                <w:szCs w:val="21"/>
              </w:rPr>
              <w:t>利用现状</w:t>
            </w:r>
          </w:p>
        </w:tc>
        <w:tc>
          <w:tcPr>
            <w:tcW w:w="7354" w:type="dxa"/>
            <w:gridSpan w:val="8"/>
            <w:vAlign w:val="center"/>
          </w:tcPr>
          <w:p w14:paraId="74515BC0" w14:textId="77777777" w:rsidR="00495C65" w:rsidRPr="00F25307" w:rsidRDefault="00495C65" w:rsidP="00F25307">
            <w:pPr>
              <w:pStyle w:val="13"/>
              <w:spacing w:line="240" w:lineRule="auto"/>
              <w:ind w:firstLineChars="0" w:firstLine="0"/>
              <w:rPr>
                <w:sz w:val="21"/>
                <w:szCs w:val="21"/>
              </w:rPr>
            </w:pPr>
            <w:r w:rsidRPr="00F25307">
              <w:rPr>
                <w:sz w:val="21"/>
                <w:szCs w:val="21"/>
              </w:rPr>
              <w:t>□自用；□出租；□空置；□项目在售；□在建；□其他（   ）</w:t>
            </w:r>
          </w:p>
        </w:tc>
      </w:tr>
      <w:tr w:rsidR="00495C65" w:rsidRPr="00F25307" w14:paraId="01871D8B" w14:textId="77777777" w:rsidTr="00226138">
        <w:trPr>
          <w:trHeight w:val="977"/>
        </w:trPr>
        <w:tc>
          <w:tcPr>
            <w:tcW w:w="1600" w:type="dxa"/>
            <w:vAlign w:val="center"/>
          </w:tcPr>
          <w:p w14:paraId="72F9856C" w14:textId="77777777" w:rsidR="00495C65" w:rsidRPr="00F25307" w:rsidRDefault="00495C65" w:rsidP="00F25307">
            <w:pPr>
              <w:pStyle w:val="13"/>
              <w:spacing w:line="240" w:lineRule="auto"/>
              <w:ind w:firstLineChars="0" w:firstLine="0"/>
              <w:rPr>
                <w:sz w:val="21"/>
                <w:szCs w:val="21"/>
              </w:rPr>
            </w:pPr>
            <w:r w:rsidRPr="00F25307">
              <w:rPr>
                <w:sz w:val="21"/>
                <w:szCs w:val="21"/>
              </w:rPr>
              <w:t>地上现状</w:t>
            </w:r>
          </w:p>
        </w:tc>
        <w:tc>
          <w:tcPr>
            <w:tcW w:w="7354" w:type="dxa"/>
            <w:gridSpan w:val="8"/>
            <w:vAlign w:val="center"/>
          </w:tcPr>
          <w:p w14:paraId="69807EA3" w14:textId="77777777" w:rsidR="00495C65" w:rsidRPr="00F25307" w:rsidRDefault="00495C65" w:rsidP="00F25307">
            <w:pPr>
              <w:pStyle w:val="13"/>
              <w:spacing w:line="240" w:lineRule="auto"/>
              <w:ind w:firstLineChars="0" w:firstLine="0"/>
              <w:rPr>
                <w:sz w:val="21"/>
                <w:szCs w:val="21"/>
              </w:rPr>
            </w:pPr>
            <w:r w:rsidRPr="00F25307">
              <w:rPr>
                <w:sz w:val="21"/>
                <w:szCs w:val="21"/>
              </w:rPr>
              <w:t>□商业综合体；□百货商场；□住宅楼；□写字楼；□广场；□公园、绿地；□公交中心站；□地铁上盖；□停车场；□汽车站；□火车站；□道路；□其他（   ）</w:t>
            </w:r>
          </w:p>
        </w:tc>
      </w:tr>
      <w:tr w:rsidR="00495C65" w:rsidRPr="00F25307" w14:paraId="202264F3" w14:textId="77777777" w:rsidTr="00226138">
        <w:trPr>
          <w:trHeight w:val="454"/>
        </w:trPr>
        <w:tc>
          <w:tcPr>
            <w:tcW w:w="1600" w:type="dxa"/>
            <w:vAlign w:val="center"/>
          </w:tcPr>
          <w:p w14:paraId="3785074F" w14:textId="77777777" w:rsidR="00495C65" w:rsidRPr="00F25307" w:rsidRDefault="00495C65" w:rsidP="00F25307">
            <w:pPr>
              <w:pStyle w:val="13"/>
              <w:spacing w:line="240" w:lineRule="auto"/>
              <w:ind w:firstLineChars="0" w:firstLine="0"/>
              <w:rPr>
                <w:sz w:val="21"/>
                <w:szCs w:val="21"/>
              </w:rPr>
            </w:pPr>
            <w:r w:rsidRPr="00F25307">
              <w:rPr>
                <w:sz w:val="21"/>
                <w:szCs w:val="21"/>
              </w:rPr>
              <w:t>地下连通状况</w:t>
            </w:r>
          </w:p>
        </w:tc>
        <w:tc>
          <w:tcPr>
            <w:tcW w:w="7354" w:type="dxa"/>
            <w:gridSpan w:val="8"/>
            <w:vAlign w:val="center"/>
          </w:tcPr>
          <w:p w14:paraId="057622D1" w14:textId="77777777" w:rsidR="00495C65" w:rsidRPr="00F25307" w:rsidRDefault="00495C65" w:rsidP="00F25307">
            <w:pPr>
              <w:pStyle w:val="13"/>
              <w:spacing w:line="240" w:lineRule="auto"/>
              <w:ind w:firstLineChars="0" w:firstLine="0"/>
              <w:rPr>
                <w:sz w:val="21"/>
                <w:szCs w:val="21"/>
              </w:rPr>
            </w:pPr>
            <w:r w:rsidRPr="00F25307">
              <w:rPr>
                <w:sz w:val="21"/>
                <w:szCs w:val="21"/>
              </w:rPr>
              <w:t>地下与（</w:t>
            </w:r>
            <w:r w:rsidRPr="00F25307">
              <w:rPr>
                <w:rFonts w:hint="eastAsia"/>
                <w:sz w:val="21"/>
                <w:szCs w:val="21"/>
              </w:rPr>
              <w:t xml:space="preserve"> </w:t>
            </w:r>
            <w:r w:rsidRPr="00F25307">
              <w:rPr>
                <w:sz w:val="21"/>
                <w:szCs w:val="21"/>
              </w:rPr>
              <w:t xml:space="preserve">           </w:t>
            </w:r>
            <w:r w:rsidRPr="00F25307">
              <w:rPr>
                <w:rFonts w:hint="eastAsia"/>
                <w:sz w:val="21"/>
                <w:szCs w:val="21"/>
              </w:rPr>
              <w:t>）连通</w:t>
            </w:r>
          </w:p>
        </w:tc>
      </w:tr>
      <w:tr w:rsidR="00495C65" w:rsidRPr="00F25307" w14:paraId="3B55BF9E" w14:textId="77777777" w:rsidTr="00226138">
        <w:trPr>
          <w:trHeight w:val="453"/>
        </w:trPr>
        <w:tc>
          <w:tcPr>
            <w:tcW w:w="1600" w:type="dxa"/>
            <w:vAlign w:val="center"/>
          </w:tcPr>
          <w:p w14:paraId="62877A85" w14:textId="77777777" w:rsidR="00495C65" w:rsidRPr="00F25307" w:rsidRDefault="00495C65" w:rsidP="00F25307">
            <w:pPr>
              <w:pStyle w:val="13"/>
              <w:spacing w:line="240" w:lineRule="auto"/>
              <w:ind w:firstLineChars="0" w:firstLine="0"/>
              <w:rPr>
                <w:sz w:val="21"/>
                <w:szCs w:val="21"/>
              </w:rPr>
            </w:pPr>
            <w:r w:rsidRPr="00F25307">
              <w:rPr>
                <w:sz w:val="21"/>
                <w:szCs w:val="21"/>
              </w:rPr>
              <w:t>地面出口</w:t>
            </w:r>
          </w:p>
        </w:tc>
        <w:tc>
          <w:tcPr>
            <w:tcW w:w="7354" w:type="dxa"/>
            <w:gridSpan w:val="8"/>
            <w:vAlign w:val="center"/>
          </w:tcPr>
          <w:p w14:paraId="02741BA8" w14:textId="77777777" w:rsidR="00495C65" w:rsidRPr="00F25307" w:rsidRDefault="00495C65" w:rsidP="00F25307">
            <w:pPr>
              <w:pStyle w:val="13"/>
              <w:spacing w:line="240" w:lineRule="auto"/>
              <w:ind w:firstLineChars="0" w:firstLine="0"/>
              <w:rPr>
                <w:sz w:val="21"/>
                <w:szCs w:val="21"/>
              </w:rPr>
            </w:pPr>
            <w:r w:rsidRPr="00F25307">
              <w:rPr>
                <w:sz w:val="21"/>
                <w:szCs w:val="21"/>
              </w:rPr>
              <w:t>地面出口（</w:t>
            </w:r>
            <w:r w:rsidRPr="00F25307">
              <w:rPr>
                <w:rFonts w:hint="eastAsia"/>
                <w:sz w:val="21"/>
                <w:szCs w:val="21"/>
              </w:rPr>
              <w:t xml:space="preserve"> </w:t>
            </w:r>
            <w:r w:rsidRPr="00F25307">
              <w:rPr>
                <w:sz w:val="21"/>
                <w:szCs w:val="21"/>
              </w:rPr>
              <w:t xml:space="preserve">  </w:t>
            </w:r>
            <w:r w:rsidRPr="00F25307">
              <w:rPr>
                <w:rFonts w:hint="eastAsia"/>
                <w:sz w:val="21"/>
                <w:szCs w:val="21"/>
              </w:rPr>
              <w:t>）</w:t>
            </w:r>
            <w:proofErr w:type="gramStart"/>
            <w:r w:rsidRPr="00F25307">
              <w:rPr>
                <w:rFonts w:hint="eastAsia"/>
                <w:sz w:val="21"/>
                <w:szCs w:val="21"/>
              </w:rPr>
              <w:t>个</w:t>
            </w:r>
            <w:proofErr w:type="gramEnd"/>
            <w:r w:rsidRPr="00F25307">
              <w:rPr>
                <w:rFonts w:hint="eastAsia"/>
                <w:sz w:val="21"/>
                <w:szCs w:val="21"/>
              </w:rPr>
              <w:t xml:space="preserve">，分别位于（ </w:t>
            </w:r>
            <w:r w:rsidRPr="00F25307">
              <w:rPr>
                <w:sz w:val="21"/>
                <w:szCs w:val="21"/>
              </w:rPr>
              <w:t xml:space="preserve">   </w:t>
            </w:r>
            <w:r w:rsidRPr="00F25307">
              <w:rPr>
                <w:rFonts w:hint="eastAsia"/>
                <w:sz w:val="21"/>
                <w:szCs w:val="21"/>
              </w:rPr>
              <w:t xml:space="preserve">）道路和（ </w:t>
            </w:r>
            <w:r w:rsidRPr="00F25307">
              <w:rPr>
                <w:sz w:val="21"/>
                <w:szCs w:val="21"/>
              </w:rPr>
              <w:t xml:space="preserve">   </w:t>
            </w:r>
            <w:r w:rsidRPr="00F25307">
              <w:rPr>
                <w:rFonts w:hint="eastAsia"/>
                <w:sz w:val="21"/>
                <w:szCs w:val="21"/>
              </w:rPr>
              <w:t xml:space="preserve"> ）</w:t>
            </w:r>
          </w:p>
        </w:tc>
      </w:tr>
      <w:tr w:rsidR="00495C65" w:rsidRPr="00F25307" w14:paraId="78A70D07" w14:textId="77777777" w:rsidTr="00226138">
        <w:trPr>
          <w:trHeight w:val="652"/>
        </w:trPr>
        <w:tc>
          <w:tcPr>
            <w:tcW w:w="1600" w:type="dxa"/>
            <w:vAlign w:val="center"/>
          </w:tcPr>
          <w:p w14:paraId="63A4E418" w14:textId="77777777" w:rsidR="00495C65" w:rsidRPr="00F25307" w:rsidRDefault="00495C65" w:rsidP="00F25307">
            <w:pPr>
              <w:pStyle w:val="13"/>
              <w:spacing w:line="240" w:lineRule="auto"/>
              <w:ind w:firstLineChars="0" w:firstLine="0"/>
              <w:rPr>
                <w:sz w:val="21"/>
                <w:szCs w:val="21"/>
              </w:rPr>
            </w:pPr>
            <w:r w:rsidRPr="00F25307">
              <w:rPr>
                <w:sz w:val="21"/>
                <w:szCs w:val="21"/>
              </w:rPr>
              <w:t>公交、地铁线路</w:t>
            </w:r>
          </w:p>
        </w:tc>
        <w:tc>
          <w:tcPr>
            <w:tcW w:w="7354" w:type="dxa"/>
            <w:gridSpan w:val="8"/>
            <w:vAlign w:val="center"/>
          </w:tcPr>
          <w:p w14:paraId="47CF5971" w14:textId="77777777" w:rsidR="00495C65" w:rsidRPr="00F25307" w:rsidRDefault="00495C65" w:rsidP="00F25307">
            <w:pPr>
              <w:pStyle w:val="13"/>
              <w:spacing w:line="240" w:lineRule="auto"/>
              <w:ind w:firstLineChars="0" w:firstLine="0"/>
              <w:rPr>
                <w:sz w:val="21"/>
                <w:szCs w:val="21"/>
              </w:rPr>
            </w:pPr>
          </w:p>
        </w:tc>
      </w:tr>
      <w:tr w:rsidR="00495C65" w:rsidRPr="00F25307" w14:paraId="2DA7534E" w14:textId="77777777" w:rsidTr="00226138">
        <w:trPr>
          <w:trHeight w:val="454"/>
        </w:trPr>
        <w:tc>
          <w:tcPr>
            <w:tcW w:w="1600" w:type="dxa"/>
            <w:vMerge w:val="restart"/>
            <w:vAlign w:val="center"/>
          </w:tcPr>
          <w:p w14:paraId="3BABC299" w14:textId="77777777" w:rsidR="00495C65" w:rsidRPr="00F25307" w:rsidRDefault="00495C65" w:rsidP="00F25307">
            <w:pPr>
              <w:pStyle w:val="13"/>
              <w:spacing w:line="240" w:lineRule="auto"/>
              <w:ind w:firstLineChars="0" w:firstLine="0"/>
              <w:rPr>
                <w:sz w:val="21"/>
                <w:szCs w:val="21"/>
              </w:rPr>
            </w:pPr>
            <w:r w:rsidRPr="00F25307">
              <w:rPr>
                <w:sz w:val="21"/>
                <w:szCs w:val="21"/>
              </w:rPr>
              <w:t>公共服务配套</w:t>
            </w:r>
          </w:p>
        </w:tc>
        <w:tc>
          <w:tcPr>
            <w:tcW w:w="7354" w:type="dxa"/>
            <w:gridSpan w:val="8"/>
            <w:vAlign w:val="center"/>
          </w:tcPr>
          <w:p w14:paraId="47554791" w14:textId="77777777" w:rsidR="00495C65" w:rsidRPr="00F25307" w:rsidRDefault="00495C65" w:rsidP="00F25307">
            <w:pPr>
              <w:pStyle w:val="13"/>
              <w:spacing w:line="240" w:lineRule="auto"/>
              <w:ind w:firstLineChars="0" w:firstLine="0"/>
              <w:rPr>
                <w:sz w:val="21"/>
                <w:szCs w:val="21"/>
              </w:rPr>
            </w:pPr>
            <w:r w:rsidRPr="00F25307">
              <w:rPr>
                <w:sz w:val="21"/>
                <w:szCs w:val="21"/>
              </w:rPr>
              <w:t>银行：</w:t>
            </w:r>
            <w:r w:rsidRPr="00F25307">
              <w:rPr>
                <w:rFonts w:hint="eastAsia"/>
                <w:sz w:val="21"/>
                <w:szCs w:val="21"/>
              </w:rPr>
              <w:t xml:space="preserve"> </w:t>
            </w:r>
            <w:r w:rsidRPr="00F25307">
              <w:rPr>
                <w:sz w:val="21"/>
                <w:szCs w:val="21"/>
              </w:rPr>
              <w:t xml:space="preserve">             </w:t>
            </w:r>
            <w:r w:rsidRPr="00F25307">
              <w:rPr>
                <w:rFonts w:hint="eastAsia"/>
                <w:sz w:val="21"/>
                <w:szCs w:val="21"/>
              </w:rPr>
              <w:t>学校：</w:t>
            </w:r>
            <w:r w:rsidRPr="00F25307">
              <w:rPr>
                <w:sz w:val="21"/>
                <w:szCs w:val="21"/>
              </w:rPr>
              <w:t xml:space="preserve">              </w:t>
            </w:r>
            <w:r w:rsidRPr="00F25307">
              <w:rPr>
                <w:rFonts w:hint="eastAsia"/>
                <w:sz w:val="21"/>
                <w:szCs w:val="21"/>
              </w:rPr>
              <w:t>医院：</w:t>
            </w:r>
            <w:r w:rsidRPr="00F25307">
              <w:rPr>
                <w:sz w:val="21"/>
                <w:szCs w:val="21"/>
              </w:rPr>
              <w:t xml:space="preserve">              </w:t>
            </w:r>
          </w:p>
        </w:tc>
      </w:tr>
      <w:tr w:rsidR="00495C65" w:rsidRPr="00F25307" w14:paraId="4D462820" w14:textId="77777777" w:rsidTr="00226138">
        <w:trPr>
          <w:trHeight w:val="453"/>
        </w:trPr>
        <w:tc>
          <w:tcPr>
            <w:tcW w:w="1600" w:type="dxa"/>
            <w:vMerge/>
            <w:vAlign w:val="center"/>
          </w:tcPr>
          <w:p w14:paraId="073391B5" w14:textId="77777777" w:rsidR="00495C65" w:rsidRPr="00F25307" w:rsidRDefault="00495C65" w:rsidP="00F25307">
            <w:pPr>
              <w:pStyle w:val="13"/>
              <w:spacing w:line="240" w:lineRule="auto"/>
              <w:ind w:firstLineChars="0" w:firstLine="0"/>
              <w:rPr>
                <w:sz w:val="21"/>
                <w:szCs w:val="21"/>
              </w:rPr>
            </w:pPr>
          </w:p>
        </w:tc>
        <w:tc>
          <w:tcPr>
            <w:tcW w:w="7354" w:type="dxa"/>
            <w:gridSpan w:val="8"/>
            <w:vAlign w:val="center"/>
          </w:tcPr>
          <w:p w14:paraId="60699356" w14:textId="77777777" w:rsidR="00495C65" w:rsidRPr="00F25307" w:rsidRDefault="00495C65" w:rsidP="00F25307">
            <w:pPr>
              <w:pStyle w:val="13"/>
              <w:spacing w:line="240" w:lineRule="auto"/>
              <w:ind w:firstLineChars="0" w:firstLine="0"/>
              <w:rPr>
                <w:sz w:val="21"/>
                <w:szCs w:val="21"/>
              </w:rPr>
            </w:pPr>
            <w:r w:rsidRPr="00F25307">
              <w:rPr>
                <w:sz w:val="21"/>
                <w:szCs w:val="21"/>
              </w:rPr>
              <w:t>美食街</w:t>
            </w:r>
            <w:r w:rsidRPr="00F25307">
              <w:rPr>
                <w:rFonts w:hint="eastAsia"/>
                <w:sz w:val="21"/>
                <w:szCs w:val="21"/>
              </w:rPr>
              <w:t>：</w:t>
            </w:r>
            <w:r w:rsidRPr="00F25307">
              <w:rPr>
                <w:sz w:val="21"/>
                <w:szCs w:val="21"/>
              </w:rPr>
              <w:t xml:space="preserve">            </w:t>
            </w:r>
            <w:r w:rsidRPr="00F25307">
              <w:rPr>
                <w:rFonts w:hint="eastAsia"/>
                <w:sz w:val="21"/>
                <w:szCs w:val="21"/>
              </w:rPr>
              <w:t>商场超市：</w:t>
            </w:r>
            <w:r w:rsidRPr="00F25307">
              <w:rPr>
                <w:sz w:val="21"/>
                <w:szCs w:val="21"/>
              </w:rPr>
              <w:t xml:space="preserve">          </w:t>
            </w:r>
            <w:r w:rsidRPr="00F25307">
              <w:rPr>
                <w:rFonts w:hint="eastAsia"/>
                <w:sz w:val="21"/>
                <w:szCs w:val="21"/>
              </w:rPr>
              <w:t>公园：</w:t>
            </w:r>
          </w:p>
        </w:tc>
      </w:tr>
      <w:tr w:rsidR="00495C65" w:rsidRPr="00F25307" w14:paraId="102442F7" w14:textId="77777777" w:rsidTr="00226138">
        <w:trPr>
          <w:trHeight w:val="454"/>
        </w:trPr>
        <w:tc>
          <w:tcPr>
            <w:tcW w:w="1600" w:type="dxa"/>
            <w:vAlign w:val="center"/>
          </w:tcPr>
          <w:p w14:paraId="177E4452" w14:textId="77777777" w:rsidR="00495C65" w:rsidRPr="00F25307" w:rsidRDefault="00495C65" w:rsidP="00F25307">
            <w:pPr>
              <w:pStyle w:val="13"/>
              <w:spacing w:line="240" w:lineRule="auto"/>
              <w:ind w:firstLineChars="0" w:firstLine="0"/>
              <w:rPr>
                <w:sz w:val="21"/>
                <w:szCs w:val="21"/>
              </w:rPr>
            </w:pPr>
            <w:r w:rsidRPr="00F25307">
              <w:rPr>
                <w:sz w:val="21"/>
                <w:szCs w:val="21"/>
              </w:rPr>
              <w:lastRenderedPageBreak/>
              <w:t>附近住宅小区</w:t>
            </w:r>
          </w:p>
        </w:tc>
        <w:tc>
          <w:tcPr>
            <w:tcW w:w="7354" w:type="dxa"/>
            <w:gridSpan w:val="8"/>
            <w:vAlign w:val="center"/>
          </w:tcPr>
          <w:p w14:paraId="620FB875" w14:textId="77777777" w:rsidR="00495C65" w:rsidRPr="00F25307" w:rsidRDefault="00495C65" w:rsidP="00F25307">
            <w:pPr>
              <w:pStyle w:val="13"/>
              <w:spacing w:line="240" w:lineRule="auto"/>
              <w:ind w:firstLineChars="0" w:firstLine="0"/>
              <w:rPr>
                <w:sz w:val="21"/>
                <w:szCs w:val="21"/>
              </w:rPr>
            </w:pPr>
          </w:p>
        </w:tc>
      </w:tr>
      <w:tr w:rsidR="00495C65" w:rsidRPr="00F25307" w14:paraId="264726A4" w14:textId="77777777" w:rsidTr="00226138">
        <w:trPr>
          <w:trHeight w:val="652"/>
        </w:trPr>
        <w:tc>
          <w:tcPr>
            <w:tcW w:w="1600" w:type="dxa"/>
            <w:vAlign w:val="center"/>
          </w:tcPr>
          <w:p w14:paraId="5A29A4C4" w14:textId="77777777" w:rsidR="00495C65" w:rsidRPr="00F25307" w:rsidRDefault="00495C65" w:rsidP="00F25307">
            <w:pPr>
              <w:pStyle w:val="13"/>
              <w:spacing w:line="240" w:lineRule="auto"/>
              <w:ind w:firstLineChars="0" w:firstLine="0"/>
              <w:rPr>
                <w:sz w:val="21"/>
                <w:szCs w:val="21"/>
              </w:rPr>
            </w:pPr>
            <w:r w:rsidRPr="00F25307">
              <w:rPr>
                <w:sz w:val="21"/>
                <w:szCs w:val="21"/>
              </w:rPr>
              <w:t>附近商业商务区</w:t>
            </w:r>
          </w:p>
        </w:tc>
        <w:tc>
          <w:tcPr>
            <w:tcW w:w="7354" w:type="dxa"/>
            <w:gridSpan w:val="8"/>
            <w:vAlign w:val="center"/>
          </w:tcPr>
          <w:p w14:paraId="0AA2E566" w14:textId="77777777" w:rsidR="00495C65" w:rsidRPr="00F25307" w:rsidRDefault="00495C65" w:rsidP="00F25307">
            <w:pPr>
              <w:pStyle w:val="13"/>
              <w:spacing w:line="240" w:lineRule="auto"/>
              <w:ind w:firstLineChars="0" w:firstLine="0"/>
              <w:rPr>
                <w:sz w:val="21"/>
                <w:szCs w:val="21"/>
              </w:rPr>
            </w:pPr>
          </w:p>
        </w:tc>
      </w:tr>
      <w:tr w:rsidR="00495C65" w:rsidRPr="00F25307" w14:paraId="0731BCA4" w14:textId="77777777" w:rsidTr="00226138">
        <w:trPr>
          <w:trHeight w:val="259"/>
        </w:trPr>
        <w:tc>
          <w:tcPr>
            <w:tcW w:w="1600" w:type="dxa"/>
            <w:vMerge w:val="restart"/>
            <w:vAlign w:val="center"/>
          </w:tcPr>
          <w:p w14:paraId="12A217FB" w14:textId="77777777" w:rsidR="00495C65" w:rsidRPr="00F25307" w:rsidRDefault="00495C65" w:rsidP="00F25307">
            <w:pPr>
              <w:pStyle w:val="13"/>
              <w:spacing w:line="240" w:lineRule="auto"/>
              <w:ind w:firstLineChars="0" w:firstLine="0"/>
              <w:rPr>
                <w:sz w:val="21"/>
                <w:szCs w:val="21"/>
              </w:rPr>
            </w:pPr>
            <w:r w:rsidRPr="00F25307">
              <w:rPr>
                <w:sz w:val="21"/>
                <w:szCs w:val="21"/>
              </w:rPr>
              <w:t>地上建筑（或地表物）</w:t>
            </w:r>
          </w:p>
        </w:tc>
        <w:tc>
          <w:tcPr>
            <w:tcW w:w="1797" w:type="dxa"/>
            <w:gridSpan w:val="2"/>
            <w:vAlign w:val="center"/>
          </w:tcPr>
          <w:p w14:paraId="6F7EA6B6"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名称</w:t>
            </w:r>
          </w:p>
        </w:tc>
        <w:tc>
          <w:tcPr>
            <w:tcW w:w="709" w:type="dxa"/>
            <w:vAlign w:val="center"/>
          </w:tcPr>
          <w:p w14:paraId="68CE8C9A"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用途</w:t>
            </w:r>
          </w:p>
        </w:tc>
        <w:tc>
          <w:tcPr>
            <w:tcW w:w="1276" w:type="dxa"/>
            <w:vAlign w:val="center"/>
          </w:tcPr>
          <w:p w14:paraId="56F4CCC8"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地上总层数</w:t>
            </w:r>
          </w:p>
        </w:tc>
        <w:tc>
          <w:tcPr>
            <w:tcW w:w="1276" w:type="dxa"/>
            <w:vAlign w:val="center"/>
          </w:tcPr>
          <w:p w14:paraId="0860F086"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建成年代</w:t>
            </w:r>
          </w:p>
        </w:tc>
        <w:tc>
          <w:tcPr>
            <w:tcW w:w="2296" w:type="dxa"/>
            <w:gridSpan w:val="3"/>
            <w:vAlign w:val="center"/>
          </w:tcPr>
          <w:p w14:paraId="09F7EC52"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利用现状</w:t>
            </w:r>
          </w:p>
        </w:tc>
      </w:tr>
      <w:tr w:rsidR="00495C65" w:rsidRPr="00F25307" w14:paraId="559FCCD5" w14:textId="77777777" w:rsidTr="00226138">
        <w:trPr>
          <w:trHeight w:val="652"/>
        </w:trPr>
        <w:tc>
          <w:tcPr>
            <w:tcW w:w="1600" w:type="dxa"/>
            <w:vMerge/>
            <w:vAlign w:val="center"/>
          </w:tcPr>
          <w:p w14:paraId="1A1E918F" w14:textId="77777777" w:rsidR="00495C65" w:rsidRPr="00F25307" w:rsidRDefault="00495C65" w:rsidP="00F25307">
            <w:pPr>
              <w:pStyle w:val="13"/>
              <w:spacing w:line="240" w:lineRule="auto"/>
              <w:ind w:firstLineChars="0" w:firstLine="0"/>
              <w:rPr>
                <w:sz w:val="21"/>
                <w:szCs w:val="21"/>
              </w:rPr>
            </w:pPr>
          </w:p>
        </w:tc>
        <w:tc>
          <w:tcPr>
            <w:tcW w:w="1797" w:type="dxa"/>
            <w:gridSpan w:val="2"/>
            <w:vAlign w:val="center"/>
          </w:tcPr>
          <w:p w14:paraId="21C2D459" w14:textId="77777777" w:rsidR="00495C65" w:rsidRPr="00F25307" w:rsidRDefault="00495C65" w:rsidP="00F25307">
            <w:pPr>
              <w:pStyle w:val="13"/>
              <w:spacing w:line="240" w:lineRule="auto"/>
              <w:ind w:firstLineChars="0" w:firstLine="0"/>
              <w:rPr>
                <w:sz w:val="21"/>
                <w:szCs w:val="21"/>
              </w:rPr>
            </w:pPr>
          </w:p>
        </w:tc>
        <w:tc>
          <w:tcPr>
            <w:tcW w:w="709" w:type="dxa"/>
            <w:vAlign w:val="center"/>
          </w:tcPr>
          <w:p w14:paraId="4A59130D" w14:textId="77777777" w:rsidR="00495C65" w:rsidRPr="00F25307" w:rsidRDefault="00495C65" w:rsidP="00F25307">
            <w:pPr>
              <w:pStyle w:val="13"/>
              <w:spacing w:line="240" w:lineRule="auto"/>
              <w:ind w:firstLineChars="0" w:firstLine="0"/>
              <w:rPr>
                <w:sz w:val="21"/>
                <w:szCs w:val="21"/>
              </w:rPr>
            </w:pPr>
          </w:p>
        </w:tc>
        <w:tc>
          <w:tcPr>
            <w:tcW w:w="1276" w:type="dxa"/>
            <w:vAlign w:val="center"/>
          </w:tcPr>
          <w:p w14:paraId="563CC6D1" w14:textId="77777777" w:rsidR="00495C65" w:rsidRPr="00F25307" w:rsidRDefault="00495C65" w:rsidP="00F25307">
            <w:pPr>
              <w:pStyle w:val="13"/>
              <w:spacing w:line="240" w:lineRule="auto"/>
              <w:ind w:firstLineChars="0" w:firstLine="0"/>
              <w:rPr>
                <w:sz w:val="21"/>
                <w:szCs w:val="21"/>
              </w:rPr>
            </w:pPr>
          </w:p>
        </w:tc>
        <w:tc>
          <w:tcPr>
            <w:tcW w:w="1276" w:type="dxa"/>
            <w:vAlign w:val="center"/>
          </w:tcPr>
          <w:p w14:paraId="74A42BBF" w14:textId="77777777" w:rsidR="00495C65" w:rsidRPr="00F25307" w:rsidRDefault="00495C65" w:rsidP="00F25307">
            <w:pPr>
              <w:pStyle w:val="13"/>
              <w:spacing w:line="240" w:lineRule="auto"/>
              <w:ind w:firstLineChars="0" w:firstLine="0"/>
              <w:rPr>
                <w:sz w:val="21"/>
                <w:szCs w:val="21"/>
              </w:rPr>
            </w:pPr>
          </w:p>
        </w:tc>
        <w:tc>
          <w:tcPr>
            <w:tcW w:w="2296" w:type="dxa"/>
            <w:gridSpan w:val="3"/>
            <w:vAlign w:val="center"/>
          </w:tcPr>
          <w:p w14:paraId="592F26D6" w14:textId="77777777" w:rsidR="00495C65" w:rsidRPr="00F25307" w:rsidRDefault="00495C65" w:rsidP="00F25307">
            <w:pPr>
              <w:pStyle w:val="13"/>
              <w:spacing w:line="240" w:lineRule="auto"/>
              <w:ind w:firstLineChars="0" w:firstLine="0"/>
              <w:rPr>
                <w:sz w:val="21"/>
                <w:szCs w:val="21"/>
              </w:rPr>
            </w:pPr>
            <w:r w:rsidRPr="00F25307">
              <w:rPr>
                <w:rFonts w:hint="eastAsia"/>
                <w:sz w:val="21"/>
                <w:szCs w:val="21"/>
              </w:rPr>
              <w:t>□使用；□空置；</w:t>
            </w:r>
          </w:p>
          <w:p w14:paraId="00F1C1AD" w14:textId="77777777" w:rsidR="00495C65" w:rsidRPr="00F25307" w:rsidRDefault="00495C65" w:rsidP="00F25307">
            <w:pPr>
              <w:pStyle w:val="13"/>
              <w:spacing w:line="240" w:lineRule="auto"/>
              <w:ind w:firstLineChars="0" w:firstLine="0"/>
              <w:rPr>
                <w:sz w:val="21"/>
                <w:szCs w:val="21"/>
              </w:rPr>
            </w:pPr>
            <w:r w:rsidRPr="00F25307">
              <w:rPr>
                <w:rFonts w:hint="eastAsia"/>
                <w:sz w:val="21"/>
                <w:szCs w:val="21"/>
              </w:rPr>
              <w:t>□其他（</w:t>
            </w:r>
            <w:r w:rsidRPr="00F25307">
              <w:rPr>
                <w:sz w:val="21"/>
                <w:szCs w:val="21"/>
              </w:rPr>
              <w:t xml:space="preserve">   ）</w:t>
            </w:r>
          </w:p>
        </w:tc>
      </w:tr>
      <w:tr w:rsidR="00495C65" w:rsidRPr="00F25307" w14:paraId="7904C84F" w14:textId="77777777" w:rsidTr="00226138">
        <w:trPr>
          <w:trHeight w:val="472"/>
        </w:trPr>
        <w:tc>
          <w:tcPr>
            <w:tcW w:w="1600" w:type="dxa"/>
            <w:vMerge w:val="restart"/>
            <w:vAlign w:val="center"/>
          </w:tcPr>
          <w:p w14:paraId="6E81F00D" w14:textId="77777777" w:rsidR="00495C65" w:rsidRPr="00F25307" w:rsidRDefault="00495C65" w:rsidP="00F25307">
            <w:pPr>
              <w:pStyle w:val="13"/>
              <w:spacing w:line="240" w:lineRule="auto"/>
              <w:ind w:firstLineChars="0" w:firstLine="0"/>
              <w:rPr>
                <w:sz w:val="21"/>
                <w:szCs w:val="21"/>
              </w:rPr>
            </w:pPr>
            <w:r w:rsidRPr="00F25307">
              <w:rPr>
                <w:sz w:val="21"/>
                <w:szCs w:val="21"/>
              </w:rPr>
              <w:t>估价对象</w:t>
            </w:r>
          </w:p>
        </w:tc>
        <w:tc>
          <w:tcPr>
            <w:tcW w:w="1797" w:type="dxa"/>
            <w:gridSpan w:val="2"/>
            <w:vAlign w:val="center"/>
          </w:tcPr>
          <w:p w14:paraId="09E324E0"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建筑面积（㎡）</w:t>
            </w:r>
          </w:p>
        </w:tc>
        <w:tc>
          <w:tcPr>
            <w:tcW w:w="709" w:type="dxa"/>
            <w:vAlign w:val="center"/>
          </w:tcPr>
          <w:p w14:paraId="6A0A6C7B"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建筑结构</w:t>
            </w:r>
          </w:p>
        </w:tc>
        <w:tc>
          <w:tcPr>
            <w:tcW w:w="1276" w:type="dxa"/>
            <w:vAlign w:val="center"/>
          </w:tcPr>
          <w:p w14:paraId="2CF092FC"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地下总层数</w:t>
            </w:r>
          </w:p>
        </w:tc>
        <w:tc>
          <w:tcPr>
            <w:tcW w:w="1276" w:type="dxa"/>
            <w:vAlign w:val="center"/>
          </w:tcPr>
          <w:p w14:paraId="2443A165"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所在层</w:t>
            </w:r>
          </w:p>
        </w:tc>
        <w:tc>
          <w:tcPr>
            <w:tcW w:w="1148" w:type="dxa"/>
            <w:gridSpan w:val="2"/>
            <w:vAlign w:val="center"/>
          </w:tcPr>
          <w:p w14:paraId="51935CFB"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层高（m）</w:t>
            </w:r>
          </w:p>
        </w:tc>
        <w:tc>
          <w:tcPr>
            <w:tcW w:w="1148" w:type="dxa"/>
            <w:vAlign w:val="center"/>
          </w:tcPr>
          <w:p w14:paraId="1D62F95B"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空间布局</w:t>
            </w:r>
          </w:p>
        </w:tc>
      </w:tr>
      <w:tr w:rsidR="00495C65" w:rsidRPr="00F25307" w14:paraId="24685DDC" w14:textId="77777777" w:rsidTr="00226138">
        <w:trPr>
          <w:trHeight w:val="563"/>
        </w:trPr>
        <w:tc>
          <w:tcPr>
            <w:tcW w:w="1600" w:type="dxa"/>
            <w:vMerge/>
            <w:vAlign w:val="center"/>
          </w:tcPr>
          <w:p w14:paraId="47857E01" w14:textId="77777777" w:rsidR="00495C65" w:rsidRPr="00F25307" w:rsidRDefault="00495C65" w:rsidP="00F25307">
            <w:pPr>
              <w:pStyle w:val="13"/>
              <w:spacing w:line="240" w:lineRule="auto"/>
              <w:ind w:firstLineChars="0" w:firstLine="0"/>
              <w:rPr>
                <w:sz w:val="21"/>
                <w:szCs w:val="21"/>
              </w:rPr>
            </w:pPr>
          </w:p>
        </w:tc>
        <w:tc>
          <w:tcPr>
            <w:tcW w:w="1797" w:type="dxa"/>
            <w:gridSpan w:val="2"/>
            <w:vAlign w:val="center"/>
          </w:tcPr>
          <w:p w14:paraId="673FB737" w14:textId="77777777" w:rsidR="00495C65" w:rsidRPr="00F25307" w:rsidRDefault="00495C65" w:rsidP="00F25307">
            <w:pPr>
              <w:pStyle w:val="13"/>
              <w:spacing w:line="240" w:lineRule="auto"/>
              <w:ind w:firstLineChars="0" w:firstLine="0"/>
              <w:rPr>
                <w:sz w:val="21"/>
                <w:szCs w:val="21"/>
              </w:rPr>
            </w:pPr>
          </w:p>
        </w:tc>
        <w:tc>
          <w:tcPr>
            <w:tcW w:w="709" w:type="dxa"/>
            <w:vAlign w:val="center"/>
          </w:tcPr>
          <w:p w14:paraId="1264A46E" w14:textId="77777777" w:rsidR="00495C65" w:rsidRPr="00F25307" w:rsidRDefault="00495C65" w:rsidP="00F25307">
            <w:pPr>
              <w:pStyle w:val="13"/>
              <w:spacing w:line="240" w:lineRule="auto"/>
              <w:ind w:firstLineChars="0" w:firstLine="0"/>
              <w:rPr>
                <w:sz w:val="21"/>
                <w:szCs w:val="21"/>
              </w:rPr>
            </w:pPr>
          </w:p>
        </w:tc>
        <w:tc>
          <w:tcPr>
            <w:tcW w:w="1276" w:type="dxa"/>
            <w:vAlign w:val="center"/>
          </w:tcPr>
          <w:p w14:paraId="3A04D592" w14:textId="77777777" w:rsidR="00495C65" w:rsidRPr="00F25307" w:rsidRDefault="00495C65" w:rsidP="00F25307">
            <w:pPr>
              <w:pStyle w:val="13"/>
              <w:spacing w:line="240" w:lineRule="auto"/>
              <w:ind w:firstLineChars="0" w:firstLine="0"/>
              <w:rPr>
                <w:sz w:val="21"/>
                <w:szCs w:val="21"/>
              </w:rPr>
            </w:pPr>
          </w:p>
        </w:tc>
        <w:tc>
          <w:tcPr>
            <w:tcW w:w="1276" w:type="dxa"/>
            <w:vAlign w:val="center"/>
          </w:tcPr>
          <w:p w14:paraId="6682120F" w14:textId="77777777" w:rsidR="00495C65" w:rsidRPr="00F25307" w:rsidRDefault="00495C65" w:rsidP="00F25307">
            <w:pPr>
              <w:pStyle w:val="13"/>
              <w:spacing w:line="240" w:lineRule="auto"/>
              <w:ind w:firstLineChars="0" w:firstLine="0"/>
              <w:rPr>
                <w:sz w:val="21"/>
                <w:szCs w:val="21"/>
              </w:rPr>
            </w:pPr>
          </w:p>
        </w:tc>
        <w:tc>
          <w:tcPr>
            <w:tcW w:w="2296" w:type="dxa"/>
            <w:gridSpan w:val="3"/>
            <w:vAlign w:val="center"/>
          </w:tcPr>
          <w:p w14:paraId="26FBC95B" w14:textId="77777777" w:rsidR="00495C65" w:rsidRPr="00F25307" w:rsidRDefault="00495C65" w:rsidP="00F25307">
            <w:pPr>
              <w:pStyle w:val="13"/>
              <w:spacing w:line="240" w:lineRule="auto"/>
              <w:ind w:firstLineChars="0" w:firstLine="0"/>
              <w:rPr>
                <w:sz w:val="21"/>
                <w:szCs w:val="21"/>
              </w:rPr>
            </w:pPr>
          </w:p>
        </w:tc>
      </w:tr>
      <w:tr w:rsidR="00495C65" w:rsidRPr="00F25307" w14:paraId="26138D6A" w14:textId="77777777" w:rsidTr="00226138">
        <w:trPr>
          <w:trHeight w:val="64"/>
        </w:trPr>
        <w:tc>
          <w:tcPr>
            <w:tcW w:w="1600" w:type="dxa"/>
            <w:vMerge/>
            <w:vAlign w:val="center"/>
          </w:tcPr>
          <w:p w14:paraId="52E5846E" w14:textId="77777777" w:rsidR="00495C65" w:rsidRPr="00F25307" w:rsidRDefault="00495C65" w:rsidP="00F25307">
            <w:pPr>
              <w:pStyle w:val="13"/>
              <w:spacing w:line="240" w:lineRule="auto"/>
              <w:ind w:firstLineChars="0" w:firstLine="0"/>
              <w:rPr>
                <w:sz w:val="21"/>
                <w:szCs w:val="21"/>
              </w:rPr>
            </w:pPr>
          </w:p>
        </w:tc>
        <w:tc>
          <w:tcPr>
            <w:tcW w:w="1797" w:type="dxa"/>
            <w:gridSpan w:val="2"/>
            <w:vAlign w:val="center"/>
          </w:tcPr>
          <w:p w14:paraId="4A16630D"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建成年代</w:t>
            </w:r>
          </w:p>
        </w:tc>
        <w:tc>
          <w:tcPr>
            <w:tcW w:w="1985" w:type="dxa"/>
            <w:gridSpan w:val="2"/>
            <w:vAlign w:val="center"/>
          </w:tcPr>
          <w:p w14:paraId="57E2C38F"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设备设施</w:t>
            </w:r>
          </w:p>
        </w:tc>
        <w:tc>
          <w:tcPr>
            <w:tcW w:w="1276" w:type="dxa"/>
            <w:vAlign w:val="center"/>
          </w:tcPr>
          <w:p w14:paraId="31753CFC"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维护状况</w:t>
            </w:r>
          </w:p>
        </w:tc>
        <w:tc>
          <w:tcPr>
            <w:tcW w:w="2296" w:type="dxa"/>
            <w:gridSpan w:val="3"/>
            <w:vAlign w:val="center"/>
          </w:tcPr>
          <w:p w14:paraId="79B168EF" w14:textId="77777777" w:rsidR="00495C65" w:rsidRPr="00F25307" w:rsidRDefault="00495C65" w:rsidP="00F25307">
            <w:pPr>
              <w:pStyle w:val="13"/>
              <w:spacing w:line="240" w:lineRule="auto"/>
              <w:ind w:firstLineChars="0" w:firstLine="0"/>
              <w:jc w:val="center"/>
              <w:rPr>
                <w:sz w:val="21"/>
                <w:szCs w:val="21"/>
              </w:rPr>
            </w:pPr>
            <w:r w:rsidRPr="00F25307">
              <w:rPr>
                <w:rFonts w:hint="eastAsia"/>
                <w:sz w:val="21"/>
                <w:szCs w:val="21"/>
              </w:rPr>
              <w:t>装饰装修</w:t>
            </w:r>
          </w:p>
        </w:tc>
      </w:tr>
      <w:tr w:rsidR="00495C65" w:rsidRPr="00F25307" w14:paraId="5F2551FD" w14:textId="77777777" w:rsidTr="00226138">
        <w:trPr>
          <w:trHeight w:val="564"/>
        </w:trPr>
        <w:tc>
          <w:tcPr>
            <w:tcW w:w="1600" w:type="dxa"/>
            <w:vMerge/>
            <w:vAlign w:val="center"/>
          </w:tcPr>
          <w:p w14:paraId="5724E742" w14:textId="77777777" w:rsidR="00495C65" w:rsidRPr="00F25307" w:rsidRDefault="00495C65" w:rsidP="00F25307">
            <w:pPr>
              <w:pStyle w:val="13"/>
              <w:spacing w:line="240" w:lineRule="auto"/>
              <w:ind w:firstLineChars="0" w:firstLine="0"/>
              <w:rPr>
                <w:sz w:val="21"/>
                <w:szCs w:val="21"/>
              </w:rPr>
            </w:pPr>
          </w:p>
        </w:tc>
        <w:tc>
          <w:tcPr>
            <w:tcW w:w="1797" w:type="dxa"/>
            <w:gridSpan w:val="2"/>
            <w:vAlign w:val="center"/>
          </w:tcPr>
          <w:p w14:paraId="3DC8C151" w14:textId="77777777" w:rsidR="00495C65" w:rsidRPr="00F25307" w:rsidRDefault="00495C65" w:rsidP="00F25307">
            <w:pPr>
              <w:pStyle w:val="13"/>
              <w:spacing w:line="240" w:lineRule="auto"/>
              <w:ind w:firstLineChars="0" w:firstLine="0"/>
              <w:rPr>
                <w:sz w:val="21"/>
                <w:szCs w:val="21"/>
              </w:rPr>
            </w:pPr>
          </w:p>
        </w:tc>
        <w:tc>
          <w:tcPr>
            <w:tcW w:w="1985" w:type="dxa"/>
            <w:gridSpan w:val="2"/>
            <w:vAlign w:val="center"/>
          </w:tcPr>
          <w:p w14:paraId="59AD214F" w14:textId="77777777" w:rsidR="00495C65" w:rsidRPr="00F25307" w:rsidRDefault="00495C65" w:rsidP="00F25307">
            <w:pPr>
              <w:pStyle w:val="13"/>
              <w:spacing w:line="240" w:lineRule="auto"/>
              <w:ind w:firstLineChars="0" w:firstLine="0"/>
              <w:rPr>
                <w:sz w:val="21"/>
                <w:szCs w:val="21"/>
              </w:rPr>
            </w:pPr>
          </w:p>
        </w:tc>
        <w:tc>
          <w:tcPr>
            <w:tcW w:w="1276" w:type="dxa"/>
            <w:vAlign w:val="center"/>
          </w:tcPr>
          <w:p w14:paraId="61E3A837" w14:textId="77777777" w:rsidR="00495C65" w:rsidRPr="00F25307" w:rsidRDefault="00495C65" w:rsidP="00F25307">
            <w:pPr>
              <w:pStyle w:val="13"/>
              <w:spacing w:line="240" w:lineRule="auto"/>
              <w:ind w:firstLineChars="0" w:firstLine="0"/>
              <w:rPr>
                <w:sz w:val="21"/>
                <w:szCs w:val="21"/>
              </w:rPr>
            </w:pPr>
          </w:p>
        </w:tc>
        <w:tc>
          <w:tcPr>
            <w:tcW w:w="2296" w:type="dxa"/>
            <w:gridSpan w:val="3"/>
            <w:vAlign w:val="center"/>
          </w:tcPr>
          <w:p w14:paraId="75B941FC" w14:textId="77777777" w:rsidR="00495C65" w:rsidRPr="00F25307" w:rsidRDefault="00495C65" w:rsidP="00F25307">
            <w:pPr>
              <w:pStyle w:val="13"/>
              <w:spacing w:line="240" w:lineRule="auto"/>
              <w:ind w:firstLineChars="0" w:firstLine="0"/>
              <w:rPr>
                <w:sz w:val="21"/>
                <w:szCs w:val="21"/>
              </w:rPr>
            </w:pPr>
          </w:p>
        </w:tc>
      </w:tr>
      <w:tr w:rsidR="00495C65" w:rsidRPr="00F25307" w14:paraId="76913B2F" w14:textId="77777777" w:rsidTr="00226138">
        <w:trPr>
          <w:trHeight w:val="841"/>
        </w:trPr>
        <w:tc>
          <w:tcPr>
            <w:tcW w:w="1600" w:type="dxa"/>
            <w:vAlign w:val="center"/>
          </w:tcPr>
          <w:p w14:paraId="35C7310D" w14:textId="77777777" w:rsidR="00495C65" w:rsidRPr="00F25307" w:rsidRDefault="00495C65" w:rsidP="00F25307">
            <w:pPr>
              <w:pStyle w:val="13"/>
              <w:spacing w:line="240" w:lineRule="auto"/>
              <w:ind w:firstLineChars="0" w:firstLine="0"/>
              <w:rPr>
                <w:sz w:val="21"/>
                <w:szCs w:val="21"/>
              </w:rPr>
            </w:pPr>
            <w:r w:rsidRPr="00F25307">
              <w:rPr>
                <w:sz w:val="21"/>
                <w:szCs w:val="21"/>
              </w:rPr>
              <w:t>备注</w:t>
            </w:r>
          </w:p>
        </w:tc>
        <w:tc>
          <w:tcPr>
            <w:tcW w:w="7354" w:type="dxa"/>
            <w:gridSpan w:val="8"/>
            <w:vAlign w:val="center"/>
          </w:tcPr>
          <w:p w14:paraId="35B186E8" w14:textId="77777777" w:rsidR="00495C65" w:rsidRPr="00F25307" w:rsidRDefault="00495C65" w:rsidP="00F25307">
            <w:pPr>
              <w:pStyle w:val="13"/>
              <w:spacing w:line="240" w:lineRule="auto"/>
              <w:ind w:firstLineChars="0" w:firstLine="0"/>
              <w:rPr>
                <w:sz w:val="21"/>
                <w:szCs w:val="21"/>
              </w:rPr>
            </w:pPr>
          </w:p>
        </w:tc>
      </w:tr>
    </w:tbl>
    <w:p w14:paraId="3C987029" w14:textId="77777777" w:rsidR="00495C65" w:rsidRDefault="00495C65" w:rsidP="00495C65">
      <w:pPr>
        <w:pStyle w:val="13"/>
      </w:pPr>
      <w:r>
        <w:rPr>
          <w:rFonts w:hint="eastAsia"/>
        </w:rPr>
        <w:t>注：地下空间用途为地下车库的，应注明车位数量。</w:t>
      </w:r>
    </w:p>
    <w:p w14:paraId="3F13B8ED" w14:textId="77777777" w:rsidR="00495C65" w:rsidRDefault="00495C65" w:rsidP="00495C65">
      <w:pPr>
        <w:pStyle w:val="ab"/>
        <w:spacing w:before="62" w:after="62"/>
        <w:ind w:firstLine="482"/>
      </w:pPr>
      <w:r>
        <w:rPr>
          <w:rFonts w:hint="eastAsia"/>
        </w:rPr>
        <w:t>六、估价方法选用</w:t>
      </w:r>
    </w:p>
    <w:p w14:paraId="72AA2261" w14:textId="77777777" w:rsidR="00495C65" w:rsidRDefault="00495C65" w:rsidP="00495C65">
      <w:pPr>
        <w:pStyle w:val="13"/>
      </w:pPr>
      <w:r>
        <w:rPr>
          <w:rFonts w:hint="eastAsia"/>
        </w:rPr>
        <w:t>估价方法选用时，应根据估价对象特点及当地类似房地产市场状况等客观条件，选用适当的估价方法，并进行估价方法适用性分析。</w:t>
      </w:r>
    </w:p>
    <w:p w14:paraId="03F5CB9E" w14:textId="77777777" w:rsidR="00495C65" w:rsidRDefault="00495C65" w:rsidP="00495C65">
      <w:pPr>
        <w:pStyle w:val="13"/>
        <w:ind w:firstLineChars="0" w:firstLine="0"/>
        <w:jc w:val="center"/>
      </w:pPr>
      <w:r w:rsidRPr="0058300F">
        <w:rPr>
          <w:rFonts w:hint="eastAsia"/>
        </w:rPr>
        <w:t>表</w:t>
      </w:r>
      <w:r w:rsidRPr="0058300F">
        <w:t>2 估价方法选用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7"/>
        <w:gridCol w:w="2419"/>
        <w:gridCol w:w="5384"/>
      </w:tblGrid>
      <w:tr w:rsidR="00495C65" w:rsidRPr="00F25307" w14:paraId="1B48BE38" w14:textId="77777777" w:rsidTr="00F25307">
        <w:trPr>
          <w:trHeight w:val="396"/>
          <w:tblHeader/>
          <w:jc w:val="center"/>
        </w:trPr>
        <w:tc>
          <w:tcPr>
            <w:tcW w:w="1913" w:type="pct"/>
            <w:gridSpan w:val="2"/>
            <w:vAlign w:val="center"/>
          </w:tcPr>
          <w:p w14:paraId="079120ED"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估价对象</w:t>
            </w:r>
          </w:p>
        </w:tc>
        <w:tc>
          <w:tcPr>
            <w:tcW w:w="3087" w:type="pct"/>
            <w:vAlign w:val="center"/>
          </w:tcPr>
          <w:p w14:paraId="65A8E43C"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适用的估价方法</w:t>
            </w:r>
          </w:p>
        </w:tc>
      </w:tr>
      <w:tr w:rsidR="00495C65" w:rsidRPr="00F25307" w14:paraId="1D67A749" w14:textId="77777777" w:rsidTr="00F25307">
        <w:trPr>
          <w:trHeight w:val="398"/>
          <w:jc w:val="center"/>
        </w:trPr>
        <w:tc>
          <w:tcPr>
            <w:tcW w:w="526" w:type="pct"/>
            <w:vMerge w:val="restart"/>
            <w:vAlign w:val="center"/>
          </w:tcPr>
          <w:p w14:paraId="50B63DD0" w14:textId="77777777" w:rsidR="00495C65" w:rsidRPr="00F25307" w:rsidRDefault="00495C65" w:rsidP="00F25307">
            <w:pPr>
              <w:pStyle w:val="13"/>
              <w:spacing w:line="240" w:lineRule="auto"/>
              <w:ind w:firstLineChars="0" w:firstLine="0"/>
              <w:rPr>
                <w:sz w:val="21"/>
                <w:szCs w:val="21"/>
              </w:rPr>
            </w:pPr>
            <w:r w:rsidRPr="00F25307">
              <w:rPr>
                <w:sz w:val="21"/>
                <w:szCs w:val="21"/>
              </w:rPr>
              <w:t>地下汽车库</w:t>
            </w:r>
          </w:p>
        </w:tc>
        <w:tc>
          <w:tcPr>
            <w:tcW w:w="1386" w:type="pct"/>
            <w:vMerge w:val="restart"/>
            <w:vAlign w:val="center"/>
          </w:tcPr>
          <w:p w14:paraId="7A6E3BBC" w14:textId="77777777" w:rsidR="00495C65" w:rsidRPr="00F25307" w:rsidRDefault="00495C65" w:rsidP="00F25307">
            <w:pPr>
              <w:pStyle w:val="13"/>
              <w:spacing w:line="240" w:lineRule="auto"/>
              <w:ind w:firstLineChars="0" w:firstLine="0"/>
              <w:rPr>
                <w:sz w:val="21"/>
                <w:szCs w:val="21"/>
              </w:rPr>
            </w:pPr>
            <w:r w:rsidRPr="00F25307">
              <w:rPr>
                <w:sz w:val="21"/>
                <w:szCs w:val="21"/>
              </w:rPr>
              <w:t>允许转让的单个车位、车库</w:t>
            </w:r>
          </w:p>
        </w:tc>
        <w:tc>
          <w:tcPr>
            <w:tcW w:w="3087" w:type="pct"/>
            <w:vAlign w:val="center"/>
          </w:tcPr>
          <w:p w14:paraId="71F6A011" w14:textId="77777777" w:rsidR="00495C65" w:rsidRPr="00F25307" w:rsidRDefault="00495C65" w:rsidP="00F25307">
            <w:pPr>
              <w:pStyle w:val="13"/>
              <w:spacing w:line="240" w:lineRule="auto"/>
              <w:ind w:firstLineChars="0" w:firstLine="0"/>
              <w:rPr>
                <w:sz w:val="21"/>
                <w:szCs w:val="21"/>
              </w:rPr>
            </w:pPr>
            <w:r w:rsidRPr="00F25307">
              <w:rPr>
                <w:sz w:val="21"/>
                <w:szCs w:val="21"/>
              </w:rPr>
              <w:t>比较法</w:t>
            </w:r>
          </w:p>
        </w:tc>
      </w:tr>
      <w:tr w:rsidR="00495C65" w:rsidRPr="00F25307" w14:paraId="6D862BFF" w14:textId="77777777" w:rsidTr="00F25307">
        <w:trPr>
          <w:trHeight w:val="396"/>
          <w:jc w:val="center"/>
        </w:trPr>
        <w:tc>
          <w:tcPr>
            <w:tcW w:w="526" w:type="pct"/>
            <w:vMerge/>
            <w:vAlign w:val="center"/>
          </w:tcPr>
          <w:p w14:paraId="2C895FC8"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2D2C4157"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15D37D9A" w14:textId="77777777" w:rsidR="00495C65" w:rsidRPr="00F25307" w:rsidRDefault="00495C65" w:rsidP="00F25307">
            <w:pPr>
              <w:pStyle w:val="13"/>
              <w:spacing w:line="240" w:lineRule="auto"/>
              <w:ind w:firstLineChars="0" w:firstLine="0"/>
              <w:rPr>
                <w:sz w:val="21"/>
                <w:szCs w:val="21"/>
              </w:rPr>
            </w:pPr>
            <w:r w:rsidRPr="00F25307">
              <w:rPr>
                <w:sz w:val="21"/>
                <w:szCs w:val="21"/>
              </w:rPr>
              <w:t>收益法（推荐持有加转售模式）</w:t>
            </w:r>
          </w:p>
        </w:tc>
      </w:tr>
      <w:tr w:rsidR="00495C65" w:rsidRPr="00F25307" w14:paraId="531211FD" w14:textId="77777777" w:rsidTr="00F25307">
        <w:trPr>
          <w:trHeight w:val="396"/>
          <w:jc w:val="center"/>
        </w:trPr>
        <w:tc>
          <w:tcPr>
            <w:tcW w:w="526" w:type="pct"/>
            <w:vMerge/>
            <w:vAlign w:val="center"/>
          </w:tcPr>
          <w:p w14:paraId="4F52D889"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3849E633"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0610F19F" w14:textId="77777777" w:rsidR="00495C65" w:rsidRPr="00F25307" w:rsidRDefault="00495C65" w:rsidP="00F25307">
            <w:pPr>
              <w:pStyle w:val="13"/>
              <w:spacing w:line="240" w:lineRule="auto"/>
              <w:ind w:firstLineChars="0" w:firstLine="0"/>
              <w:rPr>
                <w:sz w:val="21"/>
                <w:szCs w:val="21"/>
              </w:rPr>
            </w:pPr>
            <w:r w:rsidRPr="00F25307">
              <w:rPr>
                <w:sz w:val="21"/>
                <w:szCs w:val="21"/>
              </w:rPr>
              <w:t>标准价调整法（同类型多个车位批量估价时采用）</w:t>
            </w:r>
          </w:p>
        </w:tc>
      </w:tr>
      <w:tr w:rsidR="00495C65" w:rsidRPr="00F25307" w14:paraId="4F85024C" w14:textId="77777777" w:rsidTr="00F25307">
        <w:trPr>
          <w:trHeight w:val="396"/>
          <w:jc w:val="center"/>
        </w:trPr>
        <w:tc>
          <w:tcPr>
            <w:tcW w:w="526" w:type="pct"/>
            <w:vMerge/>
            <w:vAlign w:val="center"/>
          </w:tcPr>
          <w:p w14:paraId="7748FDB5" w14:textId="77777777" w:rsidR="00495C65" w:rsidRPr="00F25307" w:rsidRDefault="00495C65" w:rsidP="00F25307">
            <w:pPr>
              <w:pStyle w:val="13"/>
              <w:spacing w:line="240" w:lineRule="auto"/>
              <w:ind w:firstLineChars="0" w:firstLine="0"/>
              <w:rPr>
                <w:sz w:val="21"/>
                <w:szCs w:val="21"/>
              </w:rPr>
            </w:pPr>
          </w:p>
        </w:tc>
        <w:tc>
          <w:tcPr>
            <w:tcW w:w="1386" w:type="pct"/>
            <w:vMerge w:val="restart"/>
            <w:vAlign w:val="center"/>
          </w:tcPr>
          <w:p w14:paraId="463A110C" w14:textId="77777777" w:rsidR="00495C65" w:rsidRPr="00F25307" w:rsidRDefault="00495C65" w:rsidP="00F25307">
            <w:pPr>
              <w:pStyle w:val="13"/>
              <w:spacing w:line="240" w:lineRule="auto"/>
              <w:ind w:firstLineChars="0" w:firstLine="0"/>
              <w:rPr>
                <w:sz w:val="21"/>
                <w:szCs w:val="21"/>
              </w:rPr>
            </w:pPr>
            <w:r w:rsidRPr="00F25307">
              <w:rPr>
                <w:sz w:val="21"/>
                <w:szCs w:val="21"/>
              </w:rPr>
              <w:t>不允许分割转让的整体车库</w:t>
            </w:r>
          </w:p>
        </w:tc>
        <w:tc>
          <w:tcPr>
            <w:tcW w:w="3087" w:type="pct"/>
            <w:vAlign w:val="center"/>
          </w:tcPr>
          <w:p w14:paraId="3CACE2C9" w14:textId="77777777" w:rsidR="00495C65" w:rsidRPr="00F25307" w:rsidRDefault="00495C65" w:rsidP="00F25307">
            <w:pPr>
              <w:pStyle w:val="13"/>
              <w:spacing w:line="240" w:lineRule="auto"/>
              <w:ind w:firstLineChars="0" w:firstLine="0"/>
              <w:rPr>
                <w:sz w:val="21"/>
                <w:szCs w:val="21"/>
              </w:rPr>
            </w:pPr>
            <w:r w:rsidRPr="00F25307">
              <w:rPr>
                <w:sz w:val="21"/>
                <w:szCs w:val="21"/>
              </w:rPr>
              <w:t>收益法</w:t>
            </w:r>
          </w:p>
        </w:tc>
      </w:tr>
      <w:tr w:rsidR="00495C65" w:rsidRPr="00F25307" w14:paraId="47354BC2" w14:textId="77777777" w:rsidTr="00F25307">
        <w:trPr>
          <w:trHeight w:val="396"/>
          <w:jc w:val="center"/>
        </w:trPr>
        <w:tc>
          <w:tcPr>
            <w:tcW w:w="526" w:type="pct"/>
            <w:vMerge/>
            <w:vAlign w:val="center"/>
          </w:tcPr>
          <w:p w14:paraId="3CB6102D" w14:textId="77777777" w:rsidR="00495C65" w:rsidRPr="00F25307" w:rsidRDefault="00495C65" w:rsidP="00F25307">
            <w:pPr>
              <w:pStyle w:val="13"/>
              <w:spacing w:line="240" w:lineRule="auto"/>
              <w:ind w:firstLineChars="0" w:firstLine="0"/>
              <w:rPr>
                <w:sz w:val="21"/>
                <w:szCs w:val="21"/>
              </w:rPr>
            </w:pPr>
          </w:p>
        </w:tc>
        <w:tc>
          <w:tcPr>
            <w:tcW w:w="1386" w:type="pct"/>
            <w:vMerge/>
            <w:vAlign w:val="center"/>
          </w:tcPr>
          <w:p w14:paraId="2F975DC6"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5CF53D16" w14:textId="77777777" w:rsidR="00495C65" w:rsidRPr="00F25307" w:rsidRDefault="00495C65" w:rsidP="00F25307">
            <w:pPr>
              <w:pStyle w:val="13"/>
              <w:spacing w:line="240" w:lineRule="auto"/>
              <w:ind w:firstLineChars="0" w:firstLine="0"/>
              <w:rPr>
                <w:sz w:val="21"/>
                <w:szCs w:val="21"/>
              </w:rPr>
            </w:pPr>
            <w:r w:rsidRPr="00F25307">
              <w:rPr>
                <w:sz w:val="21"/>
                <w:szCs w:val="21"/>
              </w:rPr>
              <w:t>成本法</w:t>
            </w:r>
          </w:p>
        </w:tc>
      </w:tr>
      <w:tr w:rsidR="00495C65" w:rsidRPr="00F25307" w14:paraId="62EEDF76" w14:textId="77777777" w:rsidTr="00F25307">
        <w:trPr>
          <w:trHeight w:val="397"/>
          <w:jc w:val="center"/>
        </w:trPr>
        <w:tc>
          <w:tcPr>
            <w:tcW w:w="526" w:type="pct"/>
            <w:vMerge/>
            <w:vAlign w:val="center"/>
          </w:tcPr>
          <w:p w14:paraId="62A8385A" w14:textId="77777777" w:rsidR="00495C65" w:rsidRPr="00F25307" w:rsidRDefault="00495C65" w:rsidP="00F25307">
            <w:pPr>
              <w:pStyle w:val="13"/>
              <w:spacing w:line="240" w:lineRule="auto"/>
              <w:ind w:firstLineChars="0" w:firstLine="0"/>
              <w:rPr>
                <w:sz w:val="21"/>
                <w:szCs w:val="21"/>
              </w:rPr>
            </w:pPr>
          </w:p>
        </w:tc>
        <w:tc>
          <w:tcPr>
            <w:tcW w:w="1386" w:type="pct"/>
            <w:vMerge/>
            <w:vAlign w:val="center"/>
          </w:tcPr>
          <w:p w14:paraId="6A86BD98"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4E245572" w14:textId="77777777" w:rsidR="00495C65" w:rsidRPr="00F25307" w:rsidRDefault="00495C65" w:rsidP="00F25307">
            <w:pPr>
              <w:pStyle w:val="13"/>
              <w:spacing w:line="240" w:lineRule="auto"/>
              <w:ind w:firstLineChars="0" w:firstLine="0"/>
              <w:rPr>
                <w:sz w:val="21"/>
                <w:szCs w:val="21"/>
              </w:rPr>
            </w:pPr>
            <w:r w:rsidRPr="00F25307">
              <w:rPr>
                <w:sz w:val="21"/>
                <w:szCs w:val="21"/>
              </w:rPr>
              <w:t>比较法1（以整体车库交易实例为比较案例）</w:t>
            </w:r>
          </w:p>
        </w:tc>
      </w:tr>
      <w:tr w:rsidR="00495C65" w:rsidRPr="00F25307" w14:paraId="7D414E22" w14:textId="77777777" w:rsidTr="00F25307">
        <w:trPr>
          <w:trHeight w:val="1125"/>
          <w:jc w:val="center"/>
        </w:trPr>
        <w:tc>
          <w:tcPr>
            <w:tcW w:w="526" w:type="pct"/>
            <w:vMerge/>
            <w:vAlign w:val="center"/>
          </w:tcPr>
          <w:p w14:paraId="00FFA509" w14:textId="77777777" w:rsidR="00495C65" w:rsidRPr="00F25307" w:rsidRDefault="00495C65" w:rsidP="00F25307">
            <w:pPr>
              <w:pStyle w:val="13"/>
              <w:spacing w:line="240" w:lineRule="auto"/>
              <w:ind w:firstLineChars="0" w:firstLine="0"/>
              <w:rPr>
                <w:sz w:val="21"/>
                <w:szCs w:val="21"/>
              </w:rPr>
            </w:pPr>
          </w:p>
        </w:tc>
        <w:tc>
          <w:tcPr>
            <w:tcW w:w="1386" w:type="pct"/>
            <w:vMerge/>
            <w:vAlign w:val="center"/>
          </w:tcPr>
          <w:p w14:paraId="6A6B04B6"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26A0AE09" w14:textId="77777777" w:rsidR="00495C65" w:rsidRPr="00F25307" w:rsidRDefault="00495C65" w:rsidP="00F25307">
            <w:pPr>
              <w:pStyle w:val="13"/>
              <w:spacing w:line="240" w:lineRule="auto"/>
              <w:ind w:firstLineChars="0" w:firstLine="0"/>
              <w:rPr>
                <w:sz w:val="21"/>
                <w:szCs w:val="21"/>
              </w:rPr>
            </w:pPr>
            <w:r w:rsidRPr="00F25307">
              <w:rPr>
                <w:sz w:val="21"/>
                <w:szCs w:val="21"/>
              </w:rPr>
              <w:t>比较法2（以长租或以租代售、变相销售等方式分割转让车位使用权时，可根据整体车库中的车位数量结合车位使用权价格，采用比较法估价）</w:t>
            </w:r>
          </w:p>
        </w:tc>
      </w:tr>
      <w:tr w:rsidR="00495C65" w:rsidRPr="00F25307" w14:paraId="0FE35981" w14:textId="77777777" w:rsidTr="00F25307">
        <w:trPr>
          <w:trHeight w:val="396"/>
          <w:jc w:val="center"/>
        </w:trPr>
        <w:tc>
          <w:tcPr>
            <w:tcW w:w="526" w:type="pct"/>
            <w:vMerge w:val="restart"/>
            <w:vAlign w:val="center"/>
          </w:tcPr>
          <w:p w14:paraId="4D5F5767" w14:textId="77777777" w:rsidR="00495C65" w:rsidRPr="00F25307" w:rsidRDefault="00495C65" w:rsidP="00F25307">
            <w:pPr>
              <w:pStyle w:val="13"/>
              <w:spacing w:line="240" w:lineRule="auto"/>
              <w:ind w:firstLineChars="0" w:firstLine="0"/>
              <w:rPr>
                <w:sz w:val="21"/>
                <w:szCs w:val="21"/>
              </w:rPr>
            </w:pPr>
            <w:r w:rsidRPr="00F25307">
              <w:rPr>
                <w:sz w:val="21"/>
                <w:szCs w:val="21"/>
              </w:rPr>
              <w:t>商业用途地下空间</w:t>
            </w:r>
          </w:p>
        </w:tc>
        <w:tc>
          <w:tcPr>
            <w:tcW w:w="1386" w:type="pct"/>
            <w:vMerge w:val="restart"/>
            <w:vAlign w:val="center"/>
          </w:tcPr>
          <w:p w14:paraId="5DA8D75E" w14:textId="77777777" w:rsidR="00495C65" w:rsidRPr="00F25307" w:rsidRDefault="00495C65" w:rsidP="00F25307">
            <w:pPr>
              <w:pStyle w:val="13"/>
              <w:spacing w:line="240" w:lineRule="auto"/>
              <w:ind w:firstLineChars="0" w:firstLine="0"/>
              <w:rPr>
                <w:sz w:val="21"/>
                <w:szCs w:val="21"/>
              </w:rPr>
            </w:pPr>
            <w:r w:rsidRPr="00F25307">
              <w:rPr>
                <w:sz w:val="21"/>
                <w:szCs w:val="21"/>
              </w:rPr>
              <w:t>允许转让的单套商铺、商场铺位或其他商业房地产</w:t>
            </w:r>
          </w:p>
        </w:tc>
        <w:tc>
          <w:tcPr>
            <w:tcW w:w="3087" w:type="pct"/>
            <w:vAlign w:val="center"/>
          </w:tcPr>
          <w:p w14:paraId="315B1FE5" w14:textId="77777777" w:rsidR="00495C65" w:rsidRPr="00F25307" w:rsidRDefault="00495C65" w:rsidP="00F25307">
            <w:pPr>
              <w:pStyle w:val="13"/>
              <w:spacing w:line="240" w:lineRule="auto"/>
              <w:ind w:firstLineChars="0" w:firstLine="0"/>
              <w:rPr>
                <w:sz w:val="21"/>
                <w:szCs w:val="21"/>
              </w:rPr>
            </w:pPr>
            <w:r w:rsidRPr="00F25307">
              <w:rPr>
                <w:sz w:val="21"/>
                <w:szCs w:val="21"/>
              </w:rPr>
              <w:t>比较法</w:t>
            </w:r>
          </w:p>
        </w:tc>
      </w:tr>
      <w:tr w:rsidR="00495C65" w:rsidRPr="00F25307" w14:paraId="071FD847" w14:textId="77777777" w:rsidTr="00F25307">
        <w:trPr>
          <w:trHeight w:val="396"/>
          <w:jc w:val="center"/>
        </w:trPr>
        <w:tc>
          <w:tcPr>
            <w:tcW w:w="526" w:type="pct"/>
            <w:vMerge/>
            <w:tcBorders>
              <w:top w:val="nil"/>
            </w:tcBorders>
            <w:vAlign w:val="center"/>
          </w:tcPr>
          <w:p w14:paraId="1FED5E04"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703C831C"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5C7ECA32" w14:textId="77777777" w:rsidR="00495C65" w:rsidRPr="00F25307" w:rsidRDefault="00495C65" w:rsidP="00F25307">
            <w:pPr>
              <w:pStyle w:val="13"/>
              <w:spacing w:line="240" w:lineRule="auto"/>
              <w:ind w:firstLineChars="0" w:firstLine="0"/>
              <w:rPr>
                <w:sz w:val="21"/>
                <w:szCs w:val="21"/>
              </w:rPr>
            </w:pPr>
            <w:r w:rsidRPr="00F25307">
              <w:rPr>
                <w:sz w:val="21"/>
                <w:szCs w:val="21"/>
              </w:rPr>
              <w:t>收益法</w:t>
            </w:r>
          </w:p>
        </w:tc>
      </w:tr>
      <w:tr w:rsidR="00495C65" w:rsidRPr="00F25307" w14:paraId="03885177" w14:textId="77777777" w:rsidTr="00F25307">
        <w:trPr>
          <w:trHeight w:val="1125"/>
          <w:jc w:val="center"/>
        </w:trPr>
        <w:tc>
          <w:tcPr>
            <w:tcW w:w="526" w:type="pct"/>
            <w:vMerge/>
            <w:tcBorders>
              <w:top w:val="nil"/>
            </w:tcBorders>
            <w:vAlign w:val="center"/>
          </w:tcPr>
          <w:p w14:paraId="6BB8D5C9"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2CEE707D"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525E379D" w14:textId="77777777" w:rsidR="00495C65" w:rsidRPr="00F25307" w:rsidRDefault="00495C65" w:rsidP="00F25307">
            <w:pPr>
              <w:pStyle w:val="13"/>
              <w:spacing w:line="240" w:lineRule="auto"/>
              <w:ind w:firstLineChars="0" w:firstLine="0"/>
              <w:rPr>
                <w:sz w:val="21"/>
                <w:szCs w:val="21"/>
              </w:rPr>
            </w:pPr>
            <w:r w:rsidRPr="00F25307">
              <w:rPr>
                <w:sz w:val="21"/>
                <w:szCs w:val="21"/>
              </w:rPr>
              <w:t>楼层效用系数法（根据本地类似房地产大量交易数据，分析确定</w:t>
            </w:r>
            <w:proofErr w:type="gramStart"/>
            <w:r w:rsidRPr="00F25307">
              <w:rPr>
                <w:sz w:val="21"/>
                <w:szCs w:val="21"/>
              </w:rPr>
              <w:t>不</w:t>
            </w:r>
            <w:proofErr w:type="gramEnd"/>
            <w:r w:rsidRPr="00F25307">
              <w:rPr>
                <w:sz w:val="21"/>
                <w:szCs w:val="21"/>
              </w:rPr>
              <w:t>同楼层的价格比例关系，即楼层效用系数，并据此进行地下空间价值简化评估）</w:t>
            </w:r>
          </w:p>
        </w:tc>
      </w:tr>
      <w:tr w:rsidR="00495C65" w:rsidRPr="00F25307" w14:paraId="32498049" w14:textId="77777777" w:rsidTr="00F25307">
        <w:trPr>
          <w:trHeight w:val="749"/>
          <w:jc w:val="center"/>
        </w:trPr>
        <w:tc>
          <w:tcPr>
            <w:tcW w:w="526" w:type="pct"/>
            <w:vMerge/>
            <w:tcBorders>
              <w:top w:val="nil"/>
            </w:tcBorders>
            <w:vAlign w:val="center"/>
          </w:tcPr>
          <w:p w14:paraId="1FA9E407"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539D90F2"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5ECE7ACA" w14:textId="77777777" w:rsidR="00495C65" w:rsidRPr="00F25307" w:rsidRDefault="00495C65" w:rsidP="00F25307">
            <w:pPr>
              <w:pStyle w:val="13"/>
              <w:spacing w:line="240" w:lineRule="auto"/>
              <w:ind w:firstLineChars="0" w:firstLine="0"/>
              <w:rPr>
                <w:sz w:val="21"/>
                <w:szCs w:val="21"/>
              </w:rPr>
            </w:pPr>
            <w:r w:rsidRPr="00F25307">
              <w:rPr>
                <w:sz w:val="21"/>
                <w:szCs w:val="21"/>
              </w:rPr>
              <w:t>成本法（地铁站点内配套开发的商业用途地下空间，不宜采用成本法估价）</w:t>
            </w:r>
          </w:p>
        </w:tc>
      </w:tr>
      <w:tr w:rsidR="00495C65" w:rsidRPr="00F25307" w14:paraId="0AC0C668" w14:textId="77777777" w:rsidTr="00F25307">
        <w:trPr>
          <w:trHeight w:val="396"/>
          <w:jc w:val="center"/>
        </w:trPr>
        <w:tc>
          <w:tcPr>
            <w:tcW w:w="526" w:type="pct"/>
            <w:vMerge/>
            <w:tcBorders>
              <w:top w:val="nil"/>
            </w:tcBorders>
            <w:vAlign w:val="center"/>
          </w:tcPr>
          <w:p w14:paraId="48CB2F62"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35E5ABA7"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46F6F278" w14:textId="77777777" w:rsidR="00495C65" w:rsidRPr="00F25307" w:rsidRDefault="00495C65" w:rsidP="00F25307">
            <w:pPr>
              <w:pStyle w:val="13"/>
              <w:spacing w:line="240" w:lineRule="auto"/>
              <w:ind w:firstLineChars="0" w:firstLine="0"/>
              <w:rPr>
                <w:sz w:val="21"/>
                <w:szCs w:val="21"/>
              </w:rPr>
            </w:pPr>
            <w:r w:rsidRPr="00F25307">
              <w:rPr>
                <w:sz w:val="21"/>
                <w:szCs w:val="21"/>
              </w:rPr>
              <w:t>标准价调整法（同类型多套商铺批量估价时采用）</w:t>
            </w:r>
          </w:p>
        </w:tc>
      </w:tr>
      <w:tr w:rsidR="00495C65" w:rsidRPr="00F25307" w14:paraId="6A847EA2" w14:textId="77777777" w:rsidTr="00F25307">
        <w:trPr>
          <w:trHeight w:val="396"/>
          <w:jc w:val="center"/>
        </w:trPr>
        <w:tc>
          <w:tcPr>
            <w:tcW w:w="526" w:type="pct"/>
            <w:vMerge/>
            <w:tcBorders>
              <w:top w:val="nil"/>
            </w:tcBorders>
            <w:vAlign w:val="center"/>
          </w:tcPr>
          <w:p w14:paraId="20882AF9" w14:textId="77777777" w:rsidR="00495C65" w:rsidRPr="00F25307" w:rsidRDefault="00495C65" w:rsidP="00F25307">
            <w:pPr>
              <w:pStyle w:val="13"/>
              <w:spacing w:line="240" w:lineRule="auto"/>
              <w:ind w:firstLineChars="0" w:firstLine="0"/>
              <w:rPr>
                <w:sz w:val="21"/>
                <w:szCs w:val="21"/>
              </w:rPr>
            </w:pPr>
          </w:p>
        </w:tc>
        <w:tc>
          <w:tcPr>
            <w:tcW w:w="1386" w:type="pct"/>
            <w:vMerge w:val="restart"/>
            <w:vAlign w:val="center"/>
          </w:tcPr>
          <w:p w14:paraId="22E545DC" w14:textId="77777777" w:rsidR="00495C65" w:rsidRPr="00F25307" w:rsidRDefault="00495C65" w:rsidP="00F25307">
            <w:pPr>
              <w:pStyle w:val="13"/>
              <w:spacing w:line="240" w:lineRule="auto"/>
              <w:ind w:firstLineChars="0" w:firstLine="0"/>
              <w:rPr>
                <w:sz w:val="21"/>
                <w:szCs w:val="21"/>
              </w:rPr>
            </w:pPr>
            <w:r w:rsidRPr="00F25307">
              <w:rPr>
                <w:sz w:val="21"/>
                <w:szCs w:val="21"/>
              </w:rPr>
              <w:t>只能整体（或分层）转让的地下商场、商业综合体等商业房地产</w:t>
            </w:r>
          </w:p>
        </w:tc>
        <w:tc>
          <w:tcPr>
            <w:tcW w:w="3087" w:type="pct"/>
            <w:vAlign w:val="center"/>
          </w:tcPr>
          <w:p w14:paraId="50B5D3A0" w14:textId="77777777" w:rsidR="00495C65" w:rsidRPr="00F25307" w:rsidRDefault="00495C65" w:rsidP="00F25307">
            <w:pPr>
              <w:pStyle w:val="13"/>
              <w:spacing w:line="240" w:lineRule="auto"/>
              <w:ind w:firstLineChars="0" w:firstLine="0"/>
              <w:rPr>
                <w:sz w:val="21"/>
                <w:szCs w:val="21"/>
              </w:rPr>
            </w:pPr>
            <w:r w:rsidRPr="00F25307">
              <w:rPr>
                <w:sz w:val="21"/>
                <w:szCs w:val="21"/>
              </w:rPr>
              <w:t>收益法</w:t>
            </w:r>
          </w:p>
        </w:tc>
      </w:tr>
      <w:tr w:rsidR="00495C65" w:rsidRPr="00F25307" w14:paraId="2B250C40" w14:textId="77777777" w:rsidTr="00F25307">
        <w:trPr>
          <w:trHeight w:val="396"/>
          <w:jc w:val="center"/>
        </w:trPr>
        <w:tc>
          <w:tcPr>
            <w:tcW w:w="526" w:type="pct"/>
            <w:vMerge/>
            <w:tcBorders>
              <w:top w:val="nil"/>
            </w:tcBorders>
            <w:vAlign w:val="center"/>
          </w:tcPr>
          <w:p w14:paraId="77FB0110"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7364B872"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7A04F482" w14:textId="77777777" w:rsidR="00495C65" w:rsidRPr="00F25307" w:rsidRDefault="00495C65" w:rsidP="00F25307">
            <w:pPr>
              <w:pStyle w:val="13"/>
              <w:spacing w:line="240" w:lineRule="auto"/>
              <w:ind w:firstLineChars="0" w:firstLine="0"/>
              <w:rPr>
                <w:sz w:val="21"/>
                <w:szCs w:val="21"/>
              </w:rPr>
            </w:pPr>
            <w:r w:rsidRPr="00F25307">
              <w:rPr>
                <w:sz w:val="21"/>
                <w:szCs w:val="21"/>
              </w:rPr>
              <w:t>成本法</w:t>
            </w:r>
          </w:p>
        </w:tc>
      </w:tr>
      <w:tr w:rsidR="00495C65" w:rsidRPr="00F25307" w14:paraId="207D2B52" w14:textId="77777777" w:rsidTr="00F25307">
        <w:trPr>
          <w:trHeight w:val="396"/>
          <w:jc w:val="center"/>
        </w:trPr>
        <w:tc>
          <w:tcPr>
            <w:tcW w:w="526" w:type="pct"/>
            <w:vMerge/>
            <w:tcBorders>
              <w:top w:val="nil"/>
            </w:tcBorders>
            <w:vAlign w:val="center"/>
          </w:tcPr>
          <w:p w14:paraId="4753B1D1"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70D96C19"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6014FEBB" w14:textId="77777777" w:rsidR="00495C65" w:rsidRPr="00F25307" w:rsidRDefault="00495C65" w:rsidP="00F25307">
            <w:pPr>
              <w:pStyle w:val="13"/>
              <w:spacing w:line="240" w:lineRule="auto"/>
              <w:ind w:firstLineChars="0" w:firstLine="0"/>
              <w:rPr>
                <w:sz w:val="21"/>
                <w:szCs w:val="21"/>
              </w:rPr>
            </w:pPr>
            <w:r w:rsidRPr="00F25307">
              <w:rPr>
                <w:sz w:val="21"/>
                <w:szCs w:val="21"/>
              </w:rPr>
              <w:t>比较法</w:t>
            </w:r>
          </w:p>
        </w:tc>
      </w:tr>
      <w:tr w:rsidR="00495C65" w:rsidRPr="00F25307" w14:paraId="16F3F087" w14:textId="77777777" w:rsidTr="00F25307">
        <w:trPr>
          <w:trHeight w:val="398"/>
          <w:jc w:val="center"/>
        </w:trPr>
        <w:tc>
          <w:tcPr>
            <w:tcW w:w="526" w:type="pct"/>
            <w:vMerge w:val="restart"/>
            <w:vAlign w:val="center"/>
          </w:tcPr>
          <w:p w14:paraId="7CF3A507" w14:textId="77777777" w:rsidR="00495C65" w:rsidRPr="00F25307" w:rsidRDefault="00495C65" w:rsidP="00F25307">
            <w:pPr>
              <w:pStyle w:val="13"/>
              <w:spacing w:line="240" w:lineRule="auto"/>
              <w:ind w:firstLineChars="0" w:firstLine="0"/>
              <w:rPr>
                <w:sz w:val="21"/>
                <w:szCs w:val="21"/>
              </w:rPr>
            </w:pPr>
            <w:r w:rsidRPr="00F25307">
              <w:rPr>
                <w:sz w:val="21"/>
                <w:szCs w:val="21"/>
              </w:rPr>
              <w:t>地下仓储房地产</w:t>
            </w:r>
          </w:p>
        </w:tc>
        <w:tc>
          <w:tcPr>
            <w:tcW w:w="1386" w:type="pct"/>
            <w:vMerge w:val="restart"/>
            <w:vAlign w:val="center"/>
          </w:tcPr>
          <w:p w14:paraId="2A0EFF3F" w14:textId="77777777" w:rsidR="00495C65" w:rsidRPr="00F25307" w:rsidRDefault="00495C65" w:rsidP="00F25307">
            <w:pPr>
              <w:pStyle w:val="13"/>
              <w:spacing w:line="240" w:lineRule="auto"/>
              <w:ind w:firstLineChars="0" w:firstLine="0"/>
              <w:rPr>
                <w:sz w:val="21"/>
                <w:szCs w:val="21"/>
              </w:rPr>
            </w:pPr>
            <w:r w:rsidRPr="00F25307">
              <w:rPr>
                <w:sz w:val="21"/>
                <w:szCs w:val="21"/>
              </w:rPr>
              <w:t>可按最小基本单元分割转让或依附主房一并转让的储藏室、非机动车库</w:t>
            </w:r>
          </w:p>
        </w:tc>
        <w:tc>
          <w:tcPr>
            <w:tcW w:w="3087" w:type="pct"/>
            <w:vAlign w:val="center"/>
          </w:tcPr>
          <w:p w14:paraId="1C62D78D" w14:textId="77777777" w:rsidR="00495C65" w:rsidRPr="00F25307" w:rsidRDefault="00495C65" w:rsidP="00F25307">
            <w:pPr>
              <w:pStyle w:val="13"/>
              <w:spacing w:line="240" w:lineRule="auto"/>
              <w:ind w:firstLineChars="0" w:firstLine="0"/>
              <w:rPr>
                <w:sz w:val="21"/>
                <w:szCs w:val="21"/>
              </w:rPr>
            </w:pPr>
            <w:r w:rsidRPr="00F25307">
              <w:rPr>
                <w:sz w:val="21"/>
                <w:szCs w:val="21"/>
              </w:rPr>
              <w:t>比较法</w:t>
            </w:r>
          </w:p>
        </w:tc>
      </w:tr>
      <w:tr w:rsidR="00495C65" w:rsidRPr="00F25307" w14:paraId="63B545E4" w14:textId="77777777" w:rsidTr="00F25307">
        <w:trPr>
          <w:trHeight w:val="396"/>
          <w:jc w:val="center"/>
        </w:trPr>
        <w:tc>
          <w:tcPr>
            <w:tcW w:w="526" w:type="pct"/>
            <w:vMerge/>
            <w:tcBorders>
              <w:top w:val="nil"/>
            </w:tcBorders>
            <w:vAlign w:val="center"/>
          </w:tcPr>
          <w:p w14:paraId="275F1647"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05E67438"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75053453" w14:textId="77777777" w:rsidR="00495C65" w:rsidRPr="00F25307" w:rsidRDefault="00495C65" w:rsidP="00F25307">
            <w:pPr>
              <w:pStyle w:val="13"/>
              <w:spacing w:line="240" w:lineRule="auto"/>
              <w:ind w:firstLineChars="0" w:firstLine="0"/>
              <w:rPr>
                <w:sz w:val="21"/>
                <w:szCs w:val="21"/>
              </w:rPr>
            </w:pPr>
            <w:r w:rsidRPr="00F25307">
              <w:rPr>
                <w:sz w:val="21"/>
                <w:szCs w:val="21"/>
              </w:rPr>
              <w:t>收益法</w:t>
            </w:r>
          </w:p>
        </w:tc>
      </w:tr>
      <w:tr w:rsidR="00495C65" w:rsidRPr="00F25307" w14:paraId="44850C2E" w14:textId="77777777" w:rsidTr="00F25307">
        <w:trPr>
          <w:trHeight w:val="396"/>
          <w:jc w:val="center"/>
        </w:trPr>
        <w:tc>
          <w:tcPr>
            <w:tcW w:w="526" w:type="pct"/>
            <w:vMerge/>
            <w:tcBorders>
              <w:top w:val="nil"/>
            </w:tcBorders>
            <w:vAlign w:val="center"/>
          </w:tcPr>
          <w:p w14:paraId="3C4731D7"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124FE22B"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1DA45607" w14:textId="77777777" w:rsidR="00495C65" w:rsidRPr="00F25307" w:rsidRDefault="00495C65" w:rsidP="00F25307">
            <w:pPr>
              <w:pStyle w:val="13"/>
              <w:spacing w:line="240" w:lineRule="auto"/>
              <w:ind w:firstLineChars="0" w:firstLine="0"/>
              <w:rPr>
                <w:sz w:val="21"/>
                <w:szCs w:val="21"/>
              </w:rPr>
            </w:pPr>
            <w:r w:rsidRPr="00F25307">
              <w:rPr>
                <w:sz w:val="21"/>
                <w:szCs w:val="21"/>
              </w:rPr>
              <w:t>成本法</w:t>
            </w:r>
          </w:p>
        </w:tc>
      </w:tr>
      <w:tr w:rsidR="00495C65" w:rsidRPr="00F25307" w14:paraId="32FAB485" w14:textId="77777777" w:rsidTr="00F25307">
        <w:trPr>
          <w:trHeight w:val="396"/>
          <w:jc w:val="center"/>
        </w:trPr>
        <w:tc>
          <w:tcPr>
            <w:tcW w:w="526" w:type="pct"/>
            <w:vMerge/>
            <w:tcBorders>
              <w:top w:val="nil"/>
            </w:tcBorders>
            <w:vAlign w:val="center"/>
          </w:tcPr>
          <w:p w14:paraId="3F311F0C"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5A80DD22"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1CB05006" w14:textId="77777777" w:rsidR="00495C65" w:rsidRPr="00F25307" w:rsidRDefault="00495C65" w:rsidP="00F25307">
            <w:pPr>
              <w:pStyle w:val="13"/>
              <w:spacing w:line="240" w:lineRule="auto"/>
              <w:ind w:firstLineChars="0" w:firstLine="0"/>
              <w:rPr>
                <w:sz w:val="21"/>
                <w:szCs w:val="21"/>
              </w:rPr>
            </w:pPr>
            <w:r w:rsidRPr="00F25307">
              <w:rPr>
                <w:sz w:val="21"/>
                <w:szCs w:val="21"/>
              </w:rPr>
              <w:t>标准价调整法（同类型多套批量估价时采用）</w:t>
            </w:r>
          </w:p>
        </w:tc>
      </w:tr>
      <w:tr w:rsidR="00495C65" w:rsidRPr="00F25307" w14:paraId="2355655C" w14:textId="77777777" w:rsidTr="00F25307">
        <w:trPr>
          <w:trHeight w:val="396"/>
          <w:jc w:val="center"/>
        </w:trPr>
        <w:tc>
          <w:tcPr>
            <w:tcW w:w="526" w:type="pct"/>
            <w:vMerge/>
            <w:tcBorders>
              <w:top w:val="nil"/>
            </w:tcBorders>
            <w:vAlign w:val="center"/>
          </w:tcPr>
          <w:p w14:paraId="56EC30F3" w14:textId="77777777" w:rsidR="00495C65" w:rsidRPr="00F25307" w:rsidRDefault="00495C65" w:rsidP="00F25307">
            <w:pPr>
              <w:pStyle w:val="13"/>
              <w:spacing w:line="240" w:lineRule="auto"/>
              <w:ind w:firstLineChars="0" w:firstLine="0"/>
              <w:rPr>
                <w:sz w:val="21"/>
                <w:szCs w:val="21"/>
              </w:rPr>
            </w:pPr>
          </w:p>
        </w:tc>
        <w:tc>
          <w:tcPr>
            <w:tcW w:w="1386" w:type="pct"/>
            <w:vMerge w:val="restart"/>
            <w:vAlign w:val="center"/>
          </w:tcPr>
          <w:p w14:paraId="3E1EC3ED" w14:textId="77777777" w:rsidR="00495C65" w:rsidRPr="00F25307" w:rsidRDefault="00495C65" w:rsidP="00F25307">
            <w:pPr>
              <w:pStyle w:val="13"/>
              <w:spacing w:line="240" w:lineRule="auto"/>
              <w:ind w:firstLineChars="0" w:firstLine="0"/>
              <w:rPr>
                <w:sz w:val="21"/>
                <w:szCs w:val="21"/>
              </w:rPr>
            </w:pPr>
            <w:r w:rsidRPr="00F25307">
              <w:rPr>
                <w:sz w:val="21"/>
                <w:szCs w:val="21"/>
              </w:rPr>
              <w:t>只能整体转让的地下工业仓储、物料库、冷库等</w:t>
            </w:r>
          </w:p>
        </w:tc>
        <w:tc>
          <w:tcPr>
            <w:tcW w:w="3087" w:type="pct"/>
            <w:vAlign w:val="center"/>
          </w:tcPr>
          <w:p w14:paraId="3D4F3948" w14:textId="77777777" w:rsidR="00495C65" w:rsidRPr="00F25307" w:rsidRDefault="00495C65" w:rsidP="00F25307">
            <w:pPr>
              <w:pStyle w:val="13"/>
              <w:spacing w:line="240" w:lineRule="auto"/>
              <w:ind w:firstLineChars="0" w:firstLine="0"/>
              <w:rPr>
                <w:sz w:val="21"/>
                <w:szCs w:val="21"/>
              </w:rPr>
            </w:pPr>
            <w:r w:rsidRPr="00F25307">
              <w:rPr>
                <w:sz w:val="21"/>
                <w:szCs w:val="21"/>
              </w:rPr>
              <w:t>成本法</w:t>
            </w:r>
          </w:p>
        </w:tc>
      </w:tr>
      <w:tr w:rsidR="00495C65" w:rsidRPr="00F25307" w14:paraId="1CDB5FC5" w14:textId="77777777" w:rsidTr="00F25307">
        <w:trPr>
          <w:trHeight w:val="409"/>
          <w:jc w:val="center"/>
        </w:trPr>
        <w:tc>
          <w:tcPr>
            <w:tcW w:w="526" w:type="pct"/>
            <w:vMerge/>
            <w:tcBorders>
              <w:top w:val="nil"/>
            </w:tcBorders>
            <w:vAlign w:val="center"/>
          </w:tcPr>
          <w:p w14:paraId="1E1E4AF9" w14:textId="77777777" w:rsidR="00495C65" w:rsidRPr="00F25307" w:rsidRDefault="00495C65" w:rsidP="00F25307">
            <w:pPr>
              <w:pStyle w:val="13"/>
              <w:spacing w:line="240" w:lineRule="auto"/>
              <w:ind w:firstLineChars="0" w:firstLine="0"/>
              <w:rPr>
                <w:sz w:val="21"/>
                <w:szCs w:val="21"/>
              </w:rPr>
            </w:pPr>
          </w:p>
        </w:tc>
        <w:tc>
          <w:tcPr>
            <w:tcW w:w="1386" w:type="pct"/>
            <w:vMerge/>
            <w:tcBorders>
              <w:top w:val="nil"/>
            </w:tcBorders>
            <w:vAlign w:val="center"/>
          </w:tcPr>
          <w:p w14:paraId="0B2EF00D" w14:textId="77777777" w:rsidR="00495C65" w:rsidRPr="00F25307" w:rsidRDefault="00495C65" w:rsidP="00F25307">
            <w:pPr>
              <w:pStyle w:val="13"/>
              <w:spacing w:line="240" w:lineRule="auto"/>
              <w:ind w:firstLineChars="0" w:firstLine="0"/>
              <w:rPr>
                <w:sz w:val="21"/>
                <w:szCs w:val="21"/>
              </w:rPr>
            </w:pPr>
          </w:p>
        </w:tc>
        <w:tc>
          <w:tcPr>
            <w:tcW w:w="3087" w:type="pct"/>
            <w:vAlign w:val="center"/>
          </w:tcPr>
          <w:p w14:paraId="22BBE20A" w14:textId="77777777" w:rsidR="00495C65" w:rsidRPr="00F25307" w:rsidRDefault="00495C65" w:rsidP="00F25307">
            <w:pPr>
              <w:pStyle w:val="13"/>
              <w:spacing w:line="240" w:lineRule="auto"/>
              <w:ind w:firstLineChars="0" w:firstLine="0"/>
              <w:rPr>
                <w:sz w:val="21"/>
                <w:szCs w:val="21"/>
              </w:rPr>
            </w:pPr>
            <w:r w:rsidRPr="00F25307">
              <w:rPr>
                <w:sz w:val="21"/>
                <w:szCs w:val="21"/>
              </w:rPr>
              <w:t>收益法</w:t>
            </w:r>
          </w:p>
        </w:tc>
      </w:tr>
    </w:tbl>
    <w:p w14:paraId="26F5BCA5" w14:textId="77777777" w:rsidR="00495C65" w:rsidRPr="00E23EB7" w:rsidRDefault="00495C65" w:rsidP="00495C65">
      <w:pPr>
        <w:pStyle w:val="ab"/>
        <w:spacing w:before="62" w:after="62"/>
        <w:ind w:firstLine="482"/>
      </w:pPr>
      <w:r w:rsidRPr="00E23EB7">
        <w:rPr>
          <w:rFonts w:hint="eastAsia"/>
        </w:rPr>
        <w:t>七、评估测算注意事项</w:t>
      </w:r>
    </w:p>
    <w:p w14:paraId="3C52C2A2" w14:textId="77777777" w:rsidR="00495C65" w:rsidRPr="00E23EB7" w:rsidRDefault="00495C65" w:rsidP="00495C65">
      <w:pPr>
        <w:pStyle w:val="13"/>
      </w:pPr>
      <w:r w:rsidRPr="00E23EB7">
        <w:rPr>
          <w:rFonts w:hint="eastAsia"/>
        </w:rPr>
        <w:t>地下空间估价测算时，房地产估价师应注意以下几点：</w:t>
      </w:r>
    </w:p>
    <w:p w14:paraId="4E019FA3" w14:textId="77777777" w:rsidR="00495C65" w:rsidRPr="00E23EB7" w:rsidRDefault="00495C65" w:rsidP="00495C65">
      <w:pPr>
        <w:pStyle w:val="13"/>
      </w:pPr>
      <w:r w:rsidRPr="00E23EB7">
        <w:t>1、充分考虑地下空间开发通常具有不可逆性、改造或转换用途难度大等特点。</w:t>
      </w:r>
    </w:p>
    <w:p w14:paraId="2F560170" w14:textId="77777777" w:rsidR="00495C65" w:rsidRDefault="00495C65" w:rsidP="00495C65">
      <w:pPr>
        <w:pStyle w:val="13"/>
      </w:pPr>
      <w:r w:rsidRPr="00E23EB7">
        <w:t>2、商业用途地下空间估价，应充分考虑估价对象预留的连接通道、地上出口及相邻其他地下空间的开发利用状况等价值影响因素。</w:t>
      </w:r>
    </w:p>
    <w:p w14:paraId="1181FBA2" w14:textId="77777777" w:rsidR="00495C65" w:rsidRDefault="00495C65" w:rsidP="00495C65">
      <w:pPr>
        <w:pStyle w:val="13"/>
      </w:pPr>
      <w:r>
        <w:rPr>
          <w:rFonts w:hint="eastAsia"/>
        </w:rPr>
        <w:t>3、注意地下空间与地表（或地上）建设用地使用权取得费用的差异。应参照所在地区的政策规定，合理计算地下空间及地下不同层次楼面地价。</w:t>
      </w:r>
    </w:p>
    <w:p w14:paraId="429F3671" w14:textId="77777777" w:rsidR="00495C65" w:rsidRDefault="00495C65" w:rsidP="00495C65">
      <w:pPr>
        <w:pStyle w:val="13"/>
      </w:pPr>
      <w:r>
        <w:t>4、当涉及公共利益地下空间配套建设的经营性用房时，注意同一建设项目中土地使用权的取得方式可能不同。</w:t>
      </w:r>
    </w:p>
    <w:p w14:paraId="70F8568E" w14:textId="77777777" w:rsidR="00495C65" w:rsidRDefault="00495C65" w:rsidP="00495C65">
      <w:pPr>
        <w:pStyle w:val="13"/>
      </w:pPr>
      <w:r>
        <w:t>5、运用成本法估价时，应区分估价对象的单建、结建方式，采用客观的开发建造成</w:t>
      </w:r>
      <w:r>
        <w:rPr>
          <w:rFonts w:hint="eastAsia"/>
        </w:rPr>
        <w:t>本。</w:t>
      </w:r>
    </w:p>
    <w:p w14:paraId="021D66B2" w14:textId="77777777" w:rsidR="00495C65" w:rsidRDefault="00495C65" w:rsidP="00495C65">
      <w:pPr>
        <w:pStyle w:val="13"/>
      </w:pPr>
      <w:r>
        <w:rPr>
          <w:rFonts w:hint="eastAsia"/>
        </w:rPr>
        <w:t>①结建地下空间估价，</w:t>
      </w:r>
      <w:proofErr w:type="gramStart"/>
      <w:r>
        <w:rPr>
          <w:rFonts w:hint="eastAsia"/>
        </w:rPr>
        <w:t>宜按照</w:t>
      </w:r>
      <w:proofErr w:type="gramEnd"/>
      <w:r>
        <w:rPr>
          <w:rFonts w:hint="eastAsia"/>
        </w:rPr>
        <w:t>假定其为独立的开发建设项目的客观开发建设成本计算；</w:t>
      </w:r>
    </w:p>
    <w:p w14:paraId="3CF97DBA" w14:textId="77777777" w:rsidR="00495C65" w:rsidRDefault="00495C65" w:rsidP="00495C65">
      <w:pPr>
        <w:pStyle w:val="13"/>
      </w:pPr>
      <w:r>
        <w:rPr>
          <w:rFonts w:hint="eastAsia"/>
        </w:rPr>
        <w:t>②单建地下空间估价，应根据估价对象状况，考虑地表原有绿化、树木、道路等构筑物或地上定着物的拆除、迁移、保护、恢复等客观成本费用。</w:t>
      </w:r>
    </w:p>
    <w:p w14:paraId="4A5911DA" w14:textId="77777777" w:rsidR="00495C65" w:rsidRDefault="00495C65" w:rsidP="00495C65">
      <w:pPr>
        <w:pStyle w:val="13"/>
      </w:pPr>
      <w:r>
        <w:t>6、地下空间开发利用受地上建筑或地表物和地质条件等影响因素较多。运用假设开发法或成本法估价时，其开发成本、建设周期、投资进度及相应的利息、利润等取值与一般的房地产项目不同，应客观分析确定。</w:t>
      </w:r>
    </w:p>
    <w:p w14:paraId="560EBB66" w14:textId="77777777" w:rsidR="00495C65" w:rsidRDefault="00495C65" w:rsidP="00495C65">
      <w:pPr>
        <w:pStyle w:val="13"/>
      </w:pPr>
      <w:r>
        <w:t>7、运用标准价调整法时，应注意估价对象是否为相似性房地产、分组是否合理、标准房地产的设定条件和修正系数确定是否客观合理等相关事项。</w:t>
      </w:r>
    </w:p>
    <w:p w14:paraId="0E3824C7" w14:textId="77777777" w:rsidR="00495C65" w:rsidRDefault="00495C65" w:rsidP="00495C65">
      <w:pPr>
        <w:pStyle w:val="ab"/>
        <w:spacing w:before="62" w:after="62"/>
        <w:ind w:firstLine="482"/>
      </w:pPr>
      <w:r>
        <w:rPr>
          <w:rFonts w:hint="eastAsia"/>
        </w:rPr>
        <w:t>八、报告撰写注意事项</w:t>
      </w:r>
    </w:p>
    <w:p w14:paraId="1AE7AF47" w14:textId="77777777" w:rsidR="00495C65" w:rsidRDefault="00495C65" w:rsidP="00495C65">
      <w:pPr>
        <w:pStyle w:val="13"/>
      </w:pPr>
      <w:r>
        <w:rPr>
          <w:rFonts w:hint="eastAsia"/>
        </w:rPr>
        <w:t>地下空间估价报告撰写，除遵循《房地产估价规范》报告撰写要求外，还应根据</w:t>
      </w:r>
      <w:r>
        <w:rPr>
          <w:rFonts w:hint="eastAsia"/>
        </w:rPr>
        <w:lastRenderedPageBreak/>
        <w:t>估价对象特点，对以下内容进行描述分析和说明：</w:t>
      </w:r>
    </w:p>
    <w:p w14:paraId="453BE71F" w14:textId="77777777" w:rsidR="00495C65" w:rsidRDefault="00495C65" w:rsidP="00495C65">
      <w:pPr>
        <w:pStyle w:val="13"/>
      </w:pPr>
      <w:r>
        <w:t>1、估价对象</w:t>
      </w:r>
    </w:p>
    <w:p w14:paraId="261E702C" w14:textId="77777777" w:rsidR="00495C65" w:rsidRDefault="00495C65" w:rsidP="00495C65">
      <w:pPr>
        <w:pStyle w:val="13"/>
      </w:pPr>
      <w:r>
        <w:rPr>
          <w:rFonts w:hint="eastAsia"/>
        </w:rPr>
        <w:t>①估价对象为结建地下空间的，应对结建的地上建筑物名称、规模、建筑结构、用途、权属、总层数、各层使用功能和利用现状、室外装修、维护保养状况等内容进行描述；</w:t>
      </w:r>
    </w:p>
    <w:p w14:paraId="78C20EA3" w14:textId="77777777" w:rsidR="00495C65" w:rsidRDefault="00495C65" w:rsidP="00495C65">
      <w:pPr>
        <w:pStyle w:val="13"/>
      </w:pPr>
      <w:r>
        <w:rPr>
          <w:rFonts w:hint="eastAsia"/>
        </w:rPr>
        <w:t>②估价对象为单建地下空间的，应对其地表物的名称、规模、用途、权属或使用权人（管理责任人）、地表物类型、利用现状、维护保养状况等内容进行描述；</w:t>
      </w:r>
    </w:p>
    <w:p w14:paraId="47B88E6E" w14:textId="77777777" w:rsidR="00495C65" w:rsidRDefault="00495C65" w:rsidP="00495C65">
      <w:pPr>
        <w:pStyle w:val="13"/>
      </w:pPr>
      <w:r>
        <w:rPr>
          <w:rFonts w:hint="eastAsia"/>
        </w:rPr>
        <w:t>③估价对象实物状况，在进行常规的房地产实物状况描述基础上，还应包括：地下层次；地下深度；地面（或地下）出口及连通通道的数量、位置现状；预留的地面（或地下）出口及预留连通通道的数量、位置情况；出入口自动扶梯或电梯分布现状；与其他地下空间联通状况、已明确的规划情况等；</w:t>
      </w:r>
    </w:p>
    <w:p w14:paraId="0E3CFEAF" w14:textId="77777777" w:rsidR="00495C65" w:rsidRDefault="00495C65" w:rsidP="00495C65">
      <w:pPr>
        <w:pStyle w:val="13"/>
      </w:pPr>
      <w:r>
        <w:rPr>
          <w:rFonts w:hint="eastAsia"/>
        </w:rPr>
        <w:t>④估价对象的权利限制，包括对分割或整体转让、出租、抵押、经营期限等特殊权利限制的描述。</w:t>
      </w:r>
    </w:p>
    <w:p w14:paraId="5503488E" w14:textId="77777777" w:rsidR="00495C65" w:rsidRDefault="00495C65" w:rsidP="00495C65">
      <w:pPr>
        <w:pStyle w:val="13"/>
      </w:pPr>
      <w:r>
        <w:t>2、市场背景描述</w:t>
      </w:r>
    </w:p>
    <w:p w14:paraId="7A034646" w14:textId="77777777" w:rsidR="00495C65" w:rsidRDefault="00495C65" w:rsidP="00495C65">
      <w:pPr>
        <w:pStyle w:val="13"/>
      </w:pPr>
      <w:r>
        <w:rPr>
          <w:rFonts w:hint="eastAsia"/>
        </w:rPr>
        <w:t>①国家及当地的地下空间开发利用、建设用地使用权供应与取得、权利登记、权利限制、优惠政策等；</w:t>
      </w:r>
    </w:p>
    <w:p w14:paraId="6AABF1B3" w14:textId="77777777" w:rsidR="00495C65" w:rsidRDefault="00495C65" w:rsidP="00495C65">
      <w:pPr>
        <w:pStyle w:val="13"/>
      </w:pPr>
      <w:r>
        <w:rPr>
          <w:rFonts w:hint="eastAsia"/>
        </w:rPr>
        <w:t>②当地的经济发展状况、房地产市场整体状况、地下空间房地产市场状况等；</w:t>
      </w:r>
    </w:p>
    <w:p w14:paraId="61644D0C" w14:textId="77777777" w:rsidR="00495C65" w:rsidRDefault="00495C65" w:rsidP="00495C65">
      <w:pPr>
        <w:pStyle w:val="13"/>
      </w:pPr>
      <w:r>
        <w:rPr>
          <w:rFonts w:hint="eastAsia"/>
        </w:rPr>
        <w:t>③当地的地下空间总体规划、详细规划概况和地下空间的开发利用现状等。</w:t>
      </w:r>
    </w:p>
    <w:p w14:paraId="5FECAA36" w14:textId="77777777" w:rsidR="00495C65" w:rsidRDefault="00495C65" w:rsidP="00495C65">
      <w:pPr>
        <w:pStyle w:val="13"/>
      </w:pPr>
      <w:r>
        <w:t>3、估价目的对应经济行为和处分方式的合法性</w:t>
      </w:r>
    </w:p>
    <w:p w14:paraId="154AC631" w14:textId="77777777" w:rsidR="00495C65" w:rsidRDefault="00495C65" w:rsidP="00495C65">
      <w:pPr>
        <w:pStyle w:val="13"/>
      </w:pPr>
      <w:r>
        <w:rPr>
          <w:rFonts w:hint="eastAsia"/>
        </w:rPr>
        <w:t>①明确估价对象的权利性质；</w:t>
      </w:r>
    </w:p>
    <w:p w14:paraId="70A200D7" w14:textId="77777777" w:rsidR="00495C65" w:rsidRDefault="00495C65" w:rsidP="00495C65">
      <w:pPr>
        <w:pStyle w:val="13"/>
      </w:pPr>
      <w:r>
        <w:rPr>
          <w:rFonts w:hint="eastAsia"/>
        </w:rPr>
        <w:t>②明确估价对象的以下几种权利限制：</w:t>
      </w:r>
    </w:p>
    <w:p w14:paraId="12073D68" w14:textId="77777777" w:rsidR="00495C65" w:rsidRDefault="00495C65" w:rsidP="00495C65">
      <w:pPr>
        <w:pStyle w:val="13"/>
      </w:pPr>
      <w:r>
        <w:t>a）允许按最小基本单元分割转让或销售；</w:t>
      </w:r>
    </w:p>
    <w:p w14:paraId="3ACB77A7" w14:textId="77777777" w:rsidR="00495C65" w:rsidRDefault="00495C65" w:rsidP="00495C65">
      <w:pPr>
        <w:pStyle w:val="13"/>
      </w:pPr>
      <w:r>
        <w:t>b）只能整层转让或销售；</w:t>
      </w:r>
    </w:p>
    <w:p w14:paraId="2ABA1657" w14:textId="77777777" w:rsidR="00495C65" w:rsidRDefault="00495C65" w:rsidP="00495C65">
      <w:pPr>
        <w:pStyle w:val="13"/>
      </w:pPr>
      <w:r>
        <w:rPr>
          <w:rFonts w:hint="eastAsia"/>
        </w:rPr>
        <w:t>c</w:t>
      </w:r>
      <w:r w:rsidRPr="009D5F50">
        <w:rPr>
          <w:rFonts w:hint="eastAsia"/>
        </w:rPr>
        <w:t>）</w:t>
      </w:r>
      <w:r>
        <w:rPr>
          <w:rFonts w:hint="eastAsia"/>
        </w:rPr>
        <w:t>只能整体转让；</w:t>
      </w:r>
    </w:p>
    <w:p w14:paraId="3FF7C4D2" w14:textId="77777777" w:rsidR="00495C65" w:rsidRDefault="00495C65" w:rsidP="00495C65">
      <w:pPr>
        <w:pStyle w:val="13"/>
      </w:pPr>
      <w:r>
        <w:rPr>
          <w:rFonts w:hint="eastAsia"/>
        </w:rPr>
        <w:t>d</w:t>
      </w:r>
      <w:r w:rsidRPr="009D5F50">
        <w:rPr>
          <w:rFonts w:hint="eastAsia"/>
        </w:rPr>
        <w:t>）</w:t>
      </w:r>
      <w:r>
        <w:rPr>
          <w:rFonts w:hint="eastAsia"/>
        </w:rPr>
        <w:t>只能与地上建筑一并整体转让；</w:t>
      </w:r>
    </w:p>
    <w:p w14:paraId="1F46957E" w14:textId="77777777" w:rsidR="00495C65" w:rsidRDefault="00495C65" w:rsidP="00495C65">
      <w:pPr>
        <w:pStyle w:val="13"/>
      </w:pPr>
      <w:r>
        <w:t>e）不得转让；</w:t>
      </w:r>
    </w:p>
    <w:p w14:paraId="71E1B725" w14:textId="77777777" w:rsidR="00495C65" w:rsidRDefault="00495C65" w:rsidP="00495C65">
      <w:pPr>
        <w:pStyle w:val="13"/>
      </w:pPr>
      <w:r>
        <w:t>f）不得出租；</w:t>
      </w:r>
    </w:p>
    <w:p w14:paraId="7B3C055E" w14:textId="77777777" w:rsidR="00495C65" w:rsidRDefault="00495C65" w:rsidP="00495C65">
      <w:pPr>
        <w:pStyle w:val="13"/>
      </w:pPr>
      <w:r>
        <w:t>g）不得抵押等。</w:t>
      </w:r>
    </w:p>
    <w:p w14:paraId="48A6DBF6" w14:textId="77777777" w:rsidR="00495C65" w:rsidRDefault="00495C65" w:rsidP="00495C65">
      <w:pPr>
        <w:pStyle w:val="13"/>
      </w:pPr>
      <w:r>
        <w:rPr>
          <w:rFonts w:hint="eastAsia"/>
        </w:rPr>
        <w:t>③明确权利主体与经营主体是否一致。</w:t>
      </w:r>
    </w:p>
    <w:p w14:paraId="44514D1A" w14:textId="77777777" w:rsidR="00495C65" w:rsidRDefault="00495C65" w:rsidP="00495C65">
      <w:pPr>
        <w:pStyle w:val="13"/>
      </w:pPr>
      <w:r>
        <w:rPr>
          <w:rFonts w:hint="eastAsia"/>
        </w:rPr>
        <w:t>④明确经营性与非经营性地下空间的政策差异；</w:t>
      </w:r>
    </w:p>
    <w:p w14:paraId="7E07A506" w14:textId="77777777" w:rsidR="00495C65" w:rsidRDefault="00495C65" w:rsidP="00495C65">
      <w:pPr>
        <w:pStyle w:val="13"/>
      </w:pPr>
      <w:r>
        <w:rPr>
          <w:rFonts w:hint="eastAsia"/>
        </w:rPr>
        <w:t>⑤明确“兼顾人防”地下空间的平时用途的合法性和产权及权利限制。</w:t>
      </w:r>
    </w:p>
    <w:p w14:paraId="0652DB6F" w14:textId="77777777" w:rsidR="00495C65" w:rsidRDefault="00495C65" w:rsidP="00495C65">
      <w:pPr>
        <w:pStyle w:val="13"/>
      </w:pPr>
      <w:r>
        <w:t>4、报告测算过程应明确以下内容：</w:t>
      </w:r>
    </w:p>
    <w:p w14:paraId="33B8D55E" w14:textId="77777777" w:rsidR="00495C65" w:rsidRDefault="00495C65" w:rsidP="00495C65">
      <w:pPr>
        <w:pStyle w:val="13"/>
      </w:pPr>
      <w:r>
        <w:rPr>
          <w:rFonts w:hint="eastAsia"/>
        </w:rPr>
        <w:t>①重要评估参数和比较实例的来源、分析、比较和测算过程；</w:t>
      </w:r>
    </w:p>
    <w:p w14:paraId="54DE38C9" w14:textId="77777777" w:rsidR="00495C65" w:rsidRDefault="00495C65" w:rsidP="00495C65">
      <w:pPr>
        <w:pStyle w:val="13"/>
      </w:pPr>
      <w:r>
        <w:rPr>
          <w:rFonts w:hint="eastAsia"/>
        </w:rPr>
        <w:t>②估价结果的分析确定过程和最终估价结论。</w:t>
      </w:r>
    </w:p>
    <w:p w14:paraId="6C35555A" w14:textId="77777777" w:rsidR="00495C65" w:rsidRDefault="00495C65" w:rsidP="00495C65">
      <w:pPr>
        <w:pStyle w:val="13"/>
      </w:pPr>
      <w:r>
        <w:lastRenderedPageBreak/>
        <w:t>5、明确估价的一般假设、特殊事项假设和报告的使用限制等内容。</w:t>
      </w:r>
    </w:p>
    <w:p w14:paraId="551851D5" w14:textId="77777777" w:rsidR="00495C65" w:rsidRDefault="00495C65" w:rsidP="00495C65">
      <w:pPr>
        <w:pStyle w:val="ab"/>
        <w:spacing w:before="62" w:after="62"/>
        <w:ind w:firstLine="482"/>
      </w:pPr>
      <w:r>
        <w:t>九、其他</w:t>
      </w:r>
    </w:p>
    <w:p w14:paraId="21084733" w14:textId="77777777" w:rsidR="00495C65" w:rsidRDefault="00495C65" w:rsidP="00495C65">
      <w:pPr>
        <w:pStyle w:val="13"/>
      </w:pPr>
      <w:r>
        <w:rPr>
          <w:rFonts w:hint="eastAsia"/>
        </w:rPr>
        <w:t>本指引自</w:t>
      </w:r>
      <w:r>
        <w:t>2019年4月25日起实行。</w:t>
      </w:r>
    </w:p>
    <w:p w14:paraId="55A03BCE" w14:textId="77777777" w:rsidR="00495C65" w:rsidRDefault="00495C65" w:rsidP="00495C65">
      <w:pPr>
        <w:pStyle w:val="31"/>
        <w:spacing w:before="156" w:after="62"/>
      </w:pPr>
      <w:bookmarkStart w:id="171" w:name="_Toc81833411"/>
      <w:r>
        <w:rPr>
          <w:rFonts w:hint="eastAsia"/>
        </w:rPr>
        <w:t>浙江省工业房地产估价技术指引（试行）（</w:t>
      </w:r>
      <w:proofErr w:type="gramStart"/>
      <w:r>
        <w:rPr>
          <w:rFonts w:hint="eastAsia"/>
        </w:rPr>
        <w:t>浙估协</w:t>
      </w:r>
      <w:proofErr w:type="gramEnd"/>
      <w:r>
        <w:rPr>
          <w:rFonts w:hint="eastAsia"/>
        </w:rPr>
        <w:t>〔</w:t>
      </w:r>
      <w:r>
        <w:t>2019〕23号）</w:t>
      </w:r>
      <w:bookmarkEnd w:id="171"/>
    </w:p>
    <w:p w14:paraId="0231AF79" w14:textId="77777777" w:rsidR="00495C65" w:rsidRDefault="00495C65" w:rsidP="00495C65">
      <w:pPr>
        <w:pStyle w:val="ab"/>
        <w:spacing w:before="62" w:after="62"/>
        <w:ind w:firstLine="482"/>
      </w:pPr>
      <w:r>
        <w:t>1、范围</w:t>
      </w:r>
    </w:p>
    <w:p w14:paraId="472565BC" w14:textId="77777777" w:rsidR="00495C65" w:rsidRDefault="00495C65" w:rsidP="00495C65">
      <w:pPr>
        <w:pStyle w:val="13"/>
      </w:pPr>
      <w:r>
        <w:rPr>
          <w:rFonts w:hint="eastAsia"/>
        </w:rPr>
        <w:t>本文件规定了工业房地产估价中需要收集的资料、实地查勘流程、各种估价方法的适用范围、估价技术要点及相关参数的选取。</w:t>
      </w:r>
    </w:p>
    <w:p w14:paraId="00BCC0A9" w14:textId="77777777" w:rsidR="00495C65" w:rsidRDefault="00495C65" w:rsidP="00495C65">
      <w:pPr>
        <w:pStyle w:val="13"/>
      </w:pPr>
      <w:r>
        <w:rPr>
          <w:rFonts w:hint="eastAsia"/>
        </w:rPr>
        <w:t>本文件适用范围：浙江省范围内的工业房地产估价活动。</w:t>
      </w:r>
    </w:p>
    <w:p w14:paraId="6437B1F7" w14:textId="77777777" w:rsidR="00495C65" w:rsidRDefault="00495C65" w:rsidP="00495C65">
      <w:pPr>
        <w:pStyle w:val="ab"/>
        <w:spacing w:before="62" w:after="62"/>
        <w:ind w:firstLine="482"/>
      </w:pPr>
      <w:r>
        <w:t>2、规范性引用文件</w:t>
      </w:r>
    </w:p>
    <w:p w14:paraId="47B32EC4" w14:textId="77777777" w:rsidR="00495C65" w:rsidRDefault="00495C65" w:rsidP="00495C65">
      <w:pPr>
        <w:pStyle w:val="13"/>
      </w:pPr>
      <w:r>
        <w:t>GB/T50291-2015房地产估价规范</w:t>
      </w:r>
    </w:p>
    <w:p w14:paraId="4015F8EF" w14:textId="77777777" w:rsidR="00495C65" w:rsidRDefault="00495C65" w:rsidP="00495C65">
      <w:pPr>
        <w:pStyle w:val="13"/>
      </w:pPr>
      <w:r>
        <w:t>GB/T50899-2013房地产估价基本术语标准</w:t>
      </w:r>
    </w:p>
    <w:p w14:paraId="25FBB999" w14:textId="77777777" w:rsidR="00495C65" w:rsidRDefault="00495C65" w:rsidP="00495C65">
      <w:pPr>
        <w:pStyle w:val="13"/>
      </w:pPr>
      <w:r>
        <w:t>GB/T18508-2014城镇土地估价规程</w:t>
      </w:r>
    </w:p>
    <w:p w14:paraId="450BF514" w14:textId="77777777" w:rsidR="00495C65" w:rsidRDefault="00495C65" w:rsidP="00495C65">
      <w:pPr>
        <w:pStyle w:val="13"/>
      </w:pPr>
      <w:r>
        <w:t>GB/T18507-2014城镇土地分等定级规程</w:t>
      </w:r>
    </w:p>
    <w:p w14:paraId="76C5D994" w14:textId="77777777" w:rsidR="00495C65" w:rsidRDefault="00495C65" w:rsidP="00495C65">
      <w:pPr>
        <w:pStyle w:val="13"/>
      </w:pPr>
      <w:r>
        <w:t>GB/T21010-2017土地利用现状分类</w:t>
      </w:r>
    </w:p>
    <w:p w14:paraId="1F38F063" w14:textId="77777777" w:rsidR="00495C65" w:rsidRDefault="00495C65" w:rsidP="00495C65">
      <w:pPr>
        <w:pStyle w:val="ab"/>
        <w:spacing w:before="62" w:after="62"/>
        <w:ind w:firstLine="482"/>
      </w:pPr>
      <w:r>
        <w:t>3、工业房地产分类</w:t>
      </w:r>
    </w:p>
    <w:p w14:paraId="666AD5E9" w14:textId="77777777" w:rsidR="00495C65" w:rsidRPr="00560FBA" w:rsidRDefault="00495C65" w:rsidP="00495C65">
      <w:pPr>
        <w:pStyle w:val="13"/>
      </w:pPr>
      <w:r>
        <w:rPr>
          <w:rFonts w:hint="eastAsia"/>
        </w:rPr>
        <w:t>工业房地产分类根据业</w:t>
      </w:r>
      <w:proofErr w:type="gramStart"/>
      <w:r>
        <w:rPr>
          <w:rFonts w:hint="eastAsia"/>
        </w:rPr>
        <w:t>态分为</w:t>
      </w:r>
      <w:proofErr w:type="gramEnd"/>
      <w:r>
        <w:rPr>
          <w:rFonts w:hint="eastAsia"/>
        </w:rPr>
        <w:t>有生产型工业房地产与创新型工业房地产。生产</w:t>
      </w:r>
      <w:r w:rsidRPr="00560FBA">
        <w:rPr>
          <w:rFonts w:hint="eastAsia"/>
        </w:rPr>
        <w:t>型又分为标准工业房地产、非标准工业房地产。</w:t>
      </w:r>
    </w:p>
    <w:p w14:paraId="2B9D4495" w14:textId="77777777" w:rsidR="00495C65" w:rsidRPr="00560FBA" w:rsidRDefault="00495C65" w:rsidP="00495C65">
      <w:pPr>
        <w:pStyle w:val="13"/>
      </w:pPr>
      <w:r w:rsidRPr="00560FBA">
        <w:rPr>
          <w:rFonts w:hint="eastAsia"/>
        </w:rPr>
        <w:t>生产型标准工业房地产是指具有广泛通用性的、用于生产的工业用途物业。</w:t>
      </w:r>
    </w:p>
    <w:p w14:paraId="4B5CC20C" w14:textId="77777777" w:rsidR="00495C65" w:rsidRPr="00560FBA" w:rsidRDefault="00495C65" w:rsidP="00495C65">
      <w:pPr>
        <w:pStyle w:val="13"/>
      </w:pPr>
      <w:r w:rsidRPr="00560FBA">
        <w:rPr>
          <w:rFonts w:hint="eastAsia"/>
        </w:rPr>
        <w:t>生产型非标准工业房地产是指为适合使用</w:t>
      </w:r>
      <w:proofErr w:type="gramStart"/>
      <w:r w:rsidRPr="00560FBA">
        <w:rPr>
          <w:rFonts w:hint="eastAsia"/>
        </w:rPr>
        <w:t>者行业</w:t>
      </w:r>
      <w:proofErr w:type="gramEnd"/>
      <w:r w:rsidRPr="00560FBA">
        <w:rPr>
          <w:rFonts w:hint="eastAsia"/>
        </w:rPr>
        <w:t>特点建造的工业用途物业。</w:t>
      </w:r>
    </w:p>
    <w:p w14:paraId="408D2FDC" w14:textId="77777777" w:rsidR="00495C65" w:rsidRDefault="00495C65" w:rsidP="00495C65">
      <w:pPr>
        <w:pStyle w:val="13"/>
      </w:pPr>
      <w:r w:rsidRPr="00560FBA">
        <w:rPr>
          <w:rFonts w:hint="eastAsia"/>
        </w:rPr>
        <w:t>创新型工业房地产是指文化创意、信</w:t>
      </w:r>
      <w:r>
        <w:rPr>
          <w:rFonts w:hint="eastAsia"/>
        </w:rPr>
        <w:t>息软件、物联网、节能环保、现代物流等具有显著创新、创意特征，从第二产业中分离出来的以产品研发、核心技术产品生产试验为主用途的物业。</w:t>
      </w:r>
    </w:p>
    <w:p w14:paraId="0371DB2D" w14:textId="77777777" w:rsidR="00495C65" w:rsidRDefault="00495C65" w:rsidP="00495C65">
      <w:pPr>
        <w:pStyle w:val="ab"/>
        <w:spacing w:before="62" w:after="62"/>
        <w:ind w:firstLine="482"/>
      </w:pPr>
      <w:r>
        <w:t>4、需要搜集的资料</w:t>
      </w:r>
    </w:p>
    <w:p w14:paraId="41F1EF11" w14:textId="6EB8C3BD" w:rsidR="00495C65" w:rsidRPr="00414742" w:rsidRDefault="00495C65" w:rsidP="00495C65">
      <w:pPr>
        <w:pStyle w:val="13"/>
        <w:ind w:firstLine="482"/>
        <w:rPr>
          <w:b/>
          <w:bCs/>
        </w:rPr>
      </w:pPr>
      <w:r w:rsidRPr="00414742">
        <w:rPr>
          <w:rFonts w:hint="eastAsia"/>
          <w:b/>
          <w:bCs/>
        </w:rPr>
        <w:t>4</w:t>
      </w:r>
      <w:r w:rsidRPr="00414742">
        <w:rPr>
          <w:b/>
          <w:bCs/>
        </w:rPr>
        <w:t>.1</w:t>
      </w:r>
      <w:r w:rsidR="00F25307">
        <w:rPr>
          <w:b/>
          <w:bCs/>
        </w:rPr>
        <w:t xml:space="preserve"> </w:t>
      </w:r>
      <w:r w:rsidRPr="00414742">
        <w:rPr>
          <w:rFonts w:hint="eastAsia"/>
          <w:b/>
          <w:bCs/>
        </w:rPr>
        <w:t>需要委托方提供的资料</w:t>
      </w:r>
    </w:p>
    <w:p w14:paraId="796D2EF9" w14:textId="413A285D" w:rsidR="00495C65" w:rsidRDefault="00495C65" w:rsidP="00495C65">
      <w:pPr>
        <w:pStyle w:val="13"/>
      </w:pPr>
      <w:r>
        <w:t>4.1.1</w:t>
      </w:r>
      <w:r w:rsidR="00F25307">
        <w:t xml:space="preserve"> </w:t>
      </w:r>
      <w:r>
        <w:rPr>
          <w:rFonts w:hint="eastAsia"/>
        </w:rPr>
        <w:t>《不动产权证》或《房屋所有权证》、《国有土地使用证》；</w:t>
      </w:r>
    </w:p>
    <w:p w14:paraId="6CAFF174" w14:textId="6F2B579E" w:rsidR="00495C65" w:rsidRDefault="00495C65" w:rsidP="00495C65">
      <w:pPr>
        <w:pStyle w:val="13"/>
      </w:pPr>
      <w:r w:rsidRPr="00BF7DF4">
        <w:t>4.1.</w:t>
      </w:r>
      <w:r>
        <w:t>2</w:t>
      </w:r>
      <w:r w:rsidR="00F25307">
        <w:t xml:space="preserve"> </w:t>
      </w:r>
      <w:r>
        <w:rPr>
          <w:rFonts w:hint="eastAsia"/>
        </w:rPr>
        <w:t>《国有建设用地使用权出让合同》；</w:t>
      </w:r>
    </w:p>
    <w:p w14:paraId="34CED7AB" w14:textId="6CCD2E73" w:rsidR="00495C65" w:rsidRDefault="00495C65" w:rsidP="00495C65">
      <w:pPr>
        <w:pStyle w:val="13"/>
      </w:pPr>
      <w:r w:rsidRPr="00BF7DF4">
        <w:t>4.1.</w:t>
      </w:r>
      <w:r>
        <w:t>3</w:t>
      </w:r>
      <w:r w:rsidR="00F25307">
        <w:t xml:space="preserve"> </w:t>
      </w:r>
      <w:r>
        <w:rPr>
          <w:rFonts w:hint="eastAsia"/>
        </w:rPr>
        <w:t>估价对象宗地图、宗地内</w:t>
      </w:r>
      <w:proofErr w:type="gramStart"/>
      <w:r>
        <w:rPr>
          <w:rFonts w:hint="eastAsia"/>
        </w:rPr>
        <w:t>建筑总平图</w:t>
      </w:r>
      <w:proofErr w:type="gramEnd"/>
      <w:r>
        <w:rPr>
          <w:rFonts w:hint="eastAsia"/>
        </w:rPr>
        <w:t>；</w:t>
      </w:r>
    </w:p>
    <w:p w14:paraId="7E347D94" w14:textId="167BDAE8" w:rsidR="00495C65" w:rsidRDefault="00495C65" w:rsidP="00495C65">
      <w:pPr>
        <w:pStyle w:val="13"/>
      </w:pPr>
      <w:r w:rsidRPr="00BF7DF4">
        <w:t>4.1.</w:t>
      </w:r>
      <w:r>
        <w:t>4</w:t>
      </w:r>
      <w:r w:rsidR="00F25307">
        <w:t xml:space="preserve"> </w:t>
      </w:r>
      <w:r>
        <w:rPr>
          <w:rFonts w:hint="eastAsia"/>
        </w:rPr>
        <w:t>产权单位营业执照；</w:t>
      </w:r>
    </w:p>
    <w:p w14:paraId="3EC29B64" w14:textId="2889A3C4" w:rsidR="00495C65" w:rsidRDefault="00495C65" w:rsidP="00495C65">
      <w:pPr>
        <w:pStyle w:val="13"/>
      </w:pPr>
      <w:r w:rsidRPr="00BF7DF4">
        <w:t>4.1.</w:t>
      </w:r>
      <w:r>
        <w:t>5</w:t>
      </w:r>
      <w:r w:rsidR="00F25307">
        <w:t xml:space="preserve"> </w:t>
      </w:r>
      <w:r>
        <w:rPr>
          <w:rFonts w:hint="eastAsia"/>
        </w:rPr>
        <w:t>出租的工业房地产需提供租赁合同、租金支付凭证等；</w:t>
      </w:r>
    </w:p>
    <w:p w14:paraId="4AD01249" w14:textId="435C537F" w:rsidR="00495C65" w:rsidRDefault="00495C65" w:rsidP="00495C65">
      <w:pPr>
        <w:pStyle w:val="13"/>
      </w:pPr>
      <w:r w:rsidRPr="00BF7DF4">
        <w:t>4.1.</w:t>
      </w:r>
      <w:r>
        <w:t>6</w:t>
      </w:r>
      <w:r w:rsidR="00F25307">
        <w:t xml:space="preserve"> </w:t>
      </w:r>
      <w:r>
        <w:rPr>
          <w:rFonts w:hint="eastAsia"/>
        </w:rPr>
        <w:t>生产型非标准工业房地产需提供建筑工程竣工决算报告、造价审计报告等；</w:t>
      </w:r>
    </w:p>
    <w:p w14:paraId="2B5A54E2" w14:textId="47FBF8F1" w:rsidR="00495C65" w:rsidRDefault="00495C65" w:rsidP="00495C65">
      <w:pPr>
        <w:pStyle w:val="13"/>
      </w:pPr>
      <w:r w:rsidRPr="00BF7DF4">
        <w:t>4.1.</w:t>
      </w:r>
      <w:r>
        <w:t>7</w:t>
      </w:r>
      <w:r w:rsidR="00F25307">
        <w:t xml:space="preserve"> </w:t>
      </w:r>
      <w:r>
        <w:rPr>
          <w:rFonts w:hint="eastAsia"/>
        </w:rPr>
        <w:t>临时改变用途的工业房地产，需提供相关部门批准临时变更用途的证明</w:t>
      </w:r>
      <w:r>
        <w:rPr>
          <w:rFonts w:hint="eastAsia"/>
        </w:rPr>
        <w:lastRenderedPageBreak/>
        <w:t>和批复，以及与相关管理部门签订的临时变更用途缴纳土地收益金合同；</w:t>
      </w:r>
    </w:p>
    <w:p w14:paraId="43773E30" w14:textId="288A0C2B" w:rsidR="00495C65" w:rsidRDefault="00495C65" w:rsidP="00495C65">
      <w:pPr>
        <w:pStyle w:val="13"/>
      </w:pPr>
      <w:r w:rsidRPr="00BF7DF4">
        <w:t>4.1.</w:t>
      </w:r>
      <w:r>
        <w:t>8</w:t>
      </w:r>
      <w:r w:rsidR="00F25307">
        <w:t xml:space="preserve"> </w:t>
      </w:r>
      <w:r>
        <w:rPr>
          <w:rFonts w:hint="eastAsia"/>
        </w:rPr>
        <w:t>主要构筑物、附属物清单及其他相应资料。</w:t>
      </w:r>
    </w:p>
    <w:p w14:paraId="50999A58" w14:textId="5301A68F" w:rsidR="00495C65" w:rsidRDefault="00495C65" w:rsidP="00495C65">
      <w:pPr>
        <w:pStyle w:val="13"/>
      </w:pPr>
      <w:r w:rsidRPr="00BF7DF4">
        <w:t>4.1.</w:t>
      </w:r>
      <w:r>
        <w:t>9</w:t>
      </w:r>
      <w:r w:rsidR="00F25307">
        <w:t xml:space="preserve"> </w:t>
      </w:r>
      <w:r>
        <w:rPr>
          <w:rFonts w:hint="eastAsia"/>
        </w:rPr>
        <w:t>其他在实地查勘过程中需要申明或提供的相关资料。</w:t>
      </w:r>
    </w:p>
    <w:p w14:paraId="2FC2F2D1" w14:textId="2F0F0828" w:rsidR="00495C65" w:rsidRPr="00414742" w:rsidRDefault="00495C65" w:rsidP="00495C65">
      <w:pPr>
        <w:pStyle w:val="13"/>
        <w:ind w:firstLine="482"/>
        <w:rPr>
          <w:b/>
          <w:bCs/>
        </w:rPr>
      </w:pPr>
      <w:r w:rsidRPr="00414742">
        <w:rPr>
          <w:b/>
          <w:bCs/>
        </w:rPr>
        <w:t>4.2</w:t>
      </w:r>
      <w:r w:rsidR="00F25307">
        <w:rPr>
          <w:b/>
          <w:bCs/>
        </w:rPr>
        <w:t xml:space="preserve"> </w:t>
      </w:r>
      <w:r w:rsidRPr="00414742">
        <w:rPr>
          <w:rFonts w:hint="eastAsia"/>
          <w:b/>
          <w:bCs/>
        </w:rPr>
        <w:t>评估专业人员搜集的资料</w:t>
      </w:r>
    </w:p>
    <w:p w14:paraId="64EA1563" w14:textId="015FAD18" w:rsidR="00495C65" w:rsidRDefault="00495C65" w:rsidP="00495C65">
      <w:pPr>
        <w:pStyle w:val="13"/>
      </w:pPr>
      <w:r>
        <w:rPr>
          <w:rFonts w:hint="eastAsia"/>
        </w:rPr>
        <w:t>4</w:t>
      </w:r>
      <w:r>
        <w:t>.2.1</w:t>
      </w:r>
      <w:r w:rsidR="00F25307">
        <w:t xml:space="preserve"> </w:t>
      </w:r>
      <w:r>
        <w:rPr>
          <w:rFonts w:hint="eastAsia"/>
        </w:rPr>
        <w:t>地区经济增长、财政金融状况与银行存贷款利率、产业政策、技术创新、物价工资及就业水平、相同或相关产业的市场状况等；</w:t>
      </w:r>
    </w:p>
    <w:p w14:paraId="03437287" w14:textId="4E802FD5" w:rsidR="00495C65" w:rsidRDefault="00495C65" w:rsidP="00495C65">
      <w:pPr>
        <w:pStyle w:val="13"/>
      </w:pPr>
      <w:r w:rsidRPr="00C6292B">
        <w:t>4.2.</w:t>
      </w:r>
      <w:r>
        <w:t>2</w:t>
      </w:r>
      <w:r w:rsidR="00F25307">
        <w:t xml:space="preserve"> </w:t>
      </w:r>
      <w:r>
        <w:rPr>
          <w:rFonts w:hint="eastAsia"/>
        </w:rPr>
        <w:t>所在区域的工业区的性质、相关产业的配套及聚集程度、未来的发展趋势、区域的规划管制等影响区域因素的资料；</w:t>
      </w:r>
    </w:p>
    <w:p w14:paraId="4D8D4650" w14:textId="26B7EE7A" w:rsidR="00495C65" w:rsidRDefault="00495C65" w:rsidP="00495C65">
      <w:pPr>
        <w:pStyle w:val="13"/>
      </w:pPr>
      <w:r w:rsidRPr="00C6292B">
        <w:t>4.2.</w:t>
      </w:r>
      <w:r>
        <w:t>3</w:t>
      </w:r>
      <w:r w:rsidR="00F25307">
        <w:t xml:space="preserve"> </w:t>
      </w:r>
      <w:r>
        <w:rPr>
          <w:rFonts w:hint="eastAsia"/>
        </w:rPr>
        <w:t>估价对象所在地相关的基准地价成果及修正体系、房屋重置价标准、建筑工程造价指标等相关资料；</w:t>
      </w:r>
    </w:p>
    <w:p w14:paraId="3FCF376B" w14:textId="5C09E07A" w:rsidR="00495C65" w:rsidRDefault="00495C65" w:rsidP="00495C65">
      <w:pPr>
        <w:pStyle w:val="13"/>
      </w:pPr>
      <w:r w:rsidRPr="00C6292B">
        <w:t>4.2.</w:t>
      </w:r>
      <w:r>
        <w:t>4</w:t>
      </w:r>
      <w:r w:rsidR="00F25307">
        <w:t xml:space="preserve"> </w:t>
      </w:r>
      <w:r>
        <w:rPr>
          <w:rFonts w:hint="eastAsia"/>
        </w:rPr>
        <w:t>与估价对象用途、区位、权利等相同或相近的交易或租赁信息资料；</w:t>
      </w:r>
    </w:p>
    <w:p w14:paraId="0B8DD1E0" w14:textId="51FF4E95" w:rsidR="00495C65" w:rsidRDefault="00495C65" w:rsidP="00495C65">
      <w:pPr>
        <w:pStyle w:val="13"/>
      </w:pPr>
      <w:r w:rsidRPr="00C6292B">
        <w:t>4.2.</w:t>
      </w:r>
      <w:r>
        <w:t>5</w:t>
      </w:r>
      <w:r w:rsidR="00F25307">
        <w:t xml:space="preserve"> </w:t>
      </w:r>
      <w:r>
        <w:rPr>
          <w:rFonts w:hint="eastAsia"/>
        </w:rPr>
        <w:t>估价对象权属及实物状况的资料；</w:t>
      </w:r>
    </w:p>
    <w:p w14:paraId="5AB93539" w14:textId="4A768A43" w:rsidR="00495C65" w:rsidRDefault="00495C65" w:rsidP="00495C65">
      <w:pPr>
        <w:pStyle w:val="13"/>
      </w:pPr>
      <w:r w:rsidRPr="00C6292B">
        <w:t>4.2.</w:t>
      </w:r>
      <w:r>
        <w:t>6</w:t>
      </w:r>
      <w:r w:rsidR="00F25307">
        <w:t xml:space="preserve"> </w:t>
      </w:r>
      <w:r>
        <w:rPr>
          <w:rFonts w:hint="eastAsia"/>
        </w:rPr>
        <w:t>其他相关资料。</w:t>
      </w:r>
    </w:p>
    <w:p w14:paraId="0E3BA40D" w14:textId="77777777" w:rsidR="00495C65" w:rsidRDefault="00495C65" w:rsidP="00495C65">
      <w:pPr>
        <w:pStyle w:val="ab"/>
        <w:spacing w:before="62" w:after="62"/>
        <w:ind w:firstLine="482"/>
      </w:pPr>
      <w:r>
        <w:t>5、现场查勘流程</w:t>
      </w:r>
    </w:p>
    <w:p w14:paraId="2111401F" w14:textId="01F57F2B" w:rsidR="00495C65" w:rsidRPr="00414742" w:rsidRDefault="00495C65" w:rsidP="00495C65">
      <w:pPr>
        <w:pStyle w:val="13"/>
        <w:ind w:firstLine="482"/>
        <w:rPr>
          <w:b/>
          <w:bCs/>
        </w:rPr>
      </w:pPr>
      <w:r w:rsidRPr="00414742">
        <w:rPr>
          <w:rFonts w:hint="eastAsia"/>
          <w:b/>
          <w:bCs/>
        </w:rPr>
        <w:t>5</w:t>
      </w:r>
      <w:r w:rsidRPr="00414742">
        <w:rPr>
          <w:b/>
          <w:bCs/>
        </w:rPr>
        <w:t>.1</w:t>
      </w:r>
      <w:r w:rsidR="00F25307">
        <w:rPr>
          <w:b/>
          <w:bCs/>
        </w:rPr>
        <w:t xml:space="preserve"> </w:t>
      </w:r>
      <w:r w:rsidRPr="00414742">
        <w:rPr>
          <w:rFonts w:hint="eastAsia"/>
          <w:b/>
          <w:bCs/>
        </w:rPr>
        <w:t>现场查勘的流程</w:t>
      </w:r>
    </w:p>
    <w:p w14:paraId="2DD59DFC" w14:textId="421C35BD" w:rsidR="00495C65" w:rsidRDefault="00495C65" w:rsidP="00495C65">
      <w:pPr>
        <w:pStyle w:val="13"/>
      </w:pPr>
      <w:r>
        <w:rPr>
          <w:rFonts w:hint="eastAsia"/>
        </w:rPr>
        <w:t>5</w:t>
      </w:r>
      <w:r>
        <w:t>.1.1</w:t>
      </w:r>
      <w:r w:rsidR="00F25307">
        <w:t xml:space="preserve"> </w:t>
      </w:r>
      <w:r>
        <w:rPr>
          <w:rFonts w:hint="eastAsia"/>
        </w:rPr>
        <w:t>明确估价基本事项</w:t>
      </w:r>
    </w:p>
    <w:p w14:paraId="771A9347" w14:textId="4F467871" w:rsidR="00495C65" w:rsidRDefault="00495C65" w:rsidP="00495C65">
      <w:pPr>
        <w:pStyle w:val="13"/>
      </w:pPr>
      <w:r w:rsidRPr="00B82291">
        <w:t>5.1.</w:t>
      </w:r>
      <w:r>
        <w:t>2</w:t>
      </w:r>
      <w:r w:rsidR="00F25307">
        <w:t xml:space="preserve"> </w:t>
      </w:r>
      <w:r>
        <w:rPr>
          <w:rFonts w:hint="eastAsia"/>
        </w:rPr>
        <w:t>约定实地查勘事宜</w:t>
      </w:r>
    </w:p>
    <w:p w14:paraId="5190F69D" w14:textId="5D875D4B" w:rsidR="00495C65" w:rsidRDefault="00495C65" w:rsidP="00495C65">
      <w:pPr>
        <w:pStyle w:val="13"/>
      </w:pPr>
      <w:r w:rsidRPr="00B82291">
        <w:t>5.1.</w:t>
      </w:r>
      <w:r>
        <w:t>3</w:t>
      </w:r>
      <w:r w:rsidR="00F25307">
        <w:t xml:space="preserve"> </w:t>
      </w:r>
      <w:r>
        <w:rPr>
          <w:rFonts w:hint="eastAsia"/>
        </w:rPr>
        <w:t>提交估价资料清单</w:t>
      </w:r>
    </w:p>
    <w:p w14:paraId="4151CD8F" w14:textId="2D12E2B6" w:rsidR="00495C65" w:rsidRDefault="00495C65" w:rsidP="00495C65">
      <w:pPr>
        <w:pStyle w:val="13"/>
      </w:pPr>
      <w:r w:rsidRPr="00B82291">
        <w:t>5.1.</w:t>
      </w:r>
      <w:r>
        <w:t>4</w:t>
      </w:r>
      <w:r w:rsidR="00F25307">
        <w:t xml:space="preserve"> </w:t>
      </w:r>
      <w:r>
        <w:rPr>
          <w:rFonts w:hint="eastAsia"/>
        </w:rPr>
        <w:t>实地查勘估价对象</w:t>
      </w:r>
    </w:p>
    <w:p w14:paraId="7A47CFB2" w14:textId="48901923" w:rsidR="00495C65" w:rsidRDefault="00495C65" w:rsidP="00495C65">
      <w:pPr>
        <w:pStyle w:val="13"/>
      </w:pPr>
      <w:r w:rsidRPr="00B82291">
        <w:t>5.1.</w:t>
      </w:r>
      <w:r>
        <w:t>5</w:t>
      </w:r>
      <w:r w:rsidR="00F25307">
        <w:t xml:space="preserve"> </w:t>
      </w:r>
      <w:r>
        <w:rPr>
          <w:rFonts w:hint="eastAsia"/>
        </w:rPr>
        <w:t>整理及补充查勘资料</w:t>
      </w:r>
    </w:p>
    <w:p w14:paraId="2FF7DD52" w14:textId="5B213652" w:rsidR="00495C65" w:rsidRPr="00414742" w:rsidRDefault="00495C65" w:rsidP="00495C65">
      <w:pPr>
        <w:pStyle w:val="13"/>
        <w:ind w:firstLine="482"/>
        <w:rPr>
          <w:b/>
          <w:bCs/>
        </w:rPr>
      </w:pPr>
      <w:r w:rsidRPr="00414742">
        <w:rPr>
          <w:rFonts w:hint="eastAsia"/>
          <w:b/>
          <w:bCs/>
        </w:rPr>
        <w:t>5</w:t>
      </w:r>
      <w:r w:rsidRPr="00414742">
        <w:rPr>
          <w:b/>
          <w:bCs/>
        </w:rPr>
        <w:t>.2</w:t>
      </w:r>
      <w:r w:rsidR="00F25307">
        <w:rPr>
          <w:b/>
          <w:bCs/>
        </w:rPr>
        <w:t xml:space="preserve"> </w:t>
      </w:r>
      <w:r w:rsidRPr="00414742">
        <w:rPr>
          <w:rFonts w:hint="eastAsia"/>
          <w:b/>
          <w:bCs/>
        </w:rPr>
        <w:t>现场查勘要点</w:t>
      </w:r>
    </w:p>
    <w:p w14:paraId="52F25DCB" w14:textId="242DC321" w:rsidR="00495C65" w:rsidRDefault="00495C65" w:rsidP="00495C65">
      <w:pPr>
        <w:pStyle w:val="13"/>
      </w:pPr>
      <w:r>
        <w:rPr>
          <w:rFonts w:hint="eastAsia"/>
        </w:rPr>
        <w:t>5</w:t>
      </w:r>
      <w:r>
        <w:t>.2.1</w:t>
      </w:r>
      <w:r w:rsidR="00F25307">
        <w:t xml:space="preserve"> </w:t>
      </w:r>
      <w:r>
        <w:rPr>
          <w:rFonts w:hint="eastAsia"/>
        </w:rPr>
        <w:t>收集的登记资料复印件应清晰完整，对权属证明原件进行验对核实，并要求估价委托人在复印件上签字或加盖公章确认；</w:t>
      </w:r>
    </w:p>
    <w:p w14:paraId="370507C4" w14:textId="0AA38C94" w:rsidR="00495C65" w:rsidRDefault="00495C65" w:rsidP="00495C65">
      <w:pPr>
        <w:pStyle w:val="13"/>
      </w:pPr>
      <w:r w:rsidRPr="00B82291">
        <w:t>5.2.</w:t>
      </w:r>
      <w:r>
        <w:t>2</w:t>
      </w:r>
      <w:r w:rsidR="00F25307">
        <w:t xml:space="preserve"> </w:t>
      </w:r>
      <w:r>
        <w:rPr>
          <w:rFonts w:hint="eastAsia"/>
        </w:rPr>
        <w:t>环境状况、交通条件、产业聚集程度、基础设施条件及与重要场所（机场、码头、火车站、高速公路、国道与省道）的距离等；</w:t>
      </w:r>
    </w:p>
    <w:p w14:paraId="5707CDEE" w14:textId="63E1C40E" w:rsidR="00495C65" w:rsidRDefault="00495C65" w:rsidP="00495C65">
      <w:pPr>
        <w:pStyle w:val="13"/>
      </w:pPr>
      <w:r w:rsidRPr="00B82291">
        <w:t>5.2.</w:t>
      </w:r>
      <w:r>
        <w:t>3</w:t>
      </w:r>
      <w:r w:rsidR="00F25307">
        <w:t xml:space="preserve"> </w:t>
      </w:r>
      <w:r>
        <w:rPr>
          <w:rFonts w:hint="eastAsia"/>
        </w:rPr>
        <w:t>厂区查勘内容</w:t>
      </w:r>
    </w:p>
    <w:p w14:paraId="61741A98" w14:textId="77777777" w:rsidR="00495C65" w:rsidRDefault="00495C65" w:rsidP="00495C65">
      <w:pPr>
        <w:pStyle w:val="13"/>
      </w:pPr>
      <w:r>
        <w:rPr>
          <w:rFonts w:hint="eastAsia"/>
        </w:rPr>
        <w:t>a）坐落：门牌号、厂区名称、四至；</w:t>
      </w:r>
    </w:p>
    <w:p w14:paraId="3E2D3214" w14:textId="77777777" w:rsidR="00495C65" w:rsidRDefault="00495C65" w:rsidP="00495C65">
      <w:pPr>
        <w:pStyle w:val="13"/>
      </w:pPr>
      <w:r>
        <w:rPr>
          <w:rFonts w:hint="eastAsia"/>
        </w:rPr>
        <w:t>b）建筑物：建筑物栋数（已建与未建）及各栋建筑的功能、每栋楼的建筑结构、层数、各层使用功能、各层层高、开间尺寸、建成时间、设施设备、装修装饰、新旧程度。除此以外，针对特殊用途的厂房，应了解其内部结构，如：跨度、高度、高强度承重地面等的实物状况及建造成本；</w:t>
      </w:r>
    </w:p>
    <w:p w14:paraId="66E70294" w14:textId="77777777" w:rsidR="00495C65" w:rsidRDefault="00495C65" w:rsidP="00495C65">
      <w:pPr>
        <w:pStyle w:val="13"/>
      </w:pPr>
      <w:r>
        <w:rPr>
          <w:rFonts w:hint="eastAsia"/>
        </w:rPr>
        <w:t>c）附属物及配套工程情况：厂区大门、围墙、挡土墙、护坡、厂区道路、绿化；</w:t>
      </w:r>
    </w:p>
    <w:p w14:paraId="475AD563" w14:textId="77777777" w:rsidR="00495C65" w:rsidRDefault="00495C65" w:rsidP="00495C65">
      <w:pPr>
        <w:pStyle w:val="13"/>
      </w:pPr>
      <w:r>
        <w:rPr>
          <w:rFonts w:hint="eastAsia"/>
        </w:rPr>
        <w:t>d）土地情况：面积、形状、临路状况、位置、实际利用限制、容积率、地形、地势、土地平整状况等。</w:t>
      </w:r>
    </w:p>
    <w:p w14:paraId="02B906D8" w14:textId="77777777" w:rsidR="00495C65" w:rsidRDefault="00495C65" w:rsidP="00495C65">
      <w:pPr>
        <w:pStyle w:val="13"/>
      </w:pPr>
      <w:r>
        <w:rPr>
          <w:rFonts w:hint="eastAsia"/>
        </w:rPr>
        <w:lastRenderedPageBreak/>
        <w:t>5</w:t>
      </w:r>
      <w:r>
        <w:t>.2.4</w:t>
      </w:r>
      <w:r>
        <w:rPr>
          <w:rFonts w:hint="eastAsia"/>
        </w:rPr>
        <w:t>应核实估价对象实际状况与登记状况的一致性</w:t>
      </w:r>
    </w:p>
    <w:p w14:paraId="0F4831B6" w14:textId="77777777" w:rsidR="00495C65" w:rsidRDefault="00495C65" w:rsidP="00495C65">
      <w:pPr>
        <w:pStyle w:val="13"/>
      </w:pPr>
      <w:r w:rsidRPr="003654A9">
        <w:t>a）</w:t>
      </w:r>
      <w:r>
        <w:rPr>
          <w:rFonts w:hint="eastAsia"/>
        </w:rPr>
        <w:t>不动产权利人与估价委托人是否一致；</w:t>
      </w:r>
    </w:p>
    <w:p w14:paraId="5FA7D129" w14:textId="77777777" w:rsidR="00495C65" w:rsidRDefault="00495C65" w:rsidP="00495C65">
      <w:pPr>
        <w:pStyle w:val="13"/>
      </w:pPr>
      <w:r>
        <w:t>b</w:t>
      </w:r>
      <w:r w:rsidRPr="003654A9">
        <w:t>）</w:t>
      </w:r>
      <w:r>
        <w:rPr>
          <w:rFonts w:hint="eastAsia"/>
        </w:rPr>
        <w:t>不动产登记地址与实际查勘坐落是否一致；</w:t>
      </w:r>
    </w:p>
    <w:p w14:paraId="440FEBA9" w14:textId="77777777" w:rsidR="00495C65" w:rsidRDefault="00495C65" w:rsidP="00495C65">
      <w:pPr>
        <w:pStyle w:val="13"/>
      </w:pPr>
      <w:r>
        <w:t>c）不动产权属证明之间的登记地址是否一致；</w:t>
      </w:r>
    </w:p>
    <w:p w14:paraId="31D07D19" w14:textId="77777777" w:rsidR="00495C65" w:rsidRDefault="00495C65" w:rsidP="00495C65">
      <w:pPr>
        <w:pStyle w:val="13"/>
      </w:pPr>
      <w:r>
        <w:t>d）不动产权属证明附图上的宗地形状或建筑物外形、方位是否与实物一致；</w:t>
      </w:r>
    </w:p>
    <w:p w14:paraId="265C0598" w14:textId="77777777" w:rsidR="00495C65" w:rsidRDefault="00495C65" w:rsidP="00495C65">
      <w:pPr>
        <w:pStyle w:val="13"/>
      </w:pPr>
      <w:r>
        <w:t>e）土地、建筑物估价范围是否对应；</w:t>
      </w:r>
    </w:p>
    <w:p w14:paraId="334F6612" w14:textId="77777777" w:rsidR="00495C65" w:rsidRDefault="00495C65" w:rsidP="00495C65">
      <w:pPr>
        <w:pStyle w:val="13"/>
      </w:pPr>
      <w:r>
        <w:t>f</w:t>
      </w:r>
      <w:r w:rsidRPr="003654A9">
        <w:t>）</w:t>
      </w:r>
      <w:r>
        <w:rPr>
          <w:rFonts w:hint="eastAsia"/>
        </w:rPr>
        <w:t>土地、建筑物是否同时列入估价范围；</w:t>
      </w:r>
    </w:p>
    <w:p w14:paraId="080B8FD1" w14:textId="77777777" w:rsidR="00495C65" w:rsidRDefault="00495C65" w:rsidP="00495C65">
      <w:pPr>
        <w:pStyle w:val="13"/>
      </w:pPr>
      <w:r>
        <w:t>g</w:t>
      </w:r>
      <w:r w:rsidRPr="003654A9">
        <w:t>）</w:t>
      </w:r>
      <w:r>
        <w:rPr>
          <w:rFonts w:hint="eastAsia"/>
        </w:rPr>
        <w:t>不动产登记楼层与实际楼层、登记建筑结构与实际建筑结构、登记用途与规划用途、实际用途是否一致；</w:t>
      </w:r>
    </w:p>
    <w:p w14:paraId="3E98FF25" w14:textId="77777777" w:rsidR="00495C65" w:rsidRDefault="00495C65" w:rsidP="00495C65">
      <w:pPr>
        <w:pStyle w:val="13"/>
      </w:pPr>
      <w:r>
        <w:t>h</w:t>
      </w:r>
      <w:r w:rsidRPr="003654A9">
        <w:t>）</w:t>
      </w:r>
      <w:r>
        <w:rPr>
          <w:rFonts w:hint="eastAsia"/>
        </w:rPr>
        <w:t>不动产登记建筑面积、土地面积与实际目测规模是否相当；</w:t>
      </w:r>
    </w:p>
    <w:p w14:paraId="0E810D74" w14:textId="672B4113" w:rsidR="00495C65" w:rsidRDefault="00495C65" w:rsidP="00495C65">
      <w:pPr>
        <w:pStyle w:val="13"/>
      </w:pPr>
      <w:r>
        <w:t>5.2.5</w:t>
      </w:r>
      <w:r w:rsidR="00F25307">
        <w:t xml:space="preserve"> </w:t>
      </w:r>
      <w:r>
        <w:rPr>
          <w:rFonts w:hint="eastAsia"/>
        </w:rPr>
        <w:t>对于抵押评估，调查核实抵押房地产在价值时点是否存在权利上的各种限制，</w:t>
      </w:r>
      <w:r>
        <w:t>如有无租约限制，是否存在法定优先受偿权利及其数额等情况。</w:t>
      </w:r>
    </w:p>
    <w:p w14:paraId="07EDDAE9" w14:textId="016C56A4" w:rsidR="00495C65" w:rsidRDefault="00495C65" w:rsidP="00495C65">
      <w:pPr>
        <w:pStyle w:val="13"/>
      </w:pPr>
      <w:r>
        <w:t>5.2.6</w:t>
      </w:r>
      <w:r w:rsidR="00F25307">
        <w:t xml:space="preserve"> </w:t>
      </w:r>
      <w:r>
        <w:rPr>
          <w:rFonts w:hint="eastAsia"/>
        </w:rPr>
        <w:t>对于房地产范围内的其他定着物，应与委托人、相关权利人确认是否列入估价范围，并由估价委托人、相关权利人签字或加盖公章确认。</w:t>
      </w:r>
    </w:p>
    <w:p w14:paraId="4AF3BFDC" w14:textId="77777777" w:rsidR="00495C65" w:rsidRDefault="00495C65" w:rsidP="00495C65">
      <w:pPr>
        <w:pStyle w:val="ab"/>
        <w:spacing w:before="62" w:after="62"/>
        <w:ind w:firstLine="482"/>
      </w:pPr>
      <w:r>
        <w:t>6、现场查勘照片拍摄要求</w:t>
      </w:r>
    </w:p>
    <w:p w14:paraId="04144300" w14:textId="77777777" w:rsidR="00495C65" w:rsidRDefault="00495C65" w:rsidP="00495C65">
      <w:pPr>
        <w:pStyle w:val="13"/>
      </w:pPr>
      <w:r>
        <w:rPr>
          <w:rFonts w:hint="eastAsia"/>
        </w:rPr>
        <w:t>评估专业人员</w:t>
      </w:r>
      <w:proofErr w:type="gramStart"/>
      <w:r>
        <w:rPr>
          <w:rFonts w:hint="eastAsia"/>
        </w:rPr>
        <w:t>应拍摄</w:t>
      </w:r>
      <w:proofErr w:type="gramEnd"/>
      <w:r>
        <w:rPr>
          <w:rFonts w:hint="eastAsia"/>
        </w:rPr>
        <w:t>反映估价对象的内部状况、外部状况和周围环境状况的照片，</w:t>
      </w:r>
      <w:r>
        <w:t>尽可能反映整幢楼宇的立面，尽可能反映室内的功能与装修，尽可能在一张照片中把地面、墙面、天棚都拍摄到。</w:t>
      </w:r>
    </w:p>
    <w:p w14:paraId="185B15F1" w14:textId="77777777" w:rsidR="00495C65" w:rsidRDefault="00495C65" w:rsidP="00495C65">
      <w:pPr>
        <w:pStyle w:val="13"/>
      </w:pPr>
      <w:r>
        <w:rPr>
          <w:rFonts w:hint="eastAsia"/>
        </w:rPr>
        <w:t>具体包括：厂区大门、门牌地址、总平面示意图、每幢建筑物的整体外观、内部照片、特殊部位照片（行车及吊车梁，能反映跨度、开间、层高的部位，特别构造的部位）、周边环境照片以及可比实例的外观照片（未采用比较法进行估价时，可不包括该照片）等。</w:t>
      </w:r>
    </w:p>
    <w:p w14:paraId="79658834" w14:textId="77777777" w:rsidR="00495C65" w:rsidRDefault="00495C65" w:rsidP="00495C65">
      <w:pPr>
        <w:pStyle w:val="ab"/>
        <w:spacing w:before="62" w:after="62"/>
        <w:ind w:firstLine="482"/>
      </w:pPr>
      <w:r>
        <w:t>7、估价方法</w:t>
      </w:r>
    </w:p>
    <w:p w14:paraId="472721EF" w14:textId="344471CC" w:rsidR="00495C65" w:rsidRPr="00414742" w:rsidRDefault="00495C65" w:rsidP="00495C65">
      <w:pPr>
        <w:pStyle w:val="13"/>
        <w:ind w:firstLine="482"/>
        <w:rPr>
          <w:b/>
          <w:bCs/>
        </w:rPr>
      </w:pPr>
      <w:r w:rsidRPr="00414742">
        <w:rPr>
          <w:rFonts w:hint="eastAsia"/>
          <w:b/>
          <w:bCs/>
        </w:rPr>
        <w:t>7</w:t>
      </w:r>
      <w:r w:rsidRPr="00414742">
        <w:rPr>
          <w:b/>
          <w:bCs/>
        </w:rPr>
        <w:t>.1</w:t>
      </w:r>
      <w:r w:rsidR="00F25307">
        <w:rPr>
          <w:b/>
          <w:bCs/>
        </w:rPr>
        <w:t xml:space="preserve"> </w:t>
      </w:r>
      <w:r w:rsidRPr="00414742">
        <w:rPr>
          <w:rFonts w:hint="eastAsia"/>
          <w:b/>
          <w:bCs/>
        </w:rPr>
        <w:t>比较法</w:t>
      </w:r>
    </w:p>
    <w:p w14:paraId="434DAF28" w14:textId="40CE7CFF" w:rsidR="00495C65" w:rsidRDefault="00495C65" w:rsidP="00495C65">
      <w:pPr>
        <w:pStyle w:val="13"/>
      </w:pPr>
      <w:r>
        <w:rPr>
          <w:rFonts w:hint="eastAsia"/>
        </w:rPr>
        <w:t>7</w:t>
      </w:r>
      <w:r>
        <w:t>.1.1</w:t>
      </w:r>
      <w:r w:rsidR="00F25307">
        <w:t xml:space="preserve"> </w:t>
      </w:r>
      <w:r>
        <w:rPr>
          <w:rFonts w:hint="eastAsia"/>
        </w:rPr>
        <w:t>比较法定义</w:t>
      </w:r>
    </w:p>
    <w:p w14:paraId="16456980" w14:textId="77777777" w:rsidR="00495C65" w:rsidRDefault="00495C65" w:rsidP="00495C65">
      <w:pPr>
        <w:pStyle w:val="13"/>
      </w:pPr>
      <w:r>
        <w:rPr>
          <w:rFonts w:hint="eastAsia"/>
        </w:rPr>
        <w:t>比较法是选取一定数量的可比实例，将它们与估价对象进行比较，根据其间的差异对可比实例成交价格进行处理后得到估价对象价值或价格的方法。</w:t>
      </w:r>
    </w:p>
    <w:p w14:paraId="7FED106A" w14:textId="4C9E1877" w:rsidR="00495C65" w:rsidRDefault="00495C65" w:rsidP="00495C65">
      <w:pPr>
        <w:pStyle w:val="13"/>
      </w:pPr>
      <w:r w:rsidRPr="00025047">
        <w:t>7.1.</w:t>
      </w:r>
      <w:r>
        <w:t>2</w:t>
      </w:r>
      <w:r w:rsidR="00F25307">
        <w:t xml:space="preserve"> </w:t>
      </w:r>
      <w:r>
        <w:rPr>
          <w:rFonts w:hint="eastAsia"/>
        </w:rPr>
        <w:t>比较法适用的估价对象</w:t>
      </w:r>
    </w:p>
    <w:p w14:paraId="449BA632" w14:textId="77777777" w:rsidR="00495C65" w:rsidRDefault="00495C65" w:rsidP="00495C65">
      <w:pPr>
        <w:pStyle w:val="13"/>
      </w:pPr>
      <w:r>
        <w:rPr>
          <w:rFonts w:hint="eastAsia"/>
        </w:rPr>
        <w:t>比较法适用的工业房地产估价类型为生产型标准工业房地产和创新型工业房地产。</w:t>
      </w:r>
    </w:p>
    <w:p w14:paraId="2243B763" w14:textId="681D7CDF" w:rsidR="00495C65" w:rsidRDefault="00495C65" w:rsidP="00495C65">
      <w:pPr>
        <w:pStyle w:val="13"/>
      </w:pPr>
      <w:r w:rsidRPr="00025047">
        <w:t>7.1.</w:t>
      </w:r>
      <w:r>
        <w:t>3</w:t>
      </w:r>
      <w:r w:rsidR="00F25307">
        <w:t xml:space="preserve"> </w:t>
      </w:r>
      <w:r>
        <w:rPr>
          <w:rFonts w:hint="eastAsia"/>
        </w:rPr>
        <w:t>可比实例选取的一般要求</w:t>
      </w:r>
    </w:p>
    <w:p w14:paraId="1ADF2809" w14:textId="77777777" w:rsidR="00495C65" w:rsidRDefault="00495C65" w:rsidP="00495C65">
      <w:pPr>
        <w:pStyle w:val="13"/>
      </w:pPr>
      <w:r>
        <w:t>a）选择与估价对象处于同一供求圈内（同一行政区、同一土地级别范围、同一工业</w:t>
      </w:r>
      <w:r>
        <w:rPr>
          <w:rFonts w:hint="eastAsia"/>
        </w:rPr>
        <w:t>园区）；对于新开发区域，因工业房地产市场交易不活跃，可在邻近行政区较多</w:t>
      </w:r>
      <w:r>
        <w:rPr>
          <w:rFonts w:hint="eastAsia"/>
        </w:rPr>
        <w:lastRenderedPageBreak/>
        <w:t>的交易实例中选取。</w:t>
      </w:r>
    </w:p>
    <w:p w14:paraId="7E0F974A" w14:textId="77777777" w:rsidR="00495C65" w:rsidRDefault="00495C65" w:rsidP="00495C65">
      <w:pPr>
        <w:pStyle w:val="13"/>
      </w:pPr>
      <w:r>
        <w:t>b）选择与估价对象法定用途与实际用途两者均相同的交易实例。</w:t>
      </w:r>
    </w:p>
    <w:p w14:paraId="372BF0AA" w14:textId="77777777" w:rsidR="00495C65" w:rsidRDefault="00495C65" w:rsidP="00495C65">
      <w:pPr>
        <w:pStyle w:val="13"/>
      </w:pPr>
      <w:r>
        <w:t>c）选择与估价对象相同或类似容积率、规模、档次、建筑结构的交易实例。</w:t>
      </w:r>
    </w:p>
    <w:p w14:paraId="2BBC6A1F" w14:textId="77777777" w:rsidR="00495C65" w:rsidRDefault="00495C65" w:rsidP="00495C65">
      <w:pPr>
        <w:pStyle w:val="13"/>
      </w:pPr>
      <w:r>
        <w:t>d）选择成交日期与价值时点接近的交易实例（参照工业用地比较法评估，成交日期通常不宜超过2年，且不得超过3年）。</w:t>
      </w:r>
    </w:p>
    <w:p w14:paraId="76400239" w14:textId="4E4C6994" w:rsidR="00495C65" w:rsidRDefault="00495C65" w:rsidP="00495C65">
      <w:pPr>
        <w:pStyle w:val="13"/>
      </w:pPr>
      <w:r>
        <w:t>7.1.4</w:t>
      </w:r>
      <w:r w:rsidR="00F25307">
        <w:t xml:space="preserve"> </w:t>
      </w:r>
      <w:r>
        <w:t>房地产状况调整</w:t>
      </w:r>
    </w:p>
    <w:p w14:paraId="10A2322E" w14:textId="77777777" w:rsidR="00495C65" w:rsidRDefault="00495C65" w:rsidP="00495C65">
      <w:pPr>
        <w:pStyle w:val="13"/>
      </w:pPr>
      <w:r>
        <w:rPr>
          <w:rFonts w:hint="eastAsia"/>
        </w:rPr>
        <w:t>房地产状况调整包括区位状况调整、实物状况调整和权益状况调整。</w:t>
      </w:r>
    </w:p>
    <w:p w14:paraId="396BD0B9" w14:textId="77777777" w:rsidR="00495C65" w:rsidRDefault="00495C65" w:rsidP="00495C65">
      <w:pPr>
        <w:pStyle w:val="13"/>
      </w:pPr>
      <w:r w:rsidRPr="000D7FCC">
        <w:t>a）</w:t>
      </w:r>
      <w:r w:rsidRPr="000D7FCC">
        <w:rPr>
          <w:rFonts w:hint="eastAsia"/>
        </w:rPr>
        <w:t>区位状况因素表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
        <w:gridCol w:w="4357"/>
        <w:gridCol w:w="2822"/>
      </w:tblGrid>
      <w:tr w:rsidR="00495C65" w:rsidRPr="00F25307" w14:paraId="40553D57" w14:textId="77777777" w:rsidTr="00F25307">
        <w:trPr>
          <w:trHeight w:val="326"/>
          <w:tblHeader/>
          <w:jc w:val="center"/>
        </w:trPr>
        <w:tc>
          <w:tcPr>
            <w:tcW w:w="884" w:type="pct"/>
            <w:vAlign w:val="center"/>
          </w:tcPr>
          <w:p w14:paraId="78332404"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因素类型</w:t>
            </w:r>
          </w:p>
        </w:tc>
        <w:tc>
          <w:tcPr>
            <w:tcW w:w="2498" w:type="pct"/>
            <w:vAlign w:val="center"/>
          </w:tcPr>
          <w:p w14:paraId="5CF9B359"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内容</w:t>
            </w:r>
          </w:p>
        </w:tc>
        <w:tc>
          <w:tcPr>
            <w:tcW w:w="1618" w:type="pct"/>
            <w:vAlign w:val="center"/>
          </w:tcPr>
          <w:p w14:paraId="72624DF2"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信息来源</w:t>
            </w:r>
          </w:p>
        </w:tc>
      </w:tr>
      <w:tr w:rsidR="00495C65" w:rsidRPr="00F25307" w14:paraId="0EBD6CB5" w14:textId="77777777" w:rsidTr="00F25307">
        <w:trPr>
          <w:trHeight w:val="651"/>
          <w:jc w:val="center"/>
        </w:trPr>
        <w:tc>
          <w:tcPr>
            <w:tcW w:w="884" w:type="pct"/>
            <w:vAlign w:val="center"/>
          </w:tcPr>
          <w:p w14:paraId="211F1956"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行政因素</w:t>
            </w:r>
          </w:p>
        </w:tc>
        <w:tc>
          <w:tcPr>
            <w:tcW w:w="2498" w:type="pct"/>
            <w:vAlign w:val="center"/>
          </w:tcPr>
          <w:p w14:paraId="411BACD8"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规划限制、政府的特殊政策、产业管制等，同等条件下行政因素越好，评分越高；</w:t>
            </w:r>
          </w:p>
        </w:tc>
        <w:tc>
          <w:tcPr>
            <w:tcW w:w="1618" w:type="pct"/>
            <w:vAlign w:val="center"/>
          </w:tcPr>
          <w:p w14:paraId="5DC2A193"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现场、区域规划</w:t>
            </w:r>
          </w:p>
        </w:tc>
      </w:tr>
      <w:tr w:rsidR="00495C65" w:rsidRPr="00F25307" w14:paraId="0FDB8F89" w14:textId="77777777" w:rsidTr="00F25307">
        <w:trPr>
          <w:trHeight w:val="978"/>
          <w:jc w:val="center"/>
        </w:trPr>
        <w:tc>
          <w:tcPr>
            <w:tcW w:w="884" w:type="pct"/>
            <w:vAlign w:val="center"/>
          </w:tcPr>
          <w:p w14:paraId="1400093D"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工业成熟度</w:t>
            </w:r>
          </w:p>
        </w:tc>
        <w:tc>
          <w:tcPr>
            <w:tcW w:w="2498" w:type="pct"/>
            <w:vAlign w:val="center"/>
          </w:tcPr>
          <w:p w14:paraId="606F2673"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所在工业区性质、相关产业的配套及集聚状况、工业区未来发展趋势等，同等条件</w:t>
            </w:r>
            <w:proofErr w:type="gramStart"/>
            <w:r w:rsidRPr="00F25307">
              <w:rPr>
                <w:sz w:val="21"/>
                <w:szCs w:val="21"/>
              </w:rPr>
              <w:t>下工业</w:t>
            </w:r>
            <w:proofErr w:type="gramEnd"/>
            <w:r w:rsidRPr="00F25307">
              <w:rPr>
                <w:sz w:val="21"/>
                <w:szCs w:val="21"/>
              </w:rPr>
              <w:t>成熟度越高，评分越高；</w:t>
            </w:r>
          </w:p>
        </w:tc>
        <w:tc>
          <w:tcPr>
            <w:tcW w:w="1618" w:type="pct"/>
            <w:vAlign w:val="center"/>
          </w:tcPr>
          <w:p w14:paraId="2322F9F2"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现场、地图、工业区规划</w:t>
            </w:r>
          </w:p>
        </w:tc>
      </w:tr>
      <w:tr w:rsidR="00495C65" w:rsidRPr="00F25307" w14:paraId="1E445824" w14:textId="77777777" w:rsidTr="0057366E">
        <w:trPr>
          <w:trHeight w:val="1297"/>
          <w:jc w:val="center"/>
        </w:trPr>
        <w:tc>
          <w:tcPr>
            <w:tcW w:w="884" w:type="pct"/>
            <w:vAlign w:val="center"/>
          </w:tcPr>
          <w:p w14:paraId="751E2D58"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交通状况</w:t>
            </w:r>
          </w:p>
        </w:tc>
        <w:tc>
          <w:tcPr>
            <w:tcW w:w="2498" w:type="pct"/>
            <w:vAlign w:val="center"/>
          </w:tcPr>
          <w:p w14:paraId="21BE7A1D"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对外交通便捷程度、交通管制、距货物集散地（高速公路、码头、机场）距离及货物集散地的规模档次、道路构造及档次、道路体系等，同等条件下交通状况越好，评分越高；</w:t>
            </w:r>
          </w:p>
        </w:tc>
        <w:tc>
          <w:tcPr>
            <w:tcW w:w="1618" w:type="pct"/>
            <w:vAlign w:val="center"/>
          </w:tcPr>
          <w:p w14:paraId="235F68CD"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现场、地图</w:t>
            </w:r>
          </w:p>
        </w:tc>
      </w:tr>
      <w:tr w:rsidR="00495C65" w:rsidRPr="00F25307" w14:paraId="083FD450" w14:textId="77777777" w:rsidTr="00F25307">
        <w:trPr>
          <w:trHeight w:val="978"/>
          <w:jc w:val="center"/>
        </w:trPr>
        <w:tc>
          <w:tcPr>
            <w:tcW w:w="884" w:type="pct"/>
            <w:vAlign w:val="center"/>
          </w:tcPr>
          <w:p w14:paraId="3EF6247C"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环境状况</w:t>
            </w:r>
          </w:p>
        </w:tc>
        <w:tc>
          <w:tcPr>
            <w:tcW w:w="2498" w:type="pct"/>
            <w:vAlign w:val="center"/>
          </w:tcPr>
          <w:p w14:paraId="03E286DC"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污染排放状况及治理状况、</w:t>
            </w:r>
            <w:proofErr w:type="gramStart"/>
            <w:r w:rsidRPr="00F25307">
              <w:rPr>
                <w:sz w:val="21"/>
                <w:szCs w:val="21"/>
              </w:rPr>
              <w:t>距危险</w:t>
            </w:r>
            <w:proofErr w:type="gramEnd"/>
            <w:r w:rsidRPr="00F25307">
              <w:rPr>
                <w:sz w:val="21"/>
                <w:szCs w:val="21"/>
              </w:rPr>
              <w:t>设施或污染源的临近程度、自然条件等，同等条件下环境状况越好，评分越高；</w:t>
            </w:r>
          </w:p>
        </w:tc>
        <w:tc>
          <w:tcPr>
            <w:tcW w:w="1618" w:type="pct"/>
            <w:vAlign w:val="center"/>
          </w:tcPr>
          <w:p w14:paraId="245C6949"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现场、地图</w:t>
            </w:r>
          </w:p>
        </w:tc>
      </w:tr>
      <w:tr w:rsidR="00495C65" w:rsidRPr="00F25307" w14:paraId="76850899" w14:textId="77777777" w:rsidTr="00F25307">
        <w:trPr>
          <w:trHeight w:val="652"/>
          <w:jc w:val="center"/>
        </w:trPr>
        <w:tc>
          <w:tcPr>
            <w:tcW w:w="884" w:type="pct"/>
            <w:vAlign w:val="center"/>
          </w:tcPr>
          <w:p w14:paraId="13C0BCC9"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基础设施状况</w:t>
            </w:r>
          </w:p>
        </w:tc>
        <w:tc>
          <w:tcPr>
            <w:tcW w:w="2498" w:type="pct"/>
            <w:vAlign w:val="center"/>
          </w:tcPr>
          <w:p w14:paraId="64171594"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供水、排水、供热、供气、电信等的通达和供给</w:t>
            </w:r>
          </w:p>
        </w:tc>
        <w:tc>
          <w:tcPr>
            <w:tcW w:w="1618" w:type="pct"/>
            <w:vAlign w:val="center"/>
          </w:tcPr>
          <w:p w14:paraId="64A3AF32"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现场</w:t>
            </w:r>
          </w:p>
        </w:tc>
      </w:tr>
    </w:tbl>
    <w:p w14:paraId="68A7C3F3" w14:textId="77777777" w:rsidR="00495C65" w:rsidRDefault="00495C65" w:rsidP="00495C65">
      <w:pPr>
        <w:pStyle w:val="13"/>
      </w:pPr>
      <w:r w:rsidRPr="00986BA4">
        <w:t>b）实物状况因素表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746"/>
        <w:gridCol w:w="5229"/>
      </w:tblGrid>
      <w:tr w:rsidR="00495C65" w:rsidRPr="00F25307" w14:paraId="67C1CD2D" w14:textId="77777777" w:rsidTr="00F25307">
        <w:trPr>
          <w:trHeight w:val="425"/>
          <w:tblHeader/>
          <w:jc w:val="center"/>
        </w:trPr>
        <w:tc>
          <w:tcPr>
            <w:tcW w:w="1001" w:type="pct"/>
            <w:vAlign w:val="center"/>
          </w:tcPr>
          <w:p w14:paraId="0715308D"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因素类型</w:t>
            </w:r>
          </w:p>
        </w:tc>
        <w:tc>
          <w:tcPr>
            <w:tcW w:w="1001" w:type="pct"/>
            <w:vAlign w:val="center"/>
          </w:tcPr>
          <w:p w14:paraId="52F43A95"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内容</w:t>
            </w:r>
          </w:p>
        </w:tc>
        <w:tc>
          <w:tcPr>
            <w:tcW w:w="2998" w:type="pct"/>
            <w:vAlign w:val="center"/>
          </w:tcPr>
          <w:p w14:paraId="7E784A28"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信息来源</w:t>
            </w:r>
          </w:p>
        </w:tc>
      </w:tr>
      <w:tr w:rsidR="00495C65" w:rsidRPr="00F25307" w14:paraId="31257948" w14:textId="77777777" w:rsidTr="00F25307">
        <w:trPr>
          <w:trHeight w:val="843"/>
          <w:jc w:val="center"/>
        </w:trPr>
        <w:tc>
          <w:tcPr>
            <w:tcW w:w="1001" w:type="pct"/>
            <w:vMerge w:val="restart"/>
            <w:vAlign w:val="center"/>
          </w:tcPr>
          <w:p w14:paraId="10E91FE0"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土地实物状况</w:t>
            </w:r>
          </w:p>
        </w:tc>
        <w:tc>
          <w:tcPr>
            <w:tcW w:w="1001" w:type="pct"/>
            <w:vAlign w:val="center"/>
          </w:tcPr>
          <w:p w14:paraId="5A7896C3"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土地面积</w:t>
            </w:r>
          </w:p>
        </w:tc>
        <w:tc>
          <w:tcPr>
            <w:tcW w:w="2998" w:type="pct"/>
            <w:vAlign w:val="center"/>
          </w:tcPr>
          <w:p w14:paraId="5F3C8E21"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国有土地使用证、不动产权证</w:t>
            </w:r>
          </w:p>
        </w:tc>
      </w:tr>
      <w:tr w:rsidR="00495C65" w:rsidRPr="00F25307" w14:paraId="695CCB58" w14:textId="77777777" w:rsidTr="00F25307">
        <w:trPr>
          <w:trHeight w:val="443"/>
          <w:jc w:val="center"/>
        </w:trPr>
        <w:tc>
          <w:tcPr>
            <w:tcW w:w="1001" w:type="pct"/>
            <w:vMerge/>
            <w:vAlign w:val="center"/>
          </w:tcPr>
          <w:p w14:paraId="05AA8B36"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7AAB581A"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土地形状</w:t>
            </w:r>
          </w:p>
        </w:tc>
        <w:tc>
          <w:tcPr>
            <w:tcW w:w="2998" w:type="pct"/>
            <w:vAlign w:val="center"/>
          </w:tcPr>
          <w:p w14:paraId="1A5FD436"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现场、宗地图</w:t>
            </w:r>
          </w:p>
        </w:tc>
      </w:tr>
      <w:tr w:rsidR="00495C65" w:rsidRPr="00F25307" w14:paraId="6001F8D7" w14:textId="77777777" w:rsidTr="00F25307">
        <w:trPr>
          <w:trHeight w:val="445"/>
          <w:jc w:val="center"/>
        </w:trPr>
        <w:tc>
          <w:tcPr>
            <w:tcW w:w="1001" w:type="pct"/>
            <w:vMerge/>
            <w:vAlign w:val="center"/>
          </w:tcPr>
          <w:p w14:paraId="27F1E3DC"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05BF3030"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地形、地势</w:t>
            </w:r>
          </w:p>
        </w:tc>
        <w:tc>
          <w:tcPr>
            <w:tcW w:w="2998" w:type="pct"/>
            <w:vAlign w:val="center"/>
          </w:tcPr>
          <w:p w14:paraId="12A85CEF"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现场、图纸</w:t>
            </w:r>
          </w:p>
        </w:tc>
      </w:tr>
      <w:tr w:rsidR="00495C65" w:rsidRPr="00F25307" w14:paraId="255860A1" w14:textId="77777777" w:rsidTr="00F25307">
        <w:trPr>
          <w:trHeight w:val="443"/>
          <w:jc w:val="center"/>
        </w:trPr>
        <w:tc>
          <w:tcPr>
            <w:tcW w:w="1001" w:type="pct"/>
            <w:vMerge/>
            <w:vAlign w:val="center"/>
          </w:tcPr>
          <w:p w14:paraId="46B43CE7"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0B9139DF"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地质、土壤</w:t>
            </w:r>
          </w:p>
        </w:tc>
        <w:tc>
          <w:tcPr>
            <w:tcW w:w="2998" w:type="pct"/>
            <w:vAlign w:val="center"/>
          </w:tcPr>
          <w:p w14:paraId="5D65CC38"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现场、设计资料</w:t>
            </w:r>
          </w:p>
        </w:tc>
      </w:tr>
      <w:tr w:rsidR="00495C65" w:rsidRPr="00F25307" w14:paraId="292731CE" w14:textId="77777777" w:rsidTr="00F25307">
        <w:trPr>
          <w:trHeight w:val="443"/>
          <w:jc w:val="center"/>
        </w:trPr>
        <w:tc>
          <w:tcPr>
            <w:tcW w:w="1001" w:type="pct"/>
            <w:vMerge/>
            <w:vAlign w:val="center"/>
          </w:tcPr>
          <w:p w14:paraId="4A7FC3A0"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2280A160"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土地开发程度</w:t>
            </w:r>
          </w:p>
        </w:tc>
        <w:tc>
          <w:tcPr>
            <w:tcW w:w="2998" w:type="pct"/>
            <w:vAlign w:val="center"/>
          </w:tcPr>
          <w:p w14:paraId="3BBBA7F5"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现场、设计资料、图纸</w:t>
            </w:r>
          </w:p>
        </w:tc>
      </w:tr>
      <w:tr w:rsidR="00495C65" w:rsidRPr="00F25307" w14:paraId="313F5699" w14:textId="77777777" w:rsidTr="00F25307">
        <w:trPr>
          <w:trHeight w:val="444"/>
          <w:jc w:val="center"/>
        </w:trPr>
        <w:tc>
          <w:tcPr>
            <w:tcW w:w="1001" w:type="pct"/>
            <w:vMerge w:val="restart"/>
            <w:vAlign w:val="center"/>
          </w:tcPr>
          <w:p w14:paraId="5FAE7078"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建筑物实物状况</w:t>
            </w:r>
          </w:p>
        </w:tc>
        <w:tc>
          <w:tcPr>
            <w:tcW w:w="1001" w:type="pct"/>
            <w:vAlign w:val="center"/>
          </w:tcPr>
          <w:p w14:paraId="421D941E"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建筑面积</w:t>
            </w:r>
          </w:p>
        </w:tc>
        <w:tc>
          <w:tcPr>
            <w:tcW w:w="2998" w:type="pct"/>
            <w:vAlign w:val="center"/>
          </w:tcPr>
          <w:p w14:paraId="03C82BA7"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房屋所有权证、不动产权证</w:t>
            </w:r>
          </w:p>
        </w:tc>
      </w:tr>
      <w:tr w:rsidR="00495C65" w:rsidRPr="00F25307" w14:paraId="1FAD5E5C" w14:textId="77777777" w:rsidTr="00F25307">
        <w:trPr>
          <w:trHeight w:val="420"/>
          <w:jc w:val="center"/>
        </w:trPr>
        <w:tc>
          <w:tcPr>
            <w:tcW w:w="1001" w:type="pct"/>
            <w:vMerge/>
            <w:tcBorders>
              <w:top w:val="nil"/>
            </w:tcBorders>
            <w:vAlign w:val="center"/>
          </w:tcPr>
          <w:p w14:paraId="65E9F682"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5BA2CBA4"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建筑结构</w:t>
            </w:r>
          </w:p>
        </w:tc>
        <w:tc>
          <w:tcPr>
            <w:tcW w:w="2998" w:type="pct"/>
            <w:vAlign w:val="center"/>
          </w:tcPr>
          <w:p w14:paraId="0F6B3A6F"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房屋所有权证、不动产权证、现场、设计资料、图纸</w:t>
            </w:r>
          </w:p>
        </w:tc>
      </w:tr>
      <w:tr w:rsidR="00495C65" w:rsidRPr="00F25307" w14:paraId="169F8792" w14:textId="77777777" w:rsidTr="00F25307">
        <w:trPr>
          <w:trHeight w:val="443"/>
          <w:jc w:val="center"/>
        </w:trPr>
        <w:tc>
          <w:tcPr>
            <w:tcW w:w="1001" w:type="pct"/>
            <w:vMerge/>
            <w:tcBorders>
              <w:top w:val="nil"/>
            </w:tcBorders>
            <w:vAlign w:val="center"/>
          </w:tcPr>
          <w:p w14:paraId="5909C570"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66E8479B"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设施设备</w:t>
            </w:r>
          </w:p>
        </w:tc>
        <w:tc>
          <w:tcPr>
            <w:tcW w:w="2998" w:type="pct"/>
            <w:vAlign w:val="center"/>
          </w:tcPr>
          <w:p w14:paraId="780FF10D"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现场、设计资料、图纸</w:t>
            </w:r>
          </w:p>
        </w:tc>
      </w:tr>
      <w:tr w:rsidR="00495C65" w:rsidRPr="00F25307" w14:paraId="1886457E" w14:textId="77777777" w:rsidTr="00F25307">
        <w:trPr>
          <w:trHeight w:val="444"/>
          <w:jc w:val="center"/>
        </w:trPr>
        <w:tc>
          <w:tcPr>
            <w:tcW w:w="1001" w:type="pct"/>
            <w:vMerge/>
            <w:tcBorders>
              <w:top w:val="nil"/>
            </w:tcBorders>
            <w:vAlign w:val="center"/>
          </w:tcPr>
          <w:p w14:paraId="0120ABA8"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5D6607AC"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装修装饰</w:t>
            </w:r>
          </w:p>
        </w:tc>
        <w:tc>
          <w:tcPr>
            <w:tcW w:w="2998" w:type="pct"/>
            <w:vAlign w:val="center"/>
          </w:tcPr>
          <w:p w14:paraId="2E4141CE"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现场、图纸</w:t>
            </w:r>
          </w:p>
        </w:tc>
      </w:tr>
      <w:tr w:rsidR="00495C65" w:rsidRPr="00F25307" w14:paraId="5EE6041A" w14:textId="77777777" w:rsidTr="00F25307">
        <w:trPr>
          <w:trHeight w:val="443"/>
          <w:jc w:val="center"/>
        </w:trPr>
        <w:tc>
          <w:tcPr>
            <w:tcW w:w="1001" w:type="pct"/>
            <w:vMerge/>
            <w:tcBorders>
              <w:top w:val="nil"/>
            </w:tcBorders>
            <w:vAlign w:val="center"/>
          </w:tcPr>
          <w:p w14:paraId="7224BB73"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06383254"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层高</w:t>
            </w:r>
          </w:p>
        </w:tc>
        <w:tc>
          <w:tcPr>
            <w:tcW w:w="2998" w:type="pct"/>
            <w:vAlign w:val="center"/>
          </w:tcPr>
          <w:p w14:paraId="34EF6442"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现场、图纸</w:t>
            </w:r>
          </w:p>
        </w:tc>
      </w:tr>
      <w:tr w:rsidR="00495C65" w:rsidRPr="00F25307" w14:paraId="28F9FCCD" w14:textId="77777777" w:rsidTr="00F25307">
        <w:trPr>
          <w:trHeight w:val="443"/>
          <w:jc w:val="center"/>
        </w:trPr>
        <w:tc>
          <w:tcPr>
            <w:tcW w:w="1001" w:type="pct"/>
            <w:vMerge/>
            <w:tcBorders>
              <w:top w:val="nil"/>
            </w:tcBorders>
            <w:vAlign w:val="center"/>
          </w:tcPr>
          <w:p w14:paraId="39384844"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3F3924FB"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总层数</w:t>
            </w:r>
          </w:p>
        </w:tc>
        <w:tc>
          <w:tcPr>
            <w:tcW w:w="2998" w:type="pct"/>
            <w:vAlign w:val="center"/>
          </w:tcPr>
          <w:p w14:paraId="0E4C8794"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现场、图纸</w:t>
            </w:r>
          </w:p>
        </w:tc>
      </w:tr>
      <w:tr w:rsidR="00495C65" w:rsidRPr="00F25307" w14:paraId="52050BDD" w14:textId="77777777" w:rsidTr="00F25307">
        <w:trPr>
          <w:trHeight w:val="444"/>
          <w:jc w:val="center"/>
        </w:trPr>
        <w:tc>
          <w:tcPr>
            <w:tcW w:w="1001" w:type="pct"/>
            <w:vMerge/>
            <w:tcBorders>
              <w:top w:val="nil"/>
            </w:tcBorders>
            <w:vAlign w:val="center"/>
          </w:tcPr>
          <w:p w14:paraId="19641B9E"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30843964"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空间布局</w:t>
            </w:r>
          </w:p>
        </w:tc>
        <w:tc>
          <w:tcPr>
            <w:tcW w:w="2998" w:type="pct"/>
            <w:vAlign w:val="center"/>
          </w:tcPr>
          <w:p w14:paraId="5B9A859F"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现场、设计资料、图纸</w:t>
            </w:r>
          </w:p>
        </w:tc>
      </w:tr>
      <w:tr w:rsidR="00495C65" w:rsidRPr="00F25307" w14:paraId="3E4D08BD" w14:textId="77777777" w:rsidTr="00F25307">
        <w:trPr>
          <w:trHeight w:val="443"/>
          <w:jc w:val="center"/>
        </w:trPr>
        <w:tc>
          <w:tcPr>
            <w:tcW w:w="1001" w:type="pct"/>
            <w:vMerge/>
            <w:tcBorders>
              <w:top w:val="nil"/>
            </w:tcBorders>
            <w:vAlign w:val="center"/>
          </w:tcPr>
          <w:p w14:paraId="26A4F4BA"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214D5C70"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建筑功能</w:t>
            </w:r>
          </w:p>
        </w:tc>
        <w:tc>
          <w:tcPr>
            <w:tcW w:w="2998" w:type="pct"/>
            <w:vAlign w:val="center"/>
          </w:tcPr>
          <w:p w14:paraId="2FDFF880"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w:t>
            </w:r>
          </w:p>
        </w:tc>
      </w:tr>
      <w:tr w:rsidR="00495C65" w:rsidRPr="00F25307" w14:paraId="3BC5B57E" w14:textId="77777777" w:rsidTr="00F25307">
        <w:trPr>
          <w:trHeight w:val="443"/>
          <w:jc w:val="center"/>
        </w:trPr>
        <w:tc>
          <w:tcPr>
            <w:tcW w:w="1001" w:type="pct"/>
            <w:vMerge/>
            <w:tcBorders>
              <w:top w:val="nil"/>
            </w:tcBorders>
            <w:vAlign w:val="center"/>
          </w:tcPr>
          <w:p w14:paraId="2C550404"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5487E09F"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工程质量</w:t>
            </w:r>
          </w:p>
        </w:tc>
        <w:tc>
          <w:tcPr>
            <w:tcW w:w="2998" w:type="pct"/>
            <w:vAlign w:val="center"/>
          </w:tcPr>
          <w:p w14:paraId="7BC1256D"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w:t>
            </w:r>
          </w:p>
        </w:tc>
      </w:tr>
      <w:tr w:rsidR="00495C65" w:rsidRPr="00F25307" w14:paraId="7CC5C0D2" w14:textId="77777777" w:rsidTr="00F25307">
        <w:trPr>
          <w:trHeight w:val="444"/>
          <w:jc w:val="center"/>
        </w:trPr>
        <w:tc>
          <w:tcPr>
            <w:tcW w:w="1001" w:type="pct"/>
            <w:vMerge/>
            <w:tcBorders>
              <w:top w:val="nil"/>
            </w:tcBorders>
            <w:vAlign w:val="center"/>
          </w:tcPr>
          <w:p w14:paraId="2AD07605"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1A4C7017"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外观</w:t>
            </w:r>
          </w:p>
        </w:tc>
        <w:tc>
          <w:tcPr>
            <w:tcW w:w="2998" w:type="pct"/>
            <w:vAlign w:val="center"/>
          </w:tcPr>
          <w:p w14:paraId="0174E6C5"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w:t>
            </w:r>
          </w:p>
        </w:tc>
      </w:tr>
      <w:tr w:rsidR="00495C65" w:rsidRPr="00F25307" w14:paraId="1E3D851B" w14:textId="77777777" w:rsidTr="00F25307">
        <w:trPr>
          <w:trHeight w:val="443"/>
          <w:jc w:val="center"/>
        </w:trPr>
        <w:tc>
          <w:tcPr>
            <w:tcW w:w="1001" w:type="pct"/>
            <w:vMerge/>
            <w:tcBorders>
              <w:top w:val="nil"/>
            </w:tcBorders>
            <w:vAlign w:val="center"/>
          </w:tcPr>
          <w:p w14:paraId="49832D67"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4871AA33"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新旧程度</w:t>
            </w:r>
          </w:p>
        </w:tc>
        <w:tc>
          <w:tcPr>
            <w:tcW w:w="2998" w:type="pct"/>
            <w:vAlign w:val="center"/>
          </w:tcPr>
          <w:p w14:paraId="4B9B41F1"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建造年代</w:t>
            </w:r>
          </w:p>
        </w:tc>
      </w:tr>
      <w:tr w:rsidR="00495C65" w:rsidRPr="00F25307" w14:paraId="6DA31110" w14:textId="77777777" w:rsidTr="00F25307">
        <w:trPr>
          <w:trHeight w:val="443"/>
          <w:jc w:val="center"/>
        </w:trPr>
        <w:tc>
          <w:tcPr>
            <w:tcW w:w="1001" w:type="pct"/>
            <w:vMerge/>
            <w:tcBorders>
              <w:top w:val="nil"/>
            </w:tcBorders>
            <w:vAlign w:val="center"/>
          </w:tcPr>
          <w:p w14:paraId="39282C62"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553B81B1"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物业管理</w:t>
            </w:r>
          </w:p>
        </w:tc>
        <w:tc>
          <w:tcPr>
            <w:tcW w:w="2998" w:type="pct"/>
            <w:vAlign w:val="center"/>
          </w:tcPr>
          <w:p w14:paraId="66EB5830"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w:t>
            </w:r>
          </w:p>
        </w:tc>
      </w:tr>
      <w:tr w:rsidR="00495C65" w:rsidRPr="00F25307" w14:paraId="0D432C58" w14:textId="77777777" w:rsidTr="00F25307">
        <w:trPr>
          <w:trHeight w:val="444"/>
          <w:jc w:val="center"/>
        </w:trPr>
        <w:tc>
          <w:tcPr>
            <w:tcW w:w="1001" w:type="pct"/>
            <w:vMerge/>
            <w:tcBorders>
              <w:top w:val="nil"/>
            </w:tcBorders>
            <w:vAlign w:val="center"/>
          </w:tcPr>
          <w:p w14:paraId="23D274AC"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5BD2A6A7"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使用及维护状况</w:t>
            </w:r>
          </w:p>
        </w:tc>
        <w:tc>
          <w:tcPr>
            <w:tcW w:w="2998" w:type="pct"/>
            <w:vAlign w:val="center"/>
          </w:tcPr>
          <w:p w14:paraId="3B50290A"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w:t>
            </w:r>
          </w:p>
        </w:tc>
      </w:tr>
      <w:tr w:rsidR="00495C65" w:rsidRPr="00F25307" w14:paraId="21F16730" w14:textId="77777777" w:rsidTr="00F25307">
        <w:trPr>
          <w:trHeight w:val="443"/>
          <w:jc w:val="center"/>
        </w:trPr>
        <w:tc>
          <w:tcPr>
            <w:tcW w:w="1001" w:type="pct"/>
            <w:vMerge/>
            <w:tcBorders>
              <w:top w:val="nil"/>
            </w:tcBorders>
            <w:vAlign w:val="center"/>
          </w:tcPr>
          <w:p w14:paraId="6508D8EC" w14:textId="77777777" w:rsidR="00495C65" w:rsidRPr="00F25307" w:rsidRDefault="00495C65" w:rsidP="00F25307">
            <w:pPr>
              <w:pStyle w:val="13"/>
              <w:spacing w:line="240" w:lineRule="auto"/>
              <w:ind w:firstLineChars="0" w:firstLine="0"/>
              <w:jc w:val="center"/>
              <w:rPr>
                <w:sz w:val="21"/>
                <w:szCs w:val="21"/>
              </w:rPr>
            </w:pPr>
          </w:p>
        </w:tc>
        <w:tc>
          <w:tcPr>
            <w:tcW w:w="1001" w:type="pct"/>
            <w:vAlign w:val="center"/>
          </w:tcPr>
          <w:p w14:paraId="1F76D557" w14:textId="77777777" w:rsidR="00495C65" w:rsidRPr="00F25307" w:rsidRDefault="00495C65" w:rsidP="00F25307">
            <w:pPr>
              <w:pStyle w:val="13"/>
              <w:spacing w:line="240" w:lineRule="auto"/>
              <w:ind w:firstLineChars="0" w:firstLine="0"/>
              <w:jc w:val="center"/>
              <w:rPr>
                <w:sz w:val="21"/>
                <w:szCs w:val="21"/>
              </w:rPr>
            </w:pPr>
            <w:proofErr w:type="gramStart"/>
            <w:r w:rsidRPr="00F25307">
              <w:rPr>
                <w:sz w:val="21"/>
                <w:szCs w:val="21"/>
              </w:rPr>
              <w:t>完损状况</w:t>
            </w:r>
            <w:proofErr w:type="gramEnd"/>
          </w:p>
        </w:tc>
        <w:tc>
          <w:tcPr>
            <w:tcW w:w="2998" w:type="pct"/>
            <w:vAlign w:val="center"/>
          </w:tcPr>
          <w:p w14:paraId="2CE32AE5"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现场</w:t>
            </w:r>
          </w:p>
        </w:tc>
      </w:tr>
    </w:tbl>
    <w:p w14:paraId="451067AA" w14:textId="77777777" w:rsidR="00495C65" w:rsidRDefault="00495C65" w:rsidP="00495C65">
      <w:pPr>
        <w:pStyle w:val="13"/>
      </w:pPr>
      <w:r>
        <w:t>c）权益状况调整</w:t>
      </w:r>
    </w:p>
    <w:p w14:paraId="2165CCAF" w14:textId="77777777" w:rsidR="00495C65" w:rsidRDefault="00495C65" w:rsidP="00495C65">
      <w:pPr>
        <w:pStyle w:val="13"/>
      </w:pPr>
      <w:r>
        <w:rPr>
          <w:rFonts w:hint="eastAsia"/>
        </w:rPr>
        <w:t>权益状况根据规划条件（含容积率）、土地使用期限、共有情况、用益物</w:t>
      </w:r>
      <w:proofErr w:type="gramStart"/>
      <w:r>
        <w:rPr>
          <w:rFonts w:hint="eastAsia"/>
        </w:rPr>
        <w:t>权设立</w:t>
      </w:r>
      <w:proofErr w:type="gramEnd"/>
      <w:r>
        <w:rPr>
          <w:rFonts w:hint="eastAsia"/>
        </w:rPr>
        <w:t>情况、担保物</w:t>
      </w:r>
      <w:proofErr w:type="gramStart"/>
      <w:r>
        <w:rPr>
          <w:rFonts w:hint="eastAsia"/>
        </w:rPr>
        <w:t>权设立</w:t>
      </w:r>
      <w:proofErr w:type="gramEnd"/>
      <w:r>
        <w:rPr>
          <w:rFonts w:hint="eastAsia"/>
        </w:rPr>
        <w:t>情况、租赁或占用情况、拖欠税费情况、查封等形式限制权利情况、权属清晰情况等因素指标进行调整。</w:t>
      </w:r>
    </w:p>
    <w:p w14:paraId="596A2CF0" w14:textId="05290D01" w:rsidR="00495C65" w:rsidRDefault="00495C65" w:rsidP="00495C65">
      <w:pPr>
        <w:pStyle w:val="13"/>
      </w:pPr>
      <w:r>
        <w:t>7.1.5</w:t>
      </w:r>
      <w:r w:rsidR="00F25307">
        <w:t xml:space="preserve"> </w:t>
      </w:r>
      <w:r>
        <w:t>修正系数的确定</w:t>
      </w:r>
    </w:p>
    <w:p w14:paraId="594AEB72" w14:textId="77777777" w:rsidR="00495C65" w:rsidRDefault="00495C65" w:rsidP="00495C65">
      <w:pPr>
        <w:pStyle w:val="13"/>
      </w:pPr>
      <w:r>
        <w:rPr>
          <w:rFonts w:hint="eastAsia"/>
        </w:rPr>
        <w:t>“修正系数的确定”要求说清楚修正系数的确定过程，并把握好修正系数数值的合理性和修正幅度的合理性。</w:t>
      </w:r>
    </w:p>
    <w:p w14:paraId="2A3762B6" w14:textId="77777777" w:rsidR="00495C65" w:rsidRDefault="00495C65" w:rsidP="00495C65">
      <w:pPr>
        <w:pStyle w:val="13"/>
      </w:pPr>
      <w:r>
        <w:t>a</w:t>
      </w:r>
      <w:r w:rsidRPr="001B3C48">
        <w:t>）</w:t>
      </w:r>
      <w:r>
        <w:rPr>
          <w:rFonts w:hint="eastAsia"/>
        </w:rPr>
        <w:t>容积率修正</w:t>
      </w:r>
    </w:p>
    <w:p w14:paraId="29D2A1FB" w14:textId="77777777" w:rsidR="00495C65" w:rsidRDefault="00495C65" w:rsidP="00495C65">
      <w:pPr>
        <w:pStyle w:val="13"/>
      </w:pPr>
      <w:r>
        <w:rPr>
          <w:rFonts w:hint="eastAsia"/>
        </w:rPr>
        <w:t>已经开发完毕的工业房地产在比较法评估时原则上不需要进行容积率单独修正。如同期城镇基准地价修正体系另有规定，可参照修正体系成果将容积率代入其中进行测算修正。</w:t>
      </w:r>
    </w:p>
    <w:p w14:paraId="109CE710" w14:textId="77777777" w:rsidR="00495C65" w:rsidRDefault="00495C65" w:rsidP="00495C65">
      <w:pPr>
        <w:pStyle w:val="13"/>
      </w:pPr>
      <w:r>
        <w:rPr>
          <w:rFonts w:hint="eastAsia"/>
        </w:rPr>
        <w:t>b</w:t>
      </w:r>
      <w:r w:rsidRPr="002938F4">
        <w:t>）</w:t>
      </w:r>
      <w:r>
        <w:rPr>
          <w:rFonts w:hint="eastAsia"/>
        </w:rPr>
        <w:t>土地使用年期修正</w:t>
      </w:r>
    </w:p>
    <w:p w14:paraId="6E591239" w14:textId="77777777" w:rsidR="00495C65" w:rsidRPr="008531C1" w:rsidRDefault="00495C65" w:rsidP="00495C65">
      <w:pPr>
        <w:pStyle w:val="13"/>
      </w:pPr>
      <w:r>
        <w:rPr>
          <w:rFonts w:hint="eastAsia"/>
        </w:rPr>
        <w:t>土地使用年期修正是</w:t>
      </w:r>
      <w:proofErr w:type="gramStart"/>
      <w:r>
        <w:rPr>
          <w:rFonts w:hint="eastAsia"/>
        </w:rPr>
        <w:t>指待估宗地</w:t>
      </w:r>
      <w:proofErr w:type="gramEnd"/>
      <w:r>
        <w:rPr>
          <w:rFonts w:hint="eastAsia"/>
        </w:rPr>
        <w:t>年期修正指数与比较实例年期修正指数的比值。比较法中土地使用年期修正系数测算公式为：</w:t>
      </w:r>
    </w:p>
    <w:p w14:paraId="6A1D047F" w14:textId="77777777" w:rsidR="00495C65" w:rsidRPr="00852C46" w:rsidRDefault="00495C65" w:rsidP="00495C65">
      <w:pPr>
        <w:pStyle w:val="13"/>
        <w:ind w:firstLineChars="0" w:firstLine="0"/>
      </w:pPr>
      <m:oMathPara>
        <m:oMathParaPr>
          <m:jc m:val="center"/>
        </m:oMathParaPr>
        <m:oMath>
          <m:r>
            <w:rPr>
              <w:rFonts w:ascii="Cambria Math" w:hAnsi="Cambria Math"/>
            </w:rPr>
            <m:t>E=</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(1+r)</m:t>
                      </m:r>
                    </m:e>
                    <m:sup>
                      <m:r>
                        <w:rPr>
                          <w:rFonts w:ascii="Cambria Math" w:hAnsi="Cambria Math"/>
                        </w:rPr>
                        <m:t>m</m:t>
                      </m:r>
                    </m:sup>
                  </m:sSup>
                </m:den>
              </m:f>
            </m:e>
          </m:d>
          <m:r>
            <w:rPr>
              <w:rFonts w:ascii="Cambria Math" w:hAnsi="Cambria Math"/>
            </w:rPr>
            <m:t>/</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(1+r)</m:t>
                      </m:r>
                    </m:e>
                    <m:sup>
                      <m:r>
                        <w:rPr>
                          <w:rFonts w:ascii="Cambria Math" w:hAnsi="Cambria Math"/>
                        </w:rPr>
                        <m:t>n</m:t>
                      </m:r>
                    </m:sup>
                  </m:sSup>
                </m:den>
              </m:f>
            </m:e>
          </m:d>
        </m:oMath>
      </m:oMathPara>
    </w:p>
    <w:p w14:paraId="76427CA3" w14:textId="77777777" w:rsidR="00495C65" w:rsidRDefault="00495C65" w:rsidP="00495C65">
      <w:pPr>
        <w:pStyle w:val="13"/>
        <w:ind w:firstLineChars="400" w:firstLine="960"/>
      </w:pPr>
      <w:r>
        <w:rPr>
          <w:rFonts w:hint="eastAsia"/>
        </w:rPr>
        <w:t>式中：</w:t>
      </w:r>
    </w:p>
    <w:p w14:paraId="6FB466C2" w14:textId="77777777" w:rsidR="00495C65" w:rsidRDefault="00495C65" w:rsidP="00495C65">
      <w:pPr>
        <w:pStyle w:val="13"/>
        <w:ind w:firstLineChars="700" w:firstLine="1680"/>
      </w:pPr>
      <w:r>
        <w:t>E</w:t>
      </w:r>
      <w:r w:rsidRPr="004253BF">
        <w:rPr>
          <w:rFonts w:hint="eastAsia"/>
        </w:rPr>
        <w:t>——</w:t>
      </w:r>
      <w:r>
        <w:t>土地使用年期修正系数</w:t>
      </w:r>
    </w:p>
    <w:p w14:paraId="76D70FE4" w14:textId="77777777" w:rsidR="00495C65" w:rsidRDefault="00495C65" w:rsidP="00495C65">
      <w:pPr>
        <w:pStyle w:val="13"/>
        <w:ind w:firstLineChars="700" w:firstLine="1680"/>
      </w:pPr>
      <w:r>
        <w:t>r</w:t>
      </w:r>
      <w:r w:rsidRPr="004253BF">
        <w:rPr>
          <w:rFonts w:hint="eastAsia"/>
        </w:rPr>
        <w:t>——</w:t>
      </w:r>
      <w:r>
        <w:t>土地还原率</w:t>
      </w:r>
    </w:p>
    <w:p w14:paraId="3389A1EE" w14:textId="77777777" w:rsidR="00495C65" w:rsidRDefault="00495C65" w:rsidP="00495C65">
      <w:pPr>
        <w:pStyle w:val="13"/>
        <w:ind w:firstLineChars="700" w:firstLine="1680"/>
      </w:pPr>
      <w:r>
        <w:t>m</w:t>
      </w:r>
      <w:r w:rsidRPr="004253BF">
        <w:rPr>
          <w:rFonts w:hint="eastAsia"/>
        </w:rPr>
        <w:t>——</w:t>
      </w:r>
      <w:proofErr w:type="gramStart"/>
      <w:r>
        <w:t>待估地</w:t>
      </w:r>
      <w:proofErr w:type="gramEnd"/>
      <w:r>
        <w:t>的使用年期</w:t>
      </w:r>
    </w:p>
    <w:p w14:paraId="4215E3EE" w14:textId="77777777" w:rsidR="00495C65" w:rsidRDefault="00495C65" w:rsidP="00495C65">
      <w:pPr>
        <w:pStyle w:val="13"/>
        <w:ind w:firstLineChars="700" w:firstLine="1680"/>
      </w:pPr>
      <w:r>
        <w:t>n</w:t>
      </w:r>
      <w:r w:rsidRPr="004253BF">
        <w:rPr>
          <w:rFonts w:hint="eastAsia"/>
        </w:rPr>
        <w:t>——</w:t>
      </w:r>
      <w:r>
        <w:t>比较实例的使用年期</w:t>
      </w:r>
    </w:p>
    <w:p w14:paraId="5CD5EB57" w14:textId="77777777" w:rsidR="00495C65" w:rsidRDefault="00495C65" w:rsidP="00495C65">
      <w:pPr>
        <w:pStyle w:val="13"/>
      </w:pPr>
      <w:r>
        <w:rPr>
          <w:rFonts w:hint="eastAsia"/>
        </w:rPr>
        <w:t>土地还原率是土地修正的中间参数，比较法土地还原率取值主要有两种技术途</w:t>
      </w:r>
      <w:r>
        <w:rPr>
          <w:rFonts w:hint="eastAsia"/>
        </w:rPr>
        <w:lastRenderedPageBreak/>
        <w:t>径，</w:t>
      </w:r>
      <w:r>
        <w:t>一是查询同期城镇基准地价内涵设定的工业用地土地还原率，二是采用租售比法，风险调整值法、投资报酬率排序法确定。</w:t>
      </w:r>
    </w:p>
    <w:p w14:paraId="15B24632" w14:textId="77777777" w:rsidR="00495C65" w:rsidRDefault="00495C65" w:rsidP="00495C65">
      <w:pPr>
        <w:pStyle w:val="13"/>
      </w:pPr>
      <w:r>
        <w:t>c</w:t>
      </w:r>
      <w:r>
        <w:rPr>
          <w:rFonts w:hint="eastAsia"/>
        </w:rPr>
        <w:t>）市场状况调整</w:t>
      </w:r>
    </w:p>
    <w:p w14:paraId="733B9A9E" w14:textId="77777777" w:rsidR="00495C65" w:rsidRDefault="00495C65" w:rsidP="00495C65">
      <w:pPr>
        <w:pStyle w:val="13"/>
      </w:pPr>
      <w:r>
        <w:rPr>
          <w:rFonts w:hint="eastAsia"/>
        </w:rPr>
        <w:t>使可比实例在其成交日期的价格成为在价值时点的价格的处理。通常采用工业地价指数进行调整。</w:t>
      </w:r>
    </w:p>
    <w:p w14:paraId="50A790EA" w14:textId="77777777" w:rsidR="00495C65" w:rsidRDefault="00495C65" w:rsidP="00495C65">
      <w:pPr>
        <w:pStyle w:val="13"/>
      </w:pPr>
      <w:r>
        <w:t>7.1.6价格修正及调整</w:t>
      </w:r>
    </w:p>
    <w:p w14:paraId="476F420A" w14:textId="77777777" w:rsidR="00495C65" w:rsidRDefault="00495C65" w:rsidP="00495C65">
      <w:pPr>
        <w:pStyle w:val="13"/>
      </w:pPr>
      <w:r>
        <w:rPr>
          <w:rFonts w:hint="eastAsia"/>
        </w:rPr>
        <w:t>在建立价格可比的基础上，应对可比实例价格进行交易情况修正、市场状况调整、区位状况修正、实物状况修正、权益状况调整等五项。任何一项单项调整幅度不宜超过</w:t>
      </w:r>
      <w:r>
        <w:t>20%，综合调整调整幅度不宜超过30%。</w:t>
      </w:r>
    </w:p>
    <w:p w14:paraId="12455C17" w14:textId="77777777" w:rsidR="00495C65" w:rsidRDefault="00495C65" w:rsidP="00495C65">
      <w:pPr>
        <w:pStyle w:val="13"/>
      </w:pPr>
      <w:r>
        <w:rPr>
          <w:rFonts w:hint="eastAsia"/>
        </w:rPr>
        <w:t>经修正和调整后的各个可比实例价格中，</w:t>
      </w:r>
      <w:proofErr w:type="gramStart"/>
      <w:r>
        <w:rPr>
          <w:rFonts w:hint="eastAsia"/>
        </w:rPr>
        <w:t>最</w:t>
      </w:r>
      <w:proofErr w:type="gramEnd"/>
      <w:r>
        <w:rPr>
          <w:rFonts w:hint="eastAsia"/>
        </w:rPr>
        <w:t>高价与最低价的比值不宜大于</w:t>
      </w:r>
      <w:r>
        <w:t>1.2。</w:t>
      </w:r>
    </w:p>
    <w:p w14:paraId="09EAABC3" w14:textId="77777777" w:rsidR="00495C65" w:rsidRDefault="00495C65" w:rsidP="00495C65">
      <w:pPr>
        <w:pStyle w:val="13"/>
      </w:pPr>
      <w:r>
        <w:t>对修正和调整后的可比实例价格，应根据它们之间的差异程度，可比实例房地产</w:t>
      </w:r>
      <w:r>
        <w:rPr>
          <w:rFonts w:hint="eastAsia"/>
        </w:rPr>
        <w:t>与估价对象房地产的相似程度等，选用简单算数平均、加权算术平均等计算比较价值，测算出估价对象的价值。</w:t>
      </w:r>
    </w:p>
    <w:p w14:paraId="0ACBFD4F" w14:textId="12E49FF4" w:rsidR="00495C65" w:rsidRPr="00492C9A" w:rsidRDefault="00495C65" w:rsidP="00495C65">
      <w:pPr>
        <w:pStyle w:val="13"/>
        <w:ind w:firstLine="482"/>
        <w:rPr>
          <w:b/>
          <w:bCs/>
        </w:rPr>
      </w:pPr>
      <w:r w:rsidRPr="00492C9A">
        <w:rPr>
          <w:rFonts w:hint="eastAsia"/>
          <w:b/>
          <w:bCs/>
        </w:rPr>
        <w:t>7</w:t>
      </w:r>
      <w:r w:rsidRPr="00492C9A">
        <w:rPr>
          <w:b/>
          <w:bCs/>
        </w:rPr>
        <w:t>.2</w:t>
      </w:r>
      <w:r w:rsidR="00F25307">
        <w:rPr>
          <w:b/>
          <w:bCs/>
        </w:rPr>
        <w:t xml:space="preserve"> </w:t>
      </w:r>
      <w:r w:rsidRPr="00492C9A">
        <w:rPr>
          <w:rFonts w:hint="eastAsia"/>
          <w:b/>
          <w:bCs/>
        </w:rPr>
        <w:t>收益法</w:t>
      </w:r>
    </w:p>
    <w:p w14:paraId="4EC16C48" w14:textId="67D91D25" w:rsidR="00495C65" w:rsidRDefault="00495C65" w:rsidP="00495C65">
      <w:pPr>
        <w:pStyle w:val="13"/>
      </w:pPr>
      <w:r>
        <w:rPr>
          <w:rFonts w:hint="eastAsia"/>
        </w:rPr>
        <w:t>7</w:t>
      </w:r>
      <w:r>
        <w:t>.2.1</w:t>
      </w:r>
      <w:r w:rsidR="00F25307">
        <w:t xml:space="preserve"> </w:t>
      </w:r>
      <w:r>
        <w:rPr>
          <w:rFonts w:hint="eastAsia"/>
        </w:rPr>
        <w:t>收益法定义</w:t>
      </w:r>
    </w:p>
    <w:p w14:paraId="6D63E2EA" w14:textId="77777777" w:rsidR="00495C65" w:rsidRDefault="00495C65" w:rsidP="00495C65">
      <w:pPr>
        <w:pStyle w:val="13"/>
      </w:pPr>
      <w:r w:rsidRPr="00492C9A">
        <w:rPr>
          <w:rFonts w:hint="eastAsia"/>
        </w:rPr>
        <w:t>预测估价对象的未来收益，利用报酬率或资本化率、收益乘数将未来收益转换为价值得到估价对象价值或价格的方法。</w:t>
      </w:r>
    </w:p>
    <w:p w14:paraId="2C052644" w14:textId="0F3FF58D" w:rsidR="00495C65" w:rsidRDefault="00495C65" w:rsidP="00495C65">
      <w:pPr>
        <w:pStyle w:val="13"/>
      </w:pPr>
      <w:r>
        <w:rPr>
          <w:rFonts w:hint="eastAsia"/>
        </w:rPr>
        <w:t>7</w:t>
      </w:r>
      <w:r>
        <w:t>.2.2</w:t>
      </w:r>
      <w:r w:rsidR="00F25307">
        <w:t xml:space="preserve"> </w:t>
      </w:r>
      <w:r>
        <w:rPr>
          <w:rFonts w:hint="eastAsia"/>
        </w:rPr>
        <w:t>收益法适用范围</w:t>
      </w:r>
    </w:p>
    <w:p w14:paraId="5C99D0E6" w14:textId="77777777" w:rsidR="00495C65" w:rsidRDefault="00495C65" w:rsidP="00495C65">
      <w:pPr>
        <w:pStyle w:val="13"/>
      </w:pPr>
      <w:r>
        <w:rPr>
          <w:rFonts w:hint="eastAsia"/>
        </w:rPr>
        <w:t>收益法适用的工业房地产估价类型为生产型标准工业房地产和创新型工业房地产。</w:t>
      </w:r>
    </w:p>
    <w:p w14:paraId="13EFEB5D" w14:textId="23BBE549" w:rsidR="00495C65" w:rsidRDefault="00495C65" w:rsidP="00495C65">
      <w:pPr>
        <w:pStyle w:val="13"/>
      </w:pPr>
      <w:r w:rsidRPr="001D24F8">
        <w:t>7.2.</w:t>
      </w:r>
      <w:r>
        <w:t>3</w:t>
      </w:r>
      <w:r w:rsidR="00F25307">
        <w:t xml:space="preserve"> </w:t>
      </w:r>
      <w:r>
        <w:rPr>
          <w:rFonts w:hint="eastAsia"/>
        </w:rPr>
        <w:t>公式</w:t>
      </w:r>
    </w:p>
    <w:p w14:paraId="76250029" w14:textId="77777777" w:rsidR="00495C65" w:rsidRPr="00B56351" w:rsidRDefault="00495C65" w:rsidP="00495C65">
      <w:pPr>
        <w:pStyle w:val="13"/>
      </w:pPr>
      <w:r w:rsidRPr="001D24F8">
        <w:t>a）选用全剩余寿命模式进行估价时，收益价值应按下述公式计算</w:t>
      </w:r>
      <w:r>
        <w:rPr>
          <w:rFonts w:hint="eastAsia"/>
        </w:rPr>
        <w:t>：</w:t>
      </w:r>
    </w:p>
    <w:p w14:paraId="048419A3" w14:textId="77777777" w:rsidR="00495C65" w:rsidRPr="00E927AF" w:rsidRDefault="00495C65" w:rsidP="00495C65">
      <w:pPr>
        <w:pStyle w:val="13"/>
        <w:ind w:firstLine="560"/>
        <w:jc w:val="center"/>
        <w:rPr>
          <w:sz w:val="28"/>
          <w:szCs w:val="28"/>
        </w:rPr>
      </w:pPr>
      <m:oMathPara>
        <m:oMathParaPr>
          <m:jc m:val="center"/>
        </m:oMathParaPr>
        <m:oMath>
          <m:r>
            <w:rPr>
              <w:rFonts w:ascii="Cambria Math" w:hAnsi="Cambria Math"/>
              <w:sz w:val="28"/>
              <w:szCs w:val="28"/>
            </w:rPr>
            <m:t>V=</m:t>
          </m:r>
          <w:bookmarkStart w:id="172" w:name="_Hlk80125916"/>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num>
                <m:den>
                  <m:sSup>
                    <m:sSupPr>
                      <m:ctrlPr>
                        <w:rPr>
                          <w:rFonts w:ascii="Cambria Math" w:hAnsi="Cambria Math"/>
                          <w:i/>
                          <w:sz w:val="28"/>
                          <w:szCs w:val="28"/>
                        </w:rPr>
                      </m:ctrlPr>
                    </m:sSup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e>
                    <m:sup>
                      <m:r>
                        <w:rPr>
                          <w:rFonts w:ascii="Cambria Math" w:hAnsi="Cambria Math"/>
                          <w:sz w:val="28"/>
                          <w:szCs w:val="28"/>
                        </w:rPr>
                        <m:t>i</m:t>
                      </m:r>
                    </m:sup>
                  </m:sSup>
                </m:den>
              </m:f>
            </m:e>
          </m:nary>
        </m:oMath>
      </m:oMathPara>
      <w:bookmarkEnd w:id="172"/>
    </w:p>
    <w:p w14:paraId="5AD835B0" w14:textId="77777777" w:rsidR="00495C65" w:rsidRDefault="00495C65" w:rsidP="00495C65">
      <w:pPr>
        <w:pStyle w:val="13"/>
        <w:ind w:firstLineChars="400" w:firstLine="960"/>
      </w:pPr>
      <w:r>
        <w:rPr>
          <w:rFonts w:hint="eastAsia"/>
        </w:rPr>
        <w:t>式中：</w:t>
      </w:r>
    </w:p>
    <w:p w14:paraId="339098F9" w14:textId="77777777" w:rsidR="00495C65" w:rsidRDefault="00495C65" w:rsidP="00495C65">
      <w:pPr>
        <w:pStyle w:val="13"/>
        <w:ind w:firstLineChars="700" w:firstLine="1680"/>
      </w:pPr>
      <w:r>
        <w:t>V——收益价值（元，元/平方米）</w:t>
      </w:r>
    </w:p>
    <w:p w14:paraId="4D4961D9" w14:textId="77777777" w:rsidR="00495C65" w:rsidRDefault="00495C65" w:rsidP="00495C65">
      <w:pPr>
        <w:pStyle w:val="13"/>
        <w:ind w:firstLineChars="700" w:firstLine="1680"/>
      </w:pPr>
      <w:r>
        <w:t>Ai——未来第</w:t>
      </w:r>
      <w:proofErr w:type="spellStart"/>
      <w:r>
        <w:t>i</w:t>
      </w:r>
      <w:proofErr w:type="spellEnd"/>
      <w:r>
        <w:t>年的净收益（元，元/平方米）</w:t>
      </w:r>
    </w:p>
    <w:p w14:paraId="133B900F" w14:textId="77777777" w:rsidR="00495C65" w:rsidRDefault="00495C65" w:rsidP="00495C65">
      <w:pPr>
        <w:pStyle w:val="13"/>
        <w:ind w:firstLineChars="700" w:firstLine="1680"/>
      </w:pPr>
      <w:r>
        <w:t>Yi——未来第</w:t>
      </w:r>
      <w:proofErr w:type="spellStart"/>
      <w:r>
        <w:t>i</w:t>
      </w:r>
      <w:proofErr w:type="spellEnd"/>
      <w:r>
        <w:t>年的报酬率（%）</w:t>
      </w:r>
    </w:p>
    <w:p w14:paraId="6F125B33" w14:textId="77777777" w:rsidR="00495C65" w:rsidRDefault="00495C65" w:rsidP="00495C65">
      <w:pPr>
        <w:pStyle w:val="13"/>
        <w:ind w:firstLineChars="700" w:firstLine="1680"/>
      </w:pPr>
      <w:r>
        <w:t>N——收益期（年）</w:t>
      </w:r>
    </w:p>
    <w:p w14:paraId="2E41A5DF" w14:textId="77777777" w:rsidR="00495C65" w:rsidRPr="00A600CC" w:rsidRDefault="00495C65" w:rsidP="00495C65">
      <w:pPr>
        <w:pStyle w:val="13"/>
      </w:pPr>
      <w:r w:rsidRPr="00344C37">
        <w:t>b）选用持有加转售模式进行估价时，收益价值应按下述公式计算：</w:t>
      </w:r>
    </w:p>
    <w:p w14:paraId="278516AF" w14:textId="77777777" w:rsidR="00495C65" w:rsidRPr="008A6F62" w:rsidRDefault="00495C65" w:rsidP="00495C65">
      <w:pPr>
        <w:pStyle w:val="13"/>
        <w:ind w:firstLine="560"/>
        <w:rPr>
          <w:sz w:val="28"/>
          <w:szCs w:val="28"/>
        </w:rPr>
      </w:pPr>
      <m:oMathPara>
        <m:oMathParaPr>
          <m:jc m:val="center"/>
        </m:oMathParaPr>
        <m:oMath>
          <m:r>
            <w:rPr>
              <w:rFonts w:ascii="Cambria Math" w:hAnsi="Cambria Math"/>
              <w:sz w:val="28"/>
              <w:szCs w:val="28"/>
            </w:rPr>
            <m:t>V=</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t</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num>
                <m:den>
                  <m:sSup>
                    <m:sSupPr>
                      <m:ctrlPr>
                        <w:rPr>
                          <w:rFonts w:ascii="Cambria Math" w:hAnsi="Cambria Math"/>
                          <w:i/>
                          <w:sz w:val="28"/>
                          <w:szCs w:val="28"/>
                        </w:rPr>
                      </m:ctrlPr>
                    </m:sSup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e>
                    <m:sup>
                      <m:r>
                        <w:rPr>
                          <w:rFonts w:ascii="Cambria Math" w:hAnsi="Cambria Math"/>
                          <w:sz w:val="28"/>
                          <w:szCs w:val="28"/>
                        </w:rPr>
                        <m:t>i</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num>
                <m:den>
                  <m:sSup>
                    <m:sSupPr>
                      <m:ctrlPr>
                        <w:rPr>
                          <w:rFonts w:ascii="Cambria Math" w:hAnsi="Cambria Math"/>
                          <w:i/>
                          <w:sz w:val="28"/>
                          <w:szCs w:val="28"/>
                        </w:rPr>
                      </m:ctrlPr>
                    </m:sSup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t</m:t>
                          </m:r>
                        </m:sub>
                      </m:sSub>
                      <m:r>
                        <w:rPr>
                          <w:rFonts w:ascii="Cambria Math" w:hAnsi="Cambria Math"/>
                          <w:sz w:val="28"/>
                          <w:szCs w:val="28"/>
                        </w:rPr>
                        <m:t>)</m:t>
                      </m:r>
                    </m:e>
                    <m:sup>
                      <m:r>
                        <w:rPr>
                          <w:rFonts w:ascii="Cambria Math" w:hAnsi="Cambria Math"/>
                          <w:sz w:val="28"/>
                          <w:szCs w:val="28"/>
                        </w:rPr>
                        <m:t>t</m:t>
                      </m:r>
                    </m:sup>
                  </m:sSup>
                </m:den>
              </m:f>
            </m:e>
          </m:nary>
        </m:oMath>
      </m:oMathPara>
    </w:p>
    <w:p w14:paraId="37C3F3AB" w14:textId="77777777" w:rsidR="00495C65" w:rsidRDefault="00495C65" w:rsidP="00495C65">
      <w:pPr>
        <w:pStyle w:val="13"/>
        <w:ind w:firstLineChars="400" w:firstLine="960"/>
      </w:pPr>
      <w:r>
        <w:rPr>
          <w:rFonts w:hint="eastAsia"/>
        </w:rPr>
        <w:t>式中：</w:t>
      </w:r>
    </w:p>
    <w:p w14:paraId="7367B485" w14:textId="77777777" w:rsidR="00495C65" w:rsidRDefault="00495C65" w:rsidP="00495C65">
      <w:pPr>
        <w:pStyle w:val="13"/>
        <w:ind w:firstLineChars="700" w:firstLine="1680"/>
      </w:pPr>
      <w:r>
        <w:lastRenderedPageBreak/>
        <w:t>V——收益价值（元，元/平方米）</w:t>
      </w:r>
    </w:p>
    <w:p w14:paraId="6C854481" w14:textId="77777777" w:rsidR="00495C65" w:rsidRDefault="00495C65" w:rsidP="00495C65">
      <w:pPr>
        <w:pStyle w:val="13"/>
        <w:ind w:firstLineChars="700" w:firstLine="1680"/>
      </w:pPr>
      <w:r>
        <w:t>Ai——期间收益（元，元/平方米）</w:t>
      </w:r>
    </w:p>
    <w:p w14:paraId="4FA2022C" w14:textId="77777777" w:rsidR="00495C65" w:rsidRDefault="00495C65" w:rsidP="00495C65">
      <w:pPr>
        <w:pStyle w:val="13"/>
        <w:ind w:firstLineChars="700" w:firstLine="1680"/>
      </w:pPr>
      <w:r>
        <w:t>Vt——期末转售收益（元，元/平方米）</w:t>
      </w:r>
    </w:p>
    <w:p w14:paraId="153A2ED3" w14:textId="77777777" w:rsidR="00495C65" w:rsidRDefault="00495C65" w:rsidP="00495C65">
      <w:pPr>
        <w:pStyle w:val="13"/>
        <w:ind w:firstLineChars="700" w:firstLine="1680"/>
      </w:pPr>
      <w:r>
        <w:t>Yi——未来第</w:t>
      </w:r>
      <w:proofErr w:type="spellStart"/>
      <w:r>
        <w:t>i</w:t>
      </w:r>
      <w:proofErr w:type="spellEnd"/>
      <w:r>
        <w:t>年的报酬率（%）</w:t>
      </w:r>
    </w:p>
    <w:p w14:paraId="74230A26" w14:textId="77777777" w:rsidR="00495C65" w:rsidRDefault="00495C65" w:rsidP="00495C65">
      <w:pPr>
        <w:pStyle w:val="13"/>
        <w:ind w:firstLineChars="700" w:firstLine="1680"/>
      </w:pPr>
      <w:proofErr w:type="spellStart"/>
      <w:r>
        <w:t>Yt</w:t>
      </w:r>
      <w:proofErr w:type="spellEnd"/>
      <w:r>
        <w:t>——期末报酬率（%）</w:t>
      </w:r>
    </w:p>
    <w:p w14:paraId="7F49482A" w14:textId="77777777" w:rsidR="00495C65" w:rsidRDefault="00495C65" w:rsidP="00495C65">
      <w:pPr>
        <w:pStyle w:val="13"/>
        <w:ind w:firstLineChars="700" w:firstLine="1680"/>
      </w:pPr>
      <w:r>
        <w:t>N——收益期（年）</w:t>
      </w:r>
    </w:p>
    <w:p w14:paraId="396276E8" w14:textId="47284977" w:rsidR="00495C65" w:rsidRDefault="00495C65" w:rsidP="00495C65">
      <w:pPr>
        <w:pStyle w:val="13"/>
      </w:pPr>
      <w:r>
        <w:t>7.2.4</w:t>
      </w:r>
      <w:r w:rsidR="00F25307">
        <w:t xml:space="preserve"> </w:t>
      </w:r>
      <w:r>
        <w:t>工业房地产收益法参数取值</w:t>
      </w:r>
    </w:p>
    <w:p w14:paraId="117881AB" w14:textId="77777777" w:rsidR="00495C65" w:rsidRPr="00344C37" w:rsidRDefault="00495C65" w:rsidP="00495C65">
      <w:pPr>
        <w:pStyle w:val="13"/>
        <w:jc w:val="center"/>
      </w:pPr>
      <w:r>
        <w:rPr>
          <w:rFonts w:hint="eastAsia"/>
        </w:rPr>
        <w:t>收益法参数取值表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1135"/>
        <w:gridCol w:w="2965"/>
        <w:gridCol w:w="3621"/>
      </w:tblGrid>
      <w:tr w:rsidR="00495C65" w:rsidRPr="00F25307" w14:paraId="43805E50" w14:textId="77777777" w:rsidTr="00226138">
        <w:trPr>
          <w:trHeight w:val="416"/>
          <w:tblHeader/>
          <w:jc w:val="center"/>
        </w:trPr>
        <w:tc>
          <w:tcPr>
            <w:tcW w:w="1224" w:type="pct"/>
            <w:gridSpan w:val="2"/>
            <w:vAlign w:val="center"/>
          </w:tcPr>
          <w:p w14:paraId="5713395D" w14:textId="77777777" w:rsidR="00495C65" w:rsidRPr="00F25307" w:rsidRDefault="00495C65" w:rsidP="00F25307">
            <w:pPr>
              <w:pStyle w:val="13"/>
              <w:spacing w:line="240" w:lineRule="auto"/>
              <w:ind w:firstLineChars="0" w:firstLine="0"/>
              <w:jc w:val="center"/>
              <w:rPr>
                <w:b/>
                <w:bCs/>
                <w:sz w:val="21"/>
                <w:szCs w:val="21"/>
              </w:rPr>
            </w:pPr>
            <w:bookmarkStart w:id="173" w:name="_Hlk80127475"/>
            <w:r w:rsidRPr="00F25307">
              <w:rPr>
                <w:b/>
                <w:bCs/>
                <w:sz w:val="21"/>
                <w:szCs w:val="21"/>
              </w:rPr>
              <w:t>项目</w:t>
            </w:r>
          </w:p>
        </w:tc>
        <w:tc>
          <w:tcPr>
            <w:tcW w:w="1700" w:type="pct"/>
            <w:vAlign w:val="center"/>
          </w:tcPr>
          <w:p w14:paraId="178C8020"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构成</w:t>
            </w:r>
          </w:p>
        </w:tc>
        <w:tc>
          <w:tcPr>
            <w:tcW w:w="2076" w:type="pct"/>
            <w:vAlign w:val="center"/>
          </w:tcPr>
          <w:p w14:paraId="041C0F37"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参数取值（建议）</w:t>
            </w:r>
          </w:p>
        </w:tc>
      </w:tr>
      <w:tr w:rsidR="00495C65" w:rsidRPr="00F25307" w14:paraId="062C68F7" w14:textId="77777777" w:rsidTr="00226138">
        <w:trPr>
          <w:trHeight w:val="1630"/>
          <w:jc w:val="center"/>
        </w:trPr>
        <w:tc>
          <w:tcPr>
            <w:tcW w:w="1224" w:type="pct"/>
            <w:gridSpan w:val="2"/>
            <w:vAlign w:val="center"/>
          </w:tcPr>
          <w:p w14:paraId="2EAEF8C8"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房地产年总收益</w:t>
            </w:r>
          </w:p>
        </w:tc>
        <w:tc>
          <w:tcPr>
            <w:tcW w:w="1700" w:type="pct"/>
            <w:vAlign w:val="center"/>
          </w:tcPr>
          <w:p w14:paraId="098AE2B5"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年租金×（1-租金损失率）+押金（担保金）利息</w:t>
            </w:r>
          </w:p>
        </w:tc>
        <w:tc>
          <w:tcPr>
            <w:tcW w:w="2076" w:type="pct"/>
            <w:vAlign w:val="center"/>
          </w:tcPr>
          <w:p w14:paraId="3027E942" w14:textId="77777777" w:rsidR="00495C65" w:rsidRPr="00F25307" w:rsidRDefault="00495C65" w:rsidP="00F25307">
            <w:pPr>
              <w:pStyle w:val="13"/>
              <w:spacing w:line="240" w:lineRule="auto"/>
              <w:ind w:firstLineChars="0" w:firstLine="0"/>
              <w:rPr>
                <w:sz w:val="21"/>
                <w:szCs w:val="21"/>
              </w:rPr>
            </w:pPr>
            <w:r w:rsidRPr="00F25307">
              <w:rPr>
                <w:sz w:val="21"/>
                <w:szCs w:val="21"/>
              </w:rPr>
              <w:t>采用比较法确定租金水平时比较实例不应少于3个；有租约限制的原则上采用租约租金，合同租金明显高于或低于市场租金的应调查租赁合同的真实性，分析解除合同的可能性及其对收益价值的影响。</w:t>
            </w:r>
          </w:p>
        </w:tc>
      </w:tr>
      <w:bookmarkEnd w:id="173"/>
      <w:tr w:rsidR="00495C65" w:rsidRPr="00F25307" w14:paraId="071AC4DE" w14:textId="77777777" w:rsidTr="00226138">
        <w:trPr>
          <w:trHeight w:val="326"/>
          <w:jc w:val="center"/>
        </w:trPr>
        <w:tc>
          <w:tcPr>
            <w:tcW w:w="573" w:type="pct"/>
            <w:vMerge w:val="restart"/>
            <w:vAlign w:val="center"/>
          </w:tcPr>
          <w:p w14:paraId="70C372FE"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房地产年总费用</w:t>
            </w:r>
          </w:p>
        </w:tc>
        <w:tc>
          <w:tcPr>
            <w:tcW w:w="651" w:type="pct"/>
            <w:vAlign w:val="center"/>
          </w:tcPr>
          <w:p w14:paraId="151F5B02"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年管理费</w:t>
            </w:r>
          </w:p>
        </w:tc>
        <w:tc>
          <w:tcPr>
            <w:tcW w:w="1700" w:type="pct"/>
            <w:vAlign w:val="center"/>
          </w:tcPr>
          <w:p w14:paraId="6EF32262" w14:textId="77777777" w:rsidR="00495C65" w:rsidRPr="00F25307" w:rsidRDefault="00495C65" w:rsidP="00F25307">
            <w:pPr>
              <w:pStyle w:val="13"/>
              <w:spacing w:line="240" w:lineRule="auto"/>
              <w:ind w:firstLineChars="0" w:firstLine="0"/>
              <w:jc w:val="center"/>
              <w:rPr>
                <w:sz w:val="21"/>
                <w:szCs w:val="21"/>
              </w:rPr>
            </w:pPr>
            <w:proofErr w:type="gramStart"/>
            <w:r w:rsidRPr="00F25307">
              <w:rPr>
                <w:sz w:val="21"/>
                <w:szCs w:val="21"/>
              </w:rPr>
              <w:t>年客观</w:t>
            </w:r>
            <w:proofErr w:type="gramEnd"/>
            <w:r w:rsidRPr="00F25307">
              <w:rPr>
                <w:sz w:val="21"/>
                <w:szCs w:val="21"/>
              </w:rPr>
              <w:t>租金收入×管理费率</w:t>
            </w:r>
          </w:p>
        </w:tc>
        <w:tc>
          <w:tcPr>
            <w:tcW w:w="2076" w:type="pct"/>
            <w:vAlign w:val="center"/>
          </w:tcPr>
          <w:p w14:paraId="007AEE76" w14:textId="77777777" w:rsidR="00495C65" w:rsidRPr="00F25307" w:rsidRDefault="00495C65" w:rsidP="00F25307">
            <w:pPr>
              <w:pStyle w:val="13"/>
              <w:spacing w:line="240" w:lineRule="auto"/>
              <w:ind w:firstLineChars="0" w:firstLine="0"/>
              <w:rPr>
                <w:sz w:val="21"/>
                <w:szCs w:val="21"/>
              </w:rPr>
            </w:pPr>
            <w:r w:rsidRPr="00F25307">
              <w:rPr>
                <w:sz w:val="21"/>
                <w:szCs w:val="21"/>
              </w:rPr>
              <w:t>2%-4%</w:t>
            </w:r>
          </w:p>
        </w:tc>
      </w:tr>
      <w:tr w:rsidR="00495C65" w:rsidRPr="00F25307" w14:paraId="3E4B91FD" w14:textId="77777777" w:rsidTr="00226138">
        <w:trPr>
          <w:trHeight w:val="652"/>
          <w:jc w:val="center"/>
        </w:trPr>
        <w:tc>
          <w:tcPr>
            <w:tcW w:w="573" w:type="pct"/>
            <w:vMerge/>
            <w:vAlign w:val="center"/>
          </w:tcPr>
          <w:p w14:paraId="28FF1B45" w14:textId="77777777" w:rsidR="00495C65" w:rsidRPr="00F25307" w:rsidRDefault="00495C65" w:rsidP="00F25307">
            <w:pPr>
              <w:pStyle w:val="13"/>
              <w:spacing w:line="240" w:lineRule="auto"/>
              <w:ind w:firstLineChars="0" w:firstLine="0"/>
              <w:jc w:val="center"/>
              <w:rPr>
                <w:sz w:val="21"/>
                <w:szCs w:val="21"/>
              </w:rPr>
            </w:pPr>
          </w:p>
        </w:tc>
        <w:tc>
          <w:tcPr>
            <w:tcW w:w="651" w:type="pct"/>
            <w:vAlign w:val="center"/>
          </w:tcPr>
          <w:p w14:paraId="5DC5E1E5"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年维修费</w:t>
            </w:r>
          </w:p>
        </w:tc>
        <w:tc>
          <w:tcPr>
            <w:tcW w:w="1700" w:type="pct"/>
            <w:vAlign w:val="center"/>
          </w:tcPr>
          <w:p w14:paraId="0B77FCC0"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房屋重置价×年维修费率</w:t>
            </w:r>
          </w:p>
        </w:tc>
        <w:tc>
          <w:tcPr>
            <w:tcW w:w="2076" w:type="pct"/>
            <w:vAlign w:val="center"/>
          </w:tcPr>
          <w:p w14:paraId="152818C9" w14:textId="77777777" w:rsidR="00495C65" w:rsidRPr="00F25307" w:rsidRDefault="00495C65" w:rsidP="00F25307">
            <w:pPr>
              <w:pStyle w:val="13"/>
              <w:spacing w:line="240" w:lineRule="auto"/>
              <w:ind w:firstLineChars="0" w:firstLine="0"/>
              <w:rPr>
                <w:sz w:val="21"/>
                <w:szCs w:val="21"/>
              </w:rPr>
            </w:pPr>
            <w:r w:rsidRPr="00F25307">
              <w:rPr>
                <w:sz w:val="21"/>
                <w:szCs w:val="21"/>
              </w:rPr>
              <w:t>1.5%-2.5%，重置价参考估价对象所在地区的房屋重置价标准</w:t>
            </w:r>
          </w:p>
        </w:tc>
      </w:tr>
      <w:tr w:rsidR="00495C65" w:rsidRPr="00F25307" w14:paraId="611D1E5F" w14:textId="77777777" w:rsidTr="00226138">
        <w:trPr>
          <w:trHeight w:val="652"/>
          <w:jc w:val="center"/>
        </w:trPr>
        <w:tc>
          <w:tcPr>
            <w:tcW w:w="573" w:type="pct"/>
            <w:vMerge/>
            <w:vAlign w:val="center"/>
          </w:tcPr>
          <w:p w14:paraId="742C6EE0" w14:textId="77777777" w:rsidR="00495C65" w:rsidRPr="00F25307" w:rsidRDefault="00495C65" w:rsidP="00F25307">
            <w:pPr>
              <w:pStyle w:val="13"/>
              <w:spacing w:line="240" w:lineRule="auto"/>
              <w:ind w:firstLineChars="0" w:firstLine="0"/>
              <w:jc w:val="center"/>
              <w:rPr>
                <w:sz w:val="21"/>
                <w:szCs w:val="21"/>
              </w:rPr>
            </w:pPr>
          </w:p>
        </w:tc>
        <w:tc>
          <w:tcPr>
            <w:tcW w:w="651" w:type="pct"/>
            <w:vAlign w:val="center"/>
          </w:tcPr>
          <w:p w14:paraId="67A66AA7"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年保险费</w:t>
            </w:r>
          </w:p>
        </w:tc>
        <w:tc>
          <w:tcPr>
            <w:tcW w:w="1700" w:type="pct"/>
            <w:vAlign w:val="center"/>
          </w:tcPr>
          <w:p w14:paraId="76567C6E"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房屋重置价×保险费率</w:t>
            </w:r>
          </w:p>
        </w:tc>
        <w:tc>
          <w:tcPr>
            <w:tcW w:w="2076" w:type="pct"/>
            <w:vAlign w:val="center"/>
          </w:tcPr>
          <w:p w14:paraId="6EF07A26" w14:textId="77777777" w:rsidR="00495C65" w:rsidRPr="00F25307" w:rsidRDefault="00495C65" w:rsidP="00F25307">
            <w:pPr>
              <w:pStyle w:val="13"/>
              <w:spacing w:line="240" w:lineRule="auto"/>
              <w:ind w:firstLineChars="0" w:firstLine="0"/>
              <w:rPr>
                <w:sz w:val="21"/>
                <w:szCs w:val="21"/>
              </w:rPr>
            </w:pPr>
            <w:r w:rsidRPr="00F25307">
              <w:rPr>
                <w:sz w:val="21"/>
                <w:szCs w:val="21"/>
              </w:rPr>
              <w:t>0.15%-0.25%，重置价参考估价对象所在区</w:t>
            </w:r>
          </w:p>
          <w:p w14:paraId="1A8AFD1E" w14:textId="77777777" w:rsidR="00495C65" w:rsidRPr="00F25307" w:rsidRDefault="00495C65" w:rsidP="00F25307">
            <w:pPr>
              <w:pStyle w:val="13"/>
              <w:spacing w:line="240" w:lineRule="auto"/>
              <w:ind w:firstLineChars="0" w:firstLine="0"/>
              <w:rPr>
                <w:sz w:val="21"/>
                <w:szCs w:val="21"/>
              </w:rPr>
            </w:pPr>
            <w:r w:rsidRPr="00F25307">
              <w:rPr>
                <w:sz w:val="21"/>
                <w:szCs w:val="21"/>
              </w:rPr>
              <w:t>域的房屋重置价标准</w:t>
            </w:r>
          </w:p>
        </w:tc>
      </w:tr>
      <w:tr w:rsidR="00495C65" w:rsidRPr="00F25307" w14:paraId="70A34122" w14:textId="77777777" w:rsidTr="00226138">
        <w:trPr>
          <w:trHeight w:val="651"/>
          <w:jc w:val="center"/>
        </w:trPr>
        <w:tc>
          <w:tcPr>
            <w:tcW w:w="573" w:type="pct"/>
            <w:vMerge/>
            <w:vAlign w:val="center"/>
          </w:tcPr>
          <w:p w14:paraId="3522FE60" w14:textId="77777777" w:rsidR="00495C65" w:rsidRPr="00F25307" w:rsidRDefault="00495C65" w:rsidP="00F25307">
            <w:pPr>
              <w:pStyle w:val="13"/>
              <w:spacing w:line="240" w:lineRule="auto"/>
              <w:ind w:firstLineChars="0" w:firstLine="0"/>
              <w:jc w:val="center"/>
              <w:rPr>
                <w:sz w:val="21"/>
                <w:szCs w:val="21"/>
              </w:rPr>
            </w:pPr>
          </w:p>
        </w:tc>
        <w:tc>
          <w:tcPr>
            <w:tcW w:w="651" w:type="pct"/>
            <w:vMerge w:val="restart"/>
            <w:vAlign w:val="center"/>
          </w:tcPr>
          <w:p w14:paraId="1A8576E1"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年税金</w:t>
            </w:r>
          </w:p>
        </w:tc>
        <w:tc>
          <w:tcPr>
            <w:tcW w:w="1700" w:type="pct"/>
            <w:vAlign w:val="center"/>
          </w:tcPr>
          <w:p w14:paraId="0D2E4C97"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房产税</w:t>
            </w:r>
          </w:p>
        </w:tc>
        <w:tc>
          <w:tcPr>
            <w:tcW w:w="2076" w:type="pct"/>
            <w:vAlign w:val="center"/>
          </w:tcPr>
          <w:p w14:paraId="443CEED5" w14:textId="77777777" w:rsidR="00495C65" w:rsidRPr="00F25307" w:rsidRDefault="00495C65" w:rsidP="00F25307">
            <w:pPr>
              <w:pStyle w:val="13"/>
              <w:spacing w:line="240" w:lineRule="auto"/>
              <w:ind w:firstLineChars="0" w:firstLine="0"/>
              <w:rPr>
                <w:sz w:val="21"/>
                <w:szCs w:val="21"/>
              </w:rPr>
            </w:pPr>
            <w:r w:rsidRPr="00F25307">
              <w:rPr>
                <w:sz w:val="21"/>
                <w:szCs w:val="21"/>
              </w:rPr>
              <w:t>房产原值×70%×1.2%或不含增值税租金收益×12%</w:t>
            </w:r>
          </w:p>
        </w:tc>
      </w:tr>
      <w:tr w:rsidR="00495C65" w:rsidRPr="00F25307" w14:paraId="56E1DDA9" w14:textId="77777777" w:rsidTr="00226138">
        <w:trPr>
          <w:trHeight w:val="325"/>
          <w:jc w:val="center"/>
        </w:trPr>
        <w:tc>
          <w:tcPr>
            <w:tcW w:w="573" w:type="pct"/>
            <w:vMerge/>
            <w:vAlign w:val="center"/>
          </w:tcPr>
          <w:p w14:paraId="4206BACD" w14:textId="77777777" w:rsidR="00495C65" w:rsidRPr="00F25307" w:rsidRDefault="00495C65" w:rsidP="00F25307">
            <w:pPr>
              <w:pStyle w:val="13"/>
              <w:spacing w:line="240" w:lineRule="auto"/>
              <w:ind w:firstLineChars="0" w:firstLine="0"/>
              <w:jc w:val="center"/>
              <w:rPr>
                <w:sz w:val="21"/>
                <w:szCs w:val="21"/>
              </w:rPr>
            </w:pPr>
          </w:p>
        </w:tc>
        <w:tc>
          <w:tcPr>
            <w:tcW w:w="651" w:type="pct"/>
            <w:vMerge/>
            <w:tcBorders>
              <w:top w:val="nil"/>
            </w:tcBorders>
            <w:vAlign w:val="center"/>
          </w:tcPr>
          <w:p w14:paraId="17391148" w14:textId="77777777" w:rsidR="00495C65" w:rsidRPr="00F25307" w:rsidRDefault="00495C65" w:rsidP="00F25307">
            <w:pPr>
              <w:pStyle w:val="13"/>
              <w:spacing w:line="240" w:lineRule="auto"/>
              <w:ind w:firstLineChars="0" w:firstLine="0"/>
              <w:jc w:val="center"/>
              <w:rPr>
                <w:sz w:val="21"/>
                <w:szCs w:val="21"/>
              </w:rPr>
            </w:pPr>
          </w:p>
        </w:tc>
        <w:tc>
          <w:tcPr>
            <w:tcW w:w="1700" w:type="pct"/>
            <w:vAlign w:val="center"/>
          </w:tcPr>
          <w:p w14:paraId="0358C396"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增值税</w:t>
            </w:r>
          </w:p>
        </w:tc>
        <w:tc>
          <w:tcPr>
            <w:tcW w:w="2076" w:type="pct"/>
            <w:vAlign w:val="center"/>
          </w:tcPr>
          <w:p w14:paraId="7F540F74" w14:textId="77777777" w:rsidR="00495C65" w:rsidRPr="00F25307" w:rsidRDefault="00495C65" w:rsidP="00F25307">
            <w:pPr>
              <w:pStyle w:val="13"/>
              <w:spacing w:line="240" w:lineRule="auto"/>
              <w:ind w:firstLineChars="0" w:firstLine="0"/>
              <w:rPr>
                <w:sz w:val="21"/>
                <w:szCs w:val="21"/>
              </w:rPr>
            </w:pPr>
            <w:r w:rsidRPr="00F25307">
              <w:rPr>
                <w:sz w:val="21"/>
                <w:szCs w:val="21"/>
              </w:rPr>
              <w:t>按国家相关规定执行</w:t>
            </w:r>
          </w:p>
        </w:tc>
      </w:tr>
      <w:tr w:rsidR="00495C65" w:rsidRPr="00F25307" w14:paraId="7086A8B2" w14:textId="77777777" w:rsidTr="00226138">
        <w:trPr>
          <w:trHeight w:val="1304"/>
          <w:jc w:val="center"/>
        </w:trPr>
        <w:tc>
          <w:tcPr>
            <w:tcW w:w="573" w:type="pct"/>
            <w:vMerge/>
            <w:vAlign w:val="center"/>
          </w:tcPr>
          <w:p w14:paraId="32017470" w14:textId="77777777" w:rsidR="00495C65" w:rsidRPr="00F25307" w:rsidRDefault="00495C65" w:rsidP="00F25307">
            <w:pPr>
              <w:pStyle w:val="13"/>
              <w:spacing w:line="240" w:lineRule="auto"/>
              <w:ind w:firstLineChars="0" w:firstLine="0"/>
              <w:jc w:val="center"/>
              <w:rPr>
                <w:sz w:val="21"/>
                <w:szCs w:val="21"/>
              </w:rPr>
            </w:pPr>
          </w:p>
        </w:tc>
        <w:tc>
          <w:tcPr>
            <w:tcW w:w="651" w:type="pct"/>
            <w:vMerge/>
            <w:tcBorders>
              <w:top w:val="nil"/>
            </w:tcBorders>
            <w:vAlign w:val="center"/>
          </w:tcPr>
          <w:p w14:paraId="7CDCB092" w14:textId="77777777" w:rsidR="00495C65" w:rsidRPr="00F25307" w:rsidRDefault="00495C65" w:rsidP="00F25307">
            <w:pPr>
              <w:pStyle w:val="13"/>
              <w:spacing w:line="240" w:lineRule="auto"/>
              <w:ind w:firstLineChars="0" w:firstLine="0"/>
              <w:jc w:val="center"/>
              <w:rPr>
                <w:sz w:val="21"/>
                <w:szCs w:val="21"/>
              </w:rPr>
            </w:pPr>
          </w:p>
        </w:tc>
        <w:tc>
          <w:tcPr>
            <w:tcW w:w="1700" w:type="pct"/>
            <w:vAlign w:val="center"/>
          </w:tcPr>
          <w:p w14:paraId="396EC09C"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城建维护税</w:t>
            </w:r>
          </w:p>
        </w:tc>
        <w:tc>
          <w:tcPr>
            <w:tcW w:w="2076" w:type="pct"/>
            <w:vAlign w:val="center"/>
          </w:tcPr>
          <w:p w14:paraId="68DFE5FA" w14:textId="77777777" w:rsidR="00495C65" w:rsidRPr="00F25307" w:rsidRDefault="00495C65" w:rsidP="00F25307">
            <w:pPr>
              <w:pStyle w:val="13"/>
              <w:spacing w:line="240" w:lineRule="auto"/>
              <w:ind w:firstLineChars="0" w:firstLine="0"/>
              <w:rPr>
                <w:sz w:val="21"/>
                <w:szCs w:val="21"/>
              </w:rPr>
            </w:pPr>
            <w:r w:rsidRPr="00F25307">
              <w:rPr>
                <w:sz w:val="21"/>
                <w:szCs w:val="21"/>
              </w:rPr>
              <w:t>增值税×备注税率；纳税人所在地在市区的，税率为7%；纳税人所在地在县城、镇的，税率为5%；纳税人所在地不在市区、县城或镇的，税率为1%</w:t>
            </w:r>
          </w:p>
        </w:tc>
      </w:tr>
      <w:tr w:rsidR="00495C65" w:rsidRPr="00F25307" w14:paraId="24ABDEAF" w14:textId="77777777" w:rsidTr="00226138">
        <w:trPr>
          <w:trHeight w:val="325"/>
          <w:jc w:val="center"/>
        </w:trPr>
        <w:tc>
          <w:tcPr>
            <w:tcW w:w="573" w:type="pct"/>
            <w:vMerge/>
            <w:vAlign w:val="center"/>
          </w:tcPr>
          <w:p w14:paraId="79029EAF" w14:textId="77777777" w:rsidR="00495C65" w:rsidRPr="00F25307" w:rsidRDefault="00495C65" w:rsidP="00F25307">
            <w:pPr>
              <w:pStyle w:val="13"/>
              <w:spacing w:line="240" w:lineRule="auto"/>
              <w:ind w:firstLineChars="0" w:firstLine="0"/>
              <w:jc w:val="center"/>
              <w:rPr>
                <w:sz w:val="21"/>
                <w:szCs w:val="21"/>
              </w:rPr>
            </w:pPr>
          </w:p>
        </w:tc>
        <w:tc>
          <w:tcPr>
            <w:tcW w:w="651" w:type="pct"/>
            <w:vMerge/>
            <w:tcBorders>
              <w:top w:val="nil"/>
            </w:tcBorders>
            <w:vAlign w:val="center"/>
          </w:tcPr>
          <w:p w14:paraId="748EA0AC" w14:textId="77777777" w:rsidR="00495C65" w:rsidRPr="00F25307" w:rsidRDefault="00495C65" w:rsidP="00F25307">
            <w:pPr>
              <w:pStyle w:val="13"/>
              <w:spacing w:line="240" w:lineRule="auto"/>
              <w:ind w:firstLineChars="0" w:firstLine="0"/>
              <w:jc w:val="center"/>
              <w:rPr>
                <w:sz w:val="21"/>
                <w:szCs w:val="21"/>
              </w:rPr>
            </w:pPr>
          </w:p>
        </w:tc>
        <w:tc>
          <w:tcPr>
            <w:tcW w:w="1700" w:type="pct"/>
            <w:vAlign w:val="center"/>
          </w:tcPr>
          <w:p w14:paraId="1EB6E57D"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教育费附加（含地方）</w:t>
            </w:r>
          </w:p>
        </w:tc>
        <w:tc>
          <w:tcPr>
            <w:tcW w:w="2076" w:type="pct"/>
            <w:vAlign w:val="center"/>
          </w:tcPr>
          <w:p w14:paraId="698EC1C0" w14:textId="77777777" w:rsidR="00495C65" w:rsidRPr="00F25307" w:rsidRDefault="00495C65" w:rsidP="00F25307">
            <w:pPr>
              <w:pStyle w:val="13"/>
              <w:spacing w:line="240" w:lineRule="auto"/>
              <w:ind w:firstLineChars="0" w:firstLine="0"/>
              <w:rPr>
                <w:sz w:val="21"/>
                <w:szCs w:val="21"/>
              </w:rPr>
            </w:pPr>
            <w:r w:rsidRPr="00F25307">
              <w:rPr>
                <w:sz w:val="21"/>
                <w:szCs w:val="21"/>
              </w:rPr>
              <w:t>增值税×3%</w:t>
            </w:r>
          </w:p>
        </w:tc>
      </w:tr>
      <w:tr w:rsidR="00495C65" w:rsidRPr="00F25307" w14:paraId="223B5B3B" w14:textId="77777777" w:rsidTr="00226138">
        <w:trPr>
          <w:trHeight w:val="326"/>
          <w:jc w:val="center"/>
        </w:trPr>
        <w:tc>
          <w:tcPr>
            <w:tcW w:w="573" w:type="pct"/>
            <w:vMerge/>
            <w:vAlign w:val="center"/>
          </w:tcPr>
          <w:p w14:paraId="708AA3AE" w14:textId="77777777" w:rsidR="00495C65" w:rsidRPr="00F25307" w:rsidRDefault="00495C65" w:rsidP="00F25307">
            <w:pPr>
              <w:pStyle w:val="13"/>
              <w:spacing w:line="240" w:lineRule="auto"/>
              <w:ind w:firstLineChars="0" w:firstLine="0"/>
              <w:jc w:val="center"/>
              <w:rPr>
                <w:sz w:val="21"/>
                <w:szCs w:val="21"/>
              </w:rPr>
            </w:pPr>
          </w:p>
        </w:tc>
        <w:tc>
          <w:tcPr>
            <w:tcW w:w="651" w:type="pct"/>
            <w:vMerge/>
            <w:tcBorders>
              <w:top w:val="nil"/>
            </w:tcBorders>
            <w:vAlign w:val="center"/>
          </w:tcPr>
          <w:p w14:paraId="11B64EB0" w14:textId="77777777" w:rsidR="00495C65" w:rsidRPr="00F25307" w:rsidRDefault="00495C65" w:rsidP="00F25307">
            <w:pPr>
              <w:pStyle w:val="13"/>
              <w:spacing w:line="240" w:lineRule="auto"/>
              <w:ind w:firstLineChars="0" w:firstLine="0"/>
              <w:jc w:val="center"/>
              <w:rPr>
                <w:sz w:val="21"/>
                <w:szCs w:val="21"/>
              </w:rPr>
            </w:pPr>
          </w:p>
        </w:tc>
        <w:tc>
          <w:tcPr>
            <w:tcW w:w="1700" w:type="pct"/>
            <w:vAlign w:val="center"/>
          </w:tcPr>
          <w:p w14:paraId="19F56ED0"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印花税</w:t>
            </w:r>
          </w:p>
        </w:tc>
        <w:tc>
          <w:tcPr>
            <w:tcW w:w="2076" w:type="pct"/>
            <w:vAlign w:val="center"/>
          </w:tcPr>
          <w:p w14:paraId="77A8CFDD" w14:textId="77777777" w:rsidR="00495C65" w:rsidRPr="00F25307" w:rsidRDefault="00495C65" w:rsidP="00F25307">
            <w:pPr>
              <w:pStyle w:val="13"/>
              <w:spacing w:line="240" w:lineRule="auto"/>
              <w:ind w:firstLineChars="0" w:firstLine="0"/>
              <w:rPr>
                <w:sz w:val="21"/>
                <w:szCs w:val="21"/>
              </w:rPr>
            </w:pPr>
            <w:r w:rsidRPr="00F25307">
              <w:rPr>
                <w:sz w:val="21"/>
                <w:szCs w:val="21"/>
              </w:rPr>
              <w:t>年总收入×0.1%</w:t>
            </w:r>
          </w:p>
        </w:tc>
      </w:tr>
      <w:tr w:rsidR="00495C65" w:rsidRPr="00F25307" w14:paraId="08A30316" w14:textId="77777777" w:rsidTr="00226138">
        <w:trPr>
          <w:trHeight w:val="325"/>
          <w:jc w:val="center"/>
        </w:trPr>
        <w:tc>
          <w:tcPr>
            <w:tcW w:w="573" w:type="pct"/>
            <w:vMerge/>
            <w:vAlign w:val="center"/>
          </w:tcPr>
          <w:p w14:paraId="5A27A958" w14:textId="77777777" w:rsidR="00495C65" w:rsidRPr="00F25307" w:rsidRDefault="00495C65" w:rsidP="00F25307">
            <w:pPr>
              <w:pStyle w:val="13"/>
              <w:spacing w:line="240" w:lineRule="auto"/>
              <w:ind w:firstLineChars="0" w:firstLine="0"/>
              <w:jc w:val="center"/>
              <w:rPr>
                <w:sz w:val="21"/>
                <w:szCs w:val="21"/>
              </w:rPr>
            </w:pPr>
          </w:p>
        </w:tc>
        <w:tc>
          <w:tcPr>
            <w:tcW w:w="651" w:type="pct"/>
            <w:vMerge/>
            <w:tcBorders>
              <w:top w:val="nil"/>
            </w:tcBorders>
            <w:vAlign w:val="center"/>
          </w:tcPr>
          <w:p w14:paraId="3E9876AD" w14:textId="77777777" w:rsidR="00495C65" w:rsidRPr="00F25307" w:rsidRDefault="00495C65" w:rsidP="00F25307">
            <w:pPr>
              <w:pStyle w:val="13"/>
              <w:spacing w:line="240" w:lineRule="auto"/>
              <w:ind w:firstLineChars="0" w:firstLine="0"/>
              <w:jc w:val="center"/>
              <w:rPr>
                <w:sz w:val="21"/>
                <w:szCs w:val="21"/>
              </w:rPr>
            </w:pPr>
          </w:p>
        </w:tc>
        <w:tc>
          <w:tcPr>
            <w:tcW w:w="1700" w:type="pct"/>
            <w:vAlign w:val="center"/>
          </w:tcPr>
          <w:p w14:paraId="7A0D9F4A"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城镇土地使用税</w:t>
            </w:r>
          </w:p>
        </w:tc>
        <w:tc>
          <w:tcPr>
            <w:tcW w:w="2076" w:type="pct"/>
            <w:vAlign w:val="center"/>
          </w:tcPr>
          <w:p w14:paraId="77A4CEEB" w14:textId="77777777" w:rsidR="00495C65" w:rsidRPr="00F25307" w:rsidRDefault="00495C65" w:rsidP="00F25307">
            <w:pPr>
              <w:pStyle w:val="13"/>
              <w:spacing w:line="240" w:lineRule="auto"/>
              <w:ind w:firstLineChars="0" w:firstLine="0"/>
              <w:rPr>
                <w:sz w:val="21"/>
                <w:szCs w:val="21"/>
              </w:rPr>
            </w:pPr>
            <w:r w:rsidRPr="00F25307">
              <w:rPr>
                <w:sz w:val="21"/>
                <w:szCs w:val="21"/>
              </w:rPr>
              <w:t>查询对照</w:t>
            </w:r>
          </w:p>
        </w:tc>
      </w:tr>
      <w:tr w:rsidR="00495C65" w:rsidRPr="00F25307" w14:paraId="6F24D0FE" w14:textId="77777777" w:rsidTr="00226138">
        <w:trPr>
          <w:trHeight w:val="326"/>
          <w:jc w:val="center"/>
        </w:trPr>
        <w:tc>
          <w:tcPr>
            <w:tcW w:w="1224" w:type="pct"/>
            <w:gridSpan w:val="2"/>
            <w:vAlign w:val="center"/>
          </w:tcPr>
          <w:p w14:paraId="70BA2441"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房地产年纯收益</w:t>
            </w:r>
          </w:p>
        </w:tc>
        <w:tc>
          <w:tcPr>
            <w:tcW w:w="1700" w:type="pct"/>
            <w:vAlign w:val="center"/>
          </w:tcPr>
          <w:p w14:paraId="300DB379"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房地产年总收益-年总费用</w:t>
            </w:r>
          </w:p>
        </w:tc>
        <w:tc>
          <w:tcPr>
            <w:tcW w:w="2076" w:type="pct"/>
            <w:vAlign w:val="center"/>
          </w:tcPr>
          <w:p w14:paraId="18AAE521" w14:textId="77777777" w:rsidR="00495C65" w:rsidRPr="00F25307" w:rsidRDefault="00495C65" w:rsidP="00F25307">
            <w:pPr>
              <w:pStyle w:val="13"/>
              <w:spacing w:line="240" w:lineRule="auto"/>
              <w:ind w:firstLineChars="0" w:firstLine="0"/>
              <w:rPr>
                <w:sz w:val="21"/>
                <w:szCs w:val="21"/>
              </w:rPr>
            </w:pPr>
          </w:p>
        </w:tc>
      </w:tr>
      <w:tr w:rsidR="00495C65" w:rsidRPr="00F25307" w14:paraId="6C7D26AC" w14:textId="77777777" w:rsidTr="00226138">
        <w:trPr>
          <w:trHeight w:val="652"/>
          <w:jc w:val="center"/>
        </w:trPr>
        <w:tc>
          <w:tcPr>
            <w:tcW w:w="1224" w:type="pct"/>
            <w:gridSpan w:val="2"/>
            <w:vAlign w:val="center"/>
          </w:tcPr>
          <w:p w14:paraId="72728E57"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报酬率</w:t>
            </w:r>
          </w:p>
        </w:tc>
        <w:tc>
          <w:tcPr>
            <w:tcW w:w="1700" w:type="pct"/>
            <w:vAlign w:val="center"/>
          </w:tcPr>
          <w:p w14:paraId="2FCB995E" w14:textId="77777777" w:rsidR="00495C65" w:rsidRPr="00F25307" w:rsidRDefault="00495C65" w:rsidP="00F25307">
            <w:pPr>
              <w:pStyle w:val="13"/>
              <w:spacing w:line="240" w:lineRule="auto"/>
              <w:ind w:firstLineChars="0" w:firstLine="0"/>
              <w:jc w:val="center"/>
              <w:rPr>
                <w:sz w:val="21"/>
                <w:szCs w:val="21"/>
              </w:rPr>
            </w:pPr>
          </w:p>
        </w:tc>
        <w:tc>
          <w:tcPr>
            <w:tcW w:w="2076" w:type="pct"/>
            <w:vAlign w:val="center"/>
          </w:tcPr>
          <w:p w14:paraId="30C76512" w14:textId="77777777" w:rsidR="00495C65" w:rsidRPr="00F25307" w:rsidRDefault="00495C65" w:rsidP="00F25307">
            <w:pPr>
              <w:pStyle w:val="13"/>
              <w:spacing w:line="240" w:lineRule="auto"/>
              <w:ind w:firstLineChars="0" w:firstLine="0"/>
              <w:rPr>
                <w:sz w:val="21"/>
                <w:szCs w:val="21"/>
              </w:rPr>
            </w:pPr>
            <w:r w:rsidRPr="00F25307">
              <w:rPr>
                <w:sz w:val="21"/>
                <w:szCs w:val="21"/>
              </w:rPr>
              <w:t>市场提取法、风险调整值法或投资报酬率排序法</w:t>
            </w:r>
          </w:p>
        </w:tc>
      </w:tr>
      <w:tr w:rsidR="00495C65" w:rsidRPr="00F25307" w14:paraId="20CCF2FA" w14:textId="77777777" w:rsidTr="00226138">
        <w:trPr>
          <w:trHeight w:val="1630"/>
          <w:jc w:val="center"/>
        </w:trPr>
        <w:tc>
          <w:tcPr>
            <w:tcW w:w="1224" w:type="pct"/>
            <w:gridSpan w:val="2"/>
            <w:vAlign w:val="center"/>
          </w:tcPr>
          <w:p w14:paraId="18418B19"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收益年期</w:t>
            </w:r>
          </w:p>
        </w:tc>
        <w:tc>
          <w:tcPr>
            <w:tcW w:w="1700" w:type="pct"/>
            <w:vAlign w:val="center"/>
          </w:tcPr>
          <w:p w14:paraId="2582063D" w14:textId="77777777" w:rsidR="00495C65" w:rsidRPr="00F25307" w:rsidRDefault="00495C65" w:rsidP="00F25307">
            <w:pPr>
              <w:pStyle w:val="13"/>
              <w:spacing w:line="240" w:lineRule="auto"/>
              <w:ind w:firstLineChars="0" w:firstLine="0"/>
              <w:jc w:val="center"/>
              <w:rPr>
                <w:sz w:val="21"/>
                <w:szCs w:val="21"/>
              </w:rPr>
            </w:pPr>
          </w:p>
        </w:tc>
        <w:tc>
          <w:tcPr>
            <w:tcW w:w="2076" w:type="pct"/>
            <w:vAlign w:val="center"/>
          </w:tcPr>
          <w:p w14:paraId="083628EE" w14:textId="77777777" w:rsidR="00495C65" w:rsidRPr="00F25307" w:rsidRDefault="00495C65" w:rsidP="00F25307">
            <w:pPr>
              <w:pStyle w:val="13"/>
              <w:spacing w:line="240" w:lineRule="auto"/>
              <w:ind w:firstLineChars="0" w:firstLine="0"/>
              <w:rPr>
                <w:sz w:val="21"/>
                <w:szCs w:val="21"/>
              </w:rPr>
            </w:pPr>
            <w:r w:rsidRPr="00F25307">
              <w:rPr>
                <w:sz w:val="21"/>
                <w:szCs w:val="21"/>
              </w:rPr>
              <w:t>收益期是通过土地使用权剩余期限与建筑物可使用年限剩余经济寿命比较来确定，即根据孰</w:t>
            </w:r>
            <w:proofErr w:type="gramStart"/>
            <w:r w:rsidRPr="00F25307">
              <w:rPr>
                <w:sz w:val="21"/>
                <w:szCs w:val="21"/>
              </w:rPr>
              <w:t>短原则</w:t>
            </w:r>
            <w:proofErr w:type="gramEnd"/>
            <w:r w:rsidRPr="00F25307">
              <w:rPr>
                <w:sz w:val="21"/>
                <w:szCs w:val="21"/>
              </w:rPr>
              <w:t>来求取该评估对象的收益期，并应考虑超出收益期的土地使用权或建筑物价值。</w:t>
            </w:r>
          </w:p>
        </w:tc>
      </w:tr>
    </w:tbl>
    <w:p w14:paraId="7192235B" w14:textId="6F972AED" w:rsidR="00495C65" w:rsidRDefault="00495C65" w:rsidP="00495C65">
      <w:pPr>
        <w:pStyle w:val="ab"/>
        <w:spacing w:before="62" w:after="62"/>
        <w:ind w:firstLine="482"/>
      </w:pPr>
      <w:r>
        <w:lastRenderedPageBreak/>
        <w:t>7.3</w:t>
      </w:r>
      <w:r w:rsidR="00F25307">
        <w:t xml:space="preserve"> </w:t>
      </w:r>
      <w:r>
        <w:t>成本法</w:t>
      </w:r>
    </w:p>
    <w:p w14:paraId="0E633F4A" w14:textId="1556B7FE" w:rsidR="00495C65" w:rsidRDefault="00495C65" w:rsidP="00495C65">
      <w:pPr>
        <w:pStyle w:val="13"/>
      </w:pPr>
      <w:r>
        <w:t>7.3.1</w:t>
      </w:r>
      <w:r w:rsidR="00F25307">
        <w:t xml:space="preserve"> </w:t>
      </w:r>
      <w:r>
        <w:t>成本法定义</w:t>
      </w:r>
    </w:p>
    <w:p w14:paraId="107FBCA6" w14:textId="77777777" w:rsidR="00495C65" w:rsidRDefault="00495C65" w:rsidP="00495C65">
      <w:pPr>
        <w:pStyle w:val="13"/>
      </w:pPr>
      <w:r>
        <w:rPr>
          <w:rFonts w:hint="eastAsia"/>
        </w:rPr>
        <w:t>测算估价对象在价值时点的重置成本或重建成本的折旧，将重置成本或重建成本减去折旧得到估价对象价值或价格的方法。</w:t>
      </w:r>
    </w:p>
    <w:p w14:paraId="0F74D9B7" w14:textId="3ADD4259" w:rsidR="00495C65" w:rsidRDefault="00495C65" w:rsidP="00495C65">
      <w:pPr>
        <w:pStyle w:val="13"/>
      </w:pPr>
      <w:r>
        <w:t>7.3.2</w:t>
      </w:r>
      <w:r w:rsidR="00F25307">
        <w:t xml:space="preserve"> </w:t>
      </w:r>
      <w:r>
        <w:t>成本法适用范围</w:t>
      </w:r>
    </w:p>
    <w:p w14:paraId="10D0F7CF" w14:textId="77777777" w:rsidR="00495C65" w:rsidRDefault="00495C65" w:rsidP="00495C65">
      <w:pPr>
        <w:pStyle w:val="13"/>
      </w:pPr>
      <w:r>
        <w:rPr>
          <w:rFonts w:hint="eastAsia"/>
        </w:rPr>
        <w:t>成本法适用的工业房地产估价类型为生产型标准工业房地产、生产型非标准工业房地产和创新型工业房地产。</w:t>
      </w:r>
    </w:p>
    <w:p w14:paraId="3BBF67C3" w14:textId="55471737" w:rsidR="00495C65" w:rsidRDefault="00495C65" w:rsidP="00495C65">
      <w:pPr>
        <w:pStyle w:val="13"/>
      </w:pPr>
      <w:r>
        <w:t>7.3.3</w:t>
      </w:r>
      <w:r w:rsidR="00F25307">
        <w:t xml:space="preserve"> </w:t>
      </w:r>
      <w:r>
        <w:t>成本法公式</w:t>
      </w:r>
    </w:p>
    <w:p w14:paraId="38FC7A15" w14:textId="77777777" w:rsidR="00495C65" w:rsidRDefault="00495C65" w:rsidP="00495C65">
      <w:pPr>
        <w:pStyle w:val="13"/>
      </w:pPr>
      <w:r>
        <w:rPr>
          <w:rFonts w:hint="eastAsia"/>
        </w:rPr>
        <w:t>工业房地产采用成本法估价时应根据估价对象状况和土地市场状况，选择</w:t>
      </w:r>
      <w:proofErr w:type="gramStart"/>
      <w:r>
        <w:rPr>
          <w:rFonts w:hint="eastAsia"/>
        </w:rPr>
        <w:t>房地合估路径</w:t>
      </w:r>
      <w:proofErr w:type="gramEnd"/>
      <w:r>
        <w:rPr>
          <w:rFonts w:hint="eastAsia"/>
        </w:rPr>
        <w:t>或</w:t>
      </w:r>
      <w:proofErr w:type="gramStart"/>
      <w:r>
        <w:rPr>
          <w:rFonts w:hint="eastAsia"/>
        </w:rPr>
        <w:t>房地分估路径</w:t>
      </w:r>
      <w:proofErr w:type="gramEnd"/>
      <w:r>
        <w:rPr>
          <w:rFonts w:hint="eastAsia"/>
        </w:rPr>
        <w:t>，并优先选择</w:t>
      </w:r>
      <w:proofErr w:type="gramStart"/>
      <w:r>
        <w:rPr>
          <w:rFonts w:hint="eastAsia"/>
        </w:rPr>
        <w:t>房地合估路径</w:t>
      </w:r>
      <w:proofErr w:type="gramEnd"/>
      <w:r>
        <w:rPr>
          <w:rFonts w:hint="eastAsia"/>
        </w:rPr>
        <w:t>。</w:t>
      </w:r>
    </w:p>
    <w:p w14:paraId="48E45417" w14:textId="77777777" w:rsidR="00495C65" w:rsidRDefault="00495C65" w:rsidP="00495C65">
      <w:pPr>
        <w:pStyle w:val="13"/>
      </w:pPr>
      <w:r>
        <w:rPr>
          <w:rFonts w:hint="eastAsia"/>
        </w:rPr>
        <w:t>房地</w:t>
      </w:r>
      <w:proofErr w:type="gramStart"/>
      <w:r>
        <w:rPr>
          <w:rFonts w:hint="eastAsia"/>
        </w:rPr>
        <w:t>合估计算</w:t>
      </w:r>
      <w:proofErr w:type="gramEnd"/>
      <w:r>
        <w:rPr>
          <w:rFonts w:hint="eastAsia"/>
        </w:rPr>
        <w:t>公式：房地产价值</w:t>
      </w:r>
      <w:r>
        <w:t>=土地成本+建设成本+管理费用+销售费用+投资利息+销售税费+开发利润-建筑物折旧</w:t>
      </w:r>
      <w:r>
        <w:rPr>
          <w:rFonts w:hint="eastAsia"/>
        </w:rPr>
        <w:t>。</w:t>
      </w:r>
    </w:p>
    <w:p w14:paraId="7A7AD5BC" w14:textId="77777777" w:rsidR="00495C65" w:rsidRDefault="00495C65" w:rsidP="00495C65">
      <w:pPr>
        <w:pStyle w:val="13"/>
      </w:pPr>
      <w:r>
        <w:rPr>
          <w:rFonts w:hint="eastAsia"/>
        </w:rPr>
        <w:t>房地</w:t>
      </w:r>
      <w:proofErr w:type="gramStart"/>
      <w:r>
        <w:rPr>
          <w:rFonts w:hint="eastAsia"/>
        </w:rPr>
        <w:t>分估计算</w:t>
      </w:r>
      <w:proofErr w:type="gramEnd"/>
      <w:r>
        <w:rPr>
          <w:rFonts w:hint="eastAsia"/>
        </w:rPr>
        <w:t>公式：房地产价值</w:t>
      </w:r>
      <w:r>
        <w:t>=土地重置成本+建筑物重置成本（重建成本）-建筑物折旧</w:t>
      </w:r>
    </w:p>
    <w:p w14:paraId="55669644" w14:textId="77777777" w:rsidR="00495C65" w:rsidRDefault="00495C65" w:rsidP="00495C65">
      <w:pPr>
        <w:pStyle w:val="13"/>
      </w:pPr>
      <w:r>
        <w:rPr>
          <w:rFonts w:hint="eastAsia"/>
        </w:rPr>
        <w:t>土地重置成本</w:t>
      </w:r>
      <w:r>
        <w:t>=土地成本+土地开发成本+管理费+销售费用+投资利息+销售税费+开发利润</w:t>
      </w:r>
    </w:p>
    <w:p w14:paraId="5B9F8A0A" w14:textId="77777777" w:rsidR="00495C65" w:rsidRDefault="00495C65" w:rsidP="00495C65">
      <w:pPr>
        <w:pStyle w:val="13"/>
      </w:pPr>
      <w:r>
        <w:rPr>
          <w:rFonts w:hint="eastAsia"/>
        </w:rPr>
        <w:t>建筑物重置成本（重建成本）</w:t>
      </w:r>
      <w:r>
        <w:t>=建设成本+管理费+销售费用+投资利息+销售税费+开发利润</w:t>
      </w:r>
    </w:p>
    <w:p w14:paraId="127F8B96" w14:textId="23526C61" w:rsidR="00495C65" w:rsidRDefault="00495C65" w:rsidP="00495C65">
      <w:pPr>
        <w:pStyle w:val="13"/>
      </w:pPr>
      <w:r>
        <w:rPr>
          <w:rFonts w:hint="eastAsia"/>
        </w:rPr>
        <w:t>7</w:t>
      </w:r>
      <w:r>
        <w:t>.3.4</w:t>
      </w:r>
      <w:r w:rsidR="00F25307">
        <w:t xml:space="preserve"> </w:t>
      </w:r>
      <w:r>
        <w:rPr>
          <w:rFonts w:hint="eastAsia"/>
        </w:rPr>
        <w:t>土地估价方法的选择</w:t>
      </w:r>
    </w:p>
    <w:p w14:paraId="421AA6D3" w14:textId="77777777" w:rsidR="00495C65" w:rsidRDefault="00495C65" w:rsidP="00495C65">
      <w:pPr>
        <w:pStyle w:val="13"/>
      </w:pPr>
      <w:r>
        <w:rPr>
          <w:rFonts w:hint="eastAsia"/>
        </w:rPr>
        <w:t>测算土地成本和土地重置成本可采用市场比较法、基准地价系数修正法和成本逼近法。</w:t>
      </w:r>
    </w:p>
    <w:p w14:paraId="137EC260" w14:textId="77777777" w:rsidR="00495C65" w:rsidRDefault="00495C65" w:rsidP="00495C65">
      <w:pPr>
        <w:pStyle w:val="13"/>
      </w:pPr>
      <w:r>
        <w:t>a</w:t>
      </w:r>
      <w:r>
        <w:rPr>
          <w:rFonts w:hint="eastAsia"/>
        </w:rPr>
        <w:t>）市场比较法主要适用于地产市场发达，有充足可比实例，交易信息透明公开的地区。比较案例应优先选用</w:t>
      </w:r>
      <w:r>
        <w:t>1年内的成交实例。对于近期成交实例较少的，由于工业用地</w:t>
      </w:r>
      <w:r>
        <w:rPr>
          <w:rFonts w:hint="eastAsia"/>
        </w:rPr>
        <w:t>价格随时间波动较小，可以适当放宽交易日期，但原则上不得超过</w:t>
      </w:r>
      <w:r>
        <w:t>3年。</w:t>
      </w:r>
    </w:p>
    <w:p w14:paraId="00F38890" w14:textId="77777777" w:rsidR="00495C65" w:rsidRDefault="00495C65" w:rsidP="00495C65">
      <w:pPr>
        <w:pStyle w:val="13"/>
      </w:pPr>
      <w:r>
        <w:t>b</w:t>
      </w:r>
      <w:r w:rsidRPr="00EA6DF2">
        <w:t>）</w:t>
      </w:r>
      <w:r>
        <w:rPr>
          <w:rFonts w:hint="eastAsia"/>
        </w:rPr>
        <w:t>基准地价系数修正法可用于政府已公布基准地价，具有完备的基准地价修正体系的区域，且涉及国有土地资产处置或土地资产抵押时；所采用的基准地价应具有现势性，</w:t>
      </w:r>
      <w:proofErr w:type="gramStart"/>
      <w:r>
        <w:rPr>
          <w:rFonts w:hint="eastAsia"/>
        </w:rPr>
        <w:t>待估宗地</w:t>
      </w:r>
      <w:proofErr w:type="gramEnd"/>
      <w:r>
        <w:rPr>
          <w:rFonts w:hint="eastAsia"/>
        </w:rPr>
        <w:t>的估价期日距基准地价的期</w:t>
      </w:r>
      <w:proofErr w:type="gramStart"/>
      <w:r>
        <w:rPr>
          <w:rFonts w:hint="eastAsia"/>
        </w:rPr>
        <w:t>日一般</w:t>
      </w:r>
      <w:proofErr w:type="gramEnd"/>
      <w:r>
        <w:rPr>
          <w:rFonts w:hint="eastAsia"/>
        </w:rPr>
        <w:t>不超过</w:t>
      </w:r>
      <w:r>
        <w:t>3年。</w:t>
      </w:r>
    </w:p>
    <w:p w14:paraId="19CAABD2" w14:textId="77777777" w:rsidR="00495C65" w:rsidRDefault="00495C65" w:rsidP="00495C65">
      <w:pPr>
        <w:pStyle w:val="13"/>
      </w:pPr>
      <w:r>
        <w:t>c</w:t>
      </w:r>
      <w:r w:rsidRPr="00C75236">
        <w:t>）</w:t>
      </w:r>
      <w:r>
        <w:rPr>
          <w:rFonts w:hint="eastAsia"/>
        </w:rPr>
        <w:t>新开发土地或土地市场欠发育、少有交易，且征地补偿标准的文件较齐全、征地统计资料较详实，</w:t>
      </w:r>
      <w:proofErr w:type="gramStart"/>
      <w:r>
        <w:rPr>
          <w:rFonts w:hint="eastAsia"/>
        </w:rPr>
        <w:t>征地区片综合</w:t>
      </w:r>
      <w:proofErr w:type="gramEnd"/>
      <w:r>
        <w:rPr>
          <w:rFonts w:hint="eastAsia"/>
        </w:rPr>
        <w:t>地价或统一年产值标准定期调整的地区的土地估价土地价格评估宜采用成本逼近法。</w:t>
      </w:r>
    </w:p>
    <w:p w14:paraId="0F2E50EA" w14:textId="2C147F16" w:rsidR="00495C65" w:rsidRDefault="00495C65" w:rsidP="00495C65">
      <w:pPr>
        <w:pStyle w:val="13"/>
      </w:pPr>
      <w:r w:rsidRPr="00CA007C">
        <w:t>7.3.</w:t>
      </w:r>
      <w:r>
        <w:t>5</w:t>
      </w:r>
      <w:r w:rsidR="00F25307">
        <w:t xml:space="preserve"> </w:t>
      </w:r>
      <w:r>
        <w:rPr>
          <w:rFonts w:hint="eastAsia"/>
        </w:rPr>
        <w:t>土地价格评估技术要点与参数取值</w:t>
      </w:r>
    </w:p>
    <w:p w14:paraId="7EE2D3C5" w14:textId="77777777" w:rsidR="00495C65" w:rsidRPr="003F0753" w:rsidRDefault="00495C65" w:rsidP="00495C65">
      <w:pPr>
        <w:pStyle w:val="13"/>
      </w:pPr>
      <w:r w:rsidRPr="00CA007C">
        <w:t>a）</w:t>
      </w:r>
      <w:r>
        <w:rPr>
          <w:rFonts w:hint="eastAsia"/>
        </w:rPr>
        <w:t>市场比较法估价要点</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3687"/>
        <w:gridCol w:w="3478"/>
      </w:tblGrid>
      <w:tr w:rsidR="00495C65" w:rsidRPr="00F25307" w14:paraId="4EF34CC3" w14:textId="77777777" w:rsidTr="00226138">
        <w:trPr>
          <w:trHeight w:val="489"/>
          <w:tblHeader/>
          <w:jc w:val="center"/>
        </w:trPr>
        <w:tc>
          <w:tcPr>
            <w:tcW w:w="892" w:type="pct"/>
            <w:vAlign w:val="center"/>
          </w:tcPr>
          <w:p w14:paraId="5EE31BF2"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lastRenderedPageBreak/>
              <w:t>可比实例类型</w:t>
            </w:r>
          </w:p>
        </w:tc>
        <w:tc>
          <w:tcPr>
            <w:tcW w:w="2114" w:type="pct"/>
            <w:vAlign w:val="center"/>
          </w:tcPr>
          <w:p w14:paraId="49B40062"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交易实例选取途径</w:t>
            </w:r>
          </w:p>
        </w:tc>
        <w:tc>
          <w:tcPr>
            <w:tcW w:w="1994" w:type="pct"/>
            <w:vAlign w:val="center"/>
          </w:tcPr>
          <w:p w14:paraId="197F97E8"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调整说明</w:t>
            </w:r>
          </w:p>
        </w:tc>
      </w:tr>
      <w:tr w:rsidR="00495C65" w:rsidRPr="00F25307" w14:paraId="52439F8F" w14:textId="77777777" w:rsidTr="00226138">
        <w:trPr>
          <w:trHeight w:val="2282"/>
          <w:jc w:val="center"/>
        </w:trPr>
        <w:tc>
          <w:tcPr>
            <w:tcW w:w="892" w:type="pct"/>
            <w:vAlign w:val="center"/>
          </w:tcPr>
          <w:p w14:paraId="66D4B87E"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土地一级市场可比实例</w:t>
            </w:r>
          </w:p>
        </w:tc>
        <w:tc>
          <w:tcPr>
            <w:tcW w:w="2114" w:type="pct"/>
            <w:vAlign w:val="center"/>
          </w:tcPr>
          <w:p w14:paraId="09B6A9F2" w14:textId="77777777" w:rsidR="00495C65" w:rsidRPr="00F25307" w:rsidRDefault="00495C65" w:rsidP="00F25307">
            <w:pPr>
              <w:pStyle w:val="13"/>
              <w:spacing w:line="240" w:lineRule="auto"/>
              <w:ind w:firstLineChars="0" w:firstLine="0"/>
              <w:jc w:val="left"/>
              <w:rPr>
                <w:sz w:val="21"/>
                <w:szCs w:val="21"/>
              </w:rPr>
            </w:pPr>
            <w:proofErr w:type="gramStart"/>
            <w:r w:rsidRPr="00F25307">
              <w:rPr>
                <w:sz w:val="21"/>
                <w:szCs w:val="21"/>
              </w:rPr>
              <w:t>委估宗地</w:t>
            </w:r>
            <w:proofErr w:type="gramEnd"/>
            <w:r w:rsidRPr="00F25307">
              <w:rPr>
                <w:sz w:val="21"/>
                <w:szCs w:val="21"/>
              </w:rPr>
              <w:t>所在市、区、县国土资源网站查询土地成交信息、中国土地市场网</w:t>
            </w:r>
            <w:r w:rsidRPr="00F25307">
              <w:rPr>
                <w:rFonts w:hint="eastAsia"/>
                <w:sz w:val="21"/>
                <w:szCs w:val="21"/>
              </w:rPr>
              <w:t>（</w:t>
            </w:r>
            <w:r w:rsidRPr="00F25307">
              <w:rPr>
                <w:sz w:val="21"/>
                <w:szCs w:val="21"/>
              </w:rPr>
              <w:t>http://www.landchina.com）等</w:t>
            </w:r>
          </w:p>
        </w:tc>
        <w:tc>
          <w:tcPr>
            <w:tcW w:w="1994" w:type="pct"/>
            <w:vAlign w:val="center"/>
          </w:tcPr>
          <w:p w14:paraId="3FA2592B" w14:textId="77777777" w:rsidR="00495C65" w:rsidRPr="00F25307" w:rsidRDefault="00495C65" w:rsidP="00F25307">
            <w:pPr>
              <w:pStyle w:val="13"/>
              <w:spacing w:line="240" w:lineRule="auto"/>
              <w:ind w:firstLineChars="0" w:firstLine="0"/>
              <w:rPr>
                <w:sz w:val="21"/>
                <w:szCs w:val="21"/>
              </w:rPr>
            </w:pPr>
            <w:r w:rsidRPr="00F25307">
              <w:rPr>
                <w:sz w:val="21"/>
                <w:szCs w:val="21"/>
              </w:rPr>
              <w:t>出让的工业土地一级市场价格是政府调控、指导性的市场价格，要分析一级市场的出让价格是否有一定附加条件，例如：投资强度、产业定位、行业方向、税收要求、环保条件等，多数可比实例要进行出让方式修正后，方可使用。</w:t>
            </w:r>
          </w:p>
        </w:tc>
      </w:tr>
      <w:tr w:rsidR="00495C65" w:rsidRPr="00F25307" w14:paraId="094FB09C" w14:textId="77777777" w:rsidTr="00226138">
        <w:trPr>
          <w:trHeight w:val="1303"/>
          <w:jc w:val="center"/>
        </w:trPr>
        <w:tc>
          <w:tcPr>
            <w:tcW w:w="892" w:type="pct"/>
            <w:vAlign w:val="center"/>
          </w:tcPr>
          <w:p w14:paraId="074D2218"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土地二级市场可比实例</w:t>
            </w:r>
          </w:p>
        </w:tc>
        <w:tc>
          <w:tcPr>
            <w:tcW w:w="2114" w:type="pct"/>
            <w:vAlign w:val="center"/>
          </w:tcPr>
          <w:p w14:paraId="3521B0D6" w14:textId="77777777" w:rsidR="00495C65" w:rsidRPr="00F25307" w:rsidRDefault="00495C65" w:rsidP="00F25307">
            <w:pPr>
              <w:pStyle w:val="13"/>
              <w:spacing w:line="240" w:lineRule="auto"/>
              <w:ind w:firstLineChars="0" w:firstLine="0"/>
              <w:rPr>
                <w:sz w:val="21"/>
                <w:szCs w:val="21"/>
              </w:rPr>
            </w:pPr>
            <w:r w:rsidRPr="00F25307">
              <w:rPr>
                <w:sz w:val="21"/>
                <w:szCs w:val="21"/>
              </w:rPr>
              <w:t>各大公共资源交易平台、阿里拍卖、司法（http://sf.taobao.com）等</w:t>
            </w:r>
          </w:p>
        </w:tc>
        <w:tc>
          <w:tcPr>
            <w:tcW w:w="1994" w:type="pct"/>
            <w:vAlign w:val="center"/>
          </w:tcPr>
          <w:p w14:paraId="6889CB78" w14:textId="77777777" w:rsidR="00495C65" w:rsidRPr="00F25307" w:rsidRDefault="00495C65" w:rsidP="00F25307">
            <w:pPr>
              <w:pStyle w:val="13"/>
              <w:spacing w:line="240" w:lineRule="auto"/>
              <w:ind w:firstLineChars="0" w:firstLine="0"/>
              <w:rPr>
                <w:sz w:val="21"/>
                <w:szCs w:val="21"/>
              </w:rPr>
            </w:pPr>
            <w:r w:rsidRPr="00F25307">
              <w:rPr>
                <w:sz w:val="21"/>
                <w:szCs w:val="21"/>
              </w:rPr>
              <w:t>市场上纯工业用地的交易实例较少，大部分为工业房地产整体拍卖、转让。要合理剥离掉建筑物等资产的价值，是工业比较法估价的基础。</w:t>
            </w:r>
          </w:p>
        </w:tc>
      </w:tr>
    </w:tbl>
    <w:p w14:paraId="5137075E" w14:textId="77777777" w:rsidR="00495C65" w:rsidRPr="00257B6D" w:rsidRDefault="00495C65" w:rsidP="00495C65">
      <w:pPr>
        <w:pStyle w:val="13"/>
      </w:pPr>
      <w:r>
        <w:t>b</w:t>
      </w:r>
      <w:r w:rsidRPr="006E0F6C">
        <w:t>）</w:t>
      </w:r>
      <w:r>
        <w:rPr>
          <w:rFonts w:hint="eastAsia"/>
        </w:rPr>
        <w:t>基</w:t>
      </w:r>
      <w:r w:rsidRPr="00D06AF0">
        <w:rPr>
          <w:rFonts w:hint="eastAsia"/>
        </w:rPr>
        <w:t>准地价系数修正法估价要点</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4"/>
        <w:gridCol w:w="6456"/>
      </w:tblGrid>
      <w:tr w:rsidR="00495C65" w:rsidRPr="006E0F6C" w14:paraId="28A17910" w14:textId="77777777" w:rsidTr="00226138">
        <w:trPr>
          <w:trHeight w:val="326"/>
          <w:jc w:val="center"/>
        </w:trPr>
        <w:tc>
          <w:tcPr>
            <w:tcW w:w="1298" w:type="pct"/>
            <w:vAlign w:val="center"/>
          </w:tcPr>
          <w:p w14:paraId="472291EA" w14:textId="77777777" w:rsidR="00495C65" w:rsidRPr="006E0F6C" w:rsidRDefault="00495C65" w:rsidP="00F25307">
            <w:pPr>
              <w:pStyle w:val="13"/>
              <w:spacing w:line="240" w:lineRule="auto"/>
              <w:ind w:firstLineChars="0" w:firstLine="0"/>
              <w:jc w:val="center"/>
              <w:rPr>
                <w:b/>
                <w:bCs/>
              </w:rPr>
            </w:pPr>
            <w:r w:rsidRPr="006E0F6C">
              <w:rPr>
                <w:b/>
                <w:bCs/>
              </w:rPr>
              <w:t>估价参数</w:t>
            </w:r>
          </w:p>
        </w:tc>
        <w:tc>
          <w:tcPr>
            <w:tcW w:w="3702" w:type="pct"/>
            <w:vAlign w:val="center"/>
          </w:tcPr>
          <w:p w14:paraId="1444A603" w14:textId="77777777" w:rsidR="00495C65" w:rsidRPr="006E0F6C" w:rsidRDefault="00495C65" w:rsidP="00F25307">
            <w:pPr>
              <w:pStyle w:val="13"/>
              <w:spacing w:line="240" w:lineRule="auto"/>
              <w:ind w:firstLineChars="0" w:firstLine="0"/>
              <w:jc w:val="center"/>
              <w:rPr>
                <w:b/>
                <w:bCs/>
              </w:rPr>
            </w:pPr>
            <w:r w:rsidRPr="006E0F6C">
              <w:rPr>
                <w:b/>
                <w:bCs/>
              </w:rPr>
              <w:t>参数取值</w:t>
            </w:r>
          </w:p>
        </w:tc>
      </w:tr>
      <w:tr w:rsidR="00495C65" w:rsidRPr="00251F5C" w14:paraId="69CB9699" w14:textId="77777777" w:rsidTr="00226138">
        <w:trPr>
          <w:trHeight w:val="429"/>
          <w:jc w:val="center"/>
        </w:trPr>
        <w:tc>
          <w:tcPr>
            <w:tcW w:w="1298" w:type="pct"/>
            <w:vAlign w:val="center"/>
          </w:tcPr>
          <w:p w14:paraId="55AE2896" w14:textId="77777777" w:rsidR="00495C65" w:rsidRPr="00251F5C" w:rsidRDefault="00495C65" w:rsidP="00F25307">
            <w:pPr>
              <w:pStyle w:val="13"/>
              <w:spacing w:line="240" w:lineRule="auto"/>
              <w:ind w:firstLineChars="0" w:firstLine="0"/>
              <w:jc w:val="center"/>
            </w:pPr>
            <w:r w:rsidRPr="00251F5C">
              <w:t>基准地价</w:t>
            </w:r>
          </w:p>
        </w:tc>
        <w:tc>
          <w:tcPr>
            <w:tcW w:w="3702" w:type="pct"/>
            <w:vAlign w:val="center"/>
          </w:tcPr>
          <w:p w14:paraId="1557F12A" w14:textId="77777777" w:rsidR="00495C65" w:rsidRPr="00251F5C" w:rsidRDefault="00495C65" w:rsidP="00F25307">
            <w:pPr>
              <w:pStyle w:val="13"/>
              <w:spacing w:line="240" w:lineRule="auto"/>
              <w:ind w:firstLineChars="0" w:firstLine="0"/>
            </w:pPr>
            <w:r w:rsidRPr="00251F5C">
              <w:t>政府或其他相关部门公布的基准地价</w:t>
            </w:r>
          </w:p>
        </w:tc>
      </w:tr>
      <w:tr w:rsidR="00495C65" w:rsidRPr="00251F5C" w14:paraId="467F43AC" w14:textId="77777777" w:rsidTr="00226138">
        <w:trPr>
          <w:trHeight w:val="420"/>
          <w:jc w:val="center"/>
        </w:trPr>
        <w:tc>
          <w:tcPr>
            <w:tcW w:w="1298" w:type="pct"/>
            <w:vAlign w:val="center"/>
          </w:tcPr>
          <w:p w14:paraId="425D4A37" w14:textId="77777777" w:rsidR="00495C65" w:rsidRPr="00251F5C" w:rsidRDefault="00495C65" w:rsidP="00F25307">
            <w:pPr>
              <w:pStyle w:val="13"/>
              <w:spacing w:line="240" w:lineRule="auto"/>
              <w:ind w:firstLineChars="0" w:firstLine="0"/>
              <w:jc w:val="center"/>
            </w:pPr>
            <w:r w:rsidRPr="00251F5C">
              <w:t>宗地地价修正系数</w:t>
            </w:r>
          </w:p>
        </w:tc>
        <w:tc>
          <w:tcPr>
            <w:tcW w:w="3702" w:type="pct"/>
            <w:vAlign w:val="center"/>
          </w:tcPr>
          <w:p w14:paraId="0FF509A2" w14:textId="77777777" w:rsidR="00495C65" w:rsidRPr="00251F5C" w:rsidRDefault="00495C65" w:rsidP="00F25307">
            <w:pPr>
              <w:pStyle w:val="13"/>
              <w:spacing w:line="240" w:lineRule="auto"/>
              <w:ind w:firstLineChars="0" w:firstLine="0"/>
            </w:pPr>
            <w:r w:rsidRPr="00251F5C">
              <w:t>参照各地基准地价修正体系</w:t>
            </w:r>
          </w:p>
        </w:tc>
      </w:tr>
      <w:tr w:rsidR="00495C65" w:rsidRPr="00251F5C" w14:paraId="55A299AE" w14:textId="77777777" w:rsidTr="00226138">
        <w:trPr>
          <w:trHeight w:val="1303"/>
          <w:jc w:val="center"/>
        </w:trPr>
        <w:tc>
          <w:tcPr>
            <w:tcW w:w="1298" w:type="pct"/>
            <w:vAlign w:val="center"/>
          </w:tcPr>
          <w:p w14:paraId="1B5403B0" w14:textId="77777777" w:rsidR="00495C65" w:rsidRPr="00251F5C" w:rsidRDefault="00495C65" w:rsidP="00F25307">
            <w:pPr>
              <w:pStyle w:val="13"/>
              <w:spacing w:line="240" w:lineRule="auto"/>
              <w:ind w:firstLineChars="0" w:firstLine="0"/>
              <w:jc w:val="center"/>
            </w:pPr>
            <w:r w:rsidRPr="00251F5C">
              <w:t>期日修正系数</w:t>
            </w:r>
          </w:p>
        </w:tc>
        <w:tc>
          <w:tcPr>
            <w:tcW w:w="3702" w:type="pct"/>
            <w:vAlign w:val="center"/>
          </w:tcPr>
          <w:p w14:paraId="011E477D" w14:textId="77777777" w:rsidR="00495C65" w:rsidRDefault="00495C65" w:rsidP="00F25307">
            <w:pPr>
              <w:pStyle w:val="13"/>
              <w:spacing w:line="240" w:lineRule="auto"/>
              <w:ind w:firstLineChars="0" w:firstLine="0"/>
            </w:pPr>
            <w:r w:rsidRPr="00251F5C">
              <w:t>1、查询中国城市地价动态监测，以地价水平、地价增长率代替，有时该二项指标未能公布至评估基准日所在年代，未公布年份可按往年年均增幅考虑。</w:t>
            </w:r>
          </w:p>
          <w:p w14:paraId="01A94401" w14:textId="77777777" w:rsidR="00495C65" w:rsidRPr="00251F5C" w:rsidRDefault="00495C65" w:rsidP="00F25307">
            <w:pPr>
              <w:pStyle w:val="13"/>
              <w:spacing w:line="240" w:lineRule="auto"/>
              <w:ind w:firstLineChars="0" w:firstLine="0"/>
            </w:pPr>
            <w:r w:rsidRPr="00251F5C">
              <w:t>2、以近期周边土地成交实例平均价格除以对应级别基准地价，此种方法可以使市场法与基准地价系数修正法二种方法评估结果接近。</w:t>
            </w:r>
          </w:p>
        </w:tc>
      </w:tr>
      <w:tr w:rsidR="00495C65" w:rsidRPr="00251F5C" w14:paraId="223FEEB2" w14:textId="77777777" w:rsidTr="00226138">
        <w:trPr>
          <w:trHeight w:val="832"/>
          <w:jc w:val="center"/>
        </w:trPr>
        <w:tc>
          <w:tcPr>
            <w:tcW w:w="1298" w:type="pct"/>
            <w:vAlign w:val="center"/>
          </w:tcPr>
          <w:p w14:paraId="59EE79D7" w14:textId="77777777" w:rsidR="00495C65" w:rsidRPr="00251F5C" w:rsidRDefault="00495C65" w:rsidP="00F25307">
            <w:pPr>
              <w:pStyle w:val="13"/>
              <w:spacing w:line="240" w:lineRule="auto"/>
              <w:ind w:firstLineChars="0" w:firstLine="0"/>
              <w:jc w:val="center"/>
            </w:pPr>
            <w:r w:rsidRPr="00251F5C">
              <w:t>容积率修正系数</w:t>
            </w:r>
          </w:p>
        </w:tc>
        <w:tc>
          <w:tcPr>
            <w:tcW w:w="3702" w:type="pct"/>
            <w:vAlign w:val="center"/>
          </w:tcPr>
          <w:p w14:paraId="2CC52597" w14:textId="77777777" w:rsidR="00495C65" w:rsidRPr="00251F5C" w:rsidRDefault="00495C65" w:rsidP="00F25307">
            <w:pPr>
              <w:pStyle w:val="13"/>
              <w:spacing w:line="240" w:lineRule="auto"/>
              <w:ind w:firstLineChars="0" w:firstLine="0"/>
            </w:pPr>
            <w:r w:rsidRPr="00251F5C">
              <w:t>一般情况下容积率小于2的工业用地不作容积率修正。大于2 的参照如同期城镇基准地价修正体系成果将容积率代入其中进行测算修正。</w:t>
            </w:r>
          </w:p>
        </w:tc>
      </w:tr>
      <w:tr w:rsidR="00495C65" w:rsidRPr="00251F5C" w14:paraId="11326E31" w14:textId="77777777" w:rsidTr="00226138">
        <w:trPr>
          <w:trHeight w:val="447"/>
          <w:jc w:val="center"/>
        </w:trPr>
        <w:tc>
          <w:tcPr>
            <w:tcW w:w="1298" w:type="pct"/>
            <w:vAlign w:val="center"/>
          </w:tcPr>
          <w:p w14:paraId="09B4D82B" w14:textId="77777777" w:rsidR="00495C65" w:rsidRPr="00251F5C" w:rsidRDefault="00495C65" w:rsidP="00F25307">
            <w:pPr>
              <w:pStyle w:val="13"/>
              <w:spacing w:line="240" w:lineRule="auto"/>
              <w:ind w:firstLineChars="0" w:firstLine="0"/>
              <w:jc w:val="center"/>
            </w:pPr>
            <w:r w:rsidRPr="00251F5C">
              <w:t>土地开发程度修正值</w:t>
            </w:r>
          </w:p>
        </w:tc>
        <w:tc>
          <w:tcPr>
            <w:tcW w:w="3702" w:type="pct"/>
            <w:vAlign w:val="center"/>
          </w:tcPr>
          <w:p w14:paraId="79D59141" w14:textId="77777777" w:rsidR="00495C65" w:rsidRPr="00251F5C" w:rsidRDefault="00495C65" w:rsidP="00F25307">
            <w:pPr>
              <w:pStyle w:val="13"/>
              <w:spacing w:line="240" w:lineRule="auto"/>
              <w:ind w:firstLineChars="0" w:firstLine="0"/>
            </w:pPr>
            <w:proofErr w:type="gramStart"/>
            <w:r w:rsidRPr="00251F5C">
              <w:t>依据委估宗地</w:t>
            </w:r>
            <w:proofErr w:type="gramEnd"/>
            <w:r w:rsidRPr="00251F5C">
              <w:t>现状结合同期城镇基准地价，进行修正。</w:t>
            </w:r>
          </w:p>
        </w:tc>
      </w:tr>
    </w:tbl>
    <w:p w14:paraId="56B9FFC7" w14:textId="77777777" w:rsidR="00495C65" w:rsidRDefault="00495C65" w:rsidP="00495C65">
      <w:pPr>
        <w:pStyle w:val="13"/>
      </w:pPr>
      <w:r w:rsidRPr="00BD25FA">
        <w:t>c）土地成本逼近法估价要点</w:t>
      </w:r>
    </w:p>
    <w:p w14:paraId="3896550D" w14:textId="77777777" w:rsidR="00495C65" w:rsidRPr="006E0F6C" w:rsidRDefault="00495C65" w:rsidP="00495C65">
      <w:pPr>
        <w:pStyle w:val="13"/>
        <w:ind w:firstLineChars="0" w:firstLine="0"/>
        <w:jc w:val="center"/>
      </w:pPr>
      <w:r w:rsidRPr="00BD25FA">
        <w:rPr>
          <w:rFonts w:hint="eastAsia"/>
        </w:rPr>
        <w:t>成本逼近</w:t>
      </w:r>
      <w:proofErr w:type="gramStart"/>
      <w:r w:rsidRPr="00BD25FA">
        <w:rPr>
          <w:rFonts w:hint="eastAsia"/>
        </w:rPr>
        <w:t>法土地</w:t>
      </w:r>
      <w:proofErr w:type="gramEnd"/>
      <w:r w:rsidRPr="00BD25FA">
        <w:rPr>
          <w:rFonts w:hint="eastAsia"/>
        </w:rPr>
        <w:t>估价参数分类</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6"/>
        <w:gridCol w:w="3136"/>
        <w:gridCol w:w="3408"/>
      </w:tblGrid>
      <w:tr w:rsidR="00495C65" w:rsidRPr="00F25307" w14:paraId="7DC40DAE" w14:textId="77777777" w:rsidTr="0057366E">
        <w:trPr>
          <w:trHeight w:val="271"/>
          <w:tblHeader/>
          <w:jc w:val="center"/>
        </w:trPr>
        <w:tc>
          <w:tcPr>
            <w:tcW w:w="1248" w:type="pct"/>
            <w:vAlign w:val="center"/>
          </w:tcPr>
          <w:p w14:paraId="7A49B2CE"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一级类</w:t>
            </w:r>
          </w:p>
        </w:tc>
        <w:tc>
          <w:tcPr>
            <w:tcW w:w="1798" w:type="pct"/>
            <w:vAlign w:val="center"/>
          </w:tcPr>
          <w:p w14:paraId="785D75EE"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二级类</w:t>
            </w:r>
          </w:p>
        </w:tc>
        <w:tc>
          <w:tcPr>
            <w:tcW w:w="1954" w:type="pct"/>
            <w:vAlign w:val="center"/>
          </w:tcPr>
          <w:p w14:paraId="34821749"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计算基数</w:t>
            </w:r>
          </w:p>
        </w:tc>
      </w:tr>
      <w:tr w:rsidR="00495C65" w:rsidRPr="00F25307" w14:paraId="6001CE22" w14:textId="77777777" w:rsidTr="00226138">
        <w:trPr>
          <w:trHeight w:val="443"/>
          <w:jc w:val="center"/>
        </w:trPr>
        <w:tc>
          <w:tcPr>
            <w:tcW w:w="1248" w:type="pct"/>
            <w:vMerge w:val="restart"/>
            <w:vAlign w:val="center"/>
          </w:tcPr>
          <w:p w14:paraId="654DB4F5"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土地取得费</w:t>
            </w:r>
          </w:p>
        </w:tc>
        <w:tc>
          <w:tcPr>
            <w:tcW w:w="1798" w:type="pct"/>
            <w:vAlign w:val="center"/>
          </w:tcPr>
          <w:p w14:paraId="712418CE" w14:textId="77777777" w:rsidR="00495C65" w:rsidRPr="00F25307" w:rsidRDefault="00495C65" w:rsidP="00F25307">
            <w:pPr>
              <w:pStyle w:val="13"/>
              <w:spacing w:line="240" w:lineRule="auto"/>
              <w:ind w:firstLineChars="0" w:firstLine="0"/>
              <w:rPr>
                <w:sz w:val="21"/>
                <w:szCs w:val="21"/>
              </w:rPr>
            </w:pPr>
            <w:r w:rsidRPr="00F25307">
              <w:rPr>
                <w:sz w:val="21"/>
                <w:szCs w:val="21"/>
              </w:rPr>
              <w:t>土地征收补偿安置费</w:t>
            </w:r>
          </w:p>
        </w:tc>
        <w:tc>
          <w:tcPr>
            <w:tcW w:w="1954" w:type="pct"/>
            <w:vAlign w:val="center"/>
          </w:tcPr>
          <w:p w14:paraId="10D89611" w14:textId="77777777" w:rsidR="00495C65" w:rsidRPr="00F25307" w:rsidRDefault="00495C65" w:rsidP="00F25307">
            <w:pPr>
              <w:pStyle w:val="13"/>
              <w:spacing w:line="240" w:lineRule="auto"/>
              <w:ind w:firstLineChars="0" w:firstLine="0"/>
              <w:rPr>
                <w:sz w:val="21"/>
                <w:szCs w:val="21"/>
              </w:rPr>
            </w:pPr>
            <w:proofErr w:type="gramStart"/>
            <w:r w:rsidRPr="00F25307">
              <w:rPr>
                <w:sz w:val="21"/>
                <w:szCs w:val="21"/>
              </w:rPr>
              <w:t>征地区片综合</w:t>
            </w:r>
            <w:proofErr w:type="gramEnd"/>
            <w:r w:rsidRPr="00F25307">
              <w:rPr>
                <w:sz w:val="21"/>
                <w:szCs w:val="21"/>
              </w:rPr>
              <w:t>地价</w:t>
            </w:r>
          </w:p>
        </w:tc>
      </w:tr>
      <w:tr w:rsidR="00495C65" w:rsidRPr="00F25307" w14:paraId="17A76A38" w14:textId="77777777" w:rsidTr="00226138">
        <w:trPr>
          <w:trHeight w:val="443"/>
          <w:jc w:val="center"/>
        </w:trPr>
        <w:tc>
          <w:tcPr>
            <w:tcW w:w="1248" w:type="pct"/>
            <w:vMerge/>
            <w:tcBorders>
              <w:top w:val="nil"/>
            </w:tcBorders>
            <w:vAlign w:val="center"/>
          </w:tcPr>
          <w:p w14:paraId="404DE4E3" w14:textId="77777777" w:rsidR="00495C65" w:rsidRPr="00F25307" w:rsidRDefault="00495C65" w:rsidP="00F25307">
            <w:pPr>
              <w:pStyle w:val="13"/>
              <w:spacing w:line="240" w:lineRule="auto"/>
              <w:ind w:firstLineChars="0" w:firstLine="0"/>
              <w:jc w:val="center"/>
              <w:rPr>
                <w:sz w:val="21"/>
                <w:szCs w:val="21"/>
              </w:rPr>
            </w:pPr>
          </w:p>
        </w:tc>
        <w:tc>
          <w:tcPr>
            <w:tcW w:w="1798" w:type="pct"/>
            <w:vAlign w:val="center"/>
          </w:tcPr>
          <w:p w14:paraId="0752BFF2" w14:textId="77777777" w:rsidR="00495C65" w:rsidRPr="00F25307" w:rsidRDefault="00495C65" w:rsidP="00F25307">
            <w:pPr>
              <w:pStyle w:val="13"/>
              <w:spacing w:line="240" w:lineRule="auto"/>
              <w:ind w:firstLineChars="0" w:firstLine="0"/>
              <w:rPr>
                <w:sz w:val="21"/>
                <w:szCs w:val="21"/>
              </w:rPr>
            </w:pPr>
            <w:r w:rsidRPr="00F25307">
              <w:rPr>
                <w:sz w:val="21"/>
                <w:szCs w:val="21"/>
              </w:rPr>
              <w:t>被征收土地农民社会保障资金</w:t>
            </w:r>
          </w:p>
        </w:tc>
        <w:tc>
          <w:tcPr>
            <w:tcW w:w="1954" w:type="pct"/>
            <w:vAlign w:val="center"/>
          </w:tcPr>
          <w:p w14:paraId="0C9A5479" w14:textId="77777777" w:rsidR="00495C65" w:rsidRPr="00F25307" w:rsidRDefault="00495C65" w:rsidP="00F25307">
            <w:pPr>
              <w:pStyle w:val="13"/>
              <w:spacing w:line="240" w:lineRule="auto"/>
              <w:ind w:firstLineChars="0" w:firstLine="0"/>
              <w:rPr>
                <w:sz w:val="21"/>
                <w:szCs w:val="21"/>
              </w:rPr>
            </w:pPr>
            <w:proofErr w:type="gramStart"/>
            <w:r w:rsidRPr="00F25307">
              <w:rPr>
                <w:sz w:val="21"/>
                <w:szCs w:val="21"/>
              </w:rPr>
              <w:t>征地区片综合</w:t>
            </w:r>
            <w:proofErr w:type="gramEnd"/>
            <w:r w:rsidRPr="00F25307">
              <w:rPr>
                <w:sz w:val="21"/>
                <w:szCs w:val="21"/>
              </w:rPr>
              <w:t>地价</w:t>
            </w:r>
          </w:p>
        </w:tc>
      </w:tr>
      <w:tr w:rsidR="00495C65" w:rsidRPr="00F25307" w14:paraId="5F0C6DF9" w14:textId="77777777" w:rsidTr="00226138">
        <w:trPr>
          <w:trHeight w:val="445"/>
          <w:jc w:val="center"/>
        </w:trPr>
        <w:tc>
          <w:tcPr>
            <w:tcW w:w="1248" w:type="pct"/>
            <w:vMerge/>
            <w:tcBorders>
              <w:top w:val="nil"/>
            </w:tcBorders>
            <w:vAlign w:val="center"/>
          </w:tcPr>
          <w:p w14:paraId="0CA2AC08" w14:textId="77777777" w:rsidR="00495C65" w:rsidRPr="00F25307" w:rsidRDefault="00495C65" w:rsidP="00F25307">
            <w:pPr>
              <w:pStyle w:val="13"/>
              <w:spacing w:line="240" w:lineRule="auto"/>
              <w:ind w:firstLineChars="0" w:firstLine="0"/>
              <w:jc w:val="center"/>
              <w:rPr>
                <w:sz w:val="21"/>
                <w:szCs w:val="21"/>
              </w:rPr>
            </w:pPr>
          </w:p>
        </w:tc>
        <w:tc>
          <w:tcPr>
            <w:tcW w:w="1798" w:type="pct"/>
            <w:vAlign w:val="center"/>
          </w:tcPr>
          <w:p w14:paraId="57AE5F89" w14:textId="77777777" w:rsidR="00495C65" w:rsidRPr="00F25307" w:rsidRDefault="00495C65" w:rsidP="00F25307">
            <w:pPr>
              <w:pStyle w:val="13"/>
              <w:spacing w:line="240" w:lineRule="auto"/>
              <w:ind w:firstLineChars="0" w:firstLine="0"/>
              <w:rPr>
                <w:sz w:val="21"/>
                <w:szCs w:val="21"/>
              </w:rPr>
            </w:pPr>
            <w:r w:rsidRPr="00F25307">
              <w:rPr>
                <w:sz w:val="21"/>
                <w:szCs w:val="21"/>
              </w:rPr>
              <w:t>地上附着物补偿费</w:t>
            </w:r>
          </w:p>
        </w:tc>
        <w:tc>
          <w:tcPr>
            <w:tcW w:w="1954" w:type="pct"/>
            <w:vAlign w:val="center"/>
          </w:tcPr>
          <w:p w14:paraId="5793E030" w14:textId="77777777" w:rsidR="00495C65" w:rsidRPr="00F25307" w:rsidRDefault="00495C65" w:rsidP="00F25307">
            <w:pPr>
              <w:pStyle w:val="13"/>
              <w:spacing w:line="240" w:lineRule="auto"/>
              <w:ind w:firstLineChars="0" w:firstLine="0"/>
              <w:rPr>
                <w:sz w:val="21"/>
                <w:szCs w:val="21"/>
              </w:rPr>
            </w:pPr>
          </w:p>
        </w:tc>
      </w:tr>
      <w:tr w:rsidR="00495C65" w:rsidRPr="00F25307" w14:paraId="5BA29DD1" w14:textId="77777777" w:rsidTr="00226138">
        <w:trPr>
          <w:trHeight w:val="443"/>
          <w:jc w:val="center"/>
        </w:trPr>
        <w:tc>
          <w:tcPr>
            <w:tcW w:w="1248" w:type="pct"/>
            <w:vMerge/>
            <w:tcBorders>
              <w:top w:val="nil"/>
            </w:tcBorders>
            <w:vAlign w:val="center"/>
          </w:tcPr>
          <w:p w14:paraId="7AE3CFCE" w14:textId="77777777" w:rsidR="00495C65" w:rsidRPr="00F25307" w:rsidRDefault="00495C65" w:rsidP="00F25307">
            <w:pPr>
              <w:pStyle w:val="13"/>
              <w:spacing w:line="240" w:lineRule="auto"/>
              <w:ind w:firstLineChars="0" w:firstLine="0"/>
              <w:jc w:val="center"/>
              <w:rPr>
                <w:sz w:val="21"/>
                <w:szCs w:val="21"/>
              </w:rPr>
            </w:pPr>
          </w:p>
        </w:tc>
        <w:tc>
          <w:tcPr>
            <w:tcW w:w="1798" w:type="pct"/>
            <w:vAlign w:val="center"/>
          </w:tcPr>
          <w:p w14:paraId="10A816B0" w14:textId="77777777" w:rsidR="00495C65" w:rsidRPr="00F25307" w:rsidRDefault="00495C65" w:rsidP="00F25307">
            <w:pPr>
              <w:pStyle w:val="13"/>
              <w:spacing w:line="240" w:lineRule="auto"/>
              <w:ind w:firstLineChars="0" w:firstLine="0"/>
              <w:rPr>
                <w:sz w:val="21"/>
                <w:szCs w:val="21"/>
              </w:rPr>
            </w:pPr>
            <w:r w:rsidRPr="00F25307">
              <w:rPr>
                <w:sz w:val="21"/>
                <w:szCs w:val="21"/>
              </w:rPr>
              <w:t>青苗补偿费</w:t>
            </w:r>
          </w:p>
        </w:tc>
        <w:tc>
          <w:tcPr>
            <w:tcW w:w="1954" w:type="pct"/>
            <w:vAlign w:val="center"/>
          </w:tcPr>
          <w:p w14:paraId="1B7B135D" w14:textId="77777777" w:rsidR="00495C65" w:rsidRPr="00F25307" w:rsidRDefault="00495C65" w:rsidP="00F25307">
            <w:pPr>
              <w:pStyle w:val="13"/>
              <w:spacing w:line="240" w:lineRule="auto"/>
              <w:ind w:firstLineChars="0" w:firstLine="0"/>
              <w:rPr>
                <w:sz w:val="21"/>
                <w:szCs w:val="21"/>
              </w:rPr>
            </w:pPr>
            <w:r w:rsidRPr="00F25307">
              <w:rPr>
                <w:sz w:val="21"/>
                <w:szCs w:val="21"/>
              </w:rPr>
              <w:t>耕地年产值标准</w:t>
            </w:r>
          </w:p>
        </w:tc>
      </w:tr>
      <w:tr w:rsidR="00495C65" w:rsidRPr="00F25307" w14:paraId="4983B7B4" w14:textId="77777777" w:rsidTr="00226138">
        <w:trPr>
          <w:trHeight w:val="443"/>
          <w:jc w:val="center"/>
        </w:trPr>
        <w:tc>
          <w:tcPr>
            <w:tcW w:w="1248" w:type="pct"/>
            <w:vMerge w:val="restart"/>
            <w:vAlign w:val="center"/>
          </w:tcPr>
          <w:p w14:paraId="088D3C43"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农用地转用相关税费</w:t>
            </w:r>
          </w:p>
        </w:tc>
        <w:tc>
          <w:tcPr>
            <w:tcW w:w="1798" w:type="pct"/>
            <w:vAlign w:val="center"/>
          </w:tcPr>
          <w:p w14:paraId="2D4D87F2" w14:textId="77777777" w:rsidR="00495C65" w:rsidRPr="00F25307" w:rsidRDefault="00495C65" w:rsidP="00F25307">
            <w:pPr>
              <w:pStyle w:val="13"/>
              <w:spacing w:line="240" w:lineRule="auto"/>
              <w:ind w:firstLineChars="0" w:firstLine="0"/>
              <w:rPr>
                <w:sz w:val="21"/>
                <w:szCs w:val="21"/>
              </w:rPr>
            </w:pPr>
            <w:r w:rsidRPr="00F25307">
              <w:rPr>
                <w:sz w:val="21"/>
                <w:szCs w:val="21"/>
              </w:rPr>
              <w:t>耕地开垦费</w:t>
            </w:r>
          </w:p>
        </w:tc>
        <w:tc>
          <w:tcPr>
            <w:tcW w:w="1954" w:type="pct"/>
            <w:vAlign w:val="center"/>
          </w:tcPr>
          <w:p w14:paraId="12650BD5" w14:textId="77777777" w:rsidR="00495C65" w:rsidRPr="00F25307" w:rsidRDefault="00495C65" w:rsidP="00F25307">
            <w:pPr>
              <w:pStyle w:val="13"/>
              <w:spacing w:line="240" w:lineRule="auto"/>
              <w:ind w:firstLineChars="0" w:firstLine="0"/>
              <w:rPr>
                <w:sz w:val="21"/>
                <w:szCs w:val="21"/>
              </w:rPr>
            </w:pPr>
            <w:r w:rsidRPr="00F25307">
              <w:rPr>
                <w:sz w:val="21"/>
                <w:szCs w:val="21"/>
              </w:rPr>
              <w:t>耕地年产值标准</w:t>
            </w:r>
          </w:p>
        </w:tc>
      </w:tr>
      <w:tr w:rsidR="00495C65" w:rsidRPr="00F25307" w14:paraId="38ED89CC" w14:textId="77777777" w:rsidTr="00226138">
        <w:trPr>
          <w:trHeight w:val="444"/>
          <w:jc w:val="center"/>
        </w:trPr>
        <w:tc>
          <w:tcPr>
            <w:tcW w:w="1248" w:type="pct"/>
            <w:vMerge/>
            <w:tcBorders>
              <w:top w:val="nil"/>
            </w:tcBorders>
            <w:vAlign w:val="center"/>
          </w:tcPr>
          <w:p w14:paraId="5D2B5F9D" w14:textId="77777777" w:rsidR="00495C65" w:rsidRPr="00F25307" w:rsidRDefault="00495C65" w:rsidP="00F25307">
            <w:pPr>
              <w:pStyle w:val="13"/>
              <w:spacing w:line="240" w:lineRule="auto"/>
              <w:ind w:firstLineChars="0" w:firstLine="0"/>
              <w:jc w:val="center"/>
              <w:rPr>
                <w:sz w:val="21"/>
                <w:szCs w:val="21"/>
              </w:rPr>
            </w:pPr>
          </w:p>
        </w:tc>
        <w:tc>
          <w:tcPr>
            <w:tcW w:w="1798" w:type="pct"/>
            <w:vAlign w:val="center"/>
          </w:tcPr>
          <w:p w14:paraId="63FFE11A" w14:textId="77777777" w:rsidR="00495C65" w:rsidRPr="00F25307" w:rsidRDefault="00495C65" w:rsidP="00F25307">
            <w:pPr>
              <w:pStyle w:val="13"/>
              <w:spacing w:line="240" w:lineRule="auto"/>
              <w:ind w:firstLineChars="0" w:firstLine="0"/>
              <w:rPr>
                <w:sz w:val="21"/>
                <w:szCs w:val="21"/>
              </w:rPr>
            </w:pPr>
            <w:r w:rsidRPr="00F25307">
              <w:rPr>
                <w:sz w:val="21"/>
                <w:szCs w:val="21"/>
              </w:rPr>
              <w:t>新菜地开发建设基金</w:t>
            </w:r>
          </w:p>
        </w:tc>
        <w:tc>
          <w:tcPr>
            <w:tcW w:w="1954" w:type="pct"/>
            <w:vAlign w:val="center"/>
          </w:tcPr>
          <w:p w14:paraId="6A6B7ED4" w14:textId="77777777" w:rsidR="00495C65" w:rsidRPr="00F25307" w:rsidRDefault="00495C65" w:rsidP="00F25307">
            <w:pPr>
              <w:pStyle w:val="13"/>
              <w:spacing w:line="240" w:lineRule="auto"/>
              <w:ind w:firstLineChars="0" w:firstLine="0"/>
              <w:rPr>
                <w:sz w:val="21"/>
                <w:szCs w:val="21"/>
              </w:rPr>
            </w:pPr>
          </w:p>
        </w:tc>
      </w:tr>
      <w:tr w:rsidR="00495C65" w:rsidRPr="00F25307" w14:paraId="72568367" w14:textId="77777777" w:rsidTr="00226138">
        <w:trPr>
          <w:trHeight w:val="443"/>
          <w:jc w:val="center"/>
        </w:trPr>
        <w:tc>
          <w:tcPr>
            <w:tcW w:w="1248" w:type="pct"/>
            <w:vMerge/>
            <w:tcBorders>
              <w:top w:val="nil"/>
            </w:tcBorders>
            <w:vAlign w:val="center"/>
          </w:tcPr>
          <w:p w14:paraId="0BCC177A" w14:textId="77777777" w:rsidR="00495C65" w:rsidRPr="00F25307" w:rsidRDefault="00495C65" w:rsidP="00F25307">
            <w:pPr>
              <w:pStyle w:val="13"/>
              <w:spacing w:line="240" w:lineRule="auto"/>
              <w:ind w:firstLineChars="0" w:firstLine="0"/>
              <w:jc w:val="center"/>
              <w:rPr>
                <w:sz w:val="21"/>
                <w:szCs w:val="21"/>
              </w:rPr>
            </w:pPr>
          </w:p>
        </w:tc>
        <w:tc>
          <w:tcPr>
            <w:tcW w:w="1798" w:type="pct"/>
            <w:vAlign w:val="center"/>
          </w:tcPr>
          <w:p w14:paraId="2FAD57EC" w14:textId="77777777" w:rsidR="00495C65" w:rsidRPr="00F25307" w:rsidRDefault="00495C65" w:rsidP="00F25307">
            <w:pPr>
              <w:pStyle w:val="13"/>
              <w:spacing w:line="240" w:lineRule="auto"/>
              <w:ind w:firstLineChars="0" w:firstLine="0"/>
              <w:rPr>
                <w:sz w:val="21"/>
                <w:szCs w:val="21"/>
              </w:rPr>
            </w:pPr>
            <w:r w:rsidRPr="00F25307">
              <w:rPr>
                <w:sz w:val="21"/>
                <w:szCs w:val="21"/>
              </w:rPr>
              <w:t>耕地占用税</w:t>
            </w:r>
          </w:p>
        </w:tc>
        <w:tc>
          <w:tcPr>
            <w:tcW w:w="1954" w:type="pct"/>
            <w:vAlign w:val="center"/>
          </w:tcPr>
          <w:p w14:paraId="2812BFD8" w14:textId="77777777" w:rsidR="00495C65" w:rsidRPr="00F25307" w:rsidRDefault="00495C65" w:rsidP="00F25307">
            <w:pPr>
              <w:pStyle w:val="13"/>
              <w:spacing w:line="240" w:lineRule="auto"/>
              <w:ind w:firstLineChars="0" w:firstLine="0"/>
              <w:rPr>
                <w:sz w:val="21"/>
                <w:szCs w:val="21"/>
              </w:rPr>
            </w:pPr>
          </w:p>
        </w:tc>
      </w:tr>
      <w:tr w:rsidR="00495C65" w:rsidRPr="00F25307" w14:paraId="76C2CE3E" w14:textId="77777777" w:rsidTr="00226138">
        <w:trPr>
          <w:trHeight w:val="443"/>
          <w:jc w:val="center"/>
        </w:trPr>
        <w:tc>
          <w:tcPr>
            <w:tcW w:w="1248" w:type="pct"/>
            <w:vMerge/>
            <w:tcBorders>
              <w:top w:val="nil"/>
            </w:tcBorders>
            <w:vAlign w:val="center"/>
          </w:tcPr>
          <w:p w14:paraId="7BFC009F" w14:textId="77777777" w:rsidR="00495C65" w:rsidRPr="00F25307" w:rsidRDefault="00495C65" w:rsidP="00F25307">
            <w:pPr>
              <w:pStyle w:val="13"/>
              <w:spacing w:line="240" w:lineRule="auto"/>
              <w:ind w:firstLineChars="0" w:firstLine="0"/>
              <w:jc w:val="center"/>
              <w:rPr>
                <w:sz w:val="21"/>
                <w:szCs w:val="21"/>
              </w:rPr>
            </w:pPr>
          </w:p>
        </w:tc>
        <w:tc>
          <w:tcPr>
            <w:tcW w:w="1798" w:type="pct"/>
            <w:vAlign w:val="center"/>
          </w:tcPr>
          <w:p w14:paraId="0DB0DDDC" w14:textId="77777777" w:rsidR="00495C65" w:rsidRPr="00F25307" w:rsidRDefault="00495C65" w:rsidP="00F25307">
            <w:pPr>
              <w:pStyle w:val="13"/>
              <w:spacing w:line="240" w:lineRule="auto"/>
              <w:ind w:firstLineChars="0" w:firstLine="0"/>
              <w:rPr>
                <w:sz w:val="21"/>
                <w:szCs w:val="21"/>
              </w:rPr>
            </w:pPr>
            <w:r w:rsidRPr="00F25307">
              <w:rPr>
                <w:sz w:val="21"/>
                <w:szCs w:val="21"/>
              </w:rPr>
              <w:t>征地管理费</w:t>
            </w:r>
          </w:p>
        </w:tc>
        <w:tc>
          <w:tcPr>
            <w:tcW w:w="1954" w:type="pct"/>
            <w:vAlign w:val="center"/>
          </w:tcPr>
          <w:p w14:paraId="553BEB68" w14:textId="77777777" w:rsidR="00495C65" w:rsidRPr="00F25307" w:rsidRDefault="00495C65" w:rsidP="00F25307">
            <w:pPr>
              <w:pStyle w:val="13"/>
              <w:spacing w:line="240" w:lineRule="auto"/>
              <w:ind w:firstLineChars="0" w:firstLine="0"/>
              <w:rPr>
                <w:sz w:val="21"/>
                <w:szCs w:val="21"/>
              </w:rPr>
            </w:pPr>
            <w:r w:rsidRPr="00F25307">
              <w:rPr>
                <w:sz w:val="21"/>
                <w:szCs w:val="21"/>
              </w:rPr>
              <w:t>土地取得费</w:t>
            </w:r>
          </w:p>
        </w:tc>
      </w:tr>
      <w:tr w:rsidR="00495C65" w:rsidRPr="00F25307" w14:paraId="4F032C8D" w14:textId="77777777" w:rsidTr="00226138">
        <w:trPr>
          <w:trHeight w:val="444"/>
          <w:jc w:val="center"/>
        </w:trPr>
        <w:tc>
          <w:tcPr>
            <w:tcW w:w="1248" w:type="pct"/>
            <w:vMerge w:val="restart"/>
            <w:vAlign w:val="center"/>
          </w:tcPr>
          <w:p w14:paraId="2A6F1C15"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lastRenderedPageBreak/>
              <w:t>土地开发费</w:t>
            </w:r>
          </w:p>
        </w:tc>
        <w:tc>
          <w:tcPr>
            <w:tcW w:w="1798" w:type="pct"/>
            <w:vAlign w:val="center"/>
          </w:tcPr>
          <w:p w14:paraId="03951957" w14:textId="77777777" w:rsidR="00495C65" w:rsidRPr="00F25307" w:rsidRDefault="00495C65" w:rsidP="00F25307">
            <w:pPr>
              <w:pStyle w:val="13"/>
              <w:spacing w:line="240" w:lineRule="auto"/>
              <w:ind w:firstLineChars="0" w:firstLine="0"/>
              <w:rPr>
                <w:sz w:val="21"/>
                <w:szCs w:val="21"/>
              </w:rPr>
            </w:pPr>
            <w:r w:rsidRPr="00F25307">
              <w:rPr>
                <w:sz w:val="21"/>
                <w:szCs w:val="21"/>
              </w:rPr>
              <w:t>宗地外土地开发费</w:t>
            </w:r>
          </w:p>
        </w:tc>
        <w:tc>
          <w:tcPr>
            <w:tcW w:w="1954" w:type="pct"/>
            <w:vAlign w:val="center"/>
          </w:tcPr>
          <w:p w14:paraId="09F9CB91" w14:textId="77777777" w:rsidR="00495C65" w:rsidRPr="00F25307" w:rsidRDefault="00495C65" w:rsidP="00F25307">
            <w:pPr>
              <w:pStyle w:val="13"/>
              <w:spacing w:line="240" w:lineRule="auto"/>
              <w:ind w:firstLineChars="0" w:firstLine="0"/>
              <w:rPr>
                <w:sz w:val="21"/>
                <w:szCs w:val="21"/>
              </w:rPr>
            </w:pPr>
          </w:p>
        </w:tc>
      </w:tr>
      <w:tr w:rsidR="00495C65" w:rsidRPr="00F25307" w14:paraId="14702197" w14:textId="77777777" w:rsidTr="00226138">
        <w:trPr>
          <w:trHeight w:val="443"/>
          <w:jc w:val="center"/>
        </w:trPr>
        <w:tc>
          <w:tcPr>
            <w:tcW w:w="1248" w:type="pct"/>
            <w:vMerge/>
            <w:tcBorders>
              <w:top w:val="nil"/>
            </w:tcBorders>
            <w:vAlign w:val="center"/>
          </w:tcPr>
          <w:p w14:paraId="47D103E0" w14:textId="77777777" w:rsidR="00495C65" w:rsidRPr="00F25307" w:rsidRDefault="00495C65" w:rsidP="00F25307">
            <w:pPr>
              <w:pStyle w:val="13"/>
              <w:spacing w:line="240" w:lineRule="auto"/>
              <w:ind w:firstLineChars="0" w:firstLine="0"/>
              <w:jc w:val="center"/>
              <w:rPr>
                <w:sz w:val="21"/>
                <w:szCs w:val="21"/>
              </w:rPr>
            </w:pPr>
          </w:p>
        </w:tc>
        <w:tc>
          <w:tcPr>
            <w:tcW w:w="1798" w:type="pct"/>
            <w:vAlign w:val="center"/>
          </w:tcPr>
          <w:p w14:paraId="388E7C5F" w14:textId="77777777" w:rsidR="00495C65" w:rsidRPr="00F25307" w:rsidRDefault="00495C65" w:rsidP="00F25307">
            <w:pPr>
              <w:pStyle w:val="13"/>
              <w:spacing w:line="240" w:lineRule="auto"/>
              <w:ind w:firstLineChars="0" w:firstLine="0"/>
              <w:rPr>
                <w:sz w:val="21"/>
                <w:szCs w:val="21"/>
              </w:rPr>
            </w:pPr>
            <w:r w:rsidRPr="00F25307">
              <w:rPr>
                <w:sz w:val="21"/>
                <w:szCs w:val="21"/>
              </w:rPr>
              <w:t>宗地内土地平整费</w:t>
            </w:r>
          </w:p>
        </w:tc>
        <w:tc>
          <w:tcPr>
            <w:tcW w:w="1954" w:type="pct"/>
            <w:vAlign w:val="center"/>
          </w:tcPr>
          <w:p w14:paraId="4D4613BD" w14:textId="77777777" w:rsidR="00495C65" w:rsidRPr="00F25307" w:rsidRDefault="00495C65" w:rsidP="00F25307">
            <w:pPr>
              <w:pStyle w:val="13"/>
              <w:spacing w:line="240" w:lineRule="auto"/>
              <w:ind w:firstLineChars="0" w:firstLine="0"/>
              <w:rPr>
                <w:sz w:val="21"/>
                <w:szCs w:val="21"/>
              </w:rPr>
            </w:pPr>
          </w:p>
        </w:tc>
      </w:tr>
      <w:tr w:rsidR="00495C65" w:rsidRPr="00F25307" w14:paraId="75CAE391" w14:textId="77777777" w:rsidTr="00226138">
        <w:trPr>
          <w:trHeight w:val="443"/>
          <w:jc w:val="center"/>
        </w:trPr>
        <w:tc>
          <w:tcPr>
            <w:tcW w:w="1248" w:type="pct"/>
            <w:vAlign w:val="center"/>
          </w:tcPr>
          <w:p w14:paraId="2CC54EDC"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土地投资利息</w:t>
            </w:r>
          </w:p>
        </w:tc>
        <w:tc>
          <w:tcPr>
            <w:tcW w:w="1798" w:type="pct"/>
            <w:vAlign w:val="center"/>
          </w:tcPr>
          <w:p w14:paraId="286F1FD2" w14:textId="77777777" w:rsidR="00495C65" w:rsidRPr="00F25307" w:rsidRDefault="00495C65" w:rsidP="00F25307">
            <w:pPr>
              <w:pStyle w:val="13"/>
              <w:spacing w:line="240" w:lineRule="auto"/>
              <w:ind w:firstLineChars="0" w:firstLine="0"/>
              <w:rPr>
                <w:sz w:val="21"/>
                <w:szCs w:val="21"/>
              </w:rPr>
            </w:pPr>
          </w:p>
        </w:tc>
        <w:tc>
          <w:tcPr>
            <w:tcW w:w="1954" w:type="pct"/>
            <w:vAlign w:val="center"/>
          </w:tcPr>
          <w:p w14:paraId="4A248338" w14:textId="77777777" w:rsidR="00495C65" w:rsidRPr="00F25307" w:rsidRDefault="00495C65" w:rsidP="00F25307">
            <w:pPr>
              <w:pStyle w:val="13"/>
              <w:spacing w:line="240" w:lineRule="auto"/>
              <w:ind w:firstLineChars="0" w:firstLine="0"/>
              <w:rPr>
                <w:sz w:val="21"/>
                <w:szCs w:val="21"/>
              </w:rPr>
            </w:pPr>
            <w:r w:rsidRPr="00F25307">
              <w:rPr>
                <w:sz w:val="21"/>
                <w:szCs w:val="21"/>
              </w:rPr>
              <w:t>土地取得费、土地开发费和相关税费之</w:t>
            </w:r>
          </w:p>
        </w:tc>
      </w:tr>
      <w:tr w:rsidR="00495C65" w:rsidRPr="00F25307" w14:paraId="61409DB2" w14:textId="77777777" w:rsidTr="00226138">
        <w:trPr>
          <w:trHeight w:val="444"/>
          <w:jc w:val="center"/>
        </w:trPr>
        <w:tc>
          <w:tcPr>
            <w:tcW w:w="1248" w:type="pct"/>
            <w:vAlign w:val="center"/>
          </w:tcPr>
          <w:p w14:paraId="038924EB"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土地开发利润</w:t>
            </w:r>
          </w:p>
        </w:tc>
        <w:tc>
          <w:tcPr>
            <w:tcW w:w="1798" w:type="pct"/>
            <w:vAlign w:val="center"/>
          </w:tcPr>
          <w:p w14:paraId="3F5A0CEF" w14:textId="77777777" w:rsidR="00495C65" w:rsidRPr="00F25307" w:rsidRDefault="00495C65" w:rsidP="00F25307">
            <w:pPr>
              <w:pStyle w:val="13"/>
              <w:spacing w:line="240" w:lineRule="auto"/>
              <w:ind w:firstLineChars="0" w:firstLine="0"/>
              <w:rPr>
                <w:sz w:val="21"/>
                <w:szCs w:val="21"/>
              </w:rPr>
            </w:pPr>
          </w:p>
        </w:tc>
        <w:tc>
          <w:tcPr>
            <w:tcW w:w="1954" w:type="pct"/>
            <w:vAlign w:val="center"/>
          </w:tcPr>
          <w:p w14:paraId="7CAF0430" w14:textId="77777777" w:rsidR="00495C65" w:rsidRPr="00F25307" w:rsidRDefault="00495C65" w:rsidP="00F25307">
            <w:pPr>
              <w:pStyle w:val="13"/>
              <w:spacing w:line="240" w:lineRule="auto"/>
              <w:ind w:firstLineChars="0" w:firstLine="0"/>
              <w:rPr>
                <w:sz w:val="21"/>
                <w:szCs w:val="21"/>
              </w:rPr>
            </w:pPr>
            <w:r w:rsidRPr="00F25307">
              <w:rPr>
                <w:sz w:val="21"/>
                <w:szCs w:val="21"/>
              </w:rPr>
              <w:t>土地取得费、土地开发费和相关税费之</w:t>
            </w:r>
          </w:p>
        </w:tc>
      </w:tr>
      <w:tr w:rsidR="00495C65" w:rsidRPr="00F25307" w14:paraId="33F3A8AE" w14:textId="77777777" w:rsidTr="00226138">
        <w:trPr>
          <w:trHeight w:val="977"/>
          <w:jc w:val="center"/>
        </w:trPr>
        <w:tc>
          <w:tcPr>
            <w:tcW w:w="1248" w:type="pct"/>
            <w:tcBorders>
              <w:bottom w:val="single" w:sz="4" w:space="0" w:color="auto"/>
            </w:tcBorders>
            <w:vAlign w:val="center"/>
          </w:tcPr>
          <w:p w14:paraId="06EEA40A"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土地增值</w:t>
            </w:r>
          </w:p>
        </w:tc>
        <w:tc>
          <w:tcPr>
            <w:tcW w:w="1798" w:type="pct"/>
            <w:tcBorders>
              <w:bottom w:val="single" w:sz="4" w:space="0" w:color="auto"/>
            </w:tcBorders>
            <w:vAlign w:val="center"/>
          </w:tcPr>
          <w:p w14:paraId="0C17B61A" w14:textId="77777777" w:rsidR="00495C65" w:rsidRPr="00F25307" w:rsidRDefault="00495C65" w:rsidP="00F25307">
            <w:pPr>
              <w:pStyle w:val="13"/>
              <w:spacing w:line="240" w:lineRule="auto"/>
              <w:ind w:firstLineChars="0" w:firstLine="0"/>
              <w:rPr>
                <w:sz w:val="21"/>
                <w:szCs w:val="21"/>
              </w:rPr>
            </w:pPr>
          </w:p>
        </w:tc>
        <w:tc>
          <w:tcPr>
            <w:tcW w:w="1954" w:type="pct"/>
            <w:tcBorders>
              <w:bottom w:val="single" w:sz="4" w:space="0" w:color="auto"/>
            </w:tcBorders>
            <w:vAlign w:val="center"/>
          </w:tcPr>
          <w:p w14:paraId="04B1CC34" w14:textId="77777777" w:rsidR="00495C65" w:rsidRPr="00F25307" w:rsidRDefault="00495C65" w:rsidP="00F25307">
            <w:pPr>
              <w:pStyle w:val="13"/>
              <w:spacing w:line="240" w:lineRule="auto"/>
              <w:ind w:firstLineChars="0" w:firstLine="0"/>
              <w:rPr>
                <w:sz w:val="21"/>
                <w:szCs w:val="21"/>
              </w:rPr>
            </w:pPr>
            <w:r w:rsidRPr="00F25307">
              <w:rPr>
                <w:sz w:val="21"/>
                <w:szCs w:val="21"/>
              </w:rPr>
              <w:t>土地取得费、土地开发费、相关税费、利息、利润之和</w:t>
            </w:r>
          </w:p>
        </w:tc>
      </w:tr>
      <w:tr w:rsidR="00495C65" w:rsidRPr="00F25307" w14:paraId="4A11D6EB" w14:textId="77777777" w:rsidTr="00226138">
        <w:trPr>
          <w:trHeight w:val="444"/>
          <w:jc w:val="center"/>
        </w:trPr>
        <w:tc>
          <w:tcPr>
            <w:tcW w:w="1248" w:type="pct"/>
            <w:vMerge w:val="restart"/>
            <w:tcBorders>
              <w:top w:val="single" w:sz="4" w:space="0" w:color="auto"/>
              <w:left w:val="single" w:sz="4" w:space="0" w:color="auto"/>
              <w:bottom w:val="single" w:sz="4" w:space="0" w:color="auto"/>
              <w:right w:val="single" w:sz="4" w:space="0" w:color="auto"/>
            </w:tcBorders>
            <w:vAlign w:val="center"/>
          </w:tcPr>
          <w:p w14:paraId="259AE11F"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修正系数</w:t>
            </w:r>
          </w:p>
        </w:tc>
        <w:tc>
          <w:tcPr>
            <w:tcW w:w="1798" w:type="pct"/>
            <w:tcBorders>
              <w:top w:val="single" w:sz="4" w:space="0" w:color="auto"/>
              <w:left w:val="single" w:sz="4" w:space="0" w:color="auto"/>
              <w:bottom w:val="single" w:sz="4" w:space="0" w:color="auto"/>
              <w:right w:val="single" w:sz="4" w:space="0" w:color="auto"/>
            </w:tcBorders>
            <w:vAlign w:val="center"/>
          </w:tcPr>
          <w:p w14:paraId="41BB27CC" w14:textId="77777777" w:rsidR="00495C65" w:rsidRPr="00F25307" w:rsidRDefault="00495C65" w:rsidP="00F25307">
            <w:pPr>
              <w:pStyle w:val="13"/>
              <w:spacing w:line="240" w:lineRule="auto"/>
              <w:ind w:firstLineChars="0" w:firstLine="0"/>
              <w:rPr>
                <w:sz w:val="21"/>
                <w:szCs w:val="21"/>
              </w:rPr>
            </w:pPr>
            <w:r w:rsidRPr="00F25307">
              <w:rPr>
                <w:sz w:val="21"/>
                <w:szCs w:val="21"/>
              </w:rPr>
              <w:t>年期修正系数</w:t>
            </w:r>
          </w:p>
        </w:tc>
        <w:tc>
          <w:tcPr>
            <w:tcW w:w="1954" w:type="pct"/>
            <w:tcBorders>
              <w:top w:val="single" w:sz="4" w:space="0" w:color="auto"/>
              <w:left w:val="single" w:sz="4" w:space="0" w:color="auto"/>
              <w:bottom w:val="single" w:sz="4" w:space="0" w:color="auto"/>
              <w:right w:val="single" w:sz="4" w:space="0" w:color="auto"/>
            </w:tcBorders>
            <w:vAlign w:val="center"/>
          </w:tcPr>
          <w:p w14:paraId="43F2862A" w14:textId="77777777" w:rsidR="00495C65" w:rsidRPr="00F25307" w:rsidRDefault="00495C65" w:rsidP="00F25307">
            <w:pPr>
              <w:pStyle w:val="13"/>
              <w:spacing w:line="240" w:lineRule="auto"/>
              <w:ind w:firstLineChars="0" w:firstLine="0"/>
              <w:rPr>
                <w:sz w:val="21"/>
                <w:szCs w:val="21"/>
              </w:rPr>
            </w:pPr>
          </w:p>
        </w:tc>
      </w:tr>
      <w:tr w:rsidR="00495C65" w:rsidRPr="00F25307" w14:paraId="5E7B9CED" w14:textId="77777777" w:rsidTr="00226138">
        <w:trPr>
          <w:trHeight w:val="444"/>
          <w:jc w:val="center"/>
        </w:trPr>
        <w:tc>
          <w:tcPr>
            <w:tcW w:w="1248" w:type="pct"/>
            <w:vMerge/>
            <w:tcBorders>
              <w:top w:val="single" w:sz="4" w:space="0" w:color="auto"/>
              <w:left w:val="single" w:sz="4" w:space="0" w:color="auto"/>
              <w:bottom w:val="single" w:sz="4" w:space="0" w:color="auto"/>
              <w:right w:val="single" w:sz="4" w:space="0" w:color="auto"/>
            </w:tcBorders>
            <w:vAlign w:val="center"/>
          </w:tcPr>
          <w:p w14:paraId="296ED129" w14:textId="77777777" w:rsidR="00495C65" w:rsidRPr="00F25307" w:rsidRDefault="00495C65" w:rsidP="00F25307">
            <w:pPr>
              <w:pStyle w:val="13"/>
              <w:spacing w:line="240" w:lineRule="auto"/>
              <w:ind w:firstLineChars="0" w:firstLine="0"/>
              <w:jc w:val="center"/>
              <w:rPr>
                <w:sz w:val="21"/>
                <w:szCs w:val="21"/>
              </w:rPr>
            </w:pPr>
          </w:p>
        </w:tc>
        <w:tc>
          <w:tcPr>
            <w:tcW w:w="1798" w:type="pct"/>
            <w:tcBorders>
              <w:top w:val="single" w:sz="4" w:space="0" w:color="auto"/>
              <w:left w:val="single" w:sz="4" w:space="0" w:color="auto"/>
              <w:bottom w:val="single" w:sz="4" w:space="0" w:color="auto"/>
              <w:right w:val="single" w:sz="4" w:space="0" w:color="auto"/>
            </w:tcBorders>
            <w:vAlign w:val="center"/>
          </w:tcPr>
          <w:p w14:paraId="1B5AD8EE" w14:textId="77777777" w:rsidR="00495C65" w:rsidRPr="00F25307" w:rsidRDefault="00495C65" w:rsidP="00F25307">
            <w:pPr>
              <w:pStyle w:val="13"/>
              <w:spacing w:line="240" w:lineRule="auto"/>
              <w:ind w:firstLineChars="0" w:firstLine="0"/>
              <w:rPr>
                <w:sz w:val="21"/>
                <w:szCs w:val="21"/>
              </w:rPr>
            </w:pPr>
            <w:r w:rsidRPr="00F25307">
              <w:rPr>
                <w:sz w:val="21"/>
                <w:szCs w:val="21"/>
              </w:rPr>
              <w:t>区位因素修正系数</w:t>
            </w:r>
          </w:p>
        </w:tc>
        <w:tc>
          <w:tcPr>
            <w:tcW w:w="1954" w:type="pct"/>
            <w:tcBorders>
              <w:top w:val="single" w:sz="4" w:space="0" w:color="auto"/>
              <w:left w:val="single" w:sz="4" w:space="0" w:color="auto"/>
              <w:bottom w:val="single" w:sz="4" w:space="0" w:color="auto"/>
              <w:right w:val="single" w:sz="4" w:space="0" w:color="auto"/>
            </w:tcBorders>
            <w:vAlign w:val="center"/>
          </w:tcPr>
          <w:p w14:paraId="0740DD6F" w14:textId="77777777" w:rsidR="00495C65" w:rsidRPr="00F25307" w:rsidRDefault="00495C65" w:rsidP="00F25307">
            <w:pPr>
              <w:pStyle w:val="13"/>
              <w:spacing w:line="240" w:lineRule="auto"/>
              <w:ind w:firstLineChars="0" w:firstLine="0"/>
              <w:rPr>
                <w:sz w:val="21"/>
                <w:szCs w:val="21"/>
              </w:rPr>
            </w:pPr>
          </w:p>
        </w:tc>
      </w:tr>
      <w:tr w:rsidR="00495C65" w:rsidRPr="00F25307" w14:paraId="529066D6" w14:textId="77777777" w:rsidTr="00226138">
        <w:trPr>
          <w:trHeight w:val="443"/>
          <w:jc w:val="center"/>
        </w:trPr>
        <w:tc>
          <w:tcPr>
            <w:tcW w:w="1248" w:type="pct"/>
            <w:vMerge/>
            <w:tcBorders>
              <w:top w:val="single" w:sz="4" w:space="0" w:color="auto"/>
              <w:left w:val="single" w:sz="4" w:space="0" w:color="auto"/>
              <w:bottom w:val="single" w:sz="4" w:space="0" w:color="auto"/>
              <w:right w:val="single" w:sz="4" w:space="0" w:color="auto"/>
            </w:tcBorders>
            <w:vAlign w:val="center"/>
          </w:tcPr>
          <w:p w14:paraId="47401361" w14:textId="77777777" w:rsidR="00495C65" w:rsidRPr="00F25307" w:rsidRDefault="00495C65" w:rsidP="00F25307">
            <w:pPr>
              <w:pStyle w:val="13"/>
              <w:spacing w:line="240" w:lineRule="auto"/>
              <w:ind w:firstLineChars="0" w:firstLine="0"/>
              <w:jc w:val="center"/>
              <w:rPr>
                <w:sz w:val="21"/>
                <w:szCs w:val="21"/>
              </w:rPr>
            </w:pPr>
          </w:p>
        </w:tc>
        <w:tc>
          <w:tcPr>
            <w:tcW w:w="1798" w:type="pct"/>
            <w:tcBorders>
              <w:top w:val="single" w:sz="4" w:space="0" w:color="auto"/>
              <w:left w:val="single" w:sz="4" w:space="0" w:color="auto"/>
              <w:bottom w:val="single" w:sz="4" w:space="0" w:color="auto"/>
              <w:right w:val="single" w:sz="4" w:space="0" w:color="auto"/>
            </w:tcBorders>
            <w:vAlign w:val="center"/>
          </w:tcPr>
          <w:p w14:paraId="00343D92" w14:textId="77777777" w:rsidR="00495C65" w:rsidRPr="00F25307" w:rsidRDefault="00495C65" w:rsidP="00F25307">
            <w:pPr>
              <w:pStyle w:val="13"/>
              <w:spacing w:line="240" w:lineRule="auto"/>
              <w:ind w:firstLineChars="0" w:firstLine="0"/>
              <w:rPr>
                <w:sz w:val="21"/>
                <w:szCs w:val="21"/>
              </w:rPr>
            </w:pPr>
            <w:r w:rsidRPr="00F25307">
              <w:rPr>
                <w:sz w:val="21"/>
                <w:szCs w:val="21"/>
              </w:rPr>
              <w:t>个别因素修正系数</w:t>
            </w:r>
          </w:p>
        </w:tc>
        <w:tc>
          <w:tcPr>
            <w:tcW w:w="1954" w:type="pct"/>
            <w:tcBorders>
              <w:top w:val="single" w:sz="4" w:space="0" w:color="auto"/>
              <w:left w:val="single" w:sz="4" w:space="0" w:color="auto"/>
              <w:bottom w:val="single" w:sz="4" w:space="0" w:color="auto"/>
              <w:right w:val="single" w:sz="4" w:space="0" w:color="auto"/>
            </w:tcBorders>
            <w:vAlign w:val="center"/>
          </w:tcPr>
          <w:p w14:paraId="6F2AA888" w14:textId="77777777" w:rsidR="00495C65" w:rsidRPr="00F25307" w:rsidRDefault="00495C65" w:rsidP="00F25307">
            <w:pPr>
              <w:pStyle w:val="13"/>
              <w:spacing w:line="240" w:lineRule="auto"/>
              <w:ind w:firstLineChars="0" w:firstLine="0"/>
              <w:rPr>
                <w:sz w:val="21"/>
                <w:szCs w:val="21"/>
              </w:rPr>
            </w:pPr>
          </w:p>
        </w:tc>
      </w:tr>
      <w:tr w:rsidR="00495C65" w:rsidRPr="00F25307" w14:paraId="5BDCFF27" w14:textId="77777777" w:rsidTr="00226138">
        <w:trPr>
          <w:trHeight w:val="443"/>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8C60A85" w14:textId="77777777" w:rsidR="00495C65" w:rsidRPr="00F25307" w:rsidRDefault="00495C65" w:rsidP="00F25307">
            <w:pPr>
              <w:pStyle w:val="13"/>
              <w:spacing w:line="240" w:lineRule="auto"/>
              <w:ind w:firstLineChars="0" w:firstLine="0"/>
              <w:rPr>
                <w:sz w:val="21"/>
                <w:szCs w:val="21"/>
              </w:rPr>
            </w:pPr>
            <w:r w:rsidRPr="00F25307">
              <w:rPr>
                <w:rFonts w:hint="eastAsia"/>
                <w:sz w:val="21"/>
                <w:szCs w:val="21"/>
              </w:rPr>
              <w:t>注：</w:t>
            </w:r>
            <w:r w:rsidRPr="00F25307">
              <w:rPr>
                <w:sz w:val="21"/>
                <w:szCs w:val="21"/>
              </w:rPr>
              <w:t>1、估价参数取值依据要充分；</w:t>
            </w:r>
          </w:p>
          <w:p w14:paraId="308E3D93" w14:textId="77777777" w:rsidR="00495C65" w:rsidRPr="00F25307" w:rsidRDefault="00495C65" w:rsidP="00F25307">
            <w:pPr>
              <w:pStyle w:val="13"/>
              <w:spacing w:line="240" w:lineRule="auto"/>
              <w:ind w:firstLineChars="0" w:firstLine="0"/>
              <w:rPr>
                <w:sz w:val="21"/>
                <w:szCs w:val="21"/>
              </w:rPr>
            </w:pPr>
            <w:r w:rsidRPr="00F25307">
              <w:rPr>
                <w:sz w:val="21"/>
                <w:szCs w:val="21"/>
              </w:rPr>
              <w:t xml:space="preserve">    2、土地增值报酬</w:t>
            </w:r>
            <w:proofErr w:type="gramStart"/>
            <w:r w:rsidRPr="00F25307">
              <w:rPr>
                <w:sz w:val="21"/>
                <w:szCs w:val="21"/>
              </w:rPr>
              <w:t>率缺乏</w:t>
            </w:r>
            <w:proofErr w:type="gramEnd"/>
            <w:r w:rsidRPr="00F25307">
              <w:rPr>
                <w:sz w:val="21"/>
                <w:szCs w:val="21"/>
              </w:rPr>
              <w:t>测算过程或论证，取值须慎重。</w:t>
            </w:r>
          </w:p>
        </w:tc>
      </w:tr>
    </w:tbl>
    <w:p w14:paraId="48355156" w14:textId="3E4B6181" w:rsidR="00495C65" w:rsidRDefault="00495C65" w:rsidP="00495C65">
      <w:pPr>
        <w:pStyle w:val="13"/>
      </w:pPr>
      <w:r>
        <w:rPr>
          <w:rFonts w:hint="eastAsia"/>
        </w:rPr>
        <w:t>7</w:t>
      </w:r>
      <w:r>
        <w:t>.3.6</w:t>
      </w:r>
      <w:r w:rsidR="00F25307">
        <w:t xml:space="preserve"> </w:t>
      </w:r>
      <w:r w:rsidRPr="00AF574C">
        <w:rPr>
          <w:rFonts w:hint="eastAsia"/>
        </w:rPr>
        <w:t>房地产成本法评估取值（房地合估）</w:t>
      </w:r>
    </w:p>
    <w:p w14:paraId="407E25BC" w14:textId="77777777" w:rsidR="00495C65" w:rsidRPr="004F51B8" w:rsidRDefault="00495C65" w:rsidP="00495C65">
      <w:pPr>
        <w:pStyle w:val="13"/>
        <w:ind w:firstLineChars="0" w:firstLine="0"/>
        <w:jc w:val="center"/>
      </w:pPr>
      <w:r w:rsidRPr="00B55EC4">
        <w:rPr>
          <w:rFonts w:hint="eastAsia"/>
        </w:rPr>
        <w:t>成本法评估取值参考表</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410"/>
        <w:gridCol w:w="1236"/>
        <w:gridCol w:w="3017"/>
        <w:gridCol w:w="3385"/>
      </w:tblGrid>
      <w:tr w:rsidR="00495C65" w:rsidRPr="00F25307" w14:paraId="4130ED9D" w14:textId="77777777" w:rsidTr="00226138">
        <w:trPr>
          <w:trHeight w:val="489"/>
          <w:tblHeader/>
          <w:jc w:val="center"/>
        </w:trPr>
        <w:tc>
          <w:tcPr>
            <w:tcW w:w="385" w:type="pct"/>
            <w:vAlign w:val="center"/>
          </w:tcPr>
          <w:p w14:paraId="427A80CD"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序号</w:t>
            </w:r>
          </w:p>
        </w:tc>
        <w:tc>
          <w:tcPr>
            <w:tcW w:w="944" w:type="pct"/>
            <w:gridSpan w:val="2"/>
            <w:vAlign w:val="center"/>
          </w:tcPr>
          <w:p w14:paraId="70AC1AB3"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项目</w:t>
            </w:r>
          </w:p>
        </w:tc>
        <w:tc>
          <w:tcPr>
            <w:tcW w:w="1730" w:type="pct"/>
            <w:vAlign w:val="center"/>
          </w:tcPr>
          <w:p w14:paraId="15894A41"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构成</w:t>
            </w:r>
          </w:p>
        </w:tc>
        <w:tc>
          <w:tcPr>
            <w:tcW w:w="1941" w:type="pct"/>
            <w:vAlign w:val="center"/>
          </w:tcPr>
          <w:p w14:paraId="4EF25197" w14:textId="77777777" w:rsidR="00495C65" w:rsidRPr="00F25307" w:rsidRDefault="00495C65" w:rsidP="00F25307">
            <w:pPr>
              <w:pStyle w:val="13"/>
              <w:spacing w:line="240" w:lineRule="auto"/>
              <w:ind w:firstLineChars="0" w:firstLine="0"/>
              <w:jc w:val="center"/>
              <w:rPr>
                <w:b/>
                <w:bCs/>
                <w:sz w:val="21"/>
                <w:szCs w:val="21"/>
              </w:rPr>
            </w:pPr>
            <w:r w:rsidRPr="00F25307">
              <w:rPr>
                <w:b/>
                <w:bCs/>
                <w:sz w:val="21"/>
                <w:szCs w:val="21"/>
              </w:rPr>
              <w:t>参数取值</w:t>
            </w:r>
          </w:p>
        </w:tc>
      </w:tr>
      <w:tr w:rsidR="00495C65" w:rsidRPr="00F25307" w14:paraId="2656B246" w14:textId="77777777" w:rsidTr="00226138">
        <w:trPr>
          <w:trHeight w:val="977"/>
          <w:jc w:val="center"/>
        </w:trPr>
        <w:tc>
          <w:tcPr>
            <w:tcW w:w="385" w:type="pct"/>
            <w:vAlign w:val="center"/>
          </w:tcPr>
          <w:p w14:paraId="0D187F1F"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1</w:t>
            </w:r>
          </w:p>
        </w:tc>
        <w:tc>
          <w:tcPr>
            <w:tcW w:w="944" w:type="pct"/>
            <w:gridSpan w:val="2"/>
            <w:vAlign w:val="center"/>
          </w:tcPr>
          <w:p w14:paraId="7FD18EFE"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土地成本</w:t>
            </w:r>
          </w:p>
        </w:tc>
        <w:tc>
          <w:tcPr>
            <w:tcW w:w="1730" w:type="pct"/>
            <w:vAlign w:val="center"/>
          </w:tcPr>
          <w:p w14:paraId="25679219" w14:textId="77777777" w:rsidR="00495C65" w:rsidRPr="00F25307" w:rsidRDefault="00495C65" w:rsidP="00F25307">
            <w:pPr>
              <w:pStyle w:val="13"/>
              <w:spacing w:line="240" w:lineRule="auto"/>
              <w:ind w:firstLineChars="0" w:firstLine="0"/>
              <w:rPr>
                <w:sz w:val="21"/>
                <w:szCs w:val="21"/>
              </w:rPr>
            </w:pPr>
            <w:r w:rsidRPr="00F25307">
              <w:rPr>
                <w:sz w:val="21"/>
                <w:szCs w:val="21"/>
              </w:rPr>
              <w:t>土地取得成本+土地取得税费</w:t>
            </w:r>
          </w:p>
        </w:tc>
        <w:tc>
          <w:tcPr>
            <w:tcW w:w="1941" w:type="pct"/>
            <w:vAlign w:val="center"/>
          </w:tcPr>
          <w:p w14:paraId="115C8B3F" w14:textId="77777777" w:rsidR="00495C65" w:rsidRPr="00F25307" w:rsidRDefault="00495C65" w:rsidP="00F25307">
            <w:pPr>
              <w:pStyle w:val="13"/>
              <w:spacing w:line="240" w:lineRule="auto"/>
              <w:ind w:firstLineChars="0" w:firstLine="0"/>
              <w:rPr>
                <w:sz w:val="21"/>
                <w:szCs w:val="21"/>
              </w:rPr>
            </w:pPr>
            <w:r w:rsidRPr="00F25307">
              <w:rPr>
                <w:sz w:val="21"/>
                <w:szCs w:val="21"/>
              </w:rPr>
              <w:t>土地取得成本建议首先选择市场法，次之基准地价系数修正法，再次之成本逼近法，参考7.3.4。</w:t>
            </w:r>
          </w:p>
        </w:tc>
      </w:tr>
      <w:tr w:rsidR="00495C65" w:rsidRPr="00F25307" w14:paraId="7776EB10" w14:textId="77777777" w:rsidTr="00226138">
        <w:trPr>
          <w:trHeight w:val="2608"/>
          <w:jc w:val="center"/>
        </w:trPr>
        <w:tc>
          <w:tcPr>
            <w:tcW w:w="385" w:type="pct"/>
            <w:vAlign w:val="center"/>
          </w:tcPr>
          <w:p w14:paraId="6701FEB8"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2</w:t>
            </w:r>
          </w:p>
        </w:tc>
        <w:tc>
          <w:tcPr>
            <w:tcW w:w="235" w:type="pct"/>
            <w:vMerge w:val="restart"/>
            <w:vAlign w:val="center"/>
          </w:tcPr>
          <w:p w14:paraId="5295CA22"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建设成本</w:t>
            </w:r>
          </w:p>
        </w:tc>
        <w:tc>
          <w:tcPr>
            <w:tcW w:w="709" w:type="pct"/>
            <w:vAlign w:val="center"/>
          </w:tcPr>
          <w:p w14:paraId="57786CC4"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勘察设计和前期工程费</w:t>
            </w:r>
          </w:p>
        </w:tc>
        <w:tc>
          <w:tcPr>
            <w:tcW w:w="1730" w:type="pct"/>
            <w:vAlign w:val="center"/>
          </w:tcPr>
          <w:p w14:paraId="41F1830E" w14:textId="77777777" w:rsidR="00495C65" w:rsidRPr="00F25307" w:rsidRDefault="00495C65" w:rsidP="00F25307">
            <w:pPr>
              <w:pStyle w:val="13"/>
              <w:spacing w:line="240" w:lineRule="auto"/>
              <w:ind w:firstLineChars="0" w:firstLine="0"/>
              <w:rPr>
                <w:sz w:val="21"/>
                <w:szCs w:val="21"/>
              </w:rPr>
            </w:pPr>
            <w:r w:rsidRPr="00F25307">
              <w:rPr>
                <w:sz w:val="21"/>
                <w:szCs w:val="21"/>
              </w:rPr>
              <w:t>三通一平（施工时需要的临时水、电、路及场地平整）；勘探费；测量费；咨询费、可</w:t>
            </w:r>
            <w:proofErr w:type="gramStart"/>
            <w:r w:rsidRPr="00F25307">
              <w:rPr>
                <w:sz w:val="21"/>
                <w:szCs w:val="21"/>
              </w:rPr>
              <w:t>研</w:t>
            </w:r>
            <w:proofErr w:type="gramEnd"/>
            <w:r w:rsidRPr="00F25307">
              <w:rPr>
                <w:sz w:val="21"/>
                <w:szCs w:val="21"/>
              </w:rPr>
              <w:t>费；规划设计费；施工图设计费等。</w:t>
            </w:r>
          </w:p>
        </w:tc>
        <w:tc>
          <w:tcPr>
            <w:tcW w:w="1941" w:type="pct"/>
            <w:vAlign w:val="center"/>
          </w:tcPr>
          <w:p w14:paraId="693D807B" w14:textId="77777777" w:rsidR="00495C65" w:rsidRPr="00F25307" w:rsidRDefault="00495C65" w:rsidP="00F25307">
            <w:pPr>
              <w:pStyle w:val="13"/>
              <w:spacing w:line="240" w:lineRule="auto"/>
              <w:ind w:firstLineChars="0" w:firstLine="0"/>
              <w:rPr>
                <w:sz w:val="21"/>
                <w:szCs w:val="21"/>
              </w:rPr>
            </w:pPr>
            <w:r w:rsidRPr="00F25307">
              <w:rPr>
                <w:sz w:val="21"/>
                <w:szCs w:val="21"/>
              </w:rPr>
              <w:t>一般以建安工程费为基数，按一定比率（3%-6%）求取。勘探费、咨询费、可</w:t>
            </w:r>
            <w:proofErr w:type="gramStart"/>
            <w:r w:rsidRPr="00F25307">
              <w:rPr>
                <w:sz w:val="21"/>
                <w:szCs w:val="21"/>
              </w:rPr>
              <w:t>研</w:t>
            </w:r>
            <w:proofErr w:type="gramEnd"/>
            <w:r w:rsidRPr="00F25307">
              <w:rPr>
                <w:sz w:val="21"/>
                <w:szCs w:val="21"/>
              </w:rPr>
              <w:t>费及施工图设计费等的“一定比率”取值要高于民用项目；依据项目的规模、复杂程度不同，“一定比率”取值应有所区别；如果“三通一平”费已包括在土地成本中，则不再重复计算。</w:t>
            </w:r>
          </w:p>
        </w:tc>
      </w:tr>
      <w:tr w:rsidR="00495C65" w:rsidRPr="00F25307" w14:paraId="79F93BC6" w14:textId="77777777" w:rsidTr="00226138">
        <w:trPr>
          <w:trHeight w:val="1304"/>
          <w:jc w:val="center"/>
        </w:trPr>
        <w:tc>
          <w:tcPr>
            <w:tcW w:w="385" w:type="pct"/>
            <w:vAlign w:val="center"/>
          </w:tcPr>
          <w:p w14:paraId="2824B2BC"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3</w:t>
            </w:r>
          </w:p>
        </w:tc>
        <w:tc>
          <w:tcPr>
            <w:tcW w:w="235" w:type="pct"/>
            <w:vMerge/>
            <w:vAlign w:val="center"/>
          </w:tcPr>
          <w:p w14:paraId="22E99BC2" w14:textId="77777777" w:rsidR="00495C65" w:rsidRPr="00F25307" w:rsidRDefault="00495C65" w:rsidP="00F25307">
            <w:pPr>
              <w:pStyle w:val="13"/>
              <w:spacing w:line="240" w:lineRule="auto"/>
              <w:ind w:firstLineChars="0" w:firstLine="0"/>
              <w:jc w:val="center"/>
              <w:rPr>
                <w:sz w:val="21"/>
                <w:szCs w:val="21"/>
              </w:rPr>
            </w:pPr>
          </w:p>
        </w:tc>
        <w:tc>
          <w:tcPr>
            <w:tcW w:w="709" w:type="pct"/>
            <w:vAlign w:val="center"/>
          </w:tcPr>
          <w:p w14:paraId="7709238F"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建筑安装工程费</w:t>
            </w:r>
          </w:p>
        </w:tc>
        <w:tc>
          <w:tcPr>
            <w:tcW w:w="1730" w:type="pct"/>
            <w:vAlign w:val="center"/>
          </w:tcPr>
          <w:p w14:paraId="34A62D18" w14:textId="77777777" w:rsidR="00495C65" w:rsidRPr="00F25307" w:rsidRDefault="00495C65" w:rsidP="00F25307">
            <w:pPr>
              <w:pStyle w:val="13"/>
              <w:spacing w:line="240" w:lineRule="auto"/>
              <w:ind w:firstLineChars="0" w:firstLine="0"/>
              <w:rPr>
                <w:sz w:val="21"/>
                <w:szCs w:val="21"/>
              </w:rPr>
            </w:pPr>
            <w:r w:rsidRPr="00F25307">
              <w:rPr>
                <w:sz w:val="21"/>
                <w:szCs w:val="21"/>
              </w:rPr>
              <w:t>土建工程费、安装工程费、装饰工程费以及附属工程等费用。</w:t>
            </w:r>
          </w:p>
        </w:tc>
        <w:tc>
          <w:tcPr>
            <w:tcW w:w="1941" w:type="pct"/>
            <w:vAlign w:val="center"/>
          </w:tcPr>
          <w:p w14:paraId="661CCD34" w14:textId="77777777" w:rsidR="00495C65" w:rsidRPr="00F25307" w:rsidRDefault="00495C65" w:rsidP="00F25307">
            <w:pPr>
              <w:pStyle w:val="13"/>
              <w:spacing w:line="240" w:lineRule="auto"/>
              <w:ind w:firstLineChars="0" w:firstLine="0"/>
              <w:rPr>
                <w:sz w:val="21"/>
                <w:szCs w:val="21"/>
              </w:rPr>
            </w:pPr>
            <w:r w:rsidRPr="00F25307">
              <w:rPr>
                <w:sz w:val="21"/>
                <w:szCs w:val="21"/>
              </w:rPr>
              <w:t>参照建设工程造管理站公布的工程价格信息，结合工项目具体情况确定；同时要规避基础设施建设费、公共配套设施建设费的重复计算。</w:t>
            </w:r>
          </w:p>
        </w:tc>
      </w:tr>
      <w:tr w:rsidR="00495C65" w:rsidRPr="00F25307" w14:paraId="4597B4D0" w14:textId="77777777" w:rsidTr="00226138">
        <w:trPr>
          <w:trHeight w:val="1304"/>
          <w:jc w:val="center"/>
        </w:trPr>
        <w:tc>
          <w:tcPr>
            <w:tcW w:w="385" w:type="pct"/>
            <w:vAlign w:val="center"/>
          </w:tcPr>
          <w:p w14:paraId="69770CBE"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4</w:t>
            </w:r>
          </w:p>
        </w:tc>
        <w:tc>
          <w:tcPr>
            <w:tcW w:w="235" w:type="pct"/>
            <w:vMerge/>
            <w:vAlign w:val="center"/>
          </w:tcPr>
          <w:p w14:paraId="1730D1EF" w14:textId="77777777" w:rsidR="00495C65" w:rsidRPr="00F25307" w:rsidRDefault="00495C65" w:rsidP="00F25307">
            <w:pPr>
              <w:pStyle w:val="13"/>
              <w:spacing w:line="240" w:lineRule="auto"/>
              <w:ind w:firstLineChars="0" w:firstLine="0"/>
              <w:jc w:val="center"/>
              <w:rPr>
                <w:sz w:val="21"/>
                <w:szCs w:val="21"/>
              </w:rPr>
            </w:pPr>
          </w:p>
        </w:tc>
        <w:tc>
          <w:tcPr>
            <w:tcW w:w="709" w:type="pct"/>
            <w:vAlign w:val="center"/>
          </w:tcPr>
          <w:p w14:paraId="46F2696F"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基础设施建设费</w:t>
            </w:r>
          </w:p>
        </w:tc>
        <w:tc>
          <w:tcPr>
            <w:tcW w:w="1730" w:type="pct"/>
            <w:vAlign w:val="center"/>
          </w:tcPr>
          <w:p w14:paraId="5CC39639" w14:textId="77777777" w:rsidR="00495C65" w:rsidRPr="00F25307" w:rsidRDefault="00495C65" w:rsidP="00F25307">
            <w:pPr>
              <w:pStyle w:val="13"/>
              <w:spacing w:line="240" w:lineRule="auto"/>
              <w:ind w:firstLineChars="0" w:firstLine="0"/>
              <w:rPr>
                <w:sz w:val="21"/>
                <w:szCs w:val="21"/>
              </w:rPr>
            </w:pPr>
            <w:r w:rsidRPr="00F25307">
              <w:rPr>
                <w:sz w:val="21"/>
                <w:szCs w:val="21"/>
              </w:rPr>
              <w:t>厂区内的水、电、路、绿化、环保、物业管理用房等设施的建设费用。</w:t>
            </w:r>
          </w:p>
        </w:tc>
        <w:tc>
          <w:tcPr>
            <w:tcW w:w="1941" w:type="pct"/>
            <w:vAlign w:val="center"/>
          </w:tcPr>
          <w:p w14:paraId="5666ECCF" w14:textId="77777777" w:rsidR="00495C65" w:rsidRPr="00F25307" w:rsidRDefault="00495C65" w:rsidP="00F25307">
            <w:pPr>
              <w:pStyle w:val="13"/>
              <w:spacing w:line="240" w:lineRule="auto"/>
              <w:ind w:firstLineChars="0" w:firstLine="0"/>
              <w:rPr>
                <w:sz w:val="21"/>
                <w:szCs w:val="21"/>
              </w:rPr>
            </w:pPr>
            <w:r w:rsidRPr="00F25307">
              <w:rPr>
                <w:sz w:val="21"/>
                <w:szCs w:val="21"/>
              </w:rPr>
              <w:t>一般以建安工程费为基数，按一定比率计取（或按每平方米建筑面积多少元计取）；取值应视项目用途、规模及工程难易情况而确定。</w:t>
            </w:r>
          </w:p>
        </w:tc>
      </w:tr>
      <w:tr w:rsidR="00495C65" w:rsidRPr="00F25307" w14:paraId="0DAD815C" w14:textId="77777777" w:rsidTr="00226138">
        <w:trPr>
          <w:trHeight w:val="1304"/>
          <w:jc w:val="center"/>
        </w:trPr>
        <w:tc>
          <w:tcPr>
            <w:tcW w:w="385" w:type="pct"/>
            <w:vAlign w:val="center"/>
          </w:tcPr>
          <w:p w14:paraId="680073D0"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lastRenderedPageBreak/>
              <w:t>5</w:t>
            </w:r>
          </w:p>
        </w:tc>
        <w:tc>
          <w:tcPr>
            <w:tcW w:w="235" w:type="pct"/>
            <w:vMerge/>
            <w:vAlign w:val="center"/>
          </w:tcPr>
          <w:p w14:paraId="7467F41C" w14:textId="77777777" w:rsidR="00495C65" w:rsidRPr="00F25307" w:rsidRDefault="00495C65" w:rsidP="00F25307">
            <w:pPr>
              <w:pStyle w:val="13"/>
              <w:spacing w:line="240" w:lineRule="auto"/>
              <w:ind w:firstLineChars="0" w:firstLine="0"/>
              <w:jc w:val="center"/>
              <w:rPr>
                <w:sz w:val="21"/>
                <w:szCs w:val="21"/>
              </w:rPr>
            </w:pPr>
          </w:p>
        </w:tc>
        <w:tc>
          <w:tcPr>
            <w:tcW w:w="709" w:type="pct"/>
            <w:vAlign w:val="center"/>
          </w:tcPr>
          <w:p w14:paraId="530CD88C"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公共配套设施建设费</w:t>
            </w:r>
          </w:p>
        </w:tc>
        <w:tc>
          <w:tcPr>
            <w:tcW w:w="1730" w:type="pct"/>
            <w:vAlign w:val="center"/>
          </w:tcPr>
          <w:p w14:paraId="2EDC4ECC" w14:textId="77777777" w:rsidR="00495C65" w:rsidRPr="00F25307" w:rsidRDefault="00495C65" w:rsidP="00F25307">
            <w:pPr>
              <w:pStyle w:val="13"/>
              <w:spacing w:line="240" w:lineRule="auto"/>
              <w:ind w:firstLineChars="0" w:firstLine="0"/>
              <w:rPr>
                <w:sz w:val="21"/>
                <w:szCs w:val="21"/>
              </w:rPr>
            </w:pPr>
            <w:r w:rsidRPr="00F25307">
              <w:rPr>
                <w:sz w:val="21"/>
                <w:szCs w:val="21"/>
              </w:rPr>
              <w:t>城市规划要求配套的教育、医疗卫生、文化体育、社区服务、市政公用等非营业性设施的建设费用。</w:t>
            </w:r>
          </w:p>
        </w:tc>
        <w:tc>
          <w:tcPr>
            <w:tcW w:w="1941" w:type="pct"/>
            <w:vAlign w:val="center"/>
          </w:tcPr>
          <w:p w14:paraId="54C7BD14" w14:textId="77777777" w:rsidR="00495C65" w:rsidRPr="00F25307" w:rsidRDefault="00495C65" w:rsidP="00F25307">
            <w:pPr>
              <w:pStyle w:val="13"/>
              <w:spacing w:line="240" w:lineRule="auto"/>
              <w:ind w:firstLineChars="0" w:firstLine="0"/>
              <w:rPr>
                <w:sz w:val="21"/>
                <w:szCs w:val="21"/>
              </w:rPr>
            </w:pPr>
            <w:r w:rsidRPr="00F25307">
              <w:rPr>
                <w:sz w:val="21"/>
                <w:szCs w:val="21"/>
              </w:rPr>
              <w:t>工业</w:t>
            </w:r>
            <w:proofErr w:type="gramStart"/>
            <w:r w:rsidRPr="00F25307">
              <w:rPr>
                <w:sz w:val="21"/>
                <w:szCs w:val="21"/>
              </w:rPr>
              <w:t>厂区内此部分</w:t>
            </w:r>
            <w:proofErr w:type="gramEnd"/>
            <w:r w:rsidRPr="00F25307">
              <w:rPr>
                <w:sz w:val="21"/>
                <w:szCs w:val="21"/>
              </w:rPr>
              <w:t>一般是没有的，因此不计取。如有，则应按实际情况确定</w:t>
            </w:r>
          </w:p>
        </w:tc>
      </w:tr>
      <w:tr w:rsidR="00495C65" w:rsidRPr="00F25307" w14:paraId="253EFF1F" w14:textId="77777777" w:rsidTr="00226138">
        <w:trPr>
          <w:trHeight w:val="652"/>
          <w:jc w:val="center"/>
        </w:trPr>
        <w:tc>
          <w:tcPr>
            <w:tcW w:w="385" w:type="pct"/>
            <w:vAlign w:val="center"/>
          </w:tcPr>
          <w:p w14:paraId="544858C6"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6</w:t>
            </w:r>
          </w:p>
        </w:tc>
        <w:tc>
          <w:tcPr>
            <w:tcW w:w="235" w:type="pct"/>
            <w:vMerge/>
            <w:vAlign w:val="center"/>
          </w:tcPr>
          <w:p w14:paraId="7682802A" w14:textId="77777777" w:rsidR="00495C65" w:rsidRPr="00F25307" w:rsidRDefault="00495C65" w:rsidP="00F25307">
            <w:pPr>
              <w:pStyle w:val="13"/>
              <w:spacing w:line="240" w:lineRule="auto"/>
              <w:ind w:firstLineChars="0" w:firstLine="0"/>
              <w:jc w:val="center"/>
              <w:rPr>
                <w:sz w:val="21"/>
                <w:szCs w:val="21"/>
              </w:rPr>
            </w:pPr>
          </w:p>
        </w:tc>
        <w:tc>
          <w:tcPr>
            <w:tcW w:w="709" w:type="pct"/>
            <w:vAlign w:val="center"/>
          </w:tcPr>
          <w:p w14:paraId="077BBC1B"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其他工程费</w:t>
            </w:r>
          </w:p>
        </w:tc>
        <w:tc>
          <w:tcPr>
            <w:tcW w:w="1730" w:type="pct"/>
            <w:vAlign w:val="center"/>
          </w:tcPr>
          <w:p w14:paraId="30EBFA34" w14:textId="77777777" w:rsidR="00495C65" w:rsidRPr="00F25307" w:rsidRDefault="00495C65" w:rsidP="00F25307">
            <w:pPr>
              <w:pStyle w:val="13"/>
              <w:spacing w:line="240" w:lineRule="auto"/>
              <w:ind w:firstLineChars="0" w:firstLine="0"/>
              <w:rPr>
                <w:sz w:val="21"/>
                <w:szCs w:val="21"/>
              </w:rPr>
            </w:pPr>
            <w:r w:rsidRPr="00F25307">
              <w:rPr>
                <w:sz w:val="21"/>
                <w:szCs w:val="21"/>
              </w:rPr>
              <w:t>工程监理费、工程造价咨询服务费、竣工验收费等专业费用。</w:t>
            </w:r>
          </w:p>
        </w:tc>
        <w:tc>
          <w:tcPr>
            <w:tcW w:w="1941" w:type="pct"/>
            <w:vAlign w:val="center"/>
          </w:tcPr>
          <w:p w14:paraId="67EA5EAD" w14:textId="77777777" w:rsidR="00495C65" w:rsidRPr="00F25307" w:rsidRDefault="00495C65" w:rsidP="00F25307">
            <w:pPr>
              <w:pStyle w:val="13"/>
              <w:spacing w:line="240" w:lineRule="auto"/>
              <w:ind w:firstLineChars="0" w:firstLine="0"/>
              <w:rPr>
                <w:sz w:val="21"/>
                <w:szCs w:val="21"/>
              </w:rPr>
            </w:pPr>
            <w:r w:rsidRPr="00F25307">
              <w:rPr>
                <w:sz w:val="21"/>
                <w:szCs w:val="21"/>
              </w:rPr>
              <w:t>应注意避免与前期费用内容的重复。</w:t>
            </w:r>
          </w:p>
        </w:tc>
      </w:tr>
      <w:tr w:rsidR="00495C65" w:rsidRPr="00F25307" w14:paraId="02D4EA4D" w14:textId="77777777" w:rsidTr="00226138">
        <w:trPr>
          <w:trHeight w:val="651"/>
          <w:jc w:val="center"/>
        </w:trPr>
        <w:tc>
          <w:tcPr>
            <w:tcW w:w="385" w:type="pct"/>
            <w:vAlign w:val="center"/>
          </w:tcPr>
          <w:p w14:paraId="7CCE0DCB"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7</w:t>
            </w:r>
          </w:p>
        </w:tc>
        <w:tc>
          <w:tcPr>
            <w:tcW w:w="235" w:type="pct"/>
            <w:vMerge/>
            <w:vAlign w:val="center"/>
          </w:tcPr>
          <w:p w14:paraId="07F4142B" w14:textId="77777777" w:rsidR="00495C65" w:rsidRPr="00F25307" w:rsidRDefault="00495C65" w:rsidP="00F25307">
            <w:pPr>
              <w:pStyle w:val="13"/>
              <w:spacing w:line="240" w:lineRule="auto"/>
              <w:ind w:firstLineChars="0" w:firstLine="0"/>
              <w:jc w:val="center"/>
              <w:rPr>
                <w:sz w:val="21"/>
                <w:szCs w:val="21"/>
              </w:rPr>
            </w:pPr>
          </w:p>
        </w:tc>
        <w:tc>
          <w:tcPr>
            <w:tcW w:w="709" w:type="pct"/>
            <w:vAlign w:val="center"/>
          </w:tcPr>
          <w:p w14:paraId="39B66CFE"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开发期间税</w:t>
            </w:r>
          </w:p>
          <w:p w14:paraId="26802F08"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费</w:t>
            </w:r>
          </w:p>
        </w:tc>
        <w:tc>
          <w:tcPr>
            <w:tcW w:w="1730" w:type="pct"/>
            <w:vAlign w:val="center"/>
          </w:tcPr>
          <w:p w14:paraId="1E9908D2" w14:textId="77777777" w:rsidR="00495C65" w:rsidRPr="00F25307" w:rsidRDefault="00495C65" w:rsidP="00F25307">
            <w:pPr>
              <w:pStyle w:val="13"/>
              <w:spacing w:line="240" w:lineRule="auto"/>
              <w:ind w:firstLineChars="0" w:firstLine="0"/>
              <w:rPr>
                <w:sz w:val="21"/>
                <w:szCs w:val="21"/>
              </w:rPr>
            </w:pPr>
            <w:r w:rsidRPr="00F25307">
              <w:rPr>
                <w:sz w:val="21"/>
                <w:szCs w:val="21"/>
              </w:rPr>
              <w:t>有关税收和地方政府或有关部门收取的费用。</w:t>
            </w:r>
          </w:p>
        </w:tc>
        <w:tc>
          <w:tcPr>
            <w:tcW w:w="1941" w:type="pct"/>
            <w:vAlign w:val="center"/>
          </w:tcPr>
          <w:p w14:paraId="6FF41BA1" w14:textId="77777777" w:rsidR="00495C65" w:rsidRPr="00F25307" w:rsidRDefault="00495C65" w:rsidP="00F25307">
            <w:pPr>
              <w:pStyle w:val="13"/>
              <w:spacing w:line="240" w:lineRule="auto"/>
              <w:ind w:firstLineChars="0" w:firstLine="0"/>
              <w:rPr>
                <w:sz w:val="21"/>
                <w:szCs w:val="21"/>
              </w:rPr>
            </w:pPr>
            <w:r w:rsidRPr="00F25307">
              <w:rPr>
                <w:sz w:val="21"/>
                <w:szCs w:val="21"/>
              </w:rPr>
              <w:t>依据项目具体情况确定</w:t>
            </w:r>
          </w:p>
        </w:tc>
      </w:tr>
      <w:tr w:rsidR="00495C65" w:rsidRPr="00F25307" w14:paraId="2020DA69" w14:textId="77777777" w:rsidTr="00226138">
        <w:trPr>
          <w:trHeight w:val="1304"/>
          <w:jc w:val="center"/>
        </w:trPr>
        <w:tc>
          <w:tcPr>
            <w:tcW w:w="385" w:type="pct"/>
            <w:vAlign w:val="center"/>
          </w:tcPr>
          <w:p w14:paraId="3D2D345C"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8</w:t>
            </w:r>
          </w:p>
        </w:tc>
        <w:tc>
          <w:tcPr>
            <w:tcW w:w="944" w:type="pct"/>
            <w:gridSpan w:val="2"/>
            <w:vAlign w:val="center"/>
          </w:tcPr>
          <w:p w14:paraId="0A3E8398"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管理费用</w:t>
            </w:r>
          </w:p>
        </w:tc>
        <w:tc>
          <w:tcPr>
            <w:tcW w:w="1730" w:type="pct"/>
            <w:vAlign w:val="center"/>
          </w:tcPr>
          <w:p w14:paraId="1B4B245B" w14:textId="77777777" w:rsidR="00495C65" w:rsidRPr="00F25307" w:rsidRDefault="00495C65" w:rsidP="00F25307">
            <w:pPr>
              <w:pStyle w:val="13"/>
              <w:spacing w:line="240" w:lineRule="auto"/>
              <w:ind w:firstLineChars="0" w:firstLine="0"/>
              <w:rPr>
                <w:sz w:val="21"/>
                <w:szCs w:val="21"/>
              </w:rPr>
            </w:pPr>
            <w:r w:rsidRPr="00F25307">
              <w:rPr>
                <w:sz w:val="21"/>
                <w:szCs w:val="21"/>
              </w:rPr>
              <w:t>人员工资及福利、办公经费、差旅费等房地产开发企业组织和管理房地产开发经营活动的必要开支。</w:t>
            </w:r>
          </w:p>
        </w:tc>
        <w:tc>
          <w:tcPr>
            <w:tcW w:w="1941" w:type="pct"/>
            <w:vAlign w:val="center"/>
          </w:tcPr>
          <w:p w14:paraId="2CBE6B23" w14:textId="77777777" w:rsidR="00495C65" w:rsidRPr="00F25307" w:rsidRDefault="00495C65" w:rsidP="00F25307">
            <w:pPr>
              <w:pStyle w:val="13"/>
              <w:spacing w:line="240" w:lineRule="auto"/>
              <w:ind w:firstLineChars="0" w:firstLine="0"/>
              <w:rPr>
                <w:sz w:val="21"/>
                <w:szCs w:val="21"/>
              </w:rPr>
            </w:pPr>
            <w:r w:rsidRPr="00F25307">
              <w:rPr>
                <w:sz w:val="21"/>
                <w:szCs w:val="21"/>
              </w:rPr>
              <w:t>通常按照建设成本的一定比例测算，一般建议取值2%-5%；取值应视项目规模、建设标准、复杂程度而综合确定。</w:t>
            </w:r>
          </w:p>
        </w:tc>
      </w:tr>
      <w:tr w:rsidR="00495C65" w:rsidRPr="00F25307" w14:paraId="1ECDC0DD" w14:textId="77777777" w:rsidTr="00226138">
        <w:trPr>
          <w:trHeight w:val="1882"/>
          <w:jc w:val="center"/>
        </w:trPr>
        <w:tc>
          <w:tcPr>
            <w:tcW w:w="385" w:type="pct"/>
            <w:vAlign w:val="center"/>
          </w:tcPr>
          <w:p w14:paraId="2767A691"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9</w:t>
            </w:r>
          </w:p>
        </w:tc>
        <w:tc>
          <w:tcPr>
            <w:tcW w:w="944" w:type="pct"/>
            <w:gridSpan w:val="2"/>
            <w:vAlign w:val="center"/>
          </w:tcPr>
          <w:p w14:paraId="4E6DD9E6"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销售费用</w:t>
            </w:r>
          </w:p>
        </w:tc>
        <w:tc>
          <w:tcPr>
            <w:tcW w:w="1730" w:type="pct"/>
            <w:vAlign w:val="center"/>
          </w:tcPr>
          <w:p w14:paraId="674D227F" w14:textId="77777777" w:rsidR="00495C65" w:rsidRPr="00F25307" w:rsidRDefault="00495C65" w:rsidP="00F25307">
            <w:pPr>
              <w:pStyle w:val="13"/>
              <w:spacing w:line="240" w:lineRule="auto"/>
              <w:ind w:firstLineChars="0" w:firstLine="0"/>
              <w:rPr>
                <w:sz w:val="21"/>
                <w:szCs w:val="21"/>
              </w:rPr>
            </w:pPr>
            <w:r w:rsidRPr="00F25307">
              <w:rPr>
                <w:sz w:val="21"/>
                <w:szCs w:val="21"/>
              </w:rPr>
              <w:t>广告费、销售资料制作等销售成本。</w:t>
            </w:r>
          </w:p>
        </w:tc>
        <w:tc>
          <w:tcPr>
            <w:tcW w:w="1941" w:type="pct"/>
            <w:vAlign w:val="center"/>
          </w:tcPr>
          <w:p w14:paraId="15314917" w14:textId="77777777" w:rsidR="00495C65" w:rsidRPr="00F25307" w:rsidRDefault="00495C65" w:rsidP="00F25307">
            <w:pPr>
              <w:pStyle w:val="13"/>
              <w:spacing w:line="240" w:lineRule="auto"/>
              <w:ind w:firstLineChars="0" w:firstLine="0"/>
              <w:rPr>
                <w:sz w:val="21"/>
                <w:szCs w:val="21"/>
              </w:rPr>
            </w:pPr>
            <w:r w:rsidRPr="00F25307">
              <w:rPr>
                <w:sz w:val="21"/>
                <w:szCs w:val="21"/>
              </w:rPr>
              <w:t>销售费用通常按照开发完成后的房地产价值的一定比例（0.5%-2%）计取，自建自用的工业用房，没有发生销售，故销售费用一般不计取。</w:t>
            </w:r>
          </w:p>
        </w:tc>
      </w:tr>
      <w:tr w:rsidR="00495C65" w:rsidRPr="00F25307" w14:paraId="426E5EB1" w14:textId="77777777" w:rsidTr="00226138">
        <w:trPr>
          <w:trHeight w:val="1304"/>
          <w:jc w:val="center"/>
        </w:trPr>
        <w:tc>
          <w:tcPr>
            <w:tcW w:w="385" w:type="pct"/>
            <w:vAlign w:val="center"/>
          </w:tcPr>
          <w:p w14:paraId="566C9907"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10</w:t>
            </w:r>
          </w:p>
        </w:tc>
        <w:tc>
          <w:tcPr>
            <w:tcW w:w="944" w:type="pct"/>
            <w:gridSpan w:val="2"/>
            <w:vAlign w:val="center"/>
          </w:tcPr>
          <w:p w14:paraId="1F378AF8"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投资利息</w:t>
            </w:r>
          </w:p>
        </w:tc>
        <w:tc>
          <w:tcPr>
            <w:tcW w:w="1730" w:type="pct"/>
            <w:vAlign w:val="center"/>
          </w:tcPr>
          <w:p w14:paraId="30DB1560" w14:textId="77777777" w:rsidR="00495C65" w:rsidRPr="00F25307" w:rsidRDefault="00495C65" w:rsidP="00F25307">
            <w:pPr>
              <w:pStyle w:val="13"/>
              <w:spacing w:line="240" w:lineRule="auto"/>
              <w:ind w:firstLineChars="0" w:firstLine="0"/>
              <w:rPr>
                <w:sz w:val="21"/>
                <w:szCs w:val="21"/>
              </w:rPr>
            </w:pPr>
            <w:r w:rsidRPr="00F25307">
              <w:rPr>
                <w:sz w:val="21"/>
                <w:szCs w:val="21"/>
              </w:rPr>
              <w:t>项目建设完成所发生的必要费用应计算的利息。</w:t>
            </w:r>
          </w:p>
        </w:tc>
        <w:tc>
          <w:tcPr>
            <w:tcW w:w="1941" w:type="pct"/>
            <w:vAlign w:val="center"/>
          </w:tcPr>
          <w:p w14:paraId="5FCFD013" w14:textId="77777777" w:rsidR="00495C65" w:rsidRPr="00F25307" w:rsidRDefault="00495C65" w:rsidP="00F25307">
            <w:pPr>
              <w:pStyle w:val="13"/>
              <w:spacing w:line="240" w:lineRule="auto"/>
              <w:ind w:firstLineChars="0" w:firstLine="0"/>
              <w:rPr>
                <w:sz w:val="21"/>
                <w:szCs w:val="21"/>
              </w:rPr>
            </w:pPr>
            <w:r w:rsidRPr="00F25307">
              <w:rPr>
                <w:sz w:val="21"/>
                <w:szCs w:val="21"/>
              </w:rPr>
              <w:t>无论是借贷资金还是自有资金都应计算利息；计息周期应取工程合理、正常的建设期；利率应根据建设期长短相应的贷款利息率。</w:t>
            </w:r>
          </w:p>
        </w:tc>
      </w:tr>
      <w:tr w:rsidR="00495C65" w:rsidRPr="00F25307" w14:paraId="6E96C301" w14:textId="77777777" w:rsidTr="00226138">
        <w:trPr>
          <w:trHeight w:val="1955"/>
          <w:jc w:val="center"/>
        </w:trPr>
        <w:tc>
          <w:tcPr>
            <w:tcW w:w="385" w:type="pct"/>
            <w:vAlign w:val="center"/>
          </w:tcPr>
          <w:p w14:paraId="1F337476"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11</w:t>
            </w:r>
          </w:p>
        </w:tc>
        <w:tc>
          <w:tcPr>
            <w:tcW w:w="944" w:type="pct"/>
            <w:gridSpan w:val="2"/>
            <w:vAlign w:val="center"/>
          </w:tcPr>
          <w:p w14:paraId="14078346"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销售税费</w:t>
            </w:r>
          </w:p>
        </w:tc>
        <w:tc>
          <w:tcPr>
            <w:tcW w:w="1730" w:type="pct"/>
            <w:vAlign w:val="center"/>
          </w:tcPr>
          <w:p w14:paraId="7F43D4F0" w14:textId="77777777" w:rsidR="00495C65" w:rsidRPr="00F25307" w:rsidRDefault="00495C65" w:rsidP="00F25307">
            <w:pPr>
              <w:pStyle w:val="13"/>
              <w:spacing w:line="240" w:lineRule="auto"/>
              <w:ind w:firstLineChars="0" w:firstLine="0"/>
              <w:rPr>
                <w:sz w:val="21"/>
                <w:szCs w:val="21"/>
              </w:rPr>
            </w:pPr>
            <w:r w:rsidRPr="00F25307">
              <w:rPr>
                <w:sz w:val="21"/>
                <w:szCs w:val="21"/>
              </w:rPr>
              <w:t>在销售过程中由卖方缴纳的增值税及附加、印花税、交易手续费等费用。</w:t>
            </w:r>
          </w:p>
        </w:tc>
        <w:tc>
          <w:tcPr>
            <w:tcW w:w="1941" w:type="pct"/>
            <w:vAlign w:val="center"/>
          </w:tcPr>
          <w:p w14:paraId="684D0A73" w14:textId="77777777" w:rsidR="00495C65" w:rsidRPr="00F25307" w:rsidRDefault="00495C65" w:rsidP="00F25307">
            <w:pPr>
              <w:pStyle w:val="13"/>
              <w:spacing w:line="240" w:lineRule="auto"/>
              <w:ind w:firstLineChars="0" w:firstLine="0"/>
              <w:rPr>
                <w:sz w:val="21"/>
                <w:szCs w:val="21"/>
              </w:rPr>
            </w:pPr>
            <w:r w:rsidRPr="00F25307">
              <w:rPr>
                <w:sz w:val="21"/>
                <w:szCs w:val="21"/>
              </w:rPr>
              <w:t>增值税，按国家相关规定执行；城建维护税，增值税×7%；教育附加费（含地地方），增值税×5%；印花税，开发价值或售价×0.05%。自建自用的工业用房，没能发生销售，故销售税费可以不计取。</w:t>
            </w:r>
          </w:p>
        </w:tc>
      </w:tr>
      <w:tr w:rsidR="00495C65" w:rsidRPr="00F25307" w14:paraId="5C761447" w14:textId="77777777" w:rsidTr="00226138">
        <w:trPr>
          <w:trHeight w:val="978"/>
          <w:jc w:val="center"/>
        </w:trPr>
        <w:tc>
          <w:tcPr>
            <w:tcW w:w="385" w:type="pct"/>
            <w:vAlign w:val="center"/>
          </w:tcPr>
          <w:p w14:paraId="28C3E66A"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12</w:t>
            </w:r>
          </w:p>
        </w:tc>
        <w:tc>
          <w:tcPr>
            <w:tcW w:w="944" w:type="pct"/>
            <w:gridSpan w:val="2"/>
            <w:vAlign w:val="center"/>
          </w:tcPr>
          <w:p w14:paraId="7E6B3D75"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开发利润</w:t>
            </w:r>
          </w:p>
        </w:tc>
        <w:tc>
          <w:tcPr>
            <w:tcW w:w="1730" w:type="pct"/>
            <w:vAlign w:val="center"/>
          </w:tcPr>
          <w:p w14:paraId="7321A03F" w14:textId="77777777" w:rsidR="00495C65" w:rsidRPr="00F25307" w:rsidRDefault="00495C65" w:rsidP="00F25307">
            <w:pPr>
              <w:pStyle w:val="13"/>
              <w:spacing w:line="240" w:lineRule="auto"/>
              <w:ind w:firstLineChars="0" w:firstLine="0"/>
              <w:rPr>
                <w:sz w:val="21"/>
                <w:szCs w:val="21"/>
              </w:rPr>
            </w:pPr>
            <w:r w:rsidRPr="00F25307">
              <w:rPr>
                <w:sz w:val="21"/>
                <w:szCs w:val="21"/>
              </w:rPr>
              <w:t>开发企业的年平均利润。</w:t>
            </w:r>
          </w:p>
        </w:tc>
        <w:tc>
          <w:tcPr>
            <w:tcW w:w="1941" w:type="pct"/>
            <w:vAlign w:val="center"/>
          </w:tcPr>
          <w:p w14:paraId="6C0D7CB5" w14:textId="77777777" w:rsidR="00495C65" w:rsidRPr="00F25307" w:rsidRDefault="00495C65" w:rsidP="00F25307">
            <w:pPr>
              <w:pStyle w:val="13"/>
              <w:spacing w:line="240" w:lineRule="auto"/>
              <w:ind w:firstLineChars="0" w:firstLine="0"/>
              <w:rPr>
                <w:sz w:val="21"/>
                <w:szCs w:val="21"/>
              </w:rPr>
            </w:pPr>
            <w:r w:rsidRPr="00F25307">
              <w:rPr>
                <w:sz w:val="21"/>
                <w:szCs w:val="21"/>
              </w:rPr>
              <w:t>通常按照一定的基数乘以相应的利润率来估算，一般投资利润取 5-10%，销售利润取4-8%。</w:t>
            </w:r>
          </w:p>
        </w:tc>
      </w:tr>
      <w:tr w:rsidR="00495C65" w:rsidRPr="00F25307" w14:paraId="7CF6D3C0" w14:textId="77777777" w:rsidTr="00226138">
        <w:trPr>
          <w:trHeight w:val="977"/>
          <w:jc w:val="center"/>
        </w:trPr>
        <w:tc>
          <w:tcPr>
            <w:tcW w:w="385" w:type="pct"/>
            <w:vAlign w:val="center"/>
          </w:tcPr>
          <w:p w14:paraId="38F4D09E"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13</w:t>
            </w:r>
          </w:p>
        </w:tc>
        <w:tc>
          <w:tcPr>
            <w:tcW w:w="944" w:type="pct"/>
            <w:gridSpan w:val="2"/>
            <w:vAlign w:val="center"/>
          </w:tcPr>
          <w:p w14:paraId="22F41BA9"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折旧</w:t>
            </w:r>
          </w:p>
        </w:tc>
        <w:tc>
          <w:tcPr>
            <w:tcW w:w="1730" w:type="pct"/>
            <w:vAlign w:val="center"/>
          </w:tcPr>
          <w:p w14:paraId="09D5E935" w14:textId="77777777" w:rsidR="00495C65" w:rsidRPr="00F25307" w:rsidRDefault="00495C65" w:rsidP="00F25307">
            <w:pPr>
              <w:pStyle w:val="13"/>
              <w:spacing w:line="240" w:lineRule="auto"/>
              <w:ind w:firstLineChars="0" w:firstLine="0"/>
              <w:rPr>
                <w:sz w:val="21"/>
                <w:szCs w:val="21"/>
              </w:rPr>
            </w:pPr>
            <w:r w:rsidRPr="00F25307">
              <w:rPr>
                <w:sz w:val="21"/>
                <w:szCs w:val="21"/>
              </w:rPr>
              <w:t>因各种原因造成的建筑物价值减损。</w:t>
            </w:r>
          </w:p>
        </w:tc>
        <w:tc>
          <w:tcPr>
            <w:tcW w:w="1941" w:type="pct"/>
            <w:vAlign w:val="center"/>
          </w:tcPr>
          <w:p w14:paraId="6E603C51" w14:textId="77777777" w:rsidR="00495C65" w:rsidRPr="00F25307" w:rsidRDefault="00495C65" w:rsidP="00F25307">
            <w:pPr>
              <w:pStyle w:val="13"/>
              <w:spacing w:line="240" w:lineRule="auto"/>
              <w:ind w:firstLineChars="0" w:firstLine="0"/>
              <w:rPr>
                <w:sz w:val="21"/>
                <w:szCs w:val="21"/>
              </w:rPr>
            </w:pPr>
            <w:r w:rsidRPr="00F25307">
              <w:rPr>
                <w:sz w:val="21"/>
                <w:szCs w:val="21"/>
              </w:rPr>
              <w:t>一般采用直线法结合现状成新计算折旧，也可参考当地重置价中的折旧系数计算。</w:t>
            </w:r>
          </w:p>
        </w:tc>
      </w:tr>
      <w:tr w:rsidR="00495C65" w:rsidRPr="00F25307" w14:paraId="7BB9B72B" w14:textId="77777777" w:rsidTr="00226138">
        <w:trPr>
          <w:trHeight w:val="979"/>
          <w:jc w:val="center"/>
        </w:trPr>
        <w:tc>
          <w:tcPr>
            <w:tcW w:w="385" w:type="pct"/>
            <w:vAlign w:val="center"/>
          </w:tcPr>
          <w:p w14:paraId="24267559"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14</w:t>
            </w:r>
          </w:p>
        </w:tc>
        <w:tc>
          <w:tcPr>
            <w:tcW w:w="944" w:type="pct"/>
            <w:gridSpan w:val="2"/>
            <w:vAlign w:val="center"/>
          </w:tcPr>
          <w:p w14:paraId="72708FE6" w14:textId="77777777" w:rsidR="00495C65" w:rsidRPr="00F25307" w:rsidRDefault="00495C65" w:rsidP="00F25307">
            <w:pPr>
              <w:pStyle w:val="13"/>
              <w:spacing w:line="240" w:lineRule="auto"/>
              <w:ind w:firstLineChars="0" w:firstLine="0"/>
              <w:jc w:val="center"/>
              <w:rPr>
                <w:sz w:val="21"/>
                <w:szCs w:val="21"/>
              </w:rPr>
            </w:pPr>
            <w:r w:rsidRPr="00F25307">
              <w:rPr>
                <w:sz w:val="21"/>
                <w:szCs w:val="21"/>
              </w:rPr>
              <w:t>房地产价值</w:t>
            </w:r>
          </w:p>
        </w:tc>
        <w:tc>
          <w:tcPr>
            <w:tcW w:w="1730" w:type="pct"/>
            <w:vAlign w:val="center"/>
          </w:tcPr>
          <w:p w14:paraId="634D7013" w14:textId="77777777" w:rsidR="00495C65" w:rsidRPr="00F25307" w:rsidRDefault="00495C65" w:rsidP="00F25307">
            <w:pPr>
              <w:pStyle w:val="13"/>
              <w:spacing w:line="240" w:lineRule="auto"/>
              <w:ind w:firstLineChars="0" w:firstLine="0"/>
              <w:rPr>
                <w:sz w:val="21"/>
                <w:szCs w:val="21"/>
              </w:rPr>
            </w:pPr>
            <w:r w:rsidRPr="00F25307">
              <w:rPr>
                <w:sz w:val="21"/>
                <w:szCs w:val="21"/>
              </w:rPr>
              <w:t>房地产价值=土地成本+建设成本+管理费用+销售费用+投资利息+销售税费+开发利润-折旧</w:t>
            </w:r>
          </w:p>
        </w:tc>
        <w:tc>
          <w:tcPr>
            <w:tcW w:w="1941" w:type="pct"/>
            <w:vAlign w:val="center"/>
          </w:tcPr>
          <w:p w14:paraId="2CD17D1E" w14:textId="77777777" w:rsidR="00495C65" w:rsidRPr="00F25307" w:rsidRDefault="00495C65" w:rsidP="00F25307">
            <w:pPr>
              <w:pStyle w:val="13"/>
              <w:spacing w:line="240" w:lineRule="auto"/>
              <w:ind w:firstLineChars="0" w:firstLine="0"/>
              <w:jc w:val="left"/>
              <w:rPr>
                <w:sz w:val="21"/>
                <w:szCs w:val="21"/>
              </w:rPr>
            </w:pPr>
            <w:r w:rsidRPr="00F25307">
              <w:rPr>
                <w:sz w:val="21"/>
                <w:szCs w:val="21"/>
              </w:rPr>
              <w:t>房地产价值=1+2+3+4+5+6+7+8+9+10+11+12-13</w:t>
            </w:r>
          </w:p>
        </w:tc>
      </w:tr>
    </w:tbl>
    <w:p w14:paraId="1EB4F392" w14:textId="77777777" w:rsidR="00495C65" w:rsidRDefault="00495C65" w:rsidP="00495C65">
      <w:pPr>
        <w:pStyle w:val="21"/>
        <w:spacing w:before="156" w:after="93"/>
      </w:pPr>
      <w:bookmarkStart w:id="174" w:name="_Toc81833412"/>
      <w:r>
        <w:rPr>
          <w:rFonts w:hint="eastAsia"/>
        </w:rPr>
        <w:lastRenderedPageBreak/>
        <w:t>湖南规范</w:t>
      </w:r>
      <w:bookmarkEnd w:id="174"/>
    </w:p>
    <w:p w14:paraId="1EF0E0C3" w14:textId="77777777" w:rsidR="00495C65" w:rsidRDefault="00495C65" w:rsidP="00495C65">
      <w:pPr>
        <w:pStyle w:val="31"/>
        <w:spacing w:before="156" w:after="62"/>
      </w:pPr>
      <w:bookmarkStart w:id="175" w:name="_Toc81833413"/>
      <w:r>
        <w:rPr>
          <w:rFonts w:hint="eastAsia"/>
        </w:rPr>
        <w:t>湖南省房地产估价技术指引—</w:t>
      </w:r>
      <w:r>
        <w:t>估价方法选用（试行）（</w:t>
      </w:r>
      <w:proofErr w:type="gramStart"/>
      <w:r>
        <w:t>湘房协</w:t>
      </w:r>
      <w:proofErr w:type="gramEnd"/>
      <w:r>
        <w:t>〔2018〕25号）</w:t>
      </w:r>
      <w:bookmarkEnd w:id="175"/>
    </w:p>
    <w:p w14:paraId="19EB5F93" w14:textId="77777777" w:rsidR="00495C65" w:rsidRDefault="00495C65" w:rsidP="00495C65">
      <w:pPr>
        <w:pStyle w:val="13"/>
      </w:pPr>
      <w:r>
        <w:rPr>
          <w:rFonts w:hint="eastAsia"/>
        </w:rPr>
        <w:t>房地产估价方法选用及估价结果确定是估价实务中的关键环节，也是房地产估价报告的核心内容。根据湖南省房地产市场状况，在湖南省内从事房地产估价业务的，选用估价方法除遵守《资产评估法》、《房地产估价规范》外，还应遵守本估价技术指引。</w:t>
      </w:r>
    </w:p>
    <w:p w14:paraId="75BE4FDC" w14:textId="77777777" w:rsidR="00495C65" w:rsidRDefault="00495C65" w:rsidP="00F25307">
      <w:pPr>
        <w:pStyle w:val="13"/>
      </w:pPr>
      <w:r>
        <w:rPr>
          <w:rFonts w:hint="eastAsia"/>
        </w:rPr>
        <w:t>一、估价方法选用的原则</w:t>
      </w:r>
    </w:p>
    <w:p w14:paraId="210A9360" w14:textId="77777777" w:rsidR="00495C65" w:rsidRDefault="00495C65" w:rsidP="00495C65">
      <w:pPr>
        <w:pStyle w:val="13"/>
      </w:pPr>
      <w:r>
        <w:rPr>
          <w:rFonts w:hint="eastAsia"/>
        </w:rPr>
        <w:t>选用估价方法时，应根据估价目的、估价对象及其所在地的房地产市场状况等客观条件，对比较法、收益法、成本法、假设开发法等估价方法进行适用性分析。</w:t>
      </w:r>
    </w:p>
    <w:p w14:paraId="2DC48572" w14:textId="77777777" w:rsidR="00495C65" w:rsidRDefault="00495C65" w:rsidP="00495C65">
      <w:pPr>
        <w:pStyle w:val="13"/>
      </w:pPr>
      <w:r>
        <w:rPr>
          <w:rFonts w:hint="eastAsia"/>
        </w:rPr>
        <w:t>当估价对象适用两种或两种以上估价方法进行估价时，宜同时选用所有适用的估价方法进行估价，不以某个房地产估价机构或注册房地产估价师不掌握某种估价方法所需要的资料数据等非客观原因来随意决定估价方法的取舍；</w:t>
      </w:r>
      <w:proofErr w:type="gramStart"/>
      <w:r>
        <w:rPr>
          <w:rFonts w:hint="eastAsia"/>
        </w:rPr>
        <w:t>当必须</w:t>
      </w:r>
      <w:proofErr w:type="gramEnd"/>
      <w:r>
        <w:rPr>
          <w:rFonts w:hint="eastAsia"/>
        </w:rPr>
        <w:t>取舍时，应在估价报告中说明并陈述理由。</w:t>
      </w:r>
    </w:p>
    <w:p w14:paraId="67402966" w14:textId="77777777" w:rsidR="00495C65" w:rsidRDefault="00495C65" w:rsidP="00495C65">
      <w:pPr>
        <w:pStyle w:val="13"/>
      </w:pPr>
      <w:r>
        <w:rPr>
          <w:rFonts w:hint="eastAsia"/>
        </w:rPr>
        <w:t>当估价对象仅适用一种估价方法进行估价时，可只选用一种方法进行估价。</w:t>
      </w:r>
    </w:p>
    <w:p w14:paraId="238116BB" w14:textId="77777777" w:rsidR="00495C65" w:rsidRDefault="00495C65" w:rsidP="00495C65">
      <w:pPr>
        <w:pStyle w:val="13"/>
      </w:pPr>
      <w:r>
        <w:rPr>
          <w:rFonts w:hint="eastAsia"/>
        </w:rPr>
        <w:t>二、常见估价对象选用估价方法建议</w:t>
      </w:r>
    </w:p>
    <w:p w14:paraId="2A51D442" w14:textId="77777777" w:rsidR="00495C65" w:rsidRDefault="00495C65" w:rsidP="00495C65">
      <w:pPr>
        <w:pStyle w:val="13"/>
      </w:pPr>
      <w:r>
        <w:t>1、住宅房地产</w:t>
      </w:r>
    </w:p>
    <w:p w14:paraId="2048B707" w14:textId="77777777" w:rsidR="00495C65" w:rsidRDefault="00495C65" w:rsidP="00495C65">
      <w:pPr>
        <w:pStyle w:val="13"/>
      </w:pPr>
      <w:r>
        <w:rPr>
          <w:rFonts w:hint="eastAsia"/>
        </w:rPr>
        <w:t>宜优先选用比较法、收益法。当该类型住宅房地产没有交易或交易很少，或该类型住宅房地产没有租金等经济收入时，可选用成本法作为估价方法之一；估价对象具有开发或再开发潜力的，应选用假设开发法。</w:t>
      </w:r>
    </w:p>
    <w:p w14:paraId="20A25339" w14:textId="77777777" w:rsidR="00495C65" w:rsidRDefault="00495C65" w:rsidP="00495C65">
      <w:pPr>
        <w:pStyle w:val="13"/>
      </w:pPr>
      <w:r>
        <w:t>2、商业房地产</w:t>
      </w:r>
    </w:p>
    <w:p w14:paraId="0E5F76B8" w14:textId="77777777" w:rsidR="00495C65" w:rsidRDefault="00495C65" w:rsidP="00495C65">
      <w:pPr>
        <w:pStyle w:val="13"/>
      </w:pPr>
      <w:r>
        <w:rPr>
          <w:rFonts w:hint="eastAsia"/>
        </w:rPr>
        <w:t>宜优先选用比较法、收益法。当该类型商业房地产没有交易或交易很少，可选用成本法作为估价方法之一，但成本法不宜作为主要估价方法；估价对象具有开发或再开发潜力的，应选用假设开发法。</w:t>
      </w:r>
    </w:p>
    <w:p w14:paraId="7F5A2F7B" w14:textId="77777777" w:rsidR="00495C65" w:rsidRDefault="00495C65" w:rsidP="00495C65">
      <w:pPr>
        <w:pStyle w:val="13"/>
      </w:pPr>
      <w:r>
        <w:t>3、办公房地产</w:t>
      </w:r>
    </w:p>
    <w:p w14:paraId="41DC7C31" w14:textId="77777777" w:rsidR="00495C65" w:rsidRDefault="00495C65" w:rsidP="00495C65">
      <w:pPr>
        <w:pStyle w:val="13"/>
      </w:pPr>
      <w:r>
        <w:rPr>
          <w:rFonts w:hint="eastAsia"/>
        </w:rPr>
        <w:t>宜优先选用比较法、收益法。当该类型办公房地产没有交易或交易很少，或该类型办公房地产没有租金等经济收入时，可选用成本法作为估价方法之一；估价对象具有开发或再开发潜力的，应选用假设开发法。</w:t>
      </w:r>
    </w:p>
    <w:p w14:paraId="42953D0A" w14:textId="77777777" w:rsidR="00495C65" w:rsidRDefault="00495C65" w:rsidP="00495C65">
      <w:pPr>
        <w:pStyle w:val="13"/>
      </w:pPr>
      <w:r>
        <w:t>4、工业房地产</w:t>
      </w:r>
    </w:p>
    <w:p w14:paraId="72538F48" w14:textId="77777777" w:rsidR="00495C65" w:rsidRDefault="00495C65" w:rsidP="00495C65">
      <w:pPr>
        <w:pStyle w:val="13"/>
      </w:pPr>
      <w:r>
        <w:rPr>
          <w:rFonts w:hint="eastAsia"/>
        </w:rPr>
        <w:t>估价对象可假定为独立的开发建设项目进行重新开发建设的，宜优先选用成本法。该类型工业房地产有较多交易的，应选用比较法；估价对象或其同类工业房地产通常有租金等经济收入的，应选用收益法；估价对象具有开发或再开发潜力的，应选用假设开发法。在对估价方法进行适用性分析后，有充分理由说明不能选用比较法、收益法、假设开发法时，可只选用成本法一种估价方法进行估价。</w:t>
      </w:r>
    </w:p>
    <w:p w14:paraId="0AACB785" w14:textId="77777777" w:rsidR="00495C65" w:rsidRDefault="00495C65" w:rsidP="00495C65">
      <w:pPr>
        <w:pStyle w:val="13"/>
      </w:pPr>
      <w:r>
        <w:lastRenderedPageBreak/>
        <w:t>5、旅馆、餐饮、娱乐等房地产</w:t>
      </w:r>
    </w:p>
    <w:p w14:paraId="1F090E42" w14:textId="77777777" w:rsidR="00495C65" w:rsidRPr="00E93981" w:rsidRDefault="00495C65" w:rsidP="00495C65">
      <w:pPr>
        <w:pStyle w:val="13"/>
      </w:pPr>
      <w:r w:rsidRPr="00E93981">
        <w:rPr>
          <w:rFonts w:hint="eastAsia"/>
        </w:rPr>
        <w:t>宜优先选用收益法。该类型房地产有较多交易的，应选用比较法；估价对象可假定为独立的开发建设项目进行重新开发建设的，可选用成本法；估价对象具有开发或再开发潜力的，应选用假设开发法。在对估价方法进行适用性分析后，有充分理由说明不能选用比较法、成本法、假设开发法时，可只选用收益法一种估价方法进行估价。</w:t>
      </w:r>
    </w:p>
    <w:p w14:paraId="3974C282" w14:textId="77777777" w:rsidR="00495C65" w:rsidRDefault="00495C65" w:rsidP="00495C65">
      <w:pPr>
        <w:pStyle w:val="13"/>
      </w:pPr>
      <w:r>
        <w:t>6、公共设施、农业等特殊用途房地产</w:t>
      </w:r>
    </w:p>
    <w:p w14:paraId="4F56C879" w14:textId="77777777" w:rsidR="00495C65" w:rsidRDefault="00495C65" w:rsidP="00495C65">
      <w:pPr>
        <w:pStyle w:val="13"/>
      </w:pPr>
      <w:r>
        <w:rPr>
          <w:rFonts w:hint="eastAsia"/>
        </w:rPr>
        <w:t>宜优先选用成本法。该类型房地产有较多交易的，应选用比较法；估价对象或其同类房地产通常有租金等经济收入的，应选用收益法；估价对象具有开发或再开发潜力的，应选用假设开发法。在对估价方法进行适用性分析后，有充分理由说明不能选用比较法、收益法、假设开发法时，可只选用成本法一种方法进行估价。</w:t>
      </w:r>
    </w:p>
    <w:p w14:paraId="4F559C3A" w14:textId="77777777" w:rsidR="00495C65" w:rsidRDefault="00495C65" w:rsidP="00495C65">
      <w:pPr>
        <w:pStyle w:val="13"/>
      </w:pPr>
      <w:r>
        <w:t>7、建筑物、构筑物</w:t>
      </w:r>
    </w:p>
    <w:p w14:paraId="225747D8" w14:textId="77777777" w:rsidR="00495C65" w:rsidRDefault="00495C65" w:rsidP="00495C65">
      <w:pPr>
        <w:pStyle w:val="13"/>
      </w:pPr>
      <w:r>
        <w:rPr>
          <w:rFonts w:hint="eastAsia"/>
        </w:rPr>
        <w:t>一般选用成本法。当该类型建筑物、构筑物有建安工程造价实例的，可选用比较法计算其建安工程费；当估价对象通常有收益、且收益可单纯计算或剥离计算时，可选用收益法。在对估价方法进行适用性分析后，有充分理由说明不能选用比较法、收益法时，</w:t>
      </w:r>
      <w:r>
        <w:t>可只选用成本法一种方法进行估价。</w:t>
      </w:r>
    </w:p>
    <w:p w14:paraId="096BFD18" w14:textId="77777777" w:rsidR="00495C65" w:rsidRDefault="00495C65" w:rsidP="00495C65">
      <w:pPr>
        <w:pStyle w:val="13"/>
      </w:pPr>
      <w:r>
        <w:t>8、在建工程</w:t>
      </w:r>
    </w:p>
    <w:p w14:paraId="0ED92A1C" w14:textId="77777777" w:rsidR="00495C65" w:rsidRDefault="00495C65" w:rsidP="00495C65">
      <w:pPr>
        <w:pStyle w:val="13"/>
      </w:pPr>
      <w:r>
        <w:rPr>
          <w:rFonts w:hint="eastAsia"/>
        </w:rPr>
        <w:t>一般选用成本法、假设开发法。当估价对象开发完成后价值不能采用除成本法以外的方法测算的，可只选用成本法一种方法进行估价。</w:t>
      </w:r>
    </w:p>
    <w:p w14:paraId="3C3123FA" w14:textId="77777777" w:rsidR="00495C65" w:rsidRDefault="00495C65" w:rsidP="00495C65">
      <w:pPr>
        <w:pStyle w:val="13"/>
      </w:pPr>
      <w:r>
        <w:t>9、土地使用权</w:t>
      </w:r>
    </w:p>
    <w:p w14:paraId="443E0350" w14:textId="77777777" w:rsidR="00495C65" w:rsidRDefault="00495C65" w:rsidP="00495C65">
      <w:pPr>
        <w:pStyle w:val="13"/>
      </w:pPr>
      <w:r>
        <w:rPr>
          <w:rFonts w:hint="eastAsia"/>
        </w:rPr>
        <w:t>各类用途的土地使用权估价，可参照相同用途的房地产选用估价方法的建议。土地在基准地价或标定地价覆盖的区域内的，还宜选用基准地价（标定地价）修正法。</w:t>
      </w:r>
    </w:p>
    <w:p w14:paraId="1A11F792" w14:textId="77777777" w:rsidR="00495C65" w:rsidRDefault="00495C65" w:rsidP="00495C65">
      <w:pPr>
        <w:pStyle w:val="13"/>
      </w:pPr>
      <w:r>
        <w:t>10、租赁价格</w:t>
      </w:r>
    </w:p>
    <w:p w14:paraId="3E5357E8" w14:textId="77777777" w:rsidR="00495C65" w:rsidRDefault="00495C65" w:rsidP="00495C65">
      <w:pPr>
        <w:pStyle w:val="13"/>
      </w:pPr>
      <w:r>
        <w:rPr>
          <w:rFonts w:hint="eastAsia"/>
        </w:rPr>
        <w:t>宜选用比较法、收益法。收益法应根据房地产价格与租赁价格之间的转换公式，利用房地产价格推算出租赁价格。</w:t>
      </w:r>
    </w:p>
    <w:p w14:paraId="1E603E25" w14:textId="77777777" w:rsidR="00495C65" w:rsidRDefault="00495C65" w:rsidP="00495C65">
      <w:pPr>
        <w:pStyle w:val="13"/>
      </w:pPr>
      <w:r>
        <w:rPr>
          <w:rFonts w:hint="eastAsia"/>
        </w:rPr>
        <w:t>三、有下列情形之一的，可只选用一种估价方法进行估价：</w:t>
      </w:r>
    </w:p>
    <w:p w14:paraId="6D3CC344" w14:textId="77777777" w:rsidR="00495C65" w:rsidRDefault="00495C65" w:rsidP="00495C65">
      <w:pPr>
        <w:pStyle w:val="13"/>
      </w:pPr>
      <w:r>
        <w:t>1、房地产市场发育不完备的偏远乡镇、工矿区房地产估价；</w:t>
      </w:r>
    </w:p>
    <w:p w14:paraId="4F1BFFE3" w14:textId="77777777" w:rsidR="00495C65" w:rsidRDefault="00495C65" w:rsidP="00495C65">
      <w:pPr>
        <w:pStyle w:val="13"/>
      </w:pPr>
      <w:r>
        <w:t>2、特殊用途或房地产市场狭小的房地产估价；</w:t>
      </w:r>
    </w:p>
    <w:p w14:paraId="00348ECC" w14:textId="77777777" w:rsidR="00495C65" w:rsidRDefault="00495C65" w:rsidP="00495C65">
      <w:pPr>
        <w:pStyle w:val="13"/>
      </w:pPr>
      <w:r>
        <w:t>3、建筑物保险估价；</w:t>
      </w:r>
    </w:p>
    <w:p w14:paraId="7B56C7BA" w14:textId="77777777" w:rsidR="00495C65" w:rsidRDefault="00495C65" w:rsidP="00495C65">
      <w:pPr>
        <w:pStyle w:val="13"/>
      </w:pPr>
      <w:r>
        <w:t>4、房地产附着物估价；</w:t>
      </w:r>
    </w:p>
    <w:p w14:paraId="4B391D70" w14:textId="77777777" w:rsidR="00495C65" w:rsidRDefault="00495C65" w:rsidP="00495C65">
      <w:pPr>
        <w:pStyle w:val="13"/>
      </w:pPr>
      <w:r>
        <w:t>5、房地产损害赔偿估价；</w:t>
      </w:r>
    </w:p>
    <w:p w14:paraId="692B2515" w14:textId="77777777" w:rsidR="00495C65" w:rsidRDefault="00495C65" w:rsidP="00495C65">
      <w:pPr>
        <w:pStyle w:val="13"/>
      </w:pPr>
      <w:r>
        <w:t>6、经省级以上房地产估价专家委员会认定可选用一种估价方法的。</w:t>
      </w:r>
    </w:p>
    <w:p w14:paraId="373A76D6" w14:textId="77777777" w:rsidR="00495C65" w:rsidRDefault="00495C65" w:rsidP="00495C65">
      <w:pPr>
        <w:pStyle w:val="13"/>
      </w:pPr>
      <w:r>
        <w:t>四、本估价技术指引自发布之日起施行。</w:t>
      </w:r>
    </w:p>
    <w:p w14:paraId="58EDD246" w14:textId="77777777" w:rsidR="00495C65" w:rsidRDefault="00495C65" w:rsidP="00495C65">
      <w:pPr>
        <w:pStyle w:val="21"/>
        <w:spacing w:before="156" w:after="93"/>
      </w:pPr>
      <w:bookmarkStart w:id="176" w:name="_Toc81833414"/>
      <w:r>
        <w:rPr>
          <w:rFonts w:hint="eastAsia"/>
        </w:rPr>
        <w:lastRenderedPageBreak/>
        <w:t>四川规范</w:t>
      </w:r>
      <w:bookmarkEnd w:id="176"/>
    </w:p>
    <w:p w14:paraId="36A89BCD" w14:textId="4282AC02" w:rsidR="00495C65" w:rsidRPr="00C05E8C" w:rsidRDefault="00495C65" w:rsidP="00495C65">
      <w:pPr>
        <w:pStyle w:val="31"/>
        <w:spacing w:before="156" w:after="62"/>
        <w:rPr>
          <w:spacing w:val="-6"/>
        </w:rPr>
      </w:pPr>
      <w:bookmarkStart w:id="177" w:name="_Toc81833415"/>
      <w:r w:rsidRPr="00C05E8C">
        <w:rPr>
          <w:rFonts w:hint="eastAsia"/>
          <w:spacing w:val="-6"/>
        </w:rPr>
        <w:t>四川省</w:t>
      </w:r>
      <w:r w:rsidR="00C05E8C" w:rsidRPr="00C05E8C">
        <w:rPr>
          <w:rFonts w:hint="eastAsia"/>
          <w:spacing w:val="-6"/>
        </w:rPr>
        <w:t>《房地产司法鉴定评估指导意见》（</w:t>
      </w:r>
      <w:r w:rsidRPr="00C05E8C">
        <w:rPr>
          <w:rFonts w:hint="eastAsia"/>
          <w:spacing w:val="-6"/>
        </w:rPr>
        <w:t>（试行）的通知（川建房发〔</w:t>
      </w:r>
      <w:r w:rsidRPr="00C05E8C">
        <w:rPr>
          <w:spacing w:val="-6"/>
        </w:rPr>
        <w:t>2011〕89号）</w:t>
      </w:r>
      <w:bookmarkEnd w:id="177"/>
    </w:p>
    <w:p w14:paraId="78B1EB07" w14:textId="77777777" w:rsidR="00495C65" w:rsidRPr="00547A63" w:rsidRDefault="00495C65" w:rsidP="00495C65">
      <w:pPr>
        <w:pStyle w:val="13"/>
        <w:ind w:firstLineChars="0" w:firstLine="0"/>
      </w:pPr>
      <w:r w:rsidRPr="00547A63">
        <w:t>各市（州）及扩权县（市）住房城乡建设行政主管部门：</w:t>
      </w:r>
    </w:p>
    <w:p w14:paraId="5C926B25" w14:textId="77777777" w:rsidR="00495C65" w:rsidRDefault="00495C65" w:rsidP="00495C65">
      <w:pPr>
        <w:pStyle w:val="13"/>
      </w:pPr>
      <w:r w:rsidRPr="00547A63">
        <w:rPr>
          <w:rFonts w:hint="eastAsia"/>
        </w:rPr>
        <w:t>为规范房地产司法鉴定评估行为，保障房地产司法鉴定评估质量，提高房地产司法鉴定评估公信力。现将《房地产司法鉴定评估指导意见》（试行）印发给你们，请遵照执行。各地在执行中遇到的情况和问题，请及时反馈我厅。</w:t>
      </w:r>
    </w:p>
    <w:p w14:paraId="7825512A" w14:textId="77777777" w:rsidR="00495C65" w:rsidRDefault="00495C65" w:rsidP="00495C65">
      <w:pPr>
        <w:pStyle w:val="13"/>
        <w:jc w:val="right"/>
      </w:pPr>
      <w:r w:rsidRPr="00B65D9B">
        <w:rPr>
          <w:rFonts w:hint="eastAsia"/>
        </w:rPr>
        <w:t>二</w:t>
      </w:r>
      <w:r w:rsidRPr="00B65D9B">
        <w:t>O一一年三月二十二日</w:t>
      </w:r>
    </w:p>
    <w:p w14:paraId="4AA7B995" w14:textId="77777777" w:rsidR="00495C65" w:rsidRDefault="00495C65" w:rsidP="00AF7342">
      <w:pPr>
        <w:pStyle w:val="a9"/>
        <w:spacing w:before="62" w:after="62"/>
      </w:pPr>
      <w:r>
        <w:rPr>
          <w:rFonts w:hint="eastAsia"/>
        </w:rPr>
        <w:t>房地产司法鉴定评估指导意见（试行）</w:t>
      </w:r>
    </w:p>
    <w:p w14:paraId="1F8776C0" w14:textId="77777777" w:rsidR="00495C65" w:rsidRDefault="00495C65" w:rsidP="00AF7342">
      <w:pPr>
        <w:pStyle w:val="a9"/>
        <w:spacing w:before="62" w:after="62"/>
      </w:pPr>
      <w:r>
        <w:rPr>
          <w:rFonts w:hint="eastAsia"/>
        </w:rPr>
        <w:t>第一章</w:t>
      </w:r>
      <w:r>
        <w:t xml:space="preserve"> 引言</w:t>
      </w:r>
    </w:p>
    <w:p w14:paraId="2AE373A0" w14:textId="67CD1AF1" w:rsidR="00495C65" w:rsidRDefault="004E3EBB" w:rsidP="00495C65">
      <w:pPr>
        <w:pStyle w:val="13"/>
        <w:ind w:firstLine="482"/>
      </w:pPr>
      <w:r w:rsidRPr="004E3EBB">
        <w:rPr>
          <w:rFonts w:hint="eastAsia"/>
          <w:b/>
          <w:bCs/>
        </w:rPr>
        <w:t xml:space="preserve">第一条 </w:t>
      </w:r>
      <w:r w:rsidR="00495C65">
        <w:t>为了规范房地产司法鉴定评估行为，保障房地产司法鉴定评估质量，提高房地产司法鉴定评估的公信力，根据《中华人民共和国城市房地产管理法》、《全国人民代表大会常务委员会关于司法鉴定管理问题的决定》、《最高人民法院关于人民法院委托评估、拍卖和变卖工作的若干规定》（法释〔2009〕16号）等有关法律、法规和司法解释，以及《房地产估价规范》（GB/T50291—1999）的有关规定，制定本意见。</w:t>
      </w:r>
    </w:p>
    <w:p w14:paraId="72D78CBA" w14:textId="528C980A" w:rsidR="00495C65" w:rsidRDefault="004E3EBB" w:rsidP="00495C65">
      <w:pPr>
        <w:pStyle w:val="13"/>
        <w:ind w:firstLine="482"/>
      </w:pPr>
      <w:r w:rsidRPr="004E3EBB">
        <w:rPr>
          <w:rFonts w:hint="eastAsia"/>
          <w:b/>
          <w:bCs/>
        </w:rPr>
        <w:t xml:space="preserve">第二条 </w:t>
      </w:r>
      <w:r w:rsidR="00495C65">
        <w:t>房地产估价机构和注册房地产估价师从事房地产司法鉴定评估活动，适用本意见。</w:t>
      </w:r>
    </w:p>
    <w:p w14:paraId="523E9FF9" w14:textId="0FF2E088" w:rsidR="00495C65" w:rsidRDefault="004E3EBB" w:rsidP="00495C65">
      <w:pPr>
        <w:pStyle w:val="13"/>
        <w:ind w:firstLine="482"/>
      </w:pPr>
      <w:r w:rsidRPr="004E3EBB">
        <w:rPr>
          <w:rFonts w:hint="eastAsia"/>
          <w:b/>
          <w:bCs/>
        </w:rPr>
        <w:t xml:space="preserve">第三条 </w:t>
      </w:r>
      <w:r w:rsidR="00495C65">
        <w:t>本意见所称房地产司法鉴定评估，是指在诉讼活动中，为确定涉诉房地产的价值或者价值减损、相关经济损失，对房地产的价值或者价值减损、相关经济损失进行分析、测算和判断并提供相关专业意见的活动。</w:t>
      </w:r>
    </w:p>
    <w:p w14:paraId="478BFC95" w14:textId="453FF2B9" w:rsidR="00495C65" w:rsidRDefault="004E3EBB" w:rsidP="00495C65">
      <w:pPr>
        <w:pStyle w:val="13"/>
        <w:ind w:firstLine="482"/>
      </w:pPr>
      <w:r w:rsidRPr="004E3EBB">
        <w:rPr>
          <w:rFonts w:hint="eastAsia"/>
          <w:b/>
          <w:bCs/>
        </w:rPr>
        <w:t xml:space="preserve">第四条 </w:t>
      </w:r>
      <w:r w:rsidR="00495C65">
        <w:t>房地产估价机构和注册房地产估价师从事房地产司法鉴定评估活动，应当遵守法律、法规、规章，遵守执业规范和职业道德，遵守房地产估价行业操作规范。</w:t>
      </w:r>
    </w:p>
    <w:p w14:paraId="6065B3E6" w14:textId="77777777" w:rsidR="00495C65" w:rsidRDefault="00495C65" w:rsidP="00495C65">
      <w:pPr>
        <w:pStyle w:val="13"/>
      </w:pPr>
      <w:r>
        <w:rPr>
          <w:rFonts w:hint="eastAsia"/>
        </w:rPr>
        <w:t>未取得房地产估价资质的司法鉴定机构，不得从事房地产司法鉴定评估。</w:t>
      </w:r>
    </w:p>
    <w:p w14:paraId="38B35B3E" w14:textId="489BA169" w:rsidR="00495C65" w:rsidRDefault="004E3EBB" w:rsidP="00495C65">
      <w:pPr>
        <w:pStyle w:val="13"/>
        <w:ind w:firstLine="482"/>
      </w:pPr>
      <w:r w:rsidRPr="004E3EBB">
        <w:rPr>
          <w:rFonts w:hint="eastAsia"/>
          <w:b/>
          <w:bCs/>
        </w:rPr>
        <w:t xml:space="preserve">第五条 </w:t>
      </w:r>
      <w:r w:rsidR="00495C65">
        <w:t>对估价对象在估价时点的特定司法鉴定估价目的下的价值或者价值减损、相关经济损失进行分析、测算和判断并提供相关专业意见，是注册房地产估价师的责任；提供必要的资料并保证所提供资料的真实性、合法性、完整性，恰当使用鉴定估价报告是委托人和诉讼活动当事人的责任。</w:t>
      </w:r>
    </w:p>
    <w:p w14:paraId="53C02773" w14:textId="44FDBDF3" w:rsidR="00495C65" w:rsidRDefault="004E3EBB" w:rsidP="00495C65">
      <w:pPr>
        <w:pStyle w:val="13"/>
        <w:ind w:firstLine="482"/>
      </w:pPr>
      <w:r w:rsidRPr="004E3EBB">
        <w:rPr>
          <w:rFonts w:hint="eastAsia"/>
          <w:b/>
          <w:bCs/>
        </w:rPr>
        <w:t xml:space="preserve">第六条 </w:t>
      </w:r>
      <w:r w:rsidR="00495C65">
        <w:t>注册房地产估价师不得就估价对象的法律权属状况发表法律意见，对于由委托人移交的诉讼活动当事人提供鉴定评估资料的真实性、合法性、完整性，应当履行</w:t>
      </w:r>
      <w:r w:rsidR="00495C65">
        <w:rPr>
          <w:rFonts w:hint="eastAsia"/>
        </w:rPr>
        <w:t>符合法律法规、房地产估价规范、估价行业标准和惯例所要求的审核程序。</w:t>
      </w:r>
    </w:p>
    <w:p w14:paraId="0DB63D06" w14:textId="069CC2A7" w:rsidR="00495C65" w:rsidRDefault="004E3EBB" w:rsidP="00495C65">
      <w:pPr>
        <w:pStyle w:val="13"/>
        <w:ind w:firstLine="482"/>
      </w:pPr>
      <w:r w:rsidRPr="004E3EBB">
        <w:rPr>
          <w:rFonts w:hint="eastAsia"/>
          <w:b/>
          <w:bCs/>
        </w:rPr>
        <w:t xml:space="preserve">第七条 </w:t>
      </w:r>
      <w:r w:rsidR="00495C65">
        <w:t>从事房地产司法鉴定评估的注册房地产估价师，经人民法院依法通知，应当出庭就其评估工作及鉴定估价报告，接受法官和当事人的询问，回答与鉴定评估</w:t>
      </w:r>
      <w:r w:rsidR="00495C65">
        <w:lastRenderedPageBreak/>
        <w:t>事项有关的问题。</w:t>
      </w:r>
    </w:p>
    <w:p w14:paraId="234FC548" w14:textId="6FE57DF6" w:rsidR="00495C65" w:rsidRDefault="004E3EBB" w:rsidP="00495C65">
      <w:pPr>
        <w:pStyle w:val="13"/>
        <w:ind w:firstLine="482"/>
      </w:pPr>
      <w:r w:rsidRPr="004E3EBB">
        <w:rPr>
          <w:rFonts w:hint="eastAsia"/>
          <w:b/>
          <w:bCs/>
        </w:rPr>
        <w:t xml:space="preserve">第八条 </w:t>
      </w:r>
      <w:r w:rsidR="00495C65">
        <w:t>房地产司法鉴定评估工作的最终成果，分为房地产司法鉴定估价报告和房地产咨询性估价报告。咨询性估价报告与鉴定估价报告，在估价程序、估价依据和估价规范等标准的执行方面可以有所放宽。</w:t>
      </w:r>
    </w:p>
    <w:p w14:paraId="4650142D" w14:textId="1CD6D576" w:rsidR="00495C65" w:rsidRDefault="00E05BDA" w:rsidP="00495C65">
      <w:pPr>
        <w:pStyle w:val="13"/>
        <w:ind w:firstLine="482"/>
      </w:pPr>
      <w:r w:rsidRPr="00E05BDA">
        <w:rPr>
          <w:rFonts w:hint="eastAsia"/>
          <w:b/>
          <w:bCs/>
        </w:rPr>
        <w:t xml:space="preserve">第九条 </w:t>
      </w:r>
      <w:r w:rsidR="00495C65">
        <w:t>房地产估价机构和注册房地产估价师应当保守在执业活动中知悉的国家秘密、商业秘密，不得泄露个人隐私。</w:t>
      </w:r>
    </w:p>
    <w:p w14:paraId="0922E4F5" w14:textId="77777777" w:rsidR="00495C65" w:rsidRDefault="00495C65" w:rsidP="00495C65">
      <w:pPr>
        <w:pStyle w:val="13"/>
      </w:pPr>
      <w:r>
        <w:rPr>
          <w:rFonts w:hint="eastAsia"/>
        </w:rPr>
        <w:t>未经委托人、估价行业主管部门和估价行业组织的同意，不得向其他个人或者组织提供与鉴定评估事项有关的信息，但法律、法规另有规定的除外。</w:t>
      </w:r>
    </w:p>
    <w:p w14:paraId="1AB63FFB" w14:textId="438934FD" w:rsidR="00495C65" w:rsidRDefault="00E05BDA" w:rsidP="00495C65">
      <w:pPr>
        <w:pStyle w:val="13"/>
        <w:ind w:firstLine="482"/>
      </w:pPr>
      <w:r w:rsidRPr="00E05BDA">
        <w:rPr>
          <w:rFonts w:hint="eastAsia"/>
          <w:b/>
          <w:bCs/>
        </w:rPr>
        <w:t xml:space="preserve">第十条 </w:t>
      </w:r>
      <w:r w:rsidR="00495C65">
        <w:t>房地产估价机构、注册房地产估价师，与房地产司法鉴定评估涉及的诉讼活动当事人有利害关系，或者是诉讼活动当事人一方的，以及存在其他可能影响独立、公正情形的，应当回避。</w:t>
      </w:r>
    </w:p>
    <w:p w14:paraId="5CC143C4" w14:textId="0EC5AFEF" w:rsidR="00495C65" w:rsidRDefault="00E05BDA" w:rsidP="00495C65">
      <w:pPr>
        <w:pStyle w:val="13"/>
        <w:ind w:firstLine="482"/>
      </w:pPr>
      <w:r w:rsidRPr="00E05BDA">
        <w:rPr>
          <w:rFonts w:hint="eastAsia"/>
          <w:b/>
          <w:bCs/>
        </w:rPr>
        <w:t xml:space="preserve">第十一条 </w:t>
      </w:r>
      <w:r w:rsidR="00495C65">
        <w:t>注册房地产估价师应当依法独立、客观、公正地进行鉴定评估，并对出具的房地产鉴定估价报告负责。</w:t>
      </w:r>
    </w:p>
    <w:p w14:paraId="7D51B042" w14:textId="77777777" w:rsidR="00495C65" w:rsidRDefault="00495C65" w:rsidP="00495C65">
      <w:pPr>
        <w:pStyle w:val="13"/>
      </w:pPr>
      <w:r>
        <w:rPr>
          <w:rFonts w:hint="eastAsia"/>
        </w:rPr>
        <w:t>房地产司法鉴定评估实行注册房地产估价师负责制度。</w:t>
      </w:r>
    </w:p>
    <w:p w14:paraId="41E3D00F" w14:textId="77777777" w:rsidR="00495C65" w:rsidRDefault="00495C65" w:rsidP="00AF7342">
      <w:pPr>
        <w:pStyle w:val="a9"/>
        <w:spacing w:before="62" w:after="62"/>
      </w:pPr>
      <w:r>
        <w:rPr>
          <w:rFonts w:hint="eastAsia"/>
        </w:rPr>
        <w:t>第二章</w:t>
      </w:r>
      <w:r>
        <w:t xml:space="preserve"> 房地产司法鉴定评估的委托、受理与实施</w:t>
      </w:r>
    </w:p>
    <w:p w14:paraId="5BB1A17F" w14:textId="491FC968" w:rsidR="00495C65" w:rsidRDefault="00E05BDA" w:rsidP="00495C65">
      <w:pPr>
        <w:pStyle w:val="13"/>
        <w:ind w:firstLine="482"/>
      </w:pPr>
      <w:r w:rsidRPr="00E05BDA">
        <w:rPr>
          <w:rFonts w:hint="eastAsia"/>
          <w:b/>
          <w:bCs/>
        </w:rPr>
        <w:t xml:space="preserve">第十二条 </w:t>
      </w:r>
      <w:r w:rsidR="00495C65">
        <w:t>房地产司法鉴定评估，应由一家估价机构接受委托并完成鉴定评估工作，不得由两家或两家以上的估价机构接受鉴定评估委托。</w:t>
      </w:r>
    </w:p>
    <w:p w14:paraId="488D5B01" w14:textId="68696CBD" w:rsidR="00495C65" w:rsidRDefault="00E05BDA" w:rsidP="00495C65">
      <w:pPr>
        <w:pStyle w:val="13"/>
        <w:ind w:firstLine="482"/>
      </w:pPr>
      <w:r w:rsidRPr="00E05BDA">
        <w:rPr>
          <w:rFonts w:hint="eastAsia"/>
          <w:b/>
          <w:bCs/>
        </w:rPr>
        <w:t xml:space="preserve">第十三条 </w:t>
      </w:r>
      <w:r w:rsidR="00495C65">
        <w:t>房地产估价机构应当在接受鉴定评估委托前，明确估价基本事项，通过人民法院交由诉讼当事人签收《房地产司法鉴定评估风险告知书》，从而使当事人全面知悉鉴定评估的基本事项，促使当事人明确自己应履行的配合义务及不履行该义务可能承担的不利后果。</w:t>
      </w:r>
    </w:p>
    <w:p w14:paraId="71E91558" w14:textId="75D1068E" w:rsidR="00495C65" w:rsidRDefault="00E05BDA" w:rsidP="00495C65">
      <w:pPr>
        <w:pStyle w:val="13"/>
        <w:ind w:firstLine="482"/>
      </w:pPr>
      <w:r w:rsidRPr="00E05BDA">
        <w:rPr>
          <w:rFonts w:hint="eastAsia"/>
          <w:b/>
          <w:bCs/>
        </w:rPr>
        <w:t xml:space="preserve">第十四条 </w:t>
      </w:r>
      <w:r w:rsidR="00495C65">
        <w:t>如果出现估价依据缺失、估价程序不能完全履行的情形，如估价对象灭失，或者估价对象的所有人或占有方拒绝或者不配合估价人员的工作，或者隐蔽工程图纸缺失等，房地产估价机构应当报告人民法院，终止房地产司法鉴定评估委托。</w:t>
      </w:r>
    </w:p>
    <w:p w14:paraId="15E4C4F6" w14:textId="0B3D9EC2" w:rsidR="00495C65" w:rsidRDefault="00E05BDA" w:rsidP="00495C65">
      <w:pPr>
        <w:pStyle w:val="13"/>
        <w:ind w:firstLine="482"/>
      </w:pPr>
      <w:r w:rsidRPr="00E05BDA">
        <w:rPr>
          <w:rFonts w:hint="eastAsia"/>
          <w:b/>
          <w:bCs/>
        </w:rPr>
        <w:t xml:space="preserve">第十五条 </w:t>
      </w:r>
      <w:r w:rsidR="00495C65">
        <w:t>在估价依据缺失或者估价程序不能完全履行的情况下，当事人坚持申请</w:t>
      </w:r>
      <w:r w:rsidR="00495C65">
        <w:rPr>
          <w:rFonts w:hint="eastAsia"/>
        </w:rPr>
        <w:t>进行鉴定评估，或者人民法院认为必须鉴定评估的，注册房地产估价师应当将估价风险</w:t>
      </w:r>
      <w:r w:rsidR="00495C65">
        <w:t xml:space="preserve"> 书面告知委托人民法院及有关当事人。估价机构在上述情形下接受委托并开展估价工作，如果估价程序或者估价依据的不完备，并非因注册房地产估价师的主观过错造成，则当事人不得对鉴定评估工作的固有瑕疵提出质疑，也不得因此对估价机构及其注册房地产估价师提出鉴定评估不当的指控，当事人应承担房地产司法鉴定评估结果可能带来的法律后果。</w:t>
      </w:r>
    </w:p>
    <w:p w14:paraId="0464CBBE" w14:textId="4ABC3395" w:rsidR="00495C65" w:rsidRDefault="00E05BDA" w:rsidP="00495C65">
      <w:pPr>
        <w:pStyle w:val="13"/>
        <w:ind w:firstLine="482"/>
      </w:pPr>
      <w:r w:rsidRPr="00E05BDA">
        <w:rPr>
          <w:rFonts w:hint="eastAsia"/>
          <w:b/>
          <w:bCs/>
        </w:rPr>
        <w:t xml:space="preserve">第十六条 </w:t>
      </w:r>
      <w:r w:rsidR="00495C65">
        <w:t>房地产估价机构开展鉴定评估业务，应当取得委托人出具的房地产鉴定评估委托书。委托人提供《鉴定评估委托书附表》、《鉴定评估资料交接表》、《鉴定评估资料质证情况记录》的，估价报告</w:t>
      </w:r>
      <w:proofErr w:type="gramStart"/>
      <w:r w:rsidR="00495C65">
        <w:t>应当附该资料</w:t>
      </w:r>
      <w:proofErr w:type="gramEnd"/>
      <w:r w:rsidR="00495C65">
        <w:t>。</w:t>
      </w:r>
    </w:p>
    <w:p w14:paraId="29E8D83F" w14:textId="77777777" w:rsidR="00495C65" w:rsidRDefault="00495C65" w:rsidP="00495C65">
      <w:pPr>
        <w:pStyle w:val="13"/>
      </w:pPr>
      <w:r>
        <w:rPr>
          <w:rFonts w:hint="eastAsia"/>
        </w:rPr>
        <w:lastRenderedPageBreak/>
        <w:t>本意见所指鉴定评估资料，是指存在于各种载体上与鉴定评估事项有关的记录，包括案件基本情况、案件当事人基本情况、估价对象法律权属状况、估价对象占有维护情况、估价对象不动产登记档案等。</w:t>
      </w:r>
    </w:p>
    <w:p w14:paraId="64BCA068" w14:textId="73240E5D" w:rsidR="00495C65" w:rsidRDefault="00E05BDA" w:rsidP="00495C65">
      <w:pPr>
        <w:pStyle w:val="13"/>
        <w:ind w:firstLine="482"/>
      </w:pPr>
      <w:r w:rsidRPr="00E05BDA">
        <w:rPr>
          <w:rFonts w:hint="eastAsia"/>
          <w:b/>
          <w:bCs/>
        </w:rPr>
        <w:t xml:space="preserve">第十七条 </w:t>
      </w:r>
      <w:r w:rsidR="00495C65">
        <w:t>房地产鉴定评估委托书通常载明以下内容：</w:t>
      </w:r>
    </w:p>
    <w:p w14:paraId="3362A679" w14:textId="77777777" w:rsidR="00495C65" w:rsidRDefault="00495C65" w:rsidP="00495C65">
      <w:pPr>
        <w:pStyle w:val="13"/>
      </w:pPr>
      <w:r>
        <w:rPr>
          <w:rFonts w:hint="eastAsia"/>
        </w:rPr>
        <w:t>（一）委托人的名称或者姓名；</w:t>
      </w:r>
    </w:p>
    <w:p w14:paraId="6A9950FD" w14:textId="77777777" w:rsidR="00495C65" w:rsidRDefault="00495C65" w:rsidP="00495C65">
      <w:pPr>
        <w:pStyle w:val="13"/>
      </w:pPr>
      <w:r>
        <w:rPr>
          <w:rFonts w:hint="eastAsia"/>
        </w:rPr>
        <w:t>（二）委托的房地产估价机构名称；</w:t>
      </w:r>
    </w:p>
    <w:p w14:paraId="16C4DC5E" w14:textId="77777777" w:rsidR="00495C65" w:rsidRDefault="00495C65" w:rsidP="00495C65">
      <w:pPr>
        <w:pStyle w:val="13"/>
      </w:pPr>
      <w:r>
        <w:rPr>
          <w:rFonts w:hint="eastAsia"/>
        </w:rPr>
        <w:t>（三）委托日期；</w:t>
      </w:r>
    </w:p>
    <w:p w14:paraId="1946CF8D" w14:textId="77777777" w:rsidR="00495C65" w:rsidRDefault="00495C65" w:rsidP="00495C65">
      <w:pPr>
        <w:pStyle w:val="13"/>
      </w:pPr>
      <w:r>
        <w:rPr>
          <w:rFonts w:hint="eastAsia"/>
        </w:rPr>
        <w:t>（四）简要案情及承办人姓名和联系电话；</w:t>
      </w:r>
    </w:p>
    <w:p w14:paraId="4C95200D" w14:textId="77777777" w:rsidR="00495C65" w:rsidRDefault="00495C65" w:rsidP="00495C65">
      <w:pPr>
        <w:pStyle w:val="13"/>
      </w:pPr>
      <w:r>
        <w:rPr>
          <w:rFonts w:hint="eastAsia"/>
        </w:rPr>
        <w:t>（五）诉讼当事人及其联系方式；</w:t>
      </w:r>
    </w:p>
    <w:p w14:paraId="0FFB65AC" w14:textId="77777777" w:rsidR="00495C65" w:rsidRDefault="00495C65" w:rsidP="00495C65">
      <w:pPr>
        <w:pStyle w:val="13"/>
      </w:pPr>
      <w:r>
        <w:rPr>
          <w:rFonts w:hint="eastAsia"/>
        </w:rPr>
        <w:t>（六）诉讼当事人签收《房地产司法鉴定评估风险告知书》记录；</w:t>
      </w:r>
    </w:p>
    <w:p w14:paraId="3A782DE2" w14:textId="77777777" w:rsidR="00495C65" w:rsidRDefault="00495C65" w:rsidP="00495C65">
      <w:pPr>
        <w:pStyle w:val="13"/>
      </w:pPr>
      <w:r>
        <w:rPr>
          <w:rFonts w:hint="eastAsia"/>
        </w:rPr>
        <w:t>（七）房地产司法鉴定估价基本事项，包含估价对象及估价范围、估价时点、估价目的、物质实体状况和权益状况（包括法律权属、法律瑕疵及租约限制等）。</w:t>
      </w:r>
    </w:p>
    <w:p w14:paraId="2F850BFF" w14:textId="77777777" w:rsidR="00495C65" w:rsidRDefault="00495C65" w:rsidP="00495C65">
      <w:pPr>
        <w:pStyle w:val="13"/>
      </w:pPr>
      <w:r>
        <w:rPr>
          <w:rFonts w:hint="eastAsia"/>
        </w:rPr>
        <w:t>（见“房地产鉴定评估委托书”推荐文本）</w:t>
      </w:r>
    </w:p>
    <w:p w14:paraId="1E2A07C3" w14:textId="75898A53" w:rsidR="00495C65" w:rsidRDefault="00E05BDA" w:rsidP="00495C65">
      <w:pPr>
        <w:pStyle w:val="13"/>
        <w:ind w:firstLine="482"/>
      </w:pPr>
      <w:r w:rsidRPr="00E05BDA">
        <w:rPr>
          <w:rFonts w:hint="eastAsia"/>
          <w:b/>
          <w:bCs/>
        </w:rPr>
        <w:t xml:space="preserve">第十八条 </w:t>
      </w:r>
      <w:r w:rsidR="00495C65">
        <w:t>房地产鉴定评估委托书附表，房地产估价机构应当与委托人沟通协商</w:t>
      </w:r>
      <w:r w:rsidR="003068F8">
        <w:t>，</w:t>
      </w:r>
      <w:r w:rsidR="00495C65">
        <w:t>通常载明如下内容：</w:t>
      </w:r>
    </w:p>
    <w:p w14:paraId="4D787A50" w14:textId="77777777" w:rsidR="00495C65" w:rsidRDefault="00495C65" w:rsidP="00495C65">
      <w:pPr>
        <w:pStyle w:val="13"/>
      </w:pPr>
      <w:r>
        <w:rPr>
          <w:rFonts w:hint="eastAsia"/>
        </w:rPr>
        <w:t>（一）估价机构选定日期；</w:t>
      </w:r>
    </w:p>
    <w:p w14:paraId="21F92AED" w14:textId="77777777" w:rsidR="00495C65" w:rsidRDefault="00495C65" w:rsidP="00495C65">
      <w:pPr>
        <w:pStyle w:val="13"/>
      </w:pPr>
      <w:r>
        <w:rPr>
          <w:rFonts w:hint="eastAsia"/>
        </w:rPr>
        <w:t>（二）鉴定评估移送日期；</w:t>
      </w:r>
    </w:p>
    <w:p w14:paraId="6EF09418" w14:textId="77777777" w:rsidR="00495C65" w:rsidRDefault="00495C65" w:rsidP="00495C65">
      <w:pPr>
        <w:pStyle w:val="13"/>
      </w:pPr>
      <w:r>
        <w:rPr>
          <w:rFonts w:hint="eastAsia"/>
        </w:rPr>
        <w:t>（三）实际估价范围；</w:t>
      </w:r>
    </w:p>
    <w:p w14:paraId="1E6E604C" w14:textId="77777777" w:rsidR="00495C65" w:rsidRDefault="00495C65" w:rsidP="00495C65">
      <w:pPr>
        <w:pStyle w:val="13"/>
      </w:pPr>
      <w:r>
        <w:rPr>
          <w:rFonts w:hint="eastAsia"/>
        </w:rPr>
        <w:t>（四）鉴定评估的价值定义；</w:t>
      </w:r>
    </w:p>
    <w:p w14:paraId="0B70F597" w14:textId="77777777" w:rsidR="00495C65" w:rsidRDefault="00495C65" w:rsidP="00495C65">
      <w:pPr>
        <w:pStyle w:val="13"/>
      </w:pPr>
      <w:r>
        <w:rPr>
          <w:rFonts w:hint="eastAsia"/>
        </w:rPr>
        <w:t>（五）鉴定估价报告提交期限和方式；</w:t>
      </w:r>
    </w:p>
    <w:p w14:paraId="078A5B41" w14:textId="77777777" w:rsidR="00495C65" w:rsidRDefault="00495C65" w:rsidP="00495C65">
      <w:pPr>
        <w:pStyle w:val="13"/>
      </w:pPr>
      <w:r>
        <w:rPr>
          <w:rFonts w:hint="eastAsia"/>
        </w:rPr>
        <w:t>（六）鉴定估价报告使用者；</w:t>
      </w:r>
    </w:p>
    <w:p w14:paraId="61DB8555" w14:textId="77777777" w:rsidR="00495C65" w:rsidRDefault="00495C65" w:rsidP="00495C65">
      <w:pPr>
        <w:pStyle w:val="13"/>
      </w:pPr>
      <w:r>
        <w:rPr>
          <w:rFonts w:hint="eastAsia"/>
        </w:rPr>
        <w:t>（七）鉴定评估服务费总额及其支付方式；</w:t>
      </w:r>
    </w:p>
    <w:p w14:paraId="3D96FAFA" w14:textId="77777777" w:rsidR="00495C65" w:rsidRDefault="00495C65" w:rsidP="00495C65">
      <w:pPr>
        <w:pStyle w:val="13"/>
      </w:pPr>
      <w:r>
        <w:rPr>
          <w:rFonts w:hint="eastAsia"/>
        </w:rPr>
        <w:t>（八）既往鉴定估价报告书；</w:t>
      </w:r>
    </w:p>
    <w:p w14:paraId="64270E47" w14:textId="77777777" w:rsidR="00495C65" w:rsidRDefault="00495C65" w:rsidP="00495C65">
      <w:pPr>
        <w:pStyle w:val="13"/>
      </w:pPr>
      <w:r>
        <w:rPr>
          <w:rFonts w:hint="eastAsia"/>
        </w:rPr>
        <w:t>（九）受托估价机构的其他义务、估价机构受托记录。</w:t>
      </w:r>
    </w:p>
    <w:p w14:paraId="495BA23E" w14:textId="77777777" w:rsidR="00495C65" w:rsidRDefault="00495C65" w:rsidP="00495C65">
      <w:pPr>
        <w:pStyle w:val="13"/>
      </w:pPr>
      <w:r>
        <w:rPr>
          <w:rFonts w:hint="eastAsia"/>
        </w:rPr>
        <w:t>（见“房地产鉴定评估委托书附表”推荐文本）</w:t>
      </w:r>
    </w:p>
    <w:p w14:paraId="5B6C064E" w14:textId="2DA27582" w:rsidR="00495C65" w:rsidRDefault="00E05BDA" w:rsidP="00495C65">
      <w:pPr>
        <w:pStyle w:val="13"/>
        <w:ind w:firstLine="482"/>
      </w:pPr>
      <w:r w:rsidRPr="00E05BDA">
        <w:rPr>
          <w:rFonts w:hint="eastAsia"/>
          <w:b/>
          <w:bCs/>
        </w:rPr>
        <w:t xml:space="preserve">第十九条 </w:t>
      </w:r>
      <w:r w:rsidR="00495C65">
        <w:t>房地产司法鉴定估价机构需要补充资料，或者退回鉴定评估委托的，应当向委托人出具鉴定评估（补充或退回）资料交接表，载明房地产估价机构认为需要补充的鉴定评估资料清单、不接受委托的理由，以及人民法院委托部门移送、房地产估价机构接收及退回记录等内容。</w:t>
      </w:r>
    </w:p>
    <w:p w14:paraId="5A3AB9BF" w14:textId="77777777" w:rsidR="00495C65" w:rsidRDefault="00495C65" w:rsidP="00495C65">
      <w:pPr>
        <w:pStyle w:val="13"/>
      </w:pPr>
      <w:r>
        <w:rPr>
          <w:rFonts w:hint="eastAsia"/>
        </w:rPr>
        <w:t>对于委托人移交的当事人提供的鉴定评估资料，房地产估价机构应当区分经当事人质证人民法院认定的鉴定评估资料，以及需要注册房地产估价师调查核实的资料。房地产估价机构认为需要法人民院依职权调查取得有关鉴定评估依据的，应当向人民法院书面提出，并将人民法院依职权调查核实的鉴定评估资料作为鉴定评估依据。</w:t>
      </w:r>
    </w:p>
    <w:p w14:paraId="19F4C54E" w14:textId="3FBFB076" w:rsidR="00495C65" w:rsidRDefault="00E05BDA" w:rsidP="00495C65">
      <w:pPr>
        <w:pStyle w:val="13"/>
        <w:ind w:firstLine="482"/>
      </w:pPr>
      <w:r w:rsidRPr="00E05BDA">
        <w:rPr>
          <w:rFonts w:hint="eastAsia"/>
          <w:b/>
          <w:bCs/>
        </w:rPr>
        <w:lastRenderedPageBreak/>
        <w:t xml:space="preserve">第二十条 </w:t>
      </w:r>
      <w:r w:rsidR="00495C65">
        <w:t>房地产估价机构应当取得估价对象的物质权益状况和实体状况资料，包括：估价对象的房屋所有权证、国有土地使用证（国有建设用地使用权证）、政府批准用地的许可文件、集体土地使用证等权属资料，查封、预查封、抵押权设立、出租等情况说明，以及装修情况说明等。</w:t>
      </w:r>
    </w:p>
    <w:p w14:paraId="5E4210E9" w14:textId="77777777" w:rsidR="00495C65" w:rsidRDefault="00495C65" w:rsidP="00495C65">
      <w:pPr>
        <w:pStyle w:val="13"/>
      </w:pPr>
      <w:r>
        <w:rPr>
          <w:rFonts w:hint="eastAsia"/>
        </w:rPr>
        <w:t>如果估价对象是在建工程，委托方提供的资料通常还应包括项目的城乡规划许可文件、施工图设计文件、造价咨询文件、预售批准文件等。</w:t>
      </w:r>
    </w:p>
    <w:p w14:paraId="278F90BD" w14:textId="556A7218" w:rsidR="00495C65" w:rsidRDefault="00E05BDA" w:rsidP="00495C65">
      <w:pPr>
        <w:pStyle w:val="13"/>
        <w:ind w:firstLine="482"/>
      </w:pPr>
      <w:r w:rsidRPr="00E05BDA">
        <w:rPr>
          <w:rFonts w:hint="eastAsia"/>
          <w:b/>
          <w:bCs/>
        </w:rPr>
        <w:t xml:space="preserve">第二十一条 </w:t>
      </w:r>
      <w:r w:rsidR="00495C65">
        <w:t>注册房地产估价师在开展司法鉴定评估过程中，估价依据如需当事人双方认可的，可以申请人民法院就有关估价依据组织当事人进行质证认可后，采纳为估价依据。</w:t>
      </w:r>
    </w:p>
    <w:p w14:paraId="49B0712F" w14:textId="5289CF2C" w:rsidR="00495C65" w:rsidRDefault="00E05BDA" w:rsidP="00495C65">
      <w:pPr>
        <w:pStyle w:val="13"/>
        <w:ind w:firstLine="482"/>
      </w:pPr>
      <w:r w:rsidRPr="00E05BDA">
        <w:rPr>
          <w:rFonts w:hint="eastAsia"/>
          <w:b/>
          <w:bCs/>
        </w:rPr>
        <w:t xml:space="preserve">第二十二条 </w:t>
      </w:r>
      <w:r w:rsidR="00495C65">
        <w:t>鉴定评估现场查勘工作结束后，当事人又提出新的评估资料，未经人民法院认定并移交的，注册房地产估价师不予采纳。</w:t>
      </w:r>
    </w:p>
    <w:p w14:paraId="10F2FFB4" w14:textId="20A54F73" w:rsidR="00495C65" w:rsidRDefault="00E05BDA" w:rsidP="00495C65">
      <w:pPr>
        <w:pStyle w:val="13"/>
        <w:ind w:firstLine="482"/>
      </w:pPr>
      <w:r w:rsidRPr="00E05BDA">
        <w:rPr>
          <w:rFonts w:hint="eastAsia"/>
          <w:b/>
          <w:bCs/>
        </w:rPr>
        <w:t xml:space="preserve">第二十三条 </w:t>
      </w:r>
      <w:r w:rsidR="00495C65">
        <w:t>估价机构应当在委托书载明的鉴定评估期限内，完成鉴定评估工作并出具房地产司法鉴定估价报告。委托书中未载明鉴定评估期限的，应在法律、行政法规或部门规章规定的期限内完成。如果估价机构在鉴定评估期限内不能完成鉴定评估的，</w:t>
      </w:r>
      <w:r w:rsidR="00495C65">
        <w:rPr>
          <w:rFonts w:hint="eastAsia"/>
        </w:rPr>
        <w:t>应当书面向委托人说明理由并申请延期。</w:t>
      </w:r>
    </w:p>
    <w:p w14:paraId="554857E2" w14:textId="25A69147" w:rsidR="00495C65" w:rsidRDefault="00E05BDA" w:rsidP="00495C65">
      <w:pPr>
        <w:pStyle w:val="13"/>
        <w:ind w:firstLine="482"/>
      </w:pPr>
      <w:r w:rsidRPr="00E05BDA">
        <w:rPr>
          <w:rFonts w:hint="eastAsia"/>
          <w:b/>
          <w:bCs/>
        </w:rPr>
        <w:t xml:space="preserve">第二十四条 </w:t>
      </w:r>
      <w:r w:rsidR="00495C65">
        <w:t>估价机构完成鉴定评估后，应当及时将估价报告送交人民法院。当事人或者其他利害关系人对估价报告有异议的，应当通过人民法院向估价机构转交书面意见。估价机构收到该书面意见后，应当依据估价规范等予以解释和答复。</w:t>
      </w:r>
    </w:p>
    <w:p w14:paraId="53605B7B" w14:textId="37B290CE" w:rsidR="00495C65" w:rsidRDefault="00E05BDA" w:rsidP="00495C65">
      <w:pPr>
        <w:pStyle w:val="13"/>
        <w:ind w:firstLine="482"/>
      </w:pPr>
      <w:r w:rsidRPr="00E05BDA">
        <w:rPr>
          <w:rFonts w:hint="eastAsia"/>
          <w:b/>
          <w:bCs/>
        </w:rPr>
        <w:t xml:space="preserve">第二十五条 </w:t>
      </w:r>
      <w:r w:rsidR="00495C65">
        <w:t>房地产司法鉴定评估费用，应当由房地产鉴定估价机构收取，收费的项目和标准应当严格执行有关规定。</w:t>
      </w:r>
    </w:p>
    <w:p w14:paraId="32A26A7B" w14:textId="42410A0D" w:rsidR="00495C65" w:rsidRDefault="00E05BDA" w:rsidP="00495C65">
      <w:pPr>
        <w:pStyle w:val="13"/>
        <w:ind w:firstLine="482"/>
      </w:pPr>
      <w:r w:rsidRPr="00E05BDA">
        <w:rPr>
          <w:rFonts w:hint="eastAsia"/>
          <w:b/>
          <w:bCs/>
        </w:rPr>
        <w:t xml:space="preserve">第二十六条 </w:t>
      </w:r>
      <w:r w:rsidR="00495C65">
        <w:t>房地产鉴定估价机构接受委托后，在进行现场查勘前，可以通过人民法院要求当事人预交鉴定评估费用，最终鉴定费用待出具报告时按约定全部结清。</w:t>
      </w:r>
    </w:p>
    <w:p w14:paraId="1BDBC0A2" w14:textId="77777777" w:rsidR="00495C65" w:rsidRDefault="00495C65" w:rsidP="00495C65">
      <w:pPr>
        <w:pStyle w:val="13"/>
      </w:pPr>
      <w:r>
        <w:rPr>
          <w:rFonts w:hint="eastAsia"/>
        </w:rPr>
        <w:t>一般情况下，如果当事人不预交鉴定评估费用，估价机构可以退回鉴定评估委托。</w:t>
      </w:r>
    </w:p>
    <w:p w14:paraId="5879D96C" w14:textId="77777777" w:rsidR="00495C65" w:rsidRDefault="00495C65" w:rsidP="00AF7342">
      <w:pPr>
        <w:pStyle w:val="a9"/>
        <w:spacing w:before="62" w:after="62"/>
      </w:pPr>
      <w:r>
        <w:rPr>
          <w:rFonts w:hint="eastAsia"/>
        </w:rPr>
        <w:t>第三章</w:t>
      </w:r>
      <w:r>
        <w:t xml:space="preserve"> 房地产司法鉴定评估的类别</w:t>
      </w:r>
    </w:p>
    <w:p w14:paraId="5596E484" w14:textId="77777777" w:rsidR="00495C65" w:rsidRDefault="00495C65" w:rsidP="00AF7342">
      <w:pPr>
        <w:pStyle w:val="a9"/>
        <w:spacing w:before="62" w:after="62"/>
      </w:pPr>
      <w:r>
        <w:rPr>
          <w:rFonts w:hint="eastAsia"/>
        </w:rPr>
        <w:t>第一节</w:t>
      </w:r>
      <w:r>
        <w:t xml:space="preserve"> 债务纠纷涉及的房地产拍卖（变卖）鉴定评估</w:t>
      </w:r>
    </w:p>
    <w:p w14:paraId="18C98574" w14:textId="6B9D172F" w:rsidR="00495C65" w:rsidRDefault="00E05BDA" w:rsidP="00495C65">
      <w:pPr>
        <w:pStyle w:val="13"/>
        <w:ind w:firstLine="482"/>
      </w:pPr>
      <w:r w:rsidRPr="00E05BDA">
        <w:rPr>
          <w:rFonts w:hint="eastAsia"/>
          <w:b/>
          <w:bCs/>
        </w:rPr>
        <w:t xml:space="preserve">第二十七条 </w:t>
      </w:r>
      <w:r w:rsidR="00495C65">
        <w:t>债务纠纷涉及的房地产拍卖（变卖）鉴定评估，主要指人民法院在处理债务纠纷案件中，涉及的房地产拍卖（变卖）鉴定评估，包括以下主要类别：现房拍卖</w:t>
      </w:r>
      <w:r w:rsidR="00495C65">
        <w:rPr>
          <w:rFonts w:hint="eastAsia"/>
        </w:rPr>
        <w:t>（变卖）鉴定评估、在建工程项目整体拍卖（变卖）鉴定评估、在建工程部分拍卖（变卖）鉴定评估、企业整体拍卖（变卖）鉴定评估。</w:t>
      </w:r>
    </w:p>
    <w:p w14:paraId="06118365" w14:textId="5B3EFC23" w:rsidR="00495C65" w:rsidRDefault="00E05BDA" w:rsidP="00495C65">
      <w:pPr>
        <w:pStyle w:val="13"/>
        <w:ind w:firstLine="482"/>
      </w:pPr>
      <w:r w:rsidRPr="00E05BDA">
        <w:rPr>
          <w:rFonts w:hint="eastAsia"/>
          <w:b/>
          <w:bCs/>
        </w:rPr>
        <w:t xml:space="preserve">第二十八条 </w:t>
      </w:r>
      <w:r w:rsidR="00495C65">
        <w:t>房地产拍卖（变卖）鉴定评估，鉴定评估的价值定义为房地产市场价值评估，通常不评估变现价值，不考虑房地产拍卖（变卖）成交后交易的税费以及税费的转移分担。经估价机构书面提示后，委托方在鉴定评估委托中，仍然特别指明要求评估变现价值的，可以在揭示该房地产市场价值之后，评估其变现价值。</w:t>
      </w:r>
    </w:p>
    <w:p w14:paraId="68EA5B68" w14:textId="77777777" w:rsidR="00495C65" w:rsidRDefault="00495C65" w:rsidP="00495C65">
      <w:pPr>
        <w:pStyle w:val="13"/>
      </w:pPr>
      <w:r>
        <w:rPr>
          <w:rFonts w:hint="eastAsia"/>
        </w:rPr>
        <w:lastRenderedPageBreak/>
        <w:t>房地产拍卖（变卖）鉴定评估的估价目的，表述为“为司法拍卖（变卖）提供房地产市场价值参考依据”。</w:t>
      </w:r>
    </w:p>
    <w:p w14:paraId="01C19AF3" w14:textId="007F5C8F" w:rsidR="00495C65" w:rsidRDefault="00E05BDA" w:rsidP="00495C65">
      <w:pPr>
        <w:pStyle w:val="13"/>
        <w:ind w:firstLine="482"/>
      </w:pPr>
      <w:r w:rsidRPr="00E05BDA">
        <w:rPr>
          <w:rFonts w:hint="eastAsia"/>
          <w:b/>
          <w:bCs/>
        </w:rPr>
        <w:t xml:space="preserve">第二十九条 </w:t>
      </w:r>
      <w:r w:rsidR="00495C65">
        <w:t>房地产拍卖（变卖）鉴定评估，对不可分割的房屋可以整体评估。分割评估的，应当在人民法院提供的评估委托书中明确评估房屋的具体部位。</w:t>
      </w:r>
    </w:p>
    <w:p w14:paraId="7B61FA8C" w14:textId="4999EBBB" w:rsidR="00495C65" w:rsidRDefault="00E05BDA" w:rsidP="00495C65">
      <w:pPr>
        <w:pStyle w:val="13"/>
        <w:ind w:firstLine="482"/>
      </w:pPr>
      <w:r w:rsidRPr="00E05BDA">
        <w:rPr>
          <w:rFonts w:hint="eastAsia"/>
          <w:b/>
          <w:bCs/>
        </w:rPr>
        <w:t xml:space="preserve">第三十条 </w:t>
      </w:r>
      <w:r w:rsidR="00495C65">
        <w:t>房地产拍卖（变卖）鉴定评估，注册房地产估价师应当注意拍卖（变卖）方式，考虑到整体拍卖（变卖）与拆零拍卖（变卖）对于估值的不同影响。</w:t>
      </w:r>
    </w:p>
    <w:p w14:paraId="78D5B562" w14:textId="47699B2D" w:rsidR="00495C65" w:rsidRDefault="003B2FB1" w:rsidP="00495C65">
      <w:pPr>
        <w:pStyle w:val="13"/>
        <w:ind w:firstLine="482"/>
      </w:pPr>
      <w:r w:rsidRPr="003B2FB1">
        <w:rPr>
          <w:rFonts w:hint="eastAsia"/>
          <w:b/>
          <w:bCs/>
        </w:rPr>
        <w:t xml:space="preserve">第三十一条 </w:t>
      </w:r>
      <w:r w:rsidR="00495C65">
        <w:t>房地产拍卖（变卖）鉴定评估，对于已经全部缴纳土地使用权出让金，但尚未办理土地使用权登记的，估价机构可以对该土地使用权进行评估。</w:t>
      </w:r>
    </w:p>
    <w:p w14:paraId="399C705B" w14:textId="750E3297" w:rsidR="00495C65" w:rsidRDefault="003B2FB1" w:rsidP="00495C65">
      <w:pPr>
        <w:pStyle w:val="13"/>
        <w:ind w:firstLine="482"/>
      </w:pPr>
      <w:r w:rsidRPr="003B2FB1">
        <w:rPr>
          <w:rFonts w:hint="eastAsia"/>
          <w:b/>
          <w:bCs/>
        </w:rPr>
        <w:t xml:space="preserve">第三十二条 </w:t>
      </w:r>
      <w:r w:rsidR="00495C65">
        <w:t>房地产拍卖（变卖）鉴定评估，对于已经部分缴纳土地使用权出让金，</w:t>
      </w:r>
      <w:r w:rsidR="00495C65">
        <w:rPr>
          <w:rFonts w:hint="eastAsia"/>
        </w:rPr>
        <w:t>但尚未办理土地使用权登记的，对可以分割的土地使用权，按已缴付的土地使用权出让</w:t>
      </w:r>
      <w:proofErr w:type="gramStart"/>
      <w:r w:rsidR="00495C65">
        <w:rPr>
          <w:rFonts w:hint="eastAsia"/>
        </w:rPr>
        <w:t>金实际</w:t>
      </w:r>
      <w:proofErr w:type="gramEnd"/>
      <w:r w:rsidR="00495C65">
        <w:rPr>
          <w:rFonts w:hint="eastAsia"/>
        </w:rPr>
        <w:t>金额，由国土资源管理部门确认当事人的土地使用权，估价机构可以对确认后的土地使用权进行评估。对不可分割的土地使用权，是否纳入评估范围，由人民法院确定。</w:t>
      </w:r>
    </w:p>
    <w:p w14:paraId="418F215C" w14:textId="1B129BE8" w:rsidR="00495C65" w:rsidRDefault="003B2FB1" w:rsidP="00495C65">
      <w:pPr>
        <w:pStyle w:val="13"/>
        <w:ind w:firstLine="482"/>
      </w:pPr>
      <w:r w:rsidRPr="003B2FB1">
        <w:rPr>
          <w:rFonts w:hint="eastAsia"/>
          <w:b/>
          <w:bCs/>
        </w:rPr>
        <w:t xml:space="preserve">第三十三条 </w:t>
      </w:r>
      <w:r w:rsidR="00495C65">
        <w:t>房地产拍卖（变卖）鉴定评估，遵循土地使用权、房屋所有权权利一致</w:t>
      </w:r>
      <w:r w:rsidR="00495C65">
        <w:rPr>
          <w:rFonts w:hint="eastAsia"/>
        </w:rPr>
        <w:t>原则进行评估，土地使用权与房屋所有权归属不一致的，应当向委托人说明情况，取得委托人同意后在委托书中明确仅对受让人继受原权利人的房地产合法权利进行价值评估，不对权属发表意见，并在报告中予以披露。</w:t>
      </w:r>
    </w:p>
    <w:p w14:paraId="2AFF9925" w14:textId="45AB065E" w:rsidR="00495C65" w:rsidRDefault="003B2FB1" w:rsidP="00495C65">
      <w:pPr>
        <w:pStyle w:val="13"/>
        <w:ind w:firstLine="482"/>
      </w:pPr>
      <w:r w:rsidRPr="003B2FB1">
        <w:rPr>
          <w:rFonts w:hint="eastAsia"/>
          <w:b/>
          <w:bCs/>
        </w:rPr>
        <w:t xml:space="preserve">第三十四条 </w:t>
      </w:r>
      <w:r w:rsidR="00495C65">
        <w:t>人民法院执行农村房屋涉及集体建设土地使用权评估的，经人民法院与国土资源管理、城乡规划部门取得一致意见后，依据人民法院的裁定文书进行评估，但应当考虑权利受让人到国土资源管理部门办理国有土地使用权出让，所需缴纳的土地使用权出让金及有关税费。</w:t>
      </w:r>
    </w:p>
    <w:p w14:paraId="2AA2E84D" w14:textId="17249C98" w:rsidR="00495C65" w:rsidRDefault="003B2FB1" w:rsidP="00495C65">
      <w:pPr>
        <w:pStyle w:val="13"/>
        <w:ind w:firstLine="482"/>
      </w:pPr>
      <w:r w:rsidRPr="003B2FB1">
        <w:rPr>
          <w:rFonts w:hint="eastAsia"/>
          <w:b/>
          <w:bCs/>
        </w:rPr>
        <w:t xml:space="preserve">第三十五条 </w:t>
      </w:r>
      <w:r w:rsidR="00495C65">
        <w:t>房地产拍卖（变卖）鉴定评估，拍卖房地产上原有的租赁权及其他用益物权，通常不因拍卖（变卖）而消灭。注册房地产估价师应当先评估没有租赁权及其他用益物权限制的估价对象房地产的市场价值，再评估出附有租约限制或其他用益物权的拍卖（变卖）房地产的市场价值。</w:t>
      </w:r>
    </w:p>
    <w:p w14:paraId="46B68CDE" w14:textId="77777777" w:rsidR="00495C65" w:rsidRDefault="00495C65" w:rsidP="00495C65">
      <w:pPr>
        <w:pStyle w:val="13"/>
      </w:pPr>
      <w:r>
        <w:rPr>
          <w:rFonts w:hint="eastAsia"/>
        </w:rPr>
        <w:t>拍卖房地产上原有的抵押权及其他担保物权，通常因拍卖（变卖）而消灭，注册房地产估价师通常不考虑其对价值的影响。</w:t>
      </w:r>
    </w:p>
    <w:p w14:paraId="6446F1A5" w14:textId="4F05F647" w:rsidR="00495C65" w:rsidRDefault="003B2FB1" w:rsidP="00495C65">
      <w:pPr>
        <w:pStyle w:val="13"/>
        <w:ind w:firstLine="482"/>
      </w:pPr>
      <w:r w:rsidRPr="003B2FB1">
        <w:rPr>
          <w:rFonts w:hint="eastAsia"/>
          <w:b/>
          <w:bCs/>
        </w:rPr>
        <w:t xml:space="preserve">第三十六条 </w:t>
      </w:r>
      <w:r w:rsidR="00495C65">
        <w:t>在建工程项目整体拍卖（变卖）鉴定评估，注册房地产估价师应当特别关注停工缘由、工期延误的原因及其对于预测完工工期及对工程造价的影响，关注项目的报建、施工许可是否合法、实际修建状况、各项规划建设许可是否在有效期内、是否存在实际销售等事项。</w:t>
      </w:r>
    </w:p>
    <w:p w14:paraId="10B12E58" w14:textId="77777777" w:rsidR="00495C65" w:rsidRDefault="00495C65" w:rsidP="00495C65">
      <w:pPr>
        <w:pStyle w:val="13"/>
      </w:pPr>
      <w:r>
        <w:rPr>
          <w:rFonts w:hint="eastAsia"/>
        </w:rPr>
        <w:t>在建工程部分拍卖（变卖）鉴定评估，注册房地产估价师还应当合理进行地价分摊，</w:t>
      </w:r>
      <w:r>
        <w:t>关注建筑物区分所有权对于估值的影响。</w:t>
      </w:r>
    </w:p>
    <w:p w14:paraId="784BB2EB" w14:textId="706332B2" w:rsidR="00495C65" w:rsidRDefault="003B2FB1" w:rsidP="00495C65">
      <w:pPr>
        <w:pStyle w:val="13"/>
        <w:ind w:firstLine="482"/>
      </w:pPr>
      <w:r w:rsidRPr="003B2FB1">
        <w:rPr>
          <w:rFonts w:hint="eastAsia"/>
          <w:b/>
          <w:bCs/>
        </w:rPr>
        <w:t xml:space="preserve">第三十七条 </w:t>
      </w:r>
      <w:r w:rsidR="00495C65">
        <w:t>对于在建工程整体或部分拍卖（变卖）鉴定评估，如果涉及超规划</w:t>
      </w:r>
      <w:r w:rsidR="00495C65">
        <w:lastRenderedPageBreak/>
        <w:t>建设的，注册房地产估价师应当与委托人协商，对于超规划许可建设的部分房地产，应当有合法的估价依据，须经人民法院与城乡规划主管部门协商一致，不得擅自评估或设定不合理的假设，鉴定估价报告对此应当揭示。</w:t>
      </w:r>
    </w:p>
    <w:p w14:paraId="0B1BD01E" w14:textId="11E747B2" w:rsidR="00495C65" w:rsidRDefault="003B2FB1" w:rsidP="00495C65">
      <w:pPr>
        <w:pStyle w:val="13"/>
        <w:ind w:firstLine="482"/>
      </w:pPr>
      <w:r w:rsidRPr="003B2FB1">
        <w:rPr>
          <w:rFonts w:hint="eastAsia"/>
          <w:b/>
          <w:bCs/>
        </w:rPr>
        <w:t xml:space="preserve">第三十八条 </w:t>
      </w:r>
      <w:r w:rsidR="00495C65">
        <w:t>房地产拍卖（变卖）鉴定评估时，对于隐蔽工程的鉴定评估，注册房地</w:t>
      </w:r>
      <w:r w:rsidR="00495C65">
        <w:rPr>
          <w:rFonts w:hint="eastAsia"/>
        </w:rPr>
        <w:t>产估价师应当根据当事人提供的工程图纸、隐蔽工程的预决算资料，结合隐蔽工程投入使用的情况进行鉴定评估。</w:t>
      </w:r>
    </w:p>
    <w:p w14:paraId="450BD45B" w14:textId="67F096A1" w:rsidR="00495C65" w:rsidRDefault="003B2FB1" w:rsidP="00495C65">
      <w:pPr>
        <w:pStyle w:val="13"/>
        <w:ind w:firstLine="482"/>
      </w:pPr>
      <w:r w:rsidRPr="003B2FB1">
        <w:rPr>
          <w:rFonts w:hint="eastAsia"/>
          <w:b/>
          <w:bCs/>
        </w:rPr>
        <w:t xml:space="preserve">第三十九条 </w:t>
      </w:r>
      <w:r w:rsidR="00495C65">
        <w:t>以房地产为主的整体资产处置的评估，注册房地产估价师得就动产附合不动产一起进行鉴定评估。</w:t>
      </w:r>
    </w:p>
    <w:p w14:paraId="71DE8F82" w14:textId="79D20038" w:rsidR="00495C65" w:rsidRDefault="003B2FB1" w:rsidP="00495C65">
      <w:pPr>
        <w:pStyle w:val="13"/>
        <w:ind w:firstLine="482"/>
      </w:pPr>
      <w:r w:rsidRPr="003B2FB1">
        <w:rPr>
          <w:rFonts w:hint="eastAsia"/>
          <w:b/>
          <w:bCs/>
        </w:rPr>
        <w:t xml:space="preserve">第四十条 </w:t>
      </w:r>
      <w:r w:rsidR="00495C65">
        <w:t>以房地产为主业或企业主要资产构成为房地产的，企业整体拍卖（变卖）涉及的企业价值鉴定评估中，虽然不动产可分离（从物质实体角度），但从利用（使用方式）方面不可分离，则注册房地产估价师得就企业价值进行鉴定评估。</w:t>
      </w:r>
    </w:p>
    <w:p w14:paraId="02345003" w14:textId="6F436DAE" w:rsidR="00495C65" w:rsidRDefault="003B2FB1" w:rsidP="00495C65">
      <w:pPr>
        <w:pStyle w:val="13"/>
        <w:ind w:firstLine="482"/>
      </w:pPr>
      <w:r w:rsidRPr="003B2FB1">
        <w:rPr>
          <w:rFonts w:hint="eastAsia"/>
          <w:b/>
          <w:bCs/>
        </w:rPr>
        <w:t xml:space="preserve">第四十一条 </w:t>
      </w:r>
      <w:r w:rsidR="00495C65">
        <w:t>企业整体拍卖（变卖）涉及的企业价值鉴定评估中，房地产从物质实体、使用方式上，均可与其他动产、无形资产分离，对分离出来的房地产鉴定评估，注册房地产估价师可以进行单独的房地产鉴定评估。</w:t>
      </w:r>
    </w:p>
    <w:p w14:paraId="2BEE3837" w14:textId="77777777" w:rsidR="00495C65" w:rsidRDefault="00495C65" w:rsidP="00AF7342">
      <w:pPr>
        <w:pStyle w:val="a9"/>
        <w:spacing w:before="62" w:after="62"/>
      </w:pPr>
      <w:r>
        <w:rPr>
          <w:rFonts w:hint="eastAsia"/>
        </w:rPr>
        <w:t>第二节</w:t>
      </w:r>
      <w:r>
        <w:t xml:space="preserve"> 房地产损害赔偿鉴定评估</w:t>
      </w:r>
    </w:p>
    <w:p w14:paraId="6CEF6781" w14:textId="585CB8CB" w:rsidR="00495C65" w:rsidRDefault="003B2FB1" w:rsidP="00495C65">
      <w:pPr>
        <w:pStyle w:val="13"/>
        <w:ind w:firstLine="482"/>
      </w:pPr>
      <w:r w:rsidRPr="003B2FB1">
        <w:rPr>
          <w:rFonts w:hint="eastAsia"/>
          <w:b/>
          <w:bCs/>
        </w:rPr>
        <w:t xml:space="preserve">第四十二条 </w:t>
      </w:r>
      <w:r w:rsidR="00495C65">
        <w:t>房地产损害赔偿鉴定评估，系指房地产的所有权、用益物权或者担保物权受到侵害，而对损害带来的房地产价值减损额进行的鉴定评估。</w:t>
      </w:r>
    </w:p>
    <w:p w14:paraId="3762A252" w14:textId="403CA330" w:rsidR="00495C65" w:rsidRDefault="003B2FB1" w:rsidP="00495C65">
      <w:pPr>
        <w:pStyle w:val="13"/>
        <w:ind w:firstLine="482"/>
      </w:pPr>
      <w:r w:rsidRPr="003B2FB1">
        <w:rPr>
          <w:rFonts w:hint="eastAsia"/>
          <w:b/>
          <w:bCs/>
        </w:rPr>
        <w:t xml:space="preserve">第四十三条 </w:t>
      </w:r>
      <w:r w:rsidR="00495C65">
        <w:t>房地产损害赔偿鉴定评估，评估被侵权人因此受到的损失，被侵权人的损失难以评估，侵权人因此获得利益的，可以其获得的利益作为损害赔偿估价对象。</w:t>
      </w:r>
    </w:p>
    <w:p w14:paraId="5DF9F157" w14:textId="18B69682" w:rsidR="00495C65" w:rsidRDefault="003B2FB1" w:rsidP="00495C65">
      <w:pPr>
        <w:pStyle w:val="13"/>
        <w:ind w:firstLine="482"/>
      </w:pPr>
      <w:r w:rsidRPr="003B2FB1">
        <w:rPr>
          <w:rFonts w:hint="eastAsia"/>
          <w:b/>
          <w:bCs/>
        </w:rPr>
        <w:t xml:space="preserve">第四十四条 </w:t>
      </w:r>
      <w:r w:rsidR="00495C65">
        <w:t>注册房地产估价师从事损害赔偿鉴定评估，应当根据损害赔偿鉴定评估的类型、损害程度、损害范围，以及潜在索赔者，合理确定估价方法和估价技术路线。</w:t>
      </w:r>
    </w:p>
    <w:p w14:paraId="58AC705E" w14:textId="3E20154F" w:rsidR="00495C65" w:rsidRDefault="003B2FB1" w:rsidP="00495C65">
      <w:pPr>
        <w:pStyle w:val="13"/>
        <w:ind w:firstLine="482"/>
      </w:pPr>
      <w:r w:rsidRPr="003B2FB1">
        <w:rPr>
          <w:b/>
          <w:bCs/>
        </w:rPr>
        <w:t xml:space="preserve">第四十五条 </w:t>
      </w:r>
      <w:r w:rsidR="00495C65">
        <w:t>房地产损害赔偿鉴定估价方法，有成本法、损失资本化法、损害前后价</w:t>
      </w:r>
      <w:r w:rsidR="00495C65">
        <w:rPr>
          <w:rFonts w:hint="eastAsia"/>
        </w:rPr>
        <w:t>差法、赔偿实例比较法等。</w:t>
      </w:r>
    </w:p>
    <w:p w14:paraId="6A5FB737" w14:textId="77777777" w:rsidR="00495C65" w:rsidRDefault="00495C65" w:rsidP="00495C65">
      <w:pPr>
        <w:pStyle w:val="13"/>
      </w:pPr>
      <w:r>
        <w:rPr>
          <w:rFonts w:hint="eastAsia"/>
        </w:rPr>
        <w:t>成本法也称为修复费用法，是通过设定规划许可、采用其他工程措施、采用最合理的修复方案进行修缮，求取排除估价对象房地产的缺陷恢复其原来功能所发生的各项费用，主要包括拆除工程费用、修缮工程费用、恢复工程费用以及修复工期内的直接经济损失等费用，从而评估房地产价值减损额的方法。</w:t>
      </w:r>
    </w:p>
    <w:p w14:paraId="7504967D" w14:textId="77777777" w:rsidR="00495C65" w:rsidRDefault="00495C65" w:rsidP="00495C65">
      <w:pPr>
        <w:pStyle w:val="13"/>
      </w:pPr>
      <w:r>
        <w:rPr>
          <w:rFonts w:hint="eastAsia"/>
        </w:rPr>
        <w:t>损失资本化法，是通过测算房地产效益的</w:t>
      </w:r>
      <w:proofErr w:type="gramStart"/>
      <w:r>
        <w:rPr>
          <w:rFonts w:hint="eastAsia"/>
        </w:rPr>
        <w:t>减损值</w:t>
      </w:r>
      <w:proofErr w:type="gramEnd"/>
      <w:r>
        <w:rPr>
          <w:rFonts w:hint="eastAsia"/>
        </w:rPr>
        <w:t>与费用的增加值在净收益损失年限内的现值和，或测算经济耐用年限内无质量缺陷房地产正常净收益现值和与有质量缺陷房地产正常净收益现值和之差，从而评估房地产价值减损额的方法。</w:t>
      </w:r>
    </w:p>
    <w:p w14:paraId="4C0E2DA0" w14:textId="77777777" w:rsidR="00495C65" w:rsidRDefault="00495C65" w:rsidP="00495C65">
      <w:pPr>
        <w:pStyle w:val="13"/>
      </w:pPr>
      <w:r>
        <w:rPr>
          <w:rFonts w:hint="eastAsia"/>
        </w:rPr>
        <w:t>赔偿实例比较法，是通过类似房地产损害的实际赔偿金额的比较和修正，从而评估房地产价值减损额的方法。</w:t>
      </w:r>
    </w:p>
    <w:p w14:paraId="56F92279" w14:textId="77777777" w:rsidR="00495C65" w:rsidRDefault="00495C65" w:rsidP="00495C65">
      <w:pPr>
        <w:pStyle w:val="13"/>
      </w:pPr>
      <w:r>
        <w:rPr>
          <w:rFonts w:hint="eastAsia"/>
        </w:rPr>
        <w:lastRenderedPageBreak/>
        <w:t>损害前后价差法，是通过测算损害前房地产状况的市场价值与损害后的房地产状况的市场价值，求取其差额，从而评估房地产价值减损额的方法。</w:t>
      </w:r>
    </w:p>
    <w:p w14:paraId="2EAC6382" w14:textId="7B78A8AC" w:rsidR="00495C65" w:rsidRDefault="003B2FB1" w:rsidP="00495C65">
      <w:pPr>
        <w:pStyle w:val="13"/>
        <w:ind w:firstLine="482"/>
      </w:pPr>
      <w:r w:rsidRPr="003B2FB1">
        <w:rPr>
          <w:rFonts w:hint="eastAsia"/>
          <w:b/>
          <w:bCs/>
        </w:rPr>
        <w:t xml:space="preserve">第四十六条 </w:t>
      </w:r>
      <w:r w:rsidR="00495C65">
        <w:t>房地产损害的类型，按照损害存续的时间，划分为暂时性损害和永久性损害；按照是否可修复，分为可修复的损害和不可修复的损害；按照损害事实，划分为实体性损害、功能性损害和经济性损害；按照损害来源，分为地震、风灾等自然灾害带来的损害，以及非自然灾害的他人侵权带来的损害。</w:t>
      </w:r>
    </w:p>
    <w:p w14:paraId="26724D1E" w14:textId="4C4725F7" w:rsidR="00495C65" w:rsidRDefault="003B2FB1" w:rsidP="00495C65">
      <w:pPr>
        <w:pStyle w:val="13"/>
        <w:ind w:firstLine="482"/>
      </w:pPr>
      <w:r w:rsidRPr="003B2FB1">
        <w:rPr>
          <w:rFonts w:hint="eastAsia"/>
          <w:b/>
          <w:bCs/>
        </w:rPr>
        <w:t xml:space="preserve">第四十七条 </w:t>
      </w:r>
      <w:r w:rsidR="00495C65">
        <w:t>实体性损害是指对房屋有形组成部分的损害，包括影响主体结构、围护结构、装饰装修等的损害。房地产的实体受到损毁带来的损害赔偿鉴定评估，装修纠纷中的损害赔偿鉴定评估均是常见损害赔偿鉴定评估类型。</w:t>
      </w:r>
    </w:p>
    <w:p w14:paraId="0A05380A" w14:textId="77777777" w:rsidR="00495C65" w:rsidRDefault="00495C65" w:rsidP="00495C65">
      <w:pPr>
        <w:pStyle w:val="13"/>
      </w:pPr>
      <w:r>
        <w:rPr>
          <w:rFonts w:hint="eastAsia"/>
        </w:rPr>
        <w:t>功能性损害是指房屋及其所在小区内外规划的改变，如房屋层高、小区绿地道路等发生改变，以及影响房屋采光、日照等方面的规划变更，从而对房屋功能发挥产生的负面影响。项目规划变更引起的损害赔偿鉴定评估，常见的是在房屋建筑正式开工前。</w:t>
      </w:r>
    </w:p>
    <w:p w14:paraId="05439DB2" w14:textId="77777777" w:rsidR="00495C65" w:rsidRDefault="00495C65" w:rsidP="00495C65">
      <w:pPr>
        <w:pStyle w:val="13"/>
      </w:pPr>
      <w:r>
        <w:rPr>
          <w:rFonts w:hint="eastAsia"/>
        </w:rPr>
        <w:t>经济性损害是指对损害事实的发生间接影响房地产的外部环境，从而减损其价值的损害，如环境污染带来的损害、异议登记不当带来的损害、房屋（土地）登记部门的其他登记错误带来的损害，以及区域规划调整带来的损害。</w:t>
      </w:r>
    </w:p>
    <w:p w14:paraId="0E0562C6" w14:textId="77777777" w:rsidR="00495C65" w:rsidRDefault="00495C65" w:rsidP="00495C65">
      <w:pPr>
        <w:pStyle w:val="13"/>
      </w:pPr>
      <w:r>
        <w:rPr>
          <w:rFonts w:hint="eastAsia"/>
        </w:rPr>
        <w:t>地震、风灾、环境污染等灾害，除直接带来房屋的实体性损害外，有时也带来经济性损害。</w:t>
      </w:r>
    </w:p>
    <w:p w14:paraId="7FAB06BD" w14:textId="77777777" w:rsidR="00495C65" w:rsidRDefault="00495C65" w:rsidP="00495C65">
      <w:pPr>
        <w:pStyle w:val="13"/>
        <w:ind w:firstLine="482"/>
      </w:pPr>
      <w:r w:rsidRPr="009A5536">
        <w:rPr>
          <w:rFonts w:hint="eastAsia"/>
          <w:b/>
          <w:bCs/>
        </w:rPr>
        <w:t>第四十八条</w:t>
      </w:r>
      <w:r>
        <w:t xml:space="preserve"> 对于各种损害赔偿鉴定评估，损害事实的认定必须经合法认定，方可作为估价依据。</w:t>
      </w:r>
    </w:p>
    <w:p w14:paraId="5F2E856E" w14:textId="77777777" w:rsidR="00495C65" w:rsidRDefault="00495C65" w:rsidP="00495C65">
      <w:pPr>
        <w:pStyle w:val="13"/>
      </w:pPr>
      <w:r>
        <w:rPr>
          <w:rFonts w:hint="eastAsia"/>
        </w:rPr>
        <w:t>损害事实应当由人民法院认定。</w:t>
      </w:r>
    </w:p>
    <w:p w14:paraId="16C1C812" w14:textId="77777777" w:rsidR="00495C65" w:rsidRDefault="00495C65" w:rsidP="00495C65">
      <w:pPr>
        <w:pStyle w:val="13"/>
        <w:ind w:firstLine="482"/>
      </w:pPr>
      <w:r w:rsidRPr="009A5536">
        <w:rPr>
          <w:rFonts w:hint="eastAsia"/>
          <w:b/>
          <w:bCs/>
        </w:rPr>
        <w:t>第四十九条</w:t>
      </w:r>
      <w:r>
        <w:t xml:space="preserve"> 注册房地产估价师从事损害赔偿鉴定评估，应当区分可修复的损害和不可修复的损害，测算该损害对于房地产带来的实体价值减损和市场价值的减损。</w:t>
      </w:r>
    </w:p>
    <w:p w14:paraId="23251EBA" w14:textId="77777777" w:rsidR="00495C65" w:rsidRDefault="00495C65" w:rsidP="00495C65">
      <w:pPr>
        <w:pStyle w:val="13"/>
        <w:ind w:firstLine="482"/>
      </w:pPr>
      <w:r w:rsidRPr="009A5536">
        <w:rPr>
          <w:rFonts w:hint="eastAsia"/>
          <w:b/>
          <w:bCs/>
        </w:rPr>
        <w:t>第五十条</w:t>
      </w:r>
      <w:r>
        <w:t xml:space="preserve"> 所谓实体价值减损，是指修复该房地产所需耗费的资料、人工等投入及其合理税费和利润。测算实体价值减损，需要区分重建成本和重置成本。</w:t>
      </w:r>
    </w:p>
    <w:p w14:paraId="62188449" w14:textId="77777777" w:rsidR="00495C65" w:rsidRDefault="00495C65" w:rsidP="00495C65">
      <w:pPr>
        <w:pStyle w:val="13"/>
      </w:pPr>
      <w:r>
        <w:rPr>
          <w:rFonts w:hint="eastAsia"/>
        </w:rPr>
        <w:t>房屋实体性损害修复方案，应该是技术上可能、经济上可行且合法的修复方案。修复方案是鉴定评估的基本依据，可以由当事人自行协商后签订协议。当事人不能就修复方案达成一致意见的，可以经人民法院委托或者当事人共同委托，由具有相应资质的专门机构出具房屋实体性损害修复方案。</w:t>
      </w:r>
    </w:p>
    <w:p w14:paraId="6197BFA1" w14:textId="77777777" w:rsidR="00495C65" w:rsidRDefault="00495C65" w:rsidP="00495C65">
      <w:pPr>
        <w:pStyle w:val="13"/>
        <w:ind w:firstLine="482"/>
      </w:pPr>
      <w:r w:rsidRPr="009A5536">
        <w:rPr>
          <w:rFonts w:hint="eastAsia"/>
          <w:b/>
          <w:bCs/>
        </w:rPr>
        <w:t>第五十一条</w:t>
      </w:r>
      <w:r>
        <w:t xml:space="preserve"> 所谓市场价值减损，是指房地产发生损害之后，市场主体对于该房地产产生畏惧和排斥心理，使得市场需求方减少，对于市场租金、市场售价带来直接影响，从而带来在实体价值减损之外的其他价值减损。</w:t>
      </w:r>
    </w:p>
    <w:p w14:paraId="159F7EE6" w14:textId="77777777" w:rsidR="00495C65" w:rsidRDefault="00495C65" w:rsidP="00495C65">
      <w:pPr>
        <w:pStyle w:val="13"/>
        <w:ind w:firstLine="482"/>
      </w:pPr>
      <w:r w:rsidRPr="009A5536">
        <w:rPr>
          <w:rFonts w:hint="eastAsia"/>
          <w:b/>
          <w:bCs/>
        </w:rPr>
        <w:t>第五十二条</w:t>
      </w:r>
      <w:r>
        <w:t xml:space="preserve"> 对于可修复的损害赔偿鉴定评估，通常从实体价值减损角度进行鉴定评估。对于不可修复损害赔偿鉴定评估，通常从市场价值减损角度进行鉴定评估。</w:t>
      </w:r>
    </w:p>
    <w:p w14:paraId="22D3F740" w14:textId="77777777" w:rsidR="00495C65" w:rsidRDefault="00495C65" w:rsidP="00495C65">
      <w:pPr>
        <w:pStyle w:val="13"/>
      </w:pPr>
      <w:r>
        <w:rPr>
          <w:rFonts w:hint="eastAsia"/>
        </w:rPr>
        <w:lastRenderedPageBreak/>
        <w:t>注册房地产估价师从事损害赔偿鉴定评估时应当知晓，有的房地产损害鉴定评估类型，实体损害虽可以修复，但该损害对于房地产的价值减损主要是市场价值减损。</w:t>
      </w:r>
    </w:p>
    <w:p w14:paraId="38C126D8" w14:textId="77777777" w:rsidR="00495C65" w:rsidRDefault="00495C65" w:rsidP="00495C65">
      <w:pPr>
        <w:pStyle w:val="13"/>
        <w:ind w:firstLine="482"/>
      </w:pPr>
      <w:r w:rsidRPr="00505A95">
        <w:rPr>
          <w:rFonts w:hint="eastAsia"/>
          <w:b/>
          <w:bCs/>
        </w:rPr>
        <w:t>第五十三条</w:t>
      </w:r>
      <w:r>
        <w:t xml:space="preserve"> 项目规划变更引起的损害赔偿鉴定评估，包括：容积率的变更导致总建筑面积的变更；业主拥有对建筑物内的专有部分的权利受到侵害，如建筑层高、建筑面积不符合原规划；业主对专有部分以外的共有部分享有的权利受到侵害，比如绿地减少、侵占公共绿地、占用公共通道等。</w:t>
      </w:r>
    </w:p>
    <w:p w14:paraId="64FC0914" w14:textId="77777777" w:rsidR="00495C65" w:rsidRDefault="00495C65" w:rsidP="00495C65">
      <w:pPr>
        <w:pStyle w:val="13"/>
        <w:ind w:firstLine="482"/>
      </w:pPr>
      <w:r w:rsidRPr="00505A95">
        <w:rPr>
          <w:rFonts w:hint="eastAsia"/>
          <w:b/>
          <w:bCs/>
        </w:rPr>
        <w:t>第五十四条</w:t>
      </w:r>
      <w:r>
        <w:t xml:space="preserve"> 房地产的物质实体受到外力冲击带来的损害，其损害如果是可修复的，则通常从实体价值减损角度进行鉴定评估，如果需要，还应考虑搬家、暂停营业带来的损失；如果损害是不可修复的，则首先对于未发生损害之前的房地产进行评估，再减去净残值，得出损害赔偿估值。</w:t>
      </w:r>
    </w:p>
    <w:p w14:paraId="33F53196" w14:textId="77777777" w:rsidR="00495C65" w:rsidRDefault="00495C65" w:rsidP="00495C65">
      <w:pPr>
        <w:pStyle w:val="13"/>
        <w:ind w:firstLine="482"/>
      </w:pPr>
      <w:r w:rsidRPr="00DC7355">
        <w:rPr>
          <w:rFonts w:hint="eastAsia"/>
          <w:b/>
          <w:bCs/>
        </w:rPr>
        <w:t>第五十五条</w:t>
      </w:r>
      <w:r>
        <w:t xml:space="preserve"> 环境污染带来的损害赔偿鉴定评估，注册房地产估价师应当结合专门机构出具的环境影响评价报告，根据环境是否可治理恢复分别进行鉴定评估。</w:t>
      </w:r>
    </w:p>
    <w:p w14:paraId="607C21DB" w14:textId="77777777" w:rsidR="00495C65" w:rsidRDefault="00495C65" w:rsidP="00495C65">
      <w:pPr>
        <w:pStyle w:val="13"/>
        <w:ind w:firstLine="482"/>
      </w:pPr>
      <w:r w:rsidRPr="00DC7355">
        <w:rPr>
          <w:rFonts w:hint="eastAsia"/>
          <w:b/>
          <w:bCs/>
        </w:rPr>
        <w:t>第五十六条</w:t>
      </w:r>
      <w:r>
        <w:t xml:space="preserve"> 如果污染的环境可治理恢复，注册房地产估价师考虑到治理恢复的时间周期，结合实体价值减损和市场价值减损综合判断，得出损害赔偿估值。</w:t>
      </w:r>
    </w:p>
    <w:p w14:paraId="152BAAA6" w14:textId="77777777" w:rsidR="00495C65" w:rsidRDefault="00495C65" w:rsidP="00495C65">
      <w:pPr>
        <w:pStyle w:val="13"/>
        <w:ind w:firstLine="482"/>
      </w:pPr>
      <w:r w:rsidRPr="00DC7355">
        <w:rPr>
          <w:rFonts w:hint="eastAsia"/>
          <w:b/>
          <w:bCs/>
        </w:rPr>
        <w:t>第五十七条</w:t>
      </w:r>
      <w:r>
        <w:t xml:space="preserve"> 如果污染的环境不可治理恢复，注册房地产估价师根据环境影响评价结果，从市场价值减损角度测算赔偿估值。</w:t>
      </w:r>
    </w:p>
    <w:p w14:paraId="473E5ED9" w14:textId="77777777" w:rsidR="00495C65" w:rsidRDefault="00495C65" w:rsidP="00495C65">
      <w:pPr>
        <w:pStyle w:val="13"/>
        <w:ind w:firstLine="482"/>
      </w:pPr>
      <w:r w:rsidRPr="00DC7355">
        <w:rPr>
          <w:rFonts w:hint="eastAsia"/>
          <w:b/>
          <w:bCs/>
        </w:rPr>
        <w:t>第五十八条</w:t>
      </w:r>
      <w:r>
        <w:t xml:space="preserve"> 异议登记不当带来的损害赔偿鉴定评估，注册房地产估价师主要从市场租金、售价在异议登记期间的变化，对当事人带来的损失角度进行鉴定评估。</w:t>
      </w:r>
    </w:p>
    <w:p w14:paraId="3EC97BAE" w14:textId="77777777" w:rsidR="00495C65" w:rsidRDefault="00495C65" w:rsidP="00495C65">
      <w:pPr>
        <w:pStyle w:val="13"/>
        <w:ind w:firstLine="482"/>
      </w:pPr>
      <w:r w:rsidRPr="0095140E">
        <w:rPr>
          <w:rFonts w:hint="eastAsia"/>
          <w:b/>
          <w:bCs/>
        </w:rPr>
        <w:t>第五十九条</w:t>
      </w:r>
      <w:r>
        <w:t xml:space="preserve"> 房屋（土地）登记部门的登记错误带来的损害赔偿鉴定评估，注册房地产估价师主要从市场租金、售价在登记错误期间的变化，对当事人带来的损失角度进行鉴定评估。</w:t>
      </w:r>
    </w:p>
    <w:p w14:paraId="529A9BAD" w14:textId="77777777" w:rsidR="00495C65" w:rsidRDefault="00495C65" w:rsidP="00495C65">
      <w:pPr>
        <w:pStyle w:val="13"/>
        <w:ind w:firstLine="482"/>
      </w:pPr>
      <w:r w:rsidRPr="0095140E">
        <w:rPr>
          <w:rFonts w:hint="eastAsia"/>
          <w:b/>
          <w:bCs/>
        </w:rPr>
        <w:t>第六十条</w:t>
      </w:r>
      <w:r>
        <w:t xml:space="preserve"> 装修纠纷中的损害赔偿鉴定评估，包括：装修当事人之间发生的损害赔偿鉴定评估；装修对相邻不动产的损害赔偿鉴定评估。</w:t>
      </w:r>
    </w:p>
    <w:p w14:paraId="1053110B" w14:textId="77777777" w:rsidR="00495C65" w:rsidRDefault="00495C65" w:rsidP="00495C65">
      <w:pPr>
        <w:pStyle w:val="13"/>
        <w:ind w:firstLine="482"/>
      </w:pPr>
      <w:r w:rsidRPr="0095140E">
        <w:rPr>
          <w:rFonts w:hint="eastAsia"/>
          <w:b/>
          <w:bCs/>
        </w:rPr>
        <w:t>第六十一条</w:t>
      </w:r>
      <w:r>
        <w:t xml:space="preserve"> 装修纠纷中的损害如果是可修复的，注册房地产估价师通常从实体价值减损角度进行鉴定评估，考虑修复成本、相应的税费和利润。</w:t>
      </w:r>
    </w:p>
    <w:p w14:paraId="5DC19AA0" w14:textId="77777777" w:rsidR="00495C65" w:rsidRDefault="00495C65" w:rsidP="00495C65">
      <w:pPr>
        <w:pStyle w:val="13"/>
        <w:ind w:firstLine="482"/>
      </w:pPr>
      <w:r w:rsidRPr="0095140E">
        <w:rPr>
          <w:rFonts w:hint="eastAsia"/>
          <w:b/>
          <w:bCs/>
        </w:rPr>
        <w:t>第六十二条</w:t>
      </w:r>
      <w:r>
        <w:t xml:space="preserve"> 装修纠纷中的损害如果是不可修复的，注册房地产估价师通常综合实体价值减损、市场价值减损之后，得出损害赔偿估值。</w:t>
      </w:r>
    </w:p>
    <w:p w14:paraId="6755DED7" w14:textId="77777777" w:rsidR="00495C65" w:rsidRDefault="00495C65" w:rsidP="00495C65">
      <w:pPr>
        <w:pStyle w:val="13"/>
        <w:ind w:firstLine="482"/>
      </w:pPr>
      <w:r w:rsidRPr="0095140E">
        <w:rPr>
          <w:rFonts w:hint="eastAsia"/>
          <w:b/>
          <w:bCs/>
        </w:rPr>
        <w:t>第六十三条</w:t>
      </w:r>
      <w:r>
        <w:t xml:space="preserve"> 区域规划调整带来的损害赔偿鉴定评估，如</w:t>
      </w:r>
      <w:proofErr w:type="gramStart"/>
      <w:r>
        <w:t>住改商</w:t>
      </w:r>
      <w:proofErr w:type="gramEnd"/>
      <w:r>
        <w:t>、交通管制（单行道）带来的房地产损害赔偿鉴定评估。注册房地产估价师从房地产用途改变带来的价值减损，交通出行便利程度的变化、消费者便利程度的变化对市场供需的影响，带来的房地产市场价值减损等角度，进行鉴定评估。</w:t>
      </w:r>
    </w:p>
    <w:p w14:paraId="6452BB77" w14:textId="77777777" w:rsidR="00495C65" w:rsidRDefault="00495C65" w:rsidP="00495C65">
      <w:pPr>
        <w:pStyle w:val="13"/>
        <w:ind w:firstLine="482"/>
      </w:pPr>
      <w:r w:rsidRPr="00FB3387">
        <w:rPr>
          <w:rFonts w:hint="eastAsia"/>
          <w:b/>
          <w:bCs/>
        </w:rPr>
        <w:t>第六十四条</w:t>
      </w:r>
      <w:r>
        <w:t xml:space="preserve"> 地震、冰雹、风灾等自然灾害带来的损害赔偿鉴定评估，注册房地产估价师应当区分该损害是否可修复。对于可修复的损害赔偿鉴定评估，注册房地产</w:t>
      </w:r>
      <w:r>
        <w:lastRenderedPageBreak/>
        <w:t>估价师综合实体价值减损和市场价值减损，得出损害赔偿估值。</w:t>
      </w:r>
    </w:p>
    <w:p w14:paraId="54EEAA82" w14:textId="77777777" w:rsidR="00495C65" w:rsidRDefault="00495C65" w:rsidP="00495C65">
      <w:pPr>
        <w:pStyle w:val="13"/>
      </w:pPr>
      <w:r>
        <w:rPr>
          <w:rFonts w:hint="eastAsia"/>
        </w:rPr>
        <w:t>对于不可修复的损害赔偿鉴定评估，注册房地产估价师首先对于未发生自然灾害损害之前的房地产进行鉴定评估，再减去净残值，得出损害赔偿估值。</w:t>
      </w:r>
    </w:p>
    <w:p w14:paraId="631014BE" w14:textId="77777777" w:rsidR="00495C65" w:rsidRDefault="00495C65" w:rsidP="00AF7342">
      <w:pPr>
        <w:pStyle w:val="a9"/>
        <w:spacing w:before="62" w:after="62"/>
      </w:pPr>
      <w:r>
        <w:rPr>
          <w:rFonts w:hint="eastAsia"/>
        </w:rPr>
        <w:t>第三节</w:t>
      </w:r>
      <w:r>
        <w:t xml:space="preserve"> 房地产分割合并鉴定评估</w:t>
      </w:r>
    </w:p>
    <w:p w14:paraId="7AF89CDA" w14:textId="77777777" w:rsidR="00495C65" w:rsidRDefault="00495C65" w:rsidP="00495C65">
      <w:pPr>
        <w:pStyle w:val="13"/>
        <w:ind w:firstLine="482"/>
      </w:pPr>
      <w:r w:rsidRPr="00FB3387">
        <w:rPr>
          <w:rFonts w:hint="eastAsia"/>
          <w:b/>
          <w:bCs/>
        </w:rPr>
        <w:t>第六十五条</w:t>
      </w:r>
      <w:r>
        <w:t xml:space="preserve"> 房地产分割合并鉴定评估，注册房地产估价师应当明确，分割合并的房地产，应当符合房屋登记基本单元、土地登记基本单元的规定。</w:t>
      </w:r>
    </w:p>
    <w:p w14:paraId="2EA6639D" w14:textId="77777777" w:rsidR="00495C65" w:rsidRDefault="00495C65" w:rsidP="00495C65">
      <w:pPr>
        <w:pStyle w:val="13"/>
        <w:ind w:firstLine="482"/>
      </w:pPr>
      <w:r w:rsidRPr="00FB3387">
        <w:rPr>
          <w:rFonts w:hint="eastAsia"/>
          <w:b/>
          <w:bCs/>
        </w:rPr>
        <w:t>第六十六条</w:t>
      </w:r>
      <w:r>
        <w:t xml:space="preserve"> 房地产分割合并鉴定评估，注册房地产估价师应当明确，分割合并后的房地产市场价值存在三种可能，即A+B＝C，A+B＜C，A+B＞C，其中A、B分别表示分割后或者合并前的两宗房地产市场价值，C表示合并后或分割前的该宗房地产市场价值。</w:t>
      </w:r>
    </w:p>
    <w:p w14:paraId="404840CC" w14:textId="77777777" w:rsidR="00495C65" w:rsidRDefault="00495C65" w:rsidP="00495C65">
      <w:pPr>
        <w:pStyle w:val="13"/>
      </w:pPr>
      <w:r>
        <w:rPr>
          <w:rFonts w:hint="eastAsia"/>
        </w:rPr>
        <w:t>注册房地产估价师应当通过市场调查和分析，准确把握分割合并鉴定评估的房地产价值变化所属情形。</w:t>
      </w:r>
    </w:p>
    <w:p w14:paraId="2EEAA5E1" w14:textId="77777777" w:rsidR="00495C65" w:rsidRDefault="00495C65" w:rsidP="00AF7342">
      <w:pPr>
        <w:pStyle w:val="a9"/>
        <w:spacing w:before="62" w:after="62"/>
      </w:pPr>
      <w:r>
        <w:rPr>
          <w:rFonts w:hint="eastAsia"/>
        </w:rPr>
        <w:t>第四节</w:t>
      </w:r>
      <w:r>
        <w:t xml:space="preserve"> 国有土地上房屋征收补偿纠纷鉴定评估</w:t>
      </w:r>
    </w:p>
    <w:p w14:paraId="7AEA856C" w14:textId="77777777" w:rsidR="00495C65" w:rsidRDefault="00495C65" w:rsidP="00495C65">
      <w:pPr>
        <w:pStyle w:val="13"/>
        <w:ind w:firstLine="482"/>
      </w:pPr>
      <w:r w:rsidRPr="00E24F80">
        <w:rPr>
          <w:rFonts w:hint="eastAsia"/>
          <w:b/>
          <w:bCs/>
        </w:rPr>
        <w:t>第六十七条</w:t>
      </w:r>
      <w:r>
        <w:t xml:space="preserve"> 国有土地上房屋征收补偿纠纷鉴定评估，包括三种情形：被征收房屋仍然存在；被征收房屋灭失，但有证据保全；被征收房屋灭失，未办理证据保全。</w:t>
      </w:r>
    </w:p>
    <w:p w14:paraId="120D7487" w14:textId="77777777" w:rsidR="00495C65" w:rsidRDefault="00495C65" w:rsidP="00495C65">
      <w:pPr>
        <w:pStyle w:val="13"/>
        <w:ind w:firstLine="482"/>
      </w:pPr>
      <w:r w:rsidRPr="00E24F80">
        <w:rPr>
          <w:rFonts w:hint="eastAsia"/>
          <w:b/>
          <w:bCs/>
        </w:rPr>
        <w:t>第六十八条</w:t>
      </w:r>
      <w:r>
        <w:t xml:space="preserve"> 国有土地上房屋征收补偿纠纷鉴定评估，注册房地产估价师应当遵循住房和城乡建设部颁布的《房屋征收评估办法》进行鉴定评估。</w:t>
      </w:r>
    </w:p>
    <w:p w14:paraId="293C0EED" w14:textId="77777777" w:rsidR="00495C65" w:rsidRDefault="00495C65" w:rsidP="00495C65">
      <w:pPr>
        <w:pStyle w:val="13"/>
        <w:ind w:firstLine="482"/>
      </w:pPr>
      <w:r w:rsidRPr="00E24F80">
        <w:rPr>
          <w:rFonts w:hint="eastAsia"/>
          <w:b/>
          <w:bCs/>
        </w:rPr>
        <w:t>第六十九条</w:t>
      </w:r>
      <w:r>
        <w:t xml:space="preserve"> 被征收房屋灭失，但有证据保全的，注册房地产估价师依据保全的证</w:t>
      </w:r>
      <w:r>
        <w:rPr>
          <w:rFonts w:hint="eastAsia"/>
        </w:rPr>
        <w:t>据、该房屋被征收之时的房地产市场状况进行鉴定评估。</w:t>
      </w:r>
    </w:p>
    <w:p w14:paraId="00155033" w14:textId="77777777" w:rsidR="00495C65" w:rsidRDefault="00495C65" w:rsidP="00495C65">
      <w:pPr>
        <w:pStyle w:val="13"/>
        <w:ind w:firstLine="482"/>
      </w:pPr>
      <w:r w:rsidRPr="00E24F80">
        <w:rPr>
          <w:rFonts w:hint="eastAsia"/>
          <w:b/>
          <w:bCs/>
        </w:rPr>
        <w:t>第七十条</w:t>
      </w:r>
      <w:r>
        <w:t xml:space="preserve"> 被征收房屋灭失，未办理证据保全的，该房屋不具备鉴定评估的条件。如果委托人知道该被征收房屋不具备鉴定评估条件，当事人向鉴定评估委托方签收《房地产司法鉴定风险告知书》的，注册房地产估价师可以依据有限的估价依据，对该被征收房屋进行咨询性估价。</w:t>
      </w:r>
    </w:p>
    <w:p w14:paraId="4CB26D8C" w14:textId="77777777" w:rsidR="00495C65" w:rsidRDefault="00495C65" w:rsidP="00AF7342">
      <w:pPr>
        <w:pStyle w:val="a9"/>
        <w:spacing w:before="62" w:after="62"/>
      </w:pPr>
      <w:r>
        <w:rPr>
          <w:rFonts w:hint="eastAsia"/>
        </w:rPr>
        <w:t>第五节</w:t>
      </w:r>
      <w:r>
        <w:t xml:space="preserve"> 房地产估价纠纷鉴定评估</w:t>
      </w:r>
    </w:p>
    <w:p w14:paraId="74217677" w14:textId="77777777" w:rsidR="00495C65" w:rsidRDefault="00495C65" w:rsidP="00495C65">
      <w:pPr>
        <w:pStyle w:val="13"/>
        <w:ind w:firstLine="482"/>
      </w:pPr>
      <w:r w:rsidRPr="00490277">
        <w:rPr>
          <w:rFonts w:hint="eastAsia"/>
          <w:b/>
          <w:bCs/>
        </w:rPr>
        <w:t>第七十一条</w:t>
      </w:r>
      <w:r>
        <w:t xml:space="preserve"> 房地产估价纠纷所涉鉴定评估，可以是上述任何一类鉴定评估的纠纷引起的鉴定评估，还包括抵押估价、作价入股等其他估价带来纠纷的鉴定评估。</w:t>
      </w:r>
    </w:p>
    <w:p w14:paraId="42CA9C35" w14:textId="77777777" w:rsidR="00495C65" w:rsidRDefault="00495C65" w:rsidP="00495C65">
      <w:pPr>
        <w:pStyle w:val="13"/>
        <w:ind w:firstLine="482"/>
      </w:pPr>
      <w:r w:rsidRPr="00490277">
        <w:rPr>
          <w:rFonts w:hint="eastAsia"/>
          <w:b/>
          <w:bCs/>
        </w:rPr>
        <w:t>第七十二条</w:t>
      </w:r>
      <w:r>
        <w:t xml:space="preserve"> 房地产估价纠纷所涉鉴定评估，通常由</w:t>
      </w:r>
      <w:proofErr w:type="gramStart"/>
      <w:r>
        <w:t>比涉及</w:t>
      </w:r>
      <w:proofErr w:type="gramEnd"/>
      <w:r>
        <w:t>纠纷的鉴定估价机构资质等级更高资质的估价机构受理；涉及纠纷的鉴定估价机构为国家一级资质房地产估价机构的，从事纠纷鉴定评估的估价机构也必须是国家一级资质房地产估价机构。</w:t>
      </w:r>
    </w:p>
    <w:p w14:paraId="71D76329" w14:textId="77777777" w:rsidR="00495C65" w:rsidRDefault="00495C65" w:rsidP="00495C65">
      <w:pPr>
        <w:pStyle w:val="13"/>
        <w:ind w:firstLine="482"/>
      </w:pPr>
      <w:r w:rsidRPr="00490277">
        <w:rPr>
          <w:rFonts w:hint="eastAsia"/>
          <w:b/>
          <w:bCs/>
        </w:rPr>
        <w:t>第七十三条</w:t>
      </w:r>
      <w:r>
        <w:t xml:space="preserve"> 房地产估价纠纷鉴定评估的目的，包括对于原鉴定估价机构和注册房地产估价师的主体资格是否符合有关规定，估价程序和估价方法、估价依据是否遵循估价行业标准，估价行为是否符合职业道德等，进而对于是否存在虚假估价、估价</w:t>
      </w:r>
      <w:r>
        <w:lastRenderedPageBreak/>
        <w:t>是否严重失实进行鉴定和判断。</w:t>
      </w:r>
    </w:p>
    <w:p w14:paraId="6F0407CA" w14:textId="77777777" w:rsidR="00495C65" w:rsidRDefault="00495C65" w:rsidP="00495C65">
      <w:pPr>
        <w:pStyle w:val="13"/>
        <w:ind w:firstLine="482"/>
      </w:pPr>
      <w:r w:rsidRPr="00490277">
        <w:rPr>
          <w:rFonts w:hint="eastAsia"/>
          <w:b/>
          <w:bCs/>
        </w:rPr>
        <w:t>第七十四条</w:t>
      </w:r>
      <w:r>
        <w:t xml:space="preserve"> 房地产估价纠纷所涉鉴定评估中，对于涉及纠纷的房地产价值的鉴定评估，注册房地产估价师应当遵循估价规范和本章的其他规定进行鉴定评估。</w:t>
      </w:r>
    </w:p>
    <w:p w14:paraId="08ABBFCE" w14:textId="77777777" w:rsidR="00495C65" w:rsidRDefault="00495C65" w:rsidP="00AF7342">
      <w:pPr>
        <w:pStyle w:val="a9"/>
        <w:spacing w:before="62" w:after="62"/>
      </w:pPr>
      <w:r>
        <w:rPr>
          <w:rFonts w:hint="eastAsia"/>
        </w:rPr>
        <w:t>第四章</w:t>
      </w:r>
      <w:r>
        <w:t xml:space="preserve"> 房地产司法鉴定估价报告和咨询性估价报告</w:t>
      </w:r>
    </w:p>
    <w:p w14:paraId="3FE9F935" w14:textId="77777777" w:rsidR="00495C65" w:rsidRDefault="00495C65" w:rsidP="00495C65">
      <w:pPr>
        <w:pStyle w:val="13"/>
        <w:ind w:firstLine="482"/>
      </w:pPr>
      <w:r w:rsidRPr="00490277">
        <w:rPr>
          <w:rFonts w:hint="eastAsia"/>
          <w:b/>
          <w:bCs/>
        </w:rPr>
        <w:t>第七十五条</w:t>
      </w:r>
      <w:r>
        <w:t xml:space="preserve"> 注册房地产估价师从事房地产司法鉴定评估，其注册执业的房地产估价机构应当出具房地产鉴定估价报告，鉴定估价报告应当能够让委托人和鉴定估价报告使用者了解估价对象的范围，</w:t>
      </w:r>
      <w:proofErr w:type="gramStart"/>
      <w:r>
        <w:t>合理理解</w:t>
      </w:r>
      <w:proofErr w:type="gramEnd"/>
      <w:r>
        <w:t>鉴定估价结果。</w:t>
      </w:r>
    </w:p>
    <w:p w14:paraId="0E0A4903" w14:textId="77777777" w:rsidR="00495C65" w:rsidRDefault="00495C65" w:rsidP="00495C65">
      <w:pPr>
        <w:pStyle w:val="13"/>
        <w:ind w:firstLine="482"/>
      </w:pPr>
      <w:r w:rsidRPr="00AE74DB">
        <w:rPr>
          <w:rFonts w:hint="eastAsia"/>
          <w:b/>
          <w:bCs/>
        </w:rPr>
        <w:t>第七十六条</w:t>
      </w:r>
      <w:r>
        <w:t xml:space="preserve"> 房地产鉴定估价报告应当包括：充分的估价依据；必要的估价程序；估价方法、相关数据来源与确定、相关参数选取与运用、主要计算过程等必要信息。</w:t>
      </w:r>
    </w:p>
    <w:p w14:paraId="3B9FBB00" w14:textId="77777777" w:rsidR="00495C65" w:rsidRDefault="00495C65" w:rsidP="00495C65">
      <w:pPr>
        <w:pStyle w:val="13"/>
        <w:ind w:firstLine="482"/>
      </w:pPr>
      <w:r w:rsidRPr="00AE74DB">
        <w:rPr>
          <w:rFonts w:hint="eastAsia"/>
          <w:b/>
          <w:bCs/>
        </w:rPr>
        <w:t>第七十七条</w:t>
      </w:r>
      <w:r>
        <w:t xml:space="preserve"> 房地产咨询性估价报告，是指注册房地产估价师由于受到客观原因限制，委托人或有关当事人明知存在估价依据不充分、必要的估价程序不能完全履行的情况下，仍然委托鉴定评估而出具的估价报告。</w:t>
      </w:r>
    </w:p>
    <w:p w14:paraId="79D5D0B4" w14:textId="77777777" w:rsidR="00495C65" w:rsidRDefault="00495C65" w:rsidP="00495C65">
      <w:pPr>
        <w:pStyle w:val="13"/>
      </w:pPr>
      <w:r>
        <w:rPr>
          <w:rFonts w:hint="eastAsia"/>
        </w:rPr>
        <w:t>委托人和咨询性估价报告使用者需在了解估价依据、估价程序等方面存在重大缺失的前提下，</w:t>
      </w:r>
      <w:proofErr w:type="gramStart"/>
      <w:r>
        <w:rPr>
          <w:rFonts w:hint="eastAsia"/>
        </w:rPr>
        <w:t>合理理解</w:t>
      </w:r>
      <w:proofErr w:type="gramEnd"/>
      <w:r>
        <w:rPr>
          <w:rFonts w:hint="eastAsia"/>
        </w:rPr>
        <w:t>估价结果。</w:t>
      </w:r>
    </w:p>
    <w:p w14:paraId="1AB48433" w14:textId="77777777" w:rsidR="00495C65" w:rsidRDefault="00495C65" w:rsidP="00495C65">
      <w:pPr>
        <w:pStyle w:val="13"/>
        <w:ind w:firstLine="482"/>
      </w:pPr>
      <w:r w:rsidRPr="00AE74DB">
        <w:rPr>
          <w:rFonts w:hint="eastAsia"/>
          <w:b/>
          <w:bCs/>
        </w:rPr>
        <w:t>第七十八条</w:t>
      </w:r>
      <w:r>
        <w:t xml:space="preserve"> 房地产拍卖（变卖）鉴定评估的估价时点，原则上为评估委托之日或完成估价对象现场查勘之日，但鉴定评估委托书另有约定的除外。</w:t>
      </w:r>
    </w:p>
    <w:p w14:paraId="1A406748" w14:textId="77777777" w:rsidR="00495C65" w:rsidRDefault="00495C65" w:rsidP="00495C65">
      <w:pPr>
        <w:pStyle w:val="13"/>
      </w:pPr>
      <w:r>
        <w:rPr>
          <w:rFonts w:hint="eastAsia"/>
        </w:rPr>
        <w:t>估价时点不是完成现场查勘之日的，应当在“鉴定评估的假设和限制条件”中揭示估价对象在估价时点的状况与在完成现场查勘之日的状况的差异，并指出该差异对鉴定估价结果的影响，提示鉴定估价报告使用者注意。</w:t>
      </w:r>
    </w:p>
    <w:p w14:paraId="33C6E4F6" w14:textId="77777777" w:rsidR="00495C65" w:rsidRDefault="00495C65" w:rsidP="00495C65">
      <w:pPr>
        <w:pStyle w:val="13"/>
        <w:ind w:firstLine="482"/>
      </w:pPr>
      <w:r w:rsidRPr="00AE74DB">
        <w:rPr>
          <w:rFonts w:hint="eastAsia"/>
          <w:b/>
          <w:bCs/>
        </w:rPr>
        <w:t>第七十九条</w:t>
      </w:r>
      <w:r>
        <w:t xml:space="preserve"> 房地产司法鉴定评估，报告的名称通常为“房地产司法鉴定估价报告”。对于咨询性估价，报告的名称为“房地产咨询性估价报告”。</w:t>
      </w:r>
    </w:p>
    <w:p w14:paraId="704A86DC" w14:textId="77777777" w:rsidR="00495C65" w:rsidRDefault="00495C65" w:rsidP="00495C65">
      <w:pPr>
        <w:pStyle w:val="13"/>
      </w:pPr>
      <w:r>
        <w:rPr>
          <w:rFonts w:hint="eastAsia"/>
        </w:rPr>
        <w:t>估价报告须由房地产估价机构出具，加盖房地产估价机构公章，并至少有两名以上符合条件的注册房地产估价师签名。</w:t>
      </w:r>
    </w:p>
    <w:p w14:paraId="7624896C" w14:textId="77777777" w:rsidR="00495C65" w:rsidRDefault="00495C65" w:rsidP="00495C65">
      <w:pPr>
        <w:pStyle w:val="13"/>
        <w:ind w:firstLine="482"/>
      </w:pPr>
      <w:r w:rsidRPr="000814E1">
        <w:rPr>
          <w:rFonts w:hint="eastAsia"/>
          <w:b/>
          <w:bCs/>
        </w:rPr>
        <w:t>第八十条</w:t>
      </w:r>
      <w:r>
        <w:t xml:space="preserve"> 在房地产司法鉴定评估活动中，本意见未作规定的事宜，应当按照《房地产估价规范》执行。</w:t>
      </w:r>
    </w:p>
    <w:p w14:paraId="72B8FCD3" w14:textId="0541AE84" w:rsidR="00495C65" w:rsidRDefault="00495C65" w:rsidP="00495C65">
      <w:pPr>
        <w:pStyle w:val="13"/>
        <w:ind w:firstLine="482"/>
      </w:pPr>
      <w:r w:rsidRPr="000814E1">
        <w:rPr>
          <w:rFonts w:hint="eastAsia"/>
          <w:b/>
          <w:bCs/>
        </w:rPr>
        <w:t>第八十一条</w:t>
      </w:r>
      <w:r>
        <w:t xml:space="preserve"> 房地产司法鉴定估价报告应用有效期，从鉴定估价报告出具之日起计</w:t>
      </w:r>
      <w:r w:rsidR="003068F8">
        <w:t>，</w:t>
      </w:r>
      <w:r>
        <w:t>不得超过 1 年；注册房地产估价师预计估价对象的市场价格将有较大变化的，可以适当缩短鉴定估价报告应用的有效期。</w:t>
      </w:r>
    </w:p>
    <w:p w14:paraId="3DC82FF3" w14:textId="77777777" w:rsidR="00495C65" w:rsidRDefault="00495C65" w:rsidP="00495C65">
      <w:pPr>
        <w:pStyle w:val="13"/>
      </w:pPr>
      <w:r>
        <w:rPr>
          <w:rFonts w:hint="eastAsia"/>
        </w:rPr>
        <w:t>超过房地产鉴定估价报告应用有效期使用鉴定估价报告的，相关责任</w:t>
      </w:r>
      <w:proofErr w:type="gramStart"/>
      <w:r>
        <w:rPr>
          <w:rFonts w:hint="eastAsia"/>
        </w:rPr>
        <w:t>由报告</w:t>
      </w:r>
      <w:proofErr w:type="gramEnd"/>
      <w:r>
        <w:rPr>
          <w:rFonts w:hint="eastAsia"/>
        </w:rPr>
        <w:t>使用者承担。在鉴定估价报告应用有效期内使用鉴定估价报告的，相关责任由出具鉴定估价报告的估价机构承担，但使用者不当使用的除外。</w:t>
      </w:r>
    </w:p>
    <w:p w14:paraId="43E45C83" w14:textId="77777777" w:rsidR="00495C65" w:rsidRDefault="00495C65" w:rsidP="00495C65">
      <w:pPr>
        <w:pStyle w:val="13"/>
        <w:ind w:firstLine="482"/>
      </w:pPr>
      <w:r w:rsidRPr="000814E1">
        <w:rPr>
          <w:rFonts w:hint="eastAsia"/>
          <w:b/>
          <w:bCs/>
        </w:rPr>
        <w:t>第八十二条</w:t>
      </w:r>
      <w:r>
        <w:t xml:space="preserve"> 房地产司法鉴定估价依据包括：由委托人转交经当事人质证人民法院认定的鉴定评估资料；委托人依职权调查取得的鉴定评估资料；当事人补充的经人民法院认可的鉴定评估资料；估价机构自己取得的鉴定评估资料。</w:t>
      </w:r>
    </w:p>
    <w:p w14:paraId="2ABDE243" w14:textId="361A12D1" w:rsidR="00495C65" w:rsidRDefault="00495C65" w:rsidP="00495C65">
      <w:pPr>
        <w:pStyle w:val="13"/>
      </w:pPr>
      <w:r>
        <w:rPr>
          <w:rFonts w:hint="eastAsia"/>
        </w:rPr>
        <w:lastRenderedPageBreak/>
        <w:t>鉴定估价报告对于估价依据应当充分披露，并注明其类别。对于估价依据缺失的</w:t>
      </w:r>
      <w:r w:rsidR="003068F8">
        <w:rPr>
          <w:rFonts w:hint="eastAsia"/>
        </w:rPr>
        <w:t>，</w:t>
      </w:r>
      <w:r>
        <w:t>应当揭示其成因；如果重要估价依据缺失，不能出具房地产司法鉴定估价报告，在委托人认可的前提下，出具咨询性估价报告。</w:t>
      </w:r>
    </w:p>
    <w:p w14:paraId="519DE18E" w14:textId="77777777" w:rsidR="00495C65" w:rsidRDefault="00495C65" w:rsidP="00495C65">
      <w:pPr>
        <w:pStyle w:val="13"/>
        <w:ind w:firstLine="482"/>
      </w:pPr>
      <w:r w:rsidRPr="000814E1">
        <w:rPr>
          <w:rFonts w:hint="eastAsia"/>
          <w:b/>
          <w:bCs/>
        </w:rPr>
        <w:t>第八十三条</w:t>
      </w:r>
      <w:r>
        <w:t xml:space="preserve"> 注册房地产估价师应当对估价对象进行现场查勘，将估价对象现状与相关权属证明资料上记载的内容逐一进行对照，全面、细致地了解估价对象，做好现场查勘记录，拍摄能够反映估价对象外观、内部状况和周围环境、景观的照片，内外部状况照片应当作为鉴定估价报告的附件。</w:t>
      </w:r>
    </w:p>
    <w:p w14:paraId="30E2EDC9" w14:textId="77777777" w:rsidR="00495C65" w:rsidRDefault="00495C65" w:rsidP="00495C65">
      <w:pPr>
        <w:pStyle w:val="13"/>
      </w:pPr>
      <w:r>
        <w:rPr>
          <w:rFonts w:hint="eastAsia"/>
        </w:rPr>
        <w:t>由于各种原因不能拍摄内部状况照片的，应与委托人沟通。如果委托人书面同意，可以就与估价对象除装修状况不一致外的小区其他相同户型的房地产进行现场查勘，并对估价对象的装修状况在委托书中明确的，可以进行鉴定评估，但在鉴定估价报告中应予以披露。</w:t>
      </w:r>
    </w:p>
    <w:p w14:paraId="0CC912C3" w14:textId="77777777" w:rsidR="00495C65" w:rsidRDefault="00495C65" w:rsidP="00495C65">
      <w:pPr>
        <w:pStyle w:val="13"/>
      </w:pPr>
      <w:r>
        <w:rPr>
          <w:rFonts w:hint="eastAsia"/>
        </w:rPr>
        <w:t>现场查勘记录，由实施现场查勘的注册房地产估价师、在场人民法院工作人员和其他在场人员签名，查勘记录应当作为鉴定评估档案资料妥善保管。</w:t>
      </w:r>
    </w:p>
    <w:p w14:paraId="18E1750B" w14:textId="77777777" w:rsidR="00495C65" w:rsidRDefault="00495C65" w:rsidP="00AF7342">
      <w:pPr>
        <w:pStyle w:val="a9"/>
        <w:spacing w:before="62" w:after="62"/>
      </w:pPr>
      <w:r>
        <w:rPr>
          <w:rFonts w:hint="eastAsia"/>
        </w:rPr>
        <w:t>第五章</w:t>
      </w:r>
      <w:r>
        <w:t xml:space="preserve"> 房地产司法鉴定评估的质证</w:t>
      </w:r>
    </w:p>
    <w:p w14:paraId="1C53F54C" w14:textId="77777777" w:rsidR="00495C65" w:rsidRDefault="00495C65" w:rsidP="00495C65">
      <w:pPr>
        <w:pStyle w:val="13"/>
        <w:ind w:firstLine="482"/>
      </w:pPr>
      <w:r w:rsidRPr="000814E1">
        <w:rPr>
          <w:rFonts w:hint="eastAsia"/>
          <w:b/>
          <w:bCs/>
        </w:rPr>
        <w:t>第八十四条</w:t>
      </w:r>
      <w:r>
        <w:t xml:space="preserve"> 注册房地产估价师有出庭接受质询的义务。就委托人及当事人围绕鉴定评估的相关问题提出的质疑和询问，注册房地产估价师应当给予回答、进行说明和答辩，应当准备回答的问题包括但不限于：房地产估价人员及其机构是否符合鉴定人和鉴定机构的执业条件，是否具有执业胜任能力；是否保持估价的独立性，即对估价机构是否存在执业冲突，如估价机构及其关联机构是否为一方当事人提供律师、注册会计师、其他咨询代理服务等；注册房地产估价师和其他估价人员在从事鉴定评估中是否遵循职业操守；房地产估价程序或操作流程是否符合估价行业规范，房地产</w:t>
      </w:r>
      <w:r>
        <w:rPr>
          <w:rFonts w:hint="eastAsia"/>
        </w:rPr>
        <w:t>司法鉴定估价报告的合法性、公允性、客观性等。</w:t>
      </w:r>
    </w:p>
    <w:p w14:paraId="5BF63754" w14:textId="77777777" w:rsidR="00495C65" w:rsidRDefault="00495C65" w:rsidP="00495C65">
      <w:pPr>
        <w:pStyle w:val="13"/>
        <w:ind w:firstLine="482"/>
      </w:pPr>
      <w:r w:rsidRPr="000814E1">
        <w:rPr>
          <w:rFonts w:hint="eastAsia"/>
          <w:b/>
          <w:bCs/>
        </w:rPr>
        <w:t>第八十五条</w:t>
      </w:r>
      <w:r>
        <w:t xml:space="preserve"> 就鉴定估价报告的有关内容，注册房地产估价师出庭接受询问应当准备好以下问题的回答：（一）鉴定估价报告的完整性，即鉴定估价报告是否存在重大疏漏或缺项；（二）鉴定估价报告的附件资料的来源，及其真实性、合法性和完整性；（三）房地产司法鉴定估价方法、鉴定估价技术路径、鉴定估价参数选取等，是否存在不当或违反行业规范等；（四）鉴定估价结果是否存在重大价值差异；（五）估价人员及估价机构是否签名盖章。</w:t>
      </w:r>
    </w:p>
    <w:p w14:paraId="0FB57FBD" w14:textId="77777777" w:rsidR="00495C65" w:rsidRDefault="00495C65" w:rsidP="00495C65">
      <w:pPr>
        <w:pStyle w:val="13"/>
        <w:ind w:firstLine="482"/>
      </w:pPr>
      <w:r w:rsidRPr="000814E1">
        <w:rPr>
          <w:rFonts w:hint="eastAsia"/>
          <w:b/>
          <w:bCs/>
        </w:rPr>
        <w:t>第八十六条</w:t>
      </w:r>
      <w:r>
        <w:t xml:space="preserve"> 出庭接受询问的注册房地产估价师，对于当事人及其代理人、聘请的专家辅助人超出质证范围的询问，可以经法官同意后，不予回答。</w:t>
      </w:r>
    </w:p>
    <w:p w14:paraId="40F2308E" w14:textId="77777777" w:rsidR="00495C65" w:rsidRDefault="00495C65" w:rsidP="00495C65">
      <w:pPr>
        <w:pStyle w:val="13"/>
        <w:ind w:firstLine="482"/>
      </w:pPr>
      <w:r w:rsidRPr="000814E1">
        <w:rPr>
          <w:rFonts w:hint="eastAsia"/>
          <w:b/>
          <w:bCs/>
        </w:rPr>
        <w:t>第八十七条</w:t>
      </w:r>
      <w:r>
        <w:t xml:space="preserve"> 从事房地产司法鉴定评估的注册房地产估价师出庭接受询问，在对房地产司法鉴定评估进行质证的活动结束后，应当及时退庭，不得旁听庭审。</w:t>
      </w:r>
    </w:p>
    <w:p w14:paraId="263D8896" w14:textId="77777777" w:rsidR="00495C65" w:rsidRDefault="00495C65" w:rsidP="00495C65">
      <w:pPr>
        <w:pStyle w:val="13"/>
        <w:ind w:firstLine="482"/>
      </w:pPr>
      <w:r w:rsidRPr="000814E1">
        <w:rPr>
          <w:rFonts w:hint="eastAsia"/>
          <w:b/>
          <w:bCs/>
        </w:rPr>
        <w:t>第八十八条</w:t>
      </w:r>
      <w:r>
        <w:t xml:space="preserve"> 从事鉴定评估的注册房地产估价师，确有正当理由不能出庭接受询问的，应当在收到出庭通知后，及时向人民法院提交书面申请，阐明不能出庭的理由，</w:t>
      </w:r>
      <w:r>
        <w:lastRenderedPageBreak/>
        <w:t>并就有关当事人对鉴定评估的质疑提交书面答复。从事鉴定评估的注册房地产估价师是否出庭，由人民法院决定。</w:t>
      </w:r>
    </w:p>
    <w:p w14:paraId="21ADA388" w14:textId="77777777" w:rsidR="00495C65" w:rsidRDefault="00495C65" w:rsidP="00495C65">
      <w:pPr>
        <w:pStyle w:val="13"/>
        <w:ind w:firstLine="482"/>
      </w:pPr>
      <w:r w:rsidRPr="000814E1">
        <w:rPr>
          <w:rFonts w:hint="eastAsia"/>
          <w:b/>
          <w:bCs/>
        </w:rPr>
        <w:t>第八十九条</w:t>
      </w:r>
      <w:r>
        <w:t xml:space="preserve"> 注册房地产估价师出庭接受询问后，应当对人民法院提供的质证情况笔录进行核对后签名。</w:t>
      </w:r>
    </w:p>
    <w:p w14:paraId="1D67655C" w14:textId="77777777" w:rsidR="00495C65" w:rsidRDefault="00495C65" w:rsidP="00495C65">
      <w:pPr>
        <w:pStyle w:val="13"/>
        <w:ind w:firstLine="482"/>
      </w:pPr>
      <w:r w:rsidRPr="000814E1">
        <w:rPr>
          <w:rFonts w:hint="eastAsia"/>
          <w:b/>
          <w:bCs/>
        </w:rPr>
        <w:t>第九十条</w:t>
      </w:r>
      <w:r>
        <w:t xml:space="preserve"> 具有房地产司法鉴定评估资格的注册房地产估价师，可以受当事人的聘请，经当事人向人民法院申请同意，以专家证人或专家辅助人身份出庭，出庭就案件的房地产鉴定评估专门性问题进行说明。</w:t>
      </w:r>
    </w:p>
    <w:p w14:paraId="22A842CE" w14:textId="77777777" w:rsidR="00495C65" w:rsidRDefault="00495C65" w:rsidP="00495C65">
      <w:pPr>
        <w:pStyle w:val="13"/>
        <w:ind w:firstLine="482"/>
      </w:pPr>
      <w:r w:rsidRPr="000814E1">
        <w:rPr>
          <w:rFonts w:hint="eastAsia"/>
          <w:b/>
          <w:bCs/>
        </w:rPr>
        <w:t>第九十一条</w:t>
      </w:r>
      <w:r>
        <w:t xml:space="preserve"> 以专家证人身份出庭的注册房地产估价师，应当回答审判人员和当事人就房地产鉴定评估专门性问题的询问，经法官允许，可以对从事房地产司法鉴定评估的注册房地产估价师进行询问。经人民法院准许，当事人各自申请的以专家辅助人身份出庭的注册房地产估价师可以就案件中的房地产鉴定评估问题进行对质。</w:t>
      </w:r>
    </w:p>
    <w:p w14:paraId="2C179E25" w14:textId="77777777" w:rsidR="00495C65" w:rsidRDefault="00495C65" w:rsidP="00495C65">
      <w:pPr>
        <w:pStyle w:val="13"/>
      </w:pPr>
      <w:r>
        <w:rPr>
          <w:rFonts w:hint="eastAsia"/>
        </w:rPr>
        <w:t>注册房地产估价师以专家证人或专家辅助人身份接受当事人委托，出庭就案件的房地产鉴定评估专门性问题进行说明，应当由房地产鉴定估价机构统一收取，收费的项目和标准应当在国家规定的标准内与当事人协商确定。</w:t>
      </w:r>
    </w:p>
    <w:p w14:paraId="211ACBF5" w14:textId="77777777" w:rsidR="00495C65" w:rsidRDefault="00495C65" w:rsidP="00AF7342">
      <w:pPr>
        <w:pStyle w:val="a9"/>
        <w:spacing w:before="62" w:after="62"/>
      </w:pPr>
      <w:r>
        <w:rPr>
          <w:rFonts w:hint="eastAsia"/>
        </w:rPr>
        <w:t>第六章</w:t>
      </w:r>
      <w:r>
        <w:t xml:space="preserve"> 附则</w:t>
      </w:r>
    </w:p>
    <w:p w14:paraId="1C0F39AB" w14:textId="77777777" w:rsidR="00495C65" w:rsidRDefault="00495C65" w:rsidP="00495C65">
      <w:pPr>
        <w:pStyle w:val="13"/>
        <w:ind w:firstLine="482"/>
      </w:pPr>
      <w:r w:rsidRPr="000814E1">
        <w:rPr>
          <w:rFonts w:hint="eastAsia"/>
          <w:b/>
          <w:bCs/>
        </w:rPr>
        <w:t>第九十二条</w:t>
      </w:r>
      <w:r>
        <w:t xml:space="preserve"> 仲裁当中涉及的房地产司法鉴定评估，参照本指导意见执行。</w:t>
      </w:r>
    </w:p>
    <w:p w14:paraId="0F24096D" w14:textId="77777777" w:rsidR="00495C65" w:rsidRDefault="00495C65" w:rsidP="00495C65">
      <w:pPr>
        <w:pStyle w:val="13"/>
        <w:ind w:firstLine="482"/>
      </w:pPr>
      <w:r w:rsidRPr="000814E1">
        <w:rPr>
          <w:rFonts w:hint="eastAsia"/>
          <w:b/>
          <w:bCs/>
        </w:rPr>
        <w:t>第九十三条</w:t>
      </w:r>
      <w:r>
        <w:t xml:space="preserve"> 从事房地产司法鉴定评估的注册房地产估价师，应当掌握与诉讼程序和证据法学有关的法律知识，不断提高鉴定评估专业能力和法律素养。房地产估价机构应当尽可能指派具有大学本科以上学历、且执业满3年以上的，有一定鉴定评估经验的注册房地产估价师从事房地产司法鉴定评估工作。</w:t>
      </w:r>
    </w:p>
    <w:p w14:paraId="748A45D4" w14:textId="77777777" w:rsidR="00495C65" w:rsidRDefault="00495C65" w:rsidP="00495C65">
      <w:pPr>
        <w:pStyle w:val="13"/>
        <w:ind w:firstLine="482"/>
      </w:pPr>
      <w:r w:rsidRPr="000814E1">
        <w:rPr>
          <w:rFonts w:hint="eastAsia"/>
          <w:b/>
          <w:bCs/>
        </w:rPr>
        <w:t>第九十四条</w:t>
      </w:r>
      <w:r>
        <w:t xml:space="preserve"> 本意见由四川省住房和城乡建设厅负责解释。</w:t>
      </w:r>
    </w:p>
    <w:p w14:paraId="77A5CECC" w14:textId="77777777" w:rsidR="00495C65" w:rsidRDefault="00495C65" w:rsidP="00495C65">
      <w:pPr>
        <w:pStyle w:val="13"/>
        <w:ind w:firstLine="482"/>
      </w:pPr>
      <w:r w:rsidRPr="00E6436F">
        <w:rPr>
          <w:b/>
          <w:bCs/>
        </w:rPr>
        <w:t>第九十五条</w:t>
      </w:r>
      <w:r>
        <w:t xml:space="preserve"> </w:t>
      </w:r>
      <w:proofErr w:type="gramStart"/>
      <w:r>
        <w:t>本意见自发布</w:t>
      </w:r>
      <w:proofErr w:type="gramEnd"/>
      <w:r>
        <w:t>之日起施行。</w:t>
      </w:r>
    </w:p>
    <w:p w14:paraId="2EFB60D2" w14:textId="77777777" w:rsidR="00495C65" w:rsidRDefault="00495C65" w:rsidP="00495C65">
      <w:pPr>
        <w:pStyle w:val="13"/>
      </w:pPr>
      <w:r>
        <w:rPr>
          <w:rFonts w:hint="eastAsia"/>
        </w:rPr>
        <w:t>附件：</w:t>
      </w:r>
      <w:r>
        <w:t>1、《房地产司法鉴定评估委托书》（推荐文本）</w:t>
      </w:r>
    </w:p>
    <w:p w14:paraId="7CBE23BD" w14:textId="77777777" w:rsidR="00495C65" w:rsidRDefault="00495C65" w:rsidP="00495C65">
      <w:pPr>
        <w:pStyle w:val="13"/>
      </w:pPr>
      <w:r>
        <w:t xml:space="preserve">      2、《房地产司法鉴定评估委托书附表》（推荐文本）</w:t>
      </w:r>
    </w:p>
    <w:p w14:paraId="256E067E" w14:textId="7F018FE0" w:rsidR="00495C65" w:rsidRDefault="00495C65" w:rsidP="00495C65">
      <w:pPr>
        <w:pStyle w:val="13"/>
      </w:pPr>
      <w:r w:rsidRPr="00E6436F">
        <w:t xml:space="preserve">      </w:t>
      </w:r>
      <w:r>
        <w:t>3、《房地产司法鉴定评估（补充或退回）资料交接表》（推荐文本）</w:t>
      </w:r>
    </w:p>
    <w:p w14:paraId="79F97E0E" w14:textId="60ED0869" w:rsidR="0057366E" w:rsidRDefault="0057366E">
      <w:pPr>
        <w:widowControl/>
        <w:jc w:val="left"/>
        <w:rPr>
          <w:rFonts w:ascii="宋体" w:hAnsi="宋体"/>
          <w:sz w:val="24"/>
          <w:szCs w:val="24"/>
        </w:rPr>
      </w:pPr>
      <w:r>
        <w:br w:type="page"/>
      </w:r>
    </w:p>
    <w:p w14:paraId="08FBDAEE" w14:textId="77777777" w:rsidR="00495C65" w:rsidRPr="00B945F6" w:rsidRDefault="00495C65" w:rsidP="00495C65">
      <w:pPr>
        <w:pStyle w:val="13"/>
        <w:spacing w:beforeLines="100" w:before="312"/>
        <w:ind w:firstLineChars="0" w:firstLine="0"/>
        <w:jc w:val="center"/>
        <w:rPr>
          <w:b/>
          <w:bCs/>
        </w:rPr>
      </w:pPr>
      <w:r w:rsidRPr="00B945F6">
        <w:rPr>
          <w:rFonts w:hint="eastAsia"/>
          <w:b/>
          <w:bCs/>
        </w:rPr>
        <w:lastRenderedPageBreak/>
        <w:t>房地产司法鉴定评估委托书</w:t>
      </w:r>
    </w:p>
    <w:p w14:paraId="410A970E" w14:textId="77777777" w:rsidR="00495C65" w:rsidRDefault="00495C65" w:rsidP="00495C65">
      <w:pPr>
        <w:pStyle w:val="13"/>
        <w:jc w:val="right"/>
      </w:pPr>
      <w:r>
        <w:rPr>
          <w:rFonts w:hint="eastAsia"/>
        </w:rPr>
        <w:t>×</w:t>
      </w:r>
      <w:r>
        <w:t>×技鉴（2010）字第××号</w:t>
      </w:r>
    </w:p>
    <w:p w14:paraId="4E51CF93" w14:textId="77777777" w:rsidR="00495C65" w:rsidRDefault="00495C65" w:rsidP="00495C65">
      <w:pPr>
        <w:pStyle w:val="13"/>
        <w:ind w:firstLineChars="0" w:firstLine="0"/>
      </w:pPr>
      <w:r>
        <w:rPr>
          <w:rFonts w:hint="eastAsia"/>
        </w:rPr>
        <w:t>×</w:t>
      </w:r>
      <w:r>
        <w:t>××房地产评估公司：</w:t>
      </w:r>
    </w:p>
    <w:p w14:paraId="33950BED" w14:textId="77777777" w:rsidR="00495C65" w:rsidRPr="00EA24D2" w:rsidRDefault="00495C65" w:rsidP="00495C65">
      <w:pPr>
        <w:pStyle w:val="13"/>
      </w:pPr>
      <w:r>
        <w:rPr>
          <w:rFonts w:hint="eastAsia"/>
        </w:rPr>
        <w:t>本院受理的</w:t>
      </w:r>
      <w:r>
        <w:t>×××一案，依照《中华人民共和国民事诉讼法》、最高人民法院《最高</w:t>
      </w:r>
      <w:r w:rsidRPr="00B945F6">
        <w:rPr>
          <w:rFonts w:hint="eastAsia"/>
        </w:rPr>
        <w:t>人民法院关于人民法院委托评估、拍卖和变卖工作的若干规定》的有关规定，特委托你单位对该案当事人</w:t>
      </w:r>
      <w:r w:rsidRPr="00B945F6">
        <w:t>×××所有的位于×××的房地产进行司法鉴定评估</w:t>
      </w:r>
      <w:r>
        <w:rPr>
          <w:rFonts w:hint="eastAsia"/>
        </w:rPr>
        <w:t>。</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6"/>
        <w:gridCol w:w="734"/>
        <w:gridCol w:w="152"/>
        <w:gridCol w:w="1587"/>
        <w:gridCol w:w="1486"/>
        <w:gridCol w:w="2895"/>
      </w:tblGrid>
      <w:tr w:rsidR="00495C65" w:rsidRPr="00C05E8C" w14:paraId="78EA4A73" w14:textId="77777777" w:rsidTr="00226138">
        <w:trPr>
          <w:trHeight w:val="480"/>
        </w:trPr>
        <w:tc>
          <w:tcPr>
            <w:tcW w:w="1491" w:type="pct"/>
            <w:gridSpan w:val="2"/>
            <w:vAlign w:val="center"/>
          </w:tcPr>
          <w:p w14:paraId="77F74E8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委托日期</w:t>
            </w:r>
          </w:p>
        </w:tc>
        <w:tc>
          <w:tcPr>
            <w:tcW w:w="3509" w:type="pct"/>
            <w:gridSpan w:val="4"/>
            <w:vAlign w:val="center"/>
          </w:tcPr>
          <w:p w14:paraId="658D4DB0" w14:textId="77777777" w:rsidR="00495C65" w:rsidRPr="00C05E8C" w:rsidRDefault="00495C65" w:rsidP="00C05E8C">
            <w:pPr>
              <w:pStyle w:val="13"/>
              <w:spacing w:line="240" w:lineRule="auto"/>
              <w:ind w:firstLineChars="0" w:firstLine="0"/>
              <w:jc w:val="center"/>
              <w:rPr>
                <w:sz w:val="21"/>
                <w:szCs w:val="21"/>
              </w:rPr>
            </w:pPr>
            <w:r w:rsidRPr="00C05E8C">
              <w:rPr>
                <w:rFonts w:ascii="Times New Roman" w:eastAsia="Times New Roman"/>
                <w:sz w:val="21"/>
                <w:szCs w:val="21"/>
              </w:rPr>
              <w:t>2009</w:t>
            </w:r>
            <w:r w:rsidRPr="00C05E8C">
              <w:rPr>
                <w:sz w:val="21"/>
                <w:szCs w:val="21"/>
              </w:rPr>
              <w:t>年</w:t>
            </w:r>
            <w:r w:rsidRPr="00C05E8C">
              <w:rPr>
                <w:rFonts w:ascii="Times New Roman" w:eastAsia="Times New Roman"/>
                <w:sz w:val="21"/>
                <w:szCs w:val="21"/>
              </w:rPr>
              <w:t>6</w:t>
            </w:r>
            <w:r w:rsidRPr="00C05E8C">
              <w:rPr>
                <w:sz w:val="21"/>
                <w:szCs w:val="21"/>
              </w:rPr>
              <w:t>月</w:t>
            </w:r>
            <w:r w:rsidRPr="00C05E8C">
              <w:rPr>
                <w:rFonts w:ascii="Times New Roman" w:eastAsia="Times New Roman"/>
                <w:sz w:val="21"/>
                <w:szCs w:val="21"/>
              </w:rPr>
              <w:t>26</w:t>
            </w:r>
            <w:r w:rsidRPr="00C05E8C">
              <w:rPr>
                <w:sz w:val="21"/>
                <w:szCs w:val="21"/>
              </w:rPr>
              <w:t>日</w:t>
            </w:r>
          </w:p>
        </w:tc>
      </w:tr>
      <w:tr w:rsidR="00495C65" w:rsidRPr="00C05E8C" w14:paraId="3A8C5214" w14:textId="77777777" w:rsidTr="00C05E8C">
        <w:trPr>
          <w:trHeight w:val="1124"/>
        </w:trPr>
        <w:tc>
          <w:tcPr>
            <w:tcW w:w="1491" w:type="pct"/>
            <w:gridSpan w:val="2"/>
            <w:vAlign w:val="center"/>
          </w:tcPr>
          <w:p w14:paraId="4F372519"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简要案情及承办法官姓名和联系电话</w:t>
            </w:r>
          </w:p>
        </w:tc>
        <w:tc>
          <w:tcPr>
            <w:tcW w:w="3509" w:type="pct"/>
            <w:gridSpan w:val="4"/>
            <w:vAlign w:val="center"/>
          </w:tcPr>
          <w:p w14:paraId="11970BB9"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执行案件（）或审判案件（）</w:t>
            </w:r>
          </w:p>
          <w:p w14:paraId="6AA9714D"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简要案情：（可另附资料）</w:t>
            </w:r>
          </w:p>
          <w:p w14:paraId="016C808D" w14:textId="77777777" w:rsidR="00495C65" w:rsidRPr="00C05E8C" w:rsidRDefault="00495C65" w:rsidP="00C05E8C">
            <w:pPr>
              <w:pStyle w:val="13"/>
              <w:spacing w:line="240" w:lineRule="auto"/>
              <w:ind w:firstLineChars="0" w:firstLine="0"/>
              <w:jc w:val="center"/>
              <w:rPr>
                <w:rFonts w:ascii="Times New Roman" w:eastAsia="Times New Roman" w:hAnsi="Times New Roman"/>
                <w:sz w:val="21"/>
                <w:szCs w:val="21"/>
              </w:rPr>
            </w:pPr>
            <w:r w:rsidRPr="00C05E8C">
              <w:rPr>
                <w:sz w:val="21"/>
                <w:szCs w:val="21"/>
              </w:rPr>
              <w:t xml:space="preserve">承办法官： </w:t>
            </w:r>
            <w:r w:rsidRPr="00C05E8C">
              <w:rPr>
                <w:rFonts w:ascii="Times New Roman" w:eastAsia="Times New Roman" w:hAnsi="Times New Roman"/>
                <w:sz w:val="21"/>
                <w:szCs w:val="21"/>
              </w:rPr>
              <w:t xml:space="preserve">× × ×  </w:t>
            </w:r>
            <w:r w:rsidRPr="00C05E8C">
              <w:rPr>
                <w:sz w:val="21"/>
                <w:szCs w:val="21"/>
              </w:rPr>
              <w:t xml:space="preserve">联系电话： </w:t>
            </w:r>
            <w:r w:rsidRPr="00C05E8C">
              <w:rPr>
                <w:rFonts w:ascii="Times New Roman" w:eastAsia="Times New Roman" w:hAnsi="Times New Roman"/>
                <w:sz w:val="21"/>
                <w:szCs w:val="21"/>
              </w:rPr>
              <w:t>× × × × × ×</w:t>
            </w:r>
          </w:p>
        </w:tc>
      </w:tr>
      <w:tr w:rsidR="00495C65" w:rsidRPr="00C05E8C" w14:paraId="2FA22FC7" w14:textId="77777777" w:rsidTr="00C05E8C">
        <w:trPr>
          <w:trHeight w:val="1408"/>
        </w:trPr>
        <w:tc>
          <w:tcPr>
            <w:tcW w:w="1491" w:type="pct"/>
            <w:gridSpan w:val="2"/>
            <w:vAlign w:val="center"/>
          </w:tcPr>
          <w:p w14:paraId="34358D3A"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房地产司法鉴定估价</w:t>
            </w:r>
          </w:p>
          <w:p w14:paraId="0577C5B6"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基本事项</w:t>
            </w:r>
          </w:p>
        </w:tc>
        <w:tc>
          <w:tcPr>
            <w:tcW w:w="3509" w:type="pct"/>
            <w:gridSpan w:val="4"/>
            <w:vAlign w:val="center"/>
          </w:tcPr>
          <w:p w14:paraId="5EE89036" w14:textId="77777777" w:rsidR="00495C65" w:rsidRPr="00C05E8C" w:rsidRDefault="00495C65" w:rsidP="00C05E8C">
            <w:pPr>
              <w:pStyle w:val="13"/>
              <w:spacing w:line="240" w:lineRule="auto"/>
              <w:ind w:firstLineChars="0" w:firstLine="0"/>
              <w:rPr>
                <w:sz w:val="21"/>
                <w:szCs w:val="21"/>
              </w:rPr>
            </w:pPr>
            <w:r w:rsidRPr="00C05E8C">
              <w:rPr>
                <w:sz w:val="21"/>
                <w:szCs w:val="21"/>
              </w:rPr>
              <w:t>估价对象及估价范围：物质实体状况，权益状况（包括法律权属、法律瑕疵及租约限制等）</w:t>
            </w:r>
          </w:p>
          <w:p w14:paraId="1AF15132" w14:textId="77777777" w:rsidR="00495C65" w:rsidRPr="00C05E8C" w:rsidRDefault="00495C65" w:rsidP="00C05E8C">
            <w:pPr>
              <w:pStyle w:val="13"/>
              <w:spacing w:line="240" w:lineRule="auto"/>
              <w:ind w:firstLineChars="0" w:firstLine="0"/>
              <w:rPr>
                <w:sz w:val="21"/>
                <w:szCs w:val="21"/>
              </w:rPr>
            </w:pPr>
            <w:r w:rsidRPr="00C05E8C">
              <w:rPr>
                <w:sz w:val="21"/>
                <w:szCs w:val="21"/>
              </w:rPr>
              <w:t>估价时点：</w:t>
            </w:r>
          </w:p>
          <w:p w14:paraId="36C49C05" w14:textId="77777777" w:rsidR="00495C65" w:rsidRPr="00C05E8C" w:rsidRDefault="00495C65" w:rsidP="00C05E8C">
            <w:pPr>
              <w:pStyle w:val="13"/>
              <w:spacing w:line="240" w:lineRule="auto"/>
              <w:ind w:firstLineChars="0" w:firstLine="0"/>
              <w:rPr>
                <w:sz w:val="21"/>
                <w:szCs w:val="21"/>
              </w:rPr>
            </w:pPr>
            <w:r w:rsidRPr="00C05E8C">
              <w:rPr>
                <w:sz w:val="21"/>
                <w:szCs w:val="21"/>
              </w:rPr>
              <w:t>估价目的：</w:t>
            </w:r>
          </w:p>
        </w:tc>
      </w:tr>
      <w:tr w:rsidR="00495C65" w:rsidRPr="00C05E8C" w14:paraId="5E9FF10C" w14:textId="77777777" w:rsidTr="00C05E8C">
        <w:trPr>
          <w:trHeight w:val="1541"/>
        </w:trPr>
        <w:tc>
          <w:tcPr>
            <w:tcW w:w="1491" w:type="pct"/>
            <w:gridSpan w:val="2"/>
            <w:vAlign w:val="center"/>
          </w:tcPr>
          <w:p w14:paraId="7C0FB577"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诉讼当事人及其联系方式（包括申请执行人、被执行人）</w:t>
            </w:r>
          </w:p>
        </w:tc>
        <w:tc>
          <w:tcPr>
            <w:tcW w:w="3509" w:type="pct"/>
            <w:gridSpan w:val="4"/>
            <w:vAlign w:val="center"/>
          </w:tcPr>
          <w:p w14:paraId="01B17DB6" w14:textId="77777777" w:rsidR="00495C65" w:rsidRPr="00C05E8C" w:rsidRDefault="00495C65" w:rsidP="00C05E8C">
            <w:pPr>
              <w:pStyle w:val="13"/>
              <w:spacing w:line="240" w:lineRule="auto"/>
              <w:ind w:firstLineChars="0" w:firstLine="0"/>
              <w:rPr>
                <w:spacing w:val="-8"/>
                <w:sz w:val="21"/>
                <w:szCs w:val="21"/>
              </w:rPr>
            </w:pPr>
            <w:r w:rsidRPr="00C05E8C">
              <w:rPr>
                <w:sz w:val="21"/>
                <w:szCs w:val="21"/>
              </w:rPr>
              <w:t>原告（申请执行人</w:t>
            </w:r>
            <w:r w:rsidRPr="00C05E8C">
              <w:rPr>
                <w:spacing w:val="-120"/>
                <w:sz w:val="21"/>
                <w:szCs w:val="21"/>
              </w:rPr>
              <w:t>）</w:t>
            </w:r>
            <w:r w:rsidRPr="00C05E8C">
              <w:rPr>
                <w:rFonts w:hint="eastAsia"/>
                <w:sz w:val="21"/>
                <w:szCs w:val="21"/>
              </w:rPr>
              <w:t>）：</w:t>
            </w:r>
            <w:r w:rsidRPr="00C05E8C">
              <w:rPr>
                <w:sz w:val="21"/>
                <w:szCs w:val="21"/>
              </w:rPr>
              <w:t xml:space="preserve"> </w:t>
            </w:r>
            <w:r w:rsidRPr="00C05E8C">
              <w:rPr>
                <w:rFonts w:ascii="Times New Roman" w:eastAsia="Times New Roman" w:hAnsi="Times New Roman"/>
                <w:sz w:val="21"/>
                <w:szCs w:val="21"/>
              </w:rPr>
              <w:t>× × ×</w:t>
            </w:r>
            <w:r w:rsidRPr="00C05E8C">
              <w:rPr>
                <w:spacing w:val="-1"/>
                <w:sz w:val="21"/>
                <w:szCs w:val="21"/>
              </w:rPr>
              <w:t xml:space="preserve">，代理人 </w:t>
            </w:r>
            <w:r w:rsidRPr="00C05E8C">
              <w:rPr>
                <w:rFonts w:ascii="Times New Roman" w:eastAsia="Times New Roman" w:hAnsi="Times New Roman"/>
                <w:spacing w:val="-2"/>
                <w:sz w:val="21"/>
                <w:szCs w:val="21"/>
              </w:rPr>
              <w:t>× × ×</w:t>
            </w:r>
            <w:r w:rsidRPr="00C05E8C">
              <w:rPr>
                <w:spacing w:val="-8"/>
                <w:sz w:val="21"/>
                <w:szCs w:val="21"/>
              </w:rPr>
              <w:t>；</w:t>
            </w:r>
          </w:p>
          <w:p w14:paraId="11305CC0" w14:textId="77777777" w:rsidR="00495C65" w:rsidRPr="00C05E8C" w:rsidRDefault="00495C65" w:rsidP="00C05E8C">
            <w:pPr>
              <w:pStyle w:val="13"/>
              <w:spacing w:line="240" w:lineRule="auto"/>
              <w:ind w:firstLineChars="0" w:firstLine="0"/>
              <w:rPr>
                <w:sz w:val="21"/>
                <w:szCs w:val="21"/>
              </w:rPr>
            </w:pPr>
            <w:r w:rsidRPr="00C05E8C">
              <w:rPr>
                <w:sz w:val="21"/>
                <w:szCs w:val="21"/>
              </w:rPr>
              <w:t xml:space="preserve">联系方式： </w:t>
            </w:r>
            <w:r w:rsidRPr="00C05E8C">
              <w:rPr>
                <w:rFonts w:ascii="Times New Roman" w:eastAsia="Times New Roman" w:hAnsi="Times New Roman"/>
                <w:sz w:val="21"/>
                <w:szCs w:val="21"/>
              </w:rPr>
              <w:t>× × × ×</w:t>
            </w:r>
            <w:r w:rsidRPr="00C05E8C">
              <w:rPr>
                <w:sz w:val="21"/>
                <w:szCs w:val="21"/>
              </w:rPr>
              <w:t>。</w:t>
            </w:r>
          </w:p>
          <w:p w14:paraId="0762FCFC" w14:textId="77777777" w:rsidR="00495C65" w:rsidRPr="00C05E8C" w:rsidRDefault="00495C65" w:rsidP="00C05E8C">
            <w:pPr>
              <w:pStyle w:val="13"/>
              <w:spacing w:line="240" w:lineRule="auto"/>
              <w:ind w:firstLineChars="0" w:firstLine="0"/>
              <w:rPr>
                <w:sz w:val="21"/>
                <w:szCs w:val="21"/>
              </w:rPr>
            </w:pPr>
            <w:r w:rsidRPr="00C05E8C">
              <w:rPr>
                <w:sz w:val="21"/>
                <w:szCs w:val="21"/>
              </w:rPr>
              <w:t>被告（被执行人</w:t>
            </w:r>
            <w:r w:rsidRPr="00C05E8C">
              <w:rPr>
                <w:spacing w:val="-120"/>
                <w:sz w:val="21"/>
                <w:szCs w:val="21"/>
              </w:rPr>
              <w:t>）</w:t>
            </w:r>
            <w:r w:rsidRPr="00C05E8C">
              <w:rPr>
                <w:sz w:val="21"/>
                <w:szCs w:val="21"/>
              </w:rPr>
              <w:t xml:space="preserve">： </w:t>
            </w:r>
            <w:r w:rsidRPr="00C05E8C">
              <w:rPr>
                <w:rFonts w:ascii="Times New Roman" w:eastAsia="Times New Roman" w:hAnsi="Times New Roman"/>
                <w:sz w:val="21"/>
                <w:szCs w:val="21"/>
              </w:rPr>
              <w:t>× × ×</w:t>
            </w:r>
            <w:r w:rsidRPr="00C05E8C">
              <w:rPr>
                <w:sz w:val="21"/>
                <w:szCs w:val="21"/>
              </w:rPr>
              <w:t xml:space="preserve">，代理人 </w:t>
            </w:r>
            <w:r w:rsidRPr="00C05E8C">
              <w:rPr>
                <w:rFonts w:ascii="Times New Roman" w:eastAsia="Times New Roman" w:hAnsi="Times New Roman"/>
                <w:sz w:val="21"/>
                <w:szCs w:val="21"/>
              </w:rPr>
              <w:t>× × ×</w:t>
            </w:r>
            <w:r w:rsidRPr="00C05E8C">
              <w:rPr>
                <w:sz w:val="21"/>
                <w:szCs w:val="21"/>
              </w:rPr>
              <w:t>；</w:t>
            </w:r>
          </w:p>
          <w:p w14:paraId="7B9001BF" w14:textId="77777777" w:rsidR="00495C65" w:rsidRPr="00C05E8C" w:rsidRDefault="00495C65" w:rsidP="00C05E8C">
            <w:pPr>
              <w:pStyle w:val="13"/>
              <w:spacing w:line="240" w:lineRule="auto"/>
              <w:ind w:firstLineChars="0" w:firstLine="0"/>
              <w:rPr>
                <w:sz w:val="21"/>
                <w:szCs w:val="21"/>
              </w:rPr>
            </w:pPr>
            <w:r w:rsidRPr="00C05E8C">
              <w:rPr>
                <w:sz w:val="21"/>
                <w:szCs w:val="21"/>
              </w:rPr>
              <w:t xml:space="preserve">联系方式： </w:t>
            </w:r>
            <w:r w:rsidRPr="00C05E8C">
              <w:rPr>
                <w:rFonts w:ascii="Times New Roman" w:eastAsia="Times New Roman" w:hAnsi="Times New Roman"/>
                <w:sz w:val="21"/>
                <w:szCs w:val="21"/>
              </w:rPr>
              <w:t>× × × ×</w:t>
            </w:r>
            <w:r w:rsidRPr="00C05E8C">
              <w:rPr>
                <w:sz w:val="21"/>
                <w:szCs w:val="21"/>
              </w:rPr>
              <w:t>。</w:t>
            </w:r>
          </w:p>
        </w:tc>
      </w:tr>
      <w:tr w:rsidR="00495C65" w:rsidRPr="00C05E8C" w14:paraId="63764D36" w14:textId="77777777" w:rsidTr="00226138">
        <w:trPr>
          <w:trHeight w:val="960"/>
        </w:trPr>
        <w:tc>
          <w:tcPr>
            <w:tcW w:w="5000" w:type="pct"/>
            <w:gridSpan w:val="6"/>
            <w:vAlign w:val="center"/>
          </w:tcPr>
          <w:p w14:paraId="38EF5285" w14:textId="77777777" w:rsidR="00495C65" w:rsidRPr="00C05E8C" w:rsidRDefault="00495C65" w:rsidP="00C05E8C">
            <w:pPr>
              <w:pStyle w:val="13"/>
              <w:spacing w:line="240" w:lineRule="auto"/>
              <w:ind w:firstLineChars="0" w:firstLine="0"/>
              <w:jc w:val="center"/>
              <w:rPr>
                <w:spacing w:val="-6"/>
                <w:sz w:val="21"/>
                <w:szCs w:val="21"/>
              </w:rPr>
            </w:pPr>
            <w:r w:rsidRPr="00C05E8C">
              <w:rPr>
                <w:spacing w:val="-6"/>
                <w:sz w:val="21"/>
                <w:szCs w:val="21"/>
              </w:rPr>
              <w:t>诉讼当事人是否签收《房地产司法鉴定评估风险告知书》：</w:t>
            </w:r>
          </w:p>
          <w:p w14:paraId="503D8724" w14:textId="77777777" w:rsidR="00495C65" w:rsidRPr="00C05E8C" w:rsidRDefault="00495C65" w:rsidP="00C05E8C">
            <w:pPr>
              <w:pStyle w:val="13"/>
              <w:spacing w:line="240" w:lineRule="auto"/>
              <w:ind w:firstLineChars="0" w:firstLine="0"/>
              <w:jc w:val="center"/>
              <w:rPr>
                <w:spacing w:val="-6"/>
                <w:sz w:val="21"/>
                <w:szCs w:val="21"/>
              </w:rPr>
            </w:pPr>
            <w:r w:rsidRPr="00C05E8C">
              <w:rPr>
                <w:sz w:val="21"/>
                <w:szCs w:val="21"/>
              </w:rPr>
              <w:t>是（）或者 否（</w:t>
            </w:r>
            <w:r w:rsidRPr="00C05E8C">
              <w:rPr>
                <w:rFonts w:hint="eastAsia"/>
                <w:spacing w:val="-120"/>
                <w:sz w:val="21"/>
                <w:szCs w:val="21"/>
              </w:rPr>
              <w:t>）</w:t>
            </w:r>
          </w:p>
        </w:tc>
      </w:tr>
      <w:tr w:rsidR="00495C65" w:rsidRPr="00C05E8C" w14:paraId="2A747773" w14:textId="77777777" w:rsidTr="00226138">
        <w:trPr>
          <w:trHeight w:val="480"/>
        </w:trPr>
        <w:tc>
          <w:tcPr>
            <w:tcW w:w="1578" w:type="pct"/>
            <w:gridSpan w:val="3"/>
            <w:vAlign w:val="center"/>
          </w:tcPr>
          <w:p w14:paraId="4C7D085A"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鉴定评估委托方承办人</w:t>
            </w:r>
          </w:p>
        </w:tc>
        <w:tc>
          <w:tcPr>
            <w:tcW w:w="910" w:type="pct"/>
            <w:vAlign w:val="center"/>
          </w:tcPr>
          <w:p w14:paraId="73B64892" w14:textId="77777777" w:rsidR="00495C65" w:rsidRPr="00C05E8C" w:rsidRDefault="00495C65" w:rsidP="00C05E8C">
            <w:pPr>
              <w:pStyle w:val="13"/>
              <w:spacing w:line="240" w:lineRule="auto"/>
              <w:ind w:firstLineChars="0" w:firstLine="0"/>
              <w:rPr>
                <w:rFonts w:ascii="Times New Roman"/>
                <w:sz w:val="21"/>
                <w:szCs w:val="21"/>
              </w:rPr>
            </w:pPr>
          </w:p>
        </w:tc>
        <w:tc>
          <w:tcPr>
            <w:tcW w:w="852" w:type="pct"/>
            <w:vAlign w:val="center"/>
          </w:tcPr>
          <w:p w14:paraId="330B0E1D"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联系电话</w:t>
            </w:r>
          </w:p>
        </w:tc>
        <w:tc>
          <w:tcPr>
            <w:tcW w:w="1660" w:type="pct"/>
            <w:vAlign w:val="center"/>
          </w:tcPr>
          <w:p w14:paraId="4A2938CA" w14:textId="77777777" w:rsidR="00495C65" w:rsidRPr="00C05E8C" w:rsidRDefault="00495C65" w:rsidP="00C05E8C">
            <w:pPr>
              <w:pStyle w:val="13"/>
              <w:spacing w:line="240" w:lineRule="auto"/>
              <w:ind w:firstLineChars="0" w:firstLine="0"/>
              <w:rPr>
                <w:rFonts w:ascii="Times New Roman"/>
                <w:sz w:val="21"/>
                <w:szCs w:val="21"/>
              </w:rPr>
            </w:pPr>
          </w:p>
        </w:tc>
      </w:tr>
      <w:tr w:rsidR="00495C65" w:rsidRPr="00C05E8C" w14:paraId="0DAD1080" w14:textId="77777777" w:rsidTr="00226138">
        <w:trPr>
          <w:trHeight w:val="1439"/>
        </w:trPr>
        <w:tc>
          <w:tcPr>
            <w:tcW w:w="1070" w:type="pct"/>
            <w:vAlign w:val="center"/>
          </w:tcPr>
          <w:p w14:paraId="511736FD"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附 件</w:t>
            </w:r>
          </w:p>
        </w:tc>
        <w:tc>
          <w:tcPr>
            <w:tcW w:w="3930" w:type="pct"/>
            <w:gridSpan w:val="5"/>
            <w:vAlign w:val="center"/>
          </w:tcPr>
          <w:p w14:paraId="02A57B4E" w14:textId="77777777" w:rsidR="00495C65" w:rsidRPr="00C05E8C" w:rsidRDefault="00495C65" w:rsidP="00C05E8C">
            <w:pPr>
              <w:pStyle w:val="13"/>
              <w:spacing w:line="240" w:lineRule="auto"/>
              <w:ind w:firstLineChars="0" w:firstLine="0"/>
              <w:rPr>
                <w:sz w:val="21"/>
                <w:szCs w:val="21"/>
              </w:rPr>
            </w:pPr>
            <w:r w:rsidRPr="00C05E8C">
              <w:rPr>
                <w:rFonts w:hint="eastAsia"/>
                <w:spacing w:val="-11"/>
                <w:sz w:val="21"/>
                <w:szCs w:val="21"/>
              </w:rPr>
              <w:t>1</w:t>
            </w:r>
            <w:r w:rsidRPr="00C05E8C">
              <w:rPr>
                <w:spacing w:val="-11"/>
                <w:sz w:val="21"/>
                <w:szCs w:val="21"/>
              </w:rPr>
              <w:t>.《鉴定评估委托书附表》；</w:t>
            </w:r>
          </w:p>
          <w:p w14:paraId="21780853" w14:textId="77777777" w:rsidR="00495C65" w:rsidRPr="00C05E8C" w:rsidRDefault="00495C65" w:rsidP="00C05E8C">
            <w:pPr>
              <w:pStyle w:val="13"/>
              <w:spacing w:line="240" w:lineRule="auto"/>
              <w:ind w:firstLineChars="0" w:firstLine="0"/>
              <w:rPr>
                <w:sz w:val="21"/>
                <w:szCs w:val="21"/>
              </w:rPr>
            </w:pPr>
            <w:r w:rsidRPr="00C05E8C">
              <w:rPr>
                <w:rFonts w:hint="eastAsia"/>
                <w:spacing w:val="-11"/>
                <w:sz w:val="21"/>
                <w:szCs w:val="21"/>
              </w:rPr>
              <w:t>2</w:t>
            </w:r>
            <w:r w:rsidRPr="00C05E8C">
              <w:rPr>
                <w:spacing w:val="-11"/>
                <w:sz w:val="21"/>
                <w:szCs w:val="21"/>
              </w:rPr>
              <w:t>.《鉴定评估资料交接表》；</w:t>
            </w:r>
          </w:p>
          <w:p w14:paraId="14E41958" w14:textId="77777777" w:rsidR="00495C65" w:rsidRPr="00C05E8C" w:rsidRDefault="00495C65" w:rsidP="00C05E8C">
            <w:pPr>
              <w:pStyle w:val="13"/>
              <w:spacing w:line="240" w:lineRule="auto"/>
              <w:ind w:firstLineChars="0" w:firstLine="0"/>
              <w:rPr>
                <w:sz w:val="21"/>
                <w:szCs w:val="21"/>
              </w:rPr>
            </w:pPr>
            <w:r w:rsidRPr="00C05E8C">
              <w:rPr>
                <w:rFonts w:hint="eastAsia"/>
                <w:spacing w:val="-9"/>
                <w:sz w:val="21"/>
                <w:szCs w:val="21"/>
              </w:rPr>
              <w:t>3</w:t>
            </w:r>
            <w:r w:rsidRPr="00C05E8C">
              <w:rPr>
                <w:spacing w:val="-9"/>
                <w:sz w:val="21"/>
                <w:szCs w:val="21"/>
              </w:rPr>
              <w:t>.《鉴定评估资料质证情况记录》。</w:t>
            </w:r>
          </w:p>
        </w:tc>
      </w:tr>
    </w:tbl>
    <w:p w14:paraId="435EB593" w14:textId="77777777" w:rsidR="00495C65" w:rsidRDefault="00495C65" w:rsidP="00495C65">
      <w:pPr>
        <w:pStyle w:val="13"/>
      </w:pPr>
      <w:r w:rsidRPr="00C060E8">
        <w:rPr>
          <w:rFonts w:hint="eastAsia"/>
        </w:rPr>
        <w:t>（本委托书及其附件均一式二份，委托方和受托方各持一份）</w:t>
      </w:r>
    </w:p>
    <w:p w14:paraId="23688F49" w14:textId="77777777" w:rsidR="00495C65" w:rsidRDefault="00495C65" w:rsidP="00495C65">
      <w:pPr>
        <w:pStyle w:val="13"/>
        <w:jc w:val="right"/>
      </w:pPr>
      <w:r>
        <w:rPr>
          <w:rFonts w:hint="eastAsia"/>
        </w:rPr>
        <w:t>委托方：</w:t>
      </w:r>
      <w:r>
        <w:t>×××人民法院</w:t>
      </w:r>
    </w:p>
    <w:p w14:paraId="7D4DB6E9" w14:textId="46B57BB0" w:rsidR="00495C65" w:rsidRDefault="00495C65" w:rsidP="00495C65">
      <w:pPr>
        <w:pStyle w:val="13"/>
        <w:jc w:val="right"/>
      </w:pPr>
      <w:r>
        <w:rPr>
          <w:rFonts w:hint="eastAsia"/>
        </w:rPr>
        <w:t>年</w:t>
      </w:r>
      <w:r w:rsidRPr="00C060E8">
        <w:tab/>
      </w:r>
      <w:r>
        <w:t>月</w:t>
      </w:r>
      <w:r>
        <w:tab/>
        <w:t>日</w:t>
      </w:r>
    </w:p>
    <w:p w14:paraId="3B56F48B" w14:textId="11F0460D" w:rsidR="0057366E" w:rsidRDefault="0057366E">
      <w:pPr>
        <w:widowControl/>
        <w:jc w:val="left"/>
        <w:rPr>
          <w:rFonts w:ascii="宋体" w:hAnsi="宋体"/>
          <w:sz w:val="24"/>
          <w:szCs w:val="24"/>
        </w:rPr>
      </w:pPr>
      <w:r>
        <w:br w:type="page"/>
      </w:r>
    </w:p>
    <w:p w14:paraId="296F0F38" w14:textId="77777777" w:rsidR="00495C65" w:rsidRPr="006373A3" w:rsidRDefault="00495C65" w:rsidP="00495C65">
      <w:pPr>
        <w:pStyle w:val="13"/>
        <w:spacing w:beforeLines="100" w:before="312"/>
        <w:ind w:firstLineChars="0" w:firstLine="0"/>
        <w:jc w:val="center"/>
        <w:rPr>
          <w:b/>
          <w:bCs/>
        </w:rPr>
      </w:pPr>
      <w:r w:rsidRPr="006373A3">
        <w:rPr>
          <w:rFonts w:hint="eastAsia"/>
          <w:b/>
          <w:bCs/>
        </w:rPr>
        <w:lastRenderedPageBreak/>
        <w:t>人民法院房地产司法鉴定评估委托书</w:t>
      </w:r>
    </w:p>
    <w:p w14:paraId="24A79383" w14:textId="77777777" w:rsidR="00495C65" w:rsidRDefault="00495C65" w:rsidP="00495C65">
      <w:pPr>
        <w:pStyle w:val="13"/>
        <w:ind w:firstLineChars="0" w:firstLine="0"/>
        <w:jc w:val="center"/>
      </w:pPr>
      <w:r w:rsidRPr="006373A3">
        <w:rPr>
          <w:rFonts w:hint="eastAsia"/>
        </w:rPr>
        <w:t>附表</w:t>
      </w:r>
    </w:p>
    <w:p w14:paraId="4BD2DCF5" w14:textId="77777777" w:rsidR="00495C65" w:rsidRPr="006373A3" w:rsidRDefault="00495C65" w:rsidP="00495C65">
      <w:pPr>
        <w:pStyle w:val="13"/>
        <w:jc w:val="right"/>
      </w:pPr>
      <w:r w:rsidRPr="003A0392">
        <w:rPr>
          <w:rFonts w:hint="eastAsia"/>
        </w:rPr>
        <w:t>×</w:t>
      </w:r>
      <w:r w:rsidRPr="003A0392">
        <w:t>×法技（2009）字第××号</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5"/>
        <w:gridCol w:w="1277"/>
        <w:gridCol w:w="1275"/>
        <w:gridCol w:w="2630"/>
      </w:tblGrid>
      <w:tr w:rsidR="00495C65" w:rsidRPr="00C05E8C" w14:paraId="6A18B8F2" w14:textId="77777777" w:rsidTr="00226138">
        <w:trPr>
          <w:trHeight w:val="465"/>
          <w:jc w:val="center"/>
        </w:trPr>
        <w:tc>
          <w:tcPr>
            <w:tcW w:w="1298" w:type="pct"/>
            <w:vAlign w:val="center"/>
          </w:tcPr>
          <w:p w14:paraId="73739112"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估价机构选定日期</w:t>
            </w:r>
          </w:p>
        </w:tc>
        <w:tc>
          <w:tcPr>
            <w:tcW w:w="3702" w:type="pct"/>
            <w:gridSpan w:val="4"/>
            <w:vAlign w:val="center"/>
          </w:tcPr>
          <w:p w14:paraId="33915939" w14:textId="3F7411D6" w:rsidR="00495C65" w:rsidRPr="00C05E8C" w:rsidRDefault="00495C65" w:rsidP="00C05E8C">
            <w:pPr>
              <w:pStyle w:val="13"/>
              <w:spacing w:line="240" w:lineRule="auto"/>
              <w:ind w:firstLineChars="0" w:firstLine="0"/>
              <w:jc w:val="center"/>
              <w:rPr>
                <w:sz w:val="21"/>
                <w:szCs w:val="21"/>
              </w:rPr>
            </w:pPr>
            <w:r w:rsidRPr="00C05E8C">
              <w:rPr>
                <w:sz w:val="21"/>
                <w:szCs w:val="21"/>
              </w:rPr>
              <w:t xml:space="preserve">年 </w:t>
            </w:r>
            <w:r w:rsidR="003068F8">
              <w:rPr>
                <w:sz w:val="21"/>
                <w:szCs w:val="21"/>
              </w:rPr>
              <w:t>月日</w:t>
            </w:r>
          </w:p>
        </w:tc>
      </w:tr>
      <w:tr w:rsidR="00495C65" w:rsidRPr="00C05E8C" w14:paraId="1D9FB9B7" w14:textId="77777777" w:rsidTr="00226138">
        <w:trPr>
          <w:trHeight w:val="465"/>
          <w:jc w:val="center"/>
        </w:trPr>
        <w:tc>
          <w:tcPr>
            <w:tcW w:w="1298" w:type="pct"/>
            <w:vAlign w:val="center"/>
          </w:tcPr>
          <w:p w14:paraId="517C0291"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估价机构名称</w:t>
            </w:r>
          </w:p>
        </w:tc>
        <w:tc>
          <w:tcPr>
            <w:tcW w:w="3702" w:type="pct"/>
            <w:gridSpan w:val="4"/>
            <w:vAlign w:val="center"/>
          </w:tcPr>
          <w:p w14:paraId="1D7B48A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×××房地产评估公司</w:t>
            </w:r>
          </w:p>
        </w:tc>
      </w:tr>
      <w:tr w:rsidR="00495C65" w:rsidRPr="00C05E8C" w14:paraId="3C14E5AF" w14:textId="77777777" w:rsidTr="00226138">
        <w:trPr>
          <w:trHeight w:val="449"/>
          <w:jc w:val="center"/>
        </w:trPr>
        <w:tc>
          <w:tcPr>
            <w:tcW w:w="1298" w:type="pct"/>
            <w:vAlign w:val="center"/>
          </w:tcPr>
          <w:p w14:paraId="13A4630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案件名称</w:t>
            </w:r>
          </w:p>
        </w:tc>
        <w:tc>
          <w:tcPr>
            <w:tcW w:w="3702" w:type="pct"/>
            <w:gridSpan w:val="4"/>
            <w:vAlign w:val="center"/>
          </w:tcPr>
          <w:p w14:paraId="2478745D"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×××审判（）或执行（）案件涉及的房地产鉴定评估</w:t>
            </w:r>
          </w:p>
        </w:tc>
      </w:tr>
      <w:tr w:rsidR="00495C65" w:rsidRPr="00C05E8C" w14:paraId="5981AA3B" w14:textId="77777777" w:rsidTr="00226138">
        <w:trPr>
          <w:trHeight w:val="741"/>
          <w:jc w:val="center"/>
        </w:trPr>
        <w:tc>
          <w:tcPr>
            <w:tcW w:w="1298" w:type="pct"/>
            <w:vAlign w:val="center"/>
          </w:tcPr>
          <w:p w14:paraId="08BC3282"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实际估价范围</w:t>
            </w:r>
          </w:p>
        </w:tc>
        <w:tc>
          <w:tcPr>
            <w:tcW w:w="3702" w:type="pct"/>
            <w:gridSpan w:val="4"/>
            <w:vAlign w:val="center"/>
          </w:tcPr>
          <w:p w14:paraId="36EA6717"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0878AC80" w14:textId="77777777" w:rsidTr="00226138">
        <w:trPr>
          <w:trHeight w:val="1005"/>
          <w:jc w:val="center"/>
        </w:trPr>
        <w:tc>
          <w:tcPr>
            <w:tcW w:w="1298" w:type="pct"/>
            <w:vAlign w:val="center"/>
          </w:tcPr>
          <w:p w14:paraId="5E6C8135"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鉴定评估的价值定义</w:t>
            </w:r>
          </w:p>
        </w:tc>
        <w:tc>
          <w:tcPr>
            <w:tcW w:w="3702" w:type="pct"/>
            <w:gridSpan w:val="4"/>
            <w:vAlign w:val="center"/>
          </w:tcPr>
          <w:p w14:paraId="03A5BE0D" w14:textId="77777777" w:rsidR="00495C65" w:rsidRPr="00C05E8C" w:rsidRDefault="00495C65" w:rsidP="00C05E8C">
            <w:pPr>
              <w:pStyle w:val="13"/>
              <w:spacing w:line="240" w:lineRule="auto"/>
              <w:ind w:firstLineChars="0" w:firstLine="0"/>
              <w:jc w:val="left"/>
              <w:rPr>
                <w:sz w:val="21"/>
                <w:szCs w:val="21"/>
              </w:rPr>
            </w:pPr>
            <w:r w:rsidRPr="00C05E8C">
              <w:rPr>
                <w:sz w:val="21"/>
                <w:szCs w:val="21"/>
              </w:rPr>
              <w:t>一般采用市场价值标准，可参照估价对象在估价时点的正常市场价格进行估值，不考虑强制变现等因素对价值的影响，但应当考虑估价对象的体量、性质（含用途等）、租约限制、权属等因素对价值的影响。</w:t>
            </w:r>
          </w:p>
        </w:tc>
      </w:tr>
      <w:tr w:rsidR="00495C65" w:rsidRPr="00C05E8C" w14:paraId="264AB169" w14:textId="77777777" w:rsidTr="00226138">
        <w:trPr>
          <w:trHeight w:val="1396"/>
          <w:jc w:val="center"/>
        </w:trPr>
        <w:tc>
          <w:tcPr>
            <w:tcW w:w="1298" w:type="pct"/>
            <w:vAlign w:val="center"/>
          </w:tcPr>
          <w:p w14:paraId="187E71A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鉴定估价报告提交期限和方式</w:t>
            </w:r>
          </w:p>
        </w:tc>
        <w:tc>
          <w:tcPr>
            <w:tcW w:w="3702" w:type="pct"/>
            <w:gridSpan w:val="4"/>
            <w:vAlign w:val="center"/>
          </w:tcPr>
          <w:p w14:paraId="45DC0F7B" w14:textId="77777777" w:rsidR="00495C65" w:rsidRPr="00C05E8C" w:rsidRDefault="00495C65" w:rsidP="00C05E8C">
            <w:pPr>
              <w:pStyle w:val="13"/>
              <w:spacing w:line="240" w:lineRule="auto"/>
              <w:ind w:firstLineChars="0" w:firstLine="0"/>
              <w:jc w:val="left"/>
              <w:rPr>
                <w:sz w:val="21"/>
                <w:szCs w:val="21"/>
              </w:rPr>
            </w:pPr>
            <w:r w:rsidRPr="00C05E8C">
              <w:rPr>
                <w:sz w:val="21"/>
                <w:szCs w:val="21"/>
              </w:rPr>
              <w:t xml:space="preserve">鉴定评估作业日期：自鉴定评估移送之日起30个工作日。鉴定估价报告提交期限：××年××月××日，提交方式：书面报告（并提交鉴定估价报告的电子版）。（经估价机构书面申请，第一次延长鉴定评估作业日期 </w:t>
            </w:r>
            <w:proofErr w:type="gramStart"/>
            <w:r w:rsidRPr="00C05E8C">
              <w:rPr>
                <w:sz w:val="21"/>
                <w:szCs w:val="21"/>
              </w:rPr>
              <w:t>个</w:t>
            </w:r>
            <w:proofErr w:type="gramEnd"/>
            <w:r w:rsidRPr="00C05E8C">
              <w:rPr>
                <w:sz w:val="21"/>
                <w:szCs w:val="21"/>
              </w:rPr>
              <w:t xml:space="preserve">工作日，第二次延长鉴定评估作业日期 </w:t>
            </w:r>
            <w:proofErr w:type="gramStart"/>
            <w:r w:rsidRPr="00C05E8C">
              <w:rPr>
                <w:sz w:val="21"/>
                <w:szCs w:val="21"/>
              </w:rPr>
              <w:t>个</w:t>
            </w:r>
            <w:proofErr w:type="gramEnd"/>
            <w:r w:rsidRPr="00C05E8C">
              <w:rPr>
                <w:sz w:val="21"/>
                <w:szCs w:val="21"/>
              </w:rPr>
              <w:t>工作日。）</w:t>
            </w:r>
          </w:p>
        </w:tc>
      </w:tr>
      <w:tr w:rsidR="00495C65" w:rsidRPr="00C05E8C" w14:paraId="125749D9" w14:textId="77777777" w:rsidTr="00226138">
        <w:trPr>
          <w:trHeight w:val="639"/>
          <w:jc w:val="center"/>
        </w:trPr>
        <w:tc>
          <w:tcPr>
            <w:tcW w:w="1298" w:type="pct"/>
            <w:vAlign w:val="center"/>
          </w:tcPr>
          <w:p w14:paraId="1A84C6D0"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鉴定估价报告使用者</w:t>
            </w:r>
          </w:p>
        </w:tc>
        <w:tc>
          <w:tcPr>
            <w:tcW w:w="3702" w:type="pct"/>
            <w:gridSpan w:val="4"/>
            <w:vAlign w:val="center"/>
          </w:tcPr>
          <w:p w14:paraId="72CBDFD8"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委托方。</w:t>
            </w:r>
          </w:p>
        </w:tc>
      </w:tr>
      <w:tr w:rsidR="00495C65" w:rsidRPr="00C05E8C" w14:paraId="5C6F4D5E" w14:textId="77777777" w:rsidTr="00226138">
        <w:trPr>
          <w:trHeight w:val="643"/>
          <w:jc w:val="center"/>
        </w:trPr>
        <w:tc>
          <w:tcPr>
            <w:tcW w:w="1298" w:type="pct"/>
            <w:vAlign w:val="center"/>
          </w:tcPr>
          <w:p w14:paraId="39B8BE5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鉴定评估服务费总额及其支付方式</w:t>
            </w:r>
          </w:p>
        </w:tc>
        <w:tc>
          <w:tcPr>
            <w:tcW w:w="3702" w:type="pct"/>
            <w:gridSpan w:val="4"/>
            <w:vAlign w:val="center"/>
          </w:tcPr>
          <w:p w14:paraId="7F6B8F8F"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16F94DBA" w14:textId="77777777" w:rsidTr="00226138">
        <w:trPr>
          <w:trHeight w:val="725"/>
          <w:jc w:val="center"/>
        </w:trPr>
        <w:tc>
          <w:tcPr>
            <w:tcW w:w="1298" w:type="pct"/>
            <w:vAlign w:val="center"/>
          </w:tcPr>
          <w:p w14:paraId="34F8090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受托估价机构其他义务</w:t>
            </w:r>
          </w:p>
        </w:tc>
        <w:tc>
          <w:tcPr>
            <w:tcW w:w="3702" w:type="pct"/>
            <w:gridSpan w:val="4"/>
            <w:vAlign w:val="center"/>
          </w:tcPr>
          <w:p w14:paraId="2A804C3B" w14:textId="77777777" w:rsidR="00495C65" w:rsidRPr="00C05E8C" w:rsidRDefault="00495C65" w:rsidP="00C05E8C">
            <w:pPr>
              <w:pStyle w:val="13"/>
              <w:spacing w:line="240" w:lineRule="auto"/>
              <w:ind w:firstLineChars="0" w:firstLine="0"/>
              <w:jc w:val="left"/>
              <w:rPr>
                <w:sz w:val="21"/>
                <w:szCs w:val="21"/>
              </w:rPr>
            </w:pPr>
            <w:r w:rsidRPr="00C05E8C">
              <w:rPr>
                <w:sz w:val="21"/>
                <w:szCs w:val="21"/>
              </w:rPr>
              <w:t>应委托方要求，出庭接受委托方的质询，回答有关当事人就鉴定评估相关事项的询问。</w:t>
            </w:r>
          </w:p>
        </w:tc>
      </w:tr>
      <w:tr w:rsidR="00495C65" w:rsidRPr="00C05E8C" w14:paraId="19E64F43" w14:textId="77777777" w:rsidTr="00226138">
        <w:trPr>
          <w:trHeight w:val="1600"/>
          <w:jc w:val="center"/>
        </w:trPr>
        <w:tc>
          <w:tcPr>
            <w:tcW w:w="1298" w:type="pct"/>
            <w:vAlign w:val="center"/>
          </w:tcPr>
          <w:p w14:paraId="75278753"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估价对象的权利人及其联系方式</w:t>
            </w:r>
          </w:p>
        </w:tc>
        <w:tc>
          <w:tcPr>
            <w:tcW w:w="3702" w:type="pct"/>
            <w:gridSpan w:val="4"/>
            <w:vAlign w:val="center"/>
          </w:tcPr>
          <w:p w14:paraId="087F622F" w14:textId="77777777" w:rsidR="00495C65" w:rsidRPr="00C05E8C" w:rsidRDefault="00495C65" w:rsidP="00C05E8C">
            <w:pPr>
              <w:pStyle w:val="13"/>
              <w:spacing w:line="240" w:lineRule="auto"/>
              <w:ind w:firstLineChars="0" w:firstLine="0"/>
              <w:jc w:val="left"/>
              <w:rPr>
                <w:sz w:val="21"/>
                <w:szCs w:val="21"/>
              </w:rPr>
            </w:pPr>
            <w:r w:rsidRPr="00C05E8C">
              <w:rPr>
                <w:sz w:val="21"/>
                <w:szCs w:val="21"/>
              </w:rPr>
              <w:t>房屋所有权人：××，联系人：××，联系方式：×××。土地使用权人：××，联系人：××，联系方式：×××。抵押权人：×××，联系人：×××，联系方式：×××。不动产的占有人（或承租人）：×××，联系人：×××，联系方式：××××。</w:t>
            </w:r>
          </w:p>
        </w:tc>
      </w:tr>
      <w:tr w:rsidR="00495C65" w:rsidRPr="00C05E8C" w14:paraId="4C1B4536" w14:textId="77777777" w:rsidTr="00226138">
        <w:trPr>
          <w:trHeight w:val="639"/>
          <w:jc w:val="center"/>
        </w:trPr>
        <w:tc>
          <w:tcPr>
            <w:tcW w:w="1298" w:type="pct"/>
            <w:vAlign w:val="center"/>
          </w:tcPr>
          <w:p w14:paraId="337B7AE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既往鉴定估价报告书</w:t>
            </w:r>
          </w:p>
        </w:tc>
        <w:tc>
          <w:tcPr>
            <w:tcW w:w="3702" w:type="pct"/>
            <w:gridSpan w:val="4"/>
            <w:vAlign w:val="center"/>
          </w:tcPr>
          <w:p w14:paraId="2327E224"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有（），则为重新鉴定评估，并提供复印件；无（）。</w:t>
            </w:r>
          </w:p>
        </w:tc>
      </w:tr>
      <w:tr w:rsidR="00495C65" w:rsidRPr="00C05E8C" w14:paraId="21A7FE0B" w14:textId="77777777" w:rsidTr="00226138">
        <w:trPr>
          <w:trHeight w:val="507"/>
          <w:jc w:val="center"/>
        </w:trPr>
        <w:tc>
          <w:tcPr>
            <w:tcW w:w="1298" w:type="pct"/>
            <w:vMerge w:val="restart"/>
            <w:vAlign w:val="center"/>
          </w:tcPr>
          <w:p w14:paraId="4D3B030E"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司法技术部门审核意见</w:t>
            </w:r>
          </w:p>
        </w:tc>
        <w:tc>
          <w:tcPr>
            <w:tcW w:w="1463" w:type="pct"/>
            <w:gridSpan w:val="2"/>
            <w:vMerge w:val="restart"/>
            <w:vAlign w:val="center"/>
          </w:tcPr>
          <w:p w14:paraId="6BF11324" w14:textId="77777777" w:rsidR="00495C65" w:rsidRPr="00C05E8C" w:rsidRDefault="00495C65" w:rsidP="00C05E8C">
            <w:pPr>
              <w:pStyle w:val="13"/>
              <w:spacing w:line="240" w:lineRule="auto"/>
              <w:ind w:firstLineChars="0" w:firstLine="0"/>
              <w:jc w:val="left"/>
              <w:rPr>
                <w:sz w:val="21"/>
                <w:szCs w:val="21"/>
              </w:rPr>
            </w:pPr>
            <w:r w:rsidRPr="00C05E8C">
              <w:rPr>
                <w:sz w:val="21"/>
                <w:szCs w:val="21"/>
              </w:rPr>
              <w:t>负责人：</w:t>
            </w:r>
          </w:p>
        </w:tc>
        <w:tc>
          <w:tcPr>
            <w:tcW w:w="731" w:type="pct"/>
            <w:vAlign w:val="center"/>
          </w:tcPr>
          <w:p w14:paraId="1A782ADD" w14:textId="77777777" w:rsidR="00495C65" w:rsidRPr="00C05E8C" w:rsidRDefault="00495C65" w:rsidP="00C05E8C">
            <w:pPr>
              <w:pStyle w:val="13"/>
              <w:spacing w:line="240" w:lineRule="auto"/>
              <w:ind w:firstLineChars="0" w:firstLine="0"/>
              <w:jc w:val="center"/>
              <w:rPr>
                <w:sz w:val="21"/>
                <w:szCs w:val="21"/>
              </w:rPr>
            </w:pPr>
            <w:r w:rsidRPr="00C05E8C">
              <w:rPr>
                <w:rFonts w:hint="eastAsia"/>
                <w:sz w:val="21"/>
                <w:szCs w:val="21"/>
              </w:rPr>
              <w:t>承办人姓名</w:t>
            </w:r>
          </w:p>
        </w:tc>
        <w:tc>
          <w:tcPr>
            <w:tcW w:w="1508" w:type="pct"/>
            <w:vAlign w:val="center"/>
          </w:tcPr>
          <w:p w14:paraId="0F113196"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071E23C4" w14:textId="77777777" w:rsidTr="00226138">
        <w:trPr>
          <w:trHeight w:val="438"/>
          <w:jc w:val="center"/>
        </w:trPr>
        <w:tc>
          <w:tcPr>
            <w:tcW w:w="1298" w:type="pct"/>
            <w:vMerge/>
            <w:vAlign w:val="center"/>
          </w:tcPr>
          <w:p w14:paraId="44C9A877" w14:textId="77777777" w:rsidR="00495C65" w:rsidRPr="00C05E8C" w:rsidRDefault="00495C65" w:rsidP="00C05E8C">
            <w:pPr>
              <w:pStyle w:val="13"/>
              <w:spacing w:line="240" w:lineRule="auto"/>
              <w:ind w:firstLineChars="0" w:firstLine="0"/>
              <w:jc w:val="center"/>
              <w:rPr>
                <w:sz w:val="21"/>
                <w:szCs w:val="21"/>
              </w:rPr>
            </w:pPr>
          </w:p>
        </w:tc>
        <w:tc>
          <w:tcPr>
            <w:tcW w:w="1463" w:type="pct"/>
            <w:gridSpan w:val="2"/>
            <w:vMerge/>
            <w:vAlign w:val="center"/>
          </w:tcPr>
          <w:p w14:paraId="0750A71D" w14:textId="77777777" w:rsidR="00495C65" w:rsidRPr="00C05E8C" w:rsidRDefault="00495C65" w:rsidP="00C05E8C">
            <w:pPr>
              <w:pStyle w:val="13"/>
              <w:spacing w:line="240" w:lineRule="auto"/>
              <w:ind w:firstLineChars="0" w:firstLine="0"/>
              <w:jc w:val="center"/>
              <w:rPr>
                <w:sz w:val="21"/>
                <w:szCs w:val="21"/>
              </w:rPr>
            </w:pPr>
          </w:p>
        </w:tc>
        <w:tc>
          <w:tcPr>
            <w:tcW w:w="731" w:type="pct"/>
            <w:vAlign w:val="center"/>
          </w:tcPr>
          <w:p w14:paraId="3C27BAC2" w14:textId="77777777" w:rsidR="00495C65" w:rsidRPr="00C05E8C" w:rsidRDefault="00495C65" w:rsidP="00C05E8C">
            <w:pPr>
              <w:pStyle w:val="13"/>
              <w:spacing w:line="240" w:lineRule="auto"/>
              <w:ind w:firstLineChars="0" w:firstLine="0"/>
              <w:jc w:val="center"/>
              <w:rPr>
                <w:sz w:val="21"/>
                <w:szCs w:val="21"/>
              </w:rPr>
            </w:pPr>
            <w:r w:rsidRPr="00C05E8C">
              <w:rPr>
                <w:rFonts w:hint="eastAsia"/>
                <w:sz w:val="21"/>
                <w:szCs w:val="21"/>
              </w:rPr>
              <w:t>联系电话</w:t>
            </w:r>
          </w:p>
        </w:tc>
        <w:tc>
          <w:tcPr>
            <w:tcW w:w="1508" w:type="pct"/>
            <w:vAlign w:val="center"/>
          </w:tcPr>
          <w:p w14:paraId="5B34794B"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049F4735" w14:textId="77777777" w:rsidTr="00226138">
        <w:trPr>
          <w:trHeight w:val="567"/>
          <w:jc w:val="center"/>
        </w:trPr>
        <w:tc>
          <w:tcPr>
            <w:tcW w:w="1298" w:type="pct"/>
            <w:vAlign w:val="center"/>
          </w:tcPr>
          <w:p w14:paraId="2A4ED0C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估价机构受托记录</w:t>
            </w:r>
          </w:p>
        </w:tc>
        <w:tc>
          <w:tcPr>
            <w:tcW w:w="731" w:type="pct"/>
            <w:vAlign w:val="center"/>
          </w:tcPr>
          <w:p w14:paraId="2CACFD99"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受案人签名</w:t>
            </w:r>
          </w:p>
        </w:tc>
        <w:tc>
          <w:tcPr>
            <w:tcW w:w="732" w:type="pct"/>
            <w:vAlign w:val="center"/>
          </w:tcPr>
          <w:p w14:paraId="0389A81C" w14:textId="77777777" w:rsidR="00495C65" w:rsidRPr="00C05E8C" w:rsidRDefault="00495C65" w:rsidP="00C05E8C">
            <w:pPr>
              <w:pStyle w:val="13"/>
              <w:spacing w:line="240" w:lineRule="auto"/>
              <w:ind w:firstLineChars="0" w:firstLine="0"/>
              <w:jc w:val="center"/>
              <w:rPr>
                <w:sz w:val="21"/>
                <w:szCs w:val="21"/>
              </w:rPr>
            </w:pPr>
          </w:p>
        </w:tc>
        <w:tc>
          <w:tcPr>
            <w:tcW w:w="731" w:type="pct"/>
            <w:vAlign w:val="center"/>
          </w:tcPr>
          <w:p w14:paraId="5302DF43" w14:textId="77777777" w:rsidR="00495C65" w:rsidRPr="00C05E8C" w:rsidRDefault="00495C65" w:rsidP="00C05E8C">
            <w:pPr>
              <w:pStyle w:val="13"/>
              <w:spacing w:line="240" w:lineRule="auto"/>
              <w:ind w:firstLineChars="0" w:firstLine="0"/>
              <w:jc w:val="center"/>
              <w:rPr>
                <w:sz w:val="21"/>
                <w:szCs w:val="21"/>
              </w:rPr>
            </w:pPr>
            <w:r w:rsidRPr="00C05E8C">
              <w:rPr>
                <w:rFonts w:hint="eastAsia"/>
                <w:sz w:val="21"/>
                <w:szCs w:val="21"/>
              </w:rPr>
              <w:t>机构电话</w:t>
            </w:r>
          </w:p>
        </w:tc>
        <w:tc>
          <w:tcPr>
            <w:tcW w:w="1508" w:type="pct"/>
            <w:vAlign w:val="center"/>
          </w:tcPr>
          <w:p w14:paraId="303BE3CF"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3DB9B1B9" w14:textId="77777777" w:rsidTr="00226138">
        <w:trPr>
          <w:trHeight w:val="1279"/>
          <w:jc w:val="center"/>
        </w:trPr>
        <w:tc>
          <w:tcPr>
            <w:tcW w:w="1298" w:type="pct"/>
            <w:vAlign w:val="center"/>
          </w:tcPr>
          <w:p w14:paraId="6D7B68E9"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备</w:t>
            </w:r>
            <w:r w:rsidRPr="00C05E8C">
              <w:rPr>
                <w:rFonts w:hint="eastAsia"/>
                <w:sz w:val="21"/>
                <w:szCs w:val="21"/>
              </w:rPr>
              <w:t xml:space="preserve"> </w:t>
            </w:r>
            <w:r w:rsidRPr="00C05E8C">
              <w:rPr>
                <w:sz w:val="21"/>
                <w:szCs w:val="21"/>
              </w:rPr>
              <w:t>注</w:t>
            </w:r>
          </w:p>
        </w:tc>
        <w:tc>
          <w:tcPr>
            <w:tcW w:w="3702" w:type="pct"/>
            <w:gridSpan w:val="4"/>
            <w:vAlign w:val="center"/>
          </w:tcPr>
          <w:p w14:paraId="32749660" w14:textId="77777777" w:rsidR="00495C65" w:rsidRPr="00C05E8C" w:rsidRDefault="00495C65" w:rsidP="00C05E8C">
            <w:pPr>
              <w:pStyle w:val="13"/>
              <w:spacing w:line="240" w:lineRule="auto"/>
              <w:ind w:firstLineChars="0" w:firstLine="0"/>
              <w:jc w:val="left"/>
              <w:rPr>
                <w:sz w:val="21"/>
                <w:szCs w:val="21"/>
              </w:rPr>
            </w:pPr>
            <w:r w:rsidRPr="00C05E8C">
              <w:rPr>
                <w:sz w:val="21"/>
                <w:szCs w:val="21"/>
              </w:rPr>
              <w:t>对估价对象在估价时点的特定司法鉴定估价目的下的价值进行分析、估算并发表专业意见，是注册房地产估价师的责任；提供必要的资料并保证所提供资料的真实性、合法性、完整性，恰当使用鉴定估价报告是委托方和相关当事方的责任。</w:t>
            </w:r>
          </w:p>
        </w:tc>
      </w:tr>
    </w:tbl>
    <w:p w14:paraId="5704B112" w14:textId="77777777" w:rsidR="0057366E" w:rsidRDefault="0057366E">
      <w:pPr>
        <w:widowControl/>
        <w:jc w:val="left"/>
        <w:rPr>
          <w:rFonts w:ascii="宋体" w:hAnsi="宋体"/>
          <w:b/>
          <w:bCs/>
          <w:sz w:val="24"/>
          <w:szCs w:val="24"/>
        </w:rPr>
      </w:pPr>
      <w:r>
        <w:rPr>
          <w:b/>
          <w:bCs/>
        </w:rPr>
        <w:br w:type="page"/>
      </w:r>
    </w:p>
    <w:p w14:paraId="17E3DFAD" w14:textId="2493D951" w:rsidR="00495C65" w:rsidRPr="004D4ED3" w:rsidRDefault="00495C65" w:rsidP="00495C65">
      <w:pPr>
        <w:pStyle w:val="13"/>
        <w:spacing w:beforeLines="100" w:before="312"/>
        <w:ind w:firstLineChars="0" w:firstLine="0"/>
        <w:jc w:val="center"/>
        <w:rPr>
          <w:b/>
          <w:bCs/>
        </w:rPr>
      </w:pPr>
      <w:r w:rsidRPr="004D4ED3">
        <w:rPr>
          <w:rFonts w:hint="eastAsia"/>
          <w:b/>
          <w:bCs/>
        </w:rPr>
        <w:lastRenderedPageBreak/>
        <w:t>房地产司法鉴定评估（补充或退回）资料交接表</w:t>
      </w:r>
    </w:p>
    <w:p w14:paraId="1C089EAE" w14:textId="77777777" w:rsidR="00495C65" w:rsidRDefault="00495C65" w:rsidP="00495C65">
      <w:pPr>
        <w:pStyle w:val="13"/>
      </w:pPr>
      <w:r>
        <w:rPr>
          <w:rFonts w:hint="eastAsia"/>
        </w:rPr>
        <w:t>移交</w:t>
      </w:r>
      <w:proofErr w:type="gramStart"/>
      <w:r>
        <w:rPr>
          <w:rFonts w:hint="eastAsia"/>
        </w:rPr>
        <w:t>鉴定案</w:t>
      </w:r>
      <w:proofErr w:type="gramEnd"/>
      <w:r>
        <w:rPr>
          <w:rFonts w:hint="eastAsia"/>
        </w:rPr>
        <w:t>号</w:t>
      </w:r>
    </w:p>
    <w:p w14:paraId="11BC40D8" w14:textId="77777777" w:rsidR="00495C65" w:rsidRDefault="00495C65" w:rsidP="00495C65">
      <w:pPr>
        <w:pStyle w:val="13"/>
      </w:pPr>
      <w:r>
        <w:rPr>
          <w:rFonts w:hint="eastAsia"/>
        </w:rPr>
        <w:t>案</w:t>
      </w:r>
      <w:r>
        <w:t xml:space="preserve"> 由</w:t>
      </w:r>
    </w:p>
    <w:p w14:paraId="7E106AD1" w14:textId="77777777" w:rsidR="00495C65" w:rsidRDefault="00495C65" w:rsidP="00495C65">
      <w:pPr>
        <w:pStyle w:val="13"/>
      </w:pPr>
      <w:proofErr w:type="gramStart"/>
      <w:r>
        <w:rPr>
          <w:rFonts w:hint="eastAsia"/>
        </w:rPr>
        <w:t>本次送鉴资料</w:t>
      </w:r>
      <w:proofErr w:type="gramEnd"/>
      <w:r>
        <w:rPr>
          <w:rFonts w:hint="eastAsia"/>
        </w:rPr>
        <w:t>：</w:t>
      </w:r>
    </w:p>
    <w:p w14:paraId="56DED7A6" w14:textId="77777777" w:rsidR="00495C65" w:rsidRDefault="00495C65" w:rsidP="00495C65">
      <w:pPr>
        <w:pStyle w:val="13"/>
      </w:pPr>
      <w:r>
        <w:t>1、案件当事人身份资料：</w:t>
      </w:r>
    </w:p>
    <w:p w14:paraId="3E03E1BB" w14:textId="77777777" w:rsidR="00495C65" w:rsidRDefault="00495C65" w:rsidP="00495C65">
      <w:pPr>
        <w:pStyle w:val="13"/>
      </w:pPr>
      <w:r>
        <w:t>2、估价对象法律权属资料（包括房屋所有权、国有土地使用权等不动产登记资料，抵押权及租约，土地出让合同等）：</w:t>
      </w:r>
    </w:p>
    <w:p w14:paraId="35F7A863" w14:textId="77777777" w:rsidR="00495C65" w:rsidRDefault="00495C65" w:rsidP="00495C65">
      <w:pPr>
        <w:pStyle w:val="13"/>
      </w:pPr>
      <w:r>
        <w:t>3、附着于不动产的装修、设备及其维护情况：</w:t>
      </w:r>
    </w:p>
    <w:p w14:paraId="7903B58E" w14:textId="77777777" w:rsidR="00495C65" w:rsidRDefault="00495C65" w:rsidP="00495C65">
      <w:pPr>
        <w:pStyle w:val="13"/>
      </w:pPr>
      <w:r>
        <w:t>4、关于不动产合法用途、技术经济指标的规划文件：</w:t>
      </w:r>
    </w:p>
    <w:p w14:paraId="1E58EF64" w14:textId="77777777" w:rsidR="00495C65" w:rsidRDefault="00495C65" w:rsidP="00495C65">
      <w:pPr>
        <w:pStyle w:val="13"/>
      </w:pPr>
      <w:r>
        <w:t>5、其他资料（建筑面积测绘报告等）：</w:t>
      </w:r>
    </w:p>
    <w:p w14:paraId="54E48AE5" w14:textId="77777777" w:rsidR="00495C65" w:rsidRPr="004D4ED3" w:rsidRDefault="00495C65" w:rsidP="00495C65">
      <w:pPr>
        <w:pStyle w:val="13"/>
      </w:pPr>
      <w:r>
        <w:rPr>
          <w:rFonts w:hint="eastAsia"/>
        </w:rPr>
        <w:t>受托估价机构审核后认为需要补充的鉴定评估资料</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571"/>
        <w:gridCol w:w="2051"/>
        <w:gridCol w:w="2684"/>
      </w:tblGrid>
      <w:tr w:rsidR="00495C65" w:rsidRPr="00C05E8C" w14:paraId="3C1ED6BB" w14:textId="77777777" w:rsidTr="00226138">
        <w:trPr>
          <w:trHeight w:val="1704"/>
          <w:jc w:val="center"/>
        </w:trPr>
        <w:tc>
          <w:tcPr>
            <w:tcW w:w="1384" w:type="pct"/>
            <w:vAlign w:val="center"/>
          </w:tcPr>
          <w:p w14:paraId="5EB15C8A"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受托估价机构</w:t>
            </w:r>
          </w:p>
          <w:p w14:paraId="553802C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不接受委托的理由</w:t>
            </w:r>
          </w:p>
        </w:tc>
        <w:tc>
          <w:tcPr>
            <w:tcW w:w="3616" w:type="pct"/>
            <w:gridSpan w:val="3"/>
            <w:vAlign w:val="center"/>
          </w:tcPr>
          <w:p w14:paraId="60D08F85" w14:textId="77777777" w:rsidR="00495C65" w:rsidRPr="00C05E8C" w:rsidRDefault="00495C65" w:rsidP="00C05E8C">
            <w:pPr>
              <w:pStyle w:val="13"/>
              <w:spacing w:line="240" w:lineRule="auto"/>
              <w:ind w:firstLineChars="0" w:firstLine="0"/>
              <w:rPr>
                <w:sz w:val="21"/>
                <w:szCs w:val="21"/>
              </w:rPr>
            </w:pPr>
            <w:r w:rsidRPr="00C05E8C">
              <w:rPr>
                <w:sz w:val="21"/>
                <w:szCs w:val="21"/>
              </w:rPr>
              <w:t>认为委托方提供的鉴定评估资料不完整、不充分，委托人补充不齐全的，估价机构放弃接受委托（）；或者估价机构在实施鉴定评估过程当中，基本估价程序不能进行或估价依据缺失（可能估价依据天然缺失，或诉讼当事人不配合导致），导致鉴定评估不能（）。</w:t>
            </w:r>
          </w:p>
        </w:tc>
      </w:tr>
      <w:tr w:rsidR="00495C65" w:rsidRPr="00C05E8C" w14:paraId="0C8007FF" w14:textId="77777777" w:rsidTr="00C05E8C">
        <w:trPr>
          <w:trHeight w:val="558"/>
          <w:jc w:val="center"/>
        </w:trPr>
        <w:tc>
          <w:tcPr>
            <w:tcW w:w="1384" w:type="pct"/>
            <w:vMerge w:val="restart"/>
            <w:vAlign w:val="center"/>
          </w:tcPr>
          <w:p w14:paraId="06208F9D"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法院技术部门</w:t>
            </w:r>
          </w:p>
          <w:p w14:paraId="2A323F0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移送记录</w:t>
            </w:r>
          </w:p>
        </w:tc>
        <w:tc>
          <w:tcPr>
            <w:tcW w:w="901" w:type="pct"/>
            <w:vAlign w:val="center"/>
          </w:tcPr>
          <w:p w14:paraId="64A96DF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移交承办人</w:t>
            </w:r>
          </w:p>
        </w:tc>
        <w:tc>
          <w:tcPr>
            <w:tcW w:w="1176" w:type="pct"/>
            <w:vAlign w:val="center"/>
          </w:tcPr>
          <w:p w14:paraId="52EDCA25"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联系电话</w:t>
            </w:r>
          </w:p>
        </w:tc>
        <w:tc>
          <w:tcPr>
            <w:tcW w:w="1539" w:type="pct"/>
            <w:vAlign w:val="center"/>
          </w:tcPr>
          <w:p w14:paraId="0770C69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交接日期</w:t>
            </w:r>
          </w:p>
        </w:tc>
      </w:tr>
      <w:tr w:rsidR="00495C65" w:rsidRPr="00C05E8C" w14:paraId="1C6E3CE4" w14:textId="77777777" w:rsidTr="00C05E8C">
        <w:trPr>
          <w:trHeight w:val="410"/>
          <w:jc w:val="center"/>
        </w:trPr>
        <w:tc>
          <w:tcPr>
            <w:tcW w:w="1384" w:type="pct"/>
            <w:vMerge/>
            <w:vAlign w:val="center"/>
          </w:tcPr>
          <w:p w14:paraId="26BF7364" w14:textId="77777777" w:rsidR="00495C65" w:rsidRPr="00C05E8C" w:rsidRDefault="00495C65" w:rsidP="00C05E8C">
            <w:pPr>
              <w:pStyle w:val="13"/>
              <w:spacing w:line="240" w:lineRule="auto"/>
              <w:ind w:firstLineChars="0" w:firstLine="0"/>
              <w:jc w:val="center"/>
              <w:rPr>
                <w:sz w:val="21"/>
                <w:szCs w:val="21"/>
              </w:rPr>
            </w:pPr>
          </w:p>
        </w:tc>
        <w:tc>
          <w:tcPr>
            <w:tcW w:w="901" w:type="pct"/>
            <w:vAlign w:val="center"/>
          </w:tcPr>
          <w:p w14:paraId="19BA8E2F" w14:textId="77777777" w:rsidR="00495C65" w:rsidRPr="00C05E8C" w:rsidRDefault="00495C65" w:rsidP="00C05E8C">
            <w:pPr>
              <w:pStyle w:val="13"/>
              <w:spacing w:line="240" w:lineRule="auto"/>
              <w:ind w:firstLineChars="0" w:firstLine="0"/>
              <w:rPr>
                <w:sz w:val="21"/>
                <w:szCs w:val="21"/>
              </w:rPr>
            </w:pPr>
          </w:p>
        </w:tc>
        <w:tc>
          <w:tcPr>
            <w:tcW w:w="1176" w:type="pct"/>
            <w:vAlign w:val="center"/>
          </w:tcPr>
          <w:p w14:paraId="24ED6629" w14:textId="77777777" w:rsidR="00495C65" w:rsidRPr="00C05E8C" w:rsidRDefault="00495C65" w:rsidP="00C05E8C">
            <w:pPr>
              <w:pStyle w:val="13"/>
              <w:spacing w:line="240" w:lineRule="auto"/>
              <w:ind w:firstLineChars="0" w:firstLine="0"/>
              <w:rPr>
                <w:sz w:val="21"/>
                <w:szCs w:val="21"/>
              </w:rPr>
            </w:pPr>
          </w:p>
        </w:tc>
        <w:tc>
          <w:tcPr>
            <w:tcW w:w="1539" w:type="pct"/>
            <w:vAlign w:val="center"/>
          </w:tcPr>
          <w:p w14:paraId="4274F881" w14:textId="77777777" w:rsidR="00495C65" w:rsidRPr="00C05E8C" w:rsidRDefault="00495C65" w:rsidP="00C05E8C">
            <w:pPr>
              <w:pStyle w:val="13"/>
              <w:spacing w:line="240" w:lineRule="auto"/>
              <w:ind w:firstLineChars="0" w:firstLine="0"/>
              <w:rPr>
                <w:sz w:val="21"/>
                <w:szCs w:val="21"/>
              </w:rPr>
            </w:pPr>
          </w:p>
        </w:tc>
      </w:tr>
      <w:tr w:rsidR="00495C65" w:rsidRPr="00C05E8C" w14:paraId="3BEFDB97" w14:textId="77777777" w:rsidTr="00226138">
        <w:trPr>
          <w:trHeight w:val="578"/>
          <w:jc w:val="center"/>
        </w:trPr>
        <w:tc>
          <w:tcPr>
            <w:tcW w:w="1384" w:type="pct"/>
            <w:vMerge w:val="restart"/>
            <w:vAlign w:val="center"/>
          </w:tcPr>
          <w:p w14:paraId="4C22AA01"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受托估价机构</w:t>
            </w:r>
          </w:p>
          <w:p w14:paraId="68E0C486"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接收记录</w:t>
            </w:r>
          </w:p>
        </w:tc>
        <w:tc>
          <w:tcPr>
            <w:tcW w:w="901" w:type="pct"/>
            <w:vAlign w:val="center"/>
          </w:tcPr>
          <w:p w14:paraId="11E0328E"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接收承办人</w:t>
            </w:r>
          </w:p>
        </w:tc>
        <w:tc>
          <w:tcPr>
            <w:tcW w:w="1176" w:type="pct"/>
            <w:vAlign w:val="center"/>
          </w:tcPr>
          <w:p w14:paraId="61003E50"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联系电话</w:t>
            </w:r>
          </w:p>
        </w:tc>
        <w:tc>
          <w:tcPr>
            <w:tcW w:w="1539" w:type="pct"/>
            <w:vAlign w:val="center"/>
          </w:tcPr>
          <w:p w14:paraId="61635CE6"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交接日期</w:t>
            </w:r>
          </w:p>
        </w:tc>
      </w:tr>
      <w:tr w:rsidR="00495C65" w:rsidRPr="00C05E8C" w14:paraId="4205CACE" w14:textId="77777777" w:rsidTr="00C05E8C">
        <w:trPr>
          <w:trHeight w:val="537"/>
          <w:jc w:val="center"/>
        </w:trPr>
        <w:tc>
          <w:tcPr>
            <w:tcW w:w="1384" w:type="pct"/>
            <w:vMerge/>
            <w:vAlign w:val="center"/>
          </w:tcPr>
          <w:p w14:paraId="7BC8093E" w14:textId="77777777" w:rsidR="00495C65" w:rsidRPr="00C05E8C" w:rsidRDefault="00495C65" w:rsidP="00C05E8C">
            <w:pPr>
              <w:pStyle w:val="13"/>
              <w:spacing w:line="240" w:lineRule="auto"/>
              <w:ind w:firstLineChars="0" w:firstLine="0"/>
              <w:jc w:val="center"/>
              <w:rPr>
                <w:sz w:val="21"/>
                <w:szCs w:val="21"/>
              </w:rPr>
            </w:pPr>
          </w:p>
        </w:tc>
        <w:tc>
          <w:tcPr>
            <w:tcW w:w="901" w:type="pct"/>
            <w:vAlign w:val="center"/>
          </w:tcPr>
          <w:p w14:paraId="4417841D" w14:textId="77777777" w:rsidR="00495C65" w:rsidRPr="00C05E8C" w:rsidRDefault="00495C65" w:rsidP="00C05E8C">
            <w:pPr>
              <w:pStyle w:val="13"/>
              <w:spacing w:line="240" w:lineRule="auto"/>
              <w:ind w:firstLineChars="0" w:firstLine="0"/>
              <w:jc w:val="center"/>
              <w:rPr>
                <w:sz w:val="21"/>
                <w:szCs w:val="21"/>
              </w:rPr>
            </w:pPr>
          </w:p>
        </w:tc>
        <w:tc>
          <w:tcPr>
            <w:tcW w:w="1176" w:type="pct"/>
            <w:vAlign w:val="center"/>
          </w:tcPr>
          <w:p w14:paraId="55341849" w14:textId="77777777" w:rsidR="00495C65" w:rsidRPr="00C05E8C" w:rsidRDefault="00495C65" w:rsidP="00C05E8C">
            <w:pPr>
              <w:pStyle w:val="13"/>
              <w:spacing w:line="240" w:lineRule="auto"/>
              <w:ind w:firstLineChars="0" w:firstLine="0"/>
              <w:jc w:val="center"/>
              <w:rPr>
                <w:sz w:val="21"/>
                <w:szCs w:val="21"/>
              </w:rPr>
            </w:pPr>
          </w:p>
        </w:tc>
        <w:tc>
          <w:tcPr>
            <w:tcW w:w="1539" w:type="pct"/>
            <w:vAlign w:val="center"/>
          </w:tcPr>
          <w:p w14:paraId="4A949ADC"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1AAB7503" w14:textId="77777777" w:rsidTr="00C05E8C">
        <w:trPr>
          <w:trHeight w:val="559"/>
          <w:jc w:val="center"/>
        </w:trPr>
        <w:tc>
          <w:tcPr>
            <w:tcW w:w="1384" w:type="pct"/>
            <w:vMerge w:val="restart"/>
            <w:vAlign w:val="center"/>
          </w:tcPr>
          <w:p w14:paraId="7342155A"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受托估价机构</w:t>
            </w:r>
          </w:p>
          <w:p w14:paraId="493A19B4"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退回记录</w:t>
            </w:r>
          </w:p>
        </w:tc>
        <w:tc>
          <w:tcPr>
            <w:tcW w:w="901" w:type="pct"/>
            <w:vAlign w:val="center"/>
          </w:tcPr>
          <w:p w14:paraId="54F8D98B"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退回承办人</w:t>
            </w:r>
          </w:p>
        </w:tc>
        <w:tc>
          <w:tcPr>
            <w:tcW w:w="1176" w:type="pct"/>
            <w:vAlign w:val="center"/>
          </w:tcPr>
          <w:p w14:paraId="69BE8A73"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联系电话</w:t>
            </w:r>
          </w:p>
        </w:tc>
        <w:tc>
          <w:tcPr>
            <w:tcW w:w="1539" w:type="pct"/>
            <w:vAlign w:val="center"/>
          </w:tcPr>
          <w:p w14:paraId="4DD25FA1"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退回日期</w:t>
            </w:r>
          </w:p>
        </w:tc>
      </w:tr>
      <w:tr w:rsidR="00495C65" w:rsidRPr="00C05E8C" w14:paraId="1CE9A928" w14:textId="77777777" w:rsidTr="00C05E8C">
        <w:trPr>
          <w:trHeight w:val="539"/>
          <w:jc w:val="center"/>
        </w:trPr>
        <w:tc>
          <w:tcPr>
            <w:tcW w:w="1384" w:type="pct"/>
            <w:vMerge/>
            <w:vAlign w:val="center"/>
          </w:tcPr>
          <w:p w14:paraId="3EB4BF8B" w14:textId="77777777" w:rsidR="00495C65" w:rsidRPr="00C05E8C" w:rsidRDefault="00495C65" w:rsidP="00C05E8C">
            <w:pPr>
              <w:pStyle w:val="13"/>
              <w:spacing w:line="240" w:lineRule="auto"/>
              <w:ind w:firstLineChars="0" w:firstLine="0"/>
              <w:jc w:val="center"/>
              <w:rPr>
                <w:sz w:val="21"/>
                <w:szCs w:val="21"/>
              </w:rPr>
            </w:pPr>
          </w:p>
        </w:tc>
        <w:tc>
          <w:tcPr>
            <w:tcW w:w="901" w:type="pct"/>
            <w:vAlign w:val="center"/>
          </w:tcPr>
          <w:p w14:paraId="37250DF7" w14:textId="77777777" w:rsidR="00495C65" w:rsidRPr="00C05E8C" w:rsidRDefault="00495C65" w:rsidP="00C05E8C">
            <w:pPr>
              <w:pStyle w:val="13"/>
              <w:spacing w:line="240" w:lineRule="auto"/>
              <w:ind w:firstLineChars="0" w:firstLine="0"/>
              <w:jc w:val="center"/>
              <w:rPr>
                <w:sz w:val="21"/>
                <w:szCs w:val="21"/>
              </w:rPr>
            </w:pPr>
          </w:p>
        </w:tc>
        <w:tc>
          <w:tcPr>
            <w:tcW w:w="1176" w:type="pct"/>
            <w:vAlign w:val="center"/>
          </w:tcPr>
          <w:p w14:paraId="239587BC" w14:textId="77777777" w:rsidR="00495C65" w:rsidRPr="00C05E8C" w:rsidRDefault="00495C65" w:rsidP="00C05E8C">
            <w:pPr>
              <w:pStyle w:val="13"/>
              <w:spacing w:line="240" w:lineRule="auto"/>
              <w:ind w:firstLineChars="0" w:firstLine="0"/>
              <w:jc w:val="center"/>
              <w:rPr>
                <w:sz w:val="21"/>
                <w:szCs w:val="21"/>
              </w:rPr>
            </w:pPr>
          </w:p>
        </w:tc>
        <w:tc>
          <w:tcPr>
            <w:tcW w:w="1539" w:type="pct"/>
            <w:vAlign w:val="center"/>
          </w:tcPr>
          <w:p w14:paraId="3A850A51"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0F92BDED" w14:textId="77777777" w:rsidTr="00226138">
        <w:trPr>
          <w:trHeight w:val="1455"/>
          <w:jc w:val="center"/>
        </w:trPr>
        <w:tc>
          <w:tcPr>
            <w:tcW w:w="1384" w:type="pct"/>
            <w:vAlign w:val="center"/>
          </w:tcPr>
          <w:p w14:paraId="4B0B344E"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备 注</w:t>
            </w:r>
          </w:p>
        </w:tc>
        <w:tc>
          <w:tcPr>
            <w:tcW w:w="3616" w:type="pct"/>
            <w:gridSpan w:val="3"/>
            <w:vAlign w:val="center"/>
          </w:tcPr>
          <w:p w14:paraId="07E266D6" w14:textId="77777777" w:rsidR="00495C65" w:rsidRPr="00C05E8C" w:rsidRDefault="00495C65" w:rsidP="00C05E8C">
            <w:pPr>
              <w:pStyle w:val="13"/>
              <w:spacing w:line="240" w:lineRule="auto"/>
              <w:ind w:firstLineChars="0" w:firstLine="0"/>
              <w:jc w:val="left"/>
              <w:rPr>
                <w:sz w:val="21"/>
                <w:szCs w:val="21"/>
              </w:rPr>
            </w:pPr>
            <w:r w:rsidRPr="00C05E8C">
              <w:rPr>
                <w:sz w:val="21"/>
                <w:szCs w:val="21"/>
              </w:rPr>
              <w:t>本次</w:t>
            </w:r>
            <w:proofErr w:type="gramStart"/>
            <w:r w:rsidRPr="00C05E8C">
              <w:rPr>
                <w:sz w:val="21"/>
                <w:szCs w:val="21"/>
              </w:rPr>
              <w:t>送鉴资料</w:t>
            </w:r>
            <w:proofErr w:type="gramEnd"/>
            <w:r w:rsidRPr="00C05E8C">
              <w:rPr>
                <w:sz w:val="21"/>
                <w:szCs w:val="21"/>
              </w:rPr>
              <w:t>为：</w:t>
            </w:r>
          </w:p>
          <w:p w14:paraId="138FD2B2" w14:textId="77777777" w:rsidR="00495C65" w:rsidRPr="00C05E8C" w:rsidRDefault="00495C65" w:rsidP="00C05E8C">
            <w:pPr>
              <w:pStyle w:val="13"/>
              <w:spacing w:line="240" w:lineRule="auto"/>
              <w:ind w:firstLineChars="0" w:firstLine="0"/>
              <w:rPr>
                <w:sz w:val="21"/>
                <w:szCs w:val="21"/>
              </w:rPr>
            </w:pPr>
            <w:r w:rsidRPr="00C05E8C">
              <w:rPr>
                <w:sz w:val="21"/>
                <w:szCs w:val="21"/>
              </w:rPr>
              <w:t>第一次移送资料（），移送资料日期：××年××月××日；第二次补送资料（），补送资料日期：</w:t>
            </w:r>
            <w:r w:rsidRPr="00C05E8C">
              <w:rPr>
                <w:rFonts w:hint="eastAsia"/>
                <w:sz w:val="21"/>
                <w:szCs w:val="21"/>
              </w:rPr>
              <w:t>××</w:t>
            </w:r>
            <w:r w:rsidRPr="00C05E8C">
              <w:rPr>
                <w:sz w:val="21"/>
                <w:szCs w:val="21"/>
              </w:rPr>
              <w:t>年</w:t>
            </w:r>
            <w:r w:rsidRPr="00C05E8C">
              <w:rPr>
                <w:rFonts w:hint="eastAsia"/>
                <w:sz w:val="21"/>
                <w:szCs w:val="21"/>
              </w:rPr>
              <w:t>××</w:t>
            </w:r>
            <w:r w:rsidRPr="00C05E8C">
              <w:rPr>
                <w:sz w:val="21"/>
                <w:szCs w:val="21"/>
              </w:rPr>
              <w:t>月</w:t>
            </w:r>
            <w:r w:rsidRPr="00C05E8C">
              <w:rPr>
                <w:rFonts w:hint="eastAsia"/>
                <w:sz w:val="21"/>
                <w:szCs w:val="21"/>
              </w:rPr>
              <w:t>××</w:t>
            </w:r>
            <w:r w:rsidRPr="00C05E8C">
              <w:rPr>
                <w:sz w:val="21"/>
                <w:szCs w:val="21"/>
              </w:rPr>
              <w:t>日，第三次移送资料（），补送资料日期：</w:t>
            </w:r>
            <w:r w:rsidRPr="00C05E8C">
              <w:rPr>
                <w:rFonts w:hint="eastAsia"/>
                <w:sz w:val="21"/>
                <w:szCs w:val="21"/>
              </w:rPr>
              <w:t>××年××月××日</w:t>
            </w:r>
            <w:r w:rsidRPr="00C05E8C">
              <w:rPr>
                <w:sz w:val="21"/>
                <w:szCs w:val="21"/>
              </w:rPr>
              <w:t>。</w:t>
            </w:r>
          </w:p>
        </w:tc>
      </w:tr>
    </w:tbl>
    <w:p w14:paraId="18BC9AB4" w14:textId="5C7EC667" w:rsidR="0057366E" w:rsidRDefault="0057366E" w:rsidP="0057366E">
      <w:pPr>
        <w:pStyle w:val="13"/>
      </w:pPr>
    </w:p>
    <w:p w14:paraId="068E4C8A" w14:textId="77777777" w:rsidR="0057366E" w:rsidRDefault="0057366E">
      <w:pPr>
        <w:widowControl/>
        <w:jc w:val="left"/>
        <w:rPr>
          <w:rFonts w:ascii="宋体" w:hAnsi="宋体"/>
          <w:sz w:val="24"/>
          <w:szCs w:val="24"/>
        </w:rPr>
      </w:pPr>
      <w:r>
        <w:br w:type="page"/>
      </w:r>
    </w:p>
    <w:p w14:paraId="0B8CD69D" w14:textId="6A09E5AA" w:rsidR="00495C65" w:rsidRDefault="00495C65" w:rsidP="00495C65">
      <w:pPr>
        <w:pStyle w:val="21"/>
        <w:spacing w:before="156" w:after="93"/>
      </w:pPr>
      <w:bookmarkStart w:id="178" w:name="_Toc81833416"/>
      <w:r>
        <w:rPr>
          <w:rFonts w:hint="eastAsia"/>
        </w:rPr>
        <w:lastRenderedPageBreak/>
        <w:t>河南规范</w:t>
      </w:r>
      <w:bookmarkEnd w:id="178"/>
    </w:p>
    <w:p w14:paraId="3511EA47" w14:textId="77777777" w:rsidR="00495C65" w:rsidRDefault="00495C65" w:rsidP="00495C65">
      <w:pPr>
        <w:pStyle w:val="31"/>
        <w:spacing w:before="156" w:after="62"/>
      </w:pPr>
      <w:bookmarkStart w:id="179" w:name="_Toc81833417"/>
      <w:r>
        <w:rPr>
          <w:rFonts w:hint="eastAsia"/>
        </w:rPr>
        <w:t>河南省房地产司法鉴定估价指导意见（试行）</w:t>
      </w:r>
      <w:bookmarkEnd w:id="179"/>
    </w:p>
    <w:p w14:paraId="0B5563D6" w14:textId="77777777" w:rsidR="00495C65" w:rsidRDefault="00495C65" w:rsidP="00AF7342">
      <w:pPr>
        <w:pStyle w:val="a9"/>
        <w:spacing w:before="62" w:after="62"/>
      </w:pPr>
      <w:r>
        <w:t>第一章 总则</w:t>
      </w:r>
    </w:p>
    <w:p w14:paraId="65E3CB80" w14:textId="1518387E" w:rsidR="00495C65" w:rsidRDefault="004E3EBB" w:rsidP="00495C65">
      <w:pPr>
        <w:pStyle w:val="13"/>
        <w:ind w:firstLine="482"/>
      </w:pPr>
      <w:r w:rsidRPr="004E3EBB">
        <w:rPr>
          <w:rFonts w:hint="eastAsia"/>
          <w:b/>
          <w:bCs/>
        </w:rPr>
        <w:t xml:space="preserve">第一条 </w:t>
      </w:r>
      <w:r w:rsidR="00495C65">
        <w:t>为规范房地产司法鉴定估价行为，保证房地产司法鉴定估价质量，提高房</w:t>
      </w:r>
      <w:r w:rsidR="00495C65">
        <w:rPr>
          <w:rFonts w:hint="eastAsia"/>
        </w:rPr>
        <w:t>地产司法鉴定估价公信力，根据《全国人民代表大会常务委员会关于司法鉴定管理问题的决定》《中华人民共和国物权法》《中华人民共和国城市房地产管理法》《最高人民法院关于人民法院委托评估、拍卖和变卖工作的若干规定》（法释〔</w:t>
      </w:r>
      <w:r w:rsidR="00495C65">
        <w:t>2009〕16号）等有关法律、法规和司法解释，以及《房地产估价规范》（GB/T50291-2015）和《房地产估价基本术语标准》（GB/T50899-2013）的有关规定，制定本意见。</w:t>
      </w:r>
    </w:p>
    <w:p w14:paraId="6F02E7A1" w14:textId="176B4682" w:rsidR="00495C65" w:rsidRDefault="004E3EBB" w:rsidP="00495C65">
      <w:pPr>
        <w:pStyle w:val="13"/>
        <w:ind w:firstLine="482"/>
      </w:pPr>
      <w:r w:rsidRPr="004E3EBB">
        <w:rPr>
          <w:rFonts w:hint="eastAsia"/>
          <w:b/>
          <w:bCs/>
        </w:rPr>
        <w:t xml:space="preserve">第二条 </w:t>
      </w:r>
      <w:r w:rsidR="00495C65">
        <w:t>房地产估价机构和注册房地产估价师从事房地产司法鉴定估价活动，适用本意见。</w:t>
      </w:r>
    </w:p>
    <w:p w14:paraId="5D7D0E89" w14:textId="5398FB25" w:rsidR="00495C65" w:rsidRDefault="004E3EBB" w:rsidP="00495C65">
      <w:pPr>
        <w:pStyle w:val="13"/>
        <w:ind w:firstLine="482"/>
      </w:pPr>
      <w:r w:rsidRPr="004E3EBB">
        <w:rPr>
          <w:rFonts w:hint="eastAsia"/>
          <w:b/>
          <w:bCs/>
        </w:rPr>
        <w:t xml:space="preserve">第三条 </w:t>
      </w:r>
      <w:r w:rsidR="00495C65">
        <w:t>本意见所称房地产司法鉴定估价，是指在诉讼活动中，对诉讼涉及房地产的价值或者价格、价值减损额、相关经济损失等进行分析、测算和判断，并提供相关专业意见的活动。</w:t>
      </w:r>
    </w:p>
    <w:p w14:paraId="21A39223" w14:textId="2309B530" w:rsidR="00495C65" w:rsidRDefault="004E3EBB" w:rsidP="00495C65">
      <w:pPr>
        <w:pStyle w:val="13"/>
        <w:ind w:firstLine="482"/>
      </w:pPr>
      <w:r w:rsidRPr="004E3EBB">
        <w:rPr>
          <w:rFonts w:hint="eastAsia"/>
          <w:b/>
          <w:bCs/>
        </w:rPr>
        <w:t xml:space="preserve">第四条 </w:t>
      </w:r>
      <w:r w:rsidR="00495C65">
        <w:t>房地产估价机构和注册房地产估价师从事房地产司法鉴定估价活动，应当遵守法律、法规、规章，遵守房地产估价标准规范，恪守职业道德。</w:t>
      </w:r>
    </w:p>
    <w:p w14:paraId="1B29FF91" w14:textId="3745DBCD" w:rsidR="00495C65" w:rsidRDefault="004E3EBB" w:rsidP="00495C65">
      <w:pPr>
        <w:pStyle w:val="13"/>
        <w:ind w:firstLine="482"/>
      </w:pPr>
      <w:r w:rsidRPr="004E3EBB">
        <w:rPr>
          <w:rFonts w:hint="eastAsia"/>
          <w:b/>
          <w:bCs/>
        </w:rPr>
        <w:t xml:space="preserve">第五条 </w:t>
      </w:r>
      <w:r w:rsidR="00495C65">
        <w:t>房地产估价机构从事房地产司法鉴定估价活动，应取得相应房地产估价资质，不得超业务范围从事房地产估价活动。</w:t>
      </w:r>
    </w:p>
    <w:p w14:paraId="353E0FA7" w14:textId="5160CC15" w:rsidR="00495C65" w:rsidRDefault="004E3EBB" w:rsidP="00495C65">
      <w:pPr>
        <w:pStyle w:val="13"/>
        <w:ind w:firstLine="482"/>
      </w:pPr>
      <w:r w:rsidRPr="004E3EBB">
        <w:rPr>
          <w:rFonts w:hint="eastAsia"/>
          <w:b/>
          <w:bCs/>
        </w:rPr>
        <w:t xml:space="preserve">第六条 </w:t>
      </w:r>
      <w:r w:rsidR="00495C65">
        <w:t>注册房地产估价师应当根据特定司法鉴定估价目的，对估价对象在价值时点的特定价值或者价格、价值减损额、相关经济损失等进行分析、测算和判断并提供相关专业意见。</w:t>
      </w:r>
    </w:p>
    <w:p w14:paraId="28EB596E" w14:textId="77777777" w:rsidR="00495C65" w:rsidRDefault="00495C65" w:rsidP="00495C65">
      <w:pPr>
        <w:pStyle w:val="13"/>
      </w:pPr>
      <w:r>
        <w:rPr>
          <w:rFonts w:hint="eastAsia"/>
        </w:rPr>
        <w:t>房地产司法鉴定估价委托人（以下简称委托人）和诉讼活动当事人（以下简称当事人）应当提供房地产司法鉴定估价所必要的资料，保证所提供资料的真实性、合法性、完整性，并恰当使用房地产司法鉴定估价报告（以下简称估价报告）。</w:t>
      </w:r>
    </w:p>
    <w:p w14:paraId="67D289AE" w14:textId="3E4F02FB" w:rsidR="00495C65" w:rsidRDefault="004E3EBB" w:rsidP="00495C65">
      <w:pPr>
        <w:pStyle w:val="13"/>
        <w:ind w:firstLine="482"/>
      </w:pPr>
      <w:r w:rsidRPr="004E3EBB">
        <w:rPr>
          <w:rFonts w:hint="eastAsia"/>
          <w:b/>
          <w:bCs/>
        </w:rPr>
        <w:t xml:space="preserve">第七条 </w:t>
      </w:r>
      <w:r w:rsidR="00495C65">
        <w:t>注册房地产估价师应当对委托人移交的当事人提供的估价资料的真实性、合法性、完整性履行符合法律法规、房地产估价标准规范所要求的审慎检查、尽职调查程序。</w:t>
      </w:r>
    </w:p>
    <w:p w14:paraId="12F8C54F" w14:textId="6C4CFA64" w:rsidR="00495C65" w:rsidRDefault="004E3EBB" w:rsidP="00495C65">
      <w:pPr>
        <w:pStyle w:val="13"/>
        <w:ind w:firstLine="482"/>
      </w:pPr>
      <w:r w:rsidRPr="004E3EBB">
        <w:rPr>
          <w:rFonts w:hint="eastAsia"/>
          <w:b/>
          <w:bCs/>
        </w:rPr>
        <w:t xml:space="preserve">第八条 </w:t>
      </w:r>
      <w:r w:rsidR="00495C65">
        <w:t>从事房地产司法鉴定估价的注册房地产估价师，经人民法院依法通知，应当出庭就其估价活动及估价报告，接受法官和当事人的询问，回答与估价事项有关的问题。</w:t>
      </w:r>
    </w:p>
    <w:p w14:paraId="6CB62D28" w14:textId="2258DBBF" w:rsidR="00495C65" w:rsidRDefault="00E05BDA" w:rsidP="00495C65">
      <w:pPr>
        <w:pStyle w:val="13"/>
        <w:ind w:firstLine="482"/>
      </w:pPr>
      <w:r w:rsidRPr="00E05BDA">
        <w:rPr>
          <w:rFonts w:hint="eastAsia"/>
          <w:b/>
          <w:bCs/>
        </w:rPr>
        <w:t xml:space="preserve">第九条 </w:t>
      </w:r>
      <w:r w:rsidR="00495C65">
        <w:t>房地产估价机构和注册房地产估价师应当保守在执业活动中知悉的国家秘密、商业秘密，不得泄露个人隐私。</w:t>
      </w:r>
    </w:p>
    <w:p w14:paraId="23EF3FFC" w14:textId="77777777" w:rsidR="00495C65" w:rsidRDefault="00495C65" w:rsidP="00495C65">
      <w:pPr>
        <w:pStyle w:val="13"/>
      </w:pPr>
      <w:r>
        <w:rPr>
          <w:rFonts w:hint="eastAsia"/>
        </w:rPr>
        <w:t>未经委托人同意，不得向其他个人或者组织提供与估价事项有关的信息，但法</w:t>
      </w:r>
      <w:r>
        <w:rPr>
          <w:rFonts w:hint="eastAsia"/>
        </w:rPr>
        <w:lastRenderedPageBreak/>
        <w:t>律、法规另有规定的除外。</w:t>
      </w:r>
    </w:p>
    <w:p w14:paraId="2C76621E" w14:textId="225CD16D" w:rsidR="00495C65" w:rsidRDefault="00E05BDA" w:rsidP="00495C65">
      <w:pPr>
        <w:pStyle w:val="13"/>
        <w:ind w:firstLine="482"/>
      </w:pPr>
      <w:r w:rsidRPr="00E05BDA">
        <w:rPr>
          <w:rFonts w:hint="eastAsia"/>
          <w:b/>
          <w:bCs/>
        </w:rPr>
        <w:t xml:space="preserve">第十条 </w:t>
      </w:r>
      <w:r w:rsidR="00495C65">
        <w:t>房地产估价机构、注册房地产估价师与房地产司法鉴定估价涉及的当事人有利害关系或者是当事人，以及存在其他可能影响独立、公正情形的，应当回避。</w:t>
      </w:r>
    </w:p>
    <w:p w14:paraId="549EDBE2" w14:textId="49E24BDB" w:rsidR="00495C65" w:rsidRDefault="00E05BDA" w:rsidP="00495C65">
      <w:pPr>
        <w:pStyle w:val="13"/>
        <w:ind w:firstLine="482"/>
      </w:pPr>
      <w:r w:rsidRPr="00E05BDA">
        <w:rPr>
          <w:rFonts w:hint="eastAsia"/>
          <w:b/>
          <w:bCs/>
        </w:rPr>
        <w:t xml:space="preserve">第十一条 </w:t>
      </w:r>
      <w:r w:rsidR="00495C65">
        <w:t>房地产司法鉴定估价实行房地产估价机构和注册房地产估价师负责制度。注册房地产估价师应当依法独立、客观、公正地进行房地产司法鉴定估价，并对签</w:t>
      </w:r>
      <w:r w:rsidR="00495C65">
        <w:rPr>
          <w:rFonts w:hint="eastAsia"/>
        </w:rPr>
        <w:t>署的估价报告负责。</w:t>
      </w:r>
    </w:p>
    <w:p w14:paraId="6D6655C6" w14:textId="77777777" w:rsidR="00495C65" w:rsidRDefault="00495C65" w:rsidP="00AF7342">
      <w:pPr>
        <w:pStyle w:val="a9"/>
        <w:spacing w:before="62" w:after="62"/>
      </w:pPr>
      <w:r>
        <w:rPr>
          <w:rFonts w:hint="eastAsia"/>
        </w:rPr>
        <w:t>第二章</w:t>
      </w:r>
      <w:r>
        <w:t xml:space="preserve"> 房地产司法鉴定估价程序</w:t>
      </w:r>
    </w:p>
    <w:p w14:paraId="09F5839F" w14:textId="02CBC647" w:rsidR="00495C65" w:rsidRDefault="00E05BDA" w:rsidP="00495C65">
      <w:pPr>
        <w:pStyle w:val="13"/>
        <w:ind w:firstLine="482"/>
      </w:pPr>
      <w:r w:rsidRPr="00E05BDA">
        <w:rPr>
          <w:rFonts w:hint="eastAsia"/>
          <w:b/>
          <w:bCs/>
        </w:rPr>
        <w:t xml:space="preserve">第十二条 </w:t>
      </w:r>
      <w:r w:rsidR="00495C65">
        <w:t>同一房地产司法鉴定估价项目，应当委托一家房地产估价机构完成估价工作。</w:t>
      </w:r>
    </w:p>
    <w:p w14:paraId="2AC71373" w14:textId="7B778D24" w:rsidR="00495C65" w:rsidRDefault="00E05BDA" w:rsidP="00495C65">
      <w:pPr>
        <w:pStyle w:val="13"/>
        <w:ind w:firstLine="482"/>
      </w:pPr>
      <w:r w:rsidRPr="00E05BDA">
        <w:rPr>
          <w:rFonts w:hint="eastAsia"/>
          <w:b/>
          <w:bCs/>
        </w:rPr>
        <w:t xml:space="preserve">第十三条 </w:t>
      </w:r>
      <w:r w:rsidR="00495C65">
        <w:t>房地产估价机构应当在受理估价委托前，明确估价基本事项，并可以通过人民法院交由当事人签收《房地产司法鉴定估价风险告知书》，使当事人全面知悉估价基本事项以及应当履行的配合义务和不履行该义务可能承担的不利后果。</w:t>
      </w:r>
    </w:p>
    <w:p w14:paraId="3241EE75" w14:textId="575053C0" w:rsidR="00495C65" w:rsidRDefault="00E05BDA" w:rsidP="00495C65">
      <w:pPr>
        <w:pStyle w:val="13"/>
        <w:ind w:firstLine="482"/>
      </w:pPr>
      <w:r w:rsidRPr="00E05BDA">
        <w:rPr>
          <w:rFonts w:hint="eastAsia"/>
          <w:b/>
          <w:bCs/>
        </w:rPr>
        <w:t xml:space="preserve">第十四条 </w:t>
      </w:r>
      <w:r w:rsidR="00495C65">
        <w:t>存在估价对象灭失或者隐蔽工程图纸缺失，估价对象的所有人、占有方拒绝或者不配合注册房地产估价师的估价工作等估价依据不足情形的，房地产估价机构可以报请人民法院终止房地产司法鉴定估价委托。</w:t>
      </w:r>
    </w:p>
    <w:p w14:paraId="2665C384" w14:textId="5FA8C10D" w:rsidR="00495C65" w:rsidRDefault="00E05BDA" w:rsidP="00495C65">
      <w:pPr>
        <w:pStyle w:val="13"/>
        <w:ind w:firstLine="482"/>
      </w:pPr>
      <w:r w:rsidRPr="00E05BDA">
        <w:rPr>
          <w:rFonts w:hint="eastAsia"/>
          <w:b/>
          <w:bCs/>
        </w:rPr>
        <w:t xml:space="preserve">第十五条 </w:t>
      </w:r>
      <w:r w:rsidR="00495C65">
        <w:t>在估价依据不足而当事人坚持申请估价或者人民法院认为必须估价的，房地产估价机构应当将估价风险书面告知委托人。房地产估价机构在上述情形下接受委托并开展估价工作，当事人不应对估价工作在估价依据方面的固有瑕疵提出质疑，也不得因此对房地产估价机构和注册房地产估价师提出估价不当的指控，当事人应当承担估价结果可能带来的法律后果。</w:t>
      </w:r>
    </w:p>
    <w:p w14:paraId="290A5D98" w14:textId="5B070BCB" w:rsidR="00495C65" w:rsidRDefault="00E05BDA" w:rsidP="00495C65">
      <w:pPr>
        <w:pStyle w:val="13"/>
        <w:ind w:firstLine="482"/>
      </w:pPr>
      <w:r w:rsidRPr="00E05BDA">
        <w:rPr>
          <w:rFonts w:hint="eastAsia"/>
          <w:b/>
          <w:bCs/>
        </w:rPr>
        <w:t xml:space="preserve">第十六条 </w:t>
      </w:r>
      <w:r w:rsidR="00495C65">
        <w:t>房地产估价机构开展房地产司法鉴定估价业务，应当取得委托人出具的房地产司法鉴定估价委托书。委托人提供的《房地产司法鉴定估价委托书》《房地产司法鉴定估价资料交接表》《房地产司法鉴定估价资料质证情况记录》，应当作为估价报告的附件。</w:t>
      </w:r>
    </w:p>
    <w:p w14:paraId="0DB5645E" w14:textId="6AEF6E85" w:rsidR="00495C65" w:rsidRDefault="00E05BDA" w:rsidP="00495C65">
      <w:pPr>
        <w:pStyle w:val="13"/>
        <w:ind w:firstLine="482"/>
      </w:pPr>
      <w:r w:rsidRPr="00E05BDA">
        <w:rPr>
          <w:rFonts w:hint="eastAsia"/>
          <w:b/>
          <w:bCs/>
        </w:rPr>
        <w:t xml:space="preserve">第十七条 </w:t>
      </w:r>
      <w:r w:rsidR="00495C65">
        <w:t>房地产司法鉴定估价委托书应当载明下列内容：</w:t>
      </w:r>
    </w:p>
    <w:p w14:paraId="02D81CF4" w14:textId="77777777" w:rsidR="00495C65" w:rsidRDefault="00495C65" w:rsidP="00495C65">
      <w:pPr>
        <w:pStyle w:val="13"/>
      </w:pPr>
      <w:r>
        <w:rPr>
          <w:rFonts w:hint="eastAsia"/>
        </w:rPr>
        <w:t>（一）委托人名称或者姓名；</w:t>
      </w:r>
    </w:p>
    <w:p w14:paraId="37DB75F6" w14:textId="77777777" w:rsidR="00495C65" w:rsidRDefault="00495C65" w:rsidP="00495C65">
      <w:pPr>
        <w:pStyle w:val="13"/>
      </w:pPr>
      <w:r>
        <w:rPr>
          <w:rFonts w:hint="eastAsia"/>
        </w:rPr>
        <w:t>（二）受托的房地产估价机构名称；</w:t>
      </w:r>
    </w:p>
    <w:p w14:paraId="7949367B" w14:textId="77777777" w:rsidR="00495C65" w:rsidRDefault="00495C65" w:rsidP="00495C65">
      <w:pPr>
        <w:pStyle w:val="13"/>
      </w:pPr>
      <w:r>
        <w:rPr>
          <w:rFonts w:hint="eastAsia"/>
        </w:rPr>
        <w:t>（三）委托日期；</w:t>
      </w:r>
    </w:p>
    <w:p w14:paraId="08BC14E8" w14:textId="77777777" w:rsidR="00495C65" w:rsidRDefault="00495C65" w:rsidP="00495C65">
      <w:pPr>
        <w:pStyle w:val="13"/>
      </w:pPr>
      <w:r>
        <w:rPr>
          <w:rFonts w:hint="eastAsia"/>
        </w:rPr>
        <w:t>（四）简要案情及承办人姓名和联系电话；</w:t>
      </w:r>
    </w:p>
    <w:p w14:paraId="327AC473" w14:textId="77777777" w:rsidR="00495C65" w:rsidRDefault="00495C65" w:rsidP="00495C65">
      <w:pPr>
        <w:pStyle w:val="13"/>
      </w:pPr>
      <w:r>
        <w:rPr>
          <w:rFonts w:hint="eastAsia"/>
        </w:rPr>
        <w:t>（五）诉讼活动当事人名称或者姓名及其联系方式；</w:t>
      </w:r>
    </w:p>
    <w:p w14:paraId="2ACF4426" w14:textId="77777777" w:rsidR="00495C65" w:rsidRDefault="00495C65" w:rsidP="00495C65">
      <w:pPr>
        <w:pStyle w:val="13"/>
      </w:pPr>
      <w:r>
        <w:rPr>
          <w:rFonts w:hint="eastAsia"/>
        </w:rPr>
        <w:t>（六）诉讼活动当事人签收《房地产司法鉴定估价风险告知书》记录；</w:t>
      </w:r>
    </w:p>
    <w:p w14:paraId="6C762D82" w14:textId="77777777" w:rsidR="00495C65" w:rsidRPr="00CE0537" w:rsidRDefault="00495C65" w:rsidP="00495C65">
      <w:pPr>
        <w:pStyle w:val="13"/>
      </w:pPr>
      <w:r w:rsidRPr="00CE0537">
        <w:rPr>
          <w:rFonts w:hint="eastAsia"/>
        </w:rPr>
        <w:t>（七）既往司法鉴定估价情况；</w:t>
      </w:r>
    </w:p>
    <w:p w14:paraId="0CBCCDEA" w14:textId="77777777" w:rsidR="00495C65" w:rsidRPr="00CE0537" w:rsidRDefault="00495C65" w:rsidP="00495C65">
      <w:pPr>
        <w:pStyle w:val="13"/>
      </w:pPr>
      <w:r w:rsidRPr="00CE0537">
        <w:rPr>
          <w:rFonts w:hint="eastAsia"/>
        </w:rPr>
        <w:t>（八）估价基本事项，包含估价目的、价值时点、估价对象（包括实物状况和权属瑕疵、租赁权和用益物</w:t>
      </w:r>
      <w:proofErr w:type="gramStart"/>
      <w:r w:rsidRPr="00CE0537">
        <w:rPr>
          <w:rFonts w:hint="eastAsia"/>
        </w:rPr>
        <w:t>权设立</w:t>
      </w:r>
      <w:proofErr w:type="gramEnd"/>
      <w:r w:rsidRPr="00CE0537">
        <w:rPr>
          <w:rFonts w:hint="eastAsia"/>
        </w:rPr>
        <w:t>情况等权益状况）等。</w:t>
      </w:r>
    </w:p>
    <w:p w14:paraId="42343CE2" w14:textId="77777777" w:rsidR="00495C65" w:rsidRPr="00CE0537" w:rsidRDefault="00495C65" w:rsidP="00495C65">
      <w:pPr>
        <w:pStyle w:val="13"/>
      </w:pPr>
      <w:r w:rsidRPr="00CE0537">
        <w:rPr>
          <w:rFonts w:hint="eastAsia"/>
        </w:rPr>
        <w:lastRenderedPageBreak/>
        <w:t>（见房地产司法鉴定估价委托书推荐文本）</w:t>
      </w:r>
    </w:p>
    <w:p w14:paraId="691090C0" w14:textId="5810A7D0" w:rsidR="00495C65" w:rsidRPr="00CE0537" w:rsidRDefault="00E05BDA" w:rsidP="00495C65">
      <w:pPr>
        <w:pStyle w:val="13"/>
        <w:ind w:firstLine="482"/>
      </w:pPr>
      <w:r w:rsidRPr="00E05BDA">
        <w:rPr>
          <w:rFonts w:hint="eastAsia"/>
          <w:b/>
          <w:bCs/>
        </w:rPr>
        <w:t xml:space="preserve">第十八条 </w:t>
      </w:r>
      <w:r w:rsidR="00495C65" w:rsidRPr="00CE0537">
        <w:t>房地产估价机构应当与委托人就房地产司法鉴定估价委托书附表沟通协商，通常载明下列内容：</w:t>
      </w:r>
    </w:p>
    <w:p w14:paraId="3B8E101C" w14:textId="77777777" w:rsidR="00495C65" w:rsidRPr="00CE0537" w:rsidRDefault="00495C65" w:rsidP="00495C65">
      <w:pPr>
        <w:pStyle w:val="13"/>
      </w:pPr>
      <w:r w:rsidRPr="00CE0537">
        <w:rPr>
          <w:rFonts w:hint="eastAsia"/>
        </w:rPr>
        <w:t>（一）估价资料移送日期；</w:t>
      </w:r>
    </w:p>
    <w:p w14:paraId="540CCD66" w14:textId="77777777" w:rsidR="00495C65" w:rsidRPr="00CE0537" w:rsidRDefault="00495C65" w:rsidP="00495C65">
      <w:pPr>
        <w:pStyle w:val="13"/>
      </w:pPr>
      <w:r w:rsidRPr="00CE0537">
        <w:rPr>
          <w:rFonts w:hint="eastAsia"/>
        </w:rPr>
        <w:t>（二）估价对象范围；</w:t>
      </w:r>
    </w:p>
    <w:p w14:paraId="0A30A9FC" w14:textId="77777777" w:rsidR="00495C65" w:rsidRPr="00CE0537" w:rsidRDefault="00495C65" w:rsidP="00495C65">
      <w:pPr>
        <w:pStyle w:val="13"/>
      </w:pPr>
      <w:r w:rsidRPr="00CE0537">
        <w:rPr>
          <w:rFonts w:hint="eastAsia"/>
        </w:rPr>
        <w:t>（三）价值类型；</w:t>
      </w:r>
    </w:p>
    <w:p w14:paraId="07F5D98E" w14:textId="77777777" w:rsidR="00495C65" w:rsidRPr="00CE0537" w:rsidRDefault="00495C65" w:rsidP="00495C65">
      <w:pPr>
        <w:pStyle w:val="13"/>
      </w:pPr>
      <w:r w:rsidRPr="00CE0537">
        <w:rPr>
          <w:rFonts w:hint="eastAsia"/>
        </w:rPr>
        <w:t>（四）估价报告提交期限和方式；</w:t>
      </w:r>
    </w:p>
    <w:p w14:paraId="7DA7C81E" w14:textId="77777777" w:rsidR="00495C65" w:rsidRPr="00CE0537" w:rsidRDefault="00495C65" w:rsidP="00495C65">
      <w:pPr>
        <w:pStyle w:val="13"/>
      </w:pPr>
      <w:r w:rsidRPr="00CE0537">
        <w:rPr>
          <w:rFonts w:hint="eastAsia"/>
        </w:rPr>
        <w:t>（五）估价报告使用者；</w:t>
      </w:r>
    </w:p>
    <w:p w14:paraId="28B51532" w14:textId="77777777" w:rsidR="00495C65" w:rsidRDefault="00495C65" w:rsidP="00495C65">
      <w:pPr>
        <w:pStyle w:val="13"/>
      </w:pPr>
      <w:r>
        <w:rPr>
          <w:rFonts w:hint="eastAsia"/>
        </w:rPr>
        <w:t>（六）估价服务费用及其支付方式；</w:t>
      </w:r>
    </w:p>
    <w:p w14:paraId="45FAE107" w14:textId="77777777" w:rsidR="00495C65" w:rsidRDefault="00495C65" w:rsidP="00495C65">
      <w:pPr>
        <w:pStyle w:val="13"/>
      </w:pPr>
      <w:r>
        <w:rPr>
          <w:rFonts w:hint="eastAsia"/>
        </w:rPr>
        <w:t>（七）既往司法鉴定估价报告；</w:t>
      </w:r>
    </w:p>
    <w:p w14:paraId="4497966B" w14:textId="77777777" w:rsidR="00495C65" w:rsidRDefault="00495C65" w:rsidP="00495C65">
      <w:pPr>
        <w:pStyle w:val="13"/>
      </w:pPr>
      <w:r>
        <w:rPr>
          <w:rFonts w:hint="eastAsia"/>
        </w:rPr>
        <w:t>（八）受托房地产估价机构的其他义务、受托记录。</w:t>
      </w:r>
    </w:p>
    <w:p w14:paraId="06726EA7" w14:textId="77777777" w:rsidR="00495C65" w:rsidRDefault="00495C65" w:rsidP="00495C65">
      <w:pPr>
        <w:pStyle w:val="13"/>
      </w:pPr>
      <w:r>
        <w:rPr>
          <w:rFonts w:hint="eastAsia"/>
        </w:rPr>
        <w:t>（见房地产司法鉴定估价委托书附表推荐文本）</w:t>
      </w:r>
    </w:p>
    <w:p w14:paraId="6F0B9FBB" w14:textId="4F36400F" w:rsidR="00495C65" w:rsidRDefault="00E05BDA" w:rsidP="00495C65">
      <w:pPr>
        <w:pStyle w:val="13"/>
        <w:ind w:firstLine="482"/>
      </w:pPr>
      <w:r w:rsidRPr="00E05BDA">
        <w:rPr>
          <w:rFonts w:hint="eastAsia"/>
          <w:b/>
          <w:bCs/>
        </w:rPr>
        <w:t xml:space="preserve">第十九条 </w:t>
      </w:r>
      <w:r w:rsidR="00495C65">
        <w:t>房地产估价机构认为需要补充估价资料或者退回估价委托的，应当向委托人出具估价补充（退回）资料交接表，载明房地产估价机构认为需要补充的估价资料清单或者不受理估价委托的理由。</w:t>
      </w:r>
    </w:p>
    <w:p w14:paraId="2BFBC970" w14:textId="77777777" w:rsidR="00495C65" w:rsidRDefault="00495C65" w:rsidP="00495C65">
      <w:pPr>
        <w:pStyle w:val="13"/>
      </w:pPr>
      <w:r>
        <w:rPr>
          <w:rFonts w:hint="eastAsia"/>
        </w:rPr>
        <w:t>对委托人移交的估价资料，房地产估价机构应当区分经当事人质证、人民法院认定的估价资料，以及需要注册房地产估价师调查核实的资料。房地产估价机构认为需要人民法院依职权调查取得有关估价依据的，应当向人民法院书面提出，并将人民法院依职权调查核实的估价资料作为估价依据。</w:t>
      </w:r>
    </w:p>
    <w:p w14:paraId="756B94F1" w14:textId="5C992F30" w:rsidR="00495C65" w:rsidRDefault="00E05BDA" w:rsidP="00495C65">
      <w:pPr>
        <w:pStyle w:val="13"/>
        <w:ind w:firstLine="482"/>
      </w:pPr>
      <w:r w:rsidRPr="00E05BDA">
        <w:rPr>
          <w:rFonts w:hint="eastAsia"/>
          <w:b/>
          <w:bCs/>
        </w:rPr>
        <w:t xml:space="preserve">第二十条 </w:t>
      </w:r>
      <w:r w:rsidR="00495C65">
        <w:t>房地产估价机构应当取得估价对象的权益状况和实物状况资料，包括估价对象的不动产权属资料，查封、预查封、抵押权设立、租赁权设立、用益物</w:t>
      </w:r>
      <w:proofErr w:type="gramStart"/>
      <w:r w:rsidR="00495C65">
        <w:t>权设立</w:t>
      </w:r>
      <w:proofErr w:type="gramEnd"/>
      <w:r w:rsidR="00495C65">
        <w:t>以</w:t>
      </w:r>
      <w:r w:rsidR="00495C65">
        <w:rPr>
          <w:rFonts w:hint="eastAsia"/>
        </w:rPr>
        <w:t>及装饰装修情况说明等。</w:t>
      </w:r>
    </w:p>
    <w:p w14:paraId="3B3DD7CA" w14:textId="77777777" w:rsidR="00495C65" w:rsidRDefault="00495C65" w:rsidP="00495C65">
      <w:pPr>
        <w:pStyle w:val="13"/>
      </w:pPr>
      <w:r>
        <w:rPr>
          <w:rFonts w:hint="eastAsia"/>
        </w:rPr>
        <w:t>估价对象为在建工程的，委托人还应当提供项目的有关用地、规划、施工许可文件，</w:t>
      </w:r>
      <w:r>
        <w:t>施工图设计文件，造价咨询文件，预售批准文件和拖欠工程款等资料。</w:t>
      </w:r>
    </w:p>
    <w:p w14:paraId="4E8C2C22" w14:textId="1471FAE2" w:rsidR="00495C65" w:rsidRDefault="00E05BDA" w:rsidP="00495C65">
      <w:pPr>
        <w:pStyle w:val="13"/>
        <w:ind w:firstLine="482"/>
      </w:pPr>
      <w:r w:rsidRPr="00E05BDA">
        <w:rPr>
          <w:rFonts w:hint="eastAsia"/>
          <w:b/>
          <w:bCs/>
        </w:rPr>
        <w:t xml:space="preserve">第二十一条 </w:t>
      </w:r>
      <w:r w:rsidR="00495C65">
        <w:t>注册房地产估价师在开展房地产司法鉴定估价过程中，估价依据需要当事人双方认可的，可以申请人民法院就有关估价依据组织当事人进行质证认可后，采纳为估价依据。</w:t>
      </w:r>
    </w:p>
    <w:p w14:paraId="728606B0" w14:textId="52819362" w:rsidR="00495C65" w:rsidRDefault="00E05BDA" w:rsidP="00495C65">
      <w:pPr>
        <w:pStyle w:val="13"/>
        <w:ind w:firstLine="482"/>
      </w:pPr>
      <w:r w:rsidRPr="00E05BDA">
        <w:rPr>
          <w:rFonts w:hint="eastAsia"/>
          <w:b/>
          <w:bCs/>
        </w:rPr>
        <w:t xml:space="preserve">第二十二条 </w:t>
      </w:r>
      <w:r w:rsidR="00495C65">
        <w:t>房地产估价机构受理估价委托后，在进行实地查勘前，可以通过人民法院要求当事人按照约定预交估价费用，作为从事估价活动的必要保证。</w:t>
      </w:r>
    </w:p>
    <w:p w14:paraId="1ABB9530" w14:textId="072C2B28" w:rsidR="00495C65" w:rsidRDefault="00E05BDA" w:rsidP="00495C65">
      <w:pPr>
        <w:pStyle w:val="13"/>
        <w:ind w:firstLine="482"/>
      </w:pPr>
      <w:r w:rsidRPr="00E05BDA">
        <w:rPr>
          <w:rFonts w:hint="eastAsia"/>
          <w:b/>
          <w:bCs/>
        </w:rPr>
        <w:t xml:space="preserve">第二十三条 </w:t>
      </w:r>
      <w:r w:rsidR="00495C65">
        <w:t>注册房地产估价师应当对估价对象进行实地查勘，将估价对象现状与相关权属证明资料上记载的内容逐一进行对照，全面、细致地了解估价对象，拍摄、制作能够反映估价对象内部状况、外部状况和周围环境状况的照片等影像资料，做好实地查勘记录，作为估价报告的附件。</w:t>
      </w:r>
    </w:p>
    <w:p w14:paraId="295700AC" w14:textId="77777777" w:rsidR="00495C65" w:rsidRDefault="00495C65" w:rsidP="00495C65">
      <w:pPr>
        <w:pStyle w:val="13"/>
      </w:pPr>
      <w:r>
        <w:rPr>
          <w:rFonts w:hint="eastAsia"/>
        </w:rPr>
        <w:t>因房地产占有人拒绝注册房地产估价师进入估价对象内部进行实地查勘，或估</w:t>
      </w:r>
      <w:r>
        <w:rPr>
          <w:rFonts w:hint="eastAsia"/>
        </w:rPr>
        <w:lastRenderedPageBreak/>
        <w:t>价对象涉及国家秘密，注册房地产估价师不得进入其内部进行实地查勘的，经与委托人沟通同意后，可以就与估价对象除装饰装修状况不一致外的其他相同类型的房地产进行实地查勘，并对估价对象的装饰装修状况在委托书中明确或者合理假定后进行估价，但在估价报告中应当予以说明。</w:t>
      </w:r>
    </w:p>
    <w:p w14:paraId="09C17CBC" w14:textId="77777777" w:rsidR="00495C65" w:rsidRDefault="00495C65" w:rsidP="00495C65">
      <w:pPr>
        <w:pStyle w:val="13"/>
      </w:pPr>
      <w:r>
        <w:rPr>
          <w:rFonts w:hint="eastAsia"/>
        </w:rPr>
        <w:t>估价对象实地查勘记录应当由实施实地查勘的注册房地产估价师、在场人民法院工作人员和当事人或者代理人签名，当事人或者代理人拒绝签名的，应当予以记录。</w:t>
      </w:r>
    </w:p>
    <w:p w14:paraId="5EDAFF41" w14:textId="261EE564" w:rsidR="00495C65" w:rsidRDefault="00E05BDA" w:rsidP="00495C65">
      <w:pPr>
        <w:pStyle w:val="13"/>
        <w:ind w:firstLine="482"/>
      </w:pPr>
      <w:r w:rsidRPr="00E05BDA">
        <w:rPr>
          <w:rFonts w:hint="eastAsia"/>
          <w:b/>
          <w:bCs/>
        </w:rPr>
        <w:t xml:space="preserve">第二十四条 </w:t>
      </w:r>
      <w:r w:rsidR="00495C65">
        <w:t>房地产司法鉴定估价实地查勘工作完成后，当事人提出新的估价资料而未经人民法院认定并移交的，注册房地产估价师可以不予采纳，但除有证据证明实地查勘有错误外。</w:t>
      </w:r>
    </w:p>
    <w:p w14:paraId="127F3AFB" w14:textId="74A28020" w:rsidR="00495C65" w:rsidRDefault="00E05BDA" w:rsidP="00495C65">
      <w:pPr>
        <w:pStyle w:val="13"/>
        <w:ind w:firstLine="482"/>
      </w:pPr>
      <w:r w:rsidRPr="00E05BDA">
        <w:rPr>
          <w:rFonts w:hint="eastAsia"/>
          <w:b/>
          <w:bCs/>
        </w:rPr>
        <w:t xml:space="preserve">第二十五条 </w:t>
      </w:r>
      <w:r w:rsidR="00495C65">
        <w:t>房地产估价机构应当在委托书载明的估价期限内完成估价工作，并出具估价报告。委托书中未载明估价期限的，应当在法律、行政法规或者部门规章规定的期限内完成。房地产估价机构在估价期限内不能完成估价的，应当书面向委托人说明理由并申请延期。</w:t>
      </w:r>
    </w:p>
    <w:p w14:paraId="360664E8" w14:textId="2158AACC" w:rsidR="00495C65" w:rsidRDefault="00E05BDA" w:rsidP="00495C65">
      <w:pPr>
        <w:pStyle w:val="13"/>
        <w:ind w:firstLine="482"/>
      </w:pPr>
      <w:r w:rsidRPr="00E05BDA">
        <w:rPr>
          <w:rFonts w:hint="eastAsia"/>
          <w:b/>
          <w:bCs/>
        </w:rPr>
        <w:t xml:space="preserve">第二十六条 </w:t>
      </w:r>
      <w:r w:rsidR="00495C65">
        <w:t>房地产估价机构完成估价后，应当及时将估价报告交付委托人。当事人或者其他利害关系人对估价报告有异议的，应当通过人民法院向房地产估价机构转交</w:t>
      </w:r>
      <w:r w:rsidR="00495C65">
        <w:rPr>
          <w:rFonts w:hint="eastAsia"/>
        </w:rPr>
        <w:t>书面意见。房地产估价机构收到该书面意见后，应当对异议问题予以解释和答复。</w:t>
      </w:r>
    </w:p>
    <w:p w14:paraId="2E59FB30" w14:textId="77777777" w:rsidR="00495C65" w:rsidRDefault="00495C65" w:rsidP="00495C65">
      <w:pPr>
        <w:pStyle w:val="13"/>
      </w:pPr>
      <w:r>
        <w:rPr>
          <w:rFonts w:hint="eastAsia"/>
        </w:rPr>
        <w:t>委托人要求进行听证的，房地产估价机构应当配合。</w:t>
      </w:r>
    </w:p>
    <w:p w14:paraId="4D063149" w14:textId="0B6D8DE4" w:rsidR="00495C65" w:rsidRDefault="00E05BDA" w:rsidP="00495C65">
      <w:pPr>
        <w:pStyle w:val="13"/>
        <w:ind w:firstLine="482"/>
      </w:pPr>
      <w:r w:rsidRPr="00E05BDA">
        <w:rPr>
          <w:rFonts w:hint="eastAsia"/>
          <w:b/>
          <w:bCs/>
        </w:rPr>
        <w:t xml:space="preserve">第二十七条 </w:t>
      </w:r>
      <w:r w:rsidR="00495C65">
        <w:t>房地产司法鉴定估价费用，应当由房地产估价机构按照有关规定及行业惯例收取，对复杂、疑难、特殊的司法鉴定估价项目可以协商收取。</w:t>
      </w:r>
    </w:p>
    <w:p w14:paraId="019D96FD" w14:textId="489F4EF0" w:rsidR="00495C65" w:rsidRDefault="00E05BDA" w:rsidP="00495C65">
      <w:pPr>
        <w:pStyle w:val="13"/>
        <w:ind w:firstLine="482"/>
      </w:pPr>
      <w:r w:rsidRPr="00E05BDA">
        <w:rPr>
          <w:rFonts w:hint="eastAsia"/>
          <w:b/>
          <w:bCs/>
        </w:rPr>
        <w:t xml:space="preserve">第二十八条 </w:t>
      </w:r>
      <w:r w:rsidR="00495C65">
        <w:t>估价活动结束后，房地产估价机构应当按照要求将房地产司法鉴定估价资料归档。估价报告、估价委托书、估价所依据的委托人提供的资料、估价项目来源和沟通情况记录、估价对象实地查勘记录、估价报告内部审核记录、估价中的不同意见记录、外部专业帮助的专业意见，应当采用纸质介质保存。其他估价资料可以采用电子介质保存。</w:t>
      </w:r>
    </w:p>
    <w:p w14:paraId="15B616BE" w14:textId="77777777" w:rsidR="00495C65" w:rsidRDefault="00495C65" w:rsidP="00AF7342">
      <w:pPr>
        <w:pStyle w:val="a9"/>
        <w:spacing w:before="62" w:after="62"/>
      </w:pPr>
      <w:r>
        <w:rPr>
          <w:rFonts w:hint="eastAsia"/>
        </w:rPr>
        <w:t>第三章</w:t>
      </w:r>
      <w:r>
        <w:t xml:space="preserve"> 房地产司法鉴定估价类别</w:t>
      </w:r>
    </w:p>
    <w:p w14:paraId="05933EA9" w14:textId="77777777" w:rsidR="00495C65" w:rsidRDefault="00495C65" w:rsidP="00AF7342">
      <w:pPr>
        <w:pStyle w:val="a9"/>
        <w:spacing w:before="62" w:after="62"/>
      </w:pPr>
      <w:r>
        <w:t>第一节 房地产司法拍卖（变卖）估价</w:t>
      </w:r>
    </w:p>
    <w:p w14:paraId="7CD78AE2" w14:textId="137D20FE" w:rsidR="00495C65" w:rsidRDefault="00E05BDA" w:rsidP="00495C65">
      <w:pPr>
        <w:pStyle w:val="13"/>
        <w:ind w:firstLine="482"/>
      </w:pPr>
      <w:r w:rsidRPr="00E05BDA">
        <w:rPr>
          <w:rFonts w:hint="eastAsia"/>
          <w:b/>
          <w:bCs/>
        </w:rPr>
        <w:t xml:space="preserve">第二十九条 </w:t>
      </w:r>
      <w:r w:rsidR="00495C65">
        <w:t>房地产司法拍卖（变卖，下同）估价，是指人民法院在处理债务纠纷案件中，涉及的房地产拍卖估价，包括现房拍卖估价、在建工程项目整体拍卖估价、在建工程部分拍卖估价、企业整体拍卖估价等。</w:t>
      </w:r>
    </w:p>
    <w:p w14:paraId="73F7EC1C" w14:textId="491A5EC2" w:rsidR="00495C65" w:rsidRDefault="00E05BDA" w:rsidP="00495C65">
      <w:pPr>
        <w:pStyle w:val="13"/>
        <w:ind w:firstLine="482"/>
      </w:pPr>
      <w:r w:rsidRPr="00E05BDA">
        <w:rPr>
          <w:rFonts w:hint="eastAsia"/>
          <w:b/>
          <w:bCs/>
        </w:rPr>
        <w:t xml:space="preserve">第三十条 </w:t>
      </w:r>
      <w:r w:rsidR="00495C65">
        <w:t>房地产司法拍卖估价的价值类型为市场价值，通常不评估快速变现价值，但估价前提采用被迫转让前提的，应当考虑房地产拍卖成交后卖方应当负担的税费转移分担的实际。</w:t>
      </w:r>
    </w:p>
    <w:p w14:paraId="0929D4E7" w14:textId="77777777" w:rsidR="00495C65" w:rsidRDefault="00495C65" w:rsidP="00495C65">
      <w:pPr>
        <w:pStyle w:val="13"/>
      </w:pPr>
      <w:r>
        <w:rPr>
          <w:rFonts w:hint="eastAsia"/>
        </w:rPr>
        <w:lastRenderedPageBreak/>
        <w:t>委托人在估价委托中，特别指明要求评估快速变现价值的，可以在揭示市场价值之后，评估其快速变现价值。评估快速变现价值的，委托人应当明确变现方式，并在估价报告中予以说明。</w:t>
      </w:r>
    </w:p>
    <w:p w14:paraId="24D95698" w14:textId="77777777" w:rsidR="00495C65" w:rsidRDefault="00495C65" w:rsidP="00495C65">
      <w:pPr>
        <w:pStyle w:val="13"/>
      </w:pPr>
      <w:r>
        <w:rPr>
          <w:rFonts w:hint="eastAsia"/>
        </w:rPr>
        <w:t>房地产司法拍卖估价的估价目的，表述为“为司法拍卖房地产确定拍卖保留价提供参考依据而评估被拍卖房地产的市场价值”。</w:t>
      </w:r>
    </w:p>
    <w:p w14:paraId="40DBD34B" w14:textId="0B212B53" w:rsidR="00495C65" w:rsidRDefault="003B2FB1" w:rsidP="00495C65">
      <w:pPr>
        <w:pStyle w:val="13"/>
        <w:ind w:firstLine="482"/>
      </w:pPr>
      <w:r w:rsidRPr="003B2FB1">
        <w:rPr>
          <w:rFonts w:hint="eastAsia"/>
          <w:b/>
          <w:bCs/>
        </w:rPr>
        <w:t xml:space="preserve">第三十一条 </w:t>
      </w:r>
      <w:r w:rsidR="00495C65">
        <w:t>对不可分割的房屋可以整体估价。分割估价的，应当在人民法院提供的估价委托书中明确估价房屋的具体部位、范围及共用部分、设施的使用条件。</w:t>
      </w:r>
    </w:p>
    <w:p w14:paraId="4C45C86D" w14:textId="77777777" w:rsidR="00495C65" w:rsidRDefault="00495C65" w:rsidP="00495C65">
      <w:pPr>
        <w:pStyle w:val="13"/>
      </w:pPr>
      <w:r>
        <w:rPr>
          <w:rFonts w:hint="eastAsia"/>
        </w:rPr>
        <w:t>注册房地产估价师应当注意整体拍卖与拆零拍卖的拍卖方式，考虑它们对估价结果的影响。</w:t>
      </w:r>
    </w:p>
    <w:p w14:paraId="2C26D1D2" w14:textId="72FB6480" w:rsidR="00495C65" w:rsidRDefault="003B2FB1" w:rsidP="00495C65">
      <w:pPr>
        <w:pStyle w:val="13"/>
        <w:ind w:firstLine="482"/>
      </w:pPr>
      <w:r w:rsidRPr="003B2FB1">
        <w:rPr>
          <w:rFonts w:hint="eastAsia"/>
          <w:b/>
          <w:bCs/>
        </w:rPr>
        <w:t xml:space="preserve">第三十二条 </w:t>
      </w:r>
      <w:r w:rsidR="00495C65">
        <w:t>建设用地使用权与房屋所有权归属不一致的，应当向委托人说明情况，取得委托人同意后在估价委托书中明确对权属</w:t>
      </w:r>
      <w:proofErr w:type="gramStart"/>
      <w:r w:rsidR="00495C65">
        <w:t>一致条件</w:t>
      </w:r>
      <w:proofErr w:type="gramEnd"/>
      <w:r w:rsidR="00495C65">
        <w:t>下的房地产市场价值进行评估，</w:t>
      </w:r>
      <w:r w:rsidR="00495C65">
        <w:rPr>
          <w:rFonts w:hint="eastAsia"/>
        </w:rPr>
        <w:t>也可对整体房地产价值进行土地使用权及房屋价值分配，实际权属状况应当在估价报告中予以说明。</w:t>
      </w:r>
    </w:p>
    <w:p w14:paraId="684C1F0F" w14:textId="2CFF90EA" w:rsidR="00495C65" w:rsidRDefault="003B2FB1" w:rsidP="00495C65">
      <w:pPr>
        <w:pStyle w:val="13"/>
        <w:ind w:firstLine="482"/>
      </w:pPr>
      <w:r w:rsidRPr="003B2FB1">
        <w:rPr>
          <w:rFonts w:hint="eastAsia"/>
          <w:b/>
          <w:bCs/>
        </w:rPr>
        <w:t xml:space="preserve">第三十三条 </w:t>
      </w:r>
      <w:r w:rsidR="00495C65">
        <w:t>农村宅基地上房屋需要估价的，一般只对房屋及其必要附属设施进行估价，并对处置产生影响的购买群体限制、居住习惯、邻里关系等因素</w:t>
      </w:r>
      <w:proofErr w:type="gramStart"/>
      <w:r w:rsidR="00495C65">
        <w:t>作出</w:t>
      </w:r>
      <w:proofErr w:type="gramEnd"/>
      <w:r w:rsidR="00495C65">
        <w:t>书面提示。</w:t>
      </w:r>
    </w:p>
    <w:p w14:paraId="4B505E03" w14:textId="77777777" w:rsidR="00495C65" w:rsidRDefault="00495C65" w:rsidP="00495C65">
      <w:pPr>
        <w:pStyle w:val="13"/>
      </w:pPr>
      <w:r>
        <w:rPr>
          <w:rFonts w:hint="eastAsia"/>
        </w:rPr>
        <w:t>对“城中村”及城镇近郊村（居）</w:t>
      </w:r>
      <w:proofErr w:type="gramStart"/>
      <w:r>
        <w:rPr>
          <w:rFonts w:hint="eastAsia"/>
        </w:rPr>
        <w:t>民住宅</w:t>
      </w:r>
      <w:proofErr w:type="gramEnd"/>
      <w:r>
        <w:rPr>
          <w:rFonts w:hint="eastAsia"/>
        </w:rPr>
        <w:t>进行估价时，应当考虑城镇规划建设及房地产市场等因素的影响。</w:t>
      </w:r>
    </w:p>
    <w:p w14:paraId="65337194" w14:textId="64FD1B24" w:rsidR="00495C65" w:rsidRDefault="003B2FB1" w:rsidP="00495C65">
      <w:pPr>
        <w:pStyle w:val="13"/>
        <w:ind w:firstLine="482"/>
      </w:pPr>
      <w:r w:rsidRPr="003B2FB1">
        <w:rPr>
          <w:rFonts w:hint="eastAsia"/>
          <w:b/>
          <w:bCs/>
        </w:rPr>
        <w:t xml:space="preserve">第三十四条 </w:t>
      </w:r>
      <w:r w:rsidR="00495C65">
        <w:t>房地产司法拍卖估价，拍卖房地产上设有租赁权或者用益物权不随拍卖而消失的，应当先评估没有租赁权和用益物权限制的估价对象房地产的市场价值，再评估出附有租约限制和用益物权的拍卖房地产的市场价值。</w:t>
      </w:r>
    </w:p>
    <w:p w14:paraId="01992877" w14:textId="77777777" w:rsidR="00495C65" w:rsidRDefault="00495C65" w:rsidP="00495C65">
      <w:pPr>
        <w:pStyle w:val="13"/>
      </w:pPr>
      <w:r>
        <w:rPr>
          <w:rFonts w:hint="eastAsia"/>
        </w:rPr>
        <w:t>拍卖房地产上设有抵押权及其他担保物权的，通常不考虑其对评估价值的影响。</w:t>
      </w:r>
    </w:p>
    <w:p w14:paraId="6BB20DB5" w14:textId="50F1D945" w:rsidR="00495C65" w:rsidRDefault="003B2FB1" w:rsidP="00495C65">
      <w:pPr>
        <w:pStyle w:val="13"/>
        <w:ind w:firstLine="482"/>
      </w:pPr>
      <w:r w:rsidRPr="003B2FB1">
        <w:rPr>
          <w:rFonts w:hint="eastAsia"/>
          <w:b/>
          <w:bCs/>
        </w:rPr>
        <w:t xml:space="preserve">第三十五条 </w:t>
      </w:r>
      <w:r w:rsidR="00495C65">
        <w:t>在建工程项目整体拍卖估价，应当关注停工缘由、工期延误原因对于</w:t>
      </w:r>
      <w:r w:rsidR="00495C65">
        <w:rPr>
          <w:rFonts w:hint="eastAsia"/>
        </w:rPr>
        <w:t>预测完工工期及对工程造价的影响，关注项目的报建、施工许可是否合法、工程实际进度、修建状况、各项规划建设许可是否在有效期内、是否存在实际销售等事项。涉及超规划建设的，应当与委托人协商，对于超规划许可建设的部分房地产，应当有合法的估价依据，不得擅自估价或设定不合理的假设，并在估价报告中说明。</w:t>
      </w:r>
    </w:p>
    <w:p w14:paraId="28C4C69A" w14:textId="77777777" w:rsidR="00495C65" w:rsidRDefault="00495C65" w:rsidP="00495C65">
      <w:pPr>
        <w:pStyle w:val="13"/>
      </w:pPr>
      <w:r>
        <w:rPr>
          <w:rFonts w:hint="eastAsia"/>
        </w:rPr>
        <w:t>在建工程部分拍卖估价，应当关注建筑物区分所有权对评估价值的影响。</w:t>
      </w:r>
    </w:p>
    <w:p w14:paraId="2003CBE7" w14:textId="699C1DA3" w:rsidR="00495C65" w:rsidRDefault="003B2FB1" w:rsidP="00495C65">
      <w:pPr>
        <w:pStyle w:val="13"/>
        <w:ind w:firstLine="482"/>
      </w:pPr>
      <w:r w:rsidRPr="003B2FB1">
        <w:rPr>
          <w:rFonts w:hint="eastAsia"/>
          <w:b/>
          <w:bCs/>
        </w:rPr>
        <w:t xml:space="preserve">第三十六条 </w:t>
      </w:r>
      <w:r w:rsidR="00495C65">
        <w:t>房地产司法拍卖估价时，对于隐蔽工程的估价，应当根据当事人提供的工程图纸、设计变更单、隐蔽工程验收记录、预结算记录，结合隐蔽工程投入使用的情况进行估价。</w:t>
      </w:r>
    </w:p>
    <w:p w14:paraId="4CB21B1C" w14:textId="23285D31" w:rsidR="00495C65" w:rsidRDefault="003B2FB1" w:rsidP="00495C65">
      <w:pPr>
        <w:pStyle w:val="13"/>
        <w:ind w:firstLine="482"/>
      </w:pPr>
      <w:r w:rsidRPr="003B2FB1">
        <w:rPr>
          <w:rFonts w:hint="eastAsia"/>
          <w:b/>
          <w:bCs/>
        </w:rPr>
        <w:t xml:space="preserve">第三十七条 </w:t>
      </w:r>
      <w:r w:rsidR="00495C65">
        <w:t>以房地产为主的整体资产处置的估价，应当将附属设施一起进行估价。</w:t>
      </w:r>
    </w:p>
    <w:p w14:paraId="67C6D1DE" w14:textId="175CD8DB" w:rsidR="00495C65" w:rsidRDefault="003B2FB1" w:rsidP="00495C65">
      <w:pPr>
        <w:pStyle w:val="13"/>
        <w:ind w:firstLine="482"/>
      </w:pPr>
      <w:r w:rsidRPr="003B2FB1">
        <w:rPr>
          <w:b/>
          <w:bCs/>
        </w:rPr>
        <w:t xml:space="preserve">第三十八条 </w:t>
      </w:r>
      <w:r w:rsidR="00495C65">
        <w:t>以房地产为主业或者企业主要资产构成为房地产的，企业整体拍卖</w:t>
      </w:r>
      <w:r w:rsidR="00495C65">
        <w:lastRenderedPageBreak/>
        <w:t>涉</w:t>
      </w:r>
      <w:r w:rsidR="00495C65">
        <w:rPr>
          <w:rFonts w:hint="eastAsia"/>
        </w:rPr>
        <w:t>及的企业价值评估中，虽然不动产可分离（从物质实体角度），但从利用（使用方式）方面不可分离，则应当就整体价值进行评估。</w:t>
      </w:r>
    </w:p>
    <w:p w14:paraId="516E238A" w14:textId="1CF6D5C5" w:rsidR="00495C65" w:rsidRDefault="003B2FB1" w:rsidP="00495C65">
      <w:pPr>
        <w:pStyle w:val="13"/>
        <w:ind w:firstLine="482"/>
      </w:pPr>
      <w:r w:rsidRPr="003B2FB1">
        <w:rPr>
          <w:rFonts w:hint="eastAsia"/>
          <w:b/>
          <w:bCs/>
        </w:rPr>
        <w:t xml:space="preserve">第三十九条 </w:t>
      </w:r>
      <w:r w:rsidR="00495C65">
        <w:t>企业整体拍卖涉及的企业价值评估中，房地产从物质实体、使用方式上，可与其他动产、无形资产分离的，对分离出来的房地产，可以对其价格或价值进行单独评估。</w:t>
      </w:r>
    </w:p>
    <w:p w14:paraId="09564292" w14:textId="77777777" w:rsidR="00495C65" w:rsidRDefault="00495C65" w:rsidP="00AF7342">
      <w:pPr>
        <w:pStyle w:val="a9"/>
        <w:spacing w:before="62" w:after="62"/>
      </w:pPr>
      <w:r>
        <w:rPr>
          <w:rFonts w:hint="eastAsia"/>
        </w:rPr>
        <w:t>第二节</w:t>
      </w:r>
      <w:r>
        <w:t xml:space="preserve"> 房地产分家析产估价</w:t>
      </w:r>
    </w:p>
    <w:p w14:paraId="4D44A1EC" w14:textId="4D5C4F4B" w:rsidR="00495C65" w:rsidRDefault="003B2FB1" w:rsidP="00495C65">
      <w:pPr>
        <w:pStyle w:val="13"/>
        <w:ind w:firstLine="482"/>
      </w:pPr>
      <w:r w:rsidRPr="003B2FB1">
        <w:rPr>
          <w:rFonts w:hint="eastAsia"/>
          <w:b/>
          <w:bCs/>
        </w:rPr>
        <w:t xml:space="preserve">第四十条 </w:t>
      </w:r>
      <w:r w:rsidR="00495C65">
        <w:t>房地产分家析产估价分为离婚、遗产继承、分家等产生的房地产估价。</w:t>
      </w:r>
    </w:p>
    <w:p w14:paraId="5D04AE21" w14:textId="36B627DE" w:rsidR="00495C65" w:rsidRDefault="003B2FB1" w:rsidP="00495C65">
      <w:pPr>
        <w:pStyle w:val="13"/>
        <w:ind w:firstLine="482"/>
      </w:pPr>
      <w:r w:rsidRPr="003B2FB1">
        <w:rPr>
          <w:rFonts w:hint="eastAsia"/>
          <w:b/>
          <w:bCs/>
        </w:rPr>
        <w:t xml:space="preserve">第四十一条 </w:t>
      </w:r>
      <w:r w:rsidR="00495C65">
        <w:t>分家析产中实物分割房地产的，应当保障分割后的房地产能够独立使用，并符合不动产登记基本单元的规定。</w:t>
      </w:r>
    </w:p>
    <w:p w14:paraId="17990833" w14:textId="77777777" w:rsidR="00495C65" w:rsidRDefault="00495C65" w:rsidP="00495C65">
      <w:pPr>
        <w:pStyle w:val="13"/>
      </w:pPr>
      <w:r>
        <w:rPr>
          <w:rFonts w:hint="eastAsia"/>
        </w:rPr>
        <w:t>分割协议由当事人签署，并由人民法院提供给房地产估价机构，作为实物分割房地产的依据。</w:t>
      </w:r>
    </w:p>
    <w:p w14:paraId="64DC48B1" w14:textId="04B7BE68" w:rsidR="00495C65" w:rsidRDefault="003B2FB1" w:rsidP="00495C65">
      <w:pPr>
        <w:pStyle w:val="13"/>
        <w:ind w:firstLine="482"/>
      </w:pPr>
      <w:r w:rsidRPr="003B2FB1">
        <w:rPr>
          <w:rFonts w:hint="eastAsia"/>
          <w:b/>
          <w:bCs/>
        </w:rPr>
        <w:t xml:space="preserve">第四十二条 </w:t>
      </w:r>
      <w:r w:rsidR="00495C65">
        <w:t>房地产实物分割估价，应当对分割后的各部分房地产分别估价，并对原共用部分、设施予以关注。</w:t>
      </w:r>
    </w:p>
    <w:p w14:paraId="71DDA908" w14:textId="3C61AA8D" w:rsidR="00495C65" w:rsidRDefault="003B2FB1" w:rsidP="00495C65">
      <w:pPr>
        <w:pStyle w:val="13"/>
        <w:ind w:firstLine="482"/>
      </w:pPr>
      <w:r w:rsidRPr="003B2FB1">
        <w:rPr>
          <w:rFonts w:hint="eastAsia"/>
          <w:b/>
          <w:bCs/>
        </w:rPr>
        <w:t xml:space="preserve">第四十三条 </w:t>
      </w:r>
      <w:r w:rsidR="00495C65">
        <w:t>分家析产中不进行实物分割房地产的，应当对房地产市场价值进行评估，并根据当地房地产交易税</w:t>
      </w:r>
      <w:proofErr w:type="gramStart"/>
      <w:r w:rsidR="00495C65">
        <w:t>费政策</w:t>
      </w:r>
      <w:proofErr w:type="gramEnd"/>
      <w:r w:rsidR="00495C65">
        <w:t>考虑市场价值中卖方应当负担税费的影响。</w:t>
      </w:r>
    </w:p>
    <w:p w14:paraId="5FAA85F9" w14:textId="77777777" w:rsidR="00495C65" w:rsidRDefault="00495C65" w:rsidP="00AF7342">
      <w:pPr>
        <w:pStyle w:val="a9"/>
        <w:spacing w:before="62" w:after="62"/>
      </w:pPr>
      <w:r>
        <w:rPr>
          <w:rFonts w:hint="eastAsia"/>
        </w:rPr>
        <w:t>第三节</w:t>
      </w:r>
      <w:r>
        <w:t xml:space="preserve"> 房地产损害赔偿估价</w:t>
      </w:r>
    </w:p>
    <w:p w14:paraId="2BE29B38" w14:textId="5D3BCABD" w:rsidR="00495C65" w:rsidRDefault="003B2FB1" w:rsidP="00495C65">
      <w:pPr>
        <w:pStyle w:val="13"/>
        <w:ind w:firstLine="482"/>
      </w:pPr>
      <w:r w:rsidRPr="003B2FB1">
        <w:rPr>
          <w:rFonts w:hint="eastAsia"/>
          <w:b/>
          <w:bCs/>
        </w:rPr>
        <w:t xml:space="preserve">第四十四条 </w:t>
      </w:r>
      <w:r w:rsidR="00495C65">
        <w:t>房地产损害赔偿估价，应当区分损害（失）类型并采用适宜的估价方</w:t>
      </w:r>
      <w:r w:rsidR="00495C65">
        <w:rPr>
          <w:rFonts w:hint="eastAsia"/>
        </w:rPr>
        <w:t>法。</w:t>
      </w:r>
    </w:p>
    <w:p w14:paraId="2F696D31" w14:textId="3F7AA657" w:rsidR="00495C65" w:rsidRDefault="003B2FB1" w:rsidP="00495C65">
      <w:pPr>
        <w:pStyle w:val="13"/>
        <w:ind w:firstLine="482"/>
      </w:pPr>
      <w:r w:rsidRPr="003B2FB1">
        <w:rPr>
          <w:rFonts w:hint="eastAsia"/>
          <w:b/>
          <w:bCs/>
        </w:rPr>
        <w:t xml:space="preserve">第四十五条 </w:t>
      </w:r>
      <w:r w:rsidR="00495C65">
        <w:t>房地产损害的类型，按照是否可修复，分为可修复的损害和不可修复的损害；按照损害事实，分为实体性损害、功能性损害和经济性损害。</w:t>
      </w:r>
    </w:p>
    <w:p w14:paraId="7A8EACF7" w14:textId="77777777" w:rsidR="00495C65" w:rsidRDefault="00495C65" w:rsidP="00495C65">
      <w:pPr>
        <w:pStyle w:val="13"/>
      </w:pPr>
      <w:r>
        <w:rPr>
          <w:rFonts w:hint="eastAsia"/>
        </w:rPr>
        <w:t>实体性损害是指对房屋有形组成部分的损害，包括影响主体结构、围护结构、装饰装修、设施设备等的损害。</w:t>
      </w:r>
    </w:p>
    <w:p w14:paraId="4E8E7A76" w14:textId="77777777" w:rsidR="00495C65" w:rsidRDefault="00495C65" w:rsidP="00495C65">
      <w:pPr>
        <w:pStyle w:val="13"/>
      </w:pPr>
      <w:r>
        <w:rPr>
          <w:rFonts w:hint="eastAsia"/>
        </w:rPr>
        <w:t>功能性损害是指房屋及其所在小区内外规划的改变，如房屋层高、建筑高度、小区绿地、道路等发生改变，以及影响房屋采光、日照等方面的规划变更，从而对房屋功能产生的负面影响。</w:t>
      </w:r>
    </w:p>
    <w:p w14:paraId="4AFCEF16" w14:textId="77777777" w:rsidR="00495C65" w:rsidRDefault="00495C65" w:rsidP="00495C65">
      <w:pPr>
        <w:pStyle w:val="13"/>
      </w:pPr>
      <w:r>
        <w:rPr>
          <w:rFonts w:hint="eastAsia"/>
        </w:rPr>
        <w:t>经济性损害是指对损害事实的发生间接影响房地产的外部环境，从而减损其价值的损害，如环境污染带来的损害、异议登记不当带来的损害、不动产登记部门的其他登记错误带来的损害，以及区域规划调整带来的损害。</w:t>
      </w:r>
    </w:p>
    <w:p w14:paraId="646D003F" w14:textId="177EE673" w:rsidR="00495C65" w:rsidRDefault="003B2FB1" w:rsidP="00495C65">
      <w:pPr>
        <w:pStyle w:val="13"/>
        <w:ind w:firstLine="482"/>
      </w:pPr>
      <w:r w:rsidRPr="003B2FB1">
        <w:rPr>
          <w:rFonts w:hint="eastAsia"/>
          <w:b/>
          <w:bCs/>
        </w:rPr>
        <w:t xml:space="preserve">第四十六条 </w:t>
      </w:r>
      <w:r w:rsidR="00495C65">
        <w:t>损害事实应当</w:t>
      </w:r>
      <w:proofErr w:type="gramStart"/>
      <w:r w:rsidR="00495C65">
        <w:t>经下列</w:t>
      </w:r>
      <w:proofErr w:type="gramEnd"/>
      <w:r w:rsidR="00495C65">
        <w:t>途经认定，方可作为估价依据，并在估价报告中对损害事实认定途经予以披露。</w:t>
      </w:r>
    </w:p>
    <w:p w14:paraId="44AF683F" w14:textId="77777777" w:rsidR="00495C65" w:rsidRDefault="00495C65" w:rsidP="00495C65">
      <w:pPr>
        <w:pStyle w:val="13"/>
      </w:pPr>
      <w:r>
        <w:rPr>
          <w:rFonts w:hint="eastAsia"/>
        </w:rPr>
        <w:t>（一）对易于测定的损害事实，房地产估价机构有专业胜任能力的，可以在实地查勘时测定，并由当事人签字确认。</w:t>
      </w:r>
    </w:p>
    <w:p w14:paraId="183F204A" w14:textId="77777777" w:rsidR="00495C65" w:rsidRDefault="00495C65" w:rsidP="00495C65">
      <w:pPr>
        <w:pStyle w:val="13"/>
      </w:pPr>
      <w:r>
        <w:rPr>
          <w:rFonts w:hint="eastAsia"/>
        </w:rPr>
        <w:t>（二）其他专业机构已鉴定的损害事实，由人民法院采信、提供。</w:t>
      </w:r>
    </w:p>
    <w:p w14:paraId="48C683D5" w14:textId="77777777" w:rsidR="00495C65" w:rsidRDefault="00495C65" w:rsidP="00495C65">
      <w:pPr>
        <w:pStyle w:val="13"/>
      </w:pPr>
      <w:r>
        <w:rPr>
          <w:rFonts w:hint="eastAsia"/>
        </w:rPr>
        <w:lastRenderedPageBreak/>
        <w:t>（三）人民法院认定。</w:t>
      </w:r>
    </w:p>
    <w:p w14:paraId="02BC7121" w14:textId="77777777" w:rsidR="00495C65" w:rsidRDefault="00495C65" w:rsidP="00495C65">
      <w:pPr>
        <w:pStyle w:val="13"/>
      </w:pPr>
      <w:r>
        <w:rPr>
          <w:rFonts w:hint="eastAsia"/>
        </w:rPr>
        <w:t>（四）其他合法途经认定。</w:t>
      </w:r>
    </w:p>
    <w:p w14:paraId="124C9DF0" w14:textId="667D7CC1" w:rsidR="00495C65" w:rsidRDefault="003B2FB1" w:rsidP="00495C65">
      <w:pPr>
        <w:pStyle w:val="13"/>
        <w:ind w:firstLine="482"/>
      </w:pPr>
      <w:r w:rsidRPr="003B2FB1">
        <w:rPr>
          <w:rFonts w:hint="eastAsia"/>
          <w:b/>
          <w:bCs/>
        </w:rPr>
        <w:t xml:space="preserve">第四十七条 </w:t>
      </w:r>
      <w:r w:rsidR="00495C65">
        <w:t>损害赔偿估价，应当区分可修复的损害和不可修复的损害，测算该损害对于房地产带来的实体价值减损和市场价值的减损。</w:t>
      </w:r>
    </w:p>
    <w:p w14:paraId="2053B458" w14:textId="77777777" w:rsidR="00495C65" w:rsidRDefault="00495C65" w:rsidP="00495C65">
      <w:pPr>
        <w:pStyle w:val="13"/>
        <w:ind w:firstLine="482"/>
      </w:pPr>
      <w:r w:rsidRPr="009A7643">
        <w:rPr>
          <w:rFonts w:hint="eastAsia"/>
          <w:b/>
          <w:bCs/>
        </w:rPr>
        <w:t>第四十八条</w:t>
      </w:r>
      <w:r>
        <w:t xml:space="preserve"> 实体价值减损，是指修复该房地产所需耗费的材料、人工等投入及其合理税费和利润。测算实体价值减损，需要区分重置成本和重建成本。</w:t>
      </w:r>
    </w:p>
    <w:p w14:paraId="463A4845" w14:textId="77777777" w:rsidR="00495C65" w:rsidRDefault="00495C65" w:rsidP="00495C65">
      <w:pPr>
        <w:pStyle w:val="13"/>
      </w:pPr>
      <w:r>
        <w:rPr>
          <w:rFonts w:hint="eastAsia"/>
        </w:rPr>
        <w:t>房屋实体性损害修复方案，应当是技术上可能、财务上可行且合法的修复方案。修复方案可以由当事人自行协商后签订协议。当事人不能就修复方案达成一致意见的，可以经人民法院委托或者当事人共同委托，由具有相应资质的专门机构出具房屋实体性损害修复方案。</w:t>
      </w:r>
    </w:p>
    <w:p w14:paraId="44F350AA" w14:textId="77777777" w:rsidR="00495C65" w:rsidRDefault="00495C65" w:rsidP="00495C65">
      <w:pPr>
        <w:pStyle w:val="13"/>
      </w:pPr>
      <w:r>
        <w:rPr>
          <w:rFonts w:hint="eastAsia"/>
        </w:rPr>
        <w:t>对于结构简单、易于修复的房屋实体性损害，以恢复原状为修复方案。</w:t>
      </w:r>
    </w:p>
    <w:p w14:paraId="456A5C2E" w14:textId="77777777" w:rsidR="00495C65" w:rsidRDefault="00495C65" w:rsidP="00495C65">
      <w:pPr>
        <w:pStyle w:val="13"/>
        <w:ind w:firstLine="482"/>
      </w:pPr>
      <w:r w:rsidRPr="009A7643">
        <w:rPr>
          <w:rFonts w:hint="eastAsia"/>
          <w:b/>
          <w:bCs/>
        </w:rPr>
        <w:t>第四十九条</w:t>
      </w:r>
      <w:r>
        <w:t xml:space="preserve"> 市场价值减损，是指房地产因发生损害而导致市场需求变化，引起的市场租金、市场价格降低。</w:t>
      </w:r>
    </w:p>
    <w:p w14:paraId="1C5F230F" w14:textId="77777777" w:rsidR="00495C65" w:rsidRDefault="00495C65" w:rsidP="00495C65">
      <w:pPr>
        <w:pStyle w:val="13"/>
        <w:ind w:firstLine="482"/>
      </w:pPr>
      <w:r w:rsidRPr="009A7643">
        <w:rPr>
          <w:rFonts w:hint="eastAsia"/>
          <w:b/>
          <w:bCs/>
        </w:rPr>
        <w:t>第五十条</w:t>
      </w:r>
      <w:r>
        <w:t xml:space="preserve"> 对于可修复的损害赔偿估价，宜从实体价值减损角度进行估价；如果需要，还应当考虑修复过程导致搬家、暂停营业带来的损失。</w:t>
      </w:r>
    </w:p>
    <w:p w14:paraId="08D0C1D5" w14:textId="77777777" w:rsidR="00495C65" w:rsidRDefault="00495C65" w:rsidP="00495C65">
      <w:pPr>
        <w:pStyle w:val="13"/>
      </w:pPr>
      <w:r>
        <w:rPr>
          <w:rFonts w:hint="eastAsia"/>
        </w:rPr>
        <w:t>对于不可修复损害赔偿估价，宜从市场价值减损角度进行估价。</w:t>
      </w:r>
    </w:p>
    <w:p w14:paraId="4BA8B184" w14:textId="77777777" w:rsidR="00495C65" w:rsidRDefault="00495C65" w:rsidP="00495C65">
      <w:pPr>
        <w:pStyle w:val="13"/>
        <w:ind w:firstLine="482"/>
      </w:pPr>
      <w:r w:rsidRPr="009A7643">
        <w:rPr>
          <w:rFonts w:hint="eastAsia"/>
          <w:b/>
          <w:bCs/>
        </w:rPr>
        <w:t>第五十一条</w:t>
      </w:r>
      <w:r>
        <w:t xml:space="preserve"> 项目规划变更引起的损害赔偿估价，包括容积率的变更导致总建筑面积的变更；业主拥有对建筑物内的专有部分的权利受到侵害，如建筑层高或高度、建筑面积不符合原规划；业主对专有部分以外的共有部分享有的权利受到侵害，如绿地减少、侵占公共绿地、占用公共通道等。</w:t>
      </w:r>
    </w:p>
    <w:p w14:paraId="21AEE414" w14:textId="77777777" w:rsidR="00495C65" w:rsidRDefault="00495C65" w:rsidP="00495C65">
      <w:pPr>
        <w:pStyle w:val="13"/>
        <w:ind w:firstLine="482"/>
      </w:pPr>
      <w:r w:rsidRPr="009A7643">
        <w:rPr>
          <w:rFonts w:hint="eastAsia"/>
          <w:b/>
          <w:bCs/>
        </w:rPr>
        <w:t>第五十二条</w:t>
      </w:r>
      <w:r>
        <w:t xml:space="preserve"> 环境污染带来的损害赔偿估价，注册房地产估价师应当结合专门机构出具的环境影响评价报告，根据环境是否可治理恢复分别进行估价。</w:t>
      </w:r>
    </w:p>
    <w:p w14:paraId="4D70A5E9" w14:textId="77777777" w:rsidR="00495C65" w:rsidRDefault="00495C65" w:rsidP="00495C65">
      <w:pPr>
        <w:pStyle w:val="13"/>
      </w:pPr>
      <w:r>
        <w:rPr>
          <w:rFonts w:hint="eastAsia"/>
        </w:rPr>
        <w:t>如果污染的环境可治理恢复，应当考虑治理恢复的时间周期，结合实体价值减损和市场价值减损综合判断，得出损害赔偿价值。</w:t>
      </w:r>
    </w:p>
    <w:p w14:paraId="7599C2E5" w14:textId="77777777" w:rsidR="00495C65" w:rsidRDefault="00495C65" w:rsidP="00495C65">
      <w:pPr>
        <w:pStyle w:val="13"/>
      </w:pPr>
      <w:r>
        <w:rPr>
          <w:rFonts w:hint="eastAsia"/>
        </w:rPr>
        <w:t>如果污染的环境不可治理恢复，应当根据环境影响评价结果，从市场价值减损角度测算赔偿价值。</w:t>
      </w:r>
    </w:p>
    <w:p w14:paraId="26D6B092" w14:textId="77777777" w:rsidR="00495C65" w:rsidRDefault="00495C65" w:rsidP="00495C65">
      <w:pPr>
        <w:pStyle w:val="13"/>
        <w:ind w:firstLine="482"/>
      </w:pPr>
      <w:r w:rsidRPr="00FB34D3">
        <w:rPr>
          <w:rFonts w:hint="eastAsia"/>
          <w:b/>
          <w:bCs/>
        </w:rPr>
        <w:t>第五十三条</w:t>
      </w:r>
      <w:r>
        <w:t xml:space="preserve"> 异议登记不当带来的损害赔偿估价，主要从市场租金、售价在异议登记期间的变化，对当事人带来的损失角度进行估价。</w:t>
      </w:r>
    </w:p>
    <w:p w14:paraId="1540A1BD" w14:textId="77777777" w:rsidR="00495C65" w:rsidRDefault="00495C65" w:rsidP="00495C65">
      <w:pPr>
        <w:pStyle w:val="13"/>
        <w:ind w:firstLine="482"/>
      </w:pPr>
      <w:r w:rsidRPr="00FB34D3">
        <w:rPr>
          <w:rFonts w:hint="eastAsia"/>
          <w:b/>
          <w:bCs/>
        </w:rPr>
        <w:t>第五十四条</w:t>
      </w:r>
      <w:r>
        <w:t xml:space="preserve"> 不动产登记部门的登记错误带来的损害赔偿估价，主要从市场租金、售价在登记错误期间的变化及对当事人带来的损失角度进行估价。</w:t>
      </w:r>
    </w:p>
    <w:p w14:paraId="6B899B2F" w14:textId="77777777" w:rsidR="00495C65" w:rsidRDefault="00495C65" w:rsidP="00495C65">
      <w:pPr>
        <w:pStyle w:val="13"/>
        <w:ind w:firstLine="482"/>
      </w:pPr>
      <w:r w:rsidRPr="00FB34D3">
        <w:rPr>
          <w:rFonts w:hint="eastAsia"/>
          <w:b/>
          <w:bCs/>
        </w:rPr>
        <w:t>第五十五条</w:t>
      </w:r>
      <w:r>
        <w:t xml:space="preserve"> 装修纠纷中的损害赔偿估价，包括装修当事人之间发生的损害赔偿估价及装修对相邻不动产的损害赔偿估价。</w:t>
      </w:r>
    </w:p>
    <w:p w14:paraId="19135DE0" w14:textId="77777777" w:rsidR="00495C65" w:rsidRDefault="00495C65" w:rsidP="00495C65">
      <w:pPr>
        <w:pStyle w:val="13"/>
      </w:pPr>
      <w:r>
        <w:rPr>
          <w:rFonts w:hint="eastAsia"/>
        </w:rPr>
        <w:t>装修纠纷中的损害如果是可修复的，宜从实体价值减损角度进行估价。如果是不可修复的，</w:t>
      </w:r>
      <w:proofErr w:type="gramStart"/>
      <w:r>
        <w:rPr>
          <w:rFonts w:hint="eastAsia"/>
        </w:rPr>
        <w:t>宜综合</w:t>
      </w:r>
      <w:proofErr w:type="gramEnd"/>
      <w:r>
        <w:rPr>
          <w:rFonts w:hint="eastAsia"/>
        </w:rPr>
        <w:t>实体价值减损、市场价值减损之后，得出损害赔偿价值。</w:t>
      </w:r>
    </w:p>
    <w:p w14:paraId="17052156" w14:textId="77777777" w:rsidR="00495C65" w:rsidRDefault="00495C65" w:rsidP="00495C65">
      <w:pPr>
        <w:pStyle w:val="13"/>
        <w:ind w:firstLine="482"/>
      </w:pPr>
      <w:r w:rsidRPr="00FB34D3">
        <w:rPr>
          <w:rFonts w:hint="eastAsia"/>
          <w:b/>
          <w:bCs/>
        </w:rPr>
        <w:lastRenderedPageBreak/>
        <w:t>第五十六条</w:t>
      </w:r>
      <w:r>
        <w:t xml:space="preserve"> 区域规划调整带来的损害赔偿估价，宜从房地产用途、交通便利条件改变等方面对房地产市场价值减损角度进行估价。</w:t>
      </w:r>
    </w:p>
    <w:p w14:paraId="3ADC943E" w14:textId="77777777" w:rsidR="00495C65" w:rsidRDefault="00495C65" w:rsidP="00495C65">
      <w:pPr>
        <w:pStyle w:val="13"/>
        <w:ind w:firstLine="482"/>
      </w:pPr>
      <w:r w:rsidRPr="00FB34D3">
        <w:rPr>
          <w:rFonts w:hint="eastAsia"/>
          <w:b/>
          <w:bCs/>
        </w:rPr>
        <w:t>第五十七条</w:t>
      </w:r>
      <w:r>
        <w:t xml:space="preserve"> 地震、冰雹、风灾、洪水、泥石流等自然灾害带来的损害赔偿估价，应当区分该损害是否可修复。对于可修复的损害赔偿估价，综合实体价值减损和市场价值减损，得出损害赔偿价值。</w:t>
      </w:r>
    </w:p>
    <w:p w14:paraId="3B2FEA9C" w14:textId="77777777" w:rsidR="00495C65" w:rsidRDefault="00495C65" w:rsidP="00495C65">
      <w:pPr>
        <w:pStyle w:val="13"/>
      </w:pPr>
      <w:r>
        <w:rPr>
          <w:rFonts w:hint="eastAsia"/>
        </w:rPr>
        <w:t>对于不可修复的损害赔偿估价，首先对于未发生自然灾害损害之前的房地产进行估价，再减去净残值得出损害赔偿价值。</w:t>
      </w:r>
    </w:p>
    <w:p w14:paraId="38484594" w14:textId="77777777" w:rsidR="00495C65" w:rsidRDefault="00495C65" w:rsidP="00495C65">
      <w:pPr>
        <w:pStyle w:val="13"/>
        <w:ind w:firstLine="482"/>
      </w:pPr>
      <w:r w:rsidRPr="00FB34D3">
        <w:rPr>
          <w:rFonts w:hint="eastAsia"/>
          <w:b/>
          <w:bCs/>
        </w:rPr>
        <w:t>第五十八条</w:t>
      </w:r>
      <w:r>
        <w:t xml:space="preserve"> 房地产损害赔偿估价方法有修复成本法、损失资本化法、价差法、损害赔偿比较法等。</w:t>
      </w:r>
    </w:p>
    <w:p w14:paraId="47A20F9D" w14:textId="77777777" w:rsidR="00495C65" w:rsidRDefault="00495C65" w:rsidP="00495C65">
      <w:pPr>
        <w:pStyle w:val="13"/>
      </w:pPr>
      <w:r>
        <w:rPr>
          <w:rFonts w:hint="eastAsia"/>
        </w:rPr>
        <w:t>（一）修复成本法</w:t>
      </w:r>
    </w:p>
    <w:p w14:paraId="2F3DD380" w14:textId="77777777" w:rsidR="00495C65" w:rsidRDefault="00495C65" w:rsidP="00495C65">
      <w:pPr>
        <w:pStyle w:val="13"/>
      </w:pPr>
      <w:r>
        <w:rPr>
          <w:rFonts w:hint="eastAsia"/>
        </w:rPr>
        <w:t>修复成本法是采用合理的修复方案恢复到新的或相当于新的状况的必要支出及应得利润（包括拆除、修缮、恢复工程费用），将其作为房地产价值减损额的方法。</w:t>
      </w:r>
    </w:p>
    <w:p w14:paraId="71E7AAB1" w14:textId="77777777" w:rsidR="00495C65" w:rsidRDefault="00495C65" w:rsidP="00495C65">
      <w:pPr>
        <w:pStyle w:val="13"/>
      </w:pPr>
      <w:r>
        <w:rPr>
          <w:rFonts w:hint="eastAsia"/>
        </w:rPr>
        <w:t>拆除、修缮、恢复工程费用包括直接费、间接费、利润和税金。</w:t>
      </w:r>
    </w:p>
    <w:p w14:paraId="5F8C364B" w14:textId="77777777" w:rsidR="00495C65" w:rsidRDefault="00495C65" w:rsidP="00495C65">
      <w:pPr>
        <w:pStyle w:val="13"/>
      </w:pPr>
      <w:r>
        <w:rPr>
          <w:rFonts w:hint="eastAsia"/>
        </w:rPr>
        <w:t>被拆除物有残值的，应减去被拆除物的残值。被拆除物残值应当根据价值时点废旧材料回收市场价格合理确定，并扣除清运费用。</w:t>
      </w:r>
    </w:p>
    <w:p w14:paraId="210BCDF7" w14:textId="77777777" w:rsidR="00495C65" w:rsidRDefault="00495C65" w:rsidP="00495C65">
      <w:pPr>
        <w:pStyle w:val="13"/>
      </w:pPr>
      <w:r>
        <w:rPr>
          <w:rFonts w:hint="eastAsia"/>
        </w:rPr>
        <w:t>修复造成直接经济损失的，应加上直接经济损失。直接经济损失包括周转安置费、空置造成的收益损失、使用面积减少的损失、室内净高降低的损失、日照采光的损失、耐久性降低的损失、施工影响的补偿等。</w:t>
      </w:r>
    </w:p>
    <w:p w14:paraId="5CE933BA" w14:textId="77777777" w:rsidR="00495C65" w:rsidRDefault="00495C65" w:rsidP="00495C65">
      <w:pPr>
        <w:pStyle w:val="13"/>
      </w:pPr>
      <w:r>
        <w:rPr>
          <w:rFonts w:hint="eastAsia"/>
        </w:rPr>
        <w:t>（二）损失资本化法</w:t>
      </w:r>
    </w:p>
    <w:p w14:paraId="79724CD8" w14:textId="77777777" w:rsidR="00495C65" w:rsidRDefault="00495C65" w:rsidP="00495C65">
      <w:pPr>
        <w:pStyle w:val="13"/>
      </w:pPr>
      <w:r>
        <w:rPr>
          <w:rFonts w:hint="eastAsia"/>
        </w:rPr>
        <w:t>损失资本化法是预测未来各年的净收益减少额或收益减少额、运营费用增加额，在</w:t>
      </w:r>
      <w:r>
        <w:t>净收益损失年限内的折现值之和，或测算经济耐用年限内无质量缺陷房地产正常净收益现值和与有质量缺陷房地产正常净收益现值和之差，从而评估房地产价值减损额的方法。</w:t>
      </w:r>
    </w:p>
    <w:p w14:paraId="30FAF859" w14:textId="77777777" w:rsidR="00495C65" w:rsidRDefault="00495C65" w:rsidP="00495C65">
      <w:pPr>
        <w:pStyle w:val="13"/>
      </w:pPr>
      <w:r>
        <w:rPr>
          <w:rFonts w:hint="eastAsia"/>
        </w:rPr>
        <w:t>收益损失包括收益年限的减少。</w:t>
      </w:r>
    </w:p>
    <w:p w14:paraId="27164E2B" w14:textId="77777777" w:rsidR="00495C65" w:rsidRDefault="00495C65" w:rsidP="00495C65">
      <w:pPr>
        <w:pStyle w:val="13"/>
      </w:pPr>
      <w:r>
        <w:rPr>
          <w:rFonts w:hint="eastAsia"/>
        </w:rPr>
        <w:t>（三）价差法</w:t>
      </w:r>
    </w:p>
    <w:p w14:paraId="1DC18750" w14:textId="77777777" w:rsidR="00495C65" w:rsidRDefault="00495C65" w:rsidP="00495C65">
      <w:pPr>
        <w:pStyle w:val="13"/>
      </w:pPr>
      <w:r>
        <w:rPr>
          <w:rFonts w:hint="eastAsia"/>
        </w:rPr>
        <w:t>价差法是分别评估房地产在损害之前和损害之后状况下的价值，将两者之差作为房地产价值减损额的方法。</w:t>
      </w:r>
    </w:p>
    <w:p w14:paraId="2470CAAD" w14:textId="77777777" w:rsidR="00495C65" w:rsidRDefault="00495C65" w:rsidP="00495C65">
      <w:pPr>
        <w:pStyle w:val="13"/>
      </w:pPr>
      <w:r>
        <w:rPr>
          <w:rFonts w:hint="eastAsia"/>
        </w:rPr>
        <w:t>（四）损害赔偿比较法</w:t>
      </w:r>
    </w:p>
    <w:p w14:paraId="161C14AF" w14:textId="77777777" w:rsidR="00495C65" w:rsidRDefault="00495C65" w:rsidP="00495C65">
      <w:pPr>
        <w:pStyle w:val="13"/>
      </w:pPr>
      <w:r>
        <w:rPr>
          <w:rFonts w:hint="eastAsia"/>
        </w:rPr>
        <w:t>损害赔偿比较法是选取一定数量的可比房地产损害赔偿实例，将它们与估价对象进行比较，根据其间的差异对可比房地产损害赔偿实例赔偿价格进行处理后得到估价对象价值减损额的方法。</w:t>
      </w:r>
    </w:p>
    <w:p w14:paraId="4E523C24" w14:textId="77777777" w:rsidR="00495C65" w:rsidRDefault="00495C65" w:rsidP="00495C65">
      <w:pPr>
        <w:pStyle w:val="13"/>
      </w:pPr>
      <w:r>
        <w:rPr>
          <w:rFonts w:hint="eastAsia"/>
        </w:rPr>
        <w:t>采用损害赔偿比较法时，应当选取三个或者三个以上类似房地产损害赔偿可比实例，</w:t>
      </w:r>
      <w:r>
        <w:t>并进行补偿情况修正、补偿日期调整、损害状况调整。</w:t>
      </w:r>
    </w:p>
    <w:p w14:paraId="43D9FE41" w14:textId="77777777" w:rsidR="00495C65" w:rsidRDefault="00495C65" w:rsidP="00495C65">
      <w:pPr>
        <w:pStyle w:val="13"/>
        <w:ind w:firstLine="482"/>
      </w:pPr>
      <w:r w:rsidRPr="00866222">
        <w:rPr>
          <w:rFonts w:hint="eastAsia"/>
          <w:b/>
          <w:bCs/>
        </w:rPr>
        <w:t>第五十九条</w:t>
      </w:r>
      <w:r>
        <w:t xml:space="preserve"> 房屋采光、日照受影响的损害赔偿估价，宜采用价差法、损害赔偿</w:t>
      </w:r>
      <w:r>
        <w:lastRenderedPageBreak/>
        <w:t>比较法。首先测算采光、日照情况，结合当地有关规定进行日照分析，日照分析应当按照有关技术标准进行。符合规划要求但对房屋采光、日照产生影响的，应根据损害影响前、后被侵害房屋市场价值的变化额度或根据已有类似损害赔偿实例进行比较确定损害价值。</w:t>
      </w:r>
    </w:p>
    <w:p w14:paraId="1CFBE0E7" w14:textId="77777777" w:rsidR="00495C65" w:rsidRDefault="00495C65" w:rsidP="00495C65">
      <w:pPr>
        <w:pStyle w:val="13"/>
        <w:ind w:firstLine="482"/>
      </w:pPr>
      <w:r w:rsidRPr="00866222">
        <w:rPr>
          <w:rFonts w:hint="eastAsia"/>
          <w:b/>
          <w:bCs/>
        </w:rPr>
        <w:t>第六十条</w:t>
      </w:r>
      <w:r>
        <w:t xml:space="preserve"> 建筑高度或层高发生改变产生的功能性损害估价，宜采用价差法、损失资本化法。根据设计规范或建筑合同要求及层高改变对使用功能的影响程度进行分析，包括功能性折旧造成的影响。</w:t>
      </w:r>
    </w:p>
    <w:p w14:paraId="05EFB6DE" w14:textId="77777777" w:rsidR="00495C65" w:rsidRDefault="00495C65" w:rsidP="00AF7342">
      <w:pPr>
        <w:pStyle w:val="a9"/>
        <w:spacing w:before="62" w:after="62"/>
      </w:pPr>
      <w:r>
        <w:rPr>
          <w:rFonts w:hint="eastAsia"/>
        </w:rPr>
        <w:t>第四节</w:t>
      </w:r>
      <w:r>
        <w:t xml:space="preserve"> 国有土地上房屋征收补偿纠纷估价</w:t>
      </w:r>
    </w:p>
    <w:p w14:paraId="584717EC" w14:textId="77777777" w:rsidR="00495C65" w:rsidRDefault="00495C65" w:rsidP="00495C65">
      <w:pPr>
        <w:pStyle w:val="13"/>
        <w:ind w:firstLine="482"/>
      </w:pPr>
      <w:r w:rsidRPr="00866222">
        <w:rPr>
          <w:rFonts w:hint="eastAsia"/>
          <w:b/>
          <w:bCs/>
        </w:rPr>
        <w:t>第六十一条</w:t>
      </w:r>
      <w:r>
        <w:t xml:space="preserve"> 国有土地上房屋征收补偿纠纷估价，应当依据《国有土地上房屋征收与补偿条例》和《国有土地上房屋征收评估办法》进行。</w:t>
      </w:r>
    </w:p>
    <w:p w14:paraId="3A6D9832" w14:textId="77777777" w:rsidR="00495C65" w:rsidRDefault="00495C65" w:rsidP="00495C65">
      <w:pPr>
        <w:pStyle w:val="13"/>
        <w:ind w:firstLine="482"/>
      </w:pPr>
      <w:r w:rsidRPr="00866222">
        <w:rPr>
          <w:rFonts w:hint="eastAsia"/>
          <w:b/>
          <w:bCs/>
        </w:rPr>
        <w:t>第六十二条</w:t>
      </w:r>
      <w:r>
        <w:t xml:space="preserve"> 国有土地上房屋征收补偿纠纷估价，应当区分下列情形：</w:t>
      </w:r>
    </w:p>
    <w:p w14:paraId="19747961" w14:textId="77777777" w:rsidR="00495C65" w:rsidRDefault="00495C65" w:rsidP="00495C65">
      <w:pPr>
        <w:pStyle w:val="13"/>
      </w:pPr>
      <w:r>
        <w:rPr>
          <w:rFonts w:hint="eastAsia"/>
        </w:rPr>
        <w:t>（一）被征收房屋仍然存在；</w:t>
      </w:r>
    </w:p>
    <w:p w14:paraId="24612F18" w14:textId="77777777" w:rsidR="00495C65" w:rsidRDefault="00495C65" w:rsidP="00495C65">
      <w:pPr>
        <w:pStyle w:val="13"/>
      </w:pPr>
      <w:r>
        <w:rPr>
          <w:rFonts w:hint="eastAsia"/>
        </w:rPr>
        <w:t>（二）被征收房屋灭失，但有证据保全；</w:t>
      </w:r>
    </w:p>
    <w:p w14:paraId="3F586FAE" w14:textId="77777777" w:rsidR="00495C65" w:rsidRDefault="00495C65" w:rsidP="00495C65">
      <w:pPr>
        <w:pStyle w:val="13"/>
      </w:pPr>
      <w:r>
        <w:rPr>
          <w:rFonts w:hint="eastAsia"/>
        </w:rPr>
        <w:t>（三）被征收房屋灭失，未办理证据保全。</w:t>
      </w:r>
    </w:p>
    <w:p w14:paraId="3EC13662" w14:textId="77777777" w:rsidR="00495C65" w:rsidRDefault="00495C65" w:rsidP="00495C65">
      <w:pPr>
        <w:pStyle w:val="13"/>
        <w:ind w:firstLine="482"/>
      </w:pPr>
      <w:r w:rsidRPr="00866222">
        <w:rPr>
          <w:rFonts w:hint="eastAsia"/>
          <w:b/>
          <w:bCs/>
        </w:rPr>
        <w:t>第六十三条</w:t>
      </w:r>
      <w:r>
        <w:t xml:space="preserve"> 被征收房屋灭失，但有证据保全的，应当依据保全的证据、该房屋被征收之时的房地产市场状况进行估价。</w:t>
      </w:r>
    </w:p>
    <w:p w14:paraId="15503515" w14:textId="77777777" w:rsidR="00495C65" w:rsidRDefault="00495C65" w:rsidP="00495C65">
      <w:pPr>
        <w:pStyle w:val="13"/>
        <w:ind w:firstLine="482"/>
      </w:pPr>
      <w:r w:rsidRPr="00866222">
        <w:rPr>
          <w:rFonts w:hint="eastAsia"/>
          <w:b/>
          <w:bCs/>
        </w:rPr>
        <w:t>第六十四条</w:t>
      </w:r>
      <w:r>
        <w:t xml:space="preserve"> 被征收房屋灭失，未办理证据保全的，该房屋不具备估价的条件。如果委托人知道该被征收房屋不具备估价条件，当事人向委托人签收《房地产司法鉴定风险告知书》的，可以依据有限的估价依据，对该被征收房屋进行咨询性估价。</w:t>
      </w:r>
    </w:p>
    <w:p w14:paraId="41111430" w14:textId="77777777" w:rsidR="00495C65" w:rsidRDefault="00495C65" w:rsidP="00AF7342">
      <w:pPr>
        <w:pStyle w:val="a9"/>
        <w:spacing w:before="62" w:after="62"/>
      </w:pPr>
      <w:r>
        <w:rPr>
          <w:rFonts w:hint="eastAsia"/>
        </w:rPr>
        <w:t>第五节</w:t>
      </w:r>
      <w:r>
        <w:t xml:space="preserve"> 房地产其他纠纷估价</w:t>
      </w:r>
    </w:p>
    <w:p w14:paraId="474039B2" w14:textId="77777777" w:rsidR="00495C65" w:rsidRDefault="00495C65" w:rsidP="00495C65">
      <w:pPr>
        <w:pStyle w:val="13"/>
        <w:ind w:firstLine="482"/>
      </w:pPr>
      <w:r w:rsidRPr="00866222">
        <w:rPr>
          <w:rFonts w:hint="eastAsia"/>
          <w:b/>
          <w:bCs/>
        </w:rPr>
        <w:t>第六十五条</w:t>
      </w:r>
      <w:r>
        <w:t xml:space="preserve"> 房地产其他纠纷估价，包括房地产抵押估价、作价入股等其他估价带来纠纷的估价。</w:t>
      </w:r>
    </w:p>
    <w:p w14:paraId="05F24DB7" w14:textId="77777777" w:rsidR="00495C65" w:rsidRDefault="00495C65" w:rsidP="00495C65">
      <w:pPr>
        <w:pStyle w:val="13"/>
        <w:ind w:firstLine="482"/>
      </w:pPr>
      <w:r w:rsidRPr="00866222">
        <w:rPr>
          <w:rFonts w:hint="eastAsia"/>
          <w:b/>
          <w:bCs/>
        </w:rPr>
        <w:t>第六十六条</w:t>
      </w:r>
      <w:r>
        <w:t xml:space="preserve"> 房地产纠纷估价的内容，包括对原进行估价的单位和个人的估价资质资格是否符合有关规定，估价程序和估价方法、估价依据是否遵循法律法规、估价标准规范等，进而对是否存在虚假估价、估价是否严重失实进行鉴定和判断。</w:t>
      </w:r>
    </w:p>
    <w:p w14:paraId="3B9C161C" w14:textId="77777777" w:rsidR="00495C65" w:rsidRDefault="00495C65" w:rsidP="00495C65">
      <w:pPr>
        <w:pStyle w:val="13"/>
        <w:ind w:firstLine="482"/>
      </w:pPr>
      <w:r w:rsidRPr="00866222">
        <w:rPr>
          <w:rFonts w:hint="eastAsia"/>
          <w:b/>
          <w:bCs/>
        </w:rPr>
        <w:t>第六十七条</w:t>
      </w:r>
      <w:r>
        <w:t xml:space="preserve"> 房地产其他纠纷估价，应当遵循估价标准规范及有关规定。</w:t>
      </w:r>
    </w:p>
    <w:p w14:paraId="6E090596" w14:textId="77777777" w:rsidR="00495C65" w:rsidRDefault="00495C65" w:rsidP="00AF7342">
      <w:pPr>
        <w:pStyle w:val="a9"/>
        <w:spacing w:before="62" w:after="62"/>
      </w:pPr>
      <w:r>
        <w:rPr>
          <w:rFonts w:hint="eastAsia"/>
        </w:rPr>
        <w:t>第六节</w:t>
      </w:r>
      <w:r>
        <w:t xml:space="preserve"> 纪检涉案房地产估价</w:t>
      </w:r>
    </w:p>
    <w:p w14:paraId="6B284E64" w14:textId="77777777" w:rsidR="00495C65" w:rsidRDefault="00495C65" w:rsidP="00495C65">
      <w:pPr>
        <w:pStyle w:val="13"/>
        <w:ind w:firstLine="482"/>
      </w:pPr>
      <w:r w:rsidRPr="00866222">
        <w:rPr>
          <w:rFonts w:hint="eastAsia"/>
          <w:b/>
          <w:bCs/>
        </w:rPr>
        <w:t>第六十八条</w:t>
      </w:r>
      <w:r>
        <w:t xml:space="preserve"> 受贿涉案房地产包括检察、纪检监察机关认定的下列情形房地产：</w:t>
      </w:r>
    </w:p>
    <w:p w14:paraId="045438C2" w14:textId="77777777" w:rsidR="00495C65" w:rsidRDefault="00495C65" w:rsidP="00495C65">
      <w:pPr>
        <w:pStyle w:val="13"/>
      </w:pPr>
      <w:r>
        <w:rPr>
          <w:rFonts w:hint="eastAsia"/>
        </w:rPr>
        <w:t>（一）以明显低于市场价格向请托人购买的房地产；</w:t>
      </w:r>
    </w:p>
    <w:p w14:paraId="2E1229A4" w14:textId="77777777" w:rsidR="00495C65" w:rsidRDefault="00495C65" w:rsidP="00495C65">
      <w:pPr>
        <w:pStyle w:val="13"/>
      </w:pPr>
      <w:r>
        <w:rPr>
          <w:rFonts w:hint="eastAsia"/>
        </w:rPr>
        <w:t>（二）以明显高于市场价格向请托人出售的房地产；</w:t>
      </w:r>
    </w:p>
    <w:p w14:paraId="09D45724" w14:textId="77777777" w:rsidR="00495C65" w:rsidRDefault="00495C65" w:rsidP="00495C65">
      <w:pPr>
        <w:pStyle w:val="13"/>
      </w:pPr>
      <w:r>
        <w:rPr>
          <w:rFonts w:hint="eastAsia"/>
        </w:rPr>
        <w:t>（三）以其他交易方式非法收受请托人的房地产；</w:t>
      </w:r>
    </w:p>
    <w:p w14:paraId="321FBC66" w14:textId="77777777" w:rsidR="00495C65" w:rsidRDefault="00495C65" w:rsidP="00495C65">
      <w:pPr>
        <w:pStyle w:val="13"/>
      </w:pPr>
      <w:r>
        <w:rPr>
          <w:rFonts w:hint="eastAsia"/>
        </w:rPr>
        <w:t>（四）以干股形式收受请托人提供房屋租金、房地产开发利润等涉及的房地产。</w:t>
      </w:r>
    </w:p>
    <w:p w14:paraId="068B5100" w14:textId="77777777" w:rsidR="00495C65" w:rsidRDefault="00495C65" w:rsidP="00495C65">
      <w:pPr>
        <w:pStyle w:val="13"/>
        <w:ind w:firstLine="482"/>
      </w:pPr>
      <w:r w:rsidRPr="00866222">
        <w:rPr>
          <w:rFonts w:hint="eastAsia"/>
          <w:b/>
          <w:bCs/>
        </w:rPr>
        <w:t>第六十九条</w:t>
      </w:r>
      <w:r>
        <w:t xml:space="preserve"> 渎职涉案房地产包括检察、纪检监察机关认定的下列情形房地产：</w:t>
      </w:r>
    </w:p>
    <w:p w14:paraId="29AF2C77" w14:textId="77777777" w:rsidR="00495C65" w:rsidRDefault="00495C65" w:rsidP="00495C65">
      <w:pPr>
        <w:pStyle w:val="13"/>
      </w:pPr>
      <w:r>
        <w:rPr>
          <w:rFonts w:hint="eastAsia"/>
        </w:rPr>
        <w:lastRenderedPageBreak/>
        <w:t>（一）超标准及规划条件建设的房屋、构筑物、附属物；</w:t>
      </w:r>
    </w:p>
    <w:p w14:paraId="4049A54D" w14:textId="77777777" w:rsidR="00495C65" w:rsidRDefault="00495C65" w:rsidP="00495C65">
      <w:pPr>
        <w:pStyle w:val="13"/>
      </w:pPr>
      <w:r>
        <w:rPr>
          <w:rFonts w:hint="eastAsia"/>
        </w:rPr>
        <w:t>（二）未按照国家相关标准建设的房屋、构筑物、附属物；</w:t>
      </w:r>
    </w:p>
    <w:p w14:paraId="64574D2B" w14:textId="77777777" w:rsidR="00495C65" w:rsidRDefault="00495C65" w:rsidP="00495C65">
      <w:pPr>
        <w:pStyle w:val="13"/>
      </w:pPr>
      <w:r>
        <w:rPr>
          <w:rFonts w:hint="eastAsia"/>
        </w:rPr>
        <w:t>（三）损害或者倒塌的房屋、构筑物、附属物；</w:t>
      </w:r>
    </w:p>
    <w:p w14:paraId="04384E6E" w14:textId="77777777" w:rsidR="00495C65" w:rsidRDefault="00495C65" w:rsidP="00495C65">
      <w:pPr>
        <w:pStyle w:val="13"/>
      </w:pPr>
      <w:r>
        <w:rPr>
          <w:rFonts w:hint="eastAsia"/>
        </w:rPr>
        <w:t>（四）其他情形涉及的房地产。</w:t>
      </w:r>
    </w:p>
    <w:p w14:paraId="7F258356" w14:textId="77777777" w:rsidR="00495C65" w:rsidRDefault="00495C65" w:rsidP="00495C65">
      <w:pPr>
        <w:pStyle w:val="13"/>
        <w:ind w:firstLine="482"/>
      </w:pPr>
      <w:r w:rsidRPr="00866222">
        <w:rPr>
          <w:rFonts w:hint="eastAsia"/>
          <w:b/>
          <w:bCs/>
        </w:rPr>
        <w:t>第七十条</w:t>
      </w:r>
      <w:r>
        <w:t xml:space="preserve"> 受贿、渎职涉案房地产估价所需资料及估价范围、房地产状况、价值时点、价值内涵等事项，以检察、纪检监察部门提供、认定的情况为准，并在房地产估价委托书上载明。需要与委托人沟通认定的事项，应在房地产估价委托书上载</w:t>
      </w:r>
      <w:proofErr w:type="gramStart"/>
      <w:r>
        <w:t>明或者</w:t>
      </w:r>
      <w:proofErr w:type="gramEnd"/>
      <w:r>
        <w:t>进行补充认定。</w:t>
      </w:r>
    </w:p>
    <w:p w14:paraId="5D2C6EFB" w14:textId="77777777" w:rsidR="00495C65" w:rsidRDefault="00495C65" w:rsidP="00495C65">
      <w:pPr>
        <w:pStyle w:val="13"/>
      </w:pPr>
      <w:r>
        <w:rPr>
          <w:rFonts w:hint="eastAsia"/>
        </w:rPr>
        <w:t>实地查勘中，应当有两名（含两名）以上注册房地产估价师与办案人员一同进行实地查勘，均应当在实地查勘记录上签字确认。其他事项参照人民法院委托估价的相关规定。</w:t>
      </w:r>
    </w:p>
    <w:p w14:paraId="0CAA6D07" w14:textId="77777777" w:rsidR="00495C65" w:rsidRDefault="00495C65" w:rsidP="00495C65">
      <w:pPr>
        <w:pStyle w:val="13"/>
        <w:ind w:firstLine="482"/>
      </w:pPr>
      <w:r w:rsidRPr="00866222">
        <w:rPr>
          <w:rFonts w:hint="eastAsia"/>
          <w:b/>
          <w:bCs/>
        </w:rPr>
        <w:t>第七十一条</w:t>
      </w:r>
      <w:r>
        <w:t xml:space="preserve"> 涉案房地产估价，应当评估房地产的市场价值，并根据下列具体情况与委托人沟通后对价值内涵进行调整处理：</w:t>
      </w:r>
    </w:p>
    <w:p w14:paraId="012550DB" w14:textId="77777777" w:rsidR="00495C65" w:rsidRDefault="00495C65" w:rsidP="00495C65">
      <w:pPr>
        <w:pStyle w:val="13"/>
      </w:pPr>
      <w:r>
        <w:rPr>
          <w:rFonts w:hint="eastAsia"/>
        </w:rPr>
        <w:t>（一）以明显低于市场价格向请托人购买新开发房地产，卖方事先设定不针对特定人有优惠价格的，优惠价格应当予以扣除。</w:t>
      </w:r>
    </w:p>
    <w:p w14:paraId="0F9B9497" w14:textId="77777777" w:rsidR="00495C65" w:rsidRDefault="00495C65" w:rsidP="00495C65">
      <w:pPr>
        <w:pStyle w:val="13"/>
      </w:pPr>
      <w:r>
        <w:rPr>
          <w:rFonts w:hint="eastAsia"/>
        </w:rPr>
        <w:t>（二）受贿房地产权属已在受贿人或其亲属名下的，估价结果为市场价值，但应当在估价报告中提示估价报告使用者关注房地产交易税费的实际支付方式及金额。</w:t>
      </w:r>
    </w:p>
    <w:p w14:paraId="5EA00CB8" w14:textId="77777777" w:rsidR="00495C65" w:rsidRDefault="00495C65" w:rsidP="00495C65">
      <w:pPr>
        <w:pStyle w:val="13"/>
      </w:pPr>
      <w:r>
        <w:rPr>
          <w:rFonts w:hint="eastAsia"/>
        </w:rPr>
        <w:t>（三）受贿房地产</w:t>
      </w:r>
      <w:proofErr w:type="gramStart"/>
      <w:r>
        <w:rPr>
          <w:rFonts w:hint="eastAsia"/>
        </w:rPr>
        <w:t>权属未</w:t>
      </w:r>
      <w:proofErr w:type="gramEnd"/>
      <w:r>
        <w:rPr>
          <w:rFonts w:hint="eastAsia"/>
        </w:rPr>
        <w:t>在受贿人或者其亲属名下，且房地产买卖合同载明买方负担全部交易税费或纪检部门认定卖方无需负担任何交易税费的，估价结果宜为税前卖方实得价值。房地产买卖合同载明卖方负担全部交易税费或检察、纪检监察机关认定买方无需负担任何交易税费的，估价结果宜为税后买方实付价值。</w:t>
      </w:r>
    </w:p>
    <w:p w14:paraId="3D14C619" w14:textId="77777777" w:rsidR="00495C65" w:rsidRDefault="00495C65" w:rsidP="00495C65">
      <w:pPr>
        <w:pStyle w:val="13"/>
      </w:pPr>
      <w:r>
        <w:rPr>
          <w:rFonts w:hint="eastAsia"/>
        </w:rPr>
        <w:t>经与委托人沟通同意，也可以按照本条第（二）款进行估价。</w:t>
      </w:r>
    </w:p>
    <w:p w14:paraId="610087BE" w14:textId="77777777" w:rsidR="00495C65" w:rsidRDefault="00495C65" w:rsidP="00AF7342">
      <w:pPr>
        <w:pStyle w:val="a9"/>
        <w:spacing w:before="62" w:after="62"/>
      </w:pPr>
      <w:r>
        <w:rPr>
          <w:rFonts w:hint="eastAsia"/>
        </w:rPr>
        <w:t>第四章</w:t>
      </w:r>
      <w:r>
        <w:t xml:space="preserve"> 房地产司法鉴定估价报告</w:t>
      </w:r>
    </w:p>
    <w:p w14:paraId="6C647BFB" w14:textId="77777777" w:rsidR="00495C65" w:rsidRDefault="00495C65" w:rsidP="00495C65">
      <w:pPr>
        <w:pStyle w:val="13"/>
        <w:ind w:firstLine="482"/>
      </w:pPr>
      <w:r w:rsidRPr="00A83212">
        <w:rPr>
          <w:rFonts w:hint="eastAsia"/>
          <w:b/>
          <w:bCs/>
        </w:rPr>
        <w:t>第七十二条</w:t>
      </w:r>
      <w:r>
        <w:t xml:space="preserve"> 房地产司法鉴定估价报告分为</w:t>
      </w:r>
      <w:proofErr w:type="gramStart"/>
      <w:r>
        <w:t>鉴证</w:t>
      </w:r>
      <w:proofErr w:type="gramEnd"/>
      <w:r>
        <w:t>性估价报告和咨询性估价报告。</w:t>
      </w:r>
      <w:proofErr w:type="gramStart"/>
      <w:r>
        <w:t>鉴证</w:t>
      </w:r>
      <w:proofErr w:type="gramEnd"/>
      <w:r>
        <w:t>性估价报告，是指为委托人提供给第三方使用而出具的起着价值证明作用的报</w:t>
      </w:r>
      <w:r>
        <w:rPr>
          <w:rFonts w:hint="eastAsia"/>
        </w:rPr>
        <w:t>告，内容应当包括：估价依据、估价程序、估价方法、相关数据来源与确定、报告使用提示等必要信息，使委托人和估价报告使用者了解估价对象的范围，</w:t>
      </w:r>
      <w:proofErr w:type="gramStart"/>
      <w:r>
        <w:rPr>
          <w:rFonts w:hint="eastAsia"/>
        </w:rPr>
        <w:t>合理理解</w:t>
      </w:r>
      <w:proofErr w:type="gramEnd"/>
      <w:r>
        <w:rPr>
          <w:rFonts w:hint="eastAsia"/>
        </w:rPr>
        <w:t>估价结果。</w:t>
      </w:r>
    </w:p>
    <w:p w14:paraId="65F544F7" w14:textId="77777777" w:rsidR="00495C65" w:rsidRDefault="00495C65" w:rsidP="00495C65">
      <w:pPr>
        <w:pStyle w:val="13"/>
      </w:pPr>
      <w:r>
        <w:rPr>
          <w:rFonts w:hint="eastAsia"/>
        </w:rPr>
        <w:t>咨询性估价报告，是指受客观原因限制，委托人或有关当事人明知存在估价依据不充分、必要的估价程序不能完全履行的情况下，仍然委托估价而出具的估价报告。委托人和估价报告使用者需在了解估价依据、估价程序等方面存在重大缺失的前提下，</w:t>
      </w:r>
      <w:proofErr w:type="gramStart"/>
      <w:r>
        <w:rPr>
          <w:rFonts w:hint="eastAsia"/>
        </w:rPr>
        <w:t>合理理解</w:t>
      </w:r>
      <w:proofErr w:type="gramEnd"/>
      <w:r>
        <w:rPr>
          <w:rFonts w:hint="eastAsia"/>
        </w:rPr>
        <w:t>估价结果。咨询性估价报告可在估价程序、估价依据和估价规范等标准的执行方面比</w:t>
      </w:r>
      <w:proofErr w:type="gramStart"/>
      <w:r>
        <w:rPr>
          <w:rFonts w:hint="eastAsia"/>
        </w:rPr>
        <w:t>鉴证</w:t>
      </w:r>
      <w:proofErr w:type="gramEnd"/>
      <w:r>
        <w:rPr>
          <w:rFonts w:hint="eastAsia"/>
        </w:rPr>
        <w:t>性估价报告有所放宽。</w:t>
      </w:r>
    </w:p>
    <w:p w14:paraId="0D63B071" w14:textId="77777777" w:rsidR="00495C65" w:rsidRDefault="00495C65" w:rsidP="00495C65">
      <w:pPr>
        <w:pStyle w:val="13"/>
        <w:ind w:firstLine="482"/>
      </w:pPr>
      <w:r w:rsidRPr="00A83212">
        <w:rPr>
          <w:rFonts w:hint="eastAsia"/>
          <w:b/>
          <w:bCs/>
        </w:rPr>
        <w:t>第七十三条</w:t>
      </w:r>
      <w:r>
        <w:t xml:space="preserve"> 房地产司法拍卖估价的价值时点，原则上为估价委托之日或者完成</w:t>
      </w:r>
      <w:r>
        <w:lastRenderedPageBreak/>
        <w:t>估价对象实地查勘之日，但估价委托另有约定的除外。</w:t>
      </w:r>
    </w:p>
    <w:p w14:paraId="4474AA6E" w14:textId="77777777" w:rsidR="00495C65" w:rsidRDefault="00495C65" w:rsidP="00495C65">
      <w:pPr>
        <w:pStyle w:val="13"/>
      </w:pPr>
      <w:r>
        <w:rPr>
          <w:rFonts w:hint="eastAsia"/>
        </w:rPr>
        <w:t>价值时点不是完成实地查勘之日的，应当在“估价假设和限制条件”中揭示估价对象在价值时点的状况与在完成实地查勘之日的状况的差异，并指出该差异对估价结果的影响，提示估价报告使用者注意。</w:t>
      </w:r>
    </w:p>
    <w:p w14:paraId="4ABB0D76" w14:textId="77777777" w:rsidR="00495C65" w:rsidRDefault="00495C65" w:rsidP="00495C65">
      <w:pPr>
        <w:pStyle w:val="13"/>
        <w:ind w:firstLine="482"/>
      </w:pPr>
      <w:r w:rsidRPr="00A83212">
        <w:rPr>
          <w:rFonts w:hint="eastAsia"/>
          <w:b/>
          <w:bCs/>
        </w:rPr>
        <w:t>第七十四条</w:t>
      </w:r>
      <w:r>
        <w:t xml:space="preserve"> 房地产司法</w:t>
      </w:r>
      <w:proofErr w:type="gramStart"/>
      <w:r>
        <w:t>鉴证</w:t>
      </w:r>
      <w:proofErr w:type="gramEnd"/>
      <w:r>
        <w:t>性估价，估价报告的名称为“房地产司法鉴定估价报告”；房地产司法咨询性估价，估价报告的名称为“房地产司法鉴定咨询报告”。</w:t>
      </w:r>
    </w:p>
    <w:p w14:paraId="050036FF" w14:textId="77777777" w:rsidR="00495C65" w:rsidRDefault="00495C65" w:rsidP="00495C65">
      <w:pPr>
        <w:pStyle w:val="13"/>
        <w:ind w:firstLine="482"/>
      </w:pPr>
      <w:r w:rsidRPr="00A83212">
        <w:rPr>
          <w:rFonts w:hint="eastAsia"/>
          <w:b/>
          <w:bCs/>
        </w:rPr>
        <w:t>第七十五条</w:t>
      </w:r>
      <w:r>
        <w:t xml:space="preserve"> 房地产司法鉴定估价报告应当说明估价依据类型，并充分披露下列估价依据的内容：</w:t>
      </w:r>
    </w:p>
    <w:p w14:paraId="744A80EB" w14:textId="77777777" w:rsidR="00495C65" w:rsidRDefault="00495C65" w:rsidP="00495C65">
      <w:pPr>
        <w:pStyle w:val="13"/>
      </w:pPr>
      <w:r>
        <w:rPr>
          <w:rFonts w:hint="eastAsia"/>
        </w:rPr>
        <w:t>（一）经当事人质证、人民法院认定提供的估价资料；</w:t>
      </w:r>
    </w:p>
    <w:p w14:paraId="69409E9F" w14:textId="77777777" w:rsidR="00495C65" w:rsidRDefault="00495C65" w:rsidP="00495C65">
      <w:pPr>
        <w:pStyle w:val="13"/>
      </w:pPr>
      <w:r>
        <w:rPr>
          <w:rFonts w:hint="eastAsia"/>
        </w:rPr>
        <w:t>（二）当事人提交、补充，人民法院认可提供的估价资料；</w:t>
      </w:r>
    </w:p>
    <w:p w14:paraId="6F121F49" w14:textId="77777777" w:rsidR="00495C65" w:rsidRDefault="00495C65" w:rsidP="00495C65">
      <w:pPr>
        <w:pStyle w:val="13"/>
      </w:pPr>
      <w:r>
        <w:rPr>
          <w:rFonts w:hint="eastAsia"/>
        </w:rPr>
        <w:t>（三）人民法院调查提供的估价资料；</w:t>
      </w:r>
    </w:p>
    <w:p w14:paraId="25473872" w14:textId="77777777" w:rsidR="00495C65" w:rsidRDefault="00495C65" w:rsidP="00495C65">
      <w:pPr>
        <w:pStyle w:val="13"/>
      </w:pPr>
      <w:r>
        <w:rPr>
          <w:rFonts w:hint="eastAsia"/>
        </w:rPr>
        <w:t>（四）房地产估价机构依据估价程序取得的估价资料。</w:t>
      </w:r>
    </w:p>
    <w:p w14:paraId="384D29E2" w14:textId="77777777" w:rsidR="00495C65" w:rsidRDefault="00495C65" w:rsidP="00495C65">
      <w:pPr>
        <w:pStyle w:val="13"/>
      </w:pPr>
      <w:r>
        <w:rPr>
          <w:rFonts w:hint="eastAsia"/>
        </w:rPr>
        <w:t>房地产司法估价依据缺失的，应当在估价报告中说明原因。</w:t>
      </w:r>
    </w:p>
    <w:p w14:paraId="034C8CFC" w14:textId="77777777" w:rsidR="00495C65" w:rsidRDefault="00495C65" w:rsidP="00AF7342">
      <w:pPr>
        <w:pStyle w:val="a9"/>
        <w:spacing w:before="62" w:after="62"/>
      </w:pPr>
      <w:r>
        <w:rPr>
          <w:rFonts w:hint="eastAsia"/>
        </w:rPr>
        <w:t>第五章</w:t>
      </w:r>
      <w:r>
        <w:t xml:space="preserve"> 房地产司法鉴定估价的质证</w:t>
      </w:r>
    </w:p>
    <w:p w14:paraId="2AC956C5" w14:textId="77777777" w:rsidR="00495C65" w:rsidRDefault="00495C65" w:rsidP="00495C65">
      <w:pPr>
        <w:pStyle w:val="13"/>
        <w:ind w:firstLine="482"/>
      </w:pPr>
      <w:r w:rsidRPr="00E15A6A">
        <w:rPr>
          <w:rFonts w:hint="eastAsia"/>
          <w:b/>
          <w:bCs/>
        </w:rPr>
        <w:t>第七十六条</w:t>
      </w:r>
      <w:r>
        <w:t xml:space="preserve"> 注册房地产估价师有出庭接受质询的义务，就委托人及当事人围绕估价的相关问题提出的质疑和询问，应当给予回答、进行说明。应当准备回答的问题包括但不限于注册房地产估价师及其所在房地产估价机构是否符合房地产司法鉴定估价的执业条件，是否符合估价标准规范，估价报告的合法性、公允性、客观性、真实性、完整性等。</w:t>
      </w:r>
    </w:p>
    <w:p w14:paraId="09129864" w14:textId="77777777" w:rsidR="00495C65" w:rsidRDefault="00495C65" w:rsidP="00495C65">
      <w:pPr>
        <w:pStyle w:val="13"/>
        <w:ind w:firstLine="482"/>
      </w:pPr>
      <w:r w:rsidRPr="00E15A6A">
        <w:rPr>
          <w:rFonts w:hint="eastAsia"/>
          <w:b/>
          <w:bCs/>
        </w:rPr>
        <w:t>第七十七条</w:t>
      </w:r>
      <w:r>
        <w:t xml:space="preserve"> 就估价报告的有关内容，注册房地产估价师出庭接受询问应当回答下列问题：</w:t>
      </w:r>
    </w:p>
    <w:p w14:paraId="296CF01F" w14:textId="77777777" w:rsidR="00495C65" w:rsidRDefault="00495C65" w:rsidP="00495C65">
      <w:pPr>
        <w:pStyle w:val="13"/>
      </w:pPr>
      <w:r>
        <w:rPr>
          <w:rFonts w:hint="eastAsia"/>
        </w:rPr>
        <w:t>（一）估价报告的完整性，即估价报告是否存在重大疏漏或者缺项；</w:t>
      </w:r>
    </w:p>
    <w:p w14:paraId="5344AD27" w14:textId="77777777" w:rsidR="00495C65" w:rsidRDefault="00495C65" w:rsidP="00495C65">
      <w:pPr>
        <w:pStyle w:val="13"/>
      </w:pPr>
      <w:r>
        <w:rPr>
          <w:rFonts w:hint="eastAsia"/>
        </w:rPr>
        <w:t>（二）估价报告的附件资料的来源，及其真实性、合法性和完整性；</w:t>
      </w:r>
    </w:p>
    <w:p w14:paraId="0CB38D7C" w14:textId="77777777" w:rsidR="00495C65" w:rsidRDefault="00495C65" w:rsidP="00495C65">
      <w:pPr>
        <w:pStyle w:val="13"/>
      </w:pPr>
      <w:r>
        <w:rPr>
          <w:rFonts w:hint="eastAsia"/>
        </w:rPr>
        <w:t>（三）估价方法、估价技术路线、估价基础数据、估价参数选取等，是否存在不当或者违反行业规范等；</w:t>
      </w:r>
    </w:p>
    <w:p w14:paraId="5F477921" w14:textId="77777777" w:rsidR="00495C65" w:rsidRDefault="00495C65" w:rsidP="00495C65">
      <w:pPr>
        <w:pStyle w:val="13"/>
      </w:pPr>
      <w:r>
        <w:rPr>
          <w:rFonts w:hint="eastAsia"/>
        </w:rPr>
        <w:t>（四）估价结果是否存在重大价值差异。</w:t>
      </w:r>
    </w:p>
    <w:p w14:paraId="53FED1D6" w14:textId="77777777" w:rsidR="00495C65" w:rsidRDefault="00495C65" w:rsidP="00495C65">
      <w:pPr>
        <w:pStyle w:val="13"/>
        <w:ind w:firstLine="482"/>
      </w:pPr>
      <w:r w:rsidRPr="00E15A6A">
        <w:rPr>
          <w:rFonts w:hint="eastAsia"/>
          <w:b/>
          <w:bCs/>
        </w:rPr>
        <w:t>第七十八条</w:t>
      </w:r>
      <w:r>
        <w:t xml:space="preserve"> 从事房地产司法鉴定估价的注册房地产估价师，确有正当理由不能出庭接受询问的，应当及时向人民法院提交书面申请，阐明理由，并就有关当事人对估价的质疑提交书面答复。注册房地产估价师是否出庭，由人民法院决定。</w:t>
      </w:r>
    </w:p>
    <w:p w14:paraId="71C4D954" w14:textId="77777777" w:rsidR="00495C65" w:rsidRDefault="00495C65" w:rsidP="00495C65">
      <w:pPr>
        <w:pStyle w:val="13"/>
        <w:ind w:firstLine="482"/>
      </w:pPr>
      <w:r w:rsidRPr="00E15A6A">
        <w:rPr>
          <w:rFonts w:hint="eastAsia"/>
          <w:b/>
          <w:bCs/>
        </w:rPr>
        <w:t>第七十九条</w:t>
      </w:r>
      <w:r>
        <w:t xml:space="preserve"> 出庭接受询问的注册房地产估价师，对于当事人及其代理人、聘请的专家辅助人超出质证范围的询问，可以经法官同意后，不予回答。</w:t>
      </w:r>
    </w:p>
    <w:p w14:paraId="27D25C82" w14:textId="77777777" w:rsidR="00495C65" w:rsidRDefault="00495C65" w:rsidP="00495C65">
      <w:pPr>
        <w:pStyle w:val="13"/>
        <w:ind w:firstLine="482"/>
      </w:pPr>
      <w:r w:rsidRPr="00E15A6A">
        <w:rPr>
          <w:rFonts w:hint="eastAsia"/>
          <w:b/>
          <w:bCs/>
        </w:rPr>
        <w:t>第八十条</w:t>
      </w:r>
      <w:r>
        <w:t xml:space="preserve"> 从事房地产司法鉴定估价的注册房地产估价师出庭接受询问，在对房地产司法鉴定估价进行质证的活动结束后，不得旁听。</w:t>
      </w:r>
    </w:p>
    <w:p w14:paraId="4C33BDC5" w14:textId="77777777" w:rsidR="00495C65" w:rsidRDefault="00495C65" w:rsidP="00495C65">
      <w:pPr>
        <w:pStyle w:val="13"/>
        <w:ind w:firstLine="482"/>
      </w:pPr>
      <w:r w:rsidRPr="00E15A6A">
        <w:rPr>
          <w:rFonts w:hint="eastAsia"/>
          <w:b/>
          <w:bCs/>
        </w:rPr>
        <w:t>第八十一条</w:t>
      </w:r>
      <w:r>
        <w:t xml:space="preserve"> 注册房地产估价师出庭接受询问后，应当对人民法院提供的质证情</w:t>
      </w:r>
      <w:r>
        <w:lastRenderedPageBreak/>
        <w:t>况笔录进行核对后签名。</w:t>
      </w:r>
    </w:p>
    <w:p w14:paraId="78040089" w14:textId="77777777" w:rsidR="00495C65" w:rsidRDefault="00495C65" w:rsidP="00495C65">
      <w:pPr>
        <w:pStyle w:val="13"/>
        <w:ind w:firstLine="482"/>
      </w:pPr>
      <w:r w:rsidRPr="00E15A6A">
        <w:rPr>
          <w:rFonts w:hint="eastAsia"/>
          <w:b/>
          <w:bCs/>
        </w:rPr>
        <w:t>第八十二条</w:t>
      </w:r>
      <w:r>
        <w:t xml:space="preserve"> 具有房地产司法鉴定估价资格的房地产估价机构的注册房地产估价师，可以受当事人的聘请，经当事人向人民法院申请同意，以专家证人或者专家辅助人身份</w:t>
      </w:r>
      <w:r>
        <w:rPr>
          <w:rFonts w:hint="eastAsia"/>
        </w:rPr>
        <w:t>出庭，就案件的房地产司法鉴定估价专门性问题进行说明。</w:t>
      </w:r>
    </w:p>
    <w:p w14:paraId="4C957D08" w14:textId="77777777" w:rsidR="00495C65" w:rsidRDefault="00495C65" w:rsidP="00495C65">
      <w:pPr>
        <w:pStyle w:val="13"/>
        <w:ind w:firstLine="482"/>
      </w:pPr>
      <w:r w:rsidRPr="00E15A6A">
        <w:rPr>
          <w:rFonts w:hint="eastAsia"/>
          <w:b/>
          <w:bCs/>
        </w:rPr>
        <w:t>第八十三条</w:t>
      </w:r>
      <w:r>
        <w:t xml:space="preserve"> 以专家证人身份出庭的注册房地产估价师，应当回答审判人员和当事人就房地产司法鉴定估价专门性问题的询问，经法官允许，可以对从事房地产司法鉴定估价的注册房地产估价师进行询问。经人民法院准许，当事人各自申请的以专家辅助人身份出庭的注册房地产估价师可以就案件中的房地产司法鉴定估价问题进行对质。</w:t>
      </w:r>
    </w:p>
    <w:p w14:paraId="1DEA8016" w14:textId="77777777" w:rsidR="00495C65" w:rsidRDefault="00495C65" w:rsidP="00495C65">
      <w:pPr>
        <w:pStyle w:val="13"/>
      </w:pPr>
      <w:r>
        <w:rPr>
          <w:rFonts w:hint="eastAsia"/>
        </w:rPr>
        <w:t>注册房地产估价师以专家证人或专家辅助人身份接受当事人委托，出庭就案件的房</w:t>
      </w:r>
      <w:r>
        <w:t>地产司法鉴定估价专门性问题进行说明，出庭费用由其所在的房地产估价机构统一收取，收费标准应当与当事人协商确定。</w:t>
      </w:r>
    </w:p>
    <w:p w14:paraId="4840A036" w14:textId="77777777" w:rsidR="00495C65" w:rsidRDefault="00495C65" w:rsidP="00495C65">
      <w:pPr>
        <w:pStyle w:val="13"/>
        <w:ind w:firstLine="482"/>
      </w:pPr>
      <w:r w:rsidRPr="00E15A6A">
        <w:rPr>
          <w:rFonts w:hint="eastAsia"/>
          <w:b/>
          <w:bCs/>
        </w:rPr>
        <w:t>第八十四条</w:t>
      </w:r>
      <w:r>
        <w:t xml:space="preserve"> 房地产司法鉴定估价质证中，产生严重分歧，无法采信专业鉴定意见的，经人民法院同意，可以委托房地产价格评估专家委员会出具专家意见。</w:t>
      </w:r>
    </w:p>
    <w:p w14:paraId="724F17BF" w14:textId="77777777" w:rsidR="00495C65" w:rsidRDefault="00495C65" w:rsidP="00AF7342">
      <w:pPr>
        <w:pStyle w:val="a9"/>
        <w:spacing w:before="62" w:after="62"/>
      </w:pPr>
      <w:r>
        <w:rPr>
          <w:rFonts w:hint="eastAsia"/>
        </w:rPr>
        <w:t>第六章</w:t>
      </w:r>
      <w:r>
        <w:t xml:space="preserve"> 附 则</w:t>
      </w:r>
    </w:p>
    <w:p w14:paraId="5F4EFC50" w14:textId="77777777" w:rsidR="00495C65" w:rsidRDefault="00495C65" w:rsidP="00495C65">
      <w:pPr>
        <w:pStyle w:val="13"/>
        <w:ind w:firstLine="482"/>
      </w:pPr>
      <w:r w:rsidRPr="00E15A6A">
        <w:rPr>
          <w:rFonts w:hint="eastAsia"/>
          <w:b/>
          <w:bCs/>
        </w:rPr>
        <w:t>第八十五条</w:t>
      </w:r>
      <w:r>
        <w:t xml:space="preserve"> 仲裁中涉及的房地产估价，参照本意见执行。</w:t>
      </w:r>
    </w:p>
    <w:p w14:paraId="743261B3" w14:textId="77777777" w:rsidR="00495C65" w:rsidRDefault="00495C65" w:rsidP="00495C65">
      <w:pPr>
        <w:pStyle w:val="13"/>
        <w:ind w:firstLine="482"/>
      </w:pPr>
      <w:r w:rsidRPr="00E15A6A">
        <w:rPr>
          <w:rFonts w:hint="eastAsia"/>
          <w:b/>
          <w:bCs/>
        </w:rPr>
        <w:t>第八十六条</w:t>
      </w:r>
      <w:r>
        <w:t xml:space="preserve"> 在房地产司法鉴定估价活动中，本意见未作规定的，应当按照《房地产估价规范》和《河南省房地产估价技术指引》执行。</w:t>
      </w:r>
    </w:p>
    <w:p w14:paraId="4BDB0BA9" w14:textId="77777777" w:rsidR="00495C65" w:rsidRDefault="00495C65" w:rsidP="00495C65">
      <w:pPr>
        <w:pStyle w:val="13"/>
        <w:ind w:firstLine="482"/>
      </w:pPr>
      <w:r w:rsidRPr="00E15A6A">
        <w:rPr>
          <w:rFonts w:hint="eastAsia"/>
          <w:b/>
          <w:bCs/>
        </w:rPr>
        <w:t>第八十七条</w:t>
      </w:r>
      <w:r>
        <w:t xml:space="preserve"> 本意见由河南省房地产估价师与经纪人协会负责解释。</w:t>
      </w:r>
    </w:p>
    <w:p w14:paraId="2D5B2125" w14:textId="77777777" w:rsidR="00495C65" w:rsidRDefault="00495C65" w:rsidP="00495C65">
      <w:pPr>
        <w:pStyle w:val="13"/>
        <w:ind w:firstLine="482"/>
      </w:pPr>
      <w:r w:rsidRPr="00E15A6A">
        <w:rPr>
          <w:rFonts w:hint="eastAsia"/>
          <w:b/>
          <w:bCs/>
        </w:rPr>
        <w:t>第八十八条</w:t>
      </w:r>
      <w:r>
        <w:t xml:space="preserve"> </w:t>
      </w:r>
      <w:proofErr w:type="gramStart"/>
      <w:r>
        <w:t>本意见自发布</w:t>
      </w:r>
      <w:proofErr w:type="gramEnd"/>
      <w:r>
        <w:t>之日起施行。法律、法规、规章对此有新规定的，以新规定为准。</w:t>
      </w:r>
    </w:p>
    <w:p w14:paraId="1C135E9D" w14:textId="77777777" w:rsidR="00495C65" w:rsidRDefault="00495C65" w:rsidP="00495C65">
      <w:pPr>
        <w:pStyle w:val="13"/>
      </w:pPr>
      <w:r>
        <w:rPr>
          <w:rFonts w:hint="eastAsia"/>
        </w:rPr>
        <w:t>附件：</w:t>
      </w:r>
    </w:p>
    <w:p w14:paraId="2E215C2B" w14:textId="77777777" w:rsidR="00495C65" w:rsidRDefault="00495C65" w:rsidP="00495C65">
      <w:pPr>
        <w:pStyle w:val="13"/>
      </w:pPr>
      <w:r>
        <w:t>1、《房地产司法鉴定估价委托书》（推荐文本）；</w:t>
      </w:r>
    </w:p>
    <w:p w14:paraId="50D99AC3" w14:textId="77777777" w:rsidR="00495C65" w:rsidRDefault="00495C65" w:rsidP="00495C65">
      <w:pPr>
        <w:pStyle w:val="13"/>
      </w:pPr>
      <w:r>
        <w:t>2、《房地产司法鉴定估价委托书附表》（推荐文本）；</w:t>
      </w:r>
    </w:p>
    <w:p w14:paraId="47130D12" w14:textId="1C1B0BEC" w:rsidR="00495C65" w:rsidRDefault="00495C65" w:rsidP="00495C65">
      <w:pPr>
        <w:pStyle w:val="13"/>
      </w:pPr>
      <w:r>
        <w:t>3、《房地产司法鉴定估价（补充或退回）资料交接表》（推荐文本）。</w:t>
      </w:r>
    </w:p>
    <w:p w14:paraId="54A522A4" w14:textId="5E2ED979" w:rsidR="0057366E" w:rsidRDefault="0057366E">
      <w:pPr>
        <w:widowControl/>
        <w:jc w:val="left"/>
        <w:rPr>
          <w:rFonts w:ascii="宋体" w:hAnsi="宋体"/>
          <w:sz w:val="24"/>
          <w:szCs w:val="24"/>
        </w:rPr>
      </w:pPr>
      <w:r>
        <w:br w:type="page"/>
      </w:r>
    </w:p>
    <w:p w14:paraId="40E94A66" w14:textId="77777777" w:rsidR="00495C65" w:rsidRDefault="00495C65" w:rsidP="00495C65">
      <w:pPr>
        <w:pStyle w:val="13"/>
        <w:spacing w:beforeLines="100" w:before="312"/>
      </w:pPr>
      <w:r w:rsidRPr="00D73BD6">
        <w:rPr>
          <w:rFonts w:hint="eastAsia"/>
        </w:rPr>
        <w:lastRenderedPageBreak/>
        <w:t>附件</w:t>
      </w:r>
      <w:r w:rsidRPr="00D73BD6">
        <w:t xml:space="preserve"> 1</w:t>
      </w:r>
    </w:p>
    <w:p w14:paraId="50D8033F" w14:textId="77777777" w:rsidR="00495C65" w:rsidRPr="00D73BD6" w:rsidRDefault="00495C65" w:rsidP="00495C65">
      <w:pPr>
        <w:pStyle w:val="13"/>
        <w:ind w:firstLineChars="0" w:firstLine="0"/>
        <w:jc w:val="center"/>
        <w:rPr>
          <w:b/>
          <w:bCs/>
        </w:rPr>
      </w:pPr>
      <w:r w:rsidRPr="00D73BD6">
        <w:rPr>
          <w:rFonts w:hint="eastAsia"/>
          <w:b/>
          <w:bCs/>
        </w:rPr>
        <w:t>房地产司法鉴定估价委托书</w:t>
      </w:r>
    </w:p>
    <w:p w14:paraId="0A0159B6" w14:textId="77777777" w:rsidR="00495C65" w:rsidRPr="00D73BD6" w:rsidRDefault="00495C65" w:rsidP="00495C65">
      <w:pPr>
        <w:pStyle w:val="13"/>
        <w:ind w:firstLineChars="0" w:firstLine="0"/>
        <w:jc w:val="center"/>
      </w:pPr>
      <w:r w:rsidRPr="00D73BD6">
        <w:rPr>
          <w:rFonts w:hint="eastAsia"/>
        </w:rPr>
        <w:t>××技鉴（</w:t>
      </w:r>
      <w:r w:rsidRPr="00D73BD6">
        <w:t>20××）字第××号</w:t>
      </w:r>
    </w:p>
    <w:p w14:paraId="70DB5C14" w14:textId="77777777" w:rsidR="00495C65" w:rsidRDefault="00495C65" w:rsidP="00495C65">
      <w:pPr>
        <w:pStyle w:val="13"/>
      </w:pPr>
      <w:r>
        <w:rPr>
          <w:rFonts w:hint="eastAsia"/>
        </w:rPr>
        <w:t>×××房地产估价公司：</w:t>
      </w:r>
    </w:p>
    <w:p w14:paraId="2A68579D" w14:textId="77777777" w:rsidR="00495C65" w:rsidRDefault="00495C65" w:rsidP="00495C65">
      <w:pPr>
        <w:pStyle w:val="13"/>
      </w:pPr>
      <w:r w:rsidRPr="00D73BD6">
        <w:rPr>
          <w:rFonts w:hint="eastAsia"/>
        </w:rPr>
        <w:t>本院受理的×××一案，依照《中华人民共和国民事诉讼法》、最高人民法院《最高人民法院关于人民法院委托评估、拍卖和变卖工作的若干规定》的有关规定，特委托你单位对该案当事人×××所有的位于×××的房地产进行司法鉴定估价。</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
        <w:gridCol w:w="2618"/>
        <w:gridCol w:w="1338"/>
        <w:gridCol w:w="2487"/>
      </w:tblGrid>
      <w:tr w:rsidR="00495C65" w:rsidRPr="00C05E8C" w14:paraId="64A2E324" w14:textId="77777777" w:rsidTr="00226138">
        <w:trPr>
          <w:trHeight w:val="488"/>
          <w:jc w:val="center"/>
        </w:trPr>
        <w:tc>
          <w:tcPr>
            <w:tcW w:w="1306" w:type="pct"/>
            <w:gridSpan w:val="2"/>
            <w:vAlign w:val="center"/>
          </w:tcPr>
          <w:p w14:paraId="7FF5EEA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委托日期</w:t>
            </w:r>
          </w:p>
        </w:tc>
        <w:tc>
          <w:tcPr>
            <w:tcW w:w="3694" w:type="pct"/>
            <w:gridSpan w:val="3"/>
            <w:vAlign w:val="center"/>
          </w:tcPr>
          <w:p w14:paraId="18D2A8D0"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20××年××月××日</w:t>
            </w:r>
          </w:p>
        </w:tc>
      </w:tr>
      <w:tr w:rsidR="00495C65" w:rsidRPr="00C05E8C" w14:paraId="51DC34AC" w14:textId="77777777" w:rsidTr="00C05E8C">
        <w:trPr>
          <w:trHeight w:val="756"/>
          <w:jc w:val="center"/>
        </w:trPr>
        <w:tc>
          <w:tcPr>
            <w:tcW w:w="1306" w:type="pct"/>
            <w:gridSpan w:val="2"/>
            <w:vAlign w:val="center"/>
          </w:tcPr>
          <w:p w14:paraId="57F0C307"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简要案情</w:t>
            </w:r>
          </w:p>
        </w:tc>
        <w:tc>
          <w:tcPr>
            <w:tcW w:w="3694" w:type="pct"/>
            <w:gridSpan w:val="3"/>
            <w:vAlign w:val="center"/>
          </w:tcPr>
          <w:p w14:paraId="4A76D369" w14:textId="77777777" w:rsidR="00495C65" w:rsidRPr="00C05E8C" w:rsidRDefault="00495C65" w:rsidP="00C05E8C">
            <w:pPr>
              <w:pStyle w:val="13"/>
              <w:spacing w:line="240" w:lineRule="auto"/>
              <w:ind w:firstLineChars="0" w:firstLine="0"/>
              <w:rPr>
                <w:sz w:val="21"/>
                <w:szCs w:val="21"/>
              </w:rPr>
            </w:pPr>
            <w:r w:rsidRPr="00C05E8C">
              <w:rPr>
                <w:sz w:val="21"/>
                <w:szCs w:val="21"/>
              </w:rPr>
              <w:t>执行案件（ ）或审判案件（ ）</w:t>
            </w:r>
          </w:p>
          <w:p w14:paraId="4B994440" w14:textId="77777777" w:rsidR="00495C65" w:rsidRPr="00C05E8C" w:rsidRDefault="00495C65" w:rsidP="00C05E8C">
            <w:pPr>
              <w:pStyle w:val="13"/>
              <w:spacing w:line="240" w:lineRule="auto"/>
              <w:ind w:firstLineChars="0" w:firstLine="0"/>
              <w:rPr>
                <w:sz w:val="21"/>
                <w:szCs w:val="21"/>
              </w:rPr>
            </w:pPr>
            <w:r w:rsidRPr="00C05E8C">
              <w:rPr>
                <w:sz w:val="21"/>
                <w:szCs w:val="21"/>
              </w:rPr>
              <w:t>简要案情：（可另附资料）</w:t>
            </w:r>
          </w:p>
        </w:tc>
      </w:tr>
      <w:tr w:rsidR="00495C65" w:rsidRPr="00C05E8C" w14:paraId="311F8BD7" w14:textId="77777777" w:rsidTr="00C05E8C">
        <w:trPr>
          <w:trHeight w:val="852"/>
          <w:jc w:val="center"/>
        </w:trPr>
        <w:tc>
          <w:tcPr>
            <w:tcW w:w="1306" w:type="pct"/>
            <w:gridSpan w:val="2"/>
            <w:vAlign w:val="center"/>
          </w:tcPr>
          <w:p w14:paraId="07DD9A22"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承办法官姓名</w:t>
            </w:r>
          </w:p>
          <w:p w14:paraId="5B6EB030"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和联系电话</w:t>
            </w:r>
          </w:p>
        </w:tc>
        <w:tc>
          <w:tcPr>
            <w:tcW w:w="3694" w:type="pct"/>
            <w:gridSpan w:val="3"/>
            <w:vAlign w:val="center"/>
          </w:tcPr>
          <w:p w14:paraId="406A173A" w14:textId="77777777" w:rsidR="00495C65" w:rsidRPr="00C05E8C" w:rsidRDefault="00495C65" w:rsidP="00C05E8C">
            <w:pPr>
              <w:pStyle w:val="13"/>
              <w:spacing w:line="240" w:lineRule="auto"/>
              <w:ind w:firstLineChars="0" w:firstLine="0"/>
              <w:rPr>
                <w:sz w:val="21"/>
                <w:szCs w:val="21"/>
              </w:rPr>
            </w:pPr>
            <w:r w:rsidRPr="00C05E8C">
              <w:rPr>
                <w:sz w:val="21"/>
                <w:szCs w:val="21"/>
              </w:rPr>
              <w:t>承办法官：×××</w:t>
            </w:r>
          </w:p>
          <w:p w14:paraId="4109D43A" w14:textId="77777777" w:rsidR="00495C65" w:rsidRPr="00C05E8C" w:rsidRDefault="00495C65" w:rsidP="00C05E8C">
            <w:pPr>
              <w:pStyle w:val="13"/>
              <w:spacing w:line="240" w:lineRule="auto"/>
              <w:ind w:firstLineChars="0" w:firstLine="0"/>
              <w:rPr>
                <w:sz w:val="21"/>
                <w:szCs w:val="21"/>
              </w:rPr>
            </w:pPr>
            <w:r w:rsidRPr="00C05E8C">
              <w:rPr>
                <w:sz w:val="21"/>
                <w:szCs w:val="21"/>
              </w:rPr>
              <w:t>联系电话：××××××</w:t>
            </w:r>
          </w:p>
        </w:tc>
      </w:tr>
      <w:tr w:rsidR="00495C65" w:rsidRPr="00C05E8C" w14:paraId="5E9E1BAC" w14:textId="77777777" w:rsidTr="00226138">
        <w:trPr>
          <w:trHeight w:val="1766"/>
          <w:jc w:val="center"/>
        </w:trPr>
        <w:tc>
          <w:tcPr>
            <w:tcW w:w="1306" w:type="pct"/>
            <w:gridSpan w:val="2"/>
            <w:vAlign w:val="center"/>
          </w:tcPr>
          <w:p w14:paraId="2244779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估价基本事项</w:t>
            </w:r>
          </w:p>
        </w:tc>
        <w:tc>
          <w:tcPr>
            <w:tcW w:w="3694" w:type="pct"/>
            <w:gridSpan w:val="3"/>
            <w:vAlign w:val="center"/>
          </w:tcPr>
          <w:p w14:paraId="37ADD14D" w14:textId="77777777" w:rsidR="00495C65" w:rsidRPr="00C05E8C" w:rsidRDefault="00495C65" w:rsidP="00C05E8C">
            <w:pPr>
              <w:pStyle w:val="13"/>
              <w:spacing w:line="240" w:lineRule="auto"/>
              <w:ind w:firstLineChars="0" w:firstLine="0"/>
              <w:rPr>
                <w:sz w:val="21"/>
                <w:szCs w:val="21"/>
              </w:rPr>
            </w:pPr>
            <w:r w:rsidRPr="00C05E8C">
              <w:rPr>
                <w:sz w:val="21"/>
                <w:szCs w:val="21"/>
              </w:rPr>
              <w:t>估价对象及其范围：</w:t>
            </w:r>
          </w:p>
          <w:p w14:paraId="224335D7" w14:textId="77777777" w:rsidR="00495C65" w:rsidRPr="00C05E8C" w:rsidRDefault="00495C65" w:rsidP="00C05E8C">
            <w:pPr>
              <w:pStyle w:val="13"/>
              <w:spacing w:line="240" w:lineRule="auto"/>
              <w:ind w:firstLineChars="0" w:firstLine="0"/>
              <w:rPr>
                <w:sz w:val="21"/>
                <w:szCs w:val="21"/>
              </w:rPr>
            </w:pPr>
          </w:p>
          <w:p w14:paraId="07753BCC" w14:textId="77777777" w:rsidR="00495C65" w:rsidRPr="00C05E8C" w:rsidRDefault="00495C65" w:rsidP="00C05E8C">
            <w:pPr>
              <w:pStyle w:val="13"/>
              <w:spacing w:line="240" w:lineRule="auto"/>
              <w:ind w:firstLineChars="0" w:firstLine="0"/>
              <w:rPr>
                <w:sz w:val="21"/>
                <w:szCs w:val="21"/>
              </w:rPr>
            </w:pPr>
          </w:p>
          <w:p w14:paraId="3783A78C" w14:textId="77777777" w:rsidR="00495C65" w:rsidRPr="00C05E8C" w:rsidRDefault="00495C65" w:rsidP="00C05E8C">
            <w:pPr>
              <w:pStyle w:val="13"/>
              <w:spacing w:line="240" w:lineRule="auto"/>
              <w:ind w:firstLineChars="0" w:firstLine="0"/>
              <w:rPr>
                <w:sz w:val="21"/>
                <w:szCs w:val="21"/>
              </w:rPr>
            </w:pPr>
            <w:r w:rsidRPr="00C05E8C">
              <w:rPr>
                <w:sz w:val="21"/>
                <w:szCs w:val="21"/>
              </w:rPr>
              <w:t>估价目的：</w:t>
            </w:r>
          </w:p>
          <w:p w14:paraId="50BF86AB" w14:textId="77777777" w:rsidR="00495C65" w:rsidRPr="00C05E8C" w:rsidRDefault="00495C65" w:rsidP="00C05E8C">
            <w:pPr>
              <w:pStyle w:val="13"/>
              <w:spacing w:line="240" w:lineRule="auto"/>
              <w:ind w:firstLineChars="0" w:firstLine="0"/>
              <w:rPr>
                <w:sz w:val="21"/>
                <w:szCs w:val="21"/>
              </w:rPr>
            </w:pPr>
            <w:r w:rsidRPr="00C05E8C">
              <w:rPr>
                <w:sz w:val="21"/>
                <w:szCs w:val="21"/>
              </w:rPr>
              <w:t>价值时点：</w:t>
            </w:r>
          </w:p>
        </w:tc>
      </w:tr>
      <w:tr w:rsidR="00495C65" w:rsidRPr="00C05E8C" w14:paraId="5E8C0624" w14:textId="77777777" w:rsidTr="00C05E8C">
        <w:trPr>
          <w:trHeight w:val="1896"/>
          <w:jc w:val="center"/>
        </w:trPr>
        <w:tc>
          <w:tcPr>
            <w:tcW w:w="1306" w:type="pct"/>
            <w:gridSpan w:val="2"/>
            <w:shd w:val="clear" w:color="auto" w:fill="FFFFFF"/>
            <w:vAlign w:val="center"/>
          </w:tcPr>
          <w:p w14:paraId="72986F3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诉讼活动当事人及其联系方式（包括申请执行人、被执行人）</w:t>
            </w:r>
          </w:p>
        </w:tc>
        <w:tc>
          <w:tcPr>
            <w:tcW w:w="3694" w:type="pct"/>
            <w:gridSpan w:val="3"/>
            <w:vAlign w:val="center"/>
          </w:tcPr>
          <w:p w14:paraId="5CF0B4F4" w14:textId="77777777" w:rsidR="00495C65" w:rsidRPr="00C05E8C" w:rsidRDefault="00495C65" w:rsidP="00C05E8C">
            <w:pPr>
              <w:pStyle w:val="13"/>
              <w:spacing w:line="240" w:lineRule="auto"/>
              <w:ind w:firstLineChars="0" w:firstLine="0"/>
              <w:rPr>
                <w:sz w:val="21"/>
                <w:szCs w:val="21"/>
              </w:rPr>
            </w:pPr>
            <w:r w:rsidRPr="00C05E8C">
              <w:rPr>
                <w:sz w:val="21"/>
                <w:szCs w:val="21"/>
              </w:rPr>
              <w:t>原告（申请执行人）：×××，代理人×××；</w:t>
            </w:r>
          </w:p>
          <w:p w14:paraId="195AD23B" w14:textId="77777777" w:rsidR="00495C65" w:rsidRPr="00C05E8C" w:rsidRDefault="00495C65" w:rsidP="00C05E8C">
            <w:pPr>
              <w:pStyle w:val="13"/>
              <w:spacing w:line="240" w:lineRule="auto"/>
              <w:ind w:firstLineChars="0" w:firstLine="0"/>
              <w:rPr>
                <w:sz w:val="21"/>
                <w:szCs w:val="21"/>
              </w:rPr>
            </w:pPr>
            <w:r w:rsidRPr="00C05E8C">
              <w:rPr>
                <w:sz w:val="21"/>
                <w:szCs w:val="21"/>
              </w:rPr>
              <w:t>联系方式：××××。</w:t>
            </w:r>
          </w:p>
          <w:p w14:paraId="4C3FCFE4" w14:textId="77777777" w:rsidR="00495C65" w:rsidRPr="00C05E8C" w:rsidRDefault="00495C65" w:rsidP="00C05E8C">
            <w:pPr>
              <w:pStyle w:val="13"/>
              <w:spacing w:line="240" w:lineRule="auto"/>
              <w:ind w:firstLineChars="0" w:firstLine="0"/>
              <w:rPr>
                <w:sz w:val="21"/>
                <w:szCs w:val="21"/>
              </w:rPr>
            </w:pPr>
            <w:r w:rsidRPr="00C05E8C">
              <w:rPr>
                <w:sz w:val="21"/>
                <w:szCs w:val="21"/>
              </w:rPr>
              <w:t>被告（被执行人）：×××，代理人×××；</w:t>
            </w:r>
          </w:p>
          <w:p w14:paraId="471728FB" w14:textId="77777777" w:rsidR="00495C65" w:rsidRPr="00C05E8C" w:rsidRDefault="00495C65" w:rsidP="00C05E8C">
            <w:pPr>
              <w:pStyle w:val="13"/>
              <w:spacing w:line="240" w:lineRule="auto"/>
              <w:ind w:firstLineChars="0" w:firstLine="0"/>
              <w:rPr>
                <w:sz w:val="21"/>
                <w:szCs w:val="21"/>
              </w:rPr>
            </w:pPr>
            <w:r w:rsidRPr="00C05E8C">
              <w:rPr>
                <w:sz w:val="21"/>
                <w:szCs w:val="21"/>
              </w:rPr>
              <w:t>联系方式：××××。</w:t>
            </w:r>
          </w:p>
        </w:tc>
      </w:tr>
      <w:tr w:rsidR="00495C65" w:rsidRPr="00C05E8C" w14:paraId="4169A9FB" w14:textId="77777777" w:rsidTr="00226138">
        <w:trPr>
          <w:trHeight w:val="968"/>
          <w:jc w:val="center"/>
        </w:trPr>
        <w:tc>
          <w:tcPr>
            <w:tcW w:w="5000" w:type="pct"/>
            <w:gridSpan w:val="5"/>
            <w:vAlign w:val="center"/>
          </w:tcPr>
          <w:p w14:paraId="3CD46E91"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诉讼活动当事人是否签收《房地产司法鉴定估价风险告知书》：</w:t>
            </w:r>
          </w:p>
          <w:p w14:paraId="3CA28233"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是（</w:t>
            </w:r>
            <w:r w:rsidRPr="00C05E8C">
              <w:rPr>
                <w:rFonts w:hint="eastAsia"/>
                <w:sz w:val="21"/>
                <w:szCs w:val="21"/>
              </w:rPr>
              <w:t xml:space="preserve"> </w:t>
            </w:r>
            <w:r w:rsidRPr="00C05E8C">
              <w:rPr>
                <w:sz w:val="21"/>
                <w:szCs w:val="21"/>
              </w:rPr>
              <w:t xml:space="preserve"> ）或者否（</w:t>
            </w:r>
            <w:r w:rsidRPr="00C05E8C">
              <w:rPr>
                <w:rFonts w:hint="eastAsia"/>
                <w:sz w:val="21"/>
                <w:szCs w:val="21"/>
              </w:rPr>
              <w:t xml:space="preserve"> </w:t>
            </w:r>
            <w:r w:rsidRPr="00C05E8C">
              <w:rPr>
                <w:sz w:val="21"/>
                <w:szCs w:val="21"/>
              </w:rPr>
              <w:t xml:space="preserve"> ）。</w:t>
            </w:r>
          </w:p>
        </w:tc>
      </w:tr>
      <w:tr w:rsidR="00495C65" w:rsidRPr="00C05E8C" w14:paraId="56384BC5" w14:textId="77777777" w:rsidTr="00C05E8C">
        <w:trPr>
          <w:trHeight w:val="718"/>
          <w:jc w:val="center"/>
        </w:trPr>
        <w:tc>
          <w:tcPr>
            <w:tcW w:w="1298" w:type="pct"/>
            <w:vAlign w:val="center"/>
          </w:tcPr>
          <w:p w14:paraId="0DAAD8A7"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估价委托人的</w:t>
            </w:r>
          </w:p>
          <w:p w14:paraId="6E4649AB"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承办人</w:t>
            </w:r>
          </w:p>
        </w:tc>
        <w:tc>
          <w:tcPr>
            <w:tcW w:w="1509" w:type="pct"/>
            <w:gridSpan w:val="2"/>
            <w:vAlign w:val="center"/>
          </w:tcPr>
          <w:p w14:paraId="19851E82" w14:textId="77777777" w:rsidR="00495C65" w:rsidRPr="00C05E8C" w:rsidRDefault="00495C65" w:rsidP="00C05E8C">
            <w:pPr>
              <w:pStyle w:val="13"/>
              <w:spacing w:line="240" w:lineRule="auto"/>
              <w:ind w:firstLineChars="0" w:firstLine="0"/>
              <w:jc w:val="center"/>
              <w:rPr>
                <w:sz w:val="21"/>
                <w:szCs w:val="21"/>
              </w:rPr>
            </w:pPr>
          </w:p>
        </w:tc>
        <w:tc>
          <w:tcPr>
            <w:tcW w:w="767" w:type="pct"/>
            <w:shd w:val="clear" w:color="auto" w:fill="FFFFFF"/>
            <w:vAlign w:val="center"/>
          </w:tcPr>
          <w:p w14:paraId="22F01E98"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联系电话</w:t>
            </w:r>
          </w:p>
        </w:tc>
        <w:tc>
          <w:tcPr>
            <w:tcW w:w="1426" w:type="pct"/>
            <w:vAlign w:val="center"/>
          </w:tcPr>
          <w:p w14:paraId="70D27DFD" w14:textId="77777777" w:rsidR="00495C65" w:rsidRPr="00C05E8C" w:rsidRDefault="00495C65" w:rsidP="00C05E8C">
            <w:pPr>
              <w:pStyle w:val="13"/>
              <w:spacing w:line="240" w:lineRule="auto"/>
              <w:ind w:firstLineChars="0" w:firstLine="0"/>
              <w:rPr>
                <w:sz w:val="21"/>
                <w:szCs w:val="21"/>
              </w:rPr>
            </w:pPr>
          </w:p>
        </w:tc>
      </w:tr>
      <w:tr w:rsidR="00495C65" w:rsidRPr="00C05E8C" w14:paraId="36BE4D43" w14:textId="77777777" w:rsidTr="00C05E8C">
        <w:trPr>
          <w:trHeight w:val="1111"/>
          <w:jc w:val="center"/>
        </w:trPr>
        <w:tc>
          <w:tcPr>
            <w:tcW w:w="1298" w:type="pct"/>
            <w:shd w:val="clear" w:color="auto" w:fill="FFFFFF"/>
            <w:vAlign w:val="center"/>
          </w:tcPr>
          <w:p w14:paraId="48BF9DF5"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附 件</w:t>
            </w:r>
          </w:p>
        </w:tc>
        <w:tc>
          <w:tcPr>
            <w:tcW w:w="3702" w:type="pct"/>
            <w:gridSpan w:val="4"/>
            <w:vAlign w:val="center"/>
          </w:tcPr>
          <w:p w14:paraId="7A1B8E3A" w14:textId="77777777" w:rsidR="00495C65" w:rsidRPr="00C05E8C" w:rsidRDefault="00495C65" w:rsidP="00C05E8C">
            <w:pPr>
              <w:pStyle w:val="13"/>
              <w:spacing w:line="240" w:lineRule="auto"/>
              <w:ind w:firstLineChars="0" w:firstLine="0"/>
              <w:jc w:val="left"/>
              <w:rPr>
                <w:sz w:val="21"/>
                <w:szCs w:val="21"/>
              </w:rPr>
            </w:pPr>
            <w:r w:rsidRPr="00C05E8C">
              <w:rPr>
                <w:rFonts w:hint="eastAsia"/>
                <w:sz w:val="21"/>
                <w:szCs w:val="21"/>
              </w:rPr>
              <w:t>1</w:t>
            </w:r>
            <w:r w:rsidRPr="00C05E8C">
              <w:rPr>
                <w:sz w:val="21"/>
                <w:szCs w:val="21"/>
              </w:rPr>
              <w:t>.《房地产司法鉴定估价委托书附表》；</w:t>
            </w:r>
          </w:p>
          <w:p w14:paraId="0E2C3931" w14:textId="77777777" w:rsidR="00495C65" w:rsidRPr="00C05E8C" w:rsidRDefault="00495C65" w:rsidP="00C05E8C">
            <w:pPr>
              <w:pStyle w:val="13"/>
              <w:spacing w:line="240" w:lineRule="auto"/>
              <w:ind w:firstLineChars="0" w:firstLine="0"/>
              <w:jc w:val="left"/>
              <w:rPr>
                <w:sz w:val="21"/>
                <w:szCs w:val="21"/>
              </w:rPr>
            </w:pPr>
            <w:r w:rsidRPr="00C05E8C">
              <w:rPr>
                <w:rFonts w:hint="eastAsia"/>
                <w:sz w:val="21"/>
                <w:szCs w:val="21"/>
              </w:rPr>
              <w:t>2</w:t>
            </w:r>
            <w:r w:rsidRPr="00C05E8C">
              <w:rPr>
                <w:sz w:val="21"/>
                <w:szCs w:val="21"/>
              </w:rPr>
              <w:t>.《房地产司法鉴定估价资料交接表》；</w:t>
            </w:r>
          </w:p>
          <w:p w14:paraId="519AB27D" w14:textId="77777777" w:rsidR="00495C65" w:rsidRPr="00C05E8C" w:rsidRDefault="00495C65" w:rsidP="00C05E8C">
            <w:pPr>
              <w:pStyle w:val="13"/>
              <w:spacing w:line="240" w:lineRule="auto"/>
              <w:ind w:firstLineChars="0" w:firstLine="0"/>
              <w:jc w:val="left"/>
              <w:rPr>
                <w:sz w:val="21"/>
                <w:szCs w:val="21"/>
              </w:rPr>
            </w:pPr>
            <w:r w:rsidRPr="00C05E8C">
              <w:rPr>
                <w:rFonts w:hint="eastAsia"/>
                <w:sz w:val="21"/>
                <w:szCs w:val="21"/>
              </w:rPr>
              <w:t>3</w:t>
            </w:r>
            <w:r w:rsidRPr="00C05E8C">
              <w:rPr>
                <w:sz w:val="21"/>
                <w:szCs w:val="21"/>
              </w:rPr>
              <w:t>.《房地产司法鉴定估价资料质证情况记录》。</w:t>
            </w:r>
          </w:p>
        </w:tc>
      </w:tr>
    </w:tbl>
    <w:p w14:paraId="3DA6D3BD" w14:textId="77777777" w:rsidR="00495C65" w:rsidRDefault="00495C65" w:rsidP="00495C65">
      <w:pPr>
        <w:pStyle w:val="13"/>
        <w:ind w:firstLineChars="0" w:firstLine="0"/>
        <w:jc w:val="center"/>
      </w:pPr>
      <w:r w:rsidRPr="00581DC0">
        <w:rPr>
          <w:rFonts w:hint="eastAsia"/>
        </w:rPr>
        <w:t>（本委托书及其附件均一式二份，委托人和受托房地产估价机构各持一份）</w:t>
      </w:r>
    </w:p>
    <w:p w14:paraId="4415CFAE" w14:textId="77777777" w:rsidR="00495C65" w:rsidRDefault="00495C65" w:rsidP="00495C65">
      <w:pPr>
        <w:pStyle w:val="13"/>
        <w:jc w:val="right"/>
      </w:pPr>
      <w:r>
        <w:rPr>
          <w:rFonts w:hint="eastAsia"/>
        </w:rPr>
        <w:t>委托人：×××</w:t>
      </w:r>
      <w:r>
        <w:t>人民法院</w:t>
      </w:r>
    </w:p>
    <w:p w14:paraId="13CD0DC5" w14:textId="5DA7EC3B" w:rsidR="00495C65" w:rsidRDefault="00495C65" w:rsidP="00495C65">
      <w:pPr>
        <w:pStyle w:val="13"/>
        <w:jc w:val="right"/>
      </w:pPr>
      <w:r>
        <w:rPr>
          <w:rFonts w:hint="eastAsia"/>
        </w:rPr>
        <w:t>年</w:t>
      </w:r>
      <w:r w:rsidR="003068F8">
        <w:t>月</w:t>
      </w:r>
      <w:r>
        <w:t>日</w:t>
      </w:r>
    </w:p>
    <w:p w14:paraId="34EB398F" w14:textId="77777777" w:rsidR="0057366E" w:rsidRDefault="0057366E">
      <w:pPr>
        <w:widowControl/>
        <w:jc w:val="left"/>
        <w:rPr>
          <w:rFonts w:ascii="宋体" w:hAnsi="宋体"/>
          <w:sz w:val="24"/>
          <w:szCs w:val="24"/>
        </w:rPr>
      </w:pPr>
      <w:r>
        <w:br w:type="page"/>
      </w:r>
    </w:p>
    <w:p w14:paraId="3C9603F3" w14:textId="01E7CE8A" w:rsidR="00495C65" w:rsidRDefault="00495C65" w:rsidP="00495C65">
      <w:pPr>
        <w:pStyle w:val="13"/>
        <w:spacing w:beforeLines="100" w:before="312"/>
      </w:pPr>
      <w:r w:rsidRPr="00C95FDF">
        <w:rPr>
          <w:rFonts w:hint="eastAsia"/>
        </w:rPr>
        <w:lastRenderedPageBreak/>
        <w:t>附件</w:t>
      </w:r>
      <w:r w:rsidRPr="00C95FDF">
        <w:t xml:space="preserve"> </w:t>
      </w:r>
      <w:r>
        <w:t>2</w:t>
      </w:r>
    </w:p>
    <w:p w14:paraId="622262C2" w14:textId="77777777" w:rsidR="00495C65" w:rsidRPr="00C95FDF" w:rsidRDefault="00495C65" w:rsidP="00495C65">
      <w:pPr>
        <w:pStyle w:val="13"/>
        <w:ind w:firstLineChars="0" w:firstLine="0"/>
        <w:jc w:val="center"/>
        <w:rPr>
          <w:b/>
          <w:bCs/>
        </w:rPr>
      </w:pPr>
      <w:r w:rsidRPr="00C95FDF">
        <w:rPr>
          <w:rFonts w:hint="eastAsia"/>
          <w:b/>
          <w:bCs/>
        </w:rPr>
        <w:t>人民法院房地产司法鉴定估价委托书附表</w:t>
      </w:r>
    </w:p>
    <w:p w14:paraId="5C339261" w14:textId="77777777" w:rsidR="00495C65" w:rsidRPr="00BE72C3" w:rsidRDefault="00495C65" w:rsidP="00495C65">
      <w:pPr>
        <w:pStyle w:val="13"/>
        <w:jc w:val="right"/>
      </w:pPr>
      <w:r w:rsidRPr="00C95FDF">
        <w:rPr>
          <w:rFonts w:hint="eastAsia"/>
        </w:rPr>
        <w:t>××</w:t>
      </w:r>
      <w:r w:rsidRPr="00C95FDF">
        <w:t>法技（20××）字第××号</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1322"/>
        <w:gridCol w:w="1575"/>
        <w:gridCol w:w="975"/>
        <w:gridCol w:w="1922"/>
      </w:tblGrid>
      <w:tr w:rsidR="00495C65" w:rsidRPr="00C05E8C" w14:paraId="77DF93D3" w14:textId="77777777" w:rsidTr="00C05E8C">
        <w:trPr>
          <w:trHeight w:val="490"/>
          <w:jc w:val="center"/>
        </w:trPr>
        <w:tc>
          <w:tcPr>
            <w:tcW w:w="1678" w:type="pct"/>
            <w:vAlign w:val="center"/>
          </w:tcPr>
          <w:p w14:paraId="41836E47"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房地产估价机构选定日期</w:t>
            </w:r>
          </w:p>
        </w:tc>
        <w:tc>
          <w:tcPr>
            <w:tcW w:w="3322" w:type="pct"/>
            <w:gridSpan w:val="4"/>
            <w:vAlign w:val="center"/>
          </w:tcPr>
          <w:p w14:paraId="6A2A67DE" w14:textId="430A88CE" w:rsidR="00495C65" w:rsidRPr="00C05E8C" w:rsidRDefault="00495C65" w:rsidP="00C05E8C">
            <w:pPr>
              <w:pStyle w:val="13"/>
              <w:spacing w:line="240" w:lineRule="auto"/>
              <w:ind w:firstLineChars="0" w:firstLine="0"/>
              <w:jc w:val="center"/>
              <w:rPr>
                <w:sz w:val="21"/>
                <w:szCs w:val="21"/>
              </w:rPr>
            </w:pPr>
            <w:r w:rsidRPr="00C05E8C">
              <w:rPr>
                <w:sz w:val="21"/>
                <w:szCs w:val="21"/>
              </w:rPr>
              <w:t>年</w:t>
            </w:r>
            <w:r w:rsidR="003068F8">
              <w:rPr>
                <w:sz w:val="21"/>
                <w:szCs w:val="21"/>
              </w:rPr>
              <w:t>月</w:t>
            </w:r>
            <w:r w:rsidRPr="00C05E8C">
              <w:rPr>
                <w:sz w:val="21"/>
                <w:szCs w:val="21"/>
              </w:rPr>
              <w:t>日</w:t>
            </w:r>
          </w:p>
        </w:tc>
      </w:tr>
      <w:tr w:rsidR="00495C65" w:rsidRPr="00C05E8C" w14:paraId="461ECF06" w14:textId="77777777" w:rsidTr="00C05E8C">
        <w:trPr>
          <w:trHeight w:val="488"/>
          <w:jc w:val="center"/>
        </w:trPr>
        <w:tc>
          <w:tcPr>
            <w:tcW w:w="1678" w:type="pct"/>
            <w:vAlign w:val="center"/>
          </w:tcPr>
          <w:p w14:paraId="5737003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房地产估价机构名称</w:t>
            </w:r>
          </w:p>
        </w:tc>
        <w:tc>
          <w:tcPr>
            <w:tcW w:w="3322" w:type="pct"/>
            <w:gridSpan w:val="4"/>
            <w:vAlign w:val="center"/>
          </w:tcPr>
          <w:p w14:paraId="7410DDED"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 房地产估价公司</w:t>
            </w:r>
          </w:p>
        </w:tc>
      </w:tr>
      <w:tr w:rsidR="00495C65" w:rsidRPr="00C05E8C" w14:paraId="400A6E8D" w14:textId="77777777" w:rsidTr="00C05E8C">
        <w:trPr>
          <w:trHeight w:val="488"/>
          <w:jc w:val="center"/>
        </w:trPr>
        <w:tc>
          <w:tcPr>
            <w:tcW w:w="1678" w:type="pct"/>
            <w:vAlign w:val="center"/>
          </w:tcPr>
          <w:p w14:paraId="26F8F1D2"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估价资料移送日期</w:t>
            </w:r>
          </w:p>
        </w:tc>
        <w:tc>
          <w:tcPr>
            <w:tcW w:w="3322" w:type="pct"/>
            <w:gridSpan w:val="4"/>
            <w:vAlign w:val="center"/>
          </w:tcPr>
          <w:p w14:paraId="3761DA8F" w14:textId="58F9DF09" w:rsidR="00495C65" w:rsidRPr="00C05E8C" w:rsidRDefault="00495C65" w:rsidP="00C05E8C">
            <w:pPr>
              <w:pStyle w:val="13"/>
              <w:spacing w:line="240" w:lineRule="auto"/>
              <w:ind w:firstLineChars="0" w:firstLine="0"/>
              <w:jc w:val="center"/>
              <w:rPr>
                <w:sz w:val="21"/>
                <w:szCs w:val="21"/>
              </w:rPr>
            </w:pPr>
            <w:r w:rsidRPr="00C05E8C">
              <w:rPr>
                <w:sz w:val="21"/>
                <w:szCs w:val="21"/>
              </w:rPr>
              <w:t>年</w:t>
            </w:r>
            <w:r w:rsidR="003068F8">
              <w:rPr>
                <w:sz w:val="21"/>
                <w:szCs w:val="21"/>
              </w:rPr>
              <w:t>月</w:t>
            </w:r>
            <w:r w:rsidRPr="00C05E8C">
              <w:rPr>
                <w:sz w:val="21"/>
                <w:szCs w:val="21"/>
              </w:rPr>
              <w:t>日</w:t>
            </w:r>
          </w:p>
        </w:tc>
      </w:tr>
      <w:tr w:rsidR="00495C65" w:rsidRPr="00C05E8C" w14:paraId="304E6E35" w14:textId="77777777" w:rsidTr="00C05E8C">
        <w:trPr>
          <w:trHeight w:val="489"/>
          <w:jc w:val="center"/>
        </w:trPr>
        <w:tc>
          <w:tcPr>
            <w:tcW w:w="1678" w:type="pct"/>
            <w:vAlign w:val="center"/>
          </w:tcPr>
          <w:p w14:paraId="6B3FDF74"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案件名称</w:t>
            </w:r>
          </w:p>
        </w:tc>
        <w:tc>
          <w:tcPr>
            <w:tcW w:w="3322" w:type="pct"/>
            <w:gridSpan w:val="4"/>
            <w:vAlign w:val="center"/>
          </w:tcPr>
          <w:p w14:paraId="0C6C42E1"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 审判（）或执行（）案件涉及的房地产鉴定估价</w:t>
            </w:r>
          </w:p>
        </w:tc>
      </w:tr>
      <w:tr w:rsidR="00495C65" w:rsidRPr="00C05E8C" w14:paraId="12E2C602" w14:textId="77777777" w:rsidTr="00C05E8C">
        <w:trPr>
          <w:trHeight w:val="488"/>
          <w:jc w:val="center"/>
        </w:trPr>
        <w:tc>
          <w:tcPr>
            <w:tcW w:w="1678" w:type="pct"/>
            <w:vAlign w:val="center"/>
          </w:tcPr>
          <w:p w14:paraId="4BE6B122"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实际估价范围</w:t>
            </w:r>
          </w:p>
        </w:tc>
        <w:tc>
          <w:tcPr>
            <w:tcW w:w="3322" w:type="pct"/>
            <w:gridSpan w:val="4"/>
            <w:vAlign w:val="center"/>
          </w:tcPr>
          <w:p w14:paraId="6C2642EF" w14:textId="77777777" w:rsidR="00495C65" w:rsidRPr="00C05E8C" w:rsidRDefault="00495C65" w:rsidP="00C05E8C">
            <w:pPr>
              <w:pStyle w:val="13"/>
              <w:spacing w:line="240" w:lineRule="auto"/>
              <w:ind w:firstLineChars="0" w:firstLine="0"/>
              <w:rPr>
                <w:sz w:val="21"/>
                <w:szCs w:val="21"/>
              </w:rPr>
            </w:pPr>
          </w:p>
        </w:tc>
      </w:tr>
      <w:tr w:rsidR="00495C65" w:rsidRPr="00C05E8C" w14:paraId="1B7382B1" w14:textId="77777777" w:rsidTr="00C05E8C">
        <w:trPr>
          <w:trHeight w:val="1105"/>
          <w:jc w:val="center"/>
        </w:trPr>
        <w:tc>
          <w:tcPr>
            <w:tcW w:w="1678" w:type="pct"/>
            <w:vAlign w:val="center"/>
          </w:tcPr>
          <w:p w14:paraId="20D305E2"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价值类型</w:t>
            </w:r>
          </w:p>
        </w:tc>
        <w:tc>
          <w:tcPr>
            <w:tcW w:w="3322" w:type="pct"/>
            <w:gridSpan w:val="4"/>
            <w:vAlign w:val="center"/>
          </w:tcPr>
          <w:p w14:paraId="5A9569B2" w14:textId="77777777" w:rsidR="00495C65" w:rsidRPr="00C05E8C" w:rsidRDefault="00495C65" w:rsidP="00C05E8C">
            <w:pPr>
              <w:pStyle w:val="13"/>
              <w:spacing w:line="240" w:lineRule="auto"/>
              <w:ind w:firstLineChars="0" w:firstLine="0"/>
              <w:rPr>
                <w:sz w:val="21"/>
                <w:szCs w:val="21"/>
              </w:rPr>
            </w:pPr>
            <w:r w:rsidRPr="00C05E8C">
              <w:rPr>
                <w:sz w:val="21"/>
                <w:szCs w:val="21"/>
              </w:rPr>
              <w:t>一般采用市场价值标准，可参照估价对象在价值时点的正常市场价格进行估价，不考虑强制变现等因素对价值的影响，但应当考虑估价对象的规模、性质（含用途</w:t>
            </w:r>
          </w:p>
          <w:p w14:paraId="3104AD27" w14:textId="77777777" w:rsidR="00495C65" w:rsidRPr="00C05E8C" w:rsidRDefault="00495C65" w:rsidP="00C05E8C">
            <w:pPr>
              <w:pStyle w:val="13"/>
              <w:spacing w:line="240" w:lineRule="auto"/>
              <w:ind w:firstLineChars="0" w:firstLine="0"/>
              <w:rPr>
                <w:sz w:val="21"/>
                <w:szCs w:val="21"/>
              </w:rPr>
            </w:pPr>
            <w:r w:rsidRPr="00C05E8C">
              <w:rPr>
                <w:sz w:val="21"/>
                <w:szCs w:val="21"/>
              </w:rPr>
              <w:t>等）、租约限制、权属等因素对价值的影响。</w:t>
            </w:r>
          </w:p>
        </w:tc>
      </w:tr>
      <w:tr w:rsidR="00495C65" w:rsidRPr="00C05E8C" w14:paraId="6097BC21" w14:textId="77777777" w:rsidTr="00C05E8C">
        <w:trPr>
          <w:trHeight w:val="1407"/>
          <w:jc w:val="center"/>
        </w:trPr>
        <w:tc>
          <w:tcPr>
            <w:tcW w:w="1678" w:type="pct"/>
            <w:vAlign w:val="center"/>
          </w:tcPr>
          <w:p w14:paraId="39698BC1"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估价报告提交期限和方式</w:t>
            </w:r>
          </w:p>
        </w:tc>
        <w:tc>
          <w:tcPr>
            <w:tcW w:w="3322" w:type="pct"/>
            <w:gridSpan w:val="4"/>
            <w:vAlign w:val="center"/>
          </w:tcPr>
          <w:p w14:paraId="21234195" w14:textId="55FF4992" w:rsidR="00495C65" w:rsidRPr="00C05E8C" w:rsidRDefault="00495C65" w:rsidP="00C05E8C">
            <w:pPr>
              <w:pStyle w:val="13"/>
              <w:spacing w:line="240" w:lineRule="auto"/>
              <w:ind w:firstLineChars="0" w:firstLine="0"/>
              <w:rPr>
                <w:sz w:val="21"/>
                <w:szCs w:val="21"/>
              </w:rPr>
            </w:pPr>
            <w:r w:rsidRPr="00C05E8C">
              <w:rPr>
                <w:sz w:val="21"/>
                <w:szCs w:val="21"/>
              </w:rPr>
              <w:t>估价作业期：自估价移送之日起30个工作日。估价报告提交期限：×× 年×× 月××</w:t>
            </w:r>
            <w:r w:rsidR="003068F8">
              <w:rPr>
                <w:sz w:val="21"/>
                <w:szCs w:val="21"/>
              </w:rPr>
              <w:t>日</w:t>
            </w:r>
            <w:r w:rsidRPr="00C05E8C">
              <w:rPr>
                <w:sz w:val="21"/>
                <w:szCs w:val="21"/>
              </w:rPr>
              <w:t>，提交方式：书面报告。（经房地产估价机构书面申请，第一次延长估价作业期</w:t>
            </w:r>
            <w:proofErr w:type="gramStart"/>
            <w:r w:rsidRPr="00C05E8C">
              <w:rPr>
                <w:sz w:val="21"/>
                <w:szCs w:val="21"/>
              </w:rPr>
              <w:t>个</w:t>
            </w:r>
            <w:proofErr w:type="gramEnd"/>
            <w:r w:rsidRPr="00C05E8C">
              <w:rPr>
                <w:sz w:val="21"/>
                <w:szCs w:val="21"/>
              </w:rPr>
              <w:t>工作日，第二次延长估价作业期</w:t>
            </w:r>
            <w:r w:rsidRPr="00C05E8C">
              <w:rPr>
                <w:sz w:val="21"/>
                <w:szCs w:val="21"/>
              </w:rPr>
              <w:tab/>
            </w:r>
            <w:proofErr w:type="gramStart"/>
            <w:r w:rsidRPr="00C05E8C">
              <w:rPr>
                <w:sz w:val="21"/>
                <w:szCs w:val="21"/>
              </w:rPr>
              <w:t>个</w:t>
            </w:r>
            <w:proofErr w:type="gramEnd"/>
            <w:r w:rsidRPr="00C05E8C">
              <w:rPr>
                <w:sz w:val="21"/>
                <w:szCs w:val="21"/>
              </w:rPr>
              <w:t>工作日。）</w:t>
            </w:r>
          </w:p>
        </w:tc>
      </w:tr>
      <w:tr w:rsidR="00495C65" w:rsidRPr="00C05E8C" w14:paraId="2D17EA4C" w14:textId="77777777" w:rsidTr="00C05E8C">
        <w:trPr>
          <w:trHeight w:val="690"/>
          <w:jc w:val="center"/>
        </w:trPr>
        <w:tc>
          <w:tcPr>
            <w:tcW w:w="1678" w:type="pct"/>
            <w:vAlign w:val="center"/>
          </w:tcPr>
          <w:p w14:paraId="3819375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估价报告使用者估价服务费总额及其支付方式</w:t>
            </w:r>
          </w:p>
        </w:tc>
        <w:tc>
          <w:tcPr>
            <w:tcW w:w="3322" w:type="pct"/>
            <w:gridSpan w:val="4"/>
            <w:vAlign w:val="center"/>
          </w:tcPr>
          <w:p w14:paraId="3A6E1B3E"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委托人</w:t>
            </w:r>
          </w:p>
        </w:tc>
      </w:tr>
      <w:tr w:rsidR="00495C65" w:rsidRPr="00C05E8C" w14:paraId="505ABBE2" w14:textId="77777777" w:rsidTr="00C05E8C">
        <w:trPr>
          <w:trHeight w:val="700"/>
          <w:jc w:val="center"/>
        </w:trPr>
        <w:tc>
          <w:tcPr>
            <w:tcW w:w="1678" w:type="pct"/>
            <w:vAlign w:val="center"/>
          </w:tcPr>
          <w:p w14:paraId="0984381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受托估价机构其他义务</w:t>
            </w:r>
          </w:p>
        </w:tc>
        <w:tc>
          <w:tcPr>
            <w:tcW w:w="3322" w:type="pct"/>
            <w:gridSpan w:val="4"/>
            <w:vAlign w:val="center"/>
          </w:tcPr>
          <w:p w14:paraId="30693D20" w14:textId="77777777" w:rsidR="00495C65" w:rsidRPr="00C05E8C" w:rsidRDefault="00495C65" w:rsidP="00C05E8C">
            <w:pPr>
              <w:pStyle w:val="13"/>
              <w:spacing w:line="240" w:lineRule="auto"/>
              <w:ind w:firstLineChars="0" w:firstLine="0"/>
              <w:rPr>
                <w:sz w:val="21"/>
                <w:szCs w:val="21"/>
              </w:rPr>
            </w:pPr>
            <w:r w:rsidRPr="00C05E8C">
              <w:rPr>
                <w:sz w:val="21"/>
                <w:szCs w:val="21"/>
              </w:rPr>
              <w:t>应委托人要求，出庭接受委托人的质询，回答有关当事人就估价相关事项的询问。</w:t>
            </w:r>
          </w:p>
        </w:tc>
      </w:tr>
      <w:tr w:rsidR="00495C65" w:rsidRPr="00C05E8C" w14:paraId="29E287C7" w14:textId="77777777" w:rsidTr="00C05E8C">
        <w:trPr>
          <w:trHeight w:val="1720"/>
          <w:jc w:val="center"/>
        </w:trPr>
        <w:tc>
          <w:tcPr>
            <w:tcW w:w="1678" w:type="pct"/>
            <w:vAlign w:val="center"/>
          </w:tcPr>
          <w:p w14:paraId="43E69CFA"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估价对象的权利人及其联系方式</w:t>
            </w:r>
          </w:p>
        </w:tc>
        <w:tc>
          <w:tcPr>
            <w:tcW w:w="3322" w:type="pct"/>
            <w:gridSpan w:val="4"/>
            <w:vAlign w:val="center"/>
          </w:tcPr>
          <w:p w14:paraId="0120EE6D" w14:textId="77777777" w:rsidR="00495C65" w:rsidRPr="00C05E8C" w:rsidRDefault="00495C65" w:rsidP="00C05E8C">
            <w:pPr>
              <w:pStyle w:val="13"/>
              <w:spacing w:line="240" w:lineRule="auto"/>
              <w:ind w:firstLineChars="0" w:firstLine="0"/>
              <w:rPr>
                <w:sz w:val="21"/>
                <w:szCs w:val="21"/>
              </w:rPr>
            </w:pPr>
            <w:r w:rsidRPr="00C05E8C">
              <w:rPr>
                <w:sz w:val="21"/>
                <w:szCs w:val="21"/>
              </w:rPr>
              <w:t>房屋所有权人：×××，联系人：×××，联系方式：××××。</w:t>
            </w:r>
          </w:p>
          <w:p w14:paraId="676789A3" w14:textId="77777777" w:rsidR="00495C65" w:rsidRPr="00C05E8C" w:rsidRDefault="00495C65" w:rsidP="00C05E8C">
            <w:pPr>
              <w:pStyle w:val="13"/>
              <w:spacing w:line="240" w:lineRule="auto"/>
              <w:ind w:firstLineChars="0" w:firstLine="0"/>
              <w:rPr>
                <w:sz w:val="21"/>
                <w:szCs w:val="21"/>
              </w:rPr>
            </w:pPr>
            <w:r w:rsidRPr="00C05E8C">
              <w:rPr>
                <w:sz w:val="21"/>
                <w:szCs w:val="21"/>
              </w:rPr>
              <w:t>土地使用权人：×××，联系人：×××，联系方式：××××。</w:t>
            </w:r>
          </w:p>
          <w:p w14:paraId="0A181B58" w14:textId="77777777" w:rsidR="00495C65" w:rsidRPr="00C05E8C" w:rsidRDefault="00495C65" w:rsidP="00C05E8C">
            <w:pPr>
              <w:pStyle w:val="13"/>
              <w:spacing w:line="240" w:lineRule="auto"/>
              <w:ind w:firstLineChars="0" w:firstLine="0"/>
              <w:rPr>
                <w:sz w:val="21"/>
                <w:szCs w:val="21"/>
              </w:rPr>
            </w:pPr>
            <w:r w:rsidRPr="00C05E8C">
              <w:rPr>
                <w:sz w:val="21"/>
                <w:szCs w:val="21"/>
              </w:rPr>
              <w:t>抵押权人：×××，联系人：×××，联系方式：××××。</w:t>
            </w:r>
          </w:p>
          <w:p w14:paraId="59DDB7D7" w14:textId="77777777" w:rsidR="00495C65" w:rsidRPr="00C05E8C" w:rsidRDefault="00495C65" w:rsidP="00C05E8C">
            <w:pPr>
              <w:pStyle w:val="13"/>
              <w:spacing w:line="240" w:lineRule="auto"/>
              <w:ind w:firstLineChars="0" w:firstLine="0"/>
              <w:rPr>
                <w:sz w:val="21"/>
                <w:szCs w:val="21"/>
              </w:rPr>
            </w:pPr>
            <w:r w:rsidRPr="00C05E8C">
              <w:rPr>
                <w:sz w:val="21"/>
                <w:szCs w:val="21"/>
              </w:rPr>
              <w:t>不动产的占有人（或承租人）：×××，联系人：×××，联系方式：××××。</w:t>
            </w:r>
          </w:p>
        </w:tc>
      </w:tr>
      <w:tr w:rsidR="00495C65" w:rsidRPr="00C05E8C" w14:paraId="459B6E56" w14:textId="77777777" w:rsidTr="00C05E8C">
        <w:trPr>
          <w:trHeight w:val="483"/>
          <w:jc w:val="center"/>
        </w:trPr>
        <w:tc>
          <w:tcPr>
            <w:tcW w:w="1678" w:type="pct"/>
            <w:vAlign w:val="center"/>
          </w:tcPr>
          <w:p w14:paraId="727F9A82"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既往司法鉴定估价报告</w:t>
            </w:r>
          </w:p>
        </w:tc>
        <w:tc>
          <w:tcPr>
            <w:tcW w:w="3322" w:type="pct"/>
            <w:gridSpan w:val="4"/>
            <w:vAlign w:val="center"/>
          </w:tcPr>
          <w:p w14:paraId="2457566E" w14:textId="77777777" w:rsidR="00495C65" w:rsidRPr="00C05E8C" w:rsidRDefault="00495C65" w:rsidP="00C05E8C">
            <w:pPr>
              <w:pStyle w:val="13"/>
              <w:spacing w:line="240" w:lineRule="auto"/>
              <w:ind w:firstLineChars="0" w:firstLine="0"/>
              <w:rPr>
                <w:sz w:val="21"/>
                <w:szCs w:val="21"/>
              </w:rPr>
            </w:pPr>
            <w:r w:rsidRPr="00C05E8C">
              <w:rPr>
                <w:sz w:val="21"/>
                <w:szCs w:val="21"/>
              </w:rPr>
              <w:t>有（</w:t>
            </w:r>
            <w:r w:rsidRPr="00C05E8C">
              <w:rPr>
                <w:sz w:val="21"/>
                <w:szCs w:val="21"/>
              </w:rPr>
              <w:tab/>
              <w:t>），则为重新估价，并提供复印件；无（</w:t>
            </w:r>
            <w:r w:rsidRPr="00C05E8C">
              <w:rPr>
                <w:sz w:val="21"/>
                <w:szCs w:val="21"/>
              </w:rPr>
              <w:tab/>
              <w:t>）。</w:t>
            </w:r>
          </w:p>
        </w:tc>
      </w:tr>
      <w:tr w:rsidR="00495C65" w:rsidRPr="00C05E8C" w14:paraId="32CDAF6F" w14:textId="77777777" w:rsidTr="00C05E8C">
        <w:trPr>
          <w:trHeight w:val="489"/>
          <w:jc w:val="center"/>
        </w:trPr>
        <w:tc>
          <w:tcPr>
            <w:tcW w:w="1678" w:type="pct"/>
            <w:vAlign w:val="center"/>
          </w:tcPr>
          <w:p w14:paraId="76E4B1CE"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司法技术部门审核意见</w:t>
            </w:r>
          </w:p>
        </w:tc>
        <w:tc>
          <w:tcPr>
            <w:tcW w:w="1661" w:type="pct"/>
            <w:gridSpan w:val="2"/>
            <w:vAlign w:val="center"/>
          </w:tcPr>
          <w:p w14:paraId="3E862080" w14:textId="77777777" w:rsidR="00495C65" w:rsidRPr="00C05E8C" w:rsidRDefault="00495C65" w:rsidP="00C05E8C">
            <w:pPr>
              <w:pStyle w:val="13"/>
              <w:spacing w:line="240" w:lineRule="auto"/>
              <w:ind w:firstLineChars="0" w:firstLine="0"/>
              <w:rPr>
                <w:sz w:val="21"/>
                <w:szCs w:val="21"/>
              </w:rPr>
            </w:pPr>
            <w:r w:rsidRPr="00C05E8C">
              <w:rPr>
                <w:sz w:val="21"/>
                <w:szCs w:val="21"/>
              </w:rPr>
              <w:t>负责人：</w:t>
            </w:r>
          </w:p>
        </w:tc>
        <w:tc>
          <w:tcPr>
            <w:tcW w:w="1661" w:type="pct"/>
            <w:gridSpan w:val="2"/>
            <w:vAlign w:val="center"/>
          </w:tcPr>
          <w:p w14:paraId="3A99A14C" w14:textId="77777777" w:rsidR="00495C65" w:rsidRPr="00C05E8C" w:rsidRDefault="00495C65" w:rsidP="00C05E8C">
            <w:pPr>
              <w:pStyle w:val="13"/>
              <w:spacing w:line="240" w:lineRule="auto"/>
              <w:ind w:firstLineChars="0" w:firstLine="0"/>
              <w:rPr>
                <w:sz w:val="21"/>
                <w:szCs w:val="21"/>
              </w:rPr>
            </w:pPr>
            <w:r w:rsidRPr="00C05E8C">
              <w:rPr>
                <w:rFonts w:hint="eastAsia"/>
                <w:sz w:val="21"/>
                <w:szCs w:val="21"/>
              </w:rPr>
              <w:t>承办人：</w:t>
            </w:r>
          </w:p>
        </w:tc>
      </w:tr>
      <w:tr w:rsidR="00495C65" w:rsidRPr="00C05E8C" w14:paraId="61D22057" w14:textId="77777777" w:rsidTr="00C05E8C">
        <w:trPr>
          <w:trHeight w:val="488"/>
          <w:jc w:val="center"/>
        </w:trPr>
        <w:tc>
          <w:tcPr>
            <w:tcW w:w="1678" w:type="pct"/>
            <w:vAlign w:val="center"/>
          </w:tcPr>
          <w:p w14:paraId="17D01276"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联系电话</w:t>
            </w:r>
          </w:p>
        </w:tc>
        <w:tc>
          <w:tcPr>
            <w:tcW w:w="1661" w:type="pct"/>
            <w:gridSpan w:val="2"/>
            <w:vAlign w:val="center"/>
          </w:tcPr>
          <w:p w14:paraId="24610A3E" w14:textId="77777777" w:rsidR="00495C65" w:rsidRPr="00C05E8C" w:rsidRDefault="00495C65" w:rsidP="00C05E8C">
            <w:pPr>
              <w:pStyle w:val="13"/>
              <w:spacing w:line="240" w:lineRule="auto"/>
              <w:ind w:firstLineChars="0" w:firstLine="0"/>
              <w:rPr>
                <w:sz w:val="21"/>
                <w:szCs w:val="21"/>
              </w:rPr>
            </w:pPr>
          </w:p>
        </w:tc>
        <w:tc>
          <w:tcPr>
            <w:tcW w:w="1661" w:type="pct"/>
            <w:gridSpan w:val="2"/>
            <w:vAlign w:val="center"/>
          </w:tcPr>
          <w:p w14:paraId="39D2AA0A" w14:textId="77777777" w:rsidR="00495C65" w:rsidRPr="00C05E8C" w:rsidRDefault="00495C65" w:rsidP="00C05E8C">
            <w:pPr>
              <w:pStyle w:val="13"/>
              <w:spacing w:line="240" w:lineRule="auto"/>
              <w:ind w:firstLineChars="0" w:firstLine="0"/>
              <w:rPr>
                <w:sz w:val="21"/>
                <w:szCs w:val="21"/>
              </w:rPr>
            </w:pPr>
          </w:p>
        </w:tc>
      </w:tr>
      <w:tr w:rsidR="00495C65" w:rsidRPr="00C05E8C" w14:paraId="61CBD11A" w14:textId="77777777" w:rsidTr="00C05E8C">
        <w:trPr>
          <w:trHeight w:val="490"/>
          <w:jc w:val="center"/>
        </w:trPr>
        <w:tc>
          <w:tcPr>
            <w:tcW w:w="1678" w:type="pct"/>
            <w:vAlign w:val="center"/>
          </w:tcPr>
          <w:p w14:paraId="552F9A39"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估价机构受托记录</w:t>
            </w:r>
          </w:p>
        </w:tc>
        <w:tc>
          <w:tcPr>
            <w:tcW w:w="758" w:type="pct"/>
            <w:vAlign w:val="center"/>
          </w:tcPr>
          <w:p w14:paraId="1E3C56C6" w14:textId="77777777" w:rsidR="00495C65" w:rsidRPr="00C05E8C" w:rsidRDefault="00495C65" w:rsidP="00C05E8C">
            <w:pPr>
              <w:pStyle w:val="13"/>
              <w:spacing w:line="240" w:lineRule="auto"/>
              <w:ind w:firstLineChars="0" w:firstLine="0"/>
              <w:rPr>
                <w:sz w:val="21"/>
                <w:szCs w:val="21"/>
              </w:rPr>
            </w:pPr>
            <w:r w:rsidRPr="00C05E8C">
              <w:rPr>
                <w:sz w:val="21"/>
                <w:szCs w:val="21"/>
              </w:rPr>
              <w:t>受案人签名</w:t>
            </w:r>
          </w:p>
        </w:tc>
        <w:tc>
          <w:tcPr>
            <w:tcW w:w="903" w:type="pct"/>
            <w:vAlign w:val="center"/>
          </w:tcPr>
          <w:p w14:paraId="0BD9AA26" w14:textId="77777777" w:rsidR="00495C65" w:rsidRPr="00C05E8C" w:rsidRDefault="00495C65" w:rsidP="00C05E8C">
            <w:pPr>
              <w:pStyle w:val="13"/>
              <w:spacing w:line="240" w:lineRule="auto"/>
              <w:ind w:firstLineChars="0" w:firstLine="0"/>
              <w:rPr>
                <w:sz w:val="21"/>
                <w:szCs w:val="21"/>
              </w:rPr>
            </w:pPr>
          </w:p>
        </w:tc>
        <w:tc>
          <w:tcPr>
            <w:tcW w:w="559" w:type="pct"/>
            <w:vAlign w:val="center"/>
          </w:tcPr>
          <w:p w14:paraId="38611A78" w14:textId="77777777" w:rsidR="00495C65" w:rsidRPr="00C05E8C" w:rsidRDefault="00495C65" w:rsidP="00C05E8C">
            <w:pPr>
              <w:pStyle w:val="13"/>
              <w:spacing w:line="240" w:lineRule="auto"/>
              <w:ind w:firstLineChars="0" w:firstLine="0"/>
              <w:rPr>
                <w:sz w:val="21"/>
                <w:szCs w:val="21"/>
              </w:rPr>
            </w:pPr>
            <w:r w:rsidRPr="00C05E8C">
              <w:rPr>
                <w:rFonts w:hint="eastAsia"/>
                <w:sz w:val="21"/>
                <w:szCs w:val="21"/>
              </w:rPr>
              <w:t>机构电话</w:t>
            </w:r>
          </w:p>
        </w:tc>
        <w:tc>
          <w:tcPr>
            <w:tcW w:w="1102" w:type="pct"/>
            <w:vAlign w:val="center"/>
          </w:tcPr>
          <w:p w14:paraId="00413CF2" w14:textId="77777777" w:rsidR="00495C65" w:rsidRPr="00C05E8C" w:rsidRDefault="00495C65" w:rsidP="00C05E8C">
            <w:pPr>
              <w:pStyle w:val="13"/>
              <w:spacing w:line="240" w:lineRule="auto"/>
              <w:ind w:firstLineChars="0" w:firstLine="0"/>
              <w:rPr>
                <w:sz w:val="21"/>
                <w:szCs w:val="21"/>
              </w:rPr>
            </w:pPr>
          </w:p>
        </w:tc>
      </w:tr>
      <w:tr w:rsidR="00495C65" w:rsidRPr="00C05E8C" w14:paraId="63956EDF" w14:textId="77777777" w:rsidTr="00C05E8C">
        <w:trPr>
          <w:trHeight w:val="490"/>
          <w:jc w:val="center"/>
        </w:trPr>
        <w:tc>
          <w:tcPr>
            <w:tcW w:w="1678" w:type="pct"/>
            <w:vAlign w:val="center"/>
          </w:tcPr>
          <w:p w14:paraId="6321AD55" w14:textId="77777777" w:rsidR="00495C65" w:rsidRPr="00C05E8C" w:rsidRDefault="00495C65" w:rsidP="00C05E8C">
            <w:pPr>
              <w:pStyle w:val="13"/>
              <w:spacing w:line="240" w:lineRule="auto"/>
              <w:ind w:firstLineChars="0" w:firstLine="0"/>
              <w:jc w:val="center"/>
              <w:rPr>
                <w:sz w:val="21"/>
                <w:szCs w:val="21"/>
              </w:rPr>
            </w:pPr>
            <w:r w:rsidRPr="00C05E8C">
              <w:rPr>
                <w:rFonts w:hint="eastAsia"/>
                <w:sz w:val="21"/>
                <w:szCs w:val="21"/>
              </w:rPr>
              <w:t>备</w:t>
            </w:r>
            <w:r w:rsidRPr="00C05E8C">
              <w:rPr>
                <w:sz w:val="21"/>
                <w:szCs w:val="21"/>
              </w:rPr>
              <w:t xml:space="preserve"> 注</w:t>
            </w:r>
          </w:p>
        </w:tc>
        <w:tc>
          <w:tcPr>
            <w:tcW w:w="3322" w:type="pct"/>
            <w:gridSpan w:val="4"/>
            <w:vAlign w:val="center"/>
          </w:tcPr>
          <w:p w14:paraId="1E038AC5" w14:textId="77777777" w:rsidR="00495C65" w:rsidRPr="00C05E8C" w:rsidRDefault="00495C65" w:rsidP="00C05E8C">
            <w:pPr>
              <w:pStyle w:val="13"/>
              <w:spacing w:line="240" w:lineRule="auto"/>
              <w:ind w:firstLineChars="0" w:firstLine="0"/>
              <w:rPr>
                <w:sz w:val="21"/>
                <w:szCs w:val="21"/>
              </w:rPr>
            </w:pPr>
            <w:r w:rsidRPr="00C05E8C">
              <w:rPr>
                <w:rFonts w:hint="eastAsia"/>
                <w:sz w:val="21"/>
                <w:szCs w:val="21"/>
              </w:rPr>
              <w:t>对估价对象在价值时点的特定司法鉴定估价目的下的价值进行分析、测算和判断并提供相关专业意见，是注册房地产估价师的责任；提供必要的资料并保证所提供资料的真实性、合法性、完整性，恰当使用估价报告是委</w:t>
            </w:r>
          </w:p>
          <w:p w14:paraId="08EF68D5" w14:textId="77777777" w:rsidR="00495C65" w:rsidRPr="00C05E8C" w:rsidRDefault="00495C65" w:rsidP="00C05E8C">
            <w:pPr>
              <w:pStyle w:val="13"/>
              <w:spacing w:line="240" w:lineRule="auto"/>
              <w:ind w:firstLineChars="0" w:firstLine="0"/>
              <w:rPr>
                <w:sz w:val="21"/>
                <w:szCs w:val="21"/>
              </w:rPr>
            </w:pPr>
            <w:r w:rsidRPr="00C05E8C">
              <w:rPr>
                <w:rFonts w:hint="eastAsia"/>
                <w:sz w:val="21"/>
                <w:szCs w:val="21"/>
              </w:rPr>
              <w:t>托人和相关当事人的责任。</w:t>
            </w:r>
          </w:p>
        </w:tc>
      </w:tr>
    </w:tbl>
    <w:p w14:paraId="6454A16B" w14:textId="77777777" w:rsidR="00C05E8C" w:rsidRDefault="00C05E8C" w:rsidP="00495C65">
      <w:pPr>
        <w:pStyle w:val="13"/>
        <w:spacing w:beforeLines="100" w:before="312"/>
      </w:pPr>
    </w:p>
    <w:p w14:paraId="76CB4364" w14:textId="685D74BF" w:rsidR="00495C65" w:rsidRDefault="00495C65" w:rsidP="00495C65">
      <w:pPr>
        <w:pStyle w:val="13"/>
        <w:spacing w:beforeLines="100" w:before="312"/>
      </w:pPr>
      <w:r w:rsidRPr="00B6437E">
        <w:rPr>
          <w:rFonts w:hint="eastAsia"/>
        </w:rPr>
        <w:lastRenderedPageBreak/>
        <w:t>附件</w:t>
      </w:r>
      <w:r w:rsidRPr="00B6437E">
        <w:t xml:space="preserve"> 3</w:t>
      </w:r>
    </w:p>
    <w:p w14:paraId="6EE5401F" w14:textId="77777777" w:rsidR="00495C65" w:rsidRDefault="00495C65" w:rsidP="00495C65">
      <w:pPr>
        <w:pStyle w:val="13"/>
        <w:ind w:firstLineChars="0" w:firstLine="0"/>
        <w:jc w:val="center"/>
        <w:rPr>
          <w:b/>
          <w:bCs/>
        </w:rPr>
      </w:pPr>
      <w:r w:rsidRPr="00B6437E">
        <w:rPr>
          <w:rFonts w:hint="eastAsia"/>
          <w:b/>
          <w:bCs/>
        </w:rPr>
        <w:t>房地产司法鉴定估价（补充或退回）资料交接表</w:t>
      </w:r>
    </w:p>
    <w:p w14:paraId="6BD9DB92" w14:textId="77777777" w:rsidR="00495C65" w:rsidRPr="00B03117" w:rsidRDefault="00495C65" w:rsidP="00495C65">
      <w:pPr>
        <w:pStyle w:val="13"/>
      </w:pPr>
      <w:r w:rsidRPr="00B03117">
        <w:t>移交</w:t>
      </w:r>
      <w:proofErr w:type="gramStart"/>
      <w:r w:rsidRPr="00B03117">
        <w:t>鉴定案</w:t>
      </w:r>
      <w:proofErr w:type="gramEnd"/>
      <w:r w:rsidRPr="00B03117">
        <w:t>号：</w:t>
      </w:r>
    </w:p>
    <w:p w14:paraId="1FC9690D" w14:textId="77777777" w:rsidR="00495C65" w:rsidRDefault="00495C65" w:rsidP="00495C65">
      <w:pPr>
        <w:pStyle w:val="13"/>
      </w:pPr>
      <w:r>
        <w:rPr>
          <w:rFonts w:hint="eastAsia"/>
        </w:rPr>
        <w:t>案由：</w:t>
      </w:r>
    </w:p>
    <w:p w14:paraId="0CCFD8B0" w14:textId="77777777" w:rsidR="00495C65" w:rsidRDefault="00495C65" w:rsidP="00495C65">
      <w:pPr>
        <w:pStyle w:val="13"/>
      </w:pPr>
      <w:proofErr w:type="gramStart"/>
      <w:r>
        <w:rPr>
          <w:rFonts w:hint="eastAsia"/>
        </w:rPr>
        <w:t>本次送鉴资料</w:t>
      </w:r>
      <w:proofErr w:type="gramEnd"/>
      <w:r>
        <w:rPr>
          <w:rFonts w:hint="eastAsia"/>
        </w:rPr>
        <w:t>：</w:t>
      </w:r>
    </w:p>
    <w:p w14:paraId="1CB89DEC" w14:textId="77777777" w:rsidR="00495C65" w:rsidRDefault="00495C65" w:rsidP="00495C65">
      <w:pPr>
        <w:pStyle w:val="13"/>
      </w:pPr>
      <w:r>
        <w:t>1、案件当事人身份资料：</w:t>
      </w:r>
    </w:p>
    <w:p w14:paraId="718F333C" w14:textId="77777777" w:rsidR="00495C65" w:rsidRDefault="00495C65" w:rsidP="00495C65">
      <w:pPr>
        <w:pStyle w:val="13"/>
      </w:pPr>
      <w:r>
        <w:t>2、估价对象法律权属资料（包括房屋所有权、国有土地使用权等不动产登记资料，抵押权及租约，土地出让合同等）：</w:t>
      </w:r>
    </w:p>
    <w:p w14:paraId="1DAD7019" w14:textId="77777777" w:rsidR="00495C65" w:rsidRDefault="00495C65" w:rsidP="00495C65">
      <w:pPr>
        <w:pStyle w:val="13"/>
      </w:pPr>
      <w:r>
        <w:t>3、附着于不动产的装修、设备及其维护情况：</w:t>
      </w:r>
    </w:p>
    <w:p w14:paraId="21B226C2" w14:textId="77777777" w:rsidR="00495C65" w:rsidRDefault="00495C65" w:rsidP="00495C65">
      <w:pPr>
        <w:pStyle w:val="13"/>
      </w:pPr>
      <w:r>
        <w:t>4、关于不动产合法用途、技术经济指标的规划文件：</w:t>
      </w:r>
    </w:p>
    <w:p w14:paraId="4A859261" w14:textId="77777777" w:rsidR="00495C65" w:rsidRDefault="00495C65" w:rsidP="00495C65">
      <w:pPr>
        <w:pStyle w:val="13"/>
      </w:pPr>
      <w:r>
        <w:t>5、其他资料（建筑面积测绘报告等）：</w:t>
      </w:r>
    </w:p>
    <w:p w14:paraId="014D6C08" w14:textId="77777777" w:rsidR="00495C65" w:rsidRDefault="00495C65" w:rsidP="00495C65">
      <w:pPr>
        <w:pStyle w:val="13"/>
      </w:pPr>
      <w:r>
        <w:rPr>
          <w:rFonts w:hint="eastAsia"/>
        </w:rPr>
        <w:t>受托房地产估价机构审核后认为需要补充的估价资料</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819"/>
        <w:gridCol w:w="2382"/>
        <w:gridCol w:w="2382"/>
      </w:tblGrid>
      <w:tr w:rsidR="00495C65" w:rsidRPr="00C05E8C" w14:paraId="0337A5A8" w14:textId="77777777" w:rsidTr="00C05E8C">
        <w:trPr>
          <w:trHeight w:val="1647"/>
          <w:jc w:val="center"/>
        </w:trPr>
        <w:tc>
          <w:tcPr>
            <w:tcW w:w="1225" w:type="pct"/>
            <w:vAlign w:val="center"/>
          </w:tcPr>
          <w:p w14:paraId="12362BC0"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受托房地产估价机构不接受委托的理由</w:t>
            </w:r>
          </w:p>
        </w:tc>
        <w:tc>
          <w:tcPr>
            <w:tcW w:w="3775" w:type="pct"/>
            <w:gridSpan w:val="3"/>
            <w:vAlign w:val="center"/>
          </w:tcPr>
          <w:p w14:paraId="43392B1C" w14:textId="77777777" w:rsidR="00495C65" w:rsidRPr="00C05E8C" w:rsidRDefault="00495C65" w:rsidP="00C05E8C">
            <w:pPr>
              <w:pStyle w:val="13"/>
              <w:spacing w:line="240" w:lineRule="auto"/>
              <w:ind w:firstLineChars="0" w:firstLine="0"/>
              <w:rPr>
                <w:sz w:val="21"/>
                <w:szCs w:val="21"/>
              </w:rPr>
            </w:pPr>
            <w:r w:rsidRPr="00C05E8C">
              <w:rPr>
                <w:sz w:val="21"/>
                <w:szCs w:val="21"/>
              </w:rPr>
              <w:t>认为委托人提供的估价资料不完整、不充分，委托人补充不齐全的，房地产估价机构放弃接受委托（ ）；或者房地产估价机构在实施估价过程中，基本估价程序不能进行或估价依据缺失（可能估价依据天然缺失，或诉讼活动当事人不配合导致），导致无法估价（ ）。</w:t>
            </w:r>
          </w:p>
        </w:tc>
      </w:tr>
      <w:tr w:rsidR="00495C65" w:rsidRPr="00C05E8C" w14:paraId="6A059B8E" w14:textId="77777777" w:rsidTr="00C05E8C">
        <w:trPr>
          <w:trHeight w:val="494"/>
          <w:jc w:val="center"/>
        </w:trPr>
        <w:tc>
          <w:tcPr>
            <w:tcW w:w="1225" w:type="pct"/>
            <w:vMerge w:val="restart"/>
            <w:vAlign w:val="center"/>
          </w:tcPr>
          <w:p w14:paraId="08DADCFA"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法院技术部门</w:t>
            </w:r>
          </w:p>
          <w:p w14:paraId="4F5C061D"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移送记录</w:t>
            </w:r>
          </w:p>
        </w:tc>
        <w:tc>
          <w:tcPr>
            <w:tcW w:w="1043" w:type="pct"/>
            <w:vAlign w:val="center"/>
          </w:tcPr>
          <w:p w14:paraId="18636636"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移交承办人</w:t>
            </w:r>
          </w:p>
        </w:tc>
        <w:tc>
          <w:tcPr>
            <w:tcW w:w="1366" w:type="pct"/>
            <w:vAlign w:val="center"/>
          </w:tcPr>
          <w:p w14:paraId="3854EE73"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联系电话</w:t>
            </w:r>
          </w:p>
        </w:tc>
        <w:tc>
          <w:tcPr>
            <w:tcW w:w="1366" w:type="pct"/>
            <w:vAlign w:val="center"/>
          </w:tcPr>
          <w:p w14:paraId="2D4C7A89"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交接日期</w:t>
            </w:r>
          </w:p>
        </w:tc>
      </w:tr>
      <w:tr w:rsidR="00495C65" w:rsidRPr="00C05E8C" w14:paraId="1C57E776" w14:textId="77777777" w:rsidTr="00C05E8C">
        <w:trPr>
          <w:trHeight w:val="470"/>
          <w:jc w:val="center"/>
        </w:trPr>
        <w:tc>
          <w:tcPr>
            <w:tcW w:w="1225" w:type="pct"/>
            <w:vMerge/>
            <w:vAlign w:val="center"/>
          </w:tcPr>
          <w:p w14:paraId="742D82DB" w14:textId="77777777" w:rsidR="00495C65" w:rsidRPr="00C05E8C" w:rsidRDefault="00495C65" w:rsidP="00C05E8C">
            <w:pPr>
              <w:pStyle w:val="13"/>
              <w:spacing w:line="240" w:lineRule="auto"/>
              <w:ind w:firstLineChars="0" w:firstLine="0"/>
              <w:jc w:val="center"/>
              <w:rPr>
                <w:sz w:val="21"/>
                <w:szCs w:val="21"/>
              </w:rPr>
            </w:pPr>
          </w:p>
        </w:tc>
        <w:tc>
          <w:tcPr>
            <w:tcW w:w="1043" w:type="pct"/>
            <w:vAlign w:val="center"/>
          </w:tcPr>
          <w:p w14:paraId="1101F775" w14:textId="77777777" w:rsidR="00495C65" w:rsidRPr="00C05E8C" w:rsidRDefault="00495C65" w:rsidP="00C05E8C">
            <w:pPr>
              <w:pStyle w:val="13"/>
              <w:spacing w:line="240" w:lineRule="auto"/>
              <w:ind w:firstLineChars="0" w:firstLine="0"/>
              <w:jc w:val="center"/>
              <w:rPr>
                <w:sz w:val="21"/>
                <w:szCs w:val="21"/>
              </w:rPr>
            </w:pPr>
          </w:p>
        </w:tc>
        <w:tc>
          <w:tcPr>
            <w:tcW w:w="1366" w:type="pct"/>
            <w:vAlign w:val="center"/>
          </w:tcPr>
          <w:p w14:paraId="137F0C90" w14:textId="77777777" w:rsidR="00495C65" w:rsidRPr="00C05E8C" w:rsidRDefault="00495C65" w:rsidP="00C05E8C">
            <w:pPr>
              <w:pStyle w:val="13"/>
              <w:spacing w:line="240" w:lineRule="auto"/>
              <w:ind w:firstLineChars="0" w:firstLine="0"/>
              <w:jc w:val="center"/>
              <w:rPr>
                <w:sz w:val="21"/>
                <w:szCs w:val="21"/>
              </w:rPr>
            </w:pPr>
          </w:p>
        </w:tc>
        <w:tc>
          <w:tcPr>
            <w:tcW w:w="1366" w:type="pct"/>
            <w:vAlign w:val="center"/>
          </w:tcPr>
          <w:p w14:paraId="0C11A79D"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31FDB89D" w14:textId="77777777" w:rsidTr="00C05E8C">
        <w:trPr>
          <w:trHeight w:val="488"/>
          <w:jc w:val="center"/>
        </w:trPr>
        <w:tc>
          <w:tcPr>
            <w:tcW w:w="1225" w:type="pct"/>
            <w:vMerge w:val="restart"/>
            <w:vAlign w:val="center"/>
          </w:tcPr>
          <w:p w14:paraId="735760E5"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受托房地产估价机构接收记录</w:t>
            </w:r>
          </w:p>
        </w:tc>
        <w:tc>
          <w:tcPr>
            <w:tcW w:w="1043" w:type="pct"/>
            <w:vAlign w:val="center"/>
          </w:tcPr>
          <w:p w14:paraId="7A2D38E2"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接收承办人</w:t>
            </w:r>
          </w:p>
        </w:tc>
        <w:tc>
          <w:tcPr>
            <w:tcW w:w="1366" w:type="pct"/>
            <w:vAlign w:val="center"/>
          </w:tcPr>
          <w:p w14:paraId="33EC3482"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联系电话</w:t>
            </w:r>
          </w:p>
        </w:tc>
        <w:tc>
          <w:tcPr>
            <w:tcW w:w="1366" w:type="pct"/>
            <w:vAlign w:val="center"/>
          </w:tcPr>
          <w:p w14:paraId="07A72331"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交接日期</w:t>
            </w:r>
          </w:p>
        </w:tc>
      </w:tr>
      <w:tr w:rsidR="00495C65" w:rsidRPr="00C05E8C" w14:paraId="17AF3DCF" w14:textId="77777777" w:rsidTr="00C05E8C">
        <w:trPr>
          <w:trHeight w:val="468"/>
          <w:jc w:val="center"/>
        </w:trPr>
        <w:tc>
          <w:tcPr>
            <w:tcW w:w="1225" w:type="pct"/>
            <w:vMerge/>
            <w:vAlign w:val="center"/>
          </w:tcPr>
          <w:p w14:paraId="6DA02025" w14:textId="77777777" w:rsidR="00495C65" w:rsidRPr="00C05E8C" w:rsidRDefault="00495C65" w:rsidP="00C05E8C">
            <w:pPr>
              <w:pStyle w:val="13"/>
              <w:spacing w:line="240" w:lineRule="auto"/>
              <w:ind w:firstLineChars="0" w:firstLine="0"/>
              <w:jc w:val="center"/>
              <w:rPr>
                <w:sz w:val="21"/>
                <w:szCs w:val="21"/>
              </w:rPr>
            </w:pPr>
          </w:p>
        </w:tc>
        <w:tc>
          <w:tcPr>
            <w:tcW w:w="1043" w:type="pct"/>
            <w:vAlign w:val="center"/>
          </w:tcPr>
          <w:p w14:paraId="32FE25BA" w14:textId="77777777" w:rsidR="00495C65" w:rsidRPr="00C05E8C" w:rsidRDefault="00495C65" w:rsidP="00C05E8C">
            <w:pPr>
              <w:pStyle w:val="13"/>
              <w:spacing w:line="240" w:lineRule="auto"/>
              <w:ind w:firstLineChars="0" w:firstLine="0"/>
              <w:jc w:val="center"/>
              <w:rPr>
                <w:sz w:val="21"/>
                <w:szCs w:val="21"/>
              </w:rPr>
            </w:pPr>
          </w:p>
        </w:tc>
        <w:tc>
          <w:tcPr>
            <w:tcW w:w="1366" w:type="pct"/>
            <w:vAlign w:val="center"/>
          </w:tcPr>
          <w:p w14:paraId="5AFA14D4" w14:textId="77777777" w:rsidR="00495C65" w:rsidRPr="00C05E8C" w:rsidRDefault="00495C65" w:rsidP="00C05E8C">
            <w:pPr>
              <w:pStyle w:val="13"/>
              <w:spacing w:line="240" w:lineRule="auto"/>
              <w:ind w:firstLineChars="0" w:firstLine="0"/>
              <w:jc w:val="center"/>
              <w:rPr>
                <w:sz w:val="21"/>
                <w:szCs w:val="21"/>
              </w:rPr>
            </w:pPr>
          </w:p>
        </w:tc>
        <w:tc>
          <w:tcPr>
            <w:tcW w:w="1366" w:type="pct"/>
            <w:vAlign w:val="center"/>
          </w:tcPr>
          <w:p w14:paraId="46FDF510"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176F44E9" w14:textId="77777777" w:rsidTr="00C05E8C">
        <w:trPr>
          <w:trHeight w:val="479"/>
          <w:jc w:val="center"/>
        </w:trPr>
        <w:tc>
          <w:tcPr>
            <w:tcW w:w="1225" w:type="pct"/>
            <w:vAlign w:val="center"/>
          </w:tcPr>
          <w:p w14:paraId="38E2DD41"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受托房地产估价机构</w:t>
            </w:r>
          </w:p>
        </w:tc>
        <w:tc>
          <w:tcPr>
            <w:tcW w:w="1043" w:type="pct"/>
            <w:vAlign w:val="center"/>
          </w:tcPr>
          <w:p w14:paraId="724EE326"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退回承办人</w:t>
            </w:r>
          </w:p>
        </w:tc>
        <w:tc>
          <w:tcPr>
            <w:tcW w:w="1366" w:type="pct"/>
            <w:vAlign w:val="center"/>
          </w:tcPr>
          <w:p w14:paraId="576D0F28"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联系电话</w:t>
            </w:r>
          </w:p>
        </w:tc>
        <w:tc>
          <w:tcPr>
            <w:tcW w:w="1366" w:type="pct"/>
            <w:vAlign w:val="center"/>
          </w:tcPr>
          <w:p w14:paraId="0DEB502B"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退回日期</w:t>
            </w:r>
          </w:p>
        </w:tc>
      </w:tr>
      <w:tr w:rsidR="00495C65" w:rsidRPr="00C05E8C" w14:paraId="56959E68" w14:textId="77777777" w:rsidTr="00C05E8C">
        <w:trPr>
          <w:trHeight w:val="488"/>
          <w:jc w:val="center"/>
        </w:trPr>
        <w:tc>
          <w:tcPr>
            <w:tcW w:w="1225" w:type="pct"/>
            <w:vAlign w:val="center"/>
          </w:tcPr>
          <w:p w14:paraId="22B35678"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退回记录</w:t>
            </w:r>
          </w:p>
        </w:tc>
        <w:tc>
          <w:tcPr>
            <w:tcW w:w="1043" w:type="pct"/>
            <w:vAlign w:val="center"/>
          </w:tcPr>
          <w:p w14:paraId="5508F96F" w14:textId="77777777" w:rsidR="00495C65" w:rsidRPr="00C05E8C" w:rsidRDefault="00495C65" w:rsidP="00C05E8C">
            <w:pPr>
              <w:pStyle w:val="13"/>
              <w:spacing w:line="240" w:lineRule="auto"/>
              <w:ind w:firstLineChars="0" w:firstLine="0"/>
              <w:jc w:val="center"/>
              <w:rPr>
                <w:sz w:val="21"/>
                <w:szCs w:val="21"/>
              </w:rPr>
            </w:pPr>
          </w:p>
        </w:tc>
        <w:tc>
          <w:tcPr>
            <w:tcW w:w="1366" w:type="pct"/>
            <w:vAlign w:val="center"/>
          </w:tcPr>
          <w:p w14:paraId="5455E7DF" w14:textId="77777777" w:rsidR="00495C65" w:rsidRPr="00C05E8C" w:rsidRDefault="00495C65" w:rsidP="00C05E8C">
            <w:pPr>
              <w:pStyle w:val="13"/>
              <w:spacing w:line="240" w:lineRule="auto"/>
              <w:ind w:firstLineChars="0" w:firstLine="0"/>
              <w:jc w:val="center"/>
              <w:rPr>
                <w:sz w:val="21"/>
                <w:szCs w:val="21"/>
              </w:rPr>
            </w:pPr>
          </w:p>
        </w:tc>
        <w:tc>
          <w:tcPr>
            <w:tcW w:w="1366" w:type="pct"/>
            <w:vAlign w:val="center"/>
          </w:tcPr>
          <w:p w14:paraId="7EAD39F6" w14:textId="77777777" w:rsidR="00495C65" w:rsidRPr="00C05E8C" w:rsidRDefault="00495C65" w:rsidP="00C05E8C">
            <w:pPr>
              <w:pStyle w:val="13"/>
              <w:spacing w:line="240" w:lineRule="auto"/>
              <w:ind w:firstLineChars="0" w:firstLine="0"/>
              <w:jc w:val="center"/>
              <w:rPr>
                <w:sz w:val="21"/>
                <w:szCs w:val="21"/>
              </w:rPr>
            </w:pPr>
          </w:p>
        </w:tc>
      </w:tr>
      <w:tr w:rsidR="00495C65" w:rsidRPr="00C05E8C" w14:paraId="643AF266" w14:textId="77777777" w:rsidTr="00C05E8C">
        <w:trPr>
          <w:trHeight w:val="488"/>
          <w:jc w:val="center"/>
        </w:trPr>
        <w:tc>
          <w:tcPr>
            <w:tcW w:w="1225" w:type="pct"/>
            <w:vAlign w:val="center"/>
          </w:tcPr>
          <w:p w14:paraId="44EAE85A" w14:textId="77777777" w:rsidR="00495C65" w:rsidRPr="00C05E8C" w:rsidRDefault="00495C65" w:rsidP="00C05E8C">
            <w:pPr>
              <w:pStyle w:val="13"/>
              <w:spacing w:line="240" w:lineRule="auto"/>
              <w:ind w:firstLineChars="0" w:firstLine="0"/>
              <w:jc w:val="center"/>
              <w:rPr>
                <w:sz w:val="21"/>
                <w:szCs w:val="21"/>
              </w:rPr>
            </w:pPr>
            <w:r w:rsidRPr="00C05E8C">
              <w:rPr>
                <w:rFonts w:hint="eastAsia"/>
                <w:sz w:val="21"/>
                <w:szCs w:val="21"/>
              </w:rPr>
              <w:t>备</w:t>
            </w:r>
            <w:r w:rsidRPr="00C05E8C">
              <w:rPr>
                <w:sz w:val="21"/>
                <w:szCs w:val="21"/>
              </w:rPr>
              <w:t xml:space="preserve"> 注</w:t>
            </w:r>
          </w:p>
        </w:tc>
        <w:tc>
          <w:tcPr>
            <w:tcW w:w="3775" w:type="pct"/>
            <w:gridSpan w:val="3"/>
            <w:vAlign w:val="center"/>
          </w:tcPr>
          <w:p w14:paraId="02E0A61B" w14:textId="77777777" w:rsidR="00495C65" w:rsidRPr="00C05E8C" w:rsidRDefault="00495C65" w:rsidP="00C05E8C">
            <w:pPr>
              <w:pStyle w:val="13"/>
              <w:spacing w:line="240" w:lineRule="auto"/>
              <w:ind w:firstLineChars="0" w:firstLine="0"/>
              <w:rPr>
                <w:sz w:val="21"/>
                <w:szCs w:val="21"/>
              </w:rPr>
            </w:pPr>
            <w:r w:rsidRPr="00C05E8C">
              <w:rPr>
                <w:rFonts w:hint="eastAsia"/>
                <w:sz w:val="21"/>
                <w:szCs w:val="21"/>
              </w:rPr>
              <w:t>本次</w:t>
            </w:r>
            <w:proofErr w:type="gramStart"/>
            <w:r w:rsidRPr="00C05E8C">
              <w:rPr>
                <w:rFonts w:hint="eastAsia"/>
                <w:sz w:val="21"/>
                <w:szCs w:val="21"/>
              </w:rPr>
              <w:t>送鉴资料</w:t>
            </w:r>
            <w:proofErr w:type="gramEnd"/>
            <w:r w:rsidRPr="00C05E8C">
              <w:rPr>
                <w:rFonts w:hint="eastAsia"/>
                <w:sz w:val="21"/>
                <w:szCs w:val="21"/>
              </w:rPr>
              <w:t>为：</w:t>
            </w:r>
          </w:p>
          <w:p w14:paraId="7F511260" w14:textId="2996B4A1" w:rsidR="00495C65" w:rsidRPr="00C05E8C" w:rsidRDefault="00495C65" w:rsidP="00C05E8C">
            <w:pPr>
              <w:pStyle w:val="13"/>
              <w:spacing w:line="240" w:lineRule="auto"/>
              <w:ind w:firstLineChars="0" w:firstLine="0"/>
              <w:rPr>
                <w:sz w:val="21"/>
                <w:szCs w:val="21"/>
              </w:rPr>
            </w:pPr>
            <w:r w:rsidRPr="00C05E8C">
              <w:rPr>
                <w:rFonts w:hint="eastAsia"/>
                <w:sz w:val="21"/>
                <w:szCs w:val="21"/>
              </w:rPr>
              <w:t>第一次移送资料（</w:t>
            </w:r>
            <w:r w:rsidRPr="00C05E8C">
              <w:rPr>
                <w:sz w:val="21"/>
                <w:szCs w:val="21"/>
              </w:rPr>
              <w:t xml:space="preserve"> ），移送资料日期：×× 年×× 月××</w:t>
            </w:r>
            <w:r w:rsidR="003068F8">
              <w:rPr>
                <w:sz w:val="21"/>
                <w:szCs w:val="21"/>
              </w:rPr>
              <w:t>日</w:t>
            </w:r>
            <w:r w:rsidRPr="00C05E8C">
              <w:rPr>
                <w:sz w:val="21"/>
                <w:szCs w:val="21"/>
              </w:rPr>
              <w:t>；第二次补送资料（ ），补送资料日期：×× 年×× 月××</w:t>
            </w:r>
            <w:r w:rsidR="003068F8">
              <w:rPr>
                <w:sz w:val="21"/>
                <w:szCs w:val="21"/>
              </w:rPr>
              <w:t>日</w:t>
            </w:r>
            <w:r w:rsidRPr="00C05E8C">
              <w:rPr>
                <w:sz w:val="21"/>
                <w:szCs w:val="21"/>
              </w:rPr>
              <w:t>，第三次移送资</w:t>
            </w:r>
            <w:r w:rsidRPr="00C05E8C">
              <w:rPr>
                <w:rFonts w:hint="eastAsia"/>
                <w:sz w:val="21"/>
                <w:szCs w:val="21"/>
              </w:rPr>
              <w:t>料（</w:t>
            </w:r>
            <w:r w:rsidRPr="00C05E8C">
              <w:rPr>
                <w:sz w:val="21"/>
                <w:szCs w:val="21"/>
              </w:rPr>
              <w:t xml:space="preserve"> ），补送资料日期：×× 年×× 月××</w:t>
            </w:r>
            <w:r w:rsidR="003068F8">
              <w:rPr>
                <w:sz w:val="21"/>
                <w:szCs w:val="21"/>
              </w:rPr>
              <w:t>日</w:t>
            </w:r>
            <w:r w:rsidRPr="00C05E8C">
              <w:rPr>
                <w:sz w:val="21"/>
                <w:szCs w:val="21"/>
              </w:rPr>
              <w:t>。</w:t>
            </w:r>
          </w:p>
        </w:tc>
      </w:tr>
    </w:tbl>
    <w:p w14:paraId="471C3A85" w14:textId="4EE3FA3E" w:rsidR="0057366E" w:rsidRDefault="0057366E" w:rsidP="0057366E">
      <w:pPr>
        <w:pStyle w:val="13"/>
      </w:pPr>
    </w:p>
    <w:p w14:paraId="1B0400C8" w14:textId="77777777" w:rsidR="0057366E" w:rsidRDefault="0057366E">
      <w:pPr>
        <w:widowControl/>
        <w:jc w:val="left"/>
        <w:rPr>
          <w:rFonts w:ascii="宋体" w:hAnsi="宋体"/>
          <w:sz w:val="24"/>
          <w:szCs w:val="24"/>
        </w:rPr>
      </w:pPr>
      <w:r>
        <w:br w:type="page"/>
      </w:r>
    </w:p>
    <w:p w14:paraId="447217D5" w14:textId="3F0BE9FC" w:rsidR="00495C65" w:rsidRDefault="00495C65" w:rsidP="00495C65">
      <w:pPr>
        <w:pStyle w:val="31"/>
        <w:spacing w:before="156" w:after="62"/>
      </w:pPr>
      <w:bookmarkStart w:id="180" w:name="_Toc81833418"/>
      <w:r>
        <w:rPr>
          <w:rFonts w:hint="eastAsia"/>
        </w:rPr>
        <w:lastRenderedPageBreak/>
        <w:t>河南省房地产估价技术指引之一—报酬率或资本化率求取（修订）</w:t>
      </w:r>
      <w:r w:rsidR="00C05E8C">
        <w:br/>
      </w:r>
      <w:r>
        <w:rPr>
          <w:rFonts w:hint="eastAsia"/>
        </w:rPr>
        <w:t>（</w:t>
      </w:r>
      <w:proofErr w:type="gramStart"/>
      <w:r>
        <w:rPr>
          <w:rFonts w:hint="eastAsia"/>
        </w:rPr>
        <w:t>豫房估协</w:t>
      </w:r>
      <w:proofErr w:type="gramEnd"/>
      <w:r>
        <w:rPr>
          <w:rFonts w:hint="eastAsia"/>
        </w:rPr>
        <w:t>〔</w:t>
      </w:r>
      <w:r>
        <w:t>2015〕25号）</w:t>
      </w:r>
      <w:bookmarkEnd w:id="180"/>
    </w:p>
    <w:p w14:paraId="68092BFB" w14:textId="77777777" w:rsidR="00495C65" w:rsidRDefault="00495C65" w:rsidP="00495C65">
      <w:pPr>
        <w:pStyle w:val="13"/>
        <w:ind w:firstLineChars="0" w:firstLine="0"/>
      </w:pPr>
      <w:r>
        <w:rPr>
          <w:rFonts w:hint="eastAsia"/>
        </w:rPr>
        <w:t>各房地产估价机构、房地产估价师：</w:t>
      </w:r>
    </w:p>
    <w:p w14:paraId="42E921B6" w14:textId="77777777" w:rsidR="00495C65" w:rsidRDefault="00495C65" w:rsidP="00495C65">
      <w:pPr>
        <w:pStyle w:val="13"/>
      </w:pPr>
      <w:r>
        <w:rPr>
          <w:rFonts w:hint="eastAsia"/>
        </w:rPr>
        <w:t>《河南省房地产估价技术指引之一—报酬率或资本化率求取》、《河南省房地产估价技术指引之二—比较法中市场状况调整》、《河南省房地产估价技术指引之三—估价假设和限制条件运用》发布实施以来，对规范全省房地产估价机构和房地产估价师相关估价技术参数选取和估价报告撰写起到了积极作用，各估价机构估价技术水平明显提高。随着新《房地产估价规范》（</w:t>
      </w:r>
      <w:r>
        <w:t>GB/T50291-2015）自2015年12月1日实施及银行存款利率市场化的推进，房地产估价技术亟待创新完善。为进一步提高《河南省房地产估价技术指引》的科学性和实用性，河</w:t>
      </w:r>
      <w:r>
        <w:rPr>
          <w:rFonts w:hint="eastAsia"/>
        </w:rPr>
        <w:t>南省房地产估价师与经纪人协会委托原编制单位河南宏基房地产评估测绘有限公司、河南开源房地产估价有限公司对已发布的《河南省房地产估价技术指引》进行了修订和完善（详见附件），并经河南省房地产估价行业诚信联盟讨论通过，现予以发布，自</w:t>
      </w:r>
      <w:r>
        <w:t>2015年12月1日起在全省房地产估价活动中推广使用。各房地产估价机构、房地产估价师在房地产估价活动中不参考使用《河南省房地产估价技术指引》（修订）的，应在报告中阐明理由。</w:t>
      </w:r>
    </w:p>
    <w:p w14:paraId="04BF21AE" w14:textId="77777777" w:rsidR="00495C65" w:rsidRDefault="00495C65" w:rsidP="00495C65">
      <w:pPr>
        <w:pStyle w:val="13"/>
      </w:pPr>
      <w:r>
        <w:rPr>
          <w:rFonts w:hint="eastAsia"/>
        </w:rPr>
        <w:t>附件：</w:t>
      </w:r>
    </w:p>
    <w:p w14:paraId="337BCC88" w14:textId="77777777" w:rsidR="00495C65" w:rsidRDefault="00495C65" w:rsidP="00495C65">
      <w:pPr>
        <w:pStyle w:val="13"/>
      </w:pPr>
      <w:r>
        <w:t>1、河南省房地产估价技术指引之一—报酬率或资本化率求取（修订）</w:t>
      </w:r>
    </w:p>
    <w:p w14:paraId="2F62395A" w14:textId="77777777" w:rsidR="00495C65" w:rsidRDefault="00495C65" w:rsidP="00495C65">
      <w:pPr>
        <w:pStyle w:val="13"/>
      </w:pPr>
      <w:r>
        <w:t>2、河南省房地产估价技术指引之二—比较法中市场状况调整（修订）</w:t>
      </w:r>
    </w:p>
    <w:p w14:paraId="663EF128" w14:textId="77777777" w:rsidR="00495C65" w:rsidRDefault="00495C65" w:rsidP="00495C65">
      <w:pPr>
        <w:pStyle w:val="13"/>
      </w:pPr>
      <w:r>
        <w:t>3、河南省房地产估价技术指引之三—估价假设和限制条件运用（修订）</w:t>
      </w:r>
    </w:p>
    <w:p w14:paraId="17B685F8" w14:textId="77777777" w:rsidR="00495C65" w:rsidRDefault="00495C65" w:rsidP="00495C65">
      <w:pPr>
        <w:pStyle w:val="13"/>
        <w:jc w:val="right"/>
      </w:pPr>
      <w:r>
        <w:rPr>
          <w:rFonts w:hint="eastAsia"/>
        </w:rPr>
        <w:t>河南省房地产估价师与经纪人协会</w:t>
      </w:r>
    </w:p>
    <w:p w14:paraId="503E26ED" w14:textId="77777777" w:rsidR="00495C65" w:rsidRDefault="00495C65" w:rsidP="00495C65">
      <w:pPr>
        <w:pStyle w:val="13"/>
        <w:jc w:val="right"/>
      </w:pPr>
      <w:r>
        <w:t>2015年11月16日</w:t>
      </w:r>
    </w:p>
    <w:p w14:paraId="7B6835E6" w14:textId="77777777" w:rsidR="00495C65" w:rsidRDefault="00495C65" w:rsidP="00AF7342">
      <w:pPr>
        <w:pStyle w:val="a9"/>
        <w:spacing w:before="62" w:after="62"/>
      </w:pPr>
      <w:r>
        <w:rPr>
          <w:rFonts w:hint="eastAsia"/>
        </w:rPr>
        <w:t>河南省房地产估价技术指引之一—报酬率或资本化率求取（修订）</w:t>
      </w:r>
    </w:p>
    <w:p w14:paraId="67E8B6A8" w14:textId="77777777" w:rsidR="00495C65" w:rsidRDefault="00495C65" w:rsidP="00495C65">
      <w:pPr>
        <w:pStyle w:val="13"/>
      </w:pPr>
      <w:r>
        <w:rPr>
          <w:rFonts w:hint="eastAsia"/>
        </w:rPr>
        <w:t>报酬率或资本化率是房地产估价活动中的重要参数之一，对收益法估价结果影响甚大。估价实践中，报酬率或资本化率过低、过高现象一直存在，取值过程不规范、随意性大的问题往往使房地产估价师产生困惑。根据当前房地产市场状况，一般情况下，宜采用累加法及市场提取法求取报酬率或资本化率。</w:t>
      </w:r>
    </w:p>
    <w:p w14:paraId="65B43FD8" w14:textId="77777777" w:rsidR="00495C65" w:rsidRPr="00D33AF5" w:rsidRDefault="00495C65" w:rsidP="00495C65">
      <w:pPr>
        <w:pStyle w:val="ab"/>
        <w:spacing w:before="62" w:after="62"/>
        <w:ind w:firstLine="482"/>
      </w:pPr>
      <w:r w:rsidRPr="00D33AF5">
        <w:rPr>
          <w:rFonts w:hint="eastAsia"/>
        </w:rPr>
        <w:t>一、累加法</w:t>
      </w:r>
    </w:p>
    <w:p w14:paraId="4F022220" w14:textId="77777777" w:rsidR="00495C65" w:rsidRDefault="00495C65" w:rsidP="00495C65">
      <w:pPr>
        <w:pStyle w:val="13"/>
      </w:pPr>
      <w:r>
        <w:rPr>
          <w:rFonts w:hint="eastAsia"/>
        </w:rPr>
        <w:t>以安全利率加风险调整值作为报酬率。安全利率选用中国人民银行公布的同时期一年定期存款年利率，风险调整值为承担额外风险所要求的补偿。</w:t>
      </w:r>
    </w:p>
    <w:p w14:paraId="1FE40B9B" w14:textId="77777777" w:rsidR="00495C65" w:rsidRDefault="00495C65" w:rsidP="00495C65">
      <w:pPr>
        <w:pStyle w:val="13"/>
      </w:pPr>
      <w:r>
        <w:rPr>
          <w:rFonts w:hint="eastAsia"/>
        </w:rPr>
        <w:t>提示：</w:t>
      </w:r>
    </w:p>
    <w:p w14:paraId="0A9DF4F5" w14:textId="77777777" w:rsidR="00495C65" w:rsidRDefault="00495C65" w:rsidP="00495C65">
      <w:pPr>
        <w:pStyle w:val="13"/>
      </w:pPr>
      <w:r>
        <w:t>1、报酬率不得低于中国人民银行公布的同时期五年期存款年利率；有长期国债年利率的，不低于房地产收益年限相似年期的国债年利率。</w:t>
      </w:r>
    </w:p>
    <w:p w14:paraId="68CAFE98" w14:textId="77777777" w:rsidR="00495C65" w:rsidRDefault="00495C65" w:rsidP="00495C65">
      <w:pPr>
        <w:pStyle w:val="13"/>
      </w:pPr>
      <w:r>
        <w:t>2、存款利率市场化后，应考虑存款利率浮动因素的影响，可采用同时期一年定</w:t>
      </w:r>
      <w:r>
        <w:lastRenderedPageBreak/>
        <w:t>期存款实际平均利率为安全利率。</w:t>
      </w:r>
    </w:p>
    <w:p w14:paraId="4E95F1C6" w14:textId="77777777" w:rsidR="00495C65" w:rsidRDefault="00495C65" w:rsidP="00495C65">
      <w:pPr>
        <w:pStyle w:val="13"/>
      </w:pPr>
      <w:r>
        <w:t>3、风险调整</w:t>
      </w:r>
      <w:proofErr w:type="gramStart"/>
      <w:r>
        <w:t>值根据</w:t>
      </w:r>
      <w:proofErr w:type="gramEnd"/>
      <w:r>
        <w:t>估价对象及其所在地区、行业、市场等存在的风险，结合当时的货币政策综合确定；货币政策分从紧、适度从紧、稳健、适度稳健、宽松五个档次，应以近几年稳健货币政策时期的利率为参考，短期从紧、宽松货币政策时，考虑风险调整值的幅度，使报酬率相对稳定。货币政策是渐进的，应先判断货币政策走向。</w:t>
      </w:r>
    </w:p>
    <w:p w14:paraId="696909A0" w14:textId="77777777" w:rsidR="00495C65" w:rsidRDefault="00495C65" w:rsidP="00495C65">
      <w:pPr>
        <w:pStyle w:val="13"/>
      </w:pPr>
      <w:r>
        <w:t>4、从用途上分，风险调整值自低到高的顺序是工业、居住、办公、商业；从档次上分，风险调整值自低到高的顺序是：住宅（低档、中档、高档）、写字楼（丙级、乙级、甲级）、商业（小区级、区级、市级）。</w:t>
      </w:r>
    </w:p>
    <w:p w14:paraId="7DA33103" w14:textId="77777777" w:rsidR="00495C65" w:rsidRDefault="00495C65" w:rsidP="00495C65">
      <w:pPr>
        <w:pStyle w:val="ab"/>
        <w:spacing w:before="62" w:after="62"/>
        <w:ind w:firstLine="482"/>
      </w:pPr>
      <w:r>
        <w:rPr>
          <w:rFonts w:hint="eastAsia"/>
        </w:rPr>
        <w:t>二、市场提取法</w:t>
      </w:r>
    </w:p>
    <w:p w14:paraId="789C43E3" w14:textId="77777777" w:rsidR="00495C65" w:rsidRDefault="00495C65" w:rsidP="00495C65">
      <w:pPr>
        <w:pStyle w:val="13"/>
      </w:pPr>
      <w:r>
        <w:rPr>
          <w:rFonts w:hint="eastAsia"/>
        </w:rPr>
        <w:t>选取不少于三个可比实例，利用其价格、净收益、收益期或持有期等数据，选用相应的收益法公式，求取报酬率或资本化率。</w:t>
      </w:r>
    </w:p>
    <w:p w14:paraId="1DE548CA" w14:textId="77777777" w:rsidR="00495C65" w:rsidRDefault="00495C65" w:rsidP="00495C65">
      <w:pPr>
        <w:pStyle w:val="13"/>
      </w:pPr>
      <w:r>
        <w:rPr>
          <w:rFonts w:hint="eastAsia"/>
        </w:rPr>
        <w:t>提示：</w:t>
      </w:r>
    </w:p>
    <w:p w14:paraId="00262176" w14:textId="77777777" w:rsidR="00495C65" w:rsidRDefault="00495C65" w:rsidP="00495C65">
      <w:pPr>
        <w:pStyle w:val="13"/>
      </w:pPr>
      <w:r>
        <w:t>1、求取报酬率的方程一般为不易解方程，在</w:t>
      </w:r>
      <w:proofErr w:type="gramStart"/>
      <w:r>
        <w:t>无计算</w:t>
      </w:r>
      <w:proofErr w:type="gramEnd"/>
      <w:r>
        <w:t>软件的情况下，须多次试算并利用线性内插法近似求取。</w:t>
      </w:r>
    </w:p>
    <w:p w14:paraId="51DE688F" w14:textId="77777777" w:rsidR="00495C65" w:rsidRDefault="00495C65" w:rsidP="00495C65">
      <w:pPr>
        <w:pStyle w:val="13"/>
      </w:pPr>
      <w:r>
        <w:t>2、多个可比实例求取的报酬率综合为估价对象的报酬率时，应分别根据房地产的可比性及交易双方的预期心态等，采用加权算术平均值作为估价对象的报酬率，如认为</w:t>
      </w:r>
      <w:r>
        <w:rPr>
          <w:rFonts w:hint="eastAsia"/>
        </w:rPr>
        <w:t>无差别，权重相同。</w:t>
      </w:r>
    </w:p>
    <w:p w14:paraId="5C5E14BC" w14:textId="77777777" w:rsidR="00495C65" w:rsidRDefault="00495C65" w:rsidP="00495C65">
      <w:pPr>
        <w:pStyle w:val="13"/>
      </w:pPr>
      <w:r>
        <w:t>3、对求取的报酬率要进行适当的调整，当未来类似收益性房地产收益与可比实例交易时的状况相比，收益风险有降低的趋势时，报酬率可适当下调，反之亦然。</w:t>
      </w:r>
    </w:p>
    <w:p w14:paraId="204E4FE8" w14:textId="3DD62359" w:rsidR="00495C65" w:rsidRDefault="00495C65" w:rsidP="00495C65">
      <w:pPr>
        <w:pStyle w:val="13"/>
      </w:pPr>
      <w:r>
        <w:t>4、如求取的报酬率低于同时期中国人民银行公布的五年期存款年利率或类似收益年限的长期国债年利率，说明类似房地产租售比失调，房地产投机成分较大，除投资咨询性估价报告外，不再选用市场提取法确定报酬率或资本化率。</w:t>
      </w:r>
    </w:p>
    <w:p w14:paraId="5B16F568" w14:textId="77777777" w:rsidR="00C05E8C" w:rsidRDefault="00C05E8C" w:rsidP="00495C65">
      <w:pPr>
        <w:pStyle w:val="13"/>
      </w:pPr>
    </w:p>
    <w:p w14:paraId="775C486D" w14:textId="6256FA88" w:rsidR="00495C65" w:rsidRDefault="00495C65" w:rsidP="00495C65">
      <w:pPr>
        <w:pStyle w:val="31"/>
        <w:spacing w:before="156" w:after="62"/>
      </w:pPr>
      <w:bookmarkStart w:id="181" w:name="_Toc81833419"/>
      <w:r>
        <w:rPr>
          <w:rFonts w:hint="eastAsia"/>
        </w:rPr>
        <w:t>河南省房地产估价技术指引之二—比较法中市场状况调整（修订）</w:t>
      </w:r>
      <w:r w:rsidR="00C05E8C">
        <w:br/>
      </w:r>
      <w:r>
        <w:rPr>
          <w:rFonts w:hint="eastAsia"/>
        </w:rPr>
        <w:t>（</w:t>
      </w:r>
      <w:proofErr w:type="gramStart"/>
      <w:r>
        <w:rPr>
          <w:rFonts w:hint="eastAsia"/>
        </w:rPr>
        <w:t>豫房估协</w:t>
      </w:r>
      <w:proofErr w:type="gramEnd"/>
      <w:r>
        <w:rPr>
          <w:rFonts w:hint="eastAsia"/>
        </w:rPr>
        <w:t>〔</w:t>
      </w:r>
      <w:r>
        <w:t>2015〕25号）</w:t>
      </w:r>
      <w:bookmarkEnd w:id="181"/>
    </w:p>
    <w:p w14:paraId="2A5372F0" w14:textId="77777777" w:rsidR="00495C65" w:rsidRDefault="00495C65" w:rsidP="00495C65">
      <w:pPr>
        <w:pStyle w:val="13"/>
        <w:ind w:firstLineChars="0" w:firstLine="0"/>
      </w:pPr>
      <w:r>
        <w:rPr>
          <w:rFonts w:hint="eastAsia"/>
        </w:rPr>
        <w:t>各房地产估价机构、房地产估价师：</w:t>
      </w:r>
    </w:p>
    <w:p w14:paraId="5E6D260C" w14:textId="77777777" w:rsidR="00495C65" w:rsidRDefault="00495C65" w:rsidP="00495C65">
      <w:pPr>
        <w:pStyle w:val="13"/>
      </w:pPr>
      <w:r>
        <w:rPr>
          <w:rFonts w:hint="eastAsia"/>
        </w:rPr>
        <w:t>《河南省房地产估价技术指引之一—报酬率或资本化率求取》、《河南省房地产估价技术指引之二—比较法中市场状况调整》、《河南省房地产估价技术指引之三—估价假设和限制条件运用》发布实施以来，对规范全省房地产估价机构和房地产估价师相关估价技术参数选取和估价报告撰写起到了积极作用，各估价机构估价技术水平明显提高。随着新《房地产估价规范》（</w:t>
      </w:r>
      <w:r>
        <w:t>GB/T50291-2015）自2015年12月1日实施及银行存款利率市场化的推进，房地产估价技术亟待创新完善。为进一步提高《河南省房地产估价技术指引》的科学性和实用性，河</w:t>
      </w:r>
      <w:r>
        <w:rPr>
          <w:rFonts w:hint="eastAsia"/>
        </w:rPr>
        <w:t>南省房地产估价师与经纪人协会委</w:t>
      </w:r>
      <w:r>
        <w:rPr>
          <w:rFonts w:hint="eastAsia"/>
        </w:rPr>
        <w:lastRenderedPageBreak/>
        <w:t>托原编制单位河南宏基房地产评估测绘有限公司、河南开源房地产估价有限公司对已发布的《河南省房地产估价技术指引》进行了修订和完善（详见附件），并经河南省房地产估价行业诚信联盟讨论通过，现予以发布，自</w:t>
      </w:r>
      <w:r>
        <w:t>2015年12月1日起在全省房地产估价活动中推广使用。各房地产估价机构、房地产估价师在房地产估价活动中不参考使用《河南省房地产估价技术指引》（修订）的，应在报告中阐明理由。</w:t>
      </w:r>
    </w:p>
    <w:p w14:paraId="1C59716E" w14:textId="77777777" w:rsidR="00495C65" w:rsidRDefault="00495C65" w:rsidP="00495C65">
      <w:pPr>
        <w:pStyle w:val="13"/>
      </w:pPr>
      <w:r>
        <w:rPr>
          <w:rFonts w:hint="eastAsia"/>
        </w:rPr>
        <w:t>附件：</w:t>
      </w:r>
    </w:p>
    <w:p w14:paraId="2E613EFC" w14:textId="77777777" w:rsidR="00495C65" w:rsidRDefault="00495C65" w:rsidP="00495C65">
      <w:pPr>
        <w:pStyle w:val="13"/>
      </w:pPr>
      <w:r>
        <w:t>1、河南省房地产估价技术指引之一—报酬率或资本化率求取（修订）</w:t>
      </w:r>
    </w:p>
    <w:p w14:paraId="63BA21F6" w14:textId="77777777" w:rsidR="00495C65" w:rsidRDefault="00495C65" w:rsidP="00495C65">
      <w:pPr>
        <w:pStyle w:val="13"/>
      </w:pPr>
      <w:r>
        <w:t>2、河南省房地产估价技术指引之二—比较法中市场状况调整（修订）</w:t>
      </w:r>
    </w:p>
    <w:p w14:paraId="76B5C117" w14:textId="77777777" w:rsidR="00495C65" w:rsidRDefault="00495C65" w:rsidP="00495C65">
      <w:pPr>
        <w:pStyle w:val="13"/>
      </w:pPr>
      <w:r>
        <w:t>3、河南省房地产估价技术指引之三—估价假设和限制条件运用（修订）</w:t>
      </w:r>
    </w:p>
    <w:p w14:paraId="35BD90AF" w14:textId="77777777" w:rsidR="00495C65" w:rsidRDefault="00495C65" w:rsidP="00495C65">
      <w:pPr>
        <w:pStyle w:val="13"/>
        <w:jc w:val="right"/>
      </w:pPr>
      <w:r>
        <w:rPr>
          <w:rFonts w:hint="eastAsia"/>
        </w:rPr>
        <w:t>河南省房地产估价师与经纪人协会</w:t>
      </w:r>
    </w:p>
    <w:p w14:paraId="446450D5" w14:textId="77777777" w:rsidR="00495C65" w:rsidRDefault="00495C65" w:rsidP="00495C65">
      <w:pPr>
        <w:pStyle w:val="13"/>
        <w:jc w:val="right"/>
      </w:pPr>
      <w:r>
        <w:t>2015年11月16日</w:t>
      </w:r>
    </w:p>
    <w:p w14:paraId="577DCB40" w14:textId="77777777" w:rsidR="00495C65" w:rsidRDefault="00495C65" w:rsidP="00AF7342">
      <w:pPr>
        <w:pStyle w:val="a9"/>
        <w:spacing w:before="62" w:after="62"/>
      </w:pPr>
      <w:r>
        <w:rPr>
          <w:rFonts w:hint="eastAsia"/>
        </w:rPr>
        <w:t>河南省房地产估价技术指引之二—比较法中市场状况调整（修订）</w:t>
      </w:r>
    </w:p>
    <w:p w14:paraId="0FEB4838" w14:textId="77777777" w:rsidR="00495C65" w:rsidRDefault="00495C65" w:rsidP="00495C65">
      <w:pPr>
        <w:pStyle w:val="13"/>
      </w:pPr>
      <w:r>
        <w:rPr>
          <w:rFonts w:hint="eastAsia"/>
        </w:rPr>
        <w:t>房地产市场状况调整也称之为交易日期调整，其功能是把可比实例成交日期的价格调整到价值时点的价格。估价实践中，房地产市场状况调整不规范的现象一直存在，严重影响了比较法的使用。根据当前房地产市场状况及估价技术水平，房地产市场状况调整宜先采用价格变动率法，待实例资料充实、价格指数编制技术成熟后采用价格指数法。</w:t>
      </w:r>
    </w:p>
    <w:p w14:paraId="503E4A62" w14:textId="77777777" w:rsidR="00495C65" w:rsidRDefault="00495C65" w:rsidP="00495C65">
      <w:pPr>
        <w:pStyle w:val="ab"/>
        <w:spacing w:before="62" w:after="62"/>
        <w:ind w:firstLine="482"/>
      </w:pPr>
      <w:r>
        <w:rPr>
          <w:rFonts w:hint="eastAsia"/>
        </w:rPr>
        <w:t>一、市场状况调整方法</w:t>
      </w:r>
    </w:p>
    <w:p w14:paraId="00B87ABB" w14:textId="77777777" w:rsidR="00495C65" w:rsidRDefault="00495C65" w:rsidP="00495C65">
      <w:pPr>
        <w:pStyle w:val="13"/>
      </w:pPr>
      <w:r>
        <w:rPr>
          <w:rFonts w:hint="eastAsia"/>
        </w:rPr>
        <w:t>（一）价格变动率法</w:t>
      </w:r>
    </w:p>
    <w:p w14:paraId="40490557" w14:textId="77777777" w:rsidR="00495C65" w:rsidRDefault="00495C65" w:rsidP="00495C65">
      <w:pPr>
        <w:pStyle w:val="13"/>
      </w:pPr>
      <w:r>
        <w:rPr>
          <w:rFonts w:hint="eastAsia"/>
        </w:rPr>
        <w:t>目前全省绝大部分市县未公布房地产价格指数，应采用价格变动</w:t>
      </w:r>
      <w:proofErr w:type="gramStart"/>
      <w:r>
        <w:rPr>
          <w:rFonts w:hint="eastAsia"/>
        </w:rPr>
        <w:t>率法进行房</w:t>
      </w:r>
      <w:proofErr w:type="gramEnd"/>
      <w:r>
        <w:rPr>
          <w:rFonts w:hint="eastAsia"/>
        </w:rPr>
        <w:t>地产市场状况调整。价格变动</w:t>
      </w:r>
      <w:proofErr w:type="gramStart"/>
      <w:r>
        <w:rPr>
          <w:rFonts w:hint="eastAsia"/>
        </w:rPr>
        <w:t>率采用</w:t>
      </w:r>
      <w:proofErr w:type="gramEnd"/>
      <w:r>
        <w:rPr>
          <w:rFonts w:hint="eastAsia"/>
        </w:rPr>
        <w:t>三组（含三组）以上类似房地产近期价格变动率的简单算术平均值或加权算术平均值确定，调整公式采用连乘计算模型。每组房地产应在区位及实物因素相似、权益因素相同的情况下，利用比较法估价技术修正调整至“相同”或“同质”状态，然后计算价格变动率。</w:t>
      </w:r>
    </w:p>
    <w:p w14:paraId="4C5EB74B" w14:textId="77777777" w:rsidR="00495C65" w:rsidRDefault="00495C65" w:rsidP="00495C65">
      <w:pPr>
        <w:pStyle w:val="13"/>
      </w:pPr>
      <w:r>
        <w:rPr>
          <w:rFonts w:hint="eastAsia"/>
        </w:rPr>
        <w:t>估价对象为成套住宅时，每组房地产价格变动终止日不宜早于价值时点前一个月，</w:t>
      </w:r>
      <w:r>
        <w:t>起始日应早于（最早成交）可比实例的成交日期；估价对象为其他类型房地产时，每组房地产价格变动终止日不宜早于价值时点前3个月，并在进行房地产市场状况调整时充</w:t>
      </w:r>
      <w:r>
        <w:rPr>
          <w:rFonts w:hint="eastAsia"/>
        </w:rPr>
        <w:t>分说明价值时点前</w:t>
      </w:r>
      <w:r>
        <w:t>3个月同类房地产价格的波动情况，当价格变动幅度较大时，可根据前期同类房地产价格变动率分析估算该时段价格变动幅度。</w:t>
      </w:r>
    </w:p>
    <w:p w14:paraId="68AA91A2" w14:textId="77777777" w:rsidR="00495C65" w:rsidRDefault="00495C65" w:rsidP="00495C65">
      <w:pPr>
        <w:pStyle w:val="13"/>
      </w:pPr>
      <w:r>
        <w:rPr>
          <w:rFonts w:hint="eastAsia"/>
        </w:rPr>
        <w:t>（二）价格指数法</w:t>
      </w:r>
    </w:p>
    <w:p w14:paraId="72A1E870" w14:textId="77777777" w:rsidR="00495C65" w:rsidRDefault="00495C65" w:rsidP="00495C65">
      <w:pPr>
        <w:pStyle w:val="13"/>
      </w:pPr>
      <w:r>
        <w:rPr>
          <w:rFonts w:hint="eastAsia"/>
        </w:rPr>
        <w:t>有条件的市县行业组织或估价机构，可编制不同区位、不同类型的房地产价格指数。编制房地产价格指数应当采集大量经房地产估价人员查勘了解的实例资料，建立“标准房地产”，经各项修正、调整（即“同质化”处理），使其处于一种除时间序列</w:t>
      </w:r>
      <w:r>
        <w:rPr>
          <w:rFonts w:hint="eastAsia"/>
        </w:rPr>
        <w:lastRenderedPageBreak/>
        <w:t>不同以外其余全部相同或相似状态，然后再进行数据处理（平均、插值、圆滑等），进而测算房地产价格指数。</w:t>
      </w:r>
    </w:p>
    <w:p w14:paraId="485F02CE" w14:textId="77777777" w:rsidR="00495C65" w:rsidRDefault="00495C65" w:rsidP="00495C65">
      <w:pPr>
        <w:pStyle w:val="ab"/>
        <w:spacing w:before="62" w:after="62"/>
        <w:ind w:firstLine="482"/>
      </w:pPr>
      <w:r>
        <w:rPr>
          <w:rFonts w:hint="eastAsia"/>
        </w:rPr>
        <w:t>二、注意事项</w:t>
      </w:r>
    </w:p>
    <w:p w14:paraId="7FFB64E2" w14:textId="77777777" w:rsidR="00495C65" w:rsidRDefault="00495C65" w:rsidP="00495C65">
      <w:pPr>
        <w:pStyle w:val="13"/>
      </w:pPr>
      <w:r>
        <w:rPr>
          <w:rFonts w:hint="eastAsia"/>
        </w:rPr>
        <w:t>（一）采用价格调整体系应与房地产区位、类型相一致，例如：不能采用增量房价格指数或变动率去调整存量房价格（因统计口径等原因，公布的增量房价</w:t>
      </w:r>
      <w:proofErr w:type="gramStart"/>
      <w:r>
        <w:rPr>
          <w:rFonts w:hint="eastAsia"/>
        </w:rPr>
        <w:t>格信息</w:t>
      </w:r>
      <w:proofErr w:type="gramEnd"/>
      <w:r>
        <w:rPr>
          <w:rFonts w:hint="eastAsia"/>
        </w:rPr>
        <w:t>与存量房价</w:t>
      </w:r>
      <w:proofErr w:type="gramStart"/>
      <w:r>
        <w:rPr>
          <w:rFonts w:hint="eastAsia"/>
        </w:rPr>
        <w:t>格变化</w:t>
      </w:r>
      <w:proofErr w:type="gramEnd"/>
      <w:r>
        <w:rPr>
          <w:rFonts w:hint="eastAsia"/>
        </w:rPr>
        <w:t>趋势并不完全一致）。</w:t>
      </w:r>
    </w:p>
    <w:p w14:paraId="6A5A4050" w14:textId="77777777" w:rsidR="00495C65" w:rsidRDefault="00495C65" w:rsidP="00495C65">
      <w:pPr>
        <w:pStyle w:val="13"/>
      </w:pPr>
      <w:r>
        <w:rPr>
          <w:rFonts w:hint="eastAsia"/>
        </w:rPr>
        <w:t>（二）估价机构可在不与《房地产估价规范》、《房地产估价理论与方法》教材相抵触的前提下，利用房地产市场资料，经相关技术处理，编制房地产价格变动率及房地产价格指数，在估价机构内部使用。编制房地产价格指数的，应及时向河南省房地产估价师与经纪人协会备案，协会对重要估价参数知识产权进行掌握及保护。</w:t>
      </w:r>
    </w:p>
    <w:p w14:paraId="236233FA" w14:textId="77777777" w:rsidR="00495C65" w:rsidRDefault="00495C65" w:rsidP="00495C65">
      <w:pPr>
        <w:pStyle w:val="13"/>
      </w:pPr>
      <w:r>
        <w:rPr>
          <w:rFonts w:hint="eastAsia"/>
        </w:rPr>
        <w:t>（三）估价实践中，</w:t>
      </w:r>
      <w:proofErr w:type="gramStart"/>
      <w:r>
        <w:rPr>
          <w:rFonts w:hint="eastAsia"/>
        </w:rPr>
        <w:t>当分析</w:t>
      </w:r>
      <w:proofErr w:type="gramEnd"/>
      <w:r>
        <w:rPr>
          <w:rFonts w:hint="eastAsia"/>
        </w:rPr>
        <w:t>房地产价格变化趋势平稳，不进行市场状况调整时，应详细叙述理由，甚至</w:t>
      </w:r>
      <w:proofErr w:type="gramStart"/>
      <w:r>
        <w:rPr>
          <w:rFonts w:hint="eastAsia"/>
        </w:rPr>
        <w:t>用相关</w:t>
      </w:r>
      <w:proofErr w:type="gramEnd"/>
      <w:r>
        <w:rPr>
          <w:rFonts w:hint="eastAsia"/>
        </w:rPr>
        <w:t>数据来佐证。</w:t>
      </w:r>
      <w:proofErr w:type="gramStart"/>
      <w:r>
        <w:rPr>
          <w:rFonts w:hint="eastAsia"/>
        </w:rPr>
        <w:t>省协会</w:t>
      </w:r>
      <w:proofErr w:type="gramEnd"/>
      <w:r>
        <w:rPr>
          <w:rFonts w:hint="eastAsia"/>
        </w:rPr>
        <w:t>允许过渡期之后，不调整且无充分理由的，评审估价报告时以“调整方法不明确，理由不充分”为由扣分。</w:t>
      </w:r>
    </w:p>
    <w:p w14:paraId="0970BB6A" w14:textId="1AD17C16" w:rsidR="00495C65" w:rsidRDefault="00495C65" w:rsidP="00495C65">
      <w:pPr>
        <w:pStyle w:val="31"/>
        <w:spacing w:before="156" w:after="62"/>
      </w:pPr>
      <w:bookmarkStart w:id="182" w:name="_Toc81833420"/>
      <w:r>
        <w:rPr>
          <w:rFonts w:hint="eastAsia"/>
        </w:rPr>
        <w:t>河南省房地产估价技术指引之三—估价假设和限制条件运用（修订）</w:t>
      </w:r>
      <w:r w:rsidR="00C05E8C">
        <w:br/>
      </w:r>
      <w:r>
        <w:rPr>
          <w:rFonts w:hint="eastAsia"/>
        </w:rPr>
        <w:t>（</w:t>
      </w:r>
      <w:proofErr w:type="gramStart"/>
      <w:r>
        <w:rPr>
          <w:rFonts w:hint="eastAsia"/>
        </w:rPr>
        <w:t>豫房估协</w:t>
      </w:r>
      <w:proofErr w:type="gramEnd"/>
      <w:r>
        <w:rPr>
          <w:rFonts w:hint="eastAsia"/>
        </w:rPr>
        <w:t>〔</w:t>
      </w:r>
      <w:r>
        <w:t>2015〕25号）</w:t>
      </w:r>
      <w:bookmarkEnd w:id="182"/>
    </w:p>
    <w:p w14:paraId="44D290D2" w14:textId="77777777" w:rsidR="00495C65" w:rsidRDefault="00495C65" w:rsidP="00495C65">
      <w:pPr>
        <w:pStyle w:val="13"/>
        <w:ind w:firstLineChars="0" w:firstLine="0"/>
      </w:pPr>
      <w:r>
        <w:rPr>
          <w:rFonts w:hint="eastAsia"/>
        </w:rPr>
        <w:t>各房地产估价机构、房地产估价师：</w:t>
      </w:r>
    </w:p>
    <w:p w14:paraId="5D0AB4C9" w14:textId="77777777" w:rsidR="00495C65" w:rsidRDefault="00495C65" w:rsidP="00495C65">
      <w:pPr>
        <w:pStyle w:val="13"/>
      </w:pPr>
      <w:r>
        <w:rPr>
          <w:rFonts w:hint="eastAsia"/>
        </w:rPr>
        <w:t>《河南省房地产估价技术指引之一—报酬率或资本化率求取》、《河南省房地产估价技术指引之二—比较法中市场状况调整》、《河南省房地产估价技术指引之三—估价假设和限制条件运用》发布实施以来，对规范全省房地产估价机构和房地产估价师相关估价技术参数选取和估价报告撰写起到了积极作用，各估价机构估价技术水平明显提高。随着新《房地产估价规范》（</w:t>
      </w:r>
      <w:r>
        <w:t>GB/T50291-2015）自2015年12月1日实施及银行存款利率市场化的推进，房地产估价技术亟待创新完善。为进一步提高《河南省房地产估价技术指引》的科学性和实用性，河</w:t>
      </w:r>
      <w:r>
        <w:rPr>
          <w:rFonts w:hint="eastAsia"/>
        </w:rPr>
        <w:t>南省房地产估价师与经纪人协会委托原编制单位河南宏基房地产评估测绘有限公司、河南开源房地产估价有限公司对已发布的《河南省房地产估价技术指引》进行了修订和完善（详见附件），并经河南省房地产估价行业诚信联盟讨论通过，现予以发布，自</w:t>
      </w:r>
      <w:r>
        <w:t>2015年12月1日起在全省房地产估价活动中推广使用。各房地产估价机构、房地产估价师在房地产估价活动中不参考使用《河南省房地产估价技术指引》（修订）的，应在报告中阐明理由。</w:t>
      </w:r>
    </w:p>
    <w:p w14:paraId="7EC65D74" w14:textId="77777777" w:rsidR="00495C65" w:rsidRDefault="00495C65" w:rsidP="00495C65">
      <w:pPr>
        <w:pStyle w:val="13"/>
      </w:pPr>
      <w:r>
        <w:rPr>
          <w:rFonts w:hint="eastAsia"/>
        </w:rPr>
        <w:t>附件：</w:t>
      </w:r>
    </w:p>
    <w:p w14:paraId="1AFC3490" w14:textId="77777777" w:rsidR="00495C65" w:rsidRDefault="00495C65" w:rsidP="00495C65">
      <w:pPr>
        <w:pStyle w:val="13"/>
      </w:pPr>
      <w:r>
        <w:t>1、河南省房地产估价技术指引之一—报酬率或资本化率求取（修订）</w:t>
      </w:r>
    </w:p>
    <w:p w14:paraId="587930E2" w14:textId="77777777" w:rsidR="00495C65" w:rsidRDefault="00495C65" w:rsidP="00495C65">
      <w:pPr>
        <w:pStyle w:val="13"/>
      </w:pPr>
      <w:r>
        <w:t>2、河南省房地产估价技术指引之二—比较法中市场状况调整（修订）</w:t>
      </w:r>
    </w:p>
    <w:p w14:paraId="3C552D43" w14:textId="77777777" w:rsidR="00495C65" w:rsidRDefault="00495C65" w:rsidP="00495C65">
      <w:pPr>
        <w:pStyle w:val="13"/>
      </w:pPr>
      <w:r>
        <w:t>3、河南省房地产估价技术指引之三—估价假设和限制条件运用（修订）</w:t>
      </w:r>
    </w:p>
    <w:p w14:paraId="2AB6310B" w14:textId="77777777" w:rsidR="00495C65" w:rsidRDefault="00495C65" w:rsidP="00495C65">
      <w:pPr>
        <w:pStyle w:val="13"/>
        <w:jc w:val="right"/>
      </w:pPr>
      <w:r>
        <w:rPr>
          <w:rFonts w:hint="eastAsia"/>
        </w:rPr>
        <w:t>河南省房地产估价师与经纪人协会</w:t>
      </w:r>
    </w:p>
    <w:p w14:paraId="2A843456" w14:textId="77777777" w:rsidR="00495C65" w:rsidRDefault="00495C65" w:rsidP="00495C65">
      <w:pPr>
        <w:pStyle w:val="13"/>
        <w:jc w:val="right"/>
      </w:pPr>
      <w:r>
        <w:lastRenderedPageBreak/>
        <w:t>2015年11月16日</w:t>
      </w:r>
    </w:p>
    <w:p w14:paraId="2CD889B5" w14:textId="77777777" w:rsidR="00495C65" w:rsidRDefault="00495C65" w:rsidP="00AF7342">
      <w:pPr>
        <w:pStyle w:val="a9"/>
        <w:spacing w:before="62" w:after="62"/>
      </w:pPr>
      <w:r>
        <w:rPr>
          <w:rFonts w:hint="eastAsia"/>
        </w:rPr>
        <w:t>河南省房地产估价技术指引之三—估价假设和限制条件运用（修订）</w:t>
      </w:r>
    </w:p>
    <w:p w14:paraId="0A279CA7" w14:textId="77777777" w:rsidR="00495C65" w:rsidRDefault="00495C65" w:rsidP="00495C65">
      <w:pPr>
        <w:pStyle w:val="13"/>
      </w:pPr>
      <w:r>
        <w:rPr>
          <w:rFonts w:hint="eastAsia"/>
        </w:rPr>
        <w:t>房地产估价中的估价假设和限制条件是估价报告中的重要组成部分，是对估价假设和估价报告使用限制的说明，其内容对估价委托人及其他报告使用者了解估价活动的前提条件和正确理解估价结果的价值内涵，具有十分重要的作用。估价假设和限制条件运用充分、得当，可有效提升估价报告质量，并能在一定程度上规避估价风险。</w:t>
      </w:r>
    </w:p>
    <w:p w14:paraId="2CB1797A" w14:textId="77777777" w:rsidR="00495C65" w:rsidRDefault="00495C65" w:rsidP="00495C65">
      <w:pPr>
        <w:pStyle w:val="ab"/>
        <w:spacing w:before="62" w:after="62"/>
        <w:ind w:firstLine="482"/>
      </w:pPr>
      <w:r>
        <w:rPr>
          <w:rFonts w:hint="eastAsia"/>
        </w:rPr>
        <w:t>一、估价假设分类及撰写概要</w:t>
      </w:r>
    </w:p>
    <w:p w14:paraId="2F8E09C0" w14:textId="77777777" w:rsidR="00495C65" w:rsidRDefault="00495C65" w:rsidP="00495C65">
      <w:pPr>
        <w:pStyle w:val="13"/>
      </w:pPr>
      <w:r>
        <w:rPr>
          <w:rFonts w:hint="eastAsia"/>
        </w:rPr>
        <w:t>（一）一般假设</w:t>
      </w:r>
    </w:p>
    <w:p w14:paraId="7718C8B6" w14:textId="77777777" w:rsidR="00495C65" w:rsidRDefault="00495C65" w:rsidP="00495C65">
      <w:pPr>
        <w:pStyle w:val="13"/>
      </w:pPr>
      <w:r>
        <w:rPr>
          <w:rFonts w:hint="eastAsia"/>
        </w:rPr>
        <w:t>主要包含房地产市场及交易条件通用假设和估价项目常用假设，使用方向及撰写概要如下：</w:t>
      </w:r>
    </w:p>
    <w:p w14:paraId="0CD8F6A4" w14:textId="77777777" w:rsidR="00495C65" w:rsidRDefault="00495C65" w:rsidP="00495C65">
      <w:pPr>
        <w:pStyle w:val="13"/>
      </w:pPr>
      <w:r>
        <w:t>1、【对权属证书审慎检查但未核实】估价委托人提供了估价对象的《房屋所有权证》和《国有土地使用证》（或《不动产权证书》），我们未向政府有关部门进行核实，在无理由怀疑其合法性、真实性、准确性和完整性的情况下，假定估价委托人提供的资料合法、真实、准确、完整。</w:t>
      </w:r>
    </w:p>
    <w:p w14:paraId="7A7AA341" w14:textId="77777777" w:rsidR="00495C65" w:rsidRDefault="00495C65" w:rsidP="00495C65">
      <w:pPr>
        <w:pStyle w:val="13"/>
      </w:pPr>
      <w:r>
        <w:t>2、【对房屋安全、环境污染关注但无鉴定、检测】注册房地产估价师已对房屋安全、环境污染等影响估价对象价值的重大因素给予了关注，在无理由怀疑估价对象存在安全隐患且无相应的专业机构进行鉴定、检测的情况下，假定估价对象能正常安全使用。</w:t>
      </w:r>
    </w:p>
    <w:p w14:paraId="4DD5DEDC" w14:textId="77777777" w:rsidR="00495C65" w:rsidRDefault="00495C65" w:rsidP="00495C65">
      <w:pPr>
        <w:pStyle w:val="13"/>
      </w:pPr>
      <w:r>
        <w:t>3、【对房屋建筑面积未进行专业测量但予以关注】注册房地产估价师未对房屋建筑面积进行专业测量，经现场查勘观察，估价对象房屋建筑面积与《房屋所有权证》（或</w:t>
      </w:r>
      <w:r>
        <w:rPr>
          <w:rFonts w:hint="eastAsia"/>
        </w:rPr>
        <w:t>《不动产权证书》）记载建筑面积大体相当。</w:t>
      </w:r>
    </w:p>
    <w:p w14:paraId="20D38DA4" w14:textId="77777777" w:rsidR="00495C65" w:rsidRDefault="00495C65" w:rsidP="00495C65">
      <w:pPr>
        <w:pStyle w:val="13"/>
      </w:pPr>
      <w:r>
        <w:t>4、【对房地产市场的假设】估价对象在价值时点的房地产市场为公开、平等、自愿的交易市场，即能满足以下条件：</w:t>
      </w:r>
    </w:p>
    <w:p w14:paraId="6EED9FBF" w14:textId="77777777" w:rsidR="00495C65" w:rsidRDefault="00495C65" w:rsidP="00495C65">
      <w:pPr>
        <w:pStyle w:val="13"/>
      </w:pPr>
      <w:r>
        <w:rPr>
          <w:rFonts w:hint="eastAsia"/>
        </w:rPr>
        <w:t>（1）交易双方自愿地进行交易；</w:t>
      </w:r>
    </w:p>
    <w:p w14:paraId="2D16540E" w14:textId="77777777" w:rsidR="00495C65" w:rsidRDefault="00495C65" w:rsidP="00495C65">
      <w:pPr>
        <w:pStyle w:val="13"/>
      </w:pPr>
      <w:r w:rsidRPr="00105383">
        <w:rPr>
          <w:rFonts w:hint="eastAsia"/>
        </w:rPr>
        <w:t>（</w:t>
      </w:r>
      <w:r>
        <w:t>2</w:t>
      </w:r>
      <w:r w:rsidRPr="00105383">
        <w:t>）</w:t>
      </w:r>
      <w:r>
        <w:rPr>
          <w:rFonts w:hint="eastAsia"/>
        </w:rPr>
        <w:t>交易双方处于利己动机进行交易；</w:t>
      </w:r>
    </w:p>
    <w:p w14:paraId="4CA365B1" w14:textId="77777777" w:rsidR="00495C65" w:rsidRDefault="00495C65" w:rsidP="00495C65">
      <w:pPr>
        <w:pStyle w:val="13"/>
      </w:pPr>
      <w:r w:rsidRPr="00105383">
        <w:rPr>
          <w:rFonts w:hint="eastAsia"/>
        </w:rPr>
        <w:t>（</w:t>
      </w:r>
      <w:r>
        <w:t>3</w:t>
      </w:r>
      <w:r w:rsidRPr="00105383">
        <w:t>）</w:t>
      </w:r>
      <w:r>
        <w:rPr>
          <w:rFonts w:hint="eastAsia"/>
        </w:rPr>
        <w:t>交易双方精明、谨慎行事，并了解交易对象、知晓市场行情；</w:t>
      </w:r>
    </w:p>
    <w:p w14:paraId="33811184" w14:textId="77777777" w:rsidR="00495C65" w:rsidRDefault="00495C65" w:rsidP="00495C65">
      <w:pPr>
        <w:pStyle w:val="13"/>
      </w:pPr>
      <w:r w:rsidRPr="00105383">
        <w:rPr>
          <w:rFonts w:hint="eastAsia"/>
        </w:rPr>
        <w:t>（</w:t>
      </w:r>
      <w:r>
        <w:t>4</w:t>
      </w:r>
      <w:r w:rsidRPr="00105383">
        <w:t>）</w:t>
      </w:r>
      <w:r>
        <w:rPr>
          <w:rFonts w:hint="eastAsia"/>
        </w:rPr>
        <w:t>交易双方有较充裕的时间进行交易；</w:t>
      </w:r>
    </w:p>
    <w:p w14:paraId="7989C31A" w14:textId="77777777" w:rsidR="00495C65" w:rsidRDefault="00495C65" w:rsidP="00495C65">
      <w:pPr>
        <w:pStyle w:val="13"/>
      </w:pPr>
      <w:r w:rsidRPr="00105383">
        <w:rPr>
          <w:rFonts w:hint="eastAsia"/>
        </w:rPr>
        <w:t>（</w:t>
      </w:r>
      <w:r>
        <w:t>5</w:t>
      </w:r>
      <w:r w:rsidRPr="00105383">
        <w:t>）</w:t>
      </w:r>
      <w:r>
        <w:rPr>
          <w:rFonts w:hint="eastAsia"/>
        </w:rPr>
        <w:t>不存在买者因特殊兴趣而给予附加出价；</w:t>
      </w:r>
    </w:p>
    <w:p w14:paraId="350EA798" w14:textId="77777777" w:rsidR="00495C65" w:rsidRDefault="00495C65" w:rsidP="00495C65">
      <w:pPr>
        <w:pStyle w:val="13"/>
      </w:pPr>
      <w:r>
        <w:t>5、【估价对象为整体房地产中的一部分】估价对象应享有公共部位的通行权及水电等共用设施的使用权。</w:t>
      </w:r>
    </w:p>
    <w:p w14:paraId="0E404278" w14:textId="77777777" w:rsidR="00495C65" w:rsidRDefault="00495C65" w:rsidP="00495C65">
      <w:pPr>
        <w:pStyle w:val="13"/>
      </w:pPr>
      <w:r>
        <w:rPr>
          <w:rFonts w:hint="eastAsia"/>
        </w:rPr>
        <w:t>（二）特殊类假设</w:t>
      </w:r>
    </w:p>
    <w:p w14:paraId="5242BDAD" w14:textId="77777777" w:rsidR="00495C65" w:rsidRDefault="00495C65" w:rsidP="00495C65">
      <w:pPr>
        <w:pStyle w:val="13"/>
      </w:pPr>
      <w:r>
        <w:rPr>
          <w:rFonts w:hint="eastAsia"/>
        </w:rPr>
        <w:t>主要包括未定事项假设、背离事实假设、不相一致假设、依据不足假设等，使用</w:t>
      </w:r>
      <w:r>
        <w:rPr>
          <w:rFonts w:hint="eastAsia"/>
        </w:rPr>
        <w:lastRenderedPageBreak/>
        <w:t>方向及撰写概要如下：</w:t>
      </w:r>
    </w:p>
    <w:p w14:paraId="657365A5" w14:textId="77777777" w:rsidR="00495C65" w:rsidRDefault="00495C65" w:rsidP="00495C65">
      <w:pPr>
        <w:pStyle w:val="13"/>
      </w:pPr>
      <w:r>
        <w:t>1、【未定事项假设】应说明对估价所必需的尚未明确或不够明确的土地用途、容积率、房屋建成年份等事项所做的合理的、最可能的假定。例如：</w:t>
      </w:r>
    </w:p>
    <w:p w14:paraId="170F55F1" w14:textId="77777777" w:rsidR="00495C65" w:rsidRDefault="00495C65" w:rsidP="00495C65">
      <w:pPr>
        <w:pStyle w:val="13"/>
      </w:pPr>
      <w:r w:rsidRPr="007B25AC">
        <w:rPr>
          <w:rFonts w:hint="eastAsia"/>
        </w:rPr>
        <w:t>（</w:t>
      </w:r>
      <w:r w:rsidRPr="007B25AC">
        <w:t>1）</w:t>
      </w:r>
      <w:r>
        <w:rPr>
          <w:rFonts w:hint="eastAsia"/>
        </w:rPr>
        <w:t>【《房屋所有权证》未记载房屋建成年份】估价对象《房屋所有权证》（或《不动产权证书》）未记载估价对象房屋的建成年份，经注册房地产估价师实地调查，房屋建成年份为</w:t>
      </w:r>
      <w:r>
        <w:t>****年，本次估价房屋建成年份以实际调查为准。</w:t>
      </w:r>
    </w:p>
    <w:p w14:paraId="4260C0B6" w14:textId="77777777" w:rsidR="00495C65" w:rsidRDefault="00495C65" w:rsidP="00495C65">
      <w:pPr>
        <w:pStyle w:val="13"/>
      </w:pPr>
      <w:r w:rsidRPr="00540697">
        <w:rPr>
          <w:rFonts w:hint="eastAsia"/>
        </w:rPr>
        <w:t>（</w:t>
      </w:r>
      <w:r>
        <w:t>2</w:t>
      </w:r>
      <w:r w:rsidRPr="00540697">
        <w:t>）</w:t>
      </w:r>
      <w:r>
        <w:rPr>
          <w:rFonts w:hint="eastAsia"/>
        </w:rPr>
        <w:t>【《房屋所有权证》未记载房屋合法用途】估价对象《房屋所有权证》（或《不动产权证书》）未记载估价对象的合法用途，经注册房地产估价师实地查勘，估价对象为</w:t>
      </w:r>
      <w:r>
        <w:t>**用房，本次估价设定房屋合法用途为**。</w:t>
      </w:r>
    </w:p>
    <w:p w14:paraId="14CDEEDF" w14:textId="77777777" w:rsidR="00495C65" w:rsidRDefault="00495C65" w:rsidP="00495C65">
      <w:pPr>
        <w:pStyle w:val="13"/>
      </w:pPr>
      <w:r w:rsidRPr="00540697">
        <w:rPr>
          <w:rFonts w:hint="eastAsia"/>
        </w:rPr>
        <w:t>（</w:t>
      </w:r>
      <w:r>
        <w:t>3</w:t>
      </w:r>
      <w:r w:rsidRPr="00540697">
        <w:t>）</w:t>
      </w:r>
      <w:r>
        <w:rPr>
          <w:rFonts w:hint="eastAsia"/>
        </w:rPr>
        <w:t>【未提供容积率】估价委托人提供的资料未记载估价对象的容积率，本次估价采用的容积率以估价对象实际容积率为准。</w:t>
      </w:r>
    </w:p>
    <w:p w14:paraId="3B5191F1" w14:textId="77777777" w:rsidR="00495C65" w:rsidRDefault="00495C65" w:rsidP="00495C65">
      <w:pPr>
        <w:pStyle w:val="13"/>
      </w:pPr>
      <w:r>
        <w:t>2、【背离事实假设】应说明因估价目的的特殊需要、交易条件设定或约定，对估价对象状况所做的与估价对象在价值时点的状况不一致的合理假定。例如：</w:t>
      </w:r>
    </w:p>
    <w:p w14:paraId="4358957B" w14:textId="77777777" w:rsidR="00495C65" w:rsidRDefault="00495C65" w:rsidP="00495C65">
      <w:pPr>
        <w:pStyle w:val="13"/>
      </w:pPr>
      <w:r w:rsidRPr="00D430D6">
        <w:rPr>
          <w:rFonts w:hint="eastAsia"/>
        </w:rPr>
        <w:t>（</w:t>
      </w:r>
      <w:r w:rsidRPr="00D430D6">
        <w:t>1）</w:t>
      </w:r>
      <w:r>
        <w:rPr>
          <w:rFonts w:hint="eastAsia"/>
        </w:rPr>
        <w:t>【房地产抵押估价报告价值时点与完成实地查勘日不一致】本次估价价值时点为</w:t>
      </w:r>
      <w:r>
        <w:t>****年**月**日，完成实地查勘日期为****年**月**日，价值时点与完成实地查勘日期不一致，本次估价假定价值时点房地产状况与完成实地查勘之日的状况一致。</w:t>
      </w:r>
    </w:p>
    <w:p w14:paraId="386B5BBD" w14:textId="77777777" w:rsidR="00495C65" w:rsidRDefault="00495C65" w:rsidP="00495C65">
      <w:pPr>
        <w:pStyle w:val="13"/>
      </w:pPr>
      <w:r w:rsidRPr="00D430D6">
        <w:rPr>
          <w:rFonts w:hint="eastAsia"/>
        </w:rPr>
        <w:t>（</w:t>
      </w:r>
      <w:r>
        <w:t>2</w:t>
      </w:r>
      <w:r w:rsidRPr="00D430D6">
        <w:t>）</w:t>
      </w:r>
      <w:r>
        <w:rPr>
          <w:rFonts w:hint="eastAsia"/>
        </w:rPr>
        <w:t>【被征收房屋已租赁、抵押、查封】本次对被征收房屋的价值进行评估，不考虑被征收房屋租赁、抵押、查封等因素的影响。</w:t>
      </w:r>
    </w:p>
    <w:p w14:paraId="09AB2327" w14:textId="77777777" w:rsidR="00495C65" w:rsidRDefault="00495C65" w:rsidP="00495C65">
      <w:pPr>
        <w:pStyle w:val="13"/>
      </w:pPr>
      <w:r w:rsidRPr="00D430D6">
        <w:rPr>
          <w:rFonts w:hint="eastAsia"/>
        </w:rPr>
        <w:t>（</w:t>
      </w:r>
      <w:r>
        <w:t>3</w:t>
      </w:r>
      <w:r w:rsidRPr="00D430D6">
        <w:t>）</w:t>
      </w:r>
      <w:r>
        <w:rPr>
          <w:rFonts w:hint="eastAsia"/>
        </w:rPr>
        <w:t>【被征收房屋区位、实物状况遭破坏需要进行征收估价】在价值时点，被征收房屋的周边环境、实物状况已遭到破坏，影响了估价对象的正常使用，根据估价目的，本次估价不考虑被征收房屋的周边环境、实物状况受到破坏的影响。</w:t>
      </w:r>
    </w:p>
    <w:p w14:paraId="05703935" w14:textId="77777777" w:rsidR="00495C65" w:rsidRDefault="00495C65" w:rsidP="00495C65">
      <w:pPr>
        <w:pStyle w:val="13"/>
      </w:pPr>
      <w:r w:rsidRPr="00D430D6">
        <w:rPr>
          <w:rFonts w:hint="eastAsia"/>
        </w:rPr>
        <w:t>（</w:t>
      </w:r>
      <w:r>
        <w:t>4</w:t>
      </w:r>
      <w:r w:rsidRPr="00D430D6">
        <w:t>）</w:t>
      </w:r>
      <w:r>
        <w:rPr>
          <w:rFonts w:hint="eastAsia"/>
        </w:rPr>
        <w:t>【房地产司法拍卖估价】在价值时点，估价对象已被人民法院查封（或存在担保物权、其他优先受偿款），本次估价不考虑估价对象已被查封因素的影响。</w:t>
      </w:r>
    </w:p>
    <w:p w14:paraId="3D4F55E9" w14:textId="77777777" w:rsidR="00495C65" w:rsidRDefault="00495C65" w:rsidP="00495C65">
      <w:pPr>
        <w:pStyle w:val="13"/>
      </w:pPr>
      <w:r>
        <w:t>3、【不相一致假设】应说明在估价对象的实际用途、房屋登记用途、土地登记用途、</w:t>
      </w:r>
      <w:r>
        <w:rPr>
          <w:rFonts w:hint="eastAsia"/>
        </w:rPr>
        <w:t>规划用途等用途之间不一致，或房屋权属证明、土地权属证明等资料的权利人之间不一致，估价对象的名称或地址不一致等情况下，对估价所依据的用途或权利人、名称地址等的合理假定。</w:t>
      </w:r>
    </w:p>
    <w:p w14:paraId="279F9334" w14:textId="77777777" w:rsidR="00495C65" w:rsidRDefault="00495C65" w:rsidP="00495C65">
      <w:pPr>
        <w:pStyle w:val="13"/>
      </w:pPr>
      <w:r>
        <w:rPr>
          <w:rFonts w:hint="eastAsia"/>
        </w:rPr>
        <w:t>例如：【证载用途不一致】估价对象《国有土地使用证》</w:t>
      </w:r>
      <w:proofErr w:type="gramStart"/>
      <w:r>
        <w:rPr>
          <w:rFonts w:hint="eastAsia"/>
        </w:rPr>
        <w:t>证载土地</w:t>
      </w:r>
      <w:proofErr w:type="gramEnd"/>
      <w:r>
        <w:rPr>
          <w:rFonts w:hint="eastAsia"/>
        </w:rPr>
        <w:t>用途为工业，</w:t>
      </w:r>
      <w:proofErr w:type="gramStart"/>
      <w:r>
        <w:rPr>
          <w:rFonts w:hint="eastAsia"/>
        </w:rPr>
        <w:t>《房屋所有权证》证载房屋</w:t>
      </w:r>
      <w:proofErr w:type="gramEnd"/>
      <w:r>
        <w:rPr>
          <w:rFonts w:hint="eastAsia"/>
        </w:rPr>
        <w:t>用途为工业、住宅及办公，经注册房地产估价师实地查勘，估价对象房屋实际作为生产车间及职工宿舍、生产办公用房，均为工业生产用途，本次评估估价对象用途以《国有土地使用证》</w:t>
      </w:r>
      <w:proofErr w:type="gramStart"/>
      <w:r>
        <w:rPr>
          <w:rFonts w:hint="eastAsia"/>
        </w:rPr>
        <w:t>证载工业</w:t>
      </w:r>
      <w:proofErr w:type="gramEnd"/>
      <w:r>
        <w:rPr>
          <w:rFonts w:hint="eastAsia"/>
        </w:rPr>
        <w:t>用途为准。</w:t>
      </w:r>
    </w:p>
    <w:p w14:paraId="2FDEF747" w14:textId="77777777" w:rsidR="00495C65" w:rsidRDefault="00495C65" w:rsidP="00495C65">
      <w:pPr>
        <w:pStyle w:val="13"/>
      </w:pPr>
      <w:r>
        <w:t>4、【依据不足假设】应说明在估价委托人无法提供估价所必需的反映估价对象状况的资料以及注册房地产估价师进行了尽职调查仍然难以取得该资料的情况下，对缺少该资料的说明及对相应的估价对象状况的合理假定。例如：</w:t>
      </w:r>
    </w:p>
    <w:p w14:paraId="17C119EA" w14:textId="77777777" w:rsidR="00495C65" w:rsidRDefault="00495C65" w:rsidP="00495C65">
      <w:pPr>
        <w:pStyle w:val="13"/>
      </w:pPr>
      <w:r w:rsidRPr="00A420D7">
        <w:rPr>
          <w:rFonts w:hint="eastAsia"/>
        </w:rPr>
        <w:lastRenderedPageBreak/>
        <w:t>（</w:t>
      </w:r>
      <w:r w:rsidRPr="00A420D7">
        <w:t>1）</w:t>
      </w:r>
      <w:r>
        <w:rPr>
          <w:rFonts w:hint="eastAsia"/>
        </w:rPr>
        <w:t>【不能提供权属证明原件】</w:t>
      </w:r>
    </w:p>
    <w:p w14:paraId="660BE58C" w14:textId="77777777" w:rsidR="00495C65" w:rsidRDefault="00495C65" w:rsidP="00495C65">
      <w:pPr>
        <w:pStyle w:val="13"/>
      </w:pPr>
      <w:r w:rsidRPr="00A420D7">
        <w:rPr>
          <w:rFonts w:hint="eastAsia"/>
        </w:rPr>
        <w:t>（</w:t>
      </w:r>
      <w:r>
        <w:t>2</w:t>
      </w:r>
      <w:r w:rsidRPr="00A420D7">
        <w:t>）</w:t>
      </w:r>
      <w:r>
        <w:rPr>
          <w:rFonts w:hint="eastAsia"/>
        </w:rPr>
        <w:t>【不能进入估价对象内部查勘】</w:t>
      </w:r>
    </w:p>
    <w:p w14:paraId="717206E5" w14:textId="77777777" w:rsidR="00495C65" w:rsidRDefault="00495C65" w:rsidP="00495C65">
      <w:pPr>
        <w:pStyle w:val="ab"/>
        <w:spacing w:before="62" w:after="62"/>
        <w:ind w:firstLine="482"/>
      </w:pPr>
      <w:r>
        <w:rPr>
          <w:rFonts w:hint="eastAsia"/>
        </w:rPr>
        <w:t>二、限制条件撰写概要</w:t>
      </w:r>
    </w:p>
    <w:p w14:paraId="3E7F73A1" w14:textId="77777777" w:rsidR="00495C65" w:rsidRDefault="00495C65" w:rsidP="00495C65">
      <w:pPr>
        <w:pStyle w:val="13"/>
      </w:pPr>
      <w:r>
        <w:rPr>
          <w:rFonts w:hint="eastAsia"/>
        </w:rPr>
        <w:t>估价报告使用限制，主要对估价报告的用途、使用者、使用期限、使用范围等的限定，以及说明使用报告时需注意的其他特殊事项。例如：</w:t>
      </w:r>
    </w:p>
    <w:p w14:paraId="3A83CBD1" w14:textId="77777777" w:rsidR="00495C65" w:rsidRDefault="00495C65" w:rsidP="00495C65">
      <w:pPr>
        <w:pStyle w:val="13"/>
      </w:pPr>
      <w:r w:rsidRPr="00286A42">
        <w:rPr>
          <w:rFonts w:hint="eastAsia"/>
        </w:rPr>
        <w:t>（</w:t>
      </w:r>
      <w:r w:rsidRPr="00286A42">
        <w:t>1）</w:t>
      </w:r>
      <w:r>
        <w:rPr>
          <w:rFonts w:hint="eastAsia"/>
        </w:rPr>
        <w:t>【估价报告使用期限】本估价报告使用期限自估价报告出具之日起为壹年。</w:t>
      </w:r>
      <w:proofErr w:type="gramStart"/>
      <w:r>
        <w:rPr>
          <w:rFonts w:hint="eastAsia"/>
        </w:rPr>
        <w:t>若报告</w:t>
      </w:r>
      <w:proofErr w:type="gramEnd"/>
      <w:r>
        <w:rPr>
          <w:rFonts w:hint="eastAsia"/>
        </w:rPr>
        <w:t>使用期限内，房地产市场或估价对象状况发生重大变化，估价结果需做相应调整或委托估价机构重新估价。</w:t>
      </w:r>
    </w:p>
    <w:p w14:paraId="6D2EF314" w14:textId="77777777" w:rsidR="00495C65" w:rsidRDefault="00495C65" w:rsidP="00495C65">
      <w:pPr>
        <w:pStyle w:val="13"/>
      </w:pPr>
      <w:r w:rsidRPr="00286A42">
        <w:rPr>
          <w:rFonts w:hint="eastAsia"/>
        </w:rPr>
        <w:t>（</w:t>
      </w:r>
      <w:r>
        <w:t>2</w:t>
      </w:r>
      <w:r w:rsidRPr="00286A42">
        <w:t>）</w:t>
      </w:r>
      <w:r>
        <w:rPr>
          <w:rFonts w:hint="eastAsia"/>
        </w:rPr>
        <w:t>【价值类型限制】估价结果为房地产市场价值，未考虑快速变现等处分方式带来的影响。</w:t>
      </w:r>
    </w:p>
    <w:p w14:paraId="3D304485" w14:textId="77777777" w:rsidR="00495C65" w:rsidRDefault="00495C65" w:rsidP="00495C65">
      <w:pPr>
        <w:pStyle w:val="13"/>
      </w:pPr>
      <w:r w:rsidRPr="00286A42">
        <w:rPr>
          <w:rFonts w:hint="eastAsia"/>
        </w:rPr>
        <w:t>（</w:t>
      </w:r>
      <w:r>
        <w:t>3</w:t>
      </w:r>
      <w:r w:rsidRPr="00286A42">
        <w:t>）</w:t>
      </w:r>
      <w:r>
        <w:rPr>
          <w:rFonts w:hint="eastAsia"/>
        </w:rPr>
        <w:t>【估价报告用途限制】本估价报告估价结果为</w:t>
      </w:r>
      <w:r>
        <w:t>**，按照既定目的提供给估价委托人使用，若改变估价目的及使用条件，需向本公司咨询后作必要调整甚至重新估价。</w:t>
      </w:r>
    </w:p>
    <w:p w14:paraId="7FC17EB3" w14:textId="77777777" w:rsidR="00495C65" w:rsidRDefault="00495C65" w:rsidP="00495C65">
      <w:pPr>
        <w:pStyle w:val="13"/>
      </w:pPr>
      <w:r w:rsidRPr="00286A42">
        <w:rPr>
          <w:rFonts w:hint="eastAsia"/>
        </w:rPr>
        <w:t>（</w:t>
      </w:r>
      <w:r>
        <w:t>4</w:t>
      </w:r>
      <w:r w:rsidRPr="00286A42">
        <w:t>）</w:t>
      </w:r>
      <w:r>
        <w:rPr>
          <w:rFonts w:hint="eastAsia"/>
        </w:rPr>
        <w:t>【报告分类使用限制】本估价报告分为“估价结果报告”和“估价技术报告”两部分。“估价结果报告”提供给估价委托人，“估价技术报告”根据有关规定由估价机构存档并在</w:t>
      </w:r>
      <w:r>
        <w:t>**时提供给**。</w:t>
      </w:r>
    </w:p>
    <w:p w14:paraId="3D2697CE" w14:textId="77777777" w:rsidR="00495C65" w:rsidRDefault="00495C65" w:rsidP="00495C65">
      <w:pPr>
        <w:pStyle w:val="13"/>
      </w:pPr>
      <w:r w:rsidRPr="00286A42">
        <w:rPr>
          <w:rFonts w:hint="eastAsia"/>
        </w:rPr>
        <w:t>（</w:t>
      </w:r>
      <w:r>
        <w:t>5</w:t>
      </w:r>
      <w:r w:rsidRPr="00286A42">
        <w:t>）</w:t>
      </w:r>
      <w:r>
        <w:rPr>
          <w:rFonts w:hint="eastAsia"/>
        </w:rPr>
        <w:t>【报告内容采用限制】未经估价机构书面同意，本估价报告的全部或部分及任何参考资料均不允许在任何公开发表的文件、通告或声明中引用，亦不得以其他任何方式公开发表。</w:t>
      </w:r>
    </w:p>
    <w:p w14:paraId="0C9AA091" w14:textId="77777777" w:rsidR="00495C65" w:rsidRDefault="00495C65" w:rsidP="00495C65">
      <w:pPr>
        <w:pStyle w:val="13"/>
      </w:pPr>
      <w:r w:rsidRPr="00286A42">
        <w:rPr>
          <w:rFonts w:hint="eastAsia"/>
        </w:rPr>
        <w:t>（</w:t>
      </w:r>
      <w:r>
        <w:t>6</w:t>
      </w:r>
      <w:r w:rsidRPr="00286A42">
        <w:t>）</w:t>
      </w:r>
      <w:r>
        <w:rPr>
          <w:rFonts w:hint="eastAsia"/>
        </w:rPr>
        <w:t>【其他特殊使用提示】（根据估价目的及房地产状况等，对使用报告时需注意的其他特殊事项进行提示）</w:t>
      </w:r>
    </w:p>
    <w:p w14:paraId="230E8F47" w14:textId="77777777" w:rsidR="00495C65" w:rsidRDefault="00495C65" w:rsidP="00495C65">
      <w:pPr>
        <w:pStyle w:val="ab"/>
        <w:spacing w:before="62" w:after="62"/>
        <w:ind w:firstLine="482"/>
      </w:pPr>
      <w:r>
        <w:rPr>
          <w:rFonts w:hint="eastAsia"/>
        </w:rPr>
        <w:t>三、注意事项</w:t>
      </w:r>
    </w:p>
    <w:p w14:paraId="009B5DE7" w14:textId="77777777" w:rsidR="00495C65" w:rsidRDefault="00495C65" w:rsidP="00495C65">
      <w:pPr>
        <w:pStyle w:val="13"/>
      </w:pPr>
      <w:r>
        <w:rPr>
          <w:rFonts w:hint="eastAsia"/>
        </w:rPr>
        <w:t>（一）估价假设和限制条件应符合“必要、充分、合理、有依据”的要求，做到“无关必舍，应有必全”。</w:t>
      </w:r>
    </w:p>
    <w:p w14:paraId="636E28DA" w14:textId="77777777" w:rsidR="00495C65" w:rsidRDefault="00495C65" w:rsidP="00495C65">
      <w:pPr>
        <w:pStyle w:val="13"/>
      </w:pPr>
      <w:r>
        <w:rPr>
          <w:rFonts w:hint="eastAsia"/>
        </w:rPr>
        <w:t>（二）估价假设、限制条件、估价师声明三部分要界定清楚，不得混淆使用。</w:t>
      </w:r>
    </w:p>
    <w:p w14:paraId="14222D68" w14:textId="77777777" w:rsidR="00495C65" w:rsidRDefault="00495C65" w:rsidP="00495C65">
      <w:pPr>
        <w:pStyle w:val="13"/>
      </w:pPr>
      <w:r>
        <w:rPr>
          <w:rFonts w:hint="eastAsia"/>
        </w:rPr>
        <w:t>（三）估价假设和限制条件撰写概要为提示性内容，不宜简单照搬采用，应注意适用性及针对性。</w:t>
      </w:r>
    </w:p>
    <w:p w14:paraId="7E34B788" w14:textId="77777777" w:rsidR="00495C65" w:rsidRDefault="00495C65" w:rsidP="00495C65">
      <w:pPr>
        <w:pStyle w:val="13"/>
      </w:pPr>
      <w:r>
        <w:rPr>
          <w:rFonts w:hint="eastAsia"/>
        </w:rPr>
        <w:t>（四）因部分早期颁发的《房屋所有权证》及《国有土地使用证》记载信息缺失，</w:t>
      </w:r>
      <w:r>
        <w:t>此类房地产估价时应特别予以关注。</w:t>
      </w:r>
    </w:p>
    <w:p w14:paraId="4771EAEB" w14:textId="039EAD7C" w:rsidR="00495C65" w:rsidRDefault="00495C65" w:rsidP="00495C65">
      <w:pPr>
        <w:pStyle w:val="13"/>
      </w:pPr>
      <w:r>
        <w:rPr>
          <w:rFonts w:hint="eastAsia"/>
        </w:rPr>
        <w:t>（五）当无某项假设时，该项假设暂不作为报告内容。如果《房地产估价报告评审标准》明确要求每项假设均作为报告内容时，按评审标准要求撰写。</w:t>
      </w:r>
    </w:p>
    <w:p w14:paraId="797223B1" w14:textId="2AD03F9A" w:rsidR="0057366E" w:rsidRDefault="0057366E">
      <w:pPr>
        <w:widowControl/>
        <w:jc w:val="left"/>
        <w:rPr>
          <w:rFonts w:ascii="宋体" w:hAnsi="宋体"/>
          <w:sz w:val="24"/>
          <w:szCs w:val="24"/>
        </w:rPr>
      </w:pPr>
      <w:r>
        <w:br w:type="page"/>
      </w:r>
    </w:p>
    <w:p w14:paraId="784E25CA" w14:textId="719221A5" w:rsidR="00495C65" w:rsidRDefault="00495C65" w:rsidP="00495C65">
      <w:pPr>
        <w:pStyle w:val="31"/>
        <w:spacing w:before="156" w:after="62"/>
      </w:pPr>
      <w:bookmarkStart w:id="183" w:name="_Toc81833421"/>
      <w:r>
        <w:rPr>
          <w:rFonts w:hint="eastAsia"/>
        </w:rPr>
        <w:lastRenderedPageBreak/>
        <w:t>河南省房地产估价技术指引之四（试行）</w:t>
      </w:r>
      <w:r w:rsidR="00C05E8C">
        <w:br/>
      </w:r>
      <w:r>
        <w:rPr>
          <w:rFonts w:hint="eastAsia"/>
        </w:rPr>
        <w:t>—营业税改征增值税后房地产估价中应注意</w:t>
      </w:r>
      <w:r>
        <w:t>的问题（</w:t>
      </w:r>
      <w:proofErr w:type="gramStart"/>
      <w:r>
        <w:t>豫房估协</w:t>
      </w:r>
      <w:proofErr w:type="gramEnd"/>
      <w:r>
        <w:t>〔2016〕21号）</w:t>
      </w:r>
      <w:bookmarkEnd w:id="183"/>
    </w:p>
    <w:p w14:paraId="690CB037" w14:textId="77777777" w:rsidR="00495C65" w:rsidRDefault="00495C65" w:rsidP="00495C65">
      <w:pPr>
        <w:pStyle w:val="13"/>
        <w:ind w:firstLineChars="0" w:firstLine="0"/>
      </w:pPr>
      <w:r>
        <w:rPr>
          <w:rFonts w:hint="eastAsia"/>
        </w:rPr>
        <w:t>各房地产估价机构、房地产估价师：</w:t>
      </w:r>
    </w:p>
    <w:p w14:paraId="26D1154F" w14:textId="77777777" w:rsidR="00495C65" w:rsidRDefault="00495C65" w:rsidP="00495C65">
      <w:pPr>
        <w:pStyle w:val="13"/>
      </w:pPr>
      <w:r>
        <w:rPr>
          <w:rFonts w:hint="eastAsia"/>
        </w:rPr>
        <w:t>自</w:t>
      </w:r>
      <w:r>
        <w:t>2016年5月1日起在全国范围内将全面推开营业税改征增值税（以下简称“营改增”），“营改增”后对房地产业等产生重大影响的同时，也对房地产估价中相关内容及估价数据产生较大影响。为使我省房地产估价机构和房地产估价师在估价活动中做好衔接，我会委托河南宏基房地产评估测绘有限公司和河南省豫建房地产评估咨询有限公司共同撰写了《河南省房地产估价技术指引之四（试行）—营业税改征增值税后房地产估价中应注意的问题》（详见附件），现予以发布。自2016年5月1日起，在房地产估价活动中涉及“营改增”内容的</w:t>
      </w:r>
      <w:r>
        <w:rPr>
          <w:rFonts w:hint="eastAsia"/>
        </w:rPr>
        <w:t>，以该指引作为参考。上级有关部门和行业组织出台有关“营改增”方面新规定的，以新规定为准。</w:t>
      </w:r>
    </w:p>
    <w:p w14:paraId="3E2B3DAF" w14:textId="77777777" w:rsidR="00495C65" w:rsidRDefault="00495C65" w:rsidP="00495C65">
      <w:pPr>
        <w:pStyle w:val="13"/>
      </w:pPr>
      <w:r>
        <w:rPr>
          <w:rFonts w:hint="eastAsia"/>
        </w:rPr>
        <w:t>附件：河南省房地产估价技术指引之四（试行）—营业税改征增值税后房地产估价中应注意的问题</w:t>
      </w:r>
    </w:p>
    <w:p w14:paraId="1BEA2F14" w14:textId="77777777" w:rsidR="00495C65" w:rsidRDefault="00495C65" w:rsidP="00495C65">
      <w:pPr>
        <w:pStyle w:val="13"/>
        <w:jc w:val="right"/>
      </w:pPr>
      <w:r>
        <w:rPr>
          <w:rFonts w:hint="eastAsia"/>
        </w:rPr>
        <w:t>河南省房地产估价师与经纪人协会</w:t>
      </w:r>
    </w:p>
    <w:p w14:paraId="021CD734" w14:textId="0D5A8B4D" w:rsidR="00495C65" w:rsidRDefault="00495C65" w:rsidP="00495C65">
      <w:pPr>
        <w:pStyle w:val="13"/>
        <w:jc w:val="right"/>
      </w:pPr>
      <w:r>
        <w:t>2016年4月30日</w:t>
      </w:r>
    </w:p>
    <w:p w14:paraId="018A522B" w14:textId="48286757" w:rsidR="00C05E8C" w:rsidRPr="00C05E8C" w:rsidRDefault="00C05E8C" w:rsidP="00AF7342">
      <w:pPr>
        <w:pStyle w:val="a9"/>
        <w:spacing w:before="62" w:after="62"/>
      </w:pPr>
      <w:r w:rsidRPr="00C05E8C">
        <w:rPr>
          <w:rFonts w:hint="eastAsia"/>
        </w:rPr>
        <w:t>河南省房地产估价技术指引之四（试行）</w:t>
      </w:r>
      <w:r>
        <w:br/>
      </w:r>
      <w:r w:rsidRPr="00C05E8C">
        <w:rPr>
          <w:rFonts w:hint="eastAsia"/>
        </w:rPr>
        <w:t>—营业税改征增值税后房地产估价中应注意的问题</w:t>
      </w:r>
    </w:p>
    <w:p w14:paraId="327EECC6" w14:textId="77777777" w:rsidR="00C05E8C" w:rsidRPr="00C05E8C" w:rsidRDefault="00C05E8C" w:rsidP="00C05E8C">
      <w:pPr>
        <w:pStyle w:val="13"/>
      </w:pPr>
      <w:r w:rsidRPr="00C05E8C">
        <w:rPr>
          <w:rFonts w:hint="eastAsia"/>
        </w:rPr>
        <w:t>自</w:t>
      </w:r>
      <w:r w:rsidRPr="00C05E8C">
        <w:t>2016</w:t>
      </w:r>
      <w:r w:rsidRPr="00C05E8C">
        <w:rPr>
          <w:rFonts w:hint="eastAsia"/>
        </w:rPr>
        <w:t>年</w:t>
      </w:r>
      <w:r w:rsidRPr="00C05E8C">
        <w:t>5</w:t>
      </w:r>
      <w:r w:rsidRPr="00C05E8C">
        <w:rPr>
          <w:rFonts w:hint="eastAsia"/>
        </w:rPr>
        <w:t>月</w:t>
      </w:r>
      <w:r w:rsidRPr="00C05E8C">
        <w:t>1</w:t>
      </w:r>
      <w:r w:rsidRPr="00C05E8C">
        <w:rPr>
          <w:rFonts w:hint="eastAsia"/>
        </w:rPr>
        <w:t>日起在全国范围内全面推开营业税改征增值税（以下简称</w:t>
      </w:r>
      <w:r w:rsidRPr="00C05E8C">
        <w:t>“</w:t>
      </w:r>
      <w:r w:rsidRPr="00C05E8C">
        <w:rPr>
          <w:rFonts w:hint="eastAsia"/>
        </w:rPr>
        <w:t>营改增</w:t>
      </w:r>
      <w:r w:rsidRPr="00C05E8C">
        <w:t>”</w:t>
      </w:r>
      <w:r w:rsidRPr="00C05E8C">
        <w:rPr>
          <w:rFonts w:hint="eastAsia"/>
        </w:rPr>
        <w:t>），现行房地产业等纳税人由原来缴纳营业税改为缴纳增值税，涉及税制转换和政策调整，较为复杂。</w:t>
      </w:r>
      <w:r w:rsidRPr="00C05E8C">
        <w:t>“</w:t>
      </w:r>
      <w:r w:rsidRPr="00C05E8C">
        <w:rPr>
          <w:rFonts w:hint="eastAsia"/>
        </w:rPr>
        <w:t>营改增</w:t>
      </w:r>
      <w:r w:rsidRPr="00C05E8C">
        <w:t>”</w:t>
      </w:r>
      <w:r w:rsidRPr="00C05E8C">
        <w:rPr>
          <w:rFonts w:hint="eastAsia"/>
        </w:rPr>
        <w:t>对房地产业等产生重大影响的同时，也对房地产估价中相关内容及估价数据产生较大影响。为使我省房地产估价机构和房地产估价师在估价活动中做好衔接，现将</w:t>
      </w:r>
      <w:r w:rsidRPr="00C05E8C">
        <w:t>“</w:t>
      </w:r>
      <w:r w:rsidRPr="00C05E8C">
        <w:rPr>
          <w:rFonts w:hint="eastAsia"/>
        </w:rPr>
        <w:t>营改增</w:t>
      </w:r>
      <w:r w:rsidRPr="00C05E8C">
        <w:t>”</w:t>
      </w:r>
      <w:r w:rsidRPr="00C05E8C">
        <w:rPr>
          <w:rFonts w:hint="eastAsia"/>
        </w:rPr>
        <w:t>后房地产估价中应注意的问题总结如下，供参考。</w:t>
      </w:r>
    </w:p>
    <w:p w14:paraId="4A4E47C4" w14:textId="77777777" w:rsidR="00C05E8C" w:rsidRPr="00C05E8C" w:rsidRDefault="00C05E8C" w:rsidP="00C05E8C">
      <w:pPr>
        <w:pStyle w:val="13"/>
        <w:ind w:firstLine="482"/>
      </w:pPr>
      <w:r w:rsidRPr="00C05E8C">
        <w:rPr>
          <w:rFonts w:hint="eastAsia"/>
          <w:b/>
          <w:bCs/>
        </w:rPr>
        <w:t>一、对房地产价格、价值内涵的影响</w:t>
      </w:r>
    </w:p>
    <w:p w14:paraId="3823F565" w14:textId="77777777" w:rsidR="00C05E8C" w:rsidRPr="00C05E8C" w:rsidRDefault="00C05E8C" w:rsidP="00C05E8C">
      <w:pPr>
        <w:pStyle w:val="13"/>
      </w:pPr>
      <w:r w:rsidRPr="00C05E8C">
        <w:rPr>
          <w:rFonts w:hint="eastAsia"/>
        </w:rPr>
        <w:t>（一）对市场价格内涵的影响</w:t>
      </w:r>
    </w:p>
    <w:p w14:paraId="5689F4EA" w14:textId="77777777" w:rsidR="00C05E8C" w:rsidRPr="00C05E8C" w:rsidRDefault="00C05E8C" w:rsidP="00C05E8C">
      <w:pPr>
        <w:pStyle w:val="13"/>
      </w:pPr>
      <w:r w:rsidRPr="00C05E8C">
        <w:rPr>
          <w:rFonts w:hint="eastAsia"/>
        </w:rPr>
        <w:t>市场价格是指某种房地产在市场上的平均交易价格，交易价格为包括增值税的交易价格。</w:t>
      </w:r>
    </w:p>
    <w:p w14:paraId="05858AF4" w14:textId="77777777" w:rsidR="00C05E8C" w:rsidRPr="00C05E8C" w:rsidRDefault="00C05E8C" w:rsidP="00C05E8C">
      <w:pPr>
        <w:pStyle w:val="13"/>
      </w:pPr>
      <w:r w:rsidRPr="00C05E8C">
        <w:rPr>
          <w:rFonts w:hint="eastAsia"/>
        </w:rPr>
        <w:t>房地产税收估价，应说明估价结果中是否包增值税。</w:t>
      </w:r>
    </w:p>
    <w:p w14:paraId="6F30733A" w14:textId="77777777" w:rsidR="00C05E8C" w:rsidRPr="00C05E8C" w:rsidRDefault="00C05E8C" w:rsidP="00C05E8C">
      <w:pPr>
        <w:pStyle w:val="13"/>
      </w:pPr>
      <w:r w:rsidRPr="00C05E8C">
        <w:rPr>
          <w:rFonts w:hint="eastAsia"/>
        </w:rPr>
        <w:t>（二）对抵押净值内涵的影响</w:t>
      </w:r>
    </w:p>
    <w:p w14:paraId="30C167F1" w14:textId="77777777" w:rsidR="00C05E8C" w:rsidRPr="00C05E8C" w:rsidRDefault="00C05E8C" w:rsidP="00C05E8C">
      <w:pPr>
        <w:pStyle w:val="13"/>
      </w:pPr>
      <w:r w:rsidRPr="00C05E8C">
        <w:rPr>
          <w:rFonts w:hint="eastAsia"/>
        </w:rPr>
        <w:t>抵押净值为抵押价值减去预期实现抵押权的费用和税金后的价值。此税金包含房地产转让时所计算的增值税税额。</w:t>
      </w:r>
    </w:p>
    <w:p w14:paraId="06BD4360" w14:textId="77777777" w:rsidR="00C05E8C" w:rsidRPr="00C05E8C" w:rsidRDefault="00C05E8C" w:rsidP="00C05E8C">
      <w:pPr>
        <w:pStyle w:val="13"/>
      </w:pPr>
      <w:r w:rsidRPr="00C05E8C">
        <w:rPr>
          <w:rFonts w:hint="eastAsia"/>
        </w:rPr>
        <w:t>二、对估价假设和限制条件的影响</w:t>
      </w:r>
    </w:p>
    <w:p w14:paraId="25CE5D8B" w14:textId="77777777" w:rsidR="00C05E8C" w:rsidRPr="00C05E8C" w:rsidRDefault="00C05E8C" w:rsidP="00C05E8C">
      <w:pPr>
        <w:pStyle w:val="13"/>
      </w:pPr>
      <w:r w:rsidRPr="00C05E8C">
        <w:rPr>
          <w:rFonts w:hint="eastAsia"/>
        </w:rPr>
        <w:t>在估价计算过程中，对增值税的计算选择简易计税方法或一般计税方法，其计税方法的选择依据和理由，需根据必要性原则在估价报告</w:t>
      </w:r>
      <w:r w:rsidRPr="00C05E8C">
        <w:t>“</w:t>
      </w:r>
      <w:r w:rsidRPr="00C05E8C">
        <w:rPr>
          <w:rFonts w:hint="eastAsia"/>
        </w:rPr>
        <w:t>估价假设和限制条件</w:t>
      </w:r>
      <w:r w:rsidRPr="00C05E8C">
        <w:t>”</w:t>
      </w:r>
      <w:r w:rsidRPr="00C05E8C">
        <w:rPr>
          <w:rFonts w:hint="eastAsia"/>
        </w:rPr>
        <w:t>中</w:t>
      </w:r>
      <w:r w:rsidRPr="00C05E8C">
        <w:rPr>
          <w:rFonts w:hint="eastAsia"/>
        </w:rPr>
        <w:lastRenderedPageBreak/>
        <w:t>进行说明。</w:t>
      </w:r>
    </w:p>
    <w:p w14:paraId="78E762A7" w14:textId="77777777" w:rsidR="00C05E8C" w:rsidRPr="00C05E8C" w:rsidRDefault="00C05E8C" w:rsidP="00C05E8C">
      <w:pPr>
        <w:pStyle w:val="13"/>
        <w:ind w:firstLine="482"/>
      </w:pPr>
      <w:r w:rsidRPr="00C05E8C">
        <w:rPr>
          <w:rFonts w:hint="eastAsia"/>
          <w:b/>
          <w:bCs/>
        </w:rPr>
        <w:t>三、比较法估价测算问题</w:t>
      </w:r>
    </w:p>
    <w:p w14:paraId="5FC0939B" w14:textId="77777777" w:rsidR="00C05E8C" w:rsidRPr="00C05E8C" w:rsidRDefault="00C05E8C" w:rsidP="00C05E8C">
      <w:pPr>
        <w:pStyle w:val="13"/>
      </w:pPr>
      <w:r w:rsidRPr="00C05E8C">
        <w:rPr>
          <w:rFonts w:hint="eastAsia"/>
        </w:rPr>
        <w:t>（一）对交易实例成交价格进行统一税费负担计算时，应弄清成交价格内涵，关注卖方应纳增值税的是否存在转嫁问题；同时，个人转让房屋的个人所得税应税收入不含增值税，买方应纳契税计征时的成交价格不含增值税。</w:t>
      </w:r>
    </w:p>
    <w:p w14:paraId="79EB93B9" w14:textId="77777777" w:rsidR="00C05E8C" w:rsidRPr="00C05E8C" w:rsidRDefault="00C05E8C" w:rsidP="00C05E8C">
      <w:pPr>
        <w:pStyle w:val="13"/>
      </w:pPr>
      <w:r w:rsidRPr="00C05E8C">
        <w:rPr>
          <w:rFonts w:hint="eastAsia"/>
        </w:rPr>
        <w:t>免征增值税的，确定计税依据时，成交价格、转让房地产取得的收入</w:t>
      </w:r>
      <w:proofErr w:type="gramStart"/>
      <w:r w:rsidRPr="00C05E8C">
        <w:rPr>
          <w:rFonts w:hint="eastAsia"/>
        </w:rPr>
        <w:t>不</w:t>
      </w:r>
      <w:proofErr w:type="gramEnd"/>
      <w:r w:rsidRPr="00C05E8C">
        <w:rPr>
          <w:rFonts w:hint="eastAsia"/>
        </w:rPr>
        <w:t>扣减增值税额。</w:t>
      </w:r>
    </w:p>
    <w:p w14:paraId="5D8F080E" w14:textId="77777777" w:rsidR="00C05E8C" w:rsidRPr="00C05E8C" w:rsidRDefault="00C05E8C" w:rsidP="00C05E8C">
      <w:pPr>
        <w:pStyle w:val="13"/>
      </w:pPr>
      <w:r w:rsidRPr="00C05E8C">
        <w:rPr>
          <w:rFonts w:hint="eastAsia"/>
        </w:rPr>
        <w:t>（二）转让不动产增值税计算</w:t>
      </w:r>
    </w:p>
    <w:p w14:paraId="5334F7FF" w14:textId="77777777" w:rsidR="00C05E8C" w:rsidRPr="00C05E8C" w:rsidRDefault="00C05E8C" w:rsidP="00C05E8C">
      <w:pPr>
        <w:pStyle w:val="13"/>
      </w:pPr>
      <w:r w:rsidRPr="00C05E8C">
        <w:rPr>
          <w:rFonts w:hint="eastAsia"/>
        </w:rPr>
        <w:t>在计算转让不动产增值税时要区分是否为房地产开发企业销售自行开发的房地产项目；区分一般纳人、小规模纳税人；区分一般计税方法、简易计税方法；区分不动产为取得还是自建；区分取得（自建）不动产日期等问题。</w:t>
      </w:r>
    </w:p>
    <w:p w14:paraId="321AD598" w14:textId="511152CA" w:rsidR="00C05E8C" w:rsidRPr="00C05E8C" w:rsidRDefault="00C05E8C" w:rsidP="00C05E8C">
      <w:pPr>
        <w:pStyle w:val="13"/>
      </w:pPr>
      <w:r w:rsidRPr="00C05E8C">
        <w:t>1.</w:t>
      </w:r>
      <w:r w:rsidRPr="00C05E8C">
        <w:rPr>
          <w:rFonts w:hint="eastAsia"/>
        </w:rPr>
        <w:t>单位和个人转让不动产增值税计算（不适用房地产开发企业销售自行开发的房地产项目）</w:t>
      </w:r>
    </w:p>
    <w:p w14:paraId="4A80E788" w14:textId="77777777" w:rsidR="00C05E8C" w:rsidRPr="00C05E8C" w:rsidRDefault="00C05E8C" w:rsidP="00C05E8C">
      <w:pPr>
        <w:pStyle w:val="13"/>
      </w:pPr>
      <w:r w:rsidRPr="00C05E8C">
        <w:rPr>
          <w:rFonts w:hint="eastAsia"/>
        </w:rPr>
        <w:t>（</w:t>
      </w:r>
      <w:r w:rsidRPr="00C05E8C">
        <w:t>1</w:t>
      </w:r>
      <w:r w:rsidRPr="00C05E8C">
        <w:rPr>
          <w:rFonts w:hint="eastAsia"/>
        </w:rPr>
        <w:t>）一般纳税人</w:t>
      </w:r>
    </w:p>
    <w:p w14:paraId="4E3F38E7" w14:textId="77777777" w:rsidR="00C05E8C" w:rsidRPr="00C05E8C" w:rsidRDefault="00C05E8C" w:rsidP="00C05E8C">
      <w:pPr>
        <w:pStyle w:val="13"/>
      </w:pPr>
      <w:r w:rsidRPr="00C05E8C">
        <w:rPr>
          <w:rFonts w:hint="eastAsia"/>
        </w:rPr>
        <w:t>转让</w:t>
      </w:r>
      <w:r w:rsidRPr="00C05E8C">
        <w:t>2016</w:t>
      </w:r>
      <w:r w:rsidRPr="00C05E8C">
        <w:rPr>
          <w:rFonts w:hint="eastAsia"/>
        </w:rPr>
        <w:t>年</w:t>
      </w:r>
      <w:r w:rsidRPr="00C05E8C">
        <w:t>4</w:t>
      </w:r>
      <w:r w:rsidRPr="00C05E8C">
        <w:rPr>
          <w:rFonts w:hint="eastAsia"/>
        </w:rPr>
        <w:t>月</w:t>
      </w:r>
      <w:r w:rsidRPr="00C05E8C">
        <w:t>30</w:t>
      </w:r>
      <w:r w:rsidRPr="00C05E8C">
        <w:rPr>
          <w:rFonts w:hint="eastAsia"/>
        </w:rPr>
        <w:t>前不动产，可选择简易计税方法计税或一般计税方法计税。转让</w:t>
      </w:r>
      <w:r w:rsidRPr="00C05E8C">
        <w:t>2016</w:t>
      </w:r>
      <w:r w:rsidRPr="00C05E8C">
        <w:rPr>
          <w:rFonts w:hint="eastAsia"/>
        </w:rPr>
        <w:t>年</w:t>
      </w:r>
      <w:r w:rsidRPr="00C05E8C">
        <w:t>5</w:t>
      </w:r>
      <w:r w:rsidRPr="00C05E8C">
        <w:rPr>
          <w:rFonts w:hint="eastAsia"/>
        </w:rPr>
        <w:t>月</w:t>
      </w:r>
      <w:r w:rsidRPr="00C05E8C">
        <w:t>1</w:t>
      </w:r>
      <w:r w:rsidRPr="00C05E8C">
        <w:rPr>
          <w:rFonts w:hint="eastAsia"/>
        </w:rPr>
        <w:t>日后不动产，适用一般计税方法计税。</w:t>
      </w:r>
    </w:p>
    <w:p w14:paraId="6A76D05B" w14:textId="77777777" w:rsidR="00C05E8C" w:rsidRPr="00C05E8C" w:rsidRDefault="00C05E8C" w:rsidP="00C05E8C">
      <w:pPr>
        <w:pStyle w:val="13"/>
      </w:pPr>
      <w:r w:rsidRPr="00C05E8C">
        <w:rPr>
          <w:rFonts w:hint="eastAsia"/>
        </w:rPr>
        <w:t>简易计税方法：</w:t>
      </w:r>
    </w:p>
    <w:p w14:paraId="6B24161D" w14:textId="77777777" w:rsidR="00C05E8C" w:rsidRPr="00C05E8C" w:rsidRDefault="00C05E8C" w:rsidP="00C05E8C">
      <w:pPr>
        <w:pStyle w:val="13"/>
      </w:pPr>
      <w:r w:rsidRPr="00C05E8C">
        <w:rPr>
          <w:rFonts w:hint="eastAsia"/>
        </w:rPr>
        <w:t>公式</w:t>
      </w:r>
      <w:r w:rsidRPr="00C05E8C">
        <w:t>1</w:t>
      </w:r>
      <w:r w:rsidRPr="00C05E8C">
        <w:rPr>
          <w:rFonts w:hint="eastAsia"/>
        </w:rPr>
        <w:t>：适用于转让</w:t>
      </w:r>
      <w:r w:rsidRPr="00C05E8C">
        <w:t>2016</w:t>
      </w:r>
      <w:r w:rsidRPr="00C05E8C">
        <w:rPr>
          <w:rFonts w:hint="eastAsia"/>
        </w:rPr>
        <w:t>年</w:t>
      </w:r>
      <w:r w:rsidRPr="00C05E8C">
        <w:t>4</w:t>
      </w:r>
      <w:r w:rsidRPr="00C05E8C">
        <w:rPr>
          <w:rFonts w:hint="eastAsia"/>
        </w:rPr>
        <w:t>月</w:t>
      </w:r>
      <w:r w:rsidRPr="00C05E8C">
        <w:t>30</w:t>
      </w:r>
      <w:r w:rsidRPr="00C05E8C">
        <w:rPr>
          <w:rFonts w:hint="eastAsia"/>
        </w:rPr>
        <w:t>日前取得（不含自建）的不动产</w:t>
      </w:r>
    </w:p>
    <w:p w14:paraId="62713551" w14:textId="77777777" w:rsidR="00C05E8C" w:rsidRPr="00C05E8C" w:rsidRDefault="00C05E8C" w:rsidP="00C05E8C">
      <w:pPr>
        <w:pStyle w:val="13"/>
      </w:pPr>
      <w:r w:rsidRPr="00C05E8C">
        <w:rPr>
          <w:rFonts w:hint="eastAsia"/>
        </w:rPr>
        <w:t>应纳增值税</w:t>
      </w:r>
      <w:r w:rsidRPr="00C05E8C">
        <w:t>=</w:t>
      </w:r>
      <w:r w:rsidRPr="00C05E8C">
        <w:rPr>
          <w:rFonts w:hint="eastAsia"/>
        </w:rPr>
        <w:t>（全部价款和价外费用</w:t>
      </w:r>
      <w:r w:rsidRPr="00C05E8C">
        <w:t> - </w:t>
      </w:r>
      <w:r w:rsidRPr="00C05E8C">
        <w:rPr>
          <w:rFonts w:hint="eastAsia"/>
        </w:rPr>
        <w:t>不动产购置原价或取得不动产时的作价）</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2C175C16" w14:textId="77777777" w:rsidR="00C05E8C" w:rsidRPr="00C05E8C" w:rsidRDefault="00C05E8C" w:rsidP="00C05E8C">
      <w:pPr>
        <w:pStyle w:val="13"/>
      </w:pPr>
      <w:r w:rsidRPr="00C05E8C">
        <w:rPr>
          <w:rFonts w:hint="eastAsia"/>
        </w:rPr>
        <w:t>公式</w:t>
      </w:r>
      <w:r w:rsidRPr="00C05E8C">
        <w:t>2</w:t>
      </w:r>
      <w:r w:rsidRPr="00C05E8C">
        <w:rPr>
          <w:rFonts w:hint="eastAsia"/>
        </w:rPr>
        <w:t>：适用于转让</w:t>
      </w:r>
      <w:r w:rsidRPr="00C05E8C">
        <w:t>2016</w:t>
      </w:r>
      <w:r w:rsidRPr="00C05E8C">
        <w:rPr>
          <w:rFonts w:hint="eastAsia"/>
        </w:rPr>
        <w:t>年</w:t>
      </w:r>
      <w:r w:rsidRPr="00C05E8C">
        <w:t>4</w:t>
      </w:r>
      <w:r w:rsidRPr="00C05E8C">
        <w:rPr>
          <w:rFonts w:hint="eastAsia"/>
        </w:rPr>
        <w:t>月</w:t>
      </w:r>
      <w:r w:rsidRPr="00C05E8C">
        <w:t>30</w:t>
      </w:r>
      <w:r w:rsidRPr="00C05E8C">
        <w:rPr>
          <w:rFonts w:hint="eastAsia"/>
        </w:rPr>
        <w:t>日前自建的不动产</w:t>
      </w:r>
    </w:p>
    <w:p w14:paraId="173494E8" w14:textId="77777777" w:rsidR="00C05E8C" w:rsidRPr="00C05E8C" w:rsidRDefault="00C05E8C" w:rsidP="00C05E8C">
      <w:pPr>
        <w:pStyle w:val="13"/>
      </w:pPr>
      <w:r w:rsidRPr="00C05E8C">
        <w:rPr>
          <w:rFonts w:hint="eastAsia"/>
        </w:rPr>
        <w:t>应纳增值税</w:t>
      </w:r>
      <w:r w:rsidRPr="00C05E8C">
        <w:t>=</w:t>
      </w:r>
      <w:r w:rsidRPr="00C05E8C">
        <w:rPr>
          <w:rFonts w:hint="eastAsia"/>
        </w:rPr>
        <w:t>全部价款和价外费用</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574144BF" w14:textId="77777777" w:rsidR="00C05E8C" w:rsidRPr="00C05E8C" w:rsidRDefault="00C05E8C" w:rsidP="00C05E8C">
      <w:pPr>
        <w:pStyle w:val="13"/>
      </w:pPr>
      <w:r w:rsidRPr="00C05E8C">
        <w:rPr>
          <w:rFonts w:hint="eastAsia"/>
        </w:rPr>
        <w:t>一般计税方法：</w:t>
      </w:r>
    </w:p>
    <w:p w14:paraId="7DF743A0" w14:textId="77777777" w:rsidR="00C05E8C" w:rsidRPr="00C05E8C" w:rsidRDefault="00C05E8C" w:rsidP="00C05E8C">
      <w:pPr>
        <w:pStyle w:val="13"/>
      </w:pPr>
      <w:r w:rsidRPr="00C05E8C">
        <w:rPr>
          <w:rFonts w:hint="eastAsia"/>
        </w:rPr>
        <w:t>公式</w:t>
      </w:r>
      <w:r w:rsidRPr="00C05E8C">
        <w:t>3</w:t>
      </w:r>
      <w:r w:rsidRPr="00C05E8C">
        <w:rPr>
          <w:rFonts w:hint="eastAsia"/>
        </w:rPr>
        <w:t>：一般计税方法销项税额计算公式</w:t>
      </w:r>
    </w:p>
    <w:p w14:paraId="11EA5514" w14:textId="77777777" w:rsidR="00C05E8C" w:rsidRPr="00C05E8C" w:rsidRDefault="00C05E8C" w:rsidP="00C05E8C">
      <w:pPr>
        <w:pStyle w:val="13"/>
      </w:pPr>
      <w:r w:rsidRPr="00C05E8C">
        <w:rPr>
          <w:rFonts w:hint="eastAsia"/>
        </w:rPr>
        <w:t>销项税额</w:t>
      </w:r>
      <w:r w:rsidRPr="00C05E8C">
        <w:t>=</w:t>
      </w:r>
      <w:r w:rsidRPr="00C05E8C">
        <w:rPr>
          <w:rFonts w:hint="eastAsia"/>
        </w:rPr>
        <w:t>全部价款和价外费用</w:t>
      </w:r>
      <w:r w:rsidRPr="00C05E8C">
        <w:t>÷</w:t>
      </w:r>
      <w:r w:rsidRPr="00C05E8C">
        <w:rPr>
          <w:rFonts w:hint="eastAsia"/>
        </w:rPr>
        <w:t>（</w:t>
      </w:r>
      <w:r w:rsidRPr="00C05E8C">
        <w:t>1+11</w:t>
      </w:r>
      <w:r w:rsidRPr="00C05E8C">
        <w:rPr>
          <w:rFonts w:hint="eastAsia"/>
        </w:rPr>
        <w:t>﹪）</w:t>
      </w:r>
      <w:r w:rsidRPr="00C05E8C">
        <w:t>×11</w:t>
      </w:r>
      <w:r w:rsidRPr="00C05E8C">
        <w:rPr>
          <w:rFonts w:hint="eastAsia"/>
        </w:rPr>
        <w:t>﹪</w:t>
      </w:r>
    </w:p>
    <w:p w14:paraId="65CE8ECB" w14:textId="77777777" w:rsidR="00C05E8C" w:rsidRPr="00C05E8C" w:rsidRDefault="00C05E8C" w:rsidP="00C05E8C">
      <w:pPr>
        <w:pStyle w:val="13"/>
      </w:pPr>
      <w:r w:rsidRPr="00C05E8C">
        <w:rPr>
          <w:rFonts w:hint="eastAsia"/>
        </w:rPr>
        <w:t>（</w:t>
      </w:r>
      <w:r w:rsidRPr="00C05E8C">
        <w:t>2</w:t>
      </w:r>
      <w:r w:rsidRPr="00C05E8C">
        <w:rPr>
          <w:rFonts w:hint="eastAsia"/>
        </w:rPr>
        <w:t>）小规模纳税人（个人转让其购买的住房除外）</w:t>
      </w:r>
    </w:p>
    <w:p w14:paraId="4048FA3B" w14:textId="77777777" w:rsidR="00C05E8C" w:rsidRPr="00C05E8C" w:rsidRDefault="00C05E8C" w:rsidP="00C05E8C">
      <w:pPr>
        <w:pStyle w:val="13"/>
      </w:pPr>
      <w:r w:rsidRPr="00C05E8C">
        <w:rPr>
          <w:rFonts w:hint="eastAsia"/>
        </w:rPr>
        <w:t>公式</w:t>
      </w:r>
      <w:r w:rsidRPr="00C05E8C">
        <w:t>4</w:t>
      </w:r>
      <w:r w:rsidRPr="00C05E8C">
        <w:rPr>
          <w:rFonts w:hint="eastAsia"/>
        </w:rPr>
        <w:t>：适用于小规模纳税人转让其取得（不含自建）的不动产</w:t>
      </w:r>
    </w:p>
    <w:p w14:paraId="4AB48645" w14:textId="77777777" w:rsidR="00C05E8C" w:rsidRPr="00C05E8C" w:rsidRDefault="00C05E8C" w:rsidP="00C05E8C">
      <w:pPr>
        <w:pStyle w:val="13"/>
      </w:pPr>
      <w:r w:rsidRPr="00C05E8C">
        <w:rPr>
          <w:rFonts w:hint="eastAsia"/>
        </w:rPr>
        <w:t>应纳税额</w:t>
      </w:r>
      <w:r w:rsidRPr="00C05E8C">
        <w:t>=</w:t>
      </w:r>
      <w:r w:rsidRPr="00C05E8C">
        <w:rPr>
          <w:rFonts w:hint="eastAsia"/>
        </w:rPr>
        <w:t>（全部价款和价外费用</w:t>
      </w:r>
      <w:r w:rsidRPr="00C05E8C">
        <w:t> - </w:t>
      </w:r>
      <w:r w:rsidRPr="00C05E8C">
        <w:rPr>
          <w:rFonts w:hint="eastAsia"/>
        </w:rPr>
        <w:t>不动产购置原价或取得不动产时的作价）</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0A8FE0EF" w14:textId="77777777" w:rsidR="00C05E8C" w:rsidRPr="00C05E8C" w:rsidRDefault="00C05E8C" w:rsidP="00C05E8C">
      <w:pPr>
        <w:pStyle w:val="13"/>
      </w:pPr>
      <w:r w:rsidRPr="00C05E8C">
        <w:rPr>
          <w:rFonts w:hint="eastAsia"/>
        </w:rPr>
        <w:t>公式</w:t>
      </w:r>
      <w:r w:rsidRPr="00C05E8C">
        <w:t>5</w:t>
      </w:r>
      <w:r w:rsidRPr="00C05E8C">
        <w:rPr>
          <w:rFonts w:hint="eastAsia"/>
        </w:rPr>
        <w:t>：适用小规模纳税人转让其自建的不动产</w:t>
      </w:r>
    </w:p>
    <w:p w14:paraId="4CB4D876" w14:textId="77777777" w:rsidR="00C05E8C" w:rsidRPr="00C05E8C" w:rsidRDefault="00C05E8C" w:rsidP="00C05E8C">
      <w:pPr>
        <w:pStyle w:val="13"/>
      </w:pPr>
      <w:r w:rsidRPr="00C05E8C">
        <w:rPr>
          <w:rFonts w:hint="eastAsia"/>
        </w:rPr>
        <w:t>应纳税额</w:t>
      </w:r>
      <w:r w:rsidRPr="00C05E8C">
        <w:t>=</w:t>
      </w:r>
      <w:r w:rsidRPr="00C05E8C">
        <w:rPr>
          <w:rFonts w:hint="eastAsia"/>
        </w:rPr>
        <w:t>全部价款和价外费用</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50E10414" w14:textId="77777777" w:rsidR="00C05E8C" w:rsidRPr="00C05E8C" w:rsidRDefault="00C05E8C" w:rsidP="00C05E8C">
      <w:pPr>
        <w:pStyle w:val="13"/>
      </w:pPr>
      <w:r w:rsidRPr="00C05E8C">
        <w:rPr>
          <w:rFonts w:hint="eastAsia"/>
        </w:rPr>
        <w:t>（</w:t>
      </w:r>
      <w:r w:rsidRPr="00C05E8C">
        <w:t>3</w:t>
      </w:r>
      <w:r w:rsidRPr="00C05E8C">
        <w:rPr>
          <w:rFonts w:hint="eastAsia"/>
        </w:rPr>
        <w:t>）个人转让其购买的住宅</w:t>
      </w:r>
      <w:r w:rsidRPr="00C05E8C">
        <w:t>     </w:t>
      </w:r>
    </w:p>
    <w:p w14:paraId="63664B9B" w14:textId="77777777" w:rsidR="00C05E8C" w:rsidRPr="00C05E8C" w:rsidRDefault="00C05E8C" w:rsidP="00C05E8C">
      <w:pPr>
        <w:pStyle w:val="13"/>
      </w:pPr>
      <w:r w:rsidRPr="00C05E8C">
        <w:rPr>
          <w:rFonts w:hint="eastAsia"/>
        </w:rPr>
        <w:t>公式</w:t>
      </w:r>
      <w:r w:rsidRPr="00C05E8C">
        <w:t>6</w:t>
      </w:r>
      <w:r w:rsidRPr="00C05E8C">
        <w:rPr>
          <w:rFonts w:hint="eastAsia"/>
        </w:rPr>
        <w:t>：适用于个人将购买不足</w:t>
      </w:r>
      <w:r w:rsidRPr="00C05E8C">
        <w:t>2</w:t>
      </w:r>
      <w:r w:rsidRPr="00C05E8C">
        <w:rPr>
          <w:rFonts w:hint="eastAsia"/>
        </w:rPr>
        <w:t>年的住房对外销售</w:t>
      </w:r>
    </w:p>
    <w:p w14:paraId="666F5911" w14:textId="77777777" w:rsidR="00C05E8C" w:rsidRPr="00C05E8C" w:rsidRDefault="00C05E8C" w:rsidP="00C05E8C">
      <w:pPr>
        <w:pStyle w:val="13"/>
      </w:pPr>
      <w:r w:rsidRPr="00C05E8C">
        <w:rPr>
          <w:rFonts w:hint="eastAsia"/>
        </w:rPr>
        <w:t>应纳增值税</w:t>
      </w:r>
      <w:r w:rsidRPr="00C05E8C">
        <w:t>=</w:t>
      </w:r>
      <w:r w:rsidRPr="00C05E8C">
        <w:rPr>
          <w:rFonts w:hint="eastAsia"/>
        </w:rPr>
        <w:t>全部价款和价外费用</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58B8C042" w14:textId="20A1F596" w:rsidR="00C05E8C" w:rsidRPr="00C05E8C" w:rsidRDefault="00C05E8C" w:rsidP="00C05E8C">
      <w:pPr>
        <w:pStyle w:val="13"/>
      </w:pPr>
      <w:r w:rsidRPr="00C05E8C">
        <w:lastRenderedPageBreak/>
        <w:t>2.</w:t>
      </w:r>
      <w:r w:rsidRPr="00C05E8C">
        <w:rPr>
          <w:rFonts w:hint="eastAsia"/>
        </w:rPr>
        <w:t>房地产开发企业销售自行开发的房地产项目增值税计算</w:t>
      </w:r>
    </w:p>
    <w:p w14:paraId="42B49113" w14:textId="77777777" w:rsidR="00C05E8C" w:rsidRPr="00C05E8C" w:rsidRDefault="00C05E8C" w:rsidP="00C05E8C">
      <w:pPr>
        <w:pStyle w:val="13"/>
      </w:pPr>
      <w:r w:rsidRPr="00C05E8C">
        <w:rPr>
          <w:rFonts w:hint="eastAsia"/>
        </w:rPr>
        <w:t>（</w:t>
      </w:r>
      <w:r w:rsidRPr="00C05E8C">
        <w:t>1</w:t>
      </w:r>
      <w:r w:rsidRPr="00C05E8C">
        <w:rPr>
          <w:rFonts w:hint="eastAsia"/>
        </w:rPr>
        <w:t>）一般纳税人</w:t>
      </w:r>
    </w:p>
    <w:p w14:paraId="242E4B5D" w14:textId="77777777" w:rsidR="00C05E8C" w:rsidRPr="00C05E8C" w:rsidRDefault="00C05E8C" w:rsidP="00C05E8C">
      <w:pPr>
        <w:pStyle w:val="13"/>
      </w:pPr>
      <w:r w:rsidRPr="00C05E8C">
        <w:rPr>
          <w:rFonts w:hint="eastAsia"/>
        </w:rPr>
        <w:t>公式</w:t>
      </w:r>
      <w:r w:rsidRPr="00C05E8C">
        <w:t>7</w:t>
      </w:r>
      <w:r w:rsidRPr="00C05E8C">
        <w:rPr>
          <w:rFonts w:hint="eastAsia"/>
        </w:rPr>
        <w:t>：一般计税方法</w:t>
      </w:r>
    </w:p>
    <w:p w14:paraId="1F0DF0E0" w14:textId="77777777" w:rsidR="00C05E8C" w:rsidRPr="00C05E8C" w:rsidRDefault="00C05E8C" w:rsidP="00C05E8C">
      <w:pPr>
        <w:pStyle w:val="13"/>
      </w:pPr>
      <w:r w:rsidRPr="00C05E8C">
        <w:rPr>
          <w:rFonts w:hint="eastAsia"/>
        </w:rPr>
        <w:t>应纳销项税额</w:t>
      </w:r>
      <w:r w:rsidRPr="00C05E8C">
        <w:t>=</w:t>
      </w:r>
      <w:r w:rsidRPr="00C05E8C">
        <w:rPr>
          <w:rFonts w:hint="eastAsia"/>
        </w:rPr>
        <w:t>（全部价款和价外费用</w:t>
      </w:r>
      <w:r w:rsidRPr="00C05E8C">
        <w:t>-</w:t>
      </w:r>
      <w:r w:rsidRPr="00C05E8C">
        <w:rPr>
          <w:rFonts w:hint="eastAsia"/>
        </w:rPr>
        <w:t>当期允许扣除的土地价款）</w:t>
      </w:r>
      <w:r w:rsidRPr="00C05E8C">
        <w:t>÷</w:t>
      </w:r>
      <w:r w:rsidRPr="00C05E8C">
        <w:rPr>
          <w:rFonts w:hint="eastAsia"/>
        </w:rPr>
        <w:t>（</w:t>
      </w:r>
      <w:r w:rsidRPr="00C05E8C">
        <w:t>1+11</w:t>
      </w:r>
      <w:r w:rsidRPr="00C05E8C">
        <w:rPr>
          <w:rFonts w:hint="eastAsia"/>
        </w:rPr>
        <w:t>﹪）</w:t>
      </w:r>
      <w:r w:rsidRPr="00C05E8C">
        <w:t>×11</w:t>
      </w:r>
      <w:r w:rsidRPr="00C05E8C">
        <w:rPr>
          <w:rFonts w:hint="eastAsia"/>
        </w:rPr>
        <w:t>﹪；</w:t>
      </w:r>
    </w:p>
    <w:p w14:paraId="74DE7CCA" w14:textId="77777777" w:rsidR="00C05E8C" w:rsidRPr="00C05E8C" w:rsidRDefault="00C05E8C" w:rsidP="00C05E8C">
      <w:pPr>
        <w:pStyle w:val="13"/>
      </w:pPr>
      <w:r w:rsidRPr="00C05E8C">
        <w:rPr>
          <w:rFonts w:hint="eastAsia"/>
        </w:rPr>
        <w:t>当期允许扣除的土地价款</w:t>
      </w:r>
      <w:r w:rsidRPr="00C05E8C">
        <w:t>=</w:t>
      </w:r>
      <w:r w:rsidRPr="00C05E8C">
        <w:rPr>
          <w:rFonts w:hint="eastAsia"/>
        </w:rPr>
        <w:t>（当期销售房地产项目建筑面积</w:t>
      </w:r>
      <w:r w:rsidRPr="00C05E8C">
        <w:t>÷</w:t>
      </w:r>
      <w:r w:rsidRPr="00C05E8C">
        <w:rPr>
          <w:rFonts w:hint="eastAsia"/>
        </w:rPr>
        <w:t>房地产项目可供销售建筑面积）</w:t>
      </w:r>
      <w:r w:rsidRPr="00C05E8C">
        <w:t>×</w:t>
      </w:r>
      <w:r w:rsidRPr="00C05E8C">
        <w:rPr>
          <w:rFonts w:hint="eastAsia"/>
        </w:rPr>
        <w:t>支付的土地价款</w:t>
      </w:r>
    </w:p>
    <w:p w14:paraId="16665329" w14:textId="77777777" w:rsidR="00C05E8C" w:rsidRPr="00C05E8C" w:rsidRDefault="00C05E8C" w:rsidP="00C05E8C">
      <w:pPr>
        <w:pStyle w:val="13"/>
      </w:pPr>
      <w:r w:rsidRPr="00C05E8C">
        <w:rPr>
          <w:rFonts w:hint="eastAsia"/>
        </w:rPr>
        <w:t>公式</w:t>
      </w:r>
      <w:r w:rsidRPr="00C05E8C">
        <w:t>8</w:t>
      </w:r>
      <w:r w:rsidRPr="00C05E8C">
        <w:rPr>
          <w:rFonts w:hint="eastAsia"/>
        </w:rPr>
        <w:t>：房地产老项目，可以选用的简易计税方法</w:t>
      </w:r>
    </w:p>
    <w:p w14:paraId="6E911672" w14:textId="77777777" w:rsidR="00C05E8C" w:rsidRPr="00C05E8C" w:rsidRDefault="00C05E8C" w:rsidP="00C05E8C">
      <w:pPr>
        <w:pStyle w:val="13"/>
      </w:pPr>
      <w:r w:rsidRPr="00C05E8C">
        <w:rPr>
          <w:rFonts w:hint="eastAsia"/>
        </w:rPr>
        <w:t>应纳税额</w:t>
      </w:r>
      <w:r w:rsidRPr="00C05E8C">
        <w:t>=</w:t>
      </w:r>
      <w:r w:rsidRPr="00C05E8C">
        <w:rPr>
          <w:rFonts w:hint="eastAsia"/>
        </w:rPr>
        <w:t>全部价款和价外费用</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4F17095A" w14:textId="77777777" w:rsidR="00C05E8C" w:rsidRPr="00C05E8C" w:rsidRDefault="00C05E8C" w:rsidP="00C05E8C">
      <w:pPr>
        <w:pStyle w:val="13"/>
      </w:pPr>
      <w:r w:rsidRPr="00C05E8C">
        <w:rPr>
          <w:rFonts w:hint="eastAsia"/>
        </w:rPr>
        <w:t>（</w:t>
      </w:r>
      <w:r w:rsidRPr="00C05E8C">
        <w:t>2</w:t>
      </w:r>
      <w:r w:rsidRPr="00C05E8C">
        <w:rPr>
          <w:rFonts w:hint="eastAsia"/>
        </w:rPr>
        <w:t>）小规模纳税人</w:t>
      </w:r>
    </w:p>
    <w:p w14:paraId="41CE97F0" w14:textId="77777777" w:rsidR="00C05E8C" w:rsidRPr="00C05E8C" w:rsidRDefault="00C05E8C" w:rsidP="00C05E8C">
      <w:pPr>
        <w:pStyle w:val="13"/>
      </w:pPr>
      <w:r w:rsidRPr="00C05E8C">
        <w:rPr>
          <w:rFonts w:hint="eastAsia"/>
        </w:rPr>
        <w:t>公式</w:t>
      </w:r>
      <w:r w:rsidRPr="00C05E8C">
        <w:t>9</w:t>
      </w:r>
      <w:r w:rsidRPr="00C05E8C">
        <w:rPr>
          <w:rFonts w:hint="eastAsia"/>
        </w:rPr>
        <w:t>：小规模纳税人，适用简易计税方法</w:t>
      </w:r>
    </w:p>
    <w:p w14:paraId="2DA7AEA7" w14:textId="77777777" w:rsidR="00C05E8C" w:rsidRPr="00C05E8C" w:rsidRDefault="00C05E8C" w:rsidP="00C05E8C">
      <w:pPr>
        <w:pStyle w:val="13"/>
      </w:pPr>
      <w:r w:rsidRPr="00C05E8C">
        <w:rPr>
          <w:rFonts w:hint="eastAsia"/>
        </w:rPr>
        <w:t>应纳税额</w:t>
      </w:r>
      <w:r w:rsidRPr="00C05E8C">
        <w:t>=</w:t>
      </w:r>
      <w:r w:rsidRPr="00C05E8C">
        <w:rPr>
          <w:rFonts w:hint="eastAsia"/>
        </w:rPr>
        <w:t>全部价款和价外费用</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14E3F5B1" w14:textId="77777777" w:rsidR="00C05E8C" w:rsidRPr="00C05E8C" w:rsidRDefault="00C05E8C" w:rsidP="00C05E8C">
      <w:pPr>
        <w:pStyle w:val="13"/>
        <w:ind w:firstLine="482"/>
      </w:pPr>
      <w:r w:rsidRPr="00C05E8C">
        <w:rPr>
          <w:rFonts w:hint="eastAsia"/>
          <w:b/>
          <w:bCs/>
        </w:rPr>
        <w:t>四、收益法估价测算问题</w:t>
      </w:r>
    </w:p>
    <w:p w14:paraId="0855438C" w14:textId="77777777" w:rsidR="00C05E8C" w:rsidRPr="00C05E8C" w:rsidRDefault="00C05E8C" w:rsidP="00C05E8C">
      <w:pPr>
        <w:pStyle w:val="13"/>
      </w:pPr>
      <w:r w:rsidRPr="00C05E8C">
        <w:rPr>
          <w:rFonts w:hint="eastAsia"/>
        </w:rPr>
        <w:t>（一）计算出租型房地产的租赁收入时，应关注租金价格的内涵，并与运营费用计算相吻合。</w:t>
      </w:r>
    </w:p>
    <w:p w14:paraId="4A0D06D5" w14:textId="77777777" w:rsidR="00C05E8C" w:rsidRPr="00C05E8C" w:rsidRDefault="00C05E8C" w:rsidP="00C05E8C">
      <w:pPr>
        <w:pStyle w:val="13"/>
      </w:pPr>
      <w:r w:rsidRPr="00C05E8C">
        <w:rPr>
          <w:rFonts w:hint="eastAsia"/>
        </w:rPr>
        <w:t>（二）房产出租的，计征房产税的租金收入不含增值税，个人出租房屋的个人所得税应税收入不含增值税。</w:t>
      </w:r>
    </w:p>
    <w:p w14:paraId="70CC0353" w14:textId="77777777" w:rsidR="00C05E8C" w:rsidRPr="00C05E8C" w:rsidRDefault="00C05E8C" w:rsidP="00C05E8C">
      <w:pPr>
        <w:pStyle w:val="13"/>
      </w:pPr>
      <w:r w:rsidRPr="00C05E8C">
        <w:rPr>
          <w:rFonts w:hint="eastAsia"/>
        </w:rPr>
        <w:t>（三）以经营租赁方式出租其取得不动产增值税计算</w:t>
      </w:r>
    </w:p>
    <w:p w14:paraId="5DA88136" w14:textId="77777777" w:rsidR="00C05E8C" w:rsidRPr="00C05E8C" w:rsidRDefault="00C05E8C" w:rsidP="00C05E8C">
      <w:pPr>
        <w:pStyle w:val="13"/>
      </w:pPr>
      <w:r w:rsidRPr="00C05E8C">
        <w:t>1. </w:t>
      </w:r>
      <w:r w:rsidRPr="00C05E8C">
        <w:rPr>
          <w:rFonts w:hint="eastAsia"/>
        </w:rPr>
        <w:t>一般纳税人</w:t>
      </w:r>
    </w:p>
    <w:p w14:paraId="2471CA69" w14:textId="77777777" w:rsidR="00C05E8C" w:rsidRPr="00C05E8C" w:rsidRDefault="00C05E8C" w:rsidP="00C05E8C">
      <w:pPr>
        <w:pStyle w:val="13"/>
      </w:pPr>
      <w:r w:rsidRPr="00C05E8C">
        <w:rPr>
          <w:rFonts w:hint="eastAsia"/>
        </w:rPr>
        <w:t>出租</w:t>
      </w:r>
      <w:r w:rsidRPr="00C05E8C">
        <w:t>2016</w:t>
      </w:r>
      <w:r w:rsidRPr="00C05E8C">
        <w:rPr>
          <w:rFonts w:hint="eastAsia"/>
        </w:rPr>
        <w:t>年</w:t>
      </w:r>
      <w:r w:rsidRPr="00C05E8C">
        <w:t>4</w:t>
      </w:r>
      <w:r w:rsidRPr="00C05E8C">
        <w:rPr>
          <w:rFonts w:hint="eastAsia"/>
        </w:rPr>
        <w:t>月</w:t>
      </w:r>
      <w:r w:rsidRPr="00C05E8C">
        <w:t>30</w:t>
      </w:r>
      <w:r w:rsidRPr="00C05E8C">
        <w:rPr>
          <w:rFonts w:hint="eastAsia"/>
        </w:rPr>
        <w:t>前取得的不动产，可选择简易计税方法计税或一般计税方法计税。出租</w:t>
      </w:r>
      <w:r w:rsidRPr="00C05E8C">
        <w:t>2016</w:t>
      </w:r>
      <w:r w:rsidRPr="00C05E8C">
        <w:rPr>
          <w:rFonts w:hint="eastAsia"/>
        </w:rPr>
        <w:t>年</w:t>
      </w:r>
      <w:r w:rsidRPr="00C05E8C">
        <w:t>5</w:t>
      </w:r>
      <w:r w:rsidRPr="00C05E8C">
        <w:rPr>
          <w:rFonts w:hint="eastAsia"/>
        </w:rPr>
        <w:t>月</w:t>
      </w:r>
      <w:r w:rsidRPr="00C05E8C">
        <w:t>1</w:t>
      </w:r>
      <w:r w:rsidRPr="00C05E8C">
        <w:rPr>
          <w:rFonts w:hint="eastAsia"/>
        </w:rPr>
        <w:t>日后不动产，适用一般计税方法计税。</w:t>
      </w:r>
    </w:p>
    <w:p w14:paraId="3C6EF729" w14:textId="77777777" w:rsidR="00C05E8C" w:rsidRPr="00C05E8C" w:rsidRDefault="00C05E8C" w:rsidP="00C05E8C">
      <w:pPr>
        <w:pStyle w:val="13"/>
      </w:pPr>
      <w:r w:rsidRPr="00C05E8C">
        <w:rPr>
          <w:rFonts w:hint="eastAsia"/>
        </w:rPr>
        <w:t>简易计税方法：</w:t>
      </w:r>
    </w:p>
    <w:p w14:paraId="080CB1A5" w14:textId="77777777" w:rsidR="00C05E8C" w:rsidRPr="00C05E8C" w:rsidRDefault="00C05E8C" w:rsidP="00C05E8C">
      <w:pPr>
        <w:pStyle w:val="13"/>
      </w:pPr>
      <w:r w:rsidRPr="00C05E8C">
        <w:rPr>
          <w:rFonts w:hint="eastAsia"/>
        </w:rPr>
        <w:t>公式</w:t>
      </w:r>
      <w:r w:rsidRPr="00C05E8C">
        <w:t>10</w:t>
      </w:r>
      <w:r w:rsidRPr="00C05E8C">
        <w:rPr>
          <w:rFonts w:hint="eastAsia"/>
        </w:rPr>
        <w:t>：适用出租</w:t>
      </w:r>
      <w:r w:rsidRPr="00C05E8C">
        <w:t>2016</w:t>
      </w:r>
      <w:r w:rsidRPr="00C05E8C">
        <w:rPr>
          <w:rFonts w:hint="eastAsia"/>
        </w:rPr>
        <w:t>年</w:t>
      </w:r>
      <w:r w:rsidRPr="00C05E8C">
        <w:t>4</w:t>
      </w:r>
      <w:r w:rsidRPr="00C05E8C">
        <w:rPr>
          <w:rFonts w:hint="eastAsia"/>
        </w:rPr>
        <w:t>月</w:t>
      </w:r>
      <w:r w:rsidRPr="00C05E8C">
        <w:t>30</w:t>
      </w:r>
      <w:r w:rsidRPr="00C05E8C">
        <w:rPr>
          <w:rFonts w:hint="eastAsia"/>
        </w:rPr>
        <w:t>日前取得的不动产</w:t>
      </w:r>
    </w:p>
    <w:p w14:paraId="6A07C0EF" w14:textId="77777777" w:rsidR="00C05E8C" w:rsidRPr="00C05E8C" w:rsidRDefault="00C05E8C" w:rsidP="00C05E8C">
      <w:pPr>
        <w:pStyle w:val="13"/>
      </w:pPr>
      <w:r w:rsidRPr="00C05E8C">
        <w:rPr>
          <w:rFonts w:hint="eastAsia"/>
        </w:rPr>
        <w:t>应纳税额</w:t>
      </w:r>
      <w:r w:rsidRPr="00C05E8C">
        <w:t>=</w:t>
      </w:r>
      <w:r w:rsidRPr="00C05E8C">
        <w:rPr>
          <w:rFonts w:hint="eastAsia"/>
        </w:rPr>
        <w:t>含税租赁收入</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4681814B" w14:textId="77777777" w:rsidR="00C05E8C" w:rsidRPr="00C05E8C" w:rsidRDefault="00C05E8C" w:rsidP="00C05E8C">
      <w:pPr>
        <w:pStyle w:val="13"/>
      </w:pPr>
      <w:r w:rsidRPr="00C05E8C">
        <w:rPr>
          <w:rFonts w:hint="eastAsia"/>
        </w:rPr>
        <w:t>一般计税方法：</w:t>
      </w:r>
    </w:p>
    <w:p w14:paraId="7149E65F" w14:textId="77777777" w:rsidR="00C05E8C" w:rsidRPr="00C05E8C" w:rsidRDefault="00C05E8C" w:rsidP="00C05E8C">
      <w:pPr>
        <w:pStyle w:val="13"/>
      </w:pPr>
      <w:r w:rsidRPr="00C05E8C">
        <w:rPr>
          <w:rFonts w:hint="eastAsia"/>
        </w:rPr>
        <w:t>公式</w:t>
      </w:r>
      <w:r w:rsidRPr="00C05E8C">
        <w:t>11</w:t>
      </w:r>
      <w:r w:rsidRPr="00C05E8C">
        <w:rPr>
          <w:rFonts w:hint="eastAsia"/>
        </w:rPr>
        <w:t>：一般计税方法销项税额计算公式</w:t>
      </w:r>
    </w:p>
    <w:p w14:paraId="3B17B955" w14:textId="77777777" w:rsidR="00C05E8C" w:rsidRPr="00C05E8C" w:rsidRDefault="00C05E8C" w:rsidP="00C05E8C">
      <w:pPr>
        <w:pStyle w:val="13"/>
      </w:pPr>
      <w:r w:rsidRPr="00C05E8C">
        <w:rPr>
          <w:rFonts w:hint="eastAsia"/>
        </w:rPr>
        <w:t>销项税额</w:t>
      </w:r>
      <w:r w:rsidRPr="00C05E8C">
        <w:t>=</w:t>
      </w:r>
      <w:r w:rsidRPr="00C05E8C">
        <w:rPr>
          <w:rFonts w:hint="eastAsia"/>
        </w:rPr>
        <w:t>含税租赁收入</w:t>
      </w:r>
      <w:r w:rsidRPr="00C05E8C">
        <w:t>÷</w:t>
      </w:r>
      <w:r w:rsidRPr="00C05E8C">
        <w:rPr>
          <w:rFonts w:hint="eastAsia"/>
        </w:rPr>
        <w:t>（</w:t>
      </w:r>
      <w:r w:rsidRPr="00C05E8C">
        <w:t>1+11</w:t>
      </w:r>
      <w:r w:rsidRPr="00C05E8C">
        <w:rPr>
          <w:rFonts w:hint="eastAsia"/>
        </w:rPr>
        <w:t>﹪）</w:t>
      </w:r>
      <w:r w:rsidRPr="00C05E8C">
        <w:t>×11</w:t>
      </w:r>
      <w:r w:rsidRPr="00C05E8C">
        <w:rPr>
          <w:rFonts w:hint="eastAsia"/>
        </w:rPr>
        <w:t>﹪；</w:t>
      </w:r>
    </w:p>
    <w:p w14:paraId="182DBE3C" w14:textId="77777777" w:rsidR="00C05E8C" w:rsidRPr="00C05E8C" w:rsidRDefault="00C05E8C" w:rsidP="00C05E8C">
      <w:pPr>
        <w:pStyle w:val="13"/>
      </w:pPr>
      <w:r w:rsidRPr="00C05E8C">
        <w:t>2. </w:t>
      </w:r>
      <w:r w:rsidRPr="00C05E8C">
        <w:rPr>
          <w:rFonts w:hint="eastAsia"/>
        </w:rPr>
        <w:t>小规模纳税人</w:t>
      </w:r>
    </w:p>
    <w:p w14:paraId="2DE7BACC" w14:textId="77777777" w:rsidR="00C05E8C" w:rsidRPr="00C05E8C" w:rsidRDefault="00C05E8C" w:rsidP="00C05E8C">
      <w:pPr>
        <w:pStyle w:val="13"/>
      </w:pPr>
      <w:r w:rsidRPr="00C05E8C">
        <w:rPr>
          <w:rFonts w:hint="eastAsia"/>
        </w:rPr>
        <w:t>公式</w:t>
      </w:r>
      <w:r w:rsidRPr="00C05E8C">
        <w:t>12</w:t>
      </w:r>
      <w:r w:rsidRPr="00C05E8C">
        <w:rPr>
          <w:rFonts w:hint="eastAsia"/>
        </w:rPr>
        <w:t>：（适用出租除住房以外的不动产）</w:t>
      </w:r>
    </w:p>
    <w:p w14:paraId="2DF5E406" w14:textId="77777777" w:rsidR="00C05E8C" w:rsidRPr="00C05E8C" w:rsidRDefault="00C05E8C" w:rsidP="00C05E8C">
      <w:pPr>
        <w:pStyle w:val="13"/>
      </w:pPr>
      <w:r w:rsidRPr="00C05E8C">
        <w:rPr>
          <w:rFonts w:hint="eastAsia"/>
        </w:rPr>
        <w:t>应纳税额</w:t>
      </w:r>
      <w:r w:rsidRPr="00C05E8C">
        <w:t>=</w:t>
      </w:r>
      <w:r w:rsidRPr="00C05E8C">
        <w:rPr>
          <w:rFonts w:hint="eastAsia"/>
        </w:rPr>
        <w:t>含税租赁收入</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4D3991B2" w14:textId="77777777" w:rsidR="00C05E8C" w:rsidRPr="00C05E8C" w:rsidRDefault="00C05E8C" w:rsidP="00C05E8C">
      <w:pPr>
        <w:pStyle w:val="13"/>
      </w:pPr>
      <w:r w:rsidRPr="00C05E8C">
        <w:rPr>
          <w:rFonts w:hint="eastAsia"/>
        </w:rPr>
        <w:t>公式</w:t>
      </w:r>
      <w:r w:rsidRPr="00C05E8C">
        <w:t>13</w:t>
      </w:r>
      <w:r w:rsidRPr="00C05E8C">
        <w:rPr>
          <w:rFonts w:hint="eastAsia"/>
        </w:rPr>
        <w:t>：适用个体工商户和其他个人出租住房</w:t>
      </w:r>
    </w:p>
    <w:p w14:paraId="34973980" w14:textId="77777777" w:rsidR="00C05E8C" w:rsidRPr="00C05E8C" w:rsidRDefault="00C05E8C" w:rsidP="00C05E8C">
      <w:pPr>
        <w:pStyle w:val="13"/>
      </w:pPr>
      <w:r w:rsidRPr="00C05E8C">
        <w:rPr>
          <w:rFonts w:hint="eastAsia"/>
        </w:rPr>
        <w:t>应纳税额</w:t>
      </w:r>
      <w:r w:rsidRPr="00C05E8C">
        <w:t>=</w:t>
      </w:r>
      <w:r w:rsidRPr="00C05E8C">
        <w:rPr>
          <w:rFonts w:hint="eastAsia"/>
        </w:rPr>
        <w:t>含税租赁收入</w:t>
      </w:r>
      <w:r w:rsidRPr="00C05E8C">
        <w:t>÷</w:t>
      </w:r>
      <w:r w:rsidRPr="00C05E8C">
        <w:rPr>
          <w:rFonts w:hint="eastAsia"/>
        </w:rPr>
        <w:t>（</w:t>
      </w:r>
      <w:r w:rsidRPr="00C05E8C">
        <w:t>1+5</w:t>
      </w:r>
      <w:r w:rsidRPr="00C05E8C">
        <w:rPr>
          <w:rFonts w:hint="eastAsia"/>
        </w:rPr>
        <w:t>﹪）</w:t>
      </w:r>
      <w:r w:rsidRPr="00C05E8C">
        <w:t>×1.5</w:t>
      </w:r>
      <w:r w:rsidRPr="00C05E8C">
        <w:rPr>
          <w:rFonts w:hint="eastAsia"/>
        </w:rPr>
        <w:t>﹪</w:t>
      </w:r>
    </w:p>
    <w:p w14:paraId="2885A331" w14:textId="77777777" w:rsidR="00C05E8C" w:rsidRPr="00C05E8C" w:rsidRDefault="00C05E8C" w:rsidP="00C05E8C">
      <w:pPr>
        <w:pStyle w:val="13"/>
      </w:pPr>
      <w:r w:rsidRPr="00C05E8C">
        <w:rPr>
          <w:rFonts w:hint="eastAsia"/>
        </w:rPr>
        <w:t>公式</w:t>
      </w:r>
      <w:r w:rsidRPr="00C05E8C">
        <w:t>14</w:t>
      </w:r>
      <w:r w:rsidRPr="00C05E8C">
        <w:rPr>
          <w:rFonts w:hint="eastAsia"/>
        </w:rPr>
        <w:t>：适用单位出租住房</w:t>
      </w:r>
    </w:p>
    <w:p w14:paraId="29D2516A" w14:textId="77777777" w:rsidR="00C05E8C" w:rsidRPr="00C05E8C" w:rsidRDefault="00C05E8C" w:rsidP="00C05E8C">
      <w:pPr>
        <w:pStyle w:val="13"/>
      </w:pPr>
      <w:r w:rsidRPr="00C05E8C">
        <w:rPr>
          <w:rFonts w:hint="eastAsia"/>
        </w:rPr>
        <w:t>应纳税额</w:t>
      </w:r>
      <w:r w:rsidRPr="00C05E8C">
        <w:t>=</w:t>
      </w:r>
      <w:r w:rsidRPr="00C05E8C">
        <w:rPr>
          <w:rFonts w:hint="eastAsia"/>
        </w:rPr>
        <w:t>含税租赁收入</w:t>
      </w:r>
      <w:r w:rsidRPr="00C05E8C">
        <w:t>÷</w:t>
      </w:r>
      <w:r w:rsidRPr="00C05E8C">
        <w:rPr>
          <w:rFonts w:hint="eastAsia"/>
        </w:rPr>
        <w:t>（</w:t>
      </w:r>
      <w:r w:rsidRPr="00C05E8C">
        <w:t>1+5</w:t>
      </w:r>
      <w:r w:rsidRPr="00C05E8C">
        <w:rPr>
          <w:rFonts w:hint="eastAsia"/>
        </w:rPr>
        <w:t>﹪）</w:t>
      </w:r>
      <w:r w:rsidRPr="00C05E8C">
        <w:t>×5</w:t>
      </w:r>
      <w:r w:rsidRPr="00C05E8C">
        <w:rPr>
          <w:rFonts w:hint="eastAsia"/>
        </w:rPr>
        <w:t>﹪</w:t>
      </w:r>
    </w:p>
    <w:p w14:paraId="048A1558" w14:textId="77777777" w:rsidR="00C05E8C" w:rsidRPr="00C05E8C" w:rsidRDefault="00C05E8C" w:rsidP="00C05E8C">
      <w:pPr>
        <w:pStyle w:val="13"/>
        <w:ind w:firstLine="482"/>
      </w:pPr>
      <w:r w:rsidRPr="00C05E8C">
        <w:rPr>
          <w:rFonts w:hint="eastAsia"/>
          <w:b/>
          <w:bCs/>
        </w:rPr>
        <w:lastRenderedPageBreak/>
        <w:t>五、成本法、假设开发法估价测算问题</w:t>
      </w:r>
    </w:p>
    <w:p w14:paraId="40618F89" w14:textId="77777777" w:rsidR="00C05E8C" w:rsidRPr="00C05E8C" w:rsidRDefault="00C05E8C" w:rsidP="00C05E8C">
      <w:pPr>
        <w:pStyle w:val="13"/>
      </w:pPr>
      <w:r w:rsidRPr="00C05E8C">
        <w:rPr>
          <w:rFonts w:hint="eastAsia"/>
        </w:rPr>
        <w:t>运用成本法、假设开发法时，销售税费中包含增值税，应关注计税适用前提及计税方式的变化。开发利润为缴纳增值税情况下的利润。</w:t>
      </w:r>
    </w:p>
    <w:p w14:paraId="79CC47F1" w14:textId="77777777" w:rsidR="00C05E8C" w:rsidRPr="00C05E8C" w:rsidRDefault="00C05E8C" w:rsidP="00C05E8C">
      <w:pPr>
        <w:pStyle w:val="13"/>
        <w:ind w:firstLine="482"/>
      </w:pPr>
      <w:r w:rsidRPr="00C05E8C">
        <w:rPr>
          <w:rFonts w:hint="eastAsia"/>
          <w:b/>
          <w:bCs/>
        </w:rPr>
        <w:t>六、估价活动中应注意的其他问题</w:t>
      </w:r>
    </w:p>
    <w:p w14:paraId="2CF0EC34" w14:textId="77777777" w:rsidR="00C05E8C" w:rsidRPr="00C05E8C" w:rsidRDefault="00C05E8C" w:rsidP="00C05E8C">
      <w:pPr>
        <w:pStyle w:val="13"/>
      </w:pPr>
      <w:r w:rsidRPr="00C05E8C">
        <w:rPr>
          <w:rFonts w:hint="eastAsia"/>
        </w:rPr>
        <w:t>（一）在估价过程中，要准确判定属于一般纳税人、小规模纳税人等。要区分增值税销项税额、增值税进项税额、增值税应纳税额，根据具体情况确定如何计算使用。要准确表达适用增值税率、征收率等概念。</w:t>
      </w:r>
    </w:p>
    <w:p w14:paraId="31A23FEA" w14:textId="77777777" w:rsidR="00C05E8C" w:rsidRPr="00C05E8C" w:rsidRDefault="00C05E8C" w:rsidP="00C05E8C">
      <w:pPr>
        <w:pStyle w:val="13"/>
      </w:pPr>
      <w:r w:rsidRPr="00C05E8C">
        <w:rPr>
          <w:rFonts w:hint="eastAsia"/>
        </w:rPr>
        <w:t>（二）</w:t>
      </w:r>
      <w:r w:rsidRPr="00C05E8C">
        <w:t>“</w:t>
      </w:r>
      <w:r w:rsidRPr="00C05E8C">
        <w:rPr>
          <w:rFonts w:hint="eastAsia"/>
        </w:rPr>
        <w:t>营改增</w:t>
      </w:r>
      <w:r w:rsidRPr="00C05E8C">
        <w:t>”</w:t>
      </w:r>
      <w:r w:rsidRPr="00C05E8C">
        <w:rPr>
          <w:rFonts w:hint="eastAsia"/>
        </w:rPr>
        <w:t>后，房地产转让市场、房屋租赁市场及建筑成本、房地产行业利润水平等有可能发生变化，房地产估价机构和房地产估价师要做好市场调研工作，及时更新基础数据、计算参数等技术资料。</w:t>
      </w:r>
    </w:p>
    <w:p w14:paraId="387AB040" w14:textId="77777777" w:rsidR="00C05E8C" w:rsidRPr="00C05E8C" w:rsidRDefault="00C05E8C" w:rsidP="00C05E8C">
      <w:pPr>
        <w:pStyle w:val="13"/>
      </w:pPr>
      <w:r w:rsidRPr="00C05E8C">
        <w:rPr>
          <w:rFonts w:hint="eastAsia"/>
        </w:rPr>
        <w:t>（三）增值税的计算比原营业税的计算相对复杂，房地产估价师应认真学习相关内容并及时关注最新信息，防止漏算、错算。</w:t>
      </w:r>
    </w:p>
    <w:p w14:paraId="55C86296" w14:textId="77777777" w:rsidR="00C05E8C" w:rsidRPr="00C05E8C" w:rsidRDefault="00C05E8C" w:rsidP="00C05E8C">
      <w:pPr>
        <w:pStyle w:val="13"/>
      </w:pPr>
      <w:r w:rsidRPr="00C05E8C">
        <w:rPr>
          <w:rFonts w:hint="eastAsia"/>
        </w:rPr>
        <w:t>（四）全省各房地产估价机构在使用本技术指引中，如遇其他特殊情况，应及时向协会反馈意见。</w:t>
      </w:r>
    </w:p>
    <w:p w14:paraId="037AFE72" w14:textId="77777777" w:rsidR="00C05E8C" w:rsidRPr="00C05E8C" w:rsidRDefault="00C05E8C" w:rsidP="00C05E8C">
      <w:pPr>
        <w:pStyle w:val="13"/>
      </w:pPr>
      <w:r w:rsidRPr="00C05E8C">
        <w:rPr>
          <w:rFonts w:hint="eastAsia"/>
        </w:rPr>
        <w:t>（五）该指引自</w:t>
      </w:r>
      <w:r w:rsidRPr="00C05E8C">
        <w:t>2016</w:t>
      </w:r>
      <w:r w:rsidRPr="00C05E8C">
        <w:rPr>
          <w:rFonts w:hint="eastAsia"/>
        </w:rPr>
        <w:t>年</w:t>
      </w:r>
      <w:r w:rsidRPr="00C05E8C">
        <w:t>5</w:t>
      </w:r>
      <w:r w:rsidRPr="00C05E8C">
        <w:rPr>
          <w:rFonts w:hint="eastAsia"/>
        </w:rPr>
        <w:t>月</w:t>
      </w:r>
      <w:r w:rsidRPr="00C05E8C">
        <w:t>1</w:t>
      </w:r>
      <w:r w:rsidRPr="00C05E8C">
        <w:rPr>
          <w:rFonts w:hint="eastAsia"/>
        </w:rPr>
        <w:t>日起执行。</w:t>
      </w:r>
    </w:p>
    <w:p w14:paraId="27789D90" w14:textId="3DC0FC33" w:rsidR="00495C65" w:rsidRDefault="00495C65" w:rsidP="00495C65">
      <w:pPr>
        <w:pStyle w:val="31"/>
        <w:spacing w:before="156" w:after="62"/>
      </w:pPr>
      <w:bookmarkStart w:id="184" w:name="_Toc81833422"/>
      <w:r>
        <w:rPr>
          <w:rFonts w:hint="eastAsia"/>
        </w:rPr>
        <w:t>河南省房地产估价技术指引之五</w:t>
      </w:r>
      <w:r w:rsidR="004E3EBB">
        <w:br/>
      </w:r>
      <w:r>
        <w:rPr>
          <w:rFonts w:hint="eastAsia"/>
        </w:rPr>
        <w:t>—估价方法选用及估价结果确定（</w:t>
      </w:r>
      <w:proofErr w:type="gramStart"/>
      <w:r>
        <w:rPr>
          <w:rFonts w:hint="eastAsia"/>
        </w:rPr>
        <w:t>豫房估协</w:t>
      </w:r>
      <w:proofErr w:type="gramEnd"/>
      <w:r>
        <w:rPr>
          <w:rFonts w:hint="eastAsia"/>
        </w:rPr>
        <w:t>〔</w:t>
      </w:r>
      <w:r>
        <w:t>2017〕38号）</w:t>
      </w:r>
      <w:bookmarkEnd w:id="184"/>
    </w:p>
    <w:p w14:paraId="59417594" w14:textId="77777777" w:rsidR="00495C65" w:rsidRDefault="00495C65" w:rsidP="00495C65">
      <w:pPr>
        <w:pStyle w:val="13"/>
      </w:pPr>
      <w:r>
        <w:rPr>
          <w:rFonts w:hint="eastAsia"/>
        </w:rPr>
        <w:t>为提高河南省房地产估价技术水平，解决房地产估价方法选用及估价结果确定问题，</w:t>
      </w:r>
      <w:r>
        <w:t>我会委托河南宏基房地产评估测绘有限公司根据《资产评估法》有关规定，撰写了《河南省房地产估价技术指引之五—估价方法选用及估价结果确定》，现予以发布。自2018</w:t>
      </w:r>
      <w:r>
        <w:rPr>
          <w:rFonts w:hint="eastAsia"/>
        </w:rPr>
        <w:t>年</w:t>
      </w:r>
      <w:r>
        <w:t>1月1日起，在全省房地产估价活动中推广使用。各房地产估价机构和注册房地产估价师在房地产估价活动中不参考使用本技术指引的，应在报告中阐明理由。</w:t>
      </w:r>
    </w:p>
    <w:p w14:paraId="3F489E8F" w14:textId="77777777" w:rsidR="00495C65" w:rsidRDefault="00495C65" w:rsidP="00495C65">
      <w:pPr>
        <w:pStyle w:val="13"/>
      </w:pPr>
      <w:r>
        <w:rPr>
          <w:rFonts w:hint="eastAsia"/>
        </w:rPr>
        <w:t>附件：河南省房地产估价技术指引之五—估价方法选用及估价结果确定</w:t>
      </w:r>
    </w:p>
    <w:p w14:paraId="5FF7AE16" w14:textId="77777777" w:rsidR="00495C65" w:rsidRDefault="00495C65" w:rsidP="00495C65">
      <w:pPr>
        <w:pStyle w:val="13"/>
        <w:jc w:val="right"/>
      </w:pPr>
      <w:r>
        <w:rPr>
          <w:rFonts w:hint="eastAsia"/>
        </w:rPr>
        <w:t>河南省房地产估价师与经纪人协会</w:t>
      </w:r>
    </w:p>
    <w:p w14:paraId="3BDE6F8A" w14:textId="77777777" w:rsidR="00495C65" w:rsidRDefault="00495C65" w:rsidP="00495C65">
      <w:pPr>
        <w:pStyle w:val="13"/>
        <w:jc w:val="right"/>
      </w:pPr>
      <w:r>
        <w:t>2018年1月5日</w:t>
      </w:r>
    </w:p>
    <w:p w14:paraId="5F69CA09" w14:textId="77777777" w:rsidR="00495C65" w:rsidRDefault="00495C65" w:rsidP="00AF7342">
      <w:pPr>
        <w:pStyle w:val="a9"/>
        <w:spacing w:before="62" w:after="62"/>
      </w:pPr>
      <w:r>
        <w:t>河南省房地产估价技术指引之五—估价方法选用及估价结果确定</w:t>
      </w:r>
    </w:p>
    <w:p w14:paraId="7878B15A" w14:textId="77777777" w:rsidR="00495C65" w:rsidRDefault="00495C65" w:rsidP="00495C65">
      <w:pPr>
        <w:pStyle w:val="13"/>
      </w:pPr>
      <w:r>
        <w:rPr>
          <w:rFonts w:hint="eastAsia"/>
        </w:rPr>
        <w:t>房地产估价方法选用及估价结果确定是估价实务中的关键环节，也是房地产估价报告的核心内容。在河南省辖区内从事房地产估价业务除遵守《资产评估法》、《房地产估价规范》外，还应遵守本估价技术指引。</w:t>
      </w:r>
    </w:p>
    <w:p w14:paraId="4938D416" w14:textId="77777777" w:rsidR="00495C65" w:rsidRDefault="00495C65" w:rsidP="00495C65">
      <w:pPr>
        <w:pStyle w:val="ab"/>
        <w:spacing w:before="62" w:after="62"/>
        <w:ind w:firstLine="482"/>
      </w:pPr>
      <w:r>
        <w:rPr>
          <w:rFonts w:hint="eastAsia"/>
        </w:rPr>
        <w:t>一、估价方法选用</w:t>
      </w:r>
    </w:p>
    <w:p w14:paraId="242D3CB7" w14:textId="77777777" w:rsidR="00495C65" w:rsidRDefault="00495C65" w:rsidP="00495C65">
      <w:pPr>
        <w:pStyle w:val="13"/>
      </w:pPr>
      <w:r>
        <w:rPr>
          <w:rFonts w:hint="eastAsia"/>
        </w:rPr>
        <w:t>（一）估价方法选用原则</w:t>
      </w:r>
    </w:p>
    <w:p w14:paraId="767F0175" w14:textId="77777777" w:rsidR="00495C65" w:rsidRDefault="00495C65" w:rsidP="00495C65">
      <w:pPr>
        <w:pStyle w:val="13"/>
      </w:pPr>
      <w:r>
        <w:rPr>
          <w:rFonts w:hint="eastAsia"/>
        </w:rPr>
        <w:t>理论上适用且当地房地产市场状况等客观条件具备能采用的估价方法，都是应</w:t>
      </w:r>
      <w:r>
        <w:rPr>
          <w:rFonts w:hint="eastAsia"/>
        </w:rPr>
        <w:lastRenderedPageBreak/>
        <w:t>当选用的方法，不得任意取舍。</w:t>
      </w:r>
    </w:p>
    <w:p w14:paraId="0167E290" w14:textId="77777777" w:rsidR="00495C65" w:rsidRDefault="00495C65" w:rsidP="00495C65">
      <w:pPr>
        <w:pStyle w:val="13"/>
      </w:pPr>
      <w:r>
        <w:rPr>
          <w:rFonts w:hint="eastAsia"/>
        </w:rPr>
        <w:t>从估价实务上判断：房地产估价机构中最称职、最勤勉尽责的注册房地产估价师能够采用的方法，都是应当选用的方法，不得任意取舍。</w:t>
      </w:r>
    </w:p>
    <w:p w14:paraId="096B67F0" w14:textId="77777777" w:rsidR="00495C65" w:rsidRDefault="00495C65" w:rsidP="00495C65">
      <w:pPr>
        <w:pStyle w:val="13"/>
      </w:pPr>
      <w:r>
        <w:rPr>
          <w:rFonts w:hint="eastAsia"/>
        </w:rPr>
        <w:t>不以某个房地产估价机构或注册房地产估价师的实际掌握资料、技术水平和执业能力来决定估价方法的取舍。</w:t>
      </w:r>
    </w:p>
    <w:p w14:paraId="787F0973" w14:textId="77777777" w:rsidR="00495C65" w:rsidRDefault="00495C65" w:rsidP="00495C65">
      <w:pPr>
        <w:pStyle w:val="13"/>
      </w:pPr>
      <w:r>
        <w:rPr>
          <w:rFonts w:hint="eastAsia"/>
        </w:rPr>
        <w:t>（二）有下列情形之一的，可选用一种估价方法：</w:t>
      </w:r>
    </w:p>
    <w:p w14:paraId="3C9A6D03" w14:textId="77777777" w:rsidR="00495C65" w:rsidRDefault="00495C65" w:rsidP="00495C65">
      <w:pPr>
        <w:pStyle w:val="13"/>
      </w:pPr>
      <w:r>
        <w:t>1、房地产市场发育不完备的偏远乡镇、工矿区房地产估价；</w:t>
      </w:r>
    </w:p>
    <w:p w14:paraId="0B54E170" w14:textId="77777777" w:rsidR="00495C65" w:rsidRDefault="00495C65" w:rsidP="00495C65">
      <w:pPr>
        <w:pStyle w:val="13"/>
      </w:pPr>
      <w:r>
        <w:t>2、特殊用途或房地产市场狭小的房地产估价；</w:t>
      </w:r>
    </w:p>
    <w:p w14:paraId="525934E4" w14:textId="77777777" w:rsidR="00495C65" w:rsidRDefault="00495C65" w:rsidP="00495C65">
      <w:pPr>
        <w:pStyle w:val="13"/>
      </w:pPr>
      <w:r>
        <w:t>3、建筑物保险估价；</w:t>
      </w:r>
    </w:p>
    <w:p w14:paraId="434EF94D" w14:textId="77777777" w:rsidR="00495C65" w:rsidRDefault="00495C65" w:rsidP="00495C65">
      <w:pPr>
        <w:pStyle w:val="13"/>
      </w:pPr>
      <w:r>
        <w:t>4、房地产附着物估价；</w:t>
      </w:r>
    </w:p>
    <w:p w14:paraId="47BEDD15" w14:textId="77777777" w:rsidR="00495C65" w:rsidRDefault="00495C65" w:rsidP="00495C65">
      <w:pPr>
        <w:pStyle w:val="13"/>
      </w:pPr>
      <w:r>
        <w:t>5、房地产损害赔偿估价；</w:t>
      </w:r>
    </w:p>
    <w:p w14:paraId="00344DDE" w14:textId="77777777" w:rsidR="00495C65" w:rsidRDefault="00495C65" w:rsidP="00495C65">
      <w:pPr>
        <w:pStyle w:val="13"/>
      </w:pPr>
      <w:r>
        <w:t>6、经省级以上房地产估价专家委员会认定可选用一种估价方法的。</w:t>
      </w:r>
    </w:p>
    <w:p w14:paraId="719BEBF4" w14:textId="77777777" w:rsidR="00495C65" w:rsidRPr="00987FE3" w:rsidRDefault="00495C65" w:rsidP="00495C65">
      <w:pPr>
        <w:pStyle w:val="13"/>
      </w:pPr>
      <w:r>
        <w:rPr>
          <w:rFonts w:hint="eastAsia"/>
        </w:rPr>
        <w:t>（三）常见估价对象适宜选用的估价方法</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183"/>
        <w:gridCol w:w="4902"/>
      </w:tblGrid>
      <w:tr w:rsidR="00495C65" w:rsidRPr="00C05E8C" w14:paraId="2C63D243" w14:textId="77777777" w:rsidTr="00C05E8C">
        <w:trPr>
          <w:trHeight w:val="334"/>
          <w:tblHeader/>
          <w:jc w:val="center"/>
        </w:trPr>
        <w:tc>
          <w:tcPr>
            <w:tcW w:w="937" w:type="pct"/>
            <w:vAlign w:val="center"/>
          </w:tcPr>
          <w:p w14:paraId="05B7D33A"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估价对象</w:t>
            </w:r>
          </w:p>
        </w:tc>
        <w:tc>
          <w:tcPr>
            <w:tcW w:w="1252" w:type="pct"/>
            <w:vAlign w:val="center"/>
          </w:tcPr>
          <w:p w14:paraId="782F0300"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估价方法</w:t>
            </w:r>
          </w:p>
        </w:tc>
        <w:tc>
          <w:tcPr>
            <w:tcW w:w="2812" w:type="pct"/>
            <w:vAlign w:val="center"/>
          </w:tcPr>
          <w:p w14:paraId="3E931A46"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重点提示</w:t>
            </w:r>
          </w:p>
        </w:tc>
      </w:tr>
      <w:tr w:rsidR="00495C65" w:rsidRPr="00C05E8C" w14:paraId="624B574F" w14:textId="77777777" w:rsidTr="00C05E8C">
        <w:trPr>
          <w:trHeight w:val="323"/>
          <w:jc w:val="center"/>
        </w:trPr>
        <w:tc>
          <w:tcPr>
            <w:tcW w:w="937" w:type="pct"/>
            <w:vMerge w:val="restart"/>
            <w:vAlign w:val="center"/>
          </w:tcPr>
          <w:p w14:paraId="0C861E39"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成套住宅</w:t>
            </w:r>
          </w:p>
        </w:tc>
        <w:tc>
          <w:tcPr>
            <w:tcW w:w="1252" w:type="pct"/>
            <w:vAlign w:val="center"/>
          </w:tcPr>
          <w:p w14:paraId="104227E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比较法</w:t>
            </w:r>
          </w:p>
        </w:tc>
        <w:tc>
          <w:tcPr>
            <w:tcW w:w="2812" w:type="pct"/>
            <w:vAlign w:val="center"/>
          </w:tcPr>
          <w:p w14:paraId="5502AA47" w14:textId="77777777" w:rsidR="00495C65" w:rsidRPr="00C05E8C" w:rsidRDefault="00495C65" w:rsidP="00C05E8C">
            <w:pPr>
              <w:pStyle w:val="13"/>
              <w:spacing w:line="240" w:lineRule="auto"/>
              <w:ind w:firstLineChars="0" w:firstLine="0"/>
              <w:rPr>
                <w:sz w:val="21"/>
                <w:szCs w:val="21"/>
              </w:rPr>
            </w:pPr>
            <w:r w:rsidRPr="00C05E8C">
              <w:rPr>
                <w:sz w:val="21"/>
                <w:szCs w:val="21"/>
              </w:rPr>
              <w:t>可比实例数量多、信息详实；修正、调整体系完善合理</w:t>
            </w:r>
          </w:p>
        </w:tc>
      </w:tr>
      <w:tr w:rsidR="00495C65" w:rsidRPr="00C05E8C" w14:paraId="4A2A286E" w14:textId="77777777" w:rsidTr="00C05E8C">
        <w:trPr>
          <w:trHeight w:val="926"/>
          <w:jc w:val="center"/>
        </w:trPr>
        <w:tc>
          <w:tcPr>
            <w:tcW w:w="937" w:type="pct"/>
            <w:vMerge/>
            <w:vAlign w:val="center"/>
          </w:tcPr>
          <w:p w14:paraId="7F6152A7" w14:textId="77777777" w:rsidR="00495C65" w:rsidRPr="00C05E8C" w:rsidRDefault="00495C65" w:rsidP="00C05E8C">
            <w:pPr>
              <w:pStyle w:val="13"/>
              <w:spacing w:line="240" w:lineRule="auto"/>
              <w:ind w:firstLineChars="0" w:firstLine="0"/>
              <w:jc w:val="center"/>
              <w:rPr>
                <w:sz w:val="21"/>
                <w:szCs w:val="21"/>
              </w:rPr>
            </w:pPr>
          </w:p>
        </w:tc>
        <w:tc>
          <w:tcPr>
            <w:tcW w:w="1252" w:type="pct"/>
            <w:shd w:val="clear" w:color="auto" w:fill="FFFFFF"/>
            <w:vAlign w:val="center"/>
          </w:tcPr>
          <w:p w14:paraId="53ACD285"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收益法（持有加转）</w:t>
            </w:r>
          </w:p>
        </w:tc>
        <w:tc>
          <w:tcPr>
            <w:tcW w:w="2812" w:type="pct"/>
            <w:vAlign w:val="center"/>
          </w:tcPr>
          <w:p w14:paraId="281509EA" w14:textId="77777777" w:rsidR="00495C65" w:rsidRPr="00C05E8C" w:rsidRDefault="00495C65" w:rsidP="00C05E8C">
            <w:pPr>
              <w:pStyle w:val="13"/>
              <w:spacing w:line="240" w:lineRule="auto"/>
              <w:ind w:firstLineChars="0" w:firstLine="0"/>
              <w:rPr>
                <w:sz w:val="21"/>
                <w:szCs w:val="21"/>
              </w:rPr>
            </w:pPr>
            <w:r w:rsidRPr="00C05E8C">
              <w:rPr>
                <w:sz w:val="21"/>
                <w:szCs w:val="21"/>
              </w:rPr>
              <w:t>掌握同类房屋净收益及其变化趋势；合理确定估价对象报酬率；持有期后估价对象价格及风险能够预测；掌握同类住宅价格与年限的变化规律</w:t>
            </w:r>
          </w:p>
        </w:tc>
      </w:tr>
      <w:tr w:rsidR="00495C65" w:rsidRPr="00C05E8C" w14:paraId="55726454" w14:textId="77777777" w:rsidTr="00C05E8C">
        <w:trPr>
          <w:trHeight w:val="972"/>
          <w:jc w:val="center"/>
        </w:trPr>
        <w:tc>
          <w:tcPr>
            <w:tcW w:w="937" w:type="pct"/>
            <w:vMerge/>
            <w:vAlign w:val="center"/>
          </w:tcPr>
          <w:p w14:paraId="4E5DD64E" w14:textId="77777777" w:rsidR="00495C65" w:rsidRPr="00C05E8C" w:rsidRDefault="00495C65" w:rsidP="00C05E8C">
            <w:pPr>
              <w:pStyle w:val="13"/>
              <w:spacing w:line="240" w:lineRule="auto"/>
              <w:ind w:firstLineChars="0" w:firstLine="0"/>
              <w:jc w:val="center"/>
              <w:rPr>
                <w:sz w:val="21"/>
                <w:szCs w:val="21"/>
              </w:rPr>
            </w:pPr>
          </w:p>
        </w:tc>
        <w:tc>
          <w:tcPr>
            <w:tcW w:w="1252" w:type="pct"/>
            <w:vAlign w:val="center"/>
          </w:tcPr>
          <w:p w14:paraId="00F36015"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成本法</w:t>
            </w:r>
          </w:p>
        </w:tc>
        <w:tc>
          <w:tcPr>
            <w:tcW w:w="2812" w:type="pct"/>
            <w:vAlign w:val="center"/>
          </w:tcPr>
          <w:p w14:paraId="13B9AEC4" w14:textId="77777777" w:rsidR="00495C65" w:rsidRPr="00C05E8C" w:rsidRDefault="00495C65" w:rsidP="00C05E8C">
            <w:pPr>
              <w:pStyle w:val="13"/>
              <w:spacing w:line="240" w:lineRule="auto"/>
              <w:ind w:firstLineChars="0" w:firstLine="0"/>
              <w:rPr>
                <w:sz w:val="21"/>
                <w:szCs w:val="21"/>
              </w:rPr>
            </w:pPr>
            <w:r w:rsidRPr="00C05E8C">
              <w:rPr>
                <w:sz w:val="21"/>
                <w:szCs w:val="21"/>
              </w:rPr>
              <w:t>熟知成本构成内容及其确定依据，利润率从市场资料中分析提取。销售税费是否计算应根据估价目的确定（“营改增”后课税估价不应计算销售税费，下同）</w:t>
            </w:r>
          </w:p>
        </w:tc>
      </w:tr>
      <w:tr w:rsidR="00495C65" w:rsidRPr="00C05E8C" w14:paraId="19DB61FC" w14:textId="77777777" w:rsidTr="00C05E8C">
        <w:trPr>
          <w:trHeight w:val="321"/>
          <w:jc w:val="center"/>
        </w:trPr>
        <w:tc>
          <w:tcPr>
            <w:tcW w:w="937" w:type="pct"/>
            <w:vMerge w:val="restart"/>
            <w:shd w:val="clear" w:color="auto" w:fill="FFFFFF"/>
            <w:vAlign w:val="center"/>
          </w:tcPr>
          <w:p w14:paraId="207FC8AA"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商业店铺写字楼</w:t>
            </w:r>
          </w:p>
        </w:tc>
        <w:tc>
          <w:tcPr>
            <w:tcW w:w="1252" w:type="pct"/>
            <w:vAlign w:val="center"/>
          </w:tcPr>
          <w:p w14:paraId="6141F154"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比较法</w:t>
            </w:r>
          </w:p>
        </w:tc>
        <w:tc>
          <w:tcPr>
            <w:tcW w:w="2812" w:type="pct"/>
            <w:vAlign w:val="center"/>
          </w:tcPr>
          <w:p w14:paraId="39D41FF9" w14:textId="77777777" w:rsidR="00495C65" w:rsidRPr="00C05E8C" w:rsidRDefault="00495C65" w:rsidP="00C05E8C">
            <w:pPr>
              <w:pStyle w:val="13"/>
              <w:spacing w:line="240" w:lineRule="auto"/>
              <w:ind w:firstLineChars="0" w:firstLine="0"/>
              <w:rPr>
                <w:sz w:val="21"/>
                <w:szCs w:val="21"/>
              </w:rPr>
            </w:pPr>
            <w:r w:rsidRPr="00C05E8C">
              <w:rPr>
                <w:sz w:val="21"/>
                <w:szCs w:val="21"/>
              </w:rPr>
              <w:t>关注剩余使用年限的调整，不能用建筑物折旧率来调整</w:t>
            </w:r>
          </w:p>
        </w:tc>
      </w:tr>
      <w:tr w:rsidR="00495C65" w:rsidRPr="00C05E8C" w14:paraId="0C131508" w14:textId="77777777" w:rsidTr="00C05E8C">
        <w:trPr>
          <w:trHeight w:val="320"/>
          <w:jc w:val="center"/>
        </w:trPr>
        <w:tc>
          <w:tcPr>
            <w:tcW w:w="937" w:type="pct"/>
            <w:vMerge/>
            <w:shd w:val="clear" w:color="auto" w:fill="FFFFFF"/>
            <w:vAlign w:val="center"/>
          </w:tcPr>
          <w:p w14:paraId="104AC1D0" w14:textId="77777777" w:rsidR="00495C65" w:rsidRPr="00C05E8C" w:rsidRDefault="00495C65" w:rsidP="00C05E8C">
            <w:pPr>
              <w:pStyle w:val="13"/>
              <w:spacing w:line="240" w:lineRule="auto"/>
              <w:ind w:firstLineChars="0" w:firstLine="0"/>
              <w:jc w:val="center"/>
              <w:rPr>
                <w:sz w:val="21"/>
                <w:szCs w:val="21"/>
              </w:rPr>
            </w:pPr>
          </w:p>
        </w:tc>
        <w:tc>
          <w:tcPr>
            <w:tcW w:w="1252" w:type="pct"/>
            <w:vAlign w:val="center"/>
          </w:tcPr>
          <w:p w14:paraId="1EFA040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收益法</w:t>
            </w:r>
          </w:p>
        </w:tc>
        <w:tc>
          <w:tcPr>
            <w:tcW w:w="2812" w:type="pct"/>
            <w:vAlign w:val="center"/>
          </w:tcPr>
          <w:p w14:paraId="787A6F77" w14:textId="77777777" w:rsidR="00495C65" w:rsidRPr="00C05E8C" w:rsidRDefault="00495C65" w:rsidP="00C05E8C">
            <w:pPr>
              <w:pStyle w:val="13"/>
              <w:spacing w:line="240" w:lineRule="auto"/>
              <w:ind w:firstLineChars="0" w:firstLine="0"/>
              <w:rPr>
                <w:sz w:val="21"/>
                <w:szCs w:val="21"/>
              </w:rPr>
            </w:pPr>
            <w:r w:rsidRPr="00C05E8C">
              <w:rPr>
                <w:sz w:val="21"/>
                <w:szCs w:val="21"/>
              </w:rPr>
              <w:t>收益期短且净收益及风险能够较准确预测</w:t>
            </w:r>
          </w:p>
        </w:tc>
      </w:tr>
      <w:tr w:rsidR="00495C65" w:rsidRPr="00C05E8C" w14:paraId="29E315C0" w14:textId="77777777" w:rsidTr="00C05E8C">
        <w:trPr>
          <w:trHeight w:val="712"/>
          <w:jc w:val="center"/>
        </w:trPr>
        <w:tc>
          <w:tcPr>
            <w:tcW w:w="937" w:type="pct"/>
            <w:vMerge/>
            <w:vAlign w:val="center"/>
          </w:tcPr>
          <w:p w14:paraId="531A7D7E" w14:textId="77777777" w:rsidR="00495C65" w:rsidRPr="00C05E8C" w:rsidRDefault="00495C65" w:rsidP="00C05E8C">
            <w:pPr>
              <w:pStyle w:val="13"/>
              <w:spacing w:line="240" w:lineRule="auto"/>
              <w:ind w:firstLineChars="0" w:firstLine="0"/>
              <w:jc w:val="center"/>
              <w:rPr>
                <w:sz w:val="21"/>
                <w:szCs w:val="21"/>
              </w:rPr>
            </w:pPr>
          </w:p>
        </w:tc>
        <w:tc>
          <w:tcPr>
            <w:tcW w:w="1252" w:type="pct"/>
            <w:shd w:val="clear" w:color="auto" w:fill="FFFFFF"/>
            <w:vAlign w:val="center"/>
          </w:tcPr>
          <w:p w14:paraId="3A4D1D58"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收益法（持）</w:t>
            </w:r>
          </w:p>
        </w:tc>
        <w:tc>
          <w:tcPr>
            <w:tcW w:w="2812" w:type="pct"/>
            <w:vAlign w:val="center"/>
          </w:tcPr>
          <w:p w14:paraId="3B6B9941" w14:textId="77777777" w:rsidR="00495C65" w:rsidRPr="00C05E8C" w:rsidRDefault="00495C65" w:rsidP="00C05E8C">
            <w:pPr>
              <w:pStyle w:val="13"/>
              <w:spacing w:line="240" w:lineRule="auto"/>
              <w:ind w:firstLineChars="0" w:firstLine="0"/>
              <w:rPr>
                <w:sz w:val="21"/>
                <w:szCs w:val="21"/>
              </w:rPr>
            </w:pPr>
            <w:r w:rsidRPr="00C05E8C">
              <w:rPr>
                <w:sz w:val="21"/>
                <w:szCs w:val="21"/>
              </w:rPr>
              <w:t>收益期长，短期净收益能够较准确预测，持有期后价格能够预测</w:t>
            </w:r>
          </w:p>
        </w:tc>
      </w:tr>
      <w:tr w:rsidR="00495C65" w:rsidRPr="00C05E8C" w14:paraId="09CF5C99" w14:textId="77777777" w:rsidTr="00C05E8C">
        <w:trPr>
          <w:trHeight w:val="694"/>
          <w:jc w:val="center"/>
        </w:trPr>
        <w:tc>
          <w:tcPr>
            <w:tcW w:w="937" w:type="pct"/>
            <w:vMerge/>
            <w:shd w:val="clear" w:color="auto" w:fill="FFFFFF"/>
            <w:vAlign w:val="center"/>
          </w:tcPr>
          <w:p w14:paraId="07C63701" w14:textId="77777777" w:rsidR="00495C65" w:rsidRPr="00C05E8C" w:rsidRDefault="00495C65" w:rsidP="00C05E8C">
            <w:pPr>
              <w:pStyle w:val="13"/>
              <w:spacing w:line="240" w:lineRule="auto"/>
              <w:ind w:firstLineChars="0" w:firstLine="0"/>
              <w:jc w:val="center"/>
              <w:rPr>
                <w:sz w:val="21"/>
                <w:szCs w:val="21"/>
              </w:rPr>
            </w:pPr>
          </w:p>
        </w:tc>
        <w:tc>
          <w:tcPr>
            <w:tcW w:w="1252" w:type="pct"/>
            <w:shd w:val="clear" w:color="auto" w:fill="FFFFFF"/>
            <w:vAlign w:val="center"/>
          </w:tcPr>
          <w:p w14:paraId="5A38C314"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成本法</w:t>
            </w:r>
          </w:p>
        </w:tc>
        <w:tc>
          <w:tcPr>
            <w:tcW w:w="2812" w:type="pct"/>
            <w:vAlign w:val="center"/>
          </w:tcPr>
          <w:p w14:paraId="4EA0CC6D" w14:textId="77777777" w:rsidR="00495C65" w:rsidRPr="00C05E8C" w:rsidRDefault="00495C65" w:rsidP="00C05E8C">
            <w:pPr>
              <w:pStyle w:val="13"/>
              <w:spacing w:line="240" w:lineRule="auto"/>
              <w:ind w:firstLineChars="0" w:firstLine="0"/>
              <w:rPr>
                <w:sz w:val="21"/>
                <w:szCs w:val="21"/>
              </w:rPr>
            </w:pPr>
            <w:r w:rsidRPr="00C05E8C">
              <w:rPr>
                <w:sz w:val="21"/>
                <w:szCs w:val="21"/>
              </w:rPr>
              <w:t>熟知成本构成内容及其确定依据，利润率从市场资料中分析提取</w:t>
            </w:r>
          </w:p>
        </w:tc>
      </w:tr>
      <w:tr w:rsidR="00495C65" w:rsidRPr="00C05E8C" w14:paraId="1DD15C61" w14:textId="77777777" w:rsidTr="00C05E8C">
        <w:trPr>
          <w:trHeight w:val="988"/>
          <w:jc w:val="center"/>
        </w:trPr>
        <w:tc>
          <w:tcPr>
            <w:tcW w:w="937" w:type="pct"/>
            <w:vMerge w:val="restart"/>
            <w:vAlign w:val="center"/>
          </w:tcPr>
          <w:p w14:paraId="73201BBE"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工业房地产</w:t>
            </w:r>
          </w:p>
        </w:tc>
        <w:tc>
          <w:tcPr>
            <w:tcW w:w="1252" w:type="pct"/>
            <w:shd w:val="clear" w:color="auto" w:fill="FFFFFF"/>
            <w:vAlign w:val="center"/>
          </w:tcPr>
          <w:p w14:paraId="31D530C6"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成本法</w:t>
            </w:r>
          </w:p>
        </w:tc>
        <w:tc>
          <w:tcPr>
            <w:tcW w:w="2812" w:type="pct"/>
            <w:vAlign w:val="center"/>
          </w:tcPr>
          <w:p w14:paraId="5ABCF35F" w14:textId="77777777" w:rsidR="00495C65" w:rsidRPr="00C05E8C" w:rsidRDefault="00495C65" w:rsidP="00C05E8C">
            <w:pPr>
              <w:pStyle w:val="13"/>
              <w:spacing w:line="240" w:lineRule="auto"/>
              <w:ind w:firstLineChars="0" w:firstLine="0"/>
              <w:rPr>
                <w:sz w:val="21"/>
                <w:szCs w:val="21"/>
              </w:rPr>
            </w:pPr>
            <w:r w:rsidRPr="00C05E8C">
              <w:rPr>
                <w:sz w:val="21"/>
                <w:szCs w:val="21"/>
              </w:rPr>
              <w:t>熟知成本构成内容及其确定依据，利润率应与类似工业房地产项目的平均利润率一致，标准厂房利润率从市场资料中分析提取</w:t>
            </w:r>
          </w:p>
        </w:tc>
      </w:tr>
      <w:tr w:rsidR="00495C65" w:rsidRPr="00C05E8C" w14:paraId="26E5CB61" w14:textId="77777777" w:rsidTr="00C05E8C">
        <w:trPr>
          <w:trHeight w:val="972"/>
          <w:jc w:val="center"/>
        </w:trPr>
        <w:tc>
          <w:tcPr>
            <w:tcW w:w="937" w:type="pct"/>
            <w:vMerge/>
            <w:vAlign w:val="center"/>
          </w:tcPr>
          <w:p w14:paraId="03D1B90D" w14:textId="77777777" w:rsidR="00495C65" w:rsidRPr="00C05E8C" w:rsidRDefault="00495C65" w:rsidP="00C05E8C">
            <w:pPr>
              <w:pStyle w:val="13"/>
              <w:spacing w:line="240" w:lineRule="auto"/>
              <w:ind w:firstLineChars="0" w:firstLine="0"/>
              <w:jc w:val="center"/>
              <w:rPr>
                <w:sz w:val="21"/>
                <w:szCs w:val="21"/>
              </w:rPr>
            </w:pPr>
          </w:p>
        </w:tc>
        <w:tc>
          <w:tcPr>
            <w:tcW w:w="1252" w:type="pct"/>
            <w:vAlign w:val="center"/>
          </w:tcPr>
          <w:p w14:paraId="1FB4E9F6"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收益法</w:t>
            </w:r>
          </w:p>
        </w:tc>
        <w:tc>
          <w:tcPr>
            <w:tcW w:w="2812" w:type="pct"/>
            <w:vAlign w:val="center"/>
          </w:tcPr>
          <w:p w14:paraId="7A804BB8" w14:textId="77777777" w:rsidR="00495C65" w:rsidRPr="00C05E8C" w:rsidRDefault="00495C65" w:rsidP="00C05E8C">
            <w:pPr>
              <w:pStyle w:val="13"/>
              <w:spacing w:line="240" w:lineRule="auto"/>
              <w:ind w:firstLineChars="0" w:firstLine="0"/>
              <w:rPr>
                <w:sz w:val="21"/>
                <w:szCs w:val="21"/>
              </w:rPr>
            </w:pPr>
            <w:r w:rsidRPr="00C05E8C">
              <w:rPr>
                <w:sz w:val="21"/>
                <w:szCs w:val="21"/>
              </w:rPr>
              <w:t>同类厂房近期出租实例较多，收益及其变化趋势较明确，风险较易判断。合理确定房地产报酬率，根据产业特点和市场状况分析确定出租率</w:t>
            </w:r>
          </w:p>
        </w:tc>
      </w:tr>
      <w:tr w:rsidR="00495C65" w:rsidRPr="00C05E8C" w14:paraId="79A55F0E" w14:textId="77777777" w:rsidTr="00C05E8C">
        <w:trPr>
          <w:trHeight w:val="705"/>
          <w:jc w:val="center"/>
        </w:trPr>
        <w:tc>
          <w:tcPr>
            <w:tcW w:w="937" w:type="pct"/>
            <w:vMerge/>
            <w:vAlign w:val="center"/>
          </w:tcPr>
          <w:p w14:paraId="58B813B1" w14:textId="77777777" w:rsidR="00495C65" w:rsidRPr="00C05E8C" w:rsidRDefault="00495C65" w:rsidP="00C05E8C">
            <w:pPr>
              <w:pStyle w:val="13"/>
              <w:spacing w:line="240" w:lineRule="auto"/>
              <w:ind w:firstLineChars="0" w:firstLine="0"/>
              <w:jc w:val="center"/>
              <w:rPr>
                <w:sz w:val="21"/>
                <w:szCs w:val="21"/>
              </w:rPr>
            </w:pPr>
          </w:p>
        </w:tc>
        <w:tc>
          <w:tcPr>
            <w:tcW w:w="1252" w:type="pct"/>
            <w:shd w:val="clear" w:color="auto" w:fill="FFFFFF"/>
            <w:vAlign w:val="center"/>
          </w:tcPr>
          <w:p w14:paraId="28D843C5"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比较法</w:t>
            </w:r>
          </w:p>
        </w:tc>
        <w:tc>
          <w:tcPr>
            <w:tcW w:w="2812" w:type="pct"/>
            <w:vAlign w:val="center"/>
          </w:tcPr>
          <w:p w14:paraId="0BACA793" w14:textId="77777777" w:rsidR="00495C65" w:rsidRPr="00C05E8C" w:rsidRDefault="00495C65" w:rsidP="00C05E8C">
            <w:pPr>
              <w:pStyle w:val="13"/>
              <w:spacing w:line="240" w:lineRule="auto"/>
              <w:ind w:firstLineChars="0" w:firstLine="0"/>
              <w:rPr>
                <w:sz w:val="21"/>
                <w:szCs w:val="21"/>
              </w:rPr>
            </w:pPr>
            <w:r w:rsidRPr="00C05E8C">
              <w:rPr>
                <w:sz w:val="21"/>
                <w:szCs w:val="21"/>
              </w:rPr>
              <w:t>适用于标准厂房估价，关注剩余使用年限的调整，不能用建筑物折旧率来调整</w:t>
            </w:r>
          </w:p>
        </w:tc>
      </w:tr>
      <w:tr w:rsidR="00495C65" w:rsidRPr="00C05E8C" w14:paraId="5413DDB3" w14:textId="77777777" w:rsidTr="00C05E8C">
        <w:trPr>
          <w:trHeight w:val="1126"/>
          <w:jc w:val="center"/>
        </w:trPr>
        <w:tc>
          <w:tcPr>
            <w:tcW w:w="937" w:type="pct"/>
            <w:vMerge w:val="restart"/>
            <w:shd w:val="clear" w:color="auto" w:fill="FFFFFF"/>
            <w:vAlign w:val="center"/>
          </w:tcPr>
          <w:p w14:paraId="583CA62D"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lastRenderedPageBreak/>
              <w:t>在建工程</w:t>
            </w:r>
          </w:p>
        </w:tc>
        <w:tc>
          <w:tcPr>
            <w:tcW w:w="1252" w:type="pct"/>
            <w:shd w:val="clear" w:color="auto" w:fill="FFFFFF"/>
            <w:vAlign w:val="center"/>
          </w:tcPr>
          <w:p w14:paraId="29C0038F"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假设开发法</w:t>
            </w:r>
          </w:p>
        </w:tc>
        <w:tc>
          <w:tcPr>
            <w:tcW w:w="2812" w:type="pct"/>
            <w:vAlign w:val="center"/>
          </w:tcPr>
          <w:p w14:paraId="46555E6A" w14:textId="77777777" w:rsidR="00495C65" w:rsidRPr="00C05E8C" w:rsidRDefault="00495C65" w:rsidP="00C05E8C">
            <w:pPr>
              <w:pStyle w:val="13"/>
              <w:spacing w:line="240" w:lineRule="auto"/>
              <w:ind w:firstLineChars="0" w:firstLine="0"/>
              <w:rPr>
                <w:sz w:val="21"/>
                <w:szCs w:val="21"/>
              </w:rPr>
            </w:pPr>
            <w:r w:rsidRPr="00C05E8C">
              <w:rPr>
                <w:sz w:val="21"/>
                <w:szCs w:val="21"/>
              </w:rPr>
              <w:t>关注开发完成后价格（值）、续建项目及成本，掌握“营改增”后税费的变化。被迫转让前提下，关注后续开发经营期延长及前期费用的增加</w:t>
            </w:r>
          </w:p>
        </w:tc>
      </w:tr>
      <w:tr w:rsidR="00495C65" w:rsidRPr="00C05E8C" w14:paraId="794DBFA0" w14:textId="77777777" w:rsidTr="00C05E8C">
        <w:trPr>
          <w:trHeight w:val="320"/>
          <w:jc w:val="center"/>
        </w:trPr>
        <w:tc>
          <w:tcPr>
            <w:tcW w:w="937" w:type="pct"/>
            <w:vMerge/>
            <w:shd w:val="clear" w:color="auto" w:fill="FFFFFF"/>
            <w:vAlign w:val="center"/>
          </w:tcPr>
          <w:p w14:paraId="192D0A06" w14:textId="77777777" w:rsidR="00495C65" w:rsidRPr="00C05E8C" w:rsidRDefault="00495C65" w:rsidP="00C05E8C">
            <w:pPr>
              <w:pStyle w:val="13"/>
              <w:spacing w:line="240" w:lineRule="auto"/>
              <w:ind w:firstLineChars="0" w:firstLine="0"/>
              <w:jc w:val="center"/>
              <w:rPr>
                <w:sz w:val="21"/>
                <w:szCs w:val="21"/>
              </w:rPr>
            </w:pPr>
          </w:p>
        </w:tc>
        <w:tc>
          <w:tcPr>
            <w:tcW w:w="1252" w:type="pct"/>
            <w:vAlign w:val="center"/>
          </w:tcPr>
          <w:p w14:paraId="6FE65487"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成本法</w:t>
            </w:r>
          </w:p>
        </w:tc>
        <w:tc>
          <w:tcPr>
            <w:tcW w:w="2812" w:type="pct"/>
            <w:vAlign w:val="center"/>
          </w:tcPr>
          <w:p w14:paraId="7245C2C4" w14:textId="77777777" w:rsidR="00495C65" w:rsidRPr="00C05E8C" w:rsidRDefault="00495C65" w:rsidP="00C05E8C">
            <w:pPr>
              <w:pStyle w:val="13"/>
              <w:spacing w:line="240" w:lineRule="auto"/>
              <w:ind w:firstLineChars="0" w:firstLine="0"/>
              <w:rPr>
                <w:sz w:val="21"/>
                <w:szCs w:val="21"/>
              </w:rPr>
            </w:pPr>
            <w:r w:rsidRPr="00C05E8C">
              <w:rPr>
                <w:sz w:val="21"/>
                <w:szCs w:val="21"/>
              </w:rPr>
              <w:t>关注在建工程实际进度及应发生的客观成本</w:t>
            </w:r>
          </w:p>
        </w:tc>
      </w:tr>
      <w:tr w:rsidR="00495C65" w:rsidRPr="00C05E8C" w14:paraId="25CCF7C4" w14:textId="77777777" w:rsidTr="00C05E8C">
        <w:trPr>
          <w:trHeight w:val="948"/>
          <w:jc w:val="center"/>
        </w:trPr>
        <w:tc>
          <w:tcPr>
            <w:tcW w:w="937" w:type="pct"/>
            <w:vMerge w:val="restart"/>
            <w:vAlign w:val="center"/>
          </w:tcPr>
          <w:p w14:paraId="36BD6904"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出租公寓租赁价格</w:t>
            </w:r>
          </w:p>
        </w:tc>
        <w:tc>
          <w:tcPr>
            <w:tcW w:w="1252" w:type="pct"/>
            <w:shd w:val="clear" w:color="auto" w:fill="FFFFFF"/>
            <w:vAlign w:val="center"/>
          </w:tcPr>
          <w:p w14:paraId="1B729D17"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比较法</w:t>
            </w:r>
          </w:p>
        </w:tc>
        <w:tc>
          <w:tcPr>
            <w:tcW w:w="2812" w:type="pct"/>
            <w:vAlign w:val="center"/>
          </w:tcPr>
          <w:p w14:paraId="17013EA5" w14:textId="77777777" w:rsidR="00495C65" w:rsidRPr="00C05E8C" w:rsidRDefault="00495C65" w:rsidP="00C05E8C">
            <w:pPr>
              <w:pStyle w:val="13"/>
              <w:spacing w:line="240" w:lineRule="auto"/>
              <w:ind w:firstLineChars="0" w:firstLine="0"/>
              <w:rPr>
                <w:sz w:val="21"/>
                <w:szCs w:val="21"/>
              </w:rPr>
            </w:pPr>
            <w:r w:rsidRPr="00C05E8C">
              <w:rPr>
                <w:sz w:val="21"/>
                <w:szCs w:val="21"/>
              </w:rPr>
              <w:t>关注转让价格比较因素与租赁价格比较因素的差异，特别是规模因素的质量要求应更高。估价对象与可比实例的（税费）价格内涵不一致时才进行统一税费负担调整</w:t>
            </w:r>
          </w:p>
        </w:tc>
      </w:tr>
      <w:tr w:rsidR="00495C65" w:rsidRPr="00C05E8C" w14:paraId="1DE7E176" w14:textId="77777777" w:rsidTr="00C05E8C">
        <w:trPr>
          <w:trHeight w:val="1009"/>
          <w:jc w:val="center"/>
        </w:trPr>
        <w:tc>
          <w:tcPr>
            <w:tcW w:w="937" w:type="pct"/>
            <w:vMerge/>
            <w:vAlign w:val="center"/>
          </w:tcPr>
          <w:p w14:paraId="4349DA0B" w14:textId="77777777" w:rsidR="00495C65" w:rsidRPr="00C05E8C" w:rsidRDefault="00495C65" w:rsidP="00C05E8C">
            <w:pPr>
              <w:pStyle w:val="13"/>
              <w:spacing w:line="240" w:lineRule="auto"/>
              <w:ind w:firstLineChars="0" w:firstLine="0"/>
              <w:jc w:val="center"/>
              <w:rPr>
                <w:sz w:val="21"/>
                <w:szCs w:val="21"/>
              </w:rPr>
            </w:pPr>
          </w:p>
        </w:tc>
        <w:tc>
          <w:tcPr>
            <w:tcW w:w="1252" w:type="pct"/>
            <w:vAlign w:val="center"/>
          </w:tcPr>
          <w:p w14:paraId="033EA88C"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收益法</w:t>
            </w:r>
          </w:p>
        </w:tc>
        <w:tc>
          <w:tcPr>
            <w:tcW w:w="2812" w:type="pct"/>
            <w:vAlign w:val="center"/>
          </w:tcPr>
          <w:p w14:paraId="15D4C074" w14:textId="77777777" w:rsidR="00495C65" w:rsidRPr="00C05E8C" w:rsidRDefault="00495C65" w:rsidP="00C05E8C">
            <w:pPr>
              <w:pStyle w:val="13"/>
              <w:spacing w:line="240" w:lineRule="auto"/>
              <w:ind w:firstLineChars="0" w:firstLine="0"/>
              <w:rPr>
                <w:sz w:val="21"/>
                <w:szCs w:val="21"/>
              </w:rPr>
            </w:pPr>
            <w:r w:rsidRPr="00C05E8C">
              <w:rPr>
                <w:sz w:val="21"/>
                <w:szCs w:val="21"/>
              </w:rPr>
              <w:t>根据房价与房租之间的转换公式，利用房价推算出租金。关注房价与房租的价格内涵及房地产市场租售比的分析研究，报酬率或资本</w:t>
            </w:r>
            <w:proofErr w:type="gramStart"/>
            <w:r w:rsidRPr="00C05E8C">
              <w:rPr>
                <w:sz w:val="21"/>
                <w:szCs w:val="21"/>
              </w:rPr>
              <w:t>化率宜采用</w:t>
            </w:r>
            <w:proofErr w:type="gramEnd"/>
            <w:r w:rsidRPr="00C05E8C">
              <w:rPr>
                <w:sz w:val="21"/>
                <w:szCs w:val="21"/>
              </w:rPr>
              <w:t>市场提取法确定。</w:t>
            </w:r>
          </w:p>
        </w:tc>
      </w:tr>
      <w:tr w:rsidR="00495C65" w:rsidRPr="00C05E8C" w14:paraId="3015613E" w14:textId="77777777" w:rsidTr="00C05E8C">
        <w:trPr>
          <w:trHeight w:val="1007"/>
          <w:jc w:val="center"/>
        </w:trPr>
        <w:tc>
          <w:tcPr>
            <w:tcW w:w="937" w:type="pct"/>
            <w:vMerge/>
            <w:vAlign w:val="center"/>
          </w:tcPr>
          <w:p w14:paraId="63C122A3" w14:textId="77777777" w:rsidR="00495C65" w:rsidRPr="00C05E8C" w:rsidRDefault="00495C65" w:rsidP="00C05E8C">
            <w:pPr>
              <w:pStyle w:val="13"/>
              <w:spacing w:line="240" w:lineRule="auto"/>
              <w:ind w:firstLineChars="0" w:firstLine="0"/>
              <w:jc w:val="center"/>
              <w:rPr>
                <w:sz w:val="21"/>
                <w:szCs w:val="21"/>
              </w:rPr>
            </w:pPr>
          </w:p>
        </w:tc>
        <w:tc>
          <w:tcPr>
            <w:tcW w:w="1252" w:type="pct"/>
            <w:vAlign w:val="center"/>
          </w:tcPr>
          <w:p w14:paraId="035ABEF4" w14:textId="77777777" w:rsidR="00495C65" w:rsidRPr="00C05E8C" w:rsidRDefault="00495C65" w:rsidP="00C05E8C">
            <w:pPr>
              <w:pStyle w:val="13"/>
              <w:spacing w:line="240" w:lineRule="auto"/>
              <w:ind w:firstLineChars="0" w:firstLine="0"/>
              <w:jc w:val="center"/>
              <w:rPr>
                <w:sz w:val="21"/>
                <w:szCs w:val="21"/>
              </w:rPr>
            </w:pPr>
            <w:r w:rsidRPr="00C05E8C">
              <w:rPr>
                <w:sz w:val="21"/>
                <w:szCs w:val="21"/>
              </w:rPr>
              <w:t>成本法</w:t>
            </w:r>
          </w:p>
        </w:tc>
        <w:tc>
          <w:tcPr>
            <w:tcW w:w="2812" w:type="pct"/>
            <w:vAlign w:val="center"/>
          </w:tcPr>
          <w:p w14:paraId="4B5C5428" w14:textId="77777777" w:rsidR="00495C65" w:rsidRPr="00C05E8C" w:rsidRDefault="00495C65" w:rsidP="00C05E8C">
            <w:pPr>
              <w:pStyle w:val="13"/>
              <w:spacing w:line="240" w:lineRule="auto"/>
              <w:ind w:firstLineChars="0" w:firstLine="0"/>
              <w:rPr>
                <w:sz w:val="21"/>
                <w:szCs w:val="21"/>
              </w:rPr>
            </w:pPr>
            <w:r w:rsidRPr="00C05E8C">
              <w:rPr>
                <w:sz w:val="21"/>
                <w:szCs w:val="21"/>
              </w:rPr>
              <w:t>区分初始租金、对外租赁经营租金，选用相应计算公式，各项摊销成本宜采用重置</w:t>
            </w:r>
            <w:proofErr w:type="gramStart"/>
            <w:r w:rsidRPr="00C05E8C">
              <w:rPr>
                <w:sz w:val="21"/>
                <w:szCs w:val="21"/>
              </w:rPr>
              <w:t>提拨</w:t>
            </w:r>
            <w:proofErr w:type="gramEnd"/>
            <w:r w:rsidRPr="00C05E8C">
              <w:rPr>
                <w:sz w:val="21"/>
                <w:szCs w:val="21"/>
              </w:rPr>
              <w:t>款的计算方式，利润率应从市场租金资料中分析得出</w:t>
            </w:r>
          </w:p>
        </w:tc>
      </w:tr>
    </w:tbl>
    <w:p w14:paraId="3F4051C7" w14:textId="77777777" w:rsidR="00495C65" w:rsidRDefault="00495C65" w:rsidP="00495C65">
      <w:pPr>
        <w:pStyle w:val="ab"/>
        <w:spacing w:before="62" w:after="62"/>
        <w:ind w:firstLine="482"/>
      </w:pPr>
      <w:r>
        <w:rPr>
          <w:rFonts w:hint="eastAsia"/>
        </w:rPr>
        <w:t>二、估价结果确定</w:t>
      </w:r>
    </w:p>
    <w:p w14:paraId="218E195C" w14:textId="77777777" w:rsidR="00495C65" w:rsidRDefault="00495C65" w:rsidP="00495C65">
      <w:pPr>
        <w:pStyle w:val="13"/>
      </w:pPr>
      <w:r>
        <w:rPr>
          <w:rFonts w:hint="eastAsia"/>
        </w:rPr>
        <w:t>（一）利用两种或两种以上测算结果综合确定估价结果</w:t>
      </w:r>
    </w:p>
    <w:p w14:paraId="636F9EA2" w14:textId="77777777" w:rsidR="00495C65" w:rsidRDefault="00495C65" w:rsidP="00495C65">
      <w:pPr>
        <w:pStyle w:val="13"/>
      </w:pPr>
      <w:r>
        <w:rPr>
          <w:rFonts w:hint="eastAsia"/>
        </w:rPr>
        <w:t>应以估价方法所依据的资料可信度、估价方法适用程度、测算结果的差异程度及估价目的等情况，选用简单算术平均或加权算术平均等方法得出综合测算结果。选用加权算术平均法计算的，利用两种估价方法的权重最大者不能超过</w:t>
      </w:r>
      <w:r>
        <w:t>0.8，利用三种估价方法的权重最大者不能超过0.6。</w:t>
      </w:r>
    </w:p>
    <w:p w14:paraId="4C25A03E" w14:textId="77777777" w:rsidR="00495C65" w:rsidRDefault="00495C65" w:rsidP="00495C65">
      <w:pPr>
        <w:pStyle w:val="13"/>
      </w:pPr>
      <w:r>
        <w:rPr>
          <w:rFonts w:hint="eastAsia"/>
        </w:rPr>
        <w:t>（二）将一种测算结果作为估价结果</w:t>
      </w:r>
    </w:p>
    <w:p w14:paraId="5A8139DF" w14:textId="77777777" w:rsidR="00495C65" w:rsidRDefault="00495C65" w:rsidP="00495C65">
      <w:pPr>
        <w:pStyle w:val="13"/>
      </w:pPr>
      <w:r>
        <w:rPr>
          <w:rFonts w:hint="eastAsia"/>
        </w:rPr>
        <w:t>应根据估价目的的特殊要求判断；不能以测算结果相差悬殊而决定取舍。</w:t>
      </w:r>
    </w:p>
    <w:p w14:paraId="2A960790" w14:textId="77777777" w:rsidR="00495C65" w:rsidRDefault="00495C65" w:rsidP="00495C65">
      <w:pPr>
        <w:pStyle w:val="13"/>
      </w:pPr>
      <w:r>
        <w:rPr>
          <w:rFonts w:hint="eastAsia"/>
        </w:rPr>
        <w:t>（三）对综合测算结果适当调整后作为估价结果</w:t>
      </w:r>
    </w:p>
    <w:p w14:paraId="58ACFA33" w14:textId="77777777" w:rsidR="00495C65" w:rsidRDefault="00495C65" w:rsidP="00495C65">
      <w:pPr>
        <w:pStyle w:val="13"/>
      </w:pPr>
      <w:r>
        <w:rPr>
          <w:rFonts w:hint="eastAsia"/>
        </w:rPr>
        <w:t>适用前提条件：测算过程中有明显的价值或价格影响因素难以量化未进行考虑的，</w:t>
      </w:r>
      <w:r>
        <w:t>应根据实际情况经认真分析确定调整值后得出最终估价结果。但要在使用估价结果的特别提示中说明。</w:t>
      </w:r>
    </w:p>
    <w:p w14:paraId="7F075D07" w14:textId="77777777" w:rsidR="00495C65" w:rsidRDefault="00495C65" w:rsidP="00495C65">
      <w:pPr>
        <w:pStyle w:val="13"/>
      </w:pPr>
      <w:r>
        <w:rPr>
          <w:rFonts w:hint="eastAsia"/>
        </w:rPr>
        <w:t>（四）使用估价结果的特别提示</w:t>
      </w:r>
    </w:p>
    <w:p w14:paraId="5888C1F7" w14:textId="77777777" w:rsidR="00495C65" w:rsidRDefault="00495C65" w:rsidP="00495C65">
      <w:pPr>
        <w:pStyle w:val="13"/>
      </w:pPr>
      <w:r>
        <w:rPr>
          <w:rFonts w:hint="eastAsia"/>
        </w:rPr>
        <w:t>包括价格（值）内涵、特殊前提条件、综合测算结果未反映价值或价格的影响因素是否存在及调整说明、使用注意事项等，在“致估价委托人函”中披露。</w:t>
      </w:r>
    </w:p>
    <w:p w14:paraId="1185F447" w14:textId="77777777" w:rsidR="00495C65" w:rsidRDefault="00495C65" w:rsidP="00495C65">
      <w:pPr>
        <w:pStyle w:val="ab"/>
        <w:spacing w:before="62" w:after="62"/>
        <w:ind w:firstLine="482"/>
      </w:pPr>
      <w:r>
        <w:rPr>
          <w:rFonts w:hint="eastAsia"/>
        </w:rPr>
        <w:t>三、本估价技术指引自</w:t>
      </w:r>
      <w:r>
        <w:t>2018年1月1日起施行。</w:t>
      </w:r>
    </w:p>
    <w:p w14:paraId="5AF90F93" w14:textId="77777777" w:rsidR="00495C65" w:rsidRDefault="00495C65" w:rsidP="00495C65">
      <w:pPr>
        <w:pStyle w:val="31"/>
        <w:spacing w:before="156" w:after="62"/>
      </w:pPr>
      <w:bookmarkStart w:id="185" w:name="_Toc81833423"/>
      <w:r>
        <w:rPr>
          <w:rFonts w:hint="eastAsia"/>
        </w:rPr>
        <w:t>河南省房地产估价技术指引之六—收益法中直</w:t>
      </w:r>
      <w:proofErr w:type="gramStart"/>
      <w:r>
        <w:rPr>
          <w:rFonts w:hint="eastAsia"/>
        </w:rPr>
        <w:t>接资本</w:t>
      </w:r>
      <w:proofErr w:type="gramEnd"/>
      <w:r>
        <w:rPr>
          <w:rFonts w:hint="eastAsia"/>
        </w:rPr>
        <w:t>化法运用应注意的问题</w:t>
      </w:r>
      <w:bookmarkEnd w:id="185"/>
    </w:p>
    <w:p w14:paraId="1FD754B1" w14:textId="77777777" w:rsidR="00495C65" w:rsidRDefault="00495C65" w:rsidP="00495C65">
      <w:pPr>
        <w:pStyle w:val="13"/>
        <w:ind w:firstLineChars="0" w:firstLine="0"/>
      </w:pPr>
      <w:r>
        <w:rPr>
          <w:rFonts w:hint="eastAsia"/>
        </w:rPr>
        <w:t>各单位会员、个人会员：</w:t>
      </w:r>
    </w:p>
    <w:p w14:paraId="22D8DF6C" w14:textId="77777777" w:rsidR="00495C65" w:rsidRDefault="00495C65" w:rsidP="00495C65">
      <w:pPr>
        <w:pStyle w:val="13"/>
      </w:pPr>
      <w:r>
        <w:rPr>
          <w:rFonts w:hint="eastAsia"/>
        </w:rPr>
        <w:t>为提高河南省房地产估价技术水平，解决收益法中直</w:t>
      </w:r>
      <w:proofErr w:type="gramStart"/>
      <w:r>
        <w:rPr>
          <w:rFonts w:hint="eastAsia"/>
        </w:rPr>
        <w:t>接资本</w:t>
      </w:r>
      <w:proofErr w:type="gramEnd"/>
      <w:r>
        <w:rPr>
          <w:rFonts w:hint="eastAsia"/>
        </w:rPr>
        <w:t>化法运用问题，我会委托河南宏基房地产评估测绘有限公司根据《中华人民共和国资产评估法》等法律、</w:t>
      </w:r>
      <w:r>
        <w:rPr>
          <w:rFonts w:hint="eastAsia"/>
        </w:rPr>
        <w:lastRenderedPageBreak/>
        <w:t>法规的有关规定，撰写了《河南省房地产估价技术指引之六—收益法中直接资本化法运用应注意的问题》，现予以发布。自</w:t>
      </w:r>
      <w:r>
        <w:t>2020年1月1日起，在全省房地产估价活动中推广使用。各房地产估价机构和注册房地产估价师在房地产估价活动中除遵守《房地产估价规范》外还应遵守本估价技术指引，不参考使用本技术指引的，应在报告中阐明理由。</w:t>
      </w:r>
    </w:p>
    <w:p w14:paraId="74FFF2E5" w14:textId="77777777" w:rsidR="00495C65" w:rsidRDefault="00495C65" w:rsidP="00495C65">
      <w:pPr>
        <w:pStyle w:val="13"/>
      </w:pPr>
      <w:r>
        <w:rPr>
          <w:rFonts w:hint="eastAsia"/>
        </w:rPr>
        <w:t>附件：河南省房地产估价技术指引之六—收益法中直</w:t>
      </w:r>
      <w:proofErr w:type="gramStart"/>
      <w:r>
        <w:rPr>
          <w:rFonts w:hint="eastAsia"/>
        </w:rPr>
        <w:t>接资本</w:t>
      </w:r>
      <w:proofErr w:type="gramEnd"/>
      <w:r>
        <w:rPr>
          <w:rFonts w:hint="eastAsia"/>
        </w:rPr>
        <w:t>化法运用应注意的问题</w:t>
      </w:r>
    </w:p>
    <w:p w14:paraId="1A163208" w14:textId="77777777" w:rsidR="00495C65" w:rsidRDefault="00495C65" w:rsidP="00495C65">
      <w:pPr>
        <w:pStyle w:val="13"/>
        <w:jc w:val="right"/>
      </w:pPr>
      <w:r>
        <w:t>2019年12月19日</w:t>
      </w:r>
    </w:p>
    <w:p w14:paraId="608A13AD" w14:textId="77777777" w:rsidR="00495C65" w:rsidRDefault="00495C65" w:rsidP="00AF7342">
      <w:pPr>
        <w:pStyle w:val="a9"/>
        <w:spacing w:before="62" w:after="62"/>
      </w:pPr>
      <w:r>
        <w:rPr>
          <w:rFonts w:hint="eastAsia"/>
        </w:rPr>
        <w:t>河南省房地产估价技术指引之六—收益法中直</w:t>
      </w:r>
      <w:proofErr w:type="gramStart"/>
      <w:r>
        <w:rPr>
          <w:rFonts w:hint="eastAsia"/>
        </w:rPr>
        <w:t>接资本</w:t>
      </w:r>
      <w:proofErr w:type="gramEnd"/>
      <w:r>
        <w:rPr>
          <w:rFonts w:hint="eastAsia"/>
        </w:rPr>
        <w:t>化法运用应注意的问题</w:t>
      </w:r>
    </w:p>
    <w:p w14:paraId="2C21CB96" w14:textId="77777777" w:rsidR="00495C65" w:rsidRDefault="00495C65" w:rsidP="00495C65">
      <w:pPr>
        <w:pStyle w:val="13"/>
      </w:pPr>
      <w:r>
        <w:rPr>
          <w:rFonts w:hint="eastAsia"/>
        </w:rPr>
        <w:t>直接资本化法是收益</w:t>
      </w:r>
      <w:proofErr w:type="gramStart"/>
      <w:r>
        <w:rPr>
          <w:rFonts w:hint="eastAsia"/>
        </w:rPr>
        <w:t>法具体</w:t>
      </w:r>
      <w:proofErr w:type="gramEnd"/>
      <w:r>
        <w:rPr>
          <w:rFonts w:hint="eastAsia"/>
        </w:rPr>
        <w:t>运用形式之一，为规范直接资本化法的运用，提高估价技术水平及报告的实用性，根据有关准则制定本技术指引。在河南省行政区域内运用直接资本</w:t>
      </w:r>
      <w:proofErr w:type="gramStart"/>
      <w:r>
        <w:rPr>
          <w:rFonts w:hint="eastAsia"/>
        </w:rPr>
        <w:t>化法进行房</w:t>
      </w:r>
      <w:proofErr w:type="gramEnd"/>
      <w:r>
        <w:rPr>
          <w:rFonts w:hint="eastAsia"/>
        </w:rPr>
        <w:t>地产估价时，除遵守《房地产估价规范》外还应遵守本估价技术指引。</w:t>
      </w:r>
    </w:p>
    <w:p w14:paraId="278BF703" w14:textId="77777777" w:rsidR="00495C65" w:rsidRDefault="00495C65" w:rsidP="00495C65">
      <w:pPr>
        <w:pStyle w:val="ab"/>
        <w:spacing w:before="62" w:after="62"/>
        <w:ind w:firstLine="482"/>
      </w:pPr>
      <w:r>
        <w:rPr>
          <w:rFonts w:hint="eastAsia"/>
        </w:rPr>
        <w:t>一、运用直接资本化法估价步骤</w:t>
      </w:r>
    </w:p>
    <w:p w14:paraId="3F8FE670" w14:textId="77777777" w:rsidR="00495C65" w:rsidRDefault="00495C65" w:rsidP="00495C65">
      <w:pPr>
        <w:pStyle w:val="13"/>
      </w:pPr>
      <w:r>
        <w:rPr>
          <w:rFonts w:hint="eastAsia"/>
        </w:rPr>
        <w:t>（一）测算未来第一年净收益；</w:t>
      </w:r>
    </w:p>
    <w:p w14:paraId="0E8820F2" w14:textId="77777777" w:rsidR="00495C65" w:rsidRDefault="00495C65" w:rsidP="00495C65">
      <w:pPr>
        <w:pStyle w:val="13"/>
      </w:pPr>
      <w:r>
        <w:rPr>
          <w:rFonts w:hint="eastAsia"/>
        </w:rPr>
        <w:t>（二）确定资本化率；</w:t>
      </w:r>
    </w:p>
    <w:p w14:paraId="1764979E" w14:textId="77777777" w:rsidR="00495C65" w:rsidRDefault="00495C65" w:rsidP="00495C65">
      <w:pPr>
        <w:pStyle w:val="13"/>
      </w:pPr>
      <w:r>
        <w:rPr>
          <w:rFonts w:hint="eastAsia"/>
        </w:rPr>
        <w:t>（三）计算收益价值。</w:t>
      </w:r>
    </w:p>
    <w:p w14:paraId="0919489E" w14:textId="77777777" w:rsidR="00495C65" w:rsidRDefault="00495C65" w:rsidP="00495C65">
      <w:pPr>
        <w:pStyle w:val="ab"/>
        <w:spacing w:before="62" w:after="62"/>
        <w:ind w:firstLine="482"/>
      </w:pPr>
      <w:r>
        <w:rPr>
          <w:rFonts w:hint="eastAsia"/>
        </w:rPr>
        <w:t>二、第一年净收益求取</w:t>
      </w:r>
    </w:p>
    <w:p w14:paraId="2A037C10" w14:textId="77777777" w:rsidR="00495C65" w:rsidRDefault="00495C65" w:rsidP="00495C65">
      <w:pPr>
        <w:pStyle w:val="13"/>
      </w:pPr>
      <w:r>
        <w:rPr>
          <w:rFonts w:hint="eastAsia"/>
        </w:rPr>
        <w:t>未来第一年净收益计算方法与报酬资本化法中净收益计算方法相同，但应注意：</w:t>
      </w:r>
    </w:p>
    <w:p w14:paraId="62BB4129" w14:textId="77777777" w:rsidR="00495C65" w:rsidRDefault="00495C65" w:rsidP="00495C65">
      <w:pPr>
        <w:pStyle w:val="13"/>
      </w:pPr>
      <w:r>
        <w:rPr>
          <w:rFonts w:hint="eastAsia"/>
        </w:rPr>
        <w:t>（一）第一年净收益应采用市场租金按正常使用情况下存在的空置、收租损失及其他收入测算，即使有租赁合同约定第一年不存在空置、收租损失，也应考虑在价值时点之后剩余收益期内的平均空置、收租损失情况，以使资本化率调整体系与类似净收益流模式下的报酬率、剩余收益</w:t>
      </w:r>
      <w:proofErr w:type="gramStart"/>
      <w:r>
        <w:rPr>
          <w:rFonts w:hint="eastAsia"/>
        </w:rPr>
        <w:t>期建立</w:t>
      </w:r>
      <w:proofErr w:type="gramEnd"/>
      <w:r>
        <w:rPr>
          <w:rFonts w:hint="eastAsia"/>
        </w:rPr>
        <w:t>对应关系。</w:t>
      </w:r>
    </w:p>
    <w:p w14:paraId="44BFA972" w14:textId="77777777" w:rsidR="00495C65" w:rsidRDefault="00495C65" w:rsidP="00495C65">
      <w:pPr>
        <w:pStyle w:val="13"/>
      </w:pPr>
      <w:r>
        <w:rPr>
          <w:rFonts w:hint="eastAsia"/>
        </w:rPr>
        <w:t>（二）直接资本化法计算公式中净收益为年末净收益，如果是年初、年中净收益，</w:t>
      </w:r>
      <w:r>
        <w:t>直接资本化法计算公式应做相应变动，或将年初、年中净收益转化为年末净收益。</w:t>
      </w:r>
    </w:p>
    <w:p w14:paraId="07D4554E" w14:textId="77777777" w:rsidR="00495C65" w:rsidRDefault="00495C65" w:rsidP="00495C65">
      <w:pPr>
        <w:pStyle w:val="13"/>
      </w:pPr>
      <w:r>
        <w:rPr>
          <w:rFonts w:hint="eastAsia"/>
        </w:rPr>
        <w:t>（三）通过租赁收入测算净收益的，应关注租金内涵、出租人负担费用，防止运营费用多计或漏计。</w:t>
      </w:r>
    </w:p>
    <w:p w14:paraId="77D95179" w14:textId="77777777" w:rsidR="00495C65" w:rsidRDefault="00495C65" w:rsidP="00495C65">
      <w:pPr>
        <w:pStyle w:val="ab"/>
        <w:spacing w:before="62" w:after="62"/>
        <w:ind w:firstLine="482"/>
      </w:pPr>
      <w:r>
        <w:rPr>
          <w:rFonts w:hint="eastAsia"/>
        </w:rPr>
        <w:t>三、资本化率求取及其数据库建立</w:t>
      </w:r>
    </w:p>
    <w:p w14:paraId="67177B60" w14:textId="77777777" w:rsidR="00495C65" w:rsidRDefault="00495C65" w:rsidP="00495C65">
      <w:pPr>
        <w:pStyle w:val="13"/>
      </w:pPr>
      <w:r>
        <w:rPr>
          <w:rFonts w:hint="eastAsia"/>
        </w:rPr>
        <w:t>（一）资本化率求取途径</w:t>
      </w:r>
    </w:p>
    <w:p w14:paraId="0AE50BC9" w14:textId="77777777" w:rsidR="00495C65" w:rsidRDefault="00495C65" w:rsidP="00495C65">
      <w:pPr>
        <w:pStyle w:val="13"/>
      </w:pPr>
      <w:r>
        <w:rPr>
          <w:rFonts w:hint="eastAsia"/>
        </w:rPr>
        <w:t>选用市场提取法求取。测算某类房地产资本化率时，应选取在区位、类型、净收益流模式等方面具有良好可比性且数量不少于三个的可比实例，利用每个可比实例第一年末净收益与市场价值的比值，再根据每个可比实例与此类房地产的相似度及净收益、市场价值资料的可信度，采用算术平均值法综合确定该类房地产的资本化</w:t>
      </w:r>
      <w:r>
        <w:rPr>
          <w:rFonts w:hint="eastAsia"/>
        </w:rPr>
        <w:lastRenderedPageBreak/>
        <w:t>率。同时，应关注可比实例在土地使用期间届满时是否允许续期等相关规定，以及对成交价格的影响；</w:t>
      </w:r>
      <w:r>
        <w:t>如果成交价格</w:t>
      </w:r>
      <w:proofErr w:type="gramStart"/>
      <w:r>
        <w:t>含收益</w:t>
      </w:r>
      <w:proofErr w:type="gramEnd"/>
      <w:r>
        <w:t>期结束时建筑物或剩余期限土地使用权价值，则实例资本化</w:t>
      </w:r>
      <w:proofErr w:type="gramStart"/>
      <w:r>
        <w:t>率含收益</w:t>
      </w:r>
      <w:proofErr w:type="gramEnd"/>
      <w:r>
        <w:t>期结束时建筑物或剩余期限土地使用权价值因素。</w:t>
      </w:r>
    </w:p>
    <w:p w14:paraId="1001E5CE" w14:textId="77777777" w:rsidR="00495C65" w:rsidRDefault="00495C65" w:rsidP="00495C65">
      <w:pPr>
        <w:pStyle w:val="13"/>
      </w:pPr>
      <w:r>
        <w:rPr>
          <w:rFonts w:hint="eastAsia"/>
        </w:rPr>
        <w:t>当可比实例的剩余收益期与某类房地产差异较大时，应对实例资本化率进行收益期因素调整，方法是制作净收益变化规律相同条件下剩余收益期与资本化率对照表进行调整；或将实例价格调整为相同剩余收益期的价值再进行测算。</w:t>
      </w:r>
    </w:p>
    <w:p w14:paraId="33D9C3C3" w14:textId="77777777" w:rsidR="00495C65" w:rsidRDefault="00495C65" w:rsidP="00495C65">
      <w:pPr>
        <w:pStyle w:val="13"/>
      </w:pPr>
      <w:r>
        <w:rPr>
          <w:rFonts w:hint="eastAsia"/>
        </w:rPr>
        <w:t>（二）建立资本化率数据库</w:t>
      </w:r>
    </w:p>
    <w:p w14:paraId="4437E4F5" w14:textId="77777777" w:rsidR="00495C65" w:rsidRDefault="00495C65" w:rsidP="00495C65">
      <w:pPr>
        <w:pStyle w:val="13"/>
      </w:pPr>
      <w:r>
        <w:rPr>
          <w:rFonts w:hint="eastAsia"/>
        </w:rPr>
        <w:t>估价机构应根据市场资料分析确定不同区位、类型、净收益流模式下的房地产资本化率，逐步建立资本化率数据库，提高直接资本化法的运用效率及使用效果。</w:t>
      </w:r>
    </w:p>
    <w:p w14:paraId="2F577208" w14:textId="77777777" w:rsidR="00495C65" w:rsidRDefault="00495C65" w:rsidP="00495C65">
      <w:pPr>
        <w:pStyle w:val="ab"/>
        <w:spacing w:before="62" w:after="62"/>
        <w:ind w:firstLine="482"/>
      </w:pPr>
      <w:r>
        <w:rPr>
          <w:rFonts w:hint="eastAsia"/>
        </w:rPr>
        <w:t>四、收益价值及报告提示内容</w:t>
      </w:r>
    </w:p>
    <w:p w14:paraId="48BE6D61" w14:textId="77777777" w:rsidR="00495C65" w:rsidRDefault="00495C65" w:rsidP="00495C65">
      <w:pPr>
        <w:pStyle w:val="13"/>
      </w:pPr>
      <w:r>
        <w:rPr>
          <w:rFonts w:hint="eastAsia"/>
        </w:rPr>
        <w:t>不考虑收益期结束时建筑物或剩余期限土地使用权价值下确定的资本化率，将其用于直接资本化法时，估价结果是估价对象在价值时点剩余收益期的收益价值，未考虑收益期结束时建筑物或剩余期限土地使用权价值的折现，完整的收益价值按照《房地产估价规范》</w:t>
      </w:r>
      <w:r>
        <w:t>4.3.16规定计算。同时，以下两种情况可在报告中进行提示：</w:t>
      </w:r>
    </w:p>
    <w:p w14:paraId="4C76FF39" w14:textId="77777777" w:rsidR="00495C65" w:rsidRDefault="00495C65" w:rsidP="00495C65">
      <w:pPr>
        <w:pStyle w:val="13"/>
      </w:pPr>
      <w:r>
        <w:rPr>
          <w:rFonts w:hint="eastAsia"/>
        </w:rPr>
        <w:t>（一）在土地出让合同等未约定土地使用期间届满后土地续期及地上建筑物处置相关条款时，根据估价目的及估价委托要求，可在估价报告中对估价结果不含收益期结束时建筑物或剩余期限土地使用权价值在价值时点的折现价值进行说明。</w:t>
      </w:r>
    </w:p>
    <w:p w14:paraId="0C2A1782" w14:textId="77777777" w:rsidR="00495C65" w:rsidRDefault="00495C65" w:rsidP="00495C65">
      <w:pPr>
        <w:pStyle w:val="13"/>
      </w:pPr>
      <w:r>
        <w:rPr>
          <w:rFonts w:hint="eastAsia"/>
        </w:rPr>
        <w:t>（二）价值时点无法预测未来土地使用期间届满后是否允许续期及续期补交地价款法规政策时，对土地使用期间届满时房地产价值判断、分析存在较大的不确定性。根据估价目的及估价委托要求，可在估价报告中对土地使用期间届满时是否允许续期及续期补交地价款法规政策的影响进行说明。</w:t>
      </w:r>
    </w:p>
    <w:p w14:paraId="45D49BFC" w14:textId="77777777" w:rsidR="00495C65" w:rsidRDefault="00495C65" w:rsidP="00495C65">
      <w:pPr>
        <w:pStyle w:val="ab"/>
        <w:spacing w:before="62" w:after="62"/>
        <w:ind w:firstLine="482"/>
      </w:pPr>
      <w:r>
        <w:rPr>
          <w:rFonts w:hint="eastAsia"/>
        </w:rPr>
        <w:t>五、其他应注意的问题</w:t>
      </w:r>
    </w:p>
    <w:p w14:paraId="0870F083" w14:textId="77777777" w:rsidR="00495C65" w:rsidRDefault="00495C65" w:rsidP="00495C65">
      <w:pPr>
        <w:pStyle w:val="13"/>
      </w:pPr>
      <w:r>
        <w:rPr>
          <w:rFonts w:hint="eastAsia"/>
        </w:rPr>
        <w:t>（一）适用范围：适宜评估存在大量租售市场资料的类似房地产，特别是存在大量租售市场资料的类似街区、专业市场的房地产批量评估以及持有加转售模式中期末转售价格评估。对资本化</w:t>
      </w:r>
      <w:proofErr w:type="gramStart"/>
      <w:r>
        <w:rPr>
          <w:rFonts w:hint="eastAsia"/>
        </w:rPr>
        <w:t>率难以</w:t>
      </w:r>
      <w:proofErr w:type="gramEnd"/>
      <w:r>
        <w:rPr>
          <w:rFonts w:hint="eastAsia"/>
        </w:rPr>
        <w:t>合理确定的房地产进行估价时，不宜采用直接资本化法。</w:t>
      </w:r>
    </w:p>
    <w:p w14:paraId="6FC77C85" w14:textId="77777777" w:rsidR="00495C65" w:rsidRDefault="00495C65" w:rsidP="00495C65">
      <w:pPr>
        <w:pStyle w:val="13"/>
      </w:pPr>
      <w:r>
        <w:rPr>
          <w:rFonts w:hint="eastAsia"/>
        </w:rPr>
        <w:t>（二）收益期的影响：在房地产收益期的中后期，随着剩余收益期的减少，资本化率加速增加，更应关注剩余收益期调整；收益期的后期若干年，资本化率变化幅度大，</w:t>
      </w:r>
      <w:r>
        <w:t>不宜采用直接资本化法。</w:t>
      </w:r>
    </w:p>
    <w:p w14:paraId="5300FD97" w14:textId="77777777" w:rsidR="00495C65" w:rsidRDefault="00495C65" w:rsidP="00495C65">
      <w:pPr>
        <w:pStyle w:val="13"/>
      </w:pPr>
      <w:r>
        <w:rPr>
          <w:rFonts w:hint="eastAsia"/>
        </w:rPr>
        <w:t>六、如与上级行业组织发布相关准则、指导意见不一致，以上级行业组织发布相关准则、指导意见为准。</w:t>
      </w:r>
    </w:p>
    <w:p w14:paraId="680D6CAF" w14:textId="0AD22114" w:rsidR="0057366E" w:rsidRDefault="00495C65" w:rsidP="00495C65">
      <w:pPr>
        <w:pStyle w:val="13"/>
      </w:pPr>
      <w:r>
        <w:rPr>
          <w:rFonts w:hint="eastAsia"/>
        </w:rPr>
        <w:t>七、本估价技术指引自</w:t>
      </w:r>
      <w:r>
        <w:t>2020年1月1日起施行。</w:t>
      </w:r>
    </w:p>
    <w:p w14:paraId="3A4BB224" w14:textId="77777777" w:rsidR="0057366E" w:rsidRDefault="0057366E">
      <w:pPr>
        <w:widowControl/>
        <w:jc w:val="left"/>
        <w:rPr>
          <w:rFonts w:ascii="宋体" w:hAnsi="宋体"/>
          <w:sz w:val="24"/>
          <w:szCs w:val="24"/>
        </w:rPr>
      </w:pPr>
      <w:r>
        <w:br w:type="page"/>
      </w:r>
    </w:p>
    <w:p w14:paraId="660F65D1" w14:textId="77777777" w:rsidR="00495C65" w:rsidRDefault="00495C65" w:rsidP="00495C65">
      <w:pPr>
        <w:pStyle w:val="21"/>
        <w:spacing w:before="156" w:after="93"/>
      </w:pPr>
      <w:bookmarkStart w:id="186" w:name="_Toc81833424"/>
      <w:r>
        <w:rPr>
          <w:rFonts w:hint="eastAsia"/>
        </w:rPr>
        <w:lastRenderedPageBreak/>
        <w:t>新疆规范</w:t>
      </w:r>
      <w:bookmarkEnd w:id="186"/>
    </w:p>
    <w:p w14:paraId="77C1E082" w14:textId="77777777" w:rsidR="00495C65" w:rsidRDefault="00495C65" w:rsidP="00495C65">
      <w:pPr>
        <w:pStyle w:val="31"/>
        <w:spacing w:before="156" w:after="62"/>
      </w:pPr>
      <w:bookmarkStart w:id="187" w:name="_Toc81833425"/>
      <w:r>
        <w:rPr>
          <w:rFonts w:hint="eastAsia"/>
        </w:rPr>
        <w:t>房地产估价实务中增值税计算技术指引的通知（新房协〔</w:t>
      </w:r>
      <w:r>
        <w:t>2019〕04号）</w:t>
      </w:r>
      <w:bookmarkEnd w:id="187"/>
    </w:p>
    <w:p w14:paraId="63CED668" w14:textId="77777777" w:rsidR="00495C65" w:rsidRDefault="00495C65" w:rsidP="00495C65">
      <w:pPr>
        <w:pStyle w:val="13"/>
        <w:ind w:firstLineChars="0" w:firstLine="0"/>
      </w:pPr>
      <w:r>
        <w:rPr>
          <w:rFonts w:hint="eastAsia"/>
        </w:rPr>
        <w:t>自治区房地产估价机构及从业人员：</w:t>
      </w:r>
    </w:p>
    <w:p w14:paraId="1104454D" w14:textId="77777777" w:rsidR="00495C65" w:rsidRDefault="00495C65" w:rsidP="00495C65">
      <w:pPr>
        <w:pStyle w:val="13"/>
      </w:pPr>
      <w:r>
        <w:rPr>
          <w:rFonts w:hint="eastAsia"/>
        </w:rPr>
        <w:t>自</w:t>
      </w:r>
      <w:r>
        <w:t>2016年5月1日起，在全国范围内开始执行营业税改征增值税（以下简称</w:t>
      </w:r>
      <w:proofErr w:type="gramStart"/>
      <w:r>
        <w:t>营改增</w:t>
      </w:r>
      <w:proofErr w:type="gramEnd"/>
      <w:r>
        <w:t>）。“营改增”后对房地产行业产生了很大影响，同时要求房地产估价的相关内容及数据按照新的法律规定做出相应的调整和更新。</w:t>
      </w:r>
    </w:p>
    <w:p w14:paraId="6BE35590" w14:textId="77777777" w:rsidR="00495C65" w:rsidRDefault="00495C65" w:rsidP="00495C65">
      <w:pPr>
        <w:pStyle w:val="13"/>
      </w:pPr>
      <w:r>
        <w:rPr>
          <w:rFonts w:hint="eastAsia"/>
        </w:rPr>
        <w:t>为使全区各地房地产估价机构和从业人员在估价活动中做好衔接，新疆房地产业协会估价与房地产经纪专业委员会组织专人撰写了《房地产估价实务中增值税计算技术指引》，凡是自治区范围内估价机构在房地产估价活动中涉及“营改增”内容的，均可采用该指引作为参考。</w:t>
      </w:r>
    </w:p>
    <w:p w14:paraId="0B56772B" w14:textId="77777777" w:rsidR="00495C65" w:rsidRDefault="00495C65" w:rsidP="00495C65">
      <w:pPr>
        <w:pStyle w:val="13"/>
      </w:pPr>
      <w:r>
        <w:rPr>
          <w:rFonts w:hint="eastAsia"/>
        </w:rPr>
        <w:t>附</w:t>
      </w:r>
    </w:p>
    <w:p w14:paraId="0F2657DC" w14:textId="77777777" w:rsidR="00495C65" w:rsidRDefault="00495C65" w:rsidP="00AF7342">
      <w:pPr>
        <w:pStyle w:val="a9"/>
        <w:spacing w:before="62" w:after="62"/>
      </w:pPr>
      <w:r>
        <w:rPr>
          <w:rFonts w:hint="eastAsia"/>
        </w:rPr>
        <w:t>房地产估价实务中增值税计算技术指引</w:t>
      </w:r>
    </w:p>
    <w:p w14:paraId="4D053EFB" w14:textId="77777777" w:rsidR="00495C65" w:rsidRDefault="00495C65" w:rsidP="00495C65">
      <w:pPr>
        <w:pStyle w:val="13"/>
      </w:pPr>
      <w:r>
        <w:rPr>
          <w:rFonts w:hint="eastAsia"/>
        </w:rPr>
        <w:t>自</w:t>
      </w:r>
      <w:r>
        <w:t>2016年5月1日起在全国范围内全面推开营业税改征增值税（以下简称</w:t>
      </w:r>
      <w:proofErr w:type="gramStart"/>
      <w:r>
        <w:t>营改增</w:t>
      </w:r>
      <w:proofErr w:type="gramEnd"/>
      <w:r>
        <w:t>），“营改增”后对房地产业产生重大影响的同时，也要求房地产估价中相关内容及估价数据根据法律规定做相应的更新。为使全疆各地房地产估价机构和房地产估价师在估价活动中做好衔接，新疆房地产估价与房地产经纪专业委员会牵头撰写了《营业税改征增值税后房地产估价技术指引》，自治区范围内估价机构在房地产估价活动中涉及“营改增”内容的，可以该指引作为参考。</w:t>
      </w:r>
    </w:p>
    <w:p w14:paraId="5D4DF587" w14:textId="77777777" w:rsidR="00495C65" w:rsidRDefault="00495C65" w:rsidP="00495C65">
      <w:pPr>
        <w:pStyle w:val="13"/>
      </w:pPr>
      <w:r>
        <w:rPr>
          <w:rFonts w:hint="eastAsia"/>
        </w:rPr>
        <w:t>房地产估价中，估价目的、价值时点、估价对象和价值类型是四大基本事项，每一个估价报告都需要明确以上事项后制定合理的技术路线。而计算不动产增值税时要将以上四个基本要素与不动产增值税的征收要求一一对应，才能选择正确的计算方法准确估价。按照税法要求，增值税计算需要区分是否为房地产开发企业销售自行开发的房地产项目；区分一般纳税人、小规模纳税人；区分一般计税方法、简易计税方法；区分不动产为取得还是自建；区分取得（自建）不动产日期等问题，然后选择税率计算增值税。梳理一下，都与估价基本事项关联更紧密，则在估价中，</w:t>
      </w:r>
      <w:proofErr w:type="gramStart"/>
      <w:r>
        <w:rPr>
          <w:rFonts w:hint="eastAsia"/>
        </w:rPr>
        <w:t>明确四</w:t>
      </w:r>
      <w:proofErr w:type="gramEnd"/>
      <w:r>
        <w:rPr>
          <w:rFonts w:hint="eastAsia"/>
        </w:rPr>
        <w:t>大基本事项后，根据估价对象的特点，确定不同的估价方法中增值税的计算方法，并体现在价值类型的内涵说明和假设限制条件等必要说明里。</w:t>
      </w:r>
    </w:p>
    <w:p w14:paraId="12D12DCA" w14:textId="77777777" w:rsidR="00495C65" w:rsidRDefault="00495C65" w:rsidP="00495C65">
      <w:pPr>
        <w:pStyle w:val="13"/>
      </w:pPr>
      <w:r>
        <w:rPr>
          <w:rFonts w:hint="eastAsia"/>
        </w:rPr>
        <w:t>本指引以估价基本事项为轴线进行说明：</w:t>
      </w:r>
    </w:p>
    <w:p w14:paraId="7DD64784" w14:textId="77777777" w:rsidR="00495C65" w:rsidRDefault="00495C65" w:rsidP="00495C65">
      <w:pPr>
        <w:pStyle w:val="ab"/>
        <w:spacing w:before="62" w:after="62"/>
        <w:ind w:firstLine="482"/>
      </w:pPr>
      <w:r>
        <w:t>一、估价目的</w:t>
      </w:r>
    </w:p>
    <w:p w14:paraId="20828871" w14:textId="77777777" w:rsidR="00495C65" w:rsidRDefault="00495C65" w:rsidP="00495C65">
      <w:pPr>
        <w:pStyle w:val="13"/>
      </w:pPr>
      <w:r>
        <w:rPr>
          <w:rFonts w:hint="eastAsia"/>
        </w:rPr>
        <w:t>与委托人充分沟通，明确估价目的，只有确定了估价目的，才能明确价值时点、估价对象范围和价值类型，才能明确如何计算增值税。</w:t>
      </w:r>
    </w:p>
    <w:p w14:paraId="4AB929B2" w14:textId="77777777" w:rsidR="00495C65" w:rsidRDefault="00495C65" w:rsidP="00495C65">
      <w:pPr>
        <w:pStyle w:val="ab"/>
        <w:spacing w:before="62" w:after="62"/>
        <w:ind w:firstLine="482"/>
      </w:pPr>
      <w:r>
        <w:rPr>
          <w:rFonts w:hint="eastAsia"/>
        </w:rPr>
        <w:lastRenderedPageBreak/>
        <w:t>二、价值时点</w:t>
      </w:r>
    </w:p>
    <w:p w14:paraId="3C8178EA" w14:textId="77777777" w:rsidR="00495C65" w:rsidRDefault="00495C65" w:rsidP="00495C65">
      <w:pPr>
        <w:pStyle w:val="13"/>
      </w:pPr>
      <w:r>
        <w:rPr>
          <w:rFonts w:hint="eastAsia"/>
        </w:rPr>
        <w:t>增值税的规定中有两个时间节点，影响增值税的计税方法，需要与价值时点进行比较，然后选择计税方法。</w:t>
      </w:r>
    </w:p>
    <w:p w14:paraId="4E088E63" w14:textId="77777777" w:rsidR="00495C65" w:rsidRDefault="00495C65" w:rsidP="00495C65">
      <w:pPr>
        <w:pStyle w:val="13"/>
      </w:pPr>
      <w:r>
        <w:t>1、转让2016年4月30日前取得（或自建）的不动产，可选择简易计税方法计税</w:t>
      </w:r>
      <w:r>
        <w:rPr>
          <w:rFonts w:hint="eastAsia"/>
        </w:rPr>
        <w:t>或一般计税方法计税。转让</w:t>
      </w:r>
      <w:r>
        <w:t>2016年5月1日后取得（或自建）的不动产，适用一般计税方法计税；</w:t>
      </w:r>
    </w:p>
    <w:p w14:paraId="394B3C97" w14:textId="77777777" w:rsidR="00495C65" w:rsidRDefault="00495C65" w:rsidP="00495C65">
      <w:pPr>
        <w:pStyle w:val="13"/>
      </w:pPr>
      <w:r>
        <w:t>2、出租2016年4月30前取得的不动产，可选择简易计税方法计税或一般计税方</w:t>
      </w:r>
      <w:r>
        <w:rPr>
          <w:rFonts w:hint="eastAsia"/>
        </w:rPr>
        <w:t>法计税。出租</w:t>
      </w:r>
      <w:r>
        <w:t>2016年5月1日后取得（或自建）的不动产，适用一般计税方法计税。</w:t>
      </w:r>
    </w:p>
    <w:p w14:paraId="1660316B" w14:textId="77777777" w:rsidR="00495C65" w:rsidRDefault="00495C65" w:rsidP="00495C65">
      <w:pPr>
        <w:pStyle w:val="ab"/>
        <w:spacing w:before="62" w:after="62"/>
        <w:ind w:firstLine="482"/>
      </w:pPr>
      <w:r>
        <w:t>三、估价对象</w:t>
      </w:r>
    </w:p>
    <w:p w14:paraId="03549112" w14:textId="77777777" w:rsidR="00495C65" w:rsidRDefault="00495C65" w:rsidP="00495C65">
      <w:pPr>
        <w:pStyle w:val="13"/>
      </w:pPr>
      <w:r>
        <w:rPr>
          <w:rFonts w:hint="eastAsia"/>
        </w:rPr>
        <w:t>（一）区分估价对象的项目类型</w:t>
      </w:r>
    </w:p>
    <w:p w14:paraId="5E4DFFAF" w14:textId="77777777" w:rsidR="00495C65" w:rsidRDefault="00495C65" w:rsidP="00495C65">
      <w:pPr>
        <w:pStyle w:val="13"/>
      </w:pPr>
      <w:r>
        <w:rPr>
          <w:rFonts w:hint="eastAsia"/>
        </w:rPr>
        <w:t>1、为房地产开发企业销售自行开发的房地产项目；</w:t>
      </w:r>
    </w:p>
    <w:p w14:paraId="7156B37E" w14:textId="77777777" w:rsidR="00495C65" w:rsidRDefault="00495C65" w:rsidP="00495C65">
      <w:pPr>
        <w:pStyle w:val="13"/>
      </w:pPr>
      <w:r>
        <w:rPr>
          <w:rFonts w:hint="eastAsia"/>
        </w:rPr>
        <w:t>2、非房地产开发企业（单位和个人）销售自行开发的房地产项目。</w:t>
      </w:r>
    </w:p>
    <w:p w14:paraId="2630CE3A" w14:textId="77777777" w:rsidR="00495C65" w:rsidRDefault="00495C65" w:rsidP="00495C65">
      <w:pPr>
        <w:pStyle w:val="13"/>
      </w:pPr>
      <w:r>
        <w:rPr>
          <w:rFonts w:hint="eastAsia"/>
        </w:rPr>
        <w:t>（二）区分估价对象的所有权人（使用权人）为一般纳税人、小规模纳税人还是其他个人</w:t>
      </w:r>
    </w:p>
    <w:p w14:paraId="39645ED0" w14:textId="77777777" w:rsidR="00495C65" w:rsidRDefault="00495C65" w:rsidP="00495C65">
      <w:pPr>
        <w:pStyle w:val="13"/>
      </w:pPr>
      <w:r>
        <w:rPr>
          <w:rFonts w:hint="eastAsia"/>
        </w:rPr>
        <w:t>1、一般纳税人；</w:t>
      </w:r>
    </w:p>
    <w:p w14:paraId="5A961FF0" w14:textId="77777777" w:rsidR="00495C65" w:rsidRDefault="00495C65" w:rsidP="00495C65">
      <w:pPr>
        <w:pStyle w:val="13"/>
      </w:pPr>
      <w:r>
        <w:rPr>
          <w:rFonts w:hint="eastAsia"/>
        </w:rPr>
        <w:t>2、小规模纳税人；</w:t>
      </w:r>
    </w:p>
    <w:p w14:paraId="4C5413E0" w14:textId="77777777" w:rsidR="00495C65" w:rsidRDefault="00495C65" w:rsidP="00495C65">
      <w:pPr>
        <w:pStyle w:val="13"/>
      </w:pPr>
      <w:r>
        <w:rPr>
          <w:rFonts w:hint="eastAsia"/>
        </w:rPr>
        <w:t>3、其他个人。</w:t>
      </w:r>
    </w:p>
    <w:p w14:paraId="508B6279" w14:textId="77777777" w:rsidR="00495C65" w:rsidRDefault="00495C65" w:rsidP="00495C65">
      <w:pPr>
        <w:pStyle w:val="13"/>
      </w:pPr>
      <w:r>
        <w:rPr>
          <w:rFonts w:hint="eastAsia"/>
        </w:rPr>
        <w:t>（三）区分估价对象的获取方式</w:t>
      </w:r>
    </w:p>
    <w:p w14:paraId="0E4D9D98" w14:textId="77777777" w:rsidR="00495C65" w:rsidRDefault="00495C65" w:rsidP="00495C65">
      <w:pPr>
        <w:pStyle w:val="13"/>
      </w:pPr>
      <w:r>
        <w:t>1</w:t>
      </w:r>
      <w:r>
        <w:rPr>
          <w:rFonts w:hint="eastAsia"/>
        </w:rPr>
        <w:t>、交易或其他方式取得；</w:t>
      </w:r>
    </w:p>
    <w:p w14:paraId="52A37755" w14:textId="77777777" w:rsidR="00495C65" w:rsidRDefault="00495C65" w:rsidP="00495C65">
      <w:pPr>
        <w:pStyle w:val="13"/>
      </w:pPr>
      <w:r>
        <w:t>2</w:t>
      </w:r>
      <w:r>
        <w:rPr>
          <w:rFonts w:hint="eastAsia"/>
        </w:rPr>
        <w:t>、自建。</w:t>
      </w:r>
    </w:p>
    <w:p w14:paraId="6425CAAC" w14:textId="77777777" w:rsidR="00495C65" w:rsidRDefault="00495C65" w:rsidP="00495C65">
      <w:pPr>
        <w:pStyle w:val="13"/>
      </w:pPr>
      <w:r>
        <w:rPr>
          <w:rFonts w:hint="eastAsia"/>
        </w:rPr>
        <w:t>（四）区分估价对象的取得（或自建）的日期</w:t>
      </w:r>
    </w:p>
    <w:p w14:paraId="18DD1DAD" w14:textId="77777777" w:rsidR="00495C65" w:rsidRDefault="00495C65" w:rsidP="00495C65">
      <w:pPr>
        <w:pStyle w:val="13"/>
      </w:pPr>
      <w:r>
        <w:t>1</w:t>
      </w:r>
      <w:r>
        <w:rPr>
          <w:rFonts w:hint="eastAsia"/>
        </w:rPr>
        <w:t>、</w:t>
      </w:r>
      <w:r>
        <w:t>2016年4月30日前取得（或自建）的；</w:t>
      </w:r>
    </w:p>
    <w:p w14:paraId="75C82C9E" w14:textId="77777777" w:rsidR="00495C65" w:rsidRDefault="00495C65" w:rsidP="00495C65">
      <w:pPr>
        <w:pStyle w:val="13"/>
      </w:pPr>
      <w:r>
        <w:t>2</w:t>
      </w:r>
      <w:r>
        <w:rPr>
          <w:rFonts w:hint="eastAsia"/>
        </w:rPr>
        <w:t>、</w:t>
      </w:r>
      <w:r>
        <w:t>2016年5月1日后取得（或自建）的。</w:t>
      </w:r>
    </w:p>
    <w:p w14:paraId="1B64A123" w14:textId="77777777" w:rsidR="00495C65" w:rsidRDefault="00495C65" w:rsidP="00495C65">
      <w:pPr>
        <w:pStyle w:val="ab"/>
        <w:spacing w:before="62" w:after="62"/>
        <w:ind w:firstLine="482"/>
      </w:pPr>
      <w:r>
        <w:t>四、价值类型</w:t>
      </w:r>
    </w:p>
    <w:p w14:paraId="7E867961" w14:textId="77777777" w:rsidR="00495C65" w:rsidRDefault="00495C65" w:rsidP="00495C65">
      <w:pPr>
        <w:pStyle w:val="13"/>
      </w:pPr>
      <w:r>
        <w:rPr>
          <w:rFonts w:hint="eastAsia"/>
        </w:rPr>
        <w:t>（一）对市场价格内涵的影响</w:t>
      </w:r>
    </w:p>
    <w:p w14:paraId="07EB6AE3" w14:textId="77777777" w:rsidR="00495C65" w:rsidRDefault="00495C65" w:rsidP="00495C65">
      <w:pPr>
        <w:pStyle w:val="13"/>
      </w:pPr>
      <w:r>
        <w:rPr>
          <w:rFonts w:hint="eastAsia"/>
        </w:rPr>
        <w:t>市场价格是指某种房地产在市场上的平均交易价格，交易价格为包含增值税的交易价格。</w:t>
      </w:r>
    </w:p>
    <w:p w14:paraId="6D7048A0" w14:textId="77777777" w:rsidR="00495C65" w:rsidRDefault="00495C65" w:rsidP="00495C65">
      <w:pPr>
        <w:pStyle w:val="13"/>
      </w:pPr>
      <w:r>
        <w:rPr>
          <w:rFonts w:hint="eastAsia"/>
        </w:rPr>
        <w:t>房地产估价报告中，应说明估价结果内涵是否包含增值税。</w:t>
      </w:r>
    </w:p>
    <w:p w14:paraId="079F0AE1" w14:textId="77777777" w:rsidR="00495C65" w:rsidRDefault="00495C65" w:rsidP="00495C65">
      <w:pPr>
        <w:pStyle w:val="13"/>
      </w:pPr>
      <w:r>
        <w:rPr>
          <w:rFonts w:hint="eastAsia"/>
        </w:rPr>
        <w:t>（二）对抵押净值内涵的影响</w:t>
      </w:r>
    </w:p>
    <w:p w14:paraId="7B710AD0" w14:textId="77777777" w:rsidR="00495C65" w:rsidRDefault="00495C65" w:rsidP="00495C65">
      <w:pPr>
        <w:pStyle w:val="13"/>
      </w:pPr>
      <w:r>
        <w:rPr>
          <w:rFonts w:hint="eastAsia"/>
        </w:rPr>
        <w:t>抵押净值为抵押价值减去预期实现抵押权的费用和税金后的价值。此税金包含房地产转让时所计算的增值税。</w:t>
      </w:r>
    </w:p>
    <w:p w14:paraId="3AB8CCCB" w14:textId="77777777" w:rsidR="00495C65" w:rsidRDefault="00495C65" w:rsidP="00495C65">
      <w:pPr>
        <w:pStyle w:val="ab"/>
        <w:spacing w:before="62" w:after="62"/>
        <w:ind w:firstLine="482"/>
      </w:pPr>
      <w:r>
        <w:rPr>
          <w:rFonts w:hint="eastAsia"/>
        </w:rPr>
        <w:lastRenderedPageBreak/>
        <w:t>五、对估价假设和限制条件的影响</w:t>
      </w:r>
    </w:p>
    <w:p w14:paraId="5E954BB4" w14:textId="77777777" w:rsidR="00495C65" w:rsidRDefault="00495C65" w:rsidP="00495C65">
      <w:pPr>
        <w:pStyle w:val="13"/>
      </w:pPr>
      <w:r>
        <w:rPr>
          <w:rFonts w:hint="eastAsia"/>
        </w:rPr>
        <w:t>在估价计算过程中，对增值税的计算选择简易计税方法或一般计税方法，其计税方法的选择依据和理由，需根据必要性原则在估价报告“估价假设和限制条件”中进行说明。</w:t>
      </w:r>
    </w:p>
    <w:p w14:paraId="20862EEE" w14:textId="77777777" w:rsidR="00495C65" w:rsidRDefault="00495C65" w:rsidP="00495C65">
      <w:pPr>
        <w:pStyle w:val="ab"/>
        <w:spacing w:before="62" w:after="62"/>
        <w:ind w:firstLine="482"/>
      </w:pPr>
      <w:r>
        <w:rPr>
          <w:rFonts w:hint="eastAsia"/>
        </w:rPr>
        <w:t>六、估价方法测算的影响</w:t>
      </w:r>
    </w:p>
    <w:p w14:paraId="56C32193" w14:textId="77777777" w:rsidR="00495C65" w:rsidRDefault="00495C65" w:rsidP="00495C65">
      <w:pPr>
        <w:pStyle w:val="13"/>
      </w:pPr>
      <w:r>
        <w:rPr>
          <w:rFonts w:hint="eastAsia"/>
        </w:rPr>
        <w:t>（一）比较法</w:t>
      </w:r>
    </w:p>
    <w:p w14:paraId="16EBD853" w14:textId="77777777" w:rsidR="00495C65" w:rsidRDefault="00495C65" w:rsidP="00495C65">
      <w:pPr>
        <w:pStyle w:val="13"/>
      </w:pPr>
      <w:r>
        <w:rPr>
          <w:rFonts w:hint="eastAsia"/>
        </w:rPr>
        <w:t>1、对交易实例成交价格进行统一税费负担计算时，应弄清成交价格内涵，关注卖方应纳增值税的是否存在转嫁问题；同时，个人转让房屋的个人所得税应税收入不含增值税，买方应纳契税计征时的成交价格不含增值税。</w:t>
      </w:r>
    </w:p>
    <w:p w14:paraId="70D6AC69" w14:textId="77777777" w:rsidR="00495C65" w:rsidRDefault="00495C65" w:rsidP="00495C65">
      <w:pPr>
        <w:pStyle w:val="13"/>
      </w:pPr>
      <w:r>
        <w:rPr>
          <w:rFonts w:hint="eastAsia"/>
        </w:rPr>
        <w:t>免征增值税的，确定计税依据时，成交价格、转让房地产取得的收入</w:t>
      </w:r>
      <w:proofErr w:type="gramStart"/>
      <w:r>
        <w:rPr>
          <w:rFonts w:hint="eastAsia"/>
        </w:rPr>
        <w:t>不</w:t>
      </w:r>
      <w:proofErr w:type="gramEnd"/>
      <w:r>
        <w:rPr>
          <w:rFonts w:hint="eastAsia"/>
        </w:rPr>
        <w:t>扣减增值税额。</w:t>
      </w:r>
    </w:p>
    <w:p w14:paraId="76A12430" w14:textId="77777777" w:rsidR="00495C65" w:rsidRDefault="00495C65" w:rsidP="00495C65">
      <w:pPr>
        <w:pStyle w:val="13"/>
      </w:pPr>
      <w:r>
        <w:t>2</w:t>
      </w:r>
      <w:r>
        <w:rPr>
          <w:rFonts w:hint="eastAsia"/>
        </w:rPr>
        <w:t>、转让不动产增值税计算</w:t>
      </w:r>
    </w:p>
    <w:p w14:paraId="1EF642F2" w14:textId="77777777" w:rsidR="00495C65" w:rsidRDefault="00495C65" w:rsidP="00495C65">
      <w:pPr>
        <w:pStyle w:val="13"/>
      </w:pPr>
      <w:r>
        <w:rPr>
          <w:rFonts w:hint="eastAsia"/>
        </w:rPr>
        <w:t>在计算转让不动产增值税时要区分是否为房地产开发企业销售自行开发的房地产项目；区分一般纳税人、小规模纳税人；区分一般计税方法、简易计税方法；区分不动产为取得还是自建；区分取得（自建）不动产日期等问题。</w:t>
      </w:r>
    </w:p>
    <w:p w14:paraId="6872FAFA" w14:textId="77777777" w:rsidR="00495C65" w:rsidRDefault="00495C65" w:rsidP="00495C65">
      <w:pPr>
        <w:pStyle w:val="13"/>
      </w:pPr>
      <w:r>
        <w:rPr>
          <w:rFonts w:hint="eastAsia"/>
        </w:rPr>
        <w:t>（二）收益法</w:t>
      </w:r>
    </w:p>
    <w:p w14:paraId="1E134A73" w14:textId="77777777" w:rsidR="00495C65" w:rsidRDefault="00495C65" w:rsidP="00495C65">
      <w:pPr>
        <w:pStyle w:val="13"/>
      </w:pPr>
      <w:r>
        <w:rPr>
          <w:rFonts w:hint="eastAsia"/>
        </w:rPr>
        <w:t>1、计算出租型房地产的租赁收入时，应关注租金价格的内涵，并与运营费用计算相吻合。</w:t>
      </w:r>
    </w:p>
    <w:p w14:paraId="651BDA64" w14:textId="77777777" w:rsidR="00495C65" w:rsidRDefault="00495C65" w:rsidP="00495C65">
      <w:pPr>
        <w:pStyle w:val="13"/>
      </w:pPr>
      <w:r>
        <w:t>2</w:t>
      </w:r>
      <w:r>
        <w:rPr>
          <w:rFonts w:hint="eastAsia"/>
        </w:rPr>
        <w:t>、房产出租的，计征房产税的租金收入不含增值税，个人出租房屋的个人所得税应税收入不含增值税。</w:t>
      </w:r>
    </w:p>
    <w:p w14:paraId="78962C81" w14:textId="77777777" w:rsidR="00495C65" w:rsidRDefault="00495C65" w:rsidP="00495C65">
      <w:pPr>
        <w:pStyle w:val="13"/>
      </w:pPr>
      <w:r>
        <w:rPr>
          <w:rFonts w:hint="eastAsia"/>
        </w:rPr>
        <w:t>（三）成本法和假设开发法</w:t>
      </w:r>
    </w:p>
    <w:p w14:paraId="34364C92" w14:textId="77777777" w:rsidR="00495C65" w:rsidRDefault="00495C65" w:rsidP="00495C65">
      <w:pPr>
        <w:pStyle w:val="13"/>
      </w:pPr>
      <w:r>
        <w:rPr>
          <w:rFonts w:hint="eastAsia"/>
        </w:rPr>
        <w:t>1、对于房地产开发企业以外的企业：</w:t>
      </w:r>
    </w:p>
    <w:p w14:paraId="222452AF" w14:textId="77777777" w:rsidR="00495C65" w:rsidRDefault="00495C65" w:rsidP="00495C65">
      <w:pPr>
        <w:pStyle w:val="13"/>
      </w:pPr>
      <w:proofErr w:type="gramStart"/>
      <w:r>
        <w:rPr>
          <w:rFonts w:hint="eastAsia"/>
        </w:rPr>
        <w:t>营改增</w:t>
      </w:r>
      <w:proofErr w:type="gramEnd"/>
      <w:r>
        <w:rPr>
          <w:rFonts w:hint="eastAsia"/>
        </w:rPr>
        <w:t>后涉及到房地产估价中成本法和假设开发法中“销售税费”项目中增值税计算，以及以增值税应缴纳金额为计算基础的城建税、教育费附加（地方教育费附加）等项目。</w:t>
      </w:r>
    </w:p>
    <w:p w14:paraId="6684CEA6" w14:textId="77777777" w:rsidR="00495C65" w:rsidRDefault="00495C65" w:rsidP="00495C65">
      <w:pPr>
        <w:pStyle w:val="13"/>
      </w:pPr>
      <w:r>
        <w:rPr>
          <w:rFonts w:hint="eastAsia"/>
        </w:rPr>
        <w:t>《房地产估价规范》（</w:t>
      </w:r>
      <w:r>
        <w:t>GBT/T50291-2015），房地产估价成本法运用，测算房地产重置成本或重建成本应为在价值时点重新开发建设全新状况的房地产的必要支出及应得利润。建筑物重置成本或重建成本应为在价值时点重新建造全新建筑物的必要支出及应得利润。除追溯性评估外，均是基于2016年5月1日后的重新开发或重新建造成本，估价时，首要在于区分开发或建设主体为小规模（个人）或一般纳税人。</w:t>
      </w:r>
    </w:p>
    <w:p w14:paraId="0FF8B6A9" w14:textId="77777777" w:rsidR="00495C65" w:rsidRDefault="00495C65" w:rsidP="00495C65">
      <w:pPr>
        <w:pStyle w:val="13"/>
      </w:pPr>
      <w:r>
        <w:rPr>
          <w:rFonts w:hint="eastAsia"/>
        </w:rPr>
        <w:t>如产权人（纳税主体）为一般纳税人，由于现阶段难以准确计算出增值税进项税额，</w:t>
      </w:r>
      <w:r>
        <w:t>也就是可抵扣进项税基本无法准确测算或者客观反映，可操作性差，因此，我们建议（非房地产开发企业）参照小规模纳税人以自</w:t>
      </w:r>
      <w:proofErr w:type="gramStart"/>
      <w:r>
        <w:t>建方式</w:t>
      </w:r>
      <w:proofErr w:type="gramEnd"/>
      <w:r>
        <w:t>取得的方式测算或一般纳税人中的简易计税方式测算。</w:t>
      </w:r>
    </w:p>
    <w:p w14:paraId="53842AA4" w14:textId="77777777" w:rsidR="00495C65" w:rsidRDefault="00495C65" w:rsidP="00495C65">
      <w:pPr>
        <w:pStyle w:val="13"/>
      </w:pPr>
      <w:r>
        <w:rPr>
          <w:rFonts w:hint="eastAsia"/>
        </w:rPr>
        <w:lastRenderedPageBreak/>
        <w:t>2、假设开发法（房地产开发项目）</w:t>
      </w:r>
    </w:p>
    <w:p w14:paraId="1064A6BB" w14:textId="77777777" w:rsidR="00495C65" w:rsidRDefault="00495C65" w:rsidP="00495C65">
      <w:pPr>
        <w:pStyle w:val="13"/>
      </w:pPr>
      <w:proofErr w:type="gramStart"/>
      <w:r>
        <w:rPr>
          <w:rFonts w:hint="eastAsia"/>
        </w:rPr>
        <w:t>营改增</w:t>
      </w:r>
      <w:proofErr w:type="gramEnd"/>
      <w:r>
        <w:rPr>
          <w:rFonts w:hint="eastAsia"/>
        </w:rPr>
        <w:t>后涉及到房地产估价中假设开发法“销售税费”项目中增值税计算，以及以增值税应缴纳金额为计算基础的城建税、教育费附加（地方教育费附加）等项目。</w:t>
      </w:r>
    </w:p>
    <w:p w14:paraId="005CFC8D" w14:textId="77777777" w:rsidR="00495C65" w:rsidRDefault="00495C65" w:rsidP="00495C65">
      <w:pPr>
        <w:pStyle w:val="13"/>
      </w:pPr>
      <w:r>
        <w:rPr>
          <w:rFonts w:hint="eastAsia"/>
        </w:rPr>
        <w:t>适用于房地产开发企业销售自行开发的房地产项目，如房地产开发在建项目（存货）、土地使用权采用假设开发法（剩余法）测算。</w:t>
      </w:r>
    </w:p>
    <w:p w14:paraId="0A514B92" w14:textId="77777777" w:rsidR="00495C65" w:rsidRDefault="00495C65" w:rsidP="00495C65">
      <w:pPr>
        <w:pStyle w:val="13"/>
      </w:pPr>
      <w:r>
        <w:rPr>
          <w:rFonts w:hint="eastAsia"/>
        </w:rPr>
        <w:t>实际估价中，老项目一般为在建工程（存货）估价，纯土地使用权采用假设开发法测算时一般可认定为新房地产开发项目。</w:t>
      </w:r>
    </w:p>
    <w:p w14:paraId="6BCCE92B" w14:textId="77777777" w:rsidR="00495C65" w:rsidRDefault="00495C65" w:rsidP="00495C65">
      <w:pPr>
        <w:pStyle w:val="13"/>
      </w:pPr>
      <w:r>
        <w:rPr>
          <w:rFonts w:hint="eastAsia"/>
        </w:rPr>
        <w:t>房地产开发项目纳税主体为一般纳税人的销售税费测算甚为麻烦，估价面临难题仍在于可抵扣进项税额测算，认为可参考简易计税方式估算，如为非房地产开发企业建设后以</w:t>
      </w:r>
      <w:proofErr w:type="gramStart"/>
      <w:r>
        <w:rPr>
          <w:rFonts w:hint="eastAsia"/>
        </w:rPr>
        <w:t>自持</w:t>
      </w:r>
      <w:proofErr w:type="gramEnd"/>
      <w:r>
        <w:rPr>
          <w:rFonts w:hint="eastAsia"/>
        </w:rPr>
        <w:t>为目的的项目可能仍较为合理，但作为以销售自行开发的房地产开发企业，认为参照简易计税方式测算估价结果可能会出现重大误差，尤其是涉及到企业价值评估中存货估算。在现阶段类似估价项目，基于可操作性考虑，我们更加倾向于采用预征模式测算销售税费中的增值税（包括土地增值税），当然最为合理的仍应采用清算模式测算确定。</w:t>
      </w:r>
    </w:p>
    <w:p w14:paraId="2F1A09A1" w14:textId="77777777" w:rsidR="00495C65" w:rsidRDefault="00495C65" w:rsidP="00495C65">
      <w:pPr>
        <w:pStyle w:val="ab"/>
        <w:spacing w:before="62" w:after="62"/>
        <w:ind w:firstLine="482"/>
      </w:pPr>
      <w:r>
        <w:rPr>
          <w:rFonts w:hint="eastAsia"/>
        </w:rPr>
        <w:t>七、其他需测算增值税的情形</w:t>
      </w:r>
    </w:p>
    <w:p w14:paraId="14F02927" w14:textId="77777777" w:rsidR="00495C65" w:rsidRDefault="00495C65" w:rsidP="00495C65">
      <w:pPr>
        <w:pStyle w:val="13"/>
      </w:pPr>
      <w:proofErr w:type="gramStart"/>
      <w:r>
        <w:rPr>
          <w:rFonts w:hint="eastAsia"/>
        </w:rPr>
        <w:t>营改增</w:t>
      </w:r>
      <w:proofErr w:type="gramEnd"/>
      <w:r>
        <w:rPr>
          <w:rFonts w:hint="eastAsia"/>
        </w:rPr>
        <w:t>后，房地产估价活动中不仅涉及到以上三大评估方法估算过程中的相关项目，</w:t>
      </w:r>
      <w:r>
        <w:t>还涉及到其他需要测算增值税情形，如抵押估价中对“抵押净值”测算，司法拍卖“拍卖保留价”测算，即估价中卖方实际税费负担转移的测算。等等。</w:t>
      </w:r>
    </w:p>
    <w:p w14:paraId="5C677177" w14:textId="77777777" w:rsidR="00495C65" w:rsidRDefault="00495C65" w:rsidP="00495C65">
      <w:pPr>
        <w:pStyle w:val="ab"/>
        <w:spacing w:before="62" w:after="62"/>
        <w:ind w:firstLine="482"/>
      </w:pPr>
      <w:r>
        <w:rPr>
          <w:rFonts w:hint="eastAsia"/>
        </w:rPr>
        <w:t>八、差额征税或免税情况</w:t>
      </w:r>
    </w:p>
    <w:p w14:paraId="0778DA32" w14:textId="77777777" w:rsidR="00495C65" w:rsidRDefault="00495C65" w:rsidP="00495C65">
      <w:pPr>
        <w:pStyle w:val="13"/>
      </w:pPr>
      <w:r>
        <w:rPr>
          <w:rFonts w:hint="eastAsia"/>
        </w:rPr>
        <w:t>为适用</w:t>
      </w:r>
      <w:proofErr w:type="gramStart"/>
      <w:r>
        <w:rPr>
          <w:rFonts w:hint="eastAsia"/>
        </w:rPr>
        <w:t>营改增试点</w:t>
      </w:r>
      <w:proofErr w:type="gramEnd"/>
      <w:r>
        <w:rPr>
          <w:rFonts w:hint="eastAsia"/>
        </w:rPr>
        <w:t>的需要，财政部、国家税务总局对部分行业或某些业务，规定了可以实行差额征税政策。与房地产估价相关的具体（包括但可能不限于）有：</w:t>
      </w:r>
    </w:p>
    <w:p w14:paraId="42575C39" w14:textId="77777777" w:rsidR="00495C65" w:rsidRDefault="00495C65" w:rsidP="00495C65">
      <w:pPr>
        <w:pStyle w:val="13"/>
      </w:pPr>
      <w:r>
        <w:rPr>
          <w:rFonts w:hint="eastAsia"/>
        </w:rPr>
        <w:t>（一）房地产开发企业中的一般纳税人销售其开发的房地产项目（选择简易计税方法的房地产老项目除外），以取得的全部价款和价外费用，</w:t>
      </w:r>
      <w:proofErr w:type="gramStart"/>
      <w:r>
        <w:rPr>
          <w:rFonts w:hint="eastAsia"/>
        </w:rPr>
        <w:t>扣除受</w:t>
      </w:r>
      <w:proofErr w:type="gramEnd"/>
      <w:r>
        <w:rPr>
          <w:rFonts w:hint="eastAsia"/>
        </w:rPr>
        <w:t>让土地时向政府部门支付的土地价款后的余额为销售额。</w:t>
      </w:r>
    </w:p>
    <w:p w14:paraId="2C79C90E" w14:textId="77777777" w:rsidR="00495C65" w:rsidRDefault="00495C65" w:rsidP="00495C65">
      <w:pPr>
        <w:pStyle w:val="13"/>
      </w:pPr>
      <w:r>
        <w:rPr>
          <w:rFonts w:hint="eastAsia"/>
        </w:rPr>
        <w:t>（二）一般纳税人销售其</w:t>
      </w:r>
      <w:r>
        <w:t>2016年4月30日前取得的不动产（不含自建），适用一般计税方法计税的，以取得的全部价款和价外费用为销售额计算应纳税额。上述纳税人应以取得的全部价款和价外费用减去该项不动产购置原价或者取得不动产时的作价后的余额，按照5%的</w:t>
      </w:r>
      <w:proofErr w:type="gramStart"/>
      <w:r>
        <w:t>预征率向</w:t>
      </w:r>
      <w:proofErr w:type="gramEnd"/>
      <w:r>
        <w:t>不动产所在地的主管税务机关申报预缴增值税。</w:t>
      </w:r>
    </w:p>
    <w:p w14:paraId="5722E976" w14:textId="77777777" w:rsidR="00495C65" w:rsidRDefault="00495C65" w:rsidP="00495C65">
      <w:pPr>
        <w:pStyle w:val="13"/>
      </w:pPr>
      <w:r>
        <w:rPr>
          <w:rFonts w:hint="eastAsia"/>
        </w:rPr>
        <w:t>（三）一般纳税人销售其</w:t>
      </w:r>
      <w:r>
        <w:t>2016年4月30日前取得（不含自建）的不动产，可以选择适应简易计税方法，以全部收入减去该项不动产购置原价或者取得不动产时的作价后的余额，按照5%的</w:t>
      </w:r>
      <w:proofErr w:type="gramStart"/>
      <w:r>
        <w:t>预征率向</w:t>
      </w:r>
      <w:proofErr w:type="gramEnd"/>
      <w:r>
        <w:t>不动产所在地的主管税务机关申报预缴税款。</w:t>
      </w:r>
    </w:p>
    <w:p w14:paraId="716349BA" w14:textId="77777777" w:rsidR="00495C65" w:rsidRDefault="00495C65" w:rsidP="00495C65">
      <w:pPr>
        <w:pStyle w:val="13"/>
      </w:pPr>
      <w:r>
        <w:rPr>
          <w:rFonts w:hint="eastAsia"/>
        </w:rPr>
        <w:t>（四）一般纳税人销售其</w:t>
      </w:r>
      <w:r>
        <w:t>2016年5月1日后取得（不含自建）的不动产，应适用一般计税方法，以取得的全部价款和价外费用为销售额计算应纳税额。纳税人应以</w:t>
      </w:r>
      <w:r>
        <w:lastRenderedPageBreak/>
        <w:t>取得的全部价款和价外费用减去该项不动产购置原价或者取得不动产时的作价后的余额，按照5%的</w:t>
      </w:r>
      <w:proofErr w:type="gramStart"/>
      <w:r>
        <w:t>预征率向</w:t>
      </w:r>
      <w:proofErr w:type="gramEnd"/>
      <w:r>
        <w:t>不动产所在地的主管税务机关申报预缴税款。</w:t>
      </w:r>
    </w:p>
    <w:p w14:paraId="09105A10" w14:textId="77777777" w:rsidR="00495C65" w:rsidRDefault="00495C65" w:rsidP="00495C65">
      <w:pPr>
        <w:pStyle w:val="13"/>
      </w:pPr>
      <w:r>
        <w:rPr>
          <w:rFonts w:hint="eastAsia"/>
        </w:rPr>
        <w:t>（五）小规模纳税人销售其取得（不含自建）的不动产（不含个体工商户销售购买的住房和其他个人销售不动产），应以取得的全部价款和价外费用减去该项不动产购置原价或者取得不动产时的作价后的余额为销售额，按照</w:t>
      </w:r>
      <w:r>
        <w:t>5%的征收率计算应纳税额。纳税人应按照上述计税方法向不动产所在地的主管税务机关申报预缴税款。</w:t>
      </w:r>
    </w:p>
    <w:p w14:paraId="535BC418" w14:textId="77777777" w:rsidR="00495C65" w:rsidRDefault="00495C65" w:rsidP="00495C65">
      <w:pPr>
        <w:pStyle w:val="13"/>
      </w:pPr>
      <w:r>
        <w:rPr>
          <w:rFonts w:hint="eastAsia"/>
        </w:rPr>
        <w:t>（六）其他个人销售其取得（不含自建）的不动产（不含其购买的住房），应以取得的全部价款和价外费用减去该项不动产购置原价或者取得不动产时的作价后的余额为销售额，按照</w:t>
      </w:r>
      <w:r>
        <w:t>5%的</w:t>
      </w:r>
      <w:proofErr w:type="gramStart"/>
      <w:r>
        <w:t>征收率向不动产</w:t>
      </w:r>
      <w:proofErr w:type="gramEnd"/>
      <w:r>
        <w:t>所在地的主管税务机关申报缴纳增值税。</w:t>
      </w:r>
    </w:p>
    <w:p w14:paraId="027EB3F9" w14:textId="77777777" w:rsidR="00495C65" w:rsidRDefault="00495C65" w:rsidP="00495C65">
      <w:pPr>
        <w:pStyle w:val="13"/>
      </w:pPr>
      <w:r>
        <w:rPr>
          <w:rFonts w:hint="eastAsia"/>
        </w:rPr>
        <w:t>（七）个体工商户和个人销售购买的住房，将购买不足</w:t>
      </w:r>
      <w:r>
        <w:t>2年的住房对外销售的，按</w:t>
      </w:r>
      <w:r>
        <w:rPr>
          <w:rFonts w:hint="eastAsia"/>
        </w:rPr>
        <w:t>照</w:t>
      </w:r>
      <w:r>
        <w:t>5%的征收率全额缴纳增值税；将购买2年以上（含2年）的非普通住房对外销售的，以销售收入减去购买住房价款后的差额按照5%的征收率缴纳增值税；个人将购买2年以上（含2年）的普通住房对外销售的，免征增值税。</w:t>
      </w:r>
    </w:p>
    <w:p w14:paraId="51CB1679" w14:textId="77777777" w:rsidR="00495C65" w:rsidRDefault="00495C65" w:rsidP="00495C65">
      <w:pPr>
        <w:pStyle w:val="13"/>
      </w:pPr>
      <w:r>
        <w:rPr>
          <w:rFonts w:hint="eastAsia"/>
        </w:rPr>
        <w:t>（八）纳税人转让</w:t>
      </w:r>
      <w:r>
        <w:t>2016年4月30日前取得的土地使用权，可以选择适用简易计税方法，以取得的全部价款和价外费用减去取得该土地使用权的原价后的余额为销售额，按照5%的征收率计算缴纳增值税。</w:t>
      </w:r>
    </w:p>
    <w:p w14:paraId="7729F094" w14:textId="77777777" w:rsidR="00495C65" w:rsidRDefault="00495C65" w:rsidP="00495C65">
      <w:pPr>
        <w:pStyle w:val="13"/>
      </w:pPr>
      <w:r>
        <w:rPr>
          <w:rFonts w:hint="eastAsia"/>
        </w:rPr>
        <w:t>（九）《中华人民共和国增值税暂行条例实施细则》第九条所称的其他个人，采取一次性收取租金形式出租不动产取得的租金收入，可在对应的租赁期内平均分摊，分摊后的月租金收入未超过</w:t>
      </w:r>
      <w:r>
        <w:t>10万元的，免征增值税。</w:t>
      </w:r>
    </w:p>
    <w:p w14:paraId="1EFF5FB2" w14:textId="77777777" w:rsidR="00495C65" w:rsidRDefault="00495C65" w:rsidP="00495C65">
      <w:pPr>
        <w:pStyle w:val="ab"/>
        <w:spacing w:before="62" w:after="62"/>
        <w:ind w:firstLine="482"/>
      </w:pPr>
      <w:r>
        <w:rPr>
          <w:rFonts w:hint="eastAsia"/>
        </w:rPr>
        <w:t>九、估价过程中应注意的其他问题</w:t>
      </w:r>
    </w:p>
    <w:p w14:paraId="4606E1F1" w14:textId="77777777" w:rsidR="00495C65" w:rsidRDefault="00495C65" w:rsidP="00495C65">
      <w:pPr>
        <w:pStyle w:val="13"/>
      </w:pPr>
      <w:r>
        <w:rPr>
          <w:rFonts w:hint="eastAsia"/>
        </w:rPr>
        <w:t>（一）在估价过程中，要准确判定属于一般纳税人、小规模纳税人等。要区分增值税销项税额、增值税进项税额、增值税应纳税额，根据具体情况确定如何计算使用。要准确表达适用增值税率、征收率等概念。</w:t>
      </w:r>
    </w:p>
    <w:p w14:paraId="1116AFD3" w14:textId="77777777" w:rsidR="00495C65" w:rsidRDefault="00495C65" w:rsidP="00495C65">
      <w:pPr>
        <w:pStyle w:val="13"/>
      </w:pPr>
      <w:r>
        <w:rPr>
          <w:rFonts w:hint="eastAsia"/>
        </w:rPr>
        <w:t>（二）上述涉及的增值税率（或征收率）应按国家税务部门发布的最新增值税率（或征收率）及时更新调整。</w:t>
      </w:r>
    </w:p>
    <w:p w14:paraId="2E63D9E4" w14:textId="77777777" w:rsidR="00495C65" w:rsidRDefault="00495C65" w:rsidP="00495C65">
      <w:pPr>
        <w:pStyle w:val="13"/>
      </w:pPr>
      <w:r>
        <w:rPr>
          <w:rFonts w:hint="eastAsia"/>
        </w:rPr>
        <w:t>（三）“营改增”后，房地产转让市场、房屋租赁市场及建筑成本、房地产行业利润水平等有可能发生变化，房地产估价机构和房地产估价师要做好市场调研工作，及时更新基础数据、计算参数等技术资料。</w:t>
      </w:r>
    </w:p>
    <w:p w14:paraId="47AAC80F" w14:textId="77777777" w:rsidR="00495C65" w:rsidRDefault="00495C65" w:rsidP="00495C65">
      <w:pPr>
        <w:pStyle w:val="13"/>
      </w:pPr>
      <w:r>
        <w:rPr>
          <w:rFonts w:hint="eastAsia"/>
        </w:rPr>
        <w:t>（四）增值税的计算比原营业税的计算相对复杂，房地产估价师应认真学习相关内容并及时关注最新信息，防止漏算、错算。</w:t>
      </w:r>
    </w:p>
    <w:p w14:paraId="7DC9C52E" w14:textId="77777777" w:rsidR="00495C65" w:rsidRDefault="00495C65" w:rsidP="00495C65">
      <w:pPr>
        <w:pStyle w:val="13"/>
      </w:pPr>
      <w:r>
        <w:rPr>
          <w:rFonts w:hint="eastAsia"/>
        </w:rPr>
        <w:t>（五）全疆各房地产估价机构在使用本技术指引中，如遇其他特殊情况，应及时向协会反馈意见。</w:t>
      </w:r>
    </w:p>
    <w:p w14:paraId="409E7ED4" w14:textId="77777777" w:rsidR="00495C65" w:rsidRDefault="00495C65" w:rsidP="00495C65">
      <w:pPr>
        <w:pStyle w:val="13"/>
      </w:pPr>
      <w:r>
        <w:rPr>
          <w:rFonts w:hint="eastAsia"/>
        </w:rPr>
        <w:t>（六）该指引自发布之日起执行。</w:t>
      </w:r>
    </w:p>
    <w:p w14:paraId="1B747471" w14:textId="77777777" w:rsidR="00495C65" w:rsidRDefault="00495C65" w:rsidP="004E3EBB">
      <w:pPr>
        <w:pStyle w:val="ab"/>
        <w:spacing w:before="62" w:after="62"/>
        <w:ind w:firstLine="482"/>
      </w:pPr>
      <w:r>
        <w:rPr>
          <w:rFonts w:hint="eastAsia"/>
        </w:rPr>
        <w:lastRenderedPageBreak/>
        <w:t>（附录：计算公式）</w:t>
      </w:r>
    </w:p>
    <w:p w14:paraId="5DA3DC54" w14:textId="77777777" w:rsidR="00495C65" w:rsidRDefault="00495C65" w:rsidP="004E3EBB">
      <w:pPr>
        <w:pStyle w:val="ab"/>
        <w:spacing w:before="62" w:after="62"/>
        <w:ind w:firstLine="482"/>
      </w:pPr>
      <w:r>
        <w:rPr>
          <w:rFonts w:hint="eastAsia"/>
        </w:rPr>
        <w:t>一、比较法估价增值税计算公式</w:t>
      </w:r>
    </w:p>
    <w:p w14:paraId="72487514" w14:textId="77777777" w:rsidR="00495C65" w:rsidRDefault="00495C65" w:rsidP="00495C65">
      <w:pPr>
        <w:pStyle w:val="13"/>
      </w:pPr>
      <w:r>
        <w:t>1、单位和个人转让不动产增值税计算（不适用房地产开发企业销售自行开发的房地产项目）</w:t>
      </w:r>
    </w:p>
    <w:p w14:paraId="60C0760D" w14:textId="77777777" w:rsidR="00495C65" w:rsidRDefault="00495C65" w:rsidP="00495C65">
      <w:pPr>
        <w:pStyle w:val="13"/>
      </w:pPr>
      <w:r>
        <w:rPr>
          <w:rFonts w:hint="eastAsia"/>
        </w:rPr>
        <w:t>（1）一般纳税人</w:t>
      </w:r>
    </w:p>
    <w:p w14:paraId="527DBF3E" w14:textId="77777777" w:rsidR="00495C65" w:rsidRDefault="00495C65" w:rsidP="00495C65">
      <w:pPr>
        <w:pStyle w:val="13"/>
      </w:pPr>
      <w:r>
        <w:rPr>
          <w:rFonts w:hint="eastAsia"/>
        </w:rPr>
        <w:t>转让</w:t>
      </w:r>
      <w:r>
        <w:t>2016年4月30前不动产，可选择简易计税方法计税或一般计税方法计税。转</w:t>
      </w:r>
      <w:r>
        <w:rPr>
          <w:rFonts w:hint="eastAsia"/>
        </w:rPr>
        <w:t>让</w:t>
      </w:r>
      <w:r>
        <w:t>2016年5月1日后不动产，适用一般计税方法计税。</w:t>
      </w:r>
    </w:p>
    <w:p w14:paraId="3D1E844A" w14:textId="77777777" w:rsidR="00495C65" w:rsidRDefault="00495C65" w:rsidP="00495C65">
      <w:pPr>
        <w:pStyle w:val="13"/>
      </w:pPr>
      <w:r>
        <w:t>简易计税方法：</w:t>
      </w:r>
    </w:p>
    <w:p w14:paraId="56C5F1C2" w14:textId="77777777" w:rsidR="00495C65" w:rsidRDefault="00495C65" w:rsidP="00495C65">
      <w:pPr>
        <w:pStyle w:val="13"/>
      </w:pPr>
      <w:r>
        <w:rPr>
          <w:rFonts w:hint="eastAsia"/>
        </w:rPr>
        <w:t>公式</w:t>
      </w:r>
      <w:r>
        <w:t>1：适用于转让2016年4月30日前取得（不含自建）的不动产</w:t>
      </w:r>
    </w:p>
    <w:p w14:paraId="02D88861" w14:textId="77777777" w:rsidR="00495C65" w:rsidRPr="00292E4D" w:rsidRDefault="00495C65" w:rsidP="00495C65">
      <w:pPr>
        <w:pStyle w:val="13"/>
      </w:pPr>
      <w:r w:rsidRPr="00292E4D">
        <w:rPr>
          <w:rFonts w:hint="eastAsia"/>
        </w:rPr>
        <w:t>应纳增值税</w:t>
      </w:r>
      <w:r w:rsidRPr="00292E4D">
        <w:t>=（全部价款和价外费用-不动产购置原价或取得不动产时的作价）÷</w:t>
      </w:r>
      <w:r w:rsidRPr="00292E4D">
        <w:rPr>
          <w:rFonts w:hint="eastAsia"/>
        </w:rPr>
        <w:t>（</w:t>
      </w:r>
      <w:r w:rsidRPr="00292E4D">
        <w:t>1+5﹪）×5﹪</w:t>
      </w:r>
    </w:p>
    <w:p w14:paraId="47F4B01A" w14:textId="77777777" w:rsidR="00495C65" w:rsidRDefault="00495C65" w:rsidP="00495C65">
      <w:pPr>
        <w:pStyle w:val="13"/>
      </w:pPr>
      <w:r>
        <w:rPr>
          <w:rFonts w:hint="eastAsia"/>
        </w:rPr>
        <w:t>公式</w:t>
      </w:r>
      <w:r>
        <w:t>2：适用于转让2016年4月30日前自建的不动产</w:t>
      </w:r>
    </w:p>
    <w:p w14:paraId="1114BE80" w14:textId="77777777" w:rsidR="00495C65" w:rsidRDefault="00495C65" w:rsidP="00495C65">
      <w:pPr>
        <w:pStyle w:val="13"/>
      </w:pPr>
      <w:r>
        <w:t>应纳增值税=全部价款和价外费用÷（1+5﹪）×5﹪</w:t>
      </w:r>
    </w:p>
    <w:p w14:paraId="63DCF1F0" w14:textId="77777777" w:rsidR="00495C65" w:rsidRDefault="00495C65" w:rsidP="00495C65">
      <w:pPr>
        <w:pStyle w:val="13"/>
      </w:pPr>
      <w:r>
        <w:t>一般计税方法：</w:t>
      </w:r>
    </w:p>
    <w:p w14:paraId="2E3A824B" w14:textId="77777777" w:rsidR="00495C65" w:rsidRDefault="00495C65" w:rsidP="00495C65">
      <w:pPr>
        <w:pStyle w:val="13"/>
      </w:pPr>
      <w:r>
        <w:rPr>
          <w:rFonts w:hint="eastAsia"/>
        </w:rPr>
        <w:t>公式</w:t>
      </w:r>
      <w:r>
        <w:t>3：一般计税方法销项税额计算公式</w:t>
      </w:r>
    </w:p>
    <w:p w14:paraId="15A545A0" w14:textId="77777777" w:rsidR="00495C65" w:rsidRDefault="00495C65" w:rsidP="00495C65">
      <w:pPr>
        <w:pStyle w:val="13"/>
      </w:pPr>
      <w:r>
        <w:rPr>
          <w:rFonts w:hint="eastAsia"/>
        </w:rPr>
        <w:t>销项税额</w:t>
      </w:r>
      <w:r>
        <w:t>=全部价款和价外费用÷（1+10﹪）×10﹪</w:t>
      </w:r>
    </w:p>
    <w:p w14:paraId="006CBE75" w14:textId="77777777" w:rsidR="00495C65" w:rsidRDefault="00495C65" w:rsidP="00495C65">
      <w:pPr>
        <w:pStyle w:val="13"/>
      </w:pPr>
      <w:r w:rsidRPr="00F75A20">
        <w:rPr>
          <w:rFonts w:hint="eastAsia"/>
        </w:rPr>
        <w:t>（</w:t>
      </w:r>
      <w:r>
        <w:t>2</w:t>
      </w:r>
      <w:r w:rsidRPr="00F75A20">
        <w:t>）</w:t>
      </w:r>
      <w:r>
        <w:rPr>
          <w:rFonts w:hint="eastAsia"/>
        </w:rPr>
        <w:t>小规模纳税人（个人转让其购买的住房除外）</w:t>
      </w:r>
    </w:p>
    <w:p w14:paraId="66D32BE0" w14:textId="77777777" w:rsidR="00495C65" w:rsidRDefault="00495C65" w:rsidP="00495C65">
      <w:pPr>
        <w:pStyle w:val="13"/>
      </w:pPr>
      <w:r>
        <w:rPr>
          <w:rFonts w:hint="eastAsia"/>
        </w:rPr>
        <w:t>公式</w:t>
      </w:r>
      <w:r>
        <w:t>4：适用于小规模纳税人转让其取得（不含自建）的不动产</w:t>
      </w:r>
    </w:p>
    <w:p w14:paraId="4E471202" w14:textId="77777777" w:rsidR="00495C65" w:rsidRDefault="00495C65" w:rsidP="00495C65">
      <w:pPr>
        <w:pStyle w:val="13"/>
      </w:pPr>
      <w:r>
        <w:rPr>
          <w:rFonts w:hint="eastAsia"/>
        </w:rPr>
        <w:t>应纳税额</w:t>
      </w:r>
      <w:r>
        <w:t>=（全部价款和价外费用-不动产购置原价或取得不动产时的作价）÷（1+5</w:t>
      </w:r>
      <w:r>
        <w:rPr>
          <w:rFonts w:hint="eastAsia"/>
        </w:rPr>
        <w:t>﹪）×</w:t>
      </w:r>
      <w:r>
        <w:t>5﹪</w:t>
      </w:r>
    </w:p>
    <w:p w14:paraId="178AAFAB" w14:textId="77777777" w:rsidR="00495C65" w:rsidRDefault="00495C65" w:rsidP="00495C65">
      <w:pPr>
        <w:pStyle w:val="13"/>
      </w:pPr>
      <w:r>
        <w:rPr>
          <w:rFonts w:hint="eastAsia"/>
        </w:rPr>
        <w:t>公式</w:t>
      </w:r>
      <w:r>
        <w:t>5：适用小规模纳税人转让其自建的不动产</w:t>
      </w:r>
    </w:p>
    <w:p w14:paraId="3E81FDE6" w14:textId="77777777" w:rsidR="00495C65" w:rsidRDefault="00495C65" w:rsidP="00495C65">
      <w:pPr>
        <w:pStyle w:val="13"/>
      </w:pPr>
      <w:r>
        <w:t>应纳税额=全部价款和价外费用÷（1+5﹪）×5﹪</w:t>
      </w:r>
    </w:p>
    <w:p w14:paraId="1BF64509" w14:textId="77777777" w:rsidR="00495C65" w:rsidRDefault="00495C65" w:rsidP="00495C65">
      <w:pPr>
        <w:pStyle w:val="13"/>
      </w:pPr>
      <w:r w:rsidRPr="00CD72CB">
        <w:rPr>
          <w:rFonts w:hint="eastAsia"/>
        </w:rPr>
        <w:t>（</w:t>
      </w:r>
      <w:r>
        <w:t>3</w:t>
      </w:r>
      <w:r w:rsidRPr="00CD72CB">
        <w:t>）</w:t>
      </w:r>
      <w:r>
        <w:rPr>
          <w:rFonts w:hint="eastAsia"/>
        </w:rPr>
        <w:t>个人转让其购买的住宅</w:t>
      </w:r>
    </w:p>
    <w:p w14:paraId="51C33400" w14:textId="77777777" w:rsidR="00495C65" w:rsidRDefault="00495C65" w:rsidP="00495C65">
      <w:pPr>
        <w:pStyle w:val="13"/>
      </w:pPr>
      <w:r>
        <w:rPr>
          <w:rFonts w:hint="eastAsia"/>
        </w:rPr>
        <w:t>公式</w:t>
      </w:r>
      <w:r>
        <w:t>6：适用于个人将购买不足2年的住房对外销售</w:t>
      </w:r>
    </w:p>
    <w:p w14:paraId="48AEB3A6" w14:textId="77777777" w:rsidR="00495C65" w:rsidRDefault="00495C65" w:rsidP="00495C65">
      <w:pPr>
        <w:pStyle w:val="13"/>
      </w:pPr>
      <w:r>
        <w:t>应纳增值税=全部价款和价外费用÷（1+5﹪）×5﹪</w:t>
      </w:r>
    </w:p>
    <w:p w14:paraId="712EC45D" w14:textId="77777777" w:rsidR="00495C65" w:rsidRDefault="00495C65" w:rsidP="00495C65">
      <w:pPr>
        <w:pStyle w:val="13"/>
      </w:pPr>
      <w:r>
        <w:t>2</w:t>
      </w:r>
      <w:r>
        <w:rPr>
          <w:rFonts w:hint="eastAsia"/>
        </w:rPr>
        <w:t>、</w:t>
      </w:r>
      <w:r>
        <w:t>房地产开发企业销售自行开发的房地产项目增值税计算</w:t>
      </w:r>
    </w:p>
    <w:p w14:paraId="2A30148E" w14:textId="77777777" w:rsidR="00495C65" w:rsidRDefault="00495C65" w:rsidP="00495C65">
      <w:pPr>
        <w:pStyle w:val="13"/>
      </w:pPr>
      <w:r w:rsidRPr="00863DE4">
        <w:rPr>
          <w:rFonts w:hint="eastAsia"/>
        </w:rPr>
        <w:t>（</w:t>
      </w:r>
      <w:r w:rsidRPr="00863DE4">
        <w:t>1）</w:t>
      </w:r>
      <w:r>
        <w:rPr>
          <w:rFonts w:hint="eastAsia"/>
        </w:rPr>
        <w:t>一般纳税人</w:t>
      </w:r>
    </w:p>
    <w:p w14:paraId="11914D4D" w14:textId="77777777" w:rsidR="00495C65" w:rsidRDefault="00495C65" w:rsidP="00495C65">
      <w:pPr>
        <w:pStyle w:val="13"/>
      </w:pPr>
      <w:r>
        <w:rPr>
          <w:rFonts w:hint="eastAsia"/>
        </w:rPr>
        <w:t>公式</w:t>
      </w:r>
      <w:r>
        <w:t>7：一般计税方法</w:t>
      </w:r>
    </w:p>
    <w:p w14:paraId="0E4F41EA" w14:textId="77777777" w:rsidR="00495C65" w:rsidRDefault="00495C65" w:rsidP="00495C65">
      <w:pPr>
        <w:pStyle w:val="13"/>
      </w:pPr>
      <w:r>
        <w:rPr>
          <w:rFonts w:hint="eastAsia"/>
        </w:rPr>
        <w:t>应纳销项税额</w:t>
      </w:r>
      <w:r>
        <w:t>=（全部价款和价外费用-当期允许扣除的土地价款）÷（1+10﹪）×10﹪；</w:t>
      </w:r>
    </w:p>
    <w:p w14:paraId="11A077AA" w14:textId="77777777" w:rsidR="00495C65" w:rsidRDefault="00495C65" w:rsidP="00495C65">
      <w:pPr>
        <w:pStyle w:val="13"/>
      </w:pPr>
      <w:r>
        <w:rPr>
          <w:rFonts w:hint="eastAsia"/>
        </w:rPr>
        <w:t>当期允许扣除的土地价款</w:t>
      </w:r>
      <w:r>
        <w:t>=（当期销售房地产项目建筑面积÷房地产项目可供销售建筑面积）×支付的土地价款</w:t>
      </w:r>
    </w:p>
    <w:p w14:paraId="541B7D70" w14:textId="77777777" w:rsidR="00495C65" w:rsidRDefault="00495C65" w:rsidP="00495C65">
      <w:pPr>
        <w:pStyle w:val="13"/>
      </w:pPr>
      <w:r>
        <w:rPr>
          <w:rFonts w:hint="eastAsia"/>
        </w:rPr>
        <w:t>公式</w:t>
      </w:r>
      <w:r>
        <w:t>8：房地产老项目，可以选用的简易计税方法</w:t>
      </w:r>
    </w:p>
    <w:p w14:paraId="3DA812DF" w14:textId="77777777" w:rsidR="00495C65" w:rsidRDefault="00495C65" w:rsidP="00495C65">
      <w:pPr>
        <w:pStyle w:val="13"/>
      </w:pPr>
      <w:r>
        <w:rPr>
          <w:rFonts w:hint="eastAsia"/>
        </w:rPr>
        <w:t>应纳税额</w:t>
      </w:r>
      <w:r>
        <w:t>=全部价款和价外费用÷（1+5﹪）×5﹪；</w:t>
      </w:r>
    </w:p>
    <w:p w14:paraId="73E8BF0A" w14:textId="77777777" w:rsidR="00495C65" w:rsidRDefault="00495C65" w:rsidP="00495C65">
      <w:pPr>
        <w:pStyle w:val="13"/>
      </w:pPr>
      <w:r w:rsidRPr="00863DE4">
        <w:rPr>
          <w:rFonts w:hint="eastAsia"/>
        </w:rPr>
        <w:lastRenderedPageBreak/>
        <w:t>（</w:t>
      </w:r>
      <w:r>
        <w:t>2</w:t>
      </w:r>
      <w:r w:rsidRPr="00863DE4">
        <w:t>）</w:t>
      </w:r>
      <w:r>
        <w:rPr>
          <w:rFonts w:hint="eastAsia"/>
        </w:rPr>
        <w:t>小规模纳税人</w:t>
      </w:r>
    </w:p>
    <w:p w14:paraId="42F5CE28" w14:textId="77777777" w:rsidR="00495C65" w:rsidRDefault="00495C65" w:rsidP="00495C65">
      <w:pPr>
        <w:pStyle w:val="13"/>
      </w:pPr>
      <w:r>
        <w:rPr>
          <w:rFonts w:hint="eastAsia"/>
        </w:rPr>
        <w:t>公式</w:t>
      </w:r>
      <w:r>
        <w:t>9：小规模纳税人，适用简易计税方法</w:t>
      </w:r>
    </w:p>
    <w:p w14:paraId="6AF2A12E" w14:textId="77777777" w:rsidR="00495C65" w:rsidRDefault="00495C65" w:rsidP="00495C65">
      <w:pPr>
        <w:pStyle w:val="13"/>
      </w:pPr>
      <w:r>
        <w:rPr>
          <w:rFonts w:hint="eastAsia"/>
        </w:rPr>
        <w:t>应纳税额</w:t>
      </w:r>
      <w:r>
        <w:t>=全部价款和价外费用÷（1+5﹪）×5﹪；</w:t>
      </w:r>
    </w:p>
    <w:p w14:paraId="791E5AF1" w14:textId="77777777" w:rsidR="00495C65" w:rsidRDefault="00495C65" w:rsidP="004E3EBB">
      <w:pPr>
        <w:pStyle w:val="ab"/>
        <w:spacing w:before="62" w:after="62"/>
        <w:ind w:firstLine="482"/>
      </w:pPr>
      <w:r>
        <w:t>二、收益法估价增值税计算公式</w:t>
      </w:r>
    </w:p>
    <w:p w14:paraId="1C93CBDC" w14:textId="77777777" w:rsidR="00495C65" w:rsidRDefault="00495C65" w:rsidP="00495C65">
      <w:pPr>
        <w:pStyle w:val="13"/>
      </w:pPr>
      <w:r>
        <w:rPr>
          <w:rFonts w:hint="eastAsia"/>
        </w:rPr>
        <w:t>以经营租赁方式出租其取得不动产增值税计算</w:t>
      </w:r>
    </w:p>
    <w:p w14:paraId="6D007795" w14:textId="77777777" w:rsidR="00495C65" w:rsidRDefault="00495C65" w:rsidP="00495C65">
      <w:pPr>
        <w:pStyle w:val="13"/>
      </w:pPr>
      <w:r>
        <w:rPr>
          <w:rFonts w:hint="eastAsia"/>
        </w:rPr>
        <w:t>1、一般纳税人</w:t>
      </w:r>
    </w:p>
    <w:p w14:paraId="45F885F7" w14:textId="77777777" w:rsidR="00495C65" w:rsidRDefault="00495C65" w:rsidP="00495C65">
      <w:pPr>
        <w:pStyle w:val="13"/>
      </w:pPr>
      <w:r>
        <w:rPr>
          <w:rFonts w:hint="eastAsia"/>
        </w:rPr>
        <w:t>出租</w:t>
      </w:r>
      <w:r>
        <w:t>2016年4月30前取得的不动产，可选择简易计税方法计税或一般计税方法计</w:t>
      </w:r>
      <w:r>
        <w:rPr>
          <w:rFonts w:hint="eastAsia"/>
        </w:rPr>
        <w:t>税。出租</w:t>
      </w:r>
      <w:r>
        <w:t>2016年5月1日后不动产，适用一般计税方法计税。</w:t>
      </w:r>
    </w:p>
    <w:p w14:paraId="6A3831DD" w14:textId="77777777" w:rsidR="00495C65" w:rsidRDefault="00495C65" w:rsidP="00495C65">
      <w:pPr>
        <w:pStyle w:val="13"/>
      </w:pPr>
      <w:r>
        <w:t>简易计税方法：</w:t>
      </w:r>
    </w:p>
    <w:p w14:paraId="08DDE306" w14:textId="77777777" w:rsidR="00495C65" w:rsidRDefault="00495C65" w:rsidP="00495C65">
      <w:pPr>
        <w:pStyle w:val="13"/>
      </w:pPr>
      <w:r>
        <w:rPr>
          <w:rFonts w:hint="eastAsia"/>
        </w:rPr>
        <w:t>公式</w:t>
      </w:r>
      <w:r>
        <w:t>10：适用出租2016年4月30日前取得的不动产</w:t>
      </w:r>
    </w:p>
    <w:p w14:paraId="435B1AB2" w14:textId="77777777" w:rsidR="00495C65" w:rsidRDefault="00495C65" w:rsidP="00495C65">
      <w:pPr>
        <w:pStyle w:val="13"/>
      </w:pPr>
      <w:r>
        <w:t>应纳税额=含税租赁收入÷（1+5﹪）×5﹪；</w:t>
      </w:r>
    </w:p>
    <w:p w14:paraId="191BFD60" w14:textId="77777777" w:rsidR="00495C65" w:rsidRDefault="00495C65" w:rsidP="00495C65">
      <w:pPr>
        <w:pStyle w:val="13"/>
      </w:pPr>
      <w:r>
        <w:rPr>
          <w:rFonts w:hint="eastAsia"/>
        </w:rPr>
        <w:t>一般计税方法：</w:t>
      </w:r>
    </w:p>
    <w:p w14:paraId="61D41621" w14:textId="77777777" w:rsidR="00495C65" w:rsidRDefault="00495C65" w:rsidP="00495C65">
      <w:pPr>
        <w:pStyle w:val="13"/>
      </w:pPr>
      <w:r>
        <w:rPr>
          <w:rFonts w:hint="eastAsia"/>
        </w:rPr>
        <w:t>公式</w:t>
      </w:r>
      <w:r>
        <w:t>11：一般计税方法销项税额计算公式</w:t>
      </w:r>
    </w:p>
    <w:p w14:paraId="2061CA0E" w14:textId="77777777" w:rsidR="00495C65" w:rsidRDefault="00495C65" w:rsidP="00495C65">
      <w:pPr>
        <w:pStyle w:val="13"/>
      </w:pPr>
      <w:r>
        <w:rPr>
          <w:rFonts w:hint="eastAsia"/>
        </w:rPr>
        <w:t>销项税额</w:t>
      </w:r>
      <w:r>
        <w:t>=含税租赁收入÷（1+10﹪）×10﹪；</w:t>
      </w:r>
    </w:p>
    <w:p w14:paraId="62913B4C" w14:textId="77777777" w:rsidR="00495C65" w:rsidRDefault="00495C65" w:rsidP="00495C65">
      <w:pPr>
        <w:pStyle w:val="13"/>
      </w:pPr>
      <w:r>
        <w:rPr>
          <w:rFonts w:hint="eastAsia"/>
        </w:rPr>
        <w:t>2、小规模纳税人</w:t>
      </w:r>
    </w:p>
    <w:p w14:paraId="789CC5FF" w14:textId="77777777" w:rsidR="00495C65" w:rsidRDefault="00495C65" w:rsidP="00495C65">
      <w:pPr>
        <w:pStyle w:val="13"/>
      </w:pPr>
      <w:r>
        <w:rPr>
          <w:rFonts w:hint="eastAsia"/>
        </w:rPr>
        <w:t>公式</w:t>
      </w:r>
      <w:r>
        <w:t>12：（适用出租除住房以外的不动产）</w:t>
      </w:r>
    </w:p>
    <w:p w14:paraId="3164BD5A" w14:textId="77777777" w:rsidR="00495C65" w:rsidRDefault="00495C65" w:rsidP="00495C65">
      <w:pPr>
        <w:pStyle w:val="13"/>
      </w:pPr>
      <w:r>
        <w:t>应纳税额=含税租赁收入÷（1+5﹪）×5﹪</w:t>
      </w:r>
    </w:p>
    <w:p w14:paraId="00C0E6F6" w14:textId="77777777" w:rsidR="00495C65" w:rsidRDefault="00495C65" w:rsidP="00495C65">
      <w:pPr>
        <w:pStyle w:val="13"/>
      </w:pPr>
      <w:r>
        <w:rPr>
          <w:rFonts w:hint="eastAsia"/>
        </w:rPr>
        <w:t>公式</w:t>
      </w:r>
      <w:r>
        <w:t>13：适用个体工商户和其他个人出租住房</w:t>
      </w:r>
    </w:p>
    <w:p w14:paraId="036926DD" w14:textId="77777777" w:rsidR="00495C65" w:rsidRDefault="00495C65" w:rsidP="00495C65">
      <w:pPr>
        <w:pStyle w:val="13"/>
      </w:pPr>
      <w:r>
        <w:t>应纳税额=含税租赁收入÷（1+5﹪）×1.5﹪</w:t>
      </w:r>
    </w:p>
    <w:p w14:paraId="7404A84D" w14:textId="77777777" w:rsidR="00495C65" w:rsidRDefault="00495C65" w:rsidP="00495C65">
      <w:pPr>
        <w:pStyle w:val="13"/>
      </w:pPr>
      <w:r>
        <w:t>公式14：适用单位出租住房</w:t>
      </w:r>
      <w:r>
        <w:rPr>
          <w:rFonts w:hint="eastAsia"/>
        </w:rPr>
        <w:t>2</w:t>
      </w:r>
    </w:p>
    <w:p w14:paraId="71B98A43" w14:textId="77777777" w:rsidR="00495C65" w:rsidRDefault="00495C65" w:rsidP="00495C65">
      <w:pPr>
        <w:pStyle w:val="13"/>
      </w:pPr>
      <w:r>
        <w:rPr>
          <w:rFonts w:hint="eastAsia"/>
        </w:rPr>
        <w:t>应纳税额</w:t>
      </w:r>
      <w:r>
        <w:t>=含税租赁收入÷（1+5﹪）×5﹪</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774"/>
        <w:gridCol w:w="1538"/>
        <w:gridCol w:w="4048"/>
      </w:tblGrid>
      <w:tr w:rsidR="00495C65" w:rsidRPr="004E3EBB" w14:paraId="6E115B3F" w14:textId="77777777" w:rsidTr="004E3EBB">
        <w:trPr>
          <w:trHeight w:val="541"/>
          <w:jc w:val="center"/>
        </w:trPr>
        <w:tc>
          <w:tcPr>
            <w:tcW w:w="780" w:type="pct"/>
            <w:vAlign w:val="center"/>
          </w:tcPr>
          <w:p w14:paraId="75FA29B1"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纳税主体</w:t>
            </w:r>
          </w:p>
        </w:tc>
        <w:tc>
          <w:tcPr>
            <w:tcW w:w="1017" w:type="pct"/>
            <w:vAlign w:val="center"/>
          </w:tcPr>
          <w:p w14:paraId="191E6729"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类型/纳税对象</w:t>
            </w:r>
          </w:p>
        </w:tc>
        <w:tc>
          <w:tcPr>
            <w:tcW w:w="882" w:type="pct"/>
            <w:vAlign w:val="center"/>
          </w:tcPr>
          <w:p w14:paraId="3E684D1D"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征收率/税率</w:t>
            </w:r>
          </w:p>
        </w:tc>
        <w:tc>
          <w:tcPr>
            <w:tcW w:w="2321" w:type="pct"/>
            <w:vAlign w:val="center"/>
          </w:tcPr>
          <w:p w14:paraId="4263145F"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计算税款公式</w:t>
            </w:r>
          </w:p>
        </w:tc>
      </w:tr>
      <w:tr w:rsidR="00495C65" w:rsidRPr="004E3EBB" w14:paraId="3056759C" w14:textId="77777777" w:rsidTr="004E3EBB">
        <w:trPr>
          <w:trHeight w:val="482"/>
          <w:jc w:val="center"/>
        </w:trPr>
        <w:tc>
          <w:tcPr>
            <w:tcW w:w="780" w:type="pct"/>
            <w:vMerge w:val="restart"/>
            <w:vAlign w:val="center"/>
          </w:tcPr>
          <w:p w14:paraId="2AE67ED1" w14:textId="77777777" w:rsidR="00495C65" w:rsidRPr="004E3EBB" w:rsidRDefault="00495C65" w:rsidP="004E3EBB">
            <w:pPr>
              <w:pStyle w:val="13"/>
              <w:spacing w:line="240" w:lineRule="auto"/>
              <w:ind w:firstLineChars="0" w:firstLine="0"/>
              <w:rPr>
                <w:sz w:val="21"/>
                <w:szCs w:val="21"/>
              </w:rPr>
            </w:pPr>
            <w:r w:rsidRPr="004E3EBB">
              <w:rPr>
                <w:sz w:val="21"/>
                <w:szCs w:val="21"/>
              </w:rPr>
              <w:t>小规模纳税人、其他个人</w:t>
            </w:r>
          </w:p>
        </w:tc>
        <w:tc>
          <w:tcPr>
            <w:tcW w:w="1017" w:type="pct"/>
            <w:vAlign w:val="center"/>
          </w:tcPr>
          <w:p w14:paraId="679BE660" w14:textId="77777777" w:rsidR="00495C65" w:rsidRPr="004E3EBB" w:rsidRDefault="00495C65" w:rsidP="004E3EBB">
            <w:pPr>
              <w:pStyle w:val="13"/>
              <w:spacing w:line="240" w:lineRule="auto"/>
              <w:ind w:firstLineChars="0" w:firstLine="0"/>
              <w:rPr>
                <w:sz w:val="21"/>
                <w:szCs w:val="21"/>
              </w:rPr>
            </w:pPr>
            <w:r w:rsidRPr="004E3EBB">
              <w:rPr>
                <w:sz w:val="21"/>
                <w:szCs w:val="21"/>
              </w:rPr>
              <w:t>单位和个体工商户</w:t>
            </w:r>
          </w:p>
        </w:tc>
        <w:tc>
          <w:tcPr>
            <w:tcW w:w="882" w:type="pct"/>
            <w:vAlign w:val="center"/>
          </w:tcPr>
          <w:p w14:paraId="62E1D188"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w:t>
            </w:r>
          </w:p>
        </w:tc>
        <w:tc>
          <w:tcPr>
            <w:tcW w:w="2321" w:type="pct"/>
            <w:vAlign w:val="center"/>
          </w:tcPr>
          <w:p w14:paraId="0C303463" w14:textId="77777777" w:rsidR="00495C65" w:rsidRPr="004E3EBB" w:rsidRDefault="00495C65" w:rsidP="004E3EBB">
            <w:pPr>
              <w:pStyle w:val="13"/>
              <w:spacing w:line="240" w:lineRule="auto"/>
              <w:ind w:firstLineChars="0" w:firstLine="0"/>
              <w:rPr>
                <w:sz w:val="21"/>
                <w:szCs w:val="21"/>
              </w:rPr>
            </w:pPr>
            <w:r w:rsidRPr="004E3EBB">
              <w:rPr>
                <w:sz w:val="21"/>
                <w:szCs w:val="21"/>
              </w:rPr>
              <w:t>应纳增值税=含税销售额/（1+5%）×5%</w:t>
            </w:r>
          </w:p>
        </w:tc>
      </w:tr>
      <w:tr w:rsidR="00495C65" w:rsidRPr="004E3EBB" w14:paraId="59A39333" w14:textId="77777777" w:rsidTr="004E3EBB">
        <w:trPr>
          <w:trHeight w:val="676"/>
          <w:jc w:val="center"/>
        </w:trPr>
        <w:tc>
          <w:tcPr>
            <w:tcW w:w="780" w:type="pct"/>
            <w:vMerge/>
            <w:vAlign w:val="center"/>
          </w:tcPr>
          <w:p w14:paraId="7FEAAB9F" w14:textId="77777777" w:rsidR="00495C65" w:rsidRPr="004E3EBB" w:rsidRDefault="00495C65" w:rsidP="004E3EBB">
            <w:pPr>
              <w:pStyle w:val="13"/>
              <w:spacing w:line="240" w:lineRule="auto"/>
              <w:ind w:firstLineChars="0" w:firstLine="0"/>
              <w:rPr>
                <w:sz w:val="21"/>
                <w:szCs w:val="21"/>
              </w:rPr>
            </w:pPr>
          </w:p>
        </w:tc>
        <w:tc>
          <w:tcPr>
            <w:tcW w:w="1017" w:type="pct"/>
            <w:vAlign w:val="center"/>
          </w:tcPr>
          <w:p w14:paraId="68C6FDAD" w14:textId="77777777" w:rsidR="00495C65" w:rsidRPr="004E3EBB" w:rsidRDefault="00495C65" w:rsidP="004E3EBB">
            <w:pPr>
              <w:pStyle w:val="13"/>
              <w:spacing w:line="240" w:lineRule="auto"/>
              <w:ind w:firstLineChars="0" w:firstLine="0"/>
              <w:rPr>
                <w:sz w:val="21"/>
                <w:szCs w:val="21"/>
              </w:rPr>
            </w:pPr>
            <w:r w:rsidRPr="004E3EBB">
              <w:rPr>
                <w:sz w:val="21"/>
                <w:szCs w:val="21"/>
              </w:rPr>
              <w:t>其中：个体工商户、其他个人出租住房</w:t>
            </w:r>
          </w:p>
        </w:tc>
        <w:tc>
          <w:tcPr>
            <w:tcW w:w="882" w:type="pct"/>
            <w:vAlign w:val="center"/>
          </w:tcPr>
          <w:p w14:paraId="34FECD0F"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5%减按1.5%</w:t>
            </w:r>
          </w:p>
        </w:tc>
        <w:tc>
          <w:tcPr>
            <w:tcW w:w="2321" w:type="pct"/>
            <w:vAlign w:val="center"/>
          </w:tcPr>
          <w:p w14:paraId="2E0D91EA" w14:textId="77777777" w:rsidR="00495C65" w:rsidRPr="004E3EBB" w:rsidRDefault="00495C65" w:rsidP="004E3EBB">
            <w:pPr>
              <w:pStyle w:val="13"/>
              <w:spacing w:line="240" w:lineRule="auto"/>
              <w:ind w:firstLineChars="0" w:firstLine="0"/>
              <w:rPr>
                <w:sz w:val="21"/>
                <w:szCs w:val="21"/>
              </w:rPr>
            </w:pPr>
            <w:r w:rsidRPr="004E3EBB">
              <w:rPr>
                <w:sz w:val="21"/>
                <w:szCs w:val="21"/>
              </w:rPr>
              <w:t>应纳增值税=含税销售额/（1+5%）×1.5%</w:t>
            </w:r>
          </w:p>
        </w:tc>
      </w:tr>
      <w:tr w:rsidR="00495C65" w:rsidRPr="004E3EBB" w14:paraId="31531ABE" w14:textId="77777777" w:rsidTr="004E3EBB">
        <w:trPr>
          <w:trHeight w:val="740"/>
          <w:jc w:val="center"/>
        </w:trPr>
        <w:tc>
          <w:tcPr>
            <w:tcW w:w="780" w:type="pct"/>
            <w:vMerge w:val="restart"/>
            <w:vAlign w:val="center"/>
          </w:tcPr>
          <w:p w14:paraId="7352F985" w14:textId="77777777" w:rsidR="00495C65" w:rsidRPr="004E3EBB" w:rsidRDefault="00495C65" w:rsidP="004E3EBB">
            <w:pPr>
              <w:pStyle w:val="13"/>
              <w:spacing w:line="240" w:lineRule="auto"/>
              <w:ind w:firstLineChars="0" w:firstLine="0"/>
              <w:rPr>
                <w:sz w:val="21"/>
                <w:szCs w:val="21"/>
              </w:rPr>
            </w:pPr>
            <w:r w:rsidRPr="004E3EBB">
              <w:rPr>
                <w:sz w:val="21"/>
                <w:szCs w:val="21"/>
              </w:rPr>
              <w:t>一般纳税人</w:t>
            </w:r>
          </w:p>
        </w:tc>
        <w:tc>
          <w:tcPr>
            <w:tcW w:w="1017" w:type="pct"/>
            <w:vAlign w:val="center"/>
          </w:tcPr>
          <w:p w14:paraId="513B5608" w14:textId="77777777" w:rsidR="00495C65" w:rsidRPr="004E3EBB" w:rsidRDefault="00495C65" w:rsidP="004E3EBB">
            <w:pPr>
              <w:pStyle w:val="13"/>
              <w:spacing w:line="240" w:lineRule="auto"/>
              <w:ind w:firstLineChars="0" w:firstLine="0"/>
              <w:rPr>
                <w:sz w:val="21"/>
                <w:szCs w:val="21"/>
              </w:rPr>
            </w:pPr>
            <w:r w:rsidRPr="004E3EBB">
              <w:rPr>
                <w:sz w:val="21"/>
                <w:szCs w:val="21"/>
              </w:rPr>
              <w:t>2016年4月30日前取得（简易计税）</w:t>
            </w:r>
          </w:p>
        </w:tc>
        <w:tc>
          <w:tcPr>
            <w:tcW w:w="882" w:type="pct"/>
            <w:vAlign w:val="center"/>
          </w:tcPr>
          <w:p w14:paraId="6C604E57"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w:t>
            </w:r>
          </w:p>
        </w:tc>
        <w:tc>
          <w:tcPr>
            <w:tcW w:w="2321" w:type="pct"/>
            <w:vAlign w:val="center"/>
          </w:tcPr>
          <w:p w14:paraId="45AA4CDA" w14:textId="77777777" w:rsidR="00495C65" w:rsidRPr="004E3EBB" w:rsidRDefault="00495C65" w:rsidP="004E3EBB">
            <w:pPr>
              <w:pStyle w:val="13"/>
              <w:spacing w:line="240" w:lineRule="auto"/>
              <w:ind w:firstLineChars="0" w:firstLine="0"/>
              <w:rPr>
                <w:sz w:val="21"/>
                <w:szCs w:val="21"/>
              </w:rPr>
            </w:pPr>
            <w:r w:rsidRPr="004E3EBB">
              <w:rPr>
                <w:sz w:val="21"/>
                <w:szCs w:val="21"/>
              </w:rPr>
              <w:t>应纳增值税=含税销售额/（1+5%）×5%</w:t>
            </w:r>
          </w:p>
        </w:tc>
      </w:tr>
      <w:tr w:rsidR="00495C65" w:rsidRPr="004E3EBB" w14:paraId="614EEC9A" w14:textId="77777777" w:rsidTr="004E3EBB">
        <w:trPr>
          <w:trHeight w:val="636"/>
          <w:jc w:val="center"/>
        </w:trPr>
        <w:tc>
          <w:tcPr>
            <w:tcW w:w="780" w:type="pct"/>
            <w:vMerge/>
            <w:tcBorders>
              <w:bottom w:val="single" w:sz="4" w:space="0" w:color="auto"/>
            </w:tcBorders>
            <w:vAlign w:val="center"/>
          </w:tcPr>
          <w:p w14:paraId="5C35B2CE" w14:textId="77777777" w:rsidR="00495C65" w:rsidRPr="004E3EBB" w:rsidRDefault="00495C65" w:rsidP="004E3EBB">
            <w:pPr>
              <w:pStyle w:val="13"/>
              <w:spacing w:line="240" w:lineRule="auto"/>
              <w:ind w:firstLineChars="0" w:firstLine="0"/>
              <w:rPr>
                <w:sz w:val="21"/>
                <w:szCs w:val="21"/>
              </w:rPr>
            </w:pPr>
          </w:p>
        </w:tc>
        <w:tc>
          <w:tcPr>
            <w:tcW w:w="1017" w:type="pct"/>
            <w:tcBorders>
              <w:bottom w:val="single" w:sz="4" w:space="0" w:color="auto"/>
            </w:tcBorders>
            <w:vAlign w:val="center"/>
          </w:tcPr>
          <w:p w14:paraId="13196321" w14:textId="77777777" w:rsidR="00495C65" w:rsidRPr="004E3EBB" w:rsidRDefault="00495C65" w:rsidP="004E3EBB">
            <w:pPr>
              <w:pStyle w:val="13"/>
              <w:spacing w:line="240" w:lineRule="auto"/>
              <w:ind w:firstLineChars="0" w:firstLine="0"/>
              <w:rPr>
                <w:sz w:val="21"/>
                <w:szCs w:val="21"/>
              </w:rPr>
            </w:pPr>
            <w:r w:rsidRPr="004E3EBB">
              <w:rPr>
                <w:sz w:val="21"/>
                <w:szCs w:val="21"/>
              </w:rPr>
              <w:t>2016年4月30</w:t>
            </w:r>
            <w:r w:rsidRPr="004E3EBB">
              <w:rPr>
                <w:rFonts w:hint="eastAsia"/>
                <w:sz w:val="21"/>
                <w:szCs w:val="21"/>
              </w:rPr>
              <w:t>日前取得（一般计税）</w:t>
            </w:r>
          </w:p>
        </w:tc>
        <w:tc>
          <w:tcPr>
            <w:tcW w:w="882" w:type="pct"/>
            <w:vMerge w:val="restart"/>
            <w:tcBorders>
              <w:bottom w:val="single" w:sz="4" w:space="0" w:color="auto"/>
            </w:tcBorders>
            <w:vAlign w:val="center"/>
          </w:tcPr>
          <w:p w14:paraId="4FFC97BE" w14:textId="15AEEFA0" w:rsidR="00495C65" w:rsidRPr="004E3EBB" w:rsidRDefault="00495C65" w:rsidP="004E3EBB">
            <w:pPr>
              <w:pStyle w:val="13"/>
              <w:spacing w:line="240" w:lineRule="auto"/>
              <w:ind w:firstLineChars="0" w:firstLine="0"/>
              <w:jc w:val="center"/>
              <w:rPr>
                <w:sz w:val="21"/>
                <w:szCs w:val="21"/>
              </w:rPr>
            </w:pPr>
            <w:r w:rsidRPr="004E3EBB">
              <w:rPr>
                <w:sz w:val="21"/>
                <w:szCs w:val="21"/>
              </w:rPr>
              <w:t>3%</w:t>
            </w:r>
            <w:proofErr w:type="gramStart"/>
            <w:r w:rsidRPr="004E3EBB">
              <w:rPr>
                <w:sz w:val="21"/>
                <w:szCs w:val="21"/>
              </w:rPr>
              <w:t>预征率</w:t>
            </w:r>
            <w:proofErr w:type="gramEnd"/>
            <w:r w:rsidR="004E3EBB">
              <w:rPr>
                <w:sz w:val="21"/>
                <w:szCs w:val="21"/>
              </w:rPr>
              <w:br/>
            </w:r>
            <w:r w:rsidRPr="004E3EBB">
              <w:rPr>
                <w:sz w:val="21"/>
                <w:szCs w:val="21"/>
              </w:rPr>
              <w:t>10﹪税率</w:t>
            </w:r>
          </w:p>
        </w:tc>
        <w:tc>
          <w:tcPr>
            <w:tcW w:w="2321" w:type="pct"/>
            <w:vMerge w:val="restart"/>
            <w:vAlign w:val="center"/>
          </w:tcPr>
          <w:p w14:paraId="28563B0D" w14:textId="77777777" w:rsidR="00495C65" w:rsidRPr="004E3EBB" w:rsidRDefault="00495C65" w:rsidP="004E3EBB">
            <w:pPr>
              <w:pStyle w:val="13"/>
              <w:spacing w:line="240" w:lineRule="auto"/>
              <w:ind w:firstLineChars="0" w:firstLine="0"/>
              <w:rPr>
                <w:sz w:val="21"/>
                <w:szCs w:val="21"/>
              </w:rPr>
            </w:pPr>
            <w:r w:rsidRPr="004E3EBB">
              <w:rPr>
                <w:rFonts w:hint="eastAsia"/>
                <w:sz w:val="21"/>
                <w:szCs w:val="21"/>
              </w:rPr>
              <w:t>1</w:t>
            </w:r>
            <w:r w:rsidRPr="004E3EBB">
              <w:rPr>
                <w:sz w:val="21"/>
                <w:szCs w:val="21"/>
              </w:rPr>
              <w:t>.</w:t>
            </w:r>
            <w:r w:rsidRPr="004E3EBB">
              <w:rPr>
                <w:rFonts w:hint="eastAsia"/>
                <w:sz w:val="21"/>
                <w:szCs w:val="21"/>
              </w:rPr>
              <w:t>预缴增值税</w:t>
            </w:r>
            <w:r w:rsidRPr="004E3EBB">
              <w:rPr>
                <w:sz w:val="21"/>
                <w:szCs w:val="21"/>
              </w:rPr>
              <w:t>=含税销售额/（1+10%）×3%</w:t>
            </w:r>
          </w:p>
          <w:p w14:paraId="0F243233" w14:textId="77777777" w:rsidR="00495C65" w:rsidRPr="004E3EBB" w:rsidRDefault="00495C65" w:rsidP="004E3EBB">
            <w:pPr>
              <w:pStyle w:val="13"/>
              <w:spacing w:line="240" w:lineRule="auto"/>
              <w:ind w:firstLineChars="0" w:firstLine="0"/>
              <w:rPr>
                <w:sz w:val="21"/>
                <w:szCs w:val="21"/>
              </w:rPr>
            </w:pPr>
            <w:r w:rsidRPr="004E3EBB">
              <w:rPr>
                <w:rFonts w:hint="eastAsia"/>
                <w:sz w:val="21"/>
                <w:szCs w:val="21"/>
              </w:rPr>
              <w:t>2</w:t>
            </w:r>
            <w:r w:rsidRPr="004E3EBB">
              <w:rPr>
                <w:sz w:val="21"/>
                <w:szCs w:val="21"/>
              </w:rPr>
              <w:t>.</w:t>
            </w:r>
            <w:r w:rsidRPr="004E3EBB">
              <w:rPr>
                <w:rFonts w:hint="eastAsia"/>
                <w:sz w:val="21"/>
                <w:szCs w:val="21"/>
              </w:rPr>
              <w:t>销项税额</w:t>
            </w:r>
            <w:r w:rsidRPr="004E3EBB">
              <w:rPr>
                <w:sz w:val="21"/>
                <w:szCs w:val="21"/>
              </w:rPr>
              <w:t>=含税销售额/（1+10%）</w:t>
            </w:r>
            <w:r w:rsidRPr="004E3EBB">
              <w:rPr>
                <w:rFonts w:hint="eastAsia"/>
                <w:sz w:val="21"/>
                <w:szCs w:val="21"/>
              </w:rPr>
              <w:t>×</w:t>
            </w:r>
            <w:r w:rsidRPr="004E3EBB">
              <w:rPr>
                <w:sz w:val="21"/>
                <w:szCs w:val="21"/>
              </w:rPr>
              <w:t>10%</w:t>
            </w:r>
          </w:p>
          <w:p w14:paraId="7AA68526" w14:textId="77777777" w:rsidR="00495C65" w:rsidRPr="004E3EBB" w:rsidRDefault="00495C65" w:rsidP="004E3EBB">
            <w:pPr>
              <w:pStyle w:val="13"/>
              <w:spacing w:line="240" w:lineRule="auto"/>
              <w:ind w:firstLineChars="0" w:firstLine="0"/>
              <w:rPr>
                <w:sz w:val="21"/>
                <w:szCs w:val="21"/>
              </w:rPr>
            </w:pPr>
            <w:r w:rsidRPr="004E3EBB">
              <w:rPr>
                <w:rFonts w:hint="eastAsia"/>
                <w:sz w:val="21"/>
                <w:szCs w:val="21"/>
              </w:rPr>
              <w:t>3</w:t>
            </w:r>
            <w:r w:rsidRPr="004E3EBB">
              <w:rPr>
                <w:sz w:val="21"/>
                <w:szCs w:val="21"/>
              </w:rPr>
              <w:t>.</w:t>
            </w:r>
            <w:r w:rsidRPr="004E3EBB">
              <w:rPr>
                <w:rFonts w:hint="eastAsia"/>
                <w:sz w:val="21"/>
                <w:szCs w:val="21"/>
              </w:rPr>
              <w:t>应纳增值税</w:t>
            </w:r>
            <w:r w:rsidRPr="004E3EBB">
              <w:rPr>
                <w:sz w:val="21"/>
                <w:szCs w:val="21"/>
              </w:rPr>
              <w:t>=销项税额-进项税额</w:t>
            </w:r>
          </w:p>
        </w:tc>
      </w:tr>
      <w:tr w:rsidR="00495C65" w:rsidRPr="004E3EBB" w14:paraId="77A310D4" w14:textId="77777777" w:rsidTr="004E3EBB">
        <w:trPr>
          <w:trHeight w:val="761"/>
          <w:jc w:val="center"/>
        </w:trPr>
        <w:tc>
          <w:tcPr>
            <w:tcW w:w="780" w:type="pct"/>
            <w:vMerge/>
            <w:tcBorders>
              <w:bottom w:val="single" w:sz="4" w:space="0" w:color="auto"/>
            </w:tcBorders>
            <w:vAlign w:val="center"/>
          </w:tcPr>
          <w:p w14:paraId="2BD7BC12" w14:textId="77777777" w:rsidR="00495C65" w:rsidRPr="004E3EBB" w:rsidRDefault="00495C65" w:rsidP="004E3EBB">
            <w:pPr>
              <w:pStyle w:val="13"/>
              <w:spacing w:line="240" w:lineRule="auto"/>
              <w:ind w:firstLineChars="0" w:firstLine="0"/>
              <w:rPr>
                <w:sz w:val="21"/>
                <w:szCs w:val="21"/>
              </w:rPr>
            </w:pPr>
          </w:p>
        </w:tc>
        <w:tc>
          <w:tcPr>
            <w:tcW w:w="1017" w:type="pct"/>
            <w:tcBorders>
              <w:bottom w:val="single" w:sz="4" w:space="0" w:color="auto"/>
            </w:tcBorders>
            <w:vAlign w:val="center"/>
          </w:tcPr>
          <w:p w14:paraId="0E56B624" w14:textId="77777777" w:rsidR="00495C65" w:rsidRPr="004E3EBB" w:rsidRDefault="00495C65" w:rsidP="004E3EBB">
            <w:pPr>
              <w:pStyle w:val="13"/>
              <w:spacing w:line="240" w:lineRule="auto"/>
              <w:ind w:firstLineChars="0" w:firstLine="0"/>
              <w:rPr>
                <w:sz w:val="21"/>
                <w:szCs w:val="21"/>
              </w:rPr>
            </w:pPr>
            <w:r w:rsidRPr="004E3EBB">
              <w:rPr>
                <w:sz w:val="21"/>
                <w:szCs w:val="21"/>
              </w:rPr>
              <w:t>2016年5月1日后取得（一般计税）</w:t>
            </w:r>
          </w:p>
        </w:tc>
        <w:tc>
          <w:tcPr>
            <w:tcW w:w="882" w:type="pct"/>
            <w:vMerge/>
            <w:tcBorders>
              <w:bottom w:val="single" w:sz="4" w:space="0" w:color="auto"/>
            </w:tcBorders>
            <w:vAlign w:val="center"/>
          </w:tcPr>
          <w:p w14:paraId="2F962E03" w14:textId="77777777" w:rsidR="00495C65" w:rsidRPr="004E3EBB" w:rsidRDefault="00495C65" w:rsidP="004E3EBB">
            <w:pPr>
              <w:pStyle w:val="13"/>
              <w:spacing w:line="240" w:lineRule="auto"/>
              <w:ind w:firstLineChars="0" w:firstLine="0"/>
              <w:jc w:val="center"/>
              <w:rPr>
                <w:sz w:val="21"/>
                <w:szCs w:val="21"/>
              </w:rPr>
            </w:pPr>
          </w:p>
        </w:tc>
        <w:tc>
          <w:tcPr>
            <w:tcW w:w="2321" w:type="pct"/>
            <w:vMerge/>
            <w:tcBorders>
              <w:bottom w:val="single" w:sz="4" w:space="0" w:color="auto"/>
            </w:tcBorders>
            <w:vAlign w:val="center"/>
          </w:tcPr>
          <w:p w14:paraId="2F700601" w14:textId="77777777" w:rsidR="00495C65" w:rsidRPr="004E3EBB" w:rsidRDefault="00495C65" w:rsidP="004E3EBB">
            <w:pPr>
              <w:pStyle w:val="13"/>
              <w:spacing w:line="240" w:lineRule="auto"/>
              <w:ind w:firstLineChars="0" w:firstLine="0"/>
              <w:rPr>
                <w:sz w:val="21"/>
                <w:szCs w:val="21"/>
              </w:rPr>
            </w:pPr>
          </w:p>
        </w:tc>
      </w:tr>
    </w:tbl>
    <w:p w14:paraId="45C98542" w14:textId="77777777" w:rsidR="00495C65" w:rsidRDefault="00495C65" w:rsidP="00495C65">
      <w:pPr>
        <w:pStyle w:val="13"/>
      </w:pPr>
      <w:r>
        <w:rPr>
          <w:rFonts w:hint="eastAsia"/>
        </w:rPr>
        <w:t>在采用租金模式的收益法测算时，要注意一个免税政策。国家税务总局《关于小规模纳税人免征增值税政策有关征管问题的公告》（</w:t>
      </w:r>
      <w:r>
        <w:t>2019年第4号公告）第九条所称的其他个人，采取一次性收取租金形式出租不动产取得的租金收入，可在对应的租赁</w:t>
      </w:r>
      <w:r>
        <w:lastRenderedPageBreak/>
        <w:t>期内平均分摊，分摊后的月租金收入未超过10万元的，免征增值税。</w:t>
      </w:r>
    </w:p>
    <w:p w14:paraId="5F0A12B6" w14:textId="77777777" w:rsidR="00495C65" w:rsidRDefault="00495C65" w:rsidP="004E3EBB">
      <w:pPr>
        <w:pStyle w:val="ab"/>
        <w:spacing w:before="62" w:after="62"/>
        <w:ind w:firstLine="482"/>
      </w:pPr>
      <w:r>
        <w:rPr>
          <w:rFonts w:hint="eastAsia"/>
        </w:rPr>
        <w:t>三、成本法、假设开发法估价增值税计算公式</w:t>
      </w:r>
    </w:p>
    <w:p w14:paraId="207CB2E0" w14:textId="77777777" w:rsidR="00495C65" w:rsidRDefault="00495C65" w:rsidP="00495C65">
      <w:pPr>
        <w:pStyle w:val="13"/>
      </w:pPr>
      <w:r>
        <w:rPr>
          <w:rFonts w:hint="eastAsia"/>
        </w:rPr>
        <w:t>运用成本法、假设开发法时，销售税费中包含增值税，应关注计税适用前提及计税方式的变化。开发利润为缴纳增值税情况下的利润。</w:t>
      </w:r>
    </w:p>
    <w:p w14:paraId="6AE6FE49" w14:textId="77777777" w:rsidR="00495C65" w:rsidRDefault="00495C65" w:rsidP="00495C65">
      <w:pPr>
        <w:pStyle w:val="13"/>
      </w:pPr>
      <w:r>
        <w:rPr>
          <w:rFonts w:hint="eastAsia"/>
        </w:rPr>
        <w:t>（一）对于房地产开发企业以外的企业</w:t>
      </w:r>
    </w:p>
    <w:p w14:paraId="3AB6183A" w14:textId="77777777" w:rsidR="00495C65" w:rsidRDefault="00495C65" w:rsidP="00495C65">
      <w:pPr>
        <w:pStyle w:val="13"/>
      </w:pPr>
      <w:proofErr w:type="gramStart"/>
      <w:r>
        <w:rPr>
          <w:rFonts w:hint="eastAsia"/>
        </w:rPr>
        <w:t>营改增</w:t>
      </w:r>
      <w:proofErr w:type="gramEnd"/>
      <w:r>
        <w:rPr>
          <w:rFonts w:hint="eastAsia"/>
        </w:rPr>
        <w:t>后涉及到房地产估价中成本法和假设开发法中“销售税费”项目中增值税计算，以及以增值税应缴纳金额为计算基础的城建税、教育费附加（地方教育费附加）等项目。</w:t>
      </w:r>
    </w:p>
    <w:p w14:paraId="76CC3D83" w14:textId="77777777" w:rsidR="00495C65" w:rsidRDefault="00495C65" w:rsidP="00495C65">
      <w:pPr>
        <w:pStyle w:val="13"/>
      </w:pPr>
      <w:r>
        <w:rPr>
          <w:rFonts w:hint="eastAsia"/>
        </w:rPr>
        <w:t>《房地产估价规范》（</w:t>
      </w:r>
      <w:r>
        <w:t>GBT/T50291-2015），房地产估价成本法运用，测算房地产重置成本或重建成本应为在价值时点重新开发建设全新状况的房地产的必要支出及应得利润。建筑物重置成本或重建成本应为在价值时点重新建造全新建筑物的必要支出及应得利润。除追溯性评估外，均是基于2016年5月1日后的重新开发或重新建造成本；估价时，首要在于区分开发或建设主体为小规模（个人）或一般纳税人。在计算销售税</w:t>
      </w:r>
      <w:proofErr w:type="gramStart"/>
      <w:r>
        <w:t>费时会</w:t>
      </w:r>
      <w:proofErr w:type="gramEnd"/>
      <w:r>
        <w:t>涉及到以下主要计算公式，区别分析确定。</w:t>
      </w:r>
    </w:p>
    <w:p w14:paraId="1460BFA1" w14:textId="77777777" w:rsidR="00495C65" w:rsidRDefault="00495C65" w:rsidP="00495C65">
      <w:pPr>
        <w:pStyle w:val="13"/>
      </w:pPr>
      <w:r>
        <w:rPr>
          <w:rFonts w:hint="eastAsia"/>
        </w:rPr>
        <w:t>如产权人（纳税主体）为一般纳税人，由于现阶段难以准确计算出增值税进项税额，</w:t>
      </w:r>
      <w:r>
        <w:t>也就是可抵扣进项税基本无法准确测算或者客观反映，可操作性差，因此，我们建议（非房地产开发企业）参照小规模纳税人以自</w:t>
      </w:r>
      <w:proofErr w:type="gramStart"/>
      <w:r>
        <w:t>建方式</w:t>
      </w:r>
      <w:proofErr w:type="gramEnd"/>
      <w:r>
        <w:t>取得的方式测算或一般纳税人中的简易计税方式测算。即实际估价中，暂时统一按以下计算口径：</w:t>
      </w:r>
    </w:p>
    <w:p w14:paraId="5EA452D6" w14:textId="77777777" w:rsidR="00495C65" w:rsidRDefault="00495C65" w:rsidP="00495C65">
      <w:pPr>
        <w:pStyle w:val="13"/>
      </w:pPr>
      <w:r>
        <w:rPr>
          <w:rFonts w:hint="eastAsia"/>
        </w:rPr>
        <w:t>应纳税额</w:t>
      </w:r>
      <w:r>
        <w:t>=全部价款和价外费用/1+5%）×5%</w:t>
      </w:r>
    </w:p>
    <w:p w14:paraId="610AC34B" w14:textId="77777777" w:rsidR="00495C65" w:rsidRDefault="00495C65" w:rsidP="00495C65">
      <w:pPr>
        <w:pStyle w:val="13"/>
      </w:pPr>
      <w:r>
        <w:rPr>
          <w:rFonts w:hint="eastAsia"/>
        </w:rPr>
        <w:t>实际估价中，增值税</w:t>
      </w:r>
      <w:r>
        <w:t>=含税房地产价值V/1+5%）×5%</w:t>
      </w:r>
    </w:p>
    <w:p w14:paraId="74F2EF22" w14:textId="77777777" w:rsidR="00495C65" w:rsidRDefault="00495C65" w:rsidP="00495C65">
      <w:pPr>
        <w:pStyle w:val="13"/>
      </w:pPr>
      <w:r>
        <w:rPr>
          <w:rFonts w:hint="eastAsia"/>
        </w:rPr>
        <w:t>增值税（含附加）</w:t>
      </w:r>
      <w:r>
        <w:t>=含税房地产价值V×5.3333%</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856"/>
        <w:gridCol w:w="1557"/>
        <w:gridCol w:w="4083"/>
      </w:tblGrid>
      <w:tr w:rsidR="00495C65" w:rsidRPr="004E3EBB" w14:paraId="67A6300F" w14:textId="77777777" w:rsidTr="004E3EBB">
        <w:trPr>
          <w:trHeight w:val="325"/>
          <w:tblHeader/>
          <w:jc w:val="center"/>
        </w:trPr>
        <w:tc>
          <w:tcPr>
            <w:tcW w:w="702" w:type="pct"/>
            <w:vAlign w:val="center"/>
          </w:tcPr>
          <w:p w14:paraId="26CCD1DB"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纳税主体</w:t>
            </w:r>
          </w:p>
        </w:tc>
        <w:tc>
          <w:tcPr>
            <w:tcW w:w="1064" w:type="pct"/>
            <w:vAlign w:val="center"/>
          </w:tcPr>
          <w:p w14:paraId="1A9B849F"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类型/纳税对象</w:t>
            </w:r>
          </w:p>
        </w:tc>
        <w:tc>
          <w:tcPr>
            <w:tcW w:w="893" w:type="pct"/>
            <w:vAlign w:val="center"/>
          </w:tcPr>
          <w:p w14:paraId="5B3B74DE"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征收率/税率</w:t>
            </w:r>
          </w:p>
        </w:tc>
        <w:tc>
          <w:tcPr>
            <w:tcW w:w="2341" w:type="pct"/>
            <w:vAlign w:val="center"/>
          </w:tcPr>
          <w:p w14:paraId="12FF4FD4"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计算税款公式</w:t>
            </w:r>
          </w:p>
        </w:tc>
      </w:tr>
      <w:tr w:rsidR="00495C65" w:rsidRPr="004E3EBB" w14:paraId="04B185BB" w14:textId="77777777" w:rsidTr="004E3EBB">
        <w:trPr>
          <w:trHeight w:val="651"/>
          <w:jc w:val="center"/>
        </w:trPr>
        <w:tc>
          <w:tcPr>
            <w:tcW w:w="702" w:type="pct"/>
            <w:vMerge w:val="restart"/>
            <w:vAlign w:val="center"/>
          </w:tcPr>
          <w:p w14:paraId="6D8EAA8E"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小规模纳税人</w:t>
            </w:r>
          </w:p>
        </w:tc>
        <w:tc>
          <w:tcPr>
            <w:tcW w:w="1064" w:type="pct"/>
            <w:vAlign w:val="center"/>
          </w:tcPr>
          <w:p w14:paraId="1531F423"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自</w:t>
            </w:r>
            <w:proofErr w:type="gramStart"/>
            <w:r w:rsidRPr="004E3EBB">
              <w:rPr>
                <w:sz w:val="21"/>
                <w:szCs w:val="21"/>
              </w:rPr>
              <w:t>建取得</w:t>
            </w:r>
            <w:proofErr w:type="gramEnd"/>
          </w:p>
        </w:tc>
        <w:tc>
          <w:tcPr>
            <w:tcW w:w="893" w:type="pct"/>
            <w:vAlign w:val="center"/>
          </w:tcPr>
          <w:p w14:paraId="386FA195"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w:t>
            </w:r>
          </w:p>
        </w:tc>
        <w:tc>
          <w:tcPr>
            <w:tcW w:w="2341" w:type="pct"/>
            <w:vAlign w:val="center"/>
          </w:tcPr>
          <w:p w14:paraId="2D9693D1" w14:textId="77777777" w:rsidR="00495C65" w:rsidRPr="004E3EBB" w:rsidRDefault="00495C65" w:rsidP="004E3EBB">
            <w:pPr>
              <w:pStyle w:val="13"/>
              <w:spacing w:line="240" w:lineRule="auto"/>
              <w:ind w:firstLineChars="0" w:firstLine="0"/>
              <w:rPr>
                <w:sz w:val="21"/>
                <w:szCs w:val="21"/>
              </w:rPr>
            </w:pPr>
            <w:r w:rsidRPr="004E3EBB">
              <w:rPr>
                <w:sz w:val="21"/>
                <w:szCs w:val="21"/>
              </w:rPr>
              <w:t>应缴税额=全部价款和价外费用/（1+5%）×5%</w:t>
            </w:r>
          </w:p>
        </w:tc>
      </w:tr>
      <w:tr w:rsidR="00495C65" w:rsidRPr="004E3EBB" w14:paraId="6D450A7A" w14:textId="77777777" w:rsidTr="004E3EBB">
        <w:trPr>
          <w:trHeight w:val="979"/>
          <w:jc w:val="center"/>
        </w:trPr>
        <w:tc>
          <w:tcPr>
            <w:tcW w:w="702" w:type="pct"/>
            <w:vMerge/>
            <w:vAlign w:val="center"/>
          </w:tcPr>
          <w:p w14:paraId="29641161" w14:textId="77777777" w:rsidR="00495C65" w:rsidRPr="004E3EBB" w:rsidRDefault="00495C65" w:rsidP="004E3EBB">
            <w:pPr>
              <w:pStyle w:val="13"/>
              <w:spacing w:line="240" w:lineRule="auto"/>
              <w:ind w:firstLineChars="0" w:firstLine="0"/>
              <w:jc w:val="center"/>
              <w:rPr>
                <w:sz w:val="21"/>
                <w:szCs w:val="21"/>
              </w:rPr>
            </w:pPr>
          </w:p>
        </w:tc>
        <w:tc>
          <w:tcPr>
            <w:tcW w:w="1064" w:type="pct"/>
            <w:vAlign w:val="center"/>
          </w:tcPr>
          <w:p w14:paraId="7EFB83C9"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非自</w:t>
            </w:r>
            <w:proofErr w:type="gramStart"/>
            <w:r w:rsidRPr="004E3EBB">
              <w:rPr>
                <w:sz w:val="21"/>
                <w:szCs w:val="21"/>
              </w:rPr>
              <w:t>建取得</w:t>
            </w:r>
            <w:proofErr w:type="gramEnd"/>
          </w:p>
        </w:tc>
        <w:tc>
          <w:tcPr>
            <w:tcW w:w="893" w:type="pct"/>
            <w:vAlign w:val="center"/>
          </w:tcPr>
          <w:p w14:paraId="11FBB626"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w:t>
            </w:r>
          </w:p>
        </w:tc>
        <w:tc>
          <w:tcPr>
            <w:tcW w:w="2341" w:type="pct"/>
            <w:vAlign w:val="center"/>
          </w:tcPr>
          <w:p w14:paraId="00879AAA" w14:textId="77777777" w:rsidR="00495C65" w:rsidRPr="004E3EBB" w:rsidRDefault="00495C65" w:rsidP="004E3EBB">
            <w:pPr>
              <w:pStyle w:val="13"/>
              <w:spacing w:line="240" w:lineRule="auto"/>
              <w:ind w:firstLineChars="0" w:firstLine="0"/>
              <w:jc w:val="left"/>
              <w:rPr>
                <w:sz w:val="21"/>
                <w:szCs w:val="21"/>
              </w:rPr>
            </w:pPr>
            <w:r w:rsidRPr="004E3EBB">
              <w:rPr>
                <w:sz w:val="21"/>
                <w:szCs w:val="21"/>
              </w:rPr>
              <w:t>应纳税额=（全部价款和价外费用-不动产购置原价或取得不动产时的作价）/（1+5%）×5%</w:t>
            </w:r>
          </w:p>
        </w:tc>
      </w:tr>
      <w:tr w:rsidR="00495C65" w:rsidRPr="004E3EBB" w14:paraId="68A019F8" w14:textId="77777777" w:rsidTr="004E3EBB">
        <w:trPr>
          <w:trHeight w:val="326"/>
          <w:jc w:val="center"/>
        </w:trPr>
        <w:tc>
          <w:tcPr>
            <w:tcW w:w="702" w:type="pct"/>
            <w:vMerge w:val="restart"/>
            <w:vAlign w:val="center"/>
          </w:tcPr>
          <w:p w14:paraId="0CAFD64C"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其他个人</w:t>
            </w:r>
          </w:p>
        </w:tc>
        <w:tc>
          <w:tcPr>
            <w:tcW w:w="1064" w:type="pct"/>
            <w:vAlign w:val="center"/>
          </w:tcPr>
          <w:p w14:paraId="50BCD6E2"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自</w:t>
            </w:r>
            <w:proofErr w:type="gramStart"/>
            <w:r w:rsidRPr="004E3EBB">
              <w:rPr>
                <w:sz w:val="21"/>
                <w:szCs w:val="21"/>
              </w:rPr>
              <w:t>建取得</w:t>
            </w:r>
            <w:proofErr w:type="gramEnd"/>
          </w:p>
        </w:tc>
        <w:tc>
          <w:tcPr>
            <w:tcW w:w="893" w:type="pct"/>
            <w:vAlign w:val="center"/>
          </w:tcPr>
          <w:p w14:paraId="778C7B8F"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w:t>
            </w:r>
          </w:p>
        </w:tc>
        <w:tc>
          <w:tcPr>
            <w:tcW w:w="2341" w:type="pct"/>
            <w:vMerge w:val="restart"/>
            <w:vAlign w:val="center"/>
          </w:tcPr>
          <w:p w14:paraId="636D0685" w14:textId="77777777" w:rsidR="00495C65" w:rsidRPr="004E3EBB" w:rsidRDefault="00495C65" w:rsidP="004E3EBB">
            <w:pPr>
              <w:pStyle w:val="13"/>
              <w:spacing w:line="240" w:lineRule="auto"/>
              <w:ind w:firstLineChars="0" w:firstLine="0"/>
              <w:jc w:val="left"/>
              <w:rPr>
                <w:sz w:val="21"/>
                <w:szCs w:val="21"/>
              </w:rPr>
            </w:pPr>
            <w:r w:rsidRPr="004E3EBB">
              <w:rPr>
                <w:sz w:val="21"/>
                <w:szCs w:val="21"/>
              </w:rPr>
              <w:t>应纳增值税=全部价款和价外费用/（1+5%）×5%（自建自用，购买2年以上住房除北上广深外免征）</w:t>
            </w:r>
          </w:p>
        </w:tc>
      </w:tr>
      <w:tr w:rsidR="00495C65" w:rsidRPr="004E3EBB" w14:paraId="585EE50E" w14:textId="77777777" w:rsidTr="004E3EBB">
        <w:trPr>
          <w:trHeight w:val="325"/>
          <w:jc w:val="center"/>
        </w:trPr>
        <w:tc>
          <w:tcPr>
            <w:tcW w:w="702" w:type="pct"/>
            <w:vMerge/>
            <w:vAlign w:val="center"/>
          </w:tcPr>
          <w:p w14:paraId="61113062" w14:textId="77777777" w:rsidR="00495C65" w:rsidRPr="004E3EBB" w:rsidRDefault="00495C65" w:rsidP="004E3EBB">
            <w:pPr>
              <w:pStyle w:val="13"/>
              <w:spacing w:line="240" w:lineRule="auto"/>
              <w:ind w:firstLineChars="0" w:firstLine="0"/>
              <w:jc w:val="center"/>
              <w:rPr>
                <w:sz w:val="21"/>
                <w:szCs w:val="21"/>
              </w:rPr>
            </w:pPr>
          </w:p>
        </w:tc>
        <w:tc>
          <w:tcPr>
            <w:tcW w:w="1064" w:type="pct"/>
            <w:vAlign w:val="center"/>
          </w:tcPr>
          <w:p w14:paraId="6B7A1204"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购买商业</w:t>
            </w:r>
          </w:p>
        </w:tc>
        <w:tc>
          <w:tcPr>
            <w:tcW w:w="893" w:type="pct"/>
            <w:vAlign w:val="center"/>
          </w:tcPr>
          <w:p w14:paraId="45120B4E"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w:t>
            </w:r>
          </w:p>
        </w:tc>
        <w:tc>
          <w:tcPr>
            <w:tcW w:w="2341" w:type="pct"/>
            <w:vMerge/>
            <w:vAlign w:val="center"/>
          </w:tcPr>
          <w:p w14:paraId="60487FE2" w14:textId="77777777" w:rsidR="00495C65" w:rsidRPr="004E3EBB" w:rsidRDefault="00495C65" w:rsidP="004E3EBB">
            <w:pPr>
              <w:pStyle w:val="13"/>
              <w:spacing w:line="240" w:lineRule="auto"/>
              <w:ind w:firstLineChars="0" w:firstLine="0"/>
              <w:rPr>
                <w:sz w:val="21"/>
                <w:szCs w:val="21"/>
              </w:rPr>
            </w:pPr>
          </w:p>
        </w:tc>
      </w:tr>
      <w:tr w:rsidR="00495C65" w:rsidRPr="004E3EBB" w14:paraId="04B3CA5D" w14:textId="77777777" w:rsidTr="004E3EBB">
        <w:trPr>
          <w:trHeight w:val="651"/>
          <w:jc w:val="center"/>
        </w:trPr>
        <w:tc>
          <w:tcPr>
            <w:tcW w:w="702" w:type="pct"/>
            <w:vMerge/>
            <w:vAlign w:val="center"/>
          </w:tcPr>
          <w:p w14:paraId="4B862FC3" w14:textId="77777777" w:rsidR="00495C65" w:rsidRPr="004E3EBB" w:rsidRDefault="00495C65" w:rsidP="004E3EBB">
            <w:pPr>
              <w:pStyle w:val="13"/>
              <w:spacing w:line="240" w:lineRule="auto"/>
              <w:ind w:firstLineChars="0" w:firstLine="0"/>
              <w:jc w:val="center"/>
              <w:rPr>
                <w:sz w:val="21"/>
                <w:szCs w:val="21"/>
              </w:rPr>
            </w:pPr>
          </w:p>
        </w:tc>
        <w:tc>
          <w:tcPr>
            <w:tcW w:w="1064" w:type="pct"/>
            <w:vAlign w:val="center"/>
          </w:tcPr>
          <w:p w14:paraId="75E33855"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购买住房（2年以内）</w:t>
            </w:r>
          </w:p>
        </w:tc>
        <w:tc>
          <w:tcPr>
            <w:tcW w:w="893" w:type="pct"/>
            <w:vAlign w:val="center"/>
          </w:tcPr>
          <w:p w14:paraId="28F515AF"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w:t>
            </w:r>
          </w:p>
        </w:tc>
        <w:tc>
          <w:tcPr>
            <w:tcW w:w="2341" w:type="pct"/>
            <w:vMerge/>
            <w:vAlign w:val="center"/>
          </w:tcPr>
          <w:p w14:paraId="5D4D9757" w14:textId="77777777" w:rsidR="00495C65" w:rsidRPr="004E3EBB" w:rsidRDefault="00495C65" w:rsidP="004E3EBB">
            <w:pPr>
              <w:pStyle w:val="13"/>
              <w:spacing w:line="240" w:lineRule="auto"/>
              <w:ind w:firstLineChars="0" w:firstLine="0"/>
              <w:rPr>
                <w:sz w:val="21"/>
                <w:szCs w:val="21"/>
              </w:rPr>
            </w:pPr>
          </w:p>
        </w:tc>
      </w:tr>
      <w:tr w:rsidR="00495C65" w:rsidRPr="004E3EBB" w14:paraId="14C615D4" w14:textId="77777777" w:rsidTr="004E3EBB">
        <w:trPr>
          <w:trHeight w:val="978"/>
          <w:jc w:val="center"/>
        </w:trPr>
        <w:tc>
          <w:tcPr>
            <w:tcW w:w="702" w:type="pct"/>
            <w:vMerge w:val="restart"/>
            <w:vAlign w:val="center"/>
          </w:tcPr>
          <w:p w14:paraId="0066F887"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一般纳税人</w:t>
            </w:r>
          </w:p>
        </w:tc>
        <w:tc>
          <w:tcPr>
            <w:tcW w:w="1064" w:type="pct"/>
            <w:vAlign w:val="center"/>
          </w:tcPr>
          <w:p w14:paraId="09590300"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2016年4月30日前自建取得（简易计税）</w:t>
            </w:r>
          </w:p>
        </w:tc>
        <w:tc>
          <w:tcPr>
            <w:tcW w:w="893" w:type="pct"/>
            <w:vAlign w:val="center"/>
          </w:tcPr>
          <w:p w14:paraId="36D4D412"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w:t>
            </w:r>
          </w:p>
        </w:tc>
        <w:tc>
          <w:tcPr>
            <w:tcW w:w="2341" w:type="pct"/>
            <w:vAlign w:val="center"/>
          </w:tcPr>
          <w:p w14:paraId="1DD879D1" w14:textId="77777777" w:rsidR="00495C65" w:rsidRPr="004E3EBB" w:rsidRDefault="00495C65" w:rsidP="004E3EBB">
            <w:pPr>
              <w:pStyle w:val="13"/>
              <w:spacing w:line="240" w:lineRule="auto"/>
              <w:ind w:firstLineChars="0" w:firstLine="0"/>
              <w:rPr>
                <w:sz w:val="21"/>
                <w:szCs w:val="21"/>
              </w:rPr>
            </w:pPr>
            <w:r w:rsidRPr="004E3EBB">
              <w:rPr>
                <w:sz w:val="21"/>
                <w:szCs w:val="21"/>
              </w:rPr>
              <w:t>应纳增值税=全部价款和价外费用/</w:t>
            </w:r>
          </w:p>
        </w:tc>
      </w:tr>
      <w:tr w:rsidR="00495C65" w:rsidRPr="004E3EBB" w14:paraId="31C9E4D6" w14:textId="77777777" w:rsidTr="004E3EBB">
        <w:trPr>
          <w:trHeight w:val="977"/>
          <w:jc w:val="center"/>
        </w:trPr>
        <w:tc>
          <w:tcPr>
            <w:tcW w:w="702" w:type="pct"/>
            <w:vMerge/>
            <w:vAlign w:val="center"/>
          </w:tcPr>
          <w:p w14:paraId="0E4023C3" w14:textId="77777777" w:rsidR="00495C65" w:rsidRPr="004E3EBB" w:rsidRDefault="00495C65" w:rsidP="004E3EBB">
            <w:pPr>
              <w:pStyle w:val="13"/>
              <w:spacing w:line="240" w:lineRule="auto"/>
              <w:ind w:firstLineChars="0" w:firstLine="0"/>
              <w:jc w:val="center"/>
              <w:rPr>
                <w:sz w:val="21"/>
                <w:szCs w:val="21"/>
              </w:rPr>
            </w:pPr>
          </w:p>
        </w:tc>
        <w:tc>
          <w:tcPr>
            <w:tcW w:w="1064" w:type="pct"/>
            <w:vAlign w:val="center"/>
          </w:tcPr>
          <w:p w14:paraId="4DA896BA" w14:textId="77777777" w:rsidR="00495C65" w:rsidRPr="004E3EBB" w:rsidRDefault="00495C65" w:rsidP="004E3EBB">
            <w:pPr>
              <w:pStyle w:val="13"/>
              <w:spacing w:line="240" w:lineRule="auto"/>
              <w:ind w:firstLineChars="0" w:firstLine="0"/>
              <w:jc w:val="center"/>
              <w:rPr>
                <w:sz w:val="21"/>
                <w:szCs w:val="21"/>
              </w:rPr>
            </w:pPr>
            <w:proofErr w:type="gramStart"/>
            <w:r w:rsidRPr="004E3EBB">
              <w:rPr>
                <w:sz w:val="21"/>
                <w:szCs w:val="21"/>
              </w:rPr>
              <w:t>2016年4月30日前取非自</w:t>
            </w:r>
            <w:proofErr w:type="gramEnd"/>
            <w:r w:rsidRPr="004E3EBB">
              <w:rPr>
                <w:sz w:val="21"/>
                <w:szCs w:val="21"/>
              </w:rPr>
              <w:t>建得（简易计税）</w:t>
            </w:r>
          </w:p>
        </w:tc>
        <w:tc>
          <w:tcPr>
            <w:tcW w:w="893" w:type="pct"/>
            <w:vAlign w:val="center"/>
          </w:tcPr>
          <w:p w14:paraId="57AB41D3"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5%</w:t>
            </w:r>
          </w:p>
        </w:tc>
        <w:tc>
          <w:tcPr>
            <w:tcW w:w="2341" w:type="pct"/>
            <w:vAlign w:val="center"/>
          </w:tcPr>
          <w:p w14:paraId="600916D7" w14:textId="77777777" w:rsidR="00495C65" w:rsidRPr="004E3EBB" w:rsidRDefault="00495C65" w:rsidP="004E3EBB">
            <w:pPr>
              <w:pStyle w:val="13"/>
              <w:spacing w:line="240" w:lineRule="auto"/>
              <w:ind w:firstLineChars="0" w:firstLine="0"/>
              <w:rPr>
                <w:sz w:val="21"/>
                <w:szCs w:val="21"/>
              </w:rPr>
            </w:pPr>
            <w:r w:rsidRPr="004E3EBB">
              <w:rPr>
                <w:sz w:val="21"/>
                <w:szCs w:val="21"/>
              </w:rPr>
              <w:t>应纳增值税=全部价款和价外费用-不动产购置原价或取得不动产时的作价）</w:t>
            </w:r>
          </w:p>
          <w:p w14:paraId="57BE121E" w14:textId="77777777" w:rsidR="00495C65" w:rsidRPr="004E3EBB" w:rsidRDefault="00495C65" w:rsidP="004E3EBB">
            <w:pPr>
              <w:pStyle w:val="13"/>
              <w:spacing w:line="240" w:lineRule="auto"/>
              <w:ind w:firstLineChars="0" w:firstLine="0"/>
              <w:rPr>
                <w:sz w:val="21"/>
                <w:szCs w:val="21"/>
              </w:rPr>
            </w:pPr>
            <w:r w:rsidRPr="004E3EBB">
              <w:rPr>
                <w:sz w:val="21"/>
                <w:szCs w:val="21"/>
              </w:rPr>
              <w:t>/（1+5%）×5%</w:t>
            </w:r>
          </w:p>
        </w:tc>
      </w:tr>
      <w:tr w:rsidR="00495C65" w:rsidRPr="004E3EBB" w14:paraId="6F39C106" w14:textId="77777777" w:rsidTr="004E3EBB">
        <w:trPr>
          <w:trHeight w:val="978"/>
          <w:jc w:val="center"/>
        </w:trPr>
        <w:tc>
          <w:tcPr>
            <w:tcW w:w="702" w:type="pct"/>
            <w:vMerge/>
            <w:vAlign w:val="center"/>
          </w:tcPr>
          <w:p w14:paraId="295CBAB6" w14:textId="77777777" w:rsidR="00495C65" w:rsidRPr="004E3EBB" w:rsidRDefault="00495C65" w:rsidP="004E3EBB">
            <w:pPr>
              <w:pStyle w:val="13"/>
              <w:spacing w:line="240" w:lineRule="auto"/>
              <w:ind w:firstLineChars="0" w:firstLine="0"/>
              <w:jc w:val="center"/>
              <w:rPr>
                <w:sz w:val="21"/>
                <w:szCs w:val="21"/>
              </w:rPr>
            </w:pPr>
          </w:p>
        </w:tc>
        <w:tc>
          <w:tcPr>
            <w:tcW w:w="1064" w:type="pct"/>
            <w:vAlign w:val="center"/>
          </w:tcPr>
          <w:p w14:paraId="6573B134"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2016年5月1日后取得（一般计税）</w:t>
            </w:r>
          </w:p>
        </w:tc>
        <w:tc>
          <w:tcPr>
            <w:tcW w:w="893" w:type="pct"/>
            <w:vAlign w:val="center"/>
          </w:tcPr>
          <w:p w14:paraId="226216F9"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10﹪</w:t>
            </w:r>
          </w:p>
        </w:tc>
        <w:tc>
          <w:tcPr>
            <w:tcW w:w="2341" w:type="pct"/>
            <w:vAlign w:val="center"/>
          </w:tcPr>
          <w:p w14:paraId="28180455" w14:textId="77777777" w:rsidR="00495C65" w:rsidRPr="004E3EBB" w:rsidRDefault="00495C65" w:rsidP="004E3EBB">
            <w:pPr>
              <w:pStyle w:val="13"/>
              <w:spacing w:line="240" w:lineRule="auto"/>
              <w:ind w:firstLineChars="0" w:firstLine="0"/>
              <w:rPr>
                <w:sz w:val="21"/>
                <w:szCs w:val="21"/>
              </w:rPr>
            </w:pPr>
            <w:r w:rsidRPr="004E3EBB">
              <w:rPr>
                <w:rFonts w:hint="eastAsia"/>
                <w:sz w:val="21"/>
                <w:szCs w:val="21"/>
              </w:rPr>
              <w:t>1</w:t>
            </w:r>
            <w:r w:rsidRPr="004E3EBB">
              <w:rPr>
                <w:sz w:val="21"/>
                <w:szCs w:val="21"/>
              </w:rPr>
              <w:t>.销项税额=全部价款和价外费用/（1+10%）×10%</w:t>
            </w:r>
          </w:p>
          <w:p w14:paraId="3C6AFB5C" w14:textId="77777777" w:rsidR="00495C65" w:rsidRPr="004E3EBB" w:rsidRDefault="00495C65" w:rsidP="004E3EBB">
            <w:pPr>
              <w:pStyle w:val="13"/>
              <w:spacing w:line="240" w:lineRule="auto"/>
              <w:ind w:firstLineChars="0" w:firstLine="0"/>
              <w:rPr>
                <w:sz w:val="21"/>
                <w:szCs w:val="21"/>
              </w:rPr>
            </w:pPr>
            <w:r w:rsidRPr="004E3EBB">
              <w:rPr>
                <w:rFonts w:hint="eastAsia"/>
                <w:sz w:val="21"/>
                <w:szCs w:val="21"/>
              </w:rPr>
              <w:t>2</w:t>
            </w:r>
            <w:r w:rsidRPr="004E3EBB">
              <w:rPr>
                <w:sz w:val="21"/>
                <w:szCs w:val="21"/>
              </w:rPr>
              <w:t>.应纳增值税=销项税额-进项税额</w:t>
            </w:r>
          </w:p>
        </w:tc>
      </w:tr>
    </w:tbl>
    <w:p w14:paraId="15AF03C2" w14:textId="77777777" w:rsidR="00495C65" w:rsidRDefault="00495C65" w:rsidP="00495C65">
      <w:pPr>
        <w:pStyle w:val="13"/>
      </w:pPr>
      <w:r w:rsidRPr="00A80AE8">
        <w:rPr>
          <w:rFonts w:hint="eastAsia"/>
        </w:rPr>
        <w:t>（</w:t>
      </w:r>
      <w:r>
        <w:rPr>
          <w:rFonts w:hint="eastAsia"/>
        </w:rPr>
        <w:t>二</w:t>
      </w:r>
      <w:r w:rsidRPr="00A80AE8">
        <w:rPr>
          <w:rFonts w:hint="eastAsia"/>
        </w:rPr>
        <w:t>）对于房地产开发企业</w:t>
      </w:r>
    </w:p>
    <w:p w14:paraId="762FF7A0" w14:textId="77777777" w:rsidR="00495C65" w:rsidRPr="008A2533" w:rsidRDefault="00495C65" w:rsidP="00495C65">
      <w:pPr>
        <w:pStyle w:val="13"/>
      </w:pPr>
      <w:proofErr w:type="gramStart"/>
      <w:r w:rsidRPr="008A2533">
        <w:rPr>
          <w:rFonts w:hint="eastAsia"/>
        </w:rPr>
        <w:t>营改增</w:t>
      </w:r>
      <w:proofErr w:type="gramEnd"/>
      <w:r w:rsidRPr="008A2533">
        <w:rPr>
          <w:rFonts w:hint="eastAsia"/>
        </w:rPr>
        <w:t>后涉及到房地产估价中假设开发法“销售税费”项目中增值税计算，以及以增值税应缴纳金额为计算基础的城建税、教育费附加</w:t>
      </w:r>
      <w:r w:rsidRPr="008A2533">
        <w:t>(地方教育费附加)等项目。</w:t>
      </w:r>
    </w:p>
    <w:p w14:paraId="293BA046" w14:textId="77777777" w:rsidR="00495C65" w:rsidRDefault="00495C65" w:rsidP="00495C65">
      <w:pPr>
        <w:pStyle w:val="13"/>
      </w:pPr>
      <w:r w:rsidRPr="008A2533">
        <w:rPr>
          <w:rFonts w:hint="eastAsia"/>
        </w:rPr>
        <w:t>适用于房地产开发企业销售自行开发的房地产项目，如房地产开发在建项目</w:t>
      </w:r>
      <w:r w:rsidRPr="008A2533">
        <w:t>(存货)、</w:t>
      </w:r>
      <w:r w:rsidRPr="008A2533">
        <w:rPr>
          <w:rFonts w:hint="eastAsia"/>
        </w:rPr>
        <w:t>土地使用权采用假设开发法</w:t>
      </w:r>
      <w:r w:rsidRPr="008A2533">
        <w:t>(剩余法)测算</w:t>
      </w:r>
      <w:r>
        <w:rPr>
          <w:rFonts w:hint="eastAsia"/>
        </w:rPr>
        <w:t>：</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770"/>
        <w:gridCol w:w="1638"/>
        <w:gridCol w:w="3675"/>
      </w:tblGrid>
      <w:tr w:rsidR="00495C65" w:rsidRPr="004E3EBB" w14:paraId="677395BA" w14:textId="77777777" w:rsidTr="00226138">
        <w:trPr>
          <w:trHeight w:val="326"/>
          <w:jc w:val="center"/>
        </w:trPr>
        <w:tc>
          <w:tcPr>
            <w:tcW w:w="939" w:type="pct"/>
            <w:vAlign w:val="center"/>
          </w:tcPr>
          <w:p w14:paraId="6F806DAD" w14:textId="77777777" w:rsidR="00495C65" w:rsidRPr="004E3EBB" w:rsidRDefault="00495C65" w:rsidP="004E3EBB">
            <w:pPr>
              <w:pStyle w:val="13"/>
              <w:spacing w:line="240" w:lineRule="auto"/>
              <w:ind w:firstLineChars="0" w:firstLine="0"/>
              <w:jc w:val="center"/>
              <w:rPr>
                <w:sz w:val="21"/>
                <w:szCs w:val="21"/>
              </w:rPr>
            </w:pPr>
            <w:bookmarkStart w:id="188" w:name="_Hlk80196505"/>
            <w:r w:rsidRPr="004E3EBB">
              <w:rPr>
                <w:sz w:val="21"/>
                <w:szCs w:val="21"/>
              </w:rPr>
              <w:t>纳税主体</w:t>
            </w:r>
          </w:p>
        </w:tc>
        <w:tc>
          <w:tcPr>
            <w:tcW w:w="1015" w:type="pct"/>
            <w:vAlign w:val="center"/>
          </w:tcPr>
          <w:p w14:paraId="2CFC744B"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类型/纳税对象</w:t>
            </w:r>
          </w:p>
        </w:tc>
        <w:tc>
          <w:tcPr>
            <w:tcW w:w="939" w:type="pct"/>
            <w:vAlign w:val="center"/>
          </w:tcPr>
          <w:p w14:paraId="6C063131"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征收率/税率</w:t>
            </w:r>
          </w:p>
        </w:tc>
        <w:tc>
          <w:tcPr>
            <w:tcW w:w="2107" w:type="pct"/>
            <w:vAlign w:val="center"/>
          </w:tcPr>
          <w:p w14:paraId="449A1DBC"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计算税款公式</w:t>
            </w:r>
          </w:p>
        </w:tc>
      </w:tr>
      <w:tr w:rsidR="00495C65" w:rsidRPr="004E3EBB" w14:paraId="797A2982" w14:textId="77777777" w:rsidTr="004E3EBB">
        <w:trPr>
          <w:trHeight w:val="1058"/>
          <w:jc w:val="center"/>
        </w:trPr>
        <w:tc>
          <w:tcPr>
            <w:tcW w:w="939" w:type="pct"/>
            <w:vAlign w:val="center"/>
          </w:tcPr>
          <w:p w14:paraId="5843F801"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小规模纳税人</w:t>
            </w:r>
          </w:p>
        </w:tc>
        <w:tc>
          <w:tcPr>
            <w:tcW w:w="1015" w:type="pct"/>
            <w:vAlign w:val="center"/>
          </w:tcPr>
          <w:p w14:paraId="428E2CBC"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新老房地产开发（简易计税方式）</w:t>
            </w:r>
          </w:p>
        </w:tc>
        <w:tc>
          <w:tcPr>
            <w:tcW w:w="939" w:type="pct"/>
            <w:vAlign w:val="center"/>
          </w:tcPr>
          <w:p w14:paraId="6356F120"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3%预征率，5%</w:t>
            </w:r>
          </w:p>
          <w:p w14:paraId="196D47BF"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征收率</w:t>
            </w:r>
          </w:p>
        </w:tc>
        <w:tc>
          <w:tcPr>
            <w:tcW w:w="2107" w:type="pct"/>
            <w:vAlign w:val="center"/>
          </w:tcPr>
          <w:p w14:paraId="10662C2D" w14:textId="77777777" w:rsidR="00495C65" w:rsidRPr="004E3EBB" w:rsidRDefault="00495C65" w:rsidP="004E3EBB">
            <w:pPr>
              <w:pStyle w:val="13"/>
              <w:spacing w:line="240" w:lineRule="auto"/>
              <w:ind w:firstLineChars="0" w:firstLine="0"/>
              <w:jc w:val="left"/>
              <w:rPr>
                <w:sz w:val="21"/>
                <w:szCs w:val="21"/>
              </w:rPr>
            </w:pPr>
            <w:r w:rsidRPr="004E3EBB">
              <w:rPr>
                <w:rFonts w:hint="eastAsia"/>
                <w:sz w:val="21"/>
                <w:szCs w:val="21"/>
              </w:rPr>
              <w:t>1</w:t>
            </w:r>
            <w:r w:rsidRPr="004E3EBB">
              <w:rPr>
                <w:sz w:val="21"/>
                <w:szCs w:val="21"/>
              </w:rPr>
              <w:t>.预缴税款=含税销售额/（1+5%）×3%</w:t>
            </w:r>
          </w:p>
          <w:p w14:paraId="3AB98042" w14:textId="77777777" w:rsidR="00495C65" w:rsidRPr="004E3EBB" w:rsidRDefault="00495C65" w:rsidP="004E3EBB">
            <w:pPr>
              <w:pStyle w:val="13"/>
              <w:spacing w:line="240" w:lineRule="auto"/>
              <w:ind w:firstLineChars="0" w:firstLine="0"/>
              <w:jc w:val="left"/>
              <w:rPr>
                <w:sz w:val="21"/>
                <w:szCs w:val="21"/>
              </w:rPr>
            </w:pPr>
            <w:r w:rsidRPr="004E3EBB">
              <w:rPr>
                <w:rFonts w:hint="eastAsia"/>
                <w:sz w:val="21"/>
                <w:szCs w:val="21"/>
              </w:rPr>
              <w:t>2</w:t>
            </w:r>
            <w:r w:rsidRPr="004E3EBB">
              <w:rPr>
                <w:sz w:val="21"/>
                <w:szCs w:val="21"/>
              </w:rPr>
              <w:t>.应缴增值税=全部价款及价外费用/（1+5%）×5%</w:t>
            </w:r>
          </w:p>
        </w:tc>
      </w:tr>
      <w:tr w:rsidR="00495C65" w:rsidRPr="004E3EBB" w14:paraId="3337FD98" w14:textId="77777777" w:rsidTr="00226138">
        <w:trPr>
          <w:trHeight w:val="1630"/>
          <w:jc w:val="center"/>
        </w:trPr>
        <w:tc>
          <w:tcPr>
            <w:tcW w:w="939" w:type="pct"/>
            <w:vMerge w:val="restart"/>
            <w:vAlign w:val="center"/>
          </w:tcPr>
          <w:p w14:paraId="5E974FA5"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一般纳税人</w:t>
            </w:r>
          </w:p>
        </w:tc>
        <w:tc>
          <w:tcPr>
            <w:tcW w:w="1015" w:type="pct"/>
            <w:vAlign w:val="center"/>
          </w:tcPr>
          <w:p w14:paraId="6DD74AAD"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新老房地产开发项目（简易计税方式）</w:t>
            </w:r>
          </w:p>
        </w:tc>
        <w:tc>
          <w:tcPr>
            <w:tcW w:w="939" w:type="pct"/>
            <w:vAlign w:val="center"/>
          </w:tcPr>
          <w:p w14:paraId="7758B19A"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3%预征率，10%税率</w:t>
            </w:r>
          </w:p>
        </w:tc>
        <w:tc>
          <w:tcPr>
            <w:tcW w:w="2107" w:type="pct"/>
            <w:vAlign w:val="center"/>
          </w:tcPr>
          <w:p w14:paraId="20A24A5F" w14:textId="77777777" w:rsidR="00495C65" w:rsidRPr="004E3EBB" w:rsidRDefault="00495C65" w:rsidP="004E3EBB">
            <w:pPr>
              <w:pStyle w:val="13"/>
              <w:spacing w:line="240" w:lineRule="auto"/>
              <w:ind w:firstLineChars="0" w:firstLine="0"/>
              <w:jc w:val="left"/>
              <w:rPr>
                <w:sz w:val="21"/>
                <w:szCs w:val="21"/>
              </w:rPr>
            </w:pPr>
            <w:r w:rsidRPr="004E3EBB">
              <w:rPr>
                <w:rFonts w:hint="eastAsia"/>
                <w:sz w:val="21"/>
                <w:szCs w:val="21"/>
              </w:rPr>
              <w:t>1</w:t>
            </w:r>
            <w:r w:rsidRPr="004E3EBB">
              <w:rPr>
                <w:sz w:val="21"/>
                <w:szCs w:val="21"/>
              </w:rPr>
              <w:t>.预缴增值税=含税销售额/（1+10%）×3%</w:t>
            </w:r>
          </w:p>
          <w:p w14:paraId="0D0BE7DF" w14:textId="77777777" w:rsidR="00495C65" w:rsidRPr="004E3EBB" w:rsidRDefault="00495C65" w:rsidP="004E3EBB">
            <w:pPr>
              <w:pStyle w:val="13"/>
              <w:spacing w:line="240" w:lineRule="auto"/>
              <w:ind w:firstLineChars="0" w:firstLine="0"/>
              <w:jc w:val="left"/>
              <w:rPr>
                <w:sz w:val="21"/>
                <w:szCs w:val="21"/>
              </w:rPr>
            </w:pPr>
            <w:r w:rsidRPr="004E3EBB">
              <w:rPr>
                <w:rFonts w:hint="eastAsia"/>
                <w:sz w:val="21"/>
                <w:szCs w:val="21"/>
              </w:rPr>
              <w:t>2</w:t>
            </w:r>
            <w:r w:rsidRPr="004E3EBB">
              <w:rPr>
                <w:sz w:val="21"/>
                <w:szCs w:val="21"/>
              </w:rPr>
              <w:t>.销项税额=（全部价款及价外费用-土地价款）/（1+10%）×10%</w:t>
            </w:r>
          </w:p>
          <w:p w14:paraId="1CCB02D2" w14:textId="77777777" w:rsidR="00495C65" w:rsidRPr="004E3EBB" w:rsidRDefault="00495C65" w:rsidP="004E3EBB">
            <w:pPr>
              <w:pStyle w:val="13"/>
              <w:spacing w:line="240" w:lineRule="auto"/>
              <w:ind w:firstLineChars="0" w:firstLine="0"/>
              <w:jc w:val="left"/>
              <w:rPr>
                <w:sz w:val="21"/>
                <w:szCs w:val="21"/>
              </w:rPr>
            </w:pPr>
            <w:r w:rsidRPr="004E3EBB">
              <w:rPr>
                <w:rFonts w:hint="eastAsia"/>
                <w:sz w:val="21"/>
                <w:szCs w:val="21"/>
              </w:rPr>
              <w:t>3</w:t>
            </w:r>
            <w:r w:rsidRPr="004E3EBB">
              <w:rPr>
                <w:sz w:val="21"/>
                <w:szCs w:val="21"/>
              </w:rPr>
              <w:t>.应纳增值税=销项税额-进项税额</w:t>
            </w:r>
          </w:p>
        </w:tc>
      </w:tr>
      <w:tr w:rsidR="00495C65" w:rsidRPr="004E3EBB" w14:paraId="09926982" w14:textId="77777777" w:rsidTr="004E3EBB">
        <w:trPr>
          <w:trHeight w:val="841"/>
          <w:jc w:val="center"/>
        </w:trPr>
        <w:tc>
          <w:tcPr>
            <w:tcW w:w="939" w:type="pct"/>
            <w:vMerge/>
            <w:vAlign w:val="center"/>
          </w:tcPr>
          <w:p w14:paraId="060878C1" w14:textId="77777777" w:rsidR="00495C65" w:rsidRPr="004E3EBB" w:rsidRDefault="00495C65" w:rsidP="004E3EBB">
            <w:pPr>
              <w:pStyle w:val="13"/>
              <w:spacing w:line="240" w:lineRule="auto"/>
              <w:ind w:firstLineChars="0" w:firstLine="0"/>
              <w:jc w:val="center"/>
              <w:rPr>
                <w:sz w:val="21"/>
                <w:szCs w:val="21"/>
              </w:rPr>
            </w:pPr>
          </w:p>
        </w:tc>
        <w:tc>
          <w:tcPr>
            <w:tcW w:w="1015" w:type="pct"/>
            <w:vAlign w:val="center"/>
          </w:tcPr>
          <w:p w14:paraId="0E0D3100"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老房地产开发项目（简易计税方式）</w:t>
            </w:r>
          </w:p>
        </w:tc>
        <w:tc>
          <w:tcPr>
            <w:tcW w:w="939" w:type="pct"/>
            <w:vAlign w:val="center"/>
          </w:tcPr>
          <w:p w14:paraId="2B1D78E9"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3%预征率，5%</w:t>
            </w:r>
          </w:p>
          <w:p w14:paraId="24B4470E" w14:textId="77777777" w:rsidR="00495C65" w:rsidRPr="004E3EBB" w:rsidRDefault="00495C65" w:rsidP="004E3EBB">
            <w:pPr>
              <w:pStyle w:val="13"/>
              <w:spacing w:line="240" w:lineRule="auto"/>
              <w:ind w:firstLineChars="0" w:firstLine="0"/>
              <w:jc w:val="center"/>
              <w:rPr>
                <w:sz w:val="21"/>
                <w:szCs w:val="21"/>
              </w:rPr>
            </w:pPr>
            <w:r w:rsidRPr="004E3EBB">
              <w:rPr>
                <w:sz w:val="21"/>
                <w:szCs w:val="21"/>
              </w:rPr>
              <w:t>征收率</w:t>
            </w:r>
          </w:p>
        </w:tc>
        <w:tc>
          <w:tcPr>
            <w:tcW w:w="2107" w:type="pct"/>
            <w:vAlign w:val="center"/>
          </w:tcPr>
          <w:p w14:paraId="3316B7B5" w14:textId="77777777" w:rsidR="00495C65" w:rsidRPr="004E3EBB" w:rsidRDefault="00495C65" w:rsidP="004E3EBB">
            <w:pPr>
              <w:pStyle w:val="13"/>
              <w:spacing w:line="240" w:lineRule="auto"/>
              <w:ind w:firstLineChars="0" w:firstLine="0"/>
              <w:jc w:val="left"/>
              <w:rPr>
                <w:sz w:val="21"/>
                <w:szCs w:val="21"/>
              </w:rPr>
            </w:pPr>
            <w:r w:rsidRPr="004E3EBB">
              <w:rPr>
                <w:sz w:val="21"/>
                <w:szCs w:val="21"/>
              </w:rPr>
              <w:t>1.预缴税款=含税销售额/（1+5%）×5%</w:t>
            </w:r>
          </w:p>
        </w:tc>
      </w:tr>
    </w:tbl>
    <w:bookmarkEnd w:id="188"/>
    <w:p w14:paraId="50E65008" w14:textId="77777777" w:rsidR="00495C65" w:rsidRPr="00A56BD6" w:rsidRDefault="00495C65" w:rsidP="00495C65">
      <w:pPr>
        <w:pStyle w:val="13"/>
      </w:pPr>
      <w:r w:rsidRPr="00A56BD6">
        <w:rPr>
          <w:rFonts w:hint="eastAsia"/>
        </w:rPr>
        <w:t>注：</w:t>
      </w:r>
      <w:r w:rsidRPr="00A56BD6">
        <w:t>1.一经选择简易计税方法计税的，36个月内不得变更为一般计税方法计税。</w:t>
      </w:r>
    </w:p>
    <w:p w14:paraId="2E991867" w14:textId="77777777" w:rsidR="00495C65" w:rsidRPr="00A56BD6" w:rsidRDefault="00495C65" w:rsidP="00495C65">
      <w:pPr>
        <w:pStyle w:val="13"/>
      </w:pPr>
      <w:r w:rsidRPr="00A56BD6">
        <w:t>2.</w:t>
      </w:r>
      <w:r w:rsidRPr="00A56BD6">
        <w:rPr>
          <w:rFonts w:hint="eastAsia"/>
        </w:rPr>
        <w:t>房地产老项目，是指：《建筑工程施工许可证》注明的合同开工日期在</w:t>
      </w:r>
      <w:r w:rsidRPr="00A56BD6">
        <w:t>2016年4</w:t>
      </w:r>
      <w:r w:rsidRPr="00A56BD6">
        <w:rPr>
          <w:rFonts w:hint="eastAsia"/>
        </w:rPr>
        <w:t>月</w:t>
      </w:r>
      <w:r w:rsidRPr="00A56BD6">
        <w:t>30日前的房地产项目；《建筑工程施工许可证》未注明合同开工日期或者未取得《建</w:t>
      </w:r>
      <w:r w:rsidRPr="00A56BD6">
        <w:rPr>
          <w:rFonts w:hint="eastAsia"/>
        </w:rPr>
        <w:t>筑工程施工许可证》但建筑工程承包合同注明的开工日期在</w:t>
      </w:r>
      <w:r w:rsidRPr="00A56BD6">
        <w:t>2016年4月30日前的建筑工程项目。</w:t>
      </w:r>
    </w:p>
    <w:p w14:paraId="4249E48F" w14:textId="77777777" w:rsidR="00495C65" w:rsidRDefault="00495C65" w:rsidP="00495C65">
      <w:pPr>
        <w:pStyle w:val="13"/>
      </w:pPr>
      <w:r w:rsidRPr="00A56BD6">
        <w:rPr>
          <w:rFonts w:hint="eastAsia"/>
        </w:rPr>
        <w:t>实际估价中，老项目一般为在建工程（存货）估价，纯土地使用权采用假设开发法测算时一般可认定为新房地产开发项目。</w:t>
      </w:r>
    </w:p>
    <w:p w14:paraId="43C2D792" w14:textId="1C9D5FE0" w:rsidR="00495C65" w:rsidRDefault="00495C65" w:rsidP="00885D4C">
      <w:pPr>
        <w:pStyle w:val="13"/>
        <w:rPr>
          <w:b/>
          <w:bCs/>
          <w:sz w:val="32"/>
          <w:szCs w:val="32"/>
        </w:rPr>
      </w:pPr>
      <w:r w:rsidRPr="00C01315">
        <w:rPr>
          <w:rFonts w:hint="eastAsia"/>
        </w:rPr>
        <w:t>房地产开发项目纳税主体为一般纳税人的销售税费测算甚为麻烦，估价面临难题仍在于可抵扣进项税额测算，认为可参考简易计税方式估算，如为非房地产开发企业建设后以</w:t>
      </w:r>
      <w:proofErr w:type="gramStart"/>
      <w:r w:rsidRPr="00C01315">
        <w:rPr>
          <w:rFonts w:hint="eastAsia"/>
        </w:rPr>
        <w:t>自持</w:t>
      </w:r>
      <w:proofErr w:type="gramEnd"/>
      <w:r w:rsidRPr="00C01315">
        <w:rPr>
          <w:rFonts w:hint="eastAsia"/>
        </w:rPr>
        <w:t>为目的的项目可能仍较为合理，但作为以销售自行开发的房地产开发企业，认为参照简易计税方式测算估价结果可能会出现重大误差，尤其是涉及到企业价值评估中存货估算。在现阶段类似估价项目，基于可操作性考虑，我们更加倾向于采用预征模式测算销售税费中的增值税（包括土地增值税），当然最为合理的仍应采用清算模式测算确定。</w:t>
      </w:r>
    </w:p>
    <w:p w14:paraId="5C73DAE2" w14:textId="63A0E704" w:rsidR="00885D4C" w:rsidRDefault="00885D4C">
      <w:pPr>
        <w:widowControl/>
        <w:jc w:val="left"/>
        <w:rPr>
          <w:rFonts w:ascii="宋体" w:hAnsi="宋体"/>
          <w:b/>
          <w:bCs/>
          <w:sz w:val="32"/>
          <w:szCs w:val="32"/>
        </w:rPr>
      </w:pPr>
      <w:r>
        <w:rPr>
          <w:b/>
          <w:bCs/>
          <w:sz w:val="32"/>
          <w:szCs w:val="32"/>
        </w:rPr>
        <w:br w:type="page"/>
      </w:r>
    </w:p>
    <w:p w14:paraId="2ECB7945" w14:textId="7AA96AC1" w:rsidR="00885D4C" w:rsidRDefault="00885D4C" w:rsidP="00885D4C">
      <w:pPr>
        <w:pStyle w:val="11"/>
      </w:pPr>
      <w:bookmarkStart w:id="189" w:name="_Toc81833426"/>
      <w:r>
        <w:rPr>
          <w:rFonts w:hint="eastAsia"/>
        </w:rPr>
        <w:lastRenderedPageBreak/>
        <w:t>土地估价规范</w:t>
      </w:r>
      <w:bookmarkEnd w:id="189"/>
    </w:p>
    <w:p w14:paraId="24D4D43B" w14:textId="77777777" w:rsidR="00495C65" w:rsidRDefault="00495C65" w:rsidP="00495C65">
      <w:pPr>
        <w:pStyle w:val="21"/>
        <w:spacing w:before="156" w:after="93"/>
      </w:pPr>
      <w:bookmarkStart w:id="190" w:name="_Toc81833427"/>
      <w:r>
        <w:rPr>
          <w:rFonts w:hint="eastAsia"/>
        </w:rPr>
        <w:t>国家标准</w:t>
      </w:r>
      <w:bookmarkEnd w:id="190"/>
    </w:p>
    <w:p w14:paraId="13DEAD42" w14:textId="2D7872CE" w:rsidR="00495C65" w:rsidRDefault="00495C65" w:rsidP="00495C65">
      <w:pPr>
        <w:pStyle w:val="31"/>
        <w:spacing w:before="156" w:after="62"/>
      </w:pPr>
      <w:bookmarkStart w:id="191" w:name="_Toc81833428"/>
      <w:r>
        <w:rPr>
          <w:rFonts w:hint="eastAsia"/>
        </w:rPr>
        <w:t>关于实施《城镇土地分等定级规程》和《城镇土地估价规程》有关问题的通知</w:t>
      </w:r>
      <w:r w:rsidR="0057366E">
        <w:br/>
      </w:r>
      <w:r>
        <w:rPr>
          <w:rFonts w:hint="eastAsia"/>
        </w:rPr>
        <w:t>（</w:t>
      </w:r>
      <w:proofErr w:type="gramStart"/>
      <w:r>
        <w:rPr>
          <w:rFonts w:hint="eastAsia"/>
        </w:rPr>
        <w:t>国土资厅发</w:t>
      </w:r>
      <w:proofErr w:type="gramEnd"/>
      <w:r>
        <w:rPr>
          <w:rFonts w:hint="eastAsia"/>
        </w:rPr>
        <w:t>〔</w:t>
      </w:r>
      <w:r>
        <w:t>2015〕12号）</w:t>
      </w:r>
      <w:bookmarkEnd w:id="191"/>
    </w:p>
    <w:p w14:paraId="60A97DF0" w14:textId="77777777" w:rsidR="00495C65" w:rsidRDefault="00495C65" w:rsidP="00495C65">
      <w:pPr>
        <w:pStyle w:val="13"/>
        <w:ind w:firstLineChars="0" w:firstLine="0"/>
      </w:pPr>
      <w:r>
        <w:rPr>
          <w:rFonts w:hint="eastAsia"/>
        </w:rPr>
        <w:t>各省、自治区、直辖市国土资源主管部门，新疆生产建设兵团国土资源局，解放军土地管理局：</w:t>
      </w:r>
    </w:p>
    <w:p w14:paraId="61514C88" w14:textId="77777777" w:rsidR="00495C65" w:rsidRDefault="00495C65" w:rsidP="00495C65">
      <w:pPr>
        <w:pStyle w:val="13"/>
      </w:pPr>
      <w:r>
        <w:rPr>
          <w:rFonts w:hint="eastAsia"/>
        </w:rPr>
        <w:t>《城镇土地分等定级规程》（</w:t>
      </w:r>
      <w:r>
        <w:t>GB/T18507-2014）和《城镇土地估价规程》（GB/T18508-2014）（以下简称“规程”）国家技术标准已经公开发布，于2014年12月1日起实施。为贯彻执行好规程，现就有关问题通知如下：</w:t>
      </w:r>
    </w:p>
    <w:p w14:paraId="06F1F046" w14:textId="77777777" w:rsidR="00495C65" w:rsidRDefault="00495C65" w:rsidP="00495C65">
      <w:pPr>
        <w:pStyle w:val="13"/>
      </w:pPr>
      <w:r>
        <w:rPr>
          <w:rFonts w:hint="eastAsia"/>
        </w:rPr>
        <w:t>一、加大宣传培训和指导监督力度。规程是各级国土资源主管部门、土地市场中介行业协会、土地估价机构及其有关人员在从事地价管理和地价评估工作时应遵循的国家技术标准。各级国土资源主管部门要会同行业协会，组织开展部门、机构和人员培训，</w:t>
      </w:r>
      <w:r>
        <w:t>在有关人员的后续教育中增加相应的内容和学时要求，加大规程的宣传推行和指导监督力度，促进土地市场中介行业健康发展。</w:t>
      </w:r>
    </w:p>
    <w:p w14:paraId="0A9B725E" w14:textId="77777777" w:rsidR="00495C65" w:rsidRDefault="00495C65" w:rsidP="00495C65">
      <w:pPr>
        <w:pStyle w:val="13"/>
      </w:pPr>
      <w:r>
        <w:rPr>
          <w:rFonts w:hint="eastAsia"/>
        </w:rPr>
        <w:t>二、严格按规程制订、更新并公布基准地价。市、县国土资源主管部门应严格按照规程，开展基准地价制订、更新和公布工作。基准地价每</w:t>
      </w:r>
      <w:r>
        <w:t>3年应全面更新一次；超过6年未全面更新的，在土地估价报告中不再使用基准地价系数修正法；不能以网格等形式借助计算机信息系统实时更新基准地价。基准地价以及全面更新成果应由省级国土资源主管部门组织验收后报部备案，然后由市、县国土资源主管部门及时向社会公开。省级国土资源主管部门要加强监督指导，确保基准地价及时更新、发布，对不符合规程规定的基准地价制订、更新工作及成果应及时予以纠正。部将建</w:t>
      </w:r>
      <w:r>
        <w:rPr>
          <w:rFonts w:hint="eastAsia"/>
        </w:rPr>
        <w:t>立全国基准地价备案系统，</w:t>
      </w:r>
      <w:r>
        <w:t>实行电子化备案。</w:t>
      </w:r>
    </w:p>
    <w:p w14:paraId="087F37D3" w14:textId="77777777" w:rsidR="00495C65" w:rsidRDefault="00495C65" w:rsidP="00495C65">
      <w:pPr>
        <w:pStyle w:val="13"/>
      </w:pPr>
      <w:r>
        <w:rPr>
          <w:rFonts w:hint="eastAsia"/>
        </w:rPr>
        <w:t>三、加强宗地地价评估管理。土地估价机构和人员开展宗地地价评估工作，应严格依照规程出具土地估价报告（</w:t>
      </w:r>
      <w:proofErr w:type="gramStart"/>
      <w:r>
        <w:rPr>
          <w:rFonts w:hint="eastAsia"/>
        </w:rPr>
        <w:t>含土地</w:t>
      </w:r>
      <w:proofErr w:type="gramEnd"/>
      <w:r>
        <w:rPr>
          <w:rFonts w:hint="eastAsia"/>
        </w:rPr>
        <w:t>估价技术报告），并且履行电子化备案程序，取得电子备案号。在土地出让、土地资产处置、土地收购储备等工作中需要进行宗地地价评估的，各级国土资源主管部门应注意检查所使用的土地估价报告是否具备电子备案号；在土地市场动态监测监管系统中上传土地出让合同时，应填写土地估价报告备案号。</w:t>
      </w:r>
    </w:p>
    <w:p w14:paraId="138D4B8F" w14:textId="77777777" w:rsidR="00495C65" w:rsidRDefault="00495C65" w:rsidP="00495C65">
      <w:pPr>
        <w:pStyle w:val="13"/>
      </w:pPr>
      <w:r>
        <w:rPr>
          <w:rFonts w:hint="eastAsia"/>
        </w:rPr>
        <w:t>四、严格执行出让地价评估有关规定。在国有建设用地使用权出让前，市、县国土资源主管部门应当按照规程和《关于发布〈国有建设用地使用权出让地价评估技术规范（试行）〉的通知》（</w:t>
      </w:r>
      <w:proofErr w:type="gramStart"/>
      <w:r>
        <w:rPr>
          <w:rFonts w:hint="eastAsia"/>
        </w:rPr>
        <w:t>国土资厅发</w:t>
      </w:r>
      <w:proofErr w:type="gramEnd"/>
      <w:r>
        <w:rPr>
          <w:rFonts w:hint="eastAsia"/>
        </w:rPr>
        <w:t>〔</w:t>
      </w:r>
      <w:r>
        <w:t>2013〕20号）有关要求，组织对拟出让宗地的地价进行评估，出具土地估价报告。出具的土地估价报告应当在“估价结果”部分</w:t>
      </w:r>
      <w:r>
        <w:lastRenderedPageBreak/>
        <w:t>有明确底价决策建议及理由；涉及协议出让最低价标准、工业用地出让最低价标准等最低限价的，还应同时列出相应的最低限价标准。</w:t>
      </w:r>
    </w:p>
    <w:p w14:paraId="2E985F61" w14:textId="77777777" w:rsidR="00495C65" w:rsidRDefault="00495C65" w:rsidP="00495C65">
      <w:pPr>
        <w:pStyle w:val="13"/>
      </w:pPr>
      <w:r>
        <w:rPr>
          <w:rFonts w:hint="eastAsia"/>
        </w:rPr>
        <w:t>已出让土地因调整容积率需评估补缴地价款的，若调整前原容积率低于</w:t>
      </w:r>
      <w:r>
        <w:t>1，可按新容积率规划条件下评估期日的楼面地价乘以新增建筑面积确定应补缴的地价款。对列入市县政府旧城区成片改造、棚户区改造计划的地块，政府主动调整涉及多宗土地的城镇控制性详细规划，在评估应补缴地价款时，楼面地价可按新容积率规划条件下评估期日的楼面地价确定。</w:t>
      </w:r>
    </w:p>
    <w:p w14:paraId="268FC915" w14:textId="77777777" w:rsidR="00495C65" w:rsidRDefault="00495C65" w:rsidP="00495C65">
      <w:pPr>
        <w:pStyle w:val="13"/>
      </w:pPr>
      <w:r>
        <w:rPr>
          <w:rFonts w:hint="eastAsia"/>
        </w:rPr>
        <w:t>五、加强土地市场中介行业监管。各级国土资源主管部门要认真履行土地市场监管职责，加强对土地估价等市场中介行业的监管，对发现的不符合规程和部有关文件规定的土地估价报告，应依法追究有关机构和人员责任，同时交由行业协会予以行业自律处罚。省级国土资源主管部门要指导行业协会加强自律管理，定期开展土地估价报告备案情况检查；严格执行土地估价报告抽查评议制度，定期组织行业协会和专家，对辖区内已备案的土地估价报告进行抽查和评议，向社会公布抽查评议结果。</w:t>
      </w:r>
    </w:p>
    <w:p w14:paraId="7521F0FC" w14:textId="77777777" w:rsidR="00495C65" w:rsidRDefault="00495C65" w:rsidP="00495C65">
      <w:pPr>
        <w:pStyle w:val="13"/>
      </w:pPr>
      <w:r>
        <w:rPr>
          <w:rFonts w:hint="eastAsia"/>
        </w:rPr>
        <w:t>本文件的有效期为</w:t>
      </w:r>
      <w:r>
        <w:t>5年。</w:t>
      </w:r>
    </w:p>
    <w:p w14:paraId="7308CB92" w14:textId="7C0380FD" w:rsidR="0057366E" w:rsidRDefault="0057366E" w:rsidP="00495C65">
      <w:pPr>
        <w:pStyle w:val="13"/>
        <w:jc w:val="right"/>
      </w:pPr>
      <w:r w:rsidRPr="0057366E">
        <w:rPr>
          <w:rFonts w:hint="eastAsia"/>
        </w:rPr>
        <w:t>国土资源部办公厅</w:t>
      </w:r>
    </w:p>
    <w:p w14:paraId="3226E2E4" w14:textId="69E0E046" w:rsidR="00495C65" w:rsidRDefault="00495C65" w:rsidP="00495C65">
      <w:pPr>
        <w:pStyle w:val="13"/>
        <w:jc w:val="right"/>
      </w:pPr>
      <w:r>
        <w:t>2015年3月18日</w:t>
      </w:r>
    </w:p>
    <w:p w14:paraId="18DB1BAC" w14:textId="1CAFE64F" w:rsidR="00495C65" w:rsidRDefault="00E52243" w:rsidP="00495C65">
      <w:pPr>
        <w:pStyle w:val="31"/>
        <w:spacing w:before="156" w:after="62"/>
      </w:pPr>
      <w:bookmarkStart w:id="192" w:name="_Toc81833429"/>
      <w:r>
        <w:rPr>
          <w:rFonts w:hint="eastAsia"/>
        </w:rPr>
        <w:t>城镇</w:t>
      </w:r>
      <w:r w:rsidR="00495C65">
        <w:rPr>
          <w:rFonts w:hint="eastAsia"/>
        </w:rPr>
        <w:t>土地估价规程（</w:t>
      </w:r>
      <w:r w:rsidR="00495C65">
        <w:t>GB/T18508-2014）</w:t>
      </w:r>
      <w:bookmarkEnd w:id="192"/>
    </w:p>
    <w:p w14:paraId="1D185483" w14:textId="77777777" w:rsidR="00495C65" w:rsidRDefault="00495C65" w:rsidP="00AF7342">
      <w:pPr>
        <w:pStyle w:val="a9"/>
        <w:spacing w:before="62" w:after="62"/>
      </w:pPr>
      <w:r>
        <w:t>1 范围</w:t>
      </w:r>
    </w:p>
    <w:p w14:paraId="496EE4D4" w14:textId="77777777" w:rsidR="00495C65" w:rsidRDefault="00495C65" w:rsidP="00495C65">
      <w:pPr>
        <w:pStyle w:val="13"/>
      </w:pPr>
      <w:r>
        <w:rPr>
          <w:rFonts w:hint="eastAsia"/>
        </w:rPr>
        <w:t>本规程规定了我国城镇土地估价的术语和定义、总则和价格影响因素、主要估价方法、基准地价评估、宗地地价评估程序、不同用途土地价格评估、不同权利状态下土地价格评估。</w:t>
      </w:r>
    </w:p>
    <w:p w14:paraId="3E4D7E8B" w14:textId="77777777" w:rsidR="00495C65" w:rsidRDefault="00495C65" w:rsidP="00495C65">
      <w:pPr>
        <w:pStyle w:val="13"/>
      </w:pPr>
      <w:r>
        <w:rPr>
          <w:rFonts w:hint="eastAsia"/>
        </w:rPr>
        <w:t>本规程适用于城镇、独立工矿区范围内的建设用地“基准地价”和“宗地地价”评估。</w:t>
      </w:r>
    </w:p>
    <w:p w14:paraId="3DFC790E" w14:textId="77777777" w:rsidR="00495C65" w:rsidRDefault="00495C65" w:rsidP="00495C65">
      <w:pPr>
        <w:pStyle w:val="13"/>
      </w:pPr>
      <w:r>
        <w:rPr>
          <w:rFonts w:hint="eastAsia"/>
        </w:rPr>
        <w:t>农村建设用地地价评估可参照本标准执行。</w:t>
      </w:r>
    </w:p>
    <w:p w14:paraId="19BCF0C5" w14:textId="77777777" w:rsidR="00495C65" w:rsidRDefault="00495C65" w:rsidP="00AF7342">
      <w:pPr>
        <w:pStyle w:val="a9"/>
        <w:spacing w:before="62" w:after="62"/>
      </w:pPr>
      <w:r>
        <w:t>2 规范性引用文件</w:t>
      </w:r>
    </w:p>
    <w:p w14:paraId="006D7183" w14:textId="77777777" w:rsidR="00495C65" w:rsidRDefault="00495C65" w:rsidP="00495C65">
      <w:pPr>
        <w:pStyle w:val="13"/>
      </w:pPr>
      <w:r>
        <w:rPr>
          <w:rFonts w:hint="eastAsia"/>
        </w:rPr>
        <w:t>下列文件对于本文件的应用是必不可少的。凡是注日期的引用文件，仅注日期的版本适用本文件。凡是不注日期的引用文件，其最新版本（包括所有的修改单）适用本文件。</w:t>
      </w:r>
    </w:p>
    <w:p w14:paraId="01A86E0F" w14:textId="77777777" w:rsidR="00495C65" w:rsidRDefault="00495C65" w:rsidP="00495C65">
      <w:pPr>
        <w:pStyle w:val="13"/>
      </w:pPr>
      <w:r>
        <w:t>GB/T18507  城镇土地分等定级规程</w:t>
      </w:r>
    </w:p>
    <w:p w14:paraId="3592E328" w14:textId="77777777" w:rsidR="00495C65" w:rsidRDefault="00495C65" w:rsidP="00495C65">
      <w:pPr>
        <w:pStyle w:val="13"/>
      </w:pPr>
      <w:r>
        <w:t>GB/T21010-2007  土地利用现状分类</w:t>
      </w:r>
    </w:p>
    <w:p w14:paraId="5F21533A" w14:textId="77777777" w:rsidR="00495C65" w:rsidRDefault="00495C65" w:rsidP="00495C65">
      <w:pPr>
        <w:pStyle w:val="13"/>
      </w:pPr>
      <w:r>
        <w:t>TD/T1001－2012  地籍调查规程</w:t>
      </w:r>
    </w:p>
    <w:p w14:paraId="1C82B38F" w14:textId="77777777" w:rsidR="00495C65" w:rsidRDefault="00495C65" w:rsidP="00495C65">
      <w:pPr>
        <w:pStyle w:val="13"/>
      </w:pPr>
      <w:r>
        <w:t>TD/T1009－2007  城市地价动态监测技术规范</w:t>
      </w:r>
    </w:p>
    <w:p w14:paraId="5D2F4678" w14:textId="77777777" w:rsidR="00495C65" w:rsidRDefault="00495C65" w:rsidP="00AF7342">
      <w:pPr>
        <w:pStyle w:val="a9"/>
        <w:spacing w:before="62" w:after="62"/>
      </w:pPr>
      <w:r>
        <w:lastRenderedPageBreak/>
        <w:t>3 术语和定义</w:t>
      </w:r>
    </w:p>
    <w:p w14:paraId="79AF5B68" w14:textId="77777777" w:rsidR="00495C65" w:rsidRDefault="00495C65" w:rsidP="00495C65">
      <w:pPr>
        <w:pStyle w:val="ab"/>
        <w:spacing w:before="62" w:after="62"/>
        <w:ind w:firstLine="482"/>
      </w:pPr>
      <w:r>
        <w:rPr>
          <w:rFonts w:hint="eastAsia"/>
        </w:rPr>
        <w:t>3</w:t>
      </w:r>
      <w:r>
        <w:t>.1</w:t>
      </w:r>
      <w:r>
        <w:rPr>
          <w:rFonts w:hint="eastAsia"/>
        </w:rPr>
        <w:t>地价</w:t>
      </w:r>
    </w:p>
    <w:p w14:paraId="5752A19C" w14:textId="77777777" w:rsidR="00495C65" w:rsidRDefault="00495C65" w:rsidP="00495C65">
      <w:pPr>
        <w:pStyle w:val="13"/>
      </w:pPr>
      <w:r>
        <w:rPr>
          <w:rFonts w:hint="eastAsia"/>
        </w:rPr>
        <w:t>在市场条件下形成的土地权利价格，包括在公开市场条件下形成的客观合理价格和特定市场条件下形成的市场关联各方可接受的价格。</w:t>
      </w:r>
    </w:p>
    <w:p w14:paraId="180ECF31" w14:textId="77777777" w:rsidR="00495C65" w:rsidRDefault="00495C65" w:rsidP="00495C65">
      <w:pPr>
        <w:pStyle w:val="13"/>
      </w:pPr>
      <w:r>
        <w:rPr>
          <w:rFonts w:hint="eastAsia"/>
        </w:rPr>
        <w:t>无特殊说明下，均指公开市场条件下形成的，一定年期建设用地使用权的权利价格，</w:t>
      </w:r>
      <w:r>
        <w:t>其空间内涵包括地表及地上、地下的一定范围，也可依据权属划分单独界定为地下空间使用权或空中使用权价格。</w:t>
      </w:r>
    </w:p>
    <w:p w14:paraId="0B2F4566" w14:textId="77777777" w:rsidR="00495C65" w:rsidRDefault="00495C65" w:rsidP="00495C65">
      <w:pPr>
        <w:pStyle w:val="ab"/>
        <w:spacing w:before="62" w:after="62"/>
        <w:ind w:firstLine="482"/>
      </w:pPr>
      <w:r w:rsidRPr="002E4EF3">
        <w:t>3.</w:t>
      </w:r>
      <w:r>
        <w:t>2</w:t>
      </w:r>
      <w:r>
        <w:rPr>
          <w:rFonts w:hint="eastAsia"/>
        </w:rPr>
        <w:t>公示地价</w:t>
      </w:r>
    </w:p>
    <w:p w14:paraId="2F860F2E" w14:textId="77777777" w:rsidR="00495C65" w:rsidRDefault="00495C65" w:rsidP="00495C65">
      <w:pPr>
        <w:pStyle w:val="13"/>
      </w:pPr>
      <w:r>
        <w:rPr>
          <w:rFonts w:hint="eastAsia"/>
        </w:rPr>
        <w:t>以维护经济和市场平稳健康发展为目标，遵循公开市场价值标准评估，并经政府确认、公布实施的地价。包括基准地价、标定地价、课税地价等。</w:t>
      </w:r>
    </w:p>
    <w:p w14:paraId="4501293C" w14:textId="77777777" w:rsidR="00495C65" w:rsidRDefault="00495C65" w:rsidP="00495C65">
      <w:pPr>
        <w:pStyle w:val="ab"/>
        <w:spacing w:before="62" w:after="62"/>
        <w:ind w:firstLine="482"/>
      </w:pPr>
      <w:r w:rsidRPr="002E4EF3">
        <w:t>3.</w:t>
      </w:r>
      <w:r>
        <w:t>3</w:t>
      </w:r>
      <w:r>
        <w:rPr>
          <w:rFonts w:hint="eastAsia"/>
        </w:rPr>
        <w:t>基准地价</w:t>
      </w:r>
    </w:p>
    <w:p w14:paraId="5897AE40" w14:textId="77777777" w:rsidR="00495C65" w:rsidRDefault="00495C65" w:rsidP="00495C65">
      <w:pPr>
        <w:pStyle w:val="13"/>
      </w:pPr>
      <w:r>
        <w:rPr>
          <w:rFonts w:hint="eastAsia"/>
        </w:rPr>
        <w:t>是在土地利用总体规划确定的城镇建设用地范围内，对平均开发利用条件下，不同级别或不同均质地域的建设用地，按照商服、住宅、工业等用途分别评估，并由政府确定的，某一估价期日上法定最高使用年</w:t>
      </w:r>
      <w:proofErr w:type="gramStart"/>
      <w:r>
        <w:rPr>
          <w:rFonts w:hint="eastAsia"/>
        </w:rPr>
        <w:t>期土地</w:t>
      </w:r>
      <w:proofErr w:type="gramEnd"/>
      <w:r>
        <w:rPr>
          <w:rFonts w:hint="eastAsia"/>
        </w:rPr>
        <w:t>权利的区域平均价格。</w:t>
      </w:r>
    </w:p>
    <w:p w14:paraId="4E04A3B7" w14:textId="77777777" w:rsidR="00495C65" w:rsidRDefault="00495C65" w:rsidP="00495C65">
      <w:pPr>
        <w:pStyle w:val="ab"/>
        <w:spacing w:before="62" w:after="62"/>
        <w:ind w:firstLine="482"/>
      </w:pPr>
      <w:r w:rsidRPr="00175BC6">
        <w:t>3.</w:t>
      </w:r>
      <w:r>
        <w:t>4</w:t>
      </w:r>
      <w:r>
        <w:rPr>
          <w:rFonts w:hint="eastAsia"/>
        </w:rPr>
        <w:t>标定地价</w:t>
      </w:r>
    </w:p>
    <w:p w14:paraId="230994D9" w14:textId="77777777" w:rsidR="00495C65" w:rsidRDefault="00495C65" w:rsidP="00495C65">
      <w:pPr>
        <w:pStyle w:val="13"/>
      </w:pPr>
      <w:r>
        <w:rPr>
          <w:rFonts w:hint="eastAsia"/>
        </w:rPr>
        <w:t>政府为管理需要确定的，标准宗地现状开发利用、正常市场条件下，于某一估价期日法定最高使用年</w:t>
      </w:r>
      <w:proofErr w:type="gramStart"/>
      <w:r>
        <w:rPr>
          <w:rFonts w:hint="eastAsia"/>
        </w:rPr>
        <w:t>期土地</w:t>
      </w:r>
      <w:proofErr w:type="gramEnd"/>
      <w:r>
        <w:rPr>
          <w:rFonts w:hint="eastAsia"/>
        </w:rPr>
        <w:t>权利的区域平均价格。</w:t>
      </w:r>
    </w:p>
    <w:p w14:paraId="41A01BDA" w14:textId="77777777" w:rsidR="00495C65" w:rsidRDefault="00495C65" w:rsidP="00495C65">
      <w:pPr>
        <w:pStyle w:val="ab"/>
        <w:spacing w:before="62" w:after="62"/>
        <w:ind w:firstLine="482"/>
      </w:pPr>
      <w:r w:rsidRPr="00175BC6">
        <w:t>3.</w:t>
      </w:r>
      <w:r>
        <w:t>5</w:t>
      </w:r>
      <w:r>
        <w:rPr>
          <w:rFonts w:hint="eastAsia"/>
        </w:rPr>
        <w:t>课税地价</w:t>
      </w:r>
    </w:p>
    <w:p w14:paraId="36595DED" w14:textId="77777777" w:rsidR="00495C65" w:rsidRDefault="00495C65" w:rsidP="00495C65">
      <w:pPr>
        <w:pStyle w:val="13"/>
      </w:pPr>
      <w:r>
        <w:rPr>
          <w:rFonts w:hint="eastAsia"/>
        </w:rPr>
        <w:t>是为课税需要，以基准地价、标定地价为基础测算，并由政府确定的，作为计税依据的土地价格。</w:t>
      </w:r>
    </w:p>
    <w:p w14:paraId="1D751DDF" w14:textId="77777777" w:rsidR="00495C65" w:rsidRDefault="00495C65" w:rsidP="00495C65">
      <w:pPr>
        <w:pStyle w:val="ab"/>
        <w:spacing w:before="62" w:after="62"/>
        <w:ind w:firstLine="482"/>
      </w:pPr>
      <w:r w:rsidRPr="00175BC6">
        <w:t>3.</w:t>
      </w:r>
      <w:r>
        <w:t>6</w:t>
      </w:r>
      <w:r>
        <w:rPr>
          <w:rFonts w:hint="eastAsia"/>
        </w:rPr>
        <w:t>土地估价</w:t>
      </w:r>
    </w:p>
    <w:p w14:paraId="3107C682" w14:textId="77777777" w:rsidR="00495C65" w:rsidRDefault="00495C65" w:rsidP="00495C65">
      <w:pPr>
        <w:pStyle w:val="13"/>
      </w:pPr>
      <w:r>
        <w:rPr>
          <w:rFonts w:hint="eastAsia"/>
        </w:rPr>
        <w:t>土地估价师根据估价目的和</w:t>
      </w:r>
      <w:proofErr w:type="gramStart"/>
      <w:r>
        <w:rPr>
          <w:rFonts w:hint="eastAsia"/>
        </w:rPr>
        <w:t>待估土地</w:t>
      </w:r>
      <w:proofErr w:type="gramEnd"/>
      <w:r>
        <w:rPr>
          <w:rFonts w:hint="eastAsia"/>
        </w:rPr>
        <w:t>状况，遵循估价原则，按照一定的估价程序，</w:t>
      </w:r>
      <w:r>
        <w:t>在全面调查和综合分析影响地价因素的基础上，选用适宜的估价方法，对待</w:t>
      </w:r>
      <w:proofErr w:type="gramStart"/>
      <w:r>
        <w:t>估</w:t>
      </w:r>
      <w:proofErr w:type="gramEnd"/>
      <w:r>
        <w:t>土地在估价期日的价格进行估算和判定的行为。</w:t>
      </w:r>
    </w:p>
    <w:p w14:paraId="1257428B" w14:textId="77777777" w:rsidR="00495C65" w:rsidRDefault="00495C65" w:rsidP="00495C65">
      <w:pPr>
        <w:pStyle w:val="ab"/>
        <w:spacing w:before="62" w:after="62"/>
        <w:ind w:firstLine="482"/>
      </w:pPr>
      <w:r w:rsidRPr="00175BC6">
        <w:t>3.</w:t>
      </w:r>
      <w:r>
        <w:t>7</w:t>
      </w:r>
      <w:r>
        <w:rPr>
          <w:rFonts w:hint="eastAsia"/>
        </w:rPr>
        <w:t>市场比较法</w:t>
      </w:r>
    </w:p>
    <w:p w14:paraId="38A095C1" w14:textId="77777777" w:rsidR="00495C65" w:rsidRDefault="00495C65" w:rsidP="00495C65">
      <w:pPr>
        <w:pStyle w:val="13"/>
      </w:pPr>
      <w:r>
        <w:rPr>
          <w:rFonts w:hint="eastAsia"/>
        </w:rPr>
        <w:t>是根据替代原理，</w:t>
      </w:r>
      <w:proofErr w:type="gramStart"/>
      <w:r>
        <w:rPr>
          <w:rFonts w:hint="eastAsia"/>
        </w:rPr>
        <w:t>将待估宗地</w:t>
      </w:r>
      <w:proofErr w:type="gramEnd"/>
      <w:r>
        <w:rPr>
          <w:rFonts w:hint="eastAsia"/>
        </w:rPr>
        <w:t>与具有替代性的，且在估价期</w:t>
      </w:r>
      <w:proofErr w:type="gramStart"/>
      <w:r>
        <w:rPr>
          <w:rFonts w:hint="eastAsia"/>
        </w:rPr>
        <w:t>日近期</w:t>
      </w:r>
      <w:proofErr w:type="gramEnd"/>
      <w:r>
        <w:rPr>
          <w:rFonts w:hint="eastAsia"/>
        </w:rPr>
        <w:t>市场上交易的类似宗地进行比较，并对类似宗地的成交价格进行差异修正，以此</w:t>
      </w:r>
      <w:proofErr w:type="gramStart"/>
      <w:r>
        <w:rPr>
          <w:rFonts w:hint="eastAsia"/>
        </w:rPr>
        <w:t>估算待估宗地</w:t>
      </w:r>
      <w:proofErr w:type="gramEnd"/>
      <w:r>
        <w:rPr>
          <w:rFonts w:hint="eastAsia"/>
        </w:rPr>
        <w:t>价格的方法。</w:t>
      </w:r>
    </w:p>
    <w:p w14:paraId="039DDCFE" w14:textId="77777777" w:rsidR="00495C65" w:rsidRDefault="00495C65" w:rsidP="00495C65">
      <w:pPr>
        <w:pStyle w:val="ab"/>
        <w:spacing w:before="62" w:after="62"/>
        <w:ind w:firstLine="482"/>
      </w:pPr>
      <w:r w:rsidRPr="00C702C0">
        <w:t>3.</w:t>
      </w:r>
      <w:r>
        <w:t>8</w:t>
      </w:r>
      <w:r>
        <w:rPr>
          <w:rFonts w:hint="eastAsia"/>
        </w:rPr>
        <w:t>均质地域</w:t>
      </w:r>
    </w:p>
    <w:p w14:paraId="5A33A183" w14:textId="77777777" w:rsidR="00495C65" w:rsidRDefault="00495C65" w:rsidP="00495C65">
      <w:pPr>
        <w:pStyle w:val="13"/>
      </w:pPr>
      <w:r>
        <w:rPr>
          <w:rFonts w:hint="eastAsia"/>
        </w:rPr>
        <w:t>土地用途及土地利用条件基本一致的土地区域。</w:t>
      </w:r>
    </w:p>
    <w:p w14:paraId="09C802FF" w14:textId="77777777" w:rsidR="00495C65" w:rsidRDefault="00495C65" w:rsidP="00495C65">
      <w:pPr>
        <w:pStyle w:val="ab"/>
        <w:spacing w:before="62" w:after="62"/>
        <w:ind w:firstLine="482"/>
      </w:pPr>
      <w:r w:rsidRPr="00C702C0">
        <w:lastRenderedPageBreak/>
        <w:t>3.</w:t>
      </w:r>
      <w:r>
        <w:t>9</w:t>
      </w:r>
      <w:r>
        <w:rPr>
          <w:rFonts w:hint="eastAsia"/>
        </w:rPr>
        <w:t>同一供需圈</w:t>
      </w:r>
    </w:p>
    <w:p w14:paraId="5927B366" w14:textId="77777777" w:rsidR="00495C65" w:rsidRDefault="00495C65" w:rsidP="00495C65">
      <w:pPr>
        <w:pStyle w:val="13"/>
      </w:pPr>
      <w:r>
        <w:rPr>
          <w:rFonts w:hint="eastAsia"/>
        </w:rPr>
        <w:t>是</w:t>
      </w:r>
      <w:proofErr w:type="gramStart"/>
      <w:r>
        <w:rPr>
          <w:rFonts w:hint="eastAsia"/>
        </w:rPr>
        <w:t>与待估宗地</w:t>
      </w:r>
      <w:proofErr w:type="gramEnd"/>
      <w:r>
        <w:rPr>
          <w:rFonts w:hint="eastAsia"/>
        </w:rPr>
        <w:t>能形成替代关系，市场的供给与需求状况基本相同，地域条件一致或相似，并对待</w:t>
      </w:r>
      <w:proofErr w:type="gramStart"/>
      <w:r>
        <w:rPr>
          <w:rFonts w:hint="eastAsia"/>
        </w:rPr>
        <w:t>估</w:t>
      </w:r>
      <w:proofErr w:type="gramEnd"/>
      <w:r>
        <w:rPr>
          <w:rFonts w:hint="eastAsia"/>
        </w:rPr>
        <w:t>宗地价格产生显著影响的区域。</w:t>
      </w:r>
    </w:p>
    <w:p w14:paraId="631A23D3" w14:textId="77777777" w:rsidR="00495C65" w:rsidRDefault="00495C65" w:rsidP="00495C65">
      <w:pPr>
        <w:pStyle w:val="ab"/>
        <w:spacing w:before="62" w:after="62"/>
        <w:ind w:firstLine="482"/>
      </w:pPr>
      <w:r w:rsidRPr="00A07CF5">
        <w:t>3.1</w:t>
      </w:r>
      <w:r>
        <w:t>0</w:t>
      </w:r>
      <w:r>
        <w:rPr>
          <w:rFonts w:hint="eastAsia"/>
        </w:rPr>
        <w:t>相邻地区</w:t>
      </w:r>
    </w:p>
    <w:p w14:paraId="7CDD3256" w14:textId="77777777" w:rsidR="00495C65" w:rsidRDefault="00495C65" w:rsidP="00495C65">
      <w:pPr>
        <w:pStyle w:val="13"/>
      </w:pPr>
      <w:r>
        <w:rPr>
          <w:rFonts w:hint="eastAsia"/>
        </w:rPr>
        <w:t>是</w:t>
      </w:r>
      <w:proofErr w:type="gramStart"/>
      <w:r>
        <w:rPr>
          <w:rFonts w:hint="eastAsia"/>
        </w:rPr>
        <w:t>与待估宗地</w:t>
      </w:r>
      <w:proofErr w:type="gramEnd"/>
      <w:r>
        <w:rPr>
          <w:rFonts w:hint="eastAsia"/>
        </w:rPr>
        <w:t>用途空间紧邻的均质地域。</w:t>
      </w:r>
    </w:p>
    <w:p w14:paraId="4CE10188" w14:textId="77777777" w:rsidR="00495C65" w:rsidRDefault="00495C65" w:rsidP="00495C65">
      <w:pPr>
        <w:pStyle w:val="ab"/>
        <w:spacing w:before="62" w:after="62"/>
        <w:ind w:firstLine="482"/>
      </w:pPr>
      <w:r w:rsidRPr="00A07CF5">
        <w:t>3.1</w:t>
      </w:r>
      <w:r>
        <w:t>1</w:t>
      </w:r>
      <w:r>
        <w:rPr>
          <w:rFonts w:hint="eastAsia"/>
        </w:rPr>
        <w:t>类似地区</w:t>
      </w:r>
    </w:p>
    <w:p w14:paraId="6F0494A5" w14:textId="77777777" w:rsidR="00495C65" w:rsidRDefault="00495C65" w:rsidP="00495C65">
      <w:pPr>
        <w:pStyle w:val="13"/>
      </w:pPr>
      <w:r>
        <w:rPr>
          <w:rFonts w:hint="eastAsia"/>
        </w:rPr>
        <w:t>是</w:t>
      </w:r>
      <w:proofErr w:type="gramStart"/>
      <w:r>
        <w:rPr>
          <w:rFonts w:hint="eastAsia"/>
        </w:rPr>
        <w:t>与待估宗地</w:t>
      </w:r>
      <w:proofErr w:type="gramEnd"/>
      <w:r>
        <w:rPr>
          <w:rFonts w:hint="eastAsia"/>
        </w:rPr>
        <w:t>所处地域相类似的、属同一供需圈的其他均质地域。</w:t>
      </w:r>
    </w:p>
    <w:p w14:paraId="1DC780C5" w14:textId="77777777" w:rsidR="00495C65" w:rsidRDefault="00495C65" w:rsidP="00495C65">
      <w:pPr>
        <w:pStyle w:val="ab"/>
        <w:spacing w:before="62" w:after="62"/>
        <w:ind w:firstLine="482"/>
      </w:pPr>
      <w:r w:rsidRPr="00A07CF5">
        <w:t>3.1</w:t>
      </w:r>
      <w:r>
        <w:t>2</w:t>
      </w:r>
      <w:r>
        <w:rPr>
          <w:rFonts w:hint="eastAsia"/>
        </w:rPr>
        <w:t>地价指数</w:t>
      </w:r>
    </w:p>
    <w:p w14:paraId="09A3BEBE" w14:textId="77777777" w:rsidR="00495C65" w:rsidRDefault="00495C65" w:rsidP="00495C65">
      <w:pPr>
        <w:pStyle w:val="13"/>
      </w:pPr>
      <w:r>
        <w:rPr>
          <w:rFonts w:hint="eastAsia"/>
        </w:rPr>
        <w:t>特定区域内，某一用途、某一时期的地价水平相对于某一基准日期地价水平的变动比指数。</w:t>
      </w:r>
    </w:p>
    <w:p w14:paraId="69D922D6" w14:textId="77777777" w:rsidR="00495C65" w:rsidRDefault="00495C65" w:rsidP="00495C65">
      <w:pPr>
        <w:pStyle w:val="ab"/>
        <w:spacing w:before="62" w:after="62"/>
        <w:ind w:firstLine="482"/>
      </w:pPr>
      <w:r w:rsidRPr="00A07CF5">
        <w:t>3.1</w:t>
      </w:r>
      <w:r>
        <w:t>3</w:t>
      </w:r>
      <w:r>
        <w:rPr>
          <w:rFonts w:hint="eastAsia"/>
        </w:rPr>
        <w:t>收益还原法</w:t>
      </w:r>
    </w:p>
    <w:p w14:paraId="4A1A6533" w14:textId="77777777" w:rsidR="00495C65" w:rsidRDefault="00495C65" w:rsidP="00495C65">
      <w:pPr>
        <w:pStyle w:val="13"/>
      </w:pPr>
      <w:proofErr w:type="gramStart"/>
      <w:r>
        <w:rPr>
          <w:rFonts w:hint="eastAsia"/>
        </w:rPr>
        <w:t>将待估宗地</w:t>
      </w:r>
      <w:proofErr w:type="gramEnd"/>
      <w:r>
        <w:rPr>
          <w:rFonts w:hint="eastAsia"/>
        </w:rPr>
        <w:t>未来正常年纯收益（地租），以一定的土地还原率还原，以此</w:t>
      </w:r>
      <w:proofErr w:type="gramStart"/>
      <w:r>
        <w:rPr>
          <w:rFonts w:hint="eastAsia"/>
        </w:rPr>
        <w:t>估算待估宗地</w:t>
      </w:r>
      <w:proofErr w:type="gramEnd"/>
      <w:r>
        <w:rPr>
          <w:rFonts w:hint="eastAsia"/>
        </w:rPr>
        <w:t>价格的方法。</w:t>
      </w:r>
    </w:p>
    <w:p w14:paraId="71A94039" w14:textId="77777777" w:rsidR="00495C65" w:rsidRDefault="00495C65" w:rsidP="00495C65">
      <w:pPr>
        <w:pStyle w:val="ab"/>
        <w:spacing w:before="62" w:after="62"/>
        <w:ind w:firstLine="482"/>
      </w:pPr>
      <w:r w:rsidRPr="00A07CF5">
        <w:t>3.1</w:t>
      </w:r>
      <w:r>
        <w:t>4</w:t>
      </w:r>
      <w:r>
        <w:rPr>
          <w:rFonts w:hint="eastAsia"/>
        </w:rPr>
        <w:t>综合还原率</w:t>
      </w:r>
    </w:p>
    <w:p w14:paraId="0511BDBA" w14:textId="77777777" w:rsidR="00495C65" w:rsidRDefault="00495C65" w:rsidP="00495C65">
      <w:pPr>
        <w:pStyle w:val="13"/>
      </w:pPr>
      <w:r>
        <w:rPr>
          <w:rFonts w:hint="eastAsia"/>
        </w:rPr>
        <w:t>是将土地及其地上建筑物共同产生的未来纯收益还原为某一期日的不动产价格的比率。</w:t>
      </w:r>
    </w:p>
    <w:p w14:paraId="14A83528" w14:textId="77777777" w:rsidR="00495C65" w:rsidRDefault="00495C65" w:rsidP="00495C65">
      <w:pPr>
        <w:pStyle w:val="ab"/>
        <w:spacing w:before="62" w:after="62"/>
        <w:ind w:firstLine="482"/>
      </w:pPr>
      <w:r w:rsidRPr="00A07CF5">
        <w:t>3.1</w:t>
      </w:r>
      <w:r>
        <w:t>5</w:t>
      </w:r>
      <w:r>
        <w:rPr>
          <w:rFonts w:hint="eastAsia"/>
        </w:rPr>
        <w:t>土地还原率</w:t>
      </w:r>
    </w:p>
    <w:p w14:paraId="140BF5EF" w14:textId="77777777" w:rsidR="00495C65" w:rsidRDefault="00495C65" w:rsidP="00495C65">
      <w:pPr>
        <w:pStyle w:val="13"/>
      </w:pPr>
      <w:r>
        <w:rPr>
          <w:rFonts w:hint="eastAsia"/>
        </w:rPr>
        <w:t>是将土地产生的未来纯收益还原为某一期日的土地价格的比率。</w:t>
      </w:r>
    </w:p>
    <w:p w14:paraId="29E6805B" w14:textId="77777777" w:rsidR="00495C65" w:rsidRDefault="00495C65" w:rsidP="00495C65">
      <w:pPr>
        <w:pStyle w:val="ab"/>
        <w:spacing w:before="62" w:after="62"/>
        <w:ind w:firstLine="482"/>
      </w:pPr>
      <w:r w:rsidRPr="00D43CCE">
        <w:t>3.1</w:t>
      </w:r>
      <w:r>
        <w:t>6</w:t>
      </w:r>
      <w:r>
        <w:rPr>
          <w:rFonts w:hint="eastAsia"/>
        </w:rPr>
        <w:t>建筑物还原率</w:t>
      </w:r>
    </w:p>
    <w:p w14:paraId="0AD6F52F" w14:textId="77777777" w:rsidR="00495C65" w:rsidRDefault="00495C65" w:rsidP="00495C65">
      <w:pPr>
        <w:pStyle w:val="13"/>
      </w:pPr>
      <w:r>
        <w:rPr>
          <w:rFonts w:hint="eastAsia"/>
        </w:rPr>
        <w:t>是将建筑物产生的未来纯收益还原为某一期日的建筑物价格的比率。</w:t>
      </w:r>
    </w:p>
    <w:p w14:paraId="7388C28B" w14:textId="77777777" w:rsidR="00495C65" w:rsidRDefault="00495C65" w:rsidP="00495C65">
      <w:pPr>
        <w:pStyle w:val="ab"/>
        <w:spacing w:before="62" w:after="62"/>
        <w:ind w:firstLine="482"/>
      </w:pPr>
      <w:r w:rsidRPr="00D43CCE">
        <w:t>3.1</w:t>
      </w:r>
      <w:r>
        <w:t>7</w:t>
      </w:r>
      <w:r>
        <w:rPr>
          <w:rFonts w:hint="eastAsia"/>
        </w:rPr>
        <w:t>剩余法</w:t>
      </w:r>
    </w:p>
    <w:p w14:paraId="609C50B8" w14:textId="77777777" w:rsidR="00495C65" w:rsidRDefault="00495C65" w:rsidP="00495C65">
      <w:pPr>
        <w:pStyle w:val="13"/>
      </w:pPr>
      <w:r>
        <w:rPr>
          <w:rFonts w:hint="eastAsia"/>
        </w:rPr>
        <w:t>在测算完成开发后的不动产正常交易价格的基础上，扣除预计的正常开发成本及有关专业费用、利息、利润和税费等，以价格余额来</w:t>
      </w:r>
      <w:proofErr w:type="gramStart"/>
      <w:r>
        <w:rPr>
          <w:rFonts w:hint="eastAsia"/>
        </w:rPr>
        <w:t>估算待估宗地</w:t>
      </w:r>
      <w:proofErr w:type="gramEnd"/>
      <w:r>
        <w:rPr>
          <w:rFonts w:hint="eastAsia"/>
        </w:rPr>
        <w:t>价格的方法。</w:t>
      </w:r>
    </w:p>
    <w:p w14:paraId="67D1975B" w14:textId="77777777" w:rsidR="00495C65" w:rsidRDefault="00495C65" w:rsidP="00495C65">
      <w:pPr>
        <w:pStyle w:val="ab"/>
        <w:spacing w:before="62" w:after="62"/>
        <w:ind w:firstLine="482"/>
      </w:pPr>
      <w:r w:rsidRPr="00D43CCE">
        <w:t>3.1</w:t>
      </w:r>
      <w:r>
        <w:t>8</w:t>
      </w:r>
      <w:r>
        <w:rPr>
          <w:rFonts w:hint="eastAsia"/>
        </w:rPr>
        <w:t>成本逼近法</w:t>
      </w:r>
    </w:p>
    <w:p w14:paraId="6EA86934" w14:textId="77777777" w:rsidR="00495C65" w:rsidRDefault="00495C65" w:rsidP="00495C65">
      <w:pPr>
        <w:pStyle w:val="13"/>
      </w:pPr>
      <w:r>
        <w:rPr>
          <w:rFonts w:hint="eastAsia"/>
        </w:rPr>
        <w:t>以取得开发土地所耗费的各项客观费用之和为主要依据，加上客观的利润、利息、应缴纳的税金和土地增值收益等确定土地价格的方法。</w:t>
      </w:r>
    </w:p>
    <w:p w14:paraId="4DD8E65A" w14:textId="77777777" w:rsidR="00495C65" w:rsidRDefault="00495C65" w:rsidP="00495C65">
      <w:pPr>
        <w:pStyle w:val="ab"/>
        <w:spacing w:before="62" w:after="62"/>
        <w:ind w:firstLine="482"/>
      </w:pPr>
      <w:r w:rsidRPr="00D43CCE">
        <w:t>3.1</w:t>
      </w:r>
      <w:r>
        <w:t>9</w:t>
      </w:r>
      <w:r>
        <w:rPr>
          <w:rFonts w:hint="eastAsia"/>
        </w:rPr>
        <w:t>土地取得费用</w:t>
      </w:r>
    </w:p>
    <w:p w14:paraId="1509EB48" w14:textId="77777777" w:rsidR="00495C65" w:rsidRDefault="00495C65" w:rsidP="00495C65">
      <w:pPr>
        <w:pStyle w:val="13"/>
      </w:pPr>
      <w:r>
        <w:rPr>
          <w:rFonts w:hint="eastAsia"/>
        </w:rPr>
        <w:t>为取得土地使用权而支付的各项区域性客观费用。</w:t>
      </w:r>
    </w:p>
    <w:p w14:paraId="3893E1CE" w14:textId="77777777" w:rsidR="00495C65" w:rsidRDefault="00495C65" w:rsidP="00495C65">
      <w:pPr>
        <w:pStyle w:val="ab"/>
        <w:spacing w:before="62" w:after="62"/>
        <w:ind w:firstLine="482"/>
      </w:pPr>
      <w:r w:rsidRPr="00D43CCE">
        <w:t>3.</w:t>
      </w:r>
      <w:r>
        <w:t>20</w:t>
      </w:r>
      <w:r>
        <w:rPr>
          <w:rFonts w:hint="eastAsia"/>
        </w:rPr>
        <w:t>征地补偿费用</w:t>
      </w:r>
    </w:p>
    <w:p w14:paraId="1C4A5B9A" w14:textId="77777777" w:rsidR="00495C65" w:rsidRDefault="00495C65" w:rsidP="00495C65">
      <w:pPr>
        <w:pStyle w:val="13"/>
      </w:pPr>
      <w:r>
        <w:rPr>
          <w:rFonts w:hint="eastAsia"/>
        </w:rPr>
        <w:t>征收土地和地上建筑物、构筑物及其他附属物所发生的区域性、客观性补偿性费用之</w:t>
      </w:r>
      <w:proofErr w:type="gramStart"/>
      <w:r>
        <w:rPr>
          <w:rFonts w:hint="eastAsia"/>
        </w:rPr>
        <w:t>和</w:t>
      </w:r>
      <w:proofErr w:type="gramEnd"/>
      <w:r>
        <w:rPr>
          <w:rFonts w:hint="eastAsia"/>
        </w:rPr>
        <w:t>。</w:t>
      </w:r>
    </w:p>
    <w:p w14:paraId="6BA8EC86" w14:textId="77777777" w:rsidR="00495C65" w:rsidRDefault="00495C65" w:rsidP="00495C65">
      <w:pPr>
        <w:pStyle w:val="ab"/>
        <w:spacing w:before="62" w:after="62"/>
        <w:ind w:firstLine="482"/>
      </w:pPr>
      <w:r w:rsidRPr="00D43CCE">
        <w:lastRenderedPageBreak/>
        <w:t>3.2</w:t>
      </w:r>
      <w:r>
        <w:t>1</w:t>
      </w:r>
      <w:r>
        <w:rPr>
          <w:rFonts w:hint="eastAsia"/>
        </w:rPr>
        <w:t>土地开发费用</w:t>
      </w:r>
    </w:p>
    <w:p w14:paraId="4A86B8C1" w14:textId="77777777" w:rsidR="00495C65" w:rsidRDefault="00495C65" w:rsidP="00495C65">
      <w:pPr>
        <w:pStyle w:val="13"/>
      </w:pPr>
      <w:r>
        <w:rPr>
          <w:rFonts w:hint="eastAsia"/>
        </w:rPr>
        <w:t>是为使土地达到一定的开发建设条件而投入的各项区域性客观费用。主要涉及宗地内外的土地开发费用。</w:t>
      </w:r>
    </w:p>
    <w:p w14:paraId="2D6AA97E" w14:textId="77777777" w:rsidR="00495C65" w:rsidRDefault="00495C65" w:rsidP="00495C65">
      <w:pPr>
        <w:pStyle w:val="ab"/>
        <w:spacing w:before="62" w:after="62"/>
        <w:ind w:firstLine="482"/>
      </w:pPr>
      <w:r w:rsidRPr="00D43CCE">
        <w:t>3.2</w:t>
      </w:r>
      <w:r>
        <w:t>2</w:t>
      </w:r>
      <w:r>
        <w:rPr>
          <w:rFonts w:hint="eastAsia"/>
        </w:rPr>
        <w:t>土地增值</w:t>
      </w:r>
    </w:p>
    <w:p w14:paraId="6FF51765" w14:textId="77777777" w:rsidR="00495C65" w:rsidRDefault="00495C65" w:rsidP="00495C65">
      <w:pPr>
        <w:pStyle w:val="13"/>
      </w:pPr>
      <w:proofErr w:type="gramStart"/>
      <w:r>
        <w:rPr>
          <w:rFonts w:hint="eastAsia"/>
        </w:rPr>
        <w:t>待估宗地</w:t>
      </w:r>
      <w:proofErr w:type="gramEnd"/>
      <w:r>
        <w:rPr>
          <w:rFonts w:hint="eastAsia"/>
        </w:rPr>
        <w:t>因用途改变或进行土地开发，达到建设用地的</w:t>
      </w:r>
      <w:proofErr w:type="gramStart"/>
      <w:r>
        <w:rPr>
          <w:rFonts w:hint="eastAsia"/>
        </w:rPr>
        <w:t>某种利用</w:t>
      </w:r>
      <w:proofErr w:type="gramEnd"/>
      <w:r>
        <w:rPr>
          <w:rFonts w:hint="eastAsia"/>
        </w:rPr>
        <w:t>条件而发生的价值增加。</w:t>
      </w:r>
    </w:p>
    <w:p w14:paraId="288F689E" w14:textId="77777777" w:rsidR="00495C65" w:rsidRDefault="00495C65" w:rsidP="00495C65">
      <w:pPr>
        <w:pStyle w:val="ab"/>
        <w:spacing w:before="62" w:after="62"/>
        <w:ind w:firstLine="482"/>
      </w:pPr>
      <w:r w:rsidRPr="00D43CCE">
        <w:t>3.2</w:t>
      </w:r>
      <w:r>
        <w:t>3</w:t>
      </w:r>
      <w:r>
        <w:rPr>
          <w:rFonts w:hint="eastAsia"/>
        </w:rPr>
        <w:t>公示地价系数修正法</w:t>
      </w:r>
    </w:p>
    <w:p w14:paraId="20AD30AB" w14:textId="77777777" w:rsidR="00495C65" w:rsidRDefault="00495C65" w:rsidP="00495C65">
      <w:pPr>
        <w:pStyle w:val="13"/>
      </w:pPr>
      <w:r>
        <w:rPr>
          <w:rFonts w:hint="eastAsia"/>
        </w:rPr>
        <w:t>利用城镇基准地价（路线价）、标定地价等政府公示地价及其地价修正系数表等成果，按照替代原则，</w:t>
      </w:r>
      <w:proofErr w:type="gramStart"/>
      <w:r>
        <w:rPr>
          <w:rFonts w:hint="eastAsia"/>
        </w:rPr>
        <w:t>将待估宗地</w:t>
      </w:r>
      <w:proofErr w:type="gramEnd"/>
      <w:r>
        <w:rPr>
          <w:rFonts w:hint="eastAsia"/>
        </w:rPr>
        <w:t>的区域条件和个别条件等与公示地价的条件相比较，进而通过修正</w:t>
      </w:r>
      <w:proofErr w:type="gramStart"/>
      <w:r>
        <w:rPr>
          <w:rFonts w:hint="eastAsia"/>
        </w:rPr>
        <w:t>求取待估宗地</w:t>
      </w:r>
      <w:proofErr w:type="gramEnd"/>
      <w:r>
        <w:rPr>
          <w:rFonts w:hint="eastAsia"/>
        </w:rPr>
        <w:t>在估价期日价格的方法。</w:t>
      </w:r>
    </w:p>
    <w:p w14:paraId="2F30DD99" w14:textId="77777777" w:rsidR="00495C65" w:rsidRDefault="00495C65" w:rsidP="00495C65">
      <w:pPr>
        <w:pStyle w:val="ab"/>
        <w:spacing w:before="62" w:after="62"/>
        <w:ind w:firstLine="482"/>
      </w:pPr>
      <w:r w:rsidRPr="00D43CCE">
        <w:t>3.2</w:t>
      </w:r>
      <w:r>
        <w:t>4</w:t>
      </w:r>
      <w:r>
        <w:rPr>
          <w:rFonts w:hint="eastAsia"/>
        </w:rPr>
        <w:t>标准深度</w:t>
      </w:r>
    </w:p>
    <w:p w14:paraId="00B20962" w14:textId="77777777" w:rsidR="00495C65" w:rsidRDefault="00495C65" w:rsidP="00495C65">
      <w:pPr>
        <w:pStyle w:val="13"/>
      </w:pPr>
      <w:r>
        <w:rPr>
          <w:rFonts w:hint="eastAsia"/>
        </w:rPr>
        <w:t>随着土地与道路距离的增加，道路对土地利用价值影响为零时的深度。</w:t>
      </w:r>
    </w:p>
    <w:p w14:paraId="491E9D10" w14:textId="77777777" w:rsidR="00495C65" w:rsidRDefault="00495C65" w:rsidP="00495C65">
      <w:pPr>
        <w:pStyle w:val="ab"/>
        <w:spacing w:before="62" w:after="62"/>
        <w:ind w:firstLine="482"/>
      </w:pPr>
      <w:r w:rsidRPr="00D43CCE">
        <w:t>3.2</w:t>
      </w:r>
      <w:r>
        <w:t>5</w:t>
      </w:r>
      <w:r>
        <w:rPr>
          <w:rFonts w:hint="eastAsia"/>
        </w:rPr>
        <w:t>里地线</w:t>
      </w:r>
    </w:p>
    <w:p w14:paraId="367C4BF3" w14:textId="77777777" w:rsidR="00495C65" w:rsidRDefault="00495C65" w:rsidP="00495C65">
      <w:pPr>
        <w:pStyle w:val="13"/>
      </w:pPr>
      <w:r>
        <w:rPr>
          <w:rFonts w:hint="eastAsia"/>
        </w:rPr>
        <w:t>标准深度的连线。</w:t>
      </w:r>
    </w:p>
    <w:p w14:paraId="597A861D" w14:textId="77777777" w:rsidR="00495C65" w:rsidRDefault="00495C65" w:rsidP="00495C65">
      <w:pPr>
        <w:pStyle w:val="ab"/>
        <w:spacing w:before="62" w:after="62"/>
        <w:ind w:firstLine="482"/>
      </w:pPr>
      <w:r w:rsidRPr="00D43CCE">
        <w:t>3.2</w:t>
      </w:r>
      <w:r>
        <w:t>6</w:t>
      </w:r>
      <w:r>
        <w:rPr>
          <w:rFonts w:hint="eastAsia"/>
        </w:rPr>
        <w:t>标准宗地</w:t>
      </w:r>
    </w:p>
    <w:p w14:paraId="4C77E266" w14:textId="77777777" w:rsidR="00495C65" w:rsidRPr="006976BA" w:rsidRDefault="00495C65" w:rsidP="00495C65">
      <w:pPr>
        <w:pStyle w:val="13"/>
      </w:pPr>
      <w:r w:rsidRPr="006976BA">
        <w:rPr>
          <w:rFonts w:hint="eastAsia"/>
        </w:rPr>
        <w:t>在均质区域内确定的，其深度、宽度、形状、用途、开发利用状况等特征在该区域内具有代表性，使用状况相对稳定，能够起示范及比较标准作用的宗地。</w:t>
      </w:r>
    </w:p>
    <w:p w14:paraId="2E35310E" w14:textId="77777777" w:rsidR="00495C65" w:rsidRDefault="00495C65" w:rsidP="00AF7342">
      <w:pPr>
        <w:pStyle w:val="a9"/>
        <w:spacing w:before="62" w:after="62"/>
      </w:pPr>
      <w:r w:rsidRPr="006976BA">
        <w:t>4 总则</w:t>
      </w:r>
    </w:p>
    <w:p w14:paraId="49A7C34C" w14:textId="77777777" w:rsidR="00495C65" w:rsidRPr="00697323" w:rsidRDefault="00495C65" w:rsidP="00495C65">
      <w:pPr>
        <w:pStyle w:val="ab"/>
        <w:spacing w:before="62" w:after="62"/>
        <w:ind w:firstLine="482"/>
      </w:pPr>
      <w:r w:rsidRPr="00697323">
        <w:rPr>
          <w:rFonts w:hint="eastAsia"/>
        </w:rPr>
        <w:t>4</w:t>
      </w:r>
      <w:r w:rsidRPr="00697323">
        <w:t>.1</w:t>
      </w:r>
      <w:r w:rsidRPr="00697323">
        <w:rPr>
          <w:rFonts w:hint="eastAsia"/>
        </w:rPr>
        <w:t>概述</w:t>
      </w:r>
    </w:p>
    <w:p w14:paraId="43FC12F3" w14:textId="77777777" w:rsidR="00495C65" w:rsidRPr="00697323" w:rsidRDefault="00495C65" w:rsidP="00495C65">
      <w:pPr>
        <w:pStyle w:val="13"/>
      </w:pPr>
      <w:r w:rsidRPr="00697323">
        <w:rPr>
          <w:rFonts w:hint="eastAsia"/>
        </w:rPr>
        <w:t>土地估价工作旨在加快形成统一开发、竞争有序的现代市场体系，发展要素市</w:t>
      </w:r>
      <w:r w:rsidRPr="00697323">
        <w:t>场，完善反映市场供求关系、资源稀缺程度的价格形成机制，保证土地权益在经济上的实现，促进正常交易，为全面、科学、合理地使用土地提供依据。</w:t>
      </w:r>
    </w:p>
    <w:p w14:paraId="386FD409" w14:textId="77777777" w:rsidR="00495C65" w:rsidRDefault="00495C65" w:rsidP="00495C65">
      <w:pPr>
        <w:pStyle w:val="ab"/>
        <w:spacing w:before="62" w:after="62"/>
        <w:ind w:firstLine="482"/>
      </w:pPr>
      <w:r w:rsidRPr="00697323">
        <w:t>4.2</w:t>
      </w:r>
      <w:r w:rsidRPr="00697323">
        <w:rPr>
          <w:rFonts w:hint="eastAsia"/>
        </w:rPr>
        <w:t>技术体系与技术途径</w:t>
      </w:r>
    </w:p>
    <w:p w14:paraId="35263C5B" w14:textId="77777777" w:rsidR="00495C65" w:rsidRDefault="00495C65" w:rsidP="00495C65">
      <w:pPr>
        <w:pStyle w:val="13"/>
      </w:pPr>
      <w:r>
        <w:rPr>
          <w:rFonts w:hint="eastAsia"/>
        </w:rPr>
        <w:t>4</w:t>
      </w:r>
      <w:r>
        <w:t>.2.1</w:t>
      </w:r>
      <w:r>
        <w:rPr>
          <w:rFonts w:hint="eastAsia"/>
        </w:rPr>
        <w:t>技术体系</w:t>
      </w:r>
    </w:p>
    <w:p w14:paraId="16E635CB" w14:textId="77777777" w:rsidR="00495C65" w:rsidRDefault="00495C65" w:rsidP="00495C65">
      <w:pPr>
        <w:pStyle w:val="13"/>
      </w:pPr>
      <w:r>
        <w:rPr>
          <w:rFonts w:hint="eastAsia"/>
        </w:rPr>
        <w:t>土地估价技术分为宗地地价评估技术和区域性地价评估技术。宗地地价评估以宗地个体为对象，选择适宜的估价方法，评估</w:t>
      </w:r>
      <w:proofErr w:type="gramStart"/>
      <w:r>
        <w:rPr>
          <w:rFonts w:hint="eastAsia"/>
        </w:rPr>
        <w:t>判定待估宗地</w:t>
      </w:r>
      <w:proofErr w:type="gramEnd"/>
      <w:r>
        <w:rPr>
          <w:rFonts w:hint="eastAsia"/>
        </w:rPr>
        <w:t>的公开市场价值；区域性地价评估以特定区域为对象，利用宗地评估方法和统计学方法，在对大量宗地地价样点统计分析处理的基础上，评估判定</w:t>
      </w:r>
      <w:proofErr w:type="gramStart"/>
      <w:r>
        <w:rPr>
          <w:rFonts w:hint="eastAsia"/>
        </w:rPr>
        <w:t>待估区域</w:t>
      </w:r>
      <w:proofErr w:type="gramEnd"/>
      <w:r>
        <w:rPr>
          <w:rFonts w:hint="eastAsia"/>
        </w:rPr>
        <w:t>在公开市场下的区域平均价值。</w:t>
      </w:r>
    </w:p>
    <w:p w14:paraId="18AA7235" w14:textId="77777777" w:rsidR="00495C65" w:rsidRDefault="00495C65" w:rsidP="00495C65">
      <w:pPr>
        <w:pStyle w:val="13"/>
      </w:pPr>
      <w:r>
        <w:rPr>
          <w:rFonts w:hint="eastAsia"/>
        </w:rPr>
        <w:t>土地估价常用技术方法包括：市场比较法、收益还原法、剩余法、成本逼近法、公示地价系数修正法、级差收益测算确定法等。</w:t>
      </w:r>
    </w:p>
    <w:p w14:paraId="5DEC1D57" w14:textId="77777777" w:rsidR="00495C65" w:rsidRDefault="00495C65" w:rsidP="00495C65">
      <w:pPr>
        <w:pStyle w:val="13"/>
      </w:pPr>
      <w:r w:rsidRPr="005265CA">
        <w:t>4.2.</w:t>
      </w:r>
      <w:r>
        <w:t>2</w:t>
      </w:r>
      <w:r>
        <w:rPr>
          <w:rFonts w:hint="eastAsia"/>
        </w:rPr>
        <w:t>基准地价评估的技术途径</w:t>
      </w:r>
    </w:p>
    <w:p w14:paraId="462E7463" w14:textId="77777777" w:rsidR="00495C65" w:rsidRDefault="00495C65" w:rsidP="00495C65">
      <w:pPr>
        <w:pStyle w:val="13"/>
      </w:pPr>
      <w:r>
        <w:rPr>
          <w:rFonts w:hint="eastAsia"/>
        </w:rPr>
        <w:t>技术途径如下：</w:t>
      </w:r>
    </w:p>
    <w:p w14:paraId="7F33D560" w14:textId="77777777" w:rsidR="00495C65" w:rsidRDefault="00495C65" w:rsidP="00495C65">
      <w:pPr>
        <w:pStyle w:val="13"/>
      </w:pPr>
      <w:r>
        <w:rPr>
          <w:rFonts w:hint="eastAsia"/>
        </w:rPr>
        <w:lastRenderedPageBreak/>
        <w:t>（1）以土地定级（或影响影响地价的土地条件和因素划分均质地域）为基础，利用市场交易价格等资料评估基准地价。</w:t>
      </w:r>
    </w:p>
    <w:p w14:paraId="028DB4CC" w14:textId="77777777" w:rsidR="00495C65" w:rsidRDefault="00495C65" w:rsidP="00495C65">
      <w:pPr>
        <w:pStyle w:val="13"/>
      </w:pPr>
      <w:r w:rsidRPr="005265CA">
        <w:rPr>
          <w:rFonts w:hint="eastAsia"/>
        </w:rPr>
        <w:t>（</w:t>
      </w:r>
      <w:r>
        <w:t>2</w:t>
      </w:r>
      <w:r w:rsidRPr="005265CA">
        <w:t>）</w:t>
      </w:r>
      <w:r>
        <w:rPr>
          <w:rFonts w:hint="eastAsia"/>
        </w:rPr>
        <w:t>以土地定级为基础，土地收益为依据，市场交易资料为参考评估基准地价。</w:t>
      </w:r>
    </w:p>
    <w:p w14:paraId="115D9F66" w14:textId="77777777" w:rsidR="00495C65" w:rsidRDefault="00495C65" w:rsidP="00495C65">
      <w:pPr>
        <w:pStyle w:val="13"/>
      </w:pPr>
      <w:r w:rsidRPr="005265CA">
        <w:t>4.2.</w:t>
      </w:r>
      <w:r>
        <w:t>3</w:t>
      </w:r>
      <w:r>
        <w:rPr>
          <w:rFonts w:hint="eastAsia"/>
        </w:rPr>
        <w:t>宗地地价评估技术途径</w:t>
      </w:r>
    </w:p>
    <w:p w14:paraId="4FB8C2C1" w14:textId="77777777" w:rsidR="00495C65" w:rsidRDefault="00495C65" w:rsidP="00495C65">
      <w:pPr>
        <w:pStyle w:val="13"/>
      </w:pPr>
      <w:r>
        <w:rPr>
          <w:rFonts w:hint="eastAsia"/>
        </w:rPr>
        <w:t>利用调查的有关资料，采用市场比较法、收益还原法、剩余法、成本逼近法和公示地价系数修正法等评估宗地地价。</w:t>
      </w:r>
    </w:p>
    <w:p w14:paraId="7E144784" w14:textId="77777777" w:rsidR="00495C65" w:rsidRDefault="00495C65" w:rsidP="00495C65">
      <w:pPr>
        <w:pStyle w:val="ab"/>
        <w:spacing w:before="62" w:after="62"/>
        <w:ind w:firstLine="482"/>
      </w:pPr>
      <w:r>
        <w:rPr>
          <w:rFonts w:hint="eastAsia"/>
        </w:rPr>
        <w:t>4</w:t>
      </w:r>
      <w:r>
        <w:t>.3</w:t>
      </w:r>
      <w:r>
        <w:rPr>
          <w:rFonts w:hint="eastAsia"/>
        </w:rPr>
        <w:t>估价技术原则</w:t>
      </w:r>
    </w:p>
    <w:p w14:paraId="6B089840" w14:textId="77777777" w:rsidR="00495C65" w:rsidRDefault="00495C65" w:rsidP="00495C65">
      <w:pPr>
        <w:pStyle w:val="13"/>
      </w:pPr>
      <w:r w:rsidRPr="005265CA">
        <w:t>4.</w:t>
      </w:r>
      <w:r>
        <w:t>3.1</w:t>
      </w:r>
      <w:r>
        <w:rPr>
          <w:rFonts w:hint="eastAsia"/>
        </w:rPr>
        <w:t>替代原则</w:t>
      </w:r>
    </w:p>
    <w:p w14:paraId="43C5AE7C" w14:textId="77777777" w:rsidR="00495C65" w:rsidRDefault="00495C65" w:rsidP="00495C65">
      <w:pPr>
        <w:pStyle w:val="13"/>
      </w:pPr>
      <w:r>
        <w:rPr>
          <w:rFonts w:hint="eastAsia"/>
        </w:rPr>
        <w:t>土地估价应以相邻地区或类似地区功能相同或相近、条件相似的土地市场交易价格为依据，估价结果不得明显偏离具有替代性质的土地客观价格。</w:t>
      </w:r>
    </w:p>
    <w:p w14:paraId="11C39FCB" w14:textId="77777777" w:rsidR="00495C65" w:rsidRDefault="00495C65" w:rsidP="00495C65">
      <w:pPr>
        <w:pStyle w:val="13"/>
      </w:pPr>
      <w:r w:rsidRPr="00943D7B">
        <w:t>4.3.</w:t>
      </w:r>
      <w:r>
        <w:t>2</w:t>
      </w:r>
      <w:r>
        <w:rPr>
          <w:rFonts w:hint="eastAsia"/>
        </w:rPr>
        <w:t>最有效利用原则</w:t>
      </w:r>
    </w:p>
    <w:p w14:paraId="18D5F2EF" w14:textId="77777777" w:rsidR="00495C65" w:rsidRDefault="00495C65" w:rsidP="00495C65">
      <w:pPr>
        <w:pStyle w:val="13"/>
      </w:pPr>
      <w:r>
        <w:rPr>
          <w:rFonts w:hint="eastAsia"/>
        </w:rPr>
        <w:t>土地估价</w:t>
      </w:r>
      <w:proofErr w:type="gramStart"/>
      <w:r>
        <w:rPr>
          <w:rFonts w:hint="eastAsia"/>
        </w:rPr>
        <w:t>应以待估宗地</w:t>
      </w:r>
      <w:proofErr w:type="gramEnd"/>
      <w:r>
        <w:rPr>
          <w:rFonts w:hint="eastAsia"/>
        </w:rPr>
        <w:t>的最有效利用为前提。判断土地的最有效利用以土地利用是否符合其自身利用条件、法律法规政策及规划限制、市场要求和</w:t>
      </w:r>
      <w:proofErr w:type="gramStart"/>
      <w:r>
        <w:rPr>
          <w:rFonts w:hint="eastAsia"/>
        </w:rPr>
        <w:t>最佳利用</w:t>
      </w:r>
      <w:proofErr w:type="gramEnd"/>
      <w:r>
        <w:rPr>
          <w:rFonts w:hint="eastAsia"/>
        </w:rPr>
        <w:t>程度等为依据。</w:t>
      </w:r>
    </w:p>
    <w:p w14:paraId="62D5798A" w14:textId="77777777" w:rsidR="00495C65" w:rsidRDefault="00495C65" w:rsidP="00495C65">
      <w:pPr>
        <w:pStyle w:val="13"/>
      </w:pPr>
      <w:r w:rsidRPr="00E87E4E">
        <w:t>4.3.</w:t>
      </w:r>
      <w:r>
        <w:t>3</w:t>
      </w:r>
      <w:r>
        <w:rPr>
          <w:rFonts w:hint="eastAsia"/>
        </w:rPr>
        <w:t>预期收益原则</w:t>
      </w:r>
    </w:p>
    <w:p w14:paraId="32A47E3F" w14:textId="77777777" w:rsidR="00495C65" w:rsidRDefault="00495C65" w:rsidP="00495C65">
      <w:pPr>
        <w:pStyle w:val="13"/>
      </w:pPr>
      <w:r>
        <w:rPr>
          <w:rFonts w:hint="eastAsia"/>
        </w:rPr>
        <w:t>土地估价</w:t>
      </w:r>
      <w:proofErr w:type="gramStart"/>
      <w:r>
        <w:rPr>
          <w:rFonts w:hint="eastAsia"/>
        </w:rPr>
        <w:t>应以待估宗地</w:t>
      </w:r>
      <w:proofErr w:type="gramEnd"/>
      <w:r>
        <w:rPr>
          <w:rFonts w:hint="eastAsia"/>
        </w:rPr>
        <w:t>在正常利用条件下的未来客观有效的预期收益为依据。</w:t>
      </w:r>
    </w:p>
    <w:p w14:paraId="6B8C0BEE" w14:textId="77777777" w:rsidR="00495C65" w:rsidRDefault="00495C65" w:rsidP="00495C65">
      <w:pPr>
        <w:pStyle w:val="13"/>
      </w:pPr>
      <w:r w:rsidRPr="00E87E4E">
        <w:t>4.3.</w:t>
      </w:r>
      <w:r>
        <w:t>4</w:t>
      </w:r>
      <w:r>
        <w:rPr>
          <w:rFonts w:hint="eastAsia"/>
        </w:rPr>
        <w:t>供需原则</w:t>
      </w:r>
    </w:p>
    <w:p w14:paraId="76B28984" w14:textId="77777777" w:rsidR="00495C65" w:rsidRDefault="00495C65" w:rsidP="00495C65">
      <w:pPr>
        <w:pStyle w:val="13"/>
      </w:pPr>
      <w:r>
        <w:rPr>
          <w:rFonts w:hint="eastAsia"/>
        </w:rPr>
        <w:t>土地估价要以市场供需决定土地价格为依据，并充分考虑土地供需的特殊性和土地市场的地域性。</w:t>
      </w:r>
    </w:p>
    <w:p w14:paraId="3A528810" w14:textId="77777777" w:rsidR="00495C65" w:rsidRDefault="00495C65" w:rsidP="00495C65">
      <w:pPr>
        <w:pStyle w:val="13"/>
      </w:pPr>
      <w:r w:rsidRPr="00E87E4E">
        <w:t>4.3.</w:t>
      </w:r>
      <w:r>
        <w:t>5</w:t>
      </w:r>
      <w:r>
        <w:rPr>
          <w:rFonts w:hint="eastAsia"/>
        </w:rPr>
        <w:t>贡献原则</w:t>
      </w:r>
    </w:p>
    <w:p w14:paraId="0B3A9213" w14:textId="77777777" w:rsidR="00495C65" w:rsidRDefault="00495C65" w:rsidP="00495C65">
      <w:pPr>
        <w:pStyle w:val="13"/>
      </w:pPr>
      <w:r>
        <w:rPr>
          <w:rFonts w:hint="eastAsia"/>
        </w:rPr>
        <w:t>不动产总收益是由土地及其他生产要素共同作用的结果，土地价格可以根据土地对不动产收益的贡献大小确定。</w:t>
      </w:r>
    </w:p>
    <w:p w14:paraId="6102A895" w14:textId="77777777" w:rsidR="00495C65" w:rsidRDefault="00495C65" w:rsidP="00495C65">
      <w:pPr>
        <w:pStyle w:val="ab"/>
        <w:spacing w:before="62" w:after="62"/>
        <w:ind w:firstLine="482"/>
      </w:pPr>
      <w:r>
        <w:rPr>
          <w:rFonts w:hint="eastAsia"/>
        </w:rPr>
        <w:t>4</w:t>
      </w:r>
      <w:r>
        <w:t>.4</w:t>
      </w:r>
      <w:r>
        <w:rPr>
          <w:rFonts w:hint="eastAsia"/>
        </w:rPr>
        <w:t>估价成果</w:t>
      </w:r>
    </w:p>
    <w:p w14:paraId="3E0A597C" w14:textId="77777777" w:rsidR="00495C65" w:rsidRDefault="00495C65" w:rsidP="00495C65">
      <w:pPr>
        <w:pStyle w:val="13"/>
      </w:pPr>
      <w:r>
        <w:rPr>
          <w:rFonts w:hint="eastAsia"/>
        </w:rPr>
        <w:t>4</w:t>
      </w:r>
      <w:r>
        <w:t>.4.1</w:t>
      </w:r>
      <w:r>
        <w:rPr>
          <w:rFonts w:hint="eastAsia"/>
        </w:rPr>
        <w:t>基准地价估价成果</w:t>
      </w:r>
    </w:p>
    <w:p w14:paraId="2E17BF77" w14:textId="77777777" w:rsidR="00495C65" w:rsidRDefault="00495C65" w:rsidP="00495C65">
      <w:pPr>
        <w:pStyle w:val="13"/>
      </w:pPr>
      <w:r>
        <w:rPr>
          <w:rFonts w:hint="eastAsia"/>
        </w:rPr>
        <w:t>估价成果如下：</w:t>
      </w:r>
    </w:p>
    <w:p w14:paraId="601914C4" w14:textId="77777777" w:rsidR="00495C65" w:rsidRDefault="00495C65" w:rsidP="00495C65">
      <w:pPr>
        <w:pStyle w:val="13"/>
      </w:pPr>
      <w:r>
        <w:rPr>
          <w:rFonts w:hint="eastAsia"/>
        </w:rPr>
        <w:t>（1）基准地价评估报告：主要包括基准地价评估成果报告、技术报告及资料整理分析报告；</w:t>
      </w:r>
    </w:p>
    <w:p w14:paraId="3D3E898E" w14:textId="77777777" w:rsidR="00495C65" w:rsidRDefault="00495C65" w:rsidP="00495C65">
      <w:pPr>
        <w:pStyle w:val="13"/>
      </w:pPr>
      <w:r w:rsidRPr="00811FC9">
        <w:rPr>
          <w:rFonts w:hint="eastAsia"/>
        </w:rPr>
        <w:t>（</w:t>
      </w:r>
      <w:r>
        <w:t>2</w:t>
      </w:r>
      <w:r w:rsidRPr="00811FC9">
        <w:t>）</w:t>
      </w:r>
      <w:r>
        <w:rPr>
          <w:rFonts w:hint="eastAsia"/>
        </w:rPr>
        <w:t>基准地价图：主要包括各用途基准地价最终成果图、样点地价图；</w:t>
      </w:r>
    </w:p>
    <w:p w14:paraId="232FEB13" w14:textId="77777777" w:rsidR="00495C65" w:rsidRDefault="00495C65" w:rsidP="00495C65">
      <w:pPr>
        <w:pStyle w:val="13"/>
      </w:pPr>
      <w:r w:rsidRPr="00811FC9">
        <w:rPr>
          <w:rFonts w:hint="eastAsia"/>
        </w:rPr>
        <w:t>（</w:t>
      </w:r>
      <w:r>
        <w:t>3</w:t>
      </w:r>
      <w:r w:rsidRPr="00811FC9">
        <w:t>）</w:t>
      </w:r>
      <w:r>
        <w:rPr>
          <w:rFonts w:hint="eastAsia"/>
        </w:rPr>
        <w:t>基准地价表；</w:t>
      </w:r>
      <w:proofErr w:type="gramStart"/>
      <w:r>
        <w:rPr>
          <w:rFonts w:hint="eastAsia"/>
        </w:rPr>
        <w:t>各级别各用途</w:t>
      </w:r>
      <w:proofErr w:type="gramEnd"/>
      <w:r>
        <w:rPr>
          <w:rFonts w:hint="eastAsia"/>
        </w:rPr>
        <w:t>基准地价成果表、基准地价修正系数表（含修正系数表和修正因素指标说明表）。</w:t>
      </w:r>
    </w:p>
    <w:p w14:paraId="0059ED41" w14:textId="77777777" w:rsidR="00495C65" w:rsidRDefault="00495C65" w:rsidP="00495C65">
      <w:pPr>
        <w:pStyle w:val="13"/>
      </w:pPr>
      <w:r w:rsidRPr="00811FC9">
        <w:t>4.4.</w:t>
      </w:r>
      <w:r>
        <w:t>2</w:t>
      </w:r>
      <w:r>
        <w:rPr>
          <w:rFonts w:hint="eastAsia"/>
        </w:rPr>
        <w:t>宗地地价</w:t>
      </w:r>
      <w:proofErr w:type="gramStart"/>
      <w:r>
        <w:rPr>
          <w:rFonts w:hint="eastAsia"/>
        </w:rPr>
        <w:t>估价成果估价成果</w:t>
      </w:r>
      <w:proofErr w:type="gramEnd"/>
      <w:r>
        <w:rPr>
          <w:rFonts w:hint="eastAsia"/>
        </w:rPr>
        <w:t>如下：</w:t>
      </w:r>
    </w:p>
    <w:p w14:paraId="14EF96AE" w14:textId="77777777" w:rsidR="00495C65" w:rsidRDefault="00495C65" w:rsidP="00495C65">
      <w:pPr>
        <w:pStyle w:val="13"/>
      </w:pPr>
      <w:r w:rsidRPr="001626A3">
        <w:rPr>
          <w:rFonts w:hint="eastAsia"/>
        </w:rPr>
        <w:t>（</w:t>
      </w:r>
      <w:r w:rsidRPr="001626A3">
        <w:t>1）</w:t>
      </w:r>
      <w:r>
        <w:rPr>
          <w:rFonts w:hint="eastAsia"/>
        </w:rPr>
        <w:t>宗地估价报告；</w:t>
      </w:r>
    </w:p>
    <w:p w14:paraId="4674504D" w14:textId="77777777" w:rsidR="00495C65" w:rsidRDefault="00495C65" w:rsidP="00495C65">
      <w:pPr>
        <w:pStyle w:val="13"/>
      </w:pPr>
      <w:r w:rsidRPr="001626A3">
        <w:rPr>
          <w:rFonts w:hint="eastAsia"/>
        </w:rPr>
        <w:t>（</w:t>
      </w:r>
      <w:r w:rsidRPr="001626A3">
        <w:t>2）</w:t>
      </w:r>
      <w:r>
        <w:rPr>
          <w:rFonts w:hint="eastAsia"/>
        </w:rPr>
        <w:t>宗地估价技术报告（评估工作底稿）。</w:t>
      </w:r>
    </w:p>
    <w:p w14:paraId="77397FEE" w14:textId="77777777" w:rsidR="00495C65" w:rsidRDefault="00495C65" w:rsidP="00AF7342">
      <w:pPr>
        <w:pStyle w:val="a9"/>
        <w:spacing w:before="62" w:after="62"/>
      </w:pPr>
      <w:r>
        <w:lastRenderedPageBreak/>
        <w:t>5 价格影响因素</w:t>
      </w:r>
    </w:p>
    <w:p w14:paraId="73EDB755" w14:textId="77777777" w:rsidR="00495C65" w:rsidRDefault="00495C65" w:rsidP="00495C65">
      <w:pPr>
        <w:pStyle w:val="ab"/>
        <w:spacing w:before="62" w:after="62"/>
        <w:ind w:firstLine="482"/>
      </w:pPr>
      <w:r>
        <w:rPr>
          <w:rFonts w:hint="eastAsia"/>
        </w:rPr>
        <w:t>5</w:t>
      </w:r>
      <w:r>
        <w:t>.1</w:t>
      </w:r>
      <w:r>
        <w:rPr>
          <w:rFonts w:hint="eastAsia"/>
        </w:rPr>
        <w:t>价格影响因素分类</w:t>
      </w:r>
    </w:p>
    <w:p w14:paraId="019F2B0C" w14:textId="77777777" w:rsidR="00495C65" w:rsidRDefault="00495C65" w:rsidP="00495C65">
      <w:pPr>
        <w:pStyle w:val="13"/>
      </w:pPr>
      <w:r>
        <w:rPr>
          <w:rFonts w:hint="eastAsia"/>
        </w:rPr>
        <w:t>城镇土地价格的影响因素有：</w:t>
      </w:r>
    </w:p>
    <w:p w14:paraId="524325E1" w14:textId="77777777" w:rsidR="00495C65" w:rsidRDefault="00495C65" w:rsidP="00495C65">
      <w:pPr>
        <w:pStyle w:val="13"/>
      </w:pPr>
      <w:r w:rsidRPr="00DE234D">
        <w:rPr>
          <w:rFonts w:hint="eastAsia"/>
        </w:rPr>
        <w:t>（</w:t>
      </w:r>
      <w:r w:rsidRPr="00DE234D">
        <w:t>1）</w:t>
      </w:r>
      <w:r>
        <w:rPr>
          <w:rFonts w:hint="eastAsia"/>
        </w:rPr>
        <w:t>一般因素；</w:t>
      </w:r>
    </w:p>
    <w:p w14:paraId="7510FD41" w14:textId="77777777" w:rsidR="00495C65" w:rsidRDefault="00495C65" w:rsidP="00495C65">
      <w:pPr>
        <w:pStyle w:val="13"/>
      </w:pPr>
      <w:r w:rsidRPr="00DE234D">
        <w:rPr>
          <w:rFonts w:hint="eastAsia"/>
        </w:rPr>
        <w:t>（</w:t>
      </w:r>
      <w:r>
        <w:t>2</w:t>
      </w:r>
      <w:r w:rsidRPr="00DE234D">
        <w:t>）</w:t>
      </w:r>
      <w:r>
        <w:rPr>
          <w:rFonts w:hint="eastAsia"/>
        </w:rPr>
        <w:t>区域因素；</w:t>
      </w:r>
    </w:p>
    <w:p w14:paraId="27D0AE16" w14:textId="77777777" w:rsidR="00495C65" w:rsidRDefault="00495C65" w:rsidP="00495C65">
      <w:pPr>
        <w:pStyle w:val="13"/>
      </w:pPr>
      <w:r w:rsidRPr="00DE234D">
        <w:rPr>
          <w:rFonts w:hint="eastAsia"/>
        </w:rPr>
        <w:t>（</w:t>
      </w:r>
      <w:r>
        <w:t>3</w:t>
      </w:r>
      <w:r w:rsidRPr="00DE234D">
        <w:t>）</w:t>
      </w:r>
      <w:r>
        <w:rPr>
          <w:rFonts w:hint="eastAsia"/>
        </w:rPr>
        <w:t>个别因素。</w:t>
      </w:r>
    </w:p>
    <w:p w14:paraId="0BB3450E" w14:textId="77777777" w:rsidR="00495C65" w:rsidRDefault="00495C65" w:rsidP="00495C65">
      <w:pPr>
        <w:pStyle w:val="ab"/>
        <w:spacing w:before="62" w:after="62"/>
        <w:ind w:firstLine="482"/>
      </w:pPr>
      <w:r>
        <w:rPr>
          <w:rFonts w:hint="eastAsia"/>
        </w:rPr>
        <w:t>5</w:t>
      </w:r>
      <w:r>
        <w:t>.2</w:t>
      </w:r>
      <w:r>
        <w:rPr>
          <w:rFonts w:hint="eastAsia"/>
        </w:rPr>
        <w:t>一般因素</w:t>
      </w:r>
    </w:p>
    <w:p w14:paraId="776CF35D" w14:textId="77777777" w:rsidR="00495C65" w:rsidRDefault="00495C65" w:rsidP="00495C65">
      <w:pPr>
        <w:pStyle w:val="13"/>
      </w:pPr>
      <w:r>
        <w:rPr>
          <w:rFonts w:hint="eastAsia"/>
        </w:rPr>
        <w:t>指影响城镇地价总体水平的自然、社会、经济和行政因素等，主要包括地理位</w:t>
      </w:r>
      <w:r>
        <w:t>置、自然条件、人口、行政区划、城镇性质、城镇发展过程、社会经济状况、土地制度及住房制度、土地利用规划及计划、国民和社会展规划等。</w:t>
      </w:r>
    </w:p>
    <w:p w14:paraId="29C1295A" w14:textId="77777777" w:rsidR="00495C65" w:rsidRDefault="00495C65" w:rsidP="00495C65">
      <w:pPr>
        <w:pStyle w:val="ab"/>
        <w:spacing w:before="62" w:after="62"/>
        <w:ind w:firstLine="482"/>
      </w:pPr>
      <w:r>
        <w:rPr>
          <w:rFonts w:hint="eastAsia"/>
        </w:rPr>
        <w:t>5</w:t>
      </w:r>
      <w:r>
        <w:t>.3</w:t>
      </w:r>
      <w:r>
        <w:rPr>
          <w:rFonts w:hint="eastAsia"/>
        </w:rPr>
        <w:t>区域因素</w:t>
      </w:r>
    </w:p>
    <w:p w14:paraId="725C3131" w14:textId="77777777" w:rsidR="00495C65" w:rsidRDefault="00495C65" w:rsidP="00495C65">
      <w:pPr>
        <w:pStyle w:val="13"/>
      </w:pPr>
      <w:r>
        <w:rPr>
          <w:rFonts w:hint="eastAsia"/>
        </w:rPr>
        <w:t>指影响城镇内部区域之间地价水平的因素，主要包括商服繁华程度或集聚程度及区域在城镇中的位置、交通条件、公用设施及基础设施水平、区域环境条件、规划及土地使用限制和自然条件等。</w:t>
      </w:r>
    </w:p>
    <w:p w14:paraId="55D81A4A" w14:textId="77777777" w:rsidR="00495C65" w:rsidRDefault="00495C65" w:rsidP="00495C65">
      <w:pPr>
        <w:pStyle w:val="ab"/>
        <w:spacing w:before="62" w:after="62"/>
        <w:ind w:firstLine="482"/>
      </w:pPr>
      <w:r>
        <w:rPr>
          <w:rFonts w:hint="eastAsia"/>
        </w:rPr>
        <w:t>5</w:t>
      </w:r>
      <w:r>
        <w:t>.4</w:t>
      </w:r>
      <w:r>
        <w:rPr>
          <w:rFonts w:hint="eastAsia"/>
        </w:rPr>
        <w:t>个别因素</w:t>
      </w:r>
    </w:p>
    <w:p w14:paraId="5E755B87" w14:textId="77777777" w:rsidR="00495C65" w:rsidRDefault="00495C65" w:rsidP="00495C65">
      <w:pPr>
        <w:pStyle w:val="13"/>
      </w:pPr>
      <w:r>
        <w:rPr>
          <w:rFonts w:hint="eastAsia"/>
        </w:rPr>
        <w:t>指宗地自身的地价影响因素，包括宗地自身的自然条件、开发程度、形状、长度、宽度、面积、土地使用限制和宗地临街条件等。</w:t>
      </w:r>
    </w:p>
    <w:p w14:paraId="5745314B" w14:textId="77777777" w:rsidR="00495C65" w:rsidRDefault="00495C65" w:rsidP="00AF7342">
      <w:pPr>
        <w:pStyle w:val="a9"/>
        <w:spacing w:before="62" w:after="62"/>
      </w:pPr>
      <w:r>
        <w:t>6 主要估价方法</w:t>
      </w:r>
    </w:p>
    <w:p w14:paraId="1480EFA1" w14:textId="77777777" w:rsidR="00495C65" w:rsidRDefault="00495C65" w:rsidP="00495C65">
      <w:pPr>
        <w:pStyle w:val="ab"/>
        <w:spacing w:before="62" w:after="62"/>
        <w:ind w:firstLine="482"/>
      </w:pPr>
      <w:r>
        <w:t>6.1</w:t>
      </w:r>
      <w:r>
        <w:rPr>
          <w:rFonts w:hint="eastAsia"/>
        </w:rPr>
        <w:t>市场比较法</w:t>
      </w:r>
    </w:p>
    <w:p w14:paraId="31759DC0" w14:textId="77777777" w:rsidR="00495C65" w:rsidRDefault="00495C65" w:rsidP="00495C65">
      <w:pPr>
        <w:pStyle w:val="13"/>
      </w:pPr>
      <w:r>
        <w:rPr>
          <w:rFonts w:hint="eastAsia"/>
        </w:rPr>
        <w:t>6</w:t>
      </w:r>
      <w:r>
        <w:t>.1.1</w:t>
      </w:r>
      <w:r>
        <w:rPr>
          <w:rFonts w:hint="eastAsia"/>
        </w:rPr>
        <w:t>基本公式</w:t>
      </w:r>
    </w:p>
    <w:p w14:paraId="08319350" w14:textId="77777777" w:rsidR="00495C65" w:rsidRDefault="00495C65" w:rsidP="00495C65">
      <w:pPr>
        <w:pStyle w:val="13"/>
      </w:pPr>
      <w:r>
        <w:rPr>
          <w:rFonts w:hint="eastAsia"/>
        </w:rPr>
        <w:t>以市场比较法评估土地价格用以下公式如式（</w:t>
      </w:r>
      <w:r>
        <w:t>1）所示：</w:t>
      </w:r>
    </w:p>
    <w:p w14:paraId="70ED1F41" w14:textId="77777777" w:rsidR="00495C65" w:rsidRPr="002402E2" w:rsidRDefault="00495C65" w:rsidP="00495C65">
      <w:pPr>
        <w:pStyle w:val="13"/>
        <w:ind w:firstLineChars="1400" w:firstLine="3360"/>
        <w:jc w:val="left"/>
        <w:rPr>
          <w:i/>
          <w:iCs/>
        </w:rPr>
      </w:pPr>
      <w:r w:rsidRPr="002402E2">
        <w:rPr>
          <w:i/>
          <w:iCs/>
        </w:rPr>
        <w:t>P＝</w:t>
      </w:r>
      <w:bookmarkStart w:id="193" w:name="_Hlk80211121"/>
      <w:r w:rsidRPr="002402E2">
        <w:rPr>
          <w:i/>
          <w:iCs/>
        </w:rPr>
        <w:t>P</w:t>
      </w:r>
      <w:r w:rsidRPr="002402E2">
        <w:rPr>
          <w:i/>
          <w:iCs/>
          <w:vertAlign w:val="subscript"/>
        </w:rPr>
        <w:t>B</w:t>
      </w:r>
      <w:bookmarkEnd w:id="193"/>
      <w:r w:rsidRPr="002402E2">
        <w:rPr>
          <w:i/>
          <w:iCs/>
        </w:rPr>
        <w:t>×A×B×C×D×E</w:t>
      </w:r>
      <w:r>
        <w:rPr>
          <w:i/>
          <w:iCs/>
        </w:rPr>
        <w:t xml:space="preserve">                    </w:t>
      </w:r>
      <w:r w:rsidRPr="00686BCA">
        <w:rPr>
          <w:rFonts w:hint="eastAsia"/>
        </w:rPr>
        <w:t>（1）</w:t>
      </w:r>
    </w:p>
    <w:p w14:paraId="53D4ED7C" w14:textId="77777777" w:rsidR="00495C65" w:rsidRDefault="00495C65" w:rsidP="00495C65">
      <w:pPr>
        <w:pStyle w:val="13"/>
      </w:pPr>
      <w:r>
        <w:rPr>
          <w:rFonts w:hint="eastAsia"/>
        </w:rPr>
        <w:t>式中：</w:t>
      </w:r>
    </w:p>
    <w:p w14:paraId="2AA7850A" w14:textId="77777777" w:rsidR="00495C65" w:rsidRDefault="00495C65" w:rsidP="00495C65">
      <w:pPr>
        <w:pStyle w:val="13"/>
        <w:ind w:firstLineChars="500" w:firstLine="1200"/>
      </w:pPr>
      <w:r w:rsidRPr="002402E2">
        <w:rPr>
          <w:i/>
          <w:iCs/>
        </w:rPr>
        <w:t>P</w:t>
      </w:r>
      <w:proofErr w:type="gramStart"/>
      <w:r>
        <w:t>—待估</w:t>
      </w:r>
      <w:proofErr w:type="gramEnd"/>
      <w:r>
        <w:t>宗地价格；</w:t>
      </w:r>
    </w:p>
    <w:p w14:paraId="77A7A60C" w14:textId="77777777" w:rsidR="00495C65" w:rsidRDefault="00495C65" w:rsidP="00495C65">
      <w:pPr>
        <w:pStyle w:val="13"/>
        <w:ind w:firstLineChars="500" w:firstLine="1200"/>
      </w:pPr>
      <w:r w:rsidRPr="002402E2">
        <w:rPr>
          <w:i/>
          <w:iCs/>
        </w:rPr>
        <w:t>P</w:t>
      </w:r>
      <w:r w:rsidRPr="002402E2">
        <w:rPr>
          <w:i/>
          <w:iCs/>
          <w:vertAlign w:val="subscript"/>
        </w:rPr>
        <w:t>B</w:t>
      </w:r>
      <w:proofErr w:type="gramStart"/>
      <w:r>
        <w:t>—比较</w:t>
      </w:r>
      <w:proofErr w:type="gramEnd"/>
      <w:r>
        <w:t>实例价格；</w:t>
      </w:r>
    </w:p>
    <w:p w14:paraId="759A1D42" w14:textId="77777777" w:rsidR="00495C65" w:rsidRDefault="00495C65" w:rsidP="00495C65">
      <w:pPr>
        <w:pStyle w:val="13"/>
        <w:ind w:firstLineChars="500" w:firstLine="1200"/>
      </w:pPr>
      <w:r w:rsidRPr="002402E2">
        <w:rPr>
          <w:i/>
          <w:iCs/>
        </w:rPr>
        <w:t>A</w:t>
      </w:r>
      <w:proofErr w:type="gramStart"/>
      <w:r>
        <w:t>—待估</w:t>
      </w:r>
      <w:proofErr w:type="gramEnd"/>
      <w:r>
        <w:t>宗地交易情况指数除以比较实例宗地交易情况指数；</w:t>
      </w:r>
    </w:p>
    <w:p w14:paraId="34615368" w14:textId="77777777" w:rsidR="00495C65" w:rsidRDefault="00495C65" w:rsidP="00495C65">
      <w:pPr>
        <w:pStyle w:val="13"/>
        <w:ind w:firstLineChars="500" w:firstLine="1200"/>
      </w:pPr>
      <w:r w:rsidRPr="002402E2">
        <w:rPr>
          <w:i/>
          <w:iCs/>
        </w:rPr>
        <w:t>B</w:t>
      </w:r>
      <w:proofErr w:type="gramStart"/>
      <w:r>
        <w:t>—待估</w:t>
      </w:r>
      <w:proofErr w:type="gramEnd"/>
      <w:r>
        <w:t>宗地估价期日地价指数除以比较实例宗地交易日期地价指数；</w:t>
      </w:r>
    </w:p>
    <w:p w14:paraId="14C97BF3" w14:textId="77777777" w:rsidR="00495C65" w:rsidRDefault="00495C65" w:rsidP="00495C65">
      <w:pPr>
        <w:pStyle w:val="13"/>
        <w:ind w:firstLineChars="500" w:firstLine="1200"/>
      </w:pPr>
      <w:r w:rsidRPr="002402E2">
        <w:rPr>
          <w:i/>
          <w:iCs/>
        </w:rPr>
        <w:t>C</w:t>
      </w:r>
      <w:proofErr w:type="gramStart"/>
      <w:r>
        <w:t>—待估</w:t>
      </w:r>
      <w:proofErr w:type="gramEnd"/>
      <w:r>
        <w:t>宗地区域因素条件指数除以比较实例宗地区域因素条件指数；</w:t>
      </w:r>
    </w:p>
    <w:p w14:paraId="10A4D17A" w14:textId="77777777" w:rsidR="00495C65" w:rsidRDefault="00495C65" w:rsidP="00495C65">
      <w:pPr>
        <w:pStyle w:val="13"/>
        <w:ind w:firstLineChars="500" w:firstLine="1200"/>
      </w:pPr>
      <w:r w:rsidRPr="002402E2">
        <w:rPr>
          <w:i/>
          <w:iCs/>
        </w:rPr>
        <w:t>D</w:t>
      </w:r>
      <w:proofErr w:type="gramStart"/>
      <w:r>
        <w:t>—待估</w:t>
      </w:r>
      <w:proofErr w:type="gramEnd"/>
      <w:r>
        <w:t>宗地个别因素条件指数除以比较实例宗地个别因素条件指数；</w:t>
      </w:r>
    </w:p>
    <w:p w14:paraId="1E04F1A4" w14:textId="77777777" w:rsidR="00495C65" w:rsidRDefault="00495C65" w:rsidP="00495C65">
      <w:pPr>
        <w:pStyle w:val="13"/>
        <w:ind w:firstLineChars="500" w:firstLine="1200"/>
      </w:pPr>
      <w:r w:rsidRPr="002402E2">
        <w:rPr>
          <w:i/>
          <w:iCs/>
        </w:rPr>
        <w:t>E</w:t>
      </w:r>
      <w:proofErr w:type="gramStart"/>
      <w:r>
        <w:t>—待估</w:t>
      </w:r>
      <w:proofErr w:type="gramEnd"/>
      <w:r>
        <w:t>宗地年期修正指数除以比较实例年期修正指数。</w:t>
      </w:r>
    </w:p>
    <w:p w14:paraId="3EB6DC85" w14:textId="77777777" w:rsidR="00495C65" w:rsidRDefault="00495C65" w:rsidP="00495C65">
      <w:pPr>
        <w:pStyle w:val="13"/>
      </w:pPr>
      <w:r w:rsidRPr="006F133C">
        <w:t>6.1.</w:t>
      </w:r>
      <w:r>
        <w:t>2</w:t>
      </w:r>
      <w:r>
        <w:rPr>
          <w:rFonts w:hint="eastAsia"/>
        </w:rPr>
        <w:t>程序</w:t>
      </w:r>
    </w:p>
    <w:p w14:paraId="0836C026" w14:textId="77777777" w:rsidR="00495C65" w:rsidRDefault="00495C65" w:rsidP="00495C65">
      <w:pPr>
        <w:pStyle w:val="13"/>
      </w:pPr>
      <w:r>
        <w:rPr>
          <w:rFonts w:hint="eastAsia"/>
        </w:rPr>
        <w:t>程序如下：</w:t>
      </w:r>
    </w:p>
    <w:p w14:paraId="37761F83" w14:textId="77777777" w:rsidR="00495C65" w:rsidRDefault="00495C65" w:rsidP="00495C65">
      <w:pPr>
        <w:pStyle w:val="13"/>
      </w:pPr>
      <w:r>
        <w:rPr>
          <w:rFonts w:hint="eastAsia"/>
        </w:rPr>
        <w:lastRenderedPageBreak/>
        <w:t>（1）收集宗地交易实例；</w:t>
      </w:r>
    </w:p>
    <w:p w14:paraId="49A3B6C9" w14:textId="77777777" w:rsidR="00495C65" w:rsidRDefault="00495C65" w:rsidP="00495C65">
      <w:pPr>
        <w:pStyle w:val="13"/>
      </w:pPr>
      <w:r w:rsidRPr="00EB1D0F">
        <w:rPr>
          <w:rFonts w:hint="eastAsia"/>
        </w:rPr>
        <w:t>（</w:t>
      </w:r>
      <w:r>
        <w:t>2</w:t>
      </w:r>
      <w:r w:rsidRPr="00EB1D0F">
        <w:t>）</w:t>
      </w:r>
      <w:r>
        <w:rPr>
          <w:rFonts w:hint="eastAsia"/>
        </w:rPr>
        <w:t>确定比较实例；</w:t>
      </w:r>
    </w:p>
    <w:p w14:paraId="28A820D3" w14:textId="77777777" w:rsidR="00495C65" w:rsidRDefault="00495C65" w:rsidP="00495C65">
      <w:pPr>
        <w:pStyle w:val="13"/>
      </w:pPr>
      <w:r w:rsidRPr="00EB1D0F">
        <w:rPr>
          <w:rFonts w:hint="eastAsia"/>
        </w:rPr>
        <w:t>（</w:t>
      </w:r>
      <w:r>
        <w:t>3</w:t>
      </w:r>
      <w:r w:rsidRPr="00EB1D0F">
        <w:t>）</w:t>
      </w:r>
      <w:r>
        <w:rPr>
          <w:rFonts w:hint="eastAsia"/>
        </w:rPr>
        <w:t>建立价格可比基础；</w:t>
      </w:r>
    </w:p>
    <w:p w14:paraId="55001664" w14:textId="77777777" w:rsidR="00495C65" w:rsidRDefault="00495C65" w:rsidP="00495C65">
      <w:pPr>
        <w:pStyle w:val="13"/>
      </w:pPr>
      <w:r w:rsidRPr="00EB1D0F">
        <w:rPr>
          <w:rFonts w:hint="eastAsia"/>
        </w:rPr>
        <w:t>（</w:t>
      </w:r>
      <w:r>
        <w:t>4</w:t>
      </w:r>
      <w:r w:rsidRPr="00EB1D0F">
        <w:t>）</w:t>
      </w:r>
      <w:r>
        <w:rPr>
          <w:rFonts w:hint="eastAsia"/>
        </w:rPr>
        <w:t>进行交易情况修正；</w:t>
      </w:r>
    </w:p>
    <w:p w14:paraId="7F67EF10" w14:textId="77777777" w:rsidR="00495C65" w:rsidRDefault="00495C65" w:rsidP="00495C65">
      <w:pPr>
        <w:pStyle w:val="13"/>
      </w:pPr>
      <w:r w:rsidRPr="00EB1D0F">
        <w:rPr>
          <w:rFonts w:hint="eastAsia"/>
        </w:rPr>
        <w:t>（</w:t>
      </w:r>
      <w:r>
        <w:t>5</w:t>
      </w:r>
      <w:r w:rsidRPr="00EB1D0F">
        <w:t>）</w:t>
      </w:r>
      <w:r>
        <w:rPr>
          <w:rFonts w:hint="eastAsia"/>
        </w:rPr>
        <w:t>进行估价期日修正；</w:t>
      </w:r>
    </w:p>
    <w:p w14:paraId="514B38DD" w14:textId="77777777" w:rsidR="00495C65" w:rsidRDefault="00495C65" w:rsidP="00495C65">
      <w:pPr>
        <w:pStyle w:val="13"/>
      </w:pPr>
      <w:r w:rsidRPr="00EB1D0F">
        <w:rPr>
          <w:rFonts w:hint="eastAsia"/>
        </w:rPr>
        <w:t>（</w:t>
      </w:r>
      <w:r>
        <w:t>6</w:t>
      </w:r>
      <w:r w:rsidRPr="00EB1D0F">
        <w:t>）</w:t>
      </w:r>
      <w:r>
        <w:rPr>
          <w:rFonts w:hint="eastAsia"/>
        </w:rPr>
        <w:t>进行区域因素修正；</w:t>
      </w:r>
    </w:p>
    <w:p w14:paraId="4DD16075" w14:textId="77777777" w:rsidR="00495C65" w:rsidRDefault="00495C65" w:rsidP="00495C65">
      <w:pPr>
        <w:pStyle w:val="13"/>
      </w:pPr>
      <w:r w:rsidRPr="00EB1D0F">
        <w:rPr>
          <w:rFonts w:hint="eastAsia"/>
        </w:rPr>
        <w:t>（</w:t>
      </w:r>
      <w:r>
        <w:t>7</w:t>
      </w:r>
      <w:r w:rsidRPr="00EB1D0F">
        <w:t>）</w:t>
      </w:r>
      <w:r>
        <w:rPr>
          <w:rFonts w:hint="eastAsia"/>
        </w:rPr>
        <w:t>进行个别因素修正；</w:t>
      </w:r>
    </w:p>
    <w:p w14:paraId="746E511A" w14:textId="77777777" w:rsidR="00495C65" w:rsidRDefault="00495C65" w:rsidP="00495C65">
      <w:pPr>
        <w:pStyle w:val="13"/>
      </w:pPr>
      <w:r w:rsidRPr="00EB1D0F">
        <w:rPr>
          <w:rFonts w:hint="eastAsia"/>
        </w:rPr>
        <w:t>（</w:t>
      </w:r>
      <w:r>
        <w:t>8</w:t>
      </w:r>
      <w:r w:rsidRPr="00EB1D0F">
        <w:t>）</w:t>
      </w:r>
      <w:r>
        <w:rPr>
          <w:rFonts w:hint="eastAsia"/>
        </w:rPr>
        <w:t>进行使用年期等其他因素修正；</w:t>
      </w:r>
    </w:p>
    <w:p w14:paraId="472A422A" w14:textId="77777777" w:rsidR="00495C65" w:rsidRDefault="00495C65" w:rsidP="00495C65">
      <w:pPr>
        <w:pStyle w:val="13"/>
      </w:pPr>
      <w:r w:rsidRPr="00EB1D0F">
        <w:rPr>
          <w:rFonts w:hint="eastAsia"/>
        </w:rPr>
        <w:t>（</w:t>
      </w:r>
      <w:r>
        <w:t>9</w:t>
      </w:r>
      <w:r w:rsidRPr="00EB1D0F">
        <w:t>）</w:t>
      </w:r>
      <w:r>
        <w:rPr>
          <w:rFonts w:hint="eastAsia"/>
        </w:rPr>
        <w:t>测算比准价格。</w:t>
      </w:r>
    </w:p>
    <w:p w14:paraId="3B391881" w14:textId="77777777" w:rsidR="00495C65" w:rsidRDefault="00495C65" w:rsidP="00495C65">
      <w:pPr>
        <w:pStyle w:val="13"/>
      </w:pPr>
      <w:r w:rsidRPr="00AA696D">
        <w:t>6.1.</w:t>
      </w:r>
      <w:r>
        <w:t>3</w:t>
      </w:r>
      <w:r>
        <w:rPr>
          <w:rFonts w:hint="eastAsia"/>
        </w:rPr>
        <w:t>收集宗地交易实例</w:t>
      </w:r>
    </w:p>
    <w:p w14:paraId="186DDF23" w14:textId="77777777" w:rsidR="00495C65" w:rsidRDefault="00495C65" w:rsidP="00495C65">
      <w:pPr>
        <w:pStyle w:val="13"/>
      </w:pPr>
      <w:r>
        <w:rPr>
          <w:rFonts w:hint="eastAsia"/>
        </w:rPr>
        <w:t>资料收集范围包括地块位置、面积、用途、成交时间、双方当事人、地块条件、使用年期、交易条件、影响地价的区域和个别因素、土地价格及明确的价格内涵等。</w:t>
      </w:r>
    </w:p>
    <w:p w14:paraId="4A160620" w14:textId="77777777" w:rsidR="00495C65" w:rsidRDefault="00495C65" w:rsidP="00495C65">
      <w:pPr>
        <w:pStyle w:val="13"/>
      </w:pPr>
      <w:r w:rsidRPr="00AA696D">
        <w:t>6.1.</w:t>
      </w:r>
      <w:r>
        <w:t>4</w:t>
      </w:r>
      <w:r>
        <w:rPr>
          <w:rFonts w:hint="eastAsia"/>
        </w:rPr>
        <w:t>确定比较实例</w:t>
      </w:r>
    </w:p>
    <w:p w14:paraId="49F5CD3F" w14:textId="77777777" w:rsidR="00495C65" w:rsidRDefault="00495C65" w:rsidP="00495C65">
      <w:pPr>
        <w:pStyle w:val="13"/>
      </w:pPr>
      <w:r>
        <w:rPr>
          <w:rFonts w:hint="eastAsia"/>
        </w:rPr>
        <w:t>比较实例数量应达到</w:t>
      </w:r>
      <w:r>
        <w:t>3个以上（含3个），且估价期日</w:t>
      </w:r>
      <w:proofErr w:type="gramStart"/>
      <w:r>
        <w:t>距比较</w:t>
      </w:r>
      <w:proofErr w:type="gramEnd"/>
      <w:r>
        <w:t>实例的交易日原则上</w:t>
      </w:r>
      <w:r>
        <w:rPr>
          <w:rFonts w:hint="eastAsia"/>
        </w:rPr>
        <w:t>不超过</w:t>
      </w:r>
      <w:r>
        <w:t>3年。</w:t>
      </w:r>
    </w:p>
    <w:p w14:paraId="75CFB8A2" w14:textId="77777777" w:rsidR="00495C65" w:rsidRDefault="00495C65" w:rsidP="00495C65">
      <w:pPr>
        <w:pStyle w:val="13"/>
      </w:pPr>
      <w:r>
        <w:rPr>
          <w:rFonts w:hint="eastAsia"/>
        </w:rPr>
        <w:t>比较实例与估价宗地条件的相似性大于差异性；比较实例应为用途</w:t>
      </w:r>
      <w:proofErr w:type="gramStart"/>
      <w:r>
        <w:rPr>
          <w:rFonts w:hint="eastAsia"/>
        </w:rPr>
        <w:t>与待估宗地</w:t>
      </w:r>
      <w:proofErr w:type="gramEnd"/>
      <w:r>
        <w:rPr>
          <w:rFonts w:hint="eastAsia"/>
        </w:rPr>
        <w:t>用途相同，土地条件基本一致，属同一供需圈内相邻地区或类似地区的正常（或可修正为正常）交易实例。</w:t>
      </w:r>
    </w:p>
    <w:p w14:paraId="3CEB1B62" w14:textId="77777777" w:rsidR="00495C65" w:rsidRDefault="00495C65" w:rsidP="00495C65">
      <w:pPr>
        <w:pStyle w:val="13"/>
      </w:pPr>
      <w:r w:rsidRPr="00AA696D">
        <w:t>6.1.</w:t>
      </w:r>
      <w:r>
        <w:t>5</w:t>
      </w:r>
      <w:r>
        <w:rPr>
          <w:rFonts w:hint="eastAsia"/>
        </w:rPr>
        <w:t>建立价格可比基础</w:t>
      </w:r>
    </w:p>
    <w:p w14:paraId="2286543F" w14:textId="77777777" w:rsidR="00495C65" w:rsidRDefault="00495C65" w:rsidP="00495C65">
      <w:pPr>
        <w:pStyle w:val="13"/>
      </w:pPr>
      <w:r>
        <w:rPr>
          <w:rFonts w:hint="eastAsia"/>
        </w:rPr>
        <w:t>应从付款方式、币种和货币单位、面积内涵和面积单位等方面对</w:t>
      </w:r>
      <w:proofErr w:type="gramStart"/>
      <w:r>
        <w:rPr>
          <w:rFonts w:hint="eastAsia"/>
        </w:rPr>
        <w:t>各比较</w:t>
      </w:r>
      <w:proofErr w:type="gramEnd"/>
      <w:r>
        <w:rPr>
          <w:rFonts w:hint="eastAsia"/>
        </w:rPr>
        <w:t>案例的价格进行统一。</w:t>
      </w:r>
    </w:p>
    <w:p w14:paraId="165ABFF8" w14:textId="77777777" w:rsidR="00495C65" w:rsidRDefault="00495C65" w:rsidP="00495C65">
      <w:pPr>
        <w:pStyle w:val="13"/>
      </w:pPr>
      <w:r w:rsidRPr="00C021D7">
        <w:t>6.1.</w:t>
      </w:r>
      <w:r>
        <w:t>6</w:t>
      </w:r>
      <w:r>
        <w:rPr>
          <w:rFonts w:hint="eastAsia"/>
        </w:rPr>
        <w:t>交易情况修正</w:t>
      </w:r>
    </w:p>
    <w:p w14:paraId="328340B8" w14:textId="77777777" w:rsidR="00495C65" w:rsidRDefault="00495C65" w:rsidP="00495C65">
      <w:pPr>
        <w:pStyle w:val="13"/>
      </w:pPr>
      <w:r>
        <w:rPr>
          <w:rFonts w:hint="eastAsia"/>
        </w:rPr>
        <w:t>交易情况修正是排除交易行为中的一些特殊因素所造成的比较实例的价格偏差，将其成交价格修正为正常市场价格。</w:t>
      </w:r>
    </w:p>
    <w:p w14:paraId="7056B273" w14:textId="77777777" w:rsidR="00495C65" w:rsidRDefault="00495C65" w:rsidP="00495C65">
      <w:pPr>
        <w:pStyle w:val="13"/>
      </w:pPr>
      <w:r>
        <w:rPr>
          <w:rFonts w:hint="eastAsia"/>
        </w:rPr>
        <w:t>交易行为中的特殊因素概括起来主要有下列</w:t>
      </w:r>
      <w:r>
        <w:t>9种：</w:t>
      </w:r>
    </w:p>
    <w:p w14:paraId="4908DD4A" w14:textId="77777777" w:rsidR="00495C65" w:rsidRDefault="00495C65" w:rsidP="00495C65">
      <w:pPr>
        <w:pStyle w:val="13"/>
      </w:pPr>
      <w:r w:rsidRPr="00C021D7">
        <w:rPr>
          <w:rFonts w:hint="eastAsia"/>
        </w:rPr>
        <w:t>（</w:t>
      </w:r>
      <w:r w:rsidRPr="00C021D7">
        <w:t>1）</w:t>
      </w:r>
      <w:r>
        <w:rPr>
          <w:rFonts w:hint="eastAsia"/>
        </w:rPr>
        <w:t>有利害关系人之间的交易；</w:t>
      </w:r>
    </w:p>
    <w:p w14:paraId="741E2EEE" w14:textId="77777777" w:rsidR="00495C65" w:rsidRDefault="00495C65" w:rsidP="00495C65">
      <w:pPr>
        <w:pStyle w:val="13"/>
      </w:pPr>
      <w:r w:rsidRPr="005B3474">
        <w:rPr>
          <w:rFonts w:hint="eastAsia"/>
        </w:rPr>
        <w:t>（</w:t>
      </w:r>
      <w:r>
        <w:t>2</w:t>
      </w:r>
      <w:r w:rsidRPr="005B3474">
        <w:t>）</w:t>
      </w:r>
      <w:r>
        <w:rPr>
          <w:rFonts w:hint="eastAsia"/>
        </w:rPr>
        <w:t>急于出售或者购买情况下的交易；</w:t>
      </w:r>
    </w:p>
    <w:p w14:paraId="44FB5280" w14:textId="77777777" w:rsidR="00495C65" w:rsidRDefault="00495C65" w:rsidP="00495C65">
      <w:pPr>
        <w:pStyle w:val="13"/>
      </w:pPr>
      <w:r w:rsidRPr="005B3474">
        <w:rPr>
          <w:rFonts w:hint="eastAsia"/>
        </w:rPr>
        <w:t>（</w:t>
      </w:r>
      <w:r>
        <w:t>3</w:t>
      </w:r>
      <w:r w:rsidRPr="005B3474">
        <w:t>）</w:t>
      </w:r>
      <w:r>
        <w:rPr>
          <w:rFonts w:hint="eastAsia"/>
        </w:rPr>
        <w:t>受债权债务关系影响的交易；</w:t>
      </w:r>
    </w:p>
    <w:p w14:paraId="7898E405" w14:textId="77777777" w:rsidR="00495C65" w:rsidRDefault="00495C65" w:rsidP="00495C65">
      <w:pPr>
        <w:pStyle w:val="13"/>
      </w:pPr>
      <w:r w:rsidRPr="005B3474">
        <w:rPr>
          <w:rFonts w:hint="eastAsia"/>
        </w:rPr>
        <w:t>（</w:t>
      </w:r>
      <w:r>
        <w:t>4</w:t>
      </w:r>
      <w:r w:rsidRPr="005B3474">
        <w:t>）</w:t>
      </w:r>
      <w:r>
        <w:rPr>
          <w:rFonts w:hint="eastAsia"/>
        </w:rPr>
        <w:t>交易双方或者一方获取的市场信息不全情况下的交易；</w:t>
      </w:r>
    </w:p>
    <w:p w14:paraId="1C7086C2" w14:textId="77777777" w:rsidR="00495C65" w:rsidRDefault="00495C65" w:rsidP="00495C65">
      <w:pPr>
        <w:pStyle w:val="13"/>
      </w:pPr>
      <w:r w:rsidRPr="005B3474">
        <w:rPr>
          <w:rFonts w:hint="eastAsia"/>
        </w:rPr>
        <w:t>（</w:t>
      </w:r>
      <w:r>
        <w:t>5</w:t>
      </w:r>
      <w:r w:rsidRPr="005B3474">
        <w:t>）</w:t>
      </w:r>
      <w:r>
        <w:rPr>
          <w:rFonts w:hint="eastAsia"/>
        </w:rPr>
        <w:t>交易双方或者一方有特别动机或者特别偏好的交易；</w:t>
      </w:r>
    </w:p>
    <w:p w14:paraId="23EE8C88" w14:textId="77777777" w:rsidR="00495C65" w:rsidRDefault="00495C65" w:rsidP="00495C65">
      <w:pPr>
        <w:pStyle w:val="13"/>
      </w:pPr>
      <w:r w:rsidRPr="005B3474">
        <w:rPr>
          <w:rFonts w:hint="eastAsia"/>
        </w:rPr>
        <w:t>（</w:t>
      </w:r>
      <w:r>
        <w:t>6</w:t>
      </w:r>
      <w:r w:rsidRPr="005B3474">
        <w:t>）</w:t>
      </w:r>
      <w:r>
        <w:rPr>
          <w:rFonts w:hint="eastAsia"/>
        </w:rPr>
        <w:t>相邻地块的合并交易。</w:t>
      </w:r>
    </w:p>
    <w:p w14:paraId="1191FEE6" w14:textId="77777777" w:rsidR="00495C65" w:rsidRDefault="00495C65" w:rsidP="00495C65">
      <w:pPr>
        <w:pStyle w:val="13"/>
      </w:pPr>
      <w:r w:rsidRPr="005B3474">
        <w:rPr>
          <w:rFonts w:hint="eastAsia"/>
        </w:rPr>
        <w:t>（</w:t>
      </w:r>
      <w:r>
        <w:t>7</w:t>
      </w:r>
      <w:r w:rsidRPr="005B3474">
        <w:t>）</w:t>
      </w:r>
      <w:r>
        <w:rPr>
          <w:rFonts w:hint="eastAsia"/>
        </w:rPr>
        <w:t>特殊方式的交易。</w:t>
      </w:r>
    </w:p>
    <w:p w14:paraId="28EC6797" w14:textId="77777777" w:rsidR="00495C65" w:rsidRDefault="00495C65" w:rsidP="00495C65">
      <w:pPr>
        <w:pStyle w:val="13"/>
      </w:pPr>
      <w:r w:rsidRPr="005B3474">
        <w:rPr>
          <w:rFonts w:hint="eastAsia"/>
        </w:rPr>
        <w:t>（</w:t>
      </w:r>
      <w:r>
        <w:t>8</w:t>
      </w:r>
      <w:r w:rsidRPr="005B3474">
        <w:t>）</w:t>
      </w:r>
      <w:r>
        <w:rPr>
          <w:rFonts w:hint="eastAsia"/>
        </w:rPr>
        <w:t>交易税费非正常负担的交易；</w:t>
      </w:r>
    </w:p>
    <w:p w14:paraId="104EE1E0" w14:textId="77777777" w:rsidR="00495C65" w:rsidRDefault="00495C65" w:rsidP="00495C65">
      <w:pPr>
        <w:pStyle w:val="13"/>
      </w:pPr>
      <w:r w:rsidRPr="005B3474">
        <w:rPr>
          <w:rFonts w:hint="eastAsia"/>
        </w:rPr>
        <w:t>（</w:t>
      </w:r>
      <w:r>
        <w:t>9</w:t>
      </w:r>
      <w:r w:rsidRPr="005B3474">
        <w:t>）</w:t>
      </w:r>
      <w:r>
        <w:rPr>
          <w:rFonts w:hint="eastAsia"/>
        </w:rPr>
        <w:t>其他非正常的交易。</w:t>
      </w:r>
    </w:p>
    <w:p w14:paraId="3D3C15EF" w14:textId="77777777" w:rsidR="00495C65" w:rsidRDefault="00495C65" w:rsidP="00495C65">
      <w:pPr>
        <w:pStyle w:val="13"/>
      </w:pPr>
      <w:r>
        <w:rPr>
          <w:rFonts w:hint="eastAsia"/>
        </w:rPr>
        <w:lastRenderedPageBreak/>
        <w:t>综合考虑</w:t>
      </w:r>
      <w:proofErr w:type="gramStart"/>
      <w:r>
        <w:rPr>
          <w:rFonts w:hint="eastAsia"/>
        </w:rPr>
        <w:t>各特殊</w:t>
      </w:r>
      <w:proofErr w:type="gramEnd"/>
      <w:r>
        <w:rPr>
          <w:rFonts w:hint="eastAsia"/>
        </w:rPr>
        <w:t>因素对地价的影响程度，确定宗地交易情况指数，交易情况修正公式见式（</w:t>
      </w:r>
      <w:r>
        <w:t>2）：</w:t>
      </w:r>
    </w:p>
    <w:p w14:paraId="45223735" w14:textId="77777777" w:rsidR="00495C65" w:rsidRDefault="00495C65" w:rsidP="00495C65">
      <w:pPr>
        <w:pStyle w:val="13"/>
        <w:ind w:firstLineChars="1400" w:firstLine="3360"/>
        <w:jc w:val="left"/>
      </w:pPr>
      <w:r w:rsidRPr="003C4617">
        <w:rPr>
          <w:i/>
          <w:iCs/>
        </w:rPr>
        <w:t>P</w:t>
      </w:r>
      <w:r w:rsidRPr="00643870">
        <w:rPr>
          <w:i/>
          <w:iCs/>
          <w:vertAlign w:val="subscript"/>
        </w:rPr>
        <w:t>E</w:t>
      </w:r>
      <w:r w:rsidRPr="003C4617">
        <w:rPr>
          <w:i/>
          <w:iCs/>
        </w:rPr>
        <w:t>=P</w:t>
      </w:r>
      <w:r w:rsidRPr="00643870">
        <w:rPr>
          <w:i/>
          <w:iCs/>
          <w:vertAlign w:val="subscript"/>
        </w:rPr>
        <w:t>0</w:t>
      </w:r>
      <w:r w:rsidRPr="003C4617">
        <w:rPr>
          <w:i/>
          <w:iCs/>
        </w:rPr>
        <w:t>×E</w:t>
      </w:r>
      <w:r w:rsidRPr="00643870">
        <w:rPr>
          <w:i/>
          <w:iCs/>
          <w:vertAlign w:val="subscript"/>
        </w:rPr>
        <w:t>p</w:t>
      </w:r>
      <w:r w:rsidRPr="003C4617">
        <w:rPr>
          <w:i/>
          <w:iCs/>
        </w:rPr>
        <w:t>/E</w:t>
      </w:r>
      <w:r w:rsidRPr="00643870">
        <w:rPr>
          <w:i/>
          <w:iCs/>
          <w:vertAlign w:val="subscript"/>
        </w:rPr>
        <w:t>E</w:t>
      </w:r>
      <w:r w:rsidRPr="003C4617">
        <w:rPr>
          <w:i/>
          <w:iCs/>
        </w:rPr>
        <w:t xml:space="preserve">            </w:t>
      </w:r>
      <w:r>
        <w:rPr>
          <w:i/>
          <w:iCs/>
        </w:rPr>
        <w:t xml:space="preserve">       </w:t>
      </w:r>
      <w:r w:rsidRPr="003C4617">
        <w:rPr>
          <w:i/>
          <w:iCs/>
        </w:rPr>
        <w:t xml:space="preserve">        </w:t>
      </w:r>
      <w:r w:rsidRPr="003C4617">
        <w:t>（</w:t>
      </w:r>
      <w:r>
        <w:t>2</w:t>
      </w:r>
      <w:r w:rsidRPr="003C4617">
        <w:t>）</w:t>
      </w:r>
    </w:p>
    <w:p w14:paraId="4CACCDBC" w14:textId="77777777" w:rsidR="00495C65" w:rsidRDefault="00495C65" w:rsidP="00495C65">
      <w:pPr>
        <w:pStyle w:val="13"/>
      </w:pPr>
      <w:r>
        <w:rPr>
          <w:rFonts w:hint="eastAsia"/>
        </w:rPr>
        <w:t>式中：</w:t>
      </w:r>
    </w:p>
    <w:p w14:paraId="1C5D8B34" w14:textId="77777777" w:rsidR="00495C65" w:rsidRPr="009D68DE" w:rsidRDefault="00495C65" w:rsidP="00495C65">
      <w:pPr>
        <w:pStyle w:val="13"/>
        <w:ind w:firstLineChars="500" w:firstLine="1200"/>
        <w:rPr>
          <w:i/>
          <w:iCs/>
        </w:rPr>
      </w:pPr>
      <w:r w:rsidRPr="003C4617">
        <w:rPr>
          <w:i/>
          <w:iCs/>
        </w:rPr>
        <w:t>P</w:t>
      </w:r>
      <w:r w:rsidRPr="009D68DE">
        <w:rPr>
          <w:i/>
          <w:iCs/>
          <w:vertAlign w:val="subscript"/>
        </w:rPr>
        <w:t>E</w:t>
      </w:r>
      <w:proofErr w:type="gramStart"/>
      <w:r w:rsidRPr="00EE26AB">
        <w:t>—交易</w:t>
      </w:r>
      <w:proofErr w:type="gramEnd"/>
      <w:r w:rsidRPr="00EE26AB">
        <w:t>情况修正后比较实例价格；</w:t>
      </w:r>
    </w:p>
    <w:p w14:paraId="4BB1FE91" w14:textId="77777777" w:rsidR="00495C65" w:rsidRPr="00EE26AB" w:rsidRDefault="00495C65" w:rsidP="00495C65">
      <w:pPr>
        <w:pStyle w:val="13"/>
        <w:ind w:firstLineChars="500" w:firstLine="1200"/>
      </w:pPr>
      <w:r w:rsidRPr="003C4617">
        <w:rPr>
          <w:i/>
          <w:iCs/>
        </w:rPr>
        <w:t>P</w:t>
      </w:r>
      <w:r w:rsidRPr="009D68DE">
        <w:rPr>
          <w:i/>
          <w:iCs/>
          <w:vertAlign w:val="subscript"/>
        </w:rPr>
        <w:t>0</w:t>
      </w:r>
      <w:proofErr w:type="gramStart"/>
      <w:r w:rsidRPr="00EE26AB">
        <w:t>—交易</w:t>
      </w:r>
      <w:proofErr w:type="gramEnd"/>
      <w:r w:rsidRPr="00EE26AB">
        <w:t>情况修正前比较实例价格；</w:t>
      </w:r>
    </w:p>
    <w:p w14:paraId="067FCEC1" w14:textId="77777777" w:rsidR="00495C65" w:rsidRPr="009D68DE" w:rsidRDefault="00495C65" w:rsidP="00495C65">
      <w:pPr>
        <w:pStyle w:val="13"/>
        <w:ind w:firstLineChars="500" w:firstLine="1200"/>
        <w:rPr>
          <w:i/>
          <w:iCs/>
        </w:rPr>
      </w:pPr>
      <w:r w:rsidRPr="003C4617">
        <w:rPr>
          <w:i/>
          <w:iCs/>
        </w:rPr>
        <w:t>E</w:t>
      </w:r>
      <w:r w:rsidRPr="009D68DE">
        <w:rPr>
          <w:i/>
          <w:iCs/>
          <w:vertAlign w:val="subscript"/>
        </w:rPr>
        <w:t>p</w:t>
      </w:r>
      <w:proofErr w:type="gramStart"/>
      <w:r w:rsidRPr="00EE26AB">
        <w:t>—待估</w:t>
      </w:r>
      <w:proofErr w:type="gramEnd"/>
      <w:r w:rsidRPr="00EE26AB">
        <w:t>宗地情况指数；</w:t>
      </w:r>
    </w:p>
    <w:p w14:paraId="702B7FED" w14:textId="77777777" w:rsidR="00495C65" w:rsidRPr="009D68DE" w:rsidRDefault="00495C65" w:rsidP="00495C65">
      <w:pPr>
        <w:pStyle w:val="13"/>
        <w:ind w:firstLineChars="500" w:firstLine="1200"/>
        <w:rPr>
          <w:i/>
          <w:iCs/>
        </w:rPr>
      </w:pPr>
      <w:r w:rsidRPr="003C4617">
        <w:rPr>
          <w:i/>
          <w:iCs/>
        </w:rPr>
        <w:t>E</w:t>
      </w:r>
      <w:r w:rsidRPr="009D68DE">
        <w:rPr>
          <w:i/>
          <w:iCs/>
          <w:vertAlign w:val="subscript"/>
        </w:rPr>
        <w:t>E</w:t>
      </w:r>
      <w:proofErr w:type="gramStart"/>
      <w:r w:rsidRPr="00EE26AB">
        <w:t>—比较</w:t>
      </w:r>
      <w:proofErr w:type="gramEnd"/>
      <w:r w:rsidRPr="00EE26AB">
        <w:t>实例宗地交易情况指数。</w:t>
      </w:r>
    </w:p>
    <w:p w14:paraId="4FD7A1AE" w14:textId="77777777" w:rsidR="00495C65" w:rsidRDefault="00495C65" w:rsidP="00495C65">
      <w:pPr>
        <w:pStyle w:val="13"/>
      </w:pPr>
      <w:r>
        <w:rPr>
          <w:rFonts w:hint="eastAsia"/>
        </w:rPr>
        <w:t>6</w:t>
      </w:r>
      <w:r>
        <w:t>.1.7</w:t>
      </w:r>
      <w:r>
        <w:rPr>
          <w:rFonts w:hint="eastAsia"/>
        </w:rPr>
        <w:t>估价期日修正</w:t>
      </w:r>
    </w:p>
    <w:p w14:paraId="1E627059" w14:textId="77777777" w:rsidR="00495C65" w:rsidRDefault="00495C65" w:rsidP="00495C65">
      <w:pPr>
        <w:pStyle w:val="13"/>
      </w:pPr>
      <w:r>
        <w:rPr>
          <w:rFonts w:hint="eastAsia"/>
        </w:rPr>
        <w:t>估价期日修正是将比较实例在其成交日期的价格调整为估价期日的价格。通常用地价指数进行修正。修正公式见式（</w:t>
      </w:r>
      <w:r>
        <w:t>3）：</w:t>
      </w:r>
    </w:p>
    <w:p w14:paraId="417CBB88" w14:textId="77777777" w:rsidR="00495C65" w:rsidRPr="00BF42FE" w:rsidRDefault="00495C65" w:rsidP="00495C65">
      <w:pPr>
        <w:pStyle w:val="13"/>
        <w:ind w:firstLineChars="1400" w:firstLine="3360"/>
        <w:jc w:val="left"/>
        <w:rPr>
          <w:i/>
          <w:iCs/>
        </w:rPr>
      </w:pPr>
      <w:r w:rsidRPr="00BF42FE">
        <w:rPr>
          <w:i/>
          <w:iCs/>
        </w:rPr>
        <w:t>P</w:t>
      </w:r>
      <w:r w:rsidRPr="00027FB9">
        <w:rPr>
          <w:i/>
          <w:iCs/>
          <w:vertAlign w:val="subscript"/>
        </w:rPr>
        <w:t>E</w:t>
      </w:r>
      <w:r w:rsidRPr="00BF42FE">
        <w:rPr>
          <w:i/>
          <w:iCs/>
        </w:rPr>
        <w:t>=P</w:t>
      </w:r>
      <w:r w:rsidRPr="00027FB9">
        <w:rPr>
          <w:i/>
          <w:iCs/>
          <w:vertAlign w:val="subscript"/>
        </w:rPr>
        <w:t>0</w:t>
      </w:r>
      <w:r w:rsidRPr="00BF42FE">
        <w:rPr>
          <w:i/>
          <w:iCs/>
        </w:rPr>
        <w:t>×Q/Q</w:t>
      </w:r>
      <w:r w:rsidRPr="00027FB9">
        <w:rPr>
          <w:i/>
          <w:iCs/>
          <w:vertAlign w:val="subscript"/>
        </w:rPr>
        <w:t>0</w:t>
      </w:r>
      <w:r>
        <w:rPr>
          <w:i/>
          <w:iCs/>
        </w:rPr>
        <w:t xml:space="preserve">                              </w:t>
      </w:r>
      <w:r w:rsidRPr="00BF42FE">
        <w:rPr>
          <w:rFonts w:hint="eastAsia"/>
        </w:rPr>
        <w:t>（3）</w:t>
      </w:r>
    </w:p>
    <w:p w14:paraId="693328E5" w14:textId="77777777" w:rsidR="00495C65" w:rsidRDefault="00495C65" w:rsidP="00495C65">
      <w:pPr>
        <w:pStyle w:val="13"/>
      </w:pPr>
      <w:r w:rsidRPr="00251F5C">
        <w:t>式中：</w:t>
      </w:r>
    </w:p>
    <w:p w14:paraId="6AB4C6E2" w14:textId="77777777" w:rsidR="00495C65" w:rsidRDefault="00495C65" w:rsidP="00495C65">
      <w:pPr>
        <w:pStyle w:val="13"/>
        <w:ind w:firstLineChars="500" w:firstLine="1200"/>
      </w:pPr>
      <w:r w:rsidRPr="00B02FC4">
        <w:rPr>
          <w:i/>
          <w:iCs/>
        </w:rPr>
        <w:t>P</w:t>
      </w:r>
      <w:r w:rsidRPr="00B02FC4">
        <w:rPr>
          <w:i/>
          <w:iCs/>
          <w:vertAlign w:val="subscript"/>
        </w:rPr>
        <w:t>E</w:t>
      </w:r>
      <w:r w:rsidRPr="00251F5C">
        <w:t>—估价期日修正后比较实例价格；</w:t>
      </w:r>
    </w:p>
    <w:p w14:paraId="343EC94F" w14:textId="77777777" w:rsidR="00495C65" w:rsidRDefault="00495C65" w:rsidP="00495C65">
      <w:pPr>
        <w:pStyle w:val="13"/>
        <w:ind w:firstLineChars="500" w:firstLine="1200"/>
      </w:pPr>
      <w:r w:rsidRPr="00B02FC4">
        <w:rPr>
          <w:i/>
          <w:iCs/>
        </w:rPr>
        <w:t>P</w:t>
      </w:r>
      <w:r w:rsidRPr="00B02FC4">
        <w:rPr>
          <w:i/>
          <w:iCs/>
          <w:vertAlign w:val="subscript"/>
        </w:rPr>
        <w:t>0</w:t>
      </w:r>
      <w:r w:rsidRPr="00251F5C">
        <w:t>—估价期日修正前比较实例价格；</w:t>
      </w:r>
    </w:p>
    <w:p w14:paraId="67BDA32E" w14:textId="77777777" w:rsidR="00495C65" w:rsidRDefault="00495C65" w:rsidP="00495C65">
      <w:pPr>
        <w:pStyle w:val="13"/>
        <w:ind w:firstLineChars="500" w:firstLine="1200"/>
      </w:pPr>
      <w:r w:rsidRPr="00B02FC4">
        <w:rPr>
          <w:i/>
          <w:iCs/>
        </w:rPr>
        <w:t>Q</w:t>
      </w:r>
      <w:proofErr w:type="gramStart"/>
      <w:r w:rsidRPr="00251F5C">
        <w:t>—待估</w:t>
      </w:r>
      <w:proofErr w:type="gramEnd"/>
      <w:r w:rsidRPr="00251F5C">
        <w:t>宗地估价期日地价指数；</w:t>
      </w:r>
    </w:p>
    <w:p w14:paraId="712A007D" w14:textId="77777777" w:rsidR="00495C65" w:rsidRPr="00251F5C" w:rsidRDefault="00495C65" w:rsidP="00495C65">
      <w:pPr>
        <w:pStyle w:val="13"/>
        <w:ind w:firstLineChars="500" w:firstLine="1200"/>
      </w:pPr>
      <w:r w:rsidRPr="00B02FC4">
        <w:rPr>
          <w:i/>
          <w:iCs/>
        </w:rPr>
        <w:t>Q</w:t>
      </w:r>
      <w:r w:rsidRPr="00B02FC4">
        <w:rPr>
          <w:i/>
          <w:iCs/>
          <w:vertAlign w:val="subscript"/>
        </w:rPr>
        <w:t>0</w:t>
      </w:r>
      <w:proofErr w:type="gramStart"/>
      <w:r w:rsidRPr="00251F5C">
        <w:t>—比较</w:t>
      </w:r>
      <w:proofErr w:type="gramEnd"/>
      <w:r w:rsidRPr="00251F5C">
        <w:t>实例交易期日地价指数。</w:t>
      </w:r>
    </w:p>
    <w:p w14:paraId="7361A103" w14:textId="77777777" w:rsidR="00495C65" w:rsidRPr="00251F5C" w:rsidRDefault="00495C65" w:rsidP="00495C65">
      <w:pPr>
        <w:pStyle w:val="13"/>
        <w:ind w:firstLineChars="500" w:firstLine="1200"/>
      </w:pPr>
      <w:r w:rsidRPr="00251F5C">
        <w:t>地价指数的编制应符合TD/T1009-2007的有关要求。</w:t>
      </w:r>
    </w:p>
    <w:p w14:paraId="036AD59F" w14:textId="77777777" w:rsidR="00495C65" w:rsidRPr="00251F5C" w:rsidRDefault="00495C65" w:rsidP="00495C65">
      <w:pPr>
        <w:pStyle w:val="13"/>
      </w:pPr>
      <w:r>
        <w:rPr>
          <w:rFonts w:hint="eastAsia"/>
        </w:rPr>
        <w:t>6</w:t>
      </w:r>
      <w:r>
        <w:t>.1.8</w:t>
      </w:r>
      <w:r w:rsidRPr="00251F5C">
        <w:t>区域因素修正</w:t>
      </w:r>
    </w:p>
    <w:p w14:paraId="3491ED09" w14:textId="77777777" w:rsidR="00495C65" w:rsidRPr="00251F5C" w:rsidRDefault="00495C65" w:rsidP="00495C65">
      <w:pPr>
        <w:pStyle w:val="13"/>
      </w:pPr>
      <w:r w:rsidRPr="00251F5C">
        <w:t>区域因素修正是将比较实例在其外部区域条件下的价格调整</w:t>
      </w:r>
      <w:proofErr w:type="gramStart"/>
      <w:r w:rsidRPr="00251F5C">
        <w:t>为待估宗地</w:t>
      </w:r>
      <w:proofErr w:type="gramEnd"/>
      <w:r w:rsidRPr="00251F5C">
        <w:t>外部区域条件下的价格。</w:t>
      </w:r>
    </w:p>
    <w:p w14:paraId="5D3F358E" w14:textId="77777777" w:rsidR="00495C65" w:rsidRDefault="00495C65" w:rsidP="00495C65">
      <w:pPr>
        <w:pStyle w:val="13"/>
      </w:pPr>
      <w:r w:rsidRPr="00251F5C">
        <w:t>区域因素修正的主要因子有商服繁华程度、产业聚集程度、交通条件、公用设施及</w:t>
      </w:r>
      <w:r>
        <w:rPr>
          <w:rFonts w:hint="eastAsia"/>
        </w:rPr>
        <w:t>基础设施水平、区域环境条件、城镇规划、土地使用限制等。不同用途的土地，影响其价格的区域因子不同，区域因素修正的具体因子应根据估价对象的用途确定。综合考虑区域因素中的各因子对地价的影响程度确定区域因素条件指数，修正公式见式（</w:t>
      </w:r>
      <w:r>
        <w:t>4）：</w:t>
      </w:r>
    </w:p>
    <w:p w14:paraId="5CF666C5" w14:textId="77777777" w:rsidR="00495C65" w:rsidRPr="005D5595" w:rsidRDefault="00495C65" w:rsidP="00495C65">
      <w:pPr>
        <w:pStyle w:val="13"/>
        <w:ind w:firstLineChars="1400" w:firstLine="3360"/>
        <w:jc w:val="left"/>
        <w:rPr>
          <w:i/>
          <w:iCs/>
        </w:rPr>
      </w:pPr>
      <w:r w:rsidRPr="005D5595">
        <w:rPr>
          <w:i/>
          <w:iCs/>
        </w:rPr>
        <w:t>P</w:t>
      </w:r>
      <w:r w:rsidRPr="00E22E7C">
        <w:rPr>
          <w:i/>
          <w:iCs/>
          <w:vertAlign w:val="subscript"/>
        </w:rPr>
        <w:t>E</w:t>
      </w:r>
      <w:r w:rsidRPr="005D5595">
        <w:rPr>
          <w:i/>
          <w:iCs/>
        </w:rPr>
        <w:t>=P</w:t>
      </w:r>
      <w:r w:rsidRPr="00E22E7C">
        <w:rPr>
          <w:i/>
          <w:iCs/>
          <w:vertAlign w:val="subscript"/>
        </w:rPr>
        <w:t>0</w:t>
      </w:r>
      <w:r w:rsidRPr="005D5595">
        <w:rPr>
          <w:i/>
          <w:iCs/>
        </w:rPr>
        <w:t>×D</w:t>
      </w:r>
      <w:r w:rsidRPr="00E22E7C">
        <w:rPr>
          <w:i/>
          <w:iCs/>
          <w:vertAlign w:val="subscript"/>
        </w:rPr>
        <w:t>P</w:t>
      </w:r>
      <w:r w:rsidRPr="005D5595">
        <w:rPr>
          <w:i/>
          <w:iCs/>
        </w:rPr>
        <w:t>/D</w:t>
      </w:r>
      <w:r w:rsidRPr="00E22E7C">
        <w:rPr>
          <w:i/>
          <w:iCs/>
          <w:vertAlign w:val="subscript"/>
        </w:rPr>
        <w:t>E</w:t>
      </w:r>
      <w:r w:rsidRPr="005D5595">
        <w:rPr>
          <w:i/>
          <w:iCs/>
        </w:rPr>
        <w:t xml:space="preserve">     </w:t>
      </w:r>
      <w:r>
        <w:rPr>
          <w:i/>
          <w:iCs/>
        </w:rPr>
        <w:t xml:space="preserve">              </w:t>
      </w:r>
      <w:r w:rsidRPr="005D5595">
        <w:rPr>
          <w:i/>
          <w:iCs/>
        </w:rPr>
        <w:t xml:space="preserve">        </w:t>
      </w:r>
      <w:r w:rsidRPr="005D5595">
        <w:t>（4）</w:t>
      </w:r>
    </w:p>
    <w:p w14:paraId="73D179C4" w14:textId="77777777" w:rsidR="00495C65" w:rsidRDefault="00495C65" w:rsidP="00495C65">
      <w:pPr>
        <w:pStyle w:val="13"/>
      </w:pPr>
      <w:r>
        <w:rPr>
          <w:rFonts w:hint="eastAsia"/>
        </w:rPr>
        <w:t>式中：</w:t>
      </w:r>
    </w:p>
    <w:p w14:paraId="46394B1D" w14:textId="77777777" w:rsidR="00495C65" w:rsidRDefault="00495C65" w:rsidP="00495C65">
      <w:pPr>
        <w:pStyle w:val="13"/>
        <w:ind w:firstLineChars="500" w:firstLine="1200"/>
      </w:pPr>
      <w:r w:rsidRPr="00B02FC4">
        <w:rPr>
          <w:i/>
          <w:iCs/>
        </w:rPr>
        <w:t>P</w:t>
      </w:r>
      <w:r w:rsidRPr="00B02FC4">
        <w:rPr>
          <w:i/>
          <w:iCs/>
          <w:vertAlign w:val="subscript"/>
        </w:rPr>
        <w:t>E</w:t>
      </w:r>
      <w:r>
        <w:t>—区域因素修正后比较实例价格；</w:t>
      </w:r>
    </w:p>
    <w:p w14:paraId="1F037B91" w14:textId="77777777" w:rsidR="00495C65" w:rsidRDefault="00495C65" w:rsidP="00495C65">
      <w:pPr>
        <w:pStyle w:val="13"/>
        <w:ind w:firstLineChars="500" w:firstLine="1200"/>
      </w:pPr>
      <w:r w:rsidRPr="00B02FC4">
        <w:rPr>
          <w:i/>
          <w:iCs/>
        </w:rPr>
        <w:t>P</w:t>
      </w:r>
      <w:r w:rsidRPr="00B02FC4">
        <w:rPr>
          <w:i/>
          <w:iCs/>
          <w:vertAlign w:val="subscript"/>
        </w:rPr>
        <w:t>0</w:t>
      </w:r>
      <w:r>
        <w:t>—区域因素修正前比较实例价格；</w:t>
      </w:r>
    </w:p>
    <w:p w14:paraId="63A82FF5" w14:textId="77777777" w:rsidR="00495C65" w:rsidRDefault="00495C65" w:rsidP="00495C65">
      <w:pPr>
        <w:pStyle w:val="13"/>
        <w:ind w:firstLineChars="500" w:firstLine="1200"/>
      </w:pPr>
      <w:r w:rsidRPr="00B02FC4">
        <w:rPr>
          <w:i/>
          <w:iCs/>
        </w:rPr>
        <w:t>D</w:t>
      </w:r>
      <w:r w:rsidRPr="00B02FC4">
        <w:rPr>
          <w:i/>
          <w:iCs/>
          <w:vertAlign w:val="subscript"/>
        </w:rPr>
        <w:t>P</w:t>
      </w:r>
      <w:proofErr w:type="gramStart"/>
      <w:r>
        <w:t>—待估</w:t>
      </w:r>
      <w:proofErr w:type="gramEnd"/>
      <w:r>
        <w:t>宗地区域因素条件指数；</w:t>
      </w:r>
    </w:p>
    <w:p w14:paraId="4644B261" w14:textId="77777777" w:rsidR="00495C65" w:rsidRDefault="00495C65" w:rsidP="00495C65">
      <w:pPr>
        <w:pStyle w:val="13"/>
        <w:ind w:firstLineChars="500" w:firstLine="1200"/>
      </w:pPr>
      <w:r w:rsidRPr="00B02FC4">
        <w:rPr>
          <w:i/>
          <w:iCs/>
        </w:rPr>
        <w:t>D</w:t>
      </w:r>
      <w:r w:rsidRPr="00B02FC4">
        <w:rPr>
          <w:i/>
          <w:iCs/>
          <w:vertAlign w:val="subscript"/>
        </w:rPr>
        <w:t>E</w:t>
      </w:r>
      <w:proofErr w:type="gramStart"/>
      <w:r>
        <w:t>—比较</w:t>
      </w:r>
      <w:proofErr w:type="gramEnd"/>
      <w:r>
        <w:t>实例宗地区域因素条件指数。</w:t>
      </w:r>
    </w:p>
    <w:p w14:paraId="547C0E0D" w14:textId="77777777" w:rsidR="00495C65" w:rsidRDefault="00495C65" w:rsidP="00495C65">
      <w:pPr>
        <w:pStyle w:val="13"/>
      </w:pPr>
      <w:r>
        <w:rPr>
          <w:rFonts w:hint="eastAsia"/>
        </w:rPr>
        <w:t>6</w:t>
      </w:r>
      <w:r>
        <w:t>.1.9</w:t>
      </w:r>
      <w:r>
        <w:rPr>
          <w:rFonts w:hint="eastAsia"/>
        </w:rPr>
        <w:t>个别因素修正</w:t>
      </w:r>
    </w:p>
    <w:p w14:paraId="3633E842" w14:textId="77777777" w:rsidR="00495C65" w:rsidRDefault="00495C65" w:rsidP="00495C65">
      <w:pPr>
        <w:pStyle w:val="13"/>
      </w:pPr>
      <w:r>
        <w:rPr>
          <w:rFonts w:hint="eastAsia"/>
        </w:rPr>
        <w:t>个别因素修正是将比较实例在其个体状况下的价格调整</w:t>
      </w:r>
      <w:proofErr w:type="gramStart"/>
      <w:r>
        <w:rPr>
          <w:rFonts w:hint="eastAsia"/>
        </w:rPr>
        <w:t>为待估宗地</w:t>
      </w:r>
      <w:proofErr w:type="gramEnd"/>
      <w:r>
        <w:rPr>
          <w:rFonts w:hint="eastAsia"/>
        </w:rPr>
        <w:t>个体状况下</w:t>
      </w:r>
      <w:r>
        <w:rPr>
          <w:rFonts w:hint="eastAsia"/>
        </w:rPr>
        <w:lastRenderedPageBreak/>
        <w:t>的价格。</w:t>
      </w:r>
    </w:p>
    <w:p w14:paraId="0061F629" w14:textId="77777777" w:rsidR="00495C65" w:rsidRDefault="00495C65" w:rsidP="00495C65">
      <w:pPr>
        <w:pStyle w:val="13"/>
      </w:pPr>
      <w:r>
        <w:rPr>
          <w:rFonts w:hint="eastAsia"/>
        </w:rPr>
        <w:t>个别因素修正的主要因子包括：宗地位置、面积、形状、临街状况、宗地内基础设施水平、地势、地质、水文状况、容积率、其他规划限制条件等。个别因素修正的具体因子应根据估价对象的用途确定。综合考虑个别因素中的各因子对地价的影响程度确定个别因素条件指数，修正公式见式（</w:t>
      </w:r>
      <w:r>
        <w:t>5）：</w:t>
      </w:r>
    </w:p>
    <w:p w14:paraId="492D2FA0" w14:textId="77777777" w:rsidR="00495C65" w:rsidRPr="00197AAC" w:rsidRDefault="00495C65" w:rsidP="00495C65">
      <w:pPr>
        <w:pStyle w:val="13"/>
        <w:ind w:firstLineChars="1400" w:firstLine="3360"/>
        <w:jc w:val="left"/>
      </w:pPr>
      <w:r w:rsidRPr="00197AAC">
        <w:rPr>
          <w:i/>
          <w:iCs/>
        </w:rPr>
        <w:t>P</w:t>
      </w:r>
      <w:r w:rsidRPr="00197AAC">
        <w:rPr>
          <w:i/>
          <w:iCs/>
          <w:vertAlign w:val="subscript"/>
        </w:rPr>
        <w:t>E</w:t>
      </w:r>
      <w:r w:rsidRPr="00197AAC">
        <w:rPr>
          <w:i/>
          <w:iCs/>
        </w:rPr>
        <w:t>=P</w:t>
      </w:r>
      <w:r w:rsidRPr="00197AAC">
        <w:rPr>
          <w:i/>
          <w:iCs/>
          <w:vertAlign w:val="subscript"/>
        </w:rPr>
        <w:t>0</w:t>
      </w:r>
      <w:r w:rsidRPr="00197AAC">
        <w:rPr>
          <w:i/>
          <w:iCs/>
        </w:rPr>
        <w:t>×S</w:t>
      </w:r>
      <w:r w:rsidRPr="00197AAC">
        <w:rPr>
          <w:i/>
          <w:iCs/>
          <w:vertAlign w:val="subscript"/>
        </w:rPr>
        <w:t>P</w:t>
      </w:r>
      <w:r w:rsidRPr="00197AAC">
        <w:rPr>
          <w:i/>
          <w:iCs/>
        </w:rPr>
        <w:t>/S</w:t>
      </w:r>
      <w:r w:rsidRPr="00197AAC">
        <w:rPr>
          <w:i/>
          <w:iCs/>
          <w:vertAlign w:val="subscript"/>
        </w:rPr>
        <w:t>E</w:t>
      </w:r>
      <w:r>
        <w:rPr>
          <w:i/>
          <w:iCs/>
        </w:rPr>
        <w:t xml:space="preserve">                             </w:t>
      </w:r>
      <w:r w:rsidRPr="00197AAC">
        <w:t>（5）</w:t>
      </w:r>
    </w:p>
    <w:p w14:paraId="6588F7D3" w14:textId="77777777" w:rsidR="00495C65" w:rsidRDefault="00495C65" w:rsidP="00495C65">
      <w:pPr>
        <w:pStyle w:val="13"/>
      </w:pPr>
      <w:r>
        <w:rPr>
          <w:rFonts w:hint="eastAsia"/>
        </w:rPr>
        <w:t>式中：</w:t>
      </w:r>
    </w:p>
    <w:p w14:paraId="529834B0" w14:textId="77777777" w:rsidR="00495C65" w:rsidRDefault="00495C65" w:rsidP="00495C65">
      <w:pPr>
        <w:pStyle w:val="13"/>
        <w:ind w:firstLineChars="500" w:firstLine="1200"/>
      </w:pPr>
      <w:r w:rsidRPr="00B02FC4">
        <w:rPr>
          <w:i/>
          <w:iCs/>
        </w:rPr>
        <w:t>P</w:t>
      </w:r>
      <w:r w:rsidRPr="00B02FC4">
        <w:rPr>
          <w:i/>
          <w:iCs/>
          <w:vertAlign w:val="subscript"/>
        </w:rPr>
        <w:t>E</w:t>
      </w:r>
      <w:r>
        <w:t>—个别因素修正后比较实例价格；</w:t>
      </w:r>
    </w:p>
    <w:p w14:paraId="342A3861" w14:textId="77777777" w:rsidR="00495C65" w:rsidRDefault="00495C65" w:rsidP="00495C65">
      <w:pPr>
        <w:pStyle w:val="13"/>
        <w:ind w:firstLineChars="500" w:firstLine="1200"/>
      </w:pPr>
      <w:r w:rsidRPr="00B02FC4">
        <w:rPr>
          <w:i/>
          <w:iCs/>
        </w:rPr>
        <w:t>P</w:t>
      </w:r>
      <w:r w:rsidRPr="00B02FC4">
        <w:rPr>
          <w:i/>
          <w:iCs/>
          <w:vertAlign w:val="subscript"/>
        </w:rPr>
        <w:t>0</w:t>
      </w:r>
      <w:r>
        <w:t>—个别因素修正前比较实例价格；</w:t>
      </w:r>
    </w:p>
    <w:p w14:paraId="52C19F0E" w14:textId="77777777" w:rsidR="00495C65" w:rsidRDefault="00495C65" w:rsidP="00495C65">
      <w:pPr>
        <w:pStyle w:val="13"/>
        <w:ind w:firstLineChars="500" w:firstLine="1200"/>
      </w:pPr>
      <w:r w:rsidRPr="00B02FC4">
        <w:rPr>
          <w:i/>
          <w:iCs/>
        </w:rPr>
        <w:t>S</w:t>
      </w:r>
      <w:r w:rsidRPr="00B02FC4">
        <w:rPr>
          <w:i/>
          <w:iCs/>
          <w:vertAlign w:val="subscript"/>
        </w:rPr>
        <w:t>P</w:t>
      </w:r>
      <w:proofErr w:type="gramStart"/>
      <w:r>
        <w:t>—待估</w:t>
      </w:r>
      <w:proofErr w:type="gramEnd"/>
      <w:r>
        <w:t>宗地个别因素条件指数；</w:t>
      </w:r>
    </w:p>
    <w:p w14:paraId="68FFB04E" w14:textId="77777777" w:rsidR="00495C65" w:rsidRDefault="00495C65" w:rsidP="00495C65">
      <w:pPr>
        <w:pStyle w:val="13"/>
        <w:ind w:firstLineChars="500" w:firstLine="1200"/>
      </w:pPr>
      <w:r w:rsidRPr="00B02FC4">
        <w:rPr>
          <w:i/>
          <w:iCs/>
        </w:rPr>
        <w:t>S</w:t>
      </w:r>
      <w:r w:rsidRPr="00B02FC4">
        <w:rPr>
          <w:i/>
          <w:iCs/>
          <w:vertAlign w:val="subscript"/>
        </w:rPr>
        <w:t>E</w:t>
      </w:r>
      <w:proofErr w:type="gramStart"/>
      <w:r>
        <w:t>—比较</w:t>
      </w:r>
      <w:proofErr w:type="gramEnd"/>
      <w:r>
        <w:t>实例宗地个别因素条件指数。</w:t>
      </w:r>
    </w:p>
    <w:p w14:paraId="341B8078" w14:textId="77777777" w:rsidR="00495C65" w:rsidRDefault="00495C65" w:rsidP="00495C65">
      <w:pPr>
        <w:pStyle w:val="13"/>
      </w:pPr>
      <w:r>
        <w:rPr>
          <w:rFonts w:hint="eastAsia"/>
        </w:rPr>
        <w:t>当容积率对地价的影响较大时，应单独修正。</w:t>
      </w:r>
    </w:p>
    <w:p w14:paraId="1E1C5729" w14:textId="77777777" w:rsidR="00495C65" w:rsidRDefault="00495C65" w:rsidP="00495C65">
      <w:pPr>
        <w:pStyle w:val="13"/>
      </w:pPr>
      <w:r>
        <w:rPr>
          <w:rFonts w:hint="eastAsia"/>
        </w:rPr>
        <w:t>6</w:t>
      </w:r>
      <w:r>
        <w:t>.1.10</w:t>
      </w:r>
      <w:r>
        <w:rPr>
          <w:rFonts w:hint="eastAsia"/>
        </w:rPr>
        <w:t>土地使用年期等修正</w:t>
      </w:r>
    </w:p>
    <w:p w14:paraId="40487206" w14:textId="77777777" w:rsidR="00495C65" w:rsidRDefault="00495C65" w:rsidP="00495C65">
      <w:pPr>
        <w:pStyle w:val="13"/>
      </w:pPr>
      <w:r>
        <w:rPr>
          <w:rFonts w:hint="eastAsia"/>
        </w:rPr>
        <w:t>土地使用年期修正是将</w:t>
      </w:r>
      <w:proofErr w:type="gramStart"/>
      <w:r>
        <w:rPr>
          <w:rFonts w:hint="eastAsia"/>
        </w:rPr>
        <w:t>各比较</w:t>
      </w:r>
      <w:proofErr w:type="gramEnd"/>
      <w:r>
        <w:rPr>
          <w:rFonts w:hint="eastAsia"/>
        </w:rPr>
        <w:t>实例的不同使用年期修正</w:t>
      </w:r>
      <w:proofErr w:type="gramStart"/>
      <w:r>
        <w:rPr>
          <w:rFonts w:hint="eastAsia"/>
        </w:rPr>
        <w:t>到待估宗地</w:t>
      </w:r>
      <w:proofErr w:type="gramEnd"/>
      <w:r>
        <w:rPr>
          <w:rFonts w:hint="eastAsia"/>
        </w:rPr>
        <w:t>使用年期限，以消除因土地使用年期不同而对价格带来的影响。修正公式见式（</w:t>
      </w:r>
      <w:r>
        <w:t>6）：</w:t>
      </w:r>
    </w:p>
    <w:p w14:paraId="364B1783" w14:textId="77777777" w:rsidR="00495C65" w:rsidRPr="00267CC6" w:rsidRDefault="00495C65" w:rsidP="00495C65">
      <w:pPr>
        <w:pStyle w:val="13"/>
        <w:ind w:firstLineChars="1400" w:firstLine="3360"/>
        <w:jc w:val="left"/>
        <w:rPr>
          <w:i/>
          <w:iCs/>
        </w:rPr>
      </w:pPr>
      <w:r w:rsidRPr="00267CC6">
        <w:rPr>
          <w:i/>
          <w:iCs/>
        </w:rPr>
        <w:t>P</w:t>
      </w:r>
      <w:r w:rsidRPr="00267CC6">
        <w:rPr>
          <w:i/>
          <w:iCs/>
          <w:vertAlign w:val="subscript"/>
        </w:rPr>
        <w:t>t</w:t>
      </w:r>
      <w:r w:rsidRPr="00267CC6">
        <w:rPr>
          <w:i/>
          <w:iCs/>
        </w:rPr>
        <w:t>=P</w:t>
      </w:r>
      <w:r w:rsidRPr="00267CC6">
        <w:rPr>
          <w:i/>
          <w:iCs/>
          <w:vertAlign w:val="subscript"/>
        </w:rPr>
        <w:t>0</w:t>
      </w:r>
      <w:r w:rsidRPr="00267CC6">
        <w:rPr>
          <w:i/>
          <w:iCs/>
        </w:rPr>
        <w:t>×K</w:t>
      </w:r>
      <w:r>
        <w:rPr>
          <w:i/>
          <w:iCs/>
        </w:rPr>
        <w:t xml:space="preserve">                                </w:t>
      </w:r>
      <w:r w:rsidRPr="00267CC6">
        <w:t>（6）</w:t>
      </w:r>
    </w:p>
    <w:p w14:paraId="79D1D36E" w14:textId="77777777" w:rsidR="00495C65" w:rsidRDefault="00495C65" w:rsidP="00495C65">
      <w:pPr>
        <w:pStyle w:val="13"/>
      </w:pPr>
      <w:r>
        <w:rPr>
          <w:rFonts w:hint="eastAsia"/>
        </w:rPr>
        <w:t>式中：</w:t>
      </w:r>
    </w:p>
    <w:p w14:paraId="01A910CF" w14:textId="77777777" w:rsidR="00495C65" w:rsidRDefault="00495C65" w:rsidP="00495C65">
      <w:pPr>
        <w:pStyle w:val="13"/>
        <w:ind w:firstLineChars="500" w:firstLine="1200"/>
      </w:pPr>
      <w:r w:rsidRPr="00B02FC4">
        <w:rPr>
          <w:i/>
          <w:iCs/>
        </w:rPr>
        <w:t>P</w:t>
      </w:r>
      <w:r w:rsidRPr="00B02FC4">
        <w:rPr>
          <w:i/>
          <w:iCs/>
          <w:vertAlign w:val="subscript"/>
        </w:rPr>
        <w:t>t</w:t>
      </w:r>
      <w:r>
        <w:t>—年期修正后宗地价格；</w:t>
      </w:r>
    </w:p>
    <w:p w14:paraId="4DF693C4" w14:textId="77777777" w:rsidR="00495C65" w:rsidRDefault="00495C65" w:rsidP="00495C65">
      <w:pPr>
        <w:pStyle w:val="13"/>
        <w:ind w:firstLineChars="500" w:firstLine="1200"/>
      </w:pPr>
      <w:r w:rsidRPr="00B02FC4">
        <w:rPr>
          <w:i/>
          <w:iCs/>
        </w:rPr>
        <w:t>P</w:t>
      </w:r>
      <w:r w:rsidRPr="00B02FC4">
        <w:rPr>
          <w:i/>
          <w:iCs/>
          <w:vertAlign w:val="subscript"/>
        </w:rPr>
        <w:t>0</w:t>
      </w:r>
      <w:r>
        <w:t>—年期修正前比较实例价格；</w:t>
      </w:r>
    </w:p>
    <w:p w14:paraId="078F9362" w14:textId="77777777" w:rsidR="00495C65" w:rsidRDefault="00495C65" w:rsidP="00495C65">
      <w:pPr>
        <w:pStyle w:val="13"/>
        <w:ind w:firstLineChars="500" w:firstLine="1200"/>
      </w:pPr>
      <w:r>
        <w:rPr>
          <w:noProof/>
        </w:rPr>
        <w:drawing>
          <wp:anchor distT="0" distB="0" distL="114300" distR="114300" simplePos="0" relativeHeight="251659264" behindDoc="1" locked="0" layoutInCell="1" allowOverlap="1" wp14:anchorId="4FC09E8C" wp14:editId="2B8F3C0C">
            <wp:simplePos x="0" y="0"/>
            <wp:positionH relativeFrom="column">
              <wp:posOffset>1846376</wp:posOffset>
            </wp:positionH>
            <wp:positionV relativeFrom="paragraph">
              <wp:posOffset>107256</wp:posOffset>
            </wp:positionV>
            <wp:extent cx="1414732" cy="794183"/>
            <wp:effectExtent l="0" t="0" r="0" b="635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14732" cy="794183"/>
                    </a:xfrm>
                    <a:prstGeom prst="rect">
                      <a:avLst/>
                    </a:prstGeom>
                  </pic:spPr>
                </pic:pic>
              </a:graphicData>
            </a:graphic>
            <wp14:sizeRelH relativeFrom="page">
              <wp14:pctWidth>0</wp14:pctWidth>
            </wp14:sizeRelH>
            <wp14:sizeRelV relativeFrom="page">
              <wp14:pctHeight>0</wp14:pctHeight>
            </wp14:sizeRelV>
          </wp:anchor>
        </w:drawing>
      </w:r>
      <w:r w:rsidRPr="00B02FC4">
        <w:rPr>
          <w:i/>
          <w:iCs/>
        </w:rPr>
        <w:t>K</w:t>
      </w:r>
      <w:r>
        <w:t>—年期修正系数。见式（7）：</w:t>
      </w:r>
    </w:p>
    <w:p w14:paraId="2A15D8FD" w14:textId="77777777" w:rsidR="00495C65" w:rsidRDefault="00495C65" w:rsidP="00495C65">
      <w:pPr>
        <w:pStyle w:val="13"/>
        <w:ind w:firstLineChars="500" w:firstLine="1200"/>
        <w:jc w:val="left"/>
      </w:pPr>
      <w:bookmarkStart w:id="194" w:name="_Hlk80215834"/>
      <w:r w:rsidRPr="00742E96">
        <w:t xml:space="preserve">                             </w:t>
      </w:r>
      <w:r>
        <w:t xml:space="preserve">                          </w:t>
      </w:r>
      <w:r w:rsidRPr="00742E96">
        <w:t xml:space="preserve">  （</w:t>
      </w:r>
      <w:r>
        <w:t>7</w:t>
      </w:r>
      <w:bookmarkEnd w:id="194"/>
      <w:r w:rsidRPr="00742E96">
        <w:t>）</w:t>
      </w:r>
    </w:p>
    <w:p w14:paraId="23323934" w14:textId="77777777" w:rsidR="00495C65" w:rsidRDefault="00495C65" w:rsidP="00495C65">
      <w:pPr>
        <w:pStyle w:val="13"/>
        <w:jc w:val="center"/>
      </w:pPr>
    </w:p>
    <w:p w14:paraId="58C94AD1" w14:textId="77777777" w:rsidR="00495C65" w:rsidRDefault="00495C65" w:rsidP="00495C65">
      <w:pPr>
        <w:pStyle w:val="13"/>
      </w:pPr>
      <w:r>
        <w:rPr>
          <w:rFonts w:hint="eastAsia"/>
        </w:rPr>
        <w:t>式中：</w:t>
      </w:r>
    </w:p>
    <w:p w14:paraId="3D482657" w14:textId="77777777" w:rsidR="00495C65" w:rsidRDefault="00495C65" w:rsidP="00495C65">
      <w:pPr>
        <w:pStyle w:val="13"/>
        <w:ind w:firstLineChars="500" w:firstLine="1200"/>
      </w:pPr>
      <w:r w:rsidRPr="00381455">
        <w:rPr>
          <w:i/>
          <w:iCs/>
        </w:rPr>
        <w:t>r</w:t>
      </w:r>
      <w:proofErr w:type="gramStart"/>
      <w:r>
        <w:t>—土地</w:t>
      </w:r>
      <w:proofErr w:type="gramEnd"/>
      <w:r>
        <w:t>还原利率；</w:t>
      </w:r>
    </w:p>
    <w:p w14:paraId="13F3BF76" w14:textId="77777777" w:rsidR="00495C65" w:rsidRDefault="00495C65" w:rsidP="00495C65">
      <w:pPr>
        <w:pStyle w:val="13"/>
        <w:ind w:firstLineChars="500" w:firstLine="1200"/>
      </w:pPr>
      <w:r w:rsidRPr="00381455">
        <w:rPr>
          <w:i/>
          <w:iCs/>
        </w:rPr>
        <w:t>m</w:t>
      </w:r>
      <w:proofErr w:type="gramStart"/>
      <w:r>
        <w:t>—待估</w:t>
      </w:r>
      <w:proofErr w:type="gramEnd"/>
      <w:r>
        <w:t>宗地的使用年期；</w:t>
      </w:r>
    </w:p>
    <w:p w14:paraId="0904BBE8" w14:textId="77777777" w:rsidR="00495C65" w:rsidRDefault="00495C65" w:rsidP="00495C65">
      <w:pPr>
        <w:pStyle w:val="13"/>
        <w:ind w:firstLineChars="500" w:firstLine="1200"/>
      </w:pPr>
      <w:r w:rsidRPr="00381455">
        <w:rPr>
          <w:i/>
          <w:iCs/>
        </w:rPr>
        <w:t>n</w:t>
      </w:r>
      <w:proofErr w:type="gramStart"/>
      <w:r>
        <w:t>—比较</w:t>
      </w:r>
      <w:proofErr w:type="gramEnd"/>
      <w:r>
        <w:t>实例的使用年期。</w:t>
      </w:r>
    </w:p>
    <w:p w14:paraId="15A962F0" w14:textId="77777777" w:rsidR="00495C65" w:rsidRDefault="00495C65" w:rsidP="00495C65">
      <w:pPr>
        <w:pStyle w:val="13"/>
      </w:pPr>
      <w:r>
        <w:rPr>
          <w:rFonts w:hint="eastAsia"/>
        </w:rPr>
        <w:t>6</w:t>
      </w:r>
      <w:r>
        <w:t>.1.11</w:t>
      </w:r>
      <w:r>
        <w:rPr>
          <w:rFonts w:hint="eastAsia"/>
        </w:rPr>
        <w:t>其他因素修正</w:t>
      </w:r>
    </w:p>
    <w:p w14:paraId="1E4558BF" w14:textId="77777777" w:rsidR="00495C65" w:rsidRDefault="00495C65" w:rsidP="00495C65">
      <w:pPr>
        <w:pStyle w:val="13"/>
      </w:pPr>
      <w:r>
        <w:rPr>
          <w:rFonts w:hint="eastAsia"/>
        </w:rPr>
        <w:t>除进行上述几项修正外，经过还应根据比较实例</w:t>
      </w:r>
      <w:proofErr w:type="gramStart"/>
      <w:r>
        <w:rPr>
          <w:rFonts w:hint="eastAsia"/>
        </w:rPr>
        <w:t>与待估宗地</w:t>
      </w:r>
      <w:proofErr w:type="gramEnd"/>
      <w:r>
        <w:rPr>
          <w:rFonts w:hint="eastAsia"/>
        </w:rPr>
        <w:t>的条件差异进行其他必要的修正，如容积率修正等。</w:t>
      </w:r>
    </w:p>
    <w:p w14:paraId="656A5CC5" w14:textId="77777777" w:rsidR="00495C65" w:rsidRDefault="00495C65" w:rsidP="00495C65">
      <w:pPr>
        <w:pStyle w:val="13"/>
      </w:pPr>
      <w:r w:rsidRPr="00096909">
        <w:t>6.1.1</w:t>
      </w:r>
      <w:r>
        <w:t>2</w:t>
      </w:r>
      <w:r>
        <w:rPr>
          <w:rFonts w:hint="eastAsia"/>
        </w:rPr>
        <w:t>测算比准价格</w:t>
      </w:r>
    </w:p>
    <w:p w14:paraId="3C75D30C" w14:textId="77777777" w:rsidR="00495C65" w:rsidRDefault="00495C65" w:rsidP="00495C65">
      <w:pPr>
        <w:pStyle w:val="13"/>
      </w:pPr>
      <w:r>
        <w:rPr>
          <w:rFonts w:hint="eastAsia"/>
        </w:rPr>
        <w:t>根据上述各项比较修正后的比较实例价格，选择适用方法计算综合结果，作为比准价格，常用计算方法包括：</w:t>
      </w:r>
    </w:p>
    <w:p w14:paraId="0F2E5944" w14:textId="77777777" w:rsidR="00495C65" w:rsidRDefault="00495C65" w:rsidP="00495C65">
      <w:pPr>
        <w:pStyle w:val="13"/>
      </w:pPr>
      <w:r>
        <w:rPr>
          <w:rFonts w:hint="eastAsia"/>
        </w:rPr>
        <w:t>（1）简单算术平均法；</w:t>
      </w:r>
    </w:p>
    <w:p w14:paraId="00233A62" w14:textId="77777777" w:rsidR="00495C65" w:rsidRDefault="00495C65" w:rsidP="00495C65">
      <w:pPr>
        <w:pStyle w:val="13"/>
      </w:pPr>
      <w:r w:rsidRPr="00096909">
        <w:rPr>
          <w:rFonts w:hint="eastAsia"/>
        </w:rPr>
        <w:t>（</w:t>
      </w:r>
      <w:r>
        <w:t>2</w:t>
      </w:r>
      <w:r w:rsidRPr="00096909">
        <w:t>）</w:t>
      </w:r>
      <w:r>
        <w:rPr>
          <w:rFonts w:hint="eastAsia"/>
        </w:rPr>
        <w:t>加权算术平均法；</w:t>
      </w:r>
    </w:p>
    <w:p w14:paraId="62836950" w14:textId="77777777" w:rsidR="00495C65" w:rsidRDefault="00495C65" w:rsidP="00495C65">
      <w:pPr>
        <w:pStyle w:val="13"/>
      </w:pPr>
      <w:r w:rsidRPr="00096909">
        <w:rPr>
          <w:rFonts w:hint="eastAsia"/>
        </w:rPr>
        <w:lastRenderedPageBreak/>
        <w:t>（</w:t>
      </w:r>
      <w:r>
        <w:t>3</w:t>
      </w:r>
      <w:r w:rsidRPr="00096909">
        <w:t>）</w:t>
      </w:r>
      <w:r>
        <w:rPr>
          <w:rFonts w:hint="eastAsia"/>
        </w:rPr>
        <w:t>中位数法；</w:t>
      </w:r>
    </w:p>
    <w:p w14:paraId="666C063E" w14:textId="77777777" w:rsidR="00495C65" w:rsidRDefault="00495C65" w:rsidP="00495C65">
      <w:pPr>
        <w:pStyle w:val="13"/>
      </w:pPr>
      <w:r w:rsidRPr="00096909">
        <w:rPr>
          <w:rFonts w:hint="eastAsia"/>
        </w:rPr>
        <w:t>（</w:t>
      </w:r>
      <w:r>
        <w:t>4</w:t>
      </w:r>
      <w:r w:rsidRPr="00096909">
        <w:t>）</w:t>
      </w:r>
      <w:r>
        <w:rPr>
          <w:rFonts w:hint="eastAsia"/>
        </w:rPr>
        <w:t>众数法。</w:t>
      </w:r>
    </w:p>
    <w:p w14:paraId="59385B21" w14:textId="77777777" w:rsidR="00495C65" w:rsidRDefault="00495C65" w:rsidP="00495C65">
      <w:pPr>
        <w:pStyle w:val="13"/>
      </w:pPr>
      <w:r w:rsidRPr="00096909">
        <w:t>6.1.1</w:t>
      </w:r>
      <w:r>
        <w:t>3</w:t>
      </w:r>
      <w:r>
        <w:rPr>
          <w:rFonts w:hint="eastAsia"/>
        </w:rPr>
        <w:t>适用范围</w:t>
      </w:r>
    </w:p>
    <w:p w14:paraId="620CDC53" w14:textId="77777777" w:rsidR="00495C65" w:rsidRDefault="00495C65" w:rsidP="00495C65">
      <w:pPr>
        <w:pStyle w:val="13"/>
      </w:pPr>
      <w:r>
        <w:rPr>
          <w:rFonts w:hint="eastAsia"/>
        </w:rPr>
        <w:t>市场比较法主要用于地产市场发达，有充足可比实例的地区。市场比较法除可直接用于评估土地的价格或土地租金外，还可用于其他估价方法中有关参数的求取。</w:t>
      </w:r>
    </w:p>
    <w:p w14:paraId="226D461A" w14:textId="77777777" w:rsidR="00495C65" w:rsidRDefault="00495C65" w:rsidP="00495C65">
      <w:pPr>
        <w:pStyle w:val="ab"/>
        <w:spacing w:before="62" w:after="62"/>
        <w:ind w:firstLine="482"/>
      </w:pPr>
      <w:r>
        <w:rPr>
          <w:rFonts w:hint="eastAsia"/>
        </w:rPr>
        <w:t>6</w:t>
      </w:r>
      <w:r>
        <w:t>.2</w:t>
      </w:r>
      <w:r>
        <w:rPr>
          <w:rFonts w:hint="eastAsia"/>
        </w:rPr>
        <w:t>收益还原法</w:t>
      </w:r>
    </w:p>
    <w:p w14:paraId="55272724" w14:textId="77777777" w:rsidR="00495C65" w:rsidRDefault="00495C65" w:rsidP="00495C65">
      <w:pPr>
        <w:pStyle w:val="13"/>
      </w:pPr>
      <w:r>
        <w:t>6.2.1基本公式</w:t>
      </w:r>
    </w:p>
    <w:p w14:paraId="5A1565CB" w14:textId="77777777" w:rsidR="00495C65" w:rsidRDefault="00495C65" w:rsidP="00495C65">
      <w:pPr>
        <w:pStyle w:val="13"/>
      </w:pPr>
      <w:r>
        <w:rPr>
          <w:rFonts w:hint="eastAsia"/>
        </w:rPr>
        <w:t>以收益还原法评估土地价格公式如式（</w:t>
      </w:r>
      <w:r>
        <w:t>8）和式（9）所示：</w:t>
      </w:r>
    </w:p>
    <w:p w14:paraId="01EF1529" w14:textId="77777777" w:rsidR="00495C65" w:rsidRDefault="00495C65" w:rsidP="00495C65">
      <w:pPr>
        <w:pStyle w:val="13"/>
      </w:pPr>
      <w:r>
        <w:rPr>
          <w:rFonts w:hint="eastAsia"/>
        </w:rPr>
        <w:t>（1）纯收益不变，且永续，各相关因素不变：</w:t>
      </w:r>
    </w:p>
    <w:p w14:paraId="4C0B7566" w14:textId="77777777" w:rsidR="00495C65" w:rsidRPr="000529D1" w:rsidRDefault="00495C65" w:rsidP="00495C65">
      <w:pPr>
        <w:pStyle w:val="13"/>
        <w:ind w:firstLineChars="1400" w:firstLine="3360"/>
        <w:jc w:val="left"/>
        <w:rPr>
          <w:i/>
          <w:iCs/>
        </w:rPr>
      </w:pPr>
      <w:r w:rsidRPr="000529D1">
        <w:rPr>
          <w:i/>
          <w:iCs/>
        </w:rPr>
        <w:t>P=</w:t>
      </w:r>
      <w:proofErr w:type="spellStart"/>
      <w:r w:rsidRPr="000529D1">
        <w:rPr>
          <w:i/>
          <w:iCs/>
        </w:rPr>
        <w:t>a/r</w:t>
      </w:r>
      <w:proofErr w:type="spellEnd"/>
      <w:r>
        <w:rPr>
          <w:i/>
          <w:iCs/>
        </w:rPr>
        <w:t xml:space="preserve">                                  </w:t>
      </w:r>
      <w:r w:rsidRPr="000529D1">
        <w:t>（8）</w:t>
      </w:r>
    </w:p>
    <w:p w14:paraId="6EA3AA0A" w14:textId="77777777" w:rsidR="00495C65" w:rsidRDefault="00495C65" w:rsidP="00495C65">
      <w:pPr>
        <w:pStyle w:val="13"/>
      </w:pPr>
      <w:r>
        <w:rPr>
          <w:rFonts w:hint="eastAsia"/>
        </w:rPr>
        <w:t>式中：</w:t>
      </w:r>
    </w:p>
    <w:p w14:paraId="17BF2644" w14:textId="77777777" w:rsidR="00495C65" w:rsidRDefault="00495C65" w:rsidP="00495C65">
      <w:pPr>
        <w:pStyle w:val="13"/>
        <w:ind w:firstLineChars="500" w:firstLine="1200"/>
      </w:pPr>
      <w:r w:rsidRPr="00F75081">
        <w:rPr>
          <w:i/>
          <w:iCs/>
        </w:rPr>
        <w:t>P</w:t>
      </w:r>
      <w:proofErr w:type="gramStart"/>
      <w:r>
        <w:t>—土地</w:t>
      </w:r>
      <w:proofErr w:type="gramEnd"/>
      <w:r>
        <w:t>收益价格；</w:t>
      </w:r>
    </w:p>
    <w:p w14:paraId="1B2BB015" w14:textId="77777777" w:rsidR="00495C65" w:rsidRDefault="00495C65" w:rsidP="00495C65">
      <w:pPr>
        <w:pStyle w:val="13"/>
        <w:ind w:firstLineChars="500" w:firstLine="1200"/>
      </w:pPr>
      <w:r w:rsidRPr="00F75081">
        <w:rPr>
          <w:i/>
          <w:iCs/>
        </w:rPr>
        <w:t>a</w:t>
      </w:r>
      <w:proofErr w:type="gramStart"/>
      <w:r>
        <w:t>—土地</w:t>
      </w:r>
      <w:proofErr w:type="gramEnd"/>
      <w:r>
        <w:t>纯收益（或地租），每年不变；</w:t>
      </w:r>
    </w:p>
    <w:p w14:paraId="760EE400" w14:textId="77777777" w:rsidR="00495C65" w:rsidRDefault="00495C65" w:rsidP="00495C65">
      <w:pPr>
        <w:pStyle w:val="13"/>
        <w:ind w:firstLineChars="500" w:firstLine="1200"/>
      </w:pPr>
      <w:r w:rsidRPr="00F75081">
        <w:rPr>
          <w:i/>
          <w:iCs/>
        </w:rPr>
        <w:t>r</w:t>
      </w:r>
      <w:proofErr w:type="gramStart"/>
      <w:r>
        <w:t>—土地</w:t>
      </w:r>
      <w:proofErr w:type="gramEnd"/>
      <w:r>
        <w:t>还原利率，固定且大于零。</w:t>
      </w:r>
    </w:p>
    <w:p w14:paraId="344DD40E" w14:textId="77777777" w:rsidR="00495C65" w:rsidRPr="00D61ADC" w:rsidRDefault="00495C65" w:rsidP="00495C65">
      <w:pPr>
        <w:pStyle w:val="13"/>
      </w:pPr>
      <w:r>
        <w:rPr>
          <w:rFonts w:hint="eastAsia"/>
        </w:rPr>
        <w:t>（2）纯收益不变，收益年限有限，各相关因素不变：</w:t>
      </w:r>
    </w:p>
    <w:p w14:paraId="28CCE0E6" w14:textId="77777777" w:rsidR="00495C65" w:rsidRPr="00C95A16" w:rsidRDefault="00495C65" w:rsidP="00495C65">
      <w:pPr>
        <w:pStyle w:val="13"/>
        <w:ind w:firstLineChars="1400" w:firstLine="3360"/>
      </w:pPr>
      <m:oMath>
        <m:r>
          <w:rPr>
            <w:rFonts w:ascii="Cambria Math" w:hAnsi="Cambria Math"/>
          </w:rPr>
          <m:t>p=</m:t>
        </m:r>
        <m:d>
          <m:dPr>
            <m:ctrlPr>
              <w:rPr>
                <w:rFonts w:ascii="Cambria Math" w:hAnsi="Cambria Math"/>
                <w:i/>
              </w:rPr>
            </m:ctrlPr>
          </m:dPr>
          <m:e>
            <m:f>
              <m:fPr>
                <m:type m:val="lin"/>
                <m:ctrlPr>
                  <w:rPr>
                    <w:rFonts w:ascii="Cambria Math" w:hAnsi="Cambria Math"/>
                    <w:i/>
                  </w:rPr>
                </m:ctrlPr>
              </m:fPr>
              <m:num>
                <m:r>
                  <w:rPr>
                    <w:rFonts w:ascii="Cambria Math" w:hAnsi="Cambria Math"/>
                  </w:rPr>
                  <m:t>a</m:t>
                </m:r>
              </m:num>
              <m:den>
                <m:r>
                  <w:rPr>
                    <w:rFonts w:ascii="Cambria Math" w:hAnsi="Cambria Math"/>
                  </w:rPr>
                  <m:t>r</m:t>
                </m:r>
              </m:den>
            </m:f>
          </m:e>
        </m:d>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den>
            </m:f>
          </m:e>
        </m:d>
      </m:oMath>
      <w:r>
        <w:rPr>
          <w:rFonts w:hint="eastAsia"/>
        </w:rPr>
        <w:t xml:space="preserve"> </w:t>
      </w:r>
      <w:r>
        <w:t xml:space="preserve">                    </w:t>
      </w:r>
      <w:r>
        <w:rPr>
          <w:rFonts w:hint="eastAsia"/>
        </w:rPr>
        <w:t>（9）</w:t>
      </w:r>
    </w:p>
    <w:p w14:paraId="56DC99CA" w14:textId="77777777" w:rsidR="00495C65" w:rsidRDefault="00495C65" w:rsidP="00495C65">
      <w:pPr>
        <w:pStyle w:val="13"/>
      </w:pPr>
      <w:r>
        <w:rPr>
          <w:rFonts w:hint="eastAsia"/>
        </w:rPr>
        <w:t>式中：</w:t>
      </w:r>
    </w:p>
    <w:p w14:paraId="6804CA19" w14:textId="77777777" w:rsidR="00495C65" w:rsidRDefault="00495C65" w:rsidP="00495C65">
      <w:pPr>
        <w:pStyle w:val="13"/>
        <w:ind w:firstLineChars="500" w:firstLine="1200"/>
      </w:pPr>
      <w:r w:rsidRPr="0064777B">
        <w:rPr>
          <w:i/>
          <w:iCs/>
        </w:rPr>
        <w:t>P、a、r</w:t>
      </w:r>
      <w:r>
        <w:t>含义同前；</w:t>
      </w:r>
    </w:p>
    <w:p w14:paraId="1ACA1A9E" w14:textId="77777777" w:rsidR="00495C65" w:rsidRDefault="00495C65" w:rsidP="00495C65">
      <w:pPr>
        <w:pStyle w:val="13"/>
        <w:ind w:firstLineChars="500" w:firstLine="1200"/>
      </w:pPr>
      <w:r w:rsidRPr="0064777B">
        <w:rPr>
          <w:i/>
          <w:iCs/>
        </w:rPr>
        <w:t>n</w:t>
      </w:r>
      <w:r>
        <w:t>—未来土地收益年期。</w:t>
      </w:r>
    </w:p>
    <w:p w14:paraId="566BEAB3" w14:textId="77777777" w:rsidR="00495C65" w:rsidRDefault="00495C65" w:rsidP="00495C65">
      <w:pPr>
        <w:pStyle w:val="13"/>
      </w:pPr>
      <w:r>
        <w:rPr>
          <w:rFonts w:hint="eastAsia"/>
        </w:rPr>
        <w:t>6</w:t>
      </w:r>
      <w:r>
        <w:t>.2.2</w:t>
      </w:r>
      <w:r>
        <w:rPr>
          <w:rFonts w:hint="eastAsia"/>
        </w:rPr>
        <w:t>程序</w:t>
      </w:r>
    </w:p>
    <w:p w14:paraId="0517C3ED" w14:textId="77777777" w:rsidR="00495C65" w:rsidRDefault="00495C65" w:rsidP="00495C65">
      <w:pPr>
        <w:pStyle w:val="13"/>
      </w:pPr>
      <w:r>
        <w:rPr>
          <w:rFonts w:hint="eastAsia"/>
        </w:rPr>
        <w:t>程序如下：</w:t>
      </w:r>
    </w:p>
    <w:p w14:paraId="7BC407FA" w14:textId="77777777" w:rsidR="00495C65" w:rsidRDefault="00495C65" w:rsidP="00495C65">
      <w:pPr>
        <w:pStyle w:val="13"/>
      </w:pPr>
      <w:r>
        <w:rPr>
          <w:rFonts w:hint="eastAsia"/>
        </w:rPr>
        <w:t>（1）收集相关资料；</w:t>
      </w:r>
    </w:p>
    <w:p w14:paraId="2A72FA75" w14:textId="77777777" w:rsidR="00495C65" w:rsidRDefault="00495C65" w:rsidP="00495C65">
      <w:pPr>
        <w:pStyle w:val="13"/>
      </w:pPr>
      <w:r w:rsidRPr="0064777B">
        <w:rPr>
          <w:rFonts w:hint="eastAsia"/>
        </w:rPr>
        <w:t>（</w:t>
      </w:r>
      <w:r>
        <w:t>2</w:t>
      </w:r>
      <w:r w:rsidRPr="0064777B">
        <w:t>）</w:t>
      </w:r>
      <w:r>
        <w:rPr>
          <w:rFonts w:hint="eastAsia"/>
        </w:rPr>
        <w:t>测算年总收益；</w:t>
      </w:r>
    </w:p>
    <w:p w14:paraId="17FF1F11" w14:textId="77777777" w:rsidR="00495C65" w:rsidRDefault="00495C65" w:rsidP="00495C65">
      <w:pPr>
        <w:pStyle w:val="13"/>
      </w:pPr>
      <w:r w:rsidRPr="0064777B">
        <w:rPr>
          <w:rFonts w:hint="eastAsia"/>
        </w:rPr>
        <w:t>（</w:t>
      </w:r>
      <w:r>
        <w:t>3</w:t>
      </w:r>
      <w:r w:rsidRPr="0064777B">
        <w:t>）</w:t>
      </w:r>
      <w:r>
        <w:rPr>
          <w:rFonts w:hint="eastAsia"/>
        </w:rPr>
        <w:t>确定年总费用；</w:t>
      </w:r>
    </w:p>
    <w:p w14:paraId="31578A5F" w14:textId="77777777" w:rsidR="00495C65" w:rsidRDefault="00495C65" w:rsidP="00495C65">
      <w:pPr>
        <w:pStyle w:val="13"/>
      </w:pPr>
      <w:r w:rsidRPr="0064777B">
        <w:rPr>
          <w:rFonts w:hint="eastAsia"/>
        </w:rPr>
        <w:t>（</w:t>
      </w:r>
      <w:r>
        <w:t>4</w:t>
      </w:r>
      <w:r w:rsidRPr="0064777B">
        <w:t>）</w:t>
      </w:r>
      <w:r>
        <w:rPr>
          <w:rFonts w:hint="eastAsia"/>
        </w:rPr>
        <w:t>计算年纯收益；</w:t>
      </w:r>
    </w:p>
    <w:p w14:paraId="06642506" w14:textId="77777777" w:rsidR="00495C65" w:rsidRDefault="00495C65" w:rsidP="00495C65">
      <w:pPr>
        <w:pStyle w:val="13"/>
      </w:pPr>
      <w:r w:rsidRPr="0064777B">
        <w:rPr>
          <w:rFonts w:hint="eastAsia"/>
        </w:rPr>
        <w:t>（</w:t>
      </w:r>
      <w:r>
        <w:t>5</w:t>
      </w:r>
      <w:r w:rsidRPr="0064777B">
        <w:t>）</w:t>
      </w:r>
      <w:r>
        <w:rPr>
          <w:rFonts w:hint="eastAsia"/>
        </w:rPr>
        <w:t>确定还原率；</w:t>
      </w:r>
    </w:p>
    <w:p w14:paraId="4AED07BC" w14:textId="77777777" w:rsidR="00495C65" w:rsidRDefault="00495C65" w:rsidP="00495C65">
      <w:pPr>
        <w:pStyle w:val="13"/>
      </w:pPr>
      <w:r w:rsidRPr="0064777B">
        <w:rPr>
          <w:rFonts w:hint="eastAsia"/>
        </w:rPr>
        <w:t>（</w:t>
      </w:r>
      <w:r>
        <w:t>6</w:t>
      </w:r>
      <w:r w:rsidRPr="0064777B">
        <w:t>）</w:t>
      </w:r>
      <w:r>
        <w:rPr>
          <w:rFonts w:hint="eastAsia"/>
        </w:rPr>
        <w:t>选用适当的计算公式；</w:t>
      </w:r>
    </w:p>
    <w:p w14:paraId="024E85C0" w14:textId="77777777" w:rsidR="00495C65" w:rsidRDefault="00495C65" w:rsidP="00495C65">
      <w:pPr>
        <w:pStyle w:val="13"/>
      </w:pPr>
      <w:r w:rsidRPr="0064777B">
        <w:rPr>
          <w:rFonts w:hint="eastAsia"/>
        </w:rPr>
        <w:t>（</w:t>
      </w:r>
      <w:r>
        <w:t>7</w:t>
      </w:r>
      <w:r w:rsidRPr="0064777B">
        <w:t>）</w:t>
      </w:r>
      <w:r>
        <w:rPr>
          <w:rFonts w:hint="eastAsia"/>
        </w:rPr>
        <w:t>测算收益价格。</w:t>
      </w:r>
    </w:p>
    <w:p w14:paraId="196DD10C" w14:textId="77777777" w:rsidR="00495C65" w:rsidRDefault="00495C65" w:rsidP="00495C65">
      <w:pPr>
        <w:pStyle w:val="13"/>
      </w:pPr>
      <w:r>
        <w:rPr>
          <w:rFonts w:hint="eastAsia"/>
        </w:rPr>
        <w:t>6</w:t>
      </w:r>
      <w:r>
        <w:t>.2.3</w:t>
      </w:r>
      <w:r>
        <w:rPr>
          <w:rFonts w:hint="eastAsia"/>
        </w:rPr>
        <w:t>收集相关资料</w:t>
      </w:r>
    </w:p>
    <w:p w14:paraId="24F978FA" w14:textId="77777777" w:rsidR="00495C65" w:rsidRDefault="00495C65" w:rsidP="00495C65">
      <w:pPr>
        <w:pStyle w:val="13"/>
      </w:pPr>
      <w:r>
        <w:rPr>
          <w:rFonts w:hint="eastAsia"/>
        </w:rPr>
        <w:t>收集的资料</w:t>
      </w:r>
      <w:proofErr w:type="gramStart"/>
      <w:r>
        <w:rPr>
          <w:rFonts w:hint="eastAsia"/>
        </w:rPr>
        <w:t>包括待估宗地</w:t>
      </w:r>
      <w:proofErr w:type="gramEnd"/>
      <w:r>
        <w:rPr>
          <w:rFonts w:hint="eastAsia"/>
        </w:rPr>
        <w:t>和</w:t>
      </w:r>
      <w:proofErr w:type="gramStart"/>
      <w:r>
        <w:rPr>
          <w:rFonts w:hint="eastAsia"/>
        </w:rPr>
        <w:t>与待估宗地</w:t>
      </w:r>
      <w:proofErr w:type="gramEnd"/>
      <w:r>
        <w:rPr>
          <w:rFonts w:hint="eastAsia"/>
        </w:rPr>
        <w:t>特征相同或相似的宗地用于出租或经营时的年平均总收益与总费用资料等。所收集的资料应具有持续性、稳定性，能够反映土地的长期收益趋势。对出租</w:t>
      </w:r>
      <w:proofErr w:type="gramStart"/>
      <w:r>
        <w:rPr>
          <w:rFonts w:hint="eastAsia"/>
        </w:rPr>
        <w:t>性土地</w:t>
      </w:r>
      <w:proofErr w:type="gramEnd"/>
      <w:r>
        <w:rPr>
          <w:rFonts w:hint="eastAsia"/>
        </w:rPr>
        <w:t>及房屋宜收集</w:t>
      </w:r>
      <w:r>
        <w:t>3年以上的租赁资料；对营业性土地及房</w:t>
      </w:r>
      <w:r>
        <w:rPr>
          <w:rFonts w:hint="eastAsia"/>
        </w:rPr>
        <w:t>屋宜收集</w:t>
      </w:r>
      <w:r>
        <w:t>5年以上的营运资料；直接生产用地应收集过去5年中原料、人</w:t>
      </w:r>
      <w:r>
        <w:lastRenderedPageBreak/>
        <w:t>工及产品的市场价格资料。</w:t>
      </w:r>
    </w:p>
    <w:p w14:paraId="11A2E178" w14:textId="77777777" w:rsidR="00495C65" w:rsidRDefault="00495C65" w:rsidP="00495C65">
      <w:pPr>
        <w:pStyle w:val="13"/>
      </w:pPr>
      <w:r>
        <w:t>6.2.4</w:t>
      </w:r>
      <w:r>
        <w:rPr>
          <w:rFonts w:hint="eastAsia"/>
        </w:rPr>
        <w:t>估算年总收益</w:t>
      </w:r>
    </w:p>
    <w:p w14:paraId="30B0797C" w14:textId="77777777" w:rsidR="00495C65" w:rsidRDefault="00495C65" w:rsidP="00495C65">
      <w:pPr>
        <w:pStyle w:val="13"/>
      </w:pPr>
      <w:r>
        <w:rPr>
          <w:rFonts w:hint="eastAsia"/>
        </w:rPr>
        <w:t>年总收益是</w:t>
      </w:r>
      <w:proofErr w:type="gramStart"/>
      <w:r>
        <w:rPr>
          <w:rFonts w:hint="eastAsia"/>
        </w:rPr>
        <w:t>指待估宗地</w:t>
      </w:r>
      <w:proofErr w:type="gramEnd"/>
      <w:r>
        <w:rPr>
          <w:rFonts w:hint="eastAsia"/>
        </w:rPr>
        <w:t>按最有效利用方式出租或自行使用，在正常情况下，合理利用土地应取得持续而稳定的客观年收益或年租金，包括租金收入、押金利息收入等。对总收益的收益期超过或不足</w:t>
      </w:r>
      <w:r>
        <w:t>1年的，要统一折算为</w:t>
      </w:r>
      <w:proofErr w:type="gramStart"/>
      <w:r>
        <w:t>年土地</w:t>
      </w:r>
      <w:proofErr w:type="gramEnd"/>
      <w:r>
        <w:t>总收益。估算年总收益，应考虑客观闲置损失。经营性项目或生产性项目，年总收益分别为经营收入或生产性收入。</w:t>
      </w:r>
    </w:p>
    <w:p w14:paraId="7D31490F" w14:textId="77777777" w:rsidR="00495C65" w:rsidRDefault="00495C65" w:rsidP="00495C65">
      <w:pPr>
        <w:pStyle w:val="13"/>
      </w:pPr>
      <w:r>
        <w:t>6.2.5</w:t>
      </w:r>
      <w:r>
        <w:rPr>
          <w:rFonts w:hint="eastAsia"/>
        </w:rPr>
        <w:t>确定年总费用</w:t>
      </w:r>
    </w:p>
    <w:p w14:paraId="66CCBB6F" w14:textId="77777777" w:rsidR="00495C65" w:rsidRDefault="00495C65" w:rsidP="00495C65">
      <w:pPr>
        <w:pStyle w:val="13"/>
      </w:pPr>
      <w:r>
        <w:rPr>
          <w:rFonts w:hint="eastAsia"/>
        </w:rPr>
        <w:t>年总费用是指利用土地进行经营活动并取得相应收益时正常合理的必要年支出。确定土地年总费用时，应根据土地利用方式进行具体分析。对总费用的支出期超过或不足</w:t>
      </w:r>
      <w:r>
        <w:t>1年的，要统一折算为</w:t>
      </w:r>
      <w:proofErr w:type="gramStart"/>
      <w:r>
        <w:t>年土地</w:t>
      </w:r>
      <w:proofErr w:type="gramEnd"/>
      <w:r>
        <w:t>总费用。</w:t>
      </w:r>
    </w:p>
    <w:p w14:paraId="573F7C3F" w14:textId="77777777" w:rsidR="00495C65" w:rsidRDefault="00495C65" w:rsidP="00495C65">
      <w:pPr>
        <w:pStyle w:val="13"/>
      </w:pPr>
      <w:r>
        <w:rPr>
          <w:rFonts w:hint="eastAsia"/>
        </w:rPr>
        <w:t>几种主要用地方式中土地年总费用主要包括：</w:t>
      </w:r>
    </w:p>
    <w:p w14:paraId="398E5E72" w14:textId="77777777" w:rsidR="00495C65" w:rsidRDefault="00495C65" w:rsidP="00495C65">
      <w:pPr>
        <w:pStyle w:val="13"/>
      </w:pPr>
      <w:r>
        <w:rPr>
          <w:rFonts w:hint="eastAsia"/>
        </w:rPr>
        <w:t>（1）土地租赁：土地使用税、土地管理费、土地维护费及其他税费；</w:t>
      </w:r>
    </w:p>
    <w:p w14:paraId="25CA01EC" w14:textId="77777777" w:rsidR="00495C65" w:rsidRDefault="00495C65" w:rsidP="00495C65">
      <w:pPr>
        <w:pStyle w:val="13"/>
      </w:pPr>
      <w:r w:rsidRPr="00FE0A2A">
        <w:rPr>
          <w:rFonts w:hint="eastAsia"/>
        </w:rPr>
        <w:t>（</w:t>
      </w:r>
      <w:r>
        <w:t>2</w:t>
      </w:r>
      <w:r w:rsidRPr="00FE0A2A">
        <w:t>）</w:t>
      </w:r>
      <w:r>
        <w:rPr>
          <w:rFonts w:hint="eastAsia"/>
        </w:rPr>
        <w:t>不动产出租：经营管理费、经营维修费、房屋年保险费、房产税及其他税费；</w:t>
      </w:r>
    </w:p>
    <w:p w14:paraId="51B891A7" w14:textId="77777777" w:rsidR="00495C65" w:rsidRDefault="00495C65" w:rsidP="00495C65">
      <w:pPr>
        <w:pStyle w:val="13"/>
      </w:pPr>
      <w:r w:rsidRPr="00FE0A2A">
        <w:rPr>
          <w:rFonts w:hint="eastAsia"/>
        </w:rPr>
        <w:t>（</w:t>
      </w:r>
      <w:r>
        <w:t>3</w:t>
      </w:r>
      <w:r w:rsidRPr="00FE0A2A">
        <w:t>）</w:t>
      </w:r>
      <w:r>
        <w:rPr>
          <w:rFonts w:hint="eastAsia"/>
        </w:rPr>
        <w:t>经营性项目：销售成本、销售费用、经营管理费、销售税金、财务费用及经营利润等；</w:t>
      </w:r>
    </w:p>
    <w:p w14:paraId="30B8821F" w14:textId="77777777" w:rsidR="00495C65" w:rsidRDefault="00495C65" w:rsidP="00495C65">
      <w:pPr>
        <w:pStyle w:val="13"/>
      </w:pPr>
      <w:r w:rsidRPr="00FE0A2A">
        <w:rPr>
          <w:rFonts w:hint="eastAsia"/>
        </w:rPr>
        <w:t>（</w:t>
      </w:r>
      <w:r>
        <w:t>4</w:t>
      </w:r>
      <w:r w:rsidRPr="00FE0A2A">
        <w:t>）</w:t>
      </w:r>
      <w:r>
        <w:rPr>
          <w:rFonts w:hint="eastAsia"/>
        </w:rPr>
        <w:t>生产性项目：生产成本（包括原材料费、人工费、运输费等）、产品销售费用、产品销售税金及附加、财务费用、管理费用及企业利润等。</w:t>
      </w:r>
    </w:p>
    <w:p w14:paraId="3164998F" w14:textId="77777777" w:rsidR="00495C65" w:rsidRDefault="00495C65" w:rsidP="00495C65">
      <w:pPr>
        <w:pStyle w:val="13"/>
      </w:pPr>
      <w:r>
        <w:t>6.2.6</w:t>
      </w:r>
      <w:r>
        <w:rPr>
          <w:rFonts w:hint="eastAsia"/>
        </w:rPr>
        <w:t>确定土地纯收益</w:t>
      </w:r>
    </w:p>
    <w:p w14:paraId="7B63C28F" w14:textId="77777777" w:rsidR="00495C65" w:rsidRDefault="00495C65" w:rsidP="00495C65">
      <w:pPr>
        <w:pStyle w:val="13"/>
      </w:pPr>
      <w:proofErr w:type="gramStart"/>
      <w:r>
        <w:rPr>
          <w:rFonts w:hint="eastAsia"/>
        </w:rPr>
        <w:t>总纯收益</w:t>
      </w:r>
      <w:proofErr w:type="gramEnd"/>
      <w:r>
        <w:rPr>
          <w:rFonts w:hint="eastAsia"/>
        </w:rPr>
        <w:t>按总收益扣除总费用计算。</w:t>
      </w:r>
    </w:p>
    <w:p w14:paraId="3D2BF052" w14:textId="77777777" w:rsidR="00495C65" w:rsidRDefault="00495C65" w:rsidP="00495C65">
      <w:pPr>
        <w:pStyle w:val="13"/>
      </w:pPr>
      <w:r>
        <w:rPr>
          <w:rFonts w:hint="eastAsia"/>
        </w:rPr>
        <w:t>土地纯收益是</w:t>
      </w:r>
      <w:proofErr w:type="gramStart"/>
      <w:r>
        <w:rPr>
          <w:rFonts w:hint="eastAsia"/>
        </w:rPr>
        <w:t>在总纯收益</w:t>
      </w:r>
      <w:proofErr w:type="gramEnd"/>
      <w:r>
        <w:rPr>
          <w:rFonts w:hint="eastAsia"/>
        </w:rPr>
        <w:t>中扣除</w:t>
      </w:r>
      <w:proofErr w:type="gramStart"/>
      <w:r>
        <w:rPr>
          <w:rFonts w:hint="eastAsia"/>
        </w:rPr>
        <w:t>非土地</w:t>
      </w:r>
      <w:proofErr w:type="gramEnd"/>
      <w:r>
        <w:rPr>
          <w:rFonts w:hint="eastAsia"/>
        </w:rPr>
        <w:t>因素所产生的纯收益后的剩余额。</w:t>
      </w:r>
    </w:p>
    <w:p w14:paraId="59AF43BE" w14:textId="77777777" w:rsidR="00495C65" w:rsidRDefault="00495C65" w:rsidP="00495C65">
      <w:pPr>
        <w:pStyle w:val="13"/>
      </w:pPr>
      <w:r>
        <w:rPr>
          <w:rFonts w:hint="eastAsia"/>
        </w:rPr>
        <w:t>几种主要土地利用方式下的土地纯收益应按式（</w:t>
      </w:r>
      <w:r>
        <w:t>10）—式（18）计算：</w:t>
      </w:r>
    </w:p>
    <w:p w14:paraId="33C6B494" w14:textId="77777777" w:rsidR="00495C65" w:rsidRDefault="00495C65" w:rsidP="00495C65">
      <w:pPr>
        <w:pStyle w:val="13"/>
      </w:pPr>
      <w:r>
        <w:rPr>
          <w:rFonts w:hint="eastAsia"/>
        </w:rPr>
        <w:t>（1）土地租赁：</w:t>
      </w:r>
    </w:p>
    <w:p w14:paraId="690A6276" w14:textId="77777777" w:rsidR="00495C65" w:rsidRDefault="00495C65" w:rsidP="00495C65">
      <w:pPr>
        <w:pStyle w:val="13"/>
        <w:ind w:firstLineChars="1400" w:firstLine="3360"/>
        <w:jc w:val="left"/>
      </w:pPr>
      <w:r w:rsidRPr="005B2A7D">
        <w:rPr>
          <w:i/>
          <w:iCs/>
        </w:rPr>
        <w:t>a=R-C</w:t>
      </w:r>
      <w:r>
        <w:rPr>
          <w:i/>
          <w:iCs/>
        </w:rPr>
        <w:t xml:space="preserve">                                 </w:t>
      </w:r>
      <w:r w:rsidRPr="005B2A7D">
        <w:t>（10）</w:t>
      </w:r>
    </w:p>
    <w:p w14:paraId="4E703AC2" w14:textId="77777777" w:rsidR="00495C65" w:rsidRDefault="00495C65" w:rsidP="00495C65">
      <w:pPr>
        <w:pStyle w:val="13"/>
      </w:pPr>
      <w:r>
        <w:rPr>
          <w:rFonts w:hint="eastAsia"/>
        </w:rPr>
        <w:t>式中：</w:t>
      </w:r>
    </w:p>
    <w:p w14:paraId="428B01EA" w14:textId="77777777" w:rsidR="00495C65" w:rsidRDefault="00495C65" w:rsidP="00495C65">
      <w:pPr>
        <w:pStyle w:val="13"/>
        <w:ind w:firstLineChars="500" w:firstLine="1200"/>
      </w:pPr>
      <w:r w:rsidRPr="006C34B2">
        <w:rPr>
          <w:i/>
          <w:iCs/>
        </w:rPr>
        <w:t>a</w:t>
      </w:r>
      <w:proofErr w:type="gramStart"/>
      <w:r>
        <w:t>—土地</w:t>
      </w:r>
      <w:proofErr w:type="gramEnd"/>
      <w:r>
        <w:t>纯收益；</w:t>
      </w:r>
    </w:p>
    <w:p w14:paraId="69D534E3" w14:textId="77777777" w:rsidR="00495C65" w:rsidRDefault="00495C65" w:rsidP="00495C65">
      <w:pPr>
        <w:pStyle w:val="13"/>
        <w:ind w:firstLineChars="500" w:firstLine="1200"/>
      </w:pPr>
      <w:r w:rsidRPr="006C34B2">
        <w:rPr>
          <w:i/>
          <w:iCs/>
        </w:rPr>
        <w:t>R</w:t>
      </w:r>
      <w:r>
        <w:t>—年租金收入；</w:t>
      </w:r>
    </w:p>
    <w:p w14:paraId="335AE239" w14:textId="77777777" w:rsidR="00495C65" w:rsidRDefault="00495C65" w:rsidP="00495C65">
      <w:pPr>
        <w:pStyle w:val="13"/>
        <w:ind w:firstLineChars="500" w:firstLine="1200"/>
      </w:pPr>
      <w:r w:rsidRPr="006C34B2">
        <w:rPr>
          <w:i/>
          <w:iCs/>
        </w:rPr>
        <w:t>C</w:t>
      </w:r>
      <w:r>
        <w:t>—年总费用。</w:t>
      </w:r>
    </w:p>
    <w:p w14:paraId="40A584EA" w14:textId="77777777" w:rsidR="00495C65" w:rsidRDefault="00495C65" w:rsidP="00495C65">
      <w:pPr>
        <w:pStyle w:val="13"/>
      </w:pPr>
      <w:r>
        <w:rPr>
          <w:rFonts w:hint="eastAsia"/>
        </w:rPr>
        <w:t>（2）不动产出租：</w:t>
      </w:r>
    </w:p>
    <w:p w14:paraId="28E8E78A" w14:textId="77777777" w:rsidR="00495C65" w:rsidRDefault="00495C65" w:rsidP="00495C65">
      <w:pPr>
        <w:pStyle w:val="13"/>
        <w:ind w:firstLineChars="1400" w:firstLine="3360"/>
        <w:jc w:val="left"/>
      </w:pPr>
      <w:r w:rsidRPr="004C4778">
        <w:rPr>
          <w:i/>
          <w:iCs/>
        </w:rPr>
        <w:t>a=R</w:t>
      </w:r>
      <w:r w:rsidRPr="00355390">
        <w:rPr>
          <w:i/>
          <w:iCs/>
          <w:vertAlign w:val="subscript"/>
        </w:rPr>
        <w:t>in</w:t>
      </w:r>
      <w:r w:rsidRPr="004C4778">
        <w:rPr>
          <w:i/>
          <w:iCs/>
        </w:rPr>
        <w:t>-</w:t>
      </w:r>
      <w:proofErr w:type="spellStart"/>
      <w:r w:rsidRPr="004C4778">
        <w:rPr>
          <w:i/>
          <w:iCs/>
        </w:rPr>
        <w:t>I</w:t>
      </w:r>
      <w:r w:rsidRPr="00355390">
        <w:rPr>
          <w:i/>
          <w:iCs/>
          <w:vertAlign w:val="subscript"/>
        </w:rPr>
        <w:t>hn</w:t>
      </w:r>
      <w:proofErr w:type="spellEnd"/>
      <w:r>
        <w:rPr>
          <w:i/>
          <w:iCs/>
        </w:rPr>
        <w:t xml:space="preserve">                               </w:t>
      </w:r>
      <w:r w:rsidRPr="004C4778">
        <w:t>（11）</w:t>
      </w:r>
    </w:p>
    <w:p w14:paraId="0A076D81" w14:textId="77777777" w:rsidR="00495C65" w:rsidRDefault="00495C65" w:rsidP="00495C65">
      <w:pPr>
        <w:pStyle w:val="13"/>
      </w:pPr>
      <w:r w:rsidRPr="00094257">
        <w:rPr>
          <w:rFonts w:hint="eastAsia"/>
        </w:rPr>
        <w:t>式中：</w:t>
      </w:r>
    </w:p>
    <w:p w14:paraId="5A00B592" w14:textId="77777777" w:rsidR="00495C65" w:rsidRDefault="00495C65" w:rsidP="00495C65">
      <w:pPr>
        <w:pStyle w:val="13"/>
        <w:ind w:firstLineChars="500" w:firstLine="1200"/>
      </w:pPr>
      <w:r w:rsidRPr="00C06D2A">
        <w:rPr>
          <w:i/>
          <w:iCs/>
        </w:rPr>
        <w:t>a</w:t>
      </w:r>
      <w:proofErr w:type="gramStart"/>
      <w:r w:rsidRPr="00094257">
        <w:t>—土地</w:t>
      </w:r>
      <w:proofErr w:type="gramEnd"/>
      <w:r w:rsidRPr="00094257">
        <w:t>纯收益；</w:t>
      </w:r>
    </w:p>
    <w:p w14:paraId="6842755B" w14:textId="77777777" w:rsidR="00495C65" w:rsidRDefault="00495C65" w:rsidP="00495C65">
      <w:pPr>
        <w:pStyle w:val="13"/>
        <w:ind w:firstLineChars="500" w:firstLine="1200"/>
      </w:pPr>
      <w:r w:rsidRPr="00C06D2A">
        <w:rPr>
          <w:i/>
          <w:iCs/>
        </w:rPr>
        <w:t>R</w:t>
      </w:r>
      <w:r w:rsidRPr="00C06D2A">
        <w:rPr>
          <w:i/>
          <w:iCs/>
          <w:vertAlign w:val="subscript"/>
        </w:rPr>
        <w:t>in</w:t>
      </w:r>
      <w:r w:rsidRPr="00094257">
        <w:t>—不动产</w:t>
      </w:r>
      <w:r w:rsidRPr="00E164D0">
        <w:rPr>
          <w:rFonts w:hint="eastAsia"/>
        </w:rPr>
        <w:t>纯收益</w:t>
      </w:r>
      <w:r>
        <w:rPr>
          <w:rFonts w:hint="eastAsia"/>
        </w:rPr>
        <w:t>；</w:t>
      </w:r>
    </w:p>
    <w:p w14:paraId="589D23A9" w14:textId="77777777" w:rsidR="00495C65" w:rsidRDefault="00495C65" w:rsidP="00495C65">
      <w:pPr>
        <w:pStyle w:val="13"/>
        <w:ind w:firstLineChars="500" w:firstLine="1200"/>
      </w:pPr>
      <w:proofErr w:type="spellStart"/>
      <w:r w:rsidRPr="00171793">
        <w:rPr>
          <w:i/>
          <w:iCs/>
        </w:rPr>
        <w:lastRenderedPageBreak/>
        <w:t>I</w:t>
      </w:r>
      <w:r w:rsidRPr="00171793">
        <w:rPr>
          <w:i/>
          <w:iCs/>
          <w:vertAlign w:val="subscript"/>
        </w:rPr>
        <w:t>hn</w:t>
      </w:r>
      <w:proofErr w:type="spellEnd"/>
      <w:r w:rsidRPr="00171793">
        <w:t>—房屋纯收益</w:t>
      </w:r>
      <w:r>
        <w:rPr>
          <w:rFonts w:hint="eastAsia"/>
        </w:rPr>
        <w:t>。</w:t>
      </w:r>
    </w:p>
    <w:p w14:paraId="1F6DF10C" w14:textId="77777777" w:rsidR="00495C65" w:rsidRDefault="00495C65" w:rsidP="00495C65">
      <w:pPr>
        <w:pStyle w:val="13"/>
        <w:ind w:firstLineChars="1400" w:firstLine="3360"/>
        <w:jc w:val="left"/>
      </w:pPr>
      <w:r w:rsidRPr="00EF7F0D">
        <w:rPr>
          <w:i/>
          <w:iCs/>
        </w:rPr>
        <w:t>R</w:t>
      </w:r>
      <w:r w:rsidRPr="00C81BBB">
        <w:rPr>
          <w:i/>
          <w:iCs/>
          <w:vertAlign w:val="subscript"/>
        </w:rPr>
        <w:t>in</w:t>
      </w:r>
      <w:r w:rsidRPr="00EF7F0D">
        <w:rPr>
          <w:i/>
          <w:iCs/>
        </w:rPr>
        <w:t>=</w:t>
      </w:r>
      <w:proofErr w:type="spellStart"/>
      <w:r w:rsidRPr="00EF7F0D">
        <w:rPr>
          <w:i/>
          <w:iCs/>
        </w:rPr>
        <w:t>R</w:t>
      </w:r>
      <w:r w:rsidRPr="00C81BBB">
        <w:rPr>
          <w:i/>
          <w:iCs/>
          <w:vertAlign w:val="subscript"/>
        </w:rPr>
        <w:t>lg</w:t>
      </w:r>
      <w:r w:rsidRPr="00EF7F0D">
        <w:rPr>
          <w:i/>
          <w:iCs/>
        </w:rPr>
        <w:t>-C</w:t>
      </w:r>
      <w:r w:rsidRPr="00C81BBB">
        <w:rPr>
          <w:i/>
          <w:iCs/>
          <w:vertAlign w:val="subscript"/>
        </w:rPr>
        <w:t>lg</w:t>
      </w:r>
      <w:proofErr w:type="spellEnd"/>
      <w:r>
        <w:rPr>
          <w:i/>
          <w:iCs/>
        </w:rPr>
        <w:t xml:space="preserve">                              </w:t>
      </w:r>
      <w:r w:rsidRPr="00EF7F0D">
        <w:t>（12）</w:t>
      </w:r>
    </w:p>
    <w:p w14:paraId="57C52D5A" w14:textId="77777777" w:rsidR="00495C65" w:rsidRDefault="00495C65" w:rsidP="00495C65">
      <w:pPr>
        <w:pStyle w:val="13"/>
      </w:pPr>
      <w:r>
        <w:rPr>
          <w:rFonts w:hint="eastAsia"/>
        </w:rPr>
        <w:t>式中：</w:t>
      </w:r>
    </w:p>
    <w:p w14:paraId="4269C749" w14:textId="77777777" w:rsidR="00495C65" w:rsidRDefault="00495C65" w:rsidP="00495C65">
      <w:pPr>
        <w:pStyle w:val="13"/>
        <w:ind w:firstLineChars="500" w:firstLine="1200"/>
      </w:pPr>
      <w:r w:rsidRPr="006B12E9">
        <w:rPr>
          <w:i/>
          <w:iCs/>
        </w:rPr>
        <w:t>R</w:t>
      </w:r>
      <w:r w:rsidRPr="006B12E9">
        <w:rPr>
          <w:i/>
          <w:iCs/>
          <w:vertAlign w:val="subscript"/>
        </w:rPr>
        <w:t>in</w:t>
      </w:r>
      <w:r>
        <w:t>—不动产纯收益；</w:t>
      </w:r>
    </w:p>
    <w:p w14:paraId="6F0F2371" w14:textId="77777777" w:rsidR="00495C65" w:rsidRDefault="00495C65" w:rsidP="00495C65">
      <w:pPr>
        <w:pStyle w:val="13"/>
        <w:ind w:firstLineChars="500" w:firstLine="1200"/>
      </w:pPr>
      <w:proofErr w:type="spellStart"/>
      <w:r w:rsidRPr="006B12E9">
        <w:rPr>
          <w:i/>
          <w:iCs/>
        </w:rPr>
        <w:t>R</w:t>
      </w:r>
      <w:r w:rsidRPr="006B12E9">
        <w:rPr>
          <w:i/>
          <w:iCs/>
          <w:vertAlign w:val="subscript"/>
        </w:rPr>
        <w:t>lg</w:t>
      </w:r>
      <w:proofErr w:type="spellEnd"/>
      <w:r>
        <w:t>—不动产年总收益；</w:t>
      </w:r>
    </w:p>
    <w:p w14:paraId="32CFA3C8" w14:textId="77777777" w:rsidR="00495C65" w:rsidRDefault="00495C65" w:rsidP="00495C65">
      <w:pPr>
        <w:pStyle w:val="13"/>
        <w:ind w:firstLineChars="500" w:firstLine="1200"/>
      </w:pPr>
      <w:proofErr w:type="spellStart"/>
      <w:r w:rsidRPr="006B12E9">
        <w:rPr>
          <w:i/>
          <w:iCs/>
        </w:rPr>
        <w:t>C</w:t>
      </w:r>
      <w:r w:rsidRPr="006B12E9">
        <w:rPr>
          <w:i/>
          <w:iCs/>
          <w:vertAlign w:val="subscript"/>
        </w:rPr>
        <w:t>lg</w:t>
      </w:r>
      <w:proofErr w:type="spellEnd"/>
      <w:r>
        <w:t>—不动产年总费用。</w:t>
      </w:r>
    </w:p>
    <w:p w14:paraId="62CB01B3" w14:textId="77777777" w:rsidR="00495C65" w:rsidRPr="005F2738" w:rsidRDefault="00495C65" w:rsidP="00495C65">
      <w:pPr>
        <w:pStyle w:val="13"/>
        <w:ind w:firstLineChars="1400" w:firstLine="3360"/>
        <w:jc w:val="left"/>
        <w:rPr>
          <w:i/>
          <w:iCs/>
        </w:rPr>
      </w:pPr>
      <w:proofErr w:type="spellStart"/>
      <w:r w:rsidRPr="005F2738">
        <w:rPr>
          <w:i/>
          <w:iCs/>
        </w:rPr>
        <w:t>I</w:t>
      </w:r>
      <w:r w:rsidRPr="001C13CF">
        <w:rPr>
          <w:i/>
          <w:iCs/>
          <w:vertAlign w:val="subscript"/>
        </w:rPr>
        <w:t>hn</w:t>
      </w:r>
      <w:proofErr w:type="spellEnd"/>
      <w:r w:rsidRPr="005F2738">
        <w:rPr>
          <w:i/>
          <w:iCs/>
        </w:rPr>
        <w:t>=P</w:t>
      </w:r>
      <w:r w:rsidRPr="001C13CF">
        <w:rPr>
          <w:i/>
          <w:iCs/>
          <w:vertAlign w:val="subscript"/>
        </w:rPr>
        <w:t>hc</w:t>
      </w:r>
      <w:r w:rsidRPr="005F2738">
        <w:rPr>
          <w:i/>
          <w:iCs/>
        </w:rPr>
        <w:t>×r</w:t>
      </w:r>
      <w:r w:rsidRPr="008D62F4">
        <w:rPr>
          <w:i/>
          <w:iCs/>
          <w:vertAlign w:val="subscript"/>
        </w:rPr>
        <w:t>2</w:t>
      </w:r>
      <w:r>
        <w:rPr>
          <w:i/>
          <w:iCs/>
        </w:rPr>
        <w:t xml:space="preserve">                              </w:t>
      </w:r>
      <w:r w:rsidRPr="005F2738">
        <w:t>（13）</w:t>
      </w:r>
    </w:p>
    <w:p w14:paraId="210D2C43" w14:textId="77777777" w:rsidR="00495C65" w:rsidRDefault="00495C65" w:rsidP="00495C65">
      <w:pPr>
        <w:pStyle w:val="13"/>
      </w:pPr>
      <w:r>
        <w:rPr>
          <w:rFonts w:hint="eastAsia"/>
        </w:rPr>
        <w:t>式中：</w:t>
      </w:r>
    </w:p>
    <w:p w14:paraId="1167BFF6" w14:textId="77777777" w:rsidR="00495C65" w:rsidRDefault="00495C65" w:rsidP="00495C65">
      <w:pPr>
        <w:pStyle w:val="13"/>
        <w:ind w:firstLineChars="500" w:firstLine="1200"/>
      </w:pPr>
      <w:proofErr w:type="spellStart"/>
      <w:r w:rsidRPr="002B5170">
        <w:rPr>
          <w:i/>
          <w:iCs/>
        </w:rPr>
        <w:t>I</w:t>
      </w:r>
      <w:r w:rsidRPr="002B5170">
        <w:rPr>
          <w:i/>
          <w:iCs/>
          <w:vertAlign w:val="subscript"/>
        </w:rPr>
        <w:t>hn</w:t>
      </w:r>
      <w:proofErr w:type="spellEnd"/>
      <w:r>
        <w:t>—房屋纯收益；</w:t>
      </w:r>
    </w:p>
    <w:p w14:paraId="543C0DFE" w14:textId="77777777" w:rsidR="00495C65" w:rsidRDefault="00495C65" w:rsidP="00495C65">
      <w:pPr>
        <w:pStyle w:val="13"/>
        <w:ind w:firstLineChars="500" w:firstLine="1200"/>
      </w:pPr>
      <w:proofErr w:type="spellStart"/>
      <w:r w:rsidRPr="002B5170">
        <w:rPr>
          <w:i/>
          <w:iCs/>
        </w:rPr>
        <w:t>P</w:t>
      </w:r>
      <w:r w:rsidRPr="002B5170">
        <w:rPr>
          <w:i/>
          <w:iCs/>
          <w:vertAlign w:val="subscript"/>
        </w:rPr>
        <w:t>hc</w:t>
      </w:r>
      <w:proofErr w:type="spellEnd"/>
      <w:r>
        <w:t>—房屋现值；</w:t>
      </w:r>
    </w:p>
    <w:p w14:paraId="1EF1AA02" w14:textId="77777777" w:rsidR="00495C65" w:rsidRDefault="00495C65" w:rsidP="00495C65">
      <w:pPr>
        <w:pStyle w:val="13"/>
        <w:ind w:firstLineChars="500" w:firstLine="1200"/>
      </w:pPr>
      <w:r w:rsidRPr="002B5170">
        <w:rPr>
          <w:i/>
          <w:iCs/>
        </w:rPr>
        <w:t>r</w:t>
      </w:r>
      <w:r w:rsidRPr="002B5170">
        <w:rPr>
          <w:i/>
          <w:iCs/>
          <w:vertAlign w:val="subscript"/>
        </w:rPr>
        <w:t>2</w:t>
      </w:r>
      <w:r>
        <w:t>—建筑物还原率。</w:t>
      </w:r>
    </w:p>
    <w:p w14:paraId="3813D54F" w14:textId="77777777" w:rsidR="00495C65" w:rsidRPr="0021437F" w:rsidRDefault="00495C65" w:rsidP="00495C65">
      <w:pPr>
        <w:pStyle w:val="13"/>
      </w:pPr>
      <w:r w:rsidRPr="0021437F">
        <w:rPr>
          <w:rFonts w:hint="eastAsia"/>
        </w:rPr>
        <w:t>房屋现值应根据估价期日的同类房屋建筑的建造成本费用，结合房屋的物理、经济和功能的退化状况选用适当方法来确定，其公式如式（</w:t>
      </w:r>
      <w:r w:rsidRPr="0021437F">
        <w:t>14）所示：</w:t>
      </w:r>
    </w:p>
    <w:p w14:paraId="6BEB1595" w14:textId="77777777" w:rsidR="00495C65" w:rsidRPr="000B2B84" w:rsidRDefault="00495C65" w:rsidP="00495C65">
      <w:pPr>
        <w:pStyle w:val="13"/>
        <w:ind w:firstLineChars="1400" w:firstLine="3360"/>
        <w:jc w:val="left"/>
        <w:rPr>
          <w:i/>
          <w:iCs/>
        </w:rPr>
      </w:pPr>
      <w:proofErr w:type="spellStart"/>
      <w:r w:rsidRPr="000B2B84">
        <w:rPr>
          <w:i/>
          <w:iCs/>
        </w:rPr>
        <w:t>P</w:t>
      </w:r>
      <w:r w:rsidRPr="00971356">
        <w:rPr>
          <w:i/>
          <w:iCs/>
          <w:vertAlign w:val="subscript"/>
        </w:rPr>
        <w:t>hc</w:t>
      </w:r>
      <w:proofErr w:type="spellEnd"/>
      <w:r w:rsidRPr="000B2B84">
        <w:rPr>
          <w:i/>
          <w:iCs/>
        </w:rPr>
        <w:t>=</w:t>
      </w:r>
      <w:proofErr w:type="spellStart"/>
      <w:r w:rsidRPr="000B2B84">
        <w:rPr>
          <w:i/>
          <w:iCs/>
        </w:rPr>
        <w:t>P</w:t>
      </w:r>
      <w:r w:rsidRPr="00971356">
        <w:rPr>
          <w:i/>
          <w:iCs/>
          <w:vertAlign w:val="subscript"/>
        </w:rPr>
        <w:t>hk</w:t>
      </w:r>
      <w:r w:rsidRPr="000B2B84">
        <w:rPr>
          <w:i/>
          <w:iCs/>
        </w:rPr>
        <w:t>×D</w:t>
      </w:r>
      <w:r w:rsidRPr="00971356">
        <w:rPr>
          <w:i/>
          <w:iCs/>
          <w:vertAlign w:val="subscript"/>
        </w:rPr>
        <w:t>n</w:t>
      </w:r>
      <w:proofErr w:type="spellEnd"/>
      <w:r w:rsidRPr="000B2B84">
        <w:rPr>
          <w:i/>
          <w:iCs/>
        </w:rPr>
        <w:t>=</w:t>
      </w:r>
      <w:proofErr w:type="spellStart"/>
      <w:r w:rsidRPr="000B2B84">
        <w:rPr>
          <w:i/>
          <w:iCs/>
        </w:rPr>
        <w:t>P</w:t>
      </w:r>
      <w:r w:rsidRPr="00971356">
        <w:rPr>
          <w:i/>
          <w:iCs/>
          <w:vertAlign w:val="subscript"/>
        </w:rPr>
        <w:t>hk</w:t>
      </w:r>
      <w:proofErr w:type="spellEnd"/>
      <w:r w:rsidRPr="000B2B84">
        <w:rPr>
          <w:i/>
          <w:iCs/>
        </w:rPr>
        <w:t>-E</w:t>
      </w:r>
      <w:r>
        <w:rPr>
          <w:i/>
          <w:iCs/>
        </w:rPr>
        <w:t xml:space="preserve">                         </w:t>
      </w:r>
      <w:r w:rsidRPr="000B2B84">
        <w:t>（14）</w:t>
      </w:r>
    </w:p>
    <w:p w14:paraId="34A7E5D2" w14:textId="77777777" w:rsidR="00495C65" w:rsidRDefault="00495C65" w:rsidP="00495C65">
      <w:pPr>
        <w:pStyle w:val="13"/>
      </w:pPr>
      <w:r>
        <w:rPr>
          <w:rFonts w:hint="eastAsia"/>
        </w:rPr>
        <w:t>式中：</w:t>
      </w:r>
    </w:p>
    <w:p w14:paraId="28288A53" w14:textId="77777777" w:rsidR="00495C65" w:rsidRDefault="00495C65" w:rsidP="00495C65">
      <w:pPr>
        <w:pStyle w:val="13"/>
        <w:ind w:firstLineChars="500" w:firstLine="1200"/>
      </w:pPr>
      <w:proofErr w:type="spellStart"/>
      <w:r w:rsidRPr="0096742F">
        <w:rPr>
          <w:i/>
          <w:iCs/>
        </w:rPr>
        <w:t>P</w:t>
      </w:r>
      <w:r w:rsidRPr="0096742F">
        <w:rPr>
          <w:i/>
          <w:iCs/>
          <w:vertAlign w:val="subscript"/>
        </w:rPr>
        <w:t>hc</w:t>
      </w:r>
      <w:proofErr w:type="spellEnd"/>
      <w:r>
        <w:t>—房屋现值；</w:t>
      </w:r>
    </w:p>
    <w:p w14:paraId="364F4E3F" w14:textId="77777777" w:rsidR="00495C65" w:rsidRDefault="00495C65" w:rsidP="00495C65">
      <w:pPr>
        <w:pStyle w:val="13"/>
        <w:ind w:firstLineChars="500" w:firstLine="1200"/>
      </w:pPr>
      <w:proofErr w:type="spellStart"/>
      <w:r w:rsidRPr="0096742F">
        <w:rPr>
          <w:i/>
          <w:iCs/>
        </w:rPr>
        <w:t>P</w:t>
      </w:r>
      <w:r w:rsidRPr="0096742F">
        <w:rPr>
          <w:i/>
          <w:iCs/>
          <w:vertAlign w:val="subscript"/>
        </w:rPr>
        <w:t>hk</w:t>
      </w:r>
      <w:proofErr w:type="spellEnd"/>
      <w:r>
        <w:t>—房屋重置价；</w:t>
      </w:r>
    </w:p>
    <w:p w14:paraId="1B79944A" w14:textId="77777777" w:rsidR="00495C65" w:rsidRDefault="00495C65" w:rsidP="00495C65">
      <w:pPr>
        <w:pStyle w:val="13"/>
        <w:ind w:firstLineChars="500" w:firstLine="1200"/>
      </w:pPr>
      <w:proofErr w:type="spellStart"/>
      <w:r w:rsidRPr="0096742F">
        <w:rPr>
          <w:i/>
          <w:iCs/>
        </w:rPr>
        <w:t>D</w:t>
      </w:r>
      <w:r w:rsidRPr="0096742F">
        <w:rPr>
          <w:i/>
          <w:iCs/>
          <w:vertAlign w:val="subscript"/>
        </w:rPr>
        <w:t>n</w:t>
      </w:r>
      <w:proofErr w:type="spellEnd"/>
      <w:r>
        <w:t>—房屋成新度；</w:t>
      </w:r>
    </w:p>
    <w:p w14:paraId="223AA6B6" w14:textId="77777777" w:rsidR="00495C65" w:rsidRDefault="00495C65" w:rsidP="00495C65">
      <w:pPr>
        <w:pStyle w:val="13"/>
        <w:ind w:firstLineChars="500" w:firstLine="1200"/>
      </w:pPr>
      <w:r w:rsidRPr="0096742F">
        <w:rPr>
          <w:i/>
          <w:iCs/>
        </w:rPr>
        <w:t>E</w:t>
      </w:r>
      <w:r>
        <w:t>—房屋折旧总额。</w:t>
      </w:r>
    </w:p>
    <w:p w14:paraId="3F1A6710" w14:textId="77777777" w:rsidR="00495C65" w:rsidRPr="00352FF6" w:rsidRDefault="00495C65" w:rsidP="00495C65">
      <w:pPr>
        <w:pStyle w:val="13"/>
      </w:pPr>
      <w:r w:rsidRPr="00352FF6">
        <w:rPr>
          <w:rFonts w:hint="eastAsia"/>
        </w:rPr>
        <w:t>利用不动产收益评估土地收益价格时应关注如下情况：</w:t>
      </w:r>
    </w:p>
    <w:p w14:paraId="72F0AD92" w14:textId="77777777" w:rsidR="00495C65" w:rsidRPr="00352FF6" w:rsidRDefault="00495C65" w:rsidP="00495C65">
      <w:pPr>
        <w:pStyle w:val="13"/>
      </w:pPr>
      <w:proofErr w:type="gramStart"/>
      <w:r w:rsidRPr="00352FF6">
        <w:rPr>
          <w:rFonts w:hint="eastAsia"/>
        </w:rPr>
        <w:t>—当房屋</w:t>
      </w:r>
      <w:proofErr w:type="gramEnd"/>
      <w:r w:rsidRPr="00352FF6">
        <w:rPr>
          <w:rFonts w:hint="eastAsia"/>
        </w:rPr>
        <w:t>经济寿命早于设定土地使用权年期时，应按照房屋经济寿命确定折旧年限；并合理估算剩余年期的土地价格。</w:t>
      </w:r>
    </w:p>
    <w:p w14:paraId="163FB54D" w14:textId="77777777" w:rsidR="00495C65" w:rsidRPr="00352FF6" w:rsidRDefault="00495C65" w:rsidP="00495C65">
      <w:pPr>
        <w:pStyle w:val="13"/>
      </w:pPr>
      <w:proofErr w:type="gramStart"/>
      <w:r w:rsidRPr="00352FF6">
        <w:rPr>
          <w:rFonts w:hint="eastAsia"/>
        </w:rPr>
        <w:t>—当房屋</w:t>
      </w:r>
      <w:proofErr w:type="gramEnd"/>
      <w:r w:rsidRPr="00352FF6">
        <w:rPr>
          <w:rFonts w:hint="eastAsia"/>
        </w:rPr>
        <w:t>经济寿命晚于设定土地使用权年期时，应按照土地使用权期限确定折旧年限，并合理估算房屋残值。</w:t>
      </w:r>
    </w:p>
    <w:p w14:paraId="251AF6CF" w14:textId="77777777" w:rsidR="00495C65" w:rsidRPr="00352FF6" w:rsidRDefault="00495C65" w:rsidP="00495C65">
      <w:pPr>
        <w:pStyle w:val="13"/>
      </w:pPr>
      <w:r>
        <w:rPr>
          <w:rFonts w:hint="eastAsia"/>
        </w:rPr>
        <w:t>（3）</w:t>
      </w:r>
      <w:r w:rsidRPr="00352FF6">
        <w:rPr>
          <w:rFonts w:hint="eastAsia"/>
        </w:rPr>
        <w:t>经营性项目：</w:t>
      </w:r>
    </w:p>
    <w:p w14:paraId="167B20A5" w14:textId="77777777" w:rsidR="00495C65" w:rsidRPr="00B473FE" w:rsidRDefault="00495C65" w:rsidP="00495C65">
      <w:pPr>
        <w:pStyle w:val="13"/>
        <w:ind w:firstLineChars="1400" w:firstLine="3360"/>
        <w:jc w:val="left"/>
        <w:rPr>
          <w:i/>
          <w:iCs/>
        </w:rPr>
      </w:pPr>
      <w:r w:rsidRPr="00B473FE">
        <w:rPr>
          <w:i/>
          <w:iCs/>
        </w:rPr>
        <w:t>a=</w:t>
      </w:r>
      <w:proofErr w:type="spellStart"/>
      <w:r w:rsidRPr="00B473FE">
        <w:rPr>
          <w:i/>
          <w:iCs/>
        </w:rPr>
        <w:t>I</w:t>
      </w:r>
      <w:r w:rsidRPr="00B473FE">
        <w:rPr>
          <w:i/>
          <w:iCs/>
          <w:vertAlign w:val="subscript"/>
        </w:rPr>
        <w:t>jp</w:t>
      </w:r>
      <w:r w:rsidRPr="00B473FE">
        <w:rPr>
          <w:i/>
          <w:iCs/>
        </w:rPr>
        <w:t>-Ij</w:t>
      </w:r>
      <w:r w:rsidRPr="00B473FE">
        <w:rPr>
          <w:i/>
          <w:iCs/>
          <w:vertAlign w:val="subscript"/>
        </w:rPr>
        <w:t>f</w:t>
      </w:r>
      <w:proofErr w:type="spellEnd"/>
      <w:r w:rsidRPr="00B473FE">
        <w:rPr>
          <w:i/>
          <w:iCs/>
          <w:vertAlign w:val="subscript"/>
        </w:rPr>
        <w:t xml:space="preserve"> </w:t>
      </w:r>
      <w:r>
        <w:rPr>
          <w:i/>
          <w:iCs/>
        </w:rPr>
        <w:t xml:space="preserve">                              </w:t>
      </w:r>
      <w:r w:rsidRPr="00B473FE">
        <w:t>（15）</w:t>
      </w:r>
    </w:p>
    <w:p w14:paraId="0CA00B53" w14:textId="77777777" w:rsidR="00495C65" w:rsidRPr="00352FF6" w:rsidRDefault="00495C65" w:rsidP="00495C65">
      <w:pPr>
        <w:pStyle w:val="13"/>
      </w:pPr>
      <w:r w:rsidRPr="00352FF6">
        <w:rPr>
          <w:rFonts w:hint="eastAsia"/>
        </w:rPr>
        <w:t>式中：</w:t>
      </w:r>
    </w:p>
    <w:p w14:paraId="72DF1729" w14:textId="77777777" w:rsidR="00495C65" w:rsidRDefault="00495C65" w:rsidP="00495C65">
      <w:pPr>
        <w:pStyle w:val="13"/>
        <w:ind w:firstLineChars="500" w:firstLine="1200"/>
      </w:pPr>
      <w:r w:rsidRPr="00F45E05">
        <w:rPr>
          <w:i/>
          <w:iCs/>
        </w:rPr>
        <w:t>a</w:t>
      </w:r>
      <w:proofErr w:type="gramStart"/>
      <w:r w:rsidRPr="00352FF6">
        <w:t>—土地</w:t>
      </w:r>
      <w:proofErr w:type="gramEnd"/>
      <w:r w:rsidRPr="00352FF6">
        <w:t>纯收益；</w:t>
      </w:r>
    </w:p>
    <w:p w14:paraId="73887FF2" w14:textId="77777777" w:rsidR="00495C65" w:rsidRPr="00352FF6" w:rsidRDefault="00495C65" w:rsidP="00495C65">
      <w:pPr>
        <w:pStyle w:val="13"/>
        <w:ind w:firstLineChars="500" w:firstLine="1200"/>
      </w:pPr>
      <w:proofErr w:type="spellStart"/>
      <w:r w:rsidRPr="00F45E05">
        <w:rPr>
          <w:i/>
          <w:iCs/>
        </w:rPr>
        <w:t>I</w:t>
      </w:r>
      <w:r w:rsidRPr="00F45E05">
        <w:rPr>
          <w:i/>
          <w:iCs/>
          <w:vertAlign w:val="subscript"/>
        </w:rPr>
        <w:t>jp</w:t>
      </w:r>
      <w:proofErr w:type="spellEnd"/>
      <w:r w:rsidRPr="00352FF6">
        <w:t>—企业经营纯收益；</w:t>
      </w:r>
    </w:p>
    <w:p w14:paraId="56A15116" w14:textId="77777777" w:rsidR="00495C65" w:rsidRDefault="00495C65" w:rsidP="00495C65">
      <w:pPr>
        <w:pStyle w:val="13"/>
        <w:ind w:firstLineChars="500" w:firstLine="1200"/>
      </w:pPr>
      <w:proofErr w:type="spellStart"/>
      <w:r w:rsidRPr="00F45E05">
        <w:rPr>
          <w:i/>
          <w:iCs/>
        </w:rPr>
        <w:t>I</w:t>
      </w:r>
      <w:r w:rsidRPr="00F45E05">
        <w:rPr>
          <w:i/>
          <w:iCs/>
          <w:vertAlign w:val="subscript"/>
        </w:rPr>
        <w:t>jf</w:t>
      </w:r>
      <w:proofErr w:type="spellEnd"/>
      <w:r w:rsidRPr="00352FF6">
        <w:t>—</w:t>
      </w:r>
      <w:proofErr w:type="gramStart"/>
      <w:r w:rsidRPr="00352FF6">
        <w:t>非土地</w:t>
      </w:r>
      <w:proofErr w:type="gramEnd"/>
      <w:r w:rsidRPr="00352FF6">
        <w:t>资产纯收益。</w:t>
      </w:r>
    </w:p>
    <w:p w14:paraId="05B0A1AC" w14:textId="77777777" w:rsidR="00495C65" w:rsidRDefault="00495C65" w:rsidP="00495C65">
      <w:pPr>
        <w:pStyle w:val="13"/>
        <w:ind w:firstLineChars="1400" w:firstLine="3360"/>
        <w:jc w:val="left"/>
      </w:pPr>
      <w:proofErr w:type="spellStart"/>
      <w:r w:rsidRPr="00AF162A">
        <w:rPr>
          <w:i/>
          <w:iCs/>
        </w:rPr>
        <w:t>I</w:t>
      </w:r>
      <w:r w:rsidRPr="00AF162A">
        <w:rPr>
          <w:i/>
          <w:iCs/>
          <w:vertAlign w:val="subscript"/>
        </w:rPr>
        <w:t>jp</w:t>
      </w:r>
      <w:proofErr w:type="spellEnd"/>
      <w:r w:rsidRPr="00AF162A">
        <w:rPr>
          <w:i/>
          <w:iCs/>
        </w:rPr>
        <w:t>=</w:t>
      </w:r>
      <w:proofErr w:type="spellStart"/>
      <w:r w:rsidRPr="00AF162A">
        <w:rPr>
          <w:i/>
          <w:iCs/>
        </w:rPr>
        <w:t>Y</w:t>
      </w:r>
      <w:r w:rsidRPr="00AF162A">
        <w:rPr>
          <w:i/>
          <w:iCs/>
          <w:vertAlign w:val="subscript"/>
        </w:rPr>
        <w:t>jp</w:t>
      </w:r>
      <w:r w:rsidRPr="00AF162A">
        <w:rPr>
          <w:i/>
          <w:iCs/>
        </w:rPr>
        <w:t>-C</w:t>
      </w:r>
      <w:r w:rsidRPr="00AF162A">
        <w:rPr>
          <w:i/>
          <w:iCs/>
          <w:vertAlign w:val="subscript"/>
        </w:rPr>
        <w:t>jp</w:t>
      </w:r>
      <w:proofErr w:type="spellEnd"/>
      <w:r>
        <w:rPr>
          <w:i/>
          <w:iCs/>
        </w:rPr>
        <w:t xml:space="preserve">                              </w:t>
      </w:r>
      <w:r w:rsidRPr="00AF162A">
        <w:t>（16）</w:t>
      </w:r>
    </w:p>
    <w:p w14:paraId="6436ED71" w14:textId="77777777" w:rsidR="00495C65" w:rsidRDefault="00495C65" w:rsidP="00495C65">
      <w:pPr>
        <w:pStyle w:val="13"/>
      </w:pPr>
      <w:r>
        <w:rPr>
          <w:rFonts w:hint="eastAsia"/>
        </w:rPr>
        <w:t>式中：</w:t>
      </w:r>
    </w:p>
    <w:p w14:paraId="2A3FFD77" w14:textId="77777777" w:rsidR="00495C65" w:rsidRDefault="00495C65" w:rsidP="00495C65">
      <w:pPr>
        <w:pStyle w:val="13"/>
        <w:ind w:firstLineChars="500" w:firstLine="1200"/>
      </w:pPr>
      <w:proofErr w:type="spellStart"/>
      <w:r w:rsidRPr="00684FF2">
        <w:rPr>
          <w:i/>
          <w:iCs/>
        </w:rPr>
        <w:t>I</w:t>
      </w:r>
      <w:r w:rsidRPr="00684FF2">
        <w:rPr>
          <w:i/>
          <w:iCs/>
          <w:vertAlign w:val="subscript"/>
        </w:rPr>
        <w:t>jp</w:t>
      </w:r>
      <w:proofErr w:type="spellEnd"/>
      <w:r>
        <w:t>—企业经营纯收益；</w:t>
      </w:r>
    </w:p>
    <w:p w14:paraId="73EB89E8" w14:textId="77777777" w:rsidR="00495C65" w:rsidRDefault="00495C65" w:rsidP="00495C65">
      <w:pPr>
        <w:pStyle w:val="13"/>
        <w:ind w:firstLineChars="500" w:firstLine="1200"/>
      </w:pPr>
      <w:proofErr w:type="spellStart"/>
      <w:r w:rsidRPr="00684FF2">
        <w:rPr>
          <w:i/>
          <w:iCs/>
        </w:rPr>
        <w:t>Y</w:t>
      </w:r>
      <w:r w:rsidRPr="00684FF2">
        <w:rPr>
          <w:i/>
          <w:iCs/>
          <w:vertAlign w:val="subscript"/>
        </w:rPr>
        <w:t>jp</w:t>
      </w:r>
      <w:proofErr w:type="spellEnd"/>
      <w:r>
        <w:t>—年经营总收入；</w:t>
      </w:r>
    </w:p>
    <w:p w14:paraId="2E1674A8" w14:textId="77777777" w:rsidR="00495C65" w:rsidRDefault="00495C65" w:rsidP="00495C65">
      <w:pPr>
        <w:pStyle w:val="13"/>
        <w:ind w:firstLineChars="500" w:firstLine="1200"/>
      </w:pPr>
      <w:proofErr w:type="spellStart"/>
      <w:r w:rsidRPr="00684FF2">
        <w:rPr>
          <w:i/>
          <w:iCs/>
        </w:rPr>
        <w:lastRenderedPageBreak/>
        <w:t>C</w:t>
      </w:r>
      <w:r w:rsidRPr="00684FF2">
        <w:rPr>
          <w:i/>
          <w:iCs/>
          <w:vertAlign w:val="subscript"/>
        </w:rPr>
        <w:t>jp</w:t>
      </w:r>
      <w:proofErr w:type="spellEnd"/>
      <w:r>
        <w:t>—年经营总费用。</w:t>
      </w:r>
    </w:p>
    <w:p w14:paraId="2E860FBF" w14:textId="77777777" w:rsidR="00495C65" w:rsidRDefault="00495C65" w:rsidP="00495C65">
      <w:pPr>
        <w:pStyle w:val="13"/>
      </w:pPr>
      <w:r>
        <w:rPr>
          <w:rFonts w:hint="eastAsia"/>
        </w:rPr>
        <w:t>（</w:t>
      </w:r>
      <w:r>
        <w:t>4</w:t>
      </w:r>
      <w:r>
        <w:rPr>
          <w:rFonts w:hint="eastAsia"/>
        </w:rPr>
        <w:t>）生产性项目：</w:t>
      </w:r>
    </w:p>
    <w:p w14:paraId="6816ED7F" w14:textId="77777777" w:rsidR="00495C65" w:rsidRDefault="00495C65" w:rsidP="00495C65">
      <w:pPr>
        <w:pStyle w:val="13"/>
        <w:ind w:firstLineChars="1400" w:firstLine="3360"/>
        <w:jc w:val="left"/>
      </w:pPr>
      <w:r w:rsidRPr="00DE33F2">
        <w:rPr>
          <w:i/>
          <w:iCs/>
        </w:rPr>
        <w:t>a=</w:t>
      </w:r>
      <w:proofErr w:type="spellStart"/>
      <w:r w:rsidRPr="00DE33F2">
        <w:rPr>
          <w:i/>
          <w:iCs/>
        </w:rPr>
        <w:t>I</w:t>
      </w:r>
      <w:r w:rsidRPr="00DE33F2">
        <w:rPr>
          <w:i/>
          <w:iCs/>
          <w:vertAlign w:val="subscript"/>
        </w:rPr>
        <w:t>sp</w:t>
      </w:r>
      <w:r w:rsidRPr="00DE33F2">
        <w:rPr>
          <w:i/>
          <w:iCs/>
        </w:rPr>
        <w:t>-I</w:t>
      </w:r>
      <w:r w:rsidRPr="00DE33F2">
        <w:rPr>
          <w:i/>
          <w:iCs/>
          <w:vertAlign w:val="subscript"/>
        </w:rPr>
        <w:t>jf</w:t>
      </w:r>
      <w:proofErr w:type="spellEnd"/>
      <w:r w:rsidRPr="00DE33F2">
        <w:rPr>
          <w:i/>
          <w:iCs/>
        </w:rPr>
        <w:t xml:space="preserve">  </w:t>
      </w:r>
      <w:r>
        <w:rPr>
          <w:i/>
          <w:iCs/>
        </w:rPr>
        <w:t xml:space="preserve">                            </w:t>
      </w:r>
      <w:r w:rsidRPr="00DE33F2">
        <w:rPr>
          <w:i/>
          <w:iCs/>
        </w:rPr>
        <w:t xml:space="preserve"> </w:t>
      </w:r>
      <w:r w:rsidRPr="00DE33F2">
        <w:t>（17）</w:t>
      </w:r>
    </w:p>
    <w:p w14:paraId="52A21C8B" w14:textId="77777777" w:rsidR="00495C65" w:rsidRDefault="00495C65" w:rsidP="00495C65">
      <w:pPr>
        <w:pStyle w:val="13"/>
      </w:pPr>
      <w:r>
        <w:rPr>
          <w:rFonts w:hint="eastAsia"/>
        </w:rPr>
        <w:t>式中：</w:t>
      </w:r>
    </w:p>
    <w:p w14:paraId="302DE08E" w14:textId="77777777" w:rsidR="00495C65" w:rsidRDefault="00495C65" w:rsidP="00495C65">
      <w:pPr>
        <w:pStyle w:val="13"/>
        <w:ind w:firstLineChars="500" w:firstLine="1200"/>
      </w:pPr>
      <w:r w:rsidRPr="00A11BE9">
        <w:rPr>
          <w:i/>
          <w:iCs/>
        </w:rPr>
        <w:t>a</w:t>
      </w:r>
      <w:proofErr w:type="gramStart"/>
      <w:r>
        <w:t>—土地</w:t>
      </w:r>
      <w:proofErr w:type="gramEnd"/>
      <w:r>
        <w:t>纯收益；</w:t>
      </w:r>
    </w:p>
    <w:p w14:paraId="6B0C7C2D" w14:textId="77777777" w:rsidR="00495C65" w:rsidRDefault="00495C65" w:rsidP="00495C65">
      <w:pPr>
        <w:pStyle w:val="13"/>
        <w:ind w:firstLineChars="500" w:firstLine="1200"/>
      </w:pPr>
      <w:proofErr w:type="spellStart"/>
      <w:r w:rsidRPr="00A11BE9">
        <w:rPr>
          <w:i/>
          <w:iCs/>
        </w:rPr>
        <w:t>I</w:t>
      </w:r>
      <w:r w:rsidRPr="00A11BE9">
        <w:rPr>
          <w:i/>
          <w:iCs/>
          <w:vertAlign w:val="subscript"/>
        </w:rPr>
        <w:t>sp</w:t>
      </w:r>
      <w:proofErr w:type="spellEnd"/>
      <w:r>
        <w:t>—企业生产纯收益；</w:t>
      </w:r>
    </w:p>
    <w:p w14:paraId="5904CD52" w14:textId="77777777" w:rsidR="00495C65" w:rsidRDefault="00495C65" w:rsidP="00495C65">
      <w:pPr>
        <w:pStyle w:val="13"/>
        <w:ind w:firstLineChars="500" w:firstLine="1200"/>
      </w:pPr>
      <w:proofErr w:type="spellStart"/>
      <w:r w:rsidRPr="00A11BE9">
        <w:rPr>
          <w:i/>
          <w:iCs/>
        </w:rPr>
        <w:t>I</w:t>
      </w:r>
      <w:r w:rsidRPr="00A11BE9">
        <w:rPr>
          <w:i/>
          <w:iCs/>
          <w:vertAlign w:val="subscript"/>
        </w:rPr>
        <w:t>jf</w:t>
      </w:r>
      <w:proofErr w:type="spellEnd"/>
      <w:r>
        <w:t>—</w:t>
      </w:r>
      <w:proofErr w:type="gramStart"/>
      <w:r>
        <w:t>非土地</w:t>
      </w:r>
      <w:proofErr w:type="gramEnd"/>
      <w:r>
        <w:t>资产纯收益。</w:t>
      </w:r>
    </w:p>
    <w:p w14:paraId="2845B01C" w14:textId="77777777" w:rsidR="00495C65" w:rsidRPr="003F2AC5" w:rsidRDefault="00495C65" w:rsidP="00495C65">
      <w:pPr>
        <w:pStyle w:val="13"/>
        <w:ind w:firstLineChars="1400" w:firstLine="3360"/>
        <w:jc w:val="left"/>
        <w:rPr>
          <w:i/>
          <w:iCs/>
        </w:rPr>
      </w:pPr>
      <w:proofErr w:type="spellStart"/>
      <w:r w:rsidRPr="003F2AC5">
        <w:rPr>
          <w:i/>
          <w:iCs/>
        </w:rPr>
        <w:t>I</w:t>
      </w:r>
      <w:r w:rsidRPr="003F2AC5">
        <w:rPr>
          <w:i/>
          <w:iCs/>
          <w:vertAlign w:val="subscript"/>
        </w:rPr>
        <w:t>sp</w:t>
      </w:r>
      <w:proofErr w:type="spellEnd"/>
      <w:r w:rsidRPr="003F2AC5">
        <w:rPr>
          <w:i/>
          <w:iCs/>
        </w:rPr>
        <w:t>=</w:t>
      </w:r>
      <w:proofErr w:type="spellStart"/>
      <w:r w:rsidRPr="003F2AC5">
        <w:rPr>
          <w:i/>
          <w:iCs/>
        </w:rPr>
        <w:t>Y</w:t>
      </w:r>
      <w:r w:rsidRPr="003F2AC5">
        <w:rPr>
          <w:i/>
          <w:iCs/>
          <w:vertAlign w:val="subscript"/>
        </w:rPr>
        <w:t>sp</w:t>
      </w:r>
      <w:r w:rsidRPr="003F2AC5">
        <w:rPr>
          <w:i/>
          <w:iCs/>
        </w:rPr>
        <w:t>-C</w:t>
      </w:r>
      <w:r w:rsidRPr="003F2AC5">
        <w:rPr>
          <w:i/>
          <w:iCs/>
          <w:vertAlign w:val="subscript"/>
        </w:rPr>
        <w:t>sp</w:t>
      </w:r>
      <w:proofErr w:type="spellEnd"/>
      <w:r>
        <w:rPr>
          <w:i/>
          <w:iCs/>
        </w:rPr>
        <w:t xml:space="preserve">                              </w:t>
      </w:r>
      <w:r w:rsidRPr="003F2AC5">
        <w:t>（18）</w:t>
      </w:r>
    </w:p>
    <w:p w14:paraId="1481FC8A" w14:textId="77777777" w:rsidR="00495C65" w:rsidRDefault="00495C65" w:rsidP="00495C65">
      <w:pPr>
        <w:pStyle w:val="13"/>
      </w:pPr>
      <w:r>
        <w:rPr>
          <w:rFonts w:hint="eastAsia"/>
        </w:rPr>
        <w:t>式中：</w:t>
      </w:r>
    </w:p>
    <w:p w14:paraId="59C1EFDB" w14:textId="77777777" w:rsidR="00495C65" w:rsidRPr="00381965" w:rsidRDefault="00495C65" w:rsidP="00495C65">
      <w:pPr>
        <w:pStyle w:val="13"/>
        <w:ind w:firstLineChars="500" w:firstLine="1200"/>
      </w:pPr>
      <w:proofErr w:type="spellStart"/>
      <w:r w:rsidRPr="00877AF5">
        <w:rPr>
          <w:i/>
          <w:iCs/>
        </w:rPr>
        <w:t>I</w:t>
      </w:r>
      <w:r w:rsidRPr="00877AF5">
        <w:rPr>
          <w:i/>
          <w:iCs/>
          <w:vertAlign w:val="subscript"/>
        </w:rPr>
        <w:t>sp</w:t>
      </w:r>
      <w:proofErr w:type="spellEnd"/>
      <w:r w:rsidRPr="00381965">
        <w:t>—企业生产纯收益；</w:t>
      </w:r>
    </w:p>
    <w:p w14:paraId="001B8778" w14:textId="77777777" w:rsidR="00495C65" w:rsidRPr="00381965" w:rsidRDefault="00495C65" w:rsidP="00495C65">
      <w:pPr>
        <w:pStyle w:val="13"/>
        <w:ind w:firstLineChars="500" w:firstLine="1200"/>
      </w:pPr>
      <w:proofErr w:type="spellStart"/>
      <w:r w:rsidRPr="00877AF5">
        <w:rPr>
          <w:i/>
          <w:iCs/>
        </w:rPr>
        <w:t>Y</w:t>
      </w:r>
      <w:r w:rsidRPr="00877AF5">
        <w:rPr>
          <w:i/>
          <w:iCs/>
          <w:vertAlign w:val="subscript"/>
        </w:rPr>
        <w:t>sp</w:t>
      </w:r>
      <w:proofErr w:type="spellEnd"/>
      <w:r w:rsidRPr="00381965">
        <w:t>—年生产总收入；</w:t>
      </w:r>
    </w:p>
    <w:p w14:paraId="3B28B114" w14:textId="77777777" w:rsidR="00495C65" w:rsidRPr="00381965" w:rsidRDefault="00495C65" w:rsidP="00495C65">
      <w:pPr>
        <w:pStyle w:val="13"/>
        <w:ind w:firstLineChars="500" w:firstLine="1200"/>
      </w:pPr>
      <w:proofErr w:type="spellStart"/>
      <w:r w:rsidRPr="00877AF5">
        <w:rPr>
          <w:i/>
          <w:iCs/>
        </w:rPr>
        <w:t>C</w:t>
      </w:r>
      <w:r w:rsidRPr="00877AF5">
        <w:rPr>
          <w:i/>
          <w:iCs/>
          <w:vertAlign w:val="subscript"/>
        </w:rPr>
        <w:t>sp</w:t>
      </w:r>
      <w:proofErr w:type="spellEnd"/>
      <w:r w:rsidRPr="00381965">
        <w:t>—年生产总费用。</w:t>
      </w:r>
    </w:p>
    <w:p w14:paraId="231E25BC" w14:textId="77777777" w:rsidR="00495C65" w:rsidRDefault="00495C65" w:rsidP="00495C65">
      <w:pPr>
        <w:pStyle w:val="13"/>
      </w:pPr>
      <w:r>
        <w:rPr>
          <w:rFonts w:hint="eastAsia"/>
        </w:rPr>
        <w:t>（5）自用土地：</w:t>
      </w:r>
    </w:p>
    <w:p w14:paraId="569A5A83" w14:textId="77777777" w:rsidR="00495C65" w:rsidRDefault="00495C65" w:rsidP="00495C65">
      <w:pPr>
        <w:pStyle w:val="13"/>
      </w:pPr>
      <w:r>
        <w:rPr>
          <w:rFonts w:hint="eastAsia"/>
        </w:rPr>
        <w:t>可采用比较法求取客观收益，即比照类似地区或相邻地区有收益的相似土地的纯收益，经过区域因素、个别因素的比较修正，测算其土地纯收益。</w:t>
      </w:r>
    </w:p>
    <w:p w14:paraId="7A8F3CC9" w14:textId="77777777" w:rsidR="00495C65" w:rsidRDefault="00495C65" w:rsidP="00495C65">
      <w:pPr>
        <w:pStyle w:val="13"/>
      </w:pPr>
      <w:r>
        <w:rPr>
          <w:rFonts w:hint="eastAsia"/>
        </w:rPr>
        <w:t>6</w:t>
      </w:r>
      <w:r>
        <w:t>.2.7</w:t>
      </w:r>
      <w:r>
        <w:rPr>
          <w:rFonts w:hint="eastAsia"/>
        </w:rPr>
        <w:t>确定土地还原率</w:t>
      </w:r>
    </w:p>
    <w:p w14:paraId="641BEC1E" w14:textId="77777777" w:rsidR="00495C65" w:rsidRDefault="00495C65" w:rsidP="00495C65">
      <w:pPr>
        <w:pStyle w:val="13"/>
      </w:pPr>
      <w:r>
        <w:rPr>
          <w:rFonts w:hint="eastAsia"/>
        </w:rPr>
        <w:t>确定土地还原率的基本方法包括：</w:t>
      </w:r>
    </w:p>
    <w:p w14:paraId="1E3E39E7" w14:textId="77777777" w:rsidR="00495C65" w:rsidRPr="00733A72" w:rsidRDefault="00495C65" w:rsidP="00495C65">
      <w:pPr>
        <w:pStyle w:val="13"/>
      </w:pPr>
      <w:r w:rsidRPr="00733A72">
        <w:rPr>
          <w:rFonts w:hint="eastAsia"/>
        </w:rPr>
        <w:t>（1）土地纯收益与价格比率法：应选择</w:t>
      </w:r>
      <w:r w:rsidRPr="00733A72">
        <w:t>3宗以上近期发生交易的，且土地区域条件、用途、交易类型等</w:t>
      </w:r>
      <w:proofErr w:type="gramStart"/>
      <w:r w:rsidRPr="00733A72">
        <w:t>与待估宗地</w:t>
      </w:r>
      <w:proofErr w:type="gramEnd"/>
      <w:r w:rsidRPr="00733A72">
        <w:t>相似的交易实例，以交易实例的土地纯收益与其土地价格的比率测算还原利率；</w:t>
      </w:r>
    </w:p>
    <w:p w14:paraId="5440282F" w14:textId="77777777" w:rsidR="00495C65" w:rsidRPr="00733A72" w:rsidRDefault="00495C65" w:rsidP="00495C65">
      <w:pPr>
        <w:pStyle w:val="13"/>
      </w:pPr>
      <w:r w:rsidRPr="00733A72">
        <w:rPr>
          <w:rFonts w:hint="eastAsia"/>
        </w:rPr>
        <w:t>（</w:t>
      </w:r>
      <w:r w:rsidRPr="00733A72">
        <w:t>2）</w:t>
      </w:r>
      <w:r w:rsidRPr="00733A72">
        <w:rPr>
          <w:rFonts w:hint="eastAsia"/>
        </w:rPr>
        <w:t>安全利率加风险调整值法：即：还原利率</w:t>
      </w:r>
      <w:r w:rsidRPr="00733A72">
        <w:t>=安全利率+风险调整值；安全利率可选用国债年利率或银行定期存款年利率；风险调整值应</w:t>
      </w:r>
      <w:proofErr w:type="gramStart"/>
      <w:r w:rsidRPr="00733A72">
        <w:t>根据待估宗地</w:t>
      </w:r>
      <w:proofErr w:type="gramEnd"/>
      <w:r w:rsidRPr="00733A72">
        <w:t>所处地区的社会经济发展和土地</w:t>
      </w:r>
      <w:proofErr w:type="gramStart"/>
      <w:r w:rsidRPr="00733A72">
        <w:t>市场市场</w:t>
      </w:r>
      <w:proofErr w:type="gramEnd"/>
      <w:r w:rsidRPr="00733A72">
        <w:t>因素对其影响程度而确定。</w:t>
      </w:r>
    </w:p>
    <w:p w14:paraId="3C52880A" w14:textId="77777777" w:rsidR="00495C65" w:rsidRPr="00733A72" w:rsidRDefault="00495C65" w:rsidP="00495C65">
      <w:pPr>
        <w:pStyle w:val="13"/>
      </w:pPr>
      <w:r w:rsidRPr="00733A72">
        <w:rPr>
          <w:rFonts w:hint="eastAsia"/>
        </w:rPr>
        <w:t>（</w:t>
      </w:r>
      <w:r w:rsidRPr="00733A72">
        <w:t>3）</w:t>
      </w:r>
      <w:r w:rsidRPr="00733A72">
        <w:rPr>
          <w:rFonts w:hint="eastAsia"/>
        </w:rPr>
        <w:t>投资风险与投资收益率综合排序插入法：调查获取社会上各种相关类型投资的收益率和风险，将其按大小排序，然后分析</w:t>
      </w:r>
      <w:proofErr w:type="gramStart"/>
      <w:r w:rsidRPr="00733A72">
        <w:rPr>
          <w:rFonts w:hint="eastAsia"/>
        </w:rPr>
        <w:t>判断待估宗地</w:t>
      </w:r>
      <w:proofErr w:type="gramEnd"/>
      <w:r w:rsidRPr="00733A72">
        <w:rPr>
          <w:rFonts w:hint="eastAsia"/>
        </w:rPr>
        <w:t>所对应的范围，确定其还原率。</w:t>
      </w:r>
    </w:p>
    <w:p w14:paraId="4539AFDD" w14:textId="77777777" w:rsidR="00495C65" w:rsidRPr="00733A72" w:rsidRDefault="00495C65" w:rsidP="00495C65">
      <w:pPr>
        <w:pStyle w:val="13"/>
      </w:pPr>
      <w:r w:rsidRPr="00733A72">
        <w:rPr>
          <w:rFonts w:hint="eastAsia"/>
        </w:rPr>
        <w:t>在确定土地还原利率时，还应注意不同土地权利、不同土地用途、不同区位、不同土地使用年期及不同时期的土地之间还原率的差别。</w:t>
      </w:r>
    </w:p>
    <w:p w14:paraId="511C8F05" w14:textId="77777777" w:rsidR="00495C65" w:rsidRDefault="00495C65" w:rsidP="00495C65">
      <w:pPr>
        <w:pStyle w:val="13"/>
      </w:pPr>
      <w:r>
        <w:rPr>
          <w:rFonts w:hint="eastAsia"/>
          <w:noProof/>
        </w:rPr>
        <w:drawing>
          <wp:anchor distT="0" distB="0" distL="114300" distR="114300" simplePos="0" relativeHeight="251660288" behindDoc="1" locked="0" layoutInCell="1" allowOverlap="1" wp14:anchorId="30FF745F" wp14:editId="53203C73">
            <wp:simplePos x="0" y="0"/>
            <wp:positionH relativeFrom="column">
              <wp:posOffset>1760675</wp:posOffset>
            </wp:positionH>
            <wp:positionV relativeFrom="paragraph">
              <wp:posOffset>161805</wp:posOffset>
            </wp:positionV>
            <wp:extent cx="1570008" cy="555888"/>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70008" cy="555888"/>
                    </a:xfrm>
                    <a:prstGeom prst="rect">
                      <a:avLst/>
                    </a:prstGeom>
                  </pic:spPr>
                </pic:pic>
              </a:graphicData>
            </a:graphic>
            <wp14:sizeRelH relativeFrom="margin">
              <wp14:pctWidth>0</wp14:pctWidth>
            </wp14:sizeRelH>
            <wp14:sizeRelV relativeFrom="margin">
              <wp14:pctHeight>0</wp14:pctHeight>
            </wp14:sizeRelV>
          </wp:anchor>
        </w:drawing>
      </w:r>
      <w:r w:rsidRPr="00733A72">
        <w:rPr>
          <w:rFonts w:hint="eastAsia"/>
        </w:rPr>
        <w:t>综合还原率、土地还原率和建筑物还原率的关系如式（</w:t>
      </w:r>
      <w:r w:rsidRPr="00733A72">
        <w:t>19）所示：</w:t>
      </w:r>
    </w:p>
    <w:p w14:paraId="4FA79592" w14:textId="77777777" w:rsidR="00495C65" w:rsidRDefault="00495C65" w:rsidP="00495C65">
      <w:pPr>
        <w:pStyle w:val="13"/>
      </w:pPr>
      <w:r w:rsidRPr="00742E96">
        <w:t xml:space="preserve">                             </w:t>
      </w:r>
      <w:r>
        <w:t xml:space="preserve">                                 </w:t>
      </w:r>
      <w:r w:rsidRPr="00742E96">
        <w:t xml:space="preserve">  （</w:t>
      </w:r>
      <w:r>
        <w:t>19</w:t>
      </w:r>
      <w:r>
        <w:rPr>
          <w:rFonts w:hint="eastAsia"/>
        </w:rPr>
        <w:t>）</w:t>
      </w:r>
    </w:p>
    <w:p w14:paraId="6B21EB50" w14:textId="77777777" w:rsidR="00495C65" w:rsidRDefault="00495C65" w:rsidP="00495C65">
      <w:pPr>
        <w:pStyle w:val="13"/>
      </w:pPr>
      <w:r>
        <w:rPr>
          <w:rFonts w:hint="eastAsia"/>
        </w:rPr>
        <w:t>式中：</w:t>
      </w:r>
    </w:p>
    <w:p w14:paraId="0F4D3DC6" w14:textId="77777777" w:rsidR="00495C65" w:rsidRDefault="00495C65" w:rsidP="00495C65">
      <w:pPr>
        <w:pStyle w:val="13"/>
        <w:ind w:firstLineChars="500" w:firstLine="1200"/>
      </w:pPr>
      <w:r w:rsidRPr="0063180C">
        <w:rPr>
          <w:i/>
          <w:iCs/>
        </w:rPr>
        <w:t>r</w:t>
      </w:r>
      <w:r>
        <w:t>—综合还原率；</w:t>
      </w:r>
    </w:p>
    <w:p w14:paraId="21478303" w14:textId="77777777" w:rsidR="00495C65" w:rsidRDefault="00495C65" w:rsidP="00495C65">
      <w:pPr>
        <w:pStyle w:val="13"/>
        <w:ind w:firstLineChars="500" w:firstLine="1200"/>
      </w:pPr>
      <w:r w:rsidRPr="0063180C">
        <w:rPr>
          <w:i/>
          <w:iCs/>
        </w:rPr>
        <w:t>r</w:t>
      </w:r>
      <w:r w:rsidRPr="0063180C">
        <w:rPr>
          <w:i/>
          <w:iCs/>
          <w:vertAlign w:val="subscript"/>
        </w:rPr>
        <w:t>1</w:t>
      </w:r>
      <w:proofErr w:type="gramStart"/>
      <w:r>
        <w:t>—土地</w:t>
      </w:r>
      <w:proofErr w:type="gramEnd"/>
      <w:r>
        <w:t>还原率；</w:t>
      </w:r>
    </w:p>
    <w:p w14:paraId="4F79D8C4" w14:textId="77777777" w:rsidR="00495C65" w:rsidRDefault="00495C65" w:rsidP="00495C65">
      <w:pPr>
        <w:pStyle w:val="13"/>
        <w:ind w:firstLineChars="500" w:firstLine="1200"/>
      </w:pPr>
      <w:r w:rsidRPr="0063180C">
        <w:rPr>
          <w:i/>
          <w:iCs/>
        </w:rPr>
        <w:t>r</w:t>
      </w:r>
      <w:r w:rsidRPr="0063180C">
        <w:rPr>
          <w:i/>
          <w:iCs/>
          <w:vertAlign w:val="subscript"/>
        </w:rPr>
        <w:t>2</w:t>
      </w:r>
      <w:r>
        <w:t>—建筑物还原率；</w:t>
      </w:r>
    </w:p>
    <w:p w14:paraId="107DA668" w14:textId="77777777" w:rsidR="00495C65" w:rsidRDefault="00495C65" w:rsidP="00495C65">
      <w:pPr>
        <w:pStyle w:val="13"/>
        <w:ind w:firstLineChars="500" w:firstLine="1200"/>
      </w:pPr>
      <w:r w:rsidRPr="0063180C">
        <w:rPr>
          <w:i/>
          <w:iCs/>
        </w:rPr>
        <w:lastRenderedPageBreak/>
        <w:t>L</w:t>
      </w:r>
      <w:proofErr w:type="gramStart"/>
      <w:r>
        <w:t>—土地</w:t>
      </w:r>
      <w:proofErr w:type="gramEnd"/>
      <w:r>
        <w:t>价格；</w:t>
      </w:r>
    </w:p>
    <w:p w14:paraId="3F659708" w14:textId="77777777" w:rsidR="00495C65" w:rsidRDefault="00495C65" w:rsidP="00495C65">
      <w:pPr>
        <w:pStyle w:val="13"/>
        <w:ind w:firstLineChars="500" w:firstLine="1200"/>
      </w:pPr>
      <w:r w:rsidRPr="0063180C">
        <w:rPr>
          <w:i/>
          <w:iCs/>
        </w:rPr>
        <w:t>B</w:t>
      </w:r>
      <w:r>
        <w:t>—建筑物价格。</w:t>
      </w:r>
    </w:p>
    <w:p w14:paraId="375FF10A" w14:textId="77777777" w:rsidR="00495C65" w:rsidRDefault="00495C65" w:rsidP="00495C65">
      <w:pPr>
        <w:pStyle w:val="13"/>
      </w:pPr>
      <w:r>
        <w:t>6.2.8选用适当计算公式</w:t>
      </w:r>
    </w:p>
    <w:p w14:paraId="76AECC05" w14:textId="77777777" w:rsidR="00495C65" w:rsidRDefault="00495C65" w:rsidP="00495C65">
      <w:pPr>
        <w:pStyle w:val="13"/>
      </w:pPr>
      <w:r>
        <w:rPr>
          <w:rFonts w:hint="eastAsia"/>
        </w:rPr>
        <w:t>在估价实务中，应根据具体情况，选择适当的计算公式。除上述基本公式外，因土地收益变化而应采用的公式见附录</w:t>
      </w:r>
      <w:r>
        <w:t>A。</w:t>
      </w:r>
    </w:p>
    <w:p w14:paraId="2AD5CF48" w14:textId="77777777" w:rsidR="00495C65" w:rsidRDefault="00495C65" w:rsidP="00495C65">
      <w:pPr>
        <w:pStyle w:val="13"/>
      </w:pPr>
      <w:r>
        <w:t>6.2.9测算收益价格</w:t>
      </w:r>
    </w:p>
    <w:p w14:paraId="677DD38C" w14:textId="77777777" w:rsidR="00495C65" w:rsidRDefault="00495C65" w:rsidP="00495C65">
      <w:pPr>
        <w:pStyle w:val="13"/>
      </w:pPr>
      <w:r>
        <w:rPr>
          <w:rFonts w:hint="eastAsia"/>
        </w:rPr>
        <w:t>根据已选择的公式计算土地收益价格。</w:t>
      </w:r>
    </w:p>
    <w:p w14:paraId="61298C41" w14:textId="77777777" w:rsidR="00495C65" w:rsidRDefault="00495C65" w:rsidP="00495C65">
      <w:pPr>
        <w:pStyle w:val="13"/>
      </w:pPr>
      <w:r>
        <w:t>6.2.10适用范围</w:t>
      </w:r>
    </w:p>
    <w:p w14:paraId="11F6971F" w14:textId="77777777" w:rsidR="00495C65" w:rsidRDefault="00495C65" w:rsidP="00495C65">
      <w:pPr>
        <w:pStyle w:val="13"/>
      </w:pPr>
      <w:r>
        <w:rPr>
          <w:rFonts w:hint="eastAsia"/>
        </w:rPr>
        <w:t>收益还原法适用于有现实收益或潜在收益的土地估价。</w:t>
      </w:r>
    </w:p>
    <w:p w14:paraId="3C103D41" w14:textId="77777777" w:rsidR="00495C65" w:rsidRDefault="00495C65" w:rsidP="00495C65">
      <w:pPr>
        <w:pStyle w:val="ab"/>
        <w:spacing w:before="62" w:after="62"/>
        <w:ind w:firstLine="482"/>
      </w:pPr>
      <w:r>
        <w:t>6.3剩余法</w:t>
      </w:r>
    </w:p>
    <w:p w14:paraId="560ABAE8" w14:textId="77777777" w:rsidR="00495C65" w:rsidRDefault="00495C65" w:rsidP="00495C65">
      <w:pPr>
        <w:pStyle w:val="13"/>
      </w:pPr>
      <w:r>
        <w:t>6.3.1评估现有不动产中所含土地价格</w:t>
      </w:r>
    </w:p>
    <w:p w14:paraId="74B13D61" w14:textId="77777777" w:rsidR="00495C65" w:rsidRDefault="00495C65" w:rsidP="00495C65">
      <w:pPr>
        <w:pStyle w:val="13"/>
      </w:pPr>
      <w:r>
        <w:t>6.3.1.1基本公式</w:t>
      </w:r>
    </w:p>
    <w:p w14:paraId="4E8CB00B" w14:textId="77777777" w:rsidR="00495C65" w:rsidRDefault="00495C65" w:rsidP="00495C65">
      <w:pPr>
        <w:pStyle w:val="13"/>
      </w:pPr>
      <w:r>
        <w:rPr>
          <w:rFonts w:hint="eastAsia"/>
        </w:rPr>
        <w:t>以剩余法评估现有不动产中所含土地价格公式如式（</w:t>
      </w:r>
      <w:r>
        <w:t>20）所示：</w:t>
      </w:r>
    </w:p>
    <w:p w14:paraId="064A6EF1" w14:textId="77777777" w:rsidR="00495C65" w:rsidRDefault="00495C65" w:rsidP="00495C65">
      <w:pPr>
        <w:spacing w:before="197"/>
        <w:ind w:left="3473"/>
        <w:rPr>
          <w:rFonts w:ascii="Times New Roman"/>
          <w:iCs/>
          <w:position w:val="1"/>
          <w:sz w:val="24"/>
        </w:rPr>
      </w:pPr>
      <w:r w:rsidRPr="0087742B">
        <w:rPr>
          <w:rFonts w:ascii="宋体" w:hAnsi="宋体"/>
          <w:i/>
          <w:position w:val="1"/>
          <w:sz w:val="24"/>
        </w:rPr>
        <w:t>P=P</w:t>
      </w:r>
      <w:r w:rsidRPr="0087742B">
        <w:rPr>
          <w:rFonts w:ascii="宋体" w:hAnsi="宋体"/>
          <w:i/>
          <w:sz w:val="16"/>
        </w:rPr>
        <w:t>r</w:t>
      </w:r>
      <w:r w:rsidRPr="0087742B">
        <w:rPr>
          <w:rFonts w:ascii="宋体" w:hAnsi="宋体"/>
          <w:i/>
          <w:position w:val="1"/>
          <w:sz w:val="24"/>
        </w:rPr>
        <w:t>-P</w:t>
      </w:r>
      <w:r w:rsidRPr="0087742B">
        <w:rPr>
          <w:rFonts w:ascii="宋体" w:hAnsi="宋体"/>
          <w:i/>
          <w:sz w:val="16"/>
        </w:rPr>
        <w:t>h</w:t>
      </w:r>
      <w:r w:rsidRPr="0087742B">
        <w:rPr>
          <w:rFonts w:ascii="宋体" w:hAnsi="宋体"/>
          <w:i/>
          <w:position w:val="1"/>
          <w:sz w:val="24"/>
        </w:rPr>
        <w:t>-T</w:t>
      </w:r>
      <w:r w:rsidRPr="004F5212">
        <w:rPr>
          <w:rFonts w:ascii="Times New Roman"/>
          <w:i/>
          <w:position w:val="1"/>
          <w:sz w:val="24"/>
        </w:rPr>
        <w:t xml:space="preserve">                     </w:t>
      </w:r>
      <w:r>
        <w:rPr>
          <w:rFonts w:ascii="Times New Roman"/>
          <w:i/>
          <w:position w:val="1"/>
          <w:sz w:val="24"/>
        </w:rPr>
        <w:t xml:space="preserve">  </w:t>
      </w:r>
      <w:r w:rsidRPr="004F5212">
        <w:rPr>
          <w:rFonts w:ascii="Times New Roman"/>
          <w:i/>
          <w:position w:val="1"/>
          <w:sz w:val="24"/>
        </w:rPr>
        <w:t xml:space="preserve">         </w:t>
      </w:r>
      <w:r w:rsidRPr="004F5212">
        <w:rPr>
          <w:rFonts w:ascii="Times New Roman"/>
          <w:iCs/>
          <w:position w:val="1"/>
          <w:sz w:val="24"/>
        </w:rPr>
        <w:t>（</w:t>
      </w:r>
      <w:r w:rsidRPr="008464AD">
        <w:rPr>
          <w:rFonts w:ascii="宋体" w:hAnsi="宋体"/>
          <w:iCs/>
          <w:position w:val="1"/>
          <w:sz w:val="24"/>
        </w:rPr>
        <w:t>20</w:t>
      </w:r>
      <w:r w:rsidRPr="004F5212">
        <w:rPr>
          <w:rFonts w:ascii="Times New Roman"/>
          <w:iCs/>
          <w:position w:val="1"/>
          <w:sz w:val="24"/>
        </w:rPr>
        <w:t>）</w:t>
      </w:r>
    </w:p>
    <w:p w14:paraId="708EB7F7" w14:textId="77777777" w:rsidR="00495C65" w:rsidRDefault="00495C65" w:rsidP="00495C65">
      <w:pPr>
        <w:pStyle w:val="13"/>
      </w:pPr>
      <w:r>
        <w:rPr>
          <w:rFonts w:hint="eastAsia"/>
        </w:rPr>
        <w:t>式中：</w:t>
      </w:r>
    </w:p>
    <w:p w14:paraId="2E346336" w14:textId="77777777" w:rsidR="00495C65" w:rsidRDefault="00495C65" w:rsidP="00495C65">
      <w:pPr>
        <w:pStyle w:val="13"/>
        <w:ind w:firstLineChars="500" w:firstLine="1200"/>
      </w:pPr>
      <w:r w:rsidRPr="00F23DB9">
        <w:rPr>
          <w:i/>
          <w:iCs/>
        </w:rPr>
        <w:t>P</w:t>
      </w:r>
      <w:proofErr w:type="gramStart"/>
      <w:r>
        <w:t>—土地</w:t>
      </w:r>
      <w:proofErr w:type="gramEnd"/>
      <w:r>
        <w:t>价格；</w:t>
      </w:r>
    </w:p>
    <w:p w14:paraId="2ACED86C" w14:textId="77777777" w:rsidR="00495C65" w:rsidRDefault="00495C65" w:rsidP="00495C65">
      <w:pPr>
        <w:pStyle w:val="13"/>
        <w:ind w:firstLineChars="500" w:firstLine="1200"/>
      </w:pPr>
      <w:proofErr w:type="spellStart"/>
      <w:r w:rsidRPr="00F23DB9">
        <w:rPr>
          <w:i/>
          <w:iCs/>
        </w:rPr>
        <w:t>P</w:t>
      </w:r>
      <w:r w:rsidRPr="00F23DB9">
        <w:rPr>
          <w:i/>
          <w:iCs/>
          <w:vertAlign w:val="subscript"/>
        </w:rPr>
        <w:t>r</w:t>
      </w:r>
      <w:proofErr w:type="spellEnd"/>
      <w:r>
        <w:t>—不动产交易价格；</w:t>
      </w:r>
    </w:p>
    <w:p w14:paraId="5C517DDA" w14:textId="77777777" w:rsidR="00495C65" w:rsidRDefault="00495C65" w:rsidP="00495C65">
      <w:pPr>
        <w:pStyle w:val="13"/>
        <w:ind w:firstLineChars="500" w:firstLine="1200"/>
      </w:pPr>
      <w:r w:rsidRPr="00F23DB9">
        <w:rPr>
          <w:i/>
          <w:iCs/>
        </w:rPr>
        <w:t>P</w:t>
      </w:r>
      <w:r w:rsidRPr="00F23DB9">
        <w:rPr>
          <w:i/>
          <w:iCs/>
          <w:vertAlign w:val="subscript"/>
        </w:rPr>
        <w:t>h</w:t>
      </w:r>
      <w:r>
        <w:t>—房屋现值；</w:t>
      </w:r>
    </w:p>
    <w:p w14:paraId="3D55ED23" w14:textId="77777777" w:rsidR="00495C65" w:rsidRDefault="00495C65" w:rsidP="00495C65">
      <w:pPr>
        <w:pStyle w:val="13"/>
        <w:ind w:firstLineChars="500" w:firstLine="1200"/>
      </w:pPr>
      <w:r w:rsidRPr="00F23DB9">
        <w:rPr>
          <w:i/>
          <w:iCs/>
        </w:rPr>
        <w:t>T</w:t>
      </w:r>
      <w:r>
        <w:t>—交易税费。</w:t>
      </w:r>
    </w:p>
    <w:p w14:paraId="2477227F" w14:textId="77777777" w:rsidR="00495C65" w:rsidRDefault="00495C65" w:rsidP="00495C65">
      <w:pPr>
        <w:pStyle w:val="13"/>
      </w:pPr>
      <w:r>
        <w:t>6.3.1.2程序</w:t>
      </w:r>
    </w:p>
    <w:p w14:paraId="09732042" w14:textId="77777777" w:rsidR="00495C65" w:rsidRDefault="00495C65" w:rsidP="00495C65">
      <w:pPr>
        <w:pStyle w:val="13"/>
      </w:pPr>
      <w:r>
        <w:t>程序如下：</w:t>
      </w:r>
    </w:p>
    <w:p w14:paraId="20A92758" w14:textId="77777777" w:rsidR="00495C65" w:rsidRDefault="00495C65" w:rsidP="00495C65">
      <w:pPr>
        <w:pStyle w:val="13"/>
      </w:pPr>
      <w:r>
        <w:rPr>
          <w:rFonts w:hint="eastAsia"/>
        </w:rPr>
        <w:t>（</w:t>
      </w:r>
      <w:r>
        <w:t>1）</w:t>
      </w:r>
      <w:proofErr w:type="gramStart"/>
      <w:r>
        <w:t>调查待估宗地</w:t>
      </w:r>
      <w:proofErr w:type="gramEnd"/>
      <w:r>
        <w:t>的基本情况；</w:t>
      </w:r>
    </w:p>
    <w:p w14:paraId="14572A9F" w14:textId="77777777" w:rsidR="00495C65" w:rsidRDefault="00495C65" w:rsidP="00495C65">
      <w:pPr>
        <w:pStyle w:val="13"/>
      </w:pPr>
      <w:r>
        <w:rPr>
          <w:rFonts w:hint="eastAsia"/>
        </w:rPr>
        <w:t>（</w:t>
      </w:r>
      <w:r>
        <w:t>2）测算不动产交易价格；</w:t>
      </w:r>
    </w:p>
    <w:p w14:paraId="6F0ACC75" w14:textId="77777777" w:rsidR="00495C65" w:rsidRDefault="00495C65" w:rsidP="00495C65">
      <w:pPr>
        <w:pStyle w:val="13"/>
      </w:pPr>
      <w:r>
        <w:rPr>
          <w:rFonts w:hint="eastAsia"/>
        </w:rPr>
        <w:t>（</w:t>
      </w:r>
      <w:r>
        <w:t>3）测算房屋现值；</w:t>
      </w:r>
    </w:p>
    <w:p w14:paraId="0C529546" w14:textId="77777777" w:rsidR="00495C65" w:rsidRDefault="00495C65" w:rsidP="00495C65">
      <w:pPr>
        <w:pStyle w:val="13"/>
      </w:pPr>
      <w:r>
        <w:rPr>
          <w:rFonts w:hint="eastAsia"/>
        </w:rPr>
        <w:t>（</w:t>
      </w:r>
      <w:r>
        <w:t>5）测算交易税费；</w:t>
      </w:r>
    </w:p>
    <w:p w14:paraId="57356024" w14:textId="77777777" w:rsidR="00495C65" w:rsidRDefault="00495C65" w:rsidP="00495C65">
      <w:pPr>
        <w:pStyle w:val="13"/>
      </w:pPr>
      <w:r>
        <w:rPr>
          <w:rFonts w:hint="eastAsia"/>
        </w:rPr>
        <w:t>（</w:t>
      </w:r>
      <w:r>
        <w:t>6）</w:t>
      </w:r>
      <w:proofErr w:type="gramStart"/>
      <w:r>
        <w:t>测算待估宗地</w:t>
      </w:r>
      <w:proofErr w:type="gramEnd"/>
      <w:r>
        <w:t>价格。</w:t>
      </w:r>
    </w:p>
    <w:p w14:paraId="35B62A62" w14:textId="77777777" w:rsidR="00495C65" w:rsidRDefault="00495C65" w:rsidP="00495C65">
      <w:pPr>
        <w:pStyle w:val="13"/>
      </w:pPr>
      <w:r>
        <w:t>6.3.1.3测算不动产交易价格</w:t>
      </w:r>
    </w:p>
    <w:p w14:paraId="2884BB42" w14:textId="77777777" w:rsidR="00495C65" w:rsidRDefault="00495C65" w:rsidP="00495C65">
      <w:pPr>
        <w:pStyle w:val="13"/>
      </w:pPr>
      <w:r>
        <w:rPr>
          <w:rFonts w:hint="eastAsia"/>
        </w:rPr>
        <w:t>不动产交易价格应依据客观交易价格，采用市场比较法或结合不动产的经营状况和市场条件运用收益还原法确定。</w:t>
      </w:r>
    </w:p>
    <w:p w14:paraId="07109BA9" w14:textId="77777777" w:rsidR="00495C65" w:rsidRDefault="00495C65" w:rsidP="00495C65">
      <w:pPr>
        <w:pStyle w:val="13"/>
      </w:pPr>
      <w:r>
        <w:t>6.3.1.4测算房屋现值</w:t>
      </w:r>
    </w:p>
    <w:p w14:paraId="23305D37" w14:textId="77777777" w:rsidR="00495C65" w:rsidRDefault="00495C65" w:rsidP="00495C65">
      <w:pPr>
        <w:pStyle w:val="13"/>
      </w:pPr>
      <w:r>
        <w:rPr>
          <w:rFonts w:hint="eastAsia"/>
        </w:rPr>
        <w:t>参照收益还原法中的有关规则测算。</w:t>
      </w:r>
    </w:p>
    <w:p w14:paraId="1174D103" w14:textId="77777777" w:rsidR="00495C65" w:rsidRDefault="00495C65" w:rsidP="00495C65">
      <w:pPr>
        <w:pStyle w:val="13"/>
      </w:pPr>
      <w:r>
        <w:t>6.3.1.5测算交易税费</w:t>
      </w:r>
    </w:p>
    <w:p w14:paraId="49832540" w14:textId="77777777" w:rsidR="00495C65" w:rsidRDefault="00495C65" w:rsidP="00495C65">
      <w:pPr>
        <w:pStyle w:val="13"/>
      </w:pPr>
      <w:r>
        <w:rPr>
          <w:rFonts w:hint="eastAsia"/>
        </w:rPr>
        <w:t>主要包括不动产交易过程中的税费。</w:t>
      </w:r>
    </w:p>
    <w:p w14:paraId="4738D4D4" w14:textId="77777777" w:rsidR="00495C65" w:rsidRDefault="00495C65" w:rsidP="00495C65">
      <w:pPr>
        <w:pStyle w:val="13"/>
      </w:pPr>
      <w:r>
        <w:lastRenderedPageBreak/>
        <w:t>6.3.1.6测算土地价格</w:t>
      </w:r>
    </w:p>
    <w:p w14:paraId="6A4994EA" w14:textId="77777777" w:rsidR="00495C65" w:rsidRDefault="00495C65" w:rsidP="00495C65">
      <w:pPr>
        <w:pStyle w:val="13"/>
      </w:pPr>
      <w:r>
        <w:rPr>
          <w:rFonts w:hint="eastAsia"/>
        </w:rPr>
        <w:t>运用剩余法评估公式测算土地价格，应</w:t>
      </w:r>
      <w:proofErr w:type="gramStart"/>
      <w:r>
        <w:rPr>
          <w:rFonts w:hint="eastAsia"/>
        </w:rPr>
        <w:t>注意待估宗地</w:t>
      </w:r>
      <w:proofErr w:type="gramEnd"/>
      <w:r>
        <w:rPr>
          <w:rFonts w:hint="eastAsia"/>
        </w:rPr>
        <w:t>的设定使用年期与不动产交易价格对应的年期之间的差别并进行使用年期修正。</w:t>
      </w:r>
    </w:p>
    <w:p w14:paraId="23E2D549" w14:textId="77777777" w:rsidR="00495C65" w:rsidRDefault="00495C65" w:rsidP="00495C65">
      <w:pPr>
        <w:pStyle w:val="13"/>
      </w:pPr>
      <w:r>
        <w:t>6.3.1.7适用范围</w:t>
      </w:r>
    </w:p>
    <w:p w14:paraId="501D2A29" w14:textId="77777777" w:rsidR="00495C65" w:rsidRDefault="00495C65" w:rsidP="00495C65">
      <w:pPr>
        <w:pStyle w:val="13"/>
      </w:pPr>
      <w:r>
        <w:rPr>
          <w:rFonts w:hint="eastAsia"/>
        </w:rPr>
        <w:t>适用于现有不动产中地价的单独评估。</w:t>
      </w:r>
    </w:p>
    <w:p w14:paraId="09E73C2B" w14:textId="77777777" w:rsidR="00495C65" w:rsidRDefault="00495C65" w:rsidP="00495C65">
      <w:pPr>
        <w:pStyle w:val="13"/>
      </w:pPr>
      <w:r>
        <w:t>6.3.2评估待开发土地的价格</w:t>
      </w:r>
    </w:p>
    <w:p w14:paraId="06FBE5DD" w14:textId="77777777" w:rsidR="00495C65" w:rsidRDefault="00495C65" w:rsidP="00495C65">
      <w:pPr>
        <w:pStyle w:val="13"/>
      </w:pPr>
      <w:r>
        <w:t>6.3.2.1基本公式</w:t>
      </w:r>
    </w:p>
    <w:p w14:paraId="08ADF128" w14:textId="77777777" w:rsidR="00495C65" w:rsidRDefault="00495C65" w:rsidP="00495C65">
      <w:pPr>
        <w:pStyle w:val="13"/>
      </w:pPr>
      <w:r>
        <w:rPr>
          <w:rFonts w:hint="eastAsia"/>
        </w:rPr>
        <w:t>以剩余法评估待开发土地价格公式如式（</w:t>
      </w:r>
      <w:r>
        <w:t>21）所示：</w:t>
      </w:r>
    </w:p>
    <w:p w14:paraId="140942E8" w14:textId="77777777" w:rsidR="00495C65" w:rsidRDefault="00495C65" w:rsidP="00495C65">
      <w:pPr>
        <w:spacing w:before="197"/>
        <w:ind w:left="3473"/>
        <w:rPr>
          <w:rFonts w:ascii="Times New Roman"/>
          <w:iCs/>
          <w:position w:val="1"/>
          <w:sz w:val="24"/>
        </w:rPr>
      </w:pPr>
      <w:r w:rsidRPr="0087742B">
        <w:rPr>
          <w:rFonts w:ascii="宋体" w:hAnsi="宋体"/>
          <w:i/>
          <w:position w:val="1"/>
          <w:sz w:val="24"/>
        </w:rPr>
        <w:t>P=A-B-C</w:t>
      </w:r>
      <w:r w:rsidRPr="008569CA">
        <w:rPr>
          <w:rFonts w:ascii="Times New Roman"/>
          <w:i/>
          <w:position w:val="1"/>
          <w:sz w:val="24"/>
        </w:rPr>
        <w:t xml:space="preserve">                       </w:t>
      </w:r>
      <w:r>
        <w:rPr>
          <w:rFonts w:ascii="Times New Roman"/>
          <w:i/>
          <w:position w:val="1"/>
          <w:sz w:val="24"/>
        </w:rPr>
        <w:t xml:space="preserve"> </w:t>
      </w:r>
      <w:r w:rsidRPr="008569CA">
        <w:rPr>
          <w:rFonts w:ascii="Times New Roman"/>
          <w:i/>
          <w:position w:val="1"/>
          <w:sz w:val="24"/>
        </w:rPr>
        <w:t xml:space="preserve">         </w:t>
      </w:r>
      <w:r w:rsidRPr="008569CA">
        <w:rPr>
          <w:rFonts w:ascii="Times New Roman"/>
          <w:iCs/>
          <w:position w:val="1"/>
          <w:sz w:val="24"/>
        </w:rPr>
        <w:t>（</w:t>
      </w:r>
      <w:r w:rsidRPr="008464AD">
        <w:rPr>
          <w:rFonts w:ascii="宋体" w:hAnsi="宋体"/>
          <w:iCs/>
          <w:position w:val="1"/>
          <w:sz w:val="24"/>
        </w:rPr>
        <w:t>21</w:t>
      </w:r>
      <w:r w:rsidRPr="008569CA">
        <w:rPr>
          <w:rFonts w:ascii="Times New Roman"/>
          <w:iCs/>
          <w:position w:val="1"/>
          <w:sz w:val="24"/>
        </w:rPr>
        <w:t>）</w:t>
      </w:r>
    </w:p>
    <w:p w14:paraId="42587AAC" w14:textId="77777777" w:rsidR="00495C65" w:rsidRDefault="00495C65" w:rsidP="00495C65">
      <w:pPr>
        <w:pStyle w:val="13"/>
      </w:pPr>
      <w:r w:rsidRPr="000E29AD">
        <w:rPr>
          <w:rFonts w:hint="eastAsia"/>
        </w:rPr>
        <w:t>式中</w:t>
      </w:r>
      <w:r>
        <w:rPr>
          <w:rFonts w:hint="eastAsia"/>
        </w:rPr>
        <w:t>：</w:t>
      </w:r>
    </w:p>
    <w:p w14:paraId="576701C2" w14:textId="77777777" w:rsidR="00495C65" w:rsidRDefault="00495C65" w:rsidP="00495C65">
      <w:pPr>
        <w:pStyle w:val="13"/>
        <w:ind w:firstLineChars="500" w:firstLine="1200"/>
      </w:pPr>
      <w:r>
        <w:t>P</w:t>
      </w:r>
      <w:proofErr w:type="gramStart"/>
      <w:r>
        <w:t>—待估</w:t>
      </w:r>
      <w:proofErr w:type="gramEnd"/>
      <w:r>
        <w:t>宗地价格；</w:t>
      </w:r>
    </w:p>
    <w:p w14:paraId="25BB512F" w14:textId="77777777" w:rsidR="00495C65" w:rsidRDefault="00495C65" w:rsidP="00495C65">
      <w:pPr>
        <w:pStyle w:val="13"/>
        <w:ind w:firstLineChars="500" w:firstLine="1200"/>
      </w:pPr>
      <w:r>
        <w:t>A—不动产总价；</w:t>
      </w:r>
    </w:p>
    <w:p w14:paraId="1E264C85" w14:textId="77777777" w:rsidR="00495C65" w:rsidRDefault="00495C65" w:rsidP="00495C65">
      <w:pPr>
        <w:pStyle w:val="13"/>
        <w:ind w:firstLineChars="500" w:firstLine="1200"/>
      </w:pPr>
      <w:r>
        <w:t>B—开发项目整体的开发成本；</w:t>
      </w:r>
    </w:p>
    <w:p w14:paraId="3E5258FE" w14:textId="77777777" w:rsidR="00495C65" w:rsidRDefault="00495C65" w:rsidP="00495C65">
      <w:pPr>
        <w:pStyle w:val="13"/>
        <w:ind w:firstLineChars="500" w:firstLine="1200"/>
      </w:pPr>
      <w:r w:rsidRPr="0087742B">
        <w:t>C</w:t>
      </w:r>
      <w:proofErr w:type="gramStart"/>
      <w:r w:rsidRPr="0087742B">
        <w:t>—客观</w:t>
      </w:r>
      <w:proofErr w:type="gramEnd"/>
      <w:r w:rsidRPr="0087742B">
        <w:t>开发利润</w:t>
      </w:r>
      <w:r>
        <w:rPr>
          <w:rFonts w:hint="eastAsia"/>
        </w:rPr>
        <w:t>。</w:t>
      </w:r>
    </w:p>
    <w:p w14:paraId="782CD778" w14:textId="77777777" w:rsidR="00495C65" w:rsidRDefault="00495C65" w:rsidP="00495C65">
      <w:pPr>
        <w:pStyle w:val="13"/>
      </w:pPr>
      <w:r>
        <w:rPr>
          <w:rFonts w:hint="eastAsia"/>
        </w:rPr>
        <w:t>6</w:t>
      </w:r>
      <w:r>
        <w:t>.3.2.2</w:t>
      </w:r>
      <w:r>
        <w:rPr>
          <w:rFonts w:hint="eastAsia"/>
        </w:rPr>
        <w:t>程序</w:t>
      </w:r>
    </w:p>
    <w:p w14:paraId="6B531692" w14:textId="77777777" w:rsidR="00495C65" w:rsidRDefault="00495C65" w:rsidP="00495C65">
      <w:pPr>
        <w:pStyle w:val="13"/>
      </w:pPr>
      <w:r>
        <w:rPr>
          <w:rFonts w:hint="eastAsia"/>
        </w:rPr>
        <w:t>程序如下：</w:t>
      </w:r>
    </w:p>
    <w:p w14:paraId="6D95C22B" w14:textId="77777777" w:rsidR="00495C65" w:rsidRDefault="00495C65" w:rsidP="00495C65">
      <w:pPr>
        <w:pStyle w:val="13"/>
      </w:pPr>
      <w:r>
        <w:rPr>
          <w:rFonts w:hint="eastAsia"/>
        </w:rPr>
        <w:t>（1）</w:t>
      </w:r>
      <w:proofErr w:type="gramStart"/>
      <w:r>
        <w:rPr>
          <w:rFonts w:hint="eastAsia"/>
        </w:rPr>
        <w:t>调查待估宗地</w:t>
      </w:r>
      <w:proofErr w:type="gramEnd"/>
      <w:r>
        <w:rPr>
          <w:rFonts w:hint="eastAsia"/>
        </w:rPr>
        <w:t>的基本情况；</w:t>
      </w:r>
    </w:p>
    <w:p w14:paraId="2546D173" w14:textId="77777777" w:rsidR="00495C65" w:rsidRDefault="00495C65" w:rsidP="00495C65">
      <w:pPr>
        <w:pStyle w:val="13"/>
      </w:pPr>
      <w:r w:rsidRPr="006B5363">
        <w:rPr>
          <w:rFonts w:hint="eastAsia"/>
        </w:rPr>
        <w:t>（</w:t>
      </w:r>
      <w:r>
        <w:t>2</w:t>
      </w:r>
      <w:r w:rsidRPr="006B5363">
        <w:t>）</w:t>
      </w:r>
      <w:proofErr w:type="gramStart"/>
      <w:r>
        <w:rPr>
          <w:rFonts w:hint="eastAsia"/>
        </w:rPr>
        <w:t>确定待估宗地</w:t>
      </w:r>
      <w:proofErr w:type="gramEnd"/>
      <w:r>
        <w:rPr>
          <w:rFonts w:hint="eastAsia"/>
        </w:rPr>
        <w:t>的最有效利用方式；</w:t>
      </w:r>
    </w:p>
    <w:p w14:paraId="28DDFCEC" w14:textId="77777777" w:rsidR="00495C65" w:rsidRDefault="00495C65" w:rsidP="00495C65">
      <w:pPr>
        <w:pStyle w:val="13"/>
      </w:pPr>
      <w:r w:rsidRPr="006B5363">
        <w:rPr>
          <w:rFonts w:hint="eastAsia"/>
        </w:rPr>
        <w:t>（</w:t>
      </w:r>
      <w:r>
        <w:t>3</w:t>
      </w:r>
      <w:r w:rsidRPr="006B5363">
        <w:t>）</w:t>
      </w:r>
      <w:r>
        <w:rPr>
          <w:rFonts w:hint="eastAsia"/>
        </w:rPr>
        <w:t>测算开发完成后的土地或不动产总价；</w:t>
      </w:r>
    </w:p>
    <w:p w14:paraId="673CC2E6" w14:textId="77777777" w:rsidR="00495C65" w:rsidRDefault="00495C65" w:rsidP="00495C65">
      <w:pPr>
        <w:pStyle w:val="13"/>
      </w:pPr>
      <w:r w:rsidRPr="006B5363">
        <w:rPr>
          <w:rFonts w:hint="eastAsia"/>
        </w:rPr>
        <w:t>（</w:t>
      </w:r>
      <w:r>
        <w:t>4</w:t>
      </w:r>
      <w:r w:rsidRPr="006B5363">
        <w:t>）</w:t>
      </w:r>
      <w:r>
        <w:rPr>
          <w:rFonts w:hint="eastAsia"/>
        </w:rPr>
        <w:t>估计开发建设周期和投资进度安排；</w:t>
      </w:r>
    </w:p>
    <w:p w14:paraId="210DD13E" w14:textId="77777777" w:rsidR="00495C65" w:rsidRDefault="00495C65" w:rsidP="00495C65">
      <w:pPr>
        <w:pStyle w:val="13"/>
      </w:pPr>
      <w:r w:rsidRPr="006B5363">
        <w:rPr>
          <w:rFonts w:hint="eastAsia"/>
        </w:rPr>
        <w:t>（</w:t>
      </w:r>
      <w:r>
        <w:t>5</w:t>
      </w:r>
      <w:r w:rsidRPr="006B5363">
        <w:t>）</w:t>
      </w:r>
      <w:r>
        <w:rPr>
          <w:rFonts w:hint="eastAsia"/>
        </w:rPr>
        <w:t>测算开发成本和开发客观开发利润；</w:t>
      </w:r>
    </w:p>
    <w:p w14:paraId="2A20E947" w14:textId="77777777" w:rsidR="00495C65" w:rsidRDefault="00495C65" w:rsidP="00495C65">
      <w:pPr>
        <w:pStyle w:val="13"/>
      </w:pPr>
      <w:r w:rsidRPr="006B5363">
        <w:rPr>
          <w:rFonts w:hint="eastAsia"/>
        </w:rPr>
        <w:t>（</w:t>
      </w:r>
      <w:r>
        <w:t>6</w:t>
      </w:r>
      <w:r w:rsidRPr="006B5363">
        <w:t>）</w:t>
      </w:r>
      <w:proofErr w:type="gramStart"/>
      <w:r>
        <w:rPr>
          <w:rFonts w:hint="eastAsia"/>
        </w:rPr>
        <w:t>测算待估宗地</w:t>
      </w:r>
      <w:proofErr w:type="gramEnd"/>
      <w:r>
        <w:rPr>
          <w:rFonts w:hint="eastAsia"/>
        </w:rPr>
        <w:t>价格。</w:t>
      </w:r>
    </w:p>
    <w:p w14:paraId="4BA213A5" w14:textId="77777777" w:rsidR="00495C65" w:rsidRDefault="00495C65" w:rsidP="00495C65">
      <w:pPr>
        <w:pStyle w:val="13"/>
      </w:pPr>
      <w:r w:rsidRPr="006B5363">
        <w:t>6.3.2.</w:t>
      </w:r>
      <w:r>
        <w:t>3</w:t>
      </w:r>
      <w:r>
        <w:rPr>
          <w:rFonts w:hint="eastAsia"/>
        </w:rPr>
        <w:t>测算开发完成后的不动产总价</w:t>
      </w:r>
    </w:p>
    <w:p w14:paraId="23D88C64" w14:textId="77777777" w:rsidR="00495C65" w:rsidRDefault="00495C65" w:rsidP="00495C65">
      <w:pPr>
        <w:pStyle w:val="13"/>
      </w:pPr>
      <w:r>
        <w:rPr>
          <w:rFonts w:hint="eastAsia"/>
        </w:rPr>
        <w:t>应</w:t>
      </w:r>
      <w:proofErr w:type="gramStart"/>
      <w:r>
        <w:rPr>
          <w:rFonts w:hint="eastAsia"/>
        </w:rPr>
        <w:t>根据待估宗地</w:t>
      </w:r>
      <w:proofErr w:type="gramEnd"/>
      <w:r>
        <w:rPr>
          <w:rFonts w:hint="eastAsia"/>
        </w:rPr>
        <w:t>的最有效利用方式和当地不动产市场现状，采用市场比较法或趋势分析确定其在评估期日的价值。对开发完成后拟采用出租或自营方式经营的土地或不动产价值，也可以根据同一市场状况采用收益还原法确定其价值。</w:t>
      </w:r>
    </w:p>
    <w:p w14:paraId="458E9DF0" w14:textId="77777777" w:rsidR="00495C65" w:rsidRDefault="00495C65" w:rsidP="00495C65">
      <w:pPr>
        <w:pStyle w:val="13"/>
      </w:pPr>
      <w:r w:rsidRPr="008860A8">
        <w:t>6.3.2.</w:t>
      </w:r>
      <w:r>
        <w:t>4</w:t>
      </w:r>
      <w:r>
        <w:rPr>
          <w:rFonts w:hint="eastAsia"/>
        </w:rPr>
        <w:t>确定开发周期和投资进度安排</w:t>
      </w:r>
    </w:p>
    <w:p w14:paraId="0B4DD037" w14:textId="77777777" w:rsidR="00495C65" w:rsidRDefault="00495C65" w:rsidP="00495C65">
      <w:pPr>
        <w:pStyle w:val="13"/>
      </w:pPr>
      <w:r>
        <w:rPr>
          <w:rFonts w:hint="eastAsia"/>
        </w:rPr>
        <w:t>应参照类似不动产的开发过程进行确定。</w:t>
      </w:r>
    </w:p>
    <w:p w14:paraId="43398128" w14:textId="77777777" w:rsidR="00495C65" w:rsidRDefault="00495C65" w:rsidP="00495C65">
      <w:pPr>
        <w:pStyle w:val="13"/>
      </w:pPr>
      <w:r w:rsidRPr="008860A8">
        <w:t>6.3.2.</w:t>
      </w:r>
      <w:r>
        <w:t>5</w:t>
      </w:r>
      <w:r>
        <w:rPr>
          <w:rFonts w:hint="eastAsia"/>
        </w:rPr>
        <w:t>测算开发成本</w:t>
      </w:r>
    </w:p>
    <w:p w14:paraId="101CB7B2" w14:textId="77777777" w:rsidR="00495C65" w:rsidRDefault="00495C65" w:rsidP="00495C65">
      <w:pPr>
        <w:pStyle w:val="13"/>
      </w:pPr>
      <w:r>
        <w:rPr>
          <w:rFonts w:hint="eastAsia"/>
        </w:rPr>
        <w:t>开发成本是项目开发建设期间所发生的客观费用的总和。</w:t>
      </w:r>
    </w:p>
    <w:p w14:paraId="38BFEB2D" w14:textId="77777777" w:rsidR="00495C65" w:rsidRDefault="00495C65" w:rsidP="00495C65">
      <w:pPr>
        <w:pStyle w:val="13"/>
      </w:pPr>
      <w:r>
        <w:rPr>
          <w:rFonts w:hint="eastAsia"/>
        </w:rPr>
        <w:t>在土地开发项目中，开发成本包括购地税费、将土地开发完成所需的开发费用、管理费用、投资利息和销售税费；在不动产开发项目中，开发成本包括购地税费、房屋建造成本、管理费用、投资利息和销售税费。</w:t>
      </w:r>
    </w:p>
    <w:p w14:paraId="35ADEA13" w14:textId="77777777" w:rsidR="00495C65" w:rsidRDefault="00495C65" w:rsidP="00495C65">
      <w:pPr>
        <w:pStyle w:val="13"/>
      </w:pPr>
      <w:r w:rsidRPr="008860A8">
        <w:t>6.3.2.</w:t>
      </w:r>
      <w:r>
        <w:t>6</w:t>
      </w:r>
      <w:r>
        <w:rPr>
          <w:rFonts w:hint="eastAsia"/>
        </w:rPr>
        <w:t>测算利息</w:t>
      </w:r>
    </w:p>
    <w:p w14:paraId="6BF9B4BD" w14:textId="77777777" w:rsidR="00495C65" w:rsidRDefault="00495C65" w:rsidP="00495C65">
      <w:pPr>
        <w:pStyle w:val="13"/>
      </w:pPr>
      <w:r>
        <w:rPr>
          <w:rFonts w:hint="eastAsia"/>
        </w:rPr>
        <w:lastRenderedPageBreak/>
        <w:t>地价款、土地开发费用或房屋建造成本、管理费用和</w:t>
      </w:r>
      <w:proofErr w:type="gramStart"/>
      <w:r>
        <w:rPr>
          <w:rFonts w:hint="eastAsia"/>
        </w:rPr>
        <w:t>购地税</w:t>
      </w:r>
      <w:proofErr w:type="gramEnd"/>
      <w:r>
        <w:rPr>
          <w:rFonts w:hint="eastAsia"/>
        </w:rPr>
        <w:t>费等全部预付资本要计算利息。销售税费不计利息。利息的计算要充分考虑资本投入的进度安排，按复利计算。</w:t>
      </w:r>
    </w:p>
    <w:p w14:paraId="6597AEB1" w14:textId="77777777" w:rsidR="00495C65" w:rsidRDefault="00495C65" w:rsidP="00495C65">
      <w:pPr>
        <w:pStyle w:val="13"/>
      </w:pPr>
      <w:r>
        <w:rPr>
          <w:rFonts w:hint="eastAsia"/>
        </w:rPr>
        <w:t>利息率的选取应参照银行公布的同期贷款利率。</w:t>
      </w:r>
    </w:p>
    <w:p w14:paraId="0715BC35" w14:textId="77777777" w:rsidR="00495C65" w:rsidRDefault="00495C65" w:rsidP="00495C65">
      <w:pPr>
        <w:pStyle w:val="13"/>
      </w:pPr>
      <w:r w:rsidRPr="00344559">
        <w:t>6.3.2.</w:t>
      </w:r>
      <w:r>
        <w:t>7</w:t>
      </w:r>
      <w:r>
        <w:rPr>
          <w:rFonts w:hint="eastAsia"/>
        </w:rPr>
        <w:t>测算利润</w:t>
      </w:r>
    </w:p>
    <w:p w14:paraId="67E1F30D" w14:textId="77777777" w:rsidR="00495C65" w:rsidRDefault="00495C65" w:rsidP="00495C65">
      <w:pPr>
        <w:pStyle w:val="13"/>
      </w:pPr>
      <w:r>
        <w:rPr>
          <w:rFonts w:hint="eastAsia"/>
        </w:rPr>
        <w:t>开发项目客观利润一般以土地或不动产总价值或全部预付资本的一定比例计算。利润率宜采用同一市场上类似土地或不动产开发项目的平均利润率。</w:t>
      </w:r>
    </w:p>
    <w:p w14:paraId="62362398" w14:textId="77777777" w:rsidR="00495C65" w:rsidRDefault="00495C65" w:rsidP="00495C65">
      <w:pPr>
        <w:pStyle w:val="13"/>
      </w:pPr>
      <w:r>
        <w:rPr>
          <w:rFonts w:hint="eastAsia"/>
        </w:rPr>
        <w:t>如果采用现金流法，折现率的取值综合考虑了利息和利润因素，可不单独测算利润。</w:t>
      </w:r>
    </w:p>
    <w:p w14:paraId="5200714F" w14:textId="77777777" w:rsidR="00495C65" w:rsidRDefault="00495C65" w:rsidP="00495C65">
      <w:pPr>
        <w:pStyle w:val="13"/>
      </w:pPr>
      <w:r w:rsidRPr="00344559">
        <w:t>6.3.2.</w:t>
      </w:r>
      <w:r>
        <w:t>8</w:t>
      </w:r>
      <w:r>
        <w:rPr>
          <w:rFonts w:hint="eastAsia"/>
        </w:rPr>
        <w:t>测算土地价格</w:t>
      </w:r>
    </w:p>
    <w:p w14:paraId="7607BD89" w14:textId="77777777" w:rsidR="00495C65" w:rsidRDefault="00495C65" w:rsidP="00495C65">
      <w:pPr>
        <w:pStyle w:val="13"/>
      </w:pPr>
      <w:r>
        <w:rPr>
          <w:rFonts w:hint="eastAsia"/>
        </w:rPr>
        <w:t>运用剩余法评估公式测算土地价格。</w:t>
      </w:r>
    </w:p>
    <w:p w14:paraId="21FF28CF" w14:textId="77777777" w:rsidR="00495C65" w:rsidRDefault="00495C65" w:rsidP="00495C65">
      <w:pPr>
        <w:pStyle w:val="13"/>
      </w:pPr>
      <w:r w:rsidRPr="00141AED">
        <w:t>6.3.2.</w:t>
      </w:r>
      <w:r>
        <w:t>9</w:t>
      </w:r>
      <w:r>
        <w:rPr>
          <w:rFonts w:hint="eastAsia"/>
        </w:rPr>
        <w:t>适用范围</w:t>
      </w:r>
    </w:p>
    <w:p w14:paraId="54CD4060" w14:textId="77777777" w:rsidR="00495C65" w:rsidRDefault="00495C65" w:rsidP="00495C65">
      <w:pPr>
        <w:pStyle w:val="13"/>
      </w:pPr>
      <w:r>
        <w:rPr>
          <w:rFonts w:hint="eastAsia"/>
        </w:rPr>
        <w:t>剩余法适用于具有投资开发或再开发潜力的土地估价。一般可运用于以下情形：</w:t>
      </w:r>
    </w:p>
    <w:p w14:paraId="612B7F09" w14:textId="77777777" w:rsidR="00495C65" w:rsidRDefault="00495C65" w:rsidP="00495C65">
      <w:pPr>
        <w:pStyle w:val="13"/>
      </w:pPr>
      <w:r>
        <w:rPr>
          <w:rFonts w:hint="eastAsia"/>
        </w:rPr>
        <w:t>（</w:t>
      </w:r>
      <w:r>
        <w:t>1）待开发不动产的土地估价；</w:t>
      </w:r>
    </w:p>
    <w:p w14:paraId="5CB56624" w14:textId="77777777" w:rsidR="00495C65" w:rsidRDefault="00495C65" w:rsidP="00495C65">
      <w:pPr>
        <w:pStyle w:val="13"/>
      </w:pPr>
      <w:r>
        <w:rPr>
          <w:rFonts w:hint="eastAsia"/>
        </w:rPr>
        <w:t>（</w:t>
      </w:r>
      <w:r>
        <w:t>2）</w:t>
      </w:r>
      <w:proofErr w:type="gramStart"/>
      <w:r>
        <w:t>待改造</w:t>
      </w:r>
      <w:proofErr w:type="gramEnd"/>
      <w:r>
        <w:t>后再开发不动产中的土地估价；</w:t>
      </w:r>
    </w:p>
    <w:p w14:paraId="361C662B" w14:textId="77777777" w:rsidR="00495C65" w:rsidRDefault="00495C65" w:rsidP="00495C65">
      <w:pPr>
        <w:pStyle w:val="13"/>
      </w:pPr>
      <w:r>
        <w:rPr>
          <w:rFonts w:hint="eastAsia"/>
        </w:rPr>
        <w:t>（</w:t>
      </w:r>
      <w:r>
        <w:t>3）仅将土地开发整理成可供直接利用的土地估价。</w:t>
      </w:r>
    </w:p>
    <w:p w14:paraId="7A885975" w14:textId="77777777" w:rsidR="00495C65" w:rsidRDefault="00495C65" w:rsidP="00495C65">
      <w:pPr>
        <w:pStyle w:val="ab"/>
        <w:spacing w:before="62" w:after="62"/>
        <w:ind w:firstLine="482"/>
      </w:pPr>
      <w:r>
        <w:t>6.4成本逼近法</w:t>
      </w:r>
    </w:p>
    <w:p w14:paraId="5BDCD58A" w14:textId="77777777" w:rsidR="00495C65" w:rsidRDefault="00495C65" w:rsidP="00495C65">
      <w:pPr>
        <w:pStyle w:val="13"/>
      </w:pPr>
      <w:r>
        <w:t>6.4.1基本公式</w:t>
      </w:r>
    </w:p>
    <w:p w14:paraId="41F8E8AC" w14:textId="77777777" w:rsidR="00495C65" w:rsidRDefault="00495C65" w:rsidP="00495C65">
      <w:pPr>
        <w:pStyle w:val="13"/>
      </w:pPr>
      <w:r>
        <w:rPr>
          <w:rFonts w:hint="eastAsia"/>
        </w:rPr>
        <w:t>成本逼近法的基本公式如下：</w:t>
      </w:r>
    </w:p>
    <w:p w14:paraId="0502EAA6" w14:textId="77777777" w:rsidR="00495C65" w:rsidRDefault="00495C65" w:rsidP="00495C65">
      <w:pPr>
        <w:spacing w:before="197"/>
        <w:ind w:left="3473"/>
        <w:rPr>
          <w:rFonts w:ascii="宋体" w:hAnsi="宋体"/>
          <w:iCs/>
          <w:position w:val="1"/>
          <w:sz w:val="24"/>
        </w:rPr>
      </w:pPr>
      <w:r w:rsidRPr="00862666">
        <w:rPr>
          <w:rFonts w:ascii="宋体" w:hAnsi="宋体"/>
          <w:i/>
          <w:position w:val="1"/>
          <w:sz w:val="24"/>
        </w:rPr>
        <w:t>V=E</w:t>
      </w:r>
      <w:r w:rsidRPr="00C95A53">
        <w:rPr>
          <w:rFonts w:ascii="宋体" w:hAnsi="宋体"/>
          <w:i/>
          <w:position w:val="1"/>
          <w:sz w:val="24"/>
          <w:vertAlign w:val="subscript"/>
        </w:rPr>
        <w:t>a</w:t>
      </w:r>
      <w:r w:rsidRPr="00862666">
        <w:rPr>
          <w:rFonts w:ascii="宋体" w:hAnsi="宋体"/>
          <w:i/>
          <w:position w:val="1"/>
          <w:sz w:val="24"/>
        </w:rPr>
        <w:t>+E</w:t>
      </w:r>
      <w:r w:rsidRPr="00C95A53">
        <w:rPr>
          <w:rFonts w:ascii="宋体" w:hAnsi="宋体"/>
          <w:i/>
          <w:position w:val="1"/>
          <w:sz w:val="24"/>
          <w:vertAlign w:val="subscript"/>
        </w:rPr>
        <w:t>d</w:t>
      </w:r>
      <w:r w:rsidRPr="00862666">
        <w:rPr>
          <w:rFonts w:ascii="宋体" w:hAnsi="宋体"/>
          <w:i/>
          <w:position w:val="1"/>
          <w:sz w:val="24"/>
        </w:rPr>
        <w:t>+T+R</w:t>
      </w:r>
      <w:r w:rsidRPr="00C95A53">
        <w:rPr>
          <w:rFonts w:ascii="宋体" w:hAnsi="宋体"/>
          <w:i/>
          <w:position w:val="1"/>
          <w:sz w:val="24"/>
          <w:vertAlign w:val="subscript"/>
        </w:rPr>
        <w:t>1</w:t>
      </w:r>
      <w:r w:rsidRPr="00862666">
        <w:rPr>
          <w:rFonts w:ascii="宋体" w:hAnsi="宋体"/>
          <w:i/>
          <w:position w:val="1"/>
          <w:sz w:val="24"/>
        </w:rPr>
        <w:t>+R</w:t>
      </w:r>
      <w:r w:rsidRPr="00C95A53">
        <w:rPr>
          <w:rFonts w:ascii="宋体" w:hAnsi="宋体"/>
          <w:i/>
          <w:position w:val="1"/>
          <w:sz w:val="24"/>
          <w:vertAlign w:val="subscript"/>
        </w:rPr>
        <w:t>2</w:t>
      </w:r>
      <w:r w:rsidRPr="00862666">
        <w:rPr>
          <w:rFonts w:ascii="宋体" w:hAnsi="宋体"/>
          <w:i/>
          <w:position w:val="1"/>
          <w:sz w:val="24"/>
        </w:rPr>
        <w:t>+R</w:t>
      </w:r>
      <w:r w:rsidRPr="00C95A53">
        <w:rPr>
          <w:rFonts w:ascii="宋体" w:hAnsi="宋体"/>
          <w:i/>
          <w:position w:val="1"/>
          <w:sz w:val="24"/>
          <w:vertAlign w:val="subscript"/>
        </w:rPr>
        <w:t>3</w:t>
      </w:r>
      <w:r w:rsidRPr="00862666">
        <w:rPr>
          <w:rFonts w:ascii="宋体" w:hAnsi="宋体"/>
          <w:i/>
          <w:position w:val="1"/>
          <w:sz w:val="24"/>
        </w:rPr>
        <w:t>=V</w:t>
      </w:r>
      <w:r w:rsidRPr="00C95A53">
        <w:rPr>
          <w:rFonts w:ascii="宋体" w:hAnsi="宋体"/>
          <w:i/>
          <w:position w:val="1"/>
          <w:sz w:val="24"/>
          <w:vertAlign w:val="subscript"/>
        </w:rPr>
        <w:t>E</w:t>
      </w:r>
      <w:r w:rsidRPr="00862666">
        <w:rPr>
          <w:rFonts w:ascii="宋体" w:hAnsi="宋体"/>
          <w:i/>
          <w:position w:val="1"/>
          <w:sz w:val="24"/>
        </w:rPr>
        <w:t>+R</w:t>
      </w:r>
      <w:r w:rsidRPr="00C95A53">
        <w:rPr>
          <w:rFonts w:ascii="宋体" w:hAnsi="宋体"/>
          <w:i/>
          <w:position w:val="1"/>
          <w:sz w:val="24"/>
          <w:vertAlign w:val="subscript"/>
        </w:rPr>
        <w:t>3</w:t>
      </w:r>
      <w:r w:rsidRPr="00862666">
        <w:rPr>
          <w:rFonts w:ascii="宋体" w:hAnsi="宋体"/>
          <w:i/>
          <w:position w:val="1"/>
          <w:sz w:val="24"/>
        </w:rPr>
        <w:t xml:space="preserve">   </w:t>
      </w:r>
      <w:r>
        <w:rPr>
          <w:rFonts w:ascii="宋体" w:hAnsi="宋体"/>
          <w:i/>
          <w:position w:val="1"/>
          <w:sz w:val="24"/>
        </w:rPr>
        <w:t xml:space="preserve">    </w:t>
      </w:r>
      <w:r w:rsidRPr="00862666">
        <w:rPr>
          <w:rFonts w:ascii="宋体" w:hAnsi="宋体"/>
          <w:i/>
          <w:position w:val="1"/>
          <w:sz w:val="24"/>
        </w:rPr>
        <w:t xml:space="preserve">            </w:t>
      </w:r>
      <w:r>
        <w:rPr>
          <w:rFonts w:ascii="宋体" w:hAnsi="宋体"/>
          <w:i/>
          <w:position w:val="1"/>
          <w:sz w:val="24"/>
        </w:rPr>
        <w:t xml:space="preserve"> </w:t>
      </w:r>
      <w:r w:rsidRPr="00C95A53">
        <w:rPr>
          <w:rFonts w:ascii="宋体" w:hAnsi="宋体"/>
          <w:iCs/>
          <w:position w:val="1"/>
          <w:sz w:val="24"/>
        </w:rPr>
        <w:t>（2</w:t>
      </w:r>
      <w:r>
        <w:rPr>
          <w:rFonts w:ascii="宋体" w:hAnsi="宋体"/>
          <w:iCs/>
          <w:position w:val="1"/>
          <w:sz w:val="24"/>
        </w:rPr>
        <w:t>2</w:t>
      </w:r>
      <w:r w:rsidRPr="00C95A53">
        <w:rPr>
          <w:rFonts w:ascii="宋体" w:hAnsi="宋体"/>
          <w:iCs/>
          <w:position w:val="1"/>
          <w:sz w:val="24"/>
        </w:rPr>
        <w:t>）</w:t>
      </w:r>
    </w:p>
    <w:p w14:paraId="5BF0A5D0" w14:textId="77777777" w:rsidR="00495C65" w:rsidRDefault="00495C65" w:rsidP="00495C65">
      <w:pPr>
        <w:pStyle w:val="13"/>
      </w:pPr>
      <w:r>
        <w:rPr>
          <w:rFonts w:hint="eastAsia"/>
        </w:rPr>
        <w:t>式中：</w:t>
      </w:r>
    </w:p>
    <w:p w14:paraId="3A160FA7" w14:textId="77777777" w:rsidR="00495C65" w:rsidRDefault="00495C65" w:rsidP="00495C65">
      <w:pPr>
        <w:pStyle w:val="13"/>
        <w:ind w:firstLineChars="500" w:firstLine="1200"/>
      </w:pPr>
      <w:r w:rsidRPr="00D7664D">
        <w:rPr>
          <w:i/>
          <w:iCs/>
        </w:rPr>
        <w:t>V</w:t>
      </w:r>
      <w:proofErr w:type="gramStart"/>
      <w:r>
        <w:t>—土地</w:t>
      </w:r>
      <w:proofErr w:type="gramEnd"/>
      <w:r>
        <w:t>价格；</w:t>
      </w:r>
    </w:p>
    <w:p w14:paraId="7B635381" w14:textId="77777777" w:rsidR="00495C65" w:rsidRDefault="00495C65" w:rsidP="00495C65">
      <w:pPr>
        <w:pStyle w:val="13"/>
        <w:ind w:firstLineChars="500" w:firstLine="1200"/>
      </w:pPr>
      <w:proofErr w:type="spellStart"/>
      <w:r w:rsidRPr="00D7664D">
        <w:rPr>
          <w:i/>
          <w:iCs/>
        </w:rPr>
        <w:t>E</w:t>
      </w:r>
      <w:r w:rsidRPr="00D7664D">
        <w:rPr>
          <w:i/>
          <w:iCs/>
          <w:vertAlign w:val="subscript"/>
        </w:rPr>
        <w:t>a</w:t>
      </w:r>
      <w:proofErr w:type="spellEnd"/>
      <w:proofErr w:type="gramStart"/>
      <w:r>
        <w:t>—土地</w:t>
      </w:r>
      <w:proofErr w:type="gramEnd"/>
      <w:r>
        <w:t>取得费；</w:t>
      </w:r>
    </w:p>
    <w:p w14:paraId="2C8773E6" w14:textId="77777777" w:rsidR="00495C65" w:rsidRDefault="00495C65" w:rsidP="00495C65">
      <w:pPr>
        <w:pStyle w:val="13"/>
        <w:ind w:firstLineChars="500" w:firstLine="1200"/>
      </w:pPr>
      <w:r w:rsidRPr="00D7664D">
        <w:rPr>
          <w:i/>
          <w:iCs/>
        </w:rPr>
        <w:t>E</w:t>
      </w:r>
      <w:r w:rsidRPr="00D7664D">
        <w:rPr>
          <w:i/>
          <w:iCs/>
          <w:vertAlign w:val="subscript"/>
        </w:rPr>
        <w:t>d</w:t>
      </w:r>
      <w:r>
        <w:t>—土地开发费；</w:t>
      </w:r>
    </w:p>
    <w:p w14:paraId="63761818" w14:textId="77777777" w:rsidR="00495C65" w:rsidRDefault="00495C65" w:rsidP="00495C65">
      <w:pPr>
        <w:pStyle w:val="13"/>
        <w:ind w:firstLineChars="500" w:firstLine="1200"/>
      </w:pPr>
      <w:r w:rsidRPr="00D7664D">
        <w:rPr>
          <w:i/>
          <w:iCs/>
        </w:rPr>
        <w:t>T</w:t>
      </w:r>
      <w:r>
        <w:t>—税费；</w:t>
      </w:r>
    </w:p>
    <w:p w14:paraId="44872CE1" w14:textId="77777777" w:rsidR="00495C65" w:rsidRDefault="00495C65" w:rsidP="00495C65">
      <w:pPr>
        <w:pStyle w:val="13"/>
        <w:ind w:firstLineChars="500" w:firstLine="1200"/>
      </w:pPr>
      <w:r w:rsidRPr="00D7664D">
        <w:rPr>
          <w:i/>
          <w:iCs/>
        </w:rPr>
        <w:t>R</w:t>
      </w:r>
      <w:r w:rsidRPr="00D7664D">
        <w:rPr>
          <w:i/>
          <w:iCs/>
          <w:vertAlign w:val="subscript"/>
        </w:rPr>
        <w:t>1</w:t>
      </w:r>
      <w:r>
        <w:t>—利息；</w:t>
      </w:r>
    </w:p>
    <w:p w14:paraId="10D19D9D" w14:textId="77777777" w:rsidR="00495C65" w:rsidRDefault="00495C65" w:rsidP="00495C65">
      <w:pPr>
        <w:pStyle w:val="13"/>
        <w:ind w:firstLineChars="500" w:firstLine="1200"/>
      </w:pPr>
      <w:r w:rsidRPr="00D7664D">
        <w:rPr>
          <w:i/>
          <w:iCs/>
        </w:rPr>
        <w:t>R</w:t>
      </w:r>
      <w:r w:rsidRPr="00D7664D">
        <w:rPr>
          <w:i/>
          <w:iCs/>
          <w:vertAlign w:val="subscript"/>
        </w:rPr>
        <w:t>2</w:t>
      </w:r>
      <w:r>
        <w:t>—利润；</w:t>
      </w:r>
    </w:p>
    <w:p w14:paraId="54985CC3" w14:textId="77777777" w:rsidR="00495C65" w:rsidRDefault="00495C65" w:rsidP="00495C65">
      <w:pPr>
        <w:pStyle w:val="13"/>
        <w:ind w:firstLineChars="500" w:firstLine="1200"/>
      </w:pPr>
      <w:r w:rsidRPr="00D7664D">
        <w:rPr>
          <w:i/>
          <w:iCs/>
        </w:rPr>
        <w:t>R</w:t>
      </w:r>
      <w:r w:rsidRPr="00D7664D">
        <w:rPr>
          <w:i/>
          <w:iCs/>
          <w:vertAlign w:val="subscript"/>
        </w:rPr>
        <w:t>3</w:t>
      </w:r>
      <w:r>
        <w:t>—土地增值；</w:t>
      </w:r>
    </w:p>
    <w:p w14:paraId="742B7EAD" w14:textId="77777777" w:rsidR="00495C65" w:rsidRDefault="00495C65" w:rsidP="00495C65">
      <w:pPr>
        <w:pStyle w:val="13"/>
        <w:ind w:firstLineChars="500" w:firstLine="1200"/>
      </w:pPr>
      <w:r w:rsidRPr="00D7664D">
        <w:rPr>
          <w:i/>
          <w:iCs/>
        </w:rPr>
        <w:t>V</w:t>
      </w:r>
      <w:r w:rsidRPr="00D7664D">
        <w:rPr>
          <w:i/>
          <w:iCs/>
          <w:vertAlign w:val="subscript"/>
        </w:rPr>
        <w:t>E</w:t>
      </w:r>
      <w:proofErr w:type="gramStart"/>
      <w:r>
        <w:t>—土地</w:t>
      </w:r>
      <w:proofErr w:type="gramEnd"/>
      <w:r>
        <w:t>成本价格。</w:t>
      </w:r>
    </w:p>
    <w:p w14:paraId="43A7AAE2" w14:textId="77777777" w:rsidR="00495C65" w:rsidRDefault="00495C65" w:rsidP="00495C65">
      <w:pPr>
        <w:pStyle w:val="13"/>
      </w:pPr>
      <w:r>
        <w:t>6.4.2程序</w:t>
      </w:r>
    </w:p>
    <w:p w14:paraId="125379A5" w14:textId="77777777" w:rsidR="00495C65" w:rsidRDefault="00495C65" w:rsidP="00495C65">
      <w:pPr>
        <w:pStyle w:val="13"/>
      </w:pPr>
      <w:r>
        <w:t>程序如下：</w:t>
      </w:r>
    </w:p>
    <w:p w14:paraId="276E64BE" w14:textId="77777777" w:rsidR="00495C65" w:rsidRDefault="00495C65" w:rsidP="00495C65">
      <w:pPr>
        <w:pStyle w:val="13"/>
      </w:pPr>
      <w:r>
        <w:rPr>
          <w:rFonts w:hint="eastAsia"/>
        </w:rPr>
        <w:t>（</w:t>
      </w:r>
      <w:r>
        <w:t>1）收集与估价有关的成本费用、利息、利润及增值收益等资料；</w:t>
      </w:r>
    </w:p>
    <w:p w14:paraId="511B9088" w14:textId="77777777" w:rsidR="00495C65" w:rsidRDefault="00495C65" w:rsidP="00495C65">
      <w:pPr>
        <w:pStyle w:val="13"/>
      </w:pPr>
      <w:r>
        <w:rPr>
          <w:rFonts w:hint="eastAsia"/>
        </w:rPr>
        <w:t>（</w:t>
      </w:r>
      <w:r>
        <w:t>2）通过直接或间接方式</w:t>
      </w:r>
      <w:proofErr w:type="gramStart"/>
      <w:r>
        <w:t>求取待估宗地</w:t>
      </w:r>
      <w:proofErr w:type="gramEnd"/>
      <w:r>
        <w:t>的土地取得费、土地开发费及相关的税</w:t>
      </w:r>
      <w:r>
        <w:lastRenderedPageBreak/>
        <w:t>费、</w:t>
      </w:r>
      <w:r>
        <w:rPr>
          <w:rFonts w:hint="eastAsia"/>
        </w:rPr>
        <w:t>利息、利润；</w:t>
      </w:r>
    </w:p>
    <w:p w14:paraId="2984A47F" w14:textId="77777777" w:rsidR="00495C65" w:rsidRDefault="00495C65" w:rsidP="00495C65">
      <w:pPr>
        <w:pStyle w:val="13"/>
      </w:pPr>
      <w:r>
        <w:rPr>
          <w:rFonts w:hint="eastAsia"/>
        </w:rPr>
        <w:t>（3）确定土地增值；</w:t>
      </w:r>
    </w:p>
    <w:p w14:paraId="60A775F9" w14:textId="77777777" w:rsidR="00495C65" w:rsidRDefault="00495C65" w:rsidP="00495C65">
      <w:pPr>
        <w:pStyle w:val="13"/>
      </w:pPr>
      <w:r>
        <w:rPr>
          <w:rFonts w:hint="eastAsia"/>
        </w:rPr>
        <w:t>（4）对地价进行必要的修正，</w:t>
      </w:r>
      <w:proofErr w:type="gramStart"/>
      <w:r>
        <w:rPr>
          <w:rFonts w:hint="eastAsia"/>
        </w:rPr>
        <w:t>测算待估宗地</w:t>
      </w:r>
      <w:proofErr w:type="gramEnd"/>
      <w:r>
        <w:rPr>
          <w:rFonts w:hint="eastAsia"/>
        </w:rPr>
        <w:t>价格。</w:t>
      </w:r>
    </w:p>
    <w:p w14:paraId="1365C97F" w14:textId="77777777" w:rsidR="00495C65" w:rsidRDefault="00495C65" w:rsidP="00495C65">
      <w:pPr>
        <w:pStyle w:val="13"/>
      </w:pPr>
      <w:r w:rsidRPr="007E65F3">
        <w:t>6.4.</w:t>
      </w:r>
      <w:r>
        <w:t>3</w:t>
      </w:r>
      <w:r w:rsidRPr="007E65F3">
        <w:rPr>
          <w:rFonts w:hint="eastAsia"/>
        </w:rPr>
        <w:t>确定土地取得费</w:t>
      </w:r>
    </w:p>
    <w:p w14:paraId="42EFC02A" w14:textId="77777777" w:rsidR="00495C65" w:rsidRDefault="00495C65" w:rsidP="00495C65">
      <w:pPr>
        <w:pStyle w:val="13"/>
      </w:pPr>
      <w:r>
        <w:rPr>
          <w:rFonts w:hint="eastAsia"/>
        </w:rPr>
        <w:t>土地取得费按取得土地使用权而支付的各项客观费用计算，不同情况如下：</w:t>
      </w:r>
    </w:p>
    <w:p w14:paraId="02ABD97D" w14:textId="77777777" w:rsidR="00495C65" w:rsidRDefault="00495C65" w:rsidP="00495C65">
      <w:pPr>
        <w:pStyle w:val="13"/>
      </w:pPr>
      <w:r w:rsidRPr="00D6494E">
        <w:rPr>
          <w:rFonts w:hint="eastAsia"/>
        </w:rPr>
        <w:t>（</w:t>
      </w:r>
      <w:r w:rsidRPr="00D6494E">
        <w:t>1）</w:t>
      </w:r>
      <w:r>
        <w:rPr>
          <w:rFonts w:hint="eastAsia"/>
        </w:rPr>
        <w:t>征用农村集体土地时，土地取得费即为征收补偿安置费用，主要包括被征收土地、地上青苗、建筑物及构造物的补偿费用及涉及人员的安置补助费用。各项费用应按有关规定，</w:t>
      </w:r>
      <w:proofErr w:type="gramStart"/>
      <w:r>
        <w:rPr>
          <w:rFonts w:hint="eastAsia"/>
        </w:rPr>
        <w:t>依据待估宗地</w:t>
      </w:r>
      <w:proofErr w:type="gramEnd"/>
      <w:r>
        <w:rPr>
          <w:rFonts w:hint="eastAsia"/>
        </w:rPr>
        <w:t>所在区域政府规定的相关标准，以应当支付的区域客观费用来确定。</w:t>
      </w:r>
    </w:p>
    <w:p w14:paraId="15C335CD" w14:textId="77777777" w:rsidR="00495C65" w:rsidRDefault="00495C65" w:rsidP="00495C65">
      <w:pPr>
        <w:pStyle w:val="13"/>
      </w:pPr>
      <w:r w:rsidRPr="00D6494E">
        <w:rPr>
          <w:rFonts w:hint="eastAsia"/>
        </w:rPr>
        <w:t>（</w:t>
      </w:r>
      <w:r>
        <w:t>2</w:t>
      </w:r>
      <w:r w:rsidRPr="00D6494E">
        <w:t>）</w:t>
      </w:r>
      <w:r>
        <w:rPr>
          <w:rFonts w:hint="eastAsia"/>
        </w:rPr>
        <w:t>征收国有土地使用权时，土地取得费用即为征收补偿安置费用，主要包括被征收土地使用权、地上青苗、建筑物及构筑物的补偿费用及涉及人员的安置补助费。各项费用应按有关规定，</w:t>
      </w:r>
      <w:proofErr w:type="gramStart"/>
      <w:r>
        <w:rPr>
          <w:rFonts w:hint="eastAsia"/>
        </w:rPr>
        <w:t>依据待估宗地</w:t>
      </w:r>
      <w:proofErr w:type="gramEnd"/>
      <w:r>
        <w:rPr>
          <w:rFonts w:hint="eastAsia"/>
        </w:rPr>
        <w:t>所在区域政府规定的相关标准，以应当支付的区域客观费用来确定。</w:t>
      </w:r>
    </w:p>
    <w:p w14:paraId="7CF3C573" w14:textId="77777777" w:rsidR="00495C65" w:rsidRDefault="00495C65" w:rsidP="00495C65">
      <w:pPr>
        <w:pStyle w:val="13"/>
      </w:pPr>
      <w:r w:rsidRPr="00D6494E">
        <w:rPr>
          <w:rFonts w:hint="eastAsia"/>
        </w:rPr>
        <w:t>（</w:t>
      </w:r>
      <w:r>
        <w:t>3</w:t>
      </w:r>
      <w:r w:rsidRPr="00D6494E">
        <w:t>）</w:t>
      </w:r>
      <w:r>
        <w:rPr>
          <w:rFonts w:hint="eastAsia"/>
        </w:rPr>
        <w:t>通过市场交易获得土地时，土地取得费即是估价期日土地的客观市场购置价格。</w:t>
      </w:r>
    </w:p>
    <w:p w14:paraId="2EEAC4AA" w14:textId="77777777" w:rsidR="00495C65" w:rsidRDefault="00495C65" w:rsidP="00495C65">
      <w:pPr>
        <w:pStyle w:val="13"/>
      </w:pPr>
      <w:r>
        <w:t>6.4.4</w:t>
      </w:r>
      <w:r>
        <w:rPr>
          <w:rFonts w:hint="eastAsia"/>
        </w:rPr>
        <w:t>确定土地开发费</w:t>
      </w:r>
    </w:p>
    <w:p w14:paraId="7F877935" w14:textId="77777777" w:rsidR="00495C65" w:rsidRDefault="00495C65" w:rsidP="00495C65">
      <w:pPr>
        <w:pStyle w:val="13"/>
      </w:pPr>
      <w:r>
        <w:rPr>
          <w:rFonts w:hint="eastAsia"/>
        </w:rPr>
        <w:t>土地开发费按</w:t>
      </w:r>
      <w:proofErr w:type="gramStart"/>
      <w:r>
        <w:rPr>
          <w:rFonts w:hint="eastAsia"/>
        </w:rPr>
        <w:t>该待估</w:t>
      </w:r>
      <w:proofErr w:type="gramEnd"/>
      <w:r>
        <w:rPr>
          <w:rFonts w:hint="eastAsia"/>
        </w:rPr>
        <w:t>宗地设定开发程度下应投入的各项客观费用计算。</w:t>
      </w:r>
    </w:p>
    <w:p w14:paraId="0B41E317" w14:textId="77777777" w:rsidR="00495C65" w:rsidRDefault="00495C65" w:rsidP="00495C65">
      <w:pPr>
        <w:pStyle w:val="13"/>
      </w:pPr>
      <w:r>
        <w:rPr>
          <w:rFonts w:hint="eastAsia"/>
        </w:rPr>
        <w:t>宗地红线外的土地开发费为达到设定开发程度所需投入的各项开发费用；宗地红线内的土地开发费一般包括土地平整费。根据估价目的和投资主体不同，确定是否计入宗地红线内各类开发费用。</w:t>
      </w:r>
    </w:p>
    <w:p w14:paraId="79B18E24" w14:textId="77777777" w:rsidR="00495C65" w:rsidRDefault="00495C65" w:rsidP="00495C65">
      <w:pPr>
        <w:pStyle w:val="13"/>
      </w:pPr>
      <w:proofErr w:type="gramStart"/>
      <w:r>
        <w:rPr>
          <w:rFonts w:hint="eastAsia"/>
        </w:rPr>
        <w:t>按照待估宗地</w:t>
      </w:r>
      <w:proofErr w:type="gramEnd"/>
      <w:r>
        <w:rPr>
          <w:rFonts w:hint="eastAsia"/>
        </w:rPr>
        <w:t>的条件、估价目的和实际已开发程度，</w:t>
      </w:r>
      <w:proofErr w:type="gramStart"/>
      <w:r>
        <w:rPr>
          <w:rFonts w:hint="eastAsia"/>
        </w:rPr>
        <w:t>确定待估宗地</w:t>
      </w:r>
      <w:proofErr w:type="gramEnd"/>
      <w:r>
        <w:rPr>
          <w:rFonts w:hint="eastAsia"/>
        </w:rPr>
        <w:t>的开发程度。属建成区内已开发完成的宗地，评估设定的开发程度最少应为宗地红线外通路、通上水、通电和宗地红线内土地平整。</w:t>
      </w:r>
    </w:p>
    <w:p w14:paraId="2BA70266" w14:textId="77777777" w:rsidR="00495C65" w:rsidRDefault="00495C65" w:rsidP="00495C65">
      <w:pPr>
        <w:pStyle w:val="13"/>
      </w:pPr>
      <w:r w:rsidRPr="00D6494E">
        <w:t>6.4.</w:t>
      </w:r>
      <w:r>
        <w:t>5</w:t>
      </w:r>
      <w:r>
        <w:rPr>
          <w:rFonts w:hint="eastAsia"/>
        </w:rPr>
        <w:t>确定各项税费</w:t>
      </w:r>
    </w:p>
    <w:p w14:paraId="4113DEB1" w14:textId="77777777" w:rsidR="00495C65" w:rsidRDefault="00495C65" w:rsidP="00495C65">
      <w:pPr>
        <w:pStyle w:val="13"/>
      </w:pPr>
      <w:r>
        <w:rPr>
          <w:rFonts w:hint="eastAsia"/>
        </w:rPr>
        <w:t>土地取得和开发过程中应向政府缴纳的税费，一般包括占用耕地的耕地占用税和耕地开垦费、占用菜地的新菜地开发建设基金、征地管理费、政府规定的教育附加费等其他在土地取得过程中直</w:t>
      </w:r>
      <w:proofErr w:type="gramStart"/>
      <w:r>
        <w:rPr>
          <w:rFonts w:hint="eastAsia"/>
        </w:rPr>
        <w:t>接相关</w:t>
      </w:r>
      <w:proofErr w:type="gramEnd"/>
      <w:r>
        <w:rPr>
          <w:rFonts w:hint="eastAsia"/>
        </w:rPr>
        <w:t>的税费等。</w:t>
      </w:r>
    </w:p>
    <w:p w14:paraId="32530BC3" w14:textId="77777777" w:rsidR="00495C65" w:rsidRDefault="00495C65" w:rsidP="00495C65">
      <w:pPr>
        <w:pStyle w:val="13"/>
      </w:pPr>
      <w:r w:rsidRPr="00D6494E">
        <w:t>6.4.</w:t>
      </w:r>
      <w:r>
        <w:t>6</w:t>
      </w:r>
      <w:r>
        <w:rPr>
          <w:rFonts w:hint="eastAsia"/>
        </w:rPr>
        <w:t>确定土地开发利息</w:t>
      </w:r>
    </w:p>
    <w:p w14:paraId="36F6FB0D" w14:textId="77777777" w:rsidR="00495C65" w:rsidRDefault="00495C65" w:rsidP="00495C65">
      <w:pPr>
        <w:pStyle w:val="13"/>
      </w:pPr>
      <w:r>
        <w:rPr>
          <w:rFonts w:hint="eastAsia"/>
        </w:rPr>
        <w:t>土地开发总投资应计算合理利息。土地开发总投资包括土地取得费、土地开发费和各项税费。按照设定的土地开发程度的正常开发周期、各项费用的投入期限和贷款年利率，分别测算各期投入应支付的利息。土地开发周期超过一年者，利息应按复利计算。</w:t>
      </w:r>
    </w:p>
    <w:p w14:paraId="3C09F8F1" w14:textId="77777777" w:rsidR="00495C65" w:rsidRDefault="00495C65" w:rsidP="00495C65">
      <w:pPr>
        <w:pStyle w:val="13"/>
      </w:pPr>
      <w:r w:rsidRPr="00D6494E">
        <w:t>6.4.</w:t>
      </w:r>
      <w:r>
        <w:t>7</w:t>
      </w:r>
      <w:r>
        <w:rPr>
          <w:rFonts w:hint="eastAsia"/>
        </w:rPr>
        <w:t>确定土地开发利润</w:t>
      </w:r>
    </w:p>
    <w:p w14:paraId="659FF982" w14:textId="77777777" w:rsidR="00495C65" w:rsidRDefault="00495C65" w:rsidP="00495C65">
      <w:pPr>
        <w:pStyle w:val="13"/>
      </w:pPr>
      <w:r>
        <w:rPr>
          <w:rFonts w:hint="eastAsia"/>
        </w:rPr>
        <w:t>土地开发总投资应计算合理的利润。按照开发性质和各地实际情况，确定开发中</w:t>
      </w:r>
      <w:r>
        <w:rPr>
          <w:rFonts w:hint="eastAsia"/>
        </w:rPr>
        <w:lastRenderedPageBreak/>
        <w:t>各项投资的客观回报率，测算土地开发应取得的开发利润。</w:t>
      </w:r>
    </w:p>
    <w:p w14:paraId="4533E6C3" w14:textId="77777777" w:rsidR="00495C65" w:rsidRDefault="00495C65" w:rsidP="00495C65">
      <w:pPr>
        <w:pStyle w:val="13"/>
      </w:pPr>
      <w:r w:rsidRPr="00071CA3">
        <w:t>6.4.</w:t>
      </w:r>
      <w:r>
        <w:t>8</w:t>
      </w:r>
      <w:r>
        <w:rPr>
          <w:rFonts w:hint="eastAsia"/>
        </w:rPr>
        <w:t>确定土地增值</w:t>
      </w:r>
    </w:p>
    <w:p w14:paraId="7328AE50" w14:textId="77777777" w:rsidR="00495C65" w:rsidRDefault="00495C65" w:rsidP="00495C65">
      <w:pPr>
        <w:pStyle w:val="13"/>
      </w:pPr>
      <w:r>
        <w:rPr>
          <w:rFonts w:hint="eastAsia"/>
        </w:rPr>
        <w:t>土地增值依据土地所在区域，因用途等土地使用条件改变或进行土地开发而产生的</w:t>
      </w:r>
      <w:r w:rsidRPr="00C27975">
        <w:rPr>
          <w:rFonts w:hint="eastAsia"/>
        </w:rPr>
        <w:t>价值增加额或比率测算。</w:t>
      </w:r>
    </w:p>
    <w:p w14:paraId="7AB42D58" w14:textId="77777777" w:rsidR="00495C65" w:rsidRDefault="00495C65" w:rsidP="00495C65">
      <w:pPr>
        <w:pStyle w:val="13"/>
      </w:pPr>
      <w:r>
        <w:t>6.4.9价格修正确定</w:t>
      </w:r>
    </w:p>
    <w:p w14:paraId="6D3C7397" w14:textId="77777777" w:rsidR="00495C65" w:rsidRDefault="00495C65" w:rsidP="00495C65">
      <w:pPr>
        <w:pStyle w:val="13"/>
      </w:pPr>
      <w:r>
        <w:rPr>
          <w:rFonts w:hint="eastAsia"/>
        </w:rPr>
        <w:t>按式（</w:t>
      </w:r>
      <w:r>
        <w:t>22）初步测算土地价格后，应</w:t>
      </w:r>
      <w:proofErr w:type="gramStart"/>
      <w:r>
        <w:t>根据待估宗地</w:t>
      </w:r>
      <w:proofErr w:type="gramEnd"/>
      <w:r>
        <w:t>在区域内的位置和宗地条件，考虑是否需进行</w:t>
      </w:r>
      <w:r>
        <w:rPr>
          <w:rFonts w:hint="eastAsia"/>
        </w:rPr>
        <w:t>其他因素修正，确定土地价格。</w:t>
      </w:r>
    </w:p>
    <w:p w14:paraId="432B53FA" w14:textId="77777777" w:rsidR="00495C65" w:rsidRPr="0050537D" w:rsidRDefault="00495C65" w:rsidP="00495C65">
      <w:pPr>
        <w:pStyle w:val="13"/>
      </w:pPr>
      <w:r>
        <w:rPr>
          <w:rFonts w:hint="eastAsia"/>
        </w:rPr>
        <w:t>当土地增值是以有限年期的市场价格与成本价格的差额确定时，不再</w:t>
      </w:r>
      <w:proofErr w:type="gramStart"/>
      <w:r>
        <w:rPr>
          <w:rFonts w:hint="eastAsia"/>
        </w:rPr>
        <w:t>另行年</w:t>
      </w:r>
      <w:proofErr w:type="gramEnd"/>
      <w:r>
        <w:rPr>
          <w:rFonts w:hint="eastAsia"/>
        </w:rPr>
        <w:t>期修正；当土地增值是以无限年期的市场价格与成本价格的差额确定时，土地增值收益与成本价格一并进行年期修正，修正系数公式为：</w:t>
      </w:r>
    </w:p>
    <w:p w14:paraId="70417BDA" w14:textId="77777777" w:rsidR="00495C65" w:rsidRPr="0050537D" w:rsidRDefault="00495C65" w:rsidP="00495C65">
      <w:pPr>
        <w:pStyle w:val="13"/>
        <w:ind w:firstLineChars="1500" w:firstLine="3600"/>
        <w:rPr>
          <w:noProof/>
        </w:rPr>
      </w:pPr>
      <m:oMath>
        <m:r>
          <w:rPr>
            <w:rFonts w:ascii="Cambria Math" w:hAnsi="Cambria Math"/>
          </w:rPr>
          <m:t>K=1-</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den>
        </m:f>
      </m:oMath>
      <w:r>
        <w:rPr>
          <w:rFonts w:hint="eastAsia"/>
        </w:rPr>
        <w:t xml:space="preserve"> </w:t>
      </w:r>
      <w:r>
        <w:t xml:space="preserve">                          </w:t>
      </w:r>
      <w:r>
        <w:rPr>
          <w:rFonts w:hint="eastAsia"/>
        </w:rPr>
        <w:t>（</w:t>
      </w:r>
      <w:r>
        <w:t>23</w:t>
      </w:r>
      <w:r>
        <w:rPr>
          <w:rFonts w:hint="eastAsia"/>
        </w:rPr>
        <w:t>）</w:t>
      </w:r>
    </w:p>
    <w:p w14:paraId="1B3958D4" w14:textId="77777777" w:rsidR="00495C65" w:rsidRDefault="00495C65" w:rsidP="00495C65">
      <w:pPr>
        <w:pStyle w:val="13"/>
        <w:rPr>
          <w:noProof/>
        </w:rPr>
      </w:pPr>
      <w:r>
        <w:rPr>
          <w:rFonts w:hint="eastAsia"/>
          <w:noProof/>
        </w:rPr>
        <w:t>式中：</w:t>
      </w:r>
    </w:p>
    <w:p w14:paraId="02116F99" w14:textId="77777777" w:rsidR="00495C65" w:rsidRDefault="00495C65" w:rsidP="00495C65">
      <w:pPr>
        <w:pStyle w:val="13"/>
        <w:ind w:firstLineChars="500" w:firstLine="1200"/>
        <w:rPr>
          <w:noProof/>
        </w:rPr>
      </w:pPr>
      <w:r w:rsidRPr="00644FA1">
        <w:rPr>
          <w:i/>
          <w:iCs/>
          <w:noProof/>
        </w:rPr>
        <w:t>K</w:t>
      </w:r>
      <w:r>
        <w:rPr>
          <w:noProof/>
        </w:rPr>
        <w:t>—年期修正系数；</w:t>
      </w:r>
    </w:p>
    <w:p w14:paraId="71F2E4FF" w14:textId="77777777" w:rsidR="00495C65" w:rsidRDefault="00495C65" w:rsidP="00495C65">
      <w:pPr>
        <w:pStyle w:val="13"/>
        <w:ind w:firstLineChars="500" w:firstLine="1200"/>
        <w:rPr>
          <w:noProof/>
        </w:rPr>
      </w:pPr>
      <w:r w:rsidRPr="00644FA1">
        <w:rPr>
          <w:i/>
          <w:iCs/>
          <w:noProof/>
        </w:rPr>
        <w:t>r</w:t>
      </w:r>
      <w:r>
        <w:rPr>
          <w:noProof/>
        </w:rPr>
        <w:t>—土地还原率；</w:t>
      </w:r>
    </w:p>
    <w:p w14:paraId="0E47EF1F" w14:textId="77777777" w:rsidR="00495C65" w:rsidRDefault="00495C65" w:rsidP="00495C65">
      <w:pPr>
        <w:pStyle w:val="13"/>
        <w:ind w:firstLineChars="500" w:firstLine="1200"/>
        <w:rPr>
          <w:noProof/>
        </w:rPr>
      </w:pPr>
      <w:r w:rsidRPr="00644FA1">
        <w:rPr>
          <w:i/>
          <w:iCs/>
          <w:noProof/>
        </w:rPr>
        <w:t>n</w:t>
      </w:r>
      <w:r>
        <w:rPr>
          <w:noProof/>
        </w:rPr>
        <w:t>—土地使用年期。</w:t>
      </w:r>
    </w:p>
    <w:p w14:paraId="78AD32A1" w14:textId="77777777" w:rsidR="00495C65" w:rsidRDefault="00495C65" w:rsidP="00495C65">
      <w:pPr>
        <w:pStyle w:val="13"/>
        <w:rPr>
          <w:noProof/>
        </w:rPr>
      </w:pPr>
      <w:r>
        <w:rPr>
          <w:rFonts w:hint="eastAsia"/>
          <w:noProof/>
        </w:rPr>
        <w:t>当待估宗地为已出让土地时，应进行剩余使用年期修正。</w:t>
      </w:r>
    </w:p>
    <w:p w14:paraId="277C3770" w14:textId="77777777" w:rsidR="00495C65" w:rsidRDefault="00495C65" w:rsidP="00495C65">
      <w:pPr>
        <w:pStyle w:val="13"/>
        <w:rPr>
          <w:noProof/>
        </w:rPr>
      </w:pPr>
      <w:r>
        <w:rPr>
          <w:noProof/>
        </w:rPr>
        <w:t>6.4.10适用范围</w:t>
      </w:r>
    </w:p>
    <w:p w14:paraId="63677B5B" w14:textId="77777777" w:rsidR="00495C65" w:rsidRDefault="00495C65" w:rsidP="00495C65">
      <w:pPr>
        <w:pStyle w:val="13"/>
        <w:rPr>
          <w:noProof/>
        </w:rPr>
      </w:pPr>
      <w:r>
        <w:rPr>
          <w:rFonts w:hint="eastAsia"/>
          <w:noProof/>
        </w:rPr>
        <w:t>成本逼近法一般适用于新开发土地、或土地市场欠发育、交易实例少的地区的土地价格评估。</w:t>
      </w:r>
    </w:p>
    <w:p w14:paraId="13F450B1" w14:textId="77777777" w:rsidR="00495C65" w:rsidRDefault="00495C65" w:rsidP="00495C65">
      <w:pPr>
        <w:pStyle w:val="ab"/>
        <w:spacing w:before="62" w:after="62"/>
        <w:ind w:firstLine="482"/>
        <w:rPr>
          <w:noProof/>
        </w:rPr>
      </w:pPr>
      <w:r>
        <w:rPr>
          <w:noProof/>
        </w:rPr>
        <w:t>6.5公式地价系数修正法</w:t>
      </w:r>
    </w:p>
    <w:p w14:paraId="1EC848BB" w14:textId="77777777" w:rsidR="00495C65" w:rsidRDefault="00495C65" w:rsidP="00495C65">
      <w:pPr>
        <w:pStyle w:val="13"/>
        <w:rPr>
          <w:noProof/>
        </w:rPr>
      </w:pPr>
      <w:r>
        <w:rPr>
          <w:noProof/>
        </w:rPr>
        <w:t>6.5.1基准地价系数修正法</w:t>
      </w:r>
    </w:p>
    <w:p w14:paraId="049AEAC8" w14:textId="77777777" w:rsidR="00495C65" w:rsidRDefault="00495C65" w:rsidP="00495C65">
      <w:pPr>
        <w:pStyle w:val="13"/>
        <w:rPr>
          <w:noProof/>
        </w:rPr>
      </w:pPr>
      <w:r>
        <w:rPr>
          <w:noProof/>
        </w:rPr>
        <w:t>6.5.1.1基本公式</w:t>
      </w:r>
    </w:p>
    <w:p w14:paraId="462D9AA7" w14:textId="77777777" w:rsidR="00495C65" w:rsidRDefault="00495C65" w:rsidP="00495C65">
      <w:pPr>
        <w:pStyle w:val="13"/>
        <w:rPr>
          <w:noProof/>
        </w:rPr>
      </w:pPr>
      <w:r w:rsidRPr="00D06F6C">
        <w:rPr>
          <w:rFonts w:hint="eastAsia"/>
          <w:noProof/>
        </w:rPr>
        <w:t>以基准地价系数修正法评估土地价格公式如式（</w:t>
      </w:r>
      <w:r w:rsidRPr="00D06F6C">
        <w:rPr>
          <w:noProof/>
        </w:rPr>
        <w:t>24）所示：</w:t>
      </w:r>
    </w:p>
    <w:p w14:paraId="5E92C1A6" w14:textId="77777777" w:rsidR="00495C65" w:rsidRDefault="00495C65" w:rsidP="00495C65">
      <w:pPr>
        <w:pStyle w:val="13"/>
        <w:ind w:firstLineChars="1500" w:firstLine="3600"/>
      </w:pPr>
      <m:oMath>
        <m:r>
          <w:rPr>
            <w:rFonts w:ascii="Cambria Math" w:hAnsi="Cambria Math"/>
            <w:noProof/>
          </w:rPr>
          <m:t>P=</m:t>
        </m:r>
        <m:sSub>
          <m:sSubPr>
            <m:ctrlPr>
              <w:rPr>
                <w:rFonts w:ascii="Cambria Math" w:hAnsi="Cambria Math"/>
                <w:i/>
                <w:noProof/>
              </w:rPr>
            </m:ctrlPr>
          </m:sSubPr>
          <m:e>
            <m:r>
              <w:rPr>
                <w:rFonts w:ascii="Cambria Math" w:hAnsi="Cambria Math"/>
                <w:noProof/>
              </w:rPr>
              <m:t>P</m:t>
            </m:r>
          </m:e>
          <m:sub>
            <m:r>
              <w:rPr>
                <w:rFonts w:ascii="Cambria Math" w:hAnsi="Cambria Math"/>
                <w:noProof/>
              </w:rPr>
              <m:t>1b</m:t>
            </m:r>
          </m:sub>
        </m:sSub>
        <m:r>
          <w:rPr>
            <w:rFonts w:ascii="Cambria Math" w:hAnsi="Cambria Math"/>
            <w:noProof/>
          </w:rPr>
          <m:t>×(1±</m:t>
        </m:r>
        <m:nary>
          <m:naryPr>
            <m:chr m:val="∑"/>
            <m:limLoc m:val="undOvr"/>
            <m:subHide m:val="1"/>
            <m:supHide m:val="1"/>
            <m:ctrlPr>
              <w:rPr>
                <w:rFonts w:ascii="Cambria Math" w:hAnsi="Cambria Math"/>
                <w:i/>
                <w:noProof/>
              </w:rPr>
            </m:ctrlPr>
          </m:naryPr>
          <m:sub/>
          <m:sup/>
          <m:e>
            <m:sSub>
              <m:sSubPr>
                <m:ctrlPr>
                  <w:rPr>
                    <w:rFonts w:ascii="Cambria Math" w:hAnsi="Cambria Math"/>
                    <w:i/>
                    <w:noProof/>
                  </w:rPr>
                </m:ctrlPr>
              </m:sSubPr>
              <m:e>
                <m:r>
                  <w:rPr>
                    <w:rFonts w:ascii="Cambria Math" w:hAnsi="Cambria Math"/>
                    <w:noProof/>
                  </w:rPr>
                  <m:t>K</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K</m:t>
                </m:r>
              </m:e>
              <m:sub>
                <m:r>
                  <w:rPr>
                    <w:rFonts w:ascii="Cambria Math" w:hAnsi="Cambria Math"/>
                    <w:noProof/>
                  </w:rPr>
                  <m:t>j</m:t>
                </m:r>
              </m:sub>
            </m:sSub>
            <m:r>
              <w:rPr>
                <w:rFonts w:ascii="Cambria Math" w:hAnsi="Cambria Math"/>
                <w:noProof/>
              </w:rPr>
              <m:t>+D</m:t>
            </m:r>
          </m:e>
        </m:nary>
      </m:oMath>
      <w:r>
        <w:rPr>
          <w:rFonts w:hint="eastAsia"/>
        </w:rPr>
        <w:t xml:space="preserve"> </w:t>
      </w:r>
      <w:r>
        <w:t xml:space="preserve">            </w:t>
      </w:r>
      <w:r w:rsidRPr="00833127">
        <w:rPr>
          <w:rFonts w:hint="eastAsia"/>
        </w:rPr>
        <w:t>（</w:t>
      </w:r>
      <w:r w:rsidRPr="00833127">
        <w:t>2</w:t>
      </w:r>
      <w:r>
        <w:t>4</w:t>
      </w:r>
      <w:r w:rsidRPr="00833127">
        <w:t>）</w:t>
      </w:r>
    </w:p>
    <w:p w14:paraId="3F1BD3FF" w14:textId="77777777" w:rsidR="00495C65" w:rsidRDefault="00495C65" w:rsidP="00495C65">
      <w:pPr>
        <w:pStyle w:val="13"/>
      </w:pPr>
      <w:r>
        <w:rPr>
          <w:rFonts w:hint="eastAsia"/>
        </w:rPr>
        <w:t>式中：</w:t>
      </w:r>
    </w:p>
    <w:p w14:paraId="29A0BD8C" w14:textId="77777777" w:rsidR="00495C65" w:rsidRDefault="00495C65" w:rsidP="00495C65">
      <w:pPr>
        <w:pStyle w:val="13"/>
        <w:ind w:firstLineChars="500" w:firstLine="1200"/>
      </w:pPr>
      <w:r w:rsidRPr="00FD5372">
        <w:rPr>
          <w:i/>
          <w:iCs/>
        </w:rPr>
        <w:t>P</w:t>
      </w:r>
      <w:r>
        <w:t>—宗地价格；</w:t>
      </w:r>
    </w:p>
    <w:p w14:paraId="16946A85" w14:textId="77777777" w:rsidR="00495C65" w:rsidRDefault="00495C65" w:rsidP="00495C65">
      <w:pPr>
        <w:pStyle w:val="13"/>
        <w:ind w:firstLineChars="500" w:firstLine="1200"/>
      </w:pPr>
      <w:r w:rsidRPr="00FD5372">
        <w:rPr>
          <w:i/>
          <w:iCs/>
        </w:rPr>
        <w:t>P</w:t>
      </w:r>
      <w:r w:rsidRPr="00FD5372">
        <w:rPr>
          <w:i/>
          <w:iCs/>
          <w:vertAlign w:val="subscript"/>
        </w:rPr>
        <w:t>1b</w:t>
      </w:r>
      <w:r>
        <w:t>—某一用途、某级别（均质区域）的基准地价；</w:t>
      </w:r>
    </w:p>
    <w:p w14:paraId="56C72ECE" w14:textId="77777777" w:rsidR="00495C65" w:rsidRDefault="00495C65" w:rsidP="00495C65">
      <w:pPr>
        <w:pStyle w:val="13"/>
        <w:ind w:firstLineChars="500" w:firstLine="1200"/>
      </w:pPr>
      <w:r w:rsidRPr="00FD5372">
        <w:rPr>
          <w:rFonts w:hint="eastAsia"/>
          <w:i/>
          <w:iCs/>
        </w:rPr>
        <w:t>∑</w:t>
      </w:r>
      <w:r w:rsidRPr="00FD5372">
        <w:rPr>
          <w:rFonts w:hint="eastAsia"/>
          <w:i/>
          <w:iCs/>
          <w:vertAlign w:val="subscript"/>
        </w:rPr>
        <w:t>Ｋ</w:t>
      </w:r>
      <w:proofErr w:type="spellStart"/>
      <w:r w:rsidRPr="00FD5372">
        <w:rPr>
          <w:i/>
          <w:iCs/>
          <w:vertAlign w:val="subscript"/>
        </w:rPr>
        <w:t>i</w:t>
      </w:r>
      <w:proofErr w:type="spellEnd"/>
      <w:r>
        <w:t>—宗地地价修正系数；</w:t>
      </w:r>
    </w:p>
    <w:p w14:paraId="325B8168" w14:textId="77777777" w:rsidR="00495C65" w:rsidRDefault="00495C65" w:rsidP="00495C65">
      <w:pPr>
        <w:pStyle w:val="13"/>
        <w:ind w:firstLineChars="500" w:firstLine="1200"/>
      </w:pPr>
      <w:proofErr w:type="spellStart"/>
      <w:r w:rsidRPr="00FD5372">
        <w:rPr>
          <w:i/>
          <w:iCs/>
        </w:rPr>
        <w:t>K</w:t>
      </w:r>
      <w:r w:rsidRPr="00FD5372">
        <w:rPr>
          <w:i/>
          <w:iCs/>
          <w:vertAlign w:val="subscript"/>
        </w:rPr>
        <w:t>j</w:t>
      </w:r>
      <w:proofErr w:type="spellEnd"/>
      <w:r>
        <w:t>—估价期日、容积率、土地使用年期等其他修正系数；</w:t>
      </w:r>
    </w:p>
    <w:p w14:paraId="7B80542F" w14:textId="77777777" w:rsidR="00495C65" w:rsidRDefault="00495C65" w:rsidP="00495C65">
      <w:pPr>
        <w:pStyle w:val="13"/>
        <w:ind w:firstLineChars="500" w:firstLine="1200"/>
      </w:pPr>
      <w:r w:rsidRPr="00FD5372">
        <w:rPr>
          <w:i/>
          <w:iCs/>
        </w:rPr>
        <w:t>D</w:t>
      </w:r>
      <w:r>
        <w:t>—土地开发程度修正值。</w:t>
      </w:r>
    </w:p>
    <w:p w14:paraId="052A9460" w14:textId="77777777" w:rsidR="00495C65" w:rsidRDefault="00495C65" w:rsidP="00495C65">
      <w:pPr>
        <w:pStyle w:val="13"/>
      </w:pPr>
      <w:r>
        <w:rPr>
          <w:rFonts w:hint="eastAsia"/>
        </w:rPr>
        <w:t>6</w:t>
      </w:r>
      <w:r>
        <w:t>.5.1.2</w:t>
      </w:r>
      <w:r>
        <w:rPr>
          <w:rFonts w:hint="eastAsia"/>
        </w:rPr>
        <w:t>程序</w:t>
      </w:r>
    </w:p>
    <w:p w14:paraId="4D8ADFBF" w14:textId="77777777" w:rsidR="00495C65" w:rsidRDefault="00495C65" w:rsidP="00495C65">
      <w:pPr>
        <w:pStyle w:val="13"/>
      </w:pPr>
      <w:r>
        <w:rPr>
          <w:rFonts w:hint="eastAsia"/>
        </w:rPr>
        <w:t>程序如下：</w:t>
      </w:r>
    </w:p>
    <w:p w14:paraId="63B6770E" w14:textId="77777777" w:rsidR="00495C65" w:rsidRDefault="00495C65" w:rsidP="00495C65">
      <w:pPr>
        <w:pStyle w:val="13"/>
      </w:pPr>
      <w:r>
        <w:rPr>
          <w:rFonts w:hint="eastAsia"/>
        </w:rPr>
        <w:t>（1）收集有关基准地价资料；</w:t>
      </w:r>
    </w:p>
    <w:p w14:paraId="6A0237AA" w14:textId="77777777" w:rsidR="00495C65" w:rsidRDefault="00495C65" w:rsidP="00495C65">
      <w:pPr>
        <w:pStyle w:val="13"/>
      </w:pPr>
      <w:r w:rsidRPr="00943649">
        <w:rPr>
          <w:rFonts w:hint="eastAsia"/>
        </w:rPr>
        <w:lastRenderedPageBreak/>
        <w:t>（</w:t>
      </w:r>
      <w:r>
        <w:t>2</w:t>
      </w:r>
      <w:r w:rsidRPr="00943649">
        <w:t>）</w:t>
      </w:r>
      <w:proofErr w:type="gramStart"/>
      <w:r>
        <w:rPr>
          <w:rFonts w:hint="eastAsia"/>
        </w:rPr>
        <w:t>确定待估宗地</w:t>
      </w:r>
      <w:proofErr w:type="gramEnd"/>
      <w:r>
        <w:rPr>
          <w:rFonts w:hint="eastAsia"/>
        </w:rPr>
        <w:t>所处土地级别（均质区域）的基准地价；</w:t>
      </w:r>
    </w:p>
    <w:p w14:paraId="721E5DF4" w14:textId="77777777" w:rsidR="00495C65" w:rsidRDefault="00495C65" w:rsidP="00495C65">
      <w:pPr>
        <w:pStyle w:val="13"/>
      </w:pPr>
      <w:r w:rsidRPr="00943649">
        <w:rPr>
          <w:rFonts w:hint="eastAsia"/>
        </w:rPr>
        <w:t>（</w:t>
      </w:r>
      <w:r>
        <w:t>3</w:t>
      </w:r>
      <w:r w:rsidRPr="00943649">
        <w:t>）</w:t>
      </w:r>
      <w:proofErr w:type="gramStart"/>
      <w:r>
        <w:rPr>
          <w:rFonts w:hint="eastAsia"/>
        </w:rPr>
        <w:t>分析待估宗地</w:t>
      </w:r>
      <w:proofErr w:type="gramEnd"/>
      <w:r>
        <w:rPr>
          <w:rFonts w:hint="eastAsia"/>
        </w:rPr>
        <w:t>的地价影响因素；</w:t>
      </w:r>
    </w:p>
    <w:p w14:paraId="12075ABF" w14:textId="77777777" w:rsidR="00495C65" w:rsidRDefault="00495C65" w:rsidP="00495C65">
      <w:pPr>
        <w:pStyle w:val="13"/>
      </w:pPr>
      <w:r w:rsidRPr="00943649">
        <w:rPr>
          <w:rFonts w:hint="eastAsia"/>
        </w:rPr>
        <w:t>（</w:t>
      </w:r>
      <w:r>
        <w:t>4</w:t>
      </w:r>
      <w:r w:rsidRPr="00943649">
        <w:t>）</w:t>
      </w:r>
      <w:proofErr w:type="gramStart"/>
      <w:r>
        <w:rPr>
          <w:rFonts w:hint="eastAsia"/>
        </w:rPr>
        <w:t>编制待估宗地</w:t>
      </w:r>
      <w:proofErr w:type="gramEnd"/>
      <w:r>
        <w:rPr>
          <w:rFonts w:hint="eastAsia"/>
        </w:rPr>
        <w:t>地价影响因素条件说明表；</w:t>
      </w:r>
    </w:p>
    <w:p w14:paraId="3F3103AA" w14:textId="77777777" w:rsidR="00495C65" w:rsidRDefault="00495C65" w:rsidP="00495C65">
      <w:pPr>
        <w:pStyle w:val="13"/>
      </w:pPr>
      <w:r w:rsidRPr="00DA547A">
        <w:rPr>
          <w:rFonts w:hint="eastAsia"/>
        </w:rPr>
        <w:t>（</w:t>
      </w:r>
      <w:r>
        <w:t>5</w:t>
      </w:r>
      <w:r w:rsidRPr="00DA547A">
        <w:t>）</w:t>
      </w:r>
      <w:r>
        <w:rPr>
          <w:rFonts w:hint="eastAsia"/>
        </w:rPr>
        <w:t>依据宗地地价影响因素指标说明表和基准地价修正体系，</w:t>
      </w:r>
      <w:proofErr w:type="gramStart"/>
      <w:r>
        <w:rPr>
          <w:rFonts w:hint="eastAsia"/>
        </w:rPr>
        <w:t>确定待估宗地</w:t>
      </w:r>
      <w:proofErr w:type="gramEnd"/>
      <w:r>
        <w:rPr>
          <w:rFonts w:hint="eastAsia"/>
        </w:rPr>
        <w:t>地价修正系数；</w:t>
      </w:r>
    </w:p>
    <w:p w14:paraId="56666606" w14:textId="77777777" w:rsidR="00495C65" w:rsidRDefault="00495C65" w:rsidP="00495C65">
      <w:pPr>
        <w:pStyle w:val="13"/>
      </w:pPr>
      <w:r w:rsidRPr="00DA547A">
        <w:rPr>
          <w:rFonts w:hint="eastAsia"/>
        </w:rPr>
        <w:t>（</w:t>
      </w:r>
      <w:r>
        <w:t>6</w:t>
      </w:r>
      <w:r w:rsidRPr="00DA547A">
        <w:t>）</w:t>
      </w:r>
      <w:r>
        <w:rPr>
          <w:rFonts w:hint="eastAsia"/>
        </w:rPr>
        <w:t>进行估价期日、容积率、土地使用年期等其他因素修正；</w:t>
      </w:r>
    </w:p>
    <w:p w14:paraId="3164E925" w14:textId="77777777" w:rsidR="00495C65" w:rsidRDefault="00495C65" w:rsidP="00495C65">
      <w:pPr>
        <w:pStyle w:val="13"/>
      </w:pPr>
      <w:r w:rsidRPr="00DA547A">
        <w:rPr>
          <w:rFonts w:hint="eastAsia"/>
        </w:rPr>
        <w:t>（</w:t>
      </w:r>
      <w:r>
        <w:t>7</w:t>
      </w:r>
      <w:r w:rsidRPr="00DA547A">
        <w:t>）</w:t>
      </w:r>
      <w:proofErr w:type="gramStart"/>
      <w:r>
        <w:rPr>
          <w:rFonts w:hint="eastAsia"/>
        </w:rPr>
        <w:t>测算待估宗地</w:t>
      </w:r>
      <w:proofErr w:type="gramEnd"/>
      <w:r>
        <w:rPr>
          <w:rFonts w:hint="eastAsia"/>
        </w:rPr>
        <w:t>价格。</w:t>
      </w:r>
    </w:p>
    <w:p w14:paraId="0750F8AD" w14:textId="77777777" w:rsidR="00495C65" w:rsidRDefault="00495C65" w:rsidP="00495C65">
      <w:pPr>
        <w:pStyle w:val="13"/>
      </w:pPr>
      <w:r w:rsidRPr="00AB6AA0">
        <w:t>6.5.1.</w:t>
      </w:r>
      <w:r>
        <w:t>3</w:t>
      </w:r>
      <w:r>
        <w:rPr>
          <w:rFonts w:hint="eastAsia"/>
        </w:rPr>
        <w:t>适用范围</w:t>
      </w:r>
    </w:p>
    <w:p w14:paraId="4860BC38" w14:textId="77777777" w:rsidR="00495C65" w:rsidRDefault="00495C65" w:rsidP="00495C65">
      <w:pPr>
        <w:pStyle w:val="13"/>
      </w:pPr>
      <w:r>
        <w:rPr>
          <w:rFonts w:hint="eastAsia"/>
        </w:rPr>
        <w:t>基准地价系数修正法可用于政府已公布基准地价且具有完备的基准地价修正体系的区域，且涉及国有土地资产处置或土地资产抵押时，所采用的基准地价应具有现势性，</w:t>
      </w:r>
      <w:proofErr w:type="gramStart"/>
      <w:r>
        <w:t>待估宗地</w:t>
      </w:r>
      <w:proofErr w:type="gramEnd"/>
      <w:r>
        <w:t>的期日距基准地价的期</w:t>
      </w:r>
      <w:proofErr w:type="gramStart"/>
      <w:r>
        <w:t>日一般</w:t>
      </w:r>
      <w:proofErr w:type="gramEnd"/>
      <w:r>
        <w:t>不超过3年。</w:t>
      </w:r>
    </w:p>
    <w:p w14:paraId="42219319" w14:textId="77777777" w:rsidR="00495C65" w:rsidRDefault="00495C65" w:rsidP="00495C65">
      <w:pPr>
        <w:pStyle w:val="13"/>
      </w:pPr>
      <w:r w:rsidRPr="00AB6AA0">
        <w:t>6.5.</w:t>
      </w:r>
      <w:r>
        <w:t>2</w:t>
      </w:r>
      <w:proofErr w:type="gramStart"/>
      <w:r>
        <w:rPr>
          <w:rFonts w:hint="eastAsia"/>
        </w:rPr>
        <w:t>路线价</w:t>
      </w:r>
      <w:proofErr w:type="gramEnd"/>
      <w:r>
        <w:rPr>
          <w:rFonts w:hint="eastAsia"/>
        </w:rPr>
        <w:t>法</w:t>
      </w:r>
    </w:p>
    <w:p w14:paraId="1D150F5C" w14:textId="77777777" w:rsidR="00495C65" w:rsidRDefault="00495C65" w:rsidP="00495C65">
      <w:pPr>
        <w:pStyle w:val="13"/>
      </w:pPr>
      <w:r w:rsidRPr="00AB6AA0">
        <w:t>6.5.2.</w:t>
      </w:r>
      <w:r>
        <w:t>1</w:t>
      </w:r>
      <w:r>
        <w:rPr>
          <w:rFonts w:hint="eastAsia"/>
        </w:rPr>
        <w:t>基本公式</w:t>
      </w:r>
    </w:p>
    <w:p w14:paraId="4BFAF7C4" w14:textId="77777777" w:rsidR="00495C65" w:rsidRDefault="00495C65" w:rsidP="00495C65">
      <w:pPr>
        <w:pStyle w:val="13"/>
      </w:pPr>
      <w:r>
        <w:rPr>
          <w:rFonts w:hint="eastAsia"/>
        </w:rPr>
        <w:t>以</w:t>
      </w:r>
      <w:proofErr w:type="gramStart"/>
      <w:r>
        <w:rPr>
          <w:rFonts w:hint="eastAsia"/>
        </w:rPr>
        <w:t>路线价</w:t>
      </w:r>
      <w:proofErr w:type="gramEnd"/>
      <w:r>
        <w:rPr>
          <w:rFonts w:hint="eastAsia"/>
        </w:rPr>
        <w:t>法评估土地价格公式如式（</w:t>
      </w:r>
      <w:r>
        <w:t>25）所示：</w:t>
      </w:r>
    </w:p>
    <w:p w14:paraId="75FFEEA5" w14:textId="77777777" w:rsidR="00495C65" w:rsidRPr="006A74C2" w:rsidRDefault="00495C65" w:rsidP="00495C65">
      <w:pPr>
        <w:spacing w:before="197"/>
        <w:ind w:left="3473"/>
        <w:rPr>
          <w:rFonts w:ascii="宋体" w:hAnsi="宋体"/>
          <w:iCs/>
          <w:position w:val="1"/>
          <w:sz w:val="24"/>
        </w:rPr>
      </w:pPr>
      <w:r w:rsidRPr="00A17AF7">
        <w:rPr>
          <w:rFonts w:ascii="宋体" w:hAnsi="宋体"/>
          <w:i/>
          <w:position w:val="1"/>
          <w:sz w:val="24"/>
        </w:rPr>
        <w:t>P＝</w:t>
      </w:r>
      <w:proofErr w:type="spellStart"/>
      <w:r w:rsidRPr="00A17AF7">
        <w:rPr>
          <w:rFonts w:ascii="宋体" w:hAnsi="宋体"/>
          <w:i/>
          <w:position w:val="1"/>
          <w:sz w:val="24"/>
        </w:rPr>
        <w:t>u×d</w:t>
      </w:r>
      <w:r w:rsidRPr="00A17AF7">
        <w:rPr>
          <w:rFonts w:ascii="宋体" w:hAnsi="宋体"/>
          <w:i/>
          <w:position w:val="1"/>
          <w:sz w:val="24"/>
          <w:vertAlign w:val="subscript"/>
        </w:rPr>
        <w:t>v</w:t>
      </w:r>
      <w:proofErr w:type="spellEnd"/>
      <w:r w:rsidRPr="00A17AF7">
        <w:rPr>
          <w:rFonts w:ascii="宋体" w:hAnsi="宋体"/>
          <w:i/>
          <w:position w:val="1"/>
          <w:sz w:val="24"/>
        </w:rPr>
        <w:t>×Ｋ</w:t>
      </w:r>
      <w:r w:rsidRPr="00A17AF7">
        <w:rPr>
          <w:rFonts w:ascii="宋体" w:hAnsi="宋体"/>
          <w:i/>
          <w:position w:val="1"/>
          <w:sz w:val="24"/>
          <w:vertAlign w:val="subscript"/>
        </w:rPr>
        <w:t>1</w:t>
      </w:r>
      <w:r w:rsidRPr="00A17AF7">
        <w:rPr>
          <w:rFonts w:ascii="宋体" w:hAnsi="宋体"/>
          <w:i/>
          <w:position w:val="1"/>
          <w:sz w:val="24"/>
        </w:rPr>
        <w:t>×Ｋ</w:t>
      </w:r>
      <w:r w:rsidRPr="00A17AF7">
        <w:rPr>
          <w:rFonts w:ascii="宋体" w:hAnsi="宋体"/>
          <w:i/>
          <w:position w:val="1"/>
          <w:sz w:val="24"/>
          <w:vertAlign w:val="subscript"/>
        </w:rPr>
        <w:t>2</w:t>
      </w:r>
      <w:r w:rsidRPr="00A17AF7">
        <w:rPr>
          <w:rFonts w:ascii="宋体" w:hAnsi="宋体"/>
          <w:i/>
          <w:position w:val="1"/>
          <w:sz w:val="24"/>
        </w:rPr>
        <w:t>×…×Ｋ</w:t>
      </w:r>
      <w:proofErr w:type="spellStart"/>
      <w:r w:rsidRPr="00A17AF7">
        <w:rPr>
          <w:rFonts w:ascii="宋体" w:hAnsi="宋体"/>
          <w:i/>
          <w:position w:val="1"/>
          <w:sz w:val="24"/>
          <w:vertAlign w:val="subscript"/>
        </w:rPr>
        <w:t>i</w:t>
      </w:r>
      <w:proofErr w:type="spellEnd"/>
      <w:r w:rsidRPr="00A17AF7">
        <w:rPr>
          <w:rFonts w:ascii="宋体" w:hAnsi="宋体"/>
          <w:i/>
          <w:position w:val="1"/>
          <w:sz w:val="24"/>
        </w:rPr>
        <w:t>…×Ｋ</w:t>
      </w:r>
      <w:r w:rsidRPr="00A17AF7">
        <w:rPr>
          <w:rFonts w:ascii="宋体" w:hAnsi="宋体"/>
          <w:i/>
          <w:position w:val="1"/>
          <w:sz w:val="24"/>
          <w:vertAlign w:val="subscript"/>
        </w:rPr>
        <w:t>n</w:t>
      </w:r>
      <w:r w:rsidRPr="00A17AF7">
        <w:rPr>
          <w:rFonts w:ascii="宋体" w:hAnsi="宋体"/>
          <w:i/>
          <w:position w:val="1"/>
          <w:sz w:val="24"/>
        </w:rPr>
        <w:t xml:space="preserve">  </w:t>
      </w:r>
      <w:r>
        <w:rPr>
          <w:rFonts w:ascii="宋体" w:hAnsi="宋体"/>
          <w:i/>
          <w:position w:val="1"/>
          <w:sz w:val="24"/>
        </w:rPr>
        <w:t xml:space="preserve">   </w:t>
      </w:r>
      <w:r w:rsidRPr="00A17AF7">
        <w:rPr>
          <w:rFonts w:ascii="宋体" w:hAnsi="宋体"/>
          <w:i/>
          <w:position w:val="1"/>
          <w:sz w:val="24"/>
        </w:rPr>
        <w:t xml:space="preserve">    </w:t>
      </w:r>
      <w:r w:rsidRPr="006A74C2">
        <w:rPr>
          <w:rFonts w:ascii="宋体" w:hAnsi="宋体"/>
          <w:iCs/>
          <w:position w:val="1"/>
          <w:sz w:val="24"/>
        </w:rPr>
        <w:t>（25）</w:t>
      </w:r>
    </w:p>
    <w:p w14:paraId="767324FA" w14:textId="77777777" w:rsidR="00495C65" w:rsidRDefault="00495C65" w:rsidP="00495C65">
      <w:pPr>
        <w:pStyle w:val="13"/>
      </w:pPr>
      <w:r>
        <w:rPr>
          <w:rFonts w:hint="eastAsia"/>
        </w:rPr>
        <w:t>式中：</w:t>
      </w:r>
    </w:p>
    <w:p w14:paraId="3A5E8089" w14:textId="77777777" w:rsidR="00495C65" w:rsidRDefault="00495C65" w:rsidP="00495C65">
      <w:pPr>
        <w:pStyle w:val="13"/>
        <w:ind w:firstLineChars="500" w:firstLine="1200"/>
      </w:pPr>
      <w:r w:rsidRPr="006A74C2">
        <w:rPr>
          <w:i/>
          <w:iCs/>
        </w:rPr>
        <w:t>P</w:t>
      </w:r>
      <w:proofErr w:type="gramStart"/>
      <w:r>
        <w:t>—待估</w:t>
      </w:r>
      <w:proofErr w:type="gramEnd"/>
      <w:r>
        <w:t>宗地地价；</w:t>
      </w:r>
    </w:p>
    <w:p w14:paraId="5675C908" w14:textId="77777777" w:rsidR="00495C65" w:rsidRDefault="00495C65" w:rsidP="00495C65">
      <w:pPr>
        <w:pStyle w:val="13"/>
        <w:ind w:firstLineChars="500" w:firstLine="1200"/>
      </w:pPr>
      <w:r w:rsidRPr="006A74C2">
        <w:rPr>
          <w:i/>
          <w:iCs/>
        </w:rPr>
        <w:t>u</w:t>
      </w:r>
      <w:proofErr w:type="gramStart"/>
      <w:r>
        <w:t>—待估</w:t>
      </w:r>
      <w:proofErr w:type="gramEnd"/>
      <w:r>
        <w:t>宗地所属路线段的路线价；</w:t>
      </w:r>
    </w:p>
    <w:p w14:paraId="7FAE19C2" w14:textId="77777777" w:rsidR="00495C65" w:rsidRDefault="00495C65" w:rsidP="00495C65">
      <w:pPr>
        <w:pStyle w:val="13"/>
        <w:ind w:firstLineChars="500" w:firstLine="1200"/>
      </w:pPr>
      <w:r w:rsidRPr="006A74C2">
        <w:rPr>
          <w:i/>
          <w:iCs/>
        </w:rPr>
        <w:t>d</w:t>
      </w:r>
      <w:r w:rsidRPr="006A74C2">
        <w:rPr>
          <w:i/>
          <w:iCs/>
          <w:vertAlign w:val="subscript"/>
        </w:rPr>
        <w:t>v</w:t>
      </w:r>
      <w:r>
        <w:t>—深度指数；</w:t>
      </w:r>
    </w:p>
    <w:p w14:paraId="551F3038" w14:textId="77777777" w:rsidR="00495C65" w:rsidRDefault="00495C65" w:rsidP="00495C65">
      <w:pPr>
        <w:pStyle w:val="13"/>
        <w:ind w:firstLineChars="500" w:firstLine="1200"/>
      </w:pPr>
      <w:r w:rsidRPr="006A74C2">
        <w:rPr>
          <w:rFonts w:hint="eastAsia"/>
          <w:i/>
          <w:iCs/>
        </w:rPr>
        <w:t>Ｋ</w:t>
      </w:r>
      <w:proofErr w:type="spellStart"/>
      <w:r w:rsidRPr="006A74C2">
        <w:rPr>
          <w:i/>
          <w:iCs/>
          <w:vertAlign w:val="subscript"/>
        </w:rPr>
        <w:t>i</w:t>
      </w:r>
      <w:proofErr w:type="spellEnd"/>
      <w:r>
        <w:t>—宗地形状修正、容积率修正等其他修正系数。</w:t>
      </w:r>
    </w:p>
    <w:p w14:paraId="2889C137" w14:textId="77777777" w:rsidR="00495C65" w:rsidRDefault="00495C65" w:rsidP="00495C65">
      <w:pPr>
        <w:pStyle w:val="13"/>
      </w:pPr>
      <w:r>
        <w:t>6.5.2.2适用要求</w:t>
      </w:r>
    </w:p>
    <w:p w14:paraId="47C631E6" w14:textId="77777777" w:rsidR="00495C65" w:rsidRDefault="00495C65" w:rsidP="00495C65">
      <w:pPr>
        <w:pStyle w:val="13"/>
      </w:pPr>
      <w:proofErr w:type="gramStart"/>
      <w:r>
        <w:rPr>
          <w:rFonts w:hint="eastAsia"/>
        </w:rPr>
        <w:t>路线价</w:t>
      </w:r>
      <w:proofErr w:type="gramEnd"/>
      <w:r>
        <w:rPr>
          <w:rFonts w:hint="eastAsia"/>
        </w:rPr>
        <w:t>法是基准地价系数修正法的特殊形式，适用原则和要求与基准地价系数修正法类同。当区域内同时存在基准地价和</w:t>
      </w:r>
      <w:proofErr w:type="gramStart"/>
      <w:r>
        <w:rPr>
          <w:rFonts w:hint="eastAsia"/>
        </w:rPr>
        <w:t>路线价</w:t>
      </w:r>
      <w:proofErr w:type="gramEnd"/>
      <w:r>
        <w:rPr>
          <w:rFonts w:hint="eastAsia"/>
        </w:rPr>
        <w:t>时，里地线以内的宗地，应采用</w:t>
      </w:r>
      <w:proofErr w:type="gramStart"/>
      <w:r>
        <w:rPr>
          <w:rFonts w:hint="eastAsia"/>
        </w:rPr>
        <w:t>路线价</w:t>
      </w:r>
      <w:proofErr w:type="gramEnd"/>
      <w:r>
        <w:rPr>
          <w:rFonts w:hint="eastAsia"/>
        </w:rPr>
        <w:t>法评估。</w:t>
      </w:r>
    </w:p>
    <w:p w14:paraId="19751302" w14:textId="77777777" w:rsidR="00495C65" w:rsidRDefault="00495C65" w:rsidP="00495C65">
      <w:pPr>
        <w:pStyle w:val="13"/>
      </w:pPr>
      <w:r>
        <w:rPr>
          <w:rFonts w:hint="eastAsia"/>
        </w:rPr>
        <w:t>6</w:t>
      </w:r>
      <w:r>
        <w:t>.5.3</w:t>
      </w:r>
      <w:r>
        <w:rPr>
          <w:rFonts w:hint="eastAsia"/>
        </w:rPr>
        <w:t>标定地价系数修正法</w:t>
      </w:r>
    </w:p>
    <w:p w14:paraId="3B66EE05" w14:textId="77777777" w:rsidR="00495C65" w:rsidRDefault="00495C65" w:rsidP="00495C65">
      <w:pPr>
        <w:pStyle w:val="13"/>
      </w:pPr>
      <w:r w:rsidRPr="00DF78CC">
        <w:t>6.5.3</w:t>
      </w:r>
      <w:r>
        <w:t>.1</w:t>
      </w:r>
      <w:r>
        <w:rPr>
          <w:rFonts w:hint="eastAsia"/>
        </w:rPr>
        <w:t>基本公式</w:t>
      </w:r>
    </w:p>
    <w:p w14:paraId="76C61BCA" w14:textId="77777777" w:rsidR="00495C65" w:rsidRDefault="00495C65" w:rsidP="00495C65">
      <w:pPr>
        <w:pStyle w:val="13"/>
      </w:pPr>
      <w:r>
        <w:rPr>
          <w:rFonts w:hint="eastAsia"/>
        </w:rPr>
        <w:t>以标定地价系数修正法评估土地价格公式如式（</w:t>
      </w:r>
      <w:r>
        <w:t>26）所示：</w:t>
      </w:r>
    </w:p>
    <w:p w14:paraId="29251CC1" w14:textId="77777777" w:rsidR="00495C65" w:rsidRPr="00DF78CC" w:rsidRDefault="00495C65" w:rsidP="00495C65">
      <w:pPr>
        <w:spacing w:before="197"/>
        <w:ind w:left="3473"/>
        <w:rPr>
          <w:rFonts w:ascii="宋体" w:hAnsi="宋体"/>
          <w:i/>
          <w:position w:val="1"/>
          <w:sz w:val="24"/>
        </w:rPr>
      </w:pPr>
      <w:r w:rsidRPr="00DF78CC">
        <w:rPr>
          <w:rFonts w:ascii="宋体" w:hAnsi="宋体"/>
          <w:i/>
          <w:position w:val="1"/>
          <w:sz w:val="24"/>
        </w:rPr>
        <w:t>P＝</w:t>
      </w:r>
      <w:proofErr w:type="spellStart"/>
      <w:r w:rsidRPr="00DF78CC">
        <w:rPr>
          <w:rFonts w:ascii="宋体" w:hAnsi="宋体"/>
          <w:i/>
          <w:position w:val="1"/>
          <w:sz w:val="24"/>
        </w:rPr>
        <w:t>P</w:t>
      </w:r>
      <w:r w:rsidRPr="00DF78CC">
        <w:rPr>
          <w:rFonts w:ascii="宋体" w:hAnsi="宋体"/>
          <w:i/>
          <w:position w:val="1"/>
          <w:sz w:val="24"/>
          <w:vertAlign w:val="subscript"/>
        </w:rPr>
        <w:t>s</w:t>
      </w:r>
      <w:r w:rsidRPr="00DF78CC">
        <w:rPr>
          <w:rFonts w:ascii="宋体" w:hAnsi="宋体"/>
          <w:i/>
          <w:position w:val="1"/>
          <w:sz w:val="24"/>
        </w:rPr>
        <w:t>×A×B×C×D</w:t>
      </w:r>
      <w:proofErr w:type="spellEnd"/>
      <w:r w:rsidRPr="00DF78CC">
        <w:rPr>
          <w:rFonts w:ascii="宋体" w:hAnsi="宋体"/>
          <w:i/>
          <w:position w:val="1"/>
          <w:sz w:val="24"/>
        </w:rPr>
        <w:tab/>
      </w:r>
      <w:r>
        <w:rPr>
          <w:rFonts w:ascii="宋体" w:hAnsi="宋体"/>
          <w:i/>
          <w:position w:val="1"/>
          <w:sz w:val="24"/>
        </w:rPr>
        <w:t xml:space="preserve">                       </w:t>
      </w:r>
      <w:r w:rsidRPr="00DF78CC">
        <w:rPr>
          <w:rFonts w:ascii="宋体" w:hAnsi="宋体"/>
          <w:iCs/>
          <w:position w:val="1"/>
          <w:sz w:val="24"/>
        </w:rPr>
        <w:t>（26）</w:t>
      </w:r>
    </w:p>
    <w:p w14:paraId="0FCCE212" w14:textId="77777777" w:rsidR="00495C65" w:rsidRDefault="00495C65" w:rsidP="00495C65">
      <w:pPr>
        <w:pStyle w:val="13"/>
      </w:pPr>
      <w:r>
        <w:rPr>
          <w:rFonts w:hint="eastAsia"/>
        </w:rPr>
        <w:t>式中：</w:t>
      </w:r>
    </w:p>
    <w:p w14:paraId="42098ABB" w14:textId="77777777" w:rsidR="00495C65" w:rsidRDefault="00495C65" w:rsidP="00495C65">
      <w:pPr>
        <w:pStyle w:val="13"/>
        <w:ind w:firstLineChars="500" w:firstLine="1200"/>
      </w:pPr>
      <w:r w:rsidRPr="00E250BF">
        <w:rPr>
          <w:i/>
          <w:iCs/>
        </w:rPr>
        <w:t>P</w:t>
      </w:r>
      <w:proofErr w:type="gramStart"/>
      <w:r>
        <w:t>—待估</w:t>
      </w:r>
      <w:proofErr w:type="gramEnd"/>
      <w:r>
        <w:t>宗地价格：</w:t>
      </w:r>
    </w:p>
    <w:p w14:paraId="031BF8A3" w14:textId="77777777" w:rsidR="00495C65" w:rsidRDefault="00495C65" w:rsidP="00495C65">
      <w:pPr>
        <w:pStyle w:val="13"/>
        <w:ind w:firstLineChars="500" w:firstLine="1200"/>
      </w:pPr>
      <w:r w:rsidRPr="00E250BF">
        <w:rPr>
          <w:i/>
          <w:iCs/>
        </w:rPr>
        <w:t>P</w:t>
      </w:r>
      <w:r w:rsidRPr="00E250BF">
        <w:rPr>
          <w:i/>
          <w:iCs/>
          <w:vertAlign w:val="subscript"/>
        </w:rPr>
        <w:t>s</w:t>
      </w:r>
      <w:r>
        <w:t>—标定地价；</w:t>
      </w:r>
    </w:p>
    <w:p w14:paraId="631E2A61" w14:textId="77777777" w:rsidR="00495C65" w:rsidRDefault="00495C65" w:rsidP="00495C65">
      <w:pPr>
        <w:pStyle w:val="13"/>
        <w:ind w:firstLineChars="500" w:firstLine="1200"/>
      </w:pPr>
      <w:r w:rsidRPr="00E250BF">
        <w:rPr>
          <w:i/>
          <w:iCs/>
        </w:rPr>
        <w:t>A</w:t>
      </w:r>
      <w:proofErr w:type="gramStart"/>
      <w:r>
        <w:t>—待估</w:t>
      </w:r>
      <w:proofErr w:type="gramEnd"/>
      <w:r>
        <w:t>宗地交易情况指数；</w:t>
      </w:r>
    </w:p>
    <w:p w14:paraId="174CA8AE" w14:textId="77777777" w:rsidR="00495C65" w:rsidRDefault="00495C65" w:rsidP="00495C65">
      <w:pPr>
        <w:pStyle w:val="13"/>
        <w:ind w:firstLineChars="500" w:firstLine="1200"/>
      </w:pPr>
      <w:r w:rsidRPr="00E250BF">
        <w:rPr>
          <w:i/>
          <w:iCs/>
        </w:rPr>
        <w:t>B</w:t>
      </w:r>
      <w:proofErr w:type="gramStart"/>
      <w:r>
        <w:t>—待估</w:t>
      </w:r>
      <w:proofErr w:type="gramEnd"/>
      <w:r>
        <w:t>宗地估价期日地价指数/标准地价期日地价指数；</w:t>
      </w:r>
    </w:p>
    <w:p w14:paraId="72EFD2BB" w14:textId="77777777" w:rsidR="00495C65" w:rsidRDefault="00495C65" w:rsidP="00495C65">
      <w:pPr>
        <w:pStyle w:val="13"/>
        <w:ind w:firstLineChars="500" w:firstLine="1200"/>
      </w:pPr>
      <w:r w:rsidRPr="00E250BF">
        <w:rPr>
          <w:i/>
          <w:iCs/>
        </w:rPr>
        <w:t>C</w:t>
      </w:r>
      <w:proofErr w:type="gramStart"/>
      <w:r>
        <w:t>—待估</w:t>
      </w:r>
      <w:proofErr w:type="gramEnd"/>
      <w:r>
        <w:t>宗地个别因素条件指数/标准宗地个别因素条件指数；</w:t>
      </w:r>
    </w:p>
    <w:p w14:paraId="7574409F" w14:textId="77777777" w:rsidR="00495C65" w:rsidRDefault="00495C65" w:rsidP="00495C65">
      <w:pPr>
        <w:pStyle w:val="13"/>
        <w:ind w:firstLineChars="500" w:firstLine="1200"/>
      </w:pPr>
      <w:r w:rsidRPr="00E250BF">
        <w:rPr>
          <w:i/>
          <w:iCs/>
        </w:rPr>
        <w:lastRenderedPageBreak/>
        <w:t>D</w:t>
      </w:r>
      <w:proofErr w:type="gramStart"/>
      <w:r>
        <w:t>—待估</w:t>
      </w:r>
      <w:proofErr w:type="gramEnd"/>
      <w:r>
        <w:t>宗地年期修正指数。</w:t>
      </w:r>
    </w:p>
    <w:p w14:paraId="07E01B29" w14:textId="77777777" w:rsidR="00495C65" w:rsidRDefault="00495C65" w:rsidP="00495C65">
      <w:pPr>
        <w:pStyle w:val="13"/>
      </w:pPr>
      <w:r w:rsidRPr="0066717D">
        <w:t>6.5.3.</w:t>
      </w:r>
      <w:r>
        <w:t>2</w:t>
      </w:r>
      <w:r>
        <w:rPr>
          <w:rFonts w:hint="eastAsia"/>
        </w:rPr>
        <w:t>程序</w:t>
      </w:r>
    </w:p>
    <w:p w14:paraId="3B7EB010" w14:textId="77777777" w:rsidR="00495C65" w:rsidRDefault="00495C65" w:rsidP="00495C65">
      <w:pPr>
        <w:pStyle w:val="13"/>
      </w:pPr>
      <w:r>
        <w:rPr>
          <w:rFonts w:hint="eastAsia"/>
        </w:rPr>
        <w:t>程序如下：</w:t>
      </w:r>
    </w:p>
    <w:p w14:paraId="06352A30" w14:textId="77777777" w:rsidR="00495C65" w:rsidRDefault="00495C65" w:rsidP="00495C65">
      <w:pPr>
        <w:pStyle w:val="13"/>
      </w:pPr>
      <w:r>
        <w:rPr>
          <w:rFonts w:hint="eastAsia"/>
        </w:rPr>
        <w:t>（1）收集标准宗地及标定地价相关资料；</w:t>
      </w:r>
    </w:p>
    <w:p w14:paraId="40A014C8" w14:textId="77777777" w:rsidR="00495C65" w:rsidRDefault="00495C65" w:rsidP="00495C65">
      <w:pPr>
        <w:pStyle w:val="13"/>
      </w:pPr>
      <w:r w:rsidRPr="00F25A5D">
        <w:rPr>
          <w:rFonts w:hint="eastAsia"/>
        </w:rPr>
        <w:t>（</w:t>
      </w:r>
      <w:r>
        <w:t>2</w:t>
      </w:r>
      <w:r w:rsidRPr="00F25A5D">
        <w:t>）</w:t>
      </w:r>
      <w:r>
        <w:rPr>
          <w:rFonts w:hint="eastAsia"/>
        </w:rPr>
        <w:t>选择</w:t>
      </w:r>
      <w:r>
        <w:t>3个（含3个）以上可比标定地价；</w:t>
      </w:r>
    </w:p>
    <w:p w14:paraId="584A0FFA" w14:textId="77777777" w:rsidR="00495C65" w:rsidRDefault="00495C65" w:rsidP="00495C65">
      <w:pPr>
        <w:pStyle w:val="13"/>
      </w:pPr>
      <w:r w:rsidRPr="00F25A5D">
        <w:rPr>
          <w:rFonts w:hint="eastAsia"/>
        </w:rPr>
        <w:t>（</w:t>
      </w:r>
      <w:r>
        <w:t>3</w:t>
      </w:r>
      <w:r w:rsidRPr="00F25A5D">
        <w:t>）</w:t>
      </w:r>
      <w:r>
        <w:rPr>
          <w:rFonts w:hint="eastAsia"/>
        </w:rPr>
        <w:t>进行相关影响因素修正；</w:t>
      </w:r>
    </w:p>
    <w:p w14:paraId="2C53C310" w14:textId="77777777" w:rsidR="00495C65" w:rsidRDefault="00495C65" w:rsidP="00495C65">
      <w:pPr>
        <w:pStyle w:val="13"/>
      </w:pPr>
      <w:r w:rsidRPr="00F25A5D">
        <w:rPr>
          <w:rFonts w:hint="eastAsia"/>
        </w:rPr>
        <w:t>（</w:t>
      </w:r>
      <w:r>
        <w:t>4</w:t>
      </w:r>
      <w:r w:rsidRPr="00F25A5D">
        <w:t>）</w:t>
      </w:r>
      <w:proofErr w:type="gramStart"/>
      <w:r>
        <w:rPr>
          <w:rFonts w:hint="eastAsia"/>
        </w:rPr>
        <w:t>测算待估宗地</w:t>
      </w:r>
      <w:proofErr w:type="gramEnd"/>
      <w:r>
        <w:rPr>
          <w:rFonts w:hint="eastAsia"/>
        </w:rPr>
        <w:t>价格。</w:t>
      </w:r>
    </w:p>
    <w:p w14:paraId="246EFD1A" w14:textId="77777777" w:rsidR="00495C65" w:rsidRDefault="00495C65" w:rsidP="00495C65">
      <w:pPr>
        <w:pStyle w:val="13"/>
      </w:pPr>
      <w:r>
        <w:t>6.5.3.2适用要求</w:t>
      </w:r>
    </w:p>
    <w:p w14:paraId="50F0A270" w14:textId="77777777" w:rsidR="00495C65" w:rsidRDefault="00495C65" w:rsidP="00495C65">
      <w:pPr>
        <w:pStyle w:val="13"/>
      </w:pPr>
      <w:r>
        <w:rPr>
          <w:rFonts w:hint="eastAsia"/>
        </w:rPr>
        <w:t>标定地价系数修正法可用政府已公布标定地价的区域，且涉及国有土地资产处置或土地资产抵押时，所采用的标准宗地</w:t>
      </w:r>
      <w:proofErr w:type="gramStart"/>
      <w:r>
        <w:rPr>
          <w:rFonts w:hint="eastAsia"/>
        </w:rPr>
        <w:t>与待估宗地</w:t>
      </w:r>
      <w:proofErr w:type="gramEnd"/>
      <w:r>
        <w:rPr>
          <w:rFonts w:hint="eastAsia"/>
        </w:rPr>
        <w:t>应位于相同或类似区域，并具有可比性，</w:t>
      </w:r>
      <w:r>
        <w:t>标定地价应具有现实性，</w:t>
      </w:r>
      <w:proofErr w:type="gramStart"/>
      <w:r>
        <w:t>待估宗地</w:t>
      </w:r>
      <w:proofErr w:type="gramEnd"/>
      <w:r>
        <w:t>的估价期日距标定地价的期</w:t>
      </w:r>
      <w:proofErr w:type="gramStart"/>
      <w:r>
        <w:t>日一般</w:t>
      </w:r>
      <w:proofErr w:type="gramEnd"/>
      <w:r>
        <w:t>不超过1年。</w:t>
      </w:r>
    </w:p>
    <w:p w14:paraId="3A949448" w14:textId="77777777" w:rsidR="00495C65" w:rsidRDefault="00495C65" w:rsidP="00AF7342">
      <w:pPr>
        <w:pStyle w:val="a9"/>
        <w:spacing w:before="62" w:after="62"/>
      </w:pPr>
      <w:r>
        <w:t>7 基准地价评估</w:t>
      </w:r>
    </w:p>
    <w:p w14:paraId="71094FB7" w14:textId="77777777" w:rsidR="00495C65" w:rsidRDefault="00495C65" w:rsidP="00495C65">
      <w:pPr>
        <w:pStyle w:val="ab"/>
        <w:spacing w:before="62" w:after="62"/>
        <w:ind w:firstLine="482"/>
      </w:pPr>
      <w:r>
        <w:rPr>
          <w:rFonts w:hint="eastAsia"/>
        </w:rPr>
        <w:t>7</w:t>
      </w:r>
      <w:r>
        <w:t>.1</w:t>
      </w:r>
      <w:r>
        <w:rPr>
          <w:rFonts w:hint="eastAsia"/>
        </w:rPr>
        <w:t>程序</w:t>
      </w:r>
    </w:p>
    <w:p w14:paraId="0D441D37" w14:textId="77777777" w:rsidR="00495C65" w:rsidRDefault="00495C65" w:rsidP="00495C65">
      <w:pPr>
        <w:pStyle w:val="13"/>
      </w:pPr>
      <w:r>
        <w:rPr>
          <w:rFonts w:hint="eastAsia"/>
        </w:rPr>
        <w:t>（1）准备工作；</w:t>
      </w:r>
    </w:p>
    <w:p w14:paraId="092172AB" w14:textId="77777777" w:rsidR="00495C65" w:rsidRDefault="00495C65" w:rsidP="00495C65">
      <w:pPr>
        <w:pStyle w:val="13"/>
      </w:pPr>
      <w:r w:rsidRPr="00673648">
        <w:rPr>
          <w:rFonts w:hint="eastAsia"/>
        </w:rPr>
        <w:t>（</w:t>
      </w:r>
      <w:r>
        <w:t>2</w:t>
      </w:r>
      <w:r w:rsidRPr="00673648">
        <w:t>）</w:t>
      </w:r>
      <w:r>
        <w:rPr>
          <w:rFonts w:hint="eastAsia"/>
        </w:rPr>
        <w:t>资料调查与整理；</w:t>
      </w:r>
    </w:p>
    <w:p w14:paraId="6338B9A0" w14:textId="77777777" w:rsidR="00495C65" w:rsidRDefault="00495C65" w:rsidP="00495C65">
      <w:pPr>
        <w:pStyle w:val="13"/>
      </w:pPr>
      <w:r w:rsidRPr="00673648">
        <w:rPr>
          <w:rFonts w:hint="eastAsia"/>
        </w:rPr>
        <w:t>（</w:t>
      </w:r>
      <w:r>
        <w:t>3</w:t>
      </w:r>
      <w:r w:rsidRPr="00673648">
        <w:t>）</w:t>
      </w:r>
      <w:r>
        <w:rPr>
          <w:rFonts w:hint="eastAsia"/>
        </w:rPr>
        <w:t>基准地价评估；</w:t>
      </w:r>
    </w:p>
    <w:p w14:paraId="12360F1C" w14:textId="77777777" w:rsidR="00495C65" w:rsidRDefault="00495C65" w:rsidP="00495C65">
      <w:pPr>
        <w:pStyle w:val="13"/>
      </w:pPr>
      <w:r w:rsidRPr="00673648">
        <w:rPr>
          <w:rFonts w:hint="eastAsia"/>
        </w:rPr>
        <w:t>（</w:t>
      </w:r>
      <w:r>
        <w:t>4</w:t>
      </w:r>
      <w:r w:rsidRPr="00673648">
        <w:t>）</w:t>
      </w:r>
      <w:r>
        <w:rPr>
          <w:rFonts w:hint="eastAsia"/>
        </w:rPr>
        <w:t>基准地价确定；</w:t>
      </w:r>
    </w:p>
    <w:p w14:paraId="3EEE72CC" w14:textId="77777777" w:rsidR="00495C65" w:rsidRDefault="00495C65" w:rsidP="00495C65">
      <w:pPr>
        <w:pStyle w:val="13"/>
      </w:pPr>
      <w:r w:rsidRPr="00673648">
        <w:rPr>
          <w:rFonts w:hint="eastAsia"/>
        </w:rPr>
        <w:t>（</w:t>
      </w:r>
      <w:r>
        <w:t>5</w:t>
      </w:r>
      <w:r w:rsidRPr="00673648">
        <w:t>）</w:t>
      </w:r>
      <w:r>
        <w:rPr>
          <w:rFonts w:hint="eastAsia"/>
        </w:rPr>
        <w:t>编制基准地价修正系数表；</w:t>
      </w:r>
    </w:p>
    <w:p w14:paraId="5CB6DCD7" w14:textId="77777777" w:rsidR="00495C65" w:rsidRDefault="00495C65" w:rsidP="00495C65">
      <w:pPr>
        <w:pStyle w:val="13"/>
      </w:pPr>
      <w:r w:rsidRPr="00673648">
        <w:rPr>
          <w:rFonts w:hint="eastAsia"/>
        </w:rPr>
        <w:t>（</w:t>
      </w:r>
      <w:r>
        <w:t>6</w:t>
      </w:r>
      <w:r w:rsidRPr="00673648">
        <w:t>）</w:t>
      </w:r>
      <w:r>
        <w:rPr>
          <w:rFonts w:hint="eastAsia"/>
        </w:rPr>
        <w:t>成果验收、备案及公布。</w:t>
      </w:r>
    </w:p>
    <w:p w14:paraId="6E43110C" w14:textId="77777777" w:rsidR="00495C65" w:rsidRDefault="00495C65" w:rsidP="00495C65">
      <w:pPr>
        <w:pStyle w:val="ab"/>
        <w:spacing w:before="62" w:after="62"/>
        <w:ind w:firstLine="482"/>
      </w:pPr>
      <w:r>
        <w:rPr>
          <w:rFonts w:hint="eastAsia"/>
        </w:rPr>
        <w:t>7</w:t>
      </w:r>
      <w:r>
        <w:t>.2</w:t>
      </w:r>
      <w:r>
        <w:rPr>
          <w:rFonts w:hint="eastAsia"/>
        </w:rPr>
        <w:t>准备工作</w:t>
      </w:r>
    </w:p>
    <w:p w14:paraId="1DF1FD9C" w14:textId="77777777" w:rsidR="00495C65" w:rsidRDefault="00495C65" w:rsidP="00495C65">
      <w:pPr>
        <w:pStyle w:val="13"/>
      </w:pPr>
      <w:r>
        <w:rPr>
          <w:rFonts w:hint="eastAsia"/>
        </w:rPr>
        <w:t>准备工作主要包括编写基准地价评估任务书、制定基准地价调查表和工作表、准备工作底图、确定基准地价评估区域等。</w:t>
      </w:r>
    </w:p>
    <w:p w14:paraId="679B1413" w14:textId="77777777" w:rsidR="00495C65" w:rsidRDefault="00495C65" w:rsidP="00495C65">
      <w:pPr>
        <w:pStyle w:val="13"/>
      </w:pPr>
      <w:r>
        <w:rPr>
          <w:rFonts w:hint="eastAsia"/>
        </w:rPr>
        <w:t>基准地价评估任务书的内容包括：城镇基本情况、基准地价评估工作的领导与组织、时间安排和经费预算、技术方案及预期成果等。</w:t>
      </w:r>
    </w:p>
    <w:p w14:paraId="435E04E7" w14:textId="77777777" w:rsidR="00495C65" w:rsidRDefault="00495C65" w:rsidP="00495C65">
      <w:pPr>
        <w:pStyle w:val="13"/>
      </w:pPr>
      <w:r>
        <w:rPr>
          <w:rFonts w:hint="eastAsia"/>
        </w:rPr>
        <w:t>基准地价评估的表格应根据各地的实际需要制定。基本表格见附录</w:t>
      </w:r>
      <w:r>
        <w:t>B。</w:t>
      </w:r>
    </w:p>
    <w:p w14:paraId="08EEF042" w14:textId="77777777" w:rsidR="00495C65" w:rsidRDefault="00495C65" w:rsidP="00495C65">
      <w:pPr>
        <w:pStyle w:val="13"/>
      </w:pPr>
      <w:r>
        <w:rPr>
          <w:rFonts w:hint="eastAsia"/>
        </w:rPr>
        <w:t>基准地价工作底图应采用能覆盖基准地价评估区域的城镇地籍图、地形图或规划图，</w:t>
      </w:r>
      <w:r w:rsidRPr="00AC2C2A">
        <w:rPr>
          <w:rFonts w:hint="eastAsia"/>
        </w:rPr>
        <w:t>其比例尺要求如下：</w:t>
      </w:r>
    </w:p>
    <w:p w14:paraId="5183BB63" w14:textId="77777777" w:rsidR="00495C65" w:rsidRDefault="00495C65" w:rsidP="00495C65">
      <w:pPr>
        <w:pStyle w:val="13"/>
        <w:ind w:firstLineChars="1400" w:firstLine="3360"/>
      </w:pPr>
      <w:r>
        <w:rPr>
          <w:rFonts w:hint="eastAsia"/>
        </w:rPr>
        <w:t>大城市</w:t>
      </w:r>
      <w:r>
        <w:t xml:space="preserve">       1:10000—1:50000</w:t>
      </w:r>
    </w:p>
    <w:p w14:paraId="45B8B3A2" w14:textId="77777777" w:rsidR="00495C65" w:rsidRDefault="00495C65" w:rsidP="00495C65">
      <w:pPr>
        <w:pStyle w:val="13"/>
        <w:ind w:firstLineChars="1400" w:firstLine="3360"/>
      </w:pPr>
      <w:r>
        <w:rPr>
          <w:rFonts w:hint="eastAsia"/>
        </w:rPr>
        <w:t xml:space="preserve">中等城市 </w:t>
      </w:r>
      <w:r>
        <w:t xml:space="preserve">    1:5000—1:10000</w:t>
      </w:r>
    </w:p>
    <w:p w14:paraId="59D0328E" w14:textId="77777777" w:rsidR="00495C65" w:rsidRDefault="00495C65" w:rsidP="00495C65">
      <w:pPr>
        <w:pStyle w:val="13"/>
        <w:ind w:firstLineChars="1400" w:firstLine="3360"/>
      </w:pPr>
      <w:r>
        <w:rPr>
          <w:rFonts w:hint="eastAsia"/>
        </w:rPr>
        <w:t>小城市以下</w:t>
      </w:r>
      <w:r>
        <w:t xml:space="preserve">   1:1000—1:5000</w:t>
      </w:r>
    </w:p>
    <w:p w14:paraId="23305039" w14:textId="77777777" w:rsidR="00495C65" w:rsidRDefault="00495C65" w:rsidP="00495C65">
      <w:pPr>
        <w:pStyle w:val="13"/>
      </w:pPr>
      <w:r>
        <w:rPr>
          <w:rFonts w:hint="eastAsia"/>
        </w:rPr>
        <w:t>按</w:t>
      </w:r>
      <w:proofErr w:type="gramStart"/>
      <w:r>
        <w:rPr>
          <w:rFonts w:hint="eastAsia"/>
        </w:rPr>
        <w:t>路线价</w:t>
      </w:r>
      <w:proofErr w:type="gramEnd"/>
      <w:r>
        <w:rPr>
          <w:rFonts w:hint="eastAsia"/>
        </w:rPr>
        <w:t>评估基准地价的区域，局部商业用地的基准地价图可采用更大比例尺图件。</w:t>
      </w:r>
    </w:p>
    <w:p w14:paraId="0F825DFF" w14:textId="77777777" w:rsidR="00495C65" w:rsidRDefault="00495C65" w:rsidP="00495C65">
      <w:pPr>
        <w:pStyle w:val="13"/>
      </w:pPr>
      <w:r>
        <w:rPr>
          <w:rFonts w:hint="eastAsia"/>
        </w:rPr>
        <w:lastRenderedPageBreak/>
        <w:t>确定基准地价评估区域包括确定基准地价评估的范围和确定城镇土地的级别或均质区域。</w:t>
      </w:r>
    </w:p>
    <w:p w14:paraId="175CB776" w14:textId="77777777" w:rsidR="00495C65" w:rsidRDefault="00495C65" w:rsidP="00495C65">
      <w:pPr>
        <w:pStyle w:val="ab"/>
        <w:spacing w:before="62" w:after="62"/>
        <w:ind w:firstLine="482"/>
      </w:pPr>
      <w:r>
        <w:t>7.3</w:t>
      </w:r>
      <w:r>
        <w:rPr>
          <w:rFonts w:hint="eastAsia"/>
        </w:rPr>
        <w:t>资料调查与整理</w:t>
      </w:r>
    </w:p>
    <w:p w14:paraId="5AF6E9B4" w14:textId="77777777" w:rsidR="00495C65" w:rsidRDefault="00495C65" w:rsidP="00495C65">
      <w:pPr>
        <w:pStyle w:val="13"/>
      </w:pPr>
      <w:r>
        <w:rPr>
          <w:rFonts w:hint="eastAsia"/>
        </w:rPr>
        <w:t>7</w:t>
      </w:r>
      <w:r>
        <w:t>.3.1</w:t>
      </w:r>
      <w:r>
        <w:rPr>
          <w:rFonts w:hint="eastAsia"/>
        </w:rPr>
        <w:t>资料调查的一般要求</w:t>
      </w:r>
    </w:p>
    <w:p w14:paraId="4D70954D" w14:textId="77777777" w:rsidR="00495C65" w:rsidRDefault="00495C65" w:rsidP="00495C65">
      <w:pPr>
        <w:pStyle w:val="13"/>
      </w:pPr>
      <w:r>
        <w:rPr>
          <w:rFonts w:hint="eastAsia"/>
        </w:rPr>
        <w:t>（1）调查、收集的有关地价资料应按实地位置标注于估价工作底图上；</w:t>
      </w:r>
    </w:p>
    <w:p w14:paraId="731C8EED" w14:textId="77777777" w:rsidR="00495C65" w:rsidRDefault="00495C65" w:rsidP="00495C65">
      <w:pPr>
        <w:pStyle w:val="13"/>
      </w:pPr>
      <w:r w:rsidRPr="00962770">
        <w:rPr>
          <w:rFonts w:hint="eastAsia"/>
        </w:rPr>
        <w:t>（</w:t>
      </w:r>
      <w:r>
        <w:t>2</w:t>
      </w:r>
      <w:r w:rsidRPr="00962770">
        <w:t>）</w:t>
      </w:r>
      <w:r>
        <w:rPr>
          <w:rFonts w:hint="eastAsia"/>
        </w:rPr>
        <w:t>调查以土地级别或均质地域为单位进行；</w:t>
      </w:r>
    </w:p>
    <w:p w14:paraId="29A3FFC7" w14:textId="77777777" w:rsidR="00495C65" w:rsidRDefault="00495C65" w:rsidP="00495C65">
      <w:pPr>
        <w:pStyle w:val="13"/>
      </w:pPr>
      <w:r w:rsidRPr="00962770">
        <w:rPr>
          <w:rFonts w:hint="eastAsia"/>
        </w:rPr>
        <w:t>（</w:t>
      </w:r>
      <w:r>
        <w:t>3</w:t>
      </w:r>
      <w:r w:rsidRPr="00962770">
        <w:t>）</w:t>
      </w:r>
      <w:r>
        <w:rPr>
          <w:rFonts w:hint="eastAsia"/>
        </w:rPr>
        <w:t>地价样本选取应采用分类不等比抽样，样本数应符合数理统计要求，每级样本总数原则上不少于</w:t>
      </w:r>
      <w:r>
        <w:t>30个；样本总数不足30个的，应进行全样本调查；</w:t>
      </w:r>
    </w:p>
    <w:p w14:paraId="13983B81" w14:textId="77777777" w:rsidR="00495C65" w:rsidRDefault="00495C65" w:rsidP="00495C65">
      <w:pPr>
        <w:pStyle w:val="13"/>
      </w:pPr>
      <w:r w:rsidRPr="00962770">
        <w:rPr>
          <w:rFonts w:hint="eastAsia"/>
        </w:rPr>
        <w:t>（</w:t>
      </w:r>
      <w:r>
        <w:t>4</w:t>
      </w:r>
      <w:r w:rsidRPr="00962770">
        <w:t>）</w:t>
      </w:r>
      <w:r>
        <w:rPr>
          <w:rFonts w:hint="eastAsia"/>
        </w:rPr>
        <w:t>样本应有代表性，</w:t>
      </w:r>
      <w:proofErr w:type="gramStart"/>
      <w:r>
        <w:rPr>
          <w:rFonts w:hint="eastAsia"/>
        </w:rPr>
        <w:t>且原则</w:t>
      </w:r>
      <w:proofErr w:type="gramEnd"/>
      <w:r>
        <w:rPr>
          <w:rFonts w:hint="eastAsia"/>
        </w:rPr>
        <w:t>分布均匀；</w:t>
      </w:r>
    </w:p>
    <w:p w14:paraId="522F7EE8" w14:textId="77777777" w:rsidR="00495C65" w:rsidRDefault="00495C65" w:rsidP="00495C65">
      <w:pPr>
        <w:pStyle w:val="13"/>
      </w:pPr>
      <w:r w:rsidRPr="00962770">
        <w:rPr>
          <w:rFonts w:hint="eastAsia"/>
        </w:rPr>
        <w:t>（</w:t>
      </w:r>
      <w:r>
        <w:t>5</w:t>
      </w:r>
      <w:r w:rsidRPr="00962770">
        <w:t>）</w:t>
      </w:r>
      <w:r>
        <w:rPr>
          <w:rFonts w:hint="eastAsia"/>
        </w:rPr>
        <w:t>所选样本应能同时获得地价或土地利用效益和相对应的土地条件资料；</w:t>
      </w:r>
    </w:p>
    <w:p w14:paraId="03246938" w14:textId="77777777" w:rsidR="00495C65" w:rsidRDefault="00495C65" w:rsidP="00495C65">
      <w:pPr>
        <w:pStyle w:val="13"/>
      </w:pPr>
      <w:r w:rsidRPr="00962770">
        <w:rPr>
          <w:rFonts w:hint="eastAsia"/>
        </w:rPr>
        <w:t>（</w:t>
      </w:r>
      <w:r>
        <w:t>6</w:t>
      </w:r>
      <w:r w:rsidRPr="00962770">
        <w:t>）</w:t>
      </w:r>
      <w:r>
        <w:rPr>
          <w:rFonts w:hint="eastAsia"/>
        </w:rPr>
        <w:t>土地利用效益等经济资料应不少于近期连续两年的数据；</w:t>
      </w:r>
    </w:p>
    <w:p w14:paraId="26E54224" w14:textId="77777777" w:rsidR="00495C65" w:rsidRPr="00983F38" w:rsidRDefault="00495C65" w:rsidP="00495C65">
      <w:pPr>
        <w:pStyle w:val="13"/>
      </w:pPr>
      <w:r w:rsidRPr="00983F38">
        <w:rPr>
          <w:rFonts w:hint="eastAsia"/>
        </w:rPr>
        <w:t>（</w:t>
      </w:r>
      <w:r w:rsidRPr="00983F38">
        <w:t>7）</w:t>
      </w:r>
      <w:r w:rsidRPr="00983F38">
        <w:rPr>
          <w:rFonts w:hint="eastAsia"/>
        </w:rPr>
        <w:t>出让、转让、出租、入股、联营、联建等地价和</w:t>
      </w:r>
      <w:proofErr w:type="gramStart"/>
      <w:r w:rsidRPr="00983F38">
        <w:rPr>
          <w:rFonts w:hint="eastAsia"/>
        </w:rPr>
        <w:t>企土地利用</w:t>
      </w:r>
      <w:proofErr w:type="gramEnd"/>
      <w:r w:rsidRPr="00983F38">
        <w:rPr>
          <w:rFonts w:hint="eastAsia"/>
        </w:rPr>
        <w:t>效益资料以人民币元为单位，准确到小数点后一位；</w:t>
      </w:r>
    </w:p>
    <w:p w14:paraId="44272CC8" w14:textId="77777777" w:rsidR="00495C65" w:rsidRPr="00983F38" w:rsidRDefault="00495C65" w:rsidP="00495C65">
      <w:pPr>
        <w:pStyle w:val="13"/>
      </w:pPr>
      <w:r w:rsidRPr="00983F38">
        <w:rPr>
          <w:rFonts w:hint="eastAsia"/>
        </w:rPr>
        <w:t>（</w:t>
      </w:r>
      <w:r>
        <w:t>8</w:t>
      </w:r>
      <w:r w:rsidRPr="00983F38">
        <w:t>）</w:t>
      </w:r>
      <w:r w:rsidRPr="00983F38">
        <w:rPr>
          <w:rFonts w:hint="eastAsia"/>
        </w:rPr>
        <w:t>调查资料必须填入相应的调查表格。</w:t>
      </w:r>
    </w:p>
    <w:p w14:paraId="2DEDCD00" w14:textId="77777777" w:rsidR="00495C65" w:rsidRPr="00983F38" w:rsidRDefault="00495C65" w:rsidP="00495C65">
      <w:pPr>
        <w:pStyle w:val="13"/>
      </w:pPr>
      <w:r>
        <w:rPr>
          <w:rFonts w:hint="eastAsia"/>
        </w:rPr>
        <w:t>7</w:t>
      </w:r>
      <w:r>
        <w:t>.3.2</w:t>
      </w:r>
      <w:r w:rsidRPr="00983F38">
        <w:rPr>
          <w:rFonts w:hint="eastAsia"/>
        </w:rPr>
        <w:t>资料调查的内容</w:t>
      </w:r>
    </w:p>
    <w:p w14:paraId="16DE3266" w14:textId="77777777" w:rsidR="00495C65" w:rsidRDefault="00495C65" w:rsidP="00495C65">
      <w:pPr>
        <w:pStyle w:val="13"/>
      </w:pPr>
      <w:r>
        <w:rPr>
          <w:rFonts w:hint="eastAsia"/>
        </w:rPr>
        <w:t>7</w:t>
      </w:r>
      <w:r>
        <w:t>.3.2.1</w:t>
      </w:r>
      <w:r w:rsidRPr="00983F38">
        <w:rPr>
          <w:rFonts w:hint="eastAsia"/>
        </w:rPr>
        <w:t>土地定级成果资料</w:t>
      </w:r>
    </w:p>
    <w:p w14:paraId="65402BC6" w14:textId="77777777" w:rsidR="00495C65" w:rsidRPr="00983F38" w:rsidRDefault="00495C65" w:rsidP="00495C65">
      <w:pPr>
        <w:pStyle w:val="13"/>
      </w:pPr>
      <w:r w:rsidRPr="00983F38">
        <w:rPr>
          <w:rFonts w:hint="eastAsia"/>
        </w:rPr>
        <w:t>主要包括：</w:t>
      </w:r>
    </w:p>
    <w:p w14:paraId="69DC3806" w14:textId="77777777" w:rsidR="00495C65" w:rsidRPr="00983F38" w:rsidRDefault="00495C65" w:rsidP="00495C65">
      <w:pPr>
        <w:pStyle w:val="13"/>
      </w:pPr>
      <w:r w:rsidRPr="007F068D">
        <w:rPr>
          <w:rFonts w:hint="eastAsia"/>
        </w:rPr>
        <w:t>（</w:t>
      </w:r>
      <w:r>
        <w:t>1</w:t>
      </w:r>
      <w:r w:rsidRPr="007F068D">
        <w:t>）</w:t>
      </w:r>
      <w:r w:rsidRPr="00983F38">
        <w:rPr>
          <w:rFonts w:hint="eastAsia"/>
        </w:rPr>
        <w:t>土地级别图；</w:t>
      </w:r>
    </w:p>
    <w:p w14:paraId="405E2A00" w14:textId="77777777" w:rsidR="00495C65" w:rsidRPr="00983F38" w:rsidRDefault="00495C65" w:rsidP="00495C65">
      <w:pPr>
        <w:pStyle w:val="13"/>
      </w:pPr>
      <w:r w:rsidRPr="007F068D">
        <w:rPr>
          <w:rFonts w:hint="eastAsia"/>
        </w:rPr>
        <w:t>（</w:t>
      </w:r>
      <w:r>
        <w:t>2</w:t>
      </w:r>
      <w:r w:rsidRPr="007F068D">
        <w:t>）</w:t>
      </w:r>
      <w:r w:rsidRPr="00983F38">
        <w:rPr>
          <w:rFonts w:hint="eastAsia"/>
        </w:rPr>
        <w:t>土地定级工作报告和技术报告；</w:t>
      </w:r>
    </w:p>
    <w:p w14:paraId="777E2A72" w14:textId="77777777" w:rsidR="00495C65" w:rsidRPr="00983F38" w:rsidRDefault="00495C65" w:rsidP="00495C65">
      <w:pPr>
        <w:pStyle w:val="13"/>
      </w:pPr>
      <w:r w:rsidRPr="007F068D">
        <w:rPr>
          <w:rFonts w:hint="eastAsia"/>
        </w:rPr>
        <w:t>（</w:t>
      </w:r>
      <w:r>
        <w:t>3</w:t>
      </w:r>
      <w:r w:rsidRPr="007F068D">
        <w:t>）</w:t>
      </w:r>
      <w:r w:rsidRPr="00983F38">
        <w:rPr>
          <w:rFonts w:hint="eastAsia"/>
        </w:rPr>
        <w:t>其他相关成果及资料。</w:t>
      </w:r>
    </w:p>
    <w:p w14:paraId="3E2F5F8F" w14:textId="77777777" w:rsidR="00495C65" w:rsidRDefault="00495C65" w:rsidP="00495C65">
      <w:pPr>
        <w:pStyle w:val="13"/>
      </w:pPr>
      <w:r>
        <w:rPr>
          <w:rFonts w:hint="eastAsia"/>
        </w:rPr>
        <w:t>7</w:t>
      </w:r>
      <w:r>
        <w:t>.3.2.2</w:t>
      </w:r>
      <w:r w:rsidRPr="00983F38">
        <w:rPr>
          <w:rFonts w:hint="eastAsia"/>
        </w:rPr>
        <w:t>地租、地价资料</w:t>
      </w:r>
    </w:p>
    <w:p w14:paraId="3A71CC70" w14:textId="77777777" w:rsidR="00495C65" w:rsidRPr="00983F38" w:rsidRDefault="00495C65" w:rsidP="00495C65">
      <w:pPr>
        <w:pStyle w:val="13"/>
      </w:pPr>
      <w:r w:rsidRPr="00983F38">
        <w:rPr>
          <w:rFonts w:hint="eastAsia"/>
        </w:rPr>
        <w:t>主要包括：</w:t>
      </w:r>
    </w:p>
    <w:p w14:paraId="3ABCB636" w14:textId="77777777" w:rsidR="00495C65" w:rsidRPr="00983F38" w:rsidRDefault="00495C65" w:rsidP="00495C65">
      <w:pPr>
        <w:pStyle w:val="13"/>
      </w:pPr>
      <w:r w:rsidRPr="00B636D5">
        <w:rPr>
          <w:rFonts w:hint="eastAsia"/>
        </w:rPr>
        <w:t>（</w:t>
      </w:r>
      <w:r>
        <w:t>1</w:t>
      </w:r>
      <w:r w:rsidRPr="00B636D5">
        <w:t>）</w:t>
      </w:r>
      <w:r w:rsidRPr="00983F38">
        <w:rPr>
          <w:rFonts w:hint="eastAsia"/>
        </w:rPr>
        <w:t>土地使用权出让、转让资料；</w:t>
      </w:r>
    </w:p>
    <w:p w14:paraId="74A70111" w14:textId="77777777" w:rsidR="00495C65" w:rsidRPr="00983F38" w:rsidRDefault="00495C65" w:rsidP="00495C65">
      <w:pPr>
        <w:pStyle w:val="13"/>
      </w:pPr>
      <w:r w:rsidRPr="00B636D5">
        <w:rPr>
          <w:rFonts w:hint="eastAsia"/>
        </w:rPr>
        <w:t>（</w:t>
      </w:r>
      <w:r>
        <w:t>2</w:t>
      </w:r>
      <w:r w:rsidRPr="00B636D5">
        <w:t>）</w:t>
      </w:r>
      <w:r w:rsidRPr="00983F38">
        <w:rPr>
          <w:rFonts w:hint="eastAsia"/>
        </w:rPr>
        <w:t>土地使用权、房屋及柜台出租资料；</w:t>
      </w:r>
    </w:p>
    <w:p w14:paraId="45E0E602" w14:textId="77777777" w:rsidR="00495C65" w:rsidRPr="00983F38" w:rsidRDefault="00495C65" w:rsidP="00495C65">
      <w:pPr>
        <w:pStyle w:val="13"/>
      </w:pPr>
      <w:r w:rsidRPr="00B636D5">
        <w:rPr>
          <w:rFonts w:hint="eastAsia"/>
        </w:rPr>
        <w:t>（</w:t>
      </w:r>
      <w:r>
        <w:t>3</w:t>
      </w:r>
      <w:r w:rsidRPr="00B636D5">
        <w:t>）</w:t>
      </w:r>
      <w:r w:rsidRPr="00983F38">
        <w:rPr>
          <w:rFonts w:hint="eastAsia"/>
        </w:rPr>
        <w:t>土地征用补偿、安置补偿及</w:t>
      </w:r>
      <w:proofErr w:type="gramStart"/>
      <w:r w:rsidRPr="00983F38">
        <w:rPr>
          <w:rFonts w:hint="eastAsia"/>
        </w:rPr>
        <w:t>地上物</w:t>
      </w:r>
      <w:proofErr w:type="gramEnd"/>
      <w:r w:rsidRPr="00983F38">
        <w:rPr>
          <w:rFonts w:hint="eastAsia"/>
        </w:rPr>
        <w:t>补偿相关资料；</w:t>
      </w:r>
    </w:p>
    <w:p w14:paraId="5FE4A5E1" w14:textId="77777777" w:rsidR="00495C65" w:rsidRPr="00983F38" w:rsidRDefault="00495C65" w:rsidP="00495C65">
      <w:pPr>
        <w:pStyle w:val="13"/>
      </w:pPr>
      <w:r w:rsidRPr="00B636D5">
        <w:rPr>
          <w:rFonts w:hint="eastAsia"/>
        </w:rPr>
        <w:t>（</w:t>
      </w:r>
      <w:r>
        <w:t>4</w:t>
      </w:r>
      <w:r w:rsidRPr="00B636D5">
        <w:t>）</w:t>
      </w:r>
      <w:r w:rsidRPr="00983F38">
        <w:rPr>
          <w:rFonts w:hint="eastAsia"/>
        </w:rPr>
        <w:t>土地联营入股资料；</w:t>
      </w:r>
    </w:p>
    <w:p w14:paraId="61BC89B2" w14:textId="77777777" w:rsidR="00495C65" w:rsidRPr="00983F38" w:rsidRDefault="00495C65" w:rsidP="00495C65">
      <w:pPr>
        <w:pStyle w:val="13"/>
      </w:pPr>
      <w:r w:rsidRPr="00B636D5">
        <w:rPr>
          <w:rFonts w:hint="eastAsia"/>
        </w:rPr>
        <w:t>（</w:t>
      </w:r>
      <w:r>
        <w:t>5</w:t>
      </w:r>
      <w:r w:rsidRPr="00B636D5">
        <w:t>）</w:t>
      </w:r>
      <w:r w:rsidRPr="00983F38">
        <w:rPr>
          <w:rFonts w:hint="eastAsia"/>
        </w:rPr>
        <w:t>以地联合建房、换房资料；</w:t>
      </w:r>
    </w:p>
    <w:p w14:paraId="18FB4D27" w14:textId="77777777" w:rsidR="00495C65" w:rsidRPr="00983F38" w:rsidRDefault="00495C65" w:rsidP="00495C65">
      <w:pPr>
        <w:pStyle w:val="13"/>
      </w:pPr>
      <w:r w:rsidRPr="00B636D5">
        <w:rPr>
          <w:rFonts w:hint="eastAsia"/>
        </w:rPr>
        <w:t>（</w:t>
      </w:r>
      <w:r>
        <w:t>6</w:t>
      </w:r>
      <w:r w:rsidRPr="00B636D5">
        <w:t>）</w:t>
      </w:r>
      <w:r w:rsidRPr="00983F38">
        <w:rPr>
          <w:rFonts w:hint="eastAsia"/>
        </w:rPr>
        <w:t>房屋拆迁补偿资料、房屋造价标准、房屋重经营及管理相关标准、房屋经营及管理标准、固定资产作价及联营、合作建房等相关资料；</w:t>
      </w:r>
    </w:p>
    <w:p w14:paraId="7BCBA2B0" w14:textId="77777777" w:rsidR="00495C65" w:rsidRPr="00983F38" w:rsidRDefault="00495C65" w:rsidP="00495C65">
      <w:pPr>
        <w:pStyle w:val="13"/>
      </w:pPr>
      <w:r w:rsidRPr="00B636D5">
        <w:rPr>
          <w:rFonts w:hint="eastAsia"/>
        </w:rPr>
        <w:t>（</w:t>
      </w:r>
      <w:r>
        <w:t>7</w:t>
      </w:r>
      <w:r w:rsidRPr="00B636D5">
        <w:t>）</w:t>
      </w:r>
      <w:r w:rsidRPr="00983F38">
        <w:rPr>
          <w:rFonts w:hint="eastAsia"/>
        </w:rPr>
        <w:t>宗地用途、出租时间、容积率等；</w:t>
      </w:r>
    </w:p>
    <w:p w14:paraId="4E2D2BC1" w14:textId="77777777" w:rsidR="00495C65" w:rsidRPr="00983F38" w:rsidRDefault="00495C65" w:rsidP="00495C65">
      <w:pPr>
        <w:pStyle w:val="13"/>
      </w:pPr>
      <w:r w:rsidRPr="00B636D5">
        <w:rPr>
          <w:rFonts w:hint="eastAsia"/>
        </w:rPr>
        <w:t>（</w:t>
      </w:r>
      <w:r>
        <w:t>8</w:t>
      </w:r>
      <w:r w:rsidRPr="00B636D5">
        <w:t>）</w:t>
      </w:r>
      <w:r w:rsidRPr="00983F38">
        <w:rPr>
          <w:rFonts w:hint="eastAsia"/>
        </w:rPr>
        <w:t>有关税费征收标准；</w:t>
      </w:r>
    </w:p>
    <w:p w14:paraId="35F461A8" w14:textId="77777777" w:rsidR="00495C65" w:rsidRPr="00983F38" w:rsidRDefault="00495C65" w:rsidP="00495C65">
      <w:pPr>
        <w:pStyle w:val="13"/>
      </w:pPr>
      <w:r w:rsidRPr="00B636D5">
        <w:rPr>
          <w:rFonts w:hint="eastAsia"/>
        </w:rPr>
        <w:t>（</w:t>
      </w:r>
      <w:r>
        <w:t>9</w:t>
      </w:r>
      <w:r w:rsidRPr="00B636D5">
        <w:t>）</w:t>
      </w:r>
      <w:r w:rsidRPr="00983F38">
        <w:rPr>
          <w:rFonts w:hint="eastAsia"/>
        </w:rPr>
        <w:t>土地开发费用标准、资本的利息、利润标准；</w:t>
      </w:r>
    </w:p>
    <w:p w14:paraId="7B533C00" w14:textId="77777777" w:rsidR="00495C65" w:rsidRPr="00983F38" w:rsidRDefault="00495C65" w:rsidP="00495C65">
      <w:pPr>
        <w:pStyle w:val="13"/>
      </w:pPr>
      <w:r w:rsidRPr="00B636D5">
        <w:rPr>
          <w:rFonts w:hint="eastAsia"/>
        </w:rPr>
        <w:t>（</w:t>
      </w:r>
      <w:r w:rsidRPr="00B636D5">
        <w:t>1</w:t>
      </w:r>
      <w:r>
        <w:t>0</w:t>
      </w:r>
      <w:r w:rsidRPr="00B636D5">
        <w:t>）</w:t>
      </w:r>
      <w:r w:rsidRPr="00983F38">
        <w:rPr>
          <w:rFonts w:hint="eastAsia"/>
        </w:rPr>
        <w:t>其他资料，如还原利率等。</w:t>
      </w:r>
    </w:p>
    <w:p w14:paraId="4331C143" w14:textId="77777777" w:rsidR="00495C65" w:rsidRDefault="00495C65" w:rsidP="00495C65">
      <w:pPr>
        <w:pStyle w:val="13"/>
      </w:pPr>
      <w:r>
        <w:rPr>
          <w:rFonts w:hint="eastAsia"/>
        </w:rPr>
        <w:t>7</w:t>
      </w:r>
      <w:r>
        <w:t>.3.2.3</w:t>
      </w:r>
      <w:r w:rsidRPr="00983F38">
        <w:rPr>
          <w:rFonts w:hint="eastAsia"/>
        </w:rPr>
        <w:t>土地利用效益资料</w:t>
      </w:r>
    </w:p>
    <w:p w14:paraId="66D00B84" w14:textId="77777777" w:rsidR="00495C65" w:rsidRPr="00983F38" w:rsidRDefault="00495C65" w:rsidP="00495C65">
      <w:pPr>
        <w:pStyle w:val="13"/>
      </w:pPr>
      <w:r w:rsidRPr="00983F38">
        <w:rPr>
          <w:rFonts w:hint="eastAsia"/>
        </w:rPr>
        <w:lastRenderedPageBreak/>
        <w:t>主要包括：</w:t>
      </w:r>
    </w:p>
    <w:p w14:paraId="5656C189" w14:textId="77777777" w:rsidR="00495C65" w:rsidRPr="00983F38" w:rsidRDefault="00495C65" w:rsidP="00495C65">
      <w:pPr>
        <w:pStyle w:val="13"/>
      </w:pPr>
      <w:r w:rsidRPr="00B02CE1">
        <w:rPr>
          <w:rFonts w:hint="eastAsia"/>
        </w:rPr>
        <w:t>（</w:t>
      </w:r>
      <w:r w:rsidRPr="00B02CE1">
        <w:t>1）</w:t>
      </w:r>
      <w:r w:rsidRPr="00983F38">
        <w:rPr>
          <w:rFonts w:hint="eastAsia"/>
        </w:rPr>
        <w:t>不同行业资金利润率标准；</w:t>
      </w:r>
    </w:p>
    <w:p w14:paraId="594B84E7" w14:textId="77777777" w:rsidR="00495C65" w:rsidRPr="00983F38" w:rsidRDefault="00495C65" w:rsidP="00495C65">
      <w:pPr>
        <w:pStyle w:val="13"/>
      </w:pPr>
      <w:r w:rsidRPr="00B02CE1">
        <w:rPr>
          <w:rFonts w:hint="eastAsia"/>
        </w:rPr>
        <w:t>（</w:t>
      </w:r>
      <w:r>
        <w:t>2</w:t>
      </w:r>
      <w:r w:rsidRPr="00B02CE1">
        <w:t>）</w:t>
      </w:r>
      <w:r w:rsidRPr="00983F38">
        <w:rPr>
          <w:rFonts w:hint="eastAsia"/>
        </w:rPr>
        <w:t>同一行业不同规模的资金利用效益资料；</w:t>
      </w:r>
    </w:p>
    <w:p w14:paraId="41366D7B" w14:textId="77777777" w:rsidR="00495C65" w:rsidRPr="00983F38" w:rsidRDefault="00495C65" w:rsidP="00495C65">
      <w:pPr>
        <w:pStyle w:val="13"/>
      </w:pPr>
      <w:r w:rsidRPr="00B02CE1">
        <w:rPr>
          <w:rFonts w:hint="eastAsia"/>
        </w:rPr>
        <w:t>（</w:t>
      </w:r>
      <w:r>
        <w:t>3</w:t>
      </w:r>
      <w:r w:rsidRPr="00B02CE1">
        <w:t>）</w:t>
      </w:r>
      <w:r w:rsidRPr="00983F38">
        <w:rPr>
          <w:rFonts w:hint="eastAsia"/>
        </w:rPr>
        <w:t>不同行业不同规模的企业劳动力标准；</w:t>
      </w:r>
    </w:p>
    <w:p w14:paraId="6012E02C" w14:textId="77777777" w:rsidR="00495C65" w:rsidRPr="00983F38" w:rsidRDefault="00495C65" w:rsidP="00495C65">
      <w:pPr>
        <w:pStyle w:val="13"/>
      </w:pPr>
      <w:r w:rsidRPr="00B02CE1">
        <w:rPr>
          <w:rFonts w:hint="eastAsia"/>
        </w:rPr>
        <w:t>（</w:t>
      </w:r>
      <w:r>
        <w:t>4</w:t>
      </w:r>
      <w:r w:rsidRPr="00B02CE1">
        <w:t>）</w:t>
      </w:r>
      <w:r w:rsidRPr="00983F38">
        <w:rPr>
          <w:rFonts w:hint="eastAsia"/>
        </w:rPr>
        <w:t>行业经济效益资料；</w:t>
      </w:r>
    </w:p>
    <w:p w14:paraId="4F2EE5AE" w14:textId="77777777" w:rsidR="00495C65" w:rsidRDefault="00495C65" w:rsidP="00495C65">
      <w:pPr>
        <w:pStyle w:val="13"/>
      </w:pPr>
      <w:r w:rsidRPr="00B02CE1">
        <w:rPr>
          <w:rFonts w:hint="eastAsia"/>
        </w:rPr>
        <w:t>（</w:t>
      </w:r>
      <w:r>
        <w:t>5</w:t>
      </w:r>
      <w:r w:rsidRPr="00B02CE1">
        <w:t>）</w:t>
      </w:r>
      <w:r w:rsidRPr="00983F38">
        <w:rPr>
          <w:rFonts w:hint="eastAsia"/>
        </w:rPr>
        <w:t>单位或企业土地利用效益资料。</w:t>
      </w:r>
    </w:p>
    <w:p w14:paraId="552E1B0D" w14:textId="77777777" w:rsidR="00495C65" w:rsidRDefault="00495C65" w:rsidP="00495C65">
      <w:pPr>
        <w:pStyle w:val="13"/>
      </w:pPr>
      <w:r>
        <w:rPr>
          <w:rFonts w:hint="eastAsia"/>
        </w:rPr>
        <w:t>7</w:t>
      </w:r>
      <w:r>
        <w:t>.3.2.4</w:t>
      </w:r>
      <w:r>
        <w:rPr>
          <w:rFonts w:hint="eastAsia"/>
        </w:rPr>
        <w:t>影响地价的因素资料</w:t>
      </w:r>
    </w:p>
    <w:p w14:paraId="64D0AF91" w14:textId="77777777" w:rsidR="00495C65" w:rsidRDefault="00495C65" w:rsidP="00495C65">
      <w:pPr>
        <w:pStyle w:val="13"/>
      </w:pPr>
      <w:r>
        <w:rPr>
          <w:rFonts w:hint="eastAsia"/>
        </w:rPr>
        <w:t>指影响地价的一般因素、区域因素和个别因素资料。</w:t>
      </w:r>
    </w:p>
    <w:p w14:paraId="34EC3275" w14:textId="77777777" w:rsidR="00495C65" w:rsidRDefault="00495C65" w:rsidP="00495C65">
      <w:pPr>
        <w:pStyle w:val="13"/>
      </w:pPr>
      <w:r w:rsidRPr="00FC0BEA">
        <w:t>7.3.2.</w:t>
      </w:r>
      <w:r>
        <w:t>5</w:t>
      </w:r>
      <w:r>
        <w:rPr>
          <w:rFonts w:hint="eastAsia"/>
        </w:rPr>
        <w:t>其他资料</w:t>
      </w:r>
    </w:p>
    <w:p w14:paraId="645871BE" w14:textId="77777777" w:rsidR="00495C65" w:rsidRDefault="00495C65" w:rsidP="00495C65">
      <w:pPr>
        <w:pStyle w:val="13"/>
      </w:pPr>
      <w:r>
        <w:rPr>
          <w:rFonts w:hint="eastAsia"/>
        </w:rPr>
        <w:t>主要包括：</w:t>
      </w:r>
    </w:p>
    <w:p w14:paraId="30106B8D" w14:textId="77777777" w:rsidR="00495C65" w:rsidRDefault="00495C65" w:rsidP="00495C65">
      <w:pPr>
        <w:pStyle w:val="13"/>
      </w:pPr>
      <w:r w:rsidRPr="00192116">
        <w:rPr>
          <w:rFonts w:hint="eastAsia"/>
        </w:rPr>
        <w:t>（</w:t>
      </w:r>
      <w:r w:rsidRPr="00192116">
        <w:t>1）</w:t>
      </w:r>
      <w:r>
        <w:rPr>
          <w:rFonts w:hint="eastAsia"/>
        </w:rPr>
        <w:t>历史地价资料；</w:t>
      </w:r>
    </w:p>
    <w:p w14:paraId="00FADEC9" w14:textId="77777777" w:rsidR="00495C65" w:rsidRDefault="00495C65" w:rsidP="00495C65">
      <w:pPr>
        <w:pStyle w:val="13"/>
      </w:pPr>
      <w:r w:rsidRPr="00192116">
        <w:rPr>
          <w:rFonts w:hint="eastAsia"/>
        </w:rPr>
        <w:t>（</w:t>
      </w:r>
      <w:r>
        <w:t>2</w:t>
      </w:r>
      <w:r w:rsidRPr="00192116">
        <w:t>）</w:t>
      </w:r>
      <w:r>
        <w:rPr>
          <w:rFonts w:hint="eastAsia"/>
        </w:rPr>
        <w:t>有关经济指数及建筑材料价格变动指数；</w:t>
      </w:r>
    </w:p>
    <w:p w14:paraId="33418157" w14:textId="77777777" w:rsidR="00495C65" w:rsidRDefault="00495C65" w:rsidP="00495C65">
      <w:pPr>
        <w:pStyle w:val="13"/>
      </w:pPr>
      <w:r w:rsidRPr="00192116">
        <w:rPr>
          <w:rFonts w:hint="eastAsia"/>
        </w:rPr>
        <w:t>（</w:t>
      </w:r>
      <w:r>
        <w:t>3</w:t>
      </w:r>
      <w:r w:rsidRPr="00192116">
        <w:t>）</w:t>
      </w:r>
      <w:r>
        <w:rPr>
          <w:rFonts w:hint="eastAsia"/>
        </w:rPr>
        <w:t>土地开发与经营的政策法规、条例、规定；</w:t>
      </w:r>
    </w:p>
    <w:p w14:paraId="730BA28C" w14:textId="77777777" w:rsidR="00495C65" w:rsidRDefault="00495C65" w:rsidP="00495C65">
      <w:pPr>
        <w:pStyle w:val="13"/>
      </w:pPr>
      <w:r w:rsidRPr="00192116">
        <w:rPr>
          <w:rFonts w:hint="eastAsia"/>
        </w:rPr>
        <w:t>（</w:t>
      </w:r>
      <w:r>
        <w:t>4</w:t>
      </w:r>
      <w:r w:rsidRPr="00192116">
        <w:t>）</w:t>
      </w:r>
      <w:r>
        <w:rPr>
          <w:rFonts w:hint="eastAsia"/>
        </w:rPr>
        <w:t>有关不动产的税收种类、税率等；</w:t>
      </w:r>
    </w:p>
    <w:p w14:paraId="2067C631" w14:textId="77777777" w:rsidR="00495C65" w:rsidRDefault="00495C65" w:rsidP="00495C65">
      <w:pPr>
        <w:pStyle w:val="13"/>
      </w:pPr>
      <w:r w:rsidRPr="00192116">
        <w:rPr>
          <w:rFonts w:hint="eastAsia"/>
        </w:rPr>
        <w:t>（</w:t>
      </w:r>
      <w:r>
        <w:t>5</w:t>
      </w:r>
      <w:r w:rsidRPr="00192116">
        <w:t>）</w:t>
      </w:r>
      <w:r>
        <w:rPr>
          <w:rFonts w:hint="eastAsia"/>
        </w:rPr>
        <w:t>城镇规划等有关资料。</w:t>
      </w:r>
    </w:p>
    <w:p w14:paraId="482B0245" w14:textId="77777777" w:rsidR="00495C65" w:rsidRDefault="00495C65" w:rsidP="00495C65">
      <w:pPr>
        <w:pStyle w:val="13"/>
      </w:pPr>
      <w:r>
        <w:rPr>
          <w:rFonts w:hint="eastAsia"/>
        </w:rPr>
        <w:t>7</w:t>
      </w:r>
      <w:r>
        <w:t>.3.3</w:t>
      </w:r>
      <w:r>
        <w:rPr>
          <w:rFonts w:hint="eastAsia"/>
        </w:rPr>
        <w:t>样点资料的整理</w:t>
      </w:r>
    </w:p>
    <w:p w14:paraId="3502DAF2" w14:textId="77777777" w:rsidR="00495C65" w:rsidRDefault="00495C65" w:rsidP="00495C65">
      <w:pPr>
        <w:pStyle w:val="13"/>
      </w:pPr>
      <w:r w:rsidRPr="001068D8">
        <w:t>7.3.3</w:t>
      </w:r>
      <w:r>
        <w:t>.1</w:t>
      </w:r>
      <w:r>
        <w:rPr>
          <w:rFonts w:hint="eastAsia"/>
        </w:rPr>
        <w:t>样点剔除</w:t>
      </w:r>
    </w:p>
    <w:p w14:paraId="49965380" w14:textId="77777777" w:rsidR="00495C65" w:rsidRDefault="00495C65" w:rsidP="00495C65">
      <w:pPr>
        <w:pStyle w:val="13"/>
      </w:pPr>
      <w:proofErr w:type="gramStart"/>
      <w:r>
        <w:rPr>
          <w:rFonts w:hint="eastAsia"/>
        </w:rPr>
        <w:t>逐表审查</w:t>
      </w:r>
      <w:proofErr w:type="gramEnd"/>
      <w:r>
        <w:rPr>
          <w:rFonts w:hint="eastAsia"/>
        </w:rPr>
        <w:t>调查资料，将</w:t>
      </w:r>
      <w:proofErr w:type="gramStart"/>
      <w:r>
        <w:rPr>
          <w:rFonts w:hint="eastAsia"/>
        </w:rPr>
        <w:t>缺主要</w:t>
      </w:r>
      <w:proofErr w:type="gramEnd"/>
      <w:r>
        <w:rPr>
          <w:rFonts w:hint="eastAsia"/>
        </w:rPr>
        <w:t>项目、填报数据不符合要求和数据明显偏离正常情况的样点剔除。</w:t>
      </w:r>
    </w:p>
    <w:p w14:paraId="270E2A52" w14:textId="77777777" w:rsidR="00495C65" w:rsidRDefault="00495C65" w:rsidP="00495C65">
      <w:pPr>
        <w:pStyle w:val="13"/>
      </w:pPr>
      <w:r w:rsidRPr="001068D8">
        <w:t>7.3.3.</w:t>
      </w:r>
      <w:r>
        <w:t>2</w:t>
      </w:r>
      <w:r>
        <w:rPr>
          <w:rFonts w:hint="eastAsia"/>
        </w:rPr>
        <w:t>样点资料归类</w:t>
      </w:r>
    </w:p>
    <w:p w14:paraId="657A56F1" w14:textId="77777777" w:rsidR="00495C65" w:rsidRDefault="00495C65" w:rsidP="00495C65">
      <w:pPr>
        <w:pStyle w:val="13"/>
      </w:pPr>
      <w:r>
        <w:rPr>
          <w:rFonts w:hint="eastAsia"/>
        </w:rPr>
        <w:t>将初步审查合格的样本资料，分别按土地级别或均质地域、土地用途、土地交易方式、地价计算方法、企业用地效益进行归类。当样本数量少于</w:t>
      </w:r>
      <w:r>
        <w:t>7.3.1c）规定的数量时，应进行样点的补充调查。</w:t>
      </w:r>
    </w:p>
    <w:p w14:paraId="21663C83" w14:textId="77777777" w:rsidR="00495C65" w:rsidRDefault="00495C65" w:rsidP="00495C65">
      <w:pPr>
        <w:pStyle w:val="ab"/>
        <w:spacing w:before="62" w:after="62"/>
        <w:ind w:firstLine="482"/>
      </w:pPr>
      <w:r>
        <w:rPr>
          <w:rFonts w:hint="eastAsia"/>
        </w:rPr>
        <w:t>7</w:t>
      </w:r>
      <w:r>
        <w:t>.4</w:t>
      </w:r>
      <w:r>
        <w:rPr>
          <w:rFonts w:hint="eastAsia"/>
        </w:rPr>
        <w:t>确定基准地价内涵</w:t>
      </w:r>
    </w:p>
    <w:p w14:paraId="6A2C22B6" w14:textId="77777777" w:rsidR="00495C65" w:rsidRDefault="00495C65" w:rsidP="00495C65">
      <w:pPr>
        <w:pStyle w:val="13"/>
      </w:pPr>
      <w:r>
        <w:rPr>
          <w:rFonts w:hint="eastAsia"/>
        </w:rPr>
        <w:t>基准地价内涵主要包括：基准地价对应的土地权利类型、使用年期、用途、期日、开发利用程度及容积率等开发建设条件。基准地价内涵应根据区域内现状总体情况，并考虑政府管理需求确定。</w:t>
      </w:r>
    </w:p>
    <w:p w14:paraId="3A3C9801" w14:textId="77777777" w:rsidR="00495C65" w:rsidRDefault="00495C65" w:rsidP="00495C65">
      <w:pPr>
        <w:pStyle w:val="ab"/>
        <w:spacing w:before="62" w:after="62"/>
        <w:ind w:firstLine="482"/>
      </w:pPr>
      <w:r>
        <w:rPr>
          <w:rFonts w:hint="eastAsia"/>
        </w:rPr>
        <w:t>7</w:t>
      </w:r>
      <w:r>
        <w:t>.5</w:t>
      </w:r>
      <w:r>
        <w:rPr>
          <w:rFonts w:hint="eastAsia"/>
        </w:rPr>
        <w:t>利用市场交易资料评估基准地价</w:t>
      </w:r>
    </w:p>
    <w:p w14:paraId="41A029D1" w14:textId="77777777" w:rsidR="00495C65" w:rsidRDefault="00495C65" w:rsidP="00495C65">
      <w:pPr>
        <w:pStyle w:val="13"/>
      </w:pPr>
      <w:r>
        <w:rPr>
          <w:rFonts w:hint="eastAsia"/>
        </w:rPr>
        <w:t>7</w:t>
      </w:r>
      <w:r>
        <w:t>.5.1</w:t>
      </w:r>
      <w:r>
        <w:rPr>
          <w:rFonts w:hint="eastAsia"/>
        </w:rPr>
        <w:t>基准地价测算区域的划分</w:t>
      </w:r>
    </w:p>
    <w:p w14:paraId="38710D65" w14:textId="77777777" w:rsidR="00495C65" w:rsidRDefault="00495C65" w:rsidP="00495C65">
      <w:pPr>
        <w:pStyle w:val="13"/>
      </w:pPr>
      <w:r>
        <w:rPr>
          <w:rFonts w:hint="eastAsia"/>
        </w:rPr>
        <w:t>主要包括：</w:t>
      </w:r>
    </w:p>
    <w:p w14:paraId="641BA6B1" w14:textId="77777777" w:rsidR="00495C65" w:rsidRDefault="00495C65" w:rsidP="00495C65">
      <w:pPr>
        <w:pStyle w:val="13"/>
      </w:pPr>
      <w:r>
        <w:rPr>
          <w:rFonts w:hint="eastAsia"/>
        </w:rPr>
        <w:t>（1）基准地价应以土地级别为基本测算区域，当土地级别范围过大时，可以按照城镇土地条件的差异性将测算区域适当细分为均质地域。</w:t>
      </w:r>
    </w:p>
    <w:p w14:paraId="13D6CDB0" w14:textId="77777777" w:rsidR="00495C65" w:rsidRDefault="00495C65" w:rsidP="00495C65">
      <w:pPr>
        <w:pStyle w:val="13"/>
      </w:pPr>
      <w:r>
        <w:rPr>
          <w:rFonts w:hint="eastAsia"/>
        </w:rPr>
        <w:t>（2）测算区域中样本数量较少，不能满足模型推断的样点需要量时，可通过均</w:t>
      </w:r>
      <w:r>
        <w:rPr>
          <w:rFonts w:hint="eastAsia"/>
        </w:rPr>
        <w:lastRenderedPageBreak/>
        <w:t>质地域同一性判别，进行适当归并。</w:t>
      </w:r>
    </w:p>
    <w:p w14:paraId="329D964E" w14:textId="77777777" w:rsidR="00495C65" w:rsidRDefault="00495C65" w:rsidP="00495C65">
      <w:pPr>
        <w:pStyle w:val="13"/>
      </w:pPr>
      <w:r>
        <w:rPr>
          <w:rFonts w:hint="eastAsia"/>
        </w:rPr>
        <w:t>7</w:t>
      </w:r>
      <w:r>
        <w:t>.5.2</w:t>
      </w:r>
      <w:r>
        <w:rPr>
          <w:rFonts w:hint="eastAsia"/>
        </w:rPr>
        <w:t>样点地价计算</w:t>
      </w:r>
    </w:p>
    <w:p w14:paraId="629BFF1B" w14:textId="77777777" w:rsidR="00495C65" w:rsidRDefault="00495C65" w:rsidP="00495C65">
      <w:pPr>
        <w:pStyle w:val="13"/>
      </w:pPr>
      <w:r w:rsidRPr="006C46F0">
        <w:t>7.5.2</w:t>
      </w:r>
      <w:r>
        <w:t>.1</w:t>
      </w:r>
      <w:r>
        <w:rPr>
          <w:rFonts w:hint="eastAsia"/>
        </w:rPr>
        <w:t>利用土地使用权出让资料计算地价</w:t>
      </w:r>
    </w:p>
    <w:p w14:paraId="1596A7AC" w14:textId="77777777" w:rsidR="00495C65" w:rsidRDefault="00495C65" w:rsidP="00495C65">
      <w:pPr>
        <w:pStyle w:val="13"/>
      </w:pPr>
      <w:r>
        <w:rPr>
          <w:rFonts w:hint="eastAsia"/>
        </w:rPr>
        <w:t>根据土地使用权出让资料，按式（</w:t>
      </w:r>
      <w:r>
        <w:t>27）计算地价：</w:t>
      </w:r>
    </w:p>
    <w:p w14:paraId="4FAB246F" w14:textId="77777777" w:rsidR="00495C65" w:rsidRPr="008674A1" w:rsidRDefault="00495C65" w:rsidP="00495C65">
      <w:pPr>
        <w:spacing w:before="197"/>
        <w:ind w:left="3473"/>
        <w:rPr>
          <w:rFonts w:ascii="宋体" w:hAnsi="宋体"/>
          <w:i/>
          <w:position w:val="1"/>
          <w:sz w:val="24"/>
        </w:rPr>
      </w:pPr>
      <w:r w:rsidRPr="008674A1">
        <w:rPr>
          <w:rFonts w:ascii="宋体" w:hAnsi="宋体"/>
          <w:i/>
          <w:position w:val="1"/>
          <w:sz w:val="24"/>
        </w:rPr>
        <w:t>P=P</w:t>
      </w:r>
      <w:r w:rsidRPr="008674A1">
        <w:rPr>
          <w:rFonts w:ascii="宋体" w:hAnsi="宋体"/>
          <w:i/>
          <w:position w:val="1"/>
          <w:sz w:val="24"/>
          <w:vertAlign w:val="subscript"/>
        </w:rPr>
        <w:t>T</w:t>
      </w:r>
      <w:r w:rsidRPr="008674A1">
        <w:rPr>
          <w:rFonts w:ascii="宋体" w:hAnsi="宋体"/>
          <w:i/>
          <w:position w:val="1"/>
          <w:sz w:val="24"/>
        </w:rPr>
        <w:t>/s</w:t>
      </w:r>
      <w:r w:rsidRPr="008674A1">
        <w:rPr>
          <w:rFonts w:ascii="宋体" w:hAnsi="宋体"/>
          <w:i/>
          <w:position w:val="1"/>
          <w:sz w:val="24"/>
        </w:rPr>
        <w:tab/>
      </w:r>
      <w:r>
        <w:rPr>
          <w:rFonts w:ascii="宋体" w:hAnsi="宋体"/>
          <w:i/>
          <w:position w:val="1"/>
          <w:sz w:val="24"/>
        </w:rPr>
        <w:t xml:space="preserve">                                 </w:t>
      </w:r>
      <w:r w:rsidRPr="008674A1">
        <w:rPr>
          <w:rFonts w:ascii="宋体" w:hAnsi="宋体"/>
          <w:iCs/>
          <w:position w:val="1"/>
          <w:sz w:val="24"/>
        </w:rPr>
        <w:t>（27）</w:t>
      </w:r>
    </w:p>
    <w:p w14:paraId="73A1A3F1" w14:textId="77777777" w:rsidR="00495C65" w:rsidRDefault="00495C65" w:rsidP="00495C65">
      <w:pPr>
        <w:pStyle w:val="13"/>
      </w:pPr>
      <w:r>
        <w:rPr>
          <w:rFonts w:hint="eastAsia"/>
        </w:rPr>
        <w:t>式中：</w:t>
      </w:r>
    </w:p>
    <w:p w14:paraId="1B1B4ACA" w14:textId="77777777" w:rsidR="00495C65" w:rsidRDefault="00495C65" w:rsidP="00495C65">
      <w:pPr>
        <w:pStyle w:val="13"/>
        <w:ind w:firstLineChars="500" w:firstLine="1200"/>
      </w:pPr>
      <w:r w:rsidRPr="00497C96">
        <w:rPr>
          <w:i/>
          <w:iCs/>
        </w:rPr>
        <w:t>P</w:t>
      </w:r>
      <w:r>
        <w:t>—出让宗地单位面积地价；</w:t>
      </w:r>
    </w:p>
    <w:p w14:paraId="0110F324" w14:textId="77777777" w:rsidR="00495C65" w:rsidRDefault="00495C65" w:rsidP="00495C65">
      <w:pPr>
        <w:pStyle w:val="13"/>
        <w:ind w:firstLineChars="500" w:firstLine="1200"/>
      </w:pPr>
      <w:r w:rsidRPr="00497C96">
        <w:rPr>
          <w:i/>
          <w:iCs/>
        </w:rPr>
        <w:t>P</w:t>
      </w:r>
      <w:r w:rsidRPr="00497C96">
        <w:rPr>
          <w:i/>
          <w:iCs/>
          <w:vertAlign w:val="subscript"/>
        </w:rPr>
        <w:t>T</w:t>
      </w:r>
      <w:r>
        <w:t>—出让宗地总地价（含实物地租折价）；</w:t>
      </w:r>
    </w:p>
    <w:p w14:paraId="024C51B2" w14:textId="77777777" w:rsidR="00495C65" w:rsidRDefault="00495C65" w:rsidP="00495C65">
      <w:pPr>
        <w:pStyle w:val="13"/>
        <w:ind w:firstLineChars="500" w:firstLine="1200"/>
      </w:pPr>
      <w:r w:rsidRPr="00497C96">
        <w:rPr>
          <w:i/>
          <w:iCs/>
        </w:rPr>
        <w:t>s</w:t>
      </w:r>
      <w:r>
        <w:t>—出让宗地总面积。</w:t>
      </w:r>
    </w:p>
    <w:p w14:paraId="44E6D42F" w14:textId="77777777" w:rsidR="00495C65" w:rsidRDefault="00495C65" w:rsidP="00495C65">
      <w:pPr>
        <w:pStyle w:val="13"/>
      </w:pPr>
      <w:r w:rsidRPr="00D322A0">
        <w:t>7.5.2.</w:t>
      </w:r>
      <w:r>
        <w:t>2</w:t>
      </w:r>
      <w:r>
        <w:rPr>
          <w:rFonts w:hint="eastAsia"/>
        </w:rPr>
        <w:t>利用土地使用权转让资料计算地价</w:t>
      </w:r>
    </w:p>
    <w:p w14:paraId="6666EF17" w14:textId="77777777" w:rsidR="00495C65" w:rsidRDefault="00495C65" w:rsidP="00495C65">
      <w:pPr>
        <w:pStyle w:val="13"/>
      </w:pPr>
      <w:r>
        <w:rPr>
          <w:rFonts w:hint="eastAsia"/>
        </w:rPr>
        <w:t>用土地转让方取得的资金或实物折价作为土地转让总地价，按（</w:t>
      </w:r>
      <w:r>
        <w:t>28）式计算地价：</w:t>
      </w:r>
    </w:p>
    <w:p w14:paraId="15EF390C" w14:textId="77777777" w:rsidR="00495C65" w:rsidRPr="00D322A0" w:rsidRDefault="00495C65" w:rsidP="00495C65">
      <w:pPr>
        <w:spacing w:before="197"/>
        <w:ind w:left="3473"/>
        <w:rPr>
          <w:rFonts w:ascii="宋体" w:hAnsi="宋体"/>
          <w:i/>
          <w:position w:val="1"/>
          <w:sz w:val="24"/>
        </w:rPr>
      </w:pPr>
      <w:r w:rsidRPr="00D322A0">
        <w:rPr>
          <w:rFonts w:ascii="宋体" w:hAnsi="宋体"/>
          <w:i/>
          <w:position w:val="1"/>
          <w:sz w:val="24"/>
        </w:rPr>
        <w:t>P=P</w:t>
      </w:r>
      <w:r w:rsidRPr="00BE0B15">
        <w:rPr>
          <w:rFonts w:ascii="宋体" w:hAnsi="宋体"/>
          <w:i/>
          <w:position w:val="1"/>
          <w:sz w:val="24"/>
          <w:vertAlign w:val="subscript"/>
        </w:rPr>
        <w:t>T</w:t>
      </w:r>
      <w:r w:rsidRPr="00D322A0">
        <w:rPr>
          <w:rFonts w:ascii="宋体" w:hAnsi="宋体"/>
          <w:i/>
          <w:position w:val="1"/>
          <w:sz w:val="24"/>
        </w:rPr>
        <w:t>/s</w:t>
      </w:r>
      <w:r w:rsidRPr="00D322A0">
        <w:rPr>
          <w:rFonts w:ascii="宋体" w:hAnsi="宋体"/>
          <w:i/>
          <w:position w:val="1"/>
          <w:sz w:val="24"/>
        </w:rPr>
        <w:tab/>
      </w:r>
      <w:r>
        <w:rPr>
          <w:rFonts w:ascii="宋体" w:hAnsi="宋体"/>
          <w:i/>
          <w:position w:val="1"/>
          <w:sz w:val="24"/>
        </w:rPr>
        <w:t xml:space="preserve">                                 </w:t>
      </w:r>
      <w:r w:rsidRPr="00D322A0">
        <w:rPr>
          <w:rFonts w:ascii="宋体" w:hAnsi="宋体"/>
          <w:iCs/>
          <w:position w:val="1"/>
          <w:sz w:val="24"/>
        </w:rPr>
        <w:t>（28）</w:t>
      </w:r>
    </w:p>
    <w:p w14:paraId="156C4639" w14:textId="77777777" w:rsidR="00495C65" w:rsidRDefault="00495C65" w:rsidP="00495C65">
      <w:pPr>
        <w:pStyle w:val="13"/>
      </w:pPr>
      <w:r>
        <w:rPr>
          <w:rFonts w:hint="eastAsia"/>
        </w:rPr>
        <w:t>式中：</w:t>
      </w:r>
    </w:p>
    <w:p w14:paraId="75CEA968" w14:textId="77777777" w:rsidR="00495C65" w:rsidRDefault="00495C65" w:rsidP="00495C65">
      <w:pPr>
        <w:pStyle w:val="13"/>
        <w:ind w:firstLineChars="500" w:firstLine="1200"/>
      </w:pPr>
      <w:r w:rsidRPr="00953E9E">
        <w:rPr>
          <w:i/>
          <w:iCs/>
        </w:rPr>
        <w:t>P</w:t>
      </w:r>
      <w:r>
        <w:t>—转让宗地单位面积地价；</w:t>
      </w:r>
    </w:p>
    <w:p w14:paraId="1445FD89" w14:textId="77777777" w:rsidR="00495C65" w:rsidRDefault="00495C65" w:rsidP="00495C65">
      <w:pPr>
        <w:pStyle w:val="13"/>
        <w:ind w:firstLineChars="500" w:firstLine="1200"/>
      </w:pPr>
      <w:r w:rsidRPr="00953E9E">
        <w:rPr>
          <w:i/>
          <w:iCs/>
        </w:rPr>
        <w:t>P</w:t>
      </w:r>
      <w:r w:rsidRPr="00953E9E">
        <w:rPr>
          <w:i/>
          <w:iCs/>
          <w:vertAlign w:val="subscript"/>
        </w:rPr>
        <w:t>T</w:t>
      </w:r>
      <w:r>
        <w:t>—土地转让方获取的资金或实物现值；</w:t>
      </w:r>
    </w:p>
    <w:p w14:paraId="5C1C22E5" w14:textId="77777777" w:rsidR="00495C65" w:rsidRDefault="00495C65" w:rsidP="00495C65">
      <w:pPr>
        <w:pStyle w:val="13"/>
        <w:ind w:firstLineChars="500" w:firstLine="1200"/>
      </w:pPr>
      <w:r w:rsidRPr="00953E9E">
        <w:rPr>
          <w:i/>
          <w:iCs/>
        </w:rPr>
        <w:t>s</w:t>
      </w:r>
      <w:r>
        <w:t>—转让宗地总面积</w:t>
      </w:r>
    </w:p>
    <w:p w14:paraId="3E7398E3" w14:textId="77777777" w:rsidR="00495C65" w:rsidRDefault="00495C65" w:rsidP="00495C65">
      <w:pPr>
        <w:pStyle w:val="13"/>
      </w:pPr>
      <w:r w:rsidRPr="006F68B1">
        <w:t>7.5.2.</w:t>
      </w:r>
      <w:r>
        <w:t>3</w:t>
      </w:r>
      <w:r>
        <w:rPr>
          <w:rFonts w:hint="eastAsia"/>
        </w:rPr>
        <w:t>利用土地使用权出租资料计算地价</w:t>
      </w:r>
    </w:p>
    <w:p w14:paraId="73BD134E" w14:textId="77777777" w:rsidR="00495C65" w:rsidRDefault="00495C65" w:rsidP="00495C65">
      <w:pPr>
        <w:pStyle w:val="13"/>
      </w:pPr>
      <w:r>
        <w:rPr>
          <w:rFonts w:hint="eastAsia"/>
        </w:rPr>
        <w:t>土地使用权出租租金以实际签订出租合同中的租金为标准，按式（</w:t>
      </w:r>
      <w:r>
        <w:t>29）计算地价：</w:t>
      </w:r>
    </w:p>
    <w:p w14:paraId="379A852F" w14:textId="77777777" w:rsidR="00495C65" w:rsidRPr="006F68B1" w:rsidRDefault="00495C65" w:rsidP="00495C65">
      <w:pPr>
        <w:spacing w:before="197"/>
        <w:ind w:left="3473"/>
        <w:rPr>
          <w:rFonts w:ascii="宋体" w:hAnsi="宋体"/>
          <w:i/>
          <w:position w:val="1"/>
          <w:sz w:val="24"/>
        </w:rPr>
      </w:pPr>
      <w:r w:rsidRPr="006F68B1">
        <w:rPr>
          <w:rFonts w:ascii="宋体" w:hAnsi="宋体"/>
          <w:i/>
          <w:position w:val="1"/>
          <w:sz w:val="24"/>
        </w:rPr>
        <w:t xml:space="preserve">P=（R/s）×（1/r）               </w:t>
      </w:r>
      <w:r>
        <w:rPr>
          <w:rFonts w:ascii="宋体" w:hAnsi="宋体"/>
          <w:i/>
          <w:position w:val="1"/>
          <w:sz w:val="24"/>
        </w:rPr>
        <w:t xml:space="preserve">   </w:t>
      </w:r>
      <w:r w:rsidRPr="006F68B1">
        <w:rPr>
          <w:rFonts w:ascii="宋体" w:hAnsi="宋体"/>
          <w:i/>
          <w:position w:val="1"/>
          <w:sz w:val="24"/>
        </w:rPr>
        <w:t xml:space="preserve">       </w:t>
      </w:r>
      <w:r w:rsidRPr="006F68B1">
        <w:rPr>
          <w:rFonts w:ascii="宋体" w:hAnsi="宋体"/>
          <w:iCs/>
          <w:position w:val="1"/>
          <w:sz w:val="24"/>
        </w:rPr>
        <w:t xml:space="preserve"> （29）</w:t>
      </w:r>
    </w:p>
    <w:p w14:paraId="3DF41AA4" w14:textId="77777777" w:rsidR="00495C65" w:rsidRDefault="00495C65" w:rsidP="00495C65">
      <w:pPr>
        <w:pStyle w:val="13"/>
      </w:pPr>
      <w:r>
        <w:rPr>
          <w:rFonts w:hint="eastAsia"/>
        </w:rPr>
        <w:t>式中：</w:t>
      </w:r>
    </w:p>
    <w:p w14:paraId="58AED2C1" w14:textId="77777777" w:rsidR="00495C65" w:rsidRDefault="00495C65" w:rsidP="00495C65">
      <w:pPr>
        <w:pStyle w:val="13"/>
        <w:ind w:firstLineChars="500" w:firstLine="1200"/>
      </w:pPr>
      <w:r w:rsidRPr="00177E35">
        <w:rPr>
          <w:i/>
          <w:iCs/>
        </w:rPr>
        <w:t>P</w:t>
      </w:r>
      <w:r>
        <w:t>—出租宗地单位面积地价；</w:t>
      </w:r>
    </w:p>
    <w:p w14:paraId="45D81366" w14:textId="77777777" w:rsidR="00495C65" w:rsidRDefault="00495C65" w:rsidP="00495C65">
      <w:pPr>
        <w:pStyle w:val="13"/>
        <w:ind w:firstLineChars="500" w:firstLine="1200"/>
      </w:pPr>
      <w:r w:rsidRPr="00177E35">
        <w:rPr>
          <w:i/>
          <w:iCs/>
        </w:rPr>
        <w:t>R</w:t>
      </w:r>
      <w:proofErr w:type="gramStart"/>
      <w:r>
        <w:t>—出租方</w:t>
      </w:r>
      <w:proofErr w:type="gramEnd"/>
      <w:r>
        <w:t>每年得到的资金或实物现值；</w:t>
      </w:r>
    </w:p>
    <w:p w14:paraId="0D6D0F5E" w14:textId="77777777" w:rsidR="00495C65" w:rsidRDefault="00495C65" w:rsidP="00495C65">
      <w:pPr>
        <w:pStyle w:val="13"/>
        <w:ind w:firstLineChars="500" w:firstLine="1200"/>
      </w:pPr>
      <w:r w:rsidRPr="00177E35">
        <w:rPr>
          <w:i/>
          <w:iCs/>
        </w:rPr>
        <w:t>S</w:t>
      </w:r>
      <w:r>
        <w:t>—出租的宗地面积；</w:t>
      </w:r>
    </w:p>
    <w:p w14:paraId="2BF33E6D" w14:textId="77777777" w:rsidR="00495C65" w:rsidRDefault="00495C65" w:rsidP="00495C65">
      <w:pPr>
        <w:pStyle w:val="13"/>
        <w:ind w:firstLineChars="500" w:firstLine="1200"/>
      </w:pPr>
      <w:r w:rsidRPr="00177E35">
        <w:rPr>
          <w:i/>
          <w:iCs/>
        </w:rPr>
        <w:t>r</w:t>
      </w:r>
      <w:proofErr w:type="gramStart"/>
      <w:r>
        <w:t>—土地</w:t>
      </w:r>
      <w:proofErr w:type="gramEnd"/>
      <w:r>
        <w:t>还原利率。</w:t>
      </w:r>
    </w:p>
    <w:p w14:paraId="2DAE94B2" w14:textId="77777777" w:rsidR="00495C65" w:rsidRDefault="00495C65" w:rsidP="00495C65">
      <w:pPr>
        <w:pStyle w:val="13"/>
      </w:pPr>
      <w:r w:rsidRPr="0097126C">
        <w:t>7.5.2.</w:t>
      </w:r>
      <w:r>
        <w:t>4</w:t>
      </w:r>
      <w:r>
        <w:rPr>
          <w:rFonts w:hint="eastAsia"/>
        </w:rPr>
        <w:t>利用房地出租资料计算地价</w:t>
      </w:r>
    </w:p>
    <w:p w14:paraId="1D8B33E1" w14:textId="77777777" w:rsidR="00495C65" w:rsidRDefault="00495C65" w:rsidP="00495C65">
      <w:pPr>
        <w:pStyle w:val="13"/>
      </w:pPr>
      <w:r>
        <w:rPr>
          <w:rFonts w:hint="eastAsia"/>
        </w:rPr>
        <w:t>见</w:t>
      </w:r>
      <w:r>
        <w:t>6.2。</w:t>
      </w:r>
    </w:p>
    <w:p w14:paraId="0051EF99" w14:textId="77777777" w:rsidR="00495C65" w:rsidRDefault="00495C65" w:rsidP="00495C65">
      <w:pPr>
        <w:pStyle w:val="13"/>
      </w:pPr>
      <w:r w:rsidRPr="0097126C">
        <w:t>7.5.2.</w:t>
      </w:r>
      <w:r>
        <w:t>5</w:t>
      </w:r>
      <w:r>
        <w:rPr>
          <w:rFonts w:hint="eastAsia"/>
        </w:rPr>
        <w:t>用土地联营入股资料计算地价</w:t>
      </w:r>
    </w:p>
    <w:p w14:paraId="62615E2D" w14:textId="77777777" w:rsidR="00495C65" w:rsidRDefault="00495C65" w:rsidP="00495C65">
      <w:pPr>
        <w:pStyle w:val="13"/>
      </w:pPr>
      <w:r>
        <w:rPr>
          <w:rFonts w:hint="eastAsia"/>
        </w:rPr>
        <w:t>根据合同内容或双方的实际经营情况，按土地的年收益或入股比例，分别计算地价。</w:t>
      </w:r>
    </w:p>
    <w:p w14:paraId="4C66DAE3" w14:textId="77777777" w:rsidR="00495C65" w:rsidRDefault="00495C65" w:rsidP="00495C65">
      <w:pPr>
        <w:pStyle w:val="13"/>
      </w:pPr>
      <w:r>
        <w:rPr>
          <w:rFonts w:hint="eastAsia"/>
        </w:rPr>
        <w:t>（1）用土地入股取得的年收益，按式（</w:t>
      </w:r>
      <w:r>
        <w:t>30）计算地价：</w:t>
      </w:r>
    </w:p>
    <w:p w14:paraId="20E805F7" w14:textId="77777777" w:rsidR="00495C65" w:rsidRDefault="00495C65" w:rsidP="00495C65">
      <w:pPr>
        <w:spacing w:before="197"/>
        <w:ind w:left="3473"/>
        <w:rPr>
          <w:rFonts w:ascii="宋体" w:hAnsi="宋体"/>
          <w:iCs/>
          <w:position w:val="1"/>
          <w:sz w:val="24"/>
        </w:rPr>
      </w:pPr>
      <w:r w:rsidRPr="006D5C88">
        <w:rPr>
          <w:rFonts w:ascii="宋体" w:hAnsi="宋体"/>
          <w:i/>
          <w:position w:val="1"/>
          <w:sz w:val="24"/>
        </w:rPr>
        <w:t>P=（R/s）×（1/r）</w:t>
      </w:r>
      <w:r>
        <w:rPr>
          <w:rFonts w:ascii="宋体" w:hAnsi="宋体"/>
          <w:i/>
          <w:position w:val="1"/>
          <w:sz w:val="24"/>
        </w:rPr>
        <w:t xml:space="preserve">                          </w:t>
      </w:r>
      <w:r w:rsidRPr="006D5C88">
        <w:rPr>
          <w:rFonts w:ascii="宋体" w:hAnsi="宋体"/>
          <w:iCs/>
          <w:position w:val="1"/>
          <w:sz w:val="24"/>
        </w:rPr>
        <w:t>（30）</w:t>
      </w:r>
    </w:p>
    <w:p w14:paraId="0039A3DC" w14:textId="77777777" w:rsidR="00495C65" w:rsidRDefault="00495C65" w:rsidP="00495C65">
      <w:pPr>
        <w:pStyle w:val="13"/>
      </w:pPr>
      <w:r w:rsidRPr="00464554">
        <w:rPr>
          <w:rFonts w:hint="eastAsia"/>
        </w:rPr>
        <w:t>式中：</w:t>
      </w:r>
    </w:p>
    <w:p w14:paraId="3E4FDB34" w14:textId="77777777" w:rsidR="00495C65" w:rsidRDefault="00495C65" w:rsidP="00495C65">
      <w:pPr>
        <w:pStyle w:val="13"/>
        <w:ind w:firstLineChars="500" w:firstLine="1200"/>
      </w:pPr>
      <w:r w:rsidRPr="00464554">
        <w:rPr>
          <w:i/>
          <w:iCs/>
        </w:rPr>
        <w:t>P</w:t>
      </w:r>
      <w:r>
        <w:t>—联营土地单位面积地价；</w:t>
      </w:r>
    </w:p>
    <w:p w14:paraId="18994125" w14:textId="77777777" w:rsidR="00495C65" w:rsidRDefault="00495C65" w:rsidP="00495C65">
      <w:pPr>
        <w:pStyle w:val="13"/>
        <w:ind w:firstLineChars="500" w:firstLine="1200"/>
      </w:pPr>
      <w:r w:rsidRPr="00464554">
        <w:rPr>
          <w:i/>
          <w:iCs/>
        </w:rPr>
        <w:lastRenderedPageBreak/>
        <w:t>R</w:t>
      </w:r>
      <w:proofErr w:type="gramStart"/>
      <w:r>
        <w:t>—土地股每年</w:t>
      </w:r>
      <w:proofErr w:type="gramEnd"/>
      <w:r>
        <w:t>分享的利润或股息；</w:t>
      </w:r>
    </w:p>
    <w:p w14:paraId="4A64F5D8" w14:textId="77777777" w:rsidR="00495C65" w:rsidRDefault="00495C65" w:rsidP="00495C65">
      <w:pPr>
        <w:pStyle w:val="13"/>
        <w:ind w:firstLineChars="500" w:firstLine="1200"/>
      </w:pPr>
      <w:r w:rsidRPr="00464554">
        <w:rPr>
          <w:i/>
          <w:iCs/>
        </w:rPr>
        <w:t>S</w:t>
      </w:r>
      <w:r>
        <w:t>—联营土地面积；</w:t>
      </w:r>
    </w:p>
    <w:p w14:paraId="1E382B4C" w14:textId="77777777" w:rsidR="00495C65" w:rsidRDefault="00495C65" w:rsidP="00495C65">
      <w:pPr>
        <w:pStyle w:val="13"/>
        <w:ind w:firstLineChars="500" w:firstLine="1200"/>
      </w:pPr>
      <w:r w:rsidRPr="00464554">
        <w:rPr>
          <w:i/>
          <w:iCs/>
        </w:rPr>
        <w:t>r</w:t>
      </w:r>
      <w:proofErr w:type="gramStart"/>
      <w:r>
        <w:t>—土地</w:t>
      </w:r>
      <w:proofErr w:type="gramEnd"/>
      <w:r>
        <w:t>还原利率。</w:t>
      </w:r>
    </w:p>
    <w:p w14:paraId="6BE1D58D" w14:textId="77777777" w:rsidR="00495C65" w:rsidRDefault="00495C65" w:rsidP="00495C65">
      <w:pPr>
        <w:pStyle w:val="13"/>
      </w:pPr>
      <w:r>
        <w:rPr>
          <w:rFonts w:hint="eastAsia"/>
        </w:rPr>
        <w:t>（2）用合同规定的资本投入情况和分成比例，按式（</w:t>
      </w:r>
      <w:r>
        <w:t>31）计算地价：</w:t>
      </w:r>
    </w:p>
    <w:p w14:paraId="51CA8559" w14:textId="77777777" w:rsidR="00495C65" w:rsidRPr="003903FD" w:rsidRDefault="00495C65" w:rsidP="00495C65">
      <w:pPr>
        <w:spacing w:before="197"/>
        <w:ind w:left="3473"/>
        <w:rPr>
          <w:rFonts w:ascii="宋体" w:hAnsi="宋体"/>
          <w:iCs/>
          <w:position w:val="1"/>
          <w:sz w:val="24"/>
        </w:rPr>
      </w:pPr>
      <w:r w:rsidRPr="003903FD">
        <w:rPr>
          <w:rFonts w:ascii="宋体" w:hAnsi="宋体"/>
          <w:i/>
          <w:position w:val="1"/>
          <w:sz w:val="24"/>
        </w:rPr>
        <w:t>P=C</w:t>
      </w:r>
      <w:r w:rsidRPr="003903FD">
        <w:rPr>
          <w:rFonts w:ascii="宋体" w:hAnsi="宋体"/>
          <w:i/>
          <w:position w:val="1"/>
          <w:sz w:val="24"/>
          <w:vertAlign w:val="subscript"/>
        </w:rPr>
        <w:t>g</w:t>
      </w:r>
      <w:r w:rsidRPr="003903FD">
        <w:rPr>
          <w:rFonts w:ascii="宋体" w:hAnsi="宋体"/>
          <w:i/>
          <w:position w:val="1"/>
          <w:sz w:val="24"/>
        </w:rPr>
        <w:t>×（r</w:t>
      </w:r>
      <w:r w:rsidRPr="003903FD">
        <w:rPr>
          <w:rFonts w:ascii="宋体" w:hAnsi="宋体"/>
          <w:i/>
          <w:position w:val="1"/>
          <w:sz w:val="24"/>
          <w:vertAlign w:val="subscript"/>
        </w:rPr>
        <w:t>e</w:t>
      </w:r>
      <w:r w:rsidRPr="003903FD">
        <w:rPr>
          <w:rFonts w:ascii="宋体" w:hAnsi="宋体"/>
          <w:i/>
          <w:position w:val="1"/>
          <w:sz w:val="24"/>
        </w:rPr>
        <w:t>/</w:t>
      </w:r>
      <w:proofErr w:type="spellStart"/>
      <w:r w:rsidRPr="003903FD">
        <w:rPr>
          <w:rFonts w:ascii="宋体" w:hAnsi="宋体"/>
          <w:i/>
          <w:position w:val="1"/>
          <w:sz w:val="24"/>
        </w:rPr>
        <w:t>r</w:t>
      </w:r>
      <w:r w:rsidRPr="003903FD">
        <w:rPr>
          <w:rFonts w:ascii="宋体" w:hAnsi="宋体"/>
          <w:i/>
          <w:position w:val="1"/>
          <w:sz w:val="24"/>
          <w:vertAlign w:val="subscript"/>
        </w:rPr>
        <w:t>c</w:t>
      </w:r>
      <w:proofErr w:type="spellEnd"/>
      <w:r w:rsidRPr="003903FD">
        <w:rPr>
          <w:rFonts w:ascii="宋体" w:hAnsi="宋体"/>
          <w:i/>
          <w:position w:val="1"/>
          <w:sz w:val="24"/>
        </w:rPr>
        <w:t>）×（1/s）</w:t>
      </w:r>
      <w:r>
        <w:rPr>
          <w:rFonts w:ascii="宋体" w:hAnsi="宋体"/>
          <w:i/>
          <w:position w:val="1"/>
          <w:sz w:val="24"/>
        </w:rPr>
        <w:t xml:space="preserve">                      </w:t>
      </w:r>
      <w:r w:rsidRPr="003903FD">
        <w:rPr>
          <w:rFonts w:ascii="宋体" w:hAnsi="宋体"/>
          <w:iCs/>
          <w:position w:val="1"/>
          <w:sz w:val="24"/>
        </w:rPr>
        <w:t>（31）</w:t>
      </w:r>
    </w:p>
    <w:p w14:paraId="616A7C60" w14:textId="77777777" w:rsidR="00495C65" w:rsidRDefault="00495C65" w:rsidP="00495C65">
      <w:pPr>
        <w:pStyle w:val="13"/>
      </w:pPr>
      <w:r>
        <w:rPr>
          <w:rFonts w:hint="eastAsia"/>
        </w:rPr>
        <w:t>式中：</w:t>
      </w:r>
    </w:p>
    <w:p w14:paraId="4D324EEF" w14:textId="77777777" w:rsidR="00495C65" w:rsidRDefault="00495C65" w:rsidP="00495C65">
      <w:pPr>
        <w:pStyle w:val="13"/>
        <w:ind w:firstLineChars="500" w:firstLine="1200"/>
      </w:pPr>
      <w:r w:rsidRPr="004C2FDA">
        <w:rPr>
          <w:i/>
          <w:iCs/>
        </w:rPr>
        <w:t>P</w:t>
      </w:r>
      <w:r>
        <w:t>—联营土地单位面积地价；</w:t>
      </w:r>
    </w:p>
    <w:p w14:paraId="1E0AFB6C" w14:textId="77777777" w:rsidR="00495C65" w:rsidRDefault="00495C65" w:rsidP="00495C65">
      <w:pPr>
        <w:pStyle w:val="13"/>
        <w:ind w:firstLineChars="500" w:firstLine="1200"/>
      </w:pPr>
      <w:r w:rsidRPr="004C2FDA">
        <w:rPr>
          <w:i/>
          <w:iCs/>
        </w:rPr>
        <w:t>C</w:t>
      </w:r>
      <w:r w:rsidRPr="004C2FDA">
        <w:rPr>
          <w:i/>
          <w:iCs/>
          <w:vertAlign w:val="subscript"/>
        </w:rPr>
        <w:t>g</w:t>
      </w:r>
      <w:proofErr w:type="gramStart"/>
      <w:r>
        <w:t>—出资方</w:t>
      </w:r>
      <w:proofErr w:type="gramEnd"/>
      <w:r>
        <w:t>的资本总量；</w:t>
      </w:r>
    </w:p>
    <w:p w14:paraId="265C147C" w14:textId="77777777" w:rsidR="00495C65" w:rsidRDefault="00495C65" w:rsidP="00495C65">
      <w:pPr>
        <w:pStyle w:val="13"/>
        <w:ind w:firstLineChars="500" w:firstLine="1200"/>
      </w:pPr>
      <w:r w:rsidRPr="004C2FDA">
        <w:rPr>
          <w:i/>
          <w:iCs/>
        </w:rPr>
        <w:t>r</w:t>
      </w:r>
      <w:r w:rsidRPr="004C2FDA">
        <w:rPr>
          <w:i/>
          <w:iCs/>
          <w:vertAlign w:val="subscript"/>
        </w:rPr>
        <w:t>e</w:t>
      </w:r>
      <w:proofErr w:type="gramStart"/>
      <w:r>
        <w:t>—出地方</w:t>
      </w:r>
      <w:proofErr w:type="gramEnd"/>
      <w:r>
        <w:t>利润分成量；</w:t>
      </w:r>
    </w:p>
    <w:p w14:paraId="358AA001" w14:textId="77777777" w:rsidR="00495C65" w:rsidRDefault="00495C65" w:rsidP="00495C65">
      <w:pPr>
        <w:pStyle w:val="13"/>
        <w:ind w:firstLineChars="500" w:firstLine="1200"/>
      </w:pPr>
      <w:proofErr w:type="spellStart"/>
      <w:r w:rsidRPr="004C2FDA">
        <w:rPr>
          <w:i/>
          <w:iCs/>
        </w:rPr>
        <w:t>r</w:t>
      </w:r>
      <w:r w:rsidRPr="004C2FDA">
        <w:rPr>
          <w:i/>
          <w:iCs/>
          <w:vertAlign w:val="subscript"/>
        </w:rPr>
        <w:t>c</w:t>
      </w:r>
      <w:proofErr w:type="spellEnd"/>
      <w:proofErr w:type="gramStart"/>
      <w:r>
        <w:t>—出资方</w:t>
      </w:r>
      <w:proofErr w:type="gramEnd"/>
      <w:r>
        <w:t>利润分成量；</w:t>
      </w:r>
    </w:p>
    <w:p w14:paraId="222920BB" w14:textId="77777777" w:rsidR="00495C65" w:rsidRDefault="00495C65" w:rsidP="00495C65">
      <w:pPr>
        <w:pStyle w:val="13"/>
        <w:ind w:firstLineChars="500" w:firstLine="1200"/>
      </w:pPr>
      <w:r w:rsidRPr="004C2FDA">
        <w:rPr>
          <w:i/>
          <w:iCs/>
        </w:rPr>
        <w:t>s</w:t>
      </w:r>
      <w:r>
        <w:t>—联营土地面积。</w:t>
      </w:r>
    </w:p>
    <w:p w14:paraId="1ED95BA9" w14:textId="77777777" w:rsidR="00495C65" w:rsidRDefault="00495C65" w:rsidP="00495C65">
      <w:pPr>
        <w:pStyle w:val="13"/>
      </w:pPr>
      <w:r>
        <w:rPr>
          <w:rFonts w:hint="eastAsia"/>
        </w:rPr>
        <w:t>7</w:t>
      </w:r>
      <w:r>
        <w:t>.5.2.6</w:t>
      </w:r>
      <w:proofErr w:type="gramStart"/>
      <w:r>
        <w:rPr>
          <w:rFonts w:hint="eastAsia"/>
        </w:rPr>
        <w:t>用以地</w:t>
      </w:r>
      <w:proofErr w:type="gramEnd"/>
      <w:r>
        <w:rPr>
          <w:rFonts w:hint="eastAsia"/>
        </w:rPr>
        <w:t>换房资料计算地价</w:t>
      </w:r>
    </w:p>
    <w:p w14:paraId="139E1EF1" w14:textId="77777777" w:rsidR="00495C65" w:rsidRDefault="00495C65" w:rsidP="00495C65">
      <w:pPr>
        <w:pStyle w:val="13"/>
      </w:pPr>
      <w:r>
        <w:rPr>
          <w:rFonts w:hint="eastAsia"/>
        </w:rPr>
        <w:t>用出地方取得房地产的市场价格作为让出土地的总地价，按下式计算地价：</w:t>
      </w:r>
    </w:p>
    <w:p w14:paraId="3415AE09" w14:textId="77777777" w:rsidR="00495C65" w:rsidRPr="00ED358C" w:rsidRDefault="00495C65" w:rsidP="00495C65">
      <w:pPr>
        <w:spacing w:before="197"/>
        <w:ind w:left="3473"/>
        <w:rPr>
          <w:rFonts w:ascii="宋体" w:hAnsi="宋体"/>
          <w:i/>
          <w:position w:val="1"/>
          <w:sz w:val="24"/>
        </w:rPr>
      </w:pPr>
      <w:r w:rsidRPr="00ED358C">
        <w:rPr>
          <w:rFonts w:ascii="宋体" w:hAnsi="宋体"/>
          <w:i/>
          <w:position w:val="1"/>
          <w:sz w:val="24"/>
        </w:rPr>
        <w:t>P=（</w:t>
      </w:r>
      <w:proofErr w:type="spellStart"/>
      <w:r w:rsidRPr="00ED358C">
        <w:rPr>
          <w:rFonts w:ascii="宋体" w:hAnsi="宋体"/>
          <w:i/>
          <w:position w:val="1"/>
          <w:sz w:val="24"/>
        </w:rPr>
        <w:t>S</w:t>
      </w:r>
      <w:r w:rsidRPr="00ED358C">
        <w:rPr>
          <w:rFonts w:ascii="宋体" w:hAnsi="宋体"/>
          <w:i/>
          <w:position w:val="1"/>
          <w:sz w:val="24"/>
          <w:vertAlign w:val="subscript"/>
        </w:rPr>
        <w:t>tb</w:t>
      </w:r>
      <w:r w:rsidRPr="00ED358C">
        <w:rPr>
          <w:rFonts w:ascii="宋体" w:hAnsi="宋体"/>
          <w:i/>
          <w:position w:val="1"/>
          <w:sz w:val="24"/>
        </w:rPr>
        <w:t>×P</w:t>
      </w:r>
      <w:r w:rsidRPr="00ED358C">
        <w:rPr>
          <w:rFonts w:ascii="宋体" w:hAnsi="宋体"/>
          <w:i/>
          <w:position w:val="1"/>
          <w:sz w:val="24"/>
          <w:vertAlign w:val="subscript"/>
        </w:rPr>
        <w:t>bs</w:t>
      </w:r>
      <w:proofErr w:type="spellEnd"/>
      <w:r w:rsidRPr="00ED358C">
        <w:rPr>
          <w:rFonts w:ascii="宋体" w:hAnsi="宋体"/>
          <w:i/>
          <w:position w:val="1"/>
          <w:sz w:val="24"/>
        </w:rPr>
        <w:t>）/s</w:t>
      </w:r>
      <w:r>
        <w:rPr>
          <w:rFonts w:ascii="宋体" w:hAnsi="宋体"/>
          <w:i/>
          <w:position w:val="1"/>
          <w:sz w:val="24"/>
        </w:rPr>
        <w:t xml:space="preserve">                            </w:t>
      </w:r>
      <w:r w:rsidRPr="00ED358C">
        <w:rPr>
          <w:rFonts w:ascii="宋体" w:hAnsi="宋体"/>
          <w:iCs/>
          <w:position w:val="1"/>
          <w:sz w:val="24"/>
        </w:rPr>
        <w:t>（32）</w:t>
      </w:r>
    </w:p>
    <w:p w14:paraId="3EC268BC" w14:textId="77777777" w:rsidR="00495C65" w:rsidRDefault="00495C65" w:rsidP="00495C65">
      <w:pPr>
        <w:pStyle w:val="13"/>
      </w:pPr>
      <w:r>
        <w:rPr>
          <w:rFonts w:hint="eastAsia"/>
        </w:rPr>
        <w:t>式中：</w:t>
      </w:r>
    </w:p>
    <w:p w14:paraId="4338C97E" w14:textId="77777777" w:rsidR="00495C65" w:rsidRDefault="00495C65" w:rsidP="00495C65">
      <w:pPr>
        <w:pStyle w:val="13"/>
        <w:ind w:firstLineChars="500" w:firstLine="1200"/>
      </w:pPr>
      <w:r w:rsidRPr="00EF0F14">
        <w:rPr>
          <w:i/>
          <w:iCs/>
        </w:rPr>
        <w:t>P</w:t>
      </w:r>
      <w:proofErr w:type="gramStart"/>
      <w:r>
        <w:t>—土地</w:t>
      </w:r>
      <w:proofErr w:type="gramEnd"/>
      <w:r>
        <w:t>单位面积地价；</w:t>
      </w:r>
    </w:p>
    <w:p w14:paraId="7496AE67" w14:textId="77777777" w:rsidR="00495C65" w:rsidRDefault="00495C65" w:rsidP="00495C65">
      <w:pPr>
        <w:pStyle w:val="13"/>
        <w:ind w:firstLineChars="500" w:firstLine="1200"/>
      </w:pPr>
      <w:proofErr w:type="spellStart"/>
      <w:r w:rsidRPr="00EF0F14">
        <w:rPr>
          <w:i/>
          <w:iCs/>
        </w:rPr>
        <w:t>S</w:t>
      </w:r>
      <w:r w:rsidRPr="00EF0F14">
        <w:rPr>
          <w:i/>
          <w:iCs/>
          <w:vertAlign w:val="subscript"/>
        </w:rPr>
        <w:t>tb</w:t>
      </w:r>
      <w:proofErr w:type="spellEnd"/>
      <w:r>
        <w:t>—转让土地方获得的建筑面积；</w:t>
      </w:r>
    </w:p>
    <w:p w14:paraId="53AD9822" w14:textId="77777777" w:rsidR="00495C65" w:rsidRDefault="00495C65" w:rsidP="00495C65">
      <w:pPr>
        <w:pStyle w:val="13"/>
        <w:ind w:firstLineChars="500" w:firstLine="1200"/>
      </w:pPr>
      <w:r w:rsidRPr="00EF0F14">
        <w:rPr>
          <w:i/>
          <w:iCs/>
        </w:rPr>
        <w:t>P</w:t>
      </w:r>
      <w:r w:rsidRPr="00EF0F14">
        <w:rPr>
          <w:i/>
          <w:iCs/>
          <w:vertAlign w:val="subscript"/>
        </w:rPr>
        <w:t>bs</w:t>
      </w:r>
      <w:proofErr w:type="gramStart"/>
      <w:r>
        <w:t>—单位</w:t>
      </w:r>
      <w:proofErr w:type="gramEnd"/>
      <w:r>
        <w:t>建筑面积的平均售价；</w:t>
      </w:r>
    </w:p>
    <w:p w14:paraId="45B22DCA" w14:textId="77777777" w:rsidR="00495C65" w:rsidRDefault="00495C65" w:rsidP="00495C65">
      <w:pPr>
        <w:pStyle w:val="13"/>
        <w:ind w:firstLineChars="500" w:firstLine="1200"/>
      </w:pPr>
      <w:r w:rsidRPr="00EF0F14">
        <w:rPr>
          <w:i/>
          <w:iCs/>
        </w:rPr>
        <w:t>s</w:t>
      </w:r>
      <w:r>
        <w:t>—转让的土地面积。</w:t>
      </w:r>
    </w:p>
    <w:p w14:paraId="5F936543" w14:textId="77777777" w:rsidR="00495C65" w:rsidRDefault="00495C65" w:rsidP="00495C65">
      <w:pPr>
        <w:pStyle w:val="13"/>
      </w:pPr>
      <w:r>
        <w:rPr>
          <w:rFonts w:hint="eastAsia"/>
        </w:rPr>
        <w:t>7</w:t>
      </w:r>
      <w:r>
        <w:t>.5.2.7</w:t>
      </w:r>
      <w:r>
        <w:rPr>
          <w:rFonts w:hint="eastAsia"/>
        </w:rPr>
        <w:t>用柜台出租资料计算地价</w:t>
      </w:r>
    </w:p>
    <w:p w14:paraId="34A0B519" w14:textId="77777777" w:rsidR="00495C65" w:rsidRDefault="00495C65" w:rsidP="00495C65">
      <w:pPr>
        <w:pStyle w:val="13"/>
      </w:pPr>
      <w:r>
        <w:rPr>
          <w:rFonts w:hint="eastAsia"/>
        </w:rPr>
        <w:t>主要内容包括：</w:t>
      </w:r>
    </w:p>
    <w:p w14:paraId="1450604B" w14:textId="77777777" w:rsidR="00495C65" w:rsidRDefault="00495C65" w:rsidP="00495C65">
      <w:pPr>
        <w:pStyle w:val="13"/>
      </w:pPr>
      <w:r>
        <w:rPr>
          <w:rFonts w:hint="eastAsia"/>
        </w:rPr>
        <w:t>（1）商店运营总费用计算</w:t>
      </w:r>
    </w:p>
    <w:p w14:paraId="6A8AD969" w14:textId="77777777" w:rsidR="00495C65" w:rsidRDefault="00495C65" w:rsidP="00495C65">
      <w:pPr>
        <w:pStyle w:val="13"/>
      </w:pPr>
      <w:r>
        <w:rPr>
          <w:rFonts w:hint="eastAsia"/>
        </w:rPr>
        <w:t>根据商店建筑物特点，计算商店在一年经营中需支付的经营管理费、房屋建筑维修费、房屋保险费、水电热等运营费、与租房有关的各项税费等，作为商店运营总费用。</w:t>
      </w:r>
    </w:p>
    <w:p w14:paraId="6BC38BE0" w14:textId="77777777" w:rsidR="00495C65" w:rsidRDefault="00495C65" w:rsidP="00495C65">
      <w:pPr>
        <w:pStyle w:val="13"/>
      </w:pPr>
      <w:r w:rsidRPr="00F30184">
        <w:rPr>
          <w:rFonts w:hint="eastAsia"/>
        </w:rPr>
        <w:t>（</w:t>
      </w:r>
      <w:r>
        <w:t>2</w:t>
      </w:r>
      <w:r w:rsidRPr="00F30184">
        <w:t>）</w:t>
      </w:r>
      <w:r>
        <w:rPr>
          <w:rFonts w:hint="eastAsia"/>
        </w:rPr>
        <w:t>计算出租柜台应分摊费用</w:t>
      </w:r>
    </w:p>
    <w:p w14:paraId="47D9FE72" w14:textId="77777777" w:rsidR="00495C65" w:rsidRDefault="00495C65" w:rsidP="00495C65">
      <w:pPr>
        <w:pStyle w:val="13"/>
      </w:pPr>
      <w:r>
        <w:rPr>
          <w:rFonts w:hint="eastAsia"/>
        </w:rPr>
        <w:t>按出租柜台的营业面积与总营业面积的比例计算柜台分摊的费用和土地面积。</w:t>
      </w:r>
    </w:p>
    <w:p w14:paraId="11032ED0" w14:textId="77777777" w:rsidR="00495C65" w:rsidRDefault="00495C65" w:rsidP="00495C65">
      <w:pPr>
        <w:pStyle w:val="13"/>
      </w:pPr>
      <w:r>
        <w:rPr>
          <w:rFonts w:hint="eastAsia"/>
          <w:noProof/>
        </w:rPr>
        <w:drawing>
          <wp:anchor distT="0" distB="0" distL="114300" distR="114300" simplePos="0" relativeHeight="251661312" behindDoc="1" locked="0" layoutInCell="1" allowOverlap="1" wp14:anchorId="16BBDCC0" wp14:editId="4010647A">
            <wp:simplePos x="0" y="0"/>
            <wp:positionH relativeFrom="column">
              <wp:posOffset>1898650</wp:posOffset>
            </wp:positionH>
            <wp:positionV relativeFrom="paragraph">
              <wp:posOffset>227019</wp:posOffset>
            </wp:positionV>
            <wp:extent cx="2065571" cy="526212"/>
            <wp:effectExtent l="0" t="0" r="0" b="762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65571" cy="526212"/>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（3）计算地价【见式（</w:t>
      </w:r>
      <w:r>
        <w:t>33）】</w:t>
      </w:r>
    </w:p>
    <w:p w14:paraId="42279B68" w14:textId="77777777" w:rsidR="00495C65" w:rsidRDefault="00495C65" w:rsidP="00495C65">
      <w:pPr>
        <w:pStyle w:val="13"/>
      </w:pPr>
      <w:r w:rsidRPr="00323514">
        <w:t xml:space="preserve">                                                                （</w:t>
      </w:r>
      <w:r>
        <w:t>33</w:t>
      </w:r>
      <w:r w:rsidRPr="00323514">
        <w:t>）</w:t>
      </w:r>
    </w:p>
    <w:p w14:paraId="0481C751" w14:textId="77777777" w:rsidR="00495C65" w:rsidRDefault="00495C65" w:rsidP="00495C65">
      <w:pPr>
        <w:pStyle w:val="13"/>
      </w:pPr>
    </w:p>
    <w:p w14:paraId="01C81C70" w14:textId="77777777" w:rsidR="00495C65" w:rsidRDefault="00495C65" w:rsidP="00495C65">
      <w:pPr>
        <w:pStyle w:val="13"/>
      </w:pPr>
      <w:r w:rsidRPr="005408BC">
        <w:rPr>
          <w:rFonts w:hint="eastAsia"/>
        </w:rPr>
        <w:t>式中：</w:t>
      </w:r>
    </w:p>
    <w:p w14:paraId="74F79607" w14:textId="77777777" w:rsidR="00495C65" w:rsidRDefault="00495C65" w:rsidP="00495C65">
      <w:pPr>
        <w:pStyle w:val="13"/>
        <w:ind w:firstLineChars="500" w:firstLine="1200"/>
      </w:pPr>
      <w:r w:rsidRPr="002F4CE5">
        <w:rPr>
          <w:i/>
          <w:iCs/>
        </w:rPr>
        <w:t>P</w:t>
      </w:r>
      <w:r>
        <w:t>—出租柜台单位土地面积的地价；</w:t>
      </w:r>
    </w:p>
    <w:p w14:paraId="5943843A" w14:textId="77777777" w:rsidR="00495C65" w:rsidRDefault="00495C65" w:rsidP="00495C65">
      <w:pPr>
        <w:pStyle w:val="13"/>
        <w:ind w:firstLineChars="500" w:firstLine="1200"/>
      </w:pPr>
      <w:r w:rsidRPr="002F4CE5">
        <w:rPr>
          <w:i/>
          <w:iCs/>
        </w:rPr>
        <w:t>R</w:t>
      </w:r>
      <w:r>
        <w:t>—出租柜台年租金总收入；</w:t>
      </w:r>
    </w:p>
    <w:p w14:paraId="0E349564" w14:textId="77777777" w:rsidR="00495C65" w:rsidRDefault="00495C65" w:rsidP="00495C65">
      <w:pPr>
        <w:pStyle w:val="13"/>
        <w:ind w:firstLineChars="500" w:firstLine="1200"/>
      </w:pPr>
      <w:r w:rsidRPr="002F4CE5">
        <w:rPr>
          <w:i/>
          <w:iCs/>
        </w:rPr>
        <w:t>E</w:t>
      </w:r>
      <w:r>
        <w:t>—出租柜台所在商店的年经营总支出费用；</w:t>
      </w:r>
    </w:p>
    <w:p w14:paraId="1253DB86" w14:textId="77777777" w:rsidR="00495C65" w:rsidRDefault="00495C65" w:rsidP="00495C65">
      <w:pPr>
        <w:pStyle w:val="13"/>
        <w:ind w:firstLineChars="500" w:firstLine="1200"/>
      </w:pPr>
      <w:r w:rsidRPr="002F4CE5">
        <w:rPr>
          <w:i/>
          <w:iCs/>
        </w:rPr>
        <w:lastRenderedPageBreak/>
        <w:t>S</w:t>
      </w:r>
      <w:r w:rsidRPr="002F4CE5">
        <w:rPr>
          <w:i/>
          <w:iCs/>
          <w:vertAlign w:val="subscript"/>
        </w:rPr>
        <w:t>b1</w:t>
      </w:r>
      <w:r>
        <w:t>—出租柜台的营业面积；</w:t>
      </w:r>
    </w:p>
    <w:p w14:paraId="36194E04" w14:textId="77777777" w:rsidR="00495C65" w:rsidRDefault="00495C65" w:rsidP="00495C65">
      <w:pPr>
        <w:pStyle w:val="13"/>
        <w:ind w:firstLineChars="500" w:firstLine="1200"/>
      </w:pPr>
      <w:r w:rsidRPr="002F4CE5">
        <w:rPr>
          <w:i/>
          <w:iCs/>
        </w:rPr>
        <w:t>S</w:t>
      </w:r>
      <w:r w:rsidRPr="002F4CE5">
        <w:rPr>
          <w:i/>
          <w:iCs/>
          <w:vertAlign w:val="subscript"/>
        </w:rPr>
        <w:t>b</w:t>
      </w:r>
      <w:r>
        <w:t>—商店的总营业面积；</w:t>
      </w:r>
    </w:p>
    <w:p w14:paraId="03D2BAFC" w14:textId="77777777" w:rsidR="00495C65" w:rsidRDefault="00495C65" w:rsidP="00495C65">
      <w:pPr>
        <w:pStyle w:val="13"/>
        <w:ind w:firstLineChars="500" w:firstLine="1200"/>
      </w:pPr>
      <w:r w:rsidRPr="002F4CE5">
        <w:rPr>
          <w:i/>
          <w:iCs/>
        </w:rPr>
        <w:t>S</w:t>
      </w:r>
      <w:r>
        <w:t>—商店土地总面积；</w:t>
      </w:r>
    </w:p>
    <w:p w14:paraId="465C0C9E" w14:textId="77777777" w:rsidR="00495C65" w:rsidRDefault="00495C65" w:rsidP="00495C65">
      <w:pPr>
        <w:pStyle w:val="13"/>
        <w:ind w:firstLineChars="500" w:firstLine="1200"/>
      </w:pPr>
      <w:r w:rsidRPr="002F4CE5">
        <w:rPr>
          <w:i/>
          <w:iCs/>
        </w:rPr>
        <w:t>r</w:t>
      </w:r>
      <w:proofErr w:type="gramStart"/>
      <w:r>
        <w:t>—土地</w:t>
      </w:r>
      <w:proofErr w:type="gramEnd"/>
      <w:r>
        <w:t>还原利率。</w:t>
      </w:r>
    </w:p>
    <w:p w14:paraId="545CF6A5" w14:textId="77777777" w:rsidR="00495C65" w:rsidRDefault="00495C65" w:rsidP="00495C65">
      <w:pPr>
        <w:pStyle w:val="13"/>
      </w:pPr>
      <w:r w:rsidRPr="00EB46C8">
        <w:rPr>
          <w:rFonts w:hint="eastAsia"/>
        </w:rPr>
        <w:t>当出租柜台处在不同的楼层时，要考虑楼层修正系数。</w:t>
      </w:r>
    </w:p>
    <w:p w14:paraId="0D6EEB57" w14:textId="77777777" w:rsidR="00495C65" w:rsidRDefault="00495C65" w:rsidP="00495C65">
      <w:pPr>
        <w:pStyle w:val="13"/>
      </w:pPr>
      <w:r w:rsidRPr="00EB46C8">
        <w:t>7.5.2.8</w:t>
      </w:r>
      <w:r>
        <w:rPr>
          <w:rFonts w:hint="eastAsia"/>
        </w:rPr>
        <w:t>用房屋买卖资料计算地价</w:t>
      </w:r>
    </w:p>
    <w:p w14:paraId="73472273" w14:textId="77777777" w:rsidR="00495C65" w:rsidRDefault="00495C65" w:rsidP="00495C65">
      <w:pPr>
        <w:pStyle w:val="13"/>
      </w:pPr>
      <w:r>
        <w:rPr>
          <w:rFonts w:hint="eastAsia"/>
        </w:rPr>
        <w:t>用房屋买卖价格计算地价，参见</w:t>
      </w:r>
      <w:r>
        <w:t>6.3.1.1中公式。</w:t>
      </w:r>
    </w:p>
    <w:p w14:paraId="0B017850" w14:textId="77777777" w:rsidR="00495C65" w:rsidRDefault="00495C65" w:rsidP="00495C65">
      <w:pPr>
        <w:pStyle w:val="13"/>
      </w:pPr>
      <w:r w:rsidRPr="00EB46C8">
        <w:t>7.5.2.</w:t>
      </w:r>
      <w:r>
        <w:t>9</w:t>
      </w:r>
      <w:r>
        <w:rPr>
          <w:rFonts w:hint="eastAsia"/>
        </w:rPr>
        <w:t>用商品房出售资料计算地价</w:t>
      </w:r>
    </w:p>
    <w:p w14:paraId="52714325" w14:textId="77777777" w:rsidR="00495C65" w:rsidRDefault="00495C65" w:rsidP="00495C65">
      <w:pPr>
        <w:pStyle w:val="13"/>
      </w:pPr>
      <w:r>
        <w:rPr>
          <w:rFonts w:hint="eastAsia"/>
        </w:rPr>
        <w:t>按整幢楼的商品房总售价作为估算地价的标准，参照</w:t>
      </w:r>
      <w:r>
        <w:t>6.3.2.1中的公式（21）计算商品房买卖中的地价。</w:t>
      </w:r>
    </w:p>
    <w:p w14:paraId="5E29B11D" w14:textId="77777777" w:rsidR="00495C65" w:rsidRDefault="00495C65" w:rsidP="00495C65">
      <w:pPr>
        <w:pStyle w:val="13"/>
      </w:pPr>
      <w:r w:rsidRPr="00EB46C8">
        <w:t>7.5.2.</w:t>
      </w:r>
      <w:r>
        <w:t>10</w:t>
      </w:r>
      <w:r>
        <w:rPr>
          <w:rFonts w:hint="eastAsia"/>
        </w:rPr>
        <w:t>用新增城镇建设用地资料计算地价</w:t>
      </w:r>
    </w:p>
    <w:p w14:paraId="007C9B1A" w14:textId="77777777" w:rsidR="00495C65" w:rsidRDefault="00495C65" w:rsidP="00495C65">
      <w:pPr>
        <w:pStyle w:val="13"/>
      </w:pPr>
      <w:r>
        <w:rPr>
          <w:rFonts w:hint="eastAsia"/>
        </w:rPr>
        <w:t>参照</w:t>
      </w:r>
      <w:r>
        <w:t>6.4。</w:t>
      </w:r>
    </w:p>
    <w:p w14:paraId="4756E7B2" w14:textId="77777777" w:rsidR="00495C65" w:rsidRDefault="00495C65" w:rsidP="00495C65">
      <w:pPr>
        <w:pStyle w:val="13"/>
      </w:pPr>
      <w:r w:rsidRPr="00EB46C8">
        <w:t>7.5.2.</w:t>
      </w:r>
      <w:r>
        <w:t>11</w:t>
      </w:r>
      <w:r>
        <w:rPr>
          <w:rFonts w:hint="eastAsia"/>
        </w:rPr>
        <w:t>用联建分成资料计算地价</w:t>
      </w:r>
    </w:p>
    <w:p w14:paraId="6C037ACB" w14:textId="77777777" w:rsidR="00495C65" w:rsidRDefault="00495C65" w:rsidP="00495C65">
      <w:pPr>
        <w:pStyle w:val="13"/>
      </w:pPr>
      <w:r>
        <w:rPr>
          <w:rFonts w:hint="eastAsia"/>
          <w:noProof/>
        </w:rPr>
        <w:drawing>
          <wp:anchor distT="0" distB="0" distL="114300" distR="114300" simplePos="0" relativeHeight="251662336" behindDoc="1" locked="0" layoutInCell="1" allowOverlap="1" wp14:anchorId="4FEB7509" wp14:editId="16F5B682">
            <wp:simplePos x="0" y="0"/>
            <wp:positionH relativeFrom="column">
              <wp:posOffset>1383376</wp:posOffset>
            </wp:positionH>
            <wp:positionV relativeFrom="paragraph">
              <wp:posOffset>452958</wp:posOffset>
            </wp:positionV>
            <wp:extent cx="2700068" cy="509704"/>
            <wp:effectExtent l="0" t="0" r="5080" b="508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00068" cy="509704"/>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联建分成的土地不直接进入市场，估价中不计算土地资本的利息及投资资本的利润，地价计算公式如式（</w:t>
      </w:r>
      <w:r>
        <w:t>34）所示：</w:t>
      </w:r>
    </w:p>
    <w:p w14:paraId="5C8AAEF6" w14:textId="77777777" w:rsidR="00495C65" w:rsidRDefault="00495C65" w:rsidP="00495C65">
      <w:pPr>
        <w:pStyle w:val="13"/>
      </w:pPr>
      <w:r w:rsidRPr="00C37F0B">
        <w:t xml:space="preserve">                                                                （3</w:t>
      </w:r>
      <w:r>
        <w:t>4</w:t>
      </w:r>
      <w:r w:rsidRPr="00C37F0B">
        <w:t>）</w:t>
      </w:r>
    </w:p>
    <w:p w14:paraId="4F66FEE3" w14:textId="77777777" w:rsidR="00495C65" w:rsidRDefault="00495C65" w:rsidP="00495C65">
      <w:pPr>
        <w:pStyle w:val="13"/>
      </w:pPr>
    </w:p>
    <w:p w14:paraId="3D4D3D68" w14:textId="77777777" w:rsidR="00495C65" w:rsidRDefault="00495C65" w:rsidP="00495C65">
      <w:pPr>
        <w:pStyle w:val="13"/>
      </w:pPr>
      <w:r w:rsidRPr="00204A12">
        <w:rPr>
          <w:rFonts w:hint="eastAsia"/>
        </w:rPr>
        <w:t>式中：</w:t>
      </w:r>
    </w:p>
    <w:p w14:paraId="57398AAF" w14:textId="77777777" w:rsidR="00495C65" w:rsidRDefault="00495C65" w:rsidP="00495C65">
      <w:pPr>
        <w:pStyle w:val="13"/>
        <w:ind w:firstLineChars="500" w:firstLine="1200"/>
      </w:pPr>
      <w:r w:rsidRPr="00A93E3E">
        <w:rPr>
          <w:i/>
          <w:iCs/>
        </w:rPr>
        <w:t>P</w:t>
      </w:r>
      <w:r w:rsidRPr="00A52E47">
        <w:t>—联建房中单位土地面积的地价；</w:t>
      </w:r>
    </w:p>
    <w:p w14:paraId="558A357D" w14:textId="77777777" w:rsidR="00495C65" w:rsidRDefault="00495C65" w:rsidP="00495C65">
      <w:pPr>
        <w:pStyle w:val="13"/>
        <w:ind w:firstLineChars="500" w:firstLine="1200"/>
      </w:pPr>
      <w:r w:rsidRPr="00A93E3E">
        <w:rPr>
          <w:i/>
          <w:iCs/>
        </w:rPr>
        <w:t>C</w:t>
      </w:r>
      <w:r w:rsidRPr="00A93E3E">
        <w:rPr>
          <w:i/>
          <w:iCs/>
          <w:vertAlign w:val="subscript"/>
        </w:rPr>
        <w:t>h</w:t>
      </w:r>
      <w:r w:rsidRPr="00A52E47">
        <w:t>—房屋单位建筑面积造价；</w:t>
      </w:r>
    </w:p>
    <w:p w14:paraId="3232D50D" w14:textId="77777777" w:rsidR="00495C65" w:rsidRDefault="00495C65" w:rsidP="00495C65">
      <w:pPr>
        <w:pStyle w:val="13"/>
        <w:ind w:firstLineChars="500" w:firstLine="1200"/>
      </w:pPr>
      <w:r w:rsidRPr="00A93E3E">
        <w:rPr>
          <w:i/>
          <w:iCs/>
        </w:rPr>
        <w:t>T</w:t>
      </w:r>
      <w:r>
        <w:t>—房屋单位建筑面积交纳的税费；</w:t>
      </w:r>
    </w:p>
    <w:p w14:paraId="632428FD" w14:textId="77777777" w:rsidR="00495C65" w:rsidRDefault="00495C65" w:rsidP="00495C65">
      <w:pPr>
        <w:pStyle w:val="13"/>
        <w:ind w:firstLineChars="500" w:firstLine="1200"/>
      </w:pPr>
      <w:proofErr w:type="spellStart"/>
      <w:r w:rsidRPr="00A93E3E">
        <w:rPr>
          <w:i/>
          <w:iCs/>
        </w:rPr>
        <w:t>S</w:t>
      </w:r>
      <w:r w:rsidRPr="00A93E3E">
        <w:rPr>
          <w:i/>
          <w:iCs/>
          <w:vertAlign w:val="subscript"/>
        </w:rPr>
        <w:t>lb</w:t>
      </w:r>
      <w:proofErr w:type="spellEnd"/>
      <w:proofErr w:type="gramStart"/>
      <w:r>
        <w:t>—出地方</w:t>
      </w:r>
      <w:proofErr w:type="gramEnd"/>
      <w:r>
        <w:t>分成建筑面积；</w:t>
      </w:r>
    </w:p>
    <w:p w14:paraId="7D4566DF" w14:textId="77777777" w:rsidR="00495C65" w:rsidRDefault="00495C65" w:rsidP="00495C65">
      <w:pPr>
        <w:pStyle w:val="13"/>
        <w:ind w:firstLineChars="500" w:firstLine="1200"/>
      </w:pPr>
      <w:proofErr w:type="spellStart"/>
      <w:r w:rsidRPr="00A93E3E">
        <w:rPr>
          <w:i/>
          <w:iCs/>
        </w:rPr>
        <w:t>S</w:t>
      </w:r>
      <w:r w:rsidRPr="00A93E3E">
        <w:rPr>
          <w:i/>
          <w:iCs/>
          <w:vertAlign w:val="subscript"/>
        </w:rPr>
        <w:t>cl</w:t>
      </w:r>
      <w:proofErr w:type="spellEnd"/>
      <w:proofErr w:type="gramStart"/>
      <w:r>
        <w:t>—出资方</w:t>
      </w:r>
      <w:proofErr w:type="gramEnd"/>
      <w:r>
        <w:t>建筑物分摊的土地面积；</w:t>
      </w:r>
    </w:p>
    <w:p w14:paraId="6A88679B" w14:textId="77777777" w:rsidR="00495C65" w:rsidRDefault="00495C65" w:rsidP="00495C65">
      <w:pPr>
        <w:pStyle w:val="13"/>
        <w:ind w:firstLineChars="500" w:firstLine="1200"/>
      </w:pPr>
      <w:proofErr w:type="spellStart"/>
      <w:r w:rsidRPr="00A93E3E">
        <w:rPr>
          <w:i/>
          <w:iCs/>
        </w:rPr>
        <w:t>R</w:t>
      </w:r>
      <w:r w:rsidRPr="00A93E3E">
        <w:rPr>
          <w:i/>
          <w:iCs/>
          <w:vertAlign w:val="subscript"/>
        </w:rPr>
        <w:t>v</w:t>
      </w:r>
      <w:proofErr w:type="spellEnd"/>
      <w:r>
        <w:t>—容积率；</w:t>
      </w:r>
    </w:p>
    <w:p w14:paraId="0DFB830C" w14:textId="77777777" w:rsidR="00495C65" w:rsidRDefault="00495C65" w:rsidP="00495C65">
      <w:pPr>
        <w:pStyle w:val="13"/>
        <w:ind w:firstLineChars="500" w:firstLine="1200"/>
      </w:pPr>
      <w:proofErr w:type="spellStart"/>
      <w:r w:rsidRPr="00A93E3E">
        <w:rPr>
          <w:i/>
          <w:iCs/>
        </w:rPr>
        <w:t>S</w:t>
      </w:r>
      <w:r w:rsidRPr="00A93E3E">
        <w:rPr>
          <w:i/>
          <w:iCs/>
          <w:vertAlign w:val="subscript"/>
        </w:rPr>
        <w:t>cb</w:t>
      </w:r>
      <w:proofErr w:type="spellEnd"/>
      <w:proofErr w:type="gramStart"/>
      <w:r>
        <w:t>—出资方</w:t>
      </w:r>
      <w:proofErr w:type="gramEnd"/>
      <w:r>
        <w:t>分成建筑面积。</w:t>
      </w:r>
    </w:p>
    <w:p w14:paraId="04DF1FC1" w14:textId="77777777" w:rsidR="00495C65" w:rsidRDefault="00495C65" w:rsidP="00495C65">
      <w:pPr>
        <w:pStyle w:val="13"/>
      </w:pPr>
      <w:r>
        <w:rPr>
          <w:rFonts w:hint="eastAsia"/>
        </w:rPr>
        <w:t>7</w:t>
      </w:r>
      <w:r>
        <w:t>.5.3</w:t>
      </w:r>
      <w:r>
        <w:rPr>
          <w:rFonts w:hint="eastAsia"/>
        </w:rPr>
        <w:t>样点地价修正与样点地价图的绘制</w:t>
      </w:r>
    </w:p>
    <w:p w14:paraId="7ED1F205" w14:textId="77777777" w:rsidR="00495C65" w:rsidRDefault="00495C65" w:rsidP="00495C65">
      <w:pPr>
        <w:pStyle w:val="13"/>
      </w:pPr>
      <w:r w:rsidRPr="008A4843">
        <w:t>7.5.3</w:t>
      </w:r>
      <w:r>
        <w:t>.1</w:t>
      </w:r>
      <w:r>
        <w:rPr>
          <w:rFonts w:hint="eastAsia"/>
        </w:rPr>
        <w:t>样点地价修正</w:t>
      </w:r>
    </w:p>
    <w:p w14:paraId="573EB1E3" w14:textId="77777777" w:rsidR="00495C65" w:rsidRDefault="00495C65" w:rsidP="00495C65">
      <w:pPr>
        <w:pStyle w:val="13"/>
      </w:pPr>
      <w:r>
        <w:rPr>
          <w:rFonts w:hint="eastAsia"/>
        </w:rPr>
        <w:t>依据基准地价内涵，将计算所得样点地价修正到与基准地价内涵相</w:t>
      </w:r>
      <w:proofErr w:type="gramStart"/>
      <w:r>
        <w:rPr>
          <w:rFonts w:hint="eastAsia"/>
        </w:rPr>
        <w:t>一致下</w:t>
      </w:r>
      <w:proofErr w:type="gramEnd"/>
      <w:r>
        <w:rPr>
          <w:rFonts w:hint="eastAsia"/>
        </w:rPr>
        <w:t>的价格，</w:t>
      </w:r>
      <w:r>
        <w:t>修正内容一般包括：交易情况修正、估价期日修正、容积率修正、地价楼层分配修正、开发程度修正、出让年期修正等，修正方法参见6.1中的有关内容。</w:t>
      </w:r>
    </w:p>
    <w:p w14:paraId="1B3B25E9" w14:textId="77777777" w:rsidR="00495C65" w:rsidRDefault="00495C65" w:rsidP="00495C65">
      <w:pPr>
        <w:pStyle w:val="13"/>
      </w:pPr>
      <w:r w:rsidRPr="00152119">
        <w:t>7.5.3.</w:t>
      </w:r>
      <w:r>
        <w:t>2</w:t>
      </w:r>
      <w:r>
        <w:rPr>
          <w:rFonts w:hint="eastAsia"/>
        </w:rPr>
        <w:t>样点地价图的绘制</w:t>
      </w:r>
    </w:p>
    <w:p w14:paraId="472A2A52" w14:textId="77777777" w:rsidR="00495C65" w:rsidRDefault="00495C65" w:rsidP="00495C65">
      <w:pPr>
        <w:pStyle w:val="13"/>
      </w:pPr>
      <w:r>
        <w:rPr>
          <w:rFonts w:hint="eastAsia"/>
        </w:rPr>
        <w:t>主要要求如下：</w:t>
      </w:r>
    </w:p>
    <w:p w14:paraId="37A65AFD" w14:textId="77777777" w:rsidR="00495C65" w:rsidRDefault="00495C65" w:rsidP="00495C65">
      <w:pPr>
        <w:pStyle w:val="13"/>
      </w:pPr>
      <w:r>
        <w:rPr>
          <w:rFonts w:hint="eastAsia"/>
        </w:rPr>
        <w:t>（1）以城镇地籍图、土地利用现状图或地形图等为底图绘制样点地价图；</w:t>
      </w:r>
    </w:p>
    <w:p w14:paraId="03FD7587" w14:textId="77777777" w:rsidR="00495C65" w:rsidRDefault="00495C65" w:rsidP="00495C65">
      <w:pPr>
        <w:pStyle w:val="13"/>
      </w:pPr>
      <w:r w:rsidRPr="00152119">
        <w:rPr>
          <w:rFonts w:hint="eastAsia"/>
        </w:rPr>
        <w:t>（</w:t>
      </w:r>
      <w:r>
        <w:t>2</w:t>
      </w:r>
      <w:r w:rsidRPr="00152119">
        <w:t>）</w:t>
      </w:r>
      <w:r>
        <w:rPr>
          <w:rFonts w:hint="eastAsia"/>
        </w:rPr>
        <w:t>在图上按照商业、住宅、工业等不同用途分别标识地价样点资料；</w:t>
      </w:r>
    </w:p>
    <w:p w14:paraId="2D9278D0" w14:textId="77777777" w:rsidR="00495C65" w:rsidRDefault="00495C65" w:rsidP="00495C65">
      <w:pPr>
        <w:pStyle w:val="13"/>
      </w:pPr>
      <w:r w:rsidRPr="00152119">
        <w:rPr>
          <w:rFonts w:hint="eastAsia"/>
        </w:rPr>
        <w:lastRenderedPageBreak/>
        <w:t>（</w:t>
      </w:r>
      <w:r>
        <w:t>3</w:t>
      </w:r>
      <w:r w:rsidRPr="00152119">
        <w:t>）</w:t>
      </w:r>
      <w:r>
        <w:rPr>
          <w:rFonts w:hint="eastAsia"/>
        </w:rPr>
        <w:t>在图上应该反映土地级别（均质地域）界线；</w:t>
      </w:r>
    </w:p>
    <w:p w14:paraId="673182F3" w14:textId="77777777" w:rsidR="00495C65" w:rsidRDefault="00495C65" w:rsidP="00495C65">
      <w:pPr>
        <w:pStyle w:val="13"/>
      </w:pPr>
      <w:r w:rsidRPr="00152119">
        <w:rPr>
          <w:rFonts w:hint="eastAsia"/>
        </w:rPr>
        <w:t>（</w:t>
      </w:r>
      <w:r>
        <w:t>4</w:t>
      </w:r>
      <w:r w:rsidRPr="00152119">
        <w:t>）</w:t>
      </w:r>
      <w:r>
        <w:rPr>
          <w:rFonts w:hint="eastAsia"/>
        </w:rPr>
        <w:t>直接在图上表示地价数据，资料较多时，采用分级图例表示地价样点分布。</w:t>
      </w:r>
    </w:p>
    <w:p w14:paraId="717997BD" w14:textId="77777777" w:rsidR="00495C65" w:rsidRDefault="00495C65" w:rsidP="00495C65">
      <w:pPr>
        <w:pStyle w:val="13"/>
      </w:pPr>
      <w:r>
        <w:rPr>
          <w:rFonts w:hint="eastAsia"/>
        </w:rPr>
        <w:t>7</w:t>
      </w:r>
      <w:r>
        <w:t>.5.4</w:t>
      </w:r>
      <w:r>
        <w:rPr>
          <w:rFonts w:hint="eastAsia"/>
        </w:rPr>
        <w:t>检验与处理</w:t>
      </w:r>
    </w:p>
    <w:p w14:paraId="60BF2A57" w14:textId="77777777" w:rsidR="00495C65" w:rsidRDefault="00495C65" w:rsidP="00495C65">
      <w:pPr>
        <w:pStyle w:val="13"/>
      </w:pPr>
      <w:r w:rsidRPr="00723638">
        <w:t>7.5.4</w:t>
      </w:r>
      <w:r>
        <w:t>.1</w:t>
      </w:r>
      <w:r>
        <w:rPr>
          <w:rFonts w:hint="eastAsia"/>
        </w:rPr>
        <w:t>样本总体检验</w:t>
      </w:r>
    </w:p>
    <w:p w14:paraId="20C82F0A" w14:textId="77777777" w:rsidR="00495C65" w:rsidRDefault="00495C65" w:rsidP="00495C65">
      <w:pPr>
        <w:pStyle w:val="13"/>
      </w:pPr>
      <w:r>
        <w:rPr>
          <w:rFonts w:hint="eastAsia"/>
        </w:rPr>
        <w:t>以土地级别或均质区域为单位，分土地利用类型进行抽样样本的总体检验和方差检验。</w:t>
      </w:r>
    </w:p>
    <w:p w14:paraId="3AC14788" w14:textId="77777777" w:rsidR="00495C65" w:rsidRDefault="00495C65" w:rsidP="00495C65">
      <w:pPr>
        <w:pStyle w:val="13"/>
      </w:pPr>
      <w:r>
        <w:rPr>
          <w:rFonts w:hint="eastAsia"/>
        </w:rPr>
        <w:t>用卡方检验法、秩和检验法分别对已知数据总体分布类型和未知数据分布类型的样本进行总体一致性检验。</w:t>
      </w:r>
    </w:p>
    <w:p w14:paraId="23E20F63" w14:textId="77777777" w:rsidR="00495C65" w:rsidRDefault="00495C65" w:rsidP="00495C65">
      <w:pPr>
        <w:pStyle w:val="13"/>
      </w:pPr>
      <w:r>
        <w:rPr>
          <w:rFonts w:hint="eastAsia"/>
        </w:rPr>
        <w:t>用</w:t>
      </w:r>
      <w:r>
        <w:t>t检验法和均值―方差法分别对样本总体为正态和非正态分布的进行异常值剔除。当检验后的数据不能满足模型建立的需要时，应增加抽样数据，按以上方式重新进</w:t>
      </w:r>
      <w:r>
        <w:rPr>
          <w:rFonts w:hint="eastAsia"/>
        </w:rPr>
        <w:t>行数据归类。</w:t>
      </w:r>
    </w:p>
    <w:p w14:paraId="327520C8" w14:textId="77777777" w:rsidR="00495C65" w:rsidRDefault="00495C65" w:rsidP="00495C65">
      <w:pPr>
        <w:pStyle w:val="13"/>
      </w:pPr>
      <w:r w:rsidRPr="00F81C46">
        <w:t>7.5.4.</w:t>
      </w:r>
      <w:r>
        <w:t>2</w:t>
      </w:r>
      <w:r>
        <w:rPr>
          <w:rFonts w:hint="eastAsia"/>
        </w:rPr>
        <w:t>样点数据检验</w:t>
      </w:r>
    </w:p>
    <w:p w14:paraId="52776E00" w14:textId="77777777" w:rsidR="00495C65" w:rsidRDefault="00495C65" w:rsidP="00495C65">
      <w:pPr>
        <w:pStyle w:val="13"/>
      </w:pPr>
      <w:r>
        <w:rPr>
          <w:rFonts w:hint="eastAsia"/>
        </w:rPr>
        <w:t>主要要求如下：</w:t>
      </w:r>
    </w:p>
    <w:p w14:paraId="4AC3CB91" w14:textId="77777777" w:rsidR="00495C65" w:rsidRDefault="00495C65" w:rsidP="00495C65">
      <w:pPr>
        <w:pStyle w:val="13"/>
      </w:pPr>
      <w:r w:rsidRPr="00E85D01">
        <w:rPr>
          <w:rFonts w:hint="eastAsia"/>
        </w:rPr>
        <w:t>（</w:t>
      </w:r>
      <w:r w:rsidRPr="00E85D01">
        <w:t>1）</w:t>
      </w:r>
      <w:r>
        <w:rPr>
          <w:rFonts w:hint="eastAsia"/>
        </w:rPr>
        <w:t>同一</w:t>
      </w:r>
      <w:proofErr w:type="gramStart"/>
      <w:r>
        <w:rPr>
          <w:rFonts w:hint="eastAsia"/>
        </w:rPr>
        <w:t>土地级</w:t>
      </w:r>
      <w:proofErr w:type="gramEnd"/>
      <w:r>
        <w:rPr>
          <w:rFonts w:hint="eastAsia"/>
        </w:rPr>
        <w:t>或均质地域中，同一交易方式的样本地价要通过样本同一性检验。同一均质地域中样本数量不能满足总体检验的需要时，需对均质地域进行差别判别归类，</w:t>
      </w:r>
      <w:r>
        <w:t>按类进行样本总体同一性检验。</w:t>
      </w:r>
    </w:p>
    <w:p w14:paraId="54656426" w14:textId="77777777" w:rsidR="00495C65" w:rsidRDefault="00495C65" w:rsidP="00495C65">
      <w:pPr>
        <w:pStyle w:val="13"/>
      </w:pPr>
      <w:r w:rsidRPr="00E85D01">
        <w:rPr>
          <w:rFonts w:hint="eastAsia"/>
        </w:rPr>
        <w:t>（</w:t>
      </w:r>
      <w:r>
        <w:t>2</w:t>
      </w:r>
      <w:r w:rsidRPr="00E85D01">
        <w:t>）</w:t>
      </w:r>
      <w:r>
        <w:rPr>
          <w:rFonts w:hint="eastAsia"/>
        </w:rPr>
        <w:t>同一均质地域中，不同交易方式计算的样本地价，也要通过样本总体同一性的检验。</w:t>
      </w:r>
    </w:p>
    <w:p w14:paraId="50BFE3EA" w14:textId="77777777" w:rsidR="00495C65" w:rsidRDefault="00495C65" w:rsidP="00495C65">
      <w:pPr>
        <w:pStyle w:val="13"/>
      </w:pPr>
      <w:r w:rsidRPr="00E85D01">
        <w:t>7.5.4.</w:t>
      </w:r>
      <w:r>
        <w:t>3</w:t>
      </w:r>
      <w:r>
        <w:rPr>
          <w:rFonts w:hint="eastAsia"/>
        </w:rPr>
        <w:t>样点数据处理</w:t>
      </w:r>
    </w:p>
    <w:p w14:paraId="6C97673D" w14:textId="77777777" w:rsidR="00495C65" w:rsidRDefault="00495C65" w:rsidP="00495C65">
      <w:pPr>
        <w:pStyle w:val="13"/>
      </w:pPr>
      <w:r>
        <w:rPr>
          <w:rFonts w:hint="eastAsia"/>
        </w:rPr>
        <w:t>主要要求如下：</w:t>
      </w:r>
    </w:p>
    <w:p w14:paraId="07608A32" w14:textId="77777777" w:rsidR="00495C65" w:rsidRDefault="00495C65" w:rsidP="00495C65">
      <w:pPr>
        <w:pStyle w:val="13"/>
      </w:pPr>
      <w:r w:rsidRPr="00E85D01">
        <w:rPr>
          <w:rFonts w:hint="eastAsia"/>
        </w:rPr>
        <w:t>（</w:t>
      </w:r>
      <w:r w:rsidRPr="00E85D01">
        <w:t>1）</w:t>
      </w:r>
      <w:r>
        <w:rPr>
          <w:rFonts w:hint="eastAsia"/>
        </w:rPr>
        <w:t>城镇中商服中心区的地价最高区域，应单独表示；</w:t>
      </w:r>
    </w:p>
    <w:p w14:paraId="1DA25D88" w14:textId="77777777" w:rsidR="00495C65" w:rsidRDefault="00495C65" w:rsidP="00495C65">
      <w:pPr>
        <w:pStyle w:val="13"/>
      </w:pPr>
      <w:r w:rsidRPr="00E85D01">
        <w:rPr>
          <w:rFonts w:hint="eastAsia"/>
        </w:rPr>
        <w:t>（</w:t>
      </w:r>
      <w:r>
        <w:t>2</w:t>
      </w:r>
      <w:r w:rsidRPr="00E85D01">
        <w:t>）</w:t>
      </w:r>
      <w:r>
        <w:rPr>
          <w:rFonts w:hint="eastAsia"/>
        </w:rPr>
        <w:t>相同用途的样点地价，在确定方差检验精度后，将精度以外的数据作为异常数据剔除。</w:t>
      </w:r>
    </w:p>
    <w:p w14:paraId="78EAFB2D" w14:textId="77777777" w:rsidR="00495C65" w:rsidRDefault="00495C65" w:rsidP="00495C65">
      <w:pPr>
        <w:pStyle w:val="13"/>
      </w:pPr>
      <w:r w:rsidRPr="001578D5">
        <w:rPr>
          <w:rFonts w:hint="eastAsia"/>
        </w:rPr>
        <w:t>（</w:t>
      </w:r>
      <w:r>
        <w:t>3</w:t>
      </w:r>
      <w:r w:rsidRPr="001578D5">
        <w:t>）</w:t>
      </w:r>
      <w:r>
        <w:rPr>
          <w:rFonts w:hint="eastAsia"/>
        </w:rPr>
        <w:t>同一级别、均质地域中，不同交易方式下测算的样点地价，</w:t>
      </w:r>
      <w:proofErr w:type="gramStart"/>
      <w:r>
        <w:rPr>
          <w:rFonts w:hint="eastAsia"/>
        </w:rPr>
        <w:t>当总体</w:t>
      </w:r>
      <w:proofErr w:type="gramEnd"/>
      <w:r>
        <w:rPr>
          <w:rFonts w:hint="eastAsia"/>
        </w:rPr>
        <w:t>不一致时，以最具代表性，数量多的作为基准地价评估的基础资料。</w:t>
      </w:r>
    </w:p>
    <w:p w14:paraId="69B2E634" w14:textId="77777777" w:rsidR="00495C65" w:rsidRDefault="00495C65" w:rsidP="00495C65">
      <w:pPr>
        <w:pStyle w:val="13"/>
      </w:pPr>
      <w:r w:rsidRPr="001578D5">
        <w:t>7.5.4.</w:t>
      </w:r>
      <w:r>
        <w:t>4</w:t>
      </w:r>
      <w:r>
        <w:rPr>
          <w:rFonts w:hint="eastAsia"/>
        </w:rPr>
        <w:t>数据整理</w:t>
      </w:r>
    </w:p>
    <w:p w14:paraId="0F3658A6" w14:textId="77777777" w:rsidR="00495C65" w:rsidRDefault="00495C65" w:rsidP="00495C65">
      <w:pPr>
        <w:pStyle w:val="13"/>
      </w:pPr>
      <w:r>
        <w:rPr>
          <w:rFonts w:hint="eastAsia"/>
        </w:rPr>
        <w:t>将经过修正及样本数据处理以后的样点，按土地级、土地均质区域、土地用途和资料交易方式顺序进行整理，并填入附录</w:t>
      </w:r>
      <w:r>
        <w:t>B中的相应表格。</w:t>
      </w:r>
    </w:p>
    <w:p w14:paraId="32F3802B" w14:textId="77777777" w:rsidR="00495C65" w:rsidRDefault="00495C65" w:rsidP="00495C65">
      <w:pPr>
        <w:pStyle w:val="13"/>
      </w:pPr>
      <w:r>
        <w:rPr>
          <w:rFonts w:hint="eastAsia"/>
        </w:rPr>
        <w:t>7</w:t>
      </w:r>
      <w:r>
        <w:t>.5.5</w:t>
      </w:r>
      <w:r>
        <w:rPr>
          <w:rFonts w:hint="eastAsia"/>
        </w:rPr>
        <w:t>利用样点地价评估基准地价</w:t>
      </w:r>
    </w:p>
    <w:p w14:paraId="4288BD60" w14:textId="77777777" w:rsidR="00495C65" w:rsidRDefault="00495C65" w:rsidP="00495C65">
      <w:pPr>
        <w:pStyle w:val="13"/>
      </w:pPr>
      <w:r w:rsidRPr="001578D5">
        <w:t>7.5.5</w:t>
      </w:r>
      <w:r>
        <w:t>.1</w:t>
      </w:r>
      <w:r>
        <w:rPr>
          <w:rFonts w:hint="eastAsia"/>
        </w:rPr>
        <w:t>用样点地价评估级别（区域）基准地价</w:t>
      </w:r>
    </w:p>
    <w:p w14:paraId="12D5D7DB" w14:textId="77777777" w:rsidR="00495C65" w:rsidRDefault="00495C65" w:rsidP="00495C65">
      <w:pPr>
        <w:pStyle w:val="13"/>
      </w:pPr>
      <w:r>
        <w:rPr>
          <w:rFonts w:hint="eastAsia"/>
        </w:rPr>
        <w:t>主要情况的要求如下：</w:t>
      </w:r>
    </w:p>
    <w:p w14:paraId="30C6A714" w14:textId="77777777" w:rsidR="00495C65" w:rsidRDefault="00495C65" w:rsidP="00495C65">
      <w:pPr>
        <w:pStyle w:val="13"/>
      </w:pPr>
      <w:r>
        <w:rPr>
          <w:rFonts w:hint="eastAsia"/>
        </w:rPr>
        <w:t>（1）有样点级别（区域）的基准地价评估</w:t>
      </w:r>
    </w:p>
    <w:p w14:paraId="50047EC9" w14:textId="77777777" w:rsidR="00495C65" w:rsidRDefault="00495C65" w:rsidP="00495C65">
      <w:pPr>
        <w:pStyle w:val="13"/>
      </w:pPr>
      <w:r>
        <w:rPr>
          <w:rFonts w:hint="eastAsia"/>
        </w:rPr>
        <w:t>评估程序为：</w:t>
      </w:r>
    </w:p>
    <w:p w14:paraId="5780BAA9" w14:textId="77777777" w:rsidR="00495C65" w:rsidRDefault="00495C65" w:rsidP="00495C65">
      <w:pPr>
        <w:pStyle w:val="13"/>
      </w:pPr>
      <w:r>
        <w:rPr>
          <w:rFonts w:hint="eastAsia"/>
        </w:rPr>
        <w:t>1）样本数量的确定。合格样本数量应符合数理统计要求。</w:t>
      </w:r>
    </w:p>
    <w:p w14:paraId="0085D6D7" w14:textId="77777777" w:rsidR="00495C65" w:rsidRDefault="00495C65" w:rsidP="00495C65">
      <w:pPr>
        <w:pStyle w:val="13"/>
      </w:pPr>
      <w:r>
        <w:lastRenderedPageBreak/>
        <w:t>2</w:t>
      </w:r>
      <w:r w:rsidRPr="0087676E">
        <w:t>）</w:t>
      </w:r>
      <w:r>
        <w:rPr>
          <w:rFonts w:hint="eastAsia"/>
        </w:rPr>
        <w:t>方法选择及基准地价计算。在有样点级别（区域）内，根据样点地价的分布规律，选用简单算术平均值、加权算术平均值、中位数、众数等作为该级别（区域）的基准地价。</w:t>
      </w:r>
    </w:p>
    <w:p w14:paraId="298FA9BC" w14:textId="77777777" w:rsidR="00495C65" w:rsidRDefault="00495C65" w:rsidP="00495C65">
      <w:pPr>
        <w:pStyle w:val="13"/>
      </w:pPr>
      <w:r w:rsidRPr="00AF5FAD">
        <w:rPr>
          <w:rFonts w:hint="eastAsia"/>
        </w:rPr>
        <w:t>（</w:t>
      </w:r>
      <w:r>
        <w:t>2</w:t>
      </w:r>
      <w:r w:rsidRPr="00AF5FAD">
        <w:t>）</w:t>
      </w:r>
      <w:r>
        <w:rPr>
          <w:rFonts w:hint="eastAsia"/>
        </w:rPr>
        <w:t>没有交易价格资料或交易价格资料较少级别（区域）的基准地价评估没有交易资料的级别（区域），采用比较法、比例系数法确定基准地价。</w:t>
      </w:r>
    </w:p>
    <w:p w14:paraId="076F4A8C" w14:textId="77777777" w:rsidR="00495C65" w:rsidRDefault="00495C65" w:rsidP="00495C65">
      <w:pPr>
        <w:pStyle w:val="13"/>
      </w:pPr>
      <w:r>
        <w:t>评估程序为：</w:t>
      </w:r>
    </w:p>
    <w:p w14:paraId="538B9325" w14:textId="77777777" w:rsidR="00495C65" w:rsidRDefault="00495C65" w:rsidP="00495C65">
      <w:pPr>
        <w:pStyle w:val="13"/>
      </w:pPr>
      <w:r w:rsidRPr="00AF5FAD">
        <w:t>1）</w:t>
      </w:r>
      <w:r>
        <w:rPr>
          <w:rFonts w:hint="eastAsia"/>
        </w:rPr>
        <w:t>对已评估出基准地价的级别（区域），建立地价与影响价格的土地条件对照表；</w:t>
      </w:r>
    </w:p>
    <w:p w14:paraId="2C98D011" w14:textId="77777777" w:rsidR="00495C65" w:rsidRDefault="00495C65" w:rsidP="00495C65">
      <w:pPr>
        <w:pStyle w:val="13"/>
      </w:pPr>
      <w:r>
        <w:t>2</w:t>
      </w:r>
      <w:r w:rsidRPr="00AF5FAD">
        <w:t>）</w:t>
      </w:r>
      <w:r>
        <w:rPr>
          <w:rFonts w:hint="eastAsia"/>
        </w:rPr>
        <w:t>对没有交易资料或数量不足的级别（区域），进行土地条件调查和量化；</w:t>
      </w:r>
    </w:p>
    <w:p w14:paraId="7D72E142" w14:textId="77777777" w:rsidR="00495C65" w:rsidRDefault="00495C65" w:rsidP="00495C65">
      <w:pPr>
        <w:pStyle w:val="13"/>
      </w:pPr>
      <w:r>
        <w:t>3</w:t>
      </w:r>
      <w:r w:rsidRPr="00900C40">
        <w:t>）</w:t>
      </w:r>
      <w:r>
        <w:rPr>
          <w:rFonts w:hint="eastAsia"/>
        </w:rPr>
        <w:t>比较待估价级别（区域）同有地价级别（区域）的接近程度；</w:t>
      </w:r>
    </w:p>
    <w:p w14:paraId="3B388CF3" w14:textId="77777777" w:rsidR="00495C65" w:rsidRDefault="00495C65" w:rsidP="00495C65">
      <w:pPr>
        <w:pStyle w:val="13"/>
      </w:pPr>
      <w:r>
        <w:t>4</w:t>
      </w:r>
      <w:r w:rsidRPr="00900C40">
        <w:t>）</w:t>
      </w:r>
      <w:r>
        <w:rPr>
          <w:rFonts w:hint="eastAsia"/>
        </w:rPr>
        <w:t>在比较基础上，采用系数修正法评估区域基准地价；</w:t>
      </w:r>
    </w:p>
    <w:p w14:paraId="03841661" w14:textId="77777777" w:rsidR="00495C65" w:rsidRDefault="00495C65" w:rsidP="00495C65">
      <w:pPr>
        <w:pStyle w:val="13"/>
      </w:pPr>
      <w:r>
        <w:t>5</w:t>
      </w:r>
      <w:r w:rsidRPr="00900C40">
        <w:t>）</w:t>
      </w:r>
      <w:r>
        <w:rPr>
          <w:rFonts w:hint="eastAsia"/>
        </w:rPr>
        <w:t>通过确定各种用途基准地价在不同级别（区域）内的比例关系，</w:t>
      </w:r>
      <w:proofErr w:type="gramStart"/>
      <w:r>
        <w:rPr>
          <w:rFonts w:hint="eastAsia"/>
        </w:rPr>
        <w:t>评估待估用途</w:t>
      </w:r>
      <w:proofErr w:type="gramEnd"/>
      <w:r>
        <w:rPr>
          <w:rFonts w:hint="eastAsia"/>
        </w:rPr>
        <w:t>的基准地价。</w:t>
      </w:r>
    </w:p>
    <w:p w14:paraId="7D5B4161" w14:textId="77777777" w:rsidR="00495C65" w:rsidRDefault="00495C65" w:rsidP="00495C65">
      <w:pPr>
        <w:pStyle w:val="13"/>
      </w:pPr>
      <w:r>
        <w:rPr>
          <w:rFonts w:hint="eastAsia"/>
        </w:rPr>
        <w:t>7</w:t>
      </w:r>
      <w:r>
        <w:t>.5.5.2</w:t>
      </w:r>
      <w:r>
        <w:rPr>
          <w:rFonts w:hint="eastAsia"/>
        </w:rPr>
        <w:t>建立样点地价和土地级别数学模型，评估级别基准地价</w:t>
      </w:r>
    </w:p>
    <w:p w14:paraId="30E824A5" w14:textId="77777777" w:rsidR="00495C65" w:rsidRDefault="00495C65" w:rsidP="00495C65">
      <w:pPr>
        <w:pStyle w:val="13"/>
      </w:pPr>
      <w:r>
        <w:rPr>
          <w:rFonts w:hint="eastAsia"/>
        </w:rPr>
        <w:t>在土地定级的基础上，通过建立样点地价与土地级别之间的数学关系模型，求出各用途各级别的地价级差系数，再用地价级差系数等参数来计算级别基准地价。</w:t>
      </w:r>
    </w:p>
    <w:p w14:paraId="54D291E7" w14:textId="77777777" w:rsidR="00495C65" w:rsidRDefault="00495C65" w:rsidP="00495C65">
      <w:pPr>
        <w:pStyle w:val="13"/>
      </w:pPr>
      <w:r>
        <w:rPr>
          <w:rFonts w:hint="eastAsia"/>
        </w:rPr>
        <w:t>主要情况的要求如下：</w:t>
      </w:r>
    </w:p>
    <w:p w14:paraId="2D341B18" w14:textId="77777777" w:rsidR="00495C65" w:rsidRDefault="00495C65" w:rsidP="00495C65">
      <w:pPr>
        <w:pStyle w:val="13"/>
      </w:pPr>
      <w:r w:rsidRPr="00473325">
        <w:t>1）</w:t>
      </w:r>
      <w:r>
        <w:rPr>
          <w:rFonts w:hint="eastAsia"/>
        </w:rPr>
        <w:t>模型选择：样点地价与土地级别之间的二</w:t>
      </w:r>
      <w:proofErr w:type="gramStart"/>
      <w:r>
        <w:rPr>
          <w:rFonts w:hint="eastAsia"/>
        </w:rPr>
        <w:t>维关系图选择</w:t>
      </w:r>
      <w:proofErr w:type="gramEnd"/>
      <w:r>
        <w:rPr>
          <w:rFonts w:hint="eastAsia"/>
        </w:rPr>
        <w:t>适宜的模型。模型参见</w:t>
      </w:r>
      <w:r>
        <w:t>7.6.4.1中的模型；</w:t>
      </w:r>
    </w:p>
    <w:p w14:paraId="430028D5" w14:textId="77777777" w:rsidR="00495C65" w:rsidRDefault="00495C65" w:rsidP="00495C65">
      <w:pPr>
        <w:pStyle w:val="13"/>
      </w:pPr>
      <w:r>
        <w:t>2</w:t>
      </w:r>
      <w:r w:rsidRPr="00473325">
        <w:t>）</w:t>
      </w:r>
      <w:r>
        <w:rPr>
          <w:rFonts w:hint="eastAsia"/>
        </w:rPr>
        <w:t>参数估算：将收集到的通过检验的地价资料，分用途代入模型中，估计参数值；</w:t>
      </w:r>
    </w:p>
    <w:p w14:paraId="782B474C" w14:textId="77777777" w:rsidR="00495C65" w:rsidRDefault="00495C65" w:rsidP="00495C65">
      <w:pPr>
        <w:pStyle w:val="13"/>
      </w:pPr>
      <w:r>
        <w:t>3</w:t>
      </w:r>
      <w:r w:rsidRPr="00473325">
        <w:t>）</w:t>
      </w:r>
      <w:r>
        <w:rPr>
          <w:rFonts w:hint="eastAsia"/>
        </w:rPr>
        <w:t>显著性检验：对估算出的参数值，应进行显著性检验，具体方法参加</w:t>
      </w:r>
      <w:r>
        <w:t>7.6.4.3；</w:t>
      </w:r>
    </w:p>
    <w:p w14:paraId="2F5B193C" w14:textId="77777777" w:rsidR="00495C65" w:rsidRDefault="00495C65" w:rsidP="00495C65">
      <w:pPr>
        <w:pStyle w:val="13"/>
      </w:pPr>
      <w:r>
        <w:t>4</w:t>
      </w:r>
      <w:r w:rsidRPr="00473325">
        <w:t>）</w:t>
      </w:r>
      <w:r>
        <w:rPr>
          <w:rFonts w:hint="eastAsia"/>
        </w:rPr>
        <w:t>基准地价计算：</w:t>
      </w:r>
      <w:proofErr w:type="gramStart"/>
      <w:r>
        <w:rPr>
          <w:rFonts w:hint="eastAsia"/>
        </w:rPr>
        <w:t>将估计</w:t>
      </w:r>
      <w:proofErr w:type="gramEnd"/>
      <w:r>
        <w:rPr>
          <w:rFonts w:hint="eastAsia"/>
        </w:rPr>
        <w:t>参数值和有关参数代入，测算各级土地的基准地价。</w:t>
      </w:r>
    </w:p>
    <w:p w14:paraId="54E3D88E" w14:textId="77777777" w:rsidR="00495C65" w:rsidRDefault="00495C65" w:rsidP="00495C65">
      <w:pPr>
        <w:pStyle w:val="13"/>
      </w:pPr>
      <w:r>
        <w:t>7.5.5.3建立样点地价和土地定级单元总分值数学模型，评估级别基准地价</w:t>
      </w:r>
    </w:p>
    <w:p w14:paraId="43F79D8C" w14:textId="77777777" w:rsidR="00495C65" w:rsidRDefault="00495C65" w:rsidP="00495C65">
      <w:pPr>
        <w:pStyle w:val="13"/>
      </w:pPr>
      <w:r>
        <w:rPr>
          <w:rFonts w:hint="eastAsia"/>
        </w:rPr>
        <w:t>在土地定级的基础上，通过建立样点地价与土地定级单元总分值之间的数学关系模型，求出各用途各级别的地价级差系数，利用地价级差系数等参数测算级别基准地价。</w:t>
      </w:r>
    </w:p>
    <w:p w14:paraId="0D63D529" w14:textId="77777777" w:rsidR="00495C65" w:rsidRDefault="00495C65" w:rsidP="00495C65">
      <w:pPr>
        <w:pStyle w:val="13"/>
      </w:pPr>
      <w:r>
        <w:rPr>
          <w:rFonts w:hint="eastAsia"/>
        </w:rPr>
        <w:t>主要情况的要求如下：</w:t>
      </w:r>
    </w:p>
    <w:p w14:paraId="49F53C71" w14:textId="77777777" w:rsidR="00495C65" w:rsidRDefault="00495C65" w:rsidP="00495C65">
      <w:pPr>
        <w:pStyle w:val="13"/>
      </w:pPr>
      <w:r w:rsidRPr="00FA49B9">
        <w:t>1）</w:t>
      </w:r>
      <w:r>
        <w:rPr>
          <w:rFonts w:hint="eastAsia"/>
        </w:rPr>
        <w:t>模型选择：样点地价与土地定级单元之间的二</w:t>
      </w:r>
      <w:proofErr w:type="gramStart"/>
      <w:r>
        <w:rPr>
          <w:rFonts w:hint="eastAsia"/>
        </w:rPr>
        <w:t>维关系图选择</w:t>
      </w:r>
      <w:proofErr w:type="gramEnd"/>
      <w:r>
        <w:rPr>
          <w:rFonts w:hint="eastAsia"/>
        </w:rPr>
        <w:t>适宜的模型。具体参见</w:t>
      </w:r>
      <w:r>
        <w:t>7.6.4.1中的模型。其中，</w:t>
      </w:r>
      <w:proofErr w:type="spellStart"/>
      <w:r w:rsidRPr="00112B1A">
        <w:rPr>
          <w:i/>
          <w:iCs/>
        </w:rPr>
        <w:t>Y</w:t>
      </w:r>
      <w:r w:rsidRPr="00112B1A">
        <w:rPr>
          <w:i/>
          <w:iCs/>
          <w:vertAlign w:val="subscript"/>
        </w:rPr>
        <w:t>n</w:t>
      </w:r>
      <w:proofErr w:type="spellEnd"/>
      <w:r>
        <w:t>为第</w:t>
      </w:r>
      <w:r w:rsidRPr="00112B1A">
        <w:rPr>
          <w:i/>
          <w:iCs/>
        </w:rPr>
        <w:t>n</w:t>
      </w:r>
      <w:r>
        <w:t>级土地交易样点地价，计算基准地价时为级别基准地价，</w:t>
      </w:r>
      <w:proofErr w:type="spellStart"/>
      <w:r w:rsidRPr="00112B1A">
        <w:rPr>
          <w:i/>
          <w:iCs/>
        </w:rPr>
        <w:t>X</w:t>
      </w:r>
      <w:r w:rsidRPr="00112B1A">
        <w:rPr>
          <w:i/>
          <w:iCs/>
          <w:vertAlign w:val="subscript"/>
        </w:rPr>
        <w:t>n</w:t>
      </w:r>
      <w:proofErr w:type="spellEnd"/>
      <w:r>
        <w:t>为第</w:t>
      </w:r>
      <w:r w:rsidRPr="00112B1A">
        <w:rPr>
          <w:i/>
          <w:iCs/>
        </w:rPr>
        <w:t>n</w:t>
      </w:r>
      <w:proofErr w:type="gramStart"/>
      <w:r>
        <w:t>级区域</w:t>
      </w:r>
      <w:proofErr w:type="gramEnd"/>
      <w:r>
        <w:t>内定级单元总分值。</w:t>
      </w:r>
    </w:p>
    <w:p w14:paraId="601C9DE1" w14:textId="77777777" w:rsidR="00495C65" w:rsidRDefault="00495C65" w:rsidP="00495C65">
      <w:pPr>
        <w:pStyle w:val="13"/>
      </w:pPr>
      <w:r>
        <w:t>2</w:t>
      </w:r>
      <w:r w:rsidRPr="00543191">
        <w:t>）</w:t>
      </w:r>
      <w:r>
        <w:rPr>
          <w:rFonts w:hint="eastAsia"/>
        </w:rPr>
        <w:t>参数估算：将收集到的通过检验的地价资料，分用途代入模型中，估计参数值。</w:t>
      </w:r>
    </w:p>
    <w:p w14:paraId="44E1B0FB" w14:textId="77777777" w:rsidR="00495C65" w:rsidRDefault="00495C65" w:rsidP="00495C65">
      <w:pPr>
        <w:pStyle w:val="13"/>
      </w:pPr>
      <w:r>
        <w:t>3</w:t>
      </w:r>
      <w:r w:rsidRPr="00543191">
        <w:t>）</w:t>
      </w:r>
      <w:r>
        <w:rPr>
          <w:rFonts w:hint="eastAsia"/>
        </w:rPr>
        <w:t>显著性检验：对估算出的参数值，应进行显著性检验，具体方法参加</w:t>
      </w:r>
      <w:r>
        <w:t>7.6.4.3。</w:t>
      </w:r>
    </w:p>
    <w:p w14:paraId="214F6AC5" w14:textId="77777777" w:rsidR="00495C65" w:rsidRDefault="00495C65" w:rsidP="00495C65">
      <w:pPr>
        <w:pStyle w:val="13"/>
      </w:pPr>
      <w:r>
        <w:t>4</w:t>
      </w:r>
      <w:r w:rsidRPr="00543191">
        <w:t>）</w:t>
      </w:r>
      <w:r>
        <w:rPr>
          <w:rFonts w:hint="eastAsia"/>
        </w:rPr>
        <w:t>基准地价计算：</w:t>
      </w:r>
      <w:proofErr w:type="gramStart"/>
      <w:r>
        <w:rPr>
          <w:rFonts w:hint="eastAsia"/>
        </w:rPr>
        <w:t>将估计</w:t>
      </w:r>
      <w:proofErr w:type="gramEnd"/>
      <w:r>
        <w:rPr>
          <w:rFonts w:hint="eastAsia"/>
        </w:rPr>
        <w:t>参数值和有关参数代入，得到各单元分值的估计地价。</w:t>
      </w:r>
      <w:r>
        <w:rPr>
          <w:rFonts w:hint="eastAsia"/>
        </w:rPr>
        <w:lastRenderedPageBreak/>
        <w:t>在此基础上，根据地价的离散程度，确定区域基准地价。</w:t>
      </w:r>
    </w:p>
    <w:p w14:paraId="7EBFDC62" w14:textId="77777777" w:rsidR="00495C65" w:rsidRDefault="00495C65" w:rsidP="00495C65">
      <w:pPr>
        <w:pStyle w:val="13"/>
      </w:pPr>
      <w:r>
        <w:rPr>
          <w:rFonts w:hint="eastAsia"/>
        </w:rPr>
        <w:t>7</w:t>
      </w:r>
      <w:r>
        <w:t>.5.6</w:t>
      </w:r>
      <w:r>
        <w:rPr>
          <w:rFonts w:hint="eastAsia"/>
        </w:rPr>
        <w:t>利用市场交易资料评估区段路线价</w:t>
      </w:r>
    </w:p>
    <w:p w14:paraId="21768D1F" w14:textId="77777777" w:rsidR="00495C65" w:rsidRDefault="00495C65" w:rsidP="00495C65">
      <w:pPr>
        <w:pStyle w:val="13"/>
      </w:pPr>
      <w:r w:rsidRPr="00543191">
        <w:t>7.5.6</w:t>
      </w:r>
      <w:r>
        <w:t>.1</w:t>
      </w:r>
      <w:r>
        <w:rPr>
          <w:rFonts w:hint="eastAsia"/>
        </w:rPr>
        <w:t>程序</w:t>
      </w:r>
    </w:p>
    <w:p w14:paraId="5C1098EE" w14:textId="77777777" w:rsidR="00495C65" w:rsidRDefault="00495C65" w:rsidP="00495C65">
      <w:pPr>
        <w:pStyle w:val="13"/>
      </w:pPr>
      <w:r>
        <w:rPr>
          <w:rFonts w:hint="eastAsia"/>
        </w:rPr>
        <w:t>如下：</w:t>
      </w:r>
    </w:p>
    <w:p w14:paraId="03C7C4EC" w14:textId="77777777" w:rsidR="00495C65" w:rsidRDefault="00495C65" w:rsidP="00495C65">
      <w:pPr>
        <w:pStyle w:val="13"/>
      </w:pPr>
      <w:r>
        <w:rPr>
          <w:rFonts w:hint="eastAsia"/>
        </w:rPr>
        <w:t>（1）划分</w:t>
      </w:r>
      <w:proofErr w:type="gramStart"/>
      <w:r>
        <w:rPr>
          <w:rFonts w:hint="eastAsia"/>
        </w:rPr>
        <w:t>路线价</w:t>
      </w:r>
      <w:proofErr w:type="gramEnd"/>
      <w:r>
        <w:rPr>
          <w:rFonts w:hint="eastAsia"/>
        </w:rPr>
        <w:t>区段；</w:t>
      </w:r>
    </w:p>
    <w:p w14:paraId="21DA38C6" w14:textId="77777777" w:rsidR="00495C65" w:rsidRDefault="00495C65" w:rsidP="00495C65">
      <w:pPr>
        <w:pStyle w:val="13"/>
      </w:pPr>
      <w:r w:rsidRPr="00D004A8">
        <w:rPr>
          <w:rFonts w:hint="eastAsia"/>
        </w:rPr>
        <w:t>（</w:t>
      </w:r>
      <w:r>
        <w:t>2</w:t>
      </w:r>
      <w:r w:rsidRPr="00D004A8">
        <w:t>）</w:t>
      </w:r>
      <w:r>
        <w:rPr>
          <w:rFonts w:hint="eastAsia"/>
        </w:rPr>
        <w:t>设定标准深度；</w:t>
      </w:r>
    </w:p>
    <w:p w14:paraId="4BC0CFC2" w14:textId="77777777" w:rsidR="00495C65" w:rsidRDefault="00495C65" w:rsidP="00495C65">
      <w:pPr>
        <w:pStyle w:val="13"/>
      </w:pPr>
      <w:r w:rsidRPr="00D004A8">
        <w:rPr>
          <w:rFonts w:hint="eastAsia"/>
        </w:rPr>
        <w:t>（</w:t>
      </w:r>
      <w:r>
        <w:t>3</w:t>
      </w:r>
      <w:r w:rsidRPr="00D004A8">
        <w:t>）</w:t>
      </w:r>
      <w:r>
        <w:rPr>
          <w:rFonts w:hint="eastAsia"/>
        </w:rPr>
        <w:t>评估区段路线价。</w:t>
      </w:r>
    </w:p>
    <w:p w14:paraId="3EEF186C" w14:textId="77777777" w:rsidR="00495C65" w:rsidRDefault="00495C65" w:rsidP="00495C65">
      <w:pPr>
        <w:pStyle w:val="13"/>
      </w:pPr>
      <w:r>
        <w:t>7.5.6.2范围</w:t>
      </w:r>
    </w:p>
    <w:p w14:paraId="7588C3FE" w14:textId="77777777" w:rsidR="00495C65" w:rsidRDefault="00495C65" w:rsidP="00495C65">
      <w:pPr>
        <w:pStyle w:val="13"/>
      </w:pPr>
      <w:proofErr w:type="gramStart"/>
      <w:r>
        <w:rPr>
          <w:rFonts w:hint="eastAsia"/>
        </w:rPr>
        <w:t>路线价主要</w:t>
      </w:r>
      <w:proofErr w:type="gramEnd"/>
      <w:r>
        <w:rPr>
          <w:rFonts w:hint="eastAsia"/>
        </w:rPr>
        <w:t>附设于</w:t>
      </w:r>
      <w:proofErr w:type="gramStart"/>
      <w:r>
        <w:rPr>
          <w:rFonts w:hint="eastAsia"/>
        </w:rPr>
        <w:t>繁华商</w:t>
      </w:r>
      <w:proofErr w:type="gramEnd"/>
      <w:r>
        <w:rPr>
          <w:rFonts w:hint="eastAsia"/>
        </w:rPr>
        <w:t>服区段，用于表征区段平均商服地价。</w:t>
      </w:r>
    </w:p>
    <w:p w14:paraId="1AD3E288" w14:textId="77777777" w:rsidR="00495C65" w:rsidRDefault="00495C65" w:rsidP="00495C65">
      <w:pPr>
        <w:pStyle w:val="13"/>
      </w:pPr>
      <w:r>
        <w:t>7.5.6.3划分</w:t>
      </w:r>
      <w:proofErr w:type="gramStart"/>
      <w:r>
        <w:t>路线价</w:t>
      </w:r>
      <w:proofErr w:type="gramEnd"/>
      <w:r>
        <w:t>区段</w:t>
      </w:r>
    </w:p>
    <w:p w14:paraId="4DA64D9A" w14:textId="77777777" w:rsidR="00495C65" w:rsidRDefault="00495C65" w:rsidP="00495C65">
      <w:pPr>
        <w:pStyle w:val="13"/>
      </w:pPr>
      <w:r>
        <w:rPr>
          <w:rFonts w:hint="eastAsia"/>
        </w:rPr>
        <w:t>要求如下：</w:t>
      </w:r>
    </w:p>
    <w:p w14:paraId="7FFBF0BF" w14:textId="77777777" w:rsidR="00495C65" w:rsidRDefault="00495C65" w:rsidP="00495C65">
      <w:pPr>
        <w:pStyle w:val="13"/>
      </w:pPr>
      <w:r>
        <w:rPr>
          <w:rFonts w:hint="eastAsia"/>
        </w:rPr>
        <w:t>（</w:t>
      </w:r>
      <w:r>
        <w:t>1）商服用地区位条件、交通条件、人流量等因素相似的相邻地块划归同一区段；</w:t>
      </w:r>
    </w:p>
    <w:p w14:paraId="7F4FCD7D" w14:textId="77777777" w:rsidR="00495C65" w:rsidRDefault="00495C65" w:rsidP="00495C65">
      <w:pPr>
        <w:pStyle w:val="13"/>
      </w:pPr>
      <w:r>
        <w:rPr>
          <w:rFonts w:hint="eastAsia"/>
        </w:rPr>
        <w:t>（</w:t>
      </w:r>
      <w:r>
        <w:t>2）把地价水平相近的相邻地块划归同一区段。</w:t>
      </w:r>
    </w:p>
    <w:p w14:paraId="338B2939" w14:textId="77777777" w:rsidR="00495C65" w:rsidRDefault="00495C65" w:rsidP="00495C65">
      <w:pPr>
        <w:pStyle w:val="13"/>
      </w:pPr>
      <w:r>
        <w:t>7.5.6.4设定标准深度</w:t>
      </w:r>
    </w:p>
    <w:p w14:paraId="7CB95070" w14:textId="77777777" w:rsidR="00495C65" w:rsidRDefault="00495C65" w:rsidP="00495C65">
      <w:pPr>
        <w:pStyle w:val="13"/>
      </w:pPr>
      <w:r>
        <w:rPr>
          <w:rFonts w:hint="eastAsia"/>
        </w:rPr>
        <w:t>根据临街宗地样点的价格及其深度间的变化规律，确定标准深度。</w:t>
      </w:r>
    </w:p>
    <w:p w14:paraId="6C4FC5A2" w14:textId="77777777" w:rsidR="00495C65" w:rsidRDefault="00495C65" w:rsidP="00495C65">
      <w:pPr>
        <w:pStyle w:val="13"/>
      </w:pPr>
      <w:r>
        <w:t>7.5.6.5评估区段路线价</w:t>
      </w:r>
    </w:p>
    <w:p w14:paraId="4B5DB5E3" w14:textId="77777777" w:rsidR="00495C65" w:rsidRDefault="00495C65" w:rsidP="00495C65">
      <w:pPr>
        <w:pStyle w:val="13"/>
      </w:pPr>
      <w:r>
        <w:t>要求如下：</w:t>
      </w:r>
    </w:p>
    <w:p w14:paraId="65179DCE" w14:textId="77777777" w:rsidR="00495C65" w:rsidRDefault="00495C65" w:rsidP="00495C65">
      <w:pPr>
        <w:pStyle w:val="13"/>
      </w:pPr>
      <w:r>
        <w:rPr>
          <w:rFonts w:hint="eastAsia"/>
        </w:rPr>
        <w:t>（</w:t>
      </w:r>
      <w:r>
        <w:t>1）市场交易地价资料修正参见7.5.3.1。</w:t>
      </w:r>
    </w:p>
    <w:p w14:paraId="560DC798" w14:textId="77777777" w:rsidR="00495C65" w:rsidRDefault="00495C65" w:rsidP="00495C65">
      <w:pPr>
        <w:pStyle w:val="13"/>
      </w:pPr>
      <w:r>
        <w:rPr>
          <w:rFonts w:hint="eastAsia"/>
        </w:rPr>
        <w:t>（</w:t>
      </w:r>
      <w:r>
        <w:t>2）评估区段路线价</w:t>
      </w:r>
    </w:p>
    <w:p w14:paraId="69AEF14D" w14:textId="77777777" w:rsidR="00495C65" w:rsidRDefault="00495C65" w:rsidP="00495C65">
      <w:pPr>
        <w:pStyle w:val="13"/>
      </w:pPr>
      <w:r>
        <w:rPr>
          <w:rFonts w:hint="eastAsia"/>
        </w:rPr>
        <w:t>以</w:t>
      </w:r>
      <w:proofErr w:type="gramStart"/>
      <w:r>
        <w:rPr>
          <w:rFonts w:hint="eastAsia"/>
        </w:rPr>
        <w:t>路线价</w:t>
      </w:r>
      <w:proofErr w:type="gramEnd"/>
      <w:r>
        <w:rPr>
          <w:rFonts w:hint="eastAsia"/>
        </w:rPr>
        <w:t>区段内市场交易地价资料为基础，进过样点地价修正和检验剔除后，确定区段路线价。具体方法如下：</w:t>
      </w:r>
    </w:p>
    <w:p w14:paraId="776C0411" w14:textId="77777777" w:rsidR="00495C65" w:rsidRDefault="00495C65" w:rsidP="00495C65">
      <w:pPr>
        <w:pStyle w:val="13"/>
      </w:pPr>
      <w:r>
        <w:t>1）取算术平均数或加权平均数；</w:t>
      </w:r>
    </w:p>
    <w:p w14:paraId="05E4EC00" w14:textId="77777777" w:rsidR="00495C65" w:rsidRDefault="00495C65" w:rsidP="00495C65">
      <w:pPr>
        <w:pStyle w:val="13"/>
      </w:pPr>
      <w:r>
        <w:t>2）取中位数；</w:t>
      </w:r>
    </w:p>
    <w:p w14:paraId="3A3E7E2A" w14:textId="77777777" w:rsidR="00495C65" w:rsidRDefault="00495C65" w:rsidP="00495C65">
      <w:pPr>
        <w:pStyle w:val="13"/>
      </w:pPr>
      <w:r>
        <w:t>3）取众数。</w:t>
      </w:r>
    </w:p>
    <w:p w14:paraId="0A7AD3A6" w14:textId="77777777" w:rsidR="00495C65" w:rsidRDefault="00495C65" w:rsidP="00495C65">
      <w:pPr>
        <w:pStyle w:val="ab"/>
        <w:spacing w:before="62" w:after="62"/>
        <w:ind w:firstLine="482"/>
      </w:pPr>
      <w:r>
        <w:t>7.6利用土地收益资料评估基准地价</w:t>
      </w:r>
    </w:p>
    <w:p w14:paraId="2516383C" w14:textId="77777777" w:rsidR="00495C65" w:rsidRDefault="00495C65" w:rsidP="00495C65">
      <w:pPr>
        <w:pStyle w:val="13"/>
      </w:pPr>
      <w:r>
        <w:t>7.6.1土地级别的确定</w:t>
      </w:r>
    </w:p>
    <w:p w14:paraId="607820B9" w14:textId="77777777" w:rsidR="00495C65" w:rsidRDefault="00495C65" w:rsidP="00495C65">
      <w:pPr>
        <w:pStyle w:val="13"/>
      </w:pPr>
      <w:r>
        <w:rPr>
          <w:rFonts w:hint="eastAsia"/>
        </w:rPr>
        <w:t>根据《城镇土地分等定级规程》（</w:t>
      </w:r>
      <w:r>
        <w:t>GB/TN18507）的要求，确定土地的级别。</w:t>
      </w:r>
    </w:p>
    <w:p w14:paraId="7B8C4B9F" w14:textId="77777777" w:rsidR="00495C65" w:rsidRDefault="00495C65" w:rsidP="00495C65">
      <w:pPr>
        <w:pStyle w:val="13"/>
      </w:pPr>
      <w:r>
        <w:t>7.6.2样本数据处理</w:t>
      </w:r>
    </w:p>
    <w:p w14:paraId="503DFA9D" w14:textId="77777777" w:rsidR="00495C65" w:rsidRDefault="00495C65" w:rsidP="00495C65">
      <w:pPr>
        <w:pStyle w:val="13"/>
      </w:pPr>
      <w:r>
        <w:t>7.6.2.1土地利用类型的划分</w:t>
      </w:r>
    </w:p>
    <w:p w14:paraId="74C42995" w14:textId="77777777" w:rsidR="00495C65" w:rsidRDefault="00495C65" w:rsidP="00495C65">
      <w:pPr>
        <w:pStyle w:val="13"/>
      </w:pPr>
      <w:r>
        <w:rPr>
          <w:rFonts w:hint="eastAsia"/>
        </w:rPr>
        <w:t>根据城镇特点和土地利用类型的经济资料差异，将土地利用类型</w:t>
      </w:r>
      <w:proofErr w:type="gramStart"/>
      <w:r>
        <w:rPr>
          <w:rFonts w:hint="eastAsia"/>
        </w:rPr>
        <w:t>分为商</w:t>
      </w:r>
      <w:proofErr w:type="gramEnd"/>
      <w:r>
        <w:rPr>
          <w:rFonts w:hint="eastAsia"/>
        </w:rPr>
        <w:t>服、住宅、工业用地等，条件具备的地方，可对用地类型作进一步细分。</w:t>
      </w:r>
    </w:p>
    <w:p w14:paraId="247C1D16" w14:textId="77777777" w:rsidR="00495C65" w:rsidRDefault="00495C65" w:rsidP="00495C65">
      <w:pPr>
        <w:pStyle w:val="13"/>
      </w:pPr>
      <w:r w:rsidRPr="00425FDE">
        <w:t>7.6.2.</w:t>
      </w:r>
      <w:r>
        <w:t>2</w:t>
      </w:r>
      <w:r>
        <w:rPr>
          <w:rFonts w:hint="eastAsia"/>
        </w:rPr>
        <w:t>单元土地质量指数计算</w:t>
      </w:r>
    </w:p>
    <w:p w14:paraId="48749475" w14:textId="77777777" w:rsidR="00495C65" w:rsidRDefault="00495C65" w:rsidP="00495C65">
      <w:pPr>
        <w:pStyle w:val="13"/>
      </w:pPr>
      <w:r w:rsidRPr="00F163C8">
        <w:rPr>
          <w:rFonts w:hint="eastAsia"/>
        </w:rPr>
        <w:t>根据土地级别内单元总分值进行级差收益测算时，单元土地质量指数按式（</w:t>
      </w:r>
      <w:r w:rsidRPr="00F163C8">
        <w:t>35）</w:t>
      </w:r>
      <w:r w:rsidRPr="00F163C8">
        <w:lastRenderedPageBreak/>
        <w:t>计</w:t>
      </w:r>
      <w:r w:rsidRPr="00F163C8">
        <w:rPr>
          <w:rFonts w:hint="eastAsia"/>
        </w:rPr>
        <w:t>算：</w:t>
      </w:r>
    </w:p>
    <w:p w14:paraId="3B702093" w14:textId="77777777" w:rsidR="00495C65" w:rsidRDefault="00495C65" w:rsidP="00495C65">
      <w:pPr>
        <w:spacing w:before="197"/>
        <w:ind w:left="3473"/>
        <w:rPr>
          <w:rFonts w:ascii="宋体" w:hAnsi="宋体"/>
          <w:iCs/>
          <w:position w:val="1"/>
          <w:sz w:val="24"/>
        </w:rPr>
      </w:pPr>
      <w:r w:rsidRPr="00CC0AE8">
        <w:rPr>
          <w:rFonts w:ascii="宋体" w:hAnsi="宋体"/>
          <w:i/>
          <w:position w:val="1"/>
          <w:sz w:val="24"/>
        </w:rPr>
        <w:t>X</w:t>
      </w:r>
      <w:r w:rsidRPr="008875C4">
        <w:rPr>
          <w:rFonts w:ascii="宋体" w:hAnsi="宋体"/>
          <w:i/>
          <w:position w:val="1"/>
          <w:sz w:val="24"/>
          <w:vertAlign w:val="subscript"/>
        </w:rPr>
        <w:t>in</w:t>
      </w:r>
      <w:r w:rsidRPr="00CC0AE8">
        <w:rPr>
          <w:rFonts w:ascii="宋体" w:hAnsi="宋体"/>
          <w:i/>
          <w:position w:val="1"/>
          <w:sz w:val="24"/>
        </w:rPr>
        <w:t>=f</w:t>
      </w:r>
      <w:r w:rsidRPr="008875C4">
        <w:rPr>
          <w:rFonts w:ascii="宋体" w:hAnsi="宋体"/>
          <w:i/>
          <w:position w:val="1"/>
          <w:sz w:val="24"/>
          <w:vertAlign w:val="subscript"/>
        </w:rPr>
        <w:t>i</w:t>
      </w:r>
      <w:r w:rsidRPr="00CC0AE8">
        <w:rPr>
          <w:rFonts w:ascii="宋体" w:hAnsi="宋体"/>
          <w:i/>
          <w:position w:val="1"/>
          <w:sz w:val="24"/>
        </w:rPr>
        <w:t>/n</w:t>
      </w:r>
      <w:r>
        <w:rPr>
          <w:rFonts w:ascii="宋体" w:hAnsi="宋体"/>
          <w:i/>
          <w:position w:val="1"/>
          <w:sz w:val="24"/>
        </w:rPr>
        <w:t xml:space="preserve">                                  </w:t>
      </w:r>
      <w:r w:rsidRPr="00CC0AE8">
        <w:rPr>
          <w:rFonts w:ascii="宋体" w:hAnsi="宋体"/>
          <w:iCs/>
          <w:position w:val="1"/>
          <w:sz w:val="24"/>
        </w:rPr>
        <w:t>（35）</w:t>
      </w:r>
    </w:p>
    <w:p w14:paraId="579E7999" w14:textId="77777777" w:rsidR="00495C65" w:rsidRDefault="00495C65" w:rsidP="00495C65">
      <w:pPr>
        <w:pStyle w:val="13"/>
      </w:pPr>
      <w:r>
        <w:rPr>
          <w:rFonts w:hint="eastAsia"/>
        </w:rPr>
        <w:t>式中：</w:t>
      </w:r>
    </w:p>
    <w:p w14:paraId="75ABC662" w14:textId="77777777" w:rsidR="00495C65" w:rsidRDefault="00495C65" w:rsidP="00495C65">
      <w:pPr>
        <w:pStyle w:val="13"/>
        <w:ind w:firstLineChars="500" w:firstLine="1200"/>
      </w:pPr>
      <w:r w:rsidRPr="00534259">
        <w:rPr>
          <w:i/>
          <w:iCs/>
        </w:rPr>
        <w:t>X</w:t>
      </w:r>
      <w:r w:rsidRPr="00534259">
        <w:rPr>
          <w:i/>
          <w:iCs/>
          <w:vertAlign w:val="subscript"/>
        </w:rPr>
        <w:t>in</w:t>
      </w:r>
      <w:r>
        <w:t>—某单元土地质量指数；</w:t>
      </w:r>
    </w:p>
    <w:p w14:paraId="59E69BB4" w14:textId="77777777" w:rsidR="00495C65" w:rsidRDefault="00495C65" w:rsidP="00495C65">
      <w:pPr>
        <w:pStyle w:val="13"/>
        <w:ind w:firstLineChars="500" w:firstLine="1200"/>
      </w:pPr>
      <w:r w:rsidRPr="00534259">
        <w:rPr>
          <w:i/>
          <w:iCs/>
        </w:rPr>
        <w:t>f</w:t>
      </w:r>
      <w:r w:rsidRPr="00534259">
        <w:rPr>
          <w:i/>
          <w:iCs/>
          <w:vertAlign w:val="subscript"/>
        </w:rPr>
        <w:t>i</w:t>
      </w:r>
      <w:r>
        <w:t>—某单元总分值；</w:t>
      </w:r>
    </w:p>
    <w:p w14:paraId="7EF03D33" w14:textId="77777777" w:rsidR="00495C65" w:rsidRDefault="00495C65" w:rsidP="00495C65">
      <w:pPr>
        <w:pStyle w:val="13"/>
        <w:ind w:firstLineChars="500" w:firstLine="1200"/>
      </w:pPr>
      <w:r w:rsidRPr="00534259">
        <w:rPr>
          <w:i/>
          <w:iCs/>
        </w:rPr>
        <w:t>n</w:t>
      </w:r>
      <w:proofErr w:type="gramStart"/>
      <w:r>
        <w:t>—土地</w:t>
      </w:r>
      <w:proofErr w:type="gramEnd"/>
      <w:r>
        <w:t>级别数。</w:t>
      </w:r>
    </w:p>
    <w:p w14:paraId="6168D48C" w14:textId="77777777" w:rsidR="00495C65" w:rsidRDefault="00495C65" w:rsidP="00495C65">
      <w:pPr>
        <w:pStyle w:val="13"/>
      </w:pPr>
      <w:r w:rsidRPr="00F90818">
        <w:t>7.6.2.</w:t>
      </w:r>
      <w:r>
        <w:t>3</w:t>
      </w:r>
      <w:r>
        <w:rPr>
          <w:rFonts w:hint="eastAsia"/>
        </w:rPr>
        <w:t>行业或类别资本效益折算系数的计算</w:t>
      </w:r>
    </w:p>
    <w:p w14:paraId="0DAEE4FD" w14:textId="77777777" w:rsidR="00495C65" w:rsidRDefault="00495C65" w:rsidP="00495C65">
      <w:pPr>
        <w:pStyle w:val="13"/>
      </w:pPr>
      <w:r>
        <w:rPr>
          <w:rFonts w:hint="eastAsia"/>
        </w:rPr>
        <w:t>分别以商服、住宅、工业中某种行业或类别的资本为标准，按式（</w:t>
      </w:r>
      <w:r>
        <w:t>36）计算各行业或类别的资本效益折算系数：</w:t>
      </w:r>
    </w:p>
    <w:p w14:paraId="0993877E" w14:textId="77777777" w:rsidR="00495C65" w:rsidRPr="00071601" w:rsidRDefault="00495C65" w:rsidP="00495C65">
      <w:pPr>
        <w:spacing w:before="197"/>
        <w:ind w:left="3473"/>
        <w:rPr>
          <w:rFonts w:ascii="宋体" w:hAnsi="宋体"/>
          <w:iCs/>
          <w:position w:val="1"/>
          <w:sz w:val="24"/>
        </w:rPr>
      </w:pPr>
      <w:proofErr w:type="spellStart"/>
      <w:r w:rsidRPr="00071601">
        <w:rPr>
          <w:rFonts w:ascii="宋体" w:hAnsi="宋体"/>
          <w:i/>
          <w:position w:val="1"/>
          <w:sz w:val="24"/>
        </w:rPr>
        <w:t>K</w:t>
      </w:r>
      <w:r w:rsidRPr="00447105">
        <w:rPr>
          <w:rFonts w:ascii="宋体" w:hAnsi="宋体"/>
          <w:i/>
          <w:position w:val="1"/>
          <w:sz w:val="24"/>
          <w:vertAlign w:val="subscript"/>
        </w:rPr>
        <w:t>ci</w:t>
      </w:r>
      <w:proofErr w:type="spellEnd"/>
      <w:r w:rsidRPr="00071601">
        <w:rPr>
          <w:rFonts w:ascii="宋体" w:hAnsi="宋体"/>
          <w:i/>
          <w:position w:val="1"/>
          <w:sz w:val="24"/>
        </w:rPr>
        <w:t>=</w:t>
      </w:r>
      <w:proofErr w:type="spellStart"/>
      <w:r w:rsidRPr="00071601">
        <w:rPr>
          <w:rFonts w:ascii="宋体" w:hAnsi="宋体"/>
          <w:i/>
          <w:position w:val="1"/>
          <w:sz w:val="24"/>
        </w:rPr>
        <w:t>C</w:t>
      </w:r>
      <w:r w:rsidRPr="00447105">
        <w:rPr>
          <w:rFonts w:ascii="宋体" w:hAnsi="宋体"/>
          <w:i/>
          <w:position w:val="1"/>
          <w:sz w:val="24"/>
          <w:vertAlign w:val="subscript"/>
        </w:rPr>
        <w:t>rm</w:t>
      </w:r>
      <w:proofErr w:type="spellEnd"/>
      <w:r w:rsidRPr="00071601">
        <w:rPr>
          <w:rFonts w:ascii="宋体" w:hAnsi="宋体"/>
          <w:i/>
          <w:position w:val="1"/>
          <w:sz w:val="24"/>
        </w:rPr>
        <w:t>/C</w:t>
      </w:r>
      <w:r w:rsidRPr="00447105">
        <w:rPr>
          <w:rFonts w:ascii="宋体" w:hAnsi="宋体"/>
          <w:i/>
          <w:position w:val="1"/>
          <w:sz w:val="24"/>
          <w:vertAlign w:val="subscript"/>
        </w:rPr>
        <w:t>r</w:t>
      </w:r>
      <w:r>
        <w:rPr>
          <w:rFonts w:ascii="宋体" w:hAnsi="宋体"/>
          <w:i/>
          <w:position w:val="1"/>
          <w:sz w:val="24"/>
        </w:rPr>
        <w:t xml:space="preserve">                                 </w:t>
      </w:r>
      <w:r w:rsidRPr="00071601">
        <w:rPr>
          <w:rFonts w:ascii="宋体" w:hAnsi="宋体"/>
          <w:iCs/>
          <w:position w:val="1"/>
          <w:sz w:val="24"/>
        </w:rPr>
        <w:t>（36）</w:t>
      </w:r>
    </w:p>
    <w:p w14:paraId="7BC1AE7B" w14:textId="77777777" w:rsidR="00495C65" w:rsidRDefault="00495C65" w:rsidP="00495C65">
      <w:pPr>
        <w:pStyle w:val="13"/>
      </w:pPr>
      <w:r>
        <w:rPr>
          <w:rFonts w:hint="eastAsia"/>
        </w:rPr>
        <w:t>式中：</w:t>
      </w:r>
    </w:p>
    <w:p w14:paraId="504FB059" w14:textId="77777777" w:rsidR="00495C65" w:rsidRDefault="00495C65" w:rsidP="00495C65">
      <w:pPr>
        <w:pStyle w:val="13"/>
        <w:ind w:firstLineChars="500" w:firstLine="1200"/>
      </w:pPr>
      <w:proofErr w:type="spellStart"/>
      <w:r w:rsidRPr="00115752">
        <w:rPr>
          <w:i/>
          <w:iCs/>
        </w:rPr>
        <w:t>K</w:t>
      </w:r>
      <w:r w:rsidRPr="00115752">
        <w:rPr>
          <w:i/>
          <w:iCs/>
          <w:vertAlign w:val="subscript"/>
        </w:rPr>
        <w:t>ci</w:t>
      </w:r>
      <w:proofErr w:type="spellEnd"/>
      <w:r>
        <w:t>—某用地类型中的某行业或类别资本效益折算系数；</w:t>
      </w:r>
    </w:p>
    <w:p w14:paraId="1C2D365A" w14:textId="77777777" w:rsidR="00495C65" w:rsidRDefault="00495C65" w:rsidP="00495C65">
      <w:pPr>
        <w:pStyle w:val="13"/>
        <w:ind w:firstLineChars="500" w:firstLine="1200"/>
      </w:pPr>
      <w:proofErr w:type="spellStart"/>
      <w:r w:rsidRPr="00115752">
        <w:rPr>
          <w:i/>
          <w:iCs/>
        </w:rPr>
        <w:t>C</w:t>
      </w:r>
      <w:r w:rsidRPr="00115752">
        <w:rPr>
          <w:i/>
          <w:iCs/>
          <w:vertAlign w:val="subscript"/>
        </w:rPr>
        <w:t>rm</w:t>
      </w:r>
      <w:proofErr w:type="spellEnd"/>
      <w:r>
        <w:t>—该用地类型中某一行业或类别全市平均资金利润率；</w:t>
      </w:r>
    </w:p>
    <w:p w14:paraId="0D8AE361" w14:textId="77777777" w:rsidR="00495C65" w:rsidRDefault="00495C65" w:rsidP="00495C65">
      <w:pPr>
        <w:pStyle w:val="13"/>
        <w:ind w:firstLineChars="500" w:firstLine="1200"/>
      </w:pPr>
      <w:r w:rsidRPr="00115752">
        <w:rPr>
          <w:i/>
          <w:iCs/>
        </w:rPr>
        <w:t>C</w:t>
      </w:r>
      <w:r w:rsidRPr="00115752">
        <w:rPr>
          <w:i/>
          <w:iCs/>
          <w:vertAlign w:val="subscript"/>
        </w:rPr>
        <w:t>r</w:t>
      </w:r>
      <w:r>
        <w:t>—该用地类型中标准行业或类别全市平均资金利润率。</w:t>
      </w:r>
    </w:p>
    <w:p w14:paraId="2441BB0F" w14:textId="77777777" w:rsidR="00495C65" w:rsidRDefault="00495C65" w:rsidP="00495C65">
      <w:pPr>
        <w:pStyle w:val="13"/>
      </w:pPr>
      <w:r w:rsidRPr="00D04BC9">
        <w:t>7.6.2.</w:t>
      </w:r>
      <w:r>
        <w:t>4</w:t>
      </w:r>
      <w:r>
        <w:rPr>
          <w:rFonts w:hint="eastAsia"/>
        </w:rPr>
        <w:t>规模资本效益折算系数的计算</w:t>
      </w:r>
    </w:p>
    <w:p w14:paraId="08B1F87B" w14:textId="77777777" w:rsidR="00495C65" w:rsidRPr="00B1604C" w:rsidRDefault="00495C65" w:rsidP="00495C65">
      <w:pPr>
        <w:pStyle w:val="13"/>
      </w:pPr>
      <w:r w:rsidRPr="00B1604C">
        <w:rPr>
          <w:rFonts w:hint="eastAsia"/>
        </w:rPr>
        <w:t>分别以商服、住宅、工业中当地行业最佳企业规模或技术水平下的资本为标准，按下式计算规模资本效益折算系数：</w:t>
      </w:r>
    </w:p>
    <w:p w14:paraId="2E964BD8" w14:textId="77777777" w:rsidR="00495C65" w:rsidRPr="00406D30" w:rsidRDefault="00495C65" w:rsidP="00495C65">
      <w:pPr>
        <w:spacing w:before="197"/>
        <w:ind w:left="3473"/>
        <w:rPr>
          <w:rFonts w:ascii="宋体" w:hAnsi="宋体"/>
          <w:iCs/>
          <w:position w:val="1"/>
          <w:sz w:val="24"/>
        </w:rPr>
      </w:pPr>
      <w:proofErr w:type="spellStart"/>
      <w:r w:rsidRPr="00406D30">
        <w:rPr>
          <w:rFonts w:ascii="宋体" w:hAnsi="宋体"/>
          <w:i/>
          <w:position w:val="1"/>
          <w:sz w:val="24"/>
        </w:rPr>
        <w:t>K</w:t>
      </w:r>
      <w:r w:rsidRPr="003D6100">
        <w:rPr>
          <w:rFonts w:ascii="宋体" w:hAnsi="宋体"/>
          <w:i/>
          <w:position w:val="1"/>
          <w:sz w:val="24"/>
          <w:vertAlign w:val="subscript"/>
        </w:rPr>
        <w:t>cs</w:t>
      </w:r>
      <w:proofErr w:type="spellEnd"/>
      <w:r w:rsidRPr="00406D30">
        <w:rPr>
          <w:rFonts w:ascii="宋体" w:hAnsi="宋体"/>
          <w:i/>
          <w:position w:val="1"/>
          <w:sz w:val="24"/>
        </w:rPr>
        <w:t>=</w:t>
      </w:r>
      <w:proofErr w:type="spellStart"/>
      <w:r w:rsidRPr="00406D30">
        <w:rPr>
          <w:rFonts w:ascii="宋体" w:hAnsi="宋体"/>
          <w:i/>
          <w:position w:val="1"/>
          <w:sz w:val="24"/>
        </w:rPr>
        <w:t>C</w:t>
      </w:r>
      <w:r w:rsidRPr="003D6100">
        <w:rPr>
          <w:rFonts w:ascii="宋体" w:hAnsi="宋体"/>
          <w:i/>
          <w:position w:val="1"/>
          <w:sz w:val="24"/>
          <w:vertAlign w:val="subscript"/>
        </w:rPr>
        <w:t>rn</w:t>
      </w:r>
      <w:proofErr w:type="spellEnd"/>
      <w:r w:rsidRPr="00406D30">
        <w:rPr>
          <w:rFonts w:ascii="宋体" w:hAnsi="宋体"/>
          <w:i/>
          <w:position w:val="1"/>
          <w:sz w:val="24"/>
        </w:rPr>
        <w:t>/</w:t>
      </w:r>
      <w:proofErr w:type="spellStart"/>
      <w:r w:rsidRPr="00406D30">
        <w:rPr>
          <w:rFonts w:ascii="宋体" w:hAnsi="宋体"/>
          <w:i/>
          <w:position w:val="1"/>
          <w:sz w:val="24"/>
        </w:rPr>
        <w:t>C</w:t>
      </w:r>
      <w:r w:rsidRPr="003D6100">
        <w:rPr>
          <w:rFonts w:ascii="宋体" w:hAnsi="宋体"/>
          <w:i/>
          <w:position w:val="1"/>
          <w:sz w:val="24"/>
          <w:vertAlign w:val="subscript"/>
        </w:rPr>
        <w:t>max</w:t>
      </w:r>
      <w:proofErr w:type="spellEnd"/>
      <w:r w:rsidRPr="00406D30">
        <w:rPr>
          <w:rFonts w:ascii="宋体" w:hAnsi="宋体"/>
          <w:i/>
          <w:position w:val="1"/>
          <w:sz w:val="24"/>
        </w:rPr>
        <w:t xml:space="preserve">      </w:t>
      </w:r>
      <w:r>
        <w:rPr>
          <w:rFonts w:ascii="宋体" w:hAnsi="宋体"/>
          <w:i/>
          <w:position w:val="1"/>
          <w:sz w:val="24"/>
        </w:rPr>
        <w:t xml:space="preserve">    </w:t>
      </w:r>
      <w:r w:rsidRPr="00406D30">
        <w:rPr>
          <w:rFonts w:ascii="宋体" w:hAnsi="宋体"/>
          <w:i/>
          <w:position w:val="1"/>
          <w:sz w:val="24"/>
        </w:rPr>
        <w:t xml:space="preserve">                      </w:t>
      </w:r>
      <w:r w:rsidRPr="00406D30">
        <w:rPr>
          <w:rFonts w:ascii="宋体" w:hAnsi="宋体"/>
          <w:iCs/>
          <w:position w:val="1"/>
          <w:sz w:val="24"/>
        </w:rPr>
        <w:t>（37）</w:t>
      </w:r>
    </w:p>
    <w:p w14:paraId="56E86A0B" w14:textId="77777777" w:rsidR="00495C65" w:rsidRDefault="00495C65" w:rsidP="00495C65">
      <w:pPr>
        <w:pStyle w:val="13"/>
      </w:pPr>
      <w:r>
        <w:rPr>
          <w:rFonts w:hint="eastAsia"/>
        </w:rPr>
        <w:t>式中：</w:t>
      </w:r>
    </w:p>
    <w:p w14:paraId="2D391A43" w14:textId="77777777" w:rsidR="00495C65" w:rsidRDefault="00495C65" w:rsidP="00495C65">
      <w:pPr>
        <w:pStyle w:val="13"/>
        <w:ind w:firstLineChars="500" w:firstLine="1200"/>
      </w:pPr>
      <w:proofErr w:type="spellStart"/>
      <w:r w:rsidRPr="00117C56">
        <w:rPr>
          <w:i/>
          <w:iCs/>
        </w:rPr>
        <w:t>K</w:t>
      </w:r>
      <w:r w:rsidRPr="00117C56">
        <w:rPr>
          <w:i/>
          <w:iCs/>
          <w:vertAlign w:val="subscript"/>
        </w:rPr>
        <w:t>cs</w:t>
      </w:r>
      <w:proofErr w:type="spellEnd"/>
      <w:r>
        <w:t>—某一行业或类别某一规模下的资本效益折算系数；</w:t>
      </w:r>
    </w:p>
    <w:p w14:paraId="02B15642" w14:textId="77777777" w:rsidR="00495C65" w:rsidRDefault="00495C65" w:rsidP="00495C65">
      <w:pPr>
        <w:pStyle w:val="13"/>
        <w:ind w:firstLineChars="500" w:firstLine="1200"/>
      </w:pPr>
      <w:proofErr w:type="spellStart"/>
      <w:r w:rsidRPr="00117C56">
        <w:rPr>
          <w:i/>
          <w:iCs/>
        </w:rPr>
        <w:t>C</w:t>
      </w:r>
      <w:r w:rsidRPr="00117C56">
        <w:rPr>
          <w:i/>
          <w:iCs/>
          <w:vertAlign w:val="subscript"/>
        </w:rPr>
        <w:t>rn</w:t>
      </w:r>
      <w:proofErr w:type="spellEnd"/>
      <w:proofErr w:type="gramStart"/>
      <w:r>
        <w:t>—该行业</w:t>
      </w:r>
      <w:proofErr w:type="gramEnd"/>
      <w:r>
        <w:t>或类别某一规模下的全市平均资金利润率；</w:t>
      </w:r>
    </w:p>
    <w:p w14:paraId="6846D440" w14:textId="77777777" w:rsidR="00495C65" w:rsidRDefault="00495C65" w:rsidP="00495C65">
      <w:pPr>
        <w:pStyle w:val="13"/>
        <w:ind w:firstLineChars="500" w:firstLine="1200"/>
      </w:pPr>
      <w:proofErr w:type="spellStart"/>
      <w:r w:rsidRPr="00117C56">
        <w:rPr>
          <w:i/>
          <w:iCs/>
        </w:rPr>
        <w:t>C</w:t>
      </w:r>
      <w:r w:rsidRPr="00117C56">
        <w:rPr>
          <w:i/>
          <w:iCs/>
          <w:vertAlign w:val="subscript"/>
        </w:rPr>
        <w:t>max</w:t>
      </w:r>
      <w:proofErr w:type="spellEnd"/>
      <w:proofErr w:type="gramStart"/>
      <w:r>
        <w:t>—该行业</w:t>
      </w:r>
      <w:proofErr w:type="gramEnd"/>
      <w:r>
        <w:t>或类别最佳规模下的全市平均资金利润率。</w:t>
      </w:r>
    </w:p>
    <w:p w14:paraId="004996E3" w14:textId="77777777" w:rsidR="00495C65" w:rsidRDefault="00495C65" w:rsidP="00495C65">
      <w:pPr>
        <w:pStyle w:val="13"/>
      </w:pPr>
      <w:r w:rsidRPr="005573F1">
        <w:t>7.6.2.</w:t>
      </w:r>
      <w:r>
        <w:t>5</w:t>
      </w:r>
      <w:r>
        <w:rPr>
          <w:rFonts w:hint="eastAsia"/>
        </w:rPr>
        <w:t>企业标准资本额的计算</w:t>
      </w:r>
    </w:p>
    <w:p w14:paraId="222E41B5" w14:textId="77777777" w:rsidR="00495C65" w:rsidRDefault="00495C65" w:rsidP="00495C65">
      <w:pPr>
        <w:pStyle w:val="13"/>
      </w:pPr>
      <w:r>
        <w:rPr>
          <w:rFonts w:hint="eastAsia"/>
        </w:rPr>
        <w:t>企业标准资本额按式（</w:t>
      </w:r>
      <w:r>
        <w:t>38）计算：</w:t>
      </w:r>
    </w:p>
    <w:p w14:paraId="639B7BEB" w14:textId="77777777" w:rsidR="00495C65" w:rsidRPr="00B52AD2" w:rsidRDefault="00495C65" w:rsidP="00495C65">
      <w:pPr>
        <w:spacing w:before="197"/>
        <w:ind w:left="3473"/>
        <w:rPr>
          <w:rFonts w:ascii="宋体" w:hAnsi="宋体"/>
          <w:i/>
          <w:position w:val="1"/>
          <w:sz w:val="24"/>
        </w:rPr>
      </w:pPr>
      <w:r w:rsidRPr="00B52AD2">
        <w:rPr>
          <w:rFonts w:ascii="宋体" w:hAnsi="宋体"/>
          <w:i/>
          <w:position w:val="1"/>
          <w:sz w:val="24"/>
        </w:rPr>
        <w:t>C</w:t>
      </w:r>
      <w:r w:rsidRPr="00B52AD2">
        <w:rPr>
          <w:rFonts w:ascii="宋体" w:hAnsi="宋体"/>
          <w:i/>
          <w:position w:val="1"/>
          <w:sz w:val="24"/>
          <w:vertAlign w:val="subscript"/>
        </w:rPr>
        <w:t>s</w:t>
      </w:r>
      <w:r w:rsidRPr="00B52AD2">
        <w:rPr>
          <w:rFonts w:ascii="宋体" w:hAnsi="宋体"/>
          <w:i/>
          <w:position w:val="1"/>
          <w:sz w:val="24"/>
        </w:rPr>
        <w:t>=</w:t>
      </w:r>
      <w:proofErr w:type="spellStart"/>
      <w:r w:rsidRPr="00B52AD2">
        <w:rPr>
          <w:rFonts w:ascii="宋体" w:hAnsi="宋体"/>
          <w:i/>
          <w:position w:val="1"/>
          <w:sz w:val="24"/>
        </w:rPr>
        <w:t>C</w:t>
      </w:r>
      <w:r w:rsidRPr="00B52AD2">
        <w:rPr>
          <w:rFonts w:ascii="宋体" w:hAnsi="宋体"/>
          <w:i/>
          <w:position w:val="1"/>
          <w:sz w:val="24"/>
          <w:vertAlign w:val="subscript"/>
        </w:rPr>
        <w:t>e</w:t>
      </w:r>
      <w:r w:rsidRPr="00B52AD2">
        <w:rPr>
          <w:rFonts w:ascii="宋体" w:hAnsi="宋体"/>
          <w:i/>
          <w:position w:val="1"/>
          <w:sz w:val="24"/>
        </w:rPr>
        <w:t>×K</w:t>
      </w:r>
      <w:r w:rsidRPr="00B52AD2">
        <w:rPr>
          <w:rFonts w:ascii="宋体" w:hAnsi="宋体"/>
          <w:i/>
          <w:position w:val="1"/>
          <w:sz w:val="24"/>
          <w:vertAlign w:val="subscript"/>
        </w:rPr>
        <w:t>ci</w:t>
      </w:r>
      <w:r w:rsidRPr="00B52AD2">
        <w:rPr>
          <w:rFonts w:ascii="宋体" w:hAnsi="宋体"/>
          <w:i/>
          <w:position w:val="1"/>
          <w:sz w:val="24"/>
        </w:rPr>
        <w:t>×K</w:t>
      </w:r>
      <w:r w:rsidRPr="00B52AD2">
        <w:rPr>
          <w:rFonts w:ascii="宋体" w:hAnsi="宋体"/>
          <w:i/>
          <w:position w:val="1"/>
          <w:sz w:val="24"/>
          <w:vertAlign w:val="subscript"/>
        </w:rPr>
        <w:t>c</w:t>
      </w:r>
      <w:proofErr w:type="spellEnd"/>
      <w:r>
        <w:rPr>
          <w:rFonts w:ascii="宋体" w:hAnsi="宋体"/>
          <w:i/>
          <w:position w:val="1"/>
          <w:sz w:val="24"/>
        </w:rPr>
        <w:t xml:space="preserve">                             </w:t>
      </w:r>
      <w:r w:rsidRPr="00B52AD2">
        <w:rPr>
          <w:rFonts w:ascii="宋体" w:hAnsi="宋体"/>
          <w:iCs/>
          <w:position w:val="1"/>
          <w:sz w:val="24"/>
        </w:rPr>
        <w:t>（38）</w:t>
      </w:r>
    </w:p>
    <w:p w14:paraId="5EEDD351" w14:textId="77777777" w:rsidR="00495C65" w:rsidRDefault="00495C65" w:rsidP="00495C65">
      <w:pPr>
        <w:pStyle w:val="13"/>
      </w:pPr>
      <w:r>
        <w:rPr>
          <w:rFonts w:hint="eastAsia"/>
        </w:rPr>
        <w:t>式中：</w:t>
      </w:r>
    </w:p>
    <w:p w14:paraId="64D0A84F" w14:textId="77777777" w:rsidR="00495C65" w:rsidRDefault="00495C65" w:rsidP="00495C65">
      <w:pPr>
        <w:pStyle w:val="13"/>
        <w:ind w:firstLineChars="500" w:firstLine="1200"/>
      </w:pPr>
      <w:r w:rsidRPr="008E79B5">
        <w:rPr>
          <w:i/>
          <w:iCs/>
        </w:rPr>
        <w:t>C</w:t>
      </w:r>
      <w:r w:rsidRPr="008E79B5">
        <w:rPr>
          <w:i/>
          <w:iCs/>
          <w:vertAlign w:val="subscript"/>
        </w:rPr>
        <w:t>s</w:t>
      </w:r>
      <w:r>
        <w:t>—企业标准资本额；</w:t>
      </w:r>
    </w:p>
    <w:p w14:paraId="33D5CF64" w14:textId="77777777" w:rsidR="00495C65" w:rsidRDefault="00495C65" w:rsidP="00495C65">
      <w:pPr>
        <w:pStyle w:val="13"/>
        <w:ind w:firstLineChars="500" w:firstLine="1200"/>
      </w:pPr>
      <w:r w:rsidRPr="008E79B5">
        <w:rPr>
          <w:i/>
          <w:iCs/>
        </w:rPr>
        <w:t>C</w:t>
      </w:r>
      <w:r w:rsidRPr="008E79B5">
        <w:rPr>
          <w:i/>
          <w:iCs/>
          <w:vertAlign w:val="subscript"/>
        </w:rPr>
        <w:t>e</w:t>
      </w:r>
      <w:r>
        <w:t>—企业实际使用的资本额；</w:t>
      </w:r>
    </w:p>
    <w:p w14:paraId="2C82105D" w14:textId="77777777" w:rsidR="00495C65" w:rsidRDefault="00495C65" w:rsidP="00495C65">
      <w:pPr>
        <w:pStyle w:val="13"/>
        <w:ind w:firstLineChars="500" w:firstLine="1200"/>
      </w:pPr>
      <w:proofErr w:type="spellStart"/>
      <w:r w:rsidRPr="008E79B5">
        <w:rPr>
          <w:i/>
          <w:iCs/>
        </w:rPr>
        <w:t>K</w:t>
      </w:r>
      <w:r w:rsidRPr="008E79B5">
        <w:rPr>
          <w:i/>
          <w:iCs/>
          <w:vertAlign w:val="subscript"/>
        </w:rPr>
        <w:t>ci</w:t>
      </w:r>
      <w:proofErr w:type="spellEnd"/>
      <w:r>
        <w:t>、</w:t>
      </w:r>
      <w:proofErr w:type="spellStart"/>
      <w:r w:rsidRPr="008E79B5">
        <w:rPr>
          <w:i/>
          <w:iCs/>
        </w:rPr>
        <w:t>K</w:t>
      </w:r>
      <w:r w:rsidRPr="008E79B5">
        <w:rPr>
          <w:i/>
          <w:iCs/>
          <w:vertAlign w:val="subscript"/>
        </w:rPr>
        <w:t>cs</w:t>
      </w:r>
      <w:proofErr w:type="spellEnd"/>
      <w:r>
        <w:t>同前。</w:t>
      </w:r>
    </w:p>
    <w:p w14:paraId="14BA7BE1" w14:textId="77777777" w:rsidR="00495C65" w:rsidRDefault="00495C65" w:rsidP="00495C65">
      <w:pPr>
        <w:pStyle w:val="13"/>
      </w:pPr>
      <w:r w:rsidRPr="003D2960">
        <w:t>7.6.2.</w:t>
      </w:r>
      <w:r>
        <w:t>6</w:t>
      </w:r>
      <w:r>
        <w:rPr>
          <w:rFonts w:hint="eastAsia"/>
        </w:rPr>
        <w:t>合理工资量的计算</w:t>
      </w:r>
    </w:p>
    <w:p w14:paraId="512F3423" w14:textId="77777777" w:rsidR="00495C65" w:rsidRDefault="00495C65" w:rsidP="00495C65">
      <w:pPr>
        <w:pStyle w:val="13"/>
      </w:pPr>
      <w:r>
        <w:rPr>
          <w:rFonts w:hint="eastAsia"/>
        </w:rPr>
        <w:t>按当地各行业不同技术水平下劳动力的定员标准，用式（</w:t>
      </w:r>
      <w:r>
        <w:t>39）计算合理的工资支出标准：</w:t>
      </w:r>
    </w:p>
    <w:p w14:paraId="1AF014E8" w14:textId="77777777" w:rsidR="00495C65" w:rsidRPr="00DC345B" w:rsidRDefault="00495C65" w:rsidP="00495C65">
      <w:pPr>
        <w:spacing w:before="197"/>
        <w:ind w:left="3473"/>
        <w:rPr>
          <w:rFonts w:ascii="宋体" w:hAnsi="宋体"/>
          <w:i/>
          <w:position w:val="1"/>
          <w:sz w:val="24"/>
        </w:rPr>
      </w:pPr>
      <w:r w:rsidRPr="00DC345B">
        <w:rPr>
          <w:rFonts w:ascii="宋体" w:hAnsi="宋体"/>
          <w:i/>
          <w:position w:val="1"/>
          <w:sz w:val="24"/>
        </w:rPr>
        <w:t>L</w:t>
      </w:r>
      <w:r w:rsidRPr="00DC345B">
        <w:rPr>
          <w:rFonts w:ascii="宋体" w:hAnsi="宋体"/>
          <w:i/>
          <w:position w:val="1"/>
          <w:sz w:val="24"/>
          <w:vertAlign w:val="subscript"/>
        </w:rPr>
        <w:t>cs</w:t>
      </w:r>
      <w:r w:rsidRPr="00DC345B">
        <w:rPr>
          <w:rFonts w:ascii="宋体" w:hAnsi="宋体"/>
          <w:i/>
          <w:position w:val="1"/>
          <w:sz w:val="24"/>
        </w:rPr>
        <w:t>=</w:t>
      </w:r>
      <w:proofErr w:type="spellStart"/>
      <w:r w:rsidRPr="00DC345B">
        <w:rPr>
          <w:rFonts w:ascii="宋体" w:hAnsi="宋体"/>
          <w:i/>
          <w:position w:val="1"/>
          <w:sz w:val="24"/>
        </w:rPr>
        <w:t>L</w:t>
      </w:r>
      <w:r w:rsidRPr="00DC345B">
        <w:rPr>
          <w:rFonts w:ascii="宋体" w:hAnsi="宋体"/>
          <w:i/>
          <w:position w:val="1"/>
          <w:sz w:val="24"/>
          <w:vertAlign w:val="subscript"/>
        </w:rPr>
        <w:t>ce</w:t>
      </w:r>
      <w:r w:rsidRPr="00DC345B">
        <w:rPr>
          <w:rFonts w:ascii="宋体" w:hAnsi="宋体"/>
          <w:i/>
          <w:position w:val="1"/>
          <w:sz w:val="24"/>
        </w:rPr>
        <w:t>×L</w:t>
      </w:r>
      <w:r w:rsidRPr="00DC345B">
        <w:rPr>
          <w:rFonts w:ascii="宋体" w:hAnsi="宋体"/>
          <w:i/>
          <w:position w:val="1"/>
          <w:sz w:val="24"/>
          <w:vertAlign w:val="subscript"/>
        </w:rPr>
        <w:t>Ps</w:t>
      </w:r>
      <w:proofErr w:type="spellEnd"/>
      <w:r w:rsidRPr="00DC345B">
        <w:rPr>
          <w:rFonts w:ascii="宋体" w:hAnsi="宋体"/>
          <w:i/>
          <w:position w:val="1"/>
          <w:sz w:val="24"/>
        </w:rPr>
        <w:t>/</w:t>
      </w:r>
      <w:proofErr w:type="spellStart"/>
      <w:r w:rsidRPr="00DC345B">
        <w:rPr>
          <w:rFonts w:ascii="宋体" w:hAnsi="宋体"/>
          <w:i/>
          <w:position w:val="1"/>
          <w:sz w:val="24"/>
        </w:rPr>
        <w:t>L</w:t>
      </w:r>
      <w:r w:rsidRPr="00DC345B">
        <w:rPr>
          <w:rFonts w:ascii="宋体" w:hAnsi="宋体"/>
          <w:i/>
          <w:position w:val="1"/>
          <w:sz w:val="24"/>
          <w:vertAlign w:val="subscript"/>
        </w:rPr>
        <w:t>Pe</w:t>
      </w:r>
      <w:proofErr w:type="spellEnd"/>
      <w:r>
        <w:rPr>
          <w:rFonts w:ascii="宋体" w:hAnsi="宋体"/>
          <w:i/>
          <w:position w:val="1"/>
          <w:sz w:val="24"/>
        </w:rPr>
        <w:t xml:space="preserve">                            </w:t>
      </w:r>
      <w:r w:rsidRPr="00DC345B">
        <w:rPr>
          <w:rFonts w:ascii="宋体" w:hAnsi="宋体"/>
          <w:iCs/>
          <w:position w:val="1"/>
          <w:sz w:val="24"/>
        </w:rPr>
        <w:t>（39）</w:t>
      </w:r>
    </w:p>
    <w:p w14:paraId="075EDB3B" w14:textId="77777777" w:rsidR="00495C65" w:rsidRDefault="00495C65" w:rsidP="00495C65">
      <w:pPr>
        <w:pStyle w:val="13"/>
      </w:pPr>
      <w:r>
        <w:rPr>
          <w:rFonts w:hint="eastAsia"/>
        </w:rPr>
        <w:lastRenderedPageBreak/>
        <w:t>式中：</w:t>
      </w:r>
    </w:p>
    <w:p w14:paraId="5D0D1CD5" w14:textId="77777777" w:rsidR="00495C65" w:rsidRDefault="00495C65" w:rsidP="00495C65">
      <w:pPr>
        <w:pStyle w:val="13"/>
        <w:ind w:firstLineChars="500" w:firstLine="1200"/>
      </w:pPr>
      <w:r w:rsidRPr="00862C54">
        <w:rPr>
          <w:i/>
          <w:iCs/>
        </w:rPr>
        <w:t>L</w:t>
      </w:r>
      <w:r w:rsidRPr="00862C54">
        <w:rPr>
          <w:i/>
          <w:iCs/>
          <w:vertAlign w:val="subscript"/>
        </w:rPr>
        <w:t>cs</w:t>
      </w:r>
      <w:r>
        <w:t>—某企业在标准定员情况下应支出的工资额；</w:t>
      </w:r>
    </w:p>
    <w:p w14:paraId="5B17EC45" w14:textId="77777777" w:rsidR="00495C65" w:rsidRDefault="00495C65" w:rsidP="00495C65">
      <w:pPr>
        <w:pStyle w:val="13"/>
        <w:ind w:firstLineChars="500" w:firstLine="1200"/>
      </w:pPr>
      <w:proofErr w:type="spellStart"/>
      <w:r w:rsidRPr="00862C54">
        <w:rPr>
          <w:i/>
          <w:iCs/>
        </w:rPr>
        <w:t>L</w:t>
      </w:r>
      <w:r w:rsidRPr="00862C54">
        <w:rPr>
          <w:i/>
          <w:iCs/>
          <w:vertAlign w:val="subscript"/>
        </w:rPr>
        <w:t>ce</w:t>
      </w:r>
      <w:proofErr w:type="spellEnd"/>
      <w:proofErr w:type="gramStart"/>
      <w:r>
        <w:t>—该企业</w:t>
      </w:r>
      <w:proofErr w:type="gramEnd"/>
      <w:r>
        <w:t>实际支出的工资额；</w:t>
      </w:r>
    </w:p>
    <w:p w14:paraId="3FD00B8D" w14:textId="77777777" w:rsidR="00495C65" w:rsidRDefault="00495C65" w:rsidP="00495C65">
      <w:pPr>
        <w:pStyle w:val="13"/>
        <w:ind w:firstLineChars="500" w:firstLine="1200"/>
      </w:pPr>
      <w:r w:rsidRPr="00862C54">
        <w:rPr>
          <w:i/>
          <w:iCs/>
        </w:rPr>
        <w:t>L</w:t>
      </w:r>
      <w:r w:rsidRPr="00862C54">
        <w:rPr>
          <w:i/>
          <w:iCs/>
          <w:vertAlign w:val="subscript"/>
        </w:rPr>
        <w:t>Ps</w:t>
      </w:r>
      <w:r>
        <w:t>—某一技术水平下同等规模的企业应有劳动力标准数量；</w:t>
      </w:r>
    </w:p>
    <w:p w14:paraId="2B57FD0F" w14:textId="77777777" w:rsidR="00495C65" w:rsidRDefault="00495C65" w:rsidP="00495C65">
      <w:pPr>
        <w:pStyle w:val="13"/>
        <w:ind w:firstLineChars="500" w:firstLine="1200"/>
      </w:pPr>
      <w:proofErr w:type="spellStart"/>
      <w:r w:rsidRPr="00862C54">
        <w:rPr>
          <w:i/>
          <w:iCs/>
        </w:rPr>
        <w:t>L</w:t>
      </w:r>
      <w:r w:rsidRPr="00862C54">
        <w:rPr>
          <w:i/>
          <w:iCs/>
          <w:vertAlign w:val="subscript"/>
        </w:rPr>
        <w:t>Pe</w:t>
      </w:r>
      <w:proofErr w:type="spellEnd"/>
      <w:r>
        <w:t>—企业实际占有的劳动力数量。</w:t>
      </w:r>
    </w:p>
    <w:p w14:paraId="6994044F" w14:textId="77777777" w:rsidR="00495C65" w:rsidRDefault="00495C65" w:rsidP="00495C65">
      <w:pPr>
        <w:pStyle w:val="13"/>
      </w:pPr>
      <w:r w:rsidRPr="00E466F7">
        <w:t>7.6.2.</w:t>
      </w:r>
      <w:r>
        <w:t>7</w:t>
      </w:r>
      <w:r>
        <w:rPr>
          <w:rFonts w:hint="eastAsia"/>
        </w:rPr>
        <w:t>企业效益资料的整理</w:t>
      </w:r>
    </w:p>
    <w:p w14:paraId="6E763F0F" w14:textId="77777777" w:rsidR="00495C65" w:rsidRDefault="00495C65" w:rsidP="00495C65">
      <w:pPr>
        <w:pStyle w:val="13"/>
      </w:pPr>
      <w:r>
        <w:rPr>
          <w:rFonts w:hint="eastAsia"/>
        </w:rPr>
        <w:t>将收集到的企业效益资料，按标准化公式计算整理，并将结果填入附录</w:t>
      </w:r>
      <w:r>
        <w:t>B种的相应表格。</w:t>
      </w:r>
    </w:p>
    <w:p w14:paraId="495E2606" w14:textId="77777777" w:rsidR="00495C65" w:rsidRDefault="00495C65" w:rsidP="00495C65">
      <w:pPr>
        <w:pStyle w:val="13"/>
      </w:pPr>
      <w:r>
        <w:rPr>
          <w:rFonts w:hint="eastAsia"/>
        </w:rPr>
        <w:t>7</w:t>
      </w:r>
      <w:r>
        <w:t>.6.3</w:t>
      </w:r>
      <w:r>
        <w:rPr>
          <w:rFonts w:hint="eastAsia"/>
        </w:rPr>
        <w:t>指标选择与样点数据归类</w:t>
      </w:r>
    </w:p>
    <w:p w14:paraId="3BE58C85" w14:textId="77777777" w:rsidR="00495C65" w:rsidRDefault="00495C65" w:rsidP="00495C65">
      <w:pPr>
        <w:pStyle w:val="13"/>
      </w:pPr>
      <w:r w:rsidRPr="00B66964">
        <w:t>7.6.3</w:t>
      </w:r>
      <w:r>
        <w:t>.1</w:t>
      </w:r>
      <w:r>
        <w:rPr>
          <w:rFonts w:hint="eastAsia"/>
        </w:rPr>
        <w:t>土地收益测算指标的选择</w:t>
      </w:r>
    </w:p>
    <w:p w14:paraId="704CAA12" w14:textId="77777777" w:rsidR="00495C65" w:rsidRDefault="00495C65" w:rsidP="00495C65">
      <w:pPr>
        <w:pStyle w:val="13"/>
      </w:pPr>
      <w:r>
        <w:rPr>
          <w:rFonts w:hint="eastAsia"/>
        </w:rPr>
        <w:t>土地收益主要是对级差收益的测算。级差收益测算选择的指标主要有单位土地面积的净收益、单位土地面积标准资金占有量、单位土地面积合理工资占有量、企业所在土地的级别或单元总分值。</w:t>
      </w:r>
    </w:p>
    <w:p w14:paraId="482579FC" w14:textId="77777777" w:rsidR="00495C65" w:rsidRDefault="00495C65" w:rsidP="00495C65">
      <w:pPr>
        <w:pStyle w:val="13"/>
      </w:pPr>
      <w:r w:rsidRPr="00C374B3">
        <w:t>7.6.3.</w:t>
      </w:r>
      <w:r>
        <w:t>2</w:t>
      </w:r>
      <w:r>
        <w:rPr>
          <w:rFonts w:hint="eastAsia"/>
        </w:rPr>
        <w:t>样本数据归类</w:t>
      </w:r>
    </w:p>
    <w:p w14:paraId="60C5A5B7" w14:textId="77777777" w:rsidR="00495C65" w:rsidRDefault="00495C65" w:rsidP="00495C65">
      <w:pPr>
        <w:pStyle w:val="13"/>
      </w:pPr>
      <w:r>
        <w:rPr>
          <w:rFonts w:hint="eastAsia"/>
        </w:rPr>
        <w:t>以土地级别为单位，分别以不同土地利用类型进行数据归类，对商服用地可继续划分金融保险业、办公服务类、综合商厦类、小商店与居民服务类等行业，进行资料归类。</w:t>
      </w:r>
    </w:p>
    <w:p w14:paraId="19735046" w14:textId="77777777" w:rsidR="00495C65" w:rsidRDefault="00495C65" w:rsidP="00495C65">
      <w:pPr>
        <w:pStyle w:val="13"/>
      </w:pPr>
      <w:r w:rsidRPr="00C374B3">
        <w:t>7.6.3.</w:t>
      </w:r>
      <w:r>
        <w:t>3</w:t>
      </w:r>
      <w:r>
        <w:rPr>
          <w:rFonts w:hint="eastAsia"/>
        </w:rPr>
        <w:t>数据检验</w:t>
      </w:r>
    </w:p>
    <w:p w14:paraId="77DB4B64" w14:textId="77777777" w:rsidR="00495C65" w:rsidRDefault="00495C65" w:rsidP="00495C65">
      <w:pPr>
        <w:pStyle w:val="13"/>
      </w:pPr>
      <w:r>
        <w:rPr>
          <w:rFonts w:hint="eastAsia"/>
        </w:rPr>
        <w:t>参见</w:t>
      </w:r>
      <w:r>
        <w:t>7.5.4.2。</w:t>
      </w:r>
    </w:p>
    <w:p w14:paraId="32E843D9" w14:textId="77777777" w:rsidR="00495C65" w:rsidRDefault="00495C65" w:rsidP="00495C65">
      <w:pPr>
        <w:pStyle w:val="13"/>
      </w:pPr>
      <w:r>
        <w:rPr>
          <w:rFonts w:hint="eastAsia"/>
        </w:rPr>
        <w:t>7</w:t>
      </w:r>
      <w:r>
        <w:t>.6.4</w:t>
      </w:r>
      <w:r>
        <w:rPr>
          <w:rFonts w:hint="eastAsia"/>
        </w:rPr>
        <w:t>模型选择与测算估计</w:t>
      </w:r>
    </w:p>
    <w:p w14:paraId="137FB3E0" w14:textId="77777777" w:rsidR="00495C65" w:rsidRDefault="00495C65" w:rsidP="00495C65">
      <w:pPr>
        <w:pStyle w:val="13"/>
      </w:pPr>
      <w:r w:rsidRPr="00020FB9">
        <w:t>7.6.4</w:t>
      </w:r>
      <w:r>
        <w:t>.1</w:t>
      </w:r>
      <w:r>
        <w:rPr>
          <w:rFonts w:hint="eastAsia"/>
        </w:rPr>
        <w:t>选择测算模型</w:t>
      </w:r>
    </w:p>
    <w:p w14:paraId="25245C43" w14:textId="77777777" w:rsidR="00495C65" w:rsidRDefault="00495C65" w:rsidP="00495C65">
      <w:pPr>
        <w:pStyle w:val="13"/>
      </w:pPr>
      <w:r>
        <w:rPr>
          <w:rFonts w:hint="eastAsia"/>
        </w:rPr>
        <w:t>主要要求如下：</w:t>
      </w:r>
    </w:p>
    <w:p w14:paraId="7EF43F8B" w14:textId="77777777" w:rsidR="00495C65" w:rsidRDefault="00495C65" w:rsidP="00495C65">
      <w:pPr>
        <w:pStyle w:val="13"/>
      </w:pPr>
      <w:r>
        <w:rPr>
          <w:rFonts w:hint="eastAsia"/>
        </w:rPr>
        <w:t>（1）常用于级差收益测算的模型如式（</w:t>
      </w:r>
      <w:r>
        <w:t>40）—式（43）所示：</w:t>
      </w:r>
    </w:p>
    <w:p w14:paraId="7B36A317" w14:textId="77777777" w:rsidR="00495C65" w:rsidRDefault="00495C65" w:rsidP="00495C65">
      <w:pPr>
        <w:pStyle w:val="13"/>
      </w:pPr>
      <w:r>
        <w:t>1</w:t>
      </w:r>
      <w:r>
        <w:rPr>
          <w:rFonts w:hint="eastAsia"/>
        </w:rPr>
        <w:t xml:space="preserve">） </w:t>
      </w:r>
      <w:r>
        <w:t xml:space="preserve">                   </w:t>
      </w:r>
      <w:proofErr w:type="spellStart"/>
      <w:r w:rsidRPr="00AB6A2B">
        <w:rPr>
          <w:i/>
          <w:iCs/>
        </w:rPr>
        <w:t>Y</w:t>
      </w:r>
      <w:r w:rsidRPr="00AB6A2B">
        <w:rPr>
          <w:i/>
          <w:iCs/>
          <w:vertAlign w:val="subscript"/>
        </w:rPr>
        <w:t>n</w:t>
      </w:r>
      <w:proofErr w:type="spellEnd"/>
      <w:r w:rsidRPr="00AB6A2B">
        <w:rPr>
          <w:i/>
          <w:iCs/>
        </w:rPr>
        <w:t>=A（1+r）</w:t>
      </w:r>
      <w:proofErr w:type="spellStart"/>
      <w:r w:rsidRPr="00AB6A2B">
        <w:rPr>
          <w:i/>
          <w:iCs/>
          <w:vertAlign w:val="superscript"/>
        </w:rPr>
        <w:t>Xln</w:t>
      </w:r>
      <w:proofErr w:type="spellEnd"/>
      <w:r w:rsidRPr="00CA098C">
        <w:t>或</w:t>
      </w:r>
      <w:proofErr w:type="spellStart"/>
      <w:r w:rsidRPr="00AB6A2B">
        <w:rPr>
          <w:i/>
          <w:iCs/>
        </w:rPr>
        <w:t>Y</w:t>
      </w:r>
      <w:r w:rsidRPr="00AB6A2B">
        <w:rPr>
          <w:i/>
          <w:iCs/>
          <w:vertAlign w:val="subscript"/>
        </w:rPr>
        <w:t>n</w:t>
      </w:r>
      <w:proofErr w:type="spellEnd"/>
      <w:r w:rsidRPr="00AB6A2B">
        <w:rPr>
          <w:i/>
          <w:iCs/>
        </w:rPr>
        <w:t>=A（1+r）</w:t>
      </w:r>
      <w:r w:rsidRPr="00340B2C">
        <w:rPr>
          <w:i/>
          <w:iCs/>
          <w:vertAlign w:val="superscript"/>
        </w:rPr>
        <w:t>aX1n</w:t>
      </w:r>
      <w:r w:rsidRPr="00AB6A2B">
        <w:rPr>
          <w:i/>
          <w:iCs/>
        </w:rPr>
        <w:t xml:space="preserve"> </w:t>
      </w:r>
      <w:r>
        <w:t xml:space="preserve">                   （40）</w:t>
      </w:r>
    </w:p>
    <w:p w14:paraId="7A1BA343" w14:textId="77777777" w:rsidR="00495C65" w:rsidRDefault="00495C65" w:rsidP="00495C65">
      <w:pPr>
        <w:pStyle w:val="13"/>
      </w:pPr>
      <w:r>
        <w:rPr>
          <w:rFonts w:hint="eastAsia"/>
        </w:rPr>
        <w:t>式中：</w:t>
      </w:r>
    </w:p>
    <w:p w14:paraId="11532F90" w14:textId="77777777" w:rsidR="00495C65" w:rsidRDefault="00495C65" w:rsidP="00495C65">
      <w:pPr>
        <w:pStyle w:val="13"/>
        <w:ind w:firstLineChars="500" w:firstLine="1200"/>
      </w:pPr>
      <w:proofErr w:type="spellStart"/>
      <w:r w:rsidRPr="008A3B88">
        <w:rPr>
          <w:i/>
          <w:iCs/>
        </w:rPr>
        <w:t>Y</w:t>
      </w:r>
      <w:r w:rsidRPr="008A3B88">
        <w:rPr>
          <w:i/>
          <w:iCs/>
          <w:vertAlign w:val="subscript"/>
        </w:rPr>
        <w:t>n</w:t>
      </w:r>
      <w:proofErr w:type="spellEnd"/>
      <w:r>
        <w:t>—第n级土地上样点每平方米土地的利润值；</w:t>
      </w:r>
    </w:p>
    <w:p w14:paraId="3F546248" w14:textId="77777777" w:rsidR="00495C65" w:rsidRDefault="00495C65" w:rsidP="00495C65">
      <w:pPr>
        <w:pStyle w:val="13"/>
        <w:ind w:firstLineChars="500" w:firstLine="1200"/>
      </w:pPr>
      <w:r w:rsidRPr="008A3B88">
        <w:rPr>
          <w:i/>
          <w:iCs/>
        </w:rPr>
        <w:t>A、α</w:t>
      </w:r>
      <w:r w:rsidRPr="00D258F8">
        <w:t>—</w:t>
      </w:r>
      <w:proofErr w:type="gramStart"/>
      <w:r w:rsidRPr="00D258F8">
        <w:t>待估参数</w:t>
      </w:r>
      <w:proofErr w:type="gramEnd"/>
      <w:r w:rsidRPr="00D258F8">
        <w:t>；</w:t>
      </w:r>
    </w:p>
    <w:p w14:paraId="234B3C20" w14:textId="77777777" w:rsidR="00495C65" w:rsidRDefault="00495C65" w:rsidP="00495C65">
      <w:pPr>
        <w:pStyle w:val="13"/>
        <w:ind w:firstLineChars="500" w:firstLine="1200"/>
      </w:pPr>
      <w:r w:rsidRPr="008A3B88">
        <w:rPr>
          <w:i/>
          <w:iCs/>
        </w:rPr>
        <w:t>r</w:t>
      </w:r>
      <w:proofErr w:type="gramStart"/>
      <w:r w:rsidRPr="00D258F8">
        <w:t>—利润</w:t>
      </w:r>
      <w:proofErr w:type="gramEnd"/>
      <w:r w:rsidRPr="00D258F8">
        <w:t>级差系数</w:t>
      </w:r>
      <w:r>
        <w:rPr>
          <w:rFonts w:hint="eastAsia"/>
        </w:rPr>
        <w:t>；</w:t>
      </w:r>
    </w:p>
    <w:p w14:paraId="184E548B" w14:textId="77777777" w:rsidR="00495C65" w:rsidRDefault="00495C65" w:rsidP="00495C65">
      <w:pPr>
        <w:pStyle w:val="13"/>
        <w:ind w:firstLineChars="500" w:firstLine="1200"/>
      </w:pPr>
      <w:proofErr w:type="spellStart"/>
      <w:r w:rsidRPr="008A3B88">
        <w:rPr>
          <w:i/>
          <w:iCs/>
        </w:rPr>
        <w:t>Xln</w:t>
      </w:r>
      <w:proofErr w:type="spellEnd"/>
      <w:r>
        <w:t>—第n级土地级别指数或单元土地质量指数。</w:t>
      </w:r>
    </w:p>
    <w:p w14:paraId="100E25D3" w14:textId="77777777" w:rsidR="00495C65" w:rsidRDefault="00495C65" w:rsidP="00495C65">
      <w:pPr>
        <w:pStyle w:val="13"/>
      </w:pPr>
      <w:r w:rsidRPr="00BE7732">
        <w:rPr>
          <w:rFonts w:hint="eastAsia"/>
        </w:rPr>
        <w:t>土地质量从优</w:t>
      </w:r>
      <w:proofErr w:type="gramStart"/>
      <w:r w:rsidRPr="00BE7732">
        <w:rPr>
          <w:rFonts w:hint="eastAsia"/>
        </w:rPr>
        <w:t>到劣按</w:t>
      </w:r>
      <w:proofErr w:type="gramEnd"/>
      <w:r w:rsidRPr="00BE7732">
        <w:rPr>
          <w:rFonts w:hint="eastAsia"/>
        </w:rPr>
        <w:t>等级系数</w:t>
      </w:r>
      <w:r w:rsidRPr="00BE7732">
        <w:t>1，2，……</w:t>
      </w:r>
      <w:r w:rsidRPr="00F87D0B">
        <w:rPr>
          <w:i/>
          <w:iCs/>
        </w:rPr>
        <w:t>n</w:t>
      </w:r>
      <w:r w:rsidRPr="00BE7732">
        <w:t>排列，土地级别指数取值为</w:t>
      </w:r>
      <w:r w:rsidRPr="00F87D0B">
        <w:rPr>
          <w:i/>
          <w:iCs/>
        </w:rPr>
        <w:t>n</w:t>
      </w:r>
      <w:r w:rsidRPr="00BE7732">
        <w:t>，……2，</w:t>
      </w:r>
      <w:r>
        <w:rPr>
          <w:rFonts w:hint="eastAsia"/>
        </w:rPr>
        <w:t>1。</w:t>
      </w:r>
    </w:p>
    <w:p w14:paraId="09CDD484" w14:textId="77777777" w:rsidR="00495C65" w:rsidRDefault="00495C65" w:rsidP="00495C65">
      <w:pPr>
        <w:pStyle w:val="13"/>
      </w:pPr>
      <w:r>
        <w:t>2</w:t>
      </w:r>
      <w:r w:rsidRPr="00E0109A">
        <w:t xml:space="preserve">）                    </w:t>
      </w:r>
      <w:proofErr w:type="spellStart"/>
      <w:r w:rsidRPr="00F87D0B">
        <w:rPr>
          <w:i/>
          <w:iCs/>
        </w:rPr>
        <w:t>Y</w:t>
      </w:r>
      <w:r w:rsidRPr="00F87D0B">
        <w:rPr>
          <w:i/>
          <w:iCs/>
          <w:vertAlign w:val="subscript"/>
        </w:rPr>
        <w:t>n</w:t>
      </w:r>
      <w:proofErr w:type="spellEnd"/>
      <w:r w:rsidRPr="00F87D0B">
        <w:rPr>
          <w:i/>
          <w:iCs/>
        </w:rPr>
        <w:t>=b</w:t>
      </w:r>
      <w:r w:rsidRPr="00F87D0B">
        <w:rPr>
          <w:i/>
          <w:iCs/>
          <w:vertAlign w:val="subscript"/>
        </w:rPr>
        <w:t>0</w:t>
      </w:r>
      <w:r w:rsidRPr="00F87D0B">
        <w:rPr>
          <w:i/>
          <w:iCs/>
        </w:rPr>
        <w:t>+b</w:t>
      </w:r>
      <w:r w:rsidRPr="00F87D0B">
        <w:rPr>
          <w:i/>
          <w:iCs/>
          <w:vertAlign w:val="subscript"/>
        </w:rPr>
        <w:t>1</w:t>
      </w:r>
      <w:r w:rsidRPr="00F87D0B">
        <w:rPr>
          <w:i/>
          <w:iCs/>
        </w:rPr>
        <w:t>X</w:t>
      </w:r>
      <w:r w:rsidRPr="00F87D0B">
        <w:rPr>
          <w:i/>
          <w:iCs/>
          <w:vertAlign w:val="subscript"/>
        </w:rPr>
        <w:t>1n</w:t>
      </w:r>
      <w:r w:rsidRPr="00F87D0B">
        <w:rPr>
          <w:i/>
          <w:iCs/>
        </w:rPr>
        <w:t>+b</w:t>
      </w:r>
      <w:r w:rsidRPr="00F87D0B">
        <w:rPr>
          <w:i/>
          <w:iCs/>
          <w:vertAlign w:val="subscript"/>
        </w:rPr>
        <w:t>2</w:t>
      </w:r>
      <w:r w:rsidRPr="00F87D0B">
        <w:rPr>
          <w:i/>
          <w:iCs/>
        </w:rPr>
        <w:t>X</w:t>
      </w:r>
      <w:r w:rsidRPr="00F87D0B">
        <w:rPr>
          <w:i/>
          <w:iCs/>
          <w:vertAlign w:val="subscript"/>
        </w:rPr>
        <w:t>2</w:t>
      </w:r>
      <w:r w:rsidRPr="00F87D0B">
        <w:rPr>
          <w:i/>
          <w:iCs/>
        </w:rPr>
        <w:t>+b</w:t>
      </w:r>
      <w:r w:rsidRPr="00F87D0B">
        <w:rPr>
          <w:i/>
          <w:iCs/>
          <w:vertAlign w:val="subscript"/>
        </w:rPr>
        <w:t>3</w:t>
      </w:r>
      <w:r w:rsidRPr="00F87D0B">
        <w:rPr>
          <w:i/>
          <w:iCs/>
        </w:rPr>
        <w:t>X</w:t>
      </w:r>
      <w:r w:rsidRPr="00F87D0B">
        <w:rPr>
          <w:i/>
          <w:iCs/>
          <w:vertAlign w:val="subscript"/>
        </w:rPr>
        <w:t>3</w:t>
      </w:r>
      <w:r w:rsidRPr="00F87D0B">
        <w:rPr>
          <w:i/>
          <w:iCs/>
        </w:rPr>
        <w:t xml:space="preserve"> </w:t>
      </w:r>
      <w:r>
        <w:t xml:space="preserve">                          </w:t>
      </w:r>
      <w:r w:rsidRPr="00E0109A">
        <w:rPr>
          <w:rFonts w:hint="eastAsia"/>
        </w:rPr>
        <w:t>（</w:t>
      </w:r>
      <w:r w:rsidRPr="00E0109A">
        <w:t>41）</w:t>
      </w:r>
    </w:p>
    <w:p w14:paraId="385E7CA8" w14:textId="77777777" w:rsidR="00495C65" w:rsidRDefault="00495C65" w:rsidP="00495C65">
      <w:pPr>
        <w:pStyle w:val="13"/>
      </w:pPr>
      <w:r>
        <w:rPr>
          <w:rFonts w:hint="eastAsia"/>
        </w:rPr>
        <w:t>式中：</w:t>
      </w:r>
    </w:p>
    <w:p w14:paraId="1BE1156C" w14:textId="77777777" w:rsidR="00495C65" w:rsidRDefault="00495C65" w:rsidP="00495C65">
      <w:pPr>
        <w:pStyle w:val="13"/>
        <w:ind w:firstLineChars="500" w:firstLine="1200"/>
      </w:pPr>
      <w:proofErr w:type="spellStart"/>
      <w:r w:rsidRPr="00CE7504">
        <w:rPr>
          <w:i/>
          <w:iCs/>
        </w:rPr>
        <w:t>Y</w:t>
      </w:r>
      <w:r w:rsidRPr="00CE7504">
        <w:rPr>
          <w:i/>
          <w:iCs/>
          <w:vertAlign w:val="subscript"/>
        </w:rPr>
        <w:t>n</w:t>
      </w:r>
      <w:proofErr w:type="spellEnd"/>
      <w:r w:rsidRPr="00CE7504">
        <w:rPr>
          <w:i/>
          <w:iCs/>
        </w:rPr>
        <w:t>、X</w:t>
      </w:r>
      <w:r w:rsidRPr="00CE7504">
        <w:rPr>
          <w:i/>
          <w:iCs/>
          <w:vertAlign w:val="subscript"/>
        </w:rPr>
        <w:t>1n</w:t>
      </w:r>
      <w:r>
        <w:t>—含义同A模型；</w:t>
      </w:r>
    </w:p>
    <w:p w14:paraId="24FF824A" w14:textId="77777777" w:rsidR="00495C65" w:rsidRDefault="00495C65" w:rsidP="00495C65">
      <w:pPr>
        <w:pStyle w:val="13"/>
        <w:ind w:firstLineChars="500" w:firstLine="1200"/>
      </w:pPr>
      <w:r w:rsidRPr="00CE7504">
        <w:rPr>
          <w:i/>
          <w:iCs/>
        </w:rPr>
        <w:lastRenderedPageBreak/>
        <w:t>X</w:t>
      </w:r>
      <w:r w:rsidRPr="00CE7504">
        <w:rPr>
          <w:i/>
          <w:iCs/>
          <w:vertAlign w:val="subscript"/>
        </w:rPr>
        <w:t>2</w:t>
      </w:r>
      <w:r>
        <w:t>—每平方米土地上标准资金占有量；</w:t>
      </w:r>
    </w:p>
    <w:p w14:paraId="7936113E" w14:textId="77777777" w:rsidR="00495C65" w:rsidRDefault="00495C65" w:rsidP="00495C65">
      <w:pPr>
        <w:pStyle w:val="13"/>
        <w:ind w:firstLineChars="500" w:firstLine="1200"/>
      </w:pPr>
      <w:r w:rsidRPr="00CE7504">
        <w:rPr>
          <w:i/>
          <w:iCs/>
        </w:rPr>
        <w:t>X</w:t>
      </w:r>
      <w:r w:rsidRPr="00CE7504">
        <w:rPr>
          <w:i/>
          <w:iCs/>
          <w:vertAlign w:val="subscript"/>
        </w:rPr>
        <w:t>3</w:t>
      </w:r>
      <w:r>
        <w:t>—每平方米土地上标准工资占有量；</w:t>
      </w:r>
    </w:p>
    <w:p w14:paraId="2A4078DA" w14:textId="77777777" w:rsidR="00495C65" w:rsidRDefault="00495C65" w:rsidP="00495C65">
      <w:pPr>
        <w:pStyle w:val="13"/>
        <w:ind w:firstLineChars="500" w:firstLine="1200"/>
      </w:pPr>
      <w:r w:rsidRPr="00F1685D">
        <w:rPr>
          <w:i/>
          <w:iCs/>
        </w:rPr>
        <w:t>b</w:t>
      </w:r>
      <w:r w:rsidRPr="00F1685D">
        <w:rPr>
          <w:i/>
          <w:iCs/>
          <w:vertAlign w:val="subscript"/>
        </w:rPr>
        <w:t>0</w:t>
      </w:r>
      <w:r>
        <w:t>—样本截距项系数；</w:t>
      </w:r>
    </w:p>
    <w:p w14:paraId="06690A75" w14:textId="77777777" w:rsidR="00495C65" w:rsidRDefault="00495C65" w:rsidP="00495C65">
      <w:pPr>
        <w:pStyle w:val="13"/>
        <w:ind w:firstLineChars="500" w:firstLine="1200"/>
      </w:pPr>
      <w:r w:rsidRPr="00CE7504">
        <w:rPr>
          <w:i/>
          <w:iCs/>
        </w:rPr>
        <w:t>b</w:t>
      </w:r>
      <w:r w:rsidRPr="00CE7504">
        <w:rPr>
          <w:i/>
          <w:iCs/>
          <w:vertAlign w:val="subscript"/>
        </w:rPr>
        <w:t>1</w:t>
      </w:r>
      <w:r w:rsidRPr="00CE7504">
        <w:rPr>
          <w:i/>
          <w:iCs/>
        </w:rPr>
        <w:t>、b</w:t>
      </w:r>
      <w:r w:rsidRPr="00CE7504">
        <w:rPr>
          <w:i/>
          <w:iCs/>
          <w:vertAlign w:val="subscript"/>
        </w:rPr>
        <w:t>2</w:t>
      </w:r>
      <w:r w:rsidRPr="00CE7504">
        <w:rPr>
          <w:i/>
          <w:iCs/>
        </w:rPr>
        <w:t>、b</w:t>
      </w:r>
      <w:r w:rsidRPr="00CE7504">
        <w:rPr>
          <w:i/>
          <w:iCs/>
          <w:vertAlign w:val="subscript"/>
        </w:rPr>
        <w:t>3</w:t>
      </w:r>
      <w:proofErr w:type="gramStart"/>
      <w:r>
        <w:t>—分别</w:t>
      </w:r>
      <w:proofErr w:type="gramEnd"/>
      <w:r>
        <w:t>为土地、资本、劳动力的回归系数。</w:t>
      </w:r>
      <w:r>
        <w:rPr>
          <w:noProof/>
        </w:rPr>
        <w:drawing>
          <wp:anchor distT="0" distB="0" distL="114300" distR="114300" simplePos="0" relativeHeight="251663360" behindDoc="1" locked="0" layoutInCell="1" allowOverlap="1" wp14:anchorId="6B6763B4" wp14:editId="7868DF5B">
            <wp:simplePos x="0" y="0"/>
            <wp:positionH relativeFrom="column">
              <wp:posOffset>1717567</wp:posOffset>
            </wp:positionH>
            <wp:positionV relativeFrom="paragraph">
              <wp:posOffset>184737</wp:posOffset>
            </wp:positionV>
            <wp:extent cx="2234242" cy="439145"/>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34242" cy="439145"/>
                    </a:xfrm>
                    <a:prstGeom prst="rect">
                      <a:avLst/>
                    </a:prstGeom>
                  </pic:spPr>
                </pic:pic>
              </a:graphicData>
            </a:graphic>
            <wp14:sizeRelH relativeFrom="margin">
              <wp14:pctWidth>0</wp14:pctWidth>
            </wp14:sizeRelH>
            <wp14:sizeRelV relativeFrom="margin">
              <wp14:pctHeight>0</wp14:pctHeight>
            </wp14:sizeRelV>
          </wp:anchor>
        </w:drawing>
      </w:r>
    </w:p>
    <w:p w14:paraId="06C2D405" w14:textId="77777777" w:rsidR="00495C65" w:rsidRDefault="00495C65" w:rsidP="00495C65">
      <w:pPr>
        <w:pStyle w:val="13"/>
      </w:pPr>
      <w:r>
        <w:rPr>
          <w:rFonts w:hint="eastAsia"/>
        </w:rPr>
        <w:t>3）</w:t>
      </w:r>
      <w:r w:rsidRPr="009D6AE9">
        <w:t xml:space="preserve">                                                     </w:t>
      </w:r>
      <w:r>
        <w:t xml:space="preserve">      </w:t>
      </w:r>
      <w:r w:rsidRPr="009D6AE9">
        <w:t xml:space="preserve">    </w:t>
      </w:r>
      <w:r w:rsidRPr="009D6AE9">
        <w:rPr>
          <w:rFonts w:hint="eastAsia"/>
        </w:rPr>
        <w:t>（</w:t>
      </w:r>
      <w:r w:rsidRPr="009D6AE9">
        <w:t>4</w:t>
      </w:r>
      <w:r>
        <w:t>2</w:t>
      </w:r>
      <w:r w:rsidRPr="009D6AE9">
        <w:t>）</w:t>
      </w:r>
    </w:p>
    <w:p w14:paraId="7B4C690D" w14:textId="77777777" w:rsidR="00495C65" w:rsidRDefault="00495C65" w:rsidP="00495C65">
      <w:pPr>
        <w:pStyle w:val="13"/>
      </w:pPr>
      <w:r>
        <w:rPr>
          <w:rFonts w:hint="eastAsia"/>
        </w:rPr>
        <w:t>式中：</w:t>
      </w:r>
    </w:p>
    <w:p w14:paraId="3D67227E" w14:textId="77777777" w:rsidR="00495C65" w:rsidRDefault="00495C65" w:rsidP="00495C65">
      <w:pPr>
        <w:pStyle w:val="13"/>
        <w:ind w:firstLineChars="500" w:firstLine="1200"/>
      </w:pPr>
      <w:proofErr w:type="spellStart"/>
      <w:r w:rsidRPr="006F4ED8">
        <w:rPr>
          <w:i/>
          <w:iCs/>
        </w:rPr>
        <w:t>Y</w:t>
      </w:r>
      <w:r w:rsidRPr="006F4ED8">
        <w:rPr>
          <w:i/>
          <w:iCs/>
          <w:vertAlign w:val="subscript"/>
        </w:rPr>
        <w:t>n</w:t>
      </w:r>
      <w:proofErr w:type="spellEnd"/>
      <w:r w:rsidRPr="006F4ED8">
        <w:rPr>
          <w:i/>
          <w:iCs/>
        </w:rPr>
        <w:t>、X</w:t>
      </w:r>
      <w:r w:rsidRPr="006F4ED8">
        <w:rPr>
          <w:i/>
          <w:iCs/>
          <w:vertAlign w:val="subscript"/>
        </w:rPr>
        <w:t>1n</w:t>
      </w:r>
      <w:r w:rsidRPr="006F4ED8">
        <w:rPr>
          <w:i/>
          <w:iCs/>
        </w:rPr>
        <w:t>、r</w:t>
      </w:r>
      <w:r>
        <w:t>—含义同A模型；</w:t>
      </w:r>
    </w:p>
    <w:p w14:paraId="38A2FE89" w14:textId="77777777" w:rsidR="00495C65" w:rsidRDefault="00495C65" w:rsidP="00495C65">
      <w:pPr>
        <w:pStyle w:val="13"/>
        <w:ind w:firstLineChars="500" w:firstLine="1200"/>
      </w:pPr>
      <w:r w:rsidRPr="006F4ED8">
        <w:rPr>
          <w:i/>
          <w:iCs/>
        </w:rPr>
        <w:t>A</w:t>
      </w:r>
      <w:r>
        <w:t>—常数；</w:t>
      </w:r>
    </w:p>
    <w:p w14:paraId="600BA18A" w14:textId="77777777" w:rsidR="00495C65" w:rsidRDefault="00495C65" w:rsidP="00495C65">
      <w:pPr>
        <w:pStyle w:val="13"/>
        <w:ind w:firstLineChars="500" w:firstLine="1200"/>
      </w:pPr>
      <w:r w:rsidRPr="006F4ED8">
        <w:rPr>
          <w:i/>
          <w:iCs/>
        </w:rPr>
        <w:t>X</w:t>
      </w:r>
      <w:r w:rsidRPr="006F4ED8">
        <w:rPr>
          <w:i/>
          <w:iCs/>
          <w:vertAlign w:val="subscript"/>
        </w:rPr>
        <w:t>2</w:t>
      </w:r>
      <w:r w:rsidRPr="006F4ED8">
        <w:rPr>
          <w:i/>
          <w:iCs/>
        </w:rPr>
        <w:t>、X</w:t>
      </w:r>
      <w:r w:rsidRPr="006F4ED8">
        <w:rPr>
          <w:i/>
          <w:iCs/>
          <w:vertAlign w:val="subscript"/>
        </w:rPr>
        <w:t>3</w:t>
      </w:r>
      <w:r w:rsidRPr="006F4ED8">
        <w:rPr>
          <w:i/>
          <w:iCs/>
        </w:rPr>
        <w:t>、b</w:t>
      </w:r>
      <w:r w:rsidRPr="006F4ED8">
        <w:rPr>
          <w:i/>
          <w:iCs/>
          <w:vertAlign w:val="subscript"/>
        </w:rPr>
        <w:t>2</w:t>
      </w:r>
      <w:r w:rsidRPr="006F4ED8">
        <w:rPr>
          <w:i/>
          <w:iCs/>
        </w:rPr>
        <w:t>、b</w:t>
      </w:r>
      <w:r w:rsidRPr="006F4ED8">
        <w:rPr>
          <w:i/>
          <w:iCs/>
          <w:vertAlign w:val="subscript"/>
        </w:rPr>
        <w:t>3</w:t>
      </w:r>
      <w:r>
        <w:t>含义同B模型。</w:t>
      </w:r>
    </w:p>
    <w:p w14:paraId="394107D2" w14:textId="77777777" w:rsidR="00495C65" w:rsidRDefault="00495C65" w:rsidP="00495C65">
      <w:pPr>
        <w:pStyle w:val="13"/>
      </w:pPr>
      <w:r>
        <w:rPr>
          <w:rFonts w:hint="eastAsia"/>
        </w:rPr>
        <w:t>4</w:t>
      </w:r>
      <w:r w:rsidRPr="0060786C">
        <w:rPr>
          <w:rFonts w:hint="eastAsia"/>
        </w:rPr>
        <w:t>）</w:t>
      </w:r>
      <w:r w:rsidRPr="0060786C">
        <w:t xml:space="preserve">                    </w:t>
      </w:r>
      <w:proofErr w:type="spellStart"/>
      <w:r w:rsidRPr="000900FE">
        <w:rPr>
          <w:i/>
          <w:iCs/>
        </w:rPr>
        <w:t>Y</w:t>
      </w:r>
      <w:r w:rsidRPr="000900FE">
        <w:rPr>
          <w:i/>
          <w:iCs/>
          <w:vertAlign w:val="subscript"/>
        </w:rPr>
        <w:t>n</w:t>
      </w:r>
      <w:proofErr w:type="spellEnd"/>
      <w:r w:rsidRPr="000900FE">
        <w:rPr>
          <w:i/>
          <w:iCs/>
        </w:rPr>
        <w:t>=F（X</w:t>
      </w:r>
      <w:r w:rsidRPr="000900FE">
        <w:rPr>
          <w:i/>
          <w:iCs/>
          <w:vertAlign w:val="subscript"/>
        </w:rPr>
        <w:t>1n</w:t>
      </w:r>
      <w:r w:rsidRPr="000900FE">
        <w:rPr>
          <w:i/>
          <w:iCs/>
        </w:rPr>
        <w:t>）+b</w:t>
      </w:r>
      <w:r w:rsidRPr="000900FE">
        <w:rPr>
          <w:i/>
          <w:iCs/>
          <w:vertAlign w:val="subscript"/>
        </w:rPr>
        <w:t>2</w:t>
      </w:r>
      <w:r w:rsidRPr="000900FE">
        <w:rPr>
          <w:i/>
          <w:iCs/>
        </w:rPr>
        <w:t>X</w:t>
      </w:r>
      <w:r w:rsidRPr="000900FE">
        <w:rPr>
          <w:i/>
          <w:iCs/>
          <w:vertAlign w:val="subscript"/>
        </w:rPr>
        <w:t>2</w:t>
      </w:r>
      <w:r w:rsidRPr="000900FE">
        <w:rPr>
          <w:i/>
          <w:iCs/>
        </w:rPr>
        <w:t>+b</w:t>
      </w:r>
      <w:r w:rsidRPr="000900FE">
        <w:rPr>
          <w:i/>
          <w:iCs/>
          <w:vertAlign w:val="subscript"/>
        </w:rPr>
        <w:t>3</w:t>
      </w:r>
      <w:r w:rsidRPr="000900FE">
        <w:rPr>
          <w:i/>
          <w:iCs/>
        </w:rPr>
        <w:t>X</w:t>
      </w:r>
      <w:r w:rsidRPr="000900FE">
        <w:rPr>
          <w:i/>
          <w:iCs/>
          <w:vertAlign w:val="subscript"/>
        </w:rPr>
        <w:t>3</w:t>
      </w:r>
      <w:r w:rsidRPr="000900FE">
        <w:rPr>
          <w:i/>
          <w:iCs/>
        </w:rPr>
        <w:t>+V</w:t>
      </w:r>
      <w:r>
        <w:t xml:space="preserve">                          </w:t>
      </w:r>
      <w:r w:rsidRPr="0060786C">
        <w:rPr>
          <w:rFonts w:hint="eastAsia"/>
        </w:rPr>
        <w:t>（</w:t>
      </w:r>
      <w:r w:rsidRPr="0060786C">
        <w:t>4</w:t>
      </w:r>
      <w:r>
        <w:t>3</w:t>
      </w:r>
      <w:r w:rsidRPr="0060786C">
        <w:t>）</w:t>
      </w:r>
    </w:p>
    <w:p w14:paraId="0ED5D138" w14:textId="77777777" w:rsidR="00495C65" w:rsidRDefault="00495C65" w:rsidP="00495C65">
      <w:pPr>
        <w:pStyle w:val="13"/>
      </w:pPr>
      <w:r w:rsidRPr="004B4AF3">
        <w:rPr>
          <w:rFonts w:hint="eastAsia"/>
        </w:rPr>
        <w:t>式中：</w:t>
      </w:r>
    </w:p>
    <w:p w14:paraId="3BC80139" w14:textId="77777777" w:rsidR="00495C65" w:rsidRDefault="00495C65" w:rsidP="00495C65">
      <w:pPr>
        <w:pStyle w:val="13"/>
        <w:ind w:firstLineChars="500" w:firstLine="1200"/>
      </w:pPr>
      <w:proofErr w:type="spellStart"/>
      <w:r w:rsidRPr="001C1EDC">
        <w:rPr>
          <w:i/>
          <w:iCs/>
        </w:rPr>
        <w:t>Y</w:t>
      </w:r>
      <w:r w:rsidRPr="001C1EDC">
        <w:rPr>
          <w:i/>
          <w:iCs/>
          <w:vertAlign w:val="subscript"/>
        </w:rPr>
        <w:t>n</w:t>
      </w:r>
      <w:proofErr w:type="spellEnd"/>
      <w:r w:rsidRPr="001C1EDC">
        <w:rPr>
          <w:i/>
          <w:iCs/>
        </w:rPr>
        <w:t>、X</w:t>
      </w:r>
      <w:r w:rsidRPr="001C1EDC">
        <w:rPr>
          <w:i/>
          <w:iCs/>
          <w:vertAlign w:val="subscript"/>
        </w:rPr>
        <w:t>1n</w:t>
      </w:r>
      <w:r>
        <w:t>—含义同A模型；</w:t>
      </w:r>
    </w:p>
    <w:p w14:paraId="02E3C42C" w14:textId="77777777" w:rsidR="00495C65" w:rsidRDefault="00495C65" w:rsidP="00495C65">
      <w:pPr>
        <w:pStyle w:val="13"/>
        <w:ind w:firstLineChars="500" w:firstLine="1200"/>
      </w:pPr>
      <w:r w:rsidRPr="001C1EDC">
        <w:rPr>
          <w:i/>
          <w:iCs/>
        </w:rPr>
        <w:t>F（X</w:t>
      </w:r>
      <w:r w:rsidRPr="001C1EDC">
        <w:rPr>
          <w:i/>
          <w:iCs/>
          <w:vertAlign w:val="subscript"/>
        </w:rPr>
        <w:t>1n</w:t>
      </w:r>
      <w:r w:rsidRPr="001C1EDC">
        <w:rPr>
          <w:i/>
          <w:iCs/>
        </w:rPr>
        <w:t>）</w:t>
      </w:r>
      <w:r>
        <w:t>—自变量</w:t>
      </w:r>
      <w:r w:rsidRPr="00F3430E">
        <w:rPr>
          <w:i/>
          <w:iCs/>
        </w:rPr>
        <w:t>X</w:t>
      </w:r>
      <w:r w:rsidRPr="00F3430E">
        <w:rPr>
          <w:i/>
          <w:iCs/>
          <w:vertAlign w:val="subscript"/>
        </w:rPr>
        <w:t>1n</w:t>
      </w:r>
      <w:r>
        <w:t>的未知函数，为土地带给企业的利润；</w:t>
      </w:r>
    </w:p>
    <w:p w14:paraId="76E98500" w14:textId="77777777" w:rsidR="00495C65" w:rsidRDefault="00495C65" w:rsidP="00495C65">
      <w:pPr>
        <w:pStyle w:val="13"/>
        <w:ind w:firstLineChars="500" w:firstLine="1200"/>
      </w:pPr>
      <w:r w:rsidRPr="001C1EDC">
        <w:rPr>
          <w:i/>
          <w:iCs/>
        </w:rPr>
        <w:t>X</w:t>
      </w:r>
      <w:r w:rsidRPr="001C1EDC">
        <w:rPr>
          <w:i/>
          <w:iCs/>
          <w:vertAlign w:val="subscript"/>
        </w:rPr>
        <w:t>2</w:t>
      </w:r>
      <w:r w:rsidRPr="001C1EDC">
        <w:rPr>
          <w:i/>
          <w:iCs/>
        </w:rPr>
        <w:t>、X</w:t>
      </w:r>
      <w:r w:rsidRPr="001C1EDC">
        <w:rPr>
          <w:i/>
          <w:iCs/>
          <w:vertAlign w:val="subscript"/>
        </w:rPr>
        <w:t>3</w:t>
      </w:r>
      <w:r w:rsidRPr="001C1EDC">
        <w:rPr>
          <w:i/>
          <w:iCs/>
        </w:rPr>
        <w:t>、b</w:t>
      </w:r>
      <w:r w:rsidRPr="001C1EDC">
        <w:rPr>
          <w:i/>
          <w:iCs/>
          <w:vertAlign w:val="subscript"/>
        </w:rPr>
        <w:t>2</w:t>
      </w:r>
      <w:r w:rsidRPr="001C1EDC">
        <w:rPr>
          <w:i/>
          <w:iCs/>
        </w:rPr>
        <w:t>、b</w:t>
      </w:r>
      <w:r w:rsidRPr="001C1EDC">
        <w:rPr>
          <w:i/>
          <w:iCs/>
          <w:vertAlign w:val="subscript"/>
        </w:rPr>
        <w:t>3</w:t>
      </w:r>
      <w:r>
        <w:t>—含义同B模型；</w:t>
      </w:r>
    </w:p>
    <w:p w14:paraId="77A059F8" w14:textId="77777777" w:rsidR="00495C65" w:rsidRDefault="00495C65" w:rsidP="00495C65">
      <w:pPr>
        <w:pStyle w:val="13"/>
        <w:ind w:firstLineChars="500" w:firstLine="1200"/>
      </w:pPr>
      <w:r w:rsidRPr="00E2131C">
        <w:rPr>
          <w:rFonts w:hint="eastAsia"/>
          <w:i/>
          <w:iCs/>
        </w:rPr>
        <w:t>Ｖ</w:t>
      </w:r>
      <w:r>
        <w:rPr>
          <w:rFonts w:hint="eastAsia"/>
        </w:rPr>
        <w:t>—误差项。</w:t>
      </w:r>
    </w:p>
    <w:p w14:paraId="5DA87182" w14:textId="77777777" w:rsidR="00495C65" w:rsidRDefault="00495C65" w:rsidP="00495C65">
      <w:pPr>
        <w:pStyle w:val="13"/>
      </w:pPr>
      <w:r>
        <w:rPr>
          <w:rFonts w:hint="eastAsia"/>
        </w:rPr>
        <w:t>（2）级差收益测算模型选择方法：</w:t>
      </w:r>
    </w:p>
    <w:p w14:paraId="22177027" w14:textId="77777777" w:rsidR="00495C65" w:rsidRDefault="00495C65" w:rsidP="00495C65">
      <w:pPr>
        <w:pStyle w:val="13"/>
      </w:pPr>
      <w:r>
        <w:rPr>
          <w:rFonts w:hint="eastAsia"/>
        </w:rPr>
        <w:t>根据数据资料，用以下方法进行模型选择：</w:t>
      </w:r>
    </w:p>
    <w:p w14:paraId="78365F88" w14:textId="77777777" w:rsidR="00495C65" w:rsidRDefault="00495C65" w:rsidP="00495C65">
      <w:pPr>
        <w:pStyle w:val="13"/>
      </w:pPr>
      <w:r w:rsidRPr="002A059C">
        <w:rPr>
          <w:rFonts w:hint="eastAsia"/>
        </w:rPr>
        <w:t>方法</w:t>
      </w:r>
      <w:proofErr w:type="gramStart"/>
      <w:r w:rsidRPr="002A059C">
        <w:rPr>
          <w:rFonts w:hint="eastAsia"/>
        </w:rPr>
        <w:t>一</w:t>
      </w:r>
      <w:proofErr w:type="gramEnd"/>
      <w:r w:rsidRPr="002A059C">
        <w:rPr>
          <w:rFonts w:hint="eastAsia"/>
        </w:rPr>
        <w:t>：在已知线性模型的前提下，用被解释变量与解释变量的相关数学关系及相</w:t>
      </w:r>
      <w:r>
        <w:rPr>
          <w:rFonts w:hint="eastAsia"/>
        </w:rPr>
        <w:t>关检验来初步确定模型的数学形式。</w:t>
      </w:r>
    </w:p>
    <w:p w14:paraId="58FBDCAA" w14:textId="77777777" w:rsidR="00495C65" w:rsidRDefault="00495C65" w:rsidP="00495C65">
      <w:pPr>
        <w:pStyle w:val="13"/>
      </w:pPr>
      <w:r>
        <w:rPr>
          <w:rFonts w:hint="eastAsia"/>
        </w:rPr>
        <w:t>方法二：将样本数据依次代入可能的数学模型中，得到不同样本的回归模型，同时对各样本模型进行经济、统计和计量检验，按检验结果，选定测算模型。</w:t>
      </w:r>
    </w:p>
    <w:p w14:paraId="514D5420" w14:textId="77777777" w:rsidR="00495C65" w:rsidRDefault="00495C65" w:rsidP="00495C65">
      <w:pPr>
        <w:pStyle w:val="13"/>
      </w:pPr>
      <w:r>
        <w:rPr>
          <w:rFonts w:hint="eastAsia"/>
        </w:rPr>
        <w:t>7</w:t>
      </w:r>
      <w:r>
        <w:t>.6.4.2</w:t>
      </w:r>
      <w:r>
        <w:rPr>
          <w:rFonts w:hint="eastAsia"/>
        </w:rPr>
        <w:t>模型确定与系数估计</w:t>
      </w:r>
    </w:p>
    <w:p w14:paraId="1EA13ED2" w14:textId="77777777" w:rsidR="00495C65" w:rsidRDefault="00495C65" w:rsidP="00495C65">
      <w:pPr>
        <w:pStyle w:val="13"/>
      </w:pPr>
      <w:r>
        <w:rPr>
          <w:rFonts w:hint="eastAsia"/>
        </w:rPr>
        <w:t>主要要求如下：</w:t>
      </w:r>
    </w:p>
    <w:p w14:paraId="2AF3C70C" w14:textId="77777777" w:rsidR="00495C65" w:rsidRDefault="00495C65" w:rsidP="00495C65">
      <w:pPr>
        <w:pStyle w:val="13"/>
      </w:pPr>
      <w:r>
        <w:rPr>
          <w:rFonts w:hint="eastAsia"/>
        </w:rPr>
        <w:t>（1）模型确定</w:t>
      </w:r>
    </w:p>
    <w:p w14:paraId="6527D925" w14:textId="77777777" w:rsidR="00495C65" w:rsidRDefault="00495C65" w:rsidP="00495C65">
      <w:pPr>
        <w:pStyle w:val="13"/>
      </w:pPr>
      <w:r>
        <w:rPr>
          <w:rFonts w:hint="eastAsia"/>
        </w:rPr>
        <w:t>根据</w:t>
      </w:r>
      <w:r>
        <w:t>7.6.4.1条中提供的模型、模型选择方法和样点数据，确定级差收益测算模型，测定各因素系数值。</w:t>
      </w:r>
    </w:p>
    <w:p w14:paraId="44C24CB6" w14:textId="77777777" w:rsidR="00495C65" w:rsidRDefault="00495C65" w:rsidP="00495C65">
      <w:pPr>
        <w:pStyle w:val="13"/>
      </w:pPr>
      <w:r w:rsidRPr="007F2241">
        <w:rPr>
          <w:rFonts w:hint="eastAsia"/>
        </w:rPr>
        <w:t>（</w:t>
      </w:r>
      <w:r>
        <w:t>2</w:t>
      </w:r>
      <w:r w:rsidRPr="007F2241">
        <w:t>）</w:t>
      </w:r>
      <w:r>
        <w:rPr>
          <w:rFonts w:hint="eastAsia"/>
        </w:rPr>
        <w:t>参数估计</w:t>
      </w:r>
    </w:p>
    <w:p w14:paraId="6D05CE03" w14:textId="77777777" w:rsidR="00495C65" w:rsidRDefault="00495C65" w:rsidP="00495C65">
      <w:pPr>
        <w:pStyle w:val="13"/>
      </w:pPr>
      <w:r>
        <w:rPr>
          <w:rFonts w:hint="eastAsia"/>
        </w:rPr>
        <w:t>将样本资料代入数学模型，用数学方法求出各因素参数值。</w:t>
      </w:r>
    </w:p>
    <w:p w14:paraId="12BD3883" w14:textId="77777777" w:rsidR="00495C65" w:rsidRDefault="00495C65" w:rsidP="00495C65">
      <w:pPr>
        <w:pStyle w:val="13"/>
      </w:pPr>
      <w:r>
        <w:rPr>
          <w:rFonts w:hint="eastAsia"/>
        </w:rPr>
        <w:t>对于线性模型，其计算方法一般用最小二乘法求解因素参数值。</w:t>
      </w:r>
    </w:p>
    <w:p w14:paraId="002DB0F7" w14:textId="77777777" w:rsidR="00495C65" w:rsidRDefault="00495C65" w:rsidP="00495C65">
      <w:pPr>
        <w:pStyle w:val="13"/>
      </w:pPr>
      <w:r w:rsidRPr="00556928">
        <w:t>7.6.4.</w:t>
      </w:r>
      <w:r>
        <w:t>3</w:t>
      </w:r>
      <w:r>
        <w:rPr>
          <w:rFonts w:hint="eastAsia"/>
        </w:rPr>
        <w:t>估计系数的可靠性检验</w:t>
      </w:r>
    </w:p>
    <w:p w14:paraId="73EAB01F" w14:textId="77777777" w:rsidR="00495C65" w:rsidRDefault="00495C65" w:rsidP="00495C65">
      <w:pPr>
        <w:pStyle w:val="13"/>
      </w:pPr>
      <w:r>
        <w:rPr>
          <w:rFonts w:hint="eastAsia"/>
        </w:rPr>
        <w:t>主要要求如下：</w:t>
      </w:r>
    </w:p>
    <w:p w14:paraId="0D737E8A" w14:textId="77777777" w:rsidR="00495C65" w:rsidRDefault="00495C65" w:rsidP="00495C65">
      <w:pPr>
        <w:pStyle w:val="13"/>
      </w:pPr>
      <w:r w:rsidRPr="00556928">
        <w:rPr>
          <w:rFonts w:hint="eastAsia"/>
        </w:rPr>
        <w:t>（</w:t>
      </w:r>
      <w:r w:rsidRPr="00556928">
        <w:t>1）</w:t>
      </w:r>
      <w:r>
        <w:rPr>
          <w:rFonts w:hint="eastAsia"/>
        </w:rPr>
        <w:t>经济意义检验</w:t>
      </w:r>
    </w:p>
    <w:p w14:paraId="22CA3DF0" w14:textId="77777777" w:rsidR="00495C65" w:rsidRDefault="00495C65" w:rsidP="00495C65">
      <w:pPr>
        <w:pStyle w:val="13"/>
      </w:pPr>
      <w:r>
        <w:rPr>
          <w:rFonts w:hint="eastAsia"/>
        </w:rPr>
        <w:t>一般从符号和值域两个方面检验。符号检验是根据模型中变量设计所要达到的条件进行检验；值域检验是根据现实经济条件加以具体限定。</w:t>
      </w:r>
    </w:p>
    <w:p w14:paraId="43B6F6CE" w14:textId="77777777" w:rsidR="00495C65" w:rsidRDefault="00495C65" w:rsidP="00495C65">
      <w:pPr>
        <w:pStyle w:val="13"/>
      </w:pPr>
      <w:r w:rsidRPr="00704388">
        <w:rPr>
          <w:rFonts w:hint="eastAsia"/>
        </w:rPr>
        <w:lastRenderedPageBreak/>
        <w:t>（</w:t>
      </w:r>
      <w:r>
        <w:t>2</w:t>
      </w:r>
      <w:r w:rsidRPr="00704388">
        <w:t>）</w:t>
      </w:r>
      <w:r>
        <w:rPr>
          <w:rFonts w:hint="eastAsia"/>
        </w:rPr>
        <w:t>统计检验</w:t>
      </w:r>
    </w:p>
    <w:p w14:paraId="5D2715C6" w14:textId="77777777" w:rsidR="00495C65" w:rsidRDefault="00495C65" w:rsidP="00495C65">
      <w:pPr>
        <w:pStyle w:val="13"/>
      </w:pPr>
      <w:r>
        <w:rPr>
          <w:rFonts w:hint="eastAsia"/>
        </w:rPr>
        <w:t>通过回归系数的统计显著性检验，判断因素对净收益的影响程度。</w:t>
      </w:r>
    </w:p>
    <w:p w14:paraId="3F7B3E12" w14:textId="77777777" w:rsidR="00495C65" w:rsidRDefault="00495C65" w:rsidP="00495C65">
      <w:pPr>
        <w:pStyle w:val="13"/>
      </w:pPr>
      <w:r>
        <w:rPr>
          <w:rFonts w:hint="eastAsia"/>
        </w:rPr>
        <w:t>通过回归系数的总体显著性检验，判断因素在总体上对净收益的影响程度。</w:t>
      </w:r>
    </w:p>
    <w:p w14:paraId="76091D04" w14:textId="77777777" w:rsidR="00495C65" w:rsidRDefault="00495C65" w:rsidP="00495C65">
      <w:pPr>
        <w:pStyle w:val="13"/>
      </w:pPr>
      <w:r>
        <w:rPr>
          <w:rFonts w:hint="eastAsia"/>
        </w:rPr>
        <w:t>通过模型的拟合优度检验，判断建立的模型与样点数据的拟合程度。</w:t>
      </w:r>
    </w:p>
    <w:p w14:paraId="56AB128B" w14:textId="77777777" w:rsidR="00495C65" w:rsidRDefault="00495C65" w:rsidP="00495C65">
      <w:pPr>
        <w:pStyle w:val="13"/>
      </w:pPr>
      <w:r w:rsidRPr="00704388">
        <w:rPr>
          <w:rFonts w:hint="eastAsia"/>
        </w:rPr>
        <w:t>（</w:t>
      </w:r>
      <w:r>
        <w:t>3</w:t>
      </w:r>
      <w:r w:rsidRPr="00704388">
        <w:t>）</w:t>
      </w:r>
      <w:r>
        <w:rPr>
          <w:rFonts w:hint="eastAsia"/>
        </w:rPr>
        <w:t>计量经济检验</w:t>
      </w:r>
    </w:p>
    <w:p w14:paraId="7BF35481" w14:textId="77777777" w:rsidR="00495C65" w:rsidRDefault="00495C65" w:rsidP="00495C65">
      <w:pPr>
        <w:pStyle w:val="13"/>
      </w:pPr>
      <w:r>
        <w:rPr>
          <w:rFonts w:hint="eastAsia"/>
        </w:rPr>
        <w:t>通过异方差性检验、多重共线性检验和自相关检验，判断统计性检验的有效性。</w:t>
      </w:r>
    </w:p>
    <w:p w14:paraId="40FDDC4A" w14:textId="77777777" w:rsidR="00495C65" w:rsidRDefault="00495C65" w:rsidP="00495C65">
      <w:pPr>
        <w:pStyle w:val="13"/>
      </w:pPr>
      <w:r>
        <w:rPr>
          <w:rFonts w:hint="eastAsia"/>
        </w:rPr>
        <w:t>7</w:t>
      </w:r>
      <w:r>
        <w:t>.6.5</w:t>
      </w:r>
      <w:r>
        <w:rPr>
          <w:rFonts w:hint="eastAsia"/>
        </w:rPr>
        <w:t>土地收益计算</w:t>
      </w:r>
    </w:p>
    <w:p w14:paraId="65F8CD6F" w14:textId="77777777" w:rsidR="00495C65" w:rsidRDefault="00495C65" w:rsidP="00495C65">
      <w:pPr>
        <w:pStyle w:val="13"/>
      </w:pPr>
      <w:r>
        <w:rPr>
          <w:rFonts w:hint="eastAsia"/>
        </w:rPr>
        <w:t>将样本数据代入确定的数学模型中，得到各级土地上不同用途的土地收益值。</w:t>
      </w:r>
      <w:proofErr w:type="gramStart"/>
      <w:r>
        <w:rPr>
          <w:rFonts w:hint="eastAsia"/>
        </w:rPr>
        <w:t>各土地</w:t>
      </w:r>
      <w:proofErr w:type="gramEnd"/>
      <w:r>
        <w:rPr>
          <w:rFonts w:hint="eastAsia"/>
        </w:rPr>
        <w:t>收益计算模型为：</w:t>
      </w:r>
    </w:p>
    <w:p w14:paraId="14EE1144" w14:textId="77777777" w:rsidR="00495C65" w:rsidRDefault="00495C65" w:rsidP="00495C65">
      <w:pPr>
        <w:pStyle w:val="13"/>
      </w:pPr>
      <w:r>
        <w:rPr>
          <w:rFonts w:hint="eastAsia"/>
        </w:rPr>
        <w:t>（</w:t>
      </w:r>
      <w:r>
        <w:t>1）模型</w:t>
      </w:r>
      <w:proofErr w:type="spellStart"/>
      <w:r w:rsidRPr="00856C9E">
        <w:rPr>
          <w:i/>
          <w:iCs/>
        </w:rPr>
        <w:t>I</w:t>
      </w:r>
      <w:r w:rsidRPr="00856C9E">
        <w:rPr>
          <w:i/>
          <w:iCs/>
          <w:vertAlign w:val="subscript"/>
        </w:rPr>
        <w:t>ni</w:t>
      </w:r>
      <w:proofErr w:type="spellEnd"/>
      <w:r w:rsidRPr="00856C9E">
        <w:rPr>
          <w:i/>
          <w:iCs/>
        </w:rPr>
        <w:t>=A（1+r）X</w:t>
      </w:r>
      <w:r w:rsidRPr="00856C9E">
        <w:rPr>
          <w:i/>
          <w:iCs/>
          <w:vertAlign w:val="superscript"/>
        </w:rPr>
        <w:t>1n</w:t>
      </w:r>
      <w:r>
        <w:t xml:space="preserve">                                         （44）</w:t>
      </w:r>
    </w:p>
    <w:p w14:paraId="0C190D70" w14:textId="77777777" w:rsidR="00495C65" w:rsidRDefault="00495C65" w:rsidP="00495C65">
      <w:pPr>
        <w:pStyle w:val="13"/>
      </w:pPr>
      <w:r>
        <w:rPr>
          <w:rFonts w:hint="eastAsia"/>
        </w:rPr>
        <w:t>（</w:t>
      </w:r>
      <w:r>
        <w:t>2）模型</w:t>
      </w:r>
      <w:proofErr w:type="spellStart"/>
      <w:r w:rsidRPr="00856C9E">
        <w:rPr>
          <w:i/>
          <w:iCs/>
        </w:rPr>
        <w:t>I</w:t>
      </w:r>
      <w:r w:rsidRPr="00856C9E">
        <w:rPr>
          <w:i/>
          <w:iCs/>
          <w:vertAlign w:val="subscript"/>
        </w:rPr>
        <w:t>ni</w:t>
      </w:r>
      <w:proofErr w:type="spellEnd"/>
      <w:r w:rsidRPr="00856C9E">
        <w:rPr>
          <w:i/>
          <w:iCs/>
        </w:rPr>
        <w:t>=</w:t>
      </w:r>
      <w:proofErr w:type="spellStart"/>
      <w:r w:rsidRPr="00856C9E">
        <w:rPr>
          <w:i/>
          <w:iCs/>
        </w:rPr>
        <w:t>Y</w:t>
      </w:r>
      <w:r w:rsidRPr="00856C9E">
        <w:rPr>
          <w:i/>
          <w:iCs/>
          <w:vertAlign w:val="subscript"/>
        </w:rPr>
        <w:t>ni</w:t>
      </w:r>
      <w:proofErr w:type="spellEnd"/>
      <w:r w:rsidRPr="00856C9E">
        <w:rPr>
          <w:i/>
          <w:iCs/>
        </w:rPr>
        <w:t>-（b</w:t>
      </w:r>
      <w:r w:rsidRPr="00856C9E">
        <w:rPr>
          <w:i/>
          <w:iCs/>
          <w:vertAlign w:val="subscript"/>
        </w:rPr>
        <w:t>0</w:t>
      </w:r>
      <w:r w:rsidRPr="00856C9E">
        <w:rPr>
          <w:i/>
          <w:iCs/>
        </w:rPr>
        <w:t>+b</w:t>
      </w:r>
      <w:r w:rsidRPr="00856C9E">
        <w:rPr>
          <w:i/>
          <w:iCs/>
          <w:vertAlign w:val="subscript"/>
        </w:rPr>
        <w:t>2</w:t>
      </w:r>
      <w:r w:rsidRPr="00856C9E">
        <w:rPr>
          <w:i/>
          <w:iCs/>
        </w:rPr>
        <w:t>X</w:t>
      </w:r>
      <w:r w:rsidRPr="00856C9E">
        <w:rPr>
          <w:i/>
          <w:iCs/>
          <w:vertAlign w:val="subscript"/>
        </w:rPr>
        <w:t>2</w:t>
      </w:r>
      <w:r w:rsidRPr="00856C9E">
        <w:rPr>
          <w:i/>
          <w:iCs/>
        </w:rPr>
        <w:t>+b</w:t>
      </w:r>
      <w:r w:rsidRPr="00856C9E">
        <w:rPr>
          <w:i/>
          <w:iCs/>
          <w:vertAlign w:val="subscript"/>
        </w:rPr>
        <w:t>3</w:t>
      </w:r>
      <w:r w:rsidRPr="00856C9E">
        <w:rPr>
          <w:i/>
          <w:iCs/>
        </w:rPr>
        <w:t>X</w:t>
      </w:r>
      <w:r w:rsidRPr="00856C9E">
        <w:rPr>
          <w:i/>
          <w:iCs/>
          <w:vertAlign w:val="subscript"/>
        </w:rPr>
        <w:t>3</w:t>
      </w:r>
      <w:r w:rsidRPr="00856C9E">
        <w:rPr>
          <w:i/>
          <w:iCs/>
        </w:rPr>
        <w:t>）</w:t>
      </w:r>
      <w:r>
        <w:rPr>
          <w:rFonts w:hint="eastAsia"/>
        </w:rPr>
        <w:t xml:space="preserve"> </w:t>
      </w:r>
      <w:r>
        <w:t xml:space="preserve">                                 （45）</w:t>
      </w:r>
    </w:p>
    <w:p w14:paraId="382529DA" w14:textId="77777777" w:rsidR="00495C65" w:rsidRDefault="00495C65" w:rsidP="00495C65">
      <w:pPr>
        <w:pStyle w:val="13"/>
      </w:pPr>
      <w:r>
        <w:rPr>
          <w:rFonts w:hint="eastAsia"/>
        </w:rPr>
        <w:t>（</w:t>
      </w:r>
      <w:r>
        <w:t>3）模型</w:t>
      </w:r>
      <w:proofErr w:type="spellStart"/>
      <w:r w:rsidRPr="00856C9E">
        <w:rPr>
          <w:i/>
          <w:iCs/>
        </w:rPr>
        <w:t>I</w:t>
      </w:r>
      <w:r w:rsidRPr="00856C9E">
        <w:rPr>
          <w:i/>
          <w:iCs/>
          <w:vertAlign w:val="subscript"/>
        </w:rPr>
        <w:t>ni</w:t>
      </w:r>
      <w:proofErr w:type="spellEnd"/>
      <w:r w:rsidRPr="00856C9E">
        <w:rPr>
          <w:i/>
          <w:iCs/>
        </w:rPr>
        <w:t>=</w:t>
      </w:r>
      <w:proofErr w:type="spellStart"/>
      <w:r w:rsidRPr="00856C9E">
        <w:rPr>
          <w:i/>
          <w:iCs/>
        </w:rPr>
        <w:t>Y</w:t>
      </w:r>
      <w:r w:rsidRPr="00856C9E">
        <w:rPr>
          <w:i/>
          <w:iCs/>
          <w:vertAlign w:val="subscript"/>
        </w:rPr>
        <w:t>ni</w:t>
      </w:r>
      <w:proofErr w:type="spellEnd"/>
      <w:r w:rsidRPr="00856C9E">
        <w:rPr>
          <w:i/>
          <w:iCs/>
        </w:rPr>
        <w:t>/（b</w:t>
      </w:r>
      <w:r w:rsidRPr="00856C9E">
        <w:rPr>
          <w:i/>
          <w:iCs/>
          <w:vertAlign w:val="subscript"/>
        </w:rPr>
        <w:t>2</w:t>
      </w:r>
      <w:r w:rsidRPr="00856C9E">
        <w:rPr>
          <w:i/>
          <w:iCs/>
        </w:rPr>
        <w:t>X</w:t>
      </w:r>
      <w:r w:rsidRPr="00856C9E">
        <w:rPr>
          <w:i/>
          <w:iCs/>
          <w:vertAlign w:val="subscript"/>
        </w:rPr>
        <w:t>2</w:t>
      </w:r>
      <w:r w:rsidRPr="00856C9E">
        <w:rPr>
          <w:i/>
          <w:iCs/>
        </w:rPr>
        <w:t>×b</w:t>
      </w:r>
      <w:r w:rsidRPr="00856C9E">
        <w:rPr>
          <w:i/>
          <w:iCs/>
          <w:vertAlign w:val="subscript"/>
        </w:rPr>
        <w:t>3</w:t>
      </w:r>
      <w:r w:rsidRPr="00856C9E">
        <w:rPr>
          <w:i/>
          <w:iCs/>
        </w:rPr>
        <w:t>X</w:t>
      </w:r>
      <w:r w:rsidRPr="00856C9E">
        <w:rPr>
          <w:i/>
          <w:iCs/>
          <w:vertAlign w:val="subscript"/>
        </w:rPr>
        <w:t>3</w:t>
      </w:r>
      <w:r w:rsidRPr="00856C9E">
        <w:rPr>
          <w:i/>
          <w:iCs/>
        </w:rPr>
        <w:t>）</w:t>
      </w:r>
      <w:r>
        <w:t xml:space="preserve">                                    （46）</w:t>
      </w:r>
    </w:p>
    <w:p w14:paraId="04C35176" w14:textId="77777777" w:rsidR="00495C65" w:rsidRDefault="00495C65" w:rsidP="00495C65">
      <w:pPr>
        <w:pStyle w:val="13"/>
      </w:pPr>
      <w:r>
        <w:rPr>
          <w:rFonts w:hint="eastAsia"/>
        </w:rPr>
        <w:t>（</w:t>
      </w:r>
      <w:r>
        <w:t>4）模型</w:t>
      </w:r>
      <w:proofErr w:type="spellStart"/>
      <w:r w:rsidRPr="00116CB3">
        <w:rPr>
          <w:i/>
          <w:iCs/>
        </w:rPr>
        <w:t>I</w:t>
      </w:r>
      <w:r w:rsidRPr="00116CB3">
        <w:rPr>
          <w:i/>
          <w:iCs/>
          <w:vertAlign w:val="subscript"/>
        </w:rPr>
        <w:t>ni</w:t>
      </w:r>
      <w:proofErr w:type="spellEnd"/>
      <w:r w:rsidRPr="00116CB3">
        <w:rPr>
          <w:i/>
          <w:iCs/>
        </w:rPr>
        <w:t>=</w:t>
      </w:r>
      <w:proofErr w:type="spellStart"/>
      <w:r w:rsidRPr="00116CB3">
        <w:rPr>
          <w:i/>
          <w:iCs/>
        </w:rPr>
        <w:t>Y</w:t>
      </w:r>
      <w:r w:rsidRPr="00116CB3">
        <w:rPr>
          <w:i/>
          <w:iCs/>
          <w:vertAlign w:val="subscript"/>
        </w:rPr>
        <w:t>ni</w:t>
      </w:r>
      <w:proofErr w:type="spellEnd"/>
      <w:r w:rsidRPr="00116CB3">
        <w:rPr>
          <w:i/>
          <w:iCs/>
        </w:rPr>
        <w:t>-（b</w:t>
      </w:r>
      <w:r w:rsidRPr="00116CB3">
        <w:rPr>
          <w:i/>
          <w:iCs/>
          <w:vertAlign w:val="subscript"/>
        </w:rPr>
        <w:t>2</w:t>
      </w:r>
      <w:r w:rsidRPr="00116CB3">
        <w:rPr>
          <w:i/>
          <w:iCs/>
        </w:rPr>
        <w:t>X</w:t>
      </w:r>
      <w:r w:rsidRPr="00116CB3">
        <w:rPr>
          <w:i/>
          <w:iCs/>
          <w:vertAlign w:val="subscript"/>
        </w:rPr>
        <w:t>2</w:t>
      </w:r>
      <w:r w:rsidRPr="00116CB3">
        <w:rPr>
          <w:i/>
          <w:iCs/>
        </w:rPr>
        <w:t>+b</w:t>
      </w:r>
      <w:r w:rsidRPr="00116CB3">
        <w:rPr>
          <w:i/>
          <w:iCs/>
          <w:vertAlign w:val="subscript"/>
        </w:rPr>
        <w:t>3</w:t>
      </w:r>
      <w:r w:rsidRPr="00116CB3">
        <w:rPr>
          <w:i/>
          <w:iCs/>
        </w:rPr>
        <w:t>X</w:t>
      </w:r>
      <w:r w:rsidRPr="00116CB3">
        <w:rPr>
          <w:i/>
          <w:iCs/>
          <w:vertAlign w:val="subscript"/>
        </w:rPr>
        <w:t>3</w:t>
      </w:r>
      <w:r w:rsidRPr="00116CB3">
        <w:rPr>
          <w:i/>
          <w:iCs/>
        </w:rPr>
        <w:t>+V）</w:t>
      </w:r>
      <w:r>
        <w:t xml:space="preserve">                                   （47）</w:t>
      </w:r>
    </w:p>
    <w:p w14:paraId="5418D75C" w14:textId="77777777" w:rsidR="00495C65" w:rsidRDefault="00495C65" w:rsidP="00495C65">
      <w:pPr>
        <w:pStyle w:val="13"/>
      </w:pPr>
      <w:r>
        <w:t>式中：</w:t>
      </w:r>
    </w:p>
    <w:p w14:paraId="580AC6CD" w14:textId="77777777" w:rsidR="00495C65" w:rsidRDefault="00495C65" w:rsidP="00495C65">
      <w:pPr>
        <w:pStyle w:val="13"/>
        <w:ind w:firstLineChars="500" w:firstLine="1200"/>
      </w:pPr>
      <w:proofErr w:type="spellStart"/>
      <w:r w:rsidRPr="00B850AD">
        <w:rPr>
          <w:i/>
          <w:iCs/>
        </w:rPr>
        <w:t>I</w:t>
      </w:r>
      <w:r w:rsidRPr="00B850AD">
        <w:rPr>
          <w:i/>
          <w:iCs/>
          <w:vertAlign w:val="subscript"/>
        </w:rPr>
        <w:t>ni</w:t>
      </w:r>
      <w:proofErr w:type="spellEnd"/>
      <w:r>
        <w:t>—第</w:t>
      </w:r>
      <w:r w:rsidRPr="006B5068">
        <w:rPr>
          <w:i/>
          <w:iCs/>
        </w:rPr>
        <w:t>n</w:t>
      </w:r>
      <w:r>
        <w:t>级土地上样点单位面积的土地收益；</w:t>
      </w:r>
    </w:p>
    <w:p w14:paraId="30799345" w14:textId="77777777" w:rsidR="00495C65" w:rsidRDefault="00495C65" w:rsidP="00495C65">
      <w:pPr>
        <w:pStyle w:val="13"/>
        <w:ind w:firstLineChars="500" w:firstLine="1200"/>
      </w:pPr>
      <w:proofErr w:type="spellStart"/>
      <w:r w:rsidRPr="00B850AD">
        <w:rPr>
          <w:i/>
          <w:iCs/>
        </w:rPr>
        <w:t>Y</w:t>
      </w:r>
      <w:r w:rsidRPr="00B850AD">
        <w:rPr>
          <w:i/>
          <w:iCs/>
          <w:vertAlign w:val="subscript"/>
        </w:rPr>
        <w:t>ni</w:t>
      </w:r>
      <w:proofErr w:type="spellEnd"/>
      <w:r>
        <w:t>—第</w:t>
      </w:r>
      <w:r w:rsidRPr="006B5068">
        <w:rPr>
          <w:i/>
          <w:iCs/>
        </w:rPr>
        <w:t>n</w:t>
      </w:r>
      <w:r>
        <w:t>级土地上样点单位面积的利润；</w:t>
      </w:r>
    </w:p>
    <w:p w14:paraId="43138E04" w14:textId="77777777" w:rsidR="00495C65" w:rsidRDefault="00495C65" w:rsidP="00495C65">
      <w:pPr>
        <w:pStyle w:val="13"/>
        <w:ind w:firstLineChars="500" w:firstLine="1200"/>
      </w:pPr>
      <w:r w:rsidRPr="006B5068">
        <w:rPr>
          <w:i/>
          <w:iCs/>
        </w:rPr>
        <w:t>A、X</w:t>
      </w:r>
      <w:r w:rsidRPr="006B5068">
        <w:rPr>
          <w:i/>
          <w:iCs/>
          <w:vertAlign w:val="superscript"/>
        </w:rPr>
        <w:t>1n</w:t>
      </w:r>
      <w:r w:rsidRPr="006B5068">
        <w:rPr>
          <w:i/>
          <w:iCs/>
        </w:rPr>
        <w:t>、r、b</w:t>
      </w:r>
      <w:r w:rsidRPr="006B5068">
        <w:rPr>
          <w:i/>
          <w:iCs/>
          <w:vertAlign w:val="subscript"/>
        </w:rPr>
        <w:t>0</w:t>
      </w:r>
      <w:r w:rsidRPr="006B5068">
        <w:rPr>
          <w:i/>
          <w:iCs/>
        </w:rPr>
        <w:t>、b</w:t>
      </w:r>
      <w:r w:rsidRPr="006B5068">
        <w:rPr>
          <w:i/>
          <w:iCs/>
          <w:vertAlign w:val="subscript"/>
        </w:rPr>
        <w:t>2</w:t>
      </w:r>
      <w:r w:rsidRPr="006B5068">
        <w:rPr>
          <w:i/>
          <w:iCs/>
        </w:rPr>
        <w:t>、b</w:t>
      </w:r>
      <w:r w:rsidRPr="006B5068">
        <w:rPr>
          <w:i/>
          <w:iCs/>
          <w:vertAlign w:val="subscript"/>
        </w:rPr>
        <w:t>3</w:t>
      </w:r>
      <w:r w:rsidRPr="006B5068">
        <w:rPr>
          <w:i/>
          <w:iCs/>
        </w:rPr>
        <w:t>、X</w:t>
      </w:r>
      <w:r w:rsidRPr="006B5068">
        <w:rPr>
          <w:i/>
          <w:iCs/>
          <w:vertAlign w:val="subscript"/>
        </w:rPr>
        <w:t>2</w:t>
      </w:r>
      <w:r w:rsidRPr="006B5068">
        <w:rPr>
          <w:i/>
          <w:iCs/>
        </w:rPr>
        <w:t>、X</w:t>
      </w:r>
      <w:r w:rsidRPr="006B5068">
        <w:rPr>
          <w:i/>
          <w:iCs/>
          <w:vertAlign w:val="subscript"/>
        </w:rPr>
        <w:t>3</w:t>
      </w:r>
      <w:r w:rsidRPr="006B5068">
        <w:rPr>
          <w:i/>
          <w:iCs/>
        </w:rPr>
        <w:t>、V</w:t>
      </w:r>
      <w:r>
        <w:t>—含义同7.6.4.1中各模型</w:t>
      </w:r>
    </w:p>
    <w:p w14:paraId="603C0206" w14:textId="77777777" w:rsidR="00495C65" w:rsidRDefault="00495C65" w:rsidP="00495C65">
      <w:pPr>
        <w:pStyle w:val="13"/>
      </w:pPr>
      <w:r>
        <w:rPr>
          <w:rFonts w:hint="eastAsia"/>
          <w:noProof/>
        </w:rPr>
        <w:drawing>
          <wp:anchor distT="0" distB="0" distL="114300" distR="114300" simplePos="0" relativeHeight="251664384" behindDoc="1" locked="0" layoutInCell="1" allowOverlap="1" wp14:anchorId="6A4DA6B5" wp14:editId="40016950">
            <wp:simplePos x="0" y="0"/>
            <wp:positionH relativeFrom="column">
              <wp:posOffset>2140262</wp:posOffset>
            </wp:positionH>
            <wp:positionV relativeFrom="paragraph">
              <wp:posOffset>177405</wp:posOffset>
            </wp:positionV>
            <wp:extent cx="1287126" cy="664234"/>
            <wp:effectExtent l="0" t="0" r="8890" b="2540"/>
            <wp:wrapNone/>
            <wp:docPr id="3264" name="图片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92396" cy="666953"/>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某一级地租的平均值按式（</w:t>
      </w:r>
      <w:r>
        <w:t>48）计算：</w:t>
      </w:r>
    </w:p>
    <w:p w14:paraId="79268076" w14:textId="77777777" w:rsidR="00495C65" w:rsidRDefault="00495C65" w:rsidP="00495C65">
      <w:pPr>
        <w:pStyle w:val="13"/>
      </w:pPr>
      <w:r w:rsidRPr="000E0EAA">
        <w:t xml:space="preserve">          </w:t>
      </w:r>
      <w:r>
        <w:t xml:space="preserve">                                               </w:t>
      </w:r>
      <w:r w:rsidRPr="000E0EAA">
        <w:t xml:space="preserve">       （4</w:t>
      </w:r>
      <w:r>
        <w:t>8</w:t>
      </w:r>
      <w:r w:rsidRPr="000E0EAA">
        <w:t>）</w:t>
      </w:r>
    </w:p>
    <w:p w14:paraId="551B185E" w14:textId="77777777" w:rsidR="00495C65" w:rsidRDefault="00495C65" w:rsidP="00495C65">
      <w:pPr>
        <w:pStyle w:val="13"/>
      </w:pPr>
    </w:p>
    <w:p w14:paraId="0B829E66" w14:textId="77777777" w:rsidR="00495C65" w:rsidRDefault="00495C65" w:rsidP="00495C65">
      <w:pPr>
        <w:pStyle w:val="13"/>
      </w:pPr>
      <w:r>
        <w:rPr>
          <w:rFonts w:hint="eastAsia"/>
        </w:rPr>
        <w:t>式中：</w:t>
      </w:r>
    </w:p>
    <w:p w14:paraId="2D037723" w14:textId="77777777" w:rsidR="00495C65" w:rsidRPr="00A37F4E" w:rsidRDefault="00495C65" w:rsidP="00495C65">
      <w:pPr>
        <w:pStyle w:val="13"/>
        <w:ind w:firstLineChars="500" w:firstLine="1200"/>
      </w:pPr>
      <w:r w:rsidRPr="00A37F4E">
        <w:rPr>
          <w:i/>
          <w:iCs/>
        </w:rPr>
        <w:t>I</w:t>
      </w:r>
      <w:r w:rsidRPr="00A37F4E">
        <w:rPr>
          <w:i/>
          <w:iCs/>
          <w:vertAlign w:val="subscript"/>
        </w:rPr>
        <w:t>n</w:t>
      </w:r>
      <w:r w:rsidRPr="00A37F4E">
        <w:t>—第</w:t>
      </w:r>
      <w:r w:rsidRPr="00A37F4E">
        <w:rPr>
          <w:i/>
          <w:iCs/>
        </w:rPr>
        <w:t>n</w:t>
      </w:r>
      <w:r w:rsidRPr="00A37F4E">
        <w:t>级土地上不同行业土地的平均收益；</w:t>
      </w:r>
    </w:p>
    <w:p w14:paraId="78FE4983" w14:textId="77777777" w:rsidR="00495C65" w:rsidRPr="00A37F4E" w:rsidRDefault="00495C65" w:rsidP="00495C65">
      <w:pPr>
        <w:pStyle w:val="13"/>
        <w:ind w:firstLineChars="500" w:firstLine="1200"/>
        <w:rPr>
          <w:i/>
          <w:iCs/>
        </w:rPr>
      </w:pPr>
      <w:r w:rsidRPr="00A37F4E">
        <w:rPr>
          <w:rFonts w:hint="eastAsia"/>
          <w:i/>
          <w:iCs/>
        </w:rPr>
        <w:t>Ｍ</w:t>
      </w:r>
      <w:r w:rsidRPr="00A37F4E">
        <w:rPr>
          <w:rFonts w:hint="eastAsia"/>
        </w:rPr>
        <w:t>—第</w:t>
      </w:r>
      <w:r w:rsidRPr="00A37F4E">
        <w:rPr>
          <w:i/>
          <w:iCs/>
        </w:rPr>
        <w:t>n</w:t>
      </w:r>
      <w:r w:rsidRPr="00A37F4E">
        <w:t>级土地上的样点量。</w:t>
      </w:r>
    </w:p>
    <w:p w14:paraId="4E571196" w14:textId="77777777" w:rsidR="00495C65" w:rsidRDefault="00495C65" w:rsidP="00495C65">
      <w:pPr>
        <w:pStyle w:val="13"/>
      </w:pPr>
      <w:r>
        <w:t>7.6.6基准地价计算</w:t>
      </w:r>
    </w:p>
    <w:p w14:paraId="7D4A9004" w14:textId="77777777" w:rsidR="00495C65" w:rsidRDefault="00495C65" w:rsidP="00495C65">
      <w:pPr>
        <w:pStyle w:val="13"/>
      </w:pPr>
      <w:r>
        <w:t>7.6.6.1土地还原利率的确定</w:t>
      </w:r>
    </w:p>
    <w:p w14:paraId="3083D234" w14:textId="77777777" w:rsidR="00495C65" w:rsidRDefault="00495C65" w:rsidP="00495C65">
      <w:pPr>
        <w:pStyle w:val="13"/>
      </w:pPr>
      <w:r>
        <w:rPr>
          <w:rFonts w:hint="eastAsia"/>
        </w:rPr>
        <w:t>土地还原利率确定方法见</w:t>
      </w:r>
      <w:r>
        <w:t>6.2.7。</w:t>
      </w:r>
    </w:p>
    <w:p w14:paraId="4C23EC55" w14:textId="77777777" w:rsidR="00495C65" w:rsidRDefault="00495C65" w:rsidP="00495C65">
      <w:pPr>
        <w:pStyle w:val="13"/>
      </w:pPr>
      <w:r>
        <w:t>7.6.6.2基准地价计算</w:t>
      </w:r>
    </w:p>
    <w:p w14:paraId="192E51BF" w14:textId="77777777" w:rsidR="00495C65" w:rsidRDefault="00495C65" w:rsidP="00495C65">
      <w:pPr>
        <w:pStyle w:val="13"/>
      </w:pPr>
      <w:r>
        <w:rPr>
          <w:rFonts w:hint="eastAsia"/>
        </w:rPr>
        <w:t>按式（</w:t>
      </w:r>
      <w:r>
        <w:t>49）参数各级别、各用途土地的基准地价：</w:t>
      </w:r>
    </w:p>
    <w:p w14:paraId="2102D033" w14:textId="77777777" w:rsidR="00495C65" w:rsidRPr="007D6C09" w:rsidRDefault="00495C65" w:rsidP="00495C65">
      <w:pPr>
        <w:spacing w:before="197"/>
        <w:ind w:left="3473"/>
        <w:rPr>
          <w:rFonts w:ascii="宋体" w:hAnsi="宋体"/>
          <w:i/>
          <w:position w:val="1"/>
          <w:sz w:val="24"/>
        </w:rPr>
      </w:pPr>
      <w:r w:rsidRPr="007D6C09">
        <w:rPr>
          <w:rFonts w:ascii="宋体" w:hAnsi="宋体"/>
          <w:i/>
          <w:position w:val="1"/>
          <w:sz w:val="24"/>
        </w:rPr>
        <w:t>P</w:t>
      </w:r>
      <w:r w:rsidRPr="00853CB3">
        <w:rPr>
          <w:rFonts w:ascii="宋体" w:hAnsi="宋体"/>
          <w:i/>
          <w:position w:val="1"/>
          <w:sz w:val="24"/>
          <w:vertAlign w:val="subscript"/>
        </w:rPr>
        <w:t>1b</w:t>
      </w:r>
      <w:r w:rsidRPr="007D6C09">
        <w:rPr>
          <w:rFonts w:ascii="宋体" w:hAnsi="宋体"/>
          <w:i/>
          <w:position w:val="1"/>
          <w:sz w:val="24"/>
        </w:rPr>
        <w:t>=</w:t>
      </w:r>
      <w:r w:rsidRPr="00853CB3">
        <w:rPr>
          <w:rFonts w:ascii="宋体" w:hAnsi="宋体"/>
          <w:iCs/>
          <w:position w:val="1"/>
          <w:sz w:val="24"/>
        </w:rPr>
        <w:t>（</w:t>
      </w:r>
      <w:r w:rsidRPr="007D6C09">
        <w:rPr>
          <w:rFonts w:ascii="宋体" w:hAnsi="宋体"/>
          <w:i/>
          <w:position w:val="1"/>
          <w:sz w:val="24"/>
        </w:rPr>
        <w:t>I</w:t>
      </w:r>
      <w:r w:rsidRPr="00853CB3">
        <w:rPr>
          <w:rFonts w:ascii="宋体" w:hAnsi="宋体"/>
          <w:i/>
          <w:position w:val="1"/>
          <w:sz w:val="24"/>
          <w:vertAlign w:val="subscript"/>
        </w:rPr>
        <w:t>n</w:t>
      </w:r>
      <w:r w:rsidRPr="007D6C09">
        <w:rPr>
          <w:rFonts w:ascii="宋体" w:hAnsi="宋体"/>
          <w:i/>
          <w:position w:val="1"/>
          <w:sz w:val="24"/>
        </w:rPr>
        <w:t>/</w:t>
      </w:r>
      <w:proofErr w:type="spellStart"/>
      <w:r w:rsidRPr="007D6C09">
        <w:rPr>
          <w:rFonts w:ascii="宋体" w:hAnsi="宋体"/>
          <w:i/>
          <w:position w:val="1"/>
          <w:sz w:val="24"/>
        </w:rPr>
        <w:t>r</w:t>
      </w:r>
      <w:r w:rsidRPr="00853CB3">
        <w:rPr>
          <w:rFonts w:ascii="宋体" w:hAnsi="宋体"/>
          <w:i/>
          <w:position w:val="1"/>
          <w:sz w:val="24"/>
          <w:vertAlign w:val="subscript"/>
        </w:rPr>
        <w:t>l</w:t>
      </w:r>
      <w:proofErr w:type="spellEnd"/>
      <w:r w:rsidRPr="00853CB3">
        <w:rPr>
          <w:rFonts w:ascii="宋体" w:hAnsi="宋体"/>
          <w:iCs/>
          <w:position w:val="1"/>
          <w:sz w:val="24"/>
        </w:rPr>
        <w:t>）〔</w:t>
      </w:r>
      <w:r w:rsidRPr="007D6C09">
        <w:rPr>
          <w:rFonts w:ascii="宋体" w:hAnsi="宋体"/>
          <w:i/>
          <w:position w:val="1"/>
          <w:sz w:val="24"/>
        </w:rPr>
        <w:t>1-1/（1+r</w:t>
      </w:r>
      <w:r w:rsidRPr="00853CB3">
        <w:rPr>
          <w:rFonts w:ascii="宋体" w:hAnsi="宋体"/>
          <w:i/>
          <w:position w:val="1"/>
          <w:sz w:val="24"/>
          <w:vertAlign w:val="subscript"/>
        </w:rPr>
        <w:t>1</w:t>
      </w:r>
      <w:r w:rsidRPr="007D6C09">
        <w:rPr>
          <w:rFonts w:ascii="宋体" w:hAnsi="宋体"/>
          <w:i/>
          <w:position w:val="1"/>
          <w:sz w:val="24"/>
        </w:rPr>
        <w:t>）</w:t>
      </w:r>
      <w:r w:rsidRPr="00853CB3">
        <w:rPr>
          <w:rFonts w:ascii="宋体" w:hAnsi="宋体"/>
          <w:i/>
          <w:position w:val="1"/>
          <w:sz w:val="24"/>
          <w:vertAlign w:val="superscript"/>
        </w:rPr>
        <w:t>n</w:t>
      </w:r>
      <w:r w:rsidRPr="00853CB3">
        <w:rPr>
          <w:rFonts w:ascii="宋体" w:hAnsi="宋体"/>
          <w:iCs/>
          <w:position w:val="1"/>
          <w:sz w:val="24"/>
        </w:rPr>
        <w:t>〕</w:t>
      </w:r>
      <w:r>
        <w:rPr>
          <w:rFonts w:ascii="宋体" w:hAnsi="宋体"/>
          <w:i/>
          <w:position w:val="1"/>
          <w:sz w:val="24"/>
        </w:rPr>
        <w:t xml:space="preserve">                   </w:t>
      </w:r>
      <w:r w:rsidRPr="007D6C09">
        <w:rPr>
          <w:rFonts w:ascii="宋体" w:hAnsi="宋体"/>
          <w:iCs/>
          <w:position w:val="1"/>
          <w:sz w:val="24"/>
        </w:rPr>
        <w:t>（49）</w:t>
      </w:r>
    </w:p>
    <w:p w14:paraId="03F9F6C5" w14:textId="77777777" w:rsidR="00495C65" w:rsidRDefault="00495C65" w:rsidP="00495C65">
      <w:pPr>
        <w:pStyle w:val="13"/>
      </w:pPr>
      <w:r>
        <w:rPr>
          <w:rFonts w:hint="eastAsia"/>
        </w:rPr>
        <w:t>式中：</w:t>
      </w:r>
    </w:p>
    <w:p w14:paraId="277C868F" w14:textId="77777777" w:rsidR="00495C65" w:rsidRDefault="00495C65" w:rsidP="00495C65">
      <w:pPr>
        <w:pStyle w:val="13"/>
        <w:ind w:firstLineChars="500" w:firstLine="1200"/>
      </w:pPr>
      <w:r w:rsidRPr="00BE228E">
        <w:rPr>
          <w:i/>
          <w:iCs/>
        </w:rPr>
        <w:t>P</w:t>
      </w:r>
      <w:r w:rsidRPr="00BE228E">
        <w:rPr>
          <w:i/>
          <w:iCs/>
          <w:vertAlign w:val="subscript"/>
        </w:rPr>
        <w:t>1b</w:t>
      </w:r>
      <w:r>
        <w:t>—某一用途土地在某一</w:t>
      </w:r>
      <w:proofErr w:type="gramStart"/>
      <w:r>
        <w:t>土地级</w:t>
      </w:r>
      <w:proofErr w:type="gramEnd"/>
      <w:r>
        <w:t>上的基准地价；</w:t>
      </w:r>
    </w:p>
    <w:p w14:paraId="6F42EF1E" w14:textId="77777777" w:rsidR="00495C65" w:rsidRDefault="00495C65" w:rsidP="00495C65">
      <w:pPr>
        <w:pStyle w:val="13"/>
        <w:ind w:firstLineChars="500" w:firstLine="1200"/>
      </w:pPr>
      <w:r w:rsidRPr="00BE228E">
        <w:rPr>
          <w:i/>
          <w:iCs/>
        </w:rPr>
        <w:t>I</w:t>
      </w:r>
      <w:r w:rsidRPr="00BE228E">
        <w:rPr>
          <w:i/>
          <w:iCs/>
          <w:vertAlign w:val="subscript"/>
        </w:rPr>
        <w:t>n</w:t>
      </w:r>
      <w:r>
        <w:t>—某一用途土地在某一</w:t>
      </w:r>
      <w:proofErr w:type="gramStart"/>
      <w:r>
        <w:t>土地级</w:t>
      </w:r>
      <w:proofErr w:type="gramEnd"/>
      <w:r>
        <w:t>上单位面积的土地收益；</w:t>
      </w:r>
    </w:p>
    <w:p w14:paraId="75DC4390" w14:textId="77777777" w:rsidR="00495C65" w:rsidRDefault="00495C65" w:rsidP="00495C65">
      <w:pPr>
        <w:pStyle w:val="13"/>
        <w:ind w:firstLineChars="500" w:firstLine="1200"/>
      </w:pPr>
      <w:r w:rsidRPr="00BE228E">
        <w:rPr>
          <w:i/>
          <w:iCs/>
        </w:rPr>
        <w:t>r</w:t>
      </w:r>
      <w:r w:rsidRPr="00BE228E">
        <w:rPr>
          <w:i/>
          <w:iCs/>
          <w:vertAlign w:val="subscript"/>
        </w:rPr>
        <w:t>1</w:t>
      </w:r>
      <w:proofErr w:type="gramStart"/>
      <w:r>
        <w:t>—土地</w:t>
      </w:r>
      <w:proofErr w:type="gramEnd"/>
      <w:r>
        <w:t>还原利率；</w:t>
      </w:r>
    </w:p>
    <w:p w14:paraId="1E18DA49" w14:textId="77777777" w:rsidR="00495C65" w:rsidRDefault="00495C65" w:rsidP="00495C65">
      <w:pPr>
        <w:pStyle w:val="13"/>
        <w:ind w:firstLineChars="500" w:firstLine="1200"/>
      </w:pPr>
      <w:r w:rsidRPr="00BE228E">
        <w:rPr>
          <w:i/>
          <w:iCs/>
        </w:rPr>
        <w:t>n</w:t>
      </w:r>
      <w:r>
        <w:t>—基准地价设定年期。</w:t>
      </w:r>
    </w:p>
    <w:p w14:paraId="3A7AD672" w14:textId="77777777" w:rsidR="00495C65" w:rsidRDefault="00495C65" w:rsidP="00495C65">
      <w:pPr>
        <w:pStyle w:val="13"/>
      </w:pPr>
      <w:r>
        <w:rPr>
          <w:rFonts w:hint="eastAsia"/>
        </w:rPr>
        <w:lastRenderedPageBreak/>
        <w:t>根据计算结果，确定各级土地不同用途的基准地价。用该级别土地上不同用途的正常交易地价进行检验。</w:t>
      </w:r>
    </w:p>
    <w:p w14:paraId="1581A889" w14:textId="77777777" w:rsidR="00495C65" w:rsidRDefault="00495C65" w:rsidP="00495C65">
      <w:pPr>
        <w:pStyle w:val="13"/>
      </w:pPr>
      <w:r>
        <w:rPr>
          <w:rFonts w:hint="eastAsia"/>
        </w:rPr>
        <w:t>对离散度较大的测算结果，要在级别基准地价基础上，确定不同区域、地段的基准地价。</w:t>
      </w:r>
    </w:p>
    <w:p w14:paraId="2A2B506F" w14:textId="77777777" w:rsidR="00495C65" w:rsidRDefault="00495C65" w:rsidP="00495C65">
      <w:pPr>
        <w:pStyle w:val="13"/>
      </w:pPr>
      <w:r>
        <w:rPr>
          <w:rFonts w:hint="eastAsia"/>
        </w:rPr>
        <w:t>按测算结果，编制各级各类土地的基准地价表，数据填入附录</w:t>
      </w:r>
      <w:r>
        <w:t>B中的相应各表。</w:t>
      </w:r>
    </w:p>
    <w:p w14:paraId="5AB982CC" w14:textId="77777777" w:rsidR="00495C65" w:rsidRDefault="00495C65" w:rsidP="00495C65">
      <w:pPr>
        <w:pStyle w:val="ab"/>
        <w:spacing w:before="62" w:after="62"/>
        <w:ind w:firstLine="482"/>
      </w:pPr>
      <w:r>
        <w:t>7.7</w:t>
      </w:r>
      <w:r>
        <w:rPr>
          <w:rFonts w:hint="eastAsia"/>
        </w:rPr>
        <w:t>基准地价的确定</w:t>
      </w:r>
    </w:p>
    <w:p w14:paraId="19DBA919" w14:textId="77777777" w:rsidR="00495C65" w:rsidRDefault="00495C65" w:rsidP="00495C65">
      <w:pPr>
        <w:pStyle w:val="13"/>
      </w:pPr>
      <w:r>
        <w:rPr>
          <w:rFonts w:hint="eastAsia"/>
        </w:rPr>
        <w:t>7</w:t>
      </w:r>
      <w:r>
        <w:t>.7.1</w:t>
      </w:r>
      <w:r>
        <w:rPr>
          <w:rFonts w:hint="eastAsia"/>
        </w:rPr>
        <w:t>确定原则</w:t>
      </w:r>
    </w:p>
    <w:p w14:paraId="1AF2E785" w14:textId="77777777" w:rsidR="00495C65" w:rsidRDefault="00495C65" w:rsidP="00495C65">
      <w:pPr>
        <w:pStyle w:val="13"/>
      </w:pPr>
      <w:r>
        <w:rPr>
          <w:rFonts w:hint="eastAsia"/>
        </w:rPr>
        <w:t>主要原则如下：</w:t>
      </w:r>
    </w:p>
    <w:p w14:paraId="73A89F12" w14:textId="77777777" w:rsidR="00495C65" w:rsidRDefault="00495C65" w:rsidP="00495C65">
      <w:pPr>
        <w:pStyle w:val="13"/>
      </w:pPr>
      <w:r>
        <w:rPr>
          <w:rFonts w:hint="eastAsia"/>
        </w:rPr>
        <w:t>（1）以实际数据测算的结果为准，以比较、修正的结果为辅；</w:t>
      </w:r>
    </w:p>
    <w:p w14:paraId="26EB79DD" w14:textId="77777777" w:rsidR="00495C65" w:rsidRDefault="00495C65" w:rsidP="00495C65">
      <w:pPr>
        <w:pStyle w:val="13"/>
      </w:pPr>
      <w:r w:rsidRPr="00032EB7">
        <w:rPr>
          <w:rFonts w:hint="eastAsia"/>
        </w:rPr>
        <w:t>（</w:t>
      </w:r>
      <w:r>
        <w:t>2</w:t>
      </w:r>
      <w:r w:rsidRPr="00032EB7">
        <w:t>）</w:t>
      </w:r>
      <w:r>
        <w:rPr>
          <w:rFonts w:hint="eastAsia"/>
        </w:rPr>
        <w:t>土地市场发达地区以市场交易资料测算结果为准，级差收益测算结果验证；</w:t>
      </w:r>
    </w:p>
    <w:p w14:paraId="32AEE4BC" w14:textId="77777777" w:rsidR="00495C65" w:rsidRDefault="00495C65" w:rsidP="00495C65">
      <w:pPr>
        <w:pStyle w:val="13"/>
      </w:pPr>
      <w:r w:rsidRPr="00032EB7">
        <w:rPr>
          <w:rFonts w:hint="eastAsia"/>
        </w:rPr>
        <w:t>（</w:t>
      </w:r>
      <w:r>
        <w:t>3</w:t>
      </w:r>
      <w:r w:rsidRPr="00032EB7">
        <w:t>）</w:t>
      </w:r>
      <w:r>
        <w:rPr>
          <w:rFonts w:hint="eastAsia"/>
        </w:rPr>
        <w:t>土地市场不发达地区以级差收益测算结果为准，市场交易资料测算结果验证；</w:t>
      </w:r>
    </w:p>
    <w:p w14:paraId="7A89C4C7" w14:textId="77777777" w:rsidR="00495C65" w:rsidRDefault="00495C65" w:rsidP="00495C65">
      <w:pPr>
        <w:pStyle w:val="13"/>
      </w:pPr>
      <w:r>
        <w:rPr>
          <w:rFonts w:hint="eastAsia"/>
        </w:rPr>
        <w:t>（4）体现土地和地价管理政策。</w:t>
      </w:r>
    </w:p>
    <w:p w14:paraId="124F073F" w14:textId="77777777" w:rsidR="00495C65" w:rsidRDefault="00495C65" w:rsidP="00495C65">
      <w:pPr>
        <w:pStyle w:val="13"/>
      </w:pPr>
      <w:r w:rsidRPr="00870747">
        <w:t>7.7.</w:t>
      </w:r>
      <w:r>
        <w:t>2</w:t>
      </w:r>
      <w:r>
        <w:rPr>
          <w:rFonts w:hint="eastAsia"/>
        </w:rPr>
        <w:t>确定方法</w:t>
      </w:r>
    </w:p>
    <w:p w14:paraId="7CD5C696" w14:textId="77777777" w:rsidR="00495C65" w:rsidRDefault="00495C65" w:rsidP="00495C65">
      <w:pPr>
        <w:pStyle w:val="13"/>
      </w:pPr>
      <w:r>
        <w:rPr>
          <w:rFonts w:hint="eastAsia"/>
        </w:rPr>
        <w:t>以一种方法测算城镇基准地价的，用该种方法确定的</w:t>
      </w:r>
      <w:proofErr w:type="gramStart"/>
      <w:r>
        <w:rPr>
          <w:rFonts w:hint="eastAsia"/>
        </w:rPr>
        <w:t>各级别各用途</w:t>
      </w:r>
      <w:proofErr w:type="gramEnd"/>
      <w:r>
        <w:rPr>
          <w:rFonts w:hint="eastAsia"/>
        </w:rPr>
        <w:t>的基准地价为城镇基准地价。</w:t>
      </w:r>
    </w:p>
    <w:p w14:paraId="30306C5E" w14:textId="77777777" w:rsidR="00495C65" w:rsidRDefault="00495C65" w:rsidP="00495C65">
      <w:pPr>
        <w:pStyle w:val="13"/>
      </w:pPr>
      <w:r>
        <w:rPr>
          <w:rFonts w:hint="eastAsia"/>
        </w:rPr>
        <w:t>以两种以上方法测算城镇分用途基准地价的，应以级别或区域为单位，用不同方法的测算结果，根据当地土地市场状况和地价水平，确定级别或区域中各用途的基准地价。</w:t>
      </w:r>
    </w:p>
    <w:p w14:paraId="4CBA2000" w14:textId="77777777" w:rsidR="00495C65" w:rsidRDefault="00495C65" w:rsidP="00495C65">
      <w:pPr>
        <w:pStyle w:val="13"/>
      </w:pPr>
      <w:r>
        <w:rPr>
          <w:rFonts w:hint="eastAsia"/>
        </w:rPr>
        <w:t>以分类土地级别为测算区域的基准地价，应分别确定商服、住宅、工业等各类土地相应级别的级别基准地价。</w:t>
      </w:r>
    </w:p>
    <w:p w14:paraId="1B6A6F47" w14:textId="77777777" w:rsidR="00495C65" w:rsidRDefault="00495C65" w:rsidP="00495C65">
      <w:pPr>
        <w:pStyle w:val="13"/>
      </w:pPr>
      <w:r>
        <w:rPr>
          <w:rFonts w:hint="eastAsia"/>
        </w:rPr>
        <w:t>以综合级别为测算区域的基准地价，每一级中应分别确定商服、住宅、工业用地基准地价。</w:t>
      </w:r>
    </w:p>
    <w:p w14:paraId="5D3BB103" w14:textId="77777777" w:rsidR="00495C65" w:rsidRDefault="00495C65" w:rsidP="00495C65">
      <w:pPr>
        <w:pStyle w:val="13"/>
      </w:pPr>
      <w:r>
        <w:rPr>
          <w:rFonts w:hint="eastAsia"/>
        </w:rPr>
        <w:t>根据土地市场发育情况和应用需求，在确定分用途的级别基准地价同时，可根据最有效利用原则确定综合基准地价。</w:t>
      </w:r>
    </w:p>
    <w:p w14:paraId="56029F19" w14:textId="77777777" w:rsidR="00495C65" w:rsidRDefault="00495C65" w:rsidP="00495C65">
      <w:pPr>
        <w:pStyle w:val="ab"/>
        <w:spacing w:before="62" w:after="62"/>
        <w:ind w:firstLine="482"/>
      </w:pPr>
      <w:r>
        <w:rPr>
          <w:rFonts w:hint="eastAsia"/>
        </w:rPr>
        <w:t>7</w:t>
      </w:r>
      <w:r>
        <w:t>.8</w:t>
      </w:r>
      <w:r>
        <w:rPr>
          <w:rFonts w:hint="eastAsia"/>
        </w:rPr>
        <w:t>基准地价修正系数表的编制</w:t>
      </w:r>
    </w:p>
    <w:p w14:paraId="3D9E6836" w14:textId="77777777" w:rsidR="00495C65" w:rsidRDefault="00495C65" w:rsidP="00495C65">
      <w:pPr>
        <w:pStyle w:val="13"/>
      </w:pPr>
      <w:r>
        <w:t>7.8.1</w:t>
      </w:r>
      <w:r>
        <w:rPr>
          <w:rFonts w:hint="eastAsia"/>
        </w:rPr>
        <w:t>基准地价修正系数表类型</w:t>
      </w:r>
    </w:p>
    <w:p w14:paraId="0110A933" w14:textId="77777777" w:rsidR="00495C65" w:rsidRDefault="00495C65" w:rsidP="00495C65">
      <w:pPr>
        <w:pStyle w:val="13"/>
      </w:pPr>
      <w:r>
        <w:rPr>
          <w:rFonts w:hint="eastAsia"/>
        </w:rPr>
        <w:t>基准地价修正系数表是采用替代原理建立的，反映基准地价、宗地地价及其影响因素之间的相关关系的表格体系。编制基准地价在不同因素条件下修正为宗地地价的系数体系，以便于在宗地条件调查的基础上，按对应的修正系数，快速、高效地评估出宗地地价。基准地价修正系数表分为级别或区域基准地价修正系数表和</w:t>
      </w:r>
      <w:proofErr w:type="gramStart"/>
      <w:r>
        <w:rPr>
          <w:rFonts w:hint="eastAsia"/>
        </w:rPr>
        <w:t>路线价</w:t>
      </w:r>
      <w:proofErr w:type="gramEnd"/>
      <w:r>
        <w:rPr>
          <w:rFonts w:hint="eastAsia"/>
        </w:rPr>
        <w:t>修正系数表两种。</w:t>
      </w:r>
    </w:p>
    <w:p w14:paraId="7737CB3D" w14:textId="77777777" w:rsidR="00495C65" w:rsidRDefault="00495C65" w:rsidP="00495C65">
      <w:pPr>
        <w:pStyle w:val="13"/>
      </w:pPr>
      <w:r>
        <w:rPr>
          <w:rFonts w:hint="eastAsia"/>
        </w:rPr>
        <w:t>编制基准地价修正系数表的同时，要编制与各种修正系数对应的因素指标说明</w:t>
      </w:r>
      <w:r>
        <w:rPr>
          <w:rFonts w:hint="eastAsia"/>
        </w:rPr>
        <w:lastRenderedPageBreak/>
        <w:t>表。</w:t>
      </w:r>
    </w:p>
    <w:p w14:paraId="327CC877" w14:textId="77777777" w:rsidR="00495C65" w:rsidRDefault="00495C65" w:rsidP="00495C65">
      <w:pPr>
        <w:pStyle w:val="13"/>
      </w:pPr>
      <w:r w:rsidRPr="00436BF3">
        <w:t>7.8.</w:t>
      </w:r>
      <w:r>
        <w:t>2</w:t>
      </w:r>
      <w:r>
        <w:rPr>
          <w:rFonts w:hint="eastAsia"/>
        </w:rPr>
        <w:t>级别或区域基准地价修正系数表的编制</w:t>
      </w:r>
    </w:p>
    <w:p w14:paraId="7823526C" w14:textId="77777777" w:rsidR="00495C65" w:rsidRDefault="00495C65" w:rsidP="00495C65">
      <w:pPr>
        <w:pStyle w:val="13"/>
      </w:pPr>
      <w:r w:rsidRPr="00436BF3">
        <w:t>7.8.2</w:t>
      </w:r>
      <w:r>
        <w:t>.1</w:t>
      </w:r>
      <w:r>
        <w:rPr>
          <w:rFonts w:hint="eastAsia"/>
        </w:rPr>
        <w:t>用市场地价资料编制基准地价修正系数表</w:t>
      </w:r>
    </w:p>
    <w:p w14:paraId="7E1DE73A" w14:textId="77777777" w:rsidR="00495C65" w:rsidRDefault="00495C65" w:rsidP="00495C65">
      <w:pPr>
        <w:pStyle w:val="13"/>
      </w:pPr>
      <w:r>
        <w:rPr>
          <w:rFonts w:hint="eastAsia"/>
        </w:rPr>
        <w:t>程序与要求如下：</w:t>
      </w:r>
    </w:p>
    <w:p w14:paraId="5C3C8EC9" w14:textId="77777777" w:rsidR="00495C65" w:rsidRDefault="00495C65" w:rsidP="00495C65">
      <w:pPr>
        <w:pStyle w:val="13"/>
      </w:pPr>
      <w:r>
        <w:t>a）确定级别或区域基准地价</w:t>
      </w:r>
    </w:p>
    <w:p w14:paraId="1A3E9275" w14:textId="77777777" w:rsidR="00495C65" w:rsidRDefault="00495C65" w:rsidP="00495C65">
      <w:pPr>
        <w:pStyle w:val="13"/>
      </w:pPr>
      <w:r>
        <w:rPr>
          <w:rFonts w:hint="eastAsia"/>
        </w:rPr>
        <w:t>按</w:t>
      </w:r>
      <w:r>
        <w:t>7.7条的规定，确定级别或区域基准地价。</w:t>
      </w:r>
    </w:p>
    <w:p w14:paraId="6D855962" w14:textId="77777777" w:rsidR="00495C65" w:rsidRDefault="00495C65" w:rsidP="00495C65">
      <w:pPr>
        <w:pStyle w:val="13"/>
      </w:pPr>
      <w:r>
        <w:t>b）选择宗地地价影响因素</w:t>
      </w:r>
    </w:p>
    <w:p w14:paraId="2FC2FE5D" w14:textId="77777777" w:rsidR="00495C65" w:rsidRDefault="00495C65" w:rsidP="00495C65">
      <w:pPr>
        <w:pStyle w:val="13"/>
      </w:pPr>
      <w:r>
        <w:t>1）商服用地的影响因素</w:t>
      </w:r>
    </w:p>
    <w:p w14:paraId="66A4EFB4" w14:textId="77777777" w:rsidR="00495C65" w:rsidRDefault="00495C65" w:rsidP="00495C65">
      <w:pPr>
        <w:pStyle w:val="13"/>
      </w:pPr>
      <w:r>
        <w:rPr>
          <w:rFonts w:hint="eastAsia"/>
        </w:rPr>
        <w:t>商业繁华度：主要指</w:t>
      </w:r>
      <w:proofErr w:type="gramStart"/>
      <w:r>
        <w:rPr>
          <w:rFonts w:hint="eastAsia"/>
        </w:rPr>
        <w:t>商服区级别</w:t>
      </w:r>
      <w:proofErr w:type="gramEnd"/>
      <w:r>
        <w:rPr>
          <w:rFonts w:hint="eastAsia"/>
        </w:rPr>
        <w:t>、商业服务业店铺总数。</w:t>
      </w:r>
    </w:p>
    <w:p w14:paraId="608CB5E3" w14:textId="77777777" w:rsidR="00495C65" w:rsidRDefault="00495C65" w:rsidP="00495C65">
      <w:pPr>
        <w:pStyle w:val="13"/>
      </w:pPr>
      <w:r>
        <w:rPr>
          <w:rFonts w:hint="eastAsia"/>
        </w:rPr>
        <w:t>交通便捷度：主要指宗地与公共交通、道路等城镇交通系统连接的便利程度。</w:t>
      </w:r>
    </w:p>
    <w:p w14:paraId="112ABC14" w14:textId="77777777" w:rsidR="00495C65" w:rsidRDefault="00495C65" w:rsidP="00495C65">
      <w:pPr>
        <w:pStyle w:val="13"/>
      </w:pPr>
      <w:r>
        <w:rPr>
          <w:rFonts w:hint="eastAsia"/>
        </w:rPr>
        <w:t>环境质量优劣度。</w:t>
      </w:r>
    </w:p>
    <w:p w14:paraId="2F7E1359" w14:textId="77777777" w:rsidR="00495C65" w:rsidRDefault="00495C65" w:rsidP="00495C65">
      <w:pPr>
        <w:pStyle w:val="13"/>
      </w:pPr>
      <w:r>
        <w:rPr>
          <w:rFonts w:hint="eastAsia"/>
        </w:rPr>
        <w:t>规划限制：主要指城镇规划对</w:t>
      </w:r>
      <w:proofErr w:type="gramStart"/>
      <w:r>
        <w:rPr>
          <w:rFonts w:hint="eastAsia"/>
        </w:rPr>
        <w:t>商服区土地利用</w:t>
      </w:r>
      <w:proofErr w:type="gramEnd"/>
      <w:r>
        <w:rPr>
          <w:rFonts w:hint="eastAsia"/>
        </w:rPr>
        <w:t>的要求。</w:t>
      </w:r>
    </w:p>
    <w:p w14:paraId="12B90D22" w14:textId="77777777" w:rsidR="00495C65" w:rsidRDefault="00495C65" w:rsidP="00495C65">
      <w:pPr>
        <w:pStyle w:val="13"/>
      </w:pPr>
      <w:r>
        <w:rPr>
          <w:rFonts w:hint="eastAsia"/>
        </w:rPr>
        <w:t>其他因素。</w:t>
      </w:r>
    </w:p>
    <w:p w14:paraId="603995FC" w14:textId="77777777" w:rsidR="00495C65" w:rsidRDefault="00495C65" w:rsidP="00495C65">
      <w:pPr>
        <w:pStyle w:val="13"/>
      </w:pPr>
      <w:r>
        <w:t>2</w:t>
      </w:r>
      <w:r w:rsidRPr="000943A9">
        <w:t>）</w:t>
      </w:r>
      <w:r>
        <w:rPr>
          <w:rFonts w:hint="eastAsia"/>
        </w:rPr>
        <w:t>住宅用地的影响因素</w:t>
      </w:r>
    </w:p>
    <w:p w14:paraId="1C3BCD13" w14:textId="77777777" w:rsidR="00495C65" w:rsidRDefault="00495C65" w:rsidP="00495C65">
      <w:pPr>
        <w:pStyle w:val="13"/>
      </w:pPr>
      <w:r>
        <w:rPr>
          <w:rFonts w:hint="eastAsia"/>
        </w:rPr>
        <w:t>位置：主要包括</w:t>
      </w:r>
      <w:proofErr w:type="gramStart"/>
      <w:r>
        <w:rPr>
          <w:rFonts w:hint="eastAsia"/>
        </w:rPr>
        <w:t>距商服中心</w:t>
      </w:r>
      <w:proofErr w:type="gramEnd"/>
      <w:r>
        <w:rPr>
          <w:rFonts w:hint="eastAsia"/>
        </w:rPr>
        <w:t>和城镇中心的距离。</w:t>
      </w:r>
    </w:p>
    <w:p w14:paraId="3D37144A" w14:textId="77777777" w:rsidR="00495C65" w:rsidRDefault="00495C65" w:rsidP="00495C65">
      <w:pPr>
        <w:pStyle w:val="13"/>
      </w:pPr>
      <w:r>
        <w:rPr>
          <w:rFonts w:hint="eastAsia"/>
        </w:rPr>
        <w:t>交通便捷度：主要指满足购物、工作、生活等需求的出行方便程度。</w:t>
      </w:r>
    </w:p>
    <w:p w14:paraId="0512322E" w14:textId="77777777" w:rsidR="00495C65" w:rsidRDefault="00495C65" w:rsidP="00495C65">
      <w:pPr>
        <w:pStyle w:val="13"/>
      </w:pPr>
      <w:r>
        <w:rPr>
          <w:rFonts w:hint="eastAsia"/>
        </w:rPr>
        <w:t>基础设施完善度。</w:t>
      </w:r>
    </w:p>
    <w:p w14:paraId="261BB347" w14:textId="77777777" w:rsidR="00495C65" w:rsidRDefault="00495C65" w:rsidP="00495C65">
      <w:pPr>
        <w:pStyle w:val="13"/>
      </w:pPr>
      <w:r>
        <w:rPr>
          <w:rFonts w:hint="eastAsia"/>
        </w:rPr>
        <w:t>公用服务设施完备度：主要指为住宅区域服务的公用设施完善程度，包括学校、幼儿园、医院及其他相关公用设施的配置状况。</w:t>
      </w:r>
    </w:p>
    <w:p w14:paraId="0FB976D9" w14:textId="77777777" w:rsidR="00495C65" w:rsidRDefault="00495C65" w:rsidP="00495C65">
      <w:pPr>
        <w:pStyle w:val="13"/>
      </w:pPr>
      <w:r>
        <w:rPr>
          <w:rFonts w:hint="eastAsia"/>
        </w:rPr>
        <w:t>环境质量优劣度。</w:t>
      </w:r>
    </w:p>
    <w:p w14:paraId="59112451" w14:textId="77777777" w:rsidR="00495C65" w:rsidRDefault="00495C65" w:rsidP="00495C65">
      <w:pPr>
        <w:pStyle w:val="13"/>
      </w:pPr>
      <w:r>
        <w:rPr>
          <w:rFonts w:hint="eastAsia"/>
        </w:rPr>
        <w:t>规划限制。</w:t>
      </w:r>
    </w:p>
    <w:p w14:paraId="01AB2E31" w14:textId="77777777" w:rsidR="00495C65" w:rsidRDefault="00495C65" w:rsidP="00495C65">
      <w:pPr>
        <w:pStyle w:val="13"/>
      </w:pPr>
      <w:r>
        <w:rPr>
          <w:rFonts w:hint="eastAsia"/>
        </w:rPr>
        <w:t>宗地条件：主要有宗地形状、面积、地质条件、宗地利用强度等。</w:t>
      </w:r>
    </w:p>
    <w:p w14:paraId="1F17BD75" w14:textId="77777777" w:rsidR="00495C65" w:rsidRDefault="00495C65" w:rsidP="00495C65">
      <w:pPr>
        <w:pStyle w:val="13"/>
      </w:pPr>
      <w:r>
        <w:rPr>
          <w:rFonts w:hint="eastAsia"/>
        </w:rPr>
        <w:t>其他因素。</w:t>
      </w:r>
    </w:p>
    <w:p w14:paraId="6CCBF90F" w14:textId="77777777" w:rsidR="00495C65" w:rsidRDefault="00495C65" w:rsidP="00495C65">
      <w:pPr>
        <w:pStyle w:val="13"/>
      </w:pPr>
      <w:r>
        <w:t>3</w:t>
      </w:r>
      <w:r w:rsidRPr="001F1304">
        <w:t>）</w:t>
      </w:r>
      <w:r>
        <w:rPr>
          <w:rFonts w:hint="eastAsia"/>
        </w:rPr>
        <w:t>工业用地的影响因素</w:t>
      </w:r>
    </w:p>
    <w:p w14:paraId="681EB732" w14:textId="77777777" w:rsidR="00495C65" w:rsidRDefault="00495C65" w:rsidP="00495C65">
      <w:pPr>
        <w:pStyle w:val="13"/>
      </w:pPr>
      <w:r>
        <w:rPr>
          <w:rFonts w:hint="eastAsia"/>
        </w:rPr>
        <w:t>交通便捷度。</w:t>
      </w:r>
    </w:p>
    <w:p w14:paraId="7D66F804" w14:textId="77777777" w:rsidR="00495C65" w:rsidRDefault="00495C65" w:rsidP="00495C65">
      <w:pPr>
        <w:pStyle w:val="13"/>
      </w:pPr>
      <w:r>
        <w:rPr>
          <w:rFonts w:hint="eastAsia"/>
        </w:rPr>
        <w:t>基础设施完善度。</w:t>
      </w:r>
    </w:p>
    <w:p w14:paraId="72459F25" w14:textId="77777777" w:rsidR="00495C65" w:rsidRDefault="00495C65" w:rsidP="00495C65">
      <w:pPr>
        <w:pStyle w:val="13"/>
      </w:pPr>
      <w:r>
        <w:rPr>
          <w:rFonts w:hint="eastAsia"/>
        </w:rPr>
        <w:t>产业集聚规模。</w:t>
      </w:r>
    </w:p>
    <w:p w14:paraId="73F74BA5" w14:textId="77777777" w:rsidR="00495C65" w:rsidRDefault="00495C65" w:rsidP="00495C65">
      <w:pPr>
        <w:pStyle w:val="13"/>
      </w:pPr>
      <w:r>
        <w:t>环境质量优劣度。</w:t>
      </w:r>
    </w:p>
    <w:p w14:paraId="711DE6DC" w14:textId="77777777" w:rsidR="00495C65" w:rsidRDefault="00495C65" w:rsidP="00495C65">
      <w:pPr>
        <w:pStyle w:val="13"/>
      </w:pPr>
      <w:r>
        <w:t>规划限制。</w:t>
      </w:r>
    </w:p>
    <w:p w14:paraId="232E71BF" w14:textId="77777777" w:rsidR="00495C65" w:rsidRDefault="00495C65" w:rsidP="00495C65">
      <w:pPr>
        <w:pStyle w:val="13"/>
      </w:pPr>
      <w:r>
        <w:rPr>
          <w:rFonts w:hint="eastAsia"/>
        </w:rPr>
        <w:t>宗地条件：主要有宗地的形状、地质及地基承载力、宗地利用强度等情况。</w:t>
      </w:r>
    </w:p>
    <w:p w14:paraId="47CE6E8C" w14:textId="77777777" w:rsidR="00495C65" w:rsidRDefault="00495C65" w:rsidP="00495C65">
      <w:pPr>
        <w:pStyle w:val="13"/>
      </w:pPr>
      <w:r>
        <w:rPr>
          <w:rFonts w:hint="eastAsia"/>
        </w:rPr>
        <w:t>其他因素。</w:t>
      </w:r>
    </w:p>
    <w:p w14:paraId="5573D99C" w14:textId="77777777" w:rsidR="00495C65" w:rsidRDefault="00495C65" w:rsidP="00495C65">
      <w:pPr>
        <w:pStyle w:val="13"/>
      </w:pPr>
      <w:r>
        <w:t>4</w:t>
      </w:r>
      <w:r w:rsidRPr="00834329">
        <w:t>）</w:t>
      </w:r>
      <w:r>
        <w:rPr>
          <w:rFonts w:hint="eastAsia"/>
        </w:rPr>
        <w:t>各因素影响地价修正幅度的计算</w:t>
      </w:r>
    </w:p>
    <w:p w14:paraId="58700CF6" w14:textId="77777777" w:rsidR="00495C65" w:rsidRDefault="00495C65" w:rsidP="00495C65">
      <w:pPr>
        <w:pStyle w:val="13"/>
      </w:pPr>
      <w:r>
        <w:rPr>
          <w:rFonts w:hint="eastAsia"/>
        </w:rPr>
        <w:t>采用特尔斐法、层次分析法等，按各因素对地价的影响程度，确定各因素的权重值。</w:t>
      </w:r>
    </w:p>
    <w:p w14:paraId="5DAE2AA8" w14:textId="77777777" w:rsidR="00495C65" w:rsidRDefault="00495C65" w:rsidP="00495C65">
      <w:pPr>
        <w:pStyle w:val="13"/>
      </w:pPr>
      <w:r>
        <w:lastRenderedPageBreak/>
        <w:t>c）各因素影响地价修正幅度的计算</w:t>
      </w:r>
    </w:p>
    <w:p w14:paraId="7DA76171" w14:textId="77777777" w:rsidR="00495C65" w:rsidRDefault="00495C65" w:rsidP="00495C65">
      <w:pPr>
        <w:pStyle w:val="13"/>
      </w:pPr>
      <w:r>
        <w:t>1）修正幅度值的计算</w:t>
      </w:r>
    </w:p>
    <w:p w14:paraId="19523A44" w14:textId="77777777" w:rsidR="00495C65" w:rsidRDefault="00495C65" w:rsidP="00495C65">
      <w:pPr>
        <w:pStyle w:val="13"/>
      </w:pPr>
      <w:r>
        <w:rPr>
          <w:rFonts w:hint="eastAsia"/>
        </w:rPr>
        <w:t>以级别或区域为单位，调查各级别或区域中正常地价的最高值、最低值与基准地价作相对值比较，得到相对于基准地价的最高和最低修正幅度值，上调幅度的计算公式见式（</w:t>
      </w:r>
      <w:r>
        <w:t>50）：</w:t>
      </w:r>
    </w:p>
    <w:p w14:paraId="02921341" w14:textId="77777777" w:rsidR="00495C65" w:rsidRPr="005B567F" w:rsidRDefault="00495C65" w:rsidP="00495C65">
      <w:pPr>
        <w:spacing w:before="197"/>
        <w:ind w:left="3473"/>
        <w:rPr>
          <w:rFonts w:ascii="宋体" w:hAnsi="宋体"/>
          <w:iCs/>
          <w:position w:val="1"/>
          <w:sz w:val="24"/>
        </w:rPr>
      </w:pPr>
      <w:r w:rsidRPr="005B567F">
        <w:rPr>
          <w:rFonts w:ascii="宋体" w:hAnsi="宋体"/>
          <w:i/>
          <w:position w:val="1"/>
          <w:sz w:val="24"/>
        </w:rPr>
        <w:t>F</w:t>
      </w:r>
      <w:r w:rsidRPr="005B567F">
        <w:rPr>
          <w:rFonts w:ascii="宋体" w:hAnsi="宋体"/>
          <w:i/>
          <w:position w:val="1"/>
          <w:sz w:val="24"/>
          <w:vertAlign w:val="subscript"/>
        </w:rPr>
        <w:t>1</w:t>
      </w:r>
      <w:r w:rsidRPr="005B567F">
        <w:rPr>
          <w:rFonts w:ascii="宋体" w:hAnsi="宋体"/>
          <w:i/>
          <w:position w:val="1"/>
          <w:sz w:val="24"/>
        </w:rPr>
        <w:t>＝（</w:t>
      </w:r>
      <w:proofErr w:type="spellStart"/>
      <w:r w:rsidRPr="005B567F">
        <w:rPr>
          <w:rFonts w:ascii="宋体" w:hAnsi="宋体"/>
          <w:i/>
          <w:position w:val="1"/>
          <w:sz w:val="24"/>
        </w:rPr>
        <w:t>I</w:t>
      </w:r>
      <w:r w:rsidRPr="005B567F">
        <w:rPr>
          <w:rFonts w:ascii="宋体" w:hAnsi="宋体"/>
          <w:i/>
          <w:position w:val="1"/>
          <w:sz w:val="24"/>
          <w:vertAlign w:val="subscript"/>
        </w:rPr>
        <w:t>nh</w:t>
      </w:r>
      <w:r w:rsidRPr="005B567F">
        <w:rPr>
          <w:rFonts w:ascii="宋体" w:hAnsi="宋体"/>
          <w:i/>
          <w:position w:val="1"/>
          <w:sz w:val="24"/>
        </w:rPr>
        <w:t>-I</w:t>
      </w:r>
      <w:r w:rsidRPr="005B567F">
        <w:rPr>
          <w:rFonts w:ascii="宋体" w:hAnsi="宋体"/>
          <w:i/>
          <w:position w:val="1"/>
          <w:sz w:val="24"/>
          <w:vertAlign w:val="subscript"/>
        </w:rPr>
        <w:t>lb</w:t>
      </w:r>
      <w:proofErr w:type="spellEnd"/>
      <w:r w:rsidRPr="005B567F">
        <w:rPr>
          <w:rFonts w:ascii="宋体" w:hAnsi="宋体"/>
          <w:i/>
          <w:position w:val="1"/>
          <w:sz w:val="24"/>
        </w:rPr>
        <w:t>）/I</w:t>
      </w:r>
      <w:r w:rsidRPr="005B567F">
        <w:rPr>
          <w:rFonts w:ascii="宋体" w:hAnsi="宋体"/>
          <w:i/>
          <w:position w:val="1"/>
          <w:sz w:val="24"/>
          <w:vertAlign w:val="subscript"/>
        </w:rPr>
        <w:t>lb</w:t>
      </w:r>
      <w:r w:rsidRPr="005B567F">
        <w:rPr>
          <w:rFonts w:ascii="宋体" w:hAnsi="宋体"/>
          <w:i/>
          <w:position w:val="1"/>
          <w:sz w:val="24"/>
        </w:rPr>
        <w:t>×100%</w:t>
      </w:r>
      <w:r>
        <w:rPr>
          <w:rFonts w:ascii="宋体" w:hAnsi="宋体"/>
          <w:i/>
          <w:position w:val="1"/>
          <w:sz w:val="24"/>
        </w:rPr>
        <w:t xml:space="preserve">                     </w:t>
      </w:r>
      <w:r w:rsidRPr="005B567F">
        <w:rPr>
          <w:rFonts w:ascii="宋体" w:hAnsi="宋体"/>
          <w:iCs/>
          <w:position w:val="1"/>
          <w:sz w:val="24"/>
        </w:rPr>
        <w:t>（50）</w:t>
      </w:r>
    </w:p>
    <w:p w14:paraId="38F96235" w14:textId="77777777" w:rsidR="00495C65" w:rsidRDefault="00495C65" w:rsidP="00495C65">
      <w:pPr>
        <w:pStyle w:val="13"/>
      </w:pPr>
      <w:r w:rsidRPr="00867089">
        <w:rPr>
          <w:rFonts w:hint="eastAsia"/>
        </w:rPr>
        <w:t>下调幅度的计算公式为：</w:t>
      </w:r>
    </w:p>
    <w:p w14:paraId="52394A92" w14:textId="77777777" w:rsidR="00495C65" w:rsidRDefault="00495C65" w:rsidP="00495C65">
      <w:pPr>
        <w:spacing w:before="197"/>
        <w:ind w:left="3473"/>
        <w:rPr>
          <w:rFonts w:ascii="宋体" w:hAnsi="宋体"/>
          <w:iCs/>
          <w:position w:val="1"/>
          <w:sz w:val="24"/>
        </w:rPr>
      </w:pPr>
      <w:r w:rsidRPr="005B567F">
        <w:rPr>
          <w:rFonts w:ascii="宋体" w:hAnsi="宋体" w:hint="eastAsia"/>
          <w:i/>
          <w:position w:val="1"/>
          <w:sz w:val="24"/>
        </w:rPr>
        <w:t>Ｆ</w:t>
      </w:r>
      <w:r w:rsidRPr="005B567F">
        <w:rPr>
          <w:rFonts w:ascii="宋体" w:hAnsi="宋体"/>
          <w:i/>
          <w:position w:val="1"/>
          <w:sz w:val="24"/>
          <w:vertAlign w:val="subscript"/>
        </w:rPr>
        <w:t>2</w:t>
      </w:r>
      <w:r w:rsidRPr="005B567F">
        <w:rPr>
          <w:rFonts w:ascii="宋体" w:hAnsi="宋体"/>
          <w:i/>
          <w:position w:val="1"/>
          <w:sz w:val="24"/>
        </w:rPr>
        <w:t>＝（</w:t>
      </w:r>
      <w:proofErr w:type="spellStart"/>
      <w:r w:rsidRPr="005B567F">
        <w:rPr>
          <w:rFonts w:ascii="宋体" w:hAnsi="宋体"/>
          <w:i/>
          <w:position w:val="1"/>
          <w:sz w:val="24"/>
        </w:rPr>
        <w:t>I</w:t>
      </w:r>
      <w:r w:rsidRPr="005B567F">
        <w:rPr>
          <w:rFonts w:ascii="宋体" w:hAnsi="宋体"/>
          <w:i/>
          <w:position w:val="1"/>
          <w:sz w:val="24"/>
          <w:vertAlign w:val="subscript"/>
        </w:rPr>
        <w:t>lb</w:t>
      </w:r>
      <w:r w:rsidRPr="005B567F">
        <w:rPr>
          <w:rFonts w:ascii="宋体" w:hAnsi="宋体"/>
          <w:i/>
          <w:position w:val="1"/>
          <w:sz w:val="24"/>
        </w:rPr>
        <w:t>-I</w:t>
      </w:r>
      <w:r w:rsidRPr="005B567F">
        <w:rPr>
          <w:rFonts w:ascii="宋体" w:hAnsi="宋体"/>
          <w:i/>
          <w:position w:val="1"/>
          <w:sz w:val="24"/>
          <w:vertAlign w:val="subscript"/>
        </w:rPr>
        <w:t>nl</w:t>
      </w:r>
      <w:proofErr w:type="spellEnd"/>
      <w:r w:rsidRPr="005B567F">
        <w:rPr>
          <w:rFonts w:ascii="宋体" w:hAnsi="宋体"/>
          <w:i/>
          <w:position w:val="1"/>
          <w:sz w:val="24"/>
        </w:rPr>
        <w:t>）/I</w:t>
      </w:r>
      <w:r w:rsidRPr="005B567F">
        <w:rPr>
          <w:rFonts w:ascii="宋体" w:hAnsi="宋体"/>
          <w:i/>
          <w:position w:val="1"/>
          <w:sz w:val="24"/>
          <w:vertAlign w:val="subscript"/>
        </w:rPr>
        <w:t>lb</w:t>
      </w:r>
      <w:r w:rsidRPr="005B567F">
        <w:rPr>
          <w:rFonts w:ascii="宋体" w:hAnsi="宋体"/>
          <w:i/>
          <w:position w:val="1"/>
          <w:sz w:val="24"/>
        </w:rPr>
        <w:t>×100%</w:t>
      </w:r>
      <w:r>
        <w:rPr>
          <w:rFonts w:ascii="宋体" w:hAnsi="宋体"/>
          <w:i/>
          <w:position w:val="1"/>
          <w:sz w:val="24"/>
        </w:rPr>
        <w:t xml:space="preserve">                    </w:t>
      </w:r>
      <w:r w:rsidRPr="005B567F">
        <w:rPr>
          <w:rFonts w:ascii="宋体" w:hAnsi="宋体"/>
          <w:iCs/>
          <w:position w:val="1"/>
          <w:sz w:val="24"/>
        </w:rPr>
        <w:t>（51）</w:t>
      </w:r>
    </w:p>
    <w:p w14:paraId="7AEEA02C" w14:textId="77777777" w:rsidR="00495C65" w:rsidRDefault="00495C65" w:rsidP="00495C65">
      <w:pPr>
        <w:pStyle w:val="13"/>
      </w:pPr>
      <w:r w:rsidRPr="00E5048A">
        <w:rPr>
          <w:rFonts w:hint="eastAsia"/>
        </w:rPr>
        <w:t>式中：</w:t>
      </w:r>
    </w:p>
    <w:p w14:paraId="2F83AFB9" w14:textId="77777777" w:rsidR="00495C65" w:rsidRDefault="00495C65" w:rsidP="00495C65">
      <w:pPr>
        <w:pStyle w:val="13"/>
        <w:ind w:firstLineChars="500" w:firstLine="1200"/>
      </w:pPr>
      <w:r w:rsidRPr="00F93189">
        <w:rPr>
          <w:i/>
          <w:iCs/>
        </w:rPr>
        <w:t>F</w:t>
      </w:r>
      <w:r w:rsidRPr="00F93189">
        <w:rPr>
          <w:i/>
          <w:iCs/>
          <w:vertAlign w:val="subscript"/>
        </w:rPr>
        <w:t>1</w:t>
      </w:r>
      <w:r>
        <w:t>—基准地价上调最大幅度；</w:t>
      </w:r>
    </w:p>
    <w:p w14:paraId="69F909DF" w14:textId="77777777" w:rsidR="00495C65" w:rsidRDefault="00495C65" w:rsidP="00495C65">
      <w:pPr>
        <w:pStyle w:val="13"/>
        <w:ind w:firstLineChars="500" w:firstLine="1200"/>
      </w:pPr>
      <w:r w:rsidRPr="00F93189">
        <w:rPr>
          <w:i/>
          <w:iCs/>
        </w:rPr>
        <w:t>F</w:t>
      </w:r>
      <w:r w:rsidRPr="00F93189">
        <w:rPr>
          <w:i/>
          <w:iCs/>
          <w:vertAlign w:val="subscript"/>
        </w:rPr>
        <w:t>2</w:t>
      </w:r>
      <w:r>
        <w:t>—基准地价下调最大幅度；</w:t>
      </w:r>
    </w:p>
    <w:p w14:paraId="11FC9CA9" w14:textId="77777777" w:rsidR="00495C65" w:rsidRDefault="00495C65" w:rsidP="00495C65">
      <w:pPr>
        <w:pStyle w:val="13"/>
        <w:ind w:firstLineChars="500" w:firstLine="1200"/>
      </w:pPr>
      <w:proofErr w:type="spellStart"/>
      <w:r w:rsidRPr="00F93189">
        <w:rPr>
          <w:i/>
          <w:iCs/>
        </w:rPr>
        <w:t>I</w:t>
      </w:r>
      <w:r w:rsidRPr="00F93189">
        <w:rPr>
          <w:i/>
          <w:iCs/>
          <w:vertAlign w:val="subscript"/>
        </w:rPr>
        <w:t>lb</w:t>
      </w:r>
      <w:proofErr w:type="spellEnd"/>
      <w:r>
        <w:t>—基准地价；</w:t>
      </w:r>
    </w:p>
    <w:p w14:paraId="2312C169" w14:textId="77777777" w:rsidR="00495C65" w:rsidRDefault="00495C65" w:rsidP="00495C65">
      <w:pPr>
        <w:pStyle w:val="13"/>
        <w:ind w:firstLineChars="500" w:firstLine="1200"/>
      </w:pPr>
      <w:proofErr w:type="spellStart"/>
      <w:r w:rsidRPr="00F93189">
        <w:rPr>
          <w:i/>
          <w:iCs/>
        </w:rPr>
        <w:t>I</w:t>
      </w:r>
      <w:r w:rsidRPr="00F93189">
        <w:rPr>
          <w:i/>
          <w:iCs/>
          <w:vertAlign w:val="subscript"/>
        </w:rPr>
        <w:t>nh</w:t>
      </w:r>
      <w:proofErr w:type="spellEnd"/>
      <w:r>
        <w:t>—级别或区域中正常地价的最高值；</w:t>
      </w:r>
    </w:p>
    <w:p w14:paraId="21928D99" w14:textId="77777777" w:rsidR="00495C65" w:rsidRDefault="00495C65" w:rsidP="00495C65">
      <w:pPr>
        <w:pStyle w:val="13"/>
        <w:ind w:firstLineChars="500" w:firstLine="1200"/>
      </w:pPr>
      <w:proofErr w:type="spellStart"/>
      <w:r w:rsidRPr="00F93189">
        <w:rPr>
          <w:i/>
          <w:iCs/>
        </w:rPr>
        <w:t>I</w:t>
      </w:r>
      <w:r w:rsidRPr="00F93189">
        <w:rPr>
          <w:i/>
          <w:iCs/>
          <w:vertAlign w:val="subscript"/>
        </w:rPr>
        <w:t>nl</w:t>
      </w:r>
      <w:proofErr w:type="spellEnd"/>
      <w:r>
        <w:t>—级别或区域中正常地价的最低值。</w:t>
      </w:r>
    </w:p>
    <w:p w14:paraId="0E4EDFC1" w14:textId="77777777" w:rsidR="00495C65" w:rsidRDefault="00495C65" w:rsidP="00495C65">
      <w:pPr>
        <w:pStyle w:val="13"/>
      </w:pPr>
      <w:r>
        <w:rPr>
          <w:rFonts w:hint="eastAsia"/>
        </w:rPr>
        <w:t>在确定上调、下调幅度的情况下，内插修正值，将宗地地价修正幅度划分成五个档次。</w:t>
      </w:r>
    </w:p>
    <w:p w14:paraId="02EAB94C" w14:textId="77777777" w:rsidR="00495C65" w:rsidRDefault="00495C65" w:rsidP="00495C65">
      <w:pPr>
        <w:pStyle w:val="13"/>
      </w:pPr>
      <w:r>
        <w:t>2）影响地价各因素修正幅度的确定</w:t>
      </w:r>
    </w:p>
    <w:p w14:paraId="01D34558" w14:textId="77777777" w:rsidR="00495C65" w:rsidRDefault="00495C65" w:rsidP="00495C65">
      <w:pPr>
        <w:pStyle w:val="13"/>
      </w:pPr>
      <w:r>
        <w:rPr>
          <w:rFonts w:hint="eastAsia"/>
        </w:rPr>
        <w:t>依据（</w:t>
      </w:r>
      <w:r>
        <w:t>2）中确定的不同用途各因素对地价的影响权重，按式（52）和式（53）计算</w:t>
      </w:r>
      <w:r w:rsidRPr="00CE5474">
        <w:rPr>
          <w:rFonts w:hint="eastAsia"/>
        </w:rPr>
        <w:t>各因素的修正幅度。</w:t>
      </w:r>
    </w:p>
    <w:p w14:paraId="2118054F" w14:textId="77777777" w:rsidR="00495C65" w:rsidRPr="00502062" w:rsidRDefault="00495C65" w:rsidP="00495C65">
      <w:pPr>
        <w:spacing w:before="197"/>
        <w:ind w:left="3473"/>
        <w:rPr>
          <w:rFonts w:ascii="宋体" w:hAnsi="宋体"/>
          <w:iCs/>
          <w:position w:val="1"/>
          <w:sz w:val="24"/>
        </w:rPr>
      </w:pPr>
      <w:r w:rsidRPr="008F0A48">
        <w:rPr>
          <w:rFonts w:ascii="宋体" w:hAnsi="宋体"/>
          <w:i/>
          <w:position w:val="1"/>
          <w:sz w:val="24"/>
        </w:rPr>
        <w:t>F</w:t>
      </w:r>
      <w:r w:rsidRPr="008F0A48">
        <w:rPr>
          <w:rFonts w:ascii="宋体" w:hAnsi="宋体"/>
          <w:i/>
          <w:position w:val="1"/>
          <w:sz w:val="24"/>
          <w:vertAlign w:val="subscript"/>
        </w:rPr>
        <w:t>1i</w:t>
      </w:r>
      <w:r w:rsidRPr="008F0A48">
        <w:rPr>
          <w:rFonts w:ascii="宋体" w:hAnsi="宋体"/>
          <w:i/>
          <w:position w:val="1"/>
          <w:sz w:val="24"/>
        </w:rPr>
        <w:t>=F</w:t>
      </w:r>
      <w:r w:rsidRPr="00502062">
        <w:rPr>
          <w:rFonts w:ascii="宋体" w:hAnsi="宋体"/>
          <w:i/>
          <w:position w:val="1"/>
          <w:sz w:val="24"/>
          <w:vertAlign w:val="subscript"/>
        </w:rPr>
        <w:t>1</w:t>
      </w:r>
      <w:r w:rsidRPr="008F0A48">
        <w:rPr>
          <w:rFonts w:ascii="宋体" w:hAnsi="宋体"/>
          <w:i/>
          <w:position w:val="1"/>
          <w:sz w:val="24"/>
        </w:rPr>
        <w:t>×W</w:t>
      </w:r>
      <w:r w:rsidRPr="00502062">
        <w:rPr>
          <w:rFonts w:ascii="宋体" w:hAnsi="宋体"/>
          <w:i/>
          <w:position w:val="1"/>
          <w:sz w:val="24"/>
          <w:vertAlign w:val="subscript"/>
        </w:rPr>
        <w:t>i</w:t>
      </w:r>
      <w:r>
        <w:rPr>
          <w:rFonts w:ascii="宋体" w:hAnsi="宋体"/>
          <w:i/>
          <w:position w:val="1"/>
          <w:sz w:val="24"/>
        </w:rPr>
        <w:t xml:space="preserve">                                </w:t>
      </w:r>
      <w:r w:rsidRPr="00502062">
        <w:rPr>
          <w:rFonts w:ascii="宋体" w:hAnsi="宋体"/>
          <w:iCs/>
          <w:position w:val="1"/>
          <w:sz w:val="24"/>
        </w:rPr>
        <w:t>（52）</w:t>
      </w:r>
    </w:p>
    <w:p w14:paraId="319064FD" w14:textId="77777777" w:rsidR="00495C65" w:rsidRDefault="00495C65" w:rsidP="00495C65">
      <w:pPr>
        <w:spacing w:before="197"/>
        <w:ind w:left="3473"/>
        <w:rPr>
          <w:rFonts w:ascii="宋体" w:hAnsi="宋体"/>
          <w:iCs/>
          <w:position w:val="1"/>
          <w:sz w:val="24"/>
        </w:rPr>
      </w:pPr>
      <w:r w:rsidRPr="008F0A48">
        <w:rPr>
          <w:rFonts w:ascii="宋体" w:hAnsi="宋体"/>
          <w:i/>
          <w:position w:val="1"/>
          <w:sz w:val="24"/>
        </w:rPr>
        <w:t>F</w:t>
      </w:r>
      <w:r w:rsidRPr="00502062">
        <w:rPr>
          <w:rFonts w:ascii="宋体" w:hAnsi="宋体"/>
          <w:i/>
          <w:position w:val="1"/>
          <w:sz w:val="24"/>
          <w:vertAlign w:val="subscript"/>
        </w:rPr>
        <w:t>2i</w:t>
      </w:r>
      <w:r w:rsidRPr="008F0A48">
        <w:rPr>
          <w:rFonts w:ascii="宋体" w:hAnsi="宋体"/>
          <w:i/>
          <w:position w:val="1"/>
          <w:sz w:val="24"/>
        </w:rPr>
        <w:t>=F</w:t>
      </w:r>
      <w:r w:rsidRPr="00502062">
        <w:rPr>
          <w:rFonts w:ascii="宋体" w:hAnsi="宋体"/>
          <w:i/>
          <w:position w:val="1"/>
          <w:sz w:val="24"/>
          <w:vertAlign w:val="subscript"/>
        </w:rPr>
        <w:t>2</w:t>
      </w:r>
      <w:r w:rsidRPr="008F0A48">
        <w:rPr>
          <w:rFonts w:ascii="宋体" w:hAnsi="宋体"/>
          <w:i/>
          <w:position w:val="1"/>
          <w:sz w:val="24"/>
        </w:rPr>
        <w:t>×W</w:t>
      </w:r>
      <w:r w:rsidRPr="00502062">
        <w:rPr>
          <w:rFonts w:ascii="宋体" w:hAnsi="宋体"/>
          <w:i/>
          <w:position w:val="1"/>
          <w:sz w:val="24"/>
          <w:vertAlign w:val="subscript"/>
        </w:rPr>
        <w:t>i</w:t>
      </w:r>
      <w:r w:rsidRPr="00502062">
        <w:rPr>
          <w:rFonts w:ascii="宋体" w:hAnsi="宋体"/>
          <w:i/>
          <w:position w:val="1"/>
          <w:sz w:val="24"/>
        </w:rPr>
        <w:t xml:space="preserve">                                </w:t>
      </w:r>
      <w:r w:rsidRPr="00502062">
        <w:rPr>
          <w:rFonts w:ascii="宋体" w:hAnsi="宋体"/>
          <w:iCs/>
          <w:position w:val="1"/>
          <w:sz w:val="24"/>
        </w:rPr>
        <w:t>（53）</w:t>
      </w:r>
    </w:p>
    <w:p w14:paraId="0B7F0013" w14:textId="77777777" w:rsidR="00495C65" w:rsidRDefault="00495C65" w:rsidP="00495C65">
      <w:pPr>
        <w:pStyle w:val="13"/>
      </w:pPr>
      <w:r>
        <w:rPr>
          <w:rFonts w:hint="eastAsia"/>
        </w:rPr>
        <w:t>式中：</w:t>
      </w:r>
    </w:p>
    <w:p w14:paraId="22329B4A" w14:textId="77777777" w:rsidR="00495C65" w:rsidRDefault="00495C65" w:rsidP="00495C65">
      <w:pPr>
        <w:pStyle w:val="13"/>
        <w:ind w:firstLineChars="500" w:firstLine="1200"/>
      </w:pPr>
      <w:r w:rsidRPr="00F25D95">
        <w:rPr>
          <w:i/>
          <w:iCs/>
        </w:rPr>
        <w:t>F</w:t>
      </w:r>
      <w:r w:rsidRPr="00F25D95">
        <w:rPr>
          <w:i/>
          <w:iCs/>
          <w:vertAlign w:val="subscript"/>
        </w:rPr>
        <w:t>1i</w:t>
      </w:r>
      <w:r>
        <w:t>—某一因素的上调幅度；</w:t>
      </w:r>
    </w:p>
    <w:p w14:paraId="0A7C3D2E" w14:textId="77777777" w:rsidR="00495C65" w:rsidRDefault="00495C65" w:rsidP="00495C65">
      <w:pPr>
        <w:pStyle w:val="13"/>
        <w:ind w:firstLineChars="500" w:firstLine="1200"/>
      </w:pPr>
      <w:r w:rsidRPr="00F25D95">
        <w:rPr>
          <w:i/>
          <w:iCs/>
        </w:rPr>
        <w:t>F</w:t>
      </w:r>
      <w:r w:rsidRPr="00F25D95">
        <w:rPr>
          <w:i/>
          <w:iCs/>
          <w:vertAlign w:val="subscript"/>
        </w:rPr>
        <w:t>2i</w:t>
      </w:r>
      <w:r>
        <w:t>—某一因素的下调幅度；</w:t>
      </w:r>
    </w:p>
    <w:p w14:paraId="5B43B246" w14:textId="77777777" w:rsidR="00495C65" w:rsidRDefault="00495C65" w:rsidP="00495C65">
      <w:pPr>
        <w:pStyle w:val="13"/>
        <w:ind w:firstLineChars="500" w:firstLine="1200"/>
      </w:pPr>
      <w:r w:rsidRPr="00F25D95">
        <w:rPr>
          <w:i/>
          <w:iCs/>
        </w:rPr>
        <w:t>W</w:t>
      </w:r>
      <w:r w:rsidRPr="00F25D95">
        <w:rPr>
          <w:i/>
          <w:iCs/>
          <w:vertAlign w:val="subscript"/>
        </w:rPr>
        <w:t>i</w:t>
      </w:r>
      <w:r>
        <w:t>—某一因素对宗地地价的影响权重。</w:t>
      </w:r>
    </w:p>
    <w:p w14:paraId="4F1B19D8" w14:textId="77777777" w:rsidR="00495C65" w:rsidRDefault="00495C65" w:rsidP="00495C65">
      <w:pPr>
        <w:pStyle w:val="13"/>
      </w:pPr>
      <w:r>
        <w:rPr>
          <w:rFonts w:hint="eastAsia"/>
        </w:rPr>
        <w:t>以基准地价为一般水平，其修正系数为零。在一般水平与上限价格之间，内插条件较优的修正系数，一般为</w:t>
      </w:r>
      <w:r w:rsidRPr="00191897">
        <w:rPr>
          <w:i/>
          <w:iCs/>
        </w:rPr>
        <w:t>F</w:t>
      </w:r>
      <w:r w:rsidRPr="00191897">
        <w:rPr>
          <w:i/>
          <w:iCs/>
          <w:vertAlign w:val="subscript"/>
        </w:rPr>
        <w:t>1i</w:t>
      </w:r>
      <w:r>
        <w:t>/2，同时确定较优条件下的地价标准。在一般水平与下限价格之间，内插条件较劣的修正系数，一般为F2i/2，同时确定较</w:t>
      </w:r>
      <w:proofErr w:type="gramStart"/>
      <w:r>
        <w:t>劣条件</w:t>
      </w:r>
      <w:proofErr w:type="gramEnd"/>
      <w:r>
        <w:t>下的地价标准。</w:t>
      </w:r>
    </w:p>
    <w:p w14:paraId="5DBB5B51" w14:textId="77777777" w:rsidR="00495C65" w:rsidRDefault="00495C65" w:rsidP="00495C65">
      <w:pPr>
        <w:pStyle w:val="13"/>
      </w:pPr>
      <w:r>
        <w:rPr>
          <w:rFonts w:hint="eastAsia"/>
        </w:rPr>
        <w:t>（</w:t>
      </w:r>
      <w:r>
        <w:t>4）编制基准地价修正系数表及其指标说明</w:t>
      </w:r>
    </w:p>
    <w:p w14:paraId="77AB292F" w14:textId="77777777" w:rsidR="00495C65" w:rsidRDefault="00495C65" w:rsidP="00495C65">
      <w:pPr>
        <w:pStyle w:val="13"/>
      </w:pPr>
      <w:r>
        <w:rPr>
          <w:rFonts w:hint="eastAsia"/>
        </w:rPr>
        <w:t>按优、较优、一般、较劣、</w:t>
      </w:r>
      <w:proofErr w:type="gramStart"/>
      <w:r>
        <w:rPr>
          <w:rFonts w:hint="eastAsia"/>
        </w:rPr>
        <w:t>劣确定</w:t>
      </w:r>
      <w:proofErr w:type="gramEnd"/>
      <w:r>
        <w:rPr>
          <w:rFonts w:hint="eastAsia"/>
        </w:rPr>
        <w:t>各种地价标准下的因素修正系数，在此基础上，</w:t>
      </w:r>
      <w:r>
        <w:t>量化各影响因素的标准，并通过已有地价样点的检验、校核，编制各类型级别（区域）的基准地价修正系数表，同时，根据各地价影响因素的变化情况，明确定量或定性描</w:t>
      </w:r>
      <w:r>
        <w:lastRenderedPageBreak/>
        <w:t>述各地价标准下相应影响因素的指标特征，形成指标说明表。</w:t>
      </w:r>
    </w:p>
    <w:p w14:paraId="7C57EC74" w14:textId="77777777" w:rsidR="00495C65" w:rsidRDefault="00495C65" w:rsidP="00495C65">
      <w:pPr>
        <w:pStyle w:val="13"/>
      </w:pPr>
      <w:r>
        <w:t>7.8.2.2</w:t>
      </w:r>
      <w:r>
        <w:rPr>
          <w:rFonts w:hint="eastAsia"/>
        </w:rPr>
        <w:t>用土地利用效益资料编制基准地价修正系数表</w:t>
      </w:r>
    </w:p>
    <w:p w14:paraId="54170C0F" w14:textId="77777777" w:rsidR="00495C65" w:rsidRDefault="00495C65" w:rsidP="00495C65">
      <w:pPr>
        <w:pStyle w:val="13"/>
      </w:pPr>
      <w:r>
        <w:rPr>
          <w:rFonts w:hint="eastAsia"/>
        </w:rPr>
        <w:t>程序与要求如下：</w:t>
      </w:r>
    </w:p>
    <w:p w14:paraId="13368746" w14:textId="77777777" w:rsidR="00495C65" w:rsidRDefault="00495C65" w:rsidP="00495C65">
      <w:pPr>
        <w:pStyle w:val="13"/>
      </w:pPr>
      <w:r>
        <w:rPr>
          <w:rFonts w:hint="eastAsia"/>
        </w:rPr>
        <w:t>（1）确定级别或区域基准地价</w:t>
      </w:r>
    </w:p>
    <w:p w14:paraId="2DF04A85" w14:textId="77777777" w:rsidR="00495C65" w:rsidRDefault="00495C65" w:rsidP="00495C65">
      <w:pPr>
        <w:pStyle w:val="13"/>
      </w:pPr>
      <w:r>
        <w:rPr>
          <w:rFonts w:hint="eastAsia"/>
        </w:rPr>
        <w:t>按</w:t>
      </w:r>
      <w:r>
        <w:t>7.7的有关规定，确定级别或区域基准地价。</w:t>
      </w:r>
    </w:p>
    <w:p w14:paraId="76678BBB" w14:textId="77777777" w:rsidR="00495C65" w:rsidRDefault="00495C65" w:rsidP="00495C65">
      <w:pPr>
        <w:pStyle w:val="13"/>
      </w:pPr>
      <w:r w:rsidRPr="00FF372E">
        <w:rPr>
          <w:rFonts w:hint="eastAsia"/>
        </w:rPr>
        <w:t>（</w:t>
      </w:r>
      <w:r>
        <w:t>2</w:t>
      </w:r>
      <w:r w:rsidRPr="00FF372E">
        <w:t>）</w:t>
      </w:r>
      <w:r>
        <w:rPr>
          <w:rFonts w:hint="eastAsia"/>
        </w:rPr>
        <w:t>选择宗地地价影响因素</w:t>
      </w:r>
    </w:p>
    <w:p w14:paraId="7D6886B5" w14:textId="77777777" w:rsidR="00495C65" w:rsidRDefault="00495C65" w:rsidP="00495C65">
      <w:pPr>
        <w:pStyle w:val="13"/>
      </w:pPr>
      <w:r>
        <w:rPr>
          <w:rFonts w:hint="eastAsia"/>
        </w:rPr>
        <w:t>参照</w:t>
      </w:r>
      <w:r>
        <w:t>7.8.2.1的相关规定选择不同用地的影响因素。</w:t>
      </w:r>
    </w:p>
    <w:p w14:paraId="2E04BEAC" w14:textId="77777777" w:rsidR="00495C65" w:rsidRDefault="00495C65" w:rsidP="00495C65">
      <w:pPr>
        <w:pStyle w:val="13"/>
      </w:pPr>
      <w:r w:rsidRPr="00FF372E">
        <w:rPr>
          <w:rFonts w:hint="eastAsia"/>
        </w:rPr>
        <w:t>（</w:t>
      </w:r>
      <w:r>
        <w:t>3</w:t>
      </w:r>
      <w:r w:rsidRPr="00FF372E">
        <w:t>）</w:t>
      </w:r>
      <w:r>
        <w:rPr>
          <w:rFonts w:hint="eastAsia"/>
        </w:rPr>
        <w:t>各因素影响地价修正幅度的计算</w:t>
      </w:r>
    </w:p>
    <w:p w14:paraId="07139C23" w14:textId="77777777" w:rsidR="00495C65" w:rsidRDefault="00495C65" w:rsidP="00495C65">
      <w:pPr>
        <w:pStyle w:val="13"/>
      </w:pPr>
      <w:r>
        <w:t>1</w:t>
      </w:r>
      <w:r>
        <w:rPr>
          <w:rFonts w:hint="eastAsia"/>
        </w:rPr>
        <w:t>）修正幅度值的计算</w:t>
      </w:r>
    </w:p>
    <w:p w14:paraId="1659A16A" w14:textId="77777777" w:rsidR="00495C65" w:rsidRDefault="00495C65" w:rsidP="00495C65">
      <w:pPr>
        <w:pStyle w:val="13"/>
      </w:pPr>
      <w:r>
        <w:rPr>
          <w:rFonts w:hint="eastAsia"/>
        </w:rPr>
        <w:t>以级别或区域为单位，调查各级别或区域中正常土地收益的上限、下限值等，分别以土地收益值同基准地价折算的</w:t>
      </w:r>
      <w:proofErr w:type="gramStart"/>
      <w:r>
        <w:rPr>
          <w:rFonts w:hint="eastAsia"/>
        </w:rPr>
        <w:t>年土地</w:t>
      </w:r>
      <w:proofErr w:type="gramEnd"/>
      <w:r>
        <w:rPr>
          <w:rFonts w:hint="eastAsia"/>
        </w:rPr>
        <w:t>收益值相减，得到上调或下调的最高值。计算方法参照</w:t>
      </w:r>
      <w:r>
        <w:t>7.8.2.1.c）中的规定。</w:t>
      </w:r>
    </w:p>
    <w:p w14:paraId="079229EA" w14:textId="77777777" w:rsidR="00495C65" w:rsidRDefault="00495C65" w:rsidP="00495C65">
      <w:pPr>
        <w:pStyle w:val="13"/>
      </w:pPr>
      <w:r>
        <w:t>2</w:t>
      </w:r>
      <w:r w:rsidRPr="0018377B">
        <w:t>）</w:t>
      </w:r>
      <w:r>
        <w:rPr>
          <w:rFonts w:hint="eastAsia"/>
        </w:rPr>
        <w:t>影响地价各因素修正值的确定</w:t>
      </w:r>
    </w:p>
    <w:p w14:paraId="0D5EB7A6" w14:textId="77777777" w:rsidR="00495C65" w:rsidRDefault="00495C65" w:rsidP="00495C65">
      <w:pPr>
        <w:pStyle w:val="13"/>
      </w:pPr>
      <w:r>
        <w:rPr>
          <w:rFonts w:hint="eastAsia"/>
        </w:rPr>
        <w:t>参照</w:t>
      </w:r>
      <w:r>
        <w:t>7.8.2.1.c）中相关规定。</w:t>
      </w:r>
    </w:p>
    <w:p w14:paraId="05B81348" w14:textId="77777777" w:rsidR="00495C65" w:rsidRDefault="00495C65" w:rsidP="00495C65">
      <w:pPr>
        <w:pStyle w:val="13"/>
      </w:pPr>
      <w:r w:rsidRPr="0018377B">
        <w:rPr>
          <w:rFonts w:hint="eastAsia"/>
        </w:rPr>
        <w:t>（</w:t>
      </w:r>
      <w:r>
        <w:t>4</w:t>
      </w:r>
      <w:r w:rsidRPr="0018377B">
        <w:t>）</w:t>
      </w:r>
      <w:r>
        <w:rPr>
          <w:rFonts w:hint="eastAsia"/>
        </w:rPr>
        <w:t>编制基准地价修正系数表和指标说明表</w:t>
      </w:r>
    </w:p>
    <w:p w14:paraId="01C85893" w14:textId="77777777" w:rsidR="00495C65" w:rsidRDefault="00495C65" w:rsidP="00495C65">
      <w:pPr>
        <w:pStyle w:val="13"/>
      </w:pPr>
      <w:r>
        <w:rPr>
          <w:rFonts w:hint="eastAsia"/>
        </w:rPr>
        <w:t>按优、较优、一般、较劣、</w:t>
      </w:r>
      <w:proofErr w:type="gramStart"/>
      <w:r>
        <w:rPr>
          <w:rFonts w:hint="eastAsia"/>
        </w:rPr>
        <w:t>劣确定</w:t>
      </w:r>
      <w:proofErr w:type="gramEnd"/>
      <w:r>
        <w:rPr>
          <w:rFonts w:hint="eastAsia"/>
        </w:rPr>
        <w:t>各种地价标准下的因素修正系数，在此基础上，</w:t>
      </w:r>
      <w:r>
        <w:t>量化所有影响因素的标准，并通过已有地价样点的检验、校核，编制各类型级别（区域）的基准地价修正系数表，同时，根据各地价影响因素的变化情况，明确定量或定性描述各地价标准下相应影响因素的指标特征，形成指标说明表。</w:t>
      </w:r>
    </w:p>
    <w:p w14:paraId="7DFAA157" w14:textId="77777777" w:rsidR="00495C65" w:rsidRDefault="00495C65" w:rsidP="00495C65">
      <w:pPr>
        <w:pStyle w:val="13"/>
      </w:pPr>
      <w:r w:rsidRPr="00C93288">
        <w:t>7.8.2.</w:t>
      </w:r>
      <w:r>
        <w:t>3</w:t>
      </w:r>
      <w:r>
        <w:rPr>
          <w:rFonts w:hint="eastAsia"/>
        </w:rPr>
        <w:t>用定级因素综合分值编制基准地价修正系数表</w:t>
      </w:r>
    </w:p>
    <w:p w14:paraId="130C91AE" w14:textId="77777777" w:rsidR="00495C65" w:rsidRDefault="00495C65" w:rsidP="00495C65">
      <w:pPr>
        <w:pStyle w:val="13"/>
      </w:pPr>
      <w:r>
        <w:rPr>
          <w:rFonts w:hint="eastAsia"/>
        </w:rPr>
        <w:t>程序与要求如下：</w:t>
      </w:r>
    </w:p>
    <w:p w14:paraId="643D6932" w14:textId="77777777" w:rsidR="00495C65" w:rsidRDefault="00495C65" w:rsidP="00495C65">
      <w:pPr>
        <w:pStyle w:val="13"/>
      </w:pPr>
      <w:r>
        <w:rPr>
          <w:rFonts w:hint="eastAsia"/>
        </w:rPr>
        <w:t>（1）利用土地定级成果，确定各类用地的宗地地价影响因素、各影响因素权重、</w:t>
      </w:r>
      <w:proofErr w:type="gramStart"/>
      <w:r>
        <w:rPr>
          <w:rFonts w:hint="eastAsia"/>
        </w:rPr>
        <w:t>各土地</w:t>
      </w:r>
      <w:proofErr w:type="gramEnd"/>
      <w:r>
        <w:rPr>
          <w:rFonts w:hint="eastAsia"/>
        </w:rPr>
        <w:t>级别（区域）、宗地及评估单元的定级因素分值或综合分值。</w:t>
      </w:r>
    </w:p>
    <w:p w14:paraId="22F98AB8" w14:textId="77777777" w:rsidR="00495C65" w:rsidRDefault="00495C65" w:rsidP="00495C65">
      <w:pPr>
        <w:pStyle w:val="13"/>
      </w:pPr>
      <w:r w:rsidRPr="007F55F5">
        <w:rPr>
          <w:rFonts w:hint="eastAsia"/>
        </w:rPr>
        <w:t>（</w:t>
      </w:r>
      <w:r>
        <w:t>2</w:t>
      </w:r>
      <w:r w:rsidRPr="007F55F5">
        <w:t>）</w:t>
      </w:r>
      <w:r>
        <w:rPr>
          <w:rFonts w:hint="eastAsia"/>
        </w:rPr>
        <w:t>用宗地各定级因素分值与级别（区域）平均综合分值和宗地综合分值比较，测算修正系数。对未能纳入定级因素的个别因素，应采用其他方法测算个别因素修正系数。</w:t>
      </w:r>
    </w:p>
    <w:p w14:paraId="5A4B695E" w14:textId="77777777" w:rsidR="00495C65" w:rsidRDefault="00495C65" w:rsidP="00495C65">
      <w:pPr>
        <w:pStyle w:val="13"/>
      </w:pPr>
      <w:r w:rsidRPr="007F55F5">
        <w:rPr>
          <w:rFonts w:hint="eastAsia"/>
        </w:rPr>
        <w:t>（</w:t>
      </w:r>
      <w:r>
        <w:t>3</w:t>
      </w:r>
      <w:r w:rsidRPr="007F55F5">
        <w:t>）</w:t>
      </w:r>
      <w:r>
        <w:rPr>
          <w:rFonts w:hint="eastAsia"/>
        </w:rPr>
        <w:t>编制基准地价修正系数表和指标说明表</w:t>
      </w:r>
    </w:p>
    <w:p w14:paraId="1A1621A7" w14:textId="77777777" w:rsidR="00495C65" w:rsidRDefault="00495C65" w:rsidP="00495C65">
      <w:pPr>
        <w:pStyle w:val="13"/>
      </w:pPr>
      <w:r>
        <w:rPr>
          <w:rFonts w:hint="eastAsia"/>
        </w:rPr>
        <w:t>采用此种方法编制修正系数表，其指标说明表中，对各因素指标的描述不可仅以定级因素综合分值表示。</w:t>
      </w:r>
    </w:p>
    <w:p w14:paraId="5E15C9B9" w14:textId="77777777" w:rsidR="00495C65" w:rsidRDefault="00495C65" w:rsidP="00495C65">
      <w:pPr>
        <w:pStyle w:val="13"/>
      </w:pPr>
      <w:r>
        <w:rPr>
          <w:rFonts w:hint="eastAsia"/>
        </w:rPr>
        <w:t>7</w:t>
      </w:r>
      <w:r>
        <w:t>.8.3</w:t>
      </w:r>
      <w:proofErr w:type="gramStart"/>
      <w:r>
        <w:rPr>
          <w:rFonts w:hint="eastAsia"/>
        </w:rPr>
        <w:t>路线价</w:t>
      </w:r>
      <w:proofErr w:type="gramEnd"/>
      <w:r>
        <w:rPr>
          <w:rFonts w:hint="eastAsia"/>
        </w:rPr>
        <w:t>修正系数表的编制</w:t>
      </w:r>
    </w:p>
    <w:p w14:paraId="04E8B80B" w14:textId="77777777" w:rsidR="00495C65" w:rsidRDefault="00495C65" w:rsidP="00495C65">
      <w:pPr>
        <w:pStyle w:val="13"/>
      </w:pPr>
      <w:proofErr w:type="gramStart"/>
      <w:r>
        <w:rPr>
          <w:rFonts w:hint="eastAsia"/>
        </w:rPr>
        <w:t>路线价</w:t>
      </w:r>
      <w:proofErr w:type="gramEnd"/>
      <w:r>
        <w:rPr>
          <w:rFonts w:hint="eastAsia"/>
        </w:rPr>
        <w:t>修正系数表主要指深度指数修正表。还可根据地价影响情况编制宽度、形状、容积率等相关个别因素修正系数表。其具体程序如下：</w:t>
      </w:r>
    </w:p>
    <w:p w14:paraId="6EE93ECE" w14:textId="77777777" w:rsidR="00495C65" w:rsidRDefault="00495C65" w:rsidP="00495C65">
      <w:pPr>
        <w:pStyle w:val="13"/>
      </w:pPr>
      <w:r w:rsidRPr="00AE3CE2">
        <w:rPr>
          <w:rFonts w:hint="eastAsia"/>
        </w:rPr>
        <w:t>（</w:t>
      </w:r>
      <w:r>
        <w:t>1</w:t>
      </w:r>
      <w:r w:rsidRPr="00AE3CE2">
        <w:t>）</w:t>
      </w:r>
      <w:r>
        <w:rPr>
          <w:rFonts w:hint="eastAsia"/>
        </w:rPr>
        <w:t>确定路线价</w:t>
      </w:r>
    </w:p>
    <w:p w14:paraId="051B699D" w14:textId="77777777" w:rsidR="00495C65" w:rsidRDefault="00495C65" w:rsidP="00495C65">
      <w:pPr>
        <w:pStyle w:val="13"/>
      </w:pPr>
      <w:r>
        <w:rPr>
          <w:rFonts w:hint="eastAsia"/>
        </w:rPr>
        <w:t>依</w:t>
      </w:r>
      <w:r>
        <w:t>7.5.6相关规定确定路线价。</w:t>
      </w:r>
    </w:p>
    <w:p w14:paraId="07AF5A6B" w14:textId="77777777" w:rsidR="00495C65" w:rsidRDefault="00495C65" w:rsidP="00495C65">
      <w:pPr>
        <w:pStyle w:val="13"/>
      </w:pPr>
      <w:r>
        <w:rPr>
          <w:rFonts w:hint="eastAsia"/>
        </w:rPr>
        <w:lastRenderedPageBreak/>
        <w:t>（2）编制深度指数修正表</w:t>
      </w:r>
    </w:p>
    <w:p w14:paraId="6D2C7F0E" w14:textId="77777777" w:rsidR="00495C65" w:rsidRDefault="00495C65" w:rsidP="00495C65">
      <w:pPr>
        <w:pStyle w:val="13"/>
      </w:pPr>
      <w:r>
        <w:rPr>
          <w:rFonts w:hint="eastAsia"/>
        </w:rPr>
        <w:t>深度指数修正表依据宗地临街深度对</w:t>
      </w:r>
      <w:proofErr w:type="gramStart"/>
      <w:r>
        <w:rPr>
          <w:rFonts w:hint="eastAsia"/>
        </w:rPr>
        <w:t>路线价</w:t>
      </w:r>
      <w:proofErr w:type="gramEnd"/>
      <w:r>
        <w:rPr>
          <w:rFonts w:hint="eastAsia"/>
        </w:rPr>
        <w:t>的变化程度制定。具体做法如下：</w:t>
      </w:r>
    </w:p>
    <w:p w14:paraId="5F13212A" w14:textId="77777777" w:rsidR="00495C65" w:rsidRDefault="00495C65" w:rsidP="00495C65">
      <w:pPr>
        <w:pStyle w:val="13"/>
      </w:pPr>
      <w:r>
        <w:rPr>
          <w:rFonts w:hint="eastAsia"/>
        </w:rPr>
        <w:t>1）确定标准深度即里地线。</w:t>
      </w:r>
    </w:p>
    <w:p w14:paraId="7BEC2371" w14:textId="77777777" w:rsidR="00495C65" w:rsidRDefault="00495C65" w:rsidP="00495C65">
      <w:pPr>
        <w:pStyle w:val="13"/>
      </w:pPr>
      <w:r>
        <w:t>2</w:t>
      </w:r>
      <w:r w:rsidRPr="00320D97">
        <w:t>）</w:t>
      </w:r>
      <w:r>
        <w:rPr>
          <w:rFonts w:hint="eastAsia"/>
        </w:rPr>
        <w:t>确定级距。在同一级距内，地价对</w:t>
      </w:r>
      <w:proofErr w:type="gramStart"/>
      <w:r>
        <w:rPr>
          <w:rFonts w:hint="eastAsia"/>
        </w:rPr>
        <w:t>路线价</w:t>
      </w:r>
      <w:proofErr w:type="gramEnd"/>
      <w:r>
        <w:rPr>
          <w:rFonts w:hint="eastAsia"/>
        </w:rPr>
        <w:t>的变化程度较小，并视同一致。深度百分率表中级距的选定，应分析比较市场地价调查中地价变化的规律性，从而确定级距数、级距。</w:t>
      </w:r>
    </w:p>
    <w:p w14:paraId="2D18A86D" w14:textId="77777777" w:rsidR="00495C65" w:rsidRDefault="00495C65" w:rsidP="00495C65">
      <w:pPr>
        <w:pStyle w:val="13"/>
      </w:pPr>
      <w:r>
        <w:t>3</w:t>
      </w:r>
      <w:r w:rsidRPr="00F96FCA">
        <w:t>）</w:t>
      </w:r>
      <w:r>
        <w:rPr>
          <w:rFonts w:hint="eastAsia"/>
        </w:rPr>
        <w:t>确定单独深度百分率。将宗地自临街红线至里地线以内依一定距离（级距）划分为若干单元格，并依次为</w:t>
      </w:r>
      <w:r>
        <w:t>a1，a2，a3，……an，其单独深度百分率为：a1&gt;a2&gt;a3……&gt;an。</w:t>
      </w:r>
    </w:p>
    <w:p w14:paraId="26023989" w14:textId="77777777" w:rsidR="00495C65" w:rsidRDefault="00495C65" w:rsidP="00495C65">
      <w:pPr>
        <w:pStyle w:val="13"/>
      </w:pPr>
      <w:r>
        <w:t>4</w:t>
      </w:r>
      <w:r w:rsidRPr="00D267DF">
        <w:t>）</w:t>
      </w:r>
      <w:r>
        <w:rPr>
          <w:rFonts w:hint="eastAsia"/>
        </w:rPr>
        <w:t>选用平均或累计深度百分率制作深度百分率表。</w:t>
      </w:r>
    </w:p>
    <w:p w14:paraId="3E6611BD" w14:textId="77777777" w:rsidR="00495C65" w:rsidRDefault="00495C65" w:rsidP="00495C65">
      <w:pPr>
        <w:pStyle w:val="13"/>
      </w:pPr>
      <w:r>
        <w:rPr>
          <w:rFonts w:hint="eastAsia"/>
        </w:rPr>
        <w:t>平均深度百分率：</w:t>
      </w:r>
    </w:p>
    <w:p w14:paraId="6CC358BF" w14:textId="77777777" w:rsidR="00495C65" w:rsidRDefault="00495C65" w:rsidP="00495C65">
      <w:pPr>
        <w:pStyle w:val="13"/>
      </w:pPr>
      <w:r w:rsidRPr="00494BE4">
        <w:rPr>
          <w:i/>
          <w:iCs/>
        </w:rPr>
        <w:t>a</w:t>
      </w:r>
      <w:r w:rsidRPr="00494BE4">
        <w:rPr>
          <w:i/>
          <w:iCs/>
          <w:vertAlign w:val="subscript"/>
        </w:rPr>
        <w:t>1</w:t>
      </w:r>
      <w:r>
        <w:t>&gt;（</w:t>
      </w:r>
      <w:r w:rsidRPr="00494BE4">
        <w:rPr>
          <w:i/>
          <w:iCs/>
        </w:rPr>
        <w:t>a</w:t>
      </w:r>
      <w:r w:rsidRPr="00494BE4">
        <w:rPr>
          <w:i/>
          <w:iCs/>
          <w:vertAlign w:val="subscript"/>
        </w:rPr>
        <w:t>1</w:t>
      </w:r>
      <w:r w:rsidRPr="00494BE4">
        <w:rPr>
          <w:i/>
          <w:iCs/>
        </w:rPr>
        <w:t>+a</w:t>
      </w:r>
      <w:r w:rsidRPr="00494BE4">
        <w:rPr>
          <w:i/>
          <w:iCs/>
          <w:vertAlign w:val="subscript"/>
        </w:rPr>
        <w:t>2</w:t>
      </w:r>
      <w:r>
        <w:t>）/2&gt;（</w:t>
      </w:r>
      <w:r w:rsidRPr="00494BE4">
        <w:rPr>
          <w:i/>
          <w:iCs/>
        </w:rPr>
        <w:t>a</w:t>
      </w:r>
      <w:r w:rsidRPr="00494BE4">
        <w:rPr>
          <w:i/>
          <w:iCs/>
          <w:vertAlign w:val="subscript"/>
        </w:rPr>
        <w:t>1</w:t>
      </w:r>
      <w:r w:rsidRPr="00494BE4">
        <w:rPr>
          <w:i/>
          <w:iCs/>
        </w:rPr>
        <w:t>+a</w:t>
      </w:r>
      <w:r w:rsidRPr="00494BE4">
        <w:rPr>
          <w:i/>
          <w:iCs/>
          <w:vertAlign w:val="subscript"/>
        </w:rPr>
        <w:t>2</w:t>
      </w:r>
      <w:r w:rsidRPr="00494BE4">
        <w:rPr>
          <w:i/>
          <w:iCs/>
        </w:rPr>
        <w:t>+a</w:t>
      </w:r>
      <w:r w:rsidRPr="00494BE4">
        <w:rPr>
          <w:i/>
          <w:iCs/>
          <w:vertAlign w:val="subscript"/>
        </w:rPr>
        <w:t>3</w:t>
      </w:r>
      <w:r>
        <w:t>）/3&gt;……&gt;（</w:t>
      </w:r>
      <w:r w:rsidRPr="00494BE4">
        <w:rPr>
          <w:i/>
          <w:iCs/>
        </w:rPr>
        <w:t>a</w:t>
      </w:r>
      <w:r w:rsidRPr="00494BE4">
        <w:rPr>
          <w:i/>
          <w:iCs/>
          <w:vertAlign w:val="subscript"/>
        </w:rPr>
        <w:t>1</w:t>
      </w:r>
      <w:r w:rsidRPr="00494BE4">
        <w:rPr>
          <w:i/>
          <w:iCs/>
        </w:rPr>
        <w:t>+a</w:t>
      </w:r>
      <w:r w:rsidRPr="00494BE4">
        <w:rPr>
          <w:i/>
          <w:iCs/>
          <w:vertAlign w:val="subscript"/>
        </w:rPr>
        <w:t>2</w:t>
      </w:r>
      <w:r w:rsidRPr="00494BE4">
        <w:rPr>
          <w:i/>
          <w:iCs/>
        </w:rPr>
        <w:t>+a</w:t>
      </w:r>
      <w:r w:rsidRPr="00494BE4">
        <w:rPr>
          <w:i/>
          <w:iCs/>
          <w:vertAlign w:val="subscript"/>
        </w:rPr>
        <w:t>3</w:t>
      </w:r>
      <w:r w:rsidRPr="00494BE4">
        <w:rPr>
          <w:i/>
          <w:iCs/>
        </w:rPr>
        <w:t>+……+a</w:t>
      </w:r>
      <w:r w:rsidRPr="00494BE4">
        <w:rPr>
          <w:i/>
          <w:iCs/>
          <w:vertAlign w:val="subscript"/>
        </w:rPr>
        <w:t>n</w:t>
      </w:r>
      <w:r>
        <w:t>）/</w:t>
      </w:r>
      <w:r w:rsidRPr="00494BE4">
        <w:rPr>
          <w:i/>
          <w:iCs/>
        </w:rPr>
        <w:t>n</w:t>
      </w:r>
    </w:p>
    <w:p w14:paraId="1D309678" w14:textId="77777777" w:rsidR="00495C65" w:rsidRDefault="00495C65" w:rsidP="00495C65">
      <w:pPr>
        <w:pStyle w:val="13"/>
      </w:pPr>
      <w:r>
        <w:t>累计深度百分率：</w:t>
      </w:r>
    </w:p>
    <w:p w14:paraId="6C092F77" w14:textId="77777777" w:rsidR="00495C65" w:rsidRPr="00403825" w:rsidRDefault="00495C65" w:rsidP="00495C65">
      <w:pPr>
        <w:pStyle w:val="13"/>
        <w:rPr>
          <w:i/>
          <w:iCs/>
        </w:rPr>
      </w:pPr>
      <w:r w:rsidRPr="00403825">
        <w:rPr>
          <w:i/>
          <w:iCs/>
        </w:rPr>
        <w:t>a</w:t>
      </w:r>
      <w:r w:rsidRPr="00403825">
        <w:rPr>
          <w:i/>
          <w:iCs/>
          <w:vertAlign w:val="subscript"/>
        </w:rPr>
        <w:t>1</w:t>
      </w:r>
      <w:r w:rsidRPr="00403825">
        <w:rPr>
          <w:i/>
          <w:iCs/>
        </w:rPr>
        <w:t>&lt;a</w:t>
      </w:r>
      <w:r w:rsidRPr="00403825">
        <w:rPr>
          <w:i/>
          <w:iCs/>
          <w:vertAlign w:val="subscript"/>
        </w:rPr>
        <w:t>1</w:t>
      </w:r>
      <w:r w:rsidRPr="00403825">
        <w:rPr>
          <w:i/>
          <w:iCs/>
        </w:rPr>
        <w:t>+a</w:t>
      </w:r>
      <w:r w:rsidRPr="00403825">
        <w:rPr>
          <w:i/>
          <w:iCs/>
          <w:vertAlign w:val="subscript"/>
        </w:rPr>
        <w:t>2</w:t>
      </w:r>
      <w:r w:rsidRPr="00403825">
        <w:rPr>
          <w:i/>
          <w:iCs/>
        </w:rPr>
        <w:t>&lt;a</w:t>
      </w:r>
      <w:r w:rsidRPr="00403825">
        <w:rPr>
          <w:i/>
          <w:iCs/>
          <w:vertAlign w:val="subscript"/>
        </w:rPr>
        <w:t>1</w:t>
      </w:r>
      <w:r w:rsidRPr="00403825">
        <w:rPr>
          <w:i/>
          <w:iCs/>
        </w:rPr>
        <w:t>+a</w:t>
      </w:r>
      <w:r w:rsidRPr="00403825">
        <w:rPr>
          <w:i/>
          <w:iCs/>
          <w:vertAlign w:val="subscript"/>
        </w:rPr>
        <w:t>2</w:t>
      </w:r>
      <w:r w:rsidRPr="00403825">
        <w:rPr>
          <w:i/>
          <w:iCs/>
        </w:rPr>
        <w:t>+a</w:t>
      </w:r>
      <w:r w:rsidRPr="00403825">
        <w:rPr>
          <w:i/>
          <w:iCs/>
          <w:vertAlign w:val="subscript"/>
        </w:rPr>
        <w:t>3</w:t>
      </w:r>
      <w:r w:rsidRPr="00403825">
        <w:rPr>
          <w:i/>
          <w:iCs/>
        </w:rPr>
        <w:t>&lt;……&lt;a</w:t>
      </w:r>
      <w:r w:rsidRPr="00403825">
        <w:rPr>
          <w:i/>
          <w:iCs/>
          <w:vertAlign w:val="subscript"/>
        </w:rPr>
        <w:t>1</w:t>
      </w:r>
      <w:r w:rsidRPr="00403825">
        <w:rPr>
          <w:i/>
          <w:iCs/>
        </w:rPr>
        <w:t>+a</w:t>
      </w:r>
      <w:r w:rsidRPr="00403825">
        <w:rPr>
          <w:i/>
          <w:iCs/>
          <w:vertAlign w:val="subscript"/>
        </w:rPr>
        <w:t>2</w:t>
      </w:r>
      <w:r w:rsidRPr="00403825">
        <w:rPr>
          <w:i/>
          <w:iCs/>
        </w:rPr>
        <w:t>+a</w:t>
      </w:r>
      <w:r w:rsidRPr="00403825">
        <w:rPr>
          <w:i/>
          <w:iCs/>
          <w:vertAlign w:val="subscript"/>
        </w:rPr>
        <w:t>3</w:t>
      </w:r>
      <w:r w:rsidRPr="00403825">
        <w:rPr>
          <w:i/>
          <w:iCs/>
        </w:rPr>
        <w:t>+……+a</w:t>
      </w:r>
      <w:r w:rsidRPr="00403825">
        <w:rPr>
          <w:i/>
          <w:iCs/>
          <w:vertAlign w:val="subscript"/>
        </w:rPr>
        <w:t>n</w:t>
      </w:r>
    </w:p>
    <w:p w14:paraId="376ED913" w14:textId="77777777" w:rsidR="00495C65" w:rsidRDefault="00495C65" w:rsidP="00495C65">
      <w:pPr>
        <w:pStyle w:val="13"/>
      </w:pPr>
      <w:r>
        <w:t>5）编制深度修正指数表。</w:t>
      </w:r>
    </w:p>
    <w:p w14:paraId="328A76A9" w14:textId="77777777" w:rsidR="00495C65" w:rsidRDefault="00495C65" w:rsidP="00495C65">
      <w:pPr>
        <w:pStyle w:val="13"/>
      </w:pPr>
      <w:r w:rsidRPr="00B83264">
        <w:rPr>
          <w:rFonts w:hint="eastAsia"/>
        </w:rPr>
        <w:t>（</w:t>
      </w:r>
      <w:r>
        <w:t>3</w:t>
      </w:r>
      <w:r w:rsidRPr="00B83264">
        <w:t>）</w:t>
      </w:r>
      <w:r>
        <w:rPr>
          <w:rFonts w:hint="eastAsia"/>
        </w:rPr>
        <w:t>编制其他因素修正表</w:t>
      </w:r>
    </w:p>
    <w:p w14:paraId="04F6F32F" w14:textId="77777777" w:rsidR="00495C65" w:rsidRDefault="00495C65" w:rsidP="00495C65">
      <w:pPr>
        <w:pStyle w:val="13"/>
      </w:pPr>
      <w:r>
        <w:rPr>
          <w:rFonts w:hint="eastAsia"/>
        </w:rPr>
        <w:t>根据需要，依据</w:t>
      </w:r>
      <w:r>
        <w:t>7.8.2中的原理和方法编制临街宽度、容积率等其他因素修正表。</w:t>
      </w:r>
    </w:p>
    <w:p w14:paraId="10DC17FC" w14:textId="77777777" w:rsidR="00495C65" w:rsidRDefault="00495C65" w:rsidP="00495C65">
      <w:pPr>
        <w:pStyle w:val="ab"/>
        <w:spacing w:before="62" w:after="62"/>
        <w:ind w:firstLine="482"/>
      </w:pPr>
      <w:r>
        <w:t>7.9</w:t>
      </w:r>
      <w:r>
        <w:rPr>
          <w:rFonts w:hint="eastAsia"/>
        </w:rPr>
        <w:t>基准地价更新</w:t>
      </w:r>
    </w:p>
    <w:p w14:paraId="6690E414" w14:textId="77777777" w:rsidR="00495C65" w:rsidRDefault="00495C65" w:rsidP="00495C65">
      <w:pPr>
        <w:pStyle w:val="13"/>
      </w:pPr>
      <w:r>
        <w:rPr>
          <w:rFonts w:hint="eastAsia"/>
        </w:rPr>
        <w:t>基准地价更新是在土地定级或均质区域划分的基础上，利用市场交易、土地收益或地价指数等资料全面或局部调整基准地价的过程。</w:t>
      </w:r>
    </w:p>
    <w:p w14:paraId="5F8AC2AF" w14:textId="77777777" w:rsidR="00495C65" w:rsidRDefault="00495C65" w:rsidP="00495C65">
      <w:pPr>
        <w:pStyle w:val="13"/>
      </w:pPr>
      <w:r>
        <w:rPr>
          <w:rFonts w:hint="eastAsia"/>
        </w:rPr>
        <w:t>为了使土地估价成果符合客观实际，保持基准地价成果的现势性，在土地市场或影响土地价格的各种因素发生变化后，应对地价进行重新评估，更新基准地价。</w:t>
      </w:r>
    </w:p>
    <w:p w14:paraId="695B913B" w14:textId="77777777" w:rsidR="00495C65" w:rsidRDefault="00495C65" w:rsidP="00495C65">
      <w:pPr>
        <w:pStyle w:val="13"/>
      </w:pPr>
      <w:r>
        <w:rPr>
          <w:rFonts w:hint="eastAsia"/>
        </w:rPr>
        <w:t>7</w:t>
      </w:r>
      <w:r>
        <w:t>.9.1</w:t>
      </w:r>
      <w:r>
        <w:rPr>
          <w:rFonts w:hint="eastAsia"/>
        </w:rPr>
        <w:t>一般要求</w:t>
      </w:r>
    </w:p>
    <w:p w14:paraId="78DF8695" w14:textId="77777777" w:rsidR="00495C65" w:rsidRDefault="00495C65" w:rsidP="00495C65">
      <w:pPr>
        <w:pStyle w:val="13"/>
      </w:pPr>
      <w:r>
        <w:rPr>
          <w:rFonts w:hint="eastAsia"/>
        </w:rPr>
        <w:t>要求如下：</w:t>
      </w:r>
    </w:p>
    <w:p w14:paraId="323AEF86" w14:textId="77777777" w:rsidR="00495C65" w:rsidRDefault="00495C65" w:rsidP="00495C65">
      <w:pPr>
        <w:pStyle w:val="13"/>
      </w:pPr>
      <w:r>
        <w:rPr>
          <w:rFonts w:hint="eastAsia"/>
        </w:rPr>
        <w:t>（1）基准地价更新周期视市场情况而定，原则上更新频率不得低于每</w:t>
      </w:r>
      <w:r>
        <w:t>3年一次，</w:t>
      </w:r>
      <w:r>
        <w:rPr>
          <w:rFonts w:hint="eastAsia"/>
        </w:rPr>
        <w:t>每隔</w:t>
      </w:r>
      <w:r>
        <w:t>6年必须进行一次全面更新；</w:t>
      </w:r>
    </w:p>
    <w:p w14:paraId="1A03C904" w14:textId="77777777" w:rsidR="00495C65" w:rsidRDefault="00495C65" w:rsidP="00495C65">
      <w:pPr>
        <w:pStyle w:val="13"/>
      </w:pPr>
      <w:r w:rsidRPr="008E11C5">
        <w:rPr>
          <w:rFonts w:hint="eastAsia"/>
        </w:rPr>
        <w:t>（</w:t>
      </w:r>
      <w:r>
        <w:t>2</w:t>
      </w:r>
      <w:r w:rsidRPr="008E11C5">
        <w:t>）</w:t>
      </w:r>
      <w:r>
        <w:rPr>
          <w:rFonts w:hint="eastAsia"/>
        </w:rPr>
        <w:t>全面更新应在收集最新地价影响因素资料的基础上，重新划分土地级别或均质区域。局部更新可利用符合要求的地价指数完成；</w:t>
      </w:r>
    </w:p>
    <w:p w14:paraId="1E43500F" w14:textId="77777777" w:rsidR="00495C65" w:rsidRDefault="00495C65" w:rsidP="00495C65">
      <w:pPr>
        <w:pStyle w:val="13"/>
      </w:pPr>
      <w:r w:rsidRPr="008E11C5">
        <w:rPr>
          <w:rFonts w:hint="eastAsia"/>
        </w:rPr>
        <w:t>（</w:t>
      </w:r>
      <w:r>
        <w:t>3</w:t>
      </w:r>
      <w:r w:rsidRPr="008E11C5">
        <w:t>）</w:t>
      </w:r>
      <w:r>
        <w:rPr>
          <w:rFonts w:hint="eastAsia"/>
        </w:rPr>
        <w:t>成果更新应充分利用原有资料，保持新老资料具有连续性。成果更新后，原基准地价成果作为历史资料存档保存。</w:t>
      </w:r>
    </w:p>
    <w:p w14:paraId="17630C5E" w14:textId="77777777" w:rsidR="00495C65" w:rsidRDefault="00495C65" w:rsidP="00495C65">
      <w:pPr>
        <w:pStyle w:val="13"/>
      </w:pPr>
      <w:r w:rsidRPr="008E11C5">
        <w:t>7.9.</w:t>
      </w:r>
      <w:r>
        <w:t>2</w:t>
      </w:r>
      <w:r>
        <w:rPr>
          <w:rFonts w:hint="eastAsia"/>
        </w:rPr>
        <w:t>范围</w:t>
      </w:r>
    </w:p>
    <w:p w14:paraId="4DDE3F79" w14:textId="77777777" w:rsidR="00495C65" w:rsidRDefault="00495C65" w:rsidP="00495C65">
      <w:pPr>
        <w:pStyle w:val="13"/>
      </w:pPr>
      <w:r>
        <w:rPr>
          <w:rFonts w:hint="eastAsia"/>
        </w:rPr>
        <w:t>根据城镇地价变化的区域和程度，确定需要更新的区域范围，具体要求如下：</w:t>
      </w:r>
    </w:p>
    <w:p w14:paraId="6235F02D" w14:textId="77777777" w:rsidR="00495C65" w:rsidRDefault="00495C65" w:rsidP="00495C65">
      <w:pPr>
        <w:pStyle w:val="13"/>
      </w:pPr>
      <w:r w:rsidRPr="008E11C5">
        <w:rPr>
          <w:rFonts w:hint="eastAsia"/>
        </w:rPr>
        <w:t>（</w:t>
      </w:r>
      <w:r w:rsidRPr="008E11C5">
        <w:t>1）</w:t>
      </w:r>
      <w:r>
        <w:rPr>
          <w:rFonts w:hint="eastAsia"/>
        </w:rPr>
        <w:t>当城镇发展变化较快，整体土地条件发生较大变化时，应进行区域整体的</w:t>
      </w:r>
      <w:r>
        <w:rPr>
          <w:rFonts w:hint="eastAsia"/>
        </w:rPr>
        <w:lastRenderedPageBreak/>
        <w:t>全面更新。</w:t>
      </w:r>
    </w:p>
    <w:p w14:paraId="4A4BEBC7" w14:textId="77777777" w:rsidR="00495C65" w:rsidRDefault="00495C65" w:rsidP="00495C65">
      <w:pPr>
        <w:pStyle w:val="13"/>
      </w:pPr>
      <w:r w:rsidRPr="00F01982">
        <w:rPr>
          <w:rFonts w:hint="eastAsia"/>
        </w:rPr>
        <w:t>（</w:t>
      </w:r>
      <w:r>
        <w:t>2</w:t>
      </w:r>
      <w:r w:rsidRPr="00F01982">
        <w:t>）</w:t>
      </w:r>
      <w:r>
        <w:rPr>
          <w:rFonts w:hint="eastAsia"/>
        </w:rPr>
        <w:t>当城镇发展比较稳定，仅局部土地条件发生较大变化时，可只进行局部更新。</w:t>
      </w:r>
    </w:p>
    <w:p w14:paraId="5DA10DAE" w14:textId="77777777" w:rsidR="00495C65" w:rsidRDefault="00495C65" w:rsidP="00495C65">
      <w:pPr>
        <w:pStyle w:val="13"/>
      </w:pPr>
      <w:r w:rsidRPr="00F01982">
        <w:rPr>
          <w:rFonts w:hint="eastAsia"/>
        </w:rPr>
        <w:t>（</w:t>
      </w:r>
      <w:r>
        <w:t>3</w:t>
      </w:r>
      <w:r w:rsidRPr="00F01982">
        <w:t>）</w:t>
      </w:r>
      <w:r>
        <w:rPr>
          <w:rFonts w:hint="eastAsia"/>
        </w:rPr>
        <w:t>当土地级别变化时，应更新级别基准地价。</w:t>
      </w:r>
    </w:p>
    <w:p w14:paraId="0696A4A1" w14:textId="77777777" w:rsidR="00495C65" w:rsidRDefault="00495C65" w:rsidP="00495C65">
      <w:pPr>
        <w:pStyle w:val="13"/>
      </w:pPr>
      <w:r w:rsidRPr="00F01982">
        <w:t>7.9.</w:t>
      </w:r>
      <w:r>
        <w:t>3</w:t>
      </w:r>
      <w:r>
        <w:rPr>
          <w:rFonts w:hint="eastAsia"/>
        </w:rPr>
        <w:t>技术途径</w:t>
      </w:r>
    </w:p>
    <w:p w14:paraId="5C3674DA" w14:textId="77777777" w:rsidR="00495C65" w:rsidRDefault="00495C65" w:rsidP="00495C65">
      <w:pPr>
        <w:pStyle w:val="13"/>
      </w:pPr>
      <w:r w:rsidRPr="00F01982">
        <w:t>7.9.3</w:t>
      </w:r>
      <w:r>
        <w:t>.1</w:t>
      </w:r>
      <w:r>
        <w:rPr>
          <w:rFonts w:hint="eastAsia"/>
        </w:rPr>
        <w:t>全面更新基准地价的技术途径</w:t>
      </w:r>
    </w:p>
    <w:p w14:paraId="302DAA29" w14:textId="77777777" w:rsidR="00495C65" w:rsidRDefault="00495C65" w:rsidP="00495C65">
      <w:pPr>
        <w:pStyle w:val="13"/>
      </w:pPr>
      <w:r>
        <w:rPr>
          <w:rFonts w:hint="eastAsia"/>
        </w:rPr>
        <w:t>参照</w:t>
      </w:r>
      <w:r>
        <w:t>4.1.2。</w:t>
      </w:r>
    </w:p>
    <w:p w14:paraId="62E5AE00" w14:textId="77777777" w:rsidR="00495C65" w:rsidRDefault="00495C65" w:rsidP="00495C65">
      <w:pPr>
        <w:pStyle w:val="13"/>
      </w:pPr>
      <w:r w:rsidRPr="00971454">
        <w:t>7.9.3.</w:t>
      </w:r>
      <w:r>
        <w:t>2</w:t>
      </w:r>
      <w:r>
        <w:rPr>
          <w:rFonts w:hint="eastAsia"/>
        </w:rPr>
        <w:t>局部更新基准地价的技术途径</w:t>
      </w:r>
    </w:p>
    <w:p w14:paraId="20511E4D" w14:textId="77777777" w:rsidR="00495C65" w:rsidRDefault="00495C65" w:rsidP="00495C65">
      <w:pPr>
        <w:pStyle w:val="13"/>
      </w:pPr>
      <w:r>
        <w:rPr>
          <w:rFonts w:hint="eastAsia"/>
        </w:rPr>
        <w:t>技术途径如下：</w:t>
      </w:r>
    </w:p>
    <w:p w14:paraId="630443D1" w14:textId="77777777" w:rsidR="00495C65" w:rsidRDefault="00495C65" w:rsidP="00495C65">
      <w:pPr>
        <w:pStyle w:val="13"/>
      </w:pPr>
      <w:r>
        <w:rPr>
          <w:rFonts w:hint="eastAsia"/>
        </w:rPr>
        <w:t>（1）以土地条件变化分析为基础，以市场交易地价资料为依据，更新基准地价。</w:t>
      </w:r>
    </w:p>
    <w:p w14:paraId="35AA8C95" w14:textId="77777777" w:rsidR="00495C65" w:rsidRDefault="00495C65" w:rsidP="00495C65">
      <w:pPr>
        <w:pStyle w:val="13"/>
      </w:pPr>
      <w:r w:rsidRPr="005C62CB">
        <w:rPr>
          <w:rFonts w:hint="eastAsia"/>
        </w:rPr>
        <w:t>（</w:t>
      </w:r>
      <w:r>
        <w:t>2</w:t>
      </w:r>
      <w:r w:rsidRPr="005C62CB">
        <w:t>）</w:t>
      </w:r>
      <w:r>
        <w:rPr>
          <w:rFonts w:hint="eastAsia"/>
        </w:rPr>
        <w:t>以土地条件变化分析为基础，以地价指数为依据，更新基准地价。</w:t>
      </w:r>
    </w:p>
    <w:p w14:paraId="6ADFF9EE" w14:textId="77777777" w:rsidR="00495C65" w:rsidRDefault="00495C65" w:rsidP="00495C65">
      <w:pPr>
        <w:pStyle w:val="13"/>
      </w:pPr>
      <w:r w:rsidRPr="005C62CB">
        <w:rPr>
          <w:rFonts w:hint="eastAsia"/>
        </w:rPr>
        <w:t>（</w:t>
      </w:r>
      <w:r>
        <w:t>3</w:t>
      </w:r>
      <w:r w:rsidRPr="005C62CB">
        <w:t>）</w:t>
      </w:r>
      <w:r>
        <w:rPr>
          <w:rFonts w:hint="eastAsia"/>
        </w:rPr>
        <w:t>以土地条件变化分析为基础，以土地收益为依据，以市场交易地价资料或地价指数为参考，更新基准地价。</w:t>
      </w:r>
    </w:p>
    <w:p w14:paraId="2D841C71" w14:textId="77777777" w:rsidR="00495C65" w:rsidRDefault="00495C65" w:rsidP="00495C65">
      <w:pPr>
        <w:pStyle w:val="13"/>
      </w:pPr>
      <w:r w:rsidRPr="005C62CB">
        <w:t>7.9.</w:t>
      </w:r>
      <w:r>
        <w:t>4</w:t>
      </w:r>
      <w:r>
        <w:rPr>
          <w:rFonts w:hint="eastAsia"/>
        </w:rPr>
        <w:t>更新方法</w:t>
      </w:r>
    </w:p>
    <w:p w14:paraId="4043F3FE" w14:textId="77777777" w:rsidR="00495C65" w:rsidRDefault="00495C65" w:rsidP="00495C65">
      <w:pPr>
        <w:pStyle w:val="13"/>
      </w:pPr>
      <w:r w:rsidRPr="00ED70CB">
        <w:t>7.9.4</w:t>
      </w:r>
      <w:r>
        <w:t>.1</w:t>
      </w:r>
      <w:r>
        <w:rPr>
          <w:rFonts w:hint="eastAsia"/>
        </w:rPr>
        <w:t>利用市场交易资料和土地收益资料更新基准地价</w:t>
      </w:r>
    </w:p>
    <w:p w14:paraId="09F4220E" w14:textId="77777777" w:rsidR="00495C65" w:rsidRDefault="00495C65" w:rsidP="00495C65">
      <w:pPr>
        <w:pStyle w:val="13"/>
      </w:pPr>
      <w:r>
        <w:rPr>
          <w:rFonts w:hint="eastAsia"/>
        </w:rPr>
        <w:t>方法和步骤与评估基准地价的方法步骤相同，具体参见</w:t>
      </w:r>
      <w:r>
        <w:t>7.5.和7.6中的规定。</w:t>
      </w:r>
    </w:p>
    <w:p w14:paraId="75CB3133" w14:textId="77777777" w:rsidR="00495C65" w:rsidRDefault="00495C65" w:rsidP="00495C65">
      <w:pPr>
        <w:pStyle w:val="13"/>
      </w:pPr>
      <w:r w:rsidRPr="00741164">
        <w:t>7.9.4.</w:t>
      </w:r>
      <w:r>
        <w:t>2</w:t>
      </w:r>
      <w:r>
        <w:rPr>
          <w:rFonts w:hint="eastAsia"/>
        </w:rPr>
        <w:t>用地价指数更新基准地价</w:t>
      </w:r>
    </w:p>
    <w:p w14:paraId="0F2B61A0" w14:textId="77777777" w:rsidR="00495C65" w:rsidRDefault="00495C65" w:rsidP="00495C65">
      <w:pPr>
        <w:pStyle w:val="13"/>
      </w:pPr>
      <w:r>
        <w:rPr>
          <w:rFonts w:hint="eastAsia"/>
        </w:rPr>
        <w:t>用地价指数更新基准地价的基本公式见式（</w:t>
      </w:r>
      <w:r>
        <w:t>54）：</w:t>
      </w:r>
    </w:p>
    <w:p w14:paraId="0E4CE06A" w14:textId="77777777" w:rsidR="00495C65" w:rsidRPr="00FE7BD9" w:rsidRDefault="00495C65" w:rsidP="00495C65">
      <w:pPr>
        <w:spacing w:before="197"/>
        <w:ind w:left="3473"/>
        <w:rPr>
          <w:rFonts w:ascii="宋体" w:hAnsi="宋体"/>
          <w:iCs/>
          <w:position w:val="1"/>
          <w:sz w:val="24"/>
        </w:rPr>
      </w:pPr>
      <w:r w:rsidRPr="00B1284C">
        <w:rPr>
          <w:rFonts w:ascii="宋体" w:hAnsi="宋体"/>
          <w:i/>
          <w:position w:val="1"/>
          <w:sz w:val="24"/>
        </w:rPr>
        <w:t>P=P</w:t>
      </w:r>
      <w:r w:rsidRPr="00B1284C">
        <w:rPr>
          <w:rFonts w:ascii="宋体" w:hAnsi="宋体"/>
          <w:i/>
          <w:position w:val="1"/>
          <w:sz w:val="24"/>
          <w:vertAlign w:val="subscript"/>
        </w:rPr>
        <w:t>0</w:t>
      </w:r>
      <w:r w:rsidRPr="00B1284C">
        <w:rPr>
          <w:rFonts w:ascii="宋体" w:hAnsi="宋体"/>
          <w:i/>
          <w:position w:val="1"/>
          <w:sz w:val="24"/>
        </w:rPr>
        <w:t>×Q/Q</w:t>
      </w:r>
      <w:r w:rsidRPr="00B1284C">
        <w:rPr>
          <w:rFonts w:ascii="宋体" w:hAnsi="宋体"/>
          <w:i/>
          <w:position w:val="1"/>
          <w:sz w:val="24"/>
          <w:vertAlign w:val="subscript"/>
        </w:rPr>
        <w:t>0</w:t>
      </w:r>
      <w:r>
        <w:rPr>
          <w:rFonts w:ascii="宋体" w:hAnsi="宋体"/>
          <w:i/>
          <w:position w:val="1"/>
          <w:sz w:val="24"/>
        </w:rPr>
        <w:t xml:space="preserve">                               </w:t>
      </w:r>
      <w:r w:rsidRPr="00FE7BD9">
        <w:rPr>
          <w:rFonts w:ascii="宋体" w:hAnsi="宋体"/>
          <w:iCs/>
          <w:position w:val="1"/>
          <w:sz w:val="24"/>
        </w:rPr>
        <w:t>（54）</w:t>
      </w:r>
    </w:p>
    <w:p w14:paraId="3649F935" w14:textId="77777777" w:rsidR="00495C65" w:rsidRDefault="00495C65" w:rsidP="00495C65">
      <w:pPr>
        <w:pStyle w:val="13"/>
      </w:pPr>
      <w:r>
        <w:rPr>
          <w:rFonts w:hint="eastAsia"/>
        </w:rPr>
        <w:t>式中：</w:t>
      </w:r>
    </w:p>
    <w:p w14:paraId="4EEA30A8" w14:textId="77777777" w:rsidR="00495C65" w:rsidRDefault="00495C65" w:rsidP="00495C65">
      <w:pPr>
        <w:pStyle w:val="13"/>
        <w:ind w:firstLineChars="500" w:firstLine="1200"/>
      </w:pPr>
      <w:r w:rsidRPr="00591197">
        <w:rPr>
          <w:i/>
          <w:iCs/>
        </w:rPr>
        <w:t>P</w:t>
      </w:r>
      <w:proofErr w:type="gramStart"/>
      <w:r>
        <w:t>—该区域</w:t>
      </w:r>
      <w:proofErr w:type="gramEnd"/>
      <w:r>
        <w:t>（级别）某类用地更新后的基准地价；</w:t>
      </w:r>
    </w:p>
    <w:p w14:paraId="09598509" w14:textId="77777777" w:rsidR="00495C65" w:rsidRDefault="00495C65" w:rsidP="00495C65">
      <w:pPr>
        <w:pStyle w:val="13"/>
        <w:ind w:firstLineChars="500" w:firstLine="1200"/>
      </w:pPr>
      <w:r w:rsidRPr="00591197">
        <w:rPr>
          <w:i/>
          <w:iCs/>
        </w:rPr>
        <w:t>P</w:t>
      </w:r>
      <w:r w:rsidRPr="00591197">
        <w:rPr>
          <w:i/>
          <w:iCs/>
          <w:vertAlign w:val="subscript"/>
        </w:rPr>
        <w:t>0</w:t>
      </w:r>
      <w:proofErr w:type="gramStart"/>
      <w:r>
        <w:t>—该区域</w:t>
      </w:r>
      <w:proofErr w:type="gramEnd"/>
      <w:r>
        <w:t>（级别）某类用地更新前基准地价；</w:t>
      </w:r>
    </w:p>
    <w:p w14:paraId="4A51623E" w14:textId="77777777" w:rsidR="00495C65" w:rsidRDefault="00495C65" w:rsidP="00495C65">
      <w:pPr>
        <w:pStyle w:val="13"/>
        <w:ind w:firstLineChars="500" w:firstLine="1200"/>
      </w:pPr>
      <w:r w:rsidRPr="00591197">
        <w:rPr>
          <w:i/>
          <w:iCs/>
        </w:rPr>
        <w:t>Q</w:t>
      </w:r>
      <w:proofErr w:type="gramStart"/>
      <w:r>
        <w:t>—该区域</w:t>
      </w:r>
      <w:proofErr w:type="gramEnd"/>
      <w:r>
        <w:t>（级别）某类用地基准地价更新期地价指数；</w:t>
      </w:r>
    </w:p>
    <w:p w14:paraId="2F32B24D" w14:textId="77777777" w:rsidR="00495C65" w:rsidRDefault="00495C65" w:rsidP="00495C65">
      <w:pPr>
        <w:pStyle w:val="13"/>
        <w:ind w:firstLineChars="500" w:firstLine="1200"/>
      </w:pPr>
      <w:r w:rsidRPr="00591197">
        <w:rPr>
          <w:i/>
          <w:iCs/>
        </w:rPr>
        <w:t>Q</w:t>
      </w:r>
      <w:r w:rsidRPr="00591197">
        <w:rPr>
          <w:i/>
          <w:iCs/>
          <w:vertAlign w:val="subscript"/>
        </w:rPr>
        <w:t>0</w:t>
      </w:r>
      <w:proofErr w:type="gramStart"/>
      <w:r>
        <w:t>—该区域</w:t>
      </w:r>
      <w:proofErr w:type="gramEnd"/>
      <w:r>
        <w:t>（级别）某类用地基准地价评估期地价指数。</w:t>
      </w:r>
    </w:p>
    <w:p w14:paraId="46EEFC47" w14:textId="77777777" w:rsidR="00495C65" w:rsidRDefault="00495C65" w:rsidP="00495C65">
      <w:pPr>
        <w:pStyle w:val="13"/>
      </w:pPr>
      <w:r>
        <w:rPr>
          <w:rFonts w:hint="eastAsia"/>
        </w:rPr>
        <w:t>地价指数的编制应符合</w:t>
      </w:r>
      <w:r>
        <w:t>TD/T1009-2007的有关要求。</w:t>
      </w:r>
    </w:p>
    <w:p w14:paraId="5951147F" w14:textId="77777777" w:rsidR="00495C65" w:rsidRDefault="00495C65" w:rsidP="00495C65">
      <w:pPr>
        <w:pStyle w:val="13"/>
      </w:pPr>
      <w:r>
        <w:t>7.9.5</w:t>
      </w:r>
      <w:r>
        <w:rPr>
          <w:rFonts w:hint="eastAsia"/>
        </w:rPr>
        <w:t>更新基准地价修正系数表</w:t>
      </w:r>
    </w:p>
    <w:p w14:paraId="168C2AC6" w14:textId="77777777" w:rsidR="00495C65" w:rsidRDefault="00495C65" w:rsidP="00495C65">
      <w:pPr>
        <w:pStyle w:val="13"/>
      </w:pPr>
      <w:r>
        <w:rPr>
          <w:rFonts w:hint="eastAsia"/>
        </w:rPr>
        <w:t>更新基准地价修正系数表，应重新审定宗地地价影响因素及各因素影响宗地地价的权重。更新方法与编制基准地价修正系数表相同。</w:t>
      </w:r>
    </w:p>
    <w:p w14:paraId="1A51B138" w14:textId="77777777" w:rsidR="00495C65" w:rsidRDefault="00495C65" w:rsidP="00495C65">
      <w:pPr>
        <w:pStyle w:val="ab"/>
        <w:spacing w:before="62" w:after="62"/>
        <w:ind w:firstLine="482"/>
      </w:pPr>
      <w:r>
        <w:rPr>
          <w:rFonts w:hint="eastAsia"/>
        </w:rPr>
        <w:t>7</w:t>
      </w:r>
      <w:r>
        <w:t>.10</w:t>
      </w:r>
      <w:r>
        <w:rPr>
          <w:rFonts w:hint="eastAsia"/>
        </w:rPr>
        <w:t>基准地价成果整理</w:t>
      </w:r>
    </w:p>
    <w:p w14:paraId="4B08692A" w14:textId="77777777" w:rsidR="00495C65" w:rsidRDefault="00495C65" w:rsidP="00495C65">
      <w:pPr>
        <w:pStyle w:val="13"/>
      </w:pPr>
      <w:r w:rsidRPr="00291723">
        <w:t>7.10</w:t>
      </w:r>
      <w:r>
        <w:t>.1</w:t>
      </w:r>
      <w:r>
        <w:rPr>
          <w:rFonts w:hint="eastAsia"/>
        </w:rPr>
        <w:t>一般要求</w:t>
      </w:r>
    </w:p>
    <w:p w14:paraId="1CB75676" w14:textId="77777777" w:rsidR="00495C65" w:rsidRDefault="00495C65" w:rsidP="00495C65">
      <w:pPr>
        <w:pStyle w:val="13"/>
      </w:pPr>
      <w:r>
        <w:rPr>
          <w:rFonts w:hint="eastAsia"/>
        </w:rPr>
        <w:t>要求如下：</w:t>
      </w:r>
    </w:p>
    <w:p w14:paraId="407CBD6A" w14:textId="77777777" w:rsidR="00495C65" w:rsidRDefault="00495C65" w:rsidP="00495C65">
      <w:pPr>
        <w:pStyle w:val="13"/>
      </w:pPr>
      <w:r>
        <w:rPr>
          <w:rFonts w:hint="eastAsia"/>
        </w:rPr>
        <w:t>（1）基准地价成果整理包括基准地价图、基准地价表、基准地价修正系数表及其他相关图表、基准地价数据库、基准地价评估报告的整理，成果应完整齐全；</w:t>
      </w:r>
    </w:p>
    <w:p w14:paraId="0C7B6F77" w14:textId="77777777" w:rsidR="00495C65" w:rsidRDefault="00495C65" w:rsidP="00495C65">
      <w:pPr>
        <w:pStyle w:val="13"/>
      </w:pPr>
      <w:r w:rsidRPr="001A6BC5">
        <w:rPr>
          <w:rFonts w:hint="eastAsia"/>
        </w:rPr>
        <w:lastRenderedPageBreak/>
        <w:t>（</w:t>
      </w:r>
      <w:r>
        <w:t>2</w:t>
      </w:r>
      <w:r w:rsidRPr="001A6BC5">
        <w:t>）</w:t>
      </w:r>
      <w:r>
        <w:rPr>
          <w:rFonts w:hint="eastAsia"/>
        </w:rPr>
        <w:t>基准地价成果整理应方法得当，表示方式正确；</w:t>
      </w:r>
    </w:p>
    <w:p w14:paraId="766FE78B" w14:textId="77777777" w:rsidR="00495C65" w:rsidRDefault="00495C65" w:rsidP="00495C65">
      <w:pPr>
        <w:pStyle w:val="13"/>
      </w:pPr>
      <w:r w:rsidRPr="001A6BC5">
        <w:rPr>
          <w:rFonts w:hint="eastAsia"/>
        </w:rPr>
        <w:t>（</w:t>
      </w:r>
      <w:r>
        <w:t>3</w:t>
      </w:r>
      <w:r w:rsidRPr="001A6BC5">
        <w:t>）</w:t>
      </w:r>
      <w:r>
        <w:rPr>
          <w:rFonts w:hint="eastAsia"/>
        </w:rPr>
        <w:t>图件成果整理应符合图件编制的一般要求，图件比例尺与土地级别图比例尺一致；</w:t>
      </w:r>
    </w:p>
    <w:p w14:paraId="3E12ABFE" w14:textId="77777777" w:rsidR="00495C65" w:rsidRDefault="00495C65" w:rsidP="00495C65">
      <w:pPr>
        <w:pStyle w:val="13"/>
      </w:pPr>
      <w:r w:rsidRPr="001A6BC5">
        <w:rPr>
          <w:rFonts w:hint="eastAsia"/>
        </w:rPr>
        <w:t>（</w:t>
      </w:r>
      <w:r>
        <w:t>4</w:t>
      </w:r>
      <w:r w:rsidRPr="001A6BC5">
        <w:t>）</w:t>
      </w:r>
      <w:r>
        <w:rPr>
          <w:rFonts w:hint="eastAsia"/>
        </w:rPr>
        <w:t>基准地价图应采用计算机编制。</w:t>
      </w:r>
    </w:p>
    <w:p w14:paraId="6D5D09B6" w14:textId="77777777" w:rsidR="00495C65" w:rsidRDefault="00495C65" w:rsidP="00495C65">
      <w:pPr>
        <w:pStyle w:val="13"/>
      </w:pPr>
      <w:r w:rsidRPr="004D439F">
        <w:t>7.10.</w:t>
      </w:r>
      <w:r>
        <w:t>2</w:t>
      </w:r>
      <w:r>
        <w:rPr>
          <w:rFonts w:hint="eastAsia"/>
        </w:rPr>
        <w:t>基准地价图的整理</w:t>
      </w:r>
    </w:p>
    <w:p w14:paraId="254A6E2D" w14:textId="77777777" w:rsidR="00495C65" w:rsidRDefault="00495C65" w:rsidP="00495C65">
      <w:pPr>
        <w:pStyle w:val="13"/>
      </w:pPr>
      <w:r w:rsidRPr="004D439F">
        <w:t>7.10.2</w:t>
      </w:r>
      <w:r>
        <w:t>.1</w:t>
      </w:r>
      <w:r>
        <w:rPr>
          <w:rFonts w:hint="eastAsia"/>
        </w:rPr>
        <w:t>基本内容</w:t>
      </w:r>
    </w:p>
    <w:p w14:paraId="33716CEB" w14:textId="77777777" w:rsidR="00495C65" w:rsidRDefault="00495C65" w:rsidP="00495C65">
      <w:pPr>
        <w:pStyle w:val="13"/>
      </w:pPr>
      <w:r>
        <w:rPr>
          <w:rFonts w:hint="eastAsia"/>
        </w:rPr>
        <w:t>要求如下：</w:t>
      </w:r>
    </w:p>
    <w:p w14:paraId="216C5288" w14:textId="77777777" w:rsidR="00495C65" w:rsidRDefault="00495C65" w:rsidP="00495C65">
      <w:pPr>
        <w:pStyle w:val="13"/>
      </w:pPr>
      <w:r>
        <w:rPr>
          <w:rFonts w:hint="eastAsia"/>
        </w:rPr>
        <w:t>（1）基准地价图应直观反映不同级别或区段各类用地基准地价及范围界线、位置和与地价高低有关的城镇道路、土地用途等。基准地价图的相关要素通过不同的图斑、色调、注记等来反映。</w:t>
      </w:r>
    </w:p>
    <w:p w14:paraId="53A6F91B" w14:textId="77777777" w:rsidR="00495C65" w:rsidRDefault="00495C65" w:rsidP="00495C65">
      <w:pPr>
        <w:pStyle w:val="13"/>
      </w:pPr>
      <w:r w:rsidRPr="009B33C0">
        <w:rPr>
          <w:rFonts w:hint="eastAsia"/>
        </w:rPr>
        <w:t>（</w:t>
      </w:r>
      <w:r>
        <w:t>2</w:t>
      </w:r>
      <w:r w:rsidRPr="009B33C0">
        <w:t>）</w:t>
      </w:r>
      <w:r>
        <w:rPr>
          <w:rFonts w:hint="eastAsia"/>
        </w:rPr>
        <w:t>编图前，应将基准地价成果分类整理，确定编图工作程序、编绘内容和编制方法。</w:t>
      </w:r>
    </w:p>
    <w:p w14:paraId="47AF6882" w14:textId="77777777" w:rsidR="00495C65" w:rsidRDefault="00495C65" w:rsidP="00495C65">
      <w:pPr>
        <w:pStyle w:val="13"/>
      </w:pPr>
      <w:r w:rsidRPr="006D1DE3">
        <w:rPr>
          <w:rFonts w:hint="eastAsia"/>
        </w:rPr>
        <w:t>（</w:t>
      </w:r>
      <w:r>
        <w:t>3</w:t>
      </w:r>
      <w:r w:rsidRPr="006D1DE3">
        <w:t>）</w:t>
      </w:r>
      <w:r>
        <w:rPr>
          <w:rFonts w:hint="eastAsia"/>
        </w:rPr>
        <w:t>地价区段为最小制图单元，最小上图</w:t>
      </w:r>
      <w:proofErr w:type="gramStart"/>
      <w:r>
        <w:rPr>
          <w:rFonts w:hint="eastAsia"/>
        </w:rPr>
        <w:t>图</w:t>
      </w:r>
      <w:proofErr w:type="gramEnd"/>
      <w:r>
        <w:rPr>
          <w:rFonts w:hint="eastAsia"/>
        </w:rPr>
        <w:t>斑为１</w:t>
      </w:r>
      <w:r>
        <w:t>cm</w:t>
      </w:r>
      <w:r w:rsidRPr="002756F5">
        <w:rPr>
          <w:vertAlign w:val="superscript"/>
        </w:rPr>
        <w:t>2</w:t>
      </w:r>
      <w:r>
        <w:t>。城镇中商服中心区的地价</w:t>
      </w:r>
      <w:r>
        <w:rPr>
          <w:rFonts w:hint="eastAsia"/>
        </w:rPr>
        <w:t>最高点或区段，可不依比例单独表示。</w:t>
      </w:r>
    </w:p>
    <w:p w14:paraId="2F492C0D" w14:textId="77777777" w:rsidR="00495C65" w:rsidRDefault="00495C65" w:rsidP="00495C65">
      <w:pPr>
        <w:pStyle w:val="13"/>
      </w:pPr>
      <w:r w:rsidRPr="00945F8C">
        <w:rPr>
          <w:rFonts w:hint="eastAsia"/>
        </w:rPr>
        <w:t>（</w:t>
      </w:r>
      <w:r>
        <w:t>4</w:t>
      </w:r>
      <w:r w:rsidRPr="00945F8C">
        <w:t>）</w:t>
      </w:r>
      <w:r>
        <w:rPr>
          <w:rFonts w:hint="eastAsia"/>
        </w:rPr>
        <w:t>将定级成果和基准地价成果用图示、符号、注记等标注在图上。</w:t>
      </w:r>
    </w:p>
    <w:p w14:paraId="252BCCFC" w14:textId="77777777" w:rsidR="00495C65" w:rsidRDefault="00495C65" w:rsidP="00495C65">
      <w:pPr>
        <w:pStyle w:val="13"/>
      </w:pPr>
      <w:r>
        <w:rPr>
          <w:rFonts w:hint="eastAsia"/>
        </w:rPr>
        <w:t>1）“级”用大写罗马数字“Ⅰ、Ⅱ、Ⅲ……”分别表示“一级、二级、三级……”</w:t>
      </w:r>
      <w:r>
        <w:t>。均质地域编号用阿拉伯数字表示。</w:t>
      </w:r>
    </w:p>
    <w:p w14:paraId="1C63A65B" w14:textId="77777777" w:rsidR="00495C65" w:rsidRDefault="00495C65" w:rsidP="00495C65">
      <w:pPr>
        <w:pStyle w:val="13"/>
      </w:pPr>
      <w:r>
        <w:t>2</w:t>
      </w:r>
      <w:r w:rsidRPr="0060306F">
        <w:t>）</w:t>
      </w:r>
      <w:r>
        <w:rPr>
          <w:rFonts w:hint="eastAsia"/>
        </w:rPr>
        <w:t>用地类型用汉字“商、住、工”分别表示“商服用地、住宅用地、工业用地”，字体为等线体。</w:t>
      </w:r>
    </w:p>
    <w:p w14:paraId="35F1BD7D" w14:textId="77777777" w:rsidR="00495C65" w:rsidRDefault="00495C65" w:rsidP="00495C65">
      <w:pPr>
        <w:pStyle w:val="13"/>
      </w:pPr>
      <w:r>
        <w:t>3</w:t>
      </w:r>
      <w:r w:rsidRPr="0060306F">
        <w:t>）</w:t>
      </w:r>
      <w:r>
        <w:rPr>
          <w:rFonts w:hint="eastAsia"/>
        </w:rPr>
        <w:t>基准</w:t>
      </w:r>
      <w:proofErr w:type="gramStart"/>
      <w:r>
        <w:rPr>
          <w:rFonts w:hint="eastAsia"/>
        </w:rPr>
        <w:t>地价额用阿拉伯数字</w:t>
      </w:r>
      <w:proofErr w:type="gramEnd"/>
      <w:r>
        <w:rPr>
          <w:rFonts w:hint="eastAsia"/>
        </w:rPr>
        <w:t>标注在级别（均质地域）和用地类型之后，单位为元</w:t>
      </w:r>
      <w:r>
        <w:t>/</w:t>
      </w:r>
      <w:r>
        <w:rPr>
          <w:rFonts w:hint="eastAsia"/>
        </w:rPr>
        <w:t>平方米，整个符号如：</w:t>
      </w:r>
    </w:p>
    <w:p w14:paraId="15FF2261" w14:textId="77777777" w:rsidR="00495C65" w:rsidRDefault="00495C65" w:rsidP="00495C65">
      <w:pPr>
        <w:pStyle w:val="13"/>
        <w:jc w:val="center"/>
      </w:pPr>
      <w:r>
        <w:rPr>
          <w:rFonts w:hint="eastAsia"/>
        </w:rPr>
        <w:t>商服</w:t>
      </w:r>
      <w:r>
        <w:t xml:space="preserve"> 3000</w:t>
      </w:r>
      <w:r>
        <w:tab/>
      </w:r>
      <w:r>
        <w:tab/>
      </w:r>
      <w:r>
        <w:tab/>
      </w:r>
      <w:r>
        <w:tab/>
        <w:t>商服 2000∽4000</w:t>
      </w:r>
    </w:p>
    <w:p w14:paraId="77D69F07" w14:textId="77777777" w:rsidR="00495C65" w:rsidRDefault="00495C65" w:rsidP="00495C65">
      <w:pPr>
        <w:pStyle w:val="13"/>
        <w:jc w:val="center"/>
      </w:pPr>
      <w:r>
        <w:rPr>
          <w:rFonts w:hint="eastAsia"/>
        </w:rPr>
        <w:t>Ⅱ</w:t>
      </w:r>
      <w:r>
        <w:t xml:space="preserve"> 住宅 950</w:t>
      </w:r>
      <w:r>
        <w:tab/>
      </w:r>
      <w:r>
        <w:tab/>
        <w:t>或Ⅱ 住宅 900∽1100</w:t>
      </w:r>
    </w:p>
    <w:p w14:paraId="7F9FCDCB" w14:textId="77777777" w:rsidR="00495C65" w:rsidRDefault="00495C65" w:rsidP="00495C65">
      <w:pPr>
        <w:pStyle w:val="13"/>
        <w:jc w:val="center"/>
      </w:pPr>
      <w:r>
        <w:rPr>
          <w:rFonts w:hint="eastAsia"/>
        </w:rPr>
        <w:t>工业</w:t>
      </w:r>
      <w:r>
        <w:t xml:space="preserve"> 375</w:t>
      </w:r>
      <w:r>
        <w:tab/>
      </w:r>
      <w:r>
        <w:tab/>
      </w:r>
      <w:r>
        <w:tab/>
      </w:r>
      <w:r>
        <w:tab/>
        <w:t>工业 200∽500</w:t>
      </w:r>
    </w:p>
    <w:p w14:paraId="30A6E77F" w14:textId="77777777" w:rsidR="00495C65" w:rsidRDefault="00495C65" w:rsidP="00495C65">
      <w:pPr>
        <w:pStyle w:val="13"/>
      </w:pPr>
      <w:r>
        <w:t>4）地价级别或区段边界用实线表示。</w:t>
      </w:r>
    </w:p>
    <w:p w14:paraId="0E0BCBA1" w14:textId="77777777" w:rsidR="00495C65" w:rsidRDefault="00495C65" w:rsidP="00495C65">
      <w:pPr>
        <w:pStyle w:val="13"/>
      </w:pPr>
      <w:r>
        <w:rPr>
          <w:rFonts w:hint="eastAsia"/>
        </w:rPr>
        <w:t>（5）基准地价图上应表示城镇中与土地区位和利用有关的主要道路，主次干道用双实线，支路用单实线表示。</w:t>
      </w:r>
    </w:p>
    <w:p w14:paraId="758FA6D1" w14:textId="77777777" w:rsidR="00495C65" w:rsidRDefault="00495C65" w:rsidP="00495C65">
      <w:pPr>
        <w:pStyle w:val="13"/>
      </w:pPr>
      <w:r w:rsidRPr="00B8228E">
        <w:rPr>
          <w:rFonts w:hint="eastAsia"/>
        </w:rPr>
        <w:t>（</w:t>
      </w:r>
      <w:r>
        <w:t>6</w:t>
      </w:r>
      <w:r w:rsidRPr="00B8228E">
        <w:t>）</w:t>
      </w:r>
      <w:r>
        <w:rPr>
          <w:rFonts w:hint="eastAsia"/>
        </w:rPr>
        <w:t>表示土地利用类型时，商服业用符号不依比例尺表示各级商服中心，其他土地类型只反映能够上图的图斑。土地利用类型界线用点划线表示，土地分类及图示符号按《地籍调查规程》规定标准执行。</w:t>
      </w:r>
    </w:p>
    <w:p w14:paraId="22FF9D22" w14:textId="77777777" w:rsidR="00495C65" w:rsidRDefault="00495C65" w:rsidP="00495C65">
      <w:pPr>
        <w:pStyle w:val="13"/>
      </w:pPr>
      <w:r w:rsidRPr="00B8228E">
        <w:rPr>
          <w:rFonts w:hint="eastAsia"/>
        </w:rPr>
        <w:t>（</w:t>
      </w:r>
      <w:r>
        <w:t>7</w:t>
      </w:r>
      <w:r w:rsidRPr="00B8228E">
        <w:t>）</w:t>
      </w:r>
      <w:r>
        <w:rPr>
          <w:rFonts w:hint="eastAsia"/>
        </w:rPr>
        <w:t>其他</w:t>
      </w:r>
      <w:proofErr w:type="gramStart"/>
      <w:r>
        <w:rPr>
          <w:rFonts w:hint="eastAsia"/>
        </w:rPr>
        <w:t>应内容</w:t>
      </w:r>
      <w:proofErr w:type="gramEnd"/>
      <w:r>
        <w:rPr>
          <w:rFonts w:hint="eastAsia"/>
        </w:rPr>
        <w:t>尽量简化，图示符号按《地籍调查规程》（</w:t>
      </w:r>
      <w:r>
        <w:t>TD/T1001-2012）规定执行。</w:t>
      </w:r>
    </w:p>
    <w:p w14:paraId="433BE8E9" w14:textId="77777777" w:rsidR="00495C65" w:rsidRDefault="00495C65" w:rsidP="00495C65">
      <w:pPr>
        <w:pStyle w:val="13"/>
      </w:pPr>
      <w:r w:rsidRPr="00062A98">
        <w:rPr>
          <w:rFonts w:hint="eastAsia"/>
        </w:rPr>
        <w:t>（</w:t>
      </w:r>
      <w:r>
        <w:t>8</w:t>
      </w:r>
      <w:r w:rsidRPr="00062A98">
        <w:t>）</w:t>
      </w:r>
      <w:r>
        <w:rPr>
          <w:rFonts w:hint="eastAsia"/>
        </w:rPr>
        <w:t>编绘彩色基准地价图时，图面以暖色为主，</w:t>
      </w:r>
      <w:proofErr w:type="gramStart"/>
      <w:r>
        <w:rPr>
          <w:rFonts w:hint="eastAsia"/>
        </w:rPr>
        <w:t>邻级色差</w:t>
      </w:r>
      <w:proofErr w:type="gramEnd"/>
      <w:r>
        <w:rPr>
          <w:rFonts w:hint="eastAsia"/>
        </w:rPr>
        <w:t>不宜过大。</w:t>
      </w:r>
    </w:p>
    <w:p w14:paraId="6C62F807" w14:textId="77777777" w:rsidR="00495C65" w:rsidRDefault="00495C65" w:rsidP="00495C65">
      <w:pPr>
        <w:pStyle w:val="13"/>
      </w:pPr>
      <w:r w:rsidRPr="00062A98">
        <w:t>7.10.2.</w:t>
      </w:r>
      <w:r>
        <w:t>2</w:t>
      </w:r>
      <w:r>
        <w:rPr>
          <w:rFonts w:hint="eastAsia"/>
        </w:rPr>
        <w:t>基准地价图的清绘与图面</w:t>
      </w:r>
      <w:proofErr w:type="gramStart"/>
      <w:r>
        <w:rPr>
          <w:rFonts w:hint="eastAsia"/>
        </w:rPr>
        <w:t>整饰</w:t>
      </w:r>
      <w:proofErr w:type="gramEnd"/>
    </w:p>
    <w:p w14:paraId="2BD20607" w14:textId="77777777" w:rsidR="00495C65" w:rsidRDefault="00495C65" w:rsidP="00495C65">
      <w:pPr>
        <w:pStyle w:val="13"/>
      </w:pPr>
      <w:r>
        <w:rPr>
          <w:rFonts w:hint="eastAsia"/>
        </w:rPr>
        <w:lastRenderedPageBreak/>
        <w:t>要求如下：</w:t>
      </w:r>
    </w:p>
    <w:p w14:paraId="333DFA28" w14:textId="77777777" w:rsidR="00495C65" w:rsidRDefault="00495C65" w:rsidP="00495C65">
      <w:pPr>
        <w:pStyle w:val="13"/>
      </w:pPr>
      <w:r>
        <w:rPr>
          <w:rFonts w:hint="eastAsia"/>
        </w:rPr>
        <w:t>（1）基准地价图的清绘</w:t>
      </w:r>
    </w:p>
    <w:p w14:paraId="6BB2B289" w14:textId="77777777" w:rsidR="00495C65" w:rsidRDefault="00495C65" w:rsidP="00495C65">
      <w:pPr>
        <w:pStyle w:val="13"/>
      </w:pPr>
      <w:r>
        <w:rPr>
          <w:rFonts w:hint="eastAsia"/>
        </w:rPr>
        <w:t>1）土地级别和地价区段界线分别以线径</w:t>
      </w:r>
      <w:r>
        <w:t>0.4和0.2mm的实线表示。</w:t>
      </w:r>
    </w:p>
    <w:p w14:paraId="41782216" w14:textId="77777777" w:rsidR="00495C65" w:rsidRDefault="00495C65" w:rsidP="00495C65">
      <w:pPr>
        <w:pStyle w:val="13"/>
      </w:pPr>
      <w:r>
        <w:t>2</w:t>
      </w:r>
      <w:r w:rsidRPr="00892CA5">
        <w:t>）</w:t>
      </w:r>
      <w:r>
        <w:rPr>
          <w:rFonts w:hint="eastAsia"/>
        </w:rPr>
        <w:t>主干道用</w:t>
      </w:r>
      <w:r>
        <w:t>0.3mm的双实线表示，次干道用0.2mm的双实线表示，支路用0.3mm</w:t>
      </w:r>
      <w:r>
        <w:rPr>
          <w:rFonts w:hint="eastAsia"/>
        </w:rPr>
        <w:t>的单实线表示。</w:t>
      </w:r>
    </w:p>
    <w:p w14:paraId="38C08A9F" w14:textId="77777777" w:rsidR="00495C65" w:rsidRDefault="00495C65" w:rsidP="00495C65">
      <w:pPr>
        <w:pStyle w:val="13"/>
      </w:pPr>
      <w:r>
        <w:t>3</w:t>
      </w:r>
      <w:r w:rsidRPr="00E92F0B">
        <w:t>）</w:t>
      </w:r>
      <w:r>
        <w:rPr>
          <w:rFonts w:hint="eastAsia"/>
        </w:rPr>
        <w:t>土地利用类型界线用间隔</w:t>
      </w:r>
      <w:r>
        <w:t>0.5mm、线径0.3mm的点划线表示。</w:t>
      </w:r>
    </w:p>
    <w:p w14:paraId="4D92CD6D" w14:textId="77777777" w:rsidR="00495C65" w:rsidRDefault="00495C65" w:rsidP="00495C65">
      <w:pPr>
        <w:pStyle w:val="13"/>
      </w:pPr>
      <w:r>
        <w:t>4</w:t>
      </w:r>
      <w:r w:rsidRPr="00E66717">
        <w:t>）</w:t>
      </w:r>
      <w:r>
        <w:rPr>
          <w:rFonts w:hint="eastAsia"/>
        </w:rPr>
        <w:t>土地级别、地价区段、用地类型、基准地价用注记表示。</w:t>
      </w:r>
    </w:p>
    <w:p w14:paraId="13DFBC5F" w14:textId="77777777" w:rsidR="00495C65" w:rsidRDefault="00495C65" w:rsidP="00495C65">
      <w:pPr>
        <w:pStyle w:val="13"/>
      </w:pPr>
      <w:r>
        <w:t>5</w:t>
      </w:r>
      <w:r w:rsidRPr="00E66717">
        <w:t>）</w:t>
      </w:r>
      <w:r>
        <w:rPr>
          <w:rFonts w:hint="eastAsia"/>
        </w:rPr>
        <w:t>基准地价图图示及图例见图</w:t>
      </w:r>
      <w:r>
        <w:t>C.1。</w:t>
      </w:r>
    </w:p>
    <w:p w14:paraId="094A3FF6" w14:textId="77777777" w:rsidR="00495C65" w:rsidRDefault="00495C65" w:rsidP="00495C65">
      <w:pPr>
        <w:pStyle w:val="13"/>
      </w:pPr>
      <w:r w:rsidRPr="00E57B93">
        <w:rPr>
          <w:rFonts w:hint="eastAsia"/>
        </w:rPr>
        <w:t>（</w:t>
      </w:r>
      <w:r>
        <w:t>2</w:t>
      </w:r>
      <w:r w:rsidRPr="00E57B93">
        <w:t>）</w:t>
      </w:r>
      <w:r>
        <w:rPr>
          <w:rFonts w:hint="eastAsia"/>
        </w:rPr>
        <w:t>图面</w:t>
      </w:r>
      <w:proofErr w:type="gramStart"/>
      <w:r>
        <w:rPr>
          <w:rFonts w:hint="eastAsia"/>
        </w:rPr>
        <w:t>整饰</w:t>
      </w:r>
      <w:proofErr w:type="gramEnd"/>
    </w:p>
    <w:p w14:paraId="008483BB" w14:textId="77777777" w:rsidR="00495C65" w:rsidRDefault="00495C65" w:rsidP="00495C65">
      <w:pPr>
        <w:pStyle w:val="13"/>
      </w:pPr>
      <w:r>
        <w:rPr>
          <w:rFonts w:hint="eastAsia"/>
        </w:rPr>
        <w:t>基准地价图按要求标出级别、用地类型及相应基准地价外，还应按制图规范标出图廓、图名、指北针、图例、比例尺以及制图单位、时间等，样图见图</w:t>
      </w:r>
      <w:r>
        <w:t>C.1。</w:t>
      </w:r>
    </w:p>
    <w:p w14:paraId="76BE5BB8" w14:textId="77777777" w:rsidR="00495C65" w:rsidRDefault="00495C65" w:rsidP="00495C65">
      <w:pPr>
        <w:pStyle w:val="13"/>
      </w:pPr>
      <w:r w:rsidRPr="0060496C">
        <w:t>7.10.</w:t>
      </w:r>
      <w:r>
        <w:t>3</w:t>
      </w:r>
      <w:r>
        <w:rPr>
          <w:rFonts w:hint="eastAsia"/>
        </w:rPr>
        <w:t>基准地价修正系数表的整理</w:t>
      </w:r>
    </w:p>
    <w:p w14:paraId="7FD1AA49" w14:textId="77777777" w:rsidR="00495C65" w:rsidRDefault="00495C65" w:rsidP="00495C65">
      <w:pPr>
        <w:pStyle w:val="13"/>
      </w:pPr>
      <w:r>
        <w:rPr>
          <w:rFonts w:hint="eastAsia"/>
        </w:rPr>
        <w:t>要求如下：</w:t>
      </w:r>
    </w:p>
    <w:p w14:paraId="297EB56C" w14:textId="77777777" w:rsidR="00495C65" w:rsidRDefault="00495C65" w:rsidP="00495C65">
      <w:pPr>
        <w:pStyle w:val="13"/>
      </w:pPr>
      <w:r>
        <w:rPr>
          <w:rFonts w:hint="eastAsia"/>
        </w:rPr>
        <w:t>（1）基准地价修正系数表应直观反映不同级别内各类用地宗地地价的各类影响因素、各因素影响幅度、各因素不同优劣条件对应的影响系数及相应的指标条件，影响幅度和影响强度用百分数表示，指标条件分优、较优、一般、较劣、劣五个层次。</w:t>
      </w:r>
    </w:p>
    <w:p w14:paraId="7D02B04B" w14:textId="77777777" w:rsidR="00495C65" w:rsidRDefault="00495C65" w:rsidP="00495C65">
      <w:pPr>
        <w:pStyle w:val="13"/>
      </w:pPr>
      <w:r w:rsidRPr="00872574">
        <w:rPr>
          <w:rFonts w:hint="eastAsia"/>
        </w:rPr>
        <w:t>（</w:t>
      </w:r>
      <w:r>
        <w:t>2</w:t>
      </w:r>
      <w:r w:rsidRPr="00872574">
        <w:t>）</w:t>
      </w:r>
      <w:r>
        <w:rPr>
          <w:rFonts w:hint="eastAsia"/>
        </w:rPr>
        <w:t>基准地价修正系数表以不同土地级别为单位，区分不同用地类型分别编制。</w:t>
      </w:r>
    </w:p>
    <w:p w14:paraId="6B32390F" w14:textId="77777777" w:rsidR="00495C65" w:rsidRDefault="00495C65" w:rsidP="00495C65">
      <w:pPr>
        <w:pStyle w:val="13"/>
      </w:pPr>
      <w:r w:rsidRPr="00872574">
        <w:t>7.10.</w:t>
      </w:r>
      <w:r>
        <w:t>4</w:t>
      </w:r>
      <w:r>
        <w:rPr>
          <w:rFonts w:hint="eastAsia"/>
        </w:rPr>
        <w:t>其他成果图表的整理</w:t>
      </w:r>
    </w:p>
    <w:p w14:paraId="00C3F28F" w14:textId="77777777" w:rsidR="00495C65" w:rsidRDefault="00495C65" w:rsidP="00495C65">
      <w:pPr>
        <w:pStyle w:val="13"/>
      </w:pPr>
      <w:r w:rsidRPr="00872574">
        <w:t>7.10.4</w:t>
      </w:r>
      <w:r>
        <w:t>.1</w:t>
      </w:r>
      <w:r>
        <w:rPr>
          <w:rFonts w:hint="eastAsia"/>
        </w:rPr>
        <w:t>地价样点图的编制</w:t>
      </w:r>
    </w:p>
    <w:p w14:paraId="783D0008" w14:textId="77777777" w:rsidR="00495C65" w:rsidRDefault="00495C65" w:rsidP="00495C65">
      <w:pPr>
        <w:pStyle w:val="13"/>
      </w:pPr>
      <w:r>
        <w:rPr>
          <w:rFonts w:hint="eastAsia"/>
        </w:rPr>
        <w:t>要求如下：</w:t>
      </w:r>
    </w:p>
    <w:p w14:paraId="573739ED" w14:textId="77777777" w:rsidR="00495C65" w:rsidRDefault="00495C65" w:rsidP="00495C65">
      <w:pPr>
        <w:pStyle w:val="13"/>
      </w:pPr>
      <w:r>
        <w:rPr>
          <w:rFonts w:hint="eastAsia"/>
        </w:rPr>
        <w:t>（1）地价样点图应反映调查到的地价样点位置、土地用途、相应地价及城镇道路等，地价样点图按土地用途分别绘制；</w:t>
      </w:r>
    </w:p>
    <w:p w14:paraId="7CB62A9C" w14:textId="77777777" w:rsidR="00495C65" w:rsidRDefault="00495C65" w:rsidP="00495C65">
      <w:pPr>
        <w:pStyle w:val="13"/>
      </w:pPr>
      <w:r w:rsidRPr="008955CC">
        <w:rPr>
          <w:rFonts w:hint="eastAsia"/>
        </w:rPr>
        <w:t>（</w:t>
      </w:r>
      <w:r>
        <w:t>2</w:t>
      </w:r>
      <w:r w:rsidRPr="008955CC">
        <w:t>）</w:t>
      </w:r>
      <w:r>
        <w:rPr>
          <w:rFonts w:hint="eastAsia"/>
        </w:rPr>
        <w:t>地价样点图比例尺应与土地级别图一致，并保留土地级别图的主要内容；</w:t>
      </w:r>
    </w:p>
    <w:p w14:paraId="738DA9FD" w14:textId="77777777" w:rsidR="00495C65" w:rsidRDefault="00495C65" w:rsidP="00495C65">
      <w:pPr>
        <w:pStyle w:val="13"/>
      </w:pPr>
      <w:r w:rsidRPr="008955CC">
        <w:rPr>
          <w:rFonts w:hint="eastAsia"/>
        </w:rPr>
        <w:t>（</w:t>
      </w:r>
      <w:r>
        <w:t>3</w:t>
      </w:r>
      <w:r w:rsidRPr="008955CC">
        <w:t>）</w:t>
      </w:r>
      <w:r>
        <w:rPr>
          <w:rFonts w:hint="eastAsia"/>
        </w:rPr>
        <w:t>地价样点位置用直径</w:t>
      </w:r>
      <w:r>
        <w:t>2mm的点不依比例尺表示；</w:t>
      </w:r>
    </w:p>
    <w:p w14:paraId="1CBF50EA" w14:textId="77777777" w:rsidR="00495C65" w:rsidRDefault="00495C65" w:rsidP="00495C65">
      <w:pPr>
        <w:pStyle w:val="13"/>
      </w:pPr>
      <w:r w:rsidRPr="008955CC">
        <w:rPr>
          <w:rFonts w:hint="eastAsia"/>
        </w:rPr>
        <w:t>（</w:t>
      </w:r>
      <w:r>
        <w:t>4</w:t>
      </w:r>
      <w:r w:rsidRPr="008955CC">
        <w:t>）</w:t>
      </w:r>
      <w:r>
        <w:rPr>
          <w:rFonts w:hint="eastAsia"/>
        </w:rPr>
        <w:t>土地用途用正等线体汉字“商、住、工”分别</w:t>
      </w:r>
      <w:proofErr w:type="gramStart"/>
      <w:r>
        <w:rPr>
          <w:rFonts w:hint="eastAsia"/>
        </w:rPr>
        <w:t>表示商</w:t>
      </w:r>
      <w:proofErr w:type="gramEnd"/>
      <w:r>
        <w:rPr>
          <w:rFonts w:hint="eastAsia"/>
        </w:rPr>
        <w:t>服、住宅和工业用途；</w:t>
      </w:r>
    </w:p>
    <w:p w14:paraId="728FDA2D" w14:textId="77777777" w:rsidR="00495C65" w:rsidRDefault="00495C65" w:rsidP="00495C65">
      <w:pPr>
        <w:pStyle w:val="13"/>
      </w:pPr>
      <w:r w:rsidRPr="008955CC">
        <w:rPr>
          <w:rFonts w:hint="eastAsia"/>
        </w:rPr>
        <w:t>（</w:t>
      </w:r>
      <w:r>
        <w:t>5</w:t>
      </w:r>
      <w:r w:rsidRPr="008955CC">
        <w:t>）</w:t>
      </w:r>
      <w:r>
        <w:rPr>
          <w:rFonts w:hint="eastAsia"/>
        </w:rPr>
        <w:t>地价用阿拉伯数字或符号表示；</w:t>
      </w:r>
    </w:p>
    <w:p w14:paraId="13B1E0E5" w14:textId="77777777" w:rsidR="00495C65" w:rsidRDefault="00495C65" w:rsidP="00495C65">
      <w:pPr>
        <w:pStyle w:val="13"/>
      </w:pPr>
      <w:r w:rsidRPr="008955CC">
        <w:rPr>
          <w:rFonts w:hint="eastAsia"/>
        </w:rPr>
        <w:t>（</w:t>
      </w:r>
      <w:r>
        <w:t>6</w:t>
      </w:r>
      <w:r w:rsidRPr="008955CC">
        <w:t>）</w:t>
      </w:r>
      <w:r>
        <w:rPr>
          <w:rFonts w:hint="eastAsia"/>
        </w:rPr>
        <w:t>城镇道路等主要地物表示方法及图面</w:t>
      </w:r>
      <w:proofErr w:type="gramStart"/>
      <w:r>
        <w:rPr>
          <w:rFonts w:hint="eastAsia"/>
        </w:rPr>
        <w:t>整饰</w:t>
      </w:r>
      <w:proofErr w:type="gramEnd"/>
      <w:r>
        <w:rPr>
          <w:rFonts w:hint="eastAsia"/>
        </w:rPr>
        <w:t>按</w:t>
      </w:r>
      <w:r>
        <w:t>7.10.2执行。</w:t>
      </w:r>
    </w:p>
    <w:p w14:paraId="2A0D5E13" w14:textId="77777777" w:rsidR="00495C65" w:rsidRDefault="00495C65" w:rsidP="00495C65">
      <w:pPr>
        <w:pStyle w:val="13"/>
      </w:pPr>
      <w:r w:rsidRPr="002B799B">
        <w:t>7.10.4.</w:t>
      </w:r>
      <w:r>
        <w:t>2</w:t>
      </w:r>
      <w:r>
        <w:rPr>
          <w:rFonts w:hint="eastAsia"/>
        </w:rPr>
        <w:t>基准地价表的编制</w:t>
      </w:r>
    </w:p>
    <w:p w14:paraId="5DDED12C" w14:textId="77777777" w:rsidR="00495C65" w:rsidRDefault="00495C65" w:rsidP="00495C65">
      <w:pPr>
        <w:pStyle w:val="13"/>
      </w:pPr>
      <w:r>
        <w:rPr>
          <w:rFonts w:hint="eastAsia"/>
        </w:rPr>
        <w:t>基准地价表应反映各级别或区段基准地价、土地用途等内容。基准地价</w:t>
      </w:r>
      <w:proofErr w:type="gramStart"/>
      <w:r>
        <w:rPr>
          <w:rFonts w:hint="eastAsia"/>
        </w:rPr>
        <w:t>表样表</w:t>
      </w:r>
      <w:proofErr w:type="gramEnd"/>
      <w:r>
        <w:rPr>
          <w:rFonts w:hint="eastAsia"/>
        </w:rPr>
        <w:t>参见附录</w:t>
      </w:r>
      <w:r>
        <w:t>B。</w:t>
      </w:r>
    </w:p>
    <w:p w14:paraId="480B6FC2" w14:textId="77777777" w:rsidR="00495C65" w:rsidRDefault="00495C65" w:rsidP="00495C65">
      <w:pPr>
        <w:pStyle w:val="13"/>
      </w:pPr>
      <w:r w:rsidRPr="00584FB4">
        <w:t>7.10.</w:t>
      </w:r>
      <w:r>
        <w:t>5</w:t>
      </w:r>
      <w:r>
        <w:rPr>
          <w:rFonts w:hint="eastAsia"/>
        </w:rPr>
        <w:t>基准地价评估报告整理</w:t>
      </w:r>
    </w:p>
    <w:p w14:paraId="79CB3918" w14:textId="77777777" w:rsidR="00495C65" w:rsidRDefault="00495C65" w:rsidP="00495C65">
      <w:pPr>
        <w:pStyle w:val="13"/>
      </w:pPr>
      <w:r>
        <w:rPr>
          <w:rFonts w:hint="eastAsia"/>
        </w:rPr>
        <w:t>主要内容包括：</w:t>
      </w:r>
    </w:p>
    <w:p w14:paraId="045A42D6" w14:textId="77777777" w:rsidR="00495C65" w:rsidRDefault="00495C65" w:rsidP="00495C65">
      <w:pPr>
        <w:pStyle w:val="13"/>
      </w:pPr>
      <w:r>
        <w:rPr>
          <w:rFonts w:hint="eastAsia"/>
        </w:rPr>
        <w:t>（1）工作情况，包括人员组成、日程安排、经费、资料、技术、工作经验与存在问题等；</w:t>
      </w:r>
    </w:p>
    <w:p w14:paraId="15C2BBA0" w14:textId="77777777" w:rsidR="00495C65" w:rsidRDefault="00495C65" w:rsidP="00495C65">
      <w:pPr>
        <w:pStyle w:val="13"/>
      </w:pPr>
      <w:r w:rsidRPr="005A4082">
        <w:rPr>
          <w:rFonts w:hint="eastAsia"/>
        </w:rPr>
        <w:lastRenderedPageBreak/>
        <w:t>（</w:t>
      </w:r>
      <w:r>
        <w:t>2</w:t>
      </w:r>
      <w:r w:rsidRPr="005A4082">
        <w:t>）</w:t>
      </w:r>
      <w:r>
        <w:rPr>
          <w:rFonts w:hint="eastAsia"/>
        </w:rPr>
        <w:t>基准地价评估区域内的自然、经济及社会概况；</w:t>
      </w:r>
    </w:p>
    <w:p w14:paraId="6AA49F39" w14:textId="77777777" w:rsidR="00495C65" w:rsidRDefault="00495C65" w:rsidP="00495C65">
      <w:pPr>
        <w:pStyle w:val="13"/>
      </w:pPr>
      <w:r w:rsidRPr="005A4082">
        <w:rPr>
          <w:rFonts w:hint="eastAsia"/>
        </w:rPr>
        <w:t>（</w:t>
      </w:r>
      <w:r>
        <w:t>3</w:t>
      </w:r>
      <w:r w:rsidRPr="005A4082">
        <w:t>）</w:t>
      </w:r>
      <w:r>
        <w:rPr>
          <w:rFonts w:hint="eastAsia"/>
        </w:rPr>
        <w:t>阐述基准地价评估的方法与过程。包括估价原则、理论基础、资料收集、资料整理、测算方法与步骤、基准地价评估结果、成果检验、基准地价修正系数表的编制等；</w:t>
      </w:r>
    </w:p>
    <w:p w14:paraId="487D2D17" w14:textId="77777777" w:rsidR="00495C65" w:rsidRDefault="00495C65" w:rsidP="00495C65">
      <w:pPr>
        <w:pStyle w:val="13"/>
      </w:pPr>
      <w:r w:rsidRPr="005A4082">
        <w:rPr>
          <w:rFonts w:hint="eastAsia"/>
        </w:rPr>
        <w:t>（</w:t>
      </w:r>
      <w:r>
        <w:t>4</w:t>
      </w:r>
      <w:r w:rsidRPr="005A4082">
        <w:t>）</w:t>
      </w:r>
      <w:r>
        <w:rPr>
          <w:rFonts w:hint="eastAsia"/>
        </w:rPr>
        <w:t>各类分析报告，包括各级地价区域分布特点与规律、同一区域内各类基准地价差异和同类基准地价在不同级别或区域上的差异原因等；</w:t>
      </w:r>
    </w:p>
    <w:p w14:paraId="0537ADF7" w14:textId="77777777" w:rsidR="00495C65" w:rsidRDefault="00495C65" w:rsidP="00495C65">
      <w:pPr>
        <w:pStyle w:val="13"/>
      </w:pPr>
      <w:r w:rsidRPr="001007D4">
        <w:rPr>
          <w:rFonts w:hint="eastAsia"/>
        </w:rPr>
        <w:t>（</w:t>
      </w:r>
      <w:r>
        <w:t>5</w:t>
      </w:r>
      <w:r w:rsidRPr="001007D4">
        <w:t>）</w:t>
      </w:r>
      <w:r>
        <w:rPr>
          <w:rFonts w:hint="eastAsia"/>
        </w:rPr>
        <w:t>成果应用方案与建议；</w:t>
      </w:r>
    </w:p>
    <w:p w14:paraId="441991B4" w14:textId="77777777" w:rsidR="00495C65" w:rsidRDefault="00495C65" w:rsidP="00495C65">
      <w:pPr>
        <w:pStyle w:val="13"/>
      </w:pPr>
      <w:r w:rsidRPr="001007D4">
        <w:rPr>
          <w:rFonts w:hint="eastAsia"/>
        </w:rPr>
        <w:t>（</w:t>
      </w:r>
      <w:r>
        <w:t>6</w:t>
      </w:r>
      <w:r w:rsidRPr="001007D4">
        <w:t>）</w:t>
      </w:r>
      <w:r>
        <w:rPr>
          <w:rFonts w:hint="eastAsia"/>
        </w:rPr>
        <w:t>基准地价图、基准地价表、基准地价修正体系；</w:t>
      </w:r>
    </w:p>
    <w:p w14:paraId="23F79057" w14:textId="77777777" w:rsidR="00495C65" w:rsidRDefault="00495C65" w:rsidP="00495C65">
      <w:pPr>
        <w:pStyle w:val="13"/>
      </w:pPr>
      <w:r w:rsidRPr="00396771">
        <w:rPr>
          <w:rFonts w:hint="eastAsia"/>
        </w:rPr>
        <w:t>（</w:t>
      </w:r>
      <w:r>
        <w:t>7</w:t>
      </w:r>
      <w:r w:rsidRPr="00396771">
        <w:t>）</w:t>
      </w:r>
      <w:r>
        <w:rPr>
          <w:rFonts w:hint="eastAsia"/>
        </w:rPr>
        <w:t>利用计算机系统评估基准地价时，各步骤及测算过程、测算中间结果等内容均应写入评估报告。</w:t>
      </w:r>
    </w:p>
    <w:p w14:paraId="6B692D4C" w14:textId="77777777" w:rsidR="00495C65" w:rsidRDefault="00495C65" w:rsidP="00495C65">
      <w:pPr>
        <w:pStyle w:val="ab"/>
        <w:spacing w:before="62" w:after="62"/>
        <w:ind w:firstLine="482"/>
      </w:pPr>
      <w:r>
        <w:rPr>
          <w:rFonts w:hint="eastAsia"/>
        </w:rPr>
        <w:t>7</w:t>
      </w:r>
      <w:r>
        <w:t>.11</w:t>
      </w:r>
      <w:r>
        <w:rPr>
          <w:rFonts w:hint="eastAsia"/>
        </w:rPr>
        <w:t>成果验收</w:t>
      </w:r>
    </w:p>
    <w:p w14:paraId="3CFBB8B1" w14:textId="77777777" w:rsidR="00495C65" w:rsidRDefault="00495C65" w:rsidP="00495C65">
      <w:pPr>
        <w:pStyle w:val="13"/>
      </w:pPr>
      <w:r w:rsidRPr="00E3073F">
        <w:t>7.11</w:t>
      </w:r>
      <w:r>
        <w:t>.1</w:t>
      </w:r>
      <w:r>
        <w:rPr>
          <w:rFonts w:hint="eastAsia"/>
        </w:rPr>
        <w:t>检查制度</w:t>
      </w:r>
    </w:p>
    <w:p w14:paraId="1FE93059" w14:textId="77777777" w:rsidR="00495C65" w:rsidRDefault="00495C65" w:rsidP="00495C65">
      <w:pPr>
        <w:pStyle w:val="13"/>
      </w:pPr>
      <w:r>
        <w:rPr>
          <w:rFonts w:hint="eastAsia"/>
        </w:rPr>
        <w:t>为保证基准地价评估成果的质量，每个阶段或每道工序完成后应认真检查，并建立工作人员和技术负责人之间自检与互检相结合的检查制度。</w:t>
      </w:r>
    </w:p>
    <w:p w14:paraId="4FF09C33" w14:textId="77777777" w:rsidR="00495C65" w:rsidRDefault="00495C65" w:rsidP="00495C65">
      <w:pPr>
        <w:pStyle w:val="13"/>
      </w:pPr>
      <w:r w:rsidRPr="00627096">
        <w:t>7.11</w:t>
      </w:r>
      <w:r>
        <w:t>.2</w:t>
      </w:r>
      <w:r>
        <w:rPr>
          <w:rFonts w:hint="eastAsia"/>
        </w:rPr>
        <w:t>验收制度</w:t>
      </w:r>
    </w:p>
    <w:p w14:paraId="5CA53082" w14:textId="77777777" w:rsidR="00495C65" w:rsidRDefault="00495C65" w:rsidP="00495C65">
      <w:pPr>
        <w:pStyle w:val="13"/>
      </w:pPr>
      <w:r>
        <w:rPr>
          <w:rFonts w:hint="eastAsia"/>
        </w:rPr>
        <w:t>要求如下：</w:t>
      </w:r>
    </w:p>
    <w:p w14:paraId="4842DF37" w14:textId="77777777" w:rsidR="00495C65" w:rsidRDefault="00495C65" w:rsidP="00495C65">
      <w:pPr>
        <w:pStyle w:val="13"/>
      </w:pPr>
      <w:r>
        <w:rPr>
          <w:rFonts w:hint="eastAsia"/>
        </w:rPr>
        <w:t>（1）基准地价评估工作完成后，由完成工作的作业组</w:t>
      </w:r>
      <w:proofErr w:type="gramStart"/>
      <w:r>
        <w:rPr>
          <w:rFonts w:hint="eastAsia"/>
        </w:rPr>
        <w:t>或队伍</w:t>
      </w:r>
      <w:proofErr w:type="gramEnd"/>
      <w:r>
        <w:rPr>
          <w:rFonts w:hint="eastAsia"/>
        </w:rPr>
        <w:t>对成果进行全面检查，写出成果检查说明，报请相关国土资源行政管理部门进行验收。</w:t>
      </w:r>
    </w:p>
    <w:p w14:paraId="487A21B6" w14:textId="77777777" w:rsidR="00495C65" w:rsidRDefault="00495C65" w:rsidP="00495C65">
      <w:pPr>
        <w:pStyle w:val="13"/>
      </w:pPr>
      <w:r w:rsidRPr="00627096">
        <w:rPr>
          <w:rFonts w:hint="eastAsia"/>
        </w:rPr>
        <w:t>（</w:t>
      </w:r>
      <w:r>
        <w:t>2</w:t>
      </w:r>
      <w:r w:rsidRPr="00627096">
        <w:t>）</w:t>
      </w:r>
      <w:r>
        <w:rPr>
          <w:rFonts w:hint="eastAsia"/>
        </w:rPr>
        <w:t>基准地价全面更新成果应由上级土地行政管理部门组织专家，按本标准进行审查验收。</w:t>
      </w:r>
    </w:p>
    <w:p w14:paraId="106C3011" w14:textId="77777777" w:rsidR="00495C65" w:rsidRDefault="00495C65" w:rsidP="00495C65">
      <w:pPr>
        <w:pStyle w:val="13"/>
      </w:pPr>
      <w:r w:rsidRPr="00273217">
        <w:rPr>
          <w:rFonts w:hint="eastAsia"/>
        </w:rPr>
        <w:t>（</w:t>
      </w:r>
      <w:r w:rsidRPr="00273217">
        <w:t>3）</w:t>
      </w:r>
      <w:r w:rsidRPr="00273217">
        <w:rPr>
          <w:rFonts w:hint="eastAsia"/>
        </w:rPr>
        <w:t>国土资源部对各地的基准地价成果进行抽查。</w:t>
      </w:r>
    </w:p>
    <w:p w14:paraId="217CB3B3" w14:textId="77777777" w:rsidR="00495C65" w:rsidRDefault="00495C65" w:rsidP="00495C65">
      <w:pPr>
        <w:pStyle w:val="13"/>
      </w:pPr>
      <w:r w:rsidRPr="003B0DE0">
        <w:t>7.11.</w:t>
      </w:r>
      <w:r>
        <w:t>3</w:t>
      </w:r>
      <w:r>
        <w:rPr>
          <w:rFonts w:hint="eastAsia"/>
        </w:rPr>
        <w:t>验收标准和内容</w:t>
      </w:r>
    </w:p>
    <w:p w14:paraId="4806A45B" w14:textId="77777777" w:rsidR="00495C65" w:rsidRDefault="00495C65" w:rsidP="00495C65">
      <w:pPr>
        <w:pStyle w:val="13"/>
      </w:pPr>
      <w:r>
        <w:rPr>
          <w:rFonts w:hint="eastAsia"/>
        </w:rPr>
        <w:t>标准和内容如下：</w:t>
      </w:r>
    </w:p>
    <w:p w14:paraId="41DC1817" w14:textId="77777777" w:rsidR="00495C65" w:rsidRDefault="00495C65" w:rsidP="00495C65">
      <w:pPr>
        <w:pStyle w:val="13"/>
      </w:pPr>
      <w:r w:rsidRPr="00063F79">
        <w:rPr>
          <w:rFonts w:hint="eastAsia"/>
        </w:rPr>
        <w:t>（</w:t>
      </w:r>
      <w:r w:rsidRPr="00063F79">
        <w:t>1）</w:t>
      </w:r>
      <w:r>
        <w:rPr>
          <w:rFonts w:hint="eastAsia"/>
        </w:rPr>
        <w:t>基准地价评估或更新工作程序和工作方法是否科学、合理。</w:t>
      </w:r>
    </w:p>
    <w:p w14:paraId="33950CD0" w14:textId="77777777" w:rsidR="00495C65" w:rsidRDefault="00495C65" w:rsidP="00495C65">
      <w:pPr>
        <w:pStyle w:val="13"/>
      </w:pPr>
      <w:r w:rsidRPr="00063F79">
        <w:rPr>
          <w:rFonts w:hint="eastAsia"/>
        </w:rPr>
        <w:t>（</w:t>
      </w:r>
      <w:r>
        <w:t>2</w:t>
      </w:r>
      <w:r w:rsidRPr="00063F79">
        <w:t>）</w:t>
      </w:r>
      <w:r>
        <w:rPr>
          <w:rFonts w:hint="eastAsia"/>
        </w:rPr>
        <w:t>基础图件、准备工作、资料收集、分析、整理和地价计算等检查。</w:t>
      </w:r>
    </w:p>
    <w:p w14:paraId="781954F6" w14:textId="77777777" w:rsidR="00495C65" w:rsidRDefault="00495C65" w:rsidP="00495C65">
      <w:pPr>
        <w:pStyle w:val="13"/>
      </w:pPr>
      <w:r w:rsidRPr="00063F79">
        <w:rPr>
          <w:rFonts w:hint="eastAsia"/>
        </w:rPr>
        <w:t>（</w:t>
      </w:r>
      <w:r>
        <w:t>3</w:t>
      </w:r>
      <w:r w:rsidRPr="00063F79">
        <w:t>）</w:t>
      </w:r>
      <w:r>
        <w:rPr>
          <w:rFonts w:hint="eastAsia"/>
        </w:rPr>
        <w:t>基准地价评定检查。检查评估程序、方法是否正确，基准地价评估的中间成果及最终结果是否合理。</w:t>
      </w:r>
    </w:p>
    <w:p w14:paraId="7EDD538E" w14:textId="77777777" w:rsidR="00495C65" w:rsidRDefault="00495C65" w:rsidP="00495C65">
      <w:pPr>
        <w:pStyle w:val="13"/>
      </w:pPr>
      <w:r w:rsidRPr="00063F79">
        <w:rPr>
          <w:rFonts w:hint="eastAsia"/>
        </w:rPr>
        <w:t>（</w:t>
      </w:r>
      <w:r>
        <w:t>4</w:t>
      </w:r>
      <w:r w:rsidRPr="00063F79">
        <w:t>）</w:t>
      </w:r>
      <w:r>
        <w:rPr>
          <w:rFonts w:hint="eastAsia"/>
        </w:rPr>
        <w:t>基准地价修正体系是否正确，是否符合当地实际情况。</w:t>
      </w:r>
    </w:p>
    <w:p w14:paraId="0BDB67E6" w14:textId="77777777" w:rsidR="00495C65" w:rsidRDefault="00495C65" w:rsidP="00495C65">
      <w:pPr>
        <w:pStyle w:val="13"/>
      </w:pPr>
      <w:r w:rsidRPr="00063F79">
        <w:rPr>
          <w:rFonts w:hint="eastAsia"/>
        </w:rPr>
        <w:t>（</w:t>
      </w:r>
      <w:r>
        <w:t>5</w:t>
      </w:r>
      <w:r w:rsidRPr="00063F79">
        <w:t>）</w:t>
      </w:r>
      <w:r>
        <w:rPr>
          <w:rFonts w:hint="eastAsia"/>
        </w:rPr>
        <w:t>编图检查。检查基准地价图编制方法及图示、符号、注记、图例是否正确，</w:t>
      </w:r>
      <w:r>
        <w:t>与基准地价表是否一致等。</w:t>
      </w:r>
    </w:p>
    <w:p w14:paraId="7B2D9906" w14:textId="77777777" w:rsidR="00495C65" w:rsidRDefault="00495C65" w:rsidP="00495C65">
      <w:pPr>
        <w:pStyle w:val="13"/>
      </w:pPr>
      <w:r w:rsidRPr="00063F79">
        <w:rPr>
          <w:rFonts w:hint="eastAsia"/>
        </w:rPr>
        <w:t>（</w:t>
      </w:r>
      <w:r>
        <w:t>6</w:t>
      </w:r>
      <w:r w:rsidRPr="00063F79">
        <w:t>）</w:t>
      </w:r>
      <w:r>
        <w:rPr>
          <w:rFonts w:hint="eastAsia"/>
        </w:rPr>
        <w:t>基准地价评估报告检查。基准地价评估报告是否全面、论述是否清楚、对工作中的技术问题处理是否得当、对成果应用的论述是否合理等。</w:t>
      </w:r>
    </w:p>
    <w:p w14:paraId="1F547D68" w14:textId="77777777" w:rsidR="00495C65" w:rsidRDefault="00495C65" w:rsidP="00495C65">
      <w:pPr>
        <w:pStyle w:val="13"/>
      </w:pPr>
      <w:r w:rsidRPr="00063F79">
        <w:rPr>
          <w:rFonts w:hint="eastAsia"/>
        </w:rPr>
        <w:t>（</w:t>
      </w:r>
      <w:r>
        <w:t>7</w:t>
      </w:r>
      <w:r w:rsidRPr="00063F79">
        <w:t>）</w:t>
      </w:r>
      <w:r>
        <w:rPr>
          <w:rFonts w:hint="eastAsia"/>
        </w:rPr>
        <w:t>检查验收部门根据需要增加的其他检查项目。</w:t>
      </w:r>
    </w:p>
    <w:p w14:paraId="075BCCEF" w14:textId="77777777" w:rsidR="00495C65" w:rsidRDefault="00495C65" w:rsidP="00495C65">
      <w:pPr>
        <w:pStyle w:val="13"/>
      </w:pPr>
      <w:r>
        <w:rPr>
          <w:rFonts w:hint="eastAsia"/>
        </w:rPr>
        <w:t>符合上述各项要求的，基准地价评估工作评为合格。</w:t>
      </w:r>
    </w:p>
    <w:p w14:paraId="67D1B19B" w14:textId="77777777" w:rsidR="00495C65" w:rsidRDefault="00495C65" w:rsidP="00495C65">
      <w:pPr>
        <w:pStyle w:val="13"/>
      </w:pPr>
      <w:r w:rsidRPr="00BC28D5">
        <w:lastRenderedPageBreak/>
        <w:t>7.11.</w:t>
      </w:r>
      <w:r>
        <w:t>4</w:t>
      </w:r>
      <w:r>
        <w:rPr>
          <w:rFonts w:hint="eastAsia"/>
        </w:rPr>
        <w:t>检查验收报告</w:t>
      </w:r>
    </w:p>
    <w:p w14:paraId="72977DC4" w14:textId="77777777" w:rsidR="00495C65" w:rsidRDefault="00495C65" w:rsidP="00495C65">
      <w:pPr>
        <w:pStyle w:val="13"/>
      </w:pPr>
      <w:r>
        <w:rPr>
          <w:rFonts w:hint="eastAsia"/>
        </w:rPr>
        <w:t>检查验收后，验收组出具验收报告和结论，内容包括：</w:t>
      </w:r>
    </w:p>
    <w:p w14:paraId="38C0CF13" w14:textId="77777777" w:rsidR="00495C65" w:rsidRDefault="00495C65" w:rsidP="00495C65">
      <w:pPr>
        <w:pStyle w:val="13"/>
      </w:pPr>
      <w:r w:rsidRPr="00571D3D">
        <w:rPr>
          <w:rFonts w:hint="eastAsia"/>
        </w:rPr>
        <w:t>（</w:t>
      </w:r>
      <w:r w:rsidRPr="00571D3D">
        <w:t>1）</w:t>
      </w:r>
      <w:r>
        <w:rPr>
          <w:rFonts w:hint="eastAsia"/>
        </w:rPr>
        <w:t>检查验收组织单位、检查时间、参加验收人员和检查验收方法。</w:t>
      </w:r>
    </w:p>
    <w:p w14:paraId="57D4E3F1" w14:textId="77777777" w:rsidR="00495C65" w:rsidRDefault="00495C65" w:rsidP="00495C65">
      <w:pPr>
        <w:pStyle w:val="13"/>
      </w:pPr>
      <w:r w:rsidRPr="00571D3D">
        <w:rPr>
          <w:rFonts w:hint="eastAsia"/>
        </w:rPr>
        <w:t>（</w:t>
      </w:r>
      <w:r>
        <w:t>2</w:t>
      </w:r>
      <w:r w:rsidRPr="00571D3D">
        <w:t>）</w:t>
      </w:r>
      <w:r>
        <w:rPr>
          <w:rFonts w:hint="eastAsia"/>
        </w:rPr>
        <w:t>各分项检查验收结果及成果的综合评价。</w:t>
      </w:r>
    </w:p>
    <w:p w14:paraId="1D397ECD" w14:textId="77777777" w:rsidR="00495C65" w:rsidRDefault="00495C65" w:rsidP="00495C65">
      <w:pPr>
        <w:pStyle w:val="13"/>
      </w:pPr>
      <w:r w:rsidRPr="00571D3D">
        <w:rPr>
          <w:rFonts w:hint="eastAsia"/>
        </w:rPr>
        <w:t>（</w:t>
      </w:r>
      <w:r>
        <w:t>3</w:t>
      </w:r>
      <w:r w:rsidRPr="00571D3D">
        <w:t>）</w:t>
      </w:r>
      <w:r>
        <w:rPr>
          <w:rFonts w:hint="eastAsia"/>
        </w:rPr>
        <w:t>不合格部分的问题类型、性质及纠正意见。</w:t>
      </w:r>
    </w:p>
    <w:p w14:paraId="41C247AE" w14:textId="77777777" w:rsidR="00495C65" w:rsidRDefault="00495C65" w:rsidP="00495C65">
      <w:pPr>
        <w:pStyle w:val="13"/>
      </w:pPr>
      <w:r w:rsidRPr="00571D3D">
        <w:rPr>
          <w:rFonts w:hint="eastAsia"/>
        </w:rPr>
        <w:t>（</w:t>
      </w:r>
      <w:r>
        <w:t>4</w:t>
      </w:r>
      <w:r w:rsidRPr="00571D3D">
        <w:t>）</w:t>
      </w:r>
      <w:r>
        <w:rPr>
          <w:rFonts w:hint="eastAsia"/>
        </w:rPr>
        <w:t>对成果应用意见及建议。</w:t>
      </w:r>
    </w:p>
    <w:p w14:paraId="5544A372" w14:textId="77777777" w:rsidR="00495C65" w:rsidRDefault="00495C65" w:rsidP="00495C65">
      <w:pPr>
        <w:pStyle w:val="13"/>
      </w:pPr>
      <w:r>
        <w:rPr>
          <w:rFonts w:hint="eastAsia"/>
        </w:rPr>
        <w:t>对不合格的成果，验收组应提出纠正的具体意见，</w:t>
      </w:r>
      <w:proofErr w:type="gramStart"/>
      <w:r>
        <w:rPr>
          <w:rFonts w:hint="eastAsia"/>
        </w:rPr>
        <w:t>待成果</w:t>
      </w:r>
      <w:proofErr w:type="gramEnd"/>
      <w:r>
        <w:rPr>
          <w:rFonts w:hint="eastAsia"/>
        </w:rPr>
        <w:t>完成单位重新修正后，再</w:t>
      </w:r>
      <w:r w:rsidRPr="00F843B4">
        <w:rPr>
          <w:rFonts w:hint="eastAsia"/>
        </w:rPr>
        <w:t>次验收。</w:t>
      </w:r>
    </w:p>
    <w:p w14:paraId="453F1FF6" w14:textId="77777777" w:rsidR="00495C65" w:rsidRDefault="00495C65" w:rsidP="00AF7342">
      <w:pPr>
        <w:pStyle w:val="a9"/>
        <w:spacing w:before="62" w:after="62"/>
      </w:pPr>
      <w:r>
        <w:t>8 宗地地价评估程序</w:t>
      </w:r>
    </w:p>
    <w:p w14:paraId="21B9E827" w14:textId="77777777" w:rsidR="00495C65" w:rsidRDefault="00495C65" w:rsidP="00495C65">
      <w:pPr>
        <w:pStyle w:val="ab"/>
        <w:spacing w:before="62" w:after="62"/>
        <w:ind w:firstLine="482"/>
      </w:pPr>
      <w:r>
        <w:t xml:space="preserve">8.1 一般程序 </w:t>
      </w:r>
    </w:p>
    <w:p w14:paraId="740BD417" w14:textId="77777777" w:rsidR="00495C65" w:rsidRDefault="00495C65" w:rsidP="00495C65">
      <w:pPr>
        <w:pStyle w:val="13"/>
      </w:pPr>
      <w:r>
        <w:rPr>
          <w:rFonts w:hint="eastAsia"/>
        </w:rPr>
        <w:t>宗地估价的一般程序为：</w:t>
      </w:r>
      <w:r>
        <w:t xml:space="preserve"> </w:t>
      </w:r>
    </w:p>
    <w:p w14:paraId="04D471D7" w14:textId="3105BA28" w:rsidR="00495C65" w:rsidRDefault="00495C65" w:rsidP="00495C65">
      <w:pPr>
        <w:pStyle w:val="13"/>
      </w:pPr>
      <w:r>
        <w:rPr>
          <w:rFonts w:hint="eastAsia"/>
        </w:rPr>
        <w:t>（</w:t>
      </w:r>
      <w:r>
        <w:t>1）明确估价基本事项</w:t>
      </w:r>
      <w:r w:rsidR="003068F8">
        <w:t>；</w:t>
      </w:r>
    </w:p>
    <w:p w14:paraId="652005C4" w14:textId="3A4A9664" w:rsidR="00495C65" w:rsidRDefault="00495C65" w:rsidP="00495C65">
      <w:pPr>
        <w:pStyle w:val="13"/>
      </w:pPr>
      <w:r>
        <w:rPr>
          <w:rFonts w:hint="eastAsia"/>
        </w:rPr>
        <w:t>（</w:t>
      </w:r>
      <w:r>
        <w:t>2）拟订估价作业方案</w:t>
      </w:r>
      <w:r w:rsidR="003068F8">
        <w:t>；</w:t>
      </w:r>
    </w:p>
    <w:p w14:paraId="188A270B" w14:textId="56167DB9" w:rsidR="00495C65" w:rsidRDefault="00495C65" w:rsidP="00495C65">
      <w:pPr>
        <w:pStyle w:val="13"/>
      </w:pPr>
      <w:r>
        <w:rPr>
          <w:rFonts w:hint="eastAsia"/>
        </w:rPr>
        <w:t>（</w:t>
      </w:r>
      <w:r>
        <w:t>3）收集估价所需资料</w:t>
      </w:r>
      <w:r w:rsidR="003068F8">
        <w:t>；</w:t>
      </w:r>
    </w:p>
    <w:p w14:paraId="0708879F" w14:textId="73C8A771" w:rsidR="00495C65" w:rsidRDefault="00495C65" w:rsidP="00495C65">
      <w:pPr>
        <w:pStyle w:val="13"/>
      </w:pPr>
      <w:r>
        <w:rPr>
          <w:rFonts w:hint="eastAsia"/>
        </w:rPr>
        <w:t>（</w:t>
      </w:r>
      <w:r>
        <w:t>4）实地查勘</w:t>
      </w:r>
      <w:r w:rsidR="003068F8">
        <w:t>；</w:t>
      </w:r>
    </w:p>
    <w:p w14:paraId="6D47A232" w14:textId="0A5ACBF8" w:rsidR="00495C65" w:rsidRDefault="00495C65" w:rsidP="00495C65">
      <w:pPr>
        <w:pStyle w:val="13"/>
      </w:pPr>
      <w:r>
        <w:rPr>
          <w:rFonts w:hint="eastAsia"/>
        </w:rPr>
        <w:t>（</w:t>
      </w:r>
      <w:r>
        <w:t>5）选定估价方法，测算宗地价格</w:t>
      </w:r>
      <w:r w:rsidR="003068F8">
        <w:t>；</w:t>
      </w:r>
    </w:p>
    <w:p w14:paraId="70264448" w14:textId="0119A002" w:rsidR="00495C65" w:rsidRDefault="00495C65" w:rsidP="00495C65">
      <w:pPr>
        <w:pStyle w:val="13"/>
      </w:pPr>
      <w:r>
        <w:rPr>
          <w:rFonts w:hint="eastAsia"/>
        </w:rPr>
        <w:t>（</w:t>
      </w:r>
      <w:r>
        <w:t>6）确定估价结果</w:t>
      </w:r>
      <w:r w:rsidR="003068F8">
        <w:t>；</w:t>
      </w:r>
    </w:p>
    <w:p w14:paraId="0716828F" w14:textId="0568386E" w:rsidR="00495C65" w:rsidRDefault="00495C65" w:rsidP="00495C65">
      <w:pPr>
        <w:pStyle w:val="13"/>
      </w:pPr>
      <w:r>
        <w:rPr>
          <w:rFonts w:hint="eastAsia"/>
        </w:rPr>
        <w:t>（</w:t>
      </w:r>
      <w:r>
        <w:t>7）撰写估价报告</w:t>
      </w:r>
      <w:r w:rsidR="003068F8">
        <w:t>；</w:t>
      </w:r>
    </w:p>
    <w:p w14:paraId="059B59EE" w14:textId="77777777" w:rsidR="00495C65" w:rsidRDefault="00495C65" w:rsidP="00495C65">
      <w:pPr>
        <w:pStyle w:val="13"/>
      </w:pPr>
      <w:r>
        <w:rPr>
          <w:rFonts w:hint="eastAsia"/>
        </w:rPr>
        <w:t>（</w:t>
      </w:r>
      <w:r>
        <w:t xml:space="preserve">8）编辑整理评估报告书，估价资料归档。 </w:t>
      </w:r>
    </w:p>
    <w:p w14:paraId="33D5B8DB" w14:textId="77777777" w:rsidR="00495C65" w:rsidRDefault="00495C65" w:rsidP="00495C65">
      <w:pPr>
        <w:pStyle w:val="ab"/>
        <w:spacing w:before="62" w:after="62"/>
        <w:ind w:firstLine="482"/>
      </w:pPr>
      <w:r>
        <w:t>8.2 明确估价基本事项</w:t>
      </w:r>
    </w:p>
    <w:p w14:paraId="292188A5" w14:textId="77777777" w:rsidR="00495C65" w:rsidRDefault="00495C65" w:rsidP="00495C65">
      <w:pPr>
        <w:pStyle w:val="13"/>
      </w:pPr>
      <w:r>
        <w:rPr>
          <w:rFonts w:hint="eastAsia"/>
        </w:rPr>
        <w:t>明确估价基本事项应征得委托方认可，订立委托协议，主要包括以下内容：</w:t>
      </w:r>
      <w:r>
        <w:t xml:space="preserve"> </w:t>
      </w:r>
    </w:p>
    <w:p w14:paraId="0683E8AD" w14:textId="77777777" w:rsidR="00495C65" w:rsidRDefault="00495C65" w:rsidP="00495C65">
      <w:pPr>
        <w:pStyle w:val="13"/>
      </w:pPr>
      <w:r>
        <w:rPr>
          <w:rFonts w:hint="eastAsia"/>
        </w:rPr>
        <w:t>（</w:t>
      </w:r>
      <w:r>
        <w:t xml:space="preserve">1）明确估价目的 </w:t>
      </w:r>
    </w:p>
    <w:p w14:paraId="0D81FA4F" w14:textId="77777777" w:rsidR="00495C65" w:rsidRDefault="00495C65" w:rsidP="00495C65">
      <w:pPr>
        <w:pStyle w:val="13"/>
      </w:pPr>
      <w:r>
        <w:rPr>
          <w:rFonts w:hint="eastAsia"/>
        </w:rPr>
        <w:t>估价目的由委托方提出，在估价委托协议中明确。估价目的须符合相关法律、法规及政策规定。</w:t>
      </w:r>
    </w:p>
    <w:p w14:paraId="4E6C6AC9" w14:textId="77777777" w:rsidR="00495C65" w:rsidRDefault="00495C65" w:rsidP="00495C65">
      <w:pPr>
        <w:pStyle w:val="13"/>
      </w:pPr>
      <w:r>
        <w:rPr>
          <w:rFonts w:hint="eastAsia"/>
        </w:rPr>
        <w:t>（</w:t>
      </w:r>
      <w:r>
        <w:t>2）</w:t>
      </w:r>
      <w:proofErr w:type="gramStart"/>
      <w:r>
        <w:t>明确待估</w:t>
      </w:r>
      <w:proofErr w:type="gramEnd"/>
      <w:r>
        <w:t xml:space="preserve">宗地 </w:t>
      </w:r>
    </w:p>
    <w:p w14:paraId="304982CD" w14:textId="77777777" w:rsidR="00495C65" w:rsidRDefault="00495C65" w:rsidP="00495C65">
      <w:pPr>
        <w:pStyle w:val="13"/>
      </w:pPr>
      <w:proofErr w:type="gramStart"/>
      <w:r>
        <w:rPr>
          <w:rFonts w:hint="eastAsia"/>
        </w:rPr>
        <w:t>明确待估</w:t>
      </w:r>
      <w:proofErr w:type="gramEnd"/>
      <w:r>
        <w:rPr>
          <w:rFonts w:hint="eastAsia"/>
        </w:rPr>
        <w:t>宗地包括</w:t>
      </w:r>
      <w:proofErr w:type="gramStart"/>
      <w:r>
        <w:rPr>
          <w:rFonts w:hint="eastAsia"/>
        </w:rPr>
        <w:t>明确待估</w:t>
      </w:r>
      <w:proofErr w:type="gramEnd"/>
      <w:r>
        <w:rPr>
          <w:rFonts w:hint="eastAsia"/>
        </w:rPr>
        <w:t>宗地的物质实体状况和权益状况，对所在位置、土地范围、土地权利状况、土地利用类型、土地利用状况等进行明确界定，并应有明确的依据和理由。</w:t>
      </w:r>
    </w:p>
    <w:p w14:paraId="0F2BCDE3" w14:textId="77777777" w:rsidR="00495C65" w:rsidRDefault="00495C65" w:rsidP="00495C65">
      <w:pPr>
        <w:pStyle w:val="13"/>
      </w:pPr>
      <w:r>
        <w:rPr>
          <w:rFonts w:hint="eastAsia"/>
        </w:rPr>
        <w:t>（</w:t>
      </w:r>
      <w:r>
        <w:t xml:space="preserve">3）明确估价期日 </w:t>
      </w:r>
    </w:p>
    <w:p w14:paraId="1E864805" w14:textId="77777777" w:rsidR="00495C65" w:rsidRDefault="00495C65" w:rsidP="00495C65">
      <w:pPr>
        <w:pStyle w:val="13"/>
      </w:pPr>
      <w:r>
        <w:rPr>
          <w:rFonts w:hint="eastAsia"/>
        </w:rPr>
        <w:t>估价期日应根据估价目的确定，在估价委托协议中明确，并采用公历表示，具体到年、月、日。</w:t>
      </w:r>
    </w:p>
    <w:p w14:paraId="2085B764" w14:textId="77777777" w:rsidR="00495C65" w:rsidRDefault="00495C65" w:rsidP="00495C65">
      <w:pPr>
        <w:pStyle w:val="13"/>
      </w:pPr>
      <w:r>
        <w:t xml:space="preserve">（4）明确价格内涵 </w:t>
      </w:r>
    </w:p>
    <w:p w14:paraId="44D94D6C" w14:textId="77777777" w:rsidR="00495C65" w:rsidRDefault="00495C65" w:rsidP="00495C65">
      <w:pPr>
        <w:pStyle w:val="13"/>
      </w:pPr>
      <w:r>
        <w:rPr>
          <w:rFonts w:hint="eastAsia"/>
        </w:rPr>
        <w:t>价格内涵应根据估价目的确定。地价定义中应说明价格类型、权利特征、估价期</w:t>
      </w:r>
      <w:r>
        <w:rPr>
          <w:rFonts w:hint="eastAsia"/>
        </w:rPr>
        <w:lastRenderedPageBreak/>
        <w:t>日、土地利用条件</w:t>
      </w:r>
      <w:r w:rsidRPr="0056038B">
        <w:rPr>
          <w:rFonts w:hint="eastAsia"/>
        </w:rPr>
        <w:t>（现状利用或规划利用条件）、实际开发程度和设定的开发程度、</w:t>
      </w:r>
      <w:proofErr w:type="gramStart"/>
      <w:r w:rsidRPr="0056038B">
        <w:rPr>
          <w:rFonts w:hint="eastAsia"/>
        </w:rPr>
        <w:t>证载用途</w:t>
      </w:r>
      <w:proofErr w:type="gramEnd"/>
      <w:r w:rsidRPr="0056038B">
        <w:rPr>
          <w:rFonts w:hint="eastAsia"/>
        </w:rPr>
        <w:t>、实际用途、设定用途等。</w:t>
      </w:r>
    </w:p>
    <w:p w14:paraId="5F7BF6C2" w14:textId="77777777" w:rsidR="00495C65" w:rsidRDefault="00495C65" w:rsidP="00495C65">
      <w:pPr>
        <w:pStyle w:val="13"/>
      </w:pPr>
      <w:r w:rsidRPr="001461FF">
        <w:rPr>
          <w:rFonts w:hint="eastAsia"/>
        </w:rPr>
        <w:t>（</w:t>
      </w:r>
      <w:r w:rsidRPr="001461FF">
        <w:t>5）明确估价日期</w:t>
      </w:r>
    </w:p>
    <w:p w14:paraId="31B6581B" w14:textId="77777777" w:rsidR="00495C65" w:rsidRDefault="00495C65" w:rsidP="00495C65">
      <w:pPr>
        <w:pStyle w:val="13"/>
      </w:pPr>
      <w:r w:rsidRPr="001461FF">
        <w:rPr>
          <w:rFonts w:hint="eastAsia"/>
        </w:rPr>
        <w:t>明确估价师从开始作业到完成报告的持续时间。</w:t>
      </w:r>
    </w:p>
    <w:p w14:paraId="3B5EBF4D" w14:textId="77777777" w:rsidR="00495C65" w:rsidRDefault="00495C65" w:rsidP="00495C65">
      <w:pPr>
        <w:pStyle w:val="ab"/>
        <w:spacing w:before="62" w:after="62"/>
        <w:ind w:firstLine="482"/>
      </w:pPr>
      <w:r w:rsidRPr="001461FF">
        <w:t>8.3 拟订估价作业方案</w:t>
      </w:r>
    </w:p>
    <w:p w14:paraId="3CDDCF5B" w14:textId="77777777" w:rsidR="00495C65" w:rsidRDefault="00495C65" w:rsidP="00495C65">
      <w:pPr>
        <w:pStyle w:val="13"/>
      </w:pPr>
      <w:r w:rsidRPr="001461FF">
        <w:rPr>
          <w:rFonts w:hint="eastAsia"/>
        </w:rPr>
        <w:t>在</w:t>
      </w:r>
      <w:proofErr w:type="gramStart"/>
      <w:r w:rsidRPr="001461FF">
        <w:rPr>
          <w:rFonts w:hint="eastAsia"/>
        </w:rPr>
        <w:t>明确待估</w:t>
      </w:r>
      <w:proofErr w:type="gramEnd"/>
      <w:r w:rsidRPr="001461FF">
        <w:rPr>
          <w:rFonts w:hint="eastAsia"/>
        </w:rPr>
        <w:t>宗地基本事项的基础上，应对估价项目进行初步分析，拟订估价作业方案，主要包括以下内容：</w:t>
      </w:r>
    </w:p>
    <w:p w14:paraId="24689C7E" w14:textId="77777777" w:rsidR="00495C65" w:rsidRDefault="00495C65" w:rsidP="00495C65">
      <w:pPr>
        <w:pStyle w:val="13"/>
      </w:pPr>
      <w:r>
        <w:rPr>
          <w:rFonts w:hint="eastAsia"/>
        </w:rPr>
        <w:t>（</w:t>
      </w:r>
      <w:r>
        <w:t>1）拟订估价技术路线和初步选择估价方法；</w:t>
      </w:r>
    </w:p>
    <w:p w14:paraId="5C485DB8" w14:textId="77777777" w:rsidR="00495C65" w:rsidRDefault="00495C65" w:rsidP="00495C65">
      <w:pPr>
        <w:pStyle w:val="13"/>
      </w:pPr>
      <w:r>
        <w:t>（2）拟订资料收集的清单和收集资料的渠道；</w:t>
      </w:r>
    </w:p>
    <w:p w14:paraId="5F4054C7" w14:textId="41004F51" w:rsidR="00495C65" w:rsidRDefault="00495C65" w:rsidP="00495C65">
      <w:pPr>
        <w:pStyle w:val="13"/>
      </w:pPr>
      <w:r>
        <w:t>（3）预计所需的时间、人员和经费</w:t>
      </w:r>
      <w:r w:rsidR="003068F8">
        <w:t>；</w:t>
      </w:r>
    </w:p>
    <w:p w14:paraId="42013693" w14:textId="77777777" w:rsidR="00495C65" w:rsidRDefault="00495C65" w:rsidP="00495C65">
      <w:pPr>
        <w:pStyle w:val="13"/>
      </w:pPr>
      <w:r>
        <w:rPr>
          <w:rFonts w:hint="eastAsia"/>
        </w:rPr>
        <w:t>（</w:t>
      </w:r>
      <w:r>
        <w:t xml:space="preserve">4）拟订作业步骤和时间进度安排。 </w:t>
      </w:r>
    </w:p>
    <w:p w14:paraId="43978EE7" w14:textId="77777777" w:rsidR="00495C65" w:rsidRDefault="00495C65" w:rsidP="00495C65">
      <w:pPr>
        <w:pStyle w:val="ab"/>
        <w:spacing w:before="62" w:after="62"/>
        <w:ind w:firstLine="482"/>
      </w:pPr>
      <w:r>
        <w:t>8.4 收集估价所需资料</w:t>
      </w:r>
    </w:p>
    <w:p w14:paraId="2852042B" w14:textId="77777777" w:rsidR="00495C65" w:rsidRDefault="00495C65" w:rsidP="00495C65">
      <w:pPr>
        <w:pStyle w:val="13"/>
      </w:pPr>
      <w:r w:rsidRPr="001461FF">
        <w:rPr>
          <w:rFonts w:hint="eastAsia"/>
        </w:rPr>
        <w:t>估价机构和估价人员应收集估价所需资料，并进行核实、分析、整理。需要收集的资料至少应当包括但不限于以下内容：</w:t>
      </w:r>
    </w:p>
    <w:p w14:paraId="6D76ADB3" w14:textId="5EC8412C" w:rsidR="00495C65" w:rsidRDefault="00495C65" w:rsidP="00495C65">
      <w:pPr>
        <w:pStyle w:val="13"/>
      </w:pPr>
      <w:r>
        <w:rPr>
          <w:rFonts w:hint="eastAsia"/>
        </w:rPr>
        <w:t>（</w:t>
      </w:r>
      <w:r>
        <w:t>1）宗地自身资料，包括反映土地权属状态及实体状态的资料</w:t>
      </w:r>
      <w:r w:rsidR="003068F8">
        <w:t>；</w:t>
      </w:r>
    </w:p>
    <w:p w14:paraId="7CF2A230" w14:textId="77777777" w:rsidR="00495C65" w:rsidRDefault="00495C65" w:rsidP="00495C65">
      <w:pPr>
        <w:pStyle w:val="13"/>
      </w:pPr>
      <w:r>
        <w:rPr>
          <w:rFonts w:hint="eastAsia"/>
        </w:rPr>
        <w:t>（</w:t>
      </w:r>
      <w:r>
        <w:t>2）价格影响因素的资料，是对待</w:t>
      </w:r>
      <w:proofErr w:type="gramStart"/>
      <w:r>
        <w:t>估</w:t>
      </w:r>
      <w:proofErr w:type="gramEnd"/>
      <w:r>
        <w:t>宗地土地价格有影响的一般因素、区域因素、个别因素资料；</w:t>
      </w:r>
    </w:p>
    <w:p w14:paraId="0344F684" w14:textId="77777777" w:rsidR="00495C65" w:rsidRDefault="00495C65" w:rsidP="00495C65">
      <w:pPr>
        <w:pStyle w:val="13"/>
      </w:pPr>
      <w:r>
        <w:t>（3）土地交易资料，指用途、权利、区位等</w:t>
      </w:r>
      <w:proofErr w:type="gramStart"/>
      <w:r>
        <w:t>与待估宗地</w:t>
      </w:r>
      <w:proofErr w:type="gramEnd"/>
      <w:r>
        <w:t>相同或相近的土地市场交易资料；</w:t>
      </w:r>
    </w:p>
    <w:p w14:paraId="07B1C8CC" w14:textId="77777777" w:rsidR="00495C65" w:rsidRDefault="00495C65" w:rsidP="00495C65">
      <w:pPr>
        <w:pStyle w:val="13"/>
      </w:pPr>
      <w:r>
        <w:t>（4）其他类型的资料，如当地的基准地价、地价指数、过程造价标准等相关资料。</w:t>
      </w:r>
    </w:p>
    <w:p w14:paraId="4A70FF58" w14:textId="77777777" w:rsidR="00495C65" w:rsidRDefault="00495C65" w:rsidP="00495C65">
      <w:pPr>
        <w:pStyle w:val="13"/>
      </w:pPr>
      <w:r>
        <w:rPr>
          <w:rFonts w:hint="eastAsia"/>
        </w:rPr>
        <w:t>（</w:t>
      </w:r>
      <w:r>
        <w:t>5）需要收集的图件资料，主要包括级别（或区域）基准地价图、宗地图、宗地建筑平面图等。</w:t>
      </w:r>
    </w:p>
    <w:p w14:paraId="6C00BD81" w14:textId="77777777" w:rsidR="00495C65" w:rsidRDefault="00495C65" w:rsidP="00495C65">
      <w:pPr>
        <w:pStyle w:val="ab"/>
        <w:spacing w:before="62" w:after="62"/>
        <w:ind w:firstLine="482"/>
      </w:pPr>
      <w:r>
        <w:t>8.5 实地查勘</w:t>
      </w:r>
    </w:p>
    <w:p w14:paraId="7372FA04" w14:textId="77777777" w:rsidR="00495C65" w:rsidRDefault="00495C65" w:rsidP="00495C65">
      <w:pPr>
        <w:pStyle w:val="13"/>
      </w:pPr>
      <w:r>
        <w:rPr>
          <w:rFonts w:hint="eastAsia"/>
        </w:rPr>
        <w:t>估价人员应实地</w:t>
      </w:r>
      <w:proofErr w:type="gramStart"/>
      <w:r>
        <w:rPr>
          <w:rFonts w:hint="eastAsia"/>
        </w:rPr>
        <w:t>查勘待估宗地</w:t>
      </w:r>
      <w:proofErr w:type="gramEnd"/>
      <w:r>
        <w:rPr>
          <w:rFonts w:hint="eastAsia"/>
        </w:rPr>
        <w:t>及相关案例资料，充分了解</w:t>
      </w:r>
      <w:proofErr w:type="gramStart"/>
      <w:r>
        <w:rPr>
          <w:rFonts w:hint="eastAsia"/>
        </w:rPr>
        <w:t>掌握待估宗地</w:t>
      </w:r>
      <w:proofErr w:type="gramEnd"/>
      <w:r>
        <w:rPr>
          <w:rFonts w:hint="eastAsia"/>
        </w:rPr>
        <w:t>及评估所用案例的坐落位置、形状、土地利用状况、基础设施条件、道路交通状况以及周围环境等情况，对待</w:t>
      </w:r>
      <w:proofErr w:type="gramStart"/>
      <w:r>
        <w:rPr>
          <w:rFonts w:hint="eastAsia"/>
        </w:rPr>
        <w:t>估</w:t>
      </w:r>
      <w:proofErr w:type="gramEnd"/>
      <w:r>
        <w:rPr>
          <w:rFonts w:hint="eastAsia"/>
        </w:rPr>
        <w:t>宗地及周边情况等进行现场拍照；同时对已获取的资料进行核查，并补充收集估价所需的其他资料。</w:t>
      </w:r>
      <w:r>
        <w:t xml:space="preserve"> </w:t>
      </w:r>
    </w:p>
    <w:p w14:paraId="1CEE6AE9" w14:textId="77777777" w:rsidR="00495C65" w:rsidRDefault="00495C65" w:rsidP="00495C65">
      <w:pPr>
        <w:pStyle w:val="ab"/>
        <w:spacing w:before="62" w:after="62"/>
        <w:ind w:firstLine="482"/>
      </w:pPr>
      <w:r>
        <w:t>8.6 选定估价方法，试算价格</w:t>
      </w:r>
    </w:p>
    <w:p w14:paraId="01881F13" w14:textId="77777777" w:rsidR="00495C65" w:rsidRDefault="00495C65" w:rsidP="00495C65">
      <w:pPr>
        <w:pStyle w:val="13"/>
      </w:pPr>
      <w:r>
        <w:rPr>
          <w:rFonts w:hint="eastAsia"/>
        </w:rPr>
        <w:t>估价人员应熟知、理解并正确运用宗地估价方法。对所收集的相关资料进行分析整理，判断地价的走势和因素对地价的影响程度，</w:t>
      </w:r>
      <w:proofErr w:type="gramStart"/>
      <w:r>
        <w:rPr>
          <w:rFonts w:hint="eastAsia"/>
        </w:rPr>
        <w:t>分析待估宗地</w:t>
      </w:r>
      <w:proofErr w:type="gramEnd"/>
      <w:r>
        <w:rPr>
          <w:rFonts w:hint="eastAsia"/>
        </w:rPr>
        <w:t>价值，确定相关估价参数。</w:t>
      </w:r>
    </w:p>
    <w:p w14:paraId="5E1CD8BE" w14:textId="77777777" w:rsidR="00495C65" w:rsidRDefault="00495C65" w:rsidP="00495C65">
      <w:pPr>
        <w:pStyle w:val="13"/>
      </w:pPr>
      <w:r>
        <w:rPr>
          <w:rFonts w:hint="eastAsia"/>
        </w:rPr>
        <w:t>评估土地价格，除有特殊规定外，应在主要估价方法中至少选用两种适宜的估价</w:t>
      </w:r>
      <w:r>
        <w:rPr>
          <w:rFonts w:hint="eastAsia"/>
        </w:rPr>
        <w:lastRenderedPageBreak/>
        <w:t>方法进行。</w:t>
      </w:r>
      <w:r>
        <w:t xml:space="preserve"> </w:t>
      </w:r>
    </w:p>
    <w:p w14:paraId="13B3DDC0" w14:textId="77777777" w:rsidR="00495C65" w:rsidRDefault="00495C65" w:rsidP="00495C65">
      <w:pPr>
        <w:pStyle w:val="ab"/>
        <w:spacing w:before="62" w:after="62"/>
        <w:ind w:firstLine="482"/>
      </w:pPr>
      <w:r>
        <w:t xml:space="preserve">8.7 确定估价结果 </w:t>
      </w:r>
    </w:p>
    <w:p w14:paraId="764EBCD4" w14:textId="77777777" w:rsidR="00495C65" w:rsidRDefault="00495C65" w:rsidP="00495C65">
      <w:pPr>
        <w:pStyle w:val="13"/>
      </w:pPr>
      <w:r>
        <w:rPr>
          <w:rFonts w:hint="eastAsia"/>
        </w:rPr>
        <w:t>估价人员应从估价资料、估价方法、估价参数指标等的代表性、适宜性、准确性方面，对各测算价格进行客观分析，并结合估价经验对各测算价格进行判断调整，确定估价结果。若舍弃某种估价方法的测算结果，应说明理由。</w:t>
      </w:r>
      <w:r>
        <w:t xml:space="preserve"> </w:t>
      </w:r>
    </w:p>
    <w:p w14:paraId="45AF060E" w14:textId="77777777" w:rsidR="00495C65" w:rsidRDefault="00495C65" w:rsidP="00495C65">
      <w:pPr>
        <w:pStyle w:val="13"/>
      </w:pPr>
      <w:proofErr w:type="gramStart"/>
      <w:r>
        <w:rPr>
          <w:rFonts w:hint="eastAsia"/>
        </w:rPr>
        <w:t>视待估</w:t>
      </w:r>
      <w:proofErr w:type="gramEnd"/>
      <w:r>
        <w:rPr>
          <w:rFonts w:hint="eastAsia"/>
        </w:rPr>
        <w:t>宗地和方法适用情况，选择以下方法并说明理由：</w:t>
      </w:r>
      <w:r>
        <w:t xml:space="preserve"> </w:t>
      </w:r>
    </w:p>
    <w:p w14:paraId="6688166F" w14:textId="1A4277E6" w:rsidR="00495C65" w:rsidRDefault="00495C65" w:rsidP="00495C65">
      <w:pPr>
        <w:pStyle w:val="13"/>
      </w:pPr>
      <w:r>
        <w:rPr>
          <w:rFonts w:hint="eastAsia"/>
        </w:rPr>
        <w:t>（</w:t>
      </w:r>
      <w:r>
        <w:t>1）简单算术平均法</w:t>
      </w:r>
      <w:r w:rsidR="003068F8">
        <w:t>；</w:t>
      </w:r>
    </w:p>
    <w:p w14:paraId="0DD187E1" w14:textId="77777777" w:rsidR="00495C65" w:rsidRDefault="00495C65" w:rsidP="00495C65">
      <w:pPr>
        <w:pStyle w:val="13"/>
      </w:pPr>
      <w:r w:rsidRPr="000B58B4">
        <w:rPr>
          <w:rFonts w:hint="eastAsia"/>
        </w:rPr>
        <w:t>（</w:t>
      </w:r>
      <w:r w:rsidRPr="000B58B4">
        <w:t>2）加权算术平均法；</w:t>
      </w:r>
    </w:p>
    <w:p w14:paraId="3A567744" w14:textId="77777777" w:rsidR="00495C65" w:rsidRDefault="00495C65" w:rsidP="00495C65">
      <w:pPr>
        <w:pStyle w:val="13"/>
      </w:pPr>
      <w:r w:rsidRPr="000B58B4">
        <w:t>（3）中位数法；</w:t>
      </w:r>
    </w:p>
    <w:p w14:paraId="222A2BD8" w14:textId="77777777" w:rsidR="00495C65" w:rsidRDefault="00495C65" w:rsidP="00495C65">
      <w:pPr>
        <w:pStyle w:val="13"/>
      </w:pPr>
      <w:r w:rsidRPr="000B58B4">
        <w:t>（4）综合分析法。</w:t>
      </w:r>
    </w:p>
    <w:p w14:paraId="46E0C387" w14:textId="77777777" w:rsidR="00495C65" w:rsidRDefault="00495C65" w:rsidP="00495C65">
      <w:pPr>
        <w:pStyle w:val="ab"/>
        <w:spacing w:before="62" w:after="62"/>
        <w:ind w:firstLine="482"/>
      </w:pPr>
      <w:r>
        <w:t>8.8 撰写评估报告书</w:t>
      </w:r>
    </w:p>
    <w:p w14:paraId="37B9E584" w14:textId="77777777" w:rsidR="00495C65" w:rsidRDefault="00495C65" w:rsidP="00495C65">
      <w:pPr>
        <w:pStyle w:val="13"/>
      </w:pPr>
      <w:r>
        <w:rPr>
          <w:rFonts w:hint="eastAsia"/>
        </w:rPr>
        <w:t>宗地地价评估完成后应提交评估报告，并编制估价技术报告（评估工作底稿）。当同一估价项目所含宗地位于多个县市时，应以各市或县为单位分别编制估价技术报告（评估工作底稿）。</w:t>
      </w:r>
    </w:p>
    <w:p w14:paraId="71A6B9C3" w14:textId="77777777" w:rsidR="00495C65" w:rsidRDefault="00495C65" w:rsidP="00495C65">
      <w:pPr>
        <w:pStyle w:val="13"/>
      </w:pPr>
      <w:r>
        <w:rPr>
          <w:rFonts w:hint="eastAsia"/>
        </w:rPr>
        <w:t>估价报告及估价技术报告（评估工作底稿）中至少应披露的内容及要求见附录</w:t>
      </w:r>
      <w:r>
        <w:t>E。</w:t>
      </w:r>
    </w:p>
    <w:p w14:paraId="2431729D" w14:textId="77777777" w:rsidR="00495C65" w:rsidRDefault="00495C65" w:rsidP="00495C65">
      <w:pPr>
        <w:pStyle w:val="13"/>
      </w:pPr>
      <w:r>
        <w:rPr>
          <w:rFonts w:hint="eastAsia"/>
        </w:rPr>
        <w:t>在撰写文字（或表格）报告的同时，应制作评估报告和估价技术报告（评估工作底稿）的电子版。</w:t>
      </w:r>
    </w:p>
    <w:p w14:paraId="1806C5C8" w14:textId="77777777" w:rsidR="00495C65" w:rsidRDefault="00495C65" w:rsidP="00495C65">
      <w:pPr>
        <w:pStyle w:val="13"/>
      </w:pPr>
      <w:r>
        <w:t>估价报告与估价技术报告（评估工作底稿）按国家有关规定需要备案的，应在提交委托方之前，先</w:t>
      </w:r>
      <w:r w:rsidRPr="000B58B4">
        <w:rPr>
          <w:rFonts w:hint="eastAsia"/>
        </w:rPr>
        <w:t>予以备案。</w:t>
      </w:r>
    </w:p>
    <w:p w14:paraId="56DE4DD7" w14:textId="77777777" w:rsidR="00495C65" w:rsidRDefault="00495C65" w:rsidP="00495C65">
      <w:pPr>
        <w:pStyle w:val="ab"/>
        <w:spacing w:before="62" w:after="62"/>
        <w:ind w:firstLine="482"/>
      </w:pPr>
      <w:r>
        <w:t>8.9 估价资料归档</w:t>
      </w:r>
    </w:p>
    <w:p w14:paraId="295D162F" w14:textId="77777777" w:rsidR="00495C65" w:rsidRDefault="00495C65" w:rsidP="00495C65">
      <w:pPr>
        <w:pStyle w:val="13"/>
      </w:pPr>
      <w:r>
        <w:rPr>
          <w:rFonts w:hint="eastAsia"/>
        </w:rPr>
        <w:t>完成并出具估价报告后，应对有关该估价项目的全部必要资料进行整理、归档和妥善保管。</w:t>
      </w:r>
      <w:r>
        <w:t xml:space="preserve"> </w:t>
      </w:r>
    </w:p>
    <w:p w14:paraId="7328E42F" w14:textId="77777777" w:rsidR="00495C65" w:rsidRDefault="00495C65" w:rsidP="00495C65">
      <w:pPr>
        <w:pStyle w:val="13"/>
      </w:pPr>
      <w:r>
        <w:rPr>
          <w:rFonts w:hint="eastAsia"/>
        </w:rPr>
        <w:t>归档估价资料一般应保管</w:t>
      </w:r>
      <w:r>
        <w:t>15年。如法定管理机构对估价资料归档保管时间有规定的，从其规定。</w:t>
      </w:r>
    </w:p>
    <w:p w14:paraId="02C6DA7C" w14:textId="77777777" w:rsidR="00495C65" w:rsidRDefault="00495C65" w:rsidP="00AF7342">
      <w:pPr>
        <w:pStyle w:val="a9"/>
        <w:spacing w:before="62" w:after="62"/>
      </w:pPr>
      <w:r>
        <w:t xml:space="preserve">9 不同用途土地价格评估 </w:t>
      </w:r>
    </w:p>
    <w:p w14:paraId="21B880D2" w14:textId="77777777" w:rsidR="00495C65" w:rsidRDefault="00495C65" w:rsidP="00495C65">
      <w:pPr>
        <w:pStyle w:val="ab"/>
        <w:spacing w:before="62" w:after="62"/>
        <w:ind w:firstLine="482"/>
      </w:pPr>
      <w:r>
        <w:t xml:space="preserve">9.1 一般规定 </w:t>
      </w:r>
    </w:p>
    <w:p w14:paraId="3E32AD7E" w14:textId="77777777" w:rsidR="00495C65" w:rsidRDefault="00495C65" w:rsidP="00495C65">
      <w:pPr>
        <w:pStyle w:val="13"/>
      </w:pPr>
      <w:r>
        <w:rPr>
          <w:rFonts w:hint="eastAsia"/>
        </w:rPr>
        <w:t>估价人员应针对不同用途土地的价格形成特征，选择适宜的两种以上评估方法，正确把握各类用地的估价技术要点。</w:t>
      </w:r>
      <w:r>
        <w:t xml:space="preserve"> </w:t>
      </w:r>
    </w:p>
    <w:p w14:paraId="393683E7" w14:textId="77777777" w:rsidR="00495C65" w:rsidRDefault="00495C65" w:rsidP="00495C65">
      <w:pPr>
        <w:pStyle w:val="13"/>
      </w:pPr>
      <w:r>
        <w:rPr>
          <w:rFonts w:hint="eastAsia"/>
        </w:rPr>
        <w:t>评估少有交易，市场化程度极低且土地收益不能显化的特定用途土地价格，在省级以上土地估价行业协会组织专家论证的基础上，可以选择一种适宜的主要评估方法，并应在报告中充分披露，附具专家论证材料。</w:t>
      </w:r>
    </w:p>
    <w:p w14:paraId="7B6F198B" w14:textId="77777777" w:rsidR="00495C65" w:rsidRDefault="00495C65" w:rsidP="00495C65">
      <w:pPr>
        <w:pStyle w:val="ab"/>
        <w:spacing w:before="62" w:after="62"/>
        <w:ind w:firstLine="482"/>
      </w:pPr>
      <w:r>
        <w:lastRenderedPageBreak/>
        <w:t xml:space="preserve">9.2 土地用途分类 </w:t>
      </w:r>
    </w:p>
    <w:p w14:paraId="7033E786" w14:textId="77777777" w:rsidR="00495C65" w:rsidRDefault="00495C65" w:rsidP="00495C65">
      <w:pPr>
        <w:pStyle w:val="13"/>
      </w:pPr>
      <w:r>
        <w:rPr>
          <w:rFonts w:hint="eastAsia"/>
        </w:rPr>
        <w:t>在土地估价中，土地用途可分为以下基本类别：</w:t>
      </w:r>
      <w:r>
        <w:t xml:space="preserve"> </w:t>
      </w:r>
    </w:p>
    <w:p w14:paraId="1245ED9A" w14:textId="770CD683" w:rsidR="00495C65" w:rsidRDefault="00495C65" w:rsidP="00495C65">
      <w:pPr>
        <w:pStyle w:val="13"/>
      </w:pPr>
      <w:r>
        <w:rPr>
          <w:rFonts w:hint="eastAsia"/>
        </w:rPr>
        <w:t>（</w:t>
      </w:r>
      <w:r>
        <w:t>1）住宅用地</w:t>
      </w:r>
      <w:r w:rsidR="003068F8">
        <w:t>；</w:t>
      </w:r>
    </w:p>
    <w:p w14:paraId="1FB8F268" w14:textId="69238CD5" w:rsidR="00495C65" w:rsidRDefault="00495C65" w:rsidP="00495C65">
      <w:pPr>
        <w:pStyle w:val="13"/>
      </w:pPr>
      <w:r>
        <w:rPr>
          <w:rFonts w:hint="eastAsia"/>
        </w:rPr>
        <w:t>（</w:t>
      </w:r>
      <w:r>
        <w:t>2）工矿仓储用地</w:t>
      </w:r>
      <w:r w:rsidR="003068F8">
        <w:t>；</w:t>
      </w:r>
    </w:p>
    <w:p w14:paraId="153841DF" w14:textId="62A4676E" w:rsidR="00495C65" w:rsidRDefault="00495C65" w:rsidP="00495C65">
      <w:pPr>
        <w:pStyle w:val="13"/>
      </w:pPr>
      <w:r>
        <w:rPr>
          <w:rFonts w:hint="eastAsia"/>
        </w:rPr>
        <w:t>（</w:t>
      </w:r>
      <w:r>
        <w:t>3）商服用地</w:t>
      </w:r>
      <w:r w:rsidR="003068F8">
        <w:t>；</w:t>
      </w:r>
    </w:p>
    <w:p w14:paraId="2A43C36E" w14:textId="0017B608" w:rsidR="00495C65" w:rsidRDefault="00495C65" w:rsidP="00495C65">
      <w:pPr>
        <w:pStyle w:val="13"/>
      </w:pPr>
      <w:r>
        <w:rPr>
          <w:rFonts w:hint="eastAsia"/>
        </w:rPr>
        <w:t>（</w:t>
      </w:r>
      <w:r>
        <w:t>4）公共管理与公共服务用地</w:t>
      </w:r>
      <w:r w:rsidR="003068F8">
        <w:t>；</w:t>
      </w:r>
    </w:p>
    <w:p w14:paraId="04AD2E61" w14:textId="77777777" w:rsidR="00495C65" w:rsidRDefault="00495C65" w:rsidP="00495C65">
      <w:pPr>
        <w:pStyle w:val="13"/>
      </w:pPr>
      <w:r>
        <w:rPr>
          <w:rFonts w:hint="eastAsia"/>
        </w:rPr>
        <w:t>（</w:t>
      </w:r>
      <w:r>
        <w:t xml:space="preserve">5）交通运输用地。 </w:t>
      </w:r>
    </w:p>
    <w:p w14:paraId="02D8E36F" w14:textId="77777777" w:rsidR="00495C65" w:rsidRDefault="00495C65" w:rsidP="00495C65">
      <w:pPr>
        <w:pStyle w:val="13"/>
      </w:pPr>
      <w:r>
        <w:rPr>
          <w:rFonts w:hint="eastAsia"/>
        </w:rPr>
        <w:t>评估中，</w:t>
      </w:r>
      <w:proofErr w:type="gramStart"/>
      <w:r>
        <w:rPr>
          <w:rFonts w:hint="eastAsia"/>
        </w:rPr>
        <w:t>待估宗地</w:t>
      </w:r>
      <w:proofErr w:type="gramEnd"/>
      <w:r>
        <w:rPr>
          <w:rFonts w:hint="eastAsia"/>
        </w:rPr>
        <w:t>用途的设定宜参照《土地利用现状分类》（</w:t>
      </w:r>
      <w:r>
        <w:t>GB/T 21010-2007）的二级类进行细化，</w:t>
      </w:r>
      <w:r w:rsidRPr="00E23662">
        <w:rPr>
          <w:rFonts w:hint="eastAsia"/>
        </w:rPr>
        <w:t>对于具混合用途</w:t>
      </w:r>
      <w:proofErr w:type="gramStart"/>
      <w:r w:rsidRPr="00E23662">
        <w:rPr>
          <w:rFonts w:hint="eastAsia"/>
        </w:rPr>
        <w:t>的待估土地</w:t>
      </w:r>
      <w:proofErr w:type="gramEnd"/>
      <w:r w:rsidRPr="00E23662">
        <w:rPr>
          <w:rFonts w:hint="eastAsia"/>
        </w:rPr>
        <w:t>，应分别界定各用途的构成比例。</w:t>
      </w:r>
    </w:p>
    <w:p w14:paraId="5599C289" w14:textId="77777777" w:rsidR="00495C65" w:rsidRDefault="00495C65" w:rsidP="00495C65">
      <w:pPr>
        <w:pStyle w:val="ab"/>
        <w:spacing w:before="62" w:after="62"/>
        <w:ind w:firstLine="482"/>
      </w:pPr>
      <w:r>
        <w:t xml:space="preserve">9.3 价格影响因素分析 </w:t>
      </w:r>
    </w:p>
    <w:p w14:paraId="06C8D7DE" w14:textId="77777777" w:rsidR="00495C65" w:rsidRDefault="00495C65" w:rsidP="00495C65">
      <w:pPr>
        <w:pStyle w:val="13"/>
      </w:pPr>
      <w:r>
        <w:rPr>
          <w:rFonts w:hint="eastAsia"/>
        </w:rPr>
        <w:t>主要要求如下：</w:t>
      </w:r>
      <w:r>
        <w:t xml:space="preserve"> </w:t>
      </w:r>
    </w:p>
    <w:p w14:paraId="620E1ED0" w14:textId="515C5CCF" w:rsidR="00495C65" w:rsidRDefault="00495C65" w:rsidP="00495C65">
      <w:pPr>
        <w:pStyle w:val="13"/>
      </w:pPr>
      <w:r>
        <w:rPr>
          <w:rFonts w:hint="eastAsia"/>
        </w:rPr>
        <w:t>（</w:t>
      </w:r>
      <w:r>
        <w:t>1）评估不同用途的土地价格</w:t>
      </w:r>
      <w:r w:rsidR="003068F8">
        <w:t>，</w:t>
      </w:r>
      <w:r>
        <w:t>应对影响土地价格的一般因素、区域因素和个别因素进行深入分析。</w:t>
      </w:r>
    </w:p>
    <w:p w14:paraId="52C0F01F" w14:textId="77777777" w:rsidR="00495C65" w:rsidRDefault="00495C65" w:rsidP="00495C65">
      <w:pPr>
        <w:pStyle w:val="13"/>
      </w:pPr>
      <w:r w:rsidRPr="00E23662">
        <w:rPr>
          <w:rFonts w:hint="eastAsia"/>
        </w:rPr>
        <w:t>（</w:t>
      </w:r>
      <w:r w:rsidRPr="00E23662">
        <w:t>2）分析价格影响因素时，应根据不同土地的利用特点及其对各类影响因素的敏感程度，有所选择和侧重。</w:t>
      </w:r>
    </w:p>
    <w:p w14:paraId="4EC8B7F1" w14:textId="77777777" w:rsidR="00495C65" w:rsidRDefault="00495C65" w:rsidP="00495C65">
      <w:pPr>
        <w:pStyle w:val="ab"/>
        <w:spacing w:before="62" w:after="62"/>
        <w:ind w:firstLine="482"/>
      </w:pPr>
      <w:r>
        <w:t xml:space="preserve">9.4 住宅用地价格评估 </w:t>
      </w:r>
    </w:p>
    <w:p w14:paraId="05457ADC" w14:textId="77777777" w:rsidR="00495C65" w:rsidRDefault="00495C65" w:rsidP="00495C65">
      <w:pPr>
        <w:pStyle w:val="13"/>
      </w:pPr>
      <w:r>
        <w:t xml:space="preserve">9.4.1 影响因素分析 </w:t>
      </w:r>
    </w:p>
    <w:p w14:paraId="55870963" w14:textId="77777777" w:rsidR="00495C65" w:rsidRDefault="00495C65" w:rsidP="00495C65">
      <w:pPr>
        <w:pStyle w:val="13"/>
      </w:pPr>
      <w:r>
        <w:t xml:space="preserve">9.4.1.1 分析一般因素时应重点关注： </w:t>
      </w:r>
    </w:p>
    <w:p w14:paraId="387FEF09" w14:textId="5B8A6952" w:rsidR="00495C65" w:rsidRDefault="00495C65" w:rsidP="00495C65">
      <w:pPr>
        <w:pStyle w:val="13"/>
      </w:pPr>
      <w:r>
        <w:rPr>
          <w:rFonts w:hint="eastAsia"/>
        </w:rPr>
        <w:t>自然因素：城镇地理位置及与经济发展的关系、气候条件、发生自然灾害的机率等</w:t>
      </w:r>
      <w:r w:rsidR="003068F8">
        <w:rPr>
          <w:rFonts w:hint="eastAsia"/>
        </w:rPr>
        <w:t>；</w:t>
      </w:r>
    </w:p>
    <w:p w14:paraId="1F01FE78" w14:textId="14A17A8D" w:rsidR="00495C65" w:rsidRDefault="00495C65" w:rsidP="00495C65">
      <w:pPr>
        <w:pStyle w:val="13"/>
      </w:pPr>
      <w:r>
        <w:rPr>
          <w:rFonts w:hint="eastAsia"/>
        </w:rPr>
        <w:t>社会因素：人口数量与家庭规模、城镇发展与公共设施建设、居民生活方式等</w:t>
      </w:r>
      <w:r w:rsidR="003068F8">
        <w:rPr>
          <w:rFonts w:hint="eastAsia"/>
        </w:rPr>
        <w:t>；</w:t>
      </w:r>
    </w:p>
    <w:p w14:paraId="2A8BFF09" w14:textId="77777777" w:rsidR="00495C65" w:rsidRDefault="00495C65" w:rsidP="00495C65">
      <w:pPr>
        <w:pStyle w:val="13"/>
      </w:pPr>
      <w:r>
        <w:rPr>
          <w:rFonts w:hint="eastAsia"/>
        </w:rPr>
        <w:t>经济因素：地区经济增长、财政金融状况与利率水平、交通体系、物价水平、当地就业状况、居民</w:t>
      </w:r>
      <w:r w:rsidRPr="00E23662">
        <w:rPr>
          <w:rFonts w:hint="eastAsia"/>
        </w:rPr>
        <w:t>的收入与消费水平、土地与不动产市场状况等；</w:t>
      </w:r>
    </w:p>
    <w:p w14:paraId="57C3D402" w14:textId="77777777" w:rsidR="00495C65" w:rsidRDefault="00495C65" w:rsidP="00495C65">
      <w:pPr>
        <w:pStyle w:val="13"/>
      </w:pPr>
      <w:r>
        <w:rPr>
          <w:rFonts w:hint="eastAsia"/>
        </w:rPr>
        <w:t>行政因素：土地利用规划与管制、城乡规划与控制、土地与不动产税收制度、土地与不动产政策等。</w:t>
      </w:r>
    </w:p>
    <w:p w14:paraId="0EA94578" w14:textId="77777777" w:rsidR="00495C65" w:rsidRDefault="00495C65" w:rsidP="00495C65">
      <w:pPr>
        <w:pStyle w:val="13"/>
      </w:pPr>
      <w:r>
        <w:t xml:space="preserve">9.4.1.2 分析区域因素时应重点关注： </w:t>
      </w:r>
    </w:p>
    <w:p w14:paraId="0EDABFEC" w14:textId="6D8D7E22" w:rsidR="00495C65" w:rsidRDefault="00495C65" w:rsidP="00495C65">
      <w:pPr>
        <w:pStyle w:val="13"/>
      </w:pPr>
      <w:r>
        <w:rPr>
          <w:rFonts w:hint="eastAsia"/>
        </w:rPr>
        <w:t>自然因素：区域在城镇中的位置、自然条件及发生自然灾害的机率等</w:t>
      </w:r>
      <w:r w:rsidR="003068F8">
        <w:rPr>
          <w:rFonts w:hint="eastAsia"/>
        </w:rPr>
        <w:t>；</w:t>
      </w:r>
    </w:p>
    <w:p w14:paraId="79018477" w14:textId="1BDBA557" w:rsidR="00495C65" w:rsidRDefault="00495C65" w:rsidP="00495C65">
      <w:pPr>
        <w:pStyle w:val="13"/>
      </w:pPr>
      <w:r>
        <w:rPr>
          <w:rFonts w:hint="eastAsia"/>
        </w:rPr>
        <w:t>社会因素：社区规模功能与安全保障、人口密度、邻里的社会归属文化程度及生活方式等</w:t>
      </w:r>
      <w:r w:rsidR="003068F8">
        <w:rPr>
          <w:rFonts w:hint="eastAsia"/>
        </w:rPr>
        <w:t>；</w:t>
      </w:r>
    </w:p>
    <w:p w14:paraId="4A43D13A" w14:textId="68F3CAD7" w:rsidR="00495C65" w:rsidRDefault="00495C65" w:rsidP="00495C65">
      <w:pPr>
        <w:pStyle w:val="13"/>
      </w:pPr>
      <w:r>
        <w:rPr>
          <w:rFonts w:hint="eastAsia"/>
        </w:rPr>
        <w:t>交通条件：</w:t>
      </w:r>
      <w:proofErr w:type="gramStart"/>
      <w:r>
        <w:rPr>
          <w:rFonts w:hint="eastAsia"/>
        </w:rPr>
        <w:t>距社会</w:t>
      </w:r>
      <w:proofErr w:type="gramEnd"/>
      <w:r>
        <w:rPr>
          <w:rFonts w:hint="eastAsia"/>
        </w:rPr>
        <w:t>经济活动中心的距离、道路状况与交通管制、出行的便捷程度等</w:t>
      </w:r>
      <w:r w:rsidR="003068F8">
        <w:rPr>
          <w:rFonts w:hint="eastAsia"/>
        </w:rPr>
        <w:t>；</w:t>
      </w:r>
    </w:p>
    <w:p w14:paraId="26BE6B9F" w14:textId="4A13FDDD" w:rsidR="00495C65" w:rsidRDefault="00495C65" w:rsidP="00495C65">
      <w:pPr>
        <w:pStyle w:val="13"/>
      </w:pPr>
      <w:r>
        <w:rPr>
          <w:rFonts w:hint="eastAsia"/>
        </w:rPr>
        <w:t>基础设施状况：供水、排水、供热、供电、供气、通讯等基础设施与公用服务设施状况等</w:t>
      </w:r>
      <w:r w:rsidR="003068F8">
        <w:rPr>
          <w:rFonts w:hint="eastAsia"/>
        </w:rPr>
        <w:t>；</w:t>
      </w:r>
    </w:p>
    <w:p w14:paraId="72338C86" w14:textId="7B6E6189" w:rsidR="00495C65" w:rsidRDefault="00495C65" w:rsidP="00495C65">
      <w:pPr>
        <w:pStyle w:val="13"/>
      </w:pPr>
      <w:r>
        <w:rPr>
          <w:rFonts w:hint="eastAsia"/>
        </w:rPr>
        <w:lastRenderedPageBreak/>
        <w:t>经济发展水平：区域经济发展规模及水平、居民收入水平等</w:t>
      </w:r>
      <w:r w:rsidR="003068F8">
        <w:rPr>
          <w:rFonts w:hint="eastAsia"/>
        </w:rPr>
        <w:t>；</w:t>
      </w:r>
    </w:p>
    <w:p w14:paraId="3EA2E1BF" w14:textId="36BCD5B0" w:rsidR="00495C65" w:rsidRDefault="00495C65" w:rsidP="00495C65">
      <w:pPr>
        <w:pStyle w:val="13"/>
      </w:pPr>
      <w:r>
        <w:rPr>
          <w:rFonts w:hint="eastAsia"/>
        </w:rPr>
        <w:t>行政因素：区域经济政策、土地规划及城镇规划限制</w:t>
      </w:r>
      <w:r w:rsidR="003068F8">
        <w:rPr>
          <w:rFonts w:hint="eastAsia"/>
        </w:rPr>
        <w:t>；</w:t>
      </w:r>
    </w:p>
    <w:p w14:paraId="09BB39FA" w14:textId="77777777" w:rsidR="00495C65" w:rsidRDefault="00495C65" w:rsidP="00495C65">
      <w:pPr>
        <w:pStyle w:val="13"/>
      </w:pPr>
      <w:r>
        <w:rPr>
          <w:rFonts w:hint="eastAsia"/>
        </w:rPr>
        <w:t>环境因素：区域环境与景观、空气、噪音、光源污染及危险设施或污染源的临近程度等。</w:t>
      </w:r>
    </w:p>
    <w:p w14:paraId="6EABDA46" w14:textId="77777777" w:rsidR="00495C65" w:rsidRDefault="00495C65" w:rsidP="00495C65">
      <w:pPr>
        <w:pStyle w:val="13"/>
      </w:pPr>
      <w:r>
        <w:t xml:space="preserve">9.4.1.3 分析个别因素时应重点关注： </w:t>
      </w:r>
    </w:p>
    <w:p w14:paraId="51E1A0F2" w14:textId="77777777" w:rsidR="00495C65" w:rsidRDefault="00495C65" w:rsidP="00495C65">
      <w:pPr>
        <w:pStyle w:val="13"/>
      </w:pPr>
      <w:r>
        <w:rPr>
          <w:rFonts w:hint="eastAsia"/>
        </w:rPr>
        <w:t>宗地地形、地质、地势、日照、通风、干湿、宽度、深度、面积、形状、容积率、建筑密度、临街</w:t>
      </w:r>
      <w:r w:rsidRPr="00E23662">
        <w:rPr>
          <w:rFonts w:hint="eastAsia"/>
        </w:rPr>
        <w:t>状况、毗邻道路的类型与等级、通达性、给排水与电热气暖通讯等的通达及保证程度、规划限制、宗地利用状态、地上建筑物的成新、通风与眺望景观、土地权利状况及使用、与交通设施的距离、与商</w:t>
      </w:r>
      <w:proofErr w:type="gramStart"/>
      <w:r w:rsidRPr="00E23662">
        <w:rPr>
          <w:rFonts w:hint="eastAsia"/>
        </w:rPr>
        <w:t>服设施</w:t>
      </w:r>
      <w:proofErr w:type="gramEnd"/>
      <w:r w:rsidRPr="00E23662">
        <w:rPr>
          <w:rFonts w:hint="eastAsia"/>
        </w:rPr>
        <w:t>公共设施及公益设施的接近程度、与危险设施及污染源的接近程度、相邻土地利用等。</w:t>
      </w:r>
    </w:p>
    <w:p w14:paraId="57E844F2" w14:textId="77777777" w:rsidR="00495C65" w:rsidRDefault="00495C65" w:rsidP="00495C65">
      <w:pPr>
        <w:pStyle w:val="13"/>
      </w:pPr>
      <w:r>
        <w:t xml:space="preserve">9.4.2 估价方法选择与评估 </w:t>
      </w:r>
    </w:p>
    <w:p w14:paraId="04A9DA60" w14:textId="77777777" w:rsidR="00495C65" w:rsidRDefault="00495C65" w:rsidP="00495C65">
      <w:pPr>
        <w:pStyle w:val="13"/>
      </w:pPr>
      <w:r>
        <w:t xml:space="preserve">9.4.2.1 估价方法选择 </w:t>
      </w:r>
    </w:p>
    <w:p w14:paraId="032B3BEB" w14:textId="77777777" w:rsidR="00495C65" w:rsidRDefault="00495C65" w:rsidP="00495C65">
      <w:pPr>
        <w:pStyle w:val="13"/>
      </w:pPr>
      <w:r>
        <w:rPr>
          <w:rFonts w:hint="eastAsia"/>
        </w:rPr>
        <w:t>评估住宅用地价格宜选择市场比较法，并</w:t>
      </w:r>
      <w:proofErr w:type="gramStart"/>
      <w:r>
        <w:rPr>
          <w:rFonts w:hint="eastAsia"/>
        </w:rPr>
        <w:t>至少另辅一种</w:t>
      </w:r>
      <w:proofErr w:type="gramEnd"/>
      <w:r>
        <w:rPr>
          <w:rFonts w:hint="eastAsia"/>
        </w:rPr>
        <w:t>适宜的估价方法。</w:t>
      </w:r>
      <w:r>
        <w:t xml:space="preserve"> </w:t>
      </w:r>
    </w:p>
    <w:p w14:paraId="2CA64BD6" w14:textId="77777777" w:rsidR="00495C65" w:rsidRDefault="00495C65" w:rsidP="00495C65">
      <w:pPr>
        <w:pStyle w:val="13"/>
      </w:pPr>
      <w:r>
        <w:rPr>
          <w:rFonts w:hint="eastAsia"/>
        </w:rPr>
        <w:t>评估位于中心城区的住宅用地，不宜采用成本逼近法。</w:t>
      </w:r>
      <w:r>
        <w:t xml:space="preserve"> </w:t>
      </w:r>
    </w:p>
    <w:p w14:paraId="02B823B2" w14:textId="77777777" w:rsidR="00495C65" w:rsidRDefault="00495C65" w:rsidP="00495C65">
      <w:pPr>
        <w:pStyle w:val="13"/>
      </w:pPr>
      <w:r>
        <w:rPr>
          <w:rFonts w:hint="eastAsia"/>
        </w:rPr>
        <w:t>评估投资待建的住宅用地，可选择剩余法。</w:t>
      </w:r>
      <w:r>
        <w:t xml:space="preserve"> </w:t>
      </w:r>
    </w:p>
    <w:p w14:paraId="6D3E0AB3" w14:textId="77777777" w:rsidR="00495C65" w:rsidRDefault="00495C65" w:rsidP="00495C65">
      <w:pPr>
        <w:pStyle w:val="13"/>
      </w:pPr>
      <w:r>
        <w:rPr>
          <w:rFonts w:hint="eastAsia"/>
        </w:rPr>
        <w:t>评估位于城镇规划区外零星分布的住宅用地，可选择剩余法。</w:t>
      </w:r>
      <w:r>
        <w:t xml:space="preserve"> </w:t>
      </w:r>
    </w:p>
    <w:p w14:paraId="002D673A" w14:textId="77777777" w:rsidR="00495C65" w:rsidRDefault="00495C65" w:rsidP="00495C65">
      <w:pPr>
        <w:pStyle w:val="13"/>
      </w:pPr>
      <w:r>
        <w:rPr>
          <w:rFonts w:hint="eastAsia"/>
        </w:rPr>
        <w:t>对新开发土地，可选用成本逼近法。</w:t>
      </w:r>
      <w:r>
        <w:t xml:space="preserve"> </w:t>
      </w:r>
    </w:p>
    <w:p w14:paraId="68DDB95D" w14:textId="77777777" w:rsidR="00495C65" w:rsidRDefault="00495C65" w:rsidP="00495C65">
      <w:pPr>
        <w:pStyle w:val="13"/>
      </w:pPr>
      <w:r>
        <w:t xml:space="preserve">9.4.2.2 评估技术要点 </w:t>
      </w:r>
    </w:p>
    <w:p w14:paraId="1D1D25D1" w14:textId="77777777" w:rsidR="00495C65" w:rsidRDefault="00495C65" w:rsidP="00495C65">
      <w:pPr>
        <w:pStyle w:val="13"/>
      </w:pPr>
      <w:r>
        <w:rPr>
          <w:rFonts w:hint="eastAsia"/>
        </w:rPr>
        <w:t>技术要点如下：</w:t>
      </w:r>
      <w:r>
        <w:t xml:space="preserve"> </w:t>
      </w:r>
    </w:p>
    <w:p w14:paraId="02407C8D" w14:textId="77777777" w:rsidR="00495C65" w:rsidRDefault="00495C65" w:rsidP="00495C65">
      <w:pPr>
        <w:pStyle w:val="13"/>
      </w:pPr>
      <w:r>
        <w:rPr>
          <w:rFonts w:hint="eastAsia"/>
        </w:rPr>
        <w:t>（</w:t>
      </w:r>
      <w:r>
        <w:t>1）评估别墅等独立住宅用地，应重点分析：城镇地理位置与气候条件、居民生活方式、地区经济增</w:t>
      </w:r>
      <w:r>
        <w:rPr>
          <w:rFonts w:hint="eastAsia"/>
        </w:rPr>
        <w:t>长、财政金融状况与利率水平、景观、人文环境、建筑密度与间距、容积率、绿化率等因素对地价的影响。</w:t>
      </w:r>
      <w:r>
        <w:t xml:space="preserve"> </w:t>
      </w:r>
    </w:p>
    <w:p w14:paraId="7EF6D47B" w14:textId="77777777" w:rsidR="00495C65" w:rsidRDefault="00495C65" w:rsidP="00495C65">
      <w:pPr>
        <w:pStyle w:val="13"/>
      </w:pPr>
      <w:r>
        <w:rPr>
          <w:rFonts w:hint="eastAsia"/>
        </w:rPr>
        <w:t>（</w:t>
      </w:r>
      <w:r>
        <w:t xml:space="preserve">2）评估高档公寓用地，应重点分析：居民生活方式、人文环境与景观、基础设施与公用设施状况、交通通达程度、规划限制、容积率、地形条件等因素对地价的影响。 </w:t>
      </w:r>
    </w:p>
    <w:p w14:paraId="5E4279C8" w14:textId="77777777" w:rsidR="00495C65" w:rsidRDefault="00495C65" w:rsidP="00495C65">
      <w:pPr>
        <w:pStyle w:val="13"/>
      </w:pPr>
      <w:r>
        <w:rPr>
          <w:rFonts w:hint="eastAsia"/>
        </w:rPr>
        <w:t>（</w:t>
      </w:r>
      <w:r>
        <w:t xml:space="preserve">3）评估普通住宅用地，应重点分析：城镇人口数量与家庭规模、经济发展水平、居民收入与消费水平、居民住房条件、政府的住房消费政策与住房金融政策、区域位置、公交便捷程度、基础设施与公用设施状况、规划限制、容积率、宗地面积、形状、地形及地质条件等因素对地价的影响。 </w:t>
      </w:r>
    </w:p>
    <w:p w14:paraId="3746CB3E" w14:textId="77777777" w:rsidR="00495C65" w:rsidRDefault="00495C65" w:rsidP="00495C65">
      <w:pPr>
        <w:pStyle w:val="13"/>
      </w:pPr>
      <w:r>
        <w:rPr>
          <w:rFonts w:hint="eastAsia"/>
        </w:rPr>
        <w:t>（</w:t>
      </w:r>
      <w:r>
        <w:t>4）评估已售公房、经济适用房等保障性住房的用地价格时，应注意与商品住房用地间存在的权益差别及其对土地价格的影响。</w:t>
      </w:r>
    </w:p>
    <w:p w14:paraId="31EFDE58" w14:textId="77777777" w:rsidR="00495C65" w:rsidRDefault="00495C65" w:rsidP="00495C65">
      <w:pPr>
        <w:pStyle w:val="ab"/>
        <w:spacing w:before="62" w:after="62"/>
        <w:ind w:firstLine="482"/>
      </w:pPr>
      <w:r>
        <w:t xml:space="preserve">9.5 工矿仓储用地价格评估 </w:t>
      </w:r>
    </w:p>
    <w:p w14:paraId="5A31A11F" w14:textId="77777777" w:rsidR="00495C65" w:rsidRDefault="00495C65" w:rsidP="00495C65">
      <w:pPr>
        <w:pStyle w:val="13"/>
      </w:pPr>
      <w:r>
        <w:t xml:space="preserve">9.5.1 影响因素分析 </w:t>
      </w:r>
    </w:p>
    <w:p w14:paraId="3CFF0338" w14:textId="77777777" w:rsidR="00495C65" w:rsidRDefault="00495C65" w:rsidP="00495C65">
      <w:pPr>
        <w:pStyle w:val="13"/>
      </w:pPr>
      <w:r>
        <w:t xml:space="preserve">9.5.1.1 分析一般因素时应重点关注 </w:t>
      </w:r>
    </w:p>
    <w:p w14:paraId="1E2B56D5" w14:textId="17E6472B" w:rsidR="00495C65" w:rsidRDefault="00495C65" w:rsidP="00495C65">
      <w:pPr>
        <w:pStyle w:val="13"/>
      </w:pPr>
      <w:r>
        <w:rPr>
          <w:rFonts w:hint="eastAsia"/>
        </w:rPr>
        <w:lastRenderedPageBreak/>
        <w:t>自然因素：城镇地理位置、地质条件、水文气候条件等</w:t>
      </w:r>
      <w:r w:rsidR="003068F8">
        <w:rPr>
          <w:rFonts w:hint="eastAsia"/>
        </w:rPr>
        <w:t>；</w:t>
      </w:r>
    </w:p>
    <w:p w14:paraId="7FAEFAE6" w14:textId="09510E86" w:rsidR="00495C65" w:rsidRDefault="00495C65" w:rsidP="00495C65">
      <w:pPr>
        <w:pStyle w:val="13"/>
      </w:pPr>
      <w:r>
        <w:rPr>
          <w:rFonts w:hint="eastAsia"/>
        </w:rPr>
        <w:t>社会因素：城镇发展与公共设施建设等</w:t>
      </w:r>
      <w:r w:rsidR="003068F8">
        <w:rPr>
          <w:rFonts w:hint="eastAsia"/>
        </w:rPr>
        <w:t>；</w:t>
      </w:r>
    </w:p>
    <w:p w14:paraId="76DC3B5E" w14:textId="6CBF808C" w:rsidR="00495C65" w:rsidRDefault="00495C65" w:rsidP="00495C65">
      <w:pPr>
        <w:pStyle w:val="13"/>
      </w:pPr>
      <w:r>
        <w:rPr>
          <w:rFonts w:hint="eastAsia"/>
        </w:rPr>
        <w:t>经济因素：地区经济增长、财政金融状况与利率水平、交通体系、产业政策、产业结构、技术创新、物价工资及就业水平、相同或相关产业的市场状况等</w:t>
      </w:r>
      <w:r w:rsidR="003068F8">
        <w:rPr>
          <w:rFonts w:hint="eastAsia"/>
        </w:rPr>
        <w:t>；</w:t>
      </w:r>
    </w:p>
    <w:p w14:paraId="79DE820D" w14:textId="77777777" w:rsidR="00495C65" w:rsidRDefault="00495C65" w:rsidP="00495C65">
      <w:pPr>
        <w:pStyle w:val="13"/>
      </w:pPr>
      <w:r>
        <w:rPr>
          <w:rFonts w:hint="eastAsia"/>
        </w:rPr>
        <w:t>行政因素：城镇土地利用规划、工业地产租金与税收政策、调控政策等。</w:t>
      </w:r>
      <w:r>
        <w:t xml:space="preserve"> </w:t>
      </w:r>
    </w:p>
    <w:p w14:paraId="68302521" w14:textId="77777777" w:rsidR="00495C65" w:rsidRDefault="00495C65" w:rsidP="00495C65">
      <w:pPr>
        <w:pStyle w:val="13"/>
      </w:pPr>
      <w:r>
        <w:t xml:space="preserve">9.5.1.2 分析区域因素时应重点关注： </w:t>
      </w:r>
    </w:p>
    <w:p w14:paraId="1A0D5F4C" w14:textId="77777777" w:rsidR="00495C65" w:rsidRDefault="00495C65" w:rsidP="00495C65">
      <w:pPr>
        <w:pStyle w:val="13"/>
      </w:pPr>
      <w:r w:rsidRPr="00583DF5">
        <w:rPr>
          <w:rFonts w:hint="eastAsia"/>
        </w:rPr>
        <w:t>交通状况：对外交通便捷程度、交通管制、距货物集散地（车站、码头、机场）距离及货物集散地的规模档次、道路构造及档次、道路体系等；</w:t>
      </w:r>
    </w:p>
    <w:p w14:paraId="0E0DA733" w14:textId="431DC23C" w:rsidR="00495C65" w:rsidRDefault="00495C65" w:rsidP="00495C65">
      <w:pPr>
        <w:pStyle w:val="13"/>
      </w:pPr>
      <w:r>
        <w:rPr>
          <w:rFonts w:hint="eastAsia"/>
        </w:rPr>
        <w:t>基础设施状况：供水、排水、供热、供电、供气、电信等的通达与供给</w:t>
      </w:r>
      <w:r w:rsidR="003068F8">
        <w:rPr>
          <w:rFonts w:hint="eastAsia"/>
        </w:rPr>
        <w:t>；</w:t>
      </w:r>
    </w:p>
    <w:p w14:paraId="3CD41908" w14:textId="197E816A" w:rsidR="00495C65" w:rsidRDefault="00495C65" w:rsidP="00495C65">
      <w:pPr>
        <w:pStyle w:val="13"/>
      </w:pPr>
      <w:r>
        <w:rPr>
          <w:rFonts w:hint="eastAsia"/>
        </w:rPr>
        <w:t>环境状况：污染排放状况及治理状况、</w:t>
      </w:r>
      <w:proofErr w:type="gramStart"/>
      <w:r>
        <w:rPr>
          <w:rFonts w:hint="eastAsia"/>
        </w:rPr>
        <w:t>距危险</w:t>
      </w:r>
      <w:proofErr w:type="gramEnd"/>
      <w:r>
        <w:rPr>
          <w:rFonts w:hint="eastAsia"/>
        </w:rPr>
        <w:t>设施或污染源的临近程度、自然条件等</w:t>
      </w:r>
      <w:r w:rsidR="003068F8">
        <w:rPr>
          <w:rFonts w:hint="eastAsia"/>
        </w:rPr>
        <w:t>；</w:t>
      </w:r>
    </w:p>
    <w:p w14:paraId="2FD12904" w14:textId="5CE98C35" w:rsidR="00495C65" w:rsidRDefault="00495C65" w:rsidP="00495C65">
      <w:pPr>
        <w:pStyle w:val="13"/>
      </w:pPr>
      <w:r>
        <w:rPr>
          <w:rFonts w:hint="eastAsia"/>
        </w:rPr>
        <w:t>工业区成熟度：所在工业区性质、相关产业的配套及集聚状况、工业区的未来发展趋势等</w:t>
      </w:r>
      <w:r w:rsidR="003068F8">
        <w:rPr>
          <w:rFonts w:hint="eastAsia"/>
        </w:rPr>
        <w:t>；</w:t>
      </w:r>
    </w:p>
    <w:p w14:paraId="061F4185" w14:textId="77777777" w:rsidR="00495C65" w:rsidRDefault="00495C65" w:rsidP="00495C65">
      <w:pPr>
        <w:pStyle w:val="13"/>
      </w:pPr>
      <w:r>
        <w:rPr>
          <w:rFonts w:hint="eastAsia"/>
        </w:rPr>
        <w:t>行政因素：规划限制、政府的特殊政策、产业管制等。</w:t>
      </w:r>
      <w:r>
        <w:t xml:space="preserve"> </w:t>
      </w:r>
    </w:p>
    <w:p w14:paraId="78212E3B" w14:textId="77777777" w:rsidR="00495C65" w:rsidRDefault="00495C65" w:rsidP="00495C65">
      <w:pPr>
        <w:pStyle w:val="13"/>
      </w:pPr>
      <w:r>
        <w:t xml:space="preserve">9.5.1.3 分析个别因素时应重点关注： </w:t>
      </w:r>
    </w:p>
    <w:p w14:paraId="2BF78000" w14:textId="77777777" w:rsidR="00495C65" w:rsidRDefault="00495C65" w:rsidP="00495C65">
      <w:pPr>
        <w:pStyle w:val="13"/>
      </w:pPr>
      <w:r>
        <w:rPr>
          <w:rFonts w:hint="eastAsia"/>
        </w:rPr>
        <w:t>地形、地势、地质、水文条件、面积、临路状况、位置、土地使用限制、土地开发程度、土地权利</w:t>
      </w:r>
      <w:r w:rsidRPr="00583DF5">
        <w:rPr>
          <w:rFonts w:hint="eastAsia"/>
        </w:rPr>
        <w:t>状况及使用等。</w:t>
      </w:r>
    </w:p>
    <w:p w14:paraId="50F64F80" w14:textId="77777777" w:rsidR="00495C65" w:rsidRDefault="00495C65" w:rsidP="00495C65">
      <w:pPr>
        <w:pStyle w:val="13"/>
      </w:pPr>
      <w:r>
        <w:t xml:space="preserve">9.5.2 估价方法选择与评估 </w:t>
      </w:r>
    </w:p>
    <w:p w14:paraId="1454B0A1" w14:textId="77777777" w:rsidR="00495C65" w:rsidRDefault="00495C65" w:rsidP="00495C65">
      <w:pPr>
        <w:pStyle w:val="13"/>
      </w:pPr>
      <w:r>
        <w:t xml:space="preserve">9.5.2.1 估价方法选择 </w:t>
      </w:r>
    </w:p>
    <w:p w14:paraId="1008BCC6" w14:textId="77777777" w:rsidR="00495C65" w:rsidRDefault="00495C65" w:rsidP="00495C65">
      <w:pPr>
        <w:pStyle w:val="13"/>
      </w:pPr>
      <w:r>
        <w:rPr>
          <w:rFonts w:hint="eastAsia"/>
        </w:rPr>
        <w:t>评估工矿仓储用地价格，宜选择市场比较法，并至少辅以另一种适宜的估价方法。</w:t>
      </w:r>
      <w:r>
        <w:t xml:space="preserve"> </w:t>
      </w:r>
    </w:p>
    <w:p w14:paraId="3A3EB8D1" w14:textId="77777777" w:rsidR="00495C65" w:rsidRDefault="00495C65" w:rsidP="00495C65">
      <w:pPr>
        <w:pStyle w:val="13"/>
      </w:pPr>
      <w:r>
        <w:rPr>
          <w:rFonts w:hint="eastAsia"/>
        </w:rPr>
        <w:t>如缺少市场可比案例，可酌情选用成本逼近法与基准地价系数修正法。</w:t>
      </w:r>
      <w:r>
        <w:t xml:space="preserve"> </w:t>
      </w:r>
    </w:p>
    <w:p w14:paraId="13450F4F" w14:textId="77777777" w:rsidR="00495C65" w:rsidRDefault="00495C65" w:rsidP="00495C65">
      <w:pPr>
        <w:pStyle w:val="13"/>
      </w:pPr>
      <w:r>
        <w:rPr>
          <w:rFonts w:hint="eastAsia"/>
        </w:rPr>
        <w:t>评估租赁性工矿仓储用地，宜选用收益还原法。</w:t>
      </w:r>
      <w:r>
        <w:t xml:space="preserve"> </w:t>
      </w:r>
    </w:p>
    <w:p w14:paraId="5B68F3F5" w14:textId="77777777" w:rsidR="00495C65" w:rsidRDefault="00495C65" w:rsidP="00495C65">
      <w:pPr>
        <w:pStyle w:val="13"/>
      </w:pPr>
      <w:r>
        <w:rPr>
          <w:rFonts w:hint="eastAsia"/>
        </w:rPr>
        <w:t>评估投资待建的工矿仓储用地，可选用剩余法。</w:t>
      </w:r>
      <w:r>
        <w:t xml:space="preserve"> </w:t>
      </w:r>
    </w:p>
    <w:p w14:paraId="6463E8ED" w14:textId="77777777" w:rsidR="00495C65" w:rsidRDefault="00495C65" w:rsidP="00495C65">
      <w:pPr>
        <w:pStyle w:val="13"/>
      </w:pPr>
      <w:r>
        <w:rPr>
          <w:rFonts w:hint="eastAsia"/>
        </w:rPr>
        <w:t>评估位于中心城区的工业仓储用地，一般情况下不宜采用成本逼近法。</w:t>
      </w:r>
      <w:r>
        <w:t xml:space="preserve"> </w:t>
      </w:r>
    </w:p>
    <w:p w14:paraId="67EBADA7" w14:textId="77777777" w:rsidR="00495C65" w:rsidRDefault="00495C65" w:rsidP="00495C65">
      <w:pPr>
        <w:pStyle w:val="13"/>
      </w:pPr>
      <w:r>
        <w:t xml:space="preserve">9.5.2.2 评估技术要点 </w:t>
      </w:r>
    </w:p>
    <w:p w14:paraId="5771CC8A" w14:textId="77777777" w:rsidR="00495C65" w:rsidRDefault="00495C65" w:rsidP="00495C65">
      <w:pPr>
        <w:pStyle w:val="13"/>
      </w:pPr>
      <w:r>
        <w:rPr>
          <w:rFonts w:hint="eastAsia"/>
        </w:rPr>
        <w:t>技术要点如下：</w:t>
      </w:r>
      <w:r>
        <w:t xml:space="preserve"> </w:t>
      </w:r>
    </w:p>
    <w:p w14:paraId="43C0A10D" w14:textId="5C9D6854" w:rsidR="00495C65" w:rsidRDefault="00495C65" w:rsidP="00495C65">
      <w:pPr>
        <w:pStyle w:val="13"/>
      </w:pPr>
      <w:r>
        <w:rPr>
          <w:rFonts w:hint="eastAsia"/>
        </w:rPr>
        <w:t>（</w:t>
      </w:r>
      <w:r>
        <w:t>1）确定投资利息率、利润率、土地增值收益率及土地还原率时，应注意把握各类工业的投资风</w:t>
      </w:r>
      <w:r>
        <w:rPr>
          <w:rFonts w:hint="eastAsia"/>
        </w:rPr>
        <w:t>险、资金利润率及土地增值的客观差异</w:t>
      </w:r>
      <w:r w:rsidR="003068F8">
        <w:rPr>
          <w:rFonts w:hint="eastAsia"/>
        </w:rPr>
        <w:t>；</w:t>
      </w:r>
    </w:p>
    <w:p w14:paraId="4FEF3E2C" w14:textId="4022E38C" w:rsidR="00495C65" w:rsidRDefault="00495C65" w:rsidP="00495C65">
      <w:pPr>
        <w:pStyle w:val="13"/>
      </w:pPr>
      <w:r>
        <w:rPr>
          <w:rFonts w:hint="eastAsia"/>
        </w:rPr>
        <w:t>（</w:t>
      </w:r>
      <w:r>
        <w:t>2）矿井、采矿（石）场、尾矿堆放用地价格评估，宗地</w:t>
      </w:r>
      <w:proofErr w:type="gramStart"/>
      <w:r>
        <w:t>外开发</w:t>
      </w:r>
      <w:proofErr w:type="gramEnd"/>
      <w:r>
        <w:t>程度依政府投资的实际配套状况设</w:t>
      </w:r>
      <w:r>
        <w:rPr>
          <w:rFonts w:hint="eastAsia"/>
        </w:rPr>
        <w:t>定，最低应设定为达到可开工条件；当矿产资源可开采年限低于出让时，年期修正应</w:t>
      </w:r>
      <w:proofErr w:type="gramStart"/>
      <w:r>
        <w:rPr>
          <w:rFonts w:hint="eastAsia"/>
        </w:rPr>
        <w:t>依资源</w:t>
      </w:r>
      <w:proofErr w:type="gramEnd"/>
      <w:r>
        <w:rPr>
          <w:rFonts w:hint="eastAsia"/>
        </w:rPr>
        <w:t>可开采确定</w:t>
      </w:r>
      <w:r w:rsidR="003068F8">
        <w:rPr>
          <w:rFonts w:hint="eastAsia"/>
        </w:rPr>
        <w:t>；</w:t>
      </w:r>
    </w:p>
    <w:p w14:paraId="2830FEA5" w14:textId="77F8ABC5" w:rsidR="00495C65" w:rsidRDefault="00495C65" w:rsidP="00495C65">
      <w:pPr>
        <w:pStyle w:val="13"/>
      </w:pPr>
      <w:r>
        <w:rPr>
          <w:rFonts w:hint="eastAsia"/>
        </w:rPr>
        <w:t>（</w:t>
      </w:r>
      <w:r>
        <w:t>3）高新技术企业用地价格评估，应根据其高技术、高附加值、污染小、环境较好、土地利用程度较高等特点，进行合理的估价。这类土地的增值收益较普通工业</w:t>
      </w:r>
      <w:r>
        <w:lastRenderedPageBreak/>
        <w:t>用地高</w:t>
      </w:r>
      <w:r w:rsidR="003068F8">
        <w:t>；</w:t>
      </w:r>
    </w:p>
    <w:p w14:paraId="7AA5BF8D" w14:textId="77777777" w:rsidR="00495C65" w:rsidRDefault="00495C65" w:rsidP="00495C65">
      <w:pPr>
        <w:pStyle w:val="13"/>
      </w:pPr>
      <w:r>
        <w:rPr>
          <w:rFonts w:hint="eastAsia"/>
        </w:rPr>
        <w:t>（</w:t>
      </w:r>
      <w:r>
        <w:t>4）对于仓储业用地价格评估，应重点考虑其土地利用的机会成本及对相关企业收益的影响程度；</w:t>
      </w:r>
    </w:p>
    <w:p w14:paraId="43B28C98" w14:textId="278183C2" w:rsidR="00495C65" w:rsidRDefault="00495C65" w:rsidP="00495C65">
      <w:pPr>
        <w:pStyle w:val="13"/>
      </w:pPr>
      <w:r>
        <w:t>（5）在工业类用地价格评估中，当同一区域宗地数量较多时，可选择某一至两宗具有代表意义的标准宗地进行评估，其他宗地价格依个别修正确定</w:t>
      </w:r>
      <w:r w:rsidR="003068F8">
        <w:t>；</w:t>
      </w:r>
      <w:r>
        <w:t xml:space="preserve"> </w:t>
      </w:r>
    </w:p>
    <w:p w14:paraId="33C86D2D" w14:textId="77777777" w:rsidR="00495C65" w:rsidRDefault="00495C65" w:rsidP="00495C65">
      <w:pPr>
        <w:pStyle w:val="13"/>
      </w:pPr>
      <w:r>
        <w:rPr>
          <w:rFonts w:hint="eastAsia"/>
        </w:rPr>
        <w:t>（</w:t>
      </w:r>
      <w:r>
        <w:t>6）评估空置或低效利用的工业仓储用地以及位于城镇中心区非工业规划范围内的存量工业仓储用地，应视估价目的的不同而考虑土地的最有效利用方向。</w:t>
      </w:r>
    </w:p>
    <w:p w14:paraId="2B11158A" w14:textId="77777777" w:rsidR="00495C65" w:rsidRDefault="00495C65" w:rsidP="00495C65">
      <w:pPr>
        <w:pStyle w:val="ab"/>
        <w:spacing w:before="62" w:after="62"/>
        <w:ind w:firstLine="482"/>
      </w:pPr>
      <w:r>
        <w:t xml:space="preserve">9.6 商服用地价格评估 </w:t>
      </w:r>
    </w:p>
    <w:p w14:paraId="49741FD5" w14:textId="77777777" w:rsidR="00495C65" w:rsidRDefault="00495C65" w:rsidP="00495C65">
      <w:pPr>
        <w:pStyle w:val="13"/>
      </w:pPr>
      <w:r>
        <w:t xml:space="preserve">9.6.1 影响因素分析 </w:t>
      </w:r>
    </w:p>
    <w:p w14:paraId="06F5F9E9" w14:textId="77777777" w:rsidR="00495C65" w:rsidRDefault="00495C65" w:rsidP="00495C65">
      <w:pPr>
        <w:pStyle w:val="13"/>
      </w:pPr>
      <w:r>
        <w:t xml:space="preserve">9.6.1.1 分析一般因素时应重点关注 </w:t>
      </w:r>
    </w:p>
    <w:p w14:paraId="258116B8" w14:textId="11D6AB32" w:rsidR="00495C65" w:rsidRDefault="00495C65" w:rsidP="00495C65">
      <w:pPr>
        <w:pStyle w:val="13"/>
      </w:pPr>
      <w:r>
        <w:rPr>
          <w:rFonts w:hint="eastAsia"/>
        </w:rPr>
        <w:t>自然因素：城镇地理位置及与经济发展的关系、气候条件等</w:t>
      </w:r>
      <w:r w:rsidR="003068F8">
        <w:rPr>
          <w:rFonts w:hint="eastAsia"/>
        </w:rPr>
        <w:t>；</w:t>
      </w:r>
    </w:p>
    <w:p w14:paraId="645157B9" w14:textId="04E8459B" w:rsidR="00495C65" w:rsidRDefault="00495C65" w:rsidP="00495C65">
      <w:pPr>
        <w:pStyle w:val="13"/>
      </w:pPr>
      <w:r>
        <w:rPr>
          <w:rFonts w:hint="eastAsia"/>
        </w:rPr>
        <w:t>社会因素：人口数量与家庭规模、城镇发展与公共设施建设、居民生活方式等</w:t>
      </w:r>
      <w:r w:rsidR="003068F8">
        <w:rPr>
          <w:rFonts w:hint="eastAsia"/>
        </w:rPr>
        <w:t>；</w:t>
      </w:r>
    </w:p>
    <w:p w14:paraId="1F9F4DF8" w14:textId="77777777" w:rsidR="00495C65" w:rsidRDefault="00495C65" w:rsidP="00495C65">
      <w:pPr>
        <w:pStyle w:val="13"/>
      </w:pPr>
      <w:r>
        <w:rPr>
          <w:rFonts w:hint="eastAsia"/>
        </w:rPr>
        <w:t>经济因素：城镇的性质与国际化程度、地区经济增长、财政金融状况与利率水平、交通体系、物价</w:t>
      </w:r>
      <w:r w:rsidRPr="00A3720D">
        <w:rPr>
          <w:rFonts w:hint="eastAsia"/>
        </w:rPr>
        <w:t>水平、就业与居民收入水平、产业结构与商业服务业的发展前景、服务业市场状况等；</w:t>
      </w:r>
    </w:p>
    <w:p w14:paraId="3D7EDCF0" w14:textId="77777777" w:rsidR="00495C65" w:rsidRDefault="00495C65" w:rsidP="00495C65">
      <w:pPr>
        <w:pStyle w:val="13"/>
      </w:pPr>
      <w:r w:rsidRPr="00A3720D">
        <w:rPr>
          <w:rFonts w:hint="eastAsia"/>
        </w:rPr>
        <w:t>行政因素：土地利用规划与管制、建筑规划与管制、不动产租金与税收政策、调控政策等。</w:t>
      </w:r>
    </w:p>
    <w:p w14:paraId="46EEC5B8" w14:textId="77777777" w:rsidR="00495C65" w:rsidRDefault="00495C65" w:rsidP="00495C65">
      <w:pPr>
        <w:pStyle w:val="13"/>
      </w:pPr>
      <w:r w:rsidRPr="00A3720D">
        <w:t>9.6.1.2 分析区域因素时应重点关注</w:t>
      </w:r>
    </w:p>
    <w:p w14:paraId="5123F836" w14:textId="77777777" w:rsidR="00495C65" w:rsidRDefault="00495C65" w:rsidP="00495C65">
      <w:pPr>
        <w:pStyle w:val="13"/>
      </w:pPr>
      <w:r w:rsidRPr="00A3720D">
        <w:t>自然因素：区域在城镇中的位置等；</w:t>
      </w:r>
    </w:p>
    <w:p w14:paraId="6BF61DAF" w14:textId="77777777" w:rsidR="00495C65" w:rsidRDefault="00495C65" w:rsidP="00495C65">
      <w:pPr>
        <w:pStyle w:val="13"/>
      </w:pPr>
      <w:r w:rsidRPr="00A3720D">
        <w:rPr>
          <w:rFonts w:hint="eastAsia"/>
        </w:rPr>
        <w:t>社会因素：常住人口及流动人口数量、社会人文环境等；</w:t>
      </w:r>
    </w:p>
    <w:p w14:paraId="5BDDBC42" w14:textId="1CA9B736" w:rsidR="00495C65" w:rsidRDefault="00495C65" w:rsidP="00495C65">
      <w:pPr>
        <w:pStyle w:val="13"/>
      </w:pPr>
      <w:r>
        <w:rPr>
          <w:rFonts w:hint="eastAsia"/>
        </w:rPr>
        <w:t>交通状况：街道状况、道路状况与交通便捷程度等</w:t>
      </w:r>
      <w:r w:rsidR="003068F8">
        <w:rPr>
          <w:rFonts w:hint="eastAsia"/>
        </w:rPr>
        <w:t>；</w:t>
      </w:r>
    </w:p>
    <w:p w14:paraId="648C0937" w14:textId="6082FCB7" w:rsidR="00495C65" w:rsidRDefault="00495C65" w:rsidP="00495C65">
      <w:pPr>
        <w:pStyle w:val="13"/>
      </w:pPr>
      <w:r>
        <w:rPr>
          <w:rFonts w:hint="eastAsia"/>
        </w:rPr>
        <w:t>基础设施状况：供水、排水、供电、供气、供热、通讯等基础设施与公用服务设施状况等</w:t>
      </w:r>
      <w:r w:rsidR="003068F8">
        <w:rPr>
          <w:rFonts w:hint="eastAsia"/>
        </w:rPr>
        <w:t>；</w:t>
      </w:r>
    </w:p>
    <w:p w14:paraId="6B4A69A1" w14:textId="77777777" w:rsidR="00495C65" w:rsidRDefault="00495C65" w:rsidP="00495C65">
      <w:pPr>
        <w:pStyle w:val="13"/>
      </w:pPr>
      <w:r>
        <w:rPr>
          <w:rFonts w:hint="eastAsia"/>
        </w:rPr>
        <w:t>商服繁华程度：所在区域的性质（商服区、住宅区还是工业区）、距各类商</w:t>
      </w:r>
      <w:proofErr w:type="gramStart"/>
      <w:r>
        <w:rPr>
          <w:rFonts w:hint="eastAsia"/>
        </w:rPr>
        <w:t>服中心</w:t>
      </w:r>
      <w:proofErr w:type="gramEnd"/>
      <w:r>
        <w:rPr>
          <w:rFonts w:hint="eastAsia"/>
        </w:rPr>
        <w:t>的距离、商务设</w:t>
      </w:r>
      <w:r w:rsidRPr="00C767FF">
        <w:rPr>
          <w:rFonts w:hint="eastAsia"/>
        </w:rPr>
        <w:t>施的种类规模与集聚程度、商服氛围、经营类别、客流的数量与质量等；</w:t>
      </w:r>
    </w:p>
    <w:p w14:paraId="20C33FD9" w14:textId="72026575" w:rsidR="00495C65" w:rsidRDefault="00495C65" w:rsidP="00495C65">
      <w:pPr>
        <w:pStyle w:val="13"/>
      </w:pPr>
      <w:r>
        <w:rPr>
          <w:rFonts w:hint="eastAsia"/>
        </w:rPr>
        <w:t>行政因素：区域经济政策、土地规划及城镇规划限制、交通管制等</w:t>
      </w:r>
      <w:r w:rsidR="003068F8">
        <w:rPr>
          <w:rFonts w:hint="eastAsia"/>
        </w:rPr>
        <w:t>；</w:t>
      </w:r>
    </w:p>
    <w:p w14:paraId="7D753322" w14:textId="77777777" w:rsidR="00495C65" w:rsidRDefault="00495C65" w:rsidP="00495C65">
      <w:pPr>
        <w:pStyle w:val="13"/>
      </w:pPr>
      <w:r>
        <w:rPr>
          <w:rFonts w:hint="eastAsia"/>
        </w:rPr>
        <w:t>环境因素：区域环境与景观、噪声、空气污染及危险设施或污染源的临近程度等。</w:t>
      </w:r>
      <w:r>
        <w:t xml:space="preserve"> </w:t>
      </w:r>
    </w:p>
    <w:p w14:paraId="14378E40" w14:textId="77777777" w:rsidR="00495C65" w:rsidRDefault="00495C65" w:rsidP="00495C65">
      <w:pPr>
        <w:pStyle w:val="13"/>
      </w:pPr>
      <w:r>
        <w:t xml:space="preserve">9.6.1.3 分析个别因素时应重点关注 </w:t>
      </w:r>
    </w:p>
    <w:p w14:paraId="3258DA22" w14:textId="77777777" w:rsidR="00495C65" w:rsidRDefault="00495C65" w:rsidP="00495C65">
      <w:pPr>
        <w:pStyle w:val="13"/>
      </w:pPr>
      <w:r>
        <w:rPr>
          <w:rFonts w:hint="eastAsia"/>
        </w:rPr>
        <w:t>宗地地形、地质、地势、日照、通风、干湿、宽度、深度、面积、形状、临街状况、邻接道路等级、</w:t>
      </w:r>
      <w:r w:rsidRPr="00C767FF">
        <w:rPr>
          <w:rFonts w:hint="eastAsia"/>
        </w:rPr>
        <w:t>通达性、宗地利用状况、与商</w:t>
      </w:r>
      <w:proofErr w:type="gramStart"/>
      <w:r w:rsidRPr="00C767FF">
        <w:rPr>
          <w:rFonts w:hint="eastAsia"/>
        </w:rPr>
        <w:t>服中心</w:t>
      </w:r>
      <w:proofErr w:type="gramEnd"/>
      <w:r w:rsidRPr="00C767FF">
        <w:rPr>
          <w:rFonts w:hint="eastAsia"/>
        </w:rPr>
        <w:t>的接近程度、与客流的适应性、相邻不动产的使用状况、规划限制、地上建筑物的成新度、土地权利状况及使用年限等。</w:t>
      </w:r>
    </w:p>
    <w:p w14:paraId="15B51CA0" w14:textId="77777777" w:rsidR="00495C65" w:rsidRDefault="00495C65" w:rsidP="00495C65">
      <w:pPr>
        <w:pStyle w:val="13"/>
      </w:pPr>
      <w:r>
        <w:t xml:space="preserve">9.6.2 估价方法选择与评估 </w:t>
      </w:r>
    </w:p>
    <w:p w14:paraId="6017EA88" w14:textId="77777777" w:rsidR="00495C65" w:rsidRDefault="00495C65" w:rsidP="00495C65">
      <w:pPr>
        <w:pStyle w:val="13"/>
      </w:pPr>
      <w:r>
        <w:lastRenderedPageBreak/>
        <w:t xml:space="preserve">9.6.2.1 估价方法选择 </w:t>
      </w:r>
    </w:p>
    <w:p w14:paraId="108D5D65" w14:textId="77777777" w:rsidR="00495C65" w:rsidRDefault="00495C65" w:rsidP="00495C65">
      <w:pPr>
        <w:pStyle w:val="13"/>
      </w:pPr>
      <w:proofErr w:type="gramStart"/>
      <w:r>
        <w:rPr>
          <w:rFonts w:hint="eastAsia"/>
        </w:rPr>
        <w:t>评估商</w:t>
      </w:r>
      <w:proofErr w:type="gramEnd"/>
      <w:r>
        <w:rPr>
          <w:rFonts w:hint="eastAsia"/>
        </w:rPr>
        <w:t>服用地价格宜</w:t>
      </w:r>
      <w:proofErr w:type="gramStart"/>
      <w:r>
        <w:rPr>
          <w:rFonts w:hint="eastAsia"/>
        </w:rPr>
        <w:t>选市场</w:t>
      </w:r>
      <w:proofErr w:type="gramEnd"/>
      <w:r>
        <w:rPr>
          <w:rFonts w:hint="eastAsia"/>
        </w:rPr>
        <w:t>比较法或收益还原法法，并</w:t>
      </w:r>
      <w:proofErr w:type="gramStart"/>
      <w:r>
        <w:rPr>
          <w:rFonts w:hint="eastAsia"/>
        </w:rPr>
        <w:t>至少另辅一种</w:t>
      </w:r>
      <w:proofErr w:type="gramEnd"/>
      <w:r>
        <w:rPr>
          <w:rFonts w:hint="eastAsia"/>
        </w:rPr>
        <w:t>适用的估价方法。</w:t>
      </w:r>
      <w:r>
        <w:t xml:space="preserve"> </w:t>
      </w:r>
    </w:p>
    <w:p w14:paraId="1A449415" w14:textId="77777777" w:rsidR="00495C65" w:rsidRDefault="00495C65" w:rsidP="00495C65">
      <w:pPr>
        <w:pStyle w:val="13"/>
      </w:pPr>
      <w:proofErr w:type="gramStart"/>
      <w:r>
        <w:rPr>
          <w:rFonts w:hint="eastAsia"/>
        </w:rPr>
        <w:t>评估商</w:t>
      </w:r>
      <w:proofErr w:type="gramEnd"/>
      <w:r>
        <w:rPr>
          <w:rFonts w:hint="eastAsia"/>
        </w:rPr>
        <w:t>服用地时，慎选成本逼近法与公示地价系数修正法。</w:t>
      </w:r>
      <w:r>
        <w:t xml:space="preserve"> </w:t>
      </w:r>
    </w:p>
    <w:p w14:paraId="53F1996F" w14:textId="77777777" w:rsidR="00495C65" w:rsidRDefault="00495C65" w:rsidP="00495C65">
      <w:pPr>
        <w:pStyle w:val="13"/>
      </w:pPr>
      <w:r>
        <w:rPr>
          <w:rFonts w:hint="eastAsia"/>
        </w:rPr>
        <w:t>评估中心城区的商服用地，不宜采用成本逼近法。</w:t>
      </w:r>
      <w:r>
        <w:t xml:space="preserve"> </w:t>
      </w:r>
    </w:p>
    <w:p w14:paraId="76980CD0" w14:textId="77777777" w:rsidR="00495C65" w:rsidRDefault="00495C65" w:rsidP="00495C65">
      <w:pPr>
        <w:pStyle w:val="13"/>
      </w:pPr>
      <w:r>
        <w:rPr>
          <w:rFonts w:hint="eastAsia"/>
        </w:rPr>
        <w:t>评估已建在用的租赁性商服用地，可选择收益还原法。</w:t>
      </w:r>
      <w:r>
        <w:t xml:space="preserve"> </w:t>
      </w:r>
    </w:p>
    <w:p w14:paraId="4230916E" w14:textId="77777777" w:rsidR="00495C65" w:rsidRDefault="00495C65" w:rsidP="00495C65">
      <w:pPr>
        <w:pStyle w:val="13"/>
      </w:pPr>
      <w:r>
        <w:rPr>
          <w:rFonts w:hint="eastAsia"/>
        </w:rPr>
        <w:t>评估投资待建的商服用地，可选择剩余法。</w:t>
      </w:r>
      <w:r>
        <w:t xml:space="preserve"> </w:t>
      </w:r>
    </w:p>
    <w:p w14:paraId="5C480B31" w14:textId="77777777" w:rsidR="00495C65" w:rsidRDefault="00495C65" w:rsidP="00495C65">
      <w:pPr>
        <w:pStyle w:val="13"/>
      </w:pPr>
      <w:r>
        <w:t xml:space="preserve">9.6.2.2 评估技术要点 </w:t>
      </w:r>
    </w:p>
    <w:p w14:paraId="52E235A9" w14:textId="77777777" w:rsidR="00495C65" w:rsidRDefault="00495C65" w:rsidP="00495C65">
      <w:pPr>
        <w:pStyle w:val="13"/>
      </w:pPr>
      <w:r>
        <w:rPr>
          <w:rFonts w:hint="eastAsia"/>
        </w:rPr>
        <w:t>技术要点如下：</w:t>
      </w:r>
      <w:r>
        <w:t xml:space="preserve"> </w:t>
      </w:r>
    </w:p>
    <w:p w14:paraId="4B316C96" w14:textId="77777777" w:rsidR="00495C65" w:rsidRDefault="00495C65" w:rsidP="00495C65">
      <w:pPr>
        <w:pStyle w:val="13"/>
      </w:pPr>
      <w:r>
        <w:rPr>
          <w:rFonts w:hint="eastAsia"/>
        </w:rPr>
        <w:t>（</w:t>
      </w:r>
      <w:r>
        <w:t>1）</w:t>
      </w:r>
      <w:proofErr w:type="gramStart"/>
      <w:r>
        <w:t>评估商</w:t>
      </w:r>
      <w:proofErr w:type="gramEnd"/>
      <w:r>
        <w:t>服用地价格，应根据土地的细分用途，选择影响地价的主要因素进行重点分析；</w:t>
      </w:r>
    </w:p>
    <w:p w14:paraId="421F8850" w14:textId="20D06747" w:rsidR="00495C65" w:rsidRDefault="00495C65" w:rsidP="00495C65">
      <w:pPr>
        <w:pStyle w:val="13"/>
      </w:pPr>
      <w:r>
        <w:t>（2）评估低效使用的商服用地，应注意遵循最有效利用原则</w:t>
      </w:r>
      <w:r w:rsidR="003068F8">
        <w:t>；</w:t>
      </w:r>
    </w:p>
    <w:p w14:paraId="4EBD4C63" w14:textId="66D64CCF" w:rsidR="00495C65" w:rsidRDefault="00495C65" w:rsidP="00495C65">
      <w:pPr>
        <w:pStyle w:val="13"/>
      </w:pPr>
      <w:r>
        <w:rPr>
          <w:rFonts w:hint="eastAsia"/>
        </w:rPr>
        <w:t>（</w:t>
      </w:r>
      <w:r>
        <w:t>3）</w:t>
      </w:r>
      <w:proofErr w:type="gramStart"/>
      <w:r>
        <w:t>评估商</w:t>
      </w:r>
      <w:proofErr w:type="gramEnd"/>
      <w:r>
        <w:t>服分摊用地价格，应注意空间位置差异对分摊土地价格的影响</w:t>
      </w:r>
      <w:r w:rsidR="003068F8">
        <w:t>；</w:t>
      </w:r>
    </w:p>
    <w:p w14:paraId="4F285E50" w14:textId="77777777" w:rsidR="00495C65" w:rsidRDefault="00495C65" w:rsidP="00495C65">
      <w:pPr>
        <w:pStyle w:val="13"/>
      </w:pPr>
      <w:r>
        <w:rPr>
          <w:rFonts w:hint="eastAsia"/>
        </w:rPr>
        <w:t>（</w:t>
      </w:r>
      <w:r>
        <w:t xml:space="preserve">4）评估各类旅游用地，应注意国家旅游区评价标准。 </w:t>
      </w:r>
    </w:p>
    <w:p w14:paraId="5AB6EF90" w14:textId="77777777" w:rsidR="00495C65" w:rsidRDefault="00495C65" w:rsidP="00495C65">
      <w:pPr>
        <w:pStyle w:val="ab"/>
        <w:spacing w:before="62" w:after="62"/>
        <w:ind w:firstLine="482"/>
      </w:pPr>
      <w:r>
        <w:t xml:space="preserve">9.7 公共管理与公共服务和交通运输用地价格评估 </w:t>
      </w:r>
    </w:p>
    <w:p w14:paraId="3711529C" w14:textId="77777777" w:rsidR="00495C65" w:rsidRDefault="00495C65" w:rsidP="00495C65">
      <w:pPr>
        <w:pStyle w:val="13"/>
      </w:pPr>
      <w:r>
        <w:t xml:space="preserve">9.7.1 影响因素分析 </w:t>
      </w:r>
    </w:p>
    <w:p w14:paraId="2E9B08B5" w14:textId="77777777" w:rsidR="00495C65" w:rsidRDefault="00495C65" w:rsidP="00495C65">
      <w:pPr>
        <w:pStyle w:val="13"/>
      </w:pPr>
      <w:r>
        <w:rPr>
          <w:rFonts w:hint="eastAsia"/>
        </w:rPr>
        <w:t>主要要求如下：</w:t>
      </w:r>
      <w:r>
        <w:t xml:space="preserve"> </w:t>
      </w:r>
    </w:p>
    <w:p w14:paraId="0CA9E006" w14:textId="77777777" w:rsidR="00495C65" w:rsidRDefault="00495C65" w:rsidP="00495C65">
      <w:pPr>
        <w:pStyle w:val="13"/>
      </w:pPr>
      <w:r>
        <w:rPr>
          <w:rFonts w:hint="eastAsia"/>
        </w:rPr>
        <w:t>（</w:t>
      </w:r>
      <w:r>
        <w:t>1）评估公共管理与公共服务类用地价格时，相关影响因素分析可参照9.6.1（商服用地影响因素）。</w:t>
      </w:r>
    </w:p>
    <w:p w14:paraId="6C03F89B" w14:textId="77777777" w:rsidR="00495C65" w:rsidRDefault="00495C65" w:rsidP="00495C65">
      <w:pPr>
        <w:pStyle w:val="13"/>
      </w:pPr>
      <w:r>
        <w:t>（2）评估公共设施、公园绿化与交通运输用地时，相关影响因素分析可参照9.4.1（住宅用地影响</w:t>
      </w:r>
      <w:r w:rsidRPr="00C767FF">
        <w:rPr>
          <w:rFonts w:hint="eastAsia"/>
        </w:rPr>
        <w:t>因素）款或</w:t>
      </w:r>
      <w:r w:rsidRPr="00C767FF">
        <w:t>9.5.1（工业用地影响因素）。</w:t>
      </w:r>
    </w:p>
    <w:p w14:paraId="6F653583" w14:textId="77777777" w:rsidR="00495C65" w:rsidRDefault="00495C65" w:rsidP="00495C65">
      <w:pPr>
        <w:pStyle w:val="13"/>
      </w:pPr>
      <w:r>
        <w:t xml:space="preserve">9.7.2 估价方法选择与评估 </w:t>
      </w:r>
    </w:p>
    <w:p w14:paraId="18C2CF50" w14:textId="77777777" w:rsidR="00495C65" w:rsidRDefault="00495C65" w:rsidP="00495C65">
      <w:pPr>
        <w:pStyle w:val="13"/>
      </w:pPr>
      <w:r>
        <w:t xml:space="preserve">9.7.2.1 估价方法选择 </w:t>
      </w:r>
    </w:p>
    <w:p w14:paraId="0497F91F" w14:textId="77777777" w:rsidR="00495C65" w:rsidRDefault="00495C65" w:rsidP="00495C65">
      <w:pPr>
        <w:pStyle w:val="13"/>
      </w:pPr>
      <w:r>
        <w:rPr>
          <w:rFonts w:hint="eastAsia"/>
        </w:rPr>
        <w:t>原则如下：</w:t>
      </w:r>
      <w:r>
        <w:t xml:space="preserve"> </w:t>
      </w:r>
    </w:p>
    <w:p w14:paraId="553CD18F" w14:textId="77777777" w:rsidR="00495C65" w:rsidRDefault="00495C65" w:rsidP="00495C65">
      <w:pPr>
        <w:pStyle w:val="13"/>
      </w:pPr>
      <w:r>
        <w:rPr>
          <w:rFonts w:hint="eastAsia"/>
        </w:rPr>
        <w:t>（</w:t>
      </w:r>
      <w:r>
        <w:t>1）评估公共管理与公共服务和交通运输用地价格，宜</w:t>
      </w:r>
      <w:proofErr w:type="gramStart"/>
      <w:r>
        <w:t>选市场</w:t>
      </w:r>
      <w:proofErr w:type="gramEnd"/>
      <w:r>
        <w:t>比较法，并至少辅以另一种适宜的</w:t>
      </w:r>
      <w:r w:rsidRPr="00C767FF">
        <w:rPr>
          <w:rFonts w:hint="eastAsia"/>
        </w:rPr>
        <w:t>估价方法。</w:t>
      </w:r>
    </w:p>
    <w:p w14:paraId="194036BD" w14:textId="77777777" w:rsidR="00495C65" w:rsidRDefault="00495C65" w:rsidP="00495C65">
      <w:pPr>
        <w:pStyle w:val="13"/>
      </w:pPr>
      <w:r>
        <w:rPr>
          <w:rFonts w:hint="eastAsia"/>
        </w:rPr>
        <w:t>（</w:t>
      </w:r>
      <w:r>
        <w:t xml:space="preserve">2）如缺少市场可比案例，可酌情选用成本逼近法与公示地价系数修正法。 </w:t>
      </w:r>
    </w:p>
    <w:p w14:paraId="4F80B7B1" w14:textId="77777777" w:rsidR="00495C65" w:rsidRDefault="00495C65" w:rsidP="00495C65">
      <w:pPr>
        <w:pStyle w:val="13"/>
      </w:pPr>
      <w:r>
        <w:rPr>
          <w:rFonts w:hint="eastAsia"/>
        </w:rPr>
        <w:t>（</w:t>
      </w:r>
      <w:r>
        <w:t xml:space="preserve">3）慎用收益还原法与剩余法。 </w:t>
      </w:r>
    </w:p>
    <w:p w14:paraId="1813E2A3" w14:textId="77777777" w:rsidR="00495C65" w:rsidRDefault="00495C65" w:rsidP="00495C65">
      <w:pPr>
        <w:pStyle w:val="13"/>
      </w:pPr>
      <w:r>
        <w:t xml:space="preserve">9.7.2.2 评估技术要点 </w:t>
      </w:r>
    </w:p>
    <w:p w14:paraId="4DEA38D1" w14:textId="77777777" w:rsidR="00495C65" w:rsidRDefault="00495C65" w:rsidP="00495C65">
      <w:pPr>
        <w:pStyle w:val="13"/>
      </w:pPr>
      <w:r>
        <w:rPr>
          <w:rFonts w:hint="eastAsia"/>
        </w:rPr>
        <w:t>技术要点如下：</w:t>
      </w:r>
      <w:r>
        <w:t xml:space="preserve"> </w:t>
      </w:r>
    </w:p>
    <w:p w14:paraId="2D928D35" w14:textId="77777777" w:rsidR="00495C65" w:rsidRDefault="00495C65" w:rsidP="00495C65">
      <w:pPr>
        <w:pStyle w:val="13"/>
      </w:pPr>
      <w:r>
        <w:rPr>
          <w:rFonts w:hint="eastAsia"/>
        </w:rPr>
        <w:t>（</w:t>
      </w:r>
      <w:r>
        <w:t>1）评估公共管理与公共服务和交通运输用地，除遵循一般估价原则外，还应遵循如下原则：</w:t>
      </w:r>
    </w:p>
    <w:p w14:paraId="6A3FF794" w14:textId="26957360" w:rsidR="00495C65" w:rsidRDefault="00495C65" w:rsidP="00495C65">
      <w:pPr>
        <w:pStyle w:val="13"/>
      </w:pPr>
      <w:proofErr w:type="gramStart"/>
      <w:r>
        <w:t>—发现</w:t>
      </w:r>
      <w:proofErr w:type="gramEnd"/>
      <w:r>
        <w:t>并模拟市场价格的原则</w:t>
      </w:r>
      <w:r w:rsidR="003068F8">
        <w:t>；</w:t>
      </w:r>
    </w:p>
    <w:p w14:paraId="3309D3FD" w14:textId="68DDC712" w:rsidR="00495C65" w:rsidRDefault="00495C65" w:rsidP="00495C65">
      <w:pPr>
        <w:pStyle w:val="13"/>
      </w:pPr>
      <w:r>
        <w:rPr>
          <w:rFonts w:hint="eastAsia"/>
        </w:rPr>
        <w:t>—区分市场定价与政策优惠的原则</w:t>
      </w:r>
      <w:r w:rsidR="003068F8">
        <w:rPr>
          <w:rFonts w:hint="eastAsia"/>
        </w:rPr>
        <w:t>；</w:t>
      </w:r>
    </w:p>
    <w:p w14:paraId="1B1667FB" w14:textId="77777777" w:rsidR="00495C65" w:rsidRDefault="00495C65" w:rsidP="00495C65">
      <w:pPr>
        <w:pStyle w:val="13"/>
      </w:pPr>
      <w:r>
        <w:rPr>
          <w:rFonts w:hint="eastAsia"/>
        </w:rPr>
        <w:lastRenderedPageBreak/>
        <w:t>—区位效用为主兼顾用途差异的原则。</w:t>
      </w:r>
    </w:p>
    <w:p w14:paraId="459FBE35" w14:textId="77777777" w:rsidR="00495C65" w:rsidRDefault="00495C65" w:rsidP="00495C65">
      <w:pPr>
        <w:pStyle w:val="13"/>
      </w:pPr>
      <w:r>
        <w:rPr>
          <w:rFonts w:hint="eastAsia"/>
        </w:rPr>
        <w:t>评估公共管理与公共服务和交通运输用地价格，首先应遵循发现并模拟市场价格原则，评估该类用地的正常市场价格；在特定市场情况下，可根据中央及地方的现行相关法规与政策，对前述的正常市场价格加以修正，测算基于特定政策约束下的参考性价格。</w:t>
      </w:r>
      <w:r>
        <w:t xml:space="preserve"> </w:t>
      </w:r>
    </w:p>
    <w:p w14:paraId="1C50CFAC" w14:textId="77777777" w:rsidR="00495C65" w:rsidRDefault="00495C65" w:rsidP="00495C65">
      <w:pPr>
        <w:pStyle w:val="13"/>
      </w:pPr>
      <w:r>
        <w:rPr>
          <w:rFonts w:hint="eastAsia"/>
        </w:rPr>
        <w:t>（</w:t>
      </w:r>
      <w:r>
        <w:t>2）评估公共管理与公共服务和交通运输用地正常市场价格时，应比照同一供需圈内相同类别用</w:t>
      </w:r>
    </w:p>
    <w:p w14:paraId="633BB9D9" w14:textId="77777777" w:rsidR="00495C65" w:rsidRDefault="00495C65" w:rsidP="00495C65">
      <w:pPr>
        <w:pStyle w:val="13"/>
      </w:pPr>
      <w:r>
        <w:rPr>
          <w:rFonts w:hint="eastAsia"/>
        </w:rPr>
        <w:t>地的市场价格；在缺乏同类用地市场价格的情况下，可参考与区域土地利用规划相符的</w:t>
      </w:r>
      <w:proofErr w:type="gramStart"/>
      <w:r>
        <w:rPr>
          <w:rFonts w:hint="eastAsia"/>
        </w:rPr>
        <w:t>的</w:t>
      </w:r>
      <w:proofErr w:type="gramEnd"/>
      <w:r>
        <w:rPr>
          <w:rFonts w:hint="eastAsia"/>
        </w:rPr>
        <w:t>毗邻地价格。</w:t>
      </w:r>
      <w:r>
        <w:t xml:space="preserve"> </w:t>
      </w:r>
    </w:p>
    <w:p w14:paraId="055594CD" w14:textId="77777777" w:rsidR="00495C65" w:rsidRDefault="00495C65" w:rsidP="00AF7342">
      <w:pPr>
        <w:pStyle w:val="a9"/>
        <w:spacing w:before="62" w:after="62"/>
      </w:pPr>
      <w:r>
        <w:t xml:space="preserve">10 不同权利土地价格评估 </w:t>
      </w:r>
    </w:p>
    <w:p w14:paraId="3F3A1D37" w14:textId="77777777" w:rsidR="00495C65" w:rsidRDefault="00495C65" w:rsidP="00495C65">
      <w:pPr>
        <w:pStyle w:val="ab"/>
        <w:spacing w:before="62" w:after="62"/>
        <w:ind w:firstLine="482"/>
      </w:pPr>
      <w:r>
        <w:t xml:space="preserve">10.1 一般规定 </w:t>
      </w:r>
    </w:p>
    <w:p w14:paraId="337FAF48" w14:textId="77777777" w:rsidR="00495C65" w:rsidRDefault="00495C65" w:rsidP="00495C65">
      <w:pPr>
        <w:pStyle w:val="13"/>
      </w:pPr>
      <w:r>
        <w:rPr>
          <w:rFonts w:hint="eastAsia"/>
        </w:rPr>
        <w:t>估价人员应针对不同权利特征对土地价格的影响，选择适宜的评估方法，正确把握不同权利土地价格评估技术要点。</w:t>
      </w:r>
      <w:r>
        <w:t xml:space="preserve"> </w:t>
      </w:r>
    </w:p>
    <w:p w14:paraId="44743100" w14:textId="77777777" w:rsidR="00495C65" w:rsidRDefault="00495C65" w:rsidP="00495C65">
      <w:pPr>
        <w:pStyle w:val="13"/>
      </w:pPr>
      <w:r>
        <w:rPr>
          <w:rFonts w:hint="eastAsia"/>
        </w:rPr>
        <w:t>评估相对完整或无特殊限制的土地权利价格，应选</w:t>
      </w:r>
      <w:proofErr w:type="gramStart"/>
      <w:r>
        <w:rPr>
          <w:rFonts w:hint="eastAsia"/>
        </w:rPr>
        <w:t>择两种</w:t>
      </w:r>
      <w:proofErr w:type="gramEnd"/>
      <w:r>
        <w:rPr>
          <w:rFonts w:hint="eastAsia"/>
        </w:rPr>
        <w:t>以上适宜的评估方法，评估划拨土地使用权、地役权、单独设立的地下或空中土地使用权等不完整或严格受限的土地权利价格，在省级以上土地估价行业协会组织专家论证的基础上，可以选择一种适宜的主要评估方法，并应在报告中充分披露，附具专家论证材料。</w:t>
      </w:r>
    </w:p>
    <w:p w14:paraId="3888B0A8" w14:textId="77777777" w:rsidR="00495C65" w:rsidRDefault="00495C65" w:rsidP="00495C65">
      <w:pPr>
        <w:pStyle w:val="ab"/>
        <w:spacing w:before="62" w:after="62"/>
        <w:ind w:firstLine="482"/>
      </w:pPr>
      <w:r>
        <w:t xml:space="preserve">10.2 出让土地使用权 </w:t>
      </w:r>
    </w:p>
    <w:p w14:paraId="6EEDE6D5" w14:textId="77777777" w:rsidR="00495C65" w:rsidRDefault="00495C65" w:rsidP="00495C65">
      <w:pPr>
        <w:pStyle w:val="13"/>
      </w:pPr>
      <w:r>
        <w:rPr>
          <w:rFonts w:hint="eastAsia"/>
        </w:rPr>
        <w:t>出让土地使用权价格评估技术要点如下：</w:t>
      </w:r>
      <w:r>
        <w:t xml:space="preserve"> </w:t>
      </w:r>
    </w:p>
    <w:p w14:paraId="37BD765C" w14:textId="77777777" w:rsidR="00495C65" w:rsidRDefault="00495C65" w:rsidP="00495C65">
      <w:pPr>
        <w:pStyle w:val="13"/>
      </w:pPr>
      <w:r>
        <w:rPr>
          <w:rFonts w:hint="eastAsia"/>
        </w:rPr>
        <w:t>（</w:t>
      </w:r>
      <w:r>
        <w:t>1）出让土地使用权的具体权能和使用要求由相应的《国有土地使用权出让合同》约定和《国有</w:t>
      </w:r>
      <w:r>
        <w:rPr>
          <w:rFonts w:hint="eastAsia"/>
        </w:rPr>
        <w:t>土地使用证》记载，评估出让使用权价格应依据相应宗地出让合同约定的和国有土地使用证记载的宗地位置、四至范围、用地面积、建筑规模、土地使用条件和土地权能设置等要求。</w:t>
      </w:r>
      <w:r>
        <w:t xml:space="preserve"> </w:t>
      </w:r>
    </w:p>
    <w:p w14:paraId="7A72805C" w14:textId="77777777" w:rsidR="00495C65" w:rsidRDefault="00495C65" w:rsidP="00495C65">
      <w:pPr>
        <w:pStyle w:val="13"/>
      </w:pPr>
      <w:r>
        <w:rPr>
          <w:rFonts w:hint="eastAsia"/>
        </w:rPr>
        <w:t>（</w:t>
      </w:r>
      <w:r>
        <w:t>2）评估出让土地使用权价格应</w:t>
      </w:r>
      <w:proofErr w:type="gramStart"/>
      <w:r>
        <w:t>根据待估宗地</w:t>
      </w:r>
      <w:proofErr w:type="gramEnd"/>
      <w:r>
        <w:t>利用类型、获取的资料状况，选择适宜的评估方法。</w:t>
      </w:r>
    </w:p>
    <w:p w14:paraId="15B33A91" w14:textId="77777777" w:rsidR="00495C65" w:rsidRDefault="00495C65" w:rsidP="00495C65">
      <w:pPr>
        <w:pStyle w:val="13"/>
      </w:pPr>
      <w:r>
        <w:t>（3）采用市场比较法评估时，应注意分析交易案例的出让方式对交易价格的影响，并将其调整为</w:t>
      </w:r>
      <w:proofErr w:type="gramStart"/>
      <w:r>
        <w:t>与待估宗地</w:t>
      </w:r>
      <w:proofErr w:type="gramEnd"/>
      <w:r>
        <w:t>设定条件相一致的交易价格；若交易案例有代征地等实物地租存在，应考虑对实际交易价格进行合理修正。</w:t>
      </w:r>
    </w:p>
    <w:p w14:paraId="17DA8AF2" w14:textId="77777777" w:rsidR="00495C65" w:rsidRDefault="00495C65" w:rsidP="00495C65">
      <w:pPr>
        <w:pStyle w:val="ab"/>
        <w:spacing w:before="62" w:after="62"/>
        <w:ind w:firstLine="482"/>
      </w:pPr>
      <w:r>
        <w:t xml:space="preserve">10.3 授权经营土地使用权评估 </w:t>
      </w:r>
    </w:p>
    <w:p w14:paraId="36111738" w14:textId="77777777" w:rsidR="00495C65" w:rsidRDefault="00495C65" w:rsidP="00495C65">
      <w:pPr>
        <w:pStyle w:val="13"/>
      </w:pPr>
      <w:r>
        <w:rPr>
          <w:rFonts w:hint="eastAsia"/>
        </w:rPr>
        <w:t>授权经营土地使用权价格评估要点：</w:t>
      </w:r>
      <w:r>
        <w:t xml:space="preserve"> </w:t>
      </w:r>
    </w:p>
    <w:p w14:paraId="48B486C0" w14:textId="77777777" w:rsidR="00495C65" w:rsidRDefault="00495C65" w:rsidP="00495C65">
      <w:pPr>
        <w:pStyle w:val="13"/>
      </w:pPr>
      <w:r>
        <w:rPr>
          <w:rFonts w:hint="eastAsia"/>
        </w:rPr>
        <w:t>（</w:t>
      </w:r>
      <w:r>
        <w:t>1）评估授权经营土地使用权价格应考虑行业差异、所处区域状况及权利处置限制对其价格的影响。</w:t>
      </w:r>
    </w:p>
    <w:p w14:paraId="50A2518F" w14:textId="77777777" w:rsidR="00495C65" w:rsidRDefault="00495C65" w:rsidP="00495C65">
      <w:pPr>
        <w:pStyle w:val="13"/>
      </w:pPr>
      <w:r>
        <w:t>（2）评估授权经营土地使用权价格应</w:t>
      </w:r>
      <w:proofErr w:type="gramStart"/>
      <w:r>
        <w:t>根据待估宗地</w:t>
      </w:r>
      <w:proofErr w:type="gramEnd"/>
      <w:r>
        <w:t>利用类型、获取资料状况，</w:t>
      </w:r>
      <w:r>
        <w:lastRenderedPageBreak/>
        <w:t>选择适宜的评估方法。</w:t>
      </w:r>
    </w:p>
    <w:p w14:paraId="7E1FC4AB" w14:textId="77777777" w:rsidR="00495C65" w:rsidRDefault="00495C65" w:rsidP="00495C65">
      <w:pPr>
        <w:pStyle w:val="13"/>
      </w:pPr>
      <w:r>
        <w:t>（3）采用市场比较法评估时，若选用出让土地使用权价格作为交易案例比较价格，应考虑授权经</w:t>
      </w:r>
      <w:r>
        <w:rPr>
          <w:rFonts w:hint="eastAsia"/>
        </w:rPr>
        <w:t>营土地使用权在处置方面的限制，并进行适当的减价修正。</w:t>
      </w:r>
      <w:r>
        <w:t xml:space="preserve"> </w:t>
      </w:r>
    </w:p>
    <w:p w14:paraId="23C8DFA4" w14:textId="77777777" w:rsidR="00495C65" w:rsidRDefault="00495C65" w:rsidP="00495C65">
      <w:pPr>
        <w:pStyle w:val="13"/>
      </w:pPr>
      <w:r>
        <w:rPr>
          <w:rFonts w:hint="eastAsia"/>
        </w:rPr>
        <w:t>（</w:t>
      </w:r>
      <w:r>
        <w:t>4）采用收益还原法进行评估时，除考虑行业差异、区域差异对还原率的影响，还应考虑授权经营限制的影响，其还原率应略高于相同条件下出让土地使用权价格评估的还原率。</w:t>
      </w:r>
    </w:p>
    <w:p w14:paraId="6C385272" w14:textId="77777777" w:rsidR="00495C65" w:rsidRDefault="00495C65" w:rsidP="00495C65">
      <w:pPr>
        <w:pStyle w:val="ab"/>
        <w:spacing w:before="62" w:after="62"/>
        <w:ind w:firstLine="482"/>
      </w:pPr>
      <w:r>
        <w:t xml:space="preserve">10.4 作价出资（入股）土地使用权评估 </w:t>
      </w:r>
    </w:p>
    <w:p w14:paraId="47BFBE46" w14:textId="77777777" w:rsidR="00495C65" w:rsidRDefault="00495C65" w:rsidP="00495C65">
      <w:pPr>
        <w:pStyle w:val="13"/>
      </w:pPr>
      <w:r>
        <w:rPr>
          <w:rFonts w:hint="eastAsia"/>
        </w:rPr>
        <w:t>评估作价出资（入股）土地使用权价格</w:t>
      </w:r>
      <w:r>
        <w:t xml:space="preserve">,可参照出让土地使用权价格。 </w:t>
      </w:r>
    </w:p>
    <w:p w14:paraId="21F35BC6" w14:textId="77777777" w:rsidR="00495C65" w:rsidRDefault="00495C65" w:rsidP="00495C65">
      <w:pPr>
        <w:pStyle w:val="ab"/>
        <w:spacing w:before="62" w:after="62"/>
        <w:ind w:firstLine="482"/>
      </w:pPr>
      <w:r>
        <w:t xml:space="preserve">10.5 土地租赁权评估 </w:t>
      </w:r>
    </w:p>
    <w:p w14:paraId="10147454" w14:textId="77777777" w:rsidR="00495C65" w:rsidRDefault="00495C65" w:rsidP="00495C65">
      <w:pPr>
        <w:pStyle w:val="13"/>
      </w:pPr>
      <w:r>
        <w:rPr>
          <w:rFonts w:hint="eastAsia"/>
        </w:rPr>
        <w:t>土地租赁权价格评估宜采用市场比较法、收益法等方法评估。</w:t>
      </w:r>
      <w:r>
        <w:t xml:space="preserve"> </w:t>
      </w:r>
    </w:p>
    <w:p w14:paraId="7BBF733C" w14:textId="77777777" w:rsidR="00495C65" w:rsidRDefault="00495C65" w:rsidP="00495C65">
      <w:pPr>
        <w:pStyle w:val="13"/>
      </w:pPr>
      <w:r>
        <w:rPr>
          <w:rFonts w:hint="eastAsia"/>
        </w:rPr>
        <w:t>国有土地的承租土地使用权评估方法与土地租赁权类同，但应注意权能差异对地价的影响。</w:t>
      </w:r>
    </w:p>
    <w:p w14:paraId="7AB4B1E4" w14:textId="77777777" w:rsidR="00495C65" w:rsidRDefault="00495C65" w:rsidP="00495C65">
      <w:pPr>
        <w:pStyle w:val="13"/>
      </w:pPr>
      <w:r>
        <w:t xml:space="preserve">10.5.1 市场比较法 </w:t>
      </w:r>
    </w:p>
    <w:p w14:paraId="011963A7" w14:textId="77777777" w:rsidR="00495C65" w:rsidRDefault="00495C65" w:rsidP="00495C65">
      <w:pPr>
        <w:pStyle w:val="13"/>
      </w:pPr>
      <w:r>
        <w:rPr>
          <w:rFonts w:hint="eastAsia"/>
        </w:rPr>
        <w:t>选择相邻地区的类似承租土地使用权实例，进行情况修正和</w:t>
      </w:r>
      <w:proofErr w:type="gramStart"/>
      <w:r>
        <w:rPr>
          <w:rFonts w:hint="eastAsia"/>
        </w:rPr>
        <w:t>期日</w:t>
      </w:r>
      <w:proofErr w:type="gramEnd"/>
      <w:r>
        <w:rPr>
          <w:rFonts w:hint="eastAsia"/>
        </w:rPr>
        <w:t>修正，</w:t>
      </w:r>
      <w:proofErr w:type="gramStart"/>
      <w:r>
        <w:rPr>
          <w:rFonts w:hint="eastAsia"/>
        </w:rPr>
        <w:t>经区域</w:t>
      </w:r>
      <w:proofErr w:type="gramEnd"/>
      <w:r>
        <w:rPr>
          <w:rFonts w:hint="eastAsia"/>
        </w:rPr>
        <w:t>因素和个别因素比</w:t>
      </w:r>
      <w:r w:rsidRPr="004E6D24">
        <w:rPr>
          <w:rFonts w:hint="eastAsia"/>
        </w:rPr>
        <w:t>较后决定其价格。在情况修正中应特别注意与政府签订的契约的内容、经过时间和剩余期限、租金调整情况及特别约定对租赁权价格的影响。</w:t>
      </w:r>
    </w:p>
    <w:p w14:paraId="4610BFD4" w14:textId="77777777" w:rsidR="00495C65" w:rsidRDefault="00495C65" w:rsidP="00495C65">
      <w:pPr>
        <w:pStyle w:val="13"/>
      </w:pPr>
      <w:r w:rsidRPr="004E6D24">
        <w:t>10.5.2 收益还原法</w:t>
      </w:r>
    </w:p>
    <w:p w14:paraId="0B9C10C5" w14:textId="77777777" w:rsidR="00495C65" w:rsidRDefault="00495C65" w:rsidP="00495C65">
      <w:pPr>
        <w:pStyle w:val="13"/>
      </w:pPr>
      <w:r>
        <w:rPr>
          <w:rFonts w:hint="eastAsia"/>
        </w:rPr>
        <w:t>技术要点如下：</w:t>
      </w:r>
      <w:r>
        <w:t xml:space="preserve"> </w:t>
      </w:r>
    </w:p>
    <w:p w14:paraId="7D3C11F5" w14:textId="77777777" w:rsidR="00495C65" w:rsidRDefault="00495C65" w:rsidP="00495C65">
      <w:pPr>
        <w:pStyle w:val="13"/>
      </w:pPr>
      <w:r>
        <w:rPr>
          <w:noProof/>
        </w:rPr>
        <w:drawing>
          <wp:anchor distT="0" distB="0" distL="114300" distR="114300" simplePos="0" relativeHeight="251665408" behindDoc="1" locked="0" layoutInCell="1" allowOverlap="1" wp14:anchorId="1131E9B2" wp14:editId="42DF1E04">
            <wp:simplePos x="0" y="0"/>
            <wp:positionH relativeFrom="column">
              <wp:posOffset>1933228</wp:posOffset>
            </wp:positionH>
            <wp:positionV relativeFrom="paragraph">
              <wp:posOffset>257882</wp:posOffset>
            </wp:positionV>
            <wp:extent cx="1752600" cy="323850"/>
            <wp:effectExtent l="0" t="0" r="0" b="0"/>
            <wp:wrapNone/>
            <wp:docPr id="3265" name="图片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768002" cy="326696"/>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w:t>
      </w:r>
      <w:r>
        <w:t>1）承租权价格计算公式【见式（55）】：</w:t>
      </w:r>
    </w:p>
    <w:p w14:paraId="0489CD48" w14:textId="77777777" w:rsidR="00495C65" w:rsidRDefault="00495C65" w:rsidP="00495C65">
      <w:pPr>
        <w:pStyle w:val="13"/>
      </w:pPr>
      <w:r>
        <w:rPr>
          <w:rFonts w:hint="eastAsia"/>
        </w:rPr>
        <w:t xml:space="preserve"> </w:t>
      </w:r>
      <w:r>
        <w:t xml:space="preserve">                                                               </w:t>
      </w:r>
      <w:r>
        <w:rPr>
          <w:rFonts w:hint="eastAsia"/>
        </w:rPr>
        <w:t>（5</w:t>
      </w:r>
      <w:r>
        <w:t>5</w:t>
      </w:r>
      <w:r>
        <w:rPr>
          <w:rFonts w:hint="eastAsia"/>
        </w:rPr>
        <w:t>）</w:t>
      </w:r>
    </w:p>
    <w:p w14:paraId="3594FE93" w14:textId="77777777" w:rsidR="00495C65" w:rsidRDefault="00495C65" w:rsidP="00495C65">
      <w:pPr>
        <w:pStyle w:val="13"/>
      </w:pPr>
      <w:r>
        <w:rPr>
          <w:rFonts w:hint="eastAsia"/>
        </w:rPr>
        <w:t>式中：</w:t>
      </w:r>
      <w:r>
        <w:t xml:space="preserve"> </w:t>
      </w:r>
    </w:p>
    <w:p w14:paraId="2FF728D1" w14:textId="4C3057E8" w:rsidR="00495C65" w:rsidRDefault="00495C65" w:rsidP="00495C65">
      <w:pPr>
        <w:pStyle w:val="13"/>
      </w:pPr>
      <w:r>
        <w:t>P—租赁权价格</w:t>
      </w:r>
      <w:r w:rsidR="003068F8">
        <w:t>；</w:t>
      </w:r>
    </w:p>
    <w:p w14:paraId="37E5A47B" w14:textId="77777777" w:rsidR="00495C65" w:rsidRDefault="00495C65" w:rsidP="00495C65">
      <w:pPr>
        <w:pStyle w:val="13"/>
      </w:pPr>
      <w:r>
        <w:t>a</w:t>
      </w:r>
      <w:r w:rsidRPr="0063628D">
        <w:rPr>
          <w:vertAlign w:val="superscript"/>
        </w:rPr>
        <w:t>，</w:t>
      </w:r>
      <w:r>
        <w:t>—盈余租金；</w:t>
      </w:r>
    </w:p>
    <w:p w14:paraId="7FE3D241" w14:textId="7862E789" w:rsidR="00495C65" w:rsidRDefault="00495C65" w:rsidP="00495C65">
      <w:pPr>
        <w:pStyle w:val="13"/>
      </w:pPr>
      <w:r>
        <w:t>r—租赁权还原率</w:t>
      </w:r>
      <w:r w:rsidR="003068F8">
        <w:t>；</w:t>
      </w:r>
    </w:p>
    <w:p w14:paraId="62060411" w14:textId="77777777" w:rsidR="00495C65" w:rsidRDefault="00495C65" w:rsidP="00495C65">
      <w:pPr>
        <w:pStyle w:val="13"/>
      </w:pPr>
      <w:r>
        <w:t xml:space="preserve">n—收益年期。 </w:t>
      </w:r>
    </w:p>
    <w:p w14:paraId="1BD6F524" w14:textId="77777777" w:rsidR="00495C65" w:rsidRDefault="00495C65" w:rsidP="00495C65">
      <w:pPr>
        <w:pStyle w:val="13"/>
      </w:pPr>
      <w:r>
        <w:rPr>
          <w:rFonts w:hint="eastAsia"/>
        </w:rPr>
        <w:t>（</w:t>
      </w:r>
      <w:r>
        <w:t xml:space="preserve">2）纯收益计算 </w:t>
      </w:r>
    </w:p>
    <w:p w14:paraId="20872E50" w14:textId="77777777" w:rsidR="00495C65" w:rsidRDefault="00495C65" w:rsidP="00495C65">
      <w:pPr>
        <w:pStyle w:val="13"/>
      </w:pPr>
      <w:r>
        <w:rPr>
          <w:rFonts w:hint="eastAsia"/>
        </w:rPr>
        <w:t>租赁权的纯收益即盈余租金，由市场租金与合同租金的差额决定。</w:t>
      </w:r>
      <w:r>
        <w:t xml:space="preserve"> </w:t>
      </w:r>
    </w:p>
    <w:p w14:paraId="7D086A6E" w14:textId="77777777" w:rsidR="00495C65" w:rsidRDefault="00495C65" w:rsidP="00495C65">
      <w:pPr>
        <w:pStyle w:val="13"/>
      </w:pPr>
      <w:r>
        <w:rPr>
          <w:rFonts w:hint="eastAsia"/>
        </w:rPr>
        <w:t>（</w:t>
      </w:r>
      <w:r>
        <w:t xml:space="preserve">3）还原率确定 </w:t>
      </w:r>
    </w:p>
    <w:p w14:paraId="46E80714" w14:textId="77777777" w:rsidR="00495C65" w:rsidRDefault="00495C65" w:rsidP="00495C65">
      <w:pPr>
        <w:pStyle w:val="13"/>
      </w:pPr>
      <w:r>
        <w:rPr>
          <w:rFonts w:hint="eastAsia"/>
        </w:rPr>
        <w:t>租赁权的投资风险较出让土地使用权大，收益不确定性高，因此，在运用收益还原法评估时，租赁</w:t>
      </w:r>
      <w:r w:rsidRPr="0063628D">
        <w:rPr>
          <w:rFonts w:hint="eastAsia"/>
        </w:rPr>
        <w:t>权还原率一般较出让土地使用权还原率高</w:t>
      </w:r>
      <w:r w:rsidRPr="0063628D">
        <w:t>1个百分点。</w:t>
      </w:r>
    </w:p>
    <w:p w14:paraId="4E6473B0" w14:textId="77777777" w:rsidR="00495C65" w:rsidRDefault="00495C65" w:rsidP="00495C65">
      <w:pPr>
        <w:pStyle w:val="ab"/>
        <w:spacing w:before="62" w:after="62"/>
        <w:ind w:firstLine="482"/>
      </w:pPr>
      <w:r>
        <w:t xml:space="preserve">10.6 划拨土地使用权评估 </w:t>
      </w:r>
    </w:p>
    <w:p w14:paraId="7EB71694" w14:textId="77777777" w:rsidR="00495C65" w:rsidRDefault="00495C65" w:rsidP="00495C65">
      <w:pPr>
        <w:pStyle w:val="13"/>
      </w:pPr>
      <w:r>
        <w:rPr>
          <w:rFonts w:hint="eastAsia"/>
        </w:rPr>
        <w:t>划拨土地使用权价格评估技术要点如下：</w:t>
      </w:r>
      <w:r>
        <w:t xml:space="preserve"> </w:t>
      </w:r>
    </w:p>
    <w:p w14:paraId="50EA1E55" w14:textId="4FCB382D" w:rsidR="00495C65" w:rsidRDefault="00495C65" w:rsidP="00495C65">
      <w:pPr>
        <w:pStyle w:val="13"/>
      </w:pPr>
      <w:r>
        <w:rPr>
          <w:rFonts w:hint="eastAsia"/>
        </w:rPr>
        <w:t>（</w:t>
      </w:r>
      <w:r>
        <w:t>1）划拨土地使用权评估可用采用收益还原法、市场比较法、剩余法、成本逼</w:t>
      </w:r>
      <w:r>
        <w:lastRenderedPageBreak/>
        <w:t>近法和公示地价系</w:t>
      </w:r>
      <w:r>
        <w:rPr>
          <w:rFonts w:hint="eastAsia"/>
        </w:rPr>
        <w:t>数修正法</w:t>
      </w:r>
      <w:r w:rsidR="003068F8">
        <w:rPr>
          <w:rFonts w:hint="eastAsia"/>
        </w:rPr>
        <w:t>；</w:t>
      </w:r>
    </w:p>
    <w:p w14:paraId="409A7261" w14:textId="4EE5E76A" w:rsidR="00495C65" w:rsidRDefault="00495C65" w:rsidP="00495C65">
      <w:pPr>
        <w:pStyle w:val="13"/>
      </w:pPr>
      <w:r>
        <w:rPr>
          <w:rFonts w:hint="eastAsia"/>
        </w:rPr>
        <w:t>（</w:t>
      </w:r>
      <w:r>
        <w:t>2）运用适宜方法评估划拨土地使用权价格是，应重点考虑出让土地使用权与划拨土地使用权之间的权利差别对价格的影响</w:t>
      </w:r>
      <w:r w:rsidR="003068F8">
        <w:t>；</w:t>
      </w:r>
    </w:p>
    <w:p w14:paraId="0022C25E" w14:textId="77777777" w:rsidR="00495C65" w:rsidRDefault="00495C65" w:rsidP="00495C65">
      <w:pPr>
        <w:pStyle w:val="13"/>
      </w:pPr>
      <w:r>
        <w:rPr>
          <w:rFonts w:hint="eastAsia"/>
        </w:rPr>
        <w:t>（</w:t>
      </w:r>
      <w:r>
        <w:t>3）采用收益还原法评估划拨土地价格，确定土地收益时，应考虑因权能受限造成的划拨土地收益</w:t>
      </w:r>
    </w:p>
    <w:p w14:paraId="50873C6E" w14:textId="77777777" w:rsidR="00495C65" w:rsidRDefault="00495C65" w:rsidP="00495C65">
      <w:pPr>
        <w:pStyle w:val="13"/>
      </w:pPr>
      <w:r>
        <w:rPr>
          <w:rFonts w:hint="eastAsia"/>
        </w:rPr>
        <w:t>与出让土地收益的差异；确定还原率时，应考虑划拨土地使用权的处置限制、使用行业限制等的影响；</w:t>
      </w:r>
    </w:p>
    <w:p w14:paraId="6F262F36" w14:textId="3EA83CB4" w:rsidR="00495C65" w:rsidRDefault="00495C65" w:rsidP="00495C65">
      <w:pPr>
        <w:pStyle w:val="13"/>
      </w:pPr>
      <w:r>
        <w:rPr>
          <w:rFonts w:hint="eastAsia"/>
        </w:rPr>
        <w:t>（</w:t>
      </w:r>
      <w:r>
        <w:t>4）采用市场比较法评估划拨土地价格，应科学选择划拨土地比较案例</w:t>
      </w:r>
      <w:r w:rsidR="003068F8">
        <w:t>；</w:t>
      </w:r>
    </w:p>
    <w:p w14:paraId="26EE1E62" w14:textId="77777777" w:rsidR="00495C65" w:rsidRDefault="00495C65" w:rsidP="00495C65">
      <w:pPr>
        <w:pStyle w:val="13"/>
      </w:pPr>
      <w:r>
        <w:rPr>
          <w:rFonts w:hint="eastAsia"/>
        </w:rPr>
        <w:t>（</w:t>
      </w:r>
      <w:r>
        <w:t>5）采用成本逼近法评估划拨土地价格，应选</w:t>
      </w:r>
      <w:proofErr w:type="gramStart"/>
      <w:r>
        <w:t>择正常</w:t>
      </w:r>
      <w:proofErr w:type="gramEnd"/>
      <w:r>
        <w:t>的土地取得成本、开发成本及合理的利息、利润；</w:t>
      </w:r>
    </w:p>
    <w:p w14:paraId="18106182" w14:textId="77777777" w:rsidR="00495C65" w:rsidRDefault="00495C65" w:rsidP="00495C65">
      <w:pPr>
        <w:pStyle w:val="13"/>
      </w:pPr>
      <w:r>
        <w:t>（6）剩余法评估划拨土地价格，应注意在划拨土地上开发的不动产，其销售具有严格受限性；</w:t>
      </w:r>
    </w:p>
    <w:p w14:paraId="47796BC7" w14:textId="77777777" w:rsidR="00495C65" w:rsidRDefault="00495C65" w:rsidP="00495C65">
      <w:pPr>
        <w:pStyle w:val="13"/>
      </w:pPr>
      <w:r>
        <w:t>（7）通过评估出让土地使用权价格扣减土地增值的方法测算划拨土地价格，应科学确定土地增值。</w:t>
      </w:r>
    </w:p>
    <w:p w14:paraId="182889F0" w14:textId="77777777" w:rsidR="00495C65" w:rsidRDefault="00495C65" w:rsidP="00495C65">
      <w:pPr>
        <w:pStyle w:val="ab"/>
        <w:spacing w:before="62" w:after="62"/>
        <w:ind w:firstLine="482"/>
      </w:pPr>
      <w:r>
        <w:t xml:space="preserve">10.7 地役权评估 </w:t>
      </w:r>
    </w:p>
    <w:p w14:paraId="66406B17" w14:textId="77777777" w:rsidR="00495C65" w:rsidRDefault="00495C65" w:rsidP="00495C65">
      <w:pPr>
        <w:pStyle w:val="13"/>
      </w:pPr>
      <w:r>
        <w:rPr>
          <w:rFonts w:hint="eastAsia"/>
        </w:rPr>
        <w:t>地役权价格根据设定的地役权对土地利用的影响程度评估，可采用市场比较法、收益还原法等。</w:t>
      </w:r>
      <w:r>
        <w:t xml:space="preserve"> 采用市场比较法评估时，应选择相邻地区的类似土地地役权转让实例，进行情况修正和</w:t>
      </w:r>
      <w:proofErr w:type="gramStart"/>
      <w:r>
        <w:t>期日</w:t>
      </w:r>
      <w:proofErr w:type="gramEnd"/>
      <w:r>
        <w:t>修正，</w:t>
      </w:r>
      <w:proofErr w:type="gramStart"/>
      <w:r w:rsidRPr="0063628D">
        <w:rPr>
          <w:rFonts w:hint="eastAsia"/>
        </w:rPr>
        <w:t>经区域</w:t>
      </w:r>
      <w:proofErr w:type="gramEnd"/>
      <w:r w:rsidRPr="0063628D">
        <w:rPr>
          <w:rFonts w:hint="eastAsia"/>
        </w:rPr>
        <w:t>因素和个别因素比较后决定其价格。地役权的设定内容、支付代价方式、经过时间和剩余期限等对地役权价格影响较大，在情况修正时应加以区别。</w:t>
      </w:r>
    </w:p>
    <w:p w14:paraId="50594651" w14:textId="77777777" w:rsidR="00495C65" w:rsidRDefault="00495C65" w:rsidP="00495C65">
      <w:pPr>
        <w:pStyle w:val="13"/>
      </w:pPr>
      <w:r>
        <w:rPr>
          <w:rFonts w:hint="eastAsia"/>
        </w:rPr>
        <w:t>采用收益还原法评估时，土地还原率一般略高于出让土地使用权还原率。</w:t>
      </w:r>
      <w:r>
        <w:t xml:space="preserve"> </w:t>
      </w:r>
    </w:p>
    <w:p w14:paraId="0BEB8006" w14:textId="77777777" w:rsidR="00495C65" w:rsidRDefault="00495C65" w:rsidP="00495C65">
      <w:pPr>
        <w:pStyle w:val="ab"/>
        <w:spacing w:before="62" w:after="62"/>
        <w:ind w:firstLine="482"/>
      </w:pPr>
      <w:r>
        <w:t xml:space="preserve">10.8 设有附加权利的土地使用权评估 </w:t>
      </w:r>
    </w:p>
    <w:p w14:paraId="649B1D8D" w14:textId="77777777" w:rsidR="00495C65" w:rsidRDefault="00495C65" w:rsidP="00495C65">
      <w:pPr>
        <w:pStyle w:val="13"/>
      </w:pPr>
      <w:r>
        <w:t xml:space="preserve">10.8.1 设有租赁权 </w:t>
      </w:r>
    </w:p>
    <w:p w14:paraId="2DC98CFB" w14:textId="77777777" w:rsidR="00495C65" w:rsidRDefault="00495C65" w:rsidP="00495C65">
      <w:pPr>
        <w:pStyle w:val="13"/>
      </w:pPr>
      <w:r>
        <w:rPr>
          <w:rFonts w:hint="eastAsia"/>
        </w:rPr>
        <w:t>设有租赁权的土地使用权价格评估，先评估不负有租赁</w:t>
      </w:r>
      <w:proofErr w:type="gramStart"/>
      <w:r>
        <w:rPr>
          <w:rFonts w:hint="eastAsia"/>
        </w:rPr>
        <w:t>权情况</w:t>
      </w:r>
      <w:proofErr w:type="gramEnd"/>
      <w:r>
        <w:rPr>
          <w:rFonts w:hint="eastAsia"/>
        </w:rPr>
        <w:t>下的土地使用权价格，然后作减价或加价修正。</w:t>
      </w:r>
      <w:r>
        <w:t xml:space="preserve"> </w:t>
      </w:r>
    </w:p>
    <w:p w14:paraId="28323C19" w14:textId="77777777" w:rsidR="00495C65" w:rsidRDefault="00495C65" w:rsidP="00495C65">
      <w:pPr>
        <w:pStyle w:val="13"/>
      </w:pPr>
      <w:r>
        <w:rPr>
          <w:rFonts w:hint="eastAsia"/>
        </w:rPr>
        <w:t>采用收益还原法评估时，在租赁期限内的土地收益应依租赁合同租金标准来确定，超出租赁期限的土地使用剩余年限土地收益依土地</w:t>
      </w:r>
      <w:proofErr w:type="gramStart"/>
      <w:r>
        <w:rPr>
          <w:rFonts w:hint="eastAsia"/>
        </w:rPr>
        <w:t>最佳利用</w:t>
      </w:r>
      <w:proofErr w:type="gramEnd"/>
      <w:r>
        <w:rPr>
          <w:rFonts w:hint="eastAsia"/>
        </w:rPr>
        <w:t>方向的未来收益确定。</w:t>
      </w:r>
    </w:p>
    <w:p w14:paraId="2A38466D" w14:textId="77777777" w:rsidR="00495C65" w:rsidRDefault="00495C65" w:rsidP="00495C65">
      <w:pPr>
        <w:pStyle w:val="13"/>
      </w:pPr>
      <w:r>
        <w:rPr>
          <w:rFonts w:hint="eastAsia"/>
        </w:rPr>
        <w:t>采用市场比较法，应考虑</w:t>
      </w:r>
      <w:proofErr w:type="gramStart"/>
      <w:r>
        <w:rPr>
          <w:rFonts w:hint="eastAsia"/>
        </w:rPr>
        <w:t>各比较</w:t>
      </w:r>
      <w:proofErr w:type="gramEnd"/>
      <w:r>
        <w:rPr>
          <w:rFonts w:hint="eastAsia"/>
        </w:rPr>
        <w:t>实例</w:t>
      </w:r>
      <w:proofErr w:type="gramStart"/>
      <w:r>
        <w:rPr>
          <w:rFonts w:hint="eastAsia"/>
        </w:rPr>
        <w:t>与待估宗地</w:t>
      </w:r>
      <w:proofErr w:type="gramEnd"/>
      <w:r>
        <w:rPr>
          <w:rFonts w:hint="eastAsia"/>
        </w:rPr>
        <w:t>之间因租赁期限不同所带来的影响。</w:t>
      </w:r>
      <w:r>
        <w:t xml:space="preserve"> </w:t>
      </w:r>
    </w:p>
    <w:p w14:paraId="4BF2980B" w14:textId="77777777" w:rsidR="00495C65" w:rsidRDefault="00495C65" w:rsidP="00495C65">
      <w:pPr>
        <w:pStyle w:val="13"/>
      </w:pPr>
      <w:r>
        <w:t xml:space="preserve">10.8.2 设有地役权 </w:t>
      </w:r>
    </w:p>
    <w:p w14:paraId="34BFACAC" w14:textId="77777777" w:rsidR="00495C65" w:rsidRDefault="00495C65" w:rsidP="00495C65">
      <w:pPr>
        <w:pStyle w:val="13"/>
      </w:pPr>
      <w:r>
        <w:rPr>
          <w:rFonts w:hint="eastAsia"/>
        </w:rPr>
        <w:t>设有地役权的土地使用权价格评估，先评估</w:t>
      </w:r>
      <w:proofErr w:type="gramStart"/>
      <w:r>
        <w:rPr>
          <w:rFonts w:hint="eastAsia"/>
        </w:rPr>
        <w:t>不</w:t>
      </w:r>
      <w:proofErr w:type="gramEnd"/>
      <w:r>
        <w:rPr>
          <w:rFonts w:hint="eastAsia"/>
        </w:rPr>
        <w:t>设有地役权情况下的土地使用权价格，然后作减价修正。</w:t>
      </w:r>
    </w:p>
    <w:p w14:paraId="385011AF" w14:textId="77777777" w:rsidR="00495C65" w:rsidRDefault="00495C65" w:rsidP="00495C65">
      <w:pPr>
        <w:pStyle w:val="13"/>
      </w:pPr>
      <w:r w:rsidRPr="0063628D">
        <w:lastRenderedPageBreak/>
        <w:t>10.9 建设用地空间权利评估</w:t>
      </w:r>
    </w:p>
    <w:p w14:paraId="72C34030" w14:textId="77777777" w:rsidR="00495C65" w:rsidRDefault="00495C65" w:rsidP="00495C65">
      <w:pPr>
        <w:pStyle w:val="13"/>
      </w:pPr>
      <w:r>
        <w:rPr>
          <w:rFonts w:hint="eastAsia"/>
        </w:rPr>
        <w:t>当同一宗土地上分别设有独立的地上、地表、地下权时，须按照各自边界、权利归属、收益能力、产权限制等分别评估各部分价格。</w:t>
      </w:r>
      <w:r>
        <w:t xml:space="preserve"> </w:t>
      </w:r>
    </w:p>
    <w:p w14:paraId="47825491" w14:textId="77777777" w:rsidR="00495C65" w:rsidRDefault="00495C65" w:rsidP="00495C65">
      <w:pPr>
        <w:pStyle w:val="13"/>
      </w:pPr>
      <w:r>
        <w:t>10.9.1 地下</w:t>
      </w:r>
      <w:proofErr w:type="gramStart"/>
      <w:r>
        <w:t>空间权</w:t>
      </w:r>
      <w:proofErr w:type="gramEnd"/>
      <w:r>
        <w:t xml:space="preserve">评估 </w:t>
      </w:r>
    </w:p>
    <w:p w14:paraId="6DF32480" w14:textId="77777777" w:rsidR="00495C65" w:rsidRDefault="00495C65" w:rsidP="00495C65">
      <w:pPr>
        <w:pStyle w:val="13"/>
      </w:pPr>
      <w:r>
        <w:rPr>
          <w:rFonts w:hint="eastAsia"/>
        </w:rPr>
        <w:t>评估地下</w:t>
      </w:r>
      <w:proofErr w:type="gramStart"/>
      <w:r>
        <w:rPr>
          <w:rFonts w:hint="eastAsia"/>
        </w:rPr>
        <w:t>空间权</w:t>
      </w:r>
      <w:proofErr w:type="gramEnd"/>
      <w:r>
        <w:rPr>
          <w:rFonts w:hint="eastAsia"/>
        </w:rPr>
        <w:t>价格应重点考虑地下用途、地下深度、地下水文地质条件、地下建设对地上的影响、规划限制等因素对价格的影响。</w:t>
      </w:r>
      <w:r>
        <w:t xml:space="preserve"> </w:t>
      </w:r>
    </w:p>
    <w:p w14:paraId="23CC3CEF" w14:textId="77777777" w:rsidR="00495C65" w:rsidRDefault="00495C65" w:rsidP="00495C65">
      <w:pPr>
        <w:pStyle w:val="13"/>
      </w:pPr>
      <w:r>
        <w:rPr>
          <w:rFonts w:hint="eastAsia"/>
        </w:rPr>
        <w:t>地下</w:t>
      </w:r>
      <w:proofErr w:type="gramStart"/>
      <w:r>
        <w:rPr>
          <w:rFonts w:hint="eastAsia"/>
        </w:rPr>
        <w:t>空间权</w:t>
      </w:r>
      <w:proofErr w:type="gramEnd"/>
      <w:r>
        <w:rPr>
          <w:rFonts w:hint="eastAsia"/>
        </w:rPr>
        <w:t>价格可采用收益还原法、市场比较法、成本逼近法等方法评估。在当地政府发布的基准地价中如果其修正体系中有明确的地下</w:t>
      </w:r>
      <w:proofErr w:type="gramStart"/>
      <w:r>
        <w:rPr>
          <w:rFonts w:hint="eastAsia"/>
        </w:rPr>
        <w:t>空间权</w:t>
      </w:r>
      <w:proofErr w:type="gramEnd"/>
      <w:r>
        <w:rPr>
          <w:rFonts w:hint="eastAsia"/>
        </w:rPr>
        <w:t>价格修正要求，可采用公示地价系数修正法评估地下</w:t>
      </w:r>
      <w:proofErr w:type="gramStart"/>
      <w:r>
        <w:rPr>
          <w:rFonts w:hint="eastAsia"/>
        </w:rPr>
        <w:t>空间权</w:t>
      </w:r>
      <w:proofErr w:type="gramEnd"/>
      <w:r>
        <w:rPr>
          <w:rFonts w:hint="eastAsia"/>
        </w:rPr>
        <w:t>价格。</w:t>
      </w:r>
    </w:p>
    <w:p w14:paraId="6D4A6F2B" w14:textId="77777777" w:rsidR="00495C65" w:rsidRDefault="00495C65" w:rsidP="00495C65">
      <w:pPr>
        <w:pStyle w:val="13"/>
      </w:pPr>
      <w:r>
        <w:rPr>
          <w:rFonts w:hint="eastAsia"/>
        </w:rPr>
        <w:t>技术要点如下：</w:t>
      </w:r>
      <w:r>
        <w:t xml:space="preserve"> </w:t>
      </w:r>
    </w:p>
    <w:p w14:paraId="5B97B65C" w14:textId="77777777" w:rsidR="00495C65" w:rsidRDefault="00495C65" w:rsidP="00495C65">
      <w:pPr>
        <w:pStyle w:val="13"/>
      </w:pPr>
      <w:r>
        <w:rPr>
          <w:rFonts w:hint="eastAsia"/>
        </w:rPr>
        <w:t>（</w:t>
      </w:r>
      <w:r>
        <w:t xml:space="preserve">1）收益还原法 </w:t>
      </w:r>
    </w:p>
    <w:p w14:paraId="663BDD6F" w14:textId="77777777" w:rsidR="00495C65" w:rsidRDefault="00495C65" w:rsidP="00495C65">
      <w:pPr>
        <w:pStyle w:val="13"/>
      </w:pPr>
      <w:r>
        <w:rPr>
          <w:rFonts w:hint="eastAsia"/>
        </w:rPr>
        <w:t>运用收益还原法时，应注意空间差异可能导致的收益差异。</w:t>
      </w:r>
      <w:r>
        <w:t xml:space="preserve"> </w:t>
      </w:r>
    </w:p>
    <w:p w14:paraId="21AAC863" w14:textId="77777777" w:rsidR="00495C65" w:rsidRDefault="00495C65" w:rsidP="00495C65">
      <w:pPr>
        <w:pStyle w:val="13"/>
      </w:pPr>
      <w:r>
        <w:rPr>
          <w:rFonts w:hint="eastAsia"/>
        </w:rPr>
        <w:t>由于地下空间的运营成本较高、限制性较大，以及通达便捷性较差等原因，地下空间的投资风险较地表更高，其还原率通常略高。</w:t>
      </w:r>
      <w:r>
        <w:t xml:space="preserve"> </w:t>
      </w:r>
    </w:p>
    <w:p w14:paraId="2FD6485F" w14:textId="77777777" w:rsidR="00495C65" w:rsidRDefault="00495C65" w:rsidP="00495C65">
      <w:pPr>
        <w:pStyle w:val="13"/>
      </w:pPr>
      <w:r>
        <w:rPr>
          <w:rFonts w:hint="eastAsia"/>
        </w:rPr>
        <w:t>（</w:t>
      </w:r>
      <w:r>
        <w:t xml:space="preserve">2）市场比较法 </w:t>
      </w:r>
    </w:p>
    <w:p w14:paraId="4AA32626" w14:textId="77777777" w:rsidR="00495C65" w:rsidRDefault="00495C65" w:rsidP="00495C65">
      <w:pPr>
        <w:pStyle w:val="13"/>
      </w:pPr>
      <w:r>
        <w:rPr>
          <w:rFonts w:hint="eastAsia"/>
        </w:rPr>
        <w:t>采用市场比较法时，应注意影响地下</w:t>
      </w:r>
      <w:proofErr w:type="gramStart"/>
      <w:r>
        <w:rPr>
          <w:rFonts w:hint="eastAsia"/>
        </w:rPr>
        <w:t>空间权</w:t>
      </w:r>
      <w:proofErr w:type="gramEnd"/>
      <w:r>
        <w:rPr>
          <w:rFonts w:hint="eastAsia"/>
        </w:rPr>
        <w:t>价格的区域因素和个别因素的选择及其对价格影响的特殊性，应重点考虑所处区域集聚方便程度、基础设施和公共设施集聚程度、地质条件、地下空间深度、规模、人防</w:t>
      </w:r>
      <w:proofErr w:type="gramStart"/>
      <w:r>
        <w:rPr>
          <w:rFonts w:hint="eastAsia"/>
        </w:rPr>
        <w:t>管控及地下</w:t>
      </w:r>
      <w:proofErr w:type="gramEnd"/>
      <w:r>
        <w:rPr>
          <w:rFonts w:hint="eastAsia"/>
        </w:rPr>
        <w:t>空间规划限制等。</w:t>
      </w:r>
    </w:p>
    <w:p w14:paraId="6FFB5E23" w14:textId="77777777" w:rsidR="00495C65" w:rsidRDefault="00495C65" w:rsidP="00495C65">
      <w:pPr>
        <w:pStyle w:val="13"/>
      </w:pPr>
      <w:r>
        <w:rPr>
          <w:rFonts w:hint="eastAsia"/>
        </w:rPr>
        <w:t>（</w:t>
      </w:r>
      <w:r>
        <w:t xml:space="preserve">3）成本法逼近法 </w:t>
      </w:r>
    </w:p>
    <w:p w14:paraId="195758DB" w14:textId="77777777" w:rsidR="00495C65" w:rsidRDefault="00495C65" w:rsidP="00495C65">
      <w:pPr>
        <w:pStyle w:val="13"/>
      </w:pPr>
      <w:r>
        <w:rPr>
          <w:rFonts w:hint="eastAsia"/>
        </w:rPr>
        <w:t>采用成本逼近法时，成本费用、利润率等均应按照该区域地下空间开发、利用的客观水平确定。</w:t>
      </w:r>
    </w:p>
    <w:p w14:paraId="46F89204" w14:textId="77777777" w:rsidR="00495C65" w:rsidRDefault="00495C65" w:rsidP="00495C65">
      <w:pPr>
        <w:pStyle w:val="13"/>
      </w:pPr>
      <w:r>
        <w:t>运用成本逼近法评估非独</w:t>
      </w:r>
      <w:proofErr w:type="gramStart"/>
      <w:r>
        <w:t>立地下空间</w:t>
      </w:r>
      <w:proofErr w:type="gramEnd"/>
      <w:r>
        <w:t>权时，应结合对地下、地上不动产价格的贡献，确定地下、地</w:t>
      </w:r>
      <w:r>
        <w:rPr>
          <w:rFonts w:hint="eastAsia"/>
        </w:rPr>
        <w:t>上的成本分摊。</w:t>
      </w:r>
      <w:r>
        <w:t xml:space="preserve"> </w:t>
      </w:r>
    </w:p>
    <w:p w14:paraId="49066FBB" w14:textId="77777777" w:rsidR="00495C65" w:rsidRDefault="00495C65" w:rsidP="00495C65">
      <w:pPr>
        <w:pStyle w:val="13"/>
      </w:pPr>
      <w:r>
        <w:t xml:space="preserve">10.9.2 地上空间权 </w:t>
      </w:r>
    </w:p>
    <w:p w14:paraId="16F92F54" w14:textId="77777777" w:rsidR="00495C65" w:rsidRDefault="00495C65" w:rsidP="00495C65">
      <w:pPr>
        <w:pStyle w:val="13"/>
      </w:pPr>
      <w:r>
        <w:rPr>
          <w:rFonts w:hint="eastAsia"/>
        </w:rPr>
        <w:t>评估地上</w:t>
      </w:r>
      <w:proofErr w:type="gramStart"/>
      <w:r>
        <w:rPr>
          <w:rFonts w:hint="eastAsia"/>
        </w:rPr>
        <w:t>空间权</w:t>
      </w:r>
      <w:proofErr w:type="gramEnd"/>
      <w:r>
        <w:rPr>
          <w:rFonts w:hint="eastAsia"/>
        </w:rPr>
        <w:t>价格可参考市场比较法、收益还原法等各主要估价方法的思路，亦可采用容积率补偿、损失补偿的思路测算价格。</w:t>
      </w:r>
    </w:p>
    <w:p w14:paraId="70996D8C" w14:textId="77777777" w:rsidR="00495C65" w:rsidRDefault="00495C65" w:rsidP="00495C65">
      <w:pPr>
        <w:pStyle w:val="13"/>
      </w:pPr>
      <w:r>
        <w:rPr>
          <w:rFonts w:hint="eastAsia"/>
        </w:rPr>
        <w:t>技术要点如下：</w:t>
      </w:r>
      <w:r>
        <w:t xml:space="preserve"> </w:t>
      </w:r>
    </w:p>
    <w:p w14:paraId="490C915D" w14:textId="0C848922" w:rsidR="00495C65" w:rsidRDefault="00495C65" w:rsidP="00495C65">
      <w:pPr>
        <w:pStyle w:val="13"/>
      </w:pPr>
      <w:r>
        <w:rPr>
          <w:rFonts w:hint="eastAsia"/>
        </w:rPr>
        <w:t>（</w:t>
      </w:r>
      <w:r>
        <w:t>1）采用市场比较法、收益还原法等主要估价方法时，应注意影响因素的选择及其对价格影响的</w:t>
      </w:r>
      <w:r>
        <w:rPr>
          <w:rFonts w:hint="eastAsia"/>
        </w:rPr>
        <w:t>特殊性，重点考虑地上空间类型、对地表利用影响程度、所处区域区位条件、空间通达程度、基础设施条件、空间限制条件等的影响</w:t>
      </w:r>
      <w:r w:rsidR="003068F8">
        <w:rPr>
          <w:rFonts w:hint="eastAsia"/>
        </w:rPr>
        <w:t>；</w:t>
      </w:r>
    </w:p>
    <w:p w14:paraId="02318038" w14:textId="7BF3A46A" w:rsidR="00495C65" w:rsidRDefault="00495C65" w:rsidP="00495C65">
      <w:pPr>
        <w:pStyle w:val="13"/>
      </w:pPr>
      <w:r>
        <w:rPr>
          <w:rFonts w:hint="eastAsia"/>
        </w:rPr>
        <w:t>（</w:t>
      </w:r>
      <w:r>
        <w:t>2）采用容积率补偿法进行评估，可以地上</w:t>
      </w:r>
      <w:proofErr w:type="gramStart"/>
      <w:r>
        <w:t>空间权</w:t>
      </w:r>
      <w:proofErr w:type="gramEnd"/>
      <w:r>
        <w:t>垂直投影范围内的地表面积为基础，依据地上空间利用范围增加前后的地块总价差异，结合地上</w:t>
      </w:r>
      <w:proofErr w:type="gramStart"/>
      <w:r>
        <w:t>空间权</w:t>
      </w:r>
      <w:proofErr w:type="gramEnd"/>
      <w:r>
        <w:t>的特殊限制条件，测算单独设立的地上</w:t>
      </w:r>
      <w:proofErr w:type="gramStart"/>
      <w:r>
        <w:t>空间权</w:t>
      </w:r>
      <w:proofErr w:type="gramEnd"/>
      <w:r>
        <w:t>的价格</w:t>
      </w:r>
      <w:r w:rsidR="003068F8">
        <w:t>；</w:t>
      </w:r>
    </w:p>
    <w:p w14:paraId="4010993E" w14:textId="77777777" w:rsidR="00495C65" w:rsidRDefault="00495C65" w:rsidP="00495C65">
      <w:pPr>
        <w:pStyle w:val="13"/>
      </w:pPr>
      <w:r>
        <w:rPr>
          <w:rFonts w:hint="eastAsia"/>
        </w:rPr>
        <w:t>（</w:t>
      </w:r>
      <w:r>
        <w:t>3）当地上</w:t>
      </w:r>
      <w:proofErr w:type="gramStart"/>
      <w:r>
        <w:t>空间权</w:t>
      </w:r>
      <w:proofErr w:type="gramEnd"/>
      <w:r>
        <w:t>的存在对地表土地利用产生一定程度的妨碍时，可采用妨碍</w:t>
      </w:r>
      <w:r>
        <w:lastRenderedPageBreak/>
        <w:t>补偿法进行评估。</w:t>
      </w:r>
    </w:p>
    <w:p w14:paraId="57D3C281" w14:textId="77777777" w:rsidR="00495C65" w:rsidRDefault="00495C65" w:rsidP="00495C65">
      <w:pPr>
        <w:pStyle w:val="13"/>
      </w:pPr>
      <w:r>
        <w:t>当地上</w:t>
      </w:r>
      <w:proofErr w:type="gramStart"/>
      <w:r>
        <w:t>空间权</w:t>
      </w:r>
      <w:proofErr w:type="gramEnd"/>
      <w:r>
        <w:t>与地表</w:t>
      </w:r>
      <w:proofErr w:type="gramStart"/>
      <w:r>
        <w:t>利用权间存在</w:t>
      </w:r>
      <w:proofErr w:type="gramEnd"/>
      <w:r>
        <w:t>一定的高度距离时，通常遵循高度距离越大，对地表土地利用权利的干扰越小的原则处理。</w:t>
      </w:r>
    </w:p>
    <w:p w14:paraId="71D9BDAE" w14:textId="77777777" w:rsidR="00495C65" w:rsidRDefault="00495C65" w:rsidP="00AF7342">
      <w:pPr>
        <w:pStyle w:val="a9"/>
        <w:spacing w:before="62" w:after="62"/>
      </w:pPr>
      <w:r w:rsidRPr="00A440C6">
        <w:rPr>
          <w:rFonts w:hint="eastAsia"/>
        </w:rPr>
        <w:t>附录</w:t>
      </w:r>
      <w:r w:rsidRPr="00A440C6">
        <w:t xml:space="preserve"> A</w:t>
      </w:r>
    </w:p>
    <w:p w14:paraId="494EAEDA" w14:textId="77777777" w:rsidR="00495C65" w:rsidRDefault="00495C65" w:rsidP="00AF7342">
      <w:pPr>
        <w:pStyle w:val="a9"/>
        <w:spacing w:before="62" w:after="62"/>
      </w:pPr>
      <w:r>
        <w:rPr>
          <w:rFonts w:hint="eastAsia"/>
        </w:rPr>
        <w:t>（标准的附录）</w:t>
      </w:r>
    </w:p>
    <w:p w14:paraId="6A96B7BC" w14:textId="77777777" w:rsidR="00495C65" w:rsidRDefault="00495C65" w:rsidP="00AF7342">
      <w:pPr>
        <w:pStyle w:val="a9"/>
        <w:spacing w:before="62" w:after="62"/>
      </w:pPr>
      <w:r>
        <w:rPr>
          <w:rFonts w:hint="eastAsia"/>
        </w:rPr>
        <w:t>收益还原法原理及其公式</w:t>
      </w:r>
      <w:r>
        <w:t xml:space="preserve"> </w:t>
      </w:r>
    </w:p>
    <w:p w14:paraId="33139FA2" w14:textId="77777777" w:rsidR="00495C65" w:rsidRDefault="00495C65" w:rsidP="00495C65">
      <w:pPr>
        <w:pStyle w:val="ab"/>
        <w:spacing w:before="62" w:after="62"/>
        <w:ind w:firstLine="482"/>
      </w:pPr>
      <w:r>
        <w:t xml:space="preserve">A1 收益还原法基本原理 </w:t>
      </w:r>
    </w:p>
    <w:p w14:paraId="12DFD8C1" w14:textId="77777777" w:rsidR="00495C65" w:rsidRDefault="00495C65" w:rsidP="00495C65">
      <w:pPr>
        <w:pStyle w:val="13"/>
      </w:pPr>
      <w:r>
        <w:rPr>
          <w:rFonts w:hint="eastAsia"/>
        </w:rPr>
        <w:t>收益还原法是基于经济学中的预期收益原理，将</w:t>
      </w:r>
      <w:proofErr w:type="gramStart"/>
      <w:r>
        <w:rPr>
          <w:rFonts w:hint="eastAsia"/>
        </w:rPr>
        <w:t>待估土地</w:t>
      </w:r>
      <w:proofErr w:type="gramEnd"/>
      <w:r>
        <w:rPr>
          <w:rFonts w:hint="eastAsia"/>
        </w:rPr>
        <w:t>未来正常年纯收益（地租），以一定的土地还原率还原，以此估算</w:t>
      </w:r>
      <w:proofErr w:type="gramStart"/>
      <w:r>
        <w:rPr>
          <w:rFonts w:hint="eastAsia"/>
        </w:rPr>
        <w:t>待估土地</w:t>
      </w:r>
      <w:proofErr w:type="gramEnd"/>
      <w:r>
        <w:rPr>
          <w:rFonts w:hint="eastAsia"/>
        </w:rPr>
        <w:t>价格的方法。土地在合理利用的条件下，在未来年间具有无限产生收益的可能性，土地的客观合理价格，为该土地的产权人在拥有该土地的期间内从中所获得的各年纯收益的现值之</w:t>
      </w:r>
      <w:proofErr w:type="gramStart"/>
      <w:r>
        <w:rPr>
          <w:rFonts w:hint="eastAsia"/>
        </w:rPr>
        <w:t>和</w:t>
      </w:r>
      <w:proofErr w:type="gramEnd"/>
      <w:r>
        <w:rPr>
          <w:rFonts w:hint="eastAsia"/>
        </w:rPr>
        <w:t>。</w:t>
      </w:r>
    </w:p>
    <w:p w14:paraId="308B21DB" w14:textId="77777777" w:rsidR="00495C65" w:rsidRDefault="00495C65" w:rsidP="00495C65">
      <w:pPr>
        <w:pStyle w:val="13"/>
      </w:pPr>
      <w:r>
        <w:rPr>
          <w:noProof/>
        </w:rPr>
        <w:drawing>
          <wp:anchor distT="0" distB="0" distL="114300" distR="114300" simplePos="0" relativeHeight="251666432" behindDoc="1" locked="0" layoutInCell="1" allowOverlap="1" wp14:anchorId="048F5CD1" wp14:editId="0AE87DD8">
            <wp:simplePos x="0" y="0"/>
            <wp:positionH relativeFrom="column">
              <wp:posOffset>2226525</wp:posOffset>
            </wp:positionH>
            <wp:positionV relativeFrom="paragraph">
              <wp:posOffset>165555</wp:posOffset>
            </wp:positionV>
            <wp:extent cx="1121143" cy="612476"/>
            <wp:effectExtent l="0" t="0" r="3175" b="0"/>
            <wp:wrapNone/>
            <wp:docPr id="3266" name="图片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121758" cy="612812"/>
                    </a:xfrm>
                    <a:prstGeom prst="rect">
                      <a:avLst/>
                    </a:prstGeom>
                  </pic:spPr>
                </pic:pic>
              </a:graphicData>
            </a:graphic>
            <wp14:sizeRelH relativeFrom="margin">
              <wp14:pctWidth>0</wp14:pctWidth>
            </wp14:sizeRelH>
            <wp14:sizeRelV relativeFrom="margin">
              <wp14:pctHeight>0</wp14:pctHeight>
            </wp14:sizeRelV>
          </wp:anchor>
        </w:drawing>
      </w:r>
      <w:r w:rsidRPr="00A440C6">
        <w:rPr>
          <w:rFonts w:hint="eastAsia"/>
        </w:rPr>
        <w:t>基本原理公式见式（</w:t>
      </w:r>
      <w:r w:rsidRPr="00A440C6">
        <w:t>A.1）</w:t>
      </w:r>
    </w:p>
    <w:p w14:paraId="649E9BCF" w14:textId="77777777" w:rsidR="00495C65" w:rsidRDefault="00495C65" w:rsidP="00495C65">
      <w:pPr>
        <w:pStyle w:val="13"/>
      </w:pPr>
      <w:r w:rsidRPr="004F0D53">
        <w:t xml:space="preserve">                                                              </w:t>
      </w:r>
      <w:r w:rsidRPr="004F0D53">
        <w:rPr>
          <w:rFonts w:hint="eastAsia"/>
        </w:rPr>
        <w:t>（</w:t>
      </w:r>
      <w:r w:rsidRPr="004F0D53">
        <w:t>A.1）</w:t>
      </w:r>
    </w:p>
    <w:p w14:paraId="33CC3874" w14:textId="77777777" w:rsidR="00495C65" w:rsidRDefault="00495C65" w:rsidP="00495C65">
      <w:pPr>
        <w:pStyle w:val="13"/>
      </w:pPr>
    </w:p>
    <w:p w14:paraId="3C9E9554" w14:textId="77777777" w:rsidR="00495C65" w:rsidRDefault="00495C65" w:rsidP="00495C65">
      <w:pPr>
        <w:pStyle w:val="13"/>
      </w:pPr>
      <w:r>
        <w:rPr>
          <w:rFonts w:hint="eastAsia"/>
        </w:rPr>
        <w:t>式中：</w:t>
      </w:r>
      <w:r>
        <w:t xml:space="preserve"> </w:t>
      </w:r>
    </w:p>
    <w:p w14:paraId="2AD39387" w14:textId="49D1B5A0" w:rsidR="00495C65" w:rsidRDefault="00495C65" w:rsidP="00495C65">
      <w:pPr>
        <w:pStyle w:val="13"/>
        <w:ind w:firstLineChars="500" w:firstLine="1200"/>
      </w:pPr>
      <w:r>
        <w:t>P</w:t>
      </w:r>
      <w:proofErr w:type="gramStart"/>
      <w:r>
        <w:t>—土地</w:t>
      </w:r>
      <w:proofErr w:type="gramEnd"/>
      <w:r>
        <w:t>收益价格</w:t>
      </w:r>
      <w:r w:rsidR="003068F8">
        <w:t>；</w:t>
      </w:r>
    </w:p>
    <w:p w14:paraId="11CF7DFC" w14:textId="77777777" w:rsidR="00495C65" w:rsidRDefault="00495C65" w:rsidP="00495C65">
      <w:pPr>
        <w:pStyle w:val="13"/>
        <w:ind w:firstLineChars="500" w:firstLine="1200"/>
      </w:pPr>
      <w:r>
        <w:t>a</w:t>
      </w:r>
      <w:r w:rsidRPr="004F0D53">
        <w:rPr>
          <w:vertAlign w:val="subscript"/>
        </w:rPr>
        <w:t>i</w:t>
      </w:r>
      <w:r>
        <w:t>—第</w:t>
      </w:r>
      <w:proofErr w:type="spellStart"/>
      <w:r>
        <w:t>i</w:t>
      </w:r>
      <w:proofErr w:type="spellEnd"/>
      <w:r>
        <w:t>年末土地年纯收益（或地租）；</w:t>
      </w:r>
    </w:p>
    <w:p w14:paraId="6020DB27" w14:textId="77777777" w:rsidR="00495C65" w:rsidRDefault="00495C65" w:rsidP="00495C65">
      <w:pPr>
        <w:pStyle w:val="13"/>
        <w:ind w:firstLineChars="500" w:firstLine="1200"/>
      </w:pPr>
      <w:proofErr w:type="spellStart"/>
      <w:r>
        <w:t>r</w:t>
      </w:r>
      <w:r w:rsidRPr="004F0D53">
        <w:rPr>
          <w:vertAlign w:val="subscript"/>
        </w:rPr>
        <w:t>i</w:t>
      </w:r>
      <w:proofErr w:type="spellEnd"/>
      <w:r>
        <w:t>—第</w:t>
      </w:r>
      <w:proofErr w:type="spellStart"/>
      <w:r>
        <w:t>i</w:t>
      </w:r>
      <w:proofErr w:type="spellEnd"/>
      <w:proofErr w:type="gramStart"/>
      <w:r>
        <w:t>年土地</w:t>
      </w:r>
      <w:proofErr w:type="gramEnd"/>
      <w:r>
        <w:t xml:space="preserve">还原利率。 </w:t>
      </w:r>
    </w:p>
    <w:p w14:paraId="67844041" w14:textId="77777777" w:rsidR="00495C65" w:rsidRDefault="00495C65" w:rsidP="00495C65">
      <w:pPr>
        <w:pStyle w:val="ab"/>
        <w:spacing w:before="62" w:after="62"/>
        <w:ind w:firstLine="482"/>
      </w:pPr>
      <w:r>
        <w:t xml:space="preserve">A2 收益还原法应用公式 </w:t>
      </w:r>
    </w:p>
    <w:p w14:paraId="57A1FCB1" w14:textId="77777777" w:rsidR="00495C65" w:rsidRDefault="00495C65" w:rsidP="00495C65">
      <w:pPr>
        <w:pStyle w:val="13"/>
      </w:pPr>
      <w:r>
        <w:t>A2.1土地纯收益流量每年固定不变</w:t>
      </w:r>
    </w:p>
    <w:p w14:paraId="7C67EE89" w14:textId="77777777" w:rsidR="00495C65" w:rsidRDefault="00495C65" w:rsidP="00495C65">
      <w:pPr>
        <w:pStyle w:val="13"/>
      </w:pPr>
      <w:r>
        <w:t>公式如下：</w:t>
      </w:r>
    </w:p>
    <w:p w14:paraId="3A36EE9D" w14:textId="77777777" w:rsidR="00495C65" w:rsidRDefault="00495C65" w:rsidP="00495C65">
      <w:pPr>
        <w:pStyle w:val="13"/>
      </w:pPr>
      <w:r>
        <w:rPr>
          <w:rFonts w:hint="eastAsia"/>
        </w:rPr>
        <w:t>（</w:t>
      </w:r>
      <w:r>
        <w:t xml:space="preserve">1）无限年期公式为: </w:t>
      </w:r>
    </w:p>
    <w:p w14:paraId="686CC5CA" w14:textId="77777777" w:rsidR="00495C65" w:rsidRDefault="00495C65" w:rsidP="00495C65">
      <w:pPr>
        <w:pStyle w:val="13"/>
        <w:jc w:val="center"/>
      </w:pPr>
      <w:r>
        <w:t>P=</w:t>
      </w:r>
      <w:proofErr w:type="spellStart"/>
      <w:r>
        <w:t>a/r</w:t>
      </w:r>
      <w:proofErr w:type="spellEnd"/>
    </w:p>
    <w:p w14:paraId="2FECBE89" w14:textId="77777777" w:rsidR="00495C65" w:rsidRDefault="00495C65" w:rsidP="00495C65">
      <w:pPr>
        <w:pStyle w:val="13"/>
      </w:pPr>
      <w:r>
        <w:rPr>
          <w:rFonts w:hint="eastAsia"/>
        </w:rPr>
        <w:t>（</w:t>
      </w:r>
      <w:r>
        <w:t xml:space="preserve">2）有限年期公式为: </w:t>
      </w:r>
    </w:p>
    <w:p w14:paraId="285653AE" w14:textId="77777777" w:rsidR="00495C65" w:rsidRDefault="00495C65" w:rsidP="00495C65">
      <w:pPr>
        <w:pStyle w:val="13"/>
        <w:jc w:val="center"/>
      </w:pPr>
      <w:r>
        <w:t>P=a/r[1-1/（1+r）</w:t>
      </w:r>
      <w:r w:rsidRPr="004F0D53">
        <w:rPr>
          <w:vertAlign w:val="superscript"/>
        </w:rPr>
        <w:t>n</w:t>
      </w:r>
      <w:r>
        <w:t>]</w:t>
      </w:r>
    </w:p>
    <w:p w14:paraId="12D4FFBF" w14:textId="77777777" w:rsidR="00495C65" w:rsidRDefault="00495C65" w:rsidP="00495C65">
      <w:pPr>
        <w:pStyle w:val="13"/>
      </w:pPr>
      <w:r>
        <w:rPr>
          <w:rFonts w:hint="eastAsia"/>
        </w:rPr>
        <w:t>式中：</w:t>
      </w:r>
      <w:r>
        <w:t xml:space="preserve">   </w:t>
      </w:r>
    </w:p>
    <w:p w14:paraId="10640B72" w14:textId="4046CF42" w:rsidR="00495C65" w:rsidRDefault="00495C65" w:rsidP="00495C65">
      <w:pPr>
        <w:pStyle w:val="13"/>
        <w:ind w:firstLineChars="500" w:firstLine="1200"/>
      </w:pPr>
      <w:r>
        <w:t>P</w:t>
      </w:r>
      <w:proofErr w:type="gramStart"/>
      <w:r>
        <w:t>—土地</w:t>
      </w:r>
      <w:proofErr w:type="gramEnd"/>
      <w:r>
        <w:t>收益价格</w:t>
      </w:r>
      <w:r w:rsidR="003068F8">
        <w:t>；</w:t>
      </w:r>
    </w:p>
    <w:p w14:paraId="6917CBB5" w14:textId="02BA2A29" w:rsidR="00495C65" w:rsidRDefault="00495C65" w:rsidP="00495C65">
      <w:pPr>
        <w:pStyle w:val="13"/>
        <w:ind w:firstLineChars="500" w:firstLine="1200"/>
      </w:pPr>
      <w:r>
        <w:t>a—</w:t>
      </w:r>
      <w:proofErr w:type="gramStart"/>
      <w:r>
        <w:t>年土地</w:t>
      </w:r>
      <w:proofErr w:type="gramEnd"/>
      <w:r>
        <w:t>纯收益</w:t>
      </w:r>
      <w:r w:rsidR="003068F8">
        <w:t>；</w:t>
      </w:r>
    </w:p>
    <w:p w14:paraId="50EEE0E7" w14:textId="290AF65C" w:rsidR="00495C65" w:rsidRDefault="00495C65" w:rsidP="00495C65">
      <w:pPr>
        <w:pStyle w:val="13"/>
        <w:ind w:firstLineChars="500" w:firstLine="1200"/>
      </w:pPr>
      <w:r>
        <w:t>r</w:t>
      </w:r>
      <w:proofErr w:type="gramStart"/>
      <w:r>
        <w:t>—土地</w:t>
      </w:r>
      <w:proofErr w:type="gramEnd"/>
      <w:r>
        <w:t>还原率（r＞0）</w:t>
      </w:r>
      <w:r w:rsidR="003068F8">
        <w:t>；</w:t>
      </w:r>
    </w:p>
    <w:p w14:paraId="7736EB4F" w14:textId="77777777" w:rsidR="00495C65" w:rsidRDefault="00495C65" w:rsidP="00495C65">
      <w:pPr>
        <w:pStyle w:val="13"/>
        <w:ind w:firstLineChars="500" w:firstLine="1200"/>
      </w:pPr>
      <w:r>
        <w:t xml:space="preserve">n—未来土地使用年期。 </w:t>
      </w:r>
    </w:p>
    <w:p w14:paraId="10EE3D66" w14:textId="77777777" w:rsidR="00495C65" w:rsidRDefault="00495C65" w:rsidP="00495C65">
      <w:pPr>
        <w:pStyle w:val="13"/>
      </w:pPr>
      <w:r>
        <w:t>A2.2土地纯收益流量每年按等差级数递增或递减</w:t>
      </w:r>
    </w:p>
    <w:p w14:paraId="1EB623BC" w14:textId="77777777" w:rsidR="00495C65" w:rsidRDefault="00495C65" w:rsidP="00495C65">
      <w:pPr>
        <w:pStyle w:val="13"/>
      </w:pPr>
      <w:r>
        <w:rPr>
          <w:rFonts w:hint="eastAsia"/>
        </w:rPr>
        <w:t>公式如下：</w:t>
      </w:r>
      <w:r>
        <w:t xml:space="preserve"> </w:t>
      </w:r>
    </w:p>
    <w:p w14:paraId="4C85A72E" w14:textId="77777777" w:rsidR="00495C65" w:rsidRDefault="00495C65" w:rsidP="00495C65">
      <w:pPr>
        <w:pStyle w:val="13"/>
      </w:pPr>
      <w:r>
        <w:rPr>
          <w:rFonts w:hint="eastAsia"/>
        </w:rPr>
        <w:t>（</w:t>
      </w:r>
      <w:r>
        <w:t>1）无限年期公式为:</w:t>
      </w:r>
    </w:p>
    <w:p w14:paraId="3E6B7F48" w14:textId="77777777" w:rsidR="00495C65" w:rsidRDefault="00495C65" w:rsidP="00495C65">
      <w:pPr>
        <w:pStyle w:val="13"/>
      </w:pPr>
      <w:r>
        <w:lastRenderedPageBreak/>
        <w:t>a）土地纯收益每年递增情形</w:t>
      </w:r>
    </w:p>
    <w:p w14:paraId="3CFEB264" w14:textId="77777777" w:rsidR="00495C65" w:rsidRDefault="00495C65" w:rsidP="00495C65">
      <w:pPr>
        <w:pStyle w:val="13"/>
        <w:jc w:val="center"/>
      </w:pPr>
      <w:r>
        <w:t>P=a/</w:t>
      </w:r>
      <w:proofErr w:type="spellStart"/>
      <w:r>
        <w:t>r+b</w:t>
      </w:r>
      <w:proofErr w:type="spellEnd"/>
      <w:r>
        <w:t>/r</w:t>
      </w:r>
      <w:r w:rsidRPr="004F0D53">
        <w:rPr>
          <w:vertAlign w:val="superscript"/>
        </w:rPr>
        <w:t>2</w:t>
      </w:r>
    </w:p>
    <w:p w14:paraId="120E79E0" w14:textId="77777777" w:rsidR="00495C65" w:rsidRDefault="00495C65" w:rsidP="00495C65">
      <w:pPr>
        <w:pStyle w:val="13"/>
      </w:pPr>
      <w:r>
        <w:t>b)土地纯收益每年递减情形</w:t>
      </w:r>
    </w:p>
    <w:p w14:paraId="50664E28" w14:textId="77777777" w:rsidR="00495C65" w:rsidRDefault="00495C65" w:rsidP="00495C65">
      <w:pPr>
        <w:pStyle w:val="13"/>
        <w:jc w:val="center"/>
        <w:rPr>
          <w:vertAlign w:val="superscript"/>
        </w:rPr>
      </w:pPr>
      <w:r>
        <w:t>P=a/r-b/r</w:t>
      </w:r>
      <w:r w:rsidRPr="004F0D53">
        <w:rPr>
          <w:vertAlign w:val="superscript"/>
        </w:rPr>
        <w:t>2</w:t>
      </w:r>
    </w:p>
    <w:p w14:paraId="7FD12ED1" w14:textId="77777777" w:rsidR="00495C65" w:rsidRDefault="00495C65" w:rsidP="00495C65">
      <w:pPr>
        <w:pStyle w:val="13"/>
      </w:pPr>
      <w:r w:rsidRPr="002C073A">
        <w:rPr>
          <w:rFonts w:hint="eastAsia"/>
        </w:rPr>
        <w:t>（</w:t>
      </w:r>
      <w:r w:rsidRPr="002C073A">
        <w:t>2）有限年期公式为:</w:t>
      </w:r>
    </w:p>
    <w:p w14:paraId="16FE0369" w14:textId="77777777" w:rsidR="00495C65" w:rsidRDefault="00495C65" w:rsidP="00495C65">
      <w:pPr>
        <w:pStyle w:val="13"/>
      </w:pPr>
      <w:r>
        <w:t>a）土地纯收益每年递增情形</w:t>
      </w:r>
    </w:p>
    <w:p w14:paraId="29D593CF" w14:textId="77777777" w:rsidR="00495C65" w:rsidRDefault="00495C65" w:rsidP="00495C65">
      <w:pPr>
        <w:pStyle w:val="13"/>
        <w:jc w:val="center"/>
      </w:pPr>
      <w:r>
        <w:t>P=（a/</w:t>
      </w:r>
      <w:proofErr w:type="spellStart"/>
      <w:r>
        <w:t>r+b</w:t>
      </w:r>
      <w:proofErr w:type="spellEnd"/>
      <w:r>
        <w:t>/r</w:t>
      </w:r>
      <w:r w:rsidRPr="002C073A">
        <w:rPr>
          <w:vertAlign w:val="superscript"/>
        </w:rPr>
        <w:t>2</w:t>
      </w:r>
      <w:r>
        <w:t>）[1-1/（1+r）</w:t>
      </w:r>
      <w:r w:rsidRPr="002C073A">
        <w:rPr>
          <w:vertAlign w:val="superscript"/>
        </w:rPr>
        <w:t>n</w:t>
      </w:r>
      <w:r>
        <w:t>]-b</w:t>
      </w:r>
      <w:r w:rsidRPr="00E54CF3">
        <w:rPr>
          <w:vertAlign w:val="subscript"/>
        </w:rPr>
        <w:t>n</w:t>
      </w:r>
      <w:r>
        <w:t>/r（1+r）</w:t>
      </w:r>
      <w:r w:rsidRPr="002C073A">
        <w:rPr>
          <w:vertAlign w:val="superscript"/>
        </w:rPr>
        <w:t>n</w:t>
      </w:r>
    </w:p>
    <w:p w14:paraId="01943CAD" w14:textId="77777777" w:rsidR="00495C65" w:rsidRDefault="00495C65" w:rsidP="00495C65">
      <w:pPr>
        <w:pStyle w:val="13"/>
      </w:pPr>
      <w:r>
        <w:t>b）土地纯收益每年递减情形</w:t>
      </w:r>
    </w:p>
    <w:p w14:paraId="2EE86F79" w14:textId="77777777" w:rsidR="00495C65" w:rsidRDefault="00495C65" w:rsidP="00495C65">
      <w:pPr>
        <w:pStyle w:val="13"/>
        <w:jc w:val="center"/>
        <w:rPr>
          <w:vertAlign w:val="superscript"/>
        </w:rPr>
      </w:pPr>
      <w:r>
        <w:t>P=（a/r-b/r</w:t>
      </w:r>
      <w:r w:rsidRPr="002C073A">
        <w:rPr>
          <w:vertAlign w:val="superscript"/>
        </w:rPr>
        <w:t>2</w:t>
      </w:r>
      <w:r>
        <w:t>）[1-1/（1+r）</w:t>
      </w:r>
      <w:r w:rsidRPr="002C073A">
        <w:rPr>
          <w:vertAlign w:val="superscript"/>
        </w:rPr>
        <w:t>n</w:t>
      </w:r>
      <w:r>
        <w:t>]+b</w:t>
      </w:r>
      <w:r w:rsidRPr="00E54CF3">
        <w:rPr>
          <w:vertAlign w:val="subscript"/>
        </w:rPr>
        <w:t>n</w:t>
      </w:r>
      <w:r>
        <w:t>/r（1+r）</w:t>
      </w:r>
      <w:r w:rsidRPr="002C073A">
        <w:rPr>
          <w:vertAlign w:val="superscript"/>
        </w:rPr>
        <w:t>n</w:t>
      </w:r>
    </w:p>
    <w:p w14:paraId="26093865" w14:textId="77777777" w:rsidR="00495C65" w:rsidRDefault="00495C65" w:rsidP="00495C65">
      <w:pPr>
        <w:pStyle w:val="13"/>
      </w:pPr>
      <w:r>
        <w:t>式中P、a、r、n含义同前，b为土地纯收益每年递增或递减的数额。</w:t>
      </w:r>
    </w:p>
    <w:p w14:paraId="4AC54BF3" w14:textId="3FDF3F2A" w:rsidR="00495C65" w:rsidRDefault="00495C65" w:rsidP="00495C65">
      <w:pPr>
        <w:pStyle w:val="13"/>
      </w:pPr>
      <w:r>
        <w:t>A2.3土地纯收益流量每年按某个固定的比率递增或递减</w:t>
      </w:r>
      <w:r w:rsidR="003068F8">
        <w:t>；</w:t>
      </w:r>
    </w:p>
    <w:p w14:paraId="0DFF95E4" w14:textId="77777777" w:rsidR="00495C65" w:rsidRDefault="00495C65" w:rsidP="00495C65">
      <w:pPr>
        <w:pStyle w:val="13"/>
      </w:pPr>
      <w:r>
        <w:t>（1）无限年期公式为:</w:t>
      </w:r>
    </w:p>
    <w:p w14:paraId="2125F724" w14:textId="77777777" w:rsidR="00495C65" w:rsidRDefault="00495C65" w:rsidP="00495C65">
      <w:pPr>
        <w:pStyle w:val="13"/>
      </w:pPr>
      <w:r>
        <w:t>a）土地纯收益每年递增情形</w:t>
      </w:r>
    </w:p>
    <w:p w14:paraId="4886D31B" w14:textId="77777777" w:rsidR="00495C65" w:rsidRDefault="00495C65" w:rsidP="00495C65">
      <w:pPr>
        <w:pStyle w:val="13"/>
        <w:jc w:val="center"/>
      </w:pPr>
      <w:r>
        <w:t>P=a/（r-s）</w:t>
      </w:r>
    </w:p>
    <w:p w14:paraId="775D8108" w14:textId="77777777" w:rsidR="00495C65" w:rsidRDefault="00495C65" w:rsidP="00495C65">
      <w:pPr>
        <w:pStyle w:val="13"/>
      </w:pPr>
      <w:r>
        <w:t>b）土地纯收益每年递减情形</w:t>
      </w:r>
    </w:p>
    <w:p w14:paraId="592C0205" w14:textId="77777777" w:rsidR="00495C65" w:rsidRDefault="00495C65" w:rsidP="00495C65">
      <w:pPr>
        <w:pStyle w:val="13"/>
        <w:jc w:val="center"/>
      </w:pPr>
      <w:r>
        <w:t>P=a/（</w:t>
      </w:r>
      <w:proofErr w:type="spellStart"/>
      <w:r>
        <w:t>r+s</w:t>
      </w:r>
      <w:proofErr w:type="spellEnd"/>
      <w:r>
        <w:t>）</w:t>
      </w:r>
    </w:p>
    <w:p w14:paraId="08566C3C" w14:textId="77777777" w:rsidR="00495C65" w:rsidRDefault="00495C65" w:rsidP="00495C65">
      <w:pPr>
        <w:pStyle w:val="13"/>
      </w:pPr>
      <w:r w:rsidRPr="00712498">
        <w:rPr>
          <w:rFonts w:hint="eastAsia"/>
        </w:rPr>
        <w:t>（</w:t>
      </w:r>
      <w:r w:rsidRPr="00712498">
        <w:t>2）有限年期公式为:</w:t>
      </w:r>
    </w:p>
    <w:p w14:paraId="7682FB48" w14:textId="77777777" w:rsidR="00495C65" w:rsidRDefault="00495C65" w:rsidP="00495C65">
      <w:pPr>
        <w:pStyle w:val="13"/>
      </w:pPr>
      <w:r>
        <w:t>a）土地纯收益每年递增情形</w:t>
      </w:r>
    </w:p>
    <w:p w14:paraId="19EEEFEC" w14:textId="77777777" w:rsidR="00495C65" w:rsidRDefault="00495C65" w:rsidP="00495C65">
      <w:pPr>
        <w:pStyle w:val="13"/>
        <w:jc w:val="center"/>
      </w:pPr>
      <w:r>
        <w:t>P=（a/（r-s））[1-（1+s）</w:t>
      </w:r>
      <w:r w:rsidRPr="00712498">
        <w:rPr>
          <w:vertAlign w:val="superscript"/>
        </w:rPr>
        <w:t>n</w:t>
      </w:r>
      <w:r>
        <w:t>/（1+r）</w:t>
      </w:r>
      <w:r w:rsidRPr="00712498">
        <w:rPr>
          <w:vertAlign w:val="superscript"/>
        </w:rPr>
        <w:t>n</w:t>
      </w:r>
      <w:r>
        <w:t>]</w:t>
      </w:r>
    </w:p>
    <w:p w14:paraId="7E76E076" w14:textId="77777777" w:rsidR="00495C65" w:rsidRDefault="00495C65" w:rsidP="00495C65">
      <w:pPr>
        <w:pStyle w:val="13"/>
      </w:pPr>
      <w:r>
        <w:t>b）土地纯收益每年递减情形</w:t>
      </w:r>
    </w:p>
    <w:p w14:paraId="318E03C2" w14:textId="77777777" w:rsidR="00495C65" w:rsidRDefault="00495C65" w:rsidP="00495C65">
      <w:pPr>
        <w:pStyle w:val="13"/>
        <w:jc w:val="center"/>
      </w:pPr>
      <w:r>
        <w:t>P=（a/（</w:t>
      </w:r>
      <w:proofErr w:type="spellStart"/>
      <w:r>
        <w:t>r+s</w:t>
      </w:r>
      <w:proofErr w:type="spellEnd"/>
      <w:r>
        <w:t>））[1-（1-s）</w:t>
      </w:r>
      <w:r w:rsidRPr="00712498">
        <w:rPr>
          <w:vertAlign w:val="superscript"/>
        </w:rPr>
        <w:t>n</w:t>
      </w:r>
      <w:r>
        <w:t>/（1+r）</w:t>
      </w:r>
      <w:r w:rsidRPr="00712498">
        <w:rPr>
          <w:vertAlign w:val="superscript"/>
        </w:rPr>
        <w:t>n</w:t>
      </w:r>
      <w:r>
        <w:t>]</w:t>
      </w:r>
    </w:p>
    <w:p w14:paraId="3032EABE" w14:textId="77777777" w:rsidR="00495C65" w:rsidRDefault="00495C65" w:rsidP="00495C65">
      <w:pPr>
        <w:pStyle w:val="13"/>
      </w:pPr>
      <w:r>
        <w:t xml:space="preserve">式中P、a、r、n含义同前，s为土地纯收益每年递增或递减的比率，r&gt;s&gt;0。 </w:t>
      </w:r>
    </w:p>
    <w:p w14:paraId="2C643685" w14:textId="77777777" w:rsidR="00495C65" w:rsidRDefault="00495C65" w:rsidP="00495C65">
      <w:pPr>
        <w:pStyle w:val="13"/>
      </w:pPr>
      <w:r>
        <w:t xml:space="preserve">A2.4土地纯收益流量按其他有规则的形式变动。 </w:t>
      </w:r>
    </w:p>
    <w:p w14:paraId="1B8C4856" w14:textId="77777777" w:rsidR="00495C65" w:rsidRDefault="00495C65" w:rsidP="00495C65">
      <w:pPr>
        <w:pStyle w:val="13"/>
      </w:pPr>
      <w:r>
        <w:rPr>
          <w:rFonts w:hint="eastAsia"/>
        </w:rPr>
        <w:t>主要有土地纯收益前若干年有变化，后若干年保持不变；前若干年保持不变，后若干年有变化等</w:t>
      </w:r>
      <w:r w:rsidRPr="00257774">
        <w:rPr>
          <w:rFonts w:hint="eastAsia"/>
        </w:rPr>
        <w:t>情形。各变化情形，根据土地纯收益的变化情况及年期，</w:t>
      </w:r>
      <w:proofErr w:type="gramStart"/>
      <w:r w:rsidRPr="00257774">
        <w:rPr>
          <w:rFonts w:hint="eastAsia"/>
        </w:rPr>
        <w:t>按收益</w:t>
      </w:r>
      <w:proofErr w:type="gramEnd"/>
      <w:r w:rsidRPr="00257774">
        <w:rPr>
          <w:rFonts w:hint="eastAsia"/>
        </w:rPr>
        <w:t>还原法基本公式评估。</w:t>
      </w:r>
    </w:p>
    <w:p w14:paraId="6FBFD1AC" w14:textId="77777777" w:rsidR="00495C65" w:rsidRDefault="00495C65" w:rsidP="00495C65">
      <w:pPr>
        <w:pStyle w:val="13"/>
      </w:pPr>
      <w:r>
        <w:t xml:space="preserve">A2.5 已知未来若干年后的土地价格 </w:t>
      </w:r>
    </w:p>
    <w:p w14:paraId="2CDBA9CC" w14:textId="77777777" w:rsidR="00495C65" w:rsidRDefault="00495C65" w:rsidP="00495C65">
      <w:pPr>
        <w:pStyle w:val="13"/>
      </w:pPr>
      <w:r>
        <w:t>已知某年末土地的价格，且在此该年末之前，土地可获得稳定不变的收益，则公式为：</w:t>
      </w:r>
    </w:p>
    <w:p w14:paraId="020DC9C2" w14:textId="77777777" w:rsidR="00495C65" w:rsidRDefault="00495C65" w:rsidP="00495C65">
      <w:pPr>
        <w:pStyle w:val="13"/>
        <w:jc w:val="center"/>
      </w:pPr>
      <w:r>
        <w:rPr>
          <w:noProof/>
        </w:rPr>
        <w:drawing>
          <wp:inline distT="0" distB="0" distL="0" distR="0" wp14:anchorId="143078A0" wp14:editId="22904B99">
            <wp:extent cx="2610838" cy="560717"/>
            <wp:effectExtent l="0" t="0" r="0" b="0"/>
            <wp:docPr id="3267" name="图片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804873" cy="602389"/>
                    </a:xfrm>
                    <a:prstGeom prst="rect">
                      <a:avLst/>
                    </a:prstGeom>
                  </pic:spPr>
                </pic:pic>
              </a:graphicData>
            </a:graphic>
          </wp:inline>
        </w:drawing>
      </w:r>
    </w:p>
    <w:p w14:paraId="6601D85D" w14:textId="77777777" w:rsidR="00495C65" w:rsidRDefault="00495C65" w:rsidP="00495C65">
      <w:pPr>
        <w:pStyle w:val="13"/>
      </w:pPr>
      <w:r>
        <w:rPr>
          <w:rFonts w:hint="eastAsia"/>
        </w:rPr>
        <w:t>式中：</w:t>
      </w:r>
      <w:r>
        <w:t xml:space="preserve">  </w:t>
      </w:r>
    </w:p>
    <w:p w14:paraId="6FD64D2A" w14:textId="3F742E18" w:rsidR="00495C65" w:rsidRDefault="00495C65" w:rsidP="00495C65">
      <w:pPr>
        <w:pStyle w:val="13"/>
        <w:ind w:firstLineChars="500" w:firstLine="1200"/>
      </w:pPr>
      <w:r>
        <w:t>P</w:t>
      </w:r>
      <w:proofErr w:type="gramStart"/>
      <w:r>
        <w:t>—土地</w:t>
      </w:r>
      <w:proofErr w:type="gramEnd"/>
      <w:r>
        <w:t>收益价格</w:t>
      </w:r>
      <w:r w:rsidR="003068F8">
        <w:t>；</w:t>
      </w:r>
    </w:p>
    <w:p w14:paraId="0B5B2BE3" w14:textId="77777777" w:rsidR="00495C65" w:rsidRDefault="00495C65" w:rsidP="00495C65">
      <w:pPr>
        <w:pStyle w:val="13"/>
        <w:ind w:firstLineChars="500" w:firstLine="1200"/>
      </w:pPr>
      <w:r>
        <w:t>P</w:t>
      </w:r>
      <w:r w:rsidRPr="00E54CF3">
        <w:rPr>
          <w:vertAlign w:val="subscript"/>
        </w:rPr>
        <w:t>t</w:t>
      </w:r>
      <w:r>
        <w:t>—未来第t年末的土地价格；</w:t>
      </w:r>
    </w:p>
    <w:p w14:paraId="43AF5F08" w14:textId="77777777" w:rsidR="00495C65" w:rsidRDefault="00495C65" w:rsidP="00495C65">
      <w:pPr>
        <w:pStyle w:val="13"/>
        <w:ind w:firstLineChars="500" w:firstLine="1200"/>
      </w:pPr>
      <w:r>
        <w:lastRenderedPageBreak/>
        <w:t>a</w:t>
      </w:r>
      <w:proofErr w:type="gramStart"/>
      <w:r>
        <w:t>—土地</w:t>
      </w:r>
      <w:proofErr w:type="gramEnd"/>
      <w:r>
        <w:t>年末纯收益（或地租）；</w:t>
      </w:r>
    </w:p>
    <w:p w14:paraId="39DD9F42" w14:textId="49921A81" w:rsidR="00495C65" w:rsidRDefault="00495C65" w:rsidP="00495C65">
      <w:pPr>
        <w:pStyle w:val="13"/>
        <w:ind w:firstLineChars="500" w:firstLine="1200"/>
      </w:pPr>
      <w:r>
        <w:t>r</w:t>
      </w:r>
      <w:proofErr w:type="gramStart"/>
      <w:r>
        <w:t>—土地</w:t>
      </w:r>
      <w:proofErr w:type="gramEnd"/>
      <w:r>
        <w:t>还原利率</w:t>
      </w:r>
      <w:r w:rsidR="003068F8">
        <w:t>；</w:t>
      </w:r>
    </w:p>
    <w:p w14:paraId="0633694B" w14:textId="77777777" w:rsidR="00495C65" w:rsidRDefault="00495C65" w:rsidP="00495C65">
      <w:pPr>
        <w:pStyle w:val="13"/>
        <w:ind w:firstLineChars="500" w:firstLine="1200"/>
      </w:pPr>
      <w:r>
        <w:t>t—未来土地持续获得收益的年期。</w:t>
      </w:r>
    </w:p>
    <w:p w14:paraId="7D5B0C34" w14:textId="77777777" w:rsidR="00495C65" w:rsidRDefault="00495C65" w:rsidP="00495C65">
      <w:pPr>
        <w:pStyle w:val="31"/>
        <w:spacing w:before="156" w:after="62"/>
      </w:pPr>
      <w:bookmarkStart w:id="195" w:name="_Toc81833430"/>
      <w:r w:rsidRPr="002C7098">
        <w:rPr>
          <w:rFonts w:hint="eastAsia"/>
        </w:rPr>
        <w:t>农用地估价规程（</w:t>
      </w:r>
      <w:r w:rsidRPr="002C7098">
        <w:t>GB/T 28406-2012）</w:t>
      </w:r>
      <w:bookmarkEnd w:id="195"/>
    </w:p>
    <w:p w14:paraId="28F01C4E" w14:textId="77777777" w:rsidR="00495C65" w:rsidRPr="00994B0E" w:rsidRDefault="00495C65" w:rsidP="00AF7342">
      <w:pPr>
        <w:pStyle w:val="a9"/>
        <w:spacing w:before="62" w:after="62"/>
        <w:rPr>
          <w:caps/>
        </w:rPr>
      </w:pPr>
      <w:r w:rsidRPr="00994B0E">
        <w:rPr>
          <w:rFonts w:hint="eastAsia"/>
          <w:caps/>
        </w:rPr>
        <w:t>前言</w:t>
      </w:r>
      <w:r w:rsidRPr="00994B0E">
        <w:rPr>
          <w:caps/>
        </w:rPr>
        <w:t xml:space="preserve"> </w:t>
      </w:r>
    </w:p>
    <w:p w14:paraId="1E7AA817" w14:textId="77777777" w:rsidR="00495C65" w:rsidRDefault="00495C65" w:rsidP="00495C65">
      <w:pPr>
        <w:pStyle w:val="13"/>
      </w:pPr>
      <w:r>
        <w:rPr>
          <w:rFonts w:hint="eastAsia"/>
        </w:rPr>
        <w:t>本标准按照</w:t>
      </w:r>
      <w:r>
        <w:t xml:space="preserve">GB/T1.1-2009给出的规则起草。 </w:t>
      </w:r>
    </w:p>
    <w:p w14:paraId="628F4655" w14:textId="77777777" w:rsidR="00495C65" w:rsidRDefault="00495C65" w:rsidP="00495C65">
      <w:pPr>
        <w:pStyle w:val="13"/>
      </w:pPr>
      <w:r>
        <w:rPr>
          <w:rFonts w:hint="eastAsia"/>
        </w:rPr>
        <w:t>本标准由中华人民共和国国土资源部提出。</w:t>
      </w:r>
      <w:r>
        <w:t xml:space="preserve"> </w:t>
      </w:r>
    </w:p>
    <w:p w14:paraId="2D8A0BC3" w14:textId="77777777" w:rsidR="00495C65" w:rsidRDefault="00495C65" w:rsidP="00495C65">
      <w:pPr>
        <w:pStyle w:val="13"/>
      </w:pPr>
      <w:r>
        <w:rPr>
          <w:rFonts w:hint="eastAsia"/>
        </w:rPr>
        <w:t>本标准由全国国土资源标准化技术委员会（</w:t>
      </w:r>
      <w:r>
        <w:t xml:space="preserve">SAC/TC93）归口。 </w:t>
      </w:r>
    </w:p>
    <w:p w14:paraId="23F20C5C" w14:textId="77777777" w:rsidR="00495C65" w:rsidRDefault="00495C65" w:rsidP="00495C65">
      <w:pPr>
        <w:pStyle w:val="13"/>
      </w:pPr>
      <w:r>
        <w:rPr>
          <w:rFonts w:hint="eastAsia"/>
        </w:rPr>
        <w:t>本标准起草单位：国土资源部土地利用管理司、北京国土联房地产评估中心有限公司、中国农业大学、北京大学、中国人民大学、中国土地勘测规划院、国土资源</w:t>
      </w:r>
      <w:proofErr w:type="gramStart"/>
      <w:r>
        <w:rPr>
          <w:rFonts w:hint="eastAsia"/>
        </w:rPr>
        <w:t>部土地</w:t>
      </w:r>
      <w:proofErr w:type="gramEnd"/>
      <w:r>
        <w:rPr>
          <w:rFonts w:hint="eastAsia"/>
        </w:rPr>
        <w:t>整治中心。</w:t>
      </w:r>
      <w:r>
        <w:t xml:space="preserve"> </w:t>
      </w:r>
    </w:p>
    <w:p w14:paraId="17D0FB11" w14:textId="77777777" w:rsidR="00495C65" w:rsidRDefault="00495C65" w:rsidP="00495C65">
      <w:pPr>
        <w:pStyle w:val="13"/>
      </w:pPr>
      <w:r>
        <w:rPr>
          <w:rFonts w:hint="eastAsia"/>
        </w:rPr>
        <w:t>本标准主要起草人：胡存智、张显胜、朱道林、冯长春、王军、吴海洋、周建春、关文荣、郝文聚、刘彦、杨丽平、吕萍。</w:t>
      </w:r>
      <w:r>
        <w:t xml:space="preserve"> </w:t>
      </w:r>
    </w:p>
    <w:p w14:paraId="473C8641" w14:textId="77777777" w:rsidR="00495C65" w:rsidRDefault="00495C65" w:rsidP="00AF7342">
      <w:pPr>
        <w:pStyle w:val="a9"/>
        <w:spacing w:before="62" w:after="62"/>
      </w:pPr>
      <w:r>
        <w:rPr>
          <w:rFonts w:hint="eastAsia"/>
        </w:rPr>
        <w:t>引言</w:t>
      </w:r>
      <w:r>
        <w:t xml:space="preserve"> </w:t>
      </w:r>
    </w:p>
    <w:p w14:paraId="77F74599" w14:textId="77777777" w:rsidR="00495C65" w:rsidRDefault="00495C65" w:rsidP="00495C65">
      <w:pPr>
        <w:pStyle w:val="13"/>
      </w:pPr>
      <w:r>
        <w:rPr>
          <w:rFonts w:hint="eastAsia"/>
        </w:rPr>
        <w:t>为全面掌握我国农用地资产状况，科学管理和合理有效地利用农用地，规范农用地估价行为，统一估价程序和方法，保证农用地估价结果客观、公正、科学、合理，根据《中华人民共和国土地管理法》等法律、法规，结合我国国情，制定本标准。</w:t>
      </w:r>
      <w:r>
        <w:t xml:space="preserve"> </w:t>
      </w:r>
    </w:p>
    <w:p w14:paraId="6436048D" w14:textId="77777777" w:rsidR="00495C65" w:rsidRPr="00994B0E" w:rsidRDefault="00495C65" w:rsidP="00AF7342">
      <w:pPr>
        <w:pStyle w:val="a9"/>
        <w:spacing w:before="62" w:after="62"/>
        <w:rPr>
          <w:caps/>
        </w:rPr>
      </w:pPr>
      <w:r w:rsidRPr="00994B0E">
        <w:rPr>
          <w:caps/>
        </w:rPr>
        <w:t xml:space="preserve">1 范围 </w:t>
      </w:r>
    </w:p>
    <w:p w14:paraId="07598CBD" w14:textId="77777777" w:rsidR="00495C65" w:rsidRDefault="00495C65" w:rsidP="00495C65">
      <w:pPr>
        <w:pStyle w:val="13"/>
      </w:pPr>
      <w:r>
        <w:rPr>
          <w:rFonts w:hint="eastAsia"/>
        </w:rPr>
        <w:t>本标准规定了我国农用地估价工作的总则、估价方法、宗地估价方法以及基准地价评估方法。</w:t>
      </w:r>
    </w:p>
    <w:p w14:paraId="1178D746" w14:textId="77777777" w:rsidR="00495C65" w:rsidRDefault="00495C65" w:rsidP="00495C65">
      <w:pPr>
        <w:pStyle w:val="13"/>
      </w:pPr>
      <w:r w:rsidRPr="00243E2E">
        <w:rPr>
          <w:rFonts w:hint="eastAsia"/>
        </w:rPr>
        <w:t>本标准适用于县级行政区内现有农用地和宜农未利用地。</w:t>
      </w:r>
    </w:p>
    <w:p w14:paraId="63E75D23" w14:textId="77777777" w:rsidR="00495C65" w:rsidRDefault="00495C65" w:rsidP="00AF7342">
      <w:pPr>
        <w:pStyle w:val="a9"/>
        <w:spacing w:before="62" w:after="62"/>
      </w:pPr>
      <w:r w:rsidRPr="00243E2E">
        <w:t>2 规范性引用文件</w:t>
      </w:r>
    </w:p>
    <w:p w14:paraId="3DECF735" w14:textId="77777777" w:rsidR="00495C65" w:rsidRDefault="00495C65" w:rsidP="00495C65">
      <w:pPr>
        <w:pStyle w:val="13"/>
      </w:pPr>
      <w:r w:rsidRPr="00243E2E">
        <w:rPr>
          <w:rFonts w:hint="eastAsia"/>
        </w:rPr>
        <w:t>下列文件对于本文件的应用是必不可少的。凡是注日期的引用文件，仅注日期的版本适用于本文件。凡是不注日期的引用文件，其最新版本（包括所有的修改单）适用于本文件。</w:t>
      </w:r>
    </w:p>
    <w:p w14:paraId="46D490E2" w14:textId="77777777" w:rsidR="00495C65" w:rsidRDefault="00495C65" w:rsidP="00495C65">
      <w:pPr>
        <w:pStyle w:val="13"/>
      </w:pPr>
      <w:r>
        <w:t>GB/T 19231-2003 土地基本术语</w:t>
      </w:r>
    </w:p>
    <w:p w14:paraId="63C705C4" w14:textId="77777777" w:rsidR="00495C65" w:rsidRDefault="00495C65" w:rsidP="00495C65">
      <w:pPr>
        <w:pStyle w:val="13"/>
      </w:pPr>
      <w:r>
        <w:t>GB/T 21010-2007 土地利用现状分类</w:t>
      </w:r>
    </w:p>
    <w:p w14:paraId="65351DF9" w14:textId="77777777" w:rsidR="00495C65" w:rsidRDefault="00495C65" w:rsidP="00495C65">
      <w:pPr>
        <w:pStyle w:val="13"/>
      </w:pPr>
      <w:r>
        <w:t xml:space="preserve">GB/T 28405 农用地定级规程 </w:t>
      </w:r>
    </w:p>
    <w:p w14:paraId="41CBB744" w14:textId="77777777" w:rsidR="00495C65" w:rsidRDefault="00495C65" w:rsidP="00495C65">
      <w:pPr>
        <w:pStyle w:val="13"/>
      </w:pPr>
      <w:r>
        <w:t>GB/T 28407 农用</w:t>
      </w:r>
      <w:proofErr w:type="gramStart"/>
      <w:r>
        <w:t>地质量</w:t>
      </w:r>
      <w:proofErr w:type="gramEnd"/>
      <w:r>
        <w:t>分等规程</w:t>
      </w:r>
    </w:p>
    <w:p w14:paraId="3F42956D" w14:textId="77777777" w:rsidR="00495C65" w:rsidRDefault="00495C65" w:rsidP="00AF7342">
      <w:pPr>
        <w:pStyle w:val="a9"/>
        <w:spacing w:before="62" w:after="62"/>
      </w:pPr>
      <w:r>
        <w:t xml:space="preserve">3 术语和定义 </w:t>
      </w:r>
    </w:p>
    <w:p w14:paraId="786B5BBF" w14:textId="77777777" w:rsidR="00495C65" w:rsidRDefault="00495C65" w:rsidP="00495C65">
      <w:pPr>
        <w:pStyle w:val="13"/>
      </w:pPr>
      <w:r>
        <w:t>GB T19231-2003、GB/T 21010-2001、GB/T 28405、GB/T28407 界定的以及下列术语</w:t>
      </w:r>
      <w:r w:rsidRPr="00243E2E">
        <w:rPr>
          <w:rFonts w:hint="eastAsia"/>
        </w:rPr>
        <w:t>和定义适用于本文件。</w:t>
      </w:r>
    </w:p>
    <w:p w14:paraId="49ABB6D5" w14:textId="77777777" w:rsidR="00495C65" w:rsidRDefault="00495C65" w:rsidP="00495C65">
      <w:pPr>
        <w:pStyle w:val="ab"/>
        <w:spacing w:before="62" w:after="62"/>
        <w:ind w:firstLine="482"/>
      </w:pPr>
      <w:r>
        <w:lastRenderedPageBreak/>
        <w:t xml:space="preserve">3.1 农用地 agriculture land </w:t>
      </w:r>
    </w:p>
    <w:p w14:paraId="5B91DA60" w14:textId="77777777" w:rsidR="00495C65" w:rsidRDefault="00495C65" w:rsidP="00495C65">
      <w:pPr>
        <w:pStyle w:val="13"/>
      </w:pPr>
      <w:r>
        <w:rPr>
          <w:rFonts w:hint="eastAsia"/>
        </w:rPr>
        <w:t>直接用于农业生产的土地，包括耕地、林地、草地、农田水利用地、养殖水面等。</w:t>
      </w:r>
    </w:p>
    <w:p w14:paraId="05737C48" w14:textId="77777777" w:rsidR="00495C65" w:rsidRDefault="00495C65" w:rsidP="00495C65">
      <w:pPr>
        <w:pStyle w:val="ab"/>
        <w:spacing w:before="62" w:after="62"/>
        <w:ind w:firstLine="482"/>
      </w:pPr>
      <w:r>
        <w:t xml:space="preserve">3.2 后备土地资源 reserved land resource </w:t>
      </w:r>
    </w:p>
    <w:p w14:paraId="3A737CBF" w14:textId="77777777" w:rsidR="00495C65" w:rsidRDefault="00495C65" w:rsidP="00495C65">
      <w:pPr>
        <w:pStyle w:val="13"/>
      </w:pPr>
      <w:r>
        <w:rPr>
          <w:rFonts w:hint="eastAsia"/>
        </w:rPr>
        <w:t>目前尚未利用的各种荒芜、贫瘠和废弃、闲置，经过改造、加工、复垦、建设后可</w:t>
      </w:r>
      <w:r w:rsidRPr="00243E2E">
        <w:rPr>
          <w:rFonts w:hint="eastAsia"/>
        </w:rPr>
        <w:t>以利用为农用地的土地。</w:t>
      </w:r>
    </w:p>
    <w:p w14:paraId="7B8573C4" w14:textId="77777777" w:rsidR="00495C65" w:rsidRDefault="00495C65" w:rsidP="00495C65">
      <w:pPr>
        <w:pStyle w:val="ab"/>
        <w:spacing w:before="62" w:after="62"/>
        <w:ind w:firstLine="482"/>
      </w:pPr>
      <w:r>
        <w:t xml:space="preserve">3.3 均质地域 homogeneous terrain </w:t>
      </w:r>
    </w:p>
    <w:p w14:paraId="49B711E0" w14:textId="77777777" w:rsidR="00495C65" w:rsidRDefault="00495C65" w:rsidP="00495C65">
      <w:pPr>
        <w:pStyle w:val="13"/>
      </w:pPr>
      <w:r>
        <w:rPr>
          <w:rFonts w:hint="eastAsia"/>
        </w:rPr>
        <w:t>农用</w:t>
      </w:r>
      <w:proofErr w:type="gramStart"/>
      <w:r>
        <w:rPr>
          <w:rFonts w:hint="eastAsia"/>
        </w:rPr>
        <w:t>地质量</w:t>
      </w:r>
      <w:proofErr w:type="gramEnd"/>
      <w:r>
        <w:rPr>
          <w:rFonts w:hint="eastAsia"/>
        </w:rPr>
        <w:t>和价格水平基本相同的土地区域。</w:t>
      </w:r>
      <w:r>
        <w:t xml:space="preserve"> </w:t>
      </w:r>
    </w:p>
    <w:p w14:paraId="0F3598F7" w14:textId="77777777" w:rsidR="00495C65" w:rsidRDefault="00495C65" w:rsidP="00495C65">
      <w:pPr>
        <w:pStyle w:val="ab"/>
        <w:spacing w:before="62" w:after="62"/>
        <w:ind w:firstLine="482"/>
      </w:pPr>
      <w:r>
        <w:t xml:space="preserve">3.4 农用地宗地 cadastral parcel of agriculture land </w:t>
      </w:r>
    </w:p>
    <w:p w14:paraId="163A065D" w14:textId="77777777" w:rsidR="00495C65" w:rsidRDefault="00495C65" w:rsidP="00495C65">
      <w:pPr>
        <w:pStyle w:val="13"/>
      </w:pPr>
      <w:r>
        <w:rPr>
          <w:rFonts w:hint="eastAsia"/>
        </w:rPr>
        <w:t>权属明确、界线清楚、用途一致、相对独立或连片的农用地地块。</w:t>
      </w:r>
      <w:r>
        <w:t xml:space="preserve"> </w:t>
      </w:r>
    </w:p>
    <w:p w14:paraId="4B12CDF7" w14:textId="77777777" w:rsidR="00495C65" w:rsidRDefault="00495C65" w:rsidP="00495C65">
      <w:pPr>
        <w:pStyle w:val="ab"/>
        <w:spacing w:before="62" w:after="62"/>
        <w:ind w:firstLine="482"/>
      </w:pPr>
      <w:r>
        <w:t xml:space="preserve">3.5 基准地块 base block </w:t>
      </w:r>
    </w:p>
    <w:p w14:paraId="2B744EB4" w14:textId="77777777" w:rsidR="00495C65" w:rsidRDefault="00495C65" w:rsidP="00495C65">
      <w:pPr>
        <w:pStyle w:val="13"/>
      </w:pPr>
      <w:r>
        <w:rPr>
          <w:rFonts w:hint="eastAsia"/>
        </w:rPr>
        <w:t>是在农用地均质地域内设定的，其自然、社会经济等条件在该地域内具有代表性，</w:t>
      </w:r>
      <w:r w:rsidRPr="00243E2E">
        <w:rPr>
          <w:rFonts w:hint="eastAsia"/>
        </w:rPr>
        <w:t>使用状况相对稳定的地块，具有代表性、中庸性和稳定性。</w:t>
      </w:r>
    </w:p>
    <w:p w14:paraId="27FC1E4B" w14:textId="77777777" w:rsidR="00495C65" w:rsidRDefault="00495C65" w:rsidP="00495C65">
      <w:pPr>
        <w:pStyle w:val="ab"/>
        <w:spacing w:before="62" w:after="62"/>
        <w:ind w:firstLine="482"/>
      </w:pPr>
      <w:r w:rsidRPr="00243E2E">
        <w:t>3.6 农用地价格 price of agriculture land</w:t>
      </w:r>
    </w:p>
    <w:p w14:paraId="0E22E0FE" w14:textId="77777777" w:rsidR="00495C65" w:rsidRDefault="00495C65" w:rsidP="00495C65">
      <w:pPr>
        <w:pStyle w:val="13"/>
      </w:pPr>
      <w:r w:rsidRPr="00243E2E">
        <w:rPr>
          <w:rFonts w:hint="eastAsia"/>
        </w:rPr>
        <w:t>在正常市场条件下，于特定期日，由农用地的自然因素、社会经济因素和特殊因素等决定的价格。</w:t>
      </w:r>
    </w:p>
    <w:p w14:paraId="6B1E1729" w14:textId="77777777" w:rsidR="00495C65" w:rsidRDefault="00495C65" w:rsidP="00495C65">
      <w:pPr>
        <w:pStyle w:val="ab"/>
        <w:spacing w:before="62" w:after="62"/>
        <w:ind w:firstLine="482"/>
      </w:pPr>
      <w:r>
        <w:t xml:space="preserve">3.7 农用地宗地价格 lot price of agriculture land </w:t>
      </w:r>
    </w:p>
    <w:p w14:paraId="7C6B6425" w14:textId="77777777" w:rsidR="00495C65" w:rsidRDefault="00495C65" w:rsidP="00495C65">
      <w:pPr>
        <w:pStyle w:val="13"/>
      </w:pPr>
      <w:r>
        <w:rPr>
          <w:rFonts w:hint="eastAsia"/>
        </w:rPr>
        <w:t>具体某一宗农用地在正常市场条件下特定期日的价格。</w:t>
      </w:r>
      <w:r>
        <w:t xml:space="preserve"> </w:t>
      </w:r>
    </w:p>
    <w:p w14:paraId="3EEDE125" w14:textId="77777777" w:rsidR="00495C65" w:rsidRDefault="00495C65" w:rsidP="00495C65">
      <w:pPr>
        <w:pStyle w:val="ab"/>
        <w:spacing w:before="62" w:after="62"/>
        <w:ind w:firstLine="482"/>
      </w:pPr>
      <w:r>
        <w:t xml:space="preserve">3.8 农用地基准地价 base price of agriculture land </w:t>
      </w:r>
    </w:p>
    <w:p w14:paraId="46E30C1A" w14:textId="77777777" w:rsidR="00495C65" w:rsidRDefault="00495C65" w:rsidP="00495C65">
      <w:pPr>
        <w:pStyle w:val="13"/>
      </w:pPr>
      <w:r>
        <w:rPr>
          <w:rFonts w:hint="eastAsia"/>
        </w:rPr>
        <w:t>县（市）政府根据需要针对农用地不同级别或不同均质地域，按照不同利用类型，</w:t>
      </w:r>
      <w:r w:rsidRPr="00243E2E">
        <w:rPr>
          <w:rFonts w:hint="eastAsia"/>
        </w:rPr>
        <w:t>分别评估确定的某一估价期日的平均价格。</w:t>
      </w:r>
    </w:p>
    <w:p w14:paraId="0F541C1D" w14:textId="77777777" w:rsidR="00495C65" w:rsidRDefault="00495C65" w:rsidP="00AF7342">
      <w:pPr>
        <w:pStyle w:val="a9"/>
        <w:spacing w:before="62" w:after="62"/>
      </w:pPr>
      <w:r w:rsidRPr="004969E3">
        <w:t>4 总则</w:t>
      </w:r>
    </w:p>
    <w:p w14:paraId="28C72FC5" w14:textId="77777777" w:rsidR="00495C65" w:rsidRDefault="00495C65" w:rsidP="00495C65">
      <w:pPr>
        <w:pStyle w:val="ab"/>
        <w:spacing w:before="62" w:after="62"/>
        <w:ind w:firstLine="482"/>
      </w:pPr>
      <w:r>
        <w:t xml:space="preserve">4.1 农用地估价基本原则 </w:t>
      </w:r>
    </w:p>
    <w:p w14:paraId="7C806AFC" w14:textId="77777777" w:rsidR="00495C65" w:rsidRDefault="00495C65" w:rsidP="00495C65">
      <w:pPr>
        <w:pStyle w:val="13"/>
      </w:pPr>
      <w:r>
        <w:t xml:space="preserve">4.1.1 预期收益原则 </w:t>
      </w:r>
    </w:p>
    <w:p w14:paraId="65953E41" w14:textId="77777777" w:rsidR="00495C65" w:rsidRDefault="00495C65" w:rsidP="00495C65">
      <w:pPr>
        <w:pStyle w:val="13"/>
      </w:pPr>
      <w:r>
        <w:rPr>
          <w:rFonts w:hint="eastAsia"/>
        </w:rPr>
        <w:t>农用地估价以估价对象在正常利用条件下的未来客观有效的预期收益为依据。</w:t>
      </w:r>
    </w:p>
    <w:p w14:paraId="2982356E" w14:textId="77777777" w:rsidR="00495C65" w:rsidRDefault="00495C65" w:rsidP="00495C65">
      <w:pPr>
        <w:pStyle w:val="13"/>
      </w:pPr>
      <w:r>
        <w:t xml:space="preserve">4.1.2 替代原则 </w:t>
      </w:r>
    </w:p>
    <w:p w14:paraId="0348936F" w14:textId="77777777" w:rsidR="00495C65" w:rsidRDefault="00495C65" w:rsidP="00495C65">
      <w:pPr>
        <w:pStyle w:val="13"/>
      </w:pPr>
      <w:r>
        <w:rPr>
          <w:rFonts w:hint="eastAsia"/>
        </w:rPr>
        <w:t>农用地评估以近邻地区或类似地区的功能相同、条件相似、交易方式一致的农用地</w:t>
      </w:r>
      <w:r w:rsidRPr="001846FB">
        <w:rPr>
          <w:rFonts w:hint="eastAsia"/>
        </w:rPr>
        <w:t>交易实例的市场价格为参考，经比较修正后估算</w:t>
      </w:r>
      <w:proofErr w:type="gramStart"/>
      <w:r w:rsidRPr="001846FB">
        <w:rPr>
          <w:rFonts w:hint="eastAsia"/>
        </w:rPr>
        <w:t>出待估农用</w:t>
      </w:r>
      <w:proofErr w:type="gramEnd"/>
      <w:r w:rsidRPr="001846FB">
        <w:rPr>
          <w:rFonts w:hint="eastAsia"/>
        </w:rPr>
        <w:t>地价格。</w:t>
      </w:r>
    </w:p>
    <w:p w14:paraId="124CADF8" w14:textId="77777777" w:rsidR="00495C65" w:rsidRDefault="00495C65" w:rsidP="00495C65">
      <w:pPr>
        <w:pStyle w:val="13"/>
      </w:pPr>
      <w:r>
        <w:t xml:space="preserve">4.1.3 报酬递增递减原则 </w:t>
      </w:r>
    </w:p>
    <w:p w14:paraId="22BAAFC1" w14:textId="77777777" w:rsidR="00495C65" w:rsidRDefault="00495C65" w:rsidP="00495C65">
      <w:pPr>
        <w:pStyle w:val="13"/>
      </w:pPr>
      <w:r>
        <w:rPr>
          <w:rFonts w:hint="eastAsia"/>
        </w:rPr>
        <w:t>在技术不变，其他要素不变的前提下，对相同面积的土地不断追加某种要素的投入所带来的报酬的增量（边际报酬）迟早会出现下降，这一规律在农业生产经营中普遍存在，估价中充分依据这一原则。</w:t>
      </w:r>
    </w:p>
    <w:p w14:paraId="6EF5537B" w14:textId="77777777" w:rsidR="00495C65" w:rsidRDefault="00495C65" w:rsidP="00495C65">
      <w:pPr>
        <w:pStyle w:val="13"/>
      </w:pPr>
      <w:r>
        <w:lastRenderedPageBreak/>
        <w:t xml:space="preserve">4.1.4 贡献原则 </w:t>
      </w:r>
    </w:p>
    <w:p w14:paraId="549083C1" w14:textId="77777777" w:rsidR="00495C65" w:rsidRDefault="00495C65" w:rsidP="00495C65">
      <w:pPr>
        <w:pStyle w:val="13"/>
      </w:pPr>
      <w:r>
        <w:rPr>
          <w:rFonts w:hint="eastAsia"/>
        </w:rPr>
        <w:t>农用地的总收益是由土地、劳动力、资本、经营管理等各种投入要素共同作用的结</w:t>
      </w:r>
      <w:r w:rsidRPr="001846FB">
        <w:rPr>
          <w:rFonts w:hint="eastAsia"/>
        </w:rPr>
        <w:t>果，估价时要充分考虑上述各要素对农用地总收益的实际贡献水平。</w:t>
      </w:r>
    </w:p>
    <w:p w14:paraId="471B5682" w14:textId="77777777" w:rsidR="00495C65" w:rsidRDefault="00495C65" w:rsidP="00495C65">
      <w:pPr>
        <w:pStyle w:val="13"/>
      </w:pPr>
      <w:r w:rsidRPr="001846FB">
        <w:t>4.1.5 合理有效利用原则</w:t>
      </w:r>
    </w:p>
    <w:p w14:paraId="7ED2996E" w14:textId="77777777" w:rsidR="00495C65" w:rsidRDefault="00495C65" w:rsidP="00495C65">
      <w:pPr>
        <w:pStyle w:val="13"/>
      </w:pPr>
      <w:r w:rsidRPr="001846FB">
        <w:rPr>
          <w:rFonts w:hint="eastAsia"/>
        </w:rPr>
        <w:t>在一定的社会经济条件下，农用地的利用方式需要能充分发挥其土地的效用，产生良好的经济效益，而且要保持土地质量不下降，并对其周围的土地利用不会造成负面影响或危害。</w:t>
      </w:r>
    </w:p>
    <w:p w14:paraId="705519DA" w14:textId="77777777" w:rsidR="00495C65" w:rsidRDefault="00495C65" w:rsidP="00495C65">
      <w:pPr>
        <w:pStyle w:val="13"/>
      </w:pPr>
      <w:r>
        <w:rPr>
          <w:rFonts w:hint="eastAsia"/>
        </w:rPr>
        <w:t>判断和确定农用地合理有效利用方式要考虑：</w:t>
      </w:r>
      <w:r>
        <w:t xml:space="preserve"> </w:t>
      </w:r>
    </w:p>
    <w:p w14:paraId="0BCDBB02" w14:textId="77777777" w:rsidR="00495C65" w:rsidRDefault="00495C65" w:rsidP="00495C65">
      <w:pPr>
        <w:pStyle w:val="13"/>
      </w:pPr>
      <w:r>
        <w:t>a）持续的使用：根据农用地所处的区域环境和自身条件，所确定的农用地利用方式</w:t>
      </w:r>
      <w:r w:rsidRPr="001846FB">
        <w:rPr>
          <w:rFonts w:hint="eastAsia"/>
        </w:rPr>
        <w:t>是可持续的；</w:t>
      </w:r>
    </w:p>
    <w:p w14:paraId="6E8BE41C" w14:textId="77777777" w:rsidR="00495C65" w:rsidRDefault="00495C65" w:rsidP="00495C65">
      <w:pPr>
        <w:pStyle w:val="13"/>
      </w:pPr>
      <w:r>
        <w:t>b）有效的使用：在确定的利用方式下，农用地所产生的经济效益是最佳的；</w:t>
      </w:r>
    </w:p>
    <w:p w14:paraId="07BB02B5" w14:textId="77777777" w:rsidR="00495C65" w:rsidRDefault="00495C65" w:rsidP="00495C65">
      <w:pPr>
        <w:pStyle w:val="13"/>
      </w:pPr>
      <w:r>
        <w:t>c）合法的使用：合理有效的农用地利用方式，符合现行的法规、政策、规划等规定。</w:t>
      </w:r>
    </w:p>
    <w:p w14:paraId="2C638909" w14:textId="77777777" w:rsidR="00495C65" w:rsidRDefault="00495C65" w:rsidP="00495C65">
      <w:pPr>
        <w:pStyle w:val="13"/>
      </w:pPr>
      <w:r>
        <w:t xml:space="preserve">4.1.6 变动原则 </w:t>
      </w:r>
    </w:p>
    <w:p w14:paraId="018CE95A" w14:textId="77777777" w:rsidR="00495C65" w:rsidRDefault="00495C65" w:rsidP="00495C65">
      <w:pPr>
        <w:pStyle w:val="13"/>
      </w:pPr>
      <w:r>
        <w:rPr>
          <w:rFonts w:hint="eastAsia"/>
        </w:rPr>
        <w:t>农用地价格是由各种价格影响因素互相作用而形成的，这些价格影响因素经常在变</w:t>
      </w:r>
      <w:r w:rsidRPr="001846FB">
        <w:rPr>
          <w:rFonts w:hint="eastAsia"/>
        </w:rPr>
        <w:t>化，农用地价格就在这些价格影响因素的不断变化中形成。估价人员要把握价格影响因素及价格变动规律，准确地评估价格。</w:t>
      </w:r>
    </w:p>
    <w:p w14:paraId="15E0D553" w14:textId="77777777" w:rsidR="00495C65" w:rsidRDefault="00495C65" w:rsidP="00495C65">
      <w:pPr>
        <w:pStyle w:val="13"/>
      </w:pPr>
      <w:r w:rsidRPr="001846FB">
        <w:t>4.1.7 供需原则</w:t>
      </w:r>
    </w:p>
    <w:p w14:paraId="6D648A65" w14:textId="77777777" w:rsidR="00495C65" w:rsidRDefault="00495C65" w:rsidP="00495C65">
      <w:pPr>
        <w:pStyle w:val="13"/>
      </w:pPr>
      <w:r w:rsidRPr="001846FB">
        <w:rPr>
          <w:rFonts w:hint="eastAsia"/>
        </w:rPr>
        <w:t>农用地估价以农用地市场供需决定农用地价格为依据，同时充分考虑农用地供需的特殊性和农用地市场的地域性。</w:t>
      </w:r>
    </w:p>
    <w:p w14:paraId="451E47B4" w14:textId="77777777" w:rsidR="00495C65" w:rsidRDefault="00495C65" w:rsidP="00495C65">
      <w:pPr>
        <w:pStyle w:val="13"/>
      </w:pPr>
      <w:r>
        <w:t xml:space="preserve">4.1.8 估价时点原则 </w:t>
      </w:r>
    </w:p>
    <w:p w14:paraId="35B1A220" w14:textId="77777777" w:rsidR="00495C65" w:rsidRDefault="00495C65" w:rsidP="00495C65">
      <w:pPr>
        <w:pStyle w:val="13"/>
      </w:pPr>
      <w:r>
        <w:rPr>
          <w:rFonts w:hint="eastAsia"/>
        </w:rPr>
        <w:t>农用地估价结果是估价对象在估价时点的客观合理价格或价值，农用地估价的结果</w:t>
      </w:r>
      <w:r w:rsidRPr="001846FB">
        <w:rPr>
          <w:rFonts w:hint="eastAsia"/>
        </w:rPr>
        <w:t>具有时间相关性和时效性。</w:t>
      </w:r>
    </w:p>
    <w:p w14:paraId="7AA58861" w14:textId="77777777" w:rsidR="00495C65" w:rsidRDefault="00495C65" w:rsidP="00495C65">
      <w:pPr>
        <w:pStyle w:val="ab"/>
        <w:spacing w:before="62" w:after="62"/>
        <w:ind w:firstLine="482"/>
      </w:pPr>
      <w:r>
        <w:t xml:space="preserve">4.2 农用地价格影响因素 </w:t>
      </w:r>
    </w:p>
    <w:p w14:paraId="3B6DDA83" w14:textId="77777777" w:rsidR="00495C65" w:rsidRDefault="00495C65" w:rsidP="00495C65">
      <w:pPr>
        <w:pStyle w:val="13"/>
      </w:pPr>
      <w:r>
        <w:rPr>
          <w:rFonts w:hint="eastAsia"/>
        </w:rPr>
        <w:t>影响农用地价格的因素主要包括自然因素、社会经济因素和特殊因素。本标准确定农用地价格的指导性影响因素体系如下：</w:t>
      </w:r>
      <w:r>
        <w:t xml:space="preserve"> </w:t>
      </w:r>
    </w:p>
    <w:p w14:paraId="0064B560" w14:textId="77777777" w:rsidR="00495C65" w:rsidRDefault="00495C65" w:rsidP="00495C65">
      <w:pPr>
        <w:pStyle w:val="13"/>
      </w:pPr>
      <w:r>
        <w:t xml:space="preserve">a）自然因素，是指影响农用地生产力的各种自然条件，包括≥10℃有效积温、降雨量、降雨均衡度、无霜期、灾害性气候状况、地形坡度、土壤质地、有效土层厚度、土壤障碍层深度、土壤有机质含量、土壤盐渍化程度、地下水埋深、田块大小、地块形状等。 </w:t>
      </w:r>
    </w:p>
    <w:p w14:paraId="328ED8ED" w14:textId="77777777" w:rsidR="00495C65" w:rsidRDefault="00495C65" w:rsidP="00495C65">
      <w:pPr>
        <w:pStyle w:val="13"/>
      </w:pPr>
      <w:r>
        <w:t>b）社会经济因素，是指影响农用</w:t>
      </w:r>
      <w:proofErr w:type="gramStart"/>
      <w:r>
        <w:t>地收益</w:t>
      </w:r>
      <w:proofErr w:type="gramEnd"/>
      <w:r>
        <w:t>的社会经济发展条件、土地制度和交通条件等，包括区域城市化水平、城市规模、农业生产传统、人均土地指标（人均耕地、人均农用地）、农民人均收入水平、单位土地投入资本量、单位土地投入劳动量、农产品市场供求、农田基本设施状况、农机应用方便度、土地利用规划限制、交通通达</w:t>
      </w:r>
      <w:r>
        <w:lastRenderedPageBreak/>
        <w:t xml:space="preserve">度等。 </w:t>
      </w:r>
    </w:p>
    <w:p w14:paraId="2D24C6A7" w14:textId="77777777" w:rsidR="00495C65" w:rsidRDefault="00495C65" w:rsidP="00495C65">
      <w:pPr>
        <w:pStyle w:val="13"/>
      </w:pPr>
      <w:r>
        <w:t>c）特殊因素，是指影响农用地生产力和收益所独有的条件或不利因素，如特殊的气候条件、土壤条件、环境条件、环境污染状况等。</w:t>
      </w:r>
    </w:p>
    <w:p w14:paraId="76E5D2A0" w14:textId="77777777" w:rsidR="00495C65" w:rsidRDefault="00495C65" w:rsidP="00495C65">
      <w:pPr>
        <w:pStyle w:val="13"/>
      </w:pPr>
      <w:r>
        <w:rPr>
          <w:rFonts w:hint="eastAsia"/>
        </w:rPr>
        <w:t>具体因素指标见附录</w:t>
      </w:r>
      <w:r>
        <w:t xml:space="preserve">A。 </w:t>
      </w:r>
    </w:p>
    <w:p w14:paraId="69CE3BC9" w14:textId="77777777" w:rsidR="00495C65" w:rsidRDefault="00495C65" w:rsidP="00495C65">
      <w:pPr>
        <w:pStyle w:val="ab"/>
        <w:spacing w:before="62" w:after="62"/>
        <w:ind w:firstLine="482"/>
      </w:pPr>
      <w:r>
        <w:t xml:space="preserve">4.3 农用地估价成果 </w:t>
      </w:r>
    </w:p>
    <w:p w14:paraId="27D86B02" w14:textId="77777777" w:rsidR="00495C65" w:rsidRDefault="00495C65" w:rsidP="00495C65">
      <w:pPr>
        <w:pStyle w:val="13"/>
      </w:pPr>
      <w:r>
        <w:t xml:space="preserve">4.3.1 农用地宗地估价成果 </w:t>
      </w:r>
    </w:p>
    <w:p w14:paraId="348DEF2A" w14:textId="77777777" w:rsidR="00495C65" w:rsidRDefault="00495C65" w:rsidP="00495C65">
      <w:pPr>
        <w:pStyle w:val="13"/>
      </w:pPr>
      <w:r>
        <w:rPr>
          <w:rFonts w:hint="eastAsia"/>
        </w:rPr>
        <w:t>宗地估价结果报告；宗地估价技术报告；宗地估价附件。</w:t>
      </w:r>
      <w:r>
        <w:t xml:space="preserve"> </w:t>
      </w:r>
    </w:p>
    <w:p w14:paraId="441CE404" w14:textId="77777777" w:rsidR="00495C65" w:rsidRDefault="00495C65" w:rsidP="00495C65">
      <w:pPr>
        <w:pStyle w:val="13"/>
      </w:pPr>
      <w:r>
        <w:t xml:space="preserve">4.3.2 农用地基准地价评估成果 </w:t>
      </w:r>
    </w:p>
    <w:p w14:paraId="23644B6A" w14:textId="77777777" w:rsidR="00495C65" w:rsidRDefault="00495C65" w:rsidP="00495C65">
      <w:pPr>
        <w:pStyle w:val="13"/>
      </w:pPr>
      <w:r>
        <w:rPr>
          <w:rFonts w:hint="eastAsia"/>
        </w:rPr>
        <w:t>农用地基准地价评估成果内容包括：</w:t>
      </w:r>
      <w:r>
        <w:t xml:space="preserve"> </w:t>
      </w:r>
    </w:p>
    <w:p w14:paraId="59ADF2CE" w14:textId="77777777" w:rsidR="00495C65" w:rsidRDefault="00495C65" w:rsidP="00495C65">
      <w:pPr>
        <w:pStyle w:val="13"/>
      </w:pPr>
      <w:r>
        <w:t>a）文字报告：主要包括农用地基准地价评估工作报告、农用地基准地价评估技术报</w:t>
      </w:r>
      <w:r w:rsidRPr="001846FB">
        <w:rPr>
          <w:rFonts w:hint="eastAsia"/>
        </w:rPr>
        <w:t>告等；</w:t>
      </w:r>
    </w:p>
    <w:p w14:paraId="0148A5C0" w14:textId="77777777" w:rsidR="00495C65" w:rsidRDefault="00495C65" w:rsidP="00495C65">
      <w:pPr>
        <w:pStyle w:val="13"/>
      </w:pPr>
      <w:r w:rsidRPr="000E695E">
        <w:t>b）基准地价图：主要有综合及各用途农用地基准地价最终成果图、样点地价图、基准地块图等；</w:t>
      </w:r>
    </w:p>
    <w:p w14:paraId="5B0B7337" w14:textId="77777777" w:rsidR="00495C65" w:rsidRDefault="00495C65" w:rsidP="00495C65">
      <w:pPr>
        <w:pStyle w:val="13"/>
      </w:pPr>
      <w:r>
        <w:t>c）表格：主要包括基准地价表、基准地价修正系数表和影响因素指标说明表；</w:t>
      </w:r>
    </w:p>
    <w:p w14:paraId="614FF539" w14:textId="77777777" w:rsidR="00495C65" w:rsidRDefault="00495C65" w:rsidP="00495C65">
      <w:pPr>
        <w:pStyle w:val="13"/>
      </w:pPr>
      <w:r>
        <w:t>d）有关计算机软件和管理信息数据库。</w:t>
      </w:r>
    </w:p>
    <w:p w14:paraId="537F74C1" w14:textId="77777777" w:rsidR="00495C65" w:rsidRDefault="00495C65" w:rsidP="00AF7342">
      <w:pPr>
        <w:pStyle w:val="a9"/>
        <w:spacing w:before="62" w:after="62"/>
      </w:pPr>
      <w:r w:rsidRPr="00C26311">
        <w:t>5 农用地估价方法</w:t>
      </w:r>
    </w:p>
    <w:p w14:paraId="5BAF0347" w14:textId="77777777" w:rsidR="00495C65" w:rsidRDefault="00495C65" w:rsidP="00495C65">
      <w:pPr>
        <w:pStyle w:val="ab"/>
        <w:spacing w:before="62" w:after="62"/>
        <w:ind w:firstLine="482"/>
      </w:pPr>
      <w:r>
        <w:t xml:space="preserve">5.1 收益还原法 </w:t>
      </w:r>
    </w:p>
    <w:p w14:paraId="641D9B99" w14:textId="77777777" w:rsidR="00495C65" w:rsidRDefault="00495C65" w:rsidP="00495C65">
      <w:pPr>
        <w:pStyle w:val="13"/>
      </w:pPr>
      <w:proofErr w:type="gramStart"/>
      <w:r>
        <w:rPr>
          <w:rFonts w:hint="eastAsia"/>
        </w:rPr>
        <w:t>将待估农用</w:t>
      </w:r>
      <w:proofErr w:type="gramEnd"/>
      <w:r>
        <w:rPr>
          <w:rFonts w:hint="eastAsia"/>
        </w:rPr>
        <w:t>地未来各期正常年纯收益（地租），以适当的土地还原率还原，从而估算</w:t>
      </w:r>
      <w:proofErr w:type="gramStart"/>
      <w:r>
        <w:rPr>
          <w:rFonts w:hint="eastAsia"/>
        </w:rPr>
        <w:t>出待估农用</w:t>
      </w:r>
      <w:proofErr w:type="gramEnd"/>
      <w:r>
        <w:rPr>
          <w:rFonts w:hint="eastAsia"/>
        </w:rPr>
        <w:t>地价格的一种方法。</w:t>
      </w:r>
    </w:p>
    <w:p w14:paraId="5EE7307F" w14:textId="77777777" w:rsidR="00495C65" w:rsidRDefault="00495C65" w:rsidP="00495C65">
      <w:pPr>
        <w:pStyle w:val="13"/>
      </w:pPr>
      <w:r w:rsidRPr="00145C1C">
        <w:t>5.1.1 适用范围</w:t>
      </w:r>
    </w:p>
    <w:p w14:paraId="663C51E6" w14:textId="77777777" w:rsidR="00495C65" w:rsidRDefault="00495C65" w:rsidP="00495C65">
      <w:pPr>
        <w:pStyle w:val="13"/>
      </w:pPr>
      <w:r w:rsidRPr="00145C1C">
        <w:rPr>
          <w:rFonts w:hint="eastAsia"/>
        </w:rPr>
        <w:t>收益还原法适用于在正常条件下有客观收益且土地纯收益较容易测算的农用地价格评估。采用收益还原法进行宗地价格评估时，以宗地为单位进行评估，即考虑农用</w:t>
      </w:r>
      <w:proofErr w:type="gramStart"/>
      <w:r w:rsidRPr="00145C1C">
        <w:rPr>
          <w:rFonts w:hint="eastAsia"/>
        </w:rPr>
        <w:t>地收益</w:t>
      </w:r>
      <w:proofErr w:type="gramEnd"/>
      <w:r w:rsidRPr="00145C1C">
        <w:rPr>
          <w:rFonts w:hint="eastAsia"/>
        </w:rPr>
        <w:t>是由宗地总面积产生的，不可只考虑农用</w:t>
      </w:r>
      <w:proofErr w:type="gramStart"/>
      <w:r w:rsidRPr="00145C1C">
        <w:rPr>
          <w:rFonts w:hint="eastAsia"/>
        </w:rPr>
        <w:t>地收益</w:t>
      </w:r>
      <w:proofErr w:type="gramEnd"/>
      <w:r w:rsidRPr="00145C1C">
        <w:rPr>
          <w:rFonts w:hint="eastAsia"/>
        </w:rPr>
        <w:t>面积。</w:t>
      </w:r>
    </w:p>
    <w:p w14:paraId="331ED59F" w14:textId="77777777" w:rsidR="00495C65" w:rsidRDefault="00495C65" w:rsidP="00495C65">
      <w:pPr>
        <w:pStyle w:val="13"/>
      </w:pPr>
      <w:r>
        <w:rPr>
          <w:rFonts w:hint="eastAsia"/>
        </w:rPr>
        <w:t>采用收益还原法评估农用地价格，所计算的年纯收益与其权利状况相对应。</w:t>
      </w:r>
    </w:p>
    <w:p w14:paraId="40F61246" w14:textId="77777777" w:rsidR="00495C65" w:rsidRDefault="00495C65" w:rsidP="00495C65">
      <w:pPr>
        <w:pStyle w:val="13"/>
      </w:pPr>
      <w:r>
        <w:t xml:space="preserve">5.1.2 评估程序 </w:t>
      </w:r>
    </w:p>
    <w:p w14:paraId="3B27D548" w14:textId="77777777" w:rsidR="00495C65" w:rsidRDefault="00495C65" w:rsidP="00495C65">
      <w:pPr>
        <w:pStyle w:val="13"/>
      </w:pPr>
      <w:r>
        <w:rPr>
          <w:rFonts w:hint="eastAsia"/>
        </w:rPr>
        <w:t>收益还原法评估程序如下：</w:t>
      </w:r>
    </w:p>
    <w:p w14:paraId="022DFA6F" w14:textId="77777777" w:rsidR="00495C65" w:rsidRDefault="00495C65" w:rsidP="00495C65">
      <w:pPr>
        <w:pStyle w:val="13"/>
      </w:pPr>
      <w:r>
        <w:t>a）搜集</w:t>
      </w:r>
      <w:proofErr w:type="gramStart"/>
      <w:r>
        <w:t>与待估宗地</w:t>
      </w:r>
      <w:proofErr w:type="gramEnd"/>
      <w:r>
        <w:t>有关的收益和费用等资料；</w:t>
      </w:r>
    </w:p>
    <w:p w14:paraId="38ED2E8B" w14:textId="77777777" w:rsidR="00495C65" w:rsidRDefault="00495C65" w:rsidP="00495C65">
      <w:pPr>
        <w:pStyle w:val="13"/>
      </w:pPr>
      <w:r>
        <w:t>b）测算年总收益；</w:t>
      </w:r>
    </w:p>
    <w:p w14:paraId="7E1F6981" w14:textId="77777777" w:rsidR="00495C65" w:rsidRDefault="00495C65" w:rsidP="00495C65">
      <w:pPr>
        <w:pStyle w:val="13"/>
      </w:pPr>
      <w:r>
        <w:t>c）测算年总费用；</w:t>
      </w:r>
    </w:p>
    <w:p w14:paraId="161F76FF" w14:textId="77777777" w:rsidR="00495C65" w:rsidRDefault="00495C65" w:rsidP="00495C65">
      <w:pPr>
        <w:pStyle w:val="13"/>
      </w:pPr>
      <w:r>
        <w:t>d）计算年纯收益；</w:t>
      </w:r>
    </w:p>
    <w:p w14:paraId="5024D54D" w14:textId="77777777" w:rsidR="00495C65" w:rsidRDefault="00495C65" w:rsidP="00495C65">
      <w:pPr>
        <w:pStyle w:val="13"/>
      </w:pPr>
      <w:r>
        <w:t>e）确定土地还原率；</w:t>
      </w:r>
    </w:p>
    <w:p w14:paraId="3017BB72" w14:textId="77777777" w:rsidR="00495C65" w:rsidRDefault="00495C65" w:rsidP="00495C65">
      <w:pPr>
        <w:pStyle w:val="13"/>
      </w:pPr>
      <w:r>
        <w:t>f）选用适当的公式计算农用地价格。</w:t>
      </w:r>
    </w:p>
    <w:p w14:paraId="197EE167" w14:textId="77777777" w:rsidR="00495C65" w:rsidRDefault="00495C65" w:rsidP="00495C65">
      <w:pPr>
        <w:pStyle w:val="13"/>
      </w:pPr>
      <w:r w:rsidRPr="00145C1C">
        <w:t>5.1.3 年总收益的分析计算</w:t>
      </w:r>
    </w:p>
    <w:p w14:paraId="3399EFDB" w14:textId="77777777" w:rsidR="00495C65" w:rsidRDefault="00495C65" w:rsidP="00495C65">
      <w:pPr>
        <w:pStyle w:val="13"/>
      </w:pPr>
      <w:r w:rsidRPr="006614DE">
        <w:rPr>
          <w:rFonts w:hint="eastAsia"/>
        </w:rPr>
        <w:lastRenderedPageBreak/>
        <w:t>年总收益是</w:t>
      </w:r>
      <w:proofErr w:type="gramStart"/>
      <w:r w:rsidRPr="006614DE">
        <w:rPr>
          <w:rFonts w:hint="eastAsia"/>
        </w:rPr>
        <w:t>指待估宗地</w:t>
      </w:r>
      <w:proofErr w:type="gramEnd"/>
      <w:r w:rsidRPr="006614DE">
        <w:rPr>
          <w:rFonts w:hint="eastAsia"/>
        </w:rPr>
        <w:t>按法定用途，合理有效地利用土地所取得的持续而稳定的客观正常年收益。确定年总收益时可</w:t>
      </w:r>
      <w:proofErr w:type="gramStart"/>
      <w:r w:rsidRPr="006614DE">
        <w:rPr>
          <w:rFonts w:hint="eastAsia"/>
        </w:rPr>
        <w:t>根据待估农用</w:t>
      </w:r>
      <w:proofErr w:type="gramEnd"/>
      <w:r w:rsidRPr="006614DE">
        <w:rPr>
          <w:rFonts w:hint="eastAsia"/>
        </w:rPr>
        <w:t>地生产经营的方式，进行具体分析。分析方法如下：</w:t>
      </w:r>
    </w:p>
    <w:p w14:paraId="33936A51" w14:textId="77777777" w:rsidR="00495C65" w:rsidRDefault="00495C65" w:rsidP="00495C65">
      <w:pPr>
        <w:pStyle w:val="13"/>
      </w:pPr>
      <w:r w:rsidRPr="006614DE">
        <w:t>a）</w:t>
      </w:r>
      <w:proofErr w:type="gramStart"/>
      <w:r w:rsidRPr="006614DE">
        <w:t>待估宗地</w:t>
      </w:r>
      <w:proofErr w:type="gramEnd"/>
      <w:r w:rsidRPr="006614DE">
        <w:t>为直接生产经营方式，用农产品年收入作为年总收益。</w:t>
      </w:r>
    </w:p>
    <w:p w14:paraId="39628363" w14:textId="77777777" w:rsidR="00495C65" w:rsidRDefault="00495C65" w:rsidP="00495C65">
      <w:pPr>
        <w:pStyle w:val="13"/>
      </w:pPr>
      <w:r>
        <w:rPr>
          <w:rFonts w:hint="eastAsia"/>
        </w:rPr>
        <w:t>农产品年收入，是指农用地用于农业生产过程中，每年平均的农业生产产品的收入，</w:t>
      </w:r>
    </w:p>
    <w:p w14:paraId="13573E44" w14:textId="77777777" w:rsidR="00495C65" w:rsidRDefault="00495C65" w:rsidP="00495C65">
      <w:pPr>
        <w:pStyle w:val="13"/>
      </w:pPr>
      <w:r>
        <w:rPr>
          <w:rFonts w:hint="eastAsia"/>
        </w:rPr>
        <w:t>包括主产品收入和副产品收入。收入的计算根据其产量和估价期日的正常市场价格进行。</w:t>
      </w:r>
    </w:p>
    <w:p w14:paraId="14FC6D41" w14:textId="77777777" w:rsidR="00495C65" w:rsidRDefault="00495C65" w:rsidP="00495C65">
      <w:pPr>
        <w:pStyle w:val="13"/>
      </w:pPr>
      <w:r>
        <w:t>b）</w:t>
      </w:r>
      <w:proofErr w:type="gramStart"/>
      <w:r>
        <w:t>待估宗地</w:t>
      </w:r>
      <w:proofErr w:type="gramEnd"/>
      <w:r>
        <w:t xml:space="preserve">为租赁经营，年租金收入及保证金或押金的利息收入之和作为年总收益。 </w:t>
      </w:r>
    </w:p>
    <w:p w14:paraId="32F81315" w14:textId="77777777" w:rsidR="00495C65" w:rsidRDefault="00495C65" w:rsidP="00495C65">
      <w:pPr>
        <w:pStyle w:val="13"/>
      </w:pPr>
      <w:r>
        <w:rPr>
          <w:rFonts w:hint="eastAsia"/>
        </w:rPr>
        <w:t>租金收入及保证金或押金的利息收入，是指农用地又其产权拥有者用于出租时，每年所获得的客观租金及承租方支付的保证金或押金的利息。客观租金根据实际租金水平考虑评估期</w:t>
      </w:r>
      <w:proofErr w:type="gramStart"/>
      <w:r>
        <w:rPr>
          <w:rFonts w:hint="eastAsia"/>
        </w:rPr>
        <w:t>日当地</w:t>
      </w:r>
      <w:proofErr w:type="gramEnd"/>
      <w:r>
        <w:rPr>
          <w:rFonts w:hint="eastAsia"/>
        </w:rPr>
        <w:t>正常的市场租金水平进行分析计算；保证金或押金的利息按其数量及评估期日中国人民银行的一年期定期存款利息率进行计算。</w:t>
      </w:r>
    </w:p>
    <w:p w14:paraId="7200D681" w14:textId="77777777" w:rsidR="00495C65" w:rsidRDefault="00495C65" w:rsidP="00495C65">
      <w:pPr>
        <w:pStyle w:val="13"/>
      </w:pPr>
      <w:r>
        <w:t xml:space="preserve">5.1.4 年总费用的分析计算 </w:t>
      </w:r>
    </w:p>
    <w:p w14:paraId="253216D0" w14:textId="77777777" w:rsidR="00495C65" w:rsidRDefault="00495C65" w:rsidP="00495C65">
      <w:pPr>
        <w:pStyle w:val="13"/>
      </w:pPr>
      <w:r>
        <w:rPr>
          <w:rFonts w:hint="eastAsia"/>
        </w:rPr>
        <w:t>年总费用是</w:t>
      </w:r>
      <w:proofErr w:type="gramStart"/>
      <w:r>
        <w:rPr>
          <w:rFonts w:hint="eastAsia"/>
        </w:rPr>
        <w:t>指待估宗地</w:t>
      </w:r>
      <w:proofErr w:type="gramEnd"/>
      <w:r>
        <w:rPr>
          <w:rFonts w:hint="eastAsia"/>
        </w:rPr>
        <w:t>的使用者在进行生产经营活动中所支付的年平均客观总费用。在确定年总费用时</w:t>
      </w:r>
      <w:proofErr w:type="gramStart"/>
      <w:r>
        <w:rPr>
          <w:rFonts w:hint="eastAsia"/>
        </w:rPr>
        <w:t>根据待估农用</w:t>
      </w:r>
      <w:proofErr w:type="gramEnd"/>
      <w:r>
        <w:rPr>
          <w:rFonts w:hint="eastAsia"/>
        </w:rPr>
        <w:t>地生产经营活动的方式，进行具体分析。分析方法</w:t>
      </w:r>
      <w:r w:rsidRPr="00BE5144">
        <w:rPr>
          <w:rFonts w:hint="eastAsia"/>
        </w:rPr>
        <w:t>如下：</w:t>
      </w:r>
    </w:p>
    <w:p w14:paraId="0DA1FE76" w14:textId="77777777" w:rsidR="00495C65" w:rsidRDefault="00495C65" w:rsidP="00495C65">
      <w:pPr>
        <w:pStyle w:val="13"/>
      </w:pPr>
      <w:r>
        <w:t>a）</w:t>
      </w:r>
      <w:proofErr w:type="gramStart"/>
      <w:r>
        <w:t>待估宗地</w:t>
      </w:r>
      <w:proofErr w:type="gramEnd"/>
      <w:r>
        <w:t xml:space="preserve">为直接生产经营方式，用农用地维护费和生产农副产品的费用之和作为总费用。 </w:t>
      </w:r>
    </w:p>
    <w:p w14:paraId="1AABA0A1" w14:textId="77777777" w:rsidR="00495C65" w:rsidRDefault="00495C65" w:rsidP="00495C65">
      <w:pPr>
        <w:pStyle w:val="13"/>
      </w:pPr>
      <w:r>
        <w:rPr>
          <w:rFonts w:hint="eastAsia"/>
        </w:rPr>
        <w:t>农用地维护费一般指农用地基本配套设施的年平均维修费用；生产经营农副产品的费用一般包括生产农副产品过程中所支付的直接及间接费用，包括种苗费（或种子费、幼畜禽费）、肥料费（或饲料费）、人工费、畜工费、机工费、农药费、材料费、水电费、农舍费（或畜禽舍费）、农具费以及有关的税款、利息等。对于投入所形成的固定资产，按其使用年限摊销费用。</w:t>
      </w:r>
      <w:r>
        <w:t xml:space="preserve"> </w:t>
      </w:r>
    </w:p>
    <w:p w14:paraId="453DF6F6" w14:textId="77777777" w:rsidR="00495C65" w:rsidRDefault="00495C65" w:rsidP="00495C65">
      <w:pPr>
        <w:pStyle w:val="13"/>
      </w:pPr>
      <w:r>
        <w:t>b）</w:t>
      </w:r>
      <w:proofErr w:type="gramStart"/>
      <w:r>
        <w:t>待估宗地</w:t>
      </w:r>
      <w:proofErr w:type="gramEnd"/>
      <w:r>
        <w:t>为租赁经营，用农用地租赁过程中发生的年平均费用作为年总费用。它主要指在进行土地租赁过程中所支付的年平均客观总费用。</w:t>
      </w:r>
    </w:p>
    <w:p w14:paraId="7538173A" w14:textId="77777777" w:rsidR="00495C65" w:rsidRDefault="00495C65" w:rsidP="00495C65">
      <w:pPr>
        <w:pStyle w:val="13"/>
      </w:pPr>
      <w:r>
        <w:t xml:space="preserve">5.1.5 求取年纯收益 </w:t>
      </w:r>
    </w:p>
    <w:p w14:paraId="03E00070" w14:textId="77777777" w:rsidR="00495C65" w:rsidRDefault="00495C65" w:rsidP="00495C65">
      <w:pPr>
        <w:pStyle w:val="13"/>
      </w:pPr>
      <w:r>
        <w:rPr>
          <w:rFonts w:hint="eastAsia"/>
        </w:rPr>
        <w:t>土地年纯收益为年总收益与年总费用之差。</w:t>
      </w:r>
      <w:r>
        <w:t xml:space="preserve"> </w:t>
      </w:r>
    </w:p>
    <w:p w14:paraId="437D7F9C" w14:textId="77777777" w:rsidR="00495C65" w:rsidRDefault="00495C65" w:rsidP="00495C65">
      <w:pPr>
        <w:pStyle w:val="13"/>
      </w:pPr>
      <w:r>
        <w:rPr>
          <w:rFonts w:hint="eastAsia"/>
        </w:rPr>
        <w:t>对于投入所形成的固定资产，需要扣除其所产生的纯收益。</w:t>
      </w:r>
      <w:r>
        <w:t xml:space="preserve"> </w:t>
      </w:r>
    </w:p>
    <w:p w14:paraId="409562FB" w14:textId="77777777" w:rsidR="00495C65" w:rsidRDefault="00495C65" w:rsidP="00495C65">
      <w:pPr>
        <w:pStyle w:val="13"/>
      </w:pPr>
      <w:r>
        <w:rPr>
          <w:rFonts w:hint="eastAsia"/>
        </w:rPr>
        <w:t>如果所求取的年纯收益为负值，可根据实际生产经营状况考虑农用地的客观收益。</w:t>
      </w:r>
    </w:p>
    <w:p w14:paraId="3E0312D2" w14:textId="77777777" w:rsidR="00495C65" w:rsidRDefault="00495C65" w:rsidP="00495C65">
      <w:pPr>
        <w:pStyle w:val="13"/>
      </w:pPr>
      <w:r>
        <w:t xml:space="preserve">5.1.6 土地还原率的确定 </w:t>
      </w:r>
    </w:p>
    <w:p w14:paraId="16F5E1C0" w14:textId="77777777" w:rsidR="00495C65" w:rsidRDefault="00495C65" w:rsidP="00495C65">
      <w:pPr>
        <w:pStyle w:val="13"/>
      </w:pPr>
      <w:r>
        <w:rPr>
          <w:rFonts w:hint="eastAsia"/>
        </w:rPr>
        <w:t>土地还原率可按下列方法确定：</w:t>
      </w:r>
      <w:r>
        <w:t xml:space="preserve"> </w:t>
      </w:r>
    </w:p>
    <w:p w14:paraId="71E245F5" w14:textId="77777777" w:rsidR="00495C65" w:rsidRDefault="00495C65" w:rsidP="00495C65">
      <w:pPr>
        <w:pStyle w:val="13"/>
      </w:pPr>
      <w:r>
        <w:lastRenderedPageBreak/>
        <w:t>a）租金比方法：即选择与评估对象处于同一地区或邻近地区，相同用途的三宗以上</w:t>
      </w:r>
      <w:r>
        <w:rPr>
          <w:rFonts w:hint="eastAsia"/>
        </w:rPr>
        <w:t>近期发生交易的，且在交易类型上与评估对象相似的农用地交易实例，以交易实例的土地租金或土地纯收益与其价格的比率的均值作为土地还原率。</w:t>
      </w:r>
      <w:r>
        <w:t xml:space="preserve"> </w:t>
      </w:r>
    </w:p>
    <w:p w14:paraId="10A2C596" w14:textId="77777777" w:rsidR="00495C65" w:rsidRDefault="00495C65" w:rsidP="00495C65">
      <w:pPr>
        <w:pStyle w:val="13"/>
      </w:pPr>
      <w:r>
        <w:t xml:space="preserve">b）安全利率加风险调整值法：即土地还原率=安全利率+风险调整值。安全利率可选用同一时期的一年期国债年利率或银行一年期定期存款年利率，风险调整值可根据农业生产所遇到的灾害性天气、评估对象所处地区的社会经济发展水平和农用地市场等状况对其影响程度而确定。 </w:t>
      </w:r>
    </w:p>
    <w:p w14:paraId="4F82CF74" w14:textId="77777777" w:rsidR="00495C65" w:rsidRDefault="00495C65" w:rsidP="00495C65">
      <w:pPr>
        <w:pStyle w:val="13"/>
      </w:pPr>
      <w:r>
        <w:t>c）投资风险与投资收益率综合排序插入法：将社会上各种相关类型投资，按它们的收益率与风险在估价实践中可根据当地农用地市场情况，选择适当的方法，确定土地还原率。</w:t>
      </w:r>
    </w:p>
    <w:p w14:paraId="685D6550" w14:textId="77777777" w:rsidR="00495C65" w:rsidRDefault="00495C65" w:rsidP="00495C65">
      <w:pPr>
        <w:pStyle w:val="13"/>
      </w:pPr>
      <w:r>
        <w:t xml:space="preserve">5.1.7 计算收益价格 </w:t>
      </w:r>
    </w:p>
    <w:p w14:paraId="62049589" w14:textId="77777777" w:rsidR="00495C65" w:rsidRDefault="00495C65" w:rsidP="00495C65">
      <w:pPr>
        <w:pStyle w:val="13"/>
      </w:pPr>
      <w:r>
        <w:rPr>
          <w:noProof/>
        </w:rPr>
        <w:drawing>
          <wp:anchor distT="0" distB="0" distL="114300" distR="114300" simplePos="0" relativeHeight="251668480" behindDoc="1" locked="0" layoutInCell="1" allowOverlap="1" wp14:anchorId="14B0EC46" wp14:editId="6264FC0A">
            <wp:simplePos x="0" y="0"/>
            <wp:positionH relativeFrom="column">
              <wp:posOffset>2338668</wp:posOffset>
            </wp:positionH>
            <wp:positionV relativeFrom="paragraph">
              <wp:posOffset>231452</wp:posOffset>
            </wp:positionV>
            <wp:extent cx="867455" cy="396815"/>
            <wp:effectExtent l="0" t="0" r="0" b="3810"/>
            <wp:wrapNone/>
            <wp:docPr id="3268" name="图片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886116" cy="405351"/>
                    </a:xfrm>
                    <a:prstGeom prst="rect">
                      <a:avLst/>
                    </a:prstGeom>
                  </pic:spPr>
                </pic:pic>
              </a:graphicData>
            </a:graphic>
            <wp14:sizeRelH relativeFrom="margin">
              <wp14:pctWidth>0</wp14:pctWidth>
            </wp14:sizeRelH>
            <wp14:sizeRelV relativeFrom="margin">
              <wp14:pctHeight>0</wp14:pctHeight>
            </wp14:sizeRelV>
          </wp:anchor>
        </w:drawing>
      </w:r>
      <w:r>
        <w:t>5.1.7.1 计算收益价格的基本公式见式（1）</w:t>
      </w:r>
    </w:p>
    <w:p w14:paraId="64E9A30D" w14:textId="77777777" w:rsidR="00495C65" w:rsidRPr="007825FA" w:rsidRDefault="00495C65" w:rsidP="00495C65">
      <w:pPr>
        <w:spacing w:line="312" w:lineRule="auto"/>
        <w:ind w:firstLineChars="200" w:firstLine="480"/>
        <w:rPr>
          <w:rFonts w:ascii="宋体" w:hAnsi="宋体"/>
          <w:sz w:val="24"/>
          <w:szCs w:val="24"/>
        </w:rPr>
      </w:pPr>
      <w:r w:rsidRPr="007825FA">
        <w:rPr>
          <w:rFonts w:ascii="宋体" w:hAnsi="宋体"/>
          <w:noProof/>
          <w:sz w:val="24"/>
          <w:szCs w:val="24"/>
        </w:rPr>
        <w:t xml:space="preserve">                                                               （</w:t>
      </w:r>
      <w:r>
        <w:rPr>
          <w:rFonts w:ascii="宋体" w:hAnsi="宋体"/>
          <w:noProof/>
          <w:sz w:val="24"/>
          <w:szCs w:val="24"/>
        </w:rPr>
        <w:t>1）</w:t>
      </w:r>
    </w:p>
    <w:p w14:paraId="72211458" w14:textId="77777777" w:rsidR="00495C65" w:rsidRDefault="00495C65" w:rsidP="00495C65">
      <w:pPr>
        <w:pStyle w:val="13"/>
      </w:pPr>
      <w:r w:rsidRPr="00C24BA5">
        <w:rPr>
          <w:rFonts w:hint="eastAsia"/>
        </w:rPr>
        <w:t>式中：</w:t>
      </w:r>
    </w:p>
    <w:p w14:paraId="7A166003" w14:textId="77777777" w:rsidR="00495C65" w:rsidRDefault="00495C65" w:rsidP="00495C65">
      <w:pPr>
        <w:pStyle w:val="13"/>
        <w:ind w:firstLineChars="500" w:firstLine="1200"/>
      </w:pPr>
      <w:r w:rsidRPr="00C24BA5">
        <w:t>P——土地价格；</w:t>
      </w:r>
    </w:p>
    <w:p w14:paraId="476E5098" w14:textId="77777777" w:rsidR="00495C65" w:rsidRDefault="00495C65" w:rsidP="00495C65">
      <w:pPr>
        <w:pStyle w:val="13"/>
        <w:ind w:firstLineChars="500" w:firstLine="1200"/>
      </w:pPr>
      <w:r w:rsidRPr="00C24BA5">
        <w:t>a——土地年纯收益</w:t>
      </w:r>
      <w:r>
        <w:rPr>
          <w:rFonts w:hint="eastAsia"/>
        </w:rPr>
        <w:t>；</w:t>
      </w:r>
    </w:p>
    <w:p w14:paraId="6E16BAA5" w14:textId="77777777" w:rsidR="00495C65" w:rsidRDefault="00495C65" w:rsidP="00495C65">
      <w:pPr>
        <w:pStyle w:val="13"/>
        <w:ind w:firstLineChars="500" w:firstLine="1200"/>
      </w:pPr>
      <w:r w:rsidRPr="00C24BA5">
        <w:t>r——土地还原率</w:t>
      </w:r>
      <w:r>
        <w:rPr>
          <w:rFonts w:hint="eastAsia"/>
        </w:rPr>
        <w:t>。</w:t>
      </w:r>
    </w:p>
    <w:p w14:paraId="79034D90" w14:textId="77777777" w:rsidR="00495C65" w:rsidRDefault="00495C65" w:rsidP="00495C65">
      <w:pPr>
        <w:pStyle w:val="13"/>
      </w:pPr>
      <w:r w:rsidRPr="00C24BA5">
        <w:t>5.1.7.2 有限年期</w:t>
      </w:r>
      <w:proofErr w:type="gramStart"/>
      <w:r w:rsidRPr="00C24BA5">
        <w:t>的待估农用</w:t>
      </w:r>
      <w:proofErr w:type="gramEnd"/>
      <w:r w:rsidRPr="00C24BA5">
        <w:t>地价格可根据其使用年期进行年期修正。</w:t>
      </w:r>
    </w:p>
    <w:p w14:paraId="0EC396CF" w14:textId="77777777" w:rsidR="00495C65" w:rsidRDefault="00495C65" w:rsidP="00495C65">
      <w:pPr>
        <w:pStyle w:val="13"/>
      </w:pPr>
      <w:r>
        <w:rPr>
          <w:noProof/>
        </w:rPr>
        <w:drawing>
          <wp:anchor distT="0" distB="0" distL="114300" distR="114300" simplePos="0" relativeHeight="251667456" behindDoc="1" locked="0" layoutInCell="1" allowOverlap="1" wp14:anchorId="5725F7D4" wp14:editId="66A164F1">
            <wp:simplePos x="0" y="0"/>
            <wp:positionH relativeFrom="column">
              <wp:posOffset>1889940</wp:posOffset>
            </wp:positionH>
            <wp:positionV relativeFrom="paragraph">
              <wp:posOffset>463874</wp:posOffset>
            </wp:positionV>
            <wp:extent cx="1647645" cy="462349"/>
            <wp:effectExtent l="0" t="0" r="0" b="0"/>
            <wp:wrapNone/>
            <wp:docPr id="3269" name="图片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647645" cy="462349"/>
                    </a:xfrm>
                    <a:prstGeom prst="rect">
                      <a:avLst/>
                    </a:prstGeom>
                  </pic:spPr>
                </pic:pic>
              </a:graphicData>
            </a:graphic>
            <wp14:sizeRelH relativeFrom="margin">
              <wp14:pctWidth>0</wp14:pctWidth>
            </wp14:sizeRelH>
            <wp14:sizeRelV relativeFrom="margin">
              <wp14:pctHeight>0</wp14:pctHeight>
            </wp14:sizeRelV>
          </wp:anchor>
        </w:drawing>
      </w:r>
      <w:r w:rsidRPr="00C24BA5">
        <w:rPr>
          <w:rFonts w:hint="eastAsia"/>
        </w:rPr>
        <w:t>当土地纯收益每年不变，土地还原率每年不变且大于</w:t>
      </w:r>
      <w:r w:rsidRPr="00C24BA5">
        <w:t>0，土地使用年期为n的公式见式（2）</w:t>
      </w:r>
    </w:p>
    <w:p w14:paraId="007D42AB" w14:textId="77777777" w:rsidR="00495C65" w:rsidRDefault="00495C65" w:rsidP="00495C65">
      <w:pPr>
        <w:pStyle w:val="13"/>
        <w:rPr>
          <w:noProof/>
        </w:rPr>
      </w:pPr>
      <w:r>
        <w:rPr>
          <w:noProof/>
        </w:rPr>
        <w:t xml:space="preserve">                                                               </w:t>
      </w:r>
      <w:r>
        <w:rPr>
          <w:rFonts w:hint="eastAsia"/>
          <w:noProof/>
        </w:rPr>
        <w:t>（2）</w:t>
      </w:r>
    </w:p>
    <w:p w14:paraId="607347D3" w14:textId="77777777" w:rsidR="00495C65" w:rsidRDefault="00495C65" w:rsidP="00495C65">
      <w:pPr>
        <w:pStyle w:val="13"/>
      </w:pPr>
      <w:r>
        <w:rPr>
          <w:rFonts w:hint="eastAsia"/>
        </w:rPr>
        <w:t>式中：</w:t>
      </w:r>
      <w:r>
        <w:t xml:space="preserve"> </w:t>
      </w:r>
    </w:p>
    <w:p w14:paraId="41976237" w14:textId="41B200CA" w:rsidR="00495C65" w:rsidRDefault="00495C65" w:rsidP="00495C65">
      <w:pPr>
        <w:pStyle w:val="13"/>
        <w:ind w:firstLineChars="500" w:firstLine="1200"/>
      </w:pPr>
      <w:r>
        <w:t>P、a、r含义同式（1）</w:t>
      </w:r>
      <w:r w:rsidR="003068F8">
        <w:t>；</w:t>
      </w:r>
    </w:p>
    <w:p w14:paraId="679FA0E2" w14:textId="77777777" w:rsidR="00495C65" w:rsidRDefault="00495C65" w:rsidP="00495C65">
      <w:pPr>
        <w:pStyle w:val="13"/>
        <w:ind w:firstLineChars="500" w:firstLine="1200"/>
      </w:pPr>
      <w:r>
        <w:t xml:space="preserve">n——土地使用年期。 </w:t>
      </w:r>
    </w:p>
    <w:p w14:paraId="71EBF430" w14:textId="77777777" w:rsidR="00495C65" w:rsidRDefault="00495C65" w:rsidP="00495C65">
      <w:pPr>
        <w:pStyle w:val="13"/>
      </w:pPr>
      <w:r>
        <w:t>5.1.7.3 土地纯收益每年有变化的，可按其变化规律采用相应的公式进行计算。</w:t>
      </w:r>
    </w:p>
    <w:p w14:paraId="0403B979" w14:textId="77777777" w:rsidR="00495C65" w:rsidRDefault="00495C65" w:rsidP="00495C65">
      <w:pPr>
        <w:pStyle w:val="ab"/>
        <w:spacing w:before="62" w:after="62"/>
        <w:ind w:firstLine="482"/>
      </w:pPr>
      <w:r>
        <w:t>5.2 市场比较法</w:t>
      </w:r>
    </w:p>
    <w:p w14:paraId="1DEEF6F4" w14:textId="77777777" w:rsidR="00495C65" w:rsidRDefault="00495C65" w:rsidP="00495C65">
      <w:pPr>
        <w:pStyle w:val="13"/>
      </w:pPr>
      <w:r w:rsidRPr="008205B3">
        <w:rPr>
          <w:rFonts w:hint="eastAsia"/>
        </w:rPr>
        <w:t>是根据替代原理，</w:t>
      </w:r>
      <w:proofErr w:type="gramStart"/>
      <w:r w:rsidRPr="008205B3">
        <w:rPr>
          <w:rFonts w:hint="eastAsia"/>
        </w:rPr>
        <w:t>将待估农用</w:t>
      </w:r>
      <w:proofErr w:type="gramEnd"/>
      <w:r w:rsidRPr="008205B3">
        <w:rPr>
          <w:rFonts w:hint="eastAsia"/>
        </w:rPr>
        <w:t>地与近期市场上已经发生交易的类似农用地进行比较，并对类似农用地的成交价格进行适当修正，以此</w:t>
      </w:r>
      <w:proofErr w:type="gramStart"/>
      <w:r w:rsidRPr="008205B3">
        <w:rPr>
          <w:rFonts w:hint="eastAsia"/>
        </w:rPr>
        <w:t>估算待估农用</w:t>
      </w:r>
      <w:proofErr w:type="gramEnd"/>
      <w:r w:rsidRPr="008205B3">
        <w:rPr>
          <w:rFonts w:hint="eastAsia"/>
        </w:rPr>
        <w:t>地价格的方法。</w:t>
      </w:r>
    </w:p>
    <w:p w14:paraId="7384B79E" w14:textId="77777777" w:rsidR="00495C65" w:rsidRDefault="00495C65" w:rsidP="00495C65">
      <w:pPr>
        <w:pStyle w:val="13"/>
      </w:pPr>
      <w:r>
        <w:t xml:space="preserve">5.2.1 适用范围 </w:t>
      </w:r>
    </w:p>
    <w:p w14:paraId="45852574" w14:textId="77777777" w:rsidR="00495C65" w:rsidRDefault="00495C65" w:rsidP="00495C65">
      <w:pPr>
        <w:pStyle w:val="13"/>
      </w:pPr>
      <w:r>
        <w:rPr>
          <w:rFonts w:hint="eastAsia"/>
        </w:rPr>
        <w:t>市场比较法适用于农用地市场交易比较活跃的地区。市场比较法除可直接用于评估</w:t>
      </w:r>
      <w:r w:rsidRPr="008205B3">
        <w:rPr>
          <w:rFonts w:hint="eastAsia"/>
        </w:rPr>
        <w:t>农用地的价格外，还可用于其他估价方法中有关参数的求取。</w:t>
      </w:r>
    </w:p>
    <w:p w14:paraId="1FFAB320" w14:textId="77777777" w:rsidR="00495C65" w:rsidRDefault="00495C65" w:rsidP="00495C65">
      <w:pPr>
        <w:pStyle w:val="13"/>
      </w:pPr>
      <w:r>
        <w:t xml:space="preserve">5.2.2 估价步骤 </w:t>
      </w:r>
    </w:p>
    <w:p w14:paraId="6FB6A040" w14:textId="77777777" w:rsidR="00495C65" w:rsidRDefault="00495C65" w:rsidP="00495C65">
      <w:pPr>
        <w:pStyle w:val="13"/>
      </w:pPr>
      <w:r>
        <w:rPr>
          <w:rFonts w:hint="eastAsia"/>
        </w:rPr>
        <w:t>市场比较法步骤如下：</w:t>
      </w:r>
    </w:p>
    <w:p w14:paraId="4C2E97FB" w14:textId="77777777" w:rsidR="00495C65" w:rsidRDefault="00495C65" w:rsidP="00495C65">
      <w:pPr>
        <w:pStyle w:val="13"/>
      </w:pPr>
      <w:r>
        <w:t>a）收集和选择比较交易实例；</w:t>
      </w:r>
    </w:p>
    <w:p w14:paraId="32896535" w14:textId="77777777" w:rsidR="00495C65" w:rsidRDefault="00495C65" w:rsidP="00495C65">
      <w:pPr>
        <w:pStyle w:val="13"/>
      </w:pPr>
      <w:r>
        <w:lastRenderedPageBreak/>
        <w:t>b）建立价格可比基础；</w:t>
      </w:r>
    </w:p>
    <w:p w14:paraId="5BFC60BE" w14:textId="77777777" w:rsidR="00495C65" w:rsidRDefault="00495C65" w:rsidP="00495C65">
      <w:pPr>
        <w:pStyle w:val="13"/>
      </w:pPr>
      <w:r>
        <w:t>c）进行交易情况修正；</w:t>
      </w:r>
    </w:p>
    <w:p w14:paraId="7C184597" w14:textId="77777777" w:rsidR="00495C65" w:rsidRDefault="00495C65" w:rsidP="00495C65">
      <w:pPr>
        <w:pStyle w:val="13"/>
      </w:pPr>
      <w:r>
        <w:t>d）进行交易期日修正；</w:t>
      </w:r>
    </w:p>
    <w:p w14:paraId="4A32B9A0" w14:textId="77777777" w:rsidR="00495C65" w:rsidRDefault="00495C65" w:rsidP="00495C65">
      <w:pPr>
        <w:pStyle w:val="13"/>
      </w:pPr>
      <w:r>
        <w:t>e）进行影响因素修正；</w:t>
      </w:r>
    </w:p>
    <w:p w14:paraId="17080E10" w14:textId="77777777" w:rsidR="00495C65" w:rsidRPr="00B539DA" w:rsidRDefault="00495C65" w:rsidP="00495C65">
      <w:pPr>
        <w:pStyle w:val="13"/>
      </w:pPr>
      <w:r w:rsidRPr="00B539DA">
        <w:t>f）进行年期修正；</w:t>
      </w:r>
    </w:p>
    <w:p w14:paraId="2B10349C" w14:textId="77777777" w:rsidR="00495C65" w:rsidRDefault="00495C65" w:rsidP="00495C65">
      <w:pPr>
        <w:pStyle w:val="13"/>
      </w:pPr>
      <w:r>
        <w:t>g）计算比准价格。</w:t>
      </w:r>
    </w:p>
    <w:p w14:paraId="27BF1260" w14:textId="77777777" w:rsidR="00495C65" w:rsidRDefault="00495C65" w:rsidP="00495C65">
      <w:pPr>
        <w:pStyle w:val="13"/>
      </w:pPr>
      <w:r>
        <w:t>5.2.3 收集与选择比较交易实例</w:t>
      </w:r>
    </w:p>
    <w:p w14:paraId="6830AE36" w14:textId="77777777" w:rsidR="00495C65" w:rsidRDefault="00495C65" w:rsidP="00495C65">
      <w:pPr>
        <w:pStyle w:val="13"/>
      </w:pPr>
      <w:r>
        <w:t xml:space="preserve">5.2.3.1 </w:t>
      </w:r>
      <w:r>
        <w:rPr>
          <w:rFonts w:hint="eastAsia"/>
        </w:rPr>
        <w:t>比较交易实例收集与选择</w:t>
      </w:r>
      <w:r>
        <w:t xml:space="preserve"> </w:t>
      </w:r>
    </w:p>
    <w:p w14:paraId="2E983671" w14:textId="77777777" w:rsidR="00495C65" w:rsidRDefault="00495C65" w:rsidP="00495C65">
      <w:pPr>
        <w:pStyle w:val="13"/>
      </w:pPr>
      <w:r>
        <w:rPr>
          <w:rFonts w:hint="eastAsia"/>
        </w:rPr>
        <w:t>比较交易实例收集与选择要求如下：</w:t>
      </w:r>
    </w:p>
    <w:p w14:paraId="206D6B50" w14:textId="77777777" w:rsidR="00495C65" w:rsidRDefault="00495C65" w:rsidP="00495C65">
      <w:pPr>
        <w:pStyle w:val="13"/>
      </w:pPr>
      <w:r>
        <w:t>a）首选与评估对象处于同一地区的实例，次</w:t>
      </w:r>
      <w:proofErr w:type="gramStart"/>
      <w:r>
        <w:t>选处于</w:t>
      </w:r>
      <w:proofErr w:type="gramEnd"/>
      <w:r>
        <w:t>邻近地区或类似地区的实例；</w:t>
      </w:r>
    </w:p>
    <w:p w14:paraId="20BAA2DF" w14:textId="77777777" w:rsidR="00495C65" w:rsidRDefault="00495C65" w:rsidP="00495C65">
      <w:pPr>
        <w:pStyle w:val="13"/>
      </w:pPr>
      <w:r>
        <w:t>b）用途相同；</w:t>
      </w:r>
    </w:p>
    <w:p w14:paraId="33071171" w14:textId="77777777" w:rsidR="00495C65" w:rsidRDefault="00495C65" w:rsidP="00495C65">
      <w:pPr>
        <w:pStyle w:val="13"/>
      </w:pPr>
      <w:r>
        <w:t>c）价格类型相同或可比；</w:t>
      </w:r>
    </w:p>
    <w:p w14:paraId="3134DA05" w14:textId="77777777" w:rsidR="00495C65" w:rsidRDefault="00495C65" w:rsidP="00495C65">
      <w:pPr>
        <w:pStyle w:val="13"/>
      </w:pPr>
      <w:r>
        <w:t>d）成交日期与估价期日接近，不宜超过三年；</w:t>
      </w:r>
    </w:p>
    <w:p w14:paraId="539CAD9C" w14:textId="77777777" w:rsidR="00495C65" w:rsidRDefault="00495C65" w:rsidP="00495C65">
      <w:pPr>
        <w:pStyle w:val="13"/>
      </w:pPr>
      <w:r>
        <w:t>e）为正常交易案例或调整为正常交易的案例；</w:t>
      </w:r>
    </w:p>
    <w:p w14:paraId="3CBD1190" w14:textId="77777777" w:rsidR="00495C65" w:rsidRDefault="00495C65" w:rsidP="00495C65">
      <w:pPr>
        <w:pStyle w:val="13"/>
      </w:pPr>
      <w:r>
        <w:t>f）至少选择三个可比较实例。</w:t>
      </w:r>
    </w:p>
    <w:p w14:paraId="3C579DA0" w14:textId="77777777" w:rsidR="00495C65" w:rsidRDefault="00495C65" w:rsidP="00495C65">
      <w:pPr>
        <w:pStyle w:val="13"/>
      </w:pPr>
      <w:r w:rsidRPr="005655E3">
        <w:t>5.2.3.2 交易实例搜集与调查内容</w:t>
      </w:r>
    </w:p>
    <w:p w14:paraId="0846D493" w14:textId="77777777" w:rsidR="00495C65" w:rsidRDefault="00495C65" w:rsidP="00495C65">
      <w:pPr>
        <w:pStyle w:val="13"/>
      </w:pPr>
      <w:r w:rsidRPr="005655E3">
        <w:t>交易实例收集与调查内容如下：</w:t>
      </w:r>
    </w:p>
    <w:p w14:paraId="2055CFE4" w14:textId="77777777" w:rsidR="00495C65" w:rsidRDefault="00495C65" w:rsidP="00495C65">
      <w:pPr>
        <w:pStyle w:val="13"/>
      </w:pPr>
      <w:r w:rsidRPr="005655E3">
        <w:t>a）交易双方的情况及交易目的；</w:t>
      </w:r>
    </w:p>
    <w:p w14:paraId="1715120E" w14:textId="77777777" w:rsidR="00495C65" w:rsidRDefault="00495C65" w:rsidP="00495C65">
      <w:pPr>
        <w:pStyle w:val="13"/>
      </w:pPr>
      <w:r w:rsidRPr="005655E3">
        <w:t>b）交易实例的状况，包括宗地本身的各种自然条件、社会经济条件和特殊条件等；</w:t>
      </w:r>
    </w:p>
    <w:p w14:paraId="1E626DB8" w14:textId="77777777" w:rsidR="00495C65" w:rsidRDefault="00495C65" w:rsidP="00495C65">
      <w:pPr>
        <w:pStyle w:val="13"/>
      </w:pPr>
      <w:r>
        <w:t>c）成交价格；</w:t>
      </w:r>
    </w:p>
    <w:p w14:paraId="4117DC06" w14:textId="77777777" w:rsidR="00495C65" w:rsidRDefault="00495C65" w:rsidP="00495C65">
      <w:pPr>
        <w:pStyle w:val="13"/>
      </w:pPr>
      <w:r>
        <w:t>d）付款方式；</w:t>
      </w:r>
    </w:p>
    <w:p w14:paraId="4B60A427" w14:textId="77777777" w:rsidR="00495C65" w:rsidRDefault="00495C65" w:rsidP="00495C65">
      <w:pPr>
        <w:pStyle w:val="13"/>
      </w:pPr>
      <w:r>
        <w:t>e）成交日期。</w:t>
      </w:r>
    </w:p>
    <w:p w14:paraId="55863B11" w14:textId="77777777" w:rsidR="00495C65" w:rsidRDefault="00495C65" w:rsidP="00495C65">
      <w:pPr>
        <w:pStyle w:val="13"/>
      </w:pPr>
      <w:r w:rsidRPr="00B579C7">
        <w:t>5.2.4 建立价格可比基础</w:t>
      </w:r>
    </w:p>
    <w:p w14:paraId="1994DF48" w14:textId="77777777" w:rsidR="00495C65" w:rsidRDefault="00495C65" w:rsidP="00495C65">
      <w:pPr>
        <w:pStyle w:val="13"/>
      </w:pPr>
      <w:r w:rsidRPr="00B579C7">
        <w:rPr>
          <w:rFonts w:hint="eastAsia"/>
        </w:rPr>
        <w:t>选取比较实例后，还需要对比较实例的成交价格进行换算处理，建立价格可比基础，统一表达方式和地价内涵，主要包括以下内容：</w:t>
      </w:r>
    </w:p>
    <w:p w14:paraId="7F469A67" w14:textId="77777777" w:rsidR="00495C65" w:rsidRDefault="00495C65" w:rsidP="00495C65">
      <w:pPr>
        <w:pStyle w:val="13"/>
      </w:pPr>
      <w:r>
        <w:t>a）统一地价内涵；</w:t>
      </w:r>
    </w:p>
    <w:p w14:paraId="529E6C09" w14:textId="77777777" w:rsidR="00495C65" w:rsidRDefault="00495C65" w:rsidP="00495C65">
      <w:pPr>
        <w:pStyle w:val="13"/>
      </w:pPr>
      <w:r>
        <w:t>b）统一付款方式，统一为在成交日期时一次总付清的付款方式；</w:t>
      </w:r>
    </w:p>
    <w:p w14:paraId="22A3709C" w14:textId="77777777" w:rsidR="00495C65" w:rsidRDefault="00495C65" w:rsidP="00495C65">
      <w:pPr>
        <w:pStyle w:val="13"/>
      </w:pPr>
      <w:r>
        <w:t>c）统一采用单位面积地价，并统一面积内涵和面积单位；</w:t>
      </w:r>
    </w:p>
    <w:p w14:paraId="7323D441" w14:textId="77777777" w:rsidR="00495C65" w:rsidRDefault="00495C65" w:rsidP="00495C65">
      <w:pPr>
        <w:pStyle w:val="13"/>
      </w:pPr>
      <w:r w:rsidRPr="00B579C7">
        <w:t>d）统一币种和货币单位。不同币种之间的换算，按中国人民银行公布的成交日期时的市场汇率中间价计算。</w:t>
      </w:r>
    </w:p>
    <w:p w14:paraId="4092BBAC" w14:textId="77777777" w:rsidR="00495C65" w:rsidRDefault="00495C65" w:rsidP="00495C65">
      <w:pPr>
        <w:pStyle w:val="13"/>
      </w:pPr>
      <w:r>
        <w:t xml:space="preserve">5.2.5 交易情况修正 </w:t>
      </w:r>
    </w:p>
    <w:p w14:paraId="58368B47" w14:textId="77777777" w:rsidR="00495C65" w:rsidRDefault="00495C65" w:rsidP="00495C65">
      <w:pPr>
        <w:pStyle w:val="13"/>
      </w:pPr>
      <w:r>
        <w:t>5.2.5.1 非正常交易情况的判断</w:t>
      </w:r>
    </w:p>
    <w:p w14:paraId="3F89FBCF" w14:textId="77777777" w:rsidR="00495C65" w:rsidRDefault="00495C65" w:rsidP="00495C65">
      <w:pPr>
        <w:pStyle w:val="13"/>
      </w:pPr>
      <w:r>
        <w:rPr>
          <w:rFonts w:hint="eastAsia"/>
        </w:rPr>
        <w:t>交易情况修正，是排除交易行为中的一些特殊因素所造成的比较实例的价格偏</w:t>
      </w:r>
      <w:r>
        <w:rPr>
          <w:rFonts w:hint="eastAsia"/>
        </w:rPr>
        <w:lastRenderedPageBreak/>
        <w:t>差，将其成交价格修正为正常交易情况下的价格。引起特殊交易行为因素一般有以下几种：</w:t>
      </w:r>
    </w:p>
    <w:p w14:paraId="2B8E05F3" w14:textId="77777777" w:rsidR="00495C65" w:rsidRDefault="00495C65" w:rsidP="00495C65">
      <w:pPr>
        <w:pStyle w:val="13"/>
      </w:pPr>
      <w:r>
        <w:t>a）有利害关系者之间的交易；</w:t>
      </w:r>
    </w:p>
    <w:p w14:paraId="0286F547" w14:textId="77777777" w:rsidR="00495C65" w:rsidRDefault="00495C65" w:rsidP="00495C65">
      <w:pPr>
        <w:pStyle w:val="13"/>
      </w:pPr>
      <w:r>
        <w:t>b）</w:t>
      </w:r>
      <w:proofErr w:type="gramStart"/>
      <w:r>
        <w:t>急买急卖</w:t>
      </w:r>
      <w:proofErr w:type="gramEnd"/>
      <w:r>
        <w:t>的交易；</w:t>
      </w:r>
    </w:p>
    <w:p w14:paraId="0E7C488A" w14:textId="77777777" w:rsidR="00495C65" w:rsidRDefault="00495C65" w:rsidP="00495C65">
      <w:pPr>
        <w:pStyle w:val="13"/>
      </w:pPr>
      <w:r>
        <w:t>c）受债权债务关系影响的交易；</w:t>
      </w:r>
    </w:p>
    <w:p w14:paraId="50F77BE6" w14:textId="77777777" w:rsidR="00495C65" w:rsidRDefault="00495C65" w:rsidP="00495C65">
      <w:pPr>
        <w:pStyle w:val="13"/>
      </w:pPr>
      <w:r>
        <w:t>d）交易双方或者一方有特别动机或者特别偏好的交易；</w:t>
      </w:r>
    </w:p>
    <w:p w14:paraId="41590603" w14:textId="77777777" w:rsidR="00495C65" w:rsidRDefault="00495C65" w:rsidP="00495C65">
      <w:pPr>
        <w:pStyle w:val="13"/>
      </w:pPr>
      <w:r>
        <w:t>e）相邻地块的合并交易；</w:t>
      </w:r>
    </w:p>
    <w:p w14:paraId="0F488AAB" w14:textId="77777777" w:rsidR="00495C65" w:rsidRDefault="00495C65" w:rsidP="00495C65">
      <w:pPr>
        <w:pStyle w:val="13"/>
      </w:pPr>
      <w:r>
        <w:t>f）特殊方式的交易；</w:t>
      </w:r>
    </w:p>
    <w:p w14:paraId="6CFC72F9" w14:textId="77777777" w:rsidR="00495C65" w:rsidRDefault="00495C65" w:rsidP="00495C65">
      <w:pPr>
        <w:pStyle w:val="13"/>
      </w:pPr>
      <w:r>
        <w:t>g）交易税费非正常负担的交易；</w:t>
      </w:r>
    </w:p>
    <w:p w14:paraId="2BD3A4C8" w14:textId="77777777" w:rsidR="00495C65" w:rsidRDefault="00495C65" w:rsidP="00495C65">
      <w:pPr>
        <w:pStyle w:val="13"/>
      </w:pPr>
      <w:r>
        <w:t>h）有纠纷的交易。</w:t>
      </w:r>
    </w:p>
    <w:p w14:paraId="71655CE7" w14:textId="77777777" w:rsidR="00495C65" w:rsidRDefault="00495C65" w:rsidP="00495C65">
      <w:pPr>
        <w:pStyle w:val="13"/>
      </w:pPr>
      <w:r w:rsidRPr="00862065">
        <w:t>5.2.5.2 交易情况修正</w:t>
      </w:r>
    </w:p>
    <w:p w14:paraId="58A9F85C" w14:textId="77777777" w:rsidR="00495C65" w:rsidRDefault="00495C65" w:rsidP="00495C65">
      <w:pPr>
        <w:pStyle w:val="13"/>
      </w:pPr>
      <w:r>
        <w:rPr>
          <w:rFonts w:hint="eastAsia"/>
        </w:rPr>
        <w:t>在选择交易实例时，如果交易实例存在上述特殊交易情况，则尽量避免选择，不得已必须采用时就需要进行交易情况修正。修正方法如下：</w:t>
      </w:r>
      <w:r>
        <w:t xml:space="preserve"> </w:t>
      </w:r>
    </w:p>
    <w:p w14:paraId="0BA9D7BD" w14:textId="77777777" w:rsidR="00495C65" w:rsidRDefault="00495C65" w:rsidP="00495C65">
      <w:pPr>
        <w:pStyle w:val="13"/>
      </w:pPr>
      <w:r>
        <w:t>a）交易情况分析</w:t>
      </w:r>
    </w:p>
    <w:p w14:paraId="0DC619DF" w14:textId="77777777" w:rsidR="00495C65" w:rsidRDefault="00495C65" w:rsidP="00495C65">
      <w:pPr>
        <w:pStyle w:val="13"/>
      </w:pPr>
      <w:r>
        <w:rPr>
          <w:rFonts w:hint="eastAsia"/>
        </w:rPr>
        <w:t>测定各种特殊因素对土地交易价格的影响程度，即分析在正常情况和这些特殊情况下，土地交易价格可能产生的偏差大小。测定方法可以利用已掌握的同类型土地交易资料分析计算，确定修正系数。也可以由估价人员根据长期的经验积累，判断确定修正系数。对交易税费非正常负担的修正，将成交价格调整为依照国家及当地有关规定，交易双方负担各自应负担的税费额确定修正系数。</w:t>
      </w:r>
    </w:p>
    <w:p w14:paraId="03DB39EF" w14:textId="77777777" w:rsidR="00495C65" w:rsidRDefault="00495C65" w:rsidP="00495C65">
      <w:pPr>
        <w:pStyle w:val="13"/>
      </w:pPr>
      <w:r>
        <w:t>b）计算情况修正系数</w:t>
      </w:r>
    </w:p>
    <w:p w14:paraId="0C4A48F7" w14:textId="77777777" w:rsidR="00495C65" w:rsidRDefault="00495C65" w:rsidP="00495C65">
      <w:pPr>
        <w:pStyle w:val="13"/>
      </w:pPr>
      <w:r>
        <w:rPr>
          <w:noProof/>
        </w:rPr>
        <w:drawing>
          <wp:anchor distT="0" distB="0" distL="114300" distR="114300" simplePos="0" relativeHeight="251669504" behindDoc="1" locked="0" layoutInCell="1" allowOverlap="1" wp14:anchorId="58AA6517" wp14:editId="1BF500A5">
            <wp:simplePos x="0" y="0"/>
            <wp:positionH relativeFrom="column">
              <wp:posOffset>2113939</wp:posOffset>
            </wp:positionH>
            <wp:positionV relativeFrom="paragraph">
              <wp:posOffset>208053</wp:posOffset>
            </wp:positionV>
            <wp:extent cx="1114425" cy="409575"/>
            <wp:effectExtent l="0" t="0" r="9525" b="9525"/>
            <wp:wrapNone/>
            <wp:docPr id="3270" name="图片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114425" cy="409575"/>
                    </a:xfrm>
                    <a:prstGeom prst="rect">
                      <a:avLst/>
                    </a:prstGeom>
                  </pic:spPr>
                </pic:pic>
              </a:graphicData>
            </a:graphic>
          </wp:anchor>
        </w:drawing>
      </w:r>
      <w:r>
        <w:t xml:space="preserve">计算公式见式（3）： </w:t>
      </w:r>
    </w:p>
    <w:p w14:paraId="18DDD59E" w14:textId="77777777" w:rsidR="00495C65" w:rsidRPr="003D71A9" w:rsidRDefault="00495C65" w:rsidP="00495C65">
      <w:pPr>
        <w:spacing w:line="312" w:lineRule="auto"/>
        <w:ind w:firstLineChars="200" w:firstLine="480"/>
        <w:rPr>
          <w:rFonts w:ascii="宋体" w:hAnsi="宋体"/>
          <w:noProof/>
          <w:sz w:val="24"/>
          <w:szCs w:val="24"/>
        </w:rPr>
      </w:pPr>
      <w:r w:rsidRPr="003D71A9">
        <w:rPr>
          <w:rFonts w:ascii="宋体" w:hAnsi="宋体"/>
          <w:noProof/>
          <w:sz w:val="24"/>
          <w:szCs w:val="24"/>
        </w:rPr>
        <w:t xml:space="preserve">                                                               （</w:t>
      </w:r>
      <w:r>
        <w:rPr>
          <w:rFonts w:ascii="宋体" w:hAnsi="宋体"/>
          <w:noProof/>
          <w:sz w:val="24"/>
          <w:szCs w:val="24"/>
        </w:rPr>
        <w:t>3）</w:t>
      </w:r>
    </w:p>
    <w:p w14:paraId="1158D67C" w14:textId="77777777" w:rsidR="00495C65" w:rsidRDefault="00495C65" w:rsidP="00495C65">
      <w:pPr>
        <w:pStyle w:val="13"/>
      </w:pPr>
      <w:r>
        <w:rPr>
          <w:rFonts w:hint="eastAsia"/>
        </w:rPr>
        <w:t>式中：</w:t>
      </w:r>
    </w:p>
    <w:p w14:paraId="1828FC7C" w14:textId="77777777" w:rsidR="00495C65" w:rsidRDefault="00495C65" w:rsidP="00495C65">
      <w:pPr>
        <w:pStyle w:val="13"/>
        <w:ind w:firstLineChars="500" w:firstLine="1200"/>
      </w:pPr>
      <w:r>
        <w:t>K</w:t>
      </w:r>
      <w:r w:rsidRPr="00EB0C6E">
        <w:rPr>
          <w:vertAlign w:val="subscript"/>
        </w:rPr>
        <w:t>c</w:t>
      </w:r>
      <w:r>
        <w:t>——情况修正系数</w:t>
      </w:r>
      <w:r>
        <w:rPr>
          <w:rFonts w:hint="eastAsia"/>
        </w:rPr>
        <w:t>；</w:t>
      </w:r>
    </w:p>
    <w:p w14:paraId="776AE5AE" w14:textId="77777777" w:rsidR="00495C65" w:rsidRDefault="00495C65" w:rsidP="00495C65">
      <w:pPr>
        <w:pStyle w:val="13"/>
        <w:ind w:firstLineChars="500" w:firstLine="1200"/>
      </w:pPr>
      <w:proofErr w:type="spellStart"/>
      <w:r>
        <w:t>I</w:t>
      </w:r>
      <w:r w:rsidRPr="00EB0C6E">
        <w:rPr>
          <w:vertAlign w:val="subscript"/>
        </w:rPr>
        <w:t>cp</w:t>
      </w:r>
      <w:proofErr w:type="spellEnd"/>
      <w:r>
        <w:t>——</w:t>
      </w:r>
      <w:proofErr w:type="gramStart"/>
      <w:r>
        <w:t>待估农用</w:t>
      </w:r>
      <w:proofErr w:type="gramEnd"/>
      <w:r>
        <w:t>地情况指数</w:t>
      </w:r>
      <w:r>
        <w:rPr>
          <w:rFonts w:hint="eastAsia"/>
        </w:rPr>
        <w:t>；</w:t>
      </w:r>
    </w:p>
    <w:p w14:paraId="5AFA2CBC" w14:textId="77777777" w:rsidR="00495C65" w:rsidRDefault="00495C65" w:rsidP="00495C65">
      <w:pPr>
        <w:pStyle w:val="13"/>
        <w:ind w:firstLineChars="500" w:firstLine="1200"/>
      </w:pPr>
      <w:proofErr w:type="spellStart"/>
      <w:r>
        <w:t>I</w:t>
      </w:r>
      <w:r w:rsidRPr="00EB0C6E">
        <w:rPr>
          <w:vertAlign w:val="subscript"/>
        </w:rPr>
        <w:t>cb</w:t>
      </w:r>
      <w:proofErr w:type="spellEnd"/>
      <w:r>
        <w:t>——交易实例农用地情况指数。</w:t>
      </w:r>
    </w:p>
    <w:p w14:paraId="4A93111F" w14:textId="77777777" w:rsidR="00495C65" w:rsidRDefault="00495C65" w:rsidP="00495C65">
      <w:pPr>
        <w:pStyle w:val="13"/>
      </w:pPr>
      <w:r>
        <w:t xml:space="preserve">5.2.6 期日修正 </w:t>
      </w:r>
    </w:p>
    <w:p w14:paraId="0704B086" w14:textId="77777777" w:rsidR="00495C65" w:rsidRDefault="00495C65" w:rsidP="00495C65">
      <w:pPr>
        <w:pStyle w:val="13"/>
      </w:pPr>
      <w:r>
        <w:rPr>
          <w:rFonts w:hint="eastAsia"/>
        </w:rPr>
        <w:t>将交易实例在其成交期日时的价格调整为估价期日的价格。具体可采用以下方法：</w:t>
      </w:r>
    </w:p>
    <w:p w14:paraId="59F4CB7C" w14:textId="77777777" w:rsidR="00495C65" w:rsidRDefault="00495C65" w:rsidP="00495C65">
      <w:pPr>
        <w:pStyle w:val="13"/>
      </w:pPr>
      <w:r>
        <w:rPr>
          <w:noProof/>
        </w:rPr>
        <w:drawing>
          <wp:anchor distT="0" distB="0" distL="114300" distR="114300" simplePos="0" relativeHeight="251670528" behindDoc="1" locked="0" layoutInCell="1" allowOverlap="1" wp14:anchorId="212672E4" wp14:editId="5B124A1A">
            <wp:simplePos x="0" y="0"/>
            <wp:positionH relativeFrom="column">
              <wp:posOffset>2390021</wp:posOffset>
            </wp:positionH>
            <wp:positionV relativeFrom="paragraph">
              <wp:posOffset>245422</wp:posOffset>
            </wp:positionV>
            <wp:extent cx="923925" cy="323850"/>
            <wp:effectExtent l="0" t="0" r="9525" b="0"/>
            <wp:wrapNone/>
            <wp:docPr id="3273" name="图片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923925" cy="323850"/>
                    </a:xfrm>
                    <a:prstGeom prst="rect">
                      <a:avLst/>
                    </a:prstGeom>
                  </pic:spPr>
                </pic:pic>
              </a:graphicData>
            </a:graphic>
          </wp:anchor>
        </w:drawing>
      </w:r>
      <w:r w:rsidRPr="00D166C6">
        <w:t>a）利用本地区农用地价格指数计算修正系数，计算公式见式（4）：</w:t>
      </w:r>
    </w:p>
    <w:p w14:paraId="1F2F46D7" w14:textId="77777777" w:rsidR="00495C65" w:rsidRPr="003D71A9" w:rsidRDefault="00495C65" w:rsidP="00495C65">
      <w:pPr>
        <w:spacing w:line="312" w:lineRule="auto"/>
        <w:ind w:firstLineChars="200" w:firstLine="480"/>
        <w:rPr>
          <w:rFonts w:ascii="宋体" w:hAnsi="宋体"/>
          <w:noProof/>
          <w:sz w:val="24"/>
          <w:szCs w:val="24"/>
        </w:rPr>
      </w:pPr>
      <w:bookmarkStart w:id="196" w:name="_Hlk80302523"/>
      <w:r w:rsidRPr="003D71A9">
        <w:rPr>
          <w:rFonts w:ascii="宋体" w:hAnsi="宋体"/>
          <w:noProof/>
          <w:sz w:val="24"/>
          <w:szCs w:val="24"/>
        </w:rPr>
        <w:t xml:space="preserve">                                                               （</w:t>
      </w:r>
      <w:r>
        <w:rPr>
          <w:rFonts w:ascii="宋体" w:hAnsi="宋体"/>
          <w:noProof/>
          <w:sz w:val="24"/>
          <w:szCs w:val="24"/>
        </w:rPr>
        <w:t>4）</w:t>
      </w:r>
    </w:p>
    <w:bookmarkEnd w:id="196"/>
    <w:p w14:paraId="73BD6411" w14:textId="77777777" w:rsidR="00495C65" w:rsidRDefault="00495C65" w:rsidP="00495C65">
      <w:pPr>
        <w:pStyle w:val="13"/>
      </w:pPr>
      <w:r w:rsidRPr="00DE19C5">
        <w:rPr>
          <w:rFonts w:hint="eastAsia"/>
        </w:rPr>
        <w:t>式中：</w:t>
      </w:r>
    </w:p>
    <w:p w14:paraId="43B4E8B2" w14:textId="77777777" w:rsidR="00495C65" w:rsidRDefault="00495C65" w:rsidP="00495C65">
      <w:pPr>
        <w:pStyle w:val="13"/>
        <w:ind w:firstLineChars="500" w:firstLine="1200"/>
      </w:pPr>
      <w:r>
        <w:t>K</w:t>
      </w:r>
      <w:r w:rsidRPr="00DE19C5">
        <w:rPr>
          <w:vertAlign w:val="subscript"/>
        </w:rPr>
        <w:t>t</w:t>
      </w:r>
      <w:r>
        <w:t>——期日修正系数</w:t>
      </w:r>
      <w:r>
        <w:rPr>
          <w:rFonts w:hint="eastAsia"/>
        </w:rPr>
        <w:t>；</w:t>
      </w:r>
    </w:p>
    <w:p w14:paraId="0E4FCCB5" w14:textId="77777777" w:rsidR="00495C65" w:rsidRDefault="00495C65" w:rsidP="00495C65">
      <w:pPr>
        <w:pStyle w:val="13"/>
        <w:ind w:firstLineChars="500" w:firstLine="1200"/>
      </w:pPr>
      <w:r>
        <w:t>I</w:t>
      </w:r>
      <w:r w:rsidRPr="00DE19C5">
        <w:rPr>
          <w:vertAlign w:val="subscript"/>
        </w:rPr>
        <w:t>p</w:t>
      </w:r>
      <w:r>
        <w:t>——估价期日的地价指数</w:t>
      </w:r>
      <w:r>
        <w:rPr>
          <w:rFonts w:hint="eastAsia"/>
        </w:rPr>
        <w:t>；</w:t>
      </w:r>
    </w:p>
    <w:p w14:paraId="266CFFA4" w14:textId="77777777" w:rsidR="00495C65" w:rsidRPr="00EB0C6E" w:rsidRDefault="00495C65" w:rsidP="00495C65">
      <w:pPr>
        <w:pStyle w:val="13"/>
        <w:ind w:firstLineChars="500" w:firstLine="1200"/>
      </w:pPr>
      <w:proofErr w:type="spellStart"/>
      <w:r>
        <w:lastRenderedPageBreak/>
        <w:t>I</w:t>
      </w:r>
      <w:r w:rsidRPr="00DE19C5">
        <w:rPr>
          <w:vertAlign w:val="subscript"/>
        </w:rPr>
        <w:t>b</w:t>
      </w:r>
      <w:proofErr w:type="spellEnd"/>
      <w:r>
        <w:t>——交易日期的地价指数。</w:t>
      </w:r>
    </w:p>
    <w:p w14:paraId="3E97FFC9" w14:textId="77777777" w:rsidR="00495C65" w:rsidRDefault="00495C65" w:rsidP="00495C65">
      <w:pPr>
        <w:pStyle w:val="13"/>
      </w:pPr>
      <w:r>
        <w:t>b）利用类似农用地价格变动率确定期日修正系数（K</w:t>
      </w:r>
      <w:r w:rsidRPr="00FE0826">
        <w:rPr>
          <w:vertAlign w:val="subscript"/>
        </w:rPr>
        <w:t>t</w:t>
      </w:r>
      <w:r>
        <w:t>）；</w:t>
      </w:r>
    </w:p>
    <w:p w14:paraId="683C8740" w14:textId="77777777" w:rsidR="00495C65" w:rsidRDefault="00495C65" w:rsidP="00495C65">
      <w:pPr>
        <w:pStyle w:val="13"/>
      </w:pPr>
      <w:r>
        <w:t>c）在无农用地价格指数或变动率的情况下，估价人员可以根据当地土地价格的变</w:t>
      </w:r>
      <w:r w:rsidRPr="00FE0826">
        <w:rPr>
          <w:rFonts w:hint="eastAsia"/>
        </w:rPr>
        <w:t>动情况和发展趋势及自己的经验进行判断，确定期日修正系数（</w:t>
      </w:r>
      <w:r w:rsidRPr="00FE0826">
        <w:t>K</w:t>
      </w:r>
      <w:r w:rsidRPr="00FE0826">
        <w:rPr>
          <w:vertAlign w:val="subscript"/>
        </w:rPr>
        <w:t>t</w:t>
      </w:r>
      <w:r w:rsidRPr="00FE0826">
        <w:t>）；</w:t>
      </w:r>
    </w:p>
    <w:p w14:paraId="751D9C28" w14:textId="77777777" w:rsidR="00495C65" w:rsidRDefault="00495C65" w:rsidP="00495C65">
      <w:pPr>
        <w:pStyle w:val="13"/>
      </w:pPr>
      <w:r w:rsidRPr="00FE0826">
        <w:t>d）通过分析土地价格随时间推移的变动规律，采用时间序列分析，建立土地价格与时间的相互关系模型求取期日修正系数（K</w:t>
      </w:r>
      <w:r w:rsidRPr="00FE0826">
        <w:rPr>
          <w:vertAlign w:val="subscript"/>
        </w:rPr>
        <w:t>t</w:t>
      </w:r>
      <w:r w:rsidRPr="00FE0826">
        <w:t>）。</w:t>
      </w:r>
    </w:p>
    <w:p w14:paraId="0BFC98AE" w14:textId="77777777" w:rsidR="00495C65" w:rsidRDefault="00495C65" w:rsidP="00495C65">
      <w:pPr>
        <w:pStyle w:val="13"/>
      </w:pPr>
      <w:r>
        <w:t xml:space="preserve">5.2.7 影响因素修正 </w:t>
      </w:r>
    </w:p>
    <w:p w14:paraId="7479FF49" w14:textId="77777777" w:rsidR="00495C65" w:rsidRDefault="00495C65" w:rsidP="00495C65">
      <w:pPr>
        <w:pStyle w:val="13"/>
      </w:pPr>
      <w:r>
        <w:t xml:space="preserve">5.2.7.1 确定修正因素 </w:t>
      </w:r>
    </w:p>
    <w:p w14:paraId="07437694" w14:textId="77777777" w:rsidR="00495C65" w:rsidRDefault="00495C65" w:rsidP="00495C65">
      <w:pPr>
        <w:pStyle w:val="13"/>
      </w:pPr>
      <w:r>
        <w:rPr>
          <w:rFonts w:hint="eastAsia"/>
        </w:rPr>
        <w:t>根据农用地价格的影响因素体系和估价对象与比较实例之间的特殊条件，确定影响</w:t>
      </w:r>
      <w:r w:rsidRPr="00FE0826">
        <w:rPr>
          <w:rFonts w:hint="eastAsia"/>
        </w:rPr>
        <w:t>因素修正体系，并分别描述估价对象与</w:t>
      </w:r>
      <w:proofErr w:type="gramStart"/>
      <w:r w:rsidRPr="00FE0826">
        <w:rPr>
          <w:rFonts w:hint="eastAsia"/>
        </w:rPr>
        <w:t>各比较</w:t>
      </w:r>
      <w:proofErr w:type="gramEnd"/>
      <w:r w:rsidRPr="00FE0826">
        <w:rPr>
          <w:rFonts w:hint="eastAsia"/>
        </w:rPr>
        <w:t>实例的各种影响因素状况，确定修正指数，计算修正系数。</w:t>
      </w:r>
    </w:p>
    <w:p w14:paraId="4228C456" w14:textId="77777777" w:rsidR="00495C65" w:rsidRDefault="00495C65" w:rsidP="00495C65">
      <w:pPr>
        <w:pStyle w:val="13"/>
      </w:pPr>
      <w:r w:rsidRPr="00FE0826">
        <w:rPr>
          <w:rFonts w:hint="eastAsia"/>
        </w:rPr>
        <w:t>影响因素根据</w:t>
      </w:r>
      <w:r w:rsidRPr="00FE0826">
        <w:t>4.2中“农用地价格影响因素”和估价对象与比较实例的具体条件确</w:t>
      </w:r>
      <w:r w:rsidRPr="00FE0826">
        <w:rPr>
          <w:rFonts w:hint="eastAsia"/>
        </w:rPr>
        <w:t>定。</w:t>
      </w:r>
    </w:p>
    <w:p w14:paraId="3100F667" w14:textId="77777777" w:rsidR="00495C65" w:rsidRDefault="00495C65" w:rsidP="00495C65">
      <w:pPr>
        <w:pStyle w:val="13"/>
      </w:pPr>
      <w:r w:rsidRPr="00FE0826">
        <w:rPr>
          <w:rFonts w:hint="eastAsia"/>
        </w:rPr>
        <w:t>影响因素状况描述需要具体、明确，并尽量采用量化指标，避免采用“好”、“较好”、“一般”等形容词。</w:t>
      </w:r>
    </w:p>
    <w:p w14:paraId="0CF99B1F" w14:textId="77777777" w:rsidR="00495C65" w:rsidRDefault="00495C65" w:rsidP="00495C65">
      <w:pPr>
        <w:pStyle w:val="13"/>
      </w:pPr>
      <w:r>
        <w:t xml:space="preserve">5.2.7.2 自然因素修正系数 </w:t>
      </w:r>
    </w:p>
    <w:p w14:paraId="5EC0B599" w14:textId="77777777" w:rsidR="00495C65" w:rsidRDefault="00495C65" w:rsidP="00495C65">
      <w:pPr>
        <w:pStyle w:val="13"/>
      </w:pPr>
      <w:r>
        <w:rPr>
          <w:noProof/>
        </w:rPr>
        <w:drawing>
          <wp:anchor distT="0" distB="0" distL="114300" distR="114300" simplePos="0" relativeHeight="251671552" behindDoc="1" locked="0" layoutInCell="1" allowOverlap="1" wp14:anchorId="67B1A6E7" wp14:editId="255CD57E">
            <wp:simplePos x="0" y="0"/>
            <wp:positionH relativeFrom="column">
              <wp:posOffset>2148648</wp:posOffset>
            </wp:positionH>
            <wp:positionV relativeFrom="paragraph">
              <wp:posOffset>185516</wp:posOffset>
            </wp:positionV>
            <wp:extent cx="1233577" cy="495109"/>
            <wp:effectExtent l="0" t="0" r="5080" b="635"/>
            <wp:wrapNone/>
            <wp:docPr id="3274" name="图片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233577" cy="495109"/>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自然因素修正系数计算公式见式（</w:t>
      </w:r>
      <w:r>
        <w:t>5）：</w:t>
      </w:r>
    </w:p>
    <w:p w14:paraId="22039769" w14:textId="77777777" w:rsidR="00495C65" w:rsidRPr="003D71A9" w:rsidRDefault="00495C65" w:rsidP="00495C65">
      <w:pPr>
        <w:spacing w:line="312" w:lineRule="auto"/>
        <w:ind w:firstLineChars="200" w:firstLine="480"/>
        <w:rPr>
          <w:rFonts w:ascii="宋体" w:hAnsi="宋体"/>
          <w:noProof/>
          <w:sz w:val="24"/>
          <w:szCs w:val="24"/>
        </w:rPr>
      </w:pPr>
      <w:r w:rsidRPr="003D71A9">
        <w:rPr>
          <w:rFonts w:ascii="宋体" w:hAnsi="宋体"/>
          <w:noProof/>
          <w:sz w:val="24"/>
          <w:szCs w:val="24"/>
        </w:rPr>
        <w:t xml:space="preserve">                                                               （</w:t>
      </w:r>
      <w:r>
        <w:rPr>
          <w:rFonts w:ascii="宋体" w:hAnsi="宋体"/>
          <w:noProof/>
          <w:sz w:val="24"/>
          <w:szCs w:val="24"/>
        </w:rPr>
        <w:t>5）</w:t>
      </w:r>
    </w:p>
    <w:p w14:paraId="7ED44F0A" w14:textId="77777777" w:rsidR="00495C65" w:rsidRDefault="00495C65" w:rsidP="00495C65">
      <w:pPr>
        <w:pStyle w:val="13"/>
      </w:pPr>
      <w:r w:rsidRPr="00EB7423">
        <w:rPr>
          <w:rFonts w:hint="eastAsia"/>
        </w:rPr>
        <w:t>式中：</w:t>
      </w:r>
    </w:p>
    <w:p w14:paraId="31E91FCE" w14:textId="77777777" w:rsidR="00495C65" w:rsidRDefault="00495C65" w:rsidP="00495C65">
      <w:pPr>
        <w:pStyle w:val="13"/>
        <w:ind w:firstLineChars="500" w:firstLine="1200"/>
      </w:pPr>
      <w:proofErr w:type="spellStart"/>
      <w:r w:rsidRPr="00EB7423">
        <w:t>K</w:t>
      </w:r>
      <w:r w:rsidRPr="00EB7423">
        <w:rPr>
          <w:vertAlign w:val="subscript"/>
        </w:rPr>
        <w:t>n</w:t>
      </w:r>
      <w:proofErr w:type="spellEnd"/>
      <w:r w:rsidRPr="00EB7423">
        <w:t>——自然因素的修正系数；</w:t>
      </w:r>
    </w:p>
    <w:p w14:paraId="5775EE56" w14:textId="77777777" w:rsidR="00495C65" w:rsidRDefault="00495C65" w:rsidP="00495C65">
      <w:pPr>
        <w:pStyle w:val="13"/>
        <w:ind w:firstLineChars="500" w:firstLine="1200"/>
      </w:pPr>
      <w:proofErr w:type="spellStart"/>
      <w:r w:rsidRPr="00EB7423">
        <w:t>I</w:t>
      </w:r>
      <w:r w:rsidRPr="00EB7423">
        <w:rPr>
          <w:vertAlign w:val="subscript"/>
        </w:rPr>
        <w:t>oi</w:t>
      </w:r>
      <w:proofErr w:type="spellEnd"/>
      <w:r w:rsidRPr="00EB7423">
        <w:t>——</w:t>
      </w:r>
      <w:proofErr w:type="gramStart"/>
      <w:r w:rsidRPr="00EB7423">
        <w:t>待估农用</w:t>
      </w:r>
      <w:proofErr w:type="gramEnd"/>
      <w:r w:rsidRPr="00EB7423">
        <w:t>地</w:t>
      </w:r>
      <w:proofErr w:type="spellStart"/>
      <w:r w:rsidRPr="00EB7423">
        <w:t>i</w:t>
      </w:r>
      <w:proofErr w:type="spellEnd"/>
      <w:r w:rsidRPr="00EB7423">
        <w:t>因素的指数；</w:t>
      </w:r>
    </w:p>
    <w:p w14:paraId="6245448A" w14:textId="77777777" w:rsidR="00495C65" w:rsidRDefault="00495C65" w:rsidP="00495C65">
      <w:pPr>
        <w:pStyle w:val="13"/>
        <w:ind w:firstLineChars="500" w:firstLine="1200"/>
      </w:pPr>
      <w:proofErr w:type="spellStart"/>
      <w:r w:rsidRPr="00EB7423">
        <w:t>I</w:t>
      </w:r>
      <w:r w:rsidRPr="00EB7423">
        <w:rPr>
          <w:vertAlign w:val="subscript"/>
        </w:rPr>
        <w:t>bi</w:t>
      </w:r>
      <w:proofErr w:type="spellEnd"/>
      <w:r w:rsidRPr="00EB7423">
        <w:t>——交易实例</w:t>
      </w:r>
      <w:proofErr w:type="spellStart"/>
      <w:r w:rsidRPr="00EB7423">
        <w:t>i</w:t>
      </w:r>
      <w:proofErr w:type="spellEnd"/>
      <w:r w:rsidRPr="00EB7423">
        <w:t>因素的指数；</w:t>
      </w:r>
    </w:p>
    <w:p w14:paraId="1663402C" w14:textId="77777777" w:rsidR="00495C65" w:rsidRDefault="00495C65" w:rsidP="00495C65">
      <w:pPr>
        <w:pStyle w:val="13"/>
        <w:ind w:firstLineChars="500" w:firstLine="1200"/>
      </w:pPr>
      <w:r>
        <w:t xml:space="preserve">n——影响因素个数。 </w:t>
      </w:r>
    </w:p>
    <w:p w14:paraId="78A189E2" w14:textId="77777777" w:rsidR="00495C65" w:rsidRDefault="00495C65" w:rsidP="00495C65">
      <w:pPr>
        <w:pStyle w:val="13"/>
      </w:pPr>
      <w:r>
        <w:t xml:space="preserve">5.2.7.3 社会经济因素修正系数 </w:t>
      </w:r>
    </w:p>
    <w:p w14:paraId="6833A241" w14:textId="77777777" w:rsidR="00495C65" w:rsidRDefault="00495C65" w:rsidP="00495C65">
      <w:pPr>
        <w:pStyle w:val="13"/>
      </w:pPr>
      <w:r>
        <w:rPr>
          <w:noProof/>
        </w:rPr>
        <w:drawing>
          <wp:anchor distT="0" distB="0" distL="114300" distR="114300" simplePos="0" relativeHeight="251672576" behindDoc="1" locked="0" layoutInCell="1" allowOverlap="1" wp14:anchorId="757719FD" wp14:editId="752CE93B">
            <wp:simplePos x="0" y="0"/>
            <wp:positionH relativeFrom="column">
              <wp:posOffset>1948940</wp:posOffset>
            </wp:positionH>
            <wp:positionV relativeFrom="paragraph">
              <wp:posOffset>169952</wp:posOffset>
            </wp:positionV>
            <wp:extent cx="1432819" cy="474453"/>
            <wp:effectExtent l="0" t="0" r="0" b="1905"/>
            <wp:wrapNone/>
            <wp:docPr id="3275" name="图片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432819" cy="474453"/>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社会经济因素修正系数计算公式见式（</w:t>
      </w:r>
      <w:r>
        <w:t>6）：</w:t>
      </w:r>
    </w:p>
    <w:p w14:paraId="1FE47AE5" w14:textId="77777777" w:rsidR="00495C65" w:rsidRPr="003D71A9" w:rsidRDefault="00495C65" w:rsidP="00495C65">
      <w:pPr>
        <w:spacing w:line="312" w:lineRule="auto"/>
        <w:ind w:firstLineChars="200" w:firstLine="480"/>
        <w:rPr>
          <w:rFonts w:ascii="宋体" w:hAnsi="宋体"/>
          <w:noProof/>
          <w:sz w:val="24"/>
          <w:szCs w:val="24"/>
        </w:rPr>
      </w:pPr>
      <w:r w:rsidRPr="003D71A9">
        <w:rPr>
          <w:rFonts w:ascii="宋体" w:hAnsi="宋体"/>
          <w:noProof/>
          <w:sz w:val="24"/>
          <w:szCs w:val="24"/>
        </w:rPr>
        <w:t xml:space="preserve">                                                               （</w:t>
      </w:r>
      <w:r>
        <w:rPr>
          <w:rFonts w:ascii="宋体" w:hAnsi="宋体"/>
          <w:noProof/>
          <w:sz w:val="24"/>
          <w:szCs w:val="24"/>
        </w:rPr>
        <w:t>6）</w:t>
      </w:r>
    </w:p>
    <w:p w14:paraId="1B4B7085" w14:textId="77777777" w:rsidR="00495C65" w:rsidRDefault="00495C65" w:rsidP="00495C65">
      <w:pPr>
        <w:pStyle w:val="13"/>
      </w:pPr>
      <w:r>
        <w:rPr>
          <w:rFonts w:hint="eastAsia"/>
        </w:rPr>
        <w:t>式中：</w:t>
      </w:r>
      <w:r>
        <w:t xml:space="preserve"> </w:t>
      </w:r>
    </w:p>
    <w:p w14:paraId="3828632D" w14:textId="77777777" w:rsidR="00495C65" w:rsidRDefault="00495C65" w:rsidP="00495C65">
      <w:pPr>
        <w:pStyle w:val="13"/>
        <w:ind w:firstLineChars="500" w:firstLine="1200"/>
      </w:pPr>
      <w:proofErr w:type="spellStart"/>
      <w:r>
        <w:t>Ke</w:t>
      </w:r>
      <w:proofErr w:type="spellEnd"/>
      <w:r>
        <w:t>——社会经济因素的修正系数；</w:t>
      </w:r>
    </w:p>
    <w:p w14:paraId="00718C6B" w14:textId="77777777" w:rsidR="00495C65" w:rsidRDefault="00495C65" w:rsidP="00495C65">
      <w:pPr>
        <w:pStyle w:val="13"/>
        <w:ind w:firstLineChars="500" w:firstLine="1200"/>
      </w:pPr>
      <w:proofErr w:type="spellStart"/>
      <w:r>
        <w:t>I</w:t>
      </w:r>
      <w:r w:rsidRPr="00DF1510">
        <w:rPr>
          <w:vertAlign w:val="subscript"/>
        </w:rPr>
        <w:t>oi</w:t>
      </w:r>
      <w:proofErr w:type="spellEnd"/>
      <w:r>
        <w:t>、</w:t>
      </w:r>
      <w:proofErr w:type="spellStart"/>
      <w:r>
        <w:t>I</w:t>
      </w:r>
      <w:r w:rsidRPr="00DF1510">
        <w:rPr>
          <w:vertAlign w:val="subscript"/>
        </w:rPr>
        <w:t>bi</w:t>
      </w:r>
      <w:proofErr w:type="spellEnd"/>
      <w:r>
        <w:t xml:space="preserve">、n同式（5）。 </w:t>
      </w:r>
    </w:p>
    <w:p w14:paraId="1F249AE6" w14:textId="77777777" w:rsidR="00495C65" w:rsidRDefault="00495C65" w:rsidP="00495C65">
      <w:pPr>
        <w:pStyle w:val="13"/>
      </w:pPr>
      <w:r>
        <w:t xml:space="preserve">5.2.7.4 特殊因素修正系数 </w:t>
      </w:r>
    </w:p>
    <w:p w14:paraId="5A571B9B" w14:textId="77777777" w:rsidR="00495C65" w:rsidRDefault="00495C65" w:rsidP="00495C65">
      <w:pPr>
        <w:pStyle w:val="13"/>
      </w:pPr>
      <w:r>
        <w:rPr>
          <w:noProof/>
        </w:rPr>
        <w:drawing>
          <wp:anchor distT="0" distB="0" distL="114300" distR="114300" simplePos="0" relativeHeight="251673600" behindDoc="1" locked="0" layoutInCell="1" allowOverlap="1" wp14:anchorId="56FC730B" wp14:editId="2DD65B84">
            <wp:simplePos x="0" y="0"/>
            <wp:positionH relativeFrom="column">
              <wp:posOffset>2097082</wp:posOffset>
            </wp:positionH>
            <wp:positionV relativeFrom="paragraph">
              <wp:posOffset>228684</wp:posOffset>
            </wp:positionV>
            <wp:extent cx="1188720" cy="396240"/>
            <wp:effectExtent l="0" t="0" r="0" b="3810"/>
            <wp:wrapNone/>
            <wp:docPr id="3276" name="图片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188720" cy="39624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特殊因素修正系数计算公式见式（</w:t>
      </w:r>
      <w:r>
        <w:t>7）：</w:t>
      </w:r>
    </w:p>
    <w:p w14:paraId="5ACAFB89" w14:textId="77777777" w:rsidR="00495C65" w:rsidRPr="003D71A9" w:rsidRDefault="00495C65" w:rsidP="00495C65">
      <w:pPr>
        <w:spacing w:line="312" w:lineRule="auto"/>
        <w:ind w:firstLineChars="200" w:firstLine="480"/>
        <w:rPr>
          <w:rFonts w:ascii="宋体" w:hAnsi="宋体"/>
          <w:noProof/>
          <w:sz w:val="24"/>
          <w:szCs w:val="24"/>
        </w:rPr>
      </w:pPr>
      <w:r w:rsidRPr="003D71A9">
        <w:rPr>
          <w:rFonts w:ascii="宋体" w:hAnsi="宋体"/>
          <w:noProof/>
          <w:sz w:val="24"/>
          <w:szCs w:val="24"/>
        </w:rPr>
        <w:t xml:space="preserve">                                                               （</w:t>
      </w:r>
      <w:r>
        <w:rPr>
          <w:rFonts w:ascii="宋体" w:hAnsi="宋体"/>
          <w:noProof/>
          <w:sz w:val="24"/>
          <w:szCs w:val="24"/>
        </w:rPr>
        <w:t>7）</w:t>
      </w:r>
    </w:p>
    <w:p w14:paraId="3820A06B" w14:textId="77777777" w:rsidR="00495C65" w:rsidRDefault="00495C65" w:rsidP="00495C65">
      <w:pPr>
        <w:pStyle w:val="13"/>
      </w:pPr>
      <w:r w:rsidRPr="00DF1510">
        <w:rPr>
          <w:rFonts w:hint="eastAsia"/>
        </w:rPr>
        <w:t>式中：</w:t>
      </w:r>
    </w:p>
    <w:p w14:paraId="56B7070E" w14:textId="77777777" w:rsidR="00495C65" w:rsidRDefault="00495C65" w:rsidP="00495C65">
      <w:pPr>
        <w:pStyle w:val="13"/>
        <w:ind w:firstLineChars="500" w:firstLine="1200"/>
      </w:pPr>
      <w:r w:rsidRPr="00DF1510">
        <w:t>Ks——特殊因素的修正系数；</w:t>
      </w:r>
    </w:p>
    <w:p w14:paraId="46968A4A" w14:textId="77777777" w:rsidR="00495C65" w:rsidRDefault="00495C65" w:rsidP="00495C65">
      <w:pPr>
        <w:pStyle w:val="13"/>
        <w:ind w:firstLineChars="500" w:firstLine="1200"/>
      </w:pPr>
      <w:proofErr w:type="spellStart"/>
      <w:r w:rsidRPr="00DF1510">
        <w:lastRenderedPageBreak/>
        <w:t>I</w:t>
      </w:r>
      <w:r w:rsidRPr="00DF1510">
        <w:rPr>
          <w:vertAlign w:val="subscript"/>
        </w:rPr>
        <w:t>oi</w:t>
      </w:r>
      <w:proofErr w:type="spellEnd"/>
      <w:r w:rsidRPr="00DF1510">
        <w:t>、</w:t>
      </w:r>
      <w:proofErr w:type="spellStart"/>
      <w:r w:rsidRPr="00DF1510">
        <w:t>I</w:t>
      </w:r>
      <w:r w:rsidRPr="00DF1510">
        <w:rPr>
          <w:vertAlign w:val="subscript"/>
        </w:rPr>
        <w:t>bi</w:t>
      </w:r>
      <w:proofErr w:type="spellEnd"/>
      <w:r w:rsidRPr="00DF1510">
        <w:t>、n同式（5）。</w:t>
      </w:r>
    </w:p>
    <w:p w14:paraId="1844096F" w14:textId="77777777" w:rsidR="00495C65" w:rsidRDefault="00495C65" w:rsidP="00495C65">
      <w:pPr>
        <w:pStyle w:val="13"/>
      </w:pPr>
      <w:r w:rsidRPr="00895EBA">
        <w:t>5.2.8 土地使用年期修正</w:t>
      </w:r>
    </w:p>
    <w:p w14:paraId="052AA4EB" w14:textId="77777777" w:rsidR="00495C65" w:rsidRDefault="00495C65" w:rsidP="00495C65">
      <w:pPr>
        <w:pStyle w:val="13"/>
      </w:pPr>
      <w:r w:rsidRPr="00895EBA">
        <w:rPr>
          <w:rFonts w:hint="eastAsia"/>
        </w:rPr>
        <w:t>土地使用年期修正是将</w:t>
      </w:r>
      <w:proofErr w:type="gramStart"/>
      <w:r w:rsidRPr="00895EBA">
        <w:rPr>
          <w:rFonts w:hint="eastAsia"/>
        </w:rPr>
        <w:t>各比较</w:t>
      </w:r>
      <w:proofErr w:type="gramEnd"/>
      <w:r w:rsidRPr="00895EBA">
        <w:rPr>
          <w:rFonts w:hint="eastAsia"/>
        </w:rPr>
        <w:t>实例的不同使用年期修正</w:t>
      </w:r>
      <w:proofErr w:type="gramStart"/>
      <w:r w:rsidRPr="00895EBA">
        <w:rPr>
          <w:rFonts w:hint="eastAsia"/>
        </w:rPr>
        <w:t>到待估宗地</w:t>
      </w:r>
      <w:proofErr w:type="gramEnd"/>
      <w:r w:rsidRPr="00895EBA">
        <w:rPr>
          <w:rFonts w:hint="eastAsia"/>
        </w:rPr>
        <w:t>的使用年期，以消除因土地使用年期不同而对价格带来的影响。年期修正系数按式（</w:t>
      </w:r>
      <w:r w:rsidRPr="00895EBA">
        <w:t>8）计算：</w:t>
      </w:r>
    </w:p>
    <w:p w14:paraId="50058AAF" w14:textId="77777777" w:rsidR="00495C65" w:rsidRDefault="00495C65" w:rsidP="00495C65">
      <w:pPr>
        <w:pStyle w:val="13"/>
        <w:ind w:firstLineChars="1200" w:firstLine="2880"/>
      </w:pPr>
      <w:r w:rsidRPr="00895EBA">
        <w:t>K</w:t>
      </w:r>
      <w:r w:rsidRPr="001459A7">
        <w:rPr>
          <w:vertAlign w:val="subscript"/>
        </w:rPr>
        <w:t>y</w:t>
      </w:r>
      <w:r w:rsidRPr="00895EBA">
        <w:t>=[1-1/(1+r)</w:t>
      </w:r>
      <w:r w:rsidRPr="00B02AFD">
        <w:rPr>
          <w:vertAlign w:val="superscript"/>
        </w:rPr>
        <w:t>m</w:t>
      </w:r>
      <w:r w:rsidRPr="00895EBA">
        <w:t>]/[1-1/(1+r)</w:t>
      </w:r>
      <w:r w:rsidRPr="00B02AFD">
        <w:rPr>
          <w:vertAlign w:val="superscript"/>
        </w:rPr>
        <w:t>n</w:t>
      </w:r>
      <w:r w:rsidRPr="00895EBA">
        <w:t>]</w:t>
      </w:r>
      <w:r>
        <w:t xml:space="preserve">                </w:t>
      </w:r>
      <w:r>
        <w:rPr>
          <w:rFonts w:hint="eastAsia"/>
        </w:rPr>
        <w:t>（8）</w:t>
      </w:r>
    </w:p>
    <w:p w14:paraId="7FA64811" w14:textId="77777777" w:rsidR="00495C65" w:rsidRPr="001459A7" w:rsidRDefault="00495C65" w:rsidP="00495C65">
      <w:pPr>
        <w:pStyle w:val="13"/>
      </w:pPr>
      <w:r w:rsidRPr="001459A7">
        <w:rPr>
          <w:rFonts w:hint="eastAsia"/>
        </w:rPr>
        <w:t>式中：</w:t>
      </w:r>
    </w:p>
    <w:p w14:paraId="2927B4FB" w14:textId="77777777" w:rsidR="00495C65" w:rsidRDefault="00495C65" w:rsidP="00495C65">
      <w:pPr>
        <w:pStyle w:val="13"/>
        <w:ind w:firstLineChars="500" w:firstLine="1200"/>
      </w:pPr>
      <w:r>
        <w:t>K</w:t>
      </w:r>
      <w:r w:rsidRPr="001459A7">
        <w:rPr>
          <w:vertAlign w:val="subscript"/>
        </w:rPr>
        <w:t>y</w:t>
      </w:r>
      <w:r>
        <w:t>——将比较实例年期修正</w:t>
      </w:r>
      <w:proofErr w:type="gramStart"/>
      <w:r>
        <w:t>到待估农用</w:t>
      </w:r>
      <w:proofErr w:type="gramEnd"/>
      <w:r>
        <w:t>地使用年期的年期修正系数；</w:t>
      </w:r>
    </w:p>
    <w:p w14:paraId="7356BDF3" w14:textId="5F4F5D0D" w:rsidR="00495C65" w:rsidRDefault="00495C65" w:rsidP="00495C65">
      <w:pPr>
        <w:pStyle w:val="13"/>
        <w:ind w:firstLineChars="500" w:firstLine="1200"/>
      </w:pPr>
      <w:r>
        <w:t>r——土地还原率</w:t>
      </w:r>
      <w:r w:rsidR="003068F8">
        <w:t>；</w:t>
      </w:r>
    </w:p>
    <w:p w14:paraId="61C1F907" w14:textId="7214035C" w:rsidR="00495C65" w:rsidRDefault="00495C65" w:rsidP="00495C65">
      <w:pPr>
        <w:pStyle w:val="13"/>
        <w:ind w:firstLineChars="500" w:firstLine="1200"/>
      </w:pPr>
      <w:r>
        <w:t>m——</w:t>
      </w:r>
      <w:proofErr w:type="gramStart"/>
      <w:r>
        <w:t>待估农用</w:t>
      </w:r>
      <w:proofErr w:type="gramEnd"/>
      <w:r>
        <w:t>地的使用年期</w:t>
      </w:r>
      <w:r w:rsidR="003068F8">
        <w:t>；</w:t>
      </w:r>
    </w:p>
    <w:p w14:paraId="697B7528" w14:textId="77777777" w:rsidR="00495C65" w:rsidRDefault="00495C65" w:rsidP="00495C65">
      <w:pPr>
        <w:pStyle w:val="13"/>
        <w:ind w:firstLineChars="500" w:firstLine="1200"/>
      </w:pPr>
      <w:r>
        <w:t>n——比较实例的使用年期。</w:t>
      </w:r>
    </w:p>
    <w:p w14:paraId="404A63C9" w14:textId="77777777" w:rsidR="00495C65" w:rsidRDefault="00495C65" w:rsidP="00495C65">
      <w:pPr>
        <w:pStyle w:val="13"/>
      </w:pPr>
      <w:r>
        <w:t xml:space="preserve">5.2.9 </w:t>
      </w:r>
      <w:proofErr w:type="gramStart"/>
      <w:r>
        <w:t>确定待估农用</w:t>
      </w:r>
      <w:proofErr w:type="gramEnd"/>
      <w:r>
        <w:t xml:space="preserve">地价格 </w:t>
      </w:r>
    </w:p>
    <w:p w14:paraId="00E2F136" w14:textId="77777777" w:rsidR="00495C65" w:rsidRDefault="00495C65" w:rsidP="00495C65">
      <w:pPr>
        <w:pStyle w:val="13"/>
      </w:pPr>
      <w:r>
        <w:rPr>
          <w:rFonts w:hint="eastAsia"/>
        </w:rPr>
        <w:t>比准价格的技术公式见式（</w:t>
      </w:r>
      <w:r>
        <w:t>9）：</w:t>
      </w:r>
    </w:p>
    <w:p w14:paraId="1D4C5A45" w14:textId="77777777" w:rsidR="00495C65" w:rsidRDefault="00495C65" w:rsidP="00495C65">
      <w:pPr>
        <w:pStyle w:val="13"/>
        <w:ind w:firstLineChars="1200" w:firstLine="2880"/>
      </w:pPr>
      <w:r w:rsidRPr="008C22F8">
        <w:t>P=</w:t>
      </w:r>
      <w:proofErr w:type="spellStart"/>
      <w:r w:rsidRPr="008C22F8">
        <w:t>P</w:t>
      </w:r>
      <w:r w:rsidRPr="00382109">
        <w:rPr>
          <w:vertAlign w:val="subscript"/>
        </w:rPr>
        <w:t>b</w:t>
      </w:r>
      <w:r w:rsidRPr="008C22F8">
        <w:t>×K</w:t>
      </w:r>
      <w:r w:rsidRPr="00382109">
        <w:rPr>
          <w:vertAlign w:val="subscript"/>
        </w:rPr>
        <w:t>c</w:t>
      </w:r>
      <w:r w:rsidRPr="008C22F8">
        <w:t>×K</w:t>
      </w:r>
      <w:r w:rsidRPr="00382109">
        <w:rPr>
          <w:vertAlign w:val="subscript"/>
        </w:rPr>
        <w:t>t</w:t>
      </w:r>
      <w:r w:rsidRPr="008C22F8">
        <w:t>×K</w:t>
      </w:r>
      <w:r w:rsidRPr="00382109">
        <w:rPr>
          <w:vertAlign w:val="subscript"/>
        </w:rPr>
        <w:t>n</w:t>
      </w:r>
      <w:r w:rsidRPr="008C22F8">
        <w:t>×K</w:t>
      </w:r>
      <w:r w:rsidRPr="00382109">
        <w:rPr>
          <w:vertAlign w:val="subscript"/>
        </w:rPr>
        <w:t>e</w:t>
      </w:r>
      <w:r w:rsidRPr="008C22F8">
        <w:t>×K</w:t>
      </w:r>
      <w:r w:rsidRPr="00382109">
        <w:rPr>
          <w:vertAlign w:val="subscript"/>
        </w:rPr>
        <w:t>s</w:t>
      </w:r>
      <w:r w:rsidRPr="008C22F8">
        <w:t>×K</w:t>
      </w:r>
      <w:r w:rsidRPr="00382109">
        <w:rPr>
          <w:vertAlign w:val="subscript"/>
        </w:rPr>
        <w:t>y</w:t>
      </w:r>
      <w:proofErr w:type="spellEnd"/>
      <w:r>
        <w:t xml:space="preserve"> </w:t>
      </w:r>
      <w:r w:rsidRPr="008C22F8">
        <w:t xml:space="preserve">       </w:t>
      </w:r>
      <w:r>
        <w:t xml:space="preserve">        </w:t>
      </w:r>
      <w:r w:rsidRPr="008C22F8">
        <w:t xml:space="preserve"> </w:t>
      </w:r>
      <w:r>
        <w:rPr>
          <w:rFonts w:hint="eastAsia"/>
        </w:rPr>
        <w:t>（9）</w:t>
      </w:r>
    </w:p>
    <w:p w14:paraId="152FBEA5" w14:textId="77777777" w:rsidR="00495C65" w:rsidRDefault="00495C65" w:rsidP="00495C65">
      <w:pPr>
        <w:pStyle w:val="13"/>
      </w:pPr>
      <w:r w:rsidRPr="007202BD">
        <w:rPr>
          <w:rFonts w:hint="eastAsia"/>
        </w:rPr>
        <w:t>式中：</w:t>
      </w:r>
    </w:p>
    <w:p w14:paraId="63B17A0C" w14:textId="02868419" w:rsidR="00495C65" w:rsidRDefault="00495C65" w:rsidP="00495C65">
      <w:pPr>
        <w:pStyle w:val="13"/>
        <w:ind w:firstLineChars="500" w:firstLine="1200"/>
      </w:pPr>
      <w:r>
        <w:t>P——比准价格</w:t>
      </w:r>
      <w:r w:rsidR="003068F8">
        <w:t>；</w:t>
      </w:r>
    </w:p>
    <w:p w14:paraId="2AA40619" w14:textId="27197923" w:rsidR="00495C65" w:rsidRDefault="00495C65" w:rsidP="00495C65">
      <w:pPr>
        <w:pStyle w:val="13"/>
        <w:ind w:firstLineChars="500" w:firstLine="1200"/>
      </w:pPr>
      <w:r>
        <w:t>P</w:t>
      </w:r>
      <w:r w:rsidRPr="007202BD">
        <w:rPr>
          <w:vertAlign w:val="subscript"/>
        </w:rPr>
        <w:t>b</w:t>
      </w:r>
      <w:r>
        <w:t>——交易实例价格</w:t>
      </w:r>
      <w:r w:rsidR="003068F8">
        <w:t>；</w:t>
      </w:r>
    </w:p>
    <w:p w14:paraId="718AC63E" w14:textId="77777777" w:rsidR="00495C65" w:rsidRDefault="00495C65" w:rsidP="00495C65">
      <w:pPr>
        <w:pStyle w:val="13"/>
        <w:ind w:firstLineChars="500" w:firstLine="1200"/>
      </w:pPr>
      <w:r>
        <w:t>K</w:t>
      </w:r>
      <w:r w:rsidRPr="007202BD">
        <w:rPr>
          <w:vertAlign w:val="subscript"/>
        </w:rPr>
        <w:t>c</w:t>
      </w:r>
      <w:r>
        <w:t>、K</w:t>
      </w:r>
      <w:r w:rsidRPr="007202BD">
        <w:rPr>
          <w:vertAlign w:val="subscript"/>
        </w:rPr>
        <w:t>t</w:t>
      </w:r>
      <w:r>
        <w:t>、</w:t>
      </w:r>
      <w:proofErr w:type="spellStart"/>
      <w:r>
        <w:t>K</w:t>
      </w:r>
      <w:r w:rsidRPr="007202BD">
        <w:rPr>
          <w:vertAlign w:val="subscript"/>
        </w:rPr>
        <w:t>n</w:t>
      </w:r>
      <w:proofErr w:type="spellEnd"/>
      <w:r>
        <w:t>、</w:t>
      </w:r>
      <w:proofErr w:type="spellStart"/>
      <w:r>
        <w:t>K</w:t>
      </w:r>
      <w:r w:rsidRPr="007202BD">
        <w:rPr>
          <w:vertAlign w:val="subscript"/>
        </w:rPr>
        <w:t>e</w:t>
      </w:r>
      <w:proofErr w:type="spellEnd"/>
      <w:r>
        <w:t>、K</w:t>
      </w:r>
      <w:r w:rsidRPr="007202BD">
        <w:rPr>
          <w:vertAlign w:val="subscript"/>
        </w:rPr>
        <w:t>s</w:t>
      </w:r>
      <w:r>
        <w:t>、K</w:t>
      </w:r>
      <w:r w:rsidRPr="007202BD">
        <w:rPr>
          <w:vertAlign w:val="subscript"/>
        </w:rPr>
        <w:t>y</w:t>
      </w:r>
      <w:r>
        <w:t>含义同上。</w:t>
      </w:r>
    </w:p>
    <w:p w14:paraId="73E43E91" w14:textId="77777777" w:rsidR="00495C65" w:rsidRDefault="00495C65" w:rsidP="00495C65">
      <w:pPr>
        <w:pStyle w:val="13"/>
      </w:pPr>
      <w:r w:rsidRPr="007202BD">
        <w:rPr>
          <w:rFonts w:hint="eastAsia"/>
        </w:rPr>
        <w:t>所选取的若干个交易实例</w:t>
      </w:r>
      <w:proofErr w:type="gramStart"/>
      <w:r w:rsidRPr="007202BD">
        <w:rPr>
          <w:rFonts w:hint="eastAsia"/>
        </w:rPr>
        <w:t>价格价格</w:t>
      </w:r>
      <w:proofErr w:type="gramEnd"/>
      <w:r w:rsidRPr="007202BD">
        <w:rPr>
          <w:rFonts w:hint="eastAsia"/>
        </w:rPr>
        <w:t>上述各项比较修正后，可选用下列方法之一</w:t>
      </w:r>
      <w:proofErr w:type="gramStart"/>
      <w:r w:rsidRPr="007202BD">
        <w:rPr>
          <w:rFonts w:hint="eastAsia"/>
        </w:rPr>
        <w:t>计算待估农用</w:t>
      </w:r>
      <w:proofErr w:type="gramEnd"/>
      <w:r w:rsidRPr="007202BD">
        <w:rPr>
          <w:rFonts w:hint="eastAsia"/>
        </w:rPr>
        <w:t>地价格：</w:t>
      </w:r>
    </w:p>
    <w:p w14:paraId="16413F3C" w14:textId="77777777" w:rsidR="00495C65" w:rsidRDefault="00495C65" w:rsidP="00495C65">
      <w:pPr>
        <w:pStyle w:val="13"/>
      </w:pPr>
      <w:r>
        <w:t>a）简单算术平均法；</w:t>
      </w:r>
    </w:p>
    <w:p w14:paraId="60238C54" w14:textId="77777777" w:rsidR="00495C65" w:rsidRDefault="00495C65" w:rsidP="00495C65">
      <w:pPr>
        <w:pStyle w:val="13"/>
      </w:pPr>
      <w:r>
        <w:t>b）加权算术平均法；</w:t>
      </w:r>
    </w:p>
    <w:p w14:paraId="4ECB60CF" w14:textId="77777777" w:rsidR="00495C65" w:rsidRDefault="00495C65" w:rsidP="00495C65">
      <w:pPr>
        <w:pStyle w:val="13"/>
      </w:pPr>
      <w:r>
        <w:t>c）中为数法；</w:t>
      </w:r>
    </w:p>
    <w:p w14:paraId="6B4DCD6C" w14:textId="77777777" w:rsidR="00495C65" w:rsidRDefault="00495C65" w:rsidP="00495C65">
      <w:pPr>
        <w:pStyle w:val="13"/>
      </w:pPr>
      <w:r>
        <w:t>d）众数法。</w:t>
      </w:r>
    </w:p>
    <w:p w14:paraId="22CE9B7A" w14:textId="77777777" w:rsidR="00495C65" w:rsidRDefault="00495C65" w:rsidP="00495C65">
      <w:pPr>
        <w:pStyle w:val="ab"/>
        <w:spacing w:before="62" w:after="62"/>
        <w:ind w:firstLine="482"/>
      </w:pPr>
      <w:r>
        <w:t xml:space="preserve">5.3 成本逼近法 </w:t>
      </w:r>
    </w:p>
    <w:p w14:paraId="6B2F58E1" w14:textId="77777777" w:rsidR="00495C65" w:rsidRDefault="00495C65" w:rsidP="00495C65">
      <w:pPr>
        <w:pStyle w:val="13"/>
      </w:pPr>
      <w:r>
        <w:t xml:space="preserve">5.3.1 内涵 </w:t>
      </w:r>
    </w:p>
    <w:p w14:paraId="1271AD79" w14:textId="77777777" w:rsidR="00495C65" w:rsidRDefault="00495C65" w:rsidP="00495C65">
      <w:pPr>
        <w:pStyle w:val="13"/>
      </w:pPr>
      <w:r>
        <w:rPr>
          <w:rFonts w:hint="eastAsia"/>
        </w:rPr>
        <w:t>以新开垦农用地或土地整理过程中所耗费的各项客观费用之和为主要依据，再加上</w:t>
      </w:r>
      <w:r w:rsidRPr="00DD3C7C">
        <w:rPr>
          <w:rFonts w:hint="eastAsia"/>
        </w:rPr>
        <w:t>一定的利润、利息、应缴纳的税金和农用地增值收益，并进行各种修正来确定农用地价格的方法。</w:t>
      </w:r>
    </w:p>
    <w:p w14:paraId="2E18A6A4" w14:textId="77777777" w:rsidR="00495C65" w:rsidRDefault="00495C65" w:rsidP="00495C65">
      <w:pPr>
        <w:pStyle w:val="13"/>
      </w:pPr>
      <w:r w:rsidRPr="00DD3C7C">
        <w:rPr>
          <w:rFonts w:hint="eastAsia"/>
        </w:rPr>
        <w:t>基本公式见式（</w:t>
      </w:r>
      <w:r w:rsidRPr="00DD3C7C">
        <w:t>10）：</w:t>
      </w:r>
    </w:p>
    <w:p w14:paraId="02BDB773" w14:textId="77777777" w:rsidR="00495C65" w:rsidRDefault="00495C65" w:rsidP="00495C65">
      <w:pPr>
        <w:pStyle w:val="13"/>
        <w:ind w:firstLineChars="1200" w:firstLine="2880"/>
      </w:pPr>
      <w:r w:rsidRPr="00DD3C7C">
        <w:t>P=E</w:t>
      </w:r>
      <w:r w:rsidRPr="00DD3C7C">
        <w:rPr>
          <w:vertAlign w:val="subscript"/>
        </w:rPr>
        <w:t>a</w:t>
      </w:r>
      <w:r w:rsidRPr="00DD3C7C">
        <w:t>+E</w:t>
      </w:r>
      <w:r w:rsidRPr="00DD3C7C">
        <w:rPr>
          <w:vertAlign w:val="subscript"/>
        </w:rPr>
        <w:t>d</w:t>
      </w:r>
      <w:r w:rsidRPr="00DD3C7C">
        <w:t>+T+R</w:t>
      </w:r>
      <w:r w:rsidRPr="00DD3C7C">
        <w:rPr>
          <w:vertAlign w:val="subscript"/>
        </w:rPr>
        <w:t>1</w:t>
      </w:r>
      <w:r w:rsidRPr="00DD3C7C">
        <w:t>+R</w:t>
      </w:r>
      <w:r w:rsidRPr="00DD3C7C">
        <w:rPr>
          <w:vertAlign w:val="subscript"/>
        </w:rPr>
        <w:t>2</w:t>
      </w:r>
      <w:r w:rsidRPr="00DD3C7C">
        <w:t>+R</w:t>
      </w:r>
      <w:r w:rsidRPr="00DD3C7C">
        <w:rPr>
          <w:vertAlign w:val="subscript"/>
        </w:rPr>
        <w:t>3</w:t>
      </w:r>
      <w:r>
        <w:t xml:space="preserve">                      </w:t>
      </w:r>
      <w:r>
        <w:rPr>
          <w:rFonts w:hint="eastAsia"/>
        </w:rPr>
        <w:t>（1</w:t>
      </w:r>
      <w:r>
        <w:t>0</w:t>
      </w:r>
      <w:r>
        <w:rPr>
          <w:rFonts w:hint="eastAsia"/>
        </w:rPr>
        <w:t>）</w:t>
      </w:r>
    </w:p>
    <w:p w14:paraId="43337066" w14:textId="77777777" w:rsidR="00495C65" w:rsidRDefault="00495C65" w:rsidP="00495C65">
      <w:pPr>
        <w:pStyle w:val="13"/>
      </w:pPr>
      <w:r w:rsidRPr="00FD35C0">
        <w:rPr>
          <w:rFonts w:hint="eastAsia"/>
        </w:rPr>
        <w:t>式中：</w:t>
      </w:r>
    </w:p>
    <w:p w14:paraId="276BC6AF" w14:textId="77777777" w:rsidR="00495C65" w:rsidRDefault="00495C65" w:rsidP="00495C65">
      <w:pPr>
        <w:pStyle w:val="13"/>
        <w:ind w:firstLineChars="500" w:firstLine="1200"/>
      </w:pPr>
      <w:r>
        <w:t>P——农用地价格；</w:t>
      </w:r>
    </w:p>
    <w:p w14:paraId="6CB1F8F2" w14:textId="77777777" w:rsidR="00495C65" w:rsidRDefault="00495C65" w:rsidP="00495C65">
      <w:pPr>
        <w:pStyle w:val="13"/>
        <w:ind w:firstLineChars="500" w:firstLine="1200"/>
      </w:pPr>
      <w:proofErr w:type="spellStart"/>
      <w:r>
        <w:t>E</w:t>
      </w:r>
      <w:r w:rsidRPr="005A0920">
        <w:rPr>
          <w:vertAlign w:val="subscript"/>
        </w:rPr>
        <w:t>a</w:t>
      </w:r>
      <w:proofErr w:type="spellEnd"/>
      <w:r>
        <w:t>——土地取得费</w:t>
      </w:r>
      <w:r>
        <w:rPr>
          <w:rFonts w:hint="eastAsia"/>
        </w:rPr>
        <w:t>；</w:t>
      </w:r>
    </w:p>
    <w:p w14:paraId="02A83FCC" w14:textId="77777777" w:rsidR="00495C65" w:rsidRDefault="00495C65" w:rsidP="00495C65">
      <w:pPr>
        <w:pStyle w:val="13"/>
        <w:ind w:firstLineChars="500" w:firstLine="1200"/>
      </w:pPr>
      <w:r>
        <w:t>E</w:t>
      </w:r>
      <w:r w:rsidRPr="005A0920">
        <w:rPr>
          <w:vertAlign w:val="subscript"/>
        </w:rPr>
        <w:t>d</w:t>
      </w:r>
      <w:r>
        <w:t>——农用地开发费；</w:t>
      </w:r>
    </w:p>
    <w:p w14:paraId="0BA42D89" w14:textId="77777777" w:rsidR="00495C65" w:rsidRDefault="00495C65" w:rsidP="00495C65">
      <w:pPr>
        <w:pStyle w:val="13"/>
        <w:ind w:firstLineChars="500" w:firstLine="1200"/>
      </w:pPr>
      <w:r>
        <w:lastRenderedPageBreak/>
        <w:t>T——税费</w:t>
      </w:r>
      <w:r>
        <w:rPr>
          <w:rFonts w:hint="eastAsia"/>
        </w:rPr>
        <w:t>；</w:t>
      </w:r>
    </w:p>
    <w:p w14:paraId="34738BA2" w14:textId="77777777" w:rsidR="00495C65" w:rsidRDefault="00495C65" w:rsidP="00495C65">
      <w:pPr>
        <w:pStyle w:val="13"/>
        <w:ind w:firstLineChars="500" w:firstLine="1200"/>
      </w:pPr>
      <w:r>
        <w:t>R</w:t>
      </w:r>
      <w:r w:rsidRPr="005A0920">
        <w:rPr>
          <w:vertAlign w:val="subscript"/>
        </w:rPr>
        <w:t>1</w:t>
      </w:r>
      <w:r>
        <w:t>——利息</w:t>
      </w:r>
      <w:r>
        <w:rPr>
          <w:rFonts w:hint="eastAsia"/>
        </w:rPr>
        <w:t>；</w:t>
      </w:r>
    </w:p>
    <w:p w14:paraId="4FC08C6D" w14:textId="77777777" w:rsidR="00495C65" w:rsidRDefault="00495C65" w:rsidP="00495C65">
      <w:pPr>
        <w:pStyle w:val="13"/>
        <w:ind w:firstLineChars="500" w:firstLine="1200"/>
      </w:pPr>
      <w:r>
        <w:t>R</w:t>
      </w:r>
      <w:r w:rsidRPr="005A0920">
        <w:rPr>
          <w:vertAlign w:val="subscript"/>
        </w:rPr>
        <w:t>2</w:t>
      </w:r>
      <w:r>
        <w:t>——利润</w:t>
      </w:r>
      <w:r>
        <w:rPr>
          <w:rFonts w:hint="eastAsia"/>
        </w:rPr>
        <w:t>；</w:t>
      </w:r>
    </w:p>
    <w:p w14:paraId="28D8003D" w14:textId="77777777" w:rsidR="00495C65" w:rsidRDefault="00495C65" w:rsidP="00495C65">
      <w:pPr>
        <w:pStyle w:val="13"/>
        <w:ind w:firstLineChars="500" w:firstLine="1200"/>
      </w:pPr>
      <w:r>
        <w:t>R</w:t>
      </w:r>
      <w:r w:rsidRPr="005A0920">
        <w:rPr>
          <w:vertAlign w:val="subscript"/>
        </w:rPr>
        <w:t>3</w:t>
      </w:r>
      <w:r>
        <w:t>——农用地增值收益。</w:t>
      </w:r>
    </w:p>
    <w:p w14:paraId="018DDCA9" w14:textId="77777777" w:rsidR="00495C65" w:rsidRDefault="00495C65" w:rsidP="00495C65">
      <w:pPr>
        <w:pStyle w:val="13"/>
      </w:pPr>
      <w:r>
        <w:t xml:space="preserve">5.3.2 适用范围 </w:t>
      </w:r>
    </w:p>
    <w:p w14:paraId="3A56F139" w14:textId="77777777" w:rsidR="00495C65" w:rsidRDefault="00495C65" w:rsidP="00495C65">
      <w:pPr>
        <w:pStyle w:val="13"/>
      </w:pPr>
      <w:r>
        <w:rPr>
          <w:rFonts w:hint="eastAsia"/>
        </w:rPr>
        <w:t>成本逼近法适用于经过未利用土地开发或土地整理后的农用地价格评估。</w:t>
      </w:r>
      <w:r>
        <w:t xml:space="preserve"> 5.3.3 估价步骤</w:t>
      </w:r>
    </w:p>
    <w:p w14:paraId="3470E988" w14:textId="77777777" w:rsidR="00495C65" w:rsidRDefault="00495C65" w:rsidP="00495C65">
      <w:pPr>
        <w:pStyle w:val="13"/>
      </w:pPr>
      <w:r w:rsidRPr="008477A9">
        <w:rPr>
          <w:rFonts w:hint="eastAsia"/>
        </w:rPr>
        <w:t>成本逼近法估价步骤如下：</w:t>
      </w:r>
    </w:p>
    <w:p w14:paraId="6ABBD2D5" w14:textId="77777777" w:rsidR="00495C65" w:rsidRDefault="00495C65" w:rsidP="00495C65">
      <w:pPr>
        <w:pStyle w:val="13"/>
      </w:pPr>
      <w:r>
        <w:t>a）判断评估对象是否适用成本逼近法；</w:t>
      </w:r>
    </w:p>
    <w:p w14:paraId="429419B5" w14:textId="77777777" w:rsidR="00495C65" w:rsidRDefault="00495C65" w:rsidP="00495C65">
      <w:pPr>
        <w:pStyle w:val="13"/>
      </w:pPr>
      <w:r>
        <w:t>b）搜集与估价有关的成本费用、利息、利润</w:t>
      </w:r>
      <w:proofErr w:type="gramStart"/>
      <w:r>
        <w:t>及待估农用</w:t>
      </w:r>
      <w:proofErr w:type="gramEnd"/>
      <w:r>
        <w:t>地增值收益等资料；</w:t>
      </w:r>
    </w:p>
    <w:p w14:paraId="46AB16E9" w14:textId="77777777" w:rsidR="00495C65" w:rsidRDefault="00495C65" w:rsidP="00495C65">
      <w:pPr>
        <w:pStyle w:val="13"/>
      </w:pPr>
      <w:r w:rsidRPr="00AE14D2">
        <w:t>c）通过直接或间接方式求取估价对象的土地取得费、农用地开发费及相关的税费、利息、利润；</w:t>
      </w:r>
    </w:p>
    <w:p w14:paraId="2C9AC089" w14:textId="77777777" w:rsidR="00495C65" w:rsidRDefault="00495C65" w:rsidP="00495C65">
      <w:pPr>
        <w:pStyle w:val="13"/>
      </w:pPr>
      <w:r>
        <w:t>d）确定农用地增值收益；</w:t>
      </w:r>
    </w:p>
    <w:p w14:paraId="47D92415" w14:textId="77777777" w:rsidR="00495C65" w:rsidRDefault="00495C65" w:rsidP="00495C65">
      <w:pPr>
        <w:pStyle w:val="13"/>
      </w:pPr>
      <w:r>
        <w:t>e）按成本逼近法公式</w:t>
      </w:r>
      <w:proofErr w:type="gramStart"/>
      <w:r>
        <w:t>求取待估农用</w:t>
      </w:r>
      <w:proofErr w:type="gramEnd"/>
      <w:r>
        <w:t>地的价格；</w:t>
      </w:r>
    </w:p>
    <w:p w14:paraId="704A0B13" w14:textId="77777777" w:rsidR="00495C65" w:rsidRDefault="00495C65" w:rsidP="00495C65">
      <w:pPr>
        <w:pStyle w:val="13"/>
      </w:pPr>
      <w:r>
        <w:t>f）确定已开发土地的修正因素，并进行修正；</w:t>
      </w:r>
    </w:p>
    <w:p w14:paraId="6397C2C0" w14:textId="77777777" w:rsidR="00495C65" w:rsidRDefault="00495C65" w:rsidP="00495C65">
      <w:pPr>
        <w:pStyle w:val="13"/>
      </w:pPr>
      <w:r>
        <w:t>g）</w:t>
      </w:r>
      <w:proofErr w:type="gramStart"/>
      <w:r>
        <w:t>确定待估农用</w:t>
      </w:r>
      <w:proofErr w:type="gramEnd"/>
      <w:r>
        <w:t>地的最终地价。</w:t>
      </w:r>
    </w:p>
    <w:p w14:paraId="50171A7D" w14:textId="77777777" w:rsidR="00495C65" w:rsidRDefault="00495C65" w:rsidP="00495C65">
      <w:pPr>
        <w:pStyle w:val="13"/>
      </w:pPr>
      <w:r>
        <w:t xml:space="preserve">5.3.4 确定土地取得费 </w:t>
      </w:r>
    </w:p>
    <w:p w14:paraId="216005FA" w14:textId="77777777" w:rsidR="00495C65" w:rsidRDefault="00495C65" w:rsidP="00495C65">
      <w:pPr>
        <w:pStyle w:val="13"/>
      </w:pPr>
      <w:r>
        <w:rPr>
          <w:rFonts w:hint="eastAsia"/>
        </w:rPr>
        <w:t>农用地取得费主要表现为取得未利用土地或中低产田客观发生的费用。</w:t>
      </w:r>
      <w:r>
        <w:t xml:space="preserve"> </w:t>
      </w:r>
    </w:p>
    <w:p w14:paraId="7BD2161E" w14:textId="77777777" w:rsidR="00495C65" w:rsidRDefault="00495C65" w:rsidP="00495C65">
      <w:pPr>
        <w:pStyle w:val="13"/>
      </w:pPr>
      <w:r>
        <w:t xml:space="preserve">5.3.5 确定农用地开发费 </w:t>
      </w:r>
    </w:p>
    <w:p w14:paraId="45A775FC" w14:textId="77777777" w:rsidR="00495C65" w:rsidRDefault="00495C65" w:rsidP="00495C65">
      <w:pPr>
        <w:pStyle w:val="13"/>
      </w:pPr>
      <w:r>
        <w:rPr>
          <w:rFonts w:hint="eastAsia"/>
        </w:rPr>
        <w:t>农用地开发费是为使土地达到一定的农业利用条件而进行的各种投入的客观费用，</w:t>
      </w:r>
      <w:r w:rsidRPr="00086276">
        <w:rPr>
          <w:rFonts w:hint="eastAsia"/>
        </w:rPr>
        <w:t>如农田平整、处理耕作层、建设农田水利设施、田间道路、田间防护林等。</w:t>
      </w:r>
    </w:p>
    <w:p w14:paraId="44660C67" w14:textId="77777777" w:rsidR="00495C65" w:rsidRDefault="00495C65" w:rsidP="00495C65">
      <w:pPr>
        <w:pStyle w:val="13"/>
      </w:pPr>
      <w:r w:rsidRPr="00086276">
        <w:rPr>
          <w:rFonts w:hint="eastAsia"/>
        </w:rPr>
        <w:t>根据农业生产的要求，农用地的开发程度主要包括以下几方面：</w:t>
      </w:r>
    </w:p>
    <w:p w14:paraId="19F6ACAD" w14:textId="77777777" w:rsidR="00495C65" w:rsidRDefault="00495C65" w:rsidP="00495C65">
      <w:pPr>
        <w:pStyle w:val="13"/>
      </w:pPr>
      <w:r>
        <w:t>a）道路：分通田间人行路、机耕路等情况；</w:t>
      </w:r>
    </w:p>
    <w:p w14:paraId="274B39D9" w14:textId="77777777" w:rsidR="00495C65" w:rsidRDefault="00495C65" w:rsidP="00495C65">
      <w:pPr>
        <w:pStyle w:val="13"/>
      </w:pPr>
      <w:r>
        <w:t>b）灌溉：分上游有蓄水设施的自然灌溉、地下水灌溉、喷灌灌溉、滴灌灌溉等；</w:t>
      </w:r>
    </w:p>
    <w:p w14:paraId="0BF6FAE0" w14:textId="77777777" w:rsidR="00495C65" w:rsidRDefault="00495C65" w:rsidP="00495C65">
      <w:pPr>
        <w:pStyle w:val="13"/>
      </w:pPr>
      <w:r>
        <w:t>c）排水：分析能否顺畅地自然排水、有无排水沟渠等；</w:t>
      </w:r>
    </w:p>
    <w:p w14:paraId="1D0309F7" w14:textId="77777777" w:rsidR="00495C65" w:rsidRDefault="00495C65" w:rsidP="00495C65">
      <w:pPr>
        <w:pStyle w:val="13"/>
      </w:pPr>
      <w:r>
        <w:t>d）通电：考察田间耕作能否方便地使用电力；</w:t>
      </w:r>
    </w:p>
    <w:p w14:paraId="18A2111D" w14:textId="77777777" w:rsidR="00495C65" w:rsidRDefault="00495C65" w:rsidP="00495C65">
      <w:pPr>
        <w:pStyle w:val="13"/>
      </w:pPr>
      <w:r>
        <w:t xml:space="preserve">e）土地平整：平整度应能满足农业生产的基本要求，有至少20cm的疏松土壤的耕作层。 </w:t>
      </w:r>
    </w:p>
    <w:p w14:paraId="1C774AD9" w14:textId="77777777" w:rsidR="00495C65" w:rsidRDefault="00495C65" w:rsidP="00495C65">
      <w:pPr>
        <w:pStyle w:val="13"/>
      </w:pPr>
      <w:r>
        <w:rPr>
          <w:rFonts w:hint="eastAsia"/>
        </w:rPr>
        <w:t>在具体分析农用地的开发程度时，则可区分田块内外的情况，并根据各种农田基本设施的投资主体与评估对象的产权主体的权属利益关系确定评估设定的土地开发程度，并合理确定开发费用。</w:t>
      </w:r>
      <w:r>
        <w:t xml:space="preserve"> </w:t>
      </w:r>
    </w:p>
    <w:p w14:paraId="277F1AFC" w14:textId="77777777" w:rsidR="00495C65" w:rsidRDefault="00495C65" w:rsidP="00495C65">
      <w:pPr>
        <w:pStyle w:val="13"/>
      </w:pPr>
      <w:r>
        <w:t xml:space="preserve">5.3.6 确定各项税费 </w:t>
      </w:r>
    </w:p>
    <w:p w14:paraId="523AF935" w14:textId="77777777" w:rsidR="00495C65" w:rsidRDefault="00495C65" w:rsidP="00495C65">
      <w:pPr>
        <w:pStyle w:val="13"/>
      </w:pPr>
      <w:r>
        <w:rPr>
          <w:rFonts w:hint="eastAsia"/>
        </w:rPr>
        <w:t>主要是指取得待开发农用地和在进行农用地开发过程中所应支付的有关税费，具体项目和取得标准按国家和当地的有关规定确定。</w:t>
      </w:r>
    </w:p>
    <w:p w14:paraId="3B7740EB" w14:textId="77777777" w:rsidR="00495C65" w:rsidRDefault="00495C65" w:rsidP="00495C65">
      <w:pPr>
        <w:pStyle w:val="13"/>
      </w:pPr>
      <w:r w:rsidRPr="001B6914">
        <w:lastRenderedPageBreak/>
        <w:t>5.3.7 确定农用地开发利息</w:t>
      </w:r>
    </w:p>
    <w:p w14:paraId="690248F7" w14:textId="77777777" w:rsidR="00495C65" w:rsidRDefault="00495C65" w:rsidP="00495C65">
      <w:pPr>
        <w:pStyle w:val="13"/>
      </w:pPr>
      <w:r>
        <w:rPr>
          <w:rFonts w:hint="eastAsia"/>
        </w:rPr>
        <w:t>土地的取得费用和开发费用均可根据其投资的特点和所经历的时间计算利息，利息率按评估期日的中国人民银行公布的贷款利息率确定，土地开发期为</w:t>
      </w:r>
      <w:r>
        <w:t xml:space="preserve">1年以内的利息率按单利计算，开发期超过1年以上的利息率按复利计算。 </w:t>
      </w:r>
    </w:p>
    <w:p w14:paraId="17B62485" w14:textId="77777777" w:rsidR="00495C65" w:rsidRDefault="00495C65" w:rsidP="00495C65">
      <w:pPr>
        <w:pStyle w:val="13"/>
      </w:pPr>
      <w:r>
        <w:rPr>
          <w:rFonts w:hint="eastAsia"/>
        </w:rPr>
        <w:t>计息期间以农用地开发周期为基础，考虑各项投资的投入特点确定。农用地开发周期根据农用地开发的总面积、农用地开发程度和开发难度等方面确定。</w:t>
      </w:r>
    </w:p>
    <w:p w14:paraId="41A3AE4D" w14:textId="77777777" w:rsidR="00495C65" w:rsidRDefault="00495C65" w:rsidP="00495C65">
      <w:pPr>
        <w:pStyle w:val="13"/>
      </w:pPr>
      <w:r w:rsidRPr="001B6914">
        <w:t>5.3.8 确定农用地开发利润</w:t>
      </w:r>
    </w:p>
    <w:p w14:paraId="3F628B5A" w14:textId="77777777" w:rsidR="00495C65" w:rsidRDefault="00495C65" w:rsidP="00495C65">
      <w:pPr>
        <w:pStyle w:val="13"/>
      </w:pPr>
      <w:r w:rsidRPr="001B6914">
        <w:rPr>
          <w:rFonts w:hint="eastAsia"/>
        </w:rPr>
        <w:t>利润是对农用地开发投资的回报，是土地取得费用和开发费用在合理的投资回报率（利润率）下应得的经济报酬。利润率根据开发农用地所处地区的经济环境、开发农用地的利用类型（行业特点）和开发周期等方面确定。</w:t>
      </w:r>
    </w:p>
    <w:p w14:paraId="4288CB32" w14:textId="77777777" w:rsidR="00495C65" w:rsidRDefault="00495C65" w:rsidP="00495C65">
      <w:pPr>
        <w:pStyle w:val="13"/>
      </w:pPr>
      <w:r>
        <w:t xml:space="preserve">5.3.9 确定农用地增值收益 </w:t>
      </w:r>
    </w:p>
    <w:p w14:paraId="14E80C4B" w14:textId="77777777" w:rsidR="00495C65" w:rsidRDefault="00495C65" w:rsidP="00495C65">
      <w:pPr>
        <w:pStyle w:val="13"/>
      </w:pPr>
      <w:r>
        <w:rPr>
          <w:rFonts w:hint="eastAsia"/>
        </w:rPr>
        <w:t>农用地增值收益是</w:t>
      </w:r>
      <w:proofErr w:type="gramStart"/>
      <w:r>
        <w:rPr>
          <w:rFonts w:hint="eastAsia"/>
        </w:rPr>
        <w:t>指待估农用</w:t>
      </w:r>
      <w:proofErr w:type="gramEnd"/>
      <w:r>
        <w:rPr>
          <w:rFonts w:hint="eastAsia"/>
        </w:rPr>
        <w:t>地因追加投资进行农用地开发整理，使农用地生产能</w:t>
      </w:r>
      <w:r w:rsidRPr="001B6914">
        <w:rPr>
          <w:rFonts w:hint="eastAsia"/>
        </w:rPr>
        <w:t>力得到提高，而引起的农用地价格的增值。农用地增值收益率根据开发农用地所处地区的经济环境、开发农用地的利用类型（行业特点）等方面确定。</w:t>
      </w:r>
    </w:p>
    <w:p w14:paraId="252C4588" w14:textId="77777777" w:rsidR="00495C65" w:rsidRDefault="00495C65" w:rsidP="00495C65">
      <w:pPr>
        <w:pStyle w:val="13"/>
      </w:pPr>
      <w:r>
        <w:t xml:space="preserve">5.3.10 计算农用地价格 </w:t>
      </w:r>
    </w:p>
    <w:p w14:paraId="2E74334C" w14:textId="77777777" w:rsidR="00495C65" w:rsidRDefault="00495C65" w:rsidP="00495C65">
      <w:pPr>
        <w:pStyle w:val="13"/>
      </w:pPr>
      <w:r>
        <w:rPr>
          <w:rFonts w:hint="eastAsia"/>
        </w:rPr>
        <w:t>根据上述各项的计算结果，利用成本逼近法的公式计算初始农用地价格。</w:t>
      </w:r>
      <w:r>
        <w:t xml:space="preserve"> </w:t>
      </w:r>
    </w:p>
    <w:p w14:paraId="3AE0A9A0" w14:textId="77777777" w:rsidR="00495C65" w:rsidRDefault="00495C65" w:rsidP="00495C65">
      <w:pPr>
        <w:pStyle w:val="13"/>
      </w:pPr>
      <w:r>
        <w:t xml:space="preserve">5.3.11 对农用地价格进行年期修正 </w:t>
      </w:r>
    </w:p>
    <w:p w14:paraId="57D82FBF" w14:textId="77777777" w:rsidR="00495C65" w:rsidRDefault="00495C65" w:rsidP="00495C65">
      <w:pPr>
        <w:pStyle w:val="13"/>
      </w:pPr>
      <w:r>
        <w:t xml:space="preserve">5.3.11.1 年期修正方法 </w:t>
      </w:r>
    </w:p>
    <w:p w14:paraId="1BAC9D50" w14:textId="77777777" w:rsidR="00495C65" w:rsidRDefault="00495C65" w:rsidP="00495C65">
      <w:pPr>
        <w:pStyle w:val="13"/>
      </w:pPr>
      <w:r>
        <w:rPr>
          <w:rFonts w:hint="eastAsia"/>
        </w:rPr>
        <w:t>若求取的是有限年期的农用地价格时，则需要判断是否进行年期修正，修正公式如下：</w:t>
      </w:r>
    </w:p>
    <w:p w14:paraId="481BC141" w14:textId="77777777" w:rsidR="00495C65" w:rsidRDefault="00495C65" w:rsidP="00495C65">
      <w:pPr>
        <w:pStyle w:val="13"/>
      </w:pPr>
      <w:r>
        <w:t>a）修正公式见式（11）：</w:t>
      </w:r>
    </w:p>
    <w:p w14:paraId="6BD1C77B" w14:textId="77777777" w:rsidR="00495C65" w:rsidRDefault="00495C65" w:rsidP="00495C65">
      <w:pPr>
        <w:pStyle w:val="13"/>
        <w:ind w:firstLineChars="1200" w:firstLine="2880"/>
      </w:pPr>
      <w:r w:rsidRPr="001B6914">
        <w:t>P</w:t>
      </w:r>
      <w:r w:rsidRPr="00F13027">
        <w:rPr>
          <w:vertAlign w:val="subscript"/>
        </w:rPr>
        <w:t>T</w:t>
      </w:r>
      <w:r w:rsidRPr="001B6914">
        <w:t>=</w:t>
      </w:r>
      <w:proofErr w:type="spellStart"/>
      <w:r w:rsidRPr="001B6914">
        <w:t>P</w:t>
      </w:r>
      <w:r w:rsidRPr="00F13027">
        <w:rPr>
          <w:vertAlign w:val="subscript"/>
        </w:rPr>
        <w:t>o</w:t>
      </w:r>
      <w:r w:rsidRPr="001B6914">
        <w:t>×K</w:t>
      </w:r>
      <w:r w:rsidRPr="00F13027">
        <w:rPr>
          <w:vertAlign w:val="subscript"/>
        </w:rPr>
        <w:t>r</w:t>
      </w:r>
      <w:proofErr w:type="spellEnd"/>
      <w:r>
        <w:t xml:space="preserve">                                    </w:t>
      </w:r>
      <w:r>
        <w:rPr>
          <w:rFonts w:hint="eastAsia"/>
        </w:rPr>
        <w:t>（1</w:t>
      </w:r>
      <w:r>
        <w:t>1</w:t>
      </w:r>
      <w:r>
        <w:rPr>
          <w:rFonts w:hint="eastAsia"/>
        </w:rPr>
        <w:t>）</w:t>
      </w:r>
    </w:p>
    <w:p w14:paraId="69DEB6F6" w14:textId="77777777" w:rsidR="00495C65" w:rsidRDefault="00495C65" w:rsidP="00495C65">
      <w:pPr>
        <w:pStyle w:val="13"/>
      </w:pPr>
      <w:r w:rsidRPr="00F13027">
        <w:rPr>
          <w:rFonts w:hint="eastAsia"/>
        </w:rPr>
        <w:t>式中：</w:t>
      </w:r>
    </w:p>
    <w:p w14:paraId="201DF02F" w14:textId="77777777" w:rsidR="00495C65" w:rsidRDefault="00495C65" w:rsidP="00495C65">
      <w:pPr>
        <w:pStyle w:val="13"/>
        <w:ind w:firstLineChars="500" w:firstLine="1200"/>
      </w:pPr>
      <w:r w:rsidRPr="00F13027">
        <w:t>P</w:t>
      </w:r>
      <w:r w:rsidRPr="00E307C6">
        <w:rPr>
          <w:vertAlign w:val="subscript"/>
        </w:rPr>
        <w:t>T</w:t>
      </w:r>
      <w:r w:rsidRPr="00F13027">
        <w:t>——年期修正后的农用地价格；</w:t>
      </w:r>
    </w:p>
    <w:p w14:paraId="3793F55F" w14:textId="77777777" w:rsidR="00495C65" w:rsidRDefault="00495C65" w:rsidP="00495C65">
      <w:pPr>
        <w:pStyle w:val="13"/>
        <w:ind w:firstLineChars="500" w:firstLine="1200"/>
      </w:pPr>
      <w:r w:rsidRPr="00F13027">
        <w:t>P</w:t>
      </w:r>
      <w:r w:rsidRPr="00E307C6">
        <w:rPr>
          <w:vertAlign w:val="subscript"/>
        </w:rPr>
        <w:t>o</w:t>
      </w:r>
      <w:r w:rsidRPr="00F13027">
        <w:t>——年期修正前的农用地价格；</w:t>
      </w:r>
    </w:p>
    <w:p w14:paraId="4238FD20" w14:textId="77777777" w:rsidR="00495C65" w:rsidRDefault="00495C65" w:rsidP="00495C65">
      <w:pPr>
        <w:pStyle w:val="13"/>
        <w:ind w:firstLineChars="500" w:firstLine="1200"/>
      </w:pPr>
      <w:r w:rsidRPr="00F13027">
        <w:t>K</w:t>
      </w:r>
      <w:r w:rsidRPr="00E307C6">
        <w:rPr>
          <w:vertAlign w:val="subscript"/>
        </w:rPr>
        <w:t>r</w:t>
      </w:r>
      <w:r w:rsidRPr="00F13027">
        <w:t>——年期修正系数。</w:t>
      </w:r>
    </w:p>
    <w:p w14:paraId="1F5396A2" w14:textId="77777777" w:rsidR="00495C65" w:rsidRDefault="00495C65" w:rsidP="00495C65">
      <w:pPr>
        <w:pStyle w:val="13"/>
      </w:pPr>
      <w:r>
        <w:rPr>
          <w:noProof/>
        </w:rPr>
        <w:drawing>
          <wp:anchor distT="0" distB="0" distL="114300" distR="114300" simplePos="0" relativeHeight="251674624" behindDoc="1" locked="0" layoutInCell="1" allowOverlap="1" wp14:anchorId="1381ADB9" wp14:editId="70F252B8">
            <wp:simplePos x="0" y="0"/>
            <wp:positionH relativeFrom="column">
              <wp:posOffset>1760220</wp:posOffset>
            </wp:positionH>
            <wp:positionV relativeFrom="paragraph">
              <wp:posOffset>257810</wp:posOffset>
            </wp:positionV>
            <wp:extent cx="1449070" cy="316865"/>
            <wp:effectExtent l="0" t="0" r="0" b="6985"/>
            <wp:wrapNone/>
            <wp:docPr id="3277" name="图片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449070" cy="316865"/>
                    </a:xfrm>
                    <a:prstGeom prst="rect">
                      <a:avLst/>
                    </a:prstGeom>
                  </pic:spPr>
                </pic:pic>
              </a:graphicData>
            </a:graphic>
            <wp14:sizeRelH relativeFrom="margin">
              <wp14:pctWidth>0</wp14:pctWidth>
            </wp14:sizeRelH>
            <wp14:sizeRelV relativeFrom="margin">
              <wp14:pctHeight>0</wp14:pctHeight>
            </wp14:sizeRelV>
          </wp:anchor>
        </w:drawing>
      </w:r>
      <w:r w:rsidRPr="00110B5C">
        <w:t>b）年期修正系数的计算公式见式（12）：</w:t>
      </w:r>
    </w:p>
    <w:p w14:paraId="64C68ECE" w14:textId="77777777" w:rsidR="00495C65" w:rsidRDefault="00495C65" w:rsidP="00495C65">
      <w:pPr>
        <w:spacing w:line="312" w:lineRule="auto"/>
        <w:ind w:firstLineChars="200" w:firstLine="480"/>
        <w:rPr>
          <w:rFonts w:ascii="宋体" w:hAnsi="宋体"/>
          <w:noProof/>
          <w:sz w:val="24"/>
          <w:szCs w:val="24"/>
        </w:rPr>
      </w:pPr>
      <w:bookmarkStart w:id="197" w:name="_Hlk80303647"/>
      <w:r w:rsidRPr="003D71A9">
        <w:rPr>
          <w:rFonts w:ascii="宋体" w:hAnsi="宋体"/>
          <w:noProof/>
          <w:sz w:val="24"/>
          <w:szCs w:val="24"/>
        </w:rPr>
        <w:t xml:space="preserve">                                                       </w:t>
      </w:r>
      <w:r>
        <w:rPr>
          <w:rFonts w:ascii="宋体" w:hAnsi="宋体"/>
          <w:noProof/>
          <w:sz w:val="24"/>
          <w:szCs w:val="24"/>
        </w:rPr>
        <w:t xml:space="preserve"> </w:t>
      </w:r>
      <w:r w:rsidRPr="003D71A9">
        <w:rPr>
          <w:rFonts w:ascii="宋体" w:hAnsi="宋体"/>
          <w:noProof/>
          <w:sz w:val="24"/>
          <w:szCs w:val="24"/>
        </w:rPr>
        <w:t xml:space="preserve">        （</w:t>
      </w:r>
      <w:r>
        <w:rPr>
          <w:rFonts w:ascii="宋体" w:hAnsi="宋体"/>
          <w:noProof/>
          <w:sz w:val="24"/>
          <w:szCs w:val="24"/>
        </w:rPr>
        <w:t>12）</w:t>
      </w:r>
    </w:p>
    <w:bookmarkEnd w:id="197"/>
    <w:p w14:paraId="30615964" w14:textId="77777777" w:rsidR="00495C65" w:rsidRDefault="00495C65" w:rsidP="00495C65">
      <w:pPr>
        <w:spacing w:line="312" w:lineRule="auto"/>
        <w:ind w:firstLineChars="200" w:firstLine="480"/>
        <w:rPr>
          <w:rFonts w:ascii="宋体" w:hAnsi="宋体"/>
          <w:noProof/>
          <w:sz w:val="24"/>
          <w:szCs w:val="24"/>
        </w:rPr>
      </w:pPr>
      <w:r w:rsidRPr="003B4006">
        <w:rPr>
          <w:rFonts w:ascii="宋体" w:hAnsi="宋体" w:hint="eastAsia"/>
          <w:noProof/>
          <w:sz w:val="24"/>
          <w:szCs w:val="24"/>
        </w:rPr>
        <w:t>式中：</w:t>
      </w:r>
    </w:p>
    <w:p w14:paraId="21AF2207" w14:textId="77777777" w:rsidR="00495C65" w:rsidRDefault="00495C65" w:rsidP="00495C65">
      <w:pPr>
        <w:spacing w:line="312" w:lineRule="auto"/>
        <w:ind w:firstLineChars="500" w:firstLine="1200"/>
        <w:rPr>
          <w:rFonts w:ascii="宋体" w:hAnsi="宋体"/>
          <w:noProof/>
          <w:sz w:val="24"/>
          <w:szCs w:val="24"/>
        </w:rPr>
      </w:pPr>
      <w:r w:rsidRPr="003B4006">
        <w:rPr>
          <w:rFonts w:ascii="宋体" w:hAnsi="宋体"/>
          <w:noProof/>
          <w:sz w:val="24"/>
          <w:szCs w:val="24"/>
        </w:rPr>
        <w:t>K</w:t>
      </w:r>
      <w:r w:rsidRPr="003B4006">
        <w:rPr>
          <w:rFonts w:ascii="宋体" w:hAnsi="宋体"/>
          <w:noProof/>
          <w:sz w:val="24"/>
          <w:szCs w:val="24"/>
          <w:vertAlign w:val="subscript"/>
        </w:rPr>
        <w:t>y</w:t>
      </w:r>
      <w:r w:rsidRPr="003B4006">
        <w:rPr>
          <w:rFonts w:ascii="宋体" w:hAnsi="宋体"/>
          <w:noProof/>
          <w:sz w:val="24"/>
          <w:szCs w:val="24"/>
        </w:rPr>
        <w:t>——年期修正系数；</w:t>
      </w:r>
    </w:p>
    <w:p w14:paraId="56B93212" w14:textId="77777777" w:rsidR="00495C65" w:rsidRDefault="00495C65" w:rsidP="00495C65">
      <w:pPr>
        <w:spacing w:line="312" w:lineRule="auto"/>
        <w:ind w:firstLineChars="500" w:firstLine="1200"/>
        <w:rPr>
          <w:rFonts w:ascii="宋体" w:hAnsi="宋体"/>
          <w:noProof/>
          <w:sz w:val="24"/>
          <w:szCs w:val="24"/>
        </w:rPr>
      </w:pPr>
      <w:r w:rsidRPr="003B4006">
        <w:rPr>
          <w:rFonts w:ascii="宋体" w:hAnsi="宋体"/>
          <w:noProof/>
          <w:sz w:val="24"/>
          <w:szCs w:val="24"/>
        </w:rPr>
        <w:t>r——农用地还原率；</w:t>
      </w:r>
    </w:p>
    <w:p w14:paraId="19C2B9FA" w14:textId="77777777" w:rsidR="00495C65" w:rsidRDefault="00495C65" w:rsidP="00495C65">
      <w:pPr>
        <w:spacing w:line="312" w:lineRule="auto"/>
        <w:ind w:firstLineChars="500" w:firstLine="1200"/>
        <w:rPr>
          <w:rFonts w:ascii="宋体" w:hAnsi="宋体"/>
          <w:noProof/>
          <w:sz w:val="24"/>
          <w:szCs w:val="24"/>
        </w:rPr>
      </w:pPr>
      <w:r w:rsidRPr="003B4006">
        <w:rPr>
          <w:rFonts w:ascii="宋体" w:hAnsi="宋体"/>
          <w:noProof/>
          <w:sz w:val="24"/>
          <w:szCs w:val="24"/>
        </w:rPr>
        <w:t>n——农用地使用年期。</w:t>
      </w:r>
    </w:p>
    <w:p w14:paraId="5E6572B3" w14:textId="77777777" w:rsidR="00495C65" w:rsidRDefault="00495C65" w:rsidP="00495C65">
      <w:pPr>
        <w:pStyle w:val="13"/>
        <w:rPr>
          <w:noProof/>
        </w:rPr>
      </w:pPr>
      <w:r>
        <w:rPr>
          <w:noProof/>
        </w:rPr>
        <w:t xml:space="preserve">5.3.11.2 年期修正标准 </w:t>
      </w:r>
    </w:p>
    <w:p w14:paraId="74EE36C8" w14:textId="77777777" w:rsidR="00495C65" w:rsidRDefault="00495C65" w:rsidP="00495C65">
      <w:pPr>
        <w:pStyle w:val="13"/>
        <w:rPr>
          <w:noProof/>
        </w:rPr>
      </w:pPr>
      <w:r>
        <w:rPr>
          <w:rFonts w:hint="eastAsia"/>
          <w:noProof/>
        </w:rPr>
        <w:t>判断是否进行年期修正的标准如下：</w:t>
      </w:r>
    </w:p>
    <w:p w14:paraId="71B89D3A" w14:textId="77777777" w:rsidR="00495C65" w:rsidRDefault="00495C65" w:rsidP="00495C65">
      <w:pPr>
        <w:pStyle w:val="13"/>
        <w:rPr>
          <w:noProof/>
        </w:rPr>
      </w:pPr>
      <w:r w:rsidRPr="003B4006">
        <w:rPr>
          <w:noProof/>
        </w:rPr>
        <w:lastRenderedPageBreak/>
        <w:t>a）当农用地增值收益是以有限年期的市场价格与成本价格的差额确定时，年期修</w:t>
      </w:r>
      <w:r w:rsidRPr="003B4006">
        <w:rPr>
          <w:rFonts w:hint="eastAsia"/>
          <w:noProof/>
        </w:rPr>
        <w:t>正已在增值收益中体现，不再另行修正；</w:t>
      </w:r>
    </w:p>
    <w:p w14:paraId="52749C9A" w14:textId="77777777" w:rsidR="00495C65" w:rsidRDefault="00495C65" w:rsidP="00495C65">
      <w:pPr>
        <w:pStyle w:val="13"/>
        <w:rPr>
          <w:noProof/>
        </w:rPr>
      </w:pPr>
      <w:r w:rsidRPr="003B4006">
        <w:rPr>
          <w:noProof/>
        </w:rPr>
        <w:t>b）当农用地增值收益是以无限年期的市场价格与成本价格的差额确定时，农用地</w:t>
      </w:r>
      <w:r w:rsidRPr="003B4006">
        <w:rPr>
          <w:rFonts w:hint="eastAsia"/>
          <w:noProof/>
        </w:rPr>
        <w:t>增值收益与成本价格一道进行年期修正；</w:t>
      </w:r>
    </w:p>
    <w:p w14:paraId="5EA89463" w14:textId="77777777" w:rsidR="00495C65" w:rsidRDefault="00495C65" w:rsidP="00495C65">
      <w:pPr>
        <w:pStyle w:val="13"/>
        <w:rPr>
          <w:noProof/>
        </w:rPr>
      </w:pPr>
      <w:r>
        <w:rPr>
          <w:noProof/>
        </w:rPr>
        <w:t>c）当农用地为承包、转包等农用地时，按使用年期户剩余使用年期进行修正；</w:t>
      </w:r>
    </w:p>
    <w:p w14:paraId="04518F02" w14:textId="77777777" w:rsidR="00495C65" w:rsidRDefault="00495C65" w:rsidP="00495C65">
      <w:pPr>
        <w:pStyle w:val="13"/>
        <w:rPr>
          <w:noProof/>
        </w:rPr>
      </w:pPr>
      <w:r>
        <w:rPr>
          <w:noProof/>
        </w:rPr>
        <w:t>d）当评估的是农用地无限年期价格时不用进行年期修正。</w:t>
      </w:r>
    </w:p>
    <w:p w14:paraId="47E7E890" w14:textId="77777777" w:rsidR="00495C65" w:rsidRDefault="00495C65" w:rsidP="00495C65">
      <w:pPr>
        <w:pStyle w:val="13"/>
        <w:rPr>
          <w:noProof/>
        </w:rPr>
      </w:pPr>
      <w:r>
        <w:rPr>
          <w:noProof/>
        </w:rPr>
        <w:t xml:space="preserve">5.3.12 区位修正 </w:t>
      </w:r>
    </w:p>
    <w:p w14:paraId="26D1B5EE" w14:textId="77777777" w:rsidR="00495C65" w:rsidRDefault="00495C65" w:rsidP="00495C65">
      <w:pPr>
        <w:pStyle w:val="13"/>
        <w:rPr>
          <w:noProof/>
        </w:rPr>
      </w:pPr>
      <w:r>
        <w:rPr>
          <w:rFonts w:hint="eastAsia"/>
          <w:noProof/>
        </w:rPr>
        <w:t>当区位对于农用地的经营类型影响较大时，还需要对农用地价格进行区位修正。</w:t>
      </w:r>
    </w:p>
    <w:p w14:paraId="563D283A" w14:textId="77777777" w:rsidR="00495C65" w:rsidRDefault="00495C65" w:rsidP="00495C65">
      <w:pPr>
        <w:pStyle w:val="ab"/>
        <w:spacing w:before="62" w:after="62"/>
        <w:ind w:firstLine="482"/>
        <w:rPr>
          <w:noProof/>
        </w:rPr>
      </w:pPr>
      <w:r>
        <w:rPr>
          <w:noProof/>
        </w:rPr>
        <w:t xml:space="preserve">5.4 剩余法 </w:t>
      </w:r>
    </w:p>
    <w:p w14:paraId="033D1ED4" w14:textId="77777777" w:rsidR="00495C65" w:rsidRDefault="00495C65" w:rsidP="00495C65">
      <w:pPr>
        <w:pStyle w:val="13"/>
        <w:rPr>
          <w:noProof/>
        </w:rPr>
      </w:pPr>
      <w:r>
        <w:rPr>
          <w:noProof/>
        </w:rPr>
        <w:t xml:space="preserve">5.4.1 内涵 </w:t>
      </w:r>
    </w:p>
    <w:p w14:paraId="5AD451C1" w14:textId="77777777" w:rsidR="00495C65" w:rsidRDefault="00495C65" w:rsidP="00495C65">
      <w:pPr>
        <w:pStyle w:val="13"/>
        <w:rPr>
          <w:noProof/>
        </w:rPr>
      </w:pPr>
      <w:r>
        <w:rPr>
          <w:rFonts w:hint="eastAsia"/>
          <w:noProof/>
        </w:rPr>
        <w:t>在预计开发完成后农用地正常交易价格的基础上，扣除预计的正常开发成本及有关</w:t>
      </w:r>
      <w:r w:rsidRPr="003B3810">
        <w:rPr>
          <w:rFonts w:hint="eastAsia"/>
          <w:noProof/>
        </w:rPr>
        <w:t>专业费用、利息、利润和税收等，以价格余额来估算待估农用地价格的方法。</w:t>
      </w:r>
    </w:p>
    <w:p w14:paraId="1E512F6F" w14:textId="77777777" w:rsidR="00495C65" w:rsidRDefault="00495C65" w:rsidP="00495C65">
      <w:pPr>
        <w:pStyle w:val="13"/>
        <w:rPr>
          <w:noProof/>
        </w:rPr>
      </w:pPr>
      <w:r w:rsidRPr="003B3810">
        <w:rPr>
          <w:rFonts w:hint="eastAsia"/>
          <w:noProof/>
        </w:rPr>
        <w:t>基本公式见式（</w:t>
      </w:r>
      <w:r w:rsidRPr="003B3810">
        <w:rPr>
          <w:noProof/>
        </w:rPr>
        <w:t>13）：</w:t>
      </w:r>
    </w:p>
    <w:p w14:paraId="2B958965" w14:textId="77777777" w:rsidR="00495C65" w:rsidRDefault="00495C65" w:rsidP="00495C65">
      <w:pPr>
        <w:pStyle w:val="13"/>
        <w:ind w:firstLineChars="1200" w:firstLine="2880"/>
      </w:pPr>
      <w:r w:rsidRPr="003B3810">
        <w:t>P=A-B-C</w:t>
      </w:r>
      <w:r>
        <w:t xml:space="preserve">                                    </w:t>
      </w:r>
      <w:r>
        <w:rPr>
          <w:rFonts w:hint="eastAsia"/>
        </w:rPr>
        <w:t>（1</w:t>
      </w:r>
      <w:r>
        <w:t>3</w:t>
      </w:r>
      <w:r>
        <w:rPr>
          <w:rFonts w:hint="eastAsia"/>
        </w:rPr>
        <w:t>）</w:t>
      </w:r>
    </w:p>
    <w:p w14:paraId="22C4B9E4" w14:textId="77777777" w:rsidR="00495C65" w:rsidRDefault="00495C65" w:rsidP="00495C65">
      <w:pPr>
        <w:pStyle w:val="13"/>
      </w:pPr>
      <w:r w:rsidRPr="003963FC">
        <w:rPr>
          <w:rFonts w:hint="eastAsia"/>
        </w:rPr>
        <w:t>式中：</w:t>
      </w:r>
    </w:p>
    <w:p w14:paraId="701C1D44" w14:textId="63B48AA4" w:rsidR="00495C65" w:rsidRDefault="00495C65" w:rsidP="00495C65">
      <w:pPr>
        <w:pStyle w:val="13"/>
        <w:ind w:firstLineChars="500" w:firstLine="1200"/>
      </w:pPr>
      <w:r>
        <w:t>P——</w:t>
      </w:r>
      <w:proofErr w:type="gramStart"/>
      <w:r>
        <w:t>待估农用</w:t>
      </w:r>
      <w:proofErr w:type="gramEnd"/>
      <w:r>
        <w:t>地的价格</w:t>
      </w:r>
      <w:r w:rsidR="003068F8">
        <w:t>；</w:t>
      </w:r>
    </w:p>
    <w:p w14:paraId="019BB7D0" w14:textId="77777777" w:rsidR="00495C65" w:rsidRDefault="00495C65" w:rsidP="00495C65">
      <w:pPr>
        <w:pStyle w:val="13"/>
        <w:ind w:firstLineChars="500" w:firstLine="1200"/>
      </w:pPr>
      <w:r>
        <w:t>A——总开发价值或开发完成后的农用地总价格；</w:t>
      </w:r>
    </w:p>
    <w:p w14:paraId="4DE74EA6" w14:textId="1342D6F8" w:rsidR="00495C65" w:rsidRDefault="00495C65" w:rsidP="00495C65">
      <w:pPr>
        <w:pStyle w:val="13"/>
        <w:ind w:firstLineChars="500" w:firstLine="1200"/>
      </w:pPr>
      <w:r>
        <w:t>B——整个开发项目的开发成本</w:t>
      </w:r>
      <w:r w:rsidR="003068F8">
        <w:t>；</w:t>
      </w:r>
    </w:p>
    <w:p w14:paraId="3DC116F7" w14:textId="77777777" w:rsidR="00495C65" w:rsidRDefault="00495C65" w:rsidP="00495C65">
      <w:pPr>
        <w:pStyle w:val="13"/>
        <w:ind w:firstLineChars="500" w:firstLine="1200"/>
      </w:pPr>
      <w:r>
        <w:t>C——开发者合理利润。</w:t>
      </w:r>
    </w:p>
    <w:p w14:paraId="339ACCCF" w14:textId="77777777" w:rsidR="00495C65" w:rsidRDefault="00495C65" w:rsidP="00495C65">
      <w:pPr>
        <w:pStyle w:val="13"/>
      </w:pPr>
      <w:r>
        <w:t xml:space="preserve">5.4.2 适用范围 </w:t>
      </w:r>
    </w:p>
    <w:p w14:paraId="54AFFB30" w14:textId="77777777" w:rsidR="00495C65" w:rsidRDefault="00495C65" w:rsidP="00495C65">
      <w:pPr>
        <w:pStyle w:val="13"/>
      </w:pPr>
      <w:r>
        <w:rPr>
          <w:rFonts w:hint="eastAsia"/>
        </w:rPr>
        <w:t>剩余法适合待开发农用地的价格评估。</w:t>
      </w:r>
    </w:p>
    <w:p w14:paraId="7E44400B" w14:textId="77777777" w:rsidR="00495C65" w:rsidRDefault="00495C65" w:rsidP="00495C65">
      <w:pPr>
        <w:pStyle w:val="13"/>
      </w:pPr>
      <w:r>
        <w:t>5.4.3 评估步骤</w:t>
      </w:r>
    </w:p>
    <w:p w14:paraId="1B59DD82" w14:textId="77777777" w:rsidR="00495C65" w:rsidRDefault="00495C65" w:rsidP="00495C65">
      <w:pPr>
        <w:pStyle w:val="13"/>
      </w:pPr>
      <w:r w:rsidRPr="003963FC">
        <w:rPr>
          <w:rFonts w:hint="eastAsia"/>
        </w:rPr>
        <w:t>剩余法评估步骤如下：</w:t>
      </w:r>
    </w:p>
    <w:p w14:paraId="61939346" w14:textId="77777777" w:rsidR="00495C65" w:rsidRDefault="00495C65" w:rsidP="00495C65">
      <w:pPr>
        <w:pStyle w:val="13"/>
      </w:pPr>
      <w:r>
        <w:t>a）</w:t>
      </w:r>
      <w:proofErr w:type="gramStart"/>
      <w:r>
        <w:t>调查待估农用</w:t>
      </w:r>
      <w:proofErr w:type="gramEnd"/>
      <w:r>
        <w:t>地的基本情况；</w:t>
      </w:r>
    </w:p>
    <w:p w14:paraId="7585D678" w14:textId="77777777" w:rsidR="00495C65" w:rsidRDefault="00495C65" w:rsidP="00495C65">
      <w:pPr>
        <w:pStyle w:val="13"/>
      </w:pPr>
      <w:r>
        <w:t>b）</w:t>
      </w:r>
      <w:proofErr w:type="gramStart"/>
      <w:r>
        <w:t>确定待估农用</w:t>
      </w:r>
      <w:proofErr w:type="gramEnd"/>
      <w:r>
        <w:t>地的最有效利用方式；</w:t>
      </w:r>
    </w:p>
    <w:p w14:paraId="2A81A4F8" w14:textId="77777777" w:rsidR="00495C65" w:rsidRDefault="00495C65" w:rsidP="00495C65">
      <w:pPr>
        <w:pStyle w:val="13"/>
      </w:pPr>
      <w:r>
        <w:t>c）估计开发周期和投资进度安排；</w:t>
      </w:r>
    </w:p>
    <w:p w14:paraId="4AA27CCF" w14:textId="77777777" w:rsidR="00495C65" w:rsidRDefault="00495C65" w:rsidP="00495C65">
      <w:pPr>
        <w:pStyle w:val="13"/>
      </w:pPr>
      <w:r>
        <w:t>d）估算开发完成后的农用地总价格；</w:t>
      </w:r>
    </w:p>
    <w:p w14:paraId="569AEC50" w14:textId="77777777" w:rsidR="00495C65" w:rsidRDefault="00495C65" w:rsidP="00495C65">
      <w:pPr>
        <w:pStyle w:val="13"/>
      </w:pPr>
      <w:r>
        <w:t>e）估算开发成本和开发者合理利润；</w:t>
      </w:r>
    </w:p>
    <w:p w14:paraId="10688E1C" w14:textId="77777777" w:rsidR="00495C65" w:rsidRDefault="00495C65" w:rsidP="00495C65">
      <w:pPr>
        <w:pStyle w:val="13"/>
      </w:pPr>
      <w:r>
        <w:t>f）</w:t>
      </w:r>
      <w:proofErr w:type="gramStart"/>
      <w:r>
        <w:t>确定待估农用</w:t>
      </w:r>
      <w:proofErr w:type="gramEnd"/>
      <w:r>
        <w:t>地价格。</w:t>
      </w:r>
    </w:p>
    <w:p w14:paraId="162081DF" w14:textId="77777777" w:rsidR="00495C65" w:rsidRDefault="00495C65" w:rsidP="00495C65">
      <w:pPr>
        <w:pStyle w:val="13"/>
      </w:pPr>
      <w:r>
        <w:t xml:space="preserve">5.4.4 评估要点 </w:t>
      </w:r>
    </w:p>
    <w:p w14:paraId="7822F63D" w14:textId="77777777" w:rsidR="00495C65" w:rsidRDefault="00495C65" w:rsidP="00495C65">
      <w:pPr>
        <w:pStyle w:val="13"/>
      </w:pPr>
      <w:r>
        <w:rPr>
          <w:rFonts w:hint="eastAsia"/>
        </w:rPr>
        <w:t>剩余法评估要点如下：</w:t>
      </w:r>
    </w:p>
    <w:p w14:paraId="704D8522" w14:textId="77777777" w:rsidR="00495C65" w:rsidRDefault="00495C65" w:rsidP="00495C65">
      <w:pPr>
        <w:pStyle w:val="13"/>
      </w:pPr>
      <w:r w:rsidRPr="003963FC">
        <w:t>a）估算开发完成后的农用地价格，可</w:t>
      </w:r>
      <w:proofErr w:type="gramStart"/>
      <w:r w:rsidRPr="003963FC">
        <w:t>根据待估农用</w:t>
      </w:r>
      <w:proofErr w:type="gramEnd"/>
      <w:r w:rsidRPr="003963FC">
        <w:t>地的最有效利用方式和当地农</w:t>
      </w:r>
      <w:r w:rsidRPr="003963FC">
        <w:rPr>
          <w:rFonts w:hint="eastAsia"/>
        </w:rPr>
        <w:t>用地市场现状及未来变化趋势，采用市场比较法进行。对开发完成后拟采用出租或自营方式的农用地价格，也可以根据同一市场状况采用收益还原法来确定其价格；</w:t>
      </w:r>
    </w:p>
    <w:p w14:paraId="68F956AB" w14:textId="77777777" w:rsidR="00495C65" w:rsidRDefault="00495C65" w:rsidP="00495C65">
      <w:pPr>
        <w:pStyle w:val="13"/>
      </w:pPr>
      <w:r>
        <w:lastRenderedPageBreak/>
        <w:t>b）开发周期和投资进度安排可参照类似的农用地开发过程进行确定；</w:t>
      </w:r>
    </w:p>
    <w:p w14:paraId="407EDEEC" w14:textId="77777777" w:rsidR="00495C65" w:rsidRDefault="00495C65" w:rsidP="00495C65">
      <w:pPr>
        <w:pStyle w:val="13"/>
      </w:pPr>
      <w:r>
        <w:t>c）开发成本是项目开发期间所发生的一切费用的总和，主要包括开发建设投资成</w:t>
      </w:r>
      <w:r w:rsidRPr="003963FC">
        <w:rPr>
          <w:rFonts w:hint="eastAsia"/>
        </w:rPr>
        <w:t>本、有关专业费用、投资利息和税收等；</w:t>
      </w:r>
    </w:p>
    <w:p w14:paraId="5E3AE6CA" w14:textId="77777777" w:rsidR="00495C65" w:rsidRDefault="00495C65" w:rsidP="00495C65">
      <w:pPr>
        <w:pStyle w:val="13"/>
      </w:pPr>
      <w:r w:rsidRPr="003963FC">
        <w:t>d）开发项目的正常利润一般以农用地总价格或全部预付资本的一定比例计算。利</w:t>
      </w:r>
      <w:r w:rsidRPr="003963FC">
        <w:rPr>
          <w:rFonts w:hint="eastAsia"/>
        </w:rPr>
        <w:t>润率宜采用同一市场上类似农用地开发项目的平均利润率进行确定。</w:t>
      </w:r>
    </w:p>
    <w:p w14:paraId="14B4B22C" w14:textId="77777777" w:rsidR="00495C65" w:rsidRDefault="00495C65" w:rsidP="00495C65">
      <w:pPr>
        <w:pStyle w:val="ab"/>
        <w:spacing w:before="62" w:after="62"/>
        <w:ind w:firstLine="482"/>
      </w:pPr>
      <w:r>
        <w:t xml:space="preserve">5.5 评分估价法 </w:t>
      </w:r>
    </w:p>
    <w:p w14:paraId="7323ECD7" w14:textId="77777777" w:rsidR="00495C65" w:rsidRDefault="00495C65" w:rsidP="00495C65">
      <w:pPr>
        <w:pStyle w:val="13"/>
      </w:pPr>
      <w:r>
        <w:t xml:space="preserve">5.5.1 内涵 </w:t>
      </w:r>
    </w:p>
    <w:p w14:paraId="4441F069" w14:textId="77777777" w:rsidR="00495C65" w:rsidRDefault="00495C65" w:rsidP="00495C65">
      <w:pPr>
        <w:pStyle w:val="13"/>
      </w:pPr>
      <w:r>
        <w:rPr>
          <w:rFonts w:hint="eastAsia"/>
        </w:rPr>
        <w:t>按照一定的原则，建立影响农用地价格的因素体系和因素评分标准，依据因素评分</w:t>
      </w:r>
      <w:r w:rsidRPr="00051574">
        <w:rPr>
          <w:rFonts w:hint="eastAsia"/>
        </w:rPr>
        <w:t>标准对待</w:t>
      </w:r>
      <w:proofErr w:type="gramStart"/>
      <w:r w:rsidRPr="00051574">
        <w:rPr>
          <w:rFonts w:hint="eastAsia"/>
        </w:rPr>
        <w:t>估</w:t>
      </w:r>
      <w:proofErr w:type="gramEnd"/>
      <w:r w:rsidRPr="00051574">
        <w:rPr>
          <w:rFonts w:hint="eastAsia"/>
        </w:rPr>
        <w:t>农用地的相应条件进行评价赋分，按其得分值的大小，乘以客观的农用地单位分值价格，从而得到农用地价格的一种估价方法。</w:t>
      </w:r>
    </w:p>
    <w:p w14:paraId="30B0D32C" w14:textId="77777777" w:rsidR="00495C65" w:rsidRDefault="00495C65" w:rsidP="00495C65">
      <w:pPr>
        <w:pStyle w:val="13"/>
      </w:pPr>
      <w:r w:rsidRPr="00051574">
        <w:t>5.5.2 适用范围</w:t>
      </w:r>
    </w:p>
    <w:p w14:paraId="0AA20F76" w14:textId="77777777" w:rsidR="00495C65" w:rsidRDefault="00495C65" w:rsidP="00495C65">
      <w:pPr>
        <w:pStyle w:val="13"/>
      </w:pPr>
      <w:r w:rsidRPr="00051574">
        <w:rPr>
          <w:rFonts w:hint="eastAsia"/>
        </w:rPr>
        <w:t>评分估价法适用于所有农用地价格评估，特别适用于成片农用地价格评估，但前提是先确定农用地单位分值价格。</w:t>
      </w:r>
    </w:p>
    <w:p w14:paraId="0637D87E" w14:textId="77777777" w:rsidR="00495C65" w:rsidRDefault="00495C65" w:rsidP="00495C65">
      <w:pPr>
        <w:pStyle w:val="13"/>
      </w:pPr>
      <w:r>
        <w:t xml:space="preserve">5.5.3 评估步骤 </w:t>
      </w:r>
    </w:p>
    <w:p w14:paraId="27791D36" w14:textId="77777777" w:rsidR="00495C65" w:rsidRDefault="00495C65" w:rsidP="00495C65">
      <w:pPr>
        <w:pStyle w:val="13"/>
      </w:pPr>
      <w:r>
        <w:rPr>
          <w:rFonts w:hint="eastAsia"/>
        </w:rPr>
        <w:t>评分估价法的评估步骤如下：</w:t>
      </w:r>
      <w:r>
        <w:t xml:space="preserve"> </w:t>
      </w:r>
    </w:p>
    <w:p w14:paraId="6C62665F" w14:textId="77777777" w:rsidR="00495C65" w:rsidRDefault="00495C65" w:rsidP="00495C65">
      <w:pPr>
        <w:pStyle w:val="13"/>
      </w:pPr>
      <w:r>
        <w:t>a）建立农用地价格影响因素体系；</w:t>
      </w:r>
    </w:p>
    <w:p w14:paraId="15FE4ED7" w14:textId="77777777" w:rsidR="00495C65" w:rsidRDefault="00495C65" w:rsidP="00495C65">
      <w:pPr>
        <w:pStyle w:val="13"/>
      </w:pPr>
      <w:r>
        <w:t>b）制定农用地价格影响因素评分标准；</w:t>
      </w:r>
    </w:p>
    <w:p w14:paraId="58233930" w14:textId="77777777" w:rsidR="00495C65" w:rsidRDefault="00495C65" w:rsidP="00495C65">
      <w:pPr>
        <w:pStyle w:val="13"/>
      </w:pPr>
      <w:r>
        <w:t>c）依据a）、b）对待</w:t>
      </w:r>
      <w:proofErr w:type="gramStart"/>
      <w:r>
        <w:t>估</w:t>
      </w:r>
      <w:proofErr w:type="gramEnd"/>
      <w:r>
        <w:t>宗地进行评分；</w:t>
      </w:r>
    </w:p>
    <w:p w14:paraId="5A55D149" w14:textId="77777777" w:rsidR="00495C65" w:rsidRDefault="00495C65" w:rsidP="00495C65">
      <w:pPr>
        <w:pStyle w:val="13"/>
      </w:pPr>
      <w:r>
        <w:t>d）确定客观的农用地单位分值价格；</w:t>
      </w:r>
    </w:p>
    <w:p w14:paraId="294AB81C" w14:textId="77777777" w:rsidR="00495C65" w:rsidRDefault="00495C65" w:rsidP="00495C65">
      <w:pPr>
        <w:pStyle w:val="13"/>
      </w:pPr>
      <w:r>
        <w:t>e）</w:t>
      </w:r>
      <w:proofErr w:type="gramStart"/>
      <w:r>
        <w:t>计算待估宗地</w:t>
      </w:r>
      <w:proofErr w:type="gramEnd"/>
      <w:r>
        <w:t>价格。</w:t>
      </w:r>
    </w:p>
    <w:p w14:paraId="3285D4CD" w14:textId="77777777" w:rsidR="00495C65" w:rsidRDefault="00495C65" w:rsidP="00495C65">
      <w:pPr>
        <w:pStyle w:val="13"/>
      </w:pPr>
      <w:r w:rsidRPr="00051574">
        <w:t>5.5.4 建立农用地价格影响因素体系</w:t>
      </w:r>
    </w:p>
    <w:p w14:paraId="53419304" w14:textId="77777777" w:rsidR="00495C65" w:rsidRDefault="00495C65" w:rsidP="00495C65">
      <w:pPr>
        <w:pStyle w:val="13"/>
      </w:pPr>
      <w:r w:rsidRPr="00051574">
        <w:rPr>
          <w:rFonts w:hint="eastAsia"/>
        </w:rPr>
        <w:t>农用地价格影响因素体系</w:t>
      </w:r>
      <w:proofErr w:type="gramStart"/>
      <w:r w:rsidRPr="00051574">
        <w:rPr>
          <w:rFonts w:hint="eastAsia"/>
        </w:rPr>
        <w:t>建立见</w:t>
      </w:r>
      <w:proofErr w:type="gramEnd"/>
      <w:r w:rsidRPr="00051574">
        <w:rPr>
          <w:rFonts w:hint="eastAsia"/>
        </w:rPr>
        <w:t>附录</w:t>
      </w:r>
      <w:r w:rsidRPr="00051574">
        <w:t>A和附录B，由县（市）级土地行政主管部门根据当地的实际情况制定。</w:t>
      </w:r>
    </w:p>
    <w:p w14:paraId="15B1D26D" w14:textId="77777777" w:rsidR="00495C65" w:rsidRDefault="00495C65" w:rsidP="00495C65">
      <w:pPr>
        <w:pStyle w:val="13"/>
      </w:pPr>
      <w:r>
        <w:t xml:space="preserve">5.5.5 制定农用地价格影响因素评分标准 </w:t>
      </w:r>
    </w:p>
    <w:p w14:paraId="61E26E7F" w14:textId="77777777" w:rsidR="00495C65" w:rsidRDefault="00495C65" w:rsidP="00495C65">
      <w:pPr>
        <w:pStyle w:val="13"/>
      </w:pPr>
      <w:r>
        <w:rPr>
          <w:rFonts w:hint="eastAsia"/>
        </w:rPr>
        <w:t>由县（市、区）级土地行政主管部门依据农用地价格影响因素体系制定本区域的农</w:t>
      </w:r>
      <w:r w:rsidRPr="00051574">
        <w:rPr>
          <w:rFonts w:hint="eastAsia"/>
        </w:rPr>
        <w:t>用地评分表。对农用地价格影响越大的因素，评分值越高。</w:t>
      </w:r>
    </w:p>
    <w:p w14:paraId="46B5E23E" w14:textId="77777777" w:rsidR="00495C65" w:rsidRDefault="00495C65" w:rsidP="00495C65">
      <w:pPr>
        <w:pStyle w:val="13"/>
      </w:pPr>
      <w:r w:rsidRPr="00051574">
        <w:rPr>
          <w:rFonts w:hint="eastAsia"/>
        </w:rPr>
        <w:t>自然因素和社会经济因素的得分之和最高为</w:t>
      </w:r>
      <w:r w:rsidRPr="00051574">
        <w:t>100。</w:t>
      </w:r>
    </w:p>
    <w:p w14:paraId="4AB531C6" w14:textId="77777777" w:rsidR="00495C65" w:rsidRDefault="00495C65" w:rsidP="00495C65">
      <w:pPr>
        <w:pStyle w:val="13"/>
      </w:pPr>
      <w:proofErr w:type="gramStart"/>
      <w:r w:rsidRPr="00051574">
        <w:rPr>
          <w:rFonts w:hint="eastAsia"/>
        </w:rPr>
        <w:t>当待估</w:t>
      </w:r>
      <w:proofErr w:type="gramEnd"/>
      <w:r w:rsidRPr="00051574">
        <w:rPr>
          <w:rFonts w:hint="eastAsia"/>
        </w:rPr>
        <w:t>农用地没有特殊因素时，特殊因素的得分为</w:t>
      </w:r>
      <w:r w:rsidRPr="00051574">
        <w:t>0；当有特殊因素时，可根据特殊因素对农用地的实际影响程度对其进行评分。</w:t>
      </w:r>
    </w:p>
    <w:p w14:paraId="24435D30" w14:textId="77777777" w:rsidR="00495C65" w:rsidRDefault="00495C65" w:rsidP="00495C65">
      <w:pPr>
        <w:pStyle w:val="13"/>
      </w:pPr>
      <w:r>
        <w:t xml:space="preserve">5.5.6 </w:t>
      </w:r>
      <w:proofErr w:type="gramStart"/>
      <w:r>
        <w:t>调查待估宗地</w:t>
      </w:r>
      <w:proofErr w:type="gramEnd"/>
      <w:r>
        <w:t>的基本情况，对待</w:t>
      </w:r>
      <w:proofErr w:type="gramStart"/>
      <w:r>
        <w:t>估</w:t>
      </w:r>
      <w:proofErr w:type="gramEnd"/>
      <w:r>
        <w:t xml:space="preserve">宗地进行评分。 </w:t>
      </w:r>
    </w:p>
    <w:p w14:paraId="475AAF43" w14:textId="77777777" w:rsidR="00495C65" w:rsidRDefault="00495C65" w:rsidP="00495C65">
      <w:pPr>
        <w:pStyle w:val="13"/>
      </w:pPr>
      <w:r>
        <w:rPr>
          <w:rFonts w:hint="eastAsia"/>
        </w:rPr>
        <w:t>按照农用地评分表的因素体系，逐项对待</w:t>
      </w:r>
      <w:proofErr w:type="gramStart"/>
      <w:r>
        <w:rPr>
          <w:rFonts w:hint="eastAsia"/>
        </w:rPr>
        <w:t>估</w:t>
      </w:r>
      <w:proofErr w:type="gramEnd"/>
      <w:r>
        <w:rPr>
          <w:rFonts w:hint="eastAsia"/>
        </w:rPr>
        <w:t>宗地的基本情况进行调查，并确定各因</w:t>
      </w:r>
      <w:r w:rsidRPr="00051574">
        <w:rPr>
          <w:rFonts w:hint="eastAsia"/>
        </w:rPr>
        <w:t>素的分值。</w:t>
      </w:r>
    </w:p>
    <w:p w14:paraId="7D027959" w14:textId="77777777" w:rsidR="00495C65" w:rsidRDefault="00495C65" w:rsidP="00495C65">
      <w:pPr>
        <w:pStyle w:val="13"/>
      </w:pPr>
      <w:r w:rsidRPr="00051574">
        <w:t>5.5.7 确定单位分值价格</w:t>
      </w:r>
    </w:p>
    <w:p w14:paraId="62F64DA1" w14:textId="77777777" w:rsidR="00495C65" w:rsidRDefault="00495C65" w:rsidP="00495C65">
      <w:pPr>
        <w:pStyle w:val="13"/>
      </w:pPr>
      <w:r w:rsidRPr="00051574">
        <w:rPr>
          <w:rFonts w:hint="eastAsia"/>
        </w:rPr>
        <w:t>农用地单位分值价格是指一定区域范围内，一定时期，农用地分值与农用地价格</w:t>
      </w:r>
      <w:r w:rsidRPr="00051574">
        <w:rPr>
          <w:rFonts w:hint="eastAsia"/>
        </w:rPr>
        <w:lastRenderedPageBreak/>
        <w:t>进行转换的价格。由县（市）级土地行政主管部门确定该县统一的农用地单位分值价格。农用地单位分值价格可用农用地市场价格资料进行回归求取。</w:t>
      </w:r>
    </w:p>
    <w:p w14:paraId="1E0D14E6" w14:textId="77777777" w:rsidR="00495C65" w:rsidRDefault="00495C65" w:rsidP="00495C65">
      <w:pPr>
        <w:pStyle w:val="13"/>
      </w:pPr>
      <w:r w:rsidRPr="00051574">
        <w:rPr>
          <w:rFonts w:hint="eastAsia"/>
        </w:rPr>
        <w:t>农用地单位分值价格的回归模型有两种类型，见式（</w:t>
      </w:r>
      <w:r w:rsidRPr="00051574">
        <w:t>14）和式（15）：</w:t>
      </w:r>
    </w:p>
    <w:p w14:paraId="76E7753F" w14:textId="77777777" w:rsidR="00495C65" w:rsidRDefault="00495C65" w:rsidP="00495C65">
      <w:pPr>
        <w:pStyle w:val="13"/>
        <w:ind w:firstLineChars="1200" w:firstLine="2880"/>
      </w:pPr>
      <w:r w:rsidRPr="00051574">
        <w:t>P</w:t>
      </w:r>
      <w:r w:rsidRPr="00051574">
        <w:rPr>
          <w:vertAlign w:val="subscript"/>
        </w:rPr>
        <w:t>B</w:t>
      </w:r>
      <w:r w:rsidRPr="00051574">
        <w:t xml:space="preserve">=C×S                   </w:t>
      </w:r>
      <w:r>
        <w:t xml:space="preserve">        </w:t>
      </w:r>
      <w:r w:rsidRPr="00051574">
        <w:t xml:space="preserve">         （14）</w:t>
      </w:r>
    </w:p>
    <w:p w14:paraId="2889ECD9" w14:textId="77777777" w:rsidR="00495C65" w:rsidRDefault="00495C65" w:rsidP="00495C65">
      <w:pPr>
        <w:pStyle w:val="13"/>
      </w:pPr>
      <w:r w:rsidRPr="00051574">
        <w:rPr>
          <w:rFonts w:hint="eastAsia"/>
        </w:rPr>
        <w:t>式中：</w:t>
      </w:r>
    </w:p>
    <w:p w14:paraId="4E4FF728" w14:textId="084BD643" w:rsidR="00495C65" w:rsidRDefault="00495C65" w:rsidP="00495C65">
      <w:pPr>
        <w:pStyle w:val="13"/>
        <w:ind w:firstLineChars="500" w:firstLine="1200"/>
      </w:pPr>
      <w:r>
        <w:t>P</w:t>
      </w:r>
      <w:r w:rsidRPr="00051574">
        <w:rPr>
          <w:vertAlign w:val="subscript"/>
        </w:rPr>
        <w:t>B</w:t>
      </w:r>
      <w:r>
        <w:t>——农用地价格</w:t>
      </w:r>
      <w:r w:rsidR="003068F8">
        <w:t>；</w:t>
      </w:r>
    </w:p>
    <w:p w14:paraId="6CC98774" w14:textId="77777777" w:rsidR="00495C65" w:rsidRDefault="00495C65" w:rsidP="00495C65">
      <w:pPr>
        <w:pStyle w:val="13"/>
        <w:ind w:firstLineChars="500" w:firstLine="1200"/>
      </w:pPr>
      <w:r>
        <w:t>C——农用地单位分值价格；</w:t>
      </w:r>
    </w:p>
    <w:p w14:paraId="0A5E69C0" w14:textId="77777777" w:rsidR="00495C65" w:rsidRDefault="00495C65" w:rsidP="00495C65">
      <w:pPr>
        <w:pStyle w:val="13"/>
        <w:ind w:firstLineChars="500" w:firstLine="1200"/>
      </w:pPr>
      <w:r>
        <w:t>S——农用地总分值。</w:t>
      </w:r>
    </w:p>
    <w:p w14:paraId="630BA0EC" w14:textId="77777777" w:rsidR="00495C65" w:rsidRDefault="00495C65" w:rsidP="00495C65">
      <w:pPr>
        <w:pStyle w:val="13"/>
        <w:ind w:firstLineChars="1200" w:firstLine="2880"/>
      </w:pPr>
      <w:r w:rsidRPr="00051574">
        <w:t>P</w:t>
      </w:r>
      <w:r w:rsidRPr="00051574">
        <w:rPr>
          <w:vertAlign w:val="subscript"/>
        </w:rPr>
        <w:t>B</w:t>
      </w:r>
      <w:r w:rsidRPr="00051574">
        <w:t>=A×S</w:t>
      </w:r>
      <w:r w:rsidRPr="00051574">
        <w:rPr>
          <w:vertAlign w:val="superscript"/>
        </w:rPr>
        <w:t>C</w:t>
      </w:r>
      <w:r w:rsidRPr="00051574">
        <w:t xml:space="preserve">                                  （1</w:t>
      </w:r>
      <w:r>
        <w:t>5</w:t>
      </w:r>
      <w:r w:rsidRPr="00051574">
        <w:t>）</w:t>
      </w:r>
    </w:p>
    <w:p w14:paraId="50296416" w14:textId="77777777" w:rsidR="00495C65" w:rsidRDefault="00495C65" w:rsidP="00495C65">
      <w:pPr>
        <w:pStyle w:val="13"/>
      </w:pPr>
      <w:r w:rsidRPr="008313D8">
        <w:rPr>
          <w:rFonts w:hint="eastAsia"/>
        </w:rPr>
        <w:t>式中：</w:t>
      </w:r>
    </w:p>
    <w:p w14:paraId="5EF17E7A" w14:textId="77777777" w:rsidR="00495C65" w:rsidRDefault="00495C65" w:rsidP="00495C65">
      <w:pPr>
        <w:pStyle w:val="13"/>
        <w:ind w:firstLineChars="500" w:firstLine="1200"/>
      </w:pPr>
      <w:r w:rsidRPr="008313D8">
        <w:t>P</w:t>
      </w:r>
      <w:r w:rsidRPr="008313D8">
        <w:rPr>
          <w:vertAlign w:val="subscript"/>
        </w:rPr>
        <w:t>B</w:t>
      </w:r>
      <w:r w:rsidRPr="008313D8">
        <w:t>、C、S含义同式（14）；</w:t>
      </w:r>
    </w:p>
    <w:p w14:paraId="718DEA08" w14:textId="77777777" w:rsidR="00495C65" w:rsidRDefault="00495C65" w:rsidP="00495C65">
      <w:pPr>
        <w:pStyle w:val="13"/>
        <w:ind w:firstLineChars="500" w:firstLine="1200"/>
      </w:pPr>
      <w:r w:rsidRPr="008313D8">
        <w:t>A——回归系数。</w:t>
      </w:r>
    </w:p>
    <w:p w14:paraId="6C581B55" w14:textId="77777777" w:rsidR="00495C65" w:rsidRDefault="00495C65" w:rsidP="00495C65">
      <w:pPr>
        <w:pStyle w:val="13"/>
      </w:pPr>
      <w:r w:rsidRPr="004B616F">
        <w:rPr>
          <w:rFonts w:hint="eastAsia"/>
        </w:rPr>
        <w:t>县（市）级土地行政主管部门根据本县的实际情况，从以上两种回归模型中选取一种，求取农用地单位分值价格。</w:t>
      </w:r>
    </w:p>
    <w:p w14:paraId="0B1D7169" w14:textId="77777777" w:rsidR="00495C65" w:rsidRDefault="00495C65" w:rsidP="00495C65">
      <w:pPr>
        <w:pStyle w:val="13"/>
      </w:pPr>
      <w:r>
        <w:t xml:space="preserve">5.5.8 </w:t>
      </w:r>
      <w:proofErr w:type="gramStart"/>
      <w:r>
        <w:t>待估宗地</w:t>
      </w:r>
      <w:proofErr w:type="gramEnd"/>
      <w:r>
        <w:t xml:space="preserve">价格计算 </w:t>
      </w:r>
    </w:p>
    <w:p w14:paraId="0394816B" w14:textId="77777777" w:rsidR="00495C65" w:rsidRDefault="00495C65" w:rsidP="00495C65">
      <w:pPr>
        <w:pStyle w:val="13"/>
      </w:pPr>
      <w:r>
        <w:rPr>
          <w:rFonts w:hint="eastAsia"/>
        </w:rPr>
        <w:t>选择适当的公式</w:t>
      </w:r>
      <w:proofErr w:type="gramStart"/>
      <w:r>
        <w:rPr>
          <w:rFonts w:hint="eastAsia"/>
        </w:rPr>
        <w:t>计算待估宗地</w:t>
      </w:r>
      <w:proofErr w:type="gramEnd"/>
      <w:r>
        <w:rPr>
          <w:rFonts w:hint="eastAsia"/>
        </w:rPr>
        <w:t>的价格。</w:t>
      </w:r>
    </w:p>
    <w:p w14:paraId="7335A927" w14:textId="77777777" w:rsidR="00495C65" w:rsidRDefault="00495C65" w:rsidP="00495C65">
      <w:pPr>
        <w:pStyle w:val="13"/>
      </w:pPr>
      <w:r>
        <w:t>农用地价格的计算公式见式（16）：</w:t>
      </w:r>
    </w:p>
    <w:p w14:paraId="6CA741B7" w14:textId="77777777" w:rsidR="00495C65" w:rsidRDefault="00495C65" w:rsidP="00495C65">
      <w:pPr>
        <w:pStyle w:val="13"/>
        <w:ind w:firstLineChars="1200" w:firstLine="2880"/>
      </w:pPr>
      <w:r w:rsidRPr="004B616F">
        <w:t>P</w:t>
      </w:r>
      <w:r w:rsidRPr="004B616F">
        <w:rPr>
          <w:vertAlign w:val="subscript"/>
        </w:rPr>
        <w:t>B</w:t>
      </w:r>
      <w:r w:rsidRPr="004B616F">
        <w:t>=C×S或P</w:t>
      </w:r>
      <w:r w:rsidRPr="004B616F">
        <w:rPr>
          <w:vertAlign w:val="subscript"/>
        </w:rPr>
        <w:t>B</w:t>
      </w:r>
      <w:r w:rsidRPr="004B616F">
        <w:t>=A×S</w:t>
      </w:r>
      <w:r w:rsidRPr="004B616F">
        <w:rPr>
          <w:vertAlign w:val="superscript"/>
        </w:rPr>
        <w:t>C</w:t>
      </w:r>
      <w:r w:rsidRPr="004B616F">
        <w:t xml:space="preserve">                        （16）</w:t>
      </w:r>
    </w:p>
    <w:p w14:paraId="6790EFC1" w14:textId="77777777" w:rsidR="00495C65" w:rsidRDefault="00495C65" w:rsidP="00495C65">
      <w:pPr>
        <w:pStyle w:val="13"/>
      </w:pPr>
      <w:r w:rsidRPr="005C036F">
        <w:rPr>
          <w:rFonts w:hint="eastAsia"/>
        </w:rPr>
        <w:t>式中：</w:t>
      </w:r>
    </w:p>
    <w:p w14:paraId="3E4ABD11" w14:textId="77777777" w:rsidR="00495C65" w:rsidRDefault="00495C65" w:rsidP="00495C65">
      <w:pPr>
        <w:pStyle w:val="13"/>
        <w:ind w:firstLineChars="500" w:firstLine="1200"/>
      </w:pPr>
      <w:r w:rsidRPr="005C036F">
        <w:t>P——</w:t>
      </w:r>
      <w:proofErr w:type="gramStart"/>
      <w:r w:rsidRPr="005C036F">
        <w:t>待估农用</w:t>
      </w:r>
      <w:proofErr w:type="gramEnd"/>
      <w:r w:rsidRPr="005C036F">
        <w:t>地价格；</w:t>
      </w:r>
    </w:p>
    <w:p w14:paraId="54441BFA" w14:textId="77777777" w:rsidR="00495C65" w:rsidRDefault="00495C65" w:rsidP="00495C65">
      <w:pPr>
        <w:pStyle w:val="13"/>
        <w:ind w:firstLineChars="500" w:firstLine="1200"/>
      </w:pPr>
      <w:r w:rsidRPr="005C036F">
        <w:t>C——农用地单位分值价格；</w:t>
      </w:r>
    </w:p>
    <w:p w14:paraId="53F227C0" w14:textId="77777777" w:rsidR="00495C65" w:rsidRDefault="00495C65" w:rsidP="00495C65">
      <w:pPr>
        <w:pStyle w:val="13"/>
        <w:ind w:firstLineChars="500" w:firstLine="1200"/>
      </w:pPr>
      <w:r w:rsidRPr="005C036F">
        <w:t>S——</w:t>
      </w:r>
      <w:proofErr w:type="gramStart"/>
      <w:r w:rsidRPr="005C036F">
        <w:t>待估农用</w:t>
      </w:r>
      <w:proofErr w:type="gramEnd"/>
      <w:r w:rsidRPr="005C036F">
        <w:t>地的总分值；</w:t>
      </w:r>
    </w:p>
    <w:p w14:paraId="0BEBDA1A" w14:textId="77777777" w:rsidR="00495C65" w:rsidRDefault="00495C65" w:rsidP="00495C65">
      <w:pPr>
        <w:pStyle w:val="13"/>
        <w:ind w:firstLineChars="500" w:firstLine="1200"/>
      </w:pPr>
      <w:r w:rsidRPr="005C036F">
        <w:t>A——回归系数。</w:t>
      </w:r>
    </w:p>
    <w:p w14:paraId="721AD9C1" w14:textId="77777777" w:rsidR="00495C65" w:rsidRDefault="00495C65" w:rsidP="00495C65">
      <w:pPr>
        <w:pStyle w:val="13"/>
      </w:pPr>
      <w:r>
        <w:t xml:space="preserve">5.5.9 对农用地价格进行年期修正 </w:t>
      </w:r>
    </w:p>
    <w:p w14:paraId="0B20B7CE" w14:textId="77777777" w:rsidR="00495C65" w:rsidRDefault="00495C65" w:rsidP="00495C65">
      <w:pPr>
        <w:pStyle w:val="13"/>
      </w:pPr>
      <w:r>
        <w:rPr>
          <w:rFonts w:hint="eastAsia"/>
        </w:rPr>
        <w:t>若求取的是有限年期的农用地价格时，需进行年期修正：</w:t>
      </w:r>
    </w:p>
    <w:p w14:paraId="01380287" w14:textId="77777777" w:rsidR="00495C65" w:rsidRDefault="00495C65" w:rsidP="00495C65">
      <w:pPr>
        <w:pStyle w:val="13"/>
      </w:pPr>
      <w:r>
        <w:t>a）年期修正同式（11）；</w:t>
      </w:r>
    </w:p>
    <w:p w14:paraId="5CC59A5B" w14:textId="77777777" w:rsidR="00495C65" w:rsidRDefault="00495C65" w:rsidP="00495C65">
      <w:pPr>
        <w:pStyle w:val="13"/>
      </w:pPr>
      <w:r>
        <w:t>b）年期修正系数同式（12）。</w:t>
      </w:r>
    </w:p>
    <w:p w14:paraId="23BF806F" w14:textId="77777777" w:rsidR="00495C65" w:rsidRDefault="00495C65" w:rsidP="00495C65">
      <w:pPr>
        <w:pStyle w:val="ab"/>
        <w:spacing w:before="62" w:after="62"/>
        <w:ind w:firstLine="482"/>
      </w:pPr>
      <w:r>
        <w:t xml:space="preserve">5.6 基准地价修正法 </w:t>
      </w:r>
    </w:p>
    <w:p w14:paraId="04AEEC6F" w14:textId="77777777" w:rsidR="00495C65" w:rsidRDefault="00495C65" w:rsidP="00495C65">
      <w:pPr>
        <w:pStyle w:val="13"/>
      </w:pPr>
      <w:r>
        <w:t xml:space="preserve">5.6.1 适用范围 </w:t>
      </w:r>
    </w:p>
    <w:p w14:paraId="45B10417" w14:textId="77777777" w:rsidR="00495C65" w:rsidRDefault="00495C65" w:rsidP="00495C65">
      <w:pPr>
        <w:pStyle w:val="13"/>
      </w:pPr>
      <w:r>
        <w:rPr>
          <w:rFonts w:hint="eastAsia"/>
        </w:rPr>
        <w:t>利用基准地价成果评估宗地价适用于有基准地价成果区域的农用地价格评估。</w:t>
      </w:r>
    </w:p>
    <w:p w14:paraId="32F6AED0" w14:textId="77777777" w:rsidR="00495C65" w:rsidRDefault="00495C65" w:rsidP="00495C65">
      <w:pPr>
        <w:pStyle w:val="13"/>
      </w:pPr>
      <w:r>
        <w:t xml:space="preserve">5.6.2 系数修正法 </w:t>
      </w:r>
    </w:p>
    <w:p w14:paraId="3C9D2DD7" w14:textId="77777777" w:rsidR="00495C65" w:rsidRDefault="00495C65" w:rsidP="00495C65">
      <w:pPr>
        <w:pStyle w:val="13"/>
      </w:pPr>
      <w:r>
        <w:t xml:space="preserve">5.6.2.1 基准地价系数修正法的公式 </w:t>
      </w:r>
    </w:p>
    <w:p w14:paraId="74F4677F" w14:textId="77777777" w:rsidR="00495C65" w:rsidRDefault="00495C65" w:rsidP="00495C65">
      <w:pPr>
        <w:pStyle w:val="13"/>
      </w:pPr>
      <w:r>
        <w:rPr>
          <w:noProof/>
        </w:rPr>
        <w:drawing>
          <wp:anchor distT="0" distB="0" distL="114300" distR="114300" simplePos="0" relativeHeight="251675648" behindDoc="1" locked="0" layoutInCell="1" allowOverlap="1" wp14:anchorId="1B5C45BF" wp14:editId="3DEC6F41">
            <wp:simplePos x="0" y="0"/>
            <wp:positionH relativeFrom="column">
              <wp:posOffset>1509910</wp:posOffset>
            </wp:positionH>
            <wp:positionV relativeFrom="paragraph">
              <wp:posOffset>213300</wp:posOffset>
            </wp:positionV>
            <wp:extent cx="2587925" cy="375173"/>
            <wp:effectExtent l="0" t="0" r="3175" b="6350"/>
            <wp:wrapNone/>
            <wp:docPr id="3278" name="图片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587925" cy="375173"/>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系数修正法公式见式（</w:t>
      </w:r>
      <w:r>
        <w:t>17）：</w:t>
      </w:r>
    </w:p>
    <w:p w14:paraId="5F335D89" w14:textId="77777777" w:rsidR="00495C65" w:rsidRDefault="00495C65" w:rsidP="00495C65">
      <w:pPr>
        <w:pStyle w:val="13"/>
      </w:pPr>
      <w:r w:rsidRPr="00441EDB">
        <w:t xml:space="preserve">                                                                （1</w:t>
      </w:r>
      <w:r>
        <w:t>7</w:t>
      </w:r>
      <w:r w:rsidRPr="00441EDB">
        <w:t>）</w:t>
      </w:r>
    </w:p>
    <w:p w14:paraId="509827E9" w14:textId="77777777" w:rsidR="00495C65" w:rsidRDefault="00495C65" w:rsidP="00495C65">
      <w:pPr>
        <w:pStyle w:val="13"/>
      </w:pPr>
      <w:r w:rsidRPr="00453A74">
        <w:rPr>
          <w:rFonts w:hint="eastAsia"/>
        </w:rPr>
        <w:lastRenderedPageBreak/>
        <w:t>式中：</w:t>
      </w:r>
    </w:p>
    <w:p w14:paraId="783FF8FF" w14:textId="77777777" w:rsidR="00495C65" w:rsidRDefault="00495C65" w:rsidP="00495C65">
      <w:pPr>
        <w:pStyle w:val="13"/>
        <w:ind w:firstLineChars="500" w:firstLine="1200"/>
      </w:pPr>
      <w:r w:rsidRPr="00453A74">
        <w:t>P——</w:t>
      </w:r>
      <w:proofErr w:type="gramStart"/>
      <w:r w:rsidRPr="00453A74">
        <w:t>待估农用</w:t>
      </w:r>
      <w:proofErr w:type="gramEnd"/>
      <w:r w:rsidRPr="00453A74">
        <w:t>地价格；</w:t>
      </w:r>
    </w:p>
    <w:p w14:paraId="4940494B" w14:textId="77777777" w:rsidR="00495C65" w:rsidRDefault="00495C65" w:rsidP="00495C65">
      <w:pPr>
        <w:pStyle w:val="13"/>
        <w:ind w:firstLineChars="500" w:firstLine="1200"/>
      </w:pPr>
      <w:r>
        <w:rPr>
          <w:noProof/>
        </w:rPr>
        <w:drawing>
          <wp:anchor distT="0" distB="0" distL="114300" distR="114300" simplePos="0" relativeHeight="251676672" behindDoc="1" locked="0" layoutInCell="1" allowOverlap="1" wp14:anchorId="3274D34D" wp14:editId="46DAFDC6">
            <wp:simplePos x="0" y="0"/>
            <wp:positionH relativeFrom="column">
              <wp:posOffset>672465</wp:posOffset>
            </wp:positionH>
            <wp:positionV relativeFrom="paragraph">
              <wp:posOffset>226695</wp:posOffset>
            </wp:positionV>
            <wp:extent cx="503555" cy="275590"/>
            <wp:effectExtent l="0" t="0" r="0" b="0"/>
            <wp:wrapNone/>
            <wp:docPr id="3279" name="图片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03555" cy="275590"/>
                    </a:xfrm>
                    <a:prstGeom prst="rect">
                      <a:avLst/>
                    </a:prstGeom>
                  </pic:spPr>
                </pic:pic>
              </a:graphicData>
            </a:graphic>
            <wp14:sizeRelH relativeFrom="margin">
              <wp14:pctWidth>0</wp14:pctWidth>
            </wp14:sizeRelH>
            <wp14:sizeRelV relativeFrom="margin">
              <wp14:pctHeight>0</wp14:pctHeight>
            </wp14:sizeRelV>
          </wp:anchor>
        </w:drawing>
      </w:r>
      <w:r w:rsidRPr="00453A74">
        <w:t>P</w:t>
      </w:r>
      <w:r w:rsidRPr="00213C22">
        <w:rPr>
          <w:vertAlign w:val="subscript"/>
        </w:rPr>
        <w:t>0</w:t>
      </w:r>
      <w:r w:rsidRPr="00453A74">
        <w:t>——基准地价；</w:t>
      </w:r>
    </w:p>
    <w:p w14:paraId="4248A96C" w14:textId="77777777" w:rsidR="00495C65" w:rsidRDefault="00495C65" w:rsidP="00495C65">
      <w:pPr>
        <w:pStyle w:val="13"/>
        <w:ind w:firstLineChars="500" w:firstLine="1200"/>
      </w:pPr>
      <w:r>
        <w:rPr>
          <w:rFonts w:hint="eastAsia"/>
        </w:rPr>
        <w:t xml:space="preserve"> </w:t>
      </w:r>
      <w:r>
        <w:t xml:space="preserve">    </w:t>
      </w:r>
      <w:r w:rsidRPr="00453A74">
        <w:rPr>
          <w:rFonts w:hint="eastAsia"/>
        </w:rPr>
        <w:t>——宗地地价影响因素修正系数和；</w:t>
      </w:r>
    </w:p>
    <w:p w14:paraId="789872A4" w14:textId="77777777" w:rsidR="00495C65" w:rsidRDefault="00495C65" w:rsidP="00495C65">
      <w:pPr>
        <w:pStyle w:val="13"/>
        <w:ind w:firstLineChars="500" w:firstLine="1200"/>
      </w:pPr>
      <w:r>
        <w:t>K</w:t>
      </w:r>
      <w:r w:rsidRPr="00213C22">
        <w:rPr>
          <w:vertAlign w:val="subscript"/>
        </w:rPr>
        <w:t>t</w:t>
      </w:r>
      <w:r>
        <w:t>——交易期日修正系数；</w:t>
      </w:r>
    </w:p>
    <w:p w14:paraId="0B72F8B0" w14:textId="77777777" w:rsidR="00495C65" w:rsidRDefault="00495C65" w:rsidP="00495C65">
      <w:pPr>
        <w:pStyle w:val="13"/>
        <w:ind w:firstLineChars="500" w:firstLine="1200"/>
      </w:pPr>
      <w:r>
        <w:t>K</w:t>
      </w:r>
      <w:r w:rsidRPr="00213C22">
        <w:rPr>
          <w:vertAlign w:val="subscript"/>
        </w:rPr>
        <w:t>y</w:t>
      </w:r>
      <w:r>
        <w:t>——年期修正系数。</w:t>
      </w:r>
    </w:p>
    <w:p w14:paraId="54BB3C32" w14:textId="77777777" w:rsidR="00495C65" w:rsidRDefault="00495C65" w:rsidP="00495C65">
      <w:pPr>
        <w:pStyle w:val="13"/>
      </w:pPr>
      <w:r>
        <w:t xml:space="preserve">5.6.2.2 评估步骤 </w:t>
      </w:r>
    </w:p>
    <w:p w14:paraId="2E013636" w14:textId="77777777" w:rsidR="00495C65" w:rsidRDefault="00495C65" w:rsidP="00495C65">
      <w:pPr>
        <w:pStyle w:val="13"/>
      </w:pPr>
      <w:r>
        <w:rPr>
          <w:rFonts w:hint="eastAsia"/>
        </w:rPr>
        <w:t>系数修正法的评估步骤如下：</w:t>
      </w:r>
    </w:p>
    <w:p w14:paraId="7F898C9B" w14:textId="77777777" w:rsidR="00495C65" w:rsidRDefault="00495C65" w:rsidP="00495C65">
      <w:pPr>
        <w:pStyle w:val="13"/>
      </w:pPr>
      <w:r w:rsidRPr="00213C22">
        <w:t>a）搜集有关基准地价资料：包括基准地价报告、基准地价图、宗地地价修正体系及有关各种地价影响因素资料等；</w:t>
      </w:r>
    </w:p>
    <w:p w14:paraId="5AE41217" w14:textId="77777777" w:rsidR="00495C65" w:rsidRDefault="00495C65" w:rsidP="00495C65">
      <w:pPr>
        <w:pStyle w:val="13"/>
      </w:pPr>
      <w:r>
        <w:t>b）却等待</w:t>
      </w:r>
      <w:proofErr w:type="gramStart"/>
      <w:r>
        <w:t>估</w:t>
      </w:r>
      <w:proofErr w:type="gramEnd"/>
      <w:r>
        <w:t>宗地所处级别及基准地价：根据当地农用地基准地价评估报告、基准地</w:t>
      </w:r>
    </w:p>
    <w:p w14:paraId="7A96D8E3" w14:textId="7C6A9994" w:rsidR="00495C65" w:rsidRDefault="00495C65" w:rsidP="00495C65">
      <w:pPr>
        <w:pStyle w:val="13"/>
      </w:pPr>
      <w:proofErr w:type="gramStart"/>
      <w:r>
        <w:rPr>
          <w:rFonts w:hint="eastAsia"/>
        </w:rPr>
        <w:t>价图和</w:t>
      </w:r>
      <w:proofErr w:type="gramEnd"/>
      <w:r>
        <w:rPr>
          <w:rFonts w:hint="eastAsia"/>
        </w:rPr>
        <w:t>有关基准地价批文，却等待</w:t>
      </w:r>
      <w:proofErr w:type="gramStart"/>
      <w:r>
        <w:rPr>
          <w:rFonts w:hint="eastAsia"/>
        </w:rPr>
        <w:t>估</w:t>
      </w:r>
      <w:proofErr w:type="gramEnd"/>
      <w:r>
        <w:rPr>
          <w:rFonts w:hint="eastAsia"/>
        </w:rPr>
        <w:t>宗地所处级别及基准地价，并说明基准地价内涵</w:t>
      </w:r>
      <w:r w:rsidR="003068F8">
        <w:rPr>
          <w:rFonts w:hint="eastAsia"/>
        </w:rPr>
        <w:t>；</w:t>
      </w:r>
    </w:p>
    <w:p w14:paraId="080B892F" w14:textId="381803CF" w:rsidR="00495C65" w:rsidRDefault="00495C65" w:rsidP="00495C65">
      <w:pPr>
        <w:pStyle w:val="13"/>
      </w:pPr>
      <w:r>
        <w:t>c）</w:t>
      </w:r>
      <w:proofErr w:type="gramStart"/>
      <w:r>
        <w:t>分析待估宗地</w:t>
      </w:r>
      <w:proofErr w:type="gramEnd"/>
      <w:r>
        <w:t>的地价影响因素，</w:t>
      </w:r>
      <w:proofErr w:type="gramStart"/>
      <w:r>
        <w:t>编制待估宗地</w:t>
      </w:r>
      <w:proofErr w:type="gramEnd"/>
      <w:r>
        <w:t>地价影响因素条件说明表：按照影响因素指标说明表中的影响因素体系</w:t>
      </w:r>
      <w:proofErr w:type="gramStart"/>
      <w:r>
        <w:t>调查待估宗地</w:t>
      </w:r>
      <w:proofErr w:type="gramEnd"/>
      <w:r>
        <w:t>的各影响因素状况，并对各因素状况进行准确描述</w:t>
      </w:r>
      <w:r w:rsidR="003068F8">
        <w:t>；</w:t>
      </w:r>
    </w:p>
    <w:p w14:paraId="3D9A8859" w14:textId="77777777" w:rsidR="00495C65" w:rsidRDefault="00495C65" w:rsidP="00495C65">
      <w:pPr>
        <w:pStyle w:val="13"/>
      </w:pPr>
      <w:r>
        <w:rPr>
          <w:noProof/>
        </w:rPr>
        <w:drawing>
          <wp:anchor distT="0" distB="0" distL="114300" distR="114300" simplePos="0" relativeHeight="251677696" behindDoc="1" locked="0" layoutInCell="1" allowOverlap="1" wp14:anchorId="5A4675BC" wp14:editId="5C1FA136">
            <wp:simplePos x="0" y="0"/>
            <wp:positionH relativeFrom="column">
              <wp:posOffset>1406849</wp:posOffset>
            </wp:positionH>
            <wp:positionV relativeFrom="paragraph">
              <wp:posOffset>687394</wp:posOffset>
            </wp:positionV>
            <wp:extent cx="2613804" cy="475946"/>
            <wp:effectExtent l="0" t="0" r="0" b="635"/>
            <wp:wrapNone/>
            <wp:docPr id="3280" name="图片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613804" cy="475946"/>
                    </a:xfrm>
                    <a:prstGeom prst="rect">
                      <a:avLst/>
                    </a:prstGeom>
                  </pic:spPr>
                </pic:pic>
              </a:graphicData>
            </a:graphic>
            <wp14:sizeRelH relativeFrom="margin">
              <wp14:pctWidth>0</wp14:pctWidth>
            </wp14:sizeRelH>
            <wp14:sizeRelV relativeFrom="margin">
              <wp14:pctHeight>0</wp14:pctHeight>
            </wp14:sizeRelV>
          </wp:anchor>
        </w:drawing>
      </w:r>
      <w:r>
        <w:t>d）依据影响因素指标说明表和修正系数表确定修正系数：根据各影响因素状况，按照影响因素指标说明</w:t>
      </w:r>
      <w:proofErr w:type="gramStart"/>
      <w:r>
        <w:t>表重点</w:t>
      </w:r>
      <w:proofErr w:type="gramEnd"/>
      <w:r>
        <w:t>划分标准确定各因素的级别标准，并查对修正系数表确定修正系数，按式（18）计算系数和：</w:t>
      </w:r>
    </w:p>
    <w:p w14:paraId="6C6D819E" w14:textId="77777777" w:rsidR="00495C65" w:rsidRDefault="00495C65" w:rsidP="00495C65">
      <w:pPr>
        <w:pStyle w:val="13"/>
      </w:pPr>
      <w:r w:rsidRPr="00213C22">
        <w:t xml:space="preserve">                                                                （1</w:t>
      </w:r>
      <w:r>
        <w:t>8</w:t>
      </w:r>
      <w:r w:rsidRPr="00213C22">
        <w:t>）</w:t>
      </w:r>
    </w:p>
    <w:p w14:paraId="40126895" w14:textId="77777777" w:rsidR="00495C65" w:rsidRDefault="00495C65" w:rsidP="00495C65">
      <w:pPr>
        <w:pStyle w:val="13"/>
      </w:pPr>
      <w:r>
        <w:rPr>
          <w:noProof/>
        </w:rPr>
        <w:drawing>
          <wp:anchor distT="0" distB="0" distL="114300" distR="114300" simplePos="0" relativeHeight="251678720" behindDoc="1" locked="0" layoutInCell="1" allowOverlap="1" wp14:anchorId="44786E62" wp14:editId="5B2F704E">
            <wp:simplePos x="0" y="0"/>
            <wp:positionH relativeFrom="column">
              <wp:posOffset>681990</wp:posOffset>
            </wp:positionH>
            <wp:positionV relativeFrom="paragraph">
              <wp:posOffset>217853</wp:posOffset>
            </wp:positionV>
            <wp:extent cx="503555" cy="275590"/>
            <wp:effectExtent l="0" t="0" r="0" b="0"/>
            <wp:wrapNone/>
            <wp:docPr id="3281" name="图片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03555" cy="275590"/>
                    </a:xfrm>
                    <a:prstGeom prst="rect">
                      <a:avLst/>
                    </a:prstGeom>
                  </pic:spPr>
                </pic:pic>
              </a:graphicData>
            </a:graphic>
            <wp14:sizeRelH relativeFrom="margin">
              <wp14:pctWidth>0</wp14:pctWidth>
            </wp14:sizeRelH>
            <wp14:sizeRelV relativeFrom="margin">
              <wp14:pctHeight>0</wp14:pctHeight>
            </wp14:sizeRelV>
          </wp:anchor>
        </w:drawing>
      </w:r>
      <w:r w:rsidRPr="00213C22">
        <w:rPr>
          <w:rFonts w:hint="eastAsia"/>
        </w:rPr>
        <w:t>式中：</w:t>
      </w:r>
    </w:p>
    <w:p w14:paraId="1D430269" w14:textId="77777777" w:rsidR="00495C65" w:rsidRDefault="00495C65" w:rsidP="00495C65">
      <w:pPr>
        <w:pStyle w:val="13"/>
        <w:ind w:firstLineChars="500" w:firstLine="1200"/>
      </w:pPr>
      <w:r w:rsidRPr="00213C22">
        <w:t xml:space="preserve">     ——宗地地价影响因素修正系数和；</w:t>
      </w:r>
    </w:p>
    <w:p w14:paraId="2EC0274D" w14:textId="77777777" w:rsidR="00495C65" w:rsidRDefault="00495C65" w:rsidP="00495C65">
      <w:pPr>
        <w:pStyle w:val="13"/>
        <w:ind w:firstLineChars="500" w:firstLine="1200"/>
      </w:pPr>
      <w:r w:rsidRPr="007C20E5">
        <w:t>K</w:t>
      </w:r>
      <w:r w:rsidRPr="007C20E5">
        <w:rPr>
          <w:vertAlign w:val="subscript"/>
        </w:rPr>
        <w:t>1</w:t>
      </w:r>
      <w:r w:rsidRPr="007C20E5">
        <w:t>，K</w:t>
      </w:r>
      <w:r w:rsidRPr="007C20E5">
        <w:rPr>
          <w:vertAlign w:val="subscript"/>
        </w:rPr>
        <w:t>2</w:t>
      </w:r>
      <w:r w:rsidRPr="007C20E5">
        <w:t>，……，</w:t>
      </w:r>
      <w:proofErr w:type="spellStart"/>
      <w:r w:rsidRPr="007C20E5">
        <w:t>K</w:t>
      </w:r>
      <w:r w:rsidRPr="007C20E5">
        <w:rPr>
          <w:vertAlign w:val="subscript"/>
        </w:rPr>
        <w:t>n</w:t>
      </w:r>
      <w:proofErr w:type="spellEnd"/>
      <w:r w:rsidRPr="007C20E5">
        <w:t>——分别</w:t>
      </w:r>
      <w:proofErr w:type="gramStart"/>
      <w:r w:rsidRPr="007C20E5">
        <w:t>为待估宗地</w:t>
      </w:r>
      <w:proofErr w:type="gramEnd"/>
      <w:r w:rsidRPr="007C20E5">
        <w:t>第1、2、……、n因素的修正系数。</w:t>
      </w:r>
    </w:p>
    <w:p w14:paraId="1CB06E72" w14:textId="77777777" w:rsidR="00495C65" w:rsidRDefault="00495C65" w:rsidP="00495C65">
      <w:pPr>
        <w:pStyle w:val="13"/>
      </w:pPr>
      <w:r w:rsidRPr="008D70F8">
        <w:t>e）期日修正：</w:t>
      </w:r>
      <w:proofErr w:type="gramStart"/>
      <w:r w:rsidRPr="008D70F8">
        <w:t>待估宗地</w:t>
      </w:r>
      <w:proofErr w:type="gramEnd"/>
      <w:r w:rsidRPr="008D70F8">
        <w:t>的估价期日与基准地价的评估</w:t>
      </w:r>
      <w:proofErr w:type="gramStart"/>
      <w:r w:rsidRPr="008D70F8">
        <w:t>期日若不</w:t>
      </w:r>
      <w:proofErr w:type="gramEnd"/>
      <w:r w:rsidRPr="008D70F8">
        <w:t>相同，则需根据地价的变化程度进行期日修正；</w:t>
      </w:r>
    </w:p>
    <w:p w14:paraId="3789CB1B" w14:textId="77777777" w:rsidR="00495C65" w:rsidRDefault="00495C65" w:rsidP="00495C65">
      <w:pPr>
        <w:pStyle w:val="13"/>
      </w:pPr>
      <w:r>
        <w:t>f）年期修正：</w:t>
      </w:r>
      <w:proofErr w:type="gramStart"/>
      <w:r>
        <w:t>当待估</w:t>
      </w:r>
      <w:proofErr w:type="gramEnd"/>
      <w:r>
        <w:t>农用地土地使用年期为有效年期时，需要进行年期修正；g）</w:t>
      </w:r>
      <w:proofErr w:type="gramStart"/>
      <w:r>
        <w:t>计算待估农用</w:t>
      </w:r>
      <w:proofErr w:type="gramEnd"/>
      <w:r>
        <w:t>地价格；在确定好各修正系数后，采用式（17）</w:t>
      </w:r>
      <w:proofErr w:type="gramStart"/>
      <w:r>
        <w:t>计算待估农用</w:t>
      </w:r>
      <w:proofErr w:type="gramEnd"/>
      <w:r>
        <w:t>地价</w:t>
      </w:r>
      <w:r w:rsidRPr="00266D02">
        <w:rPr>
          <w:rFonts w:hint="eastAsia"/>
        </w:rPr>
        <w:t>格。</w:t>
      </w:r>
    </w:p>
    <w:p w14:paraId="3C418D6C" w14:textId="77777777" w:rsidR="00495C65" w:rsidRDefault="00495C65" w:rsidP="00495C65">
      <w:pPr>
        <w:pStyle w:val="13"/>
      </w:pPr>
      <w:r>
        <w:t>5.6.3 定级指数模型评估法</w:t>
      </w:r>
    </w:p>
    <w:p w14:paraId="39DB2E11" w14:textId="77777777" w:rsidR="00495C65" w:rsidRDefault="00495C65" w:rsidP="00495C65">
      <w:pPr>
        <w:pStyle w:val="13"/>
      </w:pPr>
      <w:r>
        <w:rPr>
          <w:rFonts w:hint="eastAsia"/>
        </w:rPr>
        <w:t>利用基准地价评估过程中所建立的定级指数与地价模型，通过</w:t>
      </w:r>
      <w:proofErr w:type="gramStart"/>
      <w:r>
        <w:rPr>
          <w:rFonts w:hint="eastAsia"/>
        </w:rPr>
        <w:t>评判待估农用</w:t>
      </w:r>
      <w:proofErr w:type="gramEnd"/>
      <w:r>
        <w:rPr>
          <w:rFonts w:hint="eastAsia"/>
        </w:rPr>
        <w:t>地定级指数，并将其代入模型，测算</w:t>
      </w:r>
      <w:proofErr w:type="gramStart"/>
      <w:r>
        <w:rPr>
          <w:rFonts w:hint="eastAsia"/>
        </w:rPr>
        <w:t>出待估农用</w:t>
      </w:r>
      <w:proofErr w:type="gramEnd"/>
      <w:r>
        <w:rPr>
          <w:rFonts w:hint="eastAsia"/>
        </w:rPr>
        <w:t>地价格的方法。</w:t>
      </w:r>
      <w:r>
        <w:t xml:space="preserve"> </w:t>
      </w:r>
    </w:p>
    <w:p w14:paraId="2883271B" w14:textId="77777777" w:rsidR="00495C65" w:rsidRDefault="00495C65" w:rsidP="00495C65">
      <w:pPr>
        <w:pStyle w:val="13"/>
      </w:pPr>
      <w:r>
        <w:t>a）搜集有关基准地价资料，包括基准地价评估报告、基准地价图、定级指数模型资料等；</w:t>
      </w:r>
    </w:p>
    <w:p w14:paraId="4A8003FC" w14:textId="77777777" w:rsidR="00495C65" w:rsidRDefault="00495C65" w:rsidP="00495C65">
      <w:pPr>
        <w:pStyle w:val="13"/>
      </w:pPr>
      <w:r>
        <w:lastRenderedPageBreak/>
        <w:t>b）</w:t>
      </w:r>
      <w:proofErr w:type="gramStart"/>
      <w:r>
        <w:t>确定待估农用</w:t>
      </w:r>
      <w:proofErr w:type="gramEnd"/>
      <w:r>
        <w:t>地级别、基准地价及适用模型；</w:t>
      </w:r>
    </w:p>
    <w:p w14:paraId="2C25B7D6" w14:textId="77777777" w:rsidR="00495C65" w:rsidRDefault="00495C65" w:rsidP="00495C65">
      <w:pPr>
        <w:pStyle w:val="13"/>
      </w:pPr>
      <w:r>
        <w:t>c）调查分析</w:t>
      </w:r>
      <w:proofErr w:type="gramStart"/>
      <w:r>
        <w:t>确定待估农用</w:t>
      </w:r>
      <w:proofErr w:type="gramEnd"/>
      <w:r>
        <w:t>地定级指数；</w:t>
      </w:r>
    </w:p>
    <w:p w14:paraId="3E0A45B0" w14:textId="77777777" w:rsidR="00495C65" w:rsidRDefault="00495C65" w:rsidP="00495C65">
      <w:pPr>
        <w:pStyle w:val="13"/>
      </w:pPr>
      <w:r>
        <w:t>d）将定级指数代入模型，</w:t>
      </w:r>
      <w:proofErr w:type="gramStart"/>
      <w:r>
        <w:t>计算待估农用</w:t>
      </w:r>
      <w:proofErr w:type="gramEnd"/>
      <w:r>
        <w:t>地价格；</w:t>
      </w:r>
    </w:p>
    <w:p w14:paraId="2B204C94" w14:textId="77777777" w:rsidR="00495C65" w:rsidRDefault="00495C65" w:rsidP="00495C65">
      <w:pPr>
        <w:pStyle w:val="13"/>
      </w:pPr>
      <w:r>
        <w:t>e）对计算出</w:t>
      </w:r>
      <w:proofErr w:type="gramStart"/>
      <w:r>
        <w:t>的待估农用</w:t>
      </w:r>
      <w:proofErr w:type="gramEnd"/>
      <w:r>
        <w:t>地价格进行估价期日和年期修正。</w:t>
      </w:r>
    </w:p>
    <w:p w14:paraId="112682DD" w14:textId="77777777" w:rsidR="00495C65" w:rsidRDefault="00495C65" w:rsidP="00495C65">
      <w:pPr>
        <w:pStyle w:val="13"/>
      </w:pPr>
      <w:r w:rsidRPr="002568EA">
        <w:t>5.6.4 基准地块法</w:t>
      </w:r>
    </w:p>
    <w:p w14:paraId="0D771B80" w14:textId="77777777" w:rsidR="00495C65" w:rsidRDefault="00495C65" w:rsidP="00495C65">
      <w:pPr>
        <w:pStyle w:val="13"/>
      </w:pPr>
      <w:r w:rsidRPr="002568EA">
        <w:rPr>
          <w:rFonts w:hint="eastAsia"/>
        </w:rPr>
        <w:t>采用基准地块法评估农用地宗地价格，是利用基准地价评估过程中已经建立的基准地块档案，通过比较修正评估</w:t>
      </w:r>
      <w:proofErr w:type="gramStart"/>
      <w:r w:rsidRPr="002568EA">
        <w:rPr>
          <w:rFonts w:hint="eastAsia"/>
        </w:rPr>
        <w:t>出待估农用</w:t>
      </w:r>
      <w:proofErr w:type="gramEnd"/>
      <w:r w:rsidRPr="002568EA">
        <w:rPr>
          <w:rFonts w:hint="eastAsia"/>
        </w:rPr>
        <w:t>地价格的方法。</w:t>
      </w:r>
    </w:p>
    <w:p w14:paraId="2D66AE5B" w14:textId="77777777" w:rsidR="00495C65" w:rsidRDefault="00495C65" w:rsidP="00495C65">
      <w:pPr>
        <w:pStyle w:val="13"/>
      </w:pPr>
      <w:r>
        <w:rPr>
          <w:rFonts w:hint="eastAsia"/>
        </w:rPr>
        <w:t>评估步骤和方法同市场比较法。</w:t>
      </w:r>
      <w:r>
        <w:t xml:space="preserve"> </w:t>
      </w:r>
    </w:p>
    <w:p w14:paraId="573B9D04" w14:textId="77777777" w:rsidR="00495C65" w:rsidRDefault="00495C65" w:rsidP="00AF7342">
      <w:pPr>
        <w:pStyle w:val="a9"/>
        <w:spacing w:before="62" w:after="62"/>
      </w:pPr>
      <w:r>
        <w:t>6 农用地宗地估价</w:t>
      </w:r>
    </w:p>
    <w:p w14:paraId="250398FE" w14:textId="77777777" w:rsidR="00495C65" w:rsidRDefault="00495C65" w:rsidP="00495C65">
      <w:pPr>
        <w:pStyle w:val="ab"/>
        <w:spacing w:before="62" w:after="62"/>
        <w:ind w:firstLine="482"/>
      </w:pPr>
      <w:r>
        <w:t xml:space="preserve">6.1 估价程序 </w:t>
      </w:r>
    </w:p>
    <w:p w14:paraId="16110964" w14:textId="77777777" w:rsidR="00495C65" w:rsidRDefault="00495C65" w:rsidP="00495C65">
      <w:pPr>
        <w:pStyle w:val="13"/>
      </w:pPr>
      <w:r>
        <w:rPr>
          <w:rFonts w:hint="eastAsia"/>
        </w:rPr>
        <w:t>农用地宗地估价的具体程序为：</w:t>
      </w:r>
    </w:p>
    <w:p w14:paraId="26A1EEE3" w14:textId="77777777" w:rsidR="00495C65" w:rsidRDefault="00495C65" w:rsidP="00495C65">
      <w:pPr>
        <w:pStyle w:val="13"/>
      </w:pPr>
      <w:r>
        <w:t>a）接受估价委托；</w:t>
      </w:r>
    </w:p>
    <w:p w14:paraId="2D563EBA" w14:textId="77777777" w:rsidR="00495C65" w:rsidRDefault="00495C65" w:rsidP="00495C65">
      <w:pPr>
        <w:pStyle w:val="13"/>
      </w:pPr>
      <w:r>
        <w:t>b）明确估价基本事项；</w:t>
      </w:r>
    </w:p>
    <w:p w14:paraId="60B12B41" w14:textId="77777777" w:rsidR="00495C65" w:rsidRDefault="00495C65" w:rsidP="00495C65">
      <w:pPr>
        <w:pStyle w:val="13"/>
      </w:pPr>
      <w:r>
        <w:t>c）拟定估价作业计划；</w:t>
      </w:r>
    </w:p>
    <w:p w14:paraId="07D5339C" w14:textId="77777777" w:rsidR="00495C65" w:rsidRDefault="00495C65" w:rsidP="00495C65">
      <w:pPr>
        <w:pStyle w:val="13"/>
      </w:pPr>
      <w:r>
        <w:t>d）估价资料的收集与整理；</w:t>
      </w:r>
    </w:p>
    <w:p w14:paraId="192996BB" w14:textId="77777777" w:rsidR="00495C65" w:rsidRDefault="00495C65" w:rsidP="00495C65">
      <w:pPr>
        <w:pStyle w:val="13"/>
      </w:pPr>
      <w:r>
        <w:t>e）实地</w:t>
      </w:r>
      <w:proofErr w:type="gramStart"/>
      <w:r>
        <w:t>勘察待估农用</w:t>
      </w:r>
      <w:proofErr w:type="gramEnd"/>
      <w:r>
        <w:t>地；</w:t>
      </w:r>
    </w:p>
    <w:p w14:paraId="6B883A1B" w14:textId="77777777" w:rsidR="00495C65" w:rsidRDefault="00495C65" w:rsidP="00495C65">
      <w:pPr>
        <w:pStyle w:val="13"/>
      </w:pPr>
      <w:r>
        <w:t>f）选定估价方法，试算宗地价格；</w:t>
      </w:r>
    </w:p>
    <w:p w14:paraId="642A0429" w14:textId="77777777" w:rsidR="00495C65" w:rsidRDefault="00495C65" w:rsidP="00495C65">
      <w:pPr>
        <w:pStyle w:val="13"/>
      </w:pPr>
      <w:r>
        <w:t>g）分析调整试算宗地价格，确定估价结果；</w:t>
      </w:r>
    </w:p>
    <w:p w14:paraId="3AEE7788" w14:textId="77777777" w:rsidR="00495C65" w:rsidRDefault="00495C65" w:rsidP="00495C65">
      <w:pPr>
        <w:pStyle w:val="13"/>
      </w:pPr>
      <w:r>
        <w:t>h）撰写估价报告书；</w:t>
      </w:r>
    </w:p>
    <w:p w14:paraId="696C5FB1" w14:textId="77777777" w:rsidR="00495C65" w:rsidRDefault="00495C65" w:rsidP="00495C65">
      <w:pPr>
        <w:pStyle w:val="13"/>
      </w:pPr>
      <w:proofErr w:type="spellStart"/>
      <w:r>
        <w:t>i</w:t>
      </w:r>
      <w:proofErr w:type="spellEnd"/>
      <w:r>
        <w:t>）估价报告提交、备案及估价资料分类归档。</w:t>
      </w:r>
    </w:p>
    <w:p w14:paraId="7D9FE77B" w14:textId="77777777" w:rsidR="00495C65" w:rsidRDefault="00495C65" w:rsidP="00495C65">
      <w:pPr>
        <w:pStyle w:val="ab"/>
        <w:spacing w:before="62" w:after="62"/>
        <w:ind w:firstLine="482"/>
      </w:pPr>
      <w:r>
        <w:t xml:space="preserve">6.2 明确估价基本事项 </w:t>
      </w:r>
    </w:p>
    <w:p w14:paraId="7A80663F" w14:textId="77777777" w:rsidR="00495C65" w:rsidRDefault="00495C65" w:rsidP="00495C65">
      <w:pPr>
        <w:pStyle w:val="13"/>
      </w:pPr>
      <w:r>
        <w:rPr>
          <w:rFonts w:hint="eastAsia"/>
        </w:rPr>
        <w:t>农用地宗地估价的基本注意事项如下：</w:t>
      </w:r>
    </w:p>
    <w:p w14:paraId="2ADF75CD" w14:textId="77777777" w:rsidR="00495C65" w:rsidRDefault="00495C65" w:rsidP="00495C65">
      <w:pPr>
        <w:pStyle w:val="13"/>
      </w:pPr>
      <w:r>
        <w:t>a）确定估价对象：</w:t>
      </w:r>
      <w:proofErr w:type="gramStart"/>
      <w:r>
        <w:t>确定待估宗地</w:t>
      </w:r>
      <w:proofErr w:type="gramEnd"/>
      <w:r>
        <w:t>类型、范围、权利状况和宗地条件等；</w:t>
      </w:r>
    </w:p>
    <w:p w14:paraId="59B6F723" w14:textId="77777777" w:rsidR="00495C65" w:rsidRDefault="00495C65" w:rsidP="00495C65">
      <w:pPr>
        <w:pStyle w:val="13"/>
      </w:pPr>
      <w:r>
        <w:t>b）确定估价目的：要有明确的估价目的；</w:t>
      </w:r>
    </w:p>
    <w:p w14:paraId="5B33E65C" w14:textId="77777777" w:rsidR="00495C65" w:rsidRDefault="00495C65" w:rsidP="00495C65">
      <w:pPr>
        <w:pStyle w:val="13"/>
      </w:pPr>
      <w:r>
        <w:t>c）确定估价期日：要确定某一估价期日；</w:t>
      </w:r>
    </w:p>
    <w:p w14:paraId="71193FCB" w14:textId="77777777" w:rsidR="00495C65" w:rsidRDefault="00495C65" w:rsidP="00495C65">
      <w:pPr>
        <w:pStyle w:val="13"/>
      </w:pPr>
      <w:r>
        <w:t>d）确定估价作业日期；</w:t>
      </w:r>
    </w:p>
    <w:p w14:paraId="70B14FEB" w14:textId="77777777" w:rsidR="00495C65" w:rsidRDefault="00495C65" w:rsidP="00495C65">
      <w:pPr>
        <w:pStyle w:val="13"/>
      </w:pPr>
      <w:r>
        <w:t>e）其他有关事项。</w:t>
      </w:r>
    </w:p>
    <w:p w14:paraId="5D53F044" w14:textId="77777777" w:rsidR="00495C65" w:rsidRDefault="00495C65" w:rsidP="00495C65">
      <w:pPr>
        <w:pStyle w:val="ab"/>
        <w:spacing w:before="62" w:after="62"/>
        <w:ind w:firstLine="482"/>
      </w:pPr>
      <w:r>
        <w:t xml:space="preserve">6.3 拟定估价作业计划 </w:t>
      </w:r>
    </w:p>
    <w:p w14:paraId="78355151" w14:textId="77777777" w:rsidR="00495C65" w:rsidRDefault="00495C65" w:rsidP="00495C65">
      <w:pPr>
        <w:pStyle w:val="13"/>
      </w:pPr>
      <w:r>
        <w:rPr>
          <w:rFonts w:hint="eastAsia"/>
        </w:rPr>
        <w:t>估价作业计划主要包括下列内容：</w:t>
      </w:r>
    </w:p>
    <w:p w14:paraId="307D90DB" w14:textId="77777777" w:rsidR="00495C65" w:rsidRDefault="00495C65" w:rsidP="00495C65">
      <w:pPr>
        <w:pStyle w:val="13"/>
      </w:pPr>
      <w:r>
        <w:t>a）确定估价项目性质和工作量；</w:t>
      </w:r>
    </w:p>
    <w:p w14:paraId="5C2AE1EC" w14:textId="77777777" w:rsidR="00495C65" w:rsidRDefault="00495C65" w:rsidP="00495C65">
      <w:pPr>
        <w:pStyle w:val="13"/>
      </w:pPr>
      <w:r>
        <w:t>b）</w:t>
      </w:r>
      <w:proofErr w:type="gramStart"/>
      <w:r>
        <w:t>拟调查</w:t>
      </w:r>
      <w:proofErr w:type="gramEnd"/>
      <w:r>
        <w:t>搜集的资料及其来源渠道；</w:t>
      </w:r>
    </w:p>
    <w:p w14:paraId="7429F5B2" w14:textId="77777777" w:rsidR="00495C65" w:rsidRDefault="00495C65" w:rsidP="00495C65">
      <w:pPr>
        <w:pStyle w:val="13"/>
      </w:pPr>
      <w:r>
        <w:t>c）拟采用的估价技术路线和方法；</w:t>
      </w:r>
    </w:p>
    <w:p w14:paraId="08C39B23" w14:textId="77777777" w:rsidR="00495C65" w:rsidRDefault="00495C65" w:rsidP="00495C65">
      <w:pPr>
        <w:pStyle w:val="13"/>
      </w:pPr>
      <w:r>
        <w:t>d）预计所需的时间；</w:t>
      </w:r>
    </w:p>
    <w:p w14:paraId="53234FBA" w14:textId="77777777" w:rsidR="00495C65" w:rsidRDefault="00495C65" w:rsidP="00495C65">
      <w:pPr>
        <w:pStyle w:val="13"/>
      </w:pPr>
      <w:r>
        <w:lastRenderedPageBreak/>
        <w:t>e）拟订作业的步骤、作业进度和成果组成。</w:t>
      </w:r>
    </w:p>
    <w:p w14:paraId="0CB66D63" w14:textId="77777777" w:rsidR="00495C65" w:rsidRDefault="00495C65" w:rsidP="00495C65">
      <w:pPr>
        <w:pStyle w:val="ab"/>
        <w:spacing w:before="62" w:after="62"/>
        <w:ind w:firstLine="482"/>
      </w:pPr>
      <w:r>
        <w:t xml:space="preserve">6.4 估价资料收集与整理 </w:t>
      </w:r>
    </w:p>
    <w:p w14:paraId="4D8F2822" w14:textId="77777777" w:rsidR="00495C65" w:rsidRDefault="00495C65" w:rsidP="00495C65">
      <w:pPr>
        <w:pStyle w:val="13"/>
      </w:pPr>
      <w:r>
        <w:t xml:space="preserve">6.4.1 宗地估价资料收集 </w:t>
      </w:r>
    </w:p>
    <w:p w14:paraId="080390E6" w14:textId="77777777" w:rsidR="00495C65" w:rsidRDefault="00495C65" w:rsidP="00495C65">
      <w:pPr>
        <w:pStyle w:val="13"/>
      </w:pPr>
      <w:r>
        <w:t xml:space="preserve">6.4.1.1 区域自然条件及社会经济发展状况 </w:t>
      </w:r>
    </w:p>
    <w:p w14:paraId="0BDA744A" w14:textId="77777777" w:rsidR="00495C65" w:rsidRDefault="00495C65" w:rsidP="00495C65">
      <w:pPr>
        <w:pStyle w:val="13"/>
      </w:pPr>
      <w:proofErr w:type="gramStart"/>
      <w:r>
        <w:rPr>
          <w:rFonts w:hint="eastAsia"/>
        </w:rPr>
        <w:t>收集待估农用</w:t>
      </w:r>
      <w:proofErr w:type="gramEnd"/>
      <w:r>
        <w:rPr>
          <w:rFonts w:hint="eastAsia"/>
        </w:rPr>
        <w:t>地所在的区域的自然条件及社会经济发展总体状况资料，区域自然条</w:t>
      </w:r>
      <w:r w:rsidRPr="003504C6">
        <w:rPr>
          <w:rFonts w:hint="eastAsia"/>
        </w:rPr>
        <w:t>件资料主要包括光温水等气候资料、岩性地质等地质资料、地表水和地下水等水文资料和土壤资料、地形地貌等；社会经济发展状况资料包括区域土地资源状况、产业政策、区域社会经济发展水平、土地市场状况、现代化农用技术水平等。</w:t>
      </w:r>
    </w:p>
    <w:p w14:paraId="56ABFF37" w14:textId="77777777" w:rsidR="00495C65" w:rsidRDefault="00495C65" w:rsidP="00495C65">
      <w:pPr>
        <w:pStyle w:val="13"/>
      </w:pPr>
      <w:r w:rsidRPr="003504C6">
        <w:t>6.4.1.2 土地利用状况</w:t>
      </w:r>
    </w:p>
    <w:p w14:paraId="1F6AD3FF" w14:textId="77777777" w:rsidR="00495C65" w:rsidRDefault="00495C65" w:rsidP="00495C65">
      <w:pPr>
        <w:pStyle w:val="13"/>
      </w:pPr>
      <w:proofErr w:type="gramStart"/>
      <w:r w:rsidRPr="003504C6">
        <w:rPr>
          <w:rFonts w:hint="eastAsia"/>
        </w:rPr>
        <w:t>收集待估农用</w:t>
      </w:r>
      <w:proofErr w:type="gramEnd"/>
      <w:r w:rsidRPr="003504C6">
        <w:rPr>
          <w:rFonts w:hint="eastAsia"/>
        </w:rPr>
        <w:t>地有关位置、用途、四至、土地面积、土地形状、土地登记、地上附着物状况、地籍资料等。</w:t>
      </w:r>
    </w:p>
    <w:p w14:paraId="6053B081" w14:textId="77777777" w:rsidR="00495C65" w:rsidRDefault="00495C65" w:rsidP="00495C65">
      <w:pPr>
        <w:pStyle w:val="13"/>
      </w:pPr>
      <w:r>
        <w:t xml:space="preserve">6.4.1.3 土地权利状况资料 </w:t>
      </w:r>
    </w:p>
    <w:p w14:paraId="05A74106" w14:textId="77777777" w:rsidR="00495C65" w:rsidRDefault="00495C65" w:rsidP="00495C65">
      <w:pPr>
        <w:pStyle w:val="13"/>
      </w:pPr>
      <w:proofErr w:type="gramStart"/>
      <w:r>
        <w:rPr>
          <w:rFonts w:hint="eastAsia"/>
        </w:rPr>
        <w:t>收集待估农用</w:t>
      </w:r>
      <w:proofErr w:type="gramEnd"/>
      <w:r>
        <w:rPr>
          <w:rFonts w:hint="eastAsia"/>
        </w:rPr>
        <w:t>地有关土地权利状况资料，如他项权利资料。</w:t>
      </w:r>
      <w:r>
        <w:t xml:space="preserve"> </w:t>
      </w:r>
    </w:p>
    <w:p w14:paraId="7C7635D4" w14:textId="77777777" w:rsidR="00495C65" w:rsidRDefault="00495C65" w:rsidP="00495C65">
      <w:pPr>
        <w:pStyle w:val="13"/>
      </w:pPr>
      <w:r>
        <w:t xml:space="preserve">6.4.1.4 土地登记状况 </w:t>
      </w:r>
    </w:p>
    <w:p w14:paraId="5DFBFE20" w14:textId="77777777" w:rsidR="00495C65" w:rsidRDefault="00495C65" w:rsidP="00495C65">
      <w:pPr>
        <w:pStyle w:val="13"/>
      </w:pPr>
      <w:r>
        <w:rPr>
          <w:rFonts w:hint="eastAsia"/>
        </w:rPr>
        <w:t>收集</w:t>
      </w:r>
      <w:proofErr w:type="gramStart"/>
      <w:r>
        <w:rPr>
          <w:rFonts w:hint="eastAsia"/>
        </w:rPr>
        <w:t>有关待估农用</w:t>
      </w:r>
      <w:proofErr w:type="gramEnd"/>
      <w:r>
        <w:rPr>
          <w:rFonts w:hint="eastAsia"/>
        </w:rPr>
        <w:t>地的等别和级别资料。</w:t>
      </w:r>
      <w:r>
        <w:t xml:space="preserve"> </w:t>
      </w:r>
    </w:p>
    <w:p w14:paraId="2750F20F" w14:textId="77777777" w:rsidR="00495C65" w:rsidRDefault="00495C65" w:rsidP="00495C65">
      <w:pPr>
        <w:pStyle w:val="13"/>
      </w:pPr>
      <w:r>
        <w:t xml:space="preserve">6.4.1.5 地价影响因素资料 </w:t>
      </w:r>
    </w:p>
    <w:p w14:paraId="6762FA85" w14:textId="77777777" w:rsidR="00495C65" w:rsidRDefault="00495C65" w:rsidP="00495C65">
      <w:pPr>
        <w:pStyle w:val="13"/>
      </w:pPr>
      <w:r>
        <w:rPr>
          <w:rFonts w:hint="eastAsia"/>
        </w:rPr>
        <w:t>收集</w:t>
      </w:r>
      <w:proofErr w:type="gramStart"/>
      <w:r>
        <w:rPr>
          <w:rFonts w:hint="eastAsia"/>
        </w:rPr>
        <w:t>影响待估农用</w:t>
      </w:r>
      <w:proofErr w:type="gramEnd"/>
      <w:r>
        <w:rPr>
          <w:rFonts w:hint="eastAsia"/>
        </w:rPr>
        <w:t>地价格的有关自然因素、社会经济因素和特殊因素资料。</w:t>
      </w:r>
    </w:p>
    <w:p w14:paraId="5B31AEAF" w14:textId="77777777" w:rsidR="00495C65" w:rsidRDefault="00495C65" w:rsidP="00495C65">
      <w:pPr>
        <w:pStyle w:val="13"/>
      </w:pPr>
      <w:r>
        <w:t xml:space="preserve">6.4.1.6 交易实例资料 </w:t>
      </w:r>
    </w:p>
    <w:p w14:paraId="1C075EC5" w14:textId="77777777" w:rsidR="00495C65" w:rsidRDefault="00495C65" w:rsidP="00495C65">
      <w:pPr>
        <w:pStyle w:val="13"/>
      </w:pPr>
      <w:r>
        <w:rPr>
          <w:rFonts w:hint="eastAsia"/>
        </w:rPr>
        <w:t>收集交易实例农用地的资料，包括其位置、面积、用途、成交时间、双方当事人、</w:t>
      </w:r>
      <w:r w:rsidRPr="003504C6">
        <w:rPr>
          <w:rFonts w:hint="eastAsia"/>
        </w:rPr>
        <w:t>地块条件、使用年限、交易条件、影响地价的因素、土地价格等。</w:t>
      </w:r>
    </w:p>
    <w:p w14:paraId="61CB7452" w14:textId="77777777" w:rsidR="00495C65" w:rsidRDefault="00495C65" w:rsidP="00495C65">
      <w:pPr>
        <w:pStyle w:val="13"/>
      </w:pPr>
      <w:r>
        <w:t xml:space="preserve">6.4.1.7 收益资料 </w:t>
      </w:r>
    </w:p>
    <w:p w14:paraId="553A55F0" w14:textId="77777777" w:rsidR="00495C65" w:rsidRDefault="00495C65" w:rsidP="00495C65">
      <w:pPr>
        <w:pStyle w:val="13"/>
      </w:pPr>
      <w:proofErr w:type="gramStart"/>
      <w:r>
        <w:rPr>
          <w:rFonts w:hint="eastAsia"/>
        </w:rPr>
        <w:t>收集待估农用</w:t>
      </w:r>
      <w:proofErr w:type="gramEnd"/>
      <w:r>
        <w:rPr>
          <w:rFonts w:hint="eastAsia"/>
        </w:rPr>
        <w:t>地的农产品收入或年租金收入资料。</w:t>
      </w:r>
      <w:r>
        <w:t xml:space="preserve"> </w:t>
      </w:r>
    </w:p>
    <w:p w14:paraId="39FFC476" w14:textId="77777777" w:rsidR="00495C65" w:rsidRDefault="00495C65" w:rsidP="00495C65">
      <w:pPr>
        <w:pStyle w:val="13"/>
      </w:pPr>
      <w:r>
        <w:t xml:space="preserve">6.4.1.8 成本费用资料 </w:t>
      </w:r>
    </w:p>
    <w:p w14:paraId="2420A867" w14:textId="77777777" w:rsidR="00495C65" w:rsidRDefault="00495C65" w:rsidP="00495C65">
      <w:pPr>
        <w:pStyle w:val="13"/>
      </w:pPr>
      <w:r>
        <w:rPr>
          <w:rFonts w:hint="eastAsia"/>
        </w:rPr>
        <w:t>收集农用地的开发成本及生产费用（农用地维护费、种苗费、肥料费、人工费、畜</w:t>
      </w:r>
      <w:r w:rsidRPr="003504C6">
        <w:rPr>
          <w:rFonts w:hint="eastAsia"/>
        </w:rPr>
        <w:t>工费、机工费、农药费、水电费、农舍费、工具费）等方面的资料。</w:t>
      </w:r>
    </w:p>
    <w:p w14:paraId="13E9407A" w14:textId="77777777" w:rsidR="00495C65" w:rsidRDefault="00495C65" w:rsidP="00495C65">
      <w:pPr>
        <w:pStyle w:val="13"/>
      </w:pPr>
      <w:r>
        <w:t xml:space="preserve">6.4.1.9 基准地价资料 </w:t>
      </w:r>
    </w:p>
    <w:p w14:paraId="765B3F9D" w14:textId="77777777" w:rsidR="00495C65" w:rsidRDefault="00495C65" w:rsidP="00495C65">
      <w:pPr>
        <w:pStyle w:val="13"/>
      </w:pPr>
      <w:r>
        <w:rPr>
          <w:rFonts w:hint="eastAsia"/>
        </w:rPr>
        <w:t>收集基准地价报告、基准地价图、足底地价修正体系及有关各种影响地价因素的资</w:t>
      </w:r>
      <w:r w:rsidRPr="00E42D86">
        <w:rPr>
          <w:rFonts w:hint="eastAsia"/>
        </w:rPr>
        <w:t>料</w:t>
      </w:r>
      <w:r>
        <w:rPr>
          <w:rFonts w:hint="eastAsia"/>
        </w:rPr>
        <w:t>。</w:t>
      </w:r>
    </w:p>
    <w:p w14:paraId="25A46C30" w14:textId="77777777" w:rsidR="00495C65" w:rsidRDefault="00495C65" w:rsidP="00495C65">
      <w:pPr>
        <w:pStyle w:val="13"/>
      </w:pPr>
      <w:r>
        <w:t xml:space="preserve">6.4.1.10 参数数据 </w:t>
      </w:r>
    </w:p>
    <w:p w14:paraId="2FD7348C" w14:textId="77777777" w:rsidR="00495C65" w:rsidRDefault="00495C65" w:rsidP="00495C65">
      <w:pPr>
        <w:pStyle w:val="13"/>
      </w:pPr>
      <w:r>
        <w:rPr>
          <w:rFonts w:hint="eastAsia"/>
        </w:rPr>
        <w:t>收集有关借贷利息率、税率、利润率、还原利率、农用地单位分值价格等参数资料。</w:t>
      </w:r>
    </w:p>
    <w:p w14:paraId="6E07A0CB" w14:textId="77777777" w:rsidR="00495C65" w:rsidRDefault="00495C65" w:rsidP="00495C65">
      <w:pPr>
        <w:pStyle w:val="13"/>
      </w:pPr>
      <w:r>
        <w:t xml:space="preserve">6.4.1.11 其他资料 </w:t>
      </w:r>
    </w:p>
    <w:p w14:paraId="35B085F5" w14:textId="77777777" w:rsidR="00495C65" w:rsidRDefault="00495C65" w:rsidP="00495C65">
      <w:pPr>
        <w:pStyle w:val="13"/>
      </w:pPr>
      <w:r>
        <w:rPr>
          <w:rFonts w:hint="eastAsia"/>
        </w:rPr>
        <w:t>有关经济指数及农用地价格变动指数；农用地利用的政策法规、条例、规定；有关</w:t>
      </w:r>
      <w:r w:rsidRPr="00E42D86">
        <w:rPr>
          <w:rFonts w:hint="eastAsia"/>
        </w:rPr>
        <w:t>农用地利用规划等资料。</w:t>
      </w:r>
    </w:p>
    <w:p w14:paraId="500FC55F" w14:textId="77777777" w:rsidR="00495C65" w:rsidRDefault="00495C65" w:rsidP="00495C65">
      <w:pPr>
        <w:pStyle w:val="13"/>
      </w:pPr>
      <w:r>
        <w:lastRenderedPageBreak/>
        <w:t xml:space="preserve">6.4.2 宗地估价资料整理 </w:t>
      </w:r>
    </w:p>
    <w:p w14:paraId="08139E4A" w14:textId="77777777" w:rsidR="00495C65" w:rsidRDefault="00495C65" w:rsidP="00495C65">
      <w:pPr>
        <w:pStyle w:val="13"/>
      </w:pPr>
      <w:r>
        <w:t xml:space="preserve">6.4.2.1 宗地估价资料核实与剔除 </w:t>
      </w:r>
    </w:p>
    <w:p w14:paraId="73AC2903" w14:textId="77777777" w:rsidR="00495C65" w:rsidRDefault="00495C65" w:rsidP="00495C65">
      <w:pPr>
        <w:pStyle w:val="13"/>
      </w:pPr>
      <w:r>
        <w:rPr>
          <w:rFonts w:hint="eastAsia"/>
        </w:rPr>
        <w:t>用于农用地估价的资料数据需要严格核实，来源可靠，无显著异常，对明显不合要</w:t>
      </w:r>
      <w:r w:rsidRPr="00E42D86">
        <w:rPr>
          <w:rFonts w:hint="eastAsia"/>
        </w:rPr>
        <w:t>求的和特殊极值要予以剔除。</w:t>
      </w:r>
    </w:p>
    <w:p w14:paraId="2EAE57C5" w14:textId="77777777" w:rsidR="00495C65" w:rsidRDefault="00495C65" w:rsidP="00495C65">
      <w:pPr>
        <w:pStyle w:val="13"/>
      </w:pPr>
      <w:r w:rsidRPr="00E42D86">
        <w:t>6.4.2.2 宗地估价资料整理</w:t>
      </w:r>
    </w:p>
    <w:p w14:paraId="7169E7D2" w14:textId="77777777" w:rsidR="00495C65" w:rsidRDefault="00495C65" w:rsidP="00495C65">
      <w:pPr>
        <w:pStyle w:val="13"/>
      </w:pPr>
      <w:r w:rsidRPr="00E42D86">
        <w:rPr>
          <w:rFonts w:hint="eastAsia"/>
        </w:rPr>
        <w:t>对现有资料进行初步整理，并判断是否满足本次估价的农用地宗地的要求，并记录所缺资料，以便补充调查和收集；对不全、不可靠的现有资料做好记录，以便不出资料和收集；</w:t>
      </w:r>
      <w:proofErr w:type="gramStart"/>
      <w:r w:rsidRPr="00E42D86">
        <w:rPr>
          <w:rFonts w:hint="eastAsia"/>
        </w:rPr>
        <w:t>多现有</w:t>
      </w:r>
      <w:proofErr w:type="gramEnd"/>
      <w:r w:rsidRPr="00E42D86">
        <w:rPr>
          <w:rFonts w:hint="eastAsia"/>
        </w:rPr>
        <w:t>资料数据要妥善保管，并存入档案。</w:t>
      </w:r>
    </w:p>
    <w:p w14:paraId="06EF5988" w14:textId="77777777" w:rsidR="00495C65" w:rsidRDefault="00495C65" w:rsidP="00495C65">
      <w:pPr>
        <w:pStyle w:val="ab"/>
        <w:spacing w:before="62" w:after="62"/>
        <w:ind w:firstLine="482"/>
      </w:pPr>
      <w:r>
        <w:t>6.5 实地</w:t>
      </w:r>
      <w:proofErr w:type="gramStart"/>
      <w:r>
        <w:t>查勘待估农用</w:t>
      </w:r>
      <w:proofErr w:type="gramEnd"/>
      <w:r>
        <w:t xml:space="preserve">地 </w:t>
      </w:r>
    </w:p>
    <w:p w14:paraId="274A5BCC" w14:textId="77777777" w:rsidR="00495C65" w:rsidRDefault="00495C65" w:rsidP="00495C65">
      <w:pPr>
        <w:pStyle w:val="13"/>
      </w:pPr>
      <w:r>
        <w:rPr>
          <w:rFonts w:hint="eastAsia"/>
        </w:rPr>
        <w:t>估价人员需要到估价对象现场，查勘估价对象的位置、田块平整、周围环境、农作</w:t>
      </w:r>
      <w:r w:rsidRPr="00E42D86">
        <w:rPr>
          <w:rFonts w:hint="eastAsia"/>
        </w:rPr>
        <w:t>物长势等，并对事先收集的有关估价对象的坐落、四至、面积、产权等资料进行核实。同时搜集补充估价所需的其他资料，以及对估价对象及其周围环境或临路状况进行拍照等。</w:t>
      </w:r>
    </w:p>
    <w:p w14:paraId="6AB06D16" w14:textId="77777777" w:rsidR="00495C65" w:rsidRDefault="00495C65" w:rsidP="00495C65">
      <w:pPr>
        <w:pStyle w:val="ab"/>
        <w:spacing w:before="62" w:after="62"/>
        <w:ind w:firstLine="482"/>
      </w:pPr>
      <w:r w:rsidRPr="00E42D86">
        <w:t>6.6 选定估价方法，试算宗地价格</w:t>
      </w:r>
    </w:p>
    <w:p w14:paraId="0D55C5E1" w14:textId="77777777" w:rsidR="00495C65" w:rsidRDefault="00495C65" w:rsidP="00495C65">
      <w:pPr>
        <w:pStyle w:val="13"/>
      </w:pPr>
      <w:r w:rsidRPr="00AA3DA6">
        <w:rPr>
          <w:rFonts w:hint="eastAsia"/>
        </w:rPr>
        <w:t>估价方法可根据估价的目的、估价对象的特点、所收集到的资料状况选定。对同一估价对象须选用两种以上的估价方法进行估价。</w:t>
      </w:r>
    </w:p>
    <w:p w14:paraId="2E94F6E5" w14:textId="77777777" w:rsidR="00495C65" w:rsidRDefault="00495C65" w:rsidP="00495C65">
      <w:pPr>
        <w:pStyle w:val="ab"/>
        <w:spacing w:before="62" w:after="62"/>
        <w:ind w:firstLine="482"/>
      </w:pPr>
      <w:r>
        <w:t xml:space="preserve">6.7 确定估价结果 </w:t>
      </w:r>
    </w:p>
    <w:p w14:paraId="23D084D6" w14:textId="77777777" w:rsidR="00495C65" w:rsidRDefault="00495C65" w:rsidP="00495C65">
      <w:pPr>
        <w:pStyle w:val="13"/>
      </w:pPr>
      <w:proofErr w:type="gramStart"/>
      <w:r>
        <w:rPr>
          <w:rFonts w:hint="eastAsia"/>
        </w:rPr>
        <w:t>根据待估宗地</w:t>
      </w:r>
      <w:proofErr w:type="gramEnd"/>
      <w:r>
        <w:rPr>
          <w:rFonts w:hint="eastAsia"/>
        </w:rPr>
        <w:t>情况及各种方法的评估结果，选用以下方法确定最终估价结果：</w:t>
      </w:r>
    </w:p>
    <w:p w14:paraId="1184D0D3" w14:textId="77777777" w:rsidR="00495C65" w:rsidRDefault="00495C65" w:rsidP="00495C65">
      <w:pPr>
        <w:pStyle w:val="13"/>
      </w:pPr>
      <w:r>
        <w:t>a）简单算术平均法；</w:t>
      </w:r>
    </w:p>
    <w:p w14:paraId="2F4BE247" w14:textId="77777777" w:rsidR="00495C65" w:rsidRDefault="00495C65" w:rsidP="00495C65">
      <w:pPr>
        <w:pStyle w:val="13"/>
      </w:pPr>
      <w:r>
        <w:t>b）加权算术平均法；</w:t>
      </w:r>
    </w:p>
    <w:p w14:paraId="0D349D68" w14:textId="77777777" w:rsidR="00495C65" w:rsidRDefault="00495C65" w:rsidP="00495C65">
      <w:pPr>
        <w:pStyle w:val="13"/>
      </w:pPr>
      <w:r>
        <w:t>c）综合分析法。</w:t>
      </w:r>
    </w:p>
    <w:p w14:paraId="36874991" w14:textId="77777777" w:rsidR="00495C65" w:rsidRDefault="00495C65" w:rsidP="00495C65">
      <w:pPr>
        <w:pStyle w:val="ab"/>
        <w:spacing w:before="62" w:after="62"/>
        <w:ind w:firstLine="482"/>
      </w:pPr>
      <w:r w:rsidRPr="00AA3DA6">
        <w:t>6.8 撰写估价报告</w:t>
      </w:r>
    </w:p>
    <w:p w14:paraId="7F1E0EA6" w14:textId="77777777" w:rsidR="00495C65" w:rsidRDefault="00495C65" w:rsidP="00495C65">
      <w:pPr>
        <w:pStyle w:val="13"/>
      </w:pPr>
      <w:r w:rsidRPr="00097AAD">
        <w:rPr>
          <w:rFonts w:hint="eastAsia"/>
        </w:rPr>
        <w:t>宗地估价报告书包括估价结果报告和估价技术报告，估价人员按估价报告的规范格式撰写估价报告。估价报告规范格式见附录</w:t>
      </w:r>
      <w:r w:rsidRPr="00097AAD">
        <w:t>C。</w:t>
      </w:r>
    </w:p>
    <w:p w14:paraId="3F24E161" w14:textId="77777777" w:rsidR="00495C65" w:rsidRDefault="00495C65" w:rsidP="00495C65">
      <w:pPr>
        <w:pStyle w:val="ab"/>
        <w:spacing w:before="62" w:after="62"/>
        <w:ind w:firstLine="482"/>
      </w:pPr>
      <w:r>
        <w:t xml:space="preserve">6.9 估价报告提交、备案及估价资料分类归档 </w:t>
      </w:r>
    </w:p>
    <w:p w14:paraId="04E70F72" w14:textId="77777777" w:rsidR="00495C65" w:rsidRDefault="00495C65" w:rsidP="00495C65">
      <w:pPr>
        <w:pStyle w:val="13"/>
      </w:pPr>
      <w:r>
        <w:rPr>
          <w:rFonts w:hint="eastAsia"/>
        </w:rPr>
        <w:t>估价报告完成后，要及时提交给委托方，按规定送主管部门备案，并对所用估价资</w:t>
      </w:r>
      <w:r w:rsidRPr="00AA154D">
        <w:rPr>
          <w:rFonts w:hint="eastAsia"/>
        </w:rPr>
        <w:t>料和宗地估价报告书进行分类整理和归档保管，以备查用。</w:t>
      </w:r>
    </w:p>
    <w:p w14:paraId="2F484DA6" w14:textId="77777777" w:rsidR="00495C65" w:rsidRDefault="00495C65" w:rsidP="00AF7342">
      <w:pPr>
        <w:pStyle w:val="a9"/>
        <w:spacing w:before="62" w:after="62"/>
      </w:pPr>
      <w:r>
        <w:t xml:space="preserve">7 不同利用类型的农用地宗地估价 </w:t>
      </w:r>
    </w:p>
    <w:p w14:paraId="03D7ACDB" w14:textId="77777777" w:rsidR="00495C65" w:rsidRDefault="00495C65" w:rsidP="00495C65">
      <w:pPr>
        <w:pStyle w:val="ab"/>
        <w:spacing w:before="62" w:after="62"/>
        <w:ind w:firstLine="482"/>
      </w:pPr>
      <w:r>
        <w:t xml:space="preserve">7.1 耕地地价的评估 </w:t>
      </w:r>
    </w:p>
    <w:p w14:paraId="040EEEFB" w14:textId="77777777" w:rsidR="00495C65" w:rsidRDefault="00495C65" w:rsidP="00495C65">
      <w:pPr>
        <w:pStyle w:val="13"/>
      </w:pPr>
      <w:r>
        <w:t xml:space="preserve">7.1.1 耕地地价的影响因素 </w:t>
      </w:r>
    </w:p>
    <w:p w14:paraId="4BF2C71C" w14:textId="77777777" w:rsidR="00495C65" w:rsidRDefault="00495C65" w:rsidP="00495C65">
      <w:pPr>
        <w:pStyle w:val="13"/>
      </w:pPr>
      <w:r>
        <w:t xml:space="preserve">7.1.1.1 水田地价的影响因素 </w:t>
      </w:r>
    </w:p>
    <w:p w14:paraId="3BCD524A" w14:textId="77777777" w:rsidR="00495C65" w:rsidRDefault="00495C65" w:rsidP="00495C65">
      <w:pPr>
        <w:pStyle w:val="13"/>
      </w:pPr>
      <w:r>
        <w:rPr>
          <w:rFonts w:hint="eastAsia"/>
        </w:rPr>
        <w:t>根据</w:t>
      </w:r>
      <w:r>
        <w:t xml:space="preserve"> 4.3 所确定的因素体系并结合水田的利用性质确定水田的地价影响因素。</w:t>
      </w:r>
      <w:r>
        <w:lastRenderedPageBreak/>
        <w:t>在确</w:t>
      </w:r>
      <w:r w:rsidRPr="00AA154D">
        <w:rPr>
          <w:rFonts w:hint="eastAsia"/>
        </w:rPr>
        <w:t>定水田的地价影响因素时，要注意田块的保水能力、水源条件、灾害性气候等因素对地价的影响。</w:t>
      </w:r>
    </w:p>
    <w:p w14:paraId="4EDAC7E9" w14:textId="77777777" w:rsidR="00495C65" w:rsidRDefault="00495C65" w:rsidP="00495C65">
      <w:pPr>
        <w:pStyle w:val="13"/>
      </w:pPr>
      <w:r w:rsidRPr="00AA154D">
        <w:t>7.1.1.2 旱地地价的影响因素</w:t>
      </w:r>
    </w:p>
    <w:p w14:paraId="3A34061E" w14:textId="77777777" w:rsidR="00495C65" w:rsidRDefault="00495C65" w:rsidP="00495C65">
      <w:pPr>
        <w:pStyle w:val="13"/>
      </w:pPr>
      <w:r w:rsidRPr="00AA154D">
        <w:rPr>
          <w:rFonts w:hint="eastAsia"/>
        </w:rPr>
        <w:t>根据</w:t>
      </w:r>
      <w:r w:rsidRPr="00AA154D">
        <w:t>4.3所确定的因素体系并结合旱地的利用性质确定旱地的地价影响因素。在确定旱地的地价影响因素时，要注意地块形状、地形坡度、灌溉条件、灾害性气候等因素对地价的影响。</w:t>
      </w:r>
    </w:p>
    <w:p w14:paraId="78DB89E2" w14:textId="77777777" w:rsidR="00495C65" w:rsidRDefault="00495C65" w:rsidP="00495C65">
      <w:pPr>
        <w:pStyle w:val="13"/>
      </w:pPr>
      <w:r>
        <w:t xml:space="preserve">7.1.2 耕地地价的评估方法 </w:t>
      </w:r>
    </w:p>
    <w:p w14:paraId="19458CE7" w14:textId="77777777" w:rsidR="00495C65" w:rsidRDefault="00495C65" w:rsidP="00495C65">
      <w:pPr>
        <w:pStyle w:val="13"/>
      </w:pPr>
      <w:r>
        <w:rPr>
          <w:rFonts w:hint="eastAsia"/>
        </w:rPr>
        <w:t>耕地地价评估根据其利用状况和所处地区条件，可采用收益还原法、市场比较法、</w:t>
      </w:r>
      <w:r w:rsidRPr="00AA154D">
        <w:rPr>
          <w:rFonts w:hint="eastAsia"/>
        </w:rPr>
        <w:t>评分估价法和基准地价修正法等；如果是新开发整理的耕地，可采用成本逼近法；如果是待开发的耕地，可采用剩余法。</w:t>
      </w:r>
    </w:p>
    <w:p w14:paraId="1C3B3FAE" w14:textId="77777777" w:rsidR="00495C65" w:rsidRDefault="00495C65" w:rsidP="00495C65">
      <w:pPr>
        <w:pStyle w:val="13"/>
      </w:pPr>
      <w:r>
        <w:t xml:space="preserve">7.1.3 耕地地价评估的技术要点 </w:t>
      </w:r>
    </w:p>
    <w:p w14:paraId="2806ADCF" w14:textId="77777777" w:rsidR="00495C65" w:rsidRDefault="00495C65" w:rsidP="00495C65">
      <w:pPr>
        <w:pStyle w:val="13"/>
      </w:pPr>
      <w:r>
        <w:rPr>
          <w:rFonts w:hint="eastAsia"/>
        </w:rPr>
        <w:t>耕地地价评估的技术要点如下：</w:t>
      </w:r>
      <w:r>
        <w:t xml:space="preserve"> </w:t>
      </w:r>
    </w:p>
    <w:p w14:paraId="2346AF80" w14:textId="7DD95E6F" w:rsidR="00495C65" w:rsidRDefault="00495C65" w:rsidP="00495C65">
      <w:pPr>
        <w:pStyle w:val="13"/>
      </w:pPr>
      <w:r>
        <w:t>a）在评估耕地价格时，首先根据土地所处区域条件、近三年来耕地的实际耕作状况</w:t>
      </w:r>
      <w:r>
        <w:rPr>
          <w:rFonts w:hint="eastAsia"/>
        </w:rPr>
        <w:t>及可能的新的耕作利用方式，确定耕作制度、各种指数等，并根据其耕作制度分析其利用状况及收益能力</w:t>
      </w:r>
      <w:r w:rsidR="003068F8">
        <w:rPr>
          <w:rFonts w:hint="eastAsia"/>
        </w:rPr>
        <w:t>；</w:t>
      </w:r>
    </w:p>
    <w:p w14:paraId="69C7780C" w14:textId="44753212" w:rsidR="00495C65" w:rsidRDefault="00495C65" w:rsidP="00495C65">
      <w:pPr>
        <w:pStyle w:val="13"/>
      </w:pPr>
      <w:r>
        <w:t>b）要充分考虑农田基本设施对耕地价格的影响，包括引水渠、排水渠、田间道路、机耕道路等，分析其可用程度对地价产生的影响，对于通过性设施对农用地可能产生的负面影响也要充分考虑</w:t>
      </w:r>
      <w:r w:rsidR="003068F8">
        <w:t>；</w:t>
      </w:r>
    </w:p>
    <w:p w14:paraId="24554731" w14:textId="549C8035" w:rsidR="00495C65" w:rsidRDefault="00495C65" w:rsidP="00495C65">
      <w:pPr>
        <w:pStyle w:val="13"/>
      </w:pPr>
      <w:r>
        <w:t>c）用收益还原法评估耕地地价时，其估价结果的可信度主要取决于土地的预期纯收益和还原率是否准确。在测算耕地纯收益时，总收益和总费用的测算要全，一般采用实测的方式，即具体</w:t>
      </w:r>
      <w:proofErr w:type="gramStart"/>
      <w:r>
        <w:t>计算待估宗地</w:t>
      </w:r>
      <w:proofErr w:type="gramEnd"/>
      <w:r>
        <w:t>在一年内各种产物的经济价值和各种投入的费用总和，收益及费用数据可采用近三年的客观平均值</w:t>
      </w:r>
      <w:r w:rsidR="003068F8">
        <w:t>；</w:t>
      </w:r>
    </w:p>
    <w:p w14:paraId="7698ECAD" w14:textId="77777777" w:rsidR="00495C65" w:rsidRDefault="00495C65" w:rsidP="00495C65">
      <w:pPr>
        <w:pStyle w:val="13"/>
      </w:pPr>
      <w:r>
        <w:t>d）采用市场比较法时，注意比较案例交易对象与评估对象的构成是否一致，即交易对象是否包括地上农作物、农田设施等，如果不一致则要进行一致性调整。比较案例的利用方式和耕作制度需与评估对象一致。</w:t>
      </w:r>
    </w:p>
    <w:p w14:paraId="63BCACCB" w14:textId="77777777" w:rsidR="00495C65" w:rsidRDefault="00495C65" w:rsidP="00495C65">
      <w:pPr>
        <w:pStyle w:val="ab"/>
        <w:spacing w:before="62" w:after="62"/>
        <w:ind w:firstLine="482"/>
      </w:pPr>
      <w:r>
        <w:t xml:space="preserve">7.2 园地地价的评估 </w:t>
      </w:r>
    </w:p>
    <w:p w14:paraId="583DE301" w14:textId="77777777" w:rsidR="00495C65" w:rsidRDefault="00495C65" w:rsidP="00495C65">
      <w:pPr>
        <w:pStyle w:val="13"/>
      </w:pPr>
      <w:r>
        <w:t xml:space="preserve">7.2.1 影响因素 </w:t>
      </w:r>
    </w:p>
    <w:p w14:paraId="593A6F7C" w14:textId="77777777" w:rsidR="00495C65" w:rsidRDefault="00495C65" w:rsidP="00495C65">
      <w:pPr>
        <w:pStyle w:val="13"/>
      </w:pPr>
      <w:r>
        <w:rPr>
          <w:rFonts w:hint="eastAsia"/>
        </w:rPr>
        <w:t>根据</w:t>
      </w:r>
      <w:r>
        <w:t>4.3所确定的因素体系并结合园地的利用性质确定园地的地价影响因素。在确</w:t>
      </w:r>
      <w:r w:rsidRPr="00BC610A">
        <w:rPr>
          <w:rFonts w:hint="eastAsia"/>
        </w:rPr>
        <w:t>定园地的地价影响因素时，要注意土壤厚度、土壤有机质含量、地下水麦深、园艺设施状况、</w:t>
      </w:r>
      <w:proofErr w:type="gramStart"/>
      <w:r w:rsidRPr="00BC610A">
        <w:rPr>
          <w:rFonts w:hint="eastAsia"/>
        </w:rPr>
        <w:t>距城市</w:t>
      </w:r>
      <w:proofErr w:type="gramEnd"/>
      <w:r w:rsidRPr="00BC610A">
        <w:rPr>
          <w:rFonts w:hint="eastAsia"/>
        </w:rPr>
        <w:t>远近、独特的小气候以及特殊土壤等因素对地价的影响。</w:t>
      </w:r>
    </w:p>
    <w:p w14:paraId="31D3C4E2" w14:textId="77777777" w:rsidR="00495C65" w:rsidRDefault="00495C65" w:rsidP="00495C65">
      <w:pPr>
        <w:pStyle w:val="13"/>
      </w:pPr>
      <w:r w:rsidRPr="00BC610A">
        <w:t>7.2.2 评估方法</w:t>
      </w:r>
    </w:p>
    <w:p w14:paraId="2434EDF7" w14:textId="77777777" w:rsidR="00495C65" w:rsidRDefault="00495C65" w:rsidP="00495C65">
      <w:pPr>
        <w:pStyle w:val="13"/>
      </w:pPr>
      <w:r w:rsidRPr="00BC610A">
        <w:rPr>
          <w:rFonts w:hint="eastAsia"/>
        </w:rPr>
        <w:t>园地地价评估根据其利用状况和所处地区条件，可采用收益还原法、市场比较法和成本逼近法等；如果是新开发的园地，可采用成本逼近法；如果是待开发的园地，可采用剩余法。</w:t>
      </w:r>
    </w:p>
    <w:p w14:paraId="1D99EABC" w14:textId="77777777" w:rsidR="00495C65" w:rsidRDefault="00495C65" w:rsidP="00495C65">
      <w:pPr>
        <w:pStyle w:val="13"/>
      </w:pPr>
      <w:r>
        <w:lastRenderedPageBreak/>
        <w:t xml:space="preserve">7.2.3 评估技术要点 </w:t>
      </w:r>
    </w:p>
    <w:p w14:paraId="34CEE525" w14:textId="77777777" w:rsidR="00495C65" w:rsidRDefault="00495C65" w:rsidP="00495C65">
      <w:pPr>
        <w:pStyle w:val="13"/>
      </w:pPr>
      <w:r>
        <w:rPr>
          <w:rFonts w:hint="eastAsia"/>
        </w:rPr>
        <w:t>园地地价评估的技术要点如下：</w:t>
      </w:r>
      <w:r>
        <w:t xml:space="preserve"> </w:t>
      </w:r>
    </w:p>
    <w:p w14:paraId="003994C9" w14:textId="77777777" w:rsidR="00495C65" w:rsidRDefault="00495C65" w:rsidP="00495C65">
      <w:pPr>
        <w:pStyle w:val="13"/>
      </w:pPr>
      <w:r>
        <w:t>a）在评估园地价格时，首先准确界定估价对象是否包括果树及有关设施等，如果包</w:t>
      </w:r>
      <w:r w:rsidRPr="00BC610A">
        <w:rPr>
          <w:rFonts w:hint="eastAsia"/>
        </w:rPr>
        <w:t>括就需要充分考虑包括后对园地价格的影响；</w:t>
      </w:r>
    </w:p>
    <w:p w14:paraId="3C0D9C6A" w14:textId="77777777" w:rsidR="00495C65" w:rsidRDefault="00495C65" w:rsidP="00495C65">
      <w:pPr>
        <w:pStyle w:val="13"/>
      </w:pPr>
      <w:r>
        <w:t>b）适当考虑特殊的土壤及气候条件对园地利用产生的垄断收益及价格；</w:t>
      </w:r>
    </w:p>
    <w:p w14:paraId="71366D97" w14:textId="03D56A3A" w:rsidR="00495C65" w:rsidRDefault="00495C65" w:rsidP="00495C65">
      <w:pPr>
        <w:pStyle w:val="13"/>
      </w:pPr>
      <w:r>
        <w:t>c）对于果园用地还要适当考虑其区位条件，如</w:t>
      </w:r>
      <w:proofErr w:type="gramStart"/>
      <w:r>
        <w:t>距消费</w:t>
      </w:r>
      <w:proofErr w:type="gramEnd"/>
      <w:r>
        <w:t>地的距离、路网状况等；对具体有景观及旅游价值的园地，则需要充分考虑景观及旅游价值对土地价格的影响</w:t>
      </w:r>
      <w:r w:rsidR="003068F8">
        <w:t>；</w:t>
      </w:r>
    </w:p>
    <w:p w14:paraId="50173556" w14:textId="77777777" w:rsidR="00495C65" w:rsidRDefault="00495C65" w:rsidP="00495C65">
      <w:pPr>
        <w:pStyle w:val="13"/>
      </w:pPr>
      <w:r>
        <w:t>d）用收益还原法评估果园用地地价时，需要尽量消除大小年对纯收益的影响，其收益及费用数据可采用最近连续3年~5年的客观平均值；</w:t>
      </w:r>
    </w:p>
    <w:p w14:paraId="25660B45" w14:textId="77777777" w:rsidR="00495C65" w:rsidRDefault="00495C65" w:rsidP="00495C65">
      <w:pPr>
        <w:pStyle w:val="13"/>
      </w:pPr>
      <w:r w:rsidRPr="00BC610A">
        <w:t>e）采用市场比较法评估园地地价时，需要注意比较案例交易对象与评估对象的构</w:t>
      </w:r>
      <w:r w:rsidRPr="00BC610A">
        <w:rPr>
          <w:rFonts w:hint="eastAsia"/>
        </w:rPr>
        <w:t>成是否一致，即交易对象是否包括地上果树、园林设施等，如果不一致则要进行一致性调整。比较案例的果树类别及利用方式需与评估对象一致。</w:t>
      </w:r>
    </w:p>
    <w:p w14:paraId="56CB268A" w14:textId="77777777" w:rsidR="00495C65" w:rsidRDefault="00495C65" w:rsidP="00495C65">
      <w:pPr>
        <w:pStyle w:val="ab"/>
        <w:spacing w:before="62" w:after="62"/>
        <w:ind w:firstLine="482"/>
      </w:pPr>
      <w:r>
        <w:t xml:space="preserve">7.3 林地地价的评估 </w:t>
      </w:r>
    </w:p>
    <w:p w14:paraId="4A92591E" w14:textId="77777777" w:rsidR="00495C65" w:rsidRDefault="00495C65" w:rsidP="00495C65">
      <w:pPr>
        <w:pStyle w:val="13"/>
      </w:pPr>
      <w:r>
        <w:t xml:space="preserve">7.3.1 影响因素 </w:t>
      </w:r>
    </w:p>
    <w:p w14:paraId="6B71BDB2" w14:textId="77777777" w:rsidR="00495C65" w:rsidRDefault="00495C65" w:rsidP="00495C65">
      <w:pPr>
        <w:pStyle w:val="13"/>
      </w:pPr>
      <w:r>
        <w:rPr>
          <w:rFonts w:hint="eastAsia"/>
        </w:rPr>
        <w:t>根据</w:t>
      </w:r>
      <w:r>
        <w:t>4.3所确定的因素体系并结合林地的利用性质确定林地的地价影响因素。在确</w:t>
      </w:r>
      <w:r w:rsidRPr="00F85615">
        <w:rPr>
          <w:rFonts w:hint="eastAsia"/>
        </w:rPr>
        <w:t>定林地的地价影响因素时，要注意立地条件、砾石含量、地形坡度、林业设施状况、林木经营结构、交通运输条件等因素对地价的影响。</w:t>
      </w:r>
    </w:p>
    <w:p w14:paraId="058741CA" w14:textId="77777777" w:rsidR="00495C65" w:rsidRDefault="00495C65" w:rsidP="00495C65">
      <w:pPr>
        <w:pStyle w:val="13"/>
      </w:pPr>
      <w:r w:rsidRPr="00F85615">
        <w:t>7.3.2 评估方法</w:t>
      </w:r>
    </w:p>
    <w:p w14:paraId="30F39A0E" w14:textId="77777777" w:rsidR="00495C65" w:rsidRDefault="00495C65" w:rsidP="00495C65">
      <w:pPr>
        <w:pStyle w:val="13"/>
      </w:pPr>
      <w:r w:rsidRPr="00F85615">
        <w:rPr>
          <w:rFonts w:hint="eastAsia"/>
        </w:rPr>
        <w:t>林地地价评估根据其利用状况和所处地区条件，可采用市场比较法、成本逼近法和收益还原法等。</w:t>
      </w:r>
    </w:p>
    <w:p w14:paraId="0C69E35B" w14:textId="77777777" w:rsidR="00495C65" w:rsidRDefault="00495C65" w:rsidP="00495C65">
      <w:pPr>
        <w:pStyle w:val="13"/>
      </w:pPr>
      <w:r>
        <w:t xml:space="preserve">7.3.3 评估技术要点 </w:t>
      </w:r>
    </w:p>
    <w:p w14:paraId="5543CC7C" w14:textId="77777777" w:rsidR="00495C65" w:rsidRDefault="00495C65" w:rsidP="00495C65">
      <w:pPr>
        <w:pStyle w:val="13"/>
      </w:pPr>
      <w:r>
        <w:rPr>
          <w:rFonts w:hint="eastAsia"/>
        </w:rPr>
        <w:t>林地地价评估的技术要点如下：</w:t>
      </w:r>
      <w:r>
        <w:t xml:space="preserve"> </w:t>
      </w:r>
    </w:p>
    <w:p w14:paraId="25089441" w14:textId="77777777" w:rsidR="00495C65" w:rsidRDefault="00495C65" w:rsidP="00495C65">
      <w:pPr>
        <w:pStyle w:val="13"/>
      </w:pPr>
      <w:r>
        <w:t>a）在评估林地价格时，首先准确界定估价对象是否包括林木及有关林业设施等，如</w:t>
      </w:r>
      <w:r w:rsidRPr="00F85615">
        <w:rPr>
          <w:rFonts w:hint="eastAsia"/>
        </w:rPr>
        <w:t>果包括就需要充分考虑包括后对林地价格的影响；</w:t>
      </w:r>
    </w:p>
    <w:p w14:paraId="552C47F8" w14:textId="77777777" w:rsidR="00495C65" w:rsidRDefault="00495C65" w:rsidP="00495C65">
      <w:pPr>
        <w:pStyle w:val="13"/>
      </w:pPr>
      <w:r w:rsidRPr="00F85615">
        <w:t>b）采用市场比较法评估林地地价时，比较案例的林木类别及林地开发经营方式与</w:t>
      </w:r>
      <w:r w:rsidRPr="00F85615">
        <w:rPr>
          <w:rFonts w:hint="eastAsia"/>
        </w:rPr>
        <w:t>评估对象的一致，即交易对象是否包括地上林木、林业设施等，如果不一致则要进行一致性调整；</w:t>
      </w:r>
    </w:p>
    <w:p w14:paraId="1ED1E471" w14:textId="77777777" w:rsidR="00495C65" w:rsidRDefault="00495C65" w:rsidP="00495C65">
      <w:pPr>
        <w:pStyle w:val="13"/>
      </w:pPr>
      <w:r>
        <w:t>c）用收益还原法评估林地价格时，宜以林木生长期和采伐期为周期计算年平均总</w:t>
      </w:r>
      <w:r>
        <w:rPr>
          <w:rFonts w:hint="eastAsia"/>
        </w:rPr>
        <w:t>收益和总费用；</w:t>
      </w:r>
    </w:p>
    <w:p w14:paraId="75357360" w14:textId="77777777" w:rsidR="00495C65" w:rsidRDefault="00495C65" w:rsidP="00495C65">
      <w:pPr>
        <w:pStyle w:val="13"/>
      </w:pPr>
      <w:r>
        <w:t>d）对具有生态及旅游价值的林地，还要考虑生态及旅游价值对土地价格的影响。</w:t>
      </w:r>
    </w:p>
    <w:p w14:paraId="1E983026" w14:textId="77777777" w:rsidR="00495C65" w:rsidRDefault="00495C65" w:rsidP="00495C65">
      <w:pPr>
        <w:pStyle w:val="ab"/>
        <w:spacing w:before="62" w:after="62"/>
        <w:ind w:firstLine="482"/>
      </w:pPr>
      <w:r>
        <w:t>7.4 草地地价的评估</w:t>
      </w:r>
    </w:p>
    <w:p w14:paraId="4F7BE876" w14:textId="77777777" w:rsidR="00495C65" w:rsidRDefault="00495C65" w:rsidP="00495C65">
      <w:pPr>
        <w:pStyle w:val="13"/>
      </w:pPr>
      <w:r>
        <w:t>7.4.1 影响因素</w:t>
      </w:r>
    </w:p>
    <w:p w14:paraId="5F91DBB8" w14:textId="77777777" w:rsidR="00495C65" w:rsidRDefault="00495C65" w:rsidP="00495C65">
      <w:pPr>
        <w:pStyle w:val="13"/>
      </w:pPr>
      <w:r>
        <w:rPr>
          <w:rFonts w:hint="eastAsia"/>
        </w:rPr>
        <w:lastRenderedPageBreak/>
        <w:t>根据</w:t>
      </w:r>
      <w:r>
        <w:t>4.3所确定的因素体系并结合草地的利用性质确定草地的地价影响因素。在确</w:t>
      </w:r>
      <w:r>
        <w:rPr>
          <w:rFonts w:hint="eastAsia"/>
        </w:rPr>
        <w:t>定草地的地价影响因素时，要注意土壤沙化程度、草场经营方式、草场设施状况等因素对于地价的影响。</w:t>
      </w:r>
    </w:p>
    <w:p w14:paraId="79A70E69" w14:textId="77777777" w:rsidR="00495C65" w:rsidRDefault="00495C65" w:rsidP="00495C65">
      <w:pPr>
        <w:pStyle w:val="13"/>
      </w:pPr>
      <w:r>
        <w:t>7.4.2 评估方法</w:t>
      </w:r>
    </w:p>
    <w:p w14:paraId="18E0D9EB" w14:textId="77777777" w:rsidR="00495C65" w:rsidRDefault="00495C65" w:rsidP="00495C65">
      <w:pPr>
        <w:pStyle w:val="13"/>
      </w:pPr>
      <w:r>
        <w:rPr>
          <w:rFonts w:hint="eastAsia"/>
        </w:rPr>
        <w:t>草地地价评估根据其利用状况和所处地区条件，可采用评分估价法、收益还原法和市场比较法等。</w:t>
      </w:r>
    </w:p>
    <w:p w14:paraId="0514C4F2" w14:textId="77777777" w:rsidR="00495C65" w:rsidRDefault="00495C65" w:rsidP="00495C65">
      <w:pPr>
        <w:pStyle w:val="13"/>
      </w:pPr>
      <w:r>
        <w:t>7.4.3 评估技术要点</w:t>
      </w:r>
    </w:p>
    <w:p w14:paraId="08D430B7" w14:textId="77777777" w:rsidR="00495C65" w:rsidRDefault="00495C65" w:rsidP="00495C65">
      <w:pPr>
        <w:pStyle w:val="13"/>
      </w:pPr>
      <w:r>
        <w:rPr>
          <w:rFonts w:hint="eastAsia"/>
        </w:rPr>
        <w:t>草地地价评估的技术要点如下：</w:t>
      </w:r>
    </w:p>
    <w:p w14:paraId="4F5D83D1" w14:textId="77777777" w:rsidR="00495C65" w:rsidRDefault="00495C65" w:rsidP="00495C65">
      <w:pPr>
        <w:pStyle w:val="13"/>
      </w:pPr>
      <w:r>
        <w:t>a）在评估草地价格时，要考虑草地的经营方式和草种结构，区分圈养和单独经营草</w:t>
      </w:r>
      <w:r>
        <w:rPr>
          <w:rFonts w:hint="eastAsia"/>
        </w:rPr>
        <w:t>场等不同方式；</w:t>
      </w:r>
    </w:p>
    <w:p w14:paraId="5196D0A0" w14:textId="77777777" w:rsidR="00495C65" w:rsidRDefault="00495C65" w:rsidP="00495C65">
      <w:pPr>
        <w:pStyle w:val="13"/>
      </w:pPr>
      <w:r>
        <w:t>b）采用收益还原法进行评估时，对于用于圈养的草场，其经营收益来源于牲畜的出</w:t>
      </w:r>
      <w:r>
        <w:rPr>
          <w:rFonts w:hint="eastAsia"/>
        </w:rPr>
        <w:t>售收益，在</w:t>
      </w:r>
      <w:proofErr w:type="gramStart"/>
      <w:r>
        <w:rPr>
          <w:rFonts w:hint="eastAsia"/>
        </w:rPr>
        <w:t>测算总</w:t>
      </w:r>
      <w:proofErr w:type="gramEnd"/>
      <w:r>
        <w:rPr>
          <w:rFonts w:hint="eastAsia"/>
        </w:rPr>
        <w:t>收益时要考虑出栏率和牲畜生长期，收益和费用数据一般宜采用连续</w:t>
      </w:r>
      <w:r>
        <w:t>3年~5年的客观平均值；对于只进行草场经营的草地，其经营收益主要是草场经营使用</w:t>
      </w:r>
      <w:r>
        <w:rPr>
          <w:rFonts w:hint="eastAsia"/>
        </w:rPr>
        <w:t>费及大草的出售收益，计算纯收益时可采用近</w:t>
      </w:r>
      <w:r>
        <w:t>3年的收益和费用数据客观平均值；</w:t>
      </w:r>
    </w:p>
    <w:p w14:paraId="21CE72F4" w14:textId="77777777" w:rsidR="00495C65" w:rsidRDefault="00495C65" w:rsidP="00495C65">
      <w:pPr>
        <w:pStyle w:val="13"/>
      </w:pPr>
      <w:r>
        <w:t>c）采用市场比较法评估草地地价时，比较案例的草场类型及利用方式需与评估对</w:t>
      </w:r>
      <w:r>
        <w:rPr>
          <w:rFonts w:hint="eastAsia"/>
        </w:rPr>
        <w:t>象一致；</w:t>
      </w:r>
    </w:p>
    <w:p w14:paraId="081CB28A" w14:textId="77777777" w:rsidR="00495C65" w:rsidRDefault="00495C65" w:rsidP="00495C65">
      <w:pPr>
        <w:pStyle w:val="13"/>
      </w:pPr>
      <w:r>
        <w:t>d）对草地价格评估时还要考虑其生态价值。</w:t>
      </w:r>
    </w:p>
    <w:p w14:paraId="4FFA1EF0" w14:textId="77777777" w:rsidR="00495C65" w:rsidRDefault="00495C65" w:rsidP="00495C65">
      <w:pPr>
        <w:pStyle w:val="ab"/>
        <w:spacing w:before="62" w:after="62"/>
        <w:ind w:firstLine="482"/>
      </w:pPr>
      <w:r>
        <w:t>7.5 未利用地价格的评估</w:t>
      </w:r>
    </w:p>
    <w:p w14:paraId="4981CFFA" w14:textId="77777777" w:rsidR="00495C65" w:rsidRDefault="00495C65" w:rsidP="00495C65">
      <w:pPr>
        <w:pStyle w:val="13"/>
      </w:pPr>
      <w:r>
        <w:t>7.5.1 适用范围</w:t>
      </w:r>
    </w:p>
    <w:p w14:paraId="14148E27" w14:textId="77777777" w:rsidR="00495C65" w:rsidRDefault="00495C65" w:rsidP="00495C65">
      <w:pPr>
        <w:pStyle w:val="13"/>
      </w:pPr>
      <w:r>
        <w:rPr>
          <w:rFonts w:hint="eastAsia"/>
        </w:rPr>
        <w:t>未利用地是农用地重要的后备土地资源，当未利用地用于开发为农用地（包括耕地、园地、林地、草地和其他农用地）时，按照农用地估价方法的要求进行估价。</w:t>
      </w:r>
    </w:p>
    <w:p w14:paraId="739E29F5" w14:textId="77777777" w:rsidR="00495C65" w:rsidRDefault="00495C65" w:rsidP="00495C65">
      <w:pPr>
        <w:pStyle w:val="13"/>
      </w:pPr>
      <w:r>
        <w:t>7.5.2 评估方法</w:t>
      </w:r>
    </w:p>
    <w:p w14:paraId="15BC9A43" w14:textId="77777777" w:rsidR="00495C65" w:rsidRDefault="00495C65" w:rsidP="00495C65">
      <w:pPr>
        <w:pStyle w:val="13"/>
      </w:pPr>
      <w:r>
        <w:rPr>
          <w:rFonts w:hint="eastAsia"/>
        </w:rPr>
        <w:t>在进行未利用地价格评估时，首先根据未利用地的规划要求或土地的开发利用计划，确定土地利用类型和土地利用方式，然后选择适当的方法进行评估。</w:t>
      </w:r>
    </w:p>
    <w:p w14:paraId="7F76B25C" w14:textId="77777777" w:rsidR="00495C65" w:rsidRDefault="00495C65" w:rsidP="00495C65">
      <w:pPr>
        <w:pStyle w:val="13"/>
      </w:pPr>
      <w:r>
        <w:t>7.5.3 评估技术要点</w:t>
      </w:r>
    </w:p>
    <w:p w14:paraId="07A57234" w14:textId="77777777" w:rsidR="00495C65" w:rsidRDefault="00495C65" w:rsidP="00495C65">
      <w:pPr>
        <w:pStyle w:val="13"/>
      </w:pPr>
      <w:r>
        <w:rPr>
          <w:rFonts w:hint="eastAsia"/>
        </w:rPr>
        <w:t>未利用地地价评估的技术要点如下：</w:t>
      </w:r>
    </w:p>
    <w:p w14:paraId="711AF540" w14:textId="77777777" w:rsidR="00495C65" w:rsidRDefault="00495C65" w:rsidP="00495C65">
      <w:pPr>
        <w:pStyle w:val="13"/>
      </w:pPr>
      <w:r>
        <w:t>a）未利用地价格评估时，首先要确定未利用地的开发利用方式，包括未利用地的开</w:t>
      </w:r>
      <w:r>
        <w:rPr>
          <w:rFonts w:hint="eastAsia"/>
        </w:rPr>
        <w:t>发用途、开发利用率等。确定的依据主要是未利用地本身的自然条件、有关规划的要求及开发者的实际开发计划等；</w:t>
      </w:r>
    </w:p>
    <w:p w14:paraId="323F9994" w14:textId="77777777" w:rsidR="00495C65" w:rsidRDefault="00495C65" w:rsidP="00495C65">
      <w:pPr>
        <w:pStyle w:val="13"/>
      </w:pPr>
      <w:r>
        <w:t>b）未利用地价格评估时要适当考虑未利用地开发后的价格增值，并充分考虑未利</w:t>
      </w:r>
      <w:r>
        <w:rPr>
          <w:rFonts w:hint="eastAsia"/>
        </w:rPr>
        <w:t>用地的可利用与未利用程度；</w:t>
      </w:r>
    </w:p>
    <w:p w14:paraId="4CF38A06" w14:textId="77777777" w:rsidR="00495C65" w:rsidRDefault="00495C65" w:rsidP="00495C65">
      <w:pPr>
        <w:pStyle w:val="13"/>
      </w:pPr>
      <w:r>
        <w:t>c）采用剩余法评估时，按照所确定的未利用地开发利用方式调查和评估开发后的</w:t>
      </w:r>
      <w:r>
        <w:rPr>
          <w:rFonts w:hint="eastAsia"/>
        </w:rPr>
        <w:t>买卖价格，要求有可比较的市场交易案例；</w:t>
      </w:r>
    </w:p>
    <w:p w14:paraId="3602D80E" w14:textId="77777777" w:rsidR="00495C65" w:rsidRDefault="00495C65" w:rsidP="00495C65">
      <w:pPr>
        <w:pStyle w:val="13"/>
      </w:pPr>
      <w:r>
        <w:lastRenderedPageBreak/>
        <w:t>d）采用市场比较法评估时，需要调查当地类似条件的未利用地拍卖等市场价格。</w:t>
      </w:r>
    </w:p>
    <w:p w14:paraId="26275CB1" w14:textId="77777777" w:rsidR="00495C65" w:rsidRDefault="00495C65" w:rsidP="00AF7342">
      <w:pPr>
        <w:pStyle w:val="a9"/>
        <w:spacing w:before="62" w:after="62"/>
      </w:pPr>
      <w:r>
        <w:t>8 不同估价目的的农用地估价</w:t>
      </w:r>
    </w:p>
    <w:p w14:paraId="4F1BB057" w14:textId="77777777" w:rsidR="00495C65" w:rsidRDefault="00495C65" w:rsidP="00495C65">
      <w:pPr>
        <w:pStyle w:val="ab"/>
        <w:spacing w:before="62" w:after="62"/>
        <w:ind w:firstLine="482"/>
      </w:pPr>
      <w:r>
        <w:t>8.1 承包农用地价格评估</w:t>
      </w:r>
    </w:p>
    <w:p w14:paraId="7448E2BA" w14:textId="77777777" w:rsidR="00495C65" w:rsidRDefault="00495C65" w:rsidP="00495C65">
      <w:pPr>
        <w:pStyle w:val="13"/>
      </w:pPr>
      <w:r>
        <w:rPr>
          <w:rFonts w:hint="eastAsia"/>
        </w:rPr>
        <w:t>承包农用地价格是指在正常条件下承包年期内的农用地的价格。</w:t>
      </w:r>
    </w:p>
    <w:p w14:paraId="2B2EF3B4" w14:textId="77777777" w:rsidR="00495C65" w:rsidRDefault="00495C65" w:rsidP="00495C65">
      <w:pPr>
        <w:pStyle w:val="13"/>
      </w:pPr>
      <w:r>
        <w:rPr>
          <w:rFonts w:hint="eastAsia"/>
        </w:rPr>
        <w:t>承包农用地的价格评估需要综合考虑农用地的土壤质量、收益水平、土地承包经营期限、有无其他经营或权利限制、农田基础设施状况与水平的方面因素。</w:t>
      </w:r>
    </w:p>
    <w:p w14:paraId="43481D3A" w14:textId="77777777" w:rsidR="00495C65" w:rsidRDefault="00495C65" w:rsidP="00495C65">
      <w:pPr>
        <w:pStyle w:val="13"/>
      </w:pPr>
      <w:r>
        <w:rPr>
          <w:rFonts w:hint="eastAsia"/>
        </w:rPr>
        <w:t>承包农用地价格评估方法可采用收益还原法、市场比较法和基准地价修正法等。</w:t>
      </w:r>
    </w:p>
    <w:p w14:paraId="409615EF" w14:textId="77777777" w:rsidR="00495C65" w:rsidRDefault="00495C65" w:rsidP="00495C65">
      <w:pPr>
        <w:pStyle w:val="13"/>
      </w:pPr>
      <w:r>
        <w:rPr>
          <w:rFonts w:hint="eastAsia"/>
        </w:rPr>
        <w:t>还原利率可根据估价对象权利内容确定。</w:t>
      </w:r>
    </w:p>
    <w:p w14:paraId="58D43FD3" w14:textId="77777777" w:rsidR="00495C65" w:rsidRDefault="00495C65" w:rsidP="00495C65">
      <w:pPr>
        <w:pStyle w:val="13"/>
      </w:pPr>
      <w:r>
        <w:rPr>
          <w:rFonts w:hint="eastAsia"/>
        </w:rPr>
        <w:t>承包农用地价格评估同时评估许多宗地时，评估报告需要作适当归并。</w:t>
      </w:r>
    </w:p>
    <w:p w14:paraId="61A15EDD" w14:textId="77777777" w:rsidR="00495C65" w:rsidRDefault="00495C65" w:rsidP="00495C65">
      <w:pPr>
        <w:pStyle w:val="ab"/>
        <w:spacing w:before="62" w:after="62"/>
        <w:ind w:firstLine="482"/>
      </w:pPr>
      <w:r>
        <w:t>8.2 转包农用地价格评估</w:t>
      </w:r>
    </w:p>
    <w:p w14:paraId="06C11CA1" w14:textId="77777777" w:rsidR="00495C65" w:rsidRDefault="00495C65" w:rsidP="00495C65">
      <w:pPr>
        <w:pStyle w:val="13"/>
      </w:pPr>
      <w:r>
        <w:rPr>
          <w:rFonts w:hint="eastAsia"/>
        </w:rPr>
        <w:t>转包农用地价格是指在正常市场条件下转包期内农用</w:t>
      </w:r>
      <w:proofErr w:type="gramStart"/>
      <w:r>
        <w:rPr>
          <w:rFonts w:hint="eastAsia"/>
        </w:rPr>
        <w:t>地收益</w:t>
      </w:r>
      <w:proofErr w:type="gramEnd"/>
      <w:r>
        <w:rPr>
          <w:rFonts w:hint="eastAsia"/>
        </w:rPr>
        <w:t>的现值之</w:t>
      </w:r>
      <w:proofErr w:type="gramStart"/>
      <w:r>
        <w:rPr>
          <w:rFonts w:hint="eastAsia"/>
        </w:rPr>
        <w:t>和</w:t>
      </w:r>
      <w:proofErr w:type="gramEnd"/>
      <w:r>
        <w:rPr>
          <w:rFonts w:hint="eastAsia"/>
        </w:rPr>
        <w:t>。</w:t>
      </w:r>
    </w:p>
    <w:p w14:paraId="397405E2" w14:textId="77777777" w:rsidR="00495C65" w:rsidRDefault="00495C65" w:rsidP="00495C65">
      <w:pPr>
        <w:pStyle w:val="13"/>
      </w:pPr>
      <w:r>
        <w:rPr>
          <w:rFonts w:hint="eastAsia"/>
        </w:rPr>
        <w:t>农用地转包最高年限不能超过农用地的剩余承包年限。</w:t>
      </w:r>
    </w:p>
    <w:p w14:paraId="33128E30" w14:textId="77777777" w:rsidR="00495C65" w:rsidRDefault="00495C65" w:rsidP="00495C65">
      <w:pPr>
        <w:pStyle w:val="13"/>
      </w:pPr>
      <w:r>
        <w:rPr>
          <w:rFonts w:hint="eastAsia"/>
        </w:rPr>
        <w:t>农用地转包价格需要综合考虑农用地的土壤质量、土地收益水平、土地转包经营期限、有无其他经营或权利限制、农田基础设施状况与水平的方面进行评估。</w:t>
      </w:r>
    </w:p>
    <w:p w14:paraId="69E58E2B" w14:textId="77777777" w:rsidR="00495C65" w:rsidRDefault="00495C65" w:rsidP="00495C65">
      <w:pPr>
        <w:pStyle w:val="13"/>
      </w:pPr>
      <w:r>
        <w:rPr>
          <w:rFonts w:hint="eastAsia"/>
        </w:rPr>
        <w:t>农用地转包价格的评估方法可采用收益还原法、市场比较法等。</w:t>
      </w:r>
    </w:p>
    <w:p w14:paraId="268BF372" w14:textId="77777777" w:rsidR="00495C65" w:rsidRDefault="00495C65" w:rsidP="00495C65">
      <w:pPr>
        <w:pStyle w:val="13"/>
      </w:pPr>
      <w:r>
        <w:rPr>
          <w:rFonts w:hint="eastAsia"/>
        </w:rPr>
        <w:t>用收益还原法进行农用地转包价格评估时，还原利率可根据估价对象权利内容确定。</w:t>
      </w:r>
    </w:p>
    <w:p w14:paraId="62071E80" w14:textId="77777777" w:rsidR="00495C65" w:rsidRDefault="00495C65" w:rsidP="00495C65">
      <w:pPr>
        <w:pStyle w:val="ab"/>
        <w:spacing w:before="62" w:after="62"/>
        <w:ind w:firstLine="482"/>
      </w:pPr>
      <w:r>
        <w:t>8.3 农用地租金评估</w:t>
      </w:r>
    </w:p>
    <w:p w14:paraId="4629F648" w14:textId="77777777" w:rsidR="00495C65" w:rsidRDefault="00495C65" w:rsidP="00495C65">
      <w:pPr>
        <w:pStyle w:val="13"/>
      </w:pPr>
      <w:r>
        <w:rPr>
          <w:rFonts w:hint="eastAsia"/>
        </w:rPr>
        <w:t>农用地租金标准要与该宗地的正常地价标准相均衡。租金标准的评估可通过该宗地的正常土地使用权价格标准折算，也可采用市场比较法等直接评估。</w:t>
      </w:r>
    </w:p>
    <w:p w14:paraId="52DA0391" w14:textId="77777777" w:rsidR="00495C65" w:rsidRDefault="00495C65" w:rsidP="00495C65">
      <w:pPr>
        <w:pStyle w:val="ab"/>
        <w:spacing w:before="62" w:after="62"/>
        <w:ind w:firstLine="482"/>
      </w:pPr>
      <w:r>
        <w:t>8.4 荒地拍卖底价评估</w:t>
      </w:r>
    </w:p>
    <w:p w14:paraId="10C7C299" w14:textId="77777777" w:rsidR="00495C65" w:rsidRDefault="00495C65" w:rsidP="00495C65">
      <w:pPr>
        <w:pStyle w:val="13"/>
      </w:pPr>
      <w:r>
        <w:rPr>
          <w:rFonts w:hint="eastAsia"/>
        </w:rPr>
        <w:t>荒地拍卖的年限不可超过国家规定的最高年限。</w:t>
      </w:r>
    </w:p>
    <w:p w14:paraId="5A8110CB" w14:textId="77777777" w:rsidR="00495C65" w:rsidRDefault="00495C65" w:rsidP="00495C65">
      <w:pPr>
        <w:pStyle w:val="13"/>
      </w:pPr>
      <w:r>
        <w:rPr>
          <w:rFonts w:hint="eastAsia"/>
        </w:rPr>
        <w:t>荒地拍卖估价，可根据《中华人民共和国拍卖法》及《中华人民共和国土地管理法》等有关规定进行。</w:t>
      </w:r>
    </w:p>
    <w:p w14:paraId="246E11D7" w14:textId="77777777" w:rsidR="00495C65" w:rsidRDefault="00495C65" w:rsidP="00495C65">
      <w:pPr>
        <w:pStyle w:val="13"/>
      </w:pPr>
      <w:r>
        <w:rPr>
          <w:rFonts w:hint="eastAsia"/>
        </w:rPr>
        <w:t>荒地拍卖估价，可采用剩余法和市场比较法确定其价格。但要在估价报告中说明未来市场变化风险和预期强制处分等因素对拍卖价格的影响。</w:t>
      </w:r>
    </w:p>
    <w:p w14:paraId="2DAF33A2" w14:textId="77777777" w:rsidR="00495C65" w:rsidRDefault="00495C65" w:rsidP="00495C65">
      <w:pPr>
        <w:pStyle w:val="ab"/>
        <w:spacing w:before="62" w:after="62"/>
        <w:ind w:firstLine="482"/>
      </w:pPr>
      <w:r>
        <w:t>8.5 荒地抵押价格评估</w:t>
      </w:r>
    </w:p>
    <w:p w14:paraId="355C8F1D" w14:textId="77777777" w:rsidR="00495C65" w:rsidRDefault="00495C65" w:rsidP="00495C65">
      <w:pPr>
        <w:pStyle w:val="13"/>
      </w:pPr>
      <w:r>
        <w:rPr>
          <w:rFonts w:hint="eastAsia"/>
        </w:rPr>
        <w:t>荒地抵押估价是指在将荒地作为抵押债权担保而设定抵押权时对荒地进行的评估。</w:t>
      </w:r>
    </w:p>
    <w:p w14:paraId="3AEB2D64" w14:textId="77777777" w:rsidR="00495C65" w:rsidRDefault="00495C65" w:rsidP="00495C65">
      <w:pPr>
        <w:pStyle w:val="13"/>
      </w:pPr>
      <w:r>
        <w:rPr>
          <w:rFonts w:hint="eastAsia"/>
        </w:rPr>
        <w:t>荒地抵押评估的是有限年期荒地价格。</w:t>
      </w:r>
    </w:p>
    <w:p w14:paraId="6B3937B5" w14:textId="77777777" w:rsidR="00495C65" w:rsidRDefault="00495C65" w:rsidP="00495C65">
      <w:pPr>
        <w:pStyle w:val="13"/>
      </w:pPr>
      <w:r>
        <w:rPr>
          <w:rFonts w:hint="eastAsia"/>
        </w:rPr>
        <w:t>荒地抵押估价，可依据《中国人民共和国担保法》及《中华人民共和国土地管理法》等有关规定进行。</w:t>
      </w:r>
    </w:p>
    <w:p w14:paraId="0D1B078E" w14:textId="77777777" w:rsidR="00495C65" w:rsidRDefault="00495C65" w:rsidP="00495C65">
      <w:pPr>
        <w:pStyle w:val="13"/>
      </w:pPr>
      <w:r>
        <w:rPr>
          <w:rFonts w:hint="eastAsia"/>
        </w:rPr>
        <w:lastRenderedPageBreak/>
        <w:t>荒地抵押估价，可采用市场比较法、剩余法和成本逼近法确定其价格。但要在估价报告中说明未来市场变化风险和预期强制处分等因素对抵押价格的影响。</w:t>
      </w:r>
    </w:p>
    <w:p w14:paraId="60FD7C2B" w14:textId="77777777" w:rsidR="00495C65" w:rsidRDefault="00495C65" w:rsidP="00495C65">
      <w:pPr>
        <w:pStyle w:val="13"/>
      </w:pPr>
      <w:r>
        <w:rPr>
          <w:rFonts w:hint="eastAsia"/>
        </w:rPr>
        <w:t>在进行荒地抵押估价时，要区分抵押物的权利状况，按照其相应的权利评估确定</w:t>
      </w:r>
      <w:proofErr w:type="gramStart"/>
      <w:r>
        <w:rPr>
          <w:rFonts w:hint="eastAsia"/>
        </w:rPr>
        <w:t>去相应</w:t>
      </w:r>
      <w:proofErr w:type="gramEnd"/>
      <w:r>
        <w:rPr>
          <w:rFonts w:hint="eastAsia"/>
        </w:rPr>
        <w:t>的价格。</w:t>
      </w:r>
    </w:p>
    <w:p w14:paraId="7791768D" w14:textId="77777777" w:rsidR="00495C65" w:rsidRDefault="00495C65" w:rsidP="00495C65">
      <w:pPr>
        <w:pStyle w:val="13"/>
      </w:pPr>
      <w:r>
        <w:rPr>
          <w:rFonts w:hint="eastAsia"/>
        </w:rPr>
        <w:t>荒地抵押价格评估需要掌握前三年荒地价格的变化状况，预测未来三年的地价变动趋势，并考虑抵押风险和强制处分等因素。</w:t>
      </w:r>
    </w:p>
    <w:p w14:paraId="227E05DF" w14:textId="77777777" w:rsidR="00495C65" w:rsidRDefault="00495C65" w:rsidP="00AF7342">
      <w:pPr>
        <w:pStyle w:val="a9"/>
        <w:spacing w:before="62" w:after="62"/>
      </w:pPr>
      <w:r>
        <w:t>9 农用地基准地价评估</w:t>
      </w:r>
    </w:p>
    <w:p w14:paraId="57B3FF39" w14:textId="77777777" w:rsidR="00495C65" w:rsidRDefault="00495C65" w:rsidP="00495C65">
      <w:pPr>
        <w:pStyle w:val="ab"/>
        <w:spacing w:before="62" w:after="62"/>
        <w:ind w:firstLine="482"/>
      </w:pPr>
      <w:r>
        <w:t>9.1 评估对象</w:t>
      </w:r>
    </w:p>
    <w:p w14:paraId="2F5304ED" w14:textId="77777777" w:rsidR="00495C65" w:rsidRDefault="00495C65" w:rsidP="00495C65">
      <w:pPr>
        <w:pStyle w:val="13"/>
      </w:pPr>
      <w:r>
        <w:rPr>
          <w:rFonts w:hint="eastAsia"/>
        </w:rPr>
        <w:t>农用地基准地价评估对象是县（市）行政区内现有农用地和宜农未利用地。</w:t>
      </w:r>
    </w:p>
    <w:p w14:paraId="1EF0BC0F" w14:textId="77777777" w:rsidR="00495C65" w:rsidRDefault="00495C65" w:rsidP="00495C65">
      <w:pPr>
        <w:pStyle w:val="ab"/>
        <w:spacing w:before="62" w:after="62"/>
        <w:ind w:firstLine="482"/>
      </w:pPr>
      <w:r>
        <w:t>9.2 技术路线</w:t>
      </w:r>
    </w:p>
    <w:p w14:paraId="146B5BA0" w14:textId="77777777" w:rsidR="00495C65" w:rsidRDefault="00495C65" w:rsidP="00495C65">
      <w:pPr>
        <w:pStyle w:val="13"/>
      </w:pPr>
      <w:r>
        <w:rPr>
          <w:rFonts w:hint="eastAsia"/>
        </w:rPr>
        <w:t>农用地基准地价评估有以下三条技术路线：</w:t>
      </w:r>
    </w:p>
    <w:p w14:paraId="75A6CA3C" w14:textId="77777777" w:rsidR="00495C65" w:rsidRDefault="00495C65" w:rsidP="00495C65">
      <w:pPr>
        <w:pStyle w:val="13"/>
      </w:pPr>
      <w:r>
        <w:t>a）样点地价平均法：在农用地定级基础上，用投入产出样点资料和市场交易样点资</w:t>
      </w:r>
      <w:r>
        <w:rPr>
          <w:rFonts w:hint="eastAsia"/>
        </w:rPr>
        <w:t>料评估并确定基准地价：</w:t>
      </w:r>
    </w:p>
    <w:p w14:paraId="1AA95A15" w14:textId="77777777" w:rsidR="00495C65" w:rsidRDefault="00495C65" w:rsidP="00495C65">
      <w:pPr>
        <w:pStyle w:val="13"/>
      </w:pPr>
      <w:r>
        <w:t>b）定级指数模型法：在农用地定级基础上，根据定级指数、农用地市场交易资料和</w:t>
      </w:r>
      <w:r>
        <w:rPr>
          <w:rFonts w:hint="eastAsia"/>
        </w:rPr>
        <w:t>投入产出资料，建立地价测算模型，评估并确定基准地价。</w:t>
      </w:r>
    </w:p>
    <w:p w14:paraId="6DF19BE3" w14:textId="77777777" w:rsidR="00495C65" w:rsidRDefault="00495C65" w:rsidP="00495C65">
      <w:pPr>
        <w:pStyle w:val="13"/>
      </w:pPr>
      <w:r>
        <w:t>c）基准地块评估法：通过设置基准地块，并评估基准地块价格，根据基准地块价格</w:t>
      </w:r>
      <w:r>
        <w:rPr>
          <w:rFonts w:hint="eastAsia"/>
        </w:rPr>
        <w:t>评估并确定基准地价。</w:t>
      </w:r>
    </w:p>
    <w:p w14:paraId="68F63F82" w14:textId="77777777" w:rsidR="00495C65" w:rsidRDefault="00495C65" w:rsidP="00495C65">
      <w:pPr>
        <w:pStyle w:val="13"/>
      </w:pPr>
      <w:r>
        <w:rPr>
          <w:rFonts w:hint="eastAsia"/>
        </w:rPr>
        <w:t>在农用地基准地价评估中，可根据本地农用地市场状况、基础资料及技术条件，选择其中一条技术路线进行评估。</w:t>
      </w:r>
    </w:p>
    <w:p w14:paraId="49EF5BBB" w14:textId="77777777" w:rsidR="00495C65" w:rsidRDefault="00495C65" w:rsidP="00495C65">
      <w:pPr>
        <w:pStyle w:val="ab"/>
        <w:spacing w:before="62" w:after="62"/>
        <w:ind w:firstLine="482"/>
      </w:pPr>
      <w:r>
        <w:t>9.3 工作程序</w:t>
      </w:r>
    </w:p>
    <w:p w14:paraId="7E9EF849" w14:textId="77777777" w:rsidR="00495C65" w:rsidRDefault="00495C65" w:rsidP="00495C65">
      <w:pPr>
        <w:pStyle w:val="13"/>
      </w:pPr>
      <w:r>
        <w:rPr>
          <w:rFonts w:hint="eastAsia"/>
        </w:rPr>
        <w:t>农用地基准地价评估的工程程序如下：</w:t>
      </w:r>
    </w:p>
    <w:p w14:paraId="33A8032E" w14:textId="77777777" w:rsidR="00495C65" w:rsidRDefault="00495C65" w:rsidP="00495C65">
      <w:pPr>
        <w:pStyle w:val="13"/>
      </w:pPr>
      <w:r>
        <w:t>a）准备工作：</w:t>
      </w:r>
    </w:p>
    <w:p w14:paraId="4F8EBC86" w14:textId="77777777" w:rsidR="00495C65" w:rsidRDefault="00495C65" w:rsidP="00495C65">
      <w:pPr>
        <w:pStyle w:val="13"/>
      </w:pPr>
      <w:r>
        <w:t>b）确定基准地价评估的技术路线；</w:t>
      </w:r>
    </w:p>
    <w:p w14:paraId="31E33F17" w14:textId="77777777" w:rsidR="00495C65" w:rsidRDefault="00495C65" w:rsidP="00495C65">
      <w:pPr>
        <w:pStyle w:val="13"/>
      </w:pPr>
      <w:r>
        <w:t>c）界定基准地价的内涵；</w:t>
      </w:r>
    </w:p>
    <w:p w14:paraId="75F82A19" w14:textId="77777777" w:rsidR="00495C65" w:rsidRDefault="00495C65" w:rsidP="00495C65">
      <w:pPr>
        <w:pStyle w:val="13"/>
      </w:pPr>
      <w:r>
        <w:t>d）资料调查与整理；</w:t>
      </w:r>
    </w:p>
    <w:p w14:paraId="4C73EBA1" w14:textId="77777777" w:rsidR="00495C65" w:rsidRDefault="00495C65" w:rsidP="00495C65">
      <w:pPr>
        <w:pStyle w:val="13"/>
      </w:pPr>
      <w:r>
        <w:t>e）评估基准地价；</w:t>
      </w:r>
    </w:p>
    <w:p w14:paraId="162364B8" w14:textId="77777777" w:rsidR="00495C65" w:rsidRDefault="00495C65" w:rsidP="00495C65">
      <w:pPr>
        <w:pStyle w:val="13"/>
      </w:pPr>
      <w:r>
        <w:t>f）成果整理与验收。</w:t>
      </w:r>
    </w:p>
    <w:p w14:paraId="66DBA987" w14:textId="77777777" w:rsidR="00495C65" w:rsidRDefault="00495C65" w:rsidP="00495C65">
      <w:pPr>
        <w:pStyle w:val="ab"/>
        <w:spacing w:before="62" w:after="62"/>
        <w:ind w:firstLine="482"/>
      </w:pPr>
      <w:r>
        <w:t>9.4 准备工作</w:t>
      </w:r>
    </w:p>
    <w:p w14:paraId="14039336" w14:textId="77777777" w:rsidR="00495C65" w:rsidRDefault="00495C65" w:rsidP="00495C65">
      <w:pPr>
        <w:pStyle w:val="13"/>
      </w:pPr>
      <w:r>
        <w:rPr>
          <w:rFonts w:hint="eastAsia"/>
        </w:rPr>
        <w:t>包括以下几个方面：</w:t>
      </w:r>
    </w:p>
    <w:p w14:paraId="6833390F" w14:textId="77777777" w:rsidR="00495C65" w:rsidRDefault="00495C65" w:rsidP="00495C65">
      <w:pPr>
        <w:pStyle w:val="13"/>
      </w:pPr>
      <w:r>
        <w:t>a）收集和准备基准地价评估的基本资料；</w:t>
      </w:r>
    </w:p>
    <w:p w14:paraId="1020E85E" w14:textId="77777777" w:rsidR="00495C65" w:rsidRDefault="00495C65" w:rsidP="00495C65">
      <w:pPr>
        <w:pStyle w:val="13"/>
      </w:pPr>
      <w:r>
        <w:t>b）确定基准地价评估区域范围；</w:t>
      </w:r>
    </w:p>
    <w:p w14:paraId="597F118C" w14:textId="77777777" w:rsidR="00495C65" w:rsidRDefault="00495C65" w:rsidP="00495C65">
      <w:pPr>
        <w:pStyle w:val="13"/>
      </w:pPr>
      <w:r>
        <w:t>c）确定工作底图；</w:t>
      </w:r>
    </w:p>
    <w:p w14:paraId="7AD118EC" w14:textId="77777777" w:rsidR="00495C65" w:rsidRDefault="00495C65" w:rsidP="00495C65">
      <w:pPr>
        <w:pStyle w:val="13"/>
      </w:pPr>
      <w:r>
        <w:t>d）编写农用地基准地价评估任务书；</w:t>
      </w:r>
    </w:p>
    <w:p w14:paraId="42B6199C" w14:textId="77777777" w:rsidR="00495C65" w:rsidRDefault="00495C65" w:rsidP="00495C65">
      <w:pPr>
        <w:pStyle w:val="13"/>
      </w:pPr>
      <w:r>
        <w:lastRenderedPageBreak/>
        <w:t>e）制定基准地价评估所需调查表格，基本表格见附录B。</w:t>
      </w:r>
    </w:p>
    <w:p w14:paraId="5F014385" w14:textId="77777777" w:rsidR="00495C65" w:rsidRDefault="00495C65" w:rsidP="00495C65">
      <w:pPr>
        <w:pStyle w:val="ab"/>
        <w:spacing w:before="62" w:after="62"/>
        <w:ind w:firstLine="482"/>
      </w:pPr>
      <w:r>
        <w:t>9.5 农用地基准地价内涵界定</w:t>
      </w:r>
    </w:p>
    <w:p w14:paraId="4E883AF4" w14:textId="77777777" w:rsidR="00495C65" w:rsidRDefault="00495C65" w:rsidP="00495C65">
      <w:pPr>
        <w:pStyle w:val="13"/>
      </w:pPr>
      <w:r>
        <w:rPr>
          <w:rFonts w:hint="eastAsia"/>
        </w:rPr>
        <w:t>农用地基准地价内涵界定包括土地权利、土地权利年期、用地类型、耕作制度、农田基本设施状况、基准日等方面，具体如下；</w:t>
      </w:r>
    </w:p>
    <w:p w14:paraId="5B4A8339" w14:textId="77777777" w:rsidR="00495C65" w:rsidRDefault="00495C65" w:rsidP="00495C65">
      <w:pPr>
        <w:pStyle w:val="13"/>
      </w:pPr>
      <w:r>
        <w:t>a）土地权利：一般界定为农用地使用价格。</w:t>
      </w:r>
    </w:p>
    <w:p w14:paraId="549900B7" w14:textId="77777777" w:rsidR="00495C65" w:rsidRDefault="00495C65" w:rsidP="00495C65">
      <w:pPr>
        <w:pStyle w:val="13"/>
      </w:pPr>
      <w:r>
        <w:t>b）土地权利年期：可设定为30年和无限年期两种。</w:t>
      </w:r>
    </w:p>
    <w:p w14:paraId="0CBD529C" w14:textId="77777777" w:rsidR="00495C65" w:rsidRDefault="00495C65" w:rsidP="00495C65">
      <w:pPr>
        <w:pStyle w:val="13"/>
      </w:pPr>
      <w:r>
        <w:t>c）用地类型：农用地利用类型主要包括耕地、园林、；林地、草地及其他农用地等，</w:t>
      </w:r>
      <w:r>
        <w:rPr>
          <w:rFonts w:hint="eastAsia"/>
        </w:rPr>
        <w:t>在基准地价评估中可根据当地主要用地类型的实际情况进行适当确定。未利用地可按照可开发利用方式确定用地类型。</w:t>
      </w:r>
    </w:p>
    <w:p w14:paraId="5616F440" w14:textId="77777777" w:rsidR="00495C65" w:rsidRDefault="00495C65" w:rsidP="00495C65">
      <w:pPr>
        <w:pStyle w:val="13"/>
      </w:pPr>
      <w:r>
        <w:t>d）耕地制度：主要</w:t>
      </w:r>
      <w:proofErr w:type="gramStart"/>
      <w:r>
        <w:t>是孰制问题</w:t>
      </w:r>
      <w:proofErr w:type="gramEnd"/>
      <w:r>
        <w:t>，可以按照GB/T28407中规定的标准耕作制度确定，</w:t>
      </w:r>
      <w:r>
        <w:rPr>
          <w:rFonts w:hint="eastAsia"/>
        </w:rPr>
        <w:t>也可根据当地实际情况具体确定。</w:t>
      </w:r>
    </w:p>
    <w:p w14:paraId="49A52353" w14:textId="77777777" w:rsidR="00495C65" w:rsidRDefault="00495C65" w:rsidP="00495C65">
      <w:pPr>
        <w:pStyle w:val="13"/>
      </w:pPr>
      <w:r>
        <w:t>e）农田基本设施状况：在基准地价评估中，按照</w:t>
      </w:r>
      <w:proofErr w:type="gramStart"/>
      <w:r>
        <w:t>个</w:t>
      </w:r>
      <w:proofErr w:type="gramEnd"/>
      <w:r>
        <w:t>级别的农田基本设施的平均状况</w:t>
      </w:r>
      <w:r>
        <w:rPr>
          <w:rFonts w:hint="eastAsia"/>
        </w:rPr>
        <w:t>确定。</w:t>
      </w:r>
    </w:p>
    <w:p w14:paraId="5F490C74" w14:textId="77777777" w:rsidR="00495C65" w:rsidRDefault="00495C65" w:rsidP="00495C65">
      <w:pPr>
        <w:pStyle w:val="13"/>
      </w:pPr>
      <w:r>
        <w:t>f）基准日:基准日就是估价对象在评估确定的时点上的价值，这个时点就是评估基</w:t>
      </w:r>
      <w:r>
        <w:rPr>
          <w:rFonts w:hint="eastAsia"/>
        </w:rPr>
        <w:t>准日，精确到某年某月某日。在基准地价评估中要明确设定农用地基准地价的基准日。</w:t>
      </w:r>
    </w:p>
    <w:p w14:paraId="106FAE29" w14:textId="77777777" w:rsidR="00495C65" w:rsidRDefault="00495C65" w:rsidP="00495C65">
      <w:pPr>
        <w:pStyle w:val="ab"/>
        <w:spacing w:before="62" w:after="62"/>
        <w:ind w:firstLine="482"/>
      </w:pPr>
      <w:r>
        <w:t>9.6 样点地价平均法</w:t>
      </w:r>
    </w:p>
    <w:p w14:paraId="27792394" w14:textId="77777777" w:rsidR="00495C65" w:rsidRDefault="00495C65" w:rsidP="00495C65">
      <w:pPr>
        <w:pStyle w:val="13"/>
      </w:pPr>
      <w:r>
        <w:t>9.6.1 评估步骤</w:t>
      </w:r>
    </w:p>
    <w:p w14:paraId="6D569F95" w14:textId="77777777" w:rsidR="00495C65" w:rsidRDefault="00495C65" w:rsidP="00495C65">
      <w:pPr>
        <w:pStyle w:val="13"/>
      </w:pPr>
      <w:r>
        <w:rPr>
          <w:rFonts w:hint="eastAsia"/>
        </w:rPr>
        <w:t>采用样点地价平均法评估基准地价，是在农用地定级基础上，调查农用地投入产出样点资料和市场交易样点资料，并计算样点地价，以各样点地价的平均值评估并确定农用地基准地价。具体评估步骤如下；</w:t>
      </w:r>
    </w:p>
    <w:p w14:paraId="2F350786" w14:textId="77777777" w:rsidR="00495C65" w:rsidRDefault="00495C65" w:rsidP="00495C65">
      <w:pPr>
        <w:pStyle w:val="13"/>
      </w:pPr>
      <w:r>
        <w:t>a）资料调查</w:t>
      </w:r>
    </w:p>
    <w:p w14:paraId="206E64D7" w14:textId="77777777" w:rsidR="00495C65" w:rsidRDefault="00495C65" w:rsidP="00495C65">
      <w:pPr>
        <w:pStyle w:val="13"/>
      </w:pPr>
      <w:r>
        <w:t>b）按农用地级别确定农用地的土地利用类型；</w:t>
      </w:r>
    </w:p>
    <w:p w14:paraId="461F58AF" w14:textId="77777777" w:rsidR="00495C65" w:rsidRDefault="00495C65" w:rsidP="00495C65">
      <w:pPr>
        <w:pStyle w:val="13"/>
      </w:pPr>
      <w:r>
        <w:t>c）投入产出资料抽样调查；</w:t>
      </w:r>
    </w:p>
    <w:p w14:paraId="3B99FD7A" w14:textId="77777777" w:rsidR="00495C65" w:rsidRDefault="00495C65" w:rsidP="00495C65">
      <w:pPr>
        <w:pStyle w:val="13"/>
      </w:pPr>
      <w:r>
        <w:t>d）利用投入产出资料分析计算土地利用纯收益，并以此计算样点地价；</w:t>
      </w:r>
    </w:p>
    <w:p w14:paraId="1D9E0B3D" w14:textId="77777777" w:rsidR="00495C65" w:rsidRDefault="00495C65" w:rsidP="00495C65">
      <w:pPr>
        <w:pStyle w:val="13"/>
      </w:pPr>
      <w:r>
        <w:t>e）利用市场交易案例资料。计算样点地价；</w:t>
      </w:r>
    </w:p>
    <w:p w14:paraId="5321D570" w14:textId="77777777" w:rsidR="00495C65" w:rsidRDefault="00495C65" w:rsidP="00495C65">
      <w:pPr>
        <w:pStyle w:val="13"/>
      </w:pPr>
      <w:r>
        <w:t>f）根据所测算的样点地价资料，计算个级别基准地价。</w:t>
      </w:r>
    </w:p>
    <w:p w14:paraId="5405FEF4" w14:textId="77777777" w:rsidR="00495C65" w:rsidRDefault="00495C65" w:rsidP="00495C65">
      <w:pPr>
        <w:pStyle w:val="13"/>
      </w:pPr>
      <w:r>
        <w:t>9.6.2 资料调查的内容和要求</w:t>
      </w:r>
    </w:p>
    <w:p w14:paraId="0512CB9C" w14:textId="77777777" w:rsidR="00495C65" w:rsidRDefault="00495C65" w:rsidP="00495C65">
      <w:pPr>
        <w:pStyle w:val="13"/>
      </w:pPr>
      <w:r>
        <w:t>9.6.2.1 资料调查的内容</w:t>
      </w:r>
    </w:p>
    <w:p w14:paraId="3D19C18A" w14:textId="77777777" w:rsidR="00495C65" w:rsidRDefault="00495C65" w:rsidP="00495C65">
      <w:pPr>
        <w:pStyle w:val="13"/>
      </w:pPr>
      <w:r>
        <w:rPr>
          <w:rFonts w:hint="eastAsia"/>
        </w:rPr>
        <w:t>样点地价平均法收集资料的内容如下：</w:t>
      </w:r>
    </w:p>
    <w:p w14:paraId="2022A8DF" w14:textId="77777777" w:rsidR="00495C65" w:rsidRDefault="00495C65" w:rsidP="00495C65">
      <w:pPr>
        <w:pStyle w:val="13"/>
      </w:pPr>
      <w:r>
        <w:t>a）农用地定级成果资料；包括农用地级别图、农用地定级工作报告和技术报告、其</w:t>
      </w:r>
      <w:r>
        <w:rPr>
          <w:rFonts w:hint="eastAsia"/>
        </w:rPr>
        <w:t>他能用于农用地估价的定级成果及资料；</w:t>
      </w:r>
    </w:p>
    <w:p w14:paraId="6CB52F67" w14:textId="77777777" w:rsidR="00495C65" w:rsidRDefault="00495C65" w:rsidP="00495C65">
      <w:pPr>
        <w:pStyle w:val="13"/>
      </w:pPr>
      <w:r>
        <w:t>b）农用地承包、转包、出租、拍卖、联营入股等交易资料；</w:t>
      </w:r>
    </w:p>
    <w:p w14:paraId="7DE86BB0" w14:textId="77777777" w:rsidR="00495C65" w:rsidRDefault="00495C65" w:rsidP="00495C65">
      <w:pPr>
        <w:pStyle w:val="13"/>
      </w:pPr>
      <w:r>
        <w:lastRenderedPageBreak/>
        <w:t>c）社会经济及土地利用资料：包括当地农村经济发展状况资料，农业和社会经济发</w:t>
      </w:r>
      <w:r>
        <w:rPr>
          <w:rFonts w:hint="eastAsia"/>
        </w:rPr>
        <w:t>展统计资料，土地利用总体规划资料，基本农田保护区资料等；</w:t>
      </w:r>
    </w:p>
    <w:p w14:paraId="58784715" w14:textId="77777777" w:rsidR="00495C65" w:rsidRDefault="00495C65" w:rsidP="00495C65">
      <w:pPr>
        <w:pStyle w:val="13"/>
      </w:pPr>
      <w:r>
        <w:t>d）其他资料：如农用地历史地价资料，农业开发和农业生产的政策资料等。</w:t>
      </w:r>
    </w:p>
    <w:p w14:paraId="194BCC1E" w14:textId="77777777" w:rsidR="00495C65" w:rsidRDefault="00495C65" w:rsidP="00495C65">
      <w:pPr>
        <w:pStyle w:val="13"/>
      </w:pPr>
      <w:r>
        <w:t>9.6.2.2 资料调查的一般要求</w:t>
      </w:r>
    </w:p>
    <w:p w14:paraId="0BE26C6D" w14:textId="77777777" w:rsidR="00495C65" w:rsidRDefault="00495C65" w:rsidP="00495C65">
      <w:pPr>
        <w:pStyle w:val="13"/>
      </w:pPr>
      <w:r>
        <w:rPr>
          <w:rFonts w:hint="eastAsia"/>
        </w:rPr>
        <w:t>样点地价平均法资料调查的一般要求如下：</w:t>
      </w:r>
    </w:p>
    <w:p w14:paraId="086636B1" w14:textId="77777777" w:rsidR="00495C65" w:rsidRDefault="00495C65" w:rsidP="00495C65">
      <w:pPr>
        <w:pStyle w:val="13"/>
      </w:pPr>
      <w:r>
        <w:t>a）资料调查以农用地级别为单位进行，按农用地级别或行政区域进行归类整理；</w:t>
      </w:r>
    </w:p>
    <w:p w14:paraId="544CD467" w14:textId="77777777" w:rsidR="00495C65" w:rsidRDefault="00495C65" w:rsidP="00495C65">
      <w:pPr>
        <w:pStyle w:val="13"/>
      </w:pPr>
      <w:r>
        <w:t>b）调查、收集资料中选择的样点地块要按实地位置标注到估价工作底图上，并建立</w:t>
      </w:r>
      <w:r>
        <w:rPr>
          <w:rFonts w:hint="eastAsia"/>
        </w:rPr>
        <w:t>样点资料数据库；</w:t>
      </w:r>
    </w:p>
    <w:p w14:paraId="227D64C9" w14:textId="77777777" w:rsidR="00495C65" w:rsidRDefault="00495C65" w:rsidP="00495C65">
      <w:pPr>
        <w:pStyle w:val="13"/>
      </w:pPr>
      <w:r>
        <w:t>c）农用地承包、转让、出租、拍卖、抵押、联营入股等交易资料和农用</w:t>
      </w:r>
      <w:proofErr w:type="gramStart"/>
      <w:r>
        <w:t>地收益</w:t>
      </w:r>
      <w:proofErr w:type="gramEnd"/>
      <w:r>
        <w:t>资料</w:t>
      </w:r>
      <w:r>
        <w:rPr>
          <w:rFonts w:hint="eastAsia"/>
        </w:rPr>
        <w:t>中的价格指标均以元为单位，面积指标均以平方米为单位，指标数值准确到小数点后一位；</w:t>
      </w:r>
    </w:p>
    <w:p w14:paraId="3F90460A" w14:textId="77777777" w:rsidR="00495C65" w:rsidRDefault="00495C65" w:rsidP="00495C65">
      <w:pPr>
        <w:pStyle w:val="13"/>
      </w:pPr>
      <w:r>
        <w:t>f）样点调查要符合数理统计要求。</w:t>
      </w:r>
    </w:p>
    <w:p w14:paraId="1CDBD15D" w14:textId="77777777" w:rsidR="00495C65" w:rsidRDefault="00495C65" w:rsidP="00495C65">
      <w:pPr>
        <w:pStyle w:val="13"/>
      </w:pPr>
      <w:r>
        <w:t>9.6.3 确定土地利用类型</w:t>
      </w:r>
    </w:p>
    <w:p w14:paraId="37FBAD8F" w14:textId="77777777" w:rsidR="00495C65" w:rsidRDefault="00495C65" w:rsidP="00495C65">
      <w:pPr>
        <w:pStyle w:val="13"/>
      </w:pPr>
      <w:r>
        <w:rPr>
          <w:rFonts w:hint="eastAsia"/>
        </w:rPr>
        <w:t>根据土地利用现状分区同时考虑土地利用总体规划的土地利用分区及土地用途管制的土地利用类型要求，确定各级别的主要用地类型。</w:t>
      </w:r>
    </w:p>
    <w:p w14:paraId="4D3E1972" w14:textId="77777777" w:rsidR="00495C65" w:rsidRDefault="00495C65" w:rsidP="00495C65">
      <w:pPr>
        <w:pStyle w:val="13"/>
      </w:pPr>
      <w:r>
        <w:t>9.6.4 投入产出样点和市场交易资料调查</w:t>
      </w:r>
    </w:p>
    <w:p w14:paraId="626303BA" w14:textId="77777777" w:rsidR="00495C65" w:rsidRDefault="00495C65" w:rsidP="00495C65">
      <w:pPr>
        <w:pStyle w:val="13"/>
      </w:pPr>
      <w:r>
        <w:rPr>
          <w:rFonts w:hint="eastAsia"/>
        </w:rPr>
        <w:t>农用地投入产出样点资料调查采用抽样调查方式。市场交易样点资料调查，在市场资料充足的情况下，采用抽样调查；在市场资料不足的情况下，采用全面调查。</w:t>
      </w:r>
    </w:p>
    <w:p w14:paraId="0B92E432" w14:textId="77777777" w:rsidR="00495C65" w:rsidRDefault="00495C65" w:rsidP="00495C65">
      <w:pPr>
        <w:pStyle w:val="13"/>
      </w:pPr>
      <w:r>
        <w:t>9.6.4.1 调查样点的要求</w:t>
      </w:r>
    </w:p>
    <w:p w14:paraId="1D48FBAD" w14:textId="77777777" w:rsidR="00495C65" w:rsidRDefault="00495C65" w:rsidP="00495C65">
      <w:pPr>
        <w:pStyle w:val="13"/>
      </w:pPr>
      <w:r>
        <w:rPr>
          <w:rFonts w:hint="eastAsia"/>
        </w:rPr>
        <w:t>样点单位可以是一定面积的地块，也可以是某一农户种植的相同用地类型的地块，地块面积要适中。</w:t>
      </w:r>
    </w:p>
    <w:p w14:paraId="13EBE774" w14:textId="77777777" w:rsidR="00495C65" w:rsidRDefault="00495C65" w:rsidP="00495C65">
      <w:pPr>
        <w:pStyle w:val="13"/>
      </w:pPr>
      <w:r>
        <w:rPr>
          <w:rFonts w:hint="eastAsia"/>
        </w:rPr>
        <w:t>样点抽样采用分类抽样调查，即按用地类型分别进行抽样调查。</w:t>
      </w:r>
    </w:p>
    <w:p w14:paraId="5C1B0B2E" w14:textId="77777777" w:rsidR="00495C65" w:rsidRDefault="00495C65" w:rsidP="00495C65">
      <w:pPr>
        <w:pStyle w:val="13"/>
      </w:pPr>
      <w:r>
        <w:rPr>
          <w:rFonts w:hint="eastAsia"/>
        </w:rPr>
        <w:t>样点要有代表性，样点分布要均匀，样点数据可调查最近的连续三年的资料。</w:t>
      </w:r>
    </w:p>
    <w:p w14:paraId="1488CCD7" w14:textId="77777777" w:rsidR="00495C65" w:rsidRDefault="00495C65" w:rsidP="00495C65">
      <w:pPr>
        <w:pStyle w:val="13"/>
      </w:pPr>
      <w:r>
        <w:rPr>
          <w:noProof/>
        </w:rPr>
        <w:drawing>
          <wp:anchor distT="0" distB="0" distL="114300" distR="114300" simplePos="0" relativeHeight="251679744" behindDoc="1" locked="0" layoutInCell="1" allowOverlap="1" wp14:anchorId="45F43DD9" wp14:editId="45F57BAF">
            <wp:simplePos x="0" y="0"/>
            <wp:positionH relativeFrom="column">
              <wp:posOffset>2182495</wp:posOffset>
            </wp:positionH>
            <wp:positionV relativeFrom="paragraph">
              <wp:posOffset>486410</wp:posOffset>
            </wp:positionV>
            <wp:extent cx="1379855" cy="339725"/>
            <wp:effectExtent l="0" t="0" r="0" b="3175"/>
            <wp:wrapNone/>
            <wp:docPr id="3282" name="图片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379855" cy="3397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样点单位总数、调查样点单位总数、各类样点单位数及调查样点单位数按式（</w:t>
      </w:r>
      <w:r>
        <w:t>19）</w:t>
      </w:r>
      <w:r>
        <w:rPr>
          <w:rFonts w:hint="eastAsia"/>
        </w:rPr>
        <w:t>计算：</w:t>
      </w:r>
    </w:p>
    <w:p w14:paraId="5F270183" w14:textId="77777777" w:rsidR="00495C65" w:rsidRDefault="00495C65" w:rsidP="00495C65">
      <w:pPr>
        <w:pStyle w:val="13"/>
      </w:pPr>
      <w:r w:rsidRPr="000F21AA">
        <w:t xml:space="preserve">                                                                （1</w:t>
      </w:r>
      <w:r>
        <w:t>9</w:t>
      </w:r>
      <w:r w:rsidRPr="000F21AA">
        <w:t>）</w:t>
      </w:r>
    </w:p>
    <w:p w14:paraId="7671DB46" w14:textId="77777777" w:rsidR="00495C65" w:rsidRDefault="00495C65" w:rsidP="00495C65">
      <w:pPr>
        <w:pStyle w:val="13"/>
      </w:pPr>
      <w:r>
        <w:rPr>
          <w:rFonts w:hint="eastAsia"/>
        </w:rPr>
        <w:t>式中：</w:t>
      </w:r>
    </w:p>
    <w:p w14:paraId="08F600B9" w14:textId="77777777" w:rsidR="00495C65" w:rsidRDefault="00495C65" w:rsidP="00495C65">
      <w:pPr>
        <w:pStyle w:val="13"/>
        <w:ind w:firstLineChars="500" w:firstLine="1200"/>
      </w:pPr>
      <w:r>
        <w:t>E</w:t>
      </w:r>
      <w:r w:rsidRPr="00EE5C3D">
        <w:rPr>
          <w:vertAlign w:val="subscript"/>
        </w:rPr>
        <w:t>ni</w:t>
      </w:r>
      <w:r>
        <w:t>——第</w:t>
      </w:r>
      <w:proofErr w:type="spellStart"/>
      <w:r>
        <w:t>i</w:t>
      </w:r>
      <w:proofErr w:type="spellEnd"/>
      <w:r>
        <w:t>类用地抽取的样点单位数；</w:t>
      </w:r>
    </w:p>
    <w:p w14:paraId="60866916" w14:textId="77777777" w:rsidR="00495C65" w:rsidRDefault="00495C65" w:rsidP="00495C65">
      <w:pPr>
        <w:pStyle w:val="13"/>
        <w:ind w:firstLineChars="500" w:firstLine="1200"/>
      </w:pPr>
      <w:proofErr w:type="spellStart"/>
      <w:r>
        <w:t>E</w:t>
      </w:r>
      <w:r w:rsidRPr="00EE5C3D">
        <w:rPr>
          <w:vertAlign w:val="subscript"/>
        </w:rPr>
        <w:t>n</w:t>
      </w:r>
      <w:proofErr w:type="spellEnd"/>
      <w:r>
        <w:t>——各类用地抽取的样点单位总数；</w:t>
      </w:r>
    </w:p>
    <w:p w14:paraId="1F7A4D75" w14:textId="77777777" w:rsidR="00495C65" w:rsidRDefault="00495C65" w:rsidP="00495C65">
      <w:pPr>
        <w:pStyle w:val="13"/>
        <w:ind w:firstLineChars="500" w:firstLine="1200"/>
      </w:pPr>
      <w:proofErr w:type="spellStart"/>
      <w:r>
        <w:t>E</w:t>
      </w:r>
      <w:r w:rsidRPr="00EE5C3D">
        <w:rPr>
          <w:vertAlign w:val="subscript"/>
        </w:rPr>
        <w:t>Ni</w:t>
      </w:r>
      <w:proofErr w:type="spellEnd"/>
      <w:r>
        <w:t>——第</w:t>
      </w:r>
      <w:proofErr w:type="spellStart"/>
      <w:r>
        <w:t>i</w:t>
      </w:r>
      <w:proofErr w:type="spellEnd"/>
      <w:r>
        <w:t>类用地的样点单位数；</w:t>
      </w:r>
    </w:p>
    <w:p w14:paraId="31FA3A87" w14:textId="77777777" w:rsidR="00495C65" w:rsidRDefault="00495C65" w:rsidP="00495C65">
      <w:pPr>
        <w:pStyle w:val="13"/>
        <w:ind w:firstLineChars="500" w:firstLine="1200"/>
      </w:pPr>
      <w:r>
        <w:t>E</w:t>
      </w:r>
      <w:r w:rsidRPr="00EE5C3D">
        <w:rPr>
          <w:vertAlign w:val="subscript"/>
        </w:rPr>
        <w:t>N</w:t>
      </w:r>
      <w:r>
        <w:t>——各类用地的样点单位总数。</w:t>
      </w:r>
    </w:p>
    <w:p w14:paraId="67A40949" w14:textId="77777777" w:rsidR="00495C65" w:rsidRDefault="00495C65" w:rsidP="00495C65">
      <w:pPr>
        <w:pStyle w:val="13"/>
      </w:pPr>
      <w:r>
        <w:t>9.6.4.2 样点资料的整理</w:t>
      </w:r>
    </w:p>
    <w:p w14:paraId="1B0510DC" w14:textId="77777777" w:rsidR="00495C65" w:rsidRDefault="00495C65" w:rsidP="00495C65">
      <w:pPr>
        <w:pStyle w:val="13"/>
      </w:pPr>
      <w:r>
        <w:rPr>
          <w:rFonts w:hint="eastAsia"/>
        </w:rPr>
        <w:t>样点资料补充完善或剔除；对所有调查的样点资料均</w:t>
      </w:r>
      <w:proofErr w:type="gramStart"/>
      <w:r>
        <w:rPr>
          <w:rFonts w:hint="eastAsia"/>
        </w:rPr>
        <w:t>要逐表审查</w:t>
      </w:r>
      <w:proofErr w:type="gramEnd"/>
      <w:r>
        <w:rPr>
          <w:rFonts w:hint="eastAsia"/>
        </w:rPr>
        <w:t>，对主要数据不全或不准确的，则需要进行补充调查，完善内容；将缺少主要项目、填报数据不符合</w:t>
      </w:r>
      <w:r>
        <w:rPr>
          <w:rFonts w:hint="eastAsia"/>
        </w:rPr>
        <w:lastRenderedPageBreak/>
        <w:t>要求和数据明显偏离正常情况而又不容易补充的样点进行剔除。</w:t>
      </w:r>
    </w:p>
    <w:p w14:paraId="2C648B82" w14:textId="77777777" w:rsidR="00495C65" w:rsidRDefault="00495C65" w:rsidP="00495C65">
      <w:pPr>
        <w:pStyle w:val="13"/>
      </w:pPr>
      <w:r>
        <w:rPr>
          <w:rFonts w:hint="eastAsia"/>
        </w:rPr>
        <w:t>样点资料归档：将初步审查合格的样点资料，分别按农用地级别、土地用途、用地效益进行归类，当样点数量少于规定要求时需要进行样点的补充调查。</w:t>
      </w:r>
    </w:p>
    <w:p w14:paraId="2848CDEC" w14:textId="77777777" w:rsidR="00495C65" w:rsidRDefault="00495C65" w:rsidP="00495C65">
      <w:pPr>
        <w:pStyle w:val="13"/>
      </w:pPr>
      <w:r>
        <w:t>9.6.5 投入产出资料和市场交易资料分析计算</w:t>
      </w:r>
    </w:p>
    <w:p w14:paraId="0C10AC75" w14:textId="77777777" w:rsidR="00495C65" w:rsidRDefault="00495C65" w:rsidP="00495C65">
      <w:pPr>
        <w:pStyle w:val="13"/>
      </w:pPr>
      <w:r>
        <w:t>9.6.5.1 投入产出样点资料的分析计算</w:t>
      </w:r>
    </w:p>
    <w:p w14:paraId="76B4B02F" w14:textId="77777777" w:rsidR="00495C65" w:rsidRDefault="00495C65" w:rsidP="00495C65">
      <w:pPr>
        <w:pStyle w:val="13"/>
      </w:pPr>
      <w:r>
        <w:rPr>
          <w:rFonts w:hint="eastAsia"/>
        </w:rPr>
        <w:t>样点地价的计算方法见</w:t>
      </w:r>
      <w:r>
        <w:t>5.1</w:t>
      </w:r>
    </w:p>
    <w:p w14:paraId="0CD7F74F" w14:textId="77777777" w:rsidR="00495C65" w:rsidRDefault="00495C65" w:rsidP="00495C65">
      <w:pPr>
        <w:pStyle w:val="13"/>
      </w:pPr>
      <w:r>
        <w:t>9.6.5.2 市场交易样点资料的分析计算</w:t>
      </w:r>
    </w:p>
    <w:p w14:paraId="54374B78" w14:textId="77777777" w:rsidR="00495C65" w:rsidRDefault="00495C65" w:rsidP="00495C65">
      <w:pPr>
        <w:pStyle w:val="13"/>
      </w:pPr>
      <w:r>
        <w:rPr>
          <w:rFonts w:hint="eastAsia"/>
        </w:rPr>
        <w:t>根据样点类型，采用本标准相应的估价方法计算市场交易样点地价。</w:t>
      </w:r>
    </w:p>
    <w:p w14:paraId="68571627" w14:textId="77777777" w:rsidR="00495C65" w:rsidRDefault="00495C65" w:rsidP="00495C65">
      <w:pPr>
        <w:pStyle w:val="13"/>
      </w:pPr>
      <w:r>
        <w:t>9.6.6 样点地价的修正及样点地价处理</w:t>
      </w:r>
    </w:p>
    <w:p w14:paraId="6FF9D505" w14:textId="77777777" w:rsidR="00495C65" w:rsidRDefault="00495C65" w:rsidP="00495C65">
      <w:pPr>
        <w:pStyle w:val="13"/>
      </w:pPr>
      <w:r>
        <w:rPr>
          <w:rFonts w:hint="eastAsia"/>
        </w:rPr>
        <w:t>样点地价的修正主要是把样点地价修正成为基准地价内涵条件下的正常地价，主要包括年期修正、期日修正及其他修正等。样点地价处理是指绘制样点地价图及进行样点数据检验等。</w:t>
      </w:r>
    </w:p>
    <w:p w14:paraId="5E6E0E83" w14:textId="77777777" w:rsidR="00495C65" w:rsidRDefault="00495C65" w:rsidP="00495C65">
      <w:pPr>
        <w:pStyle w:val="13"/>
      </w:pPr>
      <w:r>
        <w:t>9.6.6.1 样点地价的年期修正</w:t>
      </w:r>
    </w:p>
    <w:p w14:paraId="3F2F8E6F" w14:textId="77777777" w:rsidR="00495C65" w:rsidRDefault="00495C65" w:rsidP="00495C65">
      <w:pPr>
        <w:pStyle w:val="13"/>
      </w:pPr>
      <w:r>
        <w:rPr>
          <w:noProof/>
        </w:rPr>
        <w:drawing>
          <wp:anchor distT="0" distB="0" distL="114300" distR="114300" simplePos="0" relativeHeight="251680768" behindDoc="1" locked="0" layoutInCell="1" allowOverlap="1" wp14:anchorId="7596B7D8" wp14:editId="3217E06A">
            <wp:simplePos x="0" y="0"/>
            <wp:positionH relativeFrom="column">
              <wp:posOffset>1794857</wp:posOffset>
            </wp:positionH>
            <wp:positionV relativeFrom="paragraph">
              <wp:posOffset>258445</wp:posOffset>
            </wp:positionV>
            <wp:extent cx="2270598" cy="284672"/>
            <wp:effectExtent l="0" t="0" r="0" b="1270"/>
            <wp:wrapNone/>
            <wp:docPr id="3283" name="图片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270598" cy="284672"/>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hint="eastAsia"/>
        </w:rPr>
        <w:t>不</w:t>
      </w:r>
      <w:proofErr w:type="gramEnd"/>
      <w:r>
        <w:rPr>
          <w:rFonts w:hint="eastAsia"/>
        </w:rPr>
        <w:t>同年期的样点地价资料要修正到基准地价的无限年期，按式（</w:t>
      </w:r>
      <w:r>
        <w:t>20）计算：</w:t>
      </w:r>
    </w:p>
    <w:p w14:paraId="1E77FFCF" w14:textId="77777777" w:rsidR="00495C65" w:rsidRDefault="00495C65" w:rsidP="00495C65">
      <w:pPr>
        <w:pStyle w:val="13"/>
      </w:pPr>
      <w:r w:rsidRPr="001632DC">
        <w:t xml:space="preserve">                                                                （</w:t>
      </w:r>
      <w:r>
        <w:t>20</w:t>
      </w:r>
      <w:r w:rsidRPr="001632DC">
        <w:t>）</w:t>
      </w:r>
    </w:p>
    <w:p w14:paraId="7C9D669C" w14:textId="77777777" w:rsidR="00495C65" w:rsidRDefault="00495C65" w:rsidP="00495C65">
      <w:pPr>
        <w:pStyle w:val="13"/>
      </w:pPr>
      <w:r>
        <w:rPr>
          <w:rFonts w:hint="eastAsia"/>
        </w:rPr>
        <w:t>式中：</w:t>
      </w:r>
    </w:p>
    <w:p w14:paraId="3D767AA3" w14:textId="77777777" w:rsidR="00495C65" w:rsidRDefault="00495C65" w:rsidP="00495C65">
      <w:pPr>
        <w:pStyle w:val="13"/>
        <w:ind w:firstLineChars="500" w:firstLine="1200"/>
      </w:pPr>
      <w:r>
        <w:t>P</w:t>
      </w:r>
      <w:r w:rsidRPr="001A41F8">
        <w:rPr>
          <w:vertAlign w:val="subscript"/>
        </w:rPr>
        <w:t>m</w:t>
      </w:r>
      <w:r>
        <w:t>——修正后的土地价格；</w:t>
      </w:r>
    </w:p>
    <w:p w14:paraId="054BA4BF" w14:textId="77777777" w:rsidR="00495C65" w:rsidRDefault="00495C65" w:rsidP="00495C65">
      <w:pPr>
        <w:pStyle w:val="13"/>
        <w:ind w:firstLineChars="500" w:firstLine="1200"/>
      </w:pPr>
      <w:r>
        <w:t>mi——样点地价的实际年期；</w:t>
      </w:r>
    </w:p>
    <w:p w14:paraId="41FBEB95" w14:textId="77777777" w:rsidR="00495C65" w:rsidRDefault="00495C65" w:rsidP="00495C65">
      <w:pPr>
        <w:pStyle w:val="13"/>
        <w:ind w:firstLineChars="500" w:firstLine="1200"/>
      </w:pPr>
      <w:proofErr w:type="spellStart"/>
      <w:r>
        <w:t>P</w:t>
      </w:r>
      <w:r w:rsidRPr="001A41F8">
        <w:rPr>
          <w:vertAlign w:val="subscript"/>
        </w:rPr>
        <w:t>mi</w:t>
      </w:r>
      <w:proofErr w:type="spellEnd"/>
      <w:r>
        <w:t>——样点地价；</w:t>
      </w:r>
    </w:p>
    <w:p w14:paraId="788995CE" w14:textId="77777777" w:rsidR="00495C65" w:rsidRDefault="00495C65" w:rsidP="00495C65">
      <w:pPr>
        <w:pStyle w:val="13"/>
        <w:ind w:firstLineChars="500" w:firstLine="1200"/>
      </w:pPr>
      <w:proofErr w:type="spellStart"/>
      <w:r>
        <w:t>r</w:t>
      </w:r>
      <w:r w:rsidRPr="001A41F8">
        <w:rPr>
          <w:vertAlign w:val="subscript"/>
        </w:rPr>
        <w:t>d</w:t>
      </w:r>
      <w:proofErr w:type="spellEnd"/>
      <w:r>
        <w:t>——土地还原率。</w:t>
      </w:r>
    </w:p>
    <w:p w14:paraId="51450881" w14:textId="77777777" w:rsidR="00495C65" w:rsidRDefault="00495C65" w:rsidP="00495C65">
      <w:pPr>
        <w:pStyle w:val="13"/>
      </w:pPr>
      <w:r>
        <w:t>9.6.6.2 样点地价的期日修正</w:t>
      </w:r>
    </w:p>
    <w:p w14:paraId="606422B0" w14:textId="77777777" w:rsidR="00495C65" w:rsidRDefault="00495C65" w:rsidP="00495C65">
      <w:pPr>
        <w:pStyle w:val="13"/>
      </w:pPr>
      <w:r>
        <w:rPr>
          <w:rFonts w:hint="eastAsia"/>
        </w:rPr>
        <w:t>不同交易时间的样点地价，只有修正到基准地价估价期日的地价，才能用于基准地价评估。修正过程中可区别不同土地用途，计算地价的变化幅度。在已建立地价指数系统的地区，可以用地价指数进行修正。</w:t>
      </w:r>
    </w:p>
    <w:p w14:paraId="7C93B45E" w14:textId="77777777" w:rsidR="00495C65" w:rsidRDefault="00495C65" w:rsidP="00495C65">
      <w:pPr>
        <w:pStyle w:val="13"/>
      </w:pPr>
      <w:r>
        <w:rPr>
          <w:noProof/>
        </w:rPr>
        <w:drawing>
          <wp:anchor distT="0" distB="0" distL="114300" distR="114300" simplePos="0" relativeHeight="251681792" behindDoc="1" locked="0" layoutInCell="1" allowOverlap="1" wp14:anchorId="59092197" wp14:editId="4E5A8AF3">
            <wp:simplePos x="0" y="0"/>
            <wp:positionH relativeFrom="column">
              <wp:posOffset>2157095</wp:posOffset>
            </wp:positionH>
            <wp:positionV relativeFrom="paragraph">
              <wp:posOffset>199301</wp:posOffset>
            </wp:positionV>
            <wp:extent cx="1130061" cy="349954"/>
            <wp:effectExtent l="0" t="0" r="0" b="0"/>
            <wp:wrapNone/>
            <wp:docPr id="3284" name="图片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130061" cy="349954"/>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按式（</w:t>
      </w:r>
      <w:r>
        <w:t>21）计算：</w:t>
      </w:r>
    </w:p>
    <w:p w14:paraId="497B72B5" w14:textId="77777777" w:rsidR="00495C65" w:rsidRDefault="00495C65" w:rsidP="00495C65">
      <w:pPr>
        <w:pStyle w:val="13"/>
      </w:pPr>
      <w:r w:rsidRPr="00E2242E">
        <w:t xml:space="preserve">                                                                （2</w:t>
      </w:r>
      <w:r>
        <w:t>1</w:t>
      </w:r>
      <w:r w:rsidRPr="00E2242E">
        <w:t>）</w:t>
      </w:r>
    </w:p>
    <w:p w14:paraId="1FEC6DA3" w14:textId="77777777" w:rsidR="00495C65" w:rsidRDefault="00495C65" w:rsidP="00495C65">
      <w:pPr>
        <w:pStyle w:val="13"/>
      </w:pPr>
      <w:r w:rsidRPr="00EE362C">
        <w:rPr>
          <w:rFonts w:hint="eastAsia"/>
        </w:rPr>
        <w:t>式中：</w:t>
      </w:r>
    </w:p>
    <w:p w14:paraId="4C36BE8F" w14:textId="77777777" w:rsidR="00495C65" w:rsidRDefault="00495C65" w:rsidP="00495C65">
      <w:pPr>
        <w:pStyle w:val="13"/>
        <w:ind w:firstLineChars="500" w:firstLine="1200"/>
      </w:pPr>
      <w:proofErr w:type="spellStart"/>
      <w:r w:rsidRPr="00EE362C">
        <w:t>K</w:t>
      </w:r>
      <w:r w:rsidRPr="00EE362C">
        <w:rPr>
          <w:vertAlign w:val="subscript"/>
        </w:rPr>
        <w:t>ij</w:t>
      </w:r>
      <w:proofErr w:type="spellEnd"/>
      <w:r w:rsidRPr="00EE362C">
        <w:t>——第</w:t>
      </w:r>
      <w:proofErr w:type="spellStart"/>
      <w:r w:rsidRPr="00EE362C">
        <w:t>i</w:t>
      </w:r>
      <w:proofErr w:type="spellEnd"/>
      <w:r w:rsidRPr="00EE362C">
        <w:t>类用地第j期地价修正到基准地价估价期日的系数；</w:t>
      </w:r>
    </w:p>
    <w:p w14:paraId="6B396490" w14:textId="77777777" w:rsidR="00495C65" w:rsidRDefault="00495C65" w:rsidP="00495C65">
      <w:pPr>
        <w:pStyle w:val="13"/>
        <w:ind w:firstLineChars="500" w:firstLine="1200"/>
      </w:pPr>
      <w:proofErr w:type="spellStart"/>
      <w:r w:rsidRPr="00EE362C">
        <w:t>P</w:t>
      </w:r>
      <w:r w:rsidRPr="00EE362C">
        <w:rPr>
          <w:vertAlign w:val="subscript"/>
        </w:rPr>
        <w:t>is</w:t>
      </w:r>
      <w:proofErr w:type="spellEnd"/>
      <w:r w:rsidRPr="00EE362C">
        <w:t>——第</w:t>
      </w:r>
      <w:proofErr w:type="spellStart"/>
      <w:r w:rsidRPr="00EE362C">
        <w:t>i</w:t>
      </w:r>
      <w:proofErr w:type="spellEnd"/>
      <w:r w:rsidRPr="00EE362C">
        <w:t>类用地基准地价估价期日土地交易平均价（或地价指数）；</w:t>
      </w:r>
    </w:p>
    <w:p w14:paraId="13D3E8BE" w14:textId="77777777" w:rsidR="00495C65" w:rsidRDefault="00495C65" w:rsidP="00495C65">
      <w:pPr>
        <w:pStyle w:val="13"/>
        <w:ind w:firstLineChars="500" w:firstLine="1200"/>
      </w:pPr>
      <w:proofErr w:type="spellStart"/>
      <w:r w:rsidRPr="00EE362C">
        <w:t>P</w:t>
      </w:r>
      <w:r w:rsidRPr="00EE362C">
        <w:rPr>
          <w:vertAlign w:val="subscript"/>
        </w:rPr>
        <w:t>ij</w:t>
      </w:r>
      <w:proofErr w:type="spellEnd"/>
      <w:r w:rsidRPr="00EE362C">
        <w:t>——第</w:t>
      </w:r>
      <w:proofErr w:type="spellStart"/>
      <w:r w:rsidRPr="00EE362C">
        <w:t>i</w:t>
      </w:r>
      <w:proofErr w:type="spellEnd"/>
      <w:r w:rsidRPr="00EE362C">
        <w:t>类用地第j</w:t>
      </w:r>
      <w:proofErr w:type="gramStart"/>
      <w:r w:rsidRPr="00EE362C">
        <w:t>期土地</w:t>
      </w:r>
      <w:proofErr w:type="gramEnd"/>
      <w:r w:rsidRPr="00EE362C">
        <w:t>交易平均价（或地价指数）。</w:t>
      </w:r>
    </w:p>
    <w:p w14:paraId="43948163" w14:textId="77777777" w:rsidR="00495C65" w:rsidRDefault="00495C65" w:rsidP="00495C65">
      <w:pPr>
        <w:pStyle w:val="13"/>
      </w:pPr>
      <w:r w:rsidRPr="00221B07">
        <w:rPr>
          <w:rFonts w:hint="eastAsia"/>
        </w:rPr>
        <w:t>对不同时期发生的交易地价修正到估价期日的地价按式（</w:t>
      </w:r>
      <w:r w:rsidRPr="00221B07">
        <w:t>22）计算：</w:t>
      </w:r>
    </w:p>
    <w:p w14:paraId="33348DEE" w14:textId="77777777" w:rsidR="00495C65" w:rsidRDefault="00495C65" w:rsidP="00495C65">
      <w:pPr>
        <w:pStyle w:val="13"/>
        <w:ind w:firstLineChars="1200" w:firstLine="2880"/>
      </w:pPr>
      <w:r w:rsidRPr="00221B07">
        <w:t>P</w:t>
      </w:r>
      <w:r w:rsidRPr="00F66ED3">
        <w:rPr>
          <w:vertAlign w:val="subscript"/>
        </w:rPr>
        <w:t>ls</w:t>
      </w:r>
      <w:r w:rsidRPr="00221B07">
        <w:t>=</w:t>
      </w:r>
      <w:proofErr w:type="spellStart"/>
      <w:r w:rsidRPr="00221B07">
        <w:t>K</w:t>
      </w:r>
      <w:r w:rsidRPr="00F66ED3">
        <w:rPr>
          <w:vertAlign w:val="subscript"/>
        </w:rPr>
        <w:t>ij</w:t>
      </w:r>
      <w:r w:rsidRPr="00221B07">
        <w:t>×P</w:t>
      </w:r>
      <w:r w:rsidRPr="00F66ED3">
        <w:rPr>
          <w:vertAlign w:val="subscript"/>
        </w:rPr>
        <w:t>ji</w:t>
      </w:r>
      <w:proofErr w:type="spellEnd"/>
      <w:r>
        <w:t xml:space="preserve">                              </w:t>
      </w:r>
      <w:r>
        <w:rPr>
          <w:rFonts w:hint="eastAsia"/>
        </w:rPr>
        <w:t>（2</w:t>
      </w:r>
      <w:r>
        <w:t>2</w:t>
      </w:r>
      <w:r>
        <w:rPr>
          <w:rFonts w:hint="eastAsia"/>
        </w:rPr>
        <w:t>）</w:t>
      </w:r>
    </w:p>
    <w:p w14:paraId="0235AA92" w14:textId="77777777" w:rsidR="00495C65" w:rsidRDefault="00495C65" w:rsidP="00495C65">
      <w:pPr>
        <w:pStyle w:val="13"/>
      </w:pPr>
      <w:r>
        <w:rPr>
          <w:rFonts w:hint="eastAsia"/>
        </w:rPr>
        <w:t>式中：</w:t>
      </w:r>
    </w:p>
    <w:p w14:paraId="5FDD64F9" w14:textId="4723F3EF" w:rsidR="00495C65" w:rsidRDefault="00495C65" w:rsidP="00495C65">
      <w:pPr>
        <w:pStyle w:val="13"/>
        <w:ind w:firstLineChars="500" w:firstLine="1200"/>
      </w:pPr>
      <w:r>
        <w:t>P</w:t>
      </w:r>
      <w:r w:rsidRPr="00944424">
        <w:rPr>
          <w:vertAlign w:val="subscript"/>
        </w:rPr>
        <w:t>ls</w:t>
      </w:r>
      <w:r>
        <w:t>——修正为基准地价评估期日的宗地价格</w:t>
      </w:r>
      <w:r w:rsidR="003068F8">
        <w:t>；</w:t>
      </w:r>
    </w:p>
    <w:p w14:paraId="4B779EAB" w14:textId="77777777" w:rsidR="00495C65" w:rsidRDefault="00495C65" w:rsidP="00495C65">
      <w:pPr>
        <w:pStyle w:val="13"/>
        <w:ind w:firstLineChars="500" w:firstLine="1200"/>
      </w:pPr>
      <w:proofErr w:type="spellStart"/>
      <w:r>
        <w:lastRenderedPageBreak/>
        <w:t>P</w:t>
      </w:r>
      <w:r w:rsidRPr="00944424">
        <w:rPr>
          <w:vertAlign w:val="subscript"/>
        </w:rPr>
        <w:t>ji</w:t>
      </w:r>
      <w:proofErr w:type="spellEnd"/>
      <w:r>
        <w:t>——第j期、第</w:t>
      </w:r>
      <w:proofErr w:type="spellStart"/>
      <w:r>
        <w:t>i</w:t>
      </w:r>
      <w:proofErr w:type="spellEnd"/>
      <w:r>
        <w:t xml:space="preserve">类宗地的实际成交地价。 </w:t>
      </w:r>
    </w:p>
    <w:p w14:paraId="470EDA6A" w14:textId="77777777" w:rsidR="00495C65" w:rsidRDefault="00495C65" w:rsidP="00495C65">
      <w:pPr>
        <w:pStyle w:val="13"/>
      </w:pPr>
      <w:r>
        <w:t xml:space="preserve">9.6.6.3 样点地价的其他修正 </w:t>
      </w:r>
    </w:p>
    <w:p w14:paraId="1FDDFB9D" w14:textId="77777777" w:rsidR="00495C65" w:rsidRDefault="00495C65" w:rsidP="00495C65">
      <w:pPr>
        <w:pStyle w:val="13"/>
      </w:pPr>
      <w:r>
        <w:rPr>
          <w:rFonts w:hint="eastAsia"/>
        </w:rPr>
        <w:t>样点地价的其他修正如下：</w:t>
      </w:r>
      <w:r>
        <w:t xml:space="preserve"> </w:t>
      </w:r>
    </w:p>
    <w:p w14:paraId="220A671E" w14:textId="77777777" w:rsidR="00495C65" w:rsidRDefault="00495C65" w:rsidP="00495C65">
      <w:pPr>
        <w:pStyle w:val="13"/>
      </w:pPr>
      <w:r>
        <w:t>a）交易情况修正：把交易情况不正常的样点地价，修正到正常条件下的交易地价；</w:t>
      </w:r>
    </w:p>
    <w:p w14:paraId="04229C67" w14:textId="77777777" w:rsidR="00495C65" w:rsidRDefault="00495C65" w:rsidP="00495C65">
      <w:pPr>
        <w:pStyle w:val="13"/>
      </w:pPr>
      <w:r>
        <w:t>b）农用地开发程度修正：在不同农田基本设施配套程度下的样点地价，可修正到基</w:t>
      </w:r>
      <w:r w:rsidRPr="00CC771A">
        <w:rPr>
          <w:rFonts w:hint="eastAsia"/>
        </w:rPr>
        <w:t>准地价评估所设定的农田基本设施配套程度下的地价。基准地价评估中的农田基本配套程度，可按各级农田基本设施配套现状程度的平均水平设定；</w:t>
      </w:r>
    </w:p>
    <w:p w14:paraId="3ED6DF3A" w14:textId="77777777" w:rsidR="00495C65" w:rsidRDefault="00495C65" w:rsidP="00495C65">
      <w:pPr>
        <w:pStyle w:val="13"/>
      </w:pPr>
      <w:r>
        <w:t>c）权利修正；是指对承包、转包、出租、拍卖、抵押、联营入股等不同权利状况的</w:t>
      </w:r>
      <w:r>
        <w:rPr>
          <w:rFonts w:hint="eastAsia"/>
        </w:rPr>
        <w:t>修正。</w:t>
      </w:r>
    </w:p>
    <w:p w14:paraId="543E9CAB" w14:textId="77777777" w:rsidR="00495C65" w:rsidRDefault="00495C65" w:rsidP="00495C65">
      <w:pPr>
        <w:pStyle w:val="13"/>
      </w:pPr>
      <w:r>
        <w:t>9.6.6.4 样点数据检验</w:t>
      </w:r>
    </w:p>
    <w:p w14:paraId="010D3BD8" w14:textId="77777777" w:rsidR="00495C65" w:rsidRDefault="00495C65" w:rsidP="00495C65">
      <w:pPr>
        <w:pStyle w:val="13"/>
      </w:pPr>
      <w:r>
        <w:rPr>
          <w:rFonts w:hint="eastAsia"/>
        </w:rPr>
        <w:t>样点数据检验要求如下：</w:t>
      </w:r>
    </w:p>
    <w:p w14:paraId="73BD7A46" w14:textId="77777777" w:rsidR="00495C65" w:rsidRDefault="00495C65" w:rsidP="00495C65">
      <w:pPr>
        <w:pStyle w:val="13"/>
      </w:pPr>
      <w:r>
        <w:t>a）同一土地级别中，同一交易方式计算的样点地价要通过样点同一性检验。同一级</w:t>
      </w:r>
      <w:r>
        <w:rPr>
          <w:rFonts w:hint="eastAsia"/>
        </w:rPr>
        <w:t>别中样点数量不能满足总体检验的需求时，需对级别进行差别判别归类，按类进行样点总体同一性检验。</w:t>
      </w:r>
    </w:p>
    <w:p w14:paraId="4708C119" w14:textId="77777777" w:rsidR="00495C65" w:rsidRDefault="00495C65" w:rsidP="00495C65">
      <w:pPr>
        <w:pStyle w:val="13"/>
      </w:pPr>
      <w:r>
        <w:t>b）同一土地级别中，不同交易方式计算的样点地价，也要通过样点总体同一性检</w:t>
      </w:r>
      <w:r>
        <w:rPr>
          <w:rFonts w:hint="eastAsia"/>
        </w:rPr>
        <w:t>验；</w:t>
      </w:r>
    </w:p>
    <w:p w14:paraId="35E4B03A" w14:textId="77777777" w:rsidR="00495C65" w:rsidRDefault="00495C65" w:rsidP="00495C65">
      <w:pPr>
        <w:pStyle w:val="13"/>
      </w:pPr>
      <w:r>
        <w:t>c）用t检验法或均值-方差法对样点进行异常值剔除。当检验后的数据不能满足需</w:t>
      </w:r>
      <w:r>
        <w:rPr>
          <w:rFonts w:hint="eastAsia"/>
        </w:rPr>
        <w:t>要时，可增加抽样数据，按以上方式重新进行数据检验。</w:t>
      </w:r>
    </w:p>
    <w:p w14:paraId="21497A3D" w14:textId="77777777" w:rsidR="00495C65" w:rsidRDefault="00495C65" w:rsidP="00495C65">
      <w:pPr>
        <w:pStyle w:val="13"/>
      </w:pPr>
      <w:r>
        <w:t>9.6.6.5 样点地价分布图的绘制</w:t>
      </w:r>
    </w:p>
    <w:p w14:paraId="1AE32F7C" w14:textId="77777777" w:rsidR="00495C65" w:rsidRDefault="00495C65" w:rsidP="00495C65">
      <w:pPr>
        <w:pStyle w:val="13"/>
      </w:pPr>
      <w:r>
        <w:rPr>
          <w:rFonts w:hint="eastAsia"/>
        </w:rPr>
        <w:t>所调查和计算出的样点地价，要在工作底图上绘制样点地价分布图。绘制要求如下：</w:t>
      </w:r>
    </w:p>
    <w:p w14:paraId="18A159CD" w14:textId="77777777" w:rsidR="00495C65" w:rsidRDefault="00495C65" w:rsidP="00495C65">
      <w:pPr>
        <w:pStyle w:val="13"/>
      </w:pPr>
      <w:r>
        <w:t>a）按不同用途分别绘制样点资料分布图；</w:t>
      </w:r>
    </w:p>
    <w:p w14:paraId="00FED855" w14:textId="77777777" w:rsidR="00495C65" w:rsidRDefault="00495C65" w:rsidP="00495C65">
      <w:pPr>
        <w:pStyle w:val="13"/>
      </w:pPr>
      <w:r>
        <w:t>b）土地级别界线要反映在图上；</w:t>
      </w:r>
    </w:p>
    <w:p w14:paraId="4BBDD399" w14:textId="77777777" w:rsidR="00495C65" w:rsidRDefault="00495C65" w:rsidP="00495C65">
      <w:pPr>
        <w:pStyle w:val="13"/>
      </w:pPr>
      <w:r>
        <w:t>c）直接在图上表示样点地价，样点地价资料多时，采用分级图例表示低价点标准；</w:t>
      </w:r>
    </w:p>
    <w:p w14:paraId="4C6B808E" w14:textId="77777777" w:rsidR="00495C65" w:rsidRDefault="00495C65" w:rsidP="00495C65">
      <w:pPr>
        <w:pStyle w:val="13"/>
      </w:pPr>
      <w:r>
        <w:t>d）样点资料要有编码，编码要反映不同用地类型、样点类型和样点程序等。</w:t>
      </w:r>
    </w:p>
    <w:p w14:paraId="532FA313" w14:textId="77777777" w:rsidR="00495C65" w:rsidRDefault="00495C65" w:rsidP="00495C65">
      <w:pPr>
        <w:pStyle w:val="13"/>
      </w:pPr>
      <w:r>
        <w:t>9.6.6.6 数据整理</w:t>
      </w:r>
    </w:p>
    <w:p w14:paraId="658FE16C" w14:textId="77777777" w:rsidR="00495C65" w:rsidRDefault="00495C65" w:rsidP="00495C65">
      <w:pPr>
        <w:pStyle w:val="13"/>
      </w:pPr>
      <w:r>
        <w:rPr>
          <w:rFonts w:hint="eastAsia"/>
        </w:rPr>
        <w:t>将经过修正及样点数据处理以后的样点，按土地级别、用地类型和交易方式顺序进行整理，并填入相应的表格。</w:t>
      </w:r>
    </w:p>
    <w:p w14:paraId="5BC7DE0D" w14:textId="77777777" w:rsidR="00495C65" w:rsidRDefault="00495C65" w:rsidP="00495C65">
      <w:pPr>
        <w:pStyle w:val="13"/>
      </w:pPr>
      <w:r>
        <w:t>9.6.7 计算级别基准地价</w:t>
      </w:r>
    </w:p>
    <w:p w14:paraId="1D9E6F31" w14:textId="77777777" w:rsidR="00495C65" w:rsidRDefault="00495C65" w:rsidP="00495C65">
      <w:pPr>
        <w:pStyle w:val="13"/>
      </w:pPr>
      <w:r>
        <w:rPr>
          <w:rFonts w:hint="eastAsia"/>
        </w:rPr>
        <w:t>样点数量的确定。合格样点数量要符合数理统计要求。</w:t>
      </w:r>
    </w:p>
    <w:p w14:paraId="621C75CD" w14:textId="77777777" w:rsidR="00495C65" w:rsidRDefault="00495C65" w:rsidP="00495C65">
      <w:pPr>
        <w:pStyle w:val="13"/>
      </w:pPr>
      <w:r>
        <w:rPr>
          <w:rFonts w:hint="eastAsia"/>
        </w:rPr>
        <w:t>基准地价计算。以级别为单位，按不同用途采用样点地价的简单算术平均值、加权算术平均值、中位数、众数等作为该级别的基准地价。</w:t>
      </w:r>
    </w:p>
    <w:p w14:paraId="78E032DA" w14:textId="77777777" w:rsidR="00495C65" w:rsidRDefault="00495C65" w:rsidP="00495C65">
      <w:pPr>
        <w:pStyle w:val="ab"/>
        <w:spacing w:before="62" w:after="62"/>
        <w:ind w:firstLine="482"/>
      </w:pPr>
      <w:r>
        <w:lastRenderedPageBreak/>
        <w:t>9.7 定级指数模型法</w:t>
      </w:r>
    </w:p>
    <w:p w14:paraId="4C0BDF4A" w14:textId="77777777" w:rsidR="00495C65" w:rsidRDefault="00495C65" w:rsidP="00495C65">
      <w:pPr>
        <w:pStyle w:val="13"/>
      </w:pPr>
      <w:r>
        <w:t>9.7.1 评估步骤</w:t>
      </w:r>
    </w:p>
    <w:p w14:paraId="7E81EABA" w14:textId="77777777" w:rsidR="00495C65" w:rsidRDefault="00495C65" w:rsidP="00495C65">
      <w:pPr>
        <w:pStyle w:val="13"/>
      </w:pPr>
      <w:r>
        <w:rPr>
          <w:rFonts w:hint="eastAsia"/>
        </w:rPr>
        <w:t>采用定级指数模型评估基准地价，是在农用地定级基础上，根据定级单元定级指数、市场交易地价资料和投入产出资料，建立定级指数与地价关系模型，并利用该模型评估级别基准地价，具体步骤如下：</w:t>
      </w:r>
    </w:p>
    <w:p w14:paraId="5916E166" w14:textId="77777777" w:rsidR="00495C65" w:rsidRDefault="00495C65" w:rsidP="00495C65">
      <w:pPr>
        <w:pStyle w:val="13"/>
      </w:pPr>
      <w:r>
        <w:t>a）资料调查；</w:t>
      </w:r>
    </w:p>
    <w:p w14:paraId="5DD1DB66" w14:textId="77777777" w:rsidR="00495C65" w:rsidRDefault="00495C65" w:rsidP="00495C65">
      <w:pPr>
        <w:pStyle w:val="13"/>
      </w:pPr>
      <w:r>
        <w:t>b）按农用地级别确定农用地的土地利用类型；</w:t>
      </w:r>
    </w:p>
    <w:p w14:paraId="56DAAD9F" w14:textId="77777777" w:rsidR="00495C65" w:rsidRDefault="00495C65" w:rsidP="00495C65">
      <w:pPr>
        <w:pStyle w:val="13"/>
      </w:pPr>
      <w:r>
        <w:t>c）按土地利用类型进行样点地价调查、计算与整理；</w:t>
      </w:r>
    </w:p>
    <w:p w14:paraId="1E43973D" w14:textId="77777777" w:rsidR="00495C65" w:rsidRDefault="00495C65" w:rsidP="00495C65">
      <w:pPr>
        <w:pStyle w:val="13"/>
      </w:pPr>
      <w:r>
        <w:t>d）测算有样点地价定级单元的平均地价；</w:t>
      </w:r>
    </w:p>
    <w:p w14:paraId="220DB6E9" w14:textId="77777777" w:rsidR="00495C65" w:rsidRDefault="00495C65" w:rsidP="00495C65">
      <w:pPr>
        <w:pStyle w:val="13"/>
      </w:pPr>
      <w:r>
        <w:t>e）选择确定有样点地价定级单元的指数；</w:t>
      </w:r>
    </w:p>
    <w:p w14:paraId="032EC185" w14:textId="77777777" w:rsidR="00495C65" w:rsidRDefault="00495C65" w:rsidP="00495C65">
      <w:pPr>
        <w:pStyle w:val="13"/>
      </w:pPr>
      <w:r>
        <w:t>f）建立定级单元平均地价与定级指数关系模型；</w:t>
      </w:r>
    </w:p>
    <w:p w14:paraId="33C2B9A0" w14:textId="77777777" w:rsidR="00495C65" w:rsidRDefault="00495C65" w:rsidP="00495C65">
      <w:pPr>
        <w:pStyle w:val="13"/>
      </w:pPr>
      <w:r>
        <w:t>g）计算各级别基准地价。</w:t>
      </w:r>
    </w:p>
    <w:p w14:paraId="5057EC58" w14:textId="77777777" w:rsidR="00495C65" w:rsidRDefault="00495C65" w:rsidP="00495C65">
      <w:pPr>
        <w:pStyle w:val="13"/>
      </w:pPr>
      <w:r>
        <w:t>9.7.2 资料调查的内容和要求</w:t>
      </w:r>
    </w:p>
    <w:p w14:paraId="5812C5CE" w14:textId="77777777" w:rsidR="00495C65" w:rsidRDefault="00495C65" w:rsidP="00495C65">
      <w:pPr>
        <w:pStyle w:val="13"/>
      </w:pPr>
      <w:r>
        <w:rPr>
          <w:rFonts w:hint="eastAsia"/>
        </w:rPr>
        <w:t>见</w:t>
      </w:r>
      <w:r>
        <w:t xml:space="preserve"> 9.6.2.</w:t>
      </w:r>
    </w:p>
    <w:p w14:paraId="633B67DF" w14:textId="77777777" w:rsidR="00495C65" w:rsidRDefault="00495C65" w:rsidP="00495C65">
      <w:pPr>
        <w:pStyle w:val="13"/>
      </w:pPr>
      <w:r>
        <w:t>9.7.3 确定土地利用类型</w:t>
      </w:r>
    </w:p>
    <w:p w14:paraId="790CAF66" w14:textId="77777777" w:rsidR="00495C65" w:rsidRDefault="00495C65" w:rsidP="00495C65">
      <w:pPr>
        <w:pStyle w:val="13"/>
      </w:pPr>
      <w:r>
        <w:rPr>
          <w:rFonts w:hint="eastAsia"/>
        </w:rPr>
        <w:t>见</w:t>
      </w:r>
      <w:r>
        <w:t xml:space="preserve"> 9.6.3</w:t>
      </w:r>
    </w:p>
    <w:p w14:paraId="76B1D0A4" w14:textId="77777777" w:rsidR="00495C65" w:rsidRDefault="00495C65" w:rsidP="00495C65">
      <w:pPr>
        <w:pStyle w:val="13"/>
      </w:pPr>
      <w:r>
        <w:t>9.7.4 样点地价的调查、计算与修正</w:t>
      </w:r>
    </w:p>
    <w:p w14:paraId="1E9E15B2" w14:textId="77777777" w:rsidR="00495C65" w:rsidRDefault="00495C65" w:rsidP="00495C65">
      <w:pPr>
        <w:pStyle w:val="13"/>
      </w:pPr>
      <w:r>
        <w:rPr>
          <w:rFonts w:hint="eastAsia"/>
        </w:rPr>
        <w:t>见</w:t>
      </w:r>
      <w:r>
        <w:t xml:space="preserve"> 9.6.4~9.6.6.</w:t>
      </w:r>
    </w:p>
    <w:p w14:paraId="31B319B8" w14:textId="77777777" w:rsidR="00495C65" w:rsidRDefault="00495C65" w:rsidP="00495C65">
      <w:pPr>
        <w:pStyle w:val="13"/>
      </w:pPr>
      <w:r>
        <w:t>9.7.5 测算有样点地价定级单元的平均地价</w:t>
      </w:r>
    </w:p>
    <w:p w14:paraId="3EEE6955" w14:textId="77777777" w:rsidR="00495C65" w:rsidRDefault="00495C65" w:rsidP="00495C65">
      <w:pPr>
        <w:pStyle w:val="13"/>
      </w:pPr>
      <w:r>
        <w:rPr>
          <w:rFonts w:hint="eastAsia"/>
        </w:rPr>
        <w:t>对于有样点地价的定级单元，如果单元内样点数量有</w:t>
      </w:r>
      <w:r>
        <w:t>3个以上且样点条件能代表定</w:t>
      </w:r>
      <w:r>
        <w:rPr>
          <w:rFonts w:hint="eastAsia"/>
        </w:rPr>
        <w:t>级单位的一般条件，可采用平均法计算定级单位的平均地价；如果样点数量为</w:t>
      </w:r>
      <w:r>
        <w:t>3个以下，</w:t>
      </w:r>
      <w:r>
        <w:rPr>
          <w:rFonts w:hint="eastAsia"/>
        </w:rPr>
        <w:t>或虽样点数量为</w:t>
      </w:r>
      <w:r>
        <w:t>3个以上，但样点不具有代表性，则采用比较法修正并计算定级单元地</w:t>
      </w:r>
      <w:r>
        <w:rPr>
          <w:rFonts w:hint="eastAsia"/>
        </w:rPr>
        <w:t>价，计算方法按照市场比较法额度要求进行。</w:t>
      </w:r>
    </w:p>
    <w:p w14:paraId="5B4BB247" w14:textId="77777777" w:rsidR="00495C65" w:rsidRDefault="00495C65" w:rsidP="00495C65">
      <w:pPr>
        <w:pStyle w:val="13"/>
      </w:pPr>
      <w:r>
        <w:t>9.7.6 选择确定有样点地价定级单元的指数</w:t>
      </w:r>
    </w:p>
    <w:p w14:paraId="020323D1" w14:textId="77777777" w:rsidR="00495C65" w:rsidRDefault="00495C65" w:rsidP="00495C65">
      <w:pPr>
        <w:pStyle w:val="13"/>
      </w:pPr>
      <w:r>
        <w:rPr>
          <w:rFonts w:hint="eastAsia"/>
        </w:rPr>
        <w:t>根据定级单元的指数图和表格，将有样点地价的定级单元及其指数选择出来，</w:t>
      </w:r>
      <w:r w:rsidRPr="005B06D2">
        <w:rPr>
          <w:rFonts w:hint="eastAsia"/>
        </w:rPr>
        <w:t>作为建立模型的基本数据</w:t>
      </w:r>
      <w:r>
        <w:rPr>
          <w:rFonts w:hint="eastAsia"/>
        </w:rPr>
        <w:t>。</w:t>
      </w:r>
    </w:p>
    <w:p w14:paraId="4D81AA1E" w14:textId="77777777" w:rsidR="00495C65" w:rsidRDefault="00495C65" w:rsidP="00495C65">
      <w:pPr>
        <w:pStyle w:val="13"/>
      </w:pPr>
      <w:r>
        <w:t>9.7.7 建立定级指数与定级单元地价关系模型</w:t>
      </w:r>
    </w:p>
    <w:p w14:paraId="02682CA7" w14:textId="77777777" w:rsidR="00495C65" w:rsidRDefault="00495C65" w:rsidP="00495C65">
      <w:pPr>
        <w:pStyle w:val="13"/>
      </w:pPr>
      <w:r>
        <w:t>9.7.7.1 基本模型</w:t>
      </w:r>
    </w:p>
    <w:p w14:paraId="7185AE6C" w14:textId="77777777" w:rsidR="00495C65" w:rsidRDefault="00495C65" w:rsidP="00495C65">
      <w:pPr>
        <w:pStyle w:val="13"/>
      </w:pPr>
      <w:r>
        <w:rPr>
          <w:rFonts w:hint="eastAsia"/>
        </w:rPr>
        <w:t>由于分析定级指数和定级单元地价之间关系的基本模型见式（</w:t>
      </w:r>
      <w:r>
        <w:t>23）~式（27）：</w:t>
      </w:r>
    </w:p>
    <w:p w14:paraId="30816870" w14:textId="77777777" w:rsidR="00495C65" w:rsidRDefault="00495C65" w:rsidP="00495C65">
      <w:pPr>
        <w:pStyle w:val="13"/>
      </w:pPr>
      <w:r>
        <w:rPr>
          <w:noProof/>
        </w:rPr>
        <w:drawing>
          <wp:anchor distT="0" distB="0" distL="114300" distR="114300" simplePos="0" relativeHeight="251682816" behindDoc="1" locked="0" layoutInCell="1" allowOverlap="1" wp14:anchorId="0291781A" wp14:editId="21B93F89">
            <wp:simplePos x="0" y="0"/>
            <wp:positionH relativeFrom="column">
              <wp:posOffset>2209273</wp:posOffset>
            </wp:positionH>
            <wp:positionV relativeFrom="paragraph">
              <wp:posOffset>235345</wp:posOffset>
            </wp:positionV>
            <wp:extent cx="1380226" cy="2379702"/>
            <wp:effectExtent l="0" t="0" r="0" b="1905"/>
            <wp:wrapNone/>
            <wp:docPr id="3285" name="图片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381934" cy="2382648"/>
                    </a:xfrm>
                    <a:prstGeom prst="rect">
                      <a:avLst/>
                    </a:prstGeom>
                  </pic:spPr>
                </pic:pic>
              </a:graphicData>
            </a:graphic>
            <wp14:sizeRelH relativeFrom="margin">
              <wp14:pctWidth>0</wp14:pctWidth>
            </wp14:sizeRelH>
            <wp14:sizeRelV relativeFrom="margin">
              <wp14:pctHeight>0</wp14:pctHeight>
            </wp14:sizeRelV>
          </wp:anchor>
        </w:drawing>
      </w:r>
      <w:r w:rsidRPr="00677434">
        <w:t>a）线性模型</w:t>
      </w:r>
    </w:p>
    <w:p w14:paraId="6F905D30" w14:textId="77777777" w:rsidR="00495C65" w:rsidRDefault="00495C65" w:rsidP="00495C65">
      <w:pPr>
        <w:pStyle w:val="13"/>
      </w:pPr>
      <w:r w:rsidRPr="005347A9">
        <w:t xml:space="preserve">                                                                （2</w:t>
      </w:r>
      <w:r>
        <w:t>3</w:t>
      </w:r>
      <w:r w:rsidRPr="005347A9">
        <w:t>）</w:t>
      </w:r>
    </w:p>
    <w:p w14:paraId="1053E5BD" w14:textId="77777777" w:rsidR="00495C65" w:rsidRDefault="00495C65" w:rsidP="00495C65">
      <w:pPr>
        <w:pStyle w:val="13"/>
      </w:pPr>
      <w:r w:rsidRPr="005347A9">
        <w:t>b）对数模型</w:t>
      </w:r>
    </w:p>
    <w:p w14:paraId="7DA13B54" w14:textId="77777777" w:rsidR="00495C65" w:rsidRDefault="00495C65" w:rsidP="00495C65">
      <w:pPr>
        <w:pStyle w:val="13"/>
      </w:pPr>
      <w:r w:rsidRPr="005347A9">
        <w:t xml:space="preserve">                                                                （2</w:t>
      </w:r>
      <w:r>
        <w:t>4</w:t>
      </w:r>
      <w:r w:rsidRPr="005347A9">
        <w:t>）</w:t>
      </w:r>
    </w:p>
    <w:p w14:paraId="2D6E0425" w14:textId="77777777" w:rsidR="00495C65" w:rsidRDefault="00495C65" w:rsidP="00495C65">
      <w:pPr>
        <w:pStyle w:val="13"/>
      </w:pPr>
      <w:r w:rsidRPr="005347A9">
        <w:t>c）乘幂模型</w:t>
      </w:r>
    </w:p>
    <w:p w14:paraId="70A1D861" w14:textId="77777777" w:rsidR="00495C65" w:rsidRDefault="00495C65" w:rsidP="00495C65">
      <w:pPr>
        <w:pStyle w:val="13"/>
      </w:pPr>
      <w:r w:rsidRPr="006B497F">
        <w:lastRenderedPageBreak/>
        <w:t xml:space="preserve">                                                                （2</w:t>
      </w:r>
      <w:r>
        <w:t>5</w:t>
      </w:r>
      <w:r w:rsidRPr="006B497F">
        <w:t>）</w:t>
      </w:r>
    </w:p>
    <w:p w14:paraId="0BF6F262" w14:textId="77777777" w:rsidR="00495C65" w:rsidRDefault="00495C65" w:rsidP="00495C65">
      <w:pPr>
        <w:pStyle w:val="13"/>
      </w:pPr>
      <w:r w:rsidRPr="006B497F">
        <w:t>d）指数模型</w:t>
      </w:r>
    </w:p>
    <w:p w14:paraId="1BBD57DF" w14:textId="77777777" w:rsidR="00495C65" w:rsidRDefault="00495C65" w:rsidP="00495C65">
      <w:pPr>
        <w:pStyle w:val="13"/>
      </w:pPr>
      <w:r w:rsidRPr="006B497F">
        <w:t xml:space="preserve">                                                                （2</w:t>
      </w:r>
      <w:r>
        <w:t>6</w:t>
      </w:r>
      <w:r w:rsidRPr="006B497F">
        <w:t>）</w:t>
      </w:r>
    </w:p>
    <w:p w14:paraId="49E0B750" w14:textId="77777777" w:rsidR="00495C65" w:rsidRDefault="00495C65" w:rsidP="00495C65">
      <w:pPr>
        <w:pStyle w:val="13"/>
      </w:pPr>
      <w:r w:rsidRPr="00625E63">
        <w:t>e）多项式模型</w:t>
      </w:r>
    </w:p>
    <w:p w14:paraId="4CE565D5" w14:textId="77777777" w:rsidR="00495C65" w:rsidRDefault="00495C65" w:rsidP="00495C65">
      <w:pPr>
        <w:pStyle w:val="13"/>
      </w:pPr>
      <w:r w:rsidRPr="00625E63">
        <w:t xml:space="preserve">                                                                （2</w:t>
      </w:r>
      <w:r>
        <w:t>7</w:t>
      </w:r>
      <w:r w:rsidRPr="00625E63">
        <w:t>）</w:t>
      </w:r>
    </w:p>
    <w:p w14:paraId="17807A31" w14:textId="77777777" w:rsidR="00495C65" w:rsidRDefault="00495C65" w:rsidP="00495C65">
      <w:pPr>
        <w:pStyle w:val="13"/>
      </w:pPr>
      <w:r>
        <w:rPr>
          <w:rFonts w:hint="eastAsia"/>
        </w:rPr>
        <w:t>式中：</w:t>
      </w:r>
    </w:p>
    <w:p w14:paraId="36DC6D2A" w14:textId="77777777" w:rsidR="00495C65" w:rsidRDefault="00495C65" w:rsidP="00495C65">
      <w:pPr>
        <w:pStyle w:val="13"/>
        <w:ind w:firstLineChars="500" w:firstLine="1200"/>
      </w:pPr>
      <w:r>
        <w:t>Y——评估单元地价；</w:t>
      </w:r>
    </w:p>
    <w:p w14:paraId="4154A30C" w14:textId="77777777" w:rsidR="00495C65" w:rsidRDefault="00495C65" w:rsidP="00495C65">
      <w:pPr>
        <w:pStyle w:val="13"/>
        <w:ind w:firstLineChars="500" w:firstLine="1200"/>
      </w:pPr>
      <w:r>
        <w:t>X——评估单元定级指数；</w:t>
      </w:r>
    </w:p>
    <w:p w14:paraId="66FFE570" w14:textId="77777777" w:rsidR="00495C65" w:rsidRDefault="00495C65" w:rsidP="00495C65">
      <w:pPr>
        <w:pStyle w:val="13"/>
        <w:ind w:firstLineChars="500" w:firstLine="1200"/>
      </w:pPr>
      <w:r>
        <w:t>a、b、c、a</w:t>
      </w:r>
      <w:r w:rsidRPr="00C71DE7">
        <w:rPr>
          <w:vertAlign w:val="subscript"/>
        </w:rPr>
        <w:t>i</w:t>
      </w:r>
      <w:r>
        <w:t>——常数；</w:t>
      </w:r>
    </w:p>
    <w:p w14:paraId="0211F0FA" w14:textId="77777777" w:rsidR="00495C65" w:rsidRDefault="00495C65" w:rsidP="00495C65">
      <w:pPr>
        <w:pStyle w:val="13"/>
        <w:ind w:firstLineChars="500" w:firstLine="1200"/>
      </w:pPr>
      <w:r>
        <w:t>n≥2；</w:t>
      </w:r>
    </w:p>
    <w:p w14:paraId="055660E5" w14:textId="77777777" w:rsidR="00495C65" w:rsidRDefault="00495C65" w:rsidP="00495C65">
      <w:pPr>
        <w:pStyle w:val="13"/>
        <w:ind w:firstLineChars="500" w:firstLine="1200"/>
      </w:pPr>
      <w:r>
        <w:t>e——自然对数的底。</w:t>
      </w:r>
    </w:p>
    <w:p w14:paraId="5DCFDBE7" w14:textId="77777777" w:rsidR="00495C65" w:rsidRDefault="00495C65" w:rsidP="00495C65">
      <w:pPr>
        <w:pStyle w:val="13"/>
      </w:pPr>
      <w:r>
        <w:t>9.7.7.2 模型的确定</w:t>
      </w:r>
    </w:p>
    <w:p w14:paraId="0A340BEC" w14:textId="77777777" w:rsidR="00495C65" w:rsidRDefault="00495C65" w:rsidP="00495C65">
      <w:pPr>
        <w:pStyle w:val="13"/>
      </w:pPr>
      <w:r>
        <w:rPr>
          <w:rFonts w:hint="eastAsia"/>
        </w:rPr>
        <w:t>方法和步骤如下：</w:t>
      </w:r>
    </w:p>
    <w:p w14:paraId="09BA0D37" w14:textId="77777777" w:rsidR="00495C65" w:rsidRDefault="00495C65" w:rsidP="00495C65">
      <w:pPr>
        <w:pStyle w:val="13"/>
      </w:pPr>
      <w:r>
        <w:t>a）绘制评估单元地价与评估单元定级指数的二维散点图来初步确定选择线性回归</w:t>
      </w:r>
      <w:r>
        <w:rPr>
          <w:rFonts w:hint="eastAsia"/>
        </w:rPr>
        <w:t>模型还是非线性回归模型。</w:t>
      </w:r>
    </w:p>
    <w:p w14:paraId="4199BE76" w14:textId="77777777" w:rsidR="00495C65" w:rsidRDefault="00495C65" w:rsidP="00495C65">
      <w:pPr>
        <w:pStyle w:val="13"/>
      </w:pPr>
      <w:r>
        <w:t>b）如果二维散点图能反映二者的线性关系，则选择线性回归模型，并对模型进行经</w:t>
      </w:r>
      <w:r>
        <w:rPr>
          <w:rFonts w:hint="eastAsia"/>
        </w:rPr>
        <w:t>济、统计和计量检验，按检验结果确定模型。有关线性回归模型的检验要求见本标准</w:t>
      </w:r>
      <w:r>
        <w:t>9.7.7.3。</w:t>
      </w:r>
    </w:p>
    <w:p w14:paraId="422C99A5" w14:textId="77777777" w:rsidR="00495C65" w:rsidRDefault="00495C65" w:rsidP="00495C65">
      <w:pPr>
        <w:pStyle w:val="13"/>
      </w:pPr>
      <w:r>
        <w:t>c）如果二维散点图样点数据的分布不呈线性时，可引入非线性回归模型。在选择非</w:t>
      </w:r>
      <w:r>
        <w:rPr>
          <w:rFonts w:hint="eastAsia"/>
        </w:rPr>
        <w:t>线性回归模型时，要对各模型的判定系数的</w:t>
      </w:r>
      <w:r>
        <w:t>大小和二维散点图本身进行比较，直至确</w:t>
      </w:r>
      <w:r>
        <w:rPr>
          <w:rFonts w:hint="eastAsia"/>
        </w:rPr>
        <w:t>定最佳模型。</w:t>
      </w:r>
    </w:p>
    <w:p w14:paraId="440F348B" w14:textId="77777777" w:rsidR="00495C65" w:rsidRDefault="00495C65" w:rsidP="00495C65">
      <w:pPr>
        <w:pStyle w:val="13"/>
      </w:pPr>
      <w:r>
        <w:t>9.7.7.3 线性回归模型的检验</w:t>
      </w:r>
    </w:p>
    <w:p w14:paraId="165F9E07" w14:textId="77777777" w:rsidR="00495C65" w:rsidRDefault="00495C65" w:rsidP="00495C65">
      <w:pPr>
        <w:pStyle w:val="13"/>
      </w:pPr>
      <w:r>
        <w:rPr>
          <w:rFonts w:hint="eastAsia"/>
        </w:rPr>
        <w:t>线性回归模型需对以下结果进行说明：</w:t>
      </w:r>
    </w:p>
    <w:p w14:paraId="6D3E2ABD" w14:textId="77777777" w:rsidR="00495C65" w:rsidRDefault="00495C65" w:rsidP="00495C65">
      <w:pPr>
        <w:pStyle w:val="13"/>
      </w:pPr>
      <w:r>
        <w:t>a）描述性统计结果，包括变量Y与X的均值、标准差、样点数；</w:t>
      </w:r>
    </w:p>
    <w:p w14:paraId="04FA7758" w14:textId="77777777" w:rsidR="00495C65" w:rsidRDefault="00495C65" w:rsidP="00495C65">
      <w:pPr>
        <w:pStyle w:val="13"/>
      </w:pPr>
      <w:r>
        <w:t>b）相关分析结果，包括相关系数R、判断系数R2、调整判断系数R2、单项显著性</w:t>
      </w:r>
      <w:r>
        <w:rPr>
          <w:rFonts w:hint="eastAsia"/>
        </w:rPr>
        <w:t>检查</w:t>
      </w:r>
      <w:r>
        <w:t>P值、回归系数95%的置信区间：</w:t>
      </w:r>
    </w:p>
    <w:p w14:paraId="17C126FD" w14:textId="77777777" w:rsidR="00495C65" w:rsidRDefault="00495C65" w:rsidP="00495C65">
      <w:pPr>
        <w:pStyle w:val="13"/>
      </w:pPr>
      <w:r>
        <w:t>c）对全部观察单位进行回归诊断的结果；</w:t>
      </w:r>
    </w:p>
    <w:p w14:paraId="68017E57" w14:textId="77777777" w:rsidR="00495C65" w:rsidRDefault="00495C65" w:rsidP="00495C65">
      <w:pPr>
        <w:pStyle w:val="13"/>
      </w:pPr>
      <w:r>
        <w:t>d）残差统计结果；</w:t>
      </w:r>
    </w:p>
    <w:p w14:paraId="1C58C5EB" w14:textId="77777777" w:rsidR="00495C65" w:rsidRDefault="00495C65" w:rsidP="00495C65">
      <w:pPr>
        <w:pStyle w:val="13"/>
      </w:pPr>
      <w:r>
        <w:t>e）残差的直方图，判断标准化残差是否服从正态分布；</w:t>
      </w:r>
    </w:p>
    <w:p w14:paraId="14AD9AF2" w14:textId="77777777" w:rsidR="00495C65" w:rsidRDefault="00495C65" w:rsidP="00495C65">
      <w:pPr>
        <w:pStyle w:val="13"/>
      </w:pPr>
      <w:r>
        <w:t>f）观察值的累加概率图。</w:t>
      </w:r>
    </w:p>
    <w:p w14:paraId="631DEFD5" w14:textId="77777777" w:rsidR="00495C65" w:rsidRDefault="00495C65" w:rsidP="00495C65">
      <w:pPr>
        <w:pStyle w:val="13"/>
      </w:pPr>
      <w:r>
        <w:t>9.7.7.4 因素系数估计值的经济意义检验</w:t>
      </w:r>
    </w:p>
    <w:p w14:paraId="0E86A7E2" w14:textId="77777777" w:rsidR="00495C65" w:rsidRDefault="00495C65" w:rsidP="00495C65">
      <w:pPr>
        <w:pStyle w:val="13"/>
      </w:pPr>
      <w:r>
        <w:rPr>
          <w:rFonts w:hint="eastAsia"/>
        </w:rPr>
        <w:t>一般从符号和值域两个方面检验。符号检验主要是根据模型中变量设计所要达到的条件进行检验；值域检验是根据现实经济条件加以具体限定。</w:t>
      </w:r>
    </w:p>
    <w:p w14:paraId="5EE332FC" w14:textId="77777777" w:rsidR="00495C65" w:rsidRDefault="00495C65" w:rsidP="00495C65">
      <w:pPr>
        <w:pStyle w:val="13"/>
      </w:pPr>
      <w:r>
        <w:t>9.7.8 计算各级别基准地价</w:t>
      </w:r>
    </w:p>
    <w:p w14:paraId="4D27DBFE" w14:textId="77777777" w:rsidR="00495C65" w:rsidRDefault="00495C65" w:rsidP="00495C65">
      <w:pPr>
        <w:pStyle w:val="13"/>
      </w:pPr>
      <w:r>
        <w:rPr>
          <w:rFonts w:hint="eastAsia"/>
        </w:rPr>
        <w:lastRenderedPageBreak/>
        <w:t>利用上述建立的定级指数与单元地价关系模型，计算所有定级单元地价，并利用定级单元地价采用简单算术平均值、加权算术平均值、中位数、众数等作为级别基准地价。</w:t>
      </w:r>
    </w:p>
    <w:p w14:paraId="0D2F6F13" w14:textId="77777777" w:rsidR="00495C65" w:rsidRDefault="00495C65" w:rsidP="00495C65">
      <w:pPr>
        <w:pStyle w:val="ab"/>
        <w:spacing w:before="62" w:after="62"/>
        <w:ind w:firstLine="482"/>
      </w:pPr>
      <w:r>
        <w:t>9.8 基准地块评估法</w:t>
      </w:r>
    </w:p>
    <w:p w14:paraId="6FC4F089" w14:textId="77777777" w:rsidR="00495C65" w:rsidRDefault="00495C65" w:rsidP="00495C65">
      <w:pPr>
        <w:pStyle w:val="13"/>
      </w:pPr>
      <w:r>
        <w:t>9.8.1 评估步骤</w:t>
      </w:r>
    </w:p>
    <w:p w14:paraId="714CA04B" w14:textId="77777777" w:rsidR="00495C65" w:rsidRDefault="00495C65" w:rsidP="00495C65">
      <w:pPr>
        <w:pStyle w:val="13"/>
      </w:pPr>
      <w:r>
        <w:rPr>
          <w:rFonts w:hint="eastAsia"/>
        </w:rPr>
        <w:t>采用基准地块评估基准地价，是指根据农用地土地质量条件划分农用地均质地域内选定若干地块作为基准地块，依据农用地市场交易资料和投入产出资料评估基准地块价格，再将同一均质地域内基准地块的平均地价作为该均质地域的基准地价。具体评估步骤如下：</w:t>
      </w:r>
    </w:p>
    <w:p w14:paraId="23AE4613" w14:textId="77777777" w:rsidR="00495C65" w:rsidRDefault="00495C65" w:rsidP="00495C65">
      <w:pPr>
        <w:pStyle w:val="13"/>
      </w:pPr>
      <w:r>
        <w:t>a）调查和收集资料；</w:t>
      </w:r>
    </w:p>
    <w:p w14:paraId="6FC2FEDF" w14:textId="77777777" w:rsidR="00495C65" w:rsidRDefault="00495C65" w:rsidP="00495C65">
      <w:pPr>
        <w:pStyle w:val="13"/>
      </w:pPr>
      <w:r>
        <w:t>b）划分均质地域；</w:t>
      </w:r>
    </w:p>
    <w:p w14:paraId="26B8A527" w14:textId="77777777" w:rsidR="00495C65" w:rsidRDefault="00495C65" w:rsidP="00495C65">
      <w:pPr>
        <w:pStyle w:val="13"/>
      </w:pPr>
      <w:r>
        <w:t>c）选定基准地块；</w:t>
      </w:r>
    </w:p>
    <w:p w14:paraId="14A491A0" w14:textId="77777777" w:rsidR="00495C65" w:rsidRDefault="00495C65" w:rsidP="00495C65">
      <w:pPr>
        <w:pStyle w:val="13"/>
      </w:pPr>
      <w:r>
        <w:t>d）评估基准地块价格；</w:t>
      </w:r>
    </w:p>
    <w:p w14:paraId="08737368" w14:textId="77777777" w:rsidR="00495C65" w:rsidRDefault="00495C65" w:rsidP="00495C65">
      <w:pPr>
        <w:pStyle w:val="13"/>
      </w:pPr>
      <w:r>
        <w:t>e）核定基准地块价格水平；</w:t>
      </w:r>
    </w:p>
    <w:p w14:paraId="501F0CCF" w14:textId="77777777" w:rsidR="00495C65" w:rsidRDefault="00495C65" w:rsidP="00495C65">
      <w:pPr>
        <w:pStyle w:val="13"/>
      </w:pPr>
      <w:r>
        <w:t>f）计算均质地域基准地价。</w:t>
      </w:r>
    </w:p>
    <w:p w14:paraId="523B4B99" w14:textId="77777777" w:rsidR="00495C65" w:rsidRDefault="00495C65" w:rsidP="00495C65">
      <w:pPr>
        <w:pStyle w:val="13"/>
      </w:pPr>
      <w:r>
        <w:t>9.8.2 资料调查的内容及要求</w:t>
      </w:r>
    </w:p>
    <w:p w14:paraId="47D003B9" w14:textId="77777777" w:rsidR="00495C65" w:rsidRDefault="00495C65" w:rsidP="00495C65">
      <w:pPr>
        <w:pStyle w:val="13"/>
      </w:pPr>
      <w:r>
        <w:t>9.8.2.1 资料调查的内容</w:t>
      </w:r>
    </w:p>
    <w:p w14:paraId="122BB391" w14:textId="77777777" w:rsidR="00495C65" w:rsidRDefault="00495C65" w:rsidP="00495C65">
      <w:pPr>
        <w:pStyle w:val="13"/>
      </w:pPr>
      <w:r>
        <w:rPr>
          <w:rFonts w:hint="eastAsia"/>
        </w:rPr>
        <w:t>基准地块评估法的资料调查内容如下；</w:t>
      </w:r>
    </w:p>
    <w:p w14:paraId="31946F9C" w14:textId="77777777" w:rsidR="00495C65" w:rsidRDefault="00495C65" w:rsidP="00495C65">
      <w:pPr>
        <w:pStyle w:val="13"/>
      </w:pPr>
      <w:r>
        <w:t>a）农用地自然条件资料：包括气候条件、地貌、土壤条件、水温状况、农田基本建</w:t>
      </w:r>
      <w:r>
        <w:rPr>
          <w:rFonts w:hint="eastAsia"/>
        </w:rPr>
        <w:t>设等资料；</w:t>
      </w:r>
    </w:p>
    <w:p w14:paraId="268A7469" w14:textId="77777777" w:rsidR="00495C65" w:rsidRDefault="00495C65" w:rsidP="00495C65">
      <w:pPr>
        <w:pStyle w:val="13"/>
      </w:pPr>
      <w:r>
        <w:t>b）农用地社会经济资料：包括人均耕地、农产品市场供求、土地利用规划、交通条</w:t>
      </w:r>
      <w:r>
        <w:rPr>
          <w:rFonts w:hint="eastAsia"/>
        </w:rPr>
        <w:t>件等资料；</w:t>
      </w:r>
    </w:p>
    <w:p w14:paraId="28A0B796" w14:textId="77777777" w:rsidR="00495C65" w:rsidRDefault="00495C65" w:rsidP="00495C65">
      <w:pPr>
        <w:pStyle w:val="13"/>
      </w:pPr>
      <w:r>
        <w:t>c）农用地承包、转包、出租、拍卖、抵押等市场交易资料；</w:t>
      </w:r>
    </w:p>
    <w:p w14:paraId="38AFCE5C" w14:textId="77777777" w:rsidR="00495C65" w:rsidRDefault="00495C65" w:rsidP="00495C65">
      <w:pPr>
        <w:pStyle w:val="13"/>
      </w:pPr>
      <w:r>
        <w:t>d）其他资料：入农用地历史地价资料等。</w:t>
      </w:r>
    </w:p>
    <w:p w14:paraId="4B8C633B" w14:textId="77777777" w:rsidR="00495C65" w:rsidRDefault="00495C65" w:rsidP="00495C65">
      <w:pPr>
        <w:pStyle w:val="13"/>
      </w:pPr>
      <w:r>
        <w:t>9.8.2.2 资料调查的一般要求</w:t>
      </w:r>
    </w:p>
    <w:p w14:paraId="63C7B708" w14:textId="77777777" w:rsidR="00495C65" w:rsidRDefault="00495C65" w:rsidP="00495C65">
      <w:pPr>
        <w:pStyle w:val="13"/>
      </w:pPr>
      <w:r>
        <w:rPr>
          <w:rFonts w:hint="eastAsia"/>
        </w:rPr>
        <w:t>见</w:t>
      </w:r>
      <w:r>
        <w:t xml:space="preserve"> 9.6.3.2</w:t>
      </w:r>
    </w:p>
    <w:p w14:paraId="7FC59D9F" w14:textId="77777777" w:rsidR="00495C65" w:rsidRDefault="00495C65" w:rsidP="00495C65">
      <w:pPr>
        <w:pStyle w:val="13"/>
      </w:pPr>
      <w:r>
        <w:t>9.8.3 划分均质地域</w:t>
      </w:r>
    </w:p>
    <w:p w14:paraId="5B3CD64B" w14:textId="77777777" w:rsidR="00495C65" w:rsidRDefault="00495C65" w:rsidP="00495C65">
      <w:pPr>
        <w:pStyle w:val="13"/>
      </w:pPr>
      <w:r>
        <w:t>9.8.3.1 确定农用</w:t>
      </w:r>
      <w:proofErr w:type="gramStart"/>
      <w:r>
        <w:t>地</w:t>
      </w:r>
      <w:proofErr w:type="gramEnd"/>
      <w:r>
        <w:t>地价影响因素</w:t>
      </w:r>
    </w:p>
    <w:p w14:paraId="47F5ED10" w14:textId="77777777" w:rsidR="00495C65" w:rsidRDefault="00495C65" w:rsidP="00495C65">
      <w:pPr>
        <w:pStyle w:val="13"/>
      </w:pPr>
      <w:r>
        <w:rPr>
          <w:rFonts w:hint="eastAsia"/>
        </w:rPr>
        <w:t>根据评估区域的具体条件，见</w:t>
      </w:r>
      <w:r>
        <w:t>4.2确定农用</w:t>
      </w:r>
      <w:proofErr w:type="gramStart"/>
      <w:r>
        <w:t>地</w:t>
      </w:r>
      <w:proofErr w:type="gramEnd"/>
      <w:r>
        <w:t>地价影响因素体系。</w:t>
      </w:r>
    </w:p>
    <w:p w14:paraId="40945548" w14:textId="77777777" w:rsidR="00495C65" w:rsidRDefault="00495C65" w:rsidP="00495C65">
      <w:pPr>
        <w:pStyle w:val="13"/>
      </w:pPr>
      <w:r>
        <w:t>9.8.3.2 确定影响因素权重</w:t>
      </w:r>
    </w:p>
    <w:p w14:paraId="1598762A" w14:textId="77777777" w:rsidR="00495C65" w:rsidRDefault="00495C65" w:rsidP="00495C65">
      <w:pPr>
        <w:pStyle w:val="13"/>
      </w:pPr>
      <w:r>
        <w:rPr>
          <w:rFonts w:hint="eastAsia"/>
        </w:rPr>
        <w:t>影响因素权重的确定可采用特尔斐法、层次分析法、因素成对比较法等方法。</w:t>
      </w:r>
    </w:p>
    <w:p w14:paraId="14F9D5EB" w14:textId="77777777" w:rsidR="00495C65" w:rsidRDefault="00495C65" w:rsidP="00495C65">
      <w:pPr>
        <w:pStyle w:val="13"/>
      </w:pPr>
      <w:r>
        <w:t>9.8.3.3 划分均质地域单元</w:t>
      </w:r>
    </w:p>
    <w:p w14:paraId="4F9055BD" w14:textId="77777777" w:rsidR="00495C65" w:rsidRDefault="00495C65" w:rsidP="00495C65">
      <w:pPr>
        <w:pStyle w:val="13"/>
      </w:pPr>
      <w:r>
        <w:rPr>
          <w:rFonts w:hint="eastAsia"/>
        </w:rPr>
        <w:t>均质地域单元的划分满足下列条件：</w:t>
      </w:r>
    </w:p>
    <w:p w14:paraId="6F36046E" w14:textId="77777777" w:rsidR="00495C65" w:rsidRDefault="00495C65" w:rsidP="00495C65">
      <w:pPr>
        <w:pStyle w:val="13"/>
      </w:pPr>
      <w:r>
        <w:t>a）同一单元内用地类型、耕作制度的一致性；</w:t>
      </w:r>
    </w:p>
    <w:p w14:paraId="0654E8D3" w14:textId="77777777" w:rsidR="00495C65" w:rsidRDefault="00495C65" w:rsidP="00495C65">
      <w:pPr>
        <w:pStyle w:val="13"/>
      </w:pPr>
      <w:r>
        <w:lastRenderedPageBreak/>
        <w:t>b）同一单元内的土地质量的一致性。</w:t>
      </w:r>
    </w:p>
    <w:p w14:paraId="027499AF" w14:textId="77777777" w:rsidR="00495C65" w:rsidRDefault="00495C65" w:rsidP="00495C65">
      <w:pPr>
        <w:pStyle w:val="13"/>
      </w:pPr>
      <w:r>
        <w:t>9.8.3.4 测算各单元各影响因素分值</w:t>
      </w:r>
    </w:p>
    <w:p w14:paraId="4E38766F" w14:textId="77777777" w:rsidR="00495C65" w:rsidRDefault="00495C65" w:rsidP="00495C65">
      <w:pPr>
        <w:pStyle w:val="13"/>
      </w:pPr>
      <w:r>
        <w:rPr>
          <w:rFonts w:hint="eastAsia"/>
        </w:rPr>
        <w:t>各单元各影响因素分值的计算，可采用特尔斐法或因素分值定量测算的方法进行。</w:t>
      </w:r>
    </w:p>
    <w:p w14:paraId="67247271" w14:textId="77777777" w:rsidR="00495C65" w:rsidRDefault="00495C65" w:rsidP="00495C65">
      <w:pPr>
        <w:pStyle w:val="13"/>
      </w:pPr>
      <w:r>
        <w:t>a）</w:t>
      </w:r>
      <w:proofErr w:type="gramStart"/>
      <w:r>
        <w:t>特</w:t>
      </w:r>
      <w:proofErr w:type="gramEnd"/>
      <w:r>
        <w:t>尔</w:t>
      </w:r>
      <w:proofErr w:type="gramStart"/>
      <w:r>
        <w:t>斐</w:t>
      </w:r>
      <w:proofErr w:type="gramEnd"/>
      <w:r>
        <w:t>法</w:t>
      </w:r>
    </w:p>
    <w:p w14:paraId="7C473C07" w14:textId="77777777" w:rsidR="00495C65" w:rsidRDefault="00495C65" w:rsidP="00495C65">
      <w:pPr>
        <w:pStyle w:val="13"/>
      </w:pPr>
      <w:r>
        <w:rPr>
          <w:rFonts w:hint="eastAsia"/>
        </w:rPr>
        <w:t>选择当地的农业、土地利用专家及有关专业人士作为专家，设计打分表，由专家进行打分。</w:t>
      </w:r>
    </w:p>
    <w:p w14:paraId="53D6D6B9" w14:textId="77777777" w:rsidR="00495C65" w:rsidRDefault="00495C65" w:rsidP="00495C65">
      <w:pPr>
        <w:pStyle w:val="13"/>
      </w:pPr>
      <w:r>
        <w:t>b）因素分值定量测算法</w:t>
      </w:r>
    </w:p>
    <w:p w14:paraId="73F84C8C" w14:textId="77777777" w:rsidR="00495C65" w:rsidRDefault="00495C65" w:rsidP="00495C65">
      <w:pPr>
        <w:pStyle w:val="13"/>
      </w:pPr>
      <w:r>
        <w:rPr>
          <w:rFonts w:hint="eastAsia"/>
        </w:rPr>
        <w:t>按照评分估价法中的因素分值计算方法进行测算。</w:t>
      </w:r>
    </w:p>
    <w:p w14:paraId="179D92CB" w14:textId="77777777" w:rsidR="00495C65" w:rsidRDefault="00495C65" w:rsidP="00495C65">
      <w:pPr>
        <w:pStyle w:val="13"/>
      </w:pPr>
      <w:r>
        <w:t>9.8.3.5 各单元影响因素综合分值计算</w:t>
      </w:r>
    </w:p>
    <w:p w14:paraId="13153A02" w14:textId="77777777" w:rsidR="00495C65" w:rsidRDefault="00495C65" w:rsidP="00495C65">
      <w:pPr>
        <w:pStyle w:val="13"/>
      </w:pPr>
      <w:r>
        <w:rPr>
          <w:noProof/>
        </w:rPr>
        <w:drawing>
          <wp:anchor distT="0" distB="0" distL="114300" distR="114300" simplePos="0" relativeHeight="251683840" behindDoc="1" locked="0" layoutInCell="1" allowOverlap="1" wp14:anchorId="5AC72630" wp14:editId="2510F1DB">
            <wp:simplePos x="0" y="0"/>
            <wp:positionH relativeFrom="column">
              <wp:posOffset>2347031</wp:posOffset>
            </wp:positionH>
            <wp:positionV relativeFrom="paragraph">
              <wp:posOffset>220345</wp:posOffset>
            </wp:positionV>
            <wp:extent cx="1216324" cy="456122"/>
            <wp:effectExtent l="0" t="0" r="3175" b="1270"/>
            <wp:wrapNone/>
            <wp:docPr id="4256" name="图片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216324" cy="456122"/>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计算出各单元影响因素的分值后，按照式（</w:t>
      </w:r>
      <w:r>
        <w:t>28）计算各单元影响因素综合分值：</w:t>
      </w:r>
    </w:p>
    <w:p w14:paraId="305F2469" w14:textId="77777777" w:rsidR="00495C65" w:rsidRDefault="00495C65" w:rsidP="00495C65">
      <w:pPr>
        <w:pStyle w:val="13"/>
      </w:pPr>
      <w:r w:rsidRPr="002C6EAA">
        <w:t xml:space="preserve">                                                                （2</w:t>
      </w:r>
      <w:r>
        <w:t>8</w:t>
      </w:r>
      <w:r w:rsidRPr="002C6EAA">
        <w:t>）</w:t>
      </w:r>
    </w:p>
    <w:p w14:paraId="4D04A723" w14:textId="77777777" w:rsidR="00495C65" w:rsidRDefault="00495C65" w:rsidP="00495C65">
      <w:pPr>
        <w:pStyle w:val="13"/>
      </w:pPr>
      <w:r>
        <w:rPr>
          <w:rFonts w:hint="eastAsia"/>
        </w:rPr>
        <w:t>式中：</w:t>
      </w:r>
    </w:p>
    <w:p w14:paraId="468CBF22" w14:textId="77777777" w:rsidR="00495C65" w:rsidRDefault="00495C65" w:rsidP="00495C65">
      <w:pPr>
        <w:pStyle w:val="13"/>
        <w:ind w:firstLineChars="500" w:firstLine="1200"/>
      </w:pPr>
      <w:r>
        <w:t>F</w:t>
      </w:r>
      <w:r w:rsidRPr="00D81691">
        <w:rPr>
          <w:vertAlign w:val="subscript"/>
        </w:rPr>
        <w:t>j</w:t>
      </w:r>
      <w:r>
        <w:t>——j单元综合分值；</w:t>
      </w:r>
    </w:p>
    <w:p w14:paraId="208D57E4" w14:textId="77777777" w:rsidR="00495C65" w:rsidRDefault="00495C65" w:rsidP="00495C65">
      <w:pPr>
        <w:pStyle w:val="13"/>
        <w:ind w:firstLineChars="500" w:firstLine="1200"/>
      </w:pPr>
      <w:r>
        <w:t>W</w:t>
      </w:r>
      <w:r w:rsidRPr="00D81691">
        <w:rPr>
          <w:vertAlign w:val="subscript"/>
        </w:rPr>
        <w:t>i</w:t>
      </w:r>
      <w:r>
        <w:t>——</w:t>
      </w:r>
      <w:proofErr w:type="spellStart"/>
      <w:r>
        <w:t>i</w:t>
      </w:r>
      <w:proofErr w:type="spellEnd"/>
      <w:r>
        <w:t>因素权重；</w:t>
      </w:r>
    </w:p>
    <w:p w14:paraId="697185D1" w14:textId="77777777" w:rsidR="00495C65" w:rsidRDefault="00495C65" w:rsidP="00495C65">
      <w:pPr>
        <w:pStyle w:val="13"/>
        <w:ind w:firstLineChars="500" w:firstLine="1200"/>
      </w:pPr>
      <w:r>
        <w:t>n——因素个数；</w:t>
      </w:r>
    </w:p>
    <w:p w14:paraId="43278169" w14:textId="77777777" w:rsidR="00495C65" w:rsidRDefault="00495C65" w:rsidP="00495C65">
      <w:pPr>
        <w:pStyle w:val="13"/>
        <w:ind w:firstLineChars="500" w:firstLine="1200"/>
      </w:pPr>
      <w:proofErr w:type="spellStart"/>
      <w:r>
        <w:t>f</w:t>
      </w:r>
      <w:r w:rsidRPr="00D81691">
        <w:rPr>
          <w:vertAlign w:val="subscript"/>
        </w:rPr>
        <w:t>ij</w:t>
      </w:r>
      <w:proofErr w:type="spellEnd"/>
      <w:r>
        <w:t>——j单元</w:t>
      </w:r>
      <w:proofErr w:type="spellStart"/>
      <w:r>
        <w:t>i</w:t>
      </w:r>
      <w:proofErr w:type="spellEnd"/>
      <w:r>
        <w:t>因素分值。</w:t>
      </w:r>
    </w:p>
    <w:p w14:paraId="5D9C74DB" w14:textId="77777777" w:rsidR="00495C65" w:rsidRDefault="00495C65" w:rsidP="00495C65">
      <w:pPr>
        <w:pStyle w:val="13"/>
      </w:pPr>
      <w:r>
        <w:t>9.8.3.6 划分基准地价均质地域</w:t>
      </w:r>
    </w:p>
    <w:p w14:paraId="563BDBFC" w14:textId="77777777" w:rsidR="00495C65" w:rsidRDefault="00495C65" w:rsidP="00495C65">
      <w:pPr>
        <w:pStyle w:val="13"/>
      </w:pPr>
      <w:r>
        <w:rPr>
          <w:rFonts w:hint="eastAsia"/>
        </w:rPr>
        <w:t>按上述得到单元影响因素综合分值后，采用总分数轴确定法、总分频率曲线法等划分均质地域。</w:t>
      </w:r>
    </w:p>
    <w:p w14:paraId="51733800" w14:textId="77777777" w:rsidR="00495C65" w:rsidRDefault="00495C65" w:rsidP="00495C65">
      <w:pPr>
        <w:pStyle w:val="13"/>
      </w:pPr>
      <w:r>
        <w:t>9.8.4 选定基准地块</w:t>
      </w:r>
    </w:p>
    <w:p w14:paraId="4C382F97" w14:textId="77777777" w:rsidR="00495C65" w:rsidRDefault="00495C65" w:rsidP="00495C65">
      <w:pPr>
        <w:pStyle w:val="13"/>
      </w:pPr>
      <w:r>
        <w:rPr>
          <w:rFonts w:hint="eastAsia"/>
        </w:rPr>
        <w:t>在各均质地域内，根据土壤、日照、灌溉、排水、面积、形状及个耕作制度等方面条件，选择具有普遍性的一定数量的宗地作为基准地块。具体选择过程中主要考虑下列条件：</w:t>
      </w:r>
    </w:p>
    <w:p w14:paraId="22869AA9" w14:textId="77777777" w:rsidR="00495C65" w:rsidRDefault="00495C65" w:rsidP="00495C65">
      <w:pPr>
        <w:pStyle w:val="13"/>
      </w:pPr>
      <w:r>
        <w:t>a）日照的时间、田面的干湿、保水、排水、旱地的坡度等自然条件属于一般的；</w:t>
      </w:r>
    </w:p>
    <w:p w14:paraId="20E800F7" w14:textId="77777777" w:rsidR="00495C65" w:rsidRDefault="00495C65" w:rsidP="00495C65">
      <w:pPr>
        <w:pStyle w:val="13"/>
      </w:pPr>
      <w:r>
        <w:t>b）耕作的距离、据市场的</w:t>
      </w:r>
      <w:proofErr w:type="gramStart"/>
      <w:r>
        <w:t>的</w:t>
      </w:r>
      <w:proofErr w:type="gramEnd"/>
      <w:r>
        <w:t>远近、交通条件等属于一般的；</w:t>
      </w:r>
    </w:p>
    <w:p w14:paraId="7F79C6B6" w14:textId="77777777" w:rsidR="00495C65" w:rsidRDefault="00495C65" w:rsidP="00495C65">
      <w:pPr>
        <w:pStyle w:val="13"/>
      </w:pPr>
      <w:r>
        <w:t>c）面积、形状、土壤条件属于一般的；</w:t>
      </w:r>
    </w:p>
    <w:p w14:paraId="7DC94327" w14:textId="77777777" w:rsidR="00495C65" w:rsidRDefault="00495C65" w:rsidP="00495C65">
      <w:pPr>
        <w:pStyle w:val="13"/>
      </w:pPr>
      <w:r>
        <w:t>d）在标准耕作制度下，土地利用程度、单产水平等一般的；</w:t>
      </w:r>
    </w:p>
    <w:p w14:paraId="2D2225EE" w14:textId="77777777" w:rsidR="00495C65" w:rsidRDefault="00495C65" w:rsidP="00495C65">
      <w:pPr>
        <w:pStyle w:val="13"/>
      </w:pPr>
      <w:r>
        <w:t>e）灾害条件属于一般的。</w:t>
      </w:r>
    </w:p>
    <w:p w14:paraId="1215F18F" w14:textId="77777777" w:rsidR="00495C65" w:rsidRDefault="00495C65" w:rsidP="00495C65">
      <w:pPr>
        <w:pStyle w:val="13"/>
      </w:pPr>
      <w:r>
        <w:rPr>
          <w:rFonts w:hint="eastAsia"/>
        </w:rPr>
        <w:t>均质地域内每类农用地基准地块不少于</w:t>
      </w:r>
      <w:r>
        <w:t>3块。</w:t>
      </w:r>
    </w:p>
    <w:p w14:paraId="6EE0A31C" w14:textId="77777777" w:rsidR="00495C65" w:rsidRDefault="00495C65" w:rsidP="00495C65">
      <w:pPr>
        <w:pStyle w:val="13"/>
      </w:pPr>
      <w:r>
        <w:t>9.8.5 评估基准地块价格</w:t>
      </w:r>
    </w:p>
    <w:p w14:paraId="3ADE50CC" w14:textId="77777777" w:rsidR="00495C65" w:rsidRDefault="00495C65" w:rsidP="00495C65">
      <w:pPr>
        <w:pStyle w:val="13"/>
      </w:pPr>
      <w:r>
        <w:rPr>
          <w:rFonts w:hint="eastAsia"/>
        </w:rPr>
        <w:t>利用市场交易资料，按照市场比较法要求评估基准地块价格。具体评估过程按本标准市场比较法的有关规定执行。若基准地块在近三年内发生过市场交易行为，可直接通过对其进行交易方式、交易期日等修正，求取其在正常市场条件下的土地价格；</w:t>
      </w:r>
      <w:r>
        <w:rPr>
          <w:rFonts w:hint="eastAsia"/>
        </w:rPr>
        <w:lastRenderedPageBreak/>
        <w:t>利用基准地块本身的投入产出资料，采用收益还原法求取基准地块的价格；利用农用地开发资料采用成本逼近法评估基准地块价格；基准地块价格评估要采用两种以上方法进行。</w:t>
      </w:r>
    </w:p>
    <w:p w14:paraId="7DCE840A" w14:textId="77777777" w:rsidR="00495C65" w:rsidRDefault="00495C65" w:rsidP="00495C65">
      <w:pPr>
        <w:pStyle w:val="13"/>
      </w:pPr>
      <w:r>
        <w:t>9.8.6 核定基准地块价格水平</w:t>
      </w:r>
    </w:p>
    <w:p w14:paraId="76AC5CFB" w14:textId="77777777" w:rsidR="00495C65" w:rsidRDefault="00495C65" w:rsidP="00495C65">
      <w:pPr>
        <w:pStyle w:val="13"/>
      </w:pPr>
      <w:r>
        <w:rPr>
          <w:rFonts w:hint="eastAsia"/>
        </w:rPr>
        <w:t>对各均质地域基准地块价格加以比较检查，并作必要调整。</w:t>
      </w:r>
    </w:p>
    <w:p w14:paraId="4D77F202" w14:textId="77777777" w:rsidR="00495C65" w:rsidRDefault="00495C65" w:rsidP="00495C65">
      <w:pPr>
        <w:pStyle w:val="13"/>
      </w:pPr>
      <w:r>
        <w:t>9.8.7 计算均质地域基准地价</w:t>
      </w:r>
    </w:p>
    <w:p w14:paraId="0D8C1511" w14:textId="77777777" w:rsidR="00495C65" w:rsidRDefault="00495C65" w:rsidP="00495C65">
      <w:pPr>
        <w:pStyle w:val="13"/>
      </w:pPr>
      <w:r>
        <w:rPr>
          <w:rFonts w:hint="eastAsia"/>
        </w:rPr>
        <w:t>按照调整后均质地域内各基准地块低价，采用简单算术平均法或加权算术平均法求取各均质地域的平均地价，并作为该均质地域基准地价。</w:t>
      </w:r>
    </w:p>
    <w:p w14:paraId="5210D496" w14:textId="77777777" w:rsidR="00495C65" w:rsidRDefault="00495C65" w:rsidP="00495C65">
      <w:pPr>
        <w:pStyle w:val="ab"/>
        <w:spacing w:before="62" w:after="62"/>
        <w:ind w:firstLine="482"/>
      </w:pPr>
      <w:r>
        <w:t>9.9 基准地价的确定</w:t>
      </w:r>
    </w:p>
    <w:p w14:paraId="6AB86D29" w14:textId="77777777" w:rsidR="00495C65" w:rsidRDefault="00495C65" w:rsidP="00495C65">
      <w:pPr>
        <w:pStyle w:val="13"/>
      </w:pPr>
      <w:r>
        <w:rPr>
          <w:rFonts w:hint="eastAsia"/>
        </w:rPr>
        <w:t>对采用的技术路线计算出的基准地价结果，与实际情况进行比较、验证后，进行适当调整，确定各级别（均质地域）不同类型农用地基准地价。</w:t>
      </w:r>
    </w:p>
    <w:p w14:paraId="4040A299" w14:textId="77777777" w:rsidR="00495C65" w:rsidRDefault="00495C65" w:rsidP="00495C65">
      <w:pPr>
        <w:pStyle w:val="ab"/>
        <w:spacing w:before="62" w:after="62"/>
        <w:ind w:firstLine="482"/>
      </w:pPr>
      <w:r>
        <w:t>9.10 基准地价修正系数表的编制</w:t>
      </w:r>
    </w:p>
    <w:p w14:paraId="0AAAA638" w14:textId="77777777" w:rsidR="00495C65" w:rsidRDefault="00495C65" w:rsidP="00495C65">
      <w:pPr>
        <w:pStyle w:val="13"/>
      </w:pPr>
      <w:r>
        <w:t>9.10.1 编制步骤</w:t>
      </w:r>
    </w:p>
    <w:p w14:paraId="4FB775A1" w14:textId="77777777" w:rsidR="00495C65" w:rsidRDefault="00495C65" w:rsidP="00495C65">
      <w:pPr>
        <w:pStyle w:val="13"/>
      </w:pPr>
      <w:r>
        <w:rPr>
          <w:rFonts w:hint="eastAsia"/>
        </w:rPr>
        <w:t>编制步骤如下；</w:t>
      </w:r>
    </w:p>
    <w:p w14:paraId="4C287FAC" w14:textId="77777777" w:rsidR="00495C65" w:rsidRDefault="00495C65" w:rsidP="00495C65">
      <w:pPr>
        <w:pStyle w:val="13"/>
      </w:pPr>
      <w:r>
        <w:t>a）宗地地价影响因素；</w:t>
      </w:r>
    </w:p>
    <w:p w14:paraId="48B6CFB0" w14:textId="77777777" w:rsidR="00495C65" w:rsidRDefault="00495C65" w:rsidP="00495C65">
      <w:pPr>
        <w:pStyle w:val="13"/>
      </w:pPr>
      <w:r>
        <w:t>b）确定各影响因素的权重；</w:t>
      </w:r>
    </w:p>
    <w:p w14:paraId="284A637D" w14:textId="77777777" w:rsidR="00495C65" w:rsidRDefault="00495C65" w:rsidP="00495C65">
      <w:pPr>
        <w:pStyle w:val="13"/>
      </w:pPr>
      <w:r>
        <w:t>c）各因素影响地价修正幅度值的计算；</w:t>
      </w:r>
    </w:p>
    <w:p w14:paraId="48D77000" w14:textId="77777777" w:rsidR="00495C65" w:rsidRDefault="00495C65" w:rsidP="00495C65">
      <w:pPr>
        <w:pStyle w:val="13"/>
      </w:pPr>
      <w:r>
        <w:t>d）计算并编制基准地价修正系数表；</w:t>
      </w:r>
    </w:p>
    <w:p w14:paraId="0BF095AE" w14:textId="77777777" w:rsidR="00495C65" w:rsidRDefault="00495C65" w:rsidP="00495C65">
      <w:pPr>
        <w:pStyle w:val="13"/>
      </w:pPr>
      <w:r>
        <w:t>e）编制宗地地价影响因素指标说明表。</w:t>
      </w:r>
    </w:p>
    <w:p w14:paraId="27AAFA58" w14:textId="77777777" w:rsidR="00495C65" w:rsidRDefault="00495C65" w:rsidP="00495C65">
      <w:pPr>
        <w:pStyle w:val="13"/>
      </w:pPr>
      <w:r>
        <w:t>9.10.2 宗地地价影响因素的选择</w:t>
      </w:r>
    </w:p>
    <w:p w14:paraId="6552DC68" w14:textId="77777777" w:rsidR="00495C65" w:rsidRDefault="00495C65" w:rsidP="00495C65">
      <w:pPr>
        <w:pStyle w:val="13"/>
      </w:pPr>
      <w:r>
        <w:rPr>
          <w:rFonts w:hint="eastAsia"/>
        </w:rPr>
        <w:t>宗地地价影响因素选择范围：在各级别（均质地域）内对宗地地价影响较大的自然因素、社会经济因素和特殊因素。</w:t>
      </w:r>
    </w:p>
    <w:p w14:paraId="36DE64D6" w14:textId="77777777" w:rsidR="00495C65" w:rsidRDefault="00495C65" w:rsidP="00495C65">
      <w:pPr>
        <w:pStyle w:val="13"/>
      </w:pPr>
      <w:r>
        <w:rPr>
          <w:rFonts w:hint="eastAsia"/>
        </w:rPr>
        <w:t>宗地地价影响因素选择的原则：</w:t>
      </w:r>
    </w:p>
    <w:p w14:paraId="0CCF4488" w14:textId="77777777" w:rsidR="00495C65" w:rsidRDefault="00495C65" w:rsidP="00495C65">
      <w:pPr>
        <w:pStyle w:val="13"/>
      </w:pPr>
      <w:r>
        <w:t>a）考虑不同用途选择不同的影响因素；</w:t>
      </w:r>
    </w:p>
    <w:p w14:paraId="0684C045" w14:textId="77777777" w:rsidR="00495C65" w:rsidRDefault="00495C65" w:rsidP="00495C65">
      <w:pPr>
        <w:pStyle w:val="13"/>
      </w:pPr>
      <w:r>
        <w:t>b）考虑宗地条件与级别条件之间的差异。</w:t>
      </w:r>
    </w:p>
    <w:p w14:paraId="2DD0C6A6" w14:textId="77777777" w:rsidR="00495C65" w:rsidRDefault="00495C65" w:rsidP="00495C65">
      <w:pPr>
        <w:pStyle w:val="13"/>
      </w:pPr>
      <w:r>
        <w:t>9.10.3 确定各影响因素的权重</w:t>
      </w:r>
    </w:p>
    <w:p w14:paraId="3D618EE5" w14:textId="77777777" w:rsidR="00495C65" w:rsidRDefault="00495C65" w:rsidP="00495C65">
      <w:pPr>
        <w:pStyle w:val="13"/>
      </w:pPr>
      <w:r>
        <w:rPr>
          <w:rFonts w:hint="eastAsia"/>
        </w:rPr>
        <w:t>可采用特尔斐法、层次分析法、因素成对比较法等，按各因素对地价的影响程度，确定各因素的权重值。</w:t>
      </w:r>
    </w:p>
    <w:p w14:paraId="62B3B0B2" w14:textId="77777777" w:rsidR="00495C65" w:rsidRDefault="00495C65" w:rsidP="00495C65">
      <w:pPr>
        <w:pStyle w:val="13"/>
      </w:pPr>
      <w:r>
        <w:t>9.10.4 基准地价修正幅度值的计算</w:t>
      </w:r>
    </w:p>
    <w:p w14:paraId="228E7DC6" w14:textId="77777777" w:rsidR="00495C65" w:rsidRDefault="00495C65" w:rsidP="00495C65">
      <w:pPr>
        <w:pStyle w:val="13"/>
      </w:pPr>
      <w:r>
        <w:rPr>
          <w:rFonts w:hint="eastAsia"/>
        </w:rPr>
        <w:t>以级别或均质地域为单位，调查各级别或均质地域中正常土地收益的上限、下限值等，分别与该级别或均质地域的基准地价折算的土地收益相减，得到上调或下调的最高值。</w:t>
      </w:r>
    </w:p>
    <w:p w14:paraId="4F7BD7FD" w14:textId="77777777" w:rsidR="00495C65" w:rsidRDefault="00495C65" w:rsidP="00495C65">
      <w:pPr>
        <w:pStyle w:val="13"/>
      </w:pPr>
      <w:r>
        <w:rPr>
          <w:rFonts w:hint="eastAsia"/>
        </w:rPr>
        <w:t>上调幅度按式（</w:t>
      </w:r>
      <w:r>
        <w:t>29）计算：</w:t>
      </w:r>
    </w:p>
    <w:p w14:paraId="5D19F48D" w14:textId="77777777" w:rsidR="00495C65" w:rsidRDefault="00495C65" w:rsidP="00495C65">
      <w:pPr>
        <w:pStyle w:val="13"/>
        <w:ind w:firstLineChars="1200" w:firstLine="2880"/>
      </w:pPr>
      <w:r w:rsidRPr="007220A2">
        <w:lastRenderedPageBreak/>
        <w:t>F</w:t>
      </w:r>
      <w:r w:rsidRPr="007B2F24">
        <w:rPr>
          <w:vertAlign w:val="subscript"/>
        </w:rPr>
        <w:t>1</w:t>
      </w:r>
      <w:r w:rsidRPr="007220A2">
        <w:t>=（</w:t>
      </w:r>
      <w:proofErr w:type="spellStart"/>
      <w:r w:rsidRPr="007220A2">
        <w:t>I</w:t>
      </w:r>
      <w:r w:rsidRPr="007B2F24">
        <w:rPr>
          <w:vertAlign w:val="subscript"/>
        </w:rPr>
        <w:t>nh</w:t>
      </w:r>
      <w:r w:rsidRPr="007220A2">
        <w:t>-I</w:t>
      </w:r>
      <w:r w:rsidRPr="007B2F24">
        <w:rPr>
          <w:vertAlign w:val="subscript"/>
        </w:rPr>
        <w:t>lb</w:t>
      </w:r>
      <w:proofErr w:type="spellEnd"/>
      <w:r w:rsidRPr="007220A2">
        <w:t>）/I</w:t>
      </w:r>
      <w:r w:rsidRPr="007B2F24">
        <w:rPr>
          <w:vertAlign w:val="subscript"/>
        </w:rPr>
        <w:t>lb</w:t>
      </w:r>
      <w:r w:rsidRPr="007220A2">
        <w:t>×100%</w:t>
      </w:r>
      <w:r>
        <w:t xml:space="preserve">                          </w:t>
      </w:r>
      <w:r w:rsidRPr="007220A2">
        <w:t>（29）</w:t>
      </w:r>
    </w:p>
    <w:p w14:paraId="47C7B7CA" w14:textId="77777777" w:rsidR="00495C65" w:rsidRDefault="00495C65" w:rsidP="00495C65">
      <w:pPr>
        <w:pStyle w:val="13"/>
      </w:pPr>
      <w:r w:rsidRPr="00D030E8">
        <w:rPr>
          <w:rFonts w:hint="eastAsia"/>
        </w:rPr>
        <w:t>下调幅度按式（</w:t>
      </w:r>
      <w:r w:rsidRPr="00D030E8">
        <w:t>30）计算：</w:t>
      </w:r>
    </w:p>
    <w:p w14:paraId="53E28FCE" w14:textId="77777777" w:rsidR="00495C65" w:rsidRDefault="00495C65" w:rsidP="00495C65">
      <w:pPr>
        <w:pStyle w:val="13"/>
        <w:ind w:firstLineChars="1200" w:firstLine="2880"/>
      </w:pPr>
      <w:r w:rsidRPr="00D030E8">
        <w:rPr>
          <w:rFonts w:hint="eastAsia"/>
        </w:rPr>
        <w:t>Ｆ</w:t>
      </w:r>
      <w:r w:rsidRPr="00FA2BA0">
        <w:rPr>
          <w:vertAlign w:val="subscript"/>
        </w:rPr>
        <w:t>2</w:t>
      </w:r>
      <w:r w:rsidRPr="00D030E8">
        <w:t>=（</w:t>
      </w:r>
      <w:proofErr w:type="spellStart"/>
      <w:r w:rsidRPr="00D030E8">
        <w:t>I</w:t>
      </w:r>
      <w:r w:rsidRPr="00FA2BA0">
        <w:rPr>
          <w:vertAlign w:val="subscript"/>
        </w:rPr>
        <w:t>lb</w:t>
      </w:r>
      <w:r w:rsidRPr="00D030E8">
        <w:t>-I</w:t>
      </w:r>
      <w:r w:rsidRPr="00FA2BA0">
        <w:rPr>
          <w:vertAlign w:val="subscript"/>
        </w:rPr>
        <w:t>nl</w:t>
      </w:r>
      <w:proofErr w:type="spellEnd"/>
      <w:r w:rsidRPr="00D030E8">
        <w:t>）/I</w:t>
      </w:r>
      <w:r w:rsidRPr="00FA2BA0">
        <w:rPr>
          <w:vertAlign w:val="subscript"/>
        </w:rPr>
        <w:t>lb</w:t>
      </w:r>
      <w:r w:rsidRPr="00D030E8">
        <w:t>×100%</w:t>
      </w:r>
      <w:r>
        <w:t xml:space="preserve">                      </w:t>
      </w:r>
      <w:r w:rsidRPr="00D030E8">
        <w:t>（30）</w:t>
      </w:r>
    </w:p>
    <w:p w14:paraId="35B3C05B" w14:textId="77777777" w:rsidR="00495C65" w:rsidRDefault="00495C65" w:rsidP="00495C65">
      <w:pPr>
        <w:pStyle w:val="13"/>
      </w:pPr>
      <w:r w:rsidRPr="00B92FB4">
        <w:rPr>
          <w:rFonts w:hint="eastAsia"/>
        </w:rPr>
        <w:t>式中：</w:t>
      </w:r>
    </w:p>
    <w:p w14:paraId="4BE739D3" w14:textId="77777777" w:rsidR="00495C65" w:rsidRDefault="00495C65" w:rsidP="00495C65">
      <w:pPr>
        <w:pStyle w:val="13"/>
        <w:ind w:firstLineChars="500" w:firstLine="1200"/>
      </w:pPr>
      <w:r>
        <w:t>F</w:t>
      </w:r>
      <w:r w:rsidRPr="00B92FB4">
        <w:rPr>
          <w:vertAlign w:val="subscript"/>
        </w:rPr>
        <w:t>1</w:t>
      </w:r>
      <w:r>
        <w:t>—基准地价上调最大幅度；</w:t>
      </w:r>
    </w:p>
    <w:p w14:paraId="00A23A88" w14:textId="77777777" w:rsidR="00495C65" w:rsidRDefault="00495C65" w:rsidP="00495C65">
      <w:pPr>
        <w:pStyle w:val="13"/>
        <w:ind w:firstLineChars="500" w:firstLine="1200"/>
      </w:pPr>
      <w:r>
        <w:t>F</w:t>
      </w:r>
      <w:r w:rsidRPr="00B92FB4">
        <w:rPr>
          <w:vertAlign w:val="subscript"/>
        </w:rPr>
        <w:t>2</w:t>
      </w:r>
      <w:r>
        <w:t>—基准地价下调最大幅度；</w:t>
      </w:r>
    </w:p>
    <w:p w14:paraId="6AAC35F1" w14:textId="77777777" w:rsidR="00495C65" w:rsidRDefault="00495C65" w:rsidP="00495C65">
      <w:pPr>
        <w:pStyle w:val="13"/>
        <w:ind w:firstLineChars="500" w:firstLine="1200"/>
      </w:pPr>
      <w:proofErr w:type="spellStart"/>
      <w:r>
        <w:t>I</w:t>
      </w:r>
      <w:r w:rsidRPr="00B92FB4">
        <w:rPr>
          <w:vertAlign w:val="subscript"/>
        </w:rPr>
        <w:t>lb</w:t>
      </w:r>
      <w:proofErr w:type="spellEnd"/>
      <w:r>
        <w:t>—基准地价折算的土地收益；</w:t>
      </w:r>
    </w:p>
    <w:p w14:paraId="6B9E43C7" w14:textId="77777777" w:rsidR="00495C65" w:rsidRDefault="00495C65" w:rsidP="00495C65">
      <w:pPr>
        <w:pStyle w:val="13"/>
        <w:ind w:firstLineChars="500" w:firstLine="1200"/>
      </w:pPr>
      <w:proofErr w:type="spellStart"/>
      <w:r>
        <w:t>I</w:t>
      </w:r>
      <w:r w:rsidRPr="00B92FB4">
        <w:rPr>
          <w:vertAlign w:val="subscript"/>
        </w:rPr>
        <w:t>nh</w:t>
      </w:r>
      <w:proofErr w:type="spellEnd"/>
      <w:r>
        <w:t>—级别或均质地域正常土地收益的最高值；</w:t>
      </w:r>
    </w:p>
    <w:p w14:paraId="319B1DCF" w14:textId="77777777" w:rsidR="00495C65" w:rsidRDefault="00495C65" w:rsidP="00495C65">
      <w:pPr>
        <w:pStyle w:val="13"/>
        <w:ind w:firstLineChars="500" w:firstLine="1200"/>
      </w:pPr>
      <w:proofErr w:type="spellStart"/>
      <w:r>
        <w:t>I</w:t>
      </w:r>
      <w:r w:rsidRPr="00B92FB4">
        <w:rPr>
          <w:vertAlign w:val="subscript"/>
        </w:rPr>
        <w:t>nl</w:t>
      </w:r>
      <w:proofErr w:type="spellEnd"/>
      <w:r>
        <w:t>—级别或均质地域正常土地收益的最低值。</w:t>
      </w:r>
    </w:p>
    <w:p w14:paraId="26D3530F" w14:textId="77777777" w:rsidR="00495C65" w:rsidRDefault="00495C65" w:rsidP="00495C65">
      <w:pPr>
        <w:pStyle w:val="13"/>
      </w:pPr>
      <w:r>
        <w:rPr>
          <w:rFonts w:hint="eastAsia"/>
        </w:rPr>
        <w:t>在确定上调、下调幅度的情况下，内插修正值，将宗地地价修正幅度划分成优、较优、一般、较劣、劣五个档次。</w:t>
      </w:r>
    </w:p>
    <w:p w14:paraId="14263D85" w14:textId="77777777" w:rsidR="00495C65" w:rsidRDefault="00495C65" w:rsidP="00495C65">
      <w:pPr>
        <w:pStyle w:val="13"/>
      </w:pPr>
      <w:r>
        <w:t>9.10.5 计算并编制基准地价修正系数表</w:t>
      </w:r>
    </w:p>
    <w:p w14:paraId="1A12CD58" w14:textId="77777777" w:rsidR="00495C65" w:rsidRDefault="00495C65" w:rsidP="00495C65">
      <w:pPr>
        <w:pStyle w:val="13"/>
      </w:pPr>
      <w:r>
        <w:rPr>
          <w:rFonts w:hint="eastAsia"/>
        </w:rPr>
        <w:t>根据</w:t>
      </w:r>
      <w:r>
        <w:t>9.10.3所确定的各因素的权重，按式（31）和式（32）计算各因素的修正幅度：</w:t>
      </w:r>
    </w:p>
    <w:p w14:paraId="5E5C5B05" w14:textId="77777777" w:rsidR="00495C65" w:rsidRDefault="00495C65" w:rsidP="00495C65">
      <w:pPr>
        <w:pStyle w:val="13"/>
        <w:ind w:firstLineChars="1200" w:firstLine="2880"/>
      </w:pPr>
      <w:r>
        <w:t>F</w:t>
      </w:r>
      <w:r w:rsidRPr="006137B0">
        <w:rPr>
          <w:vertAlign w:val="subscript"/>
        </w:rPr>
        <w:t>1i</w:t>
      </w:r>
      <w:r>
        <w:t>=F</w:t>
      </w:r>
      <w:r w:rsidRPr="006137B0">
        <w:rPr>
          <w:vertAlign w:val="subscript"/>
        </w:rPr>
        <w:t>1</w:t>
      </w:r>
      <w:r>
        <w:t>×W</w:t>
      </w:r>
      <w:r w:rsidRPr="006137B0">
        <w:rPr>
          <w:vertAlign w:val="subscript"/>
        </w:rPr>
        <w:t>i</w:t>
      </w:r>
      <w:r>
        <w:t xml:space="preserve">                                  （31）</w:t>
      </w:r>
    </w:p>
    <w:p w14:paraId="181CB58C" w14:textId="77777777" w:rsidR="00495C65" w:rsidRDefault="00495C65" w:rsidP="00495C65">
      <w:pPr>
        <w:pStyle w:val="13"/>
        <w:ind w:firstLineChars="1200" w:firstLine="2880"/>
      </w:pPr>
      <w:r>
        <w:t>F</w:t>
      </w:r>
      <w:r w:rsidRPr="006137B0">
        <w:rPr>
          <w:vertAlign w:val="subscript"/>
        </w:rPr>
        <w:t>2i</w:t>
      </w:r>
      <w:r>
        <w:t>=F</w:t>
      </w:r>
      <w:r w:rsidRPr="006137B0">
        <w:rPr>
          <w:vertAlign w:val="subscript"/>
        </w:rPr>
        <w:t>2</w:t>
      </w:r>
      <w:r>
        <w:t>×W</w:t>
      </w:r>
      <w:r w:rsidRPr="006137B0">
        <w:rPr>
          <w:vertAlign w:val="subscript"/>
        </w:rPr>
        <w:t>i</w:t>
      </w:r>
      <w:r>
        <w:t xml:space="preserve">                                  （32）</w:t>
      </w:r>
    </w:p>
    <w:p w14:paraId="206D7076" w14:textId="77777777" w:rsidR="00495C65" w:rsidRDefault="00495C65" w:rsidP="00495C65">
      <w:pPr>
        <w:pStyle w:val="13"/>
      </w:pPr>
      <w:r>
        <w:rPr>
          <w:rFonts w:hint="eastAsia"/>
        </w:rPr>
        <w:t>式中：</w:t>
      </w:r>
    </w:p>
    <w:p w14:paraId="218025FA" w14:textId="77777777" w:rsidR="00495C65" w:rsidRDefault="00495C65" w:rsidP="00495C65">
      <w:pPr>
        <w:pStyle w:val="13"/>
        <w:ind w:firstLineChars="500" w:firstLine="1200"/>
      </w:pPr>
      <w:r>
        <w:t>F</w:t>
      </w:r>
      <w:r w:rsidRPr="00613791">
        <w:rPr>
          <w:vertAlign w:val="subscript"/>
        </w:rPr>
        <w:t>1i</w:t>
      </w:r>
      <w:r>
        <w:t>—某一因素的上调幅度；</w:t>
      </w:r>
    </w:p>
    <w:p w14:paraId="4C3DA9C2" w14:textId="77777777" w:rsidR="00495C65" w:rsidRDefault="00495C65" w:rsidP="00495C65">
      <w:pPr>
        <w:pStyle w:val="13"/>
        <w:ind w:firstLineChars="500" w:firstLine="1200"/>
      </w:pPr>
      <w:r>
        <w:t>F</w:t>
      </w:r>
      <w:r w:rsidRPr="00613791">
        <w:rPr>
          <w:vertAlign w:val="subscript"/>
        </w:rPr>
        <w:t>2i</w:t>
      </w:r>
      <w:r>
        <w:t>—某一因素的下调幅度；</w:t>
      </w:r>
    </w:p>
    <w:p w14:paraId="74A64B52" w14:textId="77777777" w:rsidR="00495C65" w:rsidRDefault="00495C65" w:rsidP="00495C65">
      <w:pPr>
        <w:pStyle w:val="13"/>
        <w:ind w:firstLineChars="500" w:firstLine="1200"/>
      </w:pPr>
      <w:r>
        <w:t>W</w:t>
      </w:r>
      <w:r w:rsidRPr="00613791">
        <w:rPr>
          <w:vertAlign w:val="subscript"/>
        </w:rPr>
        <w:t>i</w:t>
      </w:r>
      <w:r>
        <w:t>—某一因素对宗地地价的影响权重。</w:t>
      </w:r>
    </w:p>
    <w:p w14:paraId="2AA46C72" w14:textId="77777777" w:rsidR="00495C65" w:rsidRDefault="00495C65" w:rsidP="00495C65">
      <w:pPr>
        <w:pStyle w:val="13"/>
      </w:pPr>
      <w:r>
        <w:rPr>
          <w:rFonts w:hint="eastAsia"/>
        </w:rPr>
        <w:t>以基准地价为一般水平，其修正幅度为零。在一般水平与上限价格之间，内插条件较优的修正幅度，通常为</w:t>
      </w:r>
      <w:r>
        <w:t>F</w:t>
      </w:r>
      <w:r w:rsidRPr="004431A5">
        <w:rPr>
          <w:vertAlign w:val="subscript"/>
        </w:rPr>
        <w:t>1i</w:t>
      </w:r>
      <w:r>
        <w:t>/2，同时确定较优条件下的地价水平；在一般水平与下限价</w:t>
      </w:r>
      <w:r>
        <w:rPr>
          <w:rFonts w:hint="eastAsia"/>
        </w:rPr>
        <w:t>格之间，内插条件较劣的修正幅度，通常为</w:t>
      </w:r>
      <w:r>
        <w:t>F</w:t>
      </w:r>
      <w:r w:rsidRPr="004431A5">
        <w:rPr>
          <w:vertAlign w:val="subscript"/>
        </w:rPr>
        <w:t>2i</w:t>
      </w:r>
      <w:r>
        <w:t>/2，同时确定较</w:t>
      </w:r>
      <w:proofErr w:type="gramStart"/>
      <w:r>
        <w:t>劣条件</w:t>
      </w:r>
      <w:proofErr w:type="gramEnd"/>
      <w:r>
        <w:t>上的地价水平，在</w:t>
      </w:r>
      <w:r>
        <w:rPr>
          <w:rFonts w:hint="eastAsia"/>
        </w:rPr>
        <w:t>此基础上按优、较优、一般、较劣、</w:t>
      </w:r>
      <w:proofErr w:type="gramStart"/>
      <w:r>
        <w:rPr>
          <w:rFonts w:hint="eastAsia"/>
        </w:rPr>
        <w:t>劣确定</w:t>
      </w:r>
      <w:proofErr w:type="gramEnd"/>
      <w:r>
        <w:rPr>
          <w:rFonts w:hint="eastAsia"/>
        </w:rPr>
        <w:t>各种地价水平下的因素修正系数，通过已有地价样点检验、校核，编制各级别（均质地域）基准地价修正系数表。修正系数表的格式见附录</w:t>
      </w:r>
      <w:r>
        <w:t>B。</w:t>
      </w:r>
    </w:p>
    <w:p w14:paraId="00E11B5F" w14:textId="77777777" w:rsidR="00495C65" w:rsidRDefault="00495C65" w:rsidP="00495C65">
      <w:pPr>
        <w:pStyle w:val="13"/>
      </w:pPr>
      <w:r>
        <w:t>9.10.6 编制宗地地价影响因素指标说明表</w:t>
      </w:r>
    </w:p>
    <w:p w14:paraId="56E3C9B3" w14:textId="77777777" w:rsidR="00495C65" w:rsidRDefault="00495C65" w:rsidP="00495C65">
      <w:pPr>
        <w:pStyle w:val="13"/>
      </w:pPr>
      <w:r>
        <w:rPr>
          <w:rFonts w:hint="eastAsia"/>
        </w:rPr>
        <w:t>根据</w:t>
      </w:r>
      <w:r>
        <w:t>9.10.2确定的宗地地价影响因素体系，以各级别（均质地域）对应基准地价因</w:t>
      </w:r>
      <w:r>
        <w:rPr>
          <w:rFonts w:hint="eastAsia"/>
        </w:rPr>
        <w:t>素条件为一般条件，比一般条件好的分优、较优，比一般条件差</w:t>
      </w:r>
      <w:proofErr w:type="gramStart"/>
      <w:r>
        <w:rPr>
          <w:rFonts w:hint="eastAsia"/>
        </w:rPr>
        <w:t>的分较劣</w:t>
      </w:r>
      <w:proofErr w:type="gramEnd"/>
      <w:r>
        <w:rPr>
          <w:rFonts w:hint="eastAsia"/>
        </w:rPr>
        <w:t>、劣，</w:t>
      </w:r>
      <w:proofErr w:type="gramStart"/>
      <w:r>
        <w:rPr>
          <w:rFonts w:hint="eastAsia"/>
        </w:rPr>
        <w:t>分因素</w:t>
      </w:r>
      <w:proofErr w:type="gramEnd"/>
      <w:r>
        <w:rPr>
          <w:rFonts w:hint="eastAsia"/>
        </w:rPr>
        <w:t>进行描述，编制各级别（均质地域）宗地地价影响因素指标说明表。宗地地价影响因素指标说明表的格式见附录</w:t>
      </w:r>
      <w:r>
        <w:t>B。</w:t>
      </w:r>
    </w:p>
    <w:p w14:paraId="7BBDCF16" w14:textId="77777777" w:rsidR="00495C65" w:rsidRDefault="00495C65" w:rsidP="00495C65">
      <w:pPr>
        <w:pStyle w:val="13"/>
      </w:pPr>
      <w:r>
        <w:t>9.10.7 其他</w:t>
      </w:r>
    </w:p>
    <w:p w14:paraId="3BBE7C59" w14:textId="77777777" w:rsidR="00495C65" w:rsidRDefault="00495C65" w:rsidP="00495C65">
      <w:pPr>
        <w:pStyle w:val="13"/>
      </w:pPr>
      <w:r>
        <w:rPr>
          <w:rFonts w:hint="eastAsia"/>
        </w:rPr>
        <w:t>基准地价评估中采用的定级指数模型，经实践检验，有效性和可操作性强，可直接用于农用地宗地地价评估，不必编制基准地价修正系数表。</w:t>
      </w:r>
    </w:p>
    <w:p w14:paraId="15B537D4" w14:textId="77777777" w:rsidR="00495C65" w:rsidRDefault="00495C65" w:rsidP="00495C65">
      <w:pPr>
        <w:pStyle w:val="ab"/>
        <w:spacing w:before="62" w:after="62"/>
        <w:ind w:firstLine="482"/>
      </w:pPr>
      <w:r>
        <w:lastRenderedPageBreak/>
        <w:t>9.11 成果整理</w:t>
      </w:r>
    </w:p>
    <w:p w14:paraId="642B7D28" w14:textId="77777777" w:rsidR="00495C65" w:rsidRDefault="00495C65" w:rsidP="00495C65">
      <w:pPr>
        <w:pStyle w:val="13"/>
      </w:pPr>
      <w:r>
        <w:t>9.11.1 基准地价图的整理</w:t>
      </w:r>
    </w:p>
    <w:p w14:paraId="736D49C2" w14:textId="77777777" w:rsidR="00495C65" w:rsidRDefault="00495C65" w:rsidP="00495C65">
      <w:pPr>
        <w:pStyle w:val="13"/>
      </w:pPr>
      <w:r>
        <w:t>9.11.1.1 内容及表示方法</w:t>
      </w:r>
    </w:p>
    <w:p w14:paraId="42B39CB3" w14:textId="77777777" w:rsidR="00495C65" w:rsidRDefault="00495C65" w:rsidP="00495C65">
      <w:pPr>
        <w:pStyle w:val="13"/>
      </w:pPr>
      <w:r>
        <w:rPr>
          <w:rFonts w:hint="eastAsia"/>
        </w:rPr>
        <w:t>基准地价图的内容及表示方法：</w:t>
      </w:r>
    </w:p>
    <w:p w14:paraId="7F8F575D" w14:textId="77777777" w:rsidR="00495C65" w:rsidRDefault="00495C65" w:rsidP="00495C65">
      <w:pPr>
        <w:pStyle w:val="13"/>
      </w:pPr>
      <w:r>
        <w:t>a）基准</w:t>
      </w:r>
      <w:proofErr w:type="gramStart"/>
      <w:r>
        <w:t>地价图要直观</w:t>
      </w:r>
      <w:proofErr w:type="gramEnd"/>
      <w:r>
        <w:t>反映不同级别（均质地域）各类农用地基准地价及界限、位置</w:t>
      </w:r>
      <w:r>
        <w:rPr>
          <w:rFonts w:hint="eastAsia"/>
        </w:rPr>
        <w:t>和与地价高低有关的道路、居民点及土地用途等。</w:t>
      </w:r>
    </w:p>
    <w:p w14:paraId="391790E8" w14:textId="77777777" w:rsidR="00495C65" w:rsidRDefault="00495C65" w:rsidP="00495C65">
      <w:pPr>
        <w:pStyle w:val="13"/>
      </w:pPr>
      <w:r>
        <w:t>b）编图前，要将基准地价成果分类整理，确定编图工作程序、编绘内容和编制方</w:t>
      </w:r>
      <w:r>
        <w:rPr>
          <w:rFonts w:hint="eastAsia"/>
        </w:rPr>
        <w:t>法。</w:t>
      </w:r>
    </w:p>
    <w:p w14:paraId="581EF384" w14:textId="77777777" w:rsidR="00495C65" w:rsidRDefault="00495C65" w:rsidP="00495C65">
      <w:pPr>
        <w:pStyle w:val="13"/>
      </w:pPr>
      <w:r>
        <w:t>c）基准地价图最小上图</w:t>
      </w:r>
      <w:proofErr w:type="gramStart"/>
      <w:r>
        <w:t>图</w:t>
      </w:r>
      <w:proofErr w:type="gramEnd"/>
      <w:r>
        <w:t>斑为1平方厘米。</w:t>
      </w:r>
    </w:p>
    <w:p w14:paraId="3670E39F" w14:textId="77777777" w:rsidR="00495C65" w:rsidRDefault="00495C65" w:rsidP="00495C65">
      <w:pPr>
        <w:pStyle w:val="13"/>
      </w:pPr>
      <w:r>
        <w:t>d）将定级成果和基准地价成果用图示、符号、注记等标注在图上，具体标注方法要</w:t>
      </w:r>
      <w:r>
        <w:rPr>
          <w:rFonts w:hint="eastAsia"/>
        </w:rPr>
        <w:t>求如下：</w:t>
      </w:r>
    </w:p>
    <w:p w14:paraId="23D92E58" w14:textId="77777777" w:rsidR="00495C65" w:rsidRDefault="00495C65" w:rsidP="00495C65">
      <w:pPr>
        <w:pStyle w:val="13"/>
      </w:pPr>
      <w:r>
        <w:t>1）级别用阿拉伯数字“1、2、3……”分别表示“一级、二级、三级……”。均质</w:t>
      </w:r>
      <w:r>
        <w:rPr>
          <w:rFonts w:hint="eastAsia"/>
        </w:rPr>
        <w:t>地域编号用阿拉伯数字表示。</w:t>
      </w:r>
    </w:p>
    <w:p w14:paraId="5DD3A8CE" w14:textId="77777777" w:rsidR="00495C65" w:rsidRDefault="00495C65" w:rsidP="00495C65">
      <w:pPr>
        <w:pStyle w:val="13"/>
      </w:pPr>
      <w:r>
        <w:t>2）用地类型用汉字“谁、旱、菜”分别表示“水田、旱地、菜地”，字体为等线体。</w:t>
      </w:r>
    </w:p>
    <w:p w14:paraId="1BFFC194" w14:textId="77777777" w:rsidR="00495C65" w:rsidRDefault="00495C65" w:rsidP="00495C65">
      <w:pPr>
        <w:pStyle w:val="13"/>
      </w:pPr>
      <w:r>
        <w:t>3）基准</w:t>
      </w:r>
      <w:proofErr w:type="gramStart"/>
      <w:r>
        <w:t>地价额用阿拉伯数字</w:t>
      </w:r>
      <w:proofErr w:type="gramEnd"/>
      <w:r>
        <w:t>标注在级别（均质地域）和用地类型之后，单元为元/m</w:t>
      </w:r>
      <w:r w:rsidRPr="00BC023A">
        <w:rPr>
          <w:vertAlign w:val="superscript"/>
        </w:rPr>
        <w:t>2</w:t>
      </w:r>
      <w:r>
        <w:rPr>
          <w:rFonts w:hint="eastAsia"/>
        </w:rPr>
        <w:t>或万元</w:t>
      </w:r>
      <w:r>
        <w:t>/hm</w:t>
      </w:r>
      <w:r w:rsidRPr="00BC023A">
        <w:rPr>
          <w:vertAlign w:val="superscript"/>
        </w:rPr>
        <w:t>2</w:t>
      </w:r>
      <w:r>
        <w:t>。</w:t>
      </w:r>
    </w:p>
    <w:p w14:paraId="3DB1FCF8" w14:textId="77777777" w:rsidR="00495C65" w:rsidRDefault="00495C65" w:rsidP="00495C65">
      <w:pPr>
        <w:pStyle w:val="13"/>
      </w:pPr>
      <w:r>
        <w:t>4）级别以线径0.4mm的实线表示，均质地域界线以线径0.3mm的实线表示。</w:t>
      </w:r>
    </w:p>
    <w:p w14:paraId="70428464" w14:textId="77777777" w:rsidR="00495C65" w:rsidRDefault="00495C65" w:rsidP="00495C65">
      <w:pPr>
        <w:pStyle w:val="13"/>
      </w:pPr>
      <w:r>
        <w:t>e）基准地价图上要表示农村中与农用地利用有关的主要道路，等级公路用0.5mm</w:t>
      </w:r>
      <w:r>
        <w:rPr>
          <w:rFonts w:hint="eastAsia"/>
        </w:rPr>
        <w:t>单实线，机耕道路用</w:t>
      </w:r>
      <w:r>
        <w:t>0.3mm单实线，田间人行道用0.2mm单实线表示。</w:t>
      </w:r>
    </w:p>
    <w:p w14:paraId="42DDE96A" w14:textId="77777777" w:rsidR="00495C65" w:rsidRDefault="00495C65" w:rsidP="00495C65">
      <w:pPr>
        <w:pStyle w:val="13"/>
      </w:pPr>
      <w:r>
        <w:t>f）各地可根据需要编绘彩色基准地价图，图面以暖色为主，相邻级别（均质地域）</w:t>
      </w:r>
      <w:r>
        <w:rPr>
          <w:rFonts w:hint="eastAsia"/>
        </w:rPr>
        <w:t>色差不宜过大。</w:t>
      </w:r>
    </w:p>
    <w:p w14:paraId="56504F5D" w14:textId="77777777" w:rsidR="00495C65" w:rsidRDefault="00495C65" w:rsidP="00495C65">
      <w:pPr>
        <w:pStyle w:val="13"/>
      </w:pPr>
      <w:r>
        <w:t>9.11.1.2 图面</w:t>
      </w:r>
      <w:proofErr w:type="gramStart"/>
      <w:r>
        <w:t>整饰</w:t>
      </w:r>
      <w:proofErr w:type="gramEnd"/>
    </w:p>
    <w:p w14:paraId="6201840A" w14:textId="77777777" w:rsidR="00495C65" w:rsidRDefault="00495C65" w:rsidP="00495C65">
      <w:pPr>
        <w:pStyle w:val="13"/>
      </w:pPr>
      <w:r>
        <w:rPr>
          <w:rFonts w:hint="eastAsia"/>
        </w:rPr>
        <w:t>基准地价图除按照要求标出级别（均质地域）、用地类型及相应基准地价外，还要按制图规范要求标出图廓、公里网、图名、指北针、图例、比例尺、制图单位、制图责任人及时间等。</w:t>
      </w:r>
    </w:p>
    <w:p w14:paraId="6F336AFE" w14:textId="77777777" w:rsidR="00495C65" w:rsidRDefault="00495C65" w:rsidP="00495C65">
      <w:pPr>
        <w:pStyle w:val="13"/>
      </w:pPr>
      <w:r>
        <w:t>9.11.2 基准地块图的整理</w:t>
      </w:r>
    </w:p>
    <w:p w14:paraId="229C79AD" w14:textId="77777777" w:rsidR="00495C65" w:rsidRDefault="00495C65" w:rsidP="00495C65">
      <w:pPr>
        <w:pStyle w:val="13"/>
      </w:pPr>
      <w:r>
        <w:rPr>
          <w:rFonts w:hint="eastAsia"/>
        </w:rPr>
        <w:t>基准地块图的整理要求如下：</w:t>
      </w:r>
    </w:p>
    <w:p w14:paraId="67F4AECC" w14:textId="77777777" w:rsidR="00495C65" w:rsidRDefault="00495C65" w:rsidP="00495C65">
      <w:pPr>
        <w:pStyle w:val="13"/>
      </w:pPr>
      <w:r>
        <w:t>a）基准地块图的整理要反映基准地块位置、土地用途、相应地价及道路等，基准地</w:t>
      </w:r>
      <w:r>
        <w:rPr>
          <w:rFonts w:hint="eastAsia"/>
        </w:rPr>
        <w:t>块图按土地用途分别绘制；</w:t>
      </w:r>
    </w:p>
    <w:p w14:paraId="30E2B6DB" w14:textId="77777777" w:rsidR="00495C65" w:rsidRDefault="00495C65" w:rsidP="00495C65">
      <w:pPr>
        <w:pStyle w:val="13"/>
      </w:pPr>
      <w:r>
        <w:t>b）基准地块图比例尺与基准地价图比例尺一致，并保留基准地价图的主要内容；</w:t>
      </w:r>
    </w:p>
    <w:p w14:paraId="048DB4DF" w14:textId="77777777" w:rsidR="00495C65" w:rsidRDefault="00495C65" w:rsidP="00495C65">
      <w:pPr>
        <w:pStyle w:val="13"/>
      </w:pPr>
      <w:r>
        <w:t>c）基准地块位置用直径2mm的点不依比例尺表示；</w:t>
      </w:r>
    </w:p>
    <w:p w14:paraId="4B608329" w14:textId="77777777" w:rsidR="00495C65" w:rsidRDefault="00495C65" w:rsidP="00495C65">
      <w:pPr>
        <w:pStyle w:val="13"/>
      </w:pPr>
      <w:r>
        <w:t>d）土地用途用正等线体汉字“谁、旱、菜”分别表示“水田、旱地、菜地”；</w:t>
      </w:r>
    </w:p>
    <w:p w14:paraId="5094A5EB" w14:textId="77777777" w:rsidR="00495C65" w:rsidRDefault="00495C65" w:rsidP="00495C65">
      <w:pPr>
        <w:pStyle w:val="13"/>
      </w:pPr>
      <w:r>
        <w:t>e）地价用阿拉伯数字表示。</w:t>
      </w:r>
    </w:p>
    <w:p w14:paraId="71AE0308" w14:textId="77777777" w:rsidR="00495C65" w:rsidRDefault="00495C65" w:rsidP="00495C65">
      <w:pPr>
        <w:pStyle w:val="13"/>
      </w:pPr>
      <w:r>
        <w:lastRenderedPageBreak/>
        <w:t>9.11.3 评估报告整理</w:t>
      </w:r>
    </w:p>
    <w:p w14:paraId="3BB741DE" w14:textId="77777777" w:rsidR="00495C65" w:rsidRDefault="00495C65" w:rsidP="00495C65">
      <w:pPr>
        <w:pStyle w:val="13"/>
      </w:pPr>
      <w:r>
        <w:rPr>
          <w:rFonts w:hint="eastAsia"/>
        </w:rPr>
        <w:t>主要内容有</w:t>
      </w:r>
    </w:p>
    <w:p w14:paraId="0066B426" w14:textId="77777777" w:rsidR="00495C65" w:rsidRDefault="00495C65" w:rsidP="00495C65">
      <w:pPr>
        <w:pStyle w:val="13"/>
      </w:pPr>
      <w:r>
        <w:t>a）工作情况，包括人员组成、日程安排、经费、资料、技术、工作经验与存在问题</w:t>
      </w:r>
      <w:r>
        <w:rPr>
          <w:rFonts w:hint="eastAsia"/>
        </w:rPr>
        <w:t>等；</w:t>
      </w:r>
    </w:p>
    <w:p w14:paraId="7F19C8C1" w14:textId="77777777" w:rsidR="00495C65" w:rsidRDefault="00495C65" w:rsidP="00495C65">
      <w:pPr>
        <w:pStyle w:val="13"/>
      </w:pPr>
      <w:r>
        <w:t>b）估价对象的自然、经济及社会概况；</w:t>
      </w:r>
    </w:p>
    <w:p w14:paraId="1B3781BD" w14:textId="77777777" w:rsidR="00495C65" w:rsidRDefault="00495C65" w:rsidP="00495C65">
      <w:pPr>
        <w:pStyle w:val="13"/>
      </w:pPr>
      <w:r>
        <w:t>c）阐述基准地价评估的方法与过程，包括估价原则、理论基础、资料收集、资料整</w:t>
      </w:r>
    </w:p>
    <w:p w14:paraId="3B78E7A2" w14:textId="77777777" w:rsidR="00495C65" w:rsidRDefault="00495C65" w:rsidP="00495C65">
      <w:pPr>
        <w:pStyle w:val="13"/>
      </w:pPr>
      <w:r>
        <w:rPr>
          <w:rFonts w:hint="eastAsia"/>
        </w:rPr>
        <w:t>理、测算方法与步骤、基准地价结果、成果检验、基准地价修正系数表的编制等；</w:t>
      </w:r>
    </w:p>
    <w:p w14:paraId="285AFFA1" w14:textId="77777777" w:rsidR="00495C65" w:rsidRDefault="00495C65" w:rsidP="00495C65">
      <w:pPr>
        <w:pStyle w:val="13"/>
      </w:pPr>
      <w:r>
        <w:t>d）各类分析报告，包括各级（均质地域）地价分布特点与规律，同一级别（均质地</w:t>
      </w:r>
      <w:r>
        <w:rPr>
          <w:rFonts w:hint="eastAsia"/>
        </w:rPr>
        <w:t>域）内各类基准地价差异和同类基准地价在不同级别或均质地域上的差异原因等。</w:t>
      </w:r>
    </w:p>
    <w:p w14:paraId="460D8BCB" w14:textId="77777777" w:rsidR="00495C65" w:rsidRDefault="00495C65" w:rsidP="00495C65">
      <w:pPr>
        <w:pStyle w:val="13"/>
      </w:pPr>
      <w:r>
        <w:t>e）成果应用方案与建议；</w:t>
      </w:r>
    </w:p>
    <w:p w14:paraId="10B8CF74" w14:textId="77777777" w:rsidR="00495C65" w:rsidRDefault="00495C65" w:rsidP="00495C65">
      <w:pPr>
        <w:pStyle w:val="13"/>
      </w:pPr>
      <w:r>
        <w:t>f）基准地价图、基准地价表、基准地价修正系数表。</w:t>
      </w:r>
    </w:p>
    <w:p w14:paraId="1CFB4D6A" w14:textId="77777777" w:rsidR="00495C65" w:rsidRDefault="00495C65" w:rsidP="00495C65">
      <w:pPr>
        <w:pStyle w:val="13"/>
      </w:pPr>
      <w:r>
        <w:t>g）用计算机系统评估基准地价时，</w:t>
      </w:r>
      <w:proofErr w:type="gramStart"/>
      <w:r>
        <w:t>个</w:t>
      </w:r>
      <w:proofErr w:type="gramEnd"/>
      <w:r>
        <w:t>步骤及测算过程、测算中间结果等内容需要写</w:t>
      </w:r>
      <w:r>
        <w:rPr>
          <w:rFonts w:hint="eastAsia"/>
        </w:rPr>
        <w:t>入评估报告。</w:t>
      </w:r>
    </w:p>
    <w:p w14:paraId="6FD59ECA" w14:textId="77777777" w:rsidR="00495C65" w:rsidRDefault="00495C65" w:rsidP="00495C65">
      <w:pPr>
        <w:pStyle w:val="ab"/>
        <w:spacing w:before="62" w:after="62"/>
        <w:ind w:firstLine="482"/>
      </w:pPr>
      <w:r>
        <w:t>9.12 农用地基准地价更新</w:t>
      </w:r>
    </w:p>
    <w:p w14:paraId="7139AFEE" w14:textId="77777777" w:rsidR="00495C65" w:rsidRDefault="00495C65" w:rsidP="00495C65">
      <w:pPr>
        <w:pStyle w:val="13"/>
      </w:pPr>
      <w:r>
        <w:t>9.12.1 基准地价更新</w:t>
      </w:r>
    </w:p>
    <w:p w14:paraId="4D1F23BD" w14:textId="77777777" w:rsidR="00495C65" w:rsidRDefault="00495C65" w:rsidP="00495C65">
      <w:pPr>
        <w:pStyle w:val="13"/>
      </w:pPr>
      <w:r>
        <w:rPr>
          <w:rFonts w:hint="eastAsia"/>
        </w:rPr>
        <w:t>当评估的农用地基准地价经过一段时间的使用，地价水平与实际市场状况有较大差别，或实际的农用地条件发生了较大变化等，为保证基准地价现势性，对以前基准地价的修正。更新周期根据农用地市场变化情况或影响农用地价格因素变化情况确定，一般为</w:t>
      </w:r>
      <w:r>
        <w:t>3年—6年。</w:t>
      </w:r>
    </w:p>
    <w:p w14:paraId="3EAAE140" w14:textId="77777777" w:rsidR="00495C65" w:rsidRDefault="00495C65" w:rsidP="00495C65">
      <w:pPr>
        <w:pStyle w:val="13"/>
      </w:pPr>
      <w:r>
        <w:t>9.12.2 技术路线</w:t>
      </w:r>
    </w:p>
    <w:p w14:paraId="3C903B0D" w14:textId="77777777" w:rsidR="00495C65" w:rsidRDefault="00495C65" w:rsidP="00495C65">
      <w:pPr>
        <w:pStyle w:val="13"/>
      </w:pPr>
      <w:r>
        <w:rPr>
          <w:rFonts w:hint="eastAsia"/>
        </w:rPr>
        <w:t>农用地基准地价更新的技术路线有以下三条</w:t>
      </w:r>
    </w:p>
    <w:p w14:paraId="043643A8" w14:textId="77777777" w:rsidR="00495C65" w:rsidRDefault="00495C65" w:rsidP="00495C65">
      <w:pPr>
        <w:pStyle w:val="13"/>
      </w:pPr>
      <w:r>
        <w:t>a）以农用地定级为基础，采用投入产出资料和市场交易地价资料，用样点地价平均</w:t>
      </w:r>
      <w:r>
        <w:rPr>
          <w:rFonts w:hint="eastAsia"/>
        </w:rPr>
        <w:t>法更新基准地价；</w:t>
      </w:r>
    </w:p>
    <w:p w14:paraId="30CE4705" w14:textId="77777777" w:rsidR="00495C65" w:rsidRDefault="00495C65" w:rsidP="00495C65">
      <w:pPr>
        <w:pStyle w:val="13"/>
      </w:pPr>
      <w:r>
        <w:t>b）以农用地定级为基础，调整定级指数与地价关系模型，利用调整后的模型更新基</w:t>
      </w:r>
      <w:r>
        <w:rPr>
          <w:rFonts w:hint="eastAsia"/>
        </w:rPr>
        <w:t>准地价；</w:t>
      </w:r>
    </w:p>
    <w:p w14:paraId="74874D20" w14:textId="77777777" w:rsidR="00495C65" w:rsidRDefault="00495C65" w:rsidP="00495C65">
      <w:pPr>
        <w:pStyle w:val="13"/>
      </w:pPr>
      <w:r>
        <w:t>c）利用设定的基准地块资料，更新基准地价。</w:t>
      </w:r>
    </w:p>
    <w:p w14:paraId="05A6BB51" w14:textId="77777777" w:rsidR="00495C65" w:rsidRDefault="00495C65" w:rsidP="00495C65">
      <w:pPr>
        <w:pStyle w:val="13"/>
      </w:pPr>
      <w:r>
        <w:rPr>
          <w:rFonts w:hint="eastAsia"/>
        </w:rPr>
        <w:t>农用地基准地价更新的技术路线和方法与基准地价评估的技术路线和方法是相似的，在基准地价更新过程中一般采用与基准地价评估相一致的技术路线，以减少更新工作量。</w:t>
      </w:r>
    </w:p>
    <w:p w14:paraId="686CBB1C" w14:textId="77777777" w:rsidR="00495C65" w:rsidRDefault="00495C65" w:rsidP="00495C65">
      <w:pPr>
        <w:pStyle w:val="13"/>
      </w:pPr>
      <w:r>
        <w:t>9.12.3 样点地价平均法更新基准地价</w:t>
      </w:r>
    </w:p>
    <w:p w14:paraId="2E531337" w14:textId="77777777" w:rsidR="00495C65" w:rsidRDefault="00495C65" w:rsidP="00495C65">
      <w:pPr>
        <w:pStyle w:val="13"/>
      </w:pPr>
      <w:r>
        <w:rPr>
          <w:rFonts w:hint="eastAsia"/>
        </w:rPr>
        <w:t>判断原级别范围的准确性，农用</w:t>
      </w:r>
      <w:proofErr w:type="gramStart"/>
      <w:r>
        <w:rPr>
          <w:rFonts w:hint="eastAsia"/>
        </w:rPr>
        <w:t>地质量</w:t>
      </w:r>
      <w:proofErr w:type="gramEnd"/>
      <w:r>
        <w:rPr>
          <w:rFonts w:hint="eastAsia"/>
        </w:rPr>
        <w:t>发生了变化，全部更新或局部调整原级别范围。调查农用地投入产出资料和市场交易资料，并运用相应的方法计算样点地价，</w:t>
      </w:r>
      <w:r>
        <w:rPr>
          <w:rFonts w:hint="eastAsia"/>
        </w:rPr>
        <w:lastRenderedPageBreak/>
        <w:t>根据样点地价更新基准地价。</w:t>
      </w:r>
    </w:p>
    <w:p w14:paraId="4414E9FD" w14:textId="77777777" w:rsidR="00495C65" w:rsidRDefault="00495C65" w:rsidP="00495C65">
      <w:pPr>
        <w:pStyle w:val="13"/>
      </w:pPr>
      <w:r>
        <w:t>9.12.4 利用定级指数模型更新基准地价</w:t>
      </w:r>
    </w:p>
    <w:p w14:paraId="716173E9" w14:textId="77777777" w:rsidR="00495C65" w:rsidRDefault="00495C65" w:rsidP="00495C65">
      <w:pPr>
        <w:pStyle w:val="13"/>
      </w:pPr>
      <w:r>
        <w:rPr>
          <w:rFonts w:hint="eastAsia"/>
        </w:rPr>
        <w:t>判断原级别范围的准确性，农用</w:t>
      </w:r>
      <w:proofErr w:type="gramStart"/>
      <w:r>
        <w:rPr>
          <w:rFonts w:hint="eastAsia"/>
        </w:rPr>
        <w:t>地质量</w:t>
      </w:r>
      <w:proofErr w:type="gramEnd"/>
      <w:r>
        <w:rPr>
          <w:rFonts w:hint="eastAsia"/>
        </w:rPr>
        <w:t>发生了变化，全部更新或局部调整原级别范围。调查地价样点资料，调整定级指数模型。利用调整后的定级指数模型更新基准地价。</w:t>
      </w:r>
    </w:p>
    <w:p w14:paraId="42A8AC27" w14:textId="77777777" w:rsidR="00495C65" w:rsidRDefault="00495C65" w:rsidP="00495C65">
      <w:pPr>
        <w:pStyle w:val="13"/>
      </w:pPr>
      <w:r>
        <w:t>9.12.5 利用基准地块更新基准地价</w:t>
      </w:r>
    </w:p>
    <w:p w14:paraId="5BE12D68" w14:textId="77777777" w:rsidR="00495C65" w:rsidRDefault="00495C65" w:rsidP="00495C65">
      <w:pPr>
        <w:pStyle w:val="13"/>
      </w:pPr>
      <w:r>
        <w:rPr>
          <w:rFonts w:hint="eastAsia"/>
        </w:rPr>
        <w:t>判断原均质地域的准确性，农用</w:t>
      </w:r>
      <w:proofErr w:type="gramStart"/>
      <w:r>
        <w:rPr>
          <w:rFonts w:hint="eastAsia"/>
        </w:rPr>
        <w:t>地质量</w:t>
      </w:r>
      <w:proofErr w:type="gramEnd"/>
      <w:r>
        <w:rPr>
          <w:rFonts w:hint="eastAsia"/>
        </w:rPr>
        <w:t>发生了变化，全部更新或局部调整均质地域。考察原基准地价的可靠性，使原基准地块失去一般性，则需更换基准地块。利用市场交易地价资料重新评估基准地块地价。根据重新评估的基准地块地价更新均质地域基准地价。</w:t>
      </w:r>
    </w:p>
    <w:p w14:paraId="6897D56E" w14:textId="77777777" w:rsidR="00495C65" w:rsidRDefault="00495C65" w:rsidP="00495C65">
      <w:pPr>
        <w:pStyle w:val="ab"/>
        <w:spacing w:before="62" w:after="62"/>
        <w:ind w:firstLine="482"/>
      </w:pPr>
      <w:r>
        <w:t>9.13 成果验收</w:t>
      </w:r>
    </w:p>
    <w:p w14:paraId="23E3D752" w14:textId="77777777" w:rsidR="00495C65" w:rsidRDefault="00495C65" w:rsidP="00495C65">
      <w:pPr>
        <w:pStyle w:val="13"/>
      </w:pPr>
      <w:r>
        <w:t>9.13.1 工作检查</w:t>
      </w:r>
    </w:p>
    <w:p w14:paraId="76C83004" w14:textId="77777777" w:rsidR="00495C65" w:rsidRDefault="00495C65" w:rsidP="00495C65">
      <w:pPr>
        <w:pStyle w:val="13"/>
      </w:pPr>
      <w:r>
        <w:rPr>
          <w:rFonts w:hint="eastAsia"/>
        </w:rPr>
        <w:t>为保证农用地基准地价评估工作质量，国家、省级主管部门要组织专门人员在农用地基准地价评估工作开展期间进行检查。检查的主要内容包括：</w:t>
      </w:r>
    </w:p>
    <w:p w14:paraId="78E6F160" w14:textId="77777777" w:rsidR="00495C65" w:rsidRDefault="00495C65" w:rsidP="00495C65">
      <w:pPr>
        <w:pStyle w:val="13"/>
      </w:pPr>
      <w:r>
        <w:t>a）是否按照经批准的农用地基准地价评估任务书的要求开展工作；</w:t>
      </w:r>
    </w:p>
    <w:p w14:paraId="4EC6EDAE" w14:textId="77777777" w:rsidR="00495C65" w:rsidRDefault="00495C65" w:rsidP="00495C65">
      <w:pPr>
        <w:pStyle w:val="13"/>
      </w:pPr>
      <w:r>
        <w:t>b）所确定的技术路线是否符合本地实际或切实可行；</w:t>
      </w:r>
    </w:p>
    <w:p w14:paraId="40990527" w14:textId="77777777" w:rsidR="00495C65" w:rsidRDefault="00495C65" w:rsidP="00495C65">
      <w:pPr>
        <w:pStyle w:val="13"/>
      </w:pPr>
      <w:r>
        <w:t>c）资料调查工作是否符合所确定的技术路线的要求，各种资料是否属实；</w:t>
      </w:r>
    </w:p>
    <w:p w14:paraId="496773F2" w14:textId="77777777" w:rsidR="00495C65" w:rsidRDefault="00495C65" w:rsidP="00495C65">
      <w:pPr>
        <w:pStyle w:val="13"/>
      </w:pPr>
      <w:r>
        <w:t>d）数据整理和计算是否正确；</w:t>
      </w:r>
    </w:p>
    <w:p w14:paraId="20D7EF65" w14:textId="77777777" w:rsidR="00495C65" w:rsidRDefault="00495C65" w:rsidP="00495C65">
      <w:pPr>
        <w:pStyle w:val="13"/>
      </w:pPr>
      <w:r>
        <w:t>e）所采用的基础图件是否符合要求或适用；</w:t>
      </w:r>
    </w:p>
    <w:p w14:paraId="1707BF6C" w14:textId="77777777" w:rsidR="00495C65" w:rsidRDefault="00495C65" w:rsidP="00495C65">
      <w:pPr>
        <w:pStyle w:val="13"/>
      </w:pPr>
      <w:r>
        <w:t>f）其他需要检查的问题。</w:t>
      </w:r>
    </w:p>
    <w:p w14:paraId="1F4761E3" w14:textId="77777777" w:rsidR="00495C65" w:rsidRDefault="00495C65" w:rsidP="00495C65">
      <w:pPr>
        <w:pStyle w:val="13"/>
      </w:pPr>
      <w:r>
        <w:t>9.13.2 验收</w:t>
      </w:r>
    </w:p>
    <w:p w14:paraId="1082F82A" w14:textId="77777777" w:rsidR="00495C65" w:rsidRDefault="00495C65" w:rsidP="00495C65">
      <w:pPr>
        <w:pStyle w:val="13"/>
      </w:pPr>
      <w:r>
        <w:rPr>
          <w:rFonts w:hint="eastAsia"/>
        </w:rPr>
        <w:t>为保证农用地基准地价评估成果的质量，基准地价评估或更新完成后，</w:t>
      </w:r>
      <w:proofErr w:type="gramStart"/>
      <w:r>
        <w:rPr>
          <w:rFonts w:hint="eastAsia"/>
        </w:rPr>
        <w:t>安各级</w:t>
      </w:r>
      <w:proofErr w:type="gramEnd"/>
      <w:r>
        <w:rPr>
          <w:rFonts w:hint="eastAsia"/>
        </w:rPr>
        <w:t>主管部门的权限划分，组织对基准地价评估成果进行验收。</w:t>
      </w:r>
    </w:p>
    <w:p w14:paraId="0B772DAA" w14:textId="77777777" w:rsidR="00495C65" w:rsidRDefault="00495C65" w:rsidP="00495C65">
      <w:pPr>
        <w:pStyle w:val="13"/>
      </w:pPr>
      <w:r>
        <w:t>9.13.3 验收内容和标准</w:t>
      </w:r>
    </w:p>
    <w:p w14:paraId="761F9464" w14:textId="77777777" w:rsidR="00495C65" w:rsidRDefault="00495C65" w:rsidP="00495C65">
      <w:pPr>
        <w:pStyle w:val="13"/>
      </w:pPr>
      <w:r>
        <w:rPr>
          <w:rFonts w:hint="eastAsia"/>
        </w:rPr>
        <w:t>验收以本标准各项规定为准。验收内容及标准：</w:t>
      </w:r>
    </w:p>
    <w:p w14:paraId="348CC507" w14:textId="77777777" w:rsidR="00495C65" w:rsidRDefault="00495C65" w:rsidP="00495C65">
      <w:pPr>
        <w:pStyle w:val="13"/>
      </w:pPr>
      <w:r>
        <w:t>a）基准地价评估或更新工作程序和工作方法是否科学、合理；</w:t>
      </w:r>
    </w:p>
    <w:p w14:paraId="176F6B65" w14:textId="77777777" w:rsidR="00495C65" w:rsidRDefault="00495C65" w:rsidP="00495C65">
      <w:pPr>
        <w:pStyle w:val="13"/>
      </w:pPr>
      <w:r>
        <w:t>b）进行基础图件、准备工作、资料收集、分析、整理和地价计算检查。</w:t>
      </w:r>
    </w:p>
    <w:p w14:paraId="2877D0F8" w14:textId="77777777" w:rsidR="00495C65" w:rsidRDefault="00495C65" w:rsidP="00495C65">
      <w:pPr>
        <w:pStyle w:val="13"/>
      </w:pPr>
      <w:r>
        <w:t>c）基准地价评定检查。检查评估或更新程序、方法是否正确，基准地价评估或更新</w:t>
      </w:r>
      <w:r>
        <w:rPr>
          <w:rFonts w:hint="eastAsia"/>
        </w:rPr>
        <w:t>成果是否合理；</w:t>
      </w:r>
    </w:p>
    <w:p w14:paraId="17987451" w14:textId="77777777" w:rsidR="00495C65" w:rsidRDefault="00495C65" w:rsidP="00495C65">
      <w:pPr>
        <w:pStyle w:val="13"/>
      </w:pPr>
      <w:r>
        <w:t>d）基准地价系数修正表是否正确，是否符合当地实际情况。</w:t>
      </w:r>
    </w:p>
    <w:p w14:paraId="4EB30012" w14:textId="77777777" w:rsidR="00495C65" w:rsidRDefault="00495C65" w:rsidP="00495C65">
      <w:pPr>
        <w:pStyle w:val="13"/>
      </w:pPr>
      <w:r>
        <w:t>e）编图检查。检查基准地价图编制方法及图示、符号、注记、图例是否正确，与基</w:t>
      </w:r>
      <w:r>
        <w:rPr>
          <w:rFonts w:hint="eastAsia"/>
        </w:rPr>
        <w:t>准地价表是否一致等。</w:t>
      </w:r>
    </w:p>
    <w:p w14:paraId="441698AB" w14:textId="77777777" w:rsidR="00495C65" w:rsidRDefault="00495C65" w:rsidP="00495C65">
      <w:pPr>
        <w:pStyle w:val="13"/>
      </w:pPr>
      <w:r>
        <w:t>f）基准地价评估报告检查。基准地价评估报告是否全面、论述是否清楚、对工作中</w:t>
      </w:r>
      <w:r>
        <w:rPr>
          <w:rFonts w:hint="eastAsia"/>
        </w:rPr>
        <w:t>的技术问题处理是否得当、对成果应用的论述是否合理等。</w:t>
      </w:r>
    </w:p>
    <w:p w14:paraId="31EBA1B4" w14:textId="77777777" w:rsidR="00495C65" w:rsidRDefault="00495C65" w:rsidP="00495C65">
      <w:pPr>
        <w:pStyle w:val="13"/>
      </w:pPr>
      <w:r>
        <w:lastRenderedPageBreak/>
        <w:t>g）验收部门根据需要增加的其他检查项目。</w:t>
      </w:r>
    </w:p>
    <w:p w14:paraId="37A7381B" w14:textId="77777777" w:rsidR="00495C65" w:rsidRDefault="00495C65" w:rsidP="00495C65">
      <w:pPr>
        <w:pStyle w:val="13"/>
      </w:pPr>
      <w:r>
        <w:t>9.13.4 撰写验收报告</w:t>
      </w:r>
    </w:p>
    <w:p w14:paraId="252022C0" w14:textId="77777777" w:rsidR="00495C65" w:rsidRDefault="00495C65" w:rsidP="00495C65">
      <w:pPr>
        <w:pStyle w:val="13"/>
      </w:pPr>
      <w:r>
        <w:rPr>
          <w:rFonts w:hint="eastAsia"/>
        </w:rPr>
        <w:t>验收后，由验收组写出验收报告和结论，主要内容包括：</w:t>
      </w:r>
    </w:p>
    <w:p w14:paraId="5CE1E967" w14:textId="77777777" w:rsidR="00495C65" w:rsidRDefault="00495C65" w:rsidP="00495C65">
      <w:pPr>
        <w:pStyle w:val="13"/>
      </w:pPr>
      <w:r>
        <w:t>a）验收组织单位、验收时间、参加验收人员的验收方法；</w:t>
      </w:r>
    </w:p>
    <w:p w14:paraId="61C40376" w14:textId="77777777" w:rsidR="00495C65" w:rsidRDefault="00495C65" w:rsidP="00495C65">
      <w:pPr>
        <w:pStyle w:val="13"/>
      </w:pPr>
      <w:r>
        <w:t>b）各分项验收结果及成果的综合评价；</w:t>
      </w:r>
    </w:p>
    <w:p w14:paraId="37C5A70D" w14:textId="77777777" w:rsidR="00495C65" w:rsidRDefault="00495C65" w:rsidP="00495C65">
      <w:pPr>
        <w:pStyle w:val="13"/>
      </w:pPr>
      <w:r>
        <w:t>c）不合格部分的问题类型，性质及修改意见；</w:t>
      </w:r>
    </w:p>
    <w:p w14:paraId="34A667C1" w14:textId="77777777" w:rsidR="00495C65" w:rsidRDefault="00495C65" w:rsidP="00495C65">
      <w:pPr>
        <w:pStyle w:val="13"/>
      </w:pPr>
      <w:r>
        <w:t>d）对成果应用意见及建议。</w:t>
      </w:r>
    </w:p>
    <w:p w14:paraId="6EE71C45" w14:textId="77777777" w:rsidR="00495C65" w:rsidRDefault="00495C65" w:rsidP="00495C65">
      <w:pPr>
        <w:pStyle w:val="13"/>
      </w:pPr>
      <w:r>
        <w:rPr>
          <w:rFonts w:hint="eastAsia"/>
        </w:rPr>
        <w:t>对不合格的成果，验收组要提出具体的修改意见，待有关负责单位重新修正后，再次进行验收。</w:t>
      </w:r>
    </w:p>
    <w:p w14:paraId="33347602" w14:textId="77777777" w:rsidR="00495C65" w:rsidRDefault="00495C65" w:rsidP="00495C65">
      <w:pPr>
        <w:pStyle w:val="13"/>
      </w:pPr>
      <w:r>
        <w:t>9.13.5 成果批准</w:t>
      </w:r>
    </w:p>
    <w:p w14:paraId="7E9FF6C6" w14:textId="77777777" w:rsidR="00495C65" w:rsidRDefault="00495C65" w:rsidP="00495C65">
      <w:pPr>
        <w:pStyle w:val="13"/>
      </w:pPr>
      <w:r>
        <w:rPr>
          <w:rFonts w:hint="eastAsia"/>
        </w:rPr>
        <w:t>成果经验收合格后，按程序报当地市、县人民政府批准公布实施。</w:t>
      </w:r>
    </w:p>
    <w:p w14:paraId="59CB1824" w14:textId="77777777" w:rsidR="00495C65" w:rsidRDefault="00495C65" w:rsidP="00495C65">
      <w:pPr>
        <w:pStyle w:val="21"/>
        <w:spacing w:before="156" w:after="93"/>
      </w:pPr>
      <w:bookmarkStart w:id="198" w:name="_Toc81833431"/>
      <w:r w:rsidRPr="002A0F40">
        <w:rPr>
          <w:rFonts w:hint="eastAsia"/>
        </w:rPr>
        <w:t>其他规范</w:t>
      </w:r>
      <w:bookmarkEnd w:id="198"/>
    </w:p>
    <w:p w14:paraId="5F6A13FD" w14:textId="77777777" w:rsidR="00495C65" w:rsidRDefault="00495C65" w:rsidP="00495C65">
      <w:pPr>
        <w:pStyle w:val="31"/>
        <w:spacing w:before="156" w:after="62"/>
      </w:pPr>
      <w:bookmarkStart w:id="199" w:name="_Toc81833432"/>
      <w:r w:rsidRPr="00E01D3E">
        <w:rPr>
          <w:rFonts w:hint="eastAsia"/>
        </w:rPr>
        <w:t>国有建设用地使用权出让地价评估技术规范</w:t>
      </w:r>
      <w:r w:rsidRPr="00E01D3E">
        <w:t>（</w:t>
      </w:r>
      <w:proofErr w:type="gramStart"/>
      <w:r w:rsidRPr="00E01D3E">
        <w:t>国土资厅发</w:t>
      </w:r>
      <w:proofErr w:type="gramEnd"/>
      <w:r w:rsidRPr="00E01D3E">
        <w:t>〔2018〕4号）</w:t>
      </w:r>
      <w:bookmarkEnd w:id="199"/>
    </w:p>
    <w:p w14:paraId="6E6067F6" w14:textId="77777777" w:rsidR="00495C65" w:rsidRDefault="00495C65" w:rsidP="00495C65">
      <w:pPr>
        <w:pStyle w:val="13"/>
        <w:ind w:firstLineChars="0" w:firstLine="0"/>
      </w:pPr>
      <w:r>
        <w:rPr>
          <w:rFonts w:hint="eastAsia"/>
        </w:rPr>
        <w:t>自治区、直辖市国土资源主管部门，新疆生产建设兵团国土资源局，中央军委后勤保障部军事设施建设局：</w:t>
      </w:r>
    </w:p>
    <w:p w14:paraId="038134DE" w14:textId="77777777" w:rsidR="00495C65" w:rsidRDefault="00495C65" w:rsidP="00495C65">
      <w:pPr>
        <w:pStyle w:val="13"/>
      </w:pPr>
      <w:r>
        <w:rPr>
          <w:rFonts w:hint="eastAsia"/>
        </w:rPr>
        <w:t>为规范国有建设用地使用权出让地价评估行为，部制定了《国有建设用地使用权出让地价评估技术规范》（以下简称“《规范》”），现予印发。请转发至辖区内各级国土资源主管部门、相关行业协会和土地估价机构，结合本地实际遵照执行。</w:t>
      </w:r>
    </w:p>
    <w:p w14:paraId="0ED5DCBA" w14:textId="77777777" w:rsidR="00495C65" w:rsidRDefault="00495C65" w:rsidP="00495C65">
      <w:pPr>
        <w:pStyle w:val="13"/>
      </w:pPr>
      <w:r>
        <w:rPr>
          <w:rFonts w:hint="eastAsia"/>
        </w:rPr>
        <w:t>本《规范》自</w:t>
      </w:r>
      <w:r>
        <w:t>2018年4月9日起施行，《国土资源部办公厅关于发布〈国有建设用地使用权出让地价评估技术规范（试行）〉的通知》（</w:t>
      </w:r>
      <w:proofErr w:type="gramStart"/>
      <w:r>
        <w:t>国土资厅发</w:t>
      </w:r>
      <w:proofErr w:type="gramEnd"/>
      <w:r>
        <w:t>〔2013〕20号）同时停止执行。各地自行出台的出让地价评估政策与本《规范》不一致的，以本《规范》为准。2018年4月9日前受理，至4月9日仍未出具土地估价报告的，可按本《规范》执行。</w:t>
      </w:r>
    </w:p>
    <w:p w14:paraId="535C8760" w14:textId="06CB27E8" w:rsidR="00E52243" w:rsidRDefault="00E52243" w:rsidP="00495C65">
      <w:pPr>
        <w:pStyle w:val="13"/>
        <w:jc w:val="right"/>
      </w:pPr>
      <w:r w:rsidRPr="00E52243">
        <w:rPr>
          <w:rFonts w:hint="eastAsia"/>
        </w:rPr>
        <w:t>国土资源部办公厅</w:t>
      </w:r>
    </w:p>
    <w:p w14:paraId="3D818843" w14:textId="597E0A43" w:rsidR="00495C65" w:rsidRDefault="00495C65" w:rsidP="00495C65">
      <w:pPr>
        <w:pStyle w:val="13"/>
        <w:jc w:val="right"/>
      </w:pPr>
      <w:r>
        <w:t>2018年3月9日</w:t>
      </w:r>
    </w:p>
    <w:p w14:paraId="3D1609D9" w14:textId="77777777" w:rsidR="00495C65" w:rsidRDefault="00495C65" w:rsidP="00AF7342">
      <w:pPr>
        <w:pStyle w:val="a9"/>
        <w:spacing w:before="62" w:after="62"/>
      </w:pPr>
      <w:r>
        <w:rPr>
          <w:rFonts w:hint="eastAsia"/>
        </w:rPr>
        <w:t>国有建设用地使用权出让地价评估技术规范</w:t>
      </w:r>
    </w:p>
    <w:p w14:paraId="11849FC7" w14:textId="77777777" w:rsidR="00495C65" w:rsidRDefault="00495C65" w:rsidP="00AF7342">
      <w:pPr>
        <w:pStyle w:val="a9"/>
        <w:spacing w:before="62" w:after="62"/>
      </w:pPr>
      <w:r>
        <w:rPr>
          <w:rFonts w:hint="eastAsia"/>
        </w:rPr>
        <w:t>前言</w:t>
      </w:r>
    </w:p>
    <w:p w14:paraId="27F255E2" w14:textId="77777777" w:rsidR="00495C65" w:rsidRDefault="00495C65" w:rsidP="00495C65">
      <w:pPr>
        <w:pStyle w:val="13"/>
      </w:pPr>
      <w:r>
        <w:rPr>
          <w:rFonts w:hint="eastAsia"/>
        </w:rPr>
        <w:t>为规范国有建设用地使用权出让地价评估行为，根据《中华人民共和国物权法》、《中华人民共和国土地管理法》、《中华人民共和国城市房地产管理法》、《中华人民共和国资产评估法》、《招标拍卖挂牌出让国有建设用地使用权规定》、《协议出让国有土地使用权规定》等相关规定和土地估价国家标准、行业标准，制定本规范。</w:t>
      </w:r>
    </w:p>
    <w:p w14:paraId="16D5889C" w14:textId="77777777" w:rsidR="00495C65" w:rsidRDefault="00495C65" w:rsidP="00495C65">
      <w:pPr>
        <w:pStyle w:val="13"/>
      </w:pPr>
      <w:r>
        <w:rPr>
          <w:rFonts w:hint="eastAsia"/>
        </w:rPr>
        <w:t>本规范由国土资源部提出并归口。</w:t>
      </w:r>
    </w:p>
    <w:p w14:paraId="18E6836B" w14:textId="77777777" w:rsidR="00495C65" w:rsidRDefault="00495C65" w:rsidP="00495C65">
      <w:pPr>
        <w:pStyle w:val="13"/>
      </w:pPr>
      <w:r>
        <w:rPr>
          <w:rFonts w:hint="eastAsia"/>
        </w:rPr>
        <w:lastRenderedPageBreak/>
        <w:t>本规范起草单位：国土资源部土地利用管理司、中国土地估价师与土地登记代理人协会。</w:t>
      </w:r>
    </w:p>
    <w:p w14:paraId="5E4C62EE" w14:textId="77777777" w:rsidR="00495C65" w:rsidRDefault="00495C65" w:rsidP="00495C65">
      <w:pPr>
        <w:pStyle w:val="13"/>
      </w:pPr>
      <w:r>
        <w:rPr>
          <w:rFonts w:hint="eastAsia"/>
        </w:rPr>
        <w:t>本规范由国土资源部负责解释。</w:t>
      </w:r>
    </w:p>
    <w:p w14:paraId="337C341B" w14:textId="77777777" w:rsidR="00495C65" w:rsidRDefault="00495C65" w:rsidP="00AF7342">
      <w:pPr>
        <w:pStyle w:val="a9"/>
        <w:spacing w:before="62" w:after="62"/>
      </w:pPr>
      <w:r>
        <w:t>1 适用范围</w:t>
      </w:r>
    </w:p>
    <w:p w14:paraId="3EE7BC03" w14:textId="77777777" w:rsidR="00495C65" w:rsidRDefault="00495C65" w:rsidP="00495C65">
      <w:pPr>
        <w:pStyle w:val="13"/>
      </w:pPr>
      <w:r>
        <w:rPr>
          <w:rFonts w:hint="eastAsia"/>
        </w:rPr>
        <w:t>在中华人民共和国境内出让国有建设用地使用权涉及的地价评估，以及因调整土地使用条件、发生土地增值等情况需补缴地价款的评估，适用本规范；国有建设用地使用权租赁、集体建设用地使用权依法入市、国有农用地使用权出让等涉及的地价评估，可参照本规范执行。</w:t>
      </w:r>
    </w:p>
    <w:p w14:paraId="5B248E83" w14:textId="77777777" w:rsidR="00495C65" w:rsidRDefault="00495C65" w:rsidP="00AF7342">
      <w:pPr>
        <w:pStyle w:val="a9"/>
        <w:spacing w:before="62" w:after="62"/>
      </w:pPr>
      <w:r>
        <w:t>2 引用的标准</w:t>
      </w:r>
    </w:p>
    <w:p w14:paraId="247C261C" w14:textId="77777777" w:rsidR="00495C65" w:rsidRDefault="00495C65" w:rsidP="00495C65">
      <w:pPr>
        <w:pStyle w:val="13"/>
      </w:pPr>
      <w:r>
        <w:rPr>
          <w:rFonts w:hint="eastAsia"/>
        </w:rPr>
        <w:t>下列标准所包含的条文，通过在本规范中引用而构成本规范的条文。本规范颁布时，所示版本均为有效。使用本规范的各方应使用下列各标准的最新版本。</w:t>
      </w:r>
    </w:p>
    <w:p w14:paraId="49CED6F0" w14:textId="77777777" w:rsidR="00495C65" w:rsidRDefault="00495C65" w:rsidP="00495C65">
      <w:pPr>
        <w:pStyle w:val="13"/>
      </w:pPr>
      <w:r>
        <w:t>GB/T 18508-2014 《城镇土地估价规程》</w:t>
      </w:r>
    </w:p>
    <w:p w14:paraId="1F189C11" w14:textId="77777777" w:rsidR="00495C65" w:rsidRDefault="00495C65" w:rsidP="00495C65">
      <w:pPr>
        <w:pStyle w:val="13"/>
      </w:pPr>
      <w:r>
        <w:t>GB/T 18507-2014 《城镇土地分等定级规程》</w:t>
      </w:r>
    </w:p>
    <w:p w14:paraId="0E27FAB7" w14:textId="77777777" w:rsidR="00495C65" w:rsidRDefault="00495C65" w:rsidP="00495C65">
      <w:pPr>
        <w:pStyle w:val="13"/>
      </w:pPr>
      <w:r>
        <w:t>GB/T 21010-2017 《土地利用现状分类》</w:t>
      </w:r>
    </w:p>
    <w:p w14:paraId="2EC9FD59" w14:textId="77777777" w:rsidR="00495C65" w:rsidRDefault="00495C65" w:rsidP="00495C65">
      <w:pPr>
        <w:pStyle w:val="13"/>
      </w:pPr>
      <w:r>
        <w:t>GB/T 28406-2012 《农用地估价规程》</w:t>
      </w:r>
    </w:p>
    <w:p w14:paraId="16090205" w14:textId="77777777" w:rsidR="00495C65" w:rsidRDefault="00495C65" w:rsidP="00495C65">
      <w:pPr>
        <w:pStyle w:val="13"/>
      </w:pPr>
      <w:r>
        <w:t>TD/T 1052-2017 《标定地价规程》</w:t>
      </w:r>
    </w:p>
    <w:p w14:paraId="729F469D" w14:textId="77777777" w:rsidR="00495C65" w:rsidRDefault="00495C65" w:rsidP="00495C65">
      <w:pPr>
        <w:pStyle w:val="13"/>
      </w:pPr>
      <w:r>
        <w:t>TD/T 1009-2007 《城市地价动态监测技术规范》</w:t>
      </w:r>
    </w:p>
    <w:p w14:paraId="6364FC34" w14:textId="77777777" w:rsidR="00495C65" w:rsidRDefault="00495C65" w:rsidP="00AF7342">
      <w:pPr>
        <w:pStyle w:val="a9"/>
        <w:spacing w:before="62" w:after="62"/>
      </w:pPr>
      <w:r>
        <w:t>3 依据</w:t>
      </w:r>
    </w:p>
    <w:p w14:paraId="342C4ACE" w14:textId="77777777" w:rsidR="00495C65" w:rsidRDefault="00495C65" w:rsidP="00495C65">
      <w:pPr>
        <w:pStyle w:val="13"/>
      </w:pPr>
      <w:r>
        <w:rPr>
          <w:rFonts w:hint="eastAsia"/>
        </w:rPr>
        <w:t>（</w:t>
      </w:r>
      <w:r>
        <w:t>1）《中华人民共和国物权法》</w:t>
      </w:r>
    </w:p>
    <w:p w14:paraId="223E9A9A" w14:textId="77777777" w:rsidR="00495C65" w:rsidRDefault="00495C65" w:rsidP="00495C65">
      <w:pPr>
        <w:pStyle w:val="13"/>
      </w:pPr>
      <w:r>
        <w:rPr>
          <w:rFonts w:hint="eastAsia"/>
        </w:rPr>
        <w:t>（</w:t>
      </w:r>
      <w:r>
        <w:t>2）《中华人民共和国土地管理法》</w:t>
      </w:r>
    </w:p>
    <w:p w14:paraId="56BDD0A6" w14:textId="77777777" w:rsidR="00495C65" w:rsidRDefault="00495C65" w:rsidP="00495C65">
      <w:pPr>
        <w:pStyle w:val="13"/>
      </w:pPr>
      <w:r>
        <w:rPr>
          <w:rFonts w:hint="eastAsia"/>
        </w:rPr>
        <w:t>（</w:t>
      </w:r>
      <w:r>
        <w:t>3）《中华人民共和国城市房地产管理法》</w:t>
      </w:r>
    </w:p>
    <w:p w14:paraId="4AFA4DD1" w14:textId="77777777" w:rsidR="00495C65" w:rsidRDefault="00495C65" w:rsidP="00495C65">
      <w:pPr>
        <w:pStyle w:val="13"/>
      </w:pPr>
      <w:r>
        <w:rPr>
          <w:rFonts w:hint="eastAsia"/>
        </w:rPr>
        <w:t>（</w:t>
      </w:r>
      <w:r>
        <w:t>4）《中华人民共和国资产评估法》</w:t>
      </w:r>
    </w:p>
    <w:p w14:paraId="7F8818C6" w14:textId="77777777" w:rsidR="00495C65" w:rsidRDefault="00495C65" w:rsidP="00495C65">
      <w:pPr>
        <w:pStyle w:val="13"/>
      </w:pPr>
      <w:r>
        <w:rPr>
          <w:rFonts w:hint="eastAsia"/>
        </w:rPr>
        <w:t>（</w:t>
      </w:r>
      <w:r>
        <w:t>5）《中华人民共和国城镇国有土地使用权出让和转让暂行条例》（国务院令第55</w:t>
      </w:r>
      <w:r>
        <w:rPr>
          <w:rFonts w:hint="eastAsia"/>
        </w:rPr>
        <w:t>号）</w:t>
      </w:r>
    </w:p>
    <w:p w14:paraId="232B5992" w14:textId="77777777" w:rsidR="00495C65" w:rsidRDefault="00495C65" w:rsidP="00495C65">
      <w:pPr>
        <w:pStyle w:val="13"/>
      </w:pPr>
      <w:r>
        <w:rPr>
          <w:rFonts w:hint="eastAsia"/>
        </w:rPr>
        <w:t>（</w:t>
      </w:r>
      <w:r>
        <w:t>6）《招标拍卖挂牌出让国有建设用地使用权规定》（国土资源部令第39号）</w:t>
      </w:r>
    </w:p>
    <w:p w14:paraId="5117F068" w14:textId="77777777" w:rsidR="00495C65" w:rsidRDefault="00495C65" w:rsidP="00495C65">
      <w:pPr>
        <w:pStyle w:val="13"/>
      </w:pPr>
      <w:r>
        <w:rPr>
          <w:rFonts w:hint="eastAsia"/>
        </w:rPr>
        <w:t>（</w:t>
      </w:r>
      <w:r>
        <w:t>7）《协议出让国有土地使用权规定》（国土资源部令第21号）</w:t>
      </w:r>
    </w:p>
    <w:p w14:paraId="1E6EB2BB" w14:textId="77777777" w:rsidR="00495C65" w:rsidRDefault="00495C65" w:rsidP="00495C65">
      <w:pPr>
        <w:pStyle w:val="13"/>
      </w:pPr>
      <w:r>
        <w:rPr>
          <w:rFonts w:hint="eastAsia"/>
        </w:rPr>
        <w:t>（</w:t>
      </w:r>
      <w:r>
        <w:t>8）《节约集约利用土地规定》（国土资源部令第61号）</w:t>
      </w:r>
    </w:p>
    <w:p w14:paraId="17CB6775" w14:textId="77777777" w:rsidR="00495C65" w:rsidRDefault="00495C65" w:rsidP="00495C65">
      <w:pPr>
        <w:pStyle w:val="13"/>
      </w:pPr>
      <w:r>
        <w:rPr>
          <w:rFonts w:hint="eastAsia"/>
        </w:rPr>
        <w:t>（</w:t>
      </w:r>
      <w:r>
        <w:t>9）《国务院关于加强国有土地资产管理的通知》（国发〔2001〕15号）</w:t>
      </w:r>
    </w:p>
    <w:p w14:paraId="714CBDD5" w14:textId="77777777" w:rsidR="00495C65" w:rsidRDefault="00495C65" w:rsidP="00495C65">
      <w:pPr>
        <w:pStyle w:val="13"/>
      </w:pPr>
      <w:r>
        <w:rPr>
          <w:rFonts w:hint="eastAsia"/>
        </w:rPr>
        <w:t>（</w:t>
      </w:r>
      <w:r>
        <w:t>10）《国务院关于深化改革严格土地管理的决定》（国发〔2004〕28号）</w:t>
      </w:r>
    </w:p>
    <w:p w14:paraId="281B756A" w14:textId="77777777" w:rsidR="00495C65" w:rsidRDefault="00495C65" w:rsidP="00AF7342">
      <w:pPr>
        <w:pStyle w:val="a9"/>
        <w:spacing w:before="62" w:after="62"/>
      </w:pPr>
      <w:r>
        <w:t>4 总则</w:t>
      </w:r>
    </w:p>
    <w:p w14:paraId="40741FAD" w14:textId="77777777" w:rsidR="00495C65" w:rsidRDefault="00495C65" w:rsidP="00495C65">
      <w:pPr>
        <w:pStyle w:val="ab"/>
        <w:spacing w:before="62" w:after="62"/>
        <w:ind w:firstLine="482"/>
      </w:pPr>
      <w:r>
        <w:t>4.1 出让地价评估定义</w:t>
      </w:r>
    </w:p>
    <w:p w14:paraId="41F00438" w14:textId="77777777" w:rsidR="00495C65" w:rsidRDefault="00495C65" w:rsidP="00495C65">
      <w:pPr>
        <w:pStyle w:val="13"/>
      </w:pPr>
      <w:r>
        <w:rPr>
          <w:rFonts w:hint="eastAsia"/>
        </w:rPr>
        <w:t>本规范所称的土地使用权出让地价评估，是指土地估价专业评估师按照规定的程序和方法，参照当地正常市场价格水平，评估拟出让宗地土地使用权价格或应当补</w:t>
      </w:r>
      <w:r>
        <w:rPr>
          <w:rFonts w:hint="eastAsia"/>
        </w:rPr>
        <w:lastRenderedPageBreak/>
        <w:t>缴的地价款。</w:t>
      </w:r>
    </w:p>
    <w:p w14:paraId="2FDEA00D" w14:textId="77777777" w:rsidR="00495C65" w:rsidRDefault="00495C65" w:rsidP="00495C65">
      <w:pPr>
        <w:pStyle w:val="ab"/>
        <w:spacing w:before="62" w:after="62"/>
        <w:ind w:firstLine="482"/>
      </w:pPr>
      <w:r>
        <w:t>4.2 出让地价评估目的</w:t>
      </w:r>
    </w:p>
    <w:p w14:paraId="0AAEE60C" w14:textId="77777777" w:rsidR="00495C65" w:rsidRDefault="00495C65" w:rsidP="00495C65">
      <w:pPr>
        <w:pStyle w:val="13"/>
      </w:pPr>
      <w:r>
        <w:rPr>
          <w:rFonts w:hint="eastAsia"/>
        </w:rPr>
        <w:t>开展土地使用权出让地价评估，目的是为出让方通过集体决策确定土地出让底价，或核定应该补缴的地价款提供参考依据。</w:t>
      </w:r>
    </w:p>
    <w:p w14:paraId="72BC0D3C" w14:textId="77777777" w:rsidR="00495C65" w:rsidRDefault="00495C65" w:rsidP="00495C65">
      <w:pPr>
        <w:pStyle w:val="ab"/>
        <w:spacing w:before="62" w:after="62"/>
        <w:ind w:firstLine="482"/>
      </w:pPr>
      <w:r>
        <w:t>4.3 评估原则</w:t>
      </w:r>
    </w:p>
    <w:p w14:paraId="33549D73" w14:textId="77777777" w:rsidR="00495C65" w:rsidRDefault="00495C65" w:rsidP="00495C65">
      <w:pPr>
        <w:pStyle w:val="13"/>
      </w:pPr>
      <w:r>
        <w:rPr>
          <w:rFonts w:hint="eastAsia"/>
        </w:rPr>
        <w:t>除《城镇土地估价规程》规定的土地估价基本原则外，土地使用权出让地价评估还需考虑以下原则：</w:t>
      </w:r>
    </w:p>
    <w:p w14:paraId="502918EC" w14:textId="77777777" w:rsidR="00495C65" w:rsidRDefault="00495C65" w:rsidP="00495C65">
      <w:pPr>
        <w:pStyle w:val="13"/>
      </w:pPr>
      <w:r>
        <w:rPr>
          <w:rFonts w:hint="eastAsia"/>
        </w:rPr>
        <w:t>价值主导原则：土地综合质量优劣是对地价产生影响的主要因素。</w:t>
      </w:r>
    </w:p>
    <w:p w14:paraId="53ADEEE6" w14:textId="77777777" w:rsidR="00495C65" w:rsidRDefault="00495C65" w:rsidP="00495C65">
      <w:pPr>
        <w:pStyle w:val="13"/>
      </w:pPr>
      <w:r>
        <w:rPr>
          <w:rFonts w:hint="eastAsia"/>
        </w:rPr>
        <w:t>审慎原则：在评估中确定相关参数和结果时，应分析并充分考虑土地市场运行状况、有关行业发展状况，以及存在的风险。</w:t>
      </w:r>
    </w:p>
    <w:p w14:paraId="52B2CD3D" w14:textId="77777777" w:rsidR="00495C65" w:rsidRDefault="00495C65" w:rsidP="00495C65">
      <w:pPr>
        <w:pStyle w:val="13"/>
      </w:pPr>
      <w:r>
        <w:rPr>
          <w:rFonts w:hint="eastAsia"/>
        </w:rPr>
        <w:t>公开市场原则：评估结果在公平、公正、公开的土地市场上可实现。</w:t>
      </w:r>
    </w:p>
    <w:p w14:paraId="30787547" w14:textId="77777777" w:rsidR="00495C65" w:rsidRDefault="00495C65" w:rsidP="00495C65">
      <w:pPr>
        <w:pStyle w:val="ab"/>
        <w:spacing w:before="62" w:after="62"/>
        <w:ind w:firstLine="482"/>
      </w:pPr>
      <w:r>
        <w:t>4.4 评估方法</w:t>
      </w:r>
    </w:p>
    <w:p w14:paraId="1837EFA6" w14:textId="77777777" w:rsidR="00495C65" w:rsidRDefault="00495C65" w:rsidP="00495C65">
      <w:pPr>
        <w:pStyle w:val="13"/>
      </w:pPr>
      <w:r>
        <w:rPr>
          <w:rFonts w:hint="eastAsia"/>
        </w:rPr>
        <w:t>（</w:t>
      </w:r>
      <w:r>
        <w:t>1）收益还原法</w:t>
      </w:r>
    </w:p>
    <w:p w14:paraId="34F17864" w14:textId="77777777" w:rsidR="00495C65" w:rsidRDefault="00495C65" w:rsidP="00495C65">
      <w:pPr>
        <w:pStyle w:val="13"/>
      </w:pPr>
      <w:r>
        <w:rPr>
          <w:rFonts w:hint="eastAsia"/>
        </w:rPr>
        <w:t>（</w:t>
      </w:r>
      <w:r>
        <w:t>2）市场比较法</w:t>
      </w:r>
    </w:p>
    <w:p w14:paraId="2EA459F0" w14:textId="77777777" w:rsidR="00495C65" w:rsidRDefault="00495C65" w:rsidP="00495C65">
      <w:pPr>
        <w:pStyle w:val="13"/>
      </w:pPr>
      <w:r>
        <w:rPr>
          <w:rFonts w:hint="eastAsia"/>
        </w:rPr>
        <w:t>（</w:t>
      </w:r>
      <w:r>
        <w:t>3）剩余法</w:t>
      </w:r>
    </w:p>
    <w:p w14:paraId="721B1C35" w14:textId="77777777" w:rsidR="00495C65" w:rsidRDefault="00495C65" w:rsidP="00495C65">
      <w:pPr>
        <w:pStyle w:val="13"/>
      </w:pPr>
      <w:r>
        <w:rPr>
          <w:rFonts w:hint="eastAsia"/>
        </w:rPr>
        <w:t>（</w:t>
      </w:r>
      <w:r>
        <w:t>4）成本逼近法</w:t>
      </w:r>
    </w:p>
    <w:p w14:paraId="15161D29" w14:textId="77777777" w:rsidR="00495C65" w:rsidRDefault="00495C65" w:rsidP="00495C65">
      <w:pPr>
        <w:pStyle w:val="13"/>
      </w:pPr>
      <w:r>
        <w:rPr>
          <w:rFonts w:hint="eastAsia"/>
        </w:rPr>
        <w:t>（</w:t>
      </w:r>
      <w:r>
        <w:t>5）公示地价系数修正法</w:t>
      </w:r>
    </w:p>
    <w:p w14:paraId="0C6963C5" w14:textId="77777777" w:rsidR="00495C65" w:rsidRDefault="00495C65" w:rsidP="00495C65">
      <w:pPr>
        <w:pStyle w:val="13"/>
      </w:pPr>
      <w:r>
        <w:rPr>
          <w:rFonts w:hint="eastAsia"/>
        </w:rPr>
        <w:t>出让地价评估，应至少采用两种评估方法，包括（</w:t>
      </w:r>
      <w:r>
        <w:t>1）、（2）、（3）之一，以及（4）</w:t>
      </w:r>
      <w:r>
        <w:rPr>
          <w:rFonts w:hint="eastAsia"/>
        </w:rPr>
        <w:t>或（</w:t>
      </w:r>
      <w:r>
        <w:t>5）。因土地市场不发育等原因，无法满足上述要求的，应有详细的市场调查情况说</w:t>
      </w:r>
      <w:r>
        <w:rPr>
          <w:rFonts w:hint="eastAsia"/>
        </w:rPr>
        <w:t>明。</w:t>
      </w:r>
    </w:p>
    <w:p w14:paraId="4225470C" w14:textId="77777777" w:rsidR="00495C65" w:rsidRDefault="00495C65" w:rsidP="00495C65">
      <w:pPr>
        <w:pStyle w:val="ab"/>
        <w:spacing w:before="62" w:after="62"/>
        <w:ind w:firstLine="482"/>
      </w:pPr>
      <w:r>
        <w:t>4.5 评估程序</w:t>
      </w:r>
    </w:p>
    <w:p w14:paraId="2B235FF7" w14:textId="77777777" w:rsidR="00495C65" w:rsidRDefault="00495C65" w:rsidP="00495C65">
      <w:pPr>
        <w:pStyle w:val="13"/>
      </w:pPr>
      <w:r>
        <w:rPr>
          <w:rFonts w:hint="eastAsia"/>
        </w:rPr>
        <w:t>（</w:t>
      </w:r>
      <w:r>
        <w:t>1）土地估价机构接受国土资源主管部门（或出让方）委托，明确估价目的等基本</w:t>
      </w:r>
      <w:r>
        <w:rPr>
          <w:rFonts w:hint="eastAsia"/>
        </w:rPr>
        <w:t>事项；</w:t>
      </w:r>
    </w:p>
    <w:p w14:paraId="072560F3" w14:textId="77777777" w:rsidR="00495C65" w:rsidRDefault="00495C65" w:rsidP="00495C65">
      <w:pPr>
        <w:pStyle w:val="13"/>
      </w:pPr>
      <w:r>
        <w:rPr>
          <w:rFonts w:hint="eastAsia"/>
        </w:rPr>
        <w:t>（</w:t>
      </w:r>
      <w:r>
        <w:t>2）拟订估价工作方案，收集所需背景资料；</w:t>
      </w:r>
    </w:p>
    <w:p w14:paraId="4004F211" w14:textId="77777777" w:rsidR="00495C65" w:rsidRDefault="00495C65" w:rsidP="00495C65">
      <w:pPr>
        <w:pStyle w:val="13"/>
      </w:pPr>
      <w:r>
        <w:rPr>
          <w:rFonts w:hint="eastAsia"/>
        </w:rPr>
        <w:t>（</w:t>
      </w:r>
      <w:r>
        <w:t>3）实地查勘；</w:t>
      </w:r>
    </w:p>
    <w:p w14:paraId="18C73AF6" w14:textId="77777777" w:rsidR="00495C65" w:rsidRDefault="00495C65" w:rsidP="00495C65">
      <w:pPr>
        <w:pStyle w:val="13"/>
      </w:pPr>
      <w:r>
        <w:rPr>
          <w:rFonts w:hint="eastAsia"/>
        </w:rPr>
        <w:t>（</w:t>
      </w:r>
      <w:r>
        <w:t>4）选定估价方法进行评估；</w:t>
      </w:r>
    </w:p>
    <w:p w14:paraId="2E2DBF78" w14:textId="77777777" w:rsidR="00495C65" w:rsidRDefault="00495C65" w:rsidP="00495C65">
      <w:pPr>
        <w:pStyle w:val="13"/>
      </w:pPr>
      <w:r>
        <w:rPr>
          <w:rFonts w:hint="eastAsia"/>
        </w:rPr>
        <w:t>（</w:t>
      </w:r>
      <w:r>
        <w:t>5）确定估价结果，并根据当地市场情况、有关法律法规和政策规定，给出底价决</w:t>
      </w:r>
      <w:r>
        <w:rPr>
          <w:rFonts w:hint="eastAsia"/>
        </w:rPr>
        <w:t>策建议；</w:t>
      </w:r>
    </w:p>
    <w:p w14:paraId="2C1718BD" w14:textId="77777777" w:rsidR="00495C65" w:rsidRDefault="00495C65" w:rsidP="00495C65">
      <w:pPr>
        <w:pStyle w:val="13"/>
      </w:pPr>
      <w:r>
        <w:rPr>
          <w:rFonts w:hint="eastAsia"/>
        </w:rPr>
        <w:t>（</w:t>
      </w:r>
      <w:r>
        <w:t>6）撰写估价报告并由两名土地估价专业评估师签署，履行土地估价报告备案程</w:t>
      </w:r>
      <w:r>
        <w:rPr>
          <w:rFonts w:hint="eastAsia"/>
        </w:rPr>
        <w:t>序，取得电子备案号；</w:t>
      </w:r>
    </w:p>
    <w:p w14:paraId="0D1CE2B4" w14:textId="77777777" w:rsidR="00495C65" w:rsidRDefault="00495C65" w:rsidP="00495C65">
      <w:pPr>
        <w:pStyle w:val="13"/>
      </w:pPr>
      <w:r>
        <w:rPr>
          <w:rFonts w:hint="eastAsia"/>
        </w:rPr>
        <w:t>（</w:t>
      </w:r>
      <w:r>
        <w:t>7）提交估价报告；</w:t>
      </w:r>
    </w:p>
    <w:p w14:paraId="2831D747" w14:textId="77777777" w:rsidR="00495C65" w:rsidRDefault="00495C65" w:rsidP="00495C65">
      <w:pPr>
        <w:pStyle w:val="13"/>
      </w:pPr>
      <w:r>
        <w:rPr>
          <w:rFonts w:hint="eastAsia"/>
        </w:rPr>
        <w:t>（</w:t>
      </w:r>
      <w:r>
        <w:t>8）估价资料归档。</w:t>
      </w:r>
    </w:p>
    <w:p w14:paraId="1B1C8800" w14:textId="77777777" w:rsidR="00495C65" w:rsidRDefault="00495C65" w:rsidP="00AF7342">
      <w:pPr>
        <w:pStyle w:val="a9"/>
        <w:spacing w:before="62" w:after="62"/>
      </w:pPr>
      <w:r>
        <w:lastRenderedPageBreak/>
        <w:t>5 评估方法的运用</w:t>
      </w:r>
    </w:p>
    <w:p w14:paraId="309A2D3C" w14:textId="77777777" w:rsidR="00495C65" w:rsidRDefault="00495C65" w:rsidP="00495C65">
      <w:pPr>
        <w:pStyle w:val="13"/>
        <w:ind w:firstLine="482"/>
      </w:pPr>
      <w:r w:rsidRPr="00342CA5">
        <w:rPr>
          <w:b/>
          <w:bCs/>
        </w:rPr>
        <w:t>5.1 收益还原法。</w:t>
      </w:r>
      <w:r>
        <w:t>除依照《城镇土地估价规程》的规定外，还</w:t>
      </w:r>
      <w:proofErr w:type="gramStart"/>
      <w:r>
        <w:t>需体现</w:t>
      </w:r>
      <w:proofErr w:type="gramEnd"/>
      <w:r>
        <w:t>以下技术要求：</w:t>
      </w:r>
    </w:p>
    <w:p w14:paraId="25C62A58" w14:textId="77777777" w:rsidR="00495C65" w:rsidRDefault="00495C65" w:rsidP="00495C65">
      <w:pPr>
        <w:pStyle w:val="13"/>
      </w:pPr>
      <w:r>
        <w:rPr>
          <w:rFonts w:hint="eastAsia"/>
        </w:rPr>
        <w:t>（</w:t>
      </w:r>
      <w:r>
        <w:t>1）确定土地收益，应通过调查市场实例进行比较后得出，符合当前市场的正常客</w:t>
      </w:r>
      <w:r>
        <w:rPr>
          <w:rFonts w:hint="eastAsia"/>
        </w:rPr>
        <w:t>观收益水平，并假设该收益水平在出让年期内保持稳定。对于待建、在建的土地，按规划建设条件选用可比较实例。用于测算收益水平的比较实例应不少于</w:t>
      </w:r>
      <w:r>
        <w:t>3个。</w:t>
      </w:r>
    </w:p>
    <w:p w14:paraId="3E5339C0" w14:textId="77777777" w:rsidR="00495C65" w:rsidRDefault="00495C65" w:rsidP="00495C65">
      <w:pPr>
        <w:pStyle w:val="13"/>
      </w:pPr>
      <w:r>
        <w:rPr>
          <w:rFonts w:hint="eastAsia"/>
        </w:rPr>
        <w:t>（</w:t>
      </w:r>
      <w:r>
        <w:t>2）确定各项费用时，应采用当前市场的客观费用。</w:t>
      </w:r>
    </w:p>
    <w:p w14:paraId="19DB550B" w14:textId="77777777" w:rsidR="00495C65" w:rsidRDefault="00495C65" w:rsidP="00495C65">
      <w:pPr>
        <w:pStyle w:val="13"/>
      </w:pPr>
      <w:r>
        <w:rPr>
          <w:rFonts w:hint="eastAsia"/>
        </w:rPr>
        <w:t>（</w:t>
      </w:r>
      <w:r>
        <w:t>3）确定还原率时应详细说明确定的方法和依据，应充分考虑投资年期与收益风</w:t>
      </w:r>
      <w:r>
        <w:rPr>
          <w:rFonts w:hint="eastAsia"/>
        </w:rPr>
        <w:t>险之间的关系。</w:t>
      </w:r>
    </w:p>
    <w:p w14:paraId="0E5A35C1" w14:textId="77777777" w:rsidR="00495C65" w:rsidRDefault="00495C65" w:rsidP="00495C65">
      <w:pPr>
        <w:pStyle w:val="13"/>
        <w:ind w:firstLine="482"/>
      </w:pPr>
      <w:r w:rsidRPr="00342CA5">
        <w:rPr>
          <w:rStyle w:val="ac"/>
        </w:rPr>
        <w:t>5.2 市场比较法。</w:t>
      </w:r>
      <w:r>
        <w:t>除依照《城镇土地估价规程》的规定外，还</w:t>
      </w:r>
      <w:proofErr w:type="gramStart"/>
      <w:r>
        <w:t>需体现</w:t>
      </w:r>
      <w:proofErr w:type="gramEnd"/>
      <w:r>
        <w:t>以下技术要求：</w:t>
      </w:r>
    </w:p>
    <w:p w14:paraId="35CCEDC7" w14:textId="77777777" w:rsidR="00495C65" w:rsidRDefault="00495C65" w:rsidP="00495C65">
      <w:pPr>
        <w:pStyle w:val="13"/>
      </w:pPr>
      <w:r>
        <w:rPr>
          <w:rFonts w:hint="eastAsia"/>
        </w:rPr>
        <w:t>（</w:t>
      </w:r>
      <w:r>
        <w:t>1）在综合分析当地土地市场近三年交易实例的基础上，优先选用正常市场环境</w:t>
      </w:r>
      <w:r>
        <w:rPr>
          <w:rFonts w:hint="eastAsia"/>
        </w:rPr>
        <w:t>下的交易实例。原则上不采用竞价轮次较多、溢价率较高的交易实例；不能采用楼面地价历史最高或最低水平的交易实例。近三年内所在或相似区域的交易实例不足</w:t>
      </w:r>
      <w:r>
        <w:t>3个的，</w:t>
      </w:r>
      <w:r>
        <w:rPr>
          <w:rFonts w:hint="eastAsia"/>
        </w:rPr>
        <w:t>原则上</w:t>
      </w:r>
      <w:proofErr w:type="gramStart"/>
      <w:r>
        <w:rPr>
          <w:rFonts w:hint="eastAsia"/>
        </w:rPr>
        <w:t>不</w:t>
      </w:r>
      <w:proofErr w:type="gramEnd"/>
      <w:r>
        <w:rPr>
          <w:rFonts w:hint="eastAsia"/>
        </w:rPr>
        <w:t>应选用市场比较法。</w:t>
      </w:r>
    </w:p>
    <w:p w14:paraId="11CABBC5" w14:textId="77777777" w:rsidR="00495C65" w:rsidRDefault="00495C65" w:rsidP="00495C65">
      <w:pPr>
        <w:pStyle w:val="13"/>
      </w:pPr>
      <w:r>
        <w:rPr>
          <w:rFonts w:hint="eastAsia"/>
        </w:rPr>
        <w:t>（</w:t>
      </w:r>
      <w:r>
        <w:t>2）比较实例的修正幅度不能超过30％，即：（实例修正后的比准价格-实例价格）</w:t>
      </w:r>
      <w:r>
        <w:rPr>
          <w:rFonts w:hint="eastAsia"/>
        </w:rPr>
        <w:t>／实例价格≤</w:t>
      </w:r>
      <w:r>
        <w:t>30％。</w:t>
      </w:r>
    </w:p>
    <w:p w14:paraId="29922B31" w14:textId="77777777" w:rsidR="00495C65" w:rsidRDefault="00495C65" w:rsidP="00495C65">
      <w:pPr>
        <w:pStyle w:val="13"/>
      </w:pPr>
      <w:r>
        <w:rPr>
          <w:rFonts w:hint="eastAsia"/>
        </w:rPr>
        <w:t>（</w:t>
      </w:r>
      <w:r>
        <w:t>3）</w:t>
      </w:r>
      <w:proofErr w:type="gramStart"/>
      <w:r>
        <w:t>各比较</w:t>
      </w:r>
      <w:proofErr w:type="gramEnd"/>
      <w:r>
        <w:t>实例修正后的比准价格之间相差不能超过40％。即（高比准价格-低比</w:t>
      </w:r>
      <w:r>
        <w:rPr>
          <w:rFonts w:hint="eastAsia"/>
        </w:rPr>
        <w:t>准价格）／低比准价格≤</w:t>
      </w:r>
      <w:r>
        <w:t>40％，对超过40％的，应另选实例予以替换。实例不足无法替</w:t>
      </w:r>
      <w:r>
        <w:rPr>
          <w:rFonts w:hint="eastAsia"/>
        </w:rPr>
        <w:t>换的，应对各实例进行可比性分析，并作为确定取值权重考虑因素之一。</w:t>
      </w:r>
    </w:p>
    <w:p w14:paraId="678FBA3C" w14:textId="77777777" w:rsidR="00495C65" w:rsidRDefault="00495C65" w:rsidP="00495C65">
      <w:pPr>
        <w:pStyle w:val="13"/>
        <w:ind w:firstLine="482"/>
      </w:pPr>
      <w:r w:rsidRPr="00DC28A5">
        <w:rPr>
          <w:b/>
          <w:bCs/>
        </w:rPr>
        <w:t>5.3 剩余法。</w:t>
      </w:r>
      <w:r>
        <w:t>除依照《城镇土地估价规程》的规定外，还</w:t>
      </w:r>
      <w:proofErr w:type="gramStart"/>
      <w:r>
        <w:t>需体现</w:t>
      </w:r>
      <w:proofErr w:type="gramEnd"/>
      <w:r>
        <w:t>以下技术要求：</w:t>
      </w:r>
    </w:p>
    <w:p w14:paraId="0FE87BEC" w14:textId="77777777" w:rsidR="00495C65" w:rsidRDefault="00495C65" w:rsidP="00495C65">
      <w:pPr>
        <w:pStyle w:val="13"/>
      </w:pPr>
      <w:r>
        <w:rPr>
          <w:rFonts w:hint="eastAsia"/>
        </w:rPr>
        <w:t>（</w:t>
      </w:r>
      <w:r>
        <w:t>1）在假设项目开发情况时，按规划建设条件评估；容积率、绿地率等规划建设指</w:t>
      </w:r>
      <w:r>
        <w:rPr>
          <w:rFonts w:hint="eastAsia"/>
        </w:rPr>
        <w:t>标是区间值的，在区间上限、下限值中按最有效利用原则择</w:t>
      </w:r>
      <w:proofErr w:type="gramStart"/>
      <w:r>
        <w:rPr>
          <w:rFonts w:hint="eastAsia"/>
        </w:rPr>
        <w:t>一</w:t>
      </w:r>
      <w:proofErr w:type="gramEnd"/>
      <w:r>
        <w:rPr>
          <w:rFonts w:hint="eastAsia"/>
        </w:rPr>
        <w:t>进行评估。</w:t>
      </w:r>
    </w:p>
    <w:p w14:paraId="64E6C454" w14:textId="77777777" w:rsidR="00495C65" w:rsidRDefault="00495C65" w:rsidP="00495C65">
      <w:pPr>
        <w:pStyle w:val="13"/>
      </w:pPr>
      <w:r>
        <w:rPr>
          <w:rFonts w:hint="eastAsia"/>
        </w:rPr>
        <w:t>（</w:t>
      </w:r>
      <w:r>
        <w:t>2）假设的项目开发周期一般不超过3年。</w:t>
      </w:r>
    </w:p>
    <w:p w14:paraId="0406C22E" w14:textId="77777777" w:rsidR="00495C65" w:rsidRDefault="00495C65" w:rsidP="00495C65">
      <w:pPr>
        <w:pStyle w:val="13"/>
      </w:pPr>
      <w:r>
        <w:rPr>
          <w:rFonts w:hint="eastAsia"/>
        </w:rPr>
        <w:t>（</w:t>
      </w:r>
      <w:r>
        <w:t>3）对于开发完成后拟用于出售的项目，售价</w:t>
      </w:r>
      <w:proofErr w:type="gramStart"/>
      <w:r>
        <w:t>取出让时当地</w:t>
      </w:r>
      <w:proofErr w:type="gramEnd"/>
      <w:r>
        <w:t>市场同类不动产正常</w:t>
      </w:r>
      <w:r>
        <w:rPr>
          <w:rFonts w:hint="eastAsia"/>
        </w:rPr>
        <w:t>价格水平，不能采用估算的未来售价。</w:t>
      </w:r>
    </w:p>
    <w:p w14:paraId="12541543" w14:textId="77777777" w:rsidR="00495C65" w:rsidRDefault="00495C65" w:rsidP="00495C65">
      <w:pPr>
        <w:pStyle w:val="13"/>
      </w:pPr>
      <w:r>
        <w:rPr>
          <w:rFonts w:hint="eastAsia"/>
        </w:rPr>
        <w:t>（</w:t>
      </w:r>
      <w:r>
        <w:t>4）开发完成后用于出租或自营的项目，按照本规范收益还原法的有关技术要求</w:t>
      </w:r>
      <w:r>
        <w:rPr>
          <w:rFonts w:hint="eastAsia"/>
        </w:rPr>
        <w:t>评估。</w:t>
      </w:r>
    </w:p>
    <w:p w14:paraId="3EC067CF" w14:textId="77777777" w:rsidR="00495C65" w:rsidRDefault="00495C65" w:rsidP="00495C65">
      <w:pPr>
        <w:pStyle w:val="13"/>
      </w:pPr>
      <w:r>
        <w:rPr>
          <w:rFonts w:hint="eastAsia"/>
        </w:rPr>
        <w:t>（</w:t>
      </w:r>
      <w:r>
        <w:t>5）利润率宜采用同一市场上类似不动产开发项目的平均利润率。利润率的取值</w:t>
      </w:r>
      <w:r>
        <w:rPr>
          <w:rFonts w:hint="eastAsia"/>
        </w:rPr>
        <w:t>应有客观、明确的依据，能够反映当地不动产开发行业平均利润水平。</w:t>
      </w:r>
    </w:p>
    <w:p w14:paraId="765B3A13" w14:textId="77777777" w:rsidR="00495C65" w:rsidRDefault="00495C65" w:rsidP="00495C65">
      <w:pPr>
        <w:pStyle w:val="13"/>
        <w:ind w:firstLine="482"/>
      </w:pPr>
      <w:r w:rsidRPr="00B770B2">
        <w:rPr>
          <w:b/>
          <w:bCs/>
        </w:rPr>
        <w:t>5.4 成本逼近法。</w:t>
      </w:r>
      <w:r>
        <w:t>除依照《城镇土地估价规程》的规定外，还</w:t>
      </w:r>
      <w:proofErr w:type="gramStart"/>
      <w:r>
        <w:t>需体现</w:t>
      </w:r>
      <w:proofErr w:type="gramEnd"/>
      <w:r>
        <w:t>以下技术要求：</w:t>
      </w:r>
    </w:p>
    <w:p w14:paraId="24CFEEDA" w14:textId="77777777" w:rsidR="00495C65" w:rsidRDefault="00495C65" w:rsidP="00495C65">
      <w:pPr>
        <w:pStyle w:val="13"/>
      </w:pPr>
      <w:r>
        <w:rPr>
          <w:rFonts w:hint="eastAsia"/>
        </w:rPr>
        <w:t>（</w:t>
      </w:r>
      <w:r>
        <w:t>1）国家或地方拟从土地出让收入或土地出让收益中计提（安排）的各类专项资</w:t>
      </w:r>
      <w:r>
        <w:rPr>
          <w:rFonts w:hint="eastAsia"/>
        </w:rPr>
        <w:t>金，包括农业土地开发资金、国有土地收益基金、农田水利建设资金、教育资金、</w:t>
      </w:r>
      <w:r>
        <w:rPr>
          <w:rFonts w:hint="eastAsia"/>
        </w:rPr>
        <w:lastRenderedPageBreak/>
        <w:t>保障性安居工程资金等，以及新增建设用地土地有偿使用费、新增耕地指标和城乡建设用地增减挂钩节余指标等指标流转费用，</w:t>
      </w:r>
      <w:proofErr w:type="gramStart"/>
      <w:r>
        <w:rPr>
          <w:rFonts w:hint="eastAsia"/>
        </w:rPr>
        <w:t>不</w:t>
      </w:r>
      <w:proofErr w:type="gramEnd"/>
      <w:r>
        <w:rPr>
          <w:rFonts w:hint="eastAsia"/>
        </w:rPr>
        <w:t>得计入土地成本，也</w:t>
      </w:r>
      <w:proofErr w:type="gramStart"/>
      <w:r>
        <w:rPr>
          <w:rFonts w:hint="eastAsia"/>
        </w:rPr>
        <w:t>不</w:t>
      </w:r>
      <w:proofErr w:type="gramEnd"/>
      <w:r>
        <w:rPr>
          <w:rFonts w:hint="eastAsia"/>
        </w:rPr>
        <w:t>得计入出让底价。</w:t>
      </w:r>
    </w:p>
    <w:p w14:paraId="580AF617" w14:textId="77777777" w:rsidR="00495C65" w:rsidRDefault="00495C65" w:rsidP="00495C65">
      <w:pPr>
        <w:pStyle w:val="13"/>
      </w:pPr>
      <w:r>
        <w:rPr>
          <w:rFonts w:hint="eastAsia"/>
        </w:rPr>
        <w:t>（</w:t>
      </w:r>
      <w:r>
        <w:t>2）土地取得成本应通过调查当地正常情况下取得土地实际发生的客观费用水平</w:t>
      </w:r>
      <w:r>
        <w:rPr>
          <w:rFonts w:hint="eastAsia"/>
        </w:rPr>
        <w:t>确定，需注意与当地土地征收、房屋征收和安置补偿等标准的差异。</w:t>
      </w:r>
    </w:p>
    <w:p w14:paraId="378FA27A" w14:textId="77777777" w:rsidR="00495C65" w:rsidRDefault="00495C65" w:rsidP="00495C65">
      <w:pPr>
        <w:pStyle w:val="13"/>
      </w:pPr>
      <w:r>
        <w:rPr>
          <w:rFonts w:hint="eastAsia"/>
        </w:rPr>
        <w:t>（</w:t>
      </w:r>
      <w:r>
        <w:t>3）土地开发成本应通过调查所在区域开发同类土地的客观费用水平确定。对拟</w:t>
      </w:r>
      <w:r>
        <w:rPr>
          <w:rFonts w:hint="eastAsia"/>
        </w:rPr>
        <w:t>出让宗地超出所在区域开发同类土地客观费用水平的</w:t>
      </w:r>
      <w:proofErr w:type="gramStart"/>
      <w:r>
        <w:rPr>
          <w:rFonts w:hint="eastAsia"/>
        </w:rPr>
        <w:t>个</w:t>
      </w:r>
      <w:proofErr w:type="gramEnd"/>
      <w:r>
        <w:rPr>
          <w:rFonts w:hint="eastAsia"/>
        </w:rPr>
        <w:t>例性实际支出，不能纳入成本。</w:t>
      </w:r>
    </w:p>
    <w:p w14:paraId="1C58FF29" w14:textId="77777777" w:rsidR="00495C65" w:rsidRDefault="00495C65" w:rsidP="00495C65">
      <w:pPr>
        <w:pStyle w:val="13"/>
      </w:pPr>
      <w:r>
        <w:rPr>
          <w:rFonts w:hint="eastAsia"/>
        </w:rPr>
        <w:t>（</w:t>
      </w:r>
      <w:r>
        <w:t>4）评估工业用地出让地价时，不得以当地工业用地出让最低价标准为基础，推算</w:t>
      </w:r>
      <w:r>
        <w:rPr>
          <w:rFonts w:hint="eastAsia"/>
        </w:rPr>
        <w:t>各项参数和取值后，评估出地价。</w:t>
      </w:r>
    </w:p>
    <w:p w14:paraId="1D417D65" w14:textId="77777777" w:rsidR="00495C65" w:rsidRDefault="00495C65" w:rsidP="00495C65">
      <w:pPr>
        <w:pStyle w:val="13"/>
        <w:ind w:firstLine="482"/>
      </w:pPr>
      <w:r w:rsidRPr="00DF2C4C">
        <w:rPr>
          <w:b/>
          <w:bCs/>
        </w:rPr>
        <w:t>5.5 公示地价系数修正法。</w:t>
      </w:r>
      <w:r>
        <w:t>除依照《城镇土地估价规程》的规定外，还</w:t>
      </w:r>
      <w:proofErr w:type="gramStart"/>
      <w:r>
        <w:t>需体现</w:t>
      </w:r>
      <w:proofErr w:type="gramEnd"/>
      <w:r>
        <w:t>以下</w:t>
      </w:r>
      <w:r>
        <w:rPr>
          <w:rFonts w:hint="eastAsia"/>
        </w:rPr>
        <w:t>技术要求：</w:t>
      </w:r>
    </w:p>
    <w:p w14:paraId="747459B0" w14:textId="77777777" w:rsidR="00495C65" w:rsidRDefault="00495C65" w:rsidP="00495C65">
      <w:pPr>
        <w:pStyle w:val="13"/>
      </w:pPr>
      <w:r>
        <w:rPr>
          <w:rFonts w:hint="eastAsia"/>
        </w:rPr>
        <w:t>（</w:t>
      </w:r>
      <w:r>
        <w:t>1）采用的基准地价，应当已向社会公布。采用已完成更新但尚未向社会公布的基</w:t>
      </w:r>
      <w:r>
        <w:rPr>
          <w:rFonts w:hint="eastAsia"/>
        </w:rPr>
        <w:t>准地价，需经市、县国土资源主管部门书面同意。</w:t>
      </w:r>
    </w:p>
    <w:p w14:paraId="2EA1B883" w14:textId="77777777" w:rsidR="00495C65" w:rsidRDefault="00495C65" w:rsidP="00495C65">
      <w:pPr>
        <w:pStyle w:val="13"/>
      </w:pPr>
      <w:r>
        <w:rPr>
          <w:rFonts w:hint="eastAsia"/>
        </w:rPr>
        <w:t>（</w:t>
      </w:r>
      <w:r>
        <w:t>2）在已经开展标定地价公示的城市，可运用标定地价系数修正法进行评估。</w:t>
      </w:r>
    </w:p>
    <w:p w14:paraId="0D3051EF" w14:textId="77777777" w:rsidR="00495C65" w:rsidRDefault="00495C65" w:rsidP="00AF7342">
      <w:pPr>
        <w:pStyle w:val="a9"/>
        <w:spacing w:before="62" w:after="62"/>
      </w:pPr>
      <w:r>
        <w:t>6 特定情况评估要点</w:t>
      </w:r>
    </w:p>
    <w:p w14:paraId="11C3F739" w14:textId="77777777" w:rsidR="00495C65" w:rsidRDefault="00495C65" w:rsidP="00495C65">
      <w:pPr>
        <w:pStyle w:val="ab"/>
        <w:spacing w:before="62" w:after="62"/>
        <w:ind w:firstLine="482"/>
      </w:pPr>
      <w:r>
        <w:t>6.1 场地未通平或通平不完全</w:t>
      </w:r>
    </w:p>
    <w:p w14:paraId="25EFFE6E" w14:textId="77777777" w:rsidR="00495C65" w:rsidRDefault="00495C65" w:rsidP="00495C65">
      <w:pPr>
        <w:pStyle w:val="13"/>
      </w:pPr>
      <w:r>
        <w:rPr>
          <w:rFonts w:hint="eastAsia"/>
        </w:rPr>
        <w:t>（</w:t>
      </w:r>
      <w:r>
        <w:t>1）土地开发程度不足。土地开发程度未达到当地正常水平的，先评估当地正常开</w:t>
      </w:r>
      <w:r>
        <w:rPr>
          <w:rFonts w:hint="eastAsia"/>
        </w:rPr>
        <w:t>发程序下的熟地地价，再根据当地各项通平开发所需的客观费用水平，逐项减价修正。</w:t>
      </w:r>
    </w:p>
    <w:p w14:paraId="030088B3" w14:textId="77777777" w:rsidR="00495C65" w:rsidRDefault="00495C65" w:rsidP="00495C65">
      <w:pPr>
        <w:pStyle w:val="13"/>
      </w:pPr>
      <w:r>
        <w:rPr>
          <w:rFonts w:hint="eastAsia"/>
        </w:rPr>
        <w:t>（</w:t>
      </w:r>
      <w:r>
        <w:t>2）有地上建筑物的土地出让评估。对土地连同建筑物或构筑物整体一并出让的，</w:t>
      </w:r>
      <w:r>
        <w:rPr>
          <w:rFonts w:hint="eastAsia"/>
        </w:rPr>
        <w:t>出让</w:t>
      </w:r>
      <w:proofErr w:type="gramStart"/>
      <w:r>
        <w:rPr>
          <w:rFonts w:hint="eastAsia"/>
        </w:rPr>
        <w:t>评估按</w:t>
      </w:r>
      <w:proofErr w:type="gramEnd"/>
      <w:r>
        <w:rPr>
          <w:rFonts w:hint="eastAsia"/>
        </w:rPr>
        <w:t>出让时的规划建设条件进行。</w:t>
      </w:r>
    </w:p>
    <w:p w14:paraId="4688DA1F" w14:textId="77777777" w:rsidR="00495C65" w:rsidRDefault="00495C65" w:rsidP="00495C65">
      <w:pPr>
        <w:pStyle w:val="13"/>
      </w:pPr>
      <w:r>
        <w:rPr>
          <w:rFonts w:hint="eastAsia"/>
        </w:rPr>
        <w:t>当出让时以及出让后不改变现状、不重新设定规划建设条件的，评估结果等于净地价加地上建筑物重置价减去折旧；当出让时重新设定规划建设条件的，评估结果等于新设定规划建设条件下的净地价减去场内拆</w:t>
      </w:r>
      <w:proofErr w:type="gramStart"/>
      <w:r>
        <w:rPr>
          <w:rFonts w:hint="eastAsia"/>
        </w:rPr>
        <w:t>平工作</w:t>
      </w:r>
      <w:proofErr w:type="gramEnd"/>
      <w:r>
        <w:rPr>
          <w:rFonts w:hint="eastAsia"/>
        </w:rPr>
        <w:t>费用。</w:t>
      </w:r>
    </w:p>
    <w:p w14:paraId="0B24BFB8" w14:textId="77777777" w:rsidR="00495C65" w:rsidRDefault="00495C65" w:rsidP="00495C65">
      <w:pPr>
        <w:pStyle w:val="13"/>
      </w:pPr>
      <w:r>
        <w:rPr>
          <w:rFonts w:hint="eastAsia"/>
        </w:rPr>
        <w:t>作为整体出让的土地连同地上建筑物或构筑物，权属应为国有且无争议。</w:t>
      </w:r>
    </w:p>
    <w:p w14:paraId="1BDBA1E7" w14:textId="77777777" w:rsidR="00495C65" w:rsidRDefault="00495C65" w:rsidP="00495C65">
      <w:pPr>
        <w:pStyle w:val="ab"/>
        <w:spacing w:before="62" w:after="62"/>
        <w:ind w:firstLine="482"/>
      </w:pPr>
      <w:r>
        <w:t>6.2 特定条件的</w:t>
      </w:r>
      <w:proofErr w:type="gramStart"/>
      <w:r>
        <w:t>招拍挂</w:t>
      </w:r>
      <w:proofErr w:type="gramEnd"/>
      <w:r>
        <w:t>出让方式</w:t>
      </w:r>
    </w:p>
    <w:p w14:paraId="53DEED43" w14:textId="77777777" w:rsidR="00495C65" w:rsidRDefault="00495C65" w:rsidP="00495C65">
      <w:pPr>
        <w:pStyle w:val="13"/>
      </w:pPr>
      <w:r>
        <w:rPr>
          <w:rFonts w:hint="eastAsia"/>
        </w:rPr>
        <w:t>（</w:t>
      </w:r>
      <w:r>
        <w:t>1）限地价、竞配建（或竞房价、竞</w:t>
      </w:r>
      <w:proofErr w:type="gramStart"/>
      <w:r>
        <w:t>自持</w:t>
      </w:r>
      <w:proofErr w:type="gramEnd"/>
      <w:r>
        <w:t>面积等）。采用“限地价、竞房价（或竞</w:t>
      </w:r>
      <w:proofErr w:type="gramStart"/>
      <w:r>
        <w:rPr>
          <w:rFonts w:hint="eastAsia"/>
        </w:rPr>
        <w:t>自持</w:t>
      </w:r>
      <w:proofErr w:type="gramEnd"/>
      <w:r>
        <w:rPr>
          <w:rFonts w:hint="eastAsia"/>
        </w:rPr>
        <w:t>面积）”方式出让的，在评估时应按本规范，评估出正常市场条件下的土地价格。</w:t>
      </w:r>
    </w:p>
    <w:p w14:paraId="2A411515" w14:textId="77777777" w:rsidR="00495C65" w:rsidRDefault="00495C65" w:rsidP="00495C65">
      <w:pPr>
        <w:pStyle w:val="13"/>
      </w:pPr>
      <w:r>
        <w:rPr>
          <w:rFonts w:hint="eastAsia"/>
        </w:rPr>
        <w:t>采用“限地价、竞配建”方式的，土地估价报告中应评估出正常市场条件下的土地价格，给出底价建议，以及根据市场情况建议采用的地价上限，并提出建议的起始价或起拍价，一般情况下应符合：起始价≤出让底价≤地价上限。当起始价≤地价上</w:t>
      </w:r>
      <w:r>
        <w:rPr>
          <w:rFonts w:hint="eastAsia"/>
        </w:rPr>
        <w:lastRenderedPageBreak/>
        <w:t>限≤出让底价时，地价上限与出让底价之间的差额，应按配建方式和</w:t>
      </w:r>
      <w:proofErr w:type="gramStart"/>
      <w:r>
        <w:rPr>
          <w:rFonts w:hint="eastAsia"/>
        </w:rPr>
        <w:t>配建成</w:t>
      </w:r>
      <w:proofErr w:type="gramEnd"/>
      <w:r>
        <w:rPr>
          <w:rFonts w:hint="eastAsia"/>
        </w:rPr>
        <w:t>本，折算最低应配建的建筑面积，并在土地估价报告中明示。</w:t>
      </w:r>
    </w:p>
    <w:p w14:paraId="1DD29621" w14:textId="77777777" w:rsidR="00495C65" w:rsidRDefault="00495C65" w:rsidP="00495C65">
      <w:pPr>
        <w:pStyle w:val="13"/>
      </w:pPr>
      <w:r>
        <w:rPr>
          <w:rFonts w:hint="eastAsia"/>
        </w:rPr>
        <w:t>（</w:t>
      </w:r>
      <w:r>
        <w:t>2）限房价、竞地价。采用“限房价、竞地价”方式出让的土地，在出让评估时，</w:t>
      </w:r>
      <w:r>
        <w:rPr>
          <w:rFonts w:hint="eastAsia"/>
        </w:rPr>
        <w:t>应充分考虑建成房屋首次售出后是否可上市流转。对不能上市流转，或只能由政府定价回购，或上市前需补缴土地收益的限价房开发项目，在采用剩余法评估时，按限定的房价取值。</w:t>
      </w:r>
    </w:p>
    <w:p w14:paraId="32D63F1D" w14:textId="77777777" w:rsidR="00495C65" w:rsidRDefault="00495C65" w:rsidP="00495C65">
      <w:pPr>
        <w:pStyle w:val="13"/>
      </w:pPr>
      <w:r>
        <w:rPr>
          <w:rFonts w:hint="eastAsia"/>
        </w:rPr>
        <w:t>（</w:t>
      </w:r>
      <w:r>
        <w:t>3）出让时约定租赁住宅面积比例。约定一定比例的，采用剩余法时，以市场正常</w:t>
      </w:r>
      <w:r>
        <w:rPr>
          <w:rFonts w:hint="eastAsia"/>
        </w:rPr>
        <w:t>租金水平为依据测算相应比例的不动产价值。纯租赁住宅用地出让，有租赁住宅用地可比实例的，优先采用市场比较法，实例不足的，应采用收益还原法。</w:t>
      </w:r>
    </w:p>
    <w:p w14:paraId="60400E2E" w14:textId="77777777" w:rsidR="00495C65" w:rsidRDefault="00495C65" w:rsidP="00495C65">
      <w:pPr>
        <w:pStyle w:val="ab"/>
        <w:spacing w:before="62" w:after="62"/>
        <w:ind w:firstLine="482"/>
      </w:pPr>
      <w:r>
        <w:t>6.3 协议出让</w:t>
      </w:r>
    </w:p>
    <w:p w14:paraId="146CE1F7" w14:textId="77777777" w:rsidR="00495C65" w:rsidRDefault="00495C65" w:rsidP="00495C65">
      <w:pPr>
        <w:pStyle w:val="13"/>
      </w:pPr>
      <w:r>
        <w:rPr>
          <w:rFonts w:hint="eastAsia"/>
        </w:rPr>
        <w:t>（</w:t>
      </w:r>
      <w:r>
        <w:t>1）对应当实行有偿使用，且可以不采用招标拍卖挂牌方式出让的。应按本规范评</w:t>
      </w:r>
      <w:r>
        <w:rPr>
          <w:rFonts w:hint="eastAsia"/>
        </w:rPr>
        <w:t>估其在设定开发建设条件下的正常市场价格，并提出建议的出让底价。同时，还应在土地估价报告中测算并对比说明该建议出让底价是否符合当地的协议出让最低价标准。</w:t>
      </w:r>
    </w:p>
    <w:p w14:paraId="30257FBF" w14:textId="77777777" w:rsidR="00495C65" w:rsidRDefault="00495C65" w:rsidP="00495C65">
      <w:pPr>
        <w:pStyle w:val="13"/>
      </w:pPr>
      <w:r>
        <w:rPr>
          <w:rFonts w:hint="eastAsia"/>
        </w:rPr>
        <w:t>当地未公布协议出让最低价标准的，</w:t>
      </w:r>
      <w:proofErr w:type="gramStart"/>
      <w:r>
        <w:rPr>
          <w:rFonts w:hint="eastAsia"/>
        </w:rPr>
        <w:t>按拟出让</w:t>
      </w:r>
      <w:proofErr w:type="gramEnd"/>
      <w:r>
        <w:rPr>
          <w:rFonts w:hint="eastAsia"/>
        </w:rPr>
        <w:t>土地所在级别基准地价的</w:t>
      </w:r>
      <w:r>
        <w:t>70％测算</w:t>
      </w:r>
      <w:r>
        <w:rPr>
          <w:rFonts w:hint="eastAsia"/>
        </w:rPr>
        <w:t>对比；拟出让土地在基准地价覆盖范围外的，按照本规范成本法的要求，与土地取得的各项成本费用之和进行对比。</w:t>
      </w:r>
    </w:p>
    <w:p w14:paraId="29A29303" w14:textId="77777777" w:rsidR="00495C65" w:rsidRDefault="00495C65" w:rsidP="00495C65">
      <w:pPr>
        <w:pStyle w:val="13"/>
      </w:pPr>
      <w:r>
        <w:rPr>
          <w:rFonts w:hint="eastAsia"/>
        </w:rPr>
        <w:t>评估结果低于协议出让最低价标准的，应在土地估价报告中有明确提示。</w:t>
      </w:r>
    </w:p>
    <w:p w14:paraId="5CEE9EA6" w14:textId="77777777" w:rsidR="00495C65" w:rsidRDefault="00495C65" w:rsidP="00495C65">
      <w:pPr>
        <w:pStyle w:val="13"/>
      </w:pPr>
      <w:r>
        <w:rPr>
          <w:rFonts w:hint="eastAsia"/>
        </w:rPr>
        <w:t>（</w:t>
      </w:r>
      <w:r>
        <w:t>2）划拨土地办理协议出让。使用权人申请以协议出让方式办理出让，出让时不改</w:t>
      </w:r>
      <w:r>
        <w:rPr>
          <w:rFonts w:hint="eastAsia"/>
        </w:rPr>
        <w:t>变土地及建筑物、构筑物现状的，应按本规范评估在现状使用条件下的出让土地使用权正常市场价格，减去划拨土地使用权价格，作为评估结果，并提出底价建议。出让时重新设定规划建设条件的，应按本规范评估在新设定规划建设条件下的出让土地使用权正常市场价格，减去现状使用条件下的划拨土地使用权价格，作为评估结果，并提出底价建议。</w:t>
      </w:r>
    </w:p>
    <w:p w14:paraId="494927DC" w14:textId="77777777" w:rsidR="00495C65" w:rsidRDefault="00495C65" w:rsidP="00495C65">
      <w:pPr>
        <w:pStyle w:val="13"/>
      </w:pPr>
      <w:r>
        <w:rPr>
          <w:rFonts w:hint="eastAsia"/>
        </w:rPr>
        <w:t>当地对划拨土地使用权补办出让手续应缴土地收益有明确规定的，应与评估结果进行对比，在土地估价报告中明确提示对比结果，合理确定应缴土地收益。</w:t>
      </w:r>
    </w:p>
    <w:p w14:paraId="168B0FCC" w14:textId="77777777" w:rsidR="00495C65" w:rsidRDefault="00495C65" w:rsidP="00495C65">
      <w:pPr>
        <w:pStyle w:val="ab"/>
        <w:spacing w:before="62" w:after="62"/>
        <w:ind w:firstLine="482"/>
      </w:pPr>
      <w:r>
        <w:t>6.4 已出让土地补缴地价款</w:t>
      </w:r>
    </w:p>
    <w:p w14:paraId="6FE9B5A9" w14:textId="77777777" w:rsidR="00495C65" w:rsidRDefault="00495C65" w:rsidP="00495C65">
      <w:pPr>
        <w:pStyle w:val="13"/>
      </w:pPr>
      <w:r>
        <w:rPr>
          <w:rFonts w:hint="eastAsia"/>
        </w:rPr>
        <w:t>（</w:t>
      </w:r>
      <w:r>
        <w:t>1）估价期日的确定。土地出让后经原出让</w:t>
      </w:r>
      <w:proofErr w:type="gramStart"/>
      <w:r>
        <w:t>方批准</w:t>
      </w:r>
      <w:proofErr w:type="gramEnd"/>
      <w:r>
        <w:t>改变用途或容积率等土地使用</w:t>
      </w:r>
      <w:r>
        <w:rPr>
          <w:rFonts w:hint="eastAsia"/>
        </w:rPr>
        <w:t>条件的，在评估需补缴地价款时，估价期日应以国土资源主管部门依法受理补缴地价申请时点为准。</w:t>
      </w:r>
    </w:p>
    <w:p w14:paraId="73EB0934" w14:textId="77777777" w:rsidR="00495C65" w:rsidRDefault="00495C65" w:rsidP="00495C65">
      <w:pPr>
        <w:pStyle w:val="13"/>
      </w:pPr>
      <w:r>
        <w:rPr>
          <w:rFonts w:hint="eastAsia"/>
        </w:rPr>
        <w:t>（</w:t>
      </w:r>
      <w:r>
        <w:t>2）调整容积率补缴地价。调整容积率的，需补缴地价款等于楼面地价乘以新增建</w:t>
      </w:r>
      <w:r>
        <w:rPr>
          <w:rFonts w:hint="eastAsia"/>
        </w:rPr>
        <w:t>筑面积，楼面地价按新容积率规划条件下估价期日的楼面地价确定。</w:t>
      </w:r>
    </w:p>
    <w:p w14:paraId="1ACD16FD" w14:textId="77777777" w:rsidR="00495C65" w:rsidRDefault="00495C65" w:rsidP="00495C65">
      <w:pPr>
        <w:pStyle w:val="13"/>
      </w:pPr>
      <w:r>
        <w:rPr>
          <w:rFonts w:hint="eastAsia"/>
        </w:rPr>
        <w:t>核定新增建筑面积，可以相关部门批准变更规划条件所新增的建筑面积为准，或</w:t>
      </w:r>
      <w:r>
        <w:rPr>
          <w:rFonts w:hint="eastAsia"/>
        </w:rPr>
        <w:lastRenderedPageBreak/>
        <w:t>竣工验收时实测的新增建筑面积为准。</w:t>
      </w:r>
    </w:p>
    <w:p w14:paraId="48F7AE91" w14:textId="77777777" w:rsidR="00495C65" w:rsidRDefault="00495C65" w:rsidP="00495C65">
      <w:pPr>
        <w:pStyle w:val="13"/>
      </w:pPr>
      <w:r>
        <w:rPr>
          <w:rFonts w:hint="eastAsia"/>
        </w:rPr>
        <w:t>因调低容积率造成地价增值的，补缴地价款可按估价期日新旧容积率规划条件下总地价的差额确定。</w:t>
      </w:r>
    </w:p>
    <w:p w14:paraId="60F0D587" w14:textId="77777777" w:rsidR="00495C65" w:rsidRDefault="00495C65" w:rsidP="00495C65">
      <w:pPr>
        <w:pStyle w:val="13"/>
      </w:pPr>
      <w:r>
        <w:rPr>
          <w:rFonts w:hint="eastAsia"/>
        </w:rPr>
        <w:t>容积率调整前后均低于</w:t>
      </w:r>
      <w:r>
        <w:t>1的，按容积率为1核算楼面地价。</w:t>
      </w:r>
    </w:p>
    <w:p w14:paraId="123C889E" w14:textId="77777777" w:rsidR="00495C65" w:rsidRDefault="00495C65" w:rsidP="00495C65">
      <w:pPr>
        <w:pStyle w:val="13"/>
      </w:pPr>
      <w:r>
        <w:rPr>
          <w:rFonts w:hint="eastAsia"/>
        </w:rPr>
        <w:t>（</w:t>
      </w:r>
      <w:r>
        <w:t>3）调整用途补缴地价。调整用途的，需补缴地价款等于新、旧用途楼面地价之差</w:t>
      </w:r>
      <w:r>
        <w:rPr>
          <w:rFonts w:hint="eastAsia"/>
        </w:rPr>
        <w:t>乘以建筑面积。新、旧用途楼面地价均为估价期日的正常市场价格。</w:t>
      </w:r>
    </w:p>
    <w:p w14:paraId="3751D071" w14:textId="77777777" w:rsidR="00495C65" w:rsidRDefault="00495C65" w:rsidP="00495C65">
      <w:pPr>
        <w:pStyle w:val="13"/>
      </w:pPr>
      <w:r>
        <w:rPr>
          <w:rFonts w:hint="eastAsia"/>
        </w:rPr>
        <w:t>用地结构调整的，分别核算各用途建筑面积变化带来的地价增减额，合并计算应补缴地价款。各用途的楼面地价按调整结构后确定。</w:t>
      </w:r>
    </w:p>
    <w:p w14:paraId="58B65DFC" w14:textId="77777777" w:rsidR="00495C65" w:rsidRDefault="00495C65" w:rsidP="00495C65">
      <w:pPr>
        <w:pStyle w:val="13"/>
      </w:pPr>
      <w:r>
        <w:rPr>
          <w:rFonts w:hint="eastAsia"/>
        </w:rPr>
        <w:t>工业用地调整用途的，需补缴地价款等于新用途楼面地价乘以新用途建筑面积，减去现状工业用地价格。</w:t>
      </w:r>
    </w:p>
    <w:p w14:paraId="67406BB4" w14:textId="77777777" w:rsidR="00495C65" w:rsidRDefault="00495C65" w:rsidP="00495C65">
      <w:pPr>
        <w:pStyle w:val="13"/>
      </w:pPr>
      <w:r>
        <w:rPr>
          <w:rFonts w:hint="eastAsia"/>
        </w:rPr>
        <w:t>（</w:t>
      </w:r>
      <w:r>
        <w:t>4）多项条件同时调整。多项用地条件同时调整的，应分别核算各项条件调整带来</w:t>
      </w:r>
      <w:r>
        <w:rPr>
          <w:rFonts w:hint="eastAsia"/>
        </w:rPr>
        <w:t>的地价增减额，合并计算应补缴地价款。</w:t>
      </w:r>
    </w:p>
    <w:p w14:paraId="2D70CC75" w14:textId="77777777" w:rsidR="00495C65" w:rsidRDefault="00495C65" w:rsidP="00495C65">
      <w:pPr>
        <w:pStyle w:val="13"/>
      </w:pPr>
      <w:r>
        <w:rPr>
          <w:rFonts w:hint="eastAsia"/>
        </w:rPr>
        <w:t>用途与容积率同时调整的。需补缴地价款等于新用途楼面地价乘以新增建筑面积，加上新、旧用途楼面地价之差乘以原建筑总面积。新用途楼面地价按新容积率、新用途规划条件的正常市场楼面地价确定，旧用途楼面地价按原容积率规划条件下的正常市场楼面地价确定。</w:t>
      </w:r>
    </w:p>
    <w:p w14:paraId="5B6065D7" w14:textId="77777777" w:rsidR="00495C65" w:rsidRDefault="00495C65" w:rsidP="00495C65">
      <w:pPr>
        <w:pStyle w:val="13"/>
      </w:pPr>
      <w:r>
        <w:rPr>
          <w:rFonts w:hint="eastAsia"/>
        </w:rPr>
        <w:t>因其他土地利用条件调整需补缴地价款的，参照上述技术思路评估。</w:t>
      </w:r>
    </w:p>
    <w:p w14:paraId="1C2FD1EF" w14:textId="77777777" w:rsidR="00495C65" w:rsidRDefault="00495C65" w:rsidP="00495C65">
      <w:pPr>
        <w:pStyle w:val="13"/>
      </w:pPr>
      <w:r>
        <w:rPr>
          <w:rFonts w:hint="eastAsia"/>
        </w:rPr>
        <w:t>核定需补缴地价款时，不能以土地出让金、土地增值收益或土地纯收益代替。</w:t>
      </w:r>
    </w:p>
    <w:p w14:paraId="719575B8" w14:textId="77777777" w:rsidR="00495C65" w:rsidRDefault="00495C65" w:rsidP="00AF7342">
      <w:pPr>
        <w:pStyle w:val="a9"/>
        <w:spacing w:before="62" w:after="62"/>
      </w:pPr>
      <w:r>
        <w:t>7 估价报告内容</w:t>
      </w:r>
    </w:p>
    <w:p w14:paraId="0DD20105" w14:textId="77777777" w:rsidR="00495C65" w:rsidRDefault="00495C65" w:rsidP="00495C65">
      <w:pPr>
        <w:pStyle w:val="13"/>
      </w:pPr>
      <w:r>
        <w:rPr>
          <w:rFonts w:hint="eastAsia"/>
        </w:rPr>
        <w:t>除需符合《城镇土地估价规程》规定的报告内容和格式外，出让地价的土地估价报告还应符合下列要求：</w:t>
      </w:r>
    </w:p>
    <w:p w14:paraId="4C7DC2F4" w14:textId="77777777" w:rsidR="00495C65" w:rsidRDefault="00495C65" w:rsidP="00495C65">
      <w:pPr>
        <w:pStyle w:val="13"/>
        <w:ind w:firstLine="482"/>
      </w:pPr>
      <w:r w:rsidRPr="00F33247">
        <w:rPr>
          <w:b/>
          <w:bCs/>
        </w:rPr>
        <w:t>7.1 估价结果。</w:t>
      </w:r>
      <w:r>
        <w:t>涉及协议出让最低价标准、工业用地出让最低价标准等最低限价的，</w:t>
      </w:r>
      <w:r>
        <w:rPr>
          <w:rFonts w:hint="eastAsia"/>
        </w:rPr>
        <w:t>在土地估价报告的“估价结果”部分，应同时列出评估结果，以及相应最低限价标准。</w:t>
      </w:r>
    </w:p>
    <w:p w14:paraId="0FACF5F1" w14:textId="77777777" w:rsidR="00495C65" w:rsidRDefault="00495C65" w:rsidP="00495C65">
      <w:pPr>
        <w:pStyle w:val="13"/>
      </w:pPr>
      <w:r>
        <w:rPr>
          <w:rFonts w:hint="eastAsia"/>
        </w:rPr>
        <w:t>在土地估价报告的“估价结果”部分，应有明确的底价决策建议及理由。</w:t>
      </w:r>
    </w:p>
    <w:p w14:paraId="7963D638" w14:textId="77777777" w:rsidR="00495C65" w:rsidRDefault="00495C65" w:rsidP="00495C65">
      <w:pPr>
        <w:pStyle w:val="13"/>
        <w:ind w:firstLine="482"/>
      </w:pPr>
      <w:r w:rsidRPr="009645C1">
        <w:rPr>
          <w:b/>
          <w:bCs/>
        </w:rPr>
        <w:t>7.2 报告组成要件。</w:t>
      </w:r>
      <w:r>
        <w:t>除《城镇土地估价规程》规定的附件内容外（机构依法备案的</w:t>
      </w:r>
      <w:r>
        <w:rPr>
          <w:rFonts w:hint="eastAsia"/>
        </w:rPr>
        <w:t>有关证明为必备要件），应</w:t>
      </w:r>
      <w:proofErr w:type="gramStart"/>
      <w:r>
        <w:rPr>
          <w:rFonts w:hint="eastAsia"/>
        </w:rPr>
        <w:t>视委托</w:t>
      </w:r>
      <w:proofErr w:type="gramEnd"/>
      <w:r>
        <w:rPr>
          <w:rFonts w:hint="eastAsia"/>
        </w:rPr>
        <w:t>方提供材料情况，在土地估价报告后附具：</w:t>
      </w:r>
    </w:p>
    <w:p w14:paraId="061E20FA" w14:textId="77777777" w:rsidR="00495C65" w:rsidRDefault="00495C65" w:rsidP="00495C65">
      <w:pPr>
        <w:pStyle w:val="13"/>
      </w:pPr>
      <w:r>
        <w:rPr>
          <w:rFonts w:hint="eastAsia"/>
        </w:rPr>
        <w:t>（</w:t>
      </w:r>
      <w:r>
        <w:t>1）涉及土地取得成本的相关文件、标准，以及委托方提供的征地拆迁补偿和安置</w:t>
      </w:r>
      <w:r>
        <w:rPr>
          <w:rFonts w:hint="eastAsia"/>
        </w:rPr>
        <w:t>协议等资料；</w:t>
      </w:r>
    </w:p>
    <w:p w14:paraId="4CE3C965" w14:textId="77777777" w:rsidR="00495C65" w:rsidRDefault="00495C65" w:rsidP="00495C65">
      <w:pPr>
        <w:pStyle w:val="13"/>
      </w:pPr>
      <w:r>
        <w:rPr>
          <w:rFonts w:hint="eastAsia"/>
        </w:rPr>
        <w:t>（</w:t>
      </w:r>
      <w:r>
        <w:t>2）已形成土地出让方案的，应附方案；</w:t>
      </w:r>
    </w:p>
    <w:p w14:paraId="59B218D5" w14:textId="77777777" w:rsidR="00495C65" w:rsidRDefault="00495C65" w:rsidP="00495C65">
      <w:pPr>
        <w:pStyle w:val="13"/>
      </w:pPr>
      <w:r>
        <w:rPr>
          <w:rFonts w:hint="eastAsia"/>
        </w:rPr>
        <w:t>（</w:t>
      </w:r>
      <w:r>
        <w:t>3）报告中采用的相关实例的详细资料（包括照片）；</w:t>
      </w:r>
    </w:p>
    <w:p w14:paraId="206F87DC" w14:textId="77777777" w:rsidR="00495C65" w:rsidRDefault="00495C65" w:rsidP="00495C65">
      <w:pPr>
        <w:pStyle w:val="13"/>
      </w:pPr>
      <w:r>
        <w:rPr>
          <w:rFonts w:hint="eastAsia"/>
        </w:rPr>
        <w:t>（</w:t>
      </w:r>
      <w:r>
        <w:t>4）设定规划建设条件的相关文件依据。</w:t>
      </w:r>
    </w:p>
    <w:p w14:paraId="71BBCCA6" w14:textId="77777777" w:rsidR="00495C65" w:rsidRPr="009F09D5" w:rsidRDefault="00495C65" w:rsidP="00495C65">
      <w:pPr>
        <w:pStyle w:val="31"/>
        <w:spacing w:before="156" w:after="62"/>
        <w:rPr>
          <w:spacing w:val="-2"/>
        </w:rPr>
      </w:pPr>
      <w:bookmarkStart w:id="200" w:name="_Toc81833433"/>
      <w:r w:rsidRPr="009F09D5">
        <w:rPr>
          <w:spacing w:val="-2"/>
        </w:rPr>
        <w:lastRenderedPageBreak/>
        <w:t>划拨国有建设用地使用权地价评估指导意见（试行）（自然资办函〔2019〕922号）</w:t>
      </w:r>
      <w:bookmarkEnd w:id="200"/>
    </w:p>
    <w:p w14:paraId="3BAAEA90" w14:textId="77777777" w:rsidR="00495C65" w:rsidRDefault="00495C65" w:rsidP="00495C65">
      <w:pPr>
        <w:pStyle w:val="13"/>
        <w:ind w:firstLineChars="0" w:firstLine="0"/>
      </w:pPr>
      <w:r>
        <w:rPr>
          <w:rFonts w:hint="eastAsia"/>
        </w:rPr>
        <w:t>各省、自治区、直辖市自然资源主管部门，新疆生产建设兵团自然资源主管部门，中央军委后勤保障部军事设施建设局：</w:t>
      </w:r>
    </w:p>
    <w:p w14:paraId="26F567B0" w14:textId="77777777" w:rsidR="00495C65" w:rsidRDefault="00495C65" w:rsidP="00495C65">
      <w:pPr>
        <w:pStyle w:val="13"/>
      </w:pPr>
      <w:r>
        <w:rPr>
          <w:rFonts w:hint="eastAsia"/>
        </w:rPr>
        <w:t>为科学合理评估划拨国有建设用地使用权地价，部组织研究制定了《划拨国有建设用地使用权地价评估指导意见（试行）》，现印发实施。</w:t>
      </w:r>
    </w:p>
    <w:p w14:paraId="2F978874" w14:textId="77777777" w:rsidR="00495C65" w:rsidRDefault="00495C65" w:rsidP="00495C65">
      <w:pPr>
        <w:pStyle w:val="13"/>
      </w:pPr>
      <w:r>
        <w:rPr>
          <w:rFonts w:hint="eastAsia"/>
        </w:rPr>
        <w:t>附件：划拨国有建设用地使用权地价评估指导意见（试行）</w:t>
      </w:r>
    </w:p>
    <w:p w14:paraId="635AA8D9" w14:textId="77777777" w:rsidR="00495C65" w:rsidRDefault="00495C65" w:rsidP="00495C65">
      <w:pPr>
        <w:pStyle w:val="13"/>
        <w:jc w:val="right"/>
      </w:pPr>
      <w:r>
        <w:rPr>
          <w:rFonts w:hint="eastAsia"/>
        </w:rPr>
        <w:t>自然资源部办公厅</w:t>
      </w:r>
    </w:p>
    <w:p w14:paraId="280C7D73" w14:textId="77777777" w:rsidR="00495C65" w:rsidRDefault="00495C65" w:rsidP="00495C65">
      <w:pPr>
        <w:pStyle w:val="13"/>
        <w:jc w:val="right"/>
      </w:pPr>
      <w:r>
        <w:t>2019年5月31日</w:t>
      </w:r>
    </w:p>
    <w:p w14:paraId="594FE4AE" w14:textId="77777777" w:rsidR="00495C65" w:rsidRDefault="00495C65" w:rsidP="00AF7342">
      <w:pPr>
        <w:pStyle w:val="a9"/>
        <w:spacing w:before="62" w:after="62"/>
      </w:pPr>
      <w:r>
        <w:rPr>
          <w:rFonts w:hint="eastAsia"/>
        </w:rPr>
        <w:t>划拨国有建设用地使用权地价评估指导意见（试行）</w:t>
      </w:r>
    </w:p>
    <w:p w14:paraId="6904DA9A" w14:textId="77777777" w:rsidR="00495C65" w:rsidRDefault="00495C65" w:rsidP="00AF7342">
      <w:pPr>
        <w:pStyle w:val="a9"/>
        <w:spacing w:before="62" w:after="62"/>
      </w:pPr>
      <w:r>
        <w:rPr>
          <w:rFonts w:hint="eastAsia"/>
        </w:rPr>
        <w:t>前言</w:t>
      </w:r>
    </w:p>
    <w:p w14:paraId="7A432C4B" w14:textId="77777777" w:rsidR="00495C65" w:rsidRDefault="00495C65" w:rsidP="00495C65">
      <w:pPr>
        <w:pStyle w:val="13"/>
      </w:pPr>
      <w:r>
        <w:rPr>
          <w:rFonts w:hint="eastAsia"/>
        </w:rPr>
        <w:t>为规范国有划拨建设用地使用权地价（以下简称“划拨地价”）评估行为，根据《中华人民共和国物权法》《中华人民共和国土地管理法》《中华人民共和国城市房地产管理法》《中华人民共和国资产评估法》等相关法律法规和土地估价国家标准、行业标准，制定本指导意见。</w:t>
      </w:r>
    </w:p>
    <w:p w14:paraId="7E073E17" w14:textId="77777777" w:rsidR="00495C65" w:rsidRDefault="00495C65" w:rsidP="00495C65">
      <w:pPr>
        <w:pStyle w:val="13"/>
      </w:pPr>
      <w:r>
        <w:rPr>
          <w:rFonts w:hint="eastAsia"/>
        </w:rPr>
        <w:t>本指导意见由自然资源部提出并归口。</w:t>
      </w:r>
    </w:p>
    <w:p w14:paraId="76E5FA81" w14:textId="77777777" w:rsidR="00495C65" w:rsidRDefault="00495C65" w:rsidP="00495C65">
      <w:pPr>
        <w:pStyle w:val="13"/>
      </w:pPr>
      <w:r>
        <w:rPr>
          <w:rFonts w:hint="eastAsia"/>
        </w:rPr>
        <w:t>本指导意见起草单位：自然资源部自然资源开发利用司、中国土地估价师与土地登记代理人协会。</w:t>
      </w:r>
    </w:p>
    <w:p w14:paraId="6FC81455" w14:textId="77777777" w:rsidR="00495C65" w:rsidRDefault="00495C65" w:rsidP="00495C65">
      <w:pPr>
        <w:pStyle w:val="13"/>
      </w:pPr>
      <w:r>
        <w:rPr>
          <w:rFonts w:hint="eastAsia"/>
        </w:rPr>
        <w:t>本指导意见由自然资源部负责解释。</w:t>
      </w:r>
    </w:p>
    <w:p w14:paraId="69C0E940" w14:textId="77777777" w:rsidR="00495C65" w:rsidRDefault="00495C65" w:rsidP="00495C65">
      <w:pPr>
        <w:pStyle w:val="ab"/>
        <w:spacing w:before="62" w:after="62"/>
        <w:ind w:firstLine="482"/>
      </w:pPr>
      <w:r>
        <w:t>1.地价定义</w:t>
      </w:r>
    </w:p>
    <w:p w14:paraId="28C13D81" w14:textId="77777777" w:rsidR="00495C65" w:rsidRDefault="00495C65" w:rsidP="00495C65">
      <w:pPr>
        <w:pStyle w:val="13"/>
      </w:pPr>
      <w:r>
        <w:rPr>
          <w:rFonts w:hint="eastAsia"/>
        </w:rPr>
        <w:t>本指导意见所述划拨国有建设用地使用权地价，是指以划拨方式取得的、无年期限制的土地使用权价格。</w:t>
      </w:r>
    </w:p>
    <w:p w14:paraId="18613E01" w14:textId="77777777" w:rsidR="00495C65" w:rsidRDefault="00495C65" w:rsidP="00495C65">
      <w:pPr>
        <w:pStyle w:val="ab"/>
        <w:spacing w:before="62" w:after="62"/>
        <w:ind w:firstLine="482"/>
      </w:pPr>
      <w:r>
        <w:t>2.引用的标准</w:t>
      </w:r>
    </w:p>
    <w:p w14:paraId="6594726B" w14:textId="77777777" w:rsidR="00495C65" w:rsidRDefault="00495C65" w:rsidP="00495C65">
      <w:pPr>
        <w:pStyle w:val="13"/>
      </w:pPr>
      <w:r>
        <w:rPr>
          <w:rFonts w:hint="eastAsia"/>
        </w:rPr>
        <w:t>下列标准所包含的条文，通过在本指导意见中引用而构成本指导意见的条文。本指导意见颁布时，所示版本均为有效。使用本指导意见的各方应使用下列各标准的最新版本。</w:t>
      </w:r>
    </w:p>
    <w:p w14:paraId="0AF66CB5" w14:textId="77777777" w:rsidR="00495C65" w:rsidRDefault="00495C65" w:rsidP="00495C65">
      <w:pPr>
        <w:pStyle w:val="13"/>
      </w:pPr>
      <w:r>
        <w:t>GB/T 18508-2014《城镇土地估价规程》</w:t>
      </w:r>
    </w:p>
    <w:p w14:paraId="2AB51C92" w14:textId="77777777" w:rsidR="00495C65" w:rsidRDefault="00495C65" w:rsidP="00495C65">
      <w:pPr>
        <w:pStyle w:val="13"/>
      </w:pPr>
      <w:r>
        <w:t>GB/T 18507-2014《城镇土地分等定级规程》</w:t>
      </w:r>
    </w:p>
    <w:p w14:paraId="0115C517" w14:textId="77777777" w:rsidR="00495C65" w:rsidRDefault="00495C65" w:rsidP="00495C65">
      <w:pPr>
        <w:pStyle w:val="13"/>
      </w:pPr>
      <w:r>
        <w:t>GB/T 21010-2017《土地利用现状分类》</w:t>
      </w:r>
    </w:p>
    <w:p w14:paraId="3B36B1BD" w14:textId="77777777" w:rsidR="00495C65" w:rsidRDefault="00495C65" w:rsidP="00495C65">
      <w:pPr>
        <w:pStyle w:val="13"/>
      </w:pPr>
      <w:r>
        <w:t>TD/T 1052-2017《标定地价规程》</w:t>
      </w:r>
    </w:p>
    <w:p w14:paraId="3C4D63D9" w14:textId="77777777" w:rsidR="00495C65" w:rsidRDefault="00495C65" w:rsidP="00495C65">
      <w:pPr>
        <w:pStyle w:val="13"/>
      </w:pPr>
      <w:r>
        <w:t>TD/T 1009-2007《城市地价动态监测技术规范》</w:t>
      </w:r>
    </w:p>
    <w:p w14:paraId="7FFC4602" w14:textId="77777777" w:rsidR="00495C65" w:rsidRDefault="00495C65" w:rsidP="00495C65">
      <w:pPr>
        <w:pStyle w:val="13"/>
      </w:pPr>
      <w:r>
        <w:rPr>
          <w:rFonts w:hint="eastAsia"/>
        </w:rPr>
        <w:t>《国有建设用地使用权出让地价评估技术规范》（</w:t>
      </w:r>
      <w:proofErr w:type="gramStart"/>
      <w:r>
        <w:rPr>
          <w:rFonts w:hint="eastAsia"/>
        </w:rPr>
        <w:t>国土资厅发</w:t>
      </w:r>
      <w:proofErr w:type="gramEnd"/>
      <w:r>
        <w:rPr>
          <w:rFonts w:hint="eastAsia"/>
        </w:rPr>
        <w:t>〔</w:t>
      </w:r>
      <w:r>
        <w:t>2018〕4号）</w:t>
      </w:r>
    </w:p>
    <w:p w14:paraId="0C16B430" w14:textId="77777777" w:rsidR="00495C65" w:rsidRDefault="00495C65" w:rsidP="00495C65">
      <w:pPr>
        <w:pStyle w:val="ab"/>
        <w:spacing w:before="62" w:after="62"/>
        <w:ind w:firstLine="482"/>
      </w:pPr>
      <w:r>
        <w:t>3.评估方法</w:t>
      </w:r>
    </w:p>
    <w:p w14:paraId="5E0B59D8" w14:textId="77777777" w:rsidR="00495C65" w:rsidRDefault="00495C65" w:rsidP="00495C65">
      <w:pPr>
        <w:pStyle w:val="13"/>
      </w:pPr>
      <w:r>
        <w:rPr>
          <w:rFonts w:hint="eastAsia"/>
        </w:rPr>
        <w:t>（</w:t>
      </w:r>
      <w:r>
        <w:t>1）成本逼近法</w:t>
      </w:r>
    </w:p>
    <w:p w14:paraId="7482AD73" w14:textId="77777777" w:rsidR="00495C65" w:rsidRDefault="00495C65" w:rsidP="00495C65">
      <w:pPr>
        <w:pStyle w:val="13"/>
      </w:pPr>
      <w:r>
        <w:rPr>
          <w:rFonts w:hint="eastAsia"/>
        </w:rPr>
        <w:lastRenderedPageBreak/>
        <w:t>（</w:t>
      </w:r>
      <w:r>
        <w:t>2）市场比较法</w:t>
      </w:r>
    </w:p>
    <w:p w14:paraId="544509E4" w14:textId="77777777" w:rsidR="00495C65" w:rsidRDefault="00495C65" w:rsidP="00495C65">
      <w:pPr>
        <w:pStyle w:val="13"/>
      </w:pPr>
      <w:r>
        <w:rPr>
          <w:rFonts w:hint="eastAsia"/>
        </w:rPr>
        <w:t>（</w:t>
      </w:r>
      <w:r>
        <w:t>3）公示地价系数修正法</w:t>
      </w:r>
    </w:p>
    <w:p w14:paraId="77994611" w14:textId="77777777" w:rsidR="00495C65" w:rsidRDefault="00495C65" w:rsidP="00495C65">
      <w:pPr>
        <w:pStyle w:val="13"/>
      </w:pPr>
      <w:r>
        <w:rPr>
          <w:rFonts w:hint="eastAsia"/>
        </w:rPr>
        <w:t>（</w:t>
      </w:r>
      <w:r>
        <w:t>4）收益还原法</w:t>
      </w:r>
    </w:p>
    <w:p w14:paraId="4E21FD00" w14:textId="77777777" w:rsidR="00495C65" w:rsidRDefault="00495C65" w:rsidP="00495C65">
      <w:pPr>
        <w:pStyle w:val="13"/>
      </w:pPr>
      <w:r>
        <w:rPr>
          <w:rFonts w:hint="eastAsia"/>
        </w:rPr>
        <w:t>（</w:t>
      </w:r>
      <w:r>
        <w:t>5）剩余法</w:t>
      </w:r>
    </w:p>
    <w:p w14:paraId="08F3C88A" w14:textId="77777777" w:rsidR="00495C65" w:rsidRDefault="00495C65" w:rsidP="00495C65">
      <w:pPr>
        <w:pStyle w:val="13"/>
      </w:pPr>
      <w:r>
        <w:rPr>
          <w:rFonts w:hint="eastAsia"/>
        </w:rPr>
        <w:t>划拨地价评估，应至少选用以上评估方法中的两种。</w:t>
      </w:r>
    </w:p>
    <w:p w14:paraId="0B60F9F4" w14:textId="77777777" w:rsidR="00495C65" w:rsidRDefault="00495C65" w:rsidP="00495C65">
      <w:pPr>
        <w:pStyle w:val="ab"/>
        <w:spacing w:before="62" w:after="62"/>
        <w:ind w:firstLine="482"/>
      </w:pPr>
      <w:r>
        <w:t>4.评估要点</w:t>
      </w:r>
    </w:p>
    <w:p w14:paraId="2261B260" w14:textId="77777777" w:rsidR="00495C65" w:rsidRDefault="00495C65" w:rsidP="00495C65">
      <w:pPr>
        <w:pStyle w:val="13"/>
      </w:pPr>
      <w:r>
        <w:rPr>
          <w:rFonts w:hint="eastAsia"/>
        </w:rPr>
        <w:t>除遵循《城镇土地估价规程》一般规定外，各方法还可按以下要点评估：</w:t>
      </w:r>
    </w:p>
    <w:p w14:paraId="1904D136" w14:textId="77777777" w:rsidR="00495C65" w:rsidRDefault="00495C65" w:rsidP="00495C65">
      <w:pPr>
        <w:pStyle w:val="13"/>
      </w:pPr>
      <w:r>
        <w:t>4.1 成本逼近法</w:t>
      </w:r>
    </w:p>
    <w:p w14:paraId="68DAD144" w14:textId="77777777" w:rsidR="00495C65" w:rsidRDefault="00495C65" w:rsidP="00495C65">
      <w:pPr>
        <w:pStyle w:val="13"/>
      </w:pPr>
      <w:r>
        <w:rPr>
          <w:rFonts w:hint="eastAsia"/>
        </w:rPr>
        <w:t>（</w:t>
      </w:r>
      <w:r>
        <w:t>1）采用成本逼近法评估划拨地价，应选用客观的土地取得及开发成本数据，包括</w:t>
      </w:r>
      <w:r>
        <w:rPr>
          <w:rFonts w:hint="eastAsia"/>
        </w:rPr>
        <w:t>土地取得费、土地开发费、税费、利息、利润等分项。</w:t>
      </w:r>
    </w:p>
    <w:p w14:paraId="2D9B16F0" w14:textId="77777777" w:rsidR="00495C65" w:rsidRDefault="00495C65" w:rsidP="00495C65">
      <w:pPr>
        <w:pStyle w:val="13"/>
      </w:pPr>
      <w:r>
        <w:rPr>
          <w:rFonts w:hint="eastAsia"/>
        </w:rPr>
        <w:t>（</w:t>
      </w:r>
      <w:r>
        <w:t>2）合理确定土地取得费。结合估价对象所处区位及周边区域用地结构，分析在估</w:t>
      </w:r>
      <w:r>
        <w:rPr>
          <w:rFonts w:hint="eastAsia"/>
        </w:rPr>
        <w:t>价期日模拟获取估价对象类似用地可能采用的土地取得方式，测算相应土地取得费。</w:t>
      </w:r>
    </w:p>
    <w:p w14:paraId="31CBCAFB" w14:textId="77777777" w:rsidR="00495C65" w:rsidRDefault="00495C65" w:rsidP="00495C65">
      <w:pPr>
        <w:pStyle w:val="13"/>
      </w:pPr>
      <w:r>
        <w:rPr>
          <w:rFonts w:hint="eastAsia"/>
        </w:rPr>
        <w:t>估价对象位于城市建成区外或远郊区域的，以估价对象周边区域平均征收补偿安置费用作为土地取得费。</w:t>
      </w:r>
    </w:p>
    <w:p w14:paraId="7236D832" w14:textId="77777777" w:rsidR="00495C65" w:rsidRDefault="00495C65" w:rsidP="00495C65">
      <w:pPr>
        <w:pStyle w:val="13"/>
      </w:pPr>
      <w:r>
        <w:rPr>
          <w:rFonts w:hint="eastAsia"/>
        </w:rPr>
        <w:t>估价对象位于城市建成区内的，可合理选择估价对象周边区域或类似地区的土地收储、国有土地上房屋征收或集体建设用地拆迁等案例，经期日、区位等修正后，算术平均确定估价对象土地取得费。有存量工业用地收储案例的，可优先选择使用。</w:t>
      </w:r>
    </w:p>
    <w:p w14:paraId="3D10EE46" w14:textId="77777777" w:rsidR="00495C65" w:rsidRDefault="00495C65" w:rsidP="00495C65">
      <w:pPr>
        <w:pStyle w:val="13"/>
      </w:pPr>
      <w:r>
        <w:t>4.2 市场比较法</w:t>
      </w:r>
    </w:p>
    <w:p w14:paraId="4D91D3DD" w14:textId="77777777" w:rsidR="00495C65" w:rsidRDefault="00495C65" w:rsidP="00495C65">
      <w:pPr>
        <w:pStyle w:val="13"/>
      </w:pPr>
      <w:r>
        <w:rPr>
          <w:rFonts w:hint="eastAsia"/>
        </w:rPr>
        <w:t>（</w:t>
      </w:r>
      <w:r>
        <w:t>1）运用市场比较法时，应选择与估价对象同类型的比较实例。比较实例主要来源</w:t>
      </w:r>
      <w:r>
        <w:rPr>
          <w:rFonts w:hint="eastAsia"/>
        </w:rPr>
        <w:t>于政府实际划拨供地案例，选择实例时可不考虑供后实际用途。</w:t>
      </w:r>
    </w:p>
    <w:p w14:paraId="6E79965B" w14:textId="77777777" w:rsidR="00495C65" w:rsidRDefault="00495C65" w:rsidP="00495C65">
      <w:pPr>
        <w:pStyle w:val="13"/>
      </w:pPr>
      <w:r>
        <w:rPr>
          <w:rFonts w:hint="eastAsia"/>
        </w:rPr>
        <w:t>（</w:t>
      </w:r>
      <w:r>
        <w:t>2）原则上应在同一供需圈内或类似地区收集不少于三个实例。同一供需圈内可</w:t>
      </w:r>
      <w:r>
        <w:rPr>
          <w:rFonts w:hint="eastAsia"/>
        </w:rPr>
        <w:t>比实例不足时，可适当扩大供需</w:t>
      </w:r>
      <w:proofErr w:type="gramStart"/>
      <w:r>
        <w:rPr>
          <w:rFonts w:hint="eastAsia"/>
        </w:rPr>
        <w:t>圈范围</w:t>
      </w:r>
      <w:proofErr w:type="gramEnd"/>
      <w:r>
        <w:rPr>
          <w:rFonts w:hint="eastAsia"/>
        </w:rPr>
        <w:t>直至满足条件。原则上应采用三年以内的实例，三年内可选实例不足时，可将选择年限适当扩大直至满足条件，评估时根据市场情况进行期日修正。需要增加比较实例来源时按照先调整范围后调整时间的原则处理。</w:t>
      </w:r>
    </w:p>
    <w:p w14:paraId="498A0F6D" w14:textId="77777777" w:rsidR="00495C65" w:rsidRDefault="00495C65" w:rsidP="00495C65">
      <w:pPr>
        <w:pStyle w:val="13"/>
      </w:pPr>
      <w:r>
        <w:rPr>
          <w:rFonts w:hint="eastAsia"/>
        </w:rPr>
        <w:t>（</w:t>
      </w:r>
      <w:r>
        <w:t>3）选择比较实例时应注意因各地供地政策不同造成的价格内涵不同，应保障比</w:t>
      </w:r>
      <w:r>
        <w:rPr>
          <w:rFonts w:hint="eastAsia"/>
        </w:rPr>
        <w:t>较实例能够修正到估价对象同一价格内涵。</w:t>
      </w:r>
    </w:p>
    <w:p w14:paraId="507EB7DE" w14:textId="77777777" w:rsidR="00495C65" w:rsidRDefault="00495C65" w:rsidP="00495C65">
      <w:pPr>
        <w:pStyle w:val="13"/>
      </w:pPr>
      <w:r>
        <w:t>4.3 公示地价系数修正法</w:t>
      </w:r>
    </w:p>
    <w:p w14:paraId="28608F60" w14:textId="77777777" w:rsidR="00495C65" w:rsidRDefault="00495C65" w:rsidP="00495C65">
      <w:pPr>
        <w:pStyle w:val="13"/>
      </w:pPr>
      <w:r>
        <w:rPr>
          <w:rFonts w:hint="eastAsia"/>
        </w:rPr>
        <w:t>（</w:t>
      </w:r>
      <w:r>
        <w:t>1）</w:t>
      </w:r>
      <w:proofErr w:type="gramStart"/>
      <w:r>
        <w:t>待估宗地</w:t>
      </w:r>
      <w:proofErr w:type="gramEnd"/>
      <w:r>
        <w:t>所在区域，政府已公布划拨土地使用权基准地价时，可选用基准地价</w:t>
      </w:r>
      <w:r>
        <w:rPr>
          <w:rFonts w:hint="eastAsia"/>
        </w:rPr>
        <w:t>系数修正法评估划拨地价。采用已完成更新但尚未向社会公布的划拨土地使用权基准地价，需经市、县自然资源主管部门书面同意。</w:t>
      </w:r>
    </w:p>
    <w:p w14:paraId="1B69138B" w14:textId="77777777" w:rsidR="00495C65" w:rsidRDefault="00495C65" w:rsidP="00495C65">
      <w:pPr>
        <w:pStyle w:val="13"/>
      </w:pPr>
      <w:r>
        <w:rPr>
          <w:rFonts w:hint="eastAsia"/>
        </w:rPr>
        <w:t>（</w:t>
      </w:r>
      <w:r>
        <w:t>2）在已公布划拨土地使用权标定地价的城市，可运用标定地价系数修正法进行</w:t>
      </w:r>
      <w:r>
        <w:rPr>
          <w:rFonts w:hint="eastAsia"/>
        </w:rPr>
        <w:t>评估。</w:t>
      </w:r>
    </w:p>
    <w:p w14:paraId="291F81C8" w14:textId="77777777" w:rsidR="00495C65" w:rsidRDefault="00495C65" w:rsidP="00495C65">
      <w:pPr>
        <w:pStyle w:val="13"/>
      </w:pPr>
      <w:r>
        <w:lastRenderedPageBreak/>
        <w:t>4.4 收益还原法</w:t>
      </w:r>
    </w:p>
    <w:p w14:paraId="38C297AB" w14:textId="77777777" w:rsidR="00495C65" w:rsidRDefault="00495C65" w:rsidP="00495C65">
      <w:pPr>
        <w:pStyle w:val="13"/>
      </w:pPr>
      <w:r>
        <w:rPr>
          <w:rFonts w:hint="eastAsia"/>
        </w:rPr>
        <w:t>地方政府对划拨土地收益有处置政策或通过研究测算能够明确收益构成的，可依据《城镇土地估价规程》运用收益还原法。</w:t>
      </w:r>
    </w:p>
    <w:p w14:paraId="1C4155F0" w14:textId="77777777" w:rsidR="00495C65" w:rsidRDefault="00495C65" w:rsidP="00495C65">
      <w:pPr>
        <w:pStyle w:val="13"/>
      </w:pPr>
      <w:r>
        <w:t>4.5 剩余法</w:t>
      </w:r>
    </w:p>
    <w:p w14:paraId="118A915C" w14:textId="77777777" w:rsidR="00495C65" w:rsidRDefault="00495C65" w:rsidP="00495C65">
      <w:pPr>
        <w:pStyle w:val="13"/>
      </w:pPr>
      <w:r>
        <w:rPr>
          <w:rFonts w:hint="eastAsia"/>
        </w:rPr>
        <w:t>在《城镇土地估价规程》剩余法思路上衍生技术路线，通过出让土地使用权价格扣减土地增值收益的方法评估划拨地价，可定义为剩余（增值收益扣减）法。</w:t>
      </w:r>
    </w:p>
    <w:p w14:paraId="0BF7409B" w14:textId="77777777" w:rsidR="00495C65" w:rsidRDefault="00495C65" w:rsidP="00495C65">
      <w:pPr>
        <w:pStyle w:val="13"/>
      </w:pPr>
      <w:r>
        <w:rPr>
          <w:rFonts w:hint="eastAsia"/>
        </w:rPr>
        <w:t>地方已经公布经科学论证的土地增值收益的，可用出让土地使用权价格直接扣减相对应的土地增值收益。</w:t>
      </w:r>
    </w:p>
    <w:p w14:paraId="2776270B" w14:textId="77777777" w:rsidR="00495C65" w:rsidRDefault="00495C65" w:rsidP="00495C65">
      <w:pPr>
        <w:pStyle w:val="13"/>
      </w:pPr>
      <w:r>
        <w:rPr>
          <w:rFonts w:hint="eastAsia"/>
        </w:rPr>
        <w:t>对未公布土地增值收益的地区，估价机构可在满足数理统计要求的前提下，选择案例和技术路线测算土地增值收益。</w:t>
      </w:r>
    </w:p>
    <w:p w14:paraId="7AC49554" w14:textId="77777777" w:rsidR="00495C65" w:rsidRDefault="00495C65" w:rsidP="00495C65">
      <w:pPr>
        <w:pStyle w:val="13"/>
      </w:pPr>
      <w:r>
        <w:rPr>
          <w:rFonts w:hint="eastAsia"/>
        </w:rPr>
        <w:t>对于仅在地方政府文件或基准地价中规定出让金缴纳比例的，不宜将其作为经科学论证的土地增值收益，不得直接扣减该比例测算划拨地价。</w:t>
      </w:r>
    </w:p>
    <w:p w14:paraId="62A1AA87" w14:textId="77777777" w:rsidR="00495C65" w:rsidRDefault="00495C65" w:rsidP="00495C65">
      <w:pPr>
        <w:pStyle w:val="ab"/>
        <w:spacing w:before="62" w:after="62"/>
        <w:ind w:firstLine="482"/>
      </w:pPr>
      <w:r>
        <w:t>5.其他规定</w:t>
      </w:r>
    </w:p>
    <w:p w14:paraId="6F17F659" w14:textId="77777777" w:rsidR="00495C65" w:rsidRDefault="00495C65" w:rsidP="00495C65">
      <w:pPr>
        <w:pStyle w:val="13"/>
      </w:pPr>
      <w:r>
        <w:rPr>
          <w:rFonts w:hint="eastAsia"/>
        </w:rPr>
        <w:t>公共管理与公共服务用地、交通运输等用地，在运用上述方法评估划拨地价时，应统筹考虑当地出让案例实际，合理确定划拨地价水平。</w:t>
      </w:r>
    </w:p>
    <w:p w14:paraId="0552B776" w14:textId="77777777" w:rsidR="00495C65" w:rsidRPr="005875F9" w:rsidRDefault="00495C65" w:rsidP="00495C65">
      <w:pPr>
        <w:pStyle w:val="31"/>
        <w:spacing w:before="156" w:after="62"/>
      </w:pPr>
      <w:bookmarkStart w:id="201" w:name="_Toc81833434"/>
      <w:r w:rsidRPr="005875F9">
        <w:rPr>
          <w:rFonts w:hint="eastAsia"/>
        </w:rPr>
        <w:t>集体土地使用权地价评估技术指引</w:t>
      </w:r>
      <w:r w:rsidRPr="005875F9">
        <w:t>（征求意见稿）（</w:t>
      </w:r>
      <w:proofErr w:type="gramStart"/>
      <w:r w:rsidRPr="005875F9">
        <w:t>中估协</w:t>
      </w:r>
      <w:proofErr w:type="gramEnd"/>
      <w:r w:rsidRPr="005875F9">
        <w:t>发〔2016〕18号）</w:t>
      </w:r>
      <w:bookmarkEnd w:id="201"/>
    </w:p>
    <w:p w14:paraId="3F0452EB" w14:textId="77777777" w:rsidR="00495C65" w:rsidRDefault="00495C65" w:rsidP="00495C65">
      <w:pPr>
        <w:pStyle w:val="13"/>
        <w:ind w:firstLineChars="0" w:firstLine="0"/>
      </w:pPr>
      <w:proofErr w:type="gramStart"/>
      <w:r>
        <w:rPr>
          <w:rFonts w:hint="eastAsia"/>
        </w:rPr>
        <w:t>各土地</w:t>
      </w:r>
      <w:proofErr w:type="gramEnd"/>
      <w:r>
        <w:rPr>
          <w:rFonts w:hint="eastAsia"/>
        </w:rPr>
        <w:t>评估中介机构、土地估价师：</w:t>
      </w:r>
    </w:p>
    <w:p w14:paraId="23EDD5F8" w14:textId="77777777" w:rsidR="00495C65" w:rsidRDefault="00495C65" w:rsidP="00495C65">
      <w:pPr>
        <w:pStyle w:val="13"/>
        <w:wordWrap w:val="0"/>
      </w:pPr>
      <w:r>
        <w:rPr>
          <w:rFonts w:hint="eastAsia"/>
        </w:rPr>
        <w:t>为适应新形势下集体土地资源市场化配置需要，解决集体土地使用权地价评估技术难点，在现行的《城镇土地估价规程》</w:t>
      </w:r>
      <w:r>
        <w:t>（GB/T 18508-2014）、《农用地估价规程》（GB/T 28406-2012）等五个规程的基础上，中国土地估价师与土地登记代理人协会组织专家编</w:t>
      </w:r>
      <w:r>
        <w:rPr>
          <w:rFonts w:hint="eastAsia"/>
        </w:rPr>
        <w:t>写了《集体土地使用权地价评估技术指引（征求意见稿）》，经国土资源部土地利用管理司批准，现予以印发。请结合当地实际参照执行，并请将执行过程中遇到的问题与建议反馈协会。</w:t>
      </w:r>
    </w:p>
    <w:p w14:paraId="76364157" w14:textId="77777777" w:rsidR="00495C65" w:rsidRDefault="00495C65" w:rsidP="00495C65">
      <w:pPr>
        <w:pStyle w:val="13"/>
      </w:pPr>
      <w:r>
        <w:rPr>
          <w:rFonts w:hint="eastAsia"/>
        </w:rPr>
        <w:t>联系人：曹勇</w:t>
      </w:r>
    </w:p>
    <w:p w14:paraId="1A7593EE" w14:textId="77777777" w:rsidR="00495C65" w:rsidRDefault="00495C65" w:rsidP="00495C65">
      <w:pPr>
        <w:pStyle w:val="13"/>
      </w:pPr>
      <w:r>
        <w:rPr>
          <w:rFonts w:hint="eastAsia"/>
        </w:rPr>
        <w:t>联系电话：</w:t>
      </w:r>
      <w:r>
        <w:t>010-62134035</w:t>
      </w:r>
    </w:p>
    <w:p w14:paraId="2BB8C58A" w14:textId="77777777" w:rsidR="00495C65" w:rsidRDefault="00495C65" w:rsidP="00495C65">
      <w:pPr>
        <w:pStyle w:val="13"/>
      </w:pPr>
      <w:r>
        <w:rPr>
          <w:rFonts w:hint="eastAsia"/>
        </w:rPr>
        <w:t>邮箱：</w:t>
      </w:r>
      <w:r>
        <w:t>cy@creva.sina.net</w:t>
      </w:r>
    </w:p>
    <w:p w14:paraId="6A7EFBD3" w14:textId="77777777" w:rsidR="00495C65" w:rsidRDefault="00495C65" w:rsidP="00495C65">
      <w:pPr>
        <w:pStyle w:val="13"/>
        <w:jc w:val="right"/>
      </w:pPr>
      <w:r>
        <w:t>2016年7月4日</w:t>
      </w:r>
    </w:p>
    <w:p w14:paraId="248FAC70" w14:textId="77777777" w:rsidR="00495C65" w:rsidRDefault="00495C65" w:rsidP="00AF7342">
      <w:pPr>
        <w:pStyle w:val="a9"/>
        <w:spacing w:before="62" w:after="62"/>
      </w:pPr>
      <w:r>
        <w:rPr>
          <w:rFonts w:hint="eastAsia"/>
        </w:rPr>
        <w:t>集体土地使用权地价评估技术指引</w:t>
      </w:r>
      <w:r>
        <w:br/>
      </w:r>
      <w:r>
        <w:rPr>
          <w:rFonts w:hint="eastAsia"/>
        </w:rPr>
        <w:t>（征求意见稿）</w:t>
      </w:r>
    </w:p>
    <w:p w14:paraId="36D715E9" w14:textId="77777777" w:rsidR="00495C65" w:rsidRDefault="00495C65" w:rsidP="00495C65">
      <w:pPr>
        <w:pStyle w:val="13"/>
      </w:pPr>
      <w:r>
        <w:rPr>
          <w:rFonts w:hint="eastAsia"/>
        </w:rPr>
        <w:t>为适应新形势下集体土地资源市场化配置的需要，规范集体土地使用权地价评估行为，健全集体土地合理价格形成机制，促进城乡土地市场一体化建设，制订本指引。</w:t>
      </w:r>
    </w:p>
    <w:p w14:paraId="74706196" w14:textId="77777777" w:rsidR="00495C65" w:rsidRDefault="00495C65" w:rsidP="00AF7342">
      <w:pPr>
        <w:pStyle w:val="a9"/>
        <w:spacing w:before="62" w:after="62"/>
      </w:pPr>
      <w:r>
        <w:lastRenderedPageBreak/>
        <w:t>1 适用范围</w:t>
      </w:r>
    </w:p>
    <w:p w14:paraId="165C9E72" w14:textId="77777777" w:rsidR="00495C65" w:rsidRDefault="00495C65" w:rsidP="00495C65">
      <w:pPr>
        <w:pStyle w:val="13"/>
      </w:pPr>
      <w:r>
        <w:rPr>
          <w:rFonts w:hint="eastAsia"/>
        </w:rPr>
        <w:t>本指引适用于集体土地使用权（承包经营权）地价评估，本指引所称集体土地，是指土地所有权属于集体经济组织，符合城乡土地制度及规划管制要求，可进行市场化交易的集体建设用地和集体农用地。</w:t>
      </w:r>
    </w:p>
    <w:p w14:paraId="7A374511" w14:textId="77777777" w:rsidR="00495C65" w:rsidRDefault="00495C65" w:rsidP="00AF7342">
      <w:pPr>
        <w:pStyle w:val="a9"/>
        <w:spacing w:before="62" w:after="62"/>
      </w:pPr>
      <w:r>
        <w:t>2 引用的标准</w:t>
      </w:r>
    </w:p>
    <w:p w14:paraId="35618C38" w14:textId="77777777" w:rsidR="00495C65" w:rsidRDefault="00495C65" w:rsidP="00495C65">
      <w:pPr>
        <w:pStyle w:val="13"/>
      </w:pPr>
      <w:r>
        <w:rPr>
          <w:rFonts w:hint="eastAsia"/>
        </w:rPr>
        <w:t>下列标准所包含的条文，通过在本指引中引用而构成本指引的条文。本指引颁布时，所示版本均为有效。使用本指引的各方应使用下列各标准的最新版本。</w:t>
      </w:r>
    </w:p>
    <w:p w14:paraId="7A4D21AC" w14:textId="77777777" w:rsidR="00495C65" w:rsidRDefault="00495C65" w:rsidP="00495C65">
      <w:pPr>
        <w:pStyle w:val="13"/>
      </w:pPr>
      <w:r>
        <w:rPr>
          <w:rFonts w:hint="eastAsia"/>
        </w:rPr>
        <w:t>（</w:t>
      </w:r>
      <w:r>
        <w:t>1）《城镇土地估价规程》（GB/T 18508-2014）；</w:t>
      </w:r>
    </w:p>
    <w:p w14:paraId="7C11C1CF" w14:textId="77777777" w:rsidR="00495C65" w:rsidRDefault="00495C65" w:rsidP="00495C65">
      <w:pPr>
        <w:pStyle w:val="13"/>
      </w:pPr>
      <w:r>
        <w:rPr>
          <w:rFonts w:hint="eastAsia"/>
        </w:rPr>
        <w:t>（</w:t>
      </w:r>
      <w:r>
        <w:t>2）《城镇土地分等定级规程》（GB/T 18507-2014）；</w:t>
      </w:r>
    </w:p>
    <w:p w14:paraId="50452BFE" w14:textId="77777777" w:rsidR="00495C65" w:rsidRDefault="00495C65" w:rsidP="00495C65">
      <w:pPr>
        <w:pStyle w:val="13"/>
      </w:pPr>
      <w:r>
        <w:rPr>
          <w:rFonts w:hint="eastAsia"/>
        </w:rPr>
        <w:t>（</w:t>
      </w:r>
      <w:r>
        <w:t>3）《农用地估价规程》（GB/T 28406-2012）；</w:t>
      </w:r>
    </w:p>
    <w:p w14:paraId="08B58A9D" w14:textId="77777777" w:rsidR="00495C65" w:rsidRDefault="00495C65" w:rsidP="00495C65">
      <w:pPr>
        <w:pStyle w:val="13"/>
      </w:pPr>
      <w:r>
        <w:rPr>
          <w:rFonts w:hint="eastAsia"/>
        </w:rPr>
        <w:t>（</w:t>
      </w:r>
      <w:r>
        <w:t>4）《农用地质量分等规程》（GB/T 28407-2012）；</w:t>
      </w:r>
    </w:p>
    <w:p w14:paraId="37936C9F" w14:textId="77777777" w:rsidR="00495C65" w:rsidRDefault="00495C65" w:rsidP="00495C65">
      <w:pPr>
        <w:pStyle w:val="13"/>
      </w:pPr>
      <w:r>
        <w:rPr>
          <w:rFonts w:hint="eastAsia"/>
        </w:rPr>
        <w:t>（</w:t>
      </w:r>
      <w:r>
        <w:t>5）《农用地定级规程》（GB/T 28405-2012）；</w:t>
      </w:r>
    </w:p>
    <w:p w14:paraId="2DBAE375" w14:textId="77777777" w:rsidR="00495C65" w:rsidRDefault="00495C65" w:rsidP="00495C65">
      <w:pPr>
        <w:pStyle w:val="13"/>
      </w:pPr>
      <w:r>
        <w:rPr>
          <w:rFonts w:hint="eastAsia"/>
        </w:rPr>
        <w:t>（</w:t>
      </w:r>
      <w:r>
        <w:t>6）《土地利用现状分类》（GB/T 21010-2007）。</w:t>
      </w:r>
    </w:p>
    <w:p w14:paraId="75B4D538" w14:textId="77777777" w:rsidR="00495C65" w:rsidRDefault="00495C65" w:rsidP="00AF7342">
      <w:pPr>
        <w:pStyle w:val="a9"/>
        <w:spacing w:before="62" w:after="62"/>
      </w:pPr>
      <w:r>
        <w:t>3 依据</w:t>
      </w:r>
    </w:p>
    <w:p w14:paraId="3564BDC1" w14:textId="77777777" w:rsidR="00495C65" w:rsidRDefault="00495C65" w:rsidP="00495C65">
      <w:pPr>
        <w:pStyle w:val="13"/>
      </w:pPr>
      <w:r>
        <w:rPr>
          <w:rFonts w:hint="eastAsia"/>
        </w:rPr>
        <w:t>（</w:t>
      </w:r>
      <w:r>
        <w:t>1）《中华人民共和国物权法》；</w:t>
      </w:r>
    </w:p>
    <w:p w14:paraId="74D06B0E" w14:textId="77777777" w:rsidR="00495C65" w:rsidRDefault="00495C65" w:rsidP="00495C65">
      <w:pPr>
        <w:pStyle w:val="13"/>
      </w:pPr>
      <w:r>
        <w:rPr>
          <w:rFonts w:hint="eastAsia"/>
        </w:rPr>
        <w:t>（</w:t>
      </w:r>
      <w:r>
        <w:t>2）《中华人民共和国土地管理法》；</w:t>
      </w:r>
    </w:p>
    <w:p w14:paraId="7AA7DF09" w14:textId="77777777" w:rsidR="00495C65" w:rsidRDefault="00495C65" w:rsidP="00495C65">
      <w:pPr>
        <w:pStyle w:val="13"/>
      </w:pPr>
      <w:r>
        <w:rPr>
          <w:rFonts w:hint="eastAsia"/>
        </w:rPr>
        <w:t>（</w:t>
      </w:r>
      <w:r>
        <w:t>3）《中华人民共和国农村土地承包法》；</w:t>
      </w:r>
    </w:p>
    <w:p w14:paraId="15244C4A" w14:textId="77777777" w:rsidR="00495C65" w:rsidRDefault="00495C65" w:rsidP="00495C65">
      <w:pPr>
        <w:pStyle w:val="13"/>
      </w:pPr>
      <w:r>
        <w:rPr>
          <w:rFonts w:hint="eastAsia"/>
        </w:rPr>
        <w:t>（</w:t>
      </w:r>
      <w:r>
        <w:t>4）《中华人民共和国担保法》；</w:t>
      </w:r>
    </w:p>
    <w:p w14:paraId="2C8F7BA4" w14:textId="77777777" w:rsidR="00495C65" w:rsidRDefault="00495C65" w:rsidP="00495C65">
      <w:pPr>
        <w:pStyle w:val="13"/>
      </w:pPr>
      <w:r>
        <w:rPr>
          <w:rFonts w:hint="eastAsia"/>
        </w:rPr>
        <w:t>（</w:t>
      </w:r>
      <w:r>
        <w:t>5）《中华人民共和国农村土地承包经营权流转管理办法》；</w:t>
      </w:r>
    </w:p>
    <w:p w14:paraId="1787045E" w14:textId="77777777" w:rsidR="00495C65" w:rsidRDefault="00495C65" w:rsidP="00495C65">
      <w:pPr>
        <w:pStyle w:val="13"/>
      </w:pPr>
      <w:r>
        <w:rPr>
          <w:rFonts w:hint="eastAsia"/>
        </w:rPr>
        <w:t>（</w:t>
      </w:r>
      <w:r>
        <w:t>6）《中共中央关于全面深化改革若干重大问题的决定》（2013年11月12日中国</w:t>
      </w:r>
      <w:r>
        <w:rPr>
          <w:rFonts w:hint="eastAsia"/>
        </w:rPr>
        <w:t>共产党第十八届中央委员会第三次全体会议通过）；</w:t>
      </w:r>
    </w:p>
    <w:p w14:paraId="31BF500F" w14:textId="77777777" w:rsidR="00495C65" w:rsidRDefault="00495C65" w:rsidP="00495C65">
      <w:pPr>
        <w:pStyle w:val="13"/>
      </w:pPr>
      <w:r>
        <w:rPr>
          <w:rFonts w:hint="eastAsia"/>
        </w:rPr>
        <w:t>（</w:t>
      </w:r>
      <w:r>
        <w:t>7）《不动产登记暂行条例》（国务院令第656号）</w:t>
      </w:r>
    </w:p>
    <w:p w14:paraId="136F14FC" w14:textId="77777777" w:rsidR="00495C65" w:rsidRDefault="00495C65" w:rsidP="00495C65">
      <w:pPr>
        <w:pStyle w:val="13"/>
      </w:pPr>
      <w:r>
        <w:rPr>
          <w:rFonts w:hint="eastAsia"/>
        </w:rPr>
        <w:t>（</w:t>
      </w:r>
      <w:r>
        <w:t>8）《不动产登记暂行条例实施细则》（国土资源部令第63号）</w:t>
      </w:r>
    </w:p>
    <w:p w14:paraId="2784D09B" w14:textId="77777777" w:rsidR="00495C65" w:rsidRDefault="00495C65" w:rsidP="00495C65">
      <w:pPr>
        <w:pStyle w:val="13"/>
      </w:pPr>
      <w:r>
        <w:rPr>
          <w:rFonts w:hint="eastAsia"/>
        </w:rPr>
        <w:t>（</w:t>
      </w:r>
      <w:r>
        <w:t>9）中共中央办公厅、国务院办公厅《关于引导农村土地经营权有序流转发展农</w:t>
      </w:r>
      <w:r>
        <w:rPr>
          <w:rFonts w:hint="eastAsia"/>
        </w:rPr>
        <w:t>业适度规模经营的意见》（中办发</w:t>
      </w:r>
      <w:r>
        <w:t>.2014.61号）；</w:t>
      </w:r>
    </w:p>
    <w:p w14:paraId="2D43819B" w14:textId="77777777" w:rsidR="00495C65" w:rsidRDefault="00495C65" w:rsidP="00495C65">
      <w:pPr>
        <w:pStyle w:val="13"/>
      </w:pPr>
      <w:r>
        <w:rPr>
          <w:rFonts w:hint="eastAsia"/>
        </w:rPr>
        <w:t>（</w:t>
      </w:r>
      <w:r>
        <w:t>10）国务院办公厅《关于引导农村产权流转交易市场健康发展的意见》（国办</w:t>
      </w:r>
      <w:r>
        <w:rPr>
          <w:rFonts w:hint="eastAsia"/>
        </w:rPr>
        <w:t>发</w:t>
      </w:r>
      <w:r>
        <w:t>.2014.71号）。</w:t>
      </w:r>
    </w:p>
    <w:p w14:paraId="11CFF319" w14:textId="77777777" w:rsidR="00495C65" w:rsidRDefault="00495C65" w:rsidP="00AF7342">
      <w:pPr>
        <w:pStyle w:val="a9"/>
        <w:spacing w:before="62" w:after="62"/>
      </w:pPr>
      <w:r>
        <w:t>4 总则</w:t>
      </w:r>
    </w:p>
    <w:p w14:paraId="71ADCD1D" w14:textId="77777777" w:rsidR="00495C65" w:rsidRDefault="00495C65" w:rsidP="00495C65">
      <w:pPr>
        <w:pStyle w:val="ab"/>
        <w:spacing w:before="62" w:after="62"/>
        <w:ind w:firstLine="482"/>
      </w:pPr>
      <w:r>
        <w:t>4.1 地价内涵</w:t>
      </w:r>
    </w:p>
    <w:p w14:paraId="33A2B2DE" w14:textId="77777777" w:rsidR="00495C65" w:rsidRDefault="00495C65" w:rsidP="00495C65">
      <w:pPr>
        <w:pStyle w:val="13"/>
      </w:pPr>
      <w:r>
        <w:rPr>
          <w:rFonts w:hint="eastAsia"/>
        </w:rPr>
        <w:t>集体建设用地使用权价格。在符合规划用途或现状合法用途下，一定年期的集体建设用地使用权在当地市场条件下的正常交易价格。其权利特征是属于农村集体所有权下的土地使用权，按照交易方式的不同有不同的价格形态，包括出让价格、转让价格、租赁租金、抵押价格、联营入股价格等。估价过程中应根据不同交易方式所发</w:t>
      </w:r>
      <w:r>
        <w:rPr>
          <w:rFonts w:hint="eastAsia"/>
        </w:rPr>
        <w:lastRenderedPageBreak/>
        <w:t>生交易的权利特征、经济关系等确定价格内涵。</w:t>
      </w:r>
    </w:p>
    <w:p w14:paraId="03B4C6B1" w14:textId="77777777" w:rsidR="00495C65" w:rsidRDefault="00495C65" w:rsidP="00495C65">
      <w:pPr>
        <w:pStyle w:val="13"/>
      </w:pPr>
      <w:r>
        <w:rPr>
          <w:rFonts w:hint="eastAsia"/>
        </w:rPr>
        <w:t>宅基地使用权价格。是指农村宅基地使用权，在合法流转前提下的正常市场交易价格。其权利特征是属于农村集体土地所有权下的宅基地使用权，按照交易方式不同有不同的价格形态，包括转让价格、租赁租金、抵押价格等。</w:t>
      </w:r>
    </w:p>
    <w:p w14:paraId="49373830" w14:textId="77777777" w:rsidR="00495C65" w:rsidRDefault="00495C65" w:rsidP="00495C65">
      <w:pPr>
        <w:pStyle w:val="13"/>
      </w:pPr>
      <w:r>
        <w:rPr>
          <w:rFonts w:hint="eastAsia"/>
        </w:rPr>
        <w:t>集体农用地承包经营权价格。承包经营权，相当于对应所有权下的土地使用权，属于用益物权性质，在现行法律框架下，该用益物权具有长期性和稳定性特征。集体农用地承包经营权价格是指一定年期的该用益物权在不同交易形态下的市场价格，在合法流转前提下，可进一步衍生为承包权价格和经营权价格。其价格形式可按年度转包费用或租金形式表示，也可按若干年期的资本化价格形式表示。</w:t>
      </w:r>
    </w:p>
    <w:p w14:paraId="667352A4" w14:textId="77777777" w:rsidR="00495C65" w:rsidRDefault="00495C65" w:rsidP="00495C65">
      <w:pPr>
        <w:pStyle w:val="ab"/>
        <w:spacing w:before="62" w:after="62"/>
        <w:ind w:firstLine="482"/>
      </w:pPr>
      <w:r>
        <w:t>4.2 估价目的</w:t>
      </w:r>
    </w:p>
    <w:p w14:paraId="7136492C" w14:textId="77777777" w:rsidR="00495C65" w:rsidRDefault="00495C65" w:rsidP="00495C65">
      <w:pPr>
        <w:pStyle w:val="13"/>
      </w:pPr>
      <w:r>
        <w:rPr>
          <w:rFonts w:hint="eastAsia"/>
        </w:rPr>
        <w:t>集体土地价格评估是为交易双方或一方合理确定交易价格提供专业服务。估价目的需针对委托方拟实施交易的类型与方式，考虑交易标的实体与权利状况确定。</w:t>
      </w:r>
    </w:p>
    <w:p w14:paraId="4AA216E4" w14:textId="77777777" w:rsidR="00495C65" w:rsidRDefault="00495C65" w:rsidP="00495C65">
      <w:pPr>
        <w:pStyle w:val="13"/>
        <w:jc w:val="center"/>
      </w:pPr>
      <w:r w:rsidRPr="003C6A3F">
        <w:rPr>
          <w:rFonts w:hint="eastAsia"/>
        </w:rPr>
        <w:t>表</w:t>
      </w:r>
      <w:r w:rsidRPr="003C6A3F">
        <w:t xml:space="preserve"> 交易方式与估价目的</w:t>
      </w:r>
    </w:p>
    <w:tbl>
      <w:tblPr>
        <w:tblStyle w:val="1f0"/>
        <w:tblW w:w="5000" w:type="pct"/>
        <w:tblLook w:val="04A0" w:firstRow="1" w:lastRow="0" w:firstColumn="1" w:lastColumn="0" w:noHBand="0" w:noVBand="1"/>
      </w:tblPr>
      <w:tblGrid>
        <w:gridCol w:w="2166"/>
        <w:gridCol w:w="3249"/>
        <w:gridCol w:w="3305"/>
      </w:tblGrid>
      <w:tr w:rsidR="00495C65" w:rsidRPr="00E52243" w14:paraId="5CF21817" w14:textId="77777777" w:rsidTr="00E52243">
        <w:trPr>
          <w:trHeight w:val="489"/>
        </w:trPr>
        <w:tc>
          <w:tcPr>
            <w:tcW w:w="1242" w:type="pct"/>
            <w:vAlign w:val="center"/>
          </w:tcPr>
          <w:p w14:paraId="4755170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交易方式</w:t>
            </w:r>
          </w:p>
        </w:tc>
        <w:tc>
          <w:tcPr>
            <w:tcW w:w="1863" w:type="pct"/>
            <w:vAlign w:val="center"/>
          </w:tcPr>
          <w:p w14:paraId="2662089E"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交易特征</w:t>
            </w:r>
          </w:p>
        </w:tc>
        <w:tc>
          <w:tcPr>
            <w:tcW w:w="1895" w:type="pct"/>
            <w:vAlign w:val="center"/>
          </w:tcPr>
          <w:p w14:paraId="19F16666"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估价目的</w:t>
            </w:r>
          </w:p>
        </w:tc>
      </w:tr>
      <w:tr w:rsidR="00495C65" w:rsidRPr="00E52243" w14:paraId="68E3E597" w14:textId="77777777" w:rsidTr="00E52243">
        <w:trPr>
          <w:trHeight w:val="754"/>
        </w:trPr>
        <w:tc>
          <w:tcPr>
            <w:tcW w:w="1242" w:type="pct"/>
            <w:vAlign w:val="center"/>
          </w:tcPr>
          <w:p w14:paraId="4E931DAB"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出让，转让（买卖）</w:t>
            </w:r>
          </w:p>
        </w:tc>
        <w:tc>
          <w:tcPr>
            <w:tcW w:w="1863" w:type="pct"/>
            <w:vAlign w:val="center"/>
          </w:tcPr>
          <w:p w14:paraId="7CE617DD" w14:textId="77777777" w:rsidR="00495C65" w:rsidRPr="00E52243" w:rsidRDefault="00495C65" w:rsidP="00E52243">
            <w:pPr>
              <w:pStyle w:val="13"/>
              <w:spacing w:line="240" w:lineRule="auto"/>
              <w:ind w:firstLineChars="0" w:firstLine="0"/>
              <w:rPr>
                <w:sz w:val="21"/>
                <w:szCs w:val="21"/>
              </w:rPr>
            </w:pPr>
            <w:r w:rsidRPr="00E52243">
              <w:rPr>
                <w:sz w:val="21"/>
                <w:szCs w:val="21"/>
              </w:rPr>
              <w:t>一定年期的土地权利一次性转移，买断</w:t>
            </w:r>
            <w:proofErr w:type="gramStart"/>
            <w:r w:rsidRPr="00E52243">
              <w:rPr>
                <w:sz w:val="21"/>
                <w:szCs w:val="21"/>
              </w:rPr>
              <w:t>式支付</w:t>
            </w:r>
            <w:proofErr w:type="gramEnd"/>
            <w:r w:rsidRPr="00E52243">
              <w:rPr>
                <w:sz w:val="21"/>
                <w:szCs w:val="21"/>
              </w:rPr>
              <w:t>交易价款。</w:t>
            </w:r>
          </w:p>
        </w:tc>
        <w:tc>
          <w:tcPr>
            <w:tcW w:w="1895" w:type="pct"/>
            <w:vAlign w:val="center"/>
          </w:tcPr>
          <w:p w14:paraId="222E64F6" w14:textId="77777777" w:rsidR="00495C65" w:rsidRPr="00E52243" w:rsidRDefault="00495C65" w:rsidP="00E52243">
            <w:pPr>
              <w:pStyle w:val="13"/>
              <w:spacing w:line="240" w:lineRule="auto"/>
              <w:ind w:firstLineChars="0" w:firstLine="0"/>
              <w:rPr>
                <w:sz w:val="21"/>
                <w:szCs w:val="21"/>
              </w:rPr>
            </w:pPr>
            <w:r w:rsidRPr="00E52243">
              <w:rPr>
                <w:sz w:val="21"/>
                <w:szCs w:val="21"/>
              </w:rPr>
              <w:t>为委托方合理确定出让或转让土地的正常市场价格提供参考。</w:t>
            </w:r>
          </w:p>
        </w:tc>
      </w:tr>
      <w:tr w:rsidR="00495C65" w:rsidRPr="00E52243" w14:paraId="7CBD74BA" w14:textId="77777777" w:rsidTr="00E52243">
        <w:trPr>
          <w:trHeight w:val="836"/>
        </w:trPr>
        <w:tc>
          <w:tcPr>
            <w:tcW w:w="1242" w:type="pct"/>
            <w:vAlign w:val="center"/>
          </w:tcPr>
          <w:p w14:paraId="09EBC2DA"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承包（转包），租赁</w:t>
            </w:r>
          </w:p>
        </w:tc>
        <w:tc>
          <w:tcPr>
            <w:tcW w:w="1863" w:type="pct"/>
            <w:vAlign w:val="center"/>
          </w:tcPr>
          <w:p w14:paraId="349ED560" w14:textId="77777777" w:rsidR="00495C65" w:rsidRPr="00E52243" w:rsidRDefault="00495C65" w:rsidP="00E52243">
            <w:pPr>
              <w:pStyle w:val="13"/>
              <w:spacing w:line="240" w:lineRule="auto"/>
              <w:ind w:firstLineChars="0" w:firstLine="0"/>
              <w:rPr>
                <w:sz w:val="21"/>
                <w:szCs w:val="21"/>
              </w:rPr>
            </w:pPr>
            <w:r w:rsidRPr="00E52243">
              <w:rPr>
                <w:sz w:val="21"/>
                <w:szCs w:val="21"/>
              </w:rPr>
              <w:t>土地使用权、土地经营权的转移，按年或季度支付价款。</w:t>
            </w:r>
          </w:p>
        </w:tc>
        <w:tc>
          <w:tcPr>
            <w:tcW w:w="1895" w:type="pct"/>
            <w:vAlign w:val="center"/>
          </w:tcPr>
          <w:p w14:paraId="4C6C95D9" w14:textId="77777777" w:rsidR="00495C65" w:rsidRPr="00E52243" w:rsidRDefault="00495C65" w:rsidP="00E52243">
            <w:pPr>
              <w:pStyle w:val="13"/>
              <w:spacing w:line="240" w:lineRule="auto"/>
              <w:ind w:firstLineChars="0" w:firstLine="0"/>
              <w:rPr>
                <w:sz w:val="21"/>
                <w:szCs w:val="21"/>
              </w:rPr>
            </w:pPr>
            <w:r w:rsidRPr="00E52243">
              <w:rPr>
                <w:sz w:val="21"/>
                <w:szCs w:val="21"/>
              </w:rPr>
              <w:t>为委托方合理确定转包或租赁土地的转包费或租金提供参考。</w:t>
            </w:r>
          </w:p>
        </w:tc>
      </w:tr>
      <w:tr w:rsidR="00495C65" w:rsidRPr="00E52243" w14:paraId="592CEA3F" w14:textId="77777777" w:rsidTr="00E52243">
        <w:trPr>
          <w:trHeight w:val="978"/>
        </w:trPr>
        <w:tc>
          <w:tcPr>
            <w:tcW w:w="1242" w:type="pct"/>
            <w:vAlign w:val="center"/>
          </w:tcPr>
          <w:p w14:paraId="0B340E0B"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投资，入股</w:t>
            </w:r>
          </w:p>
        </w:tc>
        <w:tc>
          <w:tcPr>
            <w:tcW w:w="1863" w:type="pct"/>
            <w:vAlign w:val="center"/>
          </w:tcPr>
          <w:p w14:paraId="670B62E2" w14:textId="77777777" w:rsidR="00495C65" w:rsidRPr="00E52243" w:rsidRDefault="00495C65" w:rsidP="00E52243">
            <w:pPr>
              <w:pStyle w:val="13"/>
              <w:spacing w:line="240" w:lineRule="auto"/>
              <w:ind w:firstLineChars="0" w:firstLine="0"/>
              <w:rPr>
                <w:sz w:val="21"/>
                <w:szCs w:val="21"/>
              </w:rPr>
            </w:pPr>
            <w:r w:rsidRPr="00E52243">
              <w:rPr>
                <w:sz w:val="21"/>
                <w:szCs w:val="21"/>
              </w:rPr>
              <w:t>以土地及其相应的权利进行投资，并获取股份，投资土地价格与所获股份对对等。</w:t>
            </w:r>
          </w:p>
        </w:tc>
        <w:tc>
          <w:tcPr>
            <w:tcW w:w="1895" w:type="pct"/>
            <w:vAlign w:val="center"/>
          </w:tcPr>
          <w:p w14:paraId="3ADD5C5B" w14:textId="77777777" w:rsidR="00495C65" w:rsidRPr="00E52243" w:rsidRDefault="00495C65" w:rsidP="00E52243">
            <w:pPr>
              <w:pStyle w:val="13"/>
              <w:spacing w:line="240" w:lineRule="auto"/>
              <w:ind w:firstLineChars="0" w:firstLine="0"/>
              <w:rPr>
                <w:sz w:val="21"/>
                <w:szCs w:val="21"/>
              </w:rPr>
            </w:pPr>
            <w:r w:rsidRPr="00E52243">
              <w:rPr>
                <w:sz w:val="21"/>
                <w:szCs w:val="21"/>
              </w:rPr>
              <w:t>为委托方合理确定投资入股土地的正常市场价格提供参考。</w:t>
            </w:r>
          </w:p>
        </w:tc>
      </w:tr>
      <w:tr w:rsidR="00495C65" w:rsidRPr="00E52243" w14:paraId="16C2211E" w14:textId="77777777" w:rsidTr="00E52243">
        <w:trPr>
          <w:trHeight w:val="977"/>
        </w:trPr>
        <w:tc>
          <w:tcPr>
            <w:tcW w:w="1242" w:type="pct"/>
            <w:vAlign w:val="center"/>
          </w:tcPr>
          <w:p w14:paraId="2B234EE6"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抵押，担保</w:t>
            </w:r>
          </w:p>
        </w:tc>
        <w:tc>
          <w:tcPr>
            <w:tcW w:w="1863" w:type="pct"/>
            <w:vAlign w:val="center"/>
          </w:tcPr>
          <w:p w14:paraId="0496A97F" w14:textId="77777777" w:rsidR="00495C65" w:rsidRPr="00E52243" w:rsidRDefault="00495C65" w:rsidP="00E52243">
            <w:pPr>
              <w:pStyle w:val="13"/>
              <w:spacing w:line="240" w:lineRule="auto"/>
              <w:ind w:firstLineChars="0" w:firstLine="0"/>
              <w:rPr>
                <w:sz w:val="21"/>
                <w:szCs w:val="21"/>
              </w:rPr>
            </w:pPr>
            <w:r w:rsidRPr="00E52243">
              <w:rPr>
                <w:sz w:val="21"/>
                <w:szCs w:val="21"/>
              </w:rPr>
              <w:t>以产权主体所拥有的土地权利设定抵押或担保，满足融资的需要。</w:t>
            </w:r>
          </w:p>
        </w:tc>
        <w:tc>
          <w:tcPr>
            <w:tcW w:w="1895" w:type="pct"/>
            <w:vAlign w:val="center"/>
          </w:tcPr>
          <w:p w14:paraId="22F11BBF" w14:textId="77777777" w:rsidR="00495C65" w:rsidRPr="00E52243" w:rsidRDefault="00495C65" w:rsidP="00E52243">
            <w:pPr>
              <w:pStyle w:val="13"/>
              <w:spacing w:line="240" w:lineRule="auto"/>
              <w:ind w:firstLineChars="0" w:firstLine="0"/>
              <w:rPr>
                <w:sz w:val="21"/>
                <w:szCs w:val="21"/>
              </w:rPr>
            </w:pPr>
            <w:r w:rsidRPr="00E52243">
              <w:rPr>
                <w:sz w:val="21"/>
                <w:szCs w:val="21"/>
              </w:rPr>
              <w:t>为委托方合理确定设定抵押或担保土地的正常市场价格提供参考。</w:t>
            </w:r>
          </w:p>
        </w:tc>
      </w:tr>
      <w:tr w:rsidR="00495C65" w:rsidRPr="00E52243" w14:paraId="4D2AFD8A" w14:textId="77777777" w:rsidTr="00E52243">
        <w:trPr>
          <w:trHeight w:val="977"/>
        </w:trPr>
        <w:tc>
          <w:tcPr>
            <w:tcW w:w="1242" w:type="pct"/>
            <w:vAlign w:val="center"/>
          </w:tcPr>
          <w:p w14:paraId="307D2E40"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资产核算</w:t>
            </w:r>
          </w:p>
        </w:tc>
        <w:tc>
          <w:tcPr>
            <w:tcW w:w="1863" w:type="pct"/>
            <w:vAlign w:val="center"/>
          </w:tcPr>
          <w:p w14:paraId="4D64297C" w14:textId="77777777" w:rsidR="00495C65" w:rsidRPr="00E52243" w:rsidRDefault="00495C65" w:rsidP="00E52243">
            <w:pPr>
              <w:pStyle w:val="13"/>
              <w:spacing w:line="240" w:lineRule="auto"/>
              <w:ind w:firstLineChars="0" w:firstLine="0"/>
              <w:rPr>
                <w:sz w:val="21"/>
                <w:szCs w:val="21"/>
              </w:rPr>
            </w:pPr>
            <w:r w:rsidRPr="00E52243">
              <w:rPr>
                <w:sz w:val="21"/>
                <w:szCs w:val="21"/>
              </w:rPr>
              <w:t>以产权主体拥有的土地资产为对象，核算其土地资产价格</w:t>
            </w:r>
          </w:p>
          <w:p w14:paraId="16986AE4" w14:textId="77777777" w:rsidR="00495C65" w:rsidRPr="00E52243" w:rsidRDefault="00495C65" w:rsidP="00E52243">
            <w:pPr>
              <w:pStyle w:val="13"/>
              <w:spacing w:line="240" w:lineRule="auto"/>
              <w:ind w:firstLineChars="0" w:firstLine="0"/>
              <w:rPr>
                <w:sz w:val="21"/>
                <w:szCs w:val="21"/>
              </w:rPr>
            </w:pPr>
            <w:r w:rsidRPr="00E52243">
              <w:rPr>
                <w:sz w:val="21"/>
                <w:szCs w:val="21"/>
              </w:rPr>
              <w:t>量。</w:t>
            </w:r>
          </w:p>
        </w:tc>
        <w:tc>
          <w:tcPr>
            <w:tcW w:w="1895" w:type="pct"/>
            <w:vAlign w:val="center"/>
          </w:tcPr>
          <w:p w14:paraId="7049756E" w14:textId="77777777" w:rsidR="00495C65" w:rsidRPr="00E52243" w:rsidRDefault="00495C65" w:rsidP="00E52243">
            <w:pPr>
              <w:pStyle w:val="13"/>
              <w:spacing w:line="240" w:lineRule="auto"/>
              <w:ind w:firstLineChars="0" w:firstLine="0"/>
              <w:rPr>
                <w:sz w:val="21"/>
                <w:szCs w:val="21"/>
              </w:rPr>
            </w:pPr>
            <w:r w:rsidRPr="00E52243">
              <w:rPr>
                <w:sz w:val="21"/>
                <w:szCs w:val="21"/>
              </w:rPr>
              <w:t>为委托方合理确定相应产权和实物状态下土地资产的正常市场价格提供参考。</w:t>
            </w:r>
          </w:p>
        </w:tc>
      </w:tr>
    </w:tbl>
    <w:p w14:paraId="054D6549" w14:textId="77777777" w:rsidR="00495C65" w:rsidRDefault="00495C65" w:rsidP="00495C65">
      <w:pPr>
        <w:pStyle w:val="ab"/>
        <w:spacing w:before="62" w:after="62"/>
        <w:ind w:firstLine="482"/>
      </w:pPr>
      <w:r>
        <w:t>4.3 评估原则</w:t>
      </w:r>
    </w:p>
    <w:p w14:paraId="0533664F" w14:textId="77777777" w:rsidR="00495C65" w:rsidRDefault="00495C65" w:rsidP="00495C65">
      <w:pPr>
        <w:pStyle w:val="13"/>
      </w:pPr>
      <w:r>
        <w:rPr>
          <w:rFonts w:hint="eastAsia"/>
        </w:rPr>
        <w:t>集体建设用地使用权价格评估应遵循《城镇土地估价规程》（</w:t>
      </w:r>
      <w:r>
        <w:t>GB/T 18508-2014）规</w:t>
      </w:r>
      <w:r>
        <w:rPr>
          <w:rFonts w:hint="eastAsia"/>
        </w:rPr>
        <w:t>定的相关原则，集体农用地承包经营权价格评估应遵循《农用地估价规程》</w:t>
      </w:r>
      <w:r>
        <w:t xml:space="preserve"> （GB/T 28406-2012）规定的相关原则。</w:t>
      </w:r>
    </w:p>
    <w:p w14:paraId="1FE88E70" w14:textId="77777777" w:rsidR="00495C65" w:rsidRDefault="00495C65" w:rsidP="00495C65">
      <w:pPr>
        <w:pStyle w:val="13"/>
      </w:pPr>
      <w:r>
        <w:rPr>
          <w:rFonts w:hint="eastAsia"/>
        </w:rPr>
        <w:t>除此之外，应特别遵循合法性原则，评估目的不应超出法律法规限定的集体土地流转范围。应关注最有效利用原则，有规划条件的，评估设定时依照规划条件，没有规划条件的，评估时应充分考虑最有效利用条件。</w:t>
      </w:r>
    </w:p>
    <w:p w14:paraId="37AD18D5" w14:textId="77777777" w:rsidR="00495C65" w:rsidRDefault="00495C65" w:rsidP="00AF7342">
      <w:pPr>
        <w:pStyle w:val="a9"/>
        <w:spacing w:before="62" w:after="62"/>
      </w:pPr>
      <w:r>
        <w:lastRenderedPageBreak/>
        <w:t>5 集体经营性建设用地使用权地价评估</w:t>
      </w:r>
    </w:p>
    <w:p w14:paraId="069E7B6C" w14:textId="77777777" w:rsidR="00495C65" w:rsidRDefault="00495C65" w:rsidP="00495C65">
      <w:pPr>
        <w:pStyle w:val="ab"/>
        <w:spacing w:before="62" w:after="62"/>
        <w:ind w:firstLine="482"/>
      </w:pPr>
      <w:r>
        <w:t>5.1 总述</w:t>
      </w:r>
    </w:p>
    <w:p w14:paraId="08F1A220" w14:textId="77777777" w:rsidR="00495C65" w:rsidRDefault="00495C65" w:rsidP="00495C65">
      <w:pPr>
        <w:pStyle w:val="13"/>
      </w:pPr>
      <w:r>
        <w:rPr>
          <w:rFonts w:hint="eastAsia"/>
        </w:rPr>
        <w:t>按照《中共中央关于全面深化改革若干重大问题的决定》的要求，“在符合规划和用途管制前提下，允许农村集体经营性建设用地出让、租赁、入股，实行与国有土地同等入市、同权同价。”农村集体经营性建设用地是指存量农村集体建设用地中，土地利用总体规划和城乡规划确定为工矿仓储、商服等经营性用途的土地，其入市交易应满足符合规划、用途管制和依法取得的前提。集体经营性建设用地属于建设用地性质，地价评估宜重点采用收益还原法、市场比较法、剩余法（假设开发法）进行估价，有集体建设用地基准地价的区域可以采用基准地价系数修正法。估价中重点考察并</w:t>
      </w:r>
      <w:proofErr w:type="gramStart"/>
      <w:r>
        <w:rPr>
          <w:rFonts w:hint="eastAsia"/>
        </w:rPr>
        <w:t>阐明待估集体</w:t>
      </w:r>
      <w:proofErr w:type="gramEnd"/>
      <w:r>
        <w:rPr>
          <w:rFonts w:hint="eastAsia"/>
        </w:rPr>
        <w:t>建设用地符合规划和用途管制情况，针对委托评估目的和具体交易方式合理确定价格内涵。</w:t>
      </w:r>
    </w:p>
    <w:p w14:paraId="38E54878" w14:textId="77777777" w:rsidR="00495C65" w:rsidRDefault="00495C65" w:rsidP="00495C65">
      <w:pPr>
        <w:pStyle w:val="13"/>
      </w:pPr>
      <w:r>
        <w:rPr>
          <w:rFonts w:hint="eastAsia"/>
        </w:rPr>
        <w:t>不同时期、不同地区的试点政策只适用于该类试点要求，评估中需注意政策差异对价格的影响，并进行全面阐述与分析。</w:t>
      </w:r>
    </w:p>
    <w:p w14:paraId="4F19E8D4" w14:textId="77777777" w:rsidR="00495C65" w:rsidRDefault="00495C65" w:rsidP="00495C65">
      <w:pPr>
        <w:pStyle w:val="ab"/>
        <w:spacing w:before="62" w:after="62"/>
        <w:ind w:firstLine="482"/>
      </w:pPr>
      <w:r>
        <w:t>5.2 技术要点</w:t>
      </w:r>
    </w:p>
    <w:p w14:paraId="3005E090" w14:textId="77777777" w:rsidR="00495C65" w:rsidRDefault="00495C65" w:rsidP="00495C65">
      <w:pPr>
        <w:pStyle w:val="13"/>
      </w:pPr>
      <w:r>
        <w:rPr>
          <w:rFonts w:hint="eastAsia"/>
        </w:rPr>
        <w:t>在价格影响因素、估价方法适用上，主要依据《城镇土地估价规程》（</w:t>
      </w:r>
      <w:r>
        <w:t>GB/T 18508-2014），同时还</w:t>
      </w:r>
      <w:proofErr w:type="gramStart"/>
      <w:r>
        <w:t>需体现</w:t>
      </w:r>
      <w:proofErr w:type="gramEnd"/>
      <w:r>
        <w:t>以下技术要求：</w:t>
      </w:r>
    </w:p>
    <w:p w14:paraId="6C84BC17" w14:textId="77777777" w:rsidR="00495C65" w:rsidRDefault="00495C65" w:rsidP="00495C65">
      <w:pPr>
        <w:pStyle w:val="13"/>
      </w:pPr>
      <w:r>
        <w:t>5.2.1 收益还原法</w:t>
      </w:r>
    </w:p>
    <w:p w14:paraId="3B30BF02" w14:textId="77777777" w:rsidR="00495C65" w:rsidRDefault="00495C65" w:rsidP="00495C65">
      <w:pPr>
        <w:pStyle w:val="13"/>
      </w:pPr>
      <w:r>
        <w:rPr>
          <w:rFonts w:hint="eastAsia"/>
        </w:rPr>
        <w:t>（</w:t>
      </w:r>
      <w:r>
        <w:t>1）收益还原法适用于具有正常客观收益或潜在收益的集体经营性建设用地估价。</w:t>
      </w:r>
    </w:p>
    <w:p w14:paraId="581C84EB" w14:textId="77777777" w:rsidR="00495C65" w:rsidRDefault="00495C65" w:rsidP="00495C65">
      <w:pPr>
        <w:pStyle w:val="13"/>
      </w:pPr>
      <w:r>
        <w:rPr>
          <w:rFonts w:hint="eastAsia"/>
        </w:rPr>
        <w:t>（</w:t>
      </w:r>
      <w:r>
        <w:t>2）确定总收益时，应通过调查集体经营性建设用地所在或相似区域同类用地的</w:t>
      </w:r>
      <w:r>
        <w:rPr>
          <w:rFonts w:hint="eastAsia"/>
        </w:rPr>
        <w:t>正常客观年收益或年租金水平确定。考虑到租金数据调查的方便性、可获得性，宜尽量采用租金收益。可采用同区域、同类型国有建设用地经营收益或租金数据评估集体建设用地价格。</w:t>
      </w:r>
    </w:p>
    <w:p w14:paraId="5924195D" w14:textId="77777777" w:rsidR="00495C65" w:rsidRDefault="00495C65" w:rsidP="00495C65">
      <w:pPr>
        <w:pStyle w:val="13"/>
      </w:pPr>
      <w:r>
        <w:rPr>
          <w:rFonts w:hint="eastAsia"/>
        </w:rPr>
        <w:t>（</w:t>
      </w:r>
      <w:r>
        <w:t>3）确定年总费用时，鉴于各地土地税费项目和标准存在差异，应按照当地相关</w:t>
      </w:r>
      <w:r>
        <w:rPr>
          <w:rFonts w:hint="eastAsia"/>
        </w:rPr>
        <w:t>规定计算。</w:t>
      </w:r>
    </w:p>
    <w:p w14:paraId="58EDF780" w14:textId="77777777" w:rsidR="00495C65" w:rsidRDefault="00495C65" w:rsidP="00495C65">
      <w:pPr>
        <w:pStyle w:val="13"/>
      </w:pPr>
      <w:r>
        <w:rPr>
          <w:rFonts w:hint="eastAsia"/>
        </w:rPr>
        <w:t>（</w:t>
      </w:r>
      <w:r>
        <w:t>4）由于受政策因素、现行制度差异等影响，集体经营性建设用地价格评估的土</w:t>
      </w:r>
      <w:r>
        <w:rPr>
          <w:rFonts w:hint="eastAsia"/>
        </w:rPr>
        <w:t>地还原率应比同区域国有建设用地还原率略高。</w:t>
      </w:r>
    </w:p>
    <w:p w14:paraId="3C3CC6DC" w14:textId="77777777" w:rsidR="00495C65" w:rsidRDefault="00495C65" w:rsidP="00495C65">
      <w:pPr>
        <w:pStyle w:val="13"/>
      </w:pPr>
      <w:r>
        <w:t>5.2.2 市场比较法</w:t>
      </w:r>
    </w:p>
    <w:p w14:paraId="02A5CC34" w14:textId="77777777" w:rsidR="00495C65" w:rsidRDefault="00495C65" w:rsidP="00495C65">
      <w:pPr>
        <w:pStyle w:val="13"/>
      </w:pPr>
      <w:r>
        <w:rPr>
          <w:rFonts w:hint="eastAsia"/>
        </w:rPr>
        <w:t>（</w:t>
      </w:r>
      <w:r>
        <w:t>1）在选择比较案例时，应考虑集体经营性建设用地不同交易方式的价格差别，</w:t>
      </w:r>
      <w:r>
        <w:rPr>
          <w:rFonts w:hint="eastAsia"/>
        </w:rPr>
        <w:t>尽量选择与评估目的相同或相近的交易方式，若存在交易方式不同应考虑进行价格修正。</w:t>
      </w:r>
    </w:p>
    <w:p w14:paraId="2D97980C" w14:textId="77777777" w:rsidR="00495C65" w:rsidRDefault="00495C65" w:rsidP="00495C65">
      <w:pPr>
        <w:pStyle w:val="13"/>
      </w:pPr>
      <w:r>
        <w:rPr>
          <w:rFonts w:hint="eastAsia"/>
        </w:rPr>
        <w:t>（</w:t>
      </w:r>
      <w:r>
        <w:t>2）遵循“同权同价”，但前提是“同权”，即交易案例的权利</w:t>
      </w:r>
    </w:p>
    <w:p w14:paraId="2BB0BDD5" w14:textId="77777777" w:rsidR="00495C65" w:rsidRDefault="00495C65" w:rsidP="00495C65">
      <w:pPr>
        <w:pStyle w:val="13"/>
      </w:pPr>
      <w:r>
        <w:rPr>
          <w:rFonts w:hint="eastAsia"/>
        </w:rPr>
        <w:t>形态、界定、限制要求等与评估对象的一致性决定二者价格水平是否一致。注意</w:t>
      </w:r>
      <w:r>
        <w:rPr>
          <w:rFonts w:hint="eastAsia"/>
        </w:rPr>
        <w:lastRenderedPageBreak/>
        <w:t>不同时期、不同区域试点政策下的交易案例的特殊权利状况对价格的影响。不能选择国有建设用地案例。</w:t>
      </w:r>
    </w:p>
    <w:p w14:paraId="366F6B12" w14:textId="77777777" w:rsidR="00495C65" w:rsidRDefault="00495C65" w:rsidP="00495C65">
      <w:pPr>
        <w:pStyle w:val="13"/>
      </w:pPr>
      <w:r>
        <w:rPr>
          <w:rFonts w:hint="eastAsia"/>
        </w:rPr>
        <w:t>（</w:t>
      </w:r>
      <w:r>
        <w:t>3）区域因素修正的内容主要包括：繁华程度（距镇中心距离）、基础设施状况</w:t>
      </w:r>
      <w:r>
        <w:rPr>
          <w:rFonts w:hint="eastAsia"/>
        </w:rPr>
        <w:t>（供水、供气、供电、供热、排水等）、公共服务设施状况（学校、医院、银行、电信等设施）、交通条件（道路状况、交通便捷度）、规划限制等。</w:t>
      </w:r>
    </w:p>
    <w:p w14:paraId="6B6B7172" w14:textId="77777777" w:rsidR="00495C65" w:rsidRDefault="00495C65" w:rsidP="00495C65">
      <w:pPr>
        <w:pStyle w:val="13"/>
      </w:pPr>
      <w:r>
        <w:rPr>
          <w:rFonts w:hint="eastAsia"/>
        </w:rPr>
        <w:t>（</w:t>
      </w:r>
      <w:r>
        <w:t>4）进行个别因素修正时，应充分考虑宗地的产权限制因素对地价的影响。</w:t>
      </w:r>
    </w:p>
    <w:p w14:paraId="13EC0F70" w14:textId="77777777" w:rsidR="00495C65" w:rsidRDefault="00495C65" w:rsidP="00495C65">
      <w:pPr>
        <w:pStyle w:val="13"/>
      </w:pPr>
      <w:r>
        <w:rPr>
          <w:rFonts w:hint="eastAsia"/>
        </w:rPr>
        <w:t>（</w:t>
      </w:r>
      <w:r>
        <w:t>5）交易情况、交易日期、区域因素和个别因素的修正，视具体情况可采用百分</w:t>
      </w:r>
      <w:r>
        <w:rPr>
          <w:rFonts w:hint="eastAsia"/>
        </w:rPr>
        <w:t>率法、差额法。每项修正对可比实例成交价格的调整不得超过</w:t>
      </w:r>
      <w:r>
        <w:t>20％，综合调整不得超</w:t>
      </w:r>
      <w:r>
        <w:rPr>
          <w:rFonts w:hint="eastAsia"/>
        </w:rPr>
        <w:t>过</w:t>
      </w:r>
      <w:r>
        <w:t>30％。</w:t>
      </w:r>
    </w:p>
    <w:p w14:paraId="6218FA40" w14:textId="77777777" w:rsidR="00495C65" w:rsidRDefault="00495C65" w:rsidP="00495C65">
      <w:pPr>
        <w:pStyle w:val="13"/>
      </w:pPr>
      <w:r>
        <w:t>5.2.3 成本逼近法</w:t>
      </w:r>
    </w:p>
    <w:p w14:paraId="73455CC9" w14:textId="77777777" w:rsidR="00495C65" w:rsidRDefault="00495C65" w:rsidP="00495C65">
      <w:pPr>
        <w:pStyle w:val="13"/>
      </w:pPr>
      <w:r>
        <w:rPr>
          <w:rFonts w:hint="eastAsia"/>
        </w:rPr>
        <w:t>（</w:t>
      </w:r>
      <w:r>
        <w:t>1）在确定土地取得费时，应注意分析集体经营性建设用地与国有建设用地在成</w:t>
      </w:r>
      <w:r>
        <w:rPr>
          <w:rFonts w:hint="eastAsia"/>
        </w:rPr>
        <w:t>本构成上的差异。集体经营性建设用地不涉及所有权的转移，其土地取得成本可根据所占用土地情况及取得成本的客观水平进行测算，一般不包括征地税费。具备条件的地区，评估时应考虑显</w:t>
      </w:r>
      <w:proofErr w:type="gramStart"/>
      <w:r>
        <w:rPr>
          <w:rFonts w:hint="eastAsia"/>
        </w:rPr>
        <w:t>化机会</w:t>
      </w:r>
      <w:proofErr w:type="gramEnd"/>
      <w:r>
        <w:rPr>
          <w:rFonts w:hint="eastAsia"/>
        </w:rPr>
        <w:t>成本和边际成本。</w:t>
      </w:r>
    </w:p>
    <w:p w14:paraId="47058EAB" w14:textId="77777777" w:rsidR="00495C65" w:rsidRDefault="00495C65" w:rsidP="00495C65">
      <w:pPr>
        <w:pStyle w:val="13"/>
      </w:pPr>
      <w:r>
        <w:rPr>
          <w:rFonts w:hint="eastAsia"/>
        </w:rPr>
        <w:t>（</w:t>
      </w:r>
      <w:r>
        <w:t>2）在确定土地开发费时，应</w:t>
      </w:r>
      <w:proofErr w:type="gramStart"/>
      <w:r>
        <w:t>根据待估宗地</w:t>
      </w:r>
      <w:proofErr w:type="gramEnd"/>
      <w:r>
        <w:t>开发程度和区域内平均成本确定，可</w:t>
      </w:r>
      <w:r>
        <w:rPr>
          <w:rFonts w:hint="eastAsia"/>
        </w:rPr>
        <w:t>借鉴或采用同区域国有土地开发费用水平或标准，但要详细阐述区域土地开发状况及其对价格的影响关系。</w:t>
      </w:r>
    </w:p>
    <w:p w14:paraId="3B3F1581" w14:textId="77777777" w:rsidR="00495C65" w:rsidRDefault="00495C65" w:rsidP="00495C65">
      <w:pPr>
        <w:pStyle w:val="13"/>
      </w:pPr>
      <w:r>
        <w:rPr>
          <w:rFonts w:hint="eastAsia"/>
        </w:rPr>
        <w:t>（</w:t>
      </w:r>
      <w:r>
        <w:t>3）集体经营性建设用地开发过程中应缴纳的税费各地标准不</w:t>
      </w:r>
      <w:r>
        <w:rPr>
          <w:rFonts w:hint="eastAsia"/>
        </w:rPr>
        <w:t>同，需根据当地具体的政策规定确定税费项目及标准。</w:t>
      </w:r>
    </w:p>
    <w:p w14:paraId="7E28D877" w14:textId="77777777" w:rsidR="00495C65" w:rsidRDefault="00495C65" w:rsidP="00495C65">
      <w:pPr>
        <w:pStyle w:val="13"/>
      </w:pPr>
      <w:r>
        <w:rPr>
          <w:rFonts w:hint="eastAsia"/>
        </w:rPr>
        <w:t>（</w:t>
      </w:r>
      <w:r>
        <w:t>4）确定土地开发利润率时，应综合考虑：利用类型、开发周期、</w:t>
      </w:r>
      <w:proofErr w:type="gramStart"/>
      <w:r>
        <w:t>待估宗地</w:t>
      </w:r>
      <w:proofErr w:type="gramEnd"/>
      <w:r>
        <w:t>所在</w:t>
      </w:r>
      <w:r>
        <w:rPr>
          <w:rFonts w:hint="eastAsia"/>
        </w:rPr>
        <w:t>地区同类土地开发的投资利润水平等。</w:t>
      </w:r>
    </w:p>
    <w:p w14:paraId="00054EF0" w14:textId="77777777" w:rsidR="00495C65" w:rsidRDefault="00495C65" w:rsidP="00495C65">
      <w:pPr>
        <w:pStyle w:val="13"/>
      </w:pPr>
      <w:r>
        <w:rPr>
          <w:rFonts w:hint="eastAsia"/>
        </w:rPr>
        <w:t>（</w:t>
      </w:r>
      <w:r>
        <w:t>5）在确定土地增值时，应综合考虑：土地用途的改变、土地开发后所能达到的</w:t>
      </w:r>
      <w:r>
        <w:rPr>
          <w:rFonts w:hint="eastAsia"/>
        </w:rPr>
        <w:t>基础设施水平、开发期间周边设施的改善程度、宗地的规划限制性条件、土地权利的限制性因素等。</w:t>
      </w:r>
    </w:p>
    <w:p w14:paraId="66B1EA7C" w14:textId="77777777" w:rsidR="00495C65" w:rsidRDefault="00495C65" w:rsidP="00495C65">
      <w:pPr>
        <w:pStyle w:val="13"/>
      </w:pPr>
      <w:r>
        <w:t>5.2.4 剩余法</w:t>
      </w:r>
    </w:p>
    <w:p w14:paraId="527D71B6" w14:textId="77777777" w:rsidR="00495C65" w:rsidRDefault="00495C65" w:rsidP="00495C65">
      <w:pPr>
        <w:pStyle w:val="13"/>
      </w:pPr>
      <w:r>
        <w:rPr>
          <w:rFonts w:hint="eastAsia"/>
        </w:rPr>
        <w:t>（</w:t>
      </w:r>
      <w:r>
        <w:t>1）</w:t>
      </w:r>
      <w:proofErr w:type="gramStart"/>
      <w:r>
        <w:t>确定待估宗地</w:t>
      </w:r>
      <w:proofErr w:type="gramEnd"/>
      <w:r>
        <w:t>最有效利用方式，应根据宗地所在区域的土地利用总体规划、</w:t>
      </w:r>
      <w:r>
        <w:rPr>
          <w:rFonts w:hint="eastAsia"/>
        </w:rPr>
        <w:t>乡镇规划、村庄规划等所确定的规划用途，并结合估价对象实际可能的利用方式进行。</w:t>
      </w:r>
    </w:p>
    <w:p w14:paraId="31803294" w14:textId="77777777" w:rsidR="00495C65" w:rsidRDefault="00495C65" w:rsidP="00495C65">
      <w:pPr>
        <w:pStyle w:val="13"/>
      </w:pPr>
      <w:r>
        <w:rPr>
          <w:rFonts w:hint="eastAsia"/>
        </w:rPr>
        <w:t>（</w:t>
      </w:r>
      <w:r>
        <w:t>2）在确定开发完成后土地或不动产总价时，应</w:t>
      </w:r>
      <w:proofErr w:type="gramStart"/>
      <w:r>
        <w:t>根据待估宗地</w:t>
      </w:r>
      <w:proofErr w:type="gramEnd"/>
      <w:r>
        <w:t>最有效利用方式和</w:t>
      </w:r>
      <w:r>
        <w:rPr>
          <w:rFonts w:hint="eastAsia"/>
        </w:rPr>
        <w:t>同类型土地或不动产市场状况，优先采用市场比较法确定其估价期日的价值。对开发完成后拟采用出租或自营方式经营的土地或不动产价值，也可以根据当地市场状况采用收益还原法确定其价值。</w:t>
      </w:r>
    </w:p>
    <w:p w14:paraId="1E211AFB" w14:textId="77777777" w:rsidR="00495C65" w:rsidRDefault="00495C65" w:rsidP="00495C65">
      <w:pPr>
        <w:pStyle w:val="13"/>
      </w:pPr>
      <w:r>
        <w:rPr>
          <w:rFonts w:hint="eastAsia"/>
        </w:rPr>
        <w:t>（</w:t>
      </w:r>
      <w:r>
        <w:t>3）根据所确定的最有效利用方式，考虑同类型土地开发的正常建设期和投资进</w:t>
      </w:r>
      <w:r>
        <w:rPr>
          <w:rFonts w:hint="eastAsia"/>
        </w:rPr>
        <w:t>度，确定估价对象的开发建设周期和投资进度安排。考虑到集体经营性建设用地建</w:t>
      </w:r>
      <w:r>
        <w:rPr>
          <w:rFonts w:hint="eastAsia"/>
        </w:rPr>
        <w:lastRenderedPageBreak/>
        <w:t>设规模一般较小，开发建设期一般确定为</w:t>
      </w:r>
      <w:r>
        <w:t>1-2年，投资进度采取分期均匀支付。</w:t>
      </w:r>
    </w:p>
    <w:p w14:paraId="7714C009" w14:textId="77777777" w:rsidR="00495C65" w:rsidRDefault="00495C65" w:rsidP="00495C65">
      <w:pPr>
        <w:pStyle w:val="13"/>
      </w:pPr>
      <w:r>
        <w:rPr>
          <w:rFonts w:hint="eastAsia"/>
        </w:rPr>
        <w:t>（</w:t>
      </w:r>
      <w:r>
        <w:t>4）测算开发成本各项税费时，应考虑集体经营性建设用地与国有建设用地的差</w:t>
      </w:r>
      <w:r>
        <w:rPr>
          <w:rFonts w:hint="eastAsia"/>
        </w:rPr>
        <w:t>异。由于当前集体经营性建设用地开发过程中的税费项目各地并无统一标准，应遵循合法依规原则，税费项目和标准应依据当地相关规定。</w:t>
      </w:r>
    </w:p>
    <w:p w14:paraId="72180397" w14:textId="77777777" w:rsidR="00495C65" w:rsidRDefault="00495C65" w:rsidP="00495C65">
      <w:pPr>
        <w:pStyle w:val="13"/>
      </w:pPr>
      <w:r>
        <w:rPr>
          <w:rFonts w:hint="eastAsia"/>
        </w:rPr>
        <w:t>（</w:t>
      </w:r>
      <w:r>
        <w:t>5）在确定利润率时，应综合考虑同一市场上类似土地或不动产开发项目的平均</w:t>
      </w:r>
      <w:r>
        <w:rPr>
          <w:rFonts w:hint="eastAsia"/>
        </w:rPr>
        <w:t>利润和集体经营性建设用地的产权完整性进行确定。</w:t>
      </w:r>
    </w:p>
    <w:p w14:paraId="1E4EAE78" w14:textId="77777777" w:rsidR="00495C65" w:rsidRDefault="00495C65" w:rsidP="00495C65">
      <w:pPr>
        <w:pStyle w:val="13"/>
      </w:pPr>
      <w:r>
        <w:t>5.2.5 公示地价系数修正法</w:t>
      </w:r>
    </w:p>
    <w:p w14:paraId="4B87F9C0" w14:textId="77777777" w:rsidR="00495C65" w:rsidRDefault="00495C65" w:rsidP="00495C65">
      <w:pPr>
        <w:pStyle w:val="13"/>
      </w:pPr>
      <w:r>
        <w:rPr>
          <w:rFonts w:hint="eastAsia"/>
        </w:rPr>
        <w:t>（</w:t>
      </w:r>
      <w:r>
        <w:t>1）在制定并发布了集体建设用地基准地价等公示地价的区域，可采用公示地价</w:t>
      </w:r>
      <w:r>
        <w:rPr>
          <w:rFonts w:hint="eastAsia"/>
        </w:rPr>
        <w:t>系数修正法进行评估。土地级别、基准地价、修正体系及修正公式等应严格按照当地正式发布的文件及报告执行。所采用的公示地价应具有现势性，</w:t>
      </w:r>
      <w:proofErr w:type="gramStart"/>
      <w:r>
        <w:rPr>
          <w:rFonts w:hint="eastAsia"/>
        </w:rPr>
        <w:t>待估宗地</w:t>
      </w:r>
      <w:proofErr w:type="gramEnd"/>
      <w:r>
        <w:rPr>
          <w:rFonts w:hint="eastAsia"/>
        </w:rPr>
        <w:t>估价期日距公示地价的期</w:t>
      </w:r>
      <w:proofErr w:type="gramStart"/>
      <w:r>
        <w:rPr>
          <w:rFonts w:hint="eastAsia"/>
        </w:rPr>
        <w:t>日一般</w:t>
      </w:r>
      <w:proofErr w:type="gramEnd"/>
      <w:r>
        <w:rPr>
          <w:rFonts w:hint="eastAsia"/>
        </w:rPr>
        <w:t>不超过</w:t>
      </w:r>
      <w:r>
        <w:t>3年，并具有完备的公示地价修正体系。</w:t>
      </w:r>
    </w:p>
    <w:p w14:paraId="3A851185" w14:textId="77777777" w:rsidR="00495C65" w:rsidRDefault="00495C65" w:rsidP="00495C65">
      <w:pPr>
        <w:pStyle w:val="13"/>
      </w:pPr>
      <w:r>
        <w:rPr>
          <w:rFonts w:hint="eastAsia"/>
        </w:rPr>
        <w:t>（</w:t>
      </w:r>
      <w:r>
        <w:t>2）不宜采用国有建设用地公示地价体系直接修正评估集体经营性建设用地价格。</w:t>
      </w:r>
    </w:p>
    <w:p w14:paraId="1DFDDBD5" w14:textId="77777777" w:rsidR="00495C65" w:rsidRDefault="00495C65" w:rsidP="00495C65">
      <w:pPr>
        <w:pStyle w:val="13"/>
      </w:pPr>
      <w:r>
        <w:rPr>
          <w:rFonts w:hint="eastAsia"/>
        </w:rPr>
        <w:t>（</w:t>
      </w:r>
      <w:r>
        <w:t>3）进行因素修正时，应遵循修正体系，</w:t>
      </w:r>
      <w:proofErr w:type="gramStart"/>
      <w:r>
        <w:t>结合待估宗地</w:t>
      </w:r>
      <w:proofErr w:type="gramEnd"/>
      <w:r>
        <w:t>实际情况合理确定修正幅</w:t>
      </w:r>
      <w:r>
        <w:rPr>
          <w:rFonts w:hint="eastAsia"/>
        </w:rPr>
        <w:t>度。</w:t>
      </w:r>
    </w:p>
    <w:p w14:paraId="2EE73CEB" w14:textId="77777777" w:rsidR="00495C65" w:rsidRDefault="00495C65" w:rsidP="00AF7342">
      <w:pPr>
        <w:pStyle w:val="a9"/>
        <w:spacing w:before="62" w:after="62"/>
      </w:pPr>
      <w:r>
        <w:t>6 宅基地使用权地价评估</w:t>
      </w:r>
    </w:p>
    <w:p w14:paraId="7818C23C" w14:textId="77777777" w:rsidR="00495C65" w:rsidRDefault="00495C65" w:rsidP="00495C65">
      <w:pPr>
        <w:pStyle w:val="ab"/>
        <w:spacing w:before="62" w:after="62"/>
        <w:ind w:firstLine="482"/>
      </w:pPr>
      <w:r>
        <w:t>6.1 总述</w:t>
      </w:r>
    </w:p>
    <w:p w14:paraId="68E060D8" w14:textId="77777777" w:rsidR="00495C65" w:rsidRDefault="00495C65" w:rsidP="00495C65">
      <w:pPr>
        <w:pStyle w:val="13"/>
      </w:pPr>
      <w:r>
        <w:rPr>
          <w:rFonts w:hint="eastAsia"/>
        </w:rPr>
        <w:t>宅基地所有权属于所在集体经济组织，使用权属于合法取得的农户。在用地类型上属于建设用地，在价格影响因素、估价方法选用等方面参照《城镇土地估价规程》，在价格内涵界定、估价参数确定等方面遵循集体建设用地的有关要求，年期可参照</w:t>
      </w:r>
      <w:r>
        <w:t>70</w:t>
      </w:r>
      <w:r>
        <w:rPr>
          <w:rFonts w:hint="eastAsia"/>
        </w:rPr>
        <w:t>年设定。</w:t>
      </w:r>
    </w:p>
    <w:p w14:paraId="02F031CA" w14:textId="77777777" w:rsidR="00495C65" w:rsidRDefault="00495C65" w:rsidP="00495C65">
      <w:pPr>
        <w:pStyle w:val="13"/>
      </w:pPr>
      <w:r>
        <w:rPr>
          <w:rFonts w:hint="eastAsia"/>
        </w:rPr>
        <w:t>本指引所称农村宅基地使用权价格评估主要是指作为宅基地继续使用的价格，对于农村闲置宅基地通过土地整治等再利用的，应按照其整治后的用途与规划要求评估其价格。</w:t>
      </w:r>
    </w:p>
    <w:p w14:paraId="53B2B466" w14:textId="77777777" w:rsidR="00495C65" w:rsidRDefault="00495C65" w:rsidP="00495C65">
      <w:pPr>
        <w:pStyle w:val="ab"/>
        <w:spacing w:before="62" w:after="62"/>
        <w:ind w:firstLine="482"/>
      </w:pPr>
      <w:r>
        <w:t>6.2 技术要点</w:t>
      </w:r>
    </w:p>
    <w:p w14:paraId="09BF98BC" w14:textId="77777777" w:rsidR="00495C65" w:rsidRDefault="00495C65" w:rsidP="00495C65">
      <w:pPr>
        <w:pStyle w:val="13"/>
      </w:pPr>
      <w:r>
        <w:rPr>
          <w:rFonts w:hint="eastAsia"/>
        </w:rPr>
        <w:t>在价格影响因素、估价方法适用上，主要参照《城镇土地估价规程》（</w:t>
      </w:r>
      <w:r>
        <w:t>GB/T 18508-2014），同时还</w:t>
      </w:r>
      <w:proofErr w:type="gramStart"/>
      <w:r>
        <w:t>需体现</w:t>
      </w:r>
      <w:proofErr w:type="gramEnd"/>
      <w:r>
        <w:t>以下技术要求：</w:t>
      </w:r>
    </w:p>
    <w:p w14:paraId="16530917" w14:textId="77777777" w:rsidR="00495C65" w:rsidRDefault="00495C65" w:rsidP="00495C65">
      <w:pPr>
        <w:pStyle w:val="13"/>
      </w:pPr>
      <w:r>
        <w:t>6.2.1 市场比较法</w:t>
      </w:r>
    </w:p>
    <w:p w14:paraId="0A9071F4" w14:textId="77777777" w:rsidR="00495C65" w:rsidRDefault="00495C65" w:rsidP="00495C65">
      <w:pPr>
        <w:pStyle w:val="13"/>
      </w:pPr>
      <w:r>
        <w:rPr>
          <w:rFonts w:hint="eastAsia"/>
        </w:rPr>
        <w:t>集体经济组织内有宅基地流转交易的，可采用市场比较法评估。</w:t>
      </w:r>
    </w:p>
    <w:p w14:paraId="627052C3" w14:textId="77777777" w:rsidR="00495C65" w:rsidRDefault="00495C65" w:rsidP="00495C65">
      <w:pPr>
        <w:pStyle w:val="13"/>
      </w:pPr>
      <w:r>
        <w:rPr>
          <w:rFonts w:hint="eastAsia"/>
        </w:rPr>
        <w:t>（</w:t>
      </w:r>
      <w:r>
        <w:t>1）在选择比较案例时，应考虑农村宅基地不同交易方式的价格差别，尽量选择</w:t>
      </w:r>
      <w:r>
        <w:rPr>
          <w:rFonts w:hint="eastAsia"/>
        </w:rPr>
        <w:t>与评估目的相同或相近的交易方式，若存在交易方式不同应考虑进行价格修正。要实地调查比较案例的交易对象状况，考察比较案例的交易对象构成与评估对象的对应性、可比性。不得选择城镇商品住宅交易作为比较案例。</w:t>
      </w:r>
    </w:p>
    <w:p w14:paraId="0A23FABB" w14:textId="77777777" w:rsidR="00495C65" w:rsidRDefault="00495C65" w:rsidP="00495C65">
      <w:pPr>
        <w:pStyle w:val="13"/>
      </w:pPr>
      <w:r>
        <w:rPr>
          <w:rFonts w:hint="eastAsia"/>
        </w:rPr>
        <w:lastRenderedPageBreak/>
        <w:t>（</w:t>
      </w:r>
      <w:r>
        <w:t>2）应考虑不同时期、不同区域的农村宅基地试点政策的具体要求对比较案例价</w:t>
      </w:r>
      <w:r>
        <w:rPr>
          <w:rFonts w:hint="eastAsia"/>
        </w:rPr>
        <w:t>格、估价对象价格的影响。</w:t>
      </w:r>
    </w:p>
    <w:p w14:paraId="21567D06" w14:textId="77777777" w:rsidR="00495C65" w:rsidRDefault="00495C65" w:rsidP="00495C65">
      <w:pPr>
        <w:pStyle w:val="13"/>
      </w:pPr>
      <w:r>
        <w:rPr>
          <w:rFonts w:hint="eastAsia"/>
        </w:rPr>
        <w:t>（</w:t>
      </w:r>
      <w:r>
        <w:t>3）区位条件、环境状况、公共设施状况、基础设施状况、房屋质量、庭院状况</w:t>
      </w:r>
      <w:r>
        <w:rPr>
          <w:rFonts w:hint="eastAsia"/>
        </w:rPr>
        <w:t>等是影响农村宅基地的主要因素，需进行实地考察，并全面、准确描述。</w:t>
      </w:r>
    </w:p>
    <w:p w14:paraId="0E0725A6" w14:textId="77777777" w:rsidR="00495C65" w:rsidRDefault="00495C65" w:rsidP="00495C65">
      <w:pPr>
        <w:pStyle w:val="13"/>
      </w:pPr>
      <w:r>
        <w:rPr>
          <w:rFonts w:hint="eastAsia"/>
        </w:rPr>
        <w:t>（</w:t>
      </w:r>
      <w:r>
        <w:t>4）应尽量选择与评估对象相近的案例进行比较，评估对象与比较案例实例的单</w:t>
      </w:r>
      <w:r>
        <w:rPr>
          <w:rFonts w:hint="eastAsia"/>
        </w:rPr>
        <w:t>项修正系数大于</w:t>
      </w:r>
      <w:r>
        <w:t>20%、综合修正系数大于30%的，应重新选择比较交易实例。</w:t>
      </w:r>
    </w:p>
    <w:p w14:paraId="433C1C4F" w14:textId="77777777" w:rsidR="00495C65" w:rsidRDefault="00495C65" w:rsidP="00495C65">
      <w:pPr>
        <w:pStyle w:val="13"/>
      </w:pPr>
      <w:r>
        <w:t>6.2.2 收益还原法</w:t>
      </w:r>
    </w:p>
    <w:p w14:paraId="7416D5B8" w14:textId="77777777" w:rsidR="00495C65" w:rsidRDefault="00495C65" w:rsidP="00495C65">
      <w:pPr>
        <w:pStyle w:val="13"/>
      </w:pPr>
      <w:r>
        <w:rPr>
          <w:rFonts w:hint="eastAsia"/>
        </w:rPr>
        <w:t>收益还原法适用于农房出租案例较多的区域。</w:t>
      </w:r>
    </w:p>
    <w:p w14:paraId="2B11D793" w14:textId="77777777" w:rsidR="00495C65" w:rsidRDefault="00495C65" w:rsidP="00495C65">
      <w:pPr>
        <w:pStyle w:val="13"/>
      </w:pPr>
      <w:r>
        <w:rPr>
          <w:rFonts w:hint="eastAsia"/>
        </w:rPr>
        <w:t>（</w:t>
      </w:r>
      <w:r>
        <w:t>1）调查测算宅基地租金，应深入调查出租对象的构成及质量状况、使用状况等</w:t>
      </w:r>
      <w:r>
        <w:rPr>
          <w:rFonts w:hint="eastAsia"/>
        </w:rPr>
        <w:t>对租金的影响，并通过周边区域调查分析客观租金水平。</w:t>
      </w:r>
    </w:p>
    <w:p w14:paraId="6687F33F" w14:textId="77777777" w:rsidR="00495C65" w:rsidRDefault="00495C65" w:rsidP="00495C65">
      <w:pPr>
        <w:pStyle w:val="13"/>
      </w:pPr>
      <w:r>
        <w:rPr>
          <w:rFonts w:hint="eastAsia"/>
        </w:rPr>
        <w:t>（</w:t>
      </w:r>
      <w:r>
        <w:t>2）宅基地出租过程有关税费的项目和标准依据当地有关规定和要求，并结合实</w:t>
      </w:r>
      <w:r>
        <w:rPr>
          <w:rFonts w:hint="eastAsia"/>
        </w:rPr>
        <w:t>际调查确定。</w:t>
      </w:r>
    </w:p>
    <w:p w14:paraId="088BB7B8" w14:textId="77777777" w:rsidR="00495C65" w:rsidRDefault="00495C65" w:rsidP="00495C65">
      <w:pPr>
        <w:pStyle w:val="13"/>
      </w:pPr>
      <w:r>
        <w:rPr>
          <w:rFonts w:hint="eastAsia"/>
        </w:rPr>
        <w:t>（</w:t>
      </w:r>
      <w:r>
        <w:t>3）鉴于农村宅基地租赁及交易尚存在政策与制度制约，其还原率可比同区域同</w:t>
      </w:r>
      <w:r>
        <w:rPr>
          <w:rFonts w:hint="eastAsia"/>
        </w:rPr>
        <w:t>用途国有建设用地高。</w:t>
      </w:r>
    </w:p>
    <w:p w14:paraId="7313BCAC" w14:textId="77777777" w:rsidR="00495C65" w:rsidRDefault="00495C65" w:rsidP="00495C65">
      <w:pPr>
        <w:pStyle w:val="13"/>
      </w:pPr>
      <w:r>
        <w:t>6.2.3 剩余法</w:t>
      </w:r>
    </w:p>
    <w:p w14:paraId="573A007A" w14:textId="77777777" w:rsidR="00495C65" w:rsidRDefault="00495C65" w:rsidP="00495C65">
      <w:pPr>
        <w:pStyle w:val="13"/>
      </w:pPr>
      <w:r>
        <w:rPr>
          <w:rFonts w:hint="eastAsia"/>
        </w:rPr>
        <w:t>适用于集体经济组织内有农村住房流转市场的地区。</w:t>
      </w:r>
    </w:p>
    <w:p w14:paraId="67313B09" w14:textId="77777777" w:rsidR="00495C65" w:rsidRDefault="00495C65" w:rsidP="00495C65">
      <w:pPr>
        <w:pStyle w:val="13"/>
      </w:pPr>
      <w:r>
        <w:rPr>
          <w:rFonts w:hint="eastAsia"/>
        </w:rPr>
        <w:t>待开发的宅基地，可采用市场比较法或者收益还原法评估开发完成后的农宅价格，开发成本测算要通过实地调查掌握当地的农房建设成本项目与标准，不宜直接采用当地城镇住房建设的成本取费标准。相关税</w:t>
      </w:r>
      <w:proofErr w:type="gramStart"/>
      <w:r>
        <w:rPr>
          <w:rFonts w:hint="eastAsia"/>
        </w:rPr>
        <w:t>费依据</w:t>
      </w:r>
      <w:proofErr w:type="gramEnd"/>
      <w:r>
        <w:rPr>
          <w:rFonts w:hint="eastAsia"/>
        </w:rPr>
        <w:t>当地农房建设的有关政策规定确定。</w:t>
      </w:r>
    </w:p>
    <w:p w14:paraId="66B2A5A1" w14:textId="77777777" w:rsidR="00495C65" w:rsidRDefault="00495C65" w:rsidP="00495C65">
      <w:pPr>
        <w:pStyle w:val="13"/>
      </w:pPr>
      <w:r>
        <w:t>6.2.4 成本逼近法</w:t>
      </w:r>
    </w:p>
    <w:p w14:paraId="6E88F7C3" w14:textId="77777777" w:rsidR="00495C65" w:rsidRDefault="00495C65" w:rsidP="00495C65">
      <w:pPr>
        <w:pStyle w:val="13"/>
      </w:pPr>
      <w:r>
        <w:rPr>
          <w:rFonts w:hint="eastAsia"/>
        </w:rPr>
        <w:t>适用于农村住房或宅基地交易案例较少的地区。</w:t>
      </w:r>
    </w:p>
    <w:p w14:paraId="1795F1B9" w14:textId="77777777" w:rsidR="00495C65" w:rsidRDefault="00495C65" w:rsidP="00495C65">
      <w:pPr>
        <w:pStyle w:val="13"/>
      </w:pPr>
      <w:r>
        <w:rPr>
          <w:rFonts w:hint="eastAsia"/>
        </w:rPr>
        <w:t>宅基地使用权价格</w:t>
      </w:r>
      <w:r>
        <w:t>=原土地价格+开发费用+取得宅基地相关税费+增值。原土地价</w:t>
      </w:r>
      <w:r>
        <w:rPr>
          <w:rFonts w:hint="eastAsia"/>
        </w:rPr>
        <w:t>格根据宅基地划拨前的土地利用形态（地类）评估确定，划拨前是农用地的，按农用地评估方法确定；是其它用地的，按其它用地的评估方法确定。无法确定宅基地划拨前土地的地类的，按所在区域主要地类确定。土地开发费用是指使被占用作宅基地的土地具备建房条件所需各项客观费用之和，如“三通一平”（通水、通电、通路和场地平整）等费用。</w:t>
      </w:r>
    </w:p>
    <w:p w14:paraId="6E66FFAD" w14:textId="77777777" w:rsidR="00495C65" w:rsidRDefault="00495C65" w:rsidP="00495C65">
      <w:pPr>
        <w:pStyle w:val="13"/>
      </w:pPr>
      <w:r>
        <w:t>6.2.5 抵押评估</w:t>
      </w:r>
    </w:p>
    <w:p w14:paraId="006B75E7" w14:textId="77777777" w:rsidR="00495C65" w:rsidRDefault="00495C65" w:rsidP="00495C65">
      <w:pPr>
        <w:pStyle w:val="13"/>
      </w:pPr>
      <w:r>
        <w:rPr>
          <w:rFonts w:hint="eastAsia"/>
        </w:rPr>
        <w:t>根据《国务院关于开展农村承包土地的经营权和农民住房财产权抵押贷款试点的指导意见》（国发</w:t>
      </w:r>
      <w:r>
        <w:t>.2015.45号）的要求，“农民住房财产权设立抵押的，需将宅基地使用权</w:t>
      </w:r>
      <w:r>
        <w:rPr>
          <w:rFonts w:hint="eastAsia"/>
        </w:rPr>
        <w:t>与住房所有权一并抵押。”因此涉及宅基地及地上房屋抵押评估的，应评估宅基地地价及地上房屋价值，地上房屋价值按建筑物重置成新价确定。</w:t>
      </w:r>
    </w:p>
    <w:p w14:paraId="3596E1AE" w14:textId="77777777" w:rsidR="00495C65" w:rsidRDefault="00495C65" w:rsidP="00AF7342">
      <w:pPr>
        <w:pStyle w:val="a9"/>
        <w:spacing w:before="62" w:after="62"/>
      </w:pPr>
      <w:r>
        <w:lastRenderedPageBreak/>
        <w:t>7 农用地使用权（承包经营权）地价评估</w:t>
      </w:r>
    </w:p>
    <w:p w14:paraId="785CA3FB" w14:textId="77777777" w:rsidR="00495C65" w:rsidRDefault="00495C65" w:rsidP="00495C65">
      <w:pPr>
        <w:pStyle w:val="ab"/>
        <w:spacing w:before="62" w:after="62"/>
        <w:ind w:firstLine="482"/>
      </w:pPr>
      <w:r>
        <w:t>7.1 总述</w:t>
      </w:r>
    </w:p>
    <w:p w14:paraId="150BBC56" w14:textId="77777777" w:rsidR="00495C65" w:rsidRDefault="00495C65" w:rsidP="00495C65">
      <w:pPr>
        <w:pStyle w:val="13"/>
      </w:pPr>
      <w:r>
        <w:rPr>
          <w:rFonts w:hint="eastAsia"/>
        </w:rPr>
        <w:t>农用地使用权地价评估依据《中共中央关于全面深化改革若干重大问题的决定》（</w:t>
      </w:r>
      <w:r>
        <w:t>2013年11月12日中国共产党第十八届中央委员会第三次全体会议通过）提出的“坚</w:t>
      </w:r>
      <w:r>
        <w:rPr>
          <w:rFonts w:hint="eastAsia"/>
        </w:rPr>
        <w:t>持农村土地集体所有权，依法维护农民土地承包经营权，发展壮大集体经济。稳定农村土地承包关系并保持长久不变，在坚持和完善最严格的耕地保护制度前提下，赋予农民对承包地占有、使用、收益、流转及承包经营权抵押、担保权能，允许农民以承包经营权入股发展农业产业化经营。”中共中央办公厅、国务院办公厅《关于引导农村土地经营权有序流转发展农业适度规模经营的意见》（</w:t>
      </w:r>
      <w:r>
        <w:t>2014年11月20日）提出的“坚</w:t>
      </w:r>
      <w:r>
        <w:rPr>
          <w:rFonts w:hint="eastAsia"/>
        </w:rPr>
        <w:t>持农村土地集体所有，实现所有权、承包权、经营权三权分置，引导土地经营权有序流转，坚持家庭经营的基础性地位，积极培育新型经营主体，发展多种形式的适度规模经营，巩固和完善农村基本经营制度”等基本要求，服务于农村承包土地经营权交易。</w:t>
      </w:r>
    </w:p>
    <w:p w14:paraId="7E44F54C" w14:textId="77777777" w:rsidR="00495C65" w:rsidRDefault="00495C65" w:rsidP="00495C65">
      <w:pPr>
        <w:pStyle w:val="13"/>
      </w:pPr>
      <w:r>
        <w:rPr>
          <w:rFonts w:hint="eastAsia"/>
        </w:rPr>
        <w:t>农用地使用权（承包经营权）地价评估，应遵循农村土地经营权合法取得、产权关系明晰并经登记、不改变土地所有权性质、符合土地用途规划管制等基本要求，符合规定的承包与转包合同、权属登记证书及文件等是基本判断依据。</w:t>
      </w:r>
    </w:p>
    <w:p w14:paraId="36835E72" w14:textId="77777777" w:rsidR="00495C65" w:rsidRDefault="00495C65" w:rsidP="00495C65">
      <w:pPr>
        <w:pStyle w:val="ab"/>
        <w:spacing w:before="62" w:after="62"/>
        <w:ind w:firstLine="482"/>
      </w:pPr>
      <w:r>
        <w:t>7.2 技术要点</w:t>
      </w:r>
    </w:p>
    <w:p w14:paraId="68CAFC60" w14:textId="77777777" w:rsidR="00495C65" w:rsidRDefault="00495C65" w:rsidP="00495C65">
      <w:pPr>
        <w:pStyle w:val="13"/>
      </w:pPr>
      <w:r>
        <w:rPr>
          <w:rFonts w:hint="eastAsia"/>
        </w:rPr>
        <w:t>农用地承包经营权作为用益物权，可以进一步衍生为承包权和经营权，在形成经营权流转市场的地区，评估农用地使用权地价时，应根据流转参与各方的产权与收益关系，准确界定所评估权利及价格内涵，同时评估承包权地价和经营权地价。有条件的地区，在制订农用地基准地价时，应细化到承包权、经营权。</w:t>
      </w:r>
    </w:p>
    <w:p w14:paraId="4E40DB39" w14:textId="77777777" w:rsidR="00495C65" w:rsidRDefault="00495C65" w:rsidP="00495C65">
      <w:pPr>
        <w:pStyle w:val="13"/>
      </w:pPr>
      <w:r>
        <w:rPr>
          <w:rFonts w:hint="eastAsia"/>
        </w:rPr>
        <w:t>农用地使用权地价主要评估方法为收益还原法，农用地流转市场较发达的，还可以选用市场比较法；对于新开发的农用地，可以选用成本逼近法；对于待开发的，可以选用剩余法；已完成了农用地分等定级工作，制定了农用地基准地价的地方，可以选用评分估价法、基准地价修正法。农用地地价评估依据《农用地估价规程》进行，同时体现以下技术要点：</w:t>
      </w:r>
    </w:p>
    <w:p w14:paraId="2926E636" w14:textId="77777777" w:rsidR="00495C65" w:rsidRDefault="00495C65" w:rsidP="00495C65">
      <w:pPr>
        <w:pStyle w:val="13"/>
      </w:pPr>
      <w:r>
        <w:t>7.2.1 收益还原法</w:t>
      </w:r>
    </w:p>
    <w:p w14:paraId="545A6A8D" w14:textId="77777777" w:rsidR="00495C65" w:rsidRDefault="00495C65" w:rsidP="00495C65">
      <w:pPr>
        <w:pStyle w:val="13"/>
      </w:pPr>
      <w:r>
        <w:rPr>
          <w:rFonts w:hint="eastAsia"/>
        </w:rPr>
        <w:t>（</w:t>
      </w:r>
      <w:r>
        <w:t>1）农村承包土地经营权流转通常均具有收益，应深入调查流转参与各方实际收</w:t>
      </w:r>
      <w:r>
        <w:rPr>
          <w:rFonts w:hint="eastAsia"/>
        </w:rPr>
        <w:t>益水平和客观收益能力，采用收益还原法进行估价。通过种植作物核定农用地的客观收益水平的，原则上应</w:t>
      </w:r>
      <w:proofErr w:type="gramStart"/>
      <w:r>
        <w:rPr>
          <w:rFonts w:hint="eastAsia"/>
        </w:rPr>
        <w:t>采用待估农用</w:t>
      </w:r>
      <w:proofErr w:type="gramEnd"/>
      <w:r>
        <w:rPr>
          <w:rFonts w:hint="eastAsia"/>
        </w:rPr>
        <w:t>地所在区域普遍种植的大宗作物。有农业补贴政策的，相关补贴纳入收益计算。</w:t>
      </w:r>
    </w:p>
    <w:p w14:paraId="2BB68142" w14:textId="77777777" w:rsidR="00495C65" w:rsidRDefault="00495C65" w:rsidP="00495C65">
      <w:pPr>
        <w:pStyle w:val="13"/>
      </w:pPr>
      <w:r>
        <w:rPr>
          <w:rFonts w:hint="eastAsia"/>
        </w:rPr>
        <w:t>（</w:t>
      </w:r>
      <w:r>
        <w:t>2）以承包或租赁方式流转的年度承包费或租金，通过调查并判断其收益关系，</w:t>
      </w:r>
    </w:p>
    <w:p w14:paraId="1389993F" w14:textId="77777777" w:rsidR="00495C65" w:rsidRDefault="00495C65" w:rsidP="00495C65">
      <w:pPr>
        <w:pStyle w:val="13"/>
      </w:pPr>
      <w:r>
        <w:rPr>
          <w:rFonts w:hint="eastAsia"/>
        </w:rPr>
        <w:t>是确定总收益的重要依据。年收益若以实物方式约定，应以评估期日物价水平进</w:t>
      </w:r>
      <w:r>
        <w:rPr>
          <w:rFonts w:hint="eastAsia"/>
        </w:rPr>
        <w:lastRenderedPageBreak/>
        <w:t>行核算。</w:t>
      </w:r>
    </w:p>
    <w:p w14:paraId="20C8B851" w14:textId="77777777" w:rsidR="00495C65" w:rsidRDefault="00495C65" w:rsidP="00495C65">
      <w:pPr>
        <w:pStyle w:val="13"/>
      </w:pPr>
      <w:r>
        <w:rPr>
          <w:rFonts w:hint="eastAsia"/>
        </w:rPr>
        <w:t>（</w:t>
      </w:r>
      <w:r>
        <w:t>3）确定年总费用时，鉴于各地土地税费项目和标准存在差</w:t>
      </w:r>
      <w:r>
        <w:rPr>
          <w:rFonts w:hint="eastAsia"/>
        </w:rPr>
        <w:t>异，应按照当地相关规定计算。</w:t>
      </w:r>
    </w:p>
    <w:p w14:paraId="4F53B844" w14:textId="77777777" w:rsidR="00495C65" w:rsidRDefault="00495C65" w:rsidP="00495C65">
      <w:pPr>
        <w:pStyle w:val="13"/>
      </w:pPr>
      <w:r>
        <w:rPr>
          <w:rFonts w:hint="eastAsia"/>
        </w:rPr>
        <w:t>（</w:t>
      </w:r>
      <w:r>
        <w:t>4）土地还原率一般可采用“安全利率+风险调整值”方法进行测算，通常取一年</w:t>
      </w:r>
      <w:r>
        <w:rPr>
          <w:rFonts w:hint="eastAsia"/>
        </w:rPr>
        <w:t>期定期存款利率为安全利率。风险调整值除考虑自然灾害对农业生产的风险外，还需考虑农业生产周期长、市场供需变化等风险。一般普通种植项目风险低于特种种植项目风险，养殖风险高于种植风险，工厂化农业的风险低于非工厂化农业。</w:t>
      </w:r>
    </w:p>
    <w:p w14:paraId="59D0F56C" w14:textId="77777777" w:rsidR="00495C65" w:rsidRDefault="00495C65" w:rsidP="00495C65">
      <w:pPr>
        <w:pStyle w:val="13"/>
      </w:pPr>
      <w:r>
        <w:rPr>
          <w:rFonts w:hint="eastAsia"/>
        </w:rPr>
        <w:t>（</w:t>
      </w:r>
      <w:r>
        <w:t>5）农村承包土地经营权年期不得超过承包期的剩余期限，超过土地承包期剩余</w:t>
      </w:r>
      <w:r>
        <w:rPr>
          <w:rFonts w:hint="eastAsia"/>
        </w:rPr>
        <w:t>年限的，按剩余承包年限计算。具体年期在符合法律与政策规定前提下，以合同约定为准。</w:t>
      </w:r>
    </w:p>
    <w:p w14:paraId="40641F94" w14:textId="77777777" w:rsidR="00495C65" w:rsidRDefault="00495C65" w:rsidP="00495C65">
      <w:pPr>
        <w:pStyle w:val="13"/>
      </w:pPr>
      <w:r>
        <w:t>7.2.2 市场比较法</w:t>
      </w:r>
    </w:p>
    <w:p w14:paraId="5C1C4775" w14:textId="77777777" w:rsidR="00495C65" w:rsidRDefault="00495C65" w:rsidP="00495C65">
      <w:pPr>
        <w:pStyle w:val="13"/>
      </w:pPr>
      <w:r>
        <w:rPr>
          <w:rFonts w:hint="eastAsia"/>
        </w:rPr>
        <w:t>（</w:t>
      </w:r>
      <w:r>
        <w:t>1）在调查与选择比较案例时，应考虑农村承包土地经营权流转方式的不同所引</w:t>
      </w:r>
      <w:r>
        <w:rPr>
          <w:rFonts w:hint="eastAsia"/>
        </w:rPr>
        <w:t>起的价格差别，尽量选择与评估目的相同或相近的交易方式，若存在交易方式不同应考虑进行价格修正。原则上要求选取近</w:t>
      </w:r>
      <w:r>
        <w:t>3年内所在区域或相似区域的流转案例不少于3</w:t>
      </w:r>
      <w:r>
        <w:rPr>
          <w:rFonts w:hint="eastAsia"/>
        </w:rPr>
        <w:t>个。</w:t>
      </w:r>
    </w:p>
    <w:p w14:paraId="43EE336A" w14:textId="77777777" w:rsidR="00495C65" w:rsidRDefault="00495C65" w:rsidP="00495C65">
      <w:pPr>
        <w:pStyle w:val="13"/>
      </w:pPr>
      <w:r>
        <w:rPr>
          <w:rFonts w:hint="eastAsia"/>
        </w:rPr>
        <w:t>（</w:t>
      </w:r>
      <w:r>
        <w:t>2）必须区分不同种植类型与经营方式的案例，原则上应做到同类型比较，即在</w:t>
      </w:r>
      <w:r>
        <w:rPr>
          <w:rFonts w:hint="eastAsia"/>
        </w:rPr>
        <w:t>经营方式上区分普通大田种植、大棚等设施种植、工厂化种植选择同类型案例，在种植类型上区分水田、旱地、菜地、果园、花卉等选择同类型案例。</w:t>
      </w:r>
    </w:p>
    <w:p w14:paraId="2437302B" w14:textId="77777777" w:rsidR="00495C65" w:rsidRDefault="00495C65" w:rsidP="00495C65">
      <w:pPr>
        <w:pStyle w:val="13"/>
      </w:pPr>
      <w:r>
        <w:rPr>
          <w:rFonts w:hint="eastAsia"/>
        </w:rPr>
        <w:t>（</w:t>
      </w:r>
      <w:r>
        <w:t>3）应尽量选择与评估对象相近的案例进行比较，评估对象与比较案例实例的单</w:t>
      </w:r>
      <w:r>
        <w:rPr>
          <w:rFonts w:hint="eastAsia"/>
        </w:rPr>
        <w:t>项修正系数大于</w:t>
      </w:r>
      <w:r>
        <w:t>20%、综合修正系数大于30%的，应重新选择比较交易实例。</w:t>
      </w:r>
    </w:p>
    <w:p w14:paraId="743FA01C" w14:textId="77777777" w:rsidR="00495C65" w:rsidRDefault="00495C65" w:rsidP="00495C65">
      <w:pPr>
        <w:pStyle w:val="13"/>
      </w:pPr>
      <w:r>
        <w:rPr>
          <w:rFonts w:hint="eastAsia"/>
        </w:rPr>
        <w:t>主要起草人：朱道林、伍育鹏、杜挺、赵钺</w:t>
      </w:r>
    </w:p>
    <w:p w14:paraId="47EE3EBE" w14:textId="77777777" w:rsidR="00495C65" w:rsidRDefault="00495C65" w:rsidP="00495C65">
      <w:pPr>
        <w:pStyle w:val="31"/>
        <w:spacing w:before="156" w:after="62"/>
      </w:pPr>
      <w:bookmarkStart w:id="202" w:name="_Toc81833435"/>
      <w:r>
        <w:t>北京市企业国有建设用地使用权收购补偿价格评估技术指引（</w:t>
      </w:r>
      <w:proofErr w:type="gramStart"/>
      <w:r>
        <w:t>北估秘</w:t>
      </w:r>
      <w:proofErr w:type="gramEnd"/>
      <w:r>
        <w:t>004号）</w:t>
      </w:r>
      <w:bookmarkEnd w:id="202"/>
    </w:p>
    <w:p w14:paraId="19E9E082" w14:textId="77777777" w:rsidR="00495C65" w:rsidRDefault="00495C65" w:rsidP="00495C65">
      <w:pPr>
        <w:pStyle w:val="13"/>
        <w:ind w:firstLineChars="0" w:firstLine="0"/>
      </w:pPr>
      <w:proofErr w:type="gramStart"/>
      <w:r>
        <w:rPr>
          <w:rFonts w:hint="eastAsia"/>
        </w:rPr>
        <w:t>各土地</w:t>
      </w:r>
      <w:proofErr w:type="gramEnd"/>
      <w:r>
        <w:rPr>
          <w:rFonts w:hint="eastAsia"/>
        </w:rPr>
        <w:t>估价机构：</w:t>
      </w:r>
    </w:p>
    <w:p w14:paraId="3C569AC4" w14:textId="77777777" w:rsidR="00495C65" w:rsidRDefault="00495C65" w:rsidP="00495C65">
      <w:pPr>
        <w:pStyle w:val="13"/>
      </w:pPr>
      <w:r>
        <w:t>2015年4月，我会发布了《北京市企业国有建设用地使用权收购补偿价格评估技</w:t>
      </w:r>
      <w:r>
        <w:rPr>
          <w:rFonts w:hint="eastAsia"/>
        </w:rPr>
        <w:t>术指引》有效期为</w:t>
      </w:r>
      <w:r>
        <w:t>2年，现已到期。为了保障国有土地收回工作的顺利进行，规范收回</w:t>
      </w:r>
      <w:r>
        <w:rPr>
          <w:rFonts w:hint="eastAsia"/>
        </w:rPr>
        <w:t>补偿评估，我会参与完善了《北京市企业国有建设用地使用权收购补偿价格评估技术指引》，已向北京市土地整理储备中心进行备案，现向全行业发布试行。</w:t>
      </w:r>
    </w:p>
    <w:p w14:paraId="617C2C3D" w14:textId="77777777" w:rsidR="00495C65" w:rsidRDefault="00495C65" w:rsidP="00495C65">
      <w:pPr>
        <w:pStyle w:val="13"/>
      </w:pPr>
      <w:r>
        <w:rPr>
          <w:rFonts w:hint="eastAsia"/>
        </w:rPr>
        <w:t>附件：北京市企业国有建设用地使用权收购补偿价格评估技术指引</w:t>
      </w:r>
    </w:p>
    <w:p w14:paraId="73BA1499" w14:textId="77777777" w:rsidR="00495C65" w:rsidRDefault="00495C65" w:rsidP="00495C65">
      <w:pPr>
        <w:pStyle w:val="13"/>
        <w:jc w:val="right"/>
      </w:pPr>
      <w:r>
        <w:rPr>
          <w:rFonts w:hint="eastAsia"/>
        </w:rPr>
        <w:t>北京房地产估价师和土地估价师与不动产登记代理人协会</w:t>
      </w:r>
    </w:p>
    <w:p w14:paraId="44B515C3" w14:textId="77777777" w:rsidR="00495C65" w:rsidRDefault="00495C65" w:rsidP="00495C65">
      <w:pPr>
        <w:pStyle w:val="13"/>
        <w:jc w:val="right"/>
      </w:pPr>
      <w:r>
        <w:rPr>
          <w:rFonts w:hint="eastAsia"/>
        </w:rPr>
        <w:t>二〇一八年四月十七日</w:t>
      </w:r>
    </w:p>
    <w:p w14:paraId="04F53575" w14:textId="77777777" w:rsidR="00495C65" w:rsidRDefault="00495C65" w:rsidP="00AF7342">
      <w:pPr>
        <w:pStyle w:val="a9"/>
        <w:spacing w:before="62" w:after="62"/>
      </w:pPr>
      <w:r>
        <w:rPr>
          <w:rFonts w:hint="eastAsia"/>
        </w:rPr>
        <w:t>北京市企业国有建设用地使用权收购补偿价格评估技术指引</w:t>
      </w:r>
    </w:p>
    <w:p w14:paraId="4E107A95" w14:textId="77777777" w:rsidR="00495C65" w:rsidRDefault="00495C65" w:rsidP="00495C65">
      <w:pPr>
        <w:pStyle w:val="13"/>
      </w:pPr>
      <w:r>
        <w:rPr>
          <w:rFonts w:hint="eastAsia"/>
        </w:rPr>
        <w:t>为规范企业国有建设用地使用权收购补偿价格评估工作，促进北京市土地收购储备工作的顺利开展，依据《土地储备管理办法》（国土资</w:t>
      </w:r>
      <w:proofErr w:type="gramStart"/>
      <w:r>
        <w:rPr>
          <w:rFonts w:hint="eastAsia"/>
        </w:rPr>
        <w:t>规</w:t>
      </w:r>
      <w:proofErr w:type="gramEnd"/>
      <w:r>
        <w:rPr>
          <w:rFonts w:hint="eastAsia"/>
        </w:rPr>
        <w:t>〔</w:t>
      </w:r>
      <w:r>
        <w:t>2017〕17号）、《北京</w:t>
      </w:r>
      <w:r>
        <w:lastRenderedPageBreak/>
        <w:t>市</w:t>
      </w:r>
      <w:r>
        <w:rPr>
          <w:rFonts w:hint="eastAsia"/>
        </w:rPr>
        <w:t>收回企业国有土地使用权补偿办法》（京国土用〔</w:t>
      </w:r>
      <w:r>
        <w:t>2005〕534号）相关法规，结合本市实</w:t>
      </w:r>
      <w:r>
        <w:rPr>
          <w:rFonts w:hint="eastAsia"/>
        </w:rPr>
        <w:t>际情况，制定本评估指引。</w:t>
      </w:r>
    </w:p>
    <w:p w14:paraId="693B7EFE" w14:textId="77777777" w:rsidR="00495C65" w:rsidRDefault="00495C65" w:rsidP="00495C65">
      <w:pPr>
        <w:pStyle w:val="ab"/>
        <w:spacing w:before="62" w:after="62"/>
        <w:ind w:firstLine="482"/>
      </w:pPr>
      <w:r>
        <w:t>1、适用范围</w:t>
      </w:r>
    </w:p>
    <w:p w14:paraId="2A83C073" w14:textId="77777777" w:rsidR="00495C65" w:rsidRDefault="00495C65" w:rsidP="00495C65">
      <w:pPr>
        <w:pStyle w:val="13"/>
      </w:pPr>
      <w:r>
        <w:rPr>
          <w:rFonts w:hint="eastAsia"/>
        </w:rPr>
        <w:t>本指引适用于北京市土地储备机构收购企业国有建设用地使用权时，评估机构对被收购国有建设用地使用权的收购补偿价格的评估。</w:t>
      </w:r>
    </w:p>
    <w:p w14:paraId="1B7ABE04" w14:textId="77777777" w:rsidR="00495C65" w:rsidRDefault="00495C65" w:rsidP="00495C65">
      <w:pPr>
        <w:pStyle w:val="13"/>
      </w:pPr>
      <w:r>
        <w:rPr>
          <w:rFonts w:hint="eastAsia"/>
        </w:rPr>
        <w:t>企业国有建设用地使用权收购过程中，涉及补偿评估均适用本指引。评估机构应区分货币补偿、实物补偿或货币实物相结合的补偿不同方式进行评估。被收购人选择实物补偿的，收购人应计算被收购土地价值与实物补偿价值的差价。</w:t>
      </w:r>
    </w:p>
    <w:p w14:paraId="4ED868CF" w14:textId="77777777" w:rsidR="00495C65" w:rsidRDefault="00495C65" w:rsidP="00495C65">
      <w:pPr>
        <w:pStyle w:val="ab"/>
        <w:spacing w:before="62" w:after="62"/>
        <w:ind w:firstLine="482"/>
      </w:pPr>
      <w:r>
        <w:t>2、价格内涵</w:t>
      </w:r>
    </w:p>
    <w:p w14:paraId="5F39A05E" w14:textId="77777777" w:rsidR="00495C65" w:rsidRDefault="00495C65" w:rsidP="00495C65">
      <w:pPr>
        <w:pStyle w:val="13"/>
      </w:pPr>
      <w:r>
        <w:rPr>
          <w:rFonts w:hint="eastAsia"/>
        </w:rPr>
        <w:t>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其中土地使用权价格应依据土地取得时规定的具体类型（出让、划拨等）确定。</w:t>
      </w:r>
    </w:p>
    <w:p w14:paraId="40CA27D1" w14:textId="77777777" w:rsidR="00495C65" w:rsidRDefault="00495C65" w:rsidP="00495C65">
      <w:pPr>
        <w:pStyle w:val="ab"/>
        <w:spacing w:before="62" w:after="62"/>
        <w:ind w:firstLine="482"/>
      </w:pPr>
      <w:r>
        <w:t>3、估价目的</w:t>
      </w:r>
    </w:p>
    <w:p w14:paraId="26664575" w14:textId="77777777" w:rsidR="00495C65" w:rsidRDefault="00495C65" w:rsidP="00495C65">
      <w:pPr>
        <w:pStyle w:val="13"/>
      </w:pPr>
      <w:r>
        <w:rPr>
          <w:rFonts w:hint="eastAsia"/>
        </w:rPr>
        <w:t>估价目的需针对收购补偿的不同情况，考虑收购标的实体与权利状况确定。</w:t>
      </w:r>
    </w:p>
    <w:p w14:paraId="3C836CC0" w14:textId="77777777" w:rsidR="00495C65" w:rsidRDefault="00495C65" w:rsidP="00495C65">
      <w:pPr>
        <w:pStyle w:val="13"/>
      </w:pPr>
      <w:r>
        <w:rPr>
          <w:rFonts w:hint="eastAsia"/>
        </w:rPr>
        <w:t>企业国有建设用地使用权收购补偿价格评估目的宜表述为“为北京市土地储备机构收购的国有建设用地使用权的补偿提供依据，评估被收购国有建设用地使用权的收购补偿价格”。</w:t>
      </w:r>
    </w:p>
    <w:p w14:paraId="18EFD406" w14:textId="77777777" w:rsidR="00495C65" w:rsidRDefault="00495C65" w:rsidP="00495C65">
      <w:pPr>
        <w:pStyle w:val="13"/>
      </w:pPr>
      <w:r>
        <w:rPr>
          <w:rFonts w:hint="eastAsia"/>
        </w:rPr>
        <w:t>涉及到需对实物补偿价格、货币实物补偿相结合的补偿价格进行评估时，应当分别对评估目的进行适当表述。</w:t>
      </w:r>
    </w:p>
    <w:p w14:paraId="43A5AE97" w14:textId="77777777" w:rsidR="00495C65" w:rsidRDefault="00495C65" w:rsidP="00495C65">
      <w:pPr>
        <w:pStyle w:val="ab"/>
        <w:spacing w:before="62" w:after="62"/>
        <w:ind w:firstLine="482"/>
      </w:pPr>
      <w:r>
        <w:t>4、估价原则</w:t>
      </w:r>
    </w:p>
    <w:p w14:paraId="4627AA7A" w14:textId="77777777" w:rsidR="00495C65" w:rsidRDefault="00495C65" w:rsidP="00495C65">
      <w:pPr>
        <w:pStyle w:val="13"/>
      </w:pPr>
      <w:r>
        <w:rPr>
          <w:rFonts w:hint="eastAsia"/>
        </w:rPr>
        <w:t>企业国有建设用地使用权收购补偿价格评估应遵循《城镇土地估价规程》（</w:t>
      </w:r>
      <w:r>
        <w:t>GB/T 18508-2014）及《房地产估价规范》（GB/T 50291-2015）规定的相关原则。</w:t>
      </w:r>
    </w:p>
    <w:p w14:paraId="7AC3D911" w14:textId="77777777" w:rsidR="00495C65" w:rsidRDefault="00495C65" w:rsidP="00495C65">
      <w:pPr>
        <w:pStyle w:val="13"/>
      </w:pPr>
      <w:r>
        <w:rPr>
          <w:rFonts w:hint="eastAsia"/>
        </w:rPr>
        <w:t>除此之外，考虑企业国有建设用地使用权收购的特殊性，应特别遵循谨慎性原则，在评估中确定相关参数和结果时，应充分考虑土地市场运行状况、有关行业发展状况，以及存在的风险。</w:t>
      </w:r>
    </w:p>
    <w:p w14:paraId="466B5DB5" w14:textId="77777777" w:rsidR="00495C65" w:rsidRDefault="00495C65" w:rsidP="00495C65">
      <w:pPr>
        <w:pStyle w:val="ab"/>
        <w:spacing w:before="62" w:after="62"/>
        <w:ind w:firstLine="482"/>
      </w:pPr>
      <w:r>
        <w:t>5、用途及面积认定</w:t>
      </w:r>
    </w:p>
    <w:p w14:paraId="1FF6BE66" w14:textId="77777777" w:rsidR="00495C65" w:rsidRDefault="00495C65" w:rsidP="00495C65">
      <w:pPr>
        <w:pStyle w:val="13"/>
      </w:pPr>
      <w:r>
        <w:rPr>
          <w:rFonts w:hint="eastAsia"/>
        </w:rPr>
        <w:t>（</w:t>
      </w:r>
      <w:r>
        <w:t>1）企业国有建设用地使用权收购补偿价格应当按照合法用途和面积进行评估。</w:t>
      </w:r>
      <w:r>
        <w:rPr>
          <w:rFonts w:hint="eastAsia"/>
        </w:rPr>
        <w:t>当实际用途、面积与合法用途、面积不一致时，以合法的用途、面积为准。</w:t>
      </w:r>
    </w:p>
    <w:p w14:paraId="57F31A22" w14:textId="77777777" w:rsidR="00495C65" w:rsidRDefault="00495C65" w:rsidP="00495C65">
      <w:pPr>
        <w:pStyle w:val="13"/>
      </w:pPr>
      <w:r>
        <w:rPr>
          <w:rFonts w:hint="eastAsia"/>
        </w:rPr>
        <w:t>（</w:t>
      </w:r>
      <w:r>
        <w:t>2）合法用途指国有土地使用证</w:t>
      </w:r>
      <w:proofErr w:type="gramStart"/>
      <w:r>
        <w:t>的证载用途</w:t>
      </w:r>
      <w:proofErr w:type="gramEnd"/>
      <w:r>
        <w:t>或不动产权</w:t>
      </w:r>
      <w:proofErr w:type="gramStart"/>
      <w:r>
        <w:t>证书证载用途</w:t>
      </w:r>
      <w:proofErr w:type="gramEnd"/>
      <w:r>
        <w:t>；未进行土</w:t>
      </w:r>
      <w:r>
        <w:rPr>
          <w:rFonts w:hint="eastAsia"/>
        </w:rPr>
        <w:t>地登记的，如有规划文件按规划文件确定；以上权属文件或规划文件均没有时，按房屋所有权证</w:t>
      </w:r>
      <w:proofErr w:type="gramStart"/>
      <w:r>
        <w:rPr>
          <w:rFonts w:hint="eastAsia"/>
        </w:rPr>
        <w:t>的证载用途</w:t>
      </w:r>
      <w:proofErr w:type="gramEnd"/>
      <w:r>
        <w:rPr>
          <w:rFonts w:hint="eastAsia"/>
        </w:rPr>
        <w:t>确定。</w:t>
      </w:r>
    </w:p>
    <w:p w14:paraId="243E6458" w14:textId="77777777" w:rsidR="00495C65" w:rsidRDefault="00495C65" w:rsidP="00495C65">
      <w:pPr>
        <w:pStyle w:val="13"/>
      </w:pPr>
      <w:r>
        <w:rPr>
          <w:rFonts w:hint="eastAsia"/>
        </w:rPr>
        <w:lastRenderedPageBreak/>
        <w:t>（</w:t>
      </w:r>
      <w:r>
        <w:t>3）被收购对象土地面积应按照国有土地使用证记载的土地面积认定；尚未取得</w:t>
      </w:r>
      <w:r>
        <w:rPr>
          <w:rFonts w:hint="eastAsia"/>
        </w:rPr>
        <w:t>国有土地使用证的，按照其他相关土地权属来源文件进行认定。</w:t>
      </w:r>
    </w:p>
    <w:p w14:paraId="089C3D38" w14:textId="77777777" w:rsidR="00495C65" w:rsidRDefault="00495C65" w:rsidP="00495C65">
      <w:pPr>
        <w:pStyle w:val="13"/>
      </w:pPr>
      <w:r>
        <w:rPr>
          <w:rFonts w:hint="eastAsia"/>
        </w:rPr>
        <w:t>（</w:t>
      </w:r>
      <w:r>
        <w:t>4）被收购对象建筑面积应按照房屋所有权证记载的建筑面积认定；未办理房屋</w:t>
      </w:r>
      <w:r>
        <w:rPr>
          <w:rFonts w:hint="eastAsia"/>
        </w:rPr>
        <w:t>所有权证的，在既有房屋建筑总面积内按照建设批准文件或相关政策进行认定。</w:t>
      </w:r>
    </w:p>
    <w:p w14:paraId="6CE53820" w14:textId="77777777" w:rsidR="00495C65" w:rsidRDefault="00495C65" w:rsidP="00495C65">
      <w:pPr>
        <w:pStyle w:val="ab"/>
        <w:spacing w:before="62" w:after="62"/>
        <w:ind w:firstLine="482"/>
      </w:pPr>
      <w:r>
        <w:t>6、估价技术路线及报告类型</w:t>
      </w:r>
    </w:p>
    <w:p w14:paraId="30A718F7" w14:textId="77777777" w:rsidR="00495C65" w:rsidRDefault="00495C65" w:rsidP="00495C65">
      <w:pPr>
        <w:pStyle w:val="13"/>
      </w:pPr>
      <w:r>
        <w:rPr>
          <w:rFonts w:hint="eastAsia"/>
        </w:rPr>
        <w:t>企业国有建设用地使用权收购补偿价格评估宜按本指引第</w:t>
      </w:r>
      <w:r>
        <w:t>2条价格内涵分别评估，</w:t>
      </w:r>
      <w:r>
        <w:rPr>
          <w:rFonts w:hint="eastAsia"/>
        </w:rPr>
        <w:t>土地使用权价格、建（构）筑物价格可选择房地分开评估或房地统一评估的技术路线。在选取报告类型时遵循以下要求：</w:t>
      </w:r>
    </w:p>
    <w:p w14:paraId="15758098" w14:textId="77777777" w:rsidR="00495C65" w:rsidRDefault="00495C65" w:rsidP="00495C65">
      <w:pPr>
        <w:pStyle w:val="13"/>
      </w:pPr>
      <w:r>
        <w:rPr>
          <w:rFonts w:hint="eastAsia"/>
        </w:rPr>
        <w:t>尚未开发建设的空地，应采用土地估价报告的形式；</w:t>
      </w:r>
    </w:p>
    <w:p w14:paraId="57D2F7EC" w14:textId="77777777" w:rsidR="00495C65" w:rsidRDefault="00495C65" w:rsidP="00495C65">
      <w:pPr>
        <w:pStyle w:val="13"/>
      </w:pPr>
      <w:r>
        <w:rPr>
          <w:rFonts w:hint="eastAsia"/>
        </w:rPr>
        <w:t>按照房地分开评估的技术路线时，应采用土地估价报告的形式；</w:t>
      </w:r>
    </w:p>
    <w:p w14:paraId="537DF51F" w14:textId="77777777" w:rsidR="00495C65" w:rsidRDefault="00495C65" w:rsidP="00495C65">
      <w:pPr>
        <w:pStyle w:val="13"/>
      </w:pPr>
      <w:r>
        <w:rPr>
          <w:rFonts w:hint="eastAsia"/>
        </w:rPr>
        <w:t>按照房地统一评估的技术路线时，应采用房地产估价报告的形式。</w:t>
      </w:r>
    </w:p>
    <w:p w14:paraId="22317EAE" w14:textId="77777777" w:rsidR="00495C65" w:rsidRDefault="00495C65" w:rsidP="00495C65">
      <w:pPr>
        <w:pStyle w:val="13"/>
      </w:pPr>
      <w:r>
        <w:rPr>
          <w:rFonts w:hint="eastAsia"/>
        </w:rPr>
        <w:t>采用土地估价报告的形式，其评估方法的使用依据《城镇土地估价规程》结合本指引的规定执行；采用房地产估价报告的形式，其评估方法的使用依据《房地产估价规范》的相关规定执行。</w:t>
      </w:r>
    </w:p>
    <w:p w14:paraId="5FD59993" w14:textId="77777777" w:rsidR="00495C65" w:rsidRDefault="00495C65" w:rsidP="00495C65">
      <w:pPr>
        <w:pStyle w:val="ab"/>
        <w:spacing w:before="62" w:after="62"/>
        <w:ind w:firstLine="482"/>
      </w:pPr>
      <w:r>
        <w:t>7、技术要点</w:t>
      </w:r>
    </w:p>
    <w:p w14:paraId="2071775E" w14:textId="77777777" w:rsidR="00495C65" w:rsidRDefault="00495C65" w:rsidP="00495C65">
      <w:pPr>
        <w:pStyle w:val="13"/>
      </w:pPr>
      <w:r>
        <w:t>7.1 不同技术路线</w:t>
      </w:r>
    </w:p>
    <w:p w14:paraId="3BFD1842" w14:textId="77777777" w:rsidR="00495C65" w:rsidRDefault="00495C65" w:rsidP="00495C65">
      <w:pPr>
        <w:pStyle w:val="13"/>
      </w:pPr>
      <w:r>
        <w:rPr>
          <w:rFonts w:hint="eastAsia"/>
        </w:rPr>
        <w:t>（</w:t>
      </w:r>
      <w:r>
        <w:t>1）采用房地分开评估时，估价师评估土地使用权价格应在主要估价方法中至少</w:t>
      </w:r>
      <w:r>
        <w:rPr>
          <w:rFonts w:hint="eastAsia"/>
        </w:rPr>
        <w:t>选用两种适宜的估价方法进行估价。</w:t>
      </w:r>
    </w:p>
    <w:p w14:paraId="77985DE9" w14:textId="77777777" w:rsidR="00495C65" w:rsidRDefault="00495C65" w:rsidP="00495C65">
      <w:pPr>
        <w:pStyle w:val="13"/>
      </w:pPr>
      <w:r>
        <w:rPr>
          <w:rFonts w:hint="eastAsia"/>
        </w:rPr>
        <w:t>房地分开评估时，建（构）筑物价格的评估采用北京市相应的房屋重置成新价评估技术标准。</w:t>
      </w:r>
    </w:p>
    <w:p w14:paraId="2B57ADDB" w14:textId="77777777" w:rsidR="00495C65" w:rsidRDefault="00495C65" w:rsidP="00495C65">
      <w:pPr>
        <w:pStyle w:val="13"/>
      </w:pPr>
      <w:r>
        <w:rPr>
          <w:rFonts w:hint="eastAsia"/>
        </w:rPr>
        <w:t>采用房地分开评估时，实际容积率小于</w:t>
      </w:r>
      <w:r>
        <w:t>1.0的，设定容积率为1.0进行土地使用权</w:t>
      </w:r>
      <w:r>
        <w:rPr>
          <w:rFonts w:hint="eastAsia"/>
        </w:rPr>
        <w:t>价格评估。</w:t>
      </w:r>
    </w:p>
    <w:p w14:paraId="5DB567EC" w14:textId="77777777" w:rsidR="00495C65" w:rsidRDefault="00495C65" w:rsidP="00495C65">
      <w:pPr>
        <w:pStyle w:val="13"/>
      </w:pPr>
      <w:r>
        <w:rPr>
          <w:rFonts w:hint="eastAsia"/>
        </w:rPr>
        <w:t>（</w:t>
      </w:r>
      <w:r>
        <w:t>2）采用房地统一评估时，运用成本法只能采用房地统一评估的路径。</w:t>
      </w:r>
    </w:p>
    <w:p w14:paraId="1360BFE0" w14:textId="77777777" w:rsidR="00495C65" w:rsidRDefault="00495C65" w:rsidP="00495C65">
      <w:pPr>
        <w:pStyle w:val="13"/>
      </w:pPr>
      <w:r>
        <w:rPr>
          <w:rFonts w:hint="eastAsia"/>
        </w:rPr>
        <w:t>采用房地统一评估时，按实际容积率进行评估。</w:t>
      </w:r>
    </w:p>
    <w:p w14:paraId="01ADA083" w14:textId="77777777" w:rsidR="00495C65" w:rsidRDefault="00495C65" w:rsidP="00495C65">
      <w:pPr>
        <w:pStyle w:val="13"/>
      </w:pPr>
      <w:r>
        <w:rPr>
          <w:rFonts w:hint="eastAsia"/>
        </w:rPr>
        <w:t>实际容积率按本指引第</w:t>
      </w:r>
      <w:r>
        <w:t>5条认定的合法建筑面积和土地面积确定。</w:t>
      </w:r>
    </w:p>
    <w:p w14:paraId="7CF3748A" w14:textId="77777777" w:rsidR="00495C65" w:rsidRDefault="00495C65" w:rsidP="00495C65">
      <w:pPr>
        <w:pStyle w:val="13"/>
      </w:pPr>
      <w:r>
        <w:t>7.2 房地</w:t>
      </w:r>
      <w:proofErr w:type="gramStart"/>
      <w:r>
        <w:t>分估时</w:t>
      </w:r>
      <w:proofErr w:type="gramEnd"/>
      <w:r>
        <w:t>个别方法的运用</w:t>
      </w:r>
    </w:p>
    <w:p w14:paraId="22CABFC2" w14:textId="77777777" w:rsidR="00495C65" w:rsidRDefault="00495C65" w:rsidP="00495C65">
      <w:pPr>
        <w:pStyle w:val="13"/>
      </w:pPr>
      <w:r>
        <w:t>7.2.1 市场比较法</w:t>
      </w:r>
    </w:p>
    <w:p w14:paraId="572B35FD" w14:textId="77777777" w:rsidR="00495C65" w:rsidRDefault="00495C65" w:rsidP="00495C65">
      <w:pPr>
        <w:pStyle w:val="13"/>
      </w:pPr>
      <w:r>
        <w:rPr>
          <w:rFonts w:hint="eastAsia"/>
        </w:rPr>
        <w:t>被收购土地有类似市场交易案例的，土地使用权价格评估宜优先选用市场比较法。具体评估中应采用土地交易案例的楼面成交单价，同时特别考虑交易方式、土地使用权类型及开发程度等对价格的影响。</w:t>
      </w:r>
    </w:p>
    <w:p w14:paraId="2FC313D0" w14:textId="77777777" w:rsidR="00495C65" w:rsidRDefault="00495C65" w:rsidP="00495C65">
      <w:pPr>
        <w:pStyle w:val="13"/>
      </w:pPr>
      <w:r>
        <w:t>7.2.2 成本逼近法</w:t>
      </w:r>
    </w:p>
    <w:p w14:paraId="69DBD16D" w14:textId="77777777" w:rsidR="00495C65" w:rsidRDefault="00495C65" w:rsidP="00495C65">
      <w:pPr>
        <w:pStyle w:val="13"/>
      </w:pPr>
      <w:r>
        <w:rPr>
          <w:rFonts w:hint="eastAsia"/>
        </w:rPr>
        <w:t>被收购土地所在区域内具有开发土地各项客观费用数据的，宜选用成本逼近法。应结合估价对象现状合理确定开发周期。</w:t>
      </w:r>
    </w:p>
    <w:p w14:paraId="30FE2BA6" w14:textId="77777777" w:rsidR="00495C65" w:rsidRDefault="00495C65" w:rsidP="00495C65">
      <w:pPr>
        <w:pStyle w:val="13"/>
      </w:pPr>
      <w:r>
        <w:rPr>
          <w:rFonts w:hint="eastAsia"/>
        </w:rPr>
        <w:lastRenderedPageBreak/>
        <w:t>土地使用权价格评估采用成本逼近法的，应收集与相关的土地取得费、土地开发费、税费、利息、利润及土地增值等资料。可通过直接或间接的方式求取土地取得费、土地开发费、税费、利息、利润。</w:t>
      </w:r>
    </w:p>
    <w:p w14:paraId="21DD4C1C" w14:textId="77777777" w:rsidR="00495C65" w:rsidRDefault="00495C65" w:rsidP="00495C65">
      <w:pPr>
        <w:pStyle w:val="13"/>
      </w:pPr>
      <w:r>
        <w:rPr>
          <w:rFonts w:hint="eastAsia"/>
        </w:rPr>
        <w:t>成本逼近法中土地取得费，可选用同区域或类似区域内三个（含）以上经审定后的土地一级开发项目的成本数据进行修正后确定。</w:t>
      </w:r>
    </w:p>
    <w:p w14:paraId="41BD889E" w14:textId="77777777" w:rsidR="00495C65" w:rsidRDefault="00495C65" w:rsidP="00495C65">
      <w:pPr>
        <w:pStyle w:val="13"/>
      </w:pPr>
      <w:r>
        <w:rPr>
          <w:rFonts w:hint="eastAsia"/>
        </w:rPr>
        <w:t>评估划拨土地使用权价格不计土地增值收益。评估出让土地使用权价格时政府土地出让收益标准可参考北京市公布的基准地价相关规定分析后确定。</w:t>
      </w:r>
    </w:p>
    <w:p w14:paraId="1F2EE2F4" w14:textId="77777777" w:rsidR="00495C65" w:rsidRDefault="00495C65" w:rsidP="00495C65">
      <w:pPr>
        <w:pStyle w:val="13"/>
      </w:pPr>
      <w:r>
        <w:t>7.2.3 剩余法</w:t>
      </w:r>
    </w:p>
    <w:p w14:paraId="64C55E0A" w14:textId="77777777" w:rsidR="00495C65" w:rsidRDefault="00495C65" w:rsidP="00495C65">
      <w:pPr>
        <w:pStyle w:val="13"/>
      </w:pPr>
      <w:r>
        <w:rPr>
          <w:rFonts w:hint="eastAsia"/>
        </w:rPr>
        <w:t>选择剩余法评估土地使用权价格时，除应遵循《城镇土地估价规程》外，</w:t>
      </w:r>
      <w:proofErr w:type="gramStart"/>
      <w:r>
        <w:rPr>
          <w:rFonts w:hint="eastAsia"/>
        </w:rPr>
        <w:t>待估宗地</w:t>
      </w:r>
      <w:proofErr w:type="gramEnd"/>
      <w:r>
        <w:rPr>
          <w:rFonts w:hint="eastAsia"/>
        </w:rPr>
        <w:t>开发条件应依据估价期日宗地的现状合法用途确定。</w:t>
      </w:r>
    </w:p>
    <w:p w14:paraId="02B596B4" w14:textId="77777777" w:rsidR="00495C65" w:rsidRDefault="00495C65" w:rsidP="00495C65">
      <w:pPr>
        <w:pStyle w:val="13"/>
      </w:pPr>
      <w:r>
        <w:t>7.2.4 基准地价系数修正法</w:t>
      </w:r>
    </w:p>
    <w:p w14:paraId="0B632E8B" w14:textId="77777777" w:rsidR="00495C65" w:rsidRDefault="00495C65" w:rsidP="00495C65">
      <w:pPr>
        <w:pStyle w:val="13"/>
      </w:pPr>
      <w:r>
        <w:rPr>
          <w:rFonts w:hint="eastAsia"/>
        </w:rPr>
        <w:t>在估价期</w:t>
      </w:r>
      <w:proofErr w:type="gramStart"/>
      <w:r>
        <w:rPr>
          <w:rFonts w:hint="eastAsia"/>
        </w:rPr>
        <w:t>日存在</w:t>
      </w:r>
      <w:proofErr w:type="gramEnd"/>
      <w:r>
        <w:rPr>
          <w:rFonts w:hint="eastAsia"/>
        </w:rPr>
        <w:t>基准地价的（若公示地价超过</w:t>
      </w:r>
      <w:r>
        <w:t>3年，须进行适用性分析论证或提供</w:t>
      </w:r>
      <w:r>
        <w:rPr>
          <w:rFonts w:hint="eastAsia"/>
        </w:rPr>
        <w:t>政府部门的证明），可选用基准地价系数修正法。</w:t>
      </w:r>
    </w:p>
    <w:p w14:paraId="76FD31FC" w14:textId="77777777" w:rsidR="00495C65" w:rsidRDefault="00495C65" w:rsidP="00495C65">
      <w:pPr>
        <w:pStyle w:val="13"/>
      </w:pPr>
      <w:r>
        <w:t>7.3 特殊情况的处理</w:t>
      </w:r>
    </w:p>
    <w:p w14:paraId="6A7376D0" w14:textId="77777777" w:rsidR="00495C65" w:rsidRDefault="00495C65" w:rsidP="00495C65">
      <w:pPr>
        <w:pStyle w:val="13"/>
      </w:pPr>
      <w:r>
        <w:rPr>
          <w:rFonts w:hint="eastAsia"/>
        </w:rPr>
        <w:t>对于仅收购部分土地的情况，评估时应将被收购部分与整体房地产综合考虑，可采用收购部分单独评估、整体分割评估、整体价值减损评估中的一种方式确定。</w:t>
      </w:r>
    </w:p>
    <w:p w14:paraId="6AA1F83B" w14:textId="77777777" w:rsidR="00495C65" w:rsidRDefault="00495C65" w:rsidP="00495C65">
      <w:pPr>
        <w:pStyle w:val="13"/>
      </w:pPr>
      <w:r>
        <w:t>7.4 其他价格及费用的确定</w:t>
      </w:r>
    </w:p>
    <w:p w14:paraId="62BCD423" w14:textId="77777777" w:rsidR="00495C65" w:rsidRDefault="00495C65" w:rsidP="00495C65">
      <w:pPr>
        <w:pStyle w:val="13"/>
      </w:pPr>
      <w:r>
        <w:rPr>
          <w:rFonts w:hint="eastAsia"/>
        </w:rPr>
        <w:t>企业国有建设用地使用权收购补偿价格评估时，附属物价格、无法恢复使用的设施设备补偿价格应参照相关评估规范进行评估，其中用于生产制造的设施设备补偿价格，评估机构可聘请除本行业</w:t>
      </w:r>
      <w:proofErr w:type="gramStart"/>
      <w:r>
        <w:rPr>
          <w:rFonts w:hint="eastAsia"/>
        </w:rPr>
        <w:t>外相关</w:t>
      </w:r>
      <w:proofErr w:type="gramEnd"/>
      <w:r>
        <w:rPr>
          <w:rFonts w:hint="eastAsia"/>
        </w:rPr>
        <w:t>专业人士或机构提供专业帮助，并在评估报告中予以披露（评估时应考虑原地续用价值及拆除后可回收利用价值）；停产停业损失补偿费用以及搬迁补偿费用参照本市有关规定进行评估。</w:t>
      </w:r>
    </w:p>
    <w:p w14:paraId="0123215A" w14:textId="77777777" w:rsidR="00495C65" w:rsidRDefault="00495C65" w:rsidP="00495C65">
      <w:pPr>
        <w:pStyle w:val="ab"/>
        <w:spacing w:before="62" w:after="62"/>
        <w:ind w:firstLine="482"/>
      </w:pPr>
      <w:r>
        <w:t>8、附则</w:t>
      </w:r>
    </w:p>
    <w:p w14:paraId="3BC33CFB" w14:textId="77777777" w:rsidR="00495C65" w:rsidRDefault="00495C65" w:rsidP="00495C65">
      <w:pPr>
        <w:pStyle w:val="13"/>
      </w:pPr>
      <w:r>
        <w:rPr>
          <w:rFonts w:hint="eastAsia"/>
        </w:rPr>
        <w:t>本指引自</w:t>
      </w:r>
      <w:r>
        <w:t>2018年4月17日起实施，由北京房地产估价师和土地估价师与不动产登</w:t>
      </w:r>
      <w:r>
        <w:rPr>
          <w:rFonts w:hint="eastAsia"/>
        </w:rPr>
        <w:t>记代理人协会负责解释，并根据土地市场运行情况，适时修订。本指引有效期为五年。</w:t>
      </w:r>
    </w:p>
    <w:p w14:paraId="4C07475F" w14:textId="77777777" w:rsidR="00495C65" w:rsidRDefault="00495C65" w:rsidP="00495C65">
      <w:pPr>
        <w:pStyle w:val="31"/>
        <w:spacing w:before="156" w:after="62"/>
      </w:pPr>
      <w:bookmarkStart w:id="203" w:name="_Toc81833436"/>
      <w:r>
        <w:rPr>
          <w:rFonts w:hint="eastAsia"/>
        </w:rPr>
        <w:t>北京市国土资源局关于出让国有建设用地使用权基准地价应用有关问题的公告</w:t>
      </w:r>
      <w:bookmarkEnd w:id="203"/>
    </w:p>
    <w:p w14:paraId="0B062B07" w14:textId="77777777" w:rsidR="00495C65" w:rsidRDefault="00495C65" w:rsidP="00495C65">
      <w:pPr>
        <w:pStyle w:val="13"/>
      </w:pPr>
      <w:r>
        <w:rPr>
          <w:rFonts w:hint="eastAsia"/>
        </w:rPr>
        <w:t>为进一步落实《北京市人民政府关于更新出让国有土地使用权基准地价的通知》</w:t>
      </w:r>
      <w:r>
        <w:t>（京</w:t>
      </w:r>
      <w:r>
        <w:rPr>
          <w:rFonts w:hint="eastAsia"/>
        </w:rPr>
        <w:t>政发〔</w:t>
      </w:r>
      <w:r>
        <w:t>2014〕26号），推进本市出让国有建设用地使用权工作，经报请市政府批准，现</w:t>
      </w:r>
      <w:r>
        <w:rPr>
          <w:rFonts w:hint="eastAsia"/>
        </w:rPr>
        <w:t>就有关问题公告如下：</w:t>
      </w:r>
    </w:p>
    <w:p w14:paraId="06AD5518" w14:textId="77777777" w:rsidR="00495C65" w:rsidRDefault="00495C65" w:rsidP="00495C65">
      <w:pPr>
        <w:pStyle w:val="ab"/>
        <w:spacing w:before="62" w:after="62"/>
        <w:ind w:firstLine="482"/>
      </w:pPr>
      <w:r>
        <w:rPr>
          <w:rFonts w:hint="eastAsia"/>
        </w:rPr>
        <w:t>一、关于受规划限制用地的容积率修正</w:t>
      </w:r>
    </w:p>
    <w:p w14:paraId="42A635A0" w14:textId="77777777" w:rsidR="00495C65" w:rsidRDefault="00495C65" w:rsidP="00495C65">
      <w:pPr>
        <w:pStyle w:val="13"/>
      </w:pPr>
      <w:r>
        <w:rPr>
          <w:rFonts w:hint="eastAsia"/>
        </w:rPr>
        <w:t>由于历史文化保护、航空净空管制、高压走廊防护或社会公益需要等因素造成建</w:t>
      </w:r>
    </w:p>
    <w:p w14:paraId="7D640A49" w14:textId="77777777" w:rsidR="00495C65" w:rsidRDefault="00495C65" w:rsidP="00495C65">
      <w:pPr>
        <w:pStyle w:val="13"/>
      </w:pPr>
      <w:proofErr w:type="gramStart"/>
      <w:r>
        <w:rPr>
          <w:rFonts w:hint="eastAsia"/>
        </w:rPr>
        <w:t>筑限高等</w:t>
      </w:r>
      <w:proofErr w:type="gramEnd"/>
      <w:r>
        <w:rPr>
          <w:rFonts w:hint="eastAsia"/>
        </w:rPr>
        <w:t>情况，导致规划容积率低于所在级别基准地价平均容积率的，在评估土</w:t>
      </w:r>
      <w:r>
        <w:rPr>
          <w:rFonts w:hint="eastAsia"/>
        </w:rPr>
        <w:lastRenderedPageBreak/>
        <w:t>地出让价款时，容积率修正可按所在级别平均容积率进行计算。同时文保区居住用地不再进行用途修正。适用上述情况按级别平均容积率评估测算土地出让价款时，容积率小于</w:t>
      </w:r>
      <w:r>
        <w:t>1的，以最终确定的单价乘以用地面积，确定出让地价总额。</w:t>
      </w:r>
    </w:p>
    <w:p w14:paraId="01EB7BDF" w14:textId="77777777" w:rsidR="00495C65" w:rsidRDefault="00495C65" w:rsidP="00495C65">
      <w:pPr>
        <w:pStyle w:val="ab"/>
        <w:spacing w:before="62" w:after="62"/>
        <w:ind w:firstLine="482"/>
      </w:pPr>
      <w:r>
        <w:rPr>
          <w:rFonts w:hint="eastAsia"/>
        </w:rPr>
        <w:t>二、关于容积率为</w:t>
      </w:r>
      <w:r>
        <w:t>0的宗地</w:t>
      </w:r>
    </w:p>
    <w:p w14:paraId="41FBDC79" w14:textId="77777777" w:rsidR="00495C65" w:rsidRDefault="00495C65" w:rsidP="00495C65">
      <w:pPr>
        <w:pStyle w:val="13"/>
      </w:pPr>
      <w:r>
        <w:rPr>
          <w:rFonts w:hint="eastAsia"/>
        </w:rPr>
        <w:t>部分用地因技术标准、行业特点等原因（如建材、污水处理、输变电、地面停车场等），土地已依规利用，但宗地容积率为</w:t>
      </w:r>
      <w:r>
        <w:t>0情况，评估土地出让价款时，容积率按1.0</w:t>
      </w:r>
      <w:r>
        <w:rPr>
          <w:rFonts w:hint="eastAsia"/>
        </w:rPr>
        <w:t>进行计算。</w:t>
      </w:r>
    </w:p>
    <w:p w14:paraId="7645EC37" w14:textId="77777777" w:rsidR="00495C65" w:rsidRDefault="00495C65" w:rsidP="00495C65">
      <w:pPr>
        <w:pStyle w:val="ab"/>
        <w:spacing w:before="62" w:after="62"/>
        <w:ind w:firstLine="482"/>
      </w:pPr>
      <w:r>
        <w:rPr>
          <w:rFonts w:hint="eastAsia"/>
        </w:rPr>
        <w:t>三、关于划拨土地使用权价格</w:t>
      </w:r>
    </w:p>
    <w:p w14:paraId="7383FE27" w14:textId="77777777" w:rsidR="00495C65" w:rsidRDefault="00495C65" w:rsidP="00495C65">
      <w:pPr>
        <w:pStyle w:val="13"/>
      </w:pPr>
      <w:r>
        <w:rPr>
          <w:rFonts w:hint="eastAsia"/>
        </w:rPr>
        <w:t>对于现状出让项目中划拨土地使用权价格（土地取得和开发成本），可参考基准地价更新成果区片价扣除政府土地出让收益后剩余的比例测算。其中商业、居住、办公用途为</w:t>
      </w:r>
      <w:r>
        <w:t>75%，工业用途为85%。上述划拨土地使用权价格，现阶段仅用于国有建设用</w:t>
      </w:r>
      <w:r>
        <w:rPr>
          <w:rFonts w:hint="eastAsia"/>
        </w:rPr>
        <w:t>地使用权现状出让地价评估。</w:t>
      </w:r>
    </w:p>
    <w:p w14:paraId="29BA07E5" w14:textId="77777777" w:rsidR="00495C65" w:rsidRDefault="00495C65" w:rsidP="00495C65">
      <w:pPr>
        <w:pStyle w:val="ab"/>
        <w:spacing w:before="62" w:after="62"/>
        <w:ind w:firstLine="482"/>
      </w:pPr>
      <w:r>
        <w:rPr>
          <w:rFonts w:hint="eastAsia"/>
        </w:rPr>
        <w:t>四、关于商业用地的容积率或楼层修正运用</w:t>
      </w:r>
    </w:p>
    <w:p w14:paraId="60CD9B0E" w14:textId="77777777" w:rsidR="00495C65" w:rsidRDefault="00495C65" w:rsidP="00495C65">
      <w:pPr>
        <w:pStyle w:val="13"/>
      </w:pPr>
      <w:r>
        <w:rPr>
          <w:rFonts w:hint="eastAsia"/>
        </w:rPr>
        <w:t>协议出让中的现状出让和竣工补办出让项目，运用基准地价系数修正法进行商业用地出让地价评估时，涉及分楼层出让或具备分楼层建筑面积（实测或预测面积），应使用商业楼层修正系数进行修正；不具备分楼层面积的应采取测量等技术手段确定分楼层建筑面积，使用商业楼层修正系数进行修正。新建商业用地项目出让，依据规划条件按容积率修正系数进行修正，项目竣工后不再用商业楼层修正系数调整出让地价水平。</w:t>
      </w:r>
    </w:p>
    <w:p w14:paraId="4AC25123" w14:textId="77777777" w:rsidR="00495C65" w:rsidRDefault="00495C65" w:rsidP="00495C65">
      <w:pPr>
        <w:pStyle w:val="ab"/>
        <w:spacing w:before="62" w:after="62"/>
        <w:ind w:firstLine="482"/>
      </w:pPr>
      <w:r>
        <w:rPr>
          <w:rFonts w:hint="eastAsia"/>
        </w:rPr>
        <w:t>五、单独选址类项目协议出让地价水平</w:t>
      </w:r>
    </w:p>
    <w:p w14:paraId="1BAF7885" w14:textId="77777777" w:rsidR="00495C65" w:rsidRDefault="00495C65" w:rsidP="00495C65">
      <w:pPr>
        <w:pStyle w:val="13"/>
      </w:pPr>
      <w:r>
        <w:rPr>
          <w:rFonts w:hint="eastAsia"/>
        </w:rPr>
        <w:t>自行完成土地征收、</w:t>
      </w:r>
      <w:proofErr w:type="gramStart"/>
      <w:r>
        <w:rPr>
          <w:rFonts w:hint="eastAsia"/>
        </w:rPr>
        <w:t>地上物</w:t>
      </w:r>
      <w:proofErr w:type="gramEnd"/>
      <w:r>
        <w:rPr>
          <w:rFonts w:hint="eastAsia"/>
        </w:rPr>
        <w:t>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35AF40C3" w14:textId="77777777" w:rsidR="00495C65" w:rsidRDefault="00495C65" w:rsidP="00495C65">
      <w:pPr>
        <w:pStyle w:val="ab"/>
        <w:spacing w:before="62" w:after="62"/>
        <w:ind w:firstLine="482"/>
      </w:pPr>
      <w:r>
        <w:rPr>
          <w:rFonts w:hint="eastAsia"/>
        </w:rPr>
        <w:t>六、招标拍卖挂牌项目补缴地价款</w:t>
      </w:r>
    </w:p>
    <w:p w14:paraId="1F544665" w14:textId="77777777" w:rsidR="00495C65" w:rsidRDefault="00495C65" w:rsidP="00495C65">
      <w:pPr>
        <w:pStyle w:val="13"/>
      </w:pPr>
      <w:r>
        <w:rPr>
          <w:rFonts w:hint="eastAsia"/>
        </w:rPr>
        <w:t>对于拟按招标拍卖挂牌方式出让的经营性用地，在招标拍卖挂牌文件和出让合同中约定，原则上不允许变更规划条件。如经批准改变规划条件，按以下标准补缴地价款。</w:t>
      </w:r>
    </w:p>
    <w:p w14:paraId="7F1D4417" w14:textId="77777777" w:rsidR="00495C65" w:rsidRDefault="00495C65" w:rsidP="00495C65">
      <w:pPr>
        <w:pStyle w:val="13"/>
      </w:pPr>
      <w:r>
        <w:rPr>
          <w:rFonts w:hint="eastAsia"/>
        </w:rPr>
        <w:t>对于地上出让建设规模增加在</w:t>
      </w:r>
      <w:r>
        <w:t>3%（含）以内且未改变规划条件的，按以下标准</w:t>
      </w:r>
      <w:r>
        <w:lastRenderedPageBreak/>
        <w:t>补</w:t>
      </w:r>
      <w:r>
        <w:rPr>
          <w:rFonts w:hint="eastAsia"/>
        </w:rPr>
        <w:t>缴地价款：地上增加的可出让建筑规模应补交的地价款</w:t>
      </w:r>
      <w:r>
        <w:t>=土地成交楼面单价×增加的地</w:t>
      </w:r>
      <w:r>
        <w:rPr>
          <w:rFonts w:hint="eastAsia"/>
        </w:rPr>
        <w:t>上可出让建筑规模；存在用途间规模调整的除按上述标准补交地价款外，还需补交不同用途间审定熟地价楼面单价差价。</w:t>
      </w:r>
    </w:p>
    <w:p w14:paraId="20CA176D" w14:textId="77777777" w:rsidR="00495C65" w:rsidRDefault="00495C65" w:rsidP="00495C65">
      <w:pPr>
        <w:pStyle w:val="13"/>
      </w:pPr>
      <w:r>
        <w:rPr>
          <w:rFonts w:hint="eastAsia"/>
        </w:rPr>
        <w:t>对于地上出让建设规模增加在</w:t>
      </w:r>
      <w:r>
        <w:t>3%以上或改变规划条件的，需按照国土资源部《关</w:t>
      </w:r>
      <w:r>
        <w:rPr>
          <w:rFonts w:hint="eastAsia"/>
        </w:rPr>
        <w:t>于发布</w:t>
      </w:r>
      <w:r>
        <w:t>&lt;国有建设用地使用权出让地价评估技术规范（试行）&gt;的通知》（</w:t>
      </w:r>
      <w:proofErr w:type="gramStart"/>
      <w:r>
        <w:t>国土资厅发</w:t>
      </w:r>
      <w:proofErr w:type="gramEnd"/>
      <w:r>
        <w:t>〔2013〕20号，以下简称评估技术规范）有关要求，组织评估确定补缴的地价款。</w:t>
      </w:r>
    </w:p>
    <w:p w14:paraId="03F167D3" w14:textId="77777777" w:rsidR="00495C65" w:rsidRDefault="00495C65" w:rsidP="00495C65">
      <w:pPr>
        <w:pStyle w:val="13"/>
      </w:pPr>
      <w:r>
        <w:rPr>
          <w:rFonts w:hint="eastAsia"/>
        </w:rPr>
        <w:t>对于已发布出让公告的招标拍卖挂牌项目，按已发布的出让文件条款执行。</w:t>
      </w:r>
    </w:p>
    <w:p w14:paraId="5F28B81B" w14:textId="77777777" w:rsidR="00495C65" w:rsidRDefault="00495C65" w:rsidP="00495C65">
      <w:pPr>
        <w:pStyle w:val="ab"/>
        <w:spacing w:before="62" w:after="62"/>
        <w:ind w:firstLine="482"/>
      </w:pPr>
      <w:r>
        <w:rPr>
          <w:rFonts w:hint="eastAsia"/>
        </w:rPr>
        <w:t>七、工业用地增加容积率</w:t>
      </w:r>
    </w:p>
    <w:p w14:paraId="382BD553" w14:textId="77777777" w:rsidR="00495C65" w:rsidRDefault="00495C65" w:rsidP="00495C65">
      <w:pPr>
        <w:pStyle w:val="13"/>
      </w:pPr>
      <w:r>
        <w:rPr>
          <w:rFonts w:hint="eastAsia"/>
        </w:rPr>
        <w:t>为推动存量建设用地盘活利用，鼓励对现有工业用地（包括一类工业用地（</w:t>
      </w:r>
      <w:r>
        <w:t>M1）、</w:t>
      </w:r>
      <w:r>
        <w:rPr>
          <w:rFonts w:hint="eastAsia"/>
        </w:rPr>
        <w:t>二类工业用地（</w:t>
      </w:r>
      <w:r>
        <w:t>M2）、三类工业用地（M3））追加投资，提高土地利用强度。对于经规</w:t>
      </w:r>
      <w:r>
        <w:rPr>
          <w:rFonts w:hint="eastAsia"/>
        </w:rPr>
        <w:t>划部门批准，已出让工业用地不改变土地用途、调整容积率的项目，依据规划批准文件变更土地出让合同，不再增收土地出让价款。</w:t>
      </w:r>
      <w:proofErr w:type="gramStart"/>
      <w:r>
        <w:rPr>
          <w:rFonts w:hint="eastAsia"/>
        </w:rPr>
        <w:t>招拍挂已</w:t>
      </w:r>
      <w:proofErr w:type="gramEnd"/>
      <w:r>
        <w:rPr>
          <w:rFonts w:hint="eastAsia"/>
        </w:rPr>
        <w:t>成交项目仍</w:t>
      </w:r>
      <w:proofErr w:type="gramStart"/>
      <w:r>
        <w:rPr>
          <w:rFonts w:hint="eastAsia"/>
        </w:rPr>
        <w:t>依招拍挂</w:t>
      </w:r>
      <w:proofErr w:type="gramEnd"/>
      <w:r>
        <w:rPr>
          <w:rFonts w:hint="eastAsia"/>
        </w:rPr>
        <w:t>文件、出让合同约定执行。</w:t>
      </w:r>
    </w:p>
    <w:p w14:paraId="04A3B21D" w14:textId="77777777" w:rsidR="00495C65" w:rsidRDefault="00495C65" w:rsidP="00495C65">
      <w:pPr>
        <w:pStyle w:val="ab"/>
        <w:spacing w:before="62" w:after="62"/>
        <w:ind w:firstLine="482"/>
      </w:pPr>
      <w:r>
        <w:rPr>
          <w:rFonts w:hint="eastAsia"/>
        </w:rPr>
        <w:t>八、协议出让项目增加地上建设规模</w:t>
      </w:r>
    </w:p>
    <w:p w14:paraId="16F4B7AA" w14:textId="77777777" w:rsidR="00495C65" w:rsidRDefault="00495C65" w:rsidP="00495C65">
      <w:pPr>
        <w:pStyle w:val="13"/>
      </w:pPr>
      <w:r>
        <w:rPr>
          <w:rFonts w:hint="eastAsia"/>
        </w:rPr>
        <w:t>对于已协议出让的项目用地，地上建设规模增加不超过</w:t>
      </w:r>
      <w:r>
        <w:t>3%，其新增建筑规模部分，</w:t>
      </w:r>
      <w:r>
        <w:rPr>
          <w:rFonts w:hint="eastAsia"/>
        </w:rPr>
        <w:t>按原土地出让合同地价水平计收土地出让价款。地上建设规模增加超过</w:t>
      </w:r>
      <w:r>
        <w:t>3%或者调整用</w:t>
      </w:r>
      <w:r>
        <w:rPr>
          <w:rFonts w:hint="eastAsia"/>
        </w:rPr>
        <w:t>途的，均须按评估技术规范有关规定评审出让地价水平，全额计入政府土地出让收益。</w:t>
      </w:r>
    </w:p>
    <w:p w14:paraId="45369FEB" w14:textId="77777777" w:rsidR="00495C65" w:rsidRDefault="00495C65" w:rsidP="00495C65">
      <w:pPr>
        <w:pStyle w:val="ab"/>
        <w:spacing w:before="62" w:after="62"/>
        <w:ind w:firstLine="482"/>
      </w:pPr>
      <w:r>
        <w:rPr>
          <w:rFonts w:hint="eastAsia"/>
        </w:rPr>
        <w:t>九、已出让用地增加地下规模</w:t>
      </w:r>
    </w:p>
    <w:p w14:paraId="5BA1C5D3" w14:textId="77777777" w:rsidR="00495C65" w:rsidRDefault="00495C65" w:rsidP="00495C65">
      <w:pPr>
        <w:pStyle w:val="13"/>
      </w:pPr>
      <w:r>
        <w:rPr>
          <w:rFonts w:hint="eastAsia"/>
        </w:rPr>
        <w:t>对于已出让用地，土地一级开发费用（或自行开发的征地、拆迁等费用），已在出让时全部分摊、收回，且增加出让地下规模不涉及调整容积率。为促进节约集约用地，鼓励地下空间利用，地下出让建筑规模按政府土地出让收益（不含土地开发取得成本）评审出让地价标准。</w:t>
      </w:r>
    </w:p>
    <w:p w14:paraId="682F061E" w14:textId="77777777" w:rsidR="00495C65" w:rsidRDefault="00495C65" w:rsidP="00495C65">
      <w:pPr>
        <w:pStyle w:val="ab"/>
        <w:spacing w:before="62" w:after="62"/>
        <w:ind w:firstLine="482"/>
      </w:pPr>
      <w:r>
        <w:rPr>
          <w:rFonts w:hint="eastAsia"/>
        </w:rPr>
        <w:t>十、处罚补办地价水平</w:t>
      </w:r>
    </w:p>
    <w:p w14:paraId="6F0A9E43" w14:textId="77777777" w:rsidR="00495C65" w:rsidRDefault="00495C65" w:rsidP="00495C65">
      <w:pPr>
        <w:pStyle w:val="13"/>
      </w:pPr>
      <w:r>
        <w:rPr>
          <w:rFonts w:hint="eastAsia"/>
        </w:rPr>
        <w:t>按照《国务院关于深化改革严格土地管理的决定》（国发〔</w:t>
      </w:r>
      <w:r>
        <w:t>2004〕28号）规定：对</w:t>
      </w:r>
      <w:r>
        <w:rPr>
          <w:rFonts w:hint="eastAsia"/>
        </w:rPr>
        <w:t>违法用地及其建筑物和其他设施，按法律规定应当拆除或没收的，不得以罚款、补办手续取代；确需补办手续的，依法处罚后，</w:t>
      </w:r>
      <w:proofErr w:type="gramStart"/>
      <w:r>
        <w:rPr>
          <w:rFonts w:hint="eastAsia"/>
        </w:rPr>
        <w:t>从新从</w:t>
      </w:r>
      <w:proofErr w:type="gramEnd"/>
      <w:r>
        <w:rPr>
          <w:rFonts w:hint="eastAsia"/>
        </w:rPr>
        <w:t>高进行征地补偿和收取土地出让金及有关</w:t>
      </w:r>
      <w:proofErr w:type="gramStart"/>
      <w:r>
        <w:rPr>
          <w:rFonts w:hint="eastAsia"/>
        </w:rPr>
        <w:t>规</w:t>
      </w:r>
      <w:proofErr w:type="gramEnd"/>
      <w:r>
        <w:rPr>
          <w:rFonts w:hint="eastAsia"/>
        </w:rPr>
        <w:t>费。我市违法补办土地出让手续项目，考虑地价动态变化情况，按所在基准地价级别高限评审出让地价水平，保障性住房除外。</w:t>
      </w:r>
    </w:p>
    <w:p w14:paraId="056669BA" w14:textId="77777777" w:rsidR="00495C65" w:rsidRDefault="00495C65" w:rsidP="00495C65">
      <w:pPr>
        <w:pStyle w:val="ab"/>
        <w:spacing w:before="62" w:after="62"/>
        <w:ind w:firstLine="482"/>
      </w:pPr>
      <w:r>
        <w:rPr>
          <w:rFonts w:hint="eastAsia"/>
        </w:rPr>
        <w:t>十一、涉密项目委托评估</w:t>
      </w:r>
    </w:p>
    <w:p w14:paraId="44F2C1F0" w14:textId="77777777" w:rsidR="00495C65" w:rsidRDefault="00495C65" w:rsidP="00495C65">
      <w:pPr>
        <w:pStyle w:val="13"/>
      </w:pPr>
      <w:r>
        <w:t>2015年4月，我局会同相关部门印发了《北京市国有建设用地使用权出让地价评</w:t>
      </w:r>
      <w:r>
        <w:rPr>
          <w:rFonts w:hint="eastAsia"/>
        </w:rPr>
        <w:t>审暂行规定》（京国土用〔</w:t>
      </w:r>
      <w:r>
        <w:t>2015〕87号），通过公开招标方式建立了本市国有建设用地</w:t>
      </w:r>
      <w:r>
        <w:rPr>
          <w:rFonts w:hint="eastAsia"/>
        </w:rPr>
        <w:t>使用权出让土地估价机构库，出让地价评估需由政府委托，机构库内随机抽取土</w:t>
      </w:r>
      <w:r>
        <w:rPr>
          <w:rFonts w:hint="eastAsia"/>
        </w:rPr>
        <w:lastRenderedPageBreak/>
        <w:t>地估价机构。属于涉密项目需委托评估机构进行地价评估的，不采取抽取的方式，由项目主体按保密规定，在出让地价评估机构库内自行选择评估机构。</w:t>
      </w:r>
    </w:p>
    <w:p w14:paraId="3006E4F6" w14:textId="77777777" w:rsidR="00495C65" w:rsidRDefault="00495C65" w:rsidP="00495C65">
      <w:pPr>
        <w:pStyle w:val="13"/>
      </w:pPr>
      <w:r>
        <w:rPr>
          <w:rFonts w:hint="eastAsia"/>
        </w:rPr>
        <w:t>上述出让国有建设用地使用权基准地价</w:t>
      </w:r>
      <w:proofErr w:type="gramStart"/>
      <w:r>
        <w:rPr>
          <w:rFonts w:hint="eastAsia"/>
        </w:rPr>
        <w:t>应用自</w:t>
      </w:r>
      <w:proofErr w:type="gramEnd"/>
      <w:r>
        <w:rPr>
          <w:rFonts w:hint="eastAsia"/>
        </w:rPr>
        <w:t>公告之日起实施。本公告发布之前已按国有建设用地使用权出让地价评审规定审定政府土地出让收益（或租金）地价水平，且已签订国有建设用地使用权出让合同（或国有建设用地使用权租赁合同）的项目，继续按合同约定执行。</w:t>
      </w:r>
    </w:p>
    <w:p w14:paraId="43F18E9A" w14:textId="03B61CB8" w:rsidR="00495C65" w:rsidRDefault="00495C65" w:rsidP="00885D4C">
      <w:pPr>
        <w:pStyle w:val="13"/>
      </w:pPr>
      <w:r>
        <w:rPr>
          <w:rFonts w:hint="eastAsia"/>
        </w:rPr>
        <w:t>特此公告。</w:t>
      </w:r>
    </w:p>
    <w:p w14:paraId="7C787264" w14:textId="72BCB746" w:rsidR="00885D4C" w:rsidRDefault="00885D4C">
      <w:pPr>
        <w:widowControl/>
        <w:jc w:val="left"/>
        <w:rPr>
          <w:rFonts w:ascii="宋体" w:hAnsi="宋体"/>
          <w:sz w:val="24"/>
          <w:szCs w:val="24"/>
        </w:rPr>
      </w:pPr>
      <w:r>
        <w:br w:type="page"/>
      </w:r>
    </w:p>
    <w:p w14:paraId="4CCFE2E7" w14:textId="5764075A" w:rsidR="00885D4C" w:rsidRDefault="00885D4C" w:rsidP="00885D4C">
      <w:pPr>
        <w:pStyle w:val="11"/>
      </w:pPr>
      <w:bookmarkStart w:id="204" w:name="_Toc81833437"/>
      <w:r>
        <w:rPr>
          <w:rFonts w:hint="eastAsia"/>
        </w:rPr>
        <w:lastRenderedPageBreak/>
        <w:t>海域使用权</w:t>
      </w:r>
      <w:bookmarkEnd w:id="204"/>
    </w:p>
    <w:p w14:paraId="24F87134" w14:textId="77777777" w:rsidR="00495C65" w:rsidRDefault="00495C65" w:rsidP="00495C65">
      <w:pPr>
        <w:pStyle w:val="21"/>
        <w:spacing w:before="156" w:after="93"/>
      </w:pPr>
      <w:bookmarkStart w:id="205" w:name="_Toc81833438"/>
      <w:r>
        <w:rPr>
          <w:rFonts w:hint="eastAsia"/>
        </w:rPr>
        <w:t>国家标准</w:t>
      </w:r>
      <w:bookmarkEnd w:id="205"/>
    </w:p>
    <w:p w14:paraId="6A1BA7C3" w14:textId="77777777" w:rsidR="00495C65" w:rsidRDefault="00495C65" w:rsidP="00495C65">
      <w:pPr>
        <w:pStyle w:val="31"/>
        <w:spacing w:before="156" w:after="62"/>
      </w:pPr>
      <w:bookmarkStart w:id="206" w:name="_Toc81833439"/>
      <w:r>
        <w:rPr>
          <w:rFonts w:hint="eastAsia"/>
        </w:rPr>
        <w:t>海域评估技术指引</w:t>
      </w:r>
      <w:r>
        <w:t>（</w:t>
      </w:r>
      <w:proofErr w:type="gramStart"/>
      <w:r>
        <w:t>国海管字</w:t>
      </w:r>
      <w:proofErr w:type="gramEnd"/>
      <w:r>
        <w:t>〔2013〕708号）</w:t>
      </w:r>
      <w:bookmarkEnd w:id="206"/>
    </w:p>
    <w:p w14:paraId="0EBA243E" w14:textId="77777777" w:rsidR="00495C65" w:rsidRDefault="00495C65" w:rsidP="00495C65">
      <w:pPr>
        <w:pStyle w:val="13"/>
        <w:ind w:firstLineChars="0" w:firstLine="0"/>
      </w:pPr>
      <w:r>
        <w:rPr>
          <w:rFonts w:hint="eastAsia"/>
        </w:rPr>
        <w:t>沿海省、自治区、直辖市海洋厅（局），局属各有关单位，各海域评估机构：</w:t>
      </w:r>
    </w:p>
    <w:p w14:paraId="160D214A" w14:textId="77777777" w:rsidR="00495C65" w:rsidRDefault="00495C65" w:rsidP="00495C65">
      <w:pPr>
        <w:pStyle w:val="13"/>
      </w:pPr>
      <w:r>
        <w:rPr>
          <w:rFonts w:hint="eastAsia"/>
        </w:rPr>
        <w:t>为完善海域评估制度，规范海域评估行为，健全海域资源市场化配置机制，根据《海域使用管理法》有关规定，我局组织编制了《海域评估技术指引》。现印发给你们，请遵照执行。</w:t>
      </w:r>
    </w:p>
    <w:p w14:paraId="10C2C14B" w14:textId="77777777" w:rsidR="00495C65" w:rsidRDefault="00495C65" w:rsidP="00495C65">
      <w:pPr>
        <w:pStyle w:val="13"/>
        <w:jc w:val="right"/>
      </w:pPr>
      <w:r>
        <w:rPr>
          <w:rFonts w:hint="eastAsia"/>
        </w:rPr>
        <w:t>国家海洋局</w:t>
      </w:r>
    </w:p>
    <w:p w14:paraId="1A7E1092" w14:textId="77777777" w:rsidR="00495C65" w:rsidRDefault="00495C65" w:rsidP="00495C65">
      <w:pPr>
        <w:pStyle w:val="13"/>
        <w:jc w:val="right"/>
      </w:pPr>
      <w:r>
        <w:t>2013年11月13日</w:t>
      </w:r>
    </w:p>
    <w:p w14:paraId="714E7EF6" w14:textId="77777777" w:rsidR="00495C65" w:rsidRDefault="00495C65" w:rsidP="00AF7342">
      <w:pPr>
        <w:pStyle w:val="a9"/>
        <w:spacing w:before="62" w:after="62"/>
      </w:pPr>
      <w:r>
        <w:rPr>
          <w:rFonts w:hint="eastAsia"/>
        </w:rPr>
        <w:t>海域评估技术指引</w:t>
      </w:r>
    </w:p>
    <w:p w14:paraId="6B699FF8" w14:textId="77777777" w:rsidR="00495C65" w:rsidRDefault="00495C65" w:rsidP="00495C65">
      <w:pPr>
        <w:pStyle w:val="13"/>
      </w:pPr>
      <w:r>
        <w:rPr>
          <w:rFonts w:hint="eastAsia"/>
        </w:rPr>
        <w:t>为规范海域评估行为，统一评估程序和方法，保障评估结果客观、公正、合理，根据《中华人民共和国海域使用管理法》、《海域使用权管理规定》等法律、法规的有关规定，制定本技术指引。</w:t>
      </w:r>
    </w:p>
    <w:p w14:paraId="4E2AEFFE" w14:textId="77777777" w:rsidR="00495C65" w:rsidRDefault="00495C65" w:rsidP="00495C65">
      <w:pPr>
        <w:pStyle w:val="ab"/>
        <w:spacing w:before="62" w:after="62"/>
        <w:ind w:firstLine="482"/>
      </w:pPr>
      <w:r>
        <w:t>1 范围</w:t>
      </w:r>
    </w:p>
    <w:p w14:paraId="6045C9B3" w14:textId="77777777" w:rsidR="00495C65" w:rsidRDefault="00495C65" w:rsidP="00495C65">
      <w:pPr>
        <w:pStyle w:val="13"/>
      </w:pPr>
      <w:r>
        <w:rPr>
          <w:rFonts w:hint="eastAsia"/>
        </w:rPr>
        <w:t>本技术指引适用于宗海的海域价格评估和沿海地方政府管辖海域的基准价格评估。</w:t>
      </w:r>
    </w:p>
    <w:p w14:paraId="7057BD7A" w14:textId="77777777" w:rsidR="00495C65" w:rsidRDefault="00495C65" w:rsidP="00495C65">
      <w:pPr>
        <w:pStyle w:val="ab"/>
        <w:spacing w:before="62" w:after="62"/>
        <w:ind w:firstLine="482"/>
      </w:pPr>
      <w:r>
        <w:t>2 术语及定义</w:t>
      </w:r>
    </w:p>
    <w:p w14:paraId="710CEF46" w14:textId="77777777" w:rsidR="00495C65" w:rsidRDefault="00495C65" w:rsidP="00495C65">
      <w:pPr>
        <w:pStyle w:val="13"/>
      </w:pPr>
      <w:r>
        <w:t>2.1 海域评估</w:t>
      </w:r>
    </w:p>
    <w:p w14:paraId="1844374F" w14:textId="77777777" w:rsidR="00495C65" w:rsidRDefault="00495C65" w:rsidP="00495C65">
      <w:pPr>
        <w:pStyle w:val="13"/>
      </w:pPr>
      <w:r>
        <w:rPr>
          <w:rFonts w:hint="eastAsia"/>
        </w:rPr>
        <w:t>是指海域评估专业人员按照一定的原则、程序和方法，对特定海域的价值进行评定的活动。</w:t>
      </w:r>
    </w:p>
    <w:p w14:paraId="0C0A9450" w14:textId="77777777" w:rsidR="00495C65" w:rsidRDefault="00495C65" w:rsidP="00495C65">
      <w:pPr>
        <w:pStyle w:val="13"/>
      </w:pPr>
      <w:r>
        <w:t>2.2 海域价格</w:t>
      </w:r>
    </w:p>
    <w:p w14:paraId="0CE886E6" w14:textId="77777777" w:rsidR="00495C65" w:rsidRDefault="00495C65" w:rsidP="00495C65">
      <w:pPr>
        <w:pStyle w:val="13"/>
      </w:pPr>
      <w:r>
        <w:rPr>
          <w:rFonts w:hint="eastAsia"/>
        </w:rPr>
        <w:t>是指一定年期海域使用权价格及其附属用</w:t>
      </w:r>
      <w:proofErr w:type="gramStart"/>
      <w:r>
        <w:rPr>
          <w:rFonts w:hint="eastAsia"/>
        </w:rPr>
        <w:t>海设施</w:t>
      </w:r>
      <w:proofErr w:type="gramEnd"/>
      <w:r>
        <w:rPr>
          <w:rFonts w:hint="eastAsia"/>
        </w:rPr>
        <w:t>和海上构筑物价格的总和。</w:t>
      </w:r>
    </w:p>
    <w:p w14:paraId="4F8BE41F" w14:textId="77777777" w:rsidR="00495C65" w:rsidRDefault="00495C65" w:rsidP="00495C65">
      <w:pPr>
        <w:pStyle w:val="13"/>
      </w:pPr>
      <w:r>
        <w:t>2.3 海域基准价格</w:t>
      </w:r>
    </w:p>
    <w:p w14:paraId="44BB4670" w14:textId="77777777" w:rsidR="00495C65" w:rsidRDefault="00495C65" w:rsidP="00495C65">
      <w:pPr>
        <w:pStyle w:val="13"/>
      </w:pPr>
      <w:r>
        <w:rPr>
          <w:rFonts w:hint="eastAsia"/>
        </w:rPr>
        <w:t>是指某一基准日上一定年期海域使用权的区域平均价格。</w:t>
      </w:r>
    </w:p>
    <w:p w14:paraId="5F8A13F9" w14:textId="77777777" w:rsidR="00495C65" w:rsidRDefault="00495C65" w:rsidP="00495C65">
      <w:pPr>
        <w:pStyle w:val="ab"/>
        <w:spacing w:before="62" w:after="62"/>
        <w:ind w:firstLine="482"/>
      </w:pPr>
      <w:r>
        <w:t>3 海域评估原则</w:t>
      </w:r>
    </w:p>
    <w:p w14:paraId="4F2D16C4" w14:textId="77777777" w:rsidR="00495C65" w:rsidRDefault="00495C65" w:rsidP="00495C65">
      <w:pPr>
        <w:pStyle w:val="13"/>
      </w:pPr>
      <w:r>
        <w:rPr>
          <w:rFonts w:hint="eastAsia"/>
        </w:rPr>
        <w:t>海域评估应遵循以下基本原则：</w:t>
      </w:r>
    </w:p>
    <w:p w14:paraId="0FCF38D8" w14:textId="77777777" w:rsidR="00495C65" w:rsidRDefault="00495C65" w:rsidP="00495C65">
      <w:pPr>
        <w:pStyle w:val="13"/>
      </w:pPr>
      <w:r>
        <w:rPr>
          <w:rFonts w:hint="eastAsia"/>
        </w:rPr>
        <w:t>（</w:t>
      </w:r>
      <w:r>
        <w:t>1）预期收益原则</w:t>
      </w:r>
    </w:p>
    <w:p w14:paraId="1BC46F91" w14:textId="77777777" w:rsidR="00495C65" w:rsidRDefault="00495C65" w:rsidP="00495C65">
      <w:pPr>
        <w:pStyle w:val="13"/>
      </w:pPr>
      <w:r>
        <w:rPr>
          <w:rFonts w:hint="eastAsia"/>
        </w:rPr>
        <w:t>海域评估应以海域在正常开发利用条件下的未来客观有效的预期收益为依据。</w:t>
      </w:r>
    </w:p>
    <w:p w14:paraId="59F8D0E3" w14:textId="77777777" w:rsidR="00495C65" w:rsidRDefault="00495C65" w:rsidP="00495C65">
      <w:pPr>
        <w:pStyle w:val="13"/>
      </w:pPr>
      <w:r>
        <w:rPr>
          <w:rFonts w:hint="eastAsia"/>
        </w:rPr>
        <w:t>（</w:t>
      </w:r>
      <w:r>
        <w:t>2）最有效利用原则</w:t>
      </w:r>
    </w:p>
    <w:p w14:paraId="39726BAF" w14:textId="77777777" w:rsidR="00495C65" w:rsidRDefault="00495C65" w:rsidP="00495C65">
      <w:pPr>
        <w:pStyle w:val="13"/>
      </w:pPr>
      <w:r>
        <w:rPr>
          <w:rFonts w:hint="eastAsia"/>
        </w:rPr>
        <w:t>海域评估应反映海域在合法利用的前提下，实现海域、资本、劳动力、管理、技术等生产要素的优化组合，并取得最佳经济效益时的价格。</w:t>
      </w:r>
    </w:p>
    <w:p w14:paraId="7599DC88" w14:textId="77777777" w:rsidR="00495C65" w:rsidRDefault="00495C65" w:rsidP="00495C65">
      <w:pPr>
        <w:pStyle w:val="13"/>
      </w:pPr>
      <w:r>
        <w:rPr>
          <w:rFonts w:hint="eastAsia"/>
        </w:rPr>
        <w:lastRenderedPageBreak/>
        <w:t>（</w:t>
      </w:r>
      <w:r>
        <w:t>3）替代原则</w:t>
      </w:r>
    </w:p>
    <w:p w14:paraId="2AAE43F2" w14:textId="77777777" w:rsidR="00495C65" w:rsidRDefault="00495C65" w:rsidP="00495C65">
      <w:pPr>
        <w:pStyle w:val="13"/>
      </w:pPr>
      <w:r>
        <w:rPr>
          <w:rFonts w:hint="eastAsia"/>
        </w:rPr>
        <w:t>海域评估应以同类地区类似海域在同等利用条件下的价格为基准。</w:t>
      </w:r>
    </w:p>
    <w:p w14:paraId="7A715C2C" w14:textId="77777777" w:rsidR="00495C65" w:rsidRDefault="00495C65" w:rsidP="00495C65">
      <w:pPr>
        <w:pStyle w:val="13"/>
      </w:pPr>
      <w:r>
        <w:rPr>
          <w:rFonts w:hint="eastAsia"/>
        </w:rPr>
        <w:t>（</w:t>
      </w:r>
      <w:r>
        <w:t>4）市场供需原则</w:t>
      </w:r>
    </w:p>
    <w:p w14:paraId="69EA0C34" w14:textId="77777777" w:rsidR="00495C65" w:rsidRDefault="00495C65" w:rsidP="00495C65">
      <w:pPr>
        <w:pStyle w:val="13"/>
      </w:pPr>
      <w:r>
        <w:rPr>
          <w:rFonts w:hint="eastAsia"/>
        </w:rPr>
        <w:t>海域评估应充分考虑海域供需的特性和海域市场地域性。</w:t>
      </w:r>
    </w:p>
    <w:p w14:paraId="52E3096C" w14:textId="77777777" w:rsidR="00495C65" w:rsidRDefault="00495C65" w:rsidP="00495C65">
      <w:pPr>
        <w:pStyle w:val="13"/>
      </w:pPr>
      <w:r>
        <w:rPr>
          <w:rFonts w:hint="eastAsia"/>
        </w:rPr>
        <w:t>（</w:t>
      </w:r>
      <w:r>
        <w:t>5）贡献原则</w:t>
      </w:r>
    </w:p>
    <w:p w14:paraId="6AED489A" w14:textId="77777777" w:rsidR="00495C65" w:rsidRDefault="00495C65" w:rsidP="00495C65">
      <w:pPr>
        <w:pStyle w:val="13"/>
      </w:pPr>
      <w:r>
        <w:rPr>
          <w:rFonts w:hint="eastAsia"/>
        </w:rPr>
        <w:t>海域评估应以海域在开发利用活动中的重要程度确定其对总收益的贡献值。</w:t>
      </w:r>
    </w:p>
    <w:p w14:paraId="2C072A04" w14:textId="77777777" w:rsidR="00495C65" w:rsidRDefault="00495C65" w:rsidP="00495C65">
      <w:pPr>
        <w:pStyle w:val="ab"/>
        <w:spacing w:before="62" w:after="62"/>
        <w:ind w:firstLine="482"/>
      </w:pPr>
      <w:r>
        <w:t>4 海域价格评估</w:t>
      </w:r>
    </w:p>
    <w:p w14:paraId="29E3AEDA" w14:textId="77777777" w:rsidR="00495C65" w:rsidRDefault="00495C65" w:rsidP="00495C65">
      <w:pPr>
        <w:pStyle w:val="13"/>
      </w:pPr>
      <w:r>
        <w:t>4.1 海域价格评估目的</w:t>
      </w:r>
    </w:p>
    <w:p w14:paraId="1EB79B0B" w14:textId="77777777" w:rsidR="00495C65" w:rsidRDefault="00495C65" w:rsidP="00495C65">
      <w:pPr>
        <w:pStyle w:val="13"/>
      </w:pPr>
      <w:r>
        <w:rPr>
          <w:rFonts w:hint="eastAsia"/>
        </w:rPr>
        <w:t>海域价格评估的目的是揭示宗海在正常条件下的价格水平，为海域使用权出让、转让、抵押、收回补偿等提供价格参考。</w:t>
      </w:r>
    </w:p>
    <w:p w14:paraId="04C3B12B" w14:textId="77777777" w:rsidR="00495C65" w:rsidRDefault="00495C65" w:rsidP="00495C65">
      <w:pPr>
        <w:pStyle w:val="13"/>
      </w:pPr>
      <w:r>
        <w:t>4.2 海域价格评估程序</w:t>
      </w:r>
    </w:p>
    <w:p w14:paraId="62706CA0" w14:textId="77777777" w:rsidR="00495C65" w:rsidRDefault="00495C65" w:rsidP="00495C65">
      <w:pPr>
        <w:pStyle w:val="13"/>
      </w:pPr>
      <w:r>
        <w:rPr>
          <w:rFonts w:hint="eastAsia"/>
        </w:rPr>
        <w:t>海域价格评估应按以下六个步骤开展：</w:t>
      </w:r>
    </w:p>
    <w:p w14:paraId="0E042433" w14:textId="77777777" w:rsidR="00495C65" w:rsidRDefault="00495C65" w:rsidP="00495C65">
      <w:pPr>
        <w:pStyle w:val="13"/>
      </w:pPr>
      <w:r>
        <w:rPr>
          <w:rFonts w:hint="eastAsia"/>
        </w:rPr>
        <w:t>（</w:t>
      </w:r>
      <w:r>
        <w:t>1）确定评估基本事项</w:t>
      </w:r>
    </w:p>
    <w:p w14:paraId="4FED657C" w14:textId="77777777" w:rsidR="00495C65" w:rsidRDefault="00495C65" w:rsidP="00495C65">
      <w:pPr>
        <w:pStyle w:val="13"/>
      </w:pPr>
      <w:r>
        <w:rPr>
          <w:rFonts w:hint="eastAsia"/>
        </w:rPr>
        <w:t>根据委托方的要求，确定评估目的、评估对象、评估基准日等基本事项。</w:t>
      </w:r>
    </w:p>
    <w:p w14:paraId="615B1F49" w14:textId="77777777" w:rsidR="00495C65" w:rsidRDefault="00495C65" w:rsidP="00495C65">
      <w:pPr>
        <w:pStyle w:val="13"/>
      </w:pPr>
      <w:r>
        <w:rPr>
          <w:rFonts w:hint="eastAsia"/>
        </w:rPr>
        <w:t>（</w:t>
      </w:r>
      <w:r>
        <w:t>2）收集相关资料</w:t>
      </w:r>
    </w:p>
    <w:p w14:paraId="7FCC1A2B" w14:textId="77777777" w:rsidR="00495C65" w:rsidRDefault="00495C65" w:rsidP="00495C65">
      <w:pPr>
        <w:pStyle w:val="13"/>
      </w:pPr>
      <w:r>
        <w:rPr>
          <w:rFonts w:hint="eastAsia"/>
        </w:rPr>
        <w:t>对评估对象的社会经济和自然环境条件进行</w:t>
      </w:r>
      <w:proofErr w:type="gramStart"/>
      <w:r>
        <w:rPr>
          <w:rFonts w:hint="eastAsia"/>
        </w:rPr>
        <w:t>现场调访和</w:t>
      </w:r>
      <w:proofErr w:type="gramEnd"/>
      <w:r>
        <w:rPr>
          <w:rFonts w:hint="eastAsia"/>
        </w:rPr>
        <w:t>勘测，收集评估对象及其周边海域的基本情况、相关的生产经营与财务状况、交易实例和海域市场发展现状等资料，并核验资料的完整性和可靠性。</w:t>
      </w:r>
    </w:p>
    <w:p w14:paraId="5414DDFA" w14:textId="77777777" w:rsidR="00495C65" w:rsidRDefault="00495C65" w:rsidP="00495C65">
      <w:pPr>
        <w:pStyle w:val="13"/>
      </w:pPr>
      <w:r>
        <w:rPr>
          <w:rFonts w:hint="eastAsia"/>
        </w:rPr>
        <w:t>（</w:t>
      </w:r>
      <w:r>
        <w:t>3）选择评估方法</w:t>
      </w:r>
    </w:p>
    <w:p w14:paraId="3F94B17D" w14:textId="77777777" w:rsidR="00495C65" w:rsidRDefault="00495C65" w:rsidP="00495C65">
      <w:pPr>
        <w:pStyle w:val="13"/>
      </w:pPr>
      <w:r>
        <w:rPr>
          <w:rFonts w:hint="eastAsia"/>
        </w:rPr>
        <w:t>根据评估目的、评估对象所属的用海类型、评估对象开发利用状态和海域市场现状等，选择确定适用的评估方法。</w:t>
      </w:r>
    </w:p>
    <w:p w14:paraId="4669D0F1" w14:textId="77777777" w:rsidR="00495C65" w:rsidRDefault="00495C65" w:rsidP="00495C65">
      <w:pPr>
        <w:pStyle w:val="13"/>
      </w:pPr>
      <w:r>
        <w:rPr>
          <w:rFonts w:hint="eastAsia"/>
        </w:rPr>
        <w:t>（</w:t>
      </w:r>
      <w:r>
        <w:t>4）确定修正系数和评估参数</w:t>
      </w:r>
    </w:p>
    <w:p w14:paraId="648180CB" w14:textId="77777777" w:rsidR="00495C65" w:rsidRDefault="00495C65" w:rsidP="00495C65">
      <w:pPr>
        <w:pStyle w:val="13"/>
      </w:pPr>
      <w:r>
        <w:rPr>
          <w:rFonts w:hint="eastAsia"/>
        </w:rPr>
        <w:t>分析海域价格影响因素及其影响程度，确定必要的价格修正内容和系数，并根据社会平均投资效益、用</w:t>
      </w:r>
      <w:proofErr w:type="gramStart"/>
      <w:r>
        <w:rPr>
          <w:rFonts w:hint="eastAsia"/>
        </w:rPr>
        <w:t>海类型</w:t>
      </w:r>
      <w:proofErr w:type="gramEnd"/>
      <w:r>
        <w:rPr>
          <w:rFonts w:hint="eastAsia"/>
        </w:rPr>
        <w:t>和产业类型的投资风险差异等，确定海域投资回报率、海域还原利率等参数。</w:t>
      </w:r>
    </w:p>
    <w:p w14:paraId="5736E461" w14:textId="77777777" w:rsidR="00495C65" w:rsidRDefault="00495C65" w:rsidP="00495C65">
      <w:pPr>
        <w:pStyle w:val="13"/>
      </w:pPr>
      <w:r>
        <w:rPr>
          <w:rFonts w:hint="eastAsia"/>
        </w:rPr>
        <w:t>（</w:t>
      </w:r>
      <w:r>
        <w:t>5）测算和确定海域价格</w:t>
      </w:r>
    </w:p>
    <w:p w14:paraId="6FE44802" w14:textId="77777777" w:rsidR="00495C65" w:rsidRDefault="00495C65" w:rsidP="00495C65">
      <w:pPr>
        <w:pStyle w:val="13"/>
      </w:pPr>
      <w:r>
        <w:rPr>
          <w:rFonts w:hint="eastAsia"/>
        </w:rPr>
        <w:t>利用经核验的有效资料，采用选定的评估方法和评估参数，评定海域价格。多种方法测算海域价格的，可用加权平均等方法评定最终结果。</w:t>
      </w:r>
    </w:p>
    <w:p w14:paraId="23AB6EB6" w14:textId="77777777" w:rsidR="00495C65" w:rsidRDefault="00495C65" w:rsidP="00495C65">
      <w:pPr>
        <w:pStyle w:val="13"/>
      </w:pPr>
      <w:r>
        <w:rPr>
          <w:rFonts w:hint="eastAsia"/>
        </w:rPr>
        <w:t>（</w:t>
      </w:r>
      <w:r>
        <w:t>6）编制海域价格评估报告</w:t>
      </w:r>
    </w:p>
    <w:p w14:paraId="02C30ADF" w14:textId="77777777" w:rsidR="00495C65" w:rsidRDefault="00495C65" w:rsidP="00495C65">
      <w:pPr>
        <w:pStyle w:val="13"/>
      </w:pPr>
      <w:r>
        <w:rPr>
          <w:rFonts w:hint="eastAsia"/>
        </w:rPr>
        <w:t>对整个评估工作的成果进行总结整理，编制完成海域价格评估报告，并提交给委托方。海域价格评估报告格式要求见附录</w:t>
      </w:r>
      <w:r>
        <w:t>A。</w:t>
      </w:r>
    </w:p>
    <w:p w14:paraId="0F84BCD2" w14:textId="77777777" w:rsidR="00495C65" w:rsidRDefault="00495C65" w:rsidP="00495C65">
      <w:pPr>
        <w:pStyle w:val="13"/>
      </w:pPr>
      <w:r>
        <w:t>4.3 海域价格评估方法</w:t>
      </w:r>
    </w:p>
    <w:p w14:paraId="724C736B" w14:textId="77777777" w:rsidR="00495C65" w:rsidRDefault="00495C65" w:rsidP="00495C65">
      <w:pPr>
        <w:pStyle w:val="13"/>
      </w:pPr>
      <w:r>
        <w:rPr>
          <w:rFonts w:hint="eastAsia"/>
        </w:rPr>
        <w:t>海域价格评估的主要方法有收益法、成本法、假设开发法、市场比较法和基准价格系数修正法，各方法的适用条件及注意事项如下：</w:t>
      </w:r>
    </w:p>
    <w:p w14:paraId="79F4CA60" w14:textId="77777777" w:rsidR="00495C65" w:rsidRDefault="00495C65" w:rsidP="00495C65">
      <w:pPr>
        <w:pStyle w:val="13"/>
      </w:pPr>
      <w:r>
        <w:lastRenderedPageBreak/>
        <w:t>4.3.1 收益法</w:t>
      </w:r>
    </w:p>
    <w:p w14:paraId="3F04C47A" w14:textId="77777777" w:rsidR="00495C65" w:rsidRDefault="00495C65" w:rsidP="00495C65">
      <w:pPr>
        <w:pStyle w:val="13"/>
      </w:pPr>
      <w:r>
        <w:rPr>
          <w:rFonts w:hint="eastAsia"/>
        </w:rPr>
        <w:t>对于能够计算现实收益或潜在收益的海域，可采用收益法评估海域价格，即按一定的还原利率，将海域未来每年预期收益折算至评估基准日，以折算后的纯收益总和作为海域价格。收益法的计算公式及参数说明见附录</w:t>
      </w:r>
      <w:r>
        <w:t>B.1。</w:t>
      </w:r>
    </w:p>
    <w:p w14:paraId="34F2630C" w14:textId="77777777" w:rsidR="00495C65" w:rsidRDefault="00495C65" w:rsidP="00495C65">
      <w:pPr>
        <w:pStyle w:val="13"/>
      </w:pPr>
      <w:r>
        <w:rPr>
          <w:rFonts w:hint="eastAsia"/>
        </w:rPr>
        <w:t>采用收益法时，应以客观、持续、稳定的收益为基础计算海域的年总收入，按不重不漏原则计算年总费用，合理测算海域纯收益。</w:t>
      </w:r>
    </w:p>
    <w:p w14:paraId="51CE9E52" w14:textId="77777777" w:rsidR="00495C65" w:rsidRDefault="00495C65" w:rsidP="00495C65">
      <w:pPr>
        <w:pStyle w:val="13"/>
      </w:pPr>
      <w:r>
        <w:t>4.3.2 成本法</w:t>
      </w:r>
    </w:p>
    <w:p w14:paraId="7E9C9D41" w14:textId="77777777" w:rsidR="00495C65" w:rsidRDefault="00495C65" w:rsidP="00495C65">
      <w:pPr>
        <w:pStyle w:val="13"/>
      </w:pPr>
      <w:r>
        <w:rPr>
          <w:rFonts w:hint="eastAsia"/>
        </w:rPr>
        <w:t>对于新开发的海域，或在海域市场欠发达、海域交易实例少的地区，可采用成本法评估海域价格，即以开发和利用海域所耗费的各项费用之和为基础，加上正常的利润、利息和税费等来确定海域价格。成本法计算公式及参数说明见附录</w:t>
      </w:r>
      <w:r>
        <w:t>B.2。</w:t>
      </w:r>
    </w:p>
    <w:p w14:paraId="5949D547" w14:textId="77777777" w:rsidR="00495C65" w:rsidRDefault="00495C65" w:rsidP="00495C65">
      <w:pPr>
        <w:pStyle w:val="13"/>
      </w:pPr>
      <w:r>
        <w:rPr>
          <w:rFonts w:hint="eastAsia"/>
        </w:rPr>
        <w:t>采用成本法时，海域取得费和海域开发费应是评估基准日的重置费用，各项费用的取费标准应有明确、充分的依据。</w:t>
      </w:r>
    </w:p>
    <w:p w14:paraId="0087D8A4" w14:textId="77777777" w:rsidR="00495C65" w:rsidRDefault="00495C65" w:rsidP="00495C65">
      <w:pPr>
        <w:pStyle w:val="13"/>
      </w:pPr>
      <w:r>
        <w:t>4.3.3 假设开发法</w:t>
      </w:r>
    </w:p>
    <w:p w14:paraId="768EC8DE" w14:textId="77777777" w:rsidR="00495C65" w:rsidRDefault="00495C65" w:rsidP="00495C65">
      <w:pPr>
        <w:pStyle w:val="13"/>
      </w:pPr>
      <w:r>
        <w:rPr>
          <w:rFonts w:hint="eastAsia"/>
        </w:rPr>
        <w:t>对于待开发和再开发的海域，可采用假设开发法评估海域价格，即在测算出海域开发完成后的总价值基础上，扣除预计的正常开发成本和利润来确定海域价格。假设开发法的计算公式及参数说明见附录</w:t>
      </w:r>
      <w:r>
        <w:t>B.3。</w:t>
      </w:r>
    </w:p>
    <w:p w14:paraId="5EBCDCD1" w14:textId="77777777" w:rsidR="00495C65" w:rsidRDefault="00495C65" w:rsidP="00495C65">
      <w:pPr>
        <w:pStyle w:val="13"/>
      </w:pPr>
      <w:r>
        <w:rPr>
          <w:rFonts w:hint="eastAsia"/>
        </w:rPr>
        <w:t>采用假设开发法时，应根据最有效利用原则确定海域用途，再结合海域的规模、开发难易程度等情况合理估算开发建设周期，并假设在开发周期内各项成本均匀投入或分阶段均匀投入。</w:t>
      </w:r>
    </w:p>
    <w:p w14:paraId="0E702029" w14:textId="77777777" w:rsidR="00495C65" w:rsidRDefault="00495C65" w:rsidP="00495C65">
      <w:pPr>
        <w:pStyle w:val="13"/>
      </w:pPr>
      <w:r>
        <w:t>4.3.4 市场比较法</w:t>
      </w:r>
    </w:p>
    <w:p w14:paraId="7E8E7D63" w14:textId="77777777" w:rsidR="00495C65" w:rsidRDefault="00495C65" w:rsidP="00495C65">
      <w:pPr>
        <w:pStyle w:val="13"/>
      </w:pPr>
      <w:r>
        <w:rPr>
          <w:rFonts w:hint="eastAsia"/>
        </w:rPr>
        <w:t>在海域市场较发达、海域交易实例充足的地区，可采用市场比较法评估海域价格，即根据市场替代原理，将评估对象与具有替代性且在近期市场上已发生交易的实例做比较，根据两者之间的价格影响因素差异，在交易实例成交价格的基础上做适当修正，以此来确定海域价格。市场比较法的计算公式及参数说明见附录</w:t>
      </w:r>
      <w:r>
        <w:t>B.4。</w:t>
      </w:r>
    </w:p>
    <w:p w14:paraId="3B6D3D85" w14:textId="77777777" w:rsidR="00495C65" w:rsidRDefault="00495C65" w:rsidP="00495C65">
      <w:pPr>
        <w:pStyle w:val="13"/>
      </w:pPr>
      <w:r>
        <w:rPr>
          <w:rFonts w:hint="eastAsia"/>
        </w:rPr>
        <w:t>采用市场比较法时，比较实例应与评估对象的用</w:t>
      </w:r>
      <w:proofErr w:type="gramStart"/>
      <w:r>
        <w:rPr>
          <w:rFonts w:hint="eastAsia"/>
        </w:rPr>
        <w:t>海类型</w:t>
      </w:r>
      <w:proofErr w:type="gramEnd"/>
      <w:r>
        <w:rPr>
          <w:rFonts w:hint="eastAsia"/>
        </w:rPr>
        <w:t>相同，且位于相邻区域或类似区域，交易时间应相近，数量不少于</w:t>
      </w:r>
      <w:r>
        <w:t>3个；</w:t>
      </w:r>
      <w:proofErr w:type="gramStart"/>
      <w:r>
        <w:t>应选择</w:t>
      </w:r>
      <w:proofErr w:type="gramEnd"/>
      <w:r>
        <w:t>差异显著的比较因素进行价格修正，</w:t>
      </w:r>
      <w:r>
        <w:rPr>
          <w:rFonts w:hint="eastAsia"/>
        </w:rPr>
        <w:t>因素条件应尽量量化，无法量化时应定性描述指标的大小。</w:t>
      </w:r>
    </w:p>
    <w:p w14:paraId="68DDE936" w14:textId="77777777" w:rsidR="00495C65" w:rsidRDefault="00495C65" w:rsidP="00495C65">
      <w:pPr>
        <w:pStyle w:val="13"/>
      </w:pPr>
      <w:r>
        <w:t>4.3.5 基准价格系数修正法</w:t>
      </w:r>
    </w:p>
    <w:p w14:paraId="2448AAEA" w14:textId="77777777" w:rsidR="00495C65" w:rsidRDefault="00495C65" w:rsidP="00495C65">
      <w:pPr>
        <w:pStyle w:val="13"/>
      </w:pPr>
      <w:r>
        <w:rPr>
          <w:rFonts w:hint="eastAsia"/>
        </w:rPr>
        <w:t>在已有海域基准价格的地区，可用基准价格系数修正法评估海域价格，即针对评估对象价格影响因素的特殊性，利用海域价格修正系数，在同一地区同类用海的海域基准价格基础上做适当修正，以此确定海域价格。基准价格系数修正法的计算公式及参数说明见附录</w:t>
      </w:r>
      <w:r>
        <w:t>B.5。</w:t>
      </w:r>
    </w:p>
    <w:p w14:paraId="12D194DF" w14:textId="77777777" w:rsidR="00495C65" w:rsidRDefault="00495C65" w:rsidP="00495C65">
      <w:pPr>
        <w:pStyle w:val="13"/>
      </w:pPr>
      <w:r>
        <w:rPr>
          <w:rFonts w:hint="eastAsia"/>
        </w:rPr>
        <w:t>采用基准价格系数修正法时，应准确把握本区域海域基准价格的内涵及其修正体系的构成，根据海域价格影响因素实际情况确定修正系数。</w:t>
      </w:r>
    </w:p>
    <w:p w14:paraId="0D48FBE4" w14:textId="77777777" w:rsidR="00495C65" w:rsidRDefault="00495C65" w:rsidP="00495C65">
      <w:pPr>
        <w:pStyle w:val="13"/>
      </w:pPr>
      <w:r>
        <w:lastRenderedPageBreak/>
        <w:t>4.4 海域价格影响因素</w:t>
      </w:r>
    </w:p>
    <w:p w14:paraId="43F41B3E" w14:textId="77777777" w:rsidR="00495C65" w:rsidRDefault="00495C65" w:rsidP="00495C65">
      <w:pPr>
        <w:pStyle w:val="13"/>
      </w:pPr>
      <w:r>
        <w:rPr>
          <w:rFonts w:hint="eastAsia"/>
        </w:rPr>
        <w:t>海域价格影响因素是指对海域质量和使用效益有重要影响的社会经济条件和自然环境条件。</w:t>
      </w:r>
    </w:p>
    <w:p w14:paraId="06C5E2F5" w14:textId="77777777" w:rsidR="00495C65" w:rsidRDefault="00495C65" w:rsidP="00495C65">
      <w:pPr>
        <w:pStyle w:val="13"/>
      </w:pPr>
      <w:r>
        <w:rPr>
          <w:rFonts w:hint="eastAsia"/>
        </w:rPr>
        <w:t>（</w:t>
      </w:r>
      <w:r>
        <w:t>1）造地工程用</w:t>
      </w:r>
      <w:proofErr w:type="gramStart"/>
      <w:r>
        <w:t>海价格</w:t>
      </w:r>
      <w:proofErr w:type="gramEnd"/>
      <w:r>
        <w:t>影响因素</w:t>
      </w:r>
    </w:p>
    <w:p w14:paraId="70A084C7" w14:textId="77777777" w:rsidR="00495C65" w:rsidRDefault="00495C65" w:rsidP="00495C65">
      <w:pPr>
        <w:pStyle w:val="13"/>
      </w:pPr>
      <w:r>
        <w:rPr>
          <w:rFonts w:hint="eastAsia"/>
        </w:rPr>
        <w:t>包括区域经济状况、交通条件、区划与规划、基础设施和配套设施条件、毗邻土地情况、工程建设条件等因素。分析指标详见附录</w:t>
      </w:r>
      <w:r>
        <w:t>C.1。</w:t>
      </w:r>
    </w:p>
    <w:p w14:paraId="5912B3D6" w14:textId="77777777" w:rsidR="00495C65" w:rsidRDefault="00495C65" w:rsidP="00495C65">
      <w:pPr>
        <w:pStyle w:val="13"/>
      </w:pPr>
      <w:r>
        <w:rPr>
          <w:rFonts w:hint="eastAsia"/>
        </w:rPr>
        <w:t>（</w:t>
      </w:r>
      <w:r>
        <w:t>2）交通运输用</w:t>
      </w:r>
      <w:proofErr w:type="gramStart"/>
      <w:r>
        <w:t>海价格</w:t>
      </w:r>
      <w:proofErr w:type="gramEnd"/>
      <w:r>
        <w:t>影响因素</w:t>
      </w:r>
    </w:p>
    <w:p w14:paraId="3D8A0829" w14:textId="77777777" w:rsidR="00495C65" w:rsidRDefault="00495C65" w:rsidP="00495C65">
      <w:pPr>
        <w:pStyle w:val="13"/>
      </w:pPr>
      <w:r>
        <w:rPr>
          <w:rFonts w:hint="eastAsia"/>
        </w:rPr>
        <w:t>包括区域经济状况、交通条件、区划与规划、基础设施和配套设施条件、港口等级和规模、码头建设规模、码头作业条件、工程建设条件等因素。分析指标详见附录</w:t>
      </w:r>
      <w:r>
        <w:t>C.2。</w:t>
      </w:r>
    </w:p>
    <w:p w14:paraId="7367EA8D" w14:textId="77777777" w:rsidR="00495C65" w:rsidRDefault="00495C65" w:rsidP="00495C65">
      <w:pPr>
        <w:pStyle w:val="13"/>
      </w:pPr>
      <w:r>
        <w:rPr>
          <w:rFonts w:hint="eastAsia"/>
        </w:rPr>
        <w:t>（</w:t>
      </w:r>
      <w:r>
        <w:t>3）渔业用</w:t>
      </w:r>
      <w:proofErr w:type="gramStart"/>
      <w:r>
        <w:t>海价格</w:t>
      </w:r>
      <w:proofErr w:type="gramEnd"/>
      <w:r>
        <w:t>影响因素</w:t>
      </w:r>
    </w:p>
    <w:p w14:paraId="749E255F" w14:textId="77777777" w:rsidR="00495C65" w:rsidRDefault="00495C65" w:rsidP="00495C65">
      <w:pPr>
        <w:pStyle w:val="13"/>
      </w:pPr>
      <w:r>
        <w:rPr>
          <w:rFonts w:hint="eastAsia"/>
        </w:rPr>
        <w:t>包括区域经济状况、交通条件、区划与规划、基础设施和配套设施条件、海域开发利用现状、养殖条件等因素。分析指标详见附录</w:t>
      </w:r>
      <w:r>
        <w:t>C.3。</w:t>
      </w:r>
    </w:p>
    <w:p w14:paraId="720C9AFB" w14:textId="77777777" w:rsidR="00495C65" w:rsidRDefault="00495C65" w:rsidP="00495C65">
      <w:pPr>
        <w:pStyle w:val="13"/>
      </w:pPr>
      <w:r>
        <w:rPr>
          <w:rFonts w:hint="eastAsia"/>
        </w:rPr>
        <w:t>（</w:t>
      </w:r>
      <w:r>
        <w:t>4）旅游娱乐用</w:t>
      </w:r>
      <w:proofErr w:type="gramStart"/>
      <w:r>
        <w:t>海价格</w:t>
      </w:r>
      <w:proofErr w:type="gramEnd"/>
      <w:r>
        <w:t>影响因素</w:t>
      </w:r>
    </w:p>
    <w:p w14:paraId="68A2778E" w14:textId="77777777" w:rsidR="00495C65" w:rsidRDefault="00495C65" w:rsidP="00495C65">
      <w:pPr>
        <w:pStyle w:val="13"/>
      </w:pPr>
      <w:r>
        <w:rPr>
          <w:rFonts w:hint="eastAsia"/>
        </w:rPr>
        <w:t>包括区域经济状况、交通条件、区划与规划、基础设施和配套设施条件、旅游景区条件、滨海旅游资源条件等因素。分析指标详见附录</w:t>
      </w:r>
      <w:r>
        <w:t>C.4。</w:t>
      </w:r>
    </w:p>
    <w:p w14:paraId="3BD183D6" w14:textId="77777777" w:rsidR="00495C65" w:rsidRDefault="00495C65" w:rsidP="00495C65">
      <w:pPr>
        <w:pStyle w:val="ab"/>
        <w:spacing w:before="62" w:after="62"/>
        <w:ind w:firstLine="482"/>
      </w:pPr>
      <w:r>
        <w:t>5 海域基准价格评估</w:t>
      </w:r>
    </w:p>
    <w:p w14:paraId="6FBB8F3E" w14:textId="77777777" w:rsidR="00495C65" w:rsidRDefault="00495C65" w:rsidP="00495C65">
      <w:pPr>
        <w:pStyle w:val="13"/>
      </w:pPr>
      <w:r>
        <w:t>5.1 海域基准价格评估目的</w:t>
      </w:r>
    </w:p>
    <w:p w14:paraId="097329F3" w14:textId="77777777" w:rsidR="00495C65" w:rsidRDefault="00495C65" w:rsidP="00495C65">
      <w:pPr>
        <w:pStyle w:val="13"/>
      </w:pPr>
      <w:r>
        <w:rPr>
          <w:rFonts w:hint="eastAsia"/>
        </w:rPr>
        <w:t>海域基准价格评估的目的是揭示不同类型海域使用权区域平均价格水平，为海洋管理部门掌握和调控海域市场秩序、制定海域管理政策提供科学依据。</w:t>
      </w:r>
    </w:p>
    <w:p w14:paraId="221CFC76" w14:textId="77777777" w:rsidR="00495C65" w:rsidRDefault="00495C65" w:rsidP="00495C65">
      <w:pPr>
        <w:pStyle w:val="13"/>
      </w:pPr>
      <w:r>
        <w:t>5.2 海域基准价格评估技术路线</w:t>
      </w:r>
    </w:p>
    <w:p w14:paraId="4D0E02A6" w14:textId="77777777" w:rsidR="00495C65" w:rsidRDefault="00495C65" w:rsidP="00495C65">
      <w:pPr>
        <w:pStyle w:val="13"/>
      </w:pPr>
      <w:r>
        <w:rPr>
          <w:rFonts w:hint="eastAsia"/>
        </w:rPr>
        <w:t>以社会经济条件和自然环境条件类似的均质区域为测算单元，利用海域市场交易资料，测算和修正样点价格，通过算术平均确定不同类型的海域使用权区域平均价格。</w:t>
      </w:r>
    </w:p>
    <w:p w14:paraId="2D887498" w14:textId="77777777" w:rsidR="00495C65" w:rsidRDefault="00495C65" w:rsidP="00495C65">
      <w:pPr>
        <w:pStyle w:val="13"/>
      </w:pPr>
      <w:r>
        <w:t>5.3 海域基准价格评估程序</w:t>
      </w:r>
    </w:p>
    <w:p w14:paraId="66EDC056" w14:textId="77777777" w:rsidR="00495C65" w:rsidRDefault="00495C65" w:rsidP="00495C65">
      <w:pPr>
        <w:pStyle w:val="13"/>
      </w:pPr>
      <w:r>
        <w:t>5.3.1 准备工作</w:t>
      </w:r>
    </w:p>
    <w:p w14:paraId="49F88A45" w14:textId="77777777" w:rsidR="00495C65" w:rsidRDefault="00495C65" w:rsidP="00495C65">
      <w:pPr>
        <w:pStyle w:val="13"/>
      </w:pPr>
      <w:r>
        <w:rPr>
          <w:rFonts w:hint="eastAsia"/>
        </w:rPr>
        <w:t>制定海域基准价格评估技术方案，划分测算单元，设计调查表，准备工作底图等。</w:t>
      </w:r>
    </w:p>
    <w:p w14:paraId="5EDD498A" w14:textId="77777777" w:rsidR="00495C65" w:rsidRDefault="00495C65" w:rsidP="00495C65">
      <w:pPr>
        <w:pStyle w:val="13"/>
      </w:pPr>
      <w:r>
        <w:t>5.3.2 资料调查</w:t>
      </w:r>
    </w:p>
    <w:p w14:paraId="6A5B101E" w14:textId="77777777" w:rsidR="00495C65" w:rsidRDefault="00495C65" w:rsidP="00495C65">
      <w:pPr>
        <w:pStyle w:val="13"/>
      </w:pPr>
      <w:r>
        <w:rPr>
          <w:rFonts w:hint="eastAsia"/>
        </w:rPr>
        <w:t>按照代表性好、分布均匀的原则，在测算单元内收集宗海样点资料，包括海域使用权出让、转让、抵押等价格资料；资产租赁、交易中包含海域使用权的价格资料。</w:t>
      </w:r>
    </w:p>
    <w:p w14:paraId="428638B3" w14:textId="77777777" w:rsidR="00495C65" w:rsidRDefault="00495C65" w:rsidP="00495C65">
      <w:pPr>
        <w:pStyle w:val="13"/>
      </w:pPr>
      <w:r>
        <w:t>5.3.3 样点价格测算和修正</w:t>
      </w:r>
    </w:p>
    <w:p w14:paraId="3239F0C9" w14:textId="77777777" w:rsidR="00495C65" w:rsidRDefault="00495C65" w:rsidP="00495C65">
      <w:pPr>
        <w:pStyle w:val="13"/>
      </w:pPr>
      <w:r>
        <w:rPr>
          <w:rFonts w:hint="eastAsia"/>
        </w:rPr>
        <w:t>（</w:t>
      </w:r>
      <w:r>
        <w:t>1）样点价格测算</w:t>
      </w:r>
    </w:p>
    <w:p w14:paraId="73D72CFA" w14:textId="77777777" w:rsidR="00495C65" w:rsidRDefault="00495C65" w:rsidP="00495C65">
      <w:pPr>
        <w:pStyle w:val="13"/>
      </w:pPr>
      <w:r>
        <w:rPr>
          <w:rFonts w:hint="eastAsia"/>
        </w:rPr>
        <w:t>海域使用权出让、转让价格和抵押价格可直接作为样点价格；资产租赁中含有海域使用权时，可利用收益法测算样点价格；资产交易中含有海域使用权时，应从交易</w:t>
      </w:r>
      <w:r>
        <w:rPr>
          <w:rFonts w:hint="eastAsia"/>
        </w:rPr>
        <w:lastRenderedPageBreak/>
        <w:t>总价中扣除非海域资产的价格、应交税金和管理费计算样点价格。</w:t>
      </w:r>
    </w:p>
    <w:p w14:paraId="20E56A7C" w14:textId="77777777" w:rsidR="00495C65" w:rsidRDefault="00495C65" w:rsidP="00495C65">
      <w:pPr>
        <w:pStyle w:val="13"/>
      </w:pPr>
      <w:r>
        <w:rPr>
          <w:rFonts w:hint="eastAsia"/>
        </w:rPr>
        <w:t>（</w:t>
      </w:r>
      <w:r>
        <w:t>2）样点价格修正</w:t>
      </w:r>
    </w:p>
    <w:p w14:paraId="1C32CDAC" w14:textId="77777777" w:rsidR="00495C65" w:rsidRDefault="00495C65" w:rsidP="00495C65">
      <w:pPr>
        <w:pStyle w:val="13"/>
      </w:pPr>
      <w:r>
        <w:rPr>
          <w:rFonts w:hint="eastAsia"/>
        </w:rPr>
        <w:t>根据海域基准价格的内涵对样点价格进行交易情况修正、海域使用年期修正和评估基准日修正。</w:t>
      </w:r>
    </w:p>
    <w:p w14:paraId="640902EB" w14:textId="77777777" w:rsidR="00495C65" w:rsidRDefault="00495C65" w:rsidP="00495C65">
      <w:pPr>
        <w:pStyle w:val="13"/>
      </w:pPr>
      <w:r>
        <w:t>5.3.4 海域基准价格测算</w:t>
      </w:r>
    </w:p>
    <w:p w14:paraId="48C1DD7E" w14:textId="77777777" w:rsidR="00495C65" w:rsidRDefault="00495C65" w:rsidP="00495C65">
      <w:pPr>
        <w:pStyle w:val="13"/>
      </w:pPr>
      <w:r>
        <w:rPr>
          <w:rFonts w:hint="eastAsia"/>
        </w:rPr>
        <w:t>对于交易资料充足的测算单元，可利用样点修正价格的算术平均值作为该区域的海域基准价格；对于交易资料欠缺的测算单元，可将其与已有基准价格的同类区域进行价格影响因素比较和修正，以此确定该区域的海域基准价格。</w:t>
      </w:r>
    </w:p>
    <w:p w14:paraId="505B08BC" w14:textId="77777777" w:rsidR="00495C65" w:rsidRDefault="00495C65" w:rsidP="00495C65">
      <w:pPr>
        <w:pStyle w:val="13"/>
      </w:pPr>
      <w:r>
        <w:t>5.3.5 建立海域基准价格修正体系</w:t>
      </w:r>
    </w:p>
    <w:p w14:paraId="4F6AE598" w14:textId="77777777" w:rsidR="00495C65" w:rsidRDefault="00495C65" w:rsidP="00495C65">
      <w:pPr>
        <w:pStyle w:val="13"/>
      </w:pPr>
      <w:r>
        <w:rPr>
          <w:rFonts w:hint="eastAsia"/>
        </w:rPr>
        <w:t>采用特尔斐法确定海域基准价格修正系数表的因素及其权重。将测算单元内样点价格的最高值、最低值与海域基准价格</w:t>
      </w:r>
      <w:proofErr w:type="gramStart"/>
      <w:r>
        <w:rPr>
          <w:rFonts w:hint="eastAsia"/>
        </w:rPr>
        <w:t>做相对</w:t>
      </w:r>
      <w:proofErr w:type="gramEnd"/>
      <w:r>
        <w:rPr>
          <w:rFonts w:hint="eastAsia"/>
        </w:rPr>
        <w:t>比较，得到相对于海域基准价格的最高和最低修正幅度，并按等间隔划分出五个档次。根据档次和影响因素的权重，将修正幅度分解到各影响因素上，得到修正系数，并确定对应的影响因素指标条件。</w:t>
      </w:r>
    </w:p>
    <w:p w14:paraId="52F6D521" w14:textId="77777777" w:rsidR="00495C65" w:rsidRDefault="00495C65" w:rsidP="00495C65">
      <w:pPr>
        <w:pStyle w:val="13"/>
      </w:pPr>
      <w:r>
        <w:t>5.3.6 编制海域基准价格评估成果</w:t>
      </w:r>
    </w:p>
    <w:p w14:paraId="625B35D1" w14:textId="77777777" w:rsidR="00495C65" w:rsidRDefault="00495C65" w:rsidP="00495C65">
      <w:pPr>
        <w:pStyle w:val="13"/>
      </w:pPr>
      <w:r>
        <w:rPr>
          <w:rFonts w:hint="eastAsia"/>
        </w:rPr>
        <w:t>海域基准价格评估成果应包括海域基准价格评估报告、海域基准价格图、海域基准价格表、海域基准价格修正系数表和因素指标条件说明表。</w:t>
      </w:r>
    </w:p>
    <w:p w14:paraId="602C832B" w14:textId="77777777" w:rsidR="00495C65" w:rsidRDefault="00495C65" w:rsidP="00495C65">
      <w:pPr>
        <w:pStyle w:val="13"/>
      </w:pPr>
      <w:r>
        <w:t>5.3.7 海域基准价格评估成果验收和公布</w:t>
      </w:r>
    </w:p>
    <w:p w14:paraId="26B0E635" w14:textId="77777777" w:rsidR="00495C65" w:rsidRDefault="00495C65" w:rsidP="00495C65">
      <w:pPr>
        <w:pStyle w:val="13"/>
      </w:pPr>
      <w:r>
        <w:rPr>
          <w:rFonts w:hint="eastAsia"/>
        </w:rPr>
        <w:t>海域基准价格评估成果应由省级海洋管理部门组织专家组进行验收，经审核、备案后，向社会公布。</w:t>
      </w:r>
    </w:p>
    <w:p w14:paraId="6B7C5412" w14:textId="77777777" w:rsidR="00495C65" w:rsidRDefault="00495C65" w:rsidP="00495C65">
      <w:pPr>
        <w:pStyle w:val="13"/>
      </w:pPr>
      <w:r>
        <w:rPr>
          <w:rFonts w:hint="eastAsia"/>
        </w:rPr>
        <w:t>附录</w:t>
      </w:r>
      <w:r>
        <w:t>A海域价格评估报告规范格式</w:t>
      </w:r>
    </w:p>
    <w:p w14:paraId="1BB2280F" w14:textId="77777777" w:rsidR="00495C65" w:rsidRDefault="00495C65" w:rsidP="00495C65">
      <w:pPr>
        <w:pStyle w:val="13"/>
      </w:pPr>
      <w:r>
        <w:rPr>
          <w:rFonts w:hint="eastAsia"/>
        </w:rPr>
        <w:t>海域价格评估报告</w:t>
      </w:r>
    </w:p>
    <w:p w14:paraId="1CB7821F" w14:textId="77777777" w:rsidR="00495C65" w:rsidRDefault="00495C65" w:rsidP="00495C65">
      <w:pPr>
        <w:pStyle w:val="13"/>
      </w:pPr>
      <w:r>
        <w:rPr>
          <w:rFonts w:hint="eastAsia"/>
        </w:rPr>
        <w:t>项目名称：（说明评估项目的全称）</w:t>
      </w:r>
    </w:p>
    <w:p w14:paraId="47079B5B" w14:textId="77777777" w:rsidR="00495C65" w:rsidRDefault="00495C65" w:rsidP="00495C65">
      <w:pPr>
        <w:pStyle w:val="13"/>
      </w:pPr>
      <w:r>
        <w:rPr>
          <w:rFonts w:hint="eastAsia"/>
        </w:rPr>
        <w:t>委托评估方：（说明委托评估的单位）</w:t>
      </w:r>
    </w:p>
    <w:p w14:paraId="09DFBF77" w14:textId="77777777" w:rsidR="00495C65" w:rsidRDefault="00495C65" w:rsidP="00495C65">
      <w:pPr>
        <w:pStyle w:val="13"/>
      </w:pPr>
      <w:r>
        <w:rPr>
          <w:rFonts w:hint="eastAsia"/>
        </w:rPr>
        <w:t>评估机构：（说明承担该项评估的机构名称）</w:t>
      </w:r>
    </w:p>
    <w:p w14:paraId="67C0DDB1" w14:textId="77777777" w:rsidR="00495C65" w:rsidRDefault="00495C65" w:rsidP="00495C65">
      <w:pPr>
        <w:pStyle w:val="13"/>
      </w:pPr>
      <w:r>
        <w:rPr>
          <w:rFonts w:hint="eastAsia"/>
        </w:rPr>
        <w:t>评估报告编号：（说明该评估机构对该项目的编号）</w:t>
      </w:r>
    </w:p>
    <w:p w14:paraId="6D05C89B" w14:textId="77777777" w:rsidR="00495C65" w:rsidRDefault="00495C65" w:rsidP="00495C65">
      <w:pPr>
        <w:pStyle w:val="13"/>
      </w:pPr>
      <w:r>
        <w:rPr>
          <w:rFonts w:hint="eastAsia"/>
        </w:rPr>
        <w:t>提交报告日期：（说明海域价格评估报告提交的具体日期）</w:t>
      </w:r>
    </w:p>
    <w:p w14:paraId="11EDE570" w14:textId="77777777" w:rsidR="00495C65" w:rsidRDefault="00495C65" w:rsidP="00495C65">
      <w:pPr>
        <w:pStyle w:val="13"/>
      </w:pPr>
      <w:r>
        <w:rPr>
          <w:rFonts w:hint="eastAsia"/>
        </w:rPr>
        <w:t>第一部分摘要</w:t>
      </w:r>
    </w:p>
    <w:p w14:paraId="6E87A85E" w14:textId="77777777" w:rsidR="00495C65" w:rsidRDefault="00495C65" w:rsidP="00495C65">
      <w:pPr>
        <w:pStyle w:val="13"/>
      </w:pPr>
      <w:r>
        <w:rPr>
          <w:rFonts w:hint="eastAsia"/>
        </w:rPr>
        <w:t>一、评估项目名称</w:t>
      </w:r>
    </w:p>
    <w:p w14:paraId="6552FE34" w14:textId="77777777" w:rsidR="00495C65" w:rsidRDefault="00495C65" w:rsidP="00495C65">
      <w:pPr>
        <w:pStyle w:val="13"/>
      </w:pPr>
      <w:r>
        <w:rPr>
          <w:rFonts w:hint="eastAsia"/>
        </w:rPr>
        <w:t>与封面文字一致。</w:t>
      </w:r>
    </w:p>
    <w:p w14:paraId="3BEF0C00" w14:textId="77777777" w:rsidR="00495C65" w:rsidRDefault="00495C65" w:rsidP="00495C65">
      <w:pPr>
        <w:pStyle w:val="13"/>
      </w:pPr>
      <w:r>
        <w:rPr>
          <w:rFonts w:hint="eastAsia"/>
        </w:rPr>
        <w:t>二、委托评估方</w:t>
      </w:r>
    </w:p>
    <w:p w14:paraId="5CAC202F" w14:textId="77777777" w:rsidR="00495C65" w:rsidRDefault="00495C65" w:rsidP="00495C65">
      <w:pPr>
        <w:pStyle w:val="13"/>
      </w:pPr>
      <w:r>
        <w:rPr>
          <w:rFonts w:hint="eastAsia"/>
        </w:rPr>
        <w:t>说明该项评估的委托单位或个人。</w:t>
      </w:r>
    </w:p>
    <w:p w14:paraId="525B9027" w14:textId="77777777" w:rsidR="00495C65" w:rsidRDefault="00495C65" w:rsidP="00495C65">
      <w:pPr>
        <w:pStyle w:val="13"/>
      </w:pPr>
      <w:r>
        <w:rPr>
          <w:rFonts w:hint="eastAsia"/>
        </w:rPr>
        <w:t>三、评估目的</w:t>
      </w:r>
    </w:p>
    <w:p w14:paraId="1DB60348" w14:textId="77777777" w:rsidR="00495C65" w:rsidRDefault="00495C65" w:rsidP="00495C65">
      <w:pPr>
        <w:pStyle w:val="13"/>
      </w:pPr>
      <w:r>
        <w:rPr>
          <w:rFonts w:hint="eastAsia"/>
        </w:rPr>
        <w:t>说明委托评估方的评估需求以及评估结果的使用方向。</w:t>
      </w:r>
    </w:p>
    <w:p w14:paraId="6AA8B633" w14:textId="77777777" w:rsidR="00495C65" w:rsidRDefault="00495C65" w:rsidP="00495C65">
      <w:pPr>
        <w:pStyle w:val="13"/>
      </w:pPr>
      <w:r>
        <w:rPr>
          <w:rFonts w:hint="eastAsia"/>
        </w:rPr>
        <w:t>四、评估对象</w:t>
      </w:r>
    </w:p>
    <w:p w14:paraId="6562A295" w14:textId="77777777" w:rsidR="00495C65" w:rsidRDefault="00495C65" w:rsidP="00495C65">
      <w:pPr>
        <w:pStyle w:val="13"/>
      </w:pPr>
      <w:r>
        <w:rPr>
          <w:rFonts w:hint="eastAsia"/>
        </w:rPr>
        <w:lastRenderedPageBreak/>
        <w:t>说明评估对象的位置、面积和用途，并明确评估对象是否包含附属用</w:t>
      </w:r>
      <w:proofErr w:type="gramStart"/>
      <w:r>
        <w:rPr>
          <w:rFonts w:hint="eastAsia"/>
        </w:rPr>
        <w:t>海设施</w:t>
      </w:r>
      <w:proofErr w:type="gramEnd"/>
      <w:r>
        <w:rPr>
          <w:rFonts w:hint="eastAsia"/>
        </w:rPr>
        <w:t>和海上构筑物。</w:t>
      </w:r>
    </w:p>
    <w:p w14:paraId="14042917" w14:textId="77777777" w:rsidR="00495C65" w:rsidRDefault="00495C65" w:rsidP="00495C65">
      <w:pPr>
        <w:pStyle w:val="13"/>
      </w:pPr>
      <w:r>
        <w:rPr>
          <w:rFonts w:hint="eastAsia"/>
        </w:rPr>
        <w:t>五、评估基准日</w:t>
      </w:r>
    </w:p>
    <w:p w14:paraId="7EA90D9A" w14:textId="77777777" w:rsidR="00495C65" w:rsidRDefault="00495C65" w:rsidP="00495C65">
      <w:pPr>
        <w:pStyle w:val="13"/>
      </w:pPr>
      <w:r>
        <w:rPr>
          <w:rFonts w:hint="eastAsia"/>
        </w:rPr>
        <w:t>说明评估结果对应的具体日期，格式为××××年××月××日。</w:t>
      </w:r>
    </w:p>
    <w:p w14:paraId="367BBA44" w14:textId="77777777" w:rsidR="00495C65" w:rsidRDefault="00495C65" w:rsidP="00495C65">
      <w:pPr>
        <w:pStyle w:val="13"/>
      </w:pPr>
      <w:r>
        <w:rPr>
          <w:rFonts w:hint="eastAsia"/>
        </w:rPr>
        <w:t>六、海域价格定义</w:t>
      </w:r>
    </w:p>
    <w:p w14:paraId="43A59D24" w14:textId="77777777" w:rsidR="00495C65" w:rsidRDefault="00495C65" w:rsidP="00495C65">
      <w:pPr>
        <w:pStyle w:val="13"/>
      </w:pPr>
      <w:r>
        <w:rPr>
          <w:rFonts w:hint="eastAsia"/>
        </w:rPr>
        <w:t>说明评估报告中海域价格的具体内涵，包括评估基准日、现状利用或规划利用条件、设定的开发程度与用途、使用年限以及是否包含附属用</w:t>
      </w:r>
      <w:proofErr w:type="gramStart"/>
      <w:r>
        <w:rPr>
          <w:rFonts w:hint="eastAsia"/>
        </w:rPr>
        <w:t>海设施</w:t>
      </w:r>
      <w:proofErr w:type="gramEnd"/>
      <w:r>
        <w:rPr>
          <w:rFonts w:hint="eastAsia"/>
        </w:rPr>
        <w:t>和海上构筑物等。</w:t>
      </w:r>
    </w:p>
    <w:p w14:paraId="438A5122" w14:textId="77777777" w:rsidR="00495C65" w:rsidRDefault="00495C65" w:rsidP="00495C65">
      <w:pPr>
        <w:pStyle w:val="13"/>
      </w:pPr>
      <w:r>
        <w:rPr>
          <w:rFonts w:hint="eastAsia"/>
        </w:rPr>
        <w:t>七、评估结果</w:t>
      </w:r>
    </w:p>
    <w:p w14:paraId="2C576423" w14:textId="77777777" w:rsidR="00495C65" w:rsidRDefault="00495C65" w:rsidP="00495C65">
      <w:pPr>
        <w:pStyle w:val="13"/>
      </w:pPr>
      <w:r>
        <w:rPr>
          <w:rFonts w:hint="eastAsia"/>
        </w:rPr>
        <w:t>以人民币表示最终评定的海域价格和单位面积价格，海域价格附大写金额。</w:t>
      </w:r>
    </w:p>
    <w:p w14:paraId="2FA963F0" w14:textId="77777777" w:rsidR="00495C65" w:rsidRDefault="00495C65" w:rsidP="00495C65">
      <w:pPr>
        <w:pStyle w:val="13"/>
      </w:pPr>
      <w:r>
        <w:rPr>
          <w:rFonts w:hint="eastAsia"/>
        </w:rPr>
        <w:t>海域评估人员签字：（签名，海域评估岗位培训证书编号）</w:t>
      </w:r>
    </w:p>
    <w:p w14:paraId="106BC422" w14:textId="77777777" w:rsidR="00495C65" w:rsidRDefault="00495C65" w:rsidP="00495C65">
      <w:pPr>
        <w:pStyle w:val="13"/>
      </w:pPr>
      <w:r>
        <w:rPr>
          <w:rFonts w:hint="eastAsia"/>
        </w:rPr>
        <w:t>×××××××××</w:t>
      </w:r>
    </w:p>
    <w:p w14:paraId="11500CF1" w14:textId="77777777" w:rsidR="00495C65" w:rsidRDefault="00495C65" w:rsidP="00495C65">
      <w:pPr>
        <w:pStyle w:val="13"/>
      </w:pPr>
      <w:r>
        <w:rPr>
          <w:rFonts w:hint="eastAsia"/>
        </w:rPr>
        <w:t>×××××××××</w:t>
      </w:r>
    </w:p>
    <w:p w14:paraId="470D430E" w14:textId="77777777" w:rsidR="00495C65" w:rsidRDefault="00495C65" w:rsidP="00495C65">
      <w:pPr>
        <w:pStyle w:val="13"/>
      </w:pPr>
      <w:r>
        <w:rPr>
          <w:rFonts w:hint="eastAsia"/>
        </w:rPr>
        <w:t>海域评估机构：（机构公章）</w:t>
      </w:r>
    </w:p>
    <w:p w14:paraId="62D25131" w14:textId="77777777" w:rsidR="00495C65" w:rsidRDefault="00495C65" w:rsidP="00495C65">
      <w:pPr>
        <w:pStyle w:val="13"/>
      </w:pPr>
      <w:r>
        <w:rPr>
          <w:rFonts w:hint="eastAsia"/>
        </w:rPr>
        <w:t>××××年××月××日</w:t>
      </w:r>
    </w:p>
    <w:p w14:paraId="3981AE3A" w14:textId="77777777" w:rsidR="00495C65" w:rsidRDefault="00495C65" w:rsidP="00495C65">
      <w:pPr>
        <w:pStyle w:val="13"/>
      </w:pPr>
      <w:r>
        <w:rPr>
          <w:rFonts w:hint="eastAsia"/>
        </w:rPr>
        <w:t>第二部分报告正文</w:t>
      </w:r>
    </w:p>
    <w:p w14:paraId="3F05B05A" w14:textId="77777777" w:rsidR="00495C65" w:rsidRDefault="00495C65" w:rsidP="00495C65">
      <w:pPr>
        <w:pStyle w:val="13"/>
      </w:pPr>
      <w:r>
        <w:rPr>
          <w:rFonts w:hint="eastAsia"/>
        </w:rPr>
        <w:t>一、评估的依据</w:t>
      </w:r>
    </w:p>
    <w:p w14:paraId="584B38E5" w14:textId="77777777" w:rsidR="00495C65" w:rsidRDefault="00495C65" w:rsidP="00495C65">
      <w:pPr>
        <w:pStyle w:val="13"/>
      </w:pPr>
      <w:r>
        <w:rPr>
          <w:rFonts w:hint="eastAsia"/>
        </w:rPr>
        <w:t>说明该项评估所依据的国家或地方有关法律、法规，采用的技术规程，委托方提供的有关材料，评估人员实地勘察、调查所获取的资料等。</w:t>
      </w:r>
    </w:p>
    <w:p w14:paraId="58D29EFA" w14:textId="77777777" w:rsidR="00495C65" w:rsidRDefault="00495C65" w:rsidP="00495C65">
      <w:pPr>
        <w:pStyle w:val="13"/>
      </w:pPr>
      <w:r>
        <w:rPr>
          <w:rFonts w:hint="eastAsia"/>
        </w:rPr>
        <w:t>二、评估对象概况</w:t>
      </w:r>
    </w:p>
    <w:p w14:paraId="2329CB57" w14:textId="77777777" w:rsidR="00495C65" w:rsidRDefault="00495C65" w:rsidP="00495C65">
      <w:pPr>
        <w:pStyle w:val="13"/>
      </w:pPr>
      <w:r>
        <w:rPr>
          <w:rFonts w:hint="eastAsia"/>
        </w:rPr>
        <w:t>（一）海域使用权登记情况</w:t>
      </w:r>
    </w:p>
    <w:p w14:paraId="156A9F60" w14:textId="77777777" w:rsidR="00495C65" w:rsidRDefault="00495C65" w:rsidP="00495C65">
      <w:pPr>
        <w:pStyle w:val="13"/>
      </w:pPr>
      <w:r>
        <w:rPr>
          <w:rFonts w:hint="eastAsia"/>
        </w:rPr>
        <w:t>说明评估对象的地理位置、四至、海域使用类型、用海方式、用海面积、海域使用权证书编号，海域使用金缴纳情况及其他事项。</w:t>
      </w:r>
    </w:p>
    <w:p w14:paraId="3670E664" w14:textId="77777777" w:rsidR="00495C65" w:rsidRDefault="00495C65" w:rsidP="00495C65">
      <w:pPr>
        <w:pStyle w:val="13"/>
      </w:pPr>
      <w:r>
        <w:rPr>
          <w:rFonts w:hint="eastAsia"/>
        </w:rPr>
        <w:t>（二）权利状况</w:t>
      </w:r>
    </w:p>
    <w:p w14:paraId="24434CDE" w14:textId="77777777" w:rsidR="00495C65" w:rsidRDefault="00495C65" w:rsidP="00495C65">
      <w:pPr>
        <w:pStyle w:val="13"/>
      </w:pPr>
      <w:r>
        <w:rPr>
          <w:rFonts w:hint="eastAsia"/>
        </w:rPr>
        <w:t>说明海域使用权取得时间、批准使用年限和剩余使用年限、海域是否被抵押、有无权利纠纷等情况。</w:t>
      </w:r>
    </w:p>
    <w:p w14:paraId="44E89F83" w14:textId="77777777" w:rsidR="00495C65" w:rsidRDefault="00495C65" w:rsidP="00495C65">
      <w:pPr>
        <w:pStyle w:val="13"/>
      </w:pPr>
      <w:r>
        <w:rPr>
          <w:rFonts w:hint="eastAsia"/>
        </w:rPr>
        <w:t>（三）利用状况</w:t>
      </w:r>
    </w:p>
    <w:p w14:paraId="2B3C4DA4" w14:textId="77777777" w:rsidR="00495C65" w:rsidRDefault="00495C65" w:rsidP="00495C65">
      <w:pPr>
        <w:pStyle w:val="13"/>
      </w:pPr>
      <w:r>
        <w:rPr>
          <w:rFonts w:hint="eastAsia"/>
        </w:rPr>
        <w:t>介绍海域开发利用现状、沿革及附属用</w:t>
      </w:r>
      <w:proofErr w:type="gramStart"/>
      <w:r>
        <w:rPr>
          <w:rFonts w:hint="eastAsia"/>
        </w:rPr>
        <w:t>海设施</w:t>
      </w:r>
      <w:proofErr w:type="gramEnd"/>
      <w:r>
        <w:rPr>
          <w:rFonts w:hint="eastAsia"/>
        </w:rPr>
        <w:t>和海上构筑物建设情况。</w:t>
      </w:r>
    </w:p>
    <w:p w14:paraId="437B5961" w14:textId="77777777" w:rsidR="00495C65" w:rsidRDefault="00495C65" w:rsidP="00495C65">
      <w:pPr>
        <w:pStyle w:val="13"/>
      </w:pPr>
      <w:r>
        <w:rPr>
          <w:rFonts w:hint="eastAsia"/>
        </w:rPr>
        <w:t>三、海域价格影响因素分析</w:t>
      </w:r>
    </w:p>
    <w:p w14:paraId="6E20BF0B" w14:textId="77777777" w:rsidR="00495C65" w:rsidRDefault="00495C65" w:rsidP="00495C65">
      <w:pPr>
        <w:pStyle w:val="13"/>
      </w:pPr>
      <w:r>
        <w:rPr>
          <w:rFonts w:hint="eastAsia"/>
        </w:rPr>
        <w:t>针对不同海域使用类型，通过定性与定量相结合的方式，重点分析海域质量和海域使用效益的主要影响因素及其影响程度、影响趋势，与本次评估相关性小的因素可作为参考。</w:t>
      </w:r>
    </w:p>
    <w:p w14:paraId="794DFCE8" w14:textId="77777777" w:rsidR="00495C65" w:rsidRDefault="00495C65" w:rsidP="00495C65">
      <w:pPr>
        <w:pStyle w:val="13"/>
      </w:pPr>
      <w:r>
        <w:rPr>
          <w:rFonts w:hint="eastAsia"/>
        </w:rPr>
        <w:t>在海域价格影响因素分析时，应做到描述客观，内涵准确，分析合理，参数有据。</w:t>
      </w:r>
    </w:p>
    <w:p w14:paraId="3FEC507C" w14:textId="77777777" w:rsidR="00495C65" w:rsidRDefault="00495C65" w:rsidP="00495C65">
      <w:pPr>
        <w:pStyle w:val="13"/>
      </w:pPr>
      <w:r>
        <w:rPr>
          <w:rFonts w:hint="eastAsia"/>
        </w:rPr>
        <w:t>四、海域评估的原则、方法和过程</w:t>
      </w:r>
    </w:p>
    <w:p w14:paraId="67D876CB" w14:textId="77777777" w:rsidR="00495C65" w:rsidRDefault="00495C65" w:rsidP="00495C65">
      <w:pPr>
        <w:pStyle w:val="13"/>
      </w:pPr>
      <w:r>
        <w:rPr>
          <w:rFonts w:hint="eastAsia"/>
        </w:rPr>
        <w:t>（一）评估原则</w:t>
      </w:r>
    </w:p>
    <w:p w14:paraId="76522A1A" w14:textId="77777777" w:rsidR="00495C65" w:rsidRDefault="00495C65" w:rsidP="00495C65">
      <w:pPr>
        <w:pStyle w:val="13"/>
      </w:pPr>
      <w:r>
        <w:rPr>
          <w:rFonts w:hint="eastAsia"/>
        </w:rPr>
        <w:lastRenderedPageBreak/>
        <w:t>简要说明该项评估所遵循的主要原则。</w:t>
      </w:r>
    </w:p>
    <w:p w14:paraId="492617EA" w14:textId="77777777" w:rsidR="00495C65" w:rsidRDefault="00495C65" w:rsidP="00495C65">
      <w:pPr>
        <w:pStyle w:val="13"/>
      </w:pPr>
      <w:r>
        <w:rPr>
          <w:rFonts w:hint="eastAsia"/>
        </w:rPr>
        <w:t>（二）评估方法和过程</w:t>
      </w:r>
    </w:p>
    <w:p w14:paraId="55703835" w14:textId="77777777" w:rsidR="00495C65" w:rsidRDefault="00495C65" w:rsidP="00495C65">
      <w:pPr>
        <w:pStyle w:val="13"/>
      </w:pPr>
      <w:r>
        <w:rPr>
          <w:rFonts w:hint="eastAsia"/>
        </w:rPr>
        <w:t>应针对不同评估方法说明参数取值依据和标准、计算过程和评估结果。</w:t>
      </w:r>
    </w:p>
    <w:p w14:paraId="4D293F0A" w14:textId="77777777" w:rsidR="00495C65" w:rsidRDefault="00495C65" w:rsidP="00495C65">
      <w:pPr>
        <w:pStyle w:val="13"/>
      </w:pPr>
      <w:r>
        <w:t>1.成本法</w:t>
      </w:r>
    </w:p>
    <w:p w14:paraId="42645127" w14:textId="77777777" w:rsidR="00495C65" w:rsidRDefault="00495C65" w:rsidP="00495C65">
      <w:pPr>
        <w:pStyle w:val="13"/>
      </w:pPr>
      <w:r>
        <w:rPr>
          <w:rFonts w:hint="eastAsia"/>
        </w:rPr>
        <w:t>（</w:t>
      </w:r>
      <w:r>
        <w:t>1）应明确海域取得费各组成项目及费用标准，并说明确定依据；</w:t>
      </w:r>
    </w:p>
    <w:p w14:paraId="1D8A1BF0" w14:textId="77777777" w:rsidR="00495C65" w:rsidRDefault="00495C65" w:rsidP="00495C65">
      <w:pPr>
        <w:pStyle w:val="13"/>
      </w:pPr>
      <w:r>
        <w:rPr>
          <w:rFonts w:hint="eastAsia"/>
        </w:rPr>
        <w:t>（</w:t>
      </w:r>
      <w:r>
        <w:t>2）应明确评估对象的开发状况、开发期限、开发费用标准，并说明依据；</w:t>
      </w:r>
    </w:p>
    <w:p w14:paraId="565E86B3" w14:textId="77777777" w:rsidR="00495C65" w:rsidRDefault="00495C65" w:rsidP="00495C65">
      <w:pPr>
        <w:pStyle w:val="13"/>
      </w:pPr>
      <w:r>
        <w:rPr>
          <w:rFonts w:hint="eastAsia"/>
        </w:rPr>
        <w:t>（</w:t>
      </w:r>
      <w:r>
        <w:t>3）应说明贷款利息、投资回报率、海域还原利率取值的依据、来源、分析计算过</w:t>
      </w:r>
      <w:r>
        <w:rPr>
          <w:rFonts w:hint="eastAsia"/>
        </w:rPr>
        <w:t>程；</w:t>
      </w:r>
    </w:p>
    <w:p w14:paraId="036269EE" w14:textId="77777777" w:rsidR="00495C65" w:rsidRDefault="00495C65" w:rsidP="00495C65">
      <w:pPr>
        <w:pStyle w:val="13"/>
      </w:pPr>
      <w:r>
        <w:rPr>
          <w:rFonts w:hint="eastAsia"/>
        </w:rPr>
        <w:t>（</w:t>
      </w:r>
      <w:r>
        <w:t>4）应说明计算公式和结果。</w:t>
      </w:r>
    </w:p>
    <w:p w14:paraId="71868E53" w14:textId="77777777" w:rsidR="00495C65" w:rsidRDefault="00495C65" w:rsidP="00495C65">
      <w:pPr>
        <w:pStyle w:val="13"/>
      </w:pPr>
      <w:r>
        <w:t>2.收益法</w:t>
      </w:r>
    </w:p>
    <w:p w14:paraId="520EEF33" w14:textId="77777777" w:rsidR="00495C65" w:rsidRDefault="00495C65" w:rsidP="00495C65">
      <w:pPr>
        <w:pStyle w:val="13"/>
      </w:pPr>
      <w:r>
        <w:rPr>
          <w:rFonts w:hint="eastAsia"/>
        </w:rPr>
        <w:t>（</w:t>
      </w:r>
      <w:r>
        <w:t>1）应说明年总收入的确定依据或计算方法和过程；</w:t>
      </w:r>
    </w:p>
    <w:p w14:paraId="21FB6AD8" w14:textId="77777777" w:rsidR="00495C65" w:rsidRDefault="00495C65" w:rsidP="00495C65">
      <w:pPr>
        <w:pStyle w:val="13"/>
      </w:pPr>
      <w:r>
        <w:rPr>
          <w:rFonts w:hint="eastAsia"/>
        </w:rPr>
        <w:t>（</w:t>
      </w:r>
      <w:r>
        <w:t>2）应明确年总费用各项构成的确定依据和方法；</w:t>
      </w:r>
    </w:p>
    <w:p w14:paraId="453EA8D9" w14:textId="77777777" w:rsidR="00495C65" w:rsidRDefault="00495C65" w:rsidP="00495C65">
      <w:pPr>
        <w:pStyle w:val="13"/>
      </w:pPr>
      <w:r>
        <w:rPr>
          <w:rFonts w:hint="eastAsia"/>
        </w:rPr>
        <w:t>（</w:t>
      </w:r>
      <w:r>
        <w:t>3）应说明海域年纯收益的测算依据和方法；</w:t>
      </w:r>
    </w:p>
    <w:p w14:paraId="0FE07882" w14:textId="77777777" w:rsidR="00495C65" w:rsidRDefault="00495C65" w:rsidP="00495C65">
      <w:pPr>
        <w:pStyle w:val="13"/>
      </w:pPr>
      <w:r>
        <w:rPr>
          <w:rFonts w:hint="eastAsia"/>
        </w:rPr>
        <w:t>（</w:t>
      </w:r>
      <w:r>
        <w:t>4）应说明海域还原利率和海域使用年限确定的方法和依据；</w:t>
      </w:r>
    </w:p>
    <w:p w14:paraId="317BC761" w14:textId="77777777" w:rsidR="00495C65" w:rsidRDefault="00495C65" w:rsidP="00495C65">
      <w:pPr>
        <w:pStyle w:val="13"/>
      </w:pPr>
      <w:r>
        <w:rPr>
          <w:rFonts w:hint="eastAsia"/>
        </w:rPr>
        <w:t>（</w:t>
      </w:r>
      <w:r>
        <w:t>5）应明确计算公式和评估结果。</w:t>
      </w:r>
    </w:p>
    <w:p w14:paraId="749C97E5" w14:textId="77777777" w:rsidR="00495C65" w:rsidRDefault="00495C65" w:rsidP="00495C65">
      <w:pPr>
        <w:pStyle w:val="13"/>
      </w:pPr>
      <w:r>
        <w:t>3.假设开发法</w:t>
      </w:r>
    </w:p>
    <w:p w14:paraId="367C2D38" w14:textId="77777777" w:rsidR="00495C65" w:rsidRDefault="00495C65" w:rsidP="00495C65">
      <w:pPr>
        <w:pStyle w:val="13"/>
      </w:pPr>
      <w:r>
        <w:rPr>
          <w:rFonts w:hint="eastAsia"/>
        </w:rPr>
        <w:t>（</w:t>
      </w:r>
      <w:r>
        <w:t>1）应综合分析评估对象条件、利用现状、区划、规划等限制条件，确定海域最有</w:t>
      </w:r>
      <w:r>
        <w:rPr>
          <w:rFonts w:hint="eastAsia"/>
        </w:rPr>
        <w:t>效利用方式；</w:t>
      </w:r>
    </w:p>
    <w:p w14:paraId="54DF8F17" w14:textId="77777777" w:rsidR="00495C65" w:rsidRDefault="00495C65" w:rsidP="00495C65">
      <w:pPr>
        <w:pStyle w:val="13"/>
      </w:pPr>
      <w:r>
        <w:rPr>
          <w:rFonts w:hint="eastAsia"/>
        </w:rPr>
        <w:t>（</w:t>
      </w:r>
      <w:r>
        <w:t>2）应明确评估对象开发完成后的利用方式，并依据当前市场状况估算海域开发</w:t>
      </w:r>
      <w:r>
        <w:rPr>
          <w:rFonts w:hint="eastAsia"/>
        </w:rPr>
        <w:t>后的总价值，说明估算方法和依据；</w:t>
      </w:r>
    </w:p>
    <w:p w14:paraId="1F8145B7" w14:textId="77777777" w:rsidR="00495C65" w:rsidRDefault="00495C65" w:rsidP="00495C65">
      <w:pPr>
        <w:pStyle w:val="13"/>
      </w:pPr>
      <w:r>
        <w:rPr>
          <w:rFonts w:hint="eastAsia"/>
        </w:rPr>
        <w:t>（</w:t>
      </w:r>
      <w:r>
        <w:t>3）应说明评估中涉及的海域取得费、海域开发费确定依据和方法；</w:t>
      </w:r>
    </w:p>
    <w:p w14:paraId="3D5C4796" w14:textId="77777777" w:rsidR="00495C65" w:rsidRDefault="00495C65" w:rsidP="00495C65">
      <w:pPr>
        <w:pStyle w:val="13"/>
      </w:pPr>
      <w:r>
        <w:rPr>
          <w:rFonts w:hint="eastAsia"/>
        </w:rPr>
        <w:t>（</w:t>
      </w:r>
      <w:r>
        <w:t>4）应说明开发周期、利息、税费、利润选择依据；</w:t>
      </w:r>
    </w:p>
    <w:p w14:paraId="1833119F" w14:textId="77777777" w:rsidR="00495C65" w:rsidRDefault="00495C65" w:rsidP="00495C65">
      <w:pPr>
        <w:pStyle w:val="13"/>
      </w:pPr>
      <w:r>
        <w:rPr>
          <w:rFonts w:hint="eastAsia"/>
        </w:rPr>
        <w:t>（</w:t>
      </w:r>
      <w:r>
        <w:t>5）应说明计算公式和结果。</w:t>
      </w:r>
    </w:p>
    <w:p w14:paraId="7A37C937" w14:textId="77777777" w:rsidR="00495C65" w:rsidRDefault="00495C65" w:rsidP="00495C65">
      <w:pPr>
        <w:pStyle w:val="13"/>
      </w:pPr>
      <w:r>
        <w:t>4.市场比较法</w:t>
      </w:r>
    </w:p>
    <w:p w14:paraId="492F359F" w14:textId="77777777" w:rsidR="00495C65" w:rsidRDefault="00495C65" w:rsidP="00495C65">
      <w:pPr>
        <w:pStyle w:val="13"/>
      </w:pPr>
      <w:r>
        <w:rPr>
          <w:rFonts w:hint="eastAsia"/>
        </w:rPr>
        <w:t>（</w:t>
      </w:r>
      <w:r>
        <w:t>1）应说明比较实例选择的依据和原则；</w:t>
      </w:r>
    </w:p>
    <w:p w14:paraId="3328EB4E" w14:textId="77777777" w:rsidR="00495C65" w:rsidRDefault="00495C65" w:rsidP="00495C65">
      <w:pPr>
        <w:pStyle w:val="13"/>
      </w:pPr>
      <w:r>
        <w:rPr>
          <w:rFonts w:hint="eastAsia"/>
        </w:rPr>
        <w:t>（</w:t>
      </w:r>
      <w:r>
        <w:t>2）应说明比较因素选择依据；</w:t>
      </w:r>
    </w:p>
    <w:p w14:paraId="43D7E14F" w14:textId="77777777" w:rsidR="00495C65" w:rsidRDefault="00495C65" w:rsidP="00495C65">
      <w:pPr>
        <w:pStyle w:val="13"/>
      </w:pPr>
      <w:r>
        <w:rPr>
          <w:rFonts w:hint="eastAsia"/>
        </w:rPr>
        <w:t>（</w:t>
      </w:r>
      <w:r>
        <w:t>3）应说明评估对象和比较实例的各因素条件；</w:t>
      </w:r>
    </w:p>
    <w:p w14:paraId="4BEB6299" w14:textId="77777777" w:rsidR="00495C65" w:rsidRDefault="00495C65" w:rsidP="00495C65">
      <w:pPr>
        <w:pStyle w:val="13"/>
      </w:pPr>
      <w:r>
        <w:rPr>
          <w:rFonts w:hint="eastAsia"/>
        </w:rPr>
        <w:t>（</w:t>
      </w:r>
      <w:r>
        <w:t>4）应编制比较因素条件指数表；</w:t>
      </w:r>
    </w:p>
    <w:p w14:paraId="20326BB0" w14:textId="77777777" w:rsidR="00495C65" w:rsidRDefault="00495C65" w:rsidP="00495C65">
      <w:pPr>
        <w:pStyle w:val="13"/>
      </w:pPr>
      <w:r>
        <w:rPr>
          <w:rFonts w:hint="eastAsia"/>
        </w:rPr>
        <w:t>（</w:t>
      </w:r>
      <w:r>
        <w:t>5）应在各因素条件指数表的基础上，进行比较实例的评估基准日修正、交易情况</w:t>
      </w:r>
      <w:r>
        <w:rPr>
          <w:rFonts w:hint="eastAsia"/>
        </w:rPr>
        <w:t>修正、影响因素修正和年期修正；</w:t>
      </w:r>
    </w:p>
    <w:p w14:paraId="495A0C30" w14:textId="77777777" w:rsidR="00495C65" w:rsidRDefault="00495C65" w:rsidP="00495C65">
      <w:pPr>
        <w:pStyle w:val="13"/>
      </w:pPr>
      <w:r>
        <w:rPr>
          <w:rFonts w:hint="eastAsia"/>
        </w:rPr>
        <w:t>（</w:t>
      </w:r>
      <w:r>
        <w:t>6）应说明计算公式和结果。</w:t>
      </w:r>
    </w:p>
    <w:p w14:paraId="1E9271B2" w14:textId="77777777" w:rsidR="00495C65" w:rsidRDefault="00495C65" w:rsidP="00495C65">
      <w:pPr>
        <w:pStyle w:val="13"/>
      </w:pPr>
      <w:r>
        <w:t>5.海域基准价格修正系数法</w:t>
      </w:r>
    </w:p>
    <w:p w14:paraId="73206E7C" w14:textId="77777777" w:rsidR="00495C65" w:rsidRDefault="00495C65" w:rsidP="00495C65">
      <w:pPr>
        <w:pStyle w:val="13"/>
      </w:pPr>
      <w:r>
        <w:rPr>
          <w:rFonts w:hint="eastAsia"/>
        </w:rPr>
        <w:t>（</w:t>
      </w:r>
      <w:r>
        <w:t>1）应说明海域基准价格公布的时间、批准文号、批准机关、海域基准价格的内</w:t>
      </w:r>
      <w:r>
        <w:rPr>
          <w:rFonts w:hint="eastAsia"/>
        </w:rPr>
        <w:t>涵；</w:t>
      </w:r>
    </w:p>
    <w:p w14:paraId="3E3B8D6C" w14:textId="77777777" w:rsidR="00495C65" w:rsidRDefault="00495C65" w:rsidP="00495C65">
      <w:pPr>
        <w:pStyle w:val="13"/>
      </w:pPr>
      <w:r>
        <w:rPr>
          <w:rFonts w:hint="eastAsia"/>
        </w:rPr>
        <w:lastRenderedPageBreak/>
        <w:t>（</w:t>
      </w:r>
      <w:r>
        <w:t>2）应说明评估对象所在位置、海域使用类型、所在区域的海域基准价格及对应因</w:t>
      </w:r>
      <w:r>
        <w:rPr>
          <w:rFonts w:hint="eastAsia"/>
        </w:rPr>
        <w:t>素修正幅度表和因素条件说明表；</w:t>
      </w:r>
    </w:p>
    <w:p w14:paraId="0DAD442D" w14:textId="77777777" w:rsidR="00495C65" w:rsidRDefault="00495C65" w:rsidP="00495C65">
      <w:pPr>
        <w:pStyle w:val="13"/>
      </w:pPr>
      <w:r>
        <w:rPr>
          <w:rFonts w:hint="eastAsia"/>
        </w:rPr>
        <w:t>（</w:t>
      </w:r>
      <w:r>
        <w:t>3）应说明评估对象各项因素的具体条件；</w:t>
      </w:r>
    </w:p>
    <w:p w14:paraId="4B1D20F4" w14:textId="77777777" w:rsidR="00495C65" w:rsidRDefault="00495C65" w:rsidP="00495C65">
      <w:pPr>
        <w:pStyle w:val="13"/>
      </w:pPr>
      <w:r>
        <w:rPr>
          <w:rFonts w:hint="eastAsia"/>
        </w:rPr>
        <w:t>（</w:t>
      </w:r>
      <w:r>
        <w:t>4）应明确评估对象各因素的修正系数和综合修正系数；</w:t>
      </w:r>
    </w:p>
    <w:p w14:paraId="378609BB" w14:textId="77777777" w:rsidR="00495C65" w:rsidRDefault="00495C65" w:rsidP="00495C65">
      <w:pPr>
        <w:pStyle w:val="13"/>
      </w:pPr>
      <w:r>
        <w:rPr>
          <w:rFonts w:hint="eastAsia"/>
        </w:rPr>
        <w:t>（</w:t>
      </w:r>
      <w:r>
        <w:t>5）应说明评估基准日、海域使用年期、交易情况修正系数的确定方法和依据；</w:t>
      </w:r>
    </w:p>
    <w:p w14:paraId="2C3023A6" w14:textId="77777777" w:rsidR="00495C65" w:rsidRDefault="00495C65" w:rsidP="00495C65">
      <w:pPr>
        <w:pStyle w:val="13"/>
      </w:pPr>
      <w:r>
        <w:rPr>
          <w:rFonts w:hint="eastAsia"/>
        </w:rPr>
        <w:t>（</w:t>
      </w:r>
      <w:r>
        <w:t>6）应说明计算公式和结果。</w:t>
      </w:r>
    </w:p>
    <w:p w14:paraId="4DD4738A" w14:textId="77777777" w:rsidR="00495C65" w:rsidRDefault="00495C65" w:rsidP="00495C65">
      <w:pPr>
        <w:pStyle w:val="13"/>
      </w:pPr>
      <w:r>
        <w:rPr>
          <w:rFonts w:hint="eastAsia"/>
        </w:rPr>
        <w:t>五、海域价格的确定</w:t>
      </w:r>
    </w:p>
    <w:p w14:paraId="6A6165F9" w14:textId="77777777" w:rsidR="00495C65" w:rsidRDefault="00495C65" w:rsidP="00495C65">
      <w:pPr>
        <w:pStyle w:val="13"/>
      </w:pPr>
      <w:r>
        <w:rPr>
          <w:rFonts w:hint="eastAsia"/>
        </w:rPr>
        <w:t>采用一种方法评估的，测算价格为最终海域价格。多种方法评估的，可用加权平均等方法评定最终结果。海域出让评估应明确海域开发费、专业费、补偿费、业务费、其他费用等内容。海域转让评估应明确海域转让前的取得价格、附属用</w:t>
      </w:r>
      <w:proofErr w:type="gramStart"/>
      <w:r>
        <w:rPr>
          <w:rFonts w:hint="eastAsia"/>
        </w:rPr>
        <w:t>海设施</w:t>
      </w:r>
      <w:proofErr w:type="gramEnd"/>
      <w:r>
        <w:rPr>
          <w:rFonts w:hint="eastAsia"/>
        </w:rPr>
        <w:t>和海上构筑物</w:t>
      </w:r>
      <w:proofErr w:type="gramStart"/>
      <w:r>
        <w:rPr>
          <w:rFonts w:hint="eastAsia"/>
        </w:rPr>
        <w:t>重置费</w:t>
      </w:r>
      <w:proofErr w:type="gramEnd"/>
      <w:r>
        <w:rPr>
          <w:rFonts w:hint="eastAsia"/>
        </w:rPr>
        <w:t>以及转让增值收益等内容。最终结果以人民币注明海域价格和单价，海域价格应附大写金额。</w:t>
      </w:r>
    </w:p>
    <w:p w14:paraId="3591F06D" w14:textId="77777777" w:rsidR="00495C65" w:rsidRDefault="00495C65" w:rsidP="00495C65">
      <w:pPr>
        <w:pStyle w:val="13"/>
      </w:pPr>
      <w:r>
        <w:rPr>
          <w:rFonts w:hint="eastAsia"/>
        </w:rPr>
        <w:t>六、需要说明的事项</w:t>
      </w:r>
    </w:p>
    <w:p w14:paraId="3AC15FD0" w14:textId="77777777" w:rsidR="00495C65" w:rsidRDefault="00495C65" w:rsidP="00495C65">
      <w:pPr>
        <w:pStyle w:val="13"/>
      </w:pPr>
      <w:r>
        <w:rPr>
          <w:rFonts w:hint="eastAsia"/>
        </w:rPr>
        <w:t>（一）评估的前提条件和假设条件</w:t>
      </w:r>
    </w:p>
    <w:p w14:paraId="27857CB7" w14:textId="77777777" w:rsidR="00495C65" w:rsidRDefault="00495C65" w:rsidP="00495C65">
      <w:pPr>
        <w:pStyle w:val="13"/>
      </w:pPr>
      <w:r>
        <w:rPr>
          <w:rFonts w:hint="eastAsia"/>
        </w:rPr>
        <w:t>说明本次评估结果成立的前提条件、假设条件。</w:t>
      </w:r>
    </w:p>
    <w:p w14:paraId="470E3D44" w14:textId="77777777" w:rsidR="00495C65" w:rsidRDefault="00495C65" w:rsidP="00495C65">
      <w:pPr>
        <w:pStyle w:val="13"/>
      </w:pPr>
      <w:r>
        <w:rPr>
          <w:rFonts w:hint="eastAsia"/>
        </w:rPr>
        <w:t>（二）评估结果和评估报告的使用</w:t>
      </w:r>
    </w:p>
    <w:p w14:paraId="085129CE" w14:textId="77777777" w:rsidR="00495C65" w:rsidRDefault="00495C65" w:rsidP="00495C65">
      <w:pPr>
        <w:pStyle w:val="13"/>
      </w:pPr>
      <w:r>
        <w:t>1.评估结果和评估报告发生效力的法律依据；</w:t>
      </w:r>
    </w:p>
    <w:p w14:paraId="2CBD7DFB" w14:textId="77777777" w:rsidR="00495C65" w:rsidRDefault="00495C65" w:rsidP="00495C65">
      <w:pPr>
        <w:pStyle w:val="13"/>
      </w:pPr>
      <w:r>
        <w:t>2.评估结果和评估报告使用的方向和限制条件；</w:t>
      </w:r>
    </w:p>
    <w:p w14:paraId="7C96DE39" w14:textId="77777777" w:rsidR="00495C65" w:rsidRDefault="00495C65" w:rsidP="00495C65">
      <w:pPr>
        <w:pStyle w:val="13"/>
      </w:pPr>
      <w:r>
        <w:t>3.评估报告的有效期自评估基准日起不超过1年。</w:t>
      </w:r>
    </w:p>
    <w:p w14:paraId="42D81AF5" w14:textId="77777777" w:rsidR="00495C65" w:rsidRDefault="00495C65" w:rsidP="00495C65">
      <w:pPr>
        <w:pStyle w:val="13"/>
      </w:pPr>
      <w:r>
        <w:rPr>
          <w:rFonts w:hint="eastAsia"/>
        </w:rPr>
        <w:t>（三）需要特殊说明的事项</w:t>
      </w:r>
    </w:p>
    <w:p w14:paraId="778EF25B" w14:textId="77777777" w:rsidR="00495C65" w:rsidRDefault="00495C65" w:rsidP="00495C65">
      <w:pPr>
        <w:pStyle w:val="13"/>
      </w:pPr>
      <w:r>
        <w:t>1.有关材料来源及未经证实或无法实地确认的资料和事项；</w:t>
      </w:r>
    </w:p>
    <w:p w14:paraId="41F48698" w14:textId="77777777" w:rsidR="00495C65" w:rsidRDefault="00495C65" w:rsidP="00495C65">
      <w:pPr>
        <w:pStyle w:val="13"/>
      </w:pPr>
      <w:r>
        <w:t>2.评估对象的特殊性、评估中未考虑的因素及采取的特殊处理措施；</w:t>
      </w:r>
    </w:p>
    <w:p w14:paraId="5CDC40AC" w14:textId="77777777" w:rsidR="00495C65" w:rsidRDefault="00495C65" w:rsidP="00495C65">
      <w:pPr>
        <w:pStyle w:val="13"/>
      </w:pPr>
      <w:r>
        <w:t>3.其他需要特殊说明的问题。</w:t>
      </w:r>
    </w:p>
    <w:p w14:paraId="08A9DCF5" w14:textId="77777777" w:rsidR="00495C65" w:rsidRDefault="00495C65" w:rsidP="00495C65">
      <w:pPr>
        <w:pStyle w:val="13"/>
      </w:pPr>
      <w:r>
        <w:rPr>
          <w:rFonts w:hint="eastAsia"/>
        </w:rPr>
        <w:t>第三部分附件</w:t>
      </w:r>
    </w:p>
    <w:p w14:paraId="778E47A4" w14:textId="77777777" w:rsidR="00495C65" w:rsidRDefault="00495C65" w:rsidP="00495C65">
      <w:pPr>
        <w:pStyle w:val="13"/>
      </w:pPr>
      <w:r>
        <w:rPr>
          <w:rFonts w:hint="eastAsia"/>
        </w:rPr>
        <w:t>一、评估委托书</w:t>
      </w:r>
    </w:p>
    <w:p w14:paraId="285F57F7" w14:textId="77777777" w:rsidR="00495C65" w:rsidRDefault="00495C65" w:rsidP="00495C65">
      <w:pPr>
        <w:pStyle w:val="13"/>
      </w:pPr>
      <w:r>
        <w:rPr>
          <w:rFonts w:hint="eastAsia"/>
        </w:rPr>
        <w:t>二、委托评估方证明材料</w:t>
      </w:r>
    </w:p>
    <w:p w14:paraId="6CBE5C18" w14:textId="77777777" w:rsidR="00495C65" w:rsidRDefault="00495C65" w:rsidP="00495C65">
      <w:pPr>
        <w:pStyle w:val="13"/>
      </w:pPr>
      <w:r>
        <w:rPr>
          <w:rFonts w:hint="eastAsia"/>
        </w:rPr>
        <w:t>三、评估机构证明材料</w:t>
      </w:r>
    </w:p>
    <w:p w14:paraId="5DDFFBDA" w14:textId="77777777" w:rsidR="00495C65" w:rsidRDefault="00495C65" w:rsidP="00495C65">
      <w:pPr>
        <w:pStyle w:val="13"/>
      </w:pPr>
      <w:r>
        <w:rPr>
          <w:rFonts w:hint="eastAsia"/>
        </w:rPr>
        <w:t>四、评估对象权属及有关背景材料</w:t>
      </w:r>
    </w:p>
    <w:p w14:paraId="74CDD334" w14:textId="77777777" w:rsidR="00495C65" w:rsidRDefault="00495C65" w:rsidP="00495C65">
      <w:pPr>
        <w:pStyle w:val="13"/>
      </w:pPr>
      <w:r>
        <w:rPr>
          <w:rFonts w:hint="eastAsia"/>
        </w:rPr>
        <w:t>五、现场勘察资料</w:t>
      </w:r>
    </w:p>
    <w:p w14:paraId="172C5925" w14:textId="77777777" w:rsidR="00495C65" w:rsidRDefault="00495C65" w:rsidP="00495C65">
      <w:pPr>
        <w:pStyle w:val="13"/>
      </w:pPr>
      <w:r>
        <w:rPr>
          <w:rFonts w:hint="eastAsia"/>
        </w:rPr>
        <w:t>附录</w:t>
      </w:r>
      <w:r>
        <w:t>B海域价格评估计算公式</w:t>
      </w:r>
    </w:p>
    <w:p w14:paraId="1B649F9C" w14:textId="77777777" w:rsidR="00495C65" w:rsidRDefault="00495C65" w:rsidP="00495C65">
      <w:pPr>
        <w:pStyle w:val="13"/>
      </w:pPr>
      <w:r>
        <w:t>B.1收益法</w:t>
      </w:r>
    </w:p>
    <w:p w14:paraId="7E4BDBDD" w14:textId="77777777" w:rsidR="00495C65" w:rsidRDefault="00495C65" w:rsidP="00495C65">
      <w:pPr>
        <w:pStyle w:val="13"/>
      </w:pPr>
      <w:r>
        <w:t>1.计算公式</w:t>
      </w:r>
    </w:p>
    <w:p w14:paraId="3F3EB654" w14:textId="77777777" w:rsidR="00495C65" w:rsidRDefault="00495C65" w:rsidP="00495C65">
      <w:pPr>
        <w:pStyle w:val="13"/>
        <w:jc w:val="center"/>
      </w:pPr>
      <w:r>
        <w:rPr>
          <w:rFonts w:hint="eastAsia"/>
          <w:noProof/>
        </w:rPr>
        <w:drawing>
          <wp:inline distT="0" distB="0" distL="0" distR="0" wp14:anchorId="161B200C" wp14:editId="29A93CC2">
            <wp:extent cx="2172361" cy="569343"/>
            <wp:effectExtent l="0" t="0" r="0" b="2540"/>
            <wp:docPr id="3286" name="图片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222764" cy="582553"/>
                    </a:xfrm>
                    <a:prstGeom prst="rect">
                      <a:avLst/>
                    </a:prstGeom>
                  </pic:spPr>
                </pic:pic>
              </a:graphicData>
            </a:graphic>
          </wp:inline>
        </w:drawing>
      </w:r>
    </w:p>
    <w:p w14:paraId="63E596E5" w14:textId="77777777" w:rsidR="00495C65" w:rsidRDefault="00495C65" w:rsidP="00495C65">
      <w:pPr>
        <w:pStyle w:val="13"/>
      </w:pPr>
      <w:r>
        <w:rPr>
          <w:rFonts w:hint="eastAsia"/>
        </w:rPr>
        <w:lastRenderedPageBreak/>
        <w:t>式中：</w:t>
      </w:r>
    </w:p>
    <w:p w14:paraId="79DABBFC" w14:textId="77777777" w:rsidR="00495C65" w:rsidRDefault="00495C65" w:rsidP="00495C65">
      <w:pPr>
        <w:pStyle w:val="13"/>
      </w:pPr>
      <w:r>
        <w:t>P——海域价格；</w:t>
      </w:r>
    </w:p>
    <w:p w14:paraId="576AA8DC" w14:textId="77777777" w:rsidR="00495C65" w:rsidRDefault="00495C65" w:rsidP="00495C65">
      <w:pPr>
        <w:pStyle w:val="13"/>
      </w:pPr>
      <w:r>
        <w:t>a</w:t>
      </w:r>
      <w:r w:rsidRPr="001D6C57">
        <w:rPr>
          <w:vertAlign w:val="subscript"/>
        </w:rPr>
        <w:t>i</w:t>
      </w:r>
      <w:r>
        <w:t>——分别为未来各年的海域纯收益；</w:t>
      </w:r>
    </w:p>
    <w:p w14:paraId="31DCD292" w14:textId="77777777" w:rsidR="00495C65" w:rsidRDefault="00495C65" w:rsidP="00495C65">
      <w:pPr>
        <w:pStyle w:val="13"/>
      </w:pPr>
      <w:proofErr w:type="spellStart"/>
      <w:r>
        <w:t>r</w:t>
      </w:r>
      <w:r w:rsidRPr="001D6C57">
        <w:rPr>
          <w:vertAlign w:val="subscript"/>
        </w:rPr>
        <w:t>i</w:t>
      </w:r>
      <w:proofErr w:type="spellEnd"/>
      <w:r>
        <w:t>——海域还原利率；</w:t>
      </w:r>
    </w:p>
    <w:p w14:paraId="7F86EBEC" w14:textId="77777777" w:rsidR="00495C65" w:rsidRDefault="00495C65" w:rsidP="00495C65">
      <w:pPr>
        <w:pStyle w:val="13"/>
      </w:pPr>
      <w:r>
        <w:t>n——海域使用年期。</w:t>
      </w:r>
    </w:p>
    <w:p w14:paraId="7615C879" w14:textId="77777777" w:rsidR="00495C65" w:rsidRDefault="00495C65" w:rsidP="00495C65">
      <w:pPr>
        <w:pStyle w:val="13"/>
      </w:pPr>
      <w:r>
        <w:t>2.年总收入</w:t>
      </w:r>
    </w:p>
    <w:p w14:paraId="3CB8C105" w14:textId="77777777" w:rsidR="00495C65" w:rsidRDefault="00495C65" w:rsidP="00495C65">
      <w:pPr>
        <w:pStyle w:val="13"/>
      </w:pPr>
      <w:r>
        <w:rPr>
          <w:rFonts w:hint="eastAsia"/>
        </w:rPr>
        <w:t>指合理使用海域、附属用海设施、海上构筑物以及其他生产要素进行经营活动时持续且稳定获得的正常年收入，包括生产经营收入、租金收入、保证金和押金的利息收入等。</w:t>
      </w:r>
    </w:p>
    <w:p w14:paraId="16D1A86C" w14:textId="77777777" w:rsidR="00495C65" w:rsidRDefault="00495C65" w:rsidP="00495C65">
      <w:pPr>
        <w:pStyle w:val="13"/>
      </w:pPr>
      <w:r>
        <w:t>3.年总费用</w:t>
      </w:r>
    </w:p>
    <w:p w14:paraId="0436F547" w14:textId="77777777" w:rsidR="00495C65" w:rsidRDefault="00495C65" w:rsidP="00495C65">
      <w:pPr>
        <w:pStyle w:val="13"/>
      </w:pPr>
      <w:r>
        <w:rPr>
          <w:rFonts w:hint="eastAsia"/>
        </w:rPr>
        <w:t>指利用海域、附属用海设施、海上构筑物以及其他生产要素进行经营活动时正常合理的必要年支出。</w:t>
      </w:r>
    </w:p>
    <w:p w14:paraId="4B6C678E" w14:textId="77777777" w:rsidR="00495C65" w:rsidRDefault="00495C65" w:rsidP="00495C65">
      <w:pPr>
        <w:pStyle w:val="13"/>
      </w:pPr>
      <w:r>
        <w:t>4.年总收益</w:t>
      </w:r>
    </w:p>
    <w:p w14:paraId="18CD865C" w14:textId="77777777" w:rsidR="00495C65" w:rsidRDefault="00495C65" w:rsidP="00495C65">
      <w:pPr>
        <w:pStyle w:val="13"/>
      </w:pPr>
      <w:r>
        <w:rPr>
          <w:rFonts w:hint="eastAsia"/>
        </w:rPr>
        <w:t>指年总收入扣除年总费用后的余额。</w:t>
      </w:r>
    </w:p>
    <w:p w14:paraId="1FA82DBF" w14:textId="77777777" w:rsidR="00495C65" w:rsidRDefault="00495C65" w:rsidP="00495C65">
      <w:pPr>
        <w:pStyle w:val="13"/>
      </w:pPr>
      <w:r>
        <w:t>5.海域纯收益</w:t>
      </w:r>
    </w:p>
    <w:p w14:paraId="11EFC651" w14:textId="77777777" w:rsidR="00495C65" w:rsidRDefault="00495C65" w:rsidP="00495C65">
      <w:pPr>
        <w:pStyle w:val="13"/>
      </w:pPr>
      <w:r>
        <w:rPr>
          <w:rFonts w:hint="eastAsia"/>
        </w:rPr>
        <w:t>指年总收益中扣除非海域生产要素的贡献后的余额。</w:t>
      </w:r>
    </w:p>
    <w:p w14:paraId="3697C14E" w14:textId="77777777" w:rsidR="00495C65" w:rsidRDefault="00495C65" w:rsidP="00495C65">
      <w:pPr>
        <w:pStyle w:val="13"/>
      </w:pPr>
      <w:r>
        <w:t>6.海域还原利率</w:t>
      </w:r>
    </w:p>
    <w:p w14:paraId="76DFA9CB" w14:textId="77777777" w:rsidR="00495C65" w:rsidRDefault="00495C65" w:rsidP="00495C65">
      <w:pPr>
        <w:pStyle w:val="13"/>
      </w:pPr>
      <w:r>
        <w:rPr>
          <w:rFonts w:hint="eastAsia"/>
        </w:rPr>
        <w:t>采用纯收益与价格比率法、安全利率加风险调整值法或投资风险与投资效益综合排序插入法计算。</w:t>
      </w:r>
    </w:p>
    <w:p w14:paraId="7D81D67D" w14:textId="77777777" w:rsidR="00495C65" w:rsidRDefault="00495C65" w:rsidP="00495C65">
      <w:pPr>
        <w:pStyle w:val="13"/>
      </w:pPr>
      <w:r>
        <w:t>B.2成本法</w:t>
      </w:r>
    </w:p>
    <w:p w14:paraId="790E8273" w14:textId="77777777" w:rsidR="00495C65" w:rsidRDefault="00495C65" w:rsidP="00495C65">
      <w:pPr>
        <w:pStyle w:val="13"/>
      </w:pPr>
      <w:r>
        <w:t>1.计算公式</w:t>
      </w:r>
    </w:p>
    <w:p w14:paraId="3CAF7E86" w14:textId="77777777" w:rsidR="00495C65" w:rsidRDefault="00495C65" w:rsidP="00495C65">
      <w:pPr>
        <w:pStyle w:val="13"/>
      </w:pPr>
      <w:r>
        <w:t>P=（Q+D+B+I+T）×K2</w:t>
      </w:r>
    </w:p>
    <w:p w14:paraId="3395A130" w14:textId="77777777" w:rsidR="00495C65" w:rsidRDefault="00495C65" w:rsidP="00495C65">
      <w:pPr>
        <w:pStyle w:val="13"/>
      </w:pPr>
      <w:r>
        <w:rPr>
          <w:rFonts w:hint="eastAsia"/>
        </w:rPr>
        <w:t>式中：</w:t>
      </w:r>
    </w:p>
    <w:p w14:paraId="0E55855C" w14:textId="77777777" w:rsidR="00495C65" w:rsidRDefault="00495C65" w:rsidP="00495C65">
      <w:pPr>
        <w:pStyle w:val="13"/>
      </w:pPr>
      <w:r>
        <w:t>P——海域价格；</w:t>
      </w:r>
    </w:p>
    <w:p w14:paraId="01E9C283" w14:textId="77777777" w:rsidR="00495C65" w:rsidRDefault="00495C65" w:rsidP="00495C65">
      <w:pPr>
        <w:pStyle w:val="13"/>
      </w:pPr>
      <w:r>
        <w:t>Q——海域取得费；</w:t>
      </w:r>
    </w:p>
    <w:p w14:paraId="7FD7D5E1" w14:textId="77777777" w:rsidR="00495C65" w:rsidRDefault="00495C65" w:rsidP="00495C65">
      <w:pPr>
        <w:pStyle w:val="13"/>
      </w:pPr>
      <w:r>
        <w:t>D——海域开发费；</w:t>
      </w:r>
    </w:p>
    <w:p w14:paraId="16352516" w14:textId="77777777" w:rsidR="00495C65" w:rsidRDefault="00495C65" w:rsidP="00495C65">
      <w:pPr>
        <w:pStyle w:val="13"/>
      </w:pPr>
      <w:r>
        <w:t>B——海域开发利息；</w:t>
      </w:r>
    </w:p>
    <w:p w14:paraId="0FDC6947" w14:textId="77777777" w:rsidR="00495C65" w:rsidRDefault="00495C65" w:rsidP="00495C65">
      <w:pPr>
        <w:pStyle w:val="13"/>
      </w:pPr>
      <w:r>
        <w:t>I——海域开发利润；</w:t>
      </w:r>
    </w:p>
    <w:p w14:paraId="15BF89AF" w14:textId="77777777" w:rsidR="00495C65" w:rsidRDefault="00495C65" w:rsidP="00495C65">
      <w:pPr>
        <w:pStyle w:val="13"/>
      </w:pPr>
      <w:r>
        <w:t>T——税费；</w:t>
      </w:r>
    </w:p>
    <w:p w14:paraId="7011BD96" w14:textId="77777777" w:rsidR="00495C65" w:rsidRDefault="00495C65" w:rsidP="00495C65">
      <w:pPr>
        <w:pStyle w:val="13"/>
      </w:pPr>
      <w:r>
        <w:t>K2——海域使用年期修正系数。</w:t>
      </w:r>
    </w:p>
    <w:p w14:paraId="73A31A7A" w14:textId="77777777" w:rsidR="00495C65" w:rsidRDefault="00495C65" w:rsidP="00495C65">
      <w:pPr>
        <w:pStyle w:val="13"/>
      </w:pPr>
      <w:r>
        <w:t>2.海域取得费</w:t>
      </w:r>
    </w:p>
    <w:p w14:paraId="533BA53E" w14:textId="77777777" w:rsidR="00495C65" w:rsidRDefault="00495C65" w:rsidP="00495C65">
      <w:pPr>
        <w:pStyle w:val="13"/>
      </w:pPr>
      <w:r>
        <w:rPr>
          <w:rFonts w:hint="eastAsia"/>
        </w:rPr>
        <w:t>指用海者为取得海域使用权而支付的各项客观费用，包括海域使用金、专业费和各种补偿费。海域使用金是指一次性缴纳或</w:t>
      </w:r>
      <w:proofErr w:type="gramStart"/>
      <w:r>
        <w:rPr>
          <w:rFonts w:hint="eastAsia"/>
        </w:rPr>
        <w:t>逐年已</w:t>
      </w:r>
      <w:proofErr w:type="gramEnd"/>
      <w:r>
        <w:rPr>
          <w:rFonts w:hint="eastAsia"/>
        </w:rPr>
        <w:t>缴纳的海域使用金。专业费包括海域使用论证费、海洋环境影响评价费、工程可行性研究费和建筑设计费等。各种补偿</w:t>
      </w:r>
      <w:r>
        <w:rPr>
          <w:rFonts w:hint="eastAsia"/>
        </w:rPr>
        <w:lastRenderedPageBreak/>
        <w:t>费根据国家和当地政府规定的标准或应当支付的客观费用来确定。</w:t>
      </w:r>
    </w:p>
    <w:p w14:paraId="323F1D28" w14:textId="77777777" w:rsidR="00495C65" w:rsidRDefault="00495C65" w:rsidP="00495C65">
      <w:pPr>
        <w:pStyle w:val="13"/>
      </w:pPr>
      <w:r>
        <w:t>3.海域开发费</w:t>
      </w:r>
    </w:p>
    <w:p w14:paraId="3A4E5502" w14:textId="77777777" w:rsidR="00495C65" w:rsidRDefault="00495C65" w:rsidP="00495C65">
      <w:pPr>
        <w:pStyle w:val="13"/>
      </w:pPr>
      <w:r>
        <w:rPr>
          <w:rFonts w:hint="eastAsia"/>
        </w:rPr>
        <w:t>指投入并固化在海域上的各种客观费用，包括基础设施配套及填海、炸礁、疏浚、建堤坝等费用。在确定海域开发费时，应综合考虑宗海界址内外的开发程度，并根据实际受益程度分摊开发费用。</w:t>
      </w:r>
    </w:p>
    <w:p w14:paraId="6A200085" w14:textId="77777777" w:rsidR="00495C65" w:rsidRDefault="00495C65" w:rsidP="00495C65">
      <w:pPr>
        <w:pStyle w:val="13"/>
      </w:pPr>
      <w:r>
        <w:t>4.税费</w:t>
      </w:r>
    </w:p>
    <w:p w14:paraId="68C0E381" w14:textId="77777777" w:rsidR="00495C65" w:rsidRDefault="00495C65" w:rsidP="00495C65">
      <w:pPr>
        <w:pStyle w:val="13"/>
      </w:pPr>
      <w:r>
        <w:rPr>
          <w:rFonts w:hint="eastAsia"/>
        </w:rPr>
        <w:t>指海域开发过程中必须支付的有关税收和费用。</w:t>
      </w:r>
    </w:p>
    <w:p w14:paraId="4AE4A900" w14:textId="77777777" w:rsidR="00495C65" w:rsidRDefault="00495C65" w:rsidP="00495C65">
      <w:pPr>
        <w:pStyle w:val="13"/>
      </w:pPr>
      <w:r>
        <w:t>5.海域开发利润</w:t>
      </w:r>
    </w:p>
    <w:p w14:paraId="4134365F" w14:textId="77777777" w:rsidR="00495C65" w:rsidRDefault="00495C65" w:rsidP="00495C65">
      <w:pPr>
        <w:pStyle w:val="13"/>
      </w:pPr>
      <w:r>
        <w:rPr>
          <w:rFonts w:hint="eastAsia"/>
        </w:rPr>
        <w:t>以海域取得费、开发费和税费为基数，根据海域使用类型、开发周期和所处地区社会经济条件综合确定的海域投资回报率来计算海域开发利润。</w:t>
      </w:r>
    </w:p>
    <w:p w14:paraId="0B16BE65" w14:textId="77777777" w:rsidR="00495C65" w:rsidRDefault="00495C65" w:rsidP="00495C65">
      <w:pPr>
        <w:pStyle w:val="13"/>
      </w:pPr>
      <w:r>
        <w:t>6.海域开发利息</w:t>
      </w:r>
    </w:p>
    <w:p w14:paraId="0292E10B" w14:textId="77777777" w:rsidR="00495C65" w:rsidRDefault="00495C65" w:rsidP="00495C65">
      <w:pPr>
        <w:pStyle w:val="13"/>
      </w:pPr>
      <w:r>
        <w:rPr>
          <w:rFonts w:hint="eastAsia"/>
        </w:rPr>
        <w:t>按照界定的海域开发程度的正常开发周期、各项费用投入期限和年利息率，分别计算各期投入应支付的利息。海域开发周期超过一年时，利息按复利计算。</w:t>
      </w:r>
    </w:p>
    <w:p w14:paraId="57D006E3" w14:textId="77777777" w:rsidR="00495C65" w:rsidRDefault="00495C65" w:rsidP="00495C65">
      <w:pPr>
        <w:pStyle w:val="13"/>
      </w:pPr>
      <w:r>
        <w:t>7.海域使用年期修正系数</w:t>
      </w:r>
    </w:p>
    <w:p w14:paraId="62A50C87" w14:textId="77777777" w:rsidR="00495C65" w:rsidRDefault="00495C65" w:rsidP="00495C65">
      <w:pPr>
        <w:pStyle w:val="13"/>
      </w:pPr>
      <w:r>
        <w:rPr>
          <w:rFonts w:hint="eastAsia"/>
        </w:rPr>
        <w:t>采用成本法评估有限年期海域价格时，应根据具体情况计算海域使用年期修正系数。</w:t>
      </w:r>
    </w:p>
    <w:p w14:paraId="70DE949F" w14:textId="77777777" w:rsidR="00495C65" w:rsidRDefault="00495C65" w:rsidP="00495C65">
      <w:pPr>
        <w:pStyle w:val="13"/>
      </w:pPr>
      <w:r>
        <w:rPr>
          <w:rFonts w:hint="eastAsia"/>
        </w:rPr>
        <w:t>公式为：</w:t>
      </w:r>
    </w:p>
    <w:p w14:paraId="25F88216" w14:textId="77777777" w:rsidR="00495C65" w:rsidRPr="007D5266" w:rsidRDefault="00495C65" w:rsidP="00495C65">
      <w:pPr>
        <w:pStyle w:val="13"/>
        <w:rPr>
          <w:vertAlign w:val="superscript"/>
        </w:rPr>
      </w:pPr>
      <w:r>
        <w:t>K</w:t>
      </w:r>
      <w:r w:rsidRPr="007D5266">
        <w:rPr>
          <w:vertAlign w:val="subscript"/>
        </w:rPr>
        <w:t>2</w:t>
      </w:r>
      <w:r>
        <w:t>=1-1/（1+r）</w:t>
      </w:r>
      <w:r w:rsidRPr="007D5266">
        <w:rPr>
          <w:vertAlign w:val="superscript"/>
        </w:rPr>
        <w:t>n</w:t>
      </w:r>
    </w:p>
    <w:p w14:paraId="49A3563D" w14:textId="77777777" w:rsidR="00495C65" w:rsidRDefault="00495C65" w:rsidP="00495C65">
      <w:pPr>
        <w:pStyle w:val="13"/>
      </w:pPr>
      <w:r>
        <w:rPr>
          <w:rFonts w:hint="eastAsia"/>
        </w:rPr>
        <w:t>式中：</w:t>
      </w:r>
    </w:p>
    <w:p w14:paraId="1A30509B" w14:textId="77777777" w:rsidR="00495C65" w:rsidRDefault="00495C65" w:rsidP="00495C65">
      <w:pPr>
        <w:pStyle w:val="13"/>
      </w:pPr>
      <w:r>
        <w:t>K</w:t>
      </w:r>
      <w:r w:rsidRPr="00DD493A">
        <w:rPr>
          <w:vertAlign w:val="subscript"/>
        </w:rPr>
        <w:t>2</w:t>
      </w:r>
      <w:r>
        <w:t>——海域使用年期修正系数；</w:t>
      </w:r>
    </w:p>
    <w:p w14:paraId="4A911A1B" w14:textId="77777777" w:rsidR="00495C65" w:rsidRDefault="00495C65" w:rsidP="00495C65">
      <w:pPr>
        <w:pStyle w:val="13"/>
      </w:pPr>
      <w:r>
        <w:t>r——海域还原利率；</w:t>
      </w:r>
    </w:p>
    <w:p w14:paraId="3BA368CF" w14:textId="77777777" w:rsidR="00495C65" w:rsidRDefault="00495C65" w:rsidP="00495C65">
      <w:pPr>
        <w:pStyle w:val="13"/>
      </w:pPr>
      <w:r>
        <w:t>n——海域使用年期。</w:t>
      </w:r>
    </w:p>
    <w:p w14:paraId="06F88F5D" w14:textId="77777777" w:rsidR="00495C65" w:rsidRDefault="00495C65" w:rsidP="00495C65">
      <w:pPr>
        <w:pStyle w:val="13"/>
      </w:pPr>
      <w:r>
        <w:t>B.3假设开发法</w:t>
      </w:r>
    </w:p>
    <w:p w14:paraId="08A0A52D" w14:textId="77777777" w:rsidR="00495C65" w:rsidRDefault="00495C65" w:rsidP="00495C65">
      <w:pPr>
        <w:pStyle w:val="13"/>
      </w:pPr>
      <w:r>
        <w:t>1.计算公式</w:t>
      </w:r>
    </w:p>
    <w:p w14:paraId="15ED6047" w14:textId="77777777" w:rsidR="00495C65" w:rsidRDefault="00495C65" w:rsidP="00495C65">
      <w:pPr>
        <w:pStyle w:val="13"/>
      </w:pPr>
      <w:r>
        <w:t>P=V-Z-I</w:t>
      </w:r>
    </w:p>
    <w:p w14:paraId="4E934EB8" w14:textId="77777777" w:rsidR="00495C65" w:rsidRDefault="00495C65" w:rsidP="00495C65">
      <w:pPr>
        <w:pStyle w:val="13"/>
      </w:pPr>
      <w:r>
        <w:rPr>
          <w:rFonts w:hint="eastAsia"/>
        </w:rPr>
        <w:t>式中：</w:t>
      </w:r>
    </w:p>
    <w:p w14:paraId="043FDB43" w14:textId="77777777" w:rsidR="00495C65" w:rsidRDefault="00495C65" w:rsidP="00495C65">
      <w:pPr>
        <w:pStyle w:val="13"/>
      </w:pPr>
      <w:r>
        <w:t>P——海域价格；</w:t>
      </w:r>
    </w:p>
    <w:p w14:paraId="20CB5AD4" w14:textId="77777777" w:rsidR="00495C65" w:rsidRDefault="00495C65" w:rsidP="00495C65">
      <w:pPr>
        <w:pStyle w:val="13"/>
      </w:pPr>
      <w:r>
        <w:t>V——海域开发后的总价值；</w:t>
      </w:r>
    </w:p>
    <w:p w14:paraId="3468476A" w14:textId="77777777" w:rsidR="00495C65" w:rsidRDefault="00495C65" w:rsidP="00495C65">
      <w:pPr>
        <w:pStyle w:val="13"/>
      </w:pPr>
      <w:r>
        <w:t>Z——开发成本；</w:t>
      </w:r>
    </w:p>
    <w:p w14:paraId="1F888387" w14:textId="77777777" w:rsidR="00495C65" w:rsidRDefault="00495C65" w:rsidP="00495C65">
      <w:pPr>
        <w:pStyle w:val="13"/>
      </w:pPr>
      <w:r>
        <w:t>I——开发利润。</w:t>
      </w:r>
    </w:p>
    <w:p w14:paraId="532A9999" w14:textId="77777777" w:rsidR="00495C65" w:rsidRDefault="00495C65" w:rsidP="00495C65">
      <w:pPr>
        <w:pStyle w:val="13"/>
      </w:pPr>
      <w:r>
        <w:t>2.海域开发后的总价值</w:t>
      </w:r>
    </w:p>
    <w:p w14:paraId="24536E55" w14:textId="77777777" w:rsidR="00495C65" w:rsidRDefault="00495C65" w:rsidP="00495C65">
      <w:pPr>
        <w:pStyle w:val="13"/>
      </w:pPr>
      <w:r>
        <w:rPr>
          <w:rFonts w:hint="eastAsia"/>
        </w:rPr>
        <w:t>指开发完成后形成的海域、建筑物、附属用</w:t>
      </w:r>
      <w:proofErr w:type="gramStart"/>
      <w:r>
        <w:rPr>
          <w:rFonts w:hint="eastAsia"/>
        </w:rPr>
        <w:t>海设施</w:t>
      </w:r>
      <w:proofErr w:type="gramEnd"/>
      <w:r>
        <w:rPr>
          <w:rFonts w:hint="eastAsia"/>
        </w:rPr>
        <w:t>和海上构筑物的总价。海域开发后用于销售时，根据当地市场现状，采用市场比较法确定开发完成后的总价；海域开发后用于出租或自营时，根据当地市场现状，采用收益法确定开发完成后的总价。</w:t>
      </w:r>
    </w:p>
    <w:p w14:paraId="2FBC6E00" w14:textId="77777777" w:rsidR="00495C65" w:rsidRDefault="00495C65" w:rsidP="00495C65">
      <w:pPr>
        <w:pStyle w:val="13"/>
      </w:pPr>
      <w:r>
        <w:lastRenderedPageBreak/>
        <w:t>3.开发成本</w:t>
      </w:r>
    </w:p>
    <w:p w14:paraId="6AD4B589" w14:textId="77777777" w:rsidR="00495C65" w:rsidRDefault="00495C65" w:rsidP="00495C65">
      <w:pPr>
        <w:pStyle w:val="13"/>
      </w:pPr>
      <w:r>
        <w:rPr>
          <w:rFonts w:hint="eastAsia"/>
        </w:rPr>
        <w:t>指项目开发建设期间正常发生的客观费用总和，一般包括海域取得费、海域开发费、管理费、销售税费和投资利息等。海域取得费、海域开发费和管理费等全部预付资本要计算利息。利息的计算要充分考虑资本投入的进度安排，按复利计算。</w:t>
      </w:r>
    </w:p>
    <w:p w14:paraId="7D454A2B" w14:textId="77777777" w:rsidR="00495C65" w:rsidRDefault="00495C65" w:rsidP="00495C65">
      <w:pPr>
        <w:pStyle w:val="13"/>
      </w:pPr>
      <w:r>
        <w:t>4.开发利润</w:t>
      </w:r>
    </w:p>
    <w:p w14:paraId="663B4822" w14:textId="77777777" w:rsidR="00495C65" w:rsidRDefault="00495C65" w:rsidP="00495C65">
      <w:pPr>
        <w:pStyle w:val="13"/>
      </w:pPr>
      <w:r>
        <w:rPr>
          <w:rFonts w:hint="eastAsia"/>
        </w:rPr>
        <w:t>一般按海域开发完成后形成的不动产总价或开发前预付总资本的一定比例计算，利润率采用同一市场上类似项目的平均利润率。</w:t>
      </w:r>
    </w:p>
    <w:p w14:paraId="0B4B2B94" w14:textId="77777777" w:rsidR="00495C65" w:rsidRDefault="00495C65" w:rsidP="00495C65">
      <w:pPr>
        <w:pStyle w:val="13"/>
      </w:pPr>
      <w:r>
        <w:t>B.4市场比较法</w:t>
      </w:r>
    </w:p>
    <w:p w14:paraId="5DD37D78" w14:textId="77777777" w:rsidR="00495C65" w:rsidRDefault="00495C65" w:rsidP="00495C65">
      <w:pPr>
        <w:pStyle w:val="13"/>
      </w:pPr>
      <w:r>
        <w:t>1.计算公式</w:t>
      </w:r>
    </w:p>
    <w:p w14:paraId="158140FC" w14:textId="77777777" w:rsidR="00495C65" w:rsidRDefault="00495C65" w:rsidP="00495C65">
      <w:pPr>
        <w:pStyle w:val="13"/>
      </w:pPr>
      <w:r>
        <w:t>P=Pb×K1×K2×K3×K4</w:t>
      </w:r>
    </w:p>
    <w:p w14:paraId="1AA6B59A" w14:textId="77777777" w:rsidR="00495C65" w:rsidRDefault="00495C65" w:rsidP="00495C65">
      <w:pPr>
        <w:pStyle w:val="13"/>
      </w:pPr>
      <w:r>
        <w:rPr>
          <w:rFonts w:hint="eastAsia"/>
        </w:rPr>
        <w:t>式中：</w:t>
      </w:r>
    </w:p>
    <w:p w14:paraId="08919550" w14:textId="77777777" w:rsidR="00495C65" w:rsidRDefault="00495C65" w:rsidP="00495C65">
      <w:pPr>
        <w:pStyle w:val="13"/>
      </w:pPr>
      <w:r>
        <w:t>P——海域价格；</w:t>
      </w:r>
    </w:p>
    <w:p w14:paraId="5419D2A9" w14:textId="77777777" w:rsidR="00495C65" w:rsidRDefault="00495C65" w:rsidP="00495C65">
      <w:pPr>
        <w:pStyle w:val="13"/>
      </w:pPr>
      <w:r>
        <w:t>Pb——比较实例的海域价格；</w:t>
      </w:r>
    </w:p>
    <w:p w14:paraId="7DB38ADC" w14:textId="77777777" w:rsidR="00495C65" w:rsidRDefault="00495C65" w:rsidP="00495C65">
      <w:pPr>
        <w:pStyle w:val="13"/>
      </w:pPr>
      <w:r>
        <w:t>K1——交易情况修正系数；</w:t>
      </w:r>
    </w:p>
    <w:p w14:paraId="6BE32895" w14:textId="77777777" w:rsidR="00495C65" w:rsidRDefault="00495C65" w:rsidP="00495C65">
      <w:pPr>
        <w:pStyle w:val="13"/>
      </w:pPr>
      <w:r>
        <w:t>K2——海域使用年期修正系数；</w:t>
      </w:r>
    </w:p>
    <w:p w14:paraId="0498D657" w14:textId="77777777" w:rsidR="00495C65" w:rsidRDefault="00495C65" w:rsidP="00495C65">
      <w:pPr>
        <w:pStyle w:val="13"/>
      </w:pPr>
      <w:r>
        <w:t>K3——评估基准日修正系数；</w:t>
      </w:r>
    </w:p>
    <w:p w14:paraId="766384F8" w14:textId="77777777" w:rsidR="00495C65" w:rsidRDefault="00495C65" w:rsidP="00495C65">
      <w:pPr>
        <w:pStyle w:val="13"/>
      </w:pPr>
      <w:r>
        <w:t>K4——价格影响因素修正系数。</w:t>
      </w:r>
    </w:p>
    <w:p w14:paraId="62F1153A" w14:textId="77777777" w:rsidR="00495C65" w:rsidRDefault="00495C65" w:rsidP="00495C65">
      <w:pPr>
        <w:pStyle w:val="13"/>
      </w:pPr>
      <w:r>
        <w:t>2.交易情况修正系数</w:t>
      </w:r>
    </w:p>
    <w:p w14:paraId="55C84B14" w14:textId="77777777" w:rsidR="00495C65" w:rsidRDefault="00495C65" w:rsidP="00495C65">
      <w:pPr>
        <w:pStyle w:val="13"/>
      </w:pPr>
      <w:r>
        <w:rPr>
          <w:rFonts w:hint="eastAsia"/>
        </w:rPr>
        <w:t>交易情况修正是指排除交易行为中的一些特殊情况所造成的比较实例的价格偏差，将其成交价格修正为正常市场价格。评估人员可通过已掌握的交易资料进行分析计算，将特殊因素对海域价格的影响程度求和，确定修正系数。交易行为中的特殊情况包括：</w:t>
      </w:r>
    </w:p>
    <w:p w14:paraId="7FF52583" w14:textId="77777777" w:rsidR="00495C65" w:rsidRDefault="00495C65" w:rsidP="00495C65">
      <w:pPr>
        <w:pStyle w:val="13"/>
      </w:pPr>
      <w:r>
        <w:rPr>
          <w:rFonts w:hint="eastAsia"/>
        </w:rPr>
        <w:t>（</w:t>
      </w:r>
      <w:r>
        <w:t>1）不同出让方式的交易；</w:t>
      </w:r>
    </w:p>
    <w:p w14:paraId="7AAD1E54" w14:textId="77777777" w:rsidR="00495C65" w:rsidRDefault="00495C65" w:rsidP="00495C65">
      <w:pPr>
        <w:pStyle w:val="13"/>
      </w:pPr>
      <w:r>
        <w:rPr>
          <w:rFonts w:hint="eastAsia"/>
        </w:rPr>
        <w:t>（</w:t>
      </w:r>
      <w:r>
        <w:t>2）以净价形式进行的交易；</w:t>
      </w:r>
    </w:p>
    <w:p w14:paraId="5E717393" w14:textId="77777777" w:rsidR="00495C65" w:rsidRDefault="00495C65" w:rsidP="00495C65">
      <w:pPr>
        <w:pStyle w:val="13"/>
      </w:pPr>
      <w:r>
        <w:rPr>
          <w:rFonts w:hint="eastAsia"/>
        </w:rPr>
        <w:t>（</w:t>
      </w:r>
      <w:r>
        <w:t>3）多宗用</w:t>
      </w:r>
      <w:proofErr w:type="gramStart"/>
      <w:r>
        <w:t>海同时</w:t>
      </w:r>
      <w:proofErr w:type="gramEnd"/>
      <w:r>
        <w:t>交易的情形；</w:t>
      </w:r>
    </w:p>
    <w:p w14:paraId="416BC05E" w14:textId="77777777" w:rsidR="00495C65" w:rsidRDefault="00495C65" w:rsidP="00495C65">
      <w:pPr>
        <w:pStyle w:val="13"/>
      </w:pPr>
      <w:r>
        <w:rPr>
          <w:rFonts w:hint="eastAsia"/>
        </w:rPr>
        <w:t>（</w:t>
      </w:r>
      <w:r>
        <w:t>4）宗海面</w:t>
      </w:r>
      <w:proofErr w:type="gramStart"/>
      <w:r>
        <w:t>积较大</w:t>
      </w:r>
      <w:proofErr w:type="gramEnd"/>
      <w:r>
        <w:t>的交易。</w:t>
      </w:r>
    </w:p>
    <w:p w14:paraId="5DBFBA8D" w14:textId="77777777" w:rsidR="00495C65" w:rsidRDefault="00495C65" w:rsidP="00495C65">
      <w:pPr>
        <w:pStyle w:val="13"/>
      </w:pPr>
      <w:r>
        <w:t>3.海域使用年期修正系数</w:t>
      </w:r>
    </w:p>
    <w:p w14:paraId="1F649C59" w14:textId="77777777" w:rsidR="00495C65" w:rsidRDefault="00495C65" w:rsidP="00495C65">
      <w:pPr>
        <w:pStyle w:val="13"/>
      </w:pPr>
      <w:r>
        <w:rPr>
          <w:rFonts w:hint="eastAsia"/>
        </w:rPr>
        <w:t>海域使用年期修正是指将</w:t>
      </w:r>
      <w:proofErr w:type="gramStart"/>
      <w:r>
        <w:rPr>
          <w:rFonts w:hint="eastAsia"/>
        </w:rPr>
        <w:t>各比较</w:t>
      </w:r>
      <w:proofErr w:type="gramEnd"/>
      <w:r>
        <w:rPr>
          <w:rFonts w:hint="eastAsia"/>
        </w:rPr>
        <w:t>实例的不同使用年期修正到评估对象的使用年期，得出修正系数，以消除因海域使用年期不同而对价格带来的影响。</w:t>
      </w:r>
    </w:p>
    <w:p w14:paraId="71CED619" w14:textId="77777777" w:rsidR="00495C65" w:rsidRDefault="00495C65" w:rsidP="00495C65">
      <w:pPr>
        <w:pStyle w:val="13"/>
      </w:pPr>
      <w:r>
        <w:t>4.评估基准日修正系数</w:t>
      </w:r>
    </w:p>
    <w:p w14:paraId="26F88022" w14:textId="77777777" w:rsidR="00495C65" w:rsidRDefault="00495C65" w:rsidP="00495C65">
      <w:pPr>
        <w:pStyle w:val="13"/>
      </w:pPr>
      <w:r>
        <w:rPr>
          <w:rFonts w:hint="eastAsia"/>
        </w:rPr>
        <w:t>评估基准日修正是指将比较实例在其成交日期的价格调整为评估基准日的价格。在未建立海域价格指数的情况下，应通过收集大量案例资料，运用统计方法分析特定区域内海域价格随时间变动的规律，求取相关指数，确定修正系数。</w:t>
      </w:r>
    </w:p>
    <w:p w14:paraId="2658665B" w14:textId="77777777" w:rsidR="00495C65" w:rsidRDefault="00495C65" w:rsidP="00495C65">
      <w:pPr>
        <w:pStyle w:val="13"/>
      </w:pPr>
      <w:r>
        <w:t>5.海域价格影响因素修正系数</w:t>
      </w:r>
    </w:p>
    <w:p w14:paraId="285B67E8" w14:textId="77777777" w:rsidR="00495C65" w:rsidRDefault="00495C65" w:rsidP="00495C65">
      <w:pPr>
        <w:pStyle w:val="13"/>
      </w:pPr>
      <w:r>
        <w:rPr>
          <w:rFonts w:hint="eastAsia"/>
        </w:rPr>
        <w:lastRenderedPageBreak/>
        <w:t>海域价格影响因素修正是指将比较实例的价格调整为评估对象在相似社会经济和自然环境条件下的价格。价格影响因素修正系数确定的主要步骤：</w:t>
      </w:r>
    </w:p>
    <w:p w14:paraId="55AE079F" w14:textId="77777777" w:rsidR="00495C65" w:rsidRDefault="00495C65" w:rsidP="00495C65">
      <w:pPr>
        <w:pStyle w:val="13"/>
      </w:pPr>
      <w:r>
        <w:rPr>
          <w:rFonts w:hint="eastAsia"/>
        </w:rPr>
        <w:t>（</w:t>
      </w:r>
      <w:r>
        <w:t>1）选择比较因子。根据评估对象的具体用海情况，选择重要的比较因子。比较因</w:t>
      </w:r>
      <w:r>
        <w:rPr>
          <w:rFonts w:hint="eastAsia"/>
        </w:rPr>
        <w:t>子选择可参考附录</w:t>
      </w:r>
      <w:r>
        <w:t>C。</w:t>
      </w:r>
    </w:p>
    <w:p w14:paraId="10673E86" w14:textId="77777777" w:rsidR="00495C65" w:rsidRDefault="00495C65" w:rsidP="00495C65">
      <w:pPr>
        <w:pStyle w:val="13"/>
      </w:pPr>
      <w:r>
        <w:rPr>
          <w:rFonts w:hint="eastAsia"/>
        </w:rPr>
        <w:t>（</w:t>
      </w:r>
      <w:r>
        <w:t>2）确定各因子条件指数。在海域价格和</w:t>
      </w:r>
      <w:proofErr w:type="gramStart"/>
      <w:r>
        <w:t>各影响</w:t>
      </w:r>
      <w:proofErr w:type="gramEnd"/>
      <w:r>
        <w:t>因子相关关系分析的基础上，总结</w:t>
      </w:r>
      <w:r>
        <w:rPr>
          <w:rFonts w:hint="eastAsia"/>
        </w:rPr>
        <w:t>各因子条件量化标准和规律。根据各因子指标条件，对照上述标准和规律，并结合实际状况确定条件指数。</w:t>
      </w:r>
    </w:p>
    <w:p w14:paraId="63D65366" w14:textId="77777777" w:rsidR="00495C65" w:rsidRDefault="00495C65" w:rsidP="00495C65">
      <w:pPr>
        <w:pStyle w:val="13"/>
      </w:pPr>
      <w:r>
        <w:rPr>
          <w:rFonts w:hint="eastAsia"/>
        </w:rPr>
        <w:t>（</w:t>
      </w:r>
      <w:r>
        <w:t>3）修正系数的确定。采用单因子与海域价格相关关系分析确定条件指数时，应</w:t>
      </w:r>
      <w:proofErr w:type="gramStart"/>
      <w:r>
        <w:t>采</w:t>
      </w:r>
      <w:r>
        <w:rPr>
          <w:rFonts w:hint="eastAsia"/>
        </w:rPr>
        <w:t>用积算的</w:t>
      </w:r>
      <w:proofErr w:type="gramEnd"/>
      <w:r>
        <w:rPr>
          <w:rFonts w:hint="eastAsia"/>
        </w:rPr>
        <w:t>方式确定评估海域和比较实例的因子条件指数后比较确定相应的修正系数。</w:t>
      </w:r>
    </w:p>
    <w:p w14:paraId="304A5D27" w14:textId="77777777" w:rsidR="00495C65" w:rsidRDefault="00495C65" w:rsidP="00495C65">
      <w:pPr>
        <w:pStyle w:val="13"/>
      </w:pPr>
      <w:r>
        <w:t>B.5基准价格系数修正法</w:t>
      </w:r>
    </w:p>
    <w:p w14:paraId="2FE466A1" w14:textId="77777777" w:rsidR="00495C65" w:rsidRDefault="00495C65" w:rsidP="00495C65">
      <w:pPr>
        <w:pStyle w:val="13"/>
      </w:pPr>
      <w:r>
        <w:t>1.计算公式</w:t>
      </w:r>
    </w:p>
    <w:p w14:paraId="6841F093" w14:textId="77777777" w:rsidR="00495C65" w:rsidRDefault="00495C65" w:rsidP="00495C65">
      <w:pPr>
        <w:pStyle w:val="13"/>
      </w:pPr>
      <w:r>
        <w:t>P=</w:t>
      </w:r>
      <w:proofErr w:type="spellStart"/>
      <w:r>
        <w:t>P</w:t>
      </w:r>
      <w:r w:rsidRPr="00C56110">
        <w:rPr>
          <w:vertAlign w:val="subscript"/>
        </w:rPr>
        <w:t>j</w:t>
      </w:r>
      <w:proofErr w:type="spellEnd"/>
      <w:r>
        <w:t>×（1+K）×</w:t>
      </w:r>
      <w:proofErr w:type="spellStart"/>
      <w:r>
        <w:t>K</w:t>
      </w:r>
      <w:r w:rsidRPr="00C56110">
        <w:rPr>
          <w:vertAlign w:val="subscript"/>
        </w:rPr>
        <w:t>j</w:t>
      </w:r>
      <w:proofErr w:type="spellEnd"/>
    </w:p>
    <w:p w14:paraId="44B7192F" w14:textId="77777777" w:rsidR="00495C65" w:rsidRDefault="00495C65" w:rsidP="00495C65">
      <w:pPr>
        <w:pStyle w:val="13"/>
      </w:pPr>
      <w:r>
        <w:rPr>
          <w:rFonts w:hint="eastAsia"/>
        </w:rPr>
        <w:t>式中：</w:t>
      </w:r>
    </w:p>
    <w:p w14:paraId="3F4DFB7D" w14:textId="77777777" w:rsidR="00495C65" w:rsidRDefault="00495C65" w:rsidP="00495C65">
      <w:pPr>
        <w:pStyle w:val="13"/>
      </w:pPr>
      <w:r>
        <w:t>P——海域价格；</w:t>
      </w:r>
    </w:p>
    <w:p w14:paraId="2DB5B4F7" w14:textId="77777777" w:rsidR="00495C65" w:rsidRDefault="00495C65" w:rsidP="00495C65">
      <w:pPr>
        <w:pStyle w:val="13"/>
      </w:pPr>
      <w:proofErr w:type="spellStart"/>
      <w:r>
        <w:t>P</w:t>
      </w:r>
      <w:r w:rsidRPr="003174E5">
        <w:rPr>
          <w:vertAlign w:val="subscript"/>
        </w:rPr>
        <w:t>j</w:t>
      </w:r>
      <w:proofErr w:type="spellEnd"/>
      <w:r>
        <w:t>——某一用</w:t>
      </w:r>
      <w:proofErr w:type="gramStart"/>
      <w:r>
        <w:t>海类型</w:t>
      </w:r>
      <w:proofErr w:type="gramEnd"/>
      <w:r>
        <w:t>的海域基准价格；</w:t>
      </w:r>
    </w:p>
    <w:p w14:paraId="2EEC374E" w14:textId="77777777" w:rsidR="00495C65" w:rsidRDefault="00495C65" w:rsidP="00495C65">
      <w:pPr>
        <w:pStyle w:val="13"/>
      </w:pPr>
      <w:r>
        <w:t>K——海域价格影响因素总修正幅度；</w:t>
      </w:r>
    </w:p>
    <w:p w14:paraId="3712816E" w14:textId="77777777" w:rsidR="00495C65" w:rsidRDefault="00495C65" w:rsidP="00495C65">
      <w:pPr>
        <w:pStyle w:val="13"/>
      </w:pPr>
      <w:proofErr w:type="spellStart"/>
      <w:r>
        <w:t>K</w:t>
      </w:r>
      <w:r w:rsidRPr="003174E5">
        <w:rPr>
          <w:vertAlign w:val="subscript"/>
        </w:rPr>
        <w:t>j</w:t>
      </w:r>
      <w:proofErr w:type="spellEnd"/>
      <w:r>
        <w:t>——其他修正系数。</w:t>
      </w:r>
    </w:p>
    <w:p w14:paraId="5BFC277C" w14:textId="77777777" w:rsidR="00495C65" w:rsidRDefault="00495C65" w:rsidP="00495C65">
      <w:pPr>
        <w:pStyle w:val="13"/>
      </w:pPr>
      <w:r>
        <w:t>2.海域基准价格</w:t>
      </w:r>
    </w:p>
    <w:p w14:paraId="7383A7AB" w14:textId="77777777" w:rsidR="00495C65" w:rsidRDefault="00495C65" w:rsidP="00495C65">
      <w:pPr>
        <w:pStyle w:val="13"/>
      </w:pPr>
      <w:r>
        <w:rPr>
          <w:rFonts w:hint="eastAsia"/>
        </w:rPr>
        <w:t>指评估对象所在区域的</w:t>
      </w:r>
      <w:proofErr w:type="gramStart"/>
      <w:r>
        <w:rPr>
          <w:rFonts w:hint="eastAsia"/>
        </w:rPr>
        <w:t>相同用海类型</w:t>
      </w:r>
      <w:proofErr w:type="gramEnd"/>
      <w:r>
        <w:rPr>
          <w:rFonts w:hint="eastAsia"/>
        </w:rPr>
        <w:t>的海域基准价格。</w:t>
      </w:r>
    </w:p>
    <w:p w14:paraId="1CC45358" w14:textId="77777777" w:rsidR="00495C65" w:rsidRDefault="00495C65" w:rsidP="00495C65">
      <w:pPr>
        <w:pStyle w:val="13"/>
      </w:pPr>
      <w:r>
        <w:t>3.海域价格影响因素总修正幅度</w:t>
      </w:r>
    </w:p>
    <w:p w14:paraId="32BE1323" w14:textId="77777777" w:rsidR="00495C65" w:rsidRDefault="00495C65" w:rsidP="00495C65">
      <w:pPr>
        <w:pStyle w:val="13"/>
      </w:pPr>
      <w:r>
        <w:rPr>
          <w:rFonts w:hint="eastAsia"/>
        </w:rPr>
        <w:t>指根据海域基准价格修正体系和评估对象的具体条件确定的各影响因素修正系数之</w:t>
      </w:r>
      <w:proofErr w:type="gramStart"/>
      <w:r>
        <w:rPr>
          <w:rFonts w:hint="eastAsia"/>
        </w:rPr>
        <w:t>和</w:t>
      </w:r>
      <w:proofErr w:type="gramEnd"/>
      <w:r>
        <w:rPr>
          <w:rFonts w:hint="eastAsia"/>
        </w:rPr>
        <w:t>。</w:t>
      </w:r>
    </w:p>
    <w:p w14:paraId="40F0FA16" w14:textId="77777777" w:rsidR="00495C65" w:rsidRDefault="00495C65" w:rsidP="00495C65">
      <w:pPr>
        <w:pStyle w:val="13"/>
      </w:pPr>
      <w:r>
        <w:t>4.其他修正系数</w:t>
      </w:r>
    </w:p>
    <w:p w14:paraId="77B6E5B2" w14:textId="77777777" w:rsidR="00495C65" w:rsidRDefault="00495C65" w:rsidP="00495C65">
      <w:pPr>
        <w:pStyle w:val="13"/>
      </w:pPr>
      <w:r>
        <w:rPr>
          <w:rFonts w:hint="eastAsia"/>
        </w:rPr>
        <w:t>指评估基准日修正系数、海域使用年期修正系数、交易情况修正系数的乘积。</w:t>
      </w:r>
    </w:p>
    <w:p w14:paraId="3E96D759" w14:textId="77777777" w:rsidR="00495C65" w:rsidRDefault="00495C65" w:rsidP="00495C65">
      <w:pPr>
        <w:pStyle w:val="13"/>
      </w:pPr>
      <w:r>
        <w:rPr>
          <w:rFonts w:hint="eastAsia"/>
        </w:rPr>
        <w:t>附录</w:t>
      </w:r>
      <w:r>
        <w:t>C海域价格影响因素指标参考表</w:t>
      </w:r>
    </w:p>
    <w:p w14:paraId="3BD04A92" w14:textId="77777777" w:rsidR="00495C65" w:rsidRDefault="00495C65" w:rsidP="00495C65">
      <w:pPr>
        <w:pStyle w:val="13"/>
        <w:jc w:val="center"/>
      </w:pPr>
      <w:r>
        <w:rPr>
          <w:rFonts w:hint="eastAsia"/>
        </w:rPr>
        <w:t>表</w:t>
      </w:r>
      <w:r>
        <w:t>C.1 造地工程用</w:t>
      </w:r>
      <w:proofErr w:type="gramStart"/>
      <w:r>
        <w:t>海价格</w:t>
      </w:r>
      <w:proofErr w:type="gramEnd"/>
      <w:r>
        <w:t>影响因素分析指标</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2"/>
        <w:gridCol w:w="2046"/>
        <w:gridCol w:w="5452"/>
      </w:tblGrid>
      <w:tr w:rsidR="00495C65" w:rsidRPr="00E52243" w14:paraId="2A19A6AB" w14:textId="77777777" w:rsidTr="00E52243">
        <w:trPr>
          <w:trHeight w:val="487"/>
          <w:tblHeader/>
          <w:jc w:val="center"/>
        </w:trPr>
        <w:tc>
          <w:tcPr>
            <w:tcW w:w="701" w:type="pct"/>
            <w:vAlign w:val="center"/>
          </w:tcPr>
          <w:p w14:paraId="40C9A9B1"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影响因素</w:t>
            </w:r>
          </w:p>
        </w:tc>
        <w:tc>
          <w:tcPr>
            <w:tcW w:w="1173" w:type="pct"/>
            <w:vAlign w:val="center"/>
          </w:tcPr>
          <w:p w14:paraId="137FBF4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分析指标</w:t>
            </w:r>
          </w:p>
        </w:tc>
        <w:tc>
          <w:tcPr>
            <w:tcW w:w="3125" w:type="pct"/>
            <w:vAlign w:val="center"/>
          </w:tcPr>
          <w:p w14:paraId="26DA91D7"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说明</w:t>
            </w:r>
          </w:p>
        </w:tc>
      </w:tr>
      <w:tr w:rsidR="00495C65" w:rsidRPr="00E52243" w14:paraId="7EDBFCB6" w14:textId="77777777" w:rsidTr="00E52243">
        <w:trPr>
          <w:trHeight w:val="325"/>
          <w:jc w:val="center"/>
        </w:trPr>
        <w:tc>
          <w:tcPr>
            <w:tcW w:w="701" w:type="pct"/>
            <w:vMerge w:val="restart"/>
            <w:vAlign w:val="center"/>
          </w:tcPr>
          <w:p w14:paraId="351BC57D"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经济状况</w:t>
            </w:r>
          </w:p>
        </w:tc>
        <w:tc>
          <w:tcPr>
            <w:tcW w:w="1173" w:type="pct"/>
            <w:vAlign w:val="center"/>
          </w:tcPr>
          <w:p w14:paraId="05741E50" w14:textId="77777777" w:rsidR="00495C65" w:rsidRPr="00E52243" w:rsidRDefault="00495C65" w:rsidP="00E52243">
            <w:pPr>
              <w:pStyle w:val="13"/>
              <w:spacing w:line="240" w:lineRule="auto"/>
              <w:ind w:firstLineChars="0" w:firstLine="0"/>
              <w:rPr>
                <w:sz w:val="21"/>
                <w:szCs w:val="21"/>
              </w:rPr>
            </w:pPr>
            <w:r w:rsidRPr="00E52243">
              <w:rPr>
                <w:sz w:val="21"/>
                <w:szCs w:val="21"/>
              </w:rPr>
              <w:t>GDP</w:t>
            </w:r>
          </w:p>
        </w:tc>
        <w:tc>
          <w:tcPr>
            <w:tcW w:w="3125" w:type="pct"/>
            <w:vAlign w:val="center"/>
          </w:tcPr>
          <w:p w14:paraId="52BB84A1"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评估对象所处行政区域的经济规模总量。</w:t>
            </w:r>
          </w:p>
        </w:tc>
      </w:tr>
      <w:tr w:rsidR="00495C65" w:rsidRPr="00E52243" w14:paraId="5874080E" w14:textId="77777777" w:rsidTr="00E52243">
        <w:trPr>
          <w:trHeight w:val="326"/>
          <w:jc w:val="center"/>
        </w:trPr>
        <w:tc>
          <w:tcPr>
            <w:tcW w:w="701" w:type="pct"/>
            <w:vMerge/>
            <w:tcBorders>
              <w:top w:val="nil"/>
            </w:tcBorders>
            <w:vAlign w:val="center"/>
          </w:tcPr>
          <w:p w14:paraId="587AC55B" w14:textId="77777777" w:rsidR="00495C65" w:rsidRPr="00E52243" w:rsidRDefault="00495C65" w:rsidP="00E52243">
            <w:pPr>
              <w:pStyle w:val="13"/>
              <w:spacing w:line="240" w:lineRule="auto"/>
              <w:ind w:firstLineChars="0" w:firstLine="0"/>
              <w:jc w:val="center"/>
              <w:rPr>
                <w:sz w:val="21"/>
                <w:szCs w:val="21"/>
              </w:rPr>
            </w:pPr>
          </w:p>
        </w:tc>
        <w:tc>
          <w:tcPr>
            <w:tcW w:w="1173" w:type="pct"/>
            <w:vAlign w:val="center"/>
          </w:tcPr>
          <w:p w14:paraId="78F21BFB" w14:textId="77777777" w:rsidR="00495C65" w:rsidRPr="00E52243" w:rsidRDefault="00495C65" w:rsidP="00E52243">
            <w:pPr>
              <w:pStyle w:val="13"/>
              <w:spacing w:line="240" w:lineRule="auto"/>
              <w:ind w:firstLineChars="0" w:firstLine="0"/>
              <w:rPr>
                <w:sz w:val="21"/>
                <w:szCs w:val="21"/>
              </w:rPr>
            </w:pPr>
            <w:r w:rsidRPr="00E52243">
              <w:rPr>
                <w:sz w:val="21"/>
                <w:szCs w:val="21"/>
              </w:rPr>
              <w:t>人均GDP</w:t>
            </w:r>
          </w:p>
        </w:tc>
        <w:tc>
          <w:tcPr>
            <w:tcW w:w="3125" w:type="pct"/>
            <w:vAlign w:val="center"/>
          </w:tcPr>
          <w:p w14:paraId="7B2869E9"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评估对象所处行政区域的人均GDP。</w:t>
            </w:r>
          </w:p>
        </w:tc>
      </w:tr>
      <w:tr w:rsidR="00495C65" w:rsidRPr="00E52243" w14:paraId="1B101F6E" w14:textId="77777777" w:rsidTr="00E52243">
        <w:trPr>
          <w:trHeight w:val="326"/>
          <w:jc w:val="center"/>
        </w:trPr>
        <w:tc>
          <w:tcPr>
            <w:tcW w:w="701" w:type="pct"/>
            <w:vMerge w:val="restart"/>
            <w:vAlign w:val="center"/>
          </w:tcPr>
          <w:p w14:paraId="7665D707"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交通条件</w:t>
            </w:r>
          </w:p>
        </w:tc>
        <w:tc>
          <w:tcPr>
            <w:tcW w:w="1173" w:type="pct"/>
            <w:vAlign w:val="center"/>
          </w:tcPr>
          <w:p w14:paraId="3BF70E7F" w14:textId="77777777" w:rsidR="00495C65" w:rsidRPr="00E52243" w:rsidRDefault="00495C65" w:rsidP="00E52243">
            <w:pPr>
              <w:pStyle w:val="13"/>
              <w:spacing w:line="240" w:lineRule="auto"/>
              <w:ind w:firstLineChars="0" w:firstLine="0"/>
              <w:rPr>
                <w:sz w:val="21"/>
                <w:szCs w:val="21"/>
              </w:rPr>
            </w:pPr>
            <w:r w:rsidRPr="00E52243">
              <w:rPr>
                <w:sz w:val="21"/>
                <w:szCs w:val="21"/>
              </w:rPr>
              <w:t>距交通节点距离</w:t>
            </w:r>
          </w:p>
        </w:tc>
        <w:tc>
          <w:tcPr>
            <w:tcW w:w="3125" w:type="pct"/>
            <w:vAlign w:val="center"/>
          </w:tcPr>
          <w:p w14:paraId="0FF3E7CB" w14:textId="77777777" w:rsidR="00495C65" w:rsidRPr="00E52243" w:rsidRDefault="00495C65" w:rsidP="00E52243">
            <w:pPr>
              <w:pStyle w:val="13"/>
              <w:spacing w:line="240" w:lineRule="auto"/>
              <w:ind w:firstLineChars="0" w:firstLine="0"/>
              <w:rPr>
                <w:sz w:val="21"/>
                <w:szCs w:val="21"/>
              </w:rPr>
            </w:pPr>
            <w:r w:rsidRPr="00E52243">
              <w:rPr>
                <w:sz w:val="21"/>
                <w:szCs w:val="21"/>
              </w:rPr>
              <w:t>指评估对象与火车站、汽车站、港口、等级公路的距离。</w:t>
            </w:r>
          </w:p>
        </w:tc>
      </w:tr>
      <w:tr w:rsidR="00495C65" w:rsidRPr="00E52243" w14:paraId="27813E4C" w14:textId="77777777" w:rsidTr="00E52243">
        <w:trPr>
          <w:trHeight w:val="652"/>
          <w:jc w:val="center"/>
        </w:trPr>
        <w:tc>
          <w:tcPr>
            <w:tcW w:w="701" w:type="pct"/>
            <w:vMerge/>
            <w:tcBorders>
              <w:top w:val="nil"/>
            </w:tcBorders>
            <w:vAlign w:val="center"/>
          </w:tcPr>
          <w:p w14:paraId="549279C7" w14:textId="77777777" w:rsidR="00495C65" w:rsidRPr="00E52243" w:rsidRDefault="00495C65" w:rsidP="00E52243">
            <w:pPr>
              <w:pStyle w:val="13"/>
              <w:spacing w:line="240" w:lineRule="auto"/>
              <w:ind w:firstLineChars="0" w:firstLine="0"/>
              <w:jc w:val="center"/>
              <w:rPr>
                <w:sz w:val="21"/>
                <w:szCs w:val="21"/>
              </w:rPr>
            </w:pPr>
          </w:p>
        </w:tc>
        <w:tc>
          <w:tcPr>
            <w:tcW w:w="1173" w:type="pct"/>
            <w:vAlign w:val="center"/>
          </w:tcPr>
          <w:p w14:paraId="1256B7B0" w14:textId="77777777" w:rsidR="00495C65" w:rsidRPr="00E52243" w:rsidRDefault="00495C65" w:rsidP="00E52243">
            <w:pPr>
              <w:pStyle w:val="13"/>
              <w:spacing w:line="240" w:lineRule="auto"/>
              <w:ind w:firstLineChars="0" w:firstLine="0"/>
              <w:rPr>
                <w:sz w:val="21"/>
                <w:szCs w:val="21"/>
              </w:rPr>
            </w:pPr>
            <w:proofErr w:type="gramStart"/>
            <w:r w:rsidRPr="00E52243">
              <w:rPr>
                <w:sz w:val="21"/>
                <w:szCs w:val="21"/>
              </w:rPr>
              <w:t>距社会</w:t>
            </w:r>
            <w:proofErr w:type="gramEnd"/>
            <w:r w:rsidRPr="00E52243">
              <w:rPr>
                <w:sz w:val="21"/>
                <w:szCs w:val="21"/>
              </w:rPr>
              <w:t>经济活动中</w:t>
            </w:r>
          </w:p>
          <w:p w14:paraId="23D1A019" w14:textId="77777777" w:rsidR="00495C65" w:rsidRPr="00E52243" w:rsidRDefault="00495C65" w:rsidP="00E52243">
            <w:pPr>
              <w:pStyle w:val="13"/>
              <w:spacing w:line="240" w:lineRule="auto"/>
              <w:ind w:firstLineChars="0" w:firstLine="0"/>
              <w:rPr>
                <w:sz w:val="21"/>
                <w:szCs w:val="21"/>
              </w:rPr>
            </w:pPr>
            <w:r w:rsidRPr="00E52243">
              <w:rPr>
                <w:sz w:val="21"/>
                <w:szCs w:val="21"/>
              </w:rPr>
              <w:t>心距离</w:t>
            </w:r>
          </w:p>
        </w:tc>
        <w:tc>
          <w:tcPr>
            <w:tcW w:w="3125" w:type="pct"/>
            <w:vAlign w:val="center"/>
          </w:tcPr>
          <w:p w14:paraId="3BF7ABA9" w14:textId="77777777" w:rsidR="00495C65" w:rsidRPr="00E52243" w:rsidRDefault="00495C65" w:rsidP="00E52243">
            <w:pPr>
              <w:pStyle w:val="13"/>
              <w:spacing w:line="240" w:lineRule="auto"/>
              <w:ind w:firstLineChars="0" w:firstLine="0"/>
              <w:rPr>
                <w:sz w:val="21"/>
                <w:szCs w:val="21"/>
              </w:rPr>
            </w:pPr>
            <w:r w:rsidRPr="00E52243">
              <w:rPr>
                <w:sz w:val="21"/>
                <w:szCs w:val="21"/>
              </w:rPr>
              <w:t>指评估对象与商业中心、公共服务设施或城镇的距离。</w:t>
            </w:r>
          </w:p>
        </w:tc>
      </w:tr>
      <w:tr w:rsidR="00495C65" w:rsidRPr="00E52243" w14:paraId="5B33350C" w14:textId="77777777" w:rsidTr="00E52243">
        <w:trPr>
          <w:trHeight w:val="652"/>
          <w:jc w:val="center"/>
        </w:trPr>
        <w:tc>
          <w:tcPr>
            <w:tcW w:w="701" w:type="pct"/>
            <w:vAlign w:val="center"/>
          </w:tcPr>
          <w:p w14:paraId="243FC386"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区划与规划</w:t>
            </w:r>
          </w:p>
        </w:tc>
        <w:tc>
          <w:tcPr>
            <w:tcW w:w="1173" w:type="pct"/>
            <w:vAlign w:val="center"/>
          </w:tcPr>
          <w:p w14:paraId="3D3CC452" w14:textId="77777777" w:rsidR="00495C65" w:rsidRPr="00E52243" w:rsidRDefault="00495C65" w:rsidP="00E52243">
            <w:pPr>
              <w:pStyle w:val="13"/>
              <w:spacing w:line="240" w:lineRule="auto"/>
              <w:ind w:firstLineChars="0" w:firstLine="0"/>
              <w:rPr>
                <w:sz w:val="21"/>
                <w:szCs w:val="21"/>
              </w:rPr>
            </w:pPr>
            <w:r w:rsidRPr="00E52243">
              <w:rPr>
                <w:sz w:val="21"/>
                <w:szCs w:val="21"/>
              </w:rPr>
              <w:t>功能区划符合度</w:t>
            </w:r>
          </w:p>
        </w:tc>
        <w:tc>
          <w:tcPr>
            <w:tcW w:w="3125" w:type="pct"/>
            <w:vAlign w:val="center"/>
          </w:tcPr>
          <w:p w14:paraId="5F44530E"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评估对象与海洋功能区划相关管理要求的符合程度。</w:t>
            </w:r>
          </w:p>
        </w:tc>
      </w:tr>
      <w:tr w:rsidR="00495C65" w:rsidRPr="00E52243" w14:paraId="700B5FC3" w14:textId="77777777" w:rsidTr="00E52243">
        <w:trPr>
          <w:trHeight w:val="977"/>
          <w:jc w:val="center"/>
        </w:trPr>
        <w:tc>
          <w:tcPr>
            <w:tcW w:w="701" w:type="pct"/>
            <w:vAlign w:val="center"/>
          </w:tcPr>
          <w:p w14:paraId="5686FBF4" w14:textId="77777777" w:rsidR="00495C65" w:rsidRPr="00E52243" w:rsidRDefault="00495C65" w:rsidP="00E52243">
            <w:pPr>
              <w:pStyle w:val="13"/>
              <w:spacing w:line="240" w:lineRule="auto"/>
              <w:ind w:firstLineChars="0" w:firstLine="0"/>
              <w:rPr>
                <w:sz w:val="21"/>
                <w:szCs w:val="21"/>
              </w:rPr>
            </w:pPr>
            <w:r w:rsidRPr="00E52243">
              <w:rPr>
                <w:sz w:val="21"/>
                <w:szCs w:val="21"/>
              </w:rPr>
              <w:lastRenderedPageBreak/>
              <w:t>基础设施和配套设施条件</w:t>
            </w:r>
          </w:p>
        </w:tc>
        <w:tc>
          <w:tcPr>
            <w:tcW w:w="1173" w:type="pct"/>
            <w:vAlign w:val="center"/>
          </w:tcPr>
          <w:p w14:paraId="137C9D61" w14:textId="77777777" w:rsidR="00495C65" w:rsidRPr="00E52243" w:rsidRDefault="00495C65" w:rsidP="00E52243">
            <w:pPr>
              <w:pStyle w:val="13"/>
              <w:spacing w:line="240" w:lineRule="auto"/>
              <w:ind w:firstLineChars="0" w:firstLine="0"/>
              <w:jc w:val="left"/>
              <w:rPr>
                <w:sz w:val="21"/>
                <w:szCs w:val="21"/>
              </w:rPr>
            </w:pPr>
            <w:r w:rsidRPr="00E52243">
              <w:rPr>
                <w:sz w:val="21"/>
                <w:szCs w:val="21"/>
              </w:rPr>
              <w:t>基础设施齐全性</w:t>
            </w:r>
          </w:p>
        </w:tc>
        <w:tc>
          <w:tcPr>
            <w:tcW w:w="3125" w:type="pct"/>
            <w:vAlign w:val="center"/>
          </w:tcPr>
          <w:p w14:paraId="2EAE4EA2" w14:textId="77777777" w:rsidR="00495C65" w:rsidRPr="00E52243" w:rsidRDefault="00495C65" w:rsidP="00E52243">
            <w:pPr>
              <w:pStyle w:val="13"/>
              <w:spacing w:line="240" w:lineRule="auto"/>
              <w:ind w:firstLineChars="0" w:firstLine="0"/>
              <w:rPr>
                <w:sz w:val="21"/>
                <w:szCs w:val="21"/>
              </w:rPr>
            </w:pPr>
            <w:r w:rsidRPr="00E52243">
              <w:rPr>
                <w:sz w:val="21"/>
                <w:szCs w:val="21"/>
              </w:rPr>
              <w:t>道路、供水、排水、供电、供气、供热、通讯等基础设施的齐全性及保证率。</w:t>
            </w:r>
          </w:p>
        </w:tc>
      </w:tr>
      <w:tr w:rsidR="00495C65" w:rsidRPr="00E52243" w14:paraId="047E2343" w14:textId="77777777" w:rsidTr="00E52243">
        <w:trPr>
          <w:trHeight w:val="652"/>
          <w:jc w:val="center"/>
        </w:trPr>
        <w:tc>
          <w:tcPr>
            <w:tcW w:w="701" w:type="pct"/>
            <w:vAlign w:val="center"/>
          </w:tcPr>
          <w:p w14:paraId="7F659D8B"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毗邻土地情况</w:t>
            </w:r>
          </w:p>
        </w:tc>
        <w:tc>
          <w:tcPr>
            <w:tcW w:w="1173" w:type="pct"/>
            <w:vAlign w:val="center"/>
          </w:tcPr>
          <w:p w14:paraId="7859D84D" w14:textId="77777777" w:rsidR="00495C65" w:rsidRPr="00E52243" w:rsidRDefault="00495C65" w:rsidP="00E52243">
            <w:pPr>
              <w:pStyle w:val="13"/>
              <w:spacing w:line="240" w:lineRule="auto"/>
              <w:ind w:firstLineChars="0" w:firstLine="0"/>
              <w:rPr>
                <w:sz w:val="21"/>
                <w:szCs w:val="21"/>
              </w:rPr>
            </w:pPr>
            <w:r w:rsidRPr="00E52243">
              <w:rPr>
                <w:sz w:val="21"/>
                <w:szCs w:val="21"/>
              </w:rPr>
              <w:t>土地级别与基准价格</w:t>
            </w:r>
          </w:p>
        </w:tc>
        <w:tc>
          <w:tcPr>
            <w:tcW w:w="3125" w:type="pct"/>
            <w:vAlign w:val="center"/>
          </w:tcPr>
          <w:p w14:paraId="29CBF716" w14:textId="77777777" w:rsidR="00495C65" w:rsidRPr="00E52243" w:rsidRDefault="00495C65" w:rsidP="00E52243">
            <w:pPr>
              <w:pStyle w:val="13"/>
              <w:spacing w:line="240" w:lineRule="auto"/>
              <w:ind w:firstLineChars="0" w:firstLine="0"/>
              <w:rPr>
                <w:sz w:val="21"/>
                <w:szCs w:val="21"/>
              </w:rPr>
            </w:pPr>
          </w:p>
          <w:p w14:paraId="10D2DD3D"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评估对象毗邻土地的用地类型、级别与基准价格。</w:t>
            </w:r>
          </w:p>
        </w:tc>
      </w:tr>
      <w:tr w:rsidR="00495C65" w:rsidRPr="00E52243" w14:paraId="204BFAB0" w14:textId="77777777" w:rsidTr="00E52243">
        <w:trPr>
          <w:trHeight w:val="977"/>
          <w:jc w:val="center"/>
        </w:trPr>
        <w:tc>
          <w:tcPr>
            <w:tcW w:w="701" w:type="pct"/>
            <w:vAlign w:val="center"/>
          </w:tcPr>
          <w:p w14:paraId="761B7A5B"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工程建设条件</w:t>
            </w:r>
          </w:p>
        </w:tc>
        <w:tc>
          <w:tcPr>
            <w:tcW w:w="1173" w:type="pct"/>
            <w:vAlign w:val="center"/>
          </w:tcPr>
          <w:p w14:paraId="1731FE08" w14:textId="77777777" w:rsidR="00495C65" w:rsidRPr="00E52243" w:rsidRDefault="00495C65" w:rsidP="00E52243">
            <w:pPr>
              <w:pStyle w:val="13"/>
              <w:spacing w:line="240" w:lineRule="auto"/>
              <w:ind w:firstLineChars="0" w:firstLine="0"/>
              <w:rPr>
                <w:sz w:val="21"/>
                <w:szCs w:val="21"/>
              </w:rPr>
            </w:pPr>
            <w:r w:rsidRPr="00E52243">
              <w:rPr>
                <w:sz w:val="21"/>
                <w:szCs w:val="21"/>
              </w:rPr>
              <w:t>填海造地适宜性</w:t>
            </w:r>
          </w:p>
        </w:tc>
        <w:tc>
          <w:tcPr>
            <w:tcW w:w="3125" w:type="pct"/>
            <w:vAlign w:val="center"/>
          </w:tcPr>
          <w:p w14:paraId="73EB2DE1" w14:textId="77777777" w:rsidR="00495C65" w:rsidRPr="00E52243" w:rsidRDefault="00495C65" w:rsidP="00E52243">
            <w:pPr>
              <w:pStyle w:val="13"/>
              <w:spacing w:line="240" w:lineRule="auto"/>
              <w:ind w:firstLineChars="0" w:firstLine="0"/>
              <w:rPr>
                <w:sz w:val="21"/>
                <w:szCs w:val="21"/>
              </w:rPr>
            </w:pPr>
            <w:r w:rsidRPr="00E52243">
              <w:rPr>
                <w:sz w:val="21"/>
                <w:szCs w:val="21"/>
              </w:rPr>
              <w:t>综合考虑评估对象所在海域的地形地貌、岸滩冲淤变化趋势、海洋水动力条件、泥沙输移特征、工程地质条件等，确定对填海造地工程的适宜程度。</w:t>
            </w:r>
          </w:p>
        </w:tc>
      </w:tr>
    </w:tbl>
    <w:p w14:paraId="1DDD05C9" w14:textId="77777777" w:rsidR="00495C65" w:rsidRPr="00E52243" w:rsidRDefault="00495C65" w:rsidP="00E52243">
      <w:pPr>
        <w:pStyle w:val="13"/>
        <w:ind w:firstLineChars="0" w:firstLine="0"/>
        <w:jc w:val="center"/>
        <w:rPr>
          <w:sz w:val="21"/>
          <w:szCs w:val="21"/>
        </w:rPr>
      </w:pPr>
      <w:r w:rsidRPr="00E52243">
        <w:rPr>
          <w:rFonts w:hint="eastAsia"/>
          <w:sz w:val="21"/>
          <w:szCs w:val="21"/>
        </w:rPr>
        <w:t>表</w:t>
      </w:r>
      <w:r w:rsidRPr="00E52243">
        <w:rPr>
          <w:sz w:val="21"/>
          <w:szCs w:val="21"/>
        </w:rPr>
        <w:t>C.2 交通运输用</w:t>
      </w:r>
      <w:proofErr w:type="gramStart"/>
      <w:r w:rsidRPr="00E52243">
        <w:rPr>
          <w:sz w:val="21"/>
          <w:szCs w:val="21"/>
        </w:rPr>
        <w:t>海价格</w:t>
      </w:r>
      <w:proofErr w:type="gramEnd"/>
      <w:r w:rsidRPr="00E52243">
        <w:rPr>
          <w:sz w:val="21"/>
          <w:szCs w:val="21"/>
        </w:rPr>
        <w:t>影响因素分析指标</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046"/>
        <w:gridCol w:w="5450"/>
      </w:tblGrid>
      <w:tr w:rsidR="00495C65" w:rsidRPr="00E52243" w14:paraId="63A4AFA4" w14:textId="77777777" w:rsidTr="00E52243">
        <w:trPr>
          <w:trHeight w:val="489"/>
          <w:jc w:val="center"/>
        </w:trPr>
        <w:tc>
          <w:tcPr>
            <w:tcW w:w="702" w:type="pct"/>
            <w:vAlign w:val="center"/>
          </w:tcPr>
          <w:p w14:paraId="4333AD50"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影响因素</w:t>
            </w:r>
          </w:p>
        </w:tc>
        <w:tc>
          <w:tcPr>
            <w:tcW w:w="1173" w:type="pct"/>
            <w:vAlign w:val="center"/>
          </w:tcPr>
          <w:p w14:paraId="308C9FDE"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分析指标</w:t>
            </w:r>
          </w:p>
        </w:tc>
        <w:tc>
          <w:tcPr>
            <w:tcW w:w="3125" w:type="pct"/>
            <w:vAlign w:val="center"/>
          </w:tcPr>
          <w:p w14:paraId="1DDDDE45"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说明</w:t>
            </w:r>
          </w:p>
        </w:tc>
      </w:tr>
      <w:tr w:rsidR="00495C65" w:rsidRPr="00E52243" w14:paraId="4C2644C0" w14:textId="77777777" w:rsidTr="00E52243">
        <w:trPr>
          <w:trHeight w:val="325"/>
          <w:jc w:val="center"/>
        </w:trPr>
        <w:tc>
          <w:tcPr>
            <w:tcW w:w="702" w:type="pct"/>
            <w:vMerge w:val="restart"/>
            <w:vAlign w:val="center"/>
          </w:tcPr>
          <w:p w14:paraId="3FF317B8"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经济状况</w:t>
            </w:r>
          </w:p>
        </w:tc>
        <w:tc>
          <w:tcPr>
            <w:tcW w:w="1173" w:type="pct"/>
            <w:vAlign w:val="center"/>
          </w:tcPr>
          <w:p w14:paraId="6BE1D252" w14:textId="77777777" w:rsidR="00495C65" w:rsidRPr="00E52243" w:rsidRDefault="00495C65" w:rsidP="00E52243">
            <w:pPr>
              <w:pStyle w:val="13"/>
              <w:spacing w:line="240" w:lineRule="auto"/>
              <w:ind w:firstLineChars="0" w:firstLine="0"/>
              <w:rPr>
                <w:sz w:val="21"/>
                <w:szCs w:val="21"/>
              </w:rPr>
            </w:pPr>
            <w:r w:rsidRPr="00E52243">
              <w:rPr>
                <w:sz w:val="21"/>
                <w:szCs w:val="21"/>
              </w:rPr>
              <w:t>直接腹地GDP</w:t>
            </w:r>
          </w:p>
        </w:tc>
        <w:tc>
          <w:tcPr>
            <w:tcW w:w="3125" w:type="pct"/>
            <w:vAlign w:val="center"/>
          </w:tcPr>
          <w:p w14:paraId="514E83E2" w14:textId="77777777" w:rsidR="00495C65" w:rsidRPr="00E52243" w:rsidRDefault="00495C65" w:rsidP="00E52243">
            <w:pPr>
              <w:pStyle w:val="13"/>
              <w:spacing w:line="240" w:lineRule="auto"/>
              <w:ind w:firstLineChars="0" w:firstLine="0"/>
              <w:rPr>
                <w:sz w:val="21"/>
                <w:szCs w:val="21"/>
              </w:rPr>
            </w:pPr>
            <w:r w:rsidRPr="00E52243">
              <w:rPr>
                <w:sz w:val="21"/>
                <w:szCs w:val="21"/>
              </w:rPr>
              <w:t>港口所处行政区域的经济规模总量。</w:t>
            </w:r>
          </w:p>
        </w:tc>
      </w:tr>
      <w:tr w:rsidR="00495C65" w:rsidRPr="00E52243" w14:paraId="1E8E2E37" w14:textId="77777777" w:rsidTr="00E52243">
        <w:trPr>
          <w:trHeight w:val="325"/>
          <w:jc w:val="center"/>
        </w:trPr>
        <w:tc>
          <w:tcPr>
            <w:tcW w:w="702" w:type="pct"/>
            <w:vMerge/>
            <w:vAlign w:val="center"/>
          </w:tcPr>
          <w:p w14:paraId="732856CF" w14:textId="77777777" w:rsidR="00495C65" w:rsidRPr="00E52243" w:rsidRDefault="00495C65" w:rsidP="00E52243">
            <w:pPr>
              <w:pStyle w:val="13"/>
              <w:spacing w:line="240" w:lineRule="auto"/>
              <w:ind w:firstLineChars="0" w:firstLine="0"/>
              <w:jc w:val="center"/>
              <w:rPr>
                <w:sz w:val="21"/>
                <w:szCs w:val="21"/>
              </w:rPr>
            </w:pPr>
          </w:p>
        </w:tc>
        <w:tc>
          <w:tcPr>
            <w:tcW w:w="1173" w:type="pct"/>
            <w:vAlign w:val="center"/>
          </w:tcPr>
          <w:p w14:paraId="6D9733F7" w14:textId="77777777" w:rsidR="00495C65" w:rsidRPr="00E52243" w:rsidRDefault="00495C65" w:rsidP="00E52243">
            <w:pPr>
              <w:pStyle w:val="13"/>
              <w:spacing w:line="240" w:lineRule="auto"/>
              <w:ind w:firstLineChars="0" w:firstLine="0"/>
              <w:rPr>
                <w:sz w:val="21"/>
                <w:szCs w:val="21"/>
              </w:rPr>
            </w:pPr>
            <w:r w:rsidRPr="00E52243">
              <w:rPr>
                <w:sz w:val="21"/>
                <w:szCs w:val="21"/>
              </w:rPr>
              <w:t>间接腹地GDP</w:t>
            </w:r>
          </w:p>
        </w:tc>
        <w:tc>
          <w:tcPr>
            <w:tcW w:w="3125" w:type="pct"/>
            <w:vAlign w:val="center"/>
          </w:tcPr>
          <w:p w14:paraId="5CB172CE" w14:textId="77777777" w:rsidR="00495C65" w:rsidRPr="00E52243" w:rsidRDefault="00495C65" w:rsidP="00E52243">
            <w:pPr>
              <w:pStyle w:val="13"/>
              <w:spacing w:line="240" w:lineRule="auto"/>
              <w:ind w:firstLineChars="0" w:firstLine="0"/>
              <w:rPr>
                <w:sz w:val="21"/>
                <w:szCs w:val="21"/>
              </w:rPr>
            </w:pPr>
            <w:r w:rsidRPr="00E52243">
              <w:rPr>
                <w:sz w:val="21"/>
                <w:szCs w:val="21"/>
              </w:rPr>
              <w:t>与相邻港口分享物资运输的行政区域的经济规模总量。</w:t>
            </w:r>
          </w:p>
        </w:tc>
      </w:tr>
      <w:tr w:rsidR="00495C65" w:rsidRPr="00E52243" w14:paraId="2333C7C3" w14:textId="77777777" w:rsidTr="00E52243">
        <w:trPr>
          <w:trHeight w:val="651"/>
          <w:jc w:val="center"/>
        </w:trPr>
        <w:tc>
          <w:tcPr>
            <w:tcW w:w="702" w:type="pct"/>
            <w:vAlign w:val="center"/>
          </w:tcPr>
          <w:p w14:paraId="4F8FC49A"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交通条件</w:t>
            </w:r>
          </w:p>
        </w:tc>
        <w:tc>
          <w:tcPr>
            <w:tcW w:w="1173" w:type="pct"/>
            <w:vAlign w:val="center"/>
          </w:tcPr>
          <w:p w14:paraId="597632DE" w14:textId="77777777" w:rsidR="00495C65" w:rsidRPr="00E52243" w:rsidRDefault="00495C65" w:rsidP="00E52243">
            <w:pPr>
              <w:pStyle w:val="13"/>
              <w:spacing w:line="240" w:lineRule="auto"/>
              <w:ind w:firstLineChars="0" w:firstLine="0"/>
              <w:rPr>
                <w:sz w:val="21"/>
                <w:szCs w:val="21"/>
              </w:rPr>
            </w:pPr>
            <w:r w:rsidRPr="00E52243">
              <w:rPr>
                <w:sz w:val="21"/>
                <w:szCs w:val="21"/>
              </w:rPr>
              <w:t>集疏运方式</w:t>
            </w:r>
          </w:p>
        </w:tc>
        <w:tc>
          <w:tcPr>
            <w:tcW w:w="3125" w:type="pct"/>
            <w:vAlign w:val="center"/>
          </w:tcPr>
          <w:p w14:paraId="268A5035" w14:textId="77777777" w:rsidR="00495C65" w:rsidRPr="00E52243" w:rsidRDefault="00495C65" w:rsidP="00E52243">
            <w:pPr>
              <w:pStyle w:val="13"/>
              <w:spacing w:line="240" w:lineRule="auto"/>
              <w:ind w:firstLineChars="0" w:firstLine="0"/>
              <w:rPr>
                <w:sz w:val="21"/>
                <w:szCs w:val="21"/>
              </w:rPr>
            </w:pPr>
            <w:r w:rsidRPr="00E52243">
              <w:rPr>
                <w:sz w:val="21"/>
                <w:szCs w:val="21"/>
              </w:rPr>
              <w:t>铁路运输、公路运输、水路运输、管道运输、航空运输的齐全性与运输规模。</w:t>
            </w:r>
          </w:p>
        </w:tc>
      </w:tr>
      <w:tr w:rsidR="00495C65" w:rsidRPr="00E52243" w14:paraId="3BB7C817" w14:textId="77777777" w:rsidTr="00E52243">
        <w:trPr>
          <w:trHeight w:val="326"/>
          <w:jc w:val="center"/>
        </w:trPr>
        <w:tc>
          <w:tcPr>
            <w:tcW w:w="702" w:type="pct"/>
            <w:vAlign w:val="center"/>
          </w:tcPr>
          <w:p w14:paraId="14835AC2"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区划与规划</w:t>
            </w:r>
          </w:p>
        </w:tc>
        <w:tc>
          <w:tcPr>
            <w:tcW w:w="1173" w:type="pct"/>
            <w:vAlign w:val="center"/>
          </w:tcPr>
          <w:p w14:paraId="0E3D92EE" w14:textId="77777777" w:rsidR="00495C65" w:rsidRPr="00E52243" w:rsidRDefault="00495C65" w:rsidP="00E52243">
            <w:pPr>
              <w:pStyle w:val="13"/>
              <w:spacing w:line="240" w:lineRule="auto"/>
              <w:ind w:firstLineChars="0" w:firstLine="0"/>
              <w:rPr>
                <w:sz w:val="21"/>
                <w:szCs w:val="21"/>
              </w:rPr>
            </w:pPr>
            <w:r w:rsidRPr="00E52243">
              <w:rPr>
                <w:sz w:val="21"/>
                <w:szCs w:val="21"/>
              </w:rPr>
              <w:t>功能区划符合度</w:t>
            </w:r>
          </w:p>
        </w:tc>
        <w:tc>
          <w:tcPr>
            <w:tcW w:w="3125" w:type="pct"/>
            <w:vAlign w:val="center"/>
          </w:tcPr>
          <w:p w14:paraId="6B3A6EC1"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评估对象与海洋功能区划相关管理要求的符合程度。</w:t>
            </w:r>
          </w:p>
        </w:tc>
      </w:tr>
      <w:tr w:rsidR="00495C65" w:rsidRPr="00E52243" w14:paraId="5B8886E1" w14:textId="77777777" w:rsidTr="00E52243">
        <w:trPr>
          <w:trHeight w:val="652"/>
          <w:jc w:val="center"/>
        </w:trPr>
        <w:tc>
          <w:tcPr>
            <w:tcW w:w="702" w:type="pct"/>
            <w:vMerge w:val="restart"/>
            <w:vAlign w:val="center"/>
          </w:tcPr>
          <w:p w14:paraId="1483FC71"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基础设施和配套设施条件</w:t>
            </w:r>
          </w:p>
        </w:tc>
        <w:tc>
          <w:tcPr>
            <w:tcW w:w="1173" w:type="pct"/>
            <w:vAlign w:val="center"/>
          </w:tcPr>
          <w:p w14:paraId="2678259D" w14:textId="77777777" w:rsidR="00495C65" w:rsidRPr="00E52243" w:rsidRDefault="00495C65" w:rsidP="00E52243">
            <w:pPr>
              <w:pStyle w:val="13"/>
              <w:spacing w:line="240" w:lineRule="auto"/>
              <w:ind w:firstLineChars="0" w:firstLine="0"/>
              <w:rPr>
                <w:sz w:val="21"/>
                <w:szCs w:val="21"/>
              </w:rPr>
            </w:pPr>
            <w:r w:rsidRPr="00E52243">
              <w:rPr>
                <w:sz w:val="21"/>
                <w:szCs w:val="21"/>
              </w:rPr>
              <w:t>基础设施齐全性</w:t>
            </w:r>
          </w:p>
        </w:tc>
        <w:tc>
          <w:tcPr>
            <w:tcW w:w="3125" w:type="pct"/>
            <w:vAlign w:val="center"/>
          </w:tcPr>
          <w:p w14:paraId="6A47B21A" w14:textId="77777777" w:rsidR="00495C65" w:rsidRPr="00E52243" w:rsidRDefault="00495C65" w:rsidP="00E52243">
            <w:pPr>
              <w:pStyle w:val="13"/>
              <w:spacing w:line="240" w:lineRule="auto"/>
              <w:ind w:firstLineChars="0" w:firstLine="0"/>
              <w:rPr>
                <w:sz w:val="21"/>
                <w:szCs w:val="21"/>
              </w:rPr>
            </w:pPr>
            <w:r w:rsidRPr="00E52243">
              <w:rPr>
                <w:sz w:val="21"/>
                <w:szCs w:val="21"/>
              </w:rPr>
              <w:t>道路、供水、排水、供电、供气、供热、通讯等基础设施的齐全性及保证率。</w:t>
            </w:r>
          </w:p>
        </w:tc>
      </w:tr>
      <w:tr w:rsidR="00495C65" w:rsidRPr="00E52243" w14:paraId="1CDAF10D" w14:textId="77777777" w:rsidTr="00E52243">
        <w:trPr>
          <w:trHeight w:val="326"/>
          <w:jc w:val="center"/>
        </w:trPr>
        <w:tc>
          <w:tcPr>
            <w:tcW w:w="702" w:type="pct"/>
            <w:vMerge/>
            <w:vAlign w:val="center"/>
          </w:tcPr>
          <w:p w14:paraId="1FAB541C" w14:textId="77777777" w:rsidR="00495C65" w:rsidRPr="00E52243" w:rsidRDefault="00495C65" w:rsidP="00E52243">
            <w:pPr>
              <w:pStyle w:val="13"/>
              <w:spacing w:line="240" w:lineRule="auto"/>
              <w:ind w:firstLineChars="0" w:firstLine="0"/>
              <w:jc w:val="center"/>
              <w:rPr>
                <w:sz w:val="21"/>
                <w:szCs w:val="21"/>
              </w:rPr>
            </w:pPr>
          </w:p>
        </w:tc>
        <w:tc>
          <w:tcPr>
            <w:tcW w:w="1173" w:type="pct"/>
            <w:vAlign w:val="center"/>
          </w:tcPr>
          <w:p w14:paraId="0AC67F01" w14:textId="77777777" w:rsidR="00495C65" w:rsidRPr="00E52243" w:rsidRDefault="00495C65" w:rsidP="00E52243">
            <w:pPr>
              <w:pStyle w:val="13"/>
              <w:spacing w:line="240" w:lineRule="auto"/>
              <w:ind w:firstLineChars="0" w:firstLine="0"/>
              <w:rPr>
                <w:sz w:val="21"/>
                <w:szCs w:val="21"/>
              </w:rPr>
            </w:pPr>
            <w:r w:rsidRPr="00E52243">
              <w:rPr>
                <w:sz w:val="21"/>
                <w:szCs w:val="21"/>
              </w:rPr>
              <w:t>配套设施完善度</w:t>
            </w:r>
          </w:p>
        </w:tc>
        <w:tc>
          <w:tcPr>
            <w:tcW w:w="3125" w:type="pct"/>
            <w:vAlign w:val="center"/>
          </w:tcPr>
          <w:p w14:paraId="7C03121E" w14:textId="77777777" w:rsidR="00495C65" w:rsidRPr="00E52243" w:rsidRDefault="00495C65" w:rsidP="00E52243">
            <w:pPr>
              <w:pStyle w:val="13"/>
              <w:spacing w:line="240" w:lineRule="auto"/>
              <w:ind w:firstLineChars="0" w:firstLine="0"/>
              <w:rPr>
                <w:sz w:val="21"/>
                <w:szCs w:val="21"/>
              </w:rPr>
            </w:pPr>
            <w:r w:rsidRPr="00E52243">
              <w:rPr>
                <w:sz w:val="21"/>
                <w:szCs w:val="21"/>
              </w:rPr>
              <w:t>堆场、航道、锚地、海关、海事和商检等配套设施完善程度。</w:t>
            </w:r>
          </w:p>
        </w:tc>
      </w:tr>
      <w:tr w:rsidR="00495C65" w:rsidRPr="00E52243" w14:paraId="26FAC5E2" w14:textId="77777777" w:rsidTr="00E52243">
        <w:trPr>
          <w:trHeight w:val="326"/>
          <w:jc w:val="center"/>
        </w:trPr>
        <w:tc>
          <w:tcPr>
            <w:tcW w:w="702" w:type="pct"/>
            <w:vMerge w:val="restart"/>
            <w:vAlign w:val="center"/>
          </w:tcPr>
          <w:p w14:paraId="165E45C9"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港口等级和规模</w:t>
            </w:r>
          </w:p>
        </w:tc>
        <w:tc>
          <w:tcPr>
            <w:tcW w:w="1173" w:type="pct"/>
            <w:vAlign w:val="center"/>
          </w:tcPr>
          <w:p w14:paraId="39A7DD21" w14:textId="77777777" w:rsidR="00495C65" w:rsidRPr="00E52243" w:rsidRDefault="00495C65" w:rsidP="00E52243">
            <w:pPr>
              <w:pStyle w:val="13"/>
              <w:spacing w:line="240" w:lineRule="auto"/>
              <w:ind w:firstLineChars="0" w:firstLine="0"/>
              <w:rPr>
                <w:sz w:val="21"/>
                <w:szCs w:val="21"/>
              </w:rPr>
            </w:pPr>
            <w:r w:rsidRPr="00E52243">
              <w:rPr>
                <w:sz w:val="21"/>
                <w:szCs w:val="21"/>
              </w:rPr>
              <w:t>港口等级</w:t>
            </w:r>
          </w:p>
        </w:tc>
        <w:tc>
          <w:tcPr>
            <w:tcW w:w="3125" w:type="pct"/>
            <w:vAlign w:val="center"/>
          </w:tcPr>
          <w:p w14:paraId="77DAFBCC"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评估对象所属港口的级别或者定位。</w:t>
            </w:r>
          </w:p>
        </w:tc>
      </w:tr>
      <w:tr w:rsidR="00495C65" w:rsidRPr="00E52243" w14:paraId="3D2C6243" w14:textId="77777777" w:rsidTr="00E52243">
        <w:trPr>
          <w:trHeight w:val="652"/>
          <w:jc w:val="center"/>
        </w:trPr>
        <w:tc>
          <w:tcPr>
            <w:tcW w:w="702" w:type="pct"/>
            <w:vMerge/>
            <w:vAlign w:val="center"/>
          </w:tcPr>
          <w:p w14:paraId="7D8643D8" w14:textId="77777777" w:rsidR="00495C65" w:rsidRPr="00E52243" w:rsidRDefault="00495C65" w:rsidP="00E52243">
            <w:pPr>
              <w:pStyle w:val="13"/>
              <w:spacing w:line="240" w:lineRule="auto"/>
              <w:ind w:firstLineChars="0" w:firstLine="0"/>
              <w:jc w:val="center"/>
              <w:rPr>
                <w:sz w:val="21"/>
                <w:szCs w:val="21"/>
              </w:rPr>
            </w:pPr>
          </w:p>
        </w:tc>
        <w:tc>
          <w:tcPr>
            <w:tcW w:w="1173" w:type="pct"/>
            <w:vAlign w:val="center"/>
          </w:tcPr>
          <w:p w14:paraId="22E5A005" w14:textId="77777777" w:rsidR="00495C65" w:rsidRPr="00E52243" w:rsidRDefault="00495C65" w:rsidP="00E52243">
            <w:pPr>
              <w:pStyle w:val="13"/>
              <w:spacing w:line="240" w:lineRule="auto"/>
              <w:ind w:firstLineChars="0" w:firstLine="0"/>
              <w:rPr>
                <w:sz w:val="21"/>
                <w:szCs w:val="21"/>
              </w:rPr>
            </w:pPr>
            <w:r w:rsidRPr="00E52243">
              <w:rPr>
                <w:sz w:val="21"/>
                <w:szCs w:val="21"/>
              </w:rPr>
              <w:t>港口吞吐量</w:t>
            </w:r>
          </w:p>
        </w:tc>
        <w:tc>
          <w:tcPr>
            <w:tcW w:w="3125" w:type="pct"/>
            <w:vAlign w:val="center"/>
          </w:tcPr>
          <w:p w14:paraId="5E389EAE"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评估对象所属港口一年间经水运输出、输入港区并经过装卸作业的货物总量。</w:t>
            </w:r>
          </w:p>
        </w:tc>
      </w:tr>
      <w:tr w:rsidR="00495C65" w:rsidRPr="00E52243" w14:paraId="48991F38" w14:textId="77777777" w:rsidTr="00E52243">
        <w:trPr>
          <w:trHeight w:val="652"/>
          <w:jc w:val="center"/>
        </w:trPr>
        <w:tc>
          <w:tcPr>
            <w:tcW w:w="702" w:type="pct"/>
            <w:vMerge w:val="restart"/>
            <w:vAlign w:val="center"/>
          </w:tcPr>
          <w:p w14:paraId="6AC27124"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码头建设规模</w:t>
            </w:r>
          </w:p>
        </w:tc>
        <w:tc>
          <w:tcPr>
            <w:tcW w:w="1173" w:type="pct"/>
            <w:vAlign w:val="center"/>
          </w:tcPr>
          <w:p w14:paraId="407B52E3" w14:textId="77777777" w:rsidR="00495C65" w:rsidRPr="00E52243" w:rsidRDefault="00495C65" w:rsidP="00E52243">
            <w:pPr>
              <w:pStyle w:val="13"/>
              <w:spacing w:line="240" w:lineRule="auto"/>
              <w:ind w:firstLineChars="0" w:firstLine="0"/>
              <w:rPr>
                <w:sz w:val="21"/>
                <w:szCs w:val="21"/>
              </w:rPr>
            </w:pPr>
            <w:r w:rsidRPr="00E52243">
              <w:rPr>
                <w:sz w:val="21"/>
                <w:szCs w:val="21"/>
              </w:rPr>
              <w:t>码头通过能力</w:t>
            </w:r>
          </w:p>
        </w:tc>
        <w:tc>
          <w:tcPr>
            <w:tcW w:w="3125" w:type="pct"/>
            <w:vAlign w:val="center"/>
          </w:tcPr>
          <w:p w14:paraId="56279C04" w14:textId="77777777" w:rsidR="00495C65" w:rsidRPr="00E52243" w:rsidRDefault="00495C65" w:rsidP="00E52243">
            <w:pPr>
              <w:pStyle w:val="13"/>
              <w:spacing w:line="240" w:lineRule="auto"/>
              <w:ind w:firstLineChars="0" w:firstLine="0"/>
              <w:rPr>
                <w:sz w:val="21"/>
                <w:szCs w:val="21"/>
              </w:rPr>
            </w:pPr>
            <w:r w:rsidRPr="00E52243">
              <w:rPr>
                <w:sz w:val="21"/>
                <w:szCs w:val="21"/>
              </w:rPr>
              <w:t>码头各泊位在一定时间内能够装卸船舶所载货物的额定数量的总和。</w:t>
            </w:r>
          </w:p>
        </w:tc>
      </w:tr>
      <w:tr w:rsidR="00495C65" w:rsidRPr="00E52243" w14:paraId="112D3090" w14:textId="77777777" w:rsidTr="00E52243">
        <w:tblPrEx>
          <w:jc w:val="left"/>
        </w:tblPrEx>
        <w:trPr>
          <w:trHeight w:val="325"/>
        </w:trPr>
        <w:tc>
          <w:tcPr>
            <w:tcW w:w="702" w:type="pct"/>
            <w:vMerge/>
            <w:vAlign w:val="center"/>
          </w:tcPr>
          <w:p w14:paraId="354F720C" w14:textId="77777777" w:rsidR="00495C65" w:rsidRPr="00E52243" w:rsidRDefault="00495C65" w:rsidP="00E52243">
            <w:pPr>
              <w:pStyle w:val="13"/>
              <w:spacing w:line="240" w:lineRule="auto"/>
              <w:ind w:firstLineChars="0" w:firstLine="0"/>
              <w:jc w:val="center"/>
              <w:rPr>
                <w:sz w:val="21"/>
                <w:szCs w:val="21"/>
              </w:rPr>
            </w:pPr>
          </w:p>
        </w:tc>
        <w:tc>
          <w:tcPr>
            <w:tcW w:w="1173" w:type="pct"/>
            <w:vAlign w:val="center"/>
          </w:tcPr>
          <w:p w14:paraId="43D713DF" w14:textId="77777777" w:rsidR="00495C65" w:rsidRPr="00E52243" w:rsidRDefault="00495C65" w:rsidP="00E52243">
            <w:pPr>
              <w:pStyle w:val="13"/>
              <w:spacing w:line="240" w:lineRule="auto"/>
              <w:ind w:firstLineChars="0" w:firstLine="0"/>
              <w:rPr>
                <w:sz w:val="21"/>
                <w:szCs w:val="21"/>
              </w:rPr>
            </w:pPr>
            <w:r w:rsidRPr="00E52243">
              <w:rPr>
                <w:sz w:val="21"/>
                <w:szCs w:val="21"/>
              </w:rPr>
              <w:t>码头设计吨位</w:t>
            </w:r>
          </w:p>
        </w:tc>
        <w:tc>
          <w:tcPr>
            <w:tcW w:w="3125" w:type="pct"/>
            <w:vAlign w:val="center"/>
          </w:tcPr>
          <w:p w14:paraId="2D221FDD" w14:textId="77777777" w:rsidR="00495C65" w:rsidRPr="00E52243" w:rsidRDefault="00495C65" w:rsidP="00E52243">
            <w:pPr>
              <w:pStyle w:val="13"/>
              <w:spacing w:line="240" w:lineRule="auto"/>
              <w:ind w:firstLineChars="0" w:firstLine="0"/>
              <w:rPr>
                <w:sz w:val="21"/>
                <w:szCs w:val="21"/>
              </w:rPr>
            </w:pPr>
            <w:r w:rsidRPr="00E52243">
              <w:rPr>
                <w:sz w:val="21"/>
                <w:szCs w:val="21"/>
              </w:rPr>
              <w:t>码头能允许靠泊的最大船舶吨位。</w:t>
            </w:r>
          </w:p>
        </w:tc>
      </w:tr>
      <w:tr w:rsidR="00495C65" w:rsidRPr="00E52243" w14:paraId="6B1457F8" w14:textId="77777777" w:rsidTr="00E52243">
        <w:tblPrEx>
          <w:jc w:val="left"/>
        </w:tblPrEx>
        <w:trPr>
          <w:trHeight w:val="652"/>
        </w:trPr>
        <w:tc>
          <w:tcPr>
            <w:tcW w:w="702" w:type="pct"/>
            <w:vAlign w:val="center"/>
          </w:tcPr>
          <w:p w14:paraId="0DACBE89"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码头作业条</w:t>
            </w:r>
          </w:p>
          <w:p w14:paraId="3716466B"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件</w:t>
            </w:r>
          </w:p>
        </w:tc>
        <w:tc>
          <w:tcPr>
            <w:tcW w:w="1173" w:type="pct"/>
            <w:vAlign w:val="center"/>
          </w:tcPr>
          <w:p w14:paraId="6C9836A2" w14:textId="77777777" w:rsidR="00495C65" w:rsidRPr="00E52243" w:rsidRDefault="00495C65" w:rsidP="00E52243">
            <w:pPr>
              <w:pStyle w:val="13"/>
              <w:spacing w:line="240" w:lineRule="auto"/>
              <w:ind w:firstLineChars="0" w:firstLine="0"/>
              <w:rPr>
                <w:sz w:val="21"/>
                <w:szCs w:val="21"/>
              </w:rPr>
            </w:pPr>
            <w:r w:rsidRPr="00E52243">
              <w:rPr>
                <w:sz w:val="21"/>
                <w:szCs w:val="21"/>
              </w:rPr>
              <w:t>码头作业天数</w:t>
            </w:r>
          </w:p>
        </w:tc>
        <w:tc>
          <w:tcPr>
            <w:tcW w:w="3125" w:type="pct"/>
            <w:vAlign w:val="center"/>
          </w:tcPr>
          <w:p w14:paraId="2674D4CC" w14:textId="77777777" w:rsidR="00495C65" w:rsidRPr="00E52243" w:rsidRDefault="00495C65" w:rsidP="00E52243">
            <w:pPr>
              <w:pStyle w:val="13"/>
              <w:spacing w:line="240" w:lineRule="auto"/>
              <w:ind w:firstLineChars="0" w:firstLine="0"/>
              <w:rPr>
                <w:sz w:val="21"/>
                <w:szCs w:val="21"/>
              </w:rPr>
            </w:pPr>
            <w:r w:rsidRPr="00E52243">
              <w:rPr>
                <w:sz w:val="21"/>
                <w:szCs w:val="21"/>
              </w:rPr>
              <w:t>根据码头作业标准，通过对风、雨、雾、浪等气象水文资料的统计分析确定适宜开展码头作业的天数。</w:t>
            </w:r>
          </w:p>
        </w:tc>
      </w:tr>
      <w:tr w:rsidR="00495C65" w:rsidRPr="00E52243" w14:paraId="5272CB21" w14:textId="77777777" w:rsidTr="00E52243">
        <w:tblPrEx>
          <w:jc w:val="left"/>
        </w:tblPrEx>
        <w:trPr>
          <w:trHeight w:val="652"/>
        </w:trPr>
        <w:tc>
          <w:tcPr>
            <w:tcW w:w="702" w:type="pct"/>
            <w:vAlign w:val="center"/>
          </w:tcPr>
          <w:p w14:paraId="067FB856"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工程建设条</w:t>
            </w:r>
          </w:p>
          <w:p w14:paraId="6CCF7CCD"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件</w:t>
            </w:r>
          </w:p>
        </w:tc>
        <w:tc>
          <w:tcPr>
            <w:tcW w:w="1173" w:type="pct"/>
            <w:vAlign w:val="center"/>
          </w:tcPr>
          <w:p w14:paraId="6EF3C233" w14:textId="77777777" w:rsidR="00495C65" w:rsidRPr="00E52243" w:rsidRDefault="00495C65" w:rsidP="00E52243">
            <w:pPr>
              <w:pStyle w:val="13"/>
              <w:spacing w:line="240" w:lineRule="auto"/>
              <w:ind w:firstLineChars="0" w:firstLine="0"/>
              <w:rPr>
                <w:sz w:val="21"/>
                <w:szCs w:val="21"/>
              </w:rPr>
            </w:pPr>
            <w:r w:rsidRPr="00E52243">
              <w:rPr>
                <w:sz w:val="21"/>
                <w:szCs w:val="21"/>
              </w:rPr>
              <w:t>港口建设适宜性</w:t>
            </w:r>
          </w:p>
        </w:tc>
        <w:tc>
          <w:tcPr>
            <w:tcW w:w="3125" w:type="pct"/>
            <w:vAlign w:val="center"/>
          </w:tcPr>
          <w:p w14:paraId="186E16F1" w14:textId="77777777" w:rsidR="00495C65" w:rsidRPr="00E52243" w:rsidRDefault="00495C65" w:rsidP="00E52243">
            <w:pPr>
              <w:pStyle w:val="13"/>
              <w:spacing w:line="240" w:lineRule="auto"/>
              <w:ind w:firstLineChars="0" w:firstLine="0"/>
              <w:rPr>
                <w:sz w:val="21"/>
                <w:szCs w:val="21"/>
              </w:rPr>
            </w:pPr>
            <w:r w:rsidRPr="00E52243">
              <w:rPr>
                <w:sz w:val="21"/>
                <w:szCs w:val="21"/>
              </w:rPr>
              <w:t>综合考虑评估对象所在海域的水深、海底地形地貌、工程地质条件等，确定对港口建设的适宜程度。</w:t>
            </w:r>
          </w:p>
        </w:tc>
      </w:tr>
    </w:tbl>
    <w:p w14:paraId="18E797F1" w14:textId="77777777" w:rsidR="00495C65" w:rsidRPr="00E52243" w:rsidRDefault="00495C65" w:rsidP="00E52243">
      <w:pPr>
        <w:pStyle w:val="13"/>
        <w:ind w:firstLineChars="0" w:firstLine="0"/>
        <w:jc w:val="center"/>
        <w:rPr>
          <w:sz w:val="21"/>
          <w:szCs w:val="21"/>
        </w:rPr>
      </w:pPr>
      <w:r w:rsidRPr="00E52243">
        <w:rPr>
          <w:sz w:val="21"/>
          <w:szCs w:val="21"/>
        </w:rPr>
        <w:t>C.3 渔业用</w:t>
      </w:r>
      <w:proofErr w:type="gramStart"/>
      <w:r w:rsidRPr="00E52243">
        <w:rPr>
          <w:sz w:val="21"/>
          <w:szCs w:val="21"/>
        </w:rPr>
        <w:t>海价格</w:t>
      </w:r>
      <w:proofErr w:type="gramEnd"/>
      <w:r w:rsidRPr="00E52243">
        <w:rPr>
          <w:sz w:val="21"/>
          <w:szCs w:val="21"/>
        </w:rPr>
        <w:t>影响因素分析指标</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046"/>
        <w:gridCol w:w="5450"/>
      </w:tblGrid>
      <w:tr w:rsidR="00495C65" w:rsidRPr="00E52243" w14:paraId="4AAB2B6D" w14:textId="77777777" w:rsidTr="00E52243">
        <w:trPr>
          <w:trHeight w:val="487"/>
          <w:tblHeader/>
          <w:jc w:val="center"/>
        </w:trPr>
        <w:tc>
          <w:tcPr>
            <w:tcW w:w="702" w:type="pct"/>
            <w:vAlign w:val="center"/>
          </w:tcPr>
          <w:p w14:paraId="07BCC20F"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影响因素</w:t>
            </w:r>
          </w:p>
        </w:tc>
        <w:tc>
          <w:tcPr>
            <w:tcW w:w="1173" w:type="pct"/>
            <w:vAlign w:val="center"/>
          </w:tcPr>
          <w:p w14:paraId="6F6D7431"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分析指标</w:t>
            </w:r>
          </w:p>
        </w:tc>
        <w:tc>
          <w:tcPr>
            <w:tcW w:w="3125" w:type="pct"/>
            <w:vAlign w:val="center"/>
          </w:tcPr>
          <w:p w14:paraId="550F6539"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说明</w:t>
            </w:r>
          </w:p>
        </w:tc>
      </w:tr>
      <w:tr w:rsidR="00495C65" w:rsidRPr="00E52243" w14:paraId="12A1E1BF" w14:textId="77777777" w:rsidTr="00E52243">
        <w:trPr>
          <w:trHeight w:val="326"/>
          <w:jc w:val="center"/>
        </w:trPr>
        <w:tc>
          <w:tcPr>
            <w:tcW w:w="702" w:type="pct"/>
            <w:vAlign w:val="center"/>
          </w:tcPr>
          <w:p w14:paraId="23ADC7C5"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经济状况</w:t>
            </w:r>
          </w:p>
        </w:tc>
        <w:tc>
          <w:tcPr>
            <w:tcW w:w="1173" w:type="pct"/>
            <w:vAlign w:val="center"/>
          </w:tcPr>
          <w:p w14:paraId="5CD59BDE" w14:textId="77777777" w:rsidR="00495C65" w:rsidRPr="00E52243" w:rsidRDefault="00495C65" w:rsidP="00E52243">
            <w:pPr>
              <w:pStyle w:val="13"/>
              <w:spacing w:line="240" w:lineRule="auto"/>
              <w:ind w:firstLineChars="0" w:firstLine="0"/>
              <w:rPr>
                <w:sz w:val="21"/>
                <w:szCs w:val="21"/>
              </w:rPr>
            </w:pPr>
            <w:r w:rsidRPr="00E52243">
              <w:rPr>
                <w:sz w:val="21"/>
                <w:szCs w:val="21"/>
              </w:rPr>
              <w:t>人均GDP</w:t>
            </w:r>
          </w:p>
        </w:tc>
        <w:tc>
          <w:tcPr>
            <w:tcW w:w="3125" w:type="pct"/>
            <w:vAlign w:val="center"/>
          </w:tcPr>
          <w:p w14:paraId="09C9828C"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评估对象所在行政区域的人均GDP。</w:t>
            </w:r>
          </w:p>
        </w:tc>
      </w:tr>
      <w:tr w:rsidR="00495C65" w:rsidRPr="00E52243" w14:paraId="79738E6F" w14:textId="77777777" w:rsidTr="00E52243">
        <w:trPr>
          <w:trHeight w:val="510"/>
          <w:jc w:val="center"/>
        </w:trPr>
        <w:tc>
          <w:tcPr>
            <w:tcW w:w="702" w:type="pct"/>
            <w:vMerge w:val="restart"/>
            <w:vAlign w:val="center"/>
          </w:tcPr>
          <w:p w14:paraId="675E084B"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交通条件</w:t>
            </w:r>
          </w:p>
        </w:tc>
        <w:tc>
          <w:tcPr>
            <w:tcW w:w="1173" w:type="pct"/>
            <w:vAlign w:val="center"/>
          </w:tcPr>
          <w:p w14:paraId="1D711005" w14:textId="77777777" w:rsidR="00495C65" w:rsidRPr="00E52243" w:rsidRDefault="00495C65" w:rsidP="00E52243">
            <w:pPr>
              <w:pStyle w:val="13"/>
              <w:spacing w:line="240" w:lineRule="auto"/>
              <w:ind w:firstLineChars="0" w:firstLine="0"/>
              <w:rPr>
                <w:sz w:val="21"/>
                <w:szCs w:val="21"/>
              </w:rPr>
            </w:pPr>
            <w:r w:rsidRPr="00E52243">
              <w:rPr>
                <w:sz w:val="21"/>
                <w:szCs w:val="21"/>
              </w:rPr>
              <w:t>距交通节点距离</w:t>
            </w:r>
          </w:p>
        </w:tc>
        <w:tc>
          <w:tcPr>
            <w:tcW w:w="3125" w:type="pct"/>
            <w:vAlign w:val="center"/>
          </w:tcPr>
          <w:p w14:paraId="15806370" w14:textId="77777777" w:rsidR="00495C65" w:rsidRPr="00E52243" w:rsidRDefault="00495C65" w:rsidP="00E52243">
            <w:pPr>
              <w:pStyle w:val="13"/>
              <w:spacing w:line="240" w:lineRule="auto"/>
              <w:ind w:firstLineChars="0" w:firstLine="0"/>
              <w:rPr>
                <w:sz w:val="21"/>
                <w:szCs w:val="21"/>
              </w:rPr>
            </w:pPr>
            <w:r w:rsidRPr="00E52243">
              <w:rPr>
                <w:sz w:val="21"/>
                <w:szCs w:val="21"/>
              </w:rPr>
              <w:t>指评估对象与港口、火车站、汽车站、等级公路或机场的距离。</w:t>
            </w:r>
          </w:p>
        </w:tc>
      </w:tr>
      <w:tr w:rsidR="00495C65" w:rsidRPr="00E52243" w14:paraId="7E61ED0D" w14:textId="77777777" w:rsidTr="00E52243">
        <w:trPr>
          <w:trHeight w:val="651"/>
          <w:jc w:val="center"/>
        </w:trPr>
        <w:tc>
          <w:tcPr>
            <w:tcW w:w="702" w:type="pct"/>
            <w:vMerge/>
            <w:vAlign w:val="center"/>
          </w:tcPr>
          <w:p w14:paraId="612C34DA" w14:textId="77777777" w:rsidR="00495C65" w:rsidRPr="00E52243" w:rsidRDefault="00495C65" w:rsidP="00E52243">
            <w:pPr>
              <w:pStyle w:val="13"/>
              <w:spacing w:line="240" w:lineRule="auto"/>
              <w:ind w:firstLineChars="0" w:firstLine="0"/>
              <w:jc w:val="center"/>
              <w:rPr>
                <w:sz w:val="21"/>
                <w:szCs w:val="21"/>
              </w:rPr>
            </w:pPr>
          </w:p>
        </w:tc>
        <w:tc>
          <w:tcPr>
            <w:tcW w:w="1173" w:type="pct"/>
            <w:vAlign w:val="center"/>
          </w:tcPr>
          <w:p w14:paraId="77F48B33" w14:textId="77777777" w:rsidR="00495C65" w:rsidRPr="00E52243" w:rsidRDefault="00495C65" w:rsidP="00E52243">
            <w:pPr>
              <w:pStyle w:val="13"/>
              <w:spacing w:line="240" w:lineRule="auto"/>
              <w:ind w:firstLineChars="0" w:firstLine="0"/>
              <w:rPr>
                <w:sz w:val="21"/>
                <w:szCs w:val="21"/>
              </w:rPr>
            </w:pPr>
            <w:proofErr w:type="gramStart"/>
            <w:r w:rsidRPr="00E52243">
              <w:rPr>
                <w:sz w:val="21"/>
                <w:szCs w:val="21"/>
              </w:rPr>
              <w:t>距社会</w:t>
            </w:r>
            <w:proofErr w:type="gramEnd"/>
            <w:r w:rsidRPr="00E52243">
              <w:rPr>
                <w:sz w:val="21"/>
                <w:szCs w:val="21"/>
              </w:rPr>
              <w:t>经济活动中</w:t>
            </w:r>
          </w:p>
          <w:p w14:paraId="7B8D14F7" w14:textId="77777777" w:rsidR="00495C65" w:rsidRPr="00E52243" w:rsidRDefault="00495C65" w:rsidP="00E52243">
            <w:pPr>
              <w:pStyle w:val="13"/>
              <w:spacing w:line="240" w:lineRule="auto"/>
              <w:ind w:firstLineChars="0" w:firstLine="0"/>
              <w:rPr>
                <w:sz w:val="21"/>
                <w:szCs w:val="21"/>
              </w:rPr>
            </w:pPr>
            <w:r w:rsidRPr="00E52243">
              <w:rPr>
                <w:sz w:val="21"/>
                <w:szCs w:val="21"/>
              </w:rPr>
              <w:t>心距离</w:t>
            </w:r>
          </w:p>
        </w:tc>
        <w:tc>
          <w:tcPr>
            <w:tcW w:w="3125" w:type="pct"/>
            <w:vAlign w:val="center"/>
          </w:tcPr>
          <w:p w14:paraId="6E6A483B" w14:textId="77777777" w:rsidR="00495C65" w:rsidRPr="00E52243" w:rsidRDefault="00495C65" w:rsidP="00E52243">
            <w:pPr>
              <w:pStyle w:val="13"/>
              <w:spacing w:line="240" w:lineRule="auto"/>
              <w:ind w:firstLineChars="0" w:firstLine="0"/>
              <w:rPr>
                <w:sz w:val="21"/>
                <w:szCs w:val="21"/>
              </w:rPr>
            </w:pPr>
            <w:r w:rsidRPr="00E52243">
              <w:rPr>
                <w:sz w:val="21"/>
                <w:szCs w:val="21"/>
              </w:rPr>
              <w:t>指评估对象与村镇或城区的距离。</w:t>
            </w:r>
          </w:p>
        </w:tc>
      </w:tr>
      <w:tr w:rsidR="00495C65" w:rsidRPr="00E52243" w14:paraId="4FD2AE81" w14:textId="77777777" w:rsidTr="00E52243">
        <w:trPr>
          <w:trHeight w:val="326"/>
          <w:jc w:val="center"/>
        </w:trPr>
        <w:tc>
          <w:tcPr>
            <w:tcW w:w="702" w:type="pct"/>
            <w:vAlign w:val="center"/>
          </w:tcPr>
          <w:p w14:paraId="0DD0020A"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区划与规划</w:t>
            </w:r>
          </w:p>
        </w:tc>
        <w:tc>
          <w:tcPr>
            <w:tcW w:w="1173" w:type="pct"/>
            <w:vAlign w:val="center"/>
          </w:tcPr>
          <w:p w14:paraId="7FEAE5E9" w14:textId="77777777" w:rsidR="00495C65" w:rsidRPr="00E52243" w:rsidRDefault="00495C65" w:rsidP="00E52243">
            <w:pPr>
              <w:pStyle w:val="13"/>
              <w:spacing w:line="240" w:lineRule="auto"/>
              <w:ind w:firstLineChars="0" w:firstLine="0"/>
              <w:rPr>
                <w:sz w:val="21"/>
                <w:szCs w:val="21"/>
              </w:rPr>
            </w:pPr>
            <w:r w:rsidRPr="00E52243">
              <w:rPr>
                <w:sz w:val="21"/>
                <w:szCs w:val="21"/>
              </w:rPr>
              <w:t>功能区划符合度</w:t>
            </w:r>
          </w:p>
        </w:tc>
        <w:tc>
          <w:tcPr>
            <w:tcW w:w="3125" w:type="pct"/>
            <w:vAlign w:val="center"/>
          </w:tcPr>
          <w:p w14:paraId="71832942"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评估对象与海洋功能区划相关管理要求的符合程度。</w:t>
            </w:r>
          </w:p>
        </w:tc>
      </w:tr>
      <w:tr w:rsidR="00495C65" w:rsidRPr="00E52243" w14:paraId="72BCE017" w14:textId="77777777" w:rsidTr="00E52243">
        <w:trPr>
          <w:trHeight w:val="652"/>
          <w:jc w:val="center"/>
        </w:trPr>
        <w:tc>
          <w:tcPr>
            <w:tcW w:w="702" w:type="pct"/>
            <w:vMerge w:val="restart"/>
            <w:vAlign w:val="center"/>
          </w:tcPr>
          <w:p w14:paraId="607D697F"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基础设施和配套设施条</w:t>
            </w:r>
            <w:r w:rsidRPr="00E52243">
              <w:rPr>
                <w:sz w:val="21"/>
                <w:szCs w:val="21"/>
              </w:rPr>
              <w:lastRenderedPageBreak/>
              <w:t>件</w:t>
            </w:r>
          </w:p>
        </w:tc>
        <w:tc>
          <w:tcPr>
            <w:tcW w:w="1173" w:type="pct"/>
            <w:vAlign w:val="center"/>
          </w:tcPr>
          <w:p w14:paraId="464516C9" w14:textId="77777777" w:rsidR="00495C65" w:rsidRPr="00E52243" w:rsidRDefault="00495C65" w:rsidP="00E52243">
            <w:pPr>
              <w:pStyle w:val="13"/>
              <w:spacing w:line="240" w:lineRule="auto"/>
              <w:ind w:firstLineChars="0" w:firstLine="0"/>
              <w:rPr>
                <w:sz w:val="21"/>
                <w:szCs w:val="21"/>
              </w:rPr>
            </w:pPr>
            <w:r w:rsidRPr="00E52243">
              <w:rPr>
                <w:sz w:val="21"/>
                <w:szCs w:val="21"/>
              </w:rPr>
              <w:lastRenderedPageBreak/>
              <w:t>基础设施齐全性</w:t>
            </w:r>
          </w:p>
        </w:tc>
        <w:tc>
          <w:tcPr>
            <w:tcW w:w="3125" w:type="pct"/>
            <w:vAlign w:val="center"/>
          </w:tcPr>
          <w:p w14:paraId="6387FB34" w14:textId="77777777" w:rsidR="00495C65" w:rsidRPr="00E52243" w:rsidRDefault="00495C65" w:rsidP="00E52243">
            <w:pPr>
              <w:pStyle w:val="13"/>
              <w:spacing w:line="240" w:lineRule="auto"/>
              <w:ind w:firstLineChars="0" w:firstLine="0"/>
              <w:rPr>
                <w:sz w:val="21"/>
                <w:szCs w:val="21"/>
              </w:rPr>
            </w:pPr>
            <w:r w:rsidRPr="00E52243">
              <w:rPr>
                <w:sz w:val="21"/>
                <w:szCs w:val="21"/>
              </w:rPr>
              <w:t>道路、供水、排水、供电、供气、供热、通讯等基础设施的齐全性及保证率。</w:t>
            </w:r>
          </w:p>
        </w:tc>
      </w:tr>
      <w:tr w:rsidR="00495C65" w:rsidRPr="00E52243" w14:paraId="567EA124" w14:textId="77777777" w:rsidTr="00E52243">
        <w:trPr>
          <w:trHeight w:val="652"/>
          <w:jc w:val="center"/>
        </w:trPr>
        <w:tc>
          <w:tcPr>
            <w:tcW w:w="702" w:type="pct"/>
            <w:vMerge/>
            <w:vAlign w:val="center"/>
          </w:tcPr>
          <w:p w14:paraId="52EDC944" w14:textId="77777777" w:rsidR="00495C65" w:rsidRPr="00E52243" w:rsidRDefault="00495C65" w:rsidP="00E52243">
            <w:pPr>
              <w:pStyle w:val="13"/>
              <w:spacing w:line="240" w:lineRule="auto"/>
              <w:ind w:firstLineChars="0" w:firstLine="0"/>
              <w:jc w:val="center"/>
              <w:rPr>
                <w:sz w:val="21"/>
                <w:szCs w:val="21"/>
              </w:rPr>
            </w:pPr>
          </w:p>
        </w:tc>
        <w:tc>
          <w:tcPr>
            <w:tcW w:w="1173" w:type="pct"/>
            <w:vAlign w:val="center"/>
          </w:tcPr>
          <w:p w14:paraId="074F19BC" w14:textId="77777777" w:rsidR="00495C65" w:rsidRPr="00E52243" w:rsidRDefault="00495C65" w:rsidP="00E52243">
            <w:pPr>
              <w:pStyle w:val="13"/>
              <w:spacing w:line="240" w:lineRule="auto"/>
              <w:ind w:firstLineChars="0" w:firstLine="0"/>
              <w:rPr>
                <w:sz w:val="21"/>
                <w:szCs w:val="21"/>
              </w:rPr>
            </w:pPr>
            <w:r w:rsidRPr="00E52243">
              <w:rPr>
                <w:sz w:val="21"/>
                <w:szCs w:val="21"/>
              </w:rPr>
              <w:t>配套设施完善度</w:t>
            </w:r>
          </w:p>
        </w:tc>
        <w:tc>
          <w:tcPr>
            <w:tcW w:w="3125" w:type="pct"/>
            <w:vAlign w:val="center"/>
          </w:tcPr>
          <w:p w14:paraId="009B0795"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评估对象所在区域的水产品加工厂、育苗场等渔业配套设施的数量与规模。</w:t>
            </w:r>
          </w:p>
        </w:tc>
      </w:tr>
      <w:tr w:rsidR="00495C65" w:rsidRPr="00E52243" w14:paraId="417EDB19" w14:textId="77777777" w:rsidTr="00E52243">
        <w:trPr>
          <w:trHeight w:val="651"/>
          <w:jc w:val="center"/>
        </w:trPr>
        <w:tc>
          <w:tcPr>
            <w:tcW w:w="702" w:type="pct"/>
            <w:vAlign w:val="center"/>
          </w:tcPr>
          <w:p w14:paraId="52F8BCE4"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海域开发利用现状</w:t>
            </w:r>
          </w:p>
        </w:tc>
        <w:tc>
          <w:tcPr>
            <w:tcW w:w="1173" w:type="pct"/>
            <w:vAlign w:val="center"/>
          </w:tcPr>
          <w:p w14:paraId="2B7361D4" w14:textId="77777777" w:rsidR="00495C65" w:rsidRPr="00E52243" w:rsidRDefault="00495C65" w:rsidP="00E52243">
            <w:pPr>
              <w:pStyle w:val="13"/>
              <w:spacing w:line="240" w:lineRule="auto"/>
              <w:ind w:firstLineChars="0" w:firstLine="0"/>
              <w:rPr>
                <w:sz w:val="21"/>
                <w:szCs w:val="21"/>
              </w:rPr>
            </w:pPr>
            <w:r w:rsidRPr="00E52243">
              <w:rPr>
                <w:sz w:val="21"/>
                <w:szCs w:val="21"/>
              </w:rPr>
              <w:t>渔业用</w:t>
            </w:r>
            <w:proofErr w:type="gramStart"/>
            <w:r w:rsidRPr="00E52243">
              <w:rPr>
                <w:sz w:val="21"/>
                <w:szCs w:val="21"/>
              </w:rPr>
              <w:t>海规模</w:t>
            </w:r>
            <w:proofErr w:type="gramEnd"/>
          </w:p>
        </w:tc>
        <w:tc>
          <w:tcPr>
            <w:tcW w:w="3125" w:type="pct"/>
            <w:vAlign w:val="center"/>
          </w:tcPr>
          <w:p w14:paraId="047CC42E"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评估对象所在区域相同类型的养殖用</w:t>
            </w:r>
            <w:proofErr w:type="gramStart"/>
            <w:r w:rsidRPr="00E52243">
              <w:rPr>
                <w:sz w:val="21"/>
                <w:szCs w:val="21"/>
              </w:rPr>
              <w:t>海数量</w:t>
            </w:r>
            <w:proofErr w:type="gramEnd"/>
            <w:r w:rsidRPr="00E52243">
              <w:rPr>
                <w:sz w:val="21"/>
                <w:szCs w:val="21"/>
              </w:rPr>
              <w:t>与面积。</w:t>
            </w:r>
          </w:p>
        </w:tc>
      </w:tr>
      <w:tr w:rsidR="00495C65" w:rsidRPr="00E52243" w14:paraId="6207BC50" w14:textId="77777777" w:rsidTr="00E52243">
        <w:trPr>
          <w:trHeight w:val="652"/>
          <w:jc w:val="center"/>
        </w:trPr>
        <w:tc>
          <w:tcPr>
            <w:tcW w:w="702" w:type="pct"/>
            <w:vAlign w:val="center"/>
          </w:tcPr>
          <w:p w14:paraId="3AA82560"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养殖条件</w:t>
            </w:r>
          </w:p>
        </w:tc>
        <w:tc>
          <w:tcPr>
            <w:tcW w:w="1173" w:type="pct"/>
            <w:vAlign w:val="center"/>
          </w:tcPr>
          <w:p w14:paraId="5FAE9ECD" w14:textId="77777777" w:rsidR="00495C65" w:rsidRPr="00E52243" w:rsidRDefault="00495C65" w:rsidP="00E52243">
            <w:pPr>
              <w:pStyle w:val="13"/>
              <w:spacing w:line="240" w:lineRule="auto"/>
              <w:ind w:firstLineChars="0" w:firstLine="0"/>
              <w:rPr>
                <w:sz w:val="21"/>
                <w:szCs w:val="21"/>
              </w:rPr>
            </w:pPr>
            <w:r w:rsidRPr="00E52243">
              <w:rPr>
                <w:sz w:val="21"/>
                <w:szCs w:val="21"/>
              </w:rPr>
              <w:t>养殖适宜性</w:t>
            </w:r>
          </w:p>
        </w:tc>
        <w:tc>
          <w:tcPr>
            <w:tcW w:w="3125" w:type="pct"/>
            <w:vAlign w:val="center"/>
          </w:tcPr>
          <w:p w14:paraId="490F10E3" w14:textId="77777777" w:rsidR="00495C65" w:rsidRPr="00E52243" w:rsidRDefault="00495C65" w:rsidP="00E52243">
            <w:pPr>
              <w:pStyle w:val="13"/>
              <w:spacing w:line="240" w:lineRule="auto"/>
              <w:ind w:firstLineChars="0" w:firstLine="0"/>
              <w:rPr>
                <w:sz w:val="21"/>
                <w:szCs w:val="21"/>
              </w:rPr>
            </w:pPr>
            <w:r w:rsidRPr="00E52243">
              <w:rPr>
                <w:sz w:val="21"/>
                <w:szCs w:val="21"/>
              </w:rPr>
              <w:t>综合考虑评估对象所在海域的海水环境质量、水文条件、灾害性天气等条件，确定对养殖用海的适宜程度。</w:t>
            </w:r>
          </w:p>
        </w:tc>
      </w:tr>
    </w:tbl>
    <w:p w14:paraId="5DD03FD3" w14:textId="77777777" w:rsidR="00495C65" w:rsidRDefault="00495C65" w:rsidP="00495C65">
      <w:pPr>
        <w:pStyle w:val="13"/>
        <w:jc w:val="center"/>
      </w:pPr>
      <w:r w:rsidRPr="00CE0A95">
        <w:rPr>
          <w:rFonts w:hint="eastAsia"/>
        </w:rPr>
        <w:t>表</w:t>
      </w:r>
      <w:r w:rsidRPr="00CE0A95">
        <w:t>C.4 旅游娱乐用</w:t>
      </w:r>
      <w:proofErr w:type="gramStart"/>
      <w:r w:rsidRPr="00CE0A95">
        <w:t>海价格</w:t>
      </w:r>
      <w:proofErr w:type="gramEnd"/>
      <w:r w:rsidRPr="00CE0A95">
        <w:t>影响因素分析指标</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1836"/>
        <w:gridCol w:w="5659"/>
      </w:tblGrid>
      <w:tr w:rsidR="00495C65" w:rsidRPr="00E52243" w14:paraId="6C307ADE" w14:textId="77777777" w:rsidTr="00E52243">
        <w:trPr>
          <w:trHeight w:val="489"/>
          <w:tblHeader/>
          <w:jc w:val="center"/>
        </w:trPr>
        <w:tc>
          <w:tcPr>
            <w:tcW w:w="702" w:type="pct"/>
            <w:vAlign w:val="center"/>
          </w:tcPr>
          <w:p w14:paraId="192D57A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影响因素</w:t>
            </w:r>
          </w:p>
        </w:tc>
        <w:tc>
          <w:tcPr>
            <w:tcW w:w="1053" w:type="pct"/>
            <w:vAlign w:val="center"/>
          </w:tcPr>
          <w:p w14:paraId="7B89290A"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分析指标</w:t>
            </w:r>
          </w:p>
        </w:tc>
        <w:tc>
          <w:tcPr>
            <w:tcW w:w="3245" w:type="pct"/>
            <w:vAlign w:val="center"/>
          </w:tcPr>
          <w:p w14:paraId="57F85061"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说明</w:t>
            </w:r>
          </w:p>
        </w:tc>
      </w:tr>
      <w:tr w:rsidR="00495C65" w:rsidRPr="00E52243" w14:paraId="4C93A02F" w14:textId="77777777" w:rsidTr="00E52243">
        <w:trPr>
          <w:trHeight w:val="325"/>
          <w:tblHeader/>
          <w:jc w:val="center"/>
        </w:trPr>
        <w:tc>
          <w:tcPr>
            <w:tcW w:w="702" w:type="pct"/>
            <w:vAlign w:val="center"/>
          </w:tcPr>
          <w:p w14:paraId="1AE68A7D"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经济状况</w:t>
            </w:r>
          </w:p>
        </w:tc>
        <w:tc>
          <w:tcPr>
            <w:tcW w:w="1053" w:type="pct"/>
            <w:vAlign w:val="center"/>
          </w:tcPr>
          <w:p w14:paraId="195BB05C" w14:textId="77777777" w:rsidR="00495C65" w:rsidRPr="00E52243" w:rsidRDefault="00495C65" w:rsidP="00E52243">
            <w:pPr>
              <w:pStyle w:val="13"/>
              <w:spacing w:line="240" w:lineRule="auto"/>
              <w:ind w:firstLineChars="0" w:firstLine="0"/>
              <w:rPr>
                <w:sz w:val="21"/>
                <w:szCs w:val="21"/>
              </w:rPr>
            </w:pPr>
            <w:r w:rsidRPr="00E52243">
              <w:rPr>
                <w:sz w:val="21"/>
                <w:szCs w:val="21"/>
              </w:rPr>
              <w:t>人均GDP</w:t>
            </w:r>
          </w:p>
        </w:tc>
        <w:tc>
          <w:tcPr>
            <w:tcW w:w="3245" w:type="pct"/>
            <w:vAlign w:val="center"/>
          </w:tcPr>
          <w:p w14:paraId="6D896FD1"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评估对象所在行政区域的人均GDP。</w:t>
            </w:r>
          </w:p>
        </w:tc>
      </w:tr>
      <w:tr w:rsidR="00495C65" w:rsidRPr="00E52243" w14:paraId="26C32F7D" w14:textId="77777777" w:rsidTr="00E52243">
        <w:trPr>
          <w:trHeight w:val="651"/>
          <w:tblHeader/>
          <w:jc w:val="center"/>
        </w:trPr>
        <w:tc>
          <w:tcPr>
            <w:tcW w:w="702" w:type="pct"/>
            <w:vAlign w:val="center"/>
          </w:tcPr>
          <w:p w14:paraId="5674FD45"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交通条件</w:t>
            </w:r>
          </w:p>
        </w:tc>
        <w:tc>
          <w:tcPr>
            <w:tcW w:w="1053" w:type="pct"/>
            <w:vAlign w:val="center"/>
          </w:tcPr>
          <w:p w14:paraId="612523DF" w14:textId="77777777" w:rsidR="00495C65" w:rsidRPr="00E52243" w:rsidRDefault="00495C65" w:rsidP="00E52243">
            <w:pPr>
              <w:pStyle w:val="13"/>
              <w:spacing w:line="240" w:lineRule="auto"/>
              <w:ind w:firstLineChars="0" w:firstLine="0"/>
              <w:rPr>
                <w:sz w:val="21"/>
                <w:szCs w:val="21"/>
              </w:rPr>
            </w:pPr>
            <w:r w:rsidRPr="00E52243">
              <w:rPr>
                <w:sz w:val="21"/>
                <w:szCs w:val="21"/>
              </w:rPr>
              <w:t>距交通节点距离</w:t>
            </w:r>
          </w:p>
        </w:tc>
        <w:tc>
          <w:tcPr>
            <w:tcW w:w="3245" w:type="pct"/>
            <w:vAlign w:val="center"/>
          </w:tcPr>
          <w:p w14:paraId="68DDF9C0"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评估对象与公共交通设施、火车站、汽车站、港口、等级公路或机场的距离。</w:t>
            </w:r>
          </w:p>
        </w:tc>
      </w:tr>
      <w:tr w:rsidR="00495C65" w:rsidRPr="00E52243" w14:paraId="14CEE473" w14:textId="77777777" w:rsidTr="00E52243">
        <w:trPr>
          <w:trHeight w:val="652"/>
          <w:tblHeader/>
          <w:jc w:val="center"/>
        </w:trPr>
        <w:tc>
          <w:tcPr>
            <w:tcW w:w="702" w:type="pct"/>
            <w:vAlign w:val="center"/>
          </w:tcPr>
          <w:p w14:paraId="2901A81A"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区划与规划</w:t>
            </w:r>
          </w:p>
        </w:tc>
        <w:tc>
          <w:tcPr>
            <w:tcW w:w="1053" w:type="pct"/>
            <w:vAlign w:val="center"/>
          </w:tcPr>
          <w:p w14:paraId="3F9AB12E" w14:textId="77777777" w:rsidR="00495C65" w:rsidRPr="00E52243" w:rsidRDefault="00495C65" w:rsidP="00E52243">
            <w:pPr>
              <w:pStyle w:val="13"/>
              <w:spacing w:line="240" w:lineRule="auto"/>
              <w:ind w:firstLineChars="0" w:firstLine="0"/>
              <w:rPr>
                <w:sz w:val="21"/>
                <w:szCs w:val="21"/>
              </w:rPr>
            </w:pPr>
            <w:r w:rsidRPr="00E52243">
              <w:rPr>
                <w:sz w:val="21"/>
                <w:szCs w:val="21"/>
              </w:rPr>
              <w:t>功能区划符合度</w:t>
            </w:r>
          </w:p>
        </w:tc>
        <w:tc>
          <w:tcPr>
            <w:tcW w:w="3245" w:type="pct"/>
            <w:vAlign w:val="center"/>
          </w:tcPr>
          <w:p w14:paraId="2C8C1358"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评估对象与海洋功能区划相关管理要求的符合程度。</w:t>
            </w:r>
          </w:p>
        </w:tc>
      </w:tr>
      <w:tr w:rsidR="00495C65" w:rsidRPr="00E52243" w14:paraId="03DF60D0" w14:textId="77777777" w:rsidTr="00E52243">
        <w:trPr>
          <w:trHeight w:val="652"/>
          <w:tblHeader/>
          <w:jc w:val="center"/>
        </w:trPr>
        <w:tc>
          <w:tcPr>
            <w:tcW w:w="702" w:type="pct"/>
            <w:vMerge w:val="restart"/>
            <w:vAlign w:val="center"/>
          </w:tcPr>
          <w:p w14:paraId="601EBC35"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基础设施和配套</w:t>
            </w:r>
            <w:proofErr w:type="gramStart"/>
            <w:r w:rsidRPr="00E52243">
              <w:rPr>
                <w:sz w:val="21"/>
                <w:szCs w:val="21"/>
              </w:rPr>
              <w:t>施条件</w:t>
            </w:r>
            <w:proofErr w:type="gramEnd"/>
          </w:p>
        </w:tc>
        <w:tc>
          <w:tcPr>
            <w:tcW w:w="1053" w:type="pct"/>
            <w:vAlign w:val="center"/>
          </w:tcPr>
          <w:p w14:paraId="16273272" w14:textId="77777777" w:rsidR="00495C65" w:rsidRPr="00E52243" w:rsidRDefault="00495C65" w:rsidP="00E52243">
            <w:pPr>
              <w:pStyle w:val="13"/>
              <w:spacing w:line="240" w:lineRule="auto"/>
              <w:ind w:firstLineChars="0" w:firstLine="0"/>
              <w:rPr>
                <w:sz w:val="21"/>
                <w:szCs w:val="21"/>
              </w:rPr>
            </w:pPr>
            <w:r w:rsidRPr="00E52243">
              <w:rPr>
                <w:sz w:val="21"/>
                <w:szCs w:val="21"/>
              </w:rPr>
              <w:t>基础设施齐全性</w:t>
            </w:r>
          </w:p>
        </w:tc>
        <w:tc>
          <w:tcPr>
            <w:tcW w:w="3245" w:type="pct"/>
            <w:vAlign w:val="center"/>
          </w:tcPr>
          <w:p w14:paraId="78C6F62F" w14:textId="77777777" w:rsidR="00495C65" w:rsidRPr="00E52243" w:rsidRDefault="00495C65" w:rsidP="00E52243">
            <w:pPr>
              <w:pStyle w:val="13"/>
              <w:spacing w:line="240" w:lineRule="auto"/>
              <w:ind w:firstLineChars="0" w:firstLine="0"/>
              <w:rPr>
                <w:sz w:val="21"/>
                <w:szCs w:val="21"/>
              </w:rPr>
            </w:pPr>
            <w:r w:rsidRPr="00E52243">
              <w:rPr>
                <w:sz w:val="21"/>
                <w:szCs w:val="21"/>
              </w:rPr>
              <w:t>道路、供水、排水、供电、供气、供热、通讯等基础设施的齐全性及保证率。</w:t>
            </w:r>
          </w:p>
        </w:tc>
      </w:tr>
      <w:tr w:rsidR="00495C65" w:rsidRPr="00E52243" w14:paraId="3B0E625F" w14:textId="77777777" w:rsidTr="00E52243">
        <w:trPr>
          <w:trHeight w:val="326"/>
          <w:tblHeader/>
          <w:jc w:val="center"/>
        </w:trPr>
        <w:tc>
          <w:tcPr>
            <w:tcW w:w="702" w:type="pct"/>
            <w:vMerge/>
            <w:tcBorders>
              <w:top w:val="nil"/>
            </w:tcBorders>
            <w:vAlign w:val="center"/>
          </w:tcPr>
          <w:p w14:paraId="2B91C93B" w14:textId="77777777" w:rsidR="00495C65" w:rsidRPr="00E52243" w:rsidRDefault="00495C65" w:rsidP="00E52243">
            <w:pPr>
              <w:pStyle w:val="13"/>
              <w:spacing w:line="240" w:lineRule="auto"/>
              <w:ind w:firstLineChars="0" w:firstLine="0"/>
              <w:jc w:val="center"/>
              <w:rPr>
                <w:sz w:val="21"/>
                <w:szCs w:val="21"/>
              </w:rPr>
            </w:pPr>
          </w:p>
        </w:tc>
        <w:tc>
          <w:tcPr>
            <w:tcW w:w="1053" w:type="pct"/>
            <w:vAlign w:val="center"/>
          </w:tcPr>
          <w:p w14:paraId="12E1A2B8" w14:textId="77777777" w:rsidR="00495C65" w:rsidRPr="00E52243" w:rsidRDefault="00495C65" w:rsidP="00E52243">
            <w:pPr>
              <w:pStyle w:val="13"/>
              <w:spacing w:line="240" w:lineRule="auto"/>
              <w:ind w:firstLineChars="0" w:firstLine="0"/>
              <w:rPr>
                <w:sz w:val="21"/>
                <w:szCs w:val="21"/>
              </w:rPr>
            </w:pPr>
            <w:r w:rsidRPr="00E52243">
              <w:rPr>
                <w:sz w:val="21"/>
                <w:szCs w:val="21"/>
              </w:rPr>
              <w:t>配套设施完善度</w:t>
            </w:r>
          </w:p>
        </w:tc>
        <w:tc>
          <w:tcPr>
            <w:tcW w:w="3245" w:type="pct"/>
            <w:vAlign w:val="center"/>
          </w:tcPr>
          <w:p w14:paraId="752C2EDA" w14:textId="77777777" w:rsidR="00495C65" w:rsidRPr="00E52243" w:rsidRDefault="00495C65" w:rsidP="00E52243">
            <w:pPr>
              <w:pStyle w:val="13"/>
              <w:spacing w:line="240" w:lineRule="auto"/>
              <w:ind w:firstLineChars="0" w:firstLine="0"/>
              <w:rPr>
                <w:sz w:val="21"/>
                <w:szCs w:val="21"/>
              </w:rPr>
            </w:pPr>
            <w:r w:rsidRPr="00E52243">
              <w:rPr>
                <w:sz w:val="21"/>
                <w:szCs w:val="21"/>
              </w:rPr>
              <w:t>旅游娱乐设施、宾馆饭店的等级、数量和接待能力等。</w:t>
            </w:r>
          </w:p>
        </w:tc>
      </w:tr>
      <w:tr w:rsidR="00495C65" w:rsidRPr="00E52243" w14:paraId="662CCCC4" w14:textId="77777777" w:rsidTr="00E52243">
        <w:trPr>
          <w:trHeight w:val="326"/>
          <w:tblHeader/>
          <w:jc w:val="center"/>
        </w:trPr>
        <w:tc>
          <w:tcPr>
            <w:tcW w:w="702" w:type="pct"/>
            <w:vMerge w:val="restart"/>
            <w:vAlign w:val="center"/>
          </w:tcPr>
          <w:p w14:paraId="31E0B60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旅游景区条件</w:t>
            </w:r>
          </w:p>
        </w:tc>
        <w:tc>
          <w:tcPr>
            <w:tcW w:w="1053" w:type="pct"/>
            <w:vAlign w:val="center"/>
          </w:tcPr>
          <w:p w14:paraId="14B4B48B" w14:textId="77777777" w:rsidR="00495C65" w:rsidRPr="00E52243" w:rsidRDefault="00495C65" w:rsidP="00E52243">
            <w:pPr>
              <w:pStyle w:val="13"/>
              <w:spacing w:line="240" w:lineRule="auto"/>
              <w:ind w:firstLineChars="0" w:firstLine="0"/>
              <w:rPr>
                <w:sz w:val="21"/>
                <w:szCs w:val="21"/>
              </w:rPr>
            </w:pPr>
            <w:r w:rsidRPr="00E52243">
              <w:rPr>
                <w:sz w:val="21"/>
                <w:szCs w:val="21"/>
              </w:rPr>
              <w:t>景区质量等级</w:t>
            </w:r>
          </w:p>
        </w:tc>
        <w:tc>
          <w:tcPr>
            <w:tcW w:w="3245" w:type="pct"/>
            <w:vAlign w:val="center"/>
          </w:tcPr>
          <w:p w14:paraId="737EE53A" w14:textId="77777777" w:rsidR="00495C65" w:rsidRPr="00E52243" w:rsidRDefault="00495C65" w:rsidP="00E52243">
            <w:pPr>
              <w:pStyle w:val="13"/>
              <w:spacing w:line="240" w:lineRule="auto"/>
              <w:ind w:firstLineChars="0" w:firstLine="0"/>
              <w:rPr>
                <w:sz w:val="21"/>
                <w:szCs w:val="21"/>
              </w:rPr>
            </w:pPr>
            <w:r w:rsidRPr="00E52243">
              <w:rPr>
                <w:sz w:val="21"/>
                <w:szCs w:val="21"/>
              </w:rPr>
              <w:t>旅游景区质量等级。</w:t>
            </w:r>
          </w:p>
        </w:tc>
      </w:tr>
      <w:tr w:rsidR="00495C65" w:rsidRPr="00E52243" w14:paraId="2771C0F2" w14:textId="77777777" w:rsidTr="00E52243">
        <w:trPr>
          <w:trHeight w:val="326"/>
          <w:tblHeader/>
          <w:jc w:val="center"/>
        </w:trPr>
        <w:tc>
          <w:tcPr>
            <w:tcW w:w="702" w:type="pct"/>
            <w:vMerge/>
            <w:tcBorders>
              <w:top w:val="nil"/>
            </w:tcBorders>
            <w:vAlign w:val="center"/>
          </w:tcPr>
          <w:p w14:paraId="5FB86E37" w14:textId="77777777" w:rsidR="00495C65" w:rsidRPr="00E52243" w:rsidRDefault="00495C65" w:rsidP="00E52243">
            <w:pPr>
              <w:pStyle w:val="13"/>
              <w:spacing w:line="240" w:lineRule="auto"/>
              <w:ind w:firstLineChars="0" w:firstLine="0"/>
              <w:jc w:val="center"/>
              <w:rPr>
                <w:sz w:val="21"/>
                <w:szCs w:val="21"/>
              </w:rPr>
            </w:pPr>
          </w:p>
        </w:tc>
        <w:tc>
          <w:tcPr>
            <w:tcW w:w="1053" w:type="pct"/>
            <w:vAlign w:val="center"/>
          </w:tcPr>
          <w:p w14:paraId="41692D37" w14:textId="77777777" w:rsidR="00495C65" w:rsidRPr="00E52243" w:rsidRDefault="00495C65" w:rsidP="00E52243">
            <w:pPr>
              <w:pStyle w:val="13"/>
              <w:spacing w:line="240" w:lineRule="auto"/>
              <w:ind w:firstLineChars="0" w:firstLine="0"/>
              <w:rPr>
                <w:sz w:val="21"/>
                <w:szCs w:val="21"/>
              </w:rPr>
            </w:pPr>
            <w:r w:rsidRPr="00E52243">
              <w:rPr>
                <w:sz w:val="21"/>
                <w:szCs w:val="21"/>
              </w:rPr>
              <w:t>景区年客流量</w:t>
            </w:r>
          </w:p>
        </w:tc>
        <w:tc>
          <w:tcPr>
            <w:tcW w:w="3245" w:type="pct"/>
            <w:vAlign w:val="center"/>
          </w:tcPr>
          <w:p w14:paraId="7AF86CC5" w14:textId="77777777" w:rsidR="00495C65" w:rsidRPr="00E52243" w:rsidRDefault="00495C65" w:rsidP="00E52243">
            <w:pPr>
              <w:pStyle w:val="13"/>
              <w:spacing w:line="240" w:lineRule="auto"/>
              <w:ind w:firstLineChars="0" w:firstLine="0"/>
              <w:rPr>
                <w:sz w:val="21"/>
                <w:szCs w:val="21"/>
              </w:rPr>
            </w:pPr>
            <w:r w:rsidRPr="00E52243">
              <w:rPr>
                <w:sz w:val="21"/>
                <w:szCs w:val="21"/>
              </w:rPr>
              <w:t>景区每年游客数量。</w:t>
            </w:r>
          </w:p>
        </w:tc>
      </w:tr>
      <w:tr w:rsidR="00495C65" w:rsidRPr="00E52243" w14:paraId="6360828B" w14:textId="77777777" w:rsidTr="00E52243">
        <w:trPr>
          <w:trHeight w:val="651"/>
          <w:tblHeader/>
          <w:jc w:val="center"/>
        </w:trPr>
        <w:tc>
          <w:tcPr>
            <w:tcW w:w="702" w:type="pct"/>
            <w:vMerge w:val="restart"/>
            <w:vAlign w:val="center"/>
          </w:tcPr>
          <w:p w14:paraId="5203D5A9"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滨海旅游资源条件</w:t>
            </w:r>
          </w:p>
        </w:tc>
        <w:tc>
          <w:tcPr>
            <w:tcW w:w="1053" w:type="pct"/>
            <w:vAlign w:val="center"/>
          </w:tcPr>
          <w:p w14:paraId="782894C0" w14:textId="77777777" w:rsidR="00495C65" w:rsidRPr="00E52243" w:rsidRDefault="00495C65" w:rsidP="00E52243">
            <w:pPr>
              <w:pStyle w:val="13"/>
              <w:spacing w:line="240" w:lineRule="auto"/>
              <w:ind w:firstLineChars="0" w:firstLine="0"/>
              <w:rPr>
                <w:sz w:val="21"/>
                <w:szCs w:val="21"/>
              </w:rPr>
            </w:pPr>
            <w:proofErr w:type="gramStart"/>
            <w:r w:rsidRPr="00E52243">
              <w:rPr>
                <w:sz w:val="21"/>
                <w:szCs w:val="21"/>
              </w:rPr>
              <w:t>适游期</w:t>
            </w:r>
            <w:proofErr w:type="gramEnd"/>
          </w:p>
        </w:tc>
        <w:tc>
          <w:tcPr>
            <w:tcW w:w="3245" w:type="pct"/>
            <w:vAlign w:val="center"/>
          </w:tcPr>
          <w:p w14:paraId="47DF7A38" w14:textId="77777777" w:rsidR="00495C65" w:rsidRPr="00E52243" w:rsidRDefault="00495C65" w:rsidP="00E52243">
            <w:pPr>
              <w:pStyle w:val="13"/>
              <w:spacing w:line="240" w:lineRule="auto"/>
              <w:ind w:firstLineChars="0" w:firstLine="0"/>
              <w:rPr>
                <w:sz w:val="21"/>
                <w:szCs w:val="21"/>
              </w:rPr>
            </w:pPr>
            <w:r w:rsidRPr="00E52243">
              <w:rPr>
                <w:sz w:val="21"/>
                <w:szCs w:val="21"/>
              </w:rPr>
              <w:t>根据评估对象所在海域的气象、水文条件确定一年内适宜开展旅游活动的天数。</w:t>
            </w:r>
          </w:p>
        </w:tc>
      </w:tr>
      <w:tr w:rsidR="00495C65" w:rsidRPr="00E52243" w14:paraId="6B33D0E9" w14:textId="77777777" w:rsidTr="00E52243">
        <w:trPr>
          <w:trHeight w:val="978"/>
          <w:tblHeader/>
          <w:jc w:val="center"/>
        </w:trPr>
        <w:tc>
          <w:tcPr>
            <w:tcW w:w="702" w:type="pct"/>
            <w:vMerge/>
            <w:tcBorders>
              <w:top w:val="nil"/>
            </w:tcBorders>
            <w:vAlign w:val="center"/>
          </w:tcPr>
          <w:p w14:paraId="087D0449" w14:textId="77777777" w:rsidR="00495C65" w:rsidRPr="00E52243" w:rsidRDefault="00495C65" w:rsidP="00E52243">
            <w:pPr>
              <w:pStyle w:val="13"/>
              <w:spacing w:line="240" w:lineRule="auto"/>
              <w:ind w:firstLineChars="0" w:firstLine="0"/>
              <w:jc w:val="center"/>
              <w:rPr>
                <w:sz w:val="21"/>
                <w:szCs w:val="21"/>
              </w:rPr>
            </w:pPr>
          </w:p>
        </w:tc>
        <w:tc>
          <w:tcPr>
            <w:tcW w:w="1053" w:type="pct"/>
            <w:vAlign w:val="center"/>
          </w:tcPr>
          <w:p w14:paraId="3F1A2CAD" w14:textId="77777777" w:rsidR="00495C65" w:rsidRPr="00E52243" w:rsidRDefault="00495C65" w:rsidP="00E52243">
            <w:pPr>
              <w:pStyle w:val="13"/>
              <w:spacing w:line="240" w:lineRule="auto"/>
              <w:ind w:firstLineChars="0" w:firstLine="0"/>
              <w:rPr>
                <w:sz w:val="21"/>
                <w:szCs w:val="21"/>
              </w:rPr>
            </w:pPr>
            <w:r w:rsidRPr="00E52243">
              <w:rPr>
                <w:sz w:val="21"/>
                <w:szCs w:val="21"/>
              </w:rPr>
              <w:t>旅游资源质量</w:t>
            </w:r>
          </w:p>
        </w:tc>
        <w:tc>
          <w:tcPr>
            <w:tcW w:w="3245" w:type="pct"/>
            <w:vAlign w:val="center"/>
          </w:tcPr>
          <w:p w14:paraId="6A30BF9D" w14:textId="77777777" w:rsidR="00495C65" w:rsidRPr="00E52243" w:rsidRDefault="00495C65" w:rsidP="00E52243">
            <w:pPr>
              <w:pStyle w:val="13"/>
              <w:spacing w:line="240" w:lineRule="auto"/>
              <w:ind w:firstLineChars="0" w:firstLine="0"/>
              <w:rPr>
                <w:sz w:val="21"/>
                <w:szCs w:val="21"/>
              </w:rPr>
            </w:pPr>
            <w:r w:rsidRPr="00E52243">
              <w:rPr>
                <w:sz w:val="21"/>
                <w:szCs w:val="21"/>
              </w:rPr>
              <w:t>综合考虑评估对象所在海域的岸滩类型、沙滩长度和宽度、海底地形地貌特征、海水环境质量、海洋生物等因素，确定对旅游开发活动的适宜程度。</w:t>
            </w:r>
          </w:p>
        </w:tc>
      </w:tr>
    </w:tbl>
    <w:p w14:paraId="3DE2638B" w14:textId="77777777" w:rsidR="00495C65" w:rsidRDefault="00495C65" w:rsidP="00495C65">
      <w:pPr>
        <w:pStyle w:val="21"/>
        <w:spacing w:before="156" w:after="93"/>
      </w:pPr>
      <w:bookmarkStart w:id="207" w:name="_Toc81833440"/>
      <w:r>
        <w:rPr>
          <w:rFonts w:hint="eastAsia"/>
        </w:rPr>
        <w:t>浙江规范</w:t>
      </w:r>
      <w:bookmarkEnd w:id="207"/>
    </w:p>
    <w:p w14:paraId="3111B0BA" w14:textId="77777777" w:rsidR="00495C65" w:rsidRDefault="00495C65" w:rsidP="00495C65">
      <w:pPr>
        <w:pStyle w:val="31"/>
        <w:spacing w:before="156" w:after="62"/>
      </w:pPr>
      <w:bookmarkStart w:id="208" w:name="_Toc81833441"/>
      <w:r>
        <w:rPr>
          <w:rFonts w:hint="eastAsia"/>
        </w:rPr>
        <w:t>海域价格评估规范</w:t>
      </w:r>
      <w:r>
        <w:t>（DB33T 2029-2017）</w:t>
      </w:r>
      <w:bookmarkEnd w:id="208"/>
    </w:p>
    <w:p w14:paraId="0EB59243" w14:textId="77777777" w:rsidR="00495C65" w:rsidRDefault="00495C65" w:rsidP="00AF7342">
      <w:pPr>
        <w:pStyle w:val="a9"/>
        <w:spacing w:before="62" w:after="62"/>
      </w:pPr>
      <w:r>
        <w:t>前 言</w:t>
      </w:r>
    </w:p>
    <w:p w14:paraId="66B8BAC7" w14:textId="77777777" w:rsidR="00495C65" w:rsidRDefault="00495C65" w:rsidP="00495C65">
      <w:pPr>
        <w:pStyle w:val="13"/>
      </w:pPr>
      <w:r>
        <w:rPr>
          <w:rFonts w:hint="eastAsia"/>
        </w:rPr>
        <w:t>本标准依据</w:t>
      </w:r>
      <w:r>
        <w:t>GB/T 1.1-2009规则起草。</w:t>
      </w:r>
    </w:p>
    <w:p w14:paraId="57E24519" w14:textId="77777777" w:rsidR="00495C65" w:rsidRDefault="00495C65" w:rsidP="00495C65">
      <w:pPr>
        <w:pStyle w:val="13"/>
      </w:pPr>
      <w:r>
        <w:rPr>
          <w:rFonts w:hint="eastAsia"/>
        </w:rPr>
        <w:t>本标准由浙江省海洋与渔业局提出。</w:t>
      </w:r>
    </w:p>
    <w:p w14:paraId="1E81C400" w14:textId="77777777" w:rsidR="00495C65" w:rsidRDefault="00495C65" w:rsidP="00495C65">
      <w:pPr>
        <w:pStyle w:val="13"/>
      </w:pPr>
      <w:r>
        <w:rPr>
          <w:rFonts w:hint="eastAsia"/>
        </w:rPr>
        <w:t>本标准由浙江省海洋资源环境标准化技术委员会归口。</w:t>
      </w:r>
    </w:p>
    <w:p w14:paraId="7348E766" w14:textId="77777777" w:rsidR="00495C65" w:rsidRDefault="00495C65" w:rsidP="00495C65">
      <w:pPr>
        <w:pStyle w:val="13"/>
      </w:pPr>
      <w:r>
        <w:rPr>
          <w:rFonts w:hint="eastAsia"/>
        </w:rPr>
        <w:t>本标准起草单位：浙江海洋大学、浙江省海洋与渔业局。</w:t>
      </w:r>
    </w:p>
    <w:p w14:paraId="4EE2251F" w14:textId="77777777" w:rsidR="00495C65" w:rsidRDefault="00495C65" w:rsidP="00495C65">
      <w:pPr>
        <w:pStyle w:val="13"/>
      </w:pPr>
      <w:r>
        <w:rPr>
          <w:rFonts w:hint="eastAsia"/>
        </w:rPr>
        <w:t>本标准主要起草人：崔旺来、顾波军、陈畅、彭勃、王晓慧、傅舒、钟海玥、赵晟、马苏群、李月定、桂峰、应晓丽、俞仙炯、刘超、梅依然。</w:t>
      </w:r>
    </w:p>
    <w:p w14:paraId="54B6F3D9" w14:textId="77777777" w:rsidR="00495C65" w:rsidRDefault="00495C65" w:rsidP="00AF7342">
      <w:pPr>
        <w:pStyle w:val="a9"/>
        <w:spacing w:before="62" w:after="62"/>
      </w:pPr>
      <w:r>
        <w:rPr>
          <w:rFonts w:hint="eastAsia"/>
        </w:rPr>
        <w:lastRenderedPageBreak/>
        <w:t>海域价格评估规范</w:t>
      </w:r>
    </w:p>
    <w:p w14:paraId="09B5A0A8" w14:textId="77777777" w:rsidR="00495C65" w:rsidRDefault="00495C65" w:rsidP="00AF7342">
      <w:pPr>
        <w:pStyle w:val="a9"/>
        <w:spacing w:before="62" w:after="62"/>
      </w:pPr>
      <w:r>
        <w:t>1 范围</w:t>
      </w:r>
    </w:p>
    <w:p w14:paraId="17E0F1D3" w14:textId="77777777" w:rsidR="00495C65" w:rsidRDefault="00495C65" w:rsidP="00495C65">
      <w:pPr>
        <w:pStyle w:val="13"/>
      </w:pPr>
      <w:r>
        <w:rPr>
          <w:rFonts w:hint="eastAsia"/>
        </w:rPr>
        <w:t>本标准规定了海域价格评估的原则、方法和成果要求。</w:t>
      </w:r>
    </w:p>
    <w:p w14:paraId="2BA9E63F" w14:textId="77777777" w:rsidR="00495C65" w:rsidRDefault="00495C65" w:rsidP="00495C65">
      <w:pPr>
        <w:pStyle w:val="13"/>
      </w:pPr>
      <w:r>
        <w:rPr>
          <w:rFonts w:hint="eastAsia"/>
        </w:rPr>
        <w:t>本标准适用于管辖范围内的海域价格评估。</w:t>
      </w:r>
    </w:p>
    <w:p w14:paraId="2FF2DA60" w14:textId="77777777" w:rsidR="00495C65" w:rsidRDefault="00495C65" w:rsidP="00AF7342">
      <w:pPr>
        <w:pStyle w:val="a9"/>
        <w:spacing w:before="62" w:after="62"/>
      </w:pPr>
      <w:r>
        <w:t>2 规范性引用文件</w:t>
      </w:r>
    </w:p>
    <w:p w14:paraId="12B06666" w14:textId="77777777" w:rsidR="00495C65" w:rsidRDefault="00495C65" w:rsidP="00495C65">
      <w:pPr>
        <w:pStyle w:val="13"/>
      </w:pPr>
      <w:r>
        <w:rPr>
          <w:rFonts w:hint="eastAsia"/>
        </w:rPr>
        <w:t>下列文件对于本文件的应用是必不可少的。凡是注日期的引用文件，仅所注日期的版本适用于本文件。凡是不注日期的引用文件，其最新版本（包括所有的修改单）适用于本文件。</w:t>
      </w:r>
    </w:p>
    <w:p w14:paraId="14552283" w14:textId="77777777" w:rsidR="00495C65" w:rsidRDefault="00495C65" w:rsidP="00495C65">
      <w:pPr>
        <w:pStyle w:val="13"/>
      </w:pPr>
      <w:r>
        <w:t>HY/T 123海域使用分类</w:t>
      </w:r>
    </w:p>
    <w:p w14:paraId="2119ABB2" w14:textId="77777777" w:rsidR="00495C65" w:rsidRDefault="00495C65" w:rsidP="00495C65">
      <w:pPr>
        <w:pStyle w:val="13"/>
      </w:pPr>
      <w:r>
        <w:rPr>
          <w:rFonts w:hint="eastAsia"/>
        </w:rPr>
        <w:t>海域评估技术指引（</w:t>
      </w:r>
      <w:proofErr w:type="gramStart"/>
      <w:r>
        <w:rPr>
          <w:rFonts w:hint="eastAsia"/>
        </w:rPr>
        <w:t>国海管字</w:t>
      </w:r>
      <w:proofErr w:type="gramEnd"/>
      <w:r>
        <w:rPr>
          <w:rFonts w:hint="eastAsia"/>
        </w:rPr>
        <w:t>〔</w:t>
      </w:r>
      <w:r>
        <w:t>2013〕708号）</w:t>
      </w:r>
    </w:p>
    <w:p w14:paraId="70DC96AA" w14:textId="77777777" w:rsidR="00495C65" w:rsidRDefault="00495C65" w:rsidP="00AF7342">
      <w:pPr>
        <w:pStyle w:val="a9"/>
        <w:spacing w:before="62" w:after="62"/>
      </w:pPr>
      <w:r>
        <w:t>3 术语和定义</w:t>
      </w:r>
    </w:p>
    <w:p w14:paraId="598CF124" w14:textId="77777777" w:rsidR="00495C65" w:rsidRDefault="00495C65" w:rsidP="00495C65">
      <w:pPr>
        <w:pStyle w:val="13"/>
      </w:pPr>
      <w:r>
        <w:rPr>
          <w:rFonts w:hint="eastAsia"/>
        </w:rPr>
        <w:t>下列术语和定义适用于本标准。</w:t>
      </w:r>
    </w:p>
    <w:p w14:paraId="0F0BD5D0" w14:textId="77777777" w:rsidR="00495C65" w:rsidRDefault="00495C65" w:rsidP="00495C65">
      <w:pPr>
        <w:pStyle w:val="13"/>
      </w:pPr>
      <w:r>
        <w:t>3.1海域：中华人民共和国内水、领海的水面、水体、海床和底土。</w:t>
      </w:r>
    </w:p>
    <w:p w14:paraId="541636F9" w14:textId="77777777" w:rsidR="00495C65" w:rsidRDefault="00495C65" w:rsidP="00495C65">
      <w:pPr>
        <w:pStyle w:val="13"/>
      </w:pPr>
      <w:r>
        <w:t>3.2海域使用权：单位或个人在法律范围内对海域占有、使用、收益和部分处分的</w:t>
      </w:r>
      <w:r>
        <w:rPr>
          <w:rFonts w:hint="eastAsia"/>
        </w:rPr>
        <w:t>权利。</w:t>
      </w:r>
    </w:p>
    <w:p w14:paraId="7347C0F3" w14:textId="77777777" w:rsidR="00495C65" w:rsidRDefault="00495C65" w:rsidP="00495C65">
      <w:pPr>
        <w:pStyle w:val="13"/>
      </w:pPr>
      <w:r>
        <w:t>3.3海域使用金：国家以海域所有者身份依法出让海域使用权，向取得海域使用权</w:t>
      </w:r>
      <w:r>
        <w:rPr>
          <w:rFonts w:hint="eastAsia"/>
        </w:rPr>
        <w:t>的单位和个人收取的权利金。</w:t>
      </w:r>
    </w:p>
    <w:p w14:paraId="22C229F5" w14:textId="77777777" w:rsidR="00495C65" w:rsidRDefault="00495C65" w:rsidP="00495C65">
      <w:pPr>
        <w:pStyle w:val="13"/>
      </w:pPr>
      <w:r>
        <w:t>3.4海域价格：一定年期的海域使用权未来纯收益的现值及其附属的用</w:t>
      </w:r>
      <w:proofErr w:type="gramStart"/>
      <w:r>
        <w:t>海设施</w:t>
      </w:r>
      <w:proofErr w:type="gramEnd"/>
      <w:r>
        <w:t>价格</w:t>
      </w:r>
      <w:r>
        <w:rPr>
          <w:rFonts w:hint="eastAsia"/>
        </w:rPr>
        <w:t>的总和。</w:t>
      </w:r>
    </w:p>
    <w:p w14:paraId="0DD06344" w14:textId="77777777" w:rsidR="00495C65" w:rsidRDefault="00495C65" w:rsidP="00495C65">
      <w:pPr>
        <w:pStyle w:val="13"/>
      </w:pPr>
      <w:r>
        <w:t>3.5海域使用权价格：在正常经营条件下，一定年期的海域使用权未来纯收益的现</w:t>
      </w:r>
      <w:r>
        <w:rPr>
          <w:rFonts w:hint="eastAsia"/>
        </w:rPr>
        <w:t>值总和。</w:t>
      </w:r>
    </w:p>
    <w:p w14:paraId="0E7CD137" w14:textId="77777777" w:rsidR="00495C65" w:rsidRDefault="00495C65" w:rsidP="00495C65">
      <w:pPr>
        <w:pStyle w:val="13"/>
      </w:pPr>
      <w:r>
        <w:t>3.6海域基准价：某一基准日上一定年期海域使用权的区域平均价格。</w:t>
      </w:r>
    </w:p>
    <w:p w14:paraId="6572F695" w14:textId="77777777" w:rsidR="00495C65" w:rsidRDefault="00495C65" w:rsidP="00495C65">
      <w:pPr>
        <w:pStyle w:val="13"/>
      </w:pPr>
      <w:r>
        <w:t>3.7评估基准日：评估结果对应的日期。</w:t>
      </w:r>
    </w:p>
    <w:p w14:paraId="066A9689" w14:textId="77777777" w:rsidR="00495C65" w:rsidRDefault="00495C65" w:rsidP="00495C65">
      <w:pPr>
        <w:pStyle w:val="13"/>
      </w:pPr>
      <w:r>
        <w:t>3.8均质海域：同一海域使用类型中区位、海域使用、收益状况等条件类似的用海</w:t>
      </w:r>
      <w:r>
        <w:rPr>
          <w:rFonts w:hint="eastAsia"/>
        </w:rPr>
        <w:t>区域。</w:t>
      </w:r>
    </w:p>
    <w:p w14:paraId="421DC888" w14:textId="77777777" w:rsidR="00495C65" w:rsidRDefault="00495C65" w:rsidP="00495C65">
      <w:pPr>
        <w:pStyle w:val="13"/>
      </w:pPr>
      <w:r>
        <w:t>3.9海域取得费：用海单位或</w:t>
      </w:r>
      <w:proofErr w:type="gramStart"/>
      <w:r>
        <w:t>个</w:t>
      </w:r>
      <w:proofErr w:type="gramEnd"/>
      <w:r>
        <w:t>人为取得海域使用权而支付的各项客观费用。</w:t>
      </w:r>
    </w:p>
    <w:p w14:paraId="0BA2DD2E" w14:textId="77777777" w:rsidR="00495C65" w:rsidRDefault="00495C65" w:rsidP="00495C65">
      <w:pPr>
        <w:pStyle w:val="13"/>
      </w:pPr>
      <w:r>
        <w:t>3.10海域开发费：为使海域达到一定的使用条件而投入的各项客观费用。</w:t>
      </w:r>
    </w:p>
    <w:p w14:paraId="020BE40A" w14:textId="77777777" w:rsidR="00495C65" w:rsidRDefault="00495C65" w:rsidP="00495C65">
      <w:pPr>
        <w:pStyle w:val="13"/>
      </w:pPr>
      <w:r>
        <w:t>3.11海域开发利润：一定年期内海域开发过程中各项投资利润之</w:t>
      </w:r>
      <w:proofErr w:type="gramStart"/>
      <w:r>
        <w:t>和</w:t>
      </w:r>
      <w:proofErr w:type="gramEnd"/>
      <w:r>
        <w:t>。</w:t>
      </w:r>
    </w:p>
    <w:p w14:paraId="1D37FB33" w14:textId="77777777" w:rsidR="00495C65" w:rsidRDefault="00495C65" w:rsidP="00495C65">
      <w:pPr>
        <w:pStyle w:val="13"/>
      </w:pPr>
      <w:r>
        <w:t>3.12海域增值：</w:t>
      </w:r>
      <w:proofErr w:type="gramStart"/>
      <w:r>
        <w:t>待估海域</w:t>
      </w:r>
      <w:proofErr w:type="gramEnd"/>
      <w:r>
        <w:t>因改变用途或进行海域开发，达到</w:t>
      </w:r>
      <w:proofErr w:type="gramStart"/>
      <w:r>
        <w:t>某种利用</w:t>
      </w:r>
      <w:proofErr w:type="gramEnd"/>
      <w:r>
        <w:t>条件而发生的</w:t>
      </w:r>
      <w:r>
        <w:rPr>
          <w:rFonts w:hint="eastAsia"/>
        </w:rPr>
        <w:t>价值增加量。</w:t>
      </w:r>
    </w:p>
    <w:p w14:paraId="07AC836A" w14:textId="77777777" w:rsidR="00495C65" w:rsidRDefault="00495C65" w:rsidP="00495C65">
      <w:pPr>
        <w:pStyle w:val="13"/>
      </w:pPr>
      <w:r>
        <w:t>3.13用海设施：利用海域空间建造的，与海域使用权人的生产活动存在直接或间接</w:t>
      </w:r>
      <w:r>
        <w:rPr>
          <w:rFonts w:hint="eastAsia"/>
        </w:rPr>
        <w:t>联系的辅助性设施。</w:t>
      </w:r>
    </w:p>
    <w:p w14:paraId="003A2040" w14:textId="77777777" w:rsidR="00495C65" w:rsidRDefault="00495C65" w:rsidP="00AF7342">
      <w:pPr>
        <w:pStyle w:val="a9"/>
        <w:spacing w:before="62" w:after="62"/>
      </w:pPr>
      <w:r>
        <w:lastRenderedPageBreak/>
        <w:t>4 总则</w:t>
      </w:r>
    </w:p>
    <w:p w14:paraId="50F3E734" w14:textId="77777777" w:rsidR="00495C65" w:rsidRDefault="00495C65" w:rsidP="00495C65">
      <w:pPr>
        <w:pStyle w:val="13"/>
      </w:pPr>
      <w:r>
        <w:t>4.1评估原则</w:t>
      </w:r>
    </w:p>
    <w:p w14:paraId="37F99953" w14:textId="77777777" w:rsidR="00495C65" w:rsidRDefault="00495C65" w:rsidP="00495C65">
      <w:pPr>
        <w:pStyle w:val="13"/>
      </w:pPr>
      <w:r>
        <w:t>4.1.1最佳使用原则</w:t>
      </w:r>
    </w:p>
    <w:p w14:paraId="7D7BC86F" w14:textId="77777777" w:rsidR="00495C65" w:rsidRDefault="00495C65" w:rsidP="00495C65">
      <w:pPr>
        <w:pStyle w:val="13"/>
      </w:pPr>
      <w:r>
        <w:rPr>
          <w:rFonts w:hint="eastAsia"/>
        </w:rPr>
        <w:t>海域评估应以评估对象的最有效使用为前提，应符合其自身利用条件、海洋功能区划及相关规划，实现海域、资本、劳动力、技术、经营管理等生产要素的最优配置。</w:t>
      </w:r>
    </w:p>
    <w:p w14:paraId="10C54EE0" w14:textId="77777777" w:rsidR="00495C65" w:rsidRDefault="00495C65" w:rsidP="00495C65">
      <w:pPr>
        <w:pStyle w:val="13"/>
      </w:pPr>
      <w:r>
        <w:t>4.1.2预期收益原则</w:t>
      </w:r>
    </w:p>
    <w:p w14:paraId="7C6FA749" w14:textId="77777777" w:rsidR="00495C65" w:rsidRDefault="00495C65" w:rsidP="00495C65">
      <w:pPr>
        <w:pStyle w:val="13"/>
      </w:pPr>
      <w:r>
        <w:rPr>
          <w:rFonts w:hint="eastAsia"/>
        </w:rPr>
        <w:t>海域评估应以评估对象在正常利用条件下未来客观有效的预期收益为依据。</w:t>
      </w:r>
    </w:p>
    <w:p w14:paraId="62719966" w14:textId="77777777" w:rsidR="00495C65" w:rsidRDefault="00495C65" w:rsidP="00495C65">
      <w:pPr>
        <w:pStyle w:val="13"/>
      </w:pPr>
      <w:r>
        <w:t>4.1.3贡献分配原则</w:t>
      </w:r>
    </w:p>
    <w:p w14:paraId="3B16BDE3" w14:textId="77777777" w:rsidR="00495C65" w:rsidRDefault="00495C65" w:rsidP="00495C65">
      <w:pPr>
        <w:pStyle w:val="13"/>
      </w:pPr>
      <w:r>
        <w:rPr>
          <w:rFonts w:hint="eastAsia"/>
        </w:rPr>
        <w:t>海域价格应根据海域对海域总收益的贡献大小确定。</w:t>
      </w:r>
    </w:p>
    <w:p w14:paraId="727F9384" w14:textId="77777777" w:rsidR="00495C65" w:rsidRDefault="00495C65" w:rsidP="00495C65">
      <w:pPr>
        <w:pStyle w:val="13"/>
      </w:pPr>
      <w:r>
        <w:t>4.1.4市场供需原则</w:t>
      </w:r>
    </w:p>
    <w:p w14:paraId="234B17EE" w14:textId="77777777" w:rsidR="00495C65" w:rsidRDefault="00495C65" w:rsidP="00495C65">
      <w:pPr>
        <w:pStyle w:val="13"/>
      </w:pPr>
      <w:r>
        <w:rPr>
          <w:rFonts w:hint="eastAsia"/>
        </w:rPr>
        <w:t>海域评估应以市场供需决定海域价格为依据，并充分考虑海域供需的特殊性和海域市场的区域性。</w:t>
      </w:r>
    </w:p>
    <w:p w14:paraId="12E1CB5F" w14:textId="77777777" w:rsidR="00495C65" w:rsidRDefault="00495C65" w:rsidP="00495C65">
      <w:pPr>
        <w:pStyle w:val="13"/>
      </w:pPr>
      <w:r>
        <w:t>4.1.5替代原则</w:t>
      </w:r>
    </w:p>
    <w:p w14:paraId="7B43C10B" w14:textId="77777777" w:rsidR="00495C65" w:rsidRDefault="00495C65" w:rsidP="00495C65">
      <w:pPr>
        <w:pStyle w:val="13"/>
      </w:pPr>
      <w:r>
        <w:rPr>
          <w:rFonts w:hint="eastAsia"/>
        </w:rPr>
        <w:t>海域评估应以相同等别均质海域在同等利用条件下的海域市场交易价格为参照，评估结果不应明显偏离具有替代性质的海域客观价格。</w:t>
      </w:r>
    </w:p>
    <w:p w14:paraId="7151B269" w14:textId="77777777" w:rsidR="00495C65" w:rsidRDefault="00495C65" w:rsidP="00495C65">
      <w:pPr>
        <w:pStyle w:val="13"/>
      </w:pPr>
      <w:r>
        <w:t>4.2技术途径</w:t>
      </w:r>
    </w:p>
    <w:p w14:paraId="66366A3E" w14:textId="77777777" w:rsidR="00495C65" w:rsidRDefault="00495C65" w:rsidP="00495C65">
      <w:pPr>
        <w:pStyle w:val="13"/>
      </w:pPr>
      <w:r>
        <w:rPr>
          <w:rFonts w:hint="eastAsia"/>
        </w:rPr>
        <w:t>采用收益还原法、成本逼近法、假设开发法、市场比较法和基准价系数修正法评估海域价格。</w:t>
      </w:r>
    </w:p>
    <w:p w14:paraId="5096AF5A" w14:textId="77777777" w:rsidR="00495C65" w:rsidRDefault="00495C65" w:rsidP="00495C65">
      <w:pPr>
        <w:pStyle w:val="13"/>
      </w:pPr>
      <w:r>
        <w:t>4.3评估成果</w:t>
      </w:r>
    </w:p>
    <w:p w14:paraId="3FD1FFF0" w14:textId="77777777" w:rsidR="00495C65" w:rsidRDefault="00495C65" w:rsidP="00495C65">
      <w:pPr>
        <w:pStyle w:val="13"/>
      </w:pPr>
      <w:r>
        <w:rPr>
          <w:rFonts w:hint="eastAsia"/>
        </w:rPr>
        <w:t>评估成果应包括：</w:t>
      </w:r>
    </w:p>
    <w:p w14:paraId="765477C5" w14:textId="77777777" w:rsidR="00495C65" w:rsidRDefault="00495C65" w:rsidP="00495C65">
      <w:pPr>
        <w:pStyle w:val="13"/>
      </w:pPr>
      <w:r>
        <w:t>a）海域价格评估报告；</w:t>
      </w:r>
    </w:p>
    <w:p w14:paraId="2183BBC0" w14:textId="77777777" w:rsidR="00495C65" w:rsidRDefault="00495C65" w:rsidP="00495C65">
      <w:pPr>
        <w:pStyle w:val="13"/>
      </w:pPr>
      <w:r>
        <w:t>b）海域价格评估技术报告。</w:t>
      </w:r>
    </w:p>
    <w:p w14:paraId="55C67FE7" w14:textId="77777777" w:rsidR="00495C65" w:rsidRDefault="00495C65" w:rsidP="00AF7342">
      <w:pPr>
        <w:pStyle w:val="a9"/>
        <w:spacing w:before="62" w:after="62"/>
      </w:pPr>
      <w:r>
        <w:t>5 评估方法</w:t>
      </w:r>
    </w:p>
    <w:p w14:paraId="3B25A1E0" w14:textId="77777777" w:rsidR="00495C65" w:rsidRDefault="00495C65" w:rsidP="00495C65">
      <w:pPr>
        <w:pStyle w:val="13"/>
      </w:pPr>
      <w:r>
        <w:t>5.1收益还原法</w:t>
      </w:r>
    </w:p>
    <w:p w14:paraId="2DBFE9DD" w14:textId="77777777" w:rsidR="00495C65" w:rsidRDefault="00495C65" w:rsidP="00495C65">
      <w:pPr>
        <w:pStyle w:val="13"/>
      </w:pPr>
      <w:r>
        <w:t>5.1.1适用条件</w:t>
      </w:r>
    </w:p>
    <w:p w14:paraId="367B94CF" w14:textId="77777777" w:rsidR="00495C65" w:rsidRDefault="00495C65" w:rsidP="00495C65">
      <w:pPr>
        <w:pStyle w:val="13"/>
      </w:pPr>
      <w:r>
        <w:rPr>
          <w:rFonts w:hint="eastAsia"/>
        </w:rPr>
        <w:t>收益还原法是将海域未来预期纯收益，按一定还原利率折算成评估基准</w:t>
      </w:r>
      <w:proofErr w:type="gramStart"/>
      <w:r>
        <w:rPr>
          <w:rFonts w:hint="eastAsia"/>
        </w:rPr>
        <w:t>日收益</w:t>
      </w:r>
      <w:proofErr w:type="gramEnd"/>
      <w:r>
        <w:rPr>
          <w:rFonts w:hint="eastAsia"/>
        </w:rPr>
        <w:t>总和的一种方法。该方法只适用于有收益或有潜在收益并能按照贡献原则较准确的计算海域未来每年纯收益的情形。</w:t>
      </w:r>
    </w:p>
    <w:p w14:paraId="3E0894A7" w14:textId="77777777" w:rsidR="00495C65" w:rsidRDefault="00495C65" w:rsidP="00495C65">
      <w:pPr>
        <w:pStyle w:val="13"/>
      </w:pPr>
      <w:r>
        <w:t>5.1.2计算公式</w:t>
      </w:r>
    </w:p>
    <w:p w14:paraId="6A3BA122" w14:textId="77777777" w:rsidR="00495C65" w:rsidRDefault="00495C65" w:rsidP="00495C65">
      <w:pPr>
        <w:pStyle w:val="13"/>
      </w:pPr>
      <w:r>
        <w:rPr>
          <w:rFonts w:hint="eastAsia"/>
          <w:noProof/>
        </w:rPr>
        <w:drawing>
          <wp:anchor distT="0" distB="0" distL="114300" distR="114300" simplePos="0" relativeHeight="251684864" behindDoc="1" locked="0" layoutInCell="1" allowOverlap="1" wp14:anchorId="5C8CB47E" wp14:editId="1CF533B2">
            <wp:simplePos x="0" y="0"/>
            <wp:positionH relativeFrom="column">
              <wp:posOffset>2053423</wp:posOffset>
            </wp:positionH>
            <wp:positionV relativeFrom="paragraph">
              <wp:posOffset>127216</wp:posOffset>
            </wp:positionV>
            <wp:extent cx="1578636" cy="526212"/>
            <wp:effectExtent l="0" t="0" r="2540" b="7620"/>
            <wp:wrapNone/>
            <wp:docPr id="4257" name="图片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 name="图片 4257"/>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78636" cy="526212"/>
                    </a:xfrm>
                    <a:prstGeom prst="rect">
                      <a:avLst/>
                    </a:prstGeom>
                  </pic:spPr>
                </pic:pic>
              </a:graphicData>
            </a:graphic>
          </wp:anchor>
        </w:drawing>
      </w:r>
      <w:r>
        <w:rPr>
          <w:rFonts w:hint="eastAsia"/>
        </w:rPr>
        <w:t>公式如下：</w:t>
      </w:r>
    </w:p>
    <w:p w14:paraId="0CA186B9" w14:textId="77777777" w:rsidR="00495C65" w:rsidRDefault="00495C65" w:rsidP="00495C65">
      <w:pPr>
        <w:pStyle w:val="13"/>
      </w:pPr>
      <w:r w:rsidRPr="00437572">
        <w:t xml:space="preserve">                                                                （</w:t>
      </w:r>
      <w:r>
        <w:t>1</w:t>
      </w:r>
      <w:r w:rsidRPr="00437572">
        <w:t>）</w:t>
      </w:r>
    </w:p>
    <w:p w14:paraId="2BBA13DE" w14:textId="77777777" w:rsidR="00495C65" w:rsidRDefault="00495C65" w:rsidP="00495C65">
      <w:pPr>
        <w:pStyle w:val="13"/>
        <w:jc w:val="center"/>
      </w:pPr>
    </w:p>
    <w:p w14:paraId="1C98E904" w14:textId="77777777" w:rsidR="00495C65" w:rsidRDefault="00495C65" w:rsidP="00495C65">
      <w:pPr>
        <w:pStyle w:val="13"/>
      </w:pPr>
      <w:r>
        <w:rPr>
          <w:rFonts w:hint="eastAsia"/>
        </w:rPr>
        <w:t>式中：</w:t>
      </w:r>
    </w:p>
    <w:p w14:paraId="31300F3A" w14:textId="77777777" w:rsidR="00495C65" w:rsidRDefault="00495C65" w:rsidP="00495C65">
      <w:pPr>
        <w:pStyle w:val="13"/>
        <w:ind w:firstLineChars="500" w:firstLine="1200"/>
      </w:pPr>
      <w:r>
        <w:t>V——</w:t>
      </w:r>
      <w:proofErr w:type="gramStart"/>
      <w:r>
        <w:t>待估海域</w:t>
      </w:r>
      <w:proofErr w:type="gramEnd"/>
      <w:r>
        <w:t>收益价格，单位为万元；</w:t>
      </w:r>
    </w:p>
    <w:p w14:paraId="1BC4F692" w14:textId="77777777" w:rsidR="00495C65" w:rsidRDefault="00495C65" w:rsidP="00495C65">
      <w:pPr>
        <w:pStyle w:val="13"/>
        <w:ind w:firstLineChars="500" w:firstLine="1200"/>
      </w:pPr>
      <w:r>
        <w:lastRenderedPageBreak/>
        <w:t>a——</w:t>
      </w:r>
      <w:proofErr w:type="gramStart"/>
      <w:r>
        <w:t>待估海域</w:t>
      </w:r>
      <w:proofErr w:type="gramEnd"/>
      <w:r>
        <w:t>未来每年纯收益，单位为万元；</w:t>
      </w:r>
    </w:p>
    <w:p w14:paraId="6E33F1FD" w14:textId="77777777" w:rsidR="00495C65" w:rsidRDefault="00495C65" w:rsidP="00495C65">
      <w:pPr>
        <w:pStyle w:val="13"/>
        <w:ind w:firstLineChars="500" w:firstLine="1200"/>
      </w:pPr>
      <w:r>
        <w:t>r——还原利率；</w:t>
      </w:r>
    </w:p>
    <w:p w14:paraId="59D76487" w14:textId="77777777" w:rsidR="00495C65" w:rsidRDefault="00495C65" w:rsidP="00495C65">
      <w:pPr>
        <w:pStyle w:val="13"/>
        <w:ind w:firstLineChars="500" w:firstLine="1200"/>
      </w:pPr>
      <w:r>
        <w:t>m——未来海域使用年期。</w:t>
      </w:r>
    </w:p>
    <w:p w14:paraId="3738855B" w14:textId="77777777" w:rsidR="00495C65" w:rsidRDefault="00495C65" w:rsidP="00495C65">
      <w:pPr>
        <w:pStyle w:val="13"/>
      </w:pPr>
      <w:r>
        <w:t>5.1.3程序与要求</w:t>
      </w:r>
    </w:p>
    <w:p w14:paraId="0E60C6A2" w14:textId="77777777" w:rsidR="00495C65" w:rsidRDefault="00495C65" w:rsidP="00495C65">
      <w:pPr>
        <w:pStyle w:val="13"/>
      </w:pPr>
      <w:r>
        <w:rPr>
          <w:rFonts w:hint="eastAsia"/>
        </w:rPr>
        <w:t>程序与要求如下：</w:t>
      </w:r>
    </w:p>
    <w:p w14:paraId="31B0EEC6" w14:textId="77777777" w:rsidR="00495C65" w:rsidRDefault="00495C65" w:rsidP="00495C65">
      <w:pPr>
        <w:pStyle w:val="13"/>
      </w:pPr>
      <w:r>
        <w:t>a）收集相关资料；</w:t>
      </w:r>
    </w:p>
    <w:p w14:paraId="6BC4E510" w14:textId="77777777" w:rsidR="00495C65" w:rsidRDefault="00495C65" w:rsidP="00495C65">
      <w:pPr>
        <w:pStyle w:val="13"/>
      </w:pPr>
      <w:r>
        <w:t>b）</w:t>
      </w:r>
      <w:proofErr w:type="gramStart"/>
      <w:r>
        <w:t>估算待估海域</w:t>
      </w:r>
      <w:proofErr w:type="gramEnd"/>
      <w:r>
        <w:t>年总收入，按经营性主体</w:t>
      </w:r>
      <w:proofErr w:type="gramStart"/>
      <w:r>
        <w:t>利用待估海域</w:t>
      </w:r>
      <w:proofErr w:type="gramEnd"/>
      <w:r>
        <w:t>所创造的价值总额计算，收</w:t>
      </w:r>
      <w:r>
        <w:rPr>
          <w:rFonts w:hint="eastAsia"/>
        </w:rPr>
        <w:t>入期超过或不足一年的应统一按年折算；</w:t>
      </w:r>
    </w:p>
    <w:p w14:paraId="7B948D6C" w14:textId="77777777" w:rsidR="00495C65" w:rsidRDefault="00495C65" w:rsidP="00495C65">
      <w:pPr>
        <w:pStyle w:val="13"/>
      </w:pPr>
      <w:r>
        <w:t>c）</w:t>
      </w:r>
      <w:proofErr w:type="gramStart"/>
      <w:r>
        <w:t>估算待估海域</w:t>
      </w:r>
      <w:proofErr w:type="gramEnd"/>
      <w:r>
        <w:t>年总费用，按经营性主体在</w:t>
      </w:r>
      <w:proofErr w:type="gramStart"/>
      <w:r>
        <w:t>利用待估海域</w:t>
      </w:r>
      <w:proofErr w:type="gramEnd"/>
      <w:r>
        <w:t>进行生产性经营活动时</w:t>
      </w:r>
      <w:r>
        <w:rPr>
          <w:rFonts w:hint="eastAsia"/>
        </w:rPr>
        <w:t>发生的各项必要的年支出总额计算，支出期超过或不足一年的应统一按年折算；</w:t>
      </w:r>
    </w:p>
    <w:p w14:paraId="0D0256C2" w14:textId="77777777" w:rsidR="00495C65" w:rsidRDefault="00495C65" w:rsidP="00495C65">
      <w:pPr>
        <w:pStyle w:val="13"/>
      </w:pPr>
      <w:r>
        <w:t>d）</w:t>
      </w:r>
      <w:proofErr w:type="gramStart"/>
      <w:r>
        <w:t>计算待估海域</w:t>
      </w:r>
      <w:proofErr w:type="gramEnd"/>
      <w:r>
        <w:t>年总收益，按年总收入扣除年总费用后的余额确定；</w:t>
      </w:r>
    </w:p>
    <w:p w14:paraId="2DC700F5" w14:textId="77777777" w:rsidR="00495C65" w:rsidRDefault="00495C65" w:rsidP="00495C65">
      <w:pPr>
        <w:pStyle w:val="13"/>
      </w:pPr>
      <w:r>
        <w:t>e）</w:t>
      </w:r>
      <w:proofErr w:type="gramStart"/>
      <w:r>
        <w:t>计算待估海域</w:t>
      </w:r>
      <w:proofErr w:type="gramEnd"/>
      <w:r>
        <w:t>年纯收益，按年总收益中扣除非海域生产要素贡献后的余额确定；</w:t>
      </w:r>
    </w:p>
    <w:p w14:paraId="467C7E7C" w14:textId="77777777" w:rsidR="00495C65" w:rsidRDefault="00495C65" w:rsidP="00495C65">
      <w:pPr>
        <w:pStyle w:val="13"/>
      </w:pPr>
      <w:r>
        <w:t>f）确定还原利率，宜采用安全利率加风险系数的方式确定；</w:t>
      </w:r>
    </w:p>
    <w:p w14:paraId="310D3FD4" w14:textId="77777777" w:rsidR="00495C65" w:rsidRDefault="00495C65" w:rsidP="00495C65">
      <w:pPr>
        <w:pStyle w:val="13"/>
      </w:pPr>
      <w:r>
        <w:t>g）确定未来海域使用年期；</w:t>
      </w:r>
    </w:p>
    <w:p w14:paraId="64566741" w14:textId="77777777" w:rsidR="00495C65" w:rsidRDefault="00495C65" w:rsidP="00495C65">
      <w:pPr>
        <w:pStyle w:val="13"/>
      </w:pPr>
      <w:r>
        <w:t>h）</w:t>
      </w:r>
      <w:proofErr w:type="gramStart"/>
      <w:r>
        <w:t>测算待估海域</w:t>
      </w:r>
      <w:proofErr w:type="gramEnd"/>
      <w:r>
        <w:t>收益价格；</w:t>
      </w:r>
    </w:p>
    <w:p w14:paraId="61C40E24" w14:textId="77777777" w:rsidR="00495C65" w:rsidRDefault="00495C65" w:rsidP="00495C65">
      <w:pPr>
        <w:pStyle w:val="13"/>
      </w:pPr>
      <w:proofErr w:type="spellStart"/>
      <w:r>
        <w:t>i</w:t>
      </w:r>
      <w:proofErr w:type="spellEnd"/>
      <w:r>
        <w:t>）</w:t>
      </w:r>
      <w:proofErr w:type="gramStart"/>
      <w:r>
        <w:t>确定待估海域</w:t>
      </w:r>
      <w:proofErr w:type="gramEnd"/>
      <w:r>
        <w:t>价格。</w:t>
      </w:r>
    </w:p>
    <w:p w14:paraId="395F59A3" w14:textId="77777777" w:rsidR="00495C65" w:rsidRDefault="00495C65" w:rsidP="00495C65">
      <w:pPr>
        <w:pStyle w:val="13"/>
      </w:pPr>
      <w:r>
        <w:t>5.2成本逼近法</w:t>
      </w:r>
    </w:p>
    <w:p w14:paraId="19FEA4E6" w14:textId="77777777" w:rsidR="00495C65" w:rsidRDefault="00495C65" w:rsidP="00495C65">
      <w:pPr>
        <w:pStyle w:val="13"/>
      </w:pPr>
      <w:r>
        <w:t>5.2.1适用条件</w:t>
      </w:r>
    </w:p>
    <w:p w14:paraId="5908C77F" w14:textId="77777777" w:rsidR="00495C65" w:rsidRDefault="00495C65" w:rsidP="00495C65">
      <w:pPr>
        <w:pStyle w:val="13"/>
      </w:pPr>
      <w:r>
        <w:rPr>
          <w:rFonts w:hint="eastAsia"/>
        </w:rPr>
        <w:t>成本逼近法是以开发海域所耗费的各项费用之和为主要依据，再加上一定的利息、利润、应缴纳的税金和海域增值收益来确定海域价格的评估方法。该方法适用于抵押贷款、保险中的海域现值或拍卖底价；新开发且周边海域市场欠发育、交易实例少的海域。</w:t>
      </w:r>
    </w:p>
    <w:p w14:paraId="40DA38F7" w14:textId="77777777" w:rsidR="00495C65" w:rsidRDefault="00495C65" w:rsidP="00495C65">
      <w:pPr>
        <w:pStyle w:val="13"/>
      </w:pPr>
      <w:r>
        <w:t>5.2.2计算公式</w:t>
      </w:r>
    </w:p>
    <w:p w14:paraId="0EC82FCE" w14:textId="77777777" w:rsidR="00495C65" w:rsidRDefault="00495C65" w:rsidP="00495C65">
      <w:pPr>
        <w:pStyle w:val="13"/>
      </w:pPr>
      <w:r>
        <w:rPr>
          <w:rFonts w:hint="eastAsia"/>
        </w:rPr>
        <w:t>公式如下：</w:t>
      </w:r>
    </w:p>
    <w:p w14:paraId="30DE9DAC" w14:textId="77777777" w:rsidR="00495C65" w:rsidRDefault="00495C65" w:rsidP="00495C65">
      <w:pPr>
        <w:pStyle w:val="13"/>
        <w:ind w:firstLineChars="1500" w:firstLine="3600"/>
      </w:pPr>
      <w:r w:rsidRPr="008E0633">
        <w:t>V</w:t>
      </w:r>
      <w:r>
        <w:rPr>
          <w:rFonts w:hint="eastAsia"/>
        </w:rPr>
        <w:t>=</w:t>
      </w:r>
      <w:r w:rsidRPr="008E0633">
        <w:t>E</w:t>
      </w:r>
      <w:r w:rsidRPr="008E0633">
        <w:rPr>
          <w:vertAlign w:val="subscript"/>
        </w:rPr>
        <w:t>a</w:t>
      </w:r>
      <w:r>
        <w:t>+</w:t>
      </w:r>
      <w:r w:rsidRPr="008E0633">
        <w:t>E</w:t>
      </w:r>
      <w:r w:rsidRPr="00DD3DBC">
        <w:rPr>
          <w:vertAlign w:val="subscript"/>
        </w:rPr>
        <w:t>d</w:t>
      </w:r>
      <w:r>
        <w:t>+</w:t>
      </w:r>
      <w:r w:rsidRPr="008E0633">
        <w:t>T</w:t>
      </w:r>
      <w:r>
        <w:t>+</w:t>
      </w:r>
      <w:r w:rsidRPr="008E0633">
        <w:t>R</w:t>
      </w:r>
      <w:r w:rsidRPr="00DD3DBC">
        <w:rPr>
          <w:vertAlign w:val="subscript"/>
        </w:rPr>
        <w:t>1</w:t>
      </w:r>
      <w:r>
        <w:t>+</w:t>
      </w:r>
      <w:r w:rsidRPr="008E0633">
        <w:t>R</w:t>
      </w:r>
      <w:r w:rsidRPr="00DD3DBC">
        <w:rPr>
          <w:vertAlign w:val="subscript"/>
        </w:rPr>
        <w:t>2</w:t>
      </w:r>
      <w:r>
        <w:t>+</w:t>
      </w:r>
      <w:r w:rsidRPr="008E0633">
        <w:t>R</w:t>
      </w:r>
      <w:r w:rsidRPr="00DD3DBC">
        <w:rPr>
          <w:vertAlign w:val="subscript"/>
        </w:rPr>
        <w:t>3</w:t>
      </w:r>
      <w:r>
        <w:t>=</w:t>
      </w:r>
      <w:r w:rsidRPr="008E0633">
        <w:t>V</w:t>
      </w:r>
      <w:r w:rsidRPr="00DD3DBC">
        <w:rPr>
          <w:vertAlign w:val="subscript"/>
        </w:rPr>
        <w:t>E</w:t>
      </w:r>
      <w:r>
        <w:t>+</w:t>
      </w:r>
      <w:r w:rsidRPr="008E0633">
        <w:t>R</w:t>
      </w:r>
      <w:r w:rsidRPr="00DD3DBC">
        <w:rPr>
          <w:vertAlign w:val="subscript"/>
        </w:rPr>
        <w:t>3</w:t>
      </w:r>
      <w:r>
        <w:t xml:space="preserve">                   </w:t>
      </w:r>
      <w:r w:rsidRPr="008E0633">
        <w:t>（2）</w:t>
      </w:r>
    </w:p>
    <w:p w14:paraId="67538CEC" w14:textId="77777777" w:rsidR="00495C65" w:rsidRDefault="00495C65" w:rsidP="00495C65">
      <w:pPr>
        <w:pStyle w:val="13"/>
      </w:pPr>
      <w:r>
        <w:rPr>
          <w:rFonts w:hint="eastAsia"/>
        </w:rPr>
        <w:t>式中：</w:t>
      </w:r>
    </w:p>
    <w:p w14:paraId="0B5237D8" w14:textId="77777777" w:rsidR="00495C65" w:rsidRDefault="00495C65" w:rsidP="00495C65">
      <w:pPr>
        <w:pStyle w:val="13"/>
        <w:ind w:firstLineChars="500" w:firstLine="1200"/>
      </w:pPr>
      <w:r>
        <w:t>V——海域使用年期修正前的海域价格，单位为万元；</w:t>
      </w:r>
    </w:p>
    <w:p w14:paraId="6C35017A" w14:textId="77777777" w:rsidR="00495C65" w:rsidRDefault="00495C65" w:rsidP="00495C65">
      <w:pPr>
        <w:pStyle w:val="13"/>
        <w:ind w:firstLineChars="500" w:firstLine="1200"/>
      </w:pPr>
      <w:proofErr w:type="spellStart"/>
      <w:r>
        <w:t>E</w:t>
      </w:r>
      <w:r w:rsidRPr="00986554">
        <w:rPr>
          <w:vertAlign w:val="subscript"/>
        </w:rPr>
        <w:t>a</w:t>
      </w:r>
      <w:proofErr w:type="spellEnd"/>
      <w:r>
        <w:t>——海域取得费，单位为万元；</w:t>
      </w:r>
    </w:p>
    <w:p w14:paraId="4886A55F" w14:textId="77777777" w:rsidR="00495C65" w:rsidRDefault="00495C65" w:rsidP="00495C65">
      <w:pPr>
        <w:pStyle w:val="13"/>
        <w:ind w:firstLineChars="500" w:firstLine="1200"/>
      </w:pPr>
      <w:r>
        <w:t>E</w:t>
      </w:r>
      <w:r w:rsidRPr="00986554">
        <w:rPr>
          <w:vertAlign w:val="subscript"/>
        </w:rPr>
        <w:t>d</w:t>
      </w:r>
      <w:r>
        <w:t>——海域开发费，单位为万元；</w:t>
      </w:r>
    </w:p>
    <w:p w14:paraId="708317AF" w14:textId="77777777" w:rsidR="00495C65" w:rsidRDefault="00495C65" w:rsidP="00495C65">
      <w:pPr>
        <w:pStyle w:val="13"/>
        <w:ind w:firstLineChars="500" w:firstLine="1200"/>
      </w:pPr>
      <w:r>
        <w:t>T——税费，单位为万元；</w:t>
      </w:r>
    </w:p>
    <w:p w14:paraId="70307D2C" w14:textId="77777777" w:rsidR="00495C65" w:rsidRDefault="00495C65" w:rsidP="00495C65">
      <w:pPr>
        <w:pStyle w:val="13"/>
        <w:ind w:firstLineChars="500" w:firstLine="1200"/>
      </w:pPr>
      <w:r>
        <w:t>R</w:t>
      </w:r>
      <w:r w:rsidRPr="00986554">
        <w:rPr>
          <w:vertAlign w:val="subscript"/>
        </w:rPr>
        <w:t>1</w:t>
      </w:r>
      <w:r>
        <w:t>——利息，单位为万元；</w:t>
      </w:r>
    </w:p>
    <w:p w14:paraId="0F3EF0B5" w14:textId="77777777" w:rsidR="00495C65" w:rsidRDefault="00495C65" w:rsidP="00495C65">
      <w:pPr>
        <w:pStyle w:val="13"/>
        <w:ind w:firstLineChars="500" w:firstLine="1200"/>
      </w:pPr>
      <w:r>
        <w:t>R</w:t>
      </w:r>
      <w:r w:rsidRPr="00986554">
        <w:rPr>
          <w:vertAlign w:val="subscript"/>
        </w:rPr>
        <w:t>2</w:t>
      </w:r>
      <w:r>
        <w:t>——利润，单位为万元；</w:t>
      </w:r>
    </w:p>
    <w:p w14:paraId="7CA4FCA2" w14:textId="77777777" w:rsidR="00495C65" w:rsidRDefault="00495C65" w:rsidP="00495C65">
      <w:pPr>
        <w:pStyle w:val="13"/>
        <w:ind w:firstLineChars="500" w:firstLine="1200"/>
      </w:pPr>
      <w:r>
        <w:t>R</w:t>
      </w:r>
      <w:r w:rsidRPr="00986554">
        <w:rPr>
          <w:vertAlign w:val="subscript"/>
        </w:rPr>
        <w:t>3</w:t>
      </w:r>
      <w:r>
        <w:t>——海域增值，单位为万元；</w:t>
      </w:r>
    </w:p>
    <w:p w14:paraId="607CCB7C" w14:textId="77777777" w:rsidR="00495C65" w:rsidRDefault="00495C65" w:rsidP="00495C65">
      <w:pPr>
        <w:pStyle w:val="13"/>
        <w:ind w:firstLineChars="500" w:firstLine="1200"/>
      </w:pPr>
      <w:r>
        <w:lastRenderedPageBreak/>
        <w:t>V</w:t>
      </w:r>
      <w:r w:rsidRPr="00986554">
        <w:rPr>
          <w:vertAlign w:val="subscript"/>
        </w:rPr>
        <w:t>E</w:t>
      </w:r>
      <w:r>
        <w:t>——海域成本价格，单位为万元。</w:t>
      </w:r>
    </w:p>
    <w:p w14:paraId="2E973EF9" w14:textId="77777777" w:rsidR="00495C65" w:rsidRDefault="00495C65" w:rsidP="00495C65">
      <w:pPr>
        <w:pStyle w:val="13"/>
      </w:pPr>
      <w:r>
        <w:t>5.2.3程序与要求</w:t>
      </w:r>
    </w:p>
    <w:p w14:paraId="7B5791A6" w14:textId="77777777" w:rsidR="00495C65" w:rsidRDefault="00495C65" w:rsidP="00495C65">
      <w:pPr>
        <w:pStyle w:val="13"/>
      </w:pPr>
      <w:r>
        <w:rPr>
          <w:rFonts w:hint="eastAsia"/>
        </w:rPr>
        <w:t>程序与要求如下：</w:t>
      </w:r>
    </w:p>
    <w:p w14:paraId="697B7A2C" w14:textId="77777777" w:rsidR="00495C65" w:rsidRDefault="00495C65" w:rsidP="00495C65">
      <w:pPr>
        <w:pStyle w:val="13"/>
      </w:pPr>
      <w:r>
        <w:t>a）收集与评估有关的成本费用、利息、利润及增值收益等资料。</w:t>
      </w:r>
    </w:p>
    <w:p w14:paraId="410AE757" w14:textId="77777777" w:rsidR="00495C65" w:rsidRDefault="00495C65" w:rsidP="00495C65">
      <w:pPr>
        <w:pStyle w:val="13"/>
      </w:pPr>
      <w:r>
        <w:t>b）确定海域取得费；按照用海单位为取得海域使用权而支付的各项客观费用计算，</w:t>
      </w:r>
      <w:r>
        <w:rPr>
          <w:rFonts w:hint="eastAsia"/>
        </w:rPr>
        <w:t>包括海域使用前期费用和各种补偿费，其中海域使用前期费用应包括海域使用论证费用、海洋环境影响评价费用等，各种补偿费用根据国家和当地政府的标准或应支付的客观费用确定；从二级市场购入海域时，海域取得费即为海域使用权购买价格。</w:t>
      </w:r>
    </w:p>
    <w:p w14:paraId="5A59CA06" w14:textId="77777777" w:rsidR="00495C65" w:rsidRDefault="00495C65" w:rsidP="00495C65">
      <w:pPr>
        <w:pStyle w:val="13"/>
      </w:pPr>
      <w:r>
        <w:t>c）确定海域开发费；按照需投入并固化在海域上的各项客观费用计算，如构筑人工</w:t>
      </w:r>
      <w:r>
        <w:rPr>
          <w:rFonts w:hint="eastAsia"/>
        </w:rPr>
        <w:t>鱼礁、炸礁或建设其他海上构筑物等花费的费用。</w:t>
      </w:r>
    </w:p>
    <w:p w14:paraId="41A824B7" w14:textId="77777777" w:rsidR="00495C65" w:rsidRDefault="00495C65" w:rsidP="00495C65">
      <w:pPr>
        <w:pStyle w:val="13"/>
      </w:pPr>
      <w:r>
        <w:t>d）确定各项税费；按照海域取得和开发过程中应必须支付的有关税收和费用计算</w:t>
      </w:r>
      <w:r>
        <w:rPr>
          <w:rFonts w:hint="eastAsia"/>
        </w:rPr>
        <w:t>确定。</w:t>
      </w:r>
    </w:p>
    <w:p w14:paraId="6A9566D5" w14:textId="77777777" w:rsidR="00495C65" w:rsidRDefault="00495C65" w:rsidP="00495C65">
      <w:pPr>
        <w:pStyle w:val="13"/>
      </w:pPr>
      <w:r>
        <w:t>e）确定开发利息；按照界定海域开发程度的正常开发周期、各项费用的投入期限和</w:t>
      </w:r>
      <w:r>
        <w:rPr>
          <w:rFonts w:hint="eastAsia"/>
        </w:rPr>
        <w:t>资本年利息率，分别估计各期投入应支付的利息，海域开发周期超过一年的，利息应按复利计算。</w:t>
      </w:r>
    </w:p>
    <w:p w14:paraId="0096D7DE" w14:textId="77777777" w:rsidR="00495C65" w:rsidRDefault="00495C65" w:rsidP="00495C65">
      <w:pPr>
        <w:pStyle w:val="13"/>
      </w:pPr>
      <w:r>
        <w:t>f）确定海域开发利润；应按照海域取得费、海域开发费以及各项税费为基础，结合</w:t>
      </w:r>
      <w:r>
        <w:rPr>
          <w:rFonts w:hint="eastAsia"/>
        </w:rPr>
        <w:t>各地实际情况与投资风险确定各项投资回报率，估计海域投资应得取的投资利润。</w:t>
      </w:r>
    </w:p>
    <w:p w14:paraId="35E41500" w14:textId="77777777" w:rsidR="00495C65" w:rsidRDefault="00495C65" w:rsidP="00495C65">
      <w:pPr>
        <w:pStyle w:val="13"/>
      </w:pPr>
      <w:r>
        <w:t>g）确定海域开发后</w:t>
      </w:r>
      <w:proofErr w:type="gramStart"/>
      <w:r>
        <w:t>较开发</w:t>
      </w:r>
      <w:proofErr w:type="gramEnd"/>
      <w:r>
        <w:t>前的价值增加额；应根据海域条件的完善或者用途的改</w:t>
      </w:r>
      <w:r>
        <w:rPr>
          <w:rFonts w:hint="eastAsia"/>
        </w:rPr>
        <w:t>变并结合该区域因素综合确定。</w:t>
      </w:r>
    </w:p>
    <w:p w14:paraId="0A066112" w14:textId="77777777" w:rsidR="00495C65" w:rsidRDefault="00495C65" w:rsidP="00495C65">
      <w:pPr>
        <w:pStyle w:val="13"/>
      </w:pPr>
      <w:r>
        <w:t>h）按公式</w:t>
      </w:r>
      <w:proofErr w:type="gramStart"/>
      <w:r>
        <w:t>求取待估海域</w:t>
      </w:r>
      <w:proofErr w:type="gramEnd"/>
      <w:r>
        <w:t>的价格。</w:t>
      </w:r>
    </w:p>
    <w:p w14:paraId="31C693BB" w14:textId="77777777" w:rsidR="00495C65" w:rsidRDefault="00495C65" w:rsidP="00495C65">
      <w:pPr>
        <w:pStyle w:val="13"/>
      </w:pPr>
      <w:proofErr w:type="spellStart"/>
      <w:r>
        <w:t>i</w:t>
      </w:r>
      <w:proofErr w:type="spellEnd"/>
      <w:r>
        <w:t>）对海域价格进行使用年期、个别因素的修正，</w:t>
      </w:r>
      <w:proofErr w:type="gramStart"/>
      <w:r>
        <w:t>确定待估海域</w:t>
      </w:r>
      <w:proofErr w:type="gramEnd"/>
      <w:r>
        <w:t>的最终价格。</w:t>
      </w:r>
    </w:p>
    <w:p w14:paraId="2A1E3C82" w14:textId="77777777" w:rsidR="00495C65" w:rsidRDefault="00495C65" w:rsidP="00495C65">
      <w:pPr>
        <w:pStyle w:val="13"/>
      </w:pPr>
      <w:r>
        <w:rPr>
          <w:rFonts w:hint="eastAsia"/>
        </w:rPr>
        <w:t>采用成本逼近法评估有限年期海域价格时，应根据具体情况计算海域使用年期修正系数：</w:t>
      </w:r>
    </w:p>
    <w:p w14:paraId="65041D51" w14:textId="77777777" w:rsidR="00495C65" w:rsidRDefault="00495C65" w:rsidP="00495C65">
      <w:pPr>
        <w:pStyle w:val="13"/>
      </w:pPr>
      <w:r>
        <w:t>1）当海域增值是以有限年期的市场价格与成本价格的差额确定时，年期修正已在</w:t>
      </w:r>
      <w:r>
        <w:rPr>
          <w:rFonts w:hint="eastAsia"/>
        </w:rPr>
        <w:t>增值收益中体现，不再另行修正。</w:t>
      </w:r>
    </w:p>
    <w:p w14:paraId="69E5A150" w14:textId="77777777" w:rsidR="00495C65" w:rsidRDefault="00495C65" w:rsidP="00495C65">
      <w:pPr>
        <w:pStyle w:val="13"/>
      </w:pPr>
      <w:r>
        <w:t>2）当海域增值是以无限年期的市场价格与成本价格的差额确定时，海域增值收益</w:t>
      </w:r>
      <w:r>
        <w:rPr>
          <w:rFonts w:hint="eastAsia"/>
        </w:rPr>
        <w:t>与成本价格一同进行年期修正。</w:t>
      </w:r>
    </w:p>
    <w:p w14:paraId="296A61B1" w14:textId="77777777" w:rsidR="00495C65" w:rsidRDefault="00495C65" w:rsidP="00495C65">
      <w:pPr>
        <w:pStyle w:val="13"/>
      </w:pPr>
      <w:r>
        <w:t>3）</w:t>
      </w:r>
      <w:proofErr w:type="gramStart"/>
      <w:r>
        <w:t>当待估</w:t>
      </w:r>
      <w:proofErr w:type="gramEnd"/>
      <w:r>
        <w:t>海域为已出让海域时，应进行剩余使用年期修正。</w:t>
      </w:r>
    </w:p>
    <w:p w14:paraId="71327ECB" w14:textId="77777777" w:rsidR="00495C65" w:rsidRDefault="00495C65" w:rsidP="00495C65">
      <w:pPr>
        <w:pStyle w:val="13"/>
      </w:pPr>
      <w:r>
        <w:rPr>
          <w:rFonts w:hint="eastAsia"/>
          <w:noProof/>
        </w:rPr>
        <w:drawing>
          <wp:anchor distT="0" distB="0" distL="114300" distR="114300" simplePos="0" relativeHeight="251685888" behindDoc="1" locked="0" layoutInCell="1" allowOverlap="1" wp14:anchorId="05CCF90D" wp14:editId="237B22D8">
            <wp:simplePos x="0" y="0"/>
            <wp:positionH relativeFrom="column">
              <wp:posOffset>2174192</wp:posOffset>
            </wp:positionH>
            <wp:positionV relativeFrom="paragraph">
              <wp:posOffset>118457</wp:posOffset>
            </wp:positionV>
            <wp:extent cx="1311215" cy="567211"/>
            <wp:effectExtent l="0" t="0" r="3810" b="4445"/>
            <wp:wrapNone/>
            <wp:docPr id="4258" name="图片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 name="图片 425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11215" cy="567211"/>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海域使用年期修正系数公式为：</w:t>
      </w:r>
    </w:p>
    <w:p w14:paraId="39371421" w14:textId="77777777" w:rsidR="00495C65" w:rsidRDefault="00495C65" w:rsidP="00495C65">
      <w:pPr>
        <w:pStyle w:val="13"/>
      </w:pPr>
      <w:r w:rsidRPr="00536850">
        <w:t xml:space="preserve">                                                                （</w:t>
      </w:r>
      <w:r>
        <w:t>3</w:t>
      </w:r>
      <w:r w:rsidRPr="00536850">
        <w:t>）</w:t>
      </w:r>
    </w:p>
    <w:p w14:paraId="110BFC80" w14:textId="77777777" w:rsidR="00495C65" w:rsidRDefault="00495C65" w:rsidP="00495C65">
      <w:pPr>
        <w:pStyle w:val="13"/>
      </w:pPr>
      <w:r>
        <w:rPr>
          <w:rFonts w:hint="eastAsia"/>
        </w:rPr>
        <w:t>式中：</w:t>
      </w:r>
    </w:p>
    <w:p w14:paraId="13E26B0E" w14:textId="77777777" w:rsidR="00495C65" w:rsidRDefault="00495C65" w:rsidP="00495C65">
      <w:pPr>
        <w:pStyle w:val="13"/>
        <w:ind w:firstLineChars="500" w:firstLine="1200"/>
      </w:pPr>
      <w:r>
        <w:t>k——海域使用年期修正系数；</w:t>
      </w:r>
    </w:p>
    <w:p w14:paraId="7031C689" w14:textId="77777777" w:rsidR="00495C65" w:rsidRDefault="00495C65" w:rsidP="00495C65">
      <w:pPr>
        <w:pStyle w:val="13"/>
        <w:ind w:firstLineChars="500" w:firstLine="1200"/>
      </w:pPr>
      <w:r>
        <w:t>r——海域还原利率；</w:t>
      </w:r>
    </w:p>
    <w:p w14:paraId="409A566D" w14:textId="77777777" w:rsidR="00495C65" w:rsidRDefault="00495C65" w:rsidP="00495C65">
      <w:pPr>
        <w:pStyle w:val="13"/>
        <w:ind w:firstLineChars="500" w:firstLine="1200"/>
      </w:pPr>
      <w:r>
        <w:lastRenderedPageBreak/>
        <w:t>n——海域使用年期。</w:t>
      </w:r>
    </w:p>
    <w:p w14:paraId="7BF279B9" w14:textId="77777777" w:rsidR="00495C65" w:rsidRDefault="00495C65" w:rsidP="00495C65">
      <w:pPr>
        <w:pStyle w:val="13"/>
      </w:pPr>
      <w:r>
        <w:t>5.3假设开发法</w:t>
      </w:r>
    </w:p>
    <w:p w14:paraId="20349E27" w14:textId="77777777" w:rsidR="00495C65" w:rsidRDefault="00495C65" w:rsidP="00495C65">
      <w:pPr>
        <w:pStyle w:val="13"/>
      </w:pPr>
      <w:r>
        <w:t>5.3.1适用条件</w:t>
      </w:r>
    </w:p>
    <w:p w14:paraId="1DA40008" w14:textId="77777777" w:rsidR="00495C65" w:rsidRDefault="00495C65" w:rsidP="00495C65">
      <w:pPr>
        <w:pStyle w:val="13"/>
      </w:pPr>
      <w:r>
        <w:rPr>
          <w:rFonts w:hint="eastAsia"/>
        </w:rPr>
        <w:t>假设开发法是指以预计或已开发完成后海域及其附属用海设施、人工构筑物市场总价扣除正常的开发成本、利润后的余额</w:t>
      </w:r>
      <w:proofErr w:type="gramStart"/>
      <w:r>
        <w:rPr>
          <w:rFonts w:hint="eastAsia"/>
        </w:rPr>
        <w:t>作为待估海域</w:t>
      </w:r>
      <w:proofErr w:type="gramEnd"/>
      <w:r>
        <w:rPr>
          <w:rFonts w:hint="eastAsia"/>
        </w:rPr>
        <w:t>价格的一种方法。该方法适用于具有投资开发或再开发潜力，且开发后的收益水平易估计的待开发海域的估价。</w:t>
      </w:r>
    </w:p>
    <w:p w14:paraId="37A1FFC9" w14:textId="77777777" w:rsidR="00495C65" w:rsidRDefault="00495C65" w:rsidP="00495C65">
      <w:pPr>
        <w:pStyle w:val="13"/>
      </w:pPr>
      <w:r>
        <w:t>5.3.2计算公式</w:t>
      </w:r>
    </w:p>
    <w:p w14:paraId="5CDE836E" w14:textId="77777777" w:rsidR="00495C65" w:rsidRDefault="00495C65" w:rsidP="00495C65">
      <w:pPr>
        <w:pStyle w:val="13"/>
      </w:pPr>
      <w:r>
        <w:rPr>
          <w:rFonts w:hint="eastAsia"/>
        </w:rPr>
        <w:t>公式如下：</w:t>
      </w:r>
    </w:p>
    <w:p w14:paraId="5F6502C1" w14:textId="77777777" w:rsidR="00495C65" w:rsidRDefault="00495C65" w:rsidP="00495C65">
      <w:pPr>
        <w:pStyle w:val="13"/>
        <w:ind w:firstLineChars="1500" w:firstLine="3600"/>
      </w:pPr>
      <w:r w:rsidRPr="001B43DE">
        <w:t>V=A-B-C</w:t>
      </w:r>
      <w:r>
        <w:t xml:space="preserve">                                </w:t>
      </w:r>
      <w:r w:rsidRPr="001B43DE">
        <w:t>（4）</w:t>
      </w:r>
    </w:p>
    <w:p w14:paraId="41278041" w14:textId="77777777" w:rsidR="00495C65" w:rsidRDefault="00495C65" w:rsidP="00495C65">
      <w:pPr>
        <w:pStyle w:val="13"/>
      </w:pPr>
      <w:r>
        <w:rPr>
          <w:rFonts w:hint="eastAsia"/>
        </w:rPr>
        <w:t>式中：</w:t>
      </w:r>
    </w:p>
    <w:p w14:paraId="237004CC" w14:textId="77777777" w:rsidR="00495C65" w:rsidRDefault="00495C65" w:rsidP="00495C65">
      <w:pPr>
        <w:pStyle w:val="13"/>
        <w:ind w:firstLineChars="500" w:firstLine="1200"/>
      </w:pPr>
      <w:r>
        <w:t>V——</w:t>
      </w:r>
      <w:proofErr w:type="gramStart"/>
      <w:r>
        <w:t>待估海域</w:t>
      </w:r>
      <w:proofErr w:type="gramEnd"/>
      <w:r>
        <w:t>价格，单位为万元；</w:t>
      </w:r>
    </w:p>
    <w:p w14:paraId="1B74CF04" w14:textId="77777777" w:rsidR="00495C65" w:rsidRDefault="00495C65" w:rsidP="00495C65">
      <w:pPr>
        <w:pStyle w:val="13"/>
        <w:ind w:firstLineChars="500" w:firstLine="1200"/>
      </w:pPr>
      <w:r>
        <w:t>A——开发完成后的海域及其附属用</w:t>
      </w:r>
      <w:proofErr w:type="gramStart"/>
      <w:r>
        <w:t>海设施</w:t>
      </w:r>
      <w:proofErr w:type="gramEnd"/>
      <w:r>
        <w:t>总价值，单位为万元；</w:t>
      </w:r>
    </w:p>
    <w:p w14:paraId="6B369C2D" w14:textId="77777777" w:rsidR="00495C65" w:rsidRDefault="00495C65" w:rsidP="00495C65">
      <w:pPr>
        <w:pStyle w:val="13"/>
        <w:ind w:firstLineChars="500" w:firstLine="1200"/>
      </w:pPr>
      <w:r>
        <w:t>B——海域开发成本，单位为万元；</w:t>
      </w:r>
    </w:p>
    <w:p w14:paraId="29124E61" w14:textId="77777777" w:rsidR="00495C65" w:rsidRDefault="00495C65" w:rsidP="00495C65">
      <w:pPr>
        <w:pStyle w:val="13"/>
        <w:ind w:firstLineChars="500" w:firstLine="1200"/>
      </w:pPr>
      <w:r>
        <w:t>C——开发合理利润，单位为万元。</w:t>
      </w:r>
    </w:p>
    <w:p w14:paraId="3E55A599" w14:textId="77777777" w:rsidR="00495C65" w:rsidRDefault="00495C65" w:rsidP="00495C65">
      <w:pPr>
        <w:pStyle w:val="13"/>
      </w:pPr>
      <w:r>
        <w:t>5.3.3程序与要求</w:t>
      </w:r>
    </w:p>
    <w:p w14:paraId="76BEA78F" w14:textId="77777777" w:rsidR="00495C65" w:rsidRDefault="00495C65" w:rsidP="00495C65">
      <w:pPr>
        <w:pStyle w:val="13"/>
      </w:pPr>
      <w:r>
        <w:rPr>
          <w:rFonts w:hint="eastAsia"/>
        </w:rPr>
        <w:t>程序与要求如下：</w:t>
      </w:r>
    </w:p>
    <w:p w14:paraId="0B2F1602" w14:textId="77777777" w:rsidR="00495C65" w:rsidRDefault="00495C65" w:rsidP="00495C65">
      <w:pPr>
        <w:pStyle w:val="13"/>
      </w:pPr>
      <w:r>
        <w:t>a）</w:t>
      </w:r>
      <w:proofErr w:type="gramStart"/>
      <w:r>
        <w:t>调查待估海域</w:t>
      </w:r>
      <w:proofErr w:type="gramEnd"/>
      <w:r>
        <w:t>的基本情况。</w:t>
      </w:r>
    </w:p>
    <w:p w14:paraId="286C0459" w14:textId="77777777" w:rsidR="00495C65" w:rsidRDefault="00495C65" w:rsidP="00495C65">
      <w:pPr>
        <w:pStyle w:val="13"/>
      </w:pPr>
      <w:r>
        <w:t>b）</w:t>
      </w:r>
      <w:proofErr w:type="gramStart"/>
      <w:r>
        <w:t>确定待估海域</w:t>
      </w:r>
      <w:proofErr w:type="gramEnd"/>
      <w:r>
        <w:t>的最有效利用方式。</w:t>
      </w:r>
    </w:p>
    <w:p w14:paraId="52EF97F5" w14:textId="77777777" w:rsidR="00495C65" w:rsidRDefault="00495C65" w:rsidP="00495C65">
      <w:pPr>
        <w:pStyle w:val="13"/>
      </w:pPr>
      <w:r>
        <w:t>c）估计开发建设周期和投资进度安排。</w:t>
      </w:r>
    </w:p>
    <w:p w14:paraId="4CA572BC" w14:textId="77777777" w:rsidR="00495C65" w:rsidRDefault="00495C65" w:rsidP="00495C65">
      <w:pPr>
        <w:pStyle w:val="13"/>
      </w:pPr>
      <w:r>
        <w:t>d）估算开发完成后的海域总价值；海域开发后用于销售时，应根据当地市场现状，</w:t>
      </w:r>
      <w:r>
        <w:rPr>
          <w:rFonts w:hint="eastAsia"/>
        </w:rPr>
        <w:t>采用市场比较法确定开发完成后的总价；海域开发后用于出租或自营时，应根据当地市场现状，采用收益还原法确定开发完成后的总价。</w:t>
      </w:r>
    </w:p>
    <w:p w14:paraId="022F833F" w14:textId="77777777" w:rsidR="00495C65" w:rsidRDefault="00495C65" w:rsidP="00495C65">
      <w:pPr>
        <w:pStyle w:val="13"/>
      </w:pPr>
      <w:r>
        <w:t>e）估算开发成本，按照为形成特定资产而固化在海域上的各项支出计算，包括海域</w:t>
      </w:r>
      <w:r>
        <w:rPr>
          <w:rFonts w:hint="eastAsia"/>
        </w:rPr>
        <w:t>取得费、海域开发费、管理费、销售税费和投资利息等，其中海域取得费、海域开发费和管理费等全部预付资本要计算利息，利息的计算要充分考虑资本投入的进度安排，按复利计算。</w:t>
      </w:r>
    </w:p>
    <w:p w14:paraId="73CABF68" w14:textId="77777777" w:rsidR="00495C65" w:rsidRDefault="00495C65" w:rsidP="00495C65">
      <w:pPr>
        <w:pStyle w:val="13"/>
      </w:pPr>
      <w:r>
        <w:t>f）估算开发合理利润，按照开发形成后资产的总价值与项目利润率综合确定，项目</w:t>
      </w:r>
      <w:r>
        <w:rPr>
          <w:rFonts w:hint="eastAsia"/>
        </w:rPr>
        <w:t>利润率应根据同一市场上类似项目的平均利润率确定。</w:t>
      </w:r>
    </w:p>
    <w:p w14:paraId="441DE97A" w14:textId="77777777" w:rsidR="00495C65" w:rsidRDefault="00495C65" w:rsidP="00495C65">
      <w:pPr>
        <w:pStyle w:val="13"/>
      </w:pPr>
      <w:r>
        <w:t>g）</w:t>
      </w:r>
      <w:proofErr w:type="gramStart"/>
      <w:r>
        <w:t>确定待估海域</w:t>
      </w:r>
      <w:proofErr w:type="gramEnd"/>
      <w:r>
        <w:t>价格。</w:t>
      </w:r>
    </w:p>
    <w:p w14:paraId="4A92BF11" w14:textId="77777777" w:rsidR="00495C65" w:rsidRDefault="00495C65" w:rsidP="00495C65">
      <w:pPr>
        <w:pStyle w:val="13"/>
      </w:pPr>
      <w:r>
        <w:t>5.4市场比较法</w:t>
      </w:r>
    </w:p>
    <w:p w14:paraId="7AB8CF88" w14:textId="77777777" w:rsidR="00495C65" w:rsidRDefault="00495C65" w:rsidP="00495C65">
      <w:pPr>
        <w:pStyle w:val="13"/>
      </w:pPr>
      <w:r>
        <w:t>5.4.1适用条件</w:t>
      </w:r>
    </w:p>
    <w:p w14:paraId="1EFE84E0" w14:textId="77777777" w:rsidR="00495C65" w:rsidRDefault="00495C65" w:rsidP="00495C65">
      <w:pPr>
        <w:pStyle w:val="13"/>
      </w:pPr>
      <w:r>
        <w:rPr>
          <w:rFonts w:hint="eastAsia"/>
        </w:rPr>
        <w:t>市场比较法是在求取待评估海域价格时，以条件类似海域买卖实例</w:t>
      </w:r>
      <w:proofErr w:type="gramStart"/>
      <w:r>
        <w:rPr>
          <w:rFonts w:hint="eastAsia"/>
        </w:rPr>
        <w:t>与待估海域</w:t>
      </w:r>
      <w:proofErr w:type="gramEnd"/>
      <w:r>
        <w:rPr>
          <w:rFonts w:hint="eastAsia"/>
        </w:rPr>
        <w:t>加以对照比较，从而</w:t>
      </w:r>
      <w:proofErr w:type="gramStart"/>
      <w:r>
        <w:rPr>
          <w:rFonts w:hint="eastAsia"/>
        </w:rPr>
        <w:t>求取待估海域</w:t>
      </w:r>
      <w:proofErr w:type="gramEnd"/>
      <w:r>
        <w:rPr>
          <w:rFonts w:hint="eastAsia"/>
        </w:rPr>
        <w:t>价格的一种方法。该方法适用于海域巿场发达、有充足的具有替代性的比较实例的地区。</w:t>
      </w:r>
    </w:p>
    <w:p w14:paraId="253C5194" w14:textId="77777777" w:rsidR="00495C65" w:rsidRDefault="00495C65" w:rsidP="00495C65">
      <w:pPr>
        <w:pStyle w:val="13"/>
      </w:pPr>
      <w:r>
        <w:lastRenderedPageBreak/>
        <w:t>5.4.2计算公式</w:t>
      </w:r>
    </w:p>
    <w:p w14:paraId="16126A31" w14:textId="77777777" w:rsidR="00495C65" w:rsidRDefault="00495C65" w:rsidP="00495C65">
      <w:pPr>
        <w:pStyle w:val="13"/>
      </w:pPr>
      <w:r>
        <w:rPr>
          <w:rFonts w:hint="eastAsia"/>
        </w:rPr>
        <w:t>公式如下：</w:t>
      </w:r>
    </w:p>
    <w:p w14:paraId="5B80A1F5" w14:textId="77777777" w:rsidR="00495C65" w:rsidRDefault="00495C65" w:rsidP="00495C65">
      <w:pPr>
        <w:pStyle w:val="13"/>
        <w:ind w:firstLineChars="1250" w:firstLine="3000"/>
      </w:pPr>
      <w:r w:rsidRPr="00E45B1A">
        <w:t>V</w:t>
      </w:r>
      <w:r>
        <w:t>=</w:t>
      </w:r>
      <w:r w:rsidRPr="00E45B1A">
        <w:t>VB</w:t>
      </w:r>
      <w:r w:rsidRPr="00E45B1A">
        <w:rPr>
          <w:rFonts w:hint="eastAsia"/>
        </w:rPr>
        <w:t>×</w:t>
      </w:r>
      <w:r w:rsidRPr="00E45B1A">
        <w:t>K</w:t>
      </w:r>
      <w:r w:rsidRPr="0085767D">
        <w:rPr>
          <w:vertAlign w:val="subscript"/>
        </w:rPr>
        <w:t>1</w:t>
      </w:r>
      <w:r w:rsidRPr="00E45B1A">
        <w:rPr>
          <w:rFonts w:hint="eastAsia"/>
        </w:rPr>
        <w:t>×</w:t>
      </w:r>
      <w:r w:rsidRPr="00E45B1A">
        <w:t>K</w:t>
      </w:r>
      <w:r w:rsidRPr="0085767D">
        <w:rPr>
          <w:vertAlign w:val="subscript"/>
        </w:rPr>
        <w:t>2</w:t>
      </w:r>
      <w:r w:rsidRPr="00E45B1A">
        <w:rPr>
          <w:rFonts w:hint="eastAsia"/>
        </w:rPr>
        <w:t>×</w:t>
      </w:r>
      <w:r w:rsidRPr="00E45B1A">
        <w:t>K</w:t>
      </w:r>
      <w:r w:rsidRPr="0085767D">
        <w:rPr>
          <w:vertAlign w:val="subscript"/>
        </w:rPr>
        <w:t>3</w:t>
      </w:r>
      <w:r w:rsidRPr="00E45B1A">
        <w:rPr>
          <w:rFonts w:hint="eastAsia"/>
        </w:rPr>
        <w:t>×</w:t>
      </w:r>
      <w:r w:rsidRPr="00E45B1A">
        <w:t>K</w:t>
      </w:r>
      <w:r w:rsidRPr="0085767D">
        <w:rPr>
          <w:vertAlign w:val="subscript"/>
        </w:rPr>
        <w:t>4</w:t>
      </w:r>
      <w:r w:rsidRPr="00E45B1A">
        <w:rPr>
          <w:rFonts w:hint="eastAsia"/>
        </w:rPr>
        <w:t>×</w:t>
      </w:r>
      <w:r w:rsidRPr="00E45B1A">
        <w:t>K</w:t>
      </w:r>
      <w:r w:rsidRPr="0085767D">
        <w:rPr>
          <w:vertAlign w:val="subscript"/>
        </w:rPr>
        <w:t>5</w:t>
      </w:r>
      <w:r w:rsidRPr="00E45B1A">
        <w:rPr>
          <w:rFonts w:hint="eastAsia"/>
        </w:rPr>
        <w:t>×</w:t>
      </w:r>
      <w:r w:rsidRPr="00E45B1A">
        <w:t>K</w:t>
      </w:r>
      <w:r w:rsidRPr="0085767D">
        <w:rPr>
          <w:vertAlign w:val="subscript"/>
        </w:rPr>
        <w:t>6</w:t>
      </w:r>
      <w:r w:rsidRPr="00E45B1A">
        <w:rPr>
          <w:rFonts w:hint="eastAsia"/>
        </w:rPr>
        <w:t>×</w:t>
      </w:r>
      <w:r w:rsidRPr="00E45B1A">
        <w:t>K</w:t>
      </w:r>
      <w:r w:rsidRPr="0085767D">
        <w:rPr>
          <w:vertAlign w:val="subscript"/>
        </w:rPr>
        <w:t>7</w:t>
      </w:r>
      <w:r>
        <w:t xml:space="preserve">              </w:t>
      </w:r>
      <w:r w:rsidRPr="00E45B1A">
        <w:t>（5）</w:t>
      </w:r>
    </w:p>
    <w:p w14:paraId="70D20AC5" w14:textId="77777777" w:rsidR="00495C65" w:rsidRDefault="00495C65" w:rsidP="00495C65">
      <w:pPr>
        <w:pStyle w:val="13"/>
      </w:pPr>
      <w:r>
        <w:rPr>
          <w:rFonts w:hint="eastAsia"/>
        </w:rPr>
        <w:t>式中：</w:t>
      </w:r>
    </w:p>
    <w:p w14:paraId="44F40E71" w14:textId="77777777" w:rsidR="00495C65" w:rsidRDefault="00495C65" w:rsidP="00495C65">
      <w:pPr>
        <w:pStyle w:val="13"/>
        <w:ind w:firstLineChars="500" w:firstLine="1200"/>
      </w:pPr>
      <w:r>
        <w:t>V——</w:t>
      </w:r>
      <w:proofErr w:type="gramStart"/>
      <w:r>
        <w:t>待估海域</w:t>
      </w:r>
      <w:proofErr w:type="gramEnd"/>
      <w:r>
        <w:t>价格，单位为万元；</w:t>
      </w:r>
    </w:p>
    <w:p w14:paraId="61DAEE06" w14:textId="77777777" w:rsidR="00495C65" w:rsidRDefault="00495C65" w:rsidP="00495C65">
      <w:pPr>
        <w:pStyle w:val="13"/>
        <w:ind w:firstLineChars="500" w:firstLine="1200"/>
      </w:pPr>
      <w:r>
        <w:t>VB——比较实例价格，单位为万元；</w:t>
      </w:r>
    </w:p>
    <w:p w14:paraId="26EA4861" w14:textId="77777777" w:rsidR="00495C65" w:rsidRDefault="00495C65" w:rsidP="00495C65">
      <w:pPr>
        <w:pStyle w:val="13"/>
        <w:ind w:firstLineChars="500" w:firstLine="1200"/>
      </w:pPr>
      <w:r>
        <w:t>K</w:t>
      </w:r>
      <w:r w:rsidRPr="001128FF">
        <w:rPr>
          <w:vertAlign w:val="subscript"/>
        </w:rPr>
        <w:t>1</w:t>
      </w:r>
      <w:r>
        <w:t>——交易情况修正系数；</w:t>
      </w:r>
    </w:p>
    <w:p w14:paraId="04E76FCF" w14:textId="77777777" w:rsidR="00495C65" w:rsidRDefault="00495C65" w:rsidP="00495C65">
      <w:pPr>
        <w:pStyle w:val="13"/>
        <w:ind w:firstLineChars="500" w:firstLine="1200"/>
      </w:pPr>
      <w:r>
        <w:t>K</w:t>
      </w:r>
      <w:r w:rsidRPr="001128FF">
        <w:rPr>
          <w:vertAlign w:val="subscript"/>
        </w:rPr>
        <w:t>2</w:t>
      </w:r>
      <w:r>
        <w:t>——海洋经济因素修正系数；</w:t>
      </w:r>
    </w:p>
    <w:p w14:paraId="3DB8FF03" w14:textId="77777777" w:rsidR="00495C65" w:rsidRDefault="00495C65" w:rsidP="00495C65">
      <w:pPr>
        <w:pStyle w:val="13"/>
        <w:ind w:firstLineChars="500" w:firstLine="1200"/>
      </w:pPr>
      <w:r>
        <w:t>K</w:t>
      </w:r>
      <w:r w:rsidRPr="001128FF">
        <w:rPr>
          <w:vertAlign w:val="subscript"/>
        </w:rPr>
        <w:t>3</w:t>
      </w:r>
      <w:r>
        <w:t>——区域经济因素修正系数；</w:t>
      </w:r>
    </w:p>
    <w:p w14:paraId="7D1BF35F" w14:textId="77777777" w:rsidR="00495C65" w:rsidRDefault="00495C65" w:rsidP="00495C65">
      <w:pPr>
        <w:pStyle w:val="13"/>
        <w:ind w:firstLineChars="500" w:firstLine="1200"/>
      </w:pPr>
      <w:r>
        <w:t>K</w:t>
      </w:r>
      <w:r w:rsidRPr="001128FF">
        <w:rPr>
          <w:vertAlign w:val="subscript"/>
        </w:rPr>
        <w:t>4</w:t>
      </w:r>
      <w:r>
        <w:t>——社会发展因素修正系数；</w:t>
      </w:r>
    </w:p>
    <w:p w14:paraId="3454892F" w14:textId="77777777" w:rsidR="00495C65" w:rsidRDefault="00495C65" w:rsidP="00495C65">
      <w:pPr>
        <w:pStyle w:val="13"/>
        <w:ind w:firstLineChars="500" w:firstLine="1200"/>
      </w:pPr>
      <w:r>
        <w:t>K</w:t>
      </w:r>
      <w:r w:rsidRPr="001128FF">
        <w:rPr>
          <w:vertAlign w:val="subscript"/>
        </w:rPr>
        <w:t>5</w:t>
      </w:r>
      <w:r>
        <w:t>——资源环境因素修正系数；</w:t>
      </w:r>
    </w:p>
    <w:p w14:paraId="2A1FABB7" w14:textId="77777777" w:rsidR="00495C65" w:rsidRDefault="00495C65" w:rsidP="00495C65">
      <w:pPr>
        <w:pStyle w:val="13"/>
        <w:ind w:firstLineChars="500" w:firstLine="1200"/>
      </w:pPr>
      <w:r>
        <w:t>K</w:t>
      </w:r>
      <w:r w:rsidRPr="001128FF">
        <w:rPr>
          <w:vertAlign w:val="subscript"/>
        </w:rPr>
        <w:t>6</w:t>
      </w:r>
      <w:r>
        <w:t>——使用年期修正系数；</w:t>
      </w:r>
    </w:p>
    <w:p w14:paraId="1C0B4494" w14:textId="77777777" w:rsidR="00495C65" w:rsidRDefault="00495C65" w:rsidP="00495C65">
      <w:pPr>
        <w:pStyle w:val="13"/>
        <w:ind w:firstLineChars="500" w:firstLine="1200"/>
      </w:pPr>
      <w:r>
        <w:t>K</w:t>
      </w:r>
      <w:r w:rsidRPr="001128FF">
        <w:rPr>
          <w:vertAlign w:val="subscript"/>
        </w:rPr>
        <w:t>7</w:t>
      </w:r>
      <w:r>
        <w:t>——评估基准日修正系数。</w:t>
      </w:r>
    </w:p>
    <w:p w14:paraId="7752A4F9" w14:textId="77777777" w:rsidR="00495C65" w:rsidRDefault="00495C65" w:rsidP="00495C65">
      <w:pPr>
        <w:pStyle w:val="13"/>
      </w:pPr>
      <w:r>
        <w:t>5.4.3程序与要求</w:t>
      </w:r>
    </w:p>
    <w:p w14:paraId="388FE20A" w14:textId="77777777" w:rsidR="00495C65" w:rsidRDefault="00495C65" w:rsidP="00495C65">
      <w:pPr>
        <w:pStyle w:val="13"/>
      </w:pPr>
      <w:r>
        <w:rPr>
          <w:rFonts w:hint="eastAsia"/>
        </w:rPr>
        <w:t>程序与要求如下：</w:t>
      </w:r>
    </w:p>
    <w:p w14:paraId="02DF5D99" w14:textId="77777777" w:rsidR="00495C65" w:rsidRDefault="00495C65" w:rsidP="00495C65">
      <w:pPr>
        <w:pStyle w:val="13"/>
      </w:pPr>
      <w:r>
        <w:t>a）收集宗</w:t>
      </w:r>
      <w:proofErr w:type="gramStart"/>
      <w:r>
        <w:t>海交易</w:t>
      </w:r>
      <w:proofErr w:type="gramEnd"/>
      <w:r>
        <w:t>实例。</w:t>
      </w:r>
    </w:p>
    <w:p w14:paraId="4E166064" w14:textId="77777777" w:rsidR="00495C65" w:rsidRDefault="00495C65" w:rsidP="00495C65">
      <w:pPr>
        <w:pStyle w:val="13"/>
      </w:pPr>
      <w:r>
        <w:t>b）确定比较实例；应选择与评估基准日最接近，与评估宗海用途、等别相同，条件</w:t>
      </w:r>
      <w:r>
        <w:rPr>
          <w:rFonts w:hint="eastAsia"/>
        </w:rPr>
        <w:t>基本一致的交易作为比较实例，且至少应选取三个以上的比较实例。</w:t>
      </w:r>
    </w:p>
    <w:p w14:paraId="4B7CC3CE" w14:textId="77777777" w:rsidR="00495C65" w:rsidRDefault="00495C65" w:rsidP="00495C65">
      <w:pPr>
        <w:pStyle w:val="13"/>
      </w:pPr>
      <w:r>
        <w:t>c）建立价格可比基础。</w:t>
      </w:r>
    </w:p>
    <w:p w14:paraId="0C70A0C3" w14:textId="77777777" w:rsidR="00495C65" w:rsidRDefault="00495C65" w:rsidP="00495C65">
      <w:pPr>
        <w:pStyle w:val="13"/>
      </w:pPr>
      <w:r>
        <w:t>d）进行交易情况修正；应排除交易行为中的一些特殊情况所造成的比较实例的价</w:t>
      </w:r>
      <w:r>
        <w:rPr>
          <w:rFonts w:hint="eastAsia"/>
        </w:rPr>
        <w:t>格偏差，将成交价格修正为正常市场价格；评估人员应通过已掌握的交易资料进行分析计算，将特殊因素对海域价格的影响程度求和，确定修正系数；交易行为中的特殊情况包括：</w:t>
      </w:r>
    </w:p>
    <w:p w14:paraId="57D41408" w14:textId="77777777" w:rsidR="00495C65" w:rsidRDefault="00495C65" w:rsidP="00495C65">
      <w:pPr>
        <w:pStyle w:val="13"/>
      </w:pPr>
      <w:r>
        <w:t>1）不同出让方式的交易；</w:t>
      </w:r>
    </w:p>
    <w:p w14:paraId="7E1163C6" w14:textId="77777777" w:rsidR="00495C65" w:rsidRDefault="00495C65" w:rsidP="00495C65">
      <w:pPr>
        <w:pStyle w:val="13"/>
      </w:pPr>
      <w:r>
        <w:t>2）以净价形式进行的交易；</w:t>
      </w:r>
    </w:p>
    <w:p w14:paraId="7C2DA035" w14:textId="77777777" w:rsidR="00495C65" w:rsidRDefault="00495C65" w:rsidP="00495C65">
      <w:pPr>
        <w:pStyle w:val="13"/>
      </w:pPr>
      <w:r>
        <w:t>3）多宗用</w:t>
      </w:r>
      <w:proofErr w:type="gramStart"/>
      <w:r>
        <w:t>海同时</w:t>
      </w:r>
      <w:proofErr w:type="gramEnd"/>
      <w:r>
        <w:t>交易的情形；</w:t>
      </w:r>
    </w:p>
    <w:p w14:paraId="7D680610" w14:textId="77777777" w:rsidR="00495C65" w:rsidRDefault="00495C65" w:rsidP="00495C65">
      <w:pPr>
        <w:pStyle w:val="13"/>
      </w:pPr>
      <w:r>
        <w:t>4）宗海面</w:t>
      </w:r>
      <w:proofErr w:type="gramStart"/>
      <w:r>
        <w:t>积较大</w:t>
      </w:r>
      <w:proofErr w:type="gramEnd"/>
      <w:r>
        <w:t>的交易。</w:t>
      </w:r>
    </w:p>
    <w:p w14:paraId="1ABD9AE9" w14:textId="77777777" w:rsidR="00495C65" w:rsidRDefault="00495C65" w:rsidP="00495C65">
      <w:pPr>
        <w:pStyle w:val="13"/>
      </w:pPr>
      <w:r>
        <w:t>e）海域价格影响因素修正；应包括海洋经济因素修正、区域经济因素修正、社会发</w:t>
      </w:r>
      <w:r>
        <w:rPr>
          <w:rFonts w:hint="eastAsia"/>
        </w:rPr>
        <w:t>展因素修正以及资源环境因素修正；确定的主要步骤为：</w:t>
      </w:r>
    </w:p>
    <w:p w14:paraId="76ECA34D" w14:textId="77777777" w:rsidR="00495C65" w:rsidRDefault="00495C65" w:rsidP="00495C65">
      <w:pPr>
        <w:pStyle w:val="13"/>
      </w:pPr>
      <w:r>
        <w:t>1）选择比较因子。根据评估对象的具体用海情况，选择重要的比较因子。</w:t>
      </w:r>
    </w:p>
    <w:p w14:paraId="6F41A5D3" w14:textId="77777777" w:rsidR="00495C65" w:rsidRDefault="00495C65" w:rsidP="00495C65">
      <w:pPr>
        <w:pStyle w:val="13"/>
      </w:pPr>
      <w:r>
        <w:t>2）确定各因子条件指数。在海域价格和</w:t>
      </w:r>
      <w:proofErr w:type="gramStart"/>
      <w:r>
        <w:t>各影响</w:t>
      </w:r>
      <w:proofErr w:type="gramEnd"/>
      <w:r>
        <w:t>因子相关关系分析的基础上，总结各</w:t>
      </w:r>
      <w:r>
        <w:rPr>
          <w:rFonts w:hint="eastAsia"/>
        </w:rPr>
        <w:t>因子条件量化标准和规律。根据各因子指标条件，对照上述标准和规律，并结合实际状况确定条件指数。</w:t>
      </w:r>
    </w:p>
    <w:p w14:paraId="44837C60" w14:textId="77777777" w:rsidR="00495C65" w:rsidRDefault="00495C65" w:rsidP="00495C65">
      <w:pPr>
        <w:pStyle w:val="13"/>
      </w:pPr>
      <w:r>
        <w:t>3）修正系数的确定。采用单因子与海域价格相关关系分析确定条件指数时，应</w:t>
      </w:r>
      <w:proofErr w:type="gramStart"/>
      <w:r>
        <w:lastRenderedPageBreak/>
        <w:t>采用</w:t>
      </w:r>
      <w:r>
        <w:rPr>
          <w:rFonts w:hint="eastAsia"/>
        </w:rPr>
        <w:t>积算的</w:t>
      </w:r>
      <w:proofErr w:type="gramEnd"/>
      <w:r>
        <w:rPr>
          <w:rFonts w:hint="eastAsia"/>
        </w:rPr>
        <w:t>方式确定评估海域和比较实例的因子条件指数后比较确定相应的修正系数。</w:t>
      </w:r>
    </w:p>
    <w:p w14:paraId="034737EF" w14:textId="77777777" w:rsidR="00495C65" w:rsidRDefault="00495C65" w:rsidP="00495C65">
      <w:pPr>
        <w:pStyle w:val="13"/>
      </w:pPr>
      <w:r>
        <w:t>f）进行使用年期修正；应将</w:t>
      </w:r>
      <w:proofErr w:type="gramStart"/>
      <w:r>
        <w:t>各比较</w:t>
      </w:r>
      <w:proofErr w:type="gramEnd"/>
      <w:r>
        <w:t>实例的不同使用年期修正到评估对象的使用年期，</w:t>
      </w:r>
      <w:r>
        <w:rPr>
          <w:rFonts w:hint="eastAsia"/>
        </w:rPr>
        <w:t>消除因海域使用年期不同而对价格带来的影响。</w:t>
      </w:r>
    </w:p>
    <w:p w14:paraId="5E39831F" w14:textId="77777777" w:rsidR="00495C65" w:rsidRDefault="00495C65" w:rsidP="00495C65">
      <w:pPr>
        <w:pStyle w:val="13"/>
      </w:pPr>
      <w:r>
        <w:t>g）进行评估基准日修正；应指将比较实例在其成交日期的价格调整为评估基准日</w:t>
      </w:r>
      <w:r>
        <w:rPr>
          <w:rFonts w:hint="eastAsia"/>
        </w:rPr>
        <w:t>的价格；在未建立海域价格指数的情况下，应通过收集大量案例资料，运用统计方法分析特定区域内海域价格随时间变动的规律，求取相关指数，确定修正系数。</w:t>
      </w:r>
    </w:p>
    <w:p w14:paraId="5F68180D" w14:textId="77777777" w:rsidR="00495C65" w:rsidRDefault="00495C65" w:rsidP="00495C65">
      <w:pPr>
        <w:pStyle w:val="13"/>
      </w:pPr>
      <w:r>
        <w:t>h）</w:t>
      </w:r>
      <w:proofErr w:type="gramStart"/>
      <w:r>
        <w:t>确定待估海域</w:t>
      </w:r>
      <w:proofErr w:type="gramEnd"/>
      <w:r>
        <w:t>价格。</w:t>
      </w:r>
    </w:p>
    <w:p w14:paraId="376F88C2" w14:textId="77777777" w:rsidR="00495C65" w:rsidRDefault="00495C65" w:rsidP="00495C65">
      <w:pPr>
        <w:pStyle w:val="13"/>
      </w:pPr>
      <w:r>
        <w:t>5.5基准价系数修正法</w:t>
      </w:r>
    </w:p>
    <w:p w14:paraId="4CDE52BE" w14:textId="77777777" w:rsidR="00495C65" w:rsidRDefault="00495C65" w:rsidP="00495C65">
      <w:pPr>
        <w:pStyle w:val="13"/>
      </w:pPr>
      <w:r>
        <w:t>5.5.1适用条件</w:t>
      </w:r>
    </w:p>
    <w:p w14:paraId="08191BD1" w14:textId="77777777" w:rsidR="00495C65" w:rsidRDefault="00495C65" w:rsidP="00495C65">
      <w:pPr>
        <w:pStyle w:val="13"/>
      </w:pPr>
      <w:r>
        <w:rPr>
          <w:rFonts w:hint="eastAsia"/>
        </w:rPr>
        <w:t>基准价系数修正法是指以海域基准价为基础，采用替代原理建立基准价、海域价格以及影响因素之间的关系，利用海域基准价修正系数将海域基准价修正</w:t>
      </w:r>
      <w:proofErr w:type="gramStart"/>
      <w:r>
        <w:rPr>
          <w:rFonts w:hint="eastAsia"/>
        </w:rPr>
        <w:t>为待估海域</w:t>
      </w:r>
      <w:proofErr w:type="gramEnd"/>
      <w:r>
        <w:rPr>
          <w:rFonts w:hint="eastAsia"/>
        </w:rPr>
        <w:t>价格的方法。该方法适用于海域市场不成熟、市场交易资料不健全的情形。</w:t>
      </w:r>
    </w:p>
    <w:p w14:paraId="464CDDC4" w14:textId="77777777" w:rsidR="00495C65" w:rsidRDefault="00495C65" w:rsidP="00495C65">
      <w:pPr>
        <w:pStyle w:val="13"/>
      </w:pPr>
      <w:r>
        <w:t>5.5.2计算公式</w:t>
      </w:r>
    </w:p>
    <w:p w14:paraId="0DE494ED" w14:textId="77777777" w:rsidR="00495C65" w:rsidRDefault="00495C65" w:rsidP="00495C65">
      <w:pPr>
        <w:pStyle w:val="13"/>
      </w:pPr>
      <w:r>
        <w:rPr>
          <w:rFonts w:hint="eastAsia"/>
          <w:noProof/>
        </w:rPr>
        <w:drawing>
          <wp:anchor distT="0" distB="0" distL="114300" distR="114300" simplePos="0" relativeHeight="251686912" behindDoc="1" locked="0" layoutInCell="1" allowOverlap="1" wp14:anchorId="45F47802" wp14:editId="4EACBFC4">
            <wp:simplePos x="0" y="0"/>
            <wp:positionH relativeFrom="column">
              <wp:posOffset>1752025</wp:posOffset>
            </wp:positionH>
            <wp:positionV relativeFrom="paragraph">
              <wp:posOffset>178094</wp:posOffset>
            </wp:positionV>
            <wp:extent cx="2044460" cy="449589"/>
            <wp:effectExtent l="0" t="0" r="0" b="7620"/>
            <wp:wrapNone/>
            <wp:docPr id="4259" name="图片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 name="图片 4259"/>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044460" cy="449589"/>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公式如下：</w:t>
      </w:r>
    </w:p>
    <w:p w14:paraId="15321115" w14:textId="77777777" w:rsidR="00495C65" w:rsidRDefault="00495C65" w:rsidP="00495C65">
      <w:pPr>
        <w:pStyle w:val="13"/>
      </w:pPr>
      <w:r w:rsidRPr="008D207F">
        <w:t xml:space="preserve">                                                                （</w:t>
      </w:r>
      <w:r>
        <w:t>6</w:t>
      </w:r>
      <w:r w:rsidRPr="008D207F">
        <w:t>）</w:t>
      </w:r>
    </w:p>
    <w:p w14:paraId="3CC602F5" w14:textId="77777777" w:rsidR="00495C65" w:rsidRDefault="00495C65" w:rsidP="00495C65">
      <w:pPr>
        <w:pStyle w:val="13"/>
      </w:pPr>
      <w:r>
        <w:rPr>
          <w:rFonts w:hint="eastAsia"/>
        </w:rPr>
        <w:t>式中：</w:t>
      </w:r>
    </w:p>
    <w:p w14:paraId="136C50EA" w14:textId="77777777" w:rsidR="00495C65" w:rsidRDefault="00495C65" w:rsidP="00495C65">
      <w:pPr>
        <w:pStyle w:val="13"/>
        <w:ind w:firstLineChars="500" w:firstLine="1200"/>
      </w:pPr>
      <w:r>
        <w:t>V——海域价格，单位为万元；</w:t>
      </w:r>
    </w:p>
    <w:p w14:paraId="3D68E7AA" w14:textId="77777777" w:rsidR="00495C65" w:rsidRDefault="00495C65" w:rsidP="00495C65">
      <w:pPr>
        <w:pStyle w:val="13"/>
        <w:ind w:firstLineChars="500" w:firstLine="1200"/>
      </w:pPr>
      <w:r>
        <w:t>V</w:t>
      </w:r>
      <w:r w:rsidRPr="00322BEF">
        <w:rPr>
          <w:vertAlign w:val="subscript"/>
        </w:rPr>
        <w:t>1b</w:t>
      </w:r>
      <w:r>
        <w:t>——海域基准价，单位为万元；</w:t>
      </w:r>
    </w:p>
    <w:p w14:paraId="7C8C499C" w14:textId="77777777" w:rsidR="00495C65" w:rsidRDefault="00495C65" w:rsidP="00495C65">
      <w:pPr>
        <w:pStyle w:val="13"/>
        <w:ind w:firstLineChars="500" w:firstLine="1200"/>
      </w:pPr>
      <w:r>
        <w:t>K</w:t>
      </w:r>
      <w:r w:rsidRPr="00322BEF">
        <w:rPr>
          <w:vertAlign w:val="subscript"/>
        </w:rPr>
        <w:t>i</w:t>
      </w:r>
      <w:r>
        <w:t>——海域价格修正系数；</w:t>
      </w:r>
    </w:p>
    <w:p w14:paraId="2CF0D23F" w14:textId="77777777" w:rsidR="00495C65" w:rsidRDefault="00495C65" w:rsidP="00495C65">
      <w:pPr>
        <w:pStyle w:val="13"/>
        <w:ind w:firstLineChars="500" w:firstLine="1200"/>
      </w:pPr>
      <w:r>
        <w:rPr>
          <w:rFonts w:hint="eastAsia"/>
        </w:rPr>
        <w:t>Π</w:t>
      </w:r>
      <w:proofErr w:type="spellStart"/>
      <w:r>
        <w:t>K</w:t>
      </w:r>
      <w:r w:rsidRPr="00322BEF">
        <w:rPr>
          <w:vertAlign w:val="subscript"/>
        </w:rPr>
        <w:t>j</w:t>
      </w:r>
      <w:proofErr w:type="spellEnd"/>
      <w:r>
        <w:t>——评估基准日、海域使用年期、海域开发程度、交易情况修正系数等其它修</w:t>
      </w:r>
      <w:r w:rsidRPr="00ED330B">
        <w:rPr>
          <w:rFonts w:hint="eastAsia"/>
        </w:rPr>
        <w:t>正系数。</w:t>
      </w:r>
    </w:p>
    <w:p w14:paraId="2DBE7602" w14:textId="77777777" w:rsidR="00495C65" w:rsidRDefault="00495C65" w:rsidP="00495C65">
      <w:pPr>
        <w:pStyle w:val="13"/>
      </w:pPr>
      <w:r>
        <w:t>5.5.3程序与要求</w:t>
      </w:r>
    </w:p>
    <w:p w14:paraId="7EC1EA43" w14:textId="77777777" w:rsidR="00495C65" w:rsidRDefault="00495C65" w:rsidP="00495C65">
      <w:pPr>
        <w:pStyle w:val="13"/>
      </w:pPr>
      <w:r>
        <w:rPr>
          <w:rFonts w:hint="eastAsia"/>
        </w:rPr>
        <w:t>程序与要求如下：</w:t>
      </w:r>
    </w:p>
    <w:p w14:paraId="70450DBD" w14:textId="77777777" w:rsidR="00495C65" w:rsidRDefault="00495C65" w:rsidP="00495C65">
      <w:pPr>
        <w:pStyle w:val="13"/>
      </w:pPr>
      <w:r>
        <w:t>a）收集有关海域基准价资料；</w:t>
      </w:r>
    </w:p>
    <w:p w14:paraId="242D002D" w14:textId="77777777" w:rsidR="00495C65" w:rsidRDefault="00495C65" w:rsidP="00495C65">
      <w:pPr>
        <w:pStyle w:val="13"/>
      </w:pPr>
      <w:r>
        <w:t>b）依据HY/T 123和《海域评估技术指引（国海管字〔2013〕708号）》，</w:t>
      </w:r>
      <w:proofErr w:type="gramStart"/>
      <w:r>
        <w:t>分析待估</w:t>
      </w:r>
      <w:r>
        <w:rPr>
          <w:rFonts w:hint="eastAsia"/>
        </w:rPr>
        <w:t>海域</w:t>
      </w:r>
      <w:proofErr w:type="gramEnd"/>
      <w:r>
        <w:rPr>
          <w:rFonts w:hint="eastAsia"/>
        </w:rPr>
        <w:t>价格影响因素，编制海域基准价修正系数表和海域价格影响因素指标条件说明表；</w:t>
      </w:r>
    </w:p>
    <w:p w14:paraId="6D6C8334" w14:textId="77777777" w:rsidR="00495C65" w:rsidRDefault="00495C65" w:rsidP="00495C65">
      <w:pPr>
        <w:pStyle w:val="13"/>
      </w:pPr>
      <w:r>
        <w:t>c）依据海域基准价修正系数表和海域价格影响因素指标条件说明表，</w:t>
      </w:r>
      <w:proofErr w:type="gramStart"/>
      <w:r>
        <w:t>确定待估海</w:t>
      </w:r>
      <w:r>
        <w:rPr>
          <w:rFonts w:hint="eastAsia"/>
        </w:rPr>
        <w:t>域</w:t>
      </w:r>
      <w:proofErr w:type="gramEnd"/>
      <w:r>
        <w:rPr>
          <w:rFonts w:hint="eastAsia"/>
        </w:rPr>
        <w:t>价格修正系数；</w:t>
      </w:r>
    </w:p>
    <w:p w14:paraId="76F25F51" w14:textId="77777777" w:rsidR="00495C65" w:rsidRDefault="00495C65" w:rsidP="00495C65">
      <w:pPr>
        <w:pStyle w:val="13"/>
      </w:pPr>
      <w:r>
        <w:t>d）进行评估基准日、海域使用年期、海域开发程度、交易情况等其它修正；</w:t>
      </w:r>
    </w:p>
    <w:p w14:paraId="4B3FA953" w14:textId="77777777" w:rsidR="00495C65" w:rsidRDefault="00495C65" w:rsidP="00495C65">
      <w:pPr>
        <w:pStyle w:val="13"/>
      </w:pPr>
      <w:r>
        <w:t>e）</w:t>
      </w:r>
      <w:proofErr w:type="gramStart"/>
      <w:r>
        <w:t>确定待估海域</w:t>
      </w:r>
      <w:proofErr w:type="gramEnd"/>
      <w:r>
        <w:t>价格。</w:t>
      </w:r>
    </w:p>
    <w:p w14:paraId="644FBB94" w14:textId="77777777" w:rsidR="00495C65" w:rsidRDefault="00495C65" w:rsidP="00495C65">
      <w:pPr>
        <w:pStyle w:val="13"/>
      </w:pPr>
      <w:r>
        <w:rPr>
          <w:rFonts w:hint="eastAsia"/>
        </w:rPr>
        <w:t>海域价格修正因素及指标参照附录</w:t>
      </w:r>
      <w:r>
        <w:t>A，海域基准价修正用表参照附录B，海域价格</w:t>
      </w:r>
      <w:r>
        <w:rPr>
          <w:rFonts w:hint="eastAsia"/>
        </w:rPr>
        <w:t>修正系数的确定参照附录</w:t>
      </w:r>
      <w:r>
        <w:t>C。</w:t>
      </w:r>
    </w:p>
    <w:p w14:paraId="61DC0237" w14:textId="77777777" w:rsidR="00495C65" w:rsidRDefault="00495C65" w:rsidP="00AF7342">
      <w:pPr>
        <w:pStyle w:val="a9"/>
        <w:spacing w:before="62" w:after="62"/>
      </w:pPr>
      <w:r>
        <w:lastRenderedPageBreak/>
        <w:t>6 宗</w:t>
      </w:r>
      <w:proofErr w:type="gramStart"/>
      <w:r>
        <w:t>海价格</w:t>
      </w:r>
      <w:proofErr w:type="gramEnd"/>
      <w:r>
        <w:t>评估</w:t>
      </w:r>
    </w:p>
    <w:p w14:paraId="504DF5EF" w14:textId="77777777" w:rsidR="00495C65" w:rsidRDefault="00495C65" w:rsidP="00495C65">
      <w:pPr>
        <w:pStyle w:val="13"/>
      </w:pPr>
      <w:r>
        <w:t>6.1 程序与要求</w:t>
      </w:r>
    </w:p>
    <w:p w14:paraId="59E0B8A0" w14:textId="77777777" w:rsidR="00495C65" w:rsidRDefault="00495C65" w:rsidP="00495C65">
      <w:pPr>
        <w:pStyle w:val="13"/>
      </w:pPr>
      <w:r>
        <w:t>6.1.1 确定评估基本事项</w:t>
      </w:r>
    </w:p>
    <w:p w14:paraId="1D17B40F" w14:textId="77777777" w:rsidR="00495C65" w:rsidRDefault="00495C65" w:rsidP="00495C65">
      <w:pPr>
        <w:pStyle w:val="13"/>
      </w:pPr>
      <w:r>
        <w:rPr>
          <w:rFonts w:hint="eastAsia"/>
        </w:rPr>
        <w:t>主要确定评估类型、评估对象、评估目的、评估基准日与评估日期等。</w:t>
      </w:r>
    </w:p>
    <w:p w14:paraId="31636670" w14:textId="77777777" w:rsidR="00495C65" w:rsidRDefault="00495C65" w:rsidP="00495C65">
      <w:pPr>
        <w:pStyle w:val="13"/>
      </w:pPr>
      <w:r>
        <w:t>6.1.2 拟订评估作业计划</w:t>
      </w:r>
    </w:p>
    <w:p w14:paraId="4D5D9900" w14:textId="77777777" w:rsidR="00495C65" w:rsidRDefault="00495C65" w:rsidP="00495C65">
      <w:pPr>
        <w:pStyle w:val="13"/>
      </w:pPr>
      <w:r>
        <w:rPr>
          <w:rFonts w:hint="eastAsia"/>
        </w:rPr>
        <w:t>需确定评估项目、内容、资料类型及来源、调查方法、人员安排、时间与成果组成等。</w:t>
      </w:r>
    </w:p>
    <w:p w14:paraId="1AC36553" w14:textId="77777777" w:rsidR="00495C65" w:rsidRDefault="00495C65" w:rsidP="00495C65">
      <w:pPr>
        <w:pStyle w:val="13"/>
      </w:pPr>
      <w:r>
        <w:t>6.1.3 资料收集</w:t>
      </w:r>
    </w:p>
    <w:p w14:paraId="5512F033" w14:textId="77777777" w:rsidR="00495C65" w:rsidRDefault="00495C65" w:rsidP="00495C65">
      <w:pPr>
        <w:pStyle w:val="13"/>
      </w:pPr>
      <w:r>
        <w:rPr>
          <w:rFonts w:hint="eastAsia"/>
        </w:rPr>
        <w:t>收集宗海所处地区的海洋经济因素、区域经济因素、社会发展因素和资源环境因素资料，宗海自身条件、权利状况和利用状况及与</w:t>
      </w:r>
      <w:proofErr w:type="gramStart"/>
      <w:r>
        <w:rPr>
          <w:rFonts w:hint="eastAsia"/>
        </w:rPr>
        <w:t>待估宗</w:t>
      </w:r>
      <w:proofErr w:type="gramEnd"/>
      <w:r>
        <w:rPr>
          <w:rFonts w:hint="eastAsia"/>
        </w:rPr>
        <w:t>海相关的海域交易实例资料等。应收集的图件资料包括海籍图、海域基准价图、宗海图等。</w:t>
      </w:r>
      <w:r>
        <w:t>评估人员应实地踏勘</w:t>
      </w:r>
      <w:proofErr w:type="gramStart"/>
      <w:r>
        <w:t>待估宗</w:t>
      </w:r>
      <w:proofErr w:type="gramEnd"/>
      <w:r>
        <w:rPr>
          <w:rFonts w:hint="eastAsia"/>
        </w:rPr>
        <w:t>海，了解掌握</w:t>
      </w:r>
      <w:proofErr w:type="gramStart"/>
      <w:r>
        <w:rPr>
          <w:rFonts w:hint="eastAsia"/>
        </w:rPr>
        <w:t>待估宗</w:t>
      </w:r>
      <w:proofErr w:type="gramEnd"/>
      <w:r>
        <w:rPr>
          <w:rFonts w:hint="eastAsia"/>
        </w:rPr>
        <w:t>海所在位置、形状、海域利用状况、基础设施条件、道路交通状况以及周围环境等情况。</w:t>
      </w:r>
      <w:r>
        <w:t>海域价格评估调查的相关资料见附录D。</w:t>
      </w:r>
    </w:p>
    <w:p w14:paraId="5295C691" w14:textId="77777777" w:rsidR="00495C65" w:rsidRDefault="00495C65" w:rsidP="00495C65">
      <w:pPr>
        <w:pStyle w:val="13"/>
      </w:pPr>
      <w:r>
        <w:t>6.1.4 选择评估方法</w:t>
      </w:r>
    </w:p>
    <w:p w14:paraId="56EF940C" w14:textId="77777777" w:rsidR="00495C65" w:rsidRDefault="00495C65" w:rsidP="00495C65">
      <w:pPr>
        <w:pStyle w:val="13"/>
      </w:pPr>
      <w:r>
        <w:rPr>
          <w:rFonts w:hint="eastAsia"/>
        </w:rPr>
        <w:t>应针对评估目的、评估对象所属的用海类型、评估对象开发利用状态和海域市场现状等，根据各评估方法的适用条件选择适用的评估方法。评估宜选用两种以上方法。</w:t>
      </w:r>
    </w:p>
    <w:p w14:paraId="400F755D" w14:textId="77777777" w:rsidR="00495C65" w:rsidRDefault="00495C65" w:rsidP="00495C65">
      <w:pPr>
        <w:pStyle w:val="13"/>
      </w:pPr>
      <w:r>
        <w:t>6.1.5 确定评估参数和修正系数</w:t>
      </w:r>
    </w:p>
    <w:p w14:paraId="2C1644EE" w14:textId="77777777" w:rsidR="00495C65" w:rsidRDefault="00495C65" w:rsidP="00495C65">
      <w:pPr>
        <w:pStyle w:val="13"/>
      </w:pPr>
      <w:r>
        <w:rPr>
          <w:rFonts w:hint="eastAsia"/>
        </w:rPr>
        <w:t>针对选择的评估方法，确定必要的评估参数和修正系数。</w:t>
      </w:r>
    </w:p>
    <w:p w14:paraId="6D5F37A0" w14:textId="77777777" w:rsidR="00495C65" w:rsidRDefault="00495C65" w:rsidP="00495C65">
      <w:pPr>
        <w:pStyle w:val="13"/>
      </w:pPr>
      <w:r>
        <w:t>6.1.6 测算海域价格</w:t>
      </w:r>
    </w:p>
    <w:p w14:paraId="78E5D4CE" w14:textId="77777777" w:rsidR="00495C65" w:rsidRDefault="00495C65" w:rsidP="00495C65">
      <w:pPr>
        <w:pStyle w:val="13"/>
      </w:pPr>
      <w:r>
        <w:rPr>
          <w:rFonts w:hint="eastAsia"/>
        </w:rPr>
        <w:t>利用所选各评估方法的计算公式分别测算海域价格。</w:t>
      </w:r>
    </w:p>
    <w:p w14:paraId="2421E164" w14:textId="77777777" w:rsidR="00495C65" w:rsidRDefault="00495C65" w:rsidP="00495C65">
      <w:pPr>
        <w:pStyle w:val="13"/>
      </w:pPr>
      <w:r>
        <w:t>6.1.7 确定宗海价格</w:t>
      </w:r>
    </w:p>
    <w:p w14:paraId="42D08B3A" w14:textId="77777777" w:rsidR="00495C65" w:rsidRDefault="00495C65" w:rsidP="00495C65">
      <w:pPr>
        <w:pStyle w:val="13"/>
      </w:pPr>
      <w:r>
        <w:rPr>
          <w:rFonts w:hint="eastAsia"/>
        </w:rPr>
        <w:t>仅采用一种方法评估的，测算价格为最终宗海价格。</w:t>
      </w:r>
      <w:r>
        <w:t>采用多种方法评估的，宜选用</w:t>
      </w:r>
      <w:r>
        <w:rPr>
          <w:rFonts w:hint="eastAsia"/>
        </w:rPr>
        <w:t>以下方法确定评估结果。</w:t>
      </w:r>
    </w:p>
    <w:p w14:paraId="5579F800" w14:textId="77777777" w:rsidR="00495C65" w:rsidRDefault="00495C65" w:rsidP="00495C65">
      <w:pPr>
        <w:pStyle w:val="13"/>
      </w:pPr>
      <w:r>
        <w:t>a）简单算术平均法；</w:t>
      </w:r>
    </w:p>
    <w:p w14:paraId="432C003A" w14:textId="77777777" w:rsidR="00495C65" w:rsidRDefault="00495C65" w:rsidP="00495C65">
      <w:pPr>
        <w:pStyle w:val="13"/>
      </w:pPr>
      <w:r>
        <w:t>b）加权算术平均法；</w:t>
      </w:r>
    </w:p>
    <w:p w14:paraId="0A117DF3" w14:textId="77777777" w:rsidR="00495C65" w:rsidRDefault="00495C65" w:rsidP="00495C65">
      <w:pPr>
        <w:pStyle w:val="13"/>
      </w:pPr>
      <w:r>
        <w:t>c）中位数法；</w:t>
      </w:r>
    </w:p>
    <w:p w14:paraId="5C1994B0" w14:textId="77777777" w:rsidR="00495C65" w:rsidRDefault="00495C65" w:rsidP="00495C65">
      <w:pPr>
        <w:pStyle w:val="13"/>
      </w:pPr>
      <w:r>
        <w:t>d）综合分析法。</w:t>
      </w:r>
    </w:p>
    <w:p w14:paraId="5C6A13BB" w14:textId="77777777" w:rsidR="00495C65" w:rsidRDefault="00495C65" w:rsidP="00495C65">
      <w:pPr>
        <w:pStyle w:val="13"/>
      </w:pPr>
      <w:r>
        <w:rPr>
          <w:rFonts w:hint="eastAsia"/>
        </w:rPr>
        <w:t>海域出让评估应明确海域开发费、专业费、补偿费、业务费、其他费用等内容。</w:t>
      </w:r>
      <w:r>
        <w:t xml:space="preserve"> 海</w:t>
      </w:r>
      <w:r>
        <w:rPr>
          <w:rFonts w:hint="eastAsia"/>
        </w:rPr>
        <w:t>域转让评估应明确海域转让前的取得价格、附属用</w:t>
      </w:r>
      <w:proofErr w:type="gramStart"/>
      <w:r>
        <w:rPr>
          <w:rFonts w:hint="eastAsia"/>
        </w:rPr>
        <w:t>海设施</w:t>
      </w:r>
      <w:proofErr w:type="gramEnd"/>
      <w:r>
        <w:rPr>
          <w:rFonts w:hint="eastAsia"/>
        </w:rPr>
        <w:t>和海上构筑物</w:t>
      </w:r>
      <w:proofErr w:type="gramStart"/>
      <w:r>
        <w:rPr>
          <w:rFonts w:hint="eastAsia"/>
        </w:rPr>
        <w:t>重置费</w:t>
      </w:r>
      <w:proofErr w:type="gramEnd"/>
      <w:r>
        <w:rPr>
          <w:rFonts w:hint="eastAsia"/>
        </w:rPr>
        <w:t>以及转让增值收益等内容。</w:t>
      </w:r>
    </w:p>
    <w:p w14:paraId="6C83C712" w14:textId="77777777" w:rsidR="00495C65" w:rsidRDefault="00495C65" w:rsidP="00495C65">
      <w:pPr>
        <w:pStyle w:val="13"/>
      </w:pPr>
      <w:r>
        <w:rPr>
          <w:rFonts w:hint="eastAsia"/>
        </w:rPr>
        <w:t>最终结果以人民币注明宗</w:t>
      </w:r>
      <w:proofErr w:type="gramStart"/>
      <w:r>
        <w:rPr>
          <w:rFonts w:hint="eastAsia"/>
        </w:rPr>
        <w:t>海价格</w:t>
      </w:r>
      <w:proofErr w:type="gramEnd"/>
      <w:r>
        <w:rPr>
          <w:rFonts w:hint="eastAsia"/>
        </w:rPr>
        <w:t>和单价，宗</w:t>
      </w:r>
      <w:proofErr w:type="gramStart"/>
      <w:r>
        <w:rPr>
          <w:rFonts w:hint="eastAsia"/>
        </w:rPr>
        <w:t>海价格</w:t>
      </w:r>
      <w:proofErr w:type="gramEnd"/>
      <w:r>
        <w:rPr>
          <w:rFonts w:hint="eastAsia"/>
        </w:rPr>
        <w:t>应附大写金额。</w:t>
      </w:r>
    </w:p>
    <w:p w14:paraId="1678EB16" w14:textId="77777777" w:rsidR="00495C65" w:rsidRDefault="00495C65" w:rsidP="00495C65">
      <w:pPr>
        <w:pStyle w:val="13"/>
      </w:pPr>
      <w:r>
        <w:t>6.2 成果整理</w:t>
      </w:r>
    </w:p>
    <w:p w14:paraId="37DF740C" w14:textId="77777777" w:rsidR="00495C65" w:rsidRDefault="00495C65" w:rsidP="00495C65">
      <w:pPr>
        <w:pStyle w:val="13"/>
      </w:pPr>
      <w:r>
        <w:t>6.2.1 报告整理</w:t>
      </w:r>
    </w:p>
    <w:p w14:paraId="1273CE06" w14:textId="77777777" w:rsidR="00495C65" w:rsidRDefault="00495C65" w:rsidP="00495C65">
      <w:pPr>
        <w:pStyle w:val="13"/>
      </w:pPr>
      <w:r>
        <w:rPr>
          <w:rFonts w:hint="eastAsia"/>
        </w:rPr>
        <w:lastRenderedPageBreak/>
        <w:t>宗</w:t>
      </w:r>
      <w:proofErr w:type="gramStart"/>
      <w:r>
        <w:rPr>
          <w:rFonts w:hint="eastAsia"/>
        </w:rPr>
        <w:t>海价格</w:t>
      </w:r>
      <w:proofErr w:type="gramEnd"/>
      <w:r>
        <w:rPr>
          <w:rFonts w:hint="eastAsia"/>
        </w:rPr>
        <w:t>评估完成后要提交评估报告书。评估报告书包括《海域价格评估报告》和《海域价格评估技术报告》，报告书格式分为文字式和表格式。</w:t>
      </w:r>
      <w:r>
        <w:t>评估报告主要包括以下</w:t>
      </w:r>
      <w:r>
        <w:rPr>
          <w:rFonts w:hint="eastAsia"/>
        </w:rPr>
        <w:t>内容：</w:t>
      </w:r>
    </w:p>
    <w:p w14:paraId="7FB3719A" w14:textId="77777777" w:rsidR="00495C65" w:rsidRDefault="00495C65" w:rsidP="00495C65">
      <w:pPr>
        <w:pStyle w:val="13"/>
      </w:pPr>
      <w:r>
        <w:t>a）总述，即评估的基本事项，说明委托评估人、评估项目名称、评估日期、评估人</w:t>
      </w:r>
      <w:r>
        <w:rPr>
          <w:rFonts w:hint="eastAsia"/>
        </w:rPr>
        <w:t>员及评估对象地址和状况、评估说明、假设与限制条件、评估目的、评估基准日、评估海域权利状况等；</w:t>
      </w:r>
    </w:p>
    <w:p w14:paraId="221A0E58" w14:textId="77777777" w:rsidR="00495C65" w:rsidRDefault="00495C65" w:rsidP="00495C65">
      <w:pPr>
        <w:pStyle w:val="13"/>
      </w:pPr>
      <w:r>
        <w:t>b）评估对象及其背景条件，包括政治与经济因素、海域所在区域影响因素、规划要</w:t>
      </w:r>
      <w:r>
        <w:rPr>
          <w:rFonts w:hint="eastAsia"/>
        </w:rPr>
        <w:t>求与税收影响、宗海的资源环境因素资料、评估对象所属行业特殊因素、海上附着物状况等；</w:t>
      </w:r>
    </w:p>
    <w:p w14:paraId="5CA500F0" w14:textId="77777777" w:rsidR="00495C65" w:rsidRDefault="00495C65" w:rsidP="00495C65">
      <w:pPr>
        <w:pStyle w:val="13"/>
      </w:pPr>
      <w:r>
        <w:t>c）价格评估过程与结果，包括海域最佳用途、评估依据、评估方法、评估价格调整</w:t>
      </w:r>
      <w:r>
        <w:rPr>
          <w:rFonts w:hint="eastAsia"/>
        </w:rPr>
        <w:t>与结果、评估人背景与资历等；</w:t>
      </w:r>
    </w:p>
    <w:p w14:paraId="4121CF27" w14:textId="77777777" w:rsidR="00495C65" w:rsidRDefault="00495C65" w:rsidP="00495C65">
      <w:pPr>
        <w:pStyle w:val="13"/>
      </w:pPr>
      <w:r>
        <w:t>d）附件。</w:t>
      </w:r>
    </w:p>
    <w:p w14:paraId="4914EE73" w14:textId="77777777" w:rsidR="00495C65" w:rsidRDefault="00495C65" w:rsidP="00495C65">
      <w:pPr>
        <w:pStyle w:val="13"/>
      </w:pPr>
      <w:r>
        <w:rPr>
          <w:rFonts w:hint="eastAsia"/>
        </w:rPr>
        <w:t>评估报告格式见附录</w:t>
      </w:r>
      <w:r>
        <w:t>E。</w:t>
      </w:r>
    </w:p>
    <w:p w14:paraId="430C7F1A" w14:textId="77777777" w:rsidR="00495C65" w:rsidRDefault="00495C65" w:rsidP="00495C65">
      <w:pPr>
        <w:pStyle w:val="13"/>
      </w:pPr>
      <w:r>
        <w:t>6.2.2 附件整理</w:t>
      </w:r>
    </w:p>
    <w:p w14:paraId="5174F3AB" w14:textId="77777777" w:rsidR="00495C65" w:rsidRDefault="00495C65" w:rsidP="00495C65">
      <w:pPr>
        <w:pStyle w:val="13"/>
      </w:pPr>
      <w:r>
        <w:rPr>
          <w:rFonts w:hint="eastAsia"/>
        </w:rPr>
        <w:t>附件包括海域产权证书复印件或海域产权证明材料、海籍图、宗海图、宗海位置示意图、评估对象照片、有关背景材料、评估机构资质证书及营业执照复印件、评估师资格证书复印件等。</w:t>
      </w:r>
    </w:p>
    <w:p w14:paraId="0EB4BE31" w14:textId="77777777" w:rsidR="00495C65" w:rsidRDefault="00495C65" w:rsidP="00495C65">
      <w:pPr>
        <w:pStyle w:val="13"/>
      </w:pPr>
      <w:r>
        <w:t>6.2.3 资料归档</w:t>
      </w:r>
    </w:p>
    <w:p w14:paraId="46F113D3" w14:textId="77777777" w:rsidR="00495C65" w:rsidRDefault="00495C65" w:rsidP="00495C65">
      <w:pPr>
        <w:pStyle w:val="13"/>
      </w:pPr>
      <w:r>
        <w:rPr>
          <w:rFonts w:hint="eastAsia"/>
        </w:rPr>
        <w:t>宗海评估过程中所收集的资料，应按报告编号整理存档以备查证。</w:t>
      </w:r>
    </w:p>
    <w:p w14:paraId="29925E12" w14:textId="77777777" w:rsidR="00495C65" w:rsidRDefault="00495C65" w:rsidP="00AF7342">
      <w:pPr>
        <w:pStyle w:val="a9"/>
        <w:spacing w:before="62" w:after="62"/>
      </w:pPr>
      <w:r>
        <w:t>7 不同类型海域价格评估要点</w:t>
      </w:r>
    </w:p>
    <w:p w14:paraId="6F2F98E6" w14:textId="77777777" w:rsidR="00495C65" w:rsidRDefault="00495C65" w:rsidP="00495C65">
      <w:pPr>
        <w:pStyle w:val="13"/>
      </w:pPr>
      <w:r>
        <w:t>7.1 渔业用海</w:t>
      </w:r>
    </w:p>
    <w:p w14:paraId="1009B0E2" w14:textId="77777777" w:rsidR="00495C65" w:rsidRDefault="00495C65" w:rsidP="00495C65">
      <w:pPr>
        <w:pStyle w:val="13"/>
      </w:pPr>
      <w:r>
        <w:t>7.1.1 渔业基础设施用海</w:t>
      </w:r>
    </w:p>
    <w:p w14:paraId="5ED3955B" w14:textId="77777777" w:rsidR="00495C65" w:rsidRDefault="00495C65" w:rsidP="00495C65">
      <w:pPr>
        <w:pStyle w:val="13"/>
      </w:pPr>
      <w:r>
        <w:rPr>
          <w:rFonts w:hint="eastAsia"/>
        </w:rPr>
        <w:t>宜采用成本逼近法和基准价系数修正法。</w:t>
      </w:r>
    </w:p>
    <w:p w14:paraId="7615BA4B" w14:textId="77777777" w:rsidR="00495C65" w:rsidRDefault="00495C65" w:rsidP="00495C65">
      <w:pPr>
        <w:pStyle w:val="13"/>
      </w:pPr>
      <w:r>
        <w:t>7.1.2 围海养殖用海</w:t>
      </w:r>
    </w:p>
    <w:p w14:paraId="3A98C136" w14:textId="77777777" w:rsidR="00495C65" w:rsidRDefault="00495C65" w:rsidP="00495C65">
      <w:pPr>
        <w:pStyle w:val="13"/>
      </w:pPr>
      <w:r>
        <w:rPr>
          <w:rFonts w:hint="eastAsia"/>
        </w:rPr>
        <w:t>按以下条件选择评估方法：</w:t>
      </w:r>
    </w:p>
    <w:p w14:paraId="11391919" w14:textId="77777777" w:rsidR="00495C65" w:rsidRDefault="00495C65" w:rsidP="00495C65">
      <w:pPr>
        <w:pStyle w:val="13"/>
      </w:pPr>
      <w:r>
        <w:t>a）同一区域内，存在相同、相似围海养殖用海并可获取其现值的，宜采用市场比较</w:t>
      </w:r>
      <w:r>
        <w:rPr>
          <w:rFonts w:hint="eastAsia"/>
        </w:rPr>
        <w:t>法确定；</w:t>
      </w:r>
    </w:p>
    <w:p w14:paraId="56849DCF" w14:textId="77777777" w:rsidR="00495C65" w:rsidRDefault="00495C65" w:rsidP="00495C65">
      <w:pPr>
        <w:pStyle w:val="13"/>
      </w:pPr>
      <w:r>
        <w:t>b）对于围海养殖收益或潜在收益</w:t>
      </w:r>
      <w:proofErr w:type="gramStart"/>
      <w:r>
        <w:t>易确定</w:t>
      </w:r>
      <w:proofErr w:type="gramEnd"/>
      <w:r>
        <w:t>的，可采用收益还原法；</w:t>
      </w:r>
    </w:p>
    <w:p w14:paraId="38A70436" w14:textId="77777777" w:rsidR="00495C65" w:rsidRDefault="00495C65" w:rsidP="00495C65">
      <w:pPr>
        <w:pStyle w:val="13"/>
      </w:pPr>
      <w:r>
        <w:t>c）对于具有围海养殖开发价值或再开发潜力，且开发完成后的养殖收益</w:t>
      </w:r>
      <w:proofErr w:type="gramStart"/>
      <w:r>
        <w:t>易估计</w:t>
      </w:r>
      <w:proofErr w:type="gramEnd"/>
      <w:r>
        <w:t>的，</w:t>
      </w:r>
      <w:r>
        <w:rPr>
          <w:rFonts w:hint="eastAsia"/>
        </w:rPr>
        <w:t>可采用假设开发法；</w:t>
      </w:r>
    </w:p>
    <w:p w14:paraId="7A5968AD" w14:textId="77777777" w:rsidR="00495C65" w:rsidRDefault="00495C65" w:rsidP="00495C65">
      <w:pPr>
        <w:pStyle w:val="13"/>
      </w:pPr>
      <w:r>
        <w:t>d）政府公布海域基准价的，可采用基准价系数修正法。</w:t>
      </w:r>
    </w:p>
    <w:p w14:paraId="5311A59D" w14:textId="77777777" w:rsidR="00495C65" w:rsidRDefault="00495C65" w:rsidP="00495C65">
      <w:pPr>
        <w:pStyle w:val="13"/>
      </w:pPr>
      <w:r>
        <w:t>7.1.3 开放式养殖用海</w:t>
      </w:r>
    </w:p>
    <w:p w14:paraId="670B601C" w14:textId="77777777" w:rsidR="00495C65" w:rsidRDefault="00495C65" w:rsidP="00495C65">
      <w:pPr>
        <w:pStyle w:val="13"/>
      </w:pPr>
      <w:r>
        <w:rPr>
          <w:rFonts w:hint="eastAsia"/>
        </w:rPr>
        <w:t>按以下条件选择评估方法：</w:t>
      </w:r>
    </w:p>
    <w:p w14:paraId="3A72F77A" w14:textId="77777777" w:rsidR="00495C65" w:rsidRDefault="00495C65" w:rsidP="00495C65">
      <w:pPr>
        <w:pStyle w:val="13"/>
      </w:pPr>
      <w:r>
        <w:t>a）同一区域内，存在相同、相似开放式养殖用海并可获取其现值的，宜采用市</w:t>
      </w:r>
      <w:r>
        <w:lastRenderedPageBreak/>
        <w:t>场比</w:t>
      </w:r>
      <w:r>
        <w:rPr>
          <w:rFonts w:hint="eastAsia"/>
        </w:rPr>
        <w:t>较法；</w:t>
      </w:r>
    </w:p>
    <w:p w14:paraId="678CCCF9" w14:textId="77777777" w:rsidR="00495C65" w:rsidRDefault="00495C65" w:rsidP="00495C65">
      <w:pPr>
        <w:pStyle w:val="13"/>
      </w:pPr>
      <w:r>
        <w:t>b）对于开放式养殖收益或潜在收益</w:t>
      </w:r>
      <w:proofErr w:type="gramStart"/>
      <w:r>
        <w:t>易确定</w:t>
      </w:r>
      <w:proofErr w:type="gramEnd"/>
      <w:r>
        <w:t>的，可采用收益还原法；</w:t>
      </w:r>
    </w:p>
    <w:p w14:paraId="1FA05B81" w14:textId="77777777" w:rsidR="00495C65" w:rsidRDefault="00495C65" w:rsidP="00495C65">
      <w:pPr>
        <w:pStyle w:val="13"/>
      </w:pPr>
      <w:r>
        <w:t>c）政府公布海域基准价的，可采用基准价系数修正法。</w:t>
      </w:r>
    </w:p>
    <w:p w14:paraId="65E31EAE" w14:textId="77777777" w:rsidR="00495C65" w:rsidRDefault="00495C65" w:rsidP="00495C65">
      <w:pPr>
        <w:pStyle w:val="13"/>
      </w:pPr>
      <w:r>
        <w:t>7.1.4 人工鱼礁用海</w:t>
      </w:r>
    </w:p>
    <w:p w14:paraId="551CE99A" w14:textId="77777777" w:rsidR="00495C65" w:rsidRDefault="00495C65" w:rsidP="00495C65">
      <w:pPr>
        <w:pStyle w:val="13"/>
      </w:pPr>
      <w:r>
        <w:rPr>
          <w:rFonts w:hint="eastAsia"/>
        </w:rPr>
        <w:t>按以下条件选择评估方法：</w:t>
      </w:r>
    </w:p>
    <w:p w14:paraId="513AA477" w14:textId="77777777" w:rsidR="00495C65" w:rsidRDefault="00495C65" w:rsidP="00495C65">
      <w:pPr>
        <w:pStyle w:val="13"/>
      </w:pPr>
      <w:r>
        <w:t>a）海域交易市场不成熟且可取得海域开发成本的，宜采用成本逼近法。</w:t>
      </w:r>
    </w:p>
    <w:p w14:paraId="51C45C2B" w14:textId="77777777" w:rsidR="00495C65" w:rsidRDefault="00495C65" w:rsidP="00495C65">
      <w:pPr>
        <w:pStyle w:val="13"/>
      </w:pPr>
      <w:r>
        <w:t>b）对于人工鱼礁收益或潜在收益</w:t>
      </w:r>
      <w:proofErr w:type="gramStart"/>
      <w:r>
        <w:t>易确定</w:t>
      </w:r>
      <w:proofErr w:type="gramEnd"/>
      <w:r>
        <w:t>的，可采用收益还原法。</w:t>
      </w:r>
    </w:p>
    <w:p w14:paraId="7510CFE2" w14:textId="77777777" w:rsidR="00495C65" w:rsidRDefault="00495C65" w:rsidP="00495C65">
      <w:pPr>
        <w:pStyle w:val="13"/>
      </w:pPr>
      <w:r>
        <w:t>7.2 工业用海</w:t>
      </w:r>
    </w:p>
    <w:p w14:paraId="21041162" w14:textId="77777777" w:rsidR="00495C65" w:rsidRDefault="00495C65" w:rsidP="00495C65">
      <w:pPr>
        <w:pStyle w:val="13"/>
      </w:pPr>
      <w:r>
        <w:t>7.2.1 盐业用海</w:t>
      </w:r>
    </w:p>
    <w:p w14:paraId="341B8EE1" w14:textId="77777777" w:rsidR="00495C65" w:rsidRDefault="00495C65" w:rsidP="00495C65">
      <w:pPr>
        <w:pStyle w:val="13"/>
      </w:pPr>
      <w:r>
        <w:rPr>
          <w:rFonts w:hint="eastAsia"/>
        </w:rPr>
        <w:t>按以下条件选择评估方法：</w:t>
      </w:r>
    </w:p>
    <w:p w14:paraId="20452302" w14:textId="77777777" w:rsidR="00495C65" w:rsidRDefault="00495C65" w:rsidP="00495C65">
      <w:pPr>
        <w:pStyle w:val="13"/>
      </w:pPr>
      <w:r>
        <w:t>a）对于盐业生产经营收益或潜在收益</w:t>
      </w:r>
      <w:proofErr w:type="gramStart"/>
      <w:r>
        <w:t>易确定</w:t>
      </w:r>
      <w:proofErr w:type="gramEnd"/>
      <w:r>
        <w:t>的，可采用收益还原法；</w:t>
      </w:r>
    </w:p>
    <w:p w14:paraId="175CD254" w14:textId="77777777" w:rsidR="00495C65" w:rsidRDefault="00495C65" w:rsidP="00495C65">
      <w:pPr>
        <w:pStyle w:val="13"/>
      </w:pPr>
      <w:r>
        <w:t>b）政府公布海域基准价的，可采用基准价系数修正法。</w:t>
      </w:r>
    </w:p>
    <w:p w14:paraId="5EFDA8BF" w14:textId="77777777" w:rsidR="00495C65" w:rsidRDefault="00495C65" w:rsidP="00495C65">
      <w:pPr>
        <w:pStyle w:val="13"/>
      </w:pPr>
      <w:r>
        <w:t>7.2.2 固体矿产、油气开采用海</w:t>
      </w:r>
    </w:p>
    <w:p w14:paraId="443F851F" w14:textId="77777777" w:rsidR="00495C65" w:rsidRDefault="00495C65" w:rsidP="00495C65">
      <w:pPr>
        <w:pStyle w:val="13"/>
      </w:pPr>
      <w:r>
        <w:rPr>
          <w:rFonts w:hint="eastAsia"/>
        </w:rPr>
        <w:t>按以下条件选择评估方法：</w:t>
      </w:r>
    </w:p>
    <w:p w14:paraId="53E2D904" w14:textId="77777777" w:rsidR="00495C65" w:rsidRDefault="00495C65" w:rsidP="00495C65">
      <w:pPr>
        <w:pStyle w:val="13"/>
      </w:pPr>
      <w:r>
        <w:t>a）收益或潜在收益</w:t>
      </w:r>
      <w:proofErr w:type="gramStart"/>
      <w:r>
        <w:t>易确定</w:t>
      </w:r>
      <w:proofErr w:type="gramEnd"/>
      <w:r>
        <w:t>的，可采用收益还原法；</w:t>
      </w:r>
    </w:p>
    <w:p w14:paraId="40AC57BA" w14:textId="77777777" w:rsidR="00495C65" w:rsidRDefault="00495C65" w:rsidP="00495C65">
      <w:pPr>
        <w:pStyle w:val="13"/>
      </w:pPr>
      <w:r>
        <w:t>b）政府公布海域基准价的，可采用基准价系数修正法。</w:t>
      </w:r>
    </w:p>
    <w:p w14:paraId="2EAE5C47" w14:textId="77777777" w:rsidR="00495C65" w:rsidRDefault="00495C65" w:rsidP="00495C65">
      <w:pPr>
        <w:pStyle w:val="13"/>
      </w:pPr>
      <w:r>
        <w:t>7.2.3 船舶工业用海</w:t>
      </w:r>
    </w:p>
    <w:p w14:paraId="7216E43C" w14:textId="77777777" w:rsidR="00495C65" w:rsidRDefault="00495C65" w:rsidP="00495C65">
      <w:pPr>
        <w:pStyle w:val="13"/>
      </w:pPr>
      <w:r>
        <w:rPr>
          <w:rFonts w:hint="eastAsia"/>
        </w:rPr>
        <w:t>按以下条件选择评估方法：</w:t>
      </w:r>
    </w:p>
    <w:p w14:paraId="733EC6D5" w14:textId="77777777" w:rsidR="00495C65" w:rsidRDefault="00495C65" w:rsidP="00495C65">
      <w:pPr>
        <w:pStyle w:val="13"/>
      </w:pPr>
      <w:r>
        <w:t>a）政府已经公布海域基准价的，可采用基准价系数修正法；</w:t>
      </w:r>
    </w:p>
    <w:p w14:paraId="4A5ECF17" w14:textId="77777777" w:rsidR="00495C65" w:rsidRDefault="00495C65" w:rsidP="00495C65">
      <w:pPr>
        <w:pStyle w:val="13"/>
      </w:pPr>
      <w:r>
        <w:t>b）对于船舶工业的收益或潜在收益</w:t>
      </w:r>
      <w:proofErr w:type="gramStart"/>
      <w:r>
        <w:t>易确定</w:t>
      </w:r>
      <w:proofErr w:type="gramEnd"/>
      <w:r>
        <w:t>的，可采用收益还原法；</w:t>
      </w:r>
    </w:p>
    <w:p w14:paraId="323B8CFC" w14:textId="77777777" w:rsidR="00495C65" w:rsidRDefault="00495C65" w:rsidP="00495C65">
      <w:pPr>
        <w:pStyle w:val="13"/>
      </w:pPr>
      <w:r>
        <w:t>c）同一区域内，存在相同、相似船舶工业用海并可获取其现值的，宜采用市场比较</w:t>
      </w:r>
      <w:r>
        <w:rPr>
          <w:rFonts w:hint="eastAsia"/>
        </w:rPr>
        <w:t>法。</w:t>
      </w:r>
    </w:p>
    <w:p w14:paraId="319C5B0B" w14:textId="77777777" w:rsidR="00495C65" w:rsidRDefault="00495C65" w:rsidP="00495C65">
      <w:pPr>
        <w:pStyle w:val="13"/>
      </w:pPr>
      <w:r>
        <w:t>7.2.4 电力工业用海</w:t>
      </w:r>
    </w:p>
    <w:p w14:paraId="565D7103" w14:textId="77777777" w:rsidR="00495C65" w:rsidRDefault="00495C65" w:rsidP="00495C65">
      <w:pPr>
        <w:pStyle w:val="13"/>
      </w:pPr>
      <w:r>
        <w:rPr>
          <w:rFonts w:hint="eastAsia"/>
        </w:rPr>
        <w:t>宜采用成本逼近法和基准价系数修正法。</w:t>
      </w:r>
    </w:p>
    <w:p w14:paraId="59C56CE2" w14:textId="77777777" w:rsidR="00495C65" w:rsidRDefault="00495C65" w:rsidP="00495C65">
      <w:pPr>
        <w:pStyle w:val="13"/>
      </w:pPr>
      <w:r>
        <w:t>7.2.5 海水综合利用用海</w:t>
      </w:r>
    </w:p>
    <w:p w14:paraId="05EF106B" w14:textId="77777777" w:rsidR="00495C65" w:rsidRDefault="00495C65" w:rsidP="00495C65">
      <w:pPr>
        <w:pStyle w:val="13"/>
      </w:pPr>
      <w:r>
        <w:rPr>
          <w:rFonts w:hint="eastAsia"/>
        </w:rPr>
        <w:t>宜采用收益还原法或成本逼近法。</w:t>
      </w:r>
    </w:p>
    <w:p w14:paraId="3F558514" w14:textId="77777777" w:rsidR="00495C65" w:rsidRDefault="00495C65" w:rsidP="00495C65">
      <w:pPr>
        <w:pStyle w:val="13"/>
      </w:pPr>
      <w:r>
        <w:t>7.3 交通运输用海</w:t>
      </w:r>
    </w:p>
    <w:p w14:paraId="4EDF308C" w14:textId="77777777" w:rsidR="00495C65" w:rsidRDefault="00495C65" w:rsidP="00495C65">
      <w:pPr>
        <w:pStyle w:val="13"/>
      </w:pPr>
      <w:r>
        <w:t>7.3.1 港口用海</w:t>
      </w:r>
    </w:p>
    <w:p w14:paraId="6356545B" w14:textId="77777777" w:rsidR="00495C65" w:rsidRDefault="00495C65" w:rsidP="00495C65">
      <w:pPr>
        <w:pStyle w:val="13"/>
      </w:pPr>
      <w:r>
        <w:rPr>
          <w:rFonts w:hint="eastAsia"/>
        </w:rPr>
        <w:t>按以下条件选择评估方法：</w:t>
      </w:r>
    </w:p>
    <w:p w14:paraId="01EF1DAD" w14:textId="77777777" w:rsidR="00495C65" w:rsidRDefault="00495C65" w:rsidP="00495C65">
      <w:pPr>
        <w:pStyle w:val="13"/>
      </w:pPr>
      <w:r>
        <w:t>a）同一区域内，存在相同、相似港口用海并可获取其现值的，宜采用市场比较法；</w:t>
      </w:r>
    </w:p>
    <w:p w14:paraId="4D521791" w14:textId="77777777" w:rsidR="00495C65" w:rsidRDefault="00495C65" w:rsidP="00495C65">
      <w:pPr>
        <w:pStyle w:val="13"/>
      </w:pPr>
      <w:r>
        <w:t>b）海域交易市场不成熟且可取得海域开发成本的，可采用成本逼近法。</w:t>
      </w:r>
    </w:p>
    <w:p w14:paraId="615EE57A" w14:textId="77777777" w:rsidR="00495C65" w:rsidRDefault="00495C65" w:rsidP="00495C65">
      <w:pPr>
        <w:pStyle w:val="13"/>
      </w:pPr>
      <w:r>
        <w:t>7.3.2 航道用海</w:t>
      </w:r>
    </w:p>
    <w:p w14:paraId="109654F6" w14:textId="77777777" w:rsidR="00495C65" w:rsidRDefault="00495C65" w:rsidP="00495C65">
      <w:pPr>
        <w:pStyle w:val="13"/>
      </w:pPr>
      <w:r>
        <w:rPr>
          <w:rFonts w:hint="eastAsia"/>
        </w:rPr>
        <w:t>宜采用成本逼近法和基准价系数修正法。</w:t>
      </w:r>
    </w:p>
    <w:p w14:paraId="72461A76" w14:textId="77777777" w:rsidR="00495C65" w:rsidRDefault="00495C65" w:rsidP="00495C65">
      <w:pPr>
        <w:pStyle w:val="13"/>
      </w:pPr>
      <w:r>
        <w:lastRenderedPageBreak/>
        <w:t>7.3.3 锚地用海</w:t>
      </w:r>
    </w:p>
    <w:p w14:paraId="06720A72" w14:textId="77777777" w:rsidR="00495C65" w:rsidRDefault="00495C65" w:rsidP="00495C65">
      <w:pPr>
        <w:pStyle w:val="13"/>
      </w:pPr>
      <w:r>
        <w:rPr>
          <w:rFonts w:hint="eastAsia"/>
        </w:rPr>
        <w:t>宜采用成本逼近法和基准价系数修正法。</w:t>
      </w:r>
    </w:p>
    <w:p w14:paraId="60076857" w14:textId="77777777" w:rsidR="00495C65" w:rsidRDefault="00495C65" w:rsidP="00495C65">
      <w:pPr>
        <w:pStyle w:val="13"/>
      </w:pPr>
      <w:r>
        <w:t>7.3.4 路桥用海</w:t>
      </w:r>
    </w:p>
    <w:p w14:paraId="173AC2E6" w14:textId="77777777" w:rsidR="00495C65" w:rsidRDefault="00495C65" w:rsidP="00495C65">
      <w:pPr>
        <w:pStyle w:val="13"/>
      </w:pPr>
      <w:r>
        <w:rPr>
          <w:rFonts w:hint="eastAsia"/>
        </w:rPr>
        <w:t>宜采用成本逼近法和基准价系数修正法。</w:t>
      </w:r>
    </w:p>
    <w:p w14:paraId="4453BD9B" w14:textId="77777777" w:rsidR="00495C65" w:rsidRDefault="00495C65" w:rsidP="00495C65">
      <w:pPr>
        <w:pStyle w:val="13"/>
      </w:pPr>
      <w:r>
        <w:t>7.4 旅游娱乐用海</w:t>
      </w:r>
    </w:p>
    <w:p w14:paraId="5B9DCB28" w14:textId="77777777" w:rsidR="00495C65" w:rsidRDefault="00495C65" w:rsidP="00495C65">
      <w:pPr>
        <w:pStyle w:val="13"/>
      </w:pPr>
      <w:r>
        <w:t>7.4.1 评估旅游基础设施用海</w:t>
      </w:r>
    </w:p>
    <w:p w14:paraId="4F87B44B" w14:textId="77777777" w:rsidR="00495C65" w:rsidRDefault="00495C65" w:rsidP="00495C65">
      <w:pPr>
        <w:pStyle w:val="13"/>
      </w:pPr>
      <w:r>
        <w:rPr>
          <w:rFonts w:hint="eastAsia"/>
        </w:rPr>
        <w:t>按以下条件选择评估方法：</w:t>
      </w:r>
    </w:p>
    <w:p w14:paraId="241C7744" w14:textId="77777777" w:rsidR="00495C65" w:rsidRDefault="00495C65" w:rsidP="00495C65">
      <w:pPr>
        <w:pStyle w:val="13"/>
      </w:pPr>
      <w:r>
        <w:t>a）政府公布海域基准价的，可采用基准价系数修正法；</w:t>
      </w:r>
    </w:p>
    <w:p w14:paraId="73183342" w14:textId="77777777" w:rsidR="00495C65" w:rsidRDefault="00495C65" w:rsidP="00495C65">
      <w:pPr>
        <w:pStyle w:val="13"/>
      </w:pPr>
      <w:r>
        <w:t>b）填海造地用于旅游开发和建设宾馆、饭店等的用海，可采用假设开发法；</w:t>
      </w:r>
    </w:p>
    <w:p w14:paraId="027356BA" w14:textId="77777777" w:rsidR="00495C65" w:rsidRDefault="00495C65" w:rsidP="00495C65">
      <w:pPr>
        <w:pStyle w:val="13"/>
      </w:pPr>
      <w:r>
        <w:t>c）旅游经营收益或潜在收益</w:t>
      </w:r>
      <w:proofErr w:type="gramStart"/>
      <w:r>
        <w:t>易确定</w:t>
      </w:r>
      <w:proofErr w:type="gramEnd"/>
      <w:r>
        <w:t>的，可采用收益还原法。</w:t>
      </w:r>
    </w:p>
    <w:p w14:paraId="1DD2D8D7" w14:textId="77777777" w:rsidR="00495C65" w:rsidRDefault="00495C65" w:rsidP="00495C65">
      <w:pPr>
        <w:pStyle w:val="13"/>
      </w:pPr>
      <w:r>
        <w:t>7.4.2 评估浴场用海</w:t>
      </w:r>
    </w:p>
    <w:p w14:paraId="3CD57D96" w14:textId="77777777" w:rsidR="00495C65" w:rsidRDefault="00495C65" w:rsidP="00495C65">
      <w:pPr>
        <w:pStyle w:val="13"/>
      </w:pPr>
      <w:r>
        <w:rPr>
          <w:rFonts w:hint="eastAsia"/>
        </w:rPr>
        <w:t>按以下条件选择评估方法：</w:t>
      </w:r>
    </w:p>
    <w:p w14:paraId="653FA6ED" w14:textId="77777777" w:rsidR="00495C65" w:rsidRDefault="00495C65" w:rsidP="00495C65">
      <w:pPr>
        <w:pStyle w:val="13"/>
      </w:pPr>
      <w:r>
        <w:t>a）对于开发完成后采用出租或自营方式经营的浴场用海，可以根据经营收益或潜</w:t>
      </w:r>
      <w:r>
        <w:rPr>
          <w:rFonts w:hint="eastAsia"/>
        </w:rPr>
        <w:t>在收益，采用收益还原法；</w:t>
      </w:r>
    </w:p>
    <w:p w14:paraId="55F3BE38" w14:textId="77777777" w:rsidR="00495C65" w:rsidRDefault="00495C65" w:rsidP="00495C65">
      <w:pPr>
        <w:pStyle w:val="13"/>
      </w:pPr>
      <w:r>
        <w:t>b）同一区域内，存在相同、相似浴场用海并可获取其现值的，可采用市场比较法。</w:t>
      </w:r>
    </w:p>
    <w:p w14:paraId="02D5484F" w14:textId="77777777" w:rsidR="00495C65" w:rsidRDefault="00495C65" w:rsidP="00495C65">
      <w:pPr>
        <w:pStyle w:val="13"/>
      </w:pPr>
      <w:r>
        <w:t>7.4.3 评估游乐场用海</w:t>
      </w:r>
    </w:p>
    <w:p w14:paraId="4B43A9A2" w14:textId="77777777" w:rsidR="00495C65" w:rsidRDefault="00495C65" w:rsidP="00495C65">
      <w:pPr>
        <w:pStyle w:val="13"/>
      </w:pPr>
      <w:r>
        <w:rPr>
          <w:rFonts w:hint="eastAsia"/>
        </w:rPr>
        <w:t>按以下条件选择评估方法：</w:t>
      </w:r>
    </w:p>
    <w:p w14:paraId="7DCF88C3" w14:textId="77777777" w:rsidR="00495C65" w:rsidRDefault="00495C65" w:rsidP="00495C65">
      <w:pPr>
        <w:pStyle w:val="13"/>
      </w:pPr>
      <w:r>
        <w:t>a）对于开发完成后采用出租或自营方式经营的游乐场用海，可以根据经营收益或</w:t>
      </w:r>
      <w:r>
        <w:rPr>
          <w:rFonts w:hint="eastAsia"/>
        </w:rPr>
        <w:t>潜在收益，采用收益还原法；</w:t>
      </w:r>
    </w:p>
    <w:p w14:paraId="1DBE9AAD" w14:textId="77777777" w:rsidR="00495C65" w:rsidRDefault="00495C65" w:rsidP="00495C65">
      <w:pPr>
        <w:pStyle w:val="13"/>
      </w:pPr>
      <w:r>
        <w:t>b）同一区域内，存在相同、相似游乐场用海并可获取其现值的，可采用市场比较</w:t>
      </w:r>
      <w:r>
        <w:rPr>
          <w:rFonts w:hint="eastAsia"/>
        </w:rPr>
        <w:t>法。</w:t>
      </w:r>
    </w:p>
    <w:p w14:paraId="34409FD0" w14:textId="77777777" w:rsidR="00495C65" w:rsidRDefault="00495C65" w:rsidP="00495C65">
      <w:pPr>
        <w:pStyle w:val="13"/>
      </w:pPr>
      <w:r>
        <w:t>7.5 造地工程用海</w:t>
      </w:r>
    </w:p>
    <w:p w14:paraId="2E3FB48C" w14:textId="77777777" w:rsidR="00495C65" w:rsidRDefault="00495C65" w:rsidP="00495C65">
      <w:pPr>
        <w:pStyle w:val="13"/>
      </w:pPr>
      <w:r>
        <w:t>7.5.1 建设填海造地用海</w:t>
      </w:r>
    </w:p>
    <w:p w14:paraId="5CFE2B5C" w14:textId="77777777" w:rsidR="00495C65" w:rsidRDefault="00495C65" w:rsidP="00495C65">
      <w:pPr>
        <w:pStyle w:val="13"/>
      </w:pPr>
      <w:r>
        <w:rPr>
          <w:rFonts w:hint="eastAsia"/>
        </w:rPr>
        <w:t>宜采用假设开发法和成本逼近法。</w:t>
      </w:r>
    </w:p>
    <w:p w14:paraId="1DD253B9" w14:textId="77777777" w:rsidR="00495C65" w:rsidRDefault="00495C65" w:rsidP="00495C65">
      <w:pPr>
        <w:pStyle w:val="13"/>
      </w:pPr>
      <w:r>
        <w:t>7.5.2 农业填海造地用海</w:t>
      </w:r>
    </w:p>
    <w:p w14:paraId="28E297E1" w14:textId="77777777" w:rsidR="00495C65" w:rsidRDefault="00495C65" w:rsidP="00495C65">
      <w:pPr>
        <w:pStyle w:val="13"/>
      </w:pPr>
      <w:r>
        <w:rPr>
          <w:rFonts w:hint="eastAsia"/>
        </w:rPr>
        <w:t>宜采用基准价系数修正法和成本逼近法。</w:t>
      </w:r>
    </w:p>
    <w:p w14:paraId="17E96B02" w14:textId="77777777" w:rsidR="00495C65" w:rsidRDefault="00495C65" w:rsidP="00495C65">
      <w:pPr>
        <w:pStyle w:val="13"/>
      </w:pPr>
      <w:r>
        <w:t>7.5.3 废弃物处置填海造地用海</w:t>
      </w:r>
    </w:p>
    <w:p w14:paraId="70BADE27" w14:textId="77777777" w:rsidR="00495C65" w:rsidRDefault="00495C65" w:rsidP="00495C65">
      <w:pPr>
        <w:pStyle w:val="13"/>
      </w:pPr>
      <w:r>
        <w:rPr>
          <w:rFonts w:hint="eastAsia"/>
        </w:rPr>
        <w:t>宜采用基准价系数修正法和成本逼近法。</w:t>
      </w:r>
    </w:p>
    <w:p w14:paraId="4BE9615F" w14:textId="77777777" w:rsidR="00495C65" w:rsidRDefault="00495C65" w:rsidP="00495C65">
      <w:pPr>
        <w:pStyle w:val="13"/>
      </w:pPr>
      <w:r>
        <w:t>7.6 用海设施</w:t>
      </w:r>
    </w:p>
    <w:p w14:paraId="5349663B" w14:textId="77777777" w:rsidR="00495C65" w:rsidRDefault="00495C65" w:rsidP="00495C65">
      <w:pPr>
        <w:pStyle w:val="13"/>
      </w:pPr>
      <w:r>
        <w:rPr>
          <w:rFonts w:hint="eastAsia"/>
        </w:rPr>
        <w:t>关于海上构筑物的评估参照国家及省市规定的地上构筑物评估相关条例进行。</w:t>
      </w:r>
    </w:p>
    <w:p w14:paraId="41E3D4C7" w14:textId="77777777" w:rsidR="00495C65" w:rsidRDefault="00495C65" w:rsidP="00495C65">
      <w:pPr>
        <w:pStyle w:val="13"/>
      </w:pPr>
      <w:r>
        <w:rPr>
          <w:rFonts w:hint="eastAsia"/>
        </w:rPr>
        <w:t>附录</w:t>
      </w:r>
      <w:r>
        <w:t>A（资料性附录）海域价格修正因素及指标</w:t>
      </w:r>
    </w:p>
    <w:p w14:paraId="5C66ACFC" w14:textId="77777777" w:rsidR="00495C65" w:rsidRDefault="00495C65" w:rsidP="00495C65">
      <w:pPr>
        <w:pStyle w:val="13"/>
      </w:pPr>
      <w:r>
        <w:rPr>
          <w:rFonts w:hint="eastAsia"/>
        </w:rPr>
        <w:t>渔业用海、工业用海、交通运输用海、旅游娱乐用海和造地工程用海的价格修正因素及指标参照表</w:t>
      </w:r>
      <w:r>
        <w:t>A.1～A.5。</w:t>
      </w:r>
    </w:p>
    <w:p w14:paraId="6A071F74" w14:textId="77777777" w:rsidR="00495C65" w:rsidRDefault="00495C65" w:rsidP="00495C65">
      <w:pPr>
        <w:pStyle w:val="13"/>
        <w:ind w:firstLineChars="0" w:firstLine="0"/>
        <w:jc w:val="center"/>
      </w:pPr>
      <w:r>
        <w:rPr>
          <w:rFonts w:hint="eastAsia"/>
        </w:rPr>
        <w:lastRenderedPageBreak/>
        <w:t>表</w:t>
      </w:r>
      <w:r>
        <w:t>A.1 渔业用</w:t>
      </w:r>
      <w:proofErr w:type="gramStart"/>
      <w:r>
        <w:t>海价格</w:t>
      </w:r>
      <w:proofErr w:type="gramEnd"/>
      <w:r>
        <w:t>修正因素和修正指标</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2318"/>
        <w:gridCol w:w="4904"/>
      </w:tblGrid>
      <w:tr w:rsidR="00495C65" w:rsidRPr="00E52243" w14:paraId="4A1B0269" w14:textId="77777777" w:rsidTr="00E52243">
        <w:trPr>
          <w:trHeight w:val="487"/>
          <w:tblHeader/>
          <w:jc w:val="center"/>
        </w:trPr>
        <w:tc>
          <w:tcPr>
            <w:tcW w:w="859" w:type="pct"/>
            <w:vAlign w:val="center"/>
          </w:tcPr>
          <w:p w14:paraId="2E4E922A"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影响因素</w:t>
            </w:r>
          </w:p>
        </w:tc>
        <w:tc>
          <w:tcPr>
            <w:tcW w:w="1329" w:type="pct"/>
            <w:vAlign w:val="center"/>
          </w:tcPr>
          <w:p w14:paraId="174A13C0"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影响指标</w:t>
            </w:r>
          </w:p>
        </w:tc>
        <w:tc>
          <w:tcPr>
            <w:tcW w:w="2813" w:type="pct"/>
            <w:vAlign w:val="center"/>
          </w:tcPr>
          <w:p w14:paraId="0FE472F6"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说明</w:t>
            </w:r>
          </w:p>
        </w:tc>
      </w:tr>
      <w:tr w:rsidR="00495C65" w:rsidRPr="00E52243" w14:paraId="1FBCF950" w14:textId="77777777" w:rsidTr="00E52243">
        <w:trPr>
          <w:trHeight w:val="325"/>
          <w:jc w:val="center"/>
        </w:trPr>
        <w:tc>
          <w:tcPr>
            <w:tcW w:w="859" w:type="pct"/>
            <w:vMerge w:val="restart"/>
            <w:vAlign w:val="center"/>
          </w:tcPr>
          <w:p w14:paraId="09385515"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经济发展水平</w:t>
            </w:r>
          </w:p>
        </w:tc>
        <w:tc>
          <w:tcPr>
            <w:tcW w:w="1329" w:type="pct"/>
            <w:vAlign w:val="center"/>
          </w:tcPr>
          <w:p w14:paraId="5124BF6D" w14:textId="77777777" w:rsidR="00495C65" w:rsidRPr="00E52243" w:rsidRDefault="00495C65" w:rsidP="00E52243">
            <w:pPr>
              <w:pStyle w:val="13"/>
              <w:spacing w:line="240" w:lineRule="auto"/>
              <w:ind w:firstLineChars="0" w:firstLine="0"/>
              <w:rPr>
                <w:sz w:val="21"/>
                <w:szCs w:val="21"/>
              </w:rPr>
            </w:pPr>
            <w:r w:rsidRPr="00E52243">
              <w:rPr>
                <w:sz w:val="21"/>
                <w:szCs w:val="21"/>
              </w:rPr>
              <w:t>海洋渔业发达度</w:t>
            </w:r>
          </w:p>
        </w:tc>
        <w:tc>
          <w:tcPr>
            <w:tcW w:w="2813" w:type="pct"/>
            <w:vAlign w:val="center"/>
          </w:tcPr>
          <w:p w14:paraId="09D0864D"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评估对象所处乡镇海洋渔业单位面积产值。</w:t>
            </w:r>
          </w:p>
        </w:tc>
      </w:tr>
      <w:tr w:rsidR="00495C65" w:rsidRPr="00E52243" w14:paraId="46676FD9" w14:textId="77777777" w:rsidTr="00E52243">
        <w:trPr>
          <w:trHeight w:val="326"/>
          <w:jc w:val="center"/>
        </w:trPr>
        <w:tc>
          <w:tcPr>
            <w:tcW w:w="859" w:type="pct"/>
            <w:vMerge/>
            <w:tcBorders>
              <w:top w:val="nil"/>
            </w:tcBorders>
            <w:vAlign w:val="center"/>
          </w:tcPr>
          <w:p w14:paraId="2FB53486"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55ACD6F0" w14:textId="77777777" w:rsidR="00495C65" w:rsidRPr="00E52243" w:rsidRDefault="00495C65" w:rsidP="00E52243">
            <w:pPr>
              <w:pStyle w:val="13"/>
              <w:spacing w:line="240" w:lineRule="auto"/>
              <w:ind w:firstLineChars="0" w:firstLine="0"/>
              <w:rPr>
                <w:sz w:val="21"/>
                <w:szCs w:val="21"/>
              </w:rPr>
            </w:pPr>
            <w:r w:rsidRPr="00E52243">
              <w:rPr>
                <w:sz w:val="21"/>
                <w:szCs w:val="21"/>
              </w:rPr>
              <w:t>乡镇经济发展水平</w:t>
            </w:r>
          </w:p>
        </w:tc>
        <w:tc>
          <w:tcPr>
            <w:tcW w:w="2813" w:type="pct"/>
            <w:vAlign w:val="center"/>
          </w:tcPr>
          <w:p w14:paraId="62BEA25B"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评估对象所处乡镇的人均GDP。</w:t>
            </w:r>
          </w:p>
        </w:tc>
      </w:tr>
      <w:tr w:rsidR="00495C65" w:rsidRPr="00E52243" w14:paraId="2DA0F059" w14:textId="77777777" w:rsidTr="00E52243">
        <w:trPr>
          <w:trHeight w:val="326"/>
          <w:jc w:val="center"/>
        </w:trPr>
        <w:tc>
          <w:tcPr>
            <w:tcW w:w="859" w:type="pct"/>
            <w:vMerge w:val="restart"/>
            <w:vAlign w:val="center"/>
          </w:tcPr>
          <w:p w14:paraId="093ABC2A"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区位条件</w:t>
            </w:r>
          </w:p>
        </w:tc>
        <w:tc>
          <w:tcPr>
            <w:tcW w:w="1329" w:type="pct"/>
            <w:vAlign w:val="center"/>
          </w:tcPr>
          <w:p w14:paraId="2D51530D" w14:textId="77777777" w:rsidR="00495C65" w:rsidRPr="00E52243" w:rsidRDefault="00495C65" w:rsidP="00E52243">
            <w:pPr>
              <w:pStyle w:val="13"/>
              <w:spacing w:line="240" w:lineRule="auto"/>
              <w:ind w:firstLineChars="0" w:firstLine="0"/>
              <w:rPr>
                <w:sz w:val="21"/>
                <w:szCs w:val="21"/>
              </w:rPr>
            </w:pPr>
            <w:r w:rsidRPr="00E52243">
              <w:rPr>
                <w:sz w:val="21"/>
                <w:szCs w:val="21"/>
              </w:rPr>
              <w:t>与邻近乡镇中心距离</w:t>
            </w:r>
          </w:p>
        </w:tc>
        <w:tc>
          <w:tcPr>
            <w:tcW w:w="2813" w:type="pct"/>
            <w:vAlign w:val="center"/>
          </w:tcPr>
          <w:p w14:paraId="23EBF19E"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评估对象与临近乡镇中心的距离。</w:t>
            </w:r>
          </w:p>
        </w:tc>
      </w:tr>
      <w:tr w:rsidR="00495C65" w:rsidRPr="00E52243" w14:paraId="272765C0" w14:textId="77777777" w:rsidTr="00E52243">
        <w:trPr>
          <w:trHeight w:val="325"/>
          <w:jc w:val="center"/>
        </w:trPr>
        <w:tc>
          <w:tcPr>
            <w:tcW w:w="859" w:type="pct"/>
            <w:vMerge/>
            <w:tcBorders>
              <w:top w:val="nil"/>
            </w:tcBorders>
            <w:vAlign w:val="center"/>
          </w:tcPr>
          <w:p w14:paraId="123157C8"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0A015825" w14:textId="77777777" w:rsidR="00495C65" w:rsidRPr="00E52243" w:rsidRDefault="00495C65" w:rsidP="00E52243">
            <w:pPr>
              <w:pStyle w:val="13"/>
              <w:spacing w:line="240" w:lineRule="auto"/>
              <w:ind w:firstLineChars="0" w:firstLine="0"/>
              <w:rPr>
                <w:sz w:val="21"/>
                <w:szCs w:val="21"/>
              </w:rPr>
            </w:pPr>
            <w:r w:rsidRPr="00E52243">
              <w:rPr>
                <w:sz w:val="21"/>
                <w:szCs w:val="21"/>
              </w:rPr>
              <w:t>距县城距离</w:t>
            </w:r>
          </w:p>
        </w:tc>
        <w:tc>
          <w:tcPr>
            <w:tcW w:w="2813" w:type="pct"/>
            <w:vAlign w:val="center"/>
          </w:tcPr>
          <w:p w14:paraId="709F37AA"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评估对象与临近县城中心的距离。</w:t>
            </w:r>
          </w:p>
        </w:tc>
      </w:tr>
      <w:tr w:rsidR="00495C65" w:rsidRPr="00E52243" w14:paraId="5FCEFDA0" w14:textId="77777777" w:rsidTr="00E52243">
        <w:trPr>
          <w:trHeight w:val="326"/>
          <w:jc w:val="center"/>
        </w:trPr>
        <w:tc>
          <w:tcPr>
            <w:tcW w:w="859" w:type="pct"/>
            <w:vMerge/>
            <w:tcBorders>
              <w:top w:val="nil"/>
            </w:tcBorders>
            <w:vAlign w:val="center"/>
          </w:tcPr>
          <w:p w14:paraId="2D774D4B"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54DD0837" w14:textId="77777777" w:rsidR="00495C65" w:rsidRPr="00E52243" w:rsidRDefault="00495C65" w:rsidP="00E52243">
            <w:pPr>
              <w:pStyle w:val="13"/>
              <w:spacing w:line="240" w:lineRule="auto"/>
              <w:ind w:firstLineChars="0" w:firstLine="0"/>
              <w:rPr>
                <w:sz w:val="21"/>
                <w:szCs w:val="21"/>
              </w:rPr>
            </w:pPr>
            <w:r w:rsidRPr="00E52243">
              <w:rPr>
                <w:sz w:val="21"/>
                <w:szCs w:val="21"/>
              </w:rPr>
              <w:t>乡镇在县城中地位</w:t>
            </w:r>
          </w:p>
        </w:tc>
        <w:tc>
          <w:tcPr>
            <w:tcW w:w="2813" w:type="pct"/>
            <w:vAlign w:val="center"/>
          </w:tcPr>
          <w:p w14:paraId="3E911B3E" w14:textId="77777777" w:rsidR="00495C65" w:rsidRPr="00E52243" w:rsidRDefault="00495C65" w:rsidP="00E52243">
            <w:pPr>
              <w:pStyle w:val="13"/>
              <w:spacing w:line="240" w:lineRule="auto"/>
              <w:ind w:firstLineChars="0" w:firstLine="0"/>
              <w:rPr>
                <w:sz w:val="21"/>
                <w:szCs w:val="21"/>
              </w:rPr>
            </w:pPr>
            <w:r w:rsidRPr="00E52243">
              <w:rPr>
                <w:sz w:val="21"/>
                <w:szCs w:val="21"/>
              </w:rPr>
              <w:t>所在乡镇在管辖县域中的影响力。</w:t>
            </w:r>
          </w:p>
        </w:tc>
      </w:tr>
      <w:tr w:rsidR="00495C65" w:rsidRPr="00E52243" w14:paraId="7A66AA2C" w14:textId="77777777" w:rsidTr="00E52243">
        <w:trPr>
          <w:trHeight w:val="325"/>
          <w:jc w:val="center"/>
        </w:trPr>
        <w:tc>
          <w:tcPr>
            <w:tcW w:w="859" w:type="pct"/>
            <w:vMerge w:val="restart"/>
            <w:vAlign w:val="center"/>
          </w:tcPr>
          <w:p w14:paraId="22E4D6BE"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交通条件</w:t>
            </w:r>
          </w:p>
        </w:tc>
        <w:tc>
          <w:tcPr>
            <w:tcW w:w="1329" w:type="pct"/>
            <w:vAlign w:val="center"/>
          </w:tcPr>
          <w:p w14:paraId="400EF4EA" w14:textId="77777777" w:rsidR="00495C65" w:rsidRPr="00E52243" w:rsidRDefault="00495C65" w:rsidP="00E52243">
            <w:pPr>
              <w:pStyle w:val="13"/>
              <w:spacing w:line="240" w:lineRule="auto"/>
              <w:ind w:firstLineChars="0" w:firstLine="0"/>
              <w:rPr>
                <w:sz w:val="21"/>
                <w:szCs w:val="21"/>
              </w:rPr>
            </w:pPr>
            <w:r w:rsidRPr="00E52243">
              <w:rPr>
                <w:sz w:val="21"/>
                <w:szCs w:val="21"/>
              </w:rPr>
              <w:t>宗海临</w:t>
            </w:r>
            <w:proofErr w:type="gramStart"/>
            <w:r w:rsidRPr="00E52243">
              <w:rPr>
                <w:sz w:val="21"/>
                <w:szCs w:val="21"/>
              </w:rPr>
              <w:t>路条件</w:t>
            </w:r>
            <w:proofErr w:type="gramEnd"/>
          </w:p>
        </w:tc>
        <w:tc>
          <w:tcPr>
            <w:tcW w:w="2813" w:type="pct"/>
            <w:vAlign w:val="center"/>
          </w:tcPr>
          <w:p w14:paraId="18D69033"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评估对象与周边道路的连接程度。</w:t>
            </w:r>
          </w:p>
        </w:tc>
      </w:tr>
      <w:tr w:rsidR="00495C65" w:rsidRPr="00E52243" w14:paraId="22DAAE1C" w14:textId="77777777" w:rsidTr="00E52243">
        <w:trPr>
          <w:trHeight w:val="326"/>
          <w:jc w:val="center"/>
        </w:trPr>
        <w:tc>
          <w:tcPr>
            <w:tcW w:w="859" w:type="pct"/>
            <w:vMerge/>
            <w:tcBorders>
              <w:top w:val="nil"/>
            </w:tcBorders>
            <w:vAlign w:val="center"/>
          </w:tcPr>
          <w:p w14:paraId="4F9B5C49"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16303191" w14:textId="77777777" w:rsidR="00495C65" w:rsidRPr="00E52243" w:rsidRDefault="00495C65" w:rsidP="00E52243">
            <w:pPr>
              <w:pStyle w:val="13"/>
              <w:spacing w:line="240" w:lineRule="auto"/>
              <w:ind w:firstLineChars="0" w:firstLine="0"/>
              <w:rPr>
                <w:sz w:val="21"/>
                <w:szCs w:val="21"/>
              </w:rPr>
            </w:pPr>
            <w:r w:rsidRPr="00E52243">
              <w:rPr>
                <w:sz w:val="21"/>
                <w:szCs w:val="21"/>
              </w:rPr>
              <w:t>宗海临港条件</w:t>
            </w:r>
          </w:p>
        </w:tc>
        <w:tc>
          <w:tcPr>
            <w:tcW w:w="2813" w:type="pct"/>
            <w:vAlign w:val="center"/>
          </w:tcPr>
          <w:p w14:paraId="51EA415F"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评估对象与大型港口的距离。</w:t>
            </w:r>
          </w:p>
        </w:tc>
      </w:tr>
      <w:tr w:rsidR="00495C65" w:rsidRPr="00E52243" w14:paraId="4B4F0D58" w14:textId="77777777" w:rsidTr="00E52243">
        <w:trPr>
          <w:trHeight w:val="652"/>
          <w:jc w:val="center"/>
        </w:trPr>
        <w:tc>
          <w:tcPr>
            <w:tcW w:w="859" w:type="pct"/>
            <w:vMerge w:val="restart"/>
            <w:vAlign w:val="center"/>
          </w:tcPr>
          <w:p w14:paraId="3A561E6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基础设施条件</w:t>
            </w:r>
          </w:p>
        </w:tc>
        <w:tc>
          <w:tcPr>
            <w:tcW w:w="1329" w:type="pct"/>
            <w:vAlign w:val="center"/>
          </w:tcPr>
          <w:p w14:paraId="14D9DC32" w14:textId="77777777" w:rsidR="00495C65" w:rsidRPr="00E52243" w:rsidRDefault="00495C65" w:rsidP="00E52243">
            <w:pPr>
              <w:pStyle w:val="13"/>
              <w:spacing w:line="240" w:lineRule="auto"/>
              <w:ind w:firstLineChars="0" w:firstLine="0"/>
              <w:rPr>
                <w:sz w:val="21"/>
                <w:szCs w:val="21"/>
              </w:rPr>
            </w:pPr>
            <w:r w:rsidRPr="00E52243">
              <w:rPr>
                <w:sz w:val="21"/>
                <w:szCs w:val="21"/>
              </w:rPr>
              <w:t>基础设施完善度</w:t>
            </w:r>
          </w:p>
        </w:tc>
        <w:tc>
          <w:tcPr>
            <w:tcW w:w="2813" w:type="pct"/>
            <w:vAlign w:val="center"/>
          </w:tcPr>
          <w:p w14:paraId="04E11E2B" w14:textId="77777777" w:rsidR="00495C65" w:rsidRPr="00E52243" w:rsidRDefault="00495C65" w:rsidP="00E52243">
            <w:pPr>
              <w:pStyle w:val="13"/>
              <w:spacing w:line="240" w:lineRule="auto"/>
              <w:ind w:firstLineChars="0" w:firstLine="0"/>
              <w:rPr>
                <w:sz w:val="21"/>
                <w:szCs w:val="21"/>
              </w:rPr>
            </w:pPr>
            <w:r w:rsidRPr="00E52243">
              <w:rPr>
                <w:sz w:val="21"/>
                <w:szCs w:val="21"/>
              </w:rPr>
              <w:t>道路、供水、排水、供电、供气、供热、通讯等基础设施的齐全性及保证率。</w:t>
            </w:r>
          </w:p>
        </w:tc>
      </w:tr>
      <w:tr w:rsidR="00495C65" w:rsidRPr="00E52243" w14:paraId="77CCAA2D" w14:textId="77777777" w:rsidTr="00E52243">
        <w:trPr>
          <w:trHeight w:val="326"/>
          <w:jc w:val="center"/>
        </w:trPr>
        <w:tc>
          <w:tcPr>
            <w:tcW w:w="859" w:type="pct"/>
            <w:vMerge/>
            <w:tcBorders>
              <w:top w:val="nil"/>
            </w:tcBorders>
            <w:vAlign w:val="center"/>
          </w:tcPr>
          <w:p w14:paraId="32BFCBE0"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02FD213A" w14:textId="77777777" w:rsidR="00495C65" w:rsidRPr="00E52243" w:rsidRDefault="00495C65" w:rsidP="00E52243">
            <w:pPr>
              <w:pStyle w:val="13"/>
              <w:spacing w:line="240" w:lineRule="auto"/>
              <w:ind w:firstLineChars="0" w:firstLine="0"/>
              <w:rPr>
                <w:sz w:val="21"/>
                <w:szCs w:val="21"/>
              </w:rPr>
            </w:pPr>
            <w:r w:rsidRPr="00E52243">
              <w:rPr>
                <w:sz w:val="21"/>
                <w:szCs w:val="21"/>
              </w:rPr>
              <w:t>区域公用设施方便度</w:t>
            </w:r>
          </w:p>
        </w:tc>
        <w:tc>
          <w:tcPr>
            <w:tcW w:w="2813" w:type="pct"/>
            <w:vAlign w:val="center"/>
          </w:tcPr>
          <w:p w14:paraId="43F0612C" w14:textId="77777777" w:rsidR="00495C65" w:rsidRPr="00E52243" w:rsidRDefault="00495C65" w:rsidP="00E52243">
            <w:pPr>
              <w:pStyle w:val="13"/>
              <w:spacing w:line="240" w:lineRule="auto"/>
              <w:ind w:firstLineChars="0" w:firstLine="0"/>
              <w:rPr>
                <w:sz w:val="21"/>
                <w:szCs w:val="21"/>
              </w:rPr>
            </w:pPr>
            <w:r w:rsidRPr="00E52243">
              <w:rPr>
                <w:sz w:val="21"/>
                <w:szCs w:val="21"/>
              </w:rPr>
              <w:t>公用设施的完善度及距离的远近。</w:t>
            </w:r>
          </w:p>
        </w:tc>
      </w:tr>
      <w:tr w:rsidR="00495C65" w:rsidRPr="00E52243" w14:paraId="1C7C68B0" w14:textId="77777777" w:rsidTr="00E52243">
        <w:trPr>
          <w:trHeight w:val="652"/>
          <w:jc w:val="center"/>
        </w:trPr>
        <w:tc>
          <w:tcPr>
            <w:tcW w:w="859" w:type="pct"/>
            <w:vMerge w:val="restart"/>
            <w:vAlign w:val="center"/>
          </w:tcPr>
          <w:p w14:paraId="01A98559"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渔业产业状况</w:t>
            </w:r>
          </w:p>
        </w:tc>
        <w:tc>
          <w:tcPr>
            <w:tcW w:w="1329" w:type="pct"/>
            <w:vAlign w:val="center"/>
          </w:tcPr>
          <w:p w14:paraId="5F6D6AB1" w14:textId="77777777" w:rsidR="00495C65" w:rsidRPr="00E52243" w:rsidRDefault="00495C65" w:rsidP="00E52243">
            <w:pPr>
              <w:pStyle w:val="13"/>
              <w:spacing w:line="240" w:lineRule="auto"/>
              <w:ind w:firstLineChars="0" w:firstLine="0"/>
              <w:rPr>
                <w:sz w:val="21"/>
                <w:szCs w:val="21"/>
              </w:rPr>
            </w:pPr>
            <w:r w:rsidRPr="00E52243">
              <w:rPr>
                <w:sz w:val="21"/>
                <w:szCs w:val="21"/>
              </w:rPr>
              <w:t>渔业生产能力</w:t>
            </w:r>
          </w:p>
        </w:tc>
        <w:tc>
          <w:tcPr>
            <w:tcW w:w="2813" w:type="pct"/>
            <w:vAlign w:val="center"/>
          </w:tcPr>
          <w:p w14:paraId="03A2ED76"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评估对象所在乡镇的水产品加工厂、育苗场等渔业配套设施的数量与规模。</w:t>
            </w:r>
          </w:p>
        </w:tc>
      </w:tr>
      <w:tr w:rsidR="00495C65" w:rsidRPr="00E52243" w14:paraId="5C23EEA9" w14:textId="77777777" w:rsidTr="00E52243">
        <w:trPr>
          <w:trHeight w:val="651"/>
          <w:jc w:val="center"/>
        </w:trPr>
        <w:tc>
          <w:tcPr>
            <w:tcW w:w="859" w:type="pct"/>
            <w:vMerge/>
            <w:tcBorders>
              <w:top w:val="nil"/>
            </w:tcBorders>
            <w:vAlign w:val="center"/>
          </w:tcPr>
          <w:p w14:paraId="6BC8F0D7"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16CC5E32" w14:textId="77777777" w:rsidR="00495C65" w:rsidRPr="00E52243" w:rsidRDefault="00495C65" w:rsidP="00E52243">
            <w:pPr>
              <w:pStyle w:val="13"/>
              <w:spacing w:line="240" w:lineRule="auto"/>
              <w:ind w:firstLineChars="0" w:firstLine="0"/>
              <w:rPr>
                <w:sz w:val="21"/>
                <w:szCs w:val="21"/>
              </w:rPr>
            </w:pPr>
            <w:r w:rsidRPr="00E52243">
              <w:rPr>
                <w:sz w:val="21"/>
                <w:szCs w:val="21"/>
              </w:rPr>
              <w:t>渔业从业人员</w:t>
            </w:r>
          </w:p>
        </w:tc>
        <w:tc>
          <w:tcPr>
            <w:tcW w:w="2813" w:type="pct"/>
            <w:vAlign w:val="center"/>
          </w:tcPr>
          <w:p w14:paraId="394661D5"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评估对象所在乡镇直接从事海洋渔业的捕捞、养殖与后勤生产的在业人员数。</w:t>
            </w:r>
          </w:p>
        </w:tc>
      </w:tr>
      <w:tr w:rsidR="00495C65" w:rsidRPr="00E52243" w14:paraId="37A3131C" w14:textId="77777777" w:rsidTr="00E52243">
        <w:trPr>
          <w:trHeight w:val="326"/>
          <w:jc w:val="center"/>
        </w:trPr>
        <w:tc>
          <w:tcPr>
            <w:tcW w:w="859" w:type="pct"/>
            <w:vAlign w:val="center"/>
          </w:tcPr>
          <w:p w14:paraId="6987B1C4"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区划与规划</w:t>
            </w:r>
          </w:p>
        </w:tc>
        <w:tc>
          <w:tcPr>
            <w:tcW w:w="1329" w:type="pct"/>
            <w:vAlign w:val="center"/>
          </w:tcPr>
          <w:p w14:paraId="15BBAD62" w14:textId="77777777" w:rsidR="00495C65" w:rsidRPr="00E52243" w:rsidRDefault="00495C65" w:rsidP="00E52243">
            <w:pPr>
              <w:pStyle w:val="13"/>
              <w:spacing w:line="240" w:lineRule="auto"/>
              <w:ind w:firstLineChars="0" w:firstLine="0"/>
              <w:rPr>
                <w:sz w:val="21"/>
                <w:szCs w:val="21"/>
              </w:rPr>
            </w:pPr>
            <w:r w:rsidRPr="00E52243">
              <w:rPr>
                <w:sz w:val="21"/>
                <w:szCs w:val="21"/>
              </w:rPr>
              <w:t>区域海域利用限制</w:t>
            </w:r>
          </w:p>
        </w:tc>
        <w:tc>
          <w:tcPr>
            <w:tcW w:w="2813" w:type="pct"/>
            <w:vAlign w:val="center"/>
          </w:tcPr>
          <w:p w14:paraId="5BF741C5"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评估对象对海域利用类型、利用强度的限制程度。</w:t>
            </w:r>
          </w:p>
        </w:tc>
      </w:tr>
      <w:tr w:rsidR="00495C65" w:rsidRPr="00E52243" w14:paraId="79512068" w14:textId="77777777" w:rsidTr="00E52243">
        <w:trPr>
          <w:trHeight w:val="652"/>
          <w:jc w:val="center"/>
        </w:trPr>
        <w:tc>
          <w:tcPr>
            <w:tcW w:w="859" w:type="pct"/>
            <w:vMerge w:val="restart"/>
            <w:vAlign w:val="center"/>
          </w:tcPr>
          <w:p w14:paraId="0620EC45"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宗海条件</w:t>
            </w:r>
          </w:p>
        </w:tc>
        <w:tc>
          <w:tcPr>
            <w:tcW w:w="1329" w:type="pct"/>
            <w:vAlign w:val="center"/>
          </w:tcPr>
          <w:p w14:paraId="3814D767" w14:textId="77777777" w:rsidR="00495C65" w:rsidRPr="00E52243" w:rsidRDefault="00495C65" w:rsidP="00E52243">
            <w:pPr>
              <w:pStyle w:val="13"/>
              <w:spacing w:line="240" w:lineRule="auto"/>
              <w:ind w:firstLineChars="0" w:firstLine="0"/>
              <w:rPr>
                <w:sz w:val="21"/>
                <w:szCs w:val="21"/>
              </w:rPr>
            </w:pPr>
            <w:r w:rsidRPr="00E52243">
              <w:rPr>
                <w:sz w:val="21"/>
                <w:szCs w:val="21"/>
              </w:rPr>
              <w:t>地形地貌</w:t>
            </w:r>
          </w:p>
        </w:tc>
        <w:tc>
          <w:tcPr>
            <w:tcW w:w="2813" w:type="pct"/>
            <w:vAlign w:val="center"/>
          </w:tcPr>
          <w:p w14:paraId="12985713"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评估对象海底平面形状对渔业基础设施建设的影响程度。</w:t>
            </w:r>
          </w:p>
        </w:tc>
      </w:tr>
      <w:tr w:rsidR="00495C65" w:rsidRPr="00E52243" w14:paraId="0CE5A877" w14:textId="77777777" w:rsidTr="00E52243">
        <w:trPr>
          <w:trHeight w:val="652"/>
          <w:jc w:val="center"/>
        </w:trPr>
        <w:tc>
          <w:tcPr>
            <w:tcW w:w="859" w:type="pct"/>
            <w:vMerge/>
            <w:tcBorders>
              <w:top w:val="nil"/>
            </w:tcBorders>
            <w:vAlign w:val="center"/>
          </w:tcPr>
          <w:p w14:paraId="385531F0"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37699D47" w14:textId="77777777" w:rsidR="00495C65" w:rsidRPr="00E52243" w:rsidRDefault="00495C65" w:rsidP="00E52243">
            <w:pPr>
              <w:pStyle w:val="13"/>
              <w:spacing w:line="240" w:lineRule="auto"/>
              <w:ind w:firstLineChars="0" w:firstLine="0"/>
              <w:rPr>
                <w:sz w:val="21"/>
                <w:szCs w:val="21"/>
              </w:rPr>
            </w:pPr>
            <w:r w:rsidRPr="00E52243">
              <w:rPr>
                <w:sz w:val="21"/>
                <w:szCs w:val="21"/>
              </w:rPr>
              <w:t>地质条件</w:t>
            </w:r>
          </w:p>
        </w:tc>
        <w:tc>
          <w:tcPr>
            <w:tcW w:w="2813" w:type="pct"/>
            <w:vAlign w:val="center"/>
          </w:tcPr>
          <w:p w14:paraId="69C38581"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评估对象地质承载力的强弱及对渔业基础设施建设的影响程度。</w:t>
            </w:r>
          </w:p>
        </w:tc>
      </w:tr>
      <w:tr w:rsidR="00495C65" w:rsidRPr="00E52243" w14:paraId="445CA562" w14:textId="77777777" w:rsidTr="00E52243">
        <w:trPr>
          <w:trHeight w:val="325"/>
          <w:jc w:val="center"/>
        </w:trPr>
        <w:tc>
          <w:tcPr>
            <w:tcW w:w="859" w:type="pct"/>
            <w:vMerge/>
            <w:tcBorders>
              <w:top w:val="nil"/>
            </w:tcBorders>
            <w:vAlign w:val="center"/>
          </w:tcPr>
          <w:p w14:paraId="617CA7B5"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063AB9BA" w14:textId="77777777" w:rsidR="00495C65" w:rsidRPr="00E52243" w:rsidRDefault="00495C65" w:rsidP="00E52243">
            <w:pPr>
              <w:pStyle w:val="13"/>
              <w:spacing w:line="240" w:lineRule="auto"/>
              <w:ind w:firstLineChars="0" w:firstLine="0"/>
              <w:rPr>
                <w:sz w:val="21"/>
                <w:szCs w:val="21"/>
              </w:rPr>
            </w:pPr>
            <w:r w:rsidRPr="00E52243">
              <w:rPr>
                <w:sz w:val="21"/>
                <w:szCs w:val="21"/>
              </w:rPr>
              <w:t>自然灾害</w:t>
            </w:r>
          </w:p>
        </w:tc>
        <w:tc>
          <w:tcPr>
            <w:tcW w:w="2813" w:type="pct"/>
            <w:vAlign w:val="center"/>
          </w:tcPr>
          <w:p w14:paraId="15F3C86C" w14:textId="77777777" w:rsidR="00495C65" w:rsidRPr="00E52243" w:rsidRDefault="00495C65" w:rsidP="00E52243">
            <w:pPr>
              <w:pStyle w:val="13"/>
              <w:spacing w:line="240" w:lineRule="auto"/>
              <w:ind w:firstLineChars="0" w:firstLine="0"/>
              <w:rPr>
                <w:sz w:val="21"/>
                <w:szCs w:val="21"/>
              </w:rPr>
            </w:pPr>
            <w:r w:rsidRPr="00E52243">
              <w:rPr>
                <w:sz w:val="21"/>
                <w:szCs w:val="21"/>
              </w:rPr>
              <w:t>风暴潮、灾害性海浪与海啸等发生强度及频次。</w:t>
            </w:r>
          </w:p>
        </w:tc>
      </w:tr>
      <w:tr w:rsidR="00495C65" w:rsidRPr="00E52243" w14:paraId="251C46A6" w14:textId="77777777" w:rsidTr="00E52243">
        <w:trPr>
          <w:trHeight w:val="1629"/>
          <w:jc w:val="center"/>
        </w:trPr>
        <w:tc>
          <w:tcPr>
            <w:tcW w:w="859" w:type="pct"/>
            <w:vMerge/>
            <w:tcBorders>
              <w:top w:val="nil"/>
            </w:tcBorders>
            <w:vAlign w:val="center"/>
          </w:tcPr>
          <w:p w14:paraId="31418BC0"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3A9B14D9" w14:textId="77777777" w:rsidR="00495C65" w:rsidRPr="00E52243" w:rsidRDefault="00495C65" w:rsidP="00E52243">
            <w:pPr>
              <w:pStyle w:val="13"/>
              <w:spacing w:line="240" w:lineRule="auto"/>
              <w:ind w:firstLineChars="0" w:firstLine="0"/>
              <w:rPr>
                <w:sz w:val="21"/>
                <w:szCs w:val="21"/>
              </w:rPr>
            </w:pPr>
            <w:r w:rsidRPr="00E52243">
              <w:rPr>
                <w:sz w:val="21"/>
                <w:szCs w:val="21"/>
              </w:rPr>
              <w:t>海洋环境质量</w:t>
            </w:r>
          </w:p>
        </w:tc>
        <w:tc>
          <w:tcPr>
            <w:tcW w:w="2813" w:type="pct"/>
            <w:vAlign w:val="center"/>
          </w:tcPr>
          <w:p w14:paraId="6A7BA956" w14:textId="77777777" w:rsidR="00495C65" w:rsidRPr="00E52243" w:rsidRDefault="00495C65" w:rsidP="00E52243">
            <w:pPr>
              <w:pStyle w:val="13"/>
              <w:spacing w:line="240" w:lineRule="auto"/>
              <w:ind w:firstLineChars="0" w:firstLine="0"/>
              <w:rPr>
                <w:sz w:val="21"/>
                <w:szCs w:val="21"/>
              </w:rPr>
            </w:pPr>
            <w:r w:rsidRPr="00E52243">
              <w:rPr>
                <w:sz w:val="21"/>
                <w:szCs w:val="21"/>
              </w:rPr>
              <w:t>综合考虑评估对象所在乡镇海水增养殖区养殖环境质量优劣度、海水质量优劣度、海洋沉积物质量优劣度、海域贝类生物质量优劣度、气象与气候条件、近岸海域环境综合污染程度等，确定海洋环境质量指数。</w:t>
            </w:r>
          </w:p>
        </w:tc>
      </w:tr>
      <w:tr w:rsidR="00495C65" w:rsidRPr="00E52243" w14:paraId="25BD20EA" w14:textId="77777777" w:rsidTr="00E52243">
        <w:trPr>
          <w:trHeight w:val="325"/>
          <w:jc w:val="center"/>
        </w:trPr>
        <w:tc>
          <w:tcPr>
            <w:tcW w:w="859" w:type="pct"/>
            <w:vMerge/>
            <w:tcBorders>
              <w:top w:val="nil"/>
            </w:tcBorders>
            <w:vAlign w:val="center"/>
          </w:tcPr>
          <w:p w14:paraId="48CF1231"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4AF9AB01" w14:textId="77777777" w:rsidR="00495C65" w:rsidRPr="00E52243" w:rsidRDefault="00495C65" w:rsidP="00E52243">
            <w:pPr>
              <w:pStyle w:val="13"/>
              <w:spacing w:line="240" w:lineRule="auto"/>
              <w:ind w:firstLineChars="0" w:firstLine="0"/>
              <w:rPr>
                <w:sz w:val="21"/>
                <w:szCs w:val="21"/>
              </w:rPr>
            </w:pPr>
            <w:r w:rsidRPr="00E52243">
              <w:rPr>
                <w:sz w:val="21"/>
                <w:szCs w:val="21"/>
              </w:rPr>
              <w:t>海洋生物资源丰度</w:t>
            </w:r>
          </w:p>
        </w:tc>
        <w:tc>
          <w:tcPr>
            <w:tcW w:w="2813" w:type="pct"/>
            <w:vAlign w:val="center"/>
          </w:tcPr>
          <w:p w14:paraId="672230F5"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评估对象海洋生物资源的富集和丰富程度。</w:t>
            </w:r>
          </w:p>
        </w:tc>
      </w:tr>
      <w:tr w:rsidR="00495C65" w:rsidRPr="00E52243" w14:paraId="56E0F8F8" w14:textId="77777777" w:rsidTr="00E52243">
        <w:trPr>
          <w:trHeight w:val="326"/>
          <w:jc w:val="center"/>
        </w:trPr>
        <w:tc>
          <w:tcPr>
            <w:tcW w:w="859" w:type="pct"/>
            <w:vMerge/>
            <w:tcBorders>
              <w:top w:val="nil"/>
            </w:tcBorders>
            <w:vAlign w:val="center"/>
          </w:tcPr>
          <w:p w14:paraId="63A478CA"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37BAB7AC" w14:textId="77777777" w:rsidR="00495C65" w:rsidRPr="00E52243" w:rsidRDefault="00495C65" w:rsidP="00E52243">
            <w:pPr>
              <w:pStyle w:val="13"/>
              <w:spacing w:line="240" w:lineRule="auto"/>
              <w:ind w:firstLineChars="0" w:firstLine="0"/>
              <w:rPr>
                <w:sz w:val="21"/>
                <w:szCs w:val="21"/>
              </w:rPr>
            </w:pPr>
            <w:r w:rsidRPr="00E52243">
              <w:rPr>
                <w:sz w:val="21"/>
                <w:szCs w:val="21"/>
              </w:rPr>
              <w:t>增养殖方式</w:t>
            </w:r>
          </w:p>
        </w:tc>
        <w:tc>
          <w:tcPr>
            <w:tcW w:w="2813" w:type="pct"/>
            <w:vAlign w:val="center"/>
          </w:tcPr>
          <w:p w14:paraId="1125169B"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评估对象增养殖方式对海域质量影响程度。</w:t>
            </w:r>
          </w:p>
        </w:tc>
      </w:tr>
      <w:tr w:rsidR="00495C65" w:rsidRPr="00E52243" w14:paraId="5106BDBD" w14:textId="77777777" w:rsidTr="00E52243">
        <w:trPr>
          <w:trHeight w:val="327"/>
          <w:jc w:val="center"/>
        </w:trPr>
        <w:tc>
          <w:tcPr>
            <w:tcW w:w="859" w:type="pct"/>
            <w:vMerge/>
            <w:tcBorders>
              <w:top w:val="nil"/>
            </w:tcBorders>
            <w:vAlign w:val="center"/>
          </w:tcPr>
          <w:p w14:paraId="0FBC38EF" w14:textId="77777777" w:rsidR="00495C65" w:rsidRPr="00E52243" w:rsidRDefault="00495C65" w:rsidP="00E52243">
            <w:pPr>
              <w:pStyle w:val="13"/>
              <w:spacing w:line="240" w:lineRule="auto"/>
              <w:ind w:firstLineChars="0" w:firstLine="0"/>
              <w:jc w:val="center"/>
              <w:rPr>
                <w:sz w:val="21"/>
                <w:szCs w:val="21"/>
              </w:rPr>
            </w:pPr>
          </w:p>
        </w:tc>
        <w:tc>
          <w:tcPr>
            <w:tcW w:w="1329" w:type="pct"/>
            <w:vAlign w:val="center"/>
          </w:tcPr>
          <w:p w14:paraId="42E0DF72" w14:textId="77777777" w:rsidR="00495C65" w:rsidRPr="00E52243" w:rsidRDefault="00495C65" w:rsidP="00E52243">
            <w:pPr>
              <w:pStyle w:val="13"/>
              <w:spacing w:line="240" w:lineRule="auto"/>
              <w:ind w:firstLineChars="0" w:firstLine="0"/>
              <w:rPr>
                <w:sz w:val="21"/>
                <w:szCs w:val="21"/>
              </w:rPr>
            </w:pPr>
            <w:r w:rsidRPr="00E52243">
              <w:rPr>
                <w:sz w:val="21"/>
                <w:szCs w:val="21"/>
              </w:rPr>
              <w:t>养殖安全性</w:t>
            </w:r>
          </w:p>
        </w:tc>
        <w:tc>
          <w:tcPr>
            <w:tcW w:w="2813" w:type="pct"/>
            <w:vAlign w:val="center"/>
          </w:tcPr>
          <w:p w14:paraId="47E90236"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评估对象所处港湾掩护能力。</w:t>
            </w:r>
          </w:p>
        </w:tc>
      </w:tr>
    </w:tbl>
    <w:p w14:paraId="0AA9D9A0" w14:textId="77777777" w:rsidR="00495C65" w:rsidRDefault="00495C65" w:rsidP="00495C65">
      <w:pPr>
        <w:pStyle w:val="13"/>
        <w:ind w:firstLineChars="0" w:firstLine="0"/>
        <w:jc w:val="center"/>
      </w:pPr>
      <w:r w:rsidRPr="00C70F2B">
        <w:rPr>
          <w:rFonts w:hint="eastAsia"/>
        </w:rPr>
        <w:t>表</w:t>
      </w:r>
      <w:r w:rsidRPr="00C70F2B">
        <w:t>A.2 工业用</w:t>
      </w:r>
      <w:proofErr w:type="gramStart"/>
      <w:r w:rsidRPr="00C70F2B">
        <w:t>海价格</w:t>
      </w:r>
      <w:proofErr w:type="gramEnd"/>
      <w:r w:rsidRPr="00C70F2B">
        <w:t>修正因素和修正指标</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6"/>
        <w:gridCol w:w="2320"/>
        <w:gridCol w:w="4904"/>
      </w:tblGrid>
      <w:tr w:rsidR="00495C65" w:rsidRPr="00E52243" w14:paraId="0670617F" w14:textId="77777777" w:rsidTr="00E52243">
        <w:trPr>
          <w:trHeight w:val="487"/>
          <w:tblHeader/>
          <w:jc w:val="center"/>
        </w:trPr>
        <w:tc>
          <w:tcPr>
            <w:tcW w:w="858" w:type="pct"/>
            <w:vAlign w:val="center"/>
          </w:tcPr>
          <w:p w14:paraId="310E7A0F"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影响因素</w:t>
            </w:r>
          </w:p>
        </w:tc>
        <w:tc>
          <w:tcPr>
            <w:tcW w:w="1330" w:type="pct"/>
            <w:vAlign w:val="center"/>
          </w:tcPr>
          <w:p w14:paraId="136D6E5D"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影响指标</w:t>
            </w:r>
          </w:p>
        </w:tc>
        <w:tc>
          <w:tcPr>
            <w:tcW w:w="2812" w:type="pct"/>
            <w:vAlign w:val="center"/>
          </w:tcPr>
          <w:p w14:paraId="682FA240"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说明</w:t>
            </w:r>
          </w:p>
        </w:tc>
      </w:tr>
      <w:tr w:rsidR="00495C65" w:rsidRPr="00E52243" w14:paraId="647368CE" w14:textId="77777777" w:rsidTr="00E52243">
        <w:trPr>
          <w:trHeight w:val="652"/>
          <w:jc w:val="center"/>
        </w:trPr>
        <w:tc>
          <w:tcPr>
            <w:tcW w:w="858" w:type="pct"/>
            <w:vMerge w:val="restart"/>
            <w:vAlign w:val="center"/>
          </w:tcPr>
          <w:p w14:paraId="2058FC5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经济发展水平</w:t>
            </w:r>
          </w:p>
        </w:tc>
        <w:tc>
          <w:tcPr>
            <w:tcW w:w="1330" w:type="pct"/>
            <w:vAlign w:val="center"/>
          </w:tcPr>
          <w:p w14:paraId="10D62A3E" w14:textId="77777777" w:rsidR="00495C65" w:rsidRPr="00E52243" w:rsidRDefault="00495C65" w:rsidP="00E52243">
            <w:pPr>
              <w:pStyle w:val="13"/>
              <w:spacing w:line="240" w:lineRule="auto"/>
              <w:ind w:firstLineChars="0" w:firstLine="0"/>
              <w:rPr>
                <w:sz w:val="21"/>
                <w:szCs w:val="21"/>
              </w:rPr>
            </w:pPr>
            <w:r w:rsidRPr="00E52243">
              <w:rPr>
                <w:sz w:val="21"/>
                <w:szCs w:val="21"/>
              </w:rPr>
              <w:t>海洋经济发达程度</w:t>
            </w:r>
          </w:p>
        </w:tc>
        <w:tc>
          <w:tcPr>
            <w:tcW w:w="2812" w:type="pct"/>
            <w:vAlign w:val="center"/>
          </w:tcPr>
          <w:p w14:paraId="031F57AE"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评估对象所处乡镇海洋经济增加值占地区GDP比重。</w:t>
            </w:r>
          </w:p>
        </w:tc>
      </w:tr>
      <w:tr w:rsidR="00495C65" w:rsidRPr="00E52243" w14:paraId="50F5C7DF" w14:textId="77777777" w:rsidTr="00E52243">
        <w:trPr>
          <w:trHeight w:val="326"/>
          <w:jc w:val="center"/>
        </w:trPr>
        <w:tc>
          <w:tcPr>
            <w:tcW w:w="858" w:type="pct"/>
            <w:vMerge/>
            <w:tcBorders>
              <w:top w:val="nil"/>
            </w:tcBorders>
            <w:vAlign w:val="center"/>
          </w:tcPr>
          <w:p w14:paraId="3A888254"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21FC92AE" w14:textId="77777777" w:rsidR="00495C65" w:rsidRPr="00E52243" w:rsidRDefault="00495C65" w:rsidP="00E52243">
            <w:pPr>
              <w:pStyle w:val="13"/>
              <w:spacing w:line="240" w:lineRule="auto"/>
              <w:ind w:firstLineChars="0" w:firstLine="0"/>
              <w:rPr>
                <w:sz w:val="21"/>
                <w:szCs w:val="21"/>
              </w:rPr>
            </w:pPr>
            <w:r w:rsidRPr="00E52243">
              <w:rPr>
                <w:sz w:val="21"/>
                <w:szCs w:val="21"/>
              </w:rPr>
              <w:t>乡镇经济发展水平</w:t>
            </w:r>
          </w:p>
        </w:tc>
        <w:tc>
          <w:tcPr>
            <w:tcW w:w="2812" w:type="pct"/>
            <w:vAlign w:val="center"/>
          </w:tcPr>
          <w:p w14:paraId="7193DF98"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评估对象所处乡镇的人均GDP。</w:t>
            </w:r>
          </w:p>
        </w:tc>
      </w:tr>
      <w:tr w:rsidR="00495C65" w:rsidRPr="00E52243" w14:paraId="62DFC863" w14:textId="77777777" w:rsidTr="00E52243">
        <w:trPr>
          <w:trHeight w:val="325"/>
          <w:jc w:val="center"/>
        </w:trPr>
        <w:tc>
          <w:tcPr>
            <w:tcW w:w="858" w:type="pct"/>
            <w:vMerge w:val="restart"/>
            <w:vAlign w:val="center"/>
          </w:tcPr>
          <w:p w14:paraId="0001A762"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区位条件</w:t>
            </w:r>
          </w:p>
        </w:tc>
        <w:tc>
          <w:tcPr>
            <w:tcW w:w="1330" w:type="pct"/>
            <w:vAlign w:val="center"/>
          </w:tcPr>
          <w:p w14:paraId="5A7F0742" w14:textId="77777777" w:rsidR="00495C65" w:rsidRPr="00E52243" w:rsidRDefault="00495C65" w:rsidP="00E52243">
            <w:pPr>
              <w:pStyle w:val="13"/>
              <w:spacing w:line="240" w:lineRule="auto"/>
              <w:ind w:firstLineChars="0" w:firstLine="0"/>
              <w:rPr>
                <w:sz w:val="21"/>
                <w:szCs w:val="21"/>
              </w:rPr>
            </w:pPr>
            <w:r w:rsidRPr="00E52243">
              <w:rPr>
                <w:sz w:val="21"/>
                <w:szCs w:val="21"/>
              </w:rPr>
              <w:t>与邻近乡镇中心距离</w:t>
            </w:r>
          </w:p>
        </w:tc>
        <w:tc>
          <w:tcPr>
            <w:tcW w:w="2812" w:type="pct"/>
            <w:vAlign w:val="center"/>
          </w:tcPr>
          <w:p w14:paraId="564652B5"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评估对象与临近乡镇中心的距离。</w:t>
            </w:r>
          </w:p>
        </w:tc>
      </w:tr>
      <w:tr w:rsidR="00495C65" w:rsidRPr="00E52243" w14:paraId="07EAFD69" w14:textId="77777777" w:rsidTr="00E52243">
        <w:trPr>
          <w:trHeight w:val="325"/>
          <w:jc w:val="center"/>
        </w:trPr>
        <w:tc>
          <w:tcPr>
            <w:tcW w:w="858" w:type="pct"/>
            <w:vMerge/>
            <w:tcBorders>
              <w:top w:val="nil"/>
            </w:tcBorders>
            <w:vAlign w:val="center"/>
          </w:tcPr>
          <w:p w14:paraId="3E17679D"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22EED039" w14:textId="77777777" w:rsidR="00495C65" w:rsidRPr="00E52243" w:rsidRDefault="00495C65" w:rsidP="00E52243">
            <w:pPr>
              <w:pStyle w:val="13"/>
              <w:spacing w:line="240" w:lineRule="auto"/>
              <w:ind w:firstLineChars="0" w:firstLine="0"/>
              <w:rPr>
                <w:sz w:val="21"/>
                <w:szCs w:val="21"/>
              </w:rPr>
            </w:pPr>
            <w:r w:rsidRPr="00E52243">
              <w:rPr>
                <w:sz w:val="21"/>
                <w:szCs w:val="21"/>
              </w:rPr>
              <w:t>距县城距离</w:t>
            </w:r>
          </w:p>
        </w:tc>
        <w:tc>
          <w:tcPr>
            <w:tcW w:w="2812" w:type="pct"/>
            <w:vAlign w:val="center"/>
          </w:tcPr>
          <w:p w14:paraId="3EB6DA8C"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评估对象与临近县城中心的距离。</w:t>
            </w:r>
          </w:p>
        </w:tc>
      </w:tr>
      <w:tr w:rsidR="00495C65" w:rsidRPr="00E52243" w14:paraId="68DE7A14" w14:textId="77777777" w:rsidTr="00E52243">
        <w:trPr>
          <w:trHeight w:val="325"/>
          <w:jc w:val="center"/>
        </w:trPr>
        <w:tc>
          <w:tcPr>
            <w:tcW w:w="858" w:type="pct"/>
            <w:vMerge/>
            <w:tcBorders>
              <w:top w:val="nil"/>
            </w:tcBorders>
            <w:vAlign w:val="center"/>
          </w:tcPr>
          <w:p w14:paraId="5D0862BC"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25C0ABFA" w14:textId="77777777" w:rsidR="00495C65" w:rsidRPr="00E52243" w:rsidRDefault="00495C65" w:rsidP="00E52243">
            <w:pPr>
              <w:pStyle w:val="13"/>
              <w:spacing w:line="240" w:lineRule="auto"/>
              <w:ind w:firstLineChars="0" w:firstLine="0"/>
              <w:rPr>
                <w:sz w:val="21"/>
                <w:szCs w:val="21"/>
              </w:rPr>
            </w:pPr>
            <w:r w:rsidRPr="00E52243">
              <w:rPr>
                <w:sz w:val="21"/>
                <w:szCs w:val="21"/>
              </w:rPr>
              <w:t>乡镇在县城中地位</w:t>
            </w:r>
          </w:p>
        </w:tc>
        <w:tc>
          <w:tcPr>
            <w:tcW w:w="2812" w:type="pct"/>
            <w:vAlign w:val="center"/>
          </w:tcPr>
          <w:p w14:paraId="6B925BF3" w14:textId="77777777" w:rsidR="00495C65" w:rsidRPr="00E52243" w:rsidRDefault="00495C65" w:rsidP="00E52243">
            <w:pPr>
              <w:pStyle w:val="13"/>
              <w:spacing w:line="240" w:lineRule="auto"/>
              <w:ind w:firstLineChars="0" w:firstLine="0"/>
              <w:rPr>
                <w:sz w:val="21"/>
                <w:szCs w:val="21"/>
              </w:rPr>
            </w:pPr>
            <w:r w:rsidRPr="00E52243">
              <w:rPr>
                <w:sz w:val="21"/>
                <w:szCs w:val="21"/>
              </w:rPr>
              <w:t>所在乡镇在管辖县域中的影响力。</w:t>
            </w:r>
          </w:p>
        </w:tc>
      </w:tr>
      <w:tr w:rsidR="00495C65" w:rsidRPr="00E52243" w14:paraId="6E090445" w14:textId="77777777" w:rsidTr="00E52243">
        <w:trPr>
          <w:trHeight w:val="325"/>
          <w:jc w:val="center"/>
        </w:trPr>
        <w:tc>
          <w:tcPr>
            <w:tcW w:w="858" w:type="pct"/>
            <w:vMerge w:val="restart"/>
            <w:vAlign w:val="center"/>
          </w:tcPr>
          <w:p w14:paraId="39FE3465"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交通条件</w:t>
            </w:r>
          </w:p>
        </w:tc>
        <w:tc>
          <w:tcPr>
            <w:tcW w:w="1330" w:type="pct"/>
            <w:vAlign w:val="center"/>
          </w:tcPr>
          <w:p w14:paraId="682CEC71" w14:textId="77777777" w:rsidR="00495C65" w:rsidRPr="00E52243" w:rsidRDefault="00495C65" w:rsidP="00E52243">
            <w:pPr>
              <w:pStyle w:val="13"/>
              <w:spacing w:line="240" w:lineRule="auto"/>
              <w:ind w:firstLineChars="0" w:firstLine="0"/>
              <w:rPr>
                <w:sz w:val="21"/>
                <w:szCs w:val="21"/>
              </w:rPr>
            </w:pPr>
            <w:r w:rsidRPr="00E52243">
              <w:rPr>
                <w:sz w:val="21"/>
                <w:szCs w:val="21"/>
              </w:rPr>
              <w:t>宗海临</w:t>
            </w:r>
            <w:proofErr w:type="gramStart"/>
            <w:r w:rsidRPr="00E52243">
              <w:rPr>
                <w:sz w:val="21"/>
                <w:szCs w:val="21"/>
              </w:rPr>
              <w:t>路条件</w:t>
            </w:r>
            <w:proofErr w:type="gramEnd"/>
          </w:p>
        </w:tc>
        <w:tc>
          <w:tcPr>
            <w:tcW w:w="2812" w:type="pct"/>
            <w:vAlign w:val="center"/>
          </w:tcPr>
          <w:p w14:paraId="1E779E85"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评估对象与周边道路的连接程度。</w:t>
            </w:r>
          </w:p>
        </w:tc>
      </w:tr>
      <w:tr w:rsidR="00495C65" w:rsidRPr="00E52243" w14:paraId="357817EC" w14:textId="77777777" w:rsidTr="00E52243">
        <w:trPr>
          <w:trHeight w:val="326"/>
          <w:jc w:val="center"/>
        </w:trPr>
        <w:tc>
          <w:tcPr>
            <w:tcW w:w="858" w:type="pct"/>
            <w:vMerge/>
            <w:tcBorders>
              <w:top w:val="nil"/>
            </w:tcBorders>
            <w:vAlign w:val="center"/>
          </w:tcPr>
          <w:p w14:paraId="6AF5AE7E"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6E341979" w14:textId="77777777" w:rsidR="00495C65" w:rsidRPr="00E52243" w:rsidRDefault="00495C65" w:rsidP="00E52243">
            <w:pPr>
              <w:pStyle w:val="13"/>
              <w:spacing w:line="240" w:lineRule="auto"/>
              <w:ind w:firstLineChars="0" w:firstLine="0"/>
              <w:rPr>
                <w:sz w:val="21"/>
                <w:szCs w:val="21"/>
              </w:rPr>
            </w:pPr>
            <w:r w:rsidRPr="00E52243">
              <w:rPr>
                <w:sz w:val="21"/>
                <w:szCs w:val="21"/>
              </w:rPr>
              <w:t>宗海临港条件</w:t>
            </w:r>
          </w:p>
        </w:tc>
        <w:tc>
          <w:tcPr>
            <w:tcW w:w="2812" w:type="pct"/>
            <w:vAlign w:val="center"/>
          </w:tcPr>
          <w:p w14:paraId="5FC220FB"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评估对象与大型港口的距离。</w:t>
            </w:r>
          </w:p>
        </w:tc>
      </w:tr>
      <w:tr w:rsidR="00495C65" w:rsidRPr="00E52243" w14:paraId="5BEC9D06" w14:textId="77777777" w:rsidTr="00E52243">
        <w:trPr>
          <w:trHeight w:val="652"/>
          <w:jc w:val="center"/>
        </w:trPr>
        <w:tc>
          <w:tcPr>
            <w:tcW w:w="858" w:type="pct"/>
            <w:vMerge w:val="restart"/>
            <w:vAlign w:val="center"/>
          </w:tcPr>
          <w:p w14:paraId="5B3A914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lastRenderedPageBreak/>
              <w:t>基础设施条件</w:t>
            </w:r>
          </w:p>
        </w:tc>
        <w:tc>
          <w:tcPr>
            <w:tcW w:w="1330" w:type="pct"/>
            <w:vAlign w:val="center"/>
          </w:tcPr>
          <w:p w14:paraId="70E50545" w14:textId="77777777" w:rsidR="00495C65" w:rsidRPr="00E52243" w:rsidRDefault="00495C65" w:rsidP="00E52243">
            <w:pPr>
              <w:pStyle w:val="13"/>
              <w:spacing w:line="240" w:lineRule="auto"/>
              <w:ind w:firstLineChars="0" w:firstLine="0"/>
              <w:rPr>
                <w:sz w:val="21"/>
                <w:szCs w:val="21"/>
              </w:rPr>
            </w:pPr>
            <w:r w:rsidRPr="00E52243">
              <w:rPr>
                <w:sz w:val="21"/>
                <w:szCs w:val="21"/>
              </w:rPr>
              <w:t>基础设施完善度</w:t>
            </w:r>
          </w:p>
        </w:tc>
        <w:tc>
          <w:tcPr>
            <w:tcW w:w="2812" w:type="pct"/>
            <w:vAlign w:val="center"/>
          </w:tcPr>
          <w:p w14:paraId="1D082127" w14:textId="77777777" w:rsidR="00495C65" w:rsidRPr="00E52243" w:rsidRDefault="00495C65" w:rsidP="00E52243">
            <w:pPr>
              <w:pStyle w:val="13"/>
              <w:spacing w:line="240" w:lineRule="auto"/>
              <w:ind w:firstLineChars="0" w:firstLine="0"/>
              <w:rPr>
                <w:sz w:val="21"/>
                <w:szCs w:val="21"/>
              </w:rPr>
            </w:pPr>
            <w:r w:rsidRPr="00E52243">
              <w:rPr>
                <w:sz w:val="21"/>
                <w:szCs w:val="21"/>
              </w:rPr>
              <w:t>道路、供水、排水、供电、供气、供热、通讯等基础设施的齐全性及保证率。</w:t>
            </w:r>
          </w:p>
        </w:tc>
      </w:tr>
      <w:tr w:rsidR="00495C65" w:rsidRPr="00E52243" w14:paraId="416F14C6" w14:textId="77777777" w:rsidTr="00E52243">
        <w:trPr>
          <w:trHeight w:val="325"/>
          <w:jc w:val="center"/>
        </w:trPr>
        <w:tc>
          <w:tcPr>
            <w:tcW w:w="858" w:type="pct"/>
            <w:vMerge/>
            <w:tcBorders>
              <w:top w:val="nil"/>
            </w:tcBorders>
            <w:vAlign w:val="center"/>
          </w:tcPr>
          <w:p w14:paraId="1F50D070"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7A5929AF" w14:textId="77777777" w:rsidR="00495C65" w:rsidRPr="00E52243" w:rsidRDefault="00495C65" w:rsidP="00E52243">
            <w:pPr>
              <w:pStyle w:val="13"/>
              <w:spacing w:line="240" w:lineRule="auto"/>
              <w:ind w:firstLineChars="0" w:firstLine="0"/>
              <w:rPr>
                <w:sz w:val="21"/>
                <w:szCs w:val="21"/>
              </w:rPr>
            </w:pPr>
            <w:r w:rsidRPr="00E52243">
              <w:rPr>
                <w:sz w:val="21"/>
                <w:szCs w:val="21"/>
              </w:rPr>
              <w:t>区域公用设施方便度</w:t>
            </w:r>
          </w:p>
        </w:tc>
        <w:tc>
          <w:tcPr>
            <w:tcW w:w="2812" w:type="pct"/>
            <w:vAlign w:val="center"/>
          </w:tcPr>
          <w:p w14:paraId="49A105FA" w14:textId="77777777" w:rsidR="00495C65" w:rsidRPr="00E52243" w:rsidRDefault="00495C65" w:rsidP="00E52243">
            <w:pPr>
              <w:pStyle w:val="13"/>
              <w:spacing w:line="240" w:lineRule="auto"/>
              <w:ind w:firstLineChars="0" w:firstLine="0"/>
              <w:rPr>
                <w:sz w:val="21"/>
                <w:szCs w:val="21"/>
              </w:rPr>
            </w:pPr>
            <w:r w:rsidRPr="00E52243">
              <w:rPr>
                <w:sz w:val="21"/>
                <w:szCs w:val="21"/>
              </w:rPr>
              <w:t>公用设施的完善度及距离的远近。</w:t>
            </w:r>
          </w:p>
        </w:tc>
      </w:tr>
      <w:tr w:rsidR="00495C65" w:rsidRPr="00E52243" w14:paraId="30291534" w14:textId="77777777" w:rsidTr="00E52243">
        <w:trPr>
          <w:trHeight w:val="325"/>
          <w:jc w:val="center"/>
        </w:trPr>
        <w:tc>
          <w:tcPr>
            <w:tcW w:w="858" w:type="pct"/>
            <w:vMerge w:val="restart"/>
            <w:vAlign w:val="center"/>
          </w:tcPr>
          <w:p w14:paraId="5D7CB84F"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涉海工业产业状况</w:t>
            </w:r>
          </w:p>
        </w:tc>
        <w:tc>
          <w:tcPr>
            <w:tcW w:w="1330" w:type="pct"/>
            <w:vAlign w:val="center"/>
          </w:tcPr>
          <w:p w14:paraId="14B79A60" w14:textId="77777777" w:rsidR="00495C65" w:rsidRPr="00E52243" w:rsidRDefault="00495C65" w:rsidP="00E52243">
            <w:pPr>
              <w:pStyle w:val="13"/>
              <w:spacing w:line="240" w:lineRule="auto"/>
              <w:ind w:firstLineChars="0" w:firstLine="0"/>
              <w:rPr>
                <w:sz w:val="21"/>
                <w:szCs w:val="21"/>
              </w:rPr>
            </w:pPr>
            <w:r w:rsidRPr="00E52243">
              <w:rPr>
                <w:sz w:val="21"/>
                <w:szCs w:val="21"/>
              </w:rPr>
              <w:t>涉海工业生产能力</w:t>
            </w:r>
          </w:p>
        </w:tc>
        <w:tc>
          <w:tcPr>
            <w:tcW w:w="2812" w:type="pct"/>
            <w:vAlign w:val="center"/>
          </w:tcPr>
          <w:p w14:paraId="62AA0906"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评估对象所在乡镇涉海工业企业的数量与规模。</w:t>
            </w:r>
          </w:p>
        </w:tc>
      </w:tr>
      <w:tr w:rsidR="00495C65" w:rsidRPr="00E52243" w14:paraId="25AC227C" w14:textId="77777777" w:rsidTr="00E52243">
        <w:trPr>
          <w:trHeight w:val="651"/>
          <w:jc w:val="center"/>
        </w:trPr>
        <w:tc>
          <w:tcPr>
            <w:tcW w:w="858" w:type="pct"/>
            <w:vMerge/>
            <w:tcBorders>
              <w:top w:val="nil"/>
            </w:tcBorders>
            <w:vAlign w:val="center"/>
          </w:tcPr>
          <w:p w14:paraId="331F468E"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51E2872F" w14:textId="77777777" w:rsidR="00495C65" w:rsidRPr="00E52243" w:rsidRDefault="00495C65" w:rsidP="00E52243">
            <w:pPr>
              <w:pStyle w:val="13"/>
              <w:spacing w:line="240" w:lineRule="auto"/>
              <w:ind w:firstLineChars="0" w:firstLine="0"/>
              <w:rPr>
                <w:sz w:val="21"/>
                <w:szCs w:val="21"/>
              </w:rPr>
            </w:pPr>
            <w:r w:rsidRPr="00E52243">
              <w:rPr>
                <w:sz w:val="21"/>
                <w:szCs w:val="21"/>
              </w:rPr>
              <w:t>涉海工业从业人员</w:t>
            </w:r>
          </w:p>
        </w:tc>
        <w:tc>
          <w:tcPr>
            <w:tcW w:w="2812" w:type="pct"/>
            <w:vAlign w:val="center"/>
          </w:tcPr>
          <w:p w14:paraId="7A68E87E"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评估对象所在乡镇涉海工业企业从事生产的在业人员数。</w:t>
            </w:r>
          </w:p>
        </w:tc>
      </w:tr>
      <w:tr w:rsidR="00495C65" w:rsidRPr="00E52243" w14:paraId="3F7E591A" w14:textId="77777777" w:rsidTr="00E52243">
        <w:trPr>
          <w:trHeight w:val="325"/>
          <w:jc w:val="center"/>
        </w:trPr>
        <w:tc>
          <w:tcPr>
            <w:tcW w:w="858" w:type="pct"/>
            <w:vMerge w:val="restart"/>
            <w:vAlign w:val="center"/>
          </w:tcPr>
          <w:p w14:paraId="57B3BA80"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人口集聚度</w:t>
            </w:r>
          </w:p>
        </w:tc>
        <w:tc>
          <w:tcPr>
            <w:tcW w:w="1330" w:type="pct"/>
            <w:vAlign w:val="center"/>
          </w:tcPr>
          <w:p w14:paraId="250696F8" w14:textId="77777777" w:rsidR="00495C65" w:rsidRPr="00E52243" w:rsidRDefault="00495C65" w:rsidP="00E52243">
            <w:pPr>
              <w:pStyle w:val="13"/>
              <w:spacing w:line="240" w:lineRule="auto"/>
              <w:ind w:firstLineChars="0" w:firstLine="0"/>
              <w:rPr>
                <w:sz w:val="21"/>
                <w:szCs w:val="21"/>
              </w:rPr>
            </w:pPr>
            <w:r w:rsidRPr="00E52243">
              <w:rPr>
                <w:sz w:val="21"/>
                <w:szCs w:val="21"/>
              </w:rPr>
              <w:t>人口密度</w:t>
            </w:r>
          </w:p>
        </w:tc>
        <w:tc>
          <w:tcPr>
            <w:tcW w:w="2812" w:type="pct"/>
            <w:vAlign w:val="center"/>
          </w:tcPr>
          <w:p w14:paraId="08DA731A"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评估对象所处乡镇单位土地面积的人口数量。</w:t>
            </w:r>
          </w:p>
        </w:tc>
      </w:tr>
      <w:tr w:rsidR="00495C65" w:rsidRPr="00E52243" w14:paraId="3269FDA8" w14:textId="77777777" w:rsidTr="00E52243">
        <w:trPr>
          <w:trHeight w:val="652"/>
          <w:jc w:val="center"/>
        </w:trPr>
        <w:tc>
          <w:tcPr>
            <w:tcW w:w="858" w:type="pct"/>
            <w:vMerge/>
            <w:tcBorders>
              <w:top w:val="nil"/>
            </w:tcBorders>
            <w:vAlign w:val="center"/>
          </w:tcPr>
          <w:p w14:paraId="6D2D1E2C"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76EB751E" w14:textId="77777777" w:rsidR="00495C65" w:rsidRPr="00E52243" w:rsidRDefault="00495C65" w:rsidP="00E52243">
            <w:pPr>
              <w:pStyle w:val="13"/>
              <w:spacing w:line="240" w:lineRule="auto"/>
              <w:ind w:firstLineChars="0" w:firstLine="0"/>
              <w:rPr>
                <w:sz w:val="21"/>
                <w:szCs w:val="21"/>
              </w:rPr>
            </w:pPr>
            <w:r w:rsidRPr="00E52243">
              <w:rPr>
                <w:sz w:val="21"/>
                <w:szCs w:val="21"/>
              </w:rPr>
              <w:t>人流量</w:t>
            </w:r>
          </w:p>
        </w:tc>
        <w:tc>
          <w:tcPr>
            <w:tcW w:w="2812" w:type="pct"/>
            <w:vAlign w:val="center"/>
          </w:tcPr>
          <w:p w14:paraId="41F8F8E8"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评估对象所处乡镇在一定时期内流入、流出的人</w:t>
            </w:r>
          </w:p>
          <w:p w14:paraId="0771C39C" w14:textId="77777777" w:rsidR="00495C65" w:rsidRPr="00E52243" w:rsidRDefault="00495C65" w:rsidP="00E52243">
            <w:pPr>
              <w:pStyle w:val="13"/>
              <w:spacing w:line="240" w:lineRule="auto"/>
              <w:ind w:firstLineChars="0" w:firstLine="0"/>
              <w:rPr>
                <w:sz w:val="21"/>
                <w:szCs w:val="21"/>
              </w:rPr>
            </w:pPr>
            <w:r w:rsidRPr="00E52243">
              <w:rPr>
                <w:sz w:val="21"/>
                <w:szCs w:val="21"/>
              </w:rPr>
              <w:t>数。</w:t>
            </w:r>
          </w:p>
        </w:tc>
      </w:tr>
      <w:tr w:rsidR="00495C65" w:rsidRPr="00E52243" w14:paraId="53595EDD" w14:textId="77777777" w:rsidTr="00E52243">
        <w:trPr>
          <w:trHeight w:val="326"/>
          <w:jc w:val="center"/>
        </w:trPr>
        <w:tc>
          <w:tcPr>
            <w:tcW w:w="858" w:type="pct"/>
            <w:vAlign w:val="center"/>
          </w:tcPr>
          <w:p w14:paraId="2734E289"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毗邻土地情况</w:t>
            </w:r>
          </w:p>
        </w:tc>
        <w:tc>
          <w:tcPr>
            <w:tcW w:w="1330" w:type="pct"/>
            <w:vAlign w:val="center"/>
          </w:tcPr>
          <w:p w14:paraId="32E366B4" w14:textId="77777777" w:rsidR="00495C65" w:rsidRPr="00E52243" w:rsidRDefault="00495C65" w:rsidP="00E52243">
            <w:pPr>
              <w:pStyle w:val="13"/>
              <w:spacing w:line="240" w:lineRule="auto"/>
              <w:ind w:firstLineChars="0" w:firstLine="0"/>
              <w:rPr>
                <w:sz w:val="21"/>
                <w:szCs w:val="21"/>
              </w:rPr>
            </w:pPr>
            <w:r w:rsidRPr="00E52243">
              <w:rPr>
                <w:sz w:val="21"/>
                <w:szCs w:val="21"/>
              </w:rPr>
              <w:t>毗邻土地价格</w:t>
            </w:r>
          </w:p>
        </w:tc>
        <w:tc>
          <w:tcPr>
            <w:tcW w:w="2812" w:type="pct"/>
            <w:vAlign w:val="center"/>
          </w:tcPr>
          <w:p w14:paraId="58E7E56D"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评估对象毗邻工业用地的级别与基准价格。</w:t>
            </w:r>
          </w:p>
        </w:tc>
      </w:tr>
      <w:tr w:rsidR="00495C65" w:rsidRPr="00E52243" w14:paraId="5CE76F63" w14:textId="77777777" w:rsidTr="00E52243">
        <w:trPr>
          <w:trHeight w:val="326"/>
          <w:jc w:val="center"/>
        </w:trPr>
        <w:tc>
          <w:tcPr>
            <w:tcW w:w="858" w:type="pct"/>
            <w:vAlign w:val="center"/>
          </w:tcPr>
          <w:p w14:paraId="26991D14"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区划与规划</w:t>
            </w:r>
          </w:p>
        </w:tc>
        <w:tc>
          <w:tcPr>
            <w:tcW w:w="1330" w:type="pct"/>
            <w:vAlign w:val="center"/>
          </w:tcPr>
          <w:p w14:paraId="5AFD451B" w14:textId="77777777" w:rsidR="00495C65" w:rsidRPr="00E52243" w:rsidRDefault="00495C65" w:rsidP="00E52243">
            <w:pPr>
              <w:pStyle w:val="13"/>
              <w:spacing w:line="240" w:lineRule="auto"/>
              <w:ind w:firstLineChars="0" w:firstLine="0"/>
              <w:rPr>
                <w:sz w:val="21"/>
                <w:szCs w:val="21"/>
              </w:rPr>
            </w:pPr>
            <w:r w:rsidRPr="00E52243">
              <w:rPr>
                <w:sz w:val="21"/>
                <w:szCs w:val="21"/>
              </w:rPr>
              <w:t>区域海域利用限制</w:t>
            </w:r>
          </w:p>
        </w:tc>
        <w:tc>
          <w:tcPr>
            <w:tcW w:w="2812" w:type="pct"/>
            <w:vAlign w:val="center"/>
          </w:tcPr>
          <w:p w14:paraId="41510988"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评估对象对海域利用类型、利用强度的限制程度。</w:t>
            </w:r>
          </w:p>
        </w:tc>
      </w:tr>
      <w:tr w:rsidR="00495C65" w:rsidRPr="00E52243" w14:paraId="59F0111B" w14:textId="77777777" w:rsidTr="00E52243">
        <w:trPr>
          <w:trHeight w:val="326"/>
          <w:jc w:val="center"/>
        </w:trPr>
        <w:tc>
          <w:tcPr>
            <w:tcW w:w="858" w:type="pct"/>
            <w:vMerge w:val="restart"/>
            <w:vAlign w:val="center"/>
          </w:tcPr>
          <w:p w14:paraId="35A8FFA8"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宗海条件</w:t>
            </w:r>
          </w:p>
        </w:tc>
        <w:tc>
          <w:tcPr>
            <w:tcW w:w="1330" w:type="pct"/>
            <w:vAlign w:val="center"/>
          </w:tcPr>
          <w:p w14:paraId="2F64AFF1" w14:textId="77777777" w:rsidR="00495C65" w:rsidRPr="00E52243" w:rsidRDefault="00495C65" w:rsidP="00E52243">
            <w:pPr>
              <w:pStyle w:val="13"/>
              <w:spacing w:line="240" w:lineRule="auto"/>
              <w:ind w:firstLineChars="0" w:firstLine="0"/>
              <w:rPr>
                <w:sz w:val="21"/>
                <w:szCs w:val="21"/>
              </w:rPr>
            </w:pPr>
            <w:r w:rsidRPr="00E52243">
              <w:rPr>
                <w:sz w:val="21"/>
                <w:szCs w:val="21"/>
              </w:rPr>
              <w:t>水深状况</w:t>
            </w:r>
          </w:p>
        </w:tc>
        <w:tc>
          <w:tcPr>
            <w:tcW w:w="2812" w:type="pct"/>
            <w:vAlign w:val="center"/>
          </w:tcPr>
          <w:p w14:paraId="44BE7735"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评估对象海平面到其海床的最大垂直距离。</w:t>
            </w:r>
          </w:p>
        </w:tc>
      </w:tr>
      <w:tr w:rsidR="00495C65" w:rsidRPr="00E52243" w14:paraId="7D189B9B" w14:textId="77777777" w:rsidTr="00E52243">
        <w:trPr>
          <w:trHeight w:val="325"/>
          <w:jc w:val="center"/>
        </w:trPr>
        <w:tc>
          <w:tcPr>
            <w:tcW w:w="858" w:type="pct"/>
            <w:vMerge/>
            <w:tcBorders>
              <w:top w:val="nil"/>
            </w:tcBorders>
            <w:vAlign w:val="center"/>
          </w:tcPr>
          <w:p w14:paraId="69CD2561"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7E1FDBA4" w14:textId="77777777" w:rsidR="00495C65" w:rsidRPr="00E52243" w:rsidRDefault="00495C65" w:rsidP="00E52243">
            <w:pPr>
              <w:pStyle w:val="13"/>
              <w:spacing w:line="240" w:lineRule="auto"/>
              <w:ind w:firstLineChars="0" w:firstLine="0"/>
              <w:rPr>
                <w:sz w:val="21"/>
                <w:szCs w:val="21"/>
              </w:rPr>
            </w:pPr>
            <w:r w:rsidRPr="00E52243">
              <w:rPr>
                <w:sz w:val="21"/>
                <w:szCs w:val="21"/>
              </w:rPr>
              <w:t>海洋水文</w:t>
            </w:r>
          </w:p>
        </w:tc>
        <w:tc>
          <w:tcPr>
            <w:tcW w:w="2812" w:type="pct"/>
            <w:vAlign w:val="center"/>
          </w:tcPr>
          <w:p w14:paraId="273A27E1"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评估对象温度、盐度、海流、潮汐、海浪等。</w:t>
            </w:r>
          </w:p>
        </w:tc>
      </w:tr>
      <w:tr w:rsidR="00495C65" w:rsidRPr="00E52243" w14:paraId="6A0078F2" w14:textId="77777777" w:rsidTr="00E52243">
        <w:trPr>
          <w:trHeight w:val="652"/>
          <w:jc w:val="center"/>
        </w:trPr>
        <w:tc>
          <w:tcPr>
            <w:tcW w:w="858" w:type="pct"/>
            <w:vMerge/>
            <w:tcBorders>
              <w:top w:val="nil"/>
            </w:tcBorders>
            <w:vAlign w:val="center"/>
          </w:tcPr>
          <w:p w14:paraId="34168458"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5EDFE155" w14:textId="77777777" w:rsidR="00495C65" w:rsidRPr="00E52243" w:rsidRDefault="00495C65" w:rsidP="00E52243">
            <w:pPr>
              <w:pStyle w:val="13"/>
              <w:spacing w:line="240" w:lineRule="auto"/>
              <w:ind w:firstLineChars="0" w:firstLine="0"/>
              <w:rPr>
                <w:sz w:val="21"/>
                <w:szCs w:val="21"/>
              </w:rPr>
            </w:pPr>
            <w:r w:rsidRPr="00E52243">
              <w:rPr>
                <w:sz w:val="21"/>
                <w:szCs w:val="21"/>
              </w:rPr>
              <w:t>地形地貌</w:t>
            </w:r>
          </w:p>
        </w:tc>
        <w:tc>
          <w:tcPr>
            <w:tcW w:w="2812" w:type="pct"/>
            <w:vAlign w:val="center"/>
          </w:tcPr>
          <w:p w14:paraId="4DD47104"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评估对象海底平面形状对海上设施建设的影响程度。</w:t>
            </w:r>
          </w:p>
        </w:tc>
      </w:tr>
      <w:tr w:rsidR="00495C65" w:rsidRPr="00E52243" w14:paraId="0BA8C6C5" w14:textId="77777777" w:rsidTr="00E52243">
        <w:trPr>
          <w:trHeight w:val="651"/>
          <w:jc w:val="center"/>
        </w:trPr>
        <w:tc>
          <w:tcPr>
            <w:tcW w:w="858" w:type="pct"/>
            <w:vMerge/>
            <w:tcBorders>
              <w:top w:val="nil"/>
            </w:tcBorders>
            <w:vAlign w:val="center"/>
          </w:tcPr>
          <w:p w14:paraId="2F2CDB98"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66F11D79" w14:textId="77777777" w:rsidR="00495C65" w:rsidRPr="00E52243" w:rsidRDefault="00495C65" w:rsidP="00E52243">
            <w:pPr>
              <w:pStyle w:val="13"/>
              <w:spacing w:line="240" w:lineRule="auto"/>
              <w:ind w:firstLineChars="0" w:firstLine="0"/>
              <w:rPr>
                <w:sz w:val="21"/>
                <w:szCs w:val="21"/>
              </w:rPr>
            </w:pPr>
            <w:r w:rsidRPr="00E52243">
              <w:rPr>
                <w:sz w:val="21"/>
                <w:szCs w:val="21"/>
              </w:rPr>
              <w:t>地质条件</w:t>
            </w:r>
          </w:p>
        </w:tc>
        <w:tc>
          <w:tcPr>
            <w:tcW w:w="2812" w:type="pct"/>
            <w:vAlign w:val="center"/>
          </w:tcPr>
          <w:p w14:paraId="4B04A132"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评估对象地质承载力的强弱及对海上设施建设影响的程度。</w:t>
            </w:r>
          </w:p>
        </w:tc>
      </w:tr>
      <w:tr w:rsidR="00495C65" w:rsidRPr="00E52243" w14:paraId="601DC367" w14:textId="77777777" w:rsidTr="00E52243">
        <w:trPr>
          <w:trHeight w:val="325"/>
          <w:jc w:val="center"/>
        </w:trPr>
        <w:tc>
          <w:tcPr>
            <w:tcW w:w="858" w:type="pct"/>
            <w:vMerge/>
            <w:tcBorders>
              <w:top w:val="nil"/>
            </w:tcBorders>
            <w:vAlign w:val="center"/>
          </w:tcPr>
          <w:p w14:paraId="64DE319B"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3B21F06F" w14:textId="77777777" w:rsidR="00495C65" w:rsidRPr="00E52243" w:rsidRDefault="00495C65" w:rsidP="00E52243">
            <w:pPr>
              <w:pStyle w:val="13"/>
              <w:spacing w:line="240" w:lineRule="auto"/>
              <w:ind w:firstLineChars="0" w:firstLine="0"/>
              <w:rPr>
                <w:sz w:val="21"/>
                <w:szCs w:val="21"/>
              </w:rPr>
            </w:pPr>
            <w:r w:rsidRPr="00E52243">
              <w:rPr>
                <w:sz w:val="21"/>
                <w:szCs w:val="21"/>
              </w:rPr>
              <w:t>自然灾害</w:t>
            </w:r>
          </w:p>
        </w:tc>
        <w:tc>
          <w:tcPr>
            <w:tcW w:w="2812" w:type="pct"/>
            <w:vAlign w:val="center"/>
          </w:tcPr>
          <w:p w14:paraId="2011A619" w14:textId="77777777" w:rsidR="00495C65" w:rsidRPr="00E52243" w:rsidRDefault="00495C65" w:rsidP="00E52243">
            <w:pPr>
              <w:pStyle w:val="13"/>
              <w:spacing w:line="240" w:lineRule="auto"/>
              <w:ind w:firstLineChars="0" w:firstLine="0"/>
              <w:rPr>
                <w:sz w:val="21"/>
                <w:szCs w:val="21"/>
              </w:rPr>
            </w:pPr>
            <w:r w:rsidRPr="00E52243">
              <w:rPr>
                <w:sz w:val="21"/>
                <w:szCs w:val="21"/>
              </w:rPr>
              <w:t>风暴潮、灾害性海浪与海啸等发生强度及频次。</w:t>
            </w:r>
          </w:p>
        </w:tc>
      </w:tr>
      <w:tr w:rsidR="00495C65" w:rsidRPr="00E52243" w14:paraId="4E5AE456" w14:textId="77777777" w:rsidTr="00E52243">
        <w:trPr>
          <w:trHeight w:val="978"/>
          <w:jc w:val="center"/>
        </w:trPr>
        <w:tc>
          <w:tcPr>
            <w:tcW w:w="858" w:type="pct"/>
            <w:vMerge/>
            <w:tcBorders>
              <w:top w:val="nil"/>
            </w:tcBorders>
            <w:vAlign w:val="center"/>
          </w:tcPr>
          <w:p w14:paraId="70DE3AB4"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187F0800" w14:textId="77777777" w:rsidR="00495C65" w:rsidRPr="00E52243" w:rsidRDefault="00495C65" w:rsidP="00E52243">
            <w:pPr>
              <w:pStyle w:val="13"/>
              <w:spacing w:line="240" w:lineRule="auto"/>
              <w:ind w:firstLineChars="0" w:firstLine="0"/>
              <w:rPr>
                <w:sz w:val="21"/>
                <w:szCs w:val="21"/>
              </w:rPr>
            </w:pPr>
            <w:r w:rsidRPr="00E52243">
              <w:rPr>
                <w:sz w:val="21"/>
                <w:szCs w:val="21"/>
              </w:rPr>
              <w:t>海洋环境质量</w:t>
            </w:r>
          </w:p>
        </w:tc>
        <w:tc>
          <w:tcPr>
            <w:tcW w:w="2812" w:type="pct"/>
            <w:vAlign w:val="center"/>
          </w:tcPr>
          <w:p w14:paraId="5C629E2C" w14:textId="77777777" w:rsidR="00495C65" w:rsidRPr="00E52243" w:rsidRDefault="00495C65" w:rsidP="00E52243">
            <w:pPr>
              <w:pStyle w:val="13"/>
              <w:spacing w:line="240" w:lineRule="auto"/>
              <w:ind w:firstLineChars="0" w:firstLine="0"/>
              <w:rPr>
                <w:sz w:val="21"/>
                <w:szCs w:val="21"/>
              </w:rPr>
            </w:pPr>
            <w:r w:rsidRPr="00E52243">
              <w:rPr>
                <w:sz w:val="21"/>
                <w:szCs w:val="21"/>
              </w:rPr>
              <w:t>综合考虑评估对象所在乡镇海岸地貌、海岸带环境质量、海洋水文与海域环境质量优劣度等，确定海洋环境质量指数。</w:t>
            </w:r>
          </w:p>
        </w:tc>
      </w:tr>
      <w:tr w:rsidR="00495C65" w:rsidRPr="00E52243" w14:paraId="2420E596" w14:textId="77777777" w:rsidTr="00E52243">
        <w:trPr>
          <w:trHeight w:val="326"/>
          <w:jc w:val="center"/>
        </w:trPr>
        <w:tc>
          <w:tcPr>
            <w:tcW w:w="858" w:type="pct"/>
            <w:vMerge/>
            <w:tcBorders>
              <w:top w:val="nil"/>
            </w:tcBorders>
            <w:vAlign w:val="center"/>
          </w:tcPr>
          <w:p w14:paraId="0FF695BB"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01DADC49" w14:textId="77777777" w:rsidR="00495C65" w:rsidRPr="00E52243" w:rsidRDefault="00495C65" w:rsidP="00E52243">
            <w:pPr>
              <w:pStyle w:val="13"/>
              <w:spacing w:line="240" w:lineRule="auto"/>
              <w:ind w:firstLineChars="0" w:firstLine="0"/>
              <w:rPr>
                <w:sz w:val="21"/>
                <w:szCs w:val="21"/>
              </w:rPr>
            </w:pPr>
            <w:r w:rsidRPr="00E52243">
              <w:rPr>
                <w:sz w:val="21"/>
                <w:szCs w:val="21"/>
              </w:rPr>
              <w:t>生产安全性</w:t>
            </w:r>
          </w:p>
        </w:tc>
        <w:tc>
          <w:tcPr>
            <w:tcW w:w="2812" w:type="pct"/>
            <w:vAlign w:val="center"/>
          </w:tcPr>
          <w:p w14:paraId="44419C95"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评估对象所处港湾掩护能力。</w:t>
            </w:r>
          </w:p>
        </w:tc>
      </w:tr>
    </w:tbl>
    <w:p w14:paraId="1D1473BA" w14:textId="77777777" w:rsidR="00495C65" w:rsidRDefault="00495C65" w:rsidP="00495C65">
      <w:pPr>
        <w:pStyle w:val="13"/>
        <w:ind w:firstLineChars="0" w:firstLine="0"/>
        <w:jc w:val="center"/>
      </w:pPr>
      <w:r w:rsidRPr="003571D1">
        <w:rPr>
          <w:rFonts w:hint="eastAsia"/>
        </w:rPr>
        <w:t>表</w:t>
      </w:r>
      <w:r w:rsidRPr="003571D1">
        <w:t>A.3 交通运输用</w:t>
      </w:r>
      <w:proofErr w:type="gramStart"/>
      <w:r w:rsidRPr="003571D1">
        <w:t>海价格</w:t>
      </w:r>
      <w:proofErr w:type="gramEnd"/>
      <w:r w:rsidRPr="003571D1">
        <w:t>修正因素和修正指标</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320"/>
        <w:gridCol w:w="4904"/>
      </w:tblGrid>
      <w:tr w:rsidR="00495C65" w:rsidRPr="00E52243" w14:paraId="5734A861" w14:textId="77777777" w:rsidTr="00E52243">
        <w:trPr>
          <w:trHeight w:val="489"/>
          <w:tblHeader/>
          <w:jc w:val="center"/>
        </w:trPr>
        <w:tc>
          <w:tcPr>
            <w:tcW w:w="858" w:type="pct"/>
            <w:vAlign w:val="center"/>
          </w:tcPr>
          <w:p w14:paraId="34A85DF1"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影响因素</w:t>
            </w:r>
          </w:p>
        </w:tc>
        <w:tc>
          <w:tcPr>
            <w:tcW w:w="1330" w:type="pct"/>
            <w:vAlign w:val="center"/>
          </w:tcPr>
          <w:p w14:paraId="3A28C94F"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影响指标</w:t>
            </w:r>
          </w:p>
        </w:tc>
        <w:tc>
          <w:tcPr>
            <w:tcW w:w="2812" w:type="pct"/>
            <w:vAlign w:val="center"/>
          </w:tcPr>
          <w:p w14:paraId="49BF9E9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说明</w:t>
            </w:r>
          </w:p>
        </w:tc>
      </w:tr>
      <w:tr w:rsidR="00495C65" w:rsidRPr="00E52243" w14:paraId="50B86464" w14:textId="77777777" w:rsidTr="00E52243">
        <w:trPr>
          <w:trHeight w:val="652"/>
          <w:jc w:val="center"/>
        </w:trPr>
        <w:tc>
          <w:tcPr>
            <w:tcW w:w="858" w:type="pct"/>
            <w:vMerge w:val="restart"/>
            <w:vAlign w:val="center"/>
          </w:tcPr>
          <w:p w14:paraId="1A2C65AF"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经济发展水平</w:t>
            </w:r>
          </w:p>
        </w:tc>
        <w:tc>
          <w:tcPr>
            <w:tcW w:w="1330" w:type="pct"/>
            <w:vAlign w:val="center"/>
          </w:tcPr>
          <w:p w14:paraId="3445B940"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海洋经济发达程度 </w:t>
            </w:r>
          </w:p>
        </w:tc>
        <w:tc>
          <w:tcPr>
            <w:tcW w:w="2812" w:type="pct"/>
            <w:vAlign w:val="center"/>
          </w:tcPr>
          <w:p w14:paraId="71E09B72"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评估对象所处乡镇海洋经济增加值占地区GDP 比重。 </w:t>
            </w:r>
          </w:p>
        </w:tc>
      </w:tr>
      <w:tr w:rsidR="00495C65" w:rsidRPr="00E52243" w14:paraId="56377F95" w14:textId="77777777" w:rsidTr="00E52243">
        <w:trPr>
          <w:trHeight w:val="326"/>
          <w:jc w:val="center"/>
        </w:trPr>
        <w:tc>
          <w:tcPr>
            <w:tcW w:w="858" w:type="pct"/>
            <w:vMerge/>
            <w:vAlign w:val="center"/>
          </w:tcPr>
          <w:p w14:paraId="4CF03375"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35F2F542"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乡镇经济发展水平 </w:t>
            </w:r>
          </w:p>
        </w:tc>
        <w:tc>
          <w:tcPr>
            <w:tcW w:w="2812" w:type="pct"/>
            <w:vAlign w:val="center"/>
          </w:tcPr>
          <w:p w14:paraId="44B7B214"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评估对象所处乡镇的人均GDP。 </w:t>
            </w:r>
          </w:p>
        </w:tc>
      </w:tr>
      <w:tr w:rsidR="00495C65" w:rsidRPr="00E52243" w14:paraId="1ABEAA67" w14:textId="77777777" w:rsidTr="00E52243">
        <w:trPr>
          <w:trHeight w:val="326"/>
          <w:jc w:val="center"/>
        </w:trPr>
        <w:tc>
          <w:tcPr>
            <w:tcW w:w="858" w:type="pct"/>
            <w:vMerge w:val="restart"/>
            <w:vAlign w:val="center"/>
          </w:tcPr>
          <w:p w14:paraId="2A265A8F"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区位条件</w:t>
            </w:r>
          </w:p>
        </w:tc>
        <w:tc>
          <w:tcPr>
            <w:tcW w:w="1330" w:type="pct"/>
            <w:vAlign w:val="center"/>
          </w:tcPr>
          <w:p w14:paraId="1C6CFB37"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与邻近乡镇中心距离 </w:t>
            </w:r>
          </w:p>
        </w:tc>
        <w:tc>
          <w:tcPr>
            <w:tcW w:w="2812" w:type="pct"/>
            <w:vAlign w:val="center"/>
          </w:tcPr>
          <w:p w14:paraId="1BEE299A"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评估对象与临近乡镇中心的距离。 </w:t>
            </w:r>
          </w:p>
        </w:tc>
      </w:tr>
      <w:tr w:rsidR="00495C65" w:rsidRPr="00E52243" w14:paraId="5DE7CFE8" w14:textId="77777777" w:rsidTr="00E52243">
        <w:trPr>
          <w:trHeight w:val="325"/>
          <w:jc w:val="center"/>
        </w:trPr>
        <w:tc>
          <w:tcPr>
            <w:tcW w:w="858" w:type="pct"/>
            <w:vMerge/>
            <w:vAlign w:val="center"/>
          </w:tcPr>
          <w:p w14:paraId="1F9BE066"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39FC7EA0"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距县城距离 </w:t>
            </w:r>
          </w:p>
        </w:tc>
        <w:tc>
          <w:tcPr>
            <w:tcW w:w="2812" w:type="pct"/>
            <w:vAlign w:val="center"/>
          </w:tcPr>
          <w:p w14:paraId="2692843D"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评估对象与临近县城中心的距离。 </w:t>
            </w:r>
          </w:p>
        </w:tc>
      </w:tr>
      <w:tr w:rsidR="00495C65" w:rsidRPr="00E52243" w14:paraId="153017CF" w14:textId="77777777" w:rsidTr="00E52243">
        <w:trPr>
          <w:trHeight w:val="325"/>
          <w:jc w:val="center"/>
        </w:trPr>
        <w:tc>
          <w:tcPr>
            <w:tcW w:w="858" w:type="pct"/>
            <w:vMerge/>
            <w:vAlign w:val="center"/>
          </w:tcPr>
          <w:p w14:paraId="211FD684"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5D755A9F"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乡镇在县城中地位 </w:t>
            </w:r>
          </w:p>
        </w:tc>
        <w:tc>
          <w:tcPr>
            <w:tcW w:w="2812" w:type="pct"/>
            <w:vAlign w:val="center"/>
          </w:tcPr>
          <w:p w14:paraId="7A226957"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所在乡镇在管辖县域中的影响力。 </w:t>
            </w:r>
          </w:p>
        </w:tc>
      </w:tr>
      <w:tr w:rsidR="00495C65" w:rsidRPr="00E52243" w14:paraId="06034828" w14:textId="77777777" w:rsidTr="00E52243">
        <w:trPr>
          <w:trHeight w:val="325"/>
          <w:jc w:val="center"/>
        </w:trPr>
        <w:tc>
          <w:tcPr>
            <w:tcW w:w="858" w:type="pct"/>
            <w:vMerge w:val="restart"/>
            <w:vAlign w:val="center"/>
          </w:tcPr>
          <w:p w14:paraId="710E1492"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交通条件</w:t>
            </w:r>
          </w:p>
        </w:tc>
        <w:tc>
          <w:tcPr>
            <w:tcW w:w="1330" w:type="pct"/>
            <w:vAlign w:val="center"/>
          </w:tcPr>
          <w:p w14:paraId="443823F8" w14:textId="77777777" w:rsidR="00495C65" w:rsidRPr="00E52243" w:rsidRDefault="00495C65" w:rsidP="00E52243">
            <w:pPr>
              <w:pStyle w:val="13"/>
              <w:spacing w:line="240" w:lineRule="auto"/>
              <w:ind w:firstLineChars="0" w:firstLine="0"/>
              <w:rPr>
                <w:sz w:val="21"/>
                <w:szCs w:val="21"/>
              </w:rPr>
            </w:pPr>
            <w:r w:rsidRPr="00E52243">
              <w:rPr>
                <w:sz w:val="21"/>
                <w:szCs w:val="21"/>
              </w:rPr>
              <w:t>宗海临</w:t>
            </w:r>
            <w:proofErr w:type="gramStart"/>
            <w:r w:rsidRPr="00E52243">
              <w:rPr>
                <w:sz w:val="21"/>
                <w:szCs w:val="21"/>
              </w:rPr>
              <w:t>路条件</w:t>
            </w:r>
            <w:proofErr w:type="gramEnd"/>
            <w:r w:rsidRPr="00E52243">
              <w:rPr>
                <w:sz w:val="21"/>
                <w:szCs w:val="21"/>
              </w:rPr>
              <w:t xml:space="preserve"> </w:t>
            </w:r>
          </w:p>
        </w:tc>
        <w:tc>
          <w:tcPr>
            <w:tcW w:w="2812" w:type="pct"/>
            <w:vAlign w:val="center"/>
          </w:tcPr>
          <w:p w14:paraId="38C8AF8B"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评估对象与周边道路的连接程度。 </w:t>
            </w:r>
          </w:p>
        </w:tc>
      </w:tr>
      <w:tr w:rsidR="00495C65" w:rsidRPr="00E52243" w14:paraId="1932CE7D" w14:textId="77777777" w:rsidTr="00E52243">
        <w:trPr>
          <w:trHeight w:val="326"/>
          <w:jc w:val="center"/>
        </w:trPr>
        <w:tc>
          <w:tcPr>
            <w:tcW w:w="858" w:type="pct"/>
            <w:vMerge/>
            <w:vAlign w:val="center"/>
          </w:tcPr>
          <w:p w14:paraId="46F3E625"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15D0FB73"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宗海临港条件 </w:t>
            </w:r>
          </w:p>
        </w:tc>
        <w:tc>
          <w:tcPr>
            <w:tcW w:w="2812" w:type="pct"/>
            <w:vAlign w:val="center"/>
          </w:tcPr>
          <w:p w14:paraId="0D4B34BC"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评估对象与大型港口的距离。 </w:t>
            </w:r>
          </w:p>
        </w:tc>
      </w:tr>
      <w:tr w:rsidR="00495C65" w:rsidRPr="00E52243" w14:paraId="3F231B1D" w14:textId="77777777" w:rsidTr="00E52243">
        <w:trPr>
          <w:trHeight w:val="652"/>
          <w:jc w:val="center"/>
        </w:trPr>
        <w:tc>
          <w:tcPr>
            <w:tcW w:w="858" w:type="pct"/>
            <w:vMerge w:val="restart"/>
            <w:vAlign w:val="center"/>
          </w:tcPr>
          <w:p w14:paraId="4D28621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基础设施条件</w:t>
            </w:r>
          </w:p>
        </w:tc>
        <w:tc>
          <w:tcPr>
            <w:tcW w:w="1330" w:type="pct"/>
            <w:vAlign w:val="center"/>
          </w:tcPr>
          <w:p w14:paraId="214897B4"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基础设施完善度 </w:t>
            </w:r>
          </w:p>
        </w:tc>
        <w:tc>
          <w:tcPr>
            <w:tcW w:w="2812" w:type="pct"/>
            <w:vAlign w:val="center"/>
          </w:tcPr>
          <w:p w14:paraId="78F08B76"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道路、供水、排水、供电、供气、供热、通讯等基础设施的齐全性及保证率。 </w:t>
            </w:r>
          </w:p>
        </w:tc>
      </w:tr>
      <w:tr w:rsidR="00495C65" w:rsidRPr="00E52243" w14:paraId="4879F171" w14:textId="77777777" w:rsidTr="00E52243">
        <w:trPr>
          <w:trHeight w:val="325"/>
          <w:jc w:val="center"/>
        </w:trPr>
        <w:tc>
          <w:tcPr>
            <w:tcW w:w="858" w:type="pct"/>
            <w:vMerge/>
            <w:vAlign w:val="center"/>
          </w:tcPr>
          <w:p w14:paraId="40D3FB15"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1F541C6A"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区域公用设施方便度 </w:t>
            </w:r>
          </w:p>
        </w:tc>
        <w:tc>
          <w:tcPr>
            <w:tcW w:w="2812" w:type="pct"/>
            <w:vAlign w:val="center"/>
          </w:tcPr>
          <w:p w14:paraId="78D2C26E"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公用设施的完善度及距离的远近。 </w:t>
            </w:r>
          </w:p>
        </w:tc>
      </w:tr>
      <w:tr w:rsidR="00495C65" w:rsidRPr="00E52243" w14:paraId="069C2CBE" w14:textId="77777777" w:rsidTr="00E52243">
        <w:trPr>
          <w:trHeight w:val="652"/>
          <w:jc w:val="center"/>
        </w:trPr>
        <w:tc>
          <w:tcPr>
            <w:tcW w:w="858" w:type="pct"/>
            <w:vMerge/>
            <w:vAlign w:val="center"/>
          </w:tcPr>
          <w:p w14:paraId="09306315"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2055C6BE"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港口设施完善度 </w:t>
            </w:r>
          </w:p>
        </w:tc>
        <w:tc>
          <w:tcPr>
            <w:tcW w:w="2812" w:type="pct"/>
            <w:vAlign w:val="center"/>
          </w:tcPr>
          <w:p w14:paraId="15B61DA6"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堆场、航道、锚地、海关、海事和商检等配套设施完善程度。 </w:t>
            </w:r>
          </w:p>
        </w:tc>
      </w:tr>
      <w:tr w:rsidR="00495C65" w:rsidRPr="00E52243" w14:paraId="162F7794" w14:textId="77777777" w:rsidTr="00E52243">
        <w:trPr>
          <w:trHeight w:val="651"/>
          <w:jc w:val="center"/>
        </w:trPr>
        <w:tc>
          <w:tcPr>
            <w:tcW w:w="858" w:type="pct"/>
            <w:vMerge w:val="restart"/>
            <w:vAlign w:val="center"/>
          </w:tcPr>
          <w:p w14:paraId="306D3AC8"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港口生产能力</w:t>
            </w:r>
          </w:p>
        </w:tc>
        <w:tc>
          <w:tcPr>
            <w:tcW w:w="1330" w:type="pct"/>
            <w:vAlign w:val="center"/>
          </w:tcPr>
          <w:p w14:paraId="6974E89D"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港口年吞吐量 </w:t>
            </w:r>
          </w:p>
        </w:tc>
        <w:tc>
          <w:tcPr>
            <w:tcW w:w="2812" w:type="pct"/>
            <w:vAlign w:val="center"/>
          </w:tcPr>
          <w:p w14:paraId="450CC6B2"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评估对象所属港口一年间经水运输出、输入港区并经过装卸作业的货物总量。 </w:t>
            </w:r>
          </w:p>
        </w:tc>
      </w:tr>
      <w:tr w:rsidR="00495C65" w:rsidRPr="00E52243" w14:paraId="4D54D124" w14:textId="77777777" w:rsidTr="00E52243">
        <w:trPr>
          <w:trHeight w:val="325"/>
          <w:jc w:val="center"/>
        </w:trPr>
        <w:tc>
          <w:tcPr>
            <w:tcW w:w="858" w:type="pct"/>
            <w:vMerge/>
            <w:vAlign w:val="center"/>
          </w:tcPr>
          <w:p w14:paraId="360B253C"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64A038AD"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码头建设规模 </w:t>
            </w:r>
          </w:p>
        </w:tc>
        <w:tc>
          <w:tcPr>
            <w:tcW w:w="2812" w:type="pct"/>
            <w:vAlign w:val="center"/>
          </w:tcPr>
          <w:p w14:paraId="71AB226E"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泊位的数量和大小。 </w:t>
            </w:r>
          </w:p>
        </w:tc>
      </w:tr>
      <w:tr w:rsidR="00495C65" w:rsidRPr="00E52243" w14:paraId="72E9AF56" w14:textId="77777777" w:rsidTr="00E52243">
        <w:trPr>
          <w:trHeight w:val="326"/>
          <w:jc w:val="center"/>
        </w:trPr>
        <w:tc>
          <w:tcPr>
            <w:tcW w:w="858" w:type="pct"/>
            <w:vMerge/>
            <w:vAlign w:val="center"/>
          </w:tcPr>
          <w:p w14:paraId="49E84398"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6E75FF2C"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港口等级 </w:t>
            </w:r>
          </w:p>
        </w:tc>
        <w:tc>
          <w:tcPr>
            <w:tcW w:w="2812" w:type="pct"/>
            <w:vAlign w:val="center"/>
          </w:tcPr>
          <w:p w14:paraId="3FCB3CD6"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评估对象所属港口的级别或者定位。 </w:t>
            </w:r>
          </w:p>
        </w:tc>
      </w:tr>
      <w:tr w:rsidR="00495C65" w:rsidRPr="00E52243" w14:paraId="560397C0" w14:textId="77777777" w:rsidTr="00E52243">
        <w:trPr>
          <w:trHeight w:val="326"/>
          <w:jc w:val="center"/>
        </w:trPr>
        <w:tc>
          <w:tcPr>
            <w:tcW w:w="858" w:type="pct"/>
            <w:vAlign w:val="center"/>
          </w:tcPr>
          <w:p w14:paraId="09F86F08"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区划与规划</w:t>
            </w:r>
          </w:p>
        </w:tc>
        <w:tc>
          <w:tcPr>
            <w:tcW w:w="1330" w:type="pct"/>
            <w:vAlign w:val="center"/>
          </w:tcPr>
          <w:p w14:paraId="1AC831E4"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区域海域利用限制 </w:t>
            </w:r>
          </w:p>
        </w:tc>
        <w:tc>
          <w:tcPr>
            <w:tcW w:w="2812" w:type="pct"/>
            <w:vAlign w:val="center"/>
          </w:tcPr>
          <w:p w14:paraId="0D2EC336"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评估对象对海域利用类型、利用强度的限制程度。 </w:t>
            </w:r>
          </w:p>
        </w:tc>
      </w:tr>
      <w:tr w:rsidR="00495C65" w:rsidRPr="00E52243" w14:paraId="4BCF335F" w14:textId="77777777" w:rsidTr="00E52243">
        <w:trPr>
          <w:trHeight w:val="325"/>
          <w:jc w:val="center"/>
        </w:trPr>
        <w:tc>
          <w:tcPr>
            <w:tcW w:w="858" w:type="pct"/>
            <w:vMerge w:val="restart"/>
            <w:vAlign w:val="center"/>
          </w:tcPr>
          <w:p w14:paraId="62E1963C"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宗海条件</w:t>
            </w:r>
          </w:p>
        </w:tc>
        <w:tc>
          <w:tcPr>
            <w:tcW w:w="1330" w:type="pct"/>
            <w:vAlign w:val="center"/>
          </w:tcPr>
          <w:p w14:paraId="034D74CF"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水深状况 </w:t>
            </w:r>
          </w:p>
        </w:tc>
        <w:tc>
          <w:tcPr>
            <w:tcW w:w="2812" w:type="pct"/>
            <w:vAlign w:val="center"/>
          </w:tcPr>
          <w:p w14:paraId="4D86EA16"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评估对象海平面到其海床的最大垂直距离。 </w:t>
            </w:r>
          </w:p>
        </w:tc>
      </w:tr>
      <w:tr w:rsidR="00495C65" w:rsidRPr="00E52243" w14:paraId="2BE043AB" w14:textId="77777777" w:rsidTr="00E52243">
        <w:trPr>
          <w:trHeight w:val="326"/>
          <w:jc w:val="center"/>
        </w:trPr>
        <w:tc>
          <w:tcPr>
            <w:tcW w:w="858" w:type="pct"/>
            <w:vMerge/>
            <w:vAlign w:val="center"/>
          </w:tcPr>
          <w:p w14:paraId="66F2AB23"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069C3F93"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锚地条件 </w:t>
            </w:r>
          </w:p>
        </w:tc>
        <w:tc>
          <w:tcPr>
            <w:tcW w:w="2812" w:type="pct"/>
            <w:vAlign w:val="center"/>
          </w:tcPr>
          <w:p w14:paraId="333FA66C"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适宜于船舶锚泊的水域宽窄。 </w:t>
            </w:r>
          </w:p>
        </w:tc>
      </w:tr>
      <w:tr w:rsidR="00495C65" w:rsidRPr="00E52243" w14:paraId="34AA25A4" w14:textId="77777777" w:rsidTr="00E52243">
        <w:trPr>
          <w:trHeight w:val="325"/>
          <w:jc w:val="center"/>
        </w:trPr>
        <w:tc>
          <w:tcPr>
            <w:tcW w:w="858" w:type="pct"/>
            <w:vMerge/>
            <w:vAlign w:val="center"/>
          </w:tcPr>
          <w:p w14:paraId="5590C712"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2E31D01D"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泥沙淤积状况 </w:t>
            </w:r>
          </w:p>
        </w:tc>
        <w:tc>
          <w:tcPr>
            <w:tcW w:w="2812" w:type="pct"/>
            <w:vAlign w:val="center"/>
          </w:tcPr>
          <w:p w14:paraId="4809A274"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评估对象泥沙淤积厚度。 </w:t>
            </w:r>
          </w:p>
        </w:tc>
      </w:tr>
      <w:tr w:rsidR="00495C65" w:rsidRPr="00E52243" w14:paraId="3C3DD17A" w14:textId="77777777" w:rsidTr="00E52243">
        <w:trPr>
          <w:trHeight w:val="652"/>
          <w:jc w:val="center"/>
        </w:trPr>
        <w:tc>
          <w:tcPr>
            <w:tcW w:w="858" w:type="pct"/>
            <w:vMerge/>
            <w:vAlign w:val="center"/>
          </w:tcPr>
          <w:p w14:paraId="7E72D4D3"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165B9119"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地形地貌 </w:t>
            </w:r>
          </w:p>
        </w:tc>
        <w:tc>
          <w:tcPr>
            <w:tcW w:w="2812" w:type="pct"/>
            <w:vAlign w:val="center"/>
          </w:tcPr>
          <w:p w14:paraId="51DA3C08"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评估对象海底平面形状对海上设施建设的影响程度。</w:t>
            </w:r>
          </w:p>
        </w:tc>
      </w:tr>
      <w:tr w:rsidR="00495C65" w:rsidRPr="00E52243" w14:paraId="0D7580EB" w14:textId="77777777" w:rsidTr="00E52243">
        <w:trPr>
          <w:trHeight w:val="652"/>
          <w:jc w:val="center"/>
        </w:trPr>
        <w:tc>
          <w:tcPr>
            <w:tcW w:w="858" w:type="pct"/>
            <w:vMerge/>
            <w:vAlign w:val="center"/>
          </w:tcPr>
          <w:p w14:paraId="2A9A159B"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743B9E71"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地质条件 </w:t>
            </w:r>
          </w:p>
        </w:tc>
        <w:tc>
          <w:tcPr>
            <w:tcW w:w="2812" w:type="pct"/>
            <w:vAlign w:val="center"/>
          </w:tcPr>
          <w:p w14:paraId="2E3A4BAA"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评估对象地质承载力的强弱及对海上设施建设影响的程度。 </w:t>
            </w:r>
          </w:p>
        </w:tc>
      </w:tr>
      <w:tr w:rsidR="00495C65" w:rsidRPr="00E52243" w14:paraId="46A8E165" w14:textId="77777777" w:rsidTr="00E52243">
        <w:trPr>
          <w:trHeight w:val="651"/>
          <w:jc w:val="center"/>
        </w:trPr>
        <w:tc>
          <w:tcPr>
            <w:tcW w:w="858" w:type="pct"/>
            <w:vMerge/>
            <w:vAlign w:val="center"/>
          </w:tcPr>
          <w:p w14:paraId="6FDF67C6"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689CFDCE"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作业天数 </w:t>
            </w:r>
          </w:p>
        </w:tc>
        <w:tc>
          <w:tcPr>
            <w:tcW w:w="2812" w:type="pct"/>
            <w:vAlign w:val="center"/>
          </w:tcPr>
          <w:p w14:paraId="69C1B0CF"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通过对风、雨、雾、浪等气象水文资料的统计分析确定适宜港口作业天数。 </w:t>
            </w:r>
          </w:p>
        </w:tc>
      </w:tr>
      <w:tr w:rsidR="00495C65" w:rsidRPr="00E52243" w14:paraId="69A07943" w14:textId="77777777" w:rsidTr="00E52243">
        <w:trPr>
          <w:trHeight w:val="327"/>
          <w:jc w:val="center"/>
        </w:trPr>
        <w:tc>
          <w:tcPr>
            <w:tcW w:w="858" w:type="pct"/>
            <w:vMerge/>
            <w:vAlign w:val="center"/>
          </w:tcPr>
          <w:p w14:paraId="57DBC49E" w14:textId="77777777" w:rsidR="00495C65" w:rsidRPr="00E52243" w:rsidRDefault="00495C65" w:rsidP="00E52243">
            <w:pPr>
              <w:pStyle w:val="13"/>
              <w:spacing w:line="240" w:lineRule="auto"/>
              <w:ind w:firstLineChars="0" w:firstLine="0"/>
              <w:jc w:val="center"/>
              <w:rPr>
                <w:sz w:val="21"/>
                <w:szCs w:val="21"/>
              </w:rPr>
            </w:pPr>
          </w:p>
        </w:tc>
        <w:tc>
          <w:tcPr>
            <w:tcW w:w="1330" w:type="pct"/>
            <w:vAlign w:val="center"/>
          </w:tcPr>
          <w:p w14:paraId="2512D4F1"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生产安全性 </w:t>
            </w:r>
          </w:p>
        </w:tc>
        <w:tc>
          <w:tcPr>
            <w:tcW w:w="2812" w:type="pct"/>
            <w:vAlign w:val="center"/>
          </w:tcPr>
          <w:p w14:paraId="5E7FD879"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评估对象所处港湾掩护能力。 </w:t>
            </w:r>
          </w:p>
        </w:tc>
      </w:tr>
    </w:tbl>
    <w:p w14:paraId="4C590157" w14:textId="77777777" w:rsidR="00495C65" w:rsidRDefault="00495C65" w:rsidP="00495C65">
      <w:pPr>
        <w:pStyle w:val="13"/>
        <w:ind w:firstLineChars="0" w:firstLine="0"/>
        <w:jc w:val="center"/>
      </w:pPr>
      <w:r w:rsidRPr="00DA75F9">
        <w:rPr>
          <w:rFonts w:hint="eastAsia"/>
        </w:rPr>
        <w:t>表</w:t>
      </w:r>
      <w:r w:rsidRPr="00DA75F9">
        <w:t>A.4 旅游娱乐用海修正因素和修正指标</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2314"/>
        <w:gridCol w:w="4906"/>
      </w:tblGrid>
      <w:tr w:rsidR="00495C65" w:rsidRPr="00E52243" w14:paraId="21C20D09" w14:textId="77777777" w:rsidTr="00E52243">
        <w:trPr>
          <w:trHeight w:val="489"/>
          <w:tblHeader/>
          <w:jc w:val="center"/>
        </w:trPr>
        <w:tc>
          <w:tcPr>
            <w:tcW w:w="860" w:type="pct"/>
            <w:vAlign w:val="center"/>
          </w:tcPr>
          <w:p w14:paraId="0D954611"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影响因素</w:t>
            </w:r>
          </w:p>
        </w:tc>
        <w:tc>
          <w:tcPr>
            <w:tcW w:w="1327" w:type="pct"/>
            <w:vAlign w:val="center"/>
          </w:tcPr>
          <w:p w14:paraId="32ADBD63"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影响指标</w:t>
            </w:r>
          </w:p>
        </w:tc>
        <w:tc>
          <w:tcPr>
            <w:tcW w:w="2813" w:type="pct"/>
            <w:vAlign w:val="center"/>
          </w:tcPr>
          <w:p w14:paraId="4E47562E"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说明</w:t>
            </w:r>
          </w:p>
        </w:tc>
      </w:tr>
      <w:tr w:rsidR="00495C65" w:rsidRPr="00E52243" w14:paraId="7EA94DFD" w14:textId="77777777" w:rsidTr="00E52243">
        <w:trPr>
          <w:trHeight w:val="651"/>
          <w:jc w:val="center"/>
        </w:trPr>
        <w:tc>
          <w:tcPr>
            <w:tcW w:w="860" w:type="pct"/>
            <w:vMerge w:val="restart"/>
            <w:vAlign w:val="center"/>
          </w:tcPr>
          <w:p w14:paraId="2C7AE272"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经济发展水平</w:t>
            </w:r>
          </w:p>
        </w:tc>
        <w:tc>
          <w:tcPr>
            <w:tcW w:w="1327" w:type="pct"/>
            <w:vAlign w:val="center"/>
          </w:tcPr>
          <w:p w14:paraId="014DF088" w14:textId="77777777" w:rsidR="00495C65" w:rsidRPr="00E52243" w:rsidRDefault="00495C65" w:rsidP="00E52243">
            <w:pPr>
              <w:pStyle w:val="13"/>
              <w:spacing w:line="240" w:lineRule="auto"/>
              <w:ind w:firstLineChars="0" w:firstLine="0"/>
              <w:rPr>
                <w:sz w:val="21"/>
                <w:szCs w:val="21"/>
              </w:rPr>
            </w:pPr>
            <w:r w:rsidRPr="00E52243">
              <w:rPr>
                <w:sz w:val="21"/>
                <w:szCs w:val="21"/>
              </w:rPr>
              <w:t>海洋经济发达程度</w:t>
            </w:r>
          </w:p>
        </w:tc>
        <w:tc>
          <w:tcPr>
            <w:tcW w:w="2813" w:type="pct"/>
            <w:vAlign w:val="center"/>
          </w:tcPr>
          <w:p w14:paraId="26113EF7"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评估对象所处乡镇海洋经济增加值占地区GDP比重。 </w:t>
            </w:r>
          </w:p>
        </w:tc>
      </w:tr>
      <w:tr w:rsidR="00495C65" w:rsidRPr="00E52243" w14:paraId="176158B2" w14:textId="77777777" w:rsidTr="00E52243">
        <w:trPr>
          <w:trHeight w:val="325"/>
          <w:jc w:val="center"/>
        </w:trPr>
        <w:tc>
          <w:tcPr>
            <w:tcW w:w="860" w:type="pct"/>
            <w:vMerge/>
            <w:vAlign w:val="center"/>
          </w:tcPr>
          <w:p w14:paraId="4021DA75"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6DC6A02E"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乡镇经济发展水平 </w:t>
            </w:r>
          </w:p>
        </w:tc>
        <w:tc>
          <w:tcPr>
            <w:tcW w:w="2813" w:type="pct"/>
            <w:vAlign w:val="center"/>
          </w:tcPr>
          <w:p w14:paraId="77FBF134"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评估对象所处乡镇的人均GDP。 </w:t>
            </w:r>
          </w:p>
        </w:tc>
      </w:tr>
      <w:tr w:rsidR="00495C65" w:rsidRPr="00E52243" w14:paraId="6891ED72" w14:textId="77777777" w:rsidTr="00E52243">
        <w:trPr>
          <w:trHeight w:val="326"/>
          <w:jc w:val="center"/>
        </w:trPr>
        <w:tc>
          <w:tcPr>
            <w:tcW w:w="860" w:type="pct"/>
            <w:vMerge w:val="restart"/>
            <w:vAlign w:val="center"/>
          </w:tcPr>
          <w:p w14:paraId="0C94616F"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区位条件</w:t>
            </w:r>
          </w:p>
        </w:tc>
        <w:tc>
          <w:tcPr>
            <w:tcW w:w="1327" w:type="pct"/>
            <w:vAlign w:val="center"/>
          </w:tcPr>
          <w:p w14:paraId="336A9EB7"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与邻近乡镇中心距离 </w:t>
            </w:r>
          </w:p>
        </w:tc>
        <w:tc>
          <w:tcPr>
            <w:tcW w:w="2813" w:type="pct"/>
            <w:vAlign w:val="center"/>
          </w:tcPr>
          <w:p w14:paraId="1C579F96"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评估对象与临近乡镇中心的距离。 </w:t>
            </w:r>
          </w:p>
        </w:tc>
      </w:tr>
      <w:tr w:rsidR="00495C65" w:rsidRPr="00E52243" w14:paraId="5AE646D3" w14:textId="77777777" w:rsidTr="00E52243">
        <w:trPr>
          <w:trHeight w:val="326"/>
          <w:jc w:val="center"/>
        </w:trPr>
        <w:tc>
          <w:tcPr>
            <w:tcW w:w="860" w:type="pct"/>
            <w:vMerge/>
            <w:vAlign w:val="center"/>
          </w:tcPr>
          <w:p w14:paraId="414F11D8"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116C66BC"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距县城距离 </w:t>
            </w:r>
          </w:p>
        </w:tc>
        <w:tc>
          <w:tcPr>
            <w:tcW w:w="2813" w:type="pct"/>
            <w:vAlign w:val="center"/>
          </w:tcPr>
          <w:p w14:paraId="06ADF6EB"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评估对象与临近县城中心的距离。 </w:t>
            </w:r>
          </w:p>
        </w:tc>
      </w:tr>
      <w:tr w:rsidR="00495C65" w:rsidRPr="00E52243" w14:paraId="2A4E5FE6" w14:textId="77777777" w:rsidTr="00E52243">
        <w:trPr>
          <w:trHeight w:val="326"/>
          <w:jc w:val="center"/>
        </w:trPr>
        <w:tc>
          <w:tcPr>
            <w:tcW w:w="860" w:type="pct"/>
            <w:vMerge/>
            <w:vAlign w:val="center"/>
          </w:tcPr>
          <w:p w14:paraId="4F37E1FF"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2DE5C935"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乡镇在县城中地位 </w:t>
            </w:r>
          </w:p>
        </w:tc>
        <w:tc>
          <w:tcPr>
            <w:tcW w:w="2813" w:type="pct"/>
            <w:vAlign w:val="center"/>
          </w:tcPr>
          <w:p w14:paraId="6364BA5D"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所在乡镇在管辖县域中的影响力。 </w:t>
            </w:r>
          </w:p>
        </w:tc>
      </w:tr>
      <w:tr w:rsidR="00495C65" w:rsidRPr="00E52243" w14:paraId="6EFA706E" w14:textId="77777777" w:rsidTr="00E52243">
        <w:trPr>
          <w:trHeight w:val="325"/>
          <w:jc w:val="center"/>
        </w:trPr>
        <w:tc>
          <w:tcPr>
            <w:tcW w:w="860" w:type="pct"/>
            <w:vMerge w:val="restart"/>
            <w:vAlign w:val="center"/>
          </w:tcPr>
          <w:p w14:paraId="1BC1B36E"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交通条件</w:t>
            </w:r>
          </w:p>
        </w:tc>
        <w:tc>
          <w:tcPr>
            <w:tcW w:w="1327" w:type="pct"/>
            <w:vAlign w:val="center"/>
          </w:tcPr>
          <w:p w14:paraId="710D3144" w14:textId="77777777" w:rsidR="00495C65" w:rsidRPr="00E52243" w:rsidRDefault="00495C65" w:rsidP="00E52243">
            <w:pPr>
              <w:pStyle w:val="13"/>
              <w:spacing w:line="240" w:lineRule="auto"/>
              <w:ind w:firstLineChars="0" w:firstLine="0"/>
              <w:rPr>
                <w:sz w:val="21"/>
                <w:szCs w:val="21"/>
              </w:rPr>
            </w:pPr>
            <w:r w:rsidRPr="00E52243">
              <w:rPr>
                <w:sz w:val="21"/>
                <w:szCs w:val="21"/>
              </w:rPr>
              <w:t>宗海临</w:t>
            </w:r>
            <w:proofErr w:type="gramStart"/>
            <w:r w:rsidRPr="00E52243">
              <w:rPr>
                <w:sz w:val="21"/>
                <w:szCs w:val="21"/>
              </w:rPr>
              <w:t>路条件</w:t>
            </w:r>
            <w:proofErr w:type="gramEnd"/>
            <w:r w:rsidRPr="00E52243">
              <w:rPr>
                <w:sz w:val="21"/>
                <w:szCs w:val="21"/>
              </w:rPr>
              <w:t xml:space="preserve"> </w:t>
            </w:r>
          </w:p>
        </w:tc>
        <w:tc>
          <w:tcPr>
            <w:tcW w:w="2813" w:type="pct"/>
            <w:vAlign w:val="center"/>
          </w:tcPr>
          <w:p w14:paraId="2227E149"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评估对象与周边道路的连接程度。 </w:t>
            </w:r>
          </w:p>
        </w:tc>
      </w:tr>
      <w:tr w:rsidR="00495C65" w:rsidRPr="00E52243" w14:paraId="549165E5" w14:textId="77777777" w:rsidTr="00E52243">
        <w:trPr>
          <w:trHeight w:val="325"/>
          <w:jc w:val="center"/>
        </w:trPr>
        <w:tc>
          <w:tcPr>
            <w:tcW w:w="860" w:type="pct"/>
            <w:vMerge/>
            <w:vAlign w:val="center"/>
          </w:tcPr>
          <w:p w14:paraId="18B80DAC"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67F12D90"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宗海临港条件 </w:t>
            </w:r>
          </w:p>
        </w:tc>
        <w:tc>
          <w:tcPr>
            <w:tcW w:w="2813" w:type="pct"/>
            <w:vAlign w:val="center"/>
          </w:tcPr>
          <w:p w14:paraId="2A6DE25A"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评估对象与大型港口的距离。 </w:t>
            </w:r>
          </w:p>
        </w:tc>
      </w:tr>
      <w:tr w:rsidR="00495C65" w:rsidRPr="00E52243" w14:paraId="2FC0D726" w14:textId="77777777" w:rsidTr="00E52243">
        <w:trPr>
          <w:trHeight w:val="652"/>
          <w:jc w:val="center"/>
        </w:trPr>
        <w:tc>
          <w:tcPr>
            <w:tcW w:w="860" w:type="pct"/>
            <w:vMerge w:val="restart"/>
            <w:vAlign w:val="center"/>
          </w:tcPr>
          <w:p w14:paraId="68FEDBCE"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基础设施条件</w:t>
            </w:r>
          </w:p>
        </w:tc>
        <w:tc>
          <w:tcPr>
            <w:tcW w:w="1327" w:type="pct"/>
            <w:vAlign w:val="center"/>
          </w:tcPr>
          <w:p w14:paraId="144350F8"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基础设施完善度 </w:t>
            </w:r>
          </w:p>
        </w:tc>
        <w:tc>
          <w:tcPr>
            <w:tcW w:w="2813" w:type="pct"/>
            <w:vAlign w:val="center"/>
          </w:tcPr>
          <w:p w14:paraId="7585F97B"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道路、供水、排水、供电、供气、供热、通讯等基础设施的齐全性及保证率。 </w:t>
            </w:r>
          </w:p>
        </w:tc>
      </w:tr>
      <w:tr w:rsidR="00495C65" w:rsidRPr="00E52243" w14:paraId="0ADBFB93" w14:textId="77777777" w:rsidTr="00E52243">
        <w:trPr>
          <w:trHeight w:val="326"/>
          <w:jc w:val="center"/>
        </w:trPr>
        <w:tc>
          <w:tcPr>
            <w:tcW w:w="860" w:type="pct"/>
            <w:vMerge/>
            <w:vAlign w:val="center"/>
          </w:tcPr>
          <w:p w14:paraId="140AA333"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77239F8F"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区域公用设施方便度 </w:t>
            </w:r>
          </w:p>
        </w:tc>
        <w:tc>
          <w:tcPr>
            <w:tcW w:w="2813" w:type="pct"/>
            <w:vAlign w:val="center"/>
          </w:tcPr>
          <w:p w14:paraId="2CAD2E75"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公用设施的完善度及距离的远近。 </w:t>
            </w:r>
          </w:p>
        </w:tc>
      </w:tr>
      <w:tr w:rsidR="00495C65" w:rsidRPr="00E52243" w14:paraId="118C88DA" w14:textId="77777777" w:rsidTr="00E52243">
        <w:trPr>
          <w:trHeight w:val="652"/>
          <w:jc w:val="center"/>
        </w:trPr>
        <w:tc>
          <w:tcPr>
            <w:tcW w:w="860" w:type="pct"/>
            <w:vMerge/>
            <w:vAlign w:val="center"/>
          </w:tcPr>
          <w:p w14:paraId="344EEB4E"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52A5CBF4"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旅游设施完善度 </w:t>
            </w:r>
          </w:p>
        </w:tc>
        <w:tc>
          <w:tcPr>
            <w:tcW w:w="2813" w:type="pct"/>
            <w:vAlign w:val="center"/>
          </w:tcPr>
          <w:p w14:paraId="3D8E2775"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宾馆饭店的等级、数量和接待能力以及旅游娱乐设施项目数量等。 </w:t>
            </w:r>
          </w:p>
        </w:tc>
      </w:tr>
      <w:tr w:rsidR="00495C65" w:rsidRPr="00E52243" w14:paraId="0A3FA168" w14:textId="77777777" w:rsidTr="00E52243">
        <w:trPr>
          <w:trHeight w:val="652"/>
          <w:jc w:val="center"/>
        </w:trPr>
        <w:tc>
          <w:tcPr>
            <w:tcW w:w="860" w:type="pct"/>
            <w:vMerge w:val="restart"/>
            <w:vAlign w:val="center"/>
          </w:tcPr>
          <w:p w14:paraId="576AC266"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旅游资源条件</w:t>
            </w:r>
          </w:p>
        </w:tc>
        <w:tc>
          <w:tcPr>
            <w:tcW w:w="1327" w:type="pct"/>
            <w:vAlign w:val="center"/>
          </w:tcPr>
          <w:p w14:paraId="35B0AD87"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旅游区级别指数 </w:t>
            </w:r>
          </w:p>
        </w:tc>
        <w:tc>
          <w:tcPr>
            <w:tcW w:w="2813" w:type="pct"/>
            <w:vAlign w:val="center"/>
          </w:tcPr>
          <w:p w14:paraId="55FDF227"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综合考虑评估对象周边各等级景区数量与质量等级，确定旅游区级别平均指数。 </w:t>
            </w:r>
          </w:p>
        </w:tc>
      </w:tr>
      <w:tr w:rsidR="00495C65" w:rsidRPr="00E52243" w14:paraId="24840CE6" w14:textId="77777777" w:rsidTr="00E52243">
        <w:trPr>
          <w:trHeight w:val="652"/>
          <w:jc w:val="center"/>
        </w:trPr>
        <w:tc>
          <w:tcPr>
            <w:tcW w:w="860" w:type="pct"/>
            <w:vMerge/>
            <w:vAlign w:val="center"/>
          </w:tcPr>
          <w:p w14:paraId="461FC116"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4B3F4C92" w14:textId="77777777" w:rsidR="00495C65" w:rsidRPr="00E52243" w:rsidRDefault="00495C65" w:rsidP="00E52243">
            <w:pPr>
              <w:pStyle w:val="13"/>
              <w:spacing w:line="240" w:lineRule="auto"/>
              <w:ind w:firstLineChars="0" w:firstLine="0"/>
              <w:rPr>
                <w:sz w:val="21"/>
                <w:szCs w:val="21"/>
              </w:rPr>
            </w:pPr>
            <w:proofErr w:type="gramStart"/>
            <w:r w:rsidRPr="00E52243">
              <w:rPr>
                <w:sz w:val="21"/>
                <w:szCs w:val="21"/>
              </w:rPr>
              <w:t>适游时间</w:t>
            </w:r>
            <w:proofErr w:type="gramEnd"/>
            <w:r w:rsidRPr="00E52243">
              <w:rPr>
                <w:sz w:val="21"/>
                <w:szCs w:val="21"/>
              </w:rPr>
              <w:t xml:space="preserve"> </w:t>
            </w:r>
          </w:p>
        </w:tc>
        <w:tc>
          <w:tcPr>
            <w:tcW w:w="2813" w:type="pct"/>
            <w:vAlign w:val="center"/>
          </w:tcPr>
          <w:p w14:paraId="5669663D"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评估对象所在乡镇的海洋气象、水文条件确定一年内适宜开展旅游活动的天数。 </w:t>
            </w:r>
          </w:p>
        </w:tc>
      </w:tr>
      <w:tr w:rsidR="00495C65" w:rsidRPr="00E52243" w14:paraId="608312FF" w14:textId="77777777" w:rsidTr="00E52243">
        <w:trPr>
          <w:trHeight w:val="325"/>
          <w:jc w:val="center"/>
        </w:trPr>
        <w:tc>
          <w:tcPr>
            <w:tcW w:w="860" w:type="pct"/>
            <w:vMerge/>
            <w:vAlign w:val="center"/>
          </w:tcPr>
          <w:p w14:paraId="78EFAC1E"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1DAAEF90"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景区年客流量 </w:t>
            </w:r>
          </w:p>
        </w:tc>
        <w:tc>
          <w:tcPr>
            <w:tcW w:w="2813" w:type="pct"/>
            <w:vAlign w:val="center"/>
          </w:tcPr>
          <w:p w14:paraId="41B53A1C"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景区每年游客数量。 </w:t>
            </w:r>
          </w:p>
        </w:tc>
      </w:tr>
      <w:tr w:rsidR="00495C65" w:rsidRPr="00E52243" w14:paraId="67F758E7" w14:textId="77777777" w:rsidTr="00E52243">
        <w:trPr>
          <w:trHeight w:val="326"/>
          <w:jc w:val="center"/>
        </w:trPr>
        <w:tc>
          <w:tcPr>
            <w:tcW w:w="860" w:type="pct"/>
            <w:vMerge/>
            <w:vAlign w:val="center"/>
          </w:tcPr>
          <w:p w14:paraId="1F7C9DC6"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0ABD864E"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海鲜美食 </w:t>
            </w:r>
          </w:p>
        </w:tc>
        <w:tc>
          <w:tcPr>
            <w:tcW w:w="2813" w:type="pct"/>
            <w:vAlign w:val="center"/>
          </w:tcPr>
          <w:p w14:paraId="23D61BDB"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旅游景区所提供的特色餐饮种类。 </w:t>
            </w:r>
          </w:p>
        </w:tc>
      </w:tr>
      <w:tr w:rsidR="00495C65" w:rsidRPr="00E52243" w14:paraId="1086381C" w14:textId="77777777" w:rsidTr="00E52243">
        <w:trPr>
          <w:trHeight w:val="325"/>
          <w:jc w:val="center"/>
        </w:trPr>
        <w:tc>
          <w:tcPr>
            <w:tcW w:w="860" w:type="pct"/>
            <w:vMerge w:val="restart"/>
            <w:vAlign w:val="center"/>
          </w:tcPr>
          <w:p w14:paraId="171A868A"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人口集聚度</w:t>
            </w:r>
          </w:p>
        </w:tc>
        <w:tc>
          <w:tcPr>
            <w:tcW w:w="1327" w:type="pct"/>
            <w:vAlign w:val="center"/>
          </w:tcPr>
          <w:p w14:paraId="6FA80FD5"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人口密度 </w:t>
            </w:r>
          </w:p>
        </w:tc>
        <w:tc>
          <w:tcPr>
            <w:tcW w:w="2813" w:type="pct"/>
            <w:vAlign w:val="center"/>
          </w:tcPr>
          <w:p w14:paraId="1D7444F5"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评估对象所处乡镇单位土地面积的人口数量。 </w:t>
            </w:r>
          </w:p>
        </w:tc>
      </w:tr>
      <w:tr w:rsidR="00495C65" w:rsidRPr="00E52243" w14:paraId="531FE2E1" w14:textId="77777777" w:rsidTr="00E52243">
        <w:trPr>
          <w:trHeight w:val="651"/>
          <w:jc w:val="center"/>
        </w:trPr>
        <w:tc>
          <w:tcPr>
            <w:tcW w:w="860" w:type="pct"/>
            <w:vMerge/>
            <w:vAlign w:val="center"/>
          </w:tcPr>
          <w:p w14:paraId="08233A21"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4A79C10E"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人流量 </w:t>
            </w:r>
          </w:p>
        </w:tc>
        <w:tc>
          <w:tcPr>
            <w:tcW w:w="2813" w:type="pct"/>
            <w:vAlign w:val="center"/>
          </w:tcPr>
          <w:p w14:paraId="3BF01159" w14:textId="77777777" w:rsidR="00495C65" w:rsidRPr="00E52243" w:rsidRDefault="00495C65" w:rsidP="00E52243">
            <w:pPr>
              <w:pStyle w:val="13"/>
              <w:spacing w:line="240" w:lineRule="auto"/>
              <w:ind w:firstLineChars="0" w:firstLine="0"/>
              <w:rPr>
                <w:sz w:val="21"/>
                <w:szCs w:val="21"/>
              </w:rPr>
            </w:pPr>
            <w:r w:rsidRPr="00E52243">
              <w:rPr>
                <w:sz w:val="21"/>
                <w:szCs w:val="21"/>
              </w:rPr>
              <w:t>评估对象所处乡镇在一定时期内流入、流出的人</w:t>
            </w:r>
          </w:p>
          <w:p w14:paraId="03D66651"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数。 </w:t>
            </w:r>
          </w:p>
        </w:tc>
      </w:tr>
      <w:tr w:rsidR="00495C65" w:rsidRPr="00E52243" w14:paraId="57E06953" w14:textId="77777777" w:rsidTr="00E52243">
        <w:trPr>
          <w:trHeight w:val="325"/>
          <w:jc w:val="center"/>
        </w:trPr>
        <w:tc>
          <w:tcPr>
            <w:tcW w:w="860" w:type="pct"/>
            <w:vAlign w:val="center"/>
          </w:tcPr>
          <w:p w14:paraId="094FA716"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区划与规划</w:t>
            </w:r>
          </w:p>
        </w:tc>
        <w:tc>
          <w:tcPr>
            <w:tcW w:w="1327" w:type="pct"/>
            <w:vAlign w:val="center"/>
          </w:tcPr>
          <w:p w14:paraId="4FC9A632"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区域海域利用限制 </w:t>
            </w:r>
          </w:p>
        </w:tc>
        <w:tc>
          <w:tcPr>
            <w:tcW w:w="2813" w:type="pct"/>
            <w:vAlign w:val="center"/>
          </w:tcPr>
          <w:p w14:paraId="05F9B6A4"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评估对象对海域利用类型、利用强度的限制程度。 </w:t>
            </w:r>
          </w:p>
        </w:tc>
      </w:tr>
      <w:tr w:rsidR="00495C65" w:rsidRPr="00E52243" w14:paraId="19BF652A" w14:textId="77777777" w:rsidTr="00E52243">
        <w:trPr>
          <w:trHeight w:val="326"/>
          <w:jc w:val="center"/>
        </w:trPr>
        <w:tc>
          <w:tcPr>
            <w:tcW w:w="860" w:type="pct"/>
            <w:vMerge w:val="restart"/>
            <w:vAlign w:val="center"/>
          </w:tcPr>
          <w:p w14:paraId="57357463" w14:textId="77777777" w:rsidR="00495C65" w:rsidRPr="00E52243" w:rsidRDefault="00495C65" w:rsidP="00E52243">
            <w:pPr>
              <w:pStyle w:val="13"/>
              <w:spacing w:line="240" w:lineRule="auto"/>
              <w:ind w:firstLineChars="0" w:firstLine="0"/>
              <w:jc w:val="center"/>
              <w:rPr>
                <w:sz w:val="21"/>
                <w:szCs w:val="21"/>
              </w:rPr>
            </w:pPr>
            <w:r w:rsidRPr="00E52243">
              <w:rPr>
                <w:sz w:val="21"/>
                <w:szCs w:val="21"/>
              </w:rPr>
              <w:t>宗海条件</w:t>
            </w:r>
          </w:p>
        </w:tc>
        <w:tc>
          <w:tcPr>
            <w:tcW w:w="1327" w:type="pct"/>
            <w:vAlign w:val="center"/>
          </w:tcPr>
          <w:p w14:paraId="38BECEA2"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岸滩状况 </w:t>
            </w:r>
          </w:p>
        </w:tc>
        <w:tc>
          <w:tcPr>
            <w:tcW w:w="2813" w:type="pct"/>
            <w:vAlign w:val="center"/>
          </w:tcPr>
          <w:p w14:paraId="0B0A006F"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岸滩类型。 </w:t>
            </w:r>
          </w:p>
        </w:tc>
      </w:tr>
      <w:tr w:rsidR="00495C65" w:rsidRPr="00E52243" w14:paraId="47FB4CB4" w14:textId="77777777" w:rsidTr="00E52243">
        <w:trPr>
          <w:trHeight w:val="326"/>
          <w:jc w:val="center"/>
        </w:trPr>
        <w:tc>
          <w:tcPr>
            <w:tcW w:w="860" w:type="pct"/>
            <w:vMerge/>
            <w:vAlign w:val="center"/>
          </w:tcPr>
          <w:p w14:paraId="5E98B0A2"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22BD0F6B"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沙滩条件 </w:t>
            </w:r>
          </w:p>
        </w:tc>
        <w:tc>
          <w:tcPr>
            <w:tcW w:w="2813" w:type="pct"/>
            <w:vAlign w:val="center"/>
          </w:tcPr>
          <w:p w14:paraId="4A054A2C"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沙滩的长度、宽度。 </w:t>
            </w:r>
          </w:p>
        </w:tc>
      </w:tr>
      <w:tr w:rsidR="00495C65" w:rsidRPr="00E52243" w14:paraId="396DB6E8" w14:textId="77777777" w:rsidTr="00E52243">
        <w:trPr>
          <w:trHeight w:val="325"/>
          <w:jc w:val="center"/>
        </w:trPr>
        <w:tc>
          <w:tcPr>
            <w:tcW w:w="860" w:type="pct"/>
            <w:vMerge/>
            <w:vAlign w:val="center"/>
          </w:tcPr>
          <w:p w14:paraId="0EBA839D"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2457D8EE"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生物多样性 </w:t>
            </w:r>
          </w:p>
        </w:tc>
        <w:tc>
          <w:tcPr>
            <w:tcW w:w="2813" w:type="pct"/>
            <w:vAlign w:val="center"/>
          </w:tcPr>
          <w:p w14:paraId="5929F375"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海洋生物资源的富集和丰富程度。 </w:t>
            </w:r>
          </w:p>
        </w:tc>
      </w:tr>
      <w:tr w:rsidR="00495C65" w:rsidRPr="00E52243" w14:paraId="68B63D67" w14:textId="77777777" w:rsidTr="00E52243">
        <w:trPr>
          <w:trHeight w:val="1305"/>
          <w:jc w:val="center"/>
        </w:trPr>
        <w:tc>
          <w:tcPr>
            <w:tcW w:w="860" w:type="pct"/>
            <w:vMerge/>
            <w:vAlign w:val="center"/>
          </w:tcPr>
          <w:p w14:paraId="410EAF3C" w14:textId="77777777" w:rsidR="00495C65" w:rsidRPr="00E52243" w:rsidRDefault="00495C65" w:rsidP="00E52243">
            <w:pPr>
              <w:pStyle w:val="13"/>
              <w:spacing w:line="240" w:lineRule="auto"/>
              <w:ind w:firstLineChars="0" w:firstLine="0"/>
              <w:jc w:val="center"/>
              <w:rPr>
                <w:sz w:val="21"/>
                <w:szCs w:val="21"/>
              </w:rPr>
            </w:pPr>
          </w:p>
        </w:tc>
        <w:tc>
          <w:tcPr>
            <w:tcW w:w="1327" w:type="pct"/>
            <w:vAlign w:val="center"/>
          </w:tcPr>
          <w:p w14:paraId="6B65592D"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海洋环境质量 </w:t>
            </w:r>
          </w:p>
        </w:tc>
        <w:tc>
          <w:tcPr>
            <w:tcW w:w="2813" w:type="pct"/>
            <w:vAlign w:val="center"/>
          </w:tcPr>
          <w:p w14:paraId="2A1AFF05" w14:textId="77777777" w:rsidR="00495C65" w:rsidRPr="00E52243" w:rsidRDefault="00495C65" w:rsidP="00E52243">
            <w:pPr>
              <w:pStyle w:val="13"/>
              <w:spacing w:line="240" w:lineRule="auto"/>
              <w:ind w:firstLineChars="0" w:firstLine="0"/>
              <w:rPr>
                <w:sz w:val="21"/>
                <w:szCs w:val="21"/>
              </w:rPr>
            </w:pPr>
            <w:r w:rsidRPr="00E52243">
              <w:rPr>
                <w:sz w:val="21"/>
                <w:szCs w:val="21"/>
              </w:rPr>
              <w:t xml:space="preserve">综合考虑评估对象所在乡镇的海水质量、海水浴场健康指数、旅游度假区水质状况指数和海面状况指数、海域环境质量优劣度、气象和气候条件与大气质量优劣度等，确定海洋环境质量指数。 </w:t>
            </w:r>
          </w:p>
        </w:tc>
      </w:tr>
    </w:tbl>
    <w:p w14:paraId="325E8969" w14:textId="77777777" w:rsidR="00495C65" w:rsidRPr="00A746AC" w:rsidRDefault="00495C65" w:rsidP="00495C65">
      <w:pPr>
        <w:pStyle w:val="13"/>
        <w:ind w:firstLineChars="0" w:firstLine="0"/>
        <w:jc w:val="center"/>
      </w:pPr>
      <w:r w:rsidRPr="00E37409">
        <w:rPr>
          <w:rFonts w:hint="eastAsia"/>
        </w:rPr>
        <w:t>表</w:t>
      </w:r>
      <w:r w:rsidRPr="00E37409">
        <w:t>A.5 造地工程价格修正因素和修正指标</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320"/>
        <w:gridCol w:w="4904"/>
      </w:tblGrid>
      <w:tr w:rsidR="00495C65" w:rsidRPr="001254EF" w14:paraId="58D1D957" w14:textId="77777777" w:rsidTr="001254EF">
        <w:trPr>
          <w:trHeight w:val="489"/>
          <w:jc w:val="center"/>
        </w:trPr>
        <w:tc>
          <w:tcPr>
            <w:tcW w:w="858" w:type="pct"/>
            <w:vAlign w:val="center"/>
          </w:tcPr>
          <w:p w14:paraId="6FCA57AF"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影响因素</w:t>
            </w:r>
          </w:p>
        </w:tc>
        <w:tc>
          <w:tcPr>
            <w:tcW w:w="1330" w:type="pct"/>
            <w:vAlign w:val="center"/>
          </w:tcPr>
          <w:p w14:paraId="4092CCE9"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影响指标</w:t>
            </w:r>
          </w:p>
        </w:tc>
        <w:tc>
          <w:tcPr>
            <w:tcW w:w="2812" w:type="pct"/>
            <w:vAlign w:val="center"/>
          </w:tcPr>
          <w:p w14:paraId="5ACBD5B1"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说明</w:t>
            </w:r>
          </w:p>
        </w:tc>
      </w:tr>
      <w:tr w:rsidR="00495C65" w:rsidRPr="001254EF" w14:paraId="7BB83545" w14:textId="77777777" w:rsidTr="001254EF">
        <w:trPr>
          <w:trHeight w:val="651"/>
          <w:jc w:val="center"/>
        </w:trPr>
        <w:tc>
          <w:tcPr>
            <w:tcW w:w="858" w:type="pct"/>
            <w:vMerge w:val="restart"/>
            <w:vAlign w:val="center"/>
          </w:tcPr>
          <w:p w14:paraId="058BC9FB"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经济发展水平</w:t>
            </w:r>
          </w:p>
        </w:tc>
        <w:tc>
          <w:tcPr>
            <w:tcW w:w="1330" w:type="pct"/>
            <w:vAlign w:val="center"/>
          </w:tcPr>
          <w:p w14:paraId="5ED060D2"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海洋经济发达程度 </w:t>
            </w:r>
          </w:p>
        </w:tc>
        <w:tc>
          <w:tcPr>
            <w:tcW w:w="2812" w:type="pct"/>
            <w:vAlign w:val="center"/>
          </w:tcPr>
          <w:p w14:paraId="7B1F52CB"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评估对象所处乡镇海洋经济增加值占地区GDP比重。 </w:t>
            </w:r>
          </w:p>
        </w:tc>
      </w:tr>
      <w:tr w:rsidR="00495C65" w:rsidRPr="001254EF" w14:paraId="7884970F" w14:textId="77777777" w:rsidTr="001254EF">
        <w:trPr>
          <w:trHeight w:val="326"/>
          <w:jc w:val="center"/>
        </w:trPr>
        <w:tc>
          <w:tcPr>
            <w:tcW w:w="858" w:type="pct"/>
            <w:vMerge/>
            <w:vAlign w:val="center"/>
          </w:tcPr>
          <w:p w14:paraId="64E09E43"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18245678"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乡镇经济发展水平 </w:t>
            </w:r>
          </w:p>
        </w:tc>
        <w:tc>
          <w:tcPr>
            <w:tcW w:w="2812" w:type="pct"/>
            <w:vAlign w:val="center"/>
          </w:tcPr>
          <w:p w14:paraId="4516032C"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评估对象所处乡镇的人均GDP。 </w:t>
            </w:r>
          </w:p>
        </w:tc>
      </w:tr>
      <w:tr w:rsidR="00495C65" w:rsidRPr="001254EF" w14:paraId="0ED4C012" w14:textId="77777777" w:rsidTr="001254EF">
        <w:trPr>
          <w:trHeight w:val="325"/>
          <w:jc w:val="center"/>
        </w:trPr>
        <w:tc>
          <w:tcPr>
            <w:tcW w:w="858" w:type="pct"/>
            <w:vMerge w:val="restart"/>
            <w:vAlign w:val="center"/>
          </w:tcPr>
          <w:p w14:paraId="11A3FFC1"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区位条件</w:t>
            </w:r>
          </w:p>
        </w:tc>
        <w:tc>
          <w:tcPr>
            <w:tcW w:w="1330" w:type="pct"/>
            <w:vAlign w:val="center"/>
          </w:tcPr>
          <w:p w14:paraId="5B9758C4"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与邻近乡镇中心距离 </w:t>
            </w:r>
          </w:p>
        </w:tc>
        <w:tc>
          <w:tcPr>
            <w:tcW w:w="2812" w:type="pct"/>
            <w:vAlign w:val="center"/>
          </w:tcPr>
          <w:p w14:paraId="5835463F"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评估对象与临近乡镇中心的距离。 </w:t>
            </w:r>
          </w:p>
        </w:tc>
      </w:tr>
      <w:tr w:rsidR="00495C65" w:rsidRPr="001254EF" w14:paraId="402466B6" w14:textId="77777777" w:rsidTr="001254EF">
        <w:trPr>
          <w:trHeight w:val="326"/>
          <w:jc w:val="center"/>
        </w:trPr>
        <w:tc>
          <w:tcPr>
            <w:tcW w:w="858" w:type="pct"/>
            <w:vMerge/>
            <w:vAlign w:val="center"/>
          </w:tcPr>
          <w:p w14:paraId="12D93C92"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32F57233"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距县城距离 </w:t>
            </w:r>
          </w:p>
        </w:tc>
        <w:tc>
          <w:tcPr>
            <w:tcW w:w="2812" w:type="pct"/>
            <w:vAlign w:val="center"/>
          </w:tcPr>
          <w:p w14:paraId="0D2ADB1C"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评估对象与临近县城中心的距离。 </w:t>
            </w:r>
          </w:p>
        </w:tc>
      </w:tr>
      <w:tr w:rsidR="00495C65" w:rsidRPr="001254EF" w14:paraId="4FE9D996" w14:textId="77777777" w:rsidTr="001254EF">
        <w:trPr>
          <w:trHeight w:val="326"/>
          <w:jc w:val="center"/>
        </w:trPr>
        <w:tc>
          <w:tcPr>
            <w:tcW w:w="858" w:type="pct"/>
            <w:vMerge/>
            <w:vAlign w:val="center"/>
          </w:tcPr>
          <w:p w14:paraId="4F852E08"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4343C18C"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乡镇在县城中地位 </w:t>
            </w:r>
          </w:p>
        </w:tc>
        <w:tc>
          <w:tcPr>
            <w:tcW w:w="2812" w:type="pct"/>
            <w:vAlign w:val="center"/>
          </w:tcPr>
          <w:p w14:paraId="1964ED21"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所在乡镇在管辖县域中的影响力。 </w:t>
            </w:r>
          </w:p>
        </w:tc>
      </w:tr>
      <w:tr w:rsidR="00495C65" w:rsidRPr="001254EF" w14:paraId="7B9B3A6D" w14:textId="77777777" w:rsidTr="001254EF">
        <w:trPr>
          <w:trHeight w:val="325"/>
          <w:jc w:val="center"/>
        </w:trPr>
        <w:tc>
          <w:tcPr>
            <w:tcW w:w="858" w:type="pct"/>
            <w:vMerge w:val="restart"/>
            <w:vAlign w:val="center"/>
          </w:tcPr>
          <w:p w14:paraId="594D3E16"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交通条件</w:t>
            </w:r>
          </w:p>
        </w:tc>
        <w:tc>
          <w:tcPr>
            <w:tcW w:w="1330" w:type="pct"/>
            <w:vAlign w:val="center"/>
          </w:tcPr>
          <w:p w14:paraId="0353AFBB" w14:textId="77777777" w:rsidR="00495C65" w:rsidRPr="001254EF" w:rsidRDefault="00495C65" w:rsidP="001254EF">
            <w:pPr>
              <w:pStyle w:val="13"/>
              <w:spacing w:line="240" w:lineRule="auto"/>
              <w:ind w:firstLineChars="0" w:firstLine="0"/>
              <w:rPr>
                <w:sz w:val="21"/>
                <w:szCs w:val="21"/>
              </w:rPr>
            </w:pPr>
            <w:r w:rsidRPr="001254EF">
              <w:rPr>
                <w:sz w:val="21"/>
                <w:szCs w:val="21"/>
              </w:rPr>
              <w:t>宗海临</w:t>
            </w:r>
            <w:proofErr w:type="gramStart"/>
            <w:r w:rsidRPr="001254EF">
              <w:rPr>
                <w:sz w:val="21"/>
                <w:szCs w:val="21"/>
              </w:rPr>
              <w:t>路条件</w:t>
            </w:r>
            <w:proofErr w:type="gramEnd"/>
            <w:r w:rsidRPr="001254EF">
              <w:rPr>
                <w:sz w:val="21"/>
                <w:szCs w:val="21"/>
              </w:rPr>
              <w:t xml:space="preserve"> </w:t>
            </w:r>
          </w:p>
        </w:tc>
        <w:tc>
          <w:tcPr>
            <w:tcW w:w="2812" w:type="pct"/>
            <w:vAlign w:val="center"/>
          </w:tcPr>
          <w:p w14:paraId="3C895554"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评估对象与周边道路的连接程度。 </w:t>
            </w:r>
          </w:p>
        </w:tc>
      </w:tr>
      <w:tr w:rsidR="00495C65" w:rsidRPr="001254EF" w14:paraId="5F468037" w14:textId="77777777" w:rsidTr="001254EF">
        <w:trPr>
          <w:trHeight w:val="325"/>
          <w:jc w:val="center"/>
        </w:trPr>
        <w:tc>
          <w:tcPr>
            <w:tcW w:w="858" w:type="pct"/>
            <w:vMerge/>
            <w:vAlign w:val="center"/>
          </w:tcPr>
          <w:p w14:paraId="0D1D6050"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3B048227"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宗海临港条件 </w:t>
            </w:r>
          </w:p>
        </w:tc>
        <w:tc>
          <w:tcPr>
            <w:tcW w:w="2812" w:type="pct"/>
            <w:vAlign w:val="center"/>
          </w:tcPr>
          <w:p w14:paraId="3701E8A3"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评估对象与大型港口的距离。 </w:t>
            </w:r>
          </w:p>
        </w:tc>
      </w:tr>
      <w:tr w:rsidR="00495C65" w:rsidRPr="001254EF" w14:paraId="64D72837" w14:textId="77777777" w:rsidTr="001254EF">
        <w:trPr>
          <w:trHeight w:val="652"/>
          <w:jc w:val="center"/>
        </w:trPr>
        <w:tc>
          <w:tcPr>
            <w:tcW w:w="858" w:type="pct"/>
            <w:vMerge w:val="restart"/>
            <w:vAlign w:val="center"/>
          </w:tcPr>
          <w:p w14:paraId="2EB1B75E"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基础设施条件</w:t>
            </w:r>
          </w:p>
        </w:tc>
        <w:tc>
          <w:tcPr>
            <w:tcW w:w="1330" w:type="pct"/>
            <w:vAlign w:val="center"/>
          </w:tcPr>
          <w:p w14:paraId="72D44E83"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基础设施完善度 </w:t>
            </w:r>
          </w:p>
        </w:tc>
        <w:tc>
          <w:tcPr>
            <w:tcW w:w="2812" w:type="pct"/>
            <w:vAlign w:val="center"/>
          </w:tcPr>
          <w:p w14:paraId="55D4EEBA"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道路、供水、排水、供电、供气、供热、通讯等基础设施的齐全性及保证率。 </w:t>
            </w:r>
          </w:p>
        </w:tc>
      </w:tr>
      <w:tr w:rsidR="00495C65" w:rsidRPr="001254EF" w14:paraId="05647F00" w14:textId="77777777" w:rsidTr="001254EF">
        <w:trPr>
          <w:trHeight w:val="326"/>
          <w:jc w:val="center"/>
        </w:trPr>
        <w:tc>
          <w:tcPr>
            <w:tcW w:w="858" w:type="pct"/>
            <w:vMerge/>
            <w:vAlign w:val="center"/>
          </w:tcPr>
          <w:p w14:paraId="2D2EAD3C"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72B895CF"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区域公用设施方便度 </w:t>
            </w:r>
          </w:p>
        </w:tc>
        <w:tc>
          <w:tcPr>
            <w:tcW w:w="2812" w:type="pct"/>
            <w:vAlign w:val="center"/>
          </w:tcPr>
          <w:p w14:paraId="2E581D30"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公用设施的完善度及距离的远近。 </w:t>
            </w:r>
          </w:p>
        </w:tc>
      </w:tr>
      <w:tr w:rsidR="00495C65" w:rsidRPr="001254EF" w14:paraId="790DE0BD" w14:textId="77777777" w:rsidTr="001254EF">
        <w:trPr>
          <w:trHeight w:val="326"/>
          <w:jc w:val="center"/>
        </w:trPr>
        <w:tc>
          <w:tcPr>
            <w:tcW w:w="858" w:type="pct"/>
            <w:vMerge w:val="restart"/>
            <w:vAlign w:val="center"/>
          </w:tcPr>
          <w:p w14:paraId="7B68DE31"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工程建设条件</w:t>
            </w:r>
          </w:p>
        </w:tc>
        <w:tc>
          <w:tcPr>
            <w:tcW w:w="1330" w:type="pct"/>
            <w:vAlign w:val="center"/>
          </w:tcPr>
          <w:p w14:paraId="0120EAAD"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填海工程量 </w:t>
            </w:r>
          </w:p>
        </w:tc>
        <w:tc>
          <w:tcPr>
            <w:tcW w:w="2812" w:type="pct"/>
            <w:vAlign w:val="center"/>
          </w:tcPr>
          <w:p w14:paraId="66D79F79"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陆域吹填需要的砂石总量。 </w:t>
            </w:r>
          </w:p>
        </w:tc>
      </w:tr>
      <w:tr w:rsidR="00495C65" w:rsidRPr="001254EF" w14:paraId="0F0A306E" w14:textId="77777777" w:rsidTr="001254EF">
        <w:trPr>
          <w:trHeight w:val="326"/>
          <w:jc w:val="center"/>
        </w:trPr>
        <w:tc>
          <w:tcPr>
            <w:tcW w:w="858" w:type="pct"/>
            <w:vMerge/>
            <w:vAlign w:val="center"/>
          </w:tcPr>
          <w:p w14:paraId="24739AAA"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020123BC"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单位陆域吹填费 </w:t>
            </w:r>
          </w:p>
        </w:tc>
        <w:tc>
          <w:tcPr>
            <w:tcW w:w="2812" w:type="pct"/>
            <w:vAlign w:val="center"/>
          </w:tcPr>
          <w:p w14:paraId="00C48AB7"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每立方米陆域吹填发生的人工、砂石等成本。 </w:t>
            </w:r>
          </w:p>
        </w:tc>
      </w:tr>
      <w:tr w:rsidR="00495C65" w:rsidRPr="001254EF" w14:paraId="1E543008" w14:textId="77777777" w:rsidTr="001254EF">
        <w:trPr>
          <w:trHeight w:val="325"/>
          <w:jc w:val="center"/>
        </w:trPr>
        <w:tc>
          <w:tcPr>
            <w:tcW w:w="858" w:type="pct"/>
            <w:vMerge w:val="restart"/>
            <w:vAlign w:val="center"/>
          </w:tcPr>
          <w:p w14:paraId="14F09AF0"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人口集聚度</w:t>
            </w:r>
          </w:p>
        </w:tc>
        <w:tc>
          <w:tcPr>
            <w:tcW w:w="1330" w:type="pct"/>
            <w:vAlign w:val="center"/>
          </w:tcPr>
          <w:p w14:paraId="6D74ABA1"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人口密度 </w:t>
            </w:r>
          </w:p>
        </w:tc>
        <w:tc>
          <w:tcPr>
            <w:tcW w:w="2812" w:type="pct"/>
            <w:vAlign w:val="center"/>
          </w:tcPr>
          <w:p w14:paraId="2FE92599"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评估对象所处乡镇单位土地面积的人口数量。 </w:t>
            </w:r>
          </w:p>
        </w:tc>
      </w:tr>
      <w:tr w:rsidR="00495C65" w:rsidRPr="001254EF" w14:paraId="636E3B77" w14:textId="77777777" w:rsidTr="001254EF">
        <w:trPr>
          <w:trHeight w:val="652"/>
          <w:jc w:val="center"/>
        </w:trPr>
        <w:tc>
          <w:tcPr>
            <w:tcW w:w="858" w:type="pct"/>
            <w:vMerge/>
            <w:vAlign w:val="center"/>
          </w:tcPr>
          <w:p w14:paraId="1EC36765"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496241EB"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人流量 </w:t>
            </w:r>
          </w:p>
        </w:tc>
        <w:tc>
          <w:tcPr>
            <w:tcW w:w="2812" w:type="pct"/>
            <w:vAlign w:val="center"/>
          </w:tcPr>
          <w:p w14:paraId="59879F00" w14:textId="77777777" w:rsidR="00495C65" w:rsidRPr="001254EF" w:rsidRDefault="00495C65" w:rsidP="001254EF">
            <w:pPr>
              <w:pStyle w:val="13"/>
              <w:spacing w:line="240" w:lineRule="auto"/>
              <w:ind w:firstLineChars="0" w:firstLine="0"/>
              <w:rPr>
                <w:sz w:val="21"/>
                <w:szCs w:val="21"/>
              </w:rPr>
            </w:pPr>
            <w:r w:rsidRPr="001254EF">
              <w:rPr>
                <w:sz w:val="21"/>
                <w:szCs w:val="21"/>
              </w:rPr>
              <w:t>评估对象所处乡镇在一定时期内流入、流出的人</w:t>
            </w:r>
          </w:p>
          <w:p w14:paraId="42EB998B"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数。 </w:t>
            </w:r>
          </w:p>
        </w:tc>
      </w:tr>
      <w:tr w:rsidR="00495C65" w:rsidRPr="001254EF" w14:paraId="18388C3E" w14:textId="77777777" w:rsidTr="001254EF">
        <w:trPr>
          <w:trHeight w:val="326"/>
          <w:jc w:val="center"/>
        </w:trPr>
        <w:tc>
          <w:tcPr>
            <w:tcW w:w="858" w:type="pct"/>
            <w:vAlign w:val="center"/>
          </w:tcPr>
          <w:p w14:paraId="16EC397F"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毗邻土地情况</w:t>
            </w:r>
          </w:p>
        </w:tc>
        <w:tc>
          <w:tcPr>
            <w:tcW w:w="1330" w:type="pct"/>
            <w:vAlign w:val="center"/>
          </w:tcPr>
          <w:p w14:paraId="7F667AE0"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毗邻土地价格 </w:t>
            </w:r>
          </w:p>
        </w:tc>
        <w:tc>
          <w:tcPr>
            <w:tcW w:w="2812" w:type="pct"/>
            <w:vAlign w:val="center"/>
          </w:tcPr>
          <w:p w14:paraId="1984D6FE"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评估对象毗邻土地的用地类型、级别与基准价格。 </w:t>
            </w:r>
          </w:p>
        </w:tc>
      </w:tr>
      <w:tr w:rsidR="00495C65" w:rsidRPr="001254EF" w14:paraId="5AA0441B" w14:textId="77777777" w:rsidTr="001254EF">
        <w:trPr>
          <w:trHeight w:val="325"/>
          <w:jc w:val="center"/>
        </w:trPr>
        <w:tc>
          <w:tcPr>
            <w:tcW w:w="858" w:type="pct"/>
            <w:vAlign w:val="center"/>
          </w:tcPr>
          <w:p w14:paraId="4C68E251"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区划与规划</w:t>
            </w:r>
          </w:p>
        </w:tc>
        <w:tc>
          <w:tcPr>
            <w:tcW w:w="1330" w:type="pct"/>
            <w:vAlign w:val="center"/>
          </w:tcPr>
          <w:p w14:paraId="6EBF1550"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区域海域利用限制 </w:t>
            </w:r>
          </w:p>
        </w:tc>
        <w:tc>
          <w:tcPr>
            <w:tcW w:w="2812" w:type="pct"/>
            <w:vAlign w:val="center"/>
          </w:tcPr>
          <w:p w14:paraId="33A1A0BD"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评估对象对海域利用类型、利用强度的限制程度。 </w:t>
            </w:r>
          </w:p>
        </w:tc>
      </w:tr>
      <w:tr w:rsidR="00495C65" w:rsidRPr="001254EF" w14:paraId="059C09E0" w14:textId="77777777" w:rsidTr="001254EF">
        <w:trPr>
          <w:trHeight w:val="325"/>
          <w:jc w:val="center"/>
        </w:trPr>
        <w:tc>
          <w:tcPr>
            <w:tcW w:w="858" w:type="pct"/>
            <w:vMerge w:val="restart"/>
            <w:vAlign w:val="center"/>
          </w:tcPr>
          <w:p w14:paraId="5161AAA8" w14:textId="77777777" w:rsidR="00495C65" w:rsidRPr="001254EF" w:rsidRDefault="00495C65" w:rsidP="001254EF">
            <w:pPr>
              <w:pStyle w:val="13"/>
              <w:spacing w:line="240" w:lineRule="auto"/>
              <w:ind w:firstLineChars="0" w:firstLine="0"/>
              <w:jc w:val="center"/>
              <w:rPr>
                <w:sz w:val="21"/>
                <w:szCs w:val="21"/>
              </w:rPr>
            </w:pPr>
            <w:r w:rsidRPr="001254EF">
              <w:rPr>
                <w:sz w:val="21"/>
                <w:szCs w:val="21"/>
              </w:rPr>
              <w:t>宗海条件</w:t>
            </w:r>
          </w:p>
        </w:tc>
        <w:tc>
          <w:tcPr>
            <w:tcW w:w="1330" w:type="pct"/>
            <w:vAlign w:val="center"/>
          </w:tcPr>
          <w:p w14:paraId="2ADCC99F"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水深状况 </w:t>
            </w:r>
          </w:p>
        </w:tc>
        <w:tc>
          <w:tcPr>
            <w:tcW w:w="2812" w:type="pct"/>
            <w:vAlign w:val="center"/>
          </w:tcPr>
          <w:p w14:paraId="732FA363"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评估对象海平面到其海床的最大垂直距离。 </w:t>
            </w:r>
          </w:p>
        </w:tc>
      </w:tr>
      <w:tr w:rsidR="00495C65" w:rsidRPr="001254EF" w14:paraId="208EA7C6" w14:textId="77777777" w:rsidTr="001254EF">
        <w:trPr>
          <w:trHeight w:val="325"/>
          <w:jc w:val="center"/>
        </w:trPr>
        <w:tc>
          <w:tcPr>
            <w:tcW w:w="858" w:type="pct"/>
            <w:vMerge/>
            <w:vAlign w:val="center"/>
          </w:tcPr>
          <w:p w14:paraId="4E33820F"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29114F52"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泥沙淤积状况 </w:t>
            </w:r>
          </w:p>
        </w:tc>
        <w:tc>
          <w:tcPr>
            <w:tcW w:w="2812" w:type="pct"/>
            <w:vAlign w:val="center"/>
          </w:tcPr>
          <w:p w14:paraId="181CB669"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评估对象泥沙淤积厚度。 </w:t>
            </w:r>
          </w:p>
        </w:tc>
      </w:tr>
      <w:tr w:rsidR="00495C65" w:rsidRPr="001254EF" w14:paraId="0456824A" w14:textId="77777777" w:rsidTr="001254EF">
        <w:trPr>
          <w:trHeight w:val="326"/>
          <w:jc w:val="center"/>
        </w:trPr>
        <w:tc>
          <w:tcPr>
            <w:tcW w:w="858" w:type="pct"/>
            <w:vMerge/>
            <w:vAlign w:val="center"/>
          </w:tcPr>
          <w:p w14:paraId="1BC7114D"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3EEF7D8E"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潮间带宽度 </w:t>
            </w:r>
          </w:p>
        </w:tc>
        <w:tc>
          <w:tcPr>
            <w:tcW w:w="2812" w:type="pct"/>
            <w:vAlign w:val="center"/>
          </w:tcPr>
          <w:p w14:paraId="04B08E7A"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评估对象高潮线与低潮线之间的距离。 </w:t>
            </w:r>
          </w:p>
        </w:tc>
      </w:tr>
      <w:tr w:rsidR="00495C65" w:rsidRPr="001254EF" w14:paraId="631C44DC" w14:textId="77777777" w:rsidTr="001254EF">
        <w:trPr>
          <w:trHeight w:val="326"/>
          <w:jc w:val="center"/>
        </w:trPr>
        <w:tc>
          <w:tcPr>
            <w:tcW w:w="858" w:type="pct"/>
            <w:vMerge/>
            <w:vAlign w:val="center"/>
          </w:tcPr>
          <w:p w14:paraId="05D10B8E"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3FB502AE"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地形地貌 </w:t>
            </w:r>
          </w:p>
        </w:tc>
        <w:tc>
          <w:tcPr>
            <w:tcW w:w="2812" w:type="pct"/>
            <w:vAlign w:val="center"/>
          </w:tcPr>
          <w:p w14:paraId="1E349A9D"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评估对象海底平面形状对填海作业的影响程度。 </w:t>
            </w:r>
          </w:p>
        </w:tc>
      </w:tr>
      <w:tr w:rsidR="00495C65" w:rsidRPr="001254EF" w14:paraId="644EC592" w14:textId="77777777" w:rsidTr="001254EF">
        <w:trPr>
          <w:trHeight w:val="326"/>
          <w:jc w:val="center"/>
        </w:trPr>
        <w:tc>
          <w:tcPr>
            <w:tcW w:w="858" w:type="pct"/>
            <w:vMerge/>
            <w:vAlign w:val="center"/>
          </w:tcPr>
          <w:p w14:paraId="4E8AA53B"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37F1A532"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地质条件 </w:t>
            </w:r>
          </w:p>
        </w:tc>
        <w:tc>
          <w:tcPr>
            <w:tcW w:w="2812" w:type="pct"/>
            <w:vAlign w:val="center"/>
          </w:tcPr>
          <w:p w14:paraId="4C5B440F"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评估对象地质承载力的强弱及对填海影响的程度。 </w:t>
            </w:r>
          </w:p>
        </w:tc>
      </w:tr>
      <w:tr w:rsidR="00495C65" w:rsidRPr="001254EF" w14:paraId="4CCC071B" w14:textId="77777777" w:rsidTr="001254EF">
        <w:trPr>
          <w:trHeight w:val="325"/>
          <w:jc w:val="center"/>
        </w:trPr>
        <w:tc>
          <w:tcPr>
            <w:tcW w:w="858" w:type="pct"/>
            <w:vMerge/>
            <w:vAlign w:val="center"/>
          </w:tcPr>
          <w:p w14:paraId="3CFE4EE0"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0324C33E"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自然灾害 </w:t>
            </w:r>
          </w:p>
        </w:tc>
        <w:tc>
          <w:tcPr>
            <w:tcW w:w="2812" w:type="pct"/>
            <w:vAlign w:val="center"/>
          </w:tcPr>
          <w:p w14:paraId="3462C929"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风暴潮、灾害性海浪与海啸等发生强度及频次。 </w:t>
            </w:r>
          </w:p>
        </w:tc>
      </w:tr>
      <w:tr w:rsidR="00495C65" w:rsidRPr="001254EF" w14:paraId="7CAE0908" w14:textId="77777777" w:rsidTr="001254EF">
        <w:trPr>
          <w:trHeight w:val="978"/>
          <w:jc w:val="center"/>
        </w:trPr>
        <w:tc>
          <w:tcPr>
            <w:tcW w:w="858" w:type="pct"/>
            <w:vMerge/>
            <w:vAlign w:val="center"/>
          </w:tcPr>
          <w:p w14:paraId="4A398627" w14:textId="77777777" w:rsidR="00495C65" w:rsidRPr="001254EF" w:rsidRDefault="00495C65" w:rsidP="001254EF">
            <w:pPr>
              <w:pStyle w:val="13"/>
              <w:spacing w:line="240" w:lineRule="auto"/>
              <w:ind w:firstLineChars="0" w:firstLine="0"/>
              <w:jc w:val="center"/>
              <w:rPr>
                <w:sz w:val="21"/>
                <w:szCs w:val="21"/>
              </w:rPr>
            </w:pPr>
          </w:p>
        </w:tc>
        <w:tc>
          <w:tcPr>
            <w:tcW w:w="1330" w:type="pct"/>
            <w:vAlign w:val="center"/>
          </w:tcPr>
          <w:p w14:paraId="1BDC5CDD"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海域环境质量 </w:t>
            </w:r>
          </w:p>
        </w:tc>
        <w:tc>
          <w:tcPr>
            <w:tcW w:w="2812" w:type="pct"/>
            <w:vAlign w:val="center"/>
          </w:tcPr>
          <w:p w14:paraId="6FE343D4" w14:textId="77777777" w:rsidR="00495C65" w:rsidRPr="001254EF" w:rsidRDefault="00495C65" w:rsidP="001254EF">
            <w:pPr>
              <w:pStyle w:val="13"/>
              <w:spacing w:line="240" w:lineRule="auto"/>
              <w:ind w:firstLineChars="0" w:firstLine="0"/>
              <w:rPr>
                <w:sz w:val="21"/>
                <w:szCs w:val="21"/>
              </w:rPr>
            </w:pPr>
            <w:r w:rsidRPr="001254EF">
              <w:rPr>
                <w:sz w:val="21"/>
                <w:szCs w:val="21"/>
              </w:rPr>
              <w:t xml:space="preserve">综合考虑评估对象所在乡镇海岸地貌、海洋水文、海岸带环境质量优劣度与海域环境质量优劣度等，确定海洋环境质量指数。 </w:t>
            </w:r>
          </w:p>
        </w:tc>
      </w:tr>
    </w:tbl>
    <w:p w14:paraId="010685EC" w14:textId="4619AE86" w:rsidR="00F67FFD" w:rsidRPr="00495C65" w:rsidRDefault="00F67FFD" w:rsidP="007F2E94">
      <w:pPr>
        <w:pStyle w:val="13"/>
      </w:pPr>
    </w:p>
    <w:p w14:paraId="76694E69" w14:textId="40F20037" w:rsidR="00F67FFD" w:rsidRDefault="00F67FFD" w:rsidP="007F2E94">
      <w:pPr>
        <w:pStyle w:val="13"/>
      </w:pPr>
    </w:p>
    <w:p w14:paraId="1EFF1161" w14:textId="219BFC8D" w:rsidR="00F67FFD" w:rsidRDefault="00F67FFD">
      <w:pPr>
        <w:widowControl/>
        <w:jc w:val="left"/>
        <w:rPr>
          <w:rFonts w:ascii="宋体" w:hAnsi="宋体"/>
          <w:sz w:val="24"/>
          <w:szCs w:val="24"/>
        </w:rPr>
      </w:pPr>
      <w:r>
        <w:br w:type="page"/>
      </w:r>
    </w:p>
    <w:p w14:paraId="0B445E80" w14:textId="1D545145" w:rsidR="0047435F" w:rsidRDefault="00F67FFD" w:rsidP="00F67FFD">
      <w:pPr>
        <w:pStyle w:val="11"/>
      </w:pPr>
      <w:bookmarkStart w:id="209" w:name="_Toc81833442"/>
      <w:r w:rsidRPr="00F67FFD">
        <w:rPr>
          <w:rFonts w:hint="eastAsia"/>
        </w:rPr>
        <w:lastRenderedPageBreak/>
        <w:t>资产评估业务相关法律法规</w:t>
      </w:r>
      <w:bookmarkEnd w:id="209"/>
    </w:p>
    <w:p w14:paraId="24803C29" w14:textId="374C88CB" w:rsidR="0047435F" w:rsidRDefault="00F67FFD" w:rsidP="00F67FFD">
      <w:pPr>
        <w:pStyle w:val="21"/>
        <w:spacing w:before="156" w:after="93"/>
      </w:pPr>
      <w:bookmarkStart w:id="210" w:name="_Toc81833443"/>
      <w:r w:rsidRPr="00F67FFD">
        <w:rPr>
          <w:rFonts w:hint="eastAsia"/>
        </w:rPr>
        <w:t>资产评估行业市场开拓路线指引</w:t>
      </w:r>
      <w:bookmarkEnd w:id="210"/>
    </w:p>
    <w:p w14:paraId="570FB5E6" w14:textId="6DC52BD4" w:rsidR="0047435F" w:rsidRDefault="00F67FFD" w:rsidP="00F67FFD">
      <w:pPr>
        <w:pStyle w:val="31"/>
        <w:spacing w:before="156" w:after="62"/>
      </w:pPr>
      <w:bookmarkStart w:id="211" w:name="_Toc81833444"/>
      <w:r w:rsidRPr="00F67FFD">
        <w:rPr>
          <w:rFonts w:hint="eastAsia"/>
        </w:rPr>
        <w:t>《资产评估行业市场开拓路线指引（</w:t>
      </w:r>
      <w:r w:rsidRPr="00F67FFD">
        <w:t>2019年）》</w:t>
      </w:r>
      <w:r>
        <w:rPr>
          <w:rFonts w:hint="eastAsia"/>
        </w:rPr>
        <w:t>（</w:t>
      </w:r>
      <w:proofErr w:type="gramStart"/>
      <w:r w:rsidRPr="00F67FFD">
        <w:rPr>
          <w:rFonts w:hint="eastAsia"/>
        </w:rPr>
        <w:t>中评协办</w:t>
      </w:r>
      <w:proofErr w:type="gramEnd"/>
      <w:r w:rsidRPr="00F67FFD">
        <w:rPr>
          <w:rFonts w:hint="eastAsia"/>
        </w:rPr>
        <w:t>〔</w:t>
      </w:r>
      <w:r w:rsidRPr="00F67FFD">
        <w:t>2019〕64号</w:t>
      </w:r>
      <w:r>
        <w:rPr>
          <w:rFonts w:hint="eastAsia"/>
        </w:rPr>
        <w:t>）</w:t>
      </w:r>
      <w:bookmarkEnd w:id="211"/>
    </w:p>
    <w:p w14:paraId="118A43B6" w14:textId="77777777" w:rsidR="00F67FFD" w:rsidRDefault="00F67FFD" w:rsidP="00F67FFD">
      <w:pPr>
        <w:pStyle w:val="13"/>
        <w:ind w:firstLineChars="0" w:firstLine="0"/>
      </w:pPr>
      <w:r>
        <w:rPr>
          <w:rFonts w:hint="eastAsia"/>
        </w:rPr>
        <w:t>各省、自治区、直辖市、计划单列市资产评估协会（注册会计师协会），各资产评估机构及有关单位</w:t>
      </w:r>
      <w:r>
        <w:t>:</w:t>
      </w:r>
    </w:p>
    <w:p w14:paraId="3E0F041B" w14:textId="77777777" w:rsidR="00F67FFD" w:rsidRDefault="00F67FFD" w:rsidP="00F67FFD">
      <w:pPr>
        <w:pStyle w:val="13"/>
      </w:pPr>
      <w:r>
        <w:rPr>
          <w:rFonts w:hint="eastAsia"/>
        </w:rPr>
        <w:t>为推动资产评估行业健康有序发展，拓展资产评估市场领域，推进资产评估机构转型升级，中国资产评估协会（下称</w:t>
      </w:r>
      <w:proofErr w:type="gramStart"/>
      <w:r>
        <w:rPr>
          <w:rFonts w:hint="eastAsia"/>
        </w:rPr>
        <w:t>中评协</w:t>
      </w:r>
      <w:proofErr w:type="gramEnd"/>
      <w:r>
        <w:rPr>
          <w:rFonts w:hint="eastAsia"/>
        </w:rPr>
        <w:t>）组织开展了《资产评估行业市场开拓路线指引（</w:t>
      </w:r>
      <w:r>
        <w:t>2013年）》修订工作，制定了《资产评估行业市场开拓路线指引(2019年)》（以下简称《指引2019》），现予印发。</w:t>
      </w:r>
    </w:p>
    <w:p w14:paraId="3E193475" w14:textId="77777777" w:rsidR="00F67FFD" w:rsidRDefault="00F67FFD" w:rsidP="00F67FFD">
      <w:pPr>
        <w:pStyle w:val="13"/>
      </w:pPr>
      <w:r>
        <w:rPr>
          <w:rFonts w:hint="eastAsia"/>
        </w:rPr>
        <w:t>随着市场领域不断拓宽，资产评估行业已经开展的业务不限于《指引</w:t>
      </w:r>
      <w:r>
        <w:t>2019》发布的内容，</w:t>
      </w:r>
      <w:proofErr w:type="gramStart"/>
      <w:r>
        <w:t>中评协</w:t>
      </w:r>
      <w:proofErr w:type="gramEnd"/>
      <w:r>
        <w:t>将适时对《指引2019》进行动态更新。</w:t>
      </w:r>
    </w:p>
    <w:p w14:paraId="21814845" w14:textId="77777777" w:rsidR="00F67FFD" w:rsidRDefault="00F67FFD" w:rsidP="00F67FFD">
      <w:pPr>
        <w:pStyle w:val="13"/>
      </w:pPr>
      <w:r>
        <w:rPr>
          <w:rFonts w:hint="eastAsia"/>
        </w:rPr>
        <w:t>请各地</w:t>
      </w:r>
      <w:proofErr w:type="gramStart"/>
      <w:r>
        <w:rPr>
          <w:rFonts w:hint="eastAsia"/>
        </w:rPr>
        <w:t>方协会</w:t>
      </w:r>
      <w:proofErr w:type="gramEnd"/>
      <w:r>
        <w:rPr>
          <w:rFonts w:hint="eastAsia"/>
        </w:rPr>
        <w:t>及时转发《指引</w:t>
      </w:r>
      <w:r>
        <w:t>2019》，为行业拓展市场提供必要支持。各地</w:t>
      </w:r>
      <w:proofErr w:type="gramStart"/>
      <w:r>
        <w:t>方协会</w:t>
      </w:r>
      <w:proofErr w:type="gramEnd"/>
      <w:r>
        <w:t>可根据本地实际情况，对指引进行进一步细化并报中评协。请各资产评估机构参照《指引2019》，结合本机构实际情况，积极开拓相关业务市场。</w:t>
      </w:r>
    </w:p>
    <w:p w14:paraId="5B9F36E0" w14:textId="77777777" w:rsidR="00F67FFD" w:rsidRDefault="00F67FFD" w:rsidP="00F67FFD">
      <w:pPr>
        <w:pStyle w:val="13"/>
      </w:pPr>
      <w:r>
        <w:rPr>
          <w:rFonts w:hint="eastAsia"/>
        </w:rPr>
        <w:t>附件：《资产评估行业市场开拓路线指引（</w:t>
      </w:r>
      <w:r>
        <w:t>2019年）》</w:t>
      </w:r>
    </w:p>
    <w:p w14:paraId="574AEB71" w14:textId="77777777" w:rsidR="00F67FFD" w:rsidRDefault="00F67FFD" w:rsidP="00F67FFD">
      <w:pPr>
        <w:pStyle w:val="13"/>
        <w:jc w:val="right"/>
      </w:pPr>
      <w:r>
        <w:rPr>
          <w:rFonts w:hint="eastAsia"/>
        </w:rPr>
        <w:t>中国资产评估协会</w:t>
      </w:r>
    </w:p>
    <w:p w14:paraId="560EB7EF" w14:textId="703743C3" w:rsidR="000332D5" w:rsidRDefault="00F67FFD" w:rsidP="00F67FFD">
      <w:pPr>
        <w:pStyle w:val="13"/>
        <w:jc w:val="right"/>
      </w:pPr>
      <w:r>
        <w:t>2019年7月17日</w:t>
      </w:r>
    </w:p>
    <w:p w14:paraId="56431522" w14:textId="20C6A157" w:rsidR="00F67FFD" w:rsidRDefault="00F67FFD" w:rsidP="00AF7342">
      <w:pPr>
        <w:pStyle w:val="a9"/>
        <w:spacing w:before="62" w:after="62"/>
      </w:pPr>
      <w:r>
        <w:rPr>
          <w:rFonts w:hint="eastAsia"/>
        </w:rPr>
        <w:t>第一章</w:t>
      </w:r>
      <w:r>
        <w:t xml:space="preserve"> 概述</w:t>
      </w:r>
    </w:p>
    <w:p w14:paraId="668EA193" w14:textId="77777777" w:rsidR="00F67FFD" w:rsidRDefault="00F67FFD" w:rsidP="00F67FFD">
      <w:pPr>
        <w:pStyle w:val="13"/>
      </w:pPr>
      <w:r>
        <w:rPr>
          <w:rFonts w:hint="eastAsia"/>
        </w:rPr>
        <w:t>党的十九大确立了习近平新时代中国特色社会主义思想的历史地位，制定了决胜全面建成小康社会、夺取新时代中国特色社会主义伟大胜利的宏伟蓝图和行动纲领，</w:t>
      </w:r>
      <w:proofErr w:type="gramStart"/>
      <w:r>
        <w:rPr>
          <w:rFonts w:hint="eastAsia"/>
        </w:rPr>
        <w:t>作出</w:t>
      </w:r>
      <w:proofErr w:type="gramEnd"/>
      <w:r>
        <w:rPr>
          <w:rFonts w:hint="eastAsia"/>
        </w:rPr>
        <w:t>了一系列重大部署，提出了一系列重大举措，为资产评估行业创新发展指明了方向。《中华人民共和国资产评估法》（以下简称《资产评估法》）的颁布实施，标志着资产评估行业进入了依法治理的新时代，也对资产评估行业依法执业规范管理提出了新的更高要求。</w:t>
      </w:r>
    </w:p>
    <w:p w14:paraId="08D977A5" w14:textId="77777777" w:rsidR="00F67FFD" w:rsidRDefault="00F67FFD" w:rsidP="00F67FFD">
      <w:pPr>
        <w:pStyle w:val="13"/>
      </w:pPr>
      <w:r>
        <w:rPr>
          <w:rFonts w:hint="eastAsia"/>
        </w:rPr>
        <w:t>为全面贯彻党的十九大精神，深入</w:t>
      </w:r>
      <w:proofErr w:type="gramStart"/>
      <w:r>
        <w:rPr>
          <w:rFonts w:hint="eastAsia"/>
        </w:rPr>
        <w:t>践行</w:t>
      </w:r>
      <w:proofErr w:type="gramEnd"/>
      <w:r>
        <w:rPr>
          <w:rFonts w:hint="eastAsia"/>
        </w:rPr>
        <w:t>习近平新时代中国特色社会主义思想，推动资产评估行业更好服务“五位一体”总体布局，依法推进资产评估行业改革和发展，中国资产评估协会（以下简称</w:t>
      </w:r>
      <w:proofErr w:type="gramStart"/>
      <w:r>
        <w:rPr>
          <w:rFonts w:hint="eastAsia"/>
        </w:rPr>
        <w:t>中评协</w:t>
      </w:r>
      <w:proofErr w:type="gramEnd"/>
      <w:r>
        <w:rPr>
          <w:rFonts w:hint="eastAsia"/>
        </w:rPr>
        <w:t>）组织行业力量，对《资产评估行业市场开拓路线指引（</w:t>
      </w:r>
      <w:r>
        <w:t>2013年）》（以下简称原《指引》）进行了修订，制定了《资产评估行业市场开拓路线指引（2019年）》（以下简称《指引2019》）。</w:t>
      </w:r>
    </w:p>
    <w:p w14:paraId="19CFB65B" w14:textId="77777777" w:rsidR="00F67FFD" w:rsidRDefault="00F67FFD" w:rsidP="00F67FFD">
      <w:pPr>
        <w:pStyle w:val="13"/>
      </w:pPr>
      <w:r>
        <w:rPr>
          <w:rFonts w:hint="eastAsia"/>
        </w:rPr>
        <w:t>《指引</w:t>
      </w:r>
      <w:r>
        <w:t>2019》在原《指引》的基础上，根据现有法律法规及有关政策文件，将资产评估行业业务分为评估类业务、评价类业务及咨询类业务三类。</w:t>
      </w:r>
    </w:p>
    <w:p w14:paraId="50938A7D" w14:textId="77777777" w:rsidR="00F67FFD" w:rsidRDefault="00F67FFD" w:rsidP="00F67FFD">
      <w:pPr>
        <w:pStyle w:val="13"/>
      </w:pPr>
      <w:r>
        <w:rPr>
          <w:rFonts w:hint="eastAsia"/>
        </w:rPr>
        <w:t>评估类业务是根据《资产评估法》和《资产评估行业财政监督管理办法》等有关</w:t>
      </w:r>
      <w:r>
        <w:rPr>
          <w:rFonts w:hint="eastAsia"/>
        </w:rPr>
        <w:lastRenderedPageBreak/>
        <w:t>规定，以“评定、估算”为基本方法的业务，其中也包括估值业务。近年来，“估值”业务先后在《中央企业境外国有产权管理暂行办法》（国务院国资委令第</w:t>
      </w:r>
      <w:r>
        <w:t>27号）、《上市公司重大资产重组管理办法（2014年修订）》（证监会令第109号）、《关于进一步明确国有金融企业直接股权投资有关资产管理问题的通知》（财金〔2014〕31号）等文件中涉及，鉴于其同样遵循“评定、估算”的基本方法，《指引2019》把“估值”业务归入评估类业务。</w:t>
      </w:r>
    </w:p>
    <w:p w14:paraId="4734B78C" w14:textId="77777777" w:rsidR="00F67FFD" w:rsidRDefault="00F67FFD" w:rsidP="00F67FFD">
      <w:pPr>
        <w:pStyle w:val="13"/>
      </w:pPr>
      <w:r>
        <w:rPr>
          <w:rFonts w:hint="eastAsia"/>
        </w:rPr>
        <w:t>评价类业务和咨询类业务主要是在资产评估行业执业现状基础上提升拓展的业务类型，这些业务是以资产评估机构及评估专业人员的执业能力为基础延伸而来，部分业务以国家有关政策文件为依据。评价类业务是指评估专业人员根据评价标准，对评价对象的财务、运营、偿债、发展或者内控等方面进行审核，通过量化和非量化的测评，最终得出评审（评价）结论并出具评审（评价）意见或报告的业务。咨询类业务是指评估专业人员根据委托方需求，应用科学的方法进行定量和定性分析，查出存在的主要问题和原因，提出并指导实施改进方案，从而提高委托方的经济效益或管理水平的业务。</w:t>
      </w:r>
      <w:r>
        <w:t xml:space="preserve"> </w:t>
      </w:r>
    </w:p>
    <w:p w14:paraId="4C726367" w14:textId="77777777" w:rsidR="00F67FFD" w:rsidRDefault="00F67FFD" w:rsidP="00F67FFD">
      <w:pPr>
        <w:pStyle w:val="13"/>
      </w:pPr>
      <w:r>
        <w:rPr>
          <w:rFonts w:hint="eastAsia"/>
        </w:rPr>
        <w:t>《指引</w:t>
      </w:r>
      <w:r>
        <w:t>2019》在划分85项评估类业务、12项评价类业务和29项咨询类业务基础上，根据不同需求方，对资产评估行业业务进行了进一步划分。</w:t>
      </w:r>
    </w:p>
    <w:p w14:paraId="5B5C55AF" w14:textId="77777777" w:rsidR="00F67FFD" w:rsidRDefault="00F67FFD" w:rsidP="00F67FFD">
      <w:pPr>
        <w:pStyle w:val="13"/>
      </w:pPr>
      <w:r>
        <w:rPr>
          <w:rFonts w:hint="eastAsia"/>
        </w:rPr>
        <w:t>《指引</w:t>
      </w:r>
      <w:r>
        <w:t>2019》尽可能完整地梳理、归集了触发业务的具体经济行为，并对经济行为作了简要阐述，列出了经济行为所涉及的相关政策文件。与原《指引》相比，《指引2019》中触发业务的具体经济行为增加45项，调整9项，删除7项，共计126项。</w:t>
      </w:r>
    </w:p>
    <w:p w14:paraId="005010AA" w14:textId="77777777" w:rsidR="00F67FFD" w:rsidRDefault="00F67FFD" w:rsidP="00F67FFD">
      <w:pPr>
        <w:pStyle w:val="13"/>
      </w:pPr>
      <w:r>
        <w:rPr>
          <w:rFonts w:hint="eastAsia"/>
        </w:rPr>
        <w:t>需要强调的是，资产评估行业实际开展的业务包括但不仅限于《指引</w:t>
      </w:r>
      <w:r>
        <w:t>2019》中列示的内容。由于条件所限，《指引2019》暂未对地方国有企业等需求方触发资产评估行业业务的经济行为及有关政策文件依据作进一步梳理。 </w:t>
      </w:r>
    </w:p>
    <w:p w14:paraId="1A9C076D" w14:textId="77777777" w:rsidR="00F67FFD" w:rsidRDefault="00F67FFD" w:rsidP="00AF7342">
      <w:pPr>
        <w:pStyle w:val="a9"/>
        <w:spacing w:before="62" w:after="62"/>
      </w:pPr>
      <w:r>
        <w:rPr>
          <w:rFonts w:hint="eastAsia"/>
        </w:rPr>
        <w:t>第二章</w:t>
      </w:r>
      <w:r>
        <w:t xml:space="preserve"> 资产评估行业新增业务情况</w:t>
      </w:r>
    </w:p>
    <w:p w14:paraId="6ED5A6E1" w14:textId="77777777" w:rsidR="00F67FFD" w:rsidRDefault="00F67FFD" w:rsidP="00F67FFD">
      <w:pPr>
        <w:pStyle w:val="13"/>
      </w:pPr>
      <w:r>
        <w:rPr>
          <w:rFonts w:hint="eastAsia"/>
        </w:rPr>
        <w:t>针对</w:t>
      </w:r>
      <w:r>
        <w:t>2013年11月以来发布的相关政策文件，《指引2019》收集、分析、整理并归集出包括但不仅限于以下列示的业务类型（《资产评估行业业务一览表》中序号前标记“N”），主要涉及深化国有企业改革、加强金融监管、加强行政事业单位国有资产管理，以及新经济发展等方面。</w:t>
      </w:r>
    </w:p>
    <w:p w14:paraId="156FFC7C" w14:textId="77777777" w:rsidR="00F67FFD" w:rsidRDefault="00F67FFD" w:rsidP="00F67FFD">
      <w:pPr>
        <w:pStyle w:val="ab"/>
        <w:spacing w:before="62" w:after="62"/>
        <w:ind w:firstLine="482"/>
      </w:pPr>
      <w:r>
        <w:rPr>
          <w:rFonts w:hint="eastAsia"/>
        </w:rPr>
        <w:t>一、深化国有企业改革产生的业务</w:t>
      </w:r>
    </w:p>
    <w:p w14:paraId="0435D893" w14:textId="77777777" w:rsidR="00F67FFD" w:rsidRDefault="00F67FFD" w:rsidP="00F67FFD">
      <w:pPr>
        <w:pStyle w:val="13"/>
      </w:pPr>
      <w:r>
        <w:rPr>
          <w:rFonts w:hint="eastAsia"/>
        </w:rPr>
        <w:t>党的十九大报告中强调，“要完善各类国有资产管理体制，改革国有资本授权经营体制，加快国有经济布局优化、结构调整、战略性重组，促进国有资产保值增值，推动国有资本做</w:t>
      </w:r>
      <w:proofErr w:type="gramStart"/>
      <w:r>
        <w:rPr>
          <w:rFonts w:hint="eastAsia"/>
        </w:rPr>
        <w:t>强做</w:t>
      </w:r>
      <w:proofErr w:type="gramEnd"/>
      <w:r>
        <w:rPr>
          <w:rFonts w:hint="eastAsia"/>
        </w:rPr>
        <w:t>优做大，有效防止国有资产流失。深化国有企业改革，发展混合所有制经济，培育具有全球竞争力的世界一流企业”。在发展混合所有制经济、优化国有经济布局和结构调整过程中，出现了中央企业股权投资、国有控股混合所有制企</w:t>
      </w:r>
      <w:r>
        <w:rPr>
          <w:rFonts w:hint="eastAsia"/>
        </w:rPr>
        <w:lastRenderedPageBreak/>
        <w:t>业股权激励、“僵尸企业”处置、国有企业办教育医疗机构改革等经济行为，并带来了相关业务需求。</w:t>
      </w:r>
    </w:p>
    <w:p w14:paraId="20C2235F" w14:textId="77777777" w:rsidR="00F67FFD" w:rsidRDefault="00F67FFD" w:rsidP="00F67FFD">
      <w:pPr>
        <w:pStyle w:val="ab"/>
        <w:spacing w:before="62" w:after="62"/>
        <w:ind w:firstLine="482"/>
      </w:pPr>
      <w:r>
        <w:rPr>
          <w:rFonts w:hint="eastAsia"/>
        </w:rPr>
        <w:t>二、加强金融监管产生的业务</w:t>
      </w:r>
    </w:p>
    <w:p w14:paraId="52D3AE2E" w14:textId="77777777" w:rsidR="00F67FFD" w:rsidRDefault="00F67FFD" w:rsidP="00F67FFD">
      <w:pPr>
        <w:pStyle w:val="13"/>
      </w:pPr>
      <w:r>
        <w:rPr>
          <w:rFonts w:hint="eastAsia"/>
        </w:rPr>
        <w:t>近年来国家不断加强金融企业监管，并在金融企业直接股权投资和市场化银行债权转股权等方面相继出台了一系列举措，为资产评估行业拓展市场带来了机遇。《关于进一步明确国有金融企业直接股权投资有关资产管理问题的通知》（财金〔</w:t>
      </w:r>
      <w:r>
        <w:t>2014〕31号）中要求国有金融企业开展直接股权投资时，应当对拟投资企业的投资价值进行评估。《关于市场化银行债权转股权实施中有关具体政策问题的通知》（</w:t>
      </w:r>
      <w:proofErr w:type="gramStart"/>
      <w:r>
        <w:t>发改财金</w:t>
      </w:r>
      <w:proofErr w:type="gramEnd"/>
      <w:r>
        <w:t>〔2018〕152号）中对市场化银行债权转股权作了有关规定。《金融资产投资公司管理办法（试行）》（银保监会令〔2018〕4号）规定银行债权评估</w:t>
      </w:r>
      <w:r>
        <w:rPr>
          <w:rFonts w:hint="eastAsia"/>
        </w:rPr>
        <w:t>或估值可以由</w:t>
      </w:r>
      <w:proofErr w:type="gramStart"/>
      <w:r>
        <w:rPr>
          <w:rFonts w:hint="eastAsia"/>
        </w:rPr>
        <w:t>独立第三</w:t>
      </w:r>
      <w:proofErr w:type="gramEnd"/>
      <w:r>
        <w:rPr>
          <w:rFonts w:hint="eastAsia"/>
        </w:rPr>
        <w:t>方实施。</w:t>
      </w:r>
    </w:p>
    <w:p w14:paraId="1DCDFD2B" w14:textId="77777777" w:rsidR="00F67FFD" w:rsidRDefault="00F67FFD" w:rsidP="00F67FFD">
      <w:pPr>
        <w:pStyle w:val="ab"/>
        <w:spacing w:before="62" w:after="62"/>
        <w:ind w:firstLine="482"/>
      </w:pPr>
      <w:r>
        <w:rPr>
          <w:rFonts w:hint="eastAsia"/>
        </w:rPr>
        <w:t>三、加强行政事业单位资产管理产生的业务</w:t>
      </w:r>
    </w:p>
    <w:p w14:paraId="02762807" w14:textId="77777777" w:rsidR="00F67FFD" w:rsidRDefault="00F67FFD" w:rsidP="00F67FFD">
      <w:pPr>
        <w:pStyle w:val="13"/>
      </w:pPr>
      <w:r>
        <w:rPr>
          <w:rFonts w:hint="eastAsia"/>
        </w:rPr>
        <w:t>为扎实推进事业单位改革，提高国有资本运营效率，有关政府部门对行政事业单位资产管理中的资产评估事项</w:t>
      </w:r>
      <w:proofErr w:type="gramStart"/>
      <w:r>
        <w:rPr>
          <w:rFonts w:hint="eastAsia"/>
        </w:rPr>
        <w:t>作出</w:t>
      </w:r>
      <w:proofErr w:type="gramEnd"/>
      <w:r>
        <w:rPr>
          <w:rFonts w:hint="eastAsia"/>
        </w:rPr>
        <w:t>了进一步规定。如《关于从事生产经营活动事业单位改革中国有资产管理的若干规定》（财资〔</w:t>
      </w:r>
      <w:r>
        <w:t>2017〕13号）规定，经营类事业单位整体或部分改制为有限责任公司或者股份有限公司及进行产权转让、国有资产流转等，要按照有关规定进行资产评估。</w:t>
      </w:r>
    </w:p>
    <w:p w14:paraId="09EA3A03" w14:textId="77777777" w:rsidR="00F67FFD" w:rsidRDefault="00F67FFD" w:rsidP="00F67FFD">
      <w:pPr>
        <w:pStyle w:val="ab"/>
        <w:spacing w:before="62" w:after="62"/>
        <w:ind w:firstLine="482"/>
      </w:pPr>
      <w:r>
        <w:rPr>
          <w:rFonts w:hint="eastAsia"/>
        </w:rPr>
        <w:t>四、其他新增业务</w:t>
      </w:r>
    </w:p>
    <w:p w14:paraId="79C031AC" w14:textId="77777777" w:rsidR="00F67FFD" w:rsidRDefault="00F67FFD" w:rsidP="00F67FFD">
      <w:pPr>
        <w:pStyle w:val="13"/>
      </w:pPr>
      <w:r>
        <w:rPr>
          <w:rFonts w:hint="eastAsia"/>
        </w:rPr>
        <w:t>其他新增业务主要包括根据商务部、证监会、税务总局、工商总局、外汇管理局等部门发布的有关文件产生的业务。如：为了加强行业协会商会与行政机关脱钩过程中以及脱钩后的国有资产（包括无形资产）管理，《关于加强行业协会商会与行政机关脱钩有关国有资产管理的意见（试行）》（财资〔</w:t>
      </w:r>
      <w:r>
        <w:t>2015〕44号）规定，“在脱钩过程中，需要进行资产评估的，应当按照《国有资产评估管理办法》（国务院令第91号）、《国有资产评估管理若干问题的规定》（财政部令第14号）等规定执行”；为规范和加强中国足球协会资产管理，《中国足球协会资产管理暂行办法》</w:t>
      </w:r>
      <w:r>
        <w:rPr>
          <w:rFonts w:hint="eastAsia"/>
        </w:rPr>
        <w:t>（财资〔</w:t>
      </w:r>
      <w:r>
        <w:t>2017〕32号）规定，“大额资产以出售与置换方式处置的，应委托具有相应专业能力的资产评估机构进行评估，并通过拍卖、招投标的方式进行”，等等。</w:t>
      </w:r>
    </w:p>
    <w:p w14:paraId="42D71224" w14:textId="77777777" w:rsidR="00F67FFD" w:rsidRDefault="00F67FFD" w:rsidP="00AF7342">
      <w:pPr>
        <w:pStyle w:val="a9"/>
        <w:spacing w:before="62" w:after="62"/>
      </w:pPr>
      <w:r>
        <w:rPr>
          <w:rFonts w:hint="eastAsia"/>
        </w:rPr>
        <w:t>第三章</w:t>
      </w:r>
      <w:r>
        <w:t xml:space="preserve"> 资产评估行业业务需求及相应经济行为分析</w:t>
      </w:r>
    </w:p>
    <w:p w14:paraId="30BDCE22" w14:textId="5F0266DB" w:rsidR="000332D5" w:rsidRDefault="00F67FFD" w:rsidP="00F67FFD">
      <w:pPr>
        <w:pStyle w:val="13"/>
      </w:pPr>
      <w:r>
        <w:rPr>
          <w:rFonts w:hint="eastAsia"/>
        </w:rPr>
        <w:t>《指引</w:t>
      </w:r>
      <w:r>
        <w:t>2019》对资产评估行业业务的需求方进行了梳理，并根据需求方的不同，对触发资产评估行业业务的126项经济行为进行逐一分析，其中：评估类业务中涉及的需求</w:t>
      </w:r>
      <w:proofErr w:type="gramStart"/>
      <w:r>
        <w:t>方分为</w:t>
      </w:r>
      <w:proofErr w:type="gramEnd"/>
      <w:r>
        <w:t>8个类别，对应具体的经济行为85项；评价类业务中涉及的需求</w:t>
      </w:r>
      <w:proofErr w:type="gramStart"/>
      <w:r>
        <w:t>方分为</w:t>
      </w:r>
      <w:proofErr w:type="gramEnd"/>
      <w:r>
        <w:t>2个类别，对应具体的经济行为12项；咨询类业务中涉及的需求</w:t>
      </w:r>
      <w:proofErr w:type="gramStart"/>
      <w:r>
        <w:t>方分为</w:t>
      </w:r>
      <w:proofErr w:type="gramEnd"/>
      <w:r>
        <w:t>2个类别，对应的具体经济行为29项。资产评估行业业务类型的总体情况如表1所示。</w:t>
      </w:r>
    </w:p>
    <w:p w14:paraId="2FEFF083" w14:textId="6E8F5C37" w:rsidR="000332D5" w:rsidRPr="00F67FFD" w:rsidRDefault="00F67FFD" w:rsidP="00F67FFD">
      <w:pPr>
        <w:pStyle w:val="13"/>
        <w:ind w:firstLineChars="0" w:firstLine="0"/>
        <w:jc w:val="center"/>
      </w:pPr>
      <w:r w:rsidRPr="00F67FFD">
        <w:rPr>
          <w:rFonts w:hint="eastAsia"/>
        </w:rPr>
        <w:lastRenderedPageBreak/>
        <w:t>表</w:t>
      </w:r>
      <w:r w:rsidRPr="00F67FFD">
        <w:t>1 资产评估行业业务类型汇总表</w:t>
      </w:r>
    </w:p>
    <w:tbl>
      <w:tblPr>
        <w:tblW w:w="5000" w:type="pct"/>
        <w:jc w:val="center"/>
        <w:tblLook w:val="04A0" w:firstRow="1" w:lastRow="0" w:firstColumn="1" w:lastColumn="0" w:noHBand="0" w:noVBand="1"/>
      </w:tblPr>
      <w:tblGrid>
        <w:gridCol w:w="2702"/>
        <w:gridCol w:w="2218"/>
        <w:gridCol w:w="3800"/>
      </w:tblGrid>
      <w:tr w:rsidR="00F67FFD" w:rsidRPr="00F67FFD" w14:paraId="21A42672" w14:textId="77777777" w:rsidTr="00F67FFD">
        <w:trPr>
          <w:trHeight w:val="280"/>
          <w:jc w:val="center"/>
        </w:trPr>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7B0DB" w14:textId="77777777" w:rsidR="00F67FFD" w:rsidRPr="00F67FFD" w:rsidRDefault="00F67FFD" w:rsidP="00F67FFD">
            <w:pPr>
              <w:pStyle w:val="13"/>
              <w:spacing w:line="240" w:lineRule="auto"/>
              <w:ind w:firstLineChars="0" w:firstLine="0"/>
              <w:jc w:val="center"/>
              <w:rPr>
                <w:b/>
                <w:sz w:val="21"/>
                <w:szCs w:val="21"/>
              </w:rPr>
            </w:pPr>
            <w:r w:rsidRPr="00F67FFD">
              <w:rPr>
                <w:b/>
                <w:sz w:val="21"/>
                <w:szCs w:val="21"/>
              </w:rPr>
              <w:t>资产评估行业业务类型</w:t>
            </w:r>
          </w:p>
        </w:tc>
        <w:tc>
          <w:tcPr>
            <w:tcW w:w="1272" w:type="pct"/>
            <w:tcBorders>
              <w:top w:val="single" w:sz="4" w:space="0" w:color="auto"/>
              <w:left w:val="nil"/>
              <w:bottom w:val="single" w:sz="4" w:space="0" w:color="auto"/>
              <w:right w:val="single" w:sz="4" w:space="0" w:color="auto"/>
            </w:tcBorders>
            <w:shd w:val="clear" w:color="auto" w:fill="auto"/>
            <w:noWrap/>
            <w:vAlign w:val="center"/>
            <w:hideMark/>
          </w:tcPr>
          <w:p w14:paraId="0E78BE9E" w14:textId="77777777" w:rsidR="00F67FFD" w:rsidRPr="00F67FFD" w:rsidRDefault="00F67FFD" w:rsidP="00F67FFD">
            <w:pPr>
              <w:pStyle w:val="13"/>
              <w:spacing w:line="240" w:lineRule="auto"/>
              <w:ind w:firstLineChars="0" w:firstLine="0"/>
              <w:jc w:val="center"/>
              <w:rPr>
                <w:b/>
                <w:sz w:val="21"/>
                <w:szCs w:val="21"/>
              </w:rPr>
            </w:pPr>
            <w:r w:rsidRPr="00F67FFD">
              <w:rPr>
                <w:b/>
                <w:sz w:val="21"/>
                <w:szCs w:val="21"/>
              </w:rPr>
              <w:t>需求方类别</w:t>
            </w:r>
          </w:p>
        </w:tc>
        <w:tc>
          <w:tcPr>
            <w:tcW w:w="2179" w:type="pct"/>
            <w:tcBorders>
              <w:top w:val="single" w:sz="4" w:space="0" w:color="auto"/>
              <w:left w:val="nil"/>
              <w:bottom w:val="single" w:sz="4" w:space="0" w:color="auto"/>
              <w:right w:val="single" w:sz="4" w:space="0" w:color="auto"/>
            </w:tcBorders>
            <w:shd w:val="clear" w:color="auto" w:fill="auto"/>
            <w:noWrap/>
            <w:vAlign w:val="center"/>
            <w:hideMark/>
          </w:tcPr>
          <w:p w14:paraId="49356D05" w14:textId="77777777" w:rsidR="00F67FFD" w:rsidRPr="00F67FFD" w:rsidRDefault="00F67FFD" w:rsidP="00F67FFD">
            <w:pPr>
              <w:pStyle w:val="13"/>
              <w:spacing w:line="240" w:lineRule="auto"/>
              <w:ind w:firstLineChars="0" w:firstLine="0"/>
              <w:jc w:val="center"/>
              <w:rPr>
                <w:b/>
                <w:sz w:val="21"/>
                <w:szCs w:val="21"/>
              </w:rPr>
            </w:pPr>
            <w:r w:rsidRPr="00F67FFD">
              <w:rPr>
                <w:rFonts w:hint="eastAsia"/>
                <w:b/>
                <w:sz w:val="21"/>
                <w:szCs w:val="21"/>
              </w:rPr>
              <w:t>触发资产评估行业业务的</w:t>
            </w:r>
            <w:r w:rsidRPr="00F67FFD">
              <w:rPr>
                <w:b/>
                <w:sz w:val="21"/>
                <w:szCs w:val="21"/>
              </w:rPr>
              <w:t>经济行为数量</w:t>
            </w:r>
          </w:p>
        </w:tc>
      </w:tr>
      <w:tr w:rsidR="00F67FFD" w:rsidRPr="00F67FFD" w14:paraId="585A20B5" w14:textId="77777777" w:rsidTr="00F67FFD">
        <w:trPr>
          <w:trHeight w:val="280"/>
          <w:jc w:val="center"/>
        </w:trPr>
        <w:tc>
          <w:tcPr>
            <w:tcW w:w="1549" w:type="pct"/>
            <w:tcBorders>
              <w:top w:val="nil"/>
              <w:left w:val="single" w:sz="4" w:space="0" w:color="auto"/>
              <w:bottom w:val="single" w:sz="4" w:space="0" w:color="auto"/>
              <w:right w:val="single" w:sz="4" w:space="0" w:color="auto"/>
            </w:tcBorders>
            <w:shd w:val="clear" w:color="auto" w:fill="auto"/>
            <w:noWrap/>
            <w:vAlign w:val="center"/>
            <w:hideMark/>
          </w:tcPr>
          <w:p w14:paraId="31639DC9"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评估类业务</w:t>
            </w:r>
          </w:p>
        </w:tc>
        <w:tc>
          <w:tcPr>
            <w:tcW w:w="1272" w:type="pct"/>
            <w:tcBorders>
              <w:top w:val="nil"/>
              <w:left w:val="nil"/>
              <w:bottom w:val="single" w:sz="4" w:space="0" w:color="auto"/>
              <w:right w:val="single" w:sz="4" w:space="0" w:color="auto"/>
            </w:tcBorders>
            <w:shd w:val="clear" w:color="auto" w:fill="auto"/>
            <w:noWrap/>
            <w:vAlign w:val="center"/>
            <w:hideMark/>
          </w:tcPr>
          <w:p w14:paraId="55A8EE9A" w14:textId="77777777" w:rsidR="00F67FFD" w:rsidRPr="00F67FFD" w:rsidRDefault="00F67FFD" w:rsidP="00F67FFD">
            <w:pPr>
              <w:pStyle w:val="13"/>
              <w:spacing w:line="240" w:lineRule="auto"/>
              <w:ind w:firstLineChars="0" w:firstLine="0"/>
              <w:jc w:val="center"/>
              <w:rPr>
                <w:sz w:val="21"/>
                <w:szCs w:val="21"/>
              </w:rPr>
            </w:pPr>
            <w:r w:rsidRPr="00F67FFD">
              <w:rPr>
                <w:rFonts w:hint="eastAsia"/>
                <w:sz w:val="21"/>
                <w:szCs w:val="21"/>
              </w:rPr>
              <w:t>8</w:t>
            </w:r>
          </w:p>
        </w:tc>
        <w:tc>
          <w:tcPr>
            <w:tcW w:w="2179" w:type="pct"/>
            <w:tcBorders>
              <w:top w:val="nil"/>
              <w:left w:val="nil"/>
              <w:bottom w:val="single" w:sz="4" w:space="0" w:color="auto"/>
              <w:right w:val="single" w:sz="4" w:space="0" w:color="auto"/>
            </w:tcBorders>
            <w:shd w:val="clear" w:color="auto" w:fill="auto"/>
            <w:noWrap/>
            <w:vAlign w:val="center"/>
            <w:hideMark/>
          </w:tcPr>
          <w:p w14:paraId="4CD667D4"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85</w:t>
            </w:r>
          </w:p>
        </w:tc>
      </w:tr>
      <w:tr w:rsidR="00F67FFD" w:rsidRPr="00F67FFD" w14:paraId="124E0F0A" w14:textId="77777777" w:rsidTr="00F67FFD">
        <w:trPr>
          <w:trHeight w:val="280"/>
          <w:jc w:val="center"/>
        </w:trPr>
        <w:tc>
          <w:tcPr>
            <w:tcW w:w="1549" w:type="pct"/>
            <w:tcBorders>
              <w:top w:val="nil"/>
              <w:left w:val="single" w:sz="4" w:space="0" w:color="auto"/>
              <w:bottom w:val="single" w:sz="4" w:space="0" w:color="auto"/>
              <w:right w:val="single" w:sz="4" w:space="0" w:color="auto"/>
            </w:tcBorders>
            <w:shd w:val="clear" w:color="auto" w:fill="auto"/>
            <w:noWrap/>
            <w:vAlign w:val="center"/>
            <w:hideMark/>
          </w:tcPr>
          <w:p w14:paraId="14A5A0CA"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评价类业务</w:t>
            </w:r>
          </w:p>
        </w:tc>
        <w:tc>
          <w:tcPr>
            <w:tcW w:w="1272" w:type="pct"/>
            <w:tcBorders>
              <w:top w:val="nil"/>
              <w:left w:val="nil"/>
              <w:bottom w:val="single" w:sz="4" w:space="0" w:color="auto"/>
              <w:right w:val="single" w:sz="4" w:space="0" w:color="auto"/>
            </w:tcBorders>
            <w:shd w:val="clear" w:color="auto" w:fill="auto"/>
            <w:noWrap/>
            <w:vAlign w:val="center"/>
            <w:hideMark/>
          </w:tcPr>
          <w:p w14:paraId="3116217A"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2</w:t>
            </w:r>
          </w:p>
        </w:tc>
        <w:tc>
          <w:tcPr>
            <w:tcW w:w="2179" w:type="pct"/>
            <w:tcBorders>
              <w:top w:val="nil"/>
              <w:left w:val="nil"/>
              <w:bottom w:val="single" w:sz="4" w:space="0" w:color="auto"/>
              <w:right w:val="single" w:sz="4" w:space="0" w:color="auto"/>
            </w:tcBorders>
            <w:shd w:val="clear" w:color="auto" w:fill="auto"/>
            <w:noWrap/>
            <w:vAlign w:val="center"/>
            <w:hideMark/>
          </w:tcPr>
          <w:p w14:paraId="390F12B9"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12</w:t>
            </w:r>
          </w:p>
        </w:tc>
      </w:tr>
      <w:tr w:rsidR="00F67FFD" w:rsidRPr="00F67FFD" w14:paraId="6FCC877D" w14:textId="77777777" w:rsidTr="00F67FFD">
        <w:trPr>
          <w:trHeight w:val="280"/>
          <w:jc w:val="center"/>
        </w:trPr>
        <w:tc>
          <w:tcPr>
            <w:tcW w:w="1549" w:type="pct"/>
            <w:tcBorders>
              <w:top w:val="nil"/>
              <w:left w:val="single" w:sz="4" w:space="0" w:color="auto"/>
              <w:bottom w:val="single" w:sz="4" w:space="0" w:color="auto"/>
              <w:right w:val="single" w:sz="4" w:space="0" w:color="auto"/>
            </w:tcBorders>
            <w:shd w:val="clear" w:color="auto" w:fill="auto"/>
            <w:noWrap/>
            <w:vAlign w:val="center"/>
            <w:hideMark/>
          </w:tcPr>
          <w:p w14:paraId="57A39F37"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咨询类业务</w:t>
            </w:r>
          </w:p>
        </w:tc>
        <w:tc>
          <w:tcPr>
            <w:tcW w:w="1272" w:type="pct"/>
            <w:tcBorders>
              <w:top w:val="nil"/>
              <w:left w:val="nil"/>
              <w:bottom w:val="single" w:sz="4" w:space="0" w:color="auto"/>
              <w:right w:val="single" w:sz="4" w:space="0" w:color="auto"/>
            </w:tcBorders>
            <w:shd w:val="clear" w:color="auto" w:fill="auto"/>
            <w:noWrap/>
            <w:vAlign w:val="center"/>
            <w:hideMark/>
          </w:tcPr>
          <w:p w14:paraId="3B1FDDBE"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2</w:t>
            </w:r>
          </w:p>
        </w:tc>
        <w:tc>
          <w:tcPr>
            <w:tcW w:w="2179" w:type="pct"/>
            <w:tcBorders>
              <w:top w:val="nil"/>
              <w:left w:val="nil"/>
              <w:bottom w:val="single" w:sz="4" w:space="0" w:color="auto"/>
              <w:right w:val="single" w:sz="4" w:space="0" w:color="auto"/>
            </w:tcBorders>
            <w:shd w:val="clear" w:color="auto" w:fill="auto"/>
            <w:noWrap/>
            <w:vAlign w:val="center"/>
            <w:hideMark/>
          </w:tcPr>
          <w:p w14:paraId="508A96EB"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29</w:t>
            </w:r>
          </w:p>
        </w:tc>
      </w:tr>
      <w:tr w:rsidR="00F67FFD" w:rsidRPr="00F67FFD" w14:paraId="0943B6AC" w14:textId="77777777" w:rsidTr="00F67FFD">
        <w:trPr>
          <w:trHeight w:val="280"/>
          <w:jc w:val="center"/>
        </w:trPr>
        <w:tc>
          <w:tcPr>
            <w:tcW w:w="1549" w:type="pct"/>
            <w:tcBorders>
              <w:top w:val="nil"/>
              <w:left w:val="single" w:sz="4" w:space="0" w:color="auto"/>
              <w:bottom w:val="single" w:sz="4" w:space="0" w:color="auto"/>
              <w:right w:val="single" w:sz="4" w:space="0" w:color="auto"/>
            </w:tcBorders>
            <w:shd w:val="clear" w:color="auto" w:fill="auto"/>
            <w:noWrap/>
            <w:vAlign w:val="center"/>
            <w:hideMark/>
          </w:tcPr>
          <w:p w14:paraId="1476C99D"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合计</w:t>
            </w:r>
          </w:p>
        </w:tc>
        <w:tc>
          <w:tcPr>
            <w:tcW w:w="1272" w:type="pct"/>
            <w:tcBorders>
              <w:top w:val="nil"/>
              <w:left w:val="nil"/>
              <w:bottom w:val="single" w:sz="4" w:space="0" w:color="auto"/>
              <w:right w:val="single" w:sz="4" w:space="0" w:color="auto"/>
            </w:tcBorders>
            <w:shd w:val="clear" w:color="auto" w:fill="auto"/>
            <w:noWrap/>
            <w:vAlign w:val="center"/>
            <w:hideMark/>
          </w:tcPr>
          <w:p w14:paraId="2C21419C" w14:textId="77777777" w:rsidR="00F67FFD" w:rsidRPr="00F67FFD" w:rsidRDefault="00F67FFD" w:rsidP="00F67FFD">
            <w:pPr>
              <w:pStyle w:val="13"/>
              <w:spacing w:line="240" w:lineRule="auto"/>
              <w:ind w:firstLineChars="0" w:firstLine="0"/>
              <w:jc w:val="center"/>
              <w:rPr>
                <w:sz w:val="21"/>
                <w:szCs w:val="21"/>
              </w:rPr>
            </w:pPr>
            <w:r w:rsidRPr="00F67FFD">
              <w:rPr>
                <w:rFonts w:hint="eastAsia"/>
                <w:sz w:val="21"/>
                <w:szCs w:val="21"/>
              </w:rPr>
              <w:t>12</w:t>
            </w:r>
          </w:p>
        </w:tc>
        <w:tc>
          <w:tcPr>
            <w:tcW w:w="2179" w:type="pct"/>
            <w:tcBorders>
              <w:top w:val="nil"/>
              <w:left w:val="nil"/>
              <w:bottom w:val="single" w:sz="4" w:space="0" w:color="auto"/>
              <w:right w:val="single" w:sz="4" w:space="0" w:color="auto"/>
            </w:tcBorders>
            <w:shd w:val="clear" w:color="auto" w:fill="auto"/>
            <w:noWrap/>
            <w:vAlign w:val="center"/>
            <w:hideMark/>
          </w:tcPr>
          <w:p w14:paraId="12DED2A5" w14:textId="77777777" w:rsidR="00F67FFD" w:rsidRPr="00F67FFD" w:rsidRDefault="00F67FFD" w:rsidP="00F67FFD">
            <w:pPr>
              <w:pStyle w:val="13"/>
              <w:spacing w:line="240" w:lineRule="auto"/>
              <w:ind w:firstLineChars="0" w:firstLine="0"/>
              <w:jc w:val="center"/>
              <w:rPr>
                <w:sz w:val="21"/>
                <w:szCs w:val="21"/>
              </w:rPr>
            </w:pPr>
            <w:r w:rsidRPr="00F67FFD">
              <w:rPr>
                <w:sz w:val="21"/>
                <w:szCs w:val="21"/>
              </w:rPr>
              <w:t>126</w:t>
            </w:r>
          </w:p>
        </w:tc>
      </w:tr>
    </w:tbl>
    <w:p w14:paraId="1DF26E8A" w14:textId="77777777" w:rsidR="00F67FFD" w:rsidRDefault="00F67FFD" w:rsidP="00F67FFD">
      <w:pPr>
        <w:pStyle w:val="ab"/>
        <w:spacing w:before="62" w:after="62"/>
        <w:ind w:firstLine="482"/>
      </w:pPr>
      <w:r>
        <w:rPr>
          <w:rFonts w:hint="eastAsia"/>
        </w:rPr>
        <w:t>一、评估类业务</w:t>
      </w:r>
    </w:p>
    <w:p w14:paraId="7887773A" w14:textId="77777777" w:rsidR="00F67FFD" w:rsidRDefault="00F67FFD" w:rsidP="00F67FFD">
      <w:pPr>
        <w:pStyle w:val="13"/>
      </w:pPr>
      <w:r>
        <w:rPr>
          <w:rFonts w:hint="eastAsia"/>
        </w:rPr>
        <w:t>评估类业务涉及的需求方包括：国资委、财政部及其授权履行国有资产监管的中央企业和中央金融企业，国有企业，国有金融企业，中央文化企业，上市公司与非上市公众公司，行政事业单位，企业及其</w:t>
      </w:r>
      <w:proofErr w:type="gramStart"/>
      <w:r>
        <w:rPr>
          <w:rFonts w:hint="eastAsia"/>
        </w:rPr>
        <w:t>他主体</w:t>
      </w:r>
      <w:proofErr w:type="gramEnd"/>
      <w:r>
        <w:rPr>
          <w:rFonts w:hint="eastAsia"/>
        </w:rPr>
        <w:t>等，触发资产评估行业业务的经济行为共计</w:t>
      </w:r>
      <w:r>
        <w:t>85项，如表2所示。</w:t>
      </w:r>
    </w:p>
    <w:p w14:paraId="1E71FBA3" w14:textId="153D1039" w:rsidR="000332D5" w:rsidRDefault="00F67FFD" w:rsidP="00F67FFD">
      <w:pPr>
        <w:pStyle w:val="13"/>
        <w:ind w:firstLineChars="0" w:firstLine="0"/>
        <w:jc w:val="center"/>
      </w:pPr>
      <w:r>
        <w:rPr>
          <w:rFonts w:hint="eastAsia"/>
        </w:rPr>
        <w:t>表</w:t>
      </w:r>
      <w:r>
        <w:t>2 评估类业务</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712"/>
        <w:gridCol w:w="992"/>
        <w:gridCol w:w="5380"/>
      </w:tblGrid>
      <w:tr w:rsidR="00F67FFD" w:rsidRPr="00F67FFD" w14:paraId="1086DADE" w14:textId="77777777" w:rsidTr="00F67FFD">
        <w:trPr>
          <w:trHeight w:val="499"/>
          <w:tblHeader/>
        </w:trPr>
        <w:tc>
          <w:tcPr>
            <w:tcW w:w="2405" w:type="dxa"/>
            <w:gridSpan w:val="2"/>
            <w:shd w:val="clear" w:color="auto" w:fill="auto"/>
            <w:vAlign w:val="center"/>
            <w:hideMark/>
          </w:tcPr>
          <w:p w14:paraId="60EBCC68" w14:textId="77777777" w:rsidR="00F67FFD" w:rsidRPr="00F67FFD" w:rsidRDefault="00F67FFD" w:rsidP="00F67FFD">
            <w:pPr>
              <w:pStyle w:val="13"/>
              <w:spacing w:line="240" w:lineRule="auto"/>
              <w:ind w:firstLineChars="0" w:firstLine="0"/>
              <w:jc w:val="center"/>
              <w:rPr>
                <w:b/>
                <w:bCs/>
                <w:sz w:val="21"/>
                <w:szCs w:val="21"/>
              </w:rPr>
            </w:pPr>
            <w:r w:rsidRPr="00F67FFD">
              <w:rPr>
                <w:b/>
                <w:bCs/>
                <w:sz w:val="21"/>
                <w:szCs w:val="21"/>
              </w:rPr>
              <w:t>需求方</w:t>
            </w:r>
          </w:p>
        </w:tc>
        <w:tc>
          <w:tcPr>
            <w:tcW w:w="6372" w:type="dxa"/>
            <w:gridSpan w:val="2"/>
            <w:shd w:val="clear" w:color="auto" w:fill="auto"/>
            <w:vAlign w:val="center"/>
            <w:hideMark/>
          </w:tcPr>
          <w:p w14:paraId="510D912A" w14:textId="77777777" w:rsidR="00F67FFD" w:rsidRPr="00F67FFD" w:rsidRDefault="00F67FFD" w:rsidP="00F67FFD">
            <w:pPr>
              <w:pStyle w:val="13"/>
              <w:spacing w:line="240" w:lineRule="auto"/>
              <w:ind w:firstLineChars="0" w:firstLine="0"/>
              <w:jc w:val="center"/>
              <w:rPr>
                <w:b/>
                <w:bCs/>
                <w:sz w:val="21"/>
                <w:szCs w:val="21"/>
              </w:rPr>
            </w:pPr>
            <w:r w:rsidRPr="00F67FFD">
              <w:rPr>
                <w:b/>
                <w:bCs/>
                <w:sz w:val="21"/>
                <w:szCs w:val="21"/>
              </w:rPr>
              <w:t>触发资产评估行业业务的具体经济行为</w:t>
            </w:r>
          </w:p>
        </w:tc>
      </w:tr>
      <w:tr w:rsidR="00F67FFD" w:rsidRPr="00F67FFD" w14:paraId="69344612" w14:textId="77777777" w:rsidTr="00F67FFD">
        <w:trPr>
          <w:trHeight w:val="20"/>
        </w:trPr>
        <w:tc>
          <w:tcPr>
            <w:tcW w:w="693" w:type="dxa"/>
            <w:vMerge w:val="restart"/>
            <w:shd w:val="clear" w:color="auto" w:fill="auto"/>
            <w:noWrap/>
            <w:vAlign w:val="center"/>
            <w:hideMark/>
          </w:tcPr>
          <w:p w14:paraId="20872BA0" w14:textId="77777777" w:rsidR="00F67FFD" w:rsidRPr="00F67FFD" w:rsidRDefault="00F67FFD" w:rsidP="00F67FFD">
            <w:pPr>
              <w:pStyle w:val="13"/>
              <w:spacing w:line="240" w:lineRule="auto"/>
              <w:ind w:firstLineChars="0" w:firstLine="0"/>
              <w:rPr>
                <w:sz w:val="21"/>
                <w:szCs w:val="21"/>
              </w:rPr>
            </w:pPr>
            <w:r w:rsidRPr="00F67FFD">
              <w:rPr>
                <w:sz w:val="21"/>
                <w:szCs w:val="21"/>
              </w:rPr>
              <w:t>1.1</w:t>
            </w:r>
          </w:p>
        </w:tc>
        <w:tc>
          <w:tcPr>
            <w:tcW w:w="1712" w:type="dxa"/>
            <w:vMerge w:val="restart"/>
            <w:shd w:val="clear" w:color="auto" w:fill="auto"/>
            <w:vAlign w:val="center"/>
            <w:hideMark/>
          </w:tcPr>
          <w:p w14:paraId="7CA15CB5" w14:textId="77777777" w:rsidR="00F67FFD" w:rsidRPr="00F67FFD" w:rsidRDefault="00F67FFD" w:rsidP="00F67FFD">
            <w:pPr>
              <w:pStyle w:val="13"/>
              <w:spacing w:line="240" w:lineRule="auto"/>
              <w:ind w:firstLineChars="0" w:firstLine="0"/>
              <w:rPr>
                <w:sz w:val="21"/>
                <w:szCs w:val="21"/>
              </w:rPr>
            </w:pPr>
            <w:r w:rsidRPr="00F67FFD">
              <w:rPr>
                <w:sz w:val="21"/>
                <w:szCs w:val="21"/>
              </w:rPr>
              <w:t>国资委</w:t>
            </w:r>
            <w:r w:rsidRPr="00F67FFD">
              <w:rPr>
                <w:rFonts w:hint="eastAsia"/>
                <w:sz w:val="21"/>
                <w:szCs w:val="21"/>
              </w:rPr>
              <w:t>、</w:t>
            </w:r>
            <w:r w:rsidRPr="00F67FFD">
              <w:rPr>
                <w:sz w:val="21"/>
                <w:szCs w:val="21"/>
              </w:rPr>
              <w:t>财政部及其授权履行国有资产监管的中央企业和中央金融企业</w:t>
            </w:r>
          </w:p>
        </w:tc>
        <w:tc>
          <w:tcPr>
            <w:tcW w:w="992" w:type="dxa"/>
            <w:shd w:val="clear" w:color="auto" w:fill="auto"/>
            <w:noWrap/>
            <w:vAlign w:val="center"/>
            <w:hideMark/>
          </w:tcPr>
          <w:p w14:paraId="556E85D0" w14:textId="77777777" w:rsidR="00F67FFD" w:rsidRPr="00F67FFD" w:rsidRDefault="00F67FFD" w:rsidP="00F67FFD">
            <w:pPr>
              <w:pStyle w:val="13"/>
              <w:spacing w:line="240" w:lineRule="auto"/>
              <w:ind w:firstLineChars="0" w:firstLine="0"/>
              <w:rPr>
                <w:sz w:val="21"/>
                <w:szCs w:val="21"/>
              </w:rPr>
            </w:pPr>
            <w:r w:rsidRPr="00F67FFD">
              <w:rPr>
                <w:sz w:val="21"/>
                <w:szCs w:val="21"/>
              </w:rPr>
              <w:t>1.1.1</w:t>
            </w:r>
          </w:p>
        </w:tc>
        <w:tc>
          <w:tcPr>
            <w:tcW w:w="5380" w:type="dxa"/>
            <w:shd w:val="clear" w:color="auto" w:fill="auto"/>
            <w:noWrap/>
            <w:vAlign w:val="center"/>
            <w:hideMark/>
          </w:tcPr>
          <w:p w14:paraId="0C10525C" w14:textId="77777777" w:rsidR="00F67FFD" w:rsidRPr="00F67FFD" w:rsidRDefault="00F67FFD" w:rsidP="00F67FFD">
            <w:pPr>
              <w:pStyle w:val="13"/>
              <w:spacing w:line="240" w:lineRule="auto"/>
              <w:ind w:firstLineChars="0" w:firstLine="0"/>
              <w:rPr>
                <w:sz w:val="21"/>
                <w:szCs w:val="21"/>
              </w:rPr>
            </w:pPr>
            <w:r w:rsidRPr="00F67FFD">
              <w:rPr>
                <w:sz w:val="21"/>
                <w:szCs w:val="21"/>
              </w:rPr>
              <w:t>资产转让</w:t>
            </w:r>
          </w:p>
        </w:tc>
      </w:tr>
      <w:tr w:rsidR="00F67FFD" w:rsidRPr="00F67FFD" w14:paraId="20C19FF7" w14:textId="77777777" w:rsidTr="00F67FFD">
        <w:trPr>
          <w:trHeight w:val="20"/>
        </w:trPr>
        <w:tc>
          <w:tcPr>
            <w:tcW w:w="693" w:type="dxa"/>
            <w:vMerge/>
            <w:shd w:val="clear" w:color="auto" w:fill="auto"/>
            <w:vAlign w:val="center"/>
            <w:hideMark/>
          </w:tcPr>
          <w:p w14:paraId="157118A7"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2ECB78AA"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4EE0DBDC" w14:textId="77777777" w:rsidR="00F67FFD" w:rsidRPr="00F67FFD" w:rsidRDefault="00F67FFD" w:rsidP="00F67FFD">
            <w:pPr>
              <w:pStyle w:val="13"/>
              <w:spacing w:line="240" w:lineRule="auto"/>
              <w:ind w:firstLineChars="0" w:firstLine="0"/>
              <w:rPr>
                <w:sz w:val="21"/>
                <w:szCs w:val="21"/>
              </w:rPr>
            </w:pPr>
            <w:r w:rsidRPr="00F67FFD">
              <w:rPr>
                <w:sz w:val="21"/>
                <w:szCs w:val="21"/>
              </w:rPr>
              <w:t>1.1.2</w:t>
            </w:r>
          </w:p>
        </w:tc>
        <w:tc>
          <w:tcPr>
            <w:tcW w:w="5380" w:type="dxa"/>
            <w:shd w:val="clear" w:color="auto" w:fill="auto"/>
            <w:noWrap/>
            <w:vAlign w:val="center"/>
            <w:hideMark/>
          </w:tcPr>
          <w:p w14:paraId="235F796A" w14:textId="77777777" w:rsidR="00F67FFD" w:rsidRPr="00F67FFD" w:rsidRDefault="00F67FFD" w:rsidP="00F67FFD">
            <w:pPr>
              <w:pStyle w:val="13"/>
              <w:spacing w:line="240" w:lineRule="auto"/>
              <w:ind w:firstLineChars="0" w:firstLine="0"/>
              <w:rPr>
                <w:sz w:val="21"/>
                <w:szCs w:val="21"/>
              </w:rPr>
            </w:pPr>
            <w:r w:rsidRPr="00F67FFD">
              <w:rPr>
                <w:sz w:val="21"/>
                <w:szCs w:val="21"/>
              </w:rPr>
              <w:t>资产拍卖</w:t>
            </w:r>
          </w:p>
        </w:tc>
      </w:tr>
      <w:tr w:rsidR="00F67FFD" w:rsidRPr="00F67FFD" w14:paraId="75BBDE1A" w14:textId="77777777" w:rsidTr="00F67FFD">
        <w:trPr>
          <w:trHeight w:val="20"/>
        </w:trPr>
        <w:tc>
          <w:tcPr>
            <w:tcW w:w="693" w:type="dxa"/>
            <w:vMerge/>
            <w:shd w:val="clear" w:color="auto" w:fill="auto"/>
            <w:vAlign w:val="center"/>
            <w:hideMark/>
          </w:tcPr>
          <w:p w14:paraId="3F229302"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2C6E8A1F"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7B58B4C" w14:textId="77777777" w:rsidR="00F67FFD" w:rsidRPr="00F67FFD" w:rsidRDefault="00F67FFD" w:rsidP="00F67FFD">
            <w:pPr>
              <w:pStyle w:val="13"/>
              <w:spacing w:line="240" w:lineRule="auto"/>
              <w:ind w:firstLineChars="0" w:firstLine="0"/>
              <w:rPr>
                <w:sz w:val="21"/>
                <w:szCs w:val="21"/>
              </w:rPr>
            </w:pPr>
            <w:r w:rsidRPr="00F67FFD">
              <w:rPr>
                <w:sz w:val="21"/>
                <w:szCs w:val="21"/>
              </w:rPr>
              <w:t>1.1.3</w:t>
            </w:r>
          </w:p>
        </w:tc>
        <w:tc>
          <w:tcPr>
            <w:tcW w:w="5380" w:type="dxa"/>
            <w:shd w:val="clear" w:color="auto" w:fill="auto"/>
            <w:noWrap/>
            <w:vAlign w:val="center"/>
            <w:hideMark/>
          </w:tcPr>
          <w:p w14:paraId="7AADB9BF" w14:textId="77777777" w:rsidR="00F67FFD" w:rsidRPr="00F67FFD" w:rsidRDefault="00F67FFD" w:rsidP="00F67FFD">
            <w:pPr>
              <w:pStyle w:val="13"/>
              <w:spacing w:line="240" w:lineRule="auto"/>
              <w:ind w:firstLineChars="0" w:firstLine="0"/>
              <w:rPr>
                <w:sz w:val="21"/>
                <w:szCs w:val="21"/>
              </w:rPr>
            </w:pPr>
            <w:r w:rsidRPr="00F67FFD">
              <w:rPr>
                <w:sz w:val="21"/>
                <w:szCs w:val="21"/>
              </w:rPr>
              <w:t>资产偿债</w:t>
            </w:r>
          </w:p>
        </w:tc>
      </w:tr>
      <w:tr w:rsidR="00F67FFD" w:rsidRPr="00F67FFD" w14:paraId="1D49D8DC" w14:textId="77777777" w:rsidTr="00F67FFD">
        <w:trPr>
          <w:trHeight w:val="20"/>
        </w:trPr>
        <w:tc>
          <w:tcPr>
            <w:tcW w:w="693" w:type="dxa"/>
            <w:vMerge/>
            <w:shd w:val="clear" w:color="auto" w:fill="auto"/>
            <w:vAlign w:val="center"/>
            <w:hideMark/>
          </w:tcPr>
          <w:p w14:paraId="43448641"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36DF3A5D"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CCED7F4" w14:textId="77777777" w:rsidR="00F67FFD" w:rsidRPr="00F67FFD" w:rsidRDefault="00F67FFD" w:rsidP="00F67FFD">
            <w:pPr>
              <w:pStyle w:val="13"/>
              <w:spacing w:line="240" w:lineRule="auto"/>
              <w:ind w:firstLineChars="0" w:firstLine="0"/>
              <w:rPr>
                <w:sz w:val="21"/>
                <w:szCs w:val="21"/>
              </w:rPr>
            </w:pPr>
            <w:r w:rsidRPr="00F67FFD">
              <w:rPr>
                <w:sz w:val="21"/>
                <w:szCs w:val="21"/>
              </w:rPr>
              <w:t>1.1.4</w:t>
            </w:r>
          </w:p>
        </w:tc>
        <w:tc>
          <w:tcPr>
            <w:tcW w:w="5380" w:type="dxa"/>
            <w:shd w:val="clear" w:color="auto" w:fill="auto"/>
            <w:noWrap/>
            <w:vAlign w:val="center"/>
            <w:hideMark/>
          </w:tcPr>
          <w:p w14:paraId="163F8123" w14:textId="77777777" w:rsidR="00F67FFD" w:rsidRPr="00F67FFD" w:rsidRDefault="00F67FFD" w:rsidP="00F67FFD">
            <w:pPr>
              <w:pStyle w:val="13"/>
              <w:spacing w:line="240" w:lineRule="auto"/>
              <w:ind w:firstLineChars="0" w:firstLine="0"/>
              <w:rPr>
                <w:sz w:val="21"/>
                <w:szCs w:val="21"/>
              </w:rPr>
            </w:pPr>
            <w:r w:rsidRPr="00F67FFD">
              <w:rPr>
                <w:sz w:val="21"/>
                <w:szCs w:val="21"/>
              </w:rPr>
              <w:t>资产租赁</w:t>
            </w:r>
          </w:p>
        </w:tc>
      </w:tr>
      <w:tr w:rsidR="00F67FFD" w:rsidRPr="00F67FFD" w14:paraId="6EB1582B" w14:textId="77777777" w:rsidTr="00F67FFD">
        <w:trPr>
          <w:trHeight w:val="20"/>
        </w:trPr>
        <w:tc>
          <w:tcPr>
            <w:tcW w:w="693" w:type="dxa"/>
            <w:vMerge/>
            <w:shd w:val="clear" w:color="auto" w:fill="auto"/>
            <w:vAlign w:val="center"/>
            <w:hideMark/>
          </w:tcPr>
          <w:p w14:paraId="35112BCA"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6EC9C33D"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4D53F9B7" w14:textId="77777777" w:rsidR="00F67FFD" w:rsidRPr="00F67FFD" w:rsidRDefault="00F67FFD" w:rsidP="00F67FFD">
            <w:pPr>
              <w:pStyle w:val="13"/>
              <w:spacing w:line="240" w:lineRule="auto"/>
              <w:ind w:firstLineChars="0" w:firstLine="0"/>
              <w:rPr>
                <w:sz w:val="21"/>
                <w:szCs w:val="21"/>
              </w:rPr>
            </w:pPr>
            <w:r w:rsidRPr="00F67FFD">
              <w:rPr>
                <w:sz w:val="21"/>
                <w:szCs w:val="21"/>
              </w:rPr>
              <w:t>1.1.5</w:t>
            </w:r>
          </w:p>
        </w:tc>
        <w:tc>
          <w:tcPr>
            <w:tcW w:w="5380" w:type="dxa"/>
            <w:shd w:val="clear" w:color="auto" w:fill="auto"/>
            <w:noWrap/>
            <w:vAlign w:val="center"/>
            <w:hideMark/>
          </w:tcPr>
          <w:p w14:paraId="299FB361" w14:textId="77777777" w:rsidR="00F67FFD" w:rsidRPr="00F67FFD" w:rsidRDefault="00F67FFD" w:rsidP="00F67FFD">
            <w:pPr>
              <w:pStyle w:val="13"/>
              <w:spacing w:line="240" w:lineRule="auto"/>
              <w:ind w:firstLineChars="0" w:firstLine="0"/>
              <w:rPr>
                <w:sz w:val="21"/>
                <w:szCs w:val="21"/>
              </w:rPr>
            </w:pPr>
            <w:r w:rsidRPr="00F67FFD">
              <w:rPr>
                <w:sz w:val="21"/>
                <w:szCs w:val="21"/>
              </w:rPr>
              <w:t>资产抵押</w:t>
            </w:r>
          </w:p>
        </w:tc>
      </w:tr>
      <w:tr w:rsidR="00F67FFD" w:rsidRPr="00F67FFD" w14:paraId="3AEDB316" w14:textId="77777777" w:rsidTr="00F67FFD">
        <w:trPr>
          <w:trHeight w:val="20"/>
        </w:trPr>
        <w:tc>
          <w:tcPr>
            <w:tcW w:w="693" w:type="dxa"/>
            <w:vMerge/>
            <w:shd w:val="clear" w:color="auto" w:fill="auto"/>
            <w:vAlign w:val="center"/>
            <w:hideMark/>
          </w:tcPr>
          <w:p w14:paraId="249051D9"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4FA0BEC8"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64C3ED66" w14:textId="77777777" w:rsidR="00F67FFD" w:rsidRPr="00F67FFD" w:rsidRDefault="00F67FFD" w:rsidP="00F67FFD">
            <w:pPr>
              <w:pStyle w:val="13"/>
              <w:spacing w:line="240" w:lineRule="auto"/>
              <w:ind w:firstLineChars="0" w:firstLine="0"/>
              <w:rPr>
                <w:sz w:val="21"/>
                <w:szCs w:val="21"/>
              </w:rPr>
            </w:pPr>
            <w:r w:rsidRPr="00F67FFD">
              <w:rPr>
                <w:sz w:val="21"/>
                <w:szCs w:val="21"/>
              </w:rPr>
              <w:t>1.1.6</w:t>
            </w:r>
          </w:p>
        </w:tc>
        <w:tc>
          <w:tcPr>
            <w:tcW w:w="5380" w:type="dxa"/>
            <w:shd w:val="clear" w:color="auto" w:fill="auto"/>
            <w:noWrap/>
            <w:vAlign w:val="center"/>
            <w:hideMark/>
          </w:tcPr>
          <w:p w14:paraId="4B774DBA" w14:textId="77777777" w:rsidR="00F67FFD" w:rsidRPr="00F67FFD" w:rsidRDefault="00F67FFD" w:rsidP="00F67FFD">
            <w:pPr>
              <w:pStyle w:val="13"/>
              <w:spacing w:line="240" w:lineRule="auto"/>
              <w:ind w:firstLineChars="0" w:firstLine="0"/>
              <w:rPr>
                <w:sz w:val="21"/>
                <w:szCs w:val="21"/>
              </w:rPr>
            </w:pPr>
            <w:r w:rsidRPr="00F67FFD">
              <w:rPr>
                <w:sz w:val="21"/>
                <w:szCs w:val="21"/>
              </w:rPr>
              <w:t>资产质押</w:t>
            </w:r>
          </w:p>
        </w:tc>
      </w:tr>
      <w:tr w:rsidR="00F67FFD" w:rsidRPr="00F67FFD" w14:paraId="7265965E" w14:textId="77777777" w:rsidTr="00F67FFD">
        <w:trPr>
          <w:trHeight w:val="20"/>
        </w:trPr>
        <w:tc>
          <w:tcPr>
            <w:tcW w:w="693" w:type="dxa"/>
            <w:vMerge/>
            <w:shd w:val="clear" w:color="auto" w:fill="auto"/>
            <w:vAlign w:val="center"/>
            <w:hideMark/>
          </w:tcPr>
          <w:p w14:paraId="4BFC16A7"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20FDDF55"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466D917A" w14:textId="77777777" w:rsidR="00F67FFD" w:rsidRPr="00F67FFD" w:rsidRDefault="00F67FFD" w:rsidP="00F67FFD">
            <w:pPr>
              <w:pStyle w:val="13"/>
              <w:spacing w:line="240" w:lineRule="auto"/>
              <w:ind w:firstLineChars="0" w:firstLine="0"/>
              <w:rPr>
                <w:sz w:val="21"/>
                <w:szCs w:val="21"/>
              </w:rPr>
            </w:pPr>
            <w:r w:rsidRPr="00F67FFD">
              <w:rPr>
                <w:sz w:val="21"/>
                <w:szCs w:val="21"/>
              </w:rPr>
              <w:t>1.1.7</w:t>
            </w:r>
          </w:p>
        </w:tc>
        <w:tc>
          <w:tcPr>
            <w:tcW w:w="5380" w:type="dxa"/>
            <w:shd w:val="clear" w:color="auto" w:fill="auto"/>
            <w:noWrap/>
            <w:vAlign w:val="center"/>
            <w:hideMark/>
          </w:tcPr>
          <w:p w14:paraId="7472C7BD" w14:textId="77777777" w:rsidR="00F67FFD" w:rsidRPr="00F67FFD" w:rsidRDefault="00F67FFD" w:rsidP="00F67FFD">
            <w:pPr>
              <w:pStyle w:val="13"/>
              <w:spacing w:line="240" w:lineRule="auto"/>
              <w:ind w:firstLineChars="0" w:firstLine="0"/>
              <w:rPr>
                <w:sz w:val="21"/>
                <w:szCs w:val="21"/>
              </w:rPr>
            </w:pPr>
            <w:r w:rsidRPr="00F67FFD">
              <w:rPr>
                <w:sz w:val="21"/>
                <w:szCs w:val="21"/>
              </w:rPr>
              <w:t>资产重组</w:t>
            </w:r>
          </w:p>
        </w:tc>
      </w:tr>
      <w:tr w:rsidR="00F67FFD" w:rsidRPr="00F67FFD" w14:paraId="108E6B88" w14:textId="77777777" w:rsidTr="00F67FFD">
        <w:trPr>
          <w:trHeight w:val="20"/>
        </w:trPr>
        <w:tc>
          <w:tcPr>
            <w:tcW w:w="693" w:type="dxa"/>
            <w:vMerge/>
            <w:shd w:val="clear" w:color="auto" w:fill="auto"/>
            <w:vAlign w:val="center"/>
            <w:hideMark/>
          </w:tcPr>
          <w:p w14:paraId="3E4685F7"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328E2B46"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131EEE68" w14:textId="77777777" w:rsidR="00F67FFD" w:rsidRPr="00F67FFD" w:rsidRDefault="00F67FFD" w:rsidP="00F67FFD">
            <w:pPr>
              <w:pStyle w:val="13"/>
              <w:spacing w:line="240" w:lineRule="auto"/>
              <w:ind w:firstLineChars="0" w:firstLine="0"/>
              <w:rPr>
                <w:sz w:val="21"/>
                <w:szCs w:val="21"/>
              </w:rPr>
            </w:pPr>
            <w:r w:rsidRPr="00F67FFD">
              <w:rPr>
                <w:sz w:val="21"/>
                <w:szCs w:val="21"/>
              </w:rPr>
              <w:t>1.1.8</w:t>
            </w:r>
          </w:p>
        </w:tc>
        <w:tc>
          <w:tcPr>
            <w:tcW w:w="5380" w:type="dxa"/>
            <w:shd w:val="clear" w:color="auto" w:fill="auto"/>
            <w:noWrap/>
            <w:vAlign w:val="center"/>
            <w:hideMark/>
          </w:tcPr>
          <w:p w14:paraId="24ACB452" w14:textId="77777777" w:rsidR="00F67FFD" w:rsidRPr="00F67FFD" w:rsidRDefault="00F67FFD" w:rsidP="00F67FFD">
            <w:pPr>
              <w:pStyle w:val="13"/>
              <w:spacing w:line="240" w:lineRule="auto"/>
              <w:ind w:firstLineChars="0" w:firstLine="0"/>
              <w:rPr>
                <w:sz w:val="21"/>
                <w:szCs w:val="21"/>
              </w:rPr>
            </w:pPr>
            <w:r w:rsidRPr="00F67FFD">
              <w:rPr>
                <w:sz w:val="21"/>
                <w:szCs w:val="21"/>
              </w:rPr>
              <w:t>资产捐赠</w:t>
            </w:r>
          </w:p>
        </w:tc>
      </w:tr>
      <w:tr w:rsidR="00F67FFD" w:rsidRPr="00F67FFD" w14:paraId="5F8BBF23" w14:textId="77777777" w:rsidTr="00F67FFD">
        <w:trPr>
          <w:trHeight w:val="20"/>
        </w:trPr>
        <w:tc>
          <w:tcPr>
            <w:tcW w:w="693" w:type="dxa"/>
            <w:vMerge/>
            <w:shd w:val="clear" w:color="auto" w:fill="auto"/>
            <w:vAlign w:val="center"/>
            <w:hideMark/>
          </w:tcPr>
          <w:p w14:paraId="42C00DA8"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CD8CA49"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03D52DB6" w14:textId="77777777" w:rsidR="00F67FFD" w:rsidRPr="00F67FFD" w:rsidRDefault="00F67FFD" w:rsidP="00F67FFD">
            <w:pPr>
              <w:pStyle w:val="13"/>
              <w:spacing w:line="240" w:lineRule="auto"/>
              <w:ind w:firstLineChars="0" w:firstLine="0"/>
              <w:rPr>
                <w:sz w:val="21"/>
                <w:szCs w:val="21"/>
              </w:rPr>
            </w:pPr>
            <w:r w:rsidRPr="00F67FFD">
              <w:rPr>
                <w:sz w:val="21"/>
                <w:szCs w:val="21"/>
              </w:rPr>
              <w:t>1.1.9</w:t>
            </w:r>
          </w:p>
        </w:tc>
        <w:tc>
          <w:tcPr>
            <w:tcW w:w="5380" w:type="dxa"/>
            <w:shd w:val="clear" w:color="auto" w:fill="auto"/>
            <w:noWrap/>
            <w:vAlign w:val="center"/>
            <w:hideMark/>
          </w:tcPr>
          <w:p w14:paraId="244754C5" w14:textId="77777777" w:rsidR="00F67FFD" w:rsidRPr="00F67FFD" w:rsidRDefault="00F67FFD" w:rsidP="00F67FFD">
            <w:pPr>
              <w:pStyle w:val="13"/>
              <w:spacing w:line="240" w:lineRule="auto"/>
              <w:ind w:firstLineChars="0" w:firstLine="0"/>
              <w:rPr>
                <w:sz w:val="21"/>
                <w:szCs w:val="21"/>
              </w:rPr>
            </w:pPr>
            <w:r w:rsidRPr="00F67FFD">
              <w:rPr>
                <w:sz w:val="21"/>
                <w:szCs w:val="21"/>
              </w:rPr>
              <w:t>资产补偿</w:t>
            </w:r>
          </w:p>
        </w:tc>
      </w:tr>
      <w:tr w:rsidR="00F67FFD" w:rsidRPr="00F67FFD" w14:paraId="24375D92" w14:textId="77777777" w:rsidTr="00F67FFD">
        <w:trPr>
          <w:trHeight w:val="20"/>
        </w:trPr>
        <w:tc>
          <w:tcPr>
            <w:tcW w:w="693" w:type="dxa"/>
            <w:vMerge/>
            <w:shd w:val="clear" w:color="auto" w:fill="auto"/>
            <w:vAlign w:val="center"/>
            <w:hideMark/>
          </w:tcPr>
          <w:p w14:paraId="0F309D0D"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705AE73"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10024A7F" w14:textId="77777777" w:rsidR="00F67FFD" w:rsidRPr="00F67FFD" w:rsidRDefault="00F67FFD" w:rsidP="00F67FFD">
            <w:pPr>
              <w:pStyle w:val="13"/>
              <w:spacing w:line="240" w:lineRule="auto"/>
              <w:ind w:firstLineChars="0" w:firstLine="0"/>
              <w:rPr>
                <w:sz w:val="21"/>
                <w:szCs w:val="21"/>
              </w:rPr>
            </w:pPr>
            <w:r w:rsidRPr="00F67FFD">
              <w:rPr>
                <w:sz w:val="21"/>
                <w:szCs w:val="21"/>
              </w:rPr>
              <w:t>1.1.10</w:t>
            </w:r>
          </w:p>
        </w:tc>
        <w:tc>
          <w:tcPr>
            <w:tcW w:w="5380" w:type="dxa"/>
            <w:shd w:val="clear" w:color="auto" w:fill="auto"/>
            <w:noWrap/>
            <w:vAlign w:val="center"/>
            <w:hideMark/>
          </w:tcPr>
          <w:p w14:paraId="42F0A003" w14:textId="77777777" w:rsidR="00F67FFD" w:rsidRPr="00F67FFD" w:rsidRDefault="00F67FFD" w:rsidP="00F67FFD">
            <w:pPr>
              <w:pStyle w:val="13"/>
              <w:spacing w:line="240" w:lineRule="auto"/>
              <w:ind w:firstLineChars="0" w:firstLine="0"/>
              <w:rPr>
                <w:sz w:val="21"/>
                <w:szCs w:val="21"/>
              </w:rPr>
            </w:pPr>
            <w:r w:rsidRPr="00F67FFD">
              <w:rPr>
                <w:sz w:val="21"/>
                <w:szCs w:val="21"/>
              </w:rPr>
              <w:t>资产涉讼</w:t>
            </w:r>
          </w:p>
        </w:tc>
      </w:tr>
      <w:tr w:rsidR="00F67FFD" w:rsidRPr="00F67FFD" w14:paraId="168B0186" w14:textId="77777777" w:rsidTr="00F67FFD">
        <w:trPr>
          <w:trHeight w:val="20"/>
        </w:trPr>
        <w:tc>
          <w:tcPr>
            <w:tcW w:w="693" w:type="dxa"/>
            <w:vMerge/>
            <w:shd w:val="clear" w:color="auto" w:fill="auto"/>
            <w:vAlign w:val="center"/>
            <w:hideMark/>
          </w:tcPr>
          <w:p w14:paraId="7B0D72A4"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4DF3FE28"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46A12AF" w14:textId="77777777" w:rsidR="00F67FFD" w:rsidRPr="00F67FFD" w:rsidRDefault="00F67FFD" w:rsidP="00F67FFD">
            <w:pPr>
              <w:pStyle w:val="13"/>
              <w:spacing w:line="240" w:lineRule="auto"/>
              <w:ind w:firstLineChars="0" w:firstLine="0"/>
              <w:rPr>
                <w:sz w:val="21"/>
                <w:szCs w:val="21"/>
              </w:rPr>
            </w:pPr>
            <w:r w:rsidRPr="00F67FFD">
              <w:rPr>
                <w:sz w:val="21"/>
                <w:szCs w:val="21"/>
              </w:rPr>
              <w:t>1.1.11</w:t>
            </w:r>
          </w:p>
        </w:tc>
        <w:tc>
          <w:tcPr>
            <w:tcW w:w="5380" w:type="dxa"/>
            <w:shd w:val="clear" w:color="auto" w:fill="auto"/>
            <w:noWrap/>
            <w:vAlign w:val="center"/>
            <w:hideMark/>
          </w:tcPr>
          <w:p w14:paraId="145B885D" w14:textId="77777777" w:rsidR="00F67FFD" w:rsidRPr="00F67FFD" w:rsidRDefault="00F67FFD" w:rsidP="00F67FFD">
            <w:pPr>
              <w:pStyle w:val="13"/>
              <w:spacing w:line="240" w:lineRule="auto"/>
              <w:ind w:firstLineChars="0" w:firstLine="0"/>
              <w:rPr>
                <w:sz w:val="21"/>
                <w:szCs w:val="21"/>
              </w:rPr>
            </w:pPr>
            <w:r w:rsidRPr="00F67FFD">
              <w:rPr>
                <w:sz w:val="21"/>
                <w:szCs w:val="21"/>
              </w:rPr>
              <w:t>对外投资</w:t>
            </w:r>
          </w:p>
        </w:tc>
      </w:tr>
      <w:tr w:rsidR="00F67FFD" w:rsidRPr="00F67FFD" w14:paraId="2D3D0616" w14:textId="77777777" w:rsidTr="00F67FFD">
        <w:trPr>
          <w:trHeight w:val="20"/>
        </w:trPr>
        <w:tc>
          <w:tcPr>
            <w:tcW w:w="693" w:type="dxa"/>
            <w:vMerge/>
            <w:shd w:val="clear" w:color="auto" w:fill="auto"/>
            <w:vAlign w:val="center"/>
            <w:hideMark/>
          </w:tcPr>
          <w:p w14:paraId="6DC62BD2"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668C15B1"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72911A0" w14:textId="77777777" w:rsidR="00F67FFD" w:rsidRPr="00F67FFD" w:rsidRDefault="00F67FFD" w:rsidP="00F67FFD">
            <w:pPr>
              <w:pStyle w:val="13"/>
              <w:spacing w:line="240" w:lineRule="auto"/>
              <w:ind w:firstLineChars="0" w:firstLine="0"/>
              <w:rPr>
                <w:sz w:val="21"/>
                <w:szCs w:val="21"/>
              </w:rPr>
            </w:pPr>
            <w:r w:rsidRPr="00F67FFD">
              <w:rPr>
                <w:sz w:val="21"/>
                <w:szCs w:val="21"/>
              </w:rPr>
              <w:t>1.1.12</w:t>
            </w:r>
          </w:p>
        </w:tc>
        <w:tc>
          <w:tcPr>
            <w:tcW w:w="5380" w:type="dxa"/>
            <w:shd w:val="clear" w:color="auto" w:fill="auto"/>
            <w:noWrap/>
            <w:vAlign w:val="center"/>
            <w:hideMark/>
          </w:tcPr>
          <w:p w14:paraId="6D95F74C" w14:textId="77777777" w:rsidR="00F67FFD" w:rsidRPr="00F67FFD" w:rsidRDefault="00F67FFD" w:rsidP="00F67FFD">
            <w:pPr>
              <w:pStyle w:val="13"/>
              <w:spacing w:line="240" w:lineRule="auto"/>
              <w:ind w:firstLineChars="0" w:firstLine="0"/>
              <w:rPr>
                <w:sz w:val="21"/>
                <w:szCs w:val="21"/>
              </w:rPr>
            </w:pPr>
            <w:r w:rsidRPr="00F67FFD">
              <w:rPr>
                <w:sz w:val="21"/>
                <w:szCs w:val="21"/>
              </w:rPr>
              <w:t>接受投资</w:t>
            </w:r>
          </w:p>
        </w:tc>
      </w:tr>
      <w:tr w:rsidR="00F67FFD" w:rsidRPr="00F67FFD" w14:paraId="15C0D3D0" w14:textId="77777777" w:rsidTr="00F67FFD">
        <w:trPr>
          <w:trHeight w:val="20"/>
        </w:trPr>
        <w:tc>
          <w:tcPr>
            <w:tcW w:w="693" w:type="dxa"/>
            <w:vMerge/>
            <w:shd w:val="clear" w:color="auto" w:fill="auto"/>
            <w:vAlign w:val="center"/>
            <w:hideMark/>
          </w:tcPr>
          <w:p w14:paraId="191F4DFD"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60FFAE23"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4BC85CA4" w14:textId="77777777" w:rsidR="00F67FFD" w:rsidRPr="00F67FFD" w:rsidRDefault="00F67FFD" w:rsidP="00F67FFD">
            <w:pPr>
              <w:pStyle w:val="13"/>
              <w:spacing w:line="240" w:lineRule="auto"/>
              <w:ind w:firstLineChars="0" w:firstLine="0"/>
              <w:rPr>
                <w:sz w:val="21"/>
                <w:szCs w:val="21"/>
              </w:rPr>
            </w:pPr>
            <w:r w:rsidRPr="00F67FFD">
              <w:rPr>
                <w:sz w:val="21"/>
                <w:szCs w:val="21"/>
              </w:rPr>
              <w:t>1.1.13</w:t>
            </w:r>
          </w:p>
        </w:tc>
        <w:tc>
          <w:tcPr>
            <w:tcW w:w="5380" w:type="dxa"/>
            <w:shd w:val="clear" w:color="auto" w:fill="auto"/>
            <w:noWrap/>
            <w:vAlign w:val="center"/>
            <w:hideMark/>
          </w:tcPr>
          <w:p w14:paraId="6096D6F1" w14:textId="77777777" w:rsidR="00F67FFD" w:rsidRPr="00F67FFD" w:rsidRDefault="00F67FFD" w:rsidP="00F67FFD">
            <w:pPr>
              <w:pStyle w:val="13"/>
              <w:spacing w:line="240" w:lineRule="auto"/>
              <w:ind w:firstLineChars="0" w:firstLine="0"/>
              <w:rPr>
                <w:sz w:val="21"/>
                <w:szCs w:val="21"/>
              </w:rPr>
            </w:pPr>
            <w:r w:rsidRPr="00F67FFD">
              <w:rPr>
                <w:sz w:val="21"/>
                <w:szCs w:val="21"/>
              </w:rPr>
              <w:t>接受抵债资产</w:t>
            </w:r>
          </w:p>
        </w:tc>
      </w:tr>
      <w:tr w:rsidR="00F67FFD" w:rsidRPr="00F67FFD" w14:paraId="061F6E9A" w14:textId="77777777" w:rsidTr="00F67FFD">
        <w:trPr>
          <w:trHeight w:val="20"/>
        </w:trPr>
        <w:tc>
          <w:tcPr>
            <w:tcW w:w="693" w:type="dxa"/>
            <w:vMerge/>
            <w:shd w:val="clear" w:color="auto" w:fill="auto"/>
            <w:vAlign w:val="center"/>
            <w:hideMark/>
          </w:tcPr>
          <w:p w14:paraId="218A9A7F"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D55BBFF"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3D1A18E0" w14:textId="77777777" w:rsidR="00F67FFD" w:rsidRPr="00F67FFD" w:rsidRDefault="00F67FFD" w:rsidP="00F67FFD">
            <w:pPr>
              <w:pStyle w:val="13"/>
              <w:spacing w:line="240" w:lineRule="auto"/>
              <w:ind w:firstLineChars="0" w:firstLine="0"/>
              <w:rPr>
                <w:sz w:val="21"/>
                <w:szCs w:val="21"/>
              </w:rPr>
            </w:pPr>
            <w:r w:rsidRPr="00F67FFD">
              <w:rPr>
                <w:sz w:val="21"/>
                <w:szCs w:val="21"/>
              </w:rPr>
              <w:t>1.1.14</w:t>
            </w:r>
          </w:p>
        </w:tc>
        <w:tc>
          <w:tcPr>
            <w:tcW w:w="5380" w:type="dxa"/>
            <w:shd w:val="clear" w:color="auto" w:fill="auto"/>
            <w:noWrap/>
            <w:vAlign w:val="center"/>
            <w:hideMark/>
          </w:tcPr>
          <w:p w14:paraId="2D393127" w14:textId="77777777" w:rsidR="00F67FFD" w:rsidRPr="00F67FFD" w:rsidRDefault="00F67FFD" w:rsidP="00F67FFD">
            <w:pPr>
              <w:pStyle w:val="13"/>
              <w:spacing w:line="240" w:lineRule="auto"/>
              <w:ind w:firstLineChars="0" w:firstLine="0"/>
              <w:rPr>
                <w:sz w:val="21"/>
                <w:szCs w:val="21"/>
              </w:rPr>
            </w:pPr>
            <w:r w:rsidRPr="00F67FFD">
              <w:rPr>
                <w:sz w:val="21"/>
                <w:szCs w:val="21"/>
              </w:rPr>
              <w:t>债务重组</w:t>
            </w:r>
          </w:p>
        </w:tc>
      </w:tr>
      <w:tr w:rsidR="00F67FFD" w:rsidRPr="00F67FFD" w14:paraId="6C379920" w14:textId="77777777" w:rsidTr="00F67FFD">
        <w:trPr>
          <w:trHeight w:val="20"/>
        </w:trPr>
        <w:tc>
          <w:tcPr>
            <w:tcW w:w="693" w:type="dxa"/>
            <w:vMerge/>
            <w:shd w:val="clear" w:color="auto" w:fill="auto"/>
            <w:vAlign w:val="center"/>
            <w:hideMark/>
          </w:tcPr>
          <w:p w14:paraId="7EE2BDB8"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B952963"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0461AA63" w14:textId="77777777" w:rsidR="00F67FFD" w:rsidRPr="00F67FFD" w:rsidRDefault="00F67FFD" w:rsidP="00F67FFD">
            <w:pPr>
              <w:pStyle w:val="13"/>
              <w:spacing w:line="240" w:lineRule="auto"/>
              <w:ind w:firstLineChars="0" w:firstLine="0"/>
              <w:rPr>
                <w:sz w:val="21"/>
                <w:szCs w:val="21"/>
              </w:rPr>
            </w:pPr>
            <w:r w:rsidRPr="00F67FFD">
              <w:rPr>
                <w:sz w:val="21"/>
                <w:szCs w:val="21"/>
              </w:rPr>
              <w:t>1.1.15</w:t>
            </w:r>
          </w:p>
        </w:tc>
        <w:tc>
          <w:tcPr>
            <w:tcW w:w="5380" w:type="dxa"/>
            <w:shd w:val="clear" w:color="auto" w:fill="auto"/>
            <w:noWrap/>
            <w:vAlign w:val="center"/>
            <w:hideMark/>
          </w:tcPr>
          <w:p w14:paraId="31D24F43" w14:textId="77777777" w:rsidR="00F67FFD" w:rsidRPr="00F67FFD" w:rsidRDefault="00F67FFD" w:rsidP="00F67FFD">
            <w:pPr>
              <w:pStyle w:val="13"/>
              <w:spacing w:line="240" w:lineRule="auto"/>
              <w:ind w:firstLineChars="0" w:firstLine="0"/>
              <w:rPr>
                <w:sz w:val="21"/>
                <w:szCs w:val="21"/>
              </w:rPr>
            </w:pPr>
            <w:r w:rsidRPr="00F67FFD">
              <w:rPr>
                <w:sz w:val="21"/>
                <w:szCs w:val="21"/>
              </w:rPr>
              <w:t>公司制改建</w:t>
            </w:r>
          </w:p>
        </w:tc>
      </w:tr>
      <w:tr w:rsidR="00F67FFD" w:rsidRPr="00F67FFD" w14:paraId="297F7E3C" w14:textId="77777777" w:rsidTr="00F67FFD">
        <w:trPr>
          <w:trHeight w:val="20"/>
        </w:trPr>
        <w:tc>
          <w:tcPr>
            <w:tcW w:w="693" w:type="dxa"/>
            <w:vMerge/>
            <w:shd w:val="clear" w:color="auto" w:fill="auto"/>
            <w:vAlign w:val="center"/>
            <w:hideMark/>
          </w:tcPr>
          <w:p w14:paraId="2BFA4E06"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3C8FF726"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7A0944C4" w14:textId="77777777" w:rsidR="00F67FFD" w:rsidRPr="00F67FFD" w:rsidRDefault="00F67FFD" w:rsidP="00F67FFD">
            <w:pPr>
              <w:pStyle w:val="13"/>
              <w:spacing w:line="240" w:lineRule="auto"/>
              <w:ind w:firstLineChars="0" w:firstLine="0"/>
              <w:rPr>
                <w:sz w:val="21"/>
                <w:szCs w:val="21"/>
              </w:rPr>
            </w:pPr>
            <w:r w:rsidRPr="00F67FFD">
              <w:rPr>
                <w:sz w:val="21"/>
                <w:szCs w:val="21"/>
              </w:rPr>
              <w:t>1.1.16</w:t>
            </w:r>
          </w:p>
        </w:tc>
        <w:tc>
          <w:tcPr>
            <w:tcW w:w="5380" w:type="dxa"/>
            <w:shd w:val="clear" w:color="auto" w:fill="auto"/>
            <w:noWrap/>
            <w:vAlign w:val="center"/>
            <w:hideMark/>
          </w:tcPr>
          <w:p w14:paraId="50A01CD9" w14:textId="77777777" w:rsidR="00F67FFD" w:rsidRPr="00F67FFD" w:rsidRDefault="00F67FFD" w:rsidP="00F67FFD">
            <w:pPr>
              <w:pStyle w:val="13"/>
              <w:spacing w:line="240" w:lineRule="auto"/>
              <w:ind w:firstLineChars="0" w:firstLine="0"/>
              <w:rPr>
                <w:sz w:val="21"/>
                <w:szCs w:val="21"/>
              </w:rPr>
            </w:pPr>
            <w:r w:rsidRPr="00F67FFD">
              <w:rPr>
                <w:sz w:val="21"/>
                <w:szCs w:val="21"/>
              </w:rPr>
              <w:t>企业合并</w:t>
            </w:r>
          </w:p>
        </w:tc>
      </w:tr>
      <w:tr w:rsidR="00F67FFD" w:rsidRPr="00F67FFD" w14:paraId="6CDE43C5" w14:textId="77777777" w:rsidTr="00F67FFD">
        <w:trPr>
          <w:trHeight w:val="20"/>
        </w:trPr>
        <w:tc>
          <w:tcPr>
            <w:tcW w:w="693" w:type="dxa"/>
            <w:vMerge/>
            <w:shd w:val="clear" w:color="auto" w:fill="auto"/>
            <w:vAlign w:val="center"/>
            <w:hideMark/>
          </w:tcPr>
          <w:p w14:paraId="1B1A8FA0"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6504C012"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02494F4E" w14:textId="77777777" w:rsidR="00F67FFD" w:rsidRPr="00F67FFD" w:rsidRDefault="00F67FFD" w:rsidP="00F67FFD">
            <w:pPr>
              <w:pStyle w:val="13"/>
              <w:spacing w:line="240" w:lineRule="auto"/>
              <w:ind w:firstLineChars="0" w:firstLine="0"/>
              <w:rPr>
                <w:sz w:val="21"/>
                <w:szCs w:val="21"/>
              </w:rPr>
            </w:pPr>
            <w:r w:rsidRPr="00F67FFD">
              <w:rPr>
                <w:sz w:val="21"/>
                <w:szCs w:val="21"/>
              </w:rPr>
              <w:t>1.1.17</w:t>
            </w:r>
          </w:p>
        </w:tc>
        <w:tc>
          <w:tcPr>
            <w:tcW w:w="5380" w:type="dxa"/>
            <w:shd w:val="clear" w:color="auto" w:fill="auto"/>
            <w:noWrap/>
            <w:vAlign w:val="center"/>
            <w:hideMark/>
          </w:tcPr>
          <w:p w14:paraId="517411DE" w14:textId="77777777" w:rsidR="00F67FFD" w:rsidRPr="00F67FFD" w:rsidRDefault="00F67FFD" w:rsidP="00F67FFD">
            <w:pPr>
              <w:pStyle w:val="13"/>
              <w:spacing w:line="240" w:lineRule="auto"/>
              <w:ind w:firstLineChars="0" w:firstLine="0"/>
              <w:rPr>
                <w:sz w:val="21"/>
                <w:szCs w:val="21"/>
              </w:rPr>
            </w:pPr>
            <w:r w:rsidRPr="00F67FFD">
              <w:rPr>
                <w:sz w:val="21"/>
                <w:szCs w:val="21"/>
              </w:rPr>
              <w:t>企业分立</w:t>
            </w:r>
          </w:p>
        </w:tc>
      </w:tr>
      <w:tr w:rsidR="00F67FFD" w:rsidRPr="00F67FFD" w14:paraId="4AE39F0D" w14:textId="77777777" w:rsidTr="00F67FFD">
        <w:trPr>
          <w:trHeight w:val="20"/>
        </w:trPr>
        <w:tc>
          <w:tcPr>
            <w:tcW w:w="693" w:type="dxa"/>
            <w:vMerge/>
            <w:shd w:val="clear" w:color="auto" w:fill="auto"/>
            <w:vAlign w:val="center"/>
            <w:hideMark/>
          </w:tcPr>
          <w:p w14:paraId="25DAD068"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679F8BA"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047D455" w14:textId="77777777" w:rsidR="00F67FFD" w:rsidRPr="00F67FFD" w:rsidRDefault="00F67FFD" w:rsidP="00F67FFD">
            <w:pPr>
              <w:pStyle w:val="13"/>
              <w:spacing w:line="240" w:lineRule="auto"/>
              <w:ind w:firstLineChars="0" w:firstLine="0"/>
              <w:rPr>
                <w:sz w:val="21"/>
                <w:szCs w:val="21"/>
              </w:rPr>
            </w:pPr>
            <w:r w:rsidRPr="00F67FFD">
              <w:rPr>
                <w:sz w:val="21"/>
                <w:szCs w:val="21"/>
              </w:rPr>
              <w:t>1.1.18</w:t>
            </w:r>
          </w:p>
        </w:tc>
        <w:tc>
          <w:tcPr>
            <w:tcW w:w="5380" w:type="dxa"/>
            <w:shd w:val="clear" w:color="auto" w:fill="auto"/>
            <w:noWrap/>
            <w:vAlign w:val="center"/>
            <w:hideMark/>
          </w:tcPr>
          <w:p w14:paraId="7EA995C5" w14:textId="77777777" w:rsidR="00F67FFD" w:rsidRPr="00F67FFD" w:rsidRDefault="00F67FFD" w:rsidP="00F67FFD">
            <w:pPr>
              <w:pStyle w:val="13"/>
              <w:spacing w:line="240" w:lineRule="auto"/>
              <w:ind w:firstLineChars="0" w:firstLine="0"/>
              <w:rPr>
                <w:sz w:val="21"/>
                <w:szCs w:val="21"/>
              </w:rPr>
            </w:pPr>
            <w:r w:rsidRPr="00F67FFD">
              <w:rPr>
                <w:sz w:val="21"/>
                <w:szCs w:val="21"/>
              </w:rPr>
              <w:t>企业破产</w:t>
            </w:r>
          </w:p>
        </w:tc>
      </w:tr>
      <w:tr w:rsidR="00F67FFD" w:rsidRPr="00F67FFD" w14:paraId="1E571A06" w14:textId="77777777" w:rsidTr="00F67FFD">
        <w:trPr>
          <w:trHeight w:val="20"/>
        </w:trPr>
        <w:tc>
          <w:tcPr>
            <w:tcW w:w="693" w:type="dxa"/>
            <w:vMerge/>
            <w:shd w:val="clear" w:color="auto" w:fill="auto"/>
            <w:vAlign w:val="center"/>
            <w:hideMark/>
          </w:tcPr>
          <w:p w14:paraId="19599290"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1C5853D0"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03942091" w14:textId="77777777" w:rsidR="00F67FFD" w:rsidRPr="00F67FFD" w:rsidRDefault="00F67FFD" w:rsidP="00F67FFD">
            <w:pPr>
              <w:pStyle w:val="13"/>
              <w:spacing w:line="240" w:lineRule="auto"/>
              <w:ind w:firstLineChars="0" w:firstLine="0"/>
              <w:rPr>
                <w:sz w:val="21"/>
                <w:szCs w:val="21"/>
              </w:rPr>
            </w:pPr>
            <w:r w:rsidRPr="00F67FFD">
              <w:rPr>
                <w:sz w:val="21"/>
                <w:szCs w:val="21"/>
              </w:rPr>
              <w:t>1.1.19</w:t>
            </w:r>
          </w:p>
        </w:tc>
        <w:tc>
          <w:tcPr>
            <w:tcW w:w="5380" w:type="dxa"/>
            <w:shd w:val="clear" w:color="auto" w:fill="auto"/>
            <w:noWrap/>
            <w:vAlign w:val="center"/>
            <w:hideMark/>
          </w:tcPr>
          <w:p w14:paraId="64B21185" w14:textId="77777777" w:rsidR="00F67FFD" w:rsidRPr="00F67FFD" w:rsidRDefault="00F67FFD" w:rsidP="00F67FFD">
            <w:pPr>
              <w:pStyle w:val="13"/>
              <w:spacing w:line="240" w:lineRule="auto"/>
              <w:ind w:firstLineChars="0" w:firstLine="0"/>
              <w:rPr>
                <w:sz w:val="21"/>
                <w:szCs w:val="21"/>
              </w:rPr>
            </w:pPr>
            <w:r w:rsidRPr="00F67FFD">
              <w:rPr>
                <w:sz w:val="21"/>
                <w:szCs w:val="21"/>
              </w:rPr>
              <w:t>企业清算</w:t>
            </w:r>
          </w:p>
        </w:tc>
      </w:tr>
      <w:tr w:rsidR="00F67FFD" w:rsidRPr="00F67FFD" w14:paraId="3D9EE101" w14:textId="77777777" w:rsidTr="00F67FFD">
        <w:trPr>
          <w:trHeight w:val="20"/>
        </w:trPr>
        <w:tc>
          <w:tcPr>
            <w:tcW w:w="693" w:type="dxa"/>
            <w:vMerge/>
            <w:shd w:val="clear" w:color="auto" w:fill="auto"/>
            <w:vAlign w:val="center"/>
            <w:hideMark/>
          </w:tcPr>
          <w:p w14:paraId="0E8E1194"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7B45137C"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4096925" w14:textId="77777777" w:rsidR="00F67FFD" w:rsidRPr="00F67FFD" w:rsidRDefault="00F67FFD" w:rsidP="00F67FFD">
            <w:pPr>
              <w:pStyle w:val="13"/>
              <w:spacing w:line="240" w:lineRule="auto"/>
              <w:ind w:firstLineChars="0" w:firstLine="0"/>
              <w:rPr>
                <w:sz w:val="21"/>
                <w:szCs w:val="21"/>
              </w:rPr>
            </w:pPr>
            <w:r w:rsidRPr="00F67FFD">
              <w:rPr>
                <w:sz w:val="21"/>
                <w:szCs w:val="21"/>
              </w:rPr>
              <w:t>1.1.20</w:t>
            </w:r>
          </w:p>
        </w:tc>
        <w:tc>
          <w:tcPr>
            <w:tcW w:w="5380" w:type="dxa"/>
            <w:shd w:val="clear" w:color="auto" w:fill="auto"/>
            <w:noWrap/>
            <w:vAlign w:val="center"/>
            <w:hideMark/>
          </w:tcPr>
          <w:p w14:paraId="181375E7" w14:textId="77777777" w:rsidR="00F67FFD" w:rsidRPr="00F67FFD" w:rsidRDefault="00F67FFD" w:rsidP="00F67FFD">
            <w:pPr>
              <w:pStyle w:val="13"/>
              <w:spacing w:line="240" w:lineRule="auto"/>
              <w:ind w:firstLineChars="0" w:firstLine="0"/>
              <w:rPr>
                <w:sz w:val="21"/>
                <w:szCs w:val="21"/>
              </w:rPr>
            </w:pPr>
            <w:r w:rsidRPr="00F67FFD">
              <w:rPr>
                <w:sz w:val="21"/>
                <w:szCs w:val="21"/>
              </w:rPr>
              <w:t>企业解散</w:t>
            </w:r>
          </w:p>
        </w:tc>
      </w:tr>
      <w:tr w:rsidR="00F67FFD" w:rsidRPr="00F67FFD" w14:paraId="5774BF22" w14:textId="77777777" w:rsidTr="00F67FFD">
        <w:trPr>
          <w:trHeight w:val="20"/>
        </w:trPr>
        <w:tc>
          <w:tcPr>
            <w:tcW w:w="693" w:type="dxa"/>
            <w:vMerge/>
            <w:shd w:val="clear" w:color="auto" w:fill="auto"/>
            <w:vAlign w:val="center"/>
            <w:hideMark/>
          </w:tcPr>
          <w:p w14:paraId="132AC526"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6AD9F7DA"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4706571D" w14:textId="77777777" w:rsidR="00F67FFD" w:rsidRPr="00F67FFD" w:rsidRDefault="00F67FFD" w:rsidP="00F67FFD">
            <w:pPr>
              <w:pStyle w:val="13"/>
              <w:spacing w:line="240" w:lineRule="auto"/>
              <w:ind w:firstLineChars="0" w:firstLine="0"/>
              <w:rPr>
                <w:sz w:val="21"/>
                <w:szCs w:val="21"/>
              </w:rPr>
            </w:pPr>
            <w:r w:rsidRPr="00F67FFD">
              <w:rPr>
                <w:sz w:val="21"/>
                <w:szCs w:val="21"/>
              </w:rPr>
              <w:t>1.1.21</w:t>
            </w:r>
          </w:p>
        </w:tc>
        <w:tc>
          <w:tcPr>
            <w:tcW w:w="5380" w:type="dxa"/>
            <w:shd w:val="clear" w:color="auto" w:fill="auto"/>
            <w:noWrap/>
            <w:vAlign w:val="center"/>
            <w:hideMark/>
          </w:tcPr>
          <w:p w14:paraId="5948C32F" w14:textId="77777777" w:rsidR="00F67FFD" w:rsidRPr="00F67FFD" w:rsidRDefault="00F67FFD" w:rsidP="00F67FFD">
            <w:pPr>
              <w:pStyle w:val="13"/>
              <w:spacing w:line="240" w:lineRule="auto"/>
              <w:ind w:firstLineChars="0" w:firstLine="0"/>
              <w:rPr>
                <w:sz w:val="21"/>
                <w:szCs w:val="21"/>
              </w:rPr>
            </w:pPr>
            <w:r w:rsidRPr="00F67FFD">
              <w:rPr>
                <w:sz w:val="21"/>
                <w:szCs w:val="21"/>
              </w:rPr>
              <w:t>增资扩股</w:t>
            </w:r>
          </w:p>
        </w:tc>
      </w:tr>
      <w:tr w:rsidR="00F67FFD" w:rsidRPr="00F67FFD" w14:paraId="5AA9E17C" w14:textId="77777777" w:rsidTr="00F67FFD">
        <w:trPr>
          <w:trHeight w:val="20"/>
        </w:trPr>
        <w:tc>
          <w:tcPr>
            <w:tcW w:w="693" w:type="dxa"/>
            <w:vMerge/>
            <w:shd w:val="clear" w:color="auto" w:fill="auto"/>
            <w:vAlign w:val="center"/>
            <w:hideMark/>
          </w:tcPr>
          <w:p w14:paraId="34D56C1F"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7AA1A2E5"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5F32FE4" w14:textId="77777777" w:rsidR="00F67FFD" w:rsidRPr="00F67FFD" w:rsidRDefault="00F67FFD" w:rsidP="00F67FFD">
            <w:pPr>
              <w:pStyle w:val="13"/>
              <w:spacing w:line="240" w:lineRule="auto"/>
              <w:ind w:firstLineChars="0" w:firstLine="0"/>
              <w:rPr>
                <w:sz w:val="21"/>
                <w:szCs w:val="21"/>
              </w:rPr>
            </w:pPr>
            <w:r w:rsidRPr="00F67FFD">
              <w:rPr>
                <w:sz w:val="21"/>
                <w:szCs w:val="21"/>
              </w:rPr>
              <w:t>1.1.22</w:t>
            </w:r>
          </w:p>
        </w:tc>
        <w:tc>
          <w:tcPr>
            <w:tcW w:w="5380" w:type="dxa"/>
            <w:shd w:val="clear" w:color="auto" w:fill="auto"/>
            <w:noWrap/>
            <w:vAlign w:val="center"/>
            <w:hideMark/>
          </w:tcPr>
          <w:p w14:paraId="7D810BAD" w14:textId="77777777" w:rsidR="00F67FFD" w:rsidRPr="00F67FFD" w:rsidRDefault="00F67FFD" w:rsidP="00F67FFD">
            <w:pPr>
              <w:pStyle w:val="13"/>
              <w:spacing w:line="240" w:lineRule="auto"/>
              <w:ind w:firstLineChars="0" w:firstLine="0"/>
              <w:rPr>
                <w:sz w:val="21"/>
                <w:szCs w:val="21"/>
              </w:rPr>
            </w:pPr>
            <w:r w:rsidRPr="00F67FFD">
              <w:rPr>
                <w:sz w:val="21"/>
                <w:szCs w:val="21"/>
              </w:rPr>
              <w:t>IPO</w:t>
            </w:r>
          </w:p>
        </w:tc>
      </w:tr>
      <w:tr w:rsidR="00F67FFD" w:rsidRPr="00F67FFD" w14:paraId="00C9DDF9" w14:textId="77777777" w:rsidTr="00F67FFD">
        <w:trPr>
          <w:trHeight w:val="20"/>
        </w:trPr>
        <w:tc>
          <w:tcPr>
            <w:tcW w:w="693" w:type="dxa"/>
            <w:vMerge/>
            <w:shd w:val="clear" w:color="auto" w:fill="auto"/>
            <w:vAlign w:val="center"/>
            <w:hideMark/>
          </w:tcPr>
          <w:p w14:paraId="423C32C8"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1A74E93E"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1224A70C" w14:textId="77777777" w:rsidR="00F67FFD" w:rsidRPr="00F67FFD" w:rsidRDefault="00F67FFD" w:rsidP="00F67FFD">
            <w:pPr>
              <w:pStyle w:val="13"/>
              <w:spacing w:line="240" w:lineRule="auto"/>
              <w:ind w:firstLineChars="0" w:firstLine="0"/>
              <w:rPr>
                <w:sz w:val="21"/>
                <w:szCs w:val="21"/>
              </w:rPr>
            </w:pPr>
            <w:r w:rsidRPr="00F67FFD">
              <w:rPr>
                <w:sz w:val="21"/>
                <w:szCs w:val="21"/>
              </w:rPr>
              <w:t>1.1.23</w:t>
            </w:r>
          </w:p>
        </w:tc>
        <w:tc>
          <w:tcPr>
            <w:tcW w:w="5380" w:type="dxa"/>
            <w:shd w:val="clear" w:color="auto" w:fill="auto"/>
            <w:noWrap/>
            <w:vAlign w:val="center"/>
            <w:hideMark/>
          </w:tcPr>
          <w:p w14:paraId="232941B1" w14:textId="77777777" w:rsidR="00F67FFD" w:rsidRPr="00F67FFD" w:rsidRDefault="00F67FFD" w:rsidP="00F67FFD">
            <w:pPr>
              <w:pStyle w:val="13"/>
              <w:spacing w:line="240" w:lineRule="auto"/>
              <w:ind w:firstLineChars="0" w:firstLine="0"/>
              <w:rPr>
                <w:sz w:val="21"/>
                <w:szCs w:val="21"/>
              </w:rPr>
            </w:pPr>
            <w:r w:rsidRPr="00F67FFD">
              <w:rPr>
                <w:sz w:val="21"/>
                <w:szCs w:val="21"/>
              </w:rPr>
              <w:t>股权转让</w:t>
            </w:r>
          </w:p>
        </w:tc>
      </w:tr>
      <w:tr w:rsidR="00F67FFD" w:rsidRPr="00F67FFD" w14:paraId="62A52F65" w14:textId="77777777" w:rsidTr="00F67FFD">
        <w:trPr>
          <w:trHeight w:val="239"/>
        </w:trPr>
        <w:tc>
          <w:tcPr>
            <w:tcW w:w="693" w:type="dxa"/>
            <w:vMerge/>
            <w:shd w:val="clear" w:color="auto" w:fill="auto"/>
            <w:vAlign w:val="center"/>
            <w:hideMark/>
          </w:tcPr>
          <w:p w14:paraId="5B55558C"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73BFCF9F"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08D046B" w14:textId="77777777" w:rsidR="00F67FFD" w:rsidRPr="00F67FFD" w:rsidRDefault="00F67FFD" w:rsidP="00F67FFD">
            <w:pPr>
              <w:pStyle w:val="13"/>
              <w:spacing w:line="240" w:lineRule="auto"/>
              <w:ind w:firstLineChars="0" w:firstLine="0"/>
              <w:rPr>
                <w:sz w:val="21"/>
                <w:szCs w:val="21"/>
              </w:rPr>
            </w:pPr>
            <w:r w:rsidRPr="00F67FFD">
              <w:rPr>
                <w:sz w:val="21"/>
                <w:szCs w:val="21"/>
              </w:rPr>
              <w:t>1.1.24</w:t>
            </w:r>
          </w:p>
        </w:tc>
        <w:tc>
          <w:tcPr>
            <w:tcW w:w="5380" w:type="dxa"/>
            <w:shd w:val="clear" w:color="auto" w:fill="auto"/>
            <w:noWrap/>
            <w:vAlign w:val="center"/>
            <w:hideMark/>
          </w:tcPr>
          <w:p w14:paraId="5CEF47DF" w14:textId="77777777" w:rsidR="00F67FFD" w:rsidRPr="00F67FFD" w:rsidRDefault="00F67FFD" w:rsidP="00F67FFD">
            <w:pPr>
              <w:pStyle w:val="13"/>
              <w:spacing w:line="240" w:lineRule="auto"/>
              <w:ind w:firstLineChars="0" w:firstLine="0"/>
              <w:rPr>
                <w:sz w:val="21"/>
                <w:szCs w:val="21"/>
              </w:rPr>
            </w:pPr>
            <w:r w:rsidRPr="00F67FFD">
              <w:rPr>
                <w:sz w:val="21"/>
                <w:szCs w:val="21"/>
              </w:rPr>
              <w:t>债转股</w:t>
            </w:r>
          </w:p>
        </w:tc>
      </w:tr>
      <w:tr w:rsidR="00F67FFD" w:rsidRPr="00F67FFD" w14:paraId="74B4955D" w14:textId="77777777" w:rsidTr="00F67FFD">
        <w:trPr>
          <w:trHeight w:val="20"/>
        </w:trPr>
        <w:tc>
          <w:tcPr>
            <w:tcW w:w="693" w:type="dxa"/>
            <w:vMerge w:val="restart"/>
            <w:shd w:val="clear" w:color="auto" w:fill="auto"/>
            <w:noWrap/>
            <w:vAlign w:val="center"/>
            <w:hideMark/>
          </w:tcPr>
          <w:p w14:paraId="7618196B" w14:textId="77777777" w:rsidR="00F67FFD" w:rsidRPr="00F67FFD" w:rsidRDefault="00F67FFD" w:rsidP="00F67FFD">
            <w:pPr>
              <w:pStyle w:val="13"/>
              <w:spacing w:line="240" w:lineRule="auto"/>
              <w:ind w:firstLineChars="0" w:firstLine="0"/>
              <w:rPr>
                <w:sz w:val="21"/>
                <w:szCs w:val="21"/>
              </w:rPr>
            </w:pPr>
            <w:r w:rsidRPr="00F67FFD">
              <w:rPr>
                <w:sz w:val="21"/>
                <w:szCs w:val="21"/>
              </w:rPr>
              <w:t>1.2</w:t>
            </w:r>
          </w:p>
        </w:tc>
        <w:tc>
          <w:tcPr>
            <w:tcW w:w="1712" w:type="dxa"/>
            <w:vMerge w:val="restart"/>
            <w:shd w:val="clear" w:color="auto" w:fill="auto"/>
            <w:noWrap/>
            <w:vAlign w:val="center"/>
            <w:hideMark/>
          </w:tcPr>
          <w:p w14:paraId="15941503" w14:textId="77777777" w:rsidR="00F67FFD" w:rsidRPr="00F67FFD" w:rsidRDefault="00F67FFD" w:rsidP="00F67FFD">
            <w:pPr>
              <w:pStyle w:val="13"/>
              <w:spacing w:line="240" w:lineRule="auto"/>
              <w:ind w:firstLineChars="0" w:firstLine="0"/>
              <w:rPr>
                <w:sz w:val="21"/>
                <w:szCs w:val="21"/>
              </w:rPr>
            </w:pPr>
            <w:r w:rsidRPr="00F67FFD">
              <w:rPr>
                <w:sz w:val="21"/>
                <w:szCs w:val="21"/>
              </w:rPr>
              <w:t>国有企业</w:t>
            </w:r>
          </w:p>
        </w:tc>
        <w:tc>
          <w:tcPr>
            <w:tcW w:w="992" w:type="dxa"/>
            <w:shd w:val="clear" w:color="auto" w:fill="auto"/>
            <w:noWrap/>
            <w:vAlign w:val="center"/>
            <w:hideMark/>
          </w:tcPr>
          <w:p w14:paraId="6CF6C05F" w14:textId="77777777" w:rsidR="00F67FFD" w:rsidRPr="00F67FFD" w:rsidRDefault="00F67FFD" w:rsidP="00F67FFD">
            <w:pPr>
              <w:pStyle w:val="13"/>
              <w:spacing w:line="240" w:lineRule="auto"/>
              <w:ind w:firstLineChars="0" w:firstLine="0"/>
              <w:rPr>
                <w:sz w:val="21"/>
                <w:szCs w:val="21"/>
              </w:rPr>
            </w:pPr>
            <w:r w:rsidRPr="00F67FFD">
              <w:rPr>
                <w:sz w:val="21"/>
                <w:szCs w:val="21"/>
              </w:rPr>
              <w:t>1.2.1</w:t>
            </w:r>
          </w:p>
        </w:tc>
        <w:tc>
          <w:tcPr>
            <w:tcW w:w="5380" w:type="dxa"/>
            <w:shd w:val="clear" w:color="auto" w:fill="auto"/>
            <w:noWrap/>
            <w:vAlign w:val="center"/>
            <w:hideMark/>
          </w:tcPr>
          <w:p w14:paraId="513EE3C3" w14:textId="77777777" w:rsidR="00F67FFD" w:rsidRPr="00F67FFD" w:rsidRDefault="00F67FFD" w:rsidP="00F67FFD">
            <w:pPr>
              <w:pStyle w:val="13"/>
              <w:spacing w:line="240" w:lineRule="auto"/>
              <w:ind w:firstLineChars="0" w:firstLine="0"/>
              <w:rPr>
                <w:sz w:val="21"/>
                <w:szCs w:val="21"/>
              </w:rPr>
            </w:pPr>
            <w:r w:rsidRPr="00F67FFD">
              <w:rPr>
                <w:sz w:val="21"/>
                <w:szCs w:val="21"/>
              </w:rPr>
              <w:t>中央企业的股权投资</w:t>
            </w:r>
          </w:p>
        </w:tc>
      </w:tr>
      <w:tr w:rsidR="00F67FFD" w:rsidRPr="00F67FFD" w14:paraId="64C898E6" w14:textId="77777777" w:rsidTr="00F67FFD">
        <w:trPr>
          <w:trHeight w:val="20"/>
        </w:trPr>
        <w:tc>
          <w:tcPr>
            <w:tcW w:w="693" w:type="dxa"/>
            <w:vMerge/>
            <w:shd w:val="clear" w:color="auto" w:fill="auto"/>
            <w:vAlign w:val="center"/>
            <w:hideMark/>
          </w:tcPr>
          <w:p w14:paraId="4ED315B5"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12F4A396"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4E347B5F" w14:textId="77777777" w:rsidR="00F67FFD" w:rsidRPr="00F67FFD" w:rsidRDefault="00F67FFD" w:rsidP="00F67FFD">
            <w:pPr>
              <w:pStyle w:val="13"/>
              <w:spacing w:line="240" w:lineRule="auto"/>
              <w:ind w:firstLineChars="0" w:firstLine="0"/>
              <w:rPr>
                <w:sz w:val="21"/>
                <w:szCs w:val="21"/>
              </w:rPr>
            </w:pPr>
            <w:r w:rsidRPr="00F67FFD">
              <w:rPr>
                <w:sz w:val="21"/>
                <w:szCs w:val="21"/>
              </w:rPr>
              <w:t>1.2.2</w:t>
            </w:r>
          </w:p>
        </w:tc>
        <w:tc>
          <w:tcPr>
            <w:tcW w:w="5380" w:type="dxa"/>
            <w:shd w:val="clear" w:color="auto" w:fill="auto"/>
            <w:noWrap/>
            <w:vAlign w:val="center"/>
            <w:hideMark/>
          </w:tcPr>
          <w:p w14:paraId="4E6DC919" w14:textId="77777777" w:rsidR="00F67FFD" w:rsidRPr="00F67FFD" w:rsidRDefault="00F67FFD" w:rsidP="00F67FFD">
            <w:pPr>
              <w:pStyle w:val="13"/>
              <w:spacing w:line="240" w:lineRule="auto"/>
              <w:ind w:firstLineChars="0" w:firstLine="0"/>
              <w:rPr>
                <w:sz w:val="21"/>
                <w:szCs w:val="21"/>
              </w:rPr>
            </w:pPr>
            <w:r w:rsidRPr="00F67FFD">
              <w:rPr>
                <w:sz w:val="21"/>
                <w:szCs w:val="21"/>
              </w:rPr>
              <w:t>国有控股混合所有制企业员工以科技成果出资</w:t>
            </w:r>
          </w:p>
        </w:tc>
      </w:tr>
      <w:tr w:rsidR="00F67FFD" w:rsidRPr="00F67FFD" w14:paraId="2B40C98A" w14:textId="77777777" w:rsidTr="00F67FFD">
        <w:trPr>
          <w:trHeight w:val="20"/>
        </w:trPr>
        <w:tc>
          <w:tcPr>
            <w:tcW w:w="693" w:type="dxa"/>
            <w:vMerge/>
            <w:shd w:val="clear" w:color="auto" w:fill="auto"/>
            <w:vAlign w:val="center"/>
            <w:hideMark/>
          </w:tcPr>
          <w:p w14:paraId="7E9EA111"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26961080"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6603B3C6" w14:textId="77777777" w:rsidR="00F67FFD" w:rsidRPr="00F67FFD" w:rsidRDefault="00F67FFD" w:rsidP="00F67FFD">
            <w:pPr>
              <w:pStyle w:val="13"/>
              <w:spacing w:line="240" w:lineRule="auto"/>
              <w:ind w:firstLineChars="0" w:firstLine="0"/>
              <w:rPr>
                <w:sz w:val="21"/>
                <w:szCs w:val="21"/>
              </w:rPr>
            </w:pPr>
            <w:r w:rsidRPr="00F67FFD">
              <w:rPr>
                <w:sz w:val="21"/>
                <w:szCs w:val="21"/>
              </w:rPr>
              <w:t>1.2.3</w:t>
            </w:r>
          </w:p>
        </w:tc>
        <w:tc>
          <w:tcPr>
            <w:tcW w:w="5380" w:type="dxa"/>
            <w:shd w:val="clear" w:color="auto" w:fill="auto"/>
            <w:noWrap/>
            <w:vAlign w:val="center"/>
            <w:hideMark/>
          </w:tcPr>
          <w:p w14:paraId="37149264" w14:textId="77777777" w:rsidR="00F67FFD" w:rsidRPr="00F67FFD" w:rsidRDefault="00F67FFD" w:rsidP="00F67FFD">
            <w:pPr>
              <w:pStyle w:val="13"/>
              <w:spacing w:line="240" w:lineRule="auto"/>
              <w:ind w:firstLineChars="0" w:firstLine="0"/>
              <w:rPr>
                <w:sz w:val="21"/>
                <w:szCs w:val="21"/>
              </w:rPr>
            </w:pPr>
            <w:r w:rsidRPr="00F67FFD">
              <w:rPr>
                <w:sz w:val="21"/>
                <w:szCs w:val="21"/>
              </w:rPr>
              <w:t>国有控股混合所有制企业员工入股价格确定</w:t>
            </w:r>
          </w:p>
        </w:tc>
      </w:tr>
      <w:tr w:rsidR="00F67FFD" w:rsidRPr="00F67FFD" w14:paraId="5AE88CF5" w14:textId="77777777" w:rsidTr="00F67FFD">
        <w:trPr>
          <w:trHeight w:val="20"/>
        </w:trPr>
        <w:tc>
          <w:tcPr>
            <w:tcW w:w="693" w:type="dxa"/>
            <w:vMerge/>
            <w:shd w:val="clear" w:color="auto" w:fill="auto"/>
            <w:vAlign w:val="center"/>
            <w:hideMark/>
          </w:tcPr>
          <w:p w14:paraId="6F808A59"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314862A8"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40FD9748" w14:textId="77777777" w:rsidR="00F67FFD" w:rsidRPr="00F67FFD" w:rsidRDefault="00F67FFD" w:rsidP="00F67FFD">
            <w:pPr>
              <w:pStyle w:val="13"/>
              <w:spacing w:line="240" w:lineRule="auto"/>
              <w:ind w:firstLineChars="0" w:firstLine="0"/>
              <w:rPr>
                <w:sz w:val="21"/>
                <w:szCs w:val="21"/>
              </w:rPr>
            </w:pPr>
            <w:r w:rsidRPr="00F67FFD">
              <w:rPr>
                <w:sz w:val="21"/>
                <w:szCs w:val="21"/>
              </w:rPr>
              <w:t>1.2.4</w:t>
            </w:r>
          </w:p>
        </w:tc>
        <w:tc>
          <w:tcPr>
            <w:tcW w:w="5380" w:type="dxa"/>
            <w:shd w:val="clear" w:color="auto" w:fill="auto"/>
            <w:noWrap/>
            <w:vAlign w:val="center"/>
            <w:hideMark/>
          </w:tcPr>
          <w:p w14:paraId="5BA16D3C" w14:textId="77777777" w:rsidR="00F67FFD" w:rsidRPr="00F67FFD" w:rsidRDefault="00F67FFD" w:rsidP="00F67FFD">
            <w:pPr>
              <w:pStyle w:val="13"/>
              <w:spacing w:line="240" w:lineRule="auto"/>
              <w:ind w:firstLineChars="0" w:firstLine="0"/>
              <w:rPr>
                <w:sz w:val="21"/>
                <w:szCs w:val="21"/>
              </w:rPr>
            </w:pPr>
            <w:r w:rsidRPr="00F67FFD">
              <w:rPr>
                <w:sz w:val="21"/>
                <w:szCs w:val="21"/>
              </w:rPr>
              <w:t>国有科技型企业股权出售</w:t>
            </w:r>
          </w:p>
        </w:tc>
      </w:tr>
      <w:tr w:rsidR="00F67FFD" w:rsidRPr="00F67FFD" w14:paraId="120CBA8B" w14:textId="77777777" w:rsidTr="00F67FFD">
        <w:trPr>
          <w:trHeight w:val="20"/>
        </w:trPr>
        <w:tc>
          <w:tcPr>
            <w:tcW w:w="693" w:type="dxa"/>
            <w:vMerge/>
            <w:shd w:val="clear" w:color="auto" w:fill="auto"/>
            <w:vAlign w:val="center"/>
            <w:hideMark/>
          </w:tcPr>
          <w:p w14:paraId="26747E01"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E12AE86"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0DBE336F" w14:textId="77777777" w:rsidR="00F67FFD" w:rsidRPr="00F67FFD" w:rsidRDefault="00F67FFD" w:rsidP="00F67FFD">
            <w:pPr>
              <w:pStyle w:val="13"/>
              <w:spacing w:line="240" w:lineRule="auto"/>
              <w:ind w:firstLineChars="0" w:firstLine="0"/>
              <w:rPr>
                <w:sz w:val="21"/>
                <w:szCs w:val="21"/>
              </w:rPr>
            </w:pPr>
            <w:r w:rsidRPr="00F67FFD">
              <w:rPr>
                <w:sz w:val="21"/>
                <w:szCs w:val="21"/>
              </w:rPr>
              <w:t>1.2.5</w:t>
            </w:r>
          </w:p>
        </w:tc>
        <w:tc>
          <w:tcPr>
            <w:tcW w:w="5380" w:type="dxa"/>
            <w:shd w:val="clear" w:color="auto" w:fill="auto"/>
            <w:noWrap/>
            <w:vAlign w:val="center"/>
            <w:hideMark/>
          </w:tcPr>
          <w:p w14:paraId="54C7DA40" w14:textId="77777777" w:rsidR="00F67FFD" w:rsidRPr="00F67FFD" w:rsidRDefault="00F67FFD" w:rsidP="00F67FFD">
            <w:pPr>
              <w:pStyle w:val="13"/>
              <w:spacing w:line="240" w:lineRule="auto"/>
              <w:ind w:firstLineChars="0" w:firstLine="0"/>
              <w:rPr>
                <w:sz w:val="21"/>
                <w:szCs w:val="21"/>
              </w:rPr>
            </w:pPr>
            <w:r w:rsidRPr="00F67FFD">
              <w:rPr>
                <w:sz w:val="21"/>
                <w:szCs w:val="21"/>
              </w:rPr>
              <w:t>国有科技型企业用于股权奖励的激励额折合股权确定</w:t>
            </w:r>
          </w:p>
        </w:tc>
      </w:tr>
      <w:tr w:rsidR="00F67FFD" w:rsidRPr="00F67FFD" w14:paraId="107DA304" w14:textId="77777777" w:rsidTr="00F67FFD">
        <w:trPr>
          <w:trHeight w:val="20"/>
        </w:trPr>
        <w:tc>
          <w:tcPr>
            <w:tcW w:w="693" w:type="dxa"/>
            <w:vMerge/>
            <w:shd w:val="clear" w:color="auto" w:fill="auto"/>
            <w:vAlign w:val="center"/>
            <w:hideMark/>
          </w:tcPr>
          <w:p w14:paraId="0D5D328D"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4B690CB6"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18197285" w14:textId="77777777" w:rsidR="00F67FFD" w:rsidRPr="00F67FFD" w:rsidRDefault="00F67FFD" w:rsidP="00F67FFD">
            <w:pPr>
              <w:pStyle w:val="13"/>
              <w:spacing w:line="240" w:lineRule="auto"/>
              <w:ind w:firstLineChars="0" w:firstLine="0"/>
              <w:rPr>
                <w:sz w:val="21"/>
                <w:szCs w:val="21"/>
              </w:rPr>
            </w:pPr>
            <w:r w:rsidRPr="00F67FFD">
              <w:rPr>
                <w:sz w:val="21"/>
                <w:szCs w:val="21"/>
              </w:rPr>
              <w:t>1.2.6</w:t>
            </w:r>
          </w:p>
        </w:tc>
        <w:tc>
          <w:tcPr>
            <w:tcW w:w="5380" w:type="dxa"/>
            <w:shd w:val="clear" w:color="auto" w:fill="auto"/>
            <w:noWrap/>
            <w:vAlign w:val="center"/>
            <w:hideMark/>
          </w:tcPr>
          <w:p w14:paraId="234B07F9" w14:textId="77777777" w:rsidR="00F67FFD" w:rsidRPr="00F67FFD" w:rsidRDefault="00F67FFD" w:rsidP="00F67FFD">
            <w:pPr>
              <w:pStyle w:val="13"/>
              <w:spacing w:line="240" w:lineRule="auto"/>
              <w:ind w:firstLineChars="0" w:firstLine="0"/>
              <w:rPr>
                <w:sz w:val="21"/>
                <w:szCs w:val="21"/>
              </w:rPr>
            </w:pPr>
            <w:r w:rsidRPr="00F67FFD">
              <w:rPr>
                <w:sz w:val="21"/>
                <w:szCs w:val="21"/>
              </w:rPr>
              <w:t>中央企业及其所有的科技型企业股权出售</w:t>
            </w:r>
          </w:p>
        </w:tc>
      </w:tr>
      <w:tr w:rsidR="00F67FFD" w:rsidRPr="00F67FFD" w14:paraId="7710D730" w14:textId="77777777" w:rsidTr="00F67FFD">
        <w:trPr>
          <w:trHeight w:val="20"/>
        </w:trPr>
        <w:tc>
          <w:tcPr>
            <w:tcW w:w="693" w:type="dxa"/>
            <w:vMerge/>
            <w:shd w:val="clear" w:color="auto" w:fill="auto"/>
            <w:vAlign w:val="center"/>
            <w:hideMark/>
          </w:tcPr>
          <w:p w14:paraId="3EE395D6"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3BF81439"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372CB49C" w14:textId="77777777" w:rsidR="00F67FFD" w:rsidRPr="00F67FFD" w:rsidRDefault="00F67FFD" w:rsidP="00F67FFD">
            <w:pPr>
              <w:pStyle w:val="13"/>
              <w:spacing w:line="240" w:lineRule="auto"/>
              <w:ind w:firstLineChars="0" w:firstLine="0"/>
              <w:rPr>
                <w:sz w:val="21"/>
                <w:szCs w:val="21"/>
              </w:rPr>
            </w:pPr>
            <w:r w:rsidRPr="00F67FFD">
              <w:rPr>
                <w:sz w:val="21"/>
                <w:szCs w:val="21"/>
              </w:rPr>
              <w:t>1.2.7</w:t>
            </w:r>
          </w:p>
        </w:tc>
        <w:tc>
          <w:tcPr>
            <w:tcW w:w="5380" w:type="dxa"/>
            <w:shd w:val="clear" w:color="auto" w:fill="auto"/>
            <w:noWrap/>
            <w:vAlign w:val="center"/>
            <w:hideMark/>
          </w:tcPr>
          <w:p w14:paraId="49199FB6" w14:textId="77777777" w:rsidR="00F67FFD" w:rsidRPr="00F67FFD" w:rsidRDefault="00F67FFD" w:rsidP="00F67FFD">
            <w:pPr>
              <w:pStyle w:val="13"/>
              <w:spacing w:line="240" w:lineRule="auto"/>
              <w:ind w:firstLineChars="0" w:firstLine="0"/>
              <w:rPr>
                <w:sz w:val="21"/>
                <w:szCs w:val="21"/>
              </w:rPr>
            </w:pPr>
            <w:r w:rsidRPr="00F67FFD">
              <w:rPr>
                <w:sz w:val="21"/>
                <w:szCs w:val="21"/>
              </w:rPr>
              <w:t>中央企业及其所有的科技型企业股权奖励</w:t>
            </w:r>
          </w:p>
        </w:tc>
      </w:tr>
      <w:tr w:rsidR="00F67FFD" w:rsidRPr="00F67FFD" w14:paraId="12C545B7" w14:textId="77777777" w:rsidTr="00F67FFD">
        <w:trPr>
          <w:trHeight w:val="20"/>
        </w:trPr>
        <w:tc>
          <w:tcPr>
            <w:tcW w:w="693" w:type="dxa"/>
            <w:vMerge/>
            <w:shd w:val="clear" w:color="auto" w:fill="auto"/>
            <w:vAlign w:val="center"/>
            <w:hideMark/>
          </w:tcPr>
          <w:p w14:paraId="5C1C56FB"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4641AF7A"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60F5C26C" w14:textId="77777777" w:rsidR="00F67FFD" w:rsidRPr="00F67FFD" w:rsidRDefault="00F67FFD" w:rsidP="00F67FFD">
            <w:pPr>
              <w:pStyle w:val="13"/>
              <w:spacing w:line="240" w:lineRule="auto"/>
              <w:ind w:firstLineChars="0" w:firstLine="0"/>
              <w:rPr>
                <w:sz w:val="21"/>
                <w:szCs w:val="21"/>
              </w:rPr>
            </w:pPr>
            <w:r w:rsidRPr="00F67FFD">
              <w:rPr>
                <w:sz w:val="21"/>
                <w:szCs w:val="21"/>
              </w:rPr>
              <w:t>1.2.8</w:t>
            </w:r>
          </w:p>
        </w:tc>
        <w:tc>
          <w:tcPr>
            <w:tcW w:w="5380" w:type="dxa"/>
            <w:shd w:val="clear" w:color="auto" w:fill="auto"/>
            <w:noWrap/>
            <w:vAlign w:val="center"/>
            <w:hideMark/>
          </w:tcPr>
          <w:p w14:paraId="4F3080AD" w14:textId="77777777" w:rsidR="00F67FFD" w:rsidRPr="00F67FFD" w:rsidRDefault="00F67FFD" w:rsidP="00F67FFD">
            <w:pPr>
              <w:pStyle w:val="13"/>
              <w:spacing w:line="240" w:lineRule="auto"/>
              <w:ind w:firstLineChars="0" w:firstLine="0"/>
              <w:rPr>
                <w:sz w:val="21"/>
                <w:szCs w:val="21"/>
              </w:rPr>
            </w:pPr>
            <w:r w:rsidRPr="00F67FFD">
              <w:rPr>
                <w:sz w:val="21"/>
                <w:szCs w:val="21"/>
              </w:rPr>
              <w:t>“僵尸企业”处置</w:t>
            </w:r>
          </w:p>
        </w:tc>
      </w:tr>
      <w:tr w:rsidR="00F67FFD" w:rsidRPr="00F67FFD" w14:paraId="2C564029" w14:textId="77777777" w:rsidTr="00F67FFD">
        <w:trPr>
          <w:trHeight w:val="20"/>
        </w:trPr>
        <w:tc>
          <w:tcPr>
            <w:tcW w:w="693" w:type="dxa"/>
            <w:vMerge/>
            <w:shd w:val="clear" w:color="auto" w:fill="auto"/>
            <w:vAlign w:val="center"/>
            <w:hideMark/>
          </w:tcPr>
          <w:p w14:paraId="3510414B"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4BA59C7B"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B710A67" w14:textId="77777777" w:rsidR="00F67FFD" w:rsidRPr="00F67FFD" w:rsidRDefault="00F67FFD" w:rsidP="00F67FFD">
            <w:pPr>
              <w:pStyle w:val="13"/>
              <w:spacing w:line="240" w:lineRule="auto"/>
              <w:ind w:firstLineChars="0" w:firstLine="0"/>
              <w:rPr>
                <w:sz w:val="21"/>
                <w:szCs w:val="21"/>
              </w:rPr>
            </w:pPr>
            <w:r w:rsidRPr="00F67FFD">
              <w:rPr>
                <w:sz w:val="21"/>
                <w:szCs w:val="21"/>
              </w:rPr>
              <w:t>1.2.9</w:t>
            </w:r>
          </w:p>
        </w:tc>
        <w:tc>
          <w:tcPr>
            <w:tcW w:w="5380" w:type="dxa"/>
            <w:shd w:val="clear" w:color="auto" w:fill="auto"/>
            <w:noWrap/>
            <w:vAlign w:val="center"/>
            <w:hideMark/>
          </w:tcPr>
          <w:p w14:paraId="2AA8E497" w14:textId="77777777" w:rsidR="00F67FFD" w:rsidRPr="00F67FFD" w:rsidRDefault="00F67FFD" w:rsidP="00F67FFD">
            <w:pPr>
              <w:pStyle w:val="13"/>
              <w:spacing w:line="240" w:lineRule="auto"/>
              <w:ind w:firstLineChars="0" w:firstLine="0"/>
              <w:rPr>
                <w:sz w:val="21"/>
                <w:szCs w:val="21"/>
              </w:rPr>
            </w:pPr>
            <w:r w:rsidRPr="00F67FFD">
              <w:rPr>
                <w:sz w:val="21"/>
                <w:szCs w:val="21"/>
              </w:rPr>
              <w:t>过剩产能资产处置</w:t>
            </w:r>
          </w:p>
        </w:tc>
      </w:tr>
      <w:tr w:rsidR="00F67FFD" w:rsidRPr="00F67FFD" w14:paraId="1C9093B0" w14:textId="77777777" w:rsidTr="00F67FFD">
        <w:trPr>
          <w:trHeight w:val="20"/>
        </w:trPr>
        <w:tc>
          <w:tcPr>
            <w:tcW w:w="693" w:type="dxa"/>
            <w:vMerge/>
            <w:shd w:val="clear" w:color="auto" w:fill="auto"/>
            <w:vAlign w:val="center"/>
            <w:hideMark/>
          </w:tcPr>
          <w:p w14:paraId="03E82D6E"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7D2381D7"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56390DBD" w14:textId="77777777" w:rsidR="00F67FFD" w:rsidRPr="00F67FFD" w:rsidRDefault="00F67FFD" w:rsidP="00F67FFD">
            <w:pPr>
              <w:pStyle w:val="13"/>
              <w:spacing w:line="240" w:lineRule="auto"/>
              <w:ind w:firstLineChars="0" w:firstLine="0"/>
              <w:rPr>
                <w:sz w:val="21"/>
                <w:szCs w:val="21"/>
              </w:rPr>
            </w:pPr>
            <w:r w:rsidRPr="00F67FFD">
              <w:rPr>
                <w:sz w:val="21"/>
                <w:szCs w:val="21"/>
              </w:rPr>
              <w:t>1.2.10</w:t>
            </w:r>
          </w:p>
        </w:tc>
        <w:tc>
          <w:tcPr>
            <w:tcW w:w="5380" w:type="dxa"/>
            <w:shd w:val="clear" w:color="auto" w:fill="auto"/>
            <w:noWrap/>
            <w:vAlign w:val="center"/>
            <w:hideMark/>
          </w:tcPr>
          <w:p w14:paraId="65D0F695" w14:textId="77777777" w:rsidR="00F67FFD" w:rsidRPr="00F67FFD" w:rsidRDefault="00F67FFD" w:rsidP="00F67FFD">
            <w:pPr>
              <w:pStyle w:val="13"/>
              <w:spacing w:line="240" w:lineRule="auto"/>
              <w:ind w:firstLineChars="0" w:firstLine="0"/>
              <w:rPr>
                <w:sz w:val="21"/>
                <w:szCs w:val="21"/>
              </w:rPr>
            </w:pPr>
            <w:r w:rsidRPr="00F67FFD">
              <w:rPr>
                <w:sz w:val="21"/>
                <w:szCs w:val="21"/>
              </w:rPr>
              <w:t>企业办医疗机构资产转让</w:t>
            </w:r>
          </w:p>
        </w:tc>
      </w:tr>
      <w:tr w:rsidR="00F67FFD" w:rsidRPr="00F67FFD" w14:paraId="31AC94F7" w14:textId="77777777" w:rsidTr="00F67FFD">
        <w:trPr>
          <w:trHeight w:val="20"/>
        </w:trPr>
        <w:tc>
          <w:tcPr>
            <w:tcW w:w="693" w:type="dxa"/>
            <w:vMerge/>
            <w:shd w:val="clear" w:color="auto" w:fill="auto"/>
            <w:vAlign w:val="center"/>
            <w:hideMark/>
          </w:tcPr>
          <w:p w14:paraId="717E8D71"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1F052555"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375FC55" w14:textId="77777777" w:rsidR="00F67FFD" w:rsidRPr="00F67FFD" w:rsidRDefault="00F67FFD" w:rsidP="00F67FFD">
            <w:pPr>
              <w:pStyle w:val="13"/>
              <w:spacing w:line="240" w:lineRule="auto"/>
              <w:ind w:firstLineChars="0" w:firstLine="0"/>
              <w:rPr>
                <w:sz w:val="21"/>
                <w:szCs w:val="21"/>
              </w:rPr>
            </w:pPr>
            <w:r w:rsidRPr="00F67FFD">
              <w:rPr>
                <w:sz w:val="21"/>
                <w:szCs w:val="21"/>
              </w:rPr>
              <w:t>1.2.11</w:t>
            </w:r>
          </w:p>
        </w:tc>
        <w:tc>
          <w:tcPr>
            <w:tcW w:w="5380" w:type="dxa"/>
            <w:shd w:val="clear" w:color="auto" w:fill="auto"/>
            <w:noWrap/>
            <w:vAlign w:val="center"/>
            <w:hideMark/>
          </w:tcPr>
          <w:p w14:paraId="005E032D" w14:textId="77777777" w:rsidR="00F67FFD" w:rsidRPr="00F67FFD" w:rsidRDefault="00F67FFD" w:rsidP="00F67FFD">
            <w:pPr>
              <w:pStyle w:val="13"/>
              <w:spacing w:line="240" w:lineRule="auto"/>
              <w:ind w:firstLineChars="0" w:firstLine="0"/>
              <w:rPr>
                <w:sz w:val="21"/>
                <w:szCs w:val="21"/>
              </w:rPr>
            </w:pPr>
            <w:r w:rsidRPr="00F67FFD">
              <w:rPr>
                <w:sz w:val="21"/>
                <w:szCs w:val="21"/>
              </w:rPr>
              <w:t>企业办医疗机构产权转让</w:t>
            </w:r>
          </w:p>
        </w:tc>
      </w:tr>
      <w:tr w:rsidR="00F67FFD" w:rsidRPr="00F67FFD" w14:paraId="6AEE121E" w14:textId="77777777" w:rsidTr="00F67FFD">
        <w:trPr>
          <w:trHeight w:val="20"/>
        </w:trPr>
        <w:tc>
          <w:tcPr>
            <w:tcW w:w="693" w:type="dxa"/>
            <w:vMerge/>
            <w:shd w:val="clear" w:color="auto" w:fill="auto"/>
            <w:vAlign w:val="center"/>
            <w:hideMark/>
          </w:tcPr>
          <w:p w14:paraId="44DB8360"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344BD237"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5BCC67BD" w14:textId="77777777" w:rsidR="00F67FFD" w:rsidRPr="00F67FFD" w:rsidRDefault="00F67FFD" w:rsidP="00F67FFD">
            <w:pPr>
              <w:pStyle w:val="13"/>
              <w:spacing w:line="240" w:lineRule="auto"/>
              <w:ind w:firstLineChars="0" w:firstLine="0"/>
              <w:rPr>
                <w:sz w:val="21"/>
                <w:szCs w:val="21"/>
              </w:rPr>
            </w:pPr>
            <w:r w:rsidRPr="00F67FFD">
              <w:rPr>
                <w:sz w:val="21"/>
                <w:szCs w:val="21"/>
              </w:rPr>
              <w:t>1.2.12</w:t>
            </w:r>
          </w:p>
        </w:tc>
        <w:tc>
          <w:tcPr>
            <w:tcW w:w="5380" w:type="dxa"/>
            <w:shd w:val="clear" w:color="auto" w:fill="auto"/>
            <w:noWrap/>
            <w:vAlign w:val="center"/>
            <w:hideMark/>
          </w:tcPr>
          <w:p w14:paraId="4BB49CBE" w14:textId="77777777" w:rsidR="00F67FFD" w:rsidRPr="00F67FFD" w:rsidRDefault="00F67FFD" w:rsidP="00F67FFD">
            <w:pPr>
              <w:pStyle w:val="13"/>
              <w:spacing w:line="240" w:lineRule="auto"/>
              <w:ind w:firstLineChars="0" w:firstLine="0"/>
              <w:rPr>
                <w:sz w:val="21"/>
                <w:szCs w:val="21"/>
              </w:rPr>
            </w:pPr>
            <w:r w:rsidRPr="00F67FFD">
              <w:rPr>
                <w:sz w:val="21"/>
                <w:szCs w:val="21"/>
              </w:rPr>
              <w:t>国有企业职工家属区“三供</w:t>
            </w:r>
            <w:proofErr w:type="gramStart"/>
            <w:r w:rsidRPr="00F67FFD">
              <w:rPr>
                <w:sz w:val="21"/>
                <w:szCs w:val="21"/>
              </w:rPr>
              <w:t>一</w:t>
            </w:r>
            <w:proofErr w:type="gramEnd"/>
            <w:r w:rsidRPr="00F67FFD">
              <w:rPr>
                <w:sz w:val="21"/>
                <w:szCs w:val="21"/>
              </w:rPr>
              <w:t>业”分离移交</w:t>
            </w:r>
          </w:p>
        </w:tc>
      </w:tr>
      <w:tr w:rsidR="00F67FFD" w:rsidRPr="00F67FFD" w14:paraId="2C06AEC3" w14:textId="77777777" w:rsidTr="00F67FFD">
        <w:trPr>
          <w:trHeight w:val="20"/>
        </w:trPr>
        <w:tc>
          <w:tcPr>
            <w:tcW w:w="693" w:type="dxa"/>
            <w:vMerge w:val="restart"/>
            <w:shd w:val="clear" w:color="auto" w:fill="auto"/>
            <w:noWrap/>
            <w:vAlign w:val="center"/>
            <w:hideMark/>
          </w:tcPr>
          <w:p w14:paraId="4A39F4B8" w14:textId="77777777" w:rsidR="00F67FFD" w:rsidRPr="00F67FFD" w:rsidRDefault="00F67FFD" w:rsidP="00F67FFD">
            <w:pPr>
              <w:pStyle w:val="13"/>
              <w:spacing w:line="240" w:lineRule="auto"/>
              <w:ind w:firstLineChars="0" w:firstLine="0"/>
              <w:rPr>
                <w:sz w:val="21"/>
                <w:szCs w:val="21"/>
              </w:rPr>
            </w:pPr>
            <w:r w:rsidRPr="00F67FFD">
              <w:rPr>
                <w:sz w:val="21"/>
                <w:szCs w:val="21"/>
              </w:rPr>
              <w:t>1.3</w:t>
            </w:r>
          </w:p>
        </w:tc>
        <w:tc>
          <w:tcPr>
            <w:tcW w:w="1712" w:type="dxa"/>
            <w:vMerge w:val="restart"/>
            <w:shd w:val="clear" w:color="auto" w:fill="auto"/>
            <w:noWrap/>
            <w:vAlign w:val="center"/>
            <w:hideMark/>
          </w:tcPr>
          <w:p w14:paraId="2C6E1F5F" w14:textId="77777777" w:rsidR="00F67FFD" w:rsidRPr="00F67FFD" w:rsidRDefault="00F67FFD" w:rsidP="00F67FFD">
            <w:pPr>
              <w:pStyle w:val="13"/>
              <w:spacing w:line="240" w:lineRule="auto"/>
              <w:ind w:firstLineChars="0" w:firstLine="0"/>
              <w:rPr>
                <w:sz w:val="21"/>
                <w:szCs w:val="21"/>
              </w:rPr>
            </w:pPr>
            <w:r w:rsidRPr="00F67FFD">
              <w:rPr>
                <w:sz w:val="21"/>
                <w:szCs w:val="21"/>
              </w:rPr>
              <w:t>国有金融企业</w:t>
            </w:r>
          </w:p>
        </w:tc>
        <w:tc>
          <w:tcPr>
            <w:tcW w:w="992" w:type="dxa"/>
            <w:shd w:val="clear" w:color="auto" w:fill="auto"/>
            <w:noWrap/>
            <w:vAlign w:val="center"/>
            <w:hideMark/>
          </w:tcPr>
          <w:p w14:paraId="17B641E7" w14:textId="77777777" w:rsidR="00F67FFD" w:rsidRPr="00F67FFD" w:rsidRDefault="00F67FFD" w:rsidP="00F67FFD">
            <w:pPr>
              <w:pStyle w:val="13"/>
              <w:spacing w:line="240" w:lineRule="auto"/>
              <w:ind w:firstLineChars="0" w:firstLine="0"/>
              <w:rPr>
                <w:sz w:val="21"/>
                <w:szCs w:val="21"/>
              </w:rPr>
            </w:pPr>
            <w:r w:rsidRPr="00F67FFD">
              <w:rPr>
                <w:sz w:val="21"/>
                <w:szCs w:val="21"/>
              </w:rPr>
              <w:t>1.3.1</w:t>
            </w:r>
          </w:p>
        </w:tc>
        <w:tc>
          <w:tcPr>
            <w:tcW w:w="5380" w:type="dxa"/>
            <w:shd w:val="clear" w:color="auto" w:fill="auto"/>
            <w:noWrap/>
            <w:vAlign w:val="center"/>
            <w:hideMark/>
          </w:tcPr>
          <w:p w14:paraId="460AEBD9" w14:textId="77777777" w:rsidR="00F67FFD" w:rsidRPr="00F67FFD" w:rsidRDefault="00F67FFD" w:rsidP="00F67FFD">
            <w:pPr>
              <w:pStyle w:val="13"/>
              <w:spacing w:line="240" w:lineRule="auto"/>
              <w:ind w:firstLineChars="0" w:firstLine="0"/>
              <w:rPr>
                <w:sz w:val="21"/>
                <w:szCs w:val="21"/>
              </w:rPr>
            </w:pPr>
            <w:r w:rsidRPr="00F67FFD">
              <w:rPr>
                <w:sz w:val="21"/>
                <w:szCs w:val="21"/>
              </w:rPr>
              <w:t>国有金融企业直接股权投资</w:t>
            </w:r>
          </w:p>
        </w:tc>
      </w:tr>
      <w:tr w:rsidR="00F67FFD" w:rsidRPr="00F67FFD" w14:paraId="624DDADB" w14:textId="77777777" w:rsidTr="00F67FFD">
        <w:trPr>
          <w:trHeight w:val="20"/>
        </w:trPr>
        <w:tc>
          <w:tcPr>
            <w:tcW w:w="693" w:type="dxa"/>
            <w:vMerge/>
            <w:shd w:val="clear" w:color="auto" w:fill="auto"/>
            <w:vAlign w:val="center"/>
            <w:hideMark/>
          </w:tcPr>
          <w:p w14:paraId="176B3AE5"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07BF24AF"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4AEEF79C" w14:textId="77777777" w:rsidR="00F67FFD" w:rsidRPr="00F67FFD" w:rsidRDefault="00F67FFD" w:rsidP="00F67FFD">
            <w:pPr>
              <w:pStyle w:val="13"/>
              <w:spacing w:line="240" w:lineRule="auto"/>
              <w:ind w:firstLineChars="0" w:firstLine="0"/>
              <w:rPr>
                <w:sz w:val="21"/>
                <w:szCs w:val="21"/>
              </w:rPr>
            </w:pPr>
            <w:r w:rsidRPr="00F67FFD">
              <w:rPr>
                <w:sz w:val="21"/>
                <w:szCs w:val="21"/>
              </w:rPr>
              <w:t>1.3.2</w:t>
            </w:r>
          </w:p>
        </w:tc>
        <w:tc>
          <w:tcPr>
            <w:tcW w:w="5380" w:type="dxa"/>
            <w:shd w:val="clear" w:color="auto" w:fill="auto"/>
            <w:noWrap/>
            <w:vAlign w:val="center"/>
            <w:hideMark/>
          </w:tcPr>
          <w:p w14:paraId="4C9DF1B0" w14:textId="77777777" w:rsidR="00F67FFD" w:rsidRPr="00F67FFD" w:rsidRDefault="00F67FFD" w:rsidP="00F67FFD">
            <w:pPr>
              <w:pStyle w:val="13"/>
              <w:spacing w:line="240" w:lineRule="auto"/>
              <w:ind w:firstLineChars="0" w:firstLine="0"/>
              <w:rPr>
                <w:sz w:val="21"/>
                <w:szCs w:val="21"/>
              </w:rPr>
            </w:pPr>
            <w:r w:rsidRPr="00F67FFD">
              <w:rPr>
                <w:sz w:val="21"/>
                <w:szCs w:val="21"/>
              </w:rPr>
              <w:t>市场化银行债权转股权</w:t>
            </w:r>
          </w:p>
        </w:tc>
      </w:tr>
      <w:tr w:rsidR="00F67FFD" w:rsidRPr="00F67FFD" w14:paraId="6AA72A29" w14:textId="77777777" w:rsidTr="00F67FFD">
        <w:trPr>
          <w:trHeight w:val="20"/>
        </w:trPr>
        <w:tc>
          <w:tcPr>
            <w:tcW w:w="693" w:type="dxa"/>
            <w:vMerge w:val="restart"/>
            <w:shd w:val="clear" w:color="auto" w:fill="auto"/>
            <w:noWrap/>
            <w:vAlign w:val="center"/>
            <w:hideMark/>
          </w:tcPr>
          <w:p w14:paraId="5FD1EF4E" w14:textId="77777777" w:rsidR="00F67FFD" w:rsidRPr="00F67FFD" w:rsidRDefault="00F67FFD" w:rsidP="00F67FFD">
            <w:pPr>
              <w:pStyle w:val="13"/>
              <w:spacing w:line="240" w:lineRule="auto"/>
              <w:ind w:firstLineChars="0" w:firstLine="0"/>
              <w:rPr>
                <w:sz w:val="21"/>
                <w:szCs w:val="21"/>
              </w:rPr>
            </w:pPr>
            <w:r w:rsidRPr="00F67FFD">
              <w:rPr>
                <w:sz w:val="21"/>
                <w:szCs w:val="21"/>
              </w:rPr>
              <w:t>1.4</w:t>
            </w:r>
          </w:p>
        </w:tc>
        <w:tc>
          <w:tcPr>
            <w:tcW w:w="1712" w:type="dxa"/>
            <w:vMerge w:val="restart"/>
            <w:shd w:val="clear" w:color="auto" w:fill="auto"/>
            <w:noWrap/>
            <w:vAlign w:val="center"/>
            <w:hideMark/>
          </w:tcPr>
          <w:p w14:paraId="13D664D2" w14:textId="77777777" w:rsidR="00F67FFD" w:rsidRPr="00F67FFD" w:rsidRDefault="00F67FFD" w:rsidP="00F67FFD">
            <w:pPr>
              <w:pStyle w:val="13"/>
              <w:spacing w:line="240" w:lineRule="auto"/>
              <w:ind w:firstLineChars="0" w:firstLine="0"/>
              <w:rPr>
                <w:sz w:val="21"/>
                <w:szCs w:val="21"/>
              </w:rPr>
            </w:pPr>
            <w:r w:rsidRPr="00F67FFD">
              <w:rPr>
                <w:sz w:val="21"/>
                <w:szCs w:val="21"/>
              </w:rPr>
              <w:t>中央文化企业</w:t>
            </w:r>
          </w:p>
        </w:tc>
        <w:tc>
          <w:tcPr>
            <w:tcW w:w="992" w:type="dxa"/>
            <w:shd w:val="clear" w:color="auto" w:fill="auto"/>
            <w:noWrap/>
            <w:vAlign w:val="center"/>
            <w:hideMark/>
          </w:tcPr>
          <w:p w14:paraId="22E68BD5" w14:textId="77777777" w:rsidR="00F67FFD" w:rsidRPr="00F67FFD" w:rsidRDefault="00F67FFD" w:rsidP="00F67FFD">
            <w:pPr>
              <w:pStyle w:val="13"/>
              <w:spacing w:line="240" w:lineRule="auto"/>
              <w:ind w:firstLineChars="0" w:firstLine="0"/>
              <w:rPr>
                <w:sz w:val="21"/>
                <w:szCs w:val="21"/>
              </w:rPr>
            </w:pPr>
            <w:r w:rsidRPr="00F67FFD">
              <w:rPr>
                <w:sz w:val="21"/>
                <w:szCs w:val="21"/>
              </w:rPr>
              <w:t>1.4.1</w:t>
            </w:r>
          </w:p>
        </w:tc>
        <w:tc>
          <w:tcPr>
            <w:tcW w:w="5380" w:type="dxa"/>
            <w:shd w:val="clear" w:color="auto" w:fill="auto"/>
            <w:noWrap/>
            <w:vAlign w:val="center"/>
            <w:hideMark/>
          </w:tcPr>
          <w:p w14:paraId="018F1F0F" w14:textId="77777777" w:rsidR="00F67FFD" w:rsidRPr="00F67FFD" w:rsidRDefault="00F67FFD" w:rsidP="00F67FFD">
            <w:pPr>
              <w:pStyle w:val="13"/>
              <w:spacing w:line="240" w:lineRule="auto"/>
              <w:ind w:firstLineChars="0" w:firstLine="0"/>
              <w:rPr>
                <w:sz w:val="21"/>
                <w:szCs w:val="21"/>
              </w:rPr>
            </w:pPr>
            <w:r w:rsidRPr="00F67FFD">
              <w:rPr>
                <w:sz w:val="21"/>
                <w:szCs w:val="21"/>
              </w:rPr>
              <w:t>经营性文化事业单位转制为企业</w:t>
            </w:r>
          </w:p>
        </w:tc>
      </w:tr>
      <w:tr w:rsidR="00F67FFD" w:rsidRPr="00F67FFD" w14:paraId="4BBDD420" w14:textId="77777777" w:rsidTr="00F67FFD">
        <w:trPr>
          <w:trHeight w:val="20"/>
        </w:trPr>
        <w:tc>
          <w:tcPr>
            <w:tcW w:w="693" w:type="dxa"/>
            <w:vMerge/>
            <w:shd w:val="clear" w:color="auto" w:fill="auto"/>
            <w:vAlign w:val="center"/>
            <w:hideMark/>
          </w:tcPr>
          <w:p w14:paraId="2A094B14"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4191F796"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17D40D9C" w14:textId="77777777" w:rsidR="00F67FFD" w:rsidRPr="00F67FFD" w:rsidRDefault="00F67FFD" w:rsidP="00F67FFD">
            <w:pPr>
              <w:pStyle w:val="13"/>
              <w:spacing w:line="240" w:lineRule="auto"/>
              <w:ind w:firstLineChars="0" w:firstLine="0"/>
              <w:rPr>
                <w:sz w:val="21"/>
                <w:szCs w:val="21"/>
              </w:rPr>
            </w:pPr>
            <w:r w:rsidRPr="00F67FFD">
              <w:rPr>
                <w:sz w:val="21"/>
                <w:szCs w:val="21"/>
              </w:rPr>
              <w:t>1.4.2</w:t>
            </w:r>
          </w:p>
        </w:tc>
        <w:tc>
          <w:tcPr>
            <w:tcW w:w="5380" w:type="dxa"/>
            <w:shd w:val="clear" w:color="auto" w:fill="auto"/>
            <w:noWrap/>
            <w:vAlign w:val="center"/>
            <w:hideMark/>
          </w:tcPr>
          <w:p w14:paraId="3D1AE487" w14:textId="77777777" w:rsidR="00F67FFD" w:rsidRPr="00F67FFD" w:rsidRDefault="00F67FFD" w:rsidP="00F67FFD">
            <w:pPr>
              <w:pStyle w:val="13"/>
              <w:spacing w:line="240" w:lineRule="auto"/>
              <w:ind w:firstLineChars="0" w:firstLine="0"/>
              <w:rPr>
                <w:sz w:val="21"/>
                <w:szCs w:val="21"/>
              </w:rPr>
            </w:pPr>
            <w:r w:rsidRPr="00F67FFD">
              <w:rPr>
                <w:sz w:val="21"/>
                <w:szCs w:val="21"/>
              </w:rPr>
              <w:t>中央文化企业改制</w:t>
            </w:r>
          </w:p>
        </w:tc>
      </w:tr>
      <w:tr w:rsidR="00F67FFD" w:rsidRPr="00F67FFD" w14:paraId="48282126" w14:textId="77777777" w:rsidTr="00F67FFD">
        <w:trPr>
          <w:trHeight w:val="20"/>
        </w:trPr>
        <w:tc>
          <w:tcPr>
            <w:tcW w:w="693" w:type="dxa"/>
            <w:vMerge/>
            <w:shd w:val="clear" w:color="auto" w:fill="auto"/>
            <w:vAlign w:val="center"/>
            <w:hideMark/>
          </w:tcPr>
          <w:p w14:paraId="4C7FBB99"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B4CAC9B"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7868FDA" w14:textId="77777777" w:rsidR="00F67FFD" w:rsidRPr="00F67FFD" w:rsidRDefault="00F67FFD" w:rsidP="00F67FFD">
            <w:pPr>
              <w:pStyle w:val="13"/>
              <w:spacing w:line="240" w:lineRule="auto"/>
              <w:ind w:firstLineChars="0" w:firstLine="0"/>
              <w:rPr>
                <w:sz w:val="21"/>
                <w:szCs w:val="21"/>
              </w:rPr>
            </w:pPr>
            <w:r w:rsidRPr="00F67FFD">
              <w:rPr>
                <w:sz w:val="21"/>
                <w:szCs w:val="21"/>
              </w:rPr>
              <w:t>1.4.3</w:t>
            </w:r>
          </w:p>
        </w:tc>
        <w:tc>
          <w:tcPr>
            <w:tcW w:w="5380" w:type="dxa"/>
            <w:shd w:val="clear" w:color="auto" w:fill="auto"/>
            <w:noWrap/>
            <w:vAlign w:val="center"/>
            <w:hideMark/>
          </w:tcPr>
          <w:p w14:paraId="704953FE" w14:textId="77777777" w:rsidR="00F67FFD" w:rsidRPr="00F67FFD" w:rsidRDefault="00F67FFD" w:rsidP="00F67FFD">
            <w:pPr>
              <w:pStyle w:val="13"/>
              <w:spacing w:line="240" w:lineRule="auto"/>
              <w:ind w:firstLineChars="0" w:firstLine="0"/>
              <w:rPr>
                <w:sz w:val="21"/>
                <w:szCs w:val="21"/>
              </w:rPr>
            </w:pPr>
            <w:r w:rsidRPr="00F67FFD">
              <w:rPr>
                <w:sz w:val="21"/>
                <w:szCs w:val="21"/>
              </w:rPr>
              <w:t>中央文化企业产权转让</w:t>
            </w:r>
          </w:p>
        </w:tc>
      </w:tr>
      <w:tr w:rsidR="00F67FFD" w:rsidRPr="00F67FFD" w14:paraId="21D7DE34" w14:textId="77777777" w:rsidTr="00F67FFD">
        <w:trPr>
          <w:trHeight w:val="20"/>
        </w:trPr>
        <w:tc>
          <w:tcPr>
            <w:tcW w:w="693" w:type="dxa"/>
            <w:vMerge/>
            <w:shd w:val="clear" w:color="auto" w:fill="auto"/>
            <w:vAlign w:val="center"/>
            <w:hideMark/>
          </w:tcPr>
          <w:p w14:paraId="468C7B9B"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166ECA1E"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334CAE73" w14:textId="77777777" w:rsidR="00F67FFD" w:rsidRPr="00F67FFD" w:rsidRDefault="00F67FFD" w:rsidP="00F67FFD">
            <w:pPr>
              <w:pStyle w:val="13"/>
              <w:spacing w:line="240" w:lineRule="auto"/>
              <w:ind w:firstLineChars="0" w:firstLine="0"/>
              <w:rPr>
                <w:sz w:val="21"/>
                <w:szCs w:val="21"/>
              </w:rPr>
            </w:pPr>
            <w:r w:rsidRPr="00F67FFD">
              <w:rPr>
                <w:sz w:val="21"/>
                <w:szCs w:val="21"/>
              </w:rPr>
              <w:t>1.4.4</w:t>
            </w:r>
          </w:p>
        </w:tc>
        <w:tc>
          <w:tcPr>
            <w:tcW w:w="5380" w:type="dxa"/>
            <w:shd w:val="clear" w:color="auto" w:fill="auto"/>
            <w:noWrap/>
            <w:vAlign w:val="center"/>
            <w:hideMark/>
          </w:tcPr>
          <w:p w14:paraId="1FCD4B8B" w14:textId="77777777" w:rsidR="00F67FFD" w:rsidRPr="00F67FFD" w:rsidRDefault="00F67FFD" w:rsidP="00F67FFD">
            <w:pPr>
              <w:pStyle w:val="13"/>
              <w:spacing w:line="240" w:lineRule="auto"/>
              <w:ind w:firstLineChars="0" w:firstLine="0"/>
              <w:rPr>
                <w:sz w:val="21"/>
                <w:szCs w:val="21"/>
              </w:rPr>
            </w:pPr>
            <w:r w:rsidRPr="00F67FFD">
              <w:rPr>
                <w:sz w:val="21"/>
                <w:szCs w:val="21"/>
              </w:rPr>
              <w:t>中央文化企业增资</w:t>
            </w:r>
          </w:p>
        </w:tc>
      </w:tr>
      <w:tr w:rsidR="00F67FFD" w:rsidRPr="00F67FFD" w14:paraId="3897746A" w14:textId="77777777" w:rsidTr="00F67FFD">
        <w:trPr>
          <w:trHeight w:val="20"/>
        </w:trPr>
        <w:tc>
          <w:tcPr>
            <w:tcW w:w="693" w:type="dxa"/>
            <w:vMerge/>
            <w:shd w:val="clear" w:color="auto" w:fill="auto"/>
            <w:vAlign w:val="center"/>
            <w:hideMark/>
          </w:tcPr>
          <w:p w14:paraId="71742809"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1030D57D"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3C7AC565" w14:textId="77777777" w:rsidR="00F67FFD" w:rsidRPr="00F67FFD" w:rsidRDefault="00F67FFD" w:rsidP="00F67FFD">
            <w:pPr>
              <w:pStyle w:val="13"/>
              <w:spacing w:line="240" w:lineRule="auto"/>
              <w:ind w:firstLineChars="0" w:firstLine="0"/>
              <w:rPr>
                <w:sz w:val="21"/>
                <w:szCs w:val="21"/>
              </w:rPr>
            </w:pPr>
            <w:r w:rsidRPr="00F67FFD">
              <w:rPr>
                <w:sz w:val="21"/>
                <w:szCs w:val="21"/>
              </w:rPr>
              <w:t>1.4.5</w:t>
            </w:r>
          </w:p>
        </w:tc>
        <w:tc>
          <w:tcPr>
            <w:tcW w:w="5380" w:type="dxa"/>
            <w:shd w:val="clear" w:color="auto" w:fill="auto"/>
            <w:noWrap/>
            <w:vAlign w:val="center"/>
            <w:hideMark/>
          </w:tcPr>
          <w:p w14:paraId="4CF39B3E" w14:textId="77777777" w:rsidR="00F67FFD" w:rsidRPr="00F67FFD" w:rsidRDefault="00F67FFD" w:rsidP="00F67FFD">
            <w:pPr>
              <w:pStyle w:val="13"/>
              <w:spacing w:line="240" w:lineRule="auto"/>
              <w:ind w:firstLineChars="0" w:firstLine="0"/>
              <w:rPr>
                <w:sz w:val="21"/>
                <w:szCs w:val="21"/>
              </w:rPr>
            </w:pPr>
            <w:r w:rsidRPr="00F67FFD">
              <w:rPr>
                <w:sz w:val="21"/>
                <w:szCs w:val="21"/>
              </w:rPr>
              <w:t>中央文化企业资产转让</w:t>
            </w:r>
          </w:p>
        </w:tc>
      </w:tr>
      <w:tr w:rsidR="00F67FFD" w:rsidRPr="00F67FFD" w14:paraId="7617C52D" w14:textId="77777777" w:rsidTr="00F67FFD">
        <w:trPr>
          <w:trHeight w:val="20"/>
        </w:trPr>
        <w:tc>
          <w:tcPr>
            <w:tcW w:w="693" w:type="dxa"/>
            <w:vMerge w:val="restart"/>
            <w:shd w:val="clear" w:color="auto" w:fill="auto"/>
            <w:noWrap/>
            <w:vAlign w:val="center"/>
            <w:hideMark/>
          </w:tcPr>
          <w:p w14:paraId="2559C6A6" w14:textId="77777777" w:rsidR="00F67FFD" w:rsidRPr="00F67FFD" w:rsidRDefault="00F67FFD" w:rsidP="00F67FFD">
            <w:pPr>
              <w:pStyle w:val="13"/>
              <w:spacing w:line="240" w:lineRule="auto"/>
              <w:ind w:firstLineChars="0" w:firstLine="0"/>
              <w:rPr>
                <w:sz w:val="21"/>
                <w:szCs w:val="21"/>
              </w:rPr>
            </w:pPr>
            <w:r w:rsidRPr="00F67FFD">
              <w:rPr>
                <w:sz w:val="21"/>
                <w:szCs w:val="21"/>
              </w:rPr>
              <w:t>1.5</w:t>
            </w:r>
          </w:p>
        </w:tc>
        <w:tc>
          <w:tcPr>
            <w:tcW w:w="1712" w:type="dxa"/>
            <w:vMerge w:val="restart"/>
            <w:shd w:val="clear" w:color="auto" w:fill="auto"/>
            <w:noWrap/>
            <w:vAlign w:val="center"/>
            <w:hideMark/>
          </w:tcPr>
          <w:p w14:paraId="0026945E" w14:textId="77777777" w:rsidR="00F67FFD" w:rsidRPr="00F67FFD" w:rsidRDefault="00F67FFD" w:rsidP="00F67FFD">
            <w:pPr>
              <w:pStyle w:val="13"/>
              <w:spacing w:line="240" w:lineRule="auto"/>
              <w:ind w:firstLineChars="0" w:firstLine="0"/>
              <w:rPr>
                <w:sz w:val="21"/>
                <w:szCs w:val="21"/>
              </w:rPr>
            </w:pPr>
            <w:r w:rsidRPr="00F67FFD">
              <w:rPr>
                <w:sz w:val="21"/>
                <w:szCs w:val="21"/>
              </w:rPr>
              <w:t>上市公司及非上市公众公司</w:t>
            </w:r>
          </w:p>
        </w:tc>
        <w:tc>
          <w:tcPr>
            <w:tcW w:w="992" w:type="dxa"/>
            <w:shd w:val="clear" w:color="auto" w:fill="auto"/>
            <w:noWrap/>
            <w:vAlign w:val="center"/>
            <w:hideMark/>
          </w:tcPr>
          <w:p w14:paraId="63168741" w14:textId="77777777" w:rsidR="00F67FFD" w:rsidRPr="00F67FFD" w:rsidRDefault="00F67FFD" w:rsidP="00F67FFD">
            <w:pPr>
              <w:pStyle w:val="13"/>
              <w:spacing w:line="240" w:lineRule="auto"/>
              <w:ind w:firstLineChars="0" w:firstLine="0"/>
              <w:rPr>
                <w:sz w:val="21"/>
                <w:szCs w:val="21"/>
              </w:rPr>
            </w:pPr>
            <w:r w:rsidRPr="00F67FFD">
              <w:rPr>
                <w:sz w:val="21"/>
                <w:szCs w:val="21"/>
              </w:rPr>
              <w:t>1.5.1</w:t>
            </w:r>
          </w:p>
        </w:tc>
        <w:tc>
          <w:tcPr>
            <w:tcW w:w="5380" w:type="dxa"/>
            <w:shd w:val="clear" w:color="auto" w:fill="auto"/>
            <w:noWrap/>
            <w:vAlign w:val="center"/>
            <w:hideMark/>
          </w:tcPr>
          <w:p w14:paraId="724FAFCA" w14:textId="77777777" w:rsidR="00F67FFD" w:rsidRPr="00F67FFD" w:rsidRDefault="00F67FFD" w:rsidP="00F67FFD">
            <w:pPr>
              <w:pStyle w:val="13"/>
              <w:spacing w:line="240" w:lineRule="auto"/>
              <w:ind w:firstLineChars="0" w:firstLine="0"/>
              <w:rPr>
                <w:sz w:val="21"/>
                <w:szCs w:val="21"/>
              </w:rPr>
            </w:pPr>
            <w:r w:rsidRPr="00F67FFD">
              <w:rPr>
                <w:sz w:val="21"/>
                <w:szCs w:val="21"/>
              </w:rPr>
              <w:t>资产重组</w:t>
            </w:r>
          </w:p>
        </w:tc>
      </w:tr>
      <w:tr w:rsidR="00F67FFD" w:rsidRPr="00F67FFD" w14:paraId="44483F62" w14:textId="77777777" w:rsidTr="00F67FFD">
        <w:trPr>
          <w:trHeight w:val="20"/>
        </w:trPr>
        <w:tc>
          <w:tcPr>
            <w:tcW w:w="693" w:type="dxa"/>
            <w:vMerge/>
            <w:shd w:val="clear" w:color="auto" w:fill="auto"/>
            <w:vAlign w:val="center"/>
            <w:hideMark/>
          </w:tcPr>
          <w:p w14:paraId="08F445AA"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1E21370B"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7B4961E1" w14:textId="77777777" w:rsidR="00F67FFD" w:rsidRPr="00F67FFD" w:rsidRDefault="00F67FFD" w:rsidP="00F67FFD">
            <w:pPr>
              <w:pStyle w:val="13"/>
              <w:spacing w:line="240" w:lineRule="auto"/>
              <w:ind w:firstLineChars="0" w:firstLine="0"/>
              <w:rPr>
                <w:sz w:val="21"/>
                <w:szCs w:val="21"/>
              </w:rPr>
            </w:pPr>
            <w:r w:rsidRPr="00F67FFD">
              <w:rPr>
                <w:sz w:val="21"/>
                <w:szCs w:val="21"/>
              </w:rPr>
              <w:t>1.5.2</w:t>
            </w:r>
          </w:p>
        </w:tc>
        <w:tc>
          <w:tcPr>
            <w:tcW w:w="5380" w:type="dxa"/>
            <w:shd w:val="clear" w:color="auto" w:fill="auto"/>
            <w:noWrap/>
            <w:vAlign w:val="center"/>
            <w:hideMark/>
          </w:tcPr>
          <w:p w14:paraId="493D007B" w14:textId="77777777" w:rsidR="00F67FFD" w:rsidRPr="00F67FFD" w:rsidRDefault="00F67FFD" w:rsidP="00F67FFD">
            <w:pPr>
              <w:pStyle w:val="13"/>
              <w:spacing w:line="240" w:lineRule="auto"/>
              <w:ind w:firstLineChars="0" w:firstLine="0"/>
              <w:rPr>
                <w:sz w:val="21"/>
                <w:szCs w:val="21"/>
              </w:rPr>
            </w:pPr>
            <w:r w:rsidRPr="00F67FFD">
              <w:rPr>
                <w:sz w:val="21"/>
                <w:szCs w:val="21"/>
              </w:rPr>
              <w:t>业务重组</w:t>
            </w:r>
          </w:p>
        </w:tc>
      </w:tr>
      <w:tr w:rsidR="00F67FFD" w:rsidRPr="00F67FFD" w14:paraId="79E75E36" w14:textId="77777777" w:rsidTr="00F67FFD">
        <w:trPr>
          <w:trHeight w:val="20"/>
        </w:trPr>
        <w:tc>
          <w:tcPr>
            <w:tcW w:w="693" w:type="dxa"/>
            <w:vMerge/>
            <w:shd w:val="clear" w:color="auto" w:fill="auto"/>
            <w:vAlign w:val="center"/>
            <w:hideMark/>
          </w:tcPr>
          <w:p w14:paraId="22B45E22"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7C8BF56C"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0531D7B" w14:textId="77777777" w:rsidR="00F67FFD" w:rsidRPr="00F67FFD" w:rsidRDefault="00F67FFD" w:rsidP="00F67FFD">
            <w:pPr>
              <w:pStyle w:val="13"/>
              <w:spacing w:line="240" w:lineRule="auto"/>
              <w:ind w:firstLineChars="0" w:firstLine="0"/>
              <w:rPr>
                <w:sz w:val="21"/>
                <w:szCs w:val="21"/>
              </w:rPr>
            </w:pPr>
            <w:r w:rsidRPr="00F67FFD">
              <w:rPr>
                <w:sz w:val="21"/>
                <w:szCs w:val="21"/>
              </w:rPr>
              <w:t>1.5.3</w:t>
            </w:r>
          </w:p>
        </w:tc>
        <w:tc>
          <w:tcPr>
            <w:tcW w:w="5380" w:type="dxa"/>
            <w:shd w:val="clear" w:color="auto" w:fill="auto"/>
            <w:noWrap/>
            <w:vAlign w:val="center"/>
            <w:hideMark/>
          </w:tcPr>
          <w:p w14:paraId="2F9ECB3B" w14:textId="77777777" w:rsidR="00F67FFD" w:rsidRPr="00F67FFD" w:rsidRDefault="00F67FFD" w:rsidP="00F67FFD">
            <w:pPr>
              <w:pStyle w:val="13"/>
              <w:spacing w:line="240" w:lineRule="auto"/>
              <w:ind w:firstLineChars="0" w:firstLine="0"/>
              <w:rPr>
                <w:sz w:val="21"/>
                <w:szCs w:val="21"/>
              </w:rPr>
            </w:pPr>
            <w:r w:rsidRPr="00F67FFD">
              <w:rPr>
                <w:sz w:val="21"/>
                <w:szCs w:val="21"/>
              </w:rPr>
              <w:t>发行股份购买资产</w:t>
            </w:r>
          </w:p>
        </w:tc>
      </w:tr>
      <w:tr w:rsidR="00F67FFD" w:rsidRPr="00F67FFD" w14:paraId="1FADA190" w14:textId="77777777" w:rsidTr="00F67FFD">
        <w:trPr>
          <w:trHeight w:val="20"/>
        </w:trPr>
        <w:tc>
          <w:tcPr>
            <w:tcW w:w="693" w:type="dxa"/>
            <w:vMerge/>
            <w:shd w:val="clear" w:color="auto" w:fill="auto"/>
            <w:vAlign w:val="center"/>
            <w:hideMark/>
          </w:tcPr>
          <w:p w14:paraId="3C163E45"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3C5FB243"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3E467BF9" w14:textId="77777777" w:rsidR="00F67FFD" w:rsidRPr="00F67FFD" w:rsidRDefault="00F67FFD" w:rsidP="00F67FFD">
            <w:pPr>
              <w:pStyle w:val="13"/>
              <w:spacing w:line="240" w:lineRule="auto"/>
              <w:ind w:firstLineChars="0" w:firstLine="0"/>
              <w:rPr>
                <w:sz w:val="21"/>
                <w:szCs w:val="21"/>
              </w:rPr>
            </w:pPr>
            <w:r w:rsidRPr="00F67FFD">
              <w:rPr>
                <w:sz w:val="21"/>
                <w:szCs w:val="21"/>
              </w:rPr>
              <w:t>1.5.4</w:t>
            </w:r>
          </w:p>
        </w:tc>
        <w:tc>
          <w:tcPr>
            <w:tcW w:w="5380" w:type="dxa"/>
            <w:shd w:val="clear" w:color="auto" w:fill="auto"/>
            <w:noWrap/>
            <w:vAlign w:val="center"/>
            <w:hideMark/>
          </w:tcPr>
          <w:p w14:paraId="310ECBCF" w14:textId="77777777" w:rsidR="00F67FFD" w:rsidRPr="00F67FFD" w:rsidRDefault="00F67FFD" w:rsidP="00F67FFD">
            <w:pPr>
              <w:pStyle w:val="13"/>
              <w:spacing w:line="240" w:lineRule="auto"/>
              <w:ind w:firstLineChars="0" w:firstLine="0"/>
              <w:rPr>
                <w:sz w:val="21"/>
                <w:szCs w:val="21"/>
              </w:rPr>
            </w:pPr>
            <w:r w:rsidRPr="00F67FFD">
              <w:rPr>
                <w:sz w:val="21"/>
                <w:szCs w:val="21"/>
              </w:rPr>
              <w:t>定向增发</w:t>
            </w:r>
          </w:p>
        </w:tc>
      </w:tr>
      <w:tr w:rsidR="00F67FFD" w:rsidRPr="00F67FFD" w14:paraId="70B8E503" w14:textId="77777777" w:rsidTr="00F67FFD">
        <w:trPr>
          <w:trHeight w:val="20"/>
        </w:trPr>
        <w:tc>
          <w:tcPr>
            <w:tcW w:w="693" w:type="dxa"/>
            <w:vMerge/>
            <w:shd w:val="clear" w:color="auto" w:fill="auto"/>
            <w:vAlign w:val="center"/>
            <w:hideMark/>
          </w:tcPr>
          <w:p w14:paraId="631BD139"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3D367596"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6D49DB53" w14:textId="77777777" w:rsidR="00F67FFD" w:rsidRPr="00F67FFD" w:rsidRDefault="00F67FFD" w:rsidP="00F67FFD">
            <w:pPr>
              <w:pStyle w:val="13"/>
              <w:spacing w:line="240" w:lineRule="auto"/>
              <w:ind w:firstLineChars="0" w:firstLine="0"/>
              <w:rPr>
                <w:sz w:val="21"/>
                <w:szCs w:val="21"/>
              </w:rPr>
            </w:pPr>
            <w:r w:rsidRPr="00F67FFD">
              <w:rPr>
                <w:sz w:val="21"/>
                <w:szCs w:val="21"/>
              </w:rPr>
              <w:t>1.5.5</w:t>
            </w:r>
          </w:p>
        </w:tc>
        <w:tc>
          <w:tcPr>
            <w:tcW w:w="5380" w:type="dxa"/>
            <w:shd w:val="clear" w:color="auto" w:fill="auto"/>
            <w:noWrap/>
            <w:vAlign w:val="center"/>
            <w:hideMark/>
          </w:tcPr>
          <w:p w14:paraId="456FE534" w14:textId="77777777" w:rsidR="00F67FFD" w:rsidRPr="00F67FFD" w:rsidRDefault="00F67FFD" w:rsidP="00F67FFD">
            <w:pPr>
              <w:pStyle w:val="13"/>
              <w:spacing w:line="240" w:lineRule="auto"/>
              <w:ind w:firstLineChars="0" w:firstLine="0"/>
              <w:rPr>
                <w:sz w:val="21"/>
                <w:szCs w:val="21"/>
              </w:rPr>
            </w:pPr>
            <w:r w:rsidRPr="00F67FFD">
              <w:rPr>
                <w:sz w:val="21"/>
                <w:szCs w:val="21"/>
              </w:rPr>
              <w:t>重大资产重组</w:t>
            </w:r>
          </w:p>
        </w:tc>
      </w:tr>
      <w:tr w:rsidR="00F67FFD" w:rsidRPr="00F67FFD" w14:paraId="6FC6FFB0" w14:textId="77777777" w:rsidTr="00F67FFD">
        <w:trPr>
          <w:trHeight w:val="20"/>
        </w:trPr>
        <w:tc>
          <w:tcPr>
            <w:tcW w:w="693" w:type="dxa"/>
            <w:vMerge/>
            <w:shd w:val="clear" w:color="auto" w:fill="auto"/>
            <w:vAlign w:val="center"/>
            <w:hideMark/>
          </w:tcPr>
          <w:p w14:paraId="00369E3A"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4A60CD8B"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7EBA295B" w14:textId="77777777" w:rsidR="00F67FFD" w:rsidRPr="00F67FFD" w:rsidRDefault="00F67FFD" w:rsidP="00F67FFD">
            <w:pPr>
              <w:pStyle w:val="13"/>
              <w:spacing w:line="240" w:lineRule="auto"/>
              <w:ind w:firstLineChars="0" w:firstLine="0"/>
              <w:rPr>
                <w:sz w:val="21"/>
                <w:szCs w:val="21"/>
              </w:rPr>
            </w:pPr>
            <w:r w:rsidRPr="00F67FFD">
              <w:rPr>
                <w:sz w:val="21"/>
                <w:szCs w:val="21"/>
              </w:rPr>
              <w:t>1.5.6</w:t>
            </w:r>
          </w:p>
        </w:tc>
        <w:tc>
          <w:tcPr>
            <w:tcW w:w="5380" w:type="dxa"/>
            <w:shd w:val="clear" w:color="auto" w:fill="auto"/>
            <w:noWrap/>
            <w:vAlign w:val="center"/>
            <w:hideMark/>
          </w:tcPr>
          <w:p w14:paraId="46D18ACF" w14:textId="77777777" w:rsidR="00F67FFD" w:rsidRPr="00F67FFD" w:rsidRDefault="00F67FFD" w:rsidP="00F67FFD">
            <w:pPr>
              <w:pStyle w:val="13"/>
              <w:spacing w:line="240" w:lineRule="auto"/>
              <w:ind w:firstLineChars="0" w:firstLine="0"/>
              <w:rPr>
                <w:sz w:val="21"/>
                <w:szCs w:val="21"/>
              </w:rPr>
            </w:pPr>
            <w:r w:rsidRPr="00F67FFD">
              <w:rPr>
                <w:sz w:val="21"/>
                <w:szCs w:val="21"/>
              </w:rPr>
              <w:t>收购资产</w:t>
            </w:r>
          </w:p>
        </w:tc>
      </w:tr>
      <w:tr w:rsidR="00F67FFD" w:rsidRPr="00F67FFD" w14:paraId="24F68EF3" w14:textId="77777777" w:rsidTr="00F67FFD">
        <w:trPr>
          <w:trHeight w:val="20"/>
        </w:trPr>
        <w:tc>
          <w:tcPr>
            <w:tcW w:w="693" w:type="dxa"/>
            <w:vMerge/>
            <w:shd w:val="clear" w:color="auto" w:fill="auto"/>
            <w:noWrap/>
            <w:vAlign w:val="center"/>
          </w:tcPr>
          <w:p w14:paraId="404BF0A2"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noWrap/>
            <w:vAlign w:val="center"/>
          </w:tcPr>
          <w:p w14:paraId="3C5B4DB2"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tcPr>
          <w:p w14:paraId="15C06D26" w14:textId="77777777" w:rsidR="00F67FFD" w:rsidRPr="00F67FFD" w:rsidRDefault="00F67FFD" w:rsidP="00F67FFD">
            <w:pPr>
              <w:pStyle w:val="13"/>
              <w:spacing w:line="240" w:lineRule="auto"/>
              <w:ind w:firstLineChars="0" w:firstLine="0"/>
              <w:rPr>
                <w:sz w:val="21"/>
                <w:szCs w:val="21"/>
              </w:rPr>
            </w:pPr>
            <w:r w:rsidRPr="00F67FFD">
              <w:rPr>
                <w:sz w:val="21"/>
                <w:szCs w:val="21"/>
              </w:rPr>
              <w:t>1.5.7</w:t>
            </w:r>
          </w:p>
        </w:tc>
        <w:tc>
          <w:tcPr>
            <w:tcW w:w="5380" w:type="dxa"/>
            <w:shd w:val="clear" w:color="auto" w:fill="auto"/>
            <w:noWrap/>
            <w:vAlign w:val="center"/>
          </w:tcPr>
          <w:p w14:paraId="12280939" w14:textId="77777777" w:rsidR="00F67FFD" w:rsidRPr="00F67FFD" w:rsidRDefault="00F67FFD" w:rsidP="00F67FFD">
            <w:pPr>
              <w:pStyle w:val="13"/>
              <w:spacing w:line="240" w:lineRule="auto"/>
              <w:ind w:firstLineChars="0" w:firstLine="0"/>
              <w:rPr>
                <w:sz w:val="21"/>
                <w:szCs w:val="21"/>
              </w:rPr>
            </w:pPr>
            <w:r w:rsidRPr="00F67FFD">
              <w:rPr>
                <w:sz w:val="21"/>
                <w:szCs w:val="21"/>
              </w:rPr>
              <w:t>外国投资者对上市公司战略投资</w:t>
            </w:r>
          </w:p>
        </w:tc>
      </w:tr>
      <w:tr w:rsidR="00F67FFD" w:rsidRPr="00F67FFD" w14:paraId="1D92F3D4" w14:textId="77777777" w:rsidTr="00F67FFD">
        <w:trPr>
          <w:trHeight w:val="20"/>
        </w:trPr>
        <w:tc>
          <w:tcPr>
            <w:tcW w:w="693" w:type="dxa"/>
            <w:vMerge w:val="restart"/>
            <w:shd w:val="clear" w:color="auto" w:fill="auto"/>
            <w:noWrap/>
            <w:vAlign w:val="center"/>
            <w:hideMark/>
          </w:tcPr>
          <w:p w14:paraId="21D6BF72" w14:textId="77777777" w:rsidR="00F67FFD" w:rsidRPr="00F67FFD" w:rsidRDefault="00F67FFD" w:rsidP="00F67FFD">
            <w:pPr>
              <w:pStyle w:val="13"/>
              <w:spacing w:line="240" w:lineRule="auto"/>
              <w:ind w:firstLineChars="0" w:firstLine="0"/>
              <w:rPr>
                <w:sz w:val="21"/>
                <w:szCs w:val="21"/>
              </w:rPr>
            </w:pPr>
            <w:r w:rsidRPr="00F67FFD">
              <w:rPr>
                <w:sz w:val="21"/>
                <w:szCs w:val="21"/>
              </w:rPr>
              <w:t>1.6</w:t>
            </w:r>
          </w:p>
        </w:tc>
        <w:tc>
          <w:tcPr>
            <w:tcW w:w="1712" w:type="dxa"/>
            <w:vMerge w:val="restart"/>
            <w:shd w:val="clear" w:color="auto" w:fill="auto"/>
            <w:noWrap/>
            <w:vAlign w:val="center"/>
            <w:hideMark/>
          </w:tcPr>
          <w:p w14:paraId="467B309C" w14:textId="77777777" w:rsidR="00F67FFD" w:rsidRPr="00F67FFD" w:rsidRDefault="00F67FFD" w:rsidP="00F67FFD">
            <w:pPr>
              <w:pStyle w:val="13"/>
              <w:spacing w:line="240" w:lineRule="auto"/>
              <w:ind w:firstLineChars="0" w:firstLine="0"/>
              <w:rPr>
                <w:sz w:val="21"/>
                <w:szCs w:val="21"/>
              </w:rPr>
            </w:pPr>
            <w:r w:rsidRPr="00F67FFD">
              <w:rPr>
                <w:sz w:val="21"/>
                <w:szCs w:val="21"/>
              </w:rPr>
              <w:t>行政事业单位</w:t>
            </w:r>
          </w:p>
        </w:tc>
        <w:tc>
          <w:tcPr>
            <w:tcW w:w="992" w:type="dxa"/>
            <w:shd w:val="clear" w:color="auto" w:fill="auto"/>
            <w:noWrap/>
            <w:vAlign w:val="center"/>
            <w:hideMark/>
          </w:tcPr>
          <w:p w14:paraId="7F04B359" w14:textId="77777777" w:rsidR="00F67FFD" w:rsidRPr="00F67FFD" w:rsidRDefault="00F67FFD" w:rsidP="00F67FFD">
            <w:pPr>
              <w:pStyle w:val="13"/>
              <w:spacing w:line="240" w:lineRule="auto"/>
              <w:ind w:firstLineChars="0" w:firstLine="0"/>
              <w:rPr>
                <w:sz w:val="21"/>
                <w:szCs w:val="21"/>
              </w:rPr>
            </w:pPr>
            <w:r w:rsidRPr="00F67FFD">
              <w:rPr>
                <w:sz w:val="21"/>
                <w:szCs w:val="21"/>
              </w:rPr>
              <w:t>1.6.1</w:t>
            </w:r>
          </w:p>
        </w:tc>
        <w:tc>
          <w:tcPr>
            <w:tcW w:w="5380" w:type="dxa"/>
            <w:shd w:val="clear" w:color="auto" w:fill="auto"/>
            <w:noWrap/>
            <w:vAlign w:val="center"/>
            <w:hideMark/>
          </w:tcPr>
          <w:p w14:paraId="72616600" w14:textId="77777777" w:rsidR="00F67FFD" w:rsidRPr="00F67FFD" w:rsidRDefault="00F67FFD" w:rsidP="00F67FFD">
            <w:pPr>
              <w:pStyle w:val="13"/>
              <w:spacing w:line="240" w:lineRule="auto"/>
              <w:ind w:firstLineChars="0" w:firstLine="0"/>
              <w:rPr>
                <w:sz w:val="21"/>
                <w:szCs w:val="21"/>
              </w:rPr>
            </w:pPr>
            <w:r w:rsidRPr="00F67FFD">
              <w:rPr>
                <w:sz w:val="21"/>
                <w:szCs w:val="21"/>
              </w:rPr>
              <w:t>资产清查</w:t>
            </w:r>
          </w:p>
        </w:tc>
      </w:tr>
      <w:tr w:rsidR="00F67FFD" w:rsidRPr="00F67FFD" w14:paraId="124B2373" w14:textId="77777777" w:rsidTr="00F67FFD">
        <w:trPr>
          <w:trHeight w:val="20"/>
        </w:trPr>
        <w:tc>
          <w:tcPr>
            <w:tcW w:w="693" w:type="dxa"/>
            <w:vMerge/>
            <w:shd w:val="clear" w:color="auto" w:fill="auto"/>
            <w:vAlign w:val="center"/>
            <w:hideMark/>
          </w:tcPr>
          <w:p w14:paraId="29A0E029"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1BC45E10"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57594522" w14:textId="77777777" w:rsidR="00F67FFD" w:rsidRPr="00F67FFD" w:rsidRDefault="00F67FFD" w:rsidP="00F67FFD">
            <w:pPr>
              <w:pStyle w:val="13"/>
              <w:spacing w:line="240" w:lineRule="auto"/>
              <w:ind w:firstLineChars="0" w:firstLine="0"/>
              <w:rPr>
                <w:sz w:val="21"/>
                <w:szCs w:val="21"/>
              </w:rPr>
            </w:pPr>
            <w:r w:rsidRPr="00F67FFD">
              <w:rPr>
                <w:sz w:val="21"/>
                <w:szCs w:val="21"/>
              </w:rPr>
              <w:t>1.6.2</w:t>
            </w:r>
          </w:p>
        </w:tc>
        <w:tc>
          <w:tcPr>
            <w:tcW w:w="5380" w:type="dxa"/>
            <w:shd w:val="clear" w:color="auto" w:fill="auto"/>
            <w:noWrap/>
            <w:vAlign w:val="center"/>
            <w:hideMark/>
          </w:tcPr>
          <w:p w14:paraId="16BE0178" w14:textId="77777777" w:rsidR="00F67FFD" w:rsidRPr="00F67FFD" w:rsidRDefault="00F67FFD" w:rsidP="00F67FFD">
            <w:pPr>
              <w:pStyle w:val="13"/>
              <w:spacing w:line="240" w:lineRule="auto"/>
              <w:ind w:firstLineChars="0" w:firstLine="0"/>
              <w:rPr>
                <w:sz w:val="21"/>
                <w:szCs w:val="21"/>
              </w:rPr>
            </w:pPr>
            <w:r w:rsidRPr="00F67FFD">
              <w:rPr>
                <w:sz w:val="21"/>
                <w:szCs w:val="21"/>
              </w:rPr>
              <w:t>经营类事业单位整体或部分改制为有限责任公司或者股份有限公司</w:t>
            </w:r>
          </w:p>
        </w:tc>
      </w:tr>
      <w:tr w:rsidR="00F67FFD" w:rsidRPr="00F67FFD" w14:paraId="6C90E47A" w14:textId="77777777" w:rsidTr="00F67FFD">
        <w:trPr>
          <w:trHeight w:val="20"/>
        </w:trPr>
        <w:tc>
          <w:tcPr>
            <w:tcW w:w="693" w:type="dxa"/>
            <w:vMerge/>
            <w:shd w:val="clear" w:color="auto" w:fill="auto"/>
            <w:vAlign w:val="center"/>
            <w:hideMark/>
          </w:tcPr>
          <w:p w14:paraId="679BB7DC"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BE95EE4"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22EA4738" w14:textId="77777777" w:rsidR="00F67FFD" w:rsidRPr="00F67FFD" w:rsidRDefault="00F67FFD" w:rsidP="00F67FFD">
            <w:pPr>
              <w:pStyle w:val="13"/>
              <w:spacing w:line="240" w:lineRule="auto"/>
              <w:ind w:firstLineChars="0" w:firstLine="0"/>
              <w:rPr>
                <w:sz w:val="21"/>
                <w:szCs w:val="21"/>
              </w:rPr>
            </w:pPr>
            <w:r w:rsidRPr="00F67FFD">
              <w:rPr>
                <w:sz w:val="21"/>
                <w:szCs w:val="21"/>
              </w:rPr>
              <w:t>1.6.3</w:t>
            </w:r>
          </w:p>
        </w:tc>
        <w:tc>
          <w:tcPr>
            <w:tcW w:w="5380" w:type="dxa"/>
            <w:shd w:val="clear" w:color="auto" w:fill="auto"/>
            <w:noWrap/>
            <w:vAlign w:val="center"/>
            <w:hideMark/>
          </w:tcPr>
          <w:p w14:paraId="10BAE286" w14:textId="77777777" w:rsidR="00F67FFD" w:rsidRPr="00F67FFD" w:rsidRDefault="00F67FFD" w:rsidP="00F67FFD">
            <w:pPr>
              <w:pStyle w:val="13"/>
              <w:spacing w:line="240" w:lineRule="auto"/>
              <w:ind w:firstLineChars="0" w:firstLine="0"/>
              <w:rPr>
                <w:sz w:val="21"/>
                <w:szCs w:val="21"/>
              </w:rPr>
            </w:pPr>
            <w:r w:rsidRPr="00F67FFD">
              <w:rPr>
                <w:sz w:val="21"/>
                <w:szCs w:val="21"/>
              </w:rPr>
              <w:t>经营类事业单位国有资产处置</w:t>
            </w:r>
          </w:p>
        </w:tc>
      </w:tr>
      <w:tr w:rsidR="00F67FFD" w:rsidRPr="00F67FFD" w14:paraId="6C711E56" w14:textId="77777777" w:rsidTr="00F67FFD">
        <w:trPr>
          <w:trHeight w:val="20"/>
        </w:trPr>
        <w:tc>
          <w:tcPr>
            <w:tcW w:w="693" w:type="dxa"/>
            <w:vMerge w:val="restart"/>
            <w:shd w:val="clear" w:color="auto" w:fill="auto"/>
            <w:noWrap/>
            <w:vAlign w:val="center"/>
            <w:hideMark/>
          </w:tcPr>
          <w:p w14:paraId="0D9A0633" w14:textId="77777777" w:rsidR="00F67FFD" w:rsidRPr="00F67FFD" w:rsidRDefault="00F67FFD" w:rsidP="00F67FFD">
            <w:pPr>
              <w:pStyle w:val="13"/>
              <w:spacing w:line="240" w:lineRule="auto"/>
              <w:ind w:firstLineChars="0" w:firstLine="0"/>
              <w:rPr>
                <w:sz w:val="21"/>
                <w:szCs w:val="21"/>
              </w:rPr>
            </w:pPr>
            <w:r w:rsidRPr="00F67FFD">
              <w:rPr>
                <w:sz w:val="21"/>
                <w:szCs w:val="21"/>
              </w:rPr>
              <w:t>1.7</w:t>
            </w:r>
          </w:p>
        </w:tc>
        <w:tc>
          <w:tcPr>
            <w:tcW w:w="1712" w:type="dxa"/>
            <w:vMerge w:val="restart"/>
            <w:shd w:val="clear" w:color="auto" w:fill="auto"/>
            <w:noWrap/>
            <w:vAlign w:val="center"/>
            <w:hideMark/>
          </w:tcPr>
          <w:p w14:paraId="68EC78F7" w14:textId="77777777" w:rsidR="00F67FFD" w:rsidRPr="00F67FFD" w:rsidRDefault="00F67FFD" w:rsidP="00F67FFD">
            <w:pPr>
              <w:pStyle w:val="13"/>
              <w:spacing w:line="240" w:lineRule="auto"/>
              <w:ind w:firstLineChars="0" w:firstLine="0"/>
              <w:rPr>
                <w:sz w:val="21"/>
                <w:szCs w:val="21"/>
              </w:rPr>
            </w:pPr>
            <w:r w:rsidRPr="00F67FFD">
              <w:rPr>
                <w:sz w:val="21"/>
                <w:szCs w:val="21"/>
              </w:rPr>
              <w:t>企业</w:t>
            </w:r>
          </w:p>
        </w:tc>
        <w:tc>
          <w:tcPr>
            <w:tcW w:w="992" w:type="dxa"/>
            <w:shd w:val="clear" w:color="auto" w:fill="auto"/>
            <w:noWrap/>
            <w:vAlign w:val="center"/>
            <w:hideMark/>
          </w:tcPr>
          <w:p w14:paraId="52E97C89" w14:textId="77777777" w:rsidR="00F67FFD" w:rsidRPr="00F67FFD" w:rsidRDefault="00F67FFD" w:rsidP="00F67FFD">
            <w:pPr>
              <w:pStyle w:val="13"/>
              <w:spacing w:line="240" w:lineRule="auto"/>
              <w:ind w:firstLineChars="0" w:firstLine="0"/>
              <w:rPr>
                <w:sz w:val="21"/>
                <w:szCs w:val="21"/>
              </w:rPr>
            </w:pPr>
            <w:r w:rsidRPr="00F67FFD">
              <w:rPr>
                <w:sz w:val="21"/>
                <w:szCs w:val="21"/>
              </w:rPr>
              <w:t>1.7.1</w:t>
            </w:r>
          </w:p>
        </w:tc>
        <w:tc>
          <w:tcPr>
            <w:tcW w:w="5380" w:type="dxa"/>
            <w:shd w:val="clear" w:color="auto" w:fill="auto"/>
            <w:noWrap/>
            <w:vAlign w:val="center"/>
            <w:hideMark/>
          </w:tcPr>
          <w:p w14:paraId="625B87AF" w14:textId="77777777" w:rsidR="00F67FFD" w:rsidRPr="00F67FFD" w:rsidRDefault="00F67FFD" w:rsidP="00F67FFD">
            <w:pPr>
              <w:pStyle w:val="13"/>
              <w:spacing w:line="240" w:lineRule="auto"/>
              <w:ind w:firstLineChars="0" w:firstLine="0"/>
              <w:rPr>
                <w:sz w:val="21"/>
                <w:szCs w:val="21"/>
              </w:rPr>
            </w:pPr>
            <w:r w:rsidRPr="00F67FFD">
              <w:rPr>
                <w:sz w:val="21"/>
                <w:szCs w:val="21"/>
              </w:rPr>
              <w:t>商誉减值测试</w:t>
            </w:r>
          </w:p>
        </w:tc>
      </w:tr>
      <w:tr w:rsidR="00F67FFD" w:rsidRPr="00F67FFD" w14:paraId="255D0270" w14:textId="77777777" w:rsidTr="00F67FFD">
        <w:trPr>
          <w:trHeight w:val="20"/>
        </w:trPr>
        <w:tc>
          <w:tcPr>
            <w:tcW w:w="693" w:type="dxa"/>
            <w:vMerge/>
            <w:shd w:val="clear" w:color="auto" w:fill="auto"/>
            <w:vAlign w:val="center"/>
            <w:hideMark/>
          </w:tcPr>
          <w:p w14:paraId="4AA5BA4F"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2E94649"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5A3A3356" w14:textId="77777777" w:rsidR="00F67FFD" w:rsidRPr="00F67FFD" w:rsidRDefault="00F67FFD" w:rsidP="00F67FFD">
            <w:pPr>
              <w:pStyle w:val="13"/>
              <w:spacing w:line="240" w:lineRule="auto"/>
              <w:ind w:firstLineChars="0" w:firstLine="0"/>
              <w:rPr>
                <w:sz w:val="21"/>
                <w:szCs w:val="21"/>
              </w:rPr>
            </w:pPr>
            <w:r w:rsidRPr="00F67FFD">
              <w:rPr>
                <w:sz w:val="21"/>
                <w:szCs w:val="21"/>
              </w:rPr>
              <w:t>1.7.2</w:t>
            </w:r>
          </w:p>
        </w:tc>
        <w:tc>
          <w:tcPr>
            <w:tcW w:w="5380" w:type="dxa"/>
            <w:shd w:val="clear" w:color="auto" w:fill="auto"/>
            <w:noWrap/>
            <w:vAlign w:val="center"/>
            <w:hideMark/>
          </w:tcPr>
          <w:p w14:paraId="05D05BC3" w14:textId="77777777" w:rsidR="00F67FFD" w:rsidRPr="00F67FFD" w:rsidRDefault="00F67FFD" w:rsidP="00F67FFD">
            <w:pPr>
              <w:pStyle w:val="13"/>
              <w:spacing w:line="240" w:lineRule="auto"/>
              <w:ind w:firstLineChars="0" w:firstLine="0"/>
              <w:rPr>
                <w:sz w:val="21"/>
                <w:szCs w:val="21"/>
              </w:rPr>
            </w:pPr>
            <w:r w:rsidRPr="00F67FFD">
              <w:rPr>
                <w:sz w:val="21"/>
                <w:szCs w:val="21"/>
              </w:rPr>
              <w:t>其他资产或资产组减值测试</w:t>
            </w:r>
          </w:p>
        </w:tc>
      </w:tr>
      <w:tr w:rsidR="00F67FFD" w:rsidRPr="00F67FFD" w14:paraId="7D00EF1A" w14:textId="77777777" w:rsidTr="00F67FFD">
        <w:trPr>
          <w:trHeight w:val="20"/>
        </w:trPr>
        <w:tc>
          <w:tcPr>
            <w:tcW w:w="693" w:type="dxa"/>
            <w:vMerge/>
            <w:shd w:val="clear" w:color="auto" w:fill="auto"/>
            <w:vAlign w:val="center"/>
            <w:hideMark/>
          </w:tcPr>
          <w:p w14:paraId="7C3337CF"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3F0F815"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5E6A2F72" w14:textId="77777777" w:rsidR="00F67FFD" w:rsidRPr="00F67FFD" w:rsidRDefault="00F67FFD" w:rsidP="00F67FFD">
            <w:pPr>
              <w:pStyle w:val="13"/>
              <w:spacing w:line="240" w:lineRule="auto"/>
              <w:ind w:firstLineChars="0" w:firstLine="0"/>
              <w:rPr>
                <w:sz w:val="21"/>
                <w:szCs w:val="21"/>
              </w:rPr>
            </w:pPr>
            <w:r w:rsidRPr="00F67FFD">
              <w:rPr>
                <w:sz w:val="21"/>
                <w:szCs w:val="21"/>
              </w:rPr>
              <w:t>1.7.3</w:t>
            </w:r>
          </w:p>
        </w:tc>
        <w:tc>
          <w:tcPr>
            <w:tcW w:w="5380" w:type="dxa"/>
            <w:shd w:val="clear" w:color="auto" w:fill="auto"/>
            <w:noWrap/>
            <w:vAlign w:val="center"/>
            <w:hideMark/>
          </w:tcPr>
          <w:p w14:paraId="2AAAFEE2" w14:textId="77777777" w:rsidR="00F67FFD" w:rsidRPr="00F67FFD" w:rsidRDefault="00F67FFD" w:rsidP="00F67FFD">
            <w:pPr>
              <w:pStyle w:val="13"/>
              <w:spacing w:line="240" w:lineRule="auto"/>
              <w:ind w:firstLineChars="0" w:firstLine="0"/>
              <w:rPr>
                <w:sz w:val="21"/>
                <w:szCs w:val="21"/>
              </w:rPr>
            </w:pPr>
            <w:r w:rsidRPr="00F67FFD">
              <w:rPr>
                <w:sz w:val="21"/>
                <w:szCs w:val="21"/>
              </w:rPr>
              <w:t>非货币性资产公允价值评估</w:t>
            </w:r>
          </w:p>
        </w:tc>
      </w:tr>
      <w:tr w:rsidR="00F67FFD" w:rsidRPr="00F67FFD" w14:paraId="1D7A49A5" w14:textId="77777777" w:rsidTr="00F67FFD">
        <w:trPr>
          <w:trHeight w:val="20"/>
        </w:trPr>
        <w:tc>
          <w:tcPr>
            <w:tcW w:w="693" w:type="dxa"/>
            <w:vMerge/>
            <w:shd w:val="clear" w:color="auto" w:fill="auto"/>
            <w:vAlign w:val="center"/>
            <w:hideMark/>
          </w:tcPr>
          <w:p w14:paraId="27E1B1D5"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186FF5BF"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1A337129" w14:textId="77777777" w:rsidR="00F67FFD" w:rsidRPr="00F67FFD" w:rsidRDefault="00F67FFD" w:rsidP="00F67FFD">
            <w:pPr>
              <w:pStyle w:val="13"/>
              <w:spacing w:line="240" w:lineRule="auto"/>
              <w:ind w:firstLineChars="0" w:firstLine="0"/>
              <w:rPr>
                <w:sz w:val="21"/>
                <w:szCs w:val="21"/>
              </w:rPr>
            </w:pPr>
            <w:r w:rsidRPr="00F67FFD">
              <w:rPr>
                <w:sz w:val="21"/>
                <w:szCs w:val="21"/>
              </w:rPr>
              <w:t>1.7.4</w:t>
            </w:r>
          </w:p>
        </w:tc>
        <w:tc>
          <w:tcPr>
            <w:tcW w:w="5380" w:type="dxa"/>
            <w:shd w:val="clear" w:color="auto" w:fill="auto"/>
            <w:noWrap/>
            <w:vAlign w:val="center"/>
            <w:hideMark/>
          </w:tcPr>
          <w:p w14:paraId="42890464" w14:textId="77777777" w:rsidR="00F67FFD" w:rsidRPr="00F67FFD" w:rsidRDefault="00F67FFD" w:rsidP="00F67FFD">
            <w:pPr>
              <w:pStyle w:val="13"/>
              <w:spacing w:line="240" w:lineRule="auto"/>
              <w:ind w:firstLineChars="0" w:firstLine="0"/>
              <w:rPr>
                <w:sz w:val="21"/>
                <w:szCs w:val="21"/>
              </w:rPr>
            </w:pPr>
            <w:r w:rsidRPr="00F67FFD">
              <w:rPr>
                <w:sz w:val="21"/>
                <w:szCs w:val="21"/>
              </w:rPr>
              <w:t>金融工具公允价值评估</w:t>
            </w:r>
          </w:p>
        </w:tc>
      </w:tr>
      <w:tr w:rsidR="00F67FFD" w:rsidRPr="00F67FFD" w14:paraId="2C081220" w14:textId="77777777" w:rsidTr="00F67FFD">
        <w:trPr>
          <w:trHeight w:val="20"/>
        </w:trPr>
        <w:tc>
          <w:tcPr>
            <w:tcW w:w="693" w:type="dxa"/>
            <w:vMerge/>
            <w:shd w:val="clear" w:color="auto" w:fill="auto"/>
            <w:vAlign w:val="center"/>
            <w:hideMark/>
          </w:tcPr>
          <w:p w14:paraId="77680632"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6CC2A266"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01DD152D" w14:textId="77777777" w:rsidR="00F67FFD" w:rsidRPr="00F67FFD" w:rsidRDefault="00F67FFD" w:rsidP="00F67FFD">
            <w:pPr>
              <w:pStyle w:val="13"/>
              <w:spacing w:line="240" w:lineRule="auto"/>
              <w:ind w:firstLineChars="0" w:firstLine="0"/>
              <w:rPr>
                <w:sz w:val="21"/>
                <w:szCs w:val="21"/>
              </w:rPr>
            </w:pPr>
            <w:r w:rsidRPr="00F67FFD">
              <w:rPr>
                <w:sz w:val="21"/>
                <w:szCs w:val="21"/>
              </w:rPr>
              <w:t>1.7.5</w:t>
            </w:r>
          </w:p>
        </w:tc>
        <w:tc>
          <w:tcPr>
            <w:tcW w:w="5380" w:type="dxa"/>
            <w:shd w:val="clear" w:color="auto" w:fill="auto"/>
            <w:noWrap/>
            <w:vAlign w:val="center"/>
            <w:hideMark/>
          </w:tcPr>
          <w:p w14:paraId="1982050A" w14:textId="77777777" w:rsidR="00F67FFD" w:rsidRPr="00F67FFD" w:rsidRDefault="00F67FFD" w:rsidP="00F67FFD">
            <w:pPr>
              <w:pStyle w:val="13"/>
              <w:spacing w:line="240" w:lineRule="auto"/>
              <w:ind w:firstLineChars="0" w:firstLine="0"/>
              <w:rPr>
                <w:sz w:val="21"/>
                <w:szCs w:val="21"/>
              </w:rPr>
            </w:pPr>
            <w:r w:rsidRPr="00F67FFD">
              <w:rPr>
                <w:sz w:val="21"/>
                <w:szCs w:val="21"/>
              </w:rPr>
              <w:t>基金估值</w:t>
            </w:r>
          </w:p>
        </w:tc>
      </w:tr>
      <w:tr w:rsidR="00F67FFD" w:rsidRPr="00F67FFD" w14:paraId="4069842D" w14:textId="77777777" w:rsidTr="00F67FFD">
        <w:trPr>
          <w:trHeight w:val="20"/>
        </w:trPr>
        <w:tc>
          <w:tcPr>
            <w:tcW w:w="693" w:type="dxa"/>
            <w:vMerge/>
            <w:shd w:val="clear" w:color="auto" w:fill="auto"/>
            <w:vAlign w:val="center"/>
            <w:hideMark/>
          </w:tcPr>
          <w:p w14:paraId="4CAC16AA"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00EE44B7"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hideMark/>
          </w:tcPr>
          <w:p w14:paraId="4FCEC27F" w14:textId="77777777" w:rsidR="00F67FFD" w:rsidRPr="00F67FFD" w:rsidRDefault="00F67FFD" w:rsidP="00F67FFD">
            <w:pPr>
              <w:pStyle w:val="13"/>
              <w:spacing w:line="240" w:lineRule="auto"/>
              <w:ind w:firstLineChars="0" w:firstLine="0"/>
              <w:rPr>
                <w:sz w:val="21"/>
                <w:szCs w:val="21"/>
              </w:rPr>
            </w:pPr>
            <w:r w:rsidRPr="00F67FFD">
              <w:rPr>
                <w:sz w:val="21"/>
                <w:szCs w:val="21"/>
              </w:rPr>
              <w:t>1.7.6</w:t>
            </w:r>
          </w:p>
        </w:tc>
        <w:tc>
          <w:tcPr>
            <w:tcW w:w="5380" w:type="dxa"/>
            <w:shd w:val="clear" w:color="auto" w:fill="auto"/>
            <w:noWrap/>
            <w:vAlign w:val="center"/>
            <w:hideMark/>
          </w:tcPr>
          <w:p w14:paraId="4A086DCF" w14:textId="77777777" w:rsidR="00F67FFD" w:rsidRPr="00F67FFD" w:rsidRDefault="00F67FFD" w:rsidP="00F67FFD">
            <w:pPr>
              <w:pStyle w:val="13"/>
              <w:spacing w:line="240" w:lineRule="auto"/>
              <w:ind w:firstLineChars="0" w:firstLine="0"/>
              <w:rPr>
                <w:sz w:val="21"/>
                <w:szCs w:val="21"/>
              </w:rPr>
            </w:pPr>
            <w:r w:rsidRPr="00F67FFD">
              <w:rPr>
                <w:sz w:val="21"/>
                <w:szCs w:val="21"/>
              </w:rPr>
              <w:t>合并对价分摊评估</w:t>
            </w:r>
          </w:p>
        </w:tc>
      </w:tr>
      <w:tr w:rsidR="00F67FFD" w:rsidRPr="00F67FFD" w14:paraId="64A9C52E" w14:textId="77777777" w:rsidTr="00F67FFD">
        <w:trPr>
          <w:trHeight w:val="20"/>
        </w:trPr>
        <w:tc>
          <w:tcPr>
            <w:tcW w:w="693" w:type="dxa"/>
            <w:vMerge/>
            <w:shd w:val="clear" w:color="auto" w:fill="auto"/>
            <w:vAlign w:val="center"/>
            <w:hideMark/>
          </w:tcPr>
          <w:p w14:paraId="2B00945B" w14:textId="77777777" w:rsidR="00F67FFD" w:rsidRPr="00F67FFD" w:rsidRDefault="00F67FFD" w:rsidP="00F67FFD">
            <w:pPr>
              <w:pStyle w:val="13"/>
              <w:spacing w:line="240" w:lineRule="auto"/>
              <w:ind w:firstLineChars="0" w:firstLine="0"/>
              <w:rPr>
                <w:sz w:val="21"/>
                <w:szCs w:val="21"/>
              </w:rPr>
            </w:pPr>
          </w:p>
        </w:tc>
        <w:tc>
          <w:tcPr>
            <w:tcW w:w="1712" w:type="dxa"/>
            <w:vMerge/>
            <w:shd w:val="clear" w:color="auto" w:fill="auto"/>
            <w:vAlign w:val="center"/>
            <w:hideMark/>
          </w:tcPr>
          <w:p w14:paraId="50483103" w14:textId="77777777" w:rsidR="00F67FFD" w:rsidRPr="00F67FFD" w:rsidRDefault="00F67FFD" w:rsidP="00F67FFD">
            <w:pPr>
              <w:pStyle w:val="13"/>
              <w:spacing w:line="240" w:lineRule="auto"/>
              <w:ind w:firstLineChars="0" w:firstLine="0"/>
              <w:rPr>
                <w:sz w:val="21"/>
                <w:szCs w:val="21"/>
              </w:rPr>
            </w:pPr>
          </w:p>
        </w:tc>
        <w:tc>
          <w:tcPr>
            <w:tcW w:w="992" w:type="dxa"/>
            <w:shd w:val="clear" w:color="auto" w:fill="auto"/>
            <w:noWrap/>
            <w:vAlign w:val="center"/>
          </w:tcPr>
          <w:p w14:paraId="7C8D24A4" w14:textId="77777777" w:rsidR="00F67FFD" w:rsidRPr="00F67FFD" w:rsidRDefault="00F67FFD" w:rsidP="00F67FFD">
            <w:pPr>
              <w:pStyle w:val="13"/>
              <w:spacing w:line="240" w:lineRule="auto"/>
              <w:ind w:firstLineChars="0" w:firstLine="0"/>
              <w:rPr>
                <w:sz w:val="21"/>
                <w:szCs w:val="21"/>
              </w:rPr>
            </w:pPr>
            <w:r w:rsidRPr="00F67FFD">
              <w:rPr>
                <w:sz w:val="21"/>
                <w:szCs w:val="21"/>
              </w:rPr>
              <w:t>1.7.7</w:t>
            </w:r>
          </w:p>
        </w:tc>
        <w:tc>
          <w:tcPr>
            <w:tcW w:w="5380" w:type="dxa"/>
            <w:shd w:val="clear" w:color="auto" w:fill="auto"/>
            <w:noWrap/>
            <w:vAlign w:val="center"/>
          </w:tcPr>
          <w:p w14:paraId="4DC39EA3" w14:textId="77777777" w:rsidR="00F67FFD" w:rsidRPr="00F67FFD" w:rsidRDefault="00F67FFD" w:rsidP="00F67FFD">
            <w:pPr>
              <w:pStyle w:val="13"/>
              <w:spacing w:line="240" w:lineRule="auto"/>
              <w:ind w:firstLineChars="0" w:firstLine="0"/>
              <w:rPr>
                <w:sz w:val="21"/>
                <w:szCs w:val="21"/>
              </w:rPr>
            </w:pPr>
            <w:r w:rsidRPr="00F67FFD">
              <w:rPr>
                <w:sz w:val="21"/>
                <w:szCs w:val="21"/>
              </w:rPr>
              <w:t>金融企业抵押物管理及评估</w:t>
            </w:r>
          </w:p>
        </w:tc>
      </w:tr>
      <w:tr w:rsidR="00F67FFD" w:rsidRPr="00F67FFD" w14:paraId="67AB9AD6" w14:textId="77777777" w:rsidTr="00F67FFD">
        <w:trPr>
          <w:trHeight w:val="20"/>
        </w:trPr>
        <w:tc>
          <w:tcPr>
            <w:tcW w:w="693" w:type="dxa"/>
            <w:vMerge/>
            <w:tcBorders>
              <w:bottom w:val="single" w:sz="4" w:space="0" w:color="auto"/>
            </w:tcBorders>
            <w:shd w:val="clear" w:color="auto" w:fill="auto"/>
            <w:noWrap/>
            <w:vAlign w:val="center"/>
          </w:tcPr>
          <w:p w14:paraId="5FFE5A1D" w14:textId="77777777" w:rsidR="00F67FFD" w:rsidRPr="00F67FFD" w:rsidRDefault="00F67FFD" w:rsidP="00F67FFD">
            <w:pPr>
              <w:pStyle w:val="13"/>
              <w:spacing w:line="240" w:lineRule="auto"/>
              <w:ind w:firstLineChars="0" w:firstLine="0"/>
              <w:rPr>
                <w:sz w:val="21"/>
                <w:szCs w:val="21"/>
              </w:rPr>
            </w:pPr>
          </w:p>
        </w:tc>
        <w:tc>
          <w:tcPr>
            <w:tcW w:w="1712" w:type="dxa"/>
            <w:vMerge/>
            <w:tcBorders>
              <w:bottom w:val="single" w:sz="4" w:space="0" w:color="auto"/>
            </w:tcBorders>
            <w:shd w:val="clear" w:color="auto" w:fill="auto"/>
            <w:noWrap/>
            <w:vAlign w:val="center"/>
          </w:tcPr>
          <w:p w14:paraId="3BD3F3A9" w14:textId="77777777" w:rsidR="00F67FFD" w:rsidRPr="00F67FFD" w:rsidRDefault="00F67FFD" w:rsidP="00F67FFD">
            <w:pPr>
              <w:pStyle w:val="13"/>
              <w:spacing w:line="240" w:lineRule="auto"/>
              <w:ind w:firstLineChars="0" w:firstLine="0"/>
              <w:rPr>
                <w:sz w:val="21"/>
                <w:szCs w:val="21"/>
              </w:rPr>
            </w:pPr>
          </w:p>
        </w:tc>
        <w:tc>
          <w:tcPr>
            <w:tcW w:w="992" w:type="dxa"/>
            <w:tcBorders>
              <w:bottom w:val="single" w:sz="4" w:space="0" w:color="auto"/>
            </w:tcBorders>
            <w:shd w:val="clear" w:color="auto" w:fill="auto"/>
            <w:noWrap/>
            <w:vAlign w:val="center"/>
          </w:tcPr>
          <w:p w14:paraId="4D376E2A" w14:textId="77777777" w:rsidR="00F67FFD" w:rsidRPr="00F67FFD" w:rsidRDefault="00F67FFD" w:rsidP="00F67FFD">
            <w:pPr>
              <w:pStyle w:val="13"/>
              <w:spacing w:line="240" w:lineRule="auto"/>
              <w:ind w:firstLineChars="0" w:firstLine="0"/>
              <w:rPr>
                <w:sz w:val="21"/>
                <w:szCs w:val="21"/>
              </w:rPr>
            </w:pPr>
            <w:r w:rsidRPr="00F67FFD">
              <w:rPr>
                <w:sz w:val="21"/>
                <w:szCs w:val="21"/>
              </w:rPr>
              <w:t>1.7.8</w:t>
            </w:r>
          </w:p>
        </w:tc>
        <w:tc>
          <w:tcPr>
            <w:tcW w:w="5380" w:type="dxa"/>
            <w:tcBorders>
              <w:bottom w:val="single" w:sz="4" w:space="0" w:color="auto"/>
            </w:tcBorders>
            <w:shd w:val="clear" w:color="auto" w:fill="auto"/>
            <w:noWrap/>
            <w:vAlign w:val="center"/>
          </w:tcPr>
          <w:p w14:paraId="628A1DF1" w14:textId="77777777" w:rsidR="00F67FFD" w:rsidRPr="00F67FFD" w:rsidRDefault="00F67FFD" w:rsidP="00F67FFD">
            <w:pPr>
              <w:pStyle w:val="13"/>
              <w:spacing w:line="240" w:lineRule="auto"/>
              <w:ind w:firstLineChars="0" w:firstLine="0"/>
              <w:rPr>
                <w:sz w:val="21"/>
                <w:szCs w:val="21"/>
              </w:rPr>
            </w:pPr>
            <w:r w:rsidRPr="00F67FFD">
              <w:rPr>
                <w:sz w:val="21"/>
                <w:szCs w:val="21"/>
              </w:rPr>
              <w:t>外国投资者对境内企业并购</w:t>
            </w:r>
          </w:p>
        </w:tc>
      </w:tr>
      <w:tr w:rsidR="00F67FFD" w:rsidRPr="00F67FFD" w14:paraId="4665838E" w14:textId="77777777" w:rsidTr="00F67FFD">
        <w:trPr>
          <w:trHeight w:val="20"/>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0059" w14:textId="77777777" w:rsidR="00F67FFD" w:rsidRPr="00F67FFD" w:rsidRDefault="00F67FFD" w:rsidP="00F67FFD">
            <w:pPr>
              <w:pStyle w:val="13"/>
              <w:spacing w:line="240" w:lineRule="auto"/>
              <w:ind w:firstLineChars="0" w:firstLine="0"/>
              <w:rPr>
                <w:sz w:val="21"/>
                <w:szCs w:val="21"/>
              </w:rPr>
            </w:pPr>
            <w:r w:rsidRPr="00F67FFD">
              <w:rPr>
                <w:sz w:val="21"/>
                <w:szCs w:val="21"/>
              </w:rPr>
              <w:t>1.8</w:t>
            </w:r>
          </w:p>
        </w:tc>
        <w:tc>
          <w:tcPr>
            <w:tcW w:w="1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A32CC" w14:textId="77777777" w:rsidR="00F67FFD" w:rsidRPr="00F67FFD" w:rsidRDefault="00F67FFD" w:rsidP="00F67FFD">
            <w:pPr>
              <w:pStyle w:val="13"/>
              <w:spacing w:line="240" w:lineRule="auto"/>
              <w:ind w:firstLineChars="0" w:firstLine="0"/>
              <w:rPr>
                <w:sz w:val="21"/>
                <w:szCs w:val="21"/>
              </w:rPr>
            </w:pPr>
            <w:r w:rsidRPr="00F67FFD">
              <w:rPr>
                <w:sz w:val="21"/>
                <w:szCs w:val="21"/>
              </w:rPr>
              <w:t>其他</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B7521" w14:textId="77777777" w:rsidR="00F67FFD" w:rsidRPr="00F67FFD" w:rsidRDefault="00F67FFD" w:rsidP="00F67FFD">
            <w:pPr>
              <w:pStyle w:val="13"/>
              <w:spacing w:line="240" w:lineRule="auto"/>
              <w:ind w:firstLineChars="0" w:firstLine="0"/>
              <w:rPr>
                <w:sz w:val="21"/>
                <w:szCs w:val="21"/>
              </w:rPr>
            </w:pPr>
            <w:r w:rsidRPr="00F67FFD">
              <w:rPr>
                <w:sz w:val="21"/>
                <w:szCs w:val="21"/>
              </w:rPr>
              <w:t>1.8.1</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95599" w14:textId="77777777" w:rsidR="00F67FFD" w:rsidRPr="00F67FFD" w:rsidRDefault="00F67FFD" w:rsidP="00F67FFD">
            <w:pPr>
              <w:pStyle w:val="13"/>
              <w:spacing w:line="240" w:lineRule="auto"/>
              <w:ind w:firstLineChars="0" w:firstLine="0"/>
              <w:rPr>
                <w:sz w:val="21"/>
                <w:szCs w:val="21"/>
              </w:rPr>
            </w:pPr>
            <w:proofErr w:type="gramStart"/>
            <w:r w:rsidRPr="00F67FFD">
              <w:rPr>
                <w:sz w:val="21"/>
                <w:szCs w:val="21"/>
              </w:rPr>
              <w:t>碳排放权</w:t>
            </w:r>
            <w:proofErr w:type="gramEnd"/>
            <w:r w:rsidRPr="00F67FFD">
              <w:rPr>
                <w:sz w:val="21"/>
                <w:szCs w:val="21"/>
              </w:rPr>
              <w:t>交易</w:t>
            </w:r>
          </w:p>
        </w:tc>
      </w:tr>
      <w:tr w:rsidR="00F67FFD" w:rsidRPr="00F67FFD" w14:paraId="72079B04"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74C889"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3E0376"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7C1F3" w14:textId="77777777" w:rsidR="00F67FFD" w:rsidRPr="00F67FFD" w:rsidRDefault="00F67FFD" w:rsidP="00F67FFD">
            <w:pPr>
              <w:pStyle w:val="13"/>
              <w:spacing w:line="240" w:lineRule="auto"/>
              <w:ind w:firstLineChars="0" w:firstLine="0"/>
              <w:rPr>
                <w:sz w:val="21"/>
                <w:szCs w:val="21"/>
              </w:rPr>
            </w:pPr>
            <w:r w:rsidRPr="00F67FFD">
              <w:rPr>
                <w:sz w:val="21"/>
                <w:szCs w:val="21"/>
              </w:rPr>
              <w:t>1.8.2</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85953" w14:textId="77777777" w:rsidR="00F67FFD" w:rsidRPr="00F67FFD" w:rsidRDefault="00F67FFD" w:rsidP="00F67FFD">
            <w:pPr>
              <w:pStyle w:val="13"/>
              <w:spacing w:line="240" w:lineRule="auto"/>
              <w:ind w:firstLineChars="0" w:firstLine="0"/>
              <w:rPr>
                <w:sz w:val="21"/>
                <w:szCs w:val="21"/>
              </w:rPr>
            </w:pPr>
            <w:proofErr w:type="gramStart"/>
            <w:r w:rsidRPr="00F67FFD">
              <w:rPr>
                <w:sz w:val="21"/>
                <w:szCs w:val="21"/>
              </w:rPr>
              <w:t>碳排放权</w:t>
            </w:r>
            <w:proofErr w:type="gramEnd"/>
            <w:r w:rsidRPr="00F67FFD">
              <w:rPr>
                <w:sz w:val="21"/>
                <w:szCs w:val="21"/>
              </w:rPr>
              <w:t>质押</w:t>
            </w:r>
          </w:p>
        </w:tc>
      </w:tr>
      <w:tr w:rsidR="00F67FFD" w:rsidRPr="00F67FFD" w14:paraId="1BF12451"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D2EECD"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1FFC2C"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A0BAF" w14:textId="77777777" w:rsidR="00F67FFD" w:rsidRPr="00F67FFD" w:rsidRDefault="00F67FFD" w:rsidP="00F67FFD">
            <w:pPr>
              <w:pStyle w:val="13"/>
              <w:spacing w:line="240" w:lineRule="auto"/>
              <w:ind w:firstLineChars="0" w:firstLine="0"/>
              <w:rPr>
                <w:sz w:val="21"/>
                <w:szCs w:val="21"/>
              </w:rPr>
            </w:pPr>
            <w:r w:rsidRPr="00F67FFD">
              <w:rPr>
                <w:sz w:val="21"/>
                <w:szCs w:val="21"/>
              </w:rPr>
              <w:t>1.8.3</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F2167" w14:textId="77777777" w:rsidR="00F67FFD" w:rsidRPr="00F67FFD" w:rsidRDefault="00F67FFD" w:rsidP="00F67FFD">
            <w:pPr>
              <w:pStyle w:val="13"/>
              <w:spacing w:line="240" w:lineRule="auto"/>
              <w:ind w:firstLineChars="0" w:firstLine="0"/>
              <w:rPr>
                <w:sz w:val="21"/>
                <w:szCs w:val="21"/>
              </w:rPr>
            </w:pPr>
            <w:r w:rsidRPr="00F67FFD">
              <w:rPr>
                <w:sz w:val="21"/>
                <w:szCs w:val="21"/>
              </w:rPr>
              <w:t>生态价值补偿价值</w:t>
            </w:r>
          </w:p>
        </w:tc>
      </w:tr>
      <w:tr w:rsidR="00F67FFD" w:rsidRPr="00F67FFD" w14:paraId="513CF35C"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0AFE3D"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C81038"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33F0A" w14:textId="77777777" w:rsidR="00F67FFD" w:rsidRPr="00F67FFD" w:rsidRDefault="00F67FFD" w:rsidP="00F67FFD">
            <w:pPr>
              <w:pStyle w:val="13"/>
              <w:spacing w:line="240" w:lineRule="auto"/>
              <w:ind w:firstLineChars="0" w:firstLine="0"/>
              <w:rPr>
                <w:sz w:val="21"/>
                <w:szCs w:val="21"/>
              </w:rPr>
            </w:pPr>
            <w:r w:rsidRPr="00F67FFD">
              <w:rPr>
                <w:sz w:val="21"/>
                <w:szCs w:val="21"/>
              </w:rPr>
              <w:t>1.8.4</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61E80" w14:textId="77777777" w:rsidR="00F67FFD" w:rsidRPr="00F67FFD" w:rsidRDefault="00F67FFD" w:rsidP="00F67FFD">
            <w:pPr>
              <w:pStyle w:val="13"/>
              <w:spacing w:line="240" w:lineRule="auto"/>
              <w:ind w:firstLineChars="0" w:firstLine="0"/>
              <w:rPr>
                <w:sz w:val="21"/>
                <w:szCs w:val="21"/>
              </w:rPr>
            </w:pPr>
            <w:r w:rsidRPr="00F67FFD">
              <w:rPr>
                <w:sz w:val="21"/>
                <w:szCs w:val="21"/>
              </w:rPr>
              <w:t>森林生态价值补偿</w:t>
            </w:r>
          </w:p>
        </w:tc>
      </w:tr>
      <w:tr w:rsidR="00F67FFD" w:rsidRPr="00F67FFD" w14:paraId="5AB4E226"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50E89D"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F8A0DA"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D8E2" w14:textId="77777777" w:rsidR="00F67FFD" w:rsidRPr="00F67FFD" w:rsidRDefault="00F67FFD" w:rsidP="00F67FFD">
            <w:pPr>
              <w:pStyle w:val="13"/>
              <w:spacing w:line="240" w:lineRule="auto"/>
              <w:ind w:firstLineChars="0" w:firstLine="0"/>
              <w:rPr>
                <w:sz w:val="21"/>
                <w:szCs w:val="21"/>
              </w:rPr>
            </w:pPr>
            <w:r w:rsidRPr="00F67FFD">
              <w:rPr>
                <w:sz w:val="21"/>
                <w:szCs w:val="21"/>
              </w:rPr>
              <w:t>1.8.5</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04286" w14:textId="77777777" w:rsidR="00F67FFD" w:rsidRPr="00F67FFD" w:rsidRDefault="00F67FFD" w:rsidP="00F67FFD">
            <w:pPr>
              <w:pStyle w:val="13"/>
              <w:spacing w:line="240" w:lineRule="auto"/>
              <w:ind w:firstLineChars="0" w:firstLine="0"/>
              <w:rPr>
                <w:sz w:val="21"/>
                <w:szCs w:val="21"/>
              </w:rPr>
            </w:pPr>
            <w:r w:rsidRPr="00F67FFD">
              <w:rPr>
                <w:sz w:val="21"/>
                <w:szCs w:val="21"/>
              </w:rPr>
              <w:t>环境损失评估</w:t>
            </w:r>
          </w:p>
        </w:tc>
      </w:tr>
      <w:tr w:rsidR="00F67FFD" w:rsidRPr="00F67FFD" w14:paraId="770AAD15"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54B2FB"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632599"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60CF7" w14:textId="77777777" w:rsidR="00F67FFD" w:rsidRPr="00F67FFD" w:rsidRDefault="00F67FFD" w:rsidP="00F67FFD">
            <w:pPr>
              <w:pStyle w:val="13"/>
              <w:spacing w:line="240" w:lineRule="auto"/>
              <w:ind w:firstLineChars="0" w:firstLine="0"/>
              <w:rPr>
                <w:sz w:val="21"/>
                <w:szCs w:val="21"/>
              </w:rPr>
            </w:pPr>
            <w:r w:rsidRPr="00F67FFD">
              <w:rPr>
                <w:sz w:val="21"/>
                <w:szCs w:val="21"/>
              </w:rPr>
              <w:t>1.8.6</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C23EB" w14:textId="77777777" w:rsidR="00F67FFD" w:rsidRPr="00F67FFD" w:rsidRDefault="00F67FFD" w:rsidP="00F67FFD">
            <w:pPr>
              <w:pStyle w:val="13"/>
              <w:spacing w:line="240" w:lineRule="auto"/>
              <w:ind w:firstLineChars="0" w:firstLine="0"/>
              <w:rPr>
                <w:sz w:val="21"/>
                <w:szCs w:val="21"/>
              </w:rPr>
            </w:pPr>
            <w:r w:rsidRPr="00F67FFD">
              <w:rPr>
                <w:sz w:val="21"/>
                <w:szCs w:val="21"/>
              </w:rPr>
              <w:t>存量PPP项目实施中的资产评估</w:t>
            </w:r>
          </w:p>
        </w:tc>
      </w:tr>
      <w:tr w:rsidR="00F67FFD" w:rsidRPr="00F67FFD" w14:paraId="55BEC4E8"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9F001A"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D3E0DA"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5EB53" w14:textId="77777777" w:rsidR="00F67FFD" w:rsidRPr="00F67FFD" w:rsidRDefault="00F67FFD" w:rsidP="00F67FFD">
            <w:pPr>
              <w:pStyle w:val="13"/>
              <w:spacing w:line="240" w:lineRule="auto"/>
              <w:ind w:firstLineChars="0" w:firstLine="0"/>
              <w:rPr>
                <w:sz w:val="21"/>
                <w:szCs w:val="21"/>
              </w:rPr>
            </w:pPr>
            <w:r w:rsidRPr="00F67FFD">
              <w:rPr>
                <w:sz w:val="21"/>
                <w:szCs w:val="21"/>
              </w:rPr>
              <w:t>1.8.7</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1D113" w14:textId="77777777" w:rsidR="00F67FFD" w:rsidRPr="00F67FFD" w:rsidRDefault="00F67FFD" w:rsidP="00F67FFD">
            <w:pPr>
              <w:pStyle w:val="13"/>
              <w:spacing w:line="240" w:lineRule="auto"/>
              <w:ind w:firstLineChars="0" w:firstLine="0"/>
              <w:rPr>
                <w:sz w:val="21"/>
                <w:szCs w:val="21"/>
              </w:rPr>
            </w:pPr>
            <w:r w:rsidRPr="00F67FFD">
              <w:rPr>
                <w:sz w:val="21"/>
                <w:szCs w:val="21"/>
              </w:rPr>
              <w:t>PPP项目物有所值评价</w:t>
            </w:r>
          </w:p>
        </w:tc>
      </w:tr>
      <w:tr w:rsidR="00F67FFD" w:rsidRPr="00F67FFD" w14:paraId="5A0EB8BC"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94CDA1"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A148B1"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E98C6" w14:textId="77777777" w:rsidR="00F67FFD" w:rsidRPr="00F67FFD" w:rsidRDefault="00F67FFD" w:rsidP="00F67FFD">
            <w:pPr>
              <w:pStyle w:val="13"/>
              <w:spacing w:line="240" w:lineRule="auto"/>
              <w:ind w:firstLineChars="0" w:firstLine="0"/>
              <w:rPr>
                <w:sz w:val="21"/>
                <w:szCs w:val="21"/>
              </w:rPr>
            </w:pPr>
            <w:r w:rsidRPr="00F67FFD">
              <w:rPr>
                <w:sz w:val="21"/>
                <w:szCs w:val="21"/>
              </w:rPr>
              <w:t>1.8.8</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7C21D" w14:textId="77777777" w:rsidR="00F67FFD" w:rsidRPr="00F67FFD" w:rsidRDefault="00F67FFD" w:rsidP="00F67FFD">
            <w:pPr>
              <w:pStyle w:val="13"/>
              <w:spacing w:line="240" w:lineRule="auto"/>
              <w:ind w:firstLineChars="0" w:firstLine="0"/>
              <w:rPr>
                <w:sz w:val="21"/>
                <w:szCs w:val="21"/>
              </w:rPr>
            </w:pPr>
            <w:r w:rsidRPr="00F67FFD">
              <w:rPr>
                <w:sz w:val="21"/>
                <w:szCs w:val="21"/>
              </w:rPr>
              <w:t>PPP项目中期绩效评估</w:t>
            </w:r>
          </w:p>
        </w:tc>
      </w:tr>
      <w:tr w:rsidR="00F67FFD" w:rsidRPr="00F67FFD" w14:paraId="3A23A1BD"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D1FB36"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9F0435"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14AEF" w14:textId="77777777" w:rsidR="00F67FFD" w:rsidRPr="00F67FFD" w:rsidRDefault="00F67FFD" w:rsidP="00F67FFD">
            <w:pPr>
              <w:pStyle w:val="13"/>
              <w:spacing w:line="240" w:lineRule="auto"/>
              <w:ind w:firstLineChars="0" w:firstLine="0"/>
              <w:rPr>
                <w:sz w:val="21"/>
                <w:szCs w:val="21"/>
              </w:rPr>
            </w:pPr>
            <w:r w:rsidRPr="00F67FFD">
              <w:rPr>
                <w:sz w:val="21"/>
                <w:szCs w:val="21"/>
              </w:rPr>
              <w:t>1.8.9</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48FF7" w14:textId="77777777" w:rsidR="00F67FFD" w:rsidRPr="00F67FFD" w:rsidRDefault="00F67FFD" w:rsidP="00F67FFD">
            <w:pPr>
              <w:pStyle w:val="13"/>
              <w:spacing w:line="240" w:lineRule="auto"/>
              <w:ind w:firstLineChars="0" w:firstLine="0"/>
              <w:rPr>
                <w:sz w:val="21"/>
                <w:szCs w:val="21"/>
              </w:rPr>
            </w:pPr>
            <w:r w:rsidRPr="00F67FFD">
              <w:rPr>
                <w:sz w:val="21"/>
                <w:szCs w:val="21"/>
              </w:rPr>
              <w:t>存量PPP项目中国有资产、股权转让</w:t>
            </w:r>
          </w:p>
        </w:tc>
      </w:tr>
      <w:tr w:rsidR="00F67FFD" w:rsidRPr="00F67FFD" w14:paraId="1141EBA5"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00B38B"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493D8"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88FB9" w14:textId="77777777" w:rsidR="00F67FFD" w:rsidRPr="00F67FFD" w:rsidRDefault="00F67FFD" w:rsidP="00F67FFD">
            <w:pPr>
              <w:pStyle w:val="13"/>
              <w:spacing w:line="240" w:lineRule="auto"/>
              <w:ind w:firstLineChars="0" w:firstLine="0"/>
              <w:rPr>
                <w:sz w:val="21"/>
                <w:szCs w:val="21"/>
              </w:rPr>
            </w:pPr>
            <w:r w:rsidRPr="00F67FFD">
              <w:rPr>
                <w:sz w:val="21"/>
                <w:szCs w:val="21"/>
              </w:rPr>
              <w:t>1.8.10</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E8645" w14:textId="77777777" w:rsidR="00F67FFD" w:rsidRPr="00F67FFD" w:rsidRDefault="00F67FFD" w:rsidP="00F67FFD">
            <w:pPr>
              <w:pStyle w:val="13"/>
              <w:spacing w:line="240" w:lineRule="auto"/>
              <w:ind w:firstLineChars="0" w:firstLine="0"/>
              <w:rPr>
                <w:sz w:val="21"/>
                <w:szCs w:val="21"/>
              </w:rPr>
            </w:pPr>
            <w:r w:rsidRPr="00F67FFD">
              <w:rPr>
                <w:sz w:val="21"/>
                <w:szCs w:val="21"/>
              </w:rPr>
              <w:t>PPP项目合作期满移交资产评估</w:t>
            </w:r>
          </w:p>
        </w:tc>
      </w:tr>
      <w:tr w:rsidR="00F67FFD" w:rsidRPr="00F67FFD" w14:paraId="34A21FF5"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F9E5F8"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F82A72"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11899" w14:textId="77777777" w:rsidR="00F67FFD" w:rsidRPr="00F67FFD" w:rsidRDefault="00F67FFD" w:rsidP="00F67FFD">
            <w:pPr>
              <w:pStyle w:val="13"/>
              <w:spacing w:line="240" w:lineRule="auto"/>
              <w:ind w:firstLineChars="0" w:firstLine="0"/>
              <w:rPr>
                <w:sz w:val="21"/>
                <w:szCs w:val="21"/>
              </w:rPr>
            </w:pPr>
            <w:r w:rsidRPr="00F67FFD">
              <w:rPr>
                <w:sz w:val="21"/>
                <w:szCs w:val="21"/>
              </w:rPr>
              <w:t>1.8.11</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A6D6" w14:textId="77777777" w:rsidR="00F67FFD" w:rsidRPr="00F67FFD" w:rsidRDefault="00F67FFD" w:rsidP="00F67FFD">
            <w:pPr>
              <w:pStyle w:val="13"/>
              <w:spacing w:line="240" w:lineRule="auto"/>
              <w:ind w:firstLineChars="0" w:firstLine="0"/>
              <w:rPr>
                <w:sz w:val="21"/>
                <w:szCs w:val="21"/>
              </w:rPr>
            </w:pPr>
            <w:r w:rsidRPr="00F67FFD">
              <w:rPr>
                <w:sz w:val="21"/>
                <w:szCs w:val="21"/>
              </w:rPr>
              <w:t>PPP项目公司资产证券化</w:t>
            </w:r>
          </w:p>
        </w:tc>
      </w:tr>
      <w:tr w:rsidR="00F67FFD" w:rsidRPr="00F67FFD" w14:paraId="79830DAE"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B0C708"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D04D41"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9E2B" w14:textId="77777777" w:rsidR="00F67FFD" w:rsidRPr="00F67FFD" w:rsidRDefault="00F67FFD" w:rsidP="00F67FFD">
            <w:pPr>
              <w:pStyle w:val="13"/>
              <w:spacing w:line="240" w:lineRule="auto"/>
              <w:ind w:firstLineChars="0" w:firstLine="0"/>
              <w:rPr>
                <w:sz w:val="21"/>
                <w:szCs w:val="21"/>
              </w:rPr>
            </w:pPr>
            <w:r w:rsidRPr="00F67FFD">
              <w:rPr>
                <w:sz w:val="21"/>
                <w:szCs w:val="21"/>
              </w:rPr>
              <w:t>1.8.12</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08C4B" w14:textId="77777777" w:rsidR="00F67FFD" w:rsidRPr="00F67FFD" w:rsidRDefault="00F67FFD" w:rsidP="00F67FFD">
            <w:pPr>
              <w:pStyle w:val="13"/>
              <w:spacing w:line="240" w:lineRule="auto"/>
              <w:ind w:firstLineChars="0" w:firstLine="0"/>
              <w:rPr>
                <w:sz w:val="21"/>
                <w:szCs w:val="21"/>
              </w:rPr>
            </w:pPr>
            <w:r w:rsidRPr="00F67FFD">
              <w:rPr>
                <w:sz w:val="21"/>
                <w:szCs w:val="21"/>
              </w:rPr>
              <w:t>PPP项目公司股东资产证券化</w:t>
            </w:r>
          </w:p>
        </w:tc>
      </w:tr>
      <w:tr w:rsidR="00F67FFD" w:rsidRPr="00F67FFD" w14:paraId="4B6BEF19"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B0D6E7"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313E27"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A16AA" w14:textId="77777777" w:rsidR="00F67FFD" w:rsidRPr="00F67FFD" w:rsidRDefault="00F67FFD" w:rsidP="00F67FFD">
            <w:pPr>
              <w:pStyle w:val="13"/>
              <w:spacing w:line="240" w:lineRule="auto"/>
              <w:ind w:firstLineChars="0" w:firstLine="0"/>
              <w:rPr>
                <w:sz w:val="21"/>
                <w:szCs w:val="21"/>
              </w:rPr>
            </w:pPr>
            <w:r w:rsidRPr="00F67FFD">
              <w:rPr>
                <w:sz w:val="21"/>
                <w:szCs w:val="21"/>
              </w:rPr>
              <w:t>1.8.13</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44FF3" w14:textId="77777777" w:rsidR="00F67FFD" w:rsidRPr="00F67FFD" w:rsidRDefault="00F67FFD" w:rsidP="00F67FFD">
            <w:pPr>
              <w:pStyle w:val="13"/>
              <w:spacing w:line="240" w:lineRule="auto"/>
              <w:ind w:firstLineChars="0" w:firstLine="0"/>
              <w:rPr>
                <w:sz w:val="21"/>
                <w:szCs w:val="21"/>
              </w:rPr>
            </w:pPr>
            <w:r w:rsidRPr="00F67FFD">
              <w:rPr>
                <w:sz w:val="21"/>
                <w:szCs w:val="21"/>
              </w:rPr>
              <w:t>PPP项目公司其他相关主体资产证券化</w:t>
            </w:r>
          </w:p>
        </w:tc>
      </w:tr>
      <w:tr w:rsidR="00F67FFD" w:rsidRPr="00F67FFD" w14:paraId="4B6FCCCA"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C07969"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FE7721"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CF97D" w14:textId="77777777" w:rsidR="00F67FFD" w:rsidRPr="00F67FFD" w:rsidRDefault="00F67FFD" w:rsidP="00F67FFD">
            <w:pPr>
              <w:pStyle w:val="13"/>
              <w:spacing w:line="240" w:lineRule="auto"/>
              <w:ind w:firstLineChars="0" w:firstLine="0"/>
              <w:rPr>
                <w:sz w:val="21"/>
                <w:szCs w:val="21"/>
              </w:rPr>
            </w:pPr>
            <w:r w:rsidRPr="00F67FFD">
              <w:rPr>
                <w:sz w:val="21"/>
                <w:szCs w:val="21"/>
              </w:rPr>
              <w:t>1.8.14</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C1BB6" w14:textId="77777777" w:rsidR="00F67FFD" w:rsidRPr="00F67FFD" w:rsidRDefault="00F67FFD" w:rsidP="00F67FFD">
            <w:pPr>
              <w:pStyle w:val="13"/>
              <w:spacing w:line="240" w:lineRule="auto"/>
              <w:ind w:firstLineChars="0" w:firstLine="0"/>
              <w:rPr>
                <w:sz w:val="21"/>
                <w:szCs w:val="21"/>
              </w:rPr>
            </w:pPr>
            <w:r w:rsidRPr="00F67FFD">
              <w:rPr>
                <w:sz w:val="21"/>
                <w:szCs w:val="21"/>
              </w:rPr>
              <w:t>资产损害赔偿鉴定</w:t>
            </w:r>
          </w:p>
        </w:tc>
      </w:tr>
      <w:tr w:rsidR="00F67FFD" w:rsidRPr="00F67FFD" w14:paraId="10D6EC7D"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1039A7"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806E18"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C71EC" w14:textId="77777777" w:rsidR="00F67FFD" w:rsidRPr="00F67FFD" w:rsidRDefault="00F67FFD" w:rsidP="00F67FFD">
            <w:pPr>
              <w:pStyle w:val="13"/>
              <w:spacing w:line="240" w:lineRule="auto"/>
              <w:ind w:firstLineChars="0" w:firstLine="0"/>
              <w:rPr>
                <w:sz w:val="21"/>
                <w:szCs w:val="21"/>
              </w:rPr>
            </w:pPr>
            <w:r w:rsidRPr="00F67FFD">
              <w:rPr>
                <w:sz w:val="21"/>
                <w:szCs w:val="21"/>
              </w:rPr>
              <w:t>1.8.15</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B5775" w14:textId="77777777" w:rsidR="00F67FFD" w:rsidRPr="00F67FFD" w:rsidRDefault="00F67FFD" w:rsidP="00F67FFD">
            <w:pPr>
              <w:pStyle w:val="13"/>
              <w:spacing w:line="240" w:lineRule="auto"/>
              <w:ind w:firstLineChars="0" w:firstLine="0"/>
              <w:rPr>
                <w:sz w:val="21"/>
                <w:szCs w:val="21"/>
              </w:rPr>
            </w:pPr>
            <w:r w:rsidRPr="00F67FFD">
              <w:rPr>
                <w:sz w:val="21"/>
                <w:szCs w:val="21"/>
              </w:rPr>
              <w:t>资产变价</w:t>
            </w:r>
          </w:p>
        </w:tc>
      </w:tr>
      <w:tr w:rsidR="00F67FFD" w:rsidRPr="00F67FFD" w14:paraId="3E605186"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3B27BE"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705D92"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270B3" w14:textId="77777777" w:rsidR="00F67FFD" w:rsidRPr="00F67FFD" w:rsidRDefault="00F67FFD" w:rsidP="00F67FFD">
            <w:pPr>
              <w:pStyle w:val="13"/>
              <w:spacing w:line="240" w:lineRule="auto"/>
              <w:ind w:firstLineChars="0" w:firstLine="0"/>
              <w:rPr>
                <w:sz w:val="21"/>
                <w:szCs w:val="21"/>
              </w:rPr>
            </w:pPr>
            <w:r w:rsidRPr="00F67FFD">
              <w:rPr>
                <w:sz w:val="21"/>
                <w:szCs w:val="21"/>
              </w:rPr>
              <w:t>1.8.16</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4185" w14:textId="77777777" w:rsidR="00F67FFD" w:rsidRPr="00F67FFD" w:rsidRDefault="00F67FFD" w:rsidP="00F67FFD">
            <w:pPr>
              <w:pStyle w:val="13"/>
              <w:spacing w:line="240" w:lineRule="auto"/>
              <w:ind w:firstLineChars="0" w:firstLine="0"/>
              <w:rPr>
                <w:sz w:val="21"/>
                <w:szCs w:val="21"/>
              </w:rPr>
            </w:pPr>
            <w:r w:rsidRPr="00F67FFD">
              <w:rPr>
                <w:sz w:val="21"/>
                <w:szCs w:val="21"/>
              </w:rPr>
              <w:t>刑事案件定罪量刑中相关损失估算</w:t>
            </w:r>
          </w:p>
        </w:tc>
      </w:tr>
      <w:tr w:rsidR="00F67FFD" w:rsidRPr="00F67FFD" w14:paraId="376A818D"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246317"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FA21ED"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46042" w14:textId="77777777" w:rsidR="00F67FFD" w:rsidRPr="00F67FFD" w:rsidRDefault="00F67FFD" w:rsidP="00F67FFD">
            <w:pPr>
              <w:pStyle w:val="13"/>
              <w:spacing w:line="240" w:lineRule="auto"/>
              <w:ind w:firstLineChars="0" w:firstLine="0"/>
              <w:rPr>
                <w:sz w:val="21"/>
                <w:szCs w:val="21"/>
              </w:rPr>
            </w:pPr>
            <w:r w:rsidRPr="00F67FFD">
              <w:rPr>
                <w:sz w:val="21"/>
                <w:szCs w:val="21"/>
              </w:rPr>
              <w:t>1.8.17</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91AE" w14:textId="77777777" w:rsidR="00F67FFD" w:rsidRPr="00F67FFD" w:rsidRDefault="00F67FFD" w:rsidP="00F67FFD">
            <w:pPr>
              <w:pStyle w:val="13"/>
              <w:spacing w:line="240" w:lineRule="auto"/>
              <w:ind w:firstLineChars="0" w:firstLine="0"/>
              <w:rPr>
                <w:sz w:val="21"/>
                <w:szCs w:val="21"/>
              </w:rPr>
            </w:pPr>
            <w:r w:rsidRPr="00F67FFD">
              <w:rPr>
                <w:sz w:val="21"/>
                <w:szCs w:val="21"/>
              </w:rPr>
              <w:t>人民法院委托司法执行财产处置资产评估</w:t>
            </w:r>
          </w:p>
        </w:tc>
      </w:tr>
      <w:tr w:rsidR="00F67FFD" w:rsidRPr="00F67FFD" w14:paraId="7B64A8A1"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F8C0B0"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04D7D5"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8F38D" w14:textId="77777777" w:rsidR="00F67FFD" w:rsidRPr="00F67FFD" w:rsidRDefault="00F67FFD" w:rsidP="00F67FFD">
            <w:pPr>
              <w:pStyle w:val="13"/>
              <w:spacing w:line="240" w:lineRule="auto"/>
              <w:ind w:firstLineChars="0" w:firstLine="0"/>
              <w:rPr>
                <w:sz w:val="21"/>
                <w:szCs w:val="21"/>
              </w:rPr>
            </w:pPr>
            <w:r w:rsidRPr="00F67FFD">
              <w:rPr>
                <w:sz w:val="21"/>
                <w:szCs w:val="21"/>
              </w:rPr>
              <w:t>1.8.18</w:t>
            </w:r>
          </w:p>
        </w:tc>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34A6" w14:textId="77777777" w:rsidR="00F67FFD" w:rsidRPr="00F67FFD" w:rsidRDefault="00F67FFD" w:rsidP="00F67FFD">
            <w:pPr>
              <w:pStyle w:val="13"/>
              <w:spacing w:line="240" w:lineRule="auto"/>
              <w:ind w:firstLineChars="0" w:firstLine="0"/>
              <w:rPr>
                <w:sz w:val="21"/>
                <w:szCs w:val="21"/>
              </w:rPr>
            </w:pPr>
            <w:r w:rsidRPr="00F67FFD">
              <w:rPr>
                <w:sz w:val="21"/>
                <w:szCs w:val="21"/>
              </w:rPr>
              <w:t>国家中小企业发展基金价值评估</w:t>
            </w:r>
          </w:p>
        </w:tc>
      </w:tr>
      <w:tr w:rsidR="00F67FFD" w:rsidRPr="00F67FFD" w14:paraId="7E50C090"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A63102"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B2F1C5" w14:textId="77777777" w:rsidR="00F67FFD" w:rsidRPr="00F67FFD" w:rsidRDefault="00F67FFD" w:rsidP="00F67FFD">
            <w:pPr>
              <w:pStyle w:val="13"/>
              <w:spacing w:line="240" w:lineRule="auto"/>
              <w:ind w:firstLineChars="0" w:firstLine="0"/>
              <w:rPr>
                <w:sz w:val="21"/>
                <w:szCs w:val="21"/>
              </w:rPr>
            </w:pPr>
          </w:p>
        </w:tc>
        <w:tc>
          <w:tcPr>
            <w:tcW w:w="992" w:type="dxa"/>
            <w:tcBorders>
              <w:top w:val="single" w:sz="4" w:space="0" w:color="auto"/>
              <w:left w:val="single" w:sz="4" w:space="0" w:color="auto"/>
            </w:tcBorders>
            <w:shd w:val="clear" w:color="auto" w:fill="auto"/>
            <w:noWrap/>
            <w:vAlign w:val="center"/>
          </w:tcPr>
          <w:p w14:paraId="3CF1D674" w14:textId="77777777" w:rsidR="00F67FFD" w:rsidRPr="00F67FFD" w:rsidRDefault="00F67FFD" w:rsidP="00F67FFD">
            <w:pPr>
              <w:pStyle w:val="13"/>
              <w:spacing w:line="240" w:lineRule="auto"/>
              <w:ind w:firstLineChars="0" w:firstLine="0"/>
              <w:rPr>
                <w:sz w:val="21"/>
                <w:szCs w:val="21"/>
              </w:rPr>
            </w:pPr>
            <w:r w:rsidRPr="00F67FFD">
              <w:rPr>
                <w:sz w:val="21"/>
                <w:szCs w:val="21"/>
              </w:rPr>
              <w:t>1.8.19</w:t>
            </w:r>
          </w:p>
        </w:tc>
        <w:tc>
          <w:tcPr>
            <w:tcW w:w="5380" w:type="dxa"/>
            <w:tcBorders>
              <w:top w:val="single" w:sz="4" w:space="0" w:color="auto"/>
            </w:tcBorders>
            <w:shd w:val="clear" w:color="auto" w:fill="auto"/>
            <w:noWrap/>
            <w:vAlign w:val="center"/>
          </w:tcPr>
          <w:p w14:paraId="24BCE959" w14:textId="77777777" w:rsidR="00F67FFD" w:rsidRPr="00F67FFD" w:rsidRDefault="00F67FFD" w:rsidP="00F67FFD">
            <w:pPr>
              <w:pStyle w:val="13"/>
              <w:spacing w:line="240" w:lineRule="auto"/>
              <w:ind w:firstLineChars="0" w:firstLine="0"/>
              <w:rPr>
                <w:sz w:val="21"/>
                <w:szCs w:val="21"/>
              </w:rPr>
            </w:pPr>
            <w:r w:rsidRPr="00F67FFD">
              <w:rPr>
                <w:sz w:val="21"/>
                <w:szCs w:val="21"/>
              </w:rPr>
              <w:t>行业协会商会与行政机关脱钩有关国有资产管理</w:t>
            </w:r>
          </w:p>
        </w:tc>
      </w:tr>
      <w:tr w:rsidR="00F67FFD" w:rsidRPr="00F67FFD" w14:paraId="665E798F" w14:textId="77777777" w:rsidTr="00F67FFD">
        <w:trPr>
          <w:trHeight w:val="63"/>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F84E38"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DDA891" w14:textId="77777777" w:rsidR="00F67FFD" w:rsidRPr="00F67FFD" w:rsidRDefault="00F67FFD" w:rsidP="00F67FFD">
            <w:pPr>
              <w:pStyle w:val="13"/>
              <w:spacing w:line="240" w:lineRule="auto"/>
              <w:ind w:firstLineChars="0" w:firstLine="0"/>
              <w:rPr>
                <w:sz w:val="21"/>
                <w:szCs w:val="21"/>
              </w:rPr>
            </w:pPr>
          </w:p>
        </w:tc>
        <w:tc>
          <w:tcPr>
            <w:tcW w:w="992" w:type="dxa"/>
            <w:tcBorders>
              <w:left w:val="single" w:sz="4" w:space="0" w:color="auto"/>
            </w:tcBorders>
            <w:shd w:val="clear" w:color="auto" w:fill="auto"/>
            <w:noWrap/>
            <w:vAlign w:val="center"/>
          </w:tcPr>
          <w:p w14:paraId="2C987DA5" w14:textId="77777777" w:rsidR="00F67FFD" w:rsidRPr="00F67FFD" w:rsidRDefault="00F67FFD" w:rsidP="00F67FFD">
            <w:pPr>
              <w:pStyle w:val="13"/>
              <w:spacing w:line="240" w:lineRule="auto"/>
              <w:ind w:firstLineChars="0" w:firstLine="0"/>
              <w:rPr>
                <w:sz w:val="21"/>
                <w:szCs w:val="21"/>
              </w:rPr>
            </w:pPr>
            <w:r w:rsidRPr="00F67FFD">
              <w:rPr>
                <w:sz w:val="21"/>
                <w:szCs w:val="21"/>
              </w:rPr>
              <w:t>1.8.20</w:t>
            </w:r>
          </w:p>
        </w:tc>
        <w:tc>
          <w:tcPr>
            <w:tcW w:w="5380" w:type="dxa"/>
            <w:shd w:val="clear" w:color="auto" w:fill="auto"/>
            <w:noWrap/>
            <w:vAlign w:val="center"/>
          </w:tcPr>
          <w:p w14:paraId="7118FAE8" w14:textId="77777777" w:rsidR="00F67FFD" w:rsidRPr="00F67FFD" w:rsidRDefault="00F67FFD" w:rsidP="00F67FFD">
            <w:pPr>
              <w:pStyle w:val="13"/>
              <w:spacing w:line="240" w:lineRule="auto"/>
              <w:ind w:firstLineChars="0" w:firstLine="0"/>
              <w:rPr>
                <w:sz w:val="21"/>
                <w:szCs w:val="21"/>
              </w:rPr>
            </w:pPr>
            <w:r w:rsidRPr="00F67FFD">
              <w:rPr>
                <w:sz w:val="21"/>
                <w:szCs w:val="21"/>
              </w:rPr>
              <w:t>中国足协大额资产出售与置换</w:t>
            </w:r>
          </w:p>
        </w:tc>
      </w:tr>
      <w:tr w:rsidR="00F67FFD" w:rsidRPr="00F67FFD" w14:paraId="3A2B2B28"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6A56B6"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8D764E" w14:textId="77777777" w:rsidR="00F67FFD" w:rsidRPr="00F67FFD" w:rsidRDefault="00F67FFD" w:rsidP="00F67FFD">
            <w:pPr>
              <w:pStyle w:val="13"/>
              <w:spacing w:line="240" w:lineRule="auto"/>
              <w:ind w:firstLineChars="0" w:firstLine="0"/>
              <w:rPr>
                <w:sz w:val="21"/>
                <w:szCs w:val="21"/>
              </w:rPr>
            </w:pPr>
          </w:p>
        </w:tc>
        <w:tc>
          <w:tcPr>
            <w:tcW w:w="992" w:type="dxa"/>
            <w:tcBorders>
              <w:left w:val="single" w:sz="4" w:space="0" w:color="auto"/>
            </w:tcBorders>
            <w:shd w:val="clear" w:color="auto" w:fill="auto"/>
            <w:noWrap/>
            <w:vAlign w:val="center"/>
          </w:tcPr>
          <w:p w14:paraId="090087A6" w14:textId="77777777" w:rsidR="00F67FFD" w:rsidRPr="00F67FFD" w:rsidRDefault="00F67FFD" w:rsidP="00F67FFD">
            <w:pPr>
              <w:pStyle w:val="13"/>
              <w:spacing w:line="240" w:lineRule="auto"/>
              <w:ind w:firstLineChars="0" w:firstLine="0"/>
              <w:rPr>
                <w:sz w:val="21"/>
                <w:szCs w:val="21"/>
              </w:rPr>
            </w:pPr>
            <w:r w:rsidRPr="00F67FFD">
              <w:rPr>
                <w:sz w:val="21"/>
                <w:szCs w:val="21"/>
              </w:rPr>
              <w:t>1.8.21</w:t>
            </w:r>
          </w:p>
        </w:tc>
        <w:tc>
          <w:tcPr>
            <w:tcW w:w="5380" w:type="dxa"/>
            <w:shd w:val="clear" w:color="auto" w:fill="auto"/>
            <w:noWrap/>
            <w:vAlign w:val="center"/>
          </w:tcPr>
          <w:p w14:paraId="7460A1C6" w14:textId="77777777" w:rsidR="00F67FFD" w:rsidRPr="00F67FFD" w:rsidRDefault="00F67FFD" w:rsidP="00F67FFD">
            <w:pPr>
              <w:pStyle w:val="13"/>
              <w:spacing w:line="240" w:lineRule="auto"/>
              <w:ind w:firstLineChars="0" w:firstLine="0"/>
              <w:rPr>
                <w:sz w:val="21"/>
                <w:szCs w:val="21"/>
              </w:rPr>
            </w:pPr>
            <w:r w:rsidRPr="00F67FFD">
              <w:rPr>
                <w:sz w:val="21"/>
                <w:szCs w:val="21"/>
              </w:rPr>
              <w:t>中国足协所持的国有企业股权资产管理</w:t>
            </w:r>
          </w:p>
        </w:tc>
      </w:tr>
      <w:tr w:rsidR="00F67FFD" w:rsidRPr="00F67FFD" w14:paraId="30ACBEB2"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236BAF"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E6DD5B" w14:textId="77777777" w:rsidR="00F67FFD" w:rsidRPr="00F67FFD" w:rsidRDefault="00F67FFD" w:rsidP="00F67FFD">
            <w:pPr>
              <w:pStyle w:val="13"/>
              <w:spacing w:line="240" w:lineRule="auto"/>
              <w:ind w:firstLineChars="0" w:firstLine="0"/>
              <w:rPr>
                <w:sz w:val="21"/>
                <w:szCs w:val="21"/>
              </w:rPr>
            </w:pPr>
          </w:p>
        </w:tc>
        <w:tc>
          <w:tcPr>
            <w:tcW w:w="992" w:type="dxa"/>
            <w:tcBorders>
              <w:left w:val="single" w:sz="4" w:space="0" w:color="auto"/>
            </w:tcBorders>
            <w:shd w:val="clear" w:color="auto" w:fill="auto"/>
            <w:noWrap/>
            <w:vAlign w:val="center"/>
          </w:tcPr>
          <w:p w14:paraId="65C6E285" w14:textId="77777777" w:rsidR="00F67FFD" w:rsidRPr="00F67FFD" w:rsidRDefault="00F67FFD" w:rsidP="00F67FFD">
            <w:pPr>
              <w:pStyle w:val="13"/>
              <w:spacing w:line="240" w:lineRule="auto"/>
              <w:ind w:firstLineChars="0" w:firstLine="0"/>
              <w:rPr>
                <w:sz w:val="21"/>
                <w:szCs w:val="21"/>
              </w:rPr>
            </w:pPr>
            <w:r w:rsidRPr="00F67FFD">
              <w:rPr>
                <w:sz w:val="21"/>
                <w:szCs w:val="21"/>
              </w:rPr>
              <w:t>1.8.22</w:t>
            </w:r>
          </w:p>
        </w:tc>
        <w:tc>
          <w:tcPr>
            <w:tcW w:w="5380" w:type="dxa"/>
            <w:shd w:val="clear" w:color="auto" w:fill="auto"/>
            <w:noWrap/>
            <w:vAlign w:val="center"/>
          </w:tcPr>
          <w:p w14:paraId="19ECE8D4" w14:textId="77777777" w:rsidR="00F67FFD" w:rsidRPr="00F67FFD" w:rsidRDefault="00F67FFD" w:rsidP="00F67FFD">
            <w:pPr>
              <w:pStyle w:val="13"/>
              <w:spacing w:line="240" w:lineRule="auto"/>
              <w:ind w:firstLineChars="0" w:firstLine="0"/>
              <w:rPr>
                <w:sz w:val="21"/>
                <w:szCs w:val="21"/>
              </w:rPr>
            </w:pPr>
            <w:r w:rsidRPr="00F67FFD">
              <w:rPr>
                <w:sz w:val="21"/>
                <w:szCs w:val="21"/>
              </w:rPr>
              <w:t>包装产业发展混合所有制经济中涉及的国有资产评估</w:t>
            </w:r>
          </w:p>
        </w:tc>
      </w:tr>
      <w:tr w:rsidR="00F67FFD" w:rsidRPr="00F67FFD" w14:paraId="42FAD5CA"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1C768C"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FCC86D" w14:textId="77777777" w:rsidR="00F67FFD" w:rsidRPr="00F67FFD" w:rsidRDefault="00F67FFD" w:rsidP="00F67FFD">
            <w:pPr>
              <w:pStyle w:val="13"/>
              <w:spacing w:line="240" w:lineRule="auto"/>
              <w:ind w:firstLineChars="0" w:firstLine="0"/>
              <w:rPr>
                <w:sz w:val="21"/>
                <w:szCs w:val="21"/>
              </w:rPr>
            </w:pPr>
          </w:p>
        </w:tc>
        <w:tc>
          <w:tcPr>
            <w:tcW w:w="992" w:type="dxa"/>
            <w:tcBorders>
              <w:left w:val="single" w:sz="4" w:space="0" w:color="auto"/>
            </w:tcBorders>
            <w:shd w:val="clear" w:color="auto" w:fill="auto"/>
            <w:noWrap/>
            <w:vAlign w:val="center"/>
          </w:tcPr>
          <w:p w14:paraId="00A1E946" w14:textId="77777777" w:rsidR="00F67FFD" w:rsidRPr="00F67FFD" w:rsidRDefault="00F67FFD" w:rsidP="00F67FFD">
            <w:pPr>
              <w:pStyle w:val="13"/>
              <w:spacing w:line="240" w:lineRule="auto"/>
              <w:ind w:firstLineChars="0" w:firstLine="0"/>
              <w:rPr>
                <w:sz w:val="21"/>
                <w:szCs w:val="21"/>
              </w:rPr>
            </w:pPr>
            <w:r w:rsidRPr="00F67FFD">
              <w:rPr>
                <w:sz w:val="21"/>
                <w:szCs w:val="21"/>
              </w:rPr>
              <w:t>1.8.23</w:t>
            </w:r>
          </w:p>
        </w:tc>
        <w:tc>
          <w:tcPr>
            <w:tcW w:w="5380" w:type="dxa"/>
            <w:shd w:val="clear" w:color="auto" w:fill="auto"/>
            <w:noWrap/>
            <w:vAlign w:val="center"/>
          </w:tcPr>
          <w:p w14:paraId="5E7ED694" w14:textId="77777777" w:rsidR="00F67FFD" w:rsidRPr="00F67FFD" w:rsidRDefault="00F67FFD" w:rsidP="00F67FFD">
            <w:pPr>
              <w:pStyle w:val="13"/>
              <w:spacing w:line="240" w:lineRule="auto"/>
              <w:ind w:firstLineChars="0" w:firstLine="0"/>
              <w:rPr>
                <w:sz w:val="21"/>
                <w:szCs w:val="21"/>
              </w:rPr>
            </w:pPr>
            <w:r w:rsidRPr="00F67FFD">
              <w:rPr>
                <w:sz w:val="21"/>
                <w:szCs w:val="21"/>
              </w:rPr>
              <w:t>大中型包装企业的股权分置改革中涉及的国有产权变动</w:t>
            </w:r>
          </w:p>
        </w:tc>
      </w:tr>
      <w:tr w:rsidR="00F67FFD" w:rsidRPr="00F67FFD" w14:paraId="3F65E4C0" w14:textId="77777777" w:rsidTr="00F67FFD">
        <w:trPr>
          <w:trHeight w:val="20"/>
        </w:trPr>
        <w:tc>
          <w:tcPr>
            <w:tcW w:w="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E88C83" w14:textId="77777777" w:rsidR="00F67FFD" w:rsidRPr="00F67FFD" w:rsidRDefault="00F67FFD" w:rsidP="00F67FFD">
            <w:pPr>
              <w:pStyle w:val="13"/>
              <w:spacing w:line="240" w:lineRule="auto"/>
              <w:ind w:firstLineChars="0" w:firstLine="0"/>
              <w:rPr>
                <w:sz w:val="21"/>
                <w:szCs w:val="21"/>
              </w:rPr>
            </w:pPr>
          </w:p>
        </w:tc>
        <w:tc>
          <w:tcPr>
            <w:tcW w:w="17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63472C" w14:textId="77777777" w:rsidR="00F67FFD" w:rsidRPr="00F67FFD" w:rsidRDefault="00F67FFD" w:rsidP="00F67FFD">
            <w:pPr>
              <w:pStyle w:val="13"/>
              <w:spacing w:line="240" w:lineRule="auto"/>
              <w:ind w:firstLineChars="0" w:firstLine="0"/>
              <w:rPr>
                <w:sz w:val="21"/>
                <w:szCs w:val="21"/>
              </w:rPr>
            </w:pPr>
          </w:p>
        </w:tc>
        <w:tc>
          <w:tcPr>
            <w:tcW w:w="992" w:type="dxa"/>
            <w:tcBorders>
              <w:left w:val="single" w:sz="4" w:space="0" w:color="auto"/>
            </w:tcBorders>
            <w:shd w:val="clear" w:color="auto" w:fill="auto"/>
            <w:noWrap/>
            <w:vAlign w:val="center"/>
          </w:tcPr>
          <w:p w14:paraId="62AE24B2" w14:textId="77777777" w:rsidR="00F67FFD" w:rsidRPr="00F67FFD" w:rsidRDefault="00F67FFD" w:rsidP="00F67FFD">
            <w:pPr>
              <w:pStyle w:val="13"/>
              <w:spacing w:line="240" w:lineRule="auto"/>
              <w:ind w:firstLineChars="0" w:firstLine="0"/>
              <w:rPr>
                <w:sz w:val="21"/>
                <w:szCs w:val="21"/>
              </w:rPr>
            </w:pPr>
            <w:r w:rsidRPr="00F67FFD">
              <w:rPr>
                <w:sz w:val="21"/>
                <w:szCs w:val="21"/>
              </w:rPr>
              <w:t>1.8.24</w:t>
            </w:r>
          </w:p>
        </w:tc>
        <w:tc>
          <w:tcPr>
            <w:tcW w:w="5380" w:type="dxa"/>
            <w:shd w:val="clear" w:color="auto" w:fill="auto"/>
            <w:noWrap/>
            <w:vAlign w:val="center"/>
          </w:tcPr>
          <w:p w14:paraId="4DC2A5F7" w14:textId="77777777" w:rsidR="00F67FFD" w:rsidRPr="00F67FFD" w:rsidRDefault="00F67FFD" w:rsidP="00F67FFD">
            <w:pPr>
              <w:pStyle w:val="13"/>
              <w:spacing w:line="240" w:lineRule="auto"/>
              <w:ind w:firstLineChars="0" w:firstLine="0"/>
              <w:rPr>
                <w:sz w:val="21"/>
                <w:szCs w:val="21"/>
              </w:rPr>
            </w:pPr>
            <w:r w:rsidRPr="00F67FFD">
              <w:rPr>
                <w:sz w:val="21"/>
                <w:szCs w:val="21"/>
              </w:rPr>
              <w:t>包装企业与科研院所间的资产重组</w:t>
            </w:r>
          </w:p>
        </w:tc>
      </w:tr>
    </w:tbl>
    <w:p w14:paraId="5A032776" w14:textId="77777777" w:rsidR="00F67FFD" w:rsidRDefault="00F67FFD" w:rsidP="00F67FFD">
      <w:pPr>
        <w:pStyle w:val="13"/>
      </w:pPr>
      <w:r>
        <w:rPr>
          <w:rFonts w:hint="eastAsia"/>
        </w:rPr>
        <w:t>（一）国资委、财政部及其授权履行国有资产监管的中央企业和中央金融企业评估类业务需求</w:t>
      </w:r>
    </w:p>
    <w:p w14:paraId="460DC8B0" w14:textId="77777777" w:rsidR="00F67FFD" w:rsidRDefault="00F67FFD" w:rsidP="00F67FFD">
      <w:pPr>
        <w:pStyle w:val="13"/>
      </w:pPr>
      <w:r>
        <w:t>1.业务来源</w:t>
      </w:r>
    </w:p>
    <w:p w14:paraId="19D8D438" w14:textId="77777777" w:rsidR="00F67FFD" w:rsidRDefault="00F67FFD" w:rsidP="00F67FFD">
      <w:pPr>
        <w:pStyle w:val="13"/>
      </w:pPr>
      <w:r>
        <w:rPr>
          <w:rFonts w:hint="eastAsia"/>
        </w:rPr>
        <w:t>国资委、财政部及其授权履行国有资产监管的中央企业和中央金融企业触发评估类业务需求的经济行为主要包括资产处置、公司制改建、企业合并与分立、产权变动等，涉及的相关业务是资产评估机构开展多年的业务类型，是资产评估机构的基本服务项目。</w:t>
      </w:r>
    </w:p>
    <w:p w14:paraId="2E521860" w14:textId="77777777" w:rsidR="00F67FFD" w:rsidRDefault="00F67FFD" w:rsidP="00F67FFD">
      <w:pPr>
        <w:pStyle w:val="13"/>
      </w:pPr>
      <w:r>
        <w:rPr>
          <w:rFonts w:hint="eastAsia"/>
        </w:rPr>
        <w:t>资产处置经济行为包括：资产转让、拍卖、偿债、租赁、抵质押、资产重组、资产捐赠、资产补偿、资产涉讼、对外投资、接受投资、接受抵债资产和债务重组等。</w:t>
      </w:r>
    </w:p>
    <w:p w14:paraId="1E7DDEEA" w14:textId="77777777" w:rsidR="00F67FFD" w:rsidRDefault="00F67FFD" w:rsidP="00F67FFD">
      <w:pPr>
        <w:pStyle w:val="13"/>
      </w:pPr>
      <w:r>
        <w:rPr>
          <w:rFonts w:hint="eastAsia"/>
        </w:rPr>
        <w:t>企业合并与分立经济行为包括：企业合并、企业分立、企业破产、企业清算、企业解散等。</w:t>
      </w:r>
    </w:p>
    <w:p w14:paraId="5DDD67C9" w14:textId="77777777" w:rsidR="00F67FFD" w:rsidRDefault="00F67FFD" w:rsidP="00F67FFD">
      <w:pPr>
        <w:pStyle w:val="13"/>
      </w:pPr>
      <w:r>
        <w:rPr>
          <w:rFonts w:hint="eastAsia"/>
        </w:rPr>
        <w:t>产权变动经济行为包括：增资扩股、</w:t>
      </w:r>
      <w:r>
        <w:t>IPO、股权转让、债转股等。</w:t>
      </w:r>
    </w:p>
    <w:p w14:paraId="11E36D61" w14:textId="77777777" w:rsidR="00F67FFD" w:rsidRDefault="00F67FFD" w:rsidP="00F67FFD">
      <w:pPr>
        <w:pStyle w:val="13"/>
      </w:pPr>
      <w:r>
        <w:t>2.文件依据</w:t>
      </w:r>
    </w:p>
    <w:p w14:paraId="5CE7D02B" w14:textId="77777777" w:rsidR="00F67FFD" w:rsidRDefault="00F67FFD" w:rsidP="00F67FFD">
      <w:pPr>
        <w:pStyle w:val="13"/>
      </w:pPr>
      <w:r>
        <w:rPr>
          <w:rFonts w:hint="eastAsia"/>
        </w:rPr>
        <w:t>（</w:t>
      </w:r>
      <w:r>
        <w:t>1）《企业国有资产评估管理暂行办法》（国资委令第12号）；</w:t>
      </w:r>
    </w:p>
    <w:p w14:paraId="4429E8B9" w14:textId="77777777" w:rsidR="00F67FFD" w:rsidRDefault="00F67FFD" w:rsidP="00F67FFD">
      <w:pPr>
        <w:pStyle w:val="13"/>
      </w:pPr>
      <w:r>
        <w:rPr>
          <w:rFonts w:hint="eastAsia"/>
        </w:rPr>
        <w:t>（</w:t>
      </w:r>
      <w:r>
        <w:t>2）《金融企业国有资产评估监督管理暂行办法》（财政部令第47号）；</w:t>
      </w:r>
    </w:p>
    <w:p w14:paraId="16D1D8A7" w14:textId="77777777" w:rsidR="00F67FFD" w:rsidRDefault="00F67FFD" w:rsidP="00F67FFD">
      <w:pPr>
        <w:pStyle w:val="13"/>
      </w:pPr>
      <w:r>
        <w:rPr>
          <w:rFonts w:hint="eastAsia"/>
        </w:rPr>
        <w:t>（</w:t>
      </w:r>
      <w:r>
        <w:t>3）《行政单位国有资产管理暂行办法》（财政部令第35号 根据2017年12月4日中华人民共和国财政部令第90号《财政部关于修改〈注册会计师注册办法〉等6部规章的决定》修正）；</w:t>
      </w:r>
    </w:p>
    <w:p w14:paraId="0B71312C" w14:textId="77777777" w:rsidR="00F67FFD" w:rsidRDefault="00F67FFD" w:rsidP="00F67FFD">
      <w:pPr>
        <w:pStyle w:val="13"/>
      </w:pPr>
      <w:r>
        <w:rPr>
          <w:rFonts w:hint="eastAsia"/>
        </w:rPr>
        <w:lastRenderedPageBreak/>
        <w:t>（</w:t>
      </w:r>
      <w:r>
        <w:t>4）《事业单位国有资产管理暂行办法》（财政部令第36号 根据2017年12月4日财政部令第90号《财政部关于修改〈注册会计师注册办法〉等6部规章的决定》第一次修改 根据2019年3月29日《财政部关于修改&lt;事业单位国有资产管理暂行办法&gt;的决定》第二次修改）；</w:t>
      </w:r>
    </w:p>
    <w:p w14:paraId="107828CC" w14:textId="77777777" w:rsidR="00F67FFD" w:rsidRDefault="00F67FFD" w:rsidP="00F67FFD">
      <w:pPr>
        <w:pStyle w:val="13"/>
      </w:pPr>
      <w:r>
        <w:rPr>
          <w:rFonts w:hint="eastAsia"/>
        </w:rPr>
        <w:t>（</w:t>
      </w:r>
      <w:r>
        <w:t>5）《中央级事业单位国有资产管理暂行办法》（</w:t>
      </w:r>
      <w:proofErr w:type="gramStart"/>
      <w:r>
        <w:t>财教〔2008〕</w:t>
      </w:r>
      <w:proofErr w:type="gramEnd"/>
      <w:r>
        <w:t>13号）；</w:t>
      </w:r>
    </w:p>
    <w:p w14:paraId="6CC1DC58" w14:textId="77777777" w:rsidR="00F67FFD" w:rsidRDefault="00F67FFD" w:rsidP="00F67FFD">
      <w:pPr>
        <w:pStyle w:val="13"/>
      </w:pPr>
      <w:r>
        <w:rPr>
          <w:rFonts w:hint="eastAsia"/>
        </w:rPr>
        <w:t>（</w:t>
      </w:r>
      <w:r>
        <w:t>6）《中央级事业单位国有资产使用管理暂行办法》（</w:t>
      </w:r>
      <w:proofErr w:type="gramStart"/>
      <w:r>
        <w:t>财教〔2009〕</w:t>
      </w:r>
      <w:proofErr w:type="gramEnd"/>
      <w:r>
        <w:t>192号）；</w:t>
      </w:r>
    </w:p>
    <w:p w14:paraId="642F0BAF" w14:textId="77777777" w:rsidR="00F67FFD" w:rsidRDefault="00F67FFD" w:rsidP="00F67FFD">
      <w:pPr>
        <w:pStyle w:val="13"/>
      </w:pPr>
      <w:r>
        <w:rPr>
          <w:rFonts w:hint="eastAsia"/>
        </w:rPr>
        <w:t>（</w:t>
      </w:r>
      <w:r>
        <w:t>7）《企业国有资产交易监督管理办法》（国务院国资委 财政部令第32号）等。</w:t>
      </w:r>
    </w:p>
    <w:p w14:paraId="7BE0322E" w14:textId="77777777" w:rsidR="00F67FFD" w:rsidRDefault="00F67FFD" w:rsidP="00F67FFD">
      <w:pPr>
        <w:pStyle w:val="13"/>
      </w:pPr>
      <w:r>
        <w:rPr>
          <w:rFonts w:hint="eastAsia"/>
        </w:rPr>
        <w:t>（二）国有企业评估类业务需求</w:t>
      </w:r>
    </w:p>
    <w:p w14:paraId="62F20758" w14:textId="77777777" w:rsidR="00F67FFD" w:rsidRDefault="00F67FFD" w:rsidP="00F67FFD">
      <w:pPr>
        <w:pStyle w:val="13"/>
      </w:pPr>
      <w:r>
        <w:t>1.业务来源</w:t>
      </w:r>
    </w:p>
    <w:p w14:paraId="7A10A5E3" w14:textId="77777777" w:rsidR="00F67FFD" w:rsidRDefault="00F67FFD" w:rsidP="00F67FFD">
      <w:pPr>
        <w:pStyle w:val="13"/>
      </w:pPr>
      <w:r>
        <w:rPr>
          <w:rFonts w:hint="eastAsia"/>
        </w:rPr>
        <w:t>在发展混合所有制经济和国有经济优化布局、调整结构过程中，触发评估类业务需求的经济行为包括国有企业股权投资、股权激励、僵尸企业处置、国有企业办教育医疗机构改革等，具体如下：</w:t>
      </w:r>
    </w:p>
    <w:p w14:paraId="6BB8FD62" w14:textId="77777777" w:rsidR="00F67FFD" w:rsidRDefault="00F67FFD" w:rsidP="00F67FFD">
      <w:pPr>
        <w:pStyle w:val="13"/>
      </w:pPr>
      <w:r>
        <w:rPr>
          <w:rFonts w:hint="eastAsia"/>
        </w:rPr>
        <w:t>（</w:t>
      </w:r>
      <w:r>
        <w:t>1）中央企业的股权投资</w:t>
      </w:r>
    </w:p>
    <w:p w14:paraId="32DD85A0" w14:textId="77777777" w:rsidR="00F67FFD" w:rsidRDefault="00F67FFD" w:rsidP="00F67FFD">
      <w:pPr>
        <w:pStyle w:val="13"/>
      </w:pPr>
      <w:r>
        <w:rPr>
          <w:rFonts w:hint="eastAsia"/>
        </w:rPr>
        <w:t>《中央企业投资监督管理办法》（国资委令第</w:t>
      </w:r>
      <w:r>
        <w:t>34号）和《中央企业境外投资监督管理办法》（国资委令第35号）规定，中央企业在投资事前管理中，“股权投资项目应开展必要的尽职调查，并按要求履行资产评估或估值程序”；在投资风险管理中，“中央企业股权类重大投资项目在投资决策前应当由独立第三方有资质咨询机构出具投资项目风险评估报告”。因此中央企业在开展股权投资前，应履行资产评估或者估值程序，在投后需要进行项目风险评估。</w:t>
      </w:r>
    </w:p>
    <w:p w14:paraId="775C09B0" w14:textId="77777777" w:rsidR="00F67FFD" w:rsidRDefault="00F67FFD" w:rsidP="00F67FFD">
      <w:pPr>
        <w:pStyle w:val="13"/>
      </w:pPr>
      <w:r>
        <w:rPr>
          <w:rFonts w:hint="eastAsia"/>
        </w:rPr>
        <w:t>此处股权投资主要是指针对中央企业在股权投资业务开展前进行的业务。</w:t>
      </w:r>
    </w:p>
    <w:p w14:paraId="20EC987B" w14:textId="77777777" w:rsidR="00F67FFD" w:rsidRDefault="00F67FFD" w:rsidP="00F67FFD">
      <w:pPr>
        <w:pStyle w:val="13"/>
      </w:pPr>
      <w:r>
        <w:rPr>
          <w:rFonts w:hint="eastAsia"/>
        </w:rPr>
        <w:t>（</w:t>
      </w:r>
      <w:r>
        <w:t>2）国有企业发展混合所有制经济</w:t>
      </w:r>
    </w:p>
    <w:p w14:paraId="2FA25DC2" w14:textId="77777777" w:rsidR="00F67FFD" w:rsidRDefault="00F67FFD" w:rsidP="00F67FFD">
      <w:pPr>
        <w:pStyle w:val="13"/>
      </w:pPr>
      <w:r>
        <w:rPr>
          <w:rFonts w:hint="eastAsia"/>
        </w:rPr>
        <w:t>《关于国有企业发展混合所有制经济的意见》（国发〔</w:t>
      </w:r>
      <w:r>
        <w:t>2015〕54号），指出“国有资本、集体资本、非公有资本等交叉持股、相互融合的混合所有制经济，是基本经济制度的重要实现形式”，“发展混合所有制经济，是深化国有企业改革的重要举措”。以此为契机，员工持股和股权奖励等产生评估类业务需求的经济行为不断出现，具体如下：</w:t>
      </w:r>
    </w:p>
    <w:p w14:paraId="02F3A25D" w14:textId="77777777" w:rsidR="00F67FFD" w:rsidRDefault="00F67FFD" w:rsidP="00F67FFD">
      <w:pPr>
        <w:pStyle w:val="13"/>
      </w:pPr>
      <w:r>
        <w:rPr>
          <w:rFonts w:hint="eastAsia"/>
        </w:rPr>
        <w:t>国有控股混合所有制企业开展员工持股。</w:t>
      </w:r>
      <w:r>
        <w:t>2016年12月，国务院国资委、财政部、证监会发布《关于国有控股混合所有制企业开展员工持股试点的意见》（国</w:t>
      </w:r>
      <w:proofErr w:type="gramStart"/>
      <w:r>
        <w:t>资发改革</w:t>
      </w:r>
      <w:proofErr w:type="gramEnd"/>
      <w:r>
        <w:t>〔2016〕133号），对处于充分竞争领域的商业类企业进行员工持股试点。同时规定“金融、文化等国有企业实施员工持股，中央另有规定的依其规定执行。国有科技型企业的股权和分红激励，按国务院有关规定执行”。文件规定员工出资和入股价格等应以评估为基础：</w:t>
      </w:r>
    </w:p>
    <w:p w14:paraId="57A876D1" w14:textId="77777777" w:rsidR="00F67FFD" w:rsidRDefault="00F67FFD" w:rsidP="00F67FFD">
      <w:pPr>
        <w:pStyle w:val="13"/>
      </w:pPr>
      <w:r>
        <w:rPr>
          <w:rFonts w:hint="eastAsia"/>
        </w:rPr>
        <w:t>国有科技型企业股权和分红激励。《国有科技型企业股权和分红激励暂行办法》（财资〔</w:t>
      </w:r>
      <w:r>
        <w:t>2016〕4号）第11条规定“企业实施股权出售，应按不低于资产评估结果</w:t>
      </w:r>
      <w:r>
        <w:lastRenderedPageBreak/>
        <w:t>的价格，以协议方式将企业股权有偿出售给激励对象。资产评估结果，应当根据国有资产评估的管理规定，报相关部门、机构或者企业核准或者备案”。第14条规定“企业用于股权奖励的激励额，应当依据经核准或者备案的资产评估结果折合股权，并确定向每个激励对象奖励的股权”。</w:t>
      </w:r>
    </w:p>
    <w:p w14:paraId="74E31022" w14:textId="77777777" w:rsidR="00F67FFD" w:rsidRDefault="00F67FFD" w:rsidP="00F67FFD">
      <w:pPr>
        <w:pStyle w:val="13"/>
      </w:pPr>
      <w:r>
        <w:rPr>
          <w:rFonts w:hint="eastAsia"/>
        </w:rPr>
        <w:t>中央企业及其属科技型企业股权和分红激励。《国有科技型企业股权和分红激励暂行办法》（财资〔</w:t>
      </w:r>
      <w:r>
        <w:t>2016〕4号）和《关于做好中央科技型企业股权和分红激励工作的通知》（国</w:t>
      </w:r>
      <w:proofErr w:type="gramStart"/>
      <w:r>
        <w:t>资发分配</w:t>
      </w:r>
      <w:proofErr w:type="gramEnd"/>
      <w:r>
        <w:t>〔2016〕274号）对中央企业及所属国有科技型企业股权和分红激励做出规定和要求，明确中央企业及所属国有科技型企业股权和分红中涉及股权出售和股权奖励时应以核准或者备案的资产评估结果为基础。</w:t>
      </w:r>
    </w:p>
    <w:p w14:paraId="45EEE1E3" w14:textId="77777777" w:rsidR="00F67FFD" w:rsidRDefault="00F67FFD" w:rsidP="00F67FFD">
      <w:pPr>
        <w:pStyle w:val="13"/>
      </w:pPr>
      <w:r>
        <w:rPr>
          <w:rFonts w:hint="eastAsia"/>
        </w:rPr>
        <w:t>（</w:t>
      </w:r>
      <w:r>
        <w:t>3）化解过剩产能</w:t>
      </w:r>
    </w:p>
    <w:p w14:paraId="785C8CEA" w14:textId="77777777" w:rsidR="00F67FFD" w:rsidRDefault="00F67FFD" w:rsidP="00F67FFD">
      <w:pPr>
        <w:pStyle w:val="13"/>
      </w:pPr>
      <w:r>
        <w:rPr>
          <w:rFonts w:hint="eastAsia"/>
        </w:rPr>
        <w:t>《关于化解产能严重过剩矛盾的指导意见》（国发〔</w:t>
      </w:r>
      <w:r>
        <w:t>2013〕41号）指出“化解产能严重过剩矛盾是当前和今后一个时期推进产业结构调整的工作重点。积极有效地化解钢铁、水泥、电解铝、平板玻璃、船舶等行业产能严重过剩矛盾”。在此过程中涉及的评估经济行为主要有：</w:t>
      </w:r>
    </w:p>
    <w:p w14:paraId="1196E9D7" w14:textId="77777777" w:rsidR="00F67FFD" w:rsidRDefault="00F67FFD" w:rsidP="00F67FFD">
      <w:pPr>
        <w:pStyle w:val="13"/>
      </w:pPr>
      <w:r>
        <w:rPr>
          <w:rFonts w:hint="eastAsia"/>
        </w:rPr>
        <w:t>僵尸企业处置。</w:t>
      </w:r>
      <w:r>
        <w:t>2016年国务院国资委摸底梳理出中央企业需要专项处置和治理的“僵尸企业”及特困企业2041户，涉及资产3</w:t>
      </w:r>
      <w:proofErr w:type="gramStart"/>
      <w:r>
        <w:t>万亿</w:t>
      </w:r>
      <w:proofErr w:type="gramEnd"/>
      <w:r>
        <w:t>元。另据2016年中国人民大学《中国僵尸企业研究报告》指出，电力、热力、冶金、石油加工等行业中“僵尸企业”的比例较高，其中钢铁行业的比例是51.43%、房地产行业为44.53%、建筑装饰行业为31.76%。</w:t>
      </w:r>
    </w:p>
    <w:p w14:paraId="6595A842" w14:textId="77777777" w:rsidR="00F67FFD" w:rsidRDefault="00F67FFD" w:rsidP="00F67FFD">
      <w:pPr>
        <w:pStyle w:val="13"/>
      </w:pPr>
      <w:r>
        <w:rPr>
          <w:rFonts w:hint="eastAsia"/>
        </w:rPr>
        <w:t>过剩产能资产处置。</w:t>
      </w:r>
      <w:r>
        <w:t>2016年化解钢铁煤炭过剩产能，涉及28个省份1905家企业。2018年国家发展和改革委员会、工业和信息化部、国家能源局、财政部、人力资源和社会保障部、国务院国资委《关于做好2018年重点领域化解过剩产能工作的通知》（</w:t>
      </w:r>
      <w:proofErr w:type="gramStart"/>
      <w:r>
        <w:t>发改运行</w:t>
      </w:r>
      <w:proofErr w:type="gramEnd"/>
      <w:r>
        <w:t>〔2018〕554号），指出“钢铁方面：2018年退出粗钢产能3000万吨左右，基本完成”十三五</w:t>
      </w:r>
      <w:proofErr w:type="gramStart"/>
      <w:r>
        <w:t>”</w:t>
      </w:r>
      <w:proofErr w:type="gramEnd"/>
      <w:r>
        <w:t>期间压减粗钢产能1.5亿吨的上限目标任务。煤炭方面：力争化解过剩产能1.5亿吨左右，确保8亿吨左右煤炭去产能目标实现。煤电方面：淘汰关停不达标的30万千瓦以下煤电机组</w:t>
      </w:r>
      <w:proofErr w:type="gramStart"/>
      <w:r>
        <w:t>”</w:t>
      </w:r>
      <w:proofErr w:type="gramEnd"/>
      <w:r>
        <w:t>。</w:t>
      </w:r>
    </w:p>
    <w:p w14:paraId="3964CCEF" w14:textId="77777777" w:rsidR="00F67FFD" w:rsidRDefault="00F67FFD" w:rsidP="00F67FFD">
      <w:pPr>
        <w:pStyle w:val="13"/>
      </w:pPr>
      <w:r>
        <w:rPr>
          <w:rFonts w:hint="eastAsia"/>
        </w:rPr>
        <w:t>（</w:t>
      </w:r>
      <w:r>
        <w:t>4）国有企业办教育医疗机构的改革</w:t>
      </w:r>
    </w:p>
    <w:p w14:paraId="6B16C84F" w14:textId="77777777" w:rsidR="00F67FFD" w:rsidRDefault="00F67FFD" w:rsidP="00F67FFD">
      <w:pPr>
        <w:pStyle w:val="13"/>
      </w:pPr>
      <w:r>
        <w:t>2017年国资委、中央编办、教育部、财政部、</w:t>
      </w:r>
      <w:proofErr w:type="gramStart"/>
      <w:r>
        <w:t>人社部</w:t>
      </w:r>
      <w:proofErr w:type="gramEnd"/>
      <w:r>
        <w:t>和国家卫计委六部委联合制定和发布《关于国有企业办教育医疗机构深化改革的指导意见》（国</w:t>
      </w:r>
      <w:proofErr w:type="gramStart"/>
      <w:r>
        <w:t>资发改革</w:t>
      </w:r>
      <w:proofErr w:type="gramEnd"/>
      <w:r>
        <w:t>〔2017〕34号），规定企业办医疗机构进行资源整合，实现专业化运营和集中管理中涉及的资产转让、产权转让等经济行为应当进行评估。</w:t>
      </w:r>
    </w:p>
    <w:p w14:paraId="640F7695" w14:textId="77777777" w:rsidR="00F67FFD" w:rsidRDefault="00F67FFD" w:rsidP="00F67FFD">
      <w:pPr>
        <w:pStyle w:val="13"/>
      </w:pPr>
      <w:r>
        <w:rPr>
          <w:rFonts w:hint="eastAsia"/>
        </w:rPr>
        <w:t>（</w:t>
      </w:r>
      <w:r>
        <w:t>5）国有企业职工家属区“三供</w:t>
      </w:r>
      <w:proofErr w:type="gramStart"/>
      <w:r>
        <w:t>一</w:t>
      </w:r>
      <w:proofErr w:type="gramEnd"/>
      <w:r>
        <w:t>业”分离移交</w:t>
      </w:r>
    </w:p>
    <w:p w14:paraId="404523F2" w14:textId="77777777" w:rsidR="00F67FFD" w:rsidRDefault="00F67FFD" w:rsidP="00F67FFD">
      <w:pPr>
        <w:pStyle w:val="13"/>
      </w:pPr>
      <w:r>
        <w:rPr>
          <w:rFonts w:hint="eastAsia"/>
        </w:rPr>
        <w:t>根据国务院国资委、财政部《关于国有企业职工家属区“三供一业”分离移交工作的指导意见》（国办发〔</w:t>
      </w:r>
      <w:r>
        <w:t>2016〕45号），全面推进国有企业（含中央企业和地方国</w:t>
      </w:r>
      <w:r>
        <w:lastRenderedPageBreak/>
        <w:t>有企业）职工家属区“三供</w:t>
      </w:r>
      <w:proofErr w:type="gramStart"/>
      <w:r>
        <w:t>一</w:t>
      </w:r>
      <w:proofErr w:type="gramEnd"/>
      <w:r>
        <w:t>业”分离移交工作，移交企业要做好移交资产清查、财务清理、审计评估、产权变更及登记等工作。</w:t>
      </w:r>
    </w:p>
    <w:p w14:paraId="3780D162" w14:textId="77777777" w:rsidR="00F67FFD" w:rsidRDefault="00F67FFD" w:rsidP="00F67FFD">
      <w:pPr>
        <w:pStyle w:val="13"/>
      </w:pPr>
      <w:r>
        <w:t>2.文件依据</w:t>
      </w:r>
    </w:p>
    <w:p w14:paraId="63ED679A" w14:textId="77777777" w:rsidR="00F67FFD" w:rsidRDefault="00F67FFD" w:rsidP="00F67FFD">
      <w:pPr>
        <w:pStyle w:val="13"/>
      </w:pPr>
      <w:r>
        <w:rPr>
          <w:rFonts w:hint="eastAsia"/>
        </w:rPr>
        <w:t>（</w:t>
      </w:r>
      <w:r>
        <w:t>1）《中央企业境外国有产权管理暂行办法》（国资委令第27号）；</w:t>
      </w:r>
    </w:p>
    <w:p w14:paraId="25AC7855" w14:textId="77777777" w:rsidR="00F67FFD" w:rsidRDefault="00F67FFD" w:rsidP="00F67FFD">
      <w:pPr>
        <w:pStyle w:val="13"/>
      </w:pPr>
      <w:r>
        <w:rPr>
          <w:rFonts w:hint="eastAsia"/>
        </w:rPr>
        <w:t>（</w:t>
      </w:r>
      <w:r>
        <w:t>2）《中央企业投资监督管理办法》（国资委令第34号）；</w:t>
      </w:r>
    </w:p>
    <w:p w14:paraId="6491123E" w14:textId="77777777" w:rsidR="00F67FFD" w:rsidRDefault="00F67FFD" w:rsidP="00F67FFD">
      <w:pPr>
        <w:pStyle w:val="13"/>
      </w:pPr>
      <w:r>
        <w:rPr>
          <w:rFonts w:hint="eastAsia"/>
        </w:rPr>
        <w:t>（</w:t>
      </w:r>
      <w:r>
        <w:t>3）《中央企业境外投资监督管理办法》（国资委令第35号）；</w:t>
      </w:r>
    </w:p>
    <w:p w14:paraId="2C75CBA9" w14:textId="77777777" w:rsidR="00F67FFD" w:rsidRDefault="00F67FFD" w:rsidP="00F67FFD">
      <w:pPr>
        <w:pStyle w:val="13"/>
      </w:pPr>
      <w:r>
        <w:rPr>
          <w:rFonts w:hint="eastAsia"/>
        </w:rPr>
        <w:t>（</w:t>
      </w:r>
      <w:r>
        <w:t>4）《关于国有企业发展混合所有制经济的意见》（国发〔2015〕54号）；</w:t>
      </w:r>
    </w:p>
    <w:p w14:paraId="3E12E4E4" w14:textId="77777777" w:rsidR="00F67FFD" w:rsidRDefault="00F67FFD" w:rsidP="00F67FFD">
      <w:pPr>
        <w:pStyle w:val="13"/>
      </w:pPr>
      <w:r>
        <w:rPr>
          <w:rFonts w:hint="eastAsia"/>
        </w:rPr>
        <w:t>（</w:t>
      </w:r>
      <w:r>
        <w:t>5）《关于国有控股混合所有制企业开展员工持股试点的意见》（国</w:t>
      </w:r>
      <w:proofErr w:type="gramStart"/>
      <w:r>
        <w:t>资发改革</w:t>
      </w:r>
      <w:proofErr w:type="gramEnd"/>
      <w:r>
        <w:t>〔2016〕133号）；</w:t>
      </w:r>
    </w:p>
    <w:p w14:paraId="75E3D824" w14:textId="77777777" w:rsidR="00F67FFD" w:rsidRDefault="00F67FFD" w:rsidP="00F67FFD">
      <w:pPr>
        <w:pStyle w:val="13"/>
      </w:pPr>
      <w:r>
        <w:rPr>
          <w:rFonts w:hint="eastAsia"/>
        </w:rPr>
        <w:t>（</w:t>
      </w:r>
      <w:r>
        <w:t>6）《国有科技型企业股权和分红激励暂行办法》（财资〔2016〕4号）；</w:t>
      </w:r>
    </w:p>
    <w:p w14:paraId="40E7CAB3" w14:textId="77777777" w:rsidR="00F67FFD" w:rsidRDefault="00F67FFD" w:rsidP="00F67FFD">
      <w:pPr>
        <w:pStyle w:val="13"/>
      </w:pPr>
      <w:r>
        <w:rPr>
          <w:rFonts w:hint="eastAsia"/>
        </w:rPr>
        <w:t>（</w:t>
      </w:r>
      <w:r>
        <w:t>7）《关于做好中央科技型企业股权和分红激励工作的通知》（国</w:t>
      </w:r>
      <w:proofErr w:type="gramStart"/>
      <w:r>
        <w:t>资发分配</w:t>
      </w:r>
      <w:proofErr w:type="gramEnd"/>
      <w:r>
        <w:t>〔2016〕274号）；</w:t>
      </w:r>
    </w:p>
    <w:p w14:paraId="175804FB" w14:textId="77777777" w:rsidR="00F67FFD" w:rsidRDefault="00F67FFD" w:rsidP="00F67FFD">
      <w:pPr>
        <w:pStyle w:val="13"/>
      </w:pPr>
      <w:r>
        <w:rPr>
          <w:rFonts w:hint="eastAsia"/>
        </w:rPr>
        <w:t>（</w:t>
      </w:r>
      <w:r>
        <w:t>8）《关于化解产能严重过剩矛盾的指导意见》（国发〔2013〕41号）；</w:t>
      </w:r>
    </w:p>
    <w:p w14:paraId="26C3BD65" w14:textId="77777777" w:rsidR="00F67FFD" w:rsidRDefault="00F67FFD" w:rsidP="00F67FFD">
      <w:pPr>
        <w:pStyle w:val="13"/>
      </w:pPr>
      <w:r>
        <w:rPr>
          <w:rFonts w:hint="eastAsia"/>
        </w:rPr>
        <w:t>（</w:t>
      </w:r>
      <w:r>
        <w:t>9）《关于做好2018年重点领域化解过剩产能工作的通知》（</w:t>
      </w:r>
      <w:proofErr w:type="gramStart"/>
      <w:r>
        <w:t>发改运行</w:t>
      </w:r>
      <w:proofErr w:type="gramEnd"/>
      <w:r>
        <w:t>〔2018〕554号）；</w:t>
      </w:r>
    </w:p>
    <w:p w14:paraId="3E45859D" w14:textId="77777777" w:rsidR="00F67FFD" w:rsidRDefault="00F67FFD" w:rsidP="00F67FFD">
      <w:pPr>
        <w:pStyle w:val="13"/>
      </w:pPr>
      <w:r>
        <w:rPr>
          <w:rFonts w:hint="eastAsia"/>
        </w:rPr>
        <w:t>（</w:t>
      </w:r>
      <w:r>
        <w:t>10）《关于国有企业办教育医疗机构深化改革的指导意见》（国</w:t>
      </w:r>
      <w:proofErr w:type="gramStart"/>
      <w:r>
        <w:t>资发改革</w:t>
      </w:r>
      <w:proofErr w:type="gramEnd"/>
      <w:r>
        <w:t>〔2017〕34号）；</w:t>
      </w:r>
    </w:p>
    <w:p w14:paraId="0C239B2D" w14:textId="77777777" w:rsidR="00F67FFD" w:rsidRDefault="00F67FFD" w:rsidP="00F67FFD">
      <w:pPr>
        <w:pStyle w:val="13"/>
      </w:pPr>
      <w:r>
        <w:rPr>
          <w:rFonts w:hint="eastAsia"/>
        </w:rPr>
        <w:t>（</w:t>
      </w:r>
      <w:r>
        <w:t>11）《关于国有企业职工家属区“三供一业”分离移交工作的指导意见》（国办发〔2016〕45号）等。</w:t>
      </w:r>
    </w:p>
    <w:p w14:paraId="4D04B73B" w14:textId="77777777" w:rsidR="00F67FFD" w:rsidRDefault="00F67FFD" w:rsidP="00F67FFD">
      <w:pPr>
        <w:pStyle w:val="13"/>
      </w:pPr>
      <w:r>
        <w:rPr>
          <w:rFonts w:hint="eastAsia"/>
        </w:rPr>
        <w:t>（三）国有金融企业评估类业务需求</w:t>
      </w:r>
    </w:p>
    <w:p w14:paraId="48F640E1" w14:textId="77777777" w:rsidR="00F67FFD" w:rsidRDefault="00F67FFD" w:rsidP="00F67FFD">
      <w:pPr>
        <w:pStyle w:val="13"/>
      </w:pPr>
      <w:r>
        <w:t>1.业务来源</w:t>
      </w:r>
    </w:p>
    <w:p w14:paraId="2A23C78A" w14:textId="77777777" w:rsidR="00F67FFD" w:rsidRDefault="00F67FFD" w:rsidP="00F67FFD">
      <w:pPr>
        <w:pStyle w:val="13"/>
      </w:pPr>
      <w:r>
        <w:rPr>
          <w:rFonts w:hint="eastAsia"/>
        </w:rPr>
        <w:t>国有金融企业触发评估类业务需求的经济行为主要包括国有金融企业直接股权投资和市场化银行债权转股权等。</w:t>
      </w:r>
    </w:p>
    <w:p w14:paraId="39AABDC5" w14:textId="77777777" w:rsidR="00F67FFD" w:rsidRDefault="00F67FFD" w:rsidP="00F67FFD">
      <w:pPr>
        <w:pStyle w:val="13"/>
      </w:pPr>
      <w:r>
        <w:rPr>
          <w:rFonts w:hint="eastAsia"/>
        </w:rPr>
        <w:t>（</w:t>
      </w:r>
      <w:r>
        <w:t>1）国有金融企业直接股权投资</w:t>
      </w:r>
    </w:p>
    <w:p w14:paraId="663EF0BA" w14:textId="77777777" w:rsidR="00F67FFD" w:rsidRDefault="00F67FFD" w:rsidP="00F67FFD">
      <w:pPr>
        <w:pStyle w:val="13"/>
      </w:pPr>
      <w:r>
        <w:rPr>
          <w:rFonts w:hint="eastAsia"/>
        </w:rPr>
        <w:t>《关于进一步明确国有金融企业直接股权投资有关资产管理问题的通知》（财金〔</w:t>
      </w:r>
      <w:r>
        <w:t xml:space="preserve">2014〕31号）中要求“国有金融企业开展直接股权投资，应当根据拟投资项目的具体情况，采用国际通用的估值方法，对拟投资企业的投资价值进行评估，得出审慎合理的估值结果”，同时规定“国有金融企业可以按照成本效益和效率原则，自主确定是否聘请专业机构对拟投资企业进行资产评估，资产评估结果由企业履行内部备案程序”。 </w:t>
      </w:r>
    </w:p>
    <w:p w14:paraId="17A5F853" w14:textId="77777777" w:rsidR="00F67FFD" w:rsidRDefault="00F67FFD" w:rsidP="00F67FFD">
      <w:pPr>
        <w:pStyle w:val="13"/>
      </w:pPr>
      <w:r>
        <w:rPr>
          <w:rFonts w:hint="eastAsia"/>
        </w:rPr>
        <w:t>（</w:t>
      </w:r>
      <w:r>
        <w:t>2）市场化银行债权转股权</w:t>
      </w:r>
    </w:p>
    <w:p w14:paraId="55343914" w14:textId="77777777" w:rsidR="00F67FFD" w:rsidRDefault="00F67FFD" w:rsidP="00F67FFD">
      <w:pPr>
        <w:pStyle w:val="13"/>
      </w:pPr>
      <w:r>
        <w:rPr>
          <w:rFonts w:hint="eastAsia"/>
        </w:rPr>
        <w:t>《关于市场化银行债权转股权实施中有关具体政策问题的通知》（</w:t>
      </w:r>
      <w:proofErr w:type="gramStart"/>
      <w:r>
        <w:rPr>
          <w:rFonts w:hint="eastAsia"/>
        </w:rPr>
        <w:t>发改财金</w:t>
      </w:r>
      <w:proofErr w:type="gramEnd"/>
      <w:r>
        <w:rPr>
          <w:rFonts w:hint="eastAsia"/>
        </w:rPr>
        <w:t>〔</w:t>
      </w:r>
      <w:r>
        <w:t>2018〕152号）中对银行和市场化债转股实施机构规定“可根据对象企业降低杠杆率的目标，设计股债结合、以股为主的综合性降杠杆方案，并允许有条件、分阶段实</w:t>
      </w:r>
      <w:r>
        <w:lastRenderedPageBreak/>
        <w:t>现转股。鼓励以收债转股模式开展市场化债转股”。 在“市场化银行债权转股权”工作中，市场化的</w:t>
      </w:r>
      <w:proofErr w:type="gramStart"/>
      <w:r>
        <w:t>最</w:t>
      </w:r>
      <w:proofErr w:type="gramEnd"/>
      <w:r>
        <w:t>核心要素就是价值，以买卖双方都能够认可的价值作为交换的基础，资产评估在此过程中属于必须的经济行为。</w:t>
      </w:r>
    </w:p>
    <w:p w14:paraId="4F7EA58E" w14:textId="77777777" w:rsidR="00F67FFD" w:rsidRDefault="00F67FFD" w:rsidP="00F67FFD">
      <w:pPr>
        <w:pStyle w:val="13"/>
      </w:pPr>
      <w:r>
        <w:t>2.文件依据</w:t>
      </w:r>
    </w:p>
    <w:p w14:paraId="48A22B00" w14:textId="77777777" w:rsidR="00F67FFD" w:rsidRDefault="00F67FFD" w:rsidP="00F67FFD">
      <w:pPr>
        <w:pStyle w:val="13"/>
      </w:pPr>
      <w:r>
        <w:rPr>
          <w:rFonts w:hint="eastAsia"/>
        </w:rPr>
        <w:t>（</w:t>
      </w:r>
      <w:r>
        <w:t>1）《关于进一步明确国有金融企业直接股权投资有关资产管理问题的通知》（财金〔2014〕31号）；</w:t>
      </w:r>
    </w:p>
    <w:p w14:paraId="105886DB" w14:textId="77777777" w:rsidR="00F67FFD" w:rsidRDefault="00F67FFD" w:rsidP="00F67FFD">
      <w:pPr>
        <w:pStyle w:val="13"/>
      </w:pPr>
      <w:r>
        <w:rPr>
          <w:rFonts w:hint="eastAsia"/>
        </w:rPr>
        <w:t>（</w:t>
      </w:r>
      <w:r>
        <w:t>2）《关于市场化银行债权转股权实施中有关具体政策问题的通知》（</w:t>
      </w:r>
      <w:proofErr w:type="gramStart"/>
      <w:r>
        <w:t>发改财金</w:t>
      </w:r>
      <w:proofErr w:type="gramEnd"/>
      <w:r>
        <w:t>〔2018〕152号）；</w:t>
      </w:r>
    </w:p>
    <w:p w14:paraId="2F3A2998" w14:textId="77777777" w:rsidR="00F67FFD" w:rsidRDefault="00F67FFD" w:rsidP="00F67FFD">
      <w:pPr>
        <w:pStyle w:val="13"/>
      </w:pPr>
      <w:r>
        <w:rPr>
          <w:rFonts w:hint="eastAsia"/>
        </w:rPr>
        <w:t>（</w:t>
      </w:r>
      <w:r>
        <w:t>3）《金融资产投资公司管理办法（试行）》（银保监会令〔2018〕4号）等。</w:t>
      </w:r>
    </w:p>
    <w:p w14:paraId="655A823C" w14:textId="77777777" w:rsidR="00F67FFD" w:rsidRDefault="00F67FFD" w:rsidP="00F67FFD">
      <w:pPr>
        <w:pStyle w:val="13"/>
      </w:pPr>
      <w:r>
        <w:rPr>
          <w:rFonts w:hint="eastAsia"/>
        </w:rPr>
        <w:t>（四）中央文化企业评估类业务需求</w:t>
      </w:r>
    </w:p>
    <w:p w14:paraId="5C4325B7" w14:textId="77777777" w:rsidR="00F67FFD" w:rsidRDefault="00F67FFD" w:rsidP="00F67FFD">
      <w:pPr>
        <w:pStyle w:val="13"/>
      </w:pPr>
      <w:r>
        <w:t>1.业务来源</w:t>
      </w:r>
    </w:p>
    <w:p w14:paraId="170AC93B" w14:textId="77777777" w:rsidR="00F67FFD" w:rsidRDefault="00F67FFD" w:rsidP="00F67FFD">
      <w:pPr>
        <w:pStyle w:val="13"/>
      </w:pPr>
      <w:r>
        <w:t>2012年，《中央文化企业国有资产评估管理暂行办法》（</w:t>
      </w:r>
      <w:proofErr w:type="gramStart"/>
      <w:r>
        <w:t>财文资〔2012〕</w:t>
      </w:r>
      <w:proofErr w:type="gramEnd"/>
      <w:r>
        <w:t>15号）对中央文化企业应当进行资产评估的十二个事项进行了明确规定。中央文化企业触发评估类业务需求的经济行为主要包括：</w:t>
      </w:r>
    </w:p>
    <w:p w14:paraId="13D6978E" w14:textId="77777777" w:rsidR="00F67FFD" w:rsidRDefault="00F67FFD" w:rsidP="00F67FFD">
      <w:pPr>
        <w:pStyle w:val="13"/>
      </w:pPr>
      <w:r>
        <w:rPr>
          <w:rFonts w:hint="eastAsia"/>
        </w:rPr>
        <w:t>（</w:t>
      </w:r>
      <w:r>
        <w:t>1）经营性文化事业单位转制为企业</w:t>
      </w:r>
    </w:p>
    <w:p w14:paraId="2A80E220" w14:textId="77777777" w:rsidR="00F67FFD" w:rsidRDefault="00F67FFD" w:rsidP="00F67FFD">
      <w:pPr>
        <w:pStyle w:val="13"/>
      </w:pPr>
      <w:r>
        <w:t>2014年国务院办公厅发布《关于印发文化体制改革中经营性文化事业单位转制为企业和进一步支持文化企业发展两个规定的通知》（国办发〔2014〕15号），要求“经营性文化事业单位转制为企业，要认真做好资产清查、资产评估、产权登记等基础工作”。</w:t>
      </w:r>
    </w:p>
    <w:p w14:paraId="2D6FC0AA" w14:textId="77777777" w:rsidR="00F67FFD" w:rsidRDefault="00F67FFD" w:rsidP="00F67FFD">
      <w:pPr>
        <w:pStyle w:val="13"/>
      </w:pPr>
      <w:r>
        <w:rPr>
          <w:rFonts w:hint="eastAsia"/>
        </w:rPr>
        <w:t>（</w:t>
      </w:r>
      <w:r>
        <w:t>2）中央文化企业改制</w:t>
      </w:r>
    </w:p>
    <w:p w14:paraId="333F07D6" w14:textId="77777777" w:rsidR="00F67FFD" w:rsidRDefault="00F67FFD" w:rsidP="00F67FFD">
      <w:pPr>
        <w:pStyle w:val="13"/>
      </w:pPr>
      <w:r>
        <w:t>2017年中共中央宣传部和财政部发布《中央文化企业国有资产监督管理暂行办法》（中宣发〔2017〕3号），明确规定“财政部负责研究制定中央文化企业国有资产基础管理相关制度，对中央文化企业国有资产产权界定、产权登记、资产评估、清产核资、资产统计、财务等进行监督管理”。</w:t>
      </w:r>
    </w:p>
    <w:p w14:paraId="141C5A90" w14:textId="77777777" w:rsidR="00F67FFD" w:rsidRDefault="00F67FFD" w:rsidP="00F67FFD">
      <w:pPr>
        <w:pStyle w:val="13"/>
      </w:pPr>
      <w:r>
        <w:t>2018年财政部和中共中央宣传部发布《关于中央文化企业公司制改制工作实施方案的通知》（财文〔2018〕6号），要求中央文化企业“改制为股权多元化企业,要符合文化市场准入有关规定,不得违规引入社会资本,按要求履行清产核资、财务审计、资产评估、进场交易等各项程序,并以资产评估值作为认缴出资的依据”。</w:t>
      </w:r>
    </w:p>
    <w:p w14:paraId="1ECAF42C" w14:textId="77777777" w:rsidR="00F67FFD" w:rsidRDefault="00F67FFD" w:rsidP="00F67FFD">
      <w:pPr>
        <w:pStyle w:val="13"/>
      </w:pPr>
      <w:r>
        <w:rPr>
          <w:rFonts w:hint="eastAsia"/>
        </w:rPr>
        <w:t>（</w:t>
      </w:r>
      <w:r>
        <w:t>3）中央文化企业国有资产交易</w:t>
      </w:r>
    </w:p>
    <w:p w14:paraId="6B05F5C0" w14:textId="77777777" w:rsidR="00F67FFD" w:rsidRDefault="00F67FFD" w:rsidP="00F67FFD">
      <w:pPr>
        <w:pStyle w:val="13"/>
      </w:pPr>
      <w:r>
        <w:t>2017年财政部发布《关于进一步规范中央文化企业国有资产交易管理的通知》（财文〔2017〕140号），要求中央文化企业国有资产交易应充分发挥市场配置资源作用，遵循等价有偿和公开公平公正的原则。中央文化企业国有资产交易行为包括产权转让、增资、资产转让行为，根据《中央文化企业国有资产评估管理暂行办法》（</w:t>
      </w:r>
      <w:proofErr w:type="gramStart"/>
      <w:r>
        <w:t>财文资〔2012〕</w:t>
      </w:r>
      <w:proofErr w:type="gramEnd"/>
      <w:r>
        <w:t>15号），这三类国有资产交易行为在涉及国有产权变动中均应进行资产</w:t>
      </w:r>
      <w:r>
        <w:lastRenderedPageBreak/>
        <w:t>评估。</w:t>
      </w:r>
    </w:p>
    <w:p w14:paraId="5EB1C8AD" w14:textId="77777777" w:rsidR="00F67FFD" w:rsidRDefault="00F67FFD" w:rsidP="00F67FFD">
      <w:pPr>
        <w:pStyle w:val="13"/>
      </w:pPr>
      <w:r>
        <w:t>2.文件依据</w:t>
      </w:r>
    </w:p>
    <w:p w14:paraId="656C6D7C" w14:textId="77777777" w:rsidR="00F67FFD" w:rsidRDefault="00F67FFD" w:rsidP="00F67FFD">
      <w:pPr>
        <w:pStyle w:val="13"/>
      </w:pPr>
      <w:r>
        <w:rPr>
          <w:rFonts w:hint="eastAsia"/>
        </w:rPr>
        <w:t>（</w:t>
      </w:r>
      <w:r>
        <w:t>1）《中央文化企业国有资产评估管理暂行办法》（</w:t>
      </w:r>
      <w:proofErr w:type="gramStart"/>
      <w:r>
        <w:t>财文资〔2012〕</w:t>
      </w:r>
      <w:proofErr w:type="gramEnd"/>
      <w:r>
        <w:t>15号）;</w:t>
      </w:r>
    </w:p>
    <w:p w14:paraId="0BB129AF" w14:textId="77777777" w:rsidR="00F67FFD" w:rsidRDefault="00F67FFD" w:rsidP="00F67FFD">
      <w:pPr>
        <w:pStyle w:val="13"/>
      </w:pPr>
      <w:r>
        <w:rPr>
          <w:rFonts w:hint="eastAsia"/>
        </w:rPr>
        <w:t>（</w:t>
      </w:r>
      <w:r>
        <w:t>2）《关于印发文化体制改革中经营性文化事业单位转制为企业和进一步支持文化企业发展两个规定的通知》（国办发〔2014〕15号）；</w:t>
      </w:r>
    </w:p>
    <w:p w14:paraId="2698C6D0" w14:textId="77777777" w:rsidR="00F67FFD" w:rsidRDefault="00F67FFD" w:rsidP="00F67FFD">
      <w:pPr>
        <w:pStyle w:val="13"/>
      </w:pPr>
      <w:r>
        <w:rPr>
          <w:rFonts w:hint="eastAsia"/>
        </w:rPr>
        <w:t>（</w:t>
      </w:r>
      <w:r>
        <w:t>3）《中央文化企业国有资产监督管理暂行办法》（中宣发〔2017〕3号）；</w:t>
      </w:r>
    </w:p>
    <w:p w14:paraId="4E0FE1CB" w14:textId="77777777" w:rsidR="00F67FFD" w:rsidRDefault="00F67FFD" w:rsidP="00F67FFD">
      <w:pPr>
        <w:pStyle w:val="13"/>
      </w:pPr>
      <w:r>
        <w:rPr>
          <w:rFonts w:hint="eastAsia"/>
        </w:rPr>
        <w:t>（</w:t>
      </w:r>
      <w:r>
        <w:t>4）《关于中央文化企业公司制改制工作实施方案的通知》（财文〔2018〕6号）；</w:t>
      </w:r>
    </w:p>
    <w:p w14:paraId="5256067B" w14:textId="77777777" w:rsidR="00F67FFD" w:rsidRDefault="00F67FFD" w:rsidP="00F67FFD">
      <w:pPr>
        <w:pStyle w:val="13"/>
      </w:pPr>
      <w:r>
        <w:rPr>
          <w:rFonts w:hint="eastAsia"/>
        </w:rPr>
        <w:t>（</w:t>
      </w:r>
      <w:r>
        <w:t>5）《关于进一步规范中央文化企业国有资产交易管理的通知》（财文〔2017〕140号）等。</w:t>
      </w:r>
    </w:p>
    <w:p w14:paraId="49437F70" w14:textId="77777777" w:rsidR="00F67FFD" w:rsidRDefault="00F67FFD" w:rsidP="00F67FFD">
      <w:pPr>
        <w:pStyle w:val="13"/>
      </w:pPr>
      <w:r>
        <w:rPr>
          <w:rFonts w:hint="eastAsia"/>
        </w:rPr>
        <w:t>（五）上市公司及非上市公众公司评估类业务需求</w:t>
      </w:r>
    </w:p>
    <w:p w14:paraId="3D7CD4F6" w14:textId="77777777" w:rsidR="00F67FFD" w:rsidRDefault="00F67FFD" w:rsidP="00F67FFD">
      <w:pPr>
        <w:pStyle w:val="13"/>
      </w:pPr>
      <w:r>
        <w:t>1.业务来源</w:t>
      </w:r>
    </w:p>
    <w:p w14:paraId="7902C312" w14:textId="77777777" w:rsidR="00F67FFD" w:rsidRDefault="00F67FFD" w:rsidP="00F67FFD">
      <w:pPr>
        <w:pStyle w:val="13"/>
      </w:pPr>
      <w:r>
        <w:rPr>
          <w:rFonts w:hint="eastAsia"/>
        </w:rPr>
        <w:t>上市公司触发评估类业务需求的经济行为主要包括资产重组、业务重组、发行股份购买资产、定向增发、退市评估、外国投资者对</w:t>
      </w:r>
      <w:r>
        <w:t>A股上市公司的战略投资等；非上市公众公司触发资产评估的经济行为主要包括重大资产重组和收购资产。</w:t>
      </w:r>
    </w:p>
    <w:p w14:paraId="7A028458" w14:textId="77777777" w:rsidR="00F67FFD" w:rsidRDefault="00F67FFD" w:rsidP="00F67FFD">
      <w:pPr>
        <w:pStyle w:val="13"/>
      </w:pPr>
      <w:r>
        <w:t>2.文件依据</w:t>
      </w:r>
    </w:p>
    <w:p w14:paraId="4D9C1915" w14:textId="77777777" w:rsidR="00F67FFD" w:rsidRDefault="00F67FFD" w:rsidP="00F67FFD">
      <w:pPr>
        <w:pStyle w:val="13"/>
      </w:pPr>
      <w:r>
        <w:rPr>
          <w:rFonts w:hint="eastAsia"/>
        </w:rPr>
        <w:t>（</w:t>
      </w:r>
      <w:r>
        <w:t>1）《上市公司重大资产重组管理办法（2016年修订）》（证监会令第127号）；</w:t>
      </w:r>
    </w:p>
    <w:p w14:paraId="787B10DE" w14:textId="77777777" w:rsidR="00F67FFD" w:rsidRDefault="00F67FFD" w:rsidP="00F67FFD">
      <w:pPr>
        <w:pStyle w:val="13"/>
      </w:pPr>
      <w:r>
        <w:rPr>
          <w:rFonts w:hint="eastAsia"/>
        </w:rPr>
        <w:t>（</w:t>
      </w:r>
      <w:r>
        <w:t>2）《公开发行证券的公司信息披露内容与格式准则第26号——上市公司重大资产重组（2018年修订）》（证监会公告〔2018〕36号）；</w:t>
      </w:r>
    </w:p>
    <w:p w14:paraId="2443177A" w14:textId="77777777" w:rsidR="00F67FFD" w:rsidRDefault="00F67FFD" w:rsidP="00F67FFD">
      <w:pPr>
        <w:pStyle w:val="13"/>
      </w:pPr>
      <w:r>
        <w:rPr>
          <w:rFonts w:hint="eastAsia"/>
        </w:rPr>
        <w:t>（</w:t>
      </w:r>
      <w:r>
        <w:t>3）《上市公司收购管理办法》（证监会令第108号）；</w:t>
      </w:r>
    </w:p>
    <w:p w14:paraId="3CE85C7E" w14:textId="77777777" w:rsidR="00F67FFD" w:rsidRDefault="00F67FFD" w:rsidP="00F67FFD">
      <w:pPr>
        <w:pStyle w:val="13"/>
      </w:pPr>
      <w:r>
        <w:rPr>
          <w:rFonts w:hint="eastAsia"/>
        </w:rPr>
        <w:t>（</w:t>
      </w:r>
      <w:r>
        <w:t>4）《非上市公众公司重大资产重组管理办法》（证监会令第103号）；</w:t>
      </w:r>
    </w:p>
    <w:p w14:paraId="393117F4" w14:textId="77777777" w:rsidR="00F67FFD" w:rsidRDefault="00F67FFD" w:rsidP="00F67FFD">
      <w:pPr>
        <w:pStyle w:val="13"/>
      </w:pPr>
      <w:r>
        <w:rPr>
          <w:rFonts w:hint="eastAsia"/>
        </w:rPr>
        <w:t>（</w:t>
      </w:r>
      <w:r>
        <w:t>5）《非上市公众公司收购管理办法》（证监会令第102号）；</w:t>
      </w:r>
    </w:p>
    <w:p w14:paraId="2B70BEBD" w14:textId="77777777" w:rsidR="00F67FFD" w:rsidRDefault="00F67FFD" w:rsidP="00F67FFD">
      <w:pPr>
        <w:pStyle w:val="13"/>
      </w:pPr>
      <w:r>
        <w:rPr>
          <w:rFonts w:hint="eastAsia"/>
        </w:rPr>
        <w:t>（</w:t>
      </w:r>
      <w:r>
        <w:t>6）《外国投资者对上市公司战略投资管理办法》（商务部、中国证券监督管理委员会、国家税务总局、国家工商行政管理总局、国家外汇管理局令第28号 根据商务部令2015年第2号《商务部关于修改部分规章和规范性文件的决定》修正）等。</w:t>
      </w:r>
    </w:p>
    <w:p w14:paraId="1F521CFF" w14:textId="77777777" w:rsidR="00F67FFD" w:rsidRDefault="00F67FFD" w:rsidP="00F67FFD">
      <w:pPr>
        <w:pStyle w:val="13"/>
      </w:pPr>
      <w:r>
        <w:rPr>
          <w:rFonts w:hint="eastAsia"/>
        </w:rPr>
        <w:t>（六）行政事业单位评估类业务需求</w:t>
      </w:r>
    </w:p>
    <w:p w14:paraId="2C2F2F4A" w14:textId="77777777" w:rsidR="00F67FFD" w:rsidRDefault="00F67FFD" w:rsidP="00F67FFD">
      <w:pPr>
        <w:pStyle w:val="13"/>
      </w:pPr>
      <w:r>
        <w:t>1.业务来源</w:t>
      </w:r>
    </w:p>
    <w:p w14:paraId="2935FCC1" w14:textId="77777777" w:rsidR="00F67FFD" w:rsidRDefault="00F67FFD" w:rsidP="00F67FFD">
      <w:pPr>
        <w:pStyle w:val="13"/>
      </w:pPr>
      <w:r>
        <w:t>2017年财政部发布《关于从事生产经营活动事业单位改革中国有资产管理的若干规定》（财资〔2017〕13号），对从事生产经营活动事业单位改革中国有资产管理进行了规范，行政事业单位触发评估类业务需求的经济行为主要包括：</w:t>
      </w:r>
    </w:p>
    <w:p w14:paraId="172E4DE9" w14:textId="77777777" w:rsidR="00F67FFD" w:rsidRDefault="00F67FFD" w:rsidP="00F67FFD">
      <w:pPr>
        <w:pStyle w:val="13"/>
      </w:pPr>
      <w:r>
        <w:rPr>
          <w:rFonts w:hint="eastAsia"/>
        </w:rPr>
        <w:t>（</w:t>
      </w:r>
      <w:r>
        <w:t>1）资产清查；</w:t>
      </w:r>
    </w:p>
    <w:p w14:paraId="666F964B" w14:textId="77777777" w:rsidR="00F67FFD" w:rsidRDefault="00F67FFD" w:rsidP="00F67FFD">
      <w:pPr>
        <w:pStyle w:val="13"/>
      </w:pPr>
      <w:r>
        <w:rPr>
          <w:rFonts w:hint="eastAsia"/>
        </w:rPr>
        <w:t>（</w:t>
      </w:r>
      <w:r>
        <w:t>2）经营类事业单位整体或部分改制为有限责任公司或者股份有限公司及进行产权转让、国有资产流转等；</w:t>
      </w:r>
    </w:p>
    <w:p w14:paraId="61E5B35B" w14:textId="77777777" w:rsidR="00F67FFD" w:rsidRDefault="00F67FFD" w:rsidP="00F67FFD">
      <w:pPr>
        <w:pStyle w:val="13"/>
      </w:pPr>
      <w:r>
        <w:rPr>
          <w:rFonts w:hint="eastAsia"/>
        </w:rPr>
        <w:t>（</w:t>
      </w:r>
      <w:r>
        <w:t>3）经营类事业单位国有资产出售等经济行为中，应进行资产评估，其中涉及改制行为的，资产评估结果在转制单位内部公示，经主管部门审核后，报财政部门核</w:t>
      </w:r>
      <w:r>
        <w:lastRenderedPageBreak/>
        <w:t>准或备案。</w:t>
      </w:r>
    </w:p>
    <w:p w14:paraId="441E8A6B" w14:textId="77777777" w:rsidR="00F67FFD" w:rsidRDefault="00F67FFD" w:rsidP="00F67FFD">
      <w:pPr>
        <w:pStyle w:val="13"/>
      </w:pPr>
      <w:r>
        <w:t>2.文件依据</w:t>
      </w:r>
    </w:p>
    <w:p w14:paraId="62B0F4F9" w14:textId="77777777" w:rsidR="00F67FFD" w:rsidRDefault="00F67FFD" w:rsidP="00F67FFD">
      <w:pPr>
        <w:pStyle w:val="13"/>
      </w:pPr>
      <w:r>
        <w:rPr>
          <w:rFonts w:hint="eastAsia"/>
        </w:rPr>
        <w:t>《关于从事生产经营活动事业单位改革中国有资产管理的若干规定》（财资〔</w:t>
      </w:r>
      <w:r>
        <w:t>2017〕13号）等。</w:t>
      </w:r>
    </w:p>
    <w:p w14:paraId="39B2E6F3" w14:textId="77777777" w:rsidR="00F67FFD" w:rsidRDefault="00F67FFD" w:rsidP="00F67FFD">
      <w:pPr>
        <w:pStyle w:val="13"/>
      </w:pPr>
      <w:r>
        <w:rPr>
          <w:rFonts w:hint="eastAsia"/>
        </w:rPr>
        <w:t>（七）企业评估类业务需求</w:t>
      </w:r>
    </w:p>
    <w:p w14:paraId="1F52C0BC" w14:textId="77777777" w:rsidR="00F67FFD" w:rsidRDefault="00F67FFD" w:rsidP="00F67FFD">
      <w:pPr>
        <w:pStyle w:val="13"/>
      </w:pPr>
      <w:r>
        <w:t>1.业务来源</w:t>
      </w:r>
    </w:p>
    <w:p w14:paraId="44B8B893" w14:textId="77777777" w:rsidR="00F67FFD" w:rsidRDefault="00F67FFD" w:rsidP="00F67FFD">
      <w:pPr>
        <w:pStyle w:val="13"/>
      </w:pPr>
      <w:proofErr w:type="gramStart"/>
      <w:r>
        <w:rPr>
          <w:rFonts w:hint="eastAsia"/>
        </w:rPr>
        <w:t>此处企业</w:t>
      </w:r>
      <w:proofErr w:type="gramEnd"/>
      <w:r>
        <w:rPr>
          <w:rFonts w:hint="eastAsia"/>
        </w:rPr>
        <w:t>触发评估类业务需求的经济行为主要与会计核算相关，包括商誉减值测试、其他资产或资产组减值测试、非货币性资产公允价值评估、金融工具公允价值评估、基金估值、合并对价分摊评估等。其他还包括金融企业抵押物管理及评估和外国投资者对境内企业并购资产评估，这主要与企业的管理、并购等需求相关。</w:t>
      </w:r>
    </w:p>
    <w:p w14:paraId="7D8DB5CB" w14:textId="77777777" w:rsidR="00F67FFD" w:rsidRDefault="00F67FFD" w:rsidP="00F67FFD">
      <w:pPr>
        <w:pStyle w:val="13"/>
      </w:pPr>
      <w:r>
        <w:t>2.文件依据</w:t>
      </w:r>
    </w:p>
    <w:p w14:paraId="40841725" w14:textId="77777777" w:rsidR="00F67FFD" w:rsidRDefault="00F67FFD" w:rsidP="00F67FFD">
      <w:pPr>
        <w:pStyle w:val="13"/>
      </w:pPr>
      <w:r>
        <w:rPr>
          <w:rFonts w:hint="eastAsia"/>
        </w:rPr>
        <w:t>（</w:t>
      </w:r>
      <w:r>
        <w:t>1）《企业会计准则第8号——资产减值》（财会〔2006〕3号）；</w:t>
      </w:r>
    </w:p>
    <w:p w14:paraId="2678BD96" w14:textId="77777777" w:rsidR="00F67FFD" w:rsidRDefault="00F67FFD" w:rsidP="00F67FFD">
      <w:pPr>
        <w:pStyle w:val="13"/>
      </w:pPr>
      <w:r>
        <w:rPr>
          <w:rFonts w:hint="eastAsia"/>
        </w:rPr>
        <w:t>（</w:t>
      </w:r>
      <w:r>
        <w:t>2）《会计监管风险提示第8号——商誉减值》（证监办发〔2018〕92号）；</w:t>
      </w:r>
    </w:p>
    <w:p w14:paraId="010DE07D" w14:textId="77777777" w:rsidR="00F67FFD" w:rsidRDefault="00F67FFD" w:rsidP="00F67FFD">
      <w:pPr>
        <w:pStyle w:val="13"/>
      </w:pPr>
      <w:r>
        <w:rPr>
          <w:rFonts w:hint="eastAsia"/>
        </w:rPr>
        <w:t>（</w:t>
      </w:r>
      <w:r>
        <w:t>3）《企业会计准则第7号——非货币性资产交换》（财会〔2006〕3号）；</w:t>
      </w:r>
    </w:p>
    <w:p w14:paraId="0C69C958" w14:textId="77777777" w:rsidR="00F67FFD" w:rsidRDefault="00F67FFD" w:rsidP="00F67FFD">
      <w:pPr>
        <w:pStyle w:val="13"/>
      </w:pPr>
      <w:r>
        <w:rPr>
          <w:rFonts w:hint="eastAsia"/>
        </w:rPr>
        <w:t>（</w:t>
      </w:r>
      <w:r>
        <w:t>4）《企业会计准则第22号——金融工具确认和计量》（财会〔2017〕7号）；</w:t>
      </w:r>
    </w:p>
    <w:p w14:paraId="515DF5B5" w14:textId="77777777" w:rsidR="00F67FFD" w:rsidRDefault="00F67FFD" w:rsidP="00F67FFD">
      <w:pPr>
        <w:pStyle w:val="13"/>
      </w:pPr>
      <w:r>
        <w:rPr>
          <w:rFonts w:hint="eastAsia"/>
        </w:rPr>
        <w:t>（</w:t>
      </w:r>
      <w:r>
        <w:t>5）《证券投资基金参与转融通证券出借业务会计核算和估值业务指引（试行）》（</w:t>
      </w:r>
      <w:proofErr w:type="gramStart"/>
      <w:r>
        <w:t>中基协发</w:t>
      </w:r>
      <w:proofErr w:type="gramEnd"/>
      <w:r>
        <w:t>〔2019〕5号 ）；</w:t>
      </w:r>
    </w:p>
    <w:p w14:paraId="1CA803B3" w14:textId="77777777" w:rsidR="00F67FFD" w:rsidRDefault="00F67FFD" w:rsidP="00F67FFD">
      <w:pPr>
        <w:pStyle w:val="13"/>
      </w:pPr>
      <w:r>
        <w:rPr>
          <w:rFonts w:hint="eastAsia"/>
        </w:rPr>
        <w:t>（</w:t>
      </w:r>
      <w:r>
        <w:t>6）《证券投资基金参与同业存单会计核算和估值业务指引（试行）》（</w:t>
      </w:r>
      <w:proofErr w:type="gramStart"/>
      <w:r>
        <w:t>中基协发</w:t>
      </w:r>
      <w:proofErr w:type="gramEnd"/>
      <w:r>
        <w:t>〔2015〕12号）；</w:t>
      </w:r>
    </w:p>
    <w:p w14:paraId="74A2AB36" w14:textId="77777777" w:rsidR="00F67FFD" w:rsidRDefault="00F67FFD" w:rsidP="00F67FFD">
      <w:pPr>
        <w:pStyle w:val="13"/>
      </w:pPr>
      <w:r>
        <w:rPr>
          <w:rFonts w:hint="eastAsia"/>
        </w:rPr>
        <w:t>（</w:t>
      </w:r>
      <w:r>
        <w:t>7）《证券投资基金港股通投资资金清算和会计核算估值业务指引（试行）》 （</w:t>
      </w:r>
      <w:proofErr w:type="gramStart"/>
      <w:r>
        <w:t>中基协发</w:t>
      </w:r>
      <w:proofErr w:type="gramEnd"/>
      <w:r>
        <w:t>（2015）17号）；</w:t>
      </w:r>
    </w:p>
    <w:p w14:paraId="1F8F37DF" w14:textId="77777777" w:rsidR="00F67FFD" w:rsidRDefault="00F67FFD" w:rsidP="00F67FFD">
      <w:pPr>
        <w:pStyle w:val="13"/>
      </w:pPr>
      <w:r>
        <w:rPr>
          <w:rFonts w:hint="eastAsia"/>
        </w:rPr>
        <w:t>（</w:t>
      </w:r>
      <w:r>
        <w:t>8）《基金中基金估值业务指引（试行）》；</w:t>
      </w:r>
    </w:p>
    <w:p w14:paraId="545F2639" w14:textId="77777777" w:rsidR="00F67FFD" w:rsidRDefault="00F67FFD" w:rsidP="00F67FFD">
      <w:pPr>
        <w:pStyle w:val="13"/>
      </w:pPr>
      <w:r>
        <w:rPr>
          <w:rFonts w:hint="eastAsia"/>
        </w:rPr>
        <w:t>（</w:t>
      </w:r>
      <w:r>
        <w:t>9）《证券投资基金投资流通受限股票估值指引（试行）》（</w:t>
      </w:r>
      <w:proofErr w:type="gramStart"/>
      <w:r>
        <w:t>中基协发</w:t>
      </w:r>
      <w:proofErr w:type="gramEnd"/>
      <w:r>
        <w:t>〔2017〕6号）；</w:t>
      </w:r>
    </w:p>
    <w:p w14:paraId="614A4C18" w14:textId="77777777" w:rsidR="00F67FFD" w:rsidRDefault="00F67FFD" w:rsidP="00F67FFD">
      <w:pPr>
        <w:pStyle w:val="13"/>
      </w:pPr>
      <w:r>
        <w:rPr>
          <w:rFonts w:hint="eastAsia"/>
        </w:rPr>
        <w:t>（</w:t>
      </w:r>
      <w:r>
        <w:t>10）《私募投资基金非上市股权投资估值指引（试行）》（</w:t>
      </w:r>
      <w:proofErr w:type="gramStart"/>
      <w:r>
        <w:t>中基协发</w:t>
      </w:r>
      <w:proofErr w:type="gramEnd"/>
      <w:r>
        <w:t>〔2018〕1号）；</w:t>
      </w:r>
    </w:p>
    <w:p w14:paraId="7A562A6E" w14:textId="77777777" w:rsidR="00F67FFD" w:rsidRDefault="00F67FFD" w:rsidP="00F67FFD">
      <w:pPr>
        <w:pStyle w:val="13"/>
      </w:pPr>
      <w:r>
        <w:rPr>
          <w:rFonts w:hint="eastAsia"/>
        </w:rPr>
        <w:t>（</w:t>
      </w:r>
      <w:r>
        <w:t>11）《企业会计准则第20号——企业合并》（（财会〔2006〕3号））；</w:t>
      </w:r>
    </w:p>
    <w:p w14:paraId="56A6A583" w14:textId="77777777" w:rsidR="00F67FFD" w:rsidRDefault="00F67FFD" w:rsidP="00F67FFD">
      <w:pPr>
        <w:pStyle w:val="13"/>
      </w:pPr>
      <w:r>
        <w:rPr>
          <w:rFonts w:hint="eastAsia"/>
        </w:rPr>
        <w:t>（</w:t>
      </w:r>
      <w:r>
        <w:t>12）《外国投资者并购境内企业暂行规定》（商务部 国务院国有资产监督管理委员会 国家税务总局 国家工商行政管理总局 中国证券监督管理委员会 国家外汇管理局令2006年第10号 根据商务部令2009年第6号修订）；</w:t>
      </w:r>
    </w:p>
    <w:p w14:paraId="52286DA0" w14:textId="77777777" w:rsidR="00F67FFD" w:rsidRDefault="00F67FFD" w:rsidP="00F67FFD">
      <w:pPr>
        <w:pStyle w:val="13"/>
      </w:pPr>
      <w:r>
        <w:rPr>
          <w:rFonts w:hint="eastAsia"/>
        </w:rPr>
        <w:t>（</w:t>
      </w:r>
      <w:r>
        <w:t>13）《关于外国投资者并购境内企业股权有关税收问题的通知》（国税发〔2003〕60号）等。</w:t>
      </w:r>
    </w:p>
    <w:p w14:paraId="74028790" w14:textId="77777777" w:rsidR="00F67FFD" w:rsidRDefault="00F67FFD" w:rsidP="00F67FFD">
      <w:pPr>
        <w:pStyle w:val="13"/>
      </w:pPr>
      <w:r>
        <w:rPr>
          <w:rFonts w:hint="eastAsia"/>
        </w:rPr>
        <w:t>（八）其他机构评估类业务需求</w:t>
      </w:r>
    </w:p>
    <w:p w14:paraId="2017837E" w14:textId="77777777" w:rsidR="00F67FFD" w:rsidRDefault="00F67FFD" w:rsidP="00F67FFD">
      <w:pPr>
        <w:pStyle w:val="13"/>
      </w:pPr>
      <w:r>
        <w:rPr>
          <w:rFonts w:hint="eastAsia"/>
        </w:rPr>
        <w:t>其他机构触发评估类业务需求的经济行为主要包括生态环境评估业务、基于财政部门的</w:t>
      </w:r>
      <w:r>
        <w:t>PPP项目中的资产评估、基于司法部门的司法</w:t>
      </w:r>
      <w:proofErr w:type="gramStart"/>
      <w:r>
        <w:t>鉴证</w:t>
      </w:r>
      <w:proofErr w:type="gramEnd"/>
      <w:r>
        <w:t>评估以及国家中小企业</w:t>
      </w:r>
      <w:r>
        <w:lastRenderedPageBreak/>
        <w:t>发展基金价值评估等。</w:t>
      </w:r>
    </w:p>
    <w:p w14:paraId="411C4D11" w14:textId="77777777" w:rsidR="00F67FFD" w:rsidRDefault="00F67FFD" w:rsidP="00F67FFD">
      <w:pPr>
        <w:pStyle w:val="13"/>
      </w:pPr>
      <w:r>
        <w:t>1.业务来源</w:t>
      </w:r>
    </w:p>
    <w:p w14:paraId="75C56C46" w14:textId="77777777" w:rsidR="00F67FFD" w:rsidRDefault="00F67FFD" w:rsidP="00F67FFD">
      <w:pPr>
        <w:pStyle w:val="13"/>
      </w:pPr>
      <w:r>
        <w:rPr>
          <w:rFonts w:hint="eastAsia"/>
        </w:rPr>
        <w:t>（</w:t>
      </w:r>
      <w:r>
        <w:t>1）生态环境评估</w:t>
      </w:r>
    </w:p>
    <w:p w14:paraId="31D7B73C" w14:textId="77777777" w:rsidR="00F67FFD" w:rsidRDefault="00F67FFD" w:rsidP="00F67FFD">
      <w:pPr>
        <w:pStyle w:val="13"/>
      </w:pPr>
      <w:r>
        <w:rPr>
          <w:rFonts w:hint="eastAsia"/>
        </w:rPr>
        <w:t>生态环境评估</w:t>
      </w:r>
      <w:proofErr w:type="gramStart"/>
      <w:r>
        <w:rPr>
          <w:rFonts w:hint="eastAsia"/>
        </w:rPr>
        <w:t>包括碳排放权</w:t>
      </w:r>
      <w:proofErr w:type="gramEnd"/>
      <w:r>
        <w:rPr>
          <w:rFonts w:hint="eastAsia"/>
        </w:rPr>
        <w:t>评估、生态补偿价值评估、环境损失评估和森林生态价值评估等。</w:t>
      </w:r>
    </w:p>
    <w:p w14:paraId="3B9D51BD" w14:textId="77777777" w:rsidR="00F67FFD" w:rsidRDefault="00F67FFD" w:rsidP="00F67FFD">
      <w:pPr>
        <w:pStyle w:val="13"/>
      </w:pPr>
      <w:r>
        <w:rPr>
          <w:rFonts w:hint="eastAsia"/>
        </w:rPr>
        <w:t>（</w:t>
      </w:r>
      <w:r>
        <w:t>2）PPP项目中的评估</w:t>
      </w:r>
    </w:p>
    <w:p w14:paraId="1D558A71" w14:textId="77777777" w:rsidR="00F67FFD" w:rsidRDefault="00F67FFD" w:rsidP="00F67FFD">
      <w:pPr>
        <w:pStyle w:val="13"/>
      </w:pPr>
      <w:r>
        <w:t>2013年以来，财政部、国家发展改革委等部门陆续出台多个关于PPP模式建设的文件，其中涉及资产评估的主要有两个方面，一是政府与社会资本合作中涉及的评估，二是PPP项目资产证券化中涉及的评估。</w:t>
      </w:r>
    </w:p>
    <w:p w14:paraId="75ACCF2A" w14:textId="77777777" w:rsidR="00F67FFD" w:rsidRDefault="00F67FFD" w:rsidP="00F67FFD">
      <w:pPr>
        <w:pStyle w:val="13"/>
      </w:pPr>
      <w:r>
        <w:rPr>
          <w:rFonts w:hint="eastAsia"/>
        </w:rPr>
        <w:t>政府与社会资本合作。《关于〈政府和社会资本合作项目财政管理暂行办法〉的通知》（财金〔</w:t>
      </w:r>
      <w:r>
        <w:t>2016〕92号）规定，“存量项目实施方案中应包括资产评估报告”，“项目实施机构应该通过政府采购方式委托专家或第三方专业机构，编制项目物有所值评价报告”，“各级财政部门应当会同行业主管部门开展PPP项目绩效运行监控，开展中期绩效评估”，“存量PPP项目中涉及存量国有资产、股权转让的，应由项目实施机构会同行业主管部门和财政部门按照国有资产管理相关办法，依法进行资产评估”，“项目合作期满移交的，项目实施机构或政府指定的其他机构应</w:t>
      </w:r>
      <w:r>
        <w:rPr>
          <w:rFonts w:hint="eastAsia"/>
        </w:rPr>
        <w:t>组建项目移交工作组，对移交资产进行性能测试、资产评估和登记入账”。这五个环节，五种评估事项，既有传统的资产评估，也有绩效评估，还有</w:t>
      </w:r>
      <w:r>
        <w:t>PPP项目特有的物有所值评价。《关于在公共服务领域深入推进政府和社会资本合作工作的通知》（财金〔2016〕90号）和《关于深入推进农业领域政府和社会资本合作的实施意见》（财金〔2017〕50号）中关于资产评估的规定，属于《关于〈政府和社会资本合作项目财政管理暂行办法〉的通知》（财金〔2016〕92号）的在公共服务领域和农业领域的具体化。</w:t>
      </w:r>
    </w:p>
    <w:p w14:paraId="01946E5B" w14:textId="77777777" w:rsidR="00F67FFD" w:rsidRDefault="00F67FFD" w:rsidP="00F67FFD">
      <w:pPr>
        <w:pStyle w:val="13"/>
      </w:pPr>
      <w:r>
        <w:t>PPP项目资产证券化。财政部2017年发布《关于规范开展政府和社会资本合作项目资产证券化有关事宜的通知》（财金〔2017〕55号），部署分类稳妥推进PPP项目证券化，包括：一是项目公司资产证券化，以能够给项目带来现金流的收益权、合同债权作为基础资产，发行资产证券化产品。二是项目公司股东资产证券化，除PPP合同对项目公司股东的股权转让质押等权利有限制性约定外，在项目建成运营2年后，项目公司的股东可以以能够带来现金流的股权作为基础资产，发行资产证券化产品，盘活存量股权资产，提高资产流动性。三是项目公司其他相关主</w:t>
      </w:r>
      <w:r>
        <w:rPr>
          <w:rFonts w:hint="eastAsia"/>
        </w:rPr>
        <w:t>体资产证券化，在项目运营阶段，为项目公司提供融资支持的各类债权人，以及为项目公司提供建设支持的承包商等企业作为发起人（原始权益人），可以合同债权、收益权等作为基础资产，按监管规定发行资产证券化产品。在</w:t>
      </w:r>
      <w:r>
        <w:t>PPP项目资产证券化过程中，按照深圳证券交易所的有关规定，应出具《现金流预测报告》和证券化所涉及基础资产的评估报告。</w:t>
      </w:r>
    </w:p>
    <w:p w14:paraId="365A4258" w14:textId="77777777" w:rsidR="00F67FFD" w:rsidRDefault="00F67FFD" w:rsidP="00F67FFD">
      <w:pPr>
        <w:pStyle w:val="13"/>
      </w:pPr>
      <w:r>
        <w:rPr>
          <w:rFonts w:hint="eastAsia"/>
        </w:rPr>
        <w:lastRenderedPageBreak/>
        <w:t>（</w:t>
      </w:r>
      <w:r>
        <w:t>3）司法</w:t>
      </w:r>
      <w:proofErr w:type="gramStart"/>
      <w:r>
        <w:t>鉴证</w:t>
      </w:r>
      <w:proofErr w:type="gramEnd"/>
      <w:r>
        <w:t>评估</w:t>
      </w:r>
    </w:p>
    <w:p w14:paraId="3FB00708" w14:textId="77777777" w:rsidR="00F67FFD" w:rsidRDefault="00F67FFD" w:rsidP="00F67FFD">
      <w:pPr>
        <w:pStyle w:val="13"/>
      </w:pPr>
      <w:r>
        <w:rPr>
          <w:rFonts w:hint="eastAsia"/>
        </w:rPr>
        <w:t>司法</w:t>
      </w:r>
      <w:proofErr w:type="gramStart"/>
      <w:r>
        <w:rPr>
          <w:rFonts w:hint="eastAsia"/>
        </w:rPr>
        <w:t>鉴证</w:t>
      </w:r>
      <w:proofErr w:type="gramEnd"/>
      <w:r>
        <w:rPr>
          <w:rFonts w:hint="eastAsia"/>
        </w:rPr>
        <w:t>评估主要包括资产损害鉴定评估、资产变价评估和刑事案件定罪量刑中相关损失的估算、人民法院委托司法执行财产处置资产评估等。</w:t>
      </w:r>
    </w:p>
    <w:p w14:paraId="5F0A93C6" w14:textId="77777777" w:rsidR="00F67FFD" w:rsidRDefault="00F67FFD" w:rsidP="00F67FFD">
      <w:pPr>
        <w:pStyle w:val="13"/>
      </w:pPr>
      <w:r>
        <w:rPr>
          <w:rFonts w:hint="eastAsia"/>
        </w:rPr>
        <w:t>（</w:t>
      </w:r>
      <w:r>
        <w:t>4）国家中小企业发展基金价值评估</w:t>
      </w:r>
    </w:p>
    <w:p w14:paraId="33D3F2EA" w14:textId="77777777" w:rsidR="00F67FFD" w:rsidRDefault="00F67FFD" w:rsidP="00F67FFD">
      <w:pPr>
        <w:pStyle w:val="13"/>
      </w:pPr>
      <w:r>
        <w:rPr>
          <w:rFonts w:hint="eastAsia"/>
        </w:rPr>
        <w:t>国家中小企业发展基金通过设立母基金、直投基金等，用市场化的办法，重点支持种子期、初创期成长型中小企业发展，其中在基金募资、设立、管理、收益分配、到期退出等环节都可以对基金价值进行评估。</w:t>
      </w:r>
    </w:p>
    <w:p w14:paraId="651AC8A2" w14:textId="77777777" w:rsidR="00F67FFD" w:rsidRDefault="00F67FFD" w:rsidP="00F67FFD">
      <w:pPr>
        <w:pStyle w:val="13"/>
      </w:pPr>
      <w:r>
        <w:rPr>
          <w:rFonts w:hint="eastAsia"/>
        </w:rPr>
        <w:t>（</w:t>
      </w:r>
      <w:r>
        <w:t>5）行业协会商会与行政机关脱钩有关国有资产管理</w:t>
      </w:r>
    </w:p>
    <w:p w14:paraId="4F8FCF95" w14:textId="77777777" w:rsidR="00F67FFD" w:rsidRDefault="00F67FFD" w:rsidP="00F67FFD">
      <w:pPr>
        <w:pStyle w:val="13"/>
      </w:pPr>
      <w:r>
        <w:rPr>
          <w:rFonts w:hint="eastAsia"/>
        </w:rPr>
        <w:t>为了加强行业协会商会与行政机关脱钩过程中以及脱钩后国有资产（包括无形资产）管理，财政部于</w:t>
      </w:r>
      <w:r>
        <w:t>2015年发布《关于加强行业协会商会与行政机关脱钩有关国有资产管理的意见（试行）》（财资〔2015〕44号），规定“在脱钩过程中，需要进行资产评估的，应当按照《国有资产评估管理办法》（国务院令第91号）、《国有资产评估管理若干问题的规定》（财政部令第14号）等规定执行”。</w:t>
      </w:r>
    </w:p>
    <w:p w14:paraId="5B1B7413" w14:textId="77777777" w:rsidR="00F67FFD" w:rsidRDefault="00F67FFD" w:rsidP="00F67FFD">
      <w:pPr>
        <w:pStyle w:val="13"/>
      </w:pPr>
      <w:r>
        <w:rPr>
          <w:rFonts w:hint="eastAsia"/>
        </w:rPr>
        <w:t>（</w:t>
      </w:r>
      <w:r>
        <w:t>6）中国足球协会资产处置等经济行为</w:t>
      </w:r>
    </w:p>
    <w:p w14:paraId="4740DACA" w14:textId="77777777" w:rsidR="00F67FFD" w:rsidRDefault="00F67FFD" w:rsidP="00F67FFD">
      <w:pPr>
        <w:pStyle w:val="13"/>
      </w:pPr>
      <w:r>
        <w:rPr>
          <w:rFonts w:hint="eastAsia"/>
        </w:rPr>
        <w:t>财政部</w:t>
      </w:r>
      <w:r>
        <w:t>2017年发布《中国足球协会资产管理暂行办法》（财资〔2017〕32号）规定：大额资产以出售与置换方式处置的，应委托具有相应专业能力的资产评估机构进行评估，并通过拍卖、招投标的方式进行；中国足协所持的国有企业股权资产，应按照《中华人民共和国企业国有资产法》等国有企业有关法律法规进行管理。</w:t>
      </w:r>
    </w:p>
    <w:p w14:paraId="1E1641B7" w14:textId="77777777" w:rsidR="00F67FFD" w:rsidRDefault="00F67FFD" w:rsidP="00F67FFD">
      <w:pPr>
        <w:pStyle w:val="13"/>
      </w:pPr>
      <w:r>
        <w:rPr>
          <w:rFonts w:hint="eastAsia"/>
        </w:rPr>
        <w:t>（</w:t>
      </w:r>
      <w:r>
        <w:t>7）包装产业转型中需要资产评估的经济行为</w:t>
      </w:r>
    </w:p>
    <w:p w14:paraId="56E3C426" w14:textId="77777777" w:rsidR="00F67FFD" w:rsidRDefault="00F67FFD" w:rsidP="00F67FFD">
      <w:pPr>
        <w:pStyle w:val="13"/>
      </w:pPr>
      <w:r>
        <w:t>2016年工信部和商务部联合发文《关于加快我国包装产业转型发展的指导意见》（工信部</w:t>
      </w:r>
      <w:proofErr w:type="gramStart"/>
      <w:r>
        <w:t>联消费</w:t>
      </w:r>
      <w:proofErr w:type="gramEnd"/>
      <w:r>
        <w:t>〔2016〕397号），其中需要资产评估的经济行为包括：发展混合所有制经济中涉及的国有资产；大中型企业的股权分置改革中涉及的国有产权变动；企业与科研院所间的资产重组。</w:t>
      </w:r>
    </w:p>
    <w:p w14:paraId="7AE8C842" w14:textId="77777777" w:rsidR="00F67FFD" w:rsidRDefault="00F67FFD" w:rsidP="00F67FFD">
      <w:pPr>
        <w:pStyle w:val="13"/>
      </w:pPr>
      <w:r>
        <w:t>2.文件依据</w:t>
      </w:r>
    </w:p>
    <w:p w14:paraId="4F577FBD" w14:textId="28184E3B" w:rsidR="00F67FFD" w:rsidRDefault="00F67FFD" w:rsidP="00F67FFD">
      <w:pPr>
        <w:pStyle w:val="13"/>
      </w:pPr>
      <w:r>
        <w:rPr>
          <w:rFonts w:hint="eastAsia"/>
        </w:rPr>
        <w:t>（</w:t>
      </w:r>
      <w:r>
        <w:t>1）《中华人民共和国环境影响评价法》（2002年10月28日第九届全国人民代表大会常务委员会第三十次会议通过</w:t>
      </w:r>
      <w:r w:rsidR="002D3258">
        <w:t xml:space="preserve"> </w:t>
      </w:r>
      <w:r>
        <w:t>根据2016年7月2日第十二届全国人民代表大会常务委员会第二十一次会议《关于修改〈中华人民共和国节约能源法〉等六部法律的决定》第一次修正</w:t>
      </w:r>
      <w:r w:rsidR="002D3258">
        <w:t xml:space="preserve"> </w:t>
      </w:r>
      <w:r>
        <w:t>根据2018年12月29日第十三届全国人民代表大会常务委员会第七次会议《关于修改〈中华人民共和国劳动法〉等七部法律的决定》第二次修正；</w:t>
      </w:r>
    </w:p>
    <w:p w14:paraId="6ACC67EC" w14:textId="77777777" w:rsidR="00F67FFD" w:rsidRDefault="00F67FFD" w:rsidP="00F67FFD">
      <w:pPr>
        <w:pStyle w:val="13"/>
      </w:pPr>
      <w:r>
        <w:rPr>
          <w:rFonts w:hint="eastAsia"/>
        </w:rPr>
        <w:t>（</w:t>
      </w:r>
      <w:r>
        <w:t>2）《关于&lt;政府和社会资本合作项目财政管理暂行办法&gt;的通知》（财金〔2016〕92号）；</w:t>
      </w:r>
    </w:p>
    <w:p w14:paraId="3EBBC903" w14:textId="77777777" w:rsidR="00F67FFD" w:rsidRDefault="00F67FFD" w:rsidP="00F67FFD">
      <w:pPr>
        <w:pStyle w:val="13"/>
      </w:pPr>
      <w:r>
        <w:rPr>
          <w:rFonts w:hint="eastAsia"/>
        </w:rPr>
        <w:t>（</w:t>
      </w:r>
      <w:r>
        <w:t>3）《关于在公共服务领域深入推进政府和社会资本合作工作的通知》（财金〔2016〕90号）；</w:t>
      </w:r>
    </w:p>
    <w:p w14:paraId="451B50BB" w14:textId="77777777" w:rsidR="00F67FFD" w:rsidRDefault="00F67FFD" w:rsidP="00F67FFD">
      <w:pPr>
        <w:pStyle w:val="13"/>
      </w:pPr>
      <w:r>
        <w:rPr>
          <w:rFonts w:hint="eastAsia"/>
        </w:rPr>
        <w:lastRenderedPageBreak/>
        <w:t>（</w:t>
      </w:r>
      <w:r>
        <w:t>4）《关于深入推进农业领域政府和社会资本合作的实施意见》（财金〔2017〕50号）；</w:t>
      </w:r>
    </w:p>
    <w:p w14:paraId="43F4EB34" w14:textId="77777777" w:rsidR="00F67FFD" w:rsidRDefault="00F67FFD" w:rsidP="00F67FFD">
      <w:pPr>
        <w:pStyle w:val="13"/>
      </w:pPr>
      <w:r>
        <w:rPr>
          <w:rFonts w:hint="eastAsia"/>
        </w:rPr>
        <w:t>（</w:t>
      </w:r>
      <w:r>
        <w:t>5）《关于规范开展政府和社会资本合作项目资产证券化有关事宜的通知》（财金〔2017〕55号）；</w:t>
      </w:r>
    </w:p>
    <w:p w14:paraId="25EFF87E" w14:textId="77777777" w:rsidR="00F67FFD" w:rsidRDefault="00F67FFD" w:rsidP="00F67FFD">
      <w:pPr>
        <w:pStyle w:val="13"/>
      </w:pPr>
      <w:r>
        <w:rPr>
          <w:rFonts w:hint="eastAsia"/>
        </w:rPr>
        <w:t>（</w:t>
      </w:r>
      <w:r>
        <w:t>6）《全国人民代表大会常务委员会关于司法鉴定管理问题的决定》（2005年2月28日第十届全国人民代表大会常务委员会第十四次会议通过 根据2015年4月24日第十二届全国人民代表大会常务委员会第十四次会议《关于修改〈中华人民共和国义务教育法〉等五部法律的决定》修正）；</w:t>
      </w:r>
    </w:p>
    <w:p w14:paraId="021CC202" w14:textId="52DC5968" w:rsidR="00F67FFD" w:rsidRDefault="00F67FFD" w:rsidP="00F67FFD">
      <w:pPr>
        <w:pStyle w:val="13"/>
      </w:pPr>
      <w:r>
        <w:rPr>
          <w:rFonts w:hint="eastAsia"/>
        </w:rPr>
        <w:t>（</w:t>
      </w:r>
      <w:r>
        <w:t>7）《中华人民共和国刑事诉讼法》（1979年7月1日第五届全国人民代表大会第二次会议通过</w:t>
      </w:r>
      <w:r w:rsidR="002D3258">
        <w:t xml:space="preserve"> </w:t>
      </w:r>
      <w:r>
        <w:t>根据1996年3月17日第八届全国人民代表大会第四次会议《关于修改〈中华人民共和国刑事诉讼法〉的决定》第一次修正</w:t>
      </w:r>
      <w:r w:rsidR="002D3258">
        <w:t xml:space="preserve"> </w:t>
      </w:r>
      <w:r>
        <w:t>根据2012年3月14日第十一届全国人民代表大会第五次会议《关于修改〈中华人民共和国刑事诉讼法〉的决定》第二次修正</w:t>
      </w:r>
      <w:r w:rsidR="002D3258">
        <w:t xml:space="preserve"> </w:t>
      </w:r>
      <w:r>
        <w:t>根据2018年10月26日第十三届全国人民代表大会常务委员会第六次会议《关于修改〈中华人民共和国刑事诉讼法〉的决定》第三次修正）；</w:t>
      </w:r>
    </w:p>
    <w:p w14:paraId="244B7E1A" w14:textId="101C2319" w:rsidR="00F67FFD" w:rsidRDefault="00F67FFD" w:rsidP="00F67FFD">
      <w:pPr>
        <w:pStyle w:val="13"/>
      </w:pPr>
      <w:r>
        <w:rPr>
          <w:rFonts w:hint="eastAsia"/>
        </w:rPr>
        <w:t>（</w:t>
      </w:r>
      <w:r>
        <w:t>8）《中华人民共和国仲裁法》（1994年8月31日第八届全国人民代表大会常务委员会第九次会议通过</w:t>
      </w:r>
      <w:r w:rsidR="002D3258">
        <w:t xml:space="preserve"> </w:t>
      </w:r>
      <w:r>
        <w:t>根据2009年8月27日第十一届全国人民代表大会常务委员会第十次会议《关于修改部分法律的决定》第一次修正</w:t>
      </w:r>
      <w:r w:rsidR="002D3258">
        <w:t xml:space="preserve"> </w:t>
      </w:r>
      <w:r>
        <w:t>根据2017年9月1日第十二届全国人民代表大会常务委员会第二十九次会议《关于修改〈中华人民共和国法官法〉等八部法律的决定》第二次修正）；</w:t>
      </w:r>
    </w:p>
    <w:p w14:paraId="7F3167D6" w14:textId="77777777" w:rsidR="00F67FFD" w:rsidRDefault="00F67FFD" w:rsidP="00F67FFD">
      <w:pPr>
        <w:pStyle w:val="13"/>
      </w:pPr>
      <w:r>
        <w:rPr>
          <w:rFonts w:hint="eastAsia"/>
        </w:rPr>
        <w:t>（</w:t>
      </w:r>
      <w:r>
        <w:t>9）《司法鉴定程序通则》（司法部令第107号）；</w:t>
      </w:r>
    </w:p>
    <w:p w14:paraId="25697D05" w14:textId="77777777" w:rsidR="00F67FFD" w:rsidRDefault="00F67FFD" w:rsidP="00F67FFD">
      <w:pPr>
        <w:pStyle w:val="13"/>
      </w:pPr>
      <w:r>
        <w:rPr>
          <w:rFonts w:hint="eastAsia"/>
        </w:rPr>
        <w:t>（</w:t>
      </w:r>
      <w:r>
        <w:t>10）《最高人民法院关于人民法院民事执行中拍卖、变卖财产的规定》（法释〔2004〕16号）；</w:t>
      </w:r>
    </w:p>
    <w:p w14:paraId="5AEE0175" w14:textId="77777777" w:rsidR="00F67FFD" w:rsidRDefault="00F67FFD" w:rsidP="00F67FFD">
      <w:pPr>
        <w:pStyle w:val="13"/>
      </w:pPr>
      <w:r>
        <w:rPr>
          <w:rFonts w:hint="eastAsia"/>
        </w:rPr>
        <w:t>（</w:t>
      </w:r>
      <w:r>
        <w:t>11）《最高人民法院关于冻结、拍卖上市公司国有股和社会法人股若干问题的规定》（法释〔2001〕28号）；</w:t>
      </w:r>
    </w:p>
    <w:p w14:paraId="77BABAC5" w14:textId="77777777" w:rsidR="00F67FFD" w:rsidRDefault="00F67FFD" w:rsidP="00F67FFD">
      <w:pPr>
        <w:pStyle w:val="13"/>
      </w:pPr>
      <w:r>
        <w:rPr>
          <w:rFonts w:hint="eastAsia"/>
        </w:rPr>
        <w:t>（</w:t>
      </w:r>
      <w:r>
        <w:t>12）《最高人民法院关于人民法院委托评估、拍卖工作的若干规定》（法释〔2011〕21号，于2010年8月16日由最高人民法院审判委员会第1492次会议通过，2011年9月7日最高人民法院予以公布）；</w:t>
      </w:r>
    </w:p>
    <w:p w14:paraId="519C0C87" w14:textId="77777777" w:rsidR="00F67FFD" w:rsidRDefault="00F67FFD" w:rsidP="00F67FFD">
      <w:pPr>
        <w:pStyle w:val="13"/>
      </w:pPr>
      <w:r>
        <w:rPr>
          <w:rFonts w:hint="eastAsia"/>
        </w:rPr>
        <w:t>（</w:t>
      </w:r>
      <w:r>
        <w:t>13）《最高人民法院关于人民法院确定财产处置参考价若干问题的规定》（法释〔2018〕15号）；</w:t>
      </w:r>
    </w:p>
    <w:p w14:paraId="6A9985B6" w14:textId="77777777" w:rsidR="00F67FFD" w:rsidRDefault="00F67FFD" w:rsidP="00F67FFD">
      <w:pPr>
        <w:pStyle w:val="13"/>
      </w:pPr>
      <w:r>
        <w:rPr>
          <w:rFonts w:hint="eastAsia"/>
        </w:rPr>
        <w:t>（</w:t>
      </w:r>
      <w:r>
        <w:t>14）《人民法院委托评估工作规范》（法办〔2018〕273号）；</w:t>
      </w:r>
    </w:p>
    <w:p w14:paraId="1EAB7BD3" w14:textId="77777777" w:rsidR="00F67FFD" w:rsidRDefault="00F67FFD" w:rsidP="00F67FFD">
      <w:pPr>
        <w:pStyle w:val="13"/>
      </w:pPr>
      <w:r>
        <w:rPr>
          <w:rFonts w:hint="eastAsia"/>
        </w:rPr>
        <w:t>（</w:t>
      </w:r>
      <w:r>
        <w:t>15）《国务院关于进一步支持小型微型企业健康发展的意见》（国发〔2012〕14号）；</w:t>
      </w:r>
    </w:p>
    <w:p w14:paraId="33BA05ED" w14:textId="77777777" w:rsidR="00F67FFD" w:rsidRDefault="00F67FFD" w:rsidP="00F67FFD">
      <w:pPr>
        <w:pStyle w:val="13"/>
      </w:pPr>
      <w:r>
        <w:rPr>
          <w:rFonts w:hint="eastAsia"/>
        </w:rPr>
        <w:t>（</w:t>
      </w:r>
      <w:r>
        <w:t>16）《关于加强行业协会商会与行政机关脱钩有关国有资产管理的意见（试行）》（财资〔2015〕44号）；</w:t>
      </w:r>
    </w:p>
    <w:p w14:paraId="02821863" w14:textId="77777777" w:rsidR="00F67FFD" w:rsidRDefault="00F67FFD" w:rsidP="00F67FFD">
      <w:pPr>
        <w:pStyle w:val="13"/>
      </w:pPr>
      <w:r>
        <w:rPr>
          <w:rFonts w:hint="eastAsia"/>
        </w:rPr>
        <w:lastRenderedPageBreak/>
        <w:t>（</w:t>
      </w:r>
      <w:r>
        <w:t>17）《中国足球协会资产管理暂行办法》（财资〔2017〕32号）；</w:t>
      </w:r>
    </w:p>
    <w:p w14:paraId="53EE45C9" w14:textId="77777777" w:rsidR="00F67FFD" w:rsidRDefault="00F67FFD" w:rsidP="00F67FFD">
      <w:pPr>
        <w:pStyle w:val="13"/>
      </w:pPr>
      <w:r>
        <w:rPr>
          <w:rFonts w:hint="eastAsia"/>
        </w:rPr>
        <w:t>（</w:t>
      </w:r>
      <w:r>
        <w:t>18）《关于加快我国包装产业转型发展的指导意见》（工信部</w:t>
      </w:r>
      <w:proofErr w:type="gramStart"/>
      <w:r>
        <w:t>联消费</w:t>
      </w:r>
      <w:proofErr w:type="gramEnd"/>
      <w:r>
        <w:t>〔2016〕397号）等。</w:t>
      </w:r>
    </w:p>
    <w:p w14:paraId="76F81639" w14:textId="77777777" w:rsidR="00F67FFD" w:rsidRDefault="00F67FFD" w:rsidP="00F67FFD">
      <w:pPr>
        <w:pStyle w:val="ab"/>
        <w:spacing w:before="62" w:after="62"/>
        <w:ind w:firstLine="482"/>
      </w:pPr>
      <w:r>
        <w:rPr>
          <w:rFonts w:hint="eastAsia"/>
        </w:rPr>
        <w:t>二、评价类业务</w:t>
      </w:r>
    </w:p>
    <w:p w14:paraId="4FC62D3A" w14:textId="26797043" w:rsidR="000332D5" w:rsidRPr="00F67FFD" w:rsidRDefault="00F67FFD" w:rsidP="00F67FFD">
      <w:pPr>
        <w:pStyle w:val="13"/>
      </w:pPr>
      <w:r>
        <w:rPr>
          <w:rFonts w:hint="eastAsia"/>
        </w:rPr>
        <w:t>评价类业务涉及到企业、财政部门和预算部门（单位）等需求方，触发资产评估行业业务的经济行为共计</w:t>
      </w:r>
      <w:r>
        <w:t>12项，如表3所示。</w:t>
      </w:r>
    </w:p>
    <w:p w14:paraId="2AEF20B2" w14:textId="481C73BD" w:rsidR="000332D5" w:rsidRDefault="00F67FFD" w:rsidP="00F67FFD">
      <w:pPr>
        <w:pStyle w:val="13"/>
        <w:ind w:firstLineChars="0" w:firstLine="0"/>
        <w:jc w:val="center"/>
      </w:pPr>
      <w:r w:rsidRPr="00F67FFD">
        <w:rPr>
          <w:rFonts w:hint="eastAsia"/>
        </w:rPr>
        <w:t>表</w:t>
      </w:r>
      <w:r w:rsidRPr="00F67FFD">
        <w:t>3 评价类业务</w:t>
      </w:r>
    </w:p>
    <w:tbl>
      <w:tblPr>
        <w:tblW w:w="5000" w:type="pct"/>
        <w:tblLook w:val="04A0" w:firstRow="1" w:lastRow="0" w:firstColumn="1" w:lastColumn="0" w:noHBand="0" w:noVBand="1"/>
      </w:tblPr>
      <w:tblGrid>
        <w:gridCol w:w="537"/>
        <w:gridCol w:w="3195"/>
        <w:gridCol w:w="750"/>
        <w:gridCol w:w="4238"/>
      </w:tblGrid>
      <w:tr w:rsidR="00F67FFD" w:rsidRPr="00F67FFD" w14:paraId="25BF58CE" w14:textId="77777777" w:rsidTr="00F67FFD">
        <w:trPr>
          <w:trHeight w:val="20"/>
          <w:tblHeader/>
        </w:trPr>
        <w:tc>
          <w:tcPr>
            <w:tcW w:w="214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FB9E49" w14:textId="77777777" w:rsidR="00F67FFD" w:rsidRPr="00F67FFD" w:rsidRDefault="00F67FFD" w:rsidP="00F67FFD">
            <w:pPr>
              <w:pStyle w:val="13"/>
              <w:ind w:firstLineChars="0" w:firstLine="0"/>
              <w:jc w:val="center"/>
              <w:rPr>
                <w:b/>
                <w:sz w:val="21"/>
                <w:szCs w:val="21"/>
              </w:rPr>
            </w:pPr>
            <w:r w:rsidRPr="00F67FFD">
              <w:rPr>
                <w:b/>
                <w:sz w:val="21"/>
                <w:szCs w:val="21"/>
              </w:rPr>
              <w:t>需求方</w:t>
            </w:r>
          </w:p>
        </w:tc>
        <w:tc>
          <w:tcPr>
            <w:tcW w:w="2860" w:type="pct"/>
            <w:gridSpan w:val="2"/>
            <w:tcBorders>
              <w:top w:val="single" w:sz="4" w:space="0" w:color="auto"/>
              <w:left w:val="nil"/>
              <w:bottom w:val="single" w:sz="4" w:space="0" w:color="auto"/>
              <w:right w:val="single" w:sz="4" w:space="0" w:color="000000"/>
            </w:tcBorders>
            <w:shd w:val="clear" w:color="auto" w:fill="auto"/>
            <w:vAlign w:val="center"/>
            <w:hideMark/>
          </w:tcPr>
          <w:p w14:paraId="04F4286C" w14:textId="77777777" w:rsidR="00F67FFD" w:rsidRPr="00F67FFD" w:rsidRDefault="00F67FFD" w:rsidP="00F67FFD">
            <w:pPr>
              <w:pStyle w:val="13"/>
              <w:ind w:firstLineChars="0" w:firstLine="0"/>
              <w:jc w:val="center"/>
              <w:rPr>
                <w:b/>
                <w:sz w:val="21"/>
                <w:szCs w:val="21"/>
              </w:rPr>
            </w:pPr>
            <w:r w:rsidRPr="00F67FFD">
              <w:rPr>
                <w:b/>
                <w:sz w:val="21"/>
                <w:szCs w:val="21"/>
              </w:rPr>
              <w:t>触发资产评估行业业务的具体经济行为</w:t>
            </w:r>
          </w:p>
        </w:tc>
      </w:tr>
      <w:tr w:rsidR="00F67FFD" w:rsidRPr="00F67FFD" w14:paraId="082B07DB" w14:textId="77777777" w:rsidTr="00F67FFD">
        <w:trPr>
          <w:trHeight w:val="20"/>
        </w:trPr>
        <w:tc>
          <w:tcPr>
            <w:tcW w:w="308" w:type="pct"/>
            <w:vMerge w:val="restart"/>
            <w:tcBorders>
              <w:top w:val="nil"/>
              <w:left w:val="single" w:sz="4" w:space="0" w:color="auto"/>
              <w:right w:val="single" w:sz="4" w:space="0" w:color="auto"/>
            </w:tcBorders>
            <w:shd w:val="clear" w:color="auto" w:fill="auto"/>
            <w:noWrap/>
            <w:vAlign w:val="center"/>
            <w:hideMark/>
          </w:tcPr>
          <w:p w14:paraId="38BE98B3" w14:textId="77777777" w:rsidR="00F67FFD" w:rsidRPr="00F67FFD" w:rsidRDefault="00F67FFD" w:rsidP="00F67FFD">
            <w:pPr>
              <w:pStyle w:val="13"/>
              <w:ind w:firstLineChars="0" w:firstLine="0"/>
              <w:rPr>
                <w:sz w:val="21"/>
                <w:szCs w:val="21"/>
              </w:rPr>
            </w:pPr>
            <w:r w:rsidRPr="00F67FFD">
              <w:rPr>
                <w:sz w:val="21"/>
                <w:szCs w:val="21"/>
              </w:rPr>
              <w:t>2.1</w:t>
            </w:r>
          </w:p>
        </w:tc>
        <w:tc>
          <w:tcPr>
            <w:tcW w:w="1832" w:type="pct"/>
            <w:vMerge w:val="restart"/>
            <w:tcBorders>
              <w:top w:val="nil"/>
              <w:left w:val="single" w:sz="4" w:space="0" w:color="auto"/>
              <w:right w:val="single" w:sz="4" w:space="0" w:color="auto"/>
            </w:tcBorders>
            <w:shd w:val="clear" w:color="auto" w:fill="auto"/>
            <w:noWrap/>
            <w:vAlign w:val="center"/>
            <w:hideMark/>
          </w:tcPr>
          <w:p w14:paraId="02F4D7E8" w14:textId="77777777" w:rsidR="00F67FFD" w:rsidRPr="00F67FFD" w:rsidRDefault="00F67FFD" w:rsidP="00F67FFD">
            <w:pPr>
              <w:pStyle w:val="13"/>
              <w:ind w:firstLineChars="0" w:firstLine="0"/>
              <w:rPr>
                <w:sz w:val="21"/>
                <w:szCs w:val="21"/>
              </w:rPr>
            </w:pPr>
            <w:r w:rsidRPr="00F67FFD">
              <w:rPr>
                <w:sz w:val="21"/>
                <w:szCs w:val="21"/>
              </w:rPr>
              <w:t>企业</w:t>
            </w:r>
          </w:p>
        </w:tc>
        <w:tc>
          <w:tcPr>
            <w:tcW w:w="430" w:type="pct"/>
            <w:tcBorders>
              <w:top w:val="nil"/>
              <w:left w:val="nil"/>
              <w:bottom w:val="single" w:sz="4" w:space="0" w:color="auto"/>
              <w:right w:val="single" w:sz="4" w:space="0" w:color="auto"/>
            </w:tcBorders>
            <w:shd w:val="clear" w:color="auto" w:fill="auto"/>
            <w:noWrap/>
            <w:vAlign w:val="center"/>
            <w:hideMark/>
          </w:tcPr>
          <w:p w14:paraId="060BA0B3" w14:textId="77777777" w:rsidR="00F67FFD" w:rsidRPr="00F67FFD" w:rsidRDefault="00F67FFD" w:rsidP="00F67FFD">
            <w:pPr>
              <w:pStyle w:val="13"/>
              <w:ind w:firstLineChars="0" w:firstLine="0"/>
              <w:rPr>
                <w:sz w:val="21"/>
                <w:szCs w:val="21"/>
              </w:rPr>
            </w:pPr>
            <w:r w:rsidRPr="00F67FFD">
              <w:rPr>
                <w:sz w:val="21"/>
                <w:szCs w:val="21"/>
              </w:rPr>
              <w:t>2.1.1</w:t>
            </w:r>
          </w:p>
        </w:tc>
        <w:tc>
          <w:tcPr>
            <w:tcW w:w="2430" w:type="pct"/>
            <w:tcBorders>
              <w:top w:val="nil"/>
              <w:left w:val="nil"/>
              <w:bottom w:val="single" w:sz="4" w:space="0" w:color="auto"/>
              <w:right w:val="single" w:sz="4" w:space="0" w:color="auto"/>
            </w:tcBorders>
            <w:shd w:val="clear" w:color="auto" w:fill="auto"/>
            <w:noWrap/>
            <w:vAlign w:val="center"/>
            <w:hideMark/>
          </w:tcPr>
          <w:p w14:paraId="0720961A" w14:textId="77777777" w:rsidR="00F67FFD" w:rsidRPr="00F67FFD" w:rsidRDefault="00F67FFD" w:rsidP="00F67FFD">
            <w:pPr>
              <w:pStyle w:val="13"/>
              <w:ind w:firstLineChars="0" w:firstLine="0"/>
              <w:rPr>
                <w:sz w:val="21"/>
                <w:szCs w:val="21"/>
              </w:rPr>
            </w:pPr>
            <w:r w:rsidRPr="00F67FFD">
              <w:rPr>
                <w:sz w:val="21"/>
                <w:szCs w:val="21"/>
              </w:rPr>
              <w:t>企业绩效评价</w:t>
            </w:r>
          </w:p>
        </w:tc>
      </w:tr>
      <w:tr w:rsidR="00F67FFD" w:rsidRPr="00F67FFD" w14:paraId="56122F1D" w14:textId="77777777" w:rsidTr="00F67FFD">
        <w:trPr>
          <w:trHeight w:val="20"/>
        </w:trPr>
        <w:tc>
          <w:tcPr>
            <w:tcW w:w="308" w:type="pct"/>
            <w:vMerge/>
            <w:tcBorders>
              <w:left w:val="single" w:sz="4" w:space="0" w:color="auto"/>
              <w:right w:val="single" w:sz="4" w:space="0" w:color="auto"/>
            </w:tcBorders>
            <w:shd w:val="clear" w:color="auto" w:fill="auto"/>
            <w:vAlign w:val="center"/>
            <w:hideMark/>
          </w:tcPr>
          <w:p w14:paraId="75D90B6A" w14:textId="77777777" w:rsidR="00F67FFD" w:rsidRPr="00F67FFD" w:rsidRDefault="00F67FFD" w:rsidP="00F67FFD">
            <w:pPr>
              <w:pStyle w:val="13"/>
              <w:ind w:firstLineChars="0" w:firstLine="0"/>
              <w:rPr>
                <w:sz w:val="21"/>
                <w:szCs w:val="21"/>
              </w:rPr>
            </w:pPr>
          </w:p>
        </w:tc>
        <w:tc>
          <w:tcPr>
            <w:tcW w:w="1832" w:type="pct"/>
            <w:vMerge/>
            <w:tcBorders>
              <w:left w:val="single" w:sz="4" w:space="0" w:color="auto"/>
              <w:right w:val="single" w:sz="4" w:space="0" w:color="auto"/>
            </w:tcBorders>
            <w:shd w:val="clear" w:color="auto" w:fill="auto"/>
            <w:vAlign w:val="center"/>
            <w:hideMark/>
          </w:tcPr>
          <w:p w14:paraId="2297D6EA"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hideMark/>
          </w:tcPr>
          <w:p w14:paraId="361C8B7A" w14:textId="77777777" w:rsidR="00F67FFD" w:rsidRPr="00F67FFD" w:rsidRDefault="00F67FFD" w:rsidP="00F67FFD">
            <w:pPr>
              <w:pStyle w:val="13"/>
              <w:ind w:firstLineChars="0" w:firstLine="0"/>
              <w:rPr>
                <w:sz w:val="21"/>
                <w:szCs w:val="21"/>
              </w:rPr>
            </w:pPr>
            <w:r w:rsidRPr="00F67FFD">
              <w:rPr>
                <w:sz w:val="21"/>
                <w:szCs w:val="21"/>
              </w:rPr>
              <w:t>2.1.2</w:t>
            </w:r>
          </w:p>
        </w:tc>
        <w:tc>
          <w:tcPr>
            <w:tcW w:w="2430" w:type="pct"/>
            <w:tcBorders>
              <w:top w:val="nil"/>
              <w:left w:val="nil"/>
              <w:bottom w:val="single" w:sz="4" w:space="0" w:color="auto"/>
              <w:right w:val="single" w:sz="4" w:space="0" w:color="auto"/>
            </w:tcBorders>
            <w:shd w:val="clear" w:color="auto" w:fill="auto"/>
            <w:noWrap/>
            <w:vAlign w:val="center"/>
            <w:hideMark/>
          </w:tcPr>
          <w:p w14:paraId="001F9134" w14:textId="77777777" w:rsidR="00F67FFD" w:rsidRPr="00F67FFD" w:rsidRDefault="00F67FFD" w:rsidP="00F67FFD">
            <w:pPr>
              <w:pStyle w:val="13"/>
              <w:ind w:firstLineChars="0" w:firstLine="0"/>
              <w:rPr>
                <w:sz w:val="21"/>
                <w:szCs w:val="21"/>
              </w:rPr>
            </w:pPr>
            <w:r w:rsidRPr="00F67FFD">
              <w:rPr>
                <w:sz w:val="21"/>
                <w:szCs w:val="21"/>
              </w:rPr>
              <w:t>金融企业绩效评价</w:t>
            </w:r>
          </w:p>
        </w:tc>
      </w:tr>
      <w:tr w:rsidR="00F67FFD" w:rsidRPr="00F67FFD" w14:paraId="59205B48" w14:textId="77777777" w:rsidTr="00F67FFD">
        <w:trPr>
          <w:trHeight w:val="20"/>
        </w:trPr>
        <w:tc>
          <w:tcPr>
            <w:tcW w:w="308" w:type="pct"/>
            <w:vMerge/>
            <w:tcBorders>
              <w:left w:val="single" w:sz="4" w:space="0" w:color="auto"/>
              <w:right w:val="single" w:sz="4" w:space="0" w:color="auto"/>
            </w:tcBorders>
            <w:shd w:val="clear" w:color="auto" w:fill="auto"/>
            <w:vAlign w:val="center"/>
            <w:hideMark/>
          </w:tcPr>
          <w:p w14:paraId="12A6405C" w14:textId="77777777" w:rsidR="00F67FFD" w:rsidRPr="00F67FFD" w:rsidRDefault="00F67FFD" w:rsidP="00F67FFD">
            <w:pPr>
              <w:pStyle w:val="13"/>
              <w:ind w:firstLineChars="0" w:firstLine="0"/>
              <w:rPr>
                <w:sz w:val="21"/>
                <w:szCs w:val="21"/>
              </w:rPr>
            </w:pPr>
          </w:p>
        </w:tc>
        <w:tc>
          <w:tcPr>
            <w:tcW w:w="1832" w:type="pct"/>
            <w:vMerge/>
            <w:tcBorders>
              <w:left w:val="single" w:sz="4" w:space="0" w:color="auto"/>
              <w:right w:val="single" w:sz="4" w:space="0" w:color="auto"/>
            </w:tcBorders>
            <w:shd w:val="clear" w:color="auto" w:fill="auto"/>
            <w:vAlign w:val="center"/>
            <w:hideMark/>
          </w:tcPr>
          <w:p w14:paraId="0EFFBC9A"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hideMark/>
          </w:tcPr>
          <w:p w14:paraId="03F315BF" w14:textId="77777777" w:rsidR="00F67FFD" w:rsidRPr="00F67FFD" w:rsidRDefault="00F67FFD" w:rsidP="00F67FFD">
            <w:pPr>
              <w:pStyle w:val="13"/>
              <w:ind w:firstLineChars="0" w:firstLine="0"/>
              <w:rPr>
                <w:sz w:val="21"/>
                <w:szCs w:val="21"/>
              </w:rPr>
            </w:pPr>
            <w:r w:rsidRPr="00F67FFD">
              <w:rPr>
                <w:sz w:val="21"/>
                <w:szCs w:val="21"/>
              </w:rPr>
              <w:t>2.1.3</w:t>
            </w:r>
          </w:p>
        </w:tc>
        <w:tc>
          <w:tcPr>
            <w:tcW w:w="2430" w:type="pct"/>
            <w:tcBorders>
              <w:top w:val="nil"/>
              <w:left w:val="nil"/>
              <w:bottom w:val="single" w:sz="4" w:space="0" w:color="auto"/>
              <w:right w:val="single" w:sz="4" w:space="0" w:color="auto"/>
            </w:tcBorders>
            <w:shd w:val="clear" w:color="auto" w:fill="auto"/>
            <w:noWrap/>
            <w:vAlign w:val="center"/>
            <w:hideMark/>
          </w:tcPr>
          <w:p w14:paraId="1F9603E6" w14:textId="77777777" w:rsidR="00F67FFD" w:rsidRPr="00F67FFD" w:rsidRDefault="00F67FFD" w:rsidP="00F67FFD">
            <w:pPr>
              <w:pStyle w:val="13"/>
              <w:ind w:firstLineChars="0" w:firstLine="0"/>
              <w:rPr>
                <w:sz w:val="21"/>
                <w:szCs w:val="21"/>
              </w:rPr>
            </w:pPr>
            <w:r w:rsidRPr="00F67FFD">
              <w:rPr>
                <w:sz w:val="21"/>
                <w:szCs w:val="21"/>
              </w:rPr>
              <w:t>现代服务业综合试点工作绩效评价</w:t>
            </w:r>
          </w:p>
        </w:tc>
      </w:tr>
      <w:tr w:rsidR="00F67FFD" w:rsidRPr="00F67FFD" w14:paraId="48C509E2" w14:textId="77777777" w:rsidTr="00F67FFD">
        <w:trPr>
          <w:trHeight w:val="20"/>
        </w:trPr>
        <w:tc>
          <w:tcPr>
            <w:tcW w:w="308" w:type="pct"/>
            <w:vMerge/>
            <w:tcBorders>
              <w:left w:val="single" w:sz="4" w:space="0" w:color="auto"/>
              <w:right w:val="single" w:sz="4" w:space="0" w:color="auto"/>
            </w:tcBorders>
            <w:shd w:val="clear" w:color="auto" w:fill="auto"/>
            <w:vAlign w:val="center"/>
            <w:hideMark/>
          </w:tcPr>
          <w:p w14:paraId="495AB2FF" w14:textId="77777777" w:rsidR="00F67FFD" w:rsidRPr="00F67FFD" w:rsidRDefault="00F67FFD" w:rsidP="00F67FFD">
            <w:pPr>
              <w:pStyle w:val="13"/>
              <w:ind w:firstLineChars="0" w:firstLine="0"/>
              <w:rPr>
                <w:sz w:val="21"/>
                <w:szCs w:val="21"/>
              </w:rPr>
            </w:pPr>
          </w:p>
        </w:tc>
        <w:tc>
          <w:tcPr>
            <w:tcW w:w="1832" w:type="pct"/>
            <w:vMerge/>
            <w:tcBorders>
              <w:left w:val="single" w:sz="4" w:space="0" w:color="auto"/>
              <w:right w:val="single" w:sz="4" w:space="0" w:color="auto"/>
            </w:tcBorders>
            <w:shd w:val="clear" w:color="auto" w:fill="auto"/>
            <w:vAlign w:val="center"/>
            <w:hideMark/>
          </w:tcPr>
          <w:p w14:paraId="3791B24F"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hideMark/>
          </w:tcPr>
          <w:p w14:paraId="6B725A16" w14:textId="77777777" w:rsidR="00F67FFD" w:rsidRPr="00F67FFD" w:rsidRDefault="00F67FFD" w:rsidP="00F67FFD">
            <w:pPr>
              <w:pStyle w:val="13"/>
              <w:ind w:firstLineChars="0" w:firstLine="0"/>
              <w:rPr>
                <w:sz w:val="21"/>
                <w:szCs w:val="21"/>
              </w:rPr>
            </w:pPr>
            <w:r w:rsidRPr="00F67FFD">
              <w:rPr>
                <w:sz w:val="21"/>
                <w:szCs w:val="21"/>
              </w:rPr>
              <w:t>2.1.4</w:t>
            </w:r>
          </w:p>
        </w:tc>
        <w:tc>
          <w:tcPr>
            <w:tcW w:w="2430" w:type="pct"/>
            <w:tcBorders>
              <w:top w:val="nil"/>
              <w:left w:val="nil"/>
              <w:bottom w:val="single" w:sz="4" w:space="0" w:color="auto"/>
              <w:right w:val="single" w:sz="4" w:space="0" w:color="auto"/>
            </w:tcBorders>
            <w:shd w:val="clear" w:color="auto" w:fill="auto"/>
            <w:noWrap/>
            <w:vAlign w:val="center"/>
            <w:hideMark/>
          </w:tcPr>
          <w:p w14:paraId="1CF6F295" w14:textId="77777777" w:rsidR="00F67FFD" w:rsidRPr="00F67FFD" w:rsidRDefault="00F67FFD" w:rsidP="00F67FFD">
            <w:pPr>
              <w:pStyle w:val="13"/>
              <w:ind w:firstLineChars="0" w:firstLine="0"/>
              <w:rPr>
                <w:sz w:val="21"/>
                <w:szCs w:val="21"/>
              </w:rPr>
            </w:pPr>
            <w:r w:rsidRPr="00F67FFD">
              <w:rPr>
                <w:sz w:val="21"/>
                <w:szCs w:val="21"/>
              </w:rPr>
              <w:t>上市公司业绩评价</w:t>
            </w:r>
          </w:p>
        </w:tc>
      </w:tr>
      <w:tr w:rsidR="00F67FFD" w:rsidRPr="00F67FFD" w14:paraId="10E42331" w14:textId="77777777" w:rsidTr="00F67FFD">
        <w:trPr>
          <w:trHeight w:val="20"/>
        </w:trPr>
        <w:tc>
          <w:tcPr>
            <w:tcW w:w="308" w:type="pct"/>
            <w:vMerge/>
            <w:tcBorders>
              <w:left w:val="single" w:sz="4" w:space="0" w:color="auto"/>
              <w:right w:val="single" w:sz="4" w:space="0" w:color="auto"/>
            </w:tcBorders>
            <w:shd w:val="clear" w:color="auto" w:fill="auto"/>
            <w:vAlign w:val="center"/>
            <w:hideMark/>
          </w:tcPr>
          <w:p w14:paraId="4A18EF14" w14:textId="77777777" w:rsidR="00F67FFD" w:rsidRPr="00F67FFD" w:rsidRDefault="00F67FFD" w:rsidP="00F67FFD">
            <w:pPr>
              <w:pStyle w:val="13"/>
              <w:ind w:firstLineChars="0" w:firstLine="0"/>
              <w:rPr>
                <w:sz w:val="21"/>
                <w:szCs w:val="21"/>
              </w:rPr>
            </w:pPr>
          </w:p>
        </w:tc>
        <w:tc>
          <w:tcPr>
            <w:tcW w:w="1832" w:type="pct"/>
            <w:vMerge/>
            <w:tcBorders>
              <w:left w:val="single" w:sz="4" w:space="0" w:color="auto"/>
              <w:right w:val="single" w:sz="4" w:space="0" w:color="auto"/>
            </w:tcBorders>
            <w:shd w:val="clear" w:color="auto" w:fill="auto"/>
            <w:vAlign w:val="center"/>
            <w:hideMark/>
          </w:tcPr>
          <w:p w14:paraId="3998B326"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hideMark/>
          </w:tcPr>
          <w:p w14:paraId="321D8D53" w14:textId="77777777" w:rsidR="00F67FFD" w:rsidRPr="00F67FFD" w:rsidRDefault="00F67FFD" w:rsidP="00F67FFD">
            <w:pPr>
              <w:pStyle w:val="13"/>
              <w:ind w:firstLineChars="0" w:firstLine="0"/>
              <w:rPr>
                <w:sz w:val="21"/>
                <w:szCs w:val="21"/>
              </w:rPr>
            </w:pPr>
            <w:r w:rsidRPr="00F67FFD">
              <w:rPr>
                <w:sz w:val="21"/>
                <w:szCs w:val="21"/>
              </w:rPr>
              <w:t>2.1.5</w:t>
            </w:r>
          </w:p>
        </w:tc>
        <w:tc>
          <w:tcPr>
            <w:tcW w:w="2430" w:type="pct"/>
            <w:tcBorders>
              <w:top w:val="nil"/>
              <w:left w:val="nil"/>
              <w:bottom w:val="single" w:sz="4" w:space="0" w:color="auto"/>
              <w:right w:val="single" w:sz="4" w:space="0" w:color="auto"/>
            </w:tcBorders>
            <w:shd w:val="clear" w:color="auto" w:fill="auto"/>
            <w:noWrap/>
            <w:vAlign w:val="center"/>
            <w:hideMark/>
          </w:tcPr>
          <w:p w14:paraId="32C37ECC" w14:textId="77777777" w:rsidR="00F67FFD" w:rsidRPr="00F67FFD" w:rsidRDefault="00F67FFD" w:rsidP="00F67FFD">
            <w:pPr>
              <w:pStyle w:val="13"/>
              <w:ind w:firstLineChars="0" w:firstLine="0"/>
              <w:rPr>
                <w:sz w:val="21"/>
                <w:szCs w:val="21"/>
              </w:rPr>
            </w:pPr>
            <w:r w:rsidRPr="00F67FFD">
              <w:rPr>
                <w:sz w:val="21"/>
                <w:szCs w:val="21"/>
              </w:rPr>
              <w:t>企业内部控制评价</w:t>
            </w:r>
          </w:p>
        </w:tc>
      </w:tr>
      <w:tr w:rsidR="00F67FFD" w:rsidRPr="00F67FFD" w14:paraId="04C52A8E" w14:textId="77777777" w:rsidTr="00F67FFD">
        <w:trPr>
          <w:trHeight w:val="20"/>
        </w:trPr>
        <w:tc>
          <w:tcPr>
            <w:tcW w:w="308" w:type="pct"/>
            <w:vMerge/>
            <w:tcBorders>
              <w:left w:val="single" w:sz="4" w:space="0" w:color="auto"/>
              <w:bottom w:val="single" w:sz="4" w:space="0" w:color="auto"/>
              <w:right w:val="single" w:sz="4" w:space="0" w:color="auto"/>
            </w:tcBorders>
            <w:shd w:val="clear" w:color="auto" w:fill="auto"/>
            <w:vAlign w:val="center"/>
          </w:tcPr>
          <w:p w14:paraId="1B26C26E" w14:textId="77777777" w:rsidR="00F67FFD" w:rsidRPr="00F67FFD" w:rsidRDefault="00F67FFD" w:rsidP="00F67FFD">
            <w:pPr>
              <w:pStyle w:val="13"/>
              <w:ind w:firstLineChars="0" w:firstLine="0"/>
              <w:rPr>
                <w:sz w:val="21"/>
                <w:szCs w:val="21"/>
              </w:rPr>
            </w:pPr>
          </w:p>
        </w:tc>
        <w:tc>
          <w:tcPr>
            <w:tcW w:w="1832" w:type="pct"/>
            <w:vMerge/>
            <w:tcBorders>
              <w:left w:val="single" w:sz="4" w:space="0" w:color="auto"/>
              <w:bottom w:val="single" w:sz="4" w:space="0" w:color="auto"/>
              <w:right w:val="single" w:sz="4" w:space="0" w:color="auto"/>
            </w:tcBorders>
            <w:shd w:val="clear" w:color="auto" w:fill="auto"/>
            <w:vAlign w:val="center"/>
          </w:tcPr>
          <w:p w14:paraId="38FDAF35"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tcPr>
          <w:p w14:paraId="77375566" w14:textId="77777777" w:rsidR="00F67FFD" w:rsidRPr="00F67FFD" w:rsidRDefault="00F67FFD" w:rsidP="00F67FFD">
            <w:pPr>
              <w:pStyle w:val="13"/>
              <w:ind w:firstLineChars="0" w:firstLine="0"/>
              <w:rPr>
                <w:sz w:val="21"/>
                <w:szCs w:val="21"/>
              </w:rPr>
            </w:pPr>
            <w:r w:rsidRPr="00F67FFD">
              <w:rPr>
                <w:sz w:val="21"/>
                <w:szCs w:val="21"/>
              </w:rPr>
              <w:t>2.1.6</w:t>
            </w:r>
          </w:p>
        </w:tc>
        <w:tc>
          <w:tcPr>
            <w:tcW w:w="2430" w:type="pct"/>
            <w:tcBorders>
              <w:top w:val="nil"/>
              <w:left w:val="nil"/>
              <w:bottom w:val="single" w:sz="4" w:space="0" w:color="auto"/>
              <w:right w:val="single" w:sz="4" w:space="0" w:color="auto"/>
            </w:tcBorders>
            <w:shd w:val="clear" w:color="auto" w:fill="auto"/>
            <w:noWrap/>
            <w:vAlign w:val="center"/>
          </w:tcPr>
          <w:p w14:paraId="20D41F65" w14:textId="77777777" w:rsidR="00F67FFD" w:rsidRPr="00F67FFD" w:rsidRDefault="00F67FFD" w:rsidP="00F67FFD">
            <w:pPr>
              <w:pStyle w:val="13"/>
              <w:ind w:firstLineChars="0" w:firstLine="0"/>
              <w:rPr>
                <w:sz w:val="21"/>
                <w:szCs w:val="21"/>
              </w:rPr>
            </w:pPr>
            <w:r w:rsidRPr="00F67FFD">
              <w:rPr>
                <w:sz w:val="21"/>
                <w:szCs w:val="21"/>
              </w:rPr>
              <w:t>品牌评价</w:t>
            </w:r>
          </w:p>
        </w:tc>
      </w:tr>
      <w:tr w:rsidR="00F67FFD" w:rsidRPr="00F67FFD" w14:paraId="2936781C" w14:textId="77777777" w:rsidTr="00F67FFD">
        <w:trPr>
          <w:trHeight w:val="20"/>
        </w:trPr>
        <w:tc>
          <w:tcPr>
            <w:tcW w:w="3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FE3A4B" w14:textId="77777777" w:rsidR="00F67FFD" w:rsidRPr="00F67FFD" w:rsidRDefault="00F67FFD" w:rsidP="00F67FFD">
            <w:pPr>
              <w:pStyle w:val="13"/>
              <w:ind w:firstLineChars="0" w:firstLine="0"/>
              <w:rPr>
                <w:sz w:val="21"/>
                <w:szCs w:val="21"/>
              </w:rPr>
            </w:pPr>
            <w:r w:rsidRPr="00F67FFD">
              <w:rPr>
                <w:sz w:val="21"/>
                <w:szCs w:val="21"/>
              </w:rPr>
              <w:t>2.2</w:t>
            </w:r>
          </w:p>
        </w:tc>
        <w:tc>
          <w:tcPr>
            <w:tcW w:w="18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0F0545" w14:textId="77777777" w:rsidR="00F67FFD" w:rsidRPr="00F67FFD" w:rsidRDefault="00F67FFD" w:rsidP="00F67FFD">
            <w:pPr>
              <w:pStyle w:val="13"/>
              <w:ind w:firstLineChars="0" w:firstLine="0"/>
              <w:rPr>
                <w:sz w:val="21"/>
                <w:szCs w:val="21"/>
              </w:rPr>
            </w:pPr>
            <w:r w:rsidRPr="00F67FFD">
              <w:rPr>
                <w:sz w:val="21"/>
                <w:szCs w:val="21"/>
              </w:rPr>
              <w:t>财政部门和预算部门（单位）等</w:t>
            </w:r>
          </w:p>
        </w:tc>
        <w:tc>
          <w:tcPr>
            <w:tcW w:w="430" w:type="pct"/>
            <w:tcBorders>
              <w:top w:val="nil"/>
              <w:left w:val="nil"/>
              <w:bottom w:val="single" w:sz="4" w:space="0" w:color="auto"/>
              <w:right w:val="single" w:sz="4" w:space="0" w:color="auto"/>
            </w:tcBorders>
            <w:shd w:val="clear" w:color="auto" w:fill="auto"/>
            <w:noWrap/>
            <w:vAlign w:val="center"/>
            <w:hideMark/>
          </w:tcPr>
          <w:p w14:paraId="294A007C" w14:textId="77777777" w:rsidR="00F67FFD" w:rsidRPr="00F67FFD" w:rsidRDefault="00F67FFD" w:rsidP="00F67FFD">
            <w:pPr>
              <w:pStyle w:val="13"/>
              <w:ind w:firstLineChars="0" w:firstLine="0"/>
              <w:rPr>
                <w:sz w:val="21"/>
                <w:szCs w:val="21"/>
              </w:rPr>
            </w:pPr>
            <w:r w:rsidRPr="00F67FFD">
              <w:rPr>
                <w:sz w:val="21"/>
                <w:szCs w:val="21"/>
              </w:rPr>
              <w:t>2.2.1</w:t>
            </w:r>
          </w:p>
        </w:tc>
        <w:tc>
          <w:tcPr>
            <w:tcW w:w="2430" w:type="pct"/>
            <w:tcBorders>
              <w:top w:val="nil"/>
              <w:left w:val="nil"/>
              <w:bottom w:val="single" w:sz="4" w:space="0" w:color="auto"/>
              <w:right w:val="single" w:sz="4" w:space="0" w:color="auto"/>
            </w:tcBorders>
            <w:shd w:val="clear" w:color="auto" w:fill="auto"/>
            <w:noWrap/>
            <w:vAlign w:val="center"/>
            <w:hideMark/>
          </w:tcPr>
          <w:p w14:paraId="1701556A" w14:textId="77777777" w:rsidR="00F67FFD" w:rsidRPr="00F67FFD" w:rsidRDefault="00F67FFD" w:rsidP="00F67FFD">
            <w:pPr>
              <w:pStyle w:val="13"/>
              <w:ind w:firstLineChars="0" w:firstLine="0"/>
              <w:rPr>
                <w:sz w:val="21"/>
                <w:szCs w:val="21"/>
              </w:rPr>
            </w:pPr>
            <w:r w:rsidRPr="00F67FFD">
              <w:rPr>
                <w:sz w:val="21"/>
                <w:szCs w:val="21"/>
              </w:rPr>
              <w:t>财政支出绩效评价</w:t>
            </w:r>
          </w:p>
        </w:tc>
      </w:tr>
      <w:tr w:rsidR="00F67FFD" w:rsidRPr="00F67FFD" w14:paraId="1D6F17E7" w14:textId="77777777" w:rsidTr="00F67FFD">
        <w:trPr>
          <w:trHeight w:val="20"/>
        </w:trPr>
        <w:tc>
          <w:tcPr>
            <w:tcW w:w="308" w:type="pct"/>
            <w:vMerge/>
            <w:tcBorders>
              <w:top w:val="nil"/>
              <w:left w:val="single" w:sz="4" w:space="0" w:color="auto"/>
              <w:bottom w:val="single" w:sz="4" w:space="0" w:color="auto"/>
              <w:right w:val="single" w:sz="4" w:space="0" w:color="auto"/>
            </w:tcBorders>
            <w:shd w:val="clear" w:color="auto" w:fill="auto"/>
            <w:vAlign w:val="center"/>
            <w:hideMark/>
          </w:tcPr>
          <w:p w14:paraId="29AA9148" w14:textId="77777777" w:rsidR="00F67FFD" w:rsidRPr="00F67FFD" w:rsidRDefault="00F67FFD" w:rsidP="00F67FFD">
            <w:pPr>
              <w:pStyle w:val="13"/>
              <w:ind w:firstLineChars="0" w:firstLine="0"/>
              <w:rPr>
                <w:sz w:val="21"/>
                <w:szCs w:val="21"/>
              </w:rPr>
            </w:pPr>
          </w:p>
        </w:tc>
        <w:tc>
          <w:tcPr>
            <w:tcW w:w="1832" w:type="pct"/>
            <w:vMerge/>
            <w:tcBorders>
              <w:top w:val="nil"/>
              <w:left w:val="single" w:sz="4" w:space="0" w:color="auto"/>
              <w:bottom w:val="single" w:sz="4" w:space="0" w:color="auto"/>
              <w:right w:val="single" w:sz="4" w:space="0" w:color="auto"/>
            </w:tcBorders>
            <w:shd w:val="clear" w:color="auto" w:fill="auto"/>
            <w:vAlign w:val="center"/>
            <w:hideMark/>
          </w:tcPr>
          <w:p w14:paraId="0F943919"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hideMark/>
          </w:tcPr>
          <w:p w14:paraId="445F2190" w14:textId="77777777" w:rsidR="00F67FFD" w:rsidRPr="00F67FFD" w:rsidRDefault="00F67FFD" w:rsidP="00F67FFD">
            <w:pPr>
              <w:pStyle w:val="13"/>
              <w:ind w:firstLineChars="0" w:firstLine="0"/>
              <w:rPr>
                <w:sz w:val="21"/>
                <w:szCs w:val="21"/>
              </w:rPr>
            </w:pPr>
            <w:r w:rsidRPr="00F67FFD">
              <w:rPr>
                <w:sz w:val="21"/>
                <w:szCs w:val="21"/>
              </w:rPr>
              <w:t>2.2.2</w:t>
            </w:r>
          </w:p>
        </w:tc>
        <w:tc>
          <w:tcPr>
            <w:tcW w:w="2430" w:type="pct"/>
            <w:tcBorders>
              <w:top w:val="nil"/>
              <w:left w:val="nil"/>
              <w:bottom w:val="single" w:sz="4" w:space="0" w:color="auto"/>
              <w:right w:val="single" w:sz="4" w:space="0" w:color="auto"/>
            </w:tcBorders>
            <w:shd w:val="clear" w:color="auto" w:fill="auto"/>
            <w:noWrap/>
            <w:vAlign w:val="center"/>
            <w:hideMark/>
          </w:tcPr>
          <w:p w14:paraId="109774F8" w14:textId="77777777" w:rsidR="00F67FFD" w:rsidRPr="00F67FFD" w:rsidRDefault="00F67FFD" w:rsidP="00F67FFD">
            <w:pPr>
              <w:pStyle w:val="13"/>
              <w:ind w:firstLineChars="0" w:firstLine="0"/>
              <w:rPr>
                <w:sz w:val="21"/>
                <w:szCs w:val="21"/>
              </w:rPr>
            </w:pPr>
            <w:r w:rsidRPr="00F67FFD">
              <w:rPr>
                <w:sz w:val="21"/>
                <w:szCs w:val="21"/>
              </w:rPr>
              <w:t>国有资本经营预算支出项目绩效评价</w:t>
            </w:r>
          </w:p>
        </w:tc>
      </w:tr>
      <w:tr w:rsidR="00F67FFD" w:rsidRPr="00F67FFD" w14:paraId="0C8D834B" w14:textId="77777777" w:rsidTr="00F67FFD">
        <w:trPr>
          <w:trHeight w:val="20"/>
        </w:trPr>
        <w:tc>
          <w:tcPr>
            <w:tcW w:w="308" w:type="pct"/>
            <w:vMerge/>
            <w:tcBorders>
              <w:top w:val="nil"/>
              <w:left w:val="single" w:sz="4" w:space="0" w:color="auto"/>
              <w:bottom w:val="single" w:sz="4" w:space="0" w:color="auto"/>
              <w:right w:val="single" w:sz="4" w:space="0" w:color="auto"/>
            </w:tcBorders>
            <w:shd w:val="clear" w:color="auto" w:fill="auto"/>
            <w:vAlign w:val="center"/>
            <w:hideMark/>
          </w:tcPr>
          <w:p w14:paraId="49F4A92C" w14:textId="77777777" w:rsidR="00F67FFD" w:rsidRPr="00F67FFD" w:rsidRDefault="00F67FFD" w:rsidP="00F67FFD">
            <w:pPr>
              <w:pStyle w:val="13"/>
              <w:ind w:firstLineChars="0" w:firstLine="0"/>
              <w:rPr>
                <w:sz w:val="21"/>
                <w:szCs w:val="21"/>
              </w:rPr>
            </w:pPr>
          </w:p>
        </w:tc>
        <w:tc>
          <w:tcPr>
            <w:tcW w:w="1832" w:type="pct"/>
            <w:vMerge/>
            <w:tcBorders>
              <w:top w:val="nil"/>
              <w:left w:val="single" w:sz="4" w:space="0" w:color="auto"/>
              <w:bottom w:val="single" w:sz="4" w:space="0" w:color="auto"/>
              <w:right w:val="single" w:sz="4" w:space="0" w:color="auto"/>
            </w:tcBorders>
            <w:shd w:val="clear" w:color="auto" w:fill="auto"/>
            <w:vAlign w:val="center"/>
            <w:hideMark/>
          </w:tcPr>
          <w:p w14:paraId="4A0AD5ED"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hideMark/>
          </w:tcPr>
          <w:p w14:paraId="1CBDAFE1" w14:textId="77777777" w:rsidR="00F67FFD" w:rsidRPr="00F67FFD" w:rsidRDefault="00F67FFD" w:rsidP="00F67FFD">
            <w:pPr>
              <w:pStyle w:val="13"/>
              <w:ind w:firstLineChars="0" w:firstLine="0"/>
              <w:rPr>
                <w:sz w:val="21"/>
                <w:szCs w:val="21"/>
              </w:rPr>
            </w:pPr>
            <w:r w:rsidRPr="00F67FFD">
              <w:rPr>
                <w:sz w:val="21"/>
                <w:szCs w:val="21"/>
              </w:rPr>
              <w:t>2.2.3</w:t>
            </w:r>
          </w:p>
        </w:tc>
        <w:tc>
          <w:tcPr>
            <w:tcW w:w="2430" w:type="pct"/>
            <w:tcBorders>
              <w:top w:val="nil"/>
              <w:left w:val="nil"/>
              <w:bottom w:val="single" w:sz="4" w:space="0" w:color="auto"/>
              <w:right w:val="single" w:sz="4" w:space="0" w:color="auto"/>
            </w:tcBorders>
            <w:shd w:val="clear" w:color="auto" w:fill="auto"/>
            <w:noWrap/>
            <w:vAlign w:val="center"/>
            <w:hideMark/>
          </w:tcPr>
          <w:p w14:paraId="341108DB" w14:textId="77777777" w:rsidR="00F67FFD" w:rsidRPr="00F67FFD" w:rsidRDefault="00F67FFD" w:rsidP="00F67FFD">
            <w:pPr>
              <w:pStyle w:val="13"/>
              <w:ind w:firstLineChars="0" w:firstLine="0"/>
              <w:rPr>
                <w:sz w:val="21"/>
                <w:szCs w:val="21"/>
              </w:rPr>
            </w:pPr>
            <w:r w:rsidRPr="00F67FFD">
              <w:rPr>
                <w:sz w:val="21"/>
                <w:szCs w:val="21"/>
              </w:rPr>
              <w:t>中小企业发展专项资金评审</w:t>
            </w:r>
          </w:p>
        </w:tc>
      </w:tr>
      <w:tr w:rsidR="00F67FFD" w:rsidRPr="00F67FFD" w14:paraId="3C1E218D" w14:textId="77777777" w:rsidTr="00F67FFD">
        <w:trPr>
          <w:trHeight w:val="20"/>
        </w:trPr>
        <w:tc>
          <w:tcPr>
            <w:tcW w:w="308" w:type="pct"/>
            <w:vMerge/>
            <w:tcBorders>
              <w:top w:val="nil"/>
              <w:left w:val="single" w:sz="4" w:space="0" w:color="auto"/>
              <w:bottom w:val="single" w:sz="4" w:space="0" w:color="auto"/>
              <w:right w:val="single" w:sz="4" w:space="0" w:color="auto"/>
            </w:tcBorders>
            <w:shd w:val="clear" w:color="auto" w:fill="auto"/>
            <w:vAlign w:val="center"/>
            <w:hideMark/>
          </w:tcPr>
          <w:p w14:paraId="2BF27D88" w14:textId="77777777" w:rsidR="00F67FFD" w:rsidRPr="00F67FFD" w:rsidRDefault="00F67FFD" w:rsidP="00F67FFD">
            <w:pPr>
              <w:pStyle w:val="13"/>
              <w:ind w:firstLineChars="0" w:firstLine="0"/>
              <w:rPr>
                <w:sz w:val="21"/>
                <w:szCs w:val="21"/>
              </w:rPr>
            </w:pPr>
          </w:p>
        </w:tc>
        <w:tc>
          <w:tcPr>
            <w:tcW w:w="1832" w:type="pct"/>
            <w:vMerge/>
            <w:tcBorders>
              <w:top w:val="nil"/>
              <w:left w:val="single" w:sz="4" w:space="0" w:color="auto"/>
              <w:bottom w:val="single" w:sz="4" w:space="0" w:color="auto"/>
              <w:right w:val="single" w:sz="4" w:space="0" w:color="auto"/>
            </w:tcBorders>
            <w:shd w:val="clear" w:color="auto" w:fill="auto"/>
            <w:vAlign w:val="center"/>
            <w:hideMark/>
          </w:tcPr>
          <w:p w14:paraId="10C6A778"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hideMark/>
          </w:tcPr>
          <w:p w14:paraId="30137100" w14:textId="77777777" w:rsidR="00F67FFD" w:rsidRPr="00F67FFD" w:rsidRDefault="00F67FFD" w:rsidP="00F67FFD">
            <w:pPr>
              <w:pStyle w:val="13"/>
              <w:ind w:firstLineChars="0" w:firstLine="0"/>
              <w:rPr>
                <w:sz w:val="21"/>
                <w:szCs w:val="21"/>
              </w:rPr>
            </w:pPr>
            <w:r w:rsidRPr="00F67FFD">
              <w:rPr>
                <w:sz w:val="21"/>
                <w:szCs w:val="21"/>
              </w:rPr>
              <w:t>2.2.4</w:t>
            </w:r>
          </w:p>
        </w:tc>
        <w:tc>
          <w:tcPr>
            <w:tcW w:w="2430" w:type="pct"/>
            <w:tcBorders>
              <w:top w:val="nil"/>
              <w:left w:val="nil"/>
              <w:bottom w:val="single" w:sz="4" w:space="0" w:color="auto"/>
              <w:right w:val="single" w:sz="4" w:space="0" w:color="auto"/>
            </w:tcBorders>
            <w:shd w:val="clear" w:color="auto" w:fill="auto"/>
            <w:noWrap/>
            <w:vAlign w:val="center"/>
            <w:hideMark/>
          </w:tcPr>
          <w:p w14:paraId="74E2CEA2" w14:textId="77777777" w:rsidR="00F67FFD" w:rsidRPr="00F67FFD" w:rsidRDefault="00F67FFD" w:rsidP="00F67FFD">
            <w:pPr>
              <w:pStyle w:val="13"/>
              <w:ind w:firstLineChars="0" w:firstLine="0"/>
              <w:rPr>
                <w:sz w:val="21"/>
                <w:szCs w:val="21"/>
              </w:rPr>
            </w:pPr>
            <w:r w:rsidRPr="00F67FFD">
              <w:rPr>
                <w:sz w:val="21"/>
                <w:szCs w:val="21"/>
              </w:rPr>
              <w:t>政府出资产业投资基金的绩效评价</w:t>
            </w:r>
          </w:p>
        </w:tc>
      </w:tr>
      <w:tr w:rsidR="00F67FFD" w:rsidRPr="00F67FFD" w14:paraId="4B3C7C81" w14:textId="77777777" w:rsidTr="00F67FFD">
        <w:trPr>
          <w:trHeight w:val="20"/>
        </w:trPr>
        <w:tc>
          <w:tcPr>
            <w:tcW w:w="308" w:type="pct"/>
            <w:vMerge/>
            <w:tcBorders>
              <w:top w:val="nil"/>
              <w:left w:val="single" w:sz="4" w:space="0" w:color="auto"/>
              <w:bottom w:val="single" w:sz="4" w:space="0" w:color="auto"/>
              <w:right w:val="single" w:sz="4" w:space="0" w:color="auto"/>
            </w:tcBorders>
            <w:shd w:val="clear" w:color="auto" w:fill="auto"/>
            <w:vAlign w:val="center"/>
            <w:hideMark/>
          </w:tcPr>
          <w:p w14:paraId="6AF9EC12" w14:textId="77777777" w:rsidR="00F67FFD" w:rsidRPr="00F67FFD" w:rsidRDefault="00F67FFD" w:rsidP="00F67FFD">
            <w:pPr>
              <w:pStyle w:val="13"/>
              <w:ind w:firstLineChars="0" w:firstLine="0"/>
              <w:rPr>
                <w:sz w:val="21"/>
                <w:szCs w:val="21"/>
              </w:rPr>
            </w:pPr>
          </w:p>
        </w:tc>
        <w:tc>
          <w:tcPr>
            <w:tcW w:w="1832" w:type="pct"/>
            <w:vMerge/>
            <w:tcBorders>
              <w:top w:val="nil"/>
              <w:left w:val="single" w:sz="4" w:space="0" w:color="auto"/>
              <w:bottom w:val="single" w:sz="4" w:space="0" w:color="auto"/>
              <w:right w:val="single" w:sz="4" w:space="0" w:color="auto"/>
            </w:tcBorders>
            <w:shd w:val="clear" w:color="auto" w:fill="auto"/>
            <w:vAlign w:val="center"/>
            <w:hideMark/>
          </w:tcPr>
          <w:p w14:paraId="10E2642E"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hideMark/>
          </w:tcPr>
          <w:p w14:paraId="5829F314" w14:textId="77777777" w:rsidR="00F67FFD" w:rsidRPr="00F67FFD" w:rsidRDefault="00F67FFD" w:rsidP="00F67FFD">
            <w:pPr>
              <w:pStyle w:val="13"/>
              <w:ind w:firstLineChars="0" w:firstLine="0"/>
              <w:rPr>
                <w:sz w:val="21"/>
                <w:szCs w:val="21"/>
              </w:rPr>
            </w:pPr>
            <w:r w:rsidRPr="00F67FFD">
              <w:rPr>
                <w:sz w:val="21"/>
                <w:szCs w:val="21"/>
              </w:rPr>
              <w:t>2.2.5</w:t>
            </w:r>
          </w:p>
        </w:tc>
        <w:tc>
          <w:tcPr>
            <w:tcW w:w="2430" w:type="pct"/>
            <w:tcBorders>
              <w:top w:val="nil"/>
              <w:left w:val="nil"/>
              <w:bottom w:val="single" w:sz="4" w:space="0" w:color="auto"/>
              <w:right w:val="single" w:sz="4" w:space="0" w:color="auto"/>
            </w:tcBorders>
            <w:shd w:val="clear" w:color="auto" w:fill="auto"/>
            <w:noWrap/>
            <w:vAlign w:val="center"/>
            <w:hideMark/>
          </w:tcPr>
          <w:p w14:paraId="5C5F3336" w14:textId="77777777" w:rsidR="00F67FFD" w:rsidRPr="00F67FFD" w:rsidRDefault="00F67FFD" w:rsidP="00F67FFD">
            <w:pPr>
              <w:pStyle w:val="13"/>
              <w:ind w:firstLineChars="0" w:firstLine="0"/>
              <w:rPr>
                <w:sz w:val="21"/>
                <w:szCs w:val="21"/>
              </w:rPr>
            </w:pPr>
            <w:r w:rsidRPr="00F67FFD">
              <w:rPr>
                <w:sz w:val="21"/>
                <w:szCs w:val="21"/>
              </w:rPr>
              <w:t>政府投资基金绩效评价</w:t>
            </w:r>
          </w:p>
        </w:tc>
      </w:tr>
      <w:tr w:rsidR="00F67FFD" w:rsidRPr="00F67FFD" w14:paraId="46EB4203" w14:textId="77777777" w:rsidTr="00F67FFD">
        <w:trPr>
          <w:trHeight w:val="20"/>
        </w:trPr>
        <w:tc>
          <w:tcPr>
            <w:tcW w:w="308" w:type="pct"/>
            <w:vMerge/>
            <w:tcBorders>
              <w:top w:val="nil"/>
              <w:left w:val="single" w:sz="4" w:space="0" w:color="auto"/>
              <w:bottom w:val="single" w:sz="4" w:space="0" w:color="auto"/>
              <w:right w:val="single" w:sz="4" w:space="0" w:color="auto"/>
            </w:tcBorders>
            <w:shd w:val="clear" w:color="auto" w:fill="auto"/>
            <w:vAlign w:val="center"/>
            <w:hideMark/>
          </w:tcPr>
          <w:p w14:paraId="6A812B31" w14:textId="77777777" w:rsidR="00F67FFD" w:rsidRPr="00F67FFD" w:rsidRDefault="00F67FFD" w:rsidP="00F67FFD">
            <w:pPr>
              <w:pStyle w:val="13"/>
              <w:ind w:firstLineChars="0" w:firstLine="0"/>
              <w:rPr>
                <w:sz w:val="21"/>
                <w:szCs w:val="21"/>
              </w:rPr>
            </w:pPr>
          </w:p>
        </w:tc>
        <w:tc>
          <w:tcPr>
            <w:tcW w:w="1832" w:type="pct"/>
            <w:vMerge/>
            <w:tcBorders>
              <w:top w:val="nil"/>
              <w:left w:val="single" w:sz="4" w:space="0" w:color="auto"/>
              <w:bottom w:val="single" w:sz="4" w:space="0" w:color="auto"/>
              <w:right w:val="single" w:sz="4" w:space="0" w:color="auto"/>
            </w:tcBorders>
            <w:shd w:val="clear" w:color="auto" w:fill="auto"/>
            <w:vAlign w:val="center"/>
            <w:hideMark/>
          </w:tcPr>
          <w:p w14:paraId="7862D7D4" w14:textId="77777777" w:rsidR="00F67FFD" w:rsidRPr="00F67FFD" w:rsidRDefault="00F67FFD" w:rsidP="00F67FFD">
            <w:pPr>
              <w:pStyle w:val="13"/>
              <w:ind w:firstLineChars="0" w:firstLine="0"/>
              <w:rPr>
                <w:sz w:val="21"/>
                <w:szCs w:val="21"/>
              </w:rPr>
            </w:pPr>
          </w:p>
        </w:tc>
        <w:tc>
          <w:tcPr>
            <w:tcW w:w="430" w:type="pct"/>
            <w:tcBorders>
              <w:top w:val="nil"/>
              <w:left w:val="nil"/>
              <w:bottom w:val="single" w:sz="4" w:space="0" w:color="auto"/>
              <w:right w:val="single" w:sz="4" w:space="0" w:color="auto"/>
            </w:tcBorders>
            <w:shd w:val="clear" w:color="auto" w:fill="auto"/>
            <w:noWrap/>
            <w:vAlign w:val="center"/>
            <w:hideMark/>
          </w:tcPr>
          <w:p w14:paraId="02FEE8D7" w14:textId="77777777" w:rsidR="00F67FFD" w:rsidRPr="00F67FFD" w:rsidRDefault="00F67FFD" w:rsidP="00F67FFD">
            <w:pPr>
              <w:pStyle w:val="13"/>
              <w:ind w:firstLineChars="0" w:firstLine="0"/>
              <w:rPr>
                <w:sz w:val="21"/>
                <w:szCs w:val="21"/>
              </w:rPr>
            </w:pPr>
            <w:r w:rsidRPr="00F67FFD">
              <w:rPr>
                <w:sz w:val="21"/>
                <w:szCs w:val="21"/>
              </w:rPr>
              <w:t>2.2.6</w:t>
            </w:r>
          </w:p>
        </w:tc>
        <w:tc>
          <w:tcPr>
            <w:tcW w:w="2430" w:type="pct"/>
            <w:tcBorders>
              <w:top w:val="nil"/>
              <w:left w:val="nil"/>
              <w:bottom w:val="single" w:sz="4" w:space="0" w:color="auto"/>
              <w:right w:val="single" w:sz="4" w:space="0" w:color="auto"/>
            </w:tcBorders>
            <w:shd w:val="clear" w:color="auto" w:fill="auto"/>
            <w:noWrap/>
            <w:vAlign w:val="center"/>
            <w:hideMark/>
          </w:tcPr>
          <w:p w14:paraId="0837274C" w14:textId="77777777" w:rsidR="00F67FFD" w:rsidRPr="00F67FFD" w:rsidRDefault="00F67FFD" w:rsidP="00F67FFD">
            <w:pPr>
              <w:pStyle w:val="13"/>
              <w:ind w:firstLineChars="0" w:firstLine="0"/>
              <w:rPr>
                <w:sz w:val="21"/>
                <w:szCs w:val="21"/>
              </w:rPr>
            </w:pPr>
            <w:r w:rsidRPr="00F67FFD">
              <w:rPr>
                <w:sz w:val="21"/>
                <w:szCs w:val="21"/>
              </w:rPr>
              <w:t>“互联网+流通”发展基金评价</w:t>
            </w:r>
          </w:p>
        </w:tc>
      </w:tr>
    </w:tbl>
    <w:p w14:paraId="3EB002F9" w14:textId="77777777" w:rsidR="00F67FFD" w:rsidRDefault="00F67FFD" w:rsidP="00F67FFD">
      <w:pPr>
        <w:pStyle w:val="13"/>
      </w:pPr>
      <w:r>
        <w:rPr>
          <w:rFonts w:hint="eastAsia"/>
        </w:rPr>
        <w:t>（一）企业评价类业务需求</w:t>
      </w:r>
    </w:p>
    <w:p w14:paraId="016ED70A" w14:textId="77777777" w:rsidR="00F67FFD" w:rsidRDefault="00F67FFD" w:rsidP="00F67FFD">
      <w:pPr>
        <w:pStyle w:val="13"/>
      </w:pPr>
      <w:r>
        <w:t>1.业务来源</w:t>
      </w:r>
    </w:p>
    <w:p w14:paraId="143C402D" w14:textId="77777777" w:rsidR="00F67FFD" w:rsidRDefault="00F67FFD" w:rsidP="00F67FFD">
      <w:pPr>
        <w:pStyle w:val="13"/>
      </w:pPr>
      <w:r>
        <w:rPr>
          <w:rFonts w:hint="eastAsia"/>
        </w:rPr>
        <w:t>企业触发评价类业务需求的具体经济行为主要包括绩效评价、内部控制评价和品牌评价等。其中绩效评价又大致可分为企业绩效评价、金融企业绩效评价、现代服务业综合试点工作绩效评价、上市公司业绩评价等。</w:t>
      </w:r>
    </w:p>
    <w:p w14:paraId="6676B1E6" w14:textId="77777777" w:rsidR="00F67FFD" w:rsidRDefault="00F67FFD" w:rsidP="00F67FFD">
      <w:pPr>
        <w:pStyle w:val="13"/>
      </w:pPr>
      <w:r>
        <w:t>2.文件依据</w:t>
      </w:r>
    </w:p>
    <w:p w14:paraId="7293A8B2" w14:textId="77777777" w:rsidR="00F67FFD" w:rsidRDefault="00F67FFD" w:rsidP="00F67FFD">
      <w:pPr>
        <w:pStyle w:val="13"/>
      </w:pPr>
      <w:r>
        <w:rPr>
          <w:rFonts w:hint="eastAsia"/>
        </w:rPr>
        <w:t>（</w:t>
      </w:r>
      <w:r>
        <w:t>1）《中央企业综合绩效评价管理暂行办法》（国资委令第14号）；</w:t>
      </w:r>
    </w:p>
    <w:p w14:paraId="25BB989F" w14:textId="77777777" w:rsidR="00F67FFD" w:rsidRDefault="00F67FFD" w:rsidP="00F67FFD">
      <w:pPr>
        <w:pStyle w:val="13"/>
      </w:pPr>
      <w:r>
        <w:rPr>
          <w:rFonts w:hint="eastAsia"/>
        </w:rPr>
        <w:t>（</w:t>
      </w:r>
      <w:r>
        <w:t>2）《中央企业综合绩效评价实施细则》（国</w:t>
      </w:r>
      <w:proofErr w:type="gramStart"/>
      <w:r>
        <w:t>资发评价</w:t>
      </w:r>
      <w:proofErr w:type="gramEnd"/>
      <w:r>
        <w:t>〔2006〕157号）；</w:t>
      </w:r>
    </w:p>
    <w:p w14:paraId="28DACB3A" w14:textId="77777777" w:rsidR="00F67FFD" w:rsidRDefault="00F67FFD" w:rsidP="00F67FFD">
      <w:pPr>
        <w:pStyle w:val="13"/>
      </w:pPr>
      <w:r>
        <w:rPr>
          <w:rFonts w:hint="eastAsia"/>
        </w:rPr>
        <w:t>（</w:t>
      </w:r>
      <w:r>
        <w:t>3）《金融企业绩效评价办法》（财金〔2011〕50号）；</w:t>
      </w:r>
    </w:p>
    <w:p w14:paraId="6CB34423" w14:textId="77777777" w:rsidR="00F67FFD" w:rsidRDefault="00F67FFD" w:rsidP="00F67FFD">
      <w:pPr>
        <w:pStyle w:val="13"/>
      </w:pPr>
      <w:r>
        <w:rPr>
          <w:rFonts w:hint="eastAsia"/>
        </w:rPr>
        <w:t>（</w:t>
      </w:r>
      <w:r>
        <w:t>4）《现代服务业综合试点工作绩效评价管理办法》（</w:t>
      </w:r>
      <w:proofErr w:type="gramStart"/>
      <w:r>
        <w:t>财建〔2012〕</w:t>
      </w:r>
      <w:proofErr w:type="gramEnd"/>
      <w:r>
        <w:t>863号）；</w:t>
      </w:r>
    </w:p>
    <w:p w14:paraId="3449EB47" w14:textId="77777777" w:rsidR="00F67FFD" w:rsidRDefault="00F67FFD" w:rsidP="00F67FFD">
      <w:pPr>
        <w:pStyle w:val="13"/>
      </w:pPr>
      <w:r>
        <w:rPr>
          <w:rFonts w:hint="eastAsia"/>
        </w:rPr>
        <w:t>（</w:t>
      </w:r>
      <w:r>
        <w:t>5）《企业内部控制基本规范》（财会〔2008〕7号）；</w:t>
      </w:r>
    </w:p>
    <w:p w14:paraId="12D3C050" w14:textId="77777777" w:rsidR="00F67FFD" w:rsidRDefault="00F67FFD" w:rsidP="00F67FFD">
      <w:pPr>
        <w:pStyle w:val="13"/>
      </w:pPr>
      <w:r>
        <w:rPr>
          <w:rFonts w:hint="eastAsia"/>
        </w:rPr>
        <w:t>（</w:t>
      </w:r>
      <w:r>
        <w:t>6）《企业内部控制配套指引》（财会〔2010〕11号）等。</w:t>
      </w:r>
    </w:p>
    <w:p w14:paraId="60857568" w14:textId="77777777" w:rsidR="00F67FFD" w:rsidRDefault="00F67FFD" w:rsidP="00F67FFD">
      <w:pPr>
        <w:pStyle w:val="13"/>
      </w:pPr>
      <w:r>
        <w:rPr>
          <w:rFonts w:hint="eastAsia"/>
        </w:rPr>
        <w:t>（二）财政部门和预算部门（单位）等评价类业务需求</w:t>
      </w:r>
    </w:p>
    <w:p w14:paraId="7AF60765" w14:textId="77777777" w:rsidR="00F67FFD" w:rsidRDefault="00F67FFD" w:rsidP="00F67FFD">
      <w:pPr>
        <w:pStyle w:val="13"/>
      </w:pPr>
      <w:r>
        <w:lastRenderedPageBreak/>
        <w:t>1.业务来源</w:t>
      </w:r>
    </w:p>
    <w:p w14:paraId="4B86AE1E" w14:textId="77777777" w:rsidR="00F67FFD" w:rsidRDefault="00F67FFD" w:rsidP="00F67FFD">
      <w:pPr>
        <w:pStyle w:val="13"/>
      </w:pPr>
      <w:r>
        <w:rPr>
          <w:rFonts w:hint="eastAsia"/>
        </w:rPr>
        <w:t>财政部门和预算部门（单位）等触发评价类业务需求的具体经济行为主要包括财政支出绩效评价和政府出资产业投资基金评价等。其中，财政支出绩效评价主要包括财政支出绩效评价、国有资本经营预算支出项目绩效评价、中小企业发展专项资金评审；政府出资产业投资基金评价主要包括政府出资产业投资基金的绩效评价、政府投资基金绩效评价、“互联网</w:t>
      </w:r>
      <w:r>
        <w:t>+流通”发展基金评价等。</w:t>
      </w:r>
    </w:p>
    <w:p w14:paraId="08D29BA1" w14:textId="77777777" w:rsidR="00F67FFD" w:rsidRDefault="00F67FFD" w:rsidP="00F67FFD">
      <w:pPr>
        <w:pStyle w:val="13"/>
      </w:pPr>
      <w:r>
        <w:t>2.文件依据</w:t>
      </w:r>
    </w:p>
    <w:p w14:paraId="12A92417" w14:textId="77777777" w:rsidR="00F67FFD" w:rsidRDefault="00F67FFD" w:rsidP="00F67FFD">
      <w:pPr>
        <w:pStyle w:val="13"/>
      </w:pPr>
      <w:r>
        <w:rPr>
          <w:rFonts w:hint="eastAsia"/>
        </w:rPr>
        <w:t>（</w:t>
      </w:r>
      <w:r>
        <w:t>1）《财政支出绩效评价管理暂行办法》（财预〔2011〕285号）；</w:t>
      </w:r>
    </w:p>
    <w:p w14:paraId="7DDA4D75" w14:textId="77777777" w:rsidR="00F67FFD" w:rsidRDefault="00F67FFD" w:rsidP="00F67FFD">
      <w:pPr>
        <w:pStyle w:val="13"/>
      </w:pPr>
      <w:r>
        <w:rPr>
          <w:rFonts w:hint="eastAsia"/>
        </w:rPr>
        <w:t>（</w:t>
      </w:r>
      <w:r>
        <w:t>2） 《财政部关于印发&lt;加强企业财务信息管理暂行规定&gt;的通知》（财企〔2012〕23号）；</w:t>
      </w:r>
    </w:p>
    <w:p w14:paraId="3ADA902B" w14:textId="77777777" w:rsidR="00F67FFD" w:rsidRDefault="00F67FFD" w:rsidP="00F67FFD">
      <w:pPr>
        <w:pStyle w:val="13"/>
      </w:pPr>
      <w:r>
        <w:rPr>
          <w:rFonts w:hint="eastAsia"/>
        </w:rPr>
        <w:t>（</w:t>
      </w:r>
      <w:r>
        <w:t>3）《中小企业发展专项资金管理办法》（</w:t>
      </w:r>
      <w:proofErr w:type="gramStart"/>
      <w:r>
        <w:t>财建〔2015〕</w:t>
      </w:r>
      <w:proofErr w:type="gramEnd"/>
      <w:r>
        <w:t>458号）；</w:t>
      </w:r>
    </w:p>
    <w:p w14:paraId="6DD99577" w14:textId="77777777" w:rsidR="00F67FFD" w:rsidRDefault="00F67FFD" w:rsidP="00F67FFD">
      <w:pPr>
        <w:pStyle w:val="13"/>
      </w:pPr>
      <w:r>
        <w:rPr>
          <w:rFonts w:hint="eastAsia"/>
        </w:rPr>
        <w:t>（</w:t>
      </w:r>
      <w:r>
        <w:t>4）《政府出资产业投资基金管理暂行办法》（</w:t>
      </w:r>
      <w:proofErr w:type="gramStart"/>
      <w:r>
        <w:t>发改财金规</w:t>
      </w:r>
      <w:proofErr w:type="gramEnd"/>
      <w:r>
        <w:t>〔2016〕2800号）；</w:t>
      </w:r>
    </w:p>
    <w:p w14:paraId="4F47D9E2" w14:textId="77777777" w:rsidR="00F67FFD" w:rsidRDefault="00F67FFD" w:rsidP="00F67FFD">
      <w:pPr>
        <w:pStyle w:val="13"/>
      </w:pPr>
      <w:r>
        <w:rPr>
          <w:rFonts w:hint="eastAsia"/>
        </w:rPr>
        <w:t>（</w:t>
      </w:r>
      <w:r>
        <w:t>5）《政府投资基金暂行管理办法》（财预〔2015〕210号）；</w:t>
      </w:r>
    </w:p>
    <w:p w14:paraId="127EA36C" w14:textId="77777777" w:rsidR="00F67FFD" w:rsidRDefault="00F67FFD" w:rsidP="00F67FFD">
      <w:pPr>
        <w:pStyle w:val="13"/>
      </w:pPr>
      <w:r>
        <w:rPr>
          <w:rFonts w:hint="eastAsia"/>
        </w:rPr>
        <w:t>（</w:t>
      </w:r>
      <w:r>
        <w:t>6）《关于深入实施“互联网+流通”行动计划的意见》（国办发〔2016〕24号）等。</w:t>
      </w:r>
    </w:p>
    <w:p w14:paraId="1F50246D" w14:textId="77777777" w:rsidR="00F67FFD" w:rsidRDefault="00F67FFD" w:rsidP="00F67FFD">
      <w:pPr>
        <w:pStyle w:val="ab"/>
        <w:spacing w:before="62" w:after="62"/>
        <w:ind w:firstLine="482"/>
      </w:pPr>
      <w:r>
        <w:rPr>
          <w:rFonts w:hint="eastAsia"/>
        </w:rPr>
        <w:t>三、咨询类业务</w:t>
      </w:r>
    </w:p>
    <w:p w14:paraId="73FCDFD9" w14:textId="60923A4B" w:rsidR="000332D5" w:rsidRPr="00F67FFD" w:rsidRDefault="00F67FFD" w:rsidP="00F67FFD">
      <w:pPr>
        <w:pStyle w:val="13"/>
      </w:pPr>
      <w:r>
        <w:rPr>
          <w:rFonts w:hint="eastAsia"/>
        </w:rPr>
        <w:t>咨询类业务涉及企业及其</w:t>
      </w:r>
      <w:proofErr w:type="gramStart"/>
      <w:r>
        <w:rPr>
          <w:rFonts w:hint="eastAsia"/>
        </w:rPr>
        <w:t>他主体</w:t>
      </w:r>
      <w:proofErr w:type="gramEnd"/>
      <w:r>
        <w:rPr>
          <w:rFonts w:hint="eastAsia"/>
        </w:rPr>
        <w:t>等需求方，触发资产评估行业业务的经济行为共计</w:t>
      </w:r>
      <w:r>
        <w:t>29项，如表4所示。</w:t>
      </w:r>
    </w:p>
    <w:p w14:paraId="6DC508C4" w14:textId="3DF8294E" w:rsidR="0090701D" w:rsidRDefault="00F67FFD" w:rsidP="00F67FFD">
      <w:pPr>
        <w:pStyle w:val="13"/>
        <w:ind w:firstLineChars="0" w:firstLine="0"/>
        <w:jc w:val="center"/>
      </w:pPr>
      <w:r w:rsidRPr="00F67FFD">
        <w:rPr>
          <w:rFonts w:hint="eastAsia"/>
        </w:rPr>
        <w:t>表</w:t>
      </w:r>
      <w:r w:rsidRPr="00F67FFD">
        <w:t>4 咨询类业务</w:t>
      </w:r>
    </w:p>
    <w:tbl>
      <w:tblPr>
        <w:tblW w:w="5000" w:type="pct"/>
        <w:tblLook w:val="04A0" w:firstRow="1" w:lastRow="0" w:firstColumn="1" w:lastColumn="0" w:noHBand="0" w:noVBand="1"/>
      </w:tblPr>
      <w:tblGrid>
        <w:gridCol w:w="1173"/>
        <w:gridCol w:w="1624"/>
        <w:gridCol w:w="846"/>
        <w:gridCol w:w="5077"/>
      </w:tblGrid>
      <w:tr w:rsidR="00F67FFD" w:rsidRPr="00F67FFD" w14:paraId="5F7BAD08" w14:textId="77777777" w:rsidTr="00F67FFD">
        <w:trPr>
          <w:trHeight w:val="20"/>
          <w:tblHeader/>
        </w:trPr>
        <w:tc>
          <w:tcPr>
            <w:tcW w:w="160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C03DDE" w14:textId="77777777" w:rsidR="00F67FFD" w:rsidRPr="00F67FFD" w:rsidRDefault="00F67FFD" w:rsidP="00F67FFD">
            <w:pPr>
              <w:pStyle w:val="13"/>
              <w:spacing w:line="240" w:lineRule="auto"/>
              <w:ind w:firstLineChars="0" w:firstLine="0"/>
              <w:jc w:val="center"/>
              <w:rPr>
                <w:b/>
                <w:bCs/>
                <w:sz w:val="21"/>
                <w:szCs w:val="21"/>
              </w:rPr>
            </w:pPr>
            <w:r w:rsidRPr="00F67FFD">
              <w:rPr>
                <w:b/>
                <w:bCs/>
                <w:sz w:val="21"/>
                <w:szCs w:val="21"/>
              </w:rPr>
              <w:t>需求方</w:t>
            </w:r>
          </w:p>
        </w:tc>
        <w:tc>
          <w:tcPr>
            <w:tcW w:w="3396" w:type="pct"/>
            <w:gridSpan w:val="2"/>
            <w:tcBorders>
              <w:top w:val="single" w:sz="4" w:space="0" w:color="auto"/>
              <w:left w:val="nil"/>
              <w:bottom w:val="single" w:sz="4" w:space="0" w:color="auto"/>
              <w:right w:val="single" w:sz="4" w:space="0" w:color="000000"/>
            </w:tcBorders>
            <w:shd w:val="clear" w:color="auto" w:fill="auto"/>
            <w:vAlign w:val="center"/>
            <w:hideMark/>
          </w:tcPr>
          <w:p w14:paraId="1D123B5A" w14:textId="77777777" w:rsidR="00F67FFD" w:rsidRPr="00F67FFD" w:rsidRDefault="00F67FFD" w:rsidP="00F67FFD">
            <w:pPr>
              <w:pStyle w:val="13"/>
              <w:spacing w:line="240" w:lineRule="auto"/>
              <w:ind w:firstLineChars="0" w:firstLine="0"/>
              <w:jc w:val="center"/>
              <w:rPr>
                <w:b/>
                <w:bCs/>
                <w:sz w:val="21"/>
                <w:szCs w:val="21"/>
              </w:rPr>
            </w:pPr>
            <w:r w:rsidRPr="00F67FFD">
              <w:rPr>
                <w:b/>
                <w:bCs/>
                <w:sz w:val="21"/>
                <w:szCs w:val="21"/>
              </w:rPr>
              <w:t>触发资产评估行业业务的具体经济行为</w:t>
            </w:r>
          </w:p>
        </w:tc>
      </w:tr>
      <w:tr w:rsidR="00F67FFD" w:rsidRPr="00F67FFD" w14:paraId="3980FA6E" w14:textId="77777777" w:rsidTr="00F67FFD">
        <w:trPr>
          <w:trHeight w:val="20"/>
        </w:trPr>
        <w:tc>
          <w:tcPr>
            <w:tcW w:w="67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A9F4BC" w14:textId="77777777" w:rsidR="00F67FFD" w:rsidRPr="00F67FFD" w:rsidRDefault="00F67FFD" w:rsidP="00F67FFD">
            <w:pPr>
              <w:pStyle w:val="13"/>
              <w:spacing w:line="240" w:lineRule="auto"/>
              <w:ind w:firstLineChars="0" w:firstLine="0"/>
              <w:rPr>
                <w:sz w:val="21"/>
                <w:szCs w:val="21"/>
              </w:rPr>
            </w:pPr>
            <w:r w:rsidRPr="00F67FFD">
              <w:rPr>
                <w:sz w:val="21"/>
                <w:szCs w:val="21"/>
              </w:rPr>
              <w:t>3.1</w:t>
            </w:r>
          </w:p>
        </w:tc>
        <w:tc>
          <w:tcPr>
            <w:tcW w:w="9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1E8831" w14:textId="77777777" w:rsidR="00F67FFD" w:rsidRPr="00F67FFD" w:rsidRDefault="00F67FFD" w:rsidP="00F67FFD">
            <w:pPr>
              <w:pStyle w:val="13"/>
              <w:spacing w:line="240" w:lineRule="auto"/>
              <w:ind w:firstLineChars="0" w:firstLine="0"/>
              <w:rPr>
                <w:sz w:val="21"/>
                <w:szCs w:val="21"/>
              </w:rPr>
            </w:pPr>
            <w:r w:rsidRPr="00F67FFD">
              <w:rPr>
                <w:sz w:val="21"/>
                <w:szCs w:val="21"/>
              </w:rPr>
              <w:t>企业</w:t>
            </w:r>
          </w:p>
        </w:tc>
        <w:tc>
          <w:tcPr>
            <w:tcW w:w="485" w:type="pct"/>
            <w:tcBorders>
              <w:top w:val="nil"/>
              <w:left w:val="nil"/>
              <w:bottom w:val="single" w:sz="4" w:space="0" w:color="auto"/>
              <w:right w:val="single" w:sz="4" w:space="0" w:color="auto"/>
            </w:tcBorders>
            <w:shd w:val="clear" w:color="auto" w:fill="auto"/>
            <w:noWrap/>
            <w:vAlign w:val="center"/>
            <w:hideMark/>
          </w:tcPr>
          <w:p w14:paraId="6B5BACF8" w14:textId="77777777" w:rsidR="00F67FFD" w:rsidRPr="00F67FFD" w:rsidRDefault="00F67FFD" w:rsidP="00F67FFD">
            <w:pPr>
              <w:pStyle w:val="13"/>
              <w:spacing w:line="240" w:lineRule="auto"/>
              <w:ind w:firstLineChars="0" w:firstLine="0"/>
              <w:rPr>
                <w:sz w:val="21"/>
                <w:szCs w:val="21"/>
              </w:rPr>
            </w:pPr>
            <w:r w:rsidRPr="00F67FFD">
              <w:rPr>
                <w:sz w:val="21"/>
                <w:szCs w:val="21"/>
              </w:rPr>
              <w:t>3.1.1</w:t>
            </w:r>
          </w:p>
        </w:tc>
        <w:tc>
          <w:tcPr>
            <w:tcW w:w="2911" w:type="pct"/>
            <w:tcBorders>
              <w:top w:val="nil"/>
              <w:left w:val="nil"/>
              <w:bottom w:val="single" w:sz="4" w:space="0" w:color="auto"/>
              <w:right w:val="single" w:sz="4" w:space="0" w:color="auto"/>
            </w:tcBorders>
            <w:shd w:val="clear" w:color="auto" w:fill="auto"/>
            <w:noWrap/>
            <w:vAlign w:val="center"/>
            <w:hideMark/>
          </w:tcPr>
          <w:p w14:paraId="370798E2" w14:textId="77777777" w:rsidR="00F67FFD" w:rsidRPr="00F67FFD" w:rsidRDefault="00F67FFD" w:rsidP="00F67FFD">
            <w:pPr>
              <w:pStyle w:val="13"/>
              <w:spacing w:line="240" w:lineRule="auto"/>
              <w:ind w:firstLineChars="0" w:firstLine="0"/>
              <w:rPr>
                <w:sz w:val="21"/>
                <w:szCs w:val="21"/>
              </w:rPr>
            </w:pPr>
            <w:r w:rsidRPr="00F67FFD">
              <w:rPr>
                <w:sz w:val="21"/>
                <w:szCs w:val="21"/>
              </w:rPr>
              <w:t>尽职调查</w:t>
            </w:r>
          </w:p>
        </w:tc>
      </w:tr>
      <w:tr w:rsidR="00F67FFD" w:rsidRPr="00F67FFD" w14:paraId="28A9AA05"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2414301E"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3586C6CA"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0E850FB3" w14:textId="77777777" w:rsidR="00F67FFD" w:rsidRPr="00F67FFD" w:rsidRDefault="00F67FFD" w:rsidP="00F67FFD">
            <w:pPr>
              <w:pStyle w:val="13"/>
              <w:spacing w:line="240" w:lineRule="auto"/>
              <w:ind w:firstLineChars="0" w:firstLine="0"/>
              <w:rPr>
                <w:sz w:val="21"/>
                <w:szCs w:val="21"/>
              </w:rPr>
            </w:pPr>
            <w:r w:rsidRPr="00F67FFD">
              <w:rPr>
                <w:sz w:val="21"/>
                <w:szCs w:val="21"/>
              </w:rPr>
              <w:t>3.1.2</w:t>
            </w:r>
          </w:p>
        </w:tc>
        <w:tc>
          <w:tcPr>
            <w:tcW w:w="2911" w:type="pct"/>
            <w:tcBorders>
              <w:top w:val="nil"/>
              <w:left w:val="nil"/>
              <w:bottom w:val="single" w:sz="4" w:space="0" w:color="auto"/>
              <w:right w:val="single" w:sz="4" w:space="0" w:color="auto"/>
            </w:tcBorders>
            <w:shd w:val="clear" w:color="auto" w:fill="auto"/>
            <w:noWrap/>
            <w:vAlign w:val="center"/>
            <w:hideMark/>
          </w:tcPr>
          <w:p w14:paraId="21B7F11D" w14:textId="77777777" w:rsidR="00F67FFD" w:rsidRPr="00F67FFD" w:rsidRDefault="00F67FFD" w:rsidP="00F67FFD">
            <w:pPr>
              <w:pStyle w:val="13"/>
              <w:spacing w:line="240" w:lineRule="auto"/>
              <w:ind w:firstLineChars="0" w:firstLine="0"/>
              <w:rPr>
                <w:sz w:val="21"/>
                <w:szCs w:val="21"/>
              </w:rPr>
            </w:pPr>
            <w:r w:rsidRPr="00F67FFD">
              <w:rPr>
                <w:sz w:val="21"/>
                <w:szCs w:val="21"/>
              </w:rPr>
              <w:t>企业境外资产巡查</w:t>
            </w:r>
          </w:p>
        </w:tc>
      </w:tr>
      <w:tr w:rsidR="00F67FFD" w:rsidRPr="00F67FFD" w14:paraId="0477046B"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0FEC5C68"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79A1CC68"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4F2BAEB0" w14:textId="77777777" w:rsidR="00F67FFD" w:rsidRPr="00F67FFD" w:rsidRDefault="00F67FFD" w:rsidP="00F67FFD">
            <w:pPr>
              <w:pStyle w:val="13"/>
              <w:spacing w:line="240" w:lineRule="auto"/>
              <w:ind w:firstLineChars="0" w:firstLine="0"/>
              <w:rPr>
                <w:sz w:val="21"/>
                <w:szCs w:val="21"/>
              </w:rPr>
            </w:pPr>
            <w:r w:rsidRPr="00F67FFD">
              <w:rPr>
                <w:sz w:val="21"/>
                <w:szCs w:val="21"/>
              </w:rPr>
              <w:t>3.1.3</w:t>
            </w:r>
          </w:p>
        </w:tc>
        <w:tc>
          <w:tcPr>
            <w:tcW w:w="2911" w:type="pct"/>
            <w:tcBorders>
              <w:top w:val="nil"/>
              <w:left w:val="nil"/>
              <w:bottom w:val="single" w:sz="4" w:space="0" w:color="auto"/>
              <w:right w:val="single" w:sz="4" w:space="0" w:color="auto"/>
            </w:tcBorders>
            <w:shd w:val="clear" w:color="auto" w:fill="auto"/>
            <w:noWrap/>
            <w:vAlign w:val="center"/>
            <w:hideMark/>
          </w:tcPr>
          <w:p w14:paraId="59D967FC" w14:textId="77777777" w:rsidR="00F67FFD" w:rsidRPr="00F67FFD" w:rsidRDefault="00F67FFD" w:rsidP="00F67FFD">
            <w:pPr>
              <w:pStyle w:val="13"/>
              <w:spacing w:line="240" w:lineRule="auto"/>
              <w:ind w:firstLineChars="0" w:firstLine="0"/>
              <w:rPr>
                <w:sz w:val="21"/>
                <w:szCs w:val="21"/>
              </w:rPr>
            </w:pPr>
            <w:r w:rsidRPr="00F67FFD">
              <w:rPr>
                <w:sz w:val="21"/>
                <w:szCs w:val="21"/>
              </w:rPr>
              <w:t>计税价格评估</w:t>
            </w:r>
          </w:p>
        </w:tc>
      </w:tr>
      <w:tr w:rsidR="00F67FFD" w:rsidRPr="00F67FFD" w14:paraId="42D5929E"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64F1367D"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14C44D67"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49DA22C9" w14:textId="77777777" w:rsidR="00F67FFD" w:rsidRPr="00F67FFD" w:rsidRDefault="00F67FFD" w:rsidP="00F67FFD">
            <w:pPr>
              <w:pStyle w:val="13"/>
              <w:spacing w:line="240" w:lineRule="auto"/>
              <w:ind w:firstLineChars="0" w:firstLine="0"/>
              <w:rPr>
                <w:sz w:val="21"/>
                <w:szCs w:val="21"/>
              </w:rPr>
            </w:pPr>
            <w:r w:rsidRPr="00F67FFD">
              <w:rPr>
                <w:sz w:val="21"/>
                <w:szCs w:val="21"/>
              </w:rPr>
              <w:t>3.1.4</w:t>
            </w:r>
          </w:p>
        </w:tc>
        <w:tc>
          <w:tcPr>
            <w:tcW w:w="2911" w:type="pct"/>
            <w:tcBorders>
              <w:top w:val="nil"/>
              <w:left w:val="nil"/>
              <w:bottom w:val="single" w:sz="4" w:space="0" w:color="auto"/>
              <w:right w:val="single" w:sz="4" w:space="0" w:color="auto"/>
            </w:tcBorders>
            <w:shd w:val="clear" w:color="auto" w:fill="auto"/>
            <w:noWrap/>
            <w:vAlign w:val="center"/>
            <w:hideMark/>
          </w:tcPr>
          <w:p w14:paraId="507565F7" w14:textId="77777777" w:rsidR="00F67FFD" w:rsidRPr="00F67FFD" w:rsidRDefault="00F67FFD" w:rsidP="00F67FFD">
            <w:pPr>
              <w:pStyle w:val="13"/>
              <w:spacing w:line="240" w:lineRule="auto"/>
              <w:ind w:firstLineChars="0" w:firstLine="0"/>
              <w:rPr>
                <w:sz w:val="21"/>
                <w:szCs w:val="21"/>
              </w:rPr>
            </w:pPr>
            <w:r w:rsidRPr="00F67FFD">
              <w:rPr>
                <w:sz w:val="21"/>
                <w:szCs w:val="21"/>
              </w:rPr>
              <w:t>认定报关价格</w:t>
            </w:r>
          </w:p>
        </w:tc>
      </w:tr>
      <w:tr w:rsidR="00F67FFD" w:rsidRPr="00F67FFD" w14:paraId="509806DB"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166681BB"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758B9D99"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0829FF68" w14:textId="77777777" w:rsidR="00F67FFD" w:rsidRPr="00F67FFD" w:rsidRDefault="00F67FFD" w:rsidP="00F67FFD">
            <w:pPr>
              <w:pStyle w:val="13"/>
              <w:spacing w:line="240" w:lineRule="auto"/>
              <w:ind w:firstLineChars="0" w:firstLine="0"/>
              <w:rPr>
                <w:sz w:val="21"/>
                <w:szCs w:val="21"/>
              </w:rPr>
            </w:pPr>
            <w:r w:rsidRPr="00F67FFD">
              <w:rPr>
                <w:sz w:val="21"/>
                <w:szCs w:val="21"/>
              </w:rPr>
              <w:t>3.1.5</w:t>
            </w:r>
          </w:p>
        </w:tc>
        <w:tc>
          <w:tcPr>
            <w:tcW w:w="2911" w:type="pct"/>
            <w:tcBorders>
              <w:top w:val="nil"/>
              <w:left w:val="nil"/>
              <w:bottom w:val="single" w:sz="4" w:space="0" w:color="auto"/>
              <w:right w:val="single" w:sz="4" w:space="0" w:color="auto"/>
            </w:tcBorders>
            <w:shd w:val="clear" w:color="auto" w:fill="auto"/>
            <w:noWrap/>
            <w:vAlign w:val="center"/>
            <w:hideMark/>
          </w:tcPr>
          <w:p w14:paraId="4E37DFF8" w14:textId="77777777" w:rsidR="00F67FFD" w:rsidRPr="00F67FFD" w:rsidRDefault="00F67FFD" w:rsidP="00F67FFD">
            <w:pPr>
              <w:pStyle w:val="13"/>
              <w:spacing w:line="240" w:lineRule="auto"/>
              <w:ind w:firstLineChars="0" w:firstLine="0"/>
              <w:rPr>
                <w:sz w:val="21"/>
                <w:szCs w:val="21"/>
              </w:rPr>
            </w:pPr>
            <w:r w:rsidRPr="00F67FFD">
              <w:rPr>
                <w:sz w:val="21"/>
                <w:szCs w:val="21"/>
              </w:rPr>
              <w:t>企业财务管理评估</w:t>
            </w:r>
          </w:p>
        </w:tc>
      </w:tr>
      <w:tr w:rsidR="00F67FFD" w:rsidRPr="00F67FFD" w14:paraId="3C3DA15C"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734BF09F"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435B07A3"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1640C611" w14:textId="77777777" w:rsidR="00F67FFD" w:rsidRPr="00F67FFD" w:rsidRDefault="00F67FFD" w:rsidP="00F67FFD">
            <w:pPr>
              <w:pStyle w:val="13"/>
              <w:spacing w:line="240" w:lineRule="auto"/>
              <w:ind w:firstLineChars="0" w:firstLine="0"/>
              <w:rPr>
                <w:sz w:val="21"/>
                <w:szCs w:val="21"/>
              </w:rPr>
            </w:pPr>
            <w:r w:rsidRPr="00F67FFD">
              <w:rPr>
                <w:sz w:val="21"/>
                <w:szCs w:val="21"/>
              </w:rPr>
              <w:t>3.1.6</w:t>
            </w:r>
          </w:p>
        </w:tc>
        <w:tc>
          <w:tcPr>
            <w:tcW w:w="2911" w:type="pct"/>
            <w:tcBorders>
              <w:top w:val="nil"/>
              <w:left w:val="nil"/>
              <w:bottom w:val="single" w:sz="4" w:space="0" w:color="auto"/>
              <w:right w:val="single" w:sz="4" w:space="0" w:color="auto"/>
            </w:tcBorders>
            <w:shd w:val="clear" w:color="auto" w:fill="auto"/>
            <w:noWrap/>
            <w:vAlign w:val="center"/>
            <w:hideMark/>
          </w:tcPr>
          <w:p w14:paraId="4DFB4973" w14:textId="77777777" w:rsidR="00F67FFD" w:rsidRPr="00F67FFD" w:rsidRDefault="00F67FFD" w:rsidP="00F67FFD">
            <w:pPr>
              <w:pStyle w:val="13"/>
              <w:spacing w:line="240" w:lineRule="auto"/>
              <w:ind w:firstLineChars="0" w:firstLine="0"/>
              <w:rPr>
                <w:sz w:val="21"/>
                <w:szCs w:val="21"/>
              </w:rPr>
            </w:pPr>
            <w:r w:rsidRPr="00F67FFD">
              <w:rPr>
                <w:sz w:val="21"/>
                <w:szCs w:val="21"/>
              </w:rPr>
              <w:t>证券公司合</w:t>
            </w:r>
            <w:proofErr w:type="gramStart"/>
            <w:r w:rsidRPr="00F67FFD">
              <w:rPr>
                <w:sz w:val="21"/>
                <w:szCs w:val="21"/>
              </w:rPr>
              <w:t>规</w:t>
            </w:r>
            <w:proofErr w:type="gramEnd"/>
            <w:r w:rsidRPr="00F67FFD">
              <w:rPr>
                <w:sz w:val="21"/>
                <w:szCs w:val="21"/>
              </w:rPr>
              <w:t>管理有效性评估</w:t>
            </w:r>
          </w:p>
        </w:tc>
      </w:tr>
      <w:tr w:rsidR="00F67FFD" w:rsidRPr="00F67FFD" w14:paraId="0947A6DD"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2364256F"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53FCD316"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253AE2F0" w14:textId="77777777" w:rsidR="00F67FFD" w:rsidRPr="00F67FFD" w:rsidRDefault="00F67FFD" w:rsidP="00F67FFD">
            <w:pPr>
              <w:pStyle w:val="13"/>
              <w:spacing w:line="240" w:lineRule="auto"/>
              <w:ind w:firstLineChars="0" w:firstLine="0"/>
              <w:rPr>
                <w:sz w:val="21"/>
                <w:szCs w:val="21"/>
              </w:rPr>
            </w:pPr>
            <w:r w:rsidRPr="00F67FFD">
              <w:rPr>
                <w:sz w:val="21"/>
                <w:szCs w:val="21"/>
              </w:rPr>
              <w:t>3.1.7</w:t>
            </w:r>
          </w:p>
        </w:tc>
        <w:tc>
          <w:tcPr>
            <w:tcW w:w="2911" w:type="pct"/>
            <w:tcBorders>
              <w:top w:val="nil"/>
              <w:left w:val="nil"/>
              <w:bottom w:val="single" w:sz="4" w:space="0" w:color="auto"/>
              <w:right w:val="single" w:sz="4" w:space="0" w:color="auto"/>
            </w:tcBorders>
            <w:shd w:val="clear" w:color="auto" w:fill="auto"/>
            <w:noWrap/>
            <w:vAlign w:val="center"/>
            <w:hideMark/>
          </w:tcPr>
          <w:p w14:paraId="5F20D2E6" w14:textId="77777777" w:rsidR="00F67FFD" w:rsidRPr="00F67FFD" w:rsidRDefault="00F67FFD" w:rsidP="00F67FFD">
            <w:pPr>
              <w:pStyle w:val="13"/>
              <w:spacing w:line="240" w:lineRule="auto"/>
              <w:ind w:firstLineChars="0" w:firstLine="0"/>
              <w:rPr>
                <w:sz w:val="21"/>
                <w:szCs w:val="21"/>
              </w:rPr>
            </w:pPr>
            <w:r w:rsidRPr="00F67FFD">
              <w:rPr>
                <w:sz w:val="21"/>
                <w:szCs w:val="21"/>
              </w:rPr>
              <w:t>识别价值驱动因素</w:t>
            </w:r>
          </w:p>
        </w:tc>
      </w:tr>
      <w:tr w:rsidR="00F67FFD" w:rsidRPr="00F67FFD" w14:paraId="1388FA32"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1CD90F94"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4E376972"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3ED51B99" w14:textId="77777777" w:rsidR="00F67FFD" w:rsidRPr="00F67FFD" w:rsidRDefault="00F67FFD" w:rsidP="00F67FFD">
            <w:pPr>
              <w:pStyle w:val="13"/>
              <w:spacing w:line="240" w:lineRule="auto"/>
              <w:ind w:firstLineChars="0" w:firstLine="0"/>
              <w:rPr>
                <w:sz w:val="21"/>
                <w:szCs w:val="21"/>
              </w:rPr>
            </w:pPr>
            <w:r w:rsidRPr="00F67FFD">
              <w:rPr>
                <w:sz w:val="21"/>
                <w:szCs w:val="21"/>
              </w:rPr>
              <w:t>3.1.8</w:t>
            </w:r>
          </w:p>
        </w:tc>
        <w:tc>
          <w:tcPr>
            <w:tcW w:w="2911" w:type="pct"/>
            <w:tcBorders>
              <w:top w:val="nil"/>
              <w:left w:val="nil"/>
              <w:bottom w:val="single" w:sz="4" w:space="0" w:color="auto"/>
              <w:right w:val="single" w:sz="4" w:space="0" w:color="auto"/>
            </w:tcBorders>
            <w:shd w:val="clear" w:color="auto" w:fill="auto"/>
            <w:noWrap/>
            <w:vAlign w:val="center"/>
            <w:hideMark/>
          </w:tcPr>
          <w:p w14:paraId="1090869D" w14:textId="77777777" w:rsidR="00F67FFD" w:rsidRPr="00F67FFD" w:rsidRDefault="00F67FFD" w:rsidP="00F67FFD">
            <w:pPr>
              <w:pStyle w:val="13"/>
              <w:spacing w:line="240" w:lineRule="auto"/>
              <w:ind w:firstLineChars="0" w:firstLine="0"/>
              <w:rPr>
                <w:sz w:val="21"/>
                <w:szCs w:val="21"/>
              </w:rPr>
            </w:pPr>
            <w:r w:rsidRPr="00F67FFD">
              <w:rPr>
                <w:sz w:val="21"/>
                <w:szCs w:val="21"/>
              </w:rPr>
              <w:t>资产配置研究</w:t>
            </w:r>
          </w:p>
        </w:tc>
      </w:tr>
      <w:tr w:rsidR="00F67FFD" w:rsidRPr="00F67FFD" w14:paraId="082B1848"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08F31CBF"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71A270EC"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7FD30E02" w14:textId="77777777" w:rsidR="00F67FFD" w:rsidRPr="00F67FFD" w:rsidRDefault="00F67FFD" w:rsidP="00F67FFD">
            <w:pPr>
              <w:pStyle w:val="13"/>
              <w:spacing w:line="240" w:lineRule="auto"/>
              <w:ind w:firstLineChars="0" w:firstLine="0"/>
              <w:rPr>
                <w:sz w:val="21"/>
                <w:szCs w:val="21"/>
              </w:rPr>
            </w:pPr>
            <w:r w:rsidRPr="00F67FFD">
              <w:rPr>
                <w:sz w:val="21"/>
                <w:szCs w:val="21"/>
              </w:rPr>
              <w:t>3.1.9</w:t>
            </w:r>
          </w:p>
        </w:tc>
        <w:tc>
          <w:tcPr>
            <w:tcW w:w="2911" w:type="pct"/>
            <w:tcBorders>
              <w:top w:val="nil"/>
              <w:left w:val="nil"/>
              <w:bottom w:val="single" w:sz="4" w:space="0" w:color="auto"/>
              <w:right w:val="single" w:sz="4" w:space="0" w:color="auto"/>
            </w:tcBorders>
            <w:shd w:val="clear" w:color="auto" w:fill="auto"/>
            <w:noWrap/>
            <w:vAlign w:val="center"/>
            <w:hideMark/>
          </w:tcPr>
          <w:p w14:paraId="5ECD61BA" w14:textId="77777777" w:rsidR="00F67FFD" w:rsidRPr="00F67FFD" w:rsidRDefault="00F67FFD" w:rsidP="00F67FFD">
            <w:pPr>
              <w:pStyle w:val="13"/>
              <w:spacing w:line="240" w:lineRule="auto"/>
              <w:ind w:firstLineChars="0" w:firstLine="0"/>
              <w:rPr>
                <w:sz w:val="21"/>
                <w:szCs w:val="21"/>
              </w:rPr>
            </w:pPr>
            <w:r w:rsidRPr="00F67FFD">
              <w:rPr>
                <w:sz w:val="21"/>
                <w:szCs w:val="21"/>
              </w:rPr>
              <w:t>投资前的尽职调查</w:t>
            </w:r>
          </w:p>
        </w:tc>
      </w:tr>
      <w:tr w:rsidR="00F67FFD" w:rsidRPr="00F67FFD" w14:paraId="6149BBD0"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784F315C"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112580E6"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66CEAF60" w14:textId="77777777" w:rsidR="00F67FFD" w:rsidRPr="00F67FFD" w:rsidRDefault="00F67FFD" w:rsidP="00F67FFD">
            <w:pPr>
              <w:pStyle w:val="13"/>
              <w:spacing w:line="240" w:lineRule="auto"/>
              <w:ind w:firstLineChars="0" w:firstLine="0"/>
              <w:rPr>
                <w:sz w:val="21"/>
                <w:szCs w:val="21"/>
              </w:rPr>
            </w:pPr>
            <w:r w:rsidRPr="00F67FFD">
              <w:rPr>
                <w:sz w:val="21"/>
                <w:szCs w:val="21"/>
              </w:rPr>
              <w:t>3.1.10</w:t>
            </w:r>
          </w:p>
        </w:tc>
        <w:tc>
          <w:tcPr>
            <w:tcW w:w="2911" w:type="pct"/>
            <w:tcBorders>
              <w:top w:val="nil"/>
              <w:left w:val="nil"/>
              <w:bottom w:val="single" w:sz="4" w:space="0" w:color="auto"/>
              <w:right w:val="single" w:sz="4" w:space="0" w:color="auto"/>
            </w:tcBorders>
            <w:shd w:val="clear" w:color="auto" w:fill="auto"/>
            <w:noWrap/>
            <w:vAlign w:val="center"/>
            <w:hideMark/>
          </w:tcPr>
          <w:p w14:paraId="222ADC14" w14:textId="77777777" w:rsidR="00F67FFD" w:rsidRPr="00F67FFD" w:rsidRDefault="00F67FFD" w:rsidP="00F67FFD">
            <w:pPr>
              <w:pStyle w:val="13"/>
              <w:spacing w:line="240" w:lineRule="auto"/>
              <w:ind w:firstLineChars="0" w:firstLine="0"/>
              <w:rPr>
                <w:sz w:val="21"/>
                <w:szCs w:val="21"/>
              </w:rPr>
            </w:pPr>
            <w:r w:rsidRPr="00F67FFD">
              <w:rPr>
                <w:sz w:val="21"/>
                <w:szCs w:val="21"/>
              </w:rPr>
              <w:t>投资后的评价管理</w:t>
            </w:r>
          </w:p>
        </w:tc>
      </w:tr>
      <w:tr w:rsidR="00F67FFD" w:rsidRPr="00F67FFD" w14:paraId="5D38DAAD"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64B6FE84"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5B4EF3A1"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7EE553FB" w14:textId="77777777" w:rsidR="00F67FFD" w:rsidRPr="00F67FFD" w:rsidRDefault="00F67FFD" w:rsidP="00F67FFD">
            <w:pPr>
              <w:pStyle w:val="13"/>
              <w:spacing w:line="240" w:lineRule="auto"/>
              <w:ind w:firstLineChars="0" w:firstLine="0"/>
              <w:rPr>
                <w:sz w:val="21"/>
                <w:szCs w:val="21"/>
              </w:rPr>
            </w:pPr>
            <w:r w:rsidRPr="00F67FFD">
              <w:rPr>
                <w:sz w:val="21"/>
                <w:szCs w:val="21"/>
              </w:rPr>
              <w:t>3.1.11</w:t>
            </w:r>
          </w:p>
        </w:tc>
        <w:tc>
          <w:tcPr>
            <w:tcW w:w="2911" w:type="pct"/>
            <w:tcBorders>
              <w:top w:val="nil"/>
              <w:left w:val="nil"/>
              <w:bottom w:val="single" w:sz="4" w:space="0" w:color="auto"/>
              <w:right w:val="single" w:sz="4" w:space="0" w:color="auto"/>
            </w:tcBorders>
            <w:shd w:val="clear" w:color="auto" w:fill="auto"/>
            <w:noWrap/>
            <w:vAlign w:val="center"/>
            <w:hideMark/>
          </w:tcPr>
          <w:p w14:paraId="3ED3C4FC" w14:textId="77777777" w:rsidR="00F67FFD" w:rsidRPr="00F67FFD" w:rsidRDefault="00F67FFD" w:rsidP="00F67FFD">
            <w:pPr>
              <w:pStyle w:val="13"/>
              <w:spacing w:line="240" w:lineRule="auto"/>
              <w:ind w:firstLineChars="0" w:firstLine="0"/>
              <w:rPr>
                <w:sz w:val="21"/>
                <w:szCs w:val="21"/>
              </w:rPr>
            </w:pPr>
            <w:r w:rsidRPr="00F67FFD">
              <w:rPr>
                <w:sz w:val="21"/>
                <w:szCs w:val="21"/>
              </w:rPr>
              <w:t>资产管理</w:t>
            </w:r>
          </w:p>
        </w:tc>
      </w:tr>
      <w:tr w:rsidR="00F67FFD" w:rsidRPr="00F67FFD" w14:paraId="6A8CEA0E"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692A0499"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0BFF550D"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5D6E83AD" w14:textId="77777777" w:rsidR="00F67FFD" w:rsidRPr="00F67FFD" w:rsidRDefault="00F67FFD" w:rsidP="00F67FFD">
            <w:pPr>
              <w:pStyle w:val="13"/>
              <w:spacing w:line="240" w:lineRule="auto"/>
              <w:ind w:firstLineChars="0" w:firstLine="0"/>
              <w:rPr>
                <w:sz w:val="21"/>
                <w:szCs w:val="21"/>
              </w:rPr>
            </w:pPr>
            <w:r w:rsidRPr="00F67FFD">
              <w:rPr>
                <w:sz w:val="21"/>
                <w:szCs w:val="21"/>
              </w:rPr>
              <w:t>3.1.12</w:t>
            </w:r>
          </w:p>
        </w:tc>
        <w:tc>
          <w:tcPr>
            <w:tcW w:w="2911" w:type="pct"/>
            <w:tcBorders>
              <w:top w:val="nil"/>
              <w:left w:val="nil"/>
              <w:bottom w:val="single" w:sz="4" w:space="0" w:color="auto"/>
              <w:right w:val="single" w:sz="4" w:space="0" w:color="auto"/>
            </w:tcBorders>
            <w:shd w:val="clear" w:color="auto" w:fill="auto"/>
            <w:noWrap/>
            <w:vAlign w:val="center"/>
            <w:hideMark/>
          </w:tcPr>
          <w:p w14:paraId="73BE6746" w14:textId="77777777" w:rsidR="00F67FFD" w:rsidRPr="00F67FFD" w:rsidRDefault="00F67FFD" w:rsidP="00F67FFD">
            <w:pPr>
              <w:pStyle w:val="13"/>
              <w:spacing w:line="240" w:lineRule="auto"/>
              <w:ind w:firstLineChars="0" w:firstLine="0"/>
              <w:rPr>
                <w:sz w:val="21"/>
                <w:szCs w:val="21"/>
              </w:rPr>
            </w:pPr>
            <w:r w:rsidRPr="00F67FFD">
              <w:rPr>
                <w:sz w:val="21"/>
                <w:szCs w:val="21"/>
              </w:rPr>
              <w:t>人力资源管理咨询</w:t>
            </w:r>
          </w:p>
        </w:tc>
      </w:tr>
      <w:tr w:rsidR="00F67FFD" w:rsidRPr="00F67FFD" w14:paraId="299DD0E4"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3AFBFE37"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705469BB"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71691E65" w14:textId="77777777" w:rsidR="00F67FFD" w:rsidRPr="00F67FFD" w:rsidRDefault="00F67FFD" w:rsidP="00F67FFD">
            <w:pPr>
              <w:pStyle w:val="13"/>
              <w:spacing w:line="240" w:lineRule="auto"/>
              <w:ind w:firstLineChars="0" w:firstLine="0"/>
              <w:rPr>
                <w:sz w:val="21"/>
                <w:szCs w:val="21"/>
              </w:rPr>
            </w:pPr>
            <w:r w:rsidRPr="00F67FFD">
              <w:rPr>
                <w:sz w:val="21"/>
                <w:szCs w:val="21"/>
              </w:rPr>
              <w:t>3.1.13</w:t>
            </w:r>
          </w:p>
        </w:tc>
        <w:tc>
          <w:tcPr>
            <w:tcW w:w="2911" w:type="pct"/>
            <w:tcBorders>
              <w:top w:val="nil"/>
              <w:left w:val="nil"/>
              <w:bottom w:val="single" w:sz="4" w:space="0" w:color="auto"/>
              <w:right w:val="single" w:sz="4" w:space="0" w:color="auto"/>
            </w:tcBorders>
            <w:shd w:val="clear" w:color="auto" w:fill="auto"/>
            <w:noWrap/>
            <w:vAlign w:val="center"/>
            <w:hideMark/>
          </w:tcPr>
          <w:p w14:paraId="68C00572" w14:textId="77777777" w:rsidR="00F67FFD" w:rsidRPr="00F67FFD" w:rsidRDefault="00F67FFD" w:rsidP="00F67FFD">
            <w:pPr>
              <w:pStyle w:val="13"/>
              <w:spacing w:line="240" w:lineRule="auto"/>
              <w:ind w:firstLineChars="0" w:firstLine="0"/>
              <w:rPr>
                <w:sz w:val="21"/>
                <w:szCs w:val="21"/>
              </w:rPr>
            </w:pPr>
            <w:r w:rsidRPr="00F67FFD">
              <w:rPr>
                <w:sz w:val="21"/>
                <w:szCs w:val="21"/>
              </w:rPr>
              <w:t>激励约束机制设计及评价</w:t>
            </w:r>
          </w:p>
        </w:tc>
      </w:tr>
      <w:tr w:rsidR="00F67FFD" w:rsidRPr="00F67FFD" w14:paraId="3372B269"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26637294"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502F50A3"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423551E2" w14:textId="77777777" w:rsidR="00F67FFD" w:rsidRPr="00F67FFD" w:rsidRDefault="00F67FFD" w:rsidP="00F67FFD">
            <w:pPr>
              <w:pStyle w:val="13"/>
              <w:spacing w:line="240" w:lineRule="auto"/>
              <w:ind w:firstLineChars="0" w:firstLine="0"/>
              <w:rPr>
                <w:sz w:val="21"/>
                <w:szCs w:val="21"/>
              </w:rPr>
            </w:pPr>
            <w:r w:rsidRPr="00F67FFD">
              <w:rPr>
                <w:sz w:val="21"/>
                <w:szCs w:val="21"/>
              </w:rPr>
              <w:t>3.1.14</w:t>
            </w:r>
          </w:p>
        </w:tc>
        <w:tc>
          <w:tcPr>
            <w:tcW w:w="2911" w:type="pct"/>
            <w:tcBorders>
              <w:top w:val="nil"/>
              <w:left w:val="nil"/>
              <w:bottom w:val="single" w:sz="4" w:space="0" w:color="auto"/>
              <w:right w:val="single" w:sz="4" w:space="0" w:color="auto"/>
            </w:tcBorders>
            <w:shd w:val="clear" w:color="auto" w:fill="auto"/>
            <w:noWrap/>
            <w:vAlign w:val="center"/>
            <w:hideMark/>
          </w:tcPr>
          <w:p w14:paraId="12932EAF" w14:textId="77777777" w:rsidR="00F67FFD" w:rsidRPr="00F67FFD" w:rsidRDefault="00F67FFD" w:rsidP="00F67FFD">
            <w:pPr>
              <w:pStyle w:val="13"/>
              <w:spacing w:line="240" w:lineRule="auto"/>
              <w:ind w:firstLineChars="0" w:firstLine="0"/>
              <w:rPr>
                <w:sz w:val="21"/>
                <w:szCs w:val="21"/>
              </w:rPr>
            </w:pPr>
            <w:r w:rsidRPr="00F67FFD">
              <w:rPr>
                <w:sz w:val="21"/>
                <w:szCs w:val="21"/>
              </w:rPr>
              <w:t>流程重构/重整</w:t>
            </w:r>
          </w:p>
        </w:tc>
      </w:tr>
      <w:tr w:rsidR="00F67FFD" w:rsidRPr="00F67FFD" w14:paraId="47F407DC"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523340E2"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134CF6AB"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0A9FCC6D" w14:textId="77777777" w:rsidR="00F67FFD" w:rsidRPr="00F67FFD" w:rsidRDefault="00F67FFD" w:rsidP="00F67FFD">
            <w:pPr>
              <w:pStyle w:val="13"/>
              <w:spacing w:line="240" w:lineRule="auto"/>
              <w:ind w:firstLineChars="0" w:firstLine="0"/>
              <w:rPr>
                <w:sz w:val="21"/>
                <w:szCs w:val="21"/>
              </w:rPr>
            </w:pPr>
            <w:r w:rsidRPr="00F67FFD">
              <w:rPr>
                <w:sz w:val="21"/>
                <w:szCs w:val="21"/>
              </w:rPr>
              <w:t>3.1.15</w:t>
            </w:r>
          </w:p>
        </w:tc>
        <w:tc>
          <w:tcPr>
            <w:tcW w:w="2911" w:type="pct"/>
            <w:tcBorders>
              <w:top w:val="nil"/>
              <w:left w:val="nil"/>
              <w:bottom w:val="single" w:sz="4" w:space="0" w:color="auto"/>
              <w:right w:val="single" w:sz="4" w:space="0" w:color="auto"/>
            </w:tcBorders>
            <w:shd w:val="clear" w:color="auto" w:fill="auto"/>
            <w:noWrap/>
            <w:vAlign w:val="center"/>
            <w:hideMark/>
          </w:tcPr>
          <w:p w14:paraId="2F721DF5" w14:textId="77777777" w:rsidR="00F67FFD" w:rsidRPr="00F67FFD" w:rsidRDefault="00F67FFD" w:rsidP="00F67FFD">
            <w:pPr>
              <w:pStyle w:val="13"/>
              <w:spacing w:line="240" w:lineRule="auto"/>
              <w:ind w:firstLineChars="0" w:firstLine="0"/>
              <w:rPr>
                <w:sz w:val="21"/>
                <w:szCs w:val="21"/>
              </w:rPr>
            </w:pPr>
            <w:r w:rsidRPr="00F67FFD">
              <w:rPr>
                <w:sz w:val="21"/>
                <w:szCs w:val="21"/>
              </w:rPr>
              <w:t>风险管理</w:t>
            </w:r>
          </w:p>
        </w:tc>
      </w:tr>
      <w:tr w:rsidR="00F67FFD" w:rsidRPr="00F67FFD" w14:paraId="348A3252"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77DE642D"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29B609B6"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479F4C3B" w14:textId="77777777" w:rsidR="00F67FFD" w:rsidRPr="00F67FFD" w:rsidRDefault="00F67FFD" w:rsidP="00F67FFD">
            <w:pPr>
              <w:pStyle w:val="13"/>
              <w:spacing w:line="240" w:lineRule="auto"/>
              <w:ind w:firstLineChars="0" w:firstLine="0"/>
              <w:rPr>
                <w:sz w:val="21"/>
                <w:szCs w:val="21"/>
              </w:rPr>
            </w:pPr>
            <w:r w:rsidRPr="00F67FFD">
              <w:rPr>
                <w:sz w:val="21"/>
                <w:szCs w:val="21"/>
              </w:rPr>
              <w:t>3.1.16</w:t>
            </w:r>
          </w:p>
        </w:tc>
        <w:tc>
          <w:tcPr>
            <w:tcW w:w="2911" w:type="pct"/>
            <w:tcBorders>
              <w:top w:val="nil"/>
              <w:left w:val="nil"/>
              <w:bottom w:val="single" w:sz="4" w:space="0" w:color="auto"/>
              <w:right w:val="single" w:sz="4" w:space="0" w:color="auto"/>
            </w:tcBorders>
            <w:shd w:val="clear" w:color="auto" w:fill="auto"/>
            <w:noWrap/>
            <w:vAlign w:val="center"/>
            <w:hideMark/>
          </w:tcPr>
          <w:p w14:paraId="453C475A" w14:textId="77777777" w:rsidR="00F67FFD" w:rsidRPr="00F67FFD" w:rsidRDefault="00F67FFD" w:rsidP="00F67FFD">
            <w:pPr>
              <w:pStyle w:val="13"/>
              <w:spacing w:line="240" w:lineRule="auto"/>
              <w:ind w:firstLineChars="0" w:firstLine="0"/>
              <w:rPr>
                <w:sz w:val="21"/>
                <w:szCs w:val="21"/>
              </w:rPr>
            </w:pPr>
            <w:r w:rsidRPr="00F67FFD">
              <w:rPr>
                <w:sz w:val="21"/>
                <w:szCs w:val="21"/>
              </w:rPr>
              <w:t>价值管理</w:t>
            </w:r>
          </w:p>
        </w:tc>
      </w:tr>
      <w:tr w:rsidR="00F67FFD" w:rsidRPr="00F67FFD" w14:paraId="5F7627E1"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34B93979"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40DEADF3"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39C418B2" w14:textId="77777777" w:rsidR="00F67FFD" w:rsidRPr="00F67FFD" w:rsidRDefault="00F67FFD" w:rsidP="00F67FFD">
            <w:pPr>
              <w:pStyle w:val="13"/>
              <w:spacing w:line="240" w:lineRule="auto"/>
              <w:ind w:firstLineChars="0" w:firstLine="0"/>
              <w:rPr>
                <w:sz w:val="21"/>
                <w:szCs w:val="21"/>
              </w:rPr>
            </w:pPr>
            <w:r w:rsidRPr="00F67FFD">
              <w:rPr>
                <w:sz w:val="21"/>
                <w:szCs w:val="21"/>
              </w:rPr>
              <w:t>3.1.17</w:t>
            </w:r>
          </w:p>
        </w:tc>
        <w:tc>
          <w:tcPr>
            <w:tcW w:w="2911" w:type="pct"/>
            <w:tcBorders>
              <w:top w:val="nil"/>
              <w:left w:val="nil"/>
              <w:bottom w:val="single" w:sz="4" w:space="0" w:color="auto"/>
              <w:right w:val="single" w:sz="4" w:space="0" w:color="auto"/>
            </w:tcBorders>
            <w:shd w:val="clear" w:color="auto" w:fill="auto"/>
            <w:noWrap/>
            <w:vAlign w:val="center"/>
            <w:hideMark/>
          </w:tcPr>
          <w:p w14:paraId="32F44134" w14:textId="77777777" w:rsidR="00F67FFD" w:rsidRPr="00F67FFD" w:rsidRDefault="00F67FFD" w:rsidP="00F67FFD">
            <w:pPr>
              <w:pStyle w:val="13"/>
              <w:spacing w:line="240" w:lineRule="auto"/>
              <w:ind w:firstLineChars="0" w:firstLine="0"/>
              <w:rPr>
                <w:sz w:val="21"/>
                <w:szCs w:val="21"/>
              </w:rPr>
            </w:pPr>
            <w:r w:rsidRPr="00F67FFD">
              <w:rPr>
                <w:sz w:val="21"/>
                <w:szCs w:val="21"/>
              </w:rPr>
              <w:t>战略管理</w:t>
            </w:r>
          </w:p>
        </w:tc>
      </w:tr>
      <w:tr w:rsidR="00F67FFD" w:rsidRPr="00F67FFD" w14:paraId="2C65F868"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52E4C139"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2CD5836C"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161F864D" w14:textId="77777777" w:rsidR="00F67FFD" w:rsidRPr="00F67FFD" w:rsidRDefault="00F67FFD" w:rsidP="00F67FFD">
            <w:pPr>
              <w:pStyle w:val="13"/>
              <w:spacing w:line="240" w:lineRule="auto"/>
              <w:ind w:firstLineChars="0" w:firstLine="0"/>
              <w:rPr>
                <w:sz w:val="21"/>
                <w:szCs w:val="21"/>
              </w:rPr>
            </w:pPr>
            <w:r w:rsidRPr="00F67FFD">
              <w:rPr>
                <w:sz w:val="21"/>
                <w:szCs w:val="21"/>
              </w:rPr>
              <w:t>3.1.18</w:t>
            </w:r>
          </w:p>
        </w:tc>
        <w:tc>
          <w:tcPr>
            <w:tcW w:w="2911" w:type="pct"/>
            <w:tcBorders>
              <w:top w:val="nil"/>
              <w:left w:val="nil"/>
              <w:bottom w:val="single" w:sz="4" w:space="0" w:color="auto"/>
              <w:right w:val="single" w:sz="4" w:space="0" w:color="auto"/>
            </w:tcBorders>
            <w:shd w:val="clear" w:color="auto" w:fill="auto"/>
            <w:noWrap/>
            <w:vAlign w:val="center"/>
            <w:hideMark/>
          </w:tcPr>
          <w:p w14:paraId="526FF710" w14:textId="77777777" w:rsidR="00F67FFD" w:rsidRPr="00F67FFD" w:rsidRDefault="00F67FFD" w:rsidP="00F67FFD">
            <w:pPr>
              <w:pStyle w:val="13"/>
              <w:spacing w:line="240" w:lineRule="auto"/>
              <w:ind w:firstLineChars="0" w:firstLine="0"/>
              <w:rPr>
                <w:sz w:val="21"/>
                <w:szCs w:val="21"/>
              </w:rPr>
            </w:pPr>
            <w:r w:rsidRPr="00F67FFD">
              <w:rPr>
                <w:sz w:val="21"/>
                <w:szCs w:val="21"/>
              </w:rPr>
              <w:t>并购重组的交易结构、路径、方案等咨询业务</w:t>
            </w:r>
          </w:p>
        </w:tc>
      </w:tr>
      <w:tr w:rsidR="00F67FFD" w:rsidRPr="00F67FFD" w14:paraId="245DCE6B"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5EF76E38"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554C3C46"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68B132C7" w14:textId="77777777" w:rsidR="00F67FFD" w:rsidRPr="00F67FFD" w:rsidRDefault="00F67FFD" w:rsidP="00F67FFD">
            <w:pPr>
              <w:pStyle w:val="13"/>
              <w:spacing w:line="240" w:lineRule="auto"/>
              <w:ind w:firstLineChars="0" w:firstLine="0"/>
              <w:rPr>
                <w:sz w:val="21"/>
                <w:szCs w:val="21"/>
              </w:rPr>
            </w:pPr>
            <w:r w:rsidRPr="00F67FFD">
              <w:rPr>
                <w:sz w:val="21"/>
                <w:szCs w:val="21"/>
              </w:rPr>
              <w:t>3.1.19</w:t>
            </w:r>
          </w:p>
        </w:tc>
        <w:tc>
          <w:tcPr>
            <w:tcW w:w="2911" w:type="pct"/>
            <w:tcBorders>
              <w:top w:val="nil"/>
              <w:left w:val="nil"/>
              <w:bottom w:val="single" w:sz="4" w:space="0" w:color="auto"/>
              <w:right w:val="single" w:sz="4" w:space="0" w:color="auto"/>
            </w:tcBorders>
            <w:shd w:val="clear" w:color="auto" w:fill="auto"/>
            <w:noWrap/>
            <w:vAlign w:val="center"/>
            <w:hideMark/>
          </w:tcPr>
          <w:p w14:paraId="70F5E4F7" w14:textId="77777777" w:rsidR="00F67FFD" w:rsidRPr="00F67FFD" w:rsidRDefault="00F67FFD" w:rsidP="00F67FFD">
            <w:pPr>
              <w:pStyle w:val="13"/>
              <w:spacing w:line="240" w:lineRule="auto"/>
              <w:ind w:firstLineChars="0" w:firstLine="0"/>
              <w:rPr>
                <w:sz w:val="21"/>
                <w:szCs w:val="21"/>
              </w:rPr>
            </w:pPr>
            <w:r w:rsidRPr="00F67FFD">
              <w:rPr>
                <w:sz w:val="21"/>
                <w:szCs w:val="21"/>
              </w:rPr>
              <w:t>并购重组的税收问题咨询</w:t>
            </w:r>
          </w:p>
        </w:tc>
      </w:tr>
      <w:tr w:rsidR="00F67FFD" w:rsidRPr="00F67FFD" w14:paraId="7B873025"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3DC4ADEC"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3D51026A"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67D66184" w14:textId="77777777" w:rsidR="00F67FFD" w:rsidRPr="00F67FFD" w:rsidRDefault="00F67FFD" w:rsidP="00F67FFD">
            <w:pPr>
              <w:pStyle w:val="13"/>
              <w:spacing w:line="240" w:lineRule="auto"/>
              <w:ind w:firstLineChars="0" w:firstLine="0"/>
              <w:rPr>
                <w:sz w:val="21"/>
                <w:szCs w:val="21"/>
              </w:rPr>
            </w:pPr>
            <w:r w:rsidRPr="00F67FFD">
              <w:rPr>
                <w:sz w:val="21"/>
                <w:szCs w:val="21"/>
              </w:rPr>
              <w:t>3.1.20</w:t>
            </w:r>
          </w:p>
        </w:tc>
        <w:tc>
          <w:tcPr>
            <w:tcW w:w="2911" w:type="pct"/>
            <w:tcBorders>
              <w:top w:val="nil"/>
              <w:left w:val="nil"/>
              <w:bottom w:val="single" w:sz="4" w:space="0" w:color="auto"/>
              <w:right w:val="single" w:sz="4" w:space="0" w:color="auto"/>
            </w:tcBorders>
            <w:shd w:val="clear" w:color="auto" w:fill="auto"/>
            <w:noWrap/>
            <w:vAlign w:val="center"/>
            <w:hideMark/>
          </w:tcPr>
          <w:p w14:paraId="2667E9F5" w14:textId="77777777" w:rsidR="00F67FFD" w:rsidRPr="00F67FFD" w:rsidRDefault="00F67FFD" w:rsidP="00F67FFD">
            <w:pPr>
              <w:pStyle w:val="13"/>
              <w:spacing w:line="240" w:lineRule="auto"/>
              <w:ind w:firstLineChars="0" w:firstLine="0"/>
              <w:rPr>
                <w:sz w:val="21"/>
                <w:szCs w:val="21"/>
              </w:rPr>
            </w:pPr>
            <w:r w:rsidRPr="00F67FFD">
              <w:rPr>
                <w:sz w:val="21"/>
                <w:szCs w:val="21"/>
              </w:rPr>
              <w:t>破产顾问服务、托管人与接管人服务</w:t>
            </w:r>
          </w:p>
        </w:tc>
      </w:tr>
      <w:tr w:rsidR="00F67FFD" w:rsidRPr="00F67FFD" w14:paraId="7E20317C"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0C4EFAF9"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4CFEDBED"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6847F926" w14:textId="77777777" w:rsidR="00F67FFD" w:rsidRPr="00F67FFD" w:rsidRDefault="00F67FFD" w:rsidP="00F67FFD">
            <w:pPr>
              <w:pStyle w:val="13"/>
              <w:spacing w:line="240" w:lineRule="auto"/>
              <w:ind w:firstLineChars="0" w:firstLine="0"/>
              <w:rPr>
                <w:sz w:val="21"/>
                <w:szCs w:val="21"/>
              </w:rPr>
            </w:pPr>
            <w:r w:rsidRPr="00F67FFD">
              <w:rPr>
                <w:sz w:val="21"/>
                <w:szCs w:val="21"/>
              </w:rPr>
              <w:t>3.1.21</w:t>
            </w:r>
          </w:p>
        </w:tc>
        <w:tc>
          <w:tcPr>
            <w:tcW w:w="2911" w:type="pct"/>
            <w:tcBorders>
              <w:top w:val="nil"/>
              <w:left w:val="nil"/>
              <w:bottom w:val="single" w:sz="4" w:space="0" w:color="auto"/>
              <w:right w:val="single" w:sz="4" w:space="0" w:color="auto"/>
            </w:tcBorders>
            <w:shd w:val="clear" w:color="auto" w:fill="auto"/>
            <w:noWrap/>
            <w:vAlign w:val="center"/>
            <w:hideMark/>
          </w:tcPr>
          <w:p w14:paraId="2C2E0FC8" w14:textId="77777777" w:rsidR="00F67FFD" w:rsidRPr="00F67FFD" w:rsidRDefault="00F67FFD" w:rsidP="00F67FFD">
            <w:pPr>
              <w:pStyle w:val="13"/>
              <w:spacing w:line="240" w:lineRule="auto"/>
              <w:ind w:firstLineChars="0" w:firstLine="0"/>
              <w:rPr>
                <w:sz w:val="21"/>
                <w:szCs w:val="21"/>
              </w:rPr>
            </w:pPr>
            <w:r w:rsidRPr="00F67FFD">
              <w:rPr>
                <w:sz w:val="21"/>
                <w:szCs w:val="21"/>
              </w:rPr>
              <w:t>破产诉讼与赔偿管理咨询</w:t>
            </w:r>
          </w:p>
        </w:tc>
      </w:tr>
      <w:tr w:rsidR="00F67FFD" w:rsidRPr="00F67FFD" w14:paraId="503C2EC4"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34176D57"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01CA6FDC"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4E3208D0" w14:textId="77777777" w:rsidR="00F67FFD" w:rsidRPr="00F67FFD" w:rsidRDefault="00F67FFD" w:rsidP="00F67FFD">
            <w:pPr>
              <w:pStyle w:val="13"/>
              <w:spacing w:line="240" w:lineRule="auto"/>
              <w:ind w:firstLineChars="0" w:firstLine="0"/>
              <w:rPr>
                <w:sz w:val="21"/>
                <w:szCs w:val="21"/>
              </w:rPr>
            </w:pPr>
            <w:r w:rsidRPr="00F67FFD">
              <w:rPr>
                <w:sz w:val="21"/>
                <w:szCs w:val="21"/>
              </w:rPr>
              <w:t>3.1.22</w:t>
            </w:r>
          </w:p>
        </w:tc>
        <w:tc>
          <w:tcPr>
            <w:tcW w:w="2911" w:type="pct"/>
            <w:tcBorders>
              <w:top w:val="nil"/>
              <w:left w:val="nil"/>
              <w:bottom w:val="single" w:sz="4" w:space="0" w:color="auto"/>
              <w:right w:val="single" w:sz="4" w:space="0" w:color="auto"/>
            </w:tcBorders>
            <w:shd w:val="clear" w:color="auto" w:fill="auto"/>
            <w:noWrap/>
            <w:vAlign w:val="center"/>
            <w:hideMark/>
          </w:tcPr>
          <w:p w14:paraId="7088EEC0" w14:textId="77777777" w:rsidR="00F67FFD" w:rsidRPr="00F67FFD" w:rsidRDefault="00F67FFD" w:rsidP="00F67FFD">
            <w:pPr>
              <w:pStyle w:val="13"/>
              <w:spacing w:line="240" w:lineRule="auto"/>
              <w:ind w:firstLineChars="0" w:firstLine="0"/>
              <w:rPr>
                <w:sz w:val="21"/>
                <w:szCs w:val="21"/>
              </w:rPr>
            </w:pPr>
            <w:r w:rsidRPr="00F67FFD">
              <w:rPr>
                <w:sz w:val="21"/>
                <w:szCs w:val="21"/>
              </w:rPr>
              <w:t>企业争端分析与调查</w:t>
            </w:r>
          </w:p>
        </w:tc>
      </w:tr>
      <w:tr w:rsidR="00F67FFD" w:rsidRPr="00F67FFD" w14:paraId="55545DAD" w14:textId="77777777" w:rsidTr="00F67FFD">
        <w:trPr>
          <w:trHeight w:val="20"/>
        </w:trPr>
        <w:tc>
          <w:tcPr>
            <w:tcW w:w="67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DAE826" w14:textId="77777777" w:rsidR="00F67FFD" w:rsidRPr="00F67FFD" w:rsidRDefault="00F67FFD" w:rsidP="00F67FFD">
            <w:pPr>
              <w:pStyle w:val="13"/>
              <w:spacing w:line="240" w:lineRule="auto"/>
              <w:ind w:firstLineChars="0" w:firstLine="0"/>
              <w:rPr>
                <w:sz w:val="21"/>
                <w:szCs w:val="21"/>
              </w:rPr>
            </w:pPr>
            <w:r w:rsidRPr="00F67FFD">
              <w:rPr>
                <w:sz w:val="21"/>
                <w:szCs w:val="21"/>
              </w:rPr>
              <w:t>3.2</w:t>
            </w:r>
          </w:p>
        </w:tc>
        <w:tc>
          <w:tcPr>
            <w:tcW w:w="9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08D690" w14:textId="77777777" w:rsidR="00F67FFD" w:rsidRPr="00F67FFD" w:rsidRDefault="00F67FFD" w:rsidP="00F67FFD">
            <w:pPr>
              <w:pStyle w:val="13"/>
              <w:spacing w:line="240" w:lineRule="auto"/>
              <w:ind w:firstLineChars="0" w:firstLine="0"/>
              <w:rPr>
                <w:sz w:val="21"/>
                <w:szCs w:val="21"/>
              </w:rPr>
            </w:pPr>
            <w:r w:rsidRPr="00F67FFD">
              <w:rPr>
                <w:sz w:val="21"/>
                <w:szCs w:val="21"/>
              </w:rPr>
              <w:t>其他</w:t>
            </w:r>
          </w:p>
        </w:tc>
        <w:tc>
          <w:tcPr>
            <w:tcW w:w="485" w:type="pct"/>
            <w:tcBorders>
              <w:top w:val="nil"/>
              <w:left w:val="nil"/>
              <w:bottom w:val="single" w:sz="4" w:space="0" w:color="auto"/>
              <w:right w:val="single" w:sz="4" w:space="0" w:color="auto"/>
            </w:tcBorders>
            <w:shd w:val="clear" w:color="auto" w:fill="auto"/>
            <w:noWrap/>
            <w:vAlign w:val="center"/>
            <w:hideMark/>
          </w:tcPr>
          <w:p w14:paraId="7A1C4D91" w14:textId="77777777" w:rsidR="00F67FFD" w:rsidRPr="00F67FFD" w:rsidRDefault="00F67FFD" w:rsidP="00F67FFD">
            <w:pPr>
              <w:pStyle w:val="13"/>
              <w:spacing w:line="240" w:lineRule="auto"/>
              <w:ind w:firstLineChars="0" w:firstLine="0"/>
              <w:rPr>
                <w:sz w:val="21"/>
                <w:szCs w:val="21"/>
              </w:rPr>
            </w:pPr>
            <w:r w:rsidRPr="00F67FFD">
              <w:rPr>
                <w:sz w:val="21"/>
                <w:szCs w:val="21"/>
              </w:rPr>
              <w:t>3.2.1</w:t>
            </w:r>
          </w:p>
        </w:tc>
        <w:tc>
          <w:tcPr>
            <w:tcW w:w="2911" w:type="pct"/>
            <w:tcBorders>
              <w:top w:val="nil"/>
              <w:left w:val="nil"/>
              <w:bottom w:val="single" w:sz="4" w:space="0" w:color="auto"/>
              <w:right w:val="single" w:sz="4" w:space="0" w:color="auto"/>
            </w:tcBorders>
            <w:shd w:val="clear" w:color="auto" w:fill="auto"/>
            <w:noWrap/>
            <w:vAlign w:val="center"/>
            <w:hideMark/>
          </w:tcPr>
          <w:p w14:paraId="2AD8AC3D" w14:textId="77777777" w:rsidR="00F67FFD" w:rsidRPr="00F67FFD" w:rsidRDefault="00F67FFD" w:rsidP="00F67FFD">
            <w:pPr>
              <w:pStyle w:val="13"/>
              <w:spacing w:line="240" w:lineRule="auto"/>
              <w:ind w:firstLineChars="0" w:firstLine="0"/>
              <w:rPr>
                <w:sz w:val="21"/>
                <w:szCs w:val="21"/>
              </w:rPr>
            </w:pPr>
            <w:r w:rsidRPr="00F67FFD">
              <w:rPr>
                <w:sz w:val="21"/>
                <w:szCs w:val="21"/>
              </w:rPr>
              <w:t>质量信用评估</w:t>
            </w:r>
          </w:p>
        </w:tc>
      </w:tr>
      <w:tr w:rsidR="00F67FFD" w:rsidRPr="00F67FFD" w14:paraId="6B2A1C5E"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209A948F"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6541FC34"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2F7530F5" w14:textId="77777777" w:rsidR="00F67FFD" w:rsidRPr="00F67FFD" w:rsidRDefault="00F67FFD" w:rsidP="00F67FFD">
            <w:pPr>
              <w:pStyle w:val="13"/>
              <w:spacing w:line="240" w:lineRule="auto"/>
              <w:ind w:firstLineChars="0" w:firstLine="0"/>
              <w:rPr>
                <w:sz w:val="21"/>
                <w:szCs w:val="21"/>
              </w:rPr>
            </w:pPr>
            <w:r w:rsidRPr="00F67FFD">
              <w:rPr>
                <w:sz w:val="21"/>
                <w:szCs w:val="21"/>
              </w:rPr>
              <w:t>3.2.2</w:t>
            </w:r>
          </w:p>
        </w:tc>
        <w:tc>
          <w:tcPr>
            <w:tcW w:w="2911" w:type="pct"/>
            <w:tcBorders>
              <w:top w:val="nil"/>
              <w:left w:val="nil"/>
              <w:bottom w:val="single" w:sz="4" w:space="0" w:color="auto"/>
              <w:right w:val="single" w:sz="4" w:space="0" w:color="auto"/>
            </w:tcBorders>
            <w:shd w:val="clear" w:color="auto" w:fill="auto"/>
            <w:noWrap/>
            <w:vAlign w:val="center"/>
            <w:hideMark/>
          </w:tcPr>
          <w:p w14:paraId="3DE3E738" w14:textId="77777777" w:rsidR="00F67FFD" w:rsidRPr="00F67FFD" w:rsidRDefault="00F67FFD" w:rsidP="00F67FFD">
            <w:pPr>
              <w:pStyle w:val="13"/>
              <w:spacing w:line="240" w:lineRule="auto"/>
              <w:ind w:firstLineChars="0" w:firstLine="0"/>
              <w:rPr>
                <w:sz w:val="21"/>
                <w:szCs w:val="21"/>
              </w:rPr>
            </w:pPr>
            <w:r w:rsidRPr="00F67FFD">
              <w:rPr>
                <w:sz w:val="21"/>
                <w:szCs w:val="21"/>
              </w:rPr>
              <w:t>社会组织评估</w:t>
            </w:r>
          </w:p>
        </w:tc>
      </w:tr>
      <w:tr w:rsidR="00F67FFD" w:rsidRPr="00F67FFD" w14:paraId="1D9238B8"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498F37DC"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165EDA8D"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4FF30EB7" w14:textId="77777777" w:rsidR="00F67FFD" w:rsidRPr="00F67FFD" w:rsidRDefault="00F67FFD" w:rsidP="00F67FFD">
            <w:pPr>
              <w:pStyle w:val="13"/>
              <w:spacing w:line="240" w:lineRule="auto"/>
              <w:ind w:firstLineChars="0" w:firstLine="0"/>
              <w:rPr>
                <w:sz w:val="21"/>
                <w:szCs w:val="21"/>
              </w:rPr>
            </w:pPr>
            <w:r w:rsidRPr="00F67FFD">
              <w:rPr>
                <w:sz w:val="21"/>
                <w:szCs w:val="21"/>
              </w:rPr>
              <w:t>3.2.3</w:t>
            </w:r>
          </w:p>
        </w:tc>
        <w:tc>
          <w:tcPr>
            <w:tcW w:w="2911" w:type="pct"/>
            <w:tcBorders>
              <w:top w:val="nil"/>
              <w:left w:val="nil"/>
              <w:bottom w:val="single" w:sz="4" w:space="0" w:color="auto"/>
              <w:right w:val="single" w:sz="4" w:space="0" w:color="auto"/>
            </w:tcBorders>
            <w:shd w:val="clear" w:color="auto" w:fill="auto"/>
            <w:noWrap/>
            <w:vAlign w:val="center"/>
            <w:hideMark/>
          </w:tcPr>
          <w:p w14:paraId="3A8864DD" w14:textId="77777777" w:rsidR="00F67FFD" w:rsidRPr="00F67FFD" w:rsidRDefault="00F67FFD" w:rsidP="00F67FFD">
            <w:pPr>
              <w:pStyle w:val="13"/>
              <w:spacing w:line="240" w:lineRule="auto"/>
              <w:ind w:firstLineChars="0" w:firstLine="0"/>
              <w:rPr>
                <w:sz w:val="21"/>
                <w:szCs w:val="21"/>
              </w:rPr>
            </w:pPr>
            <w:r w:rsidRPr="00F67FFD">
              <w:rPr>
                <w:sz w:val="21"/>
                <w:szCs w:val="21"/>
              </w:rPr>
              <w:t>预算绩效管理咨询</w:t>
            </w:r>
          </w:p>
        </w:tc>
      </w:tr>
      <w:tr w:rsidR="00F67FFD" w:rsidRPr="00F67FFD" w14:paraId="4BFE3DDC"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0D96BACC"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6A88D051"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1DAC93B6" w14:textId="77777777" w:rsidR="00F67FFD" w:rsidRPr="00F67FFD" w:rsidRDefault="00F67FFD" w:rsidP="00F67FFD">
            <w:pPr>
              <w:pStyle w:val="13"/>
              <w:spacing w:line="240" w:lineRule="auto"/>
              <w:ind w:firstLineChars="0" w:firstLine="0"/>
              <w:rPr>
                <w:sz w:val="21"/>
                <w:szCs w:val="21"/>
              </w:rPr>
            </w:pPr>
            <w:r w:rsidRPr="00F67FFD">
              <w:rPr>
                <w:sz w:val="21"/>
                <w:szCs w:val="21"/>
              </w:rPr>
              <w:t>3.2.4</w:t>
            </w:r>
          </w:p>
        </w:tc>
        <w:tc>
          <w:tcPr>
            <w:tcW w:w="2911" w:type="pct"/>
            <w:tcBorders>
              <w:top w:val="nil"/>
              <w:left w:val="nil"/>
              <w:bottom w:val="single" w:sz="4" w:space="0" w:color="auto"/>
              <w:right w:val="single" w:sz="4" w:space="0" w:color="auto"/>
            </w:tcBorders>
            <w:shd w:val="clear" w:color="auto" w:fill="auto"/>
            <w:noWrap/>
            <w:vAlign w:val="center"/>
            <w:hideMark/>
          </w:tcPr>
          <w:p w14:paraId="00AB7042" w14:textId="77777777" w:rsidR="00F67FFD" w:rsidRPr="00F67FFD" w:rsidRDefault="00F67FFD" w:rsidP="00F67FFD">
            <w:pPr>
              <w:pStyle w:val="13"/>
              <w:spacing w:line="240" w:lineRule="auto"/>
              <w:ind w:firstLineChars="0" w:firstLine="0"/>
              <w:rPr>
                <w:sz w:val="21"/>
                <w:szCs w:val="21"/>
              </w:rPr>
            </w:pPr>
            <w:r w:rsidRPr="00F67FFD">
              <w:rPr>
                <w:sz w:val="21"/>
                <w:szCs w:val="21"/>
              </w:rPr>
              <w:t>为农村集体经济提供咨询服务</w:t>
            </w:r>
          </w:p>
        </w:tc>
      </w:tr>
      <w:tr w:rsidR="00F67FFD" w:rsidRPr="00F67FFD" w14:paraId="1B1C9A2E"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73980F5D"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2B92646A"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2A22F347" w14:textId="77777777" w:rsidR="00F67FFD" w:rsidRPr="00F67FFD" w:rsidRDefault="00F67FFD" w:rsidP="00F67FFD">
            <w:pPr>
              <w:pStyle w:val="13"/>
              <w:spacing w:line="240" w:lineRule="auto"/>
              <w:ind w:firstLineChars="0" w:firstLine="0"/>
              <w:rPr>
                <w:sz w:val="21"/>
                <w:szCs w:val="21"/>
              </w:rPr>
            </w:pPr>
            <w:r w:rsidRPr="00F67FFD">
              <w:rPr>
                <w:sz w:val="21"/>
                <w:szCs w:val="21"/>
              </w:rPr>
              <w:t>3.2.5</w:t>
            </w:r>
          </w:p>
        </w:tc>
        <w:tc>
          <w:tcPr>
            <w:tcW w:w="2911" w:type="pct"/>
            <w:tcBorders>
              <w:top w:val="nil"/>
              <w:left w:val="nil"/>
              <w:bottom w:val="single" w:sz="4" w:space="0" w:color="auto"/>
              <w:right w:val="single" w:sz="4" w:space="0" w:color="auto"/>
            </w:tcBorders>
            <w:shd w:val="clear" w:color="auto" w:fill="auto"/>
            <w:noWrap/>
            <w:vAlign w:val="center"/>
            <w:hideMark/>
          </w:tcPr>
          <w:p w14:paraId="19DBAA2F" w14:textId="77777777" w:rsidR="00F67FFD" w:rsidRPr="00F67FFD" w:rsidRDefault="00F67FFD" w:rsidP="00F67FFD">
            <w:pPr>
              <w:pStyle w:val="13"/>
              <w:spacing w:line="240" w:lineRule="auto"/>
              <w:ind w:firstLineChars="0" w:firstLine="0"/>
              <w:rPr>
                <w:sz w:val="21"/>
                <w:szCs w:val="21"/>
              </w:rPr>
            </w:pPr>
            <w:r w:rsidRPr="00F67FFD">
              <w:rPr>
                <w:sz w:val="21"/>
                <w:szCs w:val="21"/>
              </w:rPr>
              <w:t>工程造价咨询业务</w:t>
            </w:r>
          </w:p>
        </w:tc>
      </w:tr>
      <w:tr w:rsidR="00F67FFD" w:rsidRPr="00F67FFD" w14:paraId="4A99E58B"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335386AB"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26620B31"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1A540BB4" w14:textId="77777777" w:rsidR="00F67FFD" w:rsidRPr="00F67FFD" w:rsidRDefault="00F67FFD" w:rsidP="00F67FFD">
            <w:pPr>
              <w:pStyle w:val="13"/>
              <w:spacing w:line="240" w:lineRule="auto"/>
              <w:ind w:firstLineChars="0" w:firstLine="0"/>
              <w:rPr>
                <w:sz w:val="21"/>
                <w:szCs w:val="21"/>
              </w:rPr>
            </w:pPr>
            <w:r w:rsidRPr="00F67FFD">
              <w:rPr>
                <w:sz w:val="21"/>
                <w:szCs w:val="21"/>
              </w:rPr>
              <w:t>3.2.6</w:t>
            </w:r>
          </w:p>
        </w:tc>
        <w:tc>
          <w:tcPr>
            <w:tcW w:w="2911" w:type="pct"/>
            <w:tcBorders>
              <w:top w:val="nil"/>
              <w:left w:val="nil"/>
              <w:bottom w:val="single" w:sz="4" w:space="0" w:color="auto"/>
              <w:right w:val="single" w:sz="4" w:space="0" w:color="auto"/>
            </w:tcBorders>
            <w:shd w:val="clear" w:color="auto" w:fill="auto"/>
            <w:noWrap/>
            <w:vAlign w:val="center"/>
            <w:hideMark/>
          </w:tcPr>
          <w:p w14:paraId="2551B502" w14:textId="77777777" w:rsidR="00F67FFD" w:rsidRPr="00F67FFD" w:rsidRDefault="00F67FFD" w:rsidP="00F67FFD">
            <w:pPr>
              <w:pStyle w:val="13"/>
              <w:spacing w:line="240" w:lineRule="auto"/>
              <w:ind w:firstLineChars="0" w:firstLine="0"/>
              <w:rPr>
                <w:sz w:val="21"/>
                <w:szCs w:val="21"/>
              </w:rPr>
            </w:pPr>
            <w:r w:rsidRPr="00F67FFD">
              <w:rPr>
                <w:sz w:val="21"/>
                <w:szCs w:val="21"/>
              </w:rPr>
              <w:t>家庭资产配置服务</w:t>
            </w:r>
          </w:p>
        </w:tc>
      </w:tr>
      <w:tr w:rsidR="00F67FFD" w:rsidRPr="00F67FFD" w14:paraId="06AACF3D" w14:textId="77777777" w:rsidTr="00F67FFD">
        <w:trPr>
          <w:trHeight w:val="20"/>
        </w:trPr>
        <w:tc>
          <w:tcPr>
            <w:tcW w:w="673" w:type="pct"/>
            <w:vMerge/>
            <w:tcBorders>
              <w:top w:val="nil"/>
              <w:left w:val="single" w:sz="4" w:space="0" w:color="auto"/>
              <w:bottom w:val="single" w:sz="4" w:space="0" w:color="000000"/>
              <w:right w:val="single" w:sz="4" w:space="0" w:color="auto"/>
            </w:tcBorders>
            <w:vAlign w:val="center"/>
            <w:hideMark/>
          </w:tcPr>
          <w:p w14:paraId="0D07DAD8" w14:textId="77777777" w:rsidR="00F67FFD" w:rsidRPr="00F67FFD" w:rsidRDefault="00F67FFD" w:rsidP="00F67FFD">
            <w:pPr>
              <w:pStyle w:val="13"/>
              <w:spacing w:line="240" w:lineRule="auto"/>
              <w:ind w:firstLineChars="0" w:firstLine="0"/>
              <w:rPr>
                <w:sz w:val="21"/>
                <w:szCs w:val="21"/>
              </w:rPr>
            </w:pPr>
          </w:p>
        </w:tc>
        <w:tc>
          <w:tcPr>
            <w:tcW w:w="931" w:type="pct"/>
            <w:vMerge/>
            <w:tcBorders>
              <w:top w:val="nil"/>
              <w:left w:val="single" w:sz="4" w:space="0" w:color="auto"/>
              <w:bottom w:val="single" w:sz="4" w:space="0" w:color="000000"/>
              <w:right w:val="single" w:sz="4" w:space="0" w:color="auto"/>
            </w:tcBorders>
            <w:vAlign w:val="center"/>
            <w:hideMark/>
          </w:tcPr>
          <w:p w14:paraId="01633FAD" w14:textId="77777777" w:rsidR="00F67FFD" w:rsidRPr="00F67FFD" w:rsidRDefault="00F67FFD" w:rsidP="00F67FFD">
            <w:pPr>
              <w:pStyle w:val="13"/>
              <w:spacing w:line="240" w:lineRule="auto"/>
              <w:ind w:firstLineChars="0" w:firstLine="0"/>
              <w:rPr>
                <w:sz w:val="21"/>
                <w:szCs w:val="21"/>
              </w:rPr>
            </w:pPr>
          </w:p>
        </w:tc>
        <w:tc>
          <w:tcPr>
            <w:tcW w:w="485" w:type="pct"/>
            <w:tcBorders>
              <w:top w:val="nil"/>
              <w:left w:val="nil"/>
              <w:bottom w:val="single" w:sz="4" w:space="0" w:color="auto"/>
              <w:right w:val="single" w:sz="4" w:space="0" w:color="auto"/>
            </w:tcBorders>
            <w:shd w:val="clear" w:color="auto" w:fill="auto"/>
            <w:noWrap/>
            <w:vAlign w:val="center"/>
            <w:hideMark/>
          </w:tcPr>
          <w:p w14:paraId="578E93F5" w14:textId="77777777" w:rsidR="00F67FFD" w:rsidRPr="00F67FFD" w:rsidRDefault="00F67FFD" w:rsidP="00F67FFD">
            <w:pPr>
              <w:pStyle w:val="13"/>
              <w:spacing w:line="240" w:lineRule="auto"/>
              <w:ind w:firstLineChars="0" w:firstLine="0"/>
              <w:rPr>
                <w:sz w:val="21"/>
                <w:szCs w:val="21"/>
              </w:rPr>
            </w:pPr>
            <w:r w:rsidRPr="00F67FFD">
              <w:rPr>
                <w:sz w:val="21"/>
                <w:szCs w:val="21"/>
              </w:rPr>
              <w:t>3.2.7</w:t>
            </w:r>
          </w:p>
        </w:tc>
        <w:tc>
          <w:tcPr>
            <w:tcW w:w="2911" w:type="pct"/>
            <w:tcBorders>
              <w:top w:val="nil"/>
              <w:left w:val="nil"/>
              <w:bottom w:val="single" w:sz="4" w:space="0" w:color="auto"/>
              <w:right w:val="single" w:sz="4" w:space="0" w:color="auto"/>
            </w:tcBorders>
            <w:shd w:val="clear" w:color="auto" w:fill="auto"/>
            <w:noWrap/>
            <w:vAlign w:val="center"/>
            <w:hideMark/>
          </w:tcPr>
          <w:p w14:paraId="13CEFC1E" w14:textId="77777777" w:rsidR="00F67FFD" w:rsidRPr="00F67FFD" w:rsidRDefault="00F67FFD" w:rsidP="00F67FFD">
            <w:pPr>
              <w:pStyle w:val="13"/>
              <w:spacing w:line="240" w:lineRule="auto"/>
              <w:ind w:firstLineChars="0" w:firstLine="0"/>
              <w:rPr>
                <w:sz w:val="21"/>
                <w:szCs w:val="21"/>
              </w:rPr>
            </w:pPr>
            <w:r w:rsidRPr="00F67FFD">
              <w:rPr>
                <w:sz w:val="21"/>
                <w:szCs w:val="21"/>
              </w:rPr>
              <w:t>个人理财服务</w:t>
            </w:r>
          </w:p>
        </w:tc>
      </w:tr>
    </w:tbl>
    <w:p w14:paraId="3FADD960" w14:textId="77777777" w:rsidR="00F67FFD" w:rsidRDefault="00F67FFD" w:rsidP="00F67FFD">
      <w:pPr>
        <w:pStyle w:val="13"/>
      </w:pPr>
      <w:r>
        <w:rPr>
          <w:rFonts w:hint="eastAsia"/>
        </w:rPr>
        <w:t>（一）企业咨询类业务需求</w:t>
      </w:r>
    </w:p>
    <w:p w14:paraId="0B790548" w14:textId="77777777" w:rsidR="00F67FFD" w:rsidRDefault="00F67FFD" w:rsidP="00F67FFD">
      <w:pPr>
        <w:pStyle w:val="13"/>
      </w:pPr>
      <w:r>
        <w:t>1.业务来源</w:t>
      </w:r>
    </w:p>
    <w:p w14:paraId="3CCC409F" w14:textId="77777777" w:rsidR="00F67FFD" w:rsidRDefault="00F67FFD" w:rsidP="00F67FFD">
      <w:pPr>
        <w:pStyle w:val="13"/>
      </w:pPr>
      <w:r>
        <w:rPr>
          <w:rFonts w:hint="eastAsia"/>
        </w:rPr>
        <w:t>企业触发咨询类业务需求的经济行为主要包括尽职调查、税基评估、财务管理、合</w:t>
      </w:r>
      <w:proofErr w:type="gramStart"/>
      <w:r>
        <w:rPr>
          <w:rFonts w:hint="eastAsia"/>
        </w:rPr>
        <w:t>规</w:t>
      </w:r>
      <w:proofErr w:type="gramEnd"/>
      <w:r>
        <w:rPr>
          <w:rFonts w:hint="eastAsia"/>
        </w:rPr>
        <w:t>管理、经营管理、特定行为管理等。</w:t>
      </w:r>
    </w:p>
    <w:p w14:paraId="02D7E6B6" w14:textId="77777777" w:rsidR="00F67FFD" w:rsidRDefault="00F67FFD" w:rsidP="00F67FFD">
      <w:pPr>
        <w:pStyle w:val="13"/>
      </w:pPr>
      <w:r>
        <w:rPr>
          <w:rFonts w:hint="eastAsia"/>
        </w:rPr>
        <w:t>其中，尽职调查主要包括一般尽职调查和企业境外资产巡查等；税基评估主要包括计税价格评估、认定报关价格等；经营管理主要包括价值驱动因素识别、资产配置研究、投资前的尽职调查、投资后的评价管理、资产管理、人力资源管理咨询、激励约束机制设计及评价、流程重构</w:t>
      </w:r>
      <w:r>
        <w:t>/重整、风险管理、价值管理和战略管理等；特定行为管理包括并购重组的交易结构/路径/方案等咨询、并购重组的税收问题咨询、破产顾问/托管人与接管人服务、破产诉讼与赔偿管理咨询和企业争端分析与调查等。</w:t>
      </w:r>
    </w:p>
    <w:p w14:paraId="2FBA8A84" w14:textId="77777777" w:rsidR="00F67FFD" w:rsidRDefault="00F67FFD" w:rsidP="00F67FFD">
      <w:pPr>
        <w:pStyle w:val="13"/>
      </w:pPr>
      <w:r>
        <w:t>2.文件依据</w:t>
      </w:r>
    </w:p>
    <w:p w14:paraId="2260BEDA" w14:textId="77777777" w:rsidR="00F67FFD" w:rsidRDefault="00F67FFD" w:rsidP="00F67FFD">
      <w:pPr>
        <w:pStyle w:val="13"/>
      </w:pPr>
      <w:r>
        <w:rPr>
          <w:rFonts w:hint="eastAsia"/>
        </w:rPr>
        <w:t>尽职调查、经营管理、特定经济行为管理等咨询业务一般根据企业自身的相关需求进行委托。部分业务的相关文件依据如下：</w:t>
      </w:r>
    </w:p>
    <w:p w14:paraId="748673F4" w14:textId="77777777" w:rsidR="00F67FFD" w:rsidRDefault="00F67FFD" w:rsidP="00F67FFD">
      <w:pPr>
        <w:pStyle w:val="13"/>
      </w:pPr>
      <w:r>
        <w:rPr>
          <w:rFonts w:hint="eastAsia"/>
        </w:rPr>
        <w:t>（</w:t>
      </w:r>
      <w:r>
        <w:t>1）《政府和社会资本合作（PPP）项目资产证券化业务尽职调查工作细则》（</w:t>
      </w:r>
      <w:proofErr w:type="gramStart"/>
      <w:r>
        <w:t>中基协字</w:t>
      </w:r>
      <w:proofErr w:type="gramEnd"/>
      <w:r>
        <w:t>〔2019〕292号）；</w:t>
      </w:r>
    </w:p>
    <w:p w14:paraId="651B51C6" w14:textId="77777777" w:rsidR="00F67FFD" w:rsidRDefault="00F67FFD" w:rsidP="00F67FFD">
      <w:pPr>
        <w:pStyle w:val="13"/>
      </w:pPr>
      <w:r>
        <w:rPr>
          <w:rFonts w:hint="eastAsia"/>
        </w:rPr>
        <w:t>（</w:t>
      </w:r>
      <w:r>
        <w:t>2）《中央企业境外国有资产监督管理暂行办法》（国资委令第26号）；</w:t>
      </w:r>
    </w:p>
    <w:p w14:paraId="641CF5C4" w14:textId="77777777" w:rsidR="00F67FFD" w:rsidRDefault="00F67FFD" w:rsidP="00F67FFD">
      <w:pPr>
        <w:pStyle w:val="13"/>
      </w:pPr>
      <w:r>
        <w:rPr>
          <w:rFonts w:hint="eastAsia"/>
        </w:rPr>
        <w:t>（</w:t>
      </w:r>
      <w:r>
        <w:t>3）《企业重组业务企业所得税管理办法》（国家税务总局公告2010年第4号）；</w:t>
      </w:r>
    </w:p>
    <w:p w14:paraId="460D3C11" w14:textId="77777777" w:rsidR="00F67FFD" w:rsidRDefault="00F67FFD" w:rsidP="00F67FFD">
      <w:pPr>
        <w:pStyle w:val="13"/>
      </w:pPr>
      <w:r>
        <w:rPr>
          <w:rFonts w:hint="eastAsia"/>
        </w:rPr>
        <w:t>（</w:t>
      </w:r>
      <w:r>
        <w:t>4）《财政部 国家税务总局关于企业清算业务企业所得税处理若干问题的通知》（财税〔2009〕60号）；</w:t>
      </w:r>
    </w:p>
    <w:p w14:paraId="04C6262E" w14:textId="77777777" w:rsidR="00F67FFD" w:rsidRDefault="00F67FFD" w:rsidP="00F67FFD">
      <w:pPr>
        <w:pStyle w:val="13"/>
      </w:pPr>
      <w:r>
        <w:rPr>
          <w:rFonts w:hint="eastAsia"/>
        </w:rPr>
        <w:t>（</w:t>
      </w:r>
      <w:r>
        <w:t>5）《特别纳税调整实施办法（试行）》（国税发〔2009〕2号）；</w:t>
      </w:r>
    </w:p>
    <w:p w14:paraId="40B3698F" w14:textId="77777777" w:rsidR="00F67FFD" w:rsidRDefault="00F67FFD" w:rsidP="00F67FFD">
      <w:pPr>
        <w:pStyle w:val="13"/>
      </w:pPr>
      <w:r>
        <w:rPr>
          <w:rFonts w:hint="eastAsia"/>
        </w:rPr>
        <w:t>（</w:t>
      </w:r>
      <w:r>
        <w:t>6）《关于完善关联申报和同期资料管理有关事项的公告》（国家税务总局公告2016年第42号）；</w:t>
      </w:r>
    </w:p>
    <w:p w14:paraId="3DE56B4A" w14:textId="77777777" w:rsidR="00F67FFD" w:rsidRDefault="00F67FFD" w:rsidP="00F67FFD">
      <w:pPr>
        <w:pStyle w:val="13"/>
      </w:pPr>
      <w:r>
        <w:rPr>
          <w:rFonts w:hint="eastAsia"/>
        </w:rPr>
        <w:t>（</w:t>
      </w:r>
      <w:r>
        <w:t>7）《中华人民共和国海关法》（1987年1月22日第六届全国人民代表大会常务委员会第十九次会议通过  根据2000年7月8日第九届全国人民代表大会常务委</w:t>
      </w:r>
      <w:r>
        <w:lastRenderedPageBreak/>
        <w:t>员会第十六次会议《关于修改〈中华人民共和国海关法〉的决定》第一次修正  根据2013年6月29日第十二届全国人民代表大会常务委员会第三次会议《关于修改〈中华人民共和国文物保护法〉等十二部法律的决定》第二次修正  根据2013年12月28日第十二届全国人民代表大会常务委员会第六次会议《关于修改〈中华人民共和国海洋环境保护法〉等七部法律的决定》第三次修正  根</w:t>
      </w:r>
      <w:r>
        <w:rPr>
          <w:rFonts w:hint="eastAsia"/>
        </w:rPr>
        <w:t>据</w:t>
      </w:r>
      <w:r>
        <w:t>2016年11月7日第十二届全国人民代表大会常务委员会第二十四次会议《关于修改〈中华人民共和国对外贸易法〉等十二部法律的决定》第四次修正  根据2017年11月4日第十二届全国人民代表大会常务委员会第三十次会议《关于修改〈中华人民共和国会计法〉等十一部法律的决定》第五次修正）；</w:t>
      </w:r>
    </w:p>
    <w:p w14:paraId="2551D5A5" w14:textId="77777777" w:rsidR="00F67FFD" w:rsidRDefault="00F67FFD" w:rsidP="00F67FFD">
      <w:pPr>
        <w:pStyle w:val="13"/>
      </w:pPr>
      <w:r>
        <w:rPr>
          <w:rFonts w:hint="eastAsia"/>
        </w:rPr>
        <w:t>（</w:t>
      </w:r>
      <w:r>
        <w:t>8）《企业财务通则》（财政部令第41号）；</w:t>
      </w:r>
    </w:p>
    <w:p w14:paraId="4F7DD3A9" w14:textId="77777777" w:rsidR="00F67FFD" w:rsidRDefault="00F67FFD" w:rsidP="00F67FFD">
      <w:pPr>
        <w:pStyle w:val="13"/>
      </w:pPr>
      <w:r>
        <w:rPr>
          <w:rFonts w:hint="eastAsia"/>
        </w:rPr>
        <w:t>（</w:t>
      </w:r>
      <w:r>
        <w:t>9）《证券公司合规管理试行规定》（中国证券监督管理委员会公告〔2008〕30号）等。</w:t>
      </w:r>
    </w:p>
    <w:p w14:paraId="292DE77E" w14:textId="77777777" w:rsidR="00F67FFD" w:rsidRDefault="00F67FFD" w:rsidP="00F67FFD">
      <w:pPr>
        <w:pStyle w:val="13"/>
      </w:pPr>
      <w:r>
        <w:rPr>
          <w:rFonts w:hint="eastAsia"/>
        </w:rPr>
        <w:t>（二）其他咨询类业务需求</w:t>
      </w:r>
    </w:p>
    <w:p w14:paraId="6116923B" w14:textId="77777777" w:rsidR="00F67FFD" w:rsidRDefault="00F67FFD" w:rsidP="00F67FFD">
      <w:pPr>
        <w:pStyle w:val="13"/>
      </w:pPr>
      <w:r>
        <w:t>1.业务来源</w:t>
      </w:r>
    </w:p>
    <w:p w14:paraId="39F4C9E2" w14:textId="77777777" w:rsidR="00F67FFD" w:rsidRDefault="00F67FFD" w:rsidP="00F67FFD">
      <w:pPr>
        <w:pStyle w:val="13"/>
      </w:pPr>
      <w:r>
        <w:rPr>
          <w:rFonts w:hint="eastAsia"/>
        </w:rPr>
        <w:t>其他咨询类业务需求主要包括为政府部门提供的管理咨询业务和为其他领域提供的管理咨询业务。其中，触发前者的经济行为主要包括质量信用评估、社会组织评估和预算绩效管理咨询等；触发后者的经济行为主要包括为农村集体经济提供咨询服务、工程造价咨询业务、家庭资产配置服务和个人理财服务等。</w:t>
      </w:r>
    </w:p>
    <w:p w14:paraId="7EF1C4E1" w14:textId="77777777" w:rsidR="00F67FFD" w:rsidRDefault="00F67FFD" w:rsidP="00F67FFD">
      <w:pPr>
        <w:pStyle w:val="13"/>
      </w:pPr>
      <w:r>
        <w:t>2.文件依据</w:t>
      </w:r>
    </w:p>
    <w:p w14:paraId="1C1AED84" w14:textId="77777777" w:rsidR="00F67FFD" w:rsidRDefault="00F67FFD" w:rsidP="00F67FFD">
      <w:pPr>
        <w:pStyle w:val="13"/>
      </w:pPr>
      <w:r>
        <w:rPr>
          <w:rFonts w:hint="eastAsia"/>
        </w:rPr>
        <w:t>（</w:t>
      </w:r>
      <w:r>
        <w:t>1）《国家质量监督检验检疫总局关于加强企业质量信用评估监管工作的意见》（国质检质〔2006〕464号）；</w:t>
      </w:r>
    </w:p>
    <w:p w14:paraId="5016AB82" w14:textId="77777777" w:rsidR="00F67FFD" w:rsidRDefault="00F67FFD" w:rsidP="00F67FFD">
      <w:pPr>
        <w:pStyle w:val="13"/>
      </w:pPr>
      <w:r>
        <w:rPr>
          <w:rFonts w:hint="eastAsia"/>
        </w:rPr>
        <w:t>（</w:t>
      </w:r>
      <w:r>
        <w:t>2）《社会组织评估管理办法》（民政部令第39号）；</w:t>
      </w:r>
    </w:p>
    <w:p w14:paraId="75AAFBA0" w14:textId="10BE69CE" w:rsidR="00882ED4" w:rsidRDefault="00F67FFD" w:rsidP="00F67FFD">
      <w:pPr>
        <w:pStyle w:val="13"/>
      </w:pPr>
      <w:r>
        <w:rPr>
          <w:rFonts w:hint="eastAsia"/>
        </w:rPr>
        <w:t>（</w:t>
      </w:r>
      <w:r>
        <w:t>3）《关于推进预算绩效管理的指导意见》（财预〔2011〕416号）等。</w:t>
      </w:r>
    </w:p>
    <w:p w14:paraId="56F61B7D" w14:textId="6DA6750C" w:rsidR="00882ED4" w:rsidRDefault="002D3258" w:rsidP="00AF7342">
      <w:pPr>
        <w:pStyle w:val="a9"/>
        <w:spacing w:before="62" w:after="62"/>
      </w:pPr>
      <w:r w:rsidRPr="002D3258">
        <w:rPr>
          <w:rFonts w:hint="eastAsia"/>
        </w:rPr>
        <w:t>第四章</w:t>
      </w:r>
      <w:r w:rsidRPr="002D3258">
        <w:t xml:space="preserve"> 资产评估行业业务一览表</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0"/>
        <w:gridCol w:w="710"/>
        <w:gridCol w:w="844"/>
        <w:gridCol w:w="2551"/>
        <w:gridCol w:w="3598"/>
        <w:gridCol w:w="17"/>
      </w:tblGrid>
      <w:tr w:rsidR="002D3258" w:rsidRPr="002D3258" w14:paraId="33F123DC" w14:textId="77777777" w:rsidTr="002D3258">
        <w:trPr>
          <w:gridAfter w:val="1"/>
          <w:wAfter w:w="11" w:type="pct"/>
          <w:trHeight w:val="283"/>
          <w:tblHeader/>
        </w:trPr>
        <w:tc>
          <w:tcPr>
            <w:tcW w:w="407" w:type="pct"/>
            <w:shd w:val="clear" w:color="auto" w:fill="auto"/>
            <w:noWrap/>
            <w:vAlign w:val="center"/>
            <w:hideMark/>
          </w:tcPr>
          <w:p w14:paraId="47DCEE5A" w14:textId="77777777" w:rsidR="002D3258" w:rsidRPr="002D3258" w:rsidRDefault="002D3258" w:rsidP="002D3258">
            <w:pPr>
              <w:pStyle w:val="13"/>
              <w:spacing w:line="240" w:lineRule="auto"/>
              <w:ind w:firstLineChars="0" w:firstLine="0"/>
              <w:jc w:val="center"/>
              <w:rPr>
                <w:b/>
                <w:bCs/>
                <w:sz w:val="18"/>
                <w:szCs w:val="18"/>
              </w:rPr>
            </w:pPr>
            <w:r w:rsidRPr="002D3258">
              <w:rPr>
                <w:b/>
                <w:bCs/>
                <w:sz w:val="18"/>
                <w:szCs w:val="18"/>
              </w:rPr>
              <w:t>序号</w:t>
            </w:r>
          </w:p>
        </w:tc>
        <w:tc>
          <w:tcPr>
            <w:tcW w:w="573" w:type="pct"/>
            <w:gridSpan w:val="2"/>
            <w:shd w:val="clear" w:color="auto" w:fill="auto"/>
            <w:vAlign w:val="center"/>
            <w:hideMark/>
          </w:tcPr>
          <w:p w14:paraId="01B0DC46" w14:textId="77777777" w:rsidR="002D3258" w:rsidRPr="002D3258" w:rsidRDefault="002D3258" w:rsidP="002D3258">
            <w:pPr>
              <w:pStyle w:val="13"/>
              <w:spacing w:line="240" w:lineRule="auto"/>
              <w:ind w:firstLineChars="0" w:firstLine="0"/>
              <w:jc w:val="center"/>
              <w:rPr>
                <w:b/>
                <w:bCs/>
                <w:sz w:val="18"/>
                <w:szCs w:val="18"/>
              </w:rPr>
            </w:pPr>
            <w:r w:rsidRPr="002D3258">
              <w:rPr>
                <w:b/>
                <w:bCs/>
                <w:sz w:val="18"/>
                <w:szCs w:val="18"/>
              </w:rPr>
              <w:t>需求方</w:t>
            </w:r>
          </w:p>
        </w:tc>
        <w:tc>
          <w:tcPr>
            <w:tcW w:w="1947" w:type="pct"/>
            <w:gridSpan w:val="2"/>
            <w:shd w:val="clear" w:color="auto" w:fill="auto"/>
            <w:vAlign w:val="center"/>
            <w:hideMark/>
          </w:tcPr>
          <w:p w14:paraId="78FF1A48" w14:textId="77777777" w:rsidR="002D3258" w:rsidRPr="002D3258" w:rsidRDefault="002D3258" w:rsidP="002D3258">
            <w:pPr>
              <w:pStyle w:val="13"/>
              <w:spacing w:line="240" w:lineRule="auto"/>
              <w:ind w:firstLineChars="0" w:firstLine="0"/>
              <w:jc w:val="center"/>
              <w:rPr>
                <w:b/>
                <w:bCs/>
                <w:sz w:val="18"/>
                <w:szCs w:val="18"/>
              </w:rPr>
            </w:pPr>
            <w:r w:rsidRPr="002D3258">
              <w:rPr>
                <w:b/>
                <w:bCs/>
                <w:sz w:val="18"/>
                <w:szCs w:val="18"/>
              </w:rPr>
              <w:t>触发资产评估行业业务的具体经济行为</w:t>
            </w:r>
          </w:p>
        </w:tc>
        <w:tc>
          <w:tcPr>
            <w:tcW w:w="2063" w:type="pct"/>
            <w:shd w:val="clear" w:color="auto" w:fill="auto"/>
            <w:vAlign w:val="center"/>
            <w:hideMark/>
          </w:tcPr>
          <w:p w14:paraId="6DA0267B" w14:textId="77777777" w:rsidR="002D3258" w:rsidRPr="002D3258" w:rsidRDefault="002D3258" w:rsidP="002D3258">
            <w:pPr>
              <w:pStyle w:val="13"/>
              <w:spacing w:line="240" w:lineRule="auto"/>
              <w:ind w:firstLineChars="0" w:firstLine="0"/>
              <w:jc w:val="center"/>
              <w:rPr>
                <w:b/>
                <w:bCs/>
                <w:sz w:val="18"/>
                <w:szCs w:val="18"/>
              </w:rPr>
            </w:pPr>
            <w:r w:rsidRPr="002D3258">
              <w:rPr>
                <w:b/>
                <w:bCs/>
                <w:sz w:val="18"/>
                <w:szCs w:val="18"/>
              </w:rPr>
              <w:t>政策依据</w:t>
            </w:r>
          </w:p>
        </w:tc>
      </w:tr>
      <w:tr w:rsidR="002D3258" w:rsidRPr="002D3258" w14:paraId="45438A33" w14:textId="77777777" w:rsidTr="002D3258">
        <w:trPr>
          <w:gridAfter w:val="1"/>
          <w:wAfter w:w="11" w:type="pct"/>
          <w:trHeight w:val="283"/>
        </w:trPr>
        <w:tc>
          <w:tcPr>
            <w:tcW w:w="407" w:type="pct"/>
            <w:shd w:val="clear" w:color="auto" w:fill="auto"/>
            <w:noWrap/>
            <w:vAlign w:val="center"/>
            <w:hideMark/>
          </w:tcPr>
          <w:p w14:paraId="44F98D68" w14:textId="77777777" w:rsidR="002D3258" w:rsidRPr="002D3258" w:rsidRDefault="002D3258" w:rsidP="002D3258">
            <w:pPr>
              <w:pStyle w:val="13"/>
              <w:spacing w:line="240" w:lineRule="auto"/>
              <w:ind w:firstLineChars="0" w:firstLine="0"/>
              <w:rPr>
                <w:b/>
                <w:sz w:val="18"/>
                <w:szCs w:val="18"/>
              </w:rPr>
            </w:pPr>
            <w:proofErr w:type="gramStart"/>
            <w:r w:rsidRPr="002D3258">
              <w:rPr>
                <w:b/>
                <w:sz w:val="18"/>
                <w:szCs w:val="18"/>
              </w:rPr>
              <w:t>一</w:t>
            </w:r>
            <w:proofErr w:type="gramEnd"/>
          </w:p>
        </w:tc>
        <w:tc>
          <w:tcPr>
            <w:tcW w:w="4583" w:type="pct"/>
            <w:gridSpan w:val="5"/>
            <w:shd w:val="clear" w:color="auto" w:fill="auto"/>
            <w:noWrap/>
            <w:vAlign w:val="center"/>
            <w:hideMark/>
          </w:tcPr>
          <w:p w14:paraId="34B2AA7F" w14:textId="77777777" w:rsidR="002D3258" w:rsidRPr="002D3258" w:rsidRDefault="002D3258" w:rsidP="002D3258">
            <w:pPr>
              <w:pStyle w:val="13"/>
              <w:spacing w:line="240" w:lineRule="auto"/>
              <w:ind w:firstLineChars="0" w:firstLine="0"/>
              <w:rPr>
                <w:b/>
                <w:sz w:val="18"/>
                <w:szCs w:val="18"/>
              </w:rPr>
            </w:pPr>
            <w:r w:rsidRPr="002D3258">
              <w:rPr>
                <w:b/>
                <w:sz w:val="18"/>
                <w:szCs w:val="18"/>
              </w:rPr>
              <w:t>评估类业务</w:t>
            </w:r>
          </w:p>
        </w:tc>
      </w:tr>
      <w:tr w:rsidR="002D3258" w:rsidRPr="002D3258" w14:paraId="004CD343" w14:textId="77777777" w:rsidTr="002D3258">
        <w:trPr>
          <w:gridAfter w:val="1"/>
          <w:wAfter w:w="11" w:type="pct"/>
          <w:trHeight w:val="283"/>
        </w:trPr>
        <w:tc>
          <w:tcPr>
            <w:tcW w:w="407" w:type="pct"/>
            <w:shd w:val="clear" w:color="auto" w:fill="auto"/>
            <w:noWrap/>
            <w:vAlign w:val="center"/>
            <w:hideMark/>
          </w:tcPr>
          <w:p w14:paraId="4B19ABFB" w14:textId="77777777" w:rsidR="002D3258" w:rsidRPr="002D3258" w:rsidRDefault="002D3258" w:rsidP="002D3258">
            <w:pPr>
              <w:pStyle w:val="13"/>
              <w:spacing w:line="240" w:lineRule="auto"/>
              <w:ind w:firstLineChars="0" w:firstLine="0"/>
              <w:rPr>
                <w:sz w:val="18"/>
                <w:szCs w:val="18"/>
              </w:rPr>
            </w:pPr>
            <w:r w:rsidRPr="002D3258">
              <w:rPr>
                <w:sz w:val="18"/>
                <w:szCs w:val="18"/>
              </w:rPr>
              <w:t>1</w:t>
            </w:r>
          </w:p>
        </w:tc>
        <w:tc>
          <w:tcPr>
            <w:tcW w:w="166" w:type="pct"/>
            <w:vMerge w:val="restart"/>
            <w:shd w:val="clear" w:color="auto" w:fill="auto"/>
            <w:noWrap/>
            <w:vAlign w:val="center"/>
            <w:hideMark/>
          </w:tcPr>
          <w:p w14:paraId="32E793C7" w14:textId="77777777" w:rsidR="002D3258" w:rsidRPr="002D3258" w:rsidRDefault="002D3258" w:rsidP="002D3258">
            <w:pPr>
              <w:pStyle w:val="13"/>
              <w:spacing w:line="240" w:lineRule="auto"/>
              <w:ind w:firstLineChars="0" w:firstLine="0"/>
              <w:rPr>
                <w:sz w:val="18"/>
                <w:szCs w:val="18"/>
              </w:rPr>
            </w:pPr>
            <w:r w:rsidRPr="002D3258">
              <w:rPr>
                <w:sz w:val="18"/>
                <w:szCs w:val="18"/>
              </w:rPr>
              <w:t>1.1</w:t>
            </w:r>
          </w:p>
        </w:tc>
        <w:tc>
          <w:tcPr>
            <w:tcW w:w="407" w:type="pct"/>
            <w:vMerge w:val="restart"/>
            <w:shd w:val="clear" w:color="auto" w:fill="auto"/>
            <w:vAlign w:val="center"/>
            <w:hideMark/>
          </w:tcPr>
          <w:p w14:paraId="791CF9BA" w14:textId="77777777" w:rsidR="002D3258" w:rsidRPr="002D3258" w:rsidRDefault="002D3258" w:rsidP="002D3258">
            <w:pPr>
              <w:pStyle w:val="13"/>
              <w:spacing w:line="240" w:lineRule="auto"/>
              <w:ind w:firstLineChars="0" w:firstLine="0"/>
              <w:rPr>
                <w:sz w:val="18"/>
                <w:szCs w:val="18"/>
              </w:rPr>
            </w:pPr>
            <w:r w:rsidRPr="002D3258">
              <w:rPr>
                <w:sz w:val="18"/>
                <w:szCs w:val="18"/>
              </w:rPr>
              <w:t>国资委</w:t>
            </w:r>
            <w:r w:rsidRPr="002D3258">
              <w:rPr>
                <w:rFonts w:hint="eastAsia"/>
                <w:sz w:val="18"/>
                <w:szCs w:val="18"/>
              </w:rPr>
              <w:t>、</w:t>
            </w:r>
            <w:r w:rsidRPr="002D3258">
              <w:rPr>
                <w:sz w:val="18"/>
                <w:szCs w:val="18"/>
              </w:rPr>
              <w:t>财政部及其授权履行国有资产监管的中</w:t>
            </w:r>
            <w:r w:rsidRPr="002D3258">
              <w:rPr>
                <w:sz w:val="18"/>
                <w:szCs w:val="18"/>
              </w:rPr>
              <w:lastRenderedPageBreak/>
              <w:t>央企业和中央金融企业</w:t>
            </w:r>
          </w:p>
        </w:tc>
        <w:tc>
          <w:tcPr>
            <w:tcW w:w="484" w:type="pct"/>
            <w:shd w:val="clear" w:color="auto" w:fill="auto"/>
            <w:noWrap/>
            <w:vAlign w:val="center"/>
            <w:hideMark/>
          </w:tcPr>
          <w:p w14:paraId="67A55CDD" w14:textId="77777777" w:rsidR="002D3258" w:rsidRPr="002D3258" w:rsidRDefault="002D3258" w:rsidP="002D3258">
            <w:pPr>
              <w:pStyle w:val="13"/>
              <w:spacing w:line="240" w:lineRule="auto"/>
              <w:ind w:firstLineChars="0" w:firstLine="0"/>
              <w:rPr>
                <w:sz w:val="18"/>
                <w:szCs w:val="18"/>
              </w:rPr>
            </w:pPr>
            <w:r w:rsidRPr="002D3258">
              <w:rPr>
                <w:sz w:val="18"/>
                <w:szCs w:val="18"/>
              </w:rPr>
              <w:lastRenderedPageBreak/>
              <w:t>1.1.1</w:t>
            </w:r>
          </w:p>
        </w:tc>
        <w:tc>
          <w:tcPr>
            <w:tcW w:w="1463" w:type="pct"/>
            <w:shd w:val="clear" w:color="auto" w:fill="auto"/>
            <w:noWrap/>
            <w:vAlign w:val="center"/>
            <w:hideMark/>
          </w:tcPr>
          <w:p w14:paraId="4DE873B5" w14:textId="77777777" w:rsidR="002D3258" w:rsidRPr="002D3258" w:rsidRDefault="002D3258" w:rsidP="002D3258">
            <w:pPr>
              <w:pStyle w:val="13"/>
              <w:spacing w:line="240" w:lineRule="auto"/>
              <w:ind w:firstLineChars="0" w:firstLine="0"/>
              <w:rPr>
                <w:sz w:val="18"/>
                <w:szCs w:val="18"/>
              </w:rPr>
            </w:pPr>
            <w:r w:rsidRPr="002D3258">
              <w:rPr>
                <w:sz w:val="18"/>
                <w:szCs w:val="18"/>
              </w:rPr>
              <w:t>资产转让</w:t>
            </w:r>
          </w:p>
        </w:tc>
        <w:tc>
          <w:tcPr>
            <w:tcW w:w="2063" w:type="pct"/>
            <w:vMerge w:val="restart"/>
            <w:shd w:val="clear" w:color="auto" w:fill="auto"/>
            <w:vAlign w:val="center"/>
            <w:hideMark/>
          </w:tcPr>
          <w:p w14:paraId="69ABD665" w14:textId="6A9F16AC" w:rsidR="002D3258" w:rsidRPr="002D3258" w:rsidRDefault="002D3258" w:rsidP="002D3258">
            <w:pPr>
              <w:pStyle w:val="13"/>
              <w:spacing w:line="240" w:lineRule="auto"/>
              <w:ind w:firstLineChars="0" w:firstLine="0"/>
              <w:rPr>
                <w:sz w:val="18"/>
                <w:szCs w:val="18"/>
              </w:rPr>
            </w:pPr>
            <w:r w:rsidRPr="002D3258">
              <w:rPr>
                <w:sz w:val="18"/>
                <w:szCs w:val="18"/>
              </w:rPr>
              <w:t>（1）《企业国有资产评估管理暂行办法》（国资委令第12号）；</w:t>
            </w:r>
            <w:r w:rsidRPr="002D3258">
              <w:rPr>
                <w:sz w:val="18"/>
                <w:szCs w:val="18"/>
              </w:rPr>
              <w:br/>
              <w:t>（2）《金融企业国有资产评估监督管理暂行办法》（财政部令第47号）；</w:t>
            </w:r>
            <w:r w:rsidRPr="002D3258">
              <w:rPr>
                <w:sz w:val="18"/>
                <w:szCs w:val="18"/>
              </w:rPr>
              <w:br/>
              <w:t>（3）《行政单位国有资产管理暂行办法》（财政部令第35号 根据2017年12月4日中华人民共和国财政部令第90号《财政部关于修改〈注册会计师注册办法〉等6部规章的决定》修正）；</w:t>
            </w:r>
            <w:r w:rsidRPr="002D3258">
              <w:rPr>
                <w:sz w:val="18"/>
                <w:szCs w:val="18"/>
              </w:rPr>
              <w:br/>
              <w:t>（4）《事业单位国有资产管理暂行办法》（财</w:t>
            </w:r>
            <w:r w:rsidRPr="002D3258">
              <w:rPr>
                <w:sz w:val="18"/>
                <w:szCs w:val="18"/>
              </w:rPr>
              <w:lastRenderedPageBreak/>
              <w:t>政部令第36号 根据2017年12月4日财政部令第90号《财政部关于修改〈注册会计师注册办法〉等6部规章的决定》第一次修改 根据2019年3月29日《财政部关于修改&lt;事业单位国有资产管理暂行办法&gt;的决定》第二次修改）；</w:t>
            </w:r>
            <w:r w:rsidRPr="002D3258">
              <w:rPr>
                <w:sz w:val="18"/>
                <w:szCs w:val="18"/>
              </w:rPr>
              <w:br/>
              <w:t>（5）《中央级事业单位国有资产管理暂行办法》（</w:t>
            </w:r>
            <w:proofErr w:type="gramStart"/>
            <w:r w:rsidRPr="002D3258">
              <w:rPr>
                <w:sz w:val="18"/>
                <w:szCs w:val="18"/>
              </w:rPr>
              <w:t>财教〔2008〕</w:t>
            </w:r>
            <w:proofErr w:type="gramEnd"/>
            <w:r w:rsidRPr="002D3258">
              <w:rPr>
                <w:sz w:val="18"/>
                <w:szCs w:val="18"/>
              </w:rPr>
              <w:t>13号）；</w:t>
            </w:r>
            <w:r w:rsidRPr="002D3258">
              <w:rPr>
                <w:sz w:val="18"/>
                <w:szCs w:val="18"/>
              </w:rPr>
              <w:br/>
              <w:t>（6）《中央级事业单位国有资产使用管理暂行办法》（</w:t>
            </w:r>
            <w:proofErr w:type="gramStart"/>
            <w:r w:rsidRPr="002D3258">
              <w:rPr>
                <w:sz w:val="18"/>
                <w:szCs w:val="18"/>
              </w:rPr>
              <w:t>财教〔2009〕</w:t>
            </w:r>
            <w:proofErr w:type="gramEnd"/>
            <w:r w:rsidRPr="002D3258">
              <w:rPr>
                <w:sz w:val="18"/>
                <w:szCs w:val="18"/>
              </w:rPr>
              <w:t>192号）</w:t>
            </w:r>
            <w:r w:rsidR="003068F8">
              <w:rPr>
                <w:sz w:val="18"/>
                <w:szCs w:val="18"/>
              </w:rPr>
              <w:t>；</w:t>
            </w:r>
            <w:r w:rsidRPr="002D3258">
              <w:rPr>
                <w:sz w:val="18"/>
                <w:szCs w:val="18"/>
              </w:rPr>
              <w:t xml:space="preserve">                                                                                                  （7）《企业国有资产交易监督管理办法》（国务院国资委 财政部令第32号）。</w:t>
            </w:r>
          </w:p>
        </w:tc>
      </w:tr>
      <w:tr w:rsidR="002D3258" w:rsidRPr="002D3258" w14:paraId="54A1E208" w14:textId="77777777" w:rsidTr="002D3258">
        <w:trPr>
          <w:gridAfter w:val="1"/>
          <w:wAfter w:w="11" w:type="pct"/>
          <w:trHeight w:val="283"/>
        </w:trPr>
        <w:tc>
          <w:tcPr>
            <w:tcW w:w="407" w:type="pct"/>
            <w:shd w:val="clear" w:color="auto" w:fill="auto"/>
            <w:noWrap/>
            <w:vAlign w:val="center"/>
            <w:hideMark/>
          </w:tcPr>
          <w:p w14:paraId="1E515A67" w14:textId="77777777" w:rsidR="002D3258" w:rsidRPr="002D3258" w:rsidRDefault="002D3258" w:rsidP="002D3258">
            <w:pPr>
              <w:pStyle w:val="13"/>
              <w:spacing w:line="240" w:lineRule="auto"/>
              <w:ind w:firstLineChars="0" w:firstLine="0"/>
              <w:rPr>
                <w:sz w:val="18"/>
                <w:szCs w:val="18"/>
              </w:rPr>
            </w:pPr>
            <w:r w:rsidRPr="002D3258">
              <w:rPr>
                <w:sz w:val="18"/>
                <w:szCs w:val="18"/>
              </w:rPr>
              <w:t>2</w:t>
            </w:r>
          </w:p>
        </w:tc>
        <w:tc>
          <w:tcPr>
            <w:tcW w:w="166" w:type="pct"/>
            <w:vMerge/>
            <w:shd w:val="clear" w:color="auto" w:fill="auto"/>
            <w:vAlign w:val="center"/>
            <w:hideMark/>
          </w:tcPr>
          <w:p w14:paraId="3205E994"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7DE918F"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082D6AB" w14:textId="77777777" w:rsidR="002D3258" w:rsidRPr="002D3258" w:rsidRDefault="002D3258" w:rsidP="002D3258">
            <w:pPr>
              <w:pStyle w:val="13"/>
              <w:spacing w:line="240" w:lineRule="auto"/>
              <w:ind w:firstLineChars="0" w:firstLine="0"/>
              <w:rPr>
                <w:sz w:val="18"/>
                <w:szCs w:val="18"/>
              </w:rPr>
            </w:pPr>
            <w:r w:rsidRPr="002D3258">
              <w:rPr>
                <w:sz w:val="18"/>
                <w:szCs w:val="18"/>
              </w:rPr>
              <w:t>1.1.2</w:t>
            </w:r>
          </w:p>
        </w:tc>
        <w:tc>
          <w:tcPr>
            <w:tcW w:w="1463" w:type="pct"/>
            <w:shd w:val="clear" w:color="auto" w:fill="auto"/>
            <w:noWrap/>
            <w:vAlign w:val="center"/>
            <w:hideMark/>
          </w:tcPr>
          <w:p w14:paraId="56722F0B" w14:textId="77777777" w:rsidR="002D3258" w:rsidRPr="002D3258" w:rsidRDefault="002D3258" w:rsidP="002D3258">
            <w:pPr>
              <w:pStyle w:val="13"/>
              <w:spacing w:line="240" w:lineRule="auto"/>
              <w:ind w:firstLineChars="0" w:firstLine="0"/>
              <w:rPr>
                <w:sz w:val="18"/>
                <w:szCs w:val="18"/>
              </w:rPr>
            </w:pPr>
            <w:r w:rsidRPr="002D3258">
              <w:rPr>
                <w:sz w:val="18"/>
                <w:szCs w:val="18"/>
              </w:rPr>
              <w:t>资产拍卖</w:t>
            </w:r>
          </w:p>
        </w:tc>
        <w:tc>
          <w:tcPr>
            <w:tcW w:w="2063" w:type="pct"/>
            <w:vMerge/>
            <w:shd w:val="clear" w:color="auto" w:fill="auto"/>
            <w:vAlign w:val="center"/>
            <w:hideMark/>
          </w:tcPr>
          <w:p w14:paraId="7583996D" w14:textId="77777777" w:rsidR="002D3258" w:rsidRPr="002D3258" w:rsidRDefault="002D3258" w:rsidP="002D3258">
            <w:pPr>
              <w:pStyle w:val="13"/>
              <w:spacing w:line="240" w:lineRule="auto"/>
              <w:ind w:firstLineChars="0" w:firstLine="0"/>
              <w:rPr>
                <w:sz w:val="18"/>
                <w:szCs w:val="18"/>
              </w:rPr>
            </w:pPr>
          </w:p>
        </w:tc>
      </w:tr>
      <w:tr w:rsidR="002D3258" w:rsidRPr="002D3258" w14:paraId="262D2B88" w14:textId="77777777" w:rsidTr="002D3258">
        <w:trPr>
          <w:gridAfter w:val="1"/>
          <w:wAfter w:w="11" w:type="pct"/>
          <w:trHeight w:val="283"/>
        </w:trPr>
        <w:tc>
          <w:tcPr>
            <w:tcW w:w="407" w:type="pct"/>
            <w:shd w:val="clear" w:color="auto" w:fill="auto"/>
            <w:noWrap/>
            <w:vAlign w:val="center"/>
            <w:hideMark/>
          </w:tcPr>
          <w:p w14:paraId="61693B6C" w14:textId="77777777" w:rsidR="002D3258" w:rsidRPr="002D3258" w:rsidRDefault="002D3258" w:rsidP="002D3258">
            <w:pPr>
              <w:pStyle w:val="13"/>
              <w:spacing w:line="240" w:lineRule="auto"/>
              <w:ind w:firstLineChars="0" w:firstLine="0"/>
              <w:rPr>
                <w:sz w:val="18"/>
                <w:szCs w:val="18"/>
              </w:rPr>
            </w:pPr>
            <w:r w:rsidRPr="002D3258">
              <w:rPr>
                <w:sz w:val="18"/>
                <w:szCs w:val="18"/>
              </w:rPr>
              <w:t>3</w:t>
            </w:r>
          </w:p>
        </w:tc>
        <w:tc>
          <w:tcPr>
            <w:tcW w:w="166" w:type="pct"/>
            <w:vMerge/>
            <w:shd w:val="clear" w:color="auto" w:fill="auto"/>
            <w:vAlign w:val="center"/>
            <w:hideMark/>
          </w:tcPr>
          <w:p w14:paraId="1D199B5E"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A6A25A9"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533AD4B" w14:textId="77777777" w:rsidR="002D3258" w:rsidRPr="002D3258" w:rsidRDefault="002D3258" w:rsidP="002D3258">
            <w:pPr>
              <w:pStyle w:val="13"/>
              <w:spacing w:line="240" w:lineRule="auto"/>
              <w:ind w:firstLineChars="0" w:firstLine="0"/>
              <w:rPr>
                <w:sz w:val="18"/>
                <w:szCs w:val="18"/>
              </w:rPr>
            </w:pPr>
            <w:r w:rsidRPr="002D3258">
              <w:rPr>
                <w:sz w:val="18"/>
                <w:szCs w:val="18"/>
              </w:rPr>
              <w:t>1.1.3</w:t>
            </w:r>
          </w:p>
        </w:tc>
        <w:tc>
          <w:tcPr>
            <w:tcW w:w="1463" w:type="pct"/>
            <w:shd w:val="clear" w:color="auto" w:fill="auto"/>
            <w:noWrap/>
            <w:vAlign w:val="center"/>
            <w:hideMark/>
          </w:tcPr>
          <w:p w14:paraId="3A8BFB7A" w14:textId="77777777" w:rsidR="002D3258" w:rsidRPr="002D3258" w:rsidRDefault="002D3258" w:rsidP="002D3258">
            <w:pPr>
              <w:pStyle w:val="13"/>
              <w:spacing w:line="240" w:lineRule="auto"/>
              <w:ind w:firstLineChars="0" w:firstLine="0"/>
              <w:rPr>
                <w:sz w:val="18"/>
                <w:szCs w:val="18"/>
              </w:rPr>
            </w:pPr>
            <w:r w:rsidRPr="002D3258">
              <w:rPr>
                <w:sz w:val="18"/>
                <w:szCs w:val="18"/>
              </w:rPr>
              <w:t>资产偿债</w:t>
            </w:r>
          </w:p>
        </w:tc>
        <w:tc>
          <w:tcPr>
            <w:tcW w:w="2063" w:type="pct"/>
            <w:vMerge/>
            <w:shd w:val="clear" w:color="auto" w:fill="auto"/>
            <w:vAlign w:val="center"/>
            <w:hideMark/>
          </w:tcPr>
          <w:p w14:paraId="273B3A02" w14:textId="77777777" w:rsidR="002D3258" w:rsidRPr="002D3258" w:rsidRDefault="002D3258" w:rsidP="002D3258">
            <w:pPr>
              <w:pStyle w:val="13"/>
              <w:spacing w:line="240" w:lineRule="auto"/>
              <w:ind w:firstLineChars="0" w:firstLine="0"/>
              <w:rPr>
                <w:sz w:val="18"/>
                <w:szCs w:val="18"/>
              </w:rPr>
            </w:pPr>
          </w:p>
        </w:tc>
      </w:tr>
      <w:tr w:rsidR="002D3258" w:rsidRPr="002D3258" w14:paraId="6CF307C1" w14:textId="77777777" w:rsidTr="002D3258">
        <w:trPr>
          <w:gridAfter w:val="1"/>
          <w:wAfter w:w="11" w:type="pct"/>
          <w:trHeight w:val="283"/>
        </w:trPr>
        <w:tc>
          <w:tcPr>
            <w:tcW w:w="407" w:type="pct"/>
            <w:shd w:val="clear" w:color="auto" w:fill="auto"/>
            <w:noWrap/>
            <w:vAlign w:val="center"/>
            <w:hideMark/>
          </w:tcPr>
          <w:p w14:paraId="2DEBBADA" w14:textId="77777777" w:rsidR="002D3258" w:rsidRPr="002D3258" w:rsidRDefault="002D3258" w:rsidP="002D3258">
            <w:pPr>
              <w:pStyle w:val="13"/>
              <w:spacing w:line="240" w:lineRule="auto"/>
              <w:ind w:firstLineChars="0" w:firstLine="0"/>
              <w:rPr>
                <w:sz w:val="18"/>
                <w:szCs w:val="18"/>
              </w:rPr>
            </w:pPr>
            <w:r w:rsidRPr="002D3258">
              <w:rPr>
                <w:sz w:val="18"/>
                <w:szCs w:val="18"/>
              </w:rPr>
              <w:t>4</w:t>
            </w:r>
          </w:p>
        </w:tc>
        <w:tc>
          <w:tcPr>
            <w:tcW w:w="166" w:type="pct"/>
            <w:vMerge/>
            <w:shd w:val="clear" w:color="auto" w:fill="auto"/>
            <w:vAlign w:val="center"/>
            <w:hideMark/>
          </w:tcPr>
          <w:p w14:paraId="476C0ABF"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6E51B2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6E4F71DE" w14:textId="77777777" w:rsidR="002D3258" w:rsidRPr="002D3258" w:rsidRDefault="002D3258" w:rsidP="002D3258">
            <w:pPr>
              <w:pStyle w:val="13"/>
              <w:spacing w:line="240" w:lineRule="auto"/>
              <w:ind w:firstLineChars="0" w:firstLine="0"/>
              <w:rPr>
                <w:sz w:val="18"/>
                <w:szCs w:val="18"/>
              </w:rPr>
            </w:pPr>
            <w:r w:rsidRPr="002D3258">
              <w:rPr>
                <w:sz w:val="18"/>
                <w:szCs w:val="18"/>
              </w:rPr>
              <w:t>1.1.4</w:t>
            </w:r>
          </w:p>
        </w:tc>
        <w:tc>
          <w:tcPr>
            <w:tcW w:w="1463" w:type="pct"/>
            <w:shd w:val="clear" w:color="auto" w:fill="auto"/>
            <w:noWrap/>
            <w:vAlign w:val="center"/>
            <w:hideMark/>
          </w:tcPr>
          <w:p w14:paraId="78D05585" w14:textId="77777777" w:rsidR="002D3258" w:rsidRPr="002D3258" w:rsidRDefault="002D3258" w:rsidP="002D3258">
            <w:pPr>
              <w:pStyle w:val="13"/>
              <w:spacing w:line="240" w:lineRule="auto"/>
              <w:ind w:firstLineChars="0" w:firstLine="0"/>
              <w:rPr>
                <w:sz w:val="18"/>
                <w:szCs w:val="18"/>
              </w:rPr>
            </w:pPr>
            <w:r w:rsidRPr="002D3258">
              <w:rPr>
                <w:sz w:val="18"/>
                <w:szCs w:val="18"/>
              </w:rPr>
              <w:t>资产租赁</w:t>
            </w:r>
          </w:p>
        </w:tc>
        <w:tc>
          <w:tcPr>
            <w:tcW w:w="2063" w:type="pct"/>
            <w:vMerge/>
            <w:shd w:val="clear" w:color="auto" w:fill="auto"/>
            <w:vAlign w:val="center"/>
            <w:hideMark/>
          </w:tcPr>
          <w:p w14:paraId="6B6DC387" w14:textId="77777777" w:rsidR="002D3258" w:rsidRPr="002D3258" w:rsidRDefault="002D3258" w:rsidP="002D3258">
            <w:pPr>
              <w:pStyle w:val="13"/>
              <w:spacing w:line="240" w:lineRule="auto"/>
              <w:ind w:firstLineChars="0" w:firstLine="0"/>
              <w:rPr>
                <w:sz w:val="18"/>
                <w:szCs w:val="18"/>
              </w:rPr>
            </w:pPr>
          </w:p>
        </w:tc>
      </w:tr>
      <w:tr w:rsidR="002D3258" w:rsidRPr="002D3258" w14:paraId="283107A9" w14:textId="77777777" w:rsidTr="002D3258">
        <w:trPr>
          <w:gridAfter w:val="1"/>
          <w:wAfter w:w="11" w:type="pct"/>
          <w:trHeight w:val="283"/>
        </w:trPr>
        <w:tc>
          <w:tcPr>
            <w:tcW w:w="407" w:type="pct"/>
            <w:shd w:val="clear" w:color="auto" w:fill="auto"/>
            <w:noWrap/>
            <w:vAlign w:val="center"/>
            <w:hideMark/>
          </w:tcPr>
          <w:p w14:paraId="427D5EBD" w14:textId="77777777" w:rsidR="002D3258" w:rsidRPr="002D3258" w:rsidRDefault="002D3258" w:rsidP="002D3258">
            <w:pPr>
              <w:pStyle w:val="13"/>
              <w:spacing w:line="240" w:lineRule="auto"/>
              <w:ind w:firstLineChars="0" w:firstLine="0"/>
              <w:rPr>
                <w:sz w:val="18"/>
                <w:szCs w:val="18"/>
              </w:rPr>
            </w:pPr>
            <w:r w:rsidRPr="002D3258">
              <w:rPr>
                <w:sz w:val="18"/>
                <w:szCs w:val="18"/>
              </w:rPr>
              <w:t>5</w:t>
            </w:r>
          </w:p>
        </w:tc>
        <w:tc>
          <w:tcPr>
            <w:tcW w:w="166" w:type="pct"/>
            <w:vMerge/>
            <w:shd w:val="clear" w:color="auto" w:fill="auto"/>
            <w:vAlign w:val="center"/>
            <w:hideMark/>
          </w:tcPr>
          <w:p w14:paraId="5EA85A97"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BA83C34"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01A7F92" w14:textId="77777777" w:rsidR="002D3258" w:rsidRPr="002D3258" w:rsidRDefault="002D3258" w:rsidP="002D3258">
            <w:pPr>
              <w:pStyle w:val="13"/>
              <w:spacing w:line="240" w:lineRule="auto"/>
              <w:ind w:firstLineChars="0" w:firstLine="0"/>
              <w:rPr>
                <w:sz w:val="18"/>
                <w:szCs w:val="18"/>
              </w:rPr>
            </w:pPr>
            <w:r w:rsidRPr="002D3258">
              <w:rPr>
                <w:sz w:val="18"/>
                <w:szCs w:val="18"/>
              </w:rPr>
              <w:t>1.1.5</w:t>
            </w:r>
          </w:p>
        </w:tc>
        <w:tc>
          <w:tcPr>
            <w:tcW w:w="1463" w:type="pct"/>
            <w:shd w:val="clear" w:color="auto" w:fill="auto"/>
            <w:noWrap/>
            <w:vAlign w:val="center"/>
            <w:hideMark/>
          </w:tcPr>
          <w:p w14:paraId="139CAE14" w14:textId="77777777" w:rsidR="002D3258" w:rsidRPr="002D3258" w:rsidRDefault="002D3258" w:rsidP="002D3258">
            <w:pPr>
              <w:pStyle w:val="13"/>
              <w:spacing w:line="240" w:lineRule="auto"/>
              <w:ind w:firstLineChars="0" w:firstLine="0"/>
              <w:rPr>
                <w:sz w:val="18"/>
                <w:szCs w:val="18"/>
              </w:rPr>
            </w:pPr>
            <w:r w:rsidRPr="002D3258">
              <w:rPr>
                <w:sz w:val="18"/>
                <w:szCs w:val="18"/>
              </w:rPr>
              <w:t>资产抵押</w:t>
            </w:r>
          </w:p>
        </w:tc>
        <w:tc>
          <w:tcPr>
            <w:tcW w:w="2063" w:type="pct"/>
            <w:vMerge/>
            <w:shd w:val="clear" w:color="auto" w:fill="auto"/>
            <w:vAlign w:val="center"/>
            <w:hideMark/>
          </w:tcPr>
          <w:p w14:paraId="7CCEE4EB" w14:textId="77777777" w:rsidR="002D3258" w:rsidRPr="002D3258" w:rsidRDefault="002D3258" w:rsidP="002D3258">
            <w:pPr>
              <w:pStyle w:val="13"/>
              <w:spacing w:line="240" w:lineRule="auto"/>
              <w:ind w:firstLineChars="0" w:firstLine="0"/>
              <w:rPr>
                <w:sz w:val="18"/>
                <w:szCs w:val="18"/>
              </w:rPr>
            </w:pPr>
          </w:p>
        </w:tc>
      </w:tr>
      <w:tr w:rsidR="002D3258" w:rsidRPr="002D3258" w14:paraId="171C5103" w14:textId="77777777" w:rsidTr="002D3258">
        <w:trPr>
          <w:gridAfter w:val="1"/>
          <w:wAfter w:w="11" w:type="pct"/>
          <w:trHeight w:val="283"/>
        </w:trPr>
        <w:tc>
          <w:tcPr>
            <w:tcW w:w="407" w:type="pct"/>
            <w:shd w:val="clear" w:color="auto" w:fill="auto"/>
            <w:noWrap/>
            <w:vAlign w:val="center"/>
            <w:hideMark/>
          </w:tcPr>
          <w:p w14:paraId="7BFFA6D9" w14:textId="77777777" w:rsidR="002D3258" w:rsidRPr="002D3258" w:rsidRDefault="002D3258" w:rsidP="002D3258">
            <w:pPr>
              <w:pStyle w:val="13"/>
              <w:spacing w:line="240" w:lineRule="auto"/>
              <w:ind w:firstLineChars="0" w:firstLine="0"/>
              <w:rPr>
                <w:sz w:val="18"/>
                <w:szCs w:val="18"/>
              </w:rPr>
            </w:pPr>
            <w:r w:rsidRPr="002D3258">
              <w:rPr>
                <w:sz w:val="18"/>
                <w:szCs w:val="18"/>
              </w:rPr>
              <w:t>6</w:t>
            </w:r>
          </w:p>
        </w:tc>
        <w:tc>
          <w:tcPr>
            <w:tcW w:w="166" w:type="pct"/>
            <w:vMerge/>
            <w:shd w:val="clear" w:color="auto" w:fill="auto"/>
            <w:vAlign w:val="center"/>
            <w:hideMark/>
          </w:tcPr>
          <w:p w14:paraId="19B0C57A"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D94898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66BC579" w14:textId="77777777" w:rsidR="002D3258" w:rsidRPr="002D3258" w:rsidRDefault="002D3258" w:rsidP="002D3258">
            <w:pPr>
              <w:pStyle w:val="13"/>
              <w:spacing w:line="240" w:lineRule="auto"/>
              <w:ind w:firstLineChars="0" w:firstLine="0"/>
              <w:rPr>
                <w:sz w:val="18"/>
                <w:szCs w:val="18"/>
              </w:rPr>
            </w:pPr>
            <w:r w:rsidRPr="002D3258">
              <w:rPr>
                <w:sz w:val="18"/>
                <w:szCs w:val="18"/>
              </w:rPr>
              <w:t>1.1.6</w:t>
            </w:r>
          </w:p>
        </w:tc>
        <w:tc>
          <w:tcPr>
            <w:tcW w:w="1463" w:type="pct"/>
            <w:shd w:val="clear" w:color="auto" w:fill="auto"/>
            <w:noWrap/>
            <w:vAlign w:val="center"/>
            <w:hideMark/>
          </w:tcPr>
          <w:p w14:paraId="5F8381DB" w14:textId="77777777" w:rsidR="002D3258" w:rsidRPr="002D3258" w:rsidRDefault="002D3258" w:rsidP="002D3258">
            <w:pPr>
              <w:pStyle w:val="13"/>
              <w:spacing w:line="240" w:lineRule="auto"/>
              <w:ind w:firstLineChars="0" w:firstLine="0"/>
              <w:rPr>
                <w:sz w:val="18"/>
                <w:szCs w:val="18"/>
              </w:rPr>
            </w:pPr>
            <w:r w:rsidRPr="002D3258">
              <w:rPr>
                <w:sz w:val="18"/>
                <w:szCs w:val="18"/>
              </w:rPr>
              <w:t>资产质押</w:t>
            </w:r>
          </w:p>
        </w:tc>
        <w:tc>
          <w:tcPr>
            <w:tcW w:w="2063" w:type="pct"/>
            <w:vMerge/>
            <w:shd w:val="clear" w:color="auto" w:fill="auto"/>
            <w:vAlign w:val="center"/>
            <w:hideMark/>
          </w:tcPr>
          <w:p w14:paraId="531992A9" w14:textId="77777777" w:rsidR="002D3258" w:rsidRPr="002D3258" w:rsidRDefault="002D3258" w:rsidP="002D3258">
            <w:pPr>
              <w:pStyle w:val="13"/>
              <w:spacing w:line="240" w:lineRule="auto"/>
              <w:ind w:firstLineChars="0" w:firstLine="0"/>
              <w:rPr>
                <w:sz w:val="18"/>
                <w:szCs w:val="18"/>
              </w:rPr>
            </w:pPr>
          </w:p>
        </w:tc>
      </w:tr>
      <w:tr w:rsidR="002D3258" w:rsidRPr="002D3258" w14:paraId="0B5C96E1" w14:textId="77777777" w:rsidTr="002D3258">
        <w:trPr>
          <w:gridAfter w:val="1"/>
          <w:wAfter w:w="11" w:type="pct"/>
          <w:trHeight w:val="283"/>
        </w:trPr>
        <w:tc>
          <w:tcPr>
            <w:tcW w:w="407" w:type="pct"/>
            <w:shd w:val="clear" w:color="auto" w:fill="auto"/>
            <w:noWrap/>
            <w:vAlign w:val="center"/>
            <w:hideMark/>
          </w:tcPr>
          <w:p w14:paraId="345C9DFB" w14:textId="77777777" w:rsidR="002D3258" w:rsidRPr="002D3258" w:rsidRDefault="002D3258" w:rsidP="002D3258">
            <w:pPr>
              <w:pStyle w:val="13"/>
              <w:spacing w:line="240" w:lineRule="auto"/>
              <w:ind w:firstLineChars="0" w:firstLine="0"/>
              <w:rPr>
                <w:sz w:val="18"/>
                <w:szCs w:val="18"/>
              </w:rPr>
            </w:pPr>
            <w:r w:rsidRPr="002D3258">
              <w:rPr>
                <w:sz w:val="18"/>
                <w:szCs w:val="18"/>
              </w:rPr>
              <w:t>7</w:t>
            </w:r>
          </w:p>
        </w:tc>
        <w:tc>
          <w:tcPr>
            <w:tcW w:w="166" w:type="pct"/>
            <w:vMerge/>
            <w:shd w:val="clear" w:color="auto" w:fill="auto"/>
            <w:vAlign w:val="center"/>
            <w:hideMark/>
          </w:tcPr>
          <w:p w14:paraId="6025815F"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9E0F58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6637F19D" w14:textId="77777777" w:rsidR="002D3258" w:rsidRPr="002D3258" w:rsidRDefault="002D3258" w:rsidP="002D3258">
            <w:pPr>
              <w:pStyle w:val="13"/>
              <w:spacing w:line="240" w:lineRule="auto"/>
              <w:ind w:firstLineChars="0" w:firstLine="0"/>
              <w:rPr>
                <w:sz w:val="18"/>
                <w:szCs w:val="18"/>
              </w:rPr>
            </w:pPr>
            <w:r w:rsidRPr="002D3258">
              <w:rPr>
                <w:sz w:val="18"/>
                <w:szCs w:val="18"/>
              </w:rPr>
              <w:t>1.1.7</w:t>
            </w:r>
          </w:p>
        </w:tc>
        <w:tc>
          <w:tcPr>
            <w:tcW w:w="1463" w:type="pct"/>
            <w:shd w:val="clear" w:color="auto" w:fill="auto"/>
            <w:noWrap/>
            <w:vAlign w:val="center"/>
            <w:hideMark/>
          </w:tcPr>
          <w:p w14:paraId="0B3D0F5F" w14:textId="77777777" w:rsidR="002D3258" w:rsidRPr="002D3258" w:rsidRDefault="002D3258" w:rsidP="002D3258">
            <w:pPr>
              <w:pStyle w:val="13"/>
              <w:spacing w:line="240" w:lineRule="auto"/>
              <w:ind w:firstLineChars="0" w:firstLine="0"/>
              <w:rPr>
                <w:sz w:val="18"/>
                <w:szCs w:val="18"/>
              </w:rPr>
            </w:pPr>
            <w:r w:rsidRPr="002D3258">
              <w:rPr>
                <w:sz w:val="18"/>
                <w:szCs w:val="18"/>
              </w:rPr>
              <w:t>资产重组</w:t>
            </w:r>
          </w:p>
        </w:tc>
        <w:tc>
          <w:tcPr>
            <w:tcW w:w="2063" w:type="pct"/>
            <w:vMerge/>
            <w:shd w:val="clear" w:color="auto" w:fill="auto"/>
            <w:vAlign w:val="center"/>
            <w:hideMark/>
          </w:tcPr>
          <w:p w14:paraId="4083623D" w14:textId="77777777" w:rsidR="002D3258" w:rsidRPr="002D3258" w:rsidRDefault="002D3258" w:rsidP="002D3258">
            <w:pPr>
              <w:pStyle w:val="13"/>
              <w:spacing w:line="240" w:lineRule="auto"/>
              <w:ind w:firstLineChars="0" w:firstLine="0"/>
              <w:rPr>
                <w:sz w:val="18"/>
                <w:szCs w:val="18"/>
              </w:rPr>
            </w:pPr>
          </w:p>
        </w:tc>
      </w:tr>
      <w:tr w:rsidR="002D3258" w:rsidRPr="002D3258" w14:paraId="5F540614" w14:textId="77777777" w:rsidTr="002D3258">
        <w:trPr>
          <w:gridAfter w:val="1"/>
          <w:wAfter w:w="11" w:type="pct"/>
          <w:trHeight w:val="283"/>
        </w:trPr>
        <w:tc>
          <w:tcPr>
            <w:tcW w:w="407" w:type="pct"/>
            <w:shd w:val="clear" w:color="auto" w:fill="auto"/>
            <w:noWrap/>
            <w:vAlign w:val="center"/>
            <w:hideMark/>
          </w:tcPr>
          <w:p w14:paraId="7A14EB9C" w14:textId="77777777" w:rsidR="002D3258" w:rsidRPr="002D3258" w:rsidRDefault="002D3258" w:rsidP="002D3258">
            <w:pPr>
              <w:pStyle w:val="13"/>
              <w:spacing w:line="240" w:lineRule="auto"/>
              <w:ind w:firstLineChars="0" w:firstLine="0"/>
              <w:rPr>
                <w:sz w:val="18"/>
                <w:szCs w:val="18"/>
              </w:rPr>
            </w:pPr>
            <w:r w:rsidRPr="002D3258">
              <w:rPr>
                <w:sz w:val="18"/>
                <w:szCs w:val="18"/>
              </w:rPr>
              <w:t>8</w:t>
            </w:r>
          </w:p>
        </w:tc>
        <w:tc>
          <w:tcPr>
            <w:tcW w:w="166" w:type="pct"/>
            <w:vMerge/>
            <w:shd w:val="clear" w:color="auto" w:fill="auto"/>
            <w:vAlign w:val="center"/>
            <w:hideMark/>
          </w:tcPr>
          <w:p w14:paraId="0F9FB084"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C4380B5"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4AD87E7" w14:textId="77777777" w:rsidR="002D3258" w:rsidRPr="002D3258" w:rsidRDefault="002D3258" w:rsidP="002D3258">
            <w:pPr>
              <w:pStyle w:val="13"/>
              <w:spacing w:line="240" w:lineRule="auto"/>
              <w:ind w:firstLineChars="0" w:firstLine="0"/>
              <w:rPr>
                <w:sz w:val="18"/>
                <w:szCs w:val="18"/>
              </w:rPr>
            </w:pPr>
            <w:r w:rsidRPr="002D3258">
              <w:rPr>
                <w:sz w:val="18"/>
                <w:szCs w:val="18"/>
              </w:rPr>
              <w:t>1.1.8</w:t>
            </w:r>
          </w:p>
        </w:tc>
        <w:tc>
          <w:tcPr>
            <w:tcW w:w="1463" w:type="pct"/>
            <w:shd w:val="clear" w:color="auto" w:fill="auto"/>
            <w:noWrap/>
            <w:vAlign w:val="center"/>
            <w:hideMark/>
          </w:tcPr>
          <w:p w14:paraId="50439557" w14:textId="77777777" w:rsidR="002D3258" w:rsidRPr="002D3258" w:rsidRDefault="002D3258" w:rsidP="002D3258">
            <w:pPr>
              <w:pStyle w:val="13"/>
              <w:spacing w:line="240" w:lineRule="auto"/>
              <w:ind w:firstLineChars="0" w:firstLine="0"/>
              <w:rPr>
                <w:sz w:val="18"/>
                <w:szCs w:val="18"/>
              </w:rPr>
            </w:pPr>
            <w:r w:rsidRPr="002D3258">
              <w:rPr>
                <w:sz w:val="18"/>
                <w:szCs w:val="18"/>
              </w:rPr>
              <w:t>资产捐赠</w:t>
            </w:r>
          </w:p>
        </w:tc>
        <w:tc>
          <w:tcPr>
            <w:tcW w:w="2063" w:type="pct"/>
            <w:vMerge/>
            <w:shd w:val="clear" w:color="auto" w:fill="auto"/>
            <w:vAlign w:val="center"/>
            <w:hideMark/>
          </w:tcPr>
          <w:p w14:paraId="4BC4FE13" w14:textId="77777777" w:rsidR="002D3258" w:rsidRPr="002D3258" w:rsidRDefault="002D3258" w:rsidP="002D3258">
            <w:pPr>
              <w:pStyle w:val="13"/>
              <w:spacing w:line="240" w:lineRule="auto"/>
              <w:ind w:firstLineChars="0" w:firstLine="0"/>
              <w:rPr>
                <w:sz w:val="18"/>
                <w:szCs w:val="18"/>
              </w:rPr>
            </w:pPr>
          </w:p>
        </w:tc>
      </w:tr>
      <w:tr w:rsidR="002D3258" w:rsidRPr="002D3258" w14:paraId="137C7362" w14:textId="77777777" w:rsidTr="002D3258">
        <w:trPr>
          <w:gridAfter w:val="1"/>
          <w:wAfter w:w="11" w:type="pct"/>
          <w:trHeight w:val="283"/>
        </w:trPr>
        <w:tc>
          <w:tcPr>
            <w:tcW w:w="407" w:type="pct"/>
            <w:shd w:val="clear" w:color="auto" w:fill="auto"/>
            <w:noWrap/>
            <w:vAlign w:val="center"/>
            <w:hideMark/>
          </w:tcPr>
          <w:p w14:paraId="357A0BAD" w14:textId="77777777" w:rsidR="002D3258" w:rsidRPr="002D3258" w:rsidRDefault="002D3258" w:rsidP="002D3258">
            <w:pPr>
              <w:pStyle w:val="13"/>
              <w:spacing w:line="240" w:lineRule="auto"/>
              <w:ind w:firstLineChars="0" w:firstLine="0"/>
              <w:rPr>
                <w:sz w:val="18"/>
                <w:szCs w:val="18"/>
              </w:rPr>
            </w:pPr>
            <w:r w:rsidRPr="002D3258">
              <w:rPr>
                <w:sz w:val="18"/>
                <w:szCs w:val="18"/>
              </w:rPr>
              <w:t>9</w:t>
            </w:r>
          </w:p>
        </w:tc>
        <w:tc>
          <w:tcPr>
            <w:tcW w:w="166" w:type="pct"/>
            <w:vMerge/>
            <w:shd w:val="clear" w:color="auto" w:fill="auto"/>
            <w:vAlign w:val="center"/>
            <w:hideMark/>
          </w:tcPr>
          <w:p w14:paraId="261EC098"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4CF4B68"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F8C9380" w14:textId="77777777" w:rsidR="002D3258" w:rsidRPr="002D3258" w:rsidRDefault="002D3258" w:rsidP="002D3258">
            <w:pPr>
              <w:pStyle w:val="13"/>
              <w:spacing w:line="240" w:lineRule="auto"/>
              <w:ind w:firstLineChars="0" w:firstLine="0"/>
              <w:rPr>
                <w:sz w:val="18"/>
                <w:szCs w:val="18"/>
              </w:rPr>
            </w:pPr>
            <w:r w:rsidRPr="002D3258">
              <w:rPr>
                <w:sz w:val="18"/>
                <w:szCs w:val="18"/>
              </w:rPr>
              <w:t>1.1.9</w:t>
            </w:r>
          </w:p>
        </w:tc>
        <w:tc>
          <w:tcPr>
            <w:tcW w:w="1463" w:type="pct"/>
            <w:shd w:val="clear" w:color="auto" w:fill="auto"/>
            <w:noWrap/>
            <w:vAlign w:val="center"/>
            <w:hideMark/>
          </w:tcPr>
          <w:p w14:paraId="6F034A3F" w14:textId="77777777" w:rsidR="002D3258" w:rsidRPr="002D3258" w:rsidRDefault="002D3258" w:rsidP="002D3258">
            <w:pPr>
              <w:pStyle w:val="13"/>
              <w:spacing w:line="240" w:lineRule="auto"/>
              <w:ind w:firstLineChars="0" w:firstLine="0"/>
              <w:rPr>
                <w:sz w:val="18"/>
                <w:szCs w:val="18"/>
              </w:rPr>
            </w:pPr>
            <w:r w:rsidRPr="002D3258">
              <w:rPr>
                <w:sz w:val="18"/>
                <w:szCs w:val="18"/>
              </w:rPr>
              <w:t>资产补偿</w:t>
            </w:r>
          </w:p>
        </w:tc>
        <w:tc>
          <w:tcPr>
            <w:tcW w:w="2063" w:type="pct"/>
            <w:vMerge/>
            <w:shd w:val="clear" w:color="auto" w:fill="auto"/>
            <w:vAlign w:val="center"/>
            <w:hideMark/>
          </w:tcPr>
          <w:p w14:paraId="6C444E4B" w14:textId="77777777" w:rsidR="002D3258" w:rsidRPr="002D3258" w:rsidRDefault="002D3258" w:rsidP="002D3258">
            <w:pPr>
              <w:pStyle w:val="13"/>
              <w:spacing w:line="240" w:lineRule="auto"/>
              <w:ind w:firstLineChars="0" w:firstLine="0"/>
              <w:rPr>
                <w:sz w:val="18"/>
                <w:szCs w:val="18"/>
              </w:rPr>
            </w:pPr>
          </w:p>
        </w:tc>
      </w:tr>
      <w:tr w:rsidR="002D3258" w:rsidRPr="002D3258" w14:paraId="0954B81D" w14:textId="77777777" w:rsidTr="002D3258">
        <w:trPr>
          <w:gridAfter w:val="1"/>
          <w:wAfter w:w="11" w:type="pct"/>
          <w:trHeight w:val="283"/>
        </w:trPr>
        <w:tc>
          <w:tcPr>
            <w:tcW w:w="407" w:type="pct"/>
            <w:shd w:val="clear" w:color="auto" w:fill="auto"/>
            <w:noWrap/>
            <w:vAlign w:val="center"/>
            <w:hideMark/>
          </w:tcPr>
          <w:p w14:paraId="28632BE1" w14:textId="77777777" w:rsidR="002D3258" w:rsidRPr="002D3258" w:rsidRDefault="002D3258" w:rsidP="002D3258">
            <w:pPr>
              <w:pStyle w:val="13"/>
              <w:spacing w:line="240" w:lineRule="auto"/>
              <w:ind w:firstLineChars="0" w:firstLine="0"/>
              <w:rPr>
                <w:sz w:val="18"/>
                <w:szCs w:val="18"/>
              </w:rPr>
            </w:pPr>
            <w:r w:rsidRPr="002D3258">
              <w:rPr>
                <w:sz w:val="18"/>
                <w:szCs w:val="18"/>
              </w:rPr>
              <w:t>10</w:t>
            </w:r>
          </w:p>
        </w:tc>
        <w:tc>
          <w:tcPr>
            <w:tcW w:w="166" w:type="pct"/>
            <w:vMerge/>
            <w:shd w:val="clear" w:color="auto" w:fill="auto"/>
            <w:vAlign w:val="center"/>
            <w:hideMark/>
          </w:tcPr>
          <w:p w14:paraId="7F970FD5"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14747F3"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6A032F0" w14:textId="77777777" w:rsidR="002D3258" w:rsidRPr="002D3258" w:rsidRDefault="002D3258" w:rsidP="002D3258">
            <w:pPr>
              <w:pStyle w:val="13"/>
              <w:spacing w:line="240" w:lineRule="auto"/>
              <w:ind w:firstLineChars="0" w:firstLine="0"/>
              <w:rPr>
                <w:sz w:val="18"/>
                <w:szCs w:val="18"/>
              </w:rPr>
            </w:pPr>
            <w:r w:rsidRPr="002D3258">
              <w:rPr>
                <w:sz w:val="18"/>
                <w:szCs w:val="18"/>
              </w:rPr>
              <w:t>1.1.10</w:t>
            </w:r>
          </w:p>
        </w:tc>
        <w:tc>
          <w:tcPr>
            <w:tcW w:w="1463" w:type="pct"/>
            <w:shd w:val="clear" w:color="auto" w:fill="auto"/>
            <w:noWrap/>
            <w:vAlign w:val="center"/>
            <w:hideMark/>
          </w:tcPr>
          <w:p w14:paraId="4ACEC5C1" w14:textId="77777777" w:rsidR="002D3258" w:rsidRPr="002D3258" w:rsidRDefault="002D3258" w:rsidP="002D3258">
            <w:pPr>
              <w:pStyle w:val="13"/>
              <w:spacing w:line="240" w:lineRule="auto"/>
              <w:ind w:firstLineChars="0" w:firstLine="0"/>
              <w:rPr>
                <w:sz w:val="18"/>
                <w:szCs w:val="18"/>
              </w:rPr>
            </w:pPr>
            <w:r w:rsidRPr="002D3258">
              <w:rPr>
                <w:sz w:val="18"/>
                <w:szCs w:val="18"/>
              </w:rPr>
              <w:t>资产涉讼</w:t>
            </w:r>
          </w:p>
        </w:tc>
        <w:tc>
          <w:tcPr>
            <w:tcW w:w="2063" w:type="pct"/>
            <w:vMerge/>
            <w:shd w:val="clear" w:color="auto" w:fill="auto"/>
            <w:vAlign w:val="center"/>
            <w:hideMark/>
          </w:tcPr>
          <w:p w14:paraId="7985492A" w14:textId="77777777" w:rsidR="002D3258" w:rsidRPr="002D3258" w:rsidRDefault="002D3258" w:rsidP="002D3258">
            <w:pPr>
              <w:pStyle w:val="13"/>
              <w:spacing w:line="240" w:lineRule="auto"/>
              <w:ind w:firstLineChars="0" w:firstLine="0"/>
              <w:rPr>
                <w:sz w:val="18"/>
                <w:szCs w:val="18"/>
              </w:rPr>
            </w:pPr>
          </w:p>
        </w:tc>
      </w:tr>
      <w:tr w:rsidR="002D3258" w:rsidRPr="002D3258" w14:paraId="167CA964" w14:textId="77777777" w:rsidTr="002D3258">
        <w:trPr>
          <w:gridAfter w:val="1"/>
          <w:wAfter w:w="11" w:type="pct"/>
          <w:trHeight w:val="283"/>
        </w:trPr>
        <w:tc>
          <w:tcPr>
            <w:tcW w:w="407" w:type="pct"/>
            <w:shd w:val="clear" w:color="auto" w:fill="auto"/>
            <w:noWrap/>
            <w:vAlign w:val="center"/>
            <w:hideMark/>
          </w:tcPr>
          <w:p w14:paraId="1227DAB9" w14:textId="77777777" w:rsidR="002D3258" w:rsidRPr="002D3258" w:rsidRDefault="002D3258" w:rsidP="002D3258">
            <w:pPr>
              <w:pStyle w:val="13"/>
              <w:spacing w:line="240" w:lineRule="auto"/>
              <w:ind w:firstLineChars="0" w:firstLine="0"/>
              <w:rPr>
                <w:sz w:val="18"/>
                <w:szCs w:val="18"/>
              </w:rPr>
            </w:pPr>
            <w:r w:rsidRPr="002D3258">
              <w:rPr>
                <w:sz w:val="18"/>
                <w:szCs w:val="18"/>
              </w:rPr>
              <w:lastRenderedPageBreak/>
              <w:t>11</w:t>
            </w:r>
          </w:p>
        </w:tc>
        <w:tc>
          <w:tcPr>
            <w:tcW w:w="166" w:type="pct"/>
            <w:vMerge/>
            <w:shd w:val="clear" w:color="auto" w:fill="auto"/>
            <w:vAlign w:val="center"/>
            <w:hideMark/>
          </w:tcPr>
          <w:p w14:paraId="1DFEA8CD"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D9E7FC9"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4992E84" w14:textId="77777777" w:rsidR="002D3258" w:rsidRPr="002D3258" w:rsidRDefault="002D3258" w:rsidP="002D3258">
            <w:pPr>
              <w:pStyle w:val="13"/>
              <w:spacing w:line="240" w:lineRule="auto"/>
              <w:ind w:firstLineChars="0" w:firstLine="0"/>
              <w:rPr>
                <w:sz w:val="18"/>
                <w:szCs w:val="18"/>
              </w:rPr>
            </w:pPr>
            <w:r w:rsidRPr="002D3258">
              <w:rPr>
                <w:sz w:val="18"/>
                <w:szCs w:val="18"/>
              </w:rPr>
              <w:t>1.1.11</w:t>
            </w:r>
          </w:p>
        </w:tc>
        <w:tc>
          <w:tcPr>
            <w:tcW w:w="1463" w:type="pct"/>
            <w:shd w:val="clear" w:color="auto" w:fill="auto"/>
            <w:noWrap/>
            <w:vAlign w:val="center"/>
            <w:hideMark/>
          </w:tcPr>
          <w:p w14:paraId="139A5865" w14:textId="77777777" w:rsidR="002D3258" w:rsidRPr="002D3258" w:rsidRDefault="002D3258" w:rsidP="002D3258">
            <w:pPr>
              <w:pStyle w:val="13"/>
              <w:spacing w:line="240" w:lineRule="auto"/>
              <w:ind w:firstLineChars="0" w:firstLine="0"/>
              <w:rPr>
                <w:sz w:val="18"/>
                <w:szCs w:val="18"/>
              </w:rPr>
            </w:pPr>
            <w:r w:rsidRPr="002D3258">
              <w:rPr>
                <w:sz w:val="18"/>
                <w:szCs w:val="18"/>
              </w:rPr>
              <w:t>对外投资</w:t>
            </w:r>
          </w:p>
        </w:tc>
        <w:tc>
          <w:tcPr>
            <w:tcW w:w="2063" w:type="pct"/>
            <w:vMerge/>
            <w:shd w:val="clear" w:color="auto" w:fill="auto"/>
            <w:vAlign w:val="center"/>
            <w:hideMark/>
          </w:tcPr>
          <w:p w14:paraId="233DD763" w14:textId="77777777" w:rsidR="002D3258" w:rsidRPr="002D3258" w:rsidRDefault="002D3258" w:rsidP="002D3258">
            <w:pPr>
              <w:pStyle w:val="13"/>
              <w:spacing w:line="240" w:lineRule="auto"/>
              <w:ind w:firstLineChars="0" w:firstLine="0"/>
              <w:rPr>
                <w:sz w:val="18"/>
                <w:szCs w:val="18"/>
              </w:rPr>
            </w:pPr>
          </w:p>
        </w:tc>
      </w:tr>
      <w:tr w:rsidR="002D3258" w:rsidRPr="002D3258" w14:paraId="54731E99" w14:textId="77777777" w:rsidTr="002D3258">
        <w:trPr>
          <w:gridAfter w:val="1"/>
          <w:wAfter w:w="11" w:type="pct"/>
          <w:trHeight w:val="283"/>
        </w:trPr>
        <w:tc>
          <w:tcPr>
            <w:tcW w:w="407" w:type="pct"/>
            <w:shd w:val="clear" w:color="auto" w:fill="auto"/>
            <w:noWrap/>
            <w:vAlign w:val="center"/>
            <w:hideMark/>
          </w:tcPr>
          <w:p w14:paraId="477B0C30" w14:textId="77777777" w:rsidR="002D3258" w:rsidRPr="002D3258" w:rsidRDefault="002D3258" w:rsidP="002D3258">
            <w:pPr>
              <w:pStyle w:val="13"/>
              <w:spacing w:line="240" w:lineRule="auto"/>
              <w:ind w:firstLineChars="0" w:firstLine="0"/>
              <w:rPr>
                <w:sz w:val="18"/>
                <w:szCs w:val="18"/>
              </w:rPr>
            </w:pPr>
            <w:r w:rsidRPr="002D3258">
              <w:rPr>
                <w:sz w:val="18"/>
                <w:szCs w:val="18"/>
              </w:rPr>
              <w:t>12</w:t>
            </w:r>
          </w:p>
        </w:tc>
        <w:tc>
          <w:tcPr>
            <w:tcW w:w="166" w:type="pct"/>
            <w:vMerge/>
            <w:shd w:val="clear" w:color="auto" w:fill="auto"/>
            <w:vAlign w:val="center"/>
            <w:hideMark/>
          </w:tcPr>
          <w:p w14:paraId="568F6361"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5E4673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6578C4E" w14:textId="77777777" w:rsidR="002D3258" w:rsidRPr="002D3258" w:rsidRDefault="002D3258" w:rsidP="002D3258">
            <w:pPr>
              <w:pStyle w:val="13"/>
              <w:spacing w:line="240" w:lineRule="auto"/>
              <w:ind w:firstLineChars="0" w:firstLine="0"/>
              <w:rPr>
                <w:sz w:val="18"/>
                <w:szCs w:val="18"/>
              </w:rPr>
            </w:pPr>
            <w:r w:rsidRPr="002D3258">
              <w:rPr>
                <w:sz w:val="18"/>
                <w:szCs w:val="18"/>
              </w:rPr>
              <w:t>1.1.12</w:t>
            </w:r>
          </w:p>
        </w:tc>
        <w:tc>
          <w:tcPr>
            <w:tcW w:w="1463" w:type="pct"/>
            <w:shd w:val="clear" w:color="auto" w:fill="auto"/>
            <w:noWrap/>
            <w:vAlign w:val="center"/>
            <w:hideMark/>
          </w:tcPr>
          <w:p w14:paraId="57AE6D71" w14:textId="77777777" w:rsidR="002D3258" w:rsidRPr="002D3258" w:rsidRDefault="002D3258" w:rsidP="002D3258">
            <w:pPr>
              <w:pStyle w:val="13"/>
              <w:spacing w:line="240" w:lineRule="auto"/>
              <w:ind w:firstLineChars="0" w:firstLine="0"/>
              <w:rPr>
                <w:sz w:val="18"/>
                <w:szCs w:val="18"/>
              </w:rPr>
            </w:pPr>
            <w:r w:rsidRPr="002D3258">
              <w:rPr>
                <w:sz w:val="18"/>
                <w:szCs w:val="18"/>
              </w:rPr>
              <w:t>接受投资</w:t>
            </w:r>
          </w:p>
        </w:tc>
        <w:tc>
          <w:tcPr>
            <w:tcW w:w="2063" w:type="pct"/>
            <w:vMerge/>
            <w:shd w:val="clear" w:color="auto" w:fill="auto"/>
            <w:vAlign w:val="center"/>
            <w:hideMark/>
          </w:tcPr>
          <w:p w14:paraId="59A97179" w14:textId="77777777" w:rsidR="002D3258" w:rsidRPr="002D3258" w:rsidRDefault="002D3258" w:rsidP="002D3258">
            <w:pPr>
              <w:pStyle w:val="13"/>
              <w:spacing w:line="240" w:lineRule="auto"/>
              <w:ind w:firstLineChars="0" w:firstLine="0"/>
              <w:rPr>
                <w:sz w:val="18"/>
                <w:szCs w:val="18"/>
              </w:rPr>
            </w:pPr>
          </w:p>
        </w:tc>
      </w:tr>
      <w:tr w:rsidR="002D3258" w:rsidRPr="002D3258" w14:paraId="1D7B3BDD" w14:textId="77777777" w:rsidTr="002D3258">
        <w:trPr>
          <w:gridAfter w:val="1"/>
          <w:wAfter w:w="11" w:type="pct"/>
          <w:trHeight w:val="283"/>
        </w:trPr>
        <w:tc>
          <w:tcPr>
            <w:tcW w:w="407" w:type="pct"/>
            <w:shd w:val="clear" w:color="auto" w:fill="auto"/>
            <w:noWrap/>
            <w:vAlign w:val="center"/>
            <w:hideMark/>
          </w:tcPr>
          <w:p w14:paraId="5F69C625" w14:textId="77777777" w:rsidR="002D3258" w:rsidRPr="002D3258" w:rsidRDefault="002D3258" w:rsidP="002D3258">
            <w:pPr>
              <w:pStyle w:val="13"/>
              <w:spacing w:line="240" w:lineRule="auto"/>
              <w:ind w:firstLineChars="0" w:firstLine="0"/>
              <w:rPr>
                <w:sz w:val="18"/>
                <w:szCs w:val="18"/>
              </w:rPr>
            </w:pPr>
            <w:r w:rsidRPr="002D3258">
              <w:rPr>
                <w:sz w:val="18"/>
                <w:szCs w:val="18"/>
              </w:rPr>
              <w:t>13</w:t>
            </w:r>
          </w:p>
        </w:tc>
        <w:tc>
          <w:tcPr>
            <w:tcW w:w="166" w:type="pct"/>
            <w:vMerge/>
            <w:shd w:val="clear" w:color="auto" w:fill="auto"/>
            <w:vAlign w:val="center"/>
            <w:hideMark/>
          </w:tcPr>
          <w:p w14:paraId="77E36F3A"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B2EF296"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31D61B4" w14:textId="77777777" w:rsidR="002D3258" w:rsidRPr="002D3258" w:rsidRDefault="002D3258" w:rsidP="002D3258">
            <w:pPr>
              <w:pStyle w:val="13"/>
              <w:spacing w:line="240" w:lineRule="auto"/>
              <w:ind w:firstLineChars="0" w:firstLine="0"/>
              <w:rPr>
                <w:sz w:val="18"/>
                <w:szCs w:val="18"/>
              </w:rPr>
            </w:pPr>
            <w:r w:rsidRPr="002D3258">
              <w:rPr>
                <w:sz w:val="18"/>
                <w:szCs w:val="18"/>
              </w:rPr>
              <w:t>1.1.13</w:t>
            </w:r>
          </w:p>
        </w:tc>
        <w:tc>
          <w:tcPr>
            <w:tcW w:w="1463" w:type="pct"/>
            <w:shd w:val="clear" w:color="auto" w:fill="auto"/>
            <w:noWrap/>
            <w:vAlign w:val="center"/>
            <w:hideMark/>
          </w:tcPr>
          <w:p w14:paraId="1939D796" w14:textId="77777777" w:rsidR="002D3258" w:rsidRPr="002D3258" w:rsidRDefault="002D3258" w:rsidP="002D3258">
            <w:pPr>
              <w:pStyle w:val="13"/>
              <w:spacing w:line="240" w:lineRule="auto"/>
              <w:ind w:firstLineChars="0" w:firstLine="0"/>
              <w:rPr>
                <w:sz w:val="18"/>
                <w:szCs w:val="18"/>
              </w:rPr>
            </w:pPr>
            <w:r w:rsidRPr="002D3258">
              <w:rPr>
                <w:sz w:val="18"/>
                <w:szCs w:val="18"/>
              </w:rPr>
              <w:t>接受抵债资产</w:t>
            </w:r>
          </w:p>
        </w:tc>
        <w:tc>
          <w:tcPr>
            <w:tcW w:w="2063" w:type="pct"/>
            <w:vMerge/>
            <w:shd w:val="clear" w:color="auto" w:fill="auto"/>
            <w:vAlign w:val="center"/>
            <w:hideMark/>
          </w:tcPr>
          <w:p w14:paraId="5B105AE0" w14:textId="77777777" w:rsidR="002D3258" w:rsidRPr="002D3258" w:rsidRDefault="002D3258" w:rsidP="002D3258">
            <w:pPr>
              <w:pStyle w:val="13"/>
              <w:spacing w:line="240" w:lineRule="auto"/>
              <w:ind w:firstLineChars="0" w:firstLine="0"/>
              <w:rPr>
                <w:sz w:val="18"/>
                <w:szCs w:val="18"/>
              </w:rPr>
            </w:pPr>
          </w:p>
        </w:tc>
      </w:tr>
      <w:tr w:rsidR="002D3258" w:rsidRPr="002D3258" w14:paraId="1CE521AC" w14:textId="77777777" w:rsidTr="002D3258">
        <w:trPr>
          <w:gridAfter w:val="1"/>
          <w:wAfter w:w="11" w:type="pct"/>
          <w:trHeight w:val="283"/>
        </w:trPr>
        <w:tc>
          <w:tcPr>
            <w:tcW w:w="407" w:type="pct"/>
            <w:shd w:val="clear" w:color="auto" w:fill="auto"/>
            <w:noWrap/>
            <w:vAlign w:val="center"/>
            <w:hideMark/>
          </w:tcPr>
          <w:p w14:paraId="1BB443C3" w14:textId="77777777" w:rsidR="002D3258" w:rsidRPr="002D3258" w:rsidRDefault="002D3258" w:rsidP="002D3258">
            <w:pPr>
              <w:pStyle w:val="13"/>
              <w:spacing w:line="240" w:lineRule="auto"/>
              <w:ind w:firstLineChars="0" w:firstLine="0"/>
              <w:rPr>
                <w:sz w:val="18"/>
                <w:szCs w:val="18"/>
              </w:rPr>
            </w:pPr>
            <w:r w:rsidRPr="002D3258">
              <w:rPr>
                <w:sz w:val="18"/>
                <w:szCs w:val="18"/>
              </w:rPr>
              <w:t>14</w:t>
            </w:r>
          </w:p>
        </w:tc>
        <w:tc>
          <w:tcPr>
            <w:tcW w:w="166" w:type="pct"/>
            <w:vMerge/>
            <w:shd w:val="clear" w:color="auto" w:fill="auto"/>
            <w:vAlign w:val="center"/>
            <w:hideMark/>
          </w:tcPr>
          <w:p w14:paraId="6D984556"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5A8E89C"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BF05F98" w14:textId="77777777" w:rsidR="002D3258" w:rsidRPr="002D3258" w:rsidRDefault="002D3258" w:rsidP="002D3258">
            <w:pPr>
              <w:pStyle w:val="13"/>
              <w:spacing w:line="240" w:lineRule="auto"/>
              <w:ind w:firstLineChars="0" w:firstLine="0"/>
              <w:rPr>
                <w:sz w:val="18"/>
                <w:szCs w:val="18"/>
              </w:rPr>
            </w:pPr>
            <w:r w:rsidRPr="002D3258">
              <w:rPr>
                <w:sz w:val="18"/>
                <w:szCs w:val="18"/>
              </w:rPr>
              <w:t>1.1.14</w:t>
            </w:r>
          </w:p>
        </w:tc>
        <w:tc>
          <w:tcPr>
            <w:tcW w:w="1463" w:type="pct"/>
            <w:shd w:val="clear" w:color="auto" w:fill="auto"/>
            <w:noWrap/>
            <w:vAlign w:val="center"/>
            <w:hideMark/>
          </w:tcPr>
          <w:p w14:paraId="0F902988" w14:textId="77777777" w:rsidR="002D3258" w:rsidRPr="002D3258" w:rsidRDefault="002D3258" w:rsidP="002D3258">
            <w:pPr>
              <w:pStyle w:val="13"/>
              <w:spacing w:line="240" w:lineRule="auto"/>
              <w:ind w:firstLineChars="0" w:firstLine="0"/>
              <w:rPr>
                <w:sz w:val="18"/>
                <w:szCs w:val="18"/>
              </w:rPr>
            </w:pPr>
            <w:r w:rsidRPr="002D3258">
              <w:rPr>
                <w:sz w:val="18"/>
                <w:szCs w:val="18"/>
              </w:rPr>
              <w:t>债务重组</w:t>
            </w:r>
          </w:p>
        </w:tc>
        <w:tc>
          <w:tcPr>
            <w:tcW w:w="2063" w:type="pct"/>
            <w:vMerge/>
            <w:shd w:val="clear" w:color="auto" w:fill="auto"/>
            <w:vAlign w:val="center"/>
            <w:hideMark/>
          </w:tcPr>
          <w:p w14:paraId="2895FBAF" w14:textId="77777777" w:rsidR="002D3258" w:rsidRPr="002D3258" w:rsidRDefault="002D3258" w:rsidP="002D3258">
            <w:pPr>
              <w:pStyle w:val="13"/>
              <w:spacing w:line="240" w:lineRule="auto"/>
              <w:ind w:firstLineChars="0" w:firstLine="0"/>
              <w:rPr>
                <w:sz w:val="18"/>
                <w:szCs w:val="18"/>
              </w:rPr>
            </w:pPr>
          </w:p>
        </w:tc>
      </w:tr>
      <w:tr w:rsidR="002D3258" w:rsidRPr="002D3258" w14:paraId="057B26B5" w14:textId="77777777" w:rsidTr="002D3258">
        <w:trPr>
          <w:gridAfter w:val="1"/>
          <w:wAfter w:w="11" w:type="pct"/>
          <w:trHeight w:val="268"/>
        </w:trPr>
        <w:tc>
          <w:tcPr>
            <w:tcW w:w="407" w:type="pct"/>
            <w:shd w:val="clear" w:color="auto" w:fill="auto"/>
            <w:noWrap/>
            <w:vAlign w:val="center"/>
            <w:hideMark/>
          </w:tcPr>
          <w:p w14:paraId="1D4986B3" w14:textId="77777777" w:rsidR="002D3258" w:rsidRPr="002D3258" w:rsidRDefault="002D3258" w:rsidP="002D3258">
            <w:pPr>
              <w:pStyle w:val="13"/>
              <w:spacing w:line="240" w:lineRule="auto"/>
              <w:ind w:firstLineChars="0" w:firstLine="0"/>
              <w:rPr>
                <w:sz w:val="18"/>
                <w:szCs w:val="18"/>
              </w:rPr>
            </w:pPr>
            <w:r w:rsidRPr="002D3258">
              <w:rPr>
                <w:sz w:val="18"/>
                <w:szCs w:val="18"/>
              </w:rPr>
              <w:t>15</w:t>
            </w:r>
          </w:p>
        </w:tc>
        <w:tc>
          <w:tcPr>
            <w:tcW w:w="166" w:type="pct"/>
            <w:vMerge/>
            <w:shd w:val="clear" w:color="auto" w:fill="auto"/>
            <w:vAlign w:val="center"/>
            <w:hideMark/>
          </w:tcPr>
          <w:p w14:paraId="28C131E2"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6A36F1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6E888FD" w14:textId="77777777" w:rsidR="002D3258" w:rsidRPr="002D3258" w:rsidRDefault="002D3258" w:rsidP="002D3258">
            <w:pPr>
              <w:pStyle w:val="13"/>
              <w:spacing w:line="240" w:lineRule="auto"/>
              <w:ind w:firstLineChars="0" w:firstLine="0"/>
              <w:rPr>
                <w:sz w:val="18"/>
                <w:szCs w:val="18"/>
              </w:rPr>
            </w:pPr>
            <w:r w:rsidRPr="002D3258">
              <w:rPr>
                <w:sz w:val="18"/>
                <w:szCs w:val="18"/>
              </w:rPr>
              <w:t>1.1.15</w:t>
            </w:r>
          </w:p>
        </w:tc>
        <w:tc>
          <w:tcPr>
            <w:tcW w:w="1463" w:type="pct"/>
            <w:shd w:val="clear" w:color="auto" w:fill="auto"/>
            <w:noWrap/>
            <w:vAlign w:val="center"/>
            <w:hideMark/>
          </w:tcPr>
          <w:p w14:paraId="71DC1305" w14:textId="77777777" w:rsidR="002D3258" w:rsidRPr="002D3258" w:rsidRDefault="002D3258" w:rsidP="002D3258">
            <w:pPr>
              <w:pStyle w:val="13"/>
              <w:spacing w:line="240" w:lineRule="auto"/>
              <w:ind w:firstLineChars="0" w:firstLine="0"/>
              <w:rPr>
                <w:sz w:val="18"/>
                <w:szCs w:val="18"/>
              </w:rPr>
            </w:pPr>
            <w:r w:rsidRPr="002D3258">
              <w:rPr>
                <w:sz w:val="18"/>
                <w:szCs w:val="18"/>
              </w:rPr>
              <w:t>公司制改建</w:t>
            </w:r>
          </w:p>
        </w:tc>
        <w:tc>
          <w:tcPr>
            <w:tcW w:w="2063" w:type="pct"/>
            <w:vMerge/>
            <w:shd w:val="clear" w:color="auto" w:fill="auto"/>
            <w:vAlign w:val="center"/>
            <w:hideMark/>
          </w:tcPr>
          <w:p w14:paraId="22D2A11A" w14:textId="77777777" w:rsidR="002D3258" w:rsidRPr="002D3258" w:rsidRDefault="002D3258" w:rsidP="002D3258">
            <w:pPr>
              <w:pStyle w:val="13"/>
              <w:spacing w:line="240" w:lineRule="auto"/>
              <w:ind w:firstLineChars="0" w:firstLine="0"/>
              <w:rPr>
                <w:sz w:val="18"/>
                <w:szCs w:val="18"/>
              </w:rPr>
            </w:pPr>
          </w:p>
        </w:tc>
      </w:tr>
      <w:tr w:rsidR="002D3258" w:rsidRPr="002D3258" w14:paraId="38841C8B" w14:textId="77777777" w:rsidTr="002D3258">
        <w:trPr>
          <w:gridAfter w:val="1"/>
          <w:wAfter w:w="11" w:type="pct"/>
          <w:trHeight w:val="283"/>
        </w:trPr>
        <w:tc>
          <w:tcPr>
            <w:tcW w:w="407" w:type="pct"/>
            <w:shd w:val="clear" w:color="auto" w:fill="auto"/>
            <w:noWrap/>
            <w:vAlign w:val="center"/>
            <w:hideMark/>
          </w:tcPr>
          <w:p w14:paraId="6088B370" w14:textId="77777777" w:rsidR="002D3258" w:rsidRPr="002D3258" w:rsidRDefault="002D3258" w:rsidP="002D3258">
            <w:pPr>
              <w:pStyle w:val="13"/>
              <w:spacing w:line="240" w:lineRule="auto"/>
              <w:ind w:firstLineChars="0" w:firstLine="0"/>
              <w:rPr>
                <w:sz w:val="18"/>
                <w:szCs w:val="18"/>
              </w:rPr>
            </w:pPr>
            <w:r w:rsidRPr="002D3258">
              <w:rPr>
                <w:sz w:val="18"/>
                <w:szCs w:val="18"/>
              </w:rPr>
              <w:t>16</w:t>
            </w:r>
          </w:p>
        </w:tc>
        <w:tc>
          <w:tcPr>
            <w:tcW w:w="166" w:type="pct"/>
            <w:vMerge/>
            <w:shd w:val="clear" w:color="auto" w:fill="auto"/>
            <w:vAlign w:val="center"/>
            <w:hideMark/>
          </w:tcPr>
          <w:p w14:paraId="7758A6AD"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EFF36A2"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FDF9B06" w14:textId="77777777" w:rsidR="002D3258" w:rsidRPr="002D3258" w:rsidRDefault="002D3258" w:rsidP="002D3258">
            <w:pPr>
              <w:pStyle w:val="13"/>
              <w:spacing w:line="240" w:lineRule="auto"/>
              <w:ind w:firstLineChars="0" w:firstLine="0"/>
              <w:rPr>
                <w:sz w:val="18"/>
                <w:szCs w:val="18"/>
              </w:rPr>
            </w:pPr>
            <w:r w:rsidRPr="002D3258">
              <w:rPr>
                <w:sz w:val="18"/>
                <w:szCs w:val="18"/>
              </w:rPr>
              <w:t>1.1.16</w:t>
            </w:r>
          </w:p>
        </w:tc>
        <w:tc>
          <w:tcPr>
            <w:tcW w:w="1463" w:type="pct"/>
            <w:shd w:val="clear" w:color="auto" w:fill="auto"/>
            <w:noWrap/>
            <w:vAlign w:val="center"/>
            <w:hideMark/>
          </w:tcPr>
          <w:p w14:paraId="004B1B89" w14:textId="77777777" w:rsidR="002D3258" w:rsidRPr="002D3258" w:rsidRDefault="002D3258" w:rsidP="002D3258">
            <w:pPr>
              <w:pStyle w:val="13"/>
              <w:spacing w:line="240" w:lineRule="auto"/>
              <w:ind w:firstLineChars="0" w:firstLine="0"/>
              <w:rPr>
                <w:sz w:val="18"/>
                <w:szCs w:val="18"/>
              </w:rPr>
            </w:pPr>
            <w:r w:rsidRPr="002D3258">
              <w:rPr>
                <w:sz w:val="18"/>
                <w:szCs w:val="18"/>
              </w:rPr>
              <w:t>企业合并</w:t>
            </w:r>
          </w:p>
        </w:tc>
        <w:tc>
          <w:tcPr>
            <w:tcW w:w="2063" w:type="pct"/>
            <w:vMerge/>
            <w:shd w:val="clear" w:color="auto" w:fill="auto"/>
            <w:vAlign w:val="center"/>
            <w:hideMark/>
          </w:tcPr>
          <w:p w14:paraId="5C6C0EE4" w14:textId="77777777" w:rsidR="002D3258" w:rsidRPr="002D3258" w:rsidRDefault="002D3258" w:rsidP="002D3258">
            <w:pPr>
              <w:pStyle w:val="13"/>
              <w:spacing w:line="240" w:lineRule="auto"/>
              <w:ind w:firstLineChars="0" w:firstLine="0"/>
              <w:rPr>
                <w:sz w:val="18"/>
                <w:szCs w:val="18"/>
              </w:rPr>
            </w:pPr>
          </w:p>
        </w:tc>
      </w:tr>
      <w:tr w:rsidR="002D3258" w:rsidRPr="002D3258" w14:paraId="1D99232B" w14:textId="77777777" w:rsidTr="002D3258">
        <w:trPr>
          <w:gridAfter w:val="1"/>
          <w:wAfter w:w="11" w:type="pct"/>
          <w:trHeight w:val="283"/>
        </w:trPr>
        <w:tc>
          <w:tcPr>
            <w:tcW w:w="407" w:type="pct"/>
            <w:shd w:val="clear" w:color="auto" w:fill="auto"/>
            <w:noWrap/>
            <w:vAlign w:val="center"/>
            <w:hideMark/>
          </w:tcPr>
          <w:p w14:paraId="3F47CEF2" w14:textId="77777777" w:rsidR="002D3258" w:rsidRPr="002D3258" w:rsidRDefault="002D3258" w:rsidP="002D3258">
            <w:pPr>
              <w:pStyle w:val="13"/>
              <w:spacing w:line="240" w:lineRule="auto"/>
              <w:ind w:firstLineChars="0" w:firstLine="0"/>
              <w:rPr>
                <w:sz w:val="18"/>
                <w:szCs w:val="18"/>
              </w:rPr>
            </w:pPr>
            <w:r w:rsidRPr="002D3258">
              <w:rPr>
                <w:sz w:val="18"/>
                <w:szCs w:val="18"/>
              </w:rPr>
              <w:t>17</w:t>
            </w:r>
          </w:p>
        </w:tc>
        <w:tc>
          <w:tcPr>
            <w:tcW w:w="166" w:type="pct"/>
            <w:vMerge/>
            <w:shd w:val="clear" w:color="auto" w:fill="auto"/>
            <w:vAlign w:val="center"/>
            <w:hideMark/>
          </w:tcPr>
          <w:p w14:paraId="40DAFA92"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BCB9905"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CBA1076" w14:textId="77777777" w:rsidR="002D3258" w:rsidRPr="002D3258" w:rsidRDefault="002D3258" w:rsidP="002D3258">
            <w:pPr>
              <w:pStyle w:val="13"/>
              <w:spacing w:line="240" w:lineRule="auto"/>
              <w:ind w:firstLineChars="0" w:firstLine="0"/>
              <w:rPr>
                <w:sz w:val="18"/>
                <w:szCs w:val="18"/>
              </w:rPr>
            </w:pPr>
            <w:r w:rsidRPr="002D3258">
              <w:rPr>
                <w:sz w:val="18"/>
                <w:szCs w:val="18"/>
              </w:rPr>
              <w:t>1.1.17</w:t>
            </w:r>
          </w:p>
        </w:tc>
        <w:tc>
          <w:tcPr>
            <w:tcW w:w="1463" w:type="pct"/>
            <w:shd w:val="clear" w:color="auto" w:fill="auto"/>
            <w:noWrap/>
            <w:vAlign w:val="center"/>
            <w:hideMark/>
          </w:tcPr>
          <w:p w14:paraId="491648D2" w14:textId="77777777" w:rsidR="002D3258" w:rsidRPr="002D3258" w:rsidRDefault="002D3258" w:rsidP="002D3258">
            <w:pPr>
              <w:pStyle w:val="13"/>
              <w:spacing w:line="240" w:lineRule="auto"/>
              <w:ind w:firstLineChars="0" w:firstLine="0"/>
              <w:rPr>
                <w:sz w:val="18"/>
                <w:szCs w:val="18"/>
              </w:rPr>
            </w:pPr>
            <w:r w:rsidRPr="002D3258">
              <w:rPr>
                <w:sz w:val="18"/>
                <w:szCs w:val="18"/>
              </w:rPr>
              <w:t>企业分立</w:t>
            </w:r>
          </w:p>
        </w:tc>
        <w:tc>
          <w:tcPr>
            <w:tcW w:w="2063" w:type="pct"/>
            <w:vMerge/>
            <w:shd w:val="clear" w:color="auto" w:fill="auto"/>
            <w:vAlign w:val="center"/>
            <w:hideMark/>
          </w:tcPr>
          <w:p w14:paraId="76F484D7" w14:textId="77777777" w:rsidR="002D3258" w:rsidRPr="002D3258" w:rsidRDefault="002D3258" w:rsidP="002D3258">
            <w:pPr>
              <w:pStyle w:val="13"/>
              <w:spacing w:line="240" w:lineRule="auto"/>
              <w:ind w:firstLineChars="0" w:firstLine="0"/>
              <w:rPr>
                <w:sz w:val="18"/>
                <w:szCs w:val="18"/>
              </w:rPr>
            </w:pPr>
          </w:p>
        </w:tc>
      </w:tr>
      <w:tr w:rsidR="002D3258" w:rsidRPr="002D3258" w14:paraId="1049886D" w14:textId="77777777" w:rsidTr="002D3258">
        <w:trPr>
          <w:gridAfter w:val="1"/>
          <w:wAfter w:w="11" w:type="pct"/>
          <w:trHeight w:val="283"/>
        </w:trPr>
        <w:tc>
          <w:tcPr>
            <w:tcW w:w="407" w:type="pct"/>
            <w:shd w:val="clear" w:color="auto" w:fill="auto"/>
            <w:noWrap/>
            <w:vAlign w:val="center"/>
            <w:hideMark/>
          </w:tcPr>
          <w:p w14:paraId="16E6F43A" w14:textId="77777777" w:rsidR="002D3258" w:rsidRPr="002D3258" w:rsidRDefault="002D3258" w:rsidP="002D3258">
            <w:pPr>
              <w:pStyle w:val="13"/>
              <w:spacing w:line="240" w:lineRule="auto"/>
              <w:ind w:firstLineChars="0" w:firstLine="0"/>
              <w:rPr>
                <w:sz w:val="18"/>
                <w:szCs w:val="18"/>
              </w:rPr>
            </w:pPr>
            <w:r w:rsidRPr="002D3258">
              <w:rPr>
                <w:sz w:val="18"/>
                <w:szCs w:val="18"/>
              </w:rPr>
              <w:t>18</w:t>
            </w:r>
          </w:p>
        </w:tc>
        <w:tc>
          <w:tcPr>
            <w:tcW w:w="166" w:type="pct"/>
            <w:vMerge/>
            <w:shd w:val="clear" w:color="auto" w:fill="auto"/>
            <w:vAlign w:val="center"/>
            <w:hideMark/>
          </w:tcPr>
          <w:p w14:paraId="3534131D"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9CE024C"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F3AF161" w14:textId="77777777" w:rsidR="002D3258" w:rsidRPr="002D3258" w:rsidRDefault="002D3258" w:rsidP="002D3258">
            <w:pPr>
              <w:pStyle w:val="13"/>
              <w:spacing w:line="240" w:lineRule="auto"/>
              <w:ind w:firstLineChars="0" w:firstLine="0"/>
              <w:rPr>
                <w:sz w:val="18"/>
                <w:szCs w:val="18"/>
              </w:rPr>
            </w:pPr>
            <w:r w:rsidRPr="002D3258">
              <w:rPr>
                <w:sz w:val="18"/>
                <w:szCs w:val="18"/>
              </w:rPr>
              <w:t>1.1.18</w:t>
            </w:r>
          </w:p>
        </w:tc>
        <w:tc>
          <w:tcPr>
            <w:tcW w:w="1463" w:type="pct"/>
            <w:shd w:val="clear" w:color="auto" w:fill="auto"/>
            <w:noWrap/>
            <w:vAlign w:val="center"/>
            <w:hideMark/>
          </w:tcPr>
          <w:p w14:paraId="734AF2EC" w14:textId="77777777" w:rsidR="002D3258" w:rsidRPr="002D3258" w:rsidRDefault="002D3258" w:rsidP="002D3258">
            <w:pPr>
              <w:pStyle w:val="13"/>
              <w:spacing w:line="240" w:lineRule="auto"/>
              <w:ind w:firstLineChars="0" w:firstLine="0"/>
              <w:rPr>
                <w:sz w:val="18"/>
                <w:szCs w:val="18"/>
              </w:rPr>
            </w:pPr>
            <w:r w:rsidRPr="002D3258">
              <w:rPr>
                <w:sz w:val="18"/>
                <w:szCs w:val="18"/>
              </w:rPr>
              <w:t>企业破产</w:t>
            </w:r>
          </w:p>
        </w:tc>
        <w:tc>
          <w:tcPr>
            <w:tcW w:w="2063" w:type="pct"/>
            <w:vMerge/>
            <w:shd w:val="clear" w:color="auto" w:fill="auto"/>
            <w:vAlign w:val="center"/>
            <w:hideMark/>
          </w:tcPr>
          <w:p w14:paraId="1D563C07" w14:textId="77777777" w:rsidR="002D3258" w:rsidRPr="002D3258" w:rsidRDefault="002D3258" w:rsidP="002D3258">
            <w:pPr>
              <w:pStyle w:val="13"/>
              <w:spacing w:line="240" w:lineRule="auto"/>
              <w:ind w:firstLineChars="0" w:firstLine="0"/>
              <w:rPr>
                <w:sz w:val="18"/>
                <w:szCs w:val="18"/>
              </w:rPr>
            </w:pPr>
          </w:p>
        </w:tc>
      </w:tr>
      <w:tr w:rsidR="002D3258" w:rsidRPr="002D3258" w14:paraId="255E9FE1" w14:textId="77777777" w:rsidTr="002D3258">
        <w:trPr>
          <w:gridAfter w:val="1"/>
          <w:wAfter w:w="11" w:type="pct"/>
          <w:trHeight w:val="283"/>
        </w:trPr>
        <w:tc>
          <w:tcPr>
            <w:tcW w:w="407" w:type="pct"/>
            <w:shd w:val="clear" w:color="auto" w:fill="auto"/>
            <w:noWrap/>
            <w:vAlign w:val="center"/>
            <w:hideMark/>
          </w:tcPr>
          <w:p w14:paraId="700373B1" w14:textId="77777777" w:rsidR="002D3258" w:rsidRPr="002D3258" w:rsidRDefault="002D3258" w:rsidP="002D3258">
            <w:pPr>
              <w:pStyle w:val="13"/>
              <w:spacing w:line="240" w:lineRule="auto"/>
              <w:ind w:firstLineChars="0" w:firstLine="0"/>
              <w:rPr>
                <w:sz w:val="18"/>
                <w:szCs w:val="18"/>
              </w:rPr>
            </w:pPr>
            <w:r w:rsidRPr="002D3258">
              <w:rPr>
                <w:sz w:val="18"/>
                <w:szCs w:val="18"/>
              </w:rPr>
              <w:t>19</w:t>
            </w:r>
          </w:p>
        </w:tc>
        <w:tc>
          <w:tcPr>
            <w:tcW w:w="166" w:type="pct"/>
            <w:vMerge/>
            <w:shd w:val="clear" w:color="auto" w:fill="auto"/>
            <w:vAlign w:val="center"/>
            <w:hideMark/>
          </w:tcPr>
          <w:p w14:paraId="4F7A530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2D0D60B"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0B01FF0" w14:textId="77777777" w:rsidR="002D3258" w:rsidRPr="002D3258" w:rsidRDefault="002D3258" w:rsidP="002D3258">
            <w:pPr>
              <w:pStyle w:val="13"/>
              <w:spacing w:line="240" w:lineRule="auto"/>
              <w:ind w:firstLineChars="0" w:firstLine="0"/>
              <w:rPr>
                <w:sz w:val="18"/>
                <w:szCs w:val="18"/>
              </w:rPr>
            </w:pPr>
            <w:r w:rsidRPr="002D3258">
              <w:rPr>
                <w:sz w:val="18"/>
                <w:szCs w:val="18"/>
              </w:rPr>
              <w:t>1.1.19</w:t>
            </w:r>
          </w:p>
        </w:tc>
        <w:tc>
          <w:tcPr>
            <w:tcW w:w="1463" w:type="pct"/>
            <w:shd w:val="clear" w:color="auto" w:fill="auto"/>
            <w:noWrap/>
            <w:vAlign w:val="center"/>
            <w:hideMark/>
          </w:tcPr>
          <w:p w14:paraId="3FC62004" w14:textId="77777777" w:rsidR="002D3258" w:rsidRPr="002D3258" w:rsidRDefault="002D3258" w:rsidP="002D3258">
            <w:pPr>
              <w:pStyle w:val="13"/>
              <w:spacing w:line="240" w:lineRule="auto"/>
              <w:ind w:firstLineChars="0" w:firstLine="0"/>
              <w:rPr>
                <w:sz w:val="18"/>
                <w:szCs w:val="18"/>
              </w:rPr>
            </w:pPr>
            <w:r w:rsidRPr="002D3258">
              <w:rPr>
                <w:sz w:val="18"/>
                <w:szCs w:val="18"/>
              </w:rPr>
              <w:t>企业清算</w:t>
            </w:r>
          </w:p>
        </w:tc>
        <w:tc>
          <w:tcPr>
            <w:tcW w:w="2063" w:type="pct"/>
            <w:vMerge/>
            <w:shd w:val="clear" w:color="auto" w:fill="auto"/>
            <w:vAlign w:val="center"/>
            <w:hideMark/>
          </w:tcPr>
          <w:p w14:paraId="2EC70D86" w14:textId="77777777" w:rsidR="002D3258" w:rsidRPr="002D3258" w:rsidRDefault="002D3258" w:rsidP="002D3258">
            <w:pPr>
              <w:pStyle w:val="13"/>
              <w:spacing w:line="240" w:lineRule="auto"/>
              <w:ind w:firstLineChars="0" w:firstLine="0"/>
              <w:rPr>
                <w:sz w:val="18"/>
                <w:szCs w:val="18"/>
              </w:rPr>
            </w:pPr>
          </w:p>
        </w:tc>
      </w:tr>
      <w:tr w:rsidR="002D3258" w:rsidRPr="002D3258" w14:paraId="4B198875" w14:textId="77777777" w:rsidTr="002D3258">
        <w:trPr>
          <w:gridAfter w:val="1"/>
          <w:wAfter w:w="11" w:type="pct"/>
          <w:trHeight w:val="283"/>
        </w:trPr>
        <w:tc>
          <w:tcPr>
            <w:tcW w:w="407" w:type="pct"/>
            <w:shd w:val="clear" w:color="auto" w:fill="auto"/>
            <w:noWrap/>
            <w:vAlign w:val="center"/>
            <w:hideMark/>
          </w:tcPr>
          <w:p w14:paraId="3A28382E" w14:textId="77777777" w:rsidR="002D3258" w:rsidRPr="002D3258" w:rsidRDefault="002D3258" w:rsidP="002D3258">
            <w:pPr>
              <w:pStyle w:val="13"/>
              <w:spacing w:line="240" w:lineRule="auto"/>
              <w:ind w:firstLineChars="0" w:firstLine="0"/>
              <w:rPr>
                <w:sz w:val="18"/>
                <w:szCs w:val="18"/>
              </w:rPr>
            </w:pPr>
            <w:r w:rsidRPr="002D3258">
              <w:rPr>
                <w:sz w:val="18"/>
                <w:szCs w:val="18"/>
              </w:rPr>
              <w:t>20</w:t>
            </w:r>
          </w:p>
        </w:tc>
        <w:tc>
          <w:tcPr>
            <w:tcW w:w="166" w:type="pct"/>
            <w:vMerge/>
            <w:shd w:val="clear" w:color="auto" w:fill="auto"/>
            <w:vAlign w:val="center"/>
            <w:hideMark/>
          </w:tcPr>
          <w:p w14:paraId="34001474"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21D7485"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F0BC5A5" w14:textId="77777777" w:rsidR="002D3258" w:rsidRPr="002D3258" w:rsidRDefault="002D3258" w:rsidP="002D3258">
            <w:pPr>
              <w:pStyle w:val="13"/>
              <w:spacing w:line="240" w:lineRule="auto"/>
              <w:ind w:firstLineChars="0" w:firstLine="0"/>
              <w:rPr>
                <w:sz w:val="18"/>
                <w:szCs w:val="18"/>
              </w:rPr>
            </w:pPr>
            <w:r w:rsidRPr="002D3258">
              <w:rPr>
                <w:sz w:val="18"/>
                <w:szCs w:val="18"/>
              </w:rPr>
              <w:t>1.1.20</w:t>
            </w:r>
          </w:p>
        </w:tc>
        <w:tc>
          <w:tcPr>
            <w:tcW w:w="1463" w:type="pct"/>
            <w:shd w:val="clear" w:color="auto" w:fill="auto"/>
            <w:noWrap/>
            <w:vAlign w:val="center"/>
            <w:hideMark/>
          </w:tcPr>
          <w:p w14:paraId="41AA0EAE" w14:textId="77777777" w:rsidR="002D3258" w:rsidRPr="002D3258" w:rsidRDefault="002D3258" w:rsidP="002D3258">
            <w:pPr>
              <w:pStyle w:val="13"/>
              <w:spacing w:line="240" w:lineRule="auto"/>
              <w:ind w:firstLineChars="0" w:firstLine="0"/>
              <w:rPr>
                <w:sz w:val="18"/>
                <w:szCs w:val="18"/>
              </w:rPr>
            </w:pPr>
            <w:r w:rsidRPr="002D3258">
              <w:rPr>
                <w:sz w:val="18"/>
                <w:szCs w:val="18"/>
              </w:rPr>
              <w:t>企业解散</w:t>
            </w:r>
          </w:p>
        </w:tc>
        <w:tc>
          <w:tcPr>
            <w:tcW w:w="2063" w:type="pct"/>
            <w:vMerge/>
            <w:shd w:val="clear" w:color="auto" w:fill="auto"/>
            <w:vAlign w:val="center"/>
            <w:hideMark/>
          </w:tcPr>
          <w:p w14:paraId="3401FB7C" w14:textId="77777777" w:rsidR="002D3258" w:rsidRPr="002D3258" w:rsidRDefault="002D3258" w:rsidP="002D3258">
            <w:pPr>
              <w:pStyle w:val="13"/>
              <w:spacing w:line="240" w:lineRule="auto"/>
              <w:ind w:firstLineChars="0" w:firstLine="0"/>
              <w:rPr>
                <w:sz w:val="18"/>
                <w:szCs w:val="18"/>
              </w:rPr>
            </w:pPr>
          </w:p>
        </w:tc>
      </w:tr>
      <w:tr w:rsidR="002D3258" w:rsidRPr="002D3258" w14:paraId="5BBFFE05" w14:textId="77777777" w:rsidTr="002D3258">
        <w:trPr>
          <w:gridAfter w:val="1"/>
          <w:wAfter w:w="11" w:type="pct"/>
          <w:trHeight w:val="283"/>
        </w:trPr>
        <w:tc>
          <w:tcPr>
            <w:tcW w:w="407" w:type="pct"/>
            <w:shd w:val="clear" w:color="auto" w:fill="auto"/>
            <w:noWrap/>
            <w:vAlign w:val="center"/>
            <w:hideMark/>
          </w:tcPr>
          <w:p w14:paraId="2D94C420" w14:textId="77777777" w:rsidR="002D3258" w:rsidRPr="002D3258" w:rsidRDefault="002D3258" w:rsidP="002D3258">
            <w:pPr>
              <w:pStyle w:val="13"/>
              <w:spacing w:line="240" w:lineRule="auto"/>
              <w:ind w:firstLineChars="0" w:firstLine="0"/>
              <w:rPr>
                <w:sz w:val="18"/>
                <w:szCs w:val="18"/>
              </w:rPr>
            </w:pPr>
            <w:r w:rsidRPr="002D3258">
              <w:rPr>
                <w:sz w:val="18"/>
                <w:szCs w:val="18"/>
              </w:rPr>
              <w:t>21</w:t>
            </w:r>
          </w:p>
        </w:tc>
        <w:tc>
          <w:tcPr>
            <w:tcW w:w="166" w:type="pct"/>
            <w:vMerge/>
            <w:shd w:val="clear" w:color="auto" w:fill="auto"/>
            <w:vAlign w:val="center"/>
            <w:hideMark/>
          </w:tcPr>
          <w:p w14:paraId="3F34CE60"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7DE0F0A"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CF3EE7D" w14:textId="77777777" w:rsidR="002D3258" w:rsidRPr="002D3258" w:rsidRDefault="002D3258" w:rsidP="002D3258">
            <w:pPr>
              <w:pStyle w:val="13"/>
              <w:spacing w:line="240" w:lineRule="auto"/>
              <w:ind w:firstLineChars="0" w:firstLine="0"/>
              <w:rPr>
                <w:sz w:val="18"/>
                <w:szCs w:val="18"/>
              </w:rPr>
            </w:pPr>
            <w:r w:rsidRPr="002D3258">
              <w:rPr>
                <w:sz w:val="18"/>
                <w:szCs w:val="18"/>
              </w:rPr>
              <w:t>1.1.21</w:t>
            </w:r>
          </w:p>
        </w:tc>
        <w:tc>
          <w:tcPr>
            <w:tcW w:w="1463" w:type="pct"/>
            <w:shd w:val="clear" w:color="auto" w:fill="auto"/>
            <w:noWrap/>
            <w:vAlign w:val="center"/>
            <w:hideMark/>
          </w:tcPr>
          <w:p w14:paraId="451114EA" w14:textId="77777777" w:rsidR="002D3258" w:rsidRPr="002D3258" w:rsidRDefault="002D3258" w:rsidP="002D3258">
            <w:pPr>
              <w:pStyle w:val="13"/>
              <w:spacing w:line="240" w:lineRule="auto"/>
              <w:ind w:firstLineChars="0" w:firstLine="0"/>
              <w:rPr>
                <w:sz w:val="18"/>
                <w:szCs w:val="18"/>
              </w:rPr>
            </w:pPr>
            <w:r w:rsidRPr="002D3258">
              <w:rPr>
                <w:sz w:val="18"/>
                <w:szCs w:val="18"/>
              </w:rPr>
              <w:t>增资扩股</w:t>
            </w:r>
          </w:p>
        </w:tc>
        <w:tc>
          <w:tcPr>
            <w:tcW w:w="2063" w:type="pct"/>
            <w:vMerge/>
            <w:shd w:val="clear" w:color="auto" w:fill="auto"/>
            <w:vAlign w:val="center"/>
            <w:hideMark/>
          </w:tcPr>
          <w:p w14:paraId="3B5C373D" w14:textId="77777777" w:rsidR="002D3258" w:rsidRPr="002D3258" w:rsidRDefault="002D3258" w:rsidP="002D3258">
            <w:pPr>
              <w:pStyle w:val="13"/>
              <w:spacing w:line="240" w:lineRule="auto"/>
              <w:ind w:firstLineChars="0" w:firstLine="0"/>
              <w:rPr>
                <w:sz w:val="18"/>
                <w:szCs w:val="18"/>
              </w:rPr>
            </w:pPr>
          </w:p>
        </w:tc>
      </w:tr>
      <w:tr w:rsidR="002D3258" w:rsidRPr="002D3258" w14:paraId="43A0DC41" w14:textId="77777777" w:rsidTr="002D3258">
        <w:trPr>
          <w:gridAfter w:val="1"/>
          <w:wAfter w:w="11" w:type="pct"/>
          <w:trHeight w:val="283"/>
        </w:trPr>
        <w:tc>
          <w:tcPr>
            <w:tcW w:w="407" w:type="pct"/>
            <w:shd w:val="clear" w:color="auto" w:fill="auto"/>
            <w:noWrap/>
            <w:vAlign w:val="center"/>
            <w:hideMark/>
          </w:tcPr>
          <w:p w14:paraId="6F80DE01" w14:textId="77777777" w:rsidR="002D3258" w:rsidRPr="002D3258" w:rsidRDefault="002D3258" w:rsidP="002D3258">
            <w:pPr>
              <w:pStyle w:val="13"/>
              <w:spacing w:line="240" w:lineRule="auto"/>
              <w:ind w:firstLineChars="0" w:firstLine="0"/>
              <w:rPr>
                <w:sz w:val="18"/>
                <w:szCs w:val="18"/>
              </w:rPr>
            </w:pPr>
            <w:r w:rsidRPr="002D3258">
              <w:rPr>
                <w:sz w:val="18"/>
                <w:szCs w:val="18"/>
              </w:rPr>
              <w:t>22</w:t>
            </w:r>
          </w:p>
        </w:tc>
        <w:tc>
          <w:tcPr>
            <w:tcW w:w="166" w:type="pct"/>
            <w:vMerge/>
            <w:shd w:val="clear" w:color="auto" w:fill="auto"/>
            <w:vAlign w:val="center"/>
            <w:hideMark/>
          </w:tcPr>
          <w:p w14:paraId="3DD1C48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336E163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155F56C" w14:textId="77777777" w:rsidR="002D3258" w:rsidRPr="002D3258" w:rsidRDefault="002D3258" w:rsidP="002D3258">
            <w:pPr>
              <w:pStyle w:val="13"/>
              <w:spacing w:line="240" w:lineRule="auto"/>
              <w:ind w:firstLineChars="0" w:firstLine="0"/>
              <w:rPr>
                <w:sz w:val="18"/>
                <w:szCs w:val="18"/>
              </w:rPr>
            </w:pPr>
            <w:r w:rsidRPr="002D3258">
              <w:rPr>
                <w:sz w:val="18"/>
                <w:szCs w:val="18"/>
              </w:rPr>
              <w:t>1.1.22</w:t>
            </w:r>
          </w:p>
        </w:tc>
        <w:tc>
          <w:tcPr>
            <w:tcW w:w="1463" w:type="pct"/>
            <w:shd w:val="clear" w:color="auto" w:fill="auto"/>
            <w:noWrap/>
            <w:vAlign w:val="center"/>
            <w:hideMark/>
          </w:tcPr>
          <w:p w14:paraId="79B4FCBC" w14:textId="77777777" w:rsidR="002D3258" w:rsidRPr="002D3258" w:rsidRDefault="002D3258" w:rsidP="002D3258">
            <w:pPr>
              <w:pStyle w:val="13"/>
              <w:spacing w:line="240" w:lineRule="auto"/>
              <w:ind w:firstLineChars="0" w:firstLine="0"/>
              <w:rPr>
                <w:sz w:val="18"/>
                <w:szCs w:val="18"/>
              </w:rPr>
            </w:pPr>
            <w:r w:rsidRPr="002D3258">
              <w:rPr>
                <w:sz w:val="18"/>
                <w:szCs w:val="18"/>
              </w:rPr>
              <w:t>IPO</w:t>
            </w:r>
          </w:p>
        </w:tc>
        <w:tc>
          <w:tcPr>
            <w:tcW w:w="2063" w:type="pct"/>
            <w:vMerge/>
            <w:shd w:val="clear" w:color="auto" w:fill="auto"/>
            <w:vAlign w:val="center"/>
            <w:hideMark/>
          </w:tcPr>
          <w:p w14:paraId="2F50A398" w14:textId="77777777" w:rsidR="002D3258" w:rsidRPr="002D3258" w:rsidRDefault="002D3258" w:rsidP="002D3258">
            <w:pPr>
              <w:pStyle w:val="13"/>
              <w:spacing w:line="240" w:lineRule="auto"/>
              <w:ind w:firstLineChars="0" w:firstLine="0"/>
              <w:rPr>
                <w:sz w:val="18"/>
                <w:szCs w:val="18"/>
              </w:rPr>
            </w:pPr>
          </w:p>
        </w:tc>
      </w:tr>
      <w:tr w:rsidR="002D3258" w:rsidRPr="002D3258" w14:paraId="62C21B12" w14:textId="77777777" w:rsidTr="002D3258">
        <w:trPr>
          <w:gridAfter w:val="1"/>
          <w:wAfter w:w="11" w:type="pct"/>
          <w:trHeight w:val="283"/>
        </w:trPr>
        <w:tc>
          <w:tcPr>
            <w:tcW w:w="407" w:type="pct"/>
            <w:shd w:val="clear" w:color="auto" w:fill="auto"/>
            <w:noWrap/>
            <w:vAlign w:val="center"/>
            <w:hideMark/>
          </w:tcPr>
          <w:p w14:paraId="0D2E81E2" w14:textId="77777777" w:rsidR="002D3258" w:rsidRPr="002D3258" w:rsidRDefault="002D3258" w:rsidP="002D3258">
            <w:pPr>
              <w:pStyle w:val="13"/>
              <w:spacing w:line="240" w:lineRule="auto"/>
              <w:ind w:firstLineChars="0" w:firstLine="0"/>
              <w:rPr>
                <w:sz w:val="18"/>
                <w:szCs w:val="18"/>
              </w:rPr>
            </w:pPr>
            <w:r w:rsidRPr="002D3258">
              <w:rPr>
                <w:sz w:val="18"/>
                <w:szCs w:val="18"/>
              </w:rPr>
              <w:t>23</w:t>
            </w:r>
          </w:p>
        </w:tc>
        <w:tc>
          <w:tcPr>
            <w:tcW w:w="166" w:type="pct"/>
            <w:vMerge/>
            <w:shd w:val="clear" w:color="auto" w:fill="auto"/>
            <w:vAlign w:val="center"/>
            <w:hideMark/>
          </w:tcPr>
          <w:p w14:paraId="4C396D87"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22BB73F"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7221D89B" w14:textId="77777777" w:rsidR="002D3258" w:rsidRPr="002D3258" w:rsidRDefault="002D3258" w:rsidP="002D3258">
            <w:pPr>
              <w:pStyle w:val="13"/>
              <w:spacing w:line="240" w:lineRule="auto"/>
              <w:ind w:firstLineChars="0" w:firstLine="0"/>
              <w:rPr>
                <w:sz w:val="18"/>
                <w:szCs w:val="18"/>
              </w:rPr>
            </w:pPr>
            <w:r w:rsidRPr="002D3258">
              <w:rPr>
                <w:sz w:val="18"/>
                <w:szCs w:val="18"/>
              </w:rPr>
              <w:t>1.1.23</w:t>
            </w:r>
          </w:p>
        </w:tc>
        <w:tc>
          <w:tcPr>
            <w:tcW w:w="1463" w:type="pct"/>
            <w:shd w:val="clear" w:color="auto" w:fill="auto"/>
            <w:noWrap/>
            <w:vAlign w:val="center"/>
            <w:hideMark/>
          </w:tcPr>
          <w:p w14:paraId="177FA1A8" w14:textId="77777777" w:rsidR="002D3258" w:rsidRPr="002D3258" w:rsidRDefault="002D3258" w:rsidP="002D3258">
            <w:pPr>
              <w:pStyle w:val="13"/>
              <w:spacing w:line="240" w:lineRule="auto"/>
              <w:ind w:firstLineChars="0" w:firstLine="0"/>
              <w:rPr>
                <w:sz w:val="18"/>
                <w:szCs w:val="18"/>
              </w:rPr>
            </w:pPr>
            <w:r w:rsidRPr="002D3258">
              <w:rPr>
                <w:sz w:val="18"/>
                <w:szCs w:val="18"/>
              </w:rPr>
              <w:t>股权转让</w:t>
            </w:r>
          </w:p>
        </w:tc>
        <w:tc>
          <w:tcPr>
            <w:tcW w:w="2063" w:type="pct"/>
            <w:vMerge/>
            <w:shd w:val="clear" w:color="auto" w:fill="auto"/>
            <w:vAlign w:val="center"/>
            <w:hideMark/>
          </w:tcPr>
          <w:p w14:paraId="16695A83" w14:textId="77777777" w:rsidR="002D3258" w:rsidRPr="002D3258" w:rsidRDefault="002D3258" w:rsidP="002D3258">
            <w:pPr>
              <w:pStyle w:val="13"/>
              <w:spacing w:line="240" w:lineRule="auto"/>
              <w:ind w:firstLineChars="0" w:firstLine="0"/>
              <w:rPr>
                <w:sz w:val="18"/>
                <w:szCs w:val="18"/>
              </w:rPr>
            </w:pPr>
          </w:p>
        </w:tc>
      </w:tr>
      <w:tr w:rsidR="002D3258" w:rsidRPr="002D3258" w14:paraId="5EE25B44" w14:textId="77777777" w:rsidTr="002D3258">
        <w:trPr>
          <w:gridAfter w:val="1"/>
          <w:wAfter w:w="11" w:type="pct"/>
          <w:trHeight w:val="702"/>
        </w:trPr>
        <w:tc>
          <w:tcPr>
            <w:tcW w:w="407" w:type="pct"/>
            <w:shd w:val="clear" w:color="auto" w:fill="auto"/>
            <w:noWrap/>
            <w:vAlign w:val="center"/>
            <w:hideMark/>
          </w:tcPr>
          <w:p w14:paraId="4B956651" w14:textId="77777777" w:rsidR="002D3258" w:rsidRPr="002D3258" w:rsidRDefault="002D3258" w:rsidP="002D3258">
            <w:pPr>
              <w:pStyle w:val="13"/>
              <w:spacing w:line="240" w:lineRule="auto"/>
              <w:ind w:firstLineChars="0" w:firstLine="0"/>
              <w:rPr>
                <w:sz w:val="18"/>
                <w:szCs w:val="18"/>
              </w:rPr>
            </w:pPr>
            <w:r w:rsidRPr="002D3258">
              <w:rPr>
                <w:sz w:val="18"/>
                <w:szCs w:val="18"/>
              </w:rPr>
              <w:t>24</w:t>
            </w:r>
          </w:p>
        </w:tc>
        <w:tc>
          <w:tcPr>
            <w:tcW w:w="166" w:type="pct"/>
            <w:vMerge/>
            <w:shd w:val="clear" w:color="auto" w:fill="auto"/>
            <w:vAlign w:val="center"/>
            <w:hideMark/>
          </w:tcPr>
          <w:p w14:paraId="3D831707"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9174D12"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DF48A19" w14:textId="77777777" w:rsidR="002D3258" w:rsidRPr="002D3258" w:rsidRDefault="002D3258" w:rsidP="002D3258">
            <w:pPr>
              <w:pStyle w:val="13"/>
              <w:spacing w:line="240" w:lineRule="auto"/>
              <w:ind w:firstLineChars="0" w:firstLine="0"/>
              <w:rPr>
                <w:sz w:val="18"/>
                <w:szCs w:val="18"/>
              </w:rPr>
            </w:pPr>
            <w:r w:rsidRPr="002D3258">
              <w:rPr>
                <w:sz w:val="18"/>
                <w:szCs w:val="18"/>
              </w:rPr>
              <w:t>1.1.24</w:t>
            </w:r>
          </w:p>
        </w:tc>
        <w:tc>
          <w:tcPr>
            <w:tcW w:w="1463" w:type="pct"/>
            <w:shd w:val="clear" w:color="auto" w:fill="auto"/>
            <w:noWrap/>
            <w:vAlign w:val="center"/>
            <w:hideMark/>
          </w:tcPr>
          <w:p w14:paraId="6962C3C3" w14:textId="77777777" w:rsidR="002D3258" w:rsidRPr="002D3258" w:rsidRDefault="002D3258" w:rsidP="002D3258">
            <w:pPr>
              <w:pStyle w:val="13"/>
              <w:spacing w:line="240" w:lineRule="auto"/>
              <w:ind w:firstLineChars="0" w:firstLine="0"/>
              <w:rPr>
                <w:sz w:val="18"/>
                <w:szCs w:val="18"/>
              </w:rPr>
            </w:pPr>
            <w:r w:rsidRPr="002D3258">
              <w:rPr>
                <w:sz w:val="18"/>
                <w:szCs w:val="18"/>
              </w:rPr>
              <w:t>债转股</w:t>
            </w:r>
          </w:p>
        </w:tc>
        <w:tc>
          <w:tcPr>
            <w:tcW w:w="2063" w:type="pct"/>
            <w:vMerge/>
            <w:shd w:val="clear" w:color="auto" w:fill="auto"/>
            <w:vAlign w:val="center"/>
            <w:hideMark/>
          </w:tcPr>
          <w:p w14:paraId="0CFCF226" w14:textId="77777777" w:rsidR="002D3258" w:rsidRPr="002D3258" w:rsidRDefault="002D3258" w:rsidP="002D3258">
            <w:pPr>
              <w:pStyle w:val="13"/>
              <w:spacing w:line="240" w:lineRule="auto"/>
              <w:ind w:firstLineChars="0" w:firstLine="0"/>
              <w:rPr>
                <w:sz w:val="18"/>
                <w:szCs w:val="18"/>
              </w:rPr>
            </w:pPr>
          </w:p>
        </w:tc>
      </w:tr>
      <w:tr w:rsidR="002D3258" w:rsidRPr="002D3258" w14:paraId="312996E6" w14:textId="77777777" w:rsidTr="002D3258">
        <w:trPr>
          <w:gridAfter w:val="1"/>
          <w:wAfter w:w="11" w:type="pct"/>
          <w:trHeight w:val="283"/>
        </w:trPr>
        <w:tc>
          <w:tcPr>
            <w:tcW w:w="407" w:type="pct"/>
            <w:shd w:val="clear" w:color="auto" w:fill="auto"/>
            <w:noWrap/>
            <w:vAlign w:val="center"/>
            <w:hideMark/>
          </w:tcPr>
          <w:p w14:paraId="2CD43A23" w14:textId="77777777" w:rsidR="002D3258" w:rsidRPr="002D3258" w:rsidRDefault="002D3258" w:rsidP="002D3258">
            <w:pPr>
              <w:pStyle w:val="13"/>
              <w:spacing w:line="240" w:lineRule="auto"/>
              <w:ind w:firstLineChars="0" w:firstLine="0"/>
              <w:rPr>
                <w:sz w:val="18"/>
                <w:szCs w:val="18"/>
              </w:rPr>
            </w:pPr>
            <w:r w:rsidRPr="002D3258">
              <w:rPr>
                <w:sz w:val="18"/>
                <w:szCs w:val="18"/>
              </w:rPr>
              <w:t>N25</w:t>
            </w:r>
          </w:p>
        </w:tc>
        <w:tc>
          <w:tcPr>
            <w:tcW w:w="166" w:type="pct"/>
            <w:vMerge w:val="restart"/>
            <w:shd w:val="clear" w:color="auto" w:fill="auto"/>
            <w:noWrap/>
            <w:vAlign w:val="center"/>
            <w:hideMark/>
          </w:tcPr>
          <w:p w14:paraId="64C722E9" w14:textId="77777777" w:rsidR="002D3258" w:rsidRPr="002D3258" w:rsidRDefault="002D3258" w:rsidP="002D3258">
            <w:pPr>
              <w:pStyle w:val="13"/>
              <w:spacing w:line="240" w:lineRule="auto"/>
              <w:ind w:firstLineChars="0" w:firstLine="0"/>
              <w:rPr>
                <w:sz w:val="18"/>
                <w:szCs w:val="18"/>
              </w:rPr>
            </w:pPr>
            <w:r w:rsidRPr="002D3258">
              <w:rPr>
                <w:sz w:val="18"/>
                <w:szCs w:val="18"/>
              </w:rPr>
              <w:t>1.2</w:t>
            </w:r>
          </w:p>
        </w:tc>
        <w:tc>
          <w:tcPr>
            <w:tcW w:w="407" w:type="pct"/>
            <w:vMerge w:val="restart"/>
            <w:shd w:val="clear" w:color="auto" w:fill="auto"/>
            <w:noWrap/>
            <w:vAlign w:val="center"/>
            <w:hideMark/>
          </w:tcPr>
          <w:p w14:paraId="46932873" w14:textId="77777777" w:rsidR="002D3258" w:rsidRPr="002D3258" w:rsidRDefault="002D3258" w:rsidP="002D3258">
            <w:pPr>
              <w:pStyle w:val="13"/>
              <w:spacing w:line="240" w:lineRule="auto"/>
              <w:ind w:firstLineChars="0" w:firstLine="0"/>
              <w:rPr>
                <w:sz w:val="18"/>
                <w:szCs w:val="18"/>
              </w:rPr>
            </w:pPr>
            <w:r w:rsidRPr="002D3258">
              <w:rPr>
                <w:sz w:val="18"/>
                <w:szCs w:val="18"/>
              </w:rPr>
              <w:t>国有企业</w:t>
            </w:r>
          </w:p>
        </w:tc>
        <w:tc>
          <w:tcPr>
            <w:tcW w:w="484" w:type="pct"/>
            <w:shd w:val="clear" w:color="auto" w:fill="auto"/>
            <w:noWrap/>
            <w:vAlign w:val="center"/>
            <w:hideMark/>
          </w:tcPr>
          <w:p w14:paraId="16839B85" w14:textId="77777777" w:rsidR="002D3258" w:rsidRPr="002D3258" w:rsidRDefault="002D3258" w:rsidP="002D3258">
            <w:pPr>
              <w:pStyle w:val="13"/>
              <w:spacing w:line="240" w:lineRule="auto"/>
              <w:ind w:firstLineChars="0" w:firstLine="0"/>
              <w:rPr>
                <w:sz w:val="18"/>
                <w:szCs w:val="18"/>
              </w:rPr>
            </w:pPr>
            <w:r w:rsidRPr="002D3258">
              <w:rPr>
                <w:sz w:val="18"/>
                <w:szCs w:val="18"/>
              </w:rPr>
              <w:t>1.2.1</w:t>
            </w:r>
          </w:p>
        </w:tc>
        <w:tc>
          <w:tcPr>
            <w:tcW w:w="1463" w:type="pct"/>
            <w:shd w:val="clear" w:color="auto" w:fill="auto"/>
            <w:noWrap/>
            <w:vAlign w:val="center"/>
            <w:hideMark/>
          </w:tcPr>
          <w:p w14:paraId="51F20BB1" w14:textId="77777777" w:rsidR="002D3258" w:rsidRPr="002D3258" w:rsidRDefault="002D3258" w:rsidP="002D3258">
            <w:pPr>
              <w:pStyle w:val="13"/>
              <w:spacing w:line="240" w:lineRule="auto"/>
              <w:ind w:firstLineChars="0" w:firstLine="0"/>
              <w:rPr>
                <w:sz w:val="18"/>
                <w:szCs w:val="18"/>
              </w:rPr>
            </w:pPr>
            <w:r w:rsidRPr="002D3258">
              <w:rPr>
                <w:sz w:val="18"/>
                <w:szCs w:val="18"/>
              </w:rPr>
              <w:t>中央企业的股权投资</w:t>
            </w:r>
          </w:p>
        </w:tc>
        <w:tc>
          <w:tcPr>
            <w:tcW w:w="2063" w:type="pct"/>
            <w:shd w:val="clear" w:color="auto" w:fill="auto"/>
            <w:vAlign w:val="center"/>
            <w:hideMark/>
          </w:tcPr>
          <w:p w14:paraId="4DB75EFD" w14:textId="77777777" w:rsidR="002D3258" w:rsidRPr="002D3258" w:rsidRDefault="002D3258" w:rsidP="002D3258">
            <w:pPr>
              <w:pStyle w:val="13"/>
              <w:spacing w:line="240" w:lineRule="auto"/>
              <w:ind w:firstLineChars="0" w:firstLine="0"/>
              <w:rPr>
                <w:sz w:val="18"/>
                <w:szCs w:val="18"/>
              </w:rPr>
            </w:pPr>
            <w:r w:rsidRPr="002D3258">
              <w:rPr>
                <w:sz w:val="18"/>
                <w:szCs w:val="18"/>
              </w:rPr>
              <w:t>（1）《中央企业境外国有产权管理暂行办法》（国资委令第27号）；</w:t>
            </w:r>
          </w:p>
          <w:p w14:paraId="0EC3FA03" w14:textId="77777777" w:rsidR="002D3258" w:rsidRPr="002D3258" w:rsidRDefault="002D3258" w:rsidP="002D3258">
            <w:pPr>
              <w:pStyle w:val="13"/>
              <w:spacing w:line="240" w:lineRule="auto"/>
              <w:ind w:firstLineChars="0" w:firstLine="0"/>
              <w:rPr>
                <w:sz w:val="18"/>
                <w:szCs w:val="18"/>
              </w:rPr>
            </w:pPr>
            <w:r w:rsidRPr="002D3258">
              <w:rPr>
                <w:sz w:val="18"/>
                <w:szCs w:val="18"/>
              </w:rPr>
              <w:t>（2）《中央企业投资监督管理办法》（国资委令第34号）；</w:t>
            </w:r>
          </w:p>
          <w:p w14:paraId="0F5B005D" w14:textId="77777777" w:rsidR="002D3258" w:rsidRPr="002D3258" w:rsidRDefault="002D3258" w:rsidP="002D3258">
            <w:pPr>
              <w:pStyle w:val="13"/>
              <w:spacing w:line="240" w:lineRule="auto"/>
              <w:ind w:firstLineChars="0" w:firstLine="0"/>
              <w:rPr>
                <w:sz w:val="18"/>
                <w:szCs w:val="18"/>
              </w:rPr>
            </w:pPr>
            <w:r w:rsidRPr="002D3258">
              <w:rPr>
                <w:sz w:val="18"/>
                <w:szCs w:val="18"/>
              </w:rPr>
              <w:t>（3）《中央企业境外投资监督管理办法》（</w:t>
            </w:r>
            <w:proofErr w:type="gramStart"/>
            <w:r w:rsidRPr="002D3258">
              <w:rPr>
                <w:sz w:val="18"/>
                <w:szCs w:val="18"/>
              </w:rPr>
              <w:t>国资令第35号</w:t>
            </w:r>
            <w:proofErr w:type="gramEnd"/>
            <w:r w:rsidRPr="002D3258">
              <w:rPr>
                <w:sz w:val="18"/>
                <w:szCs w:val="18"/>
              </w:rPr>
              <w:t>）。</w:t>
            </w:r>
          </w:p>
        </w:tc>
      </w:tr>
      <w:tr w:rsidR="002D3258" w:rsidRPr="002D3258" w14:paraId="3721CA97" w14:textId="77777777" w:rsidTr="002D3258">
        <w:trPr>
          <w:gridAfter w:val="1"/>
          <w:wAfter w:w="11" w:type="pct"/>
          <w:trHeight w:val="283"/>
        </w:trPr>
        <w:tc>
          <w:tcPr>
            <w:tcW w:w="407" w:type="pct"/>
            <w:shd w:val="clear" w:color="auto" w:fill="auto"/>
            <w:noWrap/>
            <w:vAlign w:val="center"/>
            <w:hideMark/>
          </w:tcPr>
          <w:p w14:paraId="238EC85A" w14:textId="77777777" w:rsidR="002D3258" w:rsidRPr="002D3258" w:rsidRDefault="002D3258" w:rsidP="002D3258">
            <w:pPr>
              <w:pStyle w:val="13"/>
              <w:spacing w:line="240" w:lineRule="auto"/>
              <w:ind w:firstLineChars="0" w:firstLine="0"/>
              <w:rPr>
                <w:sz w:val="18"/>
                <w:szCs w:val="18"/>
              </w:rPr>
            </w:pPr>
            <w:r w:rsidRPr="002D3258">
              <w:rPr>
                <w:sz w:val="18"/>
                <w:szCs w:val="18"/>
              </w:rPr>
              <w:t>N26</w:t>
            </w:r>
          </w:p>
        </w:tc>
        <w:tc>
          <w:tcPr>
            <w:tcW w:w="166" w:type="pct"/>
            <w:vMerge/>
            <w:shd w:val="clear" w:color="auto" w:fill="auto"/>
            <w:vAlign w:val="center"/>
            <w:hideMark/>
          </w:tcPr>
          <w:p w14:paraId="37A8F385"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7931273"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037BD84" w14:textId="77777777" w:rsidR="002D3258" w:rsidRPr="002D3258" w:rsidRDefault="002D3258" w:rsidP="002D3258">
            <w:pPr>
              <w:pStyle w:val="13"/>
              <w:spacing w:line="240" w:lineRule="auto"/>
              <w:ind w:firstLineChars="0" w:firstLine="0"/>
              <w:rPr>
                <w:sz w:val="18"/>
                <w:szCs w:val="18"/>
              </w:rPr>
            </w:pPr>
            <w:r w:rsidRPr="002D3258">
              <w:rPr>
                <w:sz w:val="18"/>
                <w:szCs w:val="18"/>
              </w:rPr>
              <w:t>1.2.2</w:t>
            </w:r>
          </w:p>
        </w:tc>
        <w:tc>
          <w:tcPr>
            <w:tcW w:w="1463" w:type="pct"/>
            <w:shd w:val="clear" w:color="auto" w:fill="auto"/>
            <w:noWrap/>
            <w:vAlign w:val="center"/>
            <w:hideMark/>
          </w:tcPr>
          <w:p w14:paraId="456E2E78" w14:textId="77777777" w:rsidR="002D3258" w:rsidRPr="002D3258" w:rsidRDefault="002D3258" w:rsidP="002D3258">
            <w:pPr>
              <w:pStyle w:val="13"/>
              <w:spacing w:line="240" w:lineRule="auto"/>
              <w:ind w:firstLineChars="0" w:firstLine="0"/>
              <w:rPr>
                <w:sz w:val="18"/>
                <w:szCs w:val="18"/>
              </w:rPr>
            </w:pPr>
            <w:r w:rsidRPr="002D3258">
              <w:rPr>
                <w:sz w:val="18"/>
                <w:szCs w:val="18"/>
              </w:rPr>
              <w:t>国有控股混合所有制企业员工以科技成果出资</w:t>
            </w:r>
          </w:p>
        </w:tc>
        <w:tc>
          <w:tcPr>
            <w:tcW w:w="2063" w:type="pct"/>
            <w:vMerge w:val="restart"/>
            <w:shd w:val="clear" w:color="auto" w:fill="auto"/>
            <w:vAlign w:val="center"/>
            <w:hideMark/>
          </w:tcPr>
          <w:p w14:paraId="2EF9904E" w14:textId="77777777" w:rsidR="002D3258" w:rsidRPr="002D3258" w:rsidRDefault="002D3258" w:rsidP="002D3258">
            <w:pPr>
              <w:pStyle w:val="13"/>
              <w:spacing w:line="240" w:lineRule="auto"/>
              <w:ind w:firstLineChars="0" w:firstLine="0"/>
              <w:rPr>
                <w:sz w:val="18"/>
                <w:szCs w:val="18"/>
              </w:rPr>
            </w:pPr>
            <w:r w:rsidRPr="002D3258">
              <w:rPr>
                <w:sz w:val="18"/>
                <w:szCs w:val="18"/>
              </w:rPr>
              <w:t>（1）《关于国有企业发展混合所有制经济的意见》（国发〔2015〕54号）；</w:t>
            </w:r>
            <w:r w:rsidRPr="002D3258">
              <w:rPr>
                <w:sz w:val="18"/>
                <w:szCs w:val="18"/>
              </w:rPr>
              <w:br/>
              <w:t>（2）《关于国有控股混合所有制企业开展员工持股试点的意见》（国</w:t>
            </w:r>
            <w:proofErr w:type="gramStart"/>
            <w:r w:rsidRPr="002D3258">
              <w:rPr>
                <w:sz w:val="18"/>
                <w:szCs w:val="18"/>
              </w:rPr>
              <w:t>资发改革</w:t>
            </w:r>
            <w:proofErr w:type="gramEnd"/>
            <w:r w:rsidRPr="002D3258">
              <w:rPr>
                <w:sz w:val="18"/>
                <w:szCs w:val="18"/>
              </w:rPr>
              <w:t>〔2016〕133号）。</w:t>
            </w:r>
          </w:p>
        </w:tc>
      </w:tr>
      <w:tr w:rsidR="002D3258" w:rsidRPr="002D3258" w14:paraId="20D435D6" w14:textId="77777777" w:rsidTr="002D3258">
        <w:trPr>
          <w:gridAfter w:val="1"/>
          <w:wAfter w:w="11" w:type="pct"/>
          <w:trHeight w:val="283"/>
        </w:trPr>
        <w:tc>
          <w:tcPr>
            <w:tcW w:w="407" w:type="pct"/>
            <w:shd w:val="clear" w:color="auto" w:fill="auto"/>
            <w:noWrap/>
            <w:vAlign w:val="center"/>
            <w:hideMark/>
          </w:tcPr>
          <w:p w14:paraId="2665DCEC" w14:textId="77777777" w:rsidR="002D3258" w:rsidRPr="002D3258" w:rsidRDefault="002D3258" w:rsidP="002D3258">
            <w:pPr>
              <w:pStyle w:val="13"/>
              <w:spacing w:line="240" w:lineRule="auto"/>
              <w:ind w:firstLineChars="0" w:firstLine="0"/>
              <w:rPr>
                <w:sz w:val="18"/>
                <w:szCs w:val="18"/>
              </w:rPr>
            </w:pPr>
            <w:r w:rsidRPr="002D3258">
              <w:rPr>
                <w:sz w:val="18"/>
                <w:szCs w:val="18"/>
              </w:rPr>
              <w:t>N27</w:t>
            </w:r>
          </w:p>
        </w:tc>
        <w:tc>
          <w:tcPr>
            <w:tcW w:w="166" w:type="pct"/>
            <w:vMerge/>
            <w:shd w:val="clear" w:color="auto" w:fill="auto"/>
            <w:vAlign w:val="center"/>
            <w:hideMark/>
          </w:tcPr>
          <w:p w14:paraId="2CD909F3"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D5F7C4E"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73308BAF" w14:textId="77777777" w:rsidR="002D3258" w:rsidRPr="002D3258" w:rsidRDefault="002D3258" w:rsidP="002D3258">
            <w:pPr>
              <w:pStyle w:val="13"/>
              <w:spacing w:line="240" w:lineRule="auto"/>
              <w:ind w:firstLineChars="0" w:firstLine="0"/>
              <w:rPr>
                <w:sz w:val="18"/>
                <w:szCs w:val="18"/>
              </w:rPr>
            </w:pPr>
            <w:r w:rsidRPr="002D3258">
              <w:rPr>
                <w:sz w:val="18"/>
                <w:szCs w:val="18"/>
              </w:rPr>
              <w:t>1.2.3</w:t>
            </w:r>
          </w:p>
        </w:tc>
        <w:tc>
          <w:tcPr>
            <w:tcW w:w="1463" w:type="pct"/>
            <w:shd w:val="clear" w:color="auto" w:fill="auto"/>
            <w:noWrap/>
            <w:vAlign w:val="center"/>
            <w:hideMark/>
          </w:tcPr>
          <w:p w14:paraId="286BA020" w14:textId="77777777" w:rsidR="002D3258" w:rsidRPr="002D3258" w:rsidRDefault="002D3258" w:rsidP="002D3258">
            <w:pPr>
              <w:pStyle w:val="13"/>
              <w:spacing w:line="240" w:lineRule="auto"/>
              <w:ind w:firstLineChars="0" w:firstLine="0"/>
              <w:rPr>
                <w:sz w:val="18"/>
                <w:szCs w:val="18"/>
              </w:rPr>
            </w:pPr>
            <w:r w:rsidRPr="002D3258">
              <w:rPr>
                <w:sz w:val="18"/>
                <w:szCs w:val="18"/>
              </w:rPr>
              <w:t>国有控股混合所有制企业员工入股价格确定</w:t>
            </w:r>
          </w:p>
        </w:tc>
        <w:tc>
          <w:tcPr>
            <w:tcW w:w="2063" w:type="pct"/>
            <w:vMerge/>
            <w:shd w:val="clear" w:color="auto" w:fill="auto"/>
            <w:vAlign w:val="center"/>
            <w:hideMark/>
          </w:tcPr>
          <w:p w14:paraId="43EAC6AA" w14:textId="77777777" w:rsidR="002D3258" w:rsidRPr="002D3258" w:rsidRDefault="002D3258" w:rsidP="002D3258">
            <w:pPr>
              <w:pStyle w:val="13"/>
              <w:spacing w:line="240" w:lineRule="auto"/>
              <w:ind w:firstLineChars="0" w:firstLine="0"/>
              <w:rPr>
                <w:sz w:val="18"/>
                <w:szCs w:val="18"/>
              </w:rPr>
            </w:pPr>
          </w:p>
        </w:tc>
      </w:tr>
      <w:tr w:rsidR="002D3258" w:rsidRPr="002D3258" w14:paraId="507AB907" w14:textId="77777777" w:rsidTr="002D3258">
        <w:trPr>
          <w:gridAfter w:val="1"/>
          <w:wAfter w:w="11" w:type="pct"/>
          <w:trHeight w:val="283"/>
        </w:trPr>
        <w:tc>
          <w:tcPr>
            <w:tcW w:w="407" w:type="pct"/>
            <w:shd w:val="clear" w:color="auto" w:fill="auto"/>
            <w:noWrap/>
            <w:vAlign w:val="center"/>
            <w:hideMark/>
          </w:tcPr>
          <w:p w14:paraId="08221090" w14:textId="77777777" w:rsidR="002D3258" w:rsidRPr="002D3258" w:rsidRDefault="002D3258" w:rsidP="002D3258">
            <w:pPr>
              <w:pStyle w:val="13"/>
              <w:spacing w:line="240" w:lineRule="auto"/>
              <w:ind w:firstLineChars="0" w:firstLine="0"/>
              <w:rPr>
                <w:sz w:val="18"/>
                <w:szCs w:val="18"/>
              </w:rPr>
            </w:pPr>
            <w:r w:rsidRPr="002D3258">
              <w:rPr>
                <w:sz w:val="18"/>
                <w:szCs w:val="18"/>
              </w:rPr>
              <w:t>N28</w:t>
            </w:r>
          </w:p>
        </w:tc>
        <w:tc>
          <w:tcPr>
            <w:tcW w:w="166" w:type="pct"/>
            <w:vMerge/>
            <w:shd w:val="clear" w:color="auto" w:fill="auto"/>
            <w:vAlign w:val="center"/>
            <w:hideMark/>
          </w:tcPr>
          <w:p w14:paraId="1DE2122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4DFDBC2"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AFE56AE" w14:textId="77777777" w:rsidR="002D3258" w:rsidRPr="002D3258" w:rsidRDefault="002D3258" w:rsidP="002D3258">
            <w:pPr>
              <w:pStyle w:val="13"/>
              <w:spacing w:line="240" w:lineRule="auto"/>
              <w:ind w:firstLineChars="0" w:firstLine="0"/>
              <w:rPr>
                <w:sz w:val="18"/>
                <w:szCs w:val="18"/>
              </w:rPr>
            </w:pPr>
            <w:r w:rsidRPr="002D3258">
              <w:rPr>
                <w:sz w:val="18"/>
                <w:szCs w:val="18"/>
              </w:rPr>
              <w:t>1.2.4</w:t>
            </w:r>
          </w:p>
        </w:tc>
        <w:tc>
          <w:tcPr>
            <w:tcW w:w="1463" w:type="pct"/>
            <w:shd w:val="clear" w:color="auto" w:fill="auto"/>
            <w:noWrap/>
            <w:vAlign w:val="center"/>
            <w:hideMark/>
          </w:tcPr>
          <w:p w14:paraId="2A500357" w14:textId="77777777" w:rsidR="002D3258" w:rsidRPr="002D3258" w:rsidRDefault="002D3258" w:rsidP="002D3258">
            <w:pPr>
              <w:pStyle w:val="13"/>
              <w:spacing w:line="240" w:lineRule="auto"/>
              <w:ind w:firstLineChars="0" w:firstLine="0"/>
              <w:rPr>
                <w:sz w:val="18"/>
                <w:szCs w:val="18"/>
              </w:rPr>
            </w:pPr>
            <w:r w:rsidRPr="002D3258">
              <w:rPr>
                <w:sz w:val="18"/>
                <w:szCs w:val="18"/>
              </w:rPr>
              <w:t>国有科技型企业股权出售</w:t>
            </w:r>
          </w:p>
        </w:tc>
        <w:tc>
          <w:tcPr>
            <w:tcW w:w="2063" w:type="pct"/>
            <w:vMerge w:val="restart"/>
            <w:shd w:val="clear" w:color="auto" w:fill="auto"/>
            <w:vAlign w:val="center"/>
            <w:hideMark/>
          </w:tcPr>
          <w:p w14:paraId="5A9CE7F0" w14:textId="77777777" w:rsidR="002D3258" w:rsidRPr="002D3258" w:rsidRDefault="002D3258" w:rsidP="002D3258">
            <w:pPr>
              <w:pStyle w:val="13"/>
              <w:spacing w:line="240" w:lineRule="auto"/>
              <w:ind w:firstLineChars="0" w:firstLine="0"/>
              <w:rPr>
                <w:sz w:val="18"/>
                <w:szCs w:val="18"/>
              </w:rPr>
            </w:pPr>
            <w:r w:rsidRPr="002D3258">
              <w:rPr>
                <w:sz w:val="18"/>
                <w:szCs w:val="18"/>
              </w:rPr>
              <w:t>（1）《国有科技型企业股权和分红激励暂行办法》（财资〔2016〕4号）；</w:t>
            </w:r>
            <w:r w:rsidRPr="002D3258">
              <w:rPr>
                <w:sz w:val="18"/>
                <w:szCs w:val="18"/>
              </w:rPr>
              <w:br/>
              <w:t>（2）《关于做好中央科技型企业股权和分红激励工作的通知》（国</w:t>
            </w:r>
            <w:proofErr w:type="gramStart"/>
            <w:r w:rsidRPr="002D3258">
              <w:rPr>
                <w:sz w:val="18"/>
                <w:szCs w:val="18"/>
              </w:rPr>
              <w:t>资发分配</w:t>
            </w:r>
            <w:proofErr w:type="gramEnd"/>
            <w:r w:rsidRPr="002D3258">
              <w:rPr>
                <w:sz w:val="18"/>
                <w:szCs w:val="18"/>
              </w:rPr>
              <w:t>〔2016〕274号）。</w:t>
            </w:r>
          </w:p>
        </w:tc>
      </w:tr>
      <w:tr w:rsidR="002D3258" w:rsidRPr="002D3258" w14:paraId="3C14BE0E" w14:textId="77777777" w:rsidTr="002D3258">
        <w:trPr>
          <w:gridAfter w:val="1"/>
          <w:wAfter w:w="11" w:type="pct"/>
          <w:trHeight w:val="283"/>
        </w:trPr>
        <w:tc>
          <w:tcPr>
            <w:tcW w:w="407" w:type="pct"/>
            <w:shd w:val="clear" w:color="auto" w:fill="auto"/>
            <w:noWrap/>
            <w:vAlign w:val="center"/>
            <w:hideMark/>
          </w:tcPr>
          <w:p w14:paraId="0F192F64" w14:textId="77777777" w:rsidR="002D3258" w:rsidRPr="002D3258" w:rsidRDefault="002D3258" w:rsidP="002D3258">
            <w:pPr>
              <w:pStyle w:val="13"/>
              <w:spacing w:line="240" w:lineRule="auto"/>
              <w:ind w:firstLineChars="0" w:firstLine="0"/>
              <w:rPr>
                <w:sz w:val="18"/>
                <w:szCs w:val="18"/>
              </w:rPr>
            </w:pPr>
            <w:r w:rsidRPr="002D3258">
              <w:rPr>
                <w:sz w:val="18"/>
                <w:szCs w:val="18"/>
              </w:rPr>
              <w:t>N29</w:t>
            </w:r>
          </w:p>
        </w:tc>
        <w:tc>
          <w:tcPr>
            <w:tcW w:w="166" w:type="pct"/>
            <w:vMerge/>
            <w:shd w:val="clear" w:color="auto" w:fill="auto"/>
            <w:vAlign w:val="center"/>
            <w:hideMark/>
          </w:tcPr>
          <w:p w14:paraId="543BCDBE"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550D7A1"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96CFAA7" w14:textId="77777777" w:rsidR="002D3258" w:rsidRPr="002D3258" w:rsidRDefault="002D3258" w:rsidP="002D3258">
            <w:pPr>
              <w:pStyle w:val="13"/>
              <w:spacing w:line="240" w:lineRule="auto"/>
              <w:ind w:firstLineChars="0" w:firstLine="0"/>
              <w:rPr>
                <w:sz w:val="18"/>
                <w:szCs w:val="18"/>
              </w:rPr>
            </w:pPr>
            <w:r w:rsidRPr="002D3258">
              <w:rPr>
                <w:sz w:val="18"/>
                <w:szCs w:val="18"/>
              </w:rPr>
              <w:t>1.2.5</w:t>
            </w:r>
          </w:p>
        </w:tc>
        <w:tc>
          <w:tcPr>
            <w:tcW w:w="1463" w:type="pct"/>
            <w:shd w:val="clear" w:color="auto" w:fill="auto"/>
            <w:noWrap/>
            <w:vAlign w:val="center"/>
            <w:hideMark/>
          </w:tcPr>
          <w:p w14:paraId="44D8B73A" w14:textId="77777777" w:rsidR="002D3258" w:rsidRPr="002D3258" w:rsidRDefault="002D3258" w:rsidP="002D3258">
            <w:pPr>
              <w:pStyle w:val="13"/>
              <w:spacing w:line="240" w:lineRule="auto"/>
              <w:ind w:firstLineChars="0" w:firstLine="0"/>
              <w:rPr>
                <w:sz w:val="18"/>
                <w:szCs w:val="18"/>
              </w:rPr>
            </w:pPr>
            <w:r w:rsidRPr="002D3258">
              <w:rPr>
                <w:sz w:val="18"/>
                <w:szCs w:val="18"/>
              </w:rPr>
              <w:t>国有科技型企业用于股权奖励的激励额折合股权确定</w:t>
            </w:r>
          </w:p>
        </w:tc>
        <w:tc>
          <w:tcPr>
            <w:tcW w:w="2063" w:type="pct"/>
            <w:vMerge/>
            <w:shd w:val="clear" w:color="auto" w:fill="auto"/>
            <w:vAlign w:val="center"/>
            <w:hideMark/>
          </w:tcPr>
          <w:p w14:paraId="48FA0EC0" w14:textId="77777777" w:rsidR="002D3258" w:rsidRPr="002D3258" w:rsidRDefault="002D3258" w:rsidP="002D3258">
            <w:pPr>
              <w:pStyle w:val="13"/>
              <w:spacing w:line="240" w:lineRule="auto"/>
              <w:ind w:firstLineChars="0" w:firstLine="0"/>
              <w:rPr>
                <w:sz w:val="18"/>
                <w:szCs w:val="18"/>
              </w:rPr>
            </w:pPr>
          </w:p>
        </w:tc>
      </w:tr>
      <w:tr w:rsidR="002D3258" w:rsidRPr="002D3258" w14:paraId="3C9C2E6E" w14:textId="77777777" w:rsidTr="002D3258">
        <w:trPr>
          <w:gridAfter w:val="1"/>
          <w:wAfter w:w="11" w:type="pct"/>
          <w:trHeight w:val="283"/>
        </w:trPr>
        <w:tc>
          <w:tcPr>
            <w:tcW w:w="407" w:type="pct"/>
            <w:shd w:val="clear" w:color="auto" w:fill="auto"/>
            <w:noWrap/>
            <w:vAlign w:val="center"/>
            <w:hideMark/>
          </w:tcPr>
          <w:p w14:paraId="02CC04EB" w14:textId="77777777" w:rsidR="002D3258" w:rsidRPr="002D3258" w:rsidRDefault="002D3258" w:rsidP="002D3258">
            <w:pPr>
              <w:pStyle w:val="13"/>
              <w:spacing w:line="240" w:lineRule="auto"/>
              <w:ind w:firstLineChars="0" w:firstLine="0"/>
              <w:rPr>
                <w:sz w:val="18"/>
                <w:szCs w:val="18"/>
              </w:rPr>
            </w:pPr>
            <w:r w:rsidRPr="002D3258">
              <w:rPr>
                <w:sz w:val="18"/>
                <w:szCs w:val="18"/>
              </w:rPr>
              <w:t>N30</w:t>
            </w:r>
          </w:p>
        </w:tc>
        <w:tc>
          <w:tcPr>
            <w:tcW w:w="166" w:type="pct"/>
            <w:vMerge/>
            <w:shd w:val="clear" w:color="auto" w:fill="auto"/>
            <w:vAlign w:val="center"/>
            <w:hideMark/>
          </w:tcPr>
          <w:p w14:paraId="67E55913"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4972676"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5AB77AD" w14:textId="77777777" w:rsidR="002D3258" w:rsidRPr="002D3258" w:rsidRDefault="002D3258" w:rsidP="002D3258">
            <w:pPr>
              <w:pStyle w:val="13"/>
              <w:spacing w:line="240" w:lineRule="auto"/>
              <w:ind w:firstLineChars="0" w:firstLine="0"/>
              <w:rPr>
                <w:sz w:val="18"/>
                <w:szCs w:val="18"/>
              </w:rPr>
            </w:pPr>
            <w:r w:rsidRPr="002D3258">
              <w:rPr>
                <w:sz w:val="18"/>
                <w:szCs w:val="18"/>
              </w:rPr>
              <w:t>1.2.6</w:t>
            </w:r>
          </w:p>
        </w:tc>
        <w:tc>
          <w:tcPr>
            <w:tcW w:w="1463" w:type="pct"/>
            <w:shd w:val="clear" w:color="auto" w:fill="auto"/>
            <w:noWrap/>
            <w:vAlign w:val="center"/>
            <w:hideMark/>
          </w:tcPr>
          <w:p w14:paraId="6E1AF685" w14:textId="77777777" w:rsidR="002D3258" w:rsidRPr="002D3258" w:rsidRDefault="002D3258" w:rsidP="002D3258">
            <w:pPr>
              <w:pStyle w:val="13"/>
              <w:spacing w:line="240" w:lineRule="auto"/>
              <w:ind w:firstLineChars="0" w:firstLine="0"/>
              <w:rPr>
                <w:sz w:val="18"/>
                <w:szCs w:val="18"/>
              </w:rPr>
            </w:pPr>
            <w:r w:rsidRPr="002D3258">
              <w:rPr>
                <w:sz w:val="18"/>
                <w:szCs w:val="18"/>
              </w:rPr>
              <w:t>中央企业及其所有的科技型企业股权出售</w:t>
            </w:r>
          </w:p>
        </w:tc>
        <w:tc>
          <w:tcPr>
            <w:tcW w:w="2063" w:type="pct"/>
            <w:vMerge/>
            <w:shd w:val="clear" w:color="auto" w:fill="auto"/>
            <w:vAlign w:val="center"/>
            <w:hideMark/>
          </w:tcPr>
          <w:p w14:paraId="1B7041E2" w14:textId="77777777" w:rsidR="002D3258" w:rsidRPr="002D3258" w:rsidRDefault="002D3258" w:rsidP="002D3258">
            <w:pPr>
              <w:pStyle w:val="13"/>
              <w:spacing w:line="240" w:lineRule="auto"/>
              <w:ind w:firstLineChars="0" w:firstLine="0"/>
              <w:rPr>
                <w:sz w:val="18"/>
                <w:szCs w:val="18"/>
              </w:rPr>
            </w:pPr>
          </w:p>
        </w:tc>
      </w:tr>
      <w:tr w:rsidR="002D3258" w:rsidRPr="002D3258" w14:paraId="2B714E23" w14:textId="77777777" w:rsidTr="002D3258">
        <w:trPr>
          <w:gridAfter w:val="1"/>
          <w:wAfter w:w="11" w:type="pct"/>
          <w:trHeight w:val="283"/>
        </w:trPr>
        <w:tc>
          <w:tcPr>
            <w:tcW w:w="407" w:type="pct"/>
            <w:shd w:val="clear" w:color="auto" w:fill="auto"/>
            <w:noWrap/>
            <w:vAlign w:val="center"/>
            <w:hideMark/>
          </w:tcPr>
          <w:p w14:paraId="4EADF5B2" w14:textId="77777777" w:rsidR="002D3258" w:rsidRPr="002D3258" w:rsidRDefault="002D3258" w:rsidP="002D3258">
            <w:pPr>
              <w:pStyle w:val="13"/>
              <w:spacing w:line="240" w:lineRule="auto"/>
              <w:ind w:firstLineChars="0" w:firstLine="0"/>
              <w:rPr>
                <w:sz w:val="18"/>
                <w:szCs w:val="18"/>
              </w:rPr>
            </w:pPr>
            <w:r w:rsidRPr="002D3258">
              <w:rPr>
                <w:sz w:val="18"/>
                <w:szCs w:val="18"/>
              </w:rPr>
              <w:t>N31</w:t>
            </w:r>
          </w:p>
        </w:tc>
        <w:tc>
          <w:tcPr>
            <w:tcW w:w="166" w:type="pct"/>
            <w:vMerge/>
            <w:shd w:val="clear" w:color="auto" w:fill="auto"/>
            <w:vAlign w:val="center"/>
            <w:hideMark/>
          </w:tcPr>
          <w:p w14:paraId="02B78F4D"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7012416"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61D232CA" w14:textId="77777777" w:rsidR="002D3258" w:rsidRPr="002D3258" w:rsidRDefault="002D3258" w:rsidP="002D3258">
            <w:pPr>
              <w:pStyle w:val="13"/>
              <w:spacing w:line="240" w:lineRule="auto"/>
              <w:ind w:firstLineChars="0" w:firstLine="0"/>
              <w:rPr>
                <w:sz w:val="18"/>
                <w:szCs w:val="18"/>
              </w:rPr>
            </w:pPr>
            <w:r w:rsidRPr="002D3258">
              <w:rPr>
                <w:sz w:val="18"/>
                <w:szCs w:val="18"/>
              </w:rPr>
              <w:t>1.2.7</w:t>
            </w:r>
          </w:p>
        </w:tc>
        <w:tc>
          <w:tcPr>
            <w:tcW w:w="1463" w:type="pct"/>
            <w:shd w:val="clear" w:color="auto" w:fill="auto"/>
            <w:noWrap/>
            <w:vAlign w:val="center"/>
            <w:hideMark/>
          </w:tcPr>
          <w:p w14:paraId="57F35536" w14:textId="77777777" w:rsidR="002D3258" w:rsidRPr="002D3258" w:rsidRDefault="002D3258" w:rsidP="002D3258">
            <w:pPr>
              <w:pStyle w:val="13"/>
              <w:spacing w:line="240" w:lineRule="auto"/>
              <w:ind w:firstLineChars="0" w:firstLine="0"/>
              <w:rPr>
                <w:sz w:val="18"/>
                <w:szCs w:val="18"/>
              </w:rPr>
            </w:pPr>
            <w:r w:rsidRPr="002D3258">
              <w:rPr>
                <w:sz w:val="18"/>
                <w:szCs w:val="18"/>
              </w:rPr>
              <w:t>中央企业及其所有的科技型企业股权奖励</w:t>
            </w:r>
          </w:p>
        </w:tc>
        <w:tc>
          <w:tcPr>
            <w:tcW w:w="2063" w:type="pct"/>
            <w:vMerge/>
            <w:shd w:val="clear" w:color="auto" w:fill="auto"/>
            <w:vAlign w:val="center"/>
            <w:hideMark/>
          </w:tcPr>
          <w:p w14:paraId="2D18CCB0" w14:textId="77777777" w:rsidR="002D3258" w:rsidRPr="002D3258" w:rsidRDefault="002D3258" w:rsidP="002D3258">
            <w:pPr>
              <w:pStyle w:val="13"/>
              <w:spacing w:line="240" w:lineRule="auto"/>
              <w:ind w:firstLineChars="0" w:firstLine="0"/>
              <w:rPr>
                <w:sz w:val="18"/>
                <w:szCs w:val="18"/>
              </w:rPr>
            </w:pPr>
          </w:p>
        </w:tc>
      </w:tr>
      <w:tr w:rsidR="002D3258" w:rsidRPr="002D3258" w14:paraId="2C3C2377" w14:textId="77777777" w:rsidTr="002D3258">
        <w:trPr>
          <w:gridAfter w:val="1"/>
          <w:wAfter w:w="11" w:type="pct"/>
          <w:trHeight w:val="283"/>
        </w:trPr>
        <w:tc>
          <w:tcPr>
            <w:tcW w:w="407" w:type="pct"/>
            <w:shd w:val="clear" w:color="auto" w:fill="auto"/>
            <w:noWrap/>
            <w:vAlign w:val="center"/>
            <w:hideMark/>
          </w:tcPr>
          <w:p w14:paraId="34CF5228" w14:textId="77777777" w:rsidR="002D3258" w:rsidRPr="002D3258" w:rsidRDefault="002D3258" w:rsidP="002D3258">
            <w:pPr>
              <w:pStyle w:val="13"/>
              <w:spacing w:line="240" w:lineRule="auto"/>
              <w:ind w:firstLineChars="0" w:firstLine="0"/>
              <w:rPr>
                <w:sz w:val="18"/>
                <w:szCs w:val="18"/>
              </w:rPr>
            </w:pPr>
            <w:r w:rsidRPr="002D3258">
              <w:rPr>
                <w:sz w:val="18"/>
                <w:szCs w:val="18"/>
              </w:rPr>
              <w:t>N32</w:t>
            </w:r>
          </w:p>
        </w:tc>
        <w:tc>
          <w:tcPr>
            <w:tcW w:w="166" w:type="pct"/>
            <w:vMerge/>
            <w:shd w:val="clear" w:color="auto" w:fill="auto"/>
            <w:vAlign w:val="center"/>
            <w:hideMark/>
          </w:tcPr>
          <w:p w14:paraId="108FA047"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1046BCD"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1A89786" w14:textId="77777777" w:rsidR="002D3258" w:rsidRPr="002D3258" w:rsidRDefault="002D3258" w:rsidP="002D3258">
            <w:pPr>
              <w:pStyle w:val="13"/>
              <w:spacing w:line="240" w:lineRule="auto"/>
              <w:ind w:firstLineChars="0" w:firstLine="0"/>
              <w:rPr>
                <w:sz w:val="18"/>
                <w:szCs w:val="18"/>
              </w:rPr>
            </w:pPr>
            <w:r w:rsidRPr="002D3258">
              <w:rPr>
                <w:sz w:val="18"/>
                <w:szCs w:val="18"/>
              </w:rPr>
              <w:t>1.2.8</w:t>
            </w:r>
          </w:p>
        </w:tc>
        <w:tc>
          <w:tcPr>
            <w:tcW w:w="1463" w:type="pct"/>
            <w:shd w:val="clear" w:color="auto" w:fill="auto"/>
            <w:noWrap/>
            <w:vAlign w:val="center"/>
            <w:hideMark/>
          </w:tcPr>
          <w:p w14:paraId="4BC9D9DA" w14:textId="77777777" w:rsidR="002D3258" w:rsidRPr="002D3258" w:rsidRDefault="002D3258" w:rsidP="002D3258">
            <w:pPr>
              <w:pStyle w:val="13"/>
              <w:spacing w:line="240" w:lineRule="auto"/>
              <w:ind w:firstLineChars="0" w:firstLine="0"/>
              <w:rPr>
                <w:sz w:val="18"/>
                <w:szCs w:val="18"/>
              </w:rPr>
            </w:pPr>
            <w:r w:rsidRPr="002D3258">
              <w:rPr>
                <w:sz w:val="18"/>
                <w:szCs w:val="18"/>
              </w:rPr>
              <w:t>“僵尸企业”处置</w:t>
            </w:r>
          </w:p>
        </w:tc>
        <w:tc>
          <w:tcPr>
            <w:tcW w:w="2063" w:type="pct"/>
            <w:vMerge w:val="restart"/>
            <w:shd w:val="clear" w:color="auto" w:fill="auto"/>
            <w:vAlign w:val="center"/>
            <w:hideMark/>
          </w:tcPr>
          <w:p w14:paraId="19B768CC" w14:textId="77777777" w:rsidR="002D3258" w:rsidRPr="002D3258" w:rsidRDefault="002D3258" w:rsidP="002D3258">
            <w:pPr>
              <w:pStyle w:val="13"/>
              <w:spacing w:line="240" w:lineRule="auto"/>
              <w:ind w:firstLineChars="0" w:firstLine="0"/>
              <w:rPr>
                <w:sz w:val="18"/>
                <w:szCs w:val="18"/>
              </w:rPr>
            </w:pPr>
            <w:r w:rsidRPr="002D3258">
              <w:rPr>
                <w:sz w:val="18"/>
                <w:szCs w:val="18"/>
              </w:rPr>
              <w:t>（1）《关于化解产能严重过剩矛盾的指导意见》（国发〔2013〕41号）；</w:t>
            </w:r>
            <w:r w:rsidRPr="002D3258">
              <w:rPr>
                <w:sz w:val="18"/>
                <w:szCs w:val="18"/>
              </w:rPr>
              <w:br/>
              <w:t>（2）《关于做好2018年重点领域化解过剩产能工作的通知》（</w:t>
            </w:r>
            <w:proofErr w:type="gramStart"/>
            <w:r w:rsidRPr="002D3258">
              <w:rPr>
                <w:sz w:val="18"/>
                <w:szCs w:val="18"/>
              </w:rPr>
              <w:t>发改运行</w:t>
            </w:r>
            <w:proofErr w:type="gramEnd"/>
            <w:r w:rsidRPr="002D3258">
              <w:rPr>
                <w:sz w:val="18"/>
                <w:szCs w:val="18"/>
              </w:rPr>
              <w:t>〔2018〕554号）。</w:t>
            </w:r>
          </w:p>
        </w:tc>
      </w:tr>
      <w:tr w:rsidR="002D3258" w:rsidRPr="002D3258" w14:paraId="71EFD241" w14:textId="77777777" w:rsidTr="002D3258">
        <w:trPr>
          <w:gridAfter w:val="1"/>
          <w:wAfter w:w="11" w:type="pct"/>
          <w:trHeight w:val="283"/>
        </w:trPr>
        <w:tc>
          <w:tcPr>
            <w:tcW w:w="407" w:type="pct"/>
            <w:shd w:val="clear" w:color="auto" w:fill="auto"/>
            <w:noWrap/>
            <w:vAlign w:val="center"/>
            <w:hideMark/>
          </w:tcPr>
          <w:p w14:paraId="1A295F67" w14:textId="77777777" w:rsidR="002D3258" w:rsidRPr="002D3258" w:rsidRDefault="002D3258" w:rsidP="002D3258">
            <w:pPr>
              <w:pStyle w:val="13"/>
              <w:spacing w:line="240" w:lineRule="auto"/>
              <w:ind w:firstLineChars="0" w:firstLine="0"/>
              <w:rPr>
                <w:sz w:val="18"/>
                <w:szCs w:val="18"/>
              </w:rPr>
            </w:pPr>
            <w:r w:rsidRPr="002D3258">
              <w:rPr>
                <w:sz w:val="18"/>
                <w:szCs w:val="18"/>
              </w:rPr>
              <w:t>N33</w:t>
            </w:r>
          </w:p>
        </w:tc>
        <w:tc>
          <w:tcPr>
            <w:tcW w:w="166" w:type="pct"/>
            <w:vMerge/>
            <w:shd w:val="clear" w:color="auto" w:fill="auto"/>
            <w:vAlign w:val="center"/>
            <w:hideMark/>
          </w:tcPr>
          <w:p w14:paraId="403DBDB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BA42ABD"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40867E9" w14:textId="77777777" w:rsidR="002D3258" w:rsidRPr="002D3258" w:rsidRDefault="002D3258" w:rsidP="002D3258">
            <w:pPr>
              <w:pStyle w:val="13"/>
              <w:spacing w:line="240" w:lineRule="auto"/>
              <w:ind w:firstLineChars="0" w:firstLine="0"/>
              <w:rPr>
                <w:sz w:val="18"/>
                <w:szCs w:val="18"/>
              </w:rPr>
            </w:pPr>
            <w:r w:rsidRPr="002D3258">
              <w:rPr>
                <w:sz w:val="18"/>
                <w:szCs w:val="18"/>
              </w:rPr>
              <w:t>1.2.9</w:t>
            </w:r>
          </w:p>
        </w:tc>
        <w:tc>
          <w:tcPr>
            <w:tcW w:w="1463" w:type="pct"/>
            <w:shd w:val="clear" w:color="auto" w:fill="auto"/>
            <w:noWrap/>
            <w:vAlign w:val="center"/>
            <w:hideMark/>
          </w:tcPr>
          <w:p w14:paraId="5187018D" w14:textId="77777777" w:rsidR="002D3258" w:rsidRPr="002D3258" w:rsidRDefault="002D3258" w:rsidP="002D3258">
            <w:pPr>
              <w:pStyle w:val="13"/>
              <w:spacing w:line="240" w:lineRule="auto"/>
              <w:ind w:firstLineChars="0" w:firstLine="0"/>
              <w:rPr>
                <w:sz w:val="18"/>
                <w:szCs w:val="18"/>
              </w:rPr>
            </w:pPr>
            <w:r w:rsidRPr="002D3258">
              <w:rPr>
                <w:sz w:val="18"/>
                <w:szCs w:val="18"/>
              </w:rPr>
              <w:t>过剩产能资产处置</w:t>
            </w:r>
          </w:p>
        </w:tc>
        <w:tc>
          <w:tcPr>
            <w:tcW w:w="2063" w:type="pct"/>
            <w:vMerge/>
            <w:shd w:val="clear" w:color="auto" w:fill="auto"/>
            <w:vAlign w:val="center"/>
            <w:hideMark/>
          </w:tcPr>
          <w:p w14:paraId="435368FF" w14:textId="77777777" w:rsidR="002D3258" w:rsidRPr="002D3258" w:rsidRDefault="002D3258" w:rsidP="002D3258">
            <w:pPr>
              <w:pStyle w:val="13"/>
              <w:spacing w:line="240" w:lineRule="auto"/>
              <w:ind w:firstLineChars="0" w:firstLine="0"/>
              <w:rPr>
                <w:sz w:val="18"/>
                <w:szCs w:val="18"/>
              </w:rPr>
            </w:pPr>
          </w:p>
        </w:tc>
      </w:tr>
      <w:tr w:rsidR="002D3258" w:rsidRPr="002D3258" w14:paraId="206452E3" w14:textId="77777777" w:rsidTr="002D3258">
        <w:trPr>
          <w:gridAfter w:val="1"/>
          <w:wAfter w:w="11" w:type="pct"/>
          <w:trHeight w:val="283"/>
        </w:trPr>
        <w:tc>
          <w:tcPr>
            <w:tcW w:w="407" w:type="pct"/>
            <w:shd w:val="clear" w:color="auto" w:fill="auto"/>
            <w:noWrap/>
            <w:vAlign w:val="center"/>
            <w:hideMark/>
          </w:tcPr>
          <w:p w14:paraId="1861FCBB" w14:textId="77777777" w:rsidR="002D3258" w:rsidRPr="002D3258" w:rsidRDefault="002D3258" w:rsidP="002D3258">
            <w:pPr>
              <w:pStyle w:val="13"/>
              <w:spacing w:line="240" w:lineRule="auto"/>
              <w:ind w:firstLineChars="0" w:firstLine="0"/>
              <w:rPr>
                <w:sz w:val="18"/>
                <w:szCs w:val="18"/>
              </w:rPr>
            </w:pPr>
            <w:r w:rsidRPr="002D3258">
              <w:rPr>
                <w:sz w:val="18"/>
                <w:szCs w:val="18"/>
              </w:rPr>
              <w:t>N34</w:t>
            </w:r>
          </w:p>
        </w:tc>
        <w:tc>
          <w:tcPr>
            <w:tcW w:w="166" w:type="pct"/>
            <w:vMerge/>
            <w:shd w:val="clear" w:color="auto" w:fill="auto"/>
            <w:vAlign w:val="center"/>
            <w:hideMark/>
          </w:tcPr>
          <w:p w14:paraId="022941D1"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3CEA50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99DB691" w14:textId="77777777" w:rsidR="002D3258" w:rsidRPr="002D3258" w:rsidRDefault="002D3258" w:rsidP="002D3258">
            <w:pPr>
              <w:pStyle w:val="13"/>
              <w:spacing w:line="240" w:lineRule="auto"/>
              <w:ind w:firstLineChars="0" w:firstLine="0"/>
              <w:rPr>
                <w:sz w:val="18"/>
                <w:szCs w:val="18"/>
              </w:rPr>
            </w:pPr>
            <w:r w:rsidRPr="002D3258">
              <w:rPr>
                <w:sz w:val="18"/>
                <w:szCs w:val="18"/>
              </w:rPr>
              <w:t>1.2.10</w:t>
            </w:r>
          </w:p>
        </w:tc>
        <w:tc>
          <w:tcPr>
            <w:tcW w:w="1463" w:type="pct"/>
            <w:shd w:val="clear" w:color="auto" w:fill="auto"/>
            <w:noWrap/>
            <w:vAlign w:val="center"/>
            <w:hideMark/>
          </w:tcPr>
          <w:p w14:paraId="2271ABEA" w14:textId="77777777" w:rsidR="002D3258" w:rsidRPr="002D3258" w:rsidRDefault="002D3258" w:rsidP="002D3258">
            <w:pPr>
              <w:pStyle w:val="13"/>
              <w:spacing w:line="240" w:lineRule="auto"/>
              <w:ind w:firstLineChars="0" w:firstLine="0"/>
              <w:rPr>
                <w:sz w:val="18"/>
                <w:szCs w:val="18"/>
              </w:rPr>
            </w:pPr>
            <w:r w:rsidRPr="002D3258">
              <w:rPr>
                <w:sz w:val="18"/>
                <w:szCs w:val="18"/>
              </w:rPr>
              <w:t>企业办医疗机构资产转让</w:t>
            </w:r>
          </w:p>
        </w:tc>
        <w:tc>
          <w:tcPr>
            <w:tcW w:w="2063" w:type="pct"/>
            <w:vMerge w:val="restart"/>
            <w:shd w:val="clear" w:color="auto" w:fill="auto"/>
            <w:vAlign w:val="center"/>
            <w:hideMark/>
          </w:tcPr>
          <w:p w14:paraId="7DDCF307" w14:textId="77777777" w:rsidR="002D3258" w:rsidRPr="002D3258" w:rsidRDefault="002D3258" w:rsidP="002D3258">
            <w:pPr>
              <w:pStyle w:val="13"/>
              <w:spacing w:line="240" w:lineRule="auto"/>
              <w:ind w:firstLineChars="0" w:firstLine="0"/>
              <w:rPr>
                <w:sz w:val="18"/>
                <w:szCs w:val="18"/>
              </w:rPr>
            </w:pPr>
            <w:r w:rsidRPr="002D3258">
              <w:rPr>
                <w:sz w:val="18"/>
                <w:szCs w:val="18"/>
              </w:rPr>
              <w:t>《关于国有企业办教育医疗机构深化改革的指导意见》（国</w:t>
            </w:r>
            <w:proofErr w:type="gramStart"/>
            <w:r w:rsidRPr="002D3258">
              <w:rPr>
                <w:sz w:val="18"/>
                <w:szCs w:val="18"/>
              </w:rPr>
              <w:t>资发改革</w:t>
            </w:r>
            <w:proofErr w:type="gramEnd"/>
            <w:r w:rsidRPr="002D3258">
              <w:rPr>
                <w:sz w:val="18"/>
                <w:szCs w:val="18"/>
              </w:rPr>
              <w:t>〔2017〕34号）</w:t>
            </w:r>
          </w:p>
        </w:tc>
      </w:tr>
      <w:tr w:rsidR="002D3258" w:rsidRPr="002D3258" w14:paraId="0CD9188A" w14:textId="77777777" w:rsidTr="002D3258">
        <w:trPr>
          <w:gridAfter w:val="1"/>
          <w:wAfter w:w="11" w:type="pct"/>
          <w:trHeight w:val="283"/>
        </w:trPr>
        <w:tc>
          <w:tcPr>
            <w:tcW w:w="407" w:type="pct"/>
            <w:shd w:val="clear" w:color="auto" w:fill="auto"/>
            <w:noWrap/>
            <w:vAlign w:val="center"/>
            <w:hideMark/>
          </w:tcPr>
          <w:p w14:paraId="43CC8995" w14:textId="77777777" w:rsidR="002D3258" w:rsidRPr="002D3258" w:rsidRDefault="002D3258" w:rsidP="002D3258">
            <w:pPr>
              <w:pStyle w:val="13"/>
              <w:spacing w:line="240" w:lineRule="auto"/>
              <w:ind w:firstLineChars="0" w:firstLine="0"/>
              <w:rPr>
                <w:sz w:val="18"/>
                <w:szCs w:val="18"/>
              </w:rPr>
            </w:pPr>
            <w:r w:rsidRPr="002D3258">
              <w:rPr>
                <w:sz w:val="18"/>
                <w:szCs w:val="18"/>
              </w:rPr>
              <w:t>N35</w:t>
            </w:r>
          </w:p>
        </w:tc>
        <w:tc>
          <w:tcPr>
            <w:tcW w:w="166" w:type="pct"/>
            <w:vMerge/>
            <w:shd w:val="clear" w:color="auto" w:fill="auto"/>
            <w:vAlign w:val="center"/>
            <w:hideMark/>
          </w:tcPr>
          <w:p w14:paraId="18C6FF0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532B0F2"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4BB01FE" w14:textId="77777777" w:rsidR="002D3258" w:rsidRPr="002D3258" w:rsidRDefault="002D3258" w:rsidP="002D3258">
            <w:pPr>
              <w:pStyle w:val="13"/>
              <w:spacing w:line="240" w:lineRule="auto"/>
              <w:ind w:firstLineChars="0" w:firstLine="0"/>
              <w:rPr>
                <w:sz w:val="18"/>
                <w:szCs w:val="18"/>
              </w:rPr>
            </w:pPr>
            <w:r w:rsidRPr="002D3258">
              <w:rPr>
                <w:sz w:val="18"/>
                <w:szCs w:val="18"/>
              </w:rPr>
              <w:t>1.2.11</w:t>
            </w:r>
          </w:p>
        </w:tc>
        <w:tc>
          <w:tcPr>
            <w:tcW w:w="1463" w:type="pct"/>
            <w:shd w:val="clear" w:color="auto" w:fill="auto"/>
            <w:noWrap/>
            <w:vAlign w:val="center"/>
            <w:hideMark/>
          </w:tcPr>
          <w:p w14:paraId="35482B17" w14:textId="77777777" w:rsidR="002D3258" w:rsidRPr="002D3258" w:rsidRDefault="002D3258" w:rsidP="002D3258">
            <w:pPr>
              <w:pStyle w:val="13"/>
              <w:spacing w:line="240" w:lineRule="auto"/>
              <w:ind w:firstLineChars="0" w:firstLine="0"/>
              <w:rPr>
                <w:sz w:val="18"/>
                <w:szCs w:val="18"/>
              </w:rPr>
            </w:pPr>
            <w:r w:rsidRPr="002D3258">
              <w:rPr>
                <w:sz w:val="18"/>
                <w:szCs w:val="18"/>
              </w:rPr>
              <w:t>企业办医疗机构产权转让</w:t>
            </w:r>
          </w:p>
        </w:tc>
        <w:tc>
          <w:tcPr>
            <w:tcW w:w="2063" w:type="pct"/>
            <w:vMerge/>
            <w:shd w:val="clear" w:color="auto" w:fill="auto"/>
            <w:vAlign w:val="center"/>
            <w:hideMark/>
          </w:tcPr>
          <w:p w14:paraId="2CA9E594" w14:textId="77777777" w:rsidR="002D3258" w:rsidRPr="002D3258" w:rsidRDefault="002D3258" w:rsidP="002D3258">
            <w:pPr>
              <w:pStyle w:val="13"/>
              <w:spacing w:line="240" w:lineRule="auto"/>
              <w:ind w:firstLineChars="0" w:firstLine="0"/>
              <w:rPr>
                <w:sz w:val="18"/>
                <w:szCs w:val="18"/>
              </w:rPr>
            </w:pPr>
          </w:p>
        </w:tc>
      </w:tr>
      <w:tr w:rsidR="002D3258" w:rsidRPr="002D3258" w14:paraId="1925638E" w14:textId="77777777" w:rsidTr="002D3258">
        <w:trPr>
          <w:gridAfter w:val="1"/>
          <w:wAfter w:w="11" w:type="pct"/>
          <w:trHeight w:val="283"/>
        </w:trPr>
        <w:tc>
          <w:tcPr>
            <w:tcW w:w="407" w:type="pct"/>
            <w:shd w:val="clear" w:color="auto" w:fill="auto"/>
            <w:noWrap/>
            <w:vAlign w:val="center"/>
            <w:hideMark/>
          </w:tcPr>
          <w:p w14:paraId="7F8F1B54" w14:textId="77777777" w:rsidR="002D3258" w:rsidRPr="002D3258" w:rsidRDefault="002D3258" w:rsidP="002D3258">
            <w:pPr>
              <w:pStyle w:val="13"/>
              <w:spacing w:line="240" w:lineRule="auto"/>
              <w:ind w:firstLineChars="0" w:firstLine="0"/>
              <w:rPr>
                <w:sz w:val="18"/>
                <w:szCs w:val="18"/>
              </w:rPr>
            </w:pPr>
            <w:r w:rsidRPr="002D3258">
              <w:rPr>
                <w:sz w:val="18"/>
                <w:szCs w:val="18"/>
              </w:rPr>
              <w:t>N36</w:t>
            </w:r>
          </w:p>
        </w:tc>
        <w:tc>
          <w:tcPr>
            <w:tcW w:w="166" w:type="pct"/>
            <w:vMerge/>
            <w:shd w:val="clear" w:color="auto" w:fill="auto"/>
            <w:vAlign w:val="center"/>
            <w:hideMark/>
          </w:tcPr>
          <w:p w14:paraId="3018645F"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32CF57EB"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76CB02E" w14:textId="77777777" w:rsidR="002D3258" w:rsidRPr="002D3258" w:rsidRDefault="002D3258" w:rsidP="002D3258">
            <w:pPr>
              <w:pStyle w:val="13"/>
              <w:spacing w:line="240" w:lineRule="auto"/>
              <w:ind w:firstLineChars="0" w:firstLine="0"/>
              <w:rPr>
                <w:sz w:val="18"/>
                <w:szCs w:val="18"/>
              </w:rPr>
            </w:pPr>
            <w:r w:rsidRPr="002D3258">
              <w:rPr>
                <w:sz w:val="18"/>
                <w:szCs w:val="18"/>
              </w:rPr>
              <w:t>1.2.12</w:t>
            </w:r>
          </w:p>
        </w:tc>
        <w:tc>
          <w:tcPr>
            <w:tcW w:w="1463" w:type="pct"/>
            <w:shd w:val="clear" w:color="auto" w:fill="auto"/>
            <w:noWrap/>
            <w:vAlign w:val="center"/>
            <w:hideMark/>
          </w:tcPr>
          <w:p w14:paraId="7FAFBE6E" w14:textId="77777777" w:rsidR="002D3258" w:rsidRPr="002D3258" w:rsidRDefault="002D3258" w:rsidP="002D3258">
            <w:pPr>
              <w:pStyle w:val="13"/>
              <w:spacing w:line="240" w:lineRule="auto"/>
              <w:ind w:firstLineChars="0" w:firstLine="0"/>
              <w:rPr>
                <w:sz w:val="18"/>
                <w:szCs w:val="18"/>
              </w:rPr>
            </w:pPr>
            <w:r w:rsidRPr="002D3258">
              <w:rPr>
                <w:sz w:val="18"/>
                <w:szCs w:val="18"/>
              </w:rPr>
              <w:t>国有企业职工家属区“三供</w:t>
            </w:r>
            <w:proofErr w:type="gramStart"/>
            <w:r w:rsidRPr="002D3258">
              <w:rPr>
                <w:sz w:val="18"/>
                <w:szCs w:val="18"/>
              </w:rPr>
              <w:t>一</w:t>
            </w:r>
            <w:proofErr w:type="gramEnd"/>
            <w:r w:rsidRPr="002D3258">
              <w:rPr>
                <w:sz w:val="18"/>
                <w:szCs w:val="18"/>
              </w:rPr>
              <w:t>业”分离移交</w:t>
            </w:r>
          </w:p>
        </w:tc>
        <w:tc>
          <w:tcPr>
            <w:tcW w:w="2063" w:type="pct"/>
            <w:shd w:val="clear" w:color="auto" w:fill="auto"/>
            <w:vAlign w:val="center"/>
            <w:hideMark/>
          </w:tcPr>
          <w:p w14:paraId="14298D7B" w14:textId="77777777" w:rsidR="002D3258" w:rsidRPr="002D3258" w:rsidRDefault="002D3258" w:rsidP="002D3258">
            <w:pPr>
              <w:pStyle w:val="13"/>
              <w:spacing w:line="240" w:lineRule="auto"/>
              <w:ind w:firstLineChars="0" w:firstLine="0"/>
              <w:rPr>
                <w:sz w:val="18"/>
                <w:szCs w:val="18"/>
              </w:rPr>
            </w:pPr>
            <w:r w:rsidRPr="002D3258">
              <w:rPr>
                <w:sz w:val="18"/>
                <w:szCs w:val="18"/>
              </w:rPr>
              <w:t>《关于国有企业职工家属区“三供一业”分离移交工作的指导意见》（国办发〔2016〕45号）</w:t>
            </w:r>
          </w:p>
        </w:tc>
      </w:tr>
      <w:tr w:rsidR="002D3258" w:rsidRPr="002D3258" w14:paraId="70F06E73" w14:textId="77777777" w:rsidTr="002D3258">
        <w:trPr>
          <w:gridAfter w:val="1"/>
          <w:wAfter w:w="11" w:type="pct"/>
          <w:trHeight w:val="283"/>
        </w:trPr>
        <w:tc>
          <w:tcPr>
            <w:tcW w:w="407" w:type="pct"/>
            <w:shd w:val="clear" w:color="auto" w:fill="auto"/>
            <w:noWrap/>
            <w:vAlign w:val="center"/>
            <w:hideMark/>
          </w:tcPr>
          <w:p w14:paraId="4A68F715" w14:textId="77777777" w:rsidR="002D3258" w:rsidRPr="002D3258" w:rsidRDefault="002D3258" w:rsidP="002D3258">
            <w:pPr>
              <w:pStyle w:val="13"/>
              <w:spacing w:line="240" w:lineRule="auto"/>
              <w:ind w:firstLineChars="0" w:firstLine="0"/>
              <w:rPr>
                <w:sz w:val="18"/>
                <w:szCs w:val="18"/>
              </w:rPr>
            </w:pPr>
            <w:r w:rsidRPr="002D3258">
              <w:rPr>
                <w:sz w:val="18"/>
                <w:szCs w:val="18"/>
              </w:rPr>
              <w:lastRenderedPageBreak/>
              <w:t>N37</w:t>
            </w:r>
          </w:p>
        </w:tc>
        <w:tc>
          <w:tcPr>
            <w:tcW w:w="166" w:type="pct"/>
            <w:vMerge w:val="restart"/>
            <w:shd w:val="clear" w:color="auto" w:fill="auto"/>
            <w:noWrap/>
            <w:vAlign w:val="center"/>
            <w:hideMark/>
          </w:tcPr>
          <w:p w14:paraId="37DBB8D2" w14:textId="77777777" w:rsidR="002D3258" w:rsidRPr="002D3258" w:rsidRDefault="002D3258" w:rsidP="002D3258">
            <w:pPr>
              <w:pStyle w:val="13"/>
              <w:spacing w:line="240" w:lineRule="auto"/>
              <w:ind w:firstLineChars="0" w:firstLine="0"/>
              <w:rPr>
                <w:sz w:val="18"/>
                <w:szCs w:val="18"/>
              </w:rPr>
            </w:pPr>
            <w:r w:rsidRPr="002D3258">
              <w:rPr>
                <w:sz w:val="18"/>
                <w:szCs w:val="18"/>
              </w:rPr>
              <w:t>1.3</w:t>
            </w:r>
          </w:p>
        </w:tc>
        <w:tc>
          <w:tcPr>
            <w:tcW w:w="407" w:type="pct"/>
            <w:vMerge w:val="restart"/>
            <w:shd w:val="clear" w:color="auto" w:fill="auto"/>
            <w:noWrap/>
            <w:vAlign w:val="center"/>
            <w:hideMark/>
          </w:tcPr>
          <w:p w14:paraId="034E221D" w14:textId="77777777" w:rsidR="002D3258" w:rsidRPr="002D3258" w:rsidRDefault="002D3258" w:rsidP="002D3258">
            <w:pPr>
              <w:pStyle w:val="13"/>
              <w:spacing w:line="240" w:lineRule="auto"/>
              <w:ind w:firstLineChars="0" w:firstLine="0"/>
              <w:rPr>
                <w:sz w:val="18"/>
                <w:szCs w:val="18"/>
              </w:rPr>
            </w:pPr>
            <w:r w:rsidRPr="002D3258">
              <w:rPr>
                <w:sz w:val="18"/>
                <w:szCs w:val="18"/>
              </w:rPr>
              <w:t>国有金融企业</w:t>
            </w:r>
          </w:p>
        </w:tc>
        <w:tc>
          <w:tcPr>
            <w:tcW w:w="484" w:type="pct"/>
            <w:shd w:val="clear" w:color="auto" w:fill="auto"/>
            <w:noWrap/>
            <w:vAlign w:val="center"/>
            <w:hideMark/>
          </w:tcPr>
          <w:p w14:paraId="677F737F" w14:textId="77777777" w:rsidR="002D3258" w:rsidRPr="002D3258" w:rsidRDefault="002D3258" w:rsidP="002D3258">
            <w:pPr>
              <w:pStyle w:val="13"/>
              <w:spacing w:line="240" w:lineRule="auto"/>
              <w:ind w:firstLineChars="0" w:firstLine="0"/>
              <w:rPr>
                <w:sz w:val="18"/>
                <w:szCs w:val="18"/>
              </w:rPr>
            </w:pPr>
            <w:r w:rsidRPr="002D3258">
              <w:rPr>
                <w:sz w:val="18"/>
                <w:szCs w:val="18"/>
              </w:rPr>
              <w:t>1.3.1</w:t>
            </w:r>
          </w:p>
        </w:tc>
        <w:tc>
          <w:tcPr>
            <w:tcW w:w="1463" w:type="pct"/>
            <w:shd w:val="clear" w:color="auto" w:fill="auto"/>
            <w:noWrap/>
            <w:vAlign w:val="center"/>
            <w:hideMark/>
          </w:tcPr>
          <w:p w14:paraId="1F7EBB7D" w14:textId="77777777" w:rsidR="002D3258" w:rsidRPr="002D3258" w:rsidRDefault="002D3258" w:rsidP="002D3258">
            <w:pPr>
              <w:pStyle w:val="13"/>
              <w:spacing w:line="240" w:lineRule="auto"/>
              <w:ind w:firstLineChars="0" w:firstLine="0"/>
              <w:rPr>
                <w:sz w:val="18"/>
                <w:szCs w:val="18"/>
              </w:rPr>
            </w:pPr>
            <w:r w:rsidRPr="002D3258">
              <w:rPr>
                <w:sz w:val="18"/>
                <w:szCs w:val="18"/>
              </w:rPr>
              <w:t>国有金融企业直接股权投资</w:t>
            </w:r>
          </w:p>
        </w:tc>
        <w:tc>
          <w:tcPr>
            <w:tcW w:w="2063" w:type="pct"/>
            <w:shd w:val="clear" w:color="auto" w:fill="auto"/>
            <w:vAlign w:val="center"/>
            <w:hideMark/>
          </w:tcPr>
          <w:p w14:paraId="5BEB678D" w14:textId="77777777" w:rsidR="002D3258" w:rsidRPr="002D3258" w:rsidRDefault="002D3258" w:rsidP="002D3258">
            <w:pPr>
              <w:pStyle w:val="13"/>
              <w:spacing w:line="240" w:lineRule="auto"/>
              <w:ind w:firstLineChars="0" w:firstLine="0"/>
              <w:rPr>
                <w:sz w:val="18"/>
                <w:szCs w:val="18"/>
              </w:rPr>
            </w:pPr>
            <w:r w:rsidRPr="002D3258">
              <w:rPr>
                <w:sz w:val="18"/>
                <w:szCs w:val="18"/>
              </w:rPr>
              <w:t>《关于进一步明确国有金融企业直接股权投资有关资产管理问题的通知》（财金〔2014〕31号）</w:t>
            </w:r>
          </w:p>
        </w:tc>
      </w:tr>
      <w:tr w:rsidR="002D3258" w:rsidRPr="002D3258" w14:paraId="4CCFA9EB" w14:textId="77777777" w:rsidTr="002D3258">
        <w:trPr>
          <w:gridAfter w:val="1"/>
          <w:wAfter w:w="11" w:type="pct"/>
          <w:trHeight w:val="283"/>
        </w:trPr>
        <w:tc>
          <w:tcPr>
            <w:tcW w:w="407" w:type="pct"/>
            <w:shd w:val="clear" w:color="auto" w:fill="auto"/>
            <w:noWrap/>
            <w:vAlign w:val="center"/>
            <w:hideMark/>
          </w:tcPr>
          <w:p w14:paraId="52CA3700" w14:textId="77777777" w:rsidR="002D3258" w:rsidRPr="002D3258" w:rsidRDefault="002D3258" w:rsidP="002D3258">
            <w:pPr>
              <w:pStyle w:val="13"/>
              <w:spacing w:line="240" w:lineRule="auto"/>
              <w:ind w:firstLineChars="0" w:firstLine="0"/>
              <w:rPr>
                <w:sz w:val="18"/>
                <w:szCs w:val="18"/>
              </w:rPr>
            </w:pPr>
            <w:r w:rsidRPr="002D3258">
              <w:rPr>
                <w:sz w:val="18"/>
                <w:szCs w:val="18"/>
              </w:rPr>
              <w:t>N38</w:t>
            </w:r>
          </w:p>
        </w:tc>
        <w:tc>
          <w:tcPr>
            <w:tcW w:w="166" w:type="pct"/>
            <w:vMerge/>
            <w:shd w:val="clear" w:color="auto" w:fill="auto"/>
            <w:vAlign w:val="center"/>
            <w:hideMark/>
          </w:tcPr>
          <w:p w14:paraId="32ACD357"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B34905E"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A931EDF" w14:textId="77777777" w:rsidR="002D3258" w:rsidRPr="002D3258" w:rsidRDefault="002D3258" w:rsidP="002D3258">
            <w:pPr>
              <w:pStyle w:val="13"/>
              <w:spacing w:line="240" w:lineRule="auto"/>
              <w:ind w:firstLineChars="0" w:firstLine="0"/>
              <w:rPr>
                <w:sz w:val="18"/>
                <w:szCs w:val="18"/>
              </w:rPr>
            </w:pPr>
            <w:r w:rsidRPr="002D3258">
              <w:rPr>
                <w:sz w:val="18"/>
                <w:szCs w:val="18"/>
              </w:rPr>
              <w:t>1.3.2</w:t>
            </w:r>
          </w:p>
        </w:tc>
        <w:tc>
          <w:tcPr>
            <w:tcW w:w="1463" w:type="pct"/>
            <w:shd w:val="clear" w:color="auto" w:fill="auto"/>
            <w:noWrap/>
            <w:vAlign w:val="center"/>
            <w:hideMark/>
          </w:tcPr>
          <w:p w14:paraId="191417BF" w14:textId="77777777" w:rsidR="002D3258" w:rsidRPr="002D3258" w:rsidRDefault="002D3258" w:rsidP="002D3258">
            <w:pPr>
              <w:pStyle w:val="13"/>
              <w:spacing w:line="240" w:lineRule="auto"/>
              <w:ind w:firstLineChars="0" w:firstLine="0"/>
              <w:rPr>
                <w:sz w:val="18"/>
                <w:szCs w:val="18"/>
              </w:rPr>
            </w:pPr>
            <w:r w:rsidRPr="002D3258">
              <w:rPr>
                <w:sz w:val="18"/>
                <w:szCs w:val="18"/>
              </w:rPr>
              <w:t>市场化银行债权转股权</w:t>
            </w:r>
          </w:p>
        </w:tc>
        <w:tc>
          <w:tcPr>
            <w:tcW w:w="2063" w:type="pct"/>
            <w:shd w:val="clear" w:color="auto" w:fill="auto"/>
            <w:vAlign w:val="center"/>
            <w:hideMark/>
          </w:tcPr>
          <w:p w14:paraId="32DFBFD9" w14:textId="77777777" w:rsidR="002D3258" w:rsidRPr="002D3258" w:rsidRDefault="002D3258" w:rsidP="002D3258">
            <w:pPr>
              <w:pStyle w:val="13"/>
              <w:spacing w:line="240" w:lineRule="auto"/>
              <w:ind w:firstLineChars="0" w:firstLine="0"/>
              <w:rPr>
                <w:sz w:val="18"/>
                <w:szCs w:val="18"/>
              </w:rPr>
            </w:pPr>
            <w:r w:rsidRPr="002D3258">
              <w:rPr>
                <w:sz w:val="18"/>
                <w:szCs w:val="18"/>
              </w:rPr>
              <w:t>（1）《关于市场化银行债权转股权实施中有关具体政策问题的通知》（</w:t>
            </w:r>
            <w:proofErr w:type="gramStart"/>
            <w:r w:rsidRPr="002D3258">
              <w:rPr>
                <w:sz w:val="18"/>
                <w:szCs w:val="18"/>
              </w:rPr>
              <w:t>发改财金</w:t>
            </w:r>
            <w:proofErr w:type="gramEnd"/>
            <w:r w:rsidRPr="002D3258">
              <w:rPr>
                <w:sz w:val="18"/>
                <w:szCs w:val="18"/>
              </w:rPr>
              <w:t>〔2018〕152号）；</w:t>
            </w:r>
            <w:r w:rsidRPr="002D3258">
              <w:rPr>
                <w:sz w:val="18"/>
                <w:szCs w:val="18"/>
              </w:rPr>
              <w:br/>
              <w:t>（2）《金融资产投资公司管理办法（试行）》（银保监会令〔2018〕4号）。</w:t>
            </w:r>
          </w:p>
        </w:tc>
      </w:tr>
      <w:tr w:rsidR="002D3258" w:rsidRPr="002D3258" w14:paraId="3C01E3A4" w14:textId="77777777" w:rsidTr="002D3258">
        <w:trPr>
          <w:gridAfter w:val="1"/>
          <w:wAfter w:w="11" w:type="pct"/>
          <w:trHeight w:val="283"/>
        </w:trPr>
        <w:tc>
          <w:tcPr>
            <w:tcW w:w="407" w:type="pct"/>
            <w:shd w:val="clear" w:color="auto" w:fill="auto"/>
            <w:noWrap/>
            <w:vAlign w:val="center"/>
            <w:hideMark/>
          </w:tcPr>
          <w:p w14:paraId="55B67E27" w14:textId="77777777" w:rsidR="002D3258" w:rsidRPr="002D3258" w:rsidRDefault="002D3258" w:rsidP="002D3258">
            <w:pPr>
              <w:pStyle w:val="13"/>
              <w:spacing w:line="240" w:lineRule="auto"/>
              <w:ind w:firstLineChars="0" w:firstLine="0"/>
              <w:rPr>
                <w:sz w:val="18"/>
                <w:szCs w:val="18"/>
              </w:rPr>
            </w:pPr>
            <w:r w:rsidRPr="002D3258">
              <w:rPr>
                <w:sz w:val="18"/>
                <w:szCs w:val="18"/>
              </w:rPr>
              <w:t>N39</w:t>
            </w:r>
          </w:p>
        </w:tc>
        <w:tc>
          <w:tcPr>
            <w:tcW w:w="166" w:type="pct"/>
            <w:vMerge w:val="restart"/>
            <w:shd w:val="clear" w:color="auto" w:fill="auto"/>
            <w:noWrap/>
            <w:vAlign w:val="center"/>
            <w:hideMark/>
          </w:tcPr>
          <w:p w14:paraId="55127994" w14:textId="77777777" w:rsidR="002D3258" w:rsidRPr="002D3258" w:rsidRDefault="002D3258" w:rsidP="002D3258">
            <w:pPr>
              <w:pStyle w:val="13"/>
              <w:spacing w:line="240" w:lineRule="auto"/>
              <w:ind w:firstLineChars="0" w:firstLine="0"/>
              <w:rPr>
                <w:sz w:val="18"/>
                <w:szCs w:val="18"/>
              </w:rPr>
            </w:pPr>
            <w:r w:rsidRPr="002D3258">
              <w:rPr>
                <w:sz w:val="18"/>
                <w:szCs w:val="18"/>
              </w:rPr>
              <w:t>1.4</w:t>
            </w:r>
          </w:p>
        </w:tc>
        <w:tc>
          <w:tcPr>
            <w:tcW w:w="407" w:type="pct"/>
            <w:vMerge w:val="restart"/>
            <w:shd w:val="clear" w:color="auto" w:fill="auto"/>
            <w:noWrap/>
            <w:vAlign w:val="center"/>
            <w:hideMark/>
          </w:tcPr>
          <w:p w14:paraId="40CF13AF" w14:textId="77777777" w:rsidR="002D3258" w:rsidRPr="002D3258" w:rsidRDefault="002D3258" w:rsidP="002D3258">
            <w:pPr>
              <w:pStyle w:val="13"/>
              <w:spacing w:line="240" w:lineRule="auto"/>
              <w:ind w:firstLineChars="0" w:firstLine="0"/>
              <w:rPr>
                <w:sz w:val="18"/>
                <w:szCs w:val="18"/>
              </w:rPr>
            </w:pPr>
            <w:r w:rsidRPr="002D3258">
              <w:rPr>
                <w:sz w:val="18"/>
                <w:szCs w:val="18"/>
              </w:rPr>
              <w:t>中央文化企业</w:t>
            </w:r>
          </w:p>
        </w:tc>
        <w:tc>
          <w:tcPr>
            <w:tcW w:w="484" w:type="pct"/>
            <w:shd w:val="clear" w:color="auto" w:fill="auto"/>
            <w:noWrap/>
            <w:vAlign w:val="center"/>
            <w:hideMark/>
          </w:tcPr>
          <w:p w14:paraId="6332F025" w14:textId="77777777" w:rsidR="002D3258" w:rsidRPr="002D3258" w:rsidRDefault="002D3258" w:rsidP="002D3258">
            <w:pPr>
              <w:pStyle w:val="13"/>
              <w:spacing w:line="240" w:lineRule="auto"/>
              <w:ind w:firstLineChars="0" w:firstLine="0"/>
              <w:rPr>
                <w:sz w:val="18"/>
                <w:szCs w:val="18"/>
              </w:rPr>
            </w:pPr>
            <w:r w:rsidRPr="002D3258">
              <w:rPr>
                <w:sz w:val="18"/>
                <w:szCs w:val="18"/>
              </w:rPr>
              <w:t>1.4.1</w:t>
            </w:r>
          </w:p>
        </w:tc>
        <w:tc>
          <w:tcPr>
            <w:tcW w:w="1463" w:type="pct"/>
            <w:shd w:val="clear" w:color="auto" w:fill="auto"/>
            <w:noWrap/>
            <w:vAlign w:val="center"/>
            <w:hideMark/>
          </w:tcPr>
          <w:p w14:paraId="3433B7E6" w14:textId="77777777" w:rsidR="002D3258" w:rsidRPr="002D3258" w:rsidRDefault="002D3258" w:rsidP="002D3258">
            <w:pPr>
              <w:pStyle w:val="13"/>
              <w:spacing w:line="240" w:lineRule="auto"/>
              <w:ind w:firstLineChars="0" w:firstLine="0"/>
              <w:rPr>
                <w:sz w:val="18"/>
                <w:szCs w:val="18"/>
              </w:rPr>
            </w:pPr>
            <w:r w:rsidRPr="002D3258">
              <w:rPr>
                <w:sz w:val="18"/>
                <w:szCs w:val="18"/>
              </w:rPr>
              <w:t>经营性文化事业单位转制为企业</w:t>
            </w:r>
          </w:p>
        </w:tc>
        <w:tc>
          <w:tcPr>
            <w:tcW w:w="2063" w:type="pct"/>
            <w:vMerge w:val="restart"/>
            <w:shd w:val="clear" w:color="auto" w:fill="auto"/>
            <w:vAlign w:val="center"/>
            <w:hideMark/>
          </w:tcPr>
          <w:p w14:paraId="3F22C114" w14:textId="77777777" w:rsidR="002D3258" w:rsidRPr="002D3258" w:rsidRDefault="002D3258" w:rsidP="002D3258">
            <w:pPr>
              <w:pStyle w:val="13"/>
              <w:spacing w:line="240" w:lineRule="auto"/>
              <w:ind w:firstLineChars="0" w:firstLine="0"/>
              <w:rPr>
                <w:sz w:val="18"/>
                <w:szCs w:val="18"/>
              </w:rPr>
            </w:pPr>
            <w:r w:rsidRPr="002D3258">
              <w:rPr>
                <w:sz w:val="18"/>
                <w:szCs w:val="18"/>
              </w:rPr>
              <w:t>（1）《中央文化企业国有资产评估管理暂行办法》（</w:t>
            </w:r>
            <w:proofErr w:type="gramStart"/>
            <w:r w:rsidRPr="002D3258">
              <w:rPr>
                <w:sz w:val="18"/>
                <w:szCs w:val="18"/>
              </w:rPr>
              <w:t>财文资〔2012〕</w:t>
            </w:r>
            <w:proofErr w:type="gramEnd"/>
            <w:r w:rsidRPr="002D3258">
              <w:rPr>
                <w:sz w:val="18"/>
                <w:szCs w:val="18"/>
              </w:rPr>
              <w:t>15号）;</w:t>
            </w:r>
          </w:p>
          <w:p w14:paraId="335603E4" w14:textId="77777777" w:rsidR="002D3258" w:rsidRPr="002D3258" w:rsidRDefault="002D3258" w:rsidP="002D3258">
            <w:pPr>
              <w:pStyle w:val="13"/>
              <w:spacing w:line="240" w:lineRule="auto"/>
              <w:ind w:firstLineChars="0" w:firstLine="0"/>
              <w:rPr>
                <w:sz w:val="18"/>
                <w:szCs w:val="18"/>
              </w:rPr>
            </w:pPr>
            <w:r w:rsidRPr="002D3258">
              <w:rPr>
                <w:sz w:val="18"/>
                <w:szCs w:val="18"/>
              </w:rPr>
              <w:t>（2）《关于印发文化体制改革中经营性文化事业单位转制为企业和进一步支持文化企业发展两个规定的通知》（国办发〔2014〕15号）；</w:t>
            </w:r>
          </w:p>
          <w:p w14:paraId="05E023B0" w14:textId="77777777" w:rsidR="002D3258" w:rsidRPr="002D3258" w:rsidRDefault="002D3258" w:rsidP="002D3258">
            <w:pPr>
              <w:pStyle w:val="13"/>
              <w:spacing w:line="240" w:lineRule="auto"/>
              <w:ind w:firstLineChars="0" w:firstLine="0"/>
              <w:rPr>
                <w:sz w:val="18"/>
                <w:szCs w:val="18"/>
              </w:rPr>
            </w:pPr>
            <w:r w:rsidRPr="002D3258">
              <w:rPr>
                <w:sz w:val="18"/>
                <w:szCs w:val="18"/>
              </w:rPr>
              <w:t>（3）《中央文化企业国有资产监督管理暂行办法》（中宣发〔2017〕3号）；</w:t>
            </w:r>
          </w:p>
          <w:p w14:paraId="02C5D2F6" w14:textId="77777777" w:rsidR="002D3258" w:rsidRPr="002D3258" w:rsidRDefault="002D3258" w:rsidP="002D3258">
            <w:pPr>
              <w:pStyle w:val="13"/>
              <w:spacing w:line="240" w:lineRule="auto"/>
              <w:ind w:firstLineChars="0" w:firstLine="0"/>
              <w:rPr>
                <w:sz w:val="18"/>
                <w:szCs w:val="18"/>
              </w:rPr>
            </w:pPr>
            <w:r w:rsidRPr="002D3258">
              <w:rPr>
                <w:sz w:val="18"/>
                <w:szCs w:val="18"/>
              </w:rPr>
              <w:t>（4）《关于中央文化企业公司制改制工作实施方案的通知》（财文〔2018〕6号）；</w:t>
            </w:r>
          </w:p>
          <w:p w14:paraId="7A3AC76F" w14:textId="77777777" w:rsidR="002D3258" w:rsidRPr="002D3258" w:rsidRDefault="002D3258" w:rsidP="002D3258">
            <w:pPr>
              <w:pStyle w:val="13"/>
              <w:spacing w:line="240" w:lineRule="auto"/>
              <w:ind w:firstLineChars="0" w:firstLine="0"/>
              <w:rPr>
                <w:sz w:val="18"/>
                <w:szCs w:val="18"/>
              </w:rPr>
            </w:pPr>
            <w:r w:rsidRPr="002D3258">
              <w:rPr>
                <w:sz w:val="18"/>
                <w:szCs w:val="18"/>
              </w:rPr>
              <w:t>（5）《关于进一步规范中央文化企业国有资产交易管理的通知》（财文〔2017〕140号）。</w:t>
            </w:r>
          </w:p>
        </w:tc>
      </w:tr>
      <w:tr w:rsidR="002D3258" w:rsidRPr="002D3258" w14:paraId="26B2980D" w14:textId="77777777" w:rsidTr="002D3258">
        <w:trPr>
          <w:gridAfter w:val="1"/>
          <w:wAfter w:w="11" w:type="pct"/>
          <w:trHeight w:val="283"/>
        </w:trPr>
        <w:tc>
          <w:tcPr>
            <w:tcW w:w="407" w:type="pct"/>
            <w:shd w:val="clear" w:color="auto" w:fill="auto"/>
            <w:noWrap/>
            <w:vAlign w:val="center"/>
            <w:hideMark/>
          </w:tcPr>
          <w:p w14:paraId="2F86CDCA" w14:textId="77777777" w:rsidR="002D3258" w:rsidRPr="002D3258" w:rsidRDefault="002D3258" w:rsidP="002D3258">
            <w:pPr>
              <w:pStyle w:val="13"/>
              <w:spacing w:line="240" w:lineRule="auto"/>
              <w:ind w:firstLineChars="0" w:firstLine="0"/>
              <w:rPr>
                <w:sz w:val="18"/>
                <w:szCs w:val="18"/>
              </w:rPr>
            </w:pPr>
            <w:r w:rsidRPr="002D3258">
              <w:rPr>
                <w:sz w:val="18"/>
                <w:szCs w:val="18"/>
              </w:rPr>
              <w:t>N40</w:t>
            </w:r>
          </w:p>
        </w:tc>
        <w:tc>
          <w:tcPr>
            <w:tcW w:w="166" w:type="pct"/>
            <w:vMerge/>
            <w:shd w:val="clear" w:color="auto" w:fill="auto"/>
            <w:vAlign w:val="center"/>
            <w:hideMark/>
          </w:tcPr>
          <w:p w14:paraId="6191959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924F8E8"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A6DAC75" w14:textId="77777777" w:rsidR="002D3258" w:rsidRPr="002D3258" w:rsidRDefault="002D3258" w:rsidP="002D3258">
            <w:pPr>
              <w:pStyle w:val="13"/>
              <w:spacing w:line="240" w:lineRule="auto"/>
              <w:ind w:firstLineChars="0" w:firstLine="0"/>
              <w:rPr>
                <w:sz w:val="18"/>
                <w:szCs w:val="18"/>
              </w:rPr>
            </w:pPr>
            <w:r w:rsidRPr="002D3258">
              <w:rPr>
                <w:sz w:val="18"/>
                <w:szCs w:val="18"/>
              </w:rPr>
              <w:t>1.4.2</w:t>
            </w:r>
          </w:p>
        </w:tc>
        <w:tc>
          <w:tcPr>
            <w:tcW w:w="1463" w:type="pct"/>
            <w:shd w:val="clear" w:color="auto" w:fill="auto"/>
            <w:noWrap/>
            <w:vAlign w:val="center"/>
            <w:hideMark/>
          </w:tcPr>
          <w:p w14:paraId="2C7DC59E" w14:textId="77777777" w:rsidR="002D3258" w:rsidRPr="002D3258" w:rsidRDefault="002D3258" w:rsidP="002D3258">
            <w:pPr>
              <w:pStyle w:val="13"/>
              <w:spacing w:line="240" w:lineRule="auto"/>
              <w:ind w:firstLineChars="0" w:firstLine="0"/>
              <w:rPr>
                <w:sz w:val="18"/>
                <w:szCs w:val="18"/>
              </w:rPr>
            </w:pPr>
            <w:r w:rsidRPr="002D3258">
              <w:rPr>
                <w:sz w:val="18"/>
                <w:szCs w:val="18"/>
              </w:rPr>
              <w:t>中央文化企业改制</w:t>
            </w:r>
          </w:p>
        </w:tc>
        <w:tc>
          <w:tcPr>
            <w:tcW w:w="2063" w:type="pct"/>
            <w:vMerge/>
            <w:shd w:val="clear" w:color="auto" w:fill="auto"/>
            <w:vAlign w:val="center"/>
            <w:hideMark/>
          </w:tcPr>
          <w:p w14:paraId="70131251" w14:textId="77777777" w:rsidR="002D3258" w:rsidRPr="002D3258" w:rsidRDefault="002D3258" w:rsidP="002D3258">
            <w:pPr>
              <w:pStyle w:val="13"/>
              <w:spacing w:line="240" w:lineRule="auto"/>
              <w:ind w:firstLineChars="0" w:firstLine="0"/>
              <w:rPr>
                <w:sz w:val="18"/>
                <w:szCs w:val="18"/>
              </w:rPr>
            </w:pPr>
          </w:p>
        </w:tc>
      </w:tr>
      <w:tr w:rsidR="002D3258" w:rsidRPr="002D3258" w14:paraId="4D1F50EA" w14:textId="77777777" w:rsidTr="002D3258">
        <w:trPr>
          <w:gridAfter w:val="1"/>
          <w:wAfter w:w="11" w:type="pct"/>
          <w:trHeight w:val="283"/>
        </w:trPr>
        <w:tc>
          <w:tcPr>
            <w:tcW w:w="407" w:type="pct"/>
            <w:shd w:val="clear" w:color="auto" w:fill="auto"/>
            <w:noWrap/>
            <w:vAlign w:val="center"/>
            <w:hideMark/>
          </w:tcPr>
          <w:p w14:paraId="2C7FF07B" w14:textId="77777777" w:rsidR="002D3258" w:rsidRPr="002D3258" w:rsidRDefault="002D3258" w:rsidP="002D3258">
            <w:pPr>
              <w:pStyle w:val="13"/>
              <w:spacing w:line="240" w:lineRule="auto"/>
              <w:ind w:firstLineChars="0" w:firstLine="0"/>
              <w:rPr>
                <w:sz w:val="18"/>
                <w:szCs w:val="18"/>
              </w:rPr>
            </w:pPr>
            <w:r w:rsidRPr="002D3258">
              <w:rPr>
                <w:sz w:val="18"/>
                <w:szCs w:val="18"/>
              </w:rPr>
              <w:t>N41</w:t>
            </w:r>
          </w:p>
        </w:tc>
        <w:tc>
          <w:tcPr>
            <w:tcW w:w="166" w:type="pct"/>
            <w:vMerge/>
            <w:shd w:val="clear" w:color="auto" w:fill="auto"/>
            <w:vAlign w:val="center"/>
            <w:hideMark/>
          </w:tcPr>
          <w:p w14:paraId="43397CA5"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F6F973E"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709DC12" w14:textId="77777777" w:rsidR="002D3258" w:rsidRPr="002D3258" w:rsidRDefault="002D3258" w:rsidP="002D3258">
            <w:pPr>
              <w:pStyle w:val="13"/>
              <w:spacing w:line="240" w:lineRule="auto"/>
              <w:ind w:firstLineChars="0" w:firstLine="0"/>
              <w:rPr>
                <w:sz w:val="18"/>
                <w:szCs w:val="18"/>
              </w:rPr>
            </w:pPr>
            <w:r w:rsidRPr="002D3258">
              <w:rPr>
                <w:sz w:val="18"/>
                <w:szCs w:val="18"/>
              </w:rPr>
              <w:t>1.4.3</w:t>
            </w:r>
          </w:p>
        </w:tc>
        <w:tc>
          <w:tcPr>
            <w:tcW w:w="1463" w:type="pct"/>
            <w:shd w:val="clear" w:color="auto" w:fill="auto"/>
            <w:noWrap/>
            <w:vAlign w:val="center"/>
            <w:hideMark/>
          </w:tcPr>
          <w:p w14:paraId="604C815E" w14:textId="77777777" w:rsidR="002D3258" w:rsidRPr="002D3258" w:rsidRDefault="002D3258" w:rsidP="002D3258">
            <w:pPr>
              <w:pStyle w:val="13"/>
              <w:spacing w:line="240" w:lineRule="auto"/>
              <w:ind w:firstLineChars="0" w:firstLine="0"/>
              <w:rPr>
                <w:sz w:val="18"/>
                <w:szCs w:val="18"/>
              </w:rPr>
            </w:pPr>
            <w:r w:rsidRPr="002D3258">
              <w:rPr>
                <w:sz w:val="18"/>
                <w:szCs w:val="18"/>
              </w:rPr>
              <w:t>中央文化企业产权转让</w:t>
            </w:r>
          </w:p>
        </w:tc>
        <w:tc>
          <w:tcPr>
            <w:tcW w:w="2063" w:type="pct"/>
            <w:vMerge/>
            <w:shd w:val="clear" w:color="auto" w:fill="auto"/>
            <w:vAlign w:val="center"/>
            <w:hideMark/>
          </w:tcPr>
          <w:p w14:paraId="720BE363" w14:textId="77777777" w:rsidR="002D3258" w:rsidRPr="002D3258" w:rsidRDefault="002D3258" w:rsidP="002D3258">
            <w:pPr>
              <w:pStyle w:val="13"/>
              <w:spacing w:line="240" w:lineRule="auto"/>
              <w:ind w:firstLineChars="0" w:firstLine="0"/>
              <w:rPr>
                <w:sz w:val="18"/>
                <w:szCs w:val="18"/>
              </w:rPr>
            </w:pPr>
          </w:p>
        </w:tc>
      </w:tr>
      <w:tr w:rsidR="002D3258" w:rsidRPr="002D3258" w14:paraId="64890756" w14:textId="77777777" w:rsidTr="002D3258">
        <w:trPr>
          <w:gridAfter w:val="1"/>
          <w:wAfter w:w="11" w:type="pct"/>
          <w:trHeight w:val="283"/>
        </w:trPr>
        <w:tc>
          <w:tcPr>
            <w:tcW w:w="407" w:type="pct"/>
            <w:shd w:val="clear" w:color="auto" w:fill="auto"/>
            <w:noWrap/>
            <w:vAlign w:val="center"/>
            <w:hideMark/>
          </w:tcPr>
          <w:p w14:paraId="456FF5E7" w14:textId="77777777" w:rsidR="002D3258" w:rsidRPr="002D3258" w:rsidRDefault="002D3258" w:rsidP="002D3258">
            <w:pPr>
              <w:pStyle w:val="13"/>
              <w:spacing w:line="240" w:lineRule="auto"/>
              <w:ind w:firstLineChars="0" w:firstLine="0"/>
              <w:rPr>
                <w:sz w:val="18"/>
                <w:szCs w:val="18"/>
              </w:rPr>
            </w:pPr>
            <w:r w:rsidRPr="002D3258">
              <w:rPr>
                <w:sz w:val="18"/>
                <w:szCs w:val="18"/>
              </w:rPr>
              <w:t>N42</w:t>
            </w:r>
          </w:p>
        </w:tc>
        <w:tc>
          <w:tcPr>
            <w:tcW w:w="166" w:type="pct"/>
            <w:vMerge/>
            <w:shd w:val="clear" w:color="auto" w:fill="auto"/>
            <w:vAlign w:val="center"/>
            <w:hideMark/>
          </w:tcPr>
          <w:p w14:paraId="7339710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DB2697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084FC88" w14:textId="77777777" w:rsidR="002D3258" w:rsidRPr="002D3258" w:rsidRDefault="002D3258" w:rsidP="002D3258">
            <w:pPr>
              <w:pStyle w:val="13"/>
              <w:spacing w:line="240" w:lineRule="auto"/>
              <w:ind w:firstLineChars="0" w:firstLine="0"/>
              <w:rPr>
                <w:sz w:val="18"/>
                <w:szCs w:val="18"/>
              </w:rPr>
            </w:pPr>
            <w:r w:rsidRPr="002D3258">
              <w:rPr>
                <w:sz w:val="18"/>
                <w:szCs w:val="18"/>
              </w:rPr>
              <w:t>1.4.4</w:t>
            </w:r>
          </w:p>
        </w:tc>
        <w:tc>
          <w:tcPr>
            <w:tcW w:w="1463" w:type="pct"/>
            <w:shd w:val="clear" w:color="auto" w:fill="auto"/>
            <w:noWrap/>
            <w:vAlign w:val="center"/>
            <w:hideMark/>
          </w:tcPr>
          <w:p w14:paraId="48D8C273" w14:textId="77777777" w:rsidR="002D3258" w:rsidRPr="002D3258" w:rsidRDefault="002D3258" w:rsidP="002D3258">
            <w:pPr>
              <w:pStyle w:val="13"/>
              <w:spacing w:line="240" w:lineRule="auto"/>
              <w:ind w:firstLineChars="0" w:firstLine="0"/>
              <w:rPr>
                <w:sz w:val="18"/>
                <w:szCs w:val="18"/>
              </w:rPr>
            </w:pPr>
            <w:r w:rsidRPr="002D3258">
              <w:rPr>
                <w:sz w:val="18"/>
                <w:szCs w:val="18"/>
              </w:rPr>
              <w:t>中央文化企业增资</w:t>
            </w:r>
          </w:p>
        </w:tc>
        <w:tc>
          <w:tcPr>
            <w:tcW w:w="2063" w:type="pct"/>
            <w:vMerge/>
            <w:shd w:val="clear" w:color="auto" w:fill="auto"/>
            <w:vAlign w:val="center"/>
            <w:hideMark/>
          </w:tcPr>
          <w:p w14:paraId="3EA895D6" w14:textId="77777777" w:rsidR="002D3258" w:rsidRPr="002D3258" w:rsidRDefault="002D3258" w:rsidP="002D3258">
            <w:pPr>
              <w:pStyle w:val="13"/>
              <w:spacing w:line="240" w:lineRule="auto"/>
              <w:ind w:firstLineChars="0" w:firstLine="0"/>
              <w:rPr>
                <w:sz w:val="18"/>
                <w:szCs w:val="18"/>
              </w:rPr>
            </w:pPr>
          </w:p>
        </w:tc>
      </w:tr>
      <w:tr w:rsidR="002D3258" w:rsidRPr="002D3258" w14:paraId="0BE7BF62" w14:textId="77777777" w:rsidTr="002D3258">
        <w:trPr>
          <w:gridAfter w:val="1"/>
          <w:wAfter w:w="11" w:type="pct"/>
          <w:trHeight w:val="1192"/>
        </w:trPr>
        <w:tc>
          <w:tcPr>
            <w:tcW w:w="407" w:type="pct"/>
            <w:shd w:val="clear" w:color="auto" w:fill="auto"/>
            <w:noWrap/>
            <w:vAlign w:val="center"/>
            <w:hideMark/>
          </w:tcPr>
          <w:p w14:paraId="77EB4ADA" w14:textId="77777777" w:rsidR="002D3258" w:rsidRPr="002D3258" w:rsidRDefault="002D3258" w:rsidP="002D3258">
            <w:pPr>
              <w:pStyle w:val="13"/>
              <w:spacing w:line="240" w:lineRule="auto"/>
              <w:ind w:firstLineChars="0" w:firstLine="0"/>
              <w:rPr>
                <w:sz w:val="18"/>
                <w:szCs w:val="18"/>
              </w:rPr>
            </w:pPr>
            <w:r w:rsidRPr="002D3258">
              <w:rPr>
                <w:sz w:val="18"/>
                <w:szCs w:val="18"/>
              </w:rPr>
              <w:t>N43</w:t>
            </w:r>
          </w:p>
        </w:tc>
        <w:tc>
          <w:tcPr>
            <w:tcW w:w="166" w:type="pct"/>
            <w:vMerge/>
            <w:shd w:val="clear" w:color="auto" w:fill="auto"/>
            <w:vAlign w:val="center"/>
            <w:hideMark/>
          </w:tcPr>
          <w:p w14:paraId="18A37A85"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29FF464"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D6F8362" w14:textId="77777777" w:rsidR="002D3258" w:rsidRPr="002D3258" w:rsidRDefault="002D3258" w:rsidP="002D3258">
            <w:pPr>
              <w:pStyle w:val="13"/>
              <w:spacing w:line="240" w:lineRule="auto"/>
              <w:ind w:firstLineChars="0" w:firstLine="0"/>
              <w:rPr>
                <w:sz w:val="18"/>
                <w:szCs w:val="18"/>
              </w:rPr>
            </w:pPr>
            <w:r w:rsidRPr="002D3258">
              <w:rPr>
                <w:sz w:val="18"/>
                <w:szCs w:val="18"/>
              </w:rPr>
              <w:t>1.4.5</w:t>
            </w:r>
          </w:p>
        </w:tc>
        <w:tc>
          <w:tcPr>
            <w:tcW w:w="1463" w:type="pct"/>
            <w:shd w:val="clear" w:color="auto" w:fill="auto"/>
            <w:noWrap/>
            <w:vAlign w:val="center"/>
            <w:hideMark/>
          </w:tcPr>
          <w:p w14:paraId="1A102563" w14:textId="77777777" w:rsidR="002D3258" w:rsidRPr="002D3258" w:rsidRDefault="002D3258" w:rsidP="002D3258">
            <w:pPr>
              <w:pStyle w:val="13"/>
              <w:spacing w:line="240" w:lineRule="auto"/>
              <w:ind w:firstLineChars="0" w:firstLine="0"/>
              <w:rPr>
                <w:sz w:val="18"/>
                <w:szCs w:val="18"/>
              </w:rPr>
            </w:pPr>
            <w:r w:rsidRPr="002D3258">
              <w:rPr>
                <w:sz w:val="18"/>
                <w:szCs w:val="18"/>
              </w:rPr>
              <w:t>中央文化企业资产转让</w:t>
            </w:r>
          </w:p>
        </w:tc>
        <w:tc>
          <w:tcPr>
            <w:tcW w:w="2063" w:type="pct"/>
            <w:vMerge/>
            <w:shd w:val="clear" w:color="auto" w:fill="auto"/>
            <w:vAlign w:val="center"/>
            <w:hideMark/>
          </w:tcPr>
          <w:p w14:paraId="7877182F" w14:textId="77777777" w:rsidR="002D3258" w:rsidRPr="002D3258" w:rsidRDefault="002D3258" w:rsidP="002D3258">
            <w:pPr>
              <w:pStyle w:val="13"/>
              <w:spacing w:line="240" w:lineRule="auto"/>
              <w:ind w:firstLineChars="0" w:firstLine="0"/>
              <w:rPr>
                <w:sz w:val="18"/>
                <w:szCs w:val="18"/>
              </w:rPr>
            </w:pPr>
          </w:p>
        </w:tc>
      </w:tr>
      <w:tr w:rsidR="002D3258" w:rsidRPr="002D3258" w14:paraId="5AA57653" w14:textId="77777777" w:rsidTr="002D3258">
        <w:trPr>
          <w:gridAfter w:val="1"/>
          <w:wAfter w:w="11" w:type="pct"/>
          <w:trHeight w:val="283"/>
        </w:trPr>
        <w:tc>
          <w:tcPr>
            <w:tcW w:w="407" w:type="pct"/>
            <w:shd w:val="clear" w:color="auto" w:fill="auto"/>
            <w:noWrap/>
            <w:vAlign w:val="center"/>
            <w:hideMark/>
          </w:tcPr>
          <w:p w14:paraId="54A5D344" w14:textId="77777777" w:rsidR="002D3258" w:rsidRPr="002D3258" w:rsidRDefault="002D3258" w:rsidP="002D3258">
            <w:pPr>
              <w:pStyle w:val="13"/>
              <w:spacing w:line="240" w:lineRule="auto"/>
              <w:ind w:firstLineChars="0" w:firstLine="0"/>
              <w:rPr>
                <w:sz w:val="18"/>
                <w:szCs w:val="18"/>
              </w:rPr>
            </w:pPr>
            <w:r w:rsidRPr="002D3258">
              <w:rPr>
                <w:sz w:val="18"/>
                <w:szCs w:val="18"/>
              </w:rPr>
              <w:t>44</w:t>
            </w:r>
          </w:p>
        </w:tc>
        <w:tc>
          <w:tcPr>
            <w:tcW w:w="166" w:type="pct"/>
            <w:vMerge w:val="restart"/>
            <w:shd w:val="clear" w:color="auto" w:fill="auto"/>
            <w:noWrap/>
            <w:vAlign w:val="center"/>
            <w:hideMark/>
          </w:tcPr>
          <w:p w14:paraId="78A6A82C" w14:textId="77777777" w:rsidR="002D3258" w:rsidRPr="002D3258" w:rsidRDefault="002D3258" w:rsidP="002D3258">
            <w:pPr>
              <w:pStyle w:val="13"/>
              <w:spacing w:line="240" w:lineRule="auto"/>
              <w:ind w:firstLineChars="0" w:firstLine="0"/>
              <w:rPr>
                <w:sz w:val="18"/>
                <w:szCs w:val="18"/>
              </w:rPr>
            </w:pPr>
            <w:r w:rsidRPr="002D3258">
              <w:rPr>
                <w:sz w:val="18"/>
                <w:szCs w:val="18"/>
              </w:rPr>
              <w:t>1.5</w:t>
            </w:r>
          </w:p>
        </w:tc>
        <w:tc>
          <w:tcPr>
            <w:tcW w:w="407" w:type="pct"/>
            <w:vMerge w:val="restart"/>
            <w:shd w:val="clear" w:color="auto" w:fill="auto"/>
            <w:noWrap/>
            <w:vAlign w:val="center"/>
            <w:hideMark/>
          </w:tcPr>
          <w:p w14:paraId="2C8EA356" w14:textId="77777777" w:rsidR="002D3258" w:rsidRPr="002D3258" w:rsidRDefault="002D3258" w:rsidP="002D3258">
            <w:pPr>
              <w:pStyle w:val="13"/>
              <w:spacing w:line="240" w:lineRule="auto"/>
              <w:ind w:firstLineChars="0" w:firstLine="0"/>
              <w:rPr>
                <w:sz w:val="18"/>
                <w:szCs w:val="18"/>
              </w:rPr>
            </w:pPr>
            <w:r w:rsidRPr="002D3258">
              <w:rPr>
                <w:sz w:val="18"/>
                <w:szCs w:val="18"/>
              </w:rPr>
              <w:t>上市公司及非上市公众公司</w:t>
            </w:r>
          </w:p>
        </w:tc>
        <w:tc>
          <w:tcPr>
            <w:tcW w:w="484" w:type="pct"/>
            <w:shd w:val="clear" w:color="auto" w:fill="auto"/>
            <w:noWrap/>
            <w:vAlign w:val="center"/>
            <w:hideMark/>
          </w:tcPr>
          <w:p w14:paraId="771CDDC0" w14:textId="77777777" w:rsidR="002D3258" w:rsidRPr="002D3258" w:rsidRDefault="002D3258" w:rsidP="002D3258">
            <w:pPr>
              <w:pStyle w:val="13"/>
              <w:spacing w:line="240" w:lineRule="auto"/>
              <w:ind w:firstLineChars="0" w:firstLine="0"/>
              <w:rPr>
                <w:sz w:val="18"/>
                <w:szCs w:val="18"/>
              </w:rPr>
            </w:pPr>
            <w:r w:rsidRPr="002D3258">
              <w:rPr>
                <w:sz w:val="18"/>
                <w:szCs w:val="18"/>
              </w:rPr>
              <w:t>1.5.1</w:t>
            </w:r>
          </w:p>
        </w:tc>
        <w:tc>
          <w:tcPr>
            <w:tcW w:w="1463" w:type="pct"/>
            <w:shd w:val="clear" w:color="auto" w:fill="auto"/>
            <w:noWrap/>
            <w:vAlign w:val="center"/>
            <w:hideMark/>
          </w:tcPr>
          <w:p w14:paraId="297401D7" w14:textId="77777777" w:rsidR="002D3258" w:rsidRPr="002D3258" w:rsidRDefault="002D3258" w:rsidP="002D3258">
            <w:pPr>
              <w:pStyle w:val="13"/>
              <w:spacing w:line="240" w:lineRule="auto"/>
              <w:ind w:firstLineChars="0" w:firstLine="0"/>
              <w:rPr>
                <w:sz w:val="18"/>
                <w:szCs w:val="18"/>
              </w:rPr>
            </w:pPr>
            <w:r w:rsidRPr="002D3258">
              <w:rPr>
                <w:sz w:val="18"/>
                <w:szCs w:val="18"/>
              </w:rPr>
              <w:t>资产重组</w:t>
            </w:r>
          </w:p>
        </w:tc>
        <w:tc>
          <w:tcPr>
            <w:tcW w:w="2063" w:type="pct"/>
            <w:vMerge w:val="restart"/>
            <w:shd w:val="clear" w:color="auto" w:fill="auto"/>
            <w:vAlign w:val="center"/>
            <w:hideMark/>
          </w:tcPr>
          <w:p w14:paraId="62776EF1" w14:textId="77777777" w:rsidR="002D3258" w:rsidRPr="002D3258" w:rsidRDefault="002D3258" w:rsidP="002D3258">
            <w:pPr>
              <w:pStyle w:val="13"/>
              <w:spacing w:line="240" w:lineRule="auto"/>
              <w:ind w:firstLineChars="0" w:firstLine="0"/>
              <w:rPr>
                <w:sz w:val="18"/>
                <w:szCs w:val="18"/>
              </w:rPr>
            </w:pPr>
            <w:r w:rsidRPr="002D3258">
              <w:rPr>
                <w:sz w:val="18"/>
                <w:szCs w:val="18"/>
              </w:rPr>
              <w:t>（1）《上市公司重大资产重组管理办法（2016年修订）》（证监会令第127号）；</w:t>
            </w:r>
          </w:p>
          <w:p w14:paraId="1AE80B97" w14:textId="77777777" w:rsidR="002D3258" w:rsidRPr="002D3258" w:rsidRDefault="002D3258" w:rsidP="002D3258">
            <w:pPr>
              <w:pStyle w:val="13"/>
              <w:spacing w:line="240" w:lineRule="auto"/>
              <w:ind w:firstLineChars="0" w:firstLine="0"/>
              <w:rPr>
                <w:sz w:val="18"/>
                <w:szCs w:val="18"/>
              </w:rPr>
            </w:pPr>
            <w:r w:rsidRPr="002D3258">
              <w:rPr>
                <w:sz w:val="18"/>
                <w:szCs w:val="18"/>
              </w:rPr>
              <w:t>（2）《公开发行证券的公司信息披露内容与格式准则第26号——上市公司重大资产重组（2018年修订）》（证监会公告〔2018〕36号）；</w:t>
            </w:r>
          </w:p>
          <w:p w14:paraId="531152E1" w14:textId="77777777" w:rsidR="002D3258" w:rsidRPr="002D3258" w:rsidRDefault="002D3258" w:rsidP="002D3258">
            <w:pPr>
              <w:pStyle w:val="13"/>
              <w:spacing w:line="240" w:lineRule="auto"/>
              <w:ind w:firstLineChars="0" w:firstLine="0"/>
              <w:rPr>
                <w:sz w:val="18"/>
                <w:szCs w:val="18"/>
              </w:rPr>
            </w:pPr>
            <w:r w:rsidRPr="002D3258">
              <w:rPr>
                <w:sz w:val="18"/>
                <w:szCs w:val="18"/>
              </w:rPr>
              <w:t>（3）《上市公司收购管理办法》（证监会令第108号）</w:t>
            </w:r>
            <w:r w:rsidRPr="002D3258">
              <w:rPr>
                <w:rFonts w:hint="eastAsia"/>
                <w:sz w:val="18"/>
                <w:szCs w:val="18"/>
              </w:rPr>
              <w:t>等</w:t>
            </w:r>
            <w:r w:rsidRPr="002D3258">
              <w:rPr>
                <w:sz w:val="18"/>
                <w:szCs w:val="18"/>
              </w:rPr>
              <w:t>。</w:t>
            </w:r>
          </w:p>
        </w:tc>
      </w:tr>
      <w:tr w:rsidR="002D3258" w:rsidRPr="002D3258" w14:paraId="7B9F8218" w14:textId="77777777" w:rsidTr="002D3258">
        <w:trPr>
          <w:gridAfter w:val="1"/>
          <w:wAfter w:w="11" w:type="pct"/>
          <w:trHeight w:val="283"/>
        </w:trPr>
        <w:tc>
          <w:tcPr>
            <w:tcW w:w="407" w:type="pct"/>
            <w:shd w:val="clear" w:color="auto" w:fill="auto"/>
            <w:noWrap/>
            <w:vAlign w:val="center"/>
            <w:hideMark/>
          </w:tcPr>
          <w:p w14:paraId="18B94045" w14:textId="77777777" w:rsidR="002D3258" w:rsidRPr="002D3258" w:rsidRDefault="002D3258" w:rsidP="002D3258">
            <w:pPr>
              <w:pStyle w:val="13"/>
              <w:spacing w:line="240" w:lineRule="auto"/>
              <w:ind w:firstLineChars="0" w:firstLine="0"/>
              <w:rPr>
                <w:sz w:val="18"/>
                <w:szCs w:val="18"/>
              </w:rPr>
            </w:pPr>
            <w:r w:rsidRPr="002D3258">
              <w:rPr>
                <w:sz w:val="18"/>
                <w:szCs w:val="18"/>
              </w:rPr>
              <w:t>45</w:t>
            </w:r>
          </w:p>
        </w:tc>
        <w:tc>
          <w:tcPr>
            <w:tcW w:w="166" w:type="pct"/>
            <w:vMerge/>
            <w:shd w:val="clear" w:color="auto" w:fill="auto"/>
            <w:vAlign w:val="center"/>
            <w:hideMark/>
          </w:tcPr>
          <w:p w14:paraId="15E3630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F5B7DE1"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3F8F543" w14:textId="77777777" w:rsidR="002D3258" w:rsidRPr="002D3258" w:rsidRDefault="002D3258" w:rsidP="002D3258">
            <w:pPr>
              <w:pStyle w:val="13"/>
              <w:spacing w:line="240" w:lineRule="auto"/>
              <w:ind w:firstLineChars="0" w:firstLine="0"/>
              <w:rPr>
                <w:sz w:val="18"/>
                <w:szCs w:val="18"/>
              </w:rPr>
            </w:pPr>
            <w:r w:rsidRPr="002D3258">
              <w:rPr>
                <w:sz w:val="18"/>
                <w:szCs w:val="18"/>
              </w:rPr>
              <w:t>1.5.2</w:t>
            </w:r>
          </w:p>
        </w:tc>
        <w:tc>
          <w:tcPr>
            <w:tcW w:w="1463" w:type="pct"/>
            <w:shd w:val="clear" w:color="auto" w:fill="auto"/>
            <w:noWrap/>
            <w:vAlign w:val="center"/>
            <w:hideMark/>
          </w:tcPr>
          <w:p w14:paraId="00E5BAA0" w14:textId="77777777" w:rsidR="002D3258" w:rsidRPr="002D3258" w:rsidRDefault="002D3258" w:rsidP="002D3258">
            <w:pPr>
              <w:pStyle w:val="13"/>
              <w:spacing w:line="240" w:lineRule="auto"/>
              <w:ind w:firstLineChars="0" w:firstLine="0"/>
              <w:rPr>
                <w:sz w:val="18"/>
                <w:szCs w:val="18"/>
              </w:rPr>
            </w:pPr>
            <w:r w:rsidRPr="002D3258">
              <w:rPr>
                <w:sz w:val="18"/>
                <w:szCs w:val="18"/>
              </w:rPr>
              <w:t>业务重组</w:t>
            </w:r>
          </w:p>
        </w:tc>
        <w:tc>
          <w:tcPr>
            <w:tcW w:w="2063" w:type="pct"/>
            <w:vMerge/>
            <w:shd w:val="clear" w:color="auto" w:fill="auto"/>
            <w:vAlign w:val="center"/>
            <w:hideMark/>
          </w:tcPr>
          <w:p w14:paraId="083530D8" w14:textId="77777777" w:rsidR="002D3258" w:rsidRPr="002D3258" w:rsidRDefault="002D3258" w:rsidP="002D3258">
            <w:pPr>
              <w:pStyle w:val="13"/>
              <w:spacing w:line="240" w:lineRule="auto"/>
              <w:ind w:firstLineChars="0" w:firstLine="0"/>
              <w:rPr>
                <w:sz w:val="18"/>
                <w:szCs w:val="18"/>
              </w:rPr>
            </w:pPr>
          </w:p>
        </w:tc>
      </w:tr>
      <w:tr w:rsidR="002D3258" w:rsidRPr="002D3258" w14:paraId="67A9A128" w14:textId="77777777" w:rsidTr="002D3258">
        <w:trPr>
          <w:gridAfter w:val="1"/>
          <w:wAfter w:w="11" w:type="pct"/>
          <w:trHeight w:val="283"/>
        </w:trPr>
        <w:tc>
          <w:tcPr>
            <w:tcW w:w="407" w:type="pct"/>
            <w:shd w:val="clear" w:color="auto" w:fill="auto"/>
            <w:noWrap/>
            <w:vAlign w:val="center"/>
            <w:hideMark/>
          </w:tcPr>
          <w:p w14:paraId="314EBDD4" w14:textId="77777777" w:rsidR="002D3258" w:rsidRPr="002D3258" w:rsidRDefault="002D3258" w:rsidP="002D3258">
            <w:pPr>
              <w:pStyle w:val="13"/>
              <w:spacing w:line="240" w:lineRule="auto"/>
              <w:ind w:firstLineChars="0" w:firstLine="0"/>
              <w:rPr>
                <w:sz w:val="18"/>
                <w:szCs w:val="18"/>
              </w:rPr>
            </w:pPr>
            <w:r w:rsidRPr="002D3258">
              <w:rPr>
                <w:sz w:val="18"/>
                <w:szCs w:val="18"/>
              </w:rPr>
              <w:t>46</w:t>
            </w:r>
          </w:p>
        </w:tc>
        <w:tc>
          <w:tcPr>
            <w:tcW w:w="166" w:type="pct"/>
            <w:vMerge/>
            <w:shd w:val="clear" w:color="auto" w:fill="auto"/>
            <w:vAlign w:val="center"/>
            <w:hideMark/>
          </w:tcPr>
          <w:p w14:paraId="34D54DDA"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61863E2"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0BCBE14" w14:textId="77777777" w:rsidR="002D3258" w:rsidRPr="002D3258" w:rsidRDefault="002D3258" w:rsidP="002D3258">
            <w:pPr>
              <w:pStyle w:val="13"/>
              <w:spacing w:line="240" w:lineRule="auto"/>
              <w:ind w:firstLineChars="0" w:firstLine="0"/>
              <w:rPr>
                <w:sz w:val="18"/>
                <w:szCs w:val="18"/>
              </w:rPr>
            </w:pPr>
            <w:r w:rsidRPr="002D3258">
              <w:rPr>
                <w:sz w:val="18"/>
                <w:szCs w:val="18"/>
              </w:rPr>
              <w:t>1.5.3</w:t>
            </w:r>
          </w:p>
        </w:tc>
        <w:tc>
          <w:tcPr>
            <w:tcW w:w="1463" w:type="pct"/>
            <w:shd w:val="clear" w:color="auto" w:fill="auto"/>
            <w:noWrap/>
            <w:vAlign w:val="center"/>
            <w:hideMark/>
          </w:tcPr>
          <w:p w14:paraId="03D4CB2D" w14:textId="77777777" w:rsidR="002D3258" w:rsidRPr="002D3258" w:rsidRDefault="002D3258" w:rsidP="002D3258">
            <w:pPr>
              <w:pStyle w:val="13"/>
              <w:spacing w:line="240" w:lineRule="auto"/>
              <w:ind w:firstLineChars="0" w:firstLine="0"/>
              <w:rPr>
                <w:sz w:val="18"/>
                <w:szCs w:val="18"/>
              </w:rPr>
            </w:pPr>
            <w:r w:rsidRPr="002D3258">
              <w:rPr>
                <w:sz w:val="18"/>
                <w:szCs w:val="18"/>
              </w:rPr>
              <w:t>发行股份购买资产</w:t>
            </w:r>
          </w:p>
        </w:tc>
        <w:tc>
          <w:tcPr>
            <w:tcW w:w="2063" w:type="pct"/>
            <w:vMerge/>
            <w:shd w:val="clear" w:color="auto" w:fill="auto"/>
            <w:vAlign w:val="center"/>
            <w:hideMark/>
          </w:tcPr>
          <w:p w14:paraId="158342E2" w14:textId="77777777" w:rsidR="002D3258" w:rsidRPr="002D3258" w:rsidRDefault="002D3258" w:rsidP="002D3258">
            <w:pPr>
              <w:pStyle w:val="13"/>
              <w:spacing w:line="240" w:lineRule="auto"/>
              <w:ind w:firstLineChars="0" w:firstLine="0"/>
              <w:rPr>
                <w:sz w:val="18"/>
                <w:szCs w:val="18"/>
              </w:rPr>
            </w:pPr>
          </w:p>
        </w:tc>
      </w:tr>
      <w:tr w:rsidR="002D3258" w:rsidRPr="002D3258" w14:paraId="29ED1A4C" w14:textId="77777777" w:rsidTr="002D3258">
        <w:trPr>
          <w:gridAfter w:val="1"/>
          <w:wAfter w:w="11" w:type="pct"/>
          <w:trHeight w:val="283"/>
        </w:trPr>
        <w:tc>
          <w:tcPr>
            <w:tcW w:w="407" w:type="pct"/>
            <w:shd w:val="clear" w:color="auto" w:fill="auto"/>
            <w:noWrap/>
            <w:vAlign w:val="center"/>
            <w:hideMark/>
          </w:tcPr>
          <w:p w14:paraId="71985930" w14:textId="77777777" w:rsidR="002D3258" w:rsidRPr="002D3258" w:rsidRDefault="002D3258" w:rsidP="002D3258">
            <w:pPr>
              <w:pStyle w:val="13"/>
              <w:spacing w:line="240" w:lineRule="auto"/>
              <w:ind w:firstLineChars="0" w:firstLine="0"/>
              <w:rPr>
                <w:sz w:val="18"/>
                <w:szCs w:val="18"/>
              </w:rPr>
            </w:pPr>
            <w:r w:rsidRPr="002D3258">
              <w:rPr>
                <w:sz w:val="18"/>
                <w:szCs w:val="18"/>
              </w:rPr>
              <w:t>47</w:t>
            </w:r>
          </w:p>
        </w:tc>
        <w:tc>
          <w:tcPr>
            <w:tcW w:w="166" w:type="pct"/>
            <w:vMerge/>
            <w:shd w:val="clear" w:color="auto" w:fill="auto"/>
            <w:vAlign w:val="center"/>
            <w:hideMark/>
          </w:tcPr>
          <w:p w14:paraId="7CA28896"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25ECFF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A5CF8BF" w14:textId="77777777" w:rsidR="002D3258" w:rsidRPr="002D3258" w:rsidRDefault="002D3258" w:rsidP="002D3258">
            <w:pPr>
              <w:pStyle w:val="13"/>
              <w:spacing w:line="240" w:lineRule="auto"/>
              <w:ind w:firstLineChars="0" w:firstLine="0"/>
              <w:rPr>
                <w:sz w:val="18"/>
                <w:szCs w:val="18"/>
              </w:rPr>
            </w:pPr>
            <w:r w:rsidRPr="002D3258">
              <w:rPr>
                <w:sz w:val="18"/>
                <w:szCs w:val="18"/>
              </w:rPr>
              <w:t>1.5.4</w:t>
            </w:r>
          </w:p>
        </w:tc>
        <w:tc>
          <w:tcPr>
            <w:tcW w:w="1463" w:type="pct"/>
            <w:shd w:val="clear" w:color="auto" w:fill="auto"/>
            <w:noWrap/>
            <w:vAlign w:val="center"/>
            <w:hideMark/>
          </w:tcPr>
          <w:p w14:paraId="2BBF6BD7" w14:textId="77777777" w:rsidR="002D3258" w:rsidRPr="002D3258" w:rsidRDefault="002D3258" w:rsidP="002D3258">
            <w:pPr>
              <w:pStyle w:val="13"/>
              <w:spacing w:line="240" w:lineRule="auto"/>
              <w:ind w:firstLineChars="0" w:firstLine="0"/>
              <w:rPr>
                <w:sz w:val="18"/>
                <w:szCs w:val="18"/>
              </w:rPr>
            </w:pPr>
            <w:r w:rsidRPr="002D3258">
              <w:rPr>
                <w:sz w:val="18"/>
                <w:szCs w:val="18"/>
              </w:rPr>
              <w:t>定向增发</w:t>
            </w:r>
          </w:p>
        </w:tc>
        <w:tc>
          <w:tcPr>
            <w:tcW w:w="2063" w:type="pct"/>
            <w:vMerge/>
            <w:shd w:val="clear" w:color="auto" w:fill="auto"/>
            <w:vAlign w:val="center"/>
            <w:hideMark/>
          </w:tcPr>
          <w:p w14:paraId="6998E744" w14:textId="77777777" w:rsidR="002D3258" w:rsidRPr="002D3258" w:rsidRDefault="002D3258" w:rsidP="002D3258">
            <w:pPr>
              <w:pStyle w:val="13"/>
              <w:spacing w:line="240" w:lineRule="auto"/>
              <w:ind w:firstLineChars="0" w:firstLine="0"/>
              <w:rPr>
                <w:sz w:val="18"/>
                <w:szCs w:val="18"/>
              </w:rPr>
            </w:pPr>
          </w:p>
        </w:tc>
      </w:tr>
      <w:tr w:rsidR="002D3258" w:rsidRPr="002D3258" w14:paraId="46A4A983" w14:textId="77777777" w:rsidTr="002D3258">
        <w:trPr>
          <w:gridAfter w:val="1"/>
          <w:wAfter w:w="11" w:type="pct"/>
          <w:trHeight w:val="283"/>
        </w:trPr>
        <w:tc>
          <w:tcPr>
            <w:tcW w:w="407" w:type="pct"/>
            <w:shd w:val="clear" w:color="auto" w:fill="auto"/>
            <w:noWrap/>
            <w:vAlign w:val="center"/>
            <w:hideMark/>
          </w:tcPr>
          <w:p w14:paraId="081697B3" w14:textId="77777777" w:rsidR="002D3258" w:rsidRPr="002D3258" w:rsidRDefault="002D3258" w:rsidP="002D3258">
            <w:pPr>
              <w:pStyle w:val="13"/>
              <w:spacing w:line="240" w:lineRule="auto"/>
              <w:ind w:firstLineChars="0" w:firstLine="0"/>
              <w:rPr>
                <w:sz w:val="18"/>
                <w:szCs w:val="18"/>
              </w:rPr>
            </w:pPr>
            <w:r w:rsidRPr="002D3258">
              <w:rPr>
                <w:sz w:val="18"/>
                <w:szCs w:val="18"/>
              </w:rPr>
              <w:t>48</w:t>
            </w:r>
          </w:p>
        </w:tc>
        <w:tc>
          <w:tcPr>
            <w:tcW w:w="166" w:type="pct"/>
            <w:vMerge/>
            <w:shd w:val="clear" w:color="auto" w:fill="auto"/>
            <w:vAlign w:val="center"/>
            <w:hideMark/>
          </w:tcPr>
          <w:p w14:paraId="65C66972"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7C815D5"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1FA3092" w14:textId="77777777" w:rsidR="002D3258" w:rsidRPr="002D3258" w:rsidRDefault="002D3258" w:rsidP="002D3258">
            <w:pPr>
              <w:pStyle w:val="13"/>
              <w:spacing w:line="240" w:lineRule="auto"/>
              <w:ind w:firstLineChars="0" w:firstLine="0"/>
              <w:rPr>
                <w:sz w:val="18"/>
                <w:szCs w:val="18"/>
              </w:rPr>
            </w:pPr>
            <w:r w:rsidRPr="002D3258">
              <w:rPr>
                <w:sz w:val="18"/>
                <w:szCs w:val="18"/>
              </w:rPr>
              <w:t>1.5.5</w:t>
            </w:r>
          </w:p>
        </w:tc>
        <w:tc>
          <w:tcPr>
            <w:tcW w:w="1463" w:type="pct"/>
            <w:shd w:val="clear" w:color="auto" w:fill="auto"/>
            <w:noWrap/>
            <w:vAlign w:val="center"/>
            <w:hideMark/>
          </w:tcPr>
          <w:p w14:paraId="1626209E" w14:textId="77777777" w:rsidR="002D3258" w:rsidRPr="002D3258" w:rsidRDefault="002D3258" w:rsidP="002D3258">
            <w:pPr>
              <w:pStyle w:val="13"/>
              <w:spacing w:line="240" w:lineRule="auto"/>
              <w:ind w:firstLineChars="0" w:firstLine="0"/>
              <w:rPr>
                <w:sz w:val="18"/>
                <w:szCs w:val="18"/>
              </w:rPr>
            </w:pPr>
            <w:r w:rsidRPr="002D3258">
              <w:rPr>
                <w:sz w:val="18"/>
                <w:szCs w:val="18"/>
              </w:rPr>
              <w:t>重大资产重组</w:t>
            </w:r>
          </w:p>
        </w:tc>
        <w:tc>
          <w:tcPr>
            <w:tcW w:w="2063" w:type="pct"/>
            <w:shd w:val="clear" w:color="auto" w:fill="auto"/>
            <w:vAlign w:val="center"/>
            <w:hideMark/>
          </w:tcPr>
          <w:p w14:paraId="4FBDFD21" w14:textId="77777777" w:rsidR="002D3258" w:rsidRPr="002D3258" w:rsidRDefault="002D3258" w:rsidP="002D3258">
            <w:pPr>
              <w:pStyle w:val="13"/>
              <w:spacing w:line="240" w:lineRule="auto"/>
              <w:ind w:firstLineChars="0" w:firstLine="0"/>
              <w:rPr>
                <w:sz w:val="18"/>
                <w:szCs w:val="18"/>
              </w:rPr>
            </w:pPr>
            <w:r w:rsidRPr="002D3258">
              <w:rPr>
                <w:sz w:val="18"/>
                <w:szCs w:val="18"/>
              </w:rPr>
              <w:t>《非上市公众公司重大资产重组管理办法》（证监会令第103号）</w:t>
            </w:r>
          </w:p>
        </w:tc>
      </w:tr>
      <w:tr w:rsidR="002D3258" w:rsidRPr="002D3258" w14:paraId="11016F69" w14:textId="77777777" w:rsidTr="002D3258">
        <w:trPr>
          <w:gridAfter w:val="1"/>
          <w:wAfter w:w="11" w:type="pct"/>
          <w:trHeight w:val="283"/>
        </w:trPr>
        <w:tc>
          <w:tcPr>
            <w:tcW w:w="407" w:type="pct"/>
            <w:shd w:val="clear" w:color="auto" w:fill="auto"/>
            <w:noWrap/>
            <w:vAlign w:val="center"/>
            <w:hideMark/>
          </w:tcPr>
          <w:p w14:paraId="3607EE37" w14:textId="77777777" w:rsidR="002D3258" w:rsidRPr="002D3258" w:rsidRDefault="002D3258" w:rsidP="002D3258">
            <w:pPr>
              <w:pStyle w:val="13"/>
              <w:spacing w:line="240" w:lineRule="auto"/>
              <w:ind w:firstLineChars="0" w:firstLine="0"/>
              <w:rPr>
                <w:sz w:val="18"/>
                <w:szCs w:val="18"/>
              </w:rPr>
            </w:pPr>
            <w:r w:rsidRPr="002D3258">
              <w:rPr>
                <w:sz w:val="18"/>
                <w:szCs w:val="18"/>
              </w:rPr>
              <w:t>49</w:t>
            </w:r>
          </w:p>
        </w:tc>
        <w:tc>
          <w:tcPr>
            <w:tcW w:w="166" w:type="pct"/>
            <w:vMerge/>
            <w:shd w:val="clear" w:color="auto" w:fill="auto"/>
            <w:vAlign w:val="center"/>
            <w:hideMark/>
          </w:tcPr>
          <w:p w14:paraId="694A95D6"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D63151F"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D2E3310" w14:textId="77777777" w:rsidR="002D3258" w:rsidRPr="002D3258" w:rsidRDefault="002D3258" w:rsidP="002D3258">
            <w:pPr>
              <w:pStyle w:val="13"/>
              <w:spacing w:line="240" w:lineRule="auto"/>
              <w:ind w:firstLineChars="0" w:firstLine="0"/>
              <w:rPr>
                <w:sz w:val="18"/>
                <w:szCs w:val="18"/>
              </w:rPr>
            </w:pPr>
            <w:r w:rsidRPr="002D3258">
              <w:rPr>
                <w:sz w:val="18"/>
                <w:szCs w:val="18"/>
              </w:rPr>
              <w:t>1.5.6</w:t>
            </w:r>
          </w:p>
        </w:tc>
        <w:tc>
          <w:tcPr>
            <w:tcW w:w="1463" w:type="pct"/>
            <w:shd w:val="clear" w:color="auto" w:fill="auto"/>
            <w:noWrap/>
            <w:vAlign w:val="center"/>
            <w:hideMark/>
          </w:tcPr>
          <w:p w14:paraId="40699666" w14:textId="77777777" w:rsidR="002D3258" w:rsidRPr="002D3258" w:rsidRDefault="002D3258" w:rsidP="002D3258">
            <w:pPr>
              <w:pStyle w:val="13"/>
              <w:spacing w:line="240" w:lineRule="auto"/>
              <w:ind w:firstLineChars="0" w:firstLine="0"/>
              <w:rPr>
                <w:sz w:val="18"/>
                <w:szCs w:val="18"/>
              </w:rPr>
            </w:pPr>
            <w:r w:rsidRPr="002D3258">
              <w:rPr>
                <w:sz w:val="18"/>
                <w:szCs w:val="18"/>
              </w:rPr>
              <w:t>收购资产</w:t>
            </w:r>
          </w:p>
        </w:tc>
        <w:tc>
          <w:tcPr>
            <w:tcW w:w="2063" w:type="pct"/>
            <w:shd w:val="clear" w:color="auto" w:fill="auto"/>
            <w:vAlign w:val="center"/>
            <w:hideMark/>
          </w:tcPr>
          <w:p w14:paraId="2DBB99A1" w14:textId="77777777" w:rsidR="002D3258" w:rsidRPr="002D3258" w:rsidRDefault="002D3258" w:rsidP="002D3258">
            <w:pPr>
              <w:pStyle w:val="13"/>
              <w:spacing w:line="240" w:lineRule="auto"/>
              <w:ind w:firstLineChars="0" w:firstLine="0"/>
              <w:rPr>
                <w:sz w:val="18"/>
                <w:szCs w:val="18"/>
              </w:rPr>
            </w:pPr>
            <w:r w:rsidRPr="002D3258">
              <w:rPr>
                <w:sz w:val="18"/>
                <w:szCs w:val="18"/>
              </w:rPr>
              <w:t>《非上市公众公司收购管理办法》（证监会令第102号）</w:t>
            </w:r>
          </w:p>
        </w:tc>
      </w:tr>
      <w:tr w:rsidR="002D3258" w:rsidRPr="002D3258" w14:paraId="5363C55B" w14:textId="77777777" w:rsidTr="002D3258">
        <w:trPr>
          <w:gridAfter w:val="1"/>
          <w:wAfter w:w="11" w:type="pct"/>
          <w:trHeight w:val="1107"/>
        </w:trPr>
        <w:tc>
          <w:tcPr>
            <w:tcW w:w="407" w:type="pct"/>
            <w:shd w:val="clear" w:color="auto" w:fill="auto"/>
            <w:noWrap/>
            <w:vAlign w:val="center"/>
          </w:tcPr>
          <w:p w14:paraId="7F1BD247" w14:textId="77777777" w:rsidR="002D3258" w:rsidRPr="002D3258" w:rsidRDefault="002D3258" w:rsidP="002D3258">
            <w:pPr>
              <w:pStyle w:val="13"/>
              <w:spacing w:line="240" w:lineRule="auto"/>
              <w:ind w:firstLineChars="0" w:firstLine="0"/>
              <w:rPr>
                <w:sz w:val="18"/>
                <w:szCs w:val="18"/>
              </w:rPr>
            </w:pPr>
            <w:r w:rsidRPr="002D3258">
              <w:rPr>
                <w:sz w:val="18"/>
                <w:szCs w:val="18"/>
              </w:rPr>
              <w:t>50</w:t>
            </w:r>
          </w:p>
        </w:tc>
        <w:tc>
          <w:tcPr>
            <w:tcW w:w="166" w:type="pct"/>
            <w:vMerge/>
            <w:shd w:val="clear" w:color="auto" w:fill="auto"/>
            <w:noWrap/>
            <w:vAlign w:val="center"/>
          </w:tcPr>
          <w:p w14:paraId="695EE467"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noWrap/>
            <w:vAlign w:val="center"/>
          </w:tcPr>
          <w:p w14:paraId="786D31EF"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10219AF5" w14:textId="77777777" w:rsidR="002D3258" w:rsidRPr="002D3258" w:rsidRDefault="002D3258" w:rsidP="002D3258">
            <w:pPr>
              <w:pStyle w:val="13"/>
              <w:spacing w:line="240" w:lineRule="auto"/>
              <w:ind w:firstLineChars="0" w:firstLine="0"/>
              <w:rPr>
                <w:sz w:val="18"/>
                <w:szCs w:val="18"/>
              </w:rPr>
            </w:pPr>
            <w:r w:rsidRPr="002D3258">
              <w:rPr>
                <w:sz w:val="18"/>
                <w:szCs w:val="18"/>
              </w:rPr>
              <w:t>1.5.7</w:t>
            </w:r>
          </w:p>
        </w:tc>
        <w:tc>
          <w:tcPr>
            <w:tcW w:w="1463" w:type="pct"/>
            <w:shd w:val="clear" w:color="auto" w:fill="auto"/>
            <w:noWrap/>
            <w:vAlign w:val="center"/>
          </w:tcPr>
          <w:p w14:paraId="744269AA" w14:textId="77777777" w:rsidR="002D3258" w:rsidRPr="002D3258" w:rsidRDefault="002D3258" w:rsidP="002D3258">
            <w:pPr>
              <w:pStyle w:val="13"/>
              <w:spacing w:line="240" w:lineRule="auto"/>
              <w:ind w:firstLineChars="0" w:firstLine="0"/>
              <w:rPr>
                <w:sz w:val="18"/>
                <w:szCs w:val="18"/>
              </w:rPr>
            </w:pPr>
            <w:r w:rsidRPr="002D3258">
              <w:rPr>
                <w:sz w:val="18"/>
                <w:szCs w:val="18"/>
              </w:rPr>
              <w:t>外国投资者对上市公司战略投资</w:t>
            </w:r>
          </w:p>
        </w:tc>
        <w:tc>
          <w:tcPr>
            <w:tcW w:w="2063" w:type="pct"/>
            <w:shd w:val="clear" w:color="auto" w:fill="auto"/>
            <w:vAlign w:val="center"/>
          </w:tcPr>
          <w:p w14:paraId="32DC9598" w14:textId="77777777" w:rsidR="002D3258" w:rsidRPr="002D3258" w:rsidRDefault="002D3258" w:rsidP="002D3258">
            <w:pPr>
              <w:pStyle w:val="13"/>
              <w:spacing w:line="240" w:lineRule="auto"/>
              <w:ind w:firstLineChars="0" w:firstLine="0"/>
              <w:rPr>
                <w:sz w:val="18"/>
                <w:szCs w:val="18"/>
              </w:rPr>
            </w:pPr>
            <w:r w:rsidRPr="002D3258">
              <w:rPr>
                <w:sz w:val="18"/>
                <w:szCs w:val="18"/>
              </w:rPr>
              <w:t>《外国投资者对上市公司战略投资管理办法》（商务部、中国证券监督管理委员会、国家税务总局、国家工商行政管理总局、国家外汇管理局令第28号 根据商务部令2015年第2号《商务部关于修改部分规章和规范性文件的决定》修正）</w:t>
            </w:r>
          </w:p>
        </w:tc>
      </w:tr>
      <w:tr w:rsidR="002D3258" w:rsidRPr="002D3258" w14:paraId="4F337254" w14:textId="77777777" w:rsidTr="002D3258">
        <w:trPr>
          <w:gridAfter w:val="1"/>
          <w:wAfter w:w="11" w:type="pct"/>
          <w:trHeight w:val="283"/>
        </w:trPr>
        <w:tc>
          <w:tcPr>
            <w:tcW w:w="407" w:type="pct"/>
            <w:shd w:val="clear" w:color="auto" w:fill="auto"/>
            <w:noWrap/>
            <w:vAlign w:val="center"/>
            <w:hideMark/>
          </w:tcPr>
          <w:p w14:paraId="3597056F" w14:textId="77777777" w:rsidR="002D3258" w:rsidRPr="002D3258" w:rsidRDefault="002D3258" w:rsidP="002D3258">
            <w:pPr>
              <w:pStyle w:val="13"/>
              <w:spacing w:line="240" w:lineRule="auto"/>
              <w:ind w:firstLineChars="0" w:firstLine="0"/>
              <w:rPr>
                <w:sz w:val="18"/>
                <w:szCs w:val="18"/>
              </w:rPr>
            </w:pPr>
            <w:r w:rsidRPr="002D3258">
              <w:rPr>
                <w:sz w:val="18"/>
                <w:szCs w:val="18"/>
              </w:rPr>
              <w:t>N51</w:t>
            </w:r>
          </w:p>
        </w:tc>
        <w:tc>
          <w:tcPr>
            <w:tcW w:w="166" w:type="pct"/>
            <w:vMerge w:val="restart"/>
            <w:shd w:val="clear" w:color="auto" w:fill="auto"/>
            <w:noWrap/>
            <w:vAlign w:val="center"/>
            <w:hideMark/>
          </w:tcPr>
          <w:p w14:paraId="7DB830D6" w14:textId="77777777" w:rsidR="002D3258" w:rsidRPr="002D3258" w:rsidRDefault="002D3258" w:rsidP="002D3258">
            <w:pPr>
              <w:pStyle w:val="13"/>
              <w:spacing w:line="240" w:lineRule="auto"/>
              <w:ind w:firstLineChars="0" w:firstLine="0"/>
              <w:rPr>
                <w:sz w:val="18"/>
                <w:szCs w:val="18"/>
              </w:rPr>
            </w:pPr>
            <w:r w:rsidRPr="002D3258">
              <w:rPr>
                <w:sz w:val="18"/>
                <w:szCs w:val="18"/>
              </w:rPr>
              <w:t>1.6</w:t>
            </w:r>
          </w:p>
        </w:tc>
        <w:tc>
          <w:tcPr>
            <w:tcW w:w="407" w:type="pct"/>
            <w:vMerge w:val="restart"/>
            <w:shd w:val="clear" w:color="auto" w:fill="auto"/>
            <w:noWrap/>
            <w:vAlign w:val="center"/>
            <w:hideMark/>
          </w:tcPr>
          <w:p w14:paraId="1E3686D1" w14:textId="77777777" w:rsidR="002D3258" w:rsidRPr="002D3258" w:rsidRDefault="002D3258" w:rsidP="002D3258">
            <w:pPr>
              <w:pStyle w:val="13"/>
              <w:spacing w:line="240" w:lineRule="auto"/>
              <w:ind w:firstLineChars="0" w:firstLine="0"/>
              <w:rPr>
                <w:sz w:val="18"/>
                <w:szCs w:val="18"/>
              </w:rPr>
            </w:pPr>
            <w:r w:rsidRPr="002D3258">
              <w:rPr>
                <w:sz w:val="18"/>
                <w:szCs w:val="18"/>
              </w:rPr>
              <w:t>行政事业单位</w:t>
            </w:r>
          </w:p>
        </w:tc>
        <w:tc>
          <w:tcPr>
            <w:tcW w:w="484" w:type="pct"/>
            <w:shd w:val="clear" w:color="auto" w:fill="auto"/>
            <w:noWrap/>
            <w:vAlign w:val="center"/>
            <w:hideMark/>
          </w:tcPr>
          <w:p w14:paraId="2CDECA2E" w14:textId="77777777" w:rsidR="002D3258" w:rsidRPr="002D3258" w:rsidRDefault="002D3258" w:rsidP="002D3258">
            <w:pPr>
              <w:pStyle w:val="13"/>
              <w:spacing w:line="240" w:lineRule="auto"/>
              <w:ind w:firstLineChars="0" w:firstLine="0"/>
              <w:rPr>
                <w:sz w:val="18"/>
                <w:szCs w:val="18"/>
              </w:rPr>
            </w:pPr>
            <w:r w:rsidRPr="002D3258">
              <w:rPr>
                <w:sz w:val="18"/>
                <w:szCs w:val="18"/>
              </w:rPr>
              <w:t>1.6.1</w:t>
            </w:r>
          </w:p>
        </w:tc>
        <w:tc>
          <w:tcPr>
            <w:tcW w:w="1463" w:type="pct"/>
            <w:shd w:val="clear" w:color="auto" w:fill="auto"/>
            <w:noWrap/>
            <w:vAlign w:val="center"/>
            <w:hideMark/>
          </w:tcPr>
          <w:p w14:paraId="79FF20C6" w14:textId="77777777" w:rsidR="002D3258" w:rsidRPr="002D3258" w:rsidRDefault="002D3258" w:rsidP="002D3258">
            <w:pPr>
              <w:pStyle w:val="13"/>
              <w:spacing w:line="240" w:lineRule="auto"/>
              <w:ind w:firstLineChars="0" w:firstLine="0"/>
              <w:rPr>
                <w:sz w:val="18"/>
                <w:szCs w:val="18"/>
              </w:rPr>
            </w:pPr>
            <w:r w:rsidRPr="002D3258">
              <w:rPr>
                <w:sz w:val="18"/>
                <w:szCs w:val="18"/>
              </w:rPr>
              <w:t>资产清查</w:t>
            </w:r>
          </w:p>
        </w:tc>
        <w:tc>
          <w:tcPr>
            <w:tcW w:w="2063" w:type="pct"/>
            <w:vMerge w:val="restart"/>
            <w:shd w:val="clear" w:color="auto" w:fill="auto"/>
            <w:vAlign w:val="center"/>
            <w:hideMark/>
          </w:tcPr>
          <w:p w14:paraId="4B993282" w14:textId="77777777" w:rsidR="002D3258" w:rsidRPr="002D3258" w:rsidRDefault="002D3258" w:rsidP="002D3258">
            <w:pPr>
              <w:pStyle w:val="13"/>
              <w:spacing w:line="240" w:lineRule="auto"/>
              <w:ind w:firstLineChars="0" w:firstLine="0"/>
              <w:rPr>
                <w:sz w:val="18"/>
                <w:szCs w:val="18"/>
              </w:rPr>
            </w:pPr>
            <w:r w:rsidRPr="002D3258">
              <w:rPr>
                <w:sz w:val="18"/>
                <w:szCs w:val="18"/>
              </w:rPr>
              <w:t>《关于从事生产经营活动事业单位改革中国有资产管理的若干规定》（财资〔2017〕13号）</w:t>
            </w:r>
          </w:p>
        </w:tc>
      </w:tr>
      <w:tr w:rsidR="002D3258" w:rsidRPr="002D3258" w14:paraId="1B560E2C" w14:textId="77777777" w:rsidTr="002D3258">
        <w:trPr>
          <w:gridAfter w:val="1"/>
          <w:wAfter w:w="11" w:type="pct"/>
          <w:trHeight w:val="283"/>
        </w:trPr>
        <w:tc>
          <w:tcPr>
            <w:tcW w:w="407" w:type="pct"/>
            <w:shd w:val="clear" w:color="auto" w:fill="auto"/>
            <w:noWrap/>
            <w:vAlign w:val="center"/>
            <w:hideMark/>
          </w:tcPr>
          <w:p w14:paraId="03B5D6D6" w14:textId="77777777" w:rsidR="002D3258" w:rsidRPr="002D3258" w:rsidRDefault="002D3258" w:rsidP="002D3258">
            <w:pPr>
              <w:pStyle w:val="13"/>
              <w:spacing w:line="240" w:lineRule="auto"/>
              <w:ind w:firstLineChars="0" w:firstLine="0"/>
              <w:rPr>
                <w:sz w:val="18"/>
                <w:szCs w:val="18"/>
              </w:rPr>
            </w:pPr>
            <w:r w:rsidRPr="002D3258">
              <w:rPr>
                <w:sz w:val="18"/>
                <w:szCs w:val="18"/>
              </w:rPr>
              <w:t>N52</w:t>
            </w:r>
          </w:p>
        </w:tc>
        <w:tc>
          <w:tcPr>
            <w:tcW w:w="166" w:type="pct"/>
            <w:vMerge/>
            <w:shd w:val="clear" w:color="auto" w:fill="auto"/>
            <w:vAlign w:val="center"/>
            <w:hideMark/>
          </w:tcPr>
          <w:p w14:paraId="71FF8CCE"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3C9BC76"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D4FDE00" w14:textId="77777777" w:rsidR="002D3258" w:rsidRPr="002D3258" w:rsidRDefault="002D3258" w:rsidP="002D3258">
            <w:pPr>
              <w:pStyle w:val="13"/>
              <w:spacing w:line="240" w:lineRule="auto"/>
              <w:ind w:firstLineChars="0" w:firstLine="0"/>
              <w:rPr>
                <w:sz w:val="18"/>
                <w:szCs w:val="18"/>
              </w:rPr>
            </w:pPr>
            <w:r w:rsidRPr="002D3258">
              <w:rPr>
                <w:sz w:val="18"/>
                <w:szCs w:val="18"/>
              </w:rPr>
              <w:t>1.6.2</w:t>
            </w:r>
          </w:p>
        </w:tc>
        <w:tc>
          <w:tcPr>
            <w:tcW w:w="1463" w:type="pct"/>
            <w:shd w:val="clear" w:color="auto" w:fill="auto"/>
            <w:noWrap/>
            <w:vAlign w:val="center"/>
            <w:hideMark/>
          </w:tcPr>
          <w:p w14:paraId="1C046577" w14:textId="77777777" w:rsidR="002D3258" w:rsidRPr="002D3258" w:rsidRDefault="002D3258" w:rsidP="002D3258">
            <w:pPr>
              <w:pStyle w:val="13"/>
              <w:spacing w:line="240" w:lineRule="auto"/>
              <w:ind w:firstLineChars="0" w:firstLine="0"/>
              <w:rPr>
                <w:sz w:val="18"/>
                <w:szCs w:val="18"/>
              </w:rPr>
            </w:pPr>
            <w:r w:rsidRPr="002D3258">
              <w:rPr>
                <w:sz w:val="18"/>
                <w:szCs w:val="18"/>
              </w:rPr>
              <w:t>经营类事业单位整体或部分改制为有限责任公司或者股份有限公司</w:t>
            </w:r>
          </w:p>
        </w:tc>
        <w:tc>
          <w:tcPr>
            <w:tcW w:w="2063" w:type="pct"/>
            <w:vMerge/>
            <w:shd w:val="clear" w:color="auto" w:fill="auto"/>
            <w:vAlign w:val="center"/>
            <w:hideMark/>
          </w:tcPr>
          <w:p w14:paraId="6FB55A4C" w14:textId="77777777" w:rsidR="002D3258" w:rsidRPr="002D3258" w:rsidRDefault="002D3258" w:rsidP="002D3258">
            <w:pPr>
              <w:pStyle w:val="13"/>
              <w:spacing w:line="240" w:lineRule="auto"/>
              <w:ind w:firstLineChars="0" w:firstLine="0"/>
              <w:rPr>
                <w:sz w:val="18"/>
                <w:szCs w:val="18"/>
              </w:rPr>
            </w:pPr>
          </w:p>
        </w:tc>
      </w:tr>
      <w:tr w:rsidR="002D3258" w:rsidRPr="002D3258" w14:paraId="501DD53F" w14:textId="77777777" w:rsidTr="002D3258">
        <w:trPr>
          <w:gridAfter w:val="1"/>
          <w:wAfter w:w="11" w:type="pct"/>
          <w:trHeight w:val="576"/>
        </w:trPr>
        <w:tc>
          <w:tcPr>
            <w:tcW w:w="407" w:type="pct"/>
            <w:shd w:val="clear" w:color="auto" w:fill="auto"/>
            <w:noWrap/>
            <w:vAlign w:val="center"/>
            <w:hideMark/>
          </w:tcPr>
          <w:p w14:paraId="4F6A6B80" w14:textId="77777777" w:rsidR="002D3258" w:rsidRPr="002D3258" w:rsidRDefault="002D3258" w:rsidP="002D3258">
            <w:pPr>
              <w:pStyle w:val="13"/>
              <w:spacing w:line="240" w:lineRule="auto"/>
              <w:ind w:firstLineChars="0" w:firstLine="0"/>
              <w:rPr>
                <w:sz w:val="18"/>
                <w:szCs w:val="18"/>
              </w:rPr>
            </w:pPr>
            <w:r w:rsidRPr="002D3258">
              <w:rPr>
                <w:sz w:val="18"/>
                <w:szCs w:val="18"/>
              </w:rPr>
              <w:lastRenderedPageBreak/>
              <w:t>N53</w:t>
            </w:r>
          </w:p>
        </w:tc>
        <w:tc>
          <w:tcPr>
            <w:tcW w:w="166" w:type="pct"/>
            <w:vMerge/>
            <w:shd w:val="clear" w:color="auto" w:fill="auto"/>
            <w:vAlign w:val="center"/>
            <w:hideMark/>
          </w:tcPr>
          <w:p w14:paraId="40AAEC36"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8349DDE"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5994E14" w14:textId="77777777" w:rsidR="002D3258" w:rsidRPr="002D3258" w:rsidRDefault="002D3258" w:rsidP="002D3258">
            <w:pPr>
              <w:pStyle w:val="13"/>
              <w:spacing w:line="240" w:lineRule="auto"/>
              <w:ind w:firstLineChars="0" w:firstLine="0"/>
              <w:rPr>
                <w:sz w:val="18"/>
                <w:szCs w:val="18"/>
              </w:rPr>
            </w:pPr>
            <w:r w:rsidRPr="002D3258">
              <w:rPr>
                <w:sz w:val="18"/>
                <w:szCs w:val="18"/>
              </w:rPr>
              <w:t>1.6.3</w:t>
            </w:r>
          </w:p>
        </w:tc>
        <w:tc>
          <w:tcPr>
            <w:tcW w:w="1463" w:type="pct"/>
            <w:shd w:val="clear" w:color="auto" w:fill="auto"/>
            <w:noWrap/>
            <w:vAlign w:val="center"/>
            <w:hideMark/>
          </w:tcPr>
          <w:p w14:paraId="355515A1" w14:textId="77777777" w:rsidR="002D3258" w:rsidRPr="002D3258" w:rsidRDefault="002D3258" w:rsidP="002D3258">
            <w:pPr>
              <w:pStyle w:val="13"/>
              <w:spacing w:line="240" w:lineRule="auto"/>
              <w:ind w:firstLineChars="0" w:firstLine="0"/>
              <w:rPr>
                <w:sz w:val="18"/>
                <w:szCs w:val="18"/>
              </w:rPr>
            </w:pPr>
            <w:r w:rsidRPr="002D3258">
              <w:rPr>
                <w:sz w:val="18"/>
                <w:szCs w:val="18"/>
              </w:rPr>
              <w:t>经营类事业单位国有资产处置</w:t>
            </w:r>
          </w:p>
        </w:tc>
        <w:tc>
          <w:tcPr>
            <w:tcW w:w="2063" w:type="pct"/>
            <w:vMerge/>
            <w:shd w:val="clear" w:color="auto" w:fill="auto"/>
            <w:vAlign w:val="center"/>
            <w:hideMark/>
          </w:tcPr>
          <w:p w14:paraId="1C2B9C74" w14:textId="77777777" w:rsidR="002D3258" w:rsidRPr="002D3258" w:rsidRDefault="002D3258" w:rsidP="002D3258">
            <w:pPr>
              <w:pStyle w:val="13"/>
              <w:spacing w:line="240" w:lineRule="auto"/>
              <w:ind w:firstLineChars="0" w:firstLine="0"/>
              <w:rPr>
                <w:sz w:val="18"/>
                <w:szCs w:val="18"/>
              </w:rPr>
            </w:pPr>
          </w:p>
        </w:tc>
      </w:tr>
      <w:tr w:rsidR="002D3258" w:rsidRPr="002D3258" w14:paraId="0A2BCB39" w14:textId="77777777" w:rsidTr="002D3258">
        <w:trPr>
          <w:gridAfter w:val="1"/>
          <w:wAfter w:w="11" w:type="pct"/>
          <w:trHeight w:val="283"/>
        </w:trPr>
        <w:tc>
          <w:tcPr>
            <w:tcW w:w="407" w:type="pct"/>
            <w:shd w:val="clear" w:color="auto" w:fill="auto"/>
            <w:noWrap/>
            <w:vAlign w:val="center"/>
            <w:hideMark/>
          </w:tcPr>
          <w:p w14:paraId="238ABA30" w14:textId="77777777" w:rsidR="002D3258" w:rsidRPr="002D3258" w:rsidRDefault="002D3258" w:rsidP="002D3258">
            <w:pPr>
              <w:pStyle w:val="13"/>
              <w:spacing w:line="240" w:lineRule="auto"/>
              <w:ind w:firstLineChars="0" w:firstLine="0"/>
              <w:rPr>
                <w:sz w:val="18"/>
                <w:szCs w:val="18"/>
              </w:rPr>
            </w:pPr>
            <w:r w:rsidRPr="002D3258">
              <w:rPr>
                <w:sz w:val="18"/>
                <w:szCs w:val="18"/>
              </w:rPr>
              <w:t>54</w:t>
            </w:r>
          </w:p>
        </w:tc>
        <w:tc>
          <w:tcPr>
            <w:tcW w:w="166" w:type="pct"/>
            <w:vMerge w:val="restart"/>
            <w:shd w:val="clear" w:color="auto" w:fill="auto"/>
            <w:noWrap/>
            <w:vAlign w:val="center"/>
            <w:hideMark/>
          </w:tcPr>
          <w:p w14:paraId="1C159749" w14:textId="77777777" w:rsidR="002D3258" w:rsidRPr="002D3258" w:rsidRDefault="002D3258" w:rsidP="002D3258">
            <w:pPr>
              <w:pStyle w:val="13"/>
              <w:spacing w:line="240" w:lineRule="auto"/>
              <w:ind w:firstLineChars="0" w:firstLine="0"/>
              <w:rPr>
                <w:sz w:val="18"/>
                <w:szCs w:val="18"/>
              </w:rPr>
            </w:pPr>
            <w:r w:rsidRPr="002D3258">
              <w:rPr>
                <w:sz w:val="18"/>
                <w:szCs w:val="18"/>
              </w:rPr>
              <w:t>1.7</w:t>
            </w:r>
          </w:p>
        </w:tc>
        <w:tc>
          <w:tcPr>
            <w:tcW w:w="407" w:type="pct"/>
            <w:vMerge w:val="restart"/>
            <w:shd w:val="clear" w:color="auto" w:fill="auto"/>
            <w:noWrap/>
            <w:vAlign w:val="center"/>
            <w:hideMark/>
          </w:tcPr>
          <w:p w14:paraId="035988D1" w14:textId="77777777" w:rsidR="002D3258" w:rsidRPr="002D3258" w:rsidRDefault="002D3258" w:rsidP="002D3258">
            <w:pPr>
              <w:pStyle w:val="13"/>
              <w:spacing w:line="240" w:lineRule="auto"/>
              <w:ind w:firstLineChars="0" w:firstLine="0"/>
              <w:rPr>
                <w:sz w:val="18"/>
                <w:szCs w:val="18"/>
              </w:rPr>
            </w:pPr>
            <w:r w:rsidRPr="002D3258">
              <w:rPr>
                <w:sz w:val="18"/>
                <w:szCs w:val="18"/>
              </w:rPr>
              <w:t>企业</w:t>
            </w:r>
          </w:p>
        </w:tc>
        <w:tc>
          <w:tcPr>
            <w:tcW w:w="484" w:type="pct"/>
            <w:shd w:val="clear" w:color="auto" w:fill="auto"/>
            <w:noWrap/>
            <w:vAlign w:val="center"/>
            <w:hideMark/>
          </w:tcPr>
          <w:p w14:paraId="1CE25D5F" w14:textId="77777777" w:rsidR="002D3258" w:rsidRPr="002D3258" w:rsidRDefault="002D3258" w:rsidP="002D3258">
            <w:pPr>
              <w:pStyle w:val="13"/>
              <w:spacing w:line="240" w:lineRule="auto"/>
              <w:ind w:firstLineChars="0" w:firstLine="0"/>
              <w:rPr>
                <w:sz w:val="18"/>
                <w:szCs w:val="18"/>
              </w:rPr>
            </w:pPr>
            <w:r w:rsidRPr="002D3258">
              <w:rPr>
                <w:sz w:val="18"/>
                <w:szCs w:val="18"/>
              </w:rPr>
              <w:t>1.7.1</w:t>
            </w:r>
          </w:p>
        </w:tc>
        <w:tc>
          <w:tcPr>
            <w:tcW w:w="1463" w:type="pct"/>
            <w:shd w:val="clear" w:color="auto" w:fill="auto"/>
            <w:noWrap/>
            <w:vAlign w:val="center"/>
            <w:hideMark/>
          </w:tcPr>
          <w:p w14:paraId="3324B5C4" w14:textId="77777777" w:rsidR="002D3258" w:rsidRPr="002D3258" w:rsidRDefault="002D3258" w:rsidP="002D3258">
            <w:pPr>
              <w:pStyle w:val="13"/>
              <w:spacing w:line="240" w:lineRule="auto"/>
              <w:ind w:firstLineChars="0" w:firstLine="0"/>
              <w:rPr>
                <w:sz w:val="18"/>
                <w:szCs w:val="18"/>
              </w:rPr>
            </w:pPr>
            <w:r w:rsidRPr="002D3258">
              <w:rPr>
                <w:sz w:val="18"/>
                <w:szCs w:val="18"/>
              </w:rPr>
              <w:t>商誉减值测试</w:t>
            </w:r>
          </w:p>
        </w:tc>
        <w:tc>
          <w:tcPr>
            <w:tcW w:w="2063" w:type="pct"/>
            <w:shd w:val="clear" w:color="auto" w:fill="auto"/>
            <w:vAlign w:val="center"/>
            <w:hideMark/>
          </w:tcPr>
          <w:p w14:paraId="225DF925" w14:textId="77777777" w:rsidR="002D3258" w:rsidRPr="002D3258" w:rsidRDefault="002D3258" w:rsidP="002D3258">
            <w:pPr>
              <w:pStyle w:val="13"/>
              <w:spacing w:line="240" w:lineRule="auto"/>
              <w:ind w:firstLineChars="0" w:firstLine="0"/>
              <w:rPr>
                <w:sz w:val="18"/>
                <w:szCs w:val="18"/>
              </w:rPr>
            </w:pPr>
            <w:r w:rsidRPr="002D3258">
              <w:rPr>
                <w:sz w:val="18"/>
                <w:szCs w:val="18"/>
              </w:rPr>
              <w:t>（1）《企业会计准则第8号--资产减值》（财会〔2006〕3号）；</w:t>
            </w:r>
            <w:r w:rsidRPr="002D3258">
              <w:rPr>
                <w:sz w:val="18"/>
                <w:szCs w:val="18"/>
              </w:rPr>
              <w:br/>
              <w:t>（2）《会计监管风险提示第8号——商誉减值》（证监办发〔2018〕92号）</w:t>
            </w:r>
            <w:r w:rsidRPr="002D3258">
              <w:rPr>
                <w:rFonts w:hint="eastAsia"/>
                <w:sz w:val="18"/>
                <w:szCs w:val="18"/>
              </w:rPr>
              <w:t>扥</w:t>
            </w:r>
            <w:r w:rsidRPr="002D3258">
              <w:rPr>
                <w:sz w:val="18"/>
                <w:szCs w:val="18"/>
              </w:rPr>
              <w:t>。</w:t>
            </w:r>
          </w:p>
        </w:tc>
      </w:tr>
      <w:tr w:rsidR="002D3258" w:rsidRPr="002D3258" w14:paraId="51235B8D" w14:textId="77777777" w:rsidTr="002D3258">
        <w:trPr>
          <w:gridAfter w:val="1"/>
          <w:wAfter w:w="11" w:type="pct"/>
          <w:trHeight w:val="283"/>
        </w:trPr>
        <w:tc>
          <w:tcPr>
            <w:tcW w:w="407" w:type="pct"/>
            <w:shd w:val="clear" w:color="auto" w:fill="auto"/>
            <w:noWrap/>
            <w:vAlign w:val="center"/>
            <w:hideMark/>
          </w:tcPr>
          <w:p w14:paraId="4D2007D2" w14:textId="77777777" w:rsidR="002D3258" w:rsidRPr="002D3258" w:rsidRDefault="002D3258" w:rsidP="002D3258">
            <w:pPr>
              <w:pStyle w:val="13"/>
              <w:spacing w:line="240" w:lineRule="auto"/>
              <w:ind w:firstLineChars="0" w:firstLine="0"/>
              <w:rPr>
                <w:sz w:val="18"/>
                <w:szCs w:val="18"/>
              </w:rPr>
            </w:pPr>
            <w:r w:rsidRPr="002D3258">
              <w:rPr>
                <w:sz w:val="18"/>
                <w:szCs w:val="18"/>
              </w:rPr>
              <w:t>55</w:t>
            </w:r>
          </w:p>
        </w:tc>
        <w:tc>
          <w:tcPr>
            <w:tcW w:w="166" w:type="pct"/>
            <w:vMerge/>
            <w:shd w:val="clear" w:color="auto" w:fill="auto"/>
            <w:vAlign w:val="center"/>
            <w:hideMark/>
          </w:tcPr>
          <w:p w14:paraId="60D8F361"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DFDC63F"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BAB6251" w14:textId="77777777" w:rsidR="002D3258" w:rsidRPr="002D3258" w:rsidRDefault="002D3258" w:rsidP="002D3258">
            <w:pPr>
              <w:pStyle w:val="13"/>
              <w:spacing w:line="240" w:lineRule="auto"/>
              <w:ind w:firstLineChars="0" w:firstLine="0"/>
              <w:rPr>
                <w:sz w:val="18"/>
                <w:szCs w:val="18"/>
              </w:rPr>
            </w:pPr>
            <w:r w:rsidRPr="002D3258">
              <w:rPr>
                <w:sz w:val="18"/>
                <w:szCs w:val="18"/>
              </w:rPr>
              <w:t>1.7.2</w:t>
            </w:r>
          </w:p>
        </w:tc>
        <w:tc>
          <w:tcPr>
            <w:tcW w:w="1463" w:type="pct"/>
            <w:shd w:val="clear" w:color="auto" w:fill="auto"/>
            <w:noWrap/>
            <w:vAlign w:val="center"/>
            <w:hideMark/>
          </w:tcPr>
          <w:p w14:paraId="48E7619E" w14:textId="77777777" w:rsidR="002D3258" w:rsidRPr="002D3258" w:rsidRDefault="002D3258" w:rsidP="002D3258">
            <w:pPr>
              <w:pStyle w:val="13"/>
              <w:spacing w:line="240" w:lineRule="auto"/>
              <w:ind w:firstLineChars="0" w:firstLine="0"/>
              <w:rPr>
                <w:sz w:val="18"/>
                <w:szCs w:val="18"/>
              </w:rPr>
            </w:pPr>
            <w:r w:rsidRPr="002D3258">
              <w:rPr>
                <w:sz w:val="18"/>
                <w:szCs w:val="18"/>
              </w:rPr>
              <w:t>其他资产或资产组减值测试</w:t>
            </w:r>
          </w:p>
        </w:tc>
        <w:tc>
          <w:tcPr>
            <w:tcW w:w="2063" w:type="pct"/>
            <w:shd w:val="clear" w:color="auto" w:fill="auto"/>
            <w:vAlign w:val="center"/>
            <w:hideMark/>
          </w:tcPr>
          <w:p w14:paraId="6F98B9F8" w14:textId="77777777" w:rsidR="002D3258" w:rsidRPr="002D3258" w:rsidRDefault="002D3258" w:rsidP="002D3258">
            <w:pPr>
              <w:pStyle w:val="13"/>
              <w:spacing w:line="240" w:lineRule="auto"/>
              <w:ind w:firstLineChars="0" w:firstLine="0"/>
              <w:rPr>
                <w:sz w:val="18"/>
                <w:szCs w:val="18"/>
              </w:rPr>
            </w:pPr>
            <w:r w:rsidRPr="002D3258">
              <w:rPr>
                <w:sz w:val="18"/>
                <w:szCs w:val="18"/>
              </w:rPr>
              <w:t>《企业会计准则第8号——资产减值》（财会〔2006〕3号）</w:t>
            </w:r>
          </w:p>
        </w:tc>
      </w:tr>
      <w:tr w:rsidR="002D3258" w:rsidRPr="002D3258" w14:paraId="6CD14BE2" w14:textId="77777777" w:rsidTr="002D3258">
        <w:trPr>
          <w:gridAfter w:val="1"/>
          <w:wAfter w:w="11" w:type="pct"/>
          <w:trHeight w:val="283"/>
        </w:trPr>
        <w:tc>
          <w:tcPr>
            <w:tcW w:w="407" w:type="pct"/>
            <w:shd w:val="clear" w:color="auto" w:fill="auto"/>
            <w:noWrap/>
            <w:vAlign w:val="center"/>
            <w:hideMark/>
          </w:tcPr>
          <w:p w14:paraId="547BFED2" w14:textId="77777777" w:rsidR="002D3258" w:rsidRPr="002D3258" w:rsidRDefault="002D3258" w:rsidP="002D3258">
            <w:pPr>
              <w:pStyle w:val="13"/>
              <w:spacing w:line="240" w:lineRule="auto"/>
              <w:ind w:firstLineChars="0" w:firstLine="0"/>
              <w:rPr>
                <w:sz w:val="18"/>
                <w:szCs w:val="18"/>
              </w:rPr>
            </w:pPr>
            <w:r w:rsidRPr="002D3258">
              <w:rPr>
                <w:sz w:val="18"/>
                <w:szCs w:val="18"/>
              </w:rPr>
              <w:t>56</w:t>
            </w:r>
          </w:p>
        </w:tc>
        <w:tc>
          <w:tcPr>
            <w:tcW w:w="166" w:type="pct"/>
            <w:vMerge/>
            <w:shd w:val="clear" w:color="auto" w:fill="auto"/>
            <w:vAlign w:val="center"/>
            <w:hideMark/>
          </w:tcPr>
          <w:p w14:paraId="33EBACE2"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35437D6"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0EEEF80" w14:textId="77777777" w:rsidR="002D3258" w:rsidRPr="002D3258" w:rsidRDefault="002D3258" w:rsidP="002D3258">
            <w:pPr>
              <w:pStyle w:val="13"/>
              <w:spacing w:line="240" w:lineRule="auto"/>
              <w:ind w:firstLineChars="0" w:firstLine="0"/>
              <w:rPr>
                <w:sz w:val="18"/>
                <w:szCs w:val="18"/>
              </w:rPr>
            </w:pPr>
            <w:r w:rsidRPr="002D3258">
              <w:rPr>
                <w:sz w:val="18"/>
                <w:szCs w:val="18"/>
              </w:rPr>
              <w:t>1.7.3</w:t>
            </w:r>
          </w:p>
        </w:tc>
        <w:tc>
          <w:tcPr>
            <w:tcW w:w="1463" w:type="pct"/>
            <w:shd w:val="clear" w:color="auto" w:fill="auto"/>
            <w:noWrap/>
            <w:vAlign w:val="center"/>
            <w:hideMark/>
          </w:tcPr>
          <w:p w14:paraId="6966C48F" w14:textId="77777777" w:rsidR="002D3258" w:rsidRPr="002D3258" w:rsidRDefault="002D3258" w:rsidP="002D3258">
            <w:pPr>
              <w:pStyle w:val="13"/>
              <w:spacing w:line="240" w:lineRule="auto"/>
              <w:ind w:firstLineChars="0" w:firstLine="0"/>
              <w:rPr>
                <w:sz w:val="18"/>
                <w:szCs w:val="18"/>
              </w:rPr>
            </w:pPr>
            <w:r w:rsidRPr="002D3258">
              <w:rPr>
                <w:sz w:val="18"/>
                <w:szCs w:val="18"/>
              </w:rPr>
              <w:t>非货币性资产公允价值评估</w:t>
            </w:r>
          </w:p>
        </w:tc>
        <w:tc>
          <w:tcPr>
            <w:tcW w:w="2063" w:type="pct"/>
            <w:shd w:val="clear" w:color="auto" w:fill="auto"/>
            <w:vAlign w:val="center"/>
            <w:hideMark/>
          </w:tcPr>
          <w:p w14:paraId="268F9198" w14:textId="77777777" w:rsidR="002D3258" w:rsidRPr="002D3258" w:rsidRDefault="002D3258" w:rsidP="002D3258">
            <w:pPr>
              <w:pStyle w:val="13"/>
              <w:spacing w:line="240" w:lineRule="auto"/>
              <w:ind w:firstLineChars="0" w:firstLine="0"/>
              <w:rPr>
                <w:sz w:val="18"/>
                <w:szCs w:val="18"/>
              </w:rPr>
            </w:pPr>
            <w:r w:rsidRPr="002D3258">
              <w:rPr>
                <w:sz w:val="18"/>
                <w:szCs w:val="18"/>
              </w:rPr>
              <w:t>《企业会计准则第7号——非货币性资产交换》（财会〔2006〕3号）</w:t>
            </w:r>
          </w:p>
        </w:tc>
      </w:tr>
      <w:tr w:rsidR="002D3258" w:rsidRPr="002D3258" w14:paraId="1451E1DA" w14:textId="77777777" w:rsidTr="002D3258">
        <w:trPr>
          <w:gridAfter w:val="1"/>
          <w:wAfter w:w="11" w:type="pct"/>
          <w:trHeight w:val="283"/>
        </w:trPr>
        <w:tc>
          <w:tcPr>
            <w:tcW w:w="407" w:type="pct"/>
            <w:shd w:val="clear" w:color="auto" w:fill="auto"/>
            <w:noWrap/>
            <w:vAlign w:val="center"/>
            <w:hideMark/>
          </w:tcPr>
          <w:p w14:paraId="34590ADF" w14:textId="77777777" w:rsidR="002D3258" w:rsidRPr="002D3258" w:rsidRDefault="002D3258" w:rsidP="002D3258">
            <w:pPr>
              <w:pStyle w:val="13"/>
              <w:spacing w:line="240" w:lineRule="auto"/>
              <w:ind w:firstLineChars="0" w:firstLine="0"/>
              <w:rPr>
                <w:sz w:val="18"/>
                <w:szCs w:val="18"/>
              </w:rPr>
            </w:pPr>
            <w:r w:rsidRPr="002D3258">
              <w:rPr>
                <w:sz w:val="18"/>
                <w:szCs w:val="18"/>
              </w:rPr>
              <w:t>57</w:t>
            </w:r>
          </w:p>
        </w:tc>
        <w:tc>
          <w:tcPr>
            <w:tcW w:w="166" w:type="pct"/>
            <w:vMerge/>
            <w:shd w:val="clear" w:color="auto" w:fill="auto"/>
            <w:vAlign w:val="center"/>
            <w:hideMark/>
          </w:tcPr>
          <w:p w14:paraId="5702EAE5"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5FA43E3"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D0B1623" w14:textId="77777777" w:rsidR="002D3258" w:rsidRPr="002D3258" w:rsidRDefault="002D3258" w:rsidP="002D3258">
            <w:pPr>
              <w:pStyle w:val="13"/>
              <w:spacing w:line="240" w:lineRule="auto"/>
              <w:ind w:firstLineChars="0" w:firstLine="0"/>
              <w:rPr>
                <w:sz w:val="18"/>
                <w:szCs w:val="18"/>
              </w:rPr>
            </w:pPr>
            <w:r w:rsidRPr="002D3258">
              <w:rPr>
                <w:sz w:val="18"/>
                <w:szCs w:val="18"/>
              </w:rPr>
              <w:t>1.7.4</w:t>
            </w:r>
          </w:p>
        </w:tc>
        <w:tc>
          <w:tcPr>
            <w:tcW w:w="1463" w:type="pct"/>
            <w:shd w:val="clear" w:color="auto" w:fill="auto"/>
            <w:noWrap/>
            <w:vAlign w:val="center"/>
            <w:hideMark/>
          </w:tcPr>
          <w:p w14:paraId="7D5CF8CE" w14:textId="77777777" w:rsidR="002D3258" w:rsidRPr="002D3258" w:rsidRDefault="002D3258" w:rsidP="002D3258">
            <w:pPr>
              <w:pStyle w:val="13"/>
              <w:spacing w:line="240" w:lineRule="auto"/>
              <w:ind w:firstLineChars="0" w:firstLine="0"/>
              <w:rPr>
                <w:sz w:val="18"/>
                <w:szCs w:val="18"/>
              </w:rPr>
            </w:pPr>
            <w:r w:rsidRPr="002D3258">
              <w:rPr>
                <w:sz w:val="18"/>
                <w:szCs w:val="18"/>
              </w:rPr>
              <w:t>金融工具公允价值评估</w:t>
            </w:r>
          </w:p>
        </w:tc>
        <w:tc>
          <w:tcPr>
            <w:tcW w:w="2063" w:type="pct"/>
            <w:shd w:val="clear" w:color="auto" w:fill="auto"/>
            <w:vAlign w:val="center"/>
            <w:hideMark/>
          </w:tcPr>
          <w:p w14:paraId="72C1EA99" w14:textId="77777777" w:rsidR="002D3258" w:rsidRPr="002D3258" w:rsidRDefault="002D3258" w:rsidP="002D3258">
            <w:pPr>
              <w:pStyle w:val="13"/>
              <w:spacing w:line="240" w:lineRule="auto"/>
              <w:ind w:firstLineChars="0" w:firstLine="0"/>
              <w:rPr>
                <w:sz w:val="18"/>
                <w:szCs w:val="18"/>
              </w:rPr>
            </w:pPr>
            <w:r w:rsidRPr="002D3258">
              <w:rPr>
                <w:sz w:val="18"/>
                <w:szCs w:val="18"/>
              </w:rPr>
              <w:t>《企业会计准则第22号——金融工具确认和计量》（财会〔2017〕7号）</w:t>
            </w:r>
          </w:p>
        </w:tc>
      </w:tr>
      <w:tr w:rsidR="002D3258" w:rsidRPr="002D3258" w14:paraId="58254C8E" w14:textId="77777777" w:rsidTr="002D3258">
        <w:trPr>
          <w:gridAfter w:val="1"/>
          <w:wAfter w:w="11" w:type="pct"/>
          <w:trHeight w:val="283"/>
        </w:trPr>
        <w:tc>
          <w:tcPr>
            <w:tcW w:w="407" w:type="pct"/>
            <w:shd w:val="clear" w:color="auto" w:fill="auto"/>
            <w:noWrap/>
            <w:vAlign w:val="center"/>
            <w:hideMark/>
          </w:tcPr>
          <w:p w14:paraId="24521BD3" w14:textId="77777777" w:rsidR="002D3258" w:rsidRPr="002D3258" w:rsidRDefault="002D3258" w:rsidP="002D3258">
            <w:pPr>
              <w:pStyle w:val="13"/>
              <w:spacing w:line="240" w:lineRule="auto"/>
              <w:ind w:firstLineChars="0" w:firstLine="0"/>
              <w:rPr>
                <w:sz w:val="18"/>
                <w:szCs w:val="18"/>
              </w:rPr>
            </w:pPr>
            <w:r w:rsidRPr="002D3258">
              <w:rPr>
                <w:sz w:val="18"/>
                <w:szCs w:val="18"/>
              </w:rPr>
              <w:t>58</w:t>
            </w:r>
          </w:p>
        </w:tc>
        <w:tc>
          <w:tcPr>
            <w:tcW w:w="166" w:type="pct"/>
            <w:vMerge/>
            <w:shd w:val="clear" w:color="auto" w:fill="auto"/>
            <w:vAlign w:val="center"/>
            <w:hideMark/>
          </w:tcPr>
          <w:p w14:paraId="7D0226E5"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69B16B3"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6C2C671" w14:textId="77777777" w:rsidR="002D3258" w:rsidRPr="002D3258" w:rsidRDefault="002D3258" w:rsidP="002D3258">
            <w:pPr>
              <w:pStyle w:val="13"/>
              <w:spacing w:line="240" w:lineRule="auto"/>
              <w:ind w:firstLineChars="0" w:firstLine="0"/>
              <w:rPr>
                <w:sz w:val="18"/>
                <w:szCs w:val="18"/>
              </w:rPr>
            </w:pPr>
            <w:r w:rsidRPr="002D3258">
              <w:rPr>
                <w:sz w:val="18"/>
                <w:szCs w:val="18"/>
              </w:rPr>
              <w:t>1.7.5</w:t>
            </w:r>
          </w:p>
        </w:tc>
        <w:tc>
          <w:tcPr>
            <w:tcW w:w="1463" w:type="pct"/>
            <w:shd w:val="clear" w:color="auto" w:fill="auto"/>
            <w:noWrap/>
            <w:vAlign w:val="center"/>
            <w:hideMark/>
          </w:tcPr>
          <w:p w14:paraId="4943A8BA" w14:textId="77777777" w:rsidR="002D3258" w:rsidRPr="002D3258" w:rsidRDefault="002D3258" w:rsidP="002D3258">
            <w:pPr>
              <w:pStyle w:val="13"/>
              <w:spacing w:line="240" w:lineRule="auto"/>
              <w:ind w:firstLineChars="0" w:firstLine="0"/>
              <w:rPr>
                <w:sz w:val="18"/>
                <w:szCs w:val="18"/>
              </w:rPr>
            </w:pPr>
            <w:r w:rsidRPr="002D3258">
              <w:rPr>
                <w:sz w:val="18"/>
                <w:szCs w:val="18"/>
              </w:rPr>
              <w:t>基金估值</w:t>
            </w:r>
          </w:p>
        </w:tc>
        <w:tc>
          <w:tcPr>
            <w:tcW w:w="2063" w:type="pct"/>
            <w:shd w:val="clear" w:color="auto" w:fill="auto"/>
            <w:vAlign w:val="center"/>
            <w:hideMark/>
          </w:tcPr>
          <w:p w14:paraId="43ACD2F1" w14:textId="4D7F88D8" w:rsidR="002D3258" w:rsidRPr="002D3258" w:rsidRDefault="002D3258" w:rsidP="002D3258">
            <w:pPr>
              <w:pStyle w:val="13"/>
              <w:spacing w:line="240" w:lineRule="auto"/>
              <w:ind w:firstLineChars="0" w:firstLine="0"/>
              <w:rPr>
                <w:sz w:val="18"/>
                <w:szCs w:val="18"/>
              </w:rPr>
            </w:pPr>
            <w:r w:rsidRPr="002D3258">
              <w:rPr>
                <w:sz w:val="18"/>
                <w:szCs w:val="18"/>
              </w:rPr>
              <w:t>（1）《证券投资基金参与转融通证券出借业务会计核算和估值业务指引（试行）》（</w:t>
            </w:r>
            <w:proofErr w:type="gramStart"/>
            <w:r w:rsidRPr="002D3258">
              <w:rPr>
                <w:sz w:val="18"/>
                <w:szCs w:val="18"/>
              </w:rPr>
              <w:t>中基协发</w:t>
            </w:r>
            <w:proofErr w:type="gramEnd"/>
            <w:r w:rsidRPr="002D3258">
              <w:rPr>
                <w:sz w:val="18"/>
                <w:szCs w:val="18"/>
              </w:rPr>
              <w:t>〔2019〕5号 ）；</w:t>
            </w:r>
            <w:r w:rsidRPr="002D3258">
              <w:rPr>
                <w:sz w:val="18"/>
                <w:szCs w:val="18"/>
              </w:rPr>
              <w:br/>
              <w:t>（2）《证券投资基金参与同业存单会计核算和估值业务指引（试行）》（</w:t>
            </w:r>
            <w:proofErr w:type="gramStart"/>
            <w:r w:rsidRPr="002D3258">
              <w:rPr>
                <w:sz w:val="18"/>
                <w:szCs w:val="18"/>
              </w:rPr>
              <w:t>中基协发</w:t>
            </w:r>
            <w:proofErr w:type="gramEnd"/>
            <w:r w:rsidRPr="002D3258">
              <w:rPr>
                <w:sz w:val="18"/>
                <w:szCs w:val="18"/>
              </w:rPr>
              <w:t>〔2015〕12号）；</w:t>
            </w:r>
            <w:r w:rsidRPr="002D3258">
              <w:rPr>
                <w:sz w:val="18"/>
                <w:szCs w:val="18"/>
              </w:rPr>
              <w:br/>
              <w:t>（3）《证券投资基金港股通投资资金清算和会计核算估值业务指引（试行）》 （</w:t>
            </w:r>
            <w:proofErr w:type="gramStart"/>
            <w:r w:rsidRPr="002D3258">
              <w:rPr>
                <w:sz w:val="18"/>
                <w:szCs w:val="18"/>
              </w:rPr>
              <w:t>中基协发</w:t>
            </w:r>
            <w:proofErr w:type="gramEnd"/>
            <w:r w:rsidRPr="002D3258">
              <w:rPr>
                <w:sz w:val="18"/>
                <w:szCs w:val="18"/>
              </w:rPr>
              <w:t>（2015）17号）</w:t>
            </w:r>
            <w:r w:rsidR="003068F8">
              <w:rPr>
                <w:sz w:val="18"/>
                <w:szCs w:val="18"/>
              </w:rPr>
              <w:t>；</w:t>
            </w:r>
            <w:r w:rsidRPr="002D3258">
              <w:rPr>
                <w:sz w:val="18"/>
                <w:szCs w:val="18"/>
              </w:rPr>
              <w:br/>
              <w:t>（4）《基金中基金估值业务指引（试行）》；</w:t>
            </w:r>
            <w:r w:rsidRPr="002D3258">
              <w:rPr>
                <w:sz w:val="18"/>
                <w:szCs w:val="18"/>
              </w:rPr>
              <w:br/>
              <w:t>（5）《证券投资基金投资流通受限股票估值指引（试行）》（</w:t>
            </w:r>
            <w:proofErr w:type="gramStart"/>
            <w:r w:rsidRPr="002D3258">
              <w:rPr>
                <w:sz w:val="18"/>
                <w:szCs w:val="18"/>
              </w:rPr>
              <w:t>中基协发</w:t>
            </w:r>
            <w:proofErr w:type="gramEnd"/>
            <w:r w:rsidRPr="002D3258">
              <w:rPr>
                <w:sz w:val="18"/>
                <w:szCs w:val="18"/>
              </w:rPr>
              <w:t>〔2017〕6号）；</w:t>
            </w:r>
            <w:r w:rsidRPr="002D3258">
              <w:rPr>
                <w:sz w:val="18"/>
                <w:szCs w:val="18"/>
              </w:rPr>
              <w:br/>
              <w:t>（6）《私募投资基金非上市股权投资估值指引（试行）》（</w:t>
            </w:r>
            <w:proofErr w:type="gramStart"/>
            <w:r w:rsidRPr="002D3258">
              <w:rPr>
                <w:sz w:val="18"/>
                <w:szCs w:val="18"/>
              </w:rPr>
              <w:t>中基协发</w:t>
            </w:r>
            <w:proofErr w:type="gramEnd"/>
            <w:r w:rsidRPr="002D3258">
              <w:rPr>
                <w:sz w:val="18"/>
                <w:szCs w:val="18"/>
              </w:rPr>
              <w:t>〔2018〕1号）</w:t>
            </w:r>
            <w:r w:rsidRPr="002D3258">
              <w:rPr>
                <w:rFonts w:hint="eastAsia"/>
                <w:sz w:val="18"/>
                <w:szCs w:val="18"/>
              </w:rPr>
              <w:t>等</w:t>
            </w:r>
            <w:r w:rsidRPr="002D3258">
              <w:rPr>
                <w:sz w:val="18"/>
                <w:szCs w:val="18"/>
              </w:rPr>
              <w:t>。</w:t>
            </w:r>
          </w:p>
        </w:tc>
      </w:tr>
      <w:tr w:rsidR="002D3258" w:rsidRPr="002D3258" w14:paraId="7D985C5A" w14:textId="77777777" w:rsidTr="002D3258">
        <w:trPr>
          <w:gridAfter w:val="1"/>
          <w:wAfter w:w="11" w:type="pct"/>
          <w:trHeight w:val="283"/>
        </w:trPr>
        <w:tc>
          <w:tcPr>
            <w:tcW w:w="407" w:type="pct"/>
            <w:shd w:val="clear" w:color="auto" w:fill="auto"/>
            <w:noWrap/>
            <w:vAlign w:val="center"/>
            <w:hideMark/>
          </w:tcPr>
          <w:p w14:paraId="29F6B7BB" w14:textId="77777777" w:rsidR="002D3258" w:rsidRPr="002D3258" w:rsidRDefault="002D3258" w:rsidP="002D3258">
            <w:pPr>
              <w:pStyle w:val="13"/>
              <w:spacing w:line="240" w:lineRule="auto"/>
              <w:ind w:firstLineChars="0" w:firstLine="0"/>
              <w:rPr>
                <w:sz w:val="18"/>
                <w:szCs w:val="18"/>
              </w:rPr>
            </w:pPr>
            <w:r w:rsidRPr="002D3258">
              <w:rPr>
                <w:sz w:val="18"/>
                <w:szCs w:val="18"/>
              </w:rPr>
              <w:t>59</w:t>
            </w:r>
          </w:p>
        </w:tc>
        <w:tc>
          <w:tcPr>
            <w:tcW w:w="166" w:type="pct"/>
            <w:vMerge/>
            <w:shd w:val="clear" w:color="auto" w:fill="auto"/>
            <w:vAlign w:val="center"/>
            <w:hideMark/>
          </w:tcPr>
          <w:p w14:paraId="78F35A18"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AD450C4"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E2B4765" w14:textId="77777777" w:rsidR="002D3258" w:rsidRPr="002D3258" w:rsidRDefault="002D3258" w:rsidP="002D3258">
            <w:pPr>
              <w:pStyle w:val="13"/>
              <w:spacing w:line="240" w:lineRule="auto"/>
              <w:ind w:firstLineChars="0" w:firstLine="0"/>
              <w:rPr>
                <w:sz w:val="18"/>
                <w:szCs w:val="18"/>
              </w:rPr>
            </w:pPr>
            <w:r w:rsidRPr="002D3258">
              <w:rPr>
                <w:sz w:val="18"/>
                <w:szCs w:val="18"/>
              </w:rPr>
              <w:t>1.7.6</w:t>
            </w:r>
          </w:p>
        </w:tc>
        <w:tc>
          <w:tcPr>
            <w:tcW w:w="1463" w:type="pct"/>
            <w:shd w:val="clear" w:color="auto" w:fill="auto"/>
            <w:noWrap/>
            <w:vAlign w:val="center"/>
            <w:hideMark/>
          </w:tcPr>
          <w:p w14:paraId="4D5EBF83" w14:textId="77777777" w:rsidR="002D3258" w:rsidRPr="002D3258" w:rsidRDefault="002D3258" w:rsidP="002D3258">
            <w:pPr>
              <w:pStyle w:val="13"/>
              <w:spacing w:line="240" w:lineRule="auto"/>
              <w:ind w:firstLineChars="0" w:firstLine="0"/>
              <w:rPr>
                <w:sz w:val="18"/>
                <w:szCs w:val="18"/>
              </w:rPr>
            </w:pPr>
            <w:r w:rsidRPr="002D3258">
              <w:rPr>
                <w:sz w:val="18"/>
                <w:szCs w:val="18"/>
              </w:rPr>
              <w:t>合并对价分摊评估</w:t>
            </w:r>
          </w:p>
        </w:tc>
        <w:tc>
          <w:tcPr>
            <w:tcW w:w="2063" w:type="pct"/>
            <w:shd w:val="clear" w:color="auto" w:fill="auto"/>
            <w:vAlign w:val="center"/>
            <w:hideMark/>
          </w:tcPr>
          <w:p w14:paraId="46E5EBEA" w14:textId="77777777" w:rsidR="002D3258" w:rsidRPr="002D3258" w:rsidRDefault="002D3258" w:rsidP="002D3258">
            <w:pPr>
              <w:pStyle w:val="13"/>
              <w:spacing w:line="240" w:lineRule="auto"/>
              <w:ind w:firstLineChars="0" w:firstLine="0"/>
              <w:rPr>
                <w:sz w:val="18"/>
                <w:szCs w:val="18"/>
              </w:rPr>
            </w:pPr>
            <w:r w:rsidRPr="002D3258">
              <w:rPr>
                <w:sz w:val="18"/>
                <w:szCs w:val="18"/>
              </w:rPr>
              <w:t>《企业会计准则第20号——企业合并》（财会〔2006〕3号）</w:t>
            </w:r>
          </w:p>
        </w:tc>
      </w:tr>
      <w:tr w:rsidR="002D3258" w:rsidRPr="002D3258" w14:paraId="7684B802" w14:textId="77777777" w:rsidTr="002D3258">
        <w:trPr>
          <w:gridAfter w:val="1"/>
          <w:wAfter w:w="11" w:type="pct"/>
          <w:trHeight w:val="283"/>
        </w:trPr>
        <w:tc>
          <w:tcPr>
            <w:tcW w:w="407" w:type="pct"/>
            <w:shd w:val="clear" w:color="auto" w:fill="auto"/>
            <w:noWrap/>
            <w:vAlign w:val="center"/>
            <w:hideMark/>
          </w:tcPr>
          <w:p w14:paraId="591BDB8F" w14:textId="77777777" w:rsidR="002D3258" w:rsidRPr="002D3258" w:rsidRDefault="002D3258" w:rsidP="002D3258">
            <w:pPr>
              <w:pStyle w:val="13"/>
              <w:spacing w:line="240" w:lineRule="auto"/>
              <w:ind w:firstLineChars="0" w:firstLine="0"/>
              <w:rPr>
                <w:sz w:val="18"/>
                <w:szCs w:val="18"/>
              </w:rPr>
            </w:pPr>
            <w:r w:rsidRPr="002D3258">
              <w:rPr>
                <w:sz w:val="18"/>
                <w:szCs w:val="18"/>
              </w:rPr>
              <w:t>N60</w:t>
            </w:r>
          </w:p>
        </w:tc>
        <w:tc>
          <w:tcPr>
            <w:tcW w:w="166" w:type="pct"/>
            <w:vMerge/>
            <w:shd w:val="clear" w:color="auto" w:fill="auto"/>
            <w:vAlign w:val="center"/>
            <w:hideMark/>
          </w:tcPr>
          <w:p w14:paraId="1CC2E853"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C5776CA"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2751DE4" w14:textId="77777777" w:rsidR="002D3258" w:rsidRPr="002D3258" w:rsidRDefault="002D3258" w:rsidP="002D3258">
            <w:pPr>
              <w:pStyle w:val="13"/>
              <w:spacing w:line="240" w:lineRule="auto"/>
              <w:ind w:firstLineChars="0" w:firstLine="0"/>
              <w:rPr>
                <w:sz w:val="18"/>
                <w:szCs w:val="18"/>
              </w:rPr>
            </w:pPr>
            <w:r w:rsidRPr="002D3258">
              <w:rPr>
                <w:sz w:val="18"/>
                <w:szCs w:val="18"/>
              </w:rPr>
              <w:t>1.7.7</w:t>
            </w:r>
          </w:p>
        </w:tc>
        <w:tc>
          <w:tcPr>
            <w:tcW w:w="1463" w:type="pct"/>
            <w:shd w:val="clear" w:color="auto" w:fill="auto"/>
            <w:noWrap/>
            <w:vAlign w:val="center"/>
            <w:hideMark/>
          </w:tcPr>
          <w:p w14:paraId="22088D12" w14:textId="77777777" w:rsidR="002D3258" w:rsidRPr="002D3258" w:rsidRDefault="002D3258" w:rsidP="002D3258">
            <w:pPr>
              <w:pStyle w:val="13"/>
              <w:spacing w:line="240" w:lineRule="auto"/>
              <w:ind w:firstLineChars="0" w:firstLine="0"/>
              <w:rPr>
                <w:sz w:val="18"/>
                <w:szCs w:val="18"/>
              </w:rPr>
            </w:pPr>
            <w:r w:rsidRPr="002D3258">
              <w:rPr>
                <w:sz w:val="18"/>
                <w:szCs w:val="18"/>
              </w:rPr>
              <w:t>金融企业抵押物管理及评估</w:t>
            </w:r>
          </w:p>
        </w:tc>
        <w:tc>
          <w:tcPr>
            <w:tcW w:w="2063" w:type="pct"/>
            <w:shd w:val="clear" w:color="auto" w:fill="auto"/>
            <w:noWrap/>
            <w:vAlign w:val="center"/>
            <w:hideMark/>
          </w:tcPr>
          <w:p w14:paraId="3D18ABD4"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118BEEED" w14:textId="77777777" w:rsidTr="002D3258">
        <w:trPr>
          <w:gridAfter w:val="1"/>
          <w:wAfter w:w="11" w:type="pct"/>
          <w:trHeight w:val="283"/>
        </w:trPr>
        <w:tc>
          <w:tcPr>
            <w:tcW w:w="407" w:type="pct"/>
            <w:shd w:val="clear" w:color="auto" w:fill="auto"/>
            <w:noWrap/>
            <w:vAlign w:val="center"/>
          </w:tcPr>
          <w:p w14:paraId="5C941651" w14:textId="77777777" w:rsidR="002D3258" w:rsidRPr="002D3258" w:rsidRDefault="002D3258" w:rsidP="002D3258">
            <w:pPr>
              <w:pStyle w:val="13"/>
              <w:spacing w:line="240" w:lineRule="auto"/>
              <w:ind w:firstLineChars="0" w:firstLine="0"/>
              <w:rPr>
                <w:sz w:val="18"/>
                <w:szCs w:val="18"/>
              </w:rPr>
            </w:pPr>
            <w:r w:rsidRPr="002D3258">
              <w:rPr>
                <w:sz w:val="18"/>
                <w:szCs w:val="18"/>
              </w:rPr>
              <w:t>61</w:t>
            </w:r>
          </w:p>
        </w:tc>
        <w:tc>
          <w:tcPr>
            <w:tcW w:w="166" w:type="pct"/>
            <w:vMerge/>
            <w:shd w:val="clear" w:color="auto" w:fill="auto"/>
            <w:noWrap/>
            <w:vAlign w:val="center"/>
          </w:tcPr>
          <w:p w14:paraId="3829095A"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noWrap/>
            <w:vAlign w:val="center"/>
          </w:tcPr>
          <w:p w14:paraId="1958991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76F4CCB5" w14:textId="77777777" w:rsidR="002D3258" w:rsidRPr="002D3258" w:rsidRDefault="002D3258" w:rsidP="002D3258">
            <w:pPr>
              <w:pStyle w:val="13"/>
              <w:spacing w:line="240" w:lineRule="auto"/>
              <w:ind w:firstLineChars="0" w:firstLine="0"/>
              <w:rPr>
                <w:sz w:val="18"/>
                <w:szCs w:val="18"/>
              </w:rPr>
            </w:pPr>
            <w:r w:rsidRPr="002D3258">
              <w:rPr>
                <w:sz w:val="18"/>
                <w:szCs w:val="18"/>
              </w:rPr>
              <w:t>1.7.8</w:t>
            </w:r>
          </w:p>
        </w:tc>
        <w:tc>
          <w:tcPr>
            <w:tcW w:w="1463" w:type="pct"/>
            <w:shd w:val="clear" w:color="auto" w:fill="auto"/>
            <w:noWrap/>
            <w:vAlign w:val="center"/>
          </w:tcPr>
          <w:p w14:paraId="285E2A0D" w14:textId="77777777" w:rsidR="002D3258" w:rsidRPr="002D3258" w:rsidRDefault="002D3258" w:rsidP="002D3258">
            <w:pPr>
              <w:pStyle w:val="13"/>
              <w:spacing w:line="240" w:lineRule="auto"/>
              <w:ind w:firstLineChars="0" w:firstLine="0"/>
              <w:rPr>
                <w:sz w:val="18"/>
                <w:szCs w:val="18"/>
              </w:rPr>
            </w:pPr>
            <w:r w:rsidRPr="002D3258">
              <w:rPr>
                <w:sz w:val="18"/>
                <w:szCs w:val="18"/>
              </w:rPr>
              <w:t>外国投资者对境内企业并购</w:t>
            </w:r>
          </w:p>
        </w:tc>
        <w:tc>
          <w:tcPr>
            <w:tcW w:w="2063" w:type="pct"/>
            <w:shd w:val="clear" w:color="auto" w:fill="auto"/>
            <w:vAlign w:val="center"/>
          </w:tcPr>
          <w:p w14:paraId="3F7FF696" w14:textId="77777777" w:rsidR="002D3258" w:rsidRPr="002D3258" w:rsidRDefault="002D3258" w:rsidP="002D3258">
            <w:pPr>
              <w:pStyle w:val="13"/>
              <w:spacing w:line="240" w:lineRule="auto"/>
              <w:ind w:firstLineChars="0" w:firstLine="0"/>
              <w:rPr>
                <w:sz w:val="18"/>
                <w:szCs w:val="18"/>
              </w:rPr>
            </w:pPr>
            <w:r w:rsidRPr="002D3258">
              <w:rPr>
                <w:sz w:val="18"/>
                <w:szCs w:val="18"/>
              </w:rPr>
              <w:t>（1）《外国投资者并购境内企业暂行规定》（商务部 国务院国有资产监督管理委员会 国家税务总局 国家工商行政管理总局 中国证券监督管理委员会 国家外汇管理局令2006年第10号 根据商务部令2009年第6号修订）；</w:t>
            </w:r>
          </w:p>
          <w:p w14:paraId="2B23A55F" w14:textId="77777777" w:rsidR="002D3258" w:rsidRPr="002D3258" w:rsidRDefault="002D3258" w:rsidP="002D3258">
            <w:pPr>
              <w:pStyle w:val="13"/>
              <w:spacing w:line="240" w:lineRule="auto"/>
              <w:ind w:firstLineChars="0" w:firstLine="0"/>
              <w:rPr>
                <w:sz w:val="18"/>
                <w:szCs w:val="18"/>
              </w:rPr>
            </w:pPr>
            <w:r w:rsidRPr="002D3258">
              <w:rPr>
                <w:sz w:val="18"/>
                <w:szCs w:val="18"/>
              </w:rPr>
              <w:t>（2）《关于外国投资者并购境内企业股权有关税收问题的通知》（国税发〔2003〕60号）</w:t>
            </w:r>
            <w:r w:rsidRPr="002D3258">
              <w:rPr>
                <w:rFonts w:hint="eastAsia"/>
                <w:sz w:val="18"/>
                <w:szCs w:val="18"/>
              </w:rPr>
              <w:t>等</w:t>
            </w:r>
            <w:r w:rsidRPr="002D3258">
              <w:rPr>
                <w:sz w:val="18"/>
                <w:szCs w:val="18"/>
              </w:rPr>
              <w:t>。</w:t>
            </w:r>
          </w:p>
        </w:tc>
      </w:tr>
      <w:tr w:rsidR="002D3258" w:rsidRPr="002D3258" w14:paraId="01BB58DC" w14:textId="77777777" w:rsidTr="002D3258">
        <w:trPr>
          <w:gridAfter w:val="1"/>
          <w:wAfter w:w="11" w:type="pct"/>
          <w:trHeight w:val="283"/>
        </w:trPr>
        <w:tc>
          <w:tcPr>
            <w:tcW w:w="407" w:type="pct"/>
            <w:shd w:val="clear" w:color="auto" w:fill="auto"/>
            <w:noWrap/>
            <w:vAlign w:val="center"/>
            <w:hideMark/>
          </w:tcPr>
          <w:p w14:paraId="4059C387" w14:textId="77777777" w:rsidR="002D3258" w:rsidRPr="002D3258" w:rsidRDefault="002D3258" w:rsidP="002D3258">
            <w:pPr>
              <w:pStyle w:val="13"/>
              <w:spacing w:line="240" w:lineRule="auto"/>
              <w:ind w:firstLineChars="0" w:firstLine="0"/>
              <w:rPr>
                <w:sz w:val="18"/>
                <w:szCs w:val="18"/>
              </w:rPr>
            </w:pPr>
            <w:r w:rsidRPr="002D3258">
              <w:rPr>
                <w:sz w:val="18"/>
                <w:szCs w:val="18"/>
              </w:rPr>
              <w:t>62</w:t>
            </w:r>
          </w:p>
        </w:tc>
        <w:tc>
          <w:tcPr>
            <w:tcW w:w="166" w:type="pct"/>
            <w:vMerge w:val="restart"/>
            <w:shd w:val="clear" w:color="auto" w:fill="auto"/>
            <w:noWrap/>
            <w:vAlign w:val="center"/>
            <w:hideMark/>
          </w:tcPr>
          <w:p w14:paraId="4EAEEC2E" w14:textId="77777777" w:rsidR="002D3258" w:rsidRPr="002D3258" w:rsidRDefault="002D3258" w:rsidP="002D3258">
            <w:pPr>
              <w:pStyle w:val="13"/>
              <w:spacing w:line="240" w:lineRule="auto"/>
              <w:ind w:firstLineChars="0" w:firstLine="0"/>
              <w:rPr>
                <w:sz w:val="18"/>
                <w:szCs w:val="18"/>
              </w:rPr>
            </w:pPr>
            <w:r w:rsidRPr="002D3258">
              <w:rPr>
                <w:sz w:val="18"/>
                <w:szCs w:val="18"/>
              </w:rPr>
              <w:t>1.8</w:t>
            </w:r>
          </w:p>
        </w:tc>
        <w:tc>
          <w:tcPr>
            <w:tcW w:w="407" w:type="pct"/>
            <w:vMerge w:val="restart"/>
            <w:shd w:val="clear" w:color="auto" w:fill="auto"/>
            <w:noWrap/>
            <w:vAlign w:val="center"/>
            <w:hideMark/>
          </w:tcPr>
          <w:p w14:paraId="27A78E42" w14:textId="77777777" w:rsidR="002D3258" w:rsidRPr="002D3258" w:rsidRDefault="002D3258" w:rsidP="002D3258">
            <w:pPr>
              <w:pStyle w:val="13"/>
              <w:spacing w:line="240" w:lineRule="auto"/>
              <w:ind w:firstLineChars="0" w:firstLine="0"/>
              <w:rPr>
                <w:sz w:val="18"/>
                <w:szCs w:val="18"/>
              </w:rPr>
            </w:pPr>
            <w:r w:rsidRPr="002D3258">
              <w:rPr>
                <w:sz w:val="18"/>
                <w:szCs w:val="18"/>
              </w:rPr>
              <w:t>其他</w:t>
            </w:r>
          </w:p>
        </w:tc>
        <w:tc>
          <w:tcPr>
            <w:tcW w:w="484" w:type="pct"/>
            <w:shd w:val="clear" w:color="auto" w:fill="auto"/>
            <w:noWrap/>
            <w:vAlign w:val="center"/>
            <w:hideMark/>
          </w:tcPr>
          <w:p w14:paraId="620942E1" w14:textId="77777777" w:rsidR="002D3258" w:rsidRPr="002D3258" w:rsidRDefault="002D3258" w:rsidP="002D3258">
            <w:pPr>
              <w:pStyle w:val="13"/>
              <w:spacing w:line="240" w:lineRule="auto"/>
              <w:ind w:firstLineChars="0" w:firstLine="0"/>
              <w:rPr>
                <w:sz w:val="18"/>
                <w:szCs w:val="18"/>
              </w:rPr>
            </w:pPr>
            <w:r w:rsidRPr="002D3258">
              <w:rPr>
                <w:sz w:val="18"/>
                <w:szCs w:val="18"/>
              </w:rPr>
              <w:t>1.8.1</w:t>
            </w:r>
          </w:p>
        </w:tc>
        <w:tc>
          <w:tcPr>
            <w:tcW w:w="1463" w:type="pct"/>
            <w:shd w:val="clear" w:color="auto" w:fill="auto"/>
            <w:noWrap/>
            <w:vAlign w:val="center"/>
            <w:hideMark/>
          </w:tcPr>
          <w:p w14:paraId="1857A7D4" w14:textId="77777777" w:rsidR="002D3258" w:rsidRPr="002D3258" w:rsidRDefault="002D3258" w:rsidP="002D3258">
            <w:pPr>
              <w:pStyle w:val="13"/>
              <w:spacing w:line="240" w:lineRule="auto"/>
              <w:ind w:firstLineChars="0" w:firstLine="0"/>
              <w:rPr>
                <w:sz w:val="18"/>
                <w:szCs w:val="18"/>
              </w:rPr>
            </w:pPr>
            <w:proofErr w:type="gramStart"/>
            <w:r w:rsidRPr="002D3258">
              <w:rPr>
                <w:sz w:val="18"/>
                <w:szCs w:val="18"/>
              </w:rPr>
              <w:t>碳排放权</w:t>
            </w:r>
            <w:proofErr w:type="gramEnd"/>
            <w:r w:rsidRPr="002D3258">
              <w:rPr>
                <w:sz w:val="18"/>
                <w:szCs w:val="18"/>
              </w:rPr>
              <w:t>交易</w:t>
            </w:r>
          </w:p>
        </w:tc>
        <w:tc>
          <w:tcPr>
            <w:tcW w:w="2063" w:type="pct"/>
            <w:vMerge w:val="restart"/>
            <w:shd w:val="clear" w:color="auto" w:fill="auto"/>
            <w:vAlign w:val="center"/>
            <w:hideMark/>
          </w:tcPr>
          <w:p w14:paraId="75CE2DAE" w14:textId="45BF84FF" w:rsidR="002D3258" w:rsidRPr="002D3258" w:rsidRDefault="002D3258" w:rsidP="002D3258">
            <w:pPr>
              <w:pStyle w:val="13"/>
              <w:spacing w:line="240" w:lineRule="auto"/>
              <w:ind w:firstLineChars="0" w:firstLine="0"/>
              <w:rPr>
                <w:sz w:val="18"/>
                <w:szCs w:val="18"/>
              </w:rPr>
            </w:pPr>
            <w:r w:rsidRPr="002D3258">
              <w:rPr>
                <w:sz w:val="18"/>
                <w:szCs w:val="18"/>
              </w:rPr>
              <w:t>《中华人民共和国环境影响评价法》（2002年10月28日第九届全国人民代表大会常务委员会第三十次会议通过</w:t>
            </w:r>
            <w:r>
              <w:rPr>
                <w:sz w:val="18"/>
                <w:szCs w:val="18"/>
              </w:rPr>
              <w:t xml:space="preserve"> </w:t>
            </w:r>
            <w:r w:rsidRPr="002D3258">
              <w:rPr>
                <w:sz w:val="18"/>
                <w:szCs w:val="18"/>
              </w:rPr>
              <w:t>根据2016年7月2日第十二届全国人民代表大会常务委员会</w:t>
            </w:r>
            <w:r w:rsidRPr="002D3258">
              <w:rPr>
                <w:sz w:val="18"/>
                <w:szCs w:val="18"/>
              </w:rPr>
              <w:lastRenderedPageBreak/>
              <w:t>第二十一次会议《关于修改〈中华人民共和国节约能源法〉等六部法律的决定》第一次修正</w:t>
            </w:r>
            <w:r>
              <w:rPr>
                <w:sz w:val="18"/>
                <w:szCs w:val="18"/>
              </w:rPr>
              <w:t xml:space="preserve"> </w:t>
            </w:r>
            <w:r w:rsidRPr="002D3258">
              <w:rPr>
                <w:sz w:val="18"/>
                <w:szCs w:val="18"/>
              </w:rPr>
              <w:t>根据2018年12月29日第十三届全国人民代表大会常务委员会第七次会议《关于修改〈中华人民共和国劳动法〉等七部法律的决定》第二次修正）</w:t>
            </w:r>
          </w:p>
        </w:tc>
      </w:tr>
      <w:tr w:rsidR="002D3258" w:rsidRPr="002D3258" w14:paraId="556F00AC" w14:textId="77777777" w:rsidTr="002D3258">
        <w:trPr>
          <w:gridAfter w:val="1"/>
          <w:wAfter w:w="11" w:type="pct"/>
          <w:trHeight w:val="1234"/>
        </w:trPr>
        <w:tc>
          <w:tcPr>
            <w:tcW w:w="407" w:type="pct"/>
            <w:shd w:val="clear" w:color="auto" w:fill="auto"/>
            <w:noWrap/>
            <w:vAlign w:val="center"/>
            <w:hideMark/>
          </w:tcPr>
          <w:p w14:paraId="0B4CB216" w14:textId="77777777" w:rsidR="002D3258" w:rsidRPr="002D3258" w:rsidRDefault="002D3258" w:rsidP="002D3258">
            <w:pPr>
              <w:pStyle w:val="13"/>
              <w:spacing w:line="240" w:lineRule="auto"/>
              <w:ind w:firstLineChars="0" w:firstLine="0"/>
              <w:rPr>
                <w:sz w:val="18"/>
                <w:szCs w:val="18"/>
              </w:rPr>
            </w:pPr>
            <w:r w:rsidRPr="002D3258">
              <w:rPr>
                <w:sz w:val="18"/>
                <w:szCs w:val="18"/>
              </w:rPr>
              <w:t>63</w:t>
            </w:r>
          </w:p>
        </w:tc>
        <w:tc>
          <w:tcPr>
            <w:tcW w:w="166" w:type="pct"/>
            <w:vMerge/>
            <w:shd w:val="clear" w:color="auto" w:fill="auto"/>
            <w:vAlign w:val="center"/>
            <w:hideMark/>
          </w:tcPr>
          <w:p w14:paraId="1858B862"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EA64F8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6D45A0A8" w14:textId="77777777" w:rsidR="002D3258" w:rsidRPr="002D3258" w:rsidRDefault="002D3258" w:rsidP="002D3258">
            <w:pPr>
              <w:pStyle w:val="13"/>
              <w:spacing w:line="240" w:lineRule="auto"/>
              <w:ind w:firstLineChars="0" w:firstLine="0"/>
              <w:rPr>
                <w:sz w:val="18"/>
                <w:szCs w:val="18"/>
              </w:rPr>
            </w:pPr>
            <w:r w:rsidRPr="002D3258">
              <w:rPr>
                <w:sz w:val="18"/>
                <w:szCs w:val="18"/>
              </w:rPr>
              <w:t>1.8.2</w:t>
            </w:r>
          </w:p>
        </w:tc>
        <w:tc>
          <w:tcPr>
            <w:tcW w:w="1463" w:type="pct"/>
            <w:shd w:val="clear" w:color="auto" w:fill="auto"/>
            <w:noWrap/>
            <w:vAlign w:val="center"/>
            <w:hideMark/>
          </w:tcPr>
          <w:p w14:paraId="23312E7A" w14:textId="77777777" w:rsidR="002D3258" w:rsidRPr="002D3258" w:rsidRDefault="002D3258" w:rsidP="002D3258">
            <w:pPr>
              <w:pStyle w:val="13"/>
              <w:spacing w:line="240" w:lineRule="auto"/>
              <w:ind w:firstLineChars="0" w:firstLine="0"/>
              <w:rPr>
                <w:sz w:val="18"/>
                <w:szCs w:val="18"/>
              </w:rPr>
            </w:pPr>
            <w:proofErr w:type="gramStart"/>
            <w:r w:rsidRPr="002D3258">
              <w:rPr>
                <w:sz w:val="18"/>
                <w:szCs w:val="18"/>
              </w:rPr>
              <w:t>碳排放权</w:t>
            </w:r>
            <w:proofErr w:type="gramEnd"/>
            <w:r w:rsidRPr="002D3258">
              <w:rPr>
                <w:sz w:val="18"/>
                <w:szCs w:val="18"/>
              </w:rPr>
              <w:t>质押</w:t>
            </w:r>
          </w:p>
        </w:tc>
        <w:tc>
          <w:tcPr>
            <w:tcW w:w="2063" w:type="pct"/>
            <w:vMerge/>
            <w:shd w:val="clear" w:color="auto" w:fill="auto"/>
            <w:vAlign w:val="center"/>
            <w:hideMark/>
          </w:tcPr>
          <w:p w14:paraId="30D0CDAC" w14:textId="77777777" w:rsidR="002D3258" w:rsidRPr="002D3258" w:rsidRDefault="002D3258" w:rsidP="002D3258">
            <w:pPr>
              <w:pStyle w:val="13"/>
              <w:spacing w:line="240" w:lineRule="auto"/>
              <w:ind w:firstLineChars="0" w:firstLine="0"/>
              <w:rPr>
                <w:sz w:val="18"/>
                <w:szCs w:val="18"/>
              </w:rPr>
            </w:pPr>
          </w:p>
        </w:tc>
      </w:tr>
      <w:tr w:rsidR="002D3258" w:rsidRPr="002D3258" w14:paraId="2238A284" w14:textId="77777777" w:rsidTr="002D3258">
        <w:trPr>
          <w:gridAfter w:val="1"/>
          <w:wAfter w:w="11" w:type="pct"/>
          <w:trHeight w:val="552"/>
        </w:trPr>
        <w:tc>
          <w:tcPr>
            <w:tcW w:w="407" w:type="pct"/>
            <w:shd w:val="clear" w:color="auto" w:fill="auto"/>
            <w:noWrap/>
            <w:vAlign w:val="center"/>
            <w:hideMark/>
          </w:tcPr>
          <w:p w14:paraId="1E79A160" w14:textId="77777777" w:rsidR="002D3258" w:rsidRPr="002D3258" w:rsidRDefault="002D3258" w:rsidP="002D3258">
            <w:pPr>
              <w:pStyle w:val="13"/>
              <w:spacing w:line="240" w:lineRule="auto"/>
              <w:ind w:firstLineChars="0" w:firstLine="0"/>
              <w:rPr>
                <w:sz w:val="18"/>
                <w:szCs w:val="18"/>
              </w:rPr>
            </w:pPr>
            <w:r w:rsidRPr="002D3258">
              <w:rPr>
                <w:sz w:val="18"/>
                <w:szCs w:val="18"/>
              </w:rPr>
              <w:lastRenderedPageBreak/>
              <w:t>64</w:t>
            </w:r>
          </w:p>
        </w:tc>
        <w:tc>
          <w:tcPr>
            <w:tcW w:w="166" w:type="pct"/>
            <w:vMerge/>
            <w:shd w:val="clear" w:color="auto" w:fill="auto"/>
            <w:vAlign w:val="center"/>
            <w:hideMark/>
          </w:tcPr>
          <w:p w14:paraId="3B30A004"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3777F83"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A639810" w14:textId="77777777" w:rsidR="002D3258" w:rsidRPr="002D3258" w:rsidRDefault="002D3258" w:rsidP="002D3258">
            <w:pPr>
              <w:pStyle w:val="13"/>
              <w:spacing w:line="240" w:lineRule="auto"/>
              <w:ind w:firstLineChars="0" w:firstLine="0"/>
              <w:rPr>
                <w:sz w:val="18"/>
                <w:szCs w:val="18"/>
              </w:rPr>
            </w:pPr>
            <w:r w:rsidRPr="002D3258">
              <w:rPr>
                <w:sz w:val="18"/>
                <w:szCs w:val="18"/>
              </w:rPr>
              <w:t>1.8.3</w:t>
            </w:r>
          </w:p>
        </w:tc>
        <w:tc>
          <w:tcPr>
            <w:tcW w:w="1463" w:type="pct"/>
            <w:shd w:val="clear" w:color="auto" w:fill="auto"/>
            <w:noWrap/>
            <w:vAlign w:val="center"/>
            <w:hideMark/>
          </w:tcPr>
          <w:p w14:paraId="49CD5EA0" w14:textId="77777777" w:rsidR="002D3258" w:rsidRPr="002D3258" w:rsidRDefault="002D3258" w:rsidP="002D3258">
            <w:pPr>
              <w:pStyle w:val="13"/>
              <w:spacing w:line="240" w:lineRule="auto"/>
              <w:ind w:firstLineChars="0" w:firstLine="0"/>
              <w:rPr>
                <w:sz w:val="18"/>
                <w:szCs w:val="18"/>
              </w:rPr>
            </w:pPr>
            <w:r w:rsidRPr="002D3258">
              <w:rPr>
                <w:sz w:val="18"/>
                <w:szCs w:val="18"/>
              </w:rPr>
              <w:t>生态价值补偿价值</w:t>
            </w:r>
          </w:p>
        </w:tc>
        <w:tc>
          <w:tcPr>
            <w:tcW w:w="2063" w:type="pct"/>
            <w:vMerge/>
            <w:shd w:val="clear" w:color="auto" w:fill="auto"/>
            <w:vAlign w:val="center"/>
            <w:hideMark/>
          </w:tcPr>
          <w:p w14:paraId="66B3FE88" w14:textId="77777777" w:rsidR="002D3258" w:rsidRPr="002D3258" w:rsidRDefault="002D3258" w:rsidP="002D3258">
            <w:pPr>
              <w:pStyle w:val="13"/>
              <w:spacing w:line="240" w:lineRule="auto"/>
              <w:ind w:firstLineChars="0" w:firstLine="0"/>
              <w:rPr>
                <w:b/>
                <w:i/>
                <w:sz w:val="18"/>
                <w:szCs w:val="18"/>
              </w:rPr>
            </w:pPr>
          </w:p>
        </w:tc>
      </w:tr>
      <w:tr w:rsidR="002D3258" w:rsidRPr="002D3258" w14:paraId="04C8D9AD" w14:textId="77777777" w:rsidTr="002D3258">
        <w:trPr>
          <w:gridAfter w:val="1"/>
          <w:wAfter w:w="11" w:type="pct"/>
          <w:trHeight w:val="529"/>
        </w:trPr>
        <w:tc>
          <w:tcPr>
            <w:tcW w:w="407" w:type="pct"/>
            <w:shd w:val="clear" w:color="auto" w:fill="auto"/>
            <w:noWrap/>
            <w:vAlign w:val="center"/>
            <w:hideMark/>
          </w:tcPr>
          <w:p w14:paraId="71BF6623" w14:textId="77777777" w:rsidR="002D3258" w:rsidRPr="002D3258" w:rsidRDefault="002D3258" w:rsidP="002D3258">
            <w:pPr>
              <w:pStyle w:val="13"/>
              <w:spacing w:line="240" w:lineRule="auto"/>
              <w:ind w:firstLineChars="0" w:firstLine="0"/>
              <w:rPr>
                <w:sz w:val="18"/>
                <w:szCs w:val="18"/>
              </w:rPr>
            </w:pPr>
            <w:r w:rsidRPr="002D3258">
              <w:rPr>
                <w:sz w:val="18"/>
                <w:szCs w:val="18"/>
              </w:rPr>
              <w:t>65</w:t>
            </w:r>
          </w:p>
        </w:tc>
        <w:tc>
          <w:tcPr>
            <w:tcW w:w="166" w:type="pct"/>
            <w:vMerge/>
            <w:shd w:val="clear" w:color="auto" w:fill="auto"/>
            <w:vAlign w:val="center"/>
            <w:hideMark/>
          </w:tcPr>
          <w:p w14:paraId="56BE31CB"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98913EF"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7ACE93D5" w14:textId="77777777" w:rsidR="002D3258" w:rsidRPr="002D3258" w:rsidRDefault="002D3258" w:rsidP="002D3258">
            <w:pPr>
              <w:pStyle w:val="13"/>
              <w:spacing w:line="240" w:lineRule="auto"/>
              <w:ind w:firstLineChars="0" w:firstLine="0"/>
              <w:rPr>
                <w:sz w:val="18"/>
                <w:szCs w:val="18"/>
              </w:rPr>
            </w:pPr>
            <w:r w:rsidRPr="002D3258">
              <w:rPr>
                <w:sz w:val="18"/>
                <w:szCs w:val="18"/>
              </w:rPr>
              <w:t>1.8.4</w:t>
            </w:r>
          </w:p>
        </w:tc>
        <w:tc>
          <w:tcPr>
            <w:tcW w:w="1463" w:type="pct"/>
            <w:shd w:val="clear" w:color="auto" w:fill="auto"/>
            <w:noWrap/>
            <w:vAlign w:val="center"/>
            <w:hideMark/>
          </w:tcPr>
          <w:p w14:paraId="620A54AD" w14:textId="77777777" w:rsidR="002D3258" w:rsidRPr="002D3258" w:rsidRDefault="002D3258" w:rsidP="002D3258">
            <w:pPr>
              <w:pStyle w:val="13"/>
              <w:spacing w:line="240" w:lineRule="auto"/>
              <w:ind w:firstLineChars="0" w:firstLine="0"/>
              <w:rPr>
                <w:sz w:val="18"/>
                <w:szCs w:val="18"/>
              </w:rPr>
            </w:pPr>
            <w:r w:rsidRPr="002D3258">
              <w:rPr>
                <w:sz w:val="18"/>
                <w:szCs w:val="18"/>
              </w:rPr>
              <w:t>森林生态价值补偿</w:t>
            </w:r>
          </w:p>
        </w:tc>
        <w:tc>
          <w:tcPr>
            <w:tcW w:w="2063" w:type="pct"/>
            <w:vMerge/>
            <w:shd w:val="clear" w:color="auto" w:fill="auto"/>
            <w:vAlign w:val="center"/>
          </w:tcPr>
          <w:p w14:paraId="415F6C41" w14:textId="77777777" w:rsidR="002D3258" w:rsidRPr="002D3258" w:rsidRDefault="002D3258" w:rsidP="002D3258">
            <w:pPr>
              <w:pStyle w:val="13"/>
              <w:spacing w:line="240" w:lineRule="auto"/>
              <w:ind w:firstLineChars="0" w:firstLine="0"/>
              <w:rPr>
                <w:sz w:val="18"/>
                <w:szCs w:val="18"/>
              </w:rPr>
            </w:pPr>
          </w:p>
        </w:tc>
      </w:tr>
      <w:tr w:rsidR="002D3258" w:rsidRPr="002D3258" w14:paraId="5BBF628A" w14:textId="77777777" w:rsidTr="002D3258">
        <w:trPr>
          <w:gridAfter w:val="1"/>
          <w:wAfter w:w="11" w:type="pct"/>
          <w:trHeight w:val="283"/>
        </w:trPr>
        <w:tc>
          <w:tcPr>
            <w:tcW w:w="407" w:type="pct"/>
            <w:shd w:val="clear" w:color="auto" w:fill="auto"/>
            <w:noWrap/>
            <w:vAlign w:val="center"/>
            <w:hideMark/>
          </w:tcPr>
          <w:p w14:paraId="28537015" w14:textId="77777777" w:rsidR="002D3258" w:rsidRPr="002D3258" w:rsidRDefault="002D3258" w:rsidP="002D3258">
            <w:pPr>
              <w:pStyle w:val="13"/>
              <w:spacing w:line="240" w:lineRule="auto"/>
              <w:ind w:firstLineChars="0" w:firstLine="0"/>
              <w:rPr>
                <w:sz w:val="18"/>
                <w:szCs w:val="18"/>
              </w:rPr>
            </w:pPr>
            <w:r w:rsidRPr="002D3258">
              <w:rPr>
                <w:sz w:val="18"/>
                <w:szCs w:val="18"/>
              </w:rPr>
              <w:t>66</w:t>
            </w:r>
          </w:p>
        </w:tc>
        <w:tc>
          <w:tcPr>
            <w:tcW w:w="166" w:type="pct"/>
            <w:vMerge/>
            <w:shd w:val="clear" w:color="auto" w:fill="auto"/>
            <w:vAlign w:val="center"/>
            <w:hideMark/>
          </w:tcPr>
          <w:p w14:paraId="23FF8BE1"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DA5FDB3"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4027008" w14:textId="77777777" w:rsidR="002D3258" w:rsidRPr="002D3258" w:rsidRDefault="002D3258" w:rsidP="002D3258">
            <w:pPr>
              <w:pStyle w:val="13"/>
              <w:spacing w:line="240" w:lineRule="auto"/>
              <w:ind w:firstLineChars="0" w:firstLine="0"/>
              <w:rPr>
                <w:sz w:val="18"/>
                <w:szCs w:val="18"/>
              </w:rPr>
            </w:pPr>
            <w:r w:rsidRPr="002D3258">
              <w:rPr>
                <w:sz w:val="18"/>
                <w:szCs w:val="18"/>
              </w:rPr>
              <w:t>1.8.5</w:t>
            </w:r>
          </w:p>
        </w:tc>
        <w:tc>
          <w:tcPr>
            <w:tcW w:w="1463" w:type="pct"/>
            <w:shd w:val="clear" w:color="auto" w:fill="auto"/>
            <w:noWrap/>
            <w:vAlign w:val="center"/>
            <w:hideMark/>
          </w:tcPr>
          <w:p w14:paraId="6C9098A1" w14:textId="77777777" w:rsidR="002D3258" w:rsidRPr="002D3258" w:rsidRDefault="002D3258" w:rsidP="002D3258">
            <w:pPr>
              <w:pStyle w:val="13"/>
              <w:spacing w:line="240" w:lineRule="auto"/>
              <w:ind w:firstLineChars="0" w:firstLine="0"/>
              <w:rPr>
                <w:sz w:val="18"/>
                <w:szCs w:val="18"/>
              </w:rPr>
            </w:pPr>
            <w:r w:rsidRPr="002D3258">
              <w:rPr>
                <w:sz w:val="18"/>
                <w:szCs w:val="18"/>
              </w:rPr>
              <w:t>环境损失评估</w:t>
            </w:r>
          </w:p>
        </w:tc>
        <w:tc>
          <w:tcPr>
            <w:tcW w:w="2063" w:type="pct"/>
            <w:vMerge/>
            <w:shd w:val="clear" w:color="auto" w:fill="auto"/>
            <w:vAlign w:val="center"/>
          </w:tcPr>
          <w:p w14:paraId="023C3B66" w14:textId="77777777" w:rsidR="002D3258" w:rsidRPr="002D3258" w:rsidRDefault="002D3258" w:rsidP="002D3258">
            <w:pPr>
              <w:pStyle w:val="13"/>
              <w:spacing w:line="240" w:lineRule="auto"/>
              <w:ind w:firstLineChars="0" w:firstLine="0"/>
              <w:rPr>
                <w:sz w:val="18"/>
                <w:szCs w:val="18"/>
              </w:rPr>
            </w:pPr>
          </w:p>
        </w:tc>
      </w:tr>
      <w:tr w:rsidR="002D3258" w:rsidRPr="002D3258" w14:paraId="221C2512" w14:textId="77777777" w:rsidTr="002D3258">
        <w:trPr>
          <w:gridAfter w:val="1"/>
          <w:wAfter w:w="11" w:type="pct"/>
          <w:trHeight w:val="283"/>
        </w:trPr>
        <w:tc>
          <w:tcPr>
            <w:tcW w:w="407" w:type="pct"/>
            <w:shd w:val="clear" w:color="auto" w:fill="auto"/>
            <w:noWrap/>
            <w:vAlign w:val="center"/>
            <w:hideMark/>
          </w:tcPr>
          <w:p w14:paraId="58342199" w14:textId="77777777" w:rsidR="002D3258" w:rsidRPr="002D3258" w:rsidRDefault="002D3258" w:rsidP="002D3258">
            <w:pPr>
              <w:pStyle w:val="13"/>
              <w:spacing w:line="240" w:lineRule="auto"/>
              <w:ind w:firstLineChars="0" w:firstLine="0"/>
              <w:rPr>
                <w:sz w:val="18"/>
                <w:szCs w:val="18"/>
              </w:rPr>
            </w:pPr>
            <w:r w:rsidRPr="002D3258">
              <w:rPr>
                <w:sz w:val="18"/>
                <w:szCs w:val="18"/>
              </w:rPr>
              <w:t>N67</w:t>
            </w:r>
          </w:p>
        </w:tc>
        <w:tc>
          <w:tcPr>
            <w:tcW w:w="166" w:type="pct"/>
            <w:vMerge/>
            <w:shd w:val="clear" w:color="auto" w:fill="auto"/>
            <w:vAlign w:val="center"/>
            <w:hideMark/>
          </w:tcPr>
          <w:p w14:paraId="62F9D6C7"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5B17539"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3EAD8E3" w14:textId="77777777" w:rsidR="002D3258" w:rsidRPr="002D3258" w:rsidRDefault="002D3258" w:rsidP="002D3258">
            <w:pPr>
              <w:pStyle w:val="13"/>
              <w:spacing w:line="240" w:lineRule="auto"/>
              <w:ind w:firstLineChars="0" w:firstLine="0"/>
              <w:rPr>
                <w:sz w:val="18"/>
                <w:szCs w:val="18"/>
              </w:rPr>
            </w:pPr>
            <w:r w:rsidRPr="002D3258">
              <w:rPr>
                <w:sz w:val="18"/>
                <w:szCs w:val="18"/>
              </w:rPr>
              <w:t>1.8.6</w:t>
            </w:r>
          </w:p>
        </w:tc>
        <w:tc>
          <w:tcPr>
            <w:tcW w:w="1463" w:type="pct"/>
            <w:shd w:val="clear" w:color="auto" w:fill="auto"/>
            <w:noWrap/>
            <w:vAlign w:val="center"/>
            <w:hideMark/>
          </w:tcPr>
          <w:p w14:paraId="038F3364" w14:textId="77777777" w:rsidR="002D3258" w:rsidRPr="002D3258" w:rsidRDefault="002D3258" w:rsidP="002D3258">
            <w:pPr>
              <w:pStyle w:val="13"/>
              <w:spacing w:line="240" w:lineRule="auto"/>
              <w:ind w:firstLineChars="0" w:firstLine="0"/>
              <w:rPr>
                <w:sz w:val="18"/>
                <w:szCs w:val="18"/>
              </w:rPr>
            </w:pPr>
            <w:r w:rsidRPr="002D3258">
              <w:rPr>
                <w:sz w:val="18"/>
                <w:szCs w:val="18"/>
              </w:rPr>
              <w:t>存量PPP项目实施中的资产评估</w:t>
            </w:r>
          </w:p>
        </w:tc>
        <w:tc>
          <w:tcPr>
            <w:tcW w:w="2063" w:type="pct"/>
            <w:vMerge w:val="restart"/>
            <w:shd w:val="clear" w:color="auto" w:fill="auto"/>
            <w:vAlign w:val="center"/>
            <w:hideMark/>
          </w:tcPr>
          <w:p w14:paraId="27B33C47" w14:textId="77777777" w:rsidR="002D3258" w:rsidRPr="002D3258" w:rsidRDefault="002D3258" w:rsidP="002D3258">
            <w:pPr>
              <w:pStyle w:val="13"/>
              <w:spacing w:line="240" w:lineRule="auto"/>
              <w:ind w:firstLineChars="0" w:firstLine="0"/>
              <w:rPr>
                <w:sz w:val="18"/>
                <w:szCs w:val="18"/>
              </w:rPr>
            </w:pPr>
            <w:r w:rsidRPr="002D3258">
              <w:rPr>
                <w:sz w:val="18"/>
                <w:szCs w:val="18"/>
              </w:rPr>
              <w:t>（1）《关于&lt;政府和社会资本合作项目财政管理暂行办法&gt;的通知》（财金〔2016〕92号）；</w:t>
            </w:r>
            <w:r w:rsidRPr="002D3258">
              <w:rPr>
                <w:sz w:val="18"/>
                <w:szCs w:val="18"/>
              </w:rPr>
              <w:br/>
              <w:t>（2）《关于在公共服务领域深入推进政府和社会资本合作工作的通知》（财金〔2016〕90号）；</w:t>
            </w:r>
            <w:r w:rsidRPr="002D3258">
              <w:rPr>
                <w:sz w:val="18"/>
                <w:szCs w:val="18"/>
              </w:rPr>
              <w:br/>
              <w:t>（3）《关于深入推进农业领域政府和社会资本合作的实施意见》（财金〔2017〕50号）</w:t>
            </w:r>
            <w:r w:rsidRPr="002D3258">
              <w:rPr>
                <w:rFonts w:hint="eastAsia"/>
                <w:sz w:val="18"/>
                <w:szCs w:val="18"/>
              </w:rPr>
              <w:t>等</w:t>
            </w:r>
            <w:r w:rsidRPr="002D3258">
              <w:rPr>
                <w:sz w:val="18"/>
                <w:szCs w:val="18"/>
              </w:rPr>
              <w:t>。</w:t>
            </w:r>
          </w:p>
        </w:tc>
      </w:tr>
      <w:tr w:rsidR="002D3258" w:rsidRPr="002D3258" w14:paraId="0E1F52F7" w14:textId="77777777" w:rsidTr="002D3258">
        <w:trPr>
          <w:gridAfter w:val="1"/>
          <w:wAfter w:w="11" w:type="pct"/>
          <w:trHeight w:val="283"/>
        </w:trPr>
        <w:tc>
          <w:tcPr>
            <w:tcW w:w="407" w:type="pct"/>
            <w:shd w:val="clear" w:color="auto" w:fill="auto"/>
            <w:noWrap/>
            <w:vAlign w:val="center"/>
            <w:hideMark/>
          </w:tcPr>
          <w:p w14:paraId="2CC6DCA3" w14:textId="77777777" w:rsidR="002D3258" w:rsidRPr="002D3258" w:rsidRDefault="002D3258" w:rsidP="002D3258">
            <w:pPr>
              <w:pStyle w:val="13"/>
              <w:spacing w:line="240" w:lineRule="auto"/>
              <w:ind w:firstLineChars="0" w:firstLine="0"/>
              <w:rPr>
                <w:sz w:val="18"/>
                <w:szCs w:val="18"/>
              </w:rPr>
            </w:pPr>
            <w:r w:rsidRPr="002D3258">
              <w:rPr>
                <w:sz w:val="18"/>
                <w:szCs w:val="18"/>
              </w:rPr>
              <w:t>N68</w:t>
            </w:r>
          </w:p>
        </w:tc>
        <w:tc>
          <w:tcPr>
            <w:tcW w:w="166" w:type="pct"/>
            <w:vMerge/>
            <w:shd w:val="clear" w:color="auto" w:fill="auto"/>
            <w:vAlign w:val="center"/>
            <w:hideMark/>
          </w:tcPr>
          <w:p w14:paraId="640B1C6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94E58D1"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6DB20DE2" w14:textId="77777777" w:rsidR="002D3258" w:rsidRPr="002D3258" w:rsidRDefault="002D3258" w:rsidP="002D3258">
            <w:pPr>
              <w:pStyle w:val="13"/>
              <w:spacing w:line="240" w:lineRule="auto"/>
              <w:ind w:firstLineChars="0" w:firstLine="0"/>
              <w:rPr>
                <w:sz w:val="18"/>
                <w:szCs w:val="18"/>
              </w:rPr>
            </w:pPr>
            <w:r w:rsidRPr="002D3258">
              <w:rPr>
                <w:sz w:val="18"/>
                <w:szCs w:val="18"/>
              </w:rPr>
              <w:t>1.8.7</w:t>
            </w:r>
          </w:p>
        </w:tc>
        <w:tc>
          <w:tcPr>
            <w:tcW w:w="1463" w:type="pct"/>
            <w:shd w:val="clear" w:color="auto" w:fill="auto"/>
            <w:noWrap/>
            <w:vAlign w:val="center"/>
            <w:hideMark/>
          </w:tcPr>
          <w:p w14:paraId="62CB8DA3" w14:textId="77777777" w:rsidR="002D3258" w:rsidRPr="002D3258" w:rsidRDefault="002D3258" w:rsidP="002D3258">
            <w:pPr>
              <w:pStyle w:val="13"/>
              <w:spacing w:line="240" w:lineRule="auto"/>
              <w:ind w:firstLineChars="0" w:firstLine="0"/>
              <w:rPr>
                <w:sz w:val="18"/>
                <w:szCs w:val="18"/>
              </w:rPr>
            </w:pPr>
            <w:r w:rsidRPr="002D3258">
              <w:rPr>
                <w:sz w:val="18"/>
                <w:szCs w:val="18"/>
              </w:rPr>
              <w:t>PPP项目物有所值评价</w:t>
            </w:r>
          </w:p>
        </w:tc>
        <w:tc>
          <w:tcPr>
            <w:tcW w:w="2063" w:type="pct"/>
            <w:vMerge/>
            <w:shd w:val="clear" w:color="auto" w:fill="auto"/>
            <w:vAlign w:val="center"/>
            <w:hideMark/>
          </w:tcPr>
          <w:p w14:paraId="36058DD7" w14:textId="77777777" w:rsidR="002D3258" w:rsidRPr="002D3258" w:rsidRDefault="002D3258" w:rsidP="002D3258">
            <w:pPr>
              <w:pStyle w:val="13"/>
              <w:spacing w:line="240" w:lineRule="auto"/>
              <w:ind w:firstLineChars="0" w:firstLine="0"/>
              <w:rPr>
                <w:sz w:val="18"/>
                <w:szCs w:val="18"/>
              </w:rPr>
            </w:pPr>
          </w:p>
        </w:tc>
      </w:tr>
      <w:tr w:rsidR="002D3258" w:rsidRPr="002D3258" w14:paraId="452F4808" w14:textId="77777777" w:rsidTr="002D3258">
        <w:trPr>
          <w:gridAfter w:val="1"/>
          <w:wAfter w:w="11" w:type="pct"/>
          <w:trHeight w:val="283"/>
        </w:trPr>
        <w:tc>
          <w:tcPr>
            <w:tcW w:w="407" w:type="pct"/>
            <w:shd w:val="clear" w:color="auto" w:fill="auto"/>
            <w:noWrap/>
            <w:vAlign w:val="center"/>
            <w:hideMark/>
          </w:tcPr>
          <w:p w14:paraId="62BE89BF" w14:textId="77777777" w:rsidR="002D3258" w:rsidRPr="002D3258" w:rsidRDefault="002D3258" w:rsidP="002D3258">
            <w:pPr>
              <w:pStyle w:val="13"/>
              <w:spacing w:line="240" w:lineRule="auto"/>
              <w:ind w:firstLineChars="0" w:firstLine="0"/>
              <w:rPr>
                <w:sz w:val="18"/>
                <w:szCs w:val="18"/>
              </w:rPr>
            </w:pPr>
            <w:r w:rsidRPr="002D3258">
              <w:rPr>
                <w:sz w:val="18"/>
                <w:szCs w:val="18"/>
              </w:rPr>
              <w:t>N69</w:t>
            </w:r>
          </w:p>
        </w:tc>
        <w:tc>
          <w:tcPr>
            <w:tcW w:w="166" w:type="pct"/>
            <w:vMerge/>
            <w:shd w:val="clear" w:color="auto" w:fill="auto"/>
            <w:vAlign w:val="center"/>
            <w:hideMark/>
          </w:tcPr>
          <w:p w14:paraId="42B7512F"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DB2480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B81E0C1" w14:textId="77777777" w:rsidR="002D3258" w:rsidRPr="002D3258" w:rsidRDefault="002D3258" w:rsidP="002D3258">
            <w:pPr>
              <w:pStyle w:val="13"/>
              <w:spacing w:line="240" w:lineRule="auto"/>
              <w:ind w:firstLineChars="0" w:firstLine="0"/>
              <w:rPr>
                <w:sz w:val="18"/>
                <w:szCs w:val="18"/>
              </w:rPr>
            </w:pPr>
            <w:r w:rsidRPr="002D3258">
              <w:rPr>
                <w:sz w:val="18"/>
                <w:szCs w:val="18"/>
              </w:rPr>
              <w:t>1.8.8</w:t>
            </w:r>
          </w:p>
        </w:tc>
        <w:tc>
          <w:tcPr>
            <w:tcW w:w="1463" w:type="pct"/>
            <w:shd w:val="clear" w:color="auto" w:fill="auto"/>
            <w:noWrap/>
            <w:vAlign w:val="center"/>
            <w:hideMark/>
          </w:tcPr>
          <w:p w14:paraId="10980609" w14:textId="77777777" w:rsidR="002D3258" w:rsidRPr="002D3258" w:rsidRDefault="002D3258" w:rsidP="002D3258">
            <w:pPr>
              <w:pStyle w:val="13"/>
              <w:spacing w:line="240" w:lineRule="auto"/>
              <w:ind w:firstLineChars="0" w:firstLine="0"/>
              <w:rPr>
                <w:sz w:val="18"/>
                <w:szCs w:val="18"/>
              </w:rPr>
            </w:pPr>
            <w:r w:rsidRPr="002D3258">
              <w:rPr>
                <w:sz w:val="18"/>
                <w:szCs w:val="18"/>
              </w:rPr>
              <w:t>PPP项目中期绩效评估</w:t>
            </w:r>
          </w:p>
        </w:tc>
        <w:tc>
          <w:tcPr>
            <w:tcW w:w="2063" w:type="pct"/>
            <w:vMerge/>
            <w:shd w:val="clear" w:color="auto" w:fill="auto"/>
            <w:vAlign w:val="center"/>
            <w:hideMark/>
          </w:tcPr>
          <w:p w14:paraId="332C4A68" w14:textId="77777777" w:rsidR="002D3258" w:rsidRPr="002D3258" w:rsidRDefault="002D3258" w:rsidP="002D3258">
            <w:pPr>
              <w:pStyle w:val="13"/>
              <w:spacing w:line="240" w:lineRule="auto"/>
              <w:ind w:firstLineChars="0" w:firstLine="0"/>
              <w:rPr>
                <w:sz w:val="18"/>
                <w:szCs w:val="18"/>
              </w:rPr>
            </w:pPr>
          </w:p>
        </w:tc>
      </w:tr>
      <w:tr w:rsidR="002D3258" w:rsidRPr="002D3258" w14:paraId="5FAB7A4A" w14:textId="77777777" w:rsidTr="002D3258">
        <w:trPr>
          <w:gridAfter w:val="1"/>
          <w:wAfter w:w="11" w:type="pct"/>
          <w:trHeight w:val="283"/>
        </w:trPr>
        <w:tc>
          <w:tcPr>
            <w:tcW w:w="407" w:type="pct"/>
            <w:shd w:val="clear" w:color="auto" w:fill="auto"/>
            <w:noWrap/>
            <w:vAlign w:val="center"/>
            <w:hideMark/>
          </w:tcPr>
          <w:p w14:paraId="41EB22FD" w14:textId="77777777" w:rsidR="002D3258" w:rsidRPr="002D3258" w:rsidRDefault="002D3258" w:rsidP="002D3258">
            <w:pPr>
              <w:pStyle w:val="13"/>
              <w:spacing w:line="240" w:lineRule="auto"/>
              <w:ind w:firstLineChars="0" w:firstLine="0"/>
              <w:rPr>
                <w:sz w:val="18"/>
                <w:szCs w:val="18"/>
              </w:rPr>
            </w:pPr>
            <w:r w:rsidRPr="002D3258">
              <w:rPr>
                <w:sz w:val="18"/>
                <w:szCs w:val="18"/>
              </w:rPr>
              <w:t>N70</w:t>
            </w:r>
          </w:p>
        </w:tc>
        <w:tc>
          <w:tcPr>
            <w:tcW w:w="166" w:type="pct"/>
            <w:vMerge/>
            <w:shd w:val="clear" w:color="auto" w:fill="auto"/>
            <w:vAlign w:val="center"/>
            <w:hideMark/>
          </w:tcPr>
          <w:p w14:paraId="74AA13B5"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3BC2F1C1"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0C13B46" w14:textId="77777777" w:rsidR="002D3258" w:rsidRPr="002D3258" w:rsidRDefault="002D3258" w:rsidP="002D3258">
            <w:pPr>
              <w:pStyle w:val="13"/>
              <w:spacing w:line="240" w:lineRule="auto"/>
              <w:ind w:firstLineChars="0" w:firstLine="0"/>
              <w:rPr>
                <w:sz w:val="18"/>
                <w:szCs w:val="18"/>
              </w:rPr>
            </w:pPr>
            <w:r w:rsidRPr="002D3258">
              <w:rPr>
                <w:sz w:val="18"/>
                <w:szCs w:val="18"/>
              </w:rPr>
              <w:t>1.8.9</w:t>
            </w:r>
          </w:p>
        </w:tc>
        <w:tc>
          <w:tcPr>
            <w:tcW w:w="1463" w:type="pct"/>
            <w:shd w:val="clear" w:color="auto" w:fill="auto"/>
            <w:noWrap/>
            <w:vAlign w:val="center"/>
            <w:hideMark/>
          </w:tcPr>
          <w:p w14:paraId="500BD52E" w14:textId="77777777" w:rsidR="002D3258" w:rsidRPr="002D3258" w:rsidRDefault="002D3258" w:rsidP="002D3258">
            <w:pPr>
              <w:pStyle w:val="13"/>
              <w:spacing w:line="240" w:lineRule="auto"/>
              <w:ind w:firstLineChars="0" w:firstLine="0"/>
              <w:rPr>
                <w:sz w:val="18"/>
                <w:szCs w:val="18"/>
              </w:rPr>
            </w:pPr>
            <w:r w:rsidRPr="002D3258">
              <w:rPr>
                <w:sz w:val="18"/>
                <w:szCs w:val="18"/>
              </w:rPr>
              <w:t>存量PPP项目中国有资产、股权转让</w:t>
            </w:r>
          </w:p>
        </w:tc>
        <w:tc>
          <w:tcPr>
            <w:tcW w:w="2063" w:type="pct"/>
            <w:vMerge/>
            <w:shd w:val="clear" w:color="auto" w:fill="auto"/>
            <w:vAlign w:val="center"/>
            <w:hideMark/>
          </w:tcPr>
          <w:p w14:paraId="70FE1D00" w14:textId="77777777" w:rsidR="002D3258" w:rsidRPr="002D3258" w:rsidRDefault="002D3258" w:rsidP="002D3258">
            <w:pPr>
              <w:pStyle w:val="13"/>
              <w:spacing w:line="240" w:lineRule="auto"/>
              <w:ind w:firstLineChars="0" w:firstLine="0"/>
              <w:rPr>
                <w:sz w:val="18"/>
                <w:szCs w:val="18"/>
              </w:rPr>
            </w:pPr>
          </w:p>
        </w:tc>
      </w:tr>
      <w:tr w:rsidR="002D3258" w:rsidRPr="002D3258" w14:paraId="372A0EFA" w14:textId="77777777" w:rsidTr="002D3258">
        <w:trPr>
          <w:gridAfter w:val="1"/>
          <w:wAfter w:w="11" w:type="pct"/>
          <w:trHeight w:val="283"/>
        </w:trPr>
        <w:tc>
          <w:tcPr>
            <w:tcW w:w="407" w:type="pct"/>
            <w:shd w:val="clear" w:color="auto" w:fill="auto"/>
            <w:noWrap/>
            <w:vAlign w:val="center"/>
            <w:hideMark/>
          </w:tcPr>
          <w:p w14:paraId="507F5B4C" w14:textId="77777777" w:rsidR="002D3258" w:rsidRPr="002D3258" w:rsidRDefault="002D3258" w:rsidP="002D3258">
            <w:pPr>
              <w:pStyle w:val="13"/>
              <w:spacing w:line="240" w:lineRule="auto"/>
              <w:ind w:firstLineChars="0" w:firstLine="0"/>
              <w:rPr>
                <w:sz w:val="18"/>
                <w:szCs w:val="18"/>
              </w:rPr>
            </w:pPr>
            <w:r w:rsidRPr="002D3258">
              <w:rPr>
                <w:sz w:val="18"/>
                <w:szCs w:val="18"/>
              </w:rPr>
              <w:t>N71</w:t>
            </w:r>
          </w:p>
        </w:tc>
        <w:tc>
          <w:tcPr>
            <w:tcW w:w="166" w:type="pct"/>
            <w:vMerge/>
            <w:shd w:val="clear" w:color="auto" w:fill="auto"/>
            <w:vAlign w:val="center"/>
            <w:hideMark/>
          </w:tcPr>
          <w:p w14:paraId="40DE5A76"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D413144"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90BD3B9" w14:textId="77777777" w:rsidR="002D3258" w:rsidRPr="002D3258" w:rsidRDefault="002D3258" w:rsidP="002D3258">
            <w:pPr>
              <w:pStyle w:val="13"/>
              <w:spacing w:line="240" w:lineRule="auto"/>
              <w:ind w:firstLineChars="0" w:firstLine="0"/>
              <w:rPr>
                <w:sz w:val="18"/>
                <w:szCs w:val="18"/>
              </w:rPr>
            </w:pPr>
            <w:r w:rsidRPr="002D3258">
              <w:rPr>
                <w:sz w:val="18"/>
                <w:szCs w:val="18"/>
              </w:rPr>
              <w:t>1.8.10</w:t>
            </w:r>
          </w:p>
        </w:tc>
        <w:tc>
          <w:tcPr>
            <w:tcW w:w="1463" w:type="pct"/>
            <w:shd w:val="clear" w:color="auto" w:fill="auto"/>
            <w:noWrap/>
            <w:vAlign w:val="center"/>
            <w:hideMark/>
          </w:tcPr>
          <w:p w14:paraId="15C627C4" w14:textId="77777777" w:rsidR="002D3258" w:rsidRPr="002D3258" w:rsidRDefault="002D3258" w:rsidP="002D3258">
            <w:pPr>
              <w:pStyle w:val="13"/>
              <w:spacing w:line="240" w:lineRule="auto"/>
              <w:ind w:firstLineChars="0" w:firstLine="0"/>
              <w:rPr>
                <w:sz w:val="18"/>
                <w:szCs w:val="18"/>
              </w:rPr>
            </w:pPr>
            <w:r w:rsidRPr="002D3258">
              <w:rPr>
                <w:sz w:val="18"/>
                <w:szCs w:val="18"/>
              </w:rPr>
              <w:t>PPP项目合作期满移交资产评估</w:t>
            </w:r>
          </w:p>
        </w:tc>
        <w:tc>
          <w:tcPr>
            <w:tcW w:w="2063" w:type="pct"/>
            <w:vMerge/>
            <w:shd w:val="clear" w:color="auto" w:fill="auto"/>
            <w:vAlign w:val="center"/>
            <w:hideMark/>
          </w:tcPr>
          <w:p w14:paraId="6DF04F96" w14:textId="77777777" w:rsidR="002D3258" w:rsidRPr="002D3258" w:rsidRDefault="002D3258" w:rsidP="002D3258">
            <w:pPr>
              <w:pStyle w:val="13"/>
              <w:spacing w:line="240" w:lineRule="auto"/>
              <w:ind w:firstLineChars="0" w:firstLine="0"/>
              <w:rPr>
                <w:sz w:val="18"/>
                <w:szCs w:val="18"/>
              </w:rPr>
            </w:pPr>
          </w:p>
        </w:tc>
      </w:tr>
      <w:tr w:rsidR="002D3258" w:rsidRPr="002D3258" w14:paraId="0379A8B2" w14:textId="77777777" w:rsidTr="002D3258">
        <w:trPr>
          <w:gridAfter w:val="1"/>
          <w:wAfter w:w="11" w:type="pct"/>
          <w:trHeight w:val="283"/>
        </w:trPr>
        <w:tc>
          <w:tcPr>
            <w:tcW w:w="407" w:type="pct"/>
            <w:shd w:val="clear" w:color="auto" w:fill="auto"/>
            <w:noWrap/>
            <w:vAlign w:val="center"/>
            <w:hideMark/>
          </w:tcPr>
          <w:p w14:paraId="638D4C6F" w14:textId="77777777" w:rsidR="002D3258" w:rsidRPr="002D3258" w:rsidRDefault="002D3258" w:rsidP="002D3258">
            <w:pPr>
              <w:pStyle w:val="13"/>
              <w:spacing w:line="240" w:lineRule="auto"/>
              <w:ind w:firstLineChars="0" w:firstLine="0"/>
              <w:rPr>
                <w:sz w:val="18"/>
                <w:szCs w:val="18"/>
              </w:rPr>
            </w:pPr>
            <w:r w:rsidRPr="002D3258">
              <w:rPr>
                <w:sz w:val="18"/>
                <w:szCs w:val="18"/>
              </w:rPr>
              <w:t>N72</w:t>
            </w:r>
          </w:p>
        </w:tc>
        <w:tc>
          <w:tcPr>
            <w:tcW w:w="166" w:type="pct"/>
            <w:vMerge/>
            <w:shd w:val="clear" w:color="auto" w:fill="auto"/>
            <w:vAlign w:val="center"/>
            <w:hideMark/>
          </w:tcPr>
          <w:p w14:paraId="3EBA2055"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57726D6"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7199DEF" w14:textId="77777777" w:rsidR="002D3258" w:rsidRPr="002D3258" w:rsidRDefault="002D3258" w:rsidP="002D3258">
            <w:pPr>
              <w:pStyle w:val="13"/>
              <w:spacing w:line="240" w:lineRule="auto"/>
              <w:ind w:firstLineChars="0" w:firstLine="0"/>
              <w:rPr>
                <w:sz w:val="18"/>
                <w:szCs w:val="18"/>
              </w:rPr>
            </w:pPr>
            <w:r w:rsidRPr="002D3258">
              <w:rPr>
                <w:sz w:val="18"/>
                <w:szCs w:val="18"/>
              </w:rPr>
              <w:t>1.8.11</w:t>
            </w:r>
          </w:p>
        </w:tc>
        <w:tc>
          <w:tcPr>
            <w:tcW w:w="1463" w:type="pct"/>
            <w:shd w:val="clear" w:color="auto" w:fill="auto"/>
            <w:noWrap/>
            <w:vAlign w:val="center"/>
            <w:hideMark/>
          </w:tcPr>
          <w:p w14:paraId="3CCCAA86" w14:textId="77777777" w:rsidR="002D3258" w:rsidRPr="002D3258" w:rsidRDefault="002D3258" w:rsidP="002D3258">
            <w:pPr>
              <w:pStyle w:val="13"/>
              <w:spacing w:line="240" w:lineRule="auto"/>
              <w:ind w:firstLineChars="0" w:firstLine="0"/>
              <w:rPr>
                <w:sz w:val="18"/>
                <w:szCs w:val="18"/>
              </w:rPr>
            </w:pPr>
            <w:r w:rsidRPr="002D3258">
              <w:rPr>
                <w:sz w:val="18"/>
                <w:szCs w:val="18"/>
              </w:rPr>
              <w:t>PPP项目公司资产证券化</w:t>
            </w:r>
          </w:p>
        </w:tc>
        <w:tc>
          <w:tcPr>
            <w:tcW w:w="2063" w:type="pct"/>
            <w:vMerge w:val="restart"/>
            <w:shd w:val="clear" w:color="auto" w:fill="auto"/>
            <w:vAlign w:val="center"/>
            <w:hideMark/>
          </w:tcPr>
          <w:p w14:paraId="12B6A236" w14:textId="77777777" w:rsidR="002D3258" w:rsidRPr="002D3258" w:rsidRDefault="002D3258" w:rsidP="002D3258">
            <w:pPr>
              <w:pStyle w:val="13"/>
              <w:spacing w:line="240" w:lineRule="auto"/>
              <w:ind w:firstLineChars="0" w:firstLine="0"/>
              <w:rPr>
                <w:sz w:val="18"/>
                <w:szCs w:val="18"/>
              </w:rPr>
            </w:pPr>
            <w:r w:rsidRPr="002D3258">
              <w:rPr>
                <w:sz w:val="18"/>
                <w:szCs w:val="18"/>
              </w:rPr>
              <w:t>《关于规范开展政府和社会资本合作项目资产证券化有关事宜的通知》（财金〔2017〕55号）</w:t>
            </w:r>
          </w:p>
        </w:tc>
      </w:tr>
      <w:tr w:rsidR="002D3258" w:rsidRPr="002D3258" w14:paraId="2A6E640E" w14:textId="77777777" w:rsidTr="002D3258">
        <w:trPr>
          <w:gridAfter w:val="1"/>
          <w:wAfter w:w="11" w:type="pct"/>
          <w:trHeight w:val="283"/>
        </w:trPr>
        <w:tc>
          <w:tcPr>
            <w:tcW w:w="407" w:type="pct"/>
            <w:shd w:val="clear" w:color="auto" w:fill="auto"/>
            <w:noWrap/>
            <w:vAlign w:val="center"/>
            <w:hideMark/>
          </w:tcPr>
          <w:p w14:paraId="6D49552E" w14:textId="77777777" w:rsidR="002D3258" w:rsidRPr="002D3258" w:rsidRDefault="002D3258" w:rsidP="002D3258">
            <w:pPr>
              <w:pStyle w:val="13"/>
              <w:spacing w:line="240" w:lineRule="auto"/>
              <w:ind w:firstLineChars="0" w:firstLine="0"/>
              <w:rPr>
                <w:sz w:val="18"/>
                <w:szCs w:val="18"/>
              </w:rPr>
            </w:pPr>
            <w:r w:rsidRPr="002D3258">
              <w:rPr>
                <w:sz w:val="18"/>
                <w:szCs w:val="18"/>
              </w:rPr>
              <w:t>N73</w:t>
            </w:r>
          </w:p>
        </w:tc>
        <w:tc>
          <w:tcPr>
            <w:tcW w:w="166" w:type="pct"/>
            <w:vMerge/>
            <w:shd w:val="clear" w:color="auto" w:fill="auto"/>
            <w:vAlign w:val="center"/>
            <w:hideMark/>
          </w:tcPr>
          <w:p w14:paraId="3155BF78"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19F3EE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53C00E1" w14:textId="77777777" w:rsidR="002D3258" w:rsidRPr="002D3258" w:rsidRDefault="002D3258" w:rsidP="002D3258">
            <w:pPr>
              <w:pStyle w:val="13"/>
              <w:spacing w:line="240" w:lineRule="auto"/>
              <w:ind w:firstLineChars="0" w:firstLine="0"/>
              <w:rPr>
                <w:sz w:val="18"/>
                <w:szCs w:val="18"/>
              </w:rPr>
            </w:pPr>
            <w:r w:rsidRPr="002D3258">
              <w:rPr>
                <w:sz w:val="18"/>
                <w:szCs w:val="18"/>
              </w:rPr>
              <w:t>1.8.12</w:t>
            </w:r>
          </w:p>
        </w:tc>
        <w:tc>
          <w:tcPr>
            <w:tcW w:w="1463" w:type="pct"/>
            <w:shd w:val="clear" w:color="auto" w:fill="auto"/>
            <w:noWrap/>
            <w:vAlign w:val="center"/>
            <w:hideMark/>
          </w:tcPr>
          <w:p w14:paraId="39FA61A0" w14:textId="77777777" w:rsidR="002D3258" w:rsidRPr="002D3258" w:rsidRDefault="002D3258" w:rsidP="002D3258">
            <w:pPr>
              <w:pStyle w:val="13"/>
              <w:spacing w:line="240" w:lineRule="auto"/>
              <w:ind w:firstLineChars="0" w:firstLine="0"/>
              <w:rPr>
                <w:sz w:val="18"/>
                <w:szCs w:val="18"/>
              </w:rPr>
            </w:pPr>
            <w:r w:rsidRPr="002D3258">
              <w:rPr>
                <w:sz w:val="18"/>
                <w:szCs w:val="18"/>
              </w:rPr>
              <w:t>PPP项目公司股东资产证券化</w:t>
            </w:r>
          </w:p>
        </w:tc>
        <w:tc>
          <w:tcPr>
            <w:tcW w:w="2063" w:type="pct"/>
            <w:vMerge/>
            <w:shd w:val="clear" w:color="auto" w:fill="auto"/>
            <w:vAlign w:val="center"/>
            <w:hideMark/>
          </w:tcPr>
          <w:p w14:paraId="557FFF34" w14:textId="77777777" w:rsidR="002D3258" w:rsidRPr="002D3258" w:rsidRDefault="002D3258" w:rsidP="002D3258">
            <w:pPr>
              <w:pStyle w:val="13"/>
              <w:spacing w:line="240" w:lineRule="auto"/>
              <w:ind w:firstLineChars="0" w:firstLine="0"/>
              <w:rPr>
                <w:sz w:val="18"/>
                <w:szCs w:val="18"/>
              </w:rPr>
            </w:pPr>
          </w:p>
        </w:tc>
      </w:tr>
      <w:tr w:rsidR="002D3258" w:rsidRPr="002D3258" w14:paraId="02C419AF" w14:textId="77777777" w:rsidTr="002D3258">
        <w:trPr>
          <w:gridAfter w:val="1"/>
          <w:wAfter w:w="11" w:type="pct"/>
          <w:trHeight w:val="359"/>
        </w:trPr>
        <w:tc>
          <w:tcPr>
            <w:tcW w:w="407" w:type="pct"/>
            <w:shd w:val="clear" w:color="auto" w:fill="auto"/>
            <w:noWrap/>
            <w:vAlign w:val="center"/>
            <w:hideMark/>
          </w:tcPr>
          <w:p w14:paraId="680131B8" w14:textId="77777777" w:rsidR="002D3258" w:rsidRPr="002D3258" w:rsidRDefault="002D3258" w:rsidP="002D3258">
            <w:pPr>
              <w:pStyle w:val="13"/>
              <w:spacing w:line="240" w:lineRule="auto"/>
              <w:ind w:firstLineChars="0" w:firstLine="0"/>
              <w:rPr>
                <w:sz w:val="18"/>
                <w:szCs w:val="18"/>
              </w:rPr>
            </w:pPr>
            <w:r w:rsidRPr="002D3258">
              <w:rPr>
                <w:sz w:val="18"/>
                <w:szCs w:val="18"/>
              </w:rPr>
              <w:t>N74</w:t>
            </w:r>
          </w:p>
        </w:tc>
        <w:tc>
          <w:tcPr>
            <w:tcW w:w="166" w:type="pct"/>
            <w:vMerge/>
            <w:shd w:val="clear" w:color="auto" w:fill="auto"/>
            <w:vAlign w:val="center"/>
            <w:hideMark/>
          </w:tcPr>
          <w:p w14:paraId="10DD485F"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42E26E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9971CD9" w14:textId="77777777" w:rsidR="002D3258" w:rsidRPr="002D3258" w:rsidRDefault="002D3258" w:rsidP="002D3258">
            <w:pPr>
              <w:pStyle w:val="13"/>
              <w:spacing w:line="240" w:lineRule="auto"/>
              <w:ind w:firstLineChars="0" w:firstLine="0"/>
              <w:rPr>
                <w:sz w:val="18"/>
                <w:szCs w:val="18"/>
              </w:rPr>
            </w:pPr>
            <w:r w:rsidRPr="002D3258">
              <w:rPr>
                <w:sz w:val="18"/>
                <w:szCs w:val="18"/>
              </w:rPr>
              <w:t>1.8.13</w:t>
            </w:r>
          </w:p>
        </w:tc>
        <w:tc>
          <w:tcPr>
            <w:tcW w:w="1463" w:type="pct"/>
            <w:shd w:val="clear" w:color="auto" w:fill="auto"/>
            <w:noWrap/>
            <w:vAlign w:val="center"/>
            <w:hideMark/>
          </w:tcPr>
          <w:p w14:paraId="453A7BC3" w14:textId="77777777" w:rsidR="002D3258" w:rsidRPr="002D3258" w:rsidRDefault="002D3258" w:rsidP="002D3258">
            <w:pPr>
              <w:pStyle w:val="13"/>
              <w:spacing w:line="240" w:lineRule="auto"/>
              <w:ind w:firstLineChars="0" w:firstLine="0"/>
              <w:rPr>
                <w:sz w:val="18"/>
                <w:szCs w:val="18"/>
              </w:rPr>
            </w:pPr>
            <w:r w:rsidRPr="002D3258">
              <w:rPr>
                <w:sz w:val="18"/>
                <w:szCs w:val="18"/>
              </w:rPr>
              <w:t>PPP项目公司其他相关主体资产证券化</w:t>
            </w:r>
          </w:p>
        </w:tc>
        <w:tc>
          <w:tcPr>
            <w:tcW w:w="2063" w:type="pct"/>
            <w:vMerge/>
            <w:shd w:val="clear" w:color="auto" w:fill="auto"/>
            <w:vAlign w:val="center"/>
            <w:hideMark/>
          </w:tcPr>
          <w:p w14:paraId="6FAAB3E4" w14:textId="77777777" w:rsidR="002D3258" w:rsidRPr="002D3258" w:rsidRDefault="002D3258" w:rsidP="002D3258">
            <w:pPr>
              <w:pStyle w:val="13"/>
              <w:spacing w:line="240" w:lineRule="auto"/>
              <w:ind w:firstLineChars="0" w:firstLine="0"/>
              <w:rPr>
                <w:sz w:val="18"/>
                <w:szCs w:val="18"/>
              </w:rPr>
            </w:pPr>
          </w:p>
        </w:tc>
      </w:tr>
      <w:tr w:rsidR="002D3258" w:rsidRPr="002D3258" w14:paraId="36BF987F" w14:textId="77777777" w:rsidTr="002D3258">
        <w:trPr>
          <w:gridAfter w:val="1"/>
          <w:wAfter w:w="11" w:type="pct"/>
          <w:trHeight w:val="3245"/>
        </w:trPr>
        <w:tc>
          <w:tcPr>
            <w:tcW w:w="407" w:type="pct"/>
            <w:shd w:val="clear" w:color="auto" w:fill="auto"/>
            <w:noWrap/>
            <w:vAlign w:val="center"/>
            <w:hideMark/>
          </w:tcPr>
          <w:p w14:paraId="3819F8C2" w14:textId="77777777" w:rsidR="002D3258" w:rsidRPr="002D3258" w:rsidRDefault="002D3258" w:rsidP="002D3258">
            <w:pPr>
              <w:pStyle w:val="13"/>
              <w:spacing w:line="240" w:lineRule="auto"/>
              <w:ind w:firstLineChars="0" w:firstLine="0"/>
              <w:rPr>
                <w:sz w:val="18"/>
                <w:szCs w:val="18"/>
              </w:rPr>
            </w:pPr>
            <w:r w:rsidRPr="002D3258">
              <w:rPr>
                <w:sz w:val="18"/>
                <w:szCs w:val="18"/>
              </w:rPr>
              <w:t>75</w:t>
            </w:r>
          </w:p>
        </w:tc>
        <w:tc>
          <w:tcPr>
            <w:tcW w:w="166" w:type="pct"/>
            <w:vMerge/>
            <w:shd w:val="clear" w:color="auto" w:fill="auto"/>
            <w:vAlign w:val="center"/>
            <w:hideMark/>
          </w:tcPr>
          <w:p w14:paraId="57690E6F"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45B8EA4"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777C0D01" w14:textId="77777777" w:rsidR="002D3258" w:rsidRPr="002D3258" w:rsidRDefault="002D3258" w:rsidP="002D3258">
            <w:pPr>
              <w:pStyle w:val="13"/>
              <w:spacing w:line="240" w:lineRule="auto"/>
              <w:ind w:firstLineChars="0" w:firstLine="0"/>
              <w:rPr>
                <w:sz w:val="18"/>
                <w:szCs w:val="18"/>
              </w:rPr>
            </w:pPr>
            <w:r w:rsidRPr="002D3258">
              <w:rPr>
                <w:sz w:val="18"/>
                <w:szCs w:val="18"/>
              </w:rPr>
              <w:t>1.8.14</w:t>
            </w:r>
          </w:p>
        </w:tc>
        <w:tc>
          <w:tcPr>
            <w:tcW w:w="1463" w:type="pct"/>
            <w:shd w:val="clear" w:color="auto" w:fill="auto"/>
            <w:noWrap/>
            <w:vAlign w:val="center"/>
            <w:hideMark/>
          </w:tcPr>
          <w:p w14:paraId="6D0BE110" w14:textId="77777777" w:rsidR="002D3258" w:rsidRPr="002D3258" w:rsidRDefault="002D3258" w:rsidP="002D3258">
            <w:pPr>
              <w:pStyle w:val="13"/>
              <w:spacing w:line="240" w:lineRule="auto"/>
              <w:ind w:firstLineChars="0" w:firstLine="0"/>
              <w:rPr>
                <w:sz w:val="18"/>
                <w:szCs w:val="18"/>
              </w:rPr>
            </w:pPr>
            <w:r w:rsidRPr="002D3258">
              <w:rPr>
                <w:sz w:val="18"/>
                <w:szCs w:val="18"/>
              </w:rPr>
              <w:t>资产损害赔偿鉴定</w:t>
            </w:r>
          </w:p>
        </w:tc>
        <w:tc>
          <w:tcPr>
            <w:tcW w:w="2063" w:type="pct"/>
            <w:vMerge w:val="restart"/>
            <w:shd w:val="clear" w:color="auto" w:fill="auto"/>
            <w:vAlign w:val="center"/>
            <w:hideMark/>
          </w:tcPr>
          <w:p w14:paraId="7BC60CD5" w14:textId="6E192881" w:rsidR="002D3258" w:rsidRPr="002D3258" w:rsidRDefault="002D3258" w:rsidP="002D3258">
            <w:pPr>
              <w:pStyle w:val="13"/>
              <w:spacing w:line="240" w:lineRule="auto"/>
              <w:ind w:firstLineChars="0" w:firstLine="0"/>
              <w:rPr>
                <w:sz w:val="18"/>
                <w:szCs w:val="18"/>
              </w:rPr>
            </w:pPr>
            <w:r w:rsidRPr="002D3258">
              <w:rPr>
                <w:sz w:val="18"/>
                <w:szCs w:val="18"/>
              </w:rPr>
              <w:t>（1）《全国人民代表大会常务委员会关于司法鉴定管理问题的决定》（2005年2月28日第十届全国人民代表大会常务委员会第十四次会议通过 根据2015年4月24日第十二届全国人民代表大会常务委员会第十四次会议《关于修改〈中华人民共和国义务教育法〉等五部法律的决定》修正）；</w:t>
            </w:r>
            <w:r w:rsidRPr="002D3258">
              <w:rPr>
                <w:sz w:val="18"/>
                <w:szCs w:val="18"/>
              </w:rPr>
              <w:br/>
              <w:t>（2）《中华人民共和国刑事诉讼法》（1979年7月1日第五届全国人民代表大会第二次会议通过</w:t>
            </w:r>
            <w:r>
              <w:rPr>
                <w:sz w:val="18"/>
                <w:szCs w:val="18"/>
              </w:rPr>
              <w:t xml:space="preserve"> </w:t>
            </w:r>
            <w:r w:rsidRPr="002D3258">
              <w:rPr>
                <w:sz w:val="18"/>
                <w:szCs w:val="18"/>
              </w:rPr>
              <w:t>根据1996年3月17日第八届全国人民代表大会第四次会议《关于修改〈中华人民共和国刑事诉讼法〉的决定》第一次修正</w:t>
            </w:r>
            <w:r>
              <w:rPr>
                <w:sz w:val="18"/>
                <w:szCs w:val="18"/>
              </w:rPr>
              <w:t xml:space="preserve"> </w:t>
            </w:r>
            <w:r w:rsidRPr="002D3258">
              <w:rPr>
                <w:sz w:val="18"/>
                <w:szCs w:val="18"/>
              </w:rPr>
              <w:t>根据2012年3月14日第十一届全国人民代表大会第五次会议《关于修改〈中华人民共和国刑事诉讼法〉的决定》第二次修正</w:t>
            </w:r>
            <w:r>
              <w:rPr>
                <w:sz w:val="18"/>
                <w:szCs w:val="18"/>
              </w:rPr>
              <w:t xml:space="preserve"> </w:t>
            </w:r>
            <w:r w:rsidRPr="002D3258">
              <w:rPr>
                <w:sz w:val="18"/>
                <w:szCs w:val="18"/>
              </w:rPr>
              <w:t>根据2018年10月26日第十三届全国人民代表大会常务委员会第六次会议《关于修改〈中华人民共和国刑事诉讼法〉的决定》第三次修正）；</w:t>
            </w:r>
            <w:r w:rsidRPr="002D3258">
              <w:rPr>
                <w:sz w:val="18"/>
                <w:szCs w:val="18"/>
              </w:rPr>
              <w:br/>
              <w:t>（3）《中华人民共和国仲裁法》（1994年8月31日第八届全国人民代表大会常务委员会第九次会议通过</w:t>
            </w:r>
            <w:r>
              <w:rPr>
                <w:sz w:val="18"/>
                <w:szCs w:val="18"/>
              </w:rPr>
              <w:t xml:space="preserve"> </w:t>
            </w:r>
            <w:r w:rsidRPr="002D3258">
              <w:rPr>
                <w:sz w:val="18"/>
                <w:szCs w:val="18"/>
              </w:rPr>
              <w:t>根据2009年8月27日第十一届全国人民代表大会常务委员会第十次会议《关于修改部分法律的决定》第一次修正</w:t>
            </w:r>
            <w:r>
              <w:rPr>
                <w:sz w:val="18"/>
                <w:szCs w:val="18"/>
              </w:rPr>
              <w:t xml:space="preserve"> </w:t>
            </w:r>
            <w:r w:rsidRPr="002D3258">
              <w:rPr>
                <w:sz w:val="18"/>
                <w:szCs w:val="18"/>
              </w:rPr>
              <w:t>根据2017年9月1日第十二届全国</w:t>
            </w:r>
            <w:r w:rsidRPr="002D3258">
              <w:rPr>
                <w:sz w:val="18"/>
                <w:szCs w:val="18"/>
              </w:rPr>
              <w:lastRenderedPageBreak/>
              <w:t>人民代表大会常务委员会第二十九次会议《关于修改〈中华人民共和国法官法〉等八部法律的决定》第二次修正）；</w:t>
            </w:r>
          </w:p>
          <w:p w14:paraId="77E7487A" w14:textId="77777777" w:rsidR="002D3258" w:rsidRPr="002D3258" w:rsidRDefault="002D3258" w:rsidP="002D3258">
            <w:pPr>
              <w:pStyle w:val="13"/>
              <w:spacing w:line="240" w:lineRule="auto"/>
              <w:ind w:firstLineChars="0" w:firstLine="0"/>
              <w:rPr>
                <w:sz w:val="18"/>
                <w:szCs w:val="18"/>
              </w:rPr>
            </w:pPr>
            <w:r w:rsidRPr="002D3258">
              <w:rPr>
                <w:sz w:val="18"/>
                <w:szCs w:val="18"/>
              </w:rPr>
              <w:t>（4）《司法鉴定程序通则》（司法部令第107号）；</w:t>
            </w:r>
            <w:r w:rsidRPr="002D3258">
              <w:rPr>
                <w:sz w:val="18"/>
                <w:szCs w:val="18"/>
              </w:rPr>
              <w:br/>
              <w:t>（5）《最高人民法院关于人民法院民事执行中拍卖、变卖财产的规定》（法释〔2004〕16号）；</w:t>
            </w:r>
            <w:r w:rsidRPr="002D3258">
              <w:rPr>
                <w:sz w:val="18"/>
                <w:szCs w:val="18"/>
              </w:rPr>
              <w:br/>
              <w:t>（6）《最高人民法院关于冻结、拍卖上市公司国有股和社会法人股若干问题的规定》（法释〔2001〕28号）；</w:t>
            </w:r>
            <w:r w:rsidRPr="002D3258">
              <w:rPr>
                <w:sz w:val="18"/>
                <w:szCs w:val="18"/>
              </w:rPr>
              <w:br/>
              <w:t>（7）《最高人民法院关于人民法院委托评估、拍卖工作的若干规定》（法释〔2011〕21号，于2010年8月16日由最高人民法院审判委员会第1492次会议通过，2011年9月7日最高人民法院予以公布）；</w:t>
            </w:r>
            <w:r w:rsidRPr="002D3258">
              <w:rPr>
                <w:sz w:val="18"/>
                <w:szCs w:val="18"/>
              </w:rPr>
              <w:br/>
              <w:t>（</w:t>
            </w:r>
            <w:r w:rsidRPr="002D3258">
              <w:rPr>
                <w:rFonts w:hint="eastAsia"/>
                <w:sz w:val="18"/>
                <w:szCs w:val="18"/>
              </w:rPr>
              <w:t>8</w:t>
            </w:r>
            <w:r w:rsidRPr="002D3258">
              <w:rPr>
                <w:sz w:val="18"/>
                <w:szCs w:val="18"/>
              </w:rPr>
              <w:t>）《最高人民法院关于人民法院确定财产处置参考价若干问题的规定》（法释〔2018〕15号）</w:t>
            </w:r>
            <w:r w:rsidRPr="002D3258">
              <w:rPr>
                <w:rFonts w:hint="eastAsia"/>
                <w:sz w:val="18"/>
                <w:szCs w:val="18"/>
              </w:rPr>
              <w:t>；</w:t>
            </w:r>
          </w:p>
          <w:p w14:paraId="7ED46F52" w14:textId="77777777" w:rsidR="002D3258" w:rsidRPr="002D3258" w:rsidRDefault="002D3258" w:rsidP="002D3258">
            <w:pPr>
              <w:pStyle w:val="13"/>
              <w:spacing w:line="240" w:lineRule="auto"/>
              <w:ind w:firstLineChars="0" w:firstLine="0"/>
              <w:rPr>
                <w:sz w:val="18"/>
                <w:szCs w:val="18"/>
              </w:rPr>
            </w:pPr>
            <w:r w:rsidRPr="002D3258">
              <w:rPr>
                <w:sz w:val="18"/>
                <w:szCs w:val="18"/>
              </w:rPr>
              <w:t>（</w:t>
            </w:r>
            <w:r w:rsidRPr="002D3258">
              <w:rPr>
                <w:rFonts w:hint="eastAsia"/>
                <w:sz w:val="18"/>
                <w:szCs w:val="18"/>
              </w:rPr>
              <w:t>9</w:t>
            </w:r>
            <w:r w:rsidRPr="002D3258">
              <w:rPr>
                <w:sz w:val="18"/>
                <w:szCs w:val="18"/>
              </w:rPr>
              <w:t>）《人民法院委托评估工作规范》（法办〔2018〕273号）</w:t>
            </w:r>
            <w:r w:rsidRPr="002D3258">
              <w:rPr>
                <w:rFonts w:hint="eastAsia"/>
                <w:sz w:val="18"/>
                <w:szCs w:val="18"/>
              </w:rPr>
              <w:t>等。</w:t>
            </w:r>
          </w:p>
        </w:tc>
      </w:tr>
      <w:tr w:rsidR="002D3258" w:rsidRPr="002D3258" w14:paraId="16C457C0" w14:textId="77777777" w:rsidTr="002D3258">
        <w:trPr>
          <w:gridAfter w:val="1"/>
          <w:wAfter w:w="11" w:type="pct"/>
          <w:trHeight w:val="541"/>
        </w:trPr>
        <w:tc>
          <w:tcPr>
            <w:tcW w:w="407" w:type="pct"/>
            <w:shd w:val="clear" w:color="auto" w:fill="auto"/>
            <w:noWrap/>
            <w:vAlign w:val="center"/>
            <w:hideMark/>
          </w:tcPr>
          <w:p w14:paraId="6F4A15C7" w14:textId="77777777" w:rsidR="002D3258" w:rsidRPr="002D3258" w:rsidRDefault="002D3258" w:rsidP="002D3258">
            <w:pPr>
              <w:pStyle w:val="13"/>
              <w:spacing w:line="240" w:lineRule="auto"/>
              <w:ind w:firstLineChars="0" w:firstLine="0"/>
              <w:rPr>
                <w:sz w:val="18"/>
                <w:szCs w:val="18"/>
              </w:rPr>
            </w:pPr>
            <w:r w:rsidRPr="002D3258">
              <w:rPr>
                <w:sz w:val="18"/>
                <w:szCs w:val="18"/>
              </w:rPr>
              <w:t>76</w:t>
            </w:r>
          </w:p>
        </w:tc>
        <w:tc>
          <w:tcPr>
            <w:tcW w:w="166" w:type="pct"/>
            <w:vMerge/>
            <w:shd w:val="clear" w:color="auto" w:fill="auto"/>
            <w:vAlign w:val="center"/>
            <w:hideMark/>
          </w:tcPr>
          <w:p w14:paraId="083264BD"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04F5A7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F4D41DE" w14:textId="77777777" w:rsidR="002D3258" w:rsidRPr="002D3258" w:rsidRDefault="002D3258" w:rsidP="002D3258">
            <w:pPr>
              <w:pStyle w:val="13"/>
              <w:spacing w:line="240" w:lineRule="auto"/>
              <w:ind w:firstLineChars="0" w:firstLine="0"/>
              <w:rPr>
                <w:sz w:val="18"/>
                <w:szCs w:val="18"/>
              </w:rPr>
            </w:pPr>
            <w:r w:rsidRPr="002D3258">
              <w:rPr>
                <w:sz w:val="18"/>
                <w:szCs w:val="18"/>
              </w:rPr>
              <w:t>1.8.15</w:t>
            </w:r>
          </w:p>
        </w:tc>
        <w:tc>
          <w:tcPr>
            <w:tcW w:w="1463" w:type="pct"/>
            <w:shd w:val="clear" w:color="auto" w:fill="auto"/>
            <w:noWrap/>
            <w:vAlign w:val="center"/>
            <w:hideMark/>
          </w:tcPr>
          <w:p w14:paraId="61E4D0EA" w14:textId="77777777" w:rsidR="002D3258" w:rsidRPr="002D3258" w:rsidRDefault="002D3258" w:rsidP="002D3258">
            <w:pPr>
              <w:pStyle w:val="13"/>
              <w:spacing w:line="240" w:lineRule="auto"/>
              <w:ind w:firstLineChars="0" w:firstLine="0"/>
              <w:rPr>
                <w:sz w:val="18"/>
                <w:szCs w:val="18"/>
              </w:rPr>
            </w:pPr>
            <w:r w:rsidRPr="002D3258">
              <w:rPr>
                <w:sz w:val="18"/>
                <w:szCs w:val="18"/>
              </w:rPr>
              <w:t>资产变价</w:t>
            </w:r>
          </w:p>
        </w:tc>
        <w:tc>
          <w:tcPr>
            <w:tcW w:w="2063" w:type="pct"/>
            <w:vMerge/>
            <w:shd w:val="clear" w:color="auto" w:fill="auto"/>
            <w:vAlign w:val="center"/>
            <w:hideMark/>
          </w:tcPr>
          <w:p w14:paraId="222F9719" w14:textId="77777777" w:rsidR="002D3258" w:rsidRPr="002D3258" w:rsidRDefault="002D3258" w:rsidP="002D3258">
            <w:pPr>
              <w:pStyle w:val="13"/>
              <w:spacing w:line="240" w:lineRule="auto"/>
              <w:ind w:firstLineChars="0" w:firstLine="0"/>
              <w:rPr>
                <w:sz w:val="18"/>
                <w:szCs w:val="18"/>
              </w:rPr>
            </w:pPr>
          </w:p>
        </w:tc>
      </w:tr>
      <w:tr w:rsidR="002D3258" w:rsidRPr="002D3258" w14:paraId="5ACD88AD" w14:textId="77777777" w:rsidTr="002D3258">
        <w:trPr>
          <w:gridAfter w:val="1"/>
          <w:wAfter w:w="11" w:type="pct"/>
          <w:trHeight w:val="1419"/>
        </w:trPr>
        <w:tc>
          <w:tcPr>
            <w:tcW w:w="407" w:type="pct"/>
            <w:shd w:val="clear" w:color="auto" w:fill="auto"/>
            <w:noWrap/>
            <w:vAlign w:val="center"/>
            <w:hideMark/>
          </w:tcPr>
          <w:p w14:paraId="05672709" w14:textId="77777777" w:rsidR="002D3258" w:rsidRPr="002D3258" w:rsidRDefault="002D3258" w:rsidP="002D3258">
            <w:pPr>
              <w:pStyle w:val="13"/>
              <w:spacing w:line="240" w:lineRule="auto"/>
              <w:ind w:firstLineChars="0" w:firstLine="0"/>
              <w:rPr>
                <w:sz w:val="18"/>
                <w:szCs w:val="18"/>
              </w:rPr>
            </w:pPr>
            <w:r w:rsidRPr="002D3258">
              <w:rPr>
                <w:sz w:val="18"/>
                <w:szCs w:val="18"/>
              </w:rPr>
              <w:t>77</w:t>
            </w:r>
          </w:p>
        </w:tc>
        <w:tc>
          <w:tcPr>
            <w:tcW w:w="166" w:type="pct"/>
            <w:vMerge/>
            <w:shd w:val="clear" w:color="auto" w:fill="auto"/>
            <w:vAlign w:val="center"/>
            <w:hideMark/>
          </w:tcPr>
          <w:p w14:paraId="61514648"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60212F9"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89E93A1" w14:textId="77777777" w:rsidR="002D3258" w:rsidRPr="002D3258" w:rsidRDefault="002D3258" w:rsidP="002D3258">
            <w:pPr>
              <w:pStyle w:val="13"/>
              <w:spacing w:line="240" w:lineRule="auto"/>
              <w:ind w:firstLineChars="0" w:firstLine="0"/>
              <w:rPr>
                <w:sz w:val="18"/>
                <w:szCs w:val="18"/>
              </w:rPr>
            </w:pPr>
            <w:r w:rsidRPr="002D3258">
              <w:rPr>
                <w:sz w:val="18"/>
                <w:szCs w:val="18"/>
              </w:rPr>
              <w:t>1.8.16</w:t>
            </w:r>
          </w:p>
        </w:tc>
        <w:tc>
          <w:tcPr>
            <w:tcW w:w="1463" w:type="pct"/>
            <w:shd w:val="clear" w:color="auto" w:fill="auto"/>
            <w:noWrap/>
            <w:vAlign w:val="center"/>
            <w:hideMark/>
          </w:tcPr>
          <w:p w14:paraId="169251AC" w14:textId="77777777" w:rsidR="002D3258" w:rsidRPr="002D3258" w:rsidRDefault="002D3258" w:rsidP="002D3258">
            <w:pPr>
              <w:pStyle w:val="13"/>
              <w:spacing w:line="240" w:lineRule="auto"/>
              <w:ind w:firstLineChars="0" w:firstLine="0"/>
              <w:rPr>
                <w:sz w:val="18"/>
                <w:szCs w:val="18"/>
              </w:rPr>
            </w:pPr>
            <w:r w:rsidRPr="002D3258">
              <w:rPr>
                <w:sz w:val="18"/>
                <w:szCs w:val="18"/>
              </w:rPr>
              <w:t>刑事案件定罪量刑中相关损失估算</w:t>
            </w:r>
          </w:p>
        </w:tc>
        <w:tc>
          <w:tcPr>
            <w:tcW w:w="2063" w:type="pct"/>
            <w:vMerge/>
            <w:shd w:val="clear" w:color="auto" w:fill="auto"/>
            <w:vAlign w:val="center"/>
            <w:hideMark/>
          </w:tcPr>
          <w:p w14:paraId="0653E038" w14:textId="77777777" w:rsidR="002D3258" w:rsidRPr="002D3258" w:rsidRDefault="002D3258" w:rsidP="002D3258">
            <w:pPr>
              <w:pStyle w:val="13"/>
              <w:spacing w:line="240" w:lineRule="auto"/>
              <w:ind w:firstLineChars="0" w:firstLine="0"/>
              <w:rPr>
                <w:sz w:val="18"/>
                <w:szCs w:val="18"/>
              </w:rPr>
            </w:pPr>
          </w:p>
        </w:tc>
      </w:tr>
      <w:tr w:rsidR="002D3258" w:rsidRPr="002D3258" w14:paraId="388BCB55" w14:textId="77777777" w:rsidTr="002D3258">
        <w:trPr>
          <w:gridAfter w:val="1"/>
          <w:wAfter w:w="11" w:type="pct"/>
          <w:trHeight w:val="1252"/>
        </w:trPr>
        <w:tc>
          <w:tcPr>
            <w:tcW w:w="407" w:type="pct"/>
            <w:shd w:val="clear" w:color="auto" w:fill="auto"/>
            <w:noWrap/>
            <w:vAlign w:val="center"/>
          </w:tcPr>
          <w:p w14:paraId="1A0147DD" w14:textId="77777777" w:rsidR="002D3258" w:rsidRPr="002D3258" w:rsidRDefault="002D3258" w:rsidP="002D3258">
            <w:pPr>
              <w:pStyle w:val="13"/>
              <w:spacing w:line="240" w:lineRule="auto"/>
              <w:ind w:firstLineChars="0" w:firstLine="0"/>
              <w:rPr>
                <w:sz w:val="18"/>
                <w:szCs w:val="18"/>
              </w:rPr>
            </w:pPr>
            <w:r w:rsidRPr="002D3258">
              <w:rPr>
                <w:sz w:val="18"/>
                <w:szCs w:val="18"/>
              </w:rPr>
              <w:t>N78</w:t>
            </w:r>
          </w:p>
        </w:tc>
        <w:tc>
          <w:tcPr>
            <w:tcW w:w="166" w:type="pct"/>
            <w:vMerge/>
            <w:shd w:val="clear" w:color="auto" w:fill="auto"/>
            <w:vAlign w:val="center"/>
          </w:tcPr>
          <w:p w14:paraId="3E2EBC28"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tcPr>
          <w:p w14:paraId="21F52054"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53E5E92B" w14:textId="77777777" w:rsidR="002D3258" w:rsidRPr="002D3258" w:rsidRDefault="002D3258" w:rsidP="002D3258">
            <w:pPr>
              <w:pStyle w:val="13"/>
              <w:spacing w:line="240" w:lineRule="auto"/>
              <w:ind w:firstLineChars="0" w:firstLine="0"/>
              <w:rPr>
                <w:sz w:val="18"/>
                <w:szCs w:val="18"/>
              </w:rPr>
            </w:pPr>
            <w:r w:rsidRPr="002D3258">
              <w:rPr>
                <w:sz w:val="18"/>
                <w:szCs w:val="18"/>
              </w:rPr>
              <w:t>1.8.17</w:t>
            </w:r>
          </w:p>
        </w:tc>
        <w:tc>
          <w:tcPr>
            <w:tcW w:w="1463" w:type="pct"/>
            <w:shd w:val="clear" w:color="auto" w:fill="auto"/>
            <w:noWrap/>
            <w:vAlign w:val="center"/>
          </w:tcPr>
          <w:p w14:paraId="362EE85E" w14:textId="77777777" w:rsidR="002D3258" w:rsidRPr="002D3258" w:rsidRDefault="002D3258" w:rsidP="002D3258">
            <w:pPr>
              <w:pStyle w:val="13"/>
              <w:spacing w:line="240" w:lineRule="auto"/>
              <w:ind w:firstLineChars="0" w:firstLine="0"/>
              <w:rPr>
                <w:sz w:val="18"/>
                <w:szCs w:val="18"/>
              </w:rPr>
            </w:pPr>
            <w:r w:rsidRPr="002D3258">
              <w:rPr>
                <w:sz w:val="18"/>
                <w:szCs w:val="18"/>
              </w:rPr>
              <w:t>人民法院委托司法执行财产处置资产评估</w:t>
            </w:r>
          </w:p>
        </w:tc>
        <w:tc>
          <w:tcPr>
            <w:tcW w:w="2063" w:type="pct"/>
            <w:vMerge/>
            <w:shd w:val="clear" w:color="auto" w:fill="auto"/>
            <w:vAlign w:val="center"/>
          </w:tcPr>
          <w:p w14:paraId="40953E82" w14:textId="77777777" w:rsidR="002D3258" w:rsidRPr="002D3258" w:rsidRDefault="002D3258" w:rsidP="002D3258">
            <w:pPr>
              <w:pStyle w:val="13"/>
              <w:spacing w:line="240" w:lineRule="auto"/>
              <w:ind w:firstLineChars="0" w:firstLine="0"/>
              <w:rPr>
                <w:sz w:val="18"/>
                <w:szCs w:val="18"/>
              </w:rPr>
            </w:pPr>
          </w:p>
        </w:tc>
      </w:tr>
      <w:tr w:rsidR="002D3258" w:rsidRPr="002D3258" w14:paraId="54A78AF3" w14:textId="77777777" w:rsidTr="002D3258">
        <w:trPr>
          <w:gridAfter w:val="1"/>
          <w:wAfter w:w="11" w:type="pct"/>
          <w:trHeight w:val="533"/>
        </w:trPr>
        <w:tc>
          <w:tcPr>
            <w:tcW w:w="407" w:type="pct"/>
            <w:shd w:val="clear" w:color="auto" w:fill="auto"/>
            <w:noWrap/>
            <w:vAlign w:val="center"/>
            <w:hideMark/>
          </w:tcPr>
          <w:p w14:paraId="66044801" w14:textId="77777777" w:rsidR="002D3258" w:rsidRPr="002D3258" w:rsidRDefault="002D3258" w:rsidP="002D3258">
            <w:pPr>
              <w:pStyle w:val="13"/>
              <w:spacing w:line="240" w:lineRule="auto"/>
              <w:ind w:firstLineChars="0" w:firstLine="0"/>
              <w:rPr>
                <w:sz w:val="18"/>
                <w:szCs w:val="18"/>
              </w:rPr>
            </w:pPr>
            <w:r w:rsidRPr="002D3258">
              <w:rPr>
                <w:sz w:val="18"/>
                <w:szCs w:val="18"/>
              </w:rPr>
              <w:t>79</w:t>
            </w:r>
          </w:p>
        </w:tc>
        <w:tc>
          <w:tcPr>
            <w:tcW w:w="166" w:type="pct"/>
            <w:vMerge/>
            <w:shd w:val="clear" w:color="auto" w:fill="auto"/>
            <w:vAlign w:val="center"/>
            <w:hideMark/>
          </w:tcPr>
          <w:p w14:paraId="4D4B3D2F"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A77005A"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2555317" w14:textId="77777777" w:rsidR="002D3258" w:rsidRPr="002D3258" w:rsidRDefault="002D3258" w:rsidP="002D3258">
            <w:pPr>
              <w:pStyle w:val="13"/>
              <w:spacing w:line="240" w:lineRule="auto"/>
              <w:ind w:firstLineChars="0" w:firstLine="0"/>
              <w:rPr>
                <w:sz w:val="18"/>
                <w:szCs w:val="18"/>
              </w:rPr>
            </w:pPr>
            <w:r w:rsidRPr="002D3258">
              <w:rPr>
                <w:sz w:val="18"/>
                <w:szCs w:val="18"/>
              </w:rPr>
              <w:t>1.8.18</w:t>
            </w:r>
          </w:p>
        </w:tc>
        <w:tc>
          <w:tcPr>
            <w:tcW w:w="1463" w:type="pct"/>
            <w:shd w:val="clear" w:color="auto" w:fill="auto"/>
            <w:noWrap/>
            <w:vAlign w:val="center"/>
            <w:hideMark/>
          </w:tcPr>
          <w:p w14:paraId="3E615D64" w14:textId="77777777" w:rsidR="002D3258" w:rsidRPr="002D3258" w:rsidRDefault="002D3258" w:rsidP="002D3258">
            <w:pPr>
              <w:pStyle w:val="13"/>
              <w:spacing w:line="240" w:lineRule="auto"/>
              <w:ind w:firstLineChars="0" w:firstLine="0"/>
              <w:rPr>
                <w:sz w:val="18"/>
                <w:szCs w:val="18"/>
              </w:rPr>
            </w:pPr>
            <w:r w:rsidRPr="002D3258">
              <w:rPr>
                <w:sz w:val="18"/>
                <w:szCs w:val="18"/>
              </w:rPr>
              <w:t>国家中小企业发展基金价值评估</w:t>
            </w:r>
          </w:p>
        </w:tc>
        <w:tc>
          <w:tcPr>
            <w:tcW w:w="2063" w:type="pct"/>
            <w:shd w:val="clear" w:color="auto" w:fill="auto"/>
            <w:vAlign w:val="center"/>
            <w:hideMark/>
          </w:tcPr>
          <w:p w14:paraId="38489C78" w14:textId="77777777" w:rsidR="002D3258" w:rsidRPr="002D3258" w:rsidRDefault="002D3258" w:rsidP="002D3258">
            <w:pPr>
              <w:pStyle w:val="13"/>
              <w:spacing w:line="240" w:lineRule="auto"/>
              <w:ind w:firstLineChars="0" w:firstLine="0"/>
              <w:rPr>
                <w:sz w:val="18"/>
                <w:szCs w:val="18"/>
              </w:rPr>
            </w:pPr>
            <w:r w:rsidRPr="002D3258">
              <w:rPr>
                <w:sz w:val="18"/>
                <w:szCs w:val="18"/>
              </w:rPr>
              <w:t>《国务院关于进一步支持小型微型企业健康发展的意见》（国发〔2012〕14号）</w:t>
            </w:r>
          </w:p>
        </w:tc>
      </w:tr>
      <w:tr w:rsidR="002D3258" w:rsidRPr="002D3258" w14:paraId="37E5D5BF" w14:textId="77777777" w:rsidTr="002D3258">
        <w:trPr>
          <w:gridAfter w:val="1"/>
          <w:wAfter w:w="11" w:type="pct"/>
          <w:trHeight w:val="576"/>
        </w:trPr>
        <w:tc>
          <w:tcPr>
            <w:tcW w:w="407" w:type="pct"/>
            <w:shd w:val="clear" w:color="auto" w:fill="auto"/>
            <w:noWrap/>
            <w:vAlign w:val="center"/>
            <w:hideMark/>
          </w:tcPr>
          <w:p w14:paraId="3A8A6093" w14:textId="77777777" w:rsidR="002D3258" w:rsidRPr="002D3258" w:rsidRDefault="002D3258" w:rsidP="002D3258">
            <w:pPr>
              <w:pStyle w:val="13"/>
              <w:spacing w:line="240" w:lineRule="auto"/>
              <w:ind w:firstLineChars="0" w:firstLine="0"/>
              <w:rPr>
                <w:sz w:val="18"/>
                <w:szCs w:val="18"/>
              </w:rPr>
            </w:pPr>
            <w:r w:rsidRPr="002D3258">
              <w:rPr>
                <w:sz w:val="18"/>
                <w:szCs w:val="18"/>
              </w:rPr>
              <w:t>N80</w:t>
            </w:r>
          </w:p>
        </w:tc>
        <w:tc>
          <w:tcPr>
            <w:tcW w:w="166" w:type="pct"/>
            <w:vMerge/>
            <w:shd w:val="clear" w:color="auto" w:fill="auto"/>
            <w:noWrap/>
            <w:vAlign w:val="center"/>
            <w:hideMark/>
          </w:tcPr>
          <w:p w14:paraId="69A7A823"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noWrap/>
            <w:vAlign w:val="center"/>
            <w:hideMark/>
          </w:tcPr>
          <w:p w14:paraId="5FEA4485"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39537B2F" w14:textId="77777777" w:rsidR="002D3258" w:rsidRPr="002D3258" w:rsidRDefault="002D3258" w:rsidP="002D3258">
            <w:pPr>
              <w:pStyle w:val="13"/>
              <w:spacing w:line="240" w:lineRule="auto"/>
              <w:ind w:firstLineChars="0" w:firstLine="0"/>
              <w:rPr>
                <w:sz w:val="18"/>
                <w:szCs w:val="18"/>
              </w:rPr>
            </w:pPr>
            <w:r w:rsidRPr="002D3258">
              <w:rPr>
                <w:sz w:val="18"/>
                <w:szCs w:val="18"/>
              </w:rPr>
              <w:t>1.8.19</w:t>
            </w:r>
          </w:p>
        </w:tc>
        <w:tc>
          <w:tcPr>
            <w:tcW w:w="1463" w:type="pct"/>
            <w:shd w:val="clear" w:color="auto" w:fill="auto"/>
            <w:noWrap/>
            <w:vAlign w:val="center"/>
            <w:hideMark/>
          </w:tcPr>
          <w:p w14:paraId="52A97DE2" w14:textId="77777777" w:rsidR="002D3258" w:rsidRPr="002D3258" w:rsidRDefault="002D3258" w:rsidP="002D3258">
            <w:pPr>
              <w:pStyle w:val="13"/>
              <w:spacing w:line="240" w:lineRule="auto"/>
              <w:ind w:firstLineChars="0" w:firstLine="0"/>
              <w:rPr>
                <w:sz w:val="18"/>
                <w:szCs w:val="18"/>
              </w:rPr>
            </w:pPr>
            <w:r w:rsidRPr="002D3258">
              <w:rPr>
                <w:sz w:val="18"/>
                <w:szCs w:val="18"/>
              </w:rPr>
              <w:t>行业协会商会与行政机关脱钩有关国有资产管理</w:t>
            </w:r>
          </w:p>
        </w:tc>
        <w:tc>
          <w:tcPr>
            <w:tcW w:w="2063" w:type="pct"/>
            <w:shd w:val="clear" w:color="auto" w:fill="auto"/>
            <w:vAlign w:val="center"/>
            <w:hideMark/>
          </w:tcPr>
          <w:p w14:paraId="4B4F2FB3" w14:textId="77777777" w:rsidR="002D3258" w:rsidRPr="002D3258" w:rsidRDefault="002D3258" w:rsidP="002D3258">
            <w:pPr>
              <w:pStyle w:val="13"/>
              <w:spacing w:line="240" w:lineRule="auto"/>
              <w:ind w:firstLineChars="0" w:firstLine="0"/>
              <w:rPr>
                <w:sz w:val="18"/>
                <w:szCs w:val="18"/>
              </w:rPr>
            </w:pPr>
            <w:r w:rsidRPr="002D3258">
              <w:rPr>
                <w:sz w:val="18"/>
                <w:szCs w:val="18"/>
              </w:rPr>
              <w:t>《关于加强行业协会商会与行政机关脱钩有关国有资产管理的意见（试行）》（财资〔2015〕44号）</w:t>
            </w:r>
          </w:p>
        </w:tc>
      </w:tr>
      <w:tr w:rsidR="002D3258" w:rsidRPr="002D3258" w14:paraId="70E569E7" w14:textId="77777777" w:rsidTr="002D3258">
        <w:trPr>
          <w:gridAfter w:val="1"/>
          <w:wAfter w:w="11" w:type="pct"/>
          <w:trHeight w:val="283"/>
        </w:trPr>
        <w:tc>
          <w:tcPr>
            <w:tcW w:w="407" w:type="pct"/>
            <w:shd w:val="clear" w:color="auto" w:fill="auto"/>
            <w:noWrap/>
            <w:vAlign w:val="center"/>
            <w:hideMark/>
          </w:tcPr>
          <w:p w14:paraId="0745D390" w14:textId="77777777" w:rsidR="002D3258" w:rsidRPr="002D3258" w:rsidRDefault="002D3258" w:rsidP="002D3258">
            <w:pPr>
              <w:pStyle w:val="13"/>
              <w:spacing w:line="240" w:lineRule="auto"/>
              <w:ind w:firstLineChars="0" w:firstLine="0"/>
              <w:rPr>
                <w:sz w:val="18"/>
                <w:szCs w:val="18"/>
              </w:rPr>
            </w:pPr>
            <w:r w:rsidRPr="002D3258">
              <w:rPr>
                <w:sz w:val="18"/>
                <w:szCs w:val="18"/>
              </w:rPr>
              <w:t>N81</w:t>
            </w:r>
          </w:p>
        </w:tc>
        <w:tc>
          <w:tcPr>
            <w:tcW w:w="166" w:type="pct"/>
            <w:vMerge/>
            <w:shd w:val="clear" w:color="auto" w:fill="auto"/>
            <w:vAlign w:val="center"/>
            <w:hideMark/>
          </w:tcPr>
          <w:p w14:paraId="1CD1E041"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3A94E625"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7D4DECAF" w14:textId="77777777" w:rsidR="002D3258" w:rsidRPr="002D3258" w:rsidRDefault="002D3258" w:rsidP="002D3258">
            <w:pPr>
              <w:pStyle w:val="13"/>
              <w:spacing w:line="240" w:lineRule="auto"/>
              <w:ind w:firstLineChars="0" w:firstLine="0"/>
              <w:rPr>
                <w:sz w:val="18"/>
                <w:szCs w:val="18"/>
              </w:rPr>
            </w:pPr>
            <w:r w:rsidRPr="002D3258">
              <w:rPr>
                <w:sz w:val="18"/>
                <w:szCs w:val="18"/>
              </w:rPr>
              <w:t>1.8.20</w:t>
            </w:r>
          </w:p>
        </w:tc>
        <w:tc>
          <w:tcPr>
            <w:tcW w:w="1463" w:type="pct"/>
            <w:shd w:val="clear" w:color="auto" w:fill="auto"/>
            <w:noWrap/>
            <w:vAlign w:val="center"/>
            <w:hideMark/>
          </w:tcPr>
          <w:p w14:paraId="317DEE36" w14:textId="77777777" w:rsidR="002D3258" w:rsidRPr="002D3258" w:rsidRDefault="002D3258" w:rsidP="002D3258">
            <w:pPr>
              <w:pStyle w:val="13"/>
              <w:spacing w:line="240" w:lineRule="auto"/>
              <w:ind w:firstLineChars="0" w:firstLine="0"/>
              <w:rPr>
                <w:sz w:val="18"/>
                <w:szCs w:val="18"/>
              </w:rPr>
            </w:pPr>
            <w:r w:rsidRPr="002D3258">
              <w:rPr>
                <w:sz w:val="18"/>
                <w:szCs w:val="18"/>
              </w:rPr>
              <w:t>中国足协大额资产出售与置换</w:t>
            </w:r>
          </w:p>
        </w:tc>
        <w:tc>
          <w:tcPr>
            <w:tcW w:w="2063" w:type="pct"/>
            <w:vMerge w:val="restart"/>
            <w:shd w:val="clear" w:color="auto" w:fill="auto"/>
            <w:vAlign w:val="center"/>
            <w:hideMark/>
          </w:tcPr>
          <w:p w14:paraId="4728522D" w14:textId="77777777" w:rsidR="002D3258" w:rsidRPr="002D3258" w:rsidRDefault="002D3258" w:rsidP="002D3258">
            <w:pPr>
              <w:pStyle w:val="13"/>
              <w:spacing w:line="240" w:lineRule="auto"/>
              <w:ind w:firstLineChars="0" w:firstLine="0"/>
              <w:rPr>
                <w:sz w:val="18"/>
                <w:szCs w:val="18"/>
              </w:rPr>
            </w:pPr>
            <w:r w:rsidRPr="002D3258">
              <w:rPr>
                <w:sz w:val="18"/>
                <w:szCs w:val="18"/>
              </w:rPr>
              <w:t>《中国足球协会资产管理暂行办法》（财资〔2017〕32号）</w:t>
            </w:r>
          </w:p>
        </w:tc>
      </w:tr>
      <w:tr w:rsidR="002D3258" w:rsidRPr="002D3258" w14:paraId="29C2E155" w14:textId="77777777" w:rsidTr="002D3258">
        <w:trPr>
          <w:gridAfter w:val="1"/>
          <w:wAfter w:w="11" w:type="pct"/>
          <w:trHeight w:val="283"/>
        </w:trPr>
        <w:tc>
          <w:tcPr>
            <w:tcW w:w="407" w:type="pct"/>
            <w:shd w:val="clear" w:color="auto" w:fill="auto"/>
            <w:noWrap/>
            <w:vAlign w:val="center"/>
            <w:hideMark/>
          </w:tcPr>
          <w:p w14:paraId="2C1CAFCA" w14:textId="77777777" w:rsidR="002D3258" w:rsidRPr="002D3258" w:rsidRDefault="002D3258" w:rsidP="002D3258">
            <w:pPr>
              <w:pStyle w:val="13"/>
              <w:spacing w:line="240" w:lineRule="auto"/>
              <w:ind w:firstLineChars="0" w:firstLine="0"/>
              <w:rPr>
                <w:sz w:val="18"/>
                <w:szCs w:val="18"/>
              </w:rPr>
            </w:pPr>
            <w:r w:rsidRPr="002D3258">
              <w:rPr>
                <w:sz w:val="18"/>
                <w:szCs w:val="18"/>
              </w:rPr>
              <w:t>N82</w:t>
            </w:r>
          </w:p>
        </w:tc>
        <w:tc>
          <w:tcPr>
            <w:tcW w:w="166" w:type="pct"/>
            <w:vMerge/>
            <w:shd w:val="clear" w:color="auto" w:fill="auto"/>
            <w:vAlign w:val="center"/>
            <w:hideMark/>
          </w:tcPr>
          <w:p w14:paraId="6390AF5F"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0A4CB4B"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0D17D8C9" w14:textId="77777777" w:rsidR="002D3258" w:rsidRPr="002D3258" w:rsidRDefault="002D3258" w:rsidP="002D3258">
            <w:pPr>
              <w:pStyle w:val="13"/>
              <w:spacing w:line="240" w:lineRule="auto"/>
              <w:ind w:firstLineChars="0" w:firstLine="0"/>
              <w:rPr>
                <w:sz w:val="18"/>
                <w:szCs w:val="18"/>
              </w:rPr>
            </w:pPr>
            <w:r w:rsidRPr="002D3258">
              <w:rPr>
                <w:sz w:val="18"/>
                <w:szCs w:val="18"/>
              </w:rPr>
              <w:t>1.8.21</w:t>
            </w:r>
          </w:p>
        </w:tc>
        <w:tc>
          <w:tcPr>
            <w:tcW w:w="1463" w:type="pct"/>
            <w:shd w:val="clear" w:color="auto" w:fill="auto"/>
            <w:noWrap/>
            <w:vAlign w:val="center"/>
            <w:hideMark/>
          </w:tcPr>
          <w:p w14:paraId="66E45702" w14:textId="77777777" w:rsidR="002D3258" w:rsidRPr="002D3258" w:rsidRDefault="002D3258" w:rsidP="002D3258">
            <w:pPr>
              <w:pStyle w:val="13"/>
              <w:spacing w:line="240" w:lineRule="auto"/>
              <w:ind w:firstLineChars="0" w:firstLine="0"/>
              <w:rPr>
                <w:sz w:val="18"/>
                <w:szCs w:val="18"/>
              </w:rPr>
            </w:pPr>
            <w:r w:rsidRPr="002D3258">
              <w:rPr>
                <w:sz w:val="18"/>
                <w:szCs w:val="18"/>
              </w:rPr>
              <w:t>中国足协所持的国有企业股权资产管理</w:t>
            </w:r>
          </w:p>
        </w:tc>
        <w:tc>
          <w:tcPr>
            <w:tcW w:w="2063" w:type="pct"/>
            <w:vMerge/>
            <w:shd w:val="clear" w:color="auto" w:fill="auto"/>
            <w:vAlign w:val="center"/>
            <w:hideMark/>
          </w:tcPr>
          <w:p w14:paraId="60EAC636" w14:textId="77777777" w:rsidR="002D3258" w:rsidRPr="002D3258" w:rsidRDefault="002D3258" w:rsidP="002D3258">
            <w:pPr>
              <w:pStyle w:val="13"/>
              <w:spacing w:line="240" w:lineRule="auto"/>
              <w:ind w:firstLineChars="0" w:firstLine="0"/>
              <w:rPr>
                <w:sz w:val="18"/>
                <w:szCs w:val="18"/>
              </w:rPr>
            </w:pPr>
          </w:p>
        </w:tc>
      </w:tr>
      <w:tr w:rsidR="002D3258" w:rsidRPr="002D3258" w14:paraId="35E98015" w14:textId="77777777" w:rsidTr="002D3258">
        <w:trPr>
          <w:gridAfter w:val="1"/>
          <w:wAfter w:w="11" w:type="pct"/>
          <w:trHeight w:val="538"/>
        </w:trPr>
        <w:tc>
          <w:tcPr>
            <w:tcW w:w="407" w:type="pct"/>
            <w:shd w:val="clear" w:color="auto" w:fill="auto"/>
            <w:noWrap/>
            <w:vAlign w:val="center"/>
            <w:hideMark/>
          </w:tcPr>
          <w:p w14:paraId="344B39F2" w14:textId="77777777" w:rsidR="002D3258" w:rsidRPr="002D3258" w:rsidRDefault="002D3258" w:rsidP="002D3258">
            <w:pPr>
              <w:pStyle w:val="13"/>
              <w:spacing w:line="240" w:lineRule="auto"/>
              <w:ind w:firstLineChars="0" w:firstLine="0"/>
              <w:rPr>
                <w:sz w:val="18"/>
                <w:szCs w:val="18"/>
              </w:rPr>
            </w:pPr>
            <w:r w:rsidRPr="002D3258">
              <w:rPr>
                <w:sz w:val="18"/>
                <w:szCs w:val="18"/>
              </w:rPr>
              <w:t>N83</w:t>
            </w:r>
          </w:p>
        </w:tc>
        <w:tc>
          <w:tcPr>
            <w:tcW w:w="166" w:type="pct"/>
            <w:vMerge/>
            <w:shd w:val="clear" w:color="auto" w:fill="auto"/>
            <w:vAlign w:val="center"/>
            <w:hideMark/>
          </w:tcPr>
          <w:p w14:paraId="44FAB801"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171D5F4"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6729D871" w14:textId="77777777" w:rsidR="002D3258" w:rsidRPr="002D3258" w:rsidRDefault="002D3258" w:rsidP="002D3258">
            <w:pPr>
              <w:pStyle w:val="13"/>
              <w:spacing w:line="240" w:lineRule="auto"/>
              <w:ind w:firstLineChars="0" w:firstLine="0"/>
              <w:rPr>
                <w:sz w:val="18"/>
                <w:szCs w:val="18"/>
              </w:rPr>
            </w:pPr>
            <w:r w:rsidRPr="002D3258">
              <w:rPr>
                <w:sz w:val="18"/>
                <w:szCs w:val="18"/>
              </w:rPr>
              <w:t>1.8.22</w:t>
            </w:r>
          </w:p>
        </w:tc>
        <w:tc>
          <w:tcPr>
            <w:tcW w:w="1463" w:type="pct"/>
            <w:shd w:val="clear" w:color="auto" w:fill="auto"/>
            <w:noWrap/>
            <w:vAlign w:val="center"/>
            <w:hideMark/>
          </w:tcPr>
          <w:p w14:paraId="4B6148FB" w14:textId="77777777" w:rsidR="002D3258" w:rsidRPr="002D3258" w:rsidRDefault="002D3258" w:rsidP="002D3258">
            <w:pPr>
              <w:pStyle w:val="13"/>
              <w:spacing w:line="240" w:lineRule="auto"/>
              <w:ind w:firstLineChars="0" w:firstLine="0"/>
              <w:rPr>
                <w:sz w:val="18"/>
                <w:szCs w:val="18"/>
              </w:rPr>
            </w:pPr>
            <w:r w:rsidRPr="002D3258">
              <w:rPr>
                <w:sz w:val="18"/>
                <w:szCs w:val="18"/>
              </w:rPr>
              <w:t>包装产业发展混合所有制经济中涉及的国有资产评估</w:t>
            </w:r>
          </w:p>
        </w:tc>
        <w:tc>
          <w:tcPr>
            <w:tcW w:w="2063" w:type="pct"/>
            <w:vMerge w:val="restart"/>
            <w:shd w:val="clear" w:color="auto" w:fill="auto"/>
            <w:noWrap/>
            <w:vAlign w:val="center"/>
            <w:hideMark/>
          </w:tcPr>
          <w:p w14:paraId="6E39AE88" w14:textId="77777777" w:rsidR="002D3258" w:rsidRPr="002D3258" w:rsidRDefault="002D3258" w:rsidP="002D3258">
            <w:pPr>
              <w:pStyle w:val="13"/>
              <w:spacing w:line="240" w:lineRule="auto"/>
              <w:ind w:firstLineChars="0" w:firstLine="0"/>
              <w:rPr>
                <w:sz w:val="18"/>
                <w:szCs w:val="18"/>
              </w:rPr>
            </w:pPr>
            <w:r w:rsidRPr="002D3258">
              <w:rPr>
                <w:sz w:val="18"/>
                <w:szCs w:val="18"/>
              </w:rPr>
              <w:t>《关于加快我国包装产业转型发展的指导意见》（工信部</w:t>
            </w:r>
            <w:proofErr w:type="gramStart"/>
            <w:r w:rsidRPr="002D3258">
              <w:rPr>
                <w:sz w:val="18"/>
                <w:szCs w:val="18"/>
              </w:rPr>
              <w:t>联消费</w:t>
            </w:r>
            <w:proofErr w:type="gramEnd"/>
            <w:r w:rsidRPr="002D3258">
              <w:rPr>
                <w:sz w:val="18"/>
                <w:szCs w:val="18"/>
              </w:rPr>
              <w:t>〔2016〕397号）</w:t>
            </w:r>
          </w:p>
        </w:tc>
      </w:tr>
      <w:tr w:rsidR="002D3258" w:rsidRPr="002D3258" w14:paraId="0FBD6782" w14:textId="77777777" w:rsidTr="002D3258">
        <w:trPr>
          <w:gridAfter w:val="1"/>
          <w:wAfter w:w="11" w:type="pct"/>
          <w:trHeight w:val="560"/>
        </w:trPr>
        <w:tc>
          <w:tcPr>
            <w:tcW w:w="407" w:type="pct"/>
            <w:shd w:val="clear" w:color="auto" w:fill="auto"/>
            <w:noWrap/>
            <w:vAlign w:val="center"/>
            <w:hideMark/>
          </w:tcPr>
          <w:p w14:paraId="59E37607" w14:textId="77777777" w:rsidR="002D3258" w:rsidRPr="002D3258" w:rsidRDefault="002D3258" w:rsidP="002D3258">
            <w:pPr>
              <w:pStyle w:val="13"/>
              <w:spacing w:line="240" w:lineRule="auto"/>
              <w:ind w:firstLineChars="0" w:firstLine="0"/>
              <w:rPr>
                <w:sz w:val="18"/>
                <w:szCs w:val="18"/>
              </w:rPr>
            </w:pPr>
            <w:r w:rsidRPr="002D3258">
              <w:rPr>
                <w:sz w:val="18"/>
                <w:szCs w:val="18"/>
              </w:rPr>
              <w:t>N84</w:t>
            </w:r>
          </w:p>
        </w:tc>
        <w:tc>
          <w:tcPr>
            <w:tcW w:w="166" w:type="pct"/>
            <w:vMerge/>
            <w:shd w:val="clear" w:color="auto" w:fill="auto"/>
            <w:vAlign w:val="center"/>
            <w:hideMark/>
          </w:tcPr>
          <w:p w14:paraId="0633C091"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A6F1BDF"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638CFF65" w14:textId="77777777" w:rsidR="002D3258" w:rsidRPr="002D3258" w:rsidRDefault="002D3258" w:rsidP="002D3258">
            <w:pPr>
              <w:pStyle w:val="13"/>
              <w:spacing w:line="240" w:lineRule="auto"/>
              <w:ind w:firstLineChars="0" w:firstLine="0"/>
              <w:rPr>
                <w:sz w:val="18"/>
                <w:szCs w:val="18"/>
              </w:rPr>
            </w:pPr>
            <w:r w:rsidRPr="002D3258">
              <w:rPr>
                <w:sz w:val="18"/>
                <w:szCs w:val="18"/>
              </w:rPr>
              <w:t>1.8.23</w:t>
            </w:r>
          </w:p>
        </w:tc>
        <w:tc>
          <w:tcPr>
            <w:tcW w:w="1463" w:type="pct"/>
            <w:shd w:val="clear" w:color="auto" w:fill="auto"/>
            <w:noWrap/>
            <w:vAlign w:val="center"/>
            <w:hideMark/>
          </w:tcPr>
          <w:p w14:paraId="332EA72D" w14:textId="77777777" w:rsidR="002D3258" w:rsidRPr="002D3258" w:rsidRDefault="002D3258" w:rsidP="002D3258">
            <w:pPr>
              <w:pStyle w:val="13"/>
              <w:spacing w:line="240" w:lineRule="auto"/>
              <w:ind w:firstLineChars="0" w:firstLine="0"/>
              <w:rPr>
                <w:sz w:val="18"/>
                <w:szCs w:val="18"/>
              </w:rPr>
            </w:pPr>
            <w:r w:rsidRPr="002D3258">
              <w:rPr>
                <w:sz w:val="18"/>
                <w:szCs w:val="18"/>
              </w:rPr>
              <w:t>大中型包装企业的股权分置改革中涉及的国有产权变动</w:t>
            </w:r>
          </w:p>
        </w:tc>
        <w:tc>
          <w:tcPr>
            <w:tcW w:w="2063" w:type="pct"/>
            <w:vMerge/>
            <w:shd w:val="clear" w:color="auto" w:fill="auto"/>
            <w:vAlign w:val="center"/>
            <w:hideMark/>
          </w:tcPr>
          <w:p w14:paraId="1FD028E4" w14:textId="77777777" w:rsidR="002D3258" w:rsidRPr="002D3258" w:rsidRDefault="002D3258" w:rsidP="002D3258">
            <w:pPr>
              <w:pStyle w:val="13"/>
              <w:spacing w:line="240" w:lineRule="auto"/>
              <w:ind w:firstLineChars="0" w:firstLine="0"/>
              <w:rPr>
                <w:sz w:val="18"/>
                <w:szCs w:val="18"/>
              </w:rPr>
            </w:pPr>
          </w:p>
        </w:tc>
      </w:tr>
      <w:tr w:rsidR="002D3258" w:rsidRPr="002D3258" w14:paraId="73A749F1" w14:textId="77777777" w:rsidTr="002D3258">
        <w:trPr>
          <w:gridAfter w:val="1"/>
          <w:wAfter w:w="11" w:type="pct"/>
          <w:trHeight w:val="568"/>
        </w:trPr>
        <w:tc>
          <w:tcPr>
            <w:tcW w:w="407" w:type="pct"/>
            <w:shd w:val="clear" w:color="auto" w:fill="auto"/>
            <w:noWrap/>
            <w:vAlign w:val="center"/>
            <w:hideMark/>
          </w:tcPr>
          <w:p w14:paraId="70388DF0" w14:textId="77777777" w:rsidR="002D3258" w:rsidRPr="002D3258" w:rsidRDefault="002D3258" w:rsidP="002D3258">
            <w:pPr>
              <w:pStyle w:val="13"/>
              <w:spacing w:line="240" w:lineRule="auto"/>
              <w:ind w:firstLineChars="0" w:firstLine="0"/>
              <w:rPr>
                <w:sz w:val="18"/>
                <w:szCs w:val="18"/>
              </w:rPr>
            </w:pPr>
            <w:r w:rsidRPr="002D3258">
              <w:rPr>
                <w:sz w:val="18"/>
                <w:szCs w:val="18"/>
              </w:rPr>
              <w:t>N85</w:t>
            </w:r>
          </w:p>
        </w:tc>
        <w:tc>
          <w:tcPr>
            <w:tcW w:w="166" w:type="pct"/>
            <w:vMerge/>
            <w:shd w:val="clear" w:color="auto" w:fill="auto"/>
            <w:vAlign w:val="center"/>
            <w:hideMark/>
          </w:tcPr>
          <w:p w14:paraId="44AA145E"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BDC2E71"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58EE8C27" w14:textId="77777777" w:rsidR="002D3258" w:rsidRPr="002D3258" w:rsidRDefault="002D3258" w:rsidP="002D3258">
            <w:pPr>
              <w:pStyle w:val="13"/>
              <w:spacing w:line="240" w:lineRule="auto"/>
              <w:ind w:firstLineChars="0" w:firstLine="0"/>
              <w:rPr>
                <w:sz w:val="18"/>
                <w:szCs w:val="18"/>
              </w:rPr>
            </w:pPr>
            <w:r w:rsidRPr="002D3258">
              <w:rPr>
                <w:sz w:val="18"/>
                <w:szCs w:val="18"/>
              </w:rPr>
              <w:t>1.8.24</w:t>
            </w:r>
          </w:p>
        </w:tc>
        <w:tc>
          <w:tcPr>
            <w:tcW w:w="1463" w:type="pct"/>
            <w:shd w:val="clear" w:color="auto" w:fill="auto"/>
            <w:noWrap/>
            <w:vAlign w:val="center"/>
            <w:hideMark/>
          </w:tcPr>
          <w:p w14:paraId="52838B9C" w14:textId="77777777" w:rsidR="002D3258" w:rsidRPr="002D3258" w:rsidRDefault="002D3258" w:rsidP="002D3258">
            <w:pPr>
              <w:pStyle w:val="13"/>
              <w:spacing w:line="240" w:lineRule="auto"/>
              <w:ind w:firstLineChars="0" w:firstLine="0"/>
              <w:rPr>
                <w:sz w:val="18"/>
                <w:szCs w:val="18"/>
              </w:rPr>
            </w:pPr>
            <w:r w:rsidRPr="002D3258">
              <w:rPr>
                <w:sz w:val="18"/>
                <w:szCs w:val="18"/>
              </w:rPr>
              <w:t>包装企业与科研院所间的资产重组</w:t>
            </w:r>
          </w:p>
        </w:tc>
        <w:tc>
          <w:tcPr>
            <w:tcW w:w="2063" w:type="pct"/>
            <w:vMerge/>
            <w:shd w:val="clear" w:color="auto" w:fill="auto"/>
            <w:vAlign w:val="center"/>
            <w:hideMark/>
          </w:tcPr>
          <w:p w14:paraId="1B8FB88A" w14:textId="77777777" w:rsidR="002D3258" w:rsidRPr="002D3258" w:rsidRDefault="002D3258" w:rsidP="002D3258">
            <w:pPr>
              <w:pStyle w:val="13"/>
              <w:spacing w:line="240" w:lineRule="auto"/>
              <w:ind w:firstLineChars="0" w:firstLine="0"/>
              <w:rPr>
                <w:sz w:val="18"/>
                <w:szCs w:val="18"/>
              </w:rPr>
            </w:pPr>
          </w:p>
        </w:tc>
      </w:tr>
      <w:tr w:rsidR="002D3258" w:rsidRPr="002D3258" w14:paraId="580387ED" w14:textId="77777777" w:rsidTr="002D3258">
        <w:trPr>
          <w:gridAfter w:val="1"/>
          <w:wAfter w:w="11" w:type="pct"/>
          <w:trHeight w:val="300"/>
        </w:trPr>
        <w:tc>
          <w:tcPr>
            <w:tcW w:w="407" w:type="pct"/>
            <w:shd w:val="clear" w:color="auto" w:fill="auto"/>
            <w:noWrap/>
            <w:vAlign w:val="center"/>
            <w:hideMark/>
          </w:tcPr>
          <w:p w14:paraId="73CC8B26" w14:textId="77777777" w:rsidR="002D3258" w:rsidRPr="002D3258" w:rsidRDefault="002D3258" w:rsidP="002D3258">
            <w:pPr>
              <w:pStyle w:val="13"/>
              <w:spacing w:line="240" w:lineRule="auto"/>
              <w:ind w:firstLineChars="0" w:firstLine="0"/>
              <w:rPr>
                <w:b/>
                <w:sz w:val="18"/>
                <w:szCs w:val="18"/>
              </w:rPr>
            </w:pPr>
            <w:r w:rsidRPr="002D3258">
              <w:rPr>
                <w:b/>
                <w:sz w:val="18"/>
                <w:szCs w:val="18"/>
              </w:rPr>
              <w:t>二</w:t>
            </w:r>
          </w:p>
        </w:tc>
        <w:tc>
          <w:tcPr>
            <w:tcW w:w="4583" w:type="pct"/>
            <w:gridSpan w:val="5"/>
            <w:shd w:val="clear" w:color="auto" w:fill="auto"/>
            <w:noWrap/>
            <w:vAlign w:val="center"/>
            <w:hideMark/>
          </w:tcPr>
          <w:p w14:paraId="09032087" w14:textId="77777777" w:rsidR="002D3258" w:rsidRPr="002D3258" w:rsidRDefault="002D3258" w:rsidP="002D3258">
            <w:pPr>
              <w:pStyle w:val="13"/>
              <w:spacing w:line="240" w:lineRule="auto"/>
              <w:ind w:firstLineChars="0" w:firstLine="0"/>
              <w:rPr>
                <w:b/>
                <w:sz w:val="18"/>
                <w:szCs w:val="18"/>
              </w:rPr>
            </w:pPr>
            <w:r w:rsidRPr="002D3258">
              <w:rPr>
                <w:b/>
                <w:sz w:val="18"/>
                <w:szCs w:val="18"/>
              </w:rPr>
              <w:t>评价类业务</w:t>
            </w:r>
          </w:p>
        </w:tc>
      </w:tr>
      <w:tr w:rsidR="002D3258" w:rsidRPr="002D3258" w14:paraId="6D527815" w14:textId="77777777" w:rsidTr="002D3258">
        <w:trPr>
          <w:gridAfter w:val="1"/>
          <w:wAfter w:w="11" w:type="pct"/>
          <w:trHeight w:val="843"/>
        </w:trPr>
        <w:tc>
          <w:tcPr>
            <w:tcW w:w="407" w:type="pct"/>
            <w:shd w:val="clear" w:color="auto" w:fill="auto"/>
            <w:noWrap/>
            <w:vAlign w:val="center"/>
            <w:hideMark/>
          </w:tcPr>
          <w:p w14:paraId="1A82615F" w14:textId="77777777" w:rsidR="002D3258" w:rsidRPr="002D3258" w:rsidRDefault="002D3258" w:rsidP="002D3258">
            <w:pPr>
              <w:pStyle w:val="13"/>
              <w:spacing w:line="240" w:lineRule="auto"/>
              <w:ind w:firstLineChars="0" w:firstLine="0"/>
              <w:rPr>
                <w:sz w:val="18"/>
                <w:szCs w:val="18"/>
              </w:rPr>
            </w:pPr>
            <w:r w:rsidRPr="002D3258">
              <w:rPr>
                <w:sz w:val="18"/>
                <w:szCs w:val="18"/>
              </w:rPr>
              <w:t>86</w:t>
            </w:r>
          </w:p>
        </w:tc>
        <w:tc>
          <w:tcPr>
            <w:tcW w:w="166" w:type="pct"/>
            <w:vMerge w:val="restart"/>
            <w:shd w:val="clear" w:color="auto" w:fill="auto"/>
            <w:noWrap/>
            <w:vAlign w:val="center"/>
            <w:hideMark/>
          </w:tcPr>
          <w:p w14:paraId="16DE3DED" w14:textId="77777777" w:rsidR="002D3258" w:rsidRPr="002D3258" w:rsidRDefault="002D3258" w:rsidP="002D3258">
            <w:pPr>
              <w:pStyle w:val="13"/>
              <w:spacing w:line="240" w:lineRule="auto"/>
              <w:ind w:firstLineChars="0" w:firstLine="0"/>
              <w:rPr>
                <w:sz w:val="18"/>
                <w:szCs w:val="18"/>
              </w:rPr>
            </w:pPr>
            <w:r w:rsidRPr="002D3258">
              <w:rPr>
                <w:sz w:val="18"/>
                <w:szCs w:val="18"/>
              </w:rPr>
              <w:t>2.1</w:t>
            </w:r>
          </w:p>
        </w:tc>
        <w:tc>
          <w:tcPr>
            <w:tcW w:w="407" w:type="pct"/>
            <w:vMerge w:val="restart"/>
            <w:shd w:val="clear" w:color="auto" w:fill="auto"/>
            <w:noWrap/>
            <w:vAlign w:val="center"/>
            <w:hideMark/>
          </w:tcPr>
          <w:p w14:paraId="66FA5A5A" w14:textId="77777777" w:rsidR="002D3258" w:rsidRPr="002D3258" w:rsidRDefault="002D3258" w:rsidP="002D3258">
            <w:pPr>
              <w:pStyle w:val="13"/>
              <w:spacing w:line="240" w:lineRule="auto"/>
              <w:ind w:firstLineChars="0" w:firstLine="0"/>
              <w:rPr>
                <w:sz w:val="18"/>
                <w:szCs w:val="18"/>
              </w:rPr>
            </w:pPr>
            <w:r w:rsidRPr="002D3258">
              <w:rPr>
                <w:sz w:val="18"/>
                <w:szCs w:val="18"/>
              </w:rPr>
              <w:t>企业</w:t>
            </w:r>
          </w:p>
        </w:tc>
        <w:tc>
          <w:tcPr>
            <w:tcW w:w="484" w:type="pct"/>
            <w:shd w:val="clear" w:color="auto" w:fill="auto"/>
            <w:noWrap/>
            <w:vAlign w:val="center"/>
            <w:hideMark/>
          </w:tcPr>
          <w:p w14:paraId="2D6923CF" w14:textId="77777777" w:rsidR="002D3258" w:rsidRPr="002D3258" w:rsidRDefault="002D3258" w:rsidP="002D3258">
            <w:pPr>
              <w:pStyle w:val="13"/>
              <w:spacing w:line="240" w:lineRule="auto"/>
              <w:ind w:firstLineChars="0" w:firstLine="0"/>
              <w:rPr>
                <w:sz w:val="18"/>
                <w:szCs w:val="18"/>
              </w:rPr>
            </w:pPr>
            <w:r w:rsidRPr="002D3258">
              <w:rPr>
                <w:sz w:val="18"/>
                <w:szCs w:val="18"/>
              </w:rPr>
              <w:t>2.1.1</w:t>
            </w:r>
          </w:p>
        </w:tc>
        <w:tc>
          <w:tcPr>
            <w:tcW w:w="1463" w:type="pct"/>
            <w:shd w:val="clear" w:color="auto" w:fill="auto"/>
            <w:noWrap/>
            <w:vAlign w:val="center"/>
            <w:hideMark/>
          </w:tcPr>
          <w:p w14:paraId="358F925E" w14:textId="77777777" w:rsidR="002D3258" w:rsidRPr="002D3258" w:rsidRDefault="002D3258" w:rsidP="002D3258">
            <w:pPr>
              <w:pStyle w:val="13"/>
              <w:spacing w:line="240" w:lineRule="auto"/>
              <w:ind w:firstLineChars="0" w:firstLine="0"/>
              <w:rPr>
                <w:sz w:val="18"/>
                <w:szCs w:val="18"/>
              </w:rPr>
            </w:pPr>
            <w:r w:rsidRPr="002D3258">
              <w:rPr>
                <w:sz w:val="18"/>
                <w:szCs w:val="18"/>
              </w:rPr>
              <w:t>企业绩效评价</w:t>
            </w:r>
          </w:p>
        </w:tc>
        <w:tc>
          <w:tcPr>
            <w:tcW w:w="2063" w:type="pct"/>
            <w:shd w:val="clear" w:color="auto" w:fill="auto"/>
            <w:vAlign w:val="center"/>
            <w:hideMark/>
          </w:tcPr>
          <w:p w14:paraId="5FEEF5A4" w14:textId="77777777" w:rsidR="002D3258" w:rsidRPr="002D3258" w:rsidRDefault="002D3258" w:rsidP="002D3258">
            <w:pPr>
              <w:pStyle w:val="13"/>
              <w:spacing w:line="240" w:lineRule="auto"/>
              <w:ind w:firstLineChars="0" w:firstLine="0"/>
              <w:rPr>
                <w:sz w:val="18"/>
                <w:szCs w:val="18"/>
              </w:rPr>
            </w:pPr>
            <w:r w:rsidRPr="002D3258">
              <w:rPr>
                <w:sz w:val="18"/>
                <w:szCs w:val="18"/>
              </w:rPr>
              <w:t>（1）《中央企业综合绩效评价管理暂行办法》（国资委令第14号）；</w:t>
            </w:r>
            <w:r w:rsidRPr="002D3258">
              <w:rPr>
                <w:sz w:val="18"/>
                <w:szCs w:val="18"/>
              </w:rPr>
              <w:br/>
              <w:t>（2）《中央企业综合绩效评价实施细则》（国</w:t>
            </w:r>
            <w:proofErr w:type="gramStart"/>
            <w:r w:rsidRPr="002D3258">
              <w:rPr>
                <w:sz w:val="18"/>
                <w:szCs w:val="18"/>
              </w:rPr>
              <w:t>资发评价</w:t>
            </w:r>
            <w:proofErr w:type="gramEnd"/>
            <w:r w:rsidRPr="002D3258">
              <w:rPr>
                <w:sz w:val="18"/>
                <w:szCs w:val="18"/>
              </w:rPr>
              <w:t>〔2006〕157号）</w:t>
            </w:r>
            <w:r w:rsidRPr="002D3258">
              <w:rPr>
                <w:rFonts w:hint="eastAsia"/>
                <w:sz w:val="18"/>
                <w:szCs w:val="18"/>
              </w:rPr>
              <w:t>等</w:t>
            </w:r>
            <w:r w:rsidRPr="002D3258">
              <w:rPr>
                <w:sz w:val="18"/>
                <w:szCs w:val="18"/>
              </w:rPr>
              <w:t>。</w:t>
            </w:r>
          </w:p>
        </w:tc>
      </w:tr>
      <w:tr w:rsidR="002D3258" w:rsidRPr="002D3258" w14:paraId="3592A72C" w14:textId="77777777" w:rsidTr="002D3258">
        <w:trPr>
          <w:gridAfter w:val="1"/>
          <w:wAfter w:w="11" w:type="pct"/>
          <w:trHeight w:val="521"/>
        </w:trPr>
        <w:tc>
          <w:tcPr>
            <w:tcW w:w="407" w:type="pct"/>
            <w:shd w:val="clear" w:color="auto" w:fill="auto"/>
            <w:noWrap/>
            <w:vAlign w:val="center"/>
            <w:hideMark/>
          </w:tcPr>
          <w:p w14:paraId="0FD59FDD" w14:textId="77777777" w:rsidR="002D3258" w:rsidRPr="002D3258" w:rsidRDefault="002D3258" w:rsidP="002D3258">
            <w:pPr>
              <w:pStyle w:val="13"/>
              <w:spacing w:line="240" w:lineRule="auto"/>
              <w:ind w:firstLineChars="0" w:firstLine="0"/>
              <w:rPr>
                <w:sz w:val="18"/>
                <w:szCs w:val="18"/>
              </w:rPr>
            </w:pPr>
            <w:r w:rsidRPr="002D3258">
              <w:rPr>
                <w:sz w:val="18"/>
                <w:szCs w:val="18"/>
              </w:rPr>
              <w:t>87</w:t>
            </w:r>
          </w:p>
        </w:tc>
        <w:tc>
          <w:tcPr>
            <w:tcW w:w="166" w:type="pct"/>
            <w:vMerge/>
            <w:shd w:val="clear" w:color="auto" w:fill="auto"/>
            <w:vAlign w:val="center"/>
            <w:hideMark/>
          </w:tcPr>
          <w:p w14:paraId="116299D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EB545B9"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B40718B" w14:textId="77777777" w:rsidR="002D3258" w:rsidRPr="002D3258" w:rsidRDefault="002D3258" w:rsidP="002D3258">
            <w:pPr>
              <w:pStyle w:val="13"/>
              <w:spacing w:line="240" w:lineRule="auto"/>
              <w:ind w:firstLineChars="0" w:firstLine="0"/>
              <w:rPr>
                <w:sz w:val="18"/>
                <w:szCs w:val="18"/>
              </w:rPr>
            </w:pPr>
            <w:r w:rsidRPr="002D3258">
              <w:rPr>
                <w:sz w:val="18"/>
                <w:szCs w:val="18"/>
              </w:rPr>
              <w:t>2.1.2</w:t>
            </w:r>
          </w:p>
        </w:tc>
        <w:tc>
          <w:tcPr>
            <w:tcW w:w="1463" w:type="pct"/>
            <w:shd w:val="clear" w:color="auto" w:fill="auto"/>
            <w:noWrap/>
            <w:vAlign w:val="center"/>
            <w:hideMark/>
          </w:tcPr>
          <w:p w14:paraId="5250C932" w14:textId="77777777" w:rsidR="002D3258" w:rsidRPr="002D3258" w:rsidRDefault="002D3258" w:rsidP="002D3258">
            <w:pPr>
              <w:pStyle w:val="13"/>
              <w:spacing w:line="240" w:lineRule="auto"/>
              <w:ind w:firstLineChars="0" w:firstLine="0"/>
              <w:rPr>
                <w:sz w:val="18"/>
                <w:szCs w:val="18"/>
              </w:rPr>
            </w:pPr>
            <w:r w:rsidRPr="002D3258">
              <w:rPr>
                <w:sz w:val="18"/>
                <w:szCs w:val="18"/>
              </w:rPr>
              <w:t>金融企业绩效评价</w:t>
            </w:r>
          </w:p>
        </w:tc>
        <w:tc>
          <w:tcPr>
            <w:tcW w:w="2063" w:type="pct"/>
            <w:shd w:val="clear" w:color="auto" w:fill="auto"/>
            <w:vAlign w:val="center"/>
            <w:hideMark/>
          </w:tcPr>
          <w:p w14:paraId="00436BFE" w14:textId="77777777" w:rsidR="002D3258" w:rsidRPr="002D3258" w:rsidRDefault="002D3258" w:rsidP="002D3258">
            <w:pPr>
              <w:pStyle w:val="13"/>
              <w:spacing w:line="240" w:lineRule="auto"/>
              <w:ind w:firstLineChars="0" w:firstLine="0"/>
              <w:rPr>
                <w:sz w:val="18"/>
                <w:szCs w:val="18"/>
              </w:rPr>
            </w:pPr>
            <w:r w:rsidRPr="002D3258">
              <w:rPr>
                <w:sz w:val="18"/>
                <w:szCs w:val="18"/>
              </w:rPr>
              <w:t>《金融企业绩效评价办法》（财金〔2011〕50号）</w:t>
            </w:r>
          </w:p>
        </w:tc>
      </w:tr>
      <w:tr w:rsidR="002D3258" w:rsidRPr="002D3258" w14:paraId="387FCFA8" w14:textId="77777777" w:rsidTr="002D3258">
        <w:trPr>
          <w:gridAfter w:val="1"/>
          <w:wAfter w:w="11" w:type="pct"/>
          <w:trHeight w:val="415"/>
        </w:trPr>
        <w:tc>
          <w:tcPr>
            <w:tcW w:w="407" w:type="pct"/>
            <w:shd w:val="clear" w:color="auto" w:fill="auto"/>
            <w:noWrap/>
            <w:vAlign w:val="center"/>
            <w:hideMark/>
          </w:tcPr>
          <w:p w14:paraId="562409CB" w14:textId="77777777" w:rsidR="002D3258" w:rsidRPr="002D3258" w:rsidRDefault="002D3258" w:rsidP="002D3258">
            <w:pPr>
              <w:pStyle w:val="13"/>
              <w:spacing w:line="240" w:lineRule="auto"/>
              <w:ind w:firstLineChars="0" w:firstLine="0"/>
              <w:rPr>
                <w:sz w:val="18"/>
                <w:szCs w:val="18"/>
              </w:rPr>
            </w:pPr>
            <w:r w:rsidRPr="002D3258">
              <w:rPr>
                <w:sz w:val="18"/>
                <w:szCs w:val="18"/>
              </w:rPr>
              <w:lastRenderedPageBreak/>
              <w:t>88</w:t>
            </w:r>
          </w:p>
        </w:tc>
        <w:tc>
          <w:tcPr>
            <w:tcW w:w="166" w:type="pct"/>
            <w:vMerge/>
            <w:shd w:val="clear" w:color="auto" w:fill="auto"/>
            <w:vAlign w:val="center"/>
            <w:hideMark/>
          </w:tcPr>
          <w:p w14:paraId="3F988B8F"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A2ECC7B"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0677B3A" w14:textId="77777777" w:rsidR="002D3258" w:rsidRPr="002D3258" w:rsidRDefault="002D3258" w:rsidP="002D3258">
            <w:pPr>
              <w:pStyle w:val="13"/>
              <w:spacing w:line="240" w:lineRule="auto"/>
              <w:ind w:firstLineChars="0" w:firstLine="0"/>
              <w:rPr>
                <w:sz w:val="18"/>
                <w:szCs w:val="18"/>
              </w:rPr>
            </w:pPr>
            <w:r w:rsidRPr="002D3258">
              <w:rPr>
                <w:sz w:val="18"/>
                <w:szCs w:val="18"/>
              </w:rPr>
              <w:t>2.1.3</w:t>
            </w:r>
          </w:p>
        </w:tc>
        <w:tc>
          <w:tcPr>
            <w:tcW w:w="1463" w:type="pct"/>
            <w:shd w:val="clear" w:color="auto" w:fill="auto"/>
            <w:noWrap/>
            <w:vAlign w:val="center"/>
            <w:hideMark/>
          </w:tcPr>
          <w:p w14:paraId="2CEF332B" w14:textId="77777777" w:rsidR="002D3258" w:rsidRPr="002D3258" w:rsidRDefault="002D3258" w:rsidP="002D3258">
            <w:pPr>
              <w:pStyle w:val="13"/>
              <w:spacing w:line="240" w:lineRule="auto"/>
              <w:ind w:firstLineChars="0" w:firstLine="0"/>
              <w:rPr>
                <w:sz w:val="18"/>
                <w:szCs w:val="18"/>
              </w:rPr>
            </w:pPr>
            <w:r w:rsidRPr="002D3258">
              <w:rPr>
                <w:sz w:val="18"/>
                <w:szCs w:val="18"/>
              </w:rPr>
              <w:t>现代服务业综合试点工作绩效评价</w:t>
            </w:r>
          </w:p>
        </w:tc>
        <w:tc>
          <w:tcPr>
            <w:tcW w:w="2063" w:type="pct"/>
            <w:shd w:val="clear" w:color="auto" w:fill="auto"/>
            <w:vAlign w:val="center"/>
            <w:hideMark/>
          </w:tcPr>
          <w:p w14:paraId="6F8ABCF4" w14:textId="77777777" w:rsidR="002D3258" w:rsidRPr="002D3258" w:rsidRDefault="002D3258" w:rsidP="002D3258">
            <w:pPr>
              <w:pStyle w:val="13"/>
              <w:spacing w:line="240" w:lineRule="auto"/>
              <w:ind w:firstLineChars="0" w:firstLine="0"/>
              <w:rPr>
                <w:sz w:val="18"/>
                <w:szCs w:val="18"/>
              </w:rPr>
            </w:pPr>
            <w:r w:rsidRPr="002D3258">
              <w:rPr>
                <w:sz w:val="18"/>
                <w:szCs w:val="18"/>
              </w:rPr>
              <w:t>《现代服务业综合试点工作绩效评价管理办法》（</w:t>
            </w:r>
            <w:proofErr w:type="gramStart"/>
            <w:r w:rsidRPr="002D3258">
              <w:rPr>
                <w:sz w:val="18"/>
                <w:szCs w:val="18"/>
              </w:rPr>
              <w:t>财建〔2012〕</w:t>
            </w:r>
            <w:proofErr w:type="gramEnd"/>
            <w:r w:rsidRPr="002D3258">
              <w:rPr>
                <w:sz w:val="18"/>
                <w:szCs w:val="18"/>
              </w:rPr>
              <w:t>863号）</w:t>
            </w:r>
          </w:p>
        </w:tc>
      </w:tr>
      <w:tr w:rsidR="002D3258" w:rsidRPr="002D3258" w14:paraId="55E4B0AF" w14:textId="77777777" w:rsidTr="002D3258">
        <w:trPr>
          <w:gridAfter w:val="1"/>
          <w:wAfter w:w="11" w:type="pct"/>
          <w:trHeight w:val="549"/>
        </w:trPr>
        <w:tc>
          <w:tcPr>
            <w:tcW w:w="407" w:type="pct"/>
            <w:shd w:val="clear" w:color="auto" w:fill="auto"/>
            <w:noWrap/>
            <w:vAlign w:val="center"/>
            <w:hideMark/>
          </w:tcPr>
          <w:p w14:paraId="1A4E32FB" w14:textId="77777777" w:rsidR="002D3258" w:rsidRPr="002D3258" w:rsidRDefault="002D3258" w:rsidP="002D3258">
            <w:pPr>
              <w:pStyle w:val="13"/>
              <w:spacing w:line="240" w:lineRule="auto"/>
              <w:ind w:firstLineChars="0" w:firstLine="0"/>
              <w:rPr>
                <w:sz w:val="18"/>
                <w:szCs w:val="18"/>
              </w:rPr>
            </w:pPr>
            <w:r w:rsidRPr="002D3258">
              <w:rPr>
                <w:sz w:val="18"/>
                <w:szCs w:val="18"/>
              </w:rPr>
              <w:t>89</w:t>
            </w:r>
          </w:p>
        </w:tc>
        <w:tc>
          <w:tcPr>
            <w:tcW w:w="166" w:type="pct"/>
            <w:vMerge/>
            <w:shd w:val="clear" w:color="auto" w:fill="auto"/>
            <w:vAlign w:val="center"/>
            <w:hideMark/>
          </w:tcPr>
          <w:p w14:paraId="45067D95"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50C9206"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6E4AC24C" w14:textId="77777777" w:rsidR="002D3258" w:rsidRPr="002D3258" w:rsidRDefault="002D3258" w:rsidP="002D3258">
            <w:pPr>
              <w:pStyle w:val="13"/>
              <w:spacing w:line="240" w:lineRule="auto"/>
              <w:ind w:firstLineChars="0" w:firstLine="0"/>
              <w:rPr>
                <w:sz w:val="18"/>
                <w:szCs w:val="18"/>
              </w:rPr>
            </w:pPr>
            <w:r w:rsidRPr="002D3258">
              <w:rPr>
                <w:sz w:val="18"/>
                <w:szCs w:val="18"/>
              </w:rPr>
              <w:t>2.1.4</w:t>
            </w:r>
          </w:p>
        </w:tc>
        <w:tc>
          <w:tcPr>
            <w:tcW w:w="1463" w:type="pct"/>
            <w:shd w:val="clear" w:color="auto" w:fill="auto"/>
            <w:noWrap/>
            <w:vAlign w:val="center"/>
            <w:hideMark/>
          </w:tcPr>
          <w:p w14:paraId="450CE0CF" w14:textId="77777777" w:rsidR="002D3258" w:rsidRPr="002D3258" w:rsidRDefault="002D3258" w:rsidP="002D3258">
            <w:pPr>
              <w:pStyle w:val="13"/>
              <w:spacing w:line="240" w:lineRule="auto"/>
              <w:ind w:firstLineChars="0" w:firstLine="0"/>
              <w:rPr>
                <w:sz w:val="18"/>
                <w:szCs w:val="18"/>
              </w:rPr>
            </w:pPr>
            <w:r w:rsidRPr="002D3258">
              <w:rPr>
                <w:sz w:val="18"/>
                <w:szCs w:val="18"/>
              </w:rPr>
              <w:t>上市公司业绩评价</w:t>
            </w:r>
          </w:p>
        </w:tc>
        <w:tc>
          <w:tcPr>
            <w:tcW w:w="2063" w:type="pct"/>
            <w:shd w:val="clear" w:color="auto" w:fill="auto"/>
            <w:vAlign w:val="center"/>
            <w:hideMark/>
          </w:tcPr>
          <w:p w14:paraId="1A194124"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6FBEFC0D" w14:textId="77777777" w:rsidTr="002D3258">
        <w:trPr>
          <w:gridAfter w:val="1"/>
          <w:wAfter w:w="11" w:type="pct"/>
          <w:trHeight w:val="283"/>
        </w:trPr>
        <w:tc>
          <w:tcPr>
            <w:tcW w:w="407" w:type="pct"/>
            <w:shd w:val="clear" w:color="auto" w:fill="auto"/>
            <w:noWrap/>
            <w:vAlign w:val="center"/>
            <w:hideMark/>
          </w:tcPr>
          <w:p w14:paraId="415B02AA" w14:textId="77777777" w:rsidR="002D3258" w:rsidRPr="002D3258" w:rsidRDefault="002D3258" w:rsidP="002D3258">
            <w:pPr>
              <w:pStyle w:val="13"/>
              <w:spacing w:line="240" w:lineRule="auto"/>
              <w:ind w:firstLineChars="0" w:firstLine="0"/>
              <w:rPr>
                <w:sz w:val="18"/>
                <w:szCs w:val="18"/>
              </w:rPr>
            </w:pPr>
            <w:r w:rsidRPr="002D3258">
              <w:rPr>
                <w:sz w:val="18"/>
                <w:szCs w:val="18"/>
              </w:rPr>
              <w:t>90</w:t>
            </w:r>
          </w:p>
        </w:tc>
        <w:tc>
          <w:tcPr>
            <w:tcW w:w="166" w:type="pct"/>
            <w:vMerge/>
            <w:shd w:val="clear" w:color="auto" w:fill="auto"/>
            <w:vAlign w:val="center"/>
            <w:hideMark/>
          </w:tcPr>
          <w:p w14:paraId="5B820C7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7255A32"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F01FAA4" w14:textId="77777777" w:rsidR="002D3258" w:rsidRPr="002D3258" w:rsidRDefault="002D3258" w:rsidP="002D3258">
            <w:pPr>
              <w:pStyle w:val="13"/>
              <w:spacing w:line="240" w:lineRule="auto"/>
              <w:ind w:firstLineChars="0" w:firstLine="0"/>
              <w:rPr>
                <w:sz w:val="18"/>
                <w:szCs w:val="18"/>
              </w:rPr>
            </w:pPr>
            <w:r w:rsidRPr="002D3258">
              <w:rPr>
                <w:sz w:val="18"/>
                <w:szCs w:val="18"/>
              </w:rPr>
              <w:t>2.1.5</w:t>
            </w:r>
          </w:p>
        </w:tc>
        <w:tc>
          <w:tcPr>
            <w:tcW w:w="1463" w:type="pct"/>
            <w:shd w:val="clear" w:color="auto" w:fill="auto"/>
            <w:noWrap/>
            <w:vAlign w:val="center"/>
            <w:hideMark/>
          </w:tcPr>
          <w:p w14:paraId="69F9548B" w14:textId="77777777" w:rsidR="002D3258" w:rsidRPr="002D3258" w:rsidRDefault="002D3258" w:rsidP="002D3258">
            <w:pPr>
              <w:pStyle w:val="13"/>
              <w:spacing w:line="240" w:lineRule="auto"/>
              <w:ind w:firstLineChars="0" w:firstLine="0"/>
              <w:rPr>
                <w:sz w:val="18"/>
                <w:szCs w:val="18"/>
              </w:rPr>
            </w:pPr>
            <w:r w:rsidRPr="002D3258">
              <w:rPr>
                <w:sz w:val="18"/>
                <w:szCs w:val="18"/>
              </w:rPr>
              <w:t>企业内部控制评价</w:t>
            </w:r>
          </w:p>
        </w:tc>
        <w:tc>
          <w:tcPr>
            <w:tcW w:w="2063" w:type="pct"/>
            <w:shd w:val="clear" w:color="auto" w:fill="auto"/>
            <w:vAlign w:val="center"/>
            <w:hideMark/>
          </w:tcPr>
          <w:p w14:paraId="1D2D5913" w14:textId="77777777" w:rsidR="002D3258" w:rsidRPr="002D3258" w:rsidRDefault="002D3258" w:rsidP="002D3258">
            <w:pPr>
              <w:pStyle w:val="13"/>
              <w:spacing w:line="240" w:lineRule="auto"/>
              <w:ind w:firstLineChars="0" w:firstLine="0"/>
              <w:rPr>
                <w:b/>
                <w:i/>
                <w:sz w:val="18"/>
                <w:szCs w:val="18"/>
              </w:rPr>
            </w:pPr>
            <w:r w:rsidRPr="002D3258">
              <w:rPr>
                <w:sz w:val="18"/>
                <w:szCs w:val="18"/>
              </w:rPr>
              <w:t>（1）《企业内部控制基本规范》（财会〔2008〕7号）；</w:t>
            </w:r>
            <w:r w:rsidRPr="002D3258">
              <w:rPr>
                <w:sz w:val="18"/>
                <w:szCs w:val="18"/>
              </w:rPr>
              <w:br/>
              <w:t>（2）《企业内部控制配套指引》（财会〔2010〕11号）</w:t>
            </w:r>
            <w:r w:rsidRPr="002D3258">
              <w:rPr>
                <w:rFonts w:hint="eastAsia"/>
                <w:sz w:val="18"/>
                <w:szCs w:val="18"/>
              </w:rPr>
              <w:t>等</w:t>
            </w:r>
            <w:r w:rsidRPr="002D3258">
              <w:rPr>
                <w:sz w:val="18"/>
                <w:szCs w:val="18"/>
              </w:rPr>
              <w:t>。</w:t>
            </w:r>
          </w:p>
        </w:tc>
      </w:tr>
      <w:tr w:rsidR="002D3258" w:rsidRPr="002D3258" w14:paraId="183E97CE" w14:textId="77777777" w:rsidTr="002D3258">
        <w:trPr>
          <w:gridAfter w:val="1"/>
          <w:wAfter w:w="11" w:type="pct"/>
          <w:trHeight w:val="522"/>
        </w:trPr>
        <w:tc>
          <w:tcPr>
            <w:tcW w:w="407" w:type="pct"/>
            <w:shd w:val="clear" w:color="auto" w:fill="auto"/>
            <w:noWrap/>
            <w:vAlign w:val="center"/>
          </w:tcPr>
          <w:p w14:paraId="0CD869E0" w14:textId="77777777" w:rsidR="002D3258" w:rsidRPr="002D3258" w:rsidRDefault="002D3258" w:rsidP="002D3258">
            <w:pPr>
              <w:pStyle w:val="13"/>
              <w:spacing w:line="240" w:lineRule="auto"/>
              <w:ind w:firstLineChars="0" w:firstLine="0"/>
              <w:rPr>
                <w:sz w:val="18"/>
                <w:szCs w:val="18"/>
              </w:rPr>
            </w:pPr>
            <w:r w:rsidRPr="002D3258">
              <w:rPr>
                <w:sz w:val="18"/>
                <w:szCs w:val="18"/>
              </w:rPr>
              <w:t>91</w:t>
            </w:r>
          </w:p>
        </w:tc>
        <w:tc>
          <w:tcPr>
            <w:tcW w:w="166" w:type="pct"/>
            <w:vMerge/>
            <w:shd w:val="clear" w:color="auto" w:fill="auto"/>
            <w:noWrap/>
            <w:vAlign w:val="center"/>
          </w:tcPr>
          <w:p w14:paraId="65626042"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noWrap/>
            <w:vAlign w:val="center"/>
          </w:tcPr>
          <w:p w14:paraId="0A13B26D"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tcPr>
          <w:p w14:paraId="30B0A909" w14:textId="77777777" w:rsidR="002D3258" w:rsidRPr="002D3258" w:rsidRDefault="002D3258" w:rsidP="002D3258">
            <w:pPr>
              <w:pStyle w:val="13"/>
              <w:spacing w:line="240" w:lineRule="auto"/>
              <w:ind w:firstLineChars="0" w:firstLine="0"/>
              <w:rPr>
                <w:sz w:val="18"/>
                <w:szCs w:val="18"/>
              </w:rPr>
            </w:pPr>
            <w:r w:rsidRPr="002D3258">
              <w:rPr>
                <w:sz w:val="18"/>
                <w:szCs w:val="18"/>
              </w:rPr>
              <w:t>2.1.6</w:t>
            </w:r>
          </w:p>
        </w:tc>
        <w:tc>
          <w:tcPr>
            <w:tcW w:w="1463" w:type="pct"/>
            <w:shd w:val="clear" w:color="auto" w:fill="auto"/>
            <w:noWrap/>
            <w:vAlign w:val="center"/>
          </w:tcPr>
          <w:p w14:paraId="045182E8" w14:textId="77777777" w:rsidR="002D3258" w:rsidRPr="002D3258" w:rsidRDefault="002D3258" w:rsidP="002D3258">
            <w:pPr>
              <w:pStyle w:val="13"/>
              <w:spacing w:line="240" w:lineRule="auto"/>
              <w:ind w:firstLineChars="0" w:firstLine="0"/>
              <w:rPr>
                <w:sz w:val="18"/>
                <w:szCs w:val="18"/>
              </w:rPr>
            </w:pPr>
            <w:r w:rsidRPr="002D3258">
              <w:rPr>
                <w:sz w:val="18"/>
                <w:szCs w:val="18"/>
              </w:rPr>
              <w:t>品牌评价</w:t>
            </w:r>
          </w:p>
        </w:tc>
        <w:tc>
          <w:tcPr>
            <w:tcW w:w="2063" w:type="pct"/>
            <w:shd w:val="clear" w:color="auto" w:fill="auto"/>
            <w:vAlign w:val="center"/>
          </w:tcPr>
          <w:p w14:paraId="4617C071"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727F2FCE" w14:textId="77777777" w:rsidTr="002D3258">
        <w:trPr>
          <w:gridAfter w:val="1"/>
          <w:wAfter w:w="11" w:type="pct"/>
          <w:trHeight w:val="558"/>
        </w:trPr>
        <w:tc>
          <w:tcPr>
            <w:tcW w:w="407" w:type="pct"/>
            <w:shd w:val="clear" w:color="auto" w:fill="auto"/>
            <w:noWrap/>
            <w:vAlign w:val="center"/>
            <w:hideMark/>
          </w:tcPr>
          <w:p w14:paraId="34526AC4" w14:textId="77777777" w:rsidR="002D3258" w:rsidRPr="002D3258" w:rsidRDefault="002D3258" w:rsidP="002D3258">
            <w:pPr>
              <w:pStyle w:val="13"/>
              <w:spacing w:line="240" w:lineRule="auto"/>
              <w:ind w:firstLineChars="0" w:firstLine="0"/>
              <w:rPr>
                <w:sz w:val="18"/>
                <w:szCs w:val="18"/>
              </w:rPr>
            </w:pPr>
            <w:r w:rsidRPr="002D3258">
              <w:rPr>
                <w:sz w:val="18"/>
                <w:szCs w:val="18"/>
              </w:rPr>
              <w:t>92</w:t>
            </w:r>
          </w:p>
        </w:tc>
        <w:tc>
          <w:tcPr>
            <w:tcW w:w="166" w:type="pct"/>
            <w:vMerge w:val="restart"/>
            <w:shd w:val="clear" w:color="auto" w:fill="auto"/>
            <w:noWrap/>
            <w:vAlign w:val="center"/>
            <w:hideMark/>
          </w:tcPr>
          <w:p w14:paraId="58D6AC21" w14:textId="77777777" w:rsidR="002D3258" w:rsidRPr="002D3258" w:rsidRDefault="002D3258" w:rsidP="002D3258">
            <w:pPr>
              <w:pStyle w:val="13"/>
              <w:spacing w:line="240" w:lineRule="auto"/>
              <w:ind w:firstLineChars="0" w:firstLine="0"/>
              <w:rPr>
                <w:sz w:val="18"/>
                <w:szCs w:val="18"/>
              </w:rPr>
            </w:pPr>
            <w:r w:rsidRPr="002D3258">
              <w:rPr>
                <w:sz w:val="18"/>
                <w:szCs w:val="18"/>
              </w:rPr>
              <w:t>2.2</w:t>
            </w:r>
          </w:p>
        </w:tc>
        <w:tc>
          <w:tcPr>
            <w:tcW w:w="407" w:type="pct"/>
            <w:vMerge w:val="restart"/>
            <w:shd w:val="clear" w:color="auto" w:fill="auto"/>
            <w:noWrap/>
            <w:vAlign w:val="center"/>
            <w:hideMark/>
          </w:tcPr>
          <w:p w14:paraId="3E966067" w14:textId="77777777" w:rsidR="002D3258" w:rsidRPr="002D3258" w:rsidRDefault="002D3258" w:rsidP="002D3258">
            <w:pPr>
              <w:pStyle w:val="13"/>
              <w:spacing w:line="240" w:lineRule="auto"/>
              <w:ind w:firstLineChars="0" w:firstLine="0"/>
              <w:rPr>
                <w:sz w:val="18"/>
                <w:szCs w:val="18"/>
              </w:rPr>
            </w:pPr>
            <w:r w:rsidRPr="002D3258">
              <w:rPr>
                <w:sz w:val="18"/>
                <w:szCs w:val="18"/>
              </w:rPr>
              <w:t>财政部门和预算部门（单位）等</w:t>
            </w:r>
          </w:p>
        </w:tc>
        <w:tc>
          <w:tcPr>
            <w:tcW w:w="484" w:type="pct"/>
            <w:shd w:val="clear" w:color="auto" w:fill="auto"/>
            <w:noWrap/>
            <w:vAlign w:val="center"/>
            <w:hideMark/>
          </w:tcPr>
          <w:p w14:paraId="29FD3745" w14:textId="77777777" w:rsidR="002D3258" w:rsidRPr="002D3258" w:rsidRDefault="002D3258" w:rsidP="002D3258">
            <w:pPr>
              <w:pStyle w:val="13"/>
              <w:spacing w:line="240" w:lineRule="auto"/>
              <w:ind w:firstLineChars="0" w:firstLine="0"/>
              <w:rPr>
                <w:sz w:val="18"/>
                <w:szCs w:val="18"/>
              </w:rPr>
            </w:pPr>
            <w:r w:rsidRPr="002D3258">
              <w:rPr>
                <w:sz w:val="18"/>
                <w:szCs w:val="18"/>
              </w:rPr>
              <w:t>2.2.1</w:t>
            </w:r>
          </w:p>
        </w:tc>
        <w:tc>
          <w:tcPr>
            <w:tcW w:w="1463" w:type="pct"/>
            <w:shd w:val="clear" w:color="auto" w:fill="auto"/>
            <w:noWrap/>
            <w:vAlign w:val="center"/>
            <w:hideMark/>
          </w:tcPr>
          <w:p w14:paraId="723E2276" w14:textId="77777777" w:rsidR="002D3258" w:rsidRPr="002D3258" w:rsidRDefault="002D3258" w:rsidP="002D3258">
            <w:pPr>
              <w:pStyle w:val="13"/>
              <w:spacing w:line="240" w:lineRule="auto"/>
              <w:ind w:firstLineChars="0" w:firstLine="0"/>
              <w:rPr>
                <w:sz w:val="18"/>
                <w:szCs w:val="18"/>
              </w:rPr>
            </w:pPr>
            <w:r w:rsidRPr="002D3258">
              <w:rPr>
                <w:sz w:val="18"/>
                <w:szCs w:val="18"/>
              </w:rPr>
              <w:t>财政支出绩效评价</w:t>
            </w:r>
          </w:p>
        </w:tc>
        <w:tc>
          <w:tcPr>
            <w:tcW w:w="2063" w:type="pct"/>
            <w:shd w:val="clear" w:color="auto" w:fill="auto"/>
            <w:vAlign w:val="center"/>
            <w:hideMark/>
          </w:tcPr>
          <w:p w14:paraId="54BD053F" w14:textId="77777777" w:rsidR="002D3258" w:rsidRPr="002D3258" w:rsidRDefault="002D3258" w:rsidP="002D3258">
            <w:pPr>
              <w:pStyle w:val="13"/>
              <w:spacing w:line="240" w:lineRule="auto"/>
              <w:ind w:firstLineChars="0" w:firstLine="0"/>
              <w:rPr>
                <w:b/>
                <w:i/>
                <w:sz w:val="18"/>
                <w:szCs w:val="18"/>
              </w:rPr>
            </w:pPr>
            <w:r w:rsidRPr="002D3258">
              <w:rPr>
                <w:sz w:val="18"/>
                <w:szCs w:val="18"/>
              </w:rPr>
              <w:t>《财政支出绩效评价管理暂行办法》（财预〔2011〕285号）</w:t>
            </w:r>
          </w:p>
        </w:tc>
      </w:tr>
      <w:tr w:rsidR="002D3258" w:rsidRPr="002D3258" w14:paraId="442166DE" w14:textId="77777777" w:rsidTr="002D3258">
        <w:trPr>
          <w:gridAfter w:val="1"/>
          <w:wAfter w:w="11" w:type="pct"/>
          <w:trHeight w:val="283"/>
        </w:trPr>
        <w:tc>
          <w:tcPr>
            <w:tcW w:w="407" w:type="pct"/>
            <w:shd w:val="clear" w:color="auto" w:fill="auto"/>
            <w:noWrap/>
            <w:vAlign w:val="center"/>
            <w:hideMark/>
          </w:tcPr>
          <w:p w14:paraId="1459DD96" w14:textId="77777777" w:rsidR="002D3258" w:rsidRPr="002D3258" w:rsidRDefault="002D3258" w:rsidP="002D3258">
            <w:pPr>
              <w:pStyle w:val="13"/>
              <w:spacing w:line="240" w:lineRule="auto"/>
              <w:ind w:firstLineChars="0" w:firstLine="0"/>
              <w:rPr>
                <w:sz w:val="18"/>
                <w:szCs w:val="18"/>
              </w:rPr>
            </w:pPr>
            <w:r w:rsidRPr="002D3258">
              <w:rPr>
                <w:sz w:val="18"/>
                <w:szCs w:val="18"/>
              </w:rPr>
              <w:t>93</w:t>
            </w:r>
          </w:p>
        </w:tc>
        <w:tc>
          <w:tcPr>
            <w:tcW w:w="166" w:type="pct"/>
            <w:vMerge/>
            <w:shd w:val="clear" w:color="auto" w:fill="auto"/>
            <w:vAlign w:val="center"/>
            <w:hideMark/>
          </w:tcPr>
          <w:p w14:paraId="56967EC2"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689CC5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F701239" w14:textId="77777777" w:rsidR="002D3258" w:rsidRPr="002D3258" w:rsidRDefault="002D3258" w:rsidP="002D3258">
            <w:pPr>
              <w:pStyle w:val="13"/>
              <w:spacing w:line="240" w:lineRule="auto"/>
              <w:ind w:firstLineChars="0" w:firstLine="0"/>
              <w:rPr>
                <w:sz w:val="18"/>
                <w:szCs w:val="18"/>
              </w:rPr>
            </w:pPr>
            <w:r w:rsidRPr="002D3258">
              <w:rPr>
                <w:sz w:val="18"/>
                <w:szCs w:val="18"/>
              </w:rPr>
              <w:t>2.2.2</w:t>
            </w:r>
          </w:p>
        </w:tc>
        <w:tc>
          <w:tcPr>
            <w:tcW w:w="1463" w:type="pct"/>
            <w:shd w:val="clear" w:color="auto" w:fill="auto"/>
            <w:noWrap/>
            <w:vAlign w:val="center"/>
            <w:hideMark/>
          </w:tcPr>
          <w:p w14:paraId="1977E389" w14:textId="77777777" w:rsidR="002D3258" w:rsidRPr="002D3258" w:rsidRDefault="002D3258" w:rsidP="002D3258">
            <w:pPr>
              <w:pStyle w:val="13"/>
              <w:spacing w:line="240" w:lineRule="auto"/>
              <w:ind w:firstLineChars="0" w:firstLine="0"/>
              <w:rPr>
                <w:sz w:val="18"/>
                <w:szCs w:val="18"/>
              </w:rPr>
            </w:pPr>
            <w:r w:rsidRPr="002D3258">
              <w:rPr>
                <w:sz w:val="18"/>
                <w:szCs w:val="18"/>
              </w:rPr>
              <w:t>国有资本经营预算支出项目绩效评价</w:t>
            </w:r>
          </w:p>
        </w:tc>
        <w:tc>
          <w:tcPr>
            <w:tcW w:w="2063" w:type="pct"/>
            <w:shd w:val="clear" w:color="auto" w:fill="auto"/>
            <w:vAlign w:val="center"/>
            <w:hideMark/>
          </w:tcPr>
          <w:p w14:paraId="2760B58B" w14:textId="77777777" w:rsidR="002D3258" w:rsidRPr="002D3258" w:rsidRDefault="002D3258" w:rsidP="002D3258">
            <w:pPr>
              <w:pStyle w:val="13"/>
              <w:spacing w:line="240" w:lineRule="auto"/>
              <w:ind w:firstLineChars="0" w:firstLine="0"/>
              <w:rPr>
                <w:b/>
                <w:i/>
                <w:sz w:val="18"/>
                <w:szCs w:val="18"/>
              </w:rPr>
            </w:pPr>
            <w:r w:rsidRPr="002D3258">
              <w:rPr>
                <w:sz w:val="18"/>
                <w:szCs w:val="18"/>
              </w:rPr>
              <w:t>（1）《财政支出绩效评价管理暂行办法》（财预〔2011〕285号）；</w:t>
            </w:r>
            <w:r w:rsidRPr="002D3258">
              <w:rPr>
                <w:sz w:val="18"/>
                <w:szCs w:val="18"/>
              </w:rPr>
              <w:br/>
              <w:t>（2）《财政部关于印发&lt;加强企业财务信息管理暂行规定&gt;的通知》（财企〔2012〕23号）</w:t>
            </w:r>
            <w:r w:rsidRPr="002D3258">
              <w:rPr>
                <w:rFonts w:hint="eastAsia"/>
                <w:sz w:val="18"/>
                <w:szCs w:val="18"/>
              </w:rPr>
              <w:t>等</w:t>
            </w:r>
            <w:r w:rsidRPr="002D3258">
              <w:rPr>
                <w:sz w:val="18"/>
                <w:szCs w:val="18"/>
              </w:rPr>
              <w:t>。</w:t>
            </w:r>
          </w:p>
        </w:tc>
      </w:tr>
      <w:tr w:rsidR="002D3258" w:rsidRPr="002D3258" w14:paraId="11216506" w14:textId="77777777" w:rsidTr="002D3258">
        <w:trPr>
          <w:gridAfter w:val="1"/>
          <w:wAfter w:w="11" w:type="pct"/>
          <w:trHeight w:val="405"/>
        </w:trPr>
        <w:tc>
          <w:tcPr>
            <w:tcW w:w="407" w:type="pct"/>
            <w:shd w:val="clear" w:color="auto" w:fill="auto"/>
            <w:noWrap/>
            <w:vAlign w:val="center"/>
            <w:hideMark/>
          </w:tcPr>
          <w:p w14:paraId="50743687" w14:textId="77777777" w:rsidR="002D3258" w:rsidRPr="002D3258" w:rsidRDefault="002D3258" w:rsidP="002D3258">
            <w:pPr>
              <w:pStyle w:val="13"/>
              <w:spacing w:line="240" w:lineRule="auto"/>
              <w:ind w:firstLineChars="0" w:firstLine="0"/>
              <w:rPr>
                <w:sz w:val="18"/>
                <w:szCs w:val="18"/>
              </w:rPr>
            </w:pPr>
            <w:r w:rsidRPr="002D3258">
              <w:rPr>
                <w:sz w:val="18"/>
                <w:szCs w:val="18"/>
              </w:rPr>
              <w:t>94</w:t>
            </w:r>
          </w:p>
        </w:tc>
        <w:tc>
          <w:tcPr>
            <w:tcW w:w="166" w:type="pct"/>
            <w:vMerge/>
            <w:shd w:val="clear" w:color="auto" w:fill="auto"/>
            <w:vAlign w:val="center"/>
            <w:hideMark/>
          </w:tcPr>
          <w:p w14:paraId="155CB7C1"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102315F"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6C2CBD36" w14:textId="77777777" w:rsidR="002D3258" w:rsidRPr="002D3258" w:rsidRDefault="002D3258" w:rsidP="002D3258">
            <w:pPr>
              <w:pStyle w:val="13"/>
              <w:spacing w:line="240" w:lineRule="auto"/>
              <w:ind w:firstLineChars="0" w:firstLine="0"/>
              <w:rPr>
                <w:sz w:val="18"/>
                <w:szCs w:val="18"/>
              </w:rPr>
            </w:pPr>
            <w:r w:rsidRPr="002D3258">
              <w:rPr>
                <w:sz w:val="18"/>
                <w:szCs w:val="18"/>
              </w:rPr>
              <w:t>2.2.3</w:t>
            </w:r>
          </w:p>
        </w:tc>
        <w:tc>
          <w:tcPr>
            <w:tcW w:w="1463" w:type="pct"/>
            <w:shd w:val="clear" w:color="auto" w:fill="auto"/>
            <w:noWrap/>
            <w:vAlign w:val="center"/>
            <w:hideMark/>
          </w:tcPr>
          <w:p w14:paraId="0B63A733" w14:textId="77777777" w:rsidR="002D3258" w:rsidRPr="002D3258" w:rsidRDefault="002D3258" w:rsidP="002D3258">
            <w:pPr>
              <w:pStyle w:val="13"/>
              <w:spacing w:line="240" w:lineRule="auto"/>
              <w:ind w:firstLineChars="0" w:firstLine="0"/>
              <w:rPr>
                <w:sz w:val="18"/>
                <w:szCs w:val="18"/>
              </w:rPr>
            </w:pPr>
            <w:r w:rsidRPr="002D3258">
              <w:rPr>
                <w:sz w:val="18"/>
                <w:szCs w:val="18"/>
              </w:rPr>
              <w:t>中小企业发展专项资金评审</w:t>
            </w:r>
          </w:p>
        </w:tc>
        <w:tc>
          <w:tcPr>
            <w:tcW w:w="2063" w:type="pct"/>
            <w:shd w:val="clear" w:color="auto" w:fill="auto"/>
            <w:vAlign w:val="center"/>
            <w:hideMark/>
          </w:tcPr>
          <w:p w14:paraId="0911F645" w14:textId="77777777" w:rsidR="002D3258" w:rsidRPr="002D3258" w:rsidRDefault="002D3258" w:rsidP="002D3258">
            <w:pPr>
              <w:pStyle w:val="13"/>
              <w:spacing w:line="240" w:lineRule="auto"/>
              <w:ind w:firstLineChars="0" w:firstLine="0"/>
              <w:rPr>
                <w:sz w:val="18"/>
                <w:szCs w:val="18"/>
              </w:rPr>
            </w:pPr>
            <w:r w:rsidRPr="002D3258">
              <w:rPr>
                <w:sz w:val="18"/>
                <w:szCs w:val="18"/>
              </w:rPr>
              <w:t>《中小企业发展专项资金管理办法》（</w:t>
            </w:r>
            <w:proofErr w:type="gramStart"/>
            <w:r w:rsidRPr="002D3258">
              <w:rPr>
                <w:sz w:val="18"/>
                <w:szCs w:val="18"/>
              </w:rPr>
              <w:t>财建〔2015〕</w:t>
            </w:r>
            <w:proofErr w:type="gramEnd"/>
            <w:r w:rsidRPr="002D3258">
              <w:rPr>
                <w:sz w:val="18"/>
                <w:szCs w:val="18"/>
              </w:rPr>
              <w:t>458号）</w:t>
            </w:r>
          </w:p>
        </w:tc>
      </w:tr>
      <w:tr w:rsidR="002D3258" w:rsidRPr="002D3258" w14:paraId="54DC36A0" w14:textId="77777777" w:rsidTr="002D3258">
        <w:trPr>
          <w:gridAfter w:val="1"/>
          <w:wAfter w:w="11" w:type="pct"/>
          <w:trHeight w:val="425"/>
        </w:trPr>
        <w:tc>
          <w:tcPr>
            <w:tcW w:w="407" w:type="pct"/>
            <w:shd w:val="clear" w:color="auto" w:fill="auto"/>
            <w:noWrap/>
            <w:vAlign w:val="center"/>
            <w:hideMark/>
          </w:tcPr>
          <w:p w14:paraId="492D543F" w14:textId="77777777" w:rsidR="002D3258" w:rsidRPr="002D3258" w:rsidRDefault="002D3258" w:rsidP="002D3258">
            <w:pPr>
              <w:pStyle w:val="13"/>
              <w:spacing w:line="240" w:lineRule="auto"/>
              <w:ind w:firstLineChars="0" w:firstLine="0"/>
              <w:rPr>
                <w:sz w:val="18"/>
                <w:szCs w:val="18"/>
              </w:rPr>
            </w:pPr>
            <w:r w:rsidRPr="002D3258">
              <w:rPr>
                <w:sz w:val="18"/>
                <w:szCs w:val="18"/>
              </w:rPr>
              <w:t>N95</w:t>
            </w:r>
          </w:p>
        </w:tc>
        <w:tc>
          <w:tcPr>
            <w:tcW w:w="166" w:type="pct"/>
            <w:vMerge/>
            <w:shd w:val="clear" w:color="auto" w:fill="auto"/>
            <w:vAlign w:val="center"/>
            <w:hideMark/>
          </w:tcPr>
          <w:p w14:paraId="6B05D026"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90F24C9"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5030AE9" w14:textId="77777777" w:rsidR="002D3258" w:rsidRPr="002D3258" w:rsidRDefault="002D3258" w:rsidP="002D3258">
            <w:pPr>
              <w:pStyle w:val="13"/>
              <w:spacing w:line="240" w:lineRule="auto"/>
              <w:ind w:firstLineChars="0" w:firstLine="0"/>
              <w:rPr>
                <w:sz w:val="18"/>
                <w:szCs w:val="18"/>
              </w:rPr>
            </w:pPr>
            <w:r w:rsidRPr="002D3258">
              <w:rPr>
                <w:sz w:val="18"/>
                <w:szCs w:val="18"/>
              </w:rPr>
              <w:t>2.2.4</w:t>
            </w:r>
          </w:p>
        </w:tc>
        <w:tc>
          <w:tcPr>
            <w:tcW w:w="1463" w:type="pct"/>
            <w:shd w:val="clear" w:color="auto" w:fill="auto"/>
            <w:noWrap/>
            <w:vAlign w:val="center"/>
            <w:hideMark/>
          </w:tcPr>
          <w:p w14:paraId="50C668F5" w14:textId="77777777" w:rsidR="002D3258" w:rsidRPr="002D3258" w:rsidRDefault="002D3258" w:rsidP="002D3258">
            <w:pPr>
              <w:pStyle w:val="13"/>
              <w:spacing w:line="240" w:lineRule="auto"/>
              <w:ind w:firstLineChars="0" w:firstLine="0"/>
              <w:rPr>
                <w:sz w:val="18"/>
                <w:szCs w:val="18"/>
              </w:rPr>
            </w:pPr>
            <w:r w:rsidRPr="002D3258">
              <w:rPr>
                <w:sz w:val="18"/>
                <w:szCs w:val="18"/>
              </w:rPr>
              <w:t>政府出资产业投资基金的绩效评价</w:t>
            </w:r>
          </w:p>
        </w:tc>
        <w:tc>
          <w:tcPr>
            <w:tcW w:w="2063" w:type="pct"/>
            <w:shd w:val="clear" w:color="auto" w:fill="auto"/>
            <w:vAlign w:val="center"/>
            <w:hideMark/>
          </w:tcPr>
          <w:p w14:paraId="66B55073" w14:textId="77777777" w:rsidR="002D3258" w:rsidRPr="002D3258" w:rsidRDefault="002D3258" w:rsidP="002D3258">
            <w:pPr>
              <w:pStyle w:val="13"/>
              <w:spacing w:line="240" w:lineRule="auto"/>
              <w:ind w:firstLineChars="0" w:firstLine="0"/>
              <w:rPr>
                <w:sz w:val="18"/>
                <w:szCs w:val="18"/>
              </w:rPr>
            </w:pPr>
            <w:r w:rsidRPr="002D3258">
              <w:rPr>
                <w:sz w:val="18"/>
                <w:szCs w:val="18"/>
              </w:rPr>
              <w:t>《政府出资产业投资基金管理暂行办法》（</w:t>
            </w:r>
            <w:proofErr w:type="gramStart"/>
            <w:r w:rsidRPr="002D3258">
              <w:rPr>
                <w:sz w:val="18"/>
                <w:szCs w:val="18"/>
              </w:rPr>
              <w:t>发改财金规</w:t>
            </w:r>
            <w:proofErr w:type="gramEnd"/>
            <w:r w:rsidRPr="002D3258">
              <w:rPr>
                <w:sz w:val="18"/>
                <w:szCs w:val="18"/>
              </w:rPr>
              <w:t>〔2016〕2800号）</w:t>
            </w:r>
          </w:p>
        </w:tc>
      </w:tr>
      <w:tr w:rsidR="002D3258" w:rsidRPr="002D3258" w14:paraId="6ECDAB30" w14:textId="77777777" w:rsidTr="002D3258">
        <w:trPr>
          <w:gridAfter w:val="1"/>
          <w:wAfter w:w="11" w:type="pct"/>
          <w:trHeight w:val="403"/>
        </w:trPr>
        <w:tc>
          <w:tcPr>
            <w:tcW w:w="407" w:type="pct"/>
            <w:shd w:val="clear" w:color="auto" w:fill="auto"/>
            <w:noWrap/>
            <w:vAlign w:val="center"/>
            <w:hideMark/>
          </w:tcPr>
          <w:p w14:paraId="1F2872B7" w14:textId="77777777" w:rsidR="002D3258" w:rsidRPr="002D3258" w:rsidRDefault="002D3258" w:rsidP="002D3258">
            <w:pPr>
              <w:pStyle w:val="13"/>
              <w:spacing w:line="240" w:lineRule="auto"/>
              <w:ind w:firstLineChars="0" w:firstLine="0"/>
              <w:rPr>
                <w:sz w:val="18"/>
                <w:szCs w:val="18"/>
              </w:rPr>
            </w:pPr>
            <w:r w:rsidRPr="002D3258">
              <w:rPr>
                <w:sz w:val="18"/>
                <w:szCs w:val="18"/>
              </w:rPr>
              <w:t>N96</w:t>
            </w:r>
          </w:p>
        </w:tc>
        <w:tc>
          <w:tcPr>
            <w:tcW w:w="166" w:type="pct"/>
            <w:vMerge/>
            <w:shd w:val="clear" w:color="auto" w:fill="auto"/>
            <w:vAlign w:val="center"/>
            <w:hideMark/>
          </w:tcPr>
          <w:p w14:paraId="6DC5A11B"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1C285B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E908F87" w14:textId="77777777" w:rsidR="002D3258" w:rsidRPr="002D3258" w:rsidRDefault="002D3258" w:rsidP="002D3258">
            <w:pPr>
              <w:pStyle w:val="13"/>
              <w:spacing w:line="240" w:lineRule="auto"/>
              <w:ind w:firstLineChars="0" w:firstLine="0"/>
              <w:rPr>
                <w:sz w:val="18"/>
                <w:szCs w:val="18"/>
              </w:rPr>
            </w:pPr>
            <w:r w:rsidRPr="002D3258">
              <w:rPr>
                <w:sz w:val="18"/>
                <w:szCs w:val="18"/>
              </w:rPr>
              <w:t>2.2.5</w:t>
            </w:r>
          </w:p>
        </w:tc>
        <w:tc>
          <w:tcPr>
            <w:tcW w:w="1463" w:type="pct"/>
            <w:shd w:val="clear" w:color="auto" w:fill="auto"/>
            <w:noWrap/>
            <w:vAlign w:val="center"/>
            <w:hideMark/>
          </w:tcPr>
          <w:p w14:paraId="7ADF03E8" w14:textId="77777777" w:rsidR="002D3258" w:rsidRPr="002D3258" w:rsidRDefault="002D3258" w:rsidP="002D3258">
            <w:pPr>
              <w:pStyle w:val="13"/>
              <w:spacing w:line="240" w:lineRule="auto"/>
              <w:ind w:firstLineChars="0" w:firstLine="0"/>
              <w:rPr>
                <w:sz w:val="18"/>
                <w:szCs w:val="18"/>
              </w:rPr>
            </w:pPr>
            <w:r w:rsidRPr="002D3258">
              <w:rPr>
                <w:sz w:val="18"/>
                <w:szCs w:val="18"/>
              </w:rPr>
              <w:t>政府投资基金绩效评价</w:t>
            </w:r>
          </w:p>
        </w:tc>
        <w:tc>
          <w:tcPr>
            <w:tcW w:w="2063" w:type="pct"/>
            <w:shd w:val="clear" w:color="auto" w:fill="auto"/>
            <w:vAlign w:val="center"/>
            <w:hideMark/>
          </w:tcPr>
          <w:p w14:paraId="58A5E1A0" w14:textId="77777777" w:rsidR="002D3258" w:rsidRPr="002D3258" w:rsidRDefault="002D3258" w:rsidP="002D3258">
            <w:pPr>
              <w:pStyle w:val="13"/>
              <w:spacing w:line="240" w:lineRule="auto"/>
              <w:ind w:firstLineChars="0" w:firstLine="0"/>
              <w:rPr>
                <w:sz w:val="18"/>
                <w:szCs w:val="18"/>
              </w:rPr>
            </w:pPr>
            <w:r w:rsidRPr="002D3258">
              <w:rPr>
                <w:sz w:val="18"/>
                <w:szCs w:val="18"/>
              </w:rPr>
              <w:t>《政府投资基金暂行管理办法》（财预〔2015〕210号）</w:t>
            </w:r>
          </w:p>
        </w:tc>
      </w:tr>
      <w:tr w:rsidR="002D3258" w:rsidRPr="002D3258" w14:paraId="0A77B5C2" w14:textId="77777777" w:rsidTr="002D3258">
        <w:trPr>
          <w:gridAfter w:val="1"/>
          <w:wAfter w:w="11" w:type="pct"/>
          <w:trHeight w:val="423"/>
        </w:trPr>
        <w:tc>
          <w:tcPr>
            <w:tcW w:w="407" w:type="pct"/>
            <w:shd w:val="clear" w:color="auto" w:fill="auto"/>
            <w:noWrap/>
            <w:vAlign w:val="center"/>
            <w:hideMark/>
          </w:tcPr>
          <w:p w14:paraId="632D3823" w14:textId="77777777" w:rsidR="002D3258" w:rsidRPr="002D3258" w:rsidRDefault="002D3258" w:rsidP="002D3258">
            <w:pPr>
              <w:pStyle w:val="13"/>
              <w:spacing w:line="240" w:lineRule="auto"/>
              <w:ind w:firstLineChars="0" w:firstLine="0"/>
              <w:rPr>
                <w:sz w:val="18"/>
                <w:szCs w:val="18"/>
              </w:rPr>
            </w:pPr>
            <w:r w:rsidRPr="002D3258">
              <w:rPr>
                <w:sz w:val="18"/>
                <w:szCs w:val="18"/>
              </w:rPr>
              <w:t>N97</w:t>
            </w:r>
          </w:p>
        </w:tc>
        <w:tc>
          <w:tcPr>
            <w:tcW w:w="166" w:type="pct"/>
            <w:vMerge/>
            <w:shd w:val="clear" w:color="auto" w:fill="auto"/>
            <w:vAlign w:val="center"/>
            <w:hideMark/>
          </w:tcPr>
          <w:p w14:paraId="58CF7F8A"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B5CAF65"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DC17C80" w14:textId="77777777" w:rsidR="002D3258" w:rsidRPr="002D3258" w:rsidRDefault="002D3258" w:rsidP="002D3258">
            <w:pPr>
              <w:pStyle w:val="13"/>
              <w:spacing w:line="240" w:lineRule="auto"/>
              <w:ind w:firstLineChars="0" w:firstLine="0"/>
              <w:rPr>
                <w:sz w:val="18"/>
                <w:szCs w:val="18"/>
              </w:rPr>
            </w:pPr>
            <w:r w:rsidRPr="002D3258">
              <w:rPr>
                <w:sz w:val="18"/>
                <w:szCs w:val="18"/>
              </w:rPr>
              <w:t>2.2.6</w:t>
            </w:r>
          </w:p>
        </w:tc>
        <w:tc>
          <w:tcPr>
            <w:tcW w:w="1463" w:type="pct"/>
            <w:shd w:val="clear" w:color="auto" w:fill="auto"/>
            <w:noWrap/>
            <w:vAlign w:val="center"/>
            <w:hideMark/>
          </w:tcPr>
          <w:p w14:paraId="22D206EE" w14:textId="77777777" w:rsidR="002D3258" w:rsidRPr="002D3258" w:rsidRDefault="002D3258" w:rsidP="002D3258">
            <w:pPr>
              <w:pStyle w:val="13"/>
              <w:spacing w:line="240" w:lineRule="auto"/>
              <w:ind w:firstLineChars="0" w:firstLine="0"/>
              <w:rPr>
                <w:sz w:val="18"/>
                <w:szCs w:val="18"/>
              </w:rPr>
            </w:pPr>
            <w:r w:rsidRPr="002D3258">
              <w:rPr>
                <w:sz w:val="18"/>
                <w:szCs w:val="18"/>
              </w:rPr>
              <w:t>“互联网+流通”发展基金评价</w:t>
            </w:r>
          </w:p>
        </w:tc>
        <w:tc>
          <w:tcPr>
            <w:tcW w:w="2063" w:type="pct"/>
            <w:shd w:val="clear" w:color="auto" w:fill="auto"/>
            <w:vAlign w:val="center"/>
            <w:hideMark/>
          </w:tcPr>
          <w:p w14:paraId="6E60966D" w14:textId="77777777" w:rsidR="002D3258" w:rsidRPr="002D3258" w:rsidRDefault="002D3258" w:rsidP="002D3258">
            <w:pPr>
              <w:pStyle w:val="13"/>
              <w:spacing w:line="240" w:lineRule="auto"/>
              <w:ind w:firstLineChars="0" w:firstLine="0"/>
              <w:rPr>
                <w:sz w:val="18"/>
                <w:szCs w:val="18"/>
              </w:rPr>
            </w:pPr>
            <w:r w:rsidRPr="002D3258">
              <w:rPr>
                <w:sz w:val="18"/>
                <w:szCs w:val="18"/>
              </w:rPr>
              <w:t>《关于深入实施“互联网+流通”行动计划的意见》（国办发〔2016〕24号）</w:t>
            </w:r>
          </w:p>
        </w:tc>
      </w:tr>
      <w:tr w:rsidR="002D3258" w:rsidRPr="002D3258" w14:paraId="07F6B914" w14:textId="77777777" w:rsidTr="002D3258">
        <w:trPr>
          <w:trHeight w:val="283"/>
        </w:trPr>
        <w:tc>
          <w:tcPr>
            <w:tcW w:w="407" w:type="pct"/>
            <w:shd w:val="clear" w:color="auto" w:fill="auto"/>
            <w:noWrap/>
            <w:vAlign w:val="center"/>
            <w:hideMark/>
          </w:tcPr>
          <w:p w14:paraId="2D848528" w14:textId="77777777" w:rsidR="002D3258" w:rsidRPr="002D3258" w:rsidRDefault="002D3258" w:rsidP="002D3258">
            <w:pPr>
              <w:pStyle w:val="13"/>
              <w:spacing w:line="240" w:lineRule="auto"/>
              <w:ind w:firstLineChars="0" w:firstLine="0"/>
              <w:rPr>
                <w:b/>
                <w:sz w:val="18"/>
                <w:szCs w:val="18"/>
              </w:rPr>
            </w:pPr>
            <w:r w:rsidRPr="002D3258">
              <w:rPr>
                <w:b/>
                <w:sz w:val="18"/>
                <w:szCs w:val="18"/>
              </w:rPr>
              <w:t>三</w:t>
            </w:r>
          </w:p>
        </w:tc>
        <w:tc>
          <w:tcPr>
            <w:tcW w:w="4593" w:type="pct"/>
            <w:gridSpan w:val="6"/>
            <w:shd w:val="clear" w:color="auto" w:fill="auto"/>
            <w:noWrap/>
            <w:vAlign w:val="center"/>
            <w:hideMark/>
          </w:tcPr>
          <w:p w14:paraId="4FF5136A" w14:textId="77777777" w:rsidR="002D3258" w:rsidRPr="002D3258" w:rsidRDefault="002D3258" w:rsidP="002D3258">
            <w:pPr>
              <w:pStyle w:val="13"/>
              <w:spacing w:line="240" w:lineRule="auto"/>
              <w:ind w:firstLineChars="0" w:firstLine="0"/>
              <w:rPr>
                <w:b/>
                <w:sz w:val="18"/>
                <w:szCs w:val="18"/>
              </w:rPr>
            </w:pPr>
            <w:r w:rsidRPr="002D3258">
              <w:rPr>
                <w:b/>
                <w:sz w:val="18"/>
                <w:szCs w:val="18"/>
              </w:rPr>
              <w:t>咨询类业务</w:t>
            </w:r>
          </w:p>
        </w:tc>
      </w:tr>
      <w:tr w:rsidR="002D3258" w:rsidRPr="002D3258" w14:paraId="342AC8A4" w14:textId="77777777" w:rsidTr="002D3258">
        <w:trPr>
          <w:gridAfter w:val="1"/>
          <w:wAfter w:w="11" w:type="pct"/>
          <w:trHeight w:val="971"/>
        </w:trPr>
        <w:tc>
          <w:tcPr>
            <w:tcW w:w="407" w:type="pct"/>
            <w:shd w:val="clear" w:color="auto" w:fill="auto"/>
            <w:noWrap/>
            <w:vAlign w:val="center"/>
            <w:hideMark/>
          </w:tcPr>
          <w:p w14:paraId="1F26F980" w14:textId="77777777" w:rsidR="002D3258" w:rsidRPr="002D3258" w:rsidRDefault="002D3258" w:rsidP="002D3258">
            <w:pPr>
              <w:pStyle w:val="13"/>
              <w:spacing w:line="240" w:lineRule="auto"/>
              <w:ind w:firstLineChars="0" w:firstLine="0"/>
              <w:rPr>
                <w:sz w:val="18"/>
                <w:szCs w:val="18"/>
              </w:rPr>
            </w:pPr>
            <w:r w:rsidRPr="002D3258">
              <w:rPr>
                <w:sz w:val="18"/>
                <w:szCs w:val="18"/>
              </w:rPr>
              <w:t>98</w:t>
            </w:r>
          </w:p>
        </w:tc>
        <w:tc>
          <w:tcPr>
            <w:tcW w:w="166" w:type="pct"/>
            <w:vMerge w:val="restart"/>
            <w:shd w:val="clear" w:color="auto" w:fill="auto"/>
            <w:noWrap/>
            <w:vAlign w:val="center"/>
            <w:hideMark/>
          </w:tcPr>
          <w:p w14:paraId="353E770C" w14:textId="77777777" w:rsidR="002D3258" w:rsidRPr="002D3258" w:rsidRDefault="002D3258" w:rsidP="002D3258">
            <w:pPr>
              <w:pStyle w:val="13"/>
              <w:spacing w:line="240" w:lineRule="auto"/>
              <w:ind w:firstLineChars="0" w:firstLine="0"/>
              <w:rPr>
                <w:sz w:val="18"/>
                <w:szCs w:val="18"/>
              </w:rPr>
            </w:pPr>
            <w:r w:rsidRPr="002D3258">
              <w:rPr>
                <w:sz w:val="18"/>
                <w:szCs w:val="18"/>
              </w:rPr>
              <w:t>3.1</w:t>
            </w:r>
          </w:p>
        </w:tc>
        <w:tc>
          <w:tcPr>
            <w:tcW w:w="407" w:type="pct"/>
            <w:vMerge w:val="restart"/>
            <w:shd w:val="clear" w:color="auto" w:fill="auto"/>
            <w:noWrap/>
            <w:vAlign w:val="center"/>
            <w:hideMark/>
          </w:tcPr>
          <w:p w14:paraId="3869CF24" w14:textId="77777777" w:rsidR="002D3258" w:rsidRPr="002D3258" w:rsidRDefault="002D3258" w:rsidP="002D3258">
            <w:pPr>
              <w:pStyle w:val="13"/>
              <w:spacing w:line="240" w:lineRule="auto"/>
              <w:ind w:firstLineChars="0" w:firstLine="0"/>
              <w:rPr>
                <w:sz w:val="18"/>
                <w:szCs w:val="18"/>
              </w:rPr>
            </w:pPr>
            <w:r w:rsidRPr="002D3258">
              <w:rPr>
                <w:sz w:val="18"/>
                <w:szCs w:val="18"/>
              </w:rPr>
              <w:t>企业</w:t>
            </w:r>
          </w:p>
        </w:tc>
        <w:tc>
          <w:tcPr>
            <w:tcW w:w="484" w:type="pct"/>
            <w:shd w:val="clear" w:color="auto" w:fill="auto"/>
            <w:noWrap/>
            <w:vAlign w:val="center"/>
            <w:hideMark/>
          </w:tcPr>
          <w:p w14:paraId="4E3C725E" w14:textId="77777777" w:rsidR="002D3258" w:rsidRPr="002D3258" w:rsidRDefault="002D3258" w:rsidP="002D3258">
            <w:pPr>
              <w:pStyle w:val="13"/>
              <w:spacing w:line="240" w:lineRule="auto"/>
              <w:ind w:firstLineChars="0" w:firstLine="0"/>
              <w:rPr>
                <w:sz w:val="18"/>
                <w:szCs w:val="18"/>
              </w:rPr>
            </w:pPr>
            <w:r w:rsidRPr="002D3258">
              <w:rPr>
                <w:sz w:val="18"/>
                <w:szCs w:val="18"/>
              </w:rPr>
              <w:t>3.1.1</w:t>
            </w:r>
          </w:p>
        </w:tc>
        <w:tc>
          <w:tcPr>
            <w:tcW w:w="1463" w:type="pct"/>
            <w:shd w:val="clear" w:color="auto" w:fill="auto"/>
            <w:noWrap/>
            <w:vAlign w:val="center"/>
            <w:hideMark/>
          </w:tcPr>
          <w:p w14:paraId="7FFC5543" w14:textId="77777777" w:rsidR="002D3258" w:rsidRPr="002D3258" w:rsidRDefault="002D3258" w:rsidP="002D3258">
            <w:pPr>
              <w:pStyle w:val="13"/>
              <w:spacing w:line="240" w:lineRule="auto"/>
              <w:ind w:firstLineChars="0" w:firstLine="0"/>
              <w:rPr>
                <w:sz w:val="18"/>
                <w:szCs w:val="18"/>
              </w:rPr>
            </w:pPr>
            <w:r w:rsidRPr="002D3258">
              <w:rPr>
                <w:sz w:val="18"/>
                <w:szCs w:val="18"/>
              </w:rPr>
              <w:t>尽职调查</w:t>
            </w:r>
          </w:p>
        </w:tc>
        <w:tc>
          <w:tcPr>
            <w:tcW w:w="2063" w:type="pct"/>
            <w:shd w:val="clear" w:color="auto" w:fill="auto"/>
            <w:vAlign w:val="center"/>
            <w:hideMark/>
          </w:tcPr>
          <w:p w14:paraId="0E5FF8BC" w14:textId="77777777" w:rsidR="002D3258" w:rsidRPr="002D3258" w:rsidRDefault="002D3258" w:rsidP="002D3258">
            <w:pPr>
              <w:pStyle w:val="13"/>
              <w:spacing w:line="240" w:lineRule="auto"/>
              <w:ind w:firstLineChars="0" w:firstLine="0"/>
              <w:rPr>
                <w:sz w:val="18"/>
                <w:szCs w:val="18"/>
              </w:rPr>
            </w:pPr>
            <w:r w:rsidRPr="002D3258">
              <w:rPr>
                <w:sz w:val="18"/>
                <w:szCs w:val="18"/>
              </w:rPr>
              <w:t>（1）《政府和社会资本合作（PPP）项目资产证券化业务尽职调查工作细则》（</w:t>
            </w:r>
            <w:proofErr w:type="gramStart"/>
            <w:r w:rsidRPr="002D3258">
              <w:rPr>
                <w:sz w:val="18"/>
                <w:szCs w:val="18"/>
              </w:rPr>
              <w:t>中基协字</w:t>
            </w:r>
            <w:proofErr w:type="gramEnd"/>
            <w:r w:rsidRPr="002D3258">
              <w:rPr>
                <w:sz w:val="18"/>
                <w:szCs w:val="18"/>
              </w:rPr>
              <w:t>〔2019〕292号）；</w:t>
            </w:r>
          </w:p>
          <w:p w14:paraId="12D5EE7C" w14:textId="77777777" w:rsidR="002D3258" w:rsidRPr="002D3258" w:rsidRDefault="002D3258" w:rsidP="002D3258">
            <w:pPr>
              <w:pStyle w:val="13"/>
              <w:spacing w:line="240" w:lineRule="auto"/>
              <w:ind w:firstLineChars="0" w:firstLine="0"/>
              <w:rPr>
                <w:sz w:val="18"/>
                <w:szCs w:val="18"/>
              </w:rPr>
            </w:pPr>
            <w:r w:rsidRPr="002D3258">
              <w:rPr>
                <w:sz w:val="18"/>
                <w:szCs w:val="18"/>
              </w:rPr>
              <w:t>（2）市场需求</w:t>
            </w:r>
            <w:r w:rsidRPr="002D3258">
              <w:rPr>
                <w:rFonts w:hint="eastAsia"/>
                <w:sz w:val="18"/>
                <w:szCs w:val="18"/>
              </w:rPr>
              <w:t>等</w:t>
            </w:r>
            <w:r w:rsidRPr="002D3258">
              <w:rPr>
                <w:sz w:val="18"/>
                <w:szCs w:val="18"/>
              </w:rPr>
              <w:t>。</w:t>
            </w:r>
          </w:p>
        </w:tc>
      </w:tr>
      <w:tr w:rsidR="002D3258" w:rsidRPr="002D3258" w14:paraId="20815905" w14:textId="77777777" w:rsidTr="002D3258">
        <w:trPr>
          <w:gridAfter w:val="1"/>
          <w:wAfter w:w="11" w:type="pct"/>
          <w:trHeight w:val="545"/>
        </w:trPr>
        <w:tc>
          <w:tcPr>
            <w:tcW w:w="407" w:type="pct"/>
            <w:shd w:val="clear" w:color="auto" w:fill="auto"/>
            <w:noWrap/>
            <w:vAlign w:val="center"/>
            <w:hideMark/>
          </w:tcPr>
          <w:p w14:paraId="685FFAE4" w14:textId="77777777" w:rsidR="002D3258" w:rsidRPr="002D3258" w:rsidRDefault="002D3258" w:rsidP="002D3258">
            <w:pPr>
              <w:pStyle w:val="13"/>
              <w:spacing w:line="240" w:lineRule="auto"/>
              <w:ind w:firstLineChars="0" w:firstLine="0"/>
              <w:rPr>
                <w:sz w:val="18"/>
                <w:szCs w:val="18"/>
              </w:rPr>
            </w:pPr>
            <w:r w:rsidRPr="002D3258">
              <w:rPr>
                <w:sz w:val="18"/>
                <w:szCs w:val="18"/>
              </w:rPr>
              <w:t>99</w:t>
            </w:r>
          </w:p>
        </w:tc>
        <w:tc>
          <w:tcPr>
            <w:tcW w:w="166" w:type="pct"/>
            <w:vMerge/>
            <w:shd w:val="clear" w:color="auto" w:fill="auto"/>
            <w:vAlign w:val="center"/>
            <w:hideMark/>
          </w:tcPr>
          <w:p w14:paraId="4528E953"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D8BEF9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C7356EA" w14:textId="77777777" w:rsidR="002D3258" w:rsidRPr="002D3258" w:rsidRDefault="002D3258" w:rsidP="002D3258">
            <w:pPr>
              <w:pStyle w:val="13"/>
              <w:spacing w:line="240" w:lineRule="auto"/>
              <w:ind w:firstLineChars="0" w:firstLine="0"/>
              <w:rPr>
                <w:sz w:val="18"/>
                <w:szCs w:val="18"/>
              </w:rPr>
            </w:pPr>
            <w:r w:rsidRPr="002D3258">
              <w:rPr>
                <w:sz w:val="18"/>
                <w:szCs w:val="18"/>
              </w:rPr>
              <w:t>3.1.2</w:t>
            </w:r>
          </w:p>
        </w:tc>
        <w:tc>
          <w:tcPr>
            <w:tcW w:w="1463" w:type="pct"/>
            <w:shd w:val="clear" w:color="auto" w:fill="auto"/>
            <w:noWrap/>
            <w:vAlign w:val="center"/>
            <w:hideMark/>
          </w:tcPr>
          <w:p w14:paraId="3FDA076E" w14:textId="77777777" w:rsidR="002D3258" w:rsidRPr="002D3258" w:rsidRDefault="002D3258" w:rsidP="002D3258">
            <w:pPr>
              <w:pStyle w:val="13"/>
              <w:spacing w:line="240" w:lineRule="auto"/>
              <w:ind w:firstLineChars="0" w:firstLine="0"/>
              <w:rPr>
                <w:sz w:val="18"/>
                <w:szCs w:val="18"/>
              </w:rPr>
            </w:pPr>
            <w:r w:rsidRPr="002D3258">
              <w:rPr>
                <w:sz w:val="18"/>
                <w:szCs w:val="18"/>
              </w:rPr>
              <w:t>企业境外资产巡查</w:t>
            </w:r>
          </w:p>
        </w:tc>
        <w:tc>
          <w:tcPr>
            <w:tcW w:w="2063" w:type="pct"/>
            <w:shd w:val="clear" w:color="auto" w:fill="auto"/>
            <w:vAlign w:val="center"/>
            <w:hideMark/>
          </w:tcPr>
          <w:p w14:paraId="2A5BD82F" w14:textId="77777777" w:rsidR="002D3258" w:rsidRPr="002D3258" w:rsidRDefault="002D3258" w:rsidP="002D3258">
            <w:pPr>
              <w:pStyle w:val="13"/>
              <w:spacing w:line="240" w:lineRule="auto"/>
              <w:ind w:firstLineChars="0" w:firstLine="0"/>
              <w:rPr>
                <w:sz w:val="18"/>
                <w:szCs w:val="18"/>
              </w:rPr>
            </w:pPr>
            <w:r w:rsidRPr="002D3258">
              <w:rPr>
                <w:sz w:val="18"/>
                <w:szCs w:val="18"/>
              </w:rPr>
              <w:t>《中央企业境外国有资产监督管理暂行办法》（国资委令第26号）</w:t>
            </w:r>
          </w:p>
        </w:tc>
      </w:tr>
      <w:tr w:rsidR="002D3258" w:rsidRPr="002D3258" w14:paraId="2009E29A" w14:textId="77777777" w:rsidTr="002D3258">
        <w:trPr>
          <w:gridAfter w:val="1"/>
          <w:wAfter w:w="11" w:type="pct"/>
          <w:trHeight w:val="283"/>
        </w:trPr>
        <w:tc>
          <w:tcPr>
            <w:tcW w:w="407" w:type="pct"/>
            <w:shd w:val="clear" w:color="auto" w:fill="auto"/>
            <w:noWrap/>
            <w:vAlign w:val="center"/>
            <w:hideMark/>
          </w:tcPr>
          <w:p w14:paraId="1D40D568" w14:textId="77777777" w:rsidR="002D3258" w:rsidRPr="002D3258" w:rsidRDefault="002D3258" w:rsidP="002D3258">
            <w:pPr>
              <w:pStyle w:val="13"/>
              <w:spacing w:line="240" w:lineRule="auto"/>
              <w:ind w:firstLineChars="0" w:firstLine="0"/>
              <w:rPr>
                <w:sz w:val="18"/>
                <w:szCs w:val="18"/>
              </w:rPr>
            </w:pPr>
            <w:r w:rsidRPr="002D3258">
              <w:rPr>
                <w:sz w:val="18"/>
                <w:szCs w:val="18"/>
              </w:rPr>
              <w:t>100</w:t>
            </w:r>
          </w:p>
        </w:tc>
        <w:tc>
          <w:tcPr>
            <w:tcW w:w="166" w:type="pct"/>
            <w:vMerge/>
            <w:shd w:val="clear" w:color="auto" w:fill="auto"/>
            <w:vAlign w:val="center"/>
            <w:hideMark/>
          </w:tcPr>
          <w:p w14:paraId="5B47C04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AA891A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FE7908C" w14:textId="77777777" w:rsidR="002D3258" w:rsidRPr="002D3258" w:rsidRDefault="002D3258" w:rsidP="002D3258">
            <w:pPr>
              <w:pStyle w:val="13"/>
              <w:spacing w:line="240" w:lineRule="auto"/>
              <w:ind w:firstLineChars="0" w:firstLine="0"/>
              <w:rPr>
                <w:sz w:val="18"/>
                <w:szCs w:val="18"/>
              </w:rPr>
            </w:pPr>
            <w:r w:rsidRPr="002D3258">
              <w:rPr>
                <w:sz w:val="18"/>
                <w:szCs w:val="18"/>
              </w:rPr>
              <w:t>3.1.3</w:t>
            </w:r>
          </w:p>
        </w:tc>
        <w:tc>
          <w:tcPr>
            <w:tcW w:w="1463" w:type="pct"/>
            <w:shd w:val="clear" w:color="auto" w:fill="auto"/>
            <w:noWrap/>
            <w:vAlign w:val="center"/>
            <w:hideMark/>
          </w:tcPr>
          <w:p w14:paraId="51A13A80" w14:textId="77777777" w:rsidR="002D3258" w:rsidRPr="002D3258" w:rsidRDefault="002D3258" w:rsidP="002D3258">
            <w:pPr>
              <w:pStyle w:val="13"/>
              <w:spacing w:line="240" w:lineRule="auto"/>
              <w:ind w:firstLineChars="0" w:firstLine="0"/>
              <w:rPr>
                <w:sz w:val="18"/>
                <w:szCs w:val="18"/>
              </w:rPr>
            </w:pPr>
            <w:r w:rsidRPr="002D3258">
              <w:rPr>
                <w:sz w:val="18"/>
                <w:szCs w:val="18"/>
              </w:rPr>
              <w:t>计税价格评估</w:t>
            </w:r>
          </w:p>
        </w:tc>
        <w:tc>
          <w:tcPr>
            <w:tcW w:w="2063" w:type="pct"/>
            <w:shd w:val="clear" w:color="auto" w:fill="auto"/>
            <w:vAlign w:val="center"/>
            <w:hideMark/>
          </w:tcPr>
          <w:p w14:paraId="314E3311" w14:textId="77777777" w:rsidR="002D3258" w:rsidRPr="002D3258" w:rsidRDefault="002D3258" w:rsidP="002D3258">
            <w:pPr>
              <w:pStyle w:val="13"/>
              <w:spacing w:line="240" w:lineRule="auto"/>
              <w:ind w:firstLineChars="0" w:firstLine="0"/>
              <w:rPr>
                <w:sz w:val="18"/>
                <w:szCs w:val="18"/>
              </w:rPr>
            </w:pPr>
            <w:r w:rsidRPr="002D3258">
              <w:rPr>
                <w:sz w:val="18"/>
                <w:szCs w:val="18"/>
              </w:rPr>
              <w:t>（1）《企业重组业务企业所得税管理办法》（国家税务总局公告2010年第4号）；</w:t>
            </w:r>
            <w:r w:rsidRPr="002D3258">
              <w:rPr>
                <w:sz w:val="18"/>
                <w:szCs w:val="18"/>
              </w:rPr>
              <w:br/>
              <w:t>（2）《财政部 国家税务总局关于企业清算业务企业所得税处理若干问题的通知》（财税〔2009〕60号）；</w:t>
            </w:r>
            <w:r w:rsidRPr="002D3258">
              <w:rPr>
                <w:sz w:val="18"/>
                <w:szCs w:val="18"/>
              </w:rPr>
              <w:br/>
              <w:t>（3）《特别纳税调整实施办法（试行）》（国税发〔2009〕2号）；</w:t>
            </w:r>
            <w:r w:rsidRPr="002D3258">
              <w:rPr>
                <w:sz w:val="18"/>
                <w:szCs w:val="18"/>
              </w:rPr>
              <w:br/>
              <w:t>（4）《关于完善关联申报和同期资料管理有关事项的公告》（国家税务总局公告2016年第42号）</w:t>
            </w:r>
            <w:r w:rsidRPr="002D3258">
              <w:rPr>
                <w:rFonts w:hint="eastAsia"/>
                <w:sz w:val="18"/>
                <w:szCs w:val="18"/>
              </w:rPr>
              <w:t>等</w:t>
            </w:r>
            <w:r w:rsidRPr="002D3258">
              <w:rPr>
                <w:sz w:val="18"/>
                <w:szCs w:val="18"/>
              </w:rPr>
              <w:t>。</w:t>
            </w:r>
          </w:p>
        </w:tc>
      </w:tr>
      <w:tr w:rsidR="002D3258" w:rsidRPr="002D3258" w14:paraId="6F61F66C" w14:textId="77777777" w:rsidTr="002D3258">
        <w:trPr>
          <w:gridAfter w:val="1"/>
          <w:wAfter w:w="11" w:type="pct"/>
          <w:trHeight w:val="2869"/>
        </w:trPr>
        <w:tc>
          <w:tcPr>
            <w:tcW w:w="407" w:type="pct"/>
            <w:shd w:val="clear" w:color="auto" w:fill="auto"/>
            <w:noWrap/>
            <w:vAlign w:val="center"/>
            <w:hideMark/>
          </w:tcPr>
          <w:p w14:paraId="3646F61A" w14:textId="77777777" w:rsidR="002D3258" w:rsidRPr="002D3258" w:rsidRDefault="002D3258" w:rsidP="002D3258">
            <w:pPr>
              <w:pStyle w:val="13"/>
              <w:spacing w:line="240" w:lineRule="auto"/>
              <w:ind w:firstLineChars="0" w:firstLine="0"/>
              <w:rPr>
                <w:sz w:val="18"/>
                <w:szCs w:val="18"/>
              </w:rPr>
            </w:pPr>
            <w:r w:rsidRPr="002D3258">
              <w:rPr>
                <w:sz w:val="18"/>
                <w:szCs w:val="18"/>
              </w:rPr>
              <w:lastRenderedPageBreak/>
              <w:t>101</w:t>
            </w:r>
          </w:p>
        </w:tc>
        <w:tc>
          <w:tcPr>
            <w:tcW w:w="166" w:type="pct"/>
            <w:vMerge/>
            <w:shd w:val="clear" w:color="auto" w:fill="auto"/>
            <w:vAlign w:val="center"/>
            <w:hideMark/>
          </w:tcPr>
          <w:p w14:paraId="5B5C1A36"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766707E"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FF67AAD" w14:textId="77777777" w:rsidR="002D3258" w:rsidRPr="002D3258" w:rsidRDefault="002D3258" w:rsidP="002D3258">
            <w:pPr>
              <w:pStyle w:val="13"/>
              <w:spacing w:line="240" w:lineRule="auto"/>
              <w:ind w:firstLineChars="0" w:firstLine="0"/>
              <w:rPr>
                <w:sz w:val="18"/>
                <w:szCs w:val="18"/>
              </w:rPr>
            </w:pPr>
            <w:r w:rsidRPr="002D3258">
              <w:rPr>
                <w:sz w:val="18"/>
                <w:szCs w:val="18"/>
              </w:rPr>
              <w:t>3.1.4</w:t>
            </w:r>
          </w:p>
        </w:tc>
        <w:tc>
          <w:tcPr>
            <w:tcW w:w="1463" w:type="pct"/>
            <w:shd w:val="clear" w:color="auto" w:fill="auto"/>
            <w:noWrap/>
            <w:vAlign w:val="center"/>
            <w:hideMark/>
          </w:tcPr>
          <w:p w14:paraId="1DCCFDB7" w14:textId="77777777" w:rsidR="002D3258" w:rsidRPr="002D3258" w:rsidRDefault="002D3258" w:rsidP="002D3258">
            <w:pPr>
              <w:pStyle w:val="13"/>
              <w:spacing w:line="240" w:lineRule="auto"/>
              <w:ind w:firstLineChars="0" w:firstLine="0"/>
              <w:rPr>
                <w:sz w:val="18"/>
                <w:szCs w:val="18"/>
              </w:rPr>
            </w:pPr>
            <w:r w:rsidRPr="002D3258">
              <w:rPr>
                <w:sz w:val="18"/>
                <w:szCs w:val="18"/>
              </w:rPr>
              <w:t>认定报关价格</w:t>
            </w:r>
          </w:p>
        </w:tc>
        <w:tc>
          <w:tcPr>
            <w:tcW w:w="2063" w:type="pct"/>
            <w:shd w:val="clear" w:color="auto" w:fill="auto"/>
            <w:vAlign w:val="center"/>
            <w:hideMark/>
          </w:tcPr>
          <w:p w14:paraId="5C2E182A" w14:textId="1A259B6E" w:rsidR="002D3258" w:rsidRPr="002D3258" w:rsidRDefault="002D3258" w:rsidP="002D3258">
            <w:pPr>
              <w:pStyle w:val="13"/>
              <w:spacing w:line="240" w:lineRule="auto"/>
              <w:ind w:firstLineChars="0" w:firstLine="0"/>
              <w:rPr>
                <w:sz w:val="18"/>
                <w:szCs w:val="18"/>
              </w:rPr>
            </w:pPr>
            <w:r w:rsidRPr="002D3258">
              <w:rPr>
                <w:sz w:val="18"/>
                <w:szCs w:val="18"/>
              </w:rPr>
              <w:t>《中华人民共和国海关法》</w:t>
            </w:r>
            <w:r>
              <w:rPr>
                <w:sz w:val="18"/>
                <w:szCs w:val="18"/>
              </w:rPr>
              <w:t xml:space="preserve"> </w:t>
            </w:r>
            <w:r w:rsidRPr="002D3258">
              <w:rPr>
                <w:sz w:val="18"/>
                <w:szCs w:val="18"/>
              </w:rPr>
              <w:t>（1987年1月22日第六届全国人民代表大会常务委员会第十九次会议通过  根据2000年7月8日第九届全国人民代表大会常务委员会第十六次会议《关于修改〈中华人民共和国海关法〉的决定》第一次修正  根据2013年6月29日第十二届全国人民代表大会常务委员会第三次会议《关于修改〈中华人民共和国文物保护法〉等十二部法律的决定》第二次修正  根据2013年12月28日第十二届全国人民代表大会常务委员会第六次会议《关于修改〈中华人民共和国海洋环境保护法〉等七部法律的决定》第三次修正  根据2016年11月7日第十二届全国人民代表大会常务委员会第二十四次会议《关于修改〈中华人民共和国对外贸易法〉等十二部法律的决定》第四次修正  根据2017年11月4日第十二届全国人民代表大会常务委员会第三十次会议《关于修改〈中华人民共和国会计法〉等十一部法律的决定》第五次修正）</w:t>
            </w:r>
          </w:p>
        </w:tc>
      </w:tr>
      <w:tr w:rsidR="002D3258" w:rsidRPr="002D3258" w14:paraId="58645777" w14:textId="77777777" w:rsidTr="002D3258">
        <w:trPr>
          <w:gridAfter w:val="1"/>
          <w:wAfter w:w="11" w:type="pct"/>
          <w:trHeight w:val="283"/>
        </w:trPr>
        <w:tc>
          <w:tcPr>
            <w:tcW w:w="407" w:type="pct"/>
            <w:shd w:val="clear" w:color="auto" w:fill="auto"/>
            <w:noWrap/>
            <w:vAlign w:val="center"/>
            <w:hideMark/>
          </w:tcPr>
          <w:p w14:paraId="1C376E0B" w14:textId="77777777" w:rsidR="002D3258" w:rsidRPr="002D3258" w:rsidRDefault="002D3258" w:rsidP="002D3258">
            <w:pPr>
              <w:pStyle w:val="13"/>
              <w:spacing w:line="240" w:lineRule="auto"/>
              <w:ind w:firstLineChars="0" w:firstLine="0"/>
              <w:rPr>
                <w:sz w:val="18"/>
                <w:szCs w:val="18"/>
              </w:rPr>
            </w:pPr>
            <w:r w:rsidRPr="002D3258">
              <w:rPr>
                <w:sz w:val="18"/>
                <w:szCs w:val="18"/>
              </w:rPr>
              <w:t>102</w:t>
            </w:r>
          </w:p>
        </w:tc>
        <w:tc>
          <w:tcPr>
            <w:tcW w:w="166" w:type="pct"/>
            <w:vMerge/>
            <w:shd w:val="clear" w:color="auto" w:fill="auto"/>
            <w:vAlign w:val="center"/>
            <w:hideMark/>
          </w:tcPr>
          <w:p w14:paraId="1585698D"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3A2EF9A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72B39D4" w14:textId="77777777" w:rsidR="002D3258" w:rsidRPr="002D3258" w:rsidRDefault="002D3258" w:rsidP="002D3258">
            <w:pPr>
              <w:pStyle w:val="13"/>
              <w:spacing w:line="240" w:lineRule="auto"/>
              <w:ind w:firstLineChars="0" w:firstLine="0"/>
              <w:rPr>
                <w:sz w:val="18"/>
                <w:szCs w:val="18"/>
              </w:rPr>
            </w:pPr>
            <w:r w:rsidRPr="002D3258">
              <w:rPr>
                <w:sz w:val="18"/>
                <w:szCs w:val="18"/>
              </w:rPr>
              <w:t>3.1.5</w:t>
            </w:r>
          </w:p>
        </w:tc>
        <w:tc>
          <w:tcPr>
            <w:tcW w:w="1463" w:type="pct"/>
            <w:shd w:val="clear" w:color="auto" w:fill="auto"/>
            <w:noWrap/>
            <w:vAlign w:val="center"/>
            <w:hideMark/>
          </w:tcPr>
          <w:p w14:paraId="10565788" w14:textId="77777777" w:rsidR="002D3258" w:rsidRPr="002D3258" w:rsidRDefault="002D3258" w:rsidP="002D3258">
            <w:pPr>
              <w:pStyle w:val="13"/>
              <w:spacing w:line="240" w:lineRule="auto"/>
              <w:ind w:firstLineChars="0" w:firstLine="0"/>
              <w:rPr>
                <w:sz w:val="18"/>
                <w:szCs w:val="18"/>
              </w:rPr>
            </w:pPr>
            <w:r w:rsidRPr="002D3258">
              <w:rPr>
                <w:sz w:val="18"/>
                <w:szCs w:val="18"/>
              </w:rPr>
              <w:t>企业财务管理评估</w:t>
            </w:r>
          </w:p>
        </w:tc>
        <w:tc>
          <w:tcPr>
            <w:tcW w:w="2063" w:type="pct"/>
            <w:shd w:val="clear" w:color="auto" w:fill="auto"/>
            <w:vAlign w:val="center"/>
            <w:hideMark/>
          </w:tcPr>
          <w:p w14:paraId="5B68A3E4" w14:textId="77777777" w:rsidR="002D3258" w:rsidRPr="002D3258" w:rsidRDefault="002D3258" w:rsidP="002D3258">
            <w:pPr>
              <w:pStyle w:val="13"/>
              <w:spacing w:line="240" w:lineRule="auto"/>
              <w:ind w:firstLineChars="0" w:firstLine="0"/>
              <w:rPr>
                <w:sz w:val="18"/>
                <w:szCs w:val="18"/>
              </w:rPr>
            </w:pPr>
            <w:r w:rsidRPr="002D3258">
              <w:rPr>
                <w:sz w:val="18"/>
                <w:szCs w:val="18"/>
              </w:rPr>
              <w:t>《企业财务通则》（财政部令第41号）</w:t>
            </w:r>
          </w:p>
        </w:tc>
      </w:tr>
      <w:tr w:rsidR="002D3258" w:rsidRPr="002D3258" w14:paraId="08CA71E9" w14:textId="77777777" w:rsidTr="002D3258">
        <w:trPr>
          <w:gridAfter w:val="1"/>
          <w:wAfter w:w="11" w:type="pct"/>
          <w:trHeight w:val="283"/>
        </w:trPr>
        <w:tc>
          <w:tcPr>
            <w:tcW w:w="407" w:type="pct"/>
            <w:shd w:val="clear" w:color="auto" w:fill="auto"/>
            <w:noWrap/>
            <w:vAlign w:val="center"/>
            <w:hideMark/>
          </w:tcPr>
          <w:p w14:paraId="1C7C50D1" w14:textId="77777777" w:rsidR="002D3258" w:rsidRPr="002D3258" w:rsidRDefault="002D3258" w:rsidP="002D3258">
            <w:pPr>
              <w:pStyle w:val="13"/>
              <w:spacing w:line="240" w:lineRule="auto"/>
              <w:ind w:firstLineChars="0" w:firstLine="0"/>
              <w:rPr>
                <w:sz w:val="18"/>
                <w:szCs w:val="18"/>
              </w:rPr>
            </w:pPr>
            <w:r w:rsidRPr="002D3258">
              <w:rPr>
                <w:sz w:val="18"/>
                <w:szCs w:val="18"/>
              </w:rPr>
              <w:t>103</w:t>
            </w:r>
          </w:p>
        </w:tc>
        <w:tc>
          <w:tcPr>
            <w:tcW w:w="166" w:type="pct"/>
            <w:vMerge/>
            <w:shd w:val="clear" w:color="auto" w:fill="auto"/>
            <w:vAlign w:val="center"/>
            <w:hideMark/>
          </w:tcPr>
          <w:p w14:paraId="68351A92"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849392A"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C22F034" w14:textId="77777777" w:rsidR="002D3258" w:rsidRPr="002D3258" w:rsidRDefault="002D3258" w:rsidP="002D3258">
            <w:pPr>
              <w:pStyle w:val="13"/>
              <w:spacing w:line="240" w:lineRule="auto"/>
              <w:ind w:firstLineChars="0" w:firstLine="0"/>
              <w:rPr>
                <w:sz w:val="18"/>
                <w:szCs w:val="18"/>
              </w:rPr>
            </w:pPr>
            <w:r w:rsidRPr="002D3258">
              <w:rPr>
                <w:sz w:val="18"/>
                <w:szCs w:val="18"/>
              </w:rPr>
              <w:t>3.1.6</w:t>
            </w:r>
          </w:p>
        </w:tc>
        <w:tc>
          <w:tcPr>
            <w:tcW w:w="1463" w:type="pct"/>
            <w:shd w:val="clear" w:color="auto" w:fill="auto"/>
            <w:noWrap/>
            <w:vAlign w:val="center"/>
            <w:hideMark/>
          </w:tcPr>
          <w:p w14:paraId="3365BC9B" w14:textId="77777777" w:rsidR="002D3258" w:rsidRPr="002D3258" w:rsidRDefault="002D3258" w:rsidP="002D3258">
            <w:pPr>
              <w:pStyle w:val="13"/>
              <w:spacing w:line="240" w:lineRule="auto"/>
              <w:ind w:firstLineChars="0" w:firstLine="0"/>
              <w:rPr>
                <w:sz w:val="18"/>
                <w:szCs w:val="18"/>
              </w:rPr>
            </w:pPr>
            <w:r w:rsidRPr="002D3258">
              <w:rPr>
                <w:sz w:val="18"/>
                <w:szCs w:val="18"/>
              </w:rPr>
              <w:t>证券公司合</w:t>
            </w:r>
            <w:proofErr w:type="gramStart"/>
            <w:r w:rsidRPr="002D3258">
              <w:rPr>
                <w:sz w:val="18"/>
                <w:szCs w:val="18"/>
              </w:rPr>
              <w:t>规</w:t>
            </w:r>
            <w:proofErr w:type="gramEnd"/>
            <w:r w:rsidRPr="002D3258">
              <w:rPr>
                <w:sz w:val="18"/>
                <w:szCs w:val="18"/>
              </w:rPr>
              <w:t>管理有效性评估</w:t>
            </w:r>
          </w:p>
        </w:tc>
        <w:tc>
          <w:tcPr>
            <w:tcW w:w="2063" w:type="pct"/>
            <w:shd w:val="clear" w:color="auto" w:fill="auto"/>
            <w:vAlign w:val="center"/>
            <w:hideMark/>
          </w:tcPr>
          <w:p w14:paraId="6101453F" w14:textId="77777777" w:rsidR="002D3258" w:rsidRPr="002D3258" w:rsidRDefault="002D3258" w:rsidP="002D3258">
            <w:pPr>
              <w:pStyle w:val="13"/>
              <w:spacing w:line="240" w:lineRule="auto"/>
              <w:ind w:firstLineChars="0" w:firstLine="0"/>
              <w:rPr>
                <w:sz w:val="18"/>
                <w:szCs w:val="18"/>
              </w:rPr>
            </w:pPr>
            <w:r w:rsidRPr="002D3258">
              <w:rPr>
                <w:sz w:val="18"/>
                <w:szCs w:val="18"/>
              </w:rPr>
              <w:t>《证券公司合规管理试行规定》（证监会公告〔2008〕30号）</w:t>
            </w:r>
          </w:p>
        </w:tc>
      </w:tr>
      <w:tr w:rsidR="002D3258" w:rsidRPr="002D3258" w14:paraId="75F80AE6" w14:textId="77777777" w:rsidTr="002D3258">
        <w:trPr>
          <w:gridAfter w:val="1"/>
          <w:wAfter w:w="11" w:type="pct"/>
          <w:trHeight w:val="283"/>
        </w:trPr>
        <w:tc>
          <w:tcPr>
            <w:tcW w:w="407" w:type="pct"/>
            <w:shd w:val="clear" w:color="auto" w:fill="auto"/>
            <w:noWrap/>
            <w:vAlign w:val="center"/>
            <w:hideMark/>
          </w:tcPr>
          <w:p w14:paraId="598099F6" w14:textId="77777777" w:rsidR="002D3258" w:rsidRPr="002D3258" w:rsidRDefault="002D3258" w:rsidP="002D3258">
            <w:pPr>
              <w:pStyle w:val="13"/>
              <w:spacing w:line="240" w:lineRule="auto"/>
              <w:ind w:firstLineChars="0" w:firstLine="0"/>
              <w:rPr>
                <w:sz w:val="18"/>
                <w:szCs w:val="18"/>
              </w:rPr>
            </w:pPr>
            <w:r w:rsidRPr="002D3258">
              <w:rPr>
                <w:sz w:val="18"/>
                <w:szCs w:val="18"/>
              </w:rPr>
              <w:t>N104</w:t>
            </w:r>
          </w:p>
        </w:tc>
        <w:tc>
          <w:tcPr>
            <w:tcW w:w="166" w:type="pct"/>
            <w:vMerge/>
            <w:shd w:val="clear" w:color="auto" w:fill="auto"/>
            <w:vAlign w:val="center"/>
            <w:hideMark/>
          </w:tcPr>
          <w:p w14:paraId="359F538D"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3C551241"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6AA0CC6" w14:textId="77777777" w:rsidR="002D3258" w:rsidRPr="002D3258" w:rsidRDefault="002D3258" w:rsidP="002D3258">
            <w:pPr>
              <w:pStyle w:val="13"/>
              <w:spacing w:line="240" w:lineRule="auto"/>
              <w:ind w:firstLineChars="0" w:firstLine="0"/>
              <w:rPr>
                <w:sz w:val="18"/>
                <w:szCs w:val="18"/>
              </w:rPr>
            </w:pPr>
            <w:r w:rsidRPr="002D3258">
              <w:rPr>
                <w:sz w:val="18"/>
                <w:szCs w:val="18"/>
              </w:rPr>
              <w:t>3.1.7</w:t>
            </w:r>
          </w:p>
        </w:tc>
        <w:tc>
          <w:tcPr>
            <w:tcW w:w="1463" w:type="pct"/>
            <w:shd w:val="clear" w:color="auto" w:fill="auto"/>
            <w:noWrap/>
            <w:vAlign w:val="center"/>
            <w:hideMark/>
          </w:tcPr>
          <w:p w14:paraId="64B8D481" w14:textId="77777777" w:rsidR="002D3258" w:rsidRPr="002D3258" w:rsidRDefault="002D3258" w:rsidP="002D3258">
            <w:pPr>
              <w:pStyle w:val="13"/>
              <w:spacing w:line="240" w:lineRule="auto"/>
              <w:ind w:firstLineChars="0" w:firstLine="0"/>
              <w:rPr>
                <w:sz w:val="18"/>
                <w:szCs w:val="18"/>
              </w:rPr>
            </w:pPr>
            <w:r w:rsidRPr="002D3258">
              <w:rPr>
                <w:sz w:val="18"/>
                <w:szCs w:val="18"/>
              </w:rPr>
              <w:t>识别价值驱动因素</w:t>
            </w:r>
          </w:p>
        </w:tc>
        <w:tc>
          <w:tcPr>
            <w:tcW w:w="2063" w:type="pct"/>
            <w:shd w:val="clear" w:color="auto" w:fill="auto"/>
            <w:vAlign w:val="center"/>
            <w:hideMark/>
          </w:tcPr>
          <w:p w14:paraId="21BD4B22"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04166CA1" w14:textId="77777777" w:rsidTr="002D3258">
        <w:trPr>
          <w:gridAfter w:val="1"/>
          <w:wAfter w:w="11" w:type="pct"/>
          <w:trHeight w:val="283"/>
        </w:trPr>
        <w:tc>
          <w:tcPr>
            <w:tcW w:w="407" w:type="pct"/>
            <w:shd w:val="clear" w:color="auto" w:fill="auto"/>
            <w:noWrap/>
            <w:vAlign w:val="center"/>
            <w:hideMark/>
          </w:tcPr>
          <w:p w14:paraId="47C7188F" w14:textId="77777777" w:rsidR="002D3258" w:rsidRPr="002D3258" w:rsidRDefault="002D3258" w:rsidP="002D3258">
            <w:pPr>
              <w:pStyle w:val="13"/>
              <w:spacing w:line="240" w:lineRule="auto"/>
              <w:ind w:firstLineChars="0" w:firstLine="0"/>
              <w:rPr>
                <w:sz w:val="18"/>
                <w:szCs w:val="18"/>
              </w:rPr>
            </w:pPr>
            <w:r w:rsidRPr="002D3258">
              <w:rPr>
                <w:sz w:val="18"/>
                <w:szCs w:val="18"/>
              </w:rPr>
              <w:t>N105</w:t>
            </w:r>
          </w:p>
        </w:tc>
        <w:tc>
          <w:tcPr>
            <w:tcW w:w="166" w:type="pct"/>
            <w:vMerge/>
            <w:shd w:val="clear" w:color="auto" w:fill="auto"/>
            <w:vAlign w:val="center"/>
            <w:hideMark/>
          </w:tcPr>
          <w:p w14:paraId="3C05FB4B"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C8641D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597B309" w14:textId="77777777" w:rsidR="002D3258" w:rsidRPr="002D3258" w:rsidRDefault="002D3258" w:rsidP="002D3258">
            <w:pPr>
              <w:pStyle w:val="13"/>
              <w:spacing w:line="240" w:lineRule="auto"/>
              <w:ind w:firstLineChars="0" w:firstLine="0"/>
              <w:rPr>
                <w:sz w:val="18"/>
                <w:szCs w:val="18"/>
              </w:rPr>
            </w:pPr>
            <w:r w:rsidRPr="002D3258">
              <w:rPr>
                <w:sz w:val="18"/>
                <w:szCs w:val="18"/>
              </w:rPr>
              <w:t>3.1.8</w:t>
            </w:r>
          </w:p>
        </w:tc>
        <w:tc>
          <w:tcPr>
            <w:tcW w:w="1463" w:type="pct"/>
            <w:shd w:val="clear" w:color="auto" w:fill="auto"/>
            <w:noWrap/>
            <w:vAlign w:val="center"/>
            <w:hideMark/>
          </w:tcPr>
          <w:p w14:paraId="37BC3E61" w14:textId="77777777" w:rsidR="002D3258" w:rsidRPr="002D3258" w:rsidRDefault="002D3258" w:rsidP="002D3258">
            <w:pPr>
              <w:pStyle w:val="13"/>
              <w:spacing w:line="240" w:lineRule="auto"/>
              <w:ind w:firstLineChars="0" w:firstLine="0"/>
              <w:rPr>
                <w:sz w:val="18"/>
                <w:szCs w:val="18"/>
              </w:rPr>
            </w:pPr>
            <w:r w:rsidRPr="002D3258">
              <w:rPr>
                <w:sz w:val="18"/>
                <w:szCs w:val="18"/>
              </w:rPr>
              <w:t>资产配置研究</w:t>
            </w:r>
          </w:p>
        </w:tc>
        <w:tc>
          <w:tcPr>
            <w:tcW w:w="2063" w:type="pct"/>
            <w:shd w:val="clear" w:color="auto" w:fill="auto"/>
            <w:vAlign w:val="center"/>
            <w:hideMark/>
          </w:tcPr>
          <w:p w14:paraId="4BB1EE79"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503B8F19" w14:textId="77777777" w:rsidTr="002D3258">
        <w:trPr>
          <w:gridAfter w:val="1"/>
          <w:wAfter w:w="11" w:type="pct"/>
          <w:trHeight w:val="283"/>
        </w:trPr>
        <w:tc>
          <w:tcPr>
            <w:tcW w:w="407" w:type="pct"/>
            <w:shd w:val="clear" w:color="auto" w:fill="auto"/>
            <w:noWrap/>
            <w:vAlign w:val="center"/>
            <w:hideMark/>
          </w:tcPr>
          <w:p w14:paraId="6B5219B4" w14:textId="77777777" w:rsidR="002D3258" w:rsidRPr="002D3258" w:rsidRDefault="002D3258" w:rsidP="002D3258">
            <w:pPr>
              <w:pStyle w:val="13"/>
              <w:spacing w:line="240" w:lineRule="auto"/>
              <w:ind w:firstLineChars="0" w:firstLine="0"/>
              <w:rPr>
                <w:sz w:val="18"/>
                <w:szCs w:val="18"/>
              </w:rPr>
            </w:pPr>
            <w:r w:rsidRPr="002D3258">
              <w:rPr>
                <w:sz w:val="18"/>
                <w:szCs w:val="18"/>
              </w:rPr>
              <w:t>N106</w:t>
            </w:r>
          </w:p>
        </w:tc>
        <w:tc>
          <w:tcPr>
            <w:tcW w:w="166" w:type="pct"/>
            <w:vMerge/>
            <w:shd w:val="clear" w:color="auto" w:fill="auto"/>
            <w:vAlign w:val="center"/>
            <w:hideMark/>
          </w:tcPr>
          <w:p w14:paraId="47B0F797"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B173697"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74963DC8" w14:textId="77777777" w:rsidR="002D3258" w:rsidRPr="002D3258" w:rsidRDefault="002D3258" w:rsidP="002D3258">
            <w:pPr>
              <w:pStyle w:val="13"/>
              <w:spacing w:line="240" w:lineRule="auto"/>
              <w:ind w:firstLineChars="0" w:firstLine="0"/>
              <w:rPr>
                <w:sz w:val="18"/>
                <w:szCs w:val="18"/>
              </w:rPr>
            </w:pPr>
            <w:r w:rsidRPr="002D3258">
              <w:rPr>
                <w:sz w:val="18"/>
                <w:szCs w:val="18"/>
              </w:rPr>
              <w:t>3.1.9</w:t>
            </w:r>
          </w:p>
        </w:tc>
        <w:tc>
          <w:tcPr>
            <w:tcW w:w="1463" w:type="pct"/>
            <w:shd w:val="clear" w:color="auto" w:fill="auto"/>
            <w:noWrap/>
            <w:vAlign w:val="center"/>
            <w:hideMark/>
          </w:tcPr>
          <w:p w14:paraId="42CD1678" w14:textId="77777777" w:rsidR="002D3258" w:rsidRPr="002D3258" w:rsidRDefault="002D3258" w:rsidP="002D3258">
            <w:pPr>
              <w:pStyle w:val="13"/>
              <w:spacing w:line="240" w:lineRule="auto"/>
              <w:ind w:firstLineChars="0" w:firstLine="0"/>
              <w:rPr>
                <w:sz w:val="18"/>
                <w:szCs w:val="18"/>
              </w:rPr>
            </w:pPr>
            <w:r w:rsidRPr="002D3258">
              <w:rPr>
                <w:sz w:val="18"/>
                <w:szCs w:val="18"/>
              </w:rPr>
              <w:t>投资前的尽职调查</w:t>
            </w:r>
          </w:p>
        </w:tc>
        <w:tc>
          <w:tcPr>
            <w:tcW w:w="2063" w:type="pct"/>
            <w:shd w:val="clear" w:color="auto" w:fill="auto"/>
            <w:vAlign w:val="center"/>
            <w:hideMark/>
          </w:tcPr>
          <w:p w14:paraId="50E3DA53"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3BB4DA81" w14:textId="77777777" w:rsidTr="002D3258">
        <w:trPr>
          <w:gridAfter w:val="1"/>
          <w:wAfter w:w="11" w:type="pct"/>
          <w:trHeight w:val="283"/>
        </w:trPr>
        <w:tc>
          <w:tcPr>
            <w:tcW w:w="407" w:type="pct"/>
            <w:shd w:val="clear" w:color="auto" w:fill="auto"/>
            <w:noWrap/>
            <w:vAlign w:val="center"/>
            <w:hideMark/>
          </w:tcPr>
          <w:p w14:paraId="17ED8FF8" w14:textId="77777777" w:rsidR="002D3258" w:rsidRPr="002D3258" w:rsidRDefault="002D3258" w:rsidP="002D3258">
            <w:pPr>
              <w:pStyle w:val="13"/>
              <w:spacing w:line="240" w:lineRule="auto"/>
              <w:ind w:firstLineChars="0" w:firstLine="0"/>
              <w:rPr>
                <w:sz w:val="18"/>
                <w:szCs w:val="18"/>
              </w:rPr>
            </w:pPr>
            <w:r w:rsidRPr="002D3258">
              <w:rPr>
                <w:sz w:val="18"/>
                <w:szCs w:val="18"/>
              </w:rPr>
              <w:t>N107</w:t>
            </w:r>
          </w:p>
        </w:tc>
        <w:tc>
          <w:tcPr>
            <w:tcW w:w="166" w:type="pct"/>
            <w:vMerge/>
            <w:shd w:val="clear" w:color="auto" w:fill="auto"/>
            <w:vAlign w:val="center"/>
            <w:hideMark/>
          </w:tcPr>
          <w:p w14:paraId="0FB8E76D"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392FB44"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78BE4228" w14:textId="77777777" w:rsidR="002D3258" w:rsidRPr="002D3258" w:rsidRDefault="002D3258" w:rsidP="002D3258">
            <w:pPr>
              <w:pStyle w:val="13"/>
              <w:spacing w:line="240" w:lineRule="auto"/>
              <w:ind w:firstLineChars="0" w:firstLine="0"/>
              <w:rPr>
                <w:sz w:val="18"/>
                <w:szCs w:val="18"/>
              </w:rPr>
            </w:pPr>
            <w:r w:rsidRPr="002D3258">
              <w:rPr>
                <w:sz w:val="18"/>
                <w:szCs w:val="18"/>
              </w:rPr>
              <w:t>3.1.10</w:t>
            </w:r>
          </w:p>
        </w:tc>
        <w:tc>
          <w:tcPr>
            <w:tcW w:w="1463" w:type="pct"/>
            <w:shd w:val="clear" w:color="auto" w:fill="auto"/>
            <w:noWrap/>
            <w:vAlign w:val="center"/>
            <w:hideMark/>
          </w:tcPr>
          <w:p w14:paraId="35FCEC4C" w14:textId="77777777" w:rsidR="002D3258" w:rsidRPr="002D3258" w:rsidRDefault="002D3258" w:rsidP="002D3258">
            <w:pPr>
              <w:pStyle w:val="13"/>
              <w:spacing w:line="240" w:lineRule="auto"/>
              <w:ind w:firstLineChars="0" w:firstLine="0"/>
              <w:rPr>
                <w:sz w:val="18"/>
                <w:szCs w:val="18"/>
              </w:rPr>
            </w:pPr>
            <w:r w:rsidRPr="002D3258">
              <w:rPr>
                <w:sz w:val="18"/>
                <w:szCs w:val="18"/>
              </w:rPr>
              <w:t>投资后的评价管理</w:t>
            </w:r>
          </w:p>
        </w:tc>
        <w:tc>
          <w:tcPr>
            <w:tcW w:w="2063" w:type="pct"/>
            <w:shd w:val="clear" w:color="auto" w:fill="auto"/>
            <w:vAlign w:val="center"/>
            <w:hideMark/>
          </w:tcPr>
          <w:p w14:paraId="4301EB83"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2F409739" w14:textId="77777777" w:rsidTr="002D3258">
        <w:trPr>
          <w:gridAfter w:val="1"/>
          <w:wAfter w:w="11" w:type="pct"/>
          <w:trHeight w:val="283"/>
        </w:trPr>
        <w:tc>
          <w:tcPr>
            <w:tcW w:w="407" w:type="pct"/>
            <w:shd w:val="clear" w:color="auto" w:fill="auto"/>
            <w:noWrap/>
            <w:vAlign w:val="center"/>
            <w:hideMark/>
          </w:tcPr>
          <w:p w14:paraId="242F5F81" w14:textId="77777777" w:rsidR="002D3258" w:rsidRPr="002D3258" w:rsidRDefault="002D3258" w:rsidP="002D3258">
            <w:pPr>
              <w:pStyle w:val="13"/>
              <w:spacing w:line="240" w:lineRule="auto"/>
              <w:ind w:firstLineChars="0" w:firstLine="0"/>
              <w:rPr>
                <w:sz w:val="18"/>
                <w:szCs w:val="18"/>
              </w:rPr>
            </w:pPr>
            <w:r w:rsidRPr="002D3258">
              <w:rPr>
                <w:sz w:val="18"/>
                <w:szCs w:val="18"/>
              </w:rPr>
              <w:t>108</w:t>
            </w:r>
          </w:p>
        </w:tc>
        <w:tc>
          <w:tcPr>
            <w:tcW w:w="166" w:type="pct"/>
            <w:vMerge/>
            <w:shd w:val="clear" w:color="auto" w:fill="auto"/>
            <w:vAlign w:val="center"/>
            <w:hideMark/>
          </w:tcPr>
          <w:p w14:paraId="486FAD22"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F51BFF3"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7E3DBBDE" w14:textId="77777777" w:rsidR="002D3258" w:rsidRPr="002D3258" w:rsidRDefault="002D3258" w:rsidP="002D3258">
            <w:pPr>
              <w:pStyle w:val="13"/>
              <w:spacing w:line="240" w:lineRule="auto"/>
              <w:ind w:firstLineChars="0" w:firstLine="0"/>
              <w:rPr>
                <w:sz w:val="18"/>
                <w:szCs w:val="18"/>
              </w:rPr>
            </w:pPr>
            <w:r w:rsidRPr="002D3258">
              <w:rPr>
                <w:sz w:val="18"/>
                <w:szCs w:val="18"/>
              </w:rPr>
              <w:t>3.1.11</w:t>
            </w:r>
          </w:p>
        </w:tc>
        <w:tc>
          <w:tcPr>
            <w:tcW w:w="1463" w:type="pct"/>
            <w:shd w:val="clear" w:color="auto" w:fill="auto"/>
            <w:noWrap/>
            <w:vAlign w:val="center"/>
            <w:hideMark/>
          </w:tcPr>
          <w:p w14:paraId="215D37C0" w14:textId="77777777" w:rsidR="002D3258" w:rsidRPr="002D3258" w:rsidRDefault="002D3258" w:rsidP="002D3258">
            <w:pPr>
              <w:pStyle w:val="13"/>
              <w:spacing w:line="240" w:lineRule="auto"/>
              <w:ind w:firstLineChars="0" w:firstLine="0"/>
              <w:rPr>
                <w:sz w:val="18"/>
                <w:szCs w:val="18"/>
              </w:rPr>
            </w:pPr>
            <w:r w:rsidRPr="002D3258">
              <w:rPr>
                <w:sz w:val="18"/>
                <w:szCs w:val="18"/>
              </w:rPr>
              <w:t>资产管理</w:t>
            </w:r>
          </w:p>
        </w:tc>
        <w:tc>
          <w:tcPr>
            <w:tcW w:w="2063" w:type="pct"/>
            <w:shd w:val="clear" w:color="auto" w:fill="auto"/>
            <w:vAlign w:val="center"/>
            <w:hideMark/>
          </w:tcPr>
          <w:p w14:paraId="10307D38"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584A84A4" w14:textId="77777777" w:rsidTr="002D3258">
        <w:trPr>
          <w:gridAfter w:val="1"/>
          <w:wAfter w:w="11" w:type="pct"/>
          <w:trHeight w:val="283"/>
        </w:trPr>
        <w:tc>
          <w:tcPr>
            <w:tcW w:w="407" w:type="pct"/>
            <w:shd w:val="clear" w:color="auto" w:fill="auto"/>
            <w:noWrap/>
            <w:vAlign w:val="center"/>
            <w:hideMark/>
          </w:tcPr>
          <w:p w14:paraId="5BF6434B" w14:textId="77777777" w:rsidR="002D3258" w:rsidRPr="002D3258" w:rsidRDefault="002D3258" w:rsidP="002D3258">
            <w:pPr>
              <w:pStyle w:val="13"/>
              <w:spacing w:line="240" w:lineRule="auto"/>
              <w:ind w:firstLineChars="0" w:firstLine="0"/>
              <w:rPr>
                <w:sz w:val="18"/>
                <w:szCs w:val="18"/>
              </w:rPr>
            </w:pPr>
            <w:r w:rsidRPr="002D3258">
              <w:rPr>
                <w:sz w:val="18"/>
                <w:szCs w:val="18"/>
              </w:rPr>
              <w:t>109</w:t>
            </w:r>
          </w:p>
        </w:tc>
        <w:tc>
          <w:tcPr>
            <w:tcW w:w="166" w:type="pct"/>
            <w:vMerge/>
            <w:shd w:val="clear" w:color="auto" w:fill="auto"/>
            <w:vAlign w:val="center"/>
            <w:hideMark/>
          </w:tcPr>
          <w:p w14:paraId="11806911"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64B7C55"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8ED837A" w14:textId="77777777" w:rsidR="002D3258" w:rsidRPr="002D3258" w:rsidRDefault="002D3258" w:rsidP="002D3258">
            <w:pPr>
              <w:pStyle w:val="13"/>
              <w:spacing w:line="240" w:lineRule="auto"/>
              <w:ind w:firstLineChars="0" w:firstLine="0"/>
              <w:rPr>
                <w:sz w:val="18"/>
                <w:szCs w:val="18"/>
              </w:rPr>
            </w:pPr>
            <w:r w:rsidRPr="002D3258">
              <w:rPr>
                <w:sz w:val="18"/>
                <w:szCs w:val="18"/>
              </w:rPr>
              <w:t>3.1.12</w:t>
            </w:r>
          </w:p>
        </w:tc>
        <w:tc>
          <w:tcPr>
            <w:tcW w:w="1463" w:type="pct"/>
            <w:shd w:val="clear" w:color="auto" w:fill="auto"/>
            <w:noWrap/>
            <w:vAlign w:val="center"/>
            <w:hideMark/>
          </w:tcPr>
          <w:p w14:paraId="6AD99471" w14:textId="77777777" w:rsidR="002D3258" w:rsidRPr="002D3258" w:rsidRDefault="002D3258" w:rsidP="002D3258">
            <w:pPr>
              <w:pStyle w:val="13"/>
              <w:spacing w:line="240" w:lineRule="auto"/>
              <w:ind w:firstLineChars="0" w:firstLine="0"/>
              <w:rPr>
                <w:sz w:val="18"/>
                <w:szCs w:val="18"/>
              </w:rPr>
            </w:pPr>
            <w:r w:rsidRPr="002D3258">
              <w:rPr>
                <w:sz w:val="18"/>
                <w:szCs w:val="18"/>
              </w:rPr>
              <w:t>人力资源管理咨询</w:t>
            </w:r>
          </w:p>
        </w:tc>
        <w:tc>
          <w:tcPr>
            <w:tcW w:w="2063" w:type="pct"/>
            <w:shd w:val="clear" w:color="auto" w:fill="auto"/>
            <w:vAlign w:val="center"/>
            <w:hideMark/>
          </w:tcPr>
          <w:p w14:paraId="3820AAF0"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722BB4BE" w14:textId="77777777" w:rsidTr="002D3258">
        <w:trPr>
          <w:gridAfter w:val="1"/>
          <w:wAfter w:w="11" w:type="pct"/>
          <w:trHeight w:val="283"/>
        </w:trPr>
        <w:tc>
          <w:tcPr>
            <w:tcW w:w="407" w:type="pct"/>
            <w:shd w:val="clear" w:color="auto" w:fill="auto"/>
            <w:noWrap/>
            <w:vAlign w:val="center"/>
            <w:hideMark/>
          </w:tcPr>
          <w:p w14:paraId="3DCF5E0C" w14:textId="77777777" w:rsidR="002D3258" w:rsidRPr="002D3258" w:rsidRDefault="002D3258" w:rsidP="002D3258">
            <w:pPr>
              <w:pStyle w:val="13"/>
              <w:spacing w:line="240" w:lineRule="auto"/>
              <w:ind w:firstLineChars="0" w:firstLine="0"/>
              <w:rPr>
                <w:sz w:val="18"/>
                <w:szCs w:val="18"/>
              </w:rPr>
            </w:pPr>
            <w:r w:rsidRPr="002D3258">
              <w:rPr>
                <w:sz w:val="18"/>
                <w:szCs w:val="18"/>
              </w:rPr>
              <w:t>110</w:t>
            </w:r>
          </w:p>
        </w:tc>
        <w:tc>
          <w:tcPr>
            <w:tcW w:w="166" w:type="pct"/>
            <w:vMerge/>
            <w:shd w:val="clear" w:color="auto" w:fill="auto"/>
            <w:vAlign w:val="center"/>
            <w:hideMark/>
          </w:tcPr>
          <w:p w14:paraId="5757BD5D"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C086BCE"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A1CA191" w14:textId="77777777" w:rsidR="002D3258" w:rsidRPr="002D3258" w:rsidRDefault="002D3258" w:rsidP="002D3258">
            <w:pPr>
              <w:pStyle w:val="13"/>
              <w:spacing w:line="240" w:lineRule="auto"/>
              <w:ind w:firstLineChars="0" w:firstLine="0"/>
              <w:rPr>
                <w:sz w:val="18"/>
                <w:szCs w:val="18"/>
              </w:rPr>
            </w:pPr>
            <w:r w:rsidRPr="002D3258">
              <w:rPr>
                <w:sz w:val="18"/>
                <w:szCs w:val="18"/>
              </w:rPr>
              <w:t>3.1.13</w:t>
            </w:r>
          </w:p>
        </w:tc>
        <w:tc>
          <w:tcPr>
            <w:tcW w:w="1463" w:type="pct"/>
            <w:shd w:val="clear" w:color="auto" w:fill="auto"/>
            <w:noWrap/>
            <w:vAlign w:val="center"/>
            <w:hideMark/>
          </w:tcPr>
          <w:p w14:paraId="476F0873" w14:textId="77777777" w:rsidR="002D3258" w:rsidRPr="002D3258" w:rsidRDefault="002D3258" w:rsidP="002D3258">
            <w:pPr>
              <w:pStyle w:val="13"/>
              <w:spacing w:line="240" w:lineRule="auto"/>
              <w:ind w:firstLineChars="0" w:firstLine="0"/>
              <w:rPr>
                <w:sz w:val="18"/>
                <w:szCs w:val="18"/>
              </w:rPr>
            </w:pPr>
            <w:r w:rsidRPr="002D3258">
              <w:rPr>
                <w:sz w:val="18"/>
                <w:szCs w:val="18"/>
              </w:rPr>
              <w:t>激励约束机制设计及评价</w:t>
            </w:r>
          </w:p>
        </w:tc>
        <w:tc>
          <w:tcPr>
            <w:tcW w:w="2063" w:type="pct"/>
            <w:shd w:val="clear" w:color="auto" w:fill="auto"/>
            <w:vAlign w:val="center"/>
            <w:hideMark/>
          </w:tcPr>
          <w:p w14:paraId="09A3F647"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1EEEDF97" w14:textId="77777777" w:rsidTr="002D3258">
        <w:trPr>
          <w:gridAfter w:val="1"/>
          <w:wAfter w:w="11" w:type="pct"/>
          <w:trHeight w:val="283"/>
        </w:trPr>
        <w:tc>
          <w:tcPr>
            <w:tcW w:w="407" w:type="pct"/>
            <w:shd w:val="clear" w:color="auto" w:fill="auto"/>
            <w:noWrap/>
            <w:vAlign w:val="center"/>
            <w:hideMark/>
          </w:tcPr>
          <w:p w14:paraId="11C1CAA6" w14:textId="77777777" w:rsidR="002D3258" w:rsidRPr="002D3258" w:rsidRDefault="002D3258" w:rsidP="002D3258">
            <w:pPr>
              <w:pStyle w:val="13"/>
              <w:spacing w:line="240" w:lineRule="auto"/>
              <w:ind w:firstLineChars="0" w:firstLine="0"/>
              <w:rPr>
                <w:sz w:val="18"/>
                <w:szCs w:val="18"/>
              </w:rPr>
            </w:pPr>
            <w:r w:rsidRPr="002D3258">
              <w:rPr>
                <w:sz w:val="18"/>
                <w:szCs w:val="18"/>
              </w:rPr>
              <w:t>111</w:t>
            </w:r>
          </w:p>
        </w:tc>
        <w:tc>
          <w:tcPr>
            <w:tcW w:w="166" w:type="pct"/>
            <w:vMerge/>
            <w:shd w:val="clear" w:color="auto" w:fill="auto"/>
            <w:vAlign w:val="center"/>
            <w:hideMark/>
          </w:tcPr>
          <w:p w14:paraId="5287EBE4"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3715C66"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6EF29556" w14:textId="77777777" w:rsidR="002D3258" w:rsidRPr="002D3258" w:rsidRDefault="002D3258" w:rsidP="002D3258">
            <w:pPr>
              <w:pStyle w:val="13"/>
              <w:spacing w:line="240" w:lineRule="auto"/>
              <w:ind w:firstLineChars="0" w:firstLine="0"/>
              <w:rPr>
                <w:sz w:val="18"/>
                <w:szCs w:val="18"/>
              </w:rPr>
            </w:pPr>
            <w:r w:rsidRPr="002D3258">
              <w:rPr>
                <w:sz w:val="18"/>
                <w:szCs w:val="18"/>
              </w:rPr>
              <w:t>3.1.14</w:t>
            </w:r>
          </w:p>
        </w:tc>
        <w:tc>
          <w:tcPr>
            <w:tcW w:w="1463" w:type="pct"/>
            <w:shd w:val="clear" w:color="auto" w:fill="auto"/>
            <w:noWrap/>
            <w:vAlign w:val="center"/>
            <w:hideMark/>
          </w:tcPr>
          <w:p w14:paraId="6B57EDBD" w14:textId="77777777" w:rsidR="002D3258" w:rsidRPr="002D3258" w:rsidRDefault="002D3258" w:rsidP="002D3258">
            <w:pPr>
              <w:pStyle w:val="13"/>
              <w:spacing w:line="240" w:lineRule="auto"/>
              <w:ind w:firstLineChars="0" w:firstLine="0"/>
              <w:rPr>
                <w:sz w:val="18"/>
                <w:szCs w:val="18"/>
              </w:rPr>
            </w:pPr>
            <w:r w:rsidRPr="002D3258">
              <w:rPr>
                <w:sz w:val="18"/>
                <w:szCs w:val="18"/>
              </w:rPr>
              <w:t>流程重构/重整</w:t>
            </w:r>
          </w:p>
        </w:tc>
        <w:tc>
          <w:tcPr>
            <w:tcW w:w="2063" w:type="pct"/>
            <w:shd w:val="clear" w:color="auto" w:fill="auto"/>
            <w:vAlign w:val="center"/>
            <w:hideMark/>
          </w:tcPr>
          <w:p w14:paraId="27486246"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1D0AD937" w14:textId="77777777" w:rsidTr="002D3258">
        <w:trPr>
          <w:gridAfter w:val="1"/>
          <w:wAfter w:w="11" w:type="pct"/>
          <w:trHeight w:val="283"/>
        </w:trPr>
        <w:tc>
          <w:tcPr>
            <w:tcW w:w="407" w:type="pct"/>
            <w:shd w:val="clear" w:color="auto" w:fill="auto"/>
            <w:noWrap/>
            <w:vAlign w:val="center"/>
            <w:hideMark/>
          </w:tcPr>
          <w:p w14:paraId="4D045442" w14:textId="77777777" w:rsidR="002D3258" w:rsidRPr="002D3258" w:rsidRDefault="002D3258" w:rsidP="002D3258">
            <w:pPr>
              <w:pStyle w:val="13"/>
              <w:spacing w:line="240" w:lineRule="auto"/>
              <w:ind w:firstLineChars="0" w:firstLine="0"/>
              <w:rPr>
                <w:sz w:val="18"/>
                <w:szCs w:val="18"/>
              </w:rPr>
            </w:pPr>
            <w:r w:rsidRPr="002D3258">
              <w:rPr>
                <w:sz w:val="18"/>
                <w:szCs w:val="18"/>
              </w:rPr>
              <w:t>112</w:t>
            </w:r>
          </w:p>
        </w:tc>
        <w:tc>
          <w:tcPr>
            <w:tcW w:w="166" w:type="pct"/>
            <w:vMerge/>
            <w:shd w:val="clear" w:color="auto" w:fill="auto"/>
            <w:vAlign w:val="center"/>
            <w:hideMark/>
          </w:tcPr>
          <w:p w14:paraId="3A214EDB"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ADAEA19"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B537FF3" w14:textId="77777777" w:rsidR="002D3258" w:rsidRPr="002D3258" w:rsidRDefault="002D3258" w:rsidP="002D3258">
            <w:pPr>
              <w:pStyle w:val="13"/>
              <w:spacing w:line="240" w:lineRule="auto"/>
              <w:ind w:firstLineChars="0" w:firstLine="0"/>
              <w:rPr>
                <w:sz w:val="18"/>
                <w:szCs w:val="18"/>
              </w:rPr>
            </w:pPr>
            <w:r w:rsidRPr="002D3258">
              <w:rPr>
                <w:sz w:val="18"/>
                <w:szCs w:val="18"/>
              </w:rPr>
              <w:t>3.1.15</w:t>
            </w:r>
          </w:p>
        </w:tc>
        <w:tc>
          <w:tcPr>
            <w:tcW w:w="1463" w:type="pct"/>
            <w:shd w:val="clear" w:color="auto" w:fill="auto"/>
            <w:noWrap/>
            <w:vAlign w:val="center"/>
            <w:hideMark/>
          </w:tcPr>
          <w:p w14:paraId="3D604FF7" w14:textId="77777777" w:rsidR="002D3258" w:rsidRPr="002D3258" w:rsidRDefault="002D3258" w:rsidP="002D3258">
            <w:pPr>
              <w:pStyle w:val="13"/>
              <w:spacing w:line="240" w:lineRule="auto"/>
              <w:ind w:firstLineChars="0" w:firstLine="0"/>
              <w:rPr>
                <w:sz w:val="18"/>
                <w:szCs w:val="18"/>
              </w:rPr>
            </w:pPr>
            <w:r w:rsidRPr="002D3258">
              <w:rPr>
                <w:sz w:val="18"/>
                <w:szCs w:val="18"/>
              </w:rPr>
              <w:t>风险管理</w:t>
            </w:r>
          </w:p>
        </w:tc>
        <w:tc>
          <w:tcPr>
            <w:tcW w:w="2063" w:type="pct"/>
            <w:shd w:val="clear" w:color="auto" w:fill="auto"/>
            <w:vAlign w:val="center"/>
            <w:hideMark/>
          </w:tcPr>
          <w:p w14:paraId="32E88388"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0DE6AF6D" w14:textId="77777777" w:rsidTr="002D3258">
        <w:trPr>
          <w:gridAfter w:val="1"/>
          <w:wAfter w:w="11" w:type="pct"/>
          <w:trHeight w:val="283"/>
        </w:trPr>
        <w:tc>
          <w:tcPr>
            <w:tcW w:w="407" w:type="pct"/>
            <w:shd w:val="clear" w:color="auto" w:fill="auto"/>
            <w:noWrap/>
            <w:vAlign w:val="center"/>
            <w:hideMark/>
          </w:tcPr>
          <w:p w14:paraId="443BE088" w14:textId="77777777" w:rsidR="002D3258" w:rsidRPr="002D3258" w:rsidRDefault="002D3258" w:rsidP="002D3258">
            <w:pPr>
              <w:pStyle w:val="13"/>
              <w:spacing w:line="240" w:lineRule="auto"/>
              <w:ind w:firstLineChars="0" w:firstLine="0"/>
              <w:rPr>
                <w:sz w:val="18"/>
                <w:szCs w:val="18"/>
              </w:rPr>
            </w:pPr>
            <w:r w:rsidRPr="002D3258">
              <w:rPr>
                <w:sz w:val="18"/>
                <w:szCs w:val="18"/>
              </w:rPr>
              <w:t>113</w:t>
            </w:r>
          </w:p>
        </w:tc>
        <w:tc>
          <w:tcPr>
            <w:tcW w:w="166" w:type="pct"/>
            <w:vMerge/>
            <w:shd w:val="clear" w:color="auto" w:fill="auto"/>
            <w:vAlign w:val="center"/>
            <w:hideMark/>
          </w:tcPr>
          <w:p w14:paraId="48219B2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C4AB1B0"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688F8A72" w14:textId="77777777" w:rsidR="002D3258" w:rsidRPr="002D3258" w:rsidRDefault="002D3258" w:rsidP="002D3258">
            <w:pPr>
              <w:pStyle w:val="13"/>
              <w:spacing w:line="240" w:lineRule="auto"/>
              <w:ind w:firstLineChars="0" w:firstLine="0"/>
              <w:rPr>
                <w:sz w:val="18"/>
                <w:szCs w:val="18"/>
              </w:rPr>
            </w:pPr>
            <w:r w:rsidRPr="002D3258">
              <w:rPr>
                <w:sz w:val="18"/>
                <w:szCs w:val="18"/>
              </w:rPr>
              <w:t>3.1.16</w:t>
            </w:r>
          </w:p>
        </w:tc>
        <w:tc>
          <w:tcPr>
            <w:tcW w:w="1463" w:type="pct"/>
            <w:shd w:val="clear" w:color="auto" w:fill="auto"/>
            <w:noWrap/>
            <w:vAlign w:val="center"/>
            <w:hideMark/>
          </w:tcPr>
          <w:p w14:paraId="65BF2BA0" w14:textId="77777777" w:rsidR="002D3258" w:rsidRPr="002D3258" w:rsidRDefault="002D3258" w:rsidP="002D3258">
            <w:pPr>
              <w:pStyle w:val="13"/>
              <w:spacing w:line="240" w:lineRule="auto"/>
              <w:ind w:firstLineChars="0" w:firstLine="0"/>
              <w:rPr>
                <w:sz w:val="18"/>
                <w:szCs w:val="18"/>
              </w:rPr>
            </w:pPr>
            <w:r w:rsidRPr="002D3258">
              <w:rPr>
                <w:sz w:val="18"/>
                <w:szCs w:val="18"/>
              </w:rPr>
              <w:t>价值管理</w:t>
            </w:r>
          </w:p>
        </w:tc>
        <w:tc>
          <w:tcPr>
            <w:tcW w:w="2063" w:type="pct"/>
            <w:shd w:val="clear" w:color="auto" w:fill="auto"/>
            <w:vAlign w:val="center"/>
            <w:hideMark/>
          </w:tcPr>
          <w:p w14:paraId="71F98EC2"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3F8140EA" w14:textId="77777777" w:rsidTr="002D3258">
        <w:trPr>
          <w:gridAfter w:val="1"/>
          <w:wAfter w:w="11" w:type="pct"/>
          <w:trHeight w:val="283"/>
        </w:trPr>
        <w:tc>
          <w:tcPr>
            <w:tcW w:w="407" w:type="pct"/>
            <w:shd w:val="clear" w:color="auto" w:fill="auto"/>
            <w:noWrap/>
            <w:vAlign w:val="center"/>
            <w:hideMark/>
          </w:tcPr>
          <w:p w14:paraId="65E4A151" w14:textId="77777777" w:rsidR="002D3258" w:rsidRPr="002D3258" w:rsidRDefault="002D3258" w:rsidP="002D3258">
            <w:pPr>
              <w:pStyle w:val="13"/>
              <w:spacing w:line="240" w:lineRule="auto"/>
              <w:ind w:firstLineChars="0" w:firstLine="0"/>
              <w:rPr>
                <w:sz w:val="18"/>
                <w:szCs w:val="18"/>
              </w:rPr>
            </w:pPr>
            <w:r w:rsidRPr="002D3258">
              <w:rPr>
                <w:sz w:val="18"/>
                <w:szCs w:val="18"/>
              </w:rPr>
              <w:t>114</w:t>
            </w:r>
          </w:p>
        </w:tc>
        <w:tc>
          <w:tcPr>
            <w:tcW w:w="166" w:type="pct"/>
            <w:vMerge/>
            <w:shd w:val="clear" w:color="auto" w:fill="auto"/>
            <w:vAlign w:val="center"/>
            <w:hideMark/>
          </w:tcPr>
          <w:p w14:paraId="0F0D8D86"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5FB1324"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C1A0E2A" w14:textId="77777777" w:rsidR="002D3258" w:rsidRPr="002D3258" w:rsidRDefault="002D3258" w:rsidP="002D3258">
            <w:pPr>
              <w:pStyle w:val="13"/>
              <w:spacing w:line="240" w:lineRule="auto"/>
              <w:ind w:firstLineChars="0" w:firstLine="0"/>
              <w:rPr>
                <w:sz w:val="18"/>
                <w:szCs w:val="18"/>
              </w:rPr>
            </w:pPr>
            <w:r w:rsidRPr="002D3258">
              <w:rPr>
                <w:sz w:val="18"/>
                <w:szCs w:val="18"/>
              </w:rPr>
              <w:t>3.1.17</w:t>
            </w:r>
          </w:p>
        </w:tc>
        <w:tc>
          <w:tcPr>
            <w:tcW w:w="1463" w:type="pct"/>
            <w:shd w:val="clear" w:color="auto" w:fill="auto"/>
            <w:noWrap/>
            <w:vAlign w:val="center"/>
            <w:hideMark/>
          </w:tcPr>
          <w:p w14:paraId="6E9E4309" w14:textId="77777777" w:rsidR="002D3258" w:rsidRPr="002D3258" w:rsidRDefault="002D3258" w:rsidP="002D3258">
            <w:pPr>
              <w:pStyle w:val="13"/>
              <w:spacing w:line="240" w:lineRule="auto"/>
              <w:ind w:firstLineChars="0" w:firstLine="0"/>
              <w:rPr>
                <w:sz w:val="18"/>
                <w:szCs w:val="18"/>
              </w:rPr>
            </w:pPr>
            <w:r w:rsidRPr="002D3258">
              <w:rPr>
                <w:sz w:val="18"/>
                <w:szCs w:val="18"/>
              </w:rPr>
              <w:t>战略管理</w:t>
            </w:r>
          </w:p>
        </w:tc>
        <w:tc>
          <w:tcPr>
            <w:tcW w:w="2063" w:type="pct"/>
            <w:shd w:val="clear" w:color="auto" w:fill="auto"/>
            <w:vAlign w:val="center"/>
            <w:hideMark/>
          </w:tcPr>
          <w:p w14:paraId="487EB20C"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59941C2A" w14:textId="77777777" w:rsidTr="002D3258">
        <w:trPr>
          <w:gridAfter w:val="1"/>
          <w:wAfter w:w="11" w:type="pct"/>
          <w:trHeight w:val="283"/>
        </w:trPr>
        <w:tc>
          <w:tcPr>
            <w:tcW w:w="407" w:type="pct"/>
            <w:shd w:val="clear" w:color="auto" w:fill="auto"/>
            <w:noWrap/>
            <w:vAlign w:val="center"/>
            <w:hideMark/>
          </w:tcPr>
          <w:p w14:paraId="5CA42095" w14:textId="77777777" w:rsidR="002D3258" w:rsidRPr="002D3258" w:rsidRDefault="002D3258" w:rsidP="002D3258">
            <w:pPr>
              <w:pStyle w:val="13"/>
              <w:spacing w:line="240" w:lineRule="auto"/>
              <w:ind w:firstLineChars="0" w:firstLine="0"/>
              <w:rPr>
                <w:sz w:val="18"/>
                <w:szCs w:val="18"/>
              </w:rPr>
            </w:pPr>
            <w:r w:rsidRPr="002D3258">
              <w:rPr>
                <w:sz w:val="18"/>
                <w:szCs w:val="18"/>
              </w:rPr>
              <w:t>115</w:t>
            </w:r>
          </w:p>
        </w:tc>
        <w:tc>
          <w:tcPr>
            <w:tcW w:w="166" w:type="pct"/>
            <w:vMerge/>
            <w:shd w:val="clear" w:color="auto" w:fill="auto"/>
            <w:vAlign w:val="center"/>
            <w:hideMark/>
          </w:tcPr>
          <w:p w14:paraId="1F82CA3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7794BB3B"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1FDFAE10" w14:textId="77777777" w:rsidR="002D3258" w:rsidRPr="002D3258" w:rsidRDefault="002D3258" w:rsidP="002D3258">
            <w:pPr>
              <w:pStyle w:val="13"/>
              <w:spacing w:line="240" w:lineRule="auto"/>
              <w:ind w:firstLineChars="0" w:firstLine="0"/>
              <w:rPr>
                <w:sz w:val="18"/>
                <w:szCs w:val="18"/>
              </w:rPr>
            </w:pPr>
            <w:r w:rsidRPr="002D3258">
              <w:rPr>
                <w:sz w:val="18"/>
                <w:szCs w:val="18"/>
              </w:rPr>
              <w:t>3.1.18</w:t>
            </w:r>
          </w:p>
        </w:tc>
        <w:tc>
          <w:tcPr>
            <w:tcW w:w="1463" w:type="pct"/>
            <w:shd w:val="clear" w:color="auto" w:fill="auto"/>
            <w:noWrap/>
            <w:vAlign w:val="center"/>
            <w:hideMark/>
          </w:tcPr>
          <w:p w14:paraId="63255761" w14:textId="77777777" w:rsidR="002D3258" w:rsidRPr="002D3258" w:rsidRDefault="002D3258" w:rsidP="002D3258">
            <w:pPr>
              <w:pStyle w:val="13"/>
              <w:spacing w:line="240" w:lineRule="auto"/>
              <w:ind w:firstLineChars="0" w:firstLine="0"/>
              <w:rPr>
                <w:sz w:val="18"/>
                <w:szCs w:val="18"/>
              </w:rPr>
            </w:pPr>
            <w:r w:rsidRPr="002D3258">
              <w:rPr>
                <w:sz w:val="18"/>
                <w:szCs w:val="18"/>
              </w:rPr>
              <w:t>并购重组的交易结构、路径、方案等咨询业务</w:t>
            </w:r>
          </w:p>
        </w:tc>
        <w:tc>
          <w:tcPr>
            <w:tcW w:w="2063" w:type="pct"/>
            <w:shd w:val="clear" w:color="auto" w:fill="auto"/>
            <w:vAlign w:val="center"/>
            <w:hideMark/>
          </w:tcPr>
          <w:p w14:paraId="2A960D97"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38D23F27" w14:textId="77777777" w:rsidTr="002D3258">
        <w:trPr>
          <w:gridAfter w:val="1"/>
          <w:wAfter w:w="11" w:type="pct"/>
          <w:trHeight w:val="283"/>
        </w:trPr>
        <w:tc>
          <w:tcPr>
            <w:tcW w:w="407" w:type="pct"/>
            <w:shd w:val="clear" w:color="auto" w:fill="auto"/>
            <w:noWrap/>
            <w:vAlign w:val="center"/>
            <w:hideMark/>
          </w:tcPr>
          <w:p w14:paraId="22096DF2" w14:textId="77777777" w:rsidR="002D3258" w:rsidRPr="002D3258" w:rsidRDefault="002D3258" w:rsidP="002D3258">
            <w:pPr>
              <w:pStyle w:val="13"/>
              <w:spacing w:line="240" w:lineRule="auto"/>
              <w:ind w:firstLineChars="0" w:firstLine="0"/>
              <w:rPr>
                <w:sz w:val="18"/>
                <w:szCs w:val="18"/>
              </w:rPr>
            </w:pPr>
            <w:r w:rsidRPr="002D3258">
              <w:rPr>
                <w:sz w:val="18"/>
                <w:szCs w:val="18"/>
              </w:rPr>
              <w:t>116</w:t>
            </w:r>
          </w:p>
        </w:tc>
        <w:tc>
          <w:tcPr>
            <w:tcW w:w="166" w:type="pct"/>
            <w:vMerge/>
            <w:shd w:val="clear" w:color="auto" w:fill="auto"/>
            <w:vAlign w:val="center"/>
            <w:hideMark/>
          </w:tcPr>
          <w:p w14:paraId="5ECBABF6"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690EE68"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116F727" w14:textId="77777777" w:rsidR="002D3258" w:rsidRPr="002D3258" w:rsidRDefault="002D3258" w:rsidP="002D3258">
            <w:pPr>
              <w:pStyle w:val="13"/>
              <w:spacing w:line="240" w:lineRule="auto"/>
              <w:ind w:firstLineChars="0" w:firstLine="0"/>
              <w:rPr>
                <w:sz w:val="18"/>
                <w:szCs w:val="18"/>
              </w:rPr>
            </w:pPr>
            <w:r w:rsidRPr="002D3258">
              <w:rPr>
                <w:sz w:val="18"/>
                <w:szCs w:val="18"/>
              </w:rPr>
              <w:t>3.1.19</w:t>
            </w:r>
          </w:p>
        </w:tc>
        <w:tc>
          <w:tcPr>
            <w:tcW w:w="1463" w:type="pct"/>
            <w:shd w:val="clear" w:color="auto" w:fill="auto"/>
            <w:noWrap/>
            <w:vAlign w:val="center"/>
            <w:hideMark/>
          </w:tcPr>
          <w:p w14:paraId="2914782C" w14:textId="77777777" w:rsidR="002D3258" w:rsidRPr="002D3258" w:rsidRDefault="002D3258" w:rsidP="002D3258">
            <w:pPr>
              <w:pStyle w:val="13"/>
              <w:spacing w:line="240" w:lineRule="auto"/>
              <w:ind w:firstLineChars="0" w:firstLine="0"/>
              <w:rPr>
                <w:sz w:val="18"/>
                <w:szCs w:val="18"/>
              </w:rPr>
            </w:pPr>
            <w:r w:rsidRPr="002D3258">
              <w:rPr>
                <w:sz w:val="18"/>
                <w:szCs w:val="18"/>
              </w:rPr>
              <w:t>并购重组的税收问题咨询</w:t>
            </w:r>
          </w:p>
        </w:tc>
        <w:tc>
          <w:tcPr>
            <w:tcW w:w="2063" w:type="pct"/>
            <w:shd w:val="clear" w:color="auto" w:fill="auto"/>
            <w:vAlign w:val="center"/>
            <w:hideMark/>
          </w:tcPr>
          <w:p w14:paraId="11530422"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1F54C17E" w14:textId="77777777" w:rsidTr="002D3258">
        <w:trPr>
          <w:gridAfter w:val="1"/>
          <w:wAfter w:w="11" w:type="pct"/>
          <w:trHeight w:val="283"/>
        </w:trPr>
        <w:tc>
          <w:tcPr>
            <w:tcW w:w="407" w:type="pct"/>
            <w:shd w:val="clear" w:color="auto" w:fill="auto"/>
            <w:noWrap/>
            <w:vAlign w:val="center"/>
            <w:hideMark/>
          </w:tcPr>
          <w:p w14:paraId="74CD9AD9" w14:textId="77777777" w:rsidR="002D3258" w:rsidRPr="002D3258" w:rsidRDefault="002D3258" w:rsidP="002D3258">
            <w:pPr>
              <w:pStyle w:val="13"/>
              <w:spacing w:line="240" w:lineRule="auto"/>
              <w:ind w:firstLineChars="0" w:firstLine="0"/>
              <w:rPr>
                <w:sz w:val="18"/>
                <w:szCs w:val="18"/>
              </w:rPr>
            </w:pPr>
            <w:r w:rsidRPr="002D3258">
              <w:rPr>
                <w:sz w:val="18"/>
                <w:szCs w:val="18"/>
              </w:rPr>
              <w:t>117</w:t>
            </w:r>
          </w:p>
        </w:tc>
        <w:tc>
          <w:tcPr>
            <w:tcW w:w="166" w:type="pct"/>
            <w:vMerge/>
            <w:shd w:val="clear" w:color="auto" w:fill="auto"/>
            <w:vAlign w:val="center"/>
            <w:hideMark/>
          </w:tcPr>
          <w:p w14:paraId="0EBA7550"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23348EB"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24812475" w14:textId="77777777" w:rsidR="002D3258" w:rsidRPr="002D3258" w:rsidRDefault="002D3258" w:rsidP="002D3258">
            <w:pPr>
              <w:pStyle w:val="13"/>
              <w:spacing w:line="240" w:lineRule="auto"/>
              <w:ind w:firstLineChars="0" w:firstLine="0"/>
              <w:rPr>
                <w:sz w:val="18"/>
                <w:szCs w:val="18"/>
              </w:rPr>
            </w:pPr>
            <w:r w:rsidRPr="002D3258">
              <w:rPr>
                <w:sz w:val="18"/>
                <w:szCs w:val="18"/>
              </w:rPr>
              <w:t>3.1.20</w:t>
            </w:r>
          </w:p>
        </w:tc>
        <w:tc>
          <w:tcPr>
            <w:tcW w:w="1463" w:type="pct"/>
            <w:shd w:val="clear" w:color="auto" w:fill="auto"/>
            <w:noWrap/>
            <w:vAlign w:val="center"/>
            <w:hideMark/>
          </w:tcPr>
          <w:p w14:paraId="0960621E" w14:textId="77777777" w:rsidR="002D3258" w:rsidRPr="002D3258" w:rsidRDefault="002D3258" w:rsidP="002D3258">
            <w:pPr>
              <w:pStyle w:val="13"/>
              <w:spacing w:line="240" w:lineRule="auto"/>
              <w:ind w:firstLineChars="0" w:firstLine="0"/>
              <w:rPr>
                <w:sz w:val="18"/>
                <w:szCs w:val="18"/>
              </w:rPr>
            </w:pPr>
            <w:r w:rsidRPr="002D3258">
              <w:rPr>
                <w:sz w:val="18"/>
                <w:szCs w:val="18"/>
              </w:rPr>
              <w:t>破产顾问服务、托管人与接管人服务</w:t>
            </w:r>
          </w:p>
        </w:tc>
        <w:tc>
          <w:tcPr>
            <w:tcW w:w="2063" w:type="pct"/>
            <w:shd w:val="clear" w:color="auto" w:fill="auto"/>
            <w:vAlign w:val="center"/>
            <w:hideMark/>
          </w:tcPr>
          <w:p w14:paraId="51A0C28F"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2672B55C" w14:textId="77777777" w:rsidTr="002D3258">
        <w:trPr>
          <w:gridAfter w:val="1"/>
          <w:wAfter w:w="11" w:type="pct"/>
          <w:trHeight w:val="283"/>
        </w:trPr>
        <w:tc>
          <w:tcPr>
            <w:tcW w:w="407" w:type="pct"/>
            <w:shd w:val="clear" w:color="auto" w:fill="auto"/>
            <w:noWrap/>
            <w:vAlign w:val="center"/>
            <w:hideMark/>
          </w:tcPr>
          <w:p w14:paraId="118FB493" w14:textId="77777777" w:rsidR="002D3258" w:rsidRPr="002D3258" w:rsidRDefault="002D3258" w:rsidP="002D3258">
            <w:pPr>
              <w:pStyle w:val="13"/>
              <w:spacing w:line="240" w:lineRule="auto"/>
              <w:ind w:firstLineChars="0" w:firstLine="0"/>
              <w:rPr>
                <w:sz w:val="18"/>
                <w:szCs w:val="18"/>
              </w:rPr>
            </w:pPr>
            <w:r w:rsidRPr="002D3258">
              <w:rPr>
                <w:sz w:val="18"/>
                <w:szCs w:val="18"/>
              </w:rPr>
              <w:t>118</w:t>
            </w:r>
          </w:p>
        </w:tc>
        <w:tc>
          <w:tcPr>
            <w:tcW w:w="166" w:type="pct"/>
            <w:vMerge/>
            <w:shd w:val="clear" w:color="auto" w:fill="auto"/>
            <w:vAlign w:val="center"/>
            <w:hideMark/>
          </w:tcPr>
          <w:p w14:paraId="510F2EE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E8793BC"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423B6D23" w14:textId="77777777" w:rsidR="002D3258" w:rsidRPr="002D3258" w:rsidRDefault="002D3258" w:rsidP="002D3258">
            <w:pPr>
              <w:pStyle w:val="13"/>
              <w:spacing w:line="240" w:lineRule="auto"/>
              <w:ind w:firstLineChars="0" w:firstLine="0"/>
              <w:rPr>
                <w:sz w:val="18"/>
                <w:szCs w:val="18"/>
              </w:rPr>
            </w:pPr>
            <w:r w:rsidRPr="002D3258">
              <w:rPr>
                <w:sz w:val="18"/>
                <w:szCs w:val="18"/>
              </w:rPr>
              <w:t>3.1.21</w:t>
            </w:r>
          </w:p>
        </w:tc>
        <w:tc>
          <w:tcPr>
            <w:tcW w:w="1463" w:type="pct"/>
            <w:shd w:val="clear" w:color="auto" w:fill="auto"/>
            <w:noWrap/>
            <w:vAlign w:val="center"/>
            <w:hideMark/>
          </w:tcPr>
          <w:p w14:paraId="7CD6A962" w14:textId="77777777" w:rsidR="002D3258" w:rsidRPr="002D3258" w:rsidRDefault="002D3258" w:rsidP="002D3258">
            <w:pPr>
              <w:pStyle w:val="13"/>
              <w:spacing w:line="240" w:lineRule="auto"/>
              <w:ind w:firstLineChars="0" w:firstLine="0"/>
              <w:rPr>
                <w:sz w:val="18"/>
                <w:szCs w:val="18"/>
              </w:rPr>
            </w:pPr>
            <w:r w:rsidRPr="002D3258">
              <w:rPr>
                <w:sz w:val="18"/>
                <w:szCs w:val="18"/>
              </w:rPr>
              <w:t>破产诉讼与赔偿管理咨询</w:t>
            </w:r>
          </w:p>
        </w:tc>
        <w:tc>
          <w:tcPr>
            <w:tcW w:w="2063" w:type="pct"/>
            <w:shd w:val="clear" w:color="auto" w:fill="auto"/>
            <w:vAlign w:val="center"/>
            <w:hideMark/>
          </w:tcPr>
          <w:p w14:paraId="522D145B"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0C72F41E" w14:textId="77777777" w:rsidTr="002D3258">
        <w:trPr>
          <w:gridAfter w:val="1"/>
          <w:wAfter w:w="11" w:type="pct"/>
          <w:trHeight w:val="283"/>
        </w:trPr>
        <w:tc>
          <w:tcPr>
            <w:tcW w:w="407" w:type="pct"/>
            <w:shd w:val="clear" w:color="auto" w:fill="auto"/>
            <w:noWrap/>
            <w:vAlign w:val="center"/>
            <w:hideMark/>
          </w:tcPr>
          <w:p w14:paraId="19A45D25" w14:textId="77777777" w:rsidR="002D3258" w:rsidRPr="002D3258" w:rsidRDefault="002D3258" w:rsidP="002D3258">
            <w:pPr>
              <w:pStyle w:val="13"/>
              <w:spacing w:line="240" w:lineRule="auto"/>
              <w:ind w:firstLineChars="0" w:firstLine="0"/>
              <w:rPr>
                <w:sz w:val="18"/>
                <w:szCs w:val="18"/>
              </w:rPr>
            </w:pPr>
            <w:r w:rsidRPr="002D3258">
              <w:rPr>
                <w:sz w:val="18"/>
                <w:szCs w:val="18"/>
              </w:rPr>
              <w:t>119</w:t>
            </w:r>
          </w:p>
        </w:tc>
        <w:tc>
          <w:tcPr>
            <w:tcW w:w="166" w:type="pct"/>
            <w:vMerge/>
            <w:shd w:val="clear" w:color="auto" w:fill="auto"/>
            <w:vAlign w:val="center"/>
            <w:hideMark/>
          </w:tcPr>
          <w:p w14:paraId="51961C4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6C870DF"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29EC5A5" w14:textId="77777777" w:rsidR="002D3258" w:rsidRPr="002D3258" w:rsidRDefault="002D3258" w:rsidP="002D3258">
            <w:pPr>
              <w:pStyle w:val="13"/>
              <w:spacing w:line="240" w:lineRule="auto"/>
              <w:ind w:firstLineChars="0" w:firstLine="0"/>
              <w:rPr>
                <w:sz w:val="18"/>
                <w:szCs w:val="18"/>
              </w:rPr>
            </w:pPr>
            <w:r w:rsidRPr="002D3258">
              <w:rPr>
                <w:sz w:val="18"/>
                <w:szCs w:val="18"/>
              </w:rPr>
              <w:t>3.1.22</w:t>
            </w:r>
          </w:p>
        </w:tc>
        <w:tc>
          <w:tcPr>
            <w:tcW w:w="1463" w:type="pct"/>
            <w:shd w:val="clear" w:color="auto" w:fill="auto"/>
            <w:noWrap/>
            <w:vAlign w:val="center"/>
            <w:hideMark/>
          </w:tcPr>
          <w:p w14:paraId="30113258" w14:textId="77777777" w:rsidR="002D3258" w:rsidRPr="002D3258" w:rsidRDefault="002D3258" w:rsidP="002D3258">
            <w:pPr>
              <w:pStyle w:val="13"/>
              <w:spacing w:line="240" w:lineRule="auto"/>
              <w:ind w:firstLineChars="0" w:firstLine="0"/>
              <w:rPr>
                <w:sz w:val="18"/>
                <w:szCs w:val="18"/>
              </w:rPr>
            </w:pPr>
            <w:r w:rsidRPr="002D3258">
              <w:rPr>
                <w:sz w:val="18"/>
                <w:szCs w:val="18"/>
              </w:rPr>
              <w:t>企业争端分析与调查</w:t>
            </w:r>
          </w:p>
        </w:tc>
        <w:tc>
          <w:tcPr>
            <w:tcW w:w="2063" w:type="pct"/>
            <w:shd w:val="clear" w:color="auto" w:fill="auto"/>
            <w:vAlign w:val="center"/>
            <w:hideMark/>
          </w:tcPr>
          <w:p w14:paraId="1EC526EC"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3DE0702A" w14:textId="77777777" w:rsidTr="002D3258">
        <w:trPr>
          <w:gridAfter w:val="1"/>
          <w:wAfter w:w="11" w:type="pct"/>
          <w:trHeight w:val="283"/>
        </w:trPr>
        <w:tc>
          <w:tcPr>
            <w:tcW w:w="407" w:type="pct"/>
            <w:shd w:val="clear" w:color="auto" w:fill="auto"/>
            <w:noWrap/>
            <w:vAlign w:val="center"/>
            <w:hideMark/>
          </w:tcPr>
          <w:p w14:paraId="310BE835" w14:textId="77777777" w:rsidR="002D3258" w:rsidRPr="002D3258" w:rsidRDefault="002D3258" w:rsidP="002D3258">
            <w:pPr>
              <w:pStyle w:val="13"/>
              <w:spacing w:line="240" w:lineRule="auto"/>
              <w:ind w:firstLineChars="0" w:firstLine="0"/>
              <w:rPr>
                <w:sz w:val="18"/>
                <w:szCs w:val="18"/>
              </w:rPr>
            </w:pPr>
            <w:r w:rsidRPr="002D3258">
              <w:rPr>
                <w:sz w:val="18"/>
                <w:szCs w:val="18"/>
              </w:rPr>
              <w:t>120</w:t>
            </w:r>
          </w:p>
        </w:tc>
        <w:tc>
          <w:tcPr>
            <w:tcW w:w="166" w:type="pct"/>
            <w:vMerge w:val="restart"/>
            <w:shd w:val="clear" w:color="auto" w:fill="auto"/>
            <w:noWrap/>
            <w:vAlign w:val="center"/>
            <w:hideMark/>
          </w:tcPr>
          <w:p w14:paraId="30D813C5" w14:textId="77777777" w:rsidR="002D3258" w:rsidRPr="002D3258" w:rsidRDefault="002D3258" w:rsidP="002D3258">
            <w:pPr>
              <w:pStyle w:val="13"/>
              <w:spacing w:line="240" w:lineRule="auto"/>
              <w:ind w:firstLineChars="0" w:firstLine="0"/>
              <w:rPr>
                <w:sz w:val="18"/>
                <w:szCs w:val="18"/>
              </w:rPr>
            </w:pPr>
            <w:r w:rsidRPr="002D3258">
              <w:rPr>
                <w:sz w:val="18"/>
                <w:szCs w:val="18"/>
              </w:rPr>
              <w:t>3.</w:t>
            </w:r>
            <w:r w:rsidRPr="002D3258">
              <w:rPr>
                <w:sz w:val="18"/>
                <w:szCs w:val="18"/>
              </w:rPr>
              <w:lastRenderedPageBreak/>
              <w:t>2</w:t>
            </w:r>
          </w:p>
        </w:tc>
        <w:tc>
          <w:tcPr>
            <w:tcW w:w="407" w:type="pct"/>
            <w:vMerge w:val="restart"/>
            <w:shd w:val="clear" w:color="auto" w:fill="auto"/>
            <w:noWrap/>
            <w:vAlign w:val="center"/>
            <w:hideMark/>
          </w:tcPr>
          <w:p w14:paraId="6C7B3039" w14:textId="77777777" w:rsidR="002D3258" w:rsidRPr="002D3258" w:rsidRDefault="002D3258" w:rsidP="002D3258">
            <w:pPr>
              <w:pStyle w:val="13"/>
              <w:spacing w:line="240" w:lineRule="auto"/>
              <w:ind w:firstLineChars="0" w:firstLine="0"/>
              <w:rPr>
                <w:sz w:val="18"/>
                <w:szCs w:val="18"/>
              </w:rPr>
            </w:pPr>
            <w:r w:rsidRPr="002D3258">
              <w:rPr>
                <w:sz w:val="18"/>
                <w:szCs w:val="18"/>
              </w:rPr>
              <w:lastRenderedPageBreak/>
              <w:t>其他</w:t>
            </w:r>
          </w:p>
        </w:tc>
        <w:tc>
          <w:tcPr>
            <w:tcW w:w="484" w:type="pct"/>
            <w:shd w:val="clear" w:color="auto" w:fill="auto"/>
            <w:noWrap/>
            <w:vAlign w:val="center"/>
            <w:hideMark/>
          </w:tcPr>
          <w:p w14:paraId="4CF5FBBC" w14:textId="77777777" w:rsidR="002D3258" w:rsidRPr="002D3258" w:rsidRDefault="002D3258" w:rsidP="002D3258">
            <w:pPr>
              <w:pStyle w:val="13"/>
              <w:spacing w:line="240" w:lineRule="auto"/>
              <w:ind w:firstLineChars="0" w:firstLine="0"/>
              <w:rPr>
                <w:sz w:val="18"/>
                <w:szCs w:val="18"/>
              </w:rPr>
            </w:pPr>
            <w:r w:rsidRPr="002D3258">
              <w:rPr>
                <w:sz w:val="18"/>
                <w:szCs w:val="18"/>
              </w:rPr>
              <w:t>3.2.1</w:t>
            </w:r>
          </w:p>
        </w:tc>
        <w:tc>
          <w:tcPr>
            <w:tcW w:w="1463" w:type="pct"/>
            <w:shd w:val="clear" w:color="auto" w:fill="auto"/>
            <w:noWrap/>
            <w:vAlign w:val="center"/>
            <w:hideMark/>
          </w:tcPr>
          <w:p w14:paraId="13C72D0C" w14:textId="77777777" w:rsidR="002D3258" w:rsidRPr="002D3258" w:rsidRDefault="002D3258" w:rsidP="002D3258">
            <w:pPr>
              <w:pStyle w:val="13"/>
              <w:spacing w:line="240" w:lineRule="auto"/>
              <w:ind w:firstLineChars="0" w:firstLine="0"/>
              <w:rPr>
                <w:sz w:val="18"/>
                <w:szCs w:val="18"/>
              </w:rPr>
            </w:pPr>
            <w:r w:rsidRPr="002D3258">
              <w:rPr>
                <w:sz w:val="18"/>
                <w:szCs w:val="18"/>
              </w:rPr>
              <w:t>质量信用评估</w:t>
            </w:r>
          </w:p>
        </w:tc>
        <w:tc>
          <w:tcPr>
            <w:tcW w:w="2063" w:type="pct"/>
            <w:shd w:val="clear" w:color="auto" w:fill="auto"/>
            <w:vAlign w:val="center"/>
            <w:hideMark/>
          </w:tcPr>
          <w:p w14:paraId="5B17DF5A" w14:textId="77777777" w:rsidR="002D3258" w:rsidRPr="002D3258" w:rsidRDefault="002D3258" w:rsidP="002D3258">
            <w:pPr>
              <w:pStyle w:val="13"/>
              <w:spacing w:line="240" w:lineRule="auto"/>
              <w:ind w:firstLineChars="0" w:firstLine="0"/>
              <w:rPr>
                <w:sz w:val="18"/>
                <w:szCs w:val="18"/>
              </w:rPr>
            </w:pPr>
            <w:r w:rsidRPr="002D3258">
              <w:rPr>
                <w:sz w:val="18"/>
                <w:szCs w:val="18"/>
              </w:rPr>
              <w:t>《国家质量监督检验检疫总局关于加强企业质量信用评估监管工作的意见》（国质检</w:t>
            </w:r>
            <w:r w:rsidRPr="002D3258">
              <w:rPr>
                <w:sz w:val="18"/>
                <w:szCs w:val="18"/>
              </w:rPr>
              <w:lastRenderedPageBreak/>
              <w:t>质〔2006〕464号）</w:t>
            </w:r>
          </w:p>
        </w:tc>
      </w:tr>
      <w:tr w:rsidR="002D3258" w:rsidRPr="002D3258" w14:paraId="593D3550" w14:textId="77777777" w:rsidTr="002D3258">
        <w:trPr>
          <w:gridAfter w:val="1"/>
          <w:wAfter w:w="11" w:type="pct"/>
          <w:trHeight w:val="283"/>
        </w:trPr>
        <w:tc>
          <w:tcPr>
            <w:tcW w:w="407" w:type="pct"/>
            <w:shd w:val="clear" w:color="auto" w:fill="auto"/>
            <w:noWrap/>
            <w:vAlign w:val="center"/>
            <w:hideMark/>
          </w:tcPr>
          <w:p w14:paraId="663BC762" w14:textId="77777777" w:rsidR="002D3258" w:rsidRPr="002D3258" w:rsidRDefault="002D3258" w:rsidP="002D3258">
            <w:pPr>
              <w:pStyle w:val="13"/>
              <w:spacing w:line="240" w:lineRule="auto"/>
              <w:ind w:firstLineChars="0" w:firstLine="0"/>
              <w:rPr>
                <w:sz w:val="18"/>
                <w:szCs w:val="18"/>
              </w:rPr>
            </w:pPr>
            <w:r w:rsidRPr="002D3258">
              <w:rPr>
                <w:sz w:val="18"/>
                <w:szCs w:val="18"/>
              </w:rPr>
              <w:lastRenderedPageBreak/>
              <w:t>121</w:t>
            </w:r>
          </w:p>
        </w:tc>
        <w:tc>
          <w:tcPr>
            <w:tcW w:w="166" w:type="pct"/>
            <w:vMerge/>
            <w:shd w:val="clear" w:color="auto" w:fill="auto"/>
            <w:vAlign w:val="center"/>
            <w:hideMark/>
          </w:tcPr>
          <w:p w14:paraId="1E5CE96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6D73A082"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7E197FC" w14:textId="77777777" w:rsidR="002D3258" w:rsidRPr="002D3258" w:rsidRDefault="002D3258" w:rsidP="002D3258">
            <w:pPr>
              <w:pStyle w:val="13"/>
              <w:spacing w:line="240" w:lineRule="auto"/>
              <w:ind w:firstLineChars="0" w:firstLine="0"/>
              <w:rPr>
                <w:sz w:val="18"/>
                <w:szCs w:val="18"/>
              </w:rPr>
            </w:pPr>
            <w:r w:rsidRPr="002D3258">
              <w:rPr>
                <w:sz w:val="18"/>
                <w:szCs w:val="18"/>
              </w:rPr>
              <w:t>3.2.2</w:t>
            </w:r>
          </w:p>
        </w:tc>
        <w:tc>
          <w:tcPr>
            <w:tcW w:w="1463" w:type="pct"/>
            <w:shd w:val="clear" w:color="auto" w:fill="auto"/>
            <w:noWrap/>
            <w:vAlign w:val="center"/>
            <w:hideMark/>
          </w:tcPr>
          <w:p w14:paraId="749062A7" w14:textId="77777777" w:rsidR="002D3258" w:rsidRPr="002D3258" w:rsidRDefault="002D3258" w:rsidP="002D3258">
            <w:pPr>
              <w:pStyle w:val="13"/>
              <w:spacing w:line="240" w:lineRule="auto"/>
              <w:ind w:firstLineChars="0" w:firstLine="0"/>
              <w:rPr>
                <w:sz w:val="18"/>
                <w:szCs w:val="18"/>
              </w:rPr>
            </w:pPr>
            <w:r w:rsidRPr="002D3258">
              <w:rPr>
                <w:sz w:val="18"/>
                <w:szCs w:val="18"/>
              </w:rPr>
              <w:t>社会组织评估</w:t>
            </w:r>
          </w:p>
        </w:tc>
        <w:tc>
          <w:tcPr>
            <w:tcW w:w="2063" w:type="pct"/>
            <w:shd w:val="clear" w:color="auto" w:fill="auto"/>
            <w:vAlign w:val="center"/>
            <w:hideMark/>
          </w:tcPr>
          <w:p w14:paraId="6225A524" w14:textId="77777777" w:rsidR="002D3258" w:rsidRPr="002D3258" w:rsidRDefault="002D3258" w:rsidP="002D3258">
            <w:pPr>
              <w:pStyle w:val="13"/>
              <w:spacing w:line="240" w:lineRule="auto"/>
              <w:ind w:firstLineChars="0" w:firstLine="0"/>
              <w:rPr>
                <w:sz w:val="18"/>
                <w:szCs w:val="18"/>
              </w:rPr>
            </w:pPr>
            <w:r w:rsidRPr="002D3258">
              <w:rPr>
                <w:sz w:val="18"/>
                <w:szCs w:val="18"/>
              </w:rPr>
              <w:t>《社会组织评估管理办法》（民政部令第39号）</w:t>
            </w:r>
          </w:p>
        </w:tc>
      </w:tr>
      <w:tr w:rsidR="002D3258" w:rsidRPr="002D3258" w14:paraId="42AD02E3" w14:textId="77777777" w:rsidTr="002D3258">
        <w:trPr>
          <w:gridAfter w:val="1"/>
          <w:wAfter w:w="11" w:type="pct"/>
          <w:trHeight w:val="283"/>
        </w:trPr>
        <w:tc>
          <w:tcPr>
            <w:tcW w:w="407" w:type="pct"/>
            <w:shd w:val="clear" w:color="auto" w:fill="auto"/>
            <w:noWrap/>
            <w:vAlign w:val="center"/>
            <w:hideMark/>
          </w:tcPr>
          <w:p w14:paraId="1C3312BC" w14:textId="77777777" w:rsidR="002D3258" w:rsidRPr="002D3258" w:rsidRDefault="002D3258" w:rsidP="002D3258">
            <w:pPr>
              <w:pStyle w:val="13"/>
              <w:spacing w:line="240" w:lineRule="auto"/>
              <w:ind w:firstLineChars="0" w:firstLine="0"/>
              <w:rPr>
                <w:sz w:val="18"/>
                <w:szCs w:val="18"/>
              </w:rPr>
            </w:pPr>
            <w:r w:rsidRPr="002D3258">
              <w:rPr>
                <w:sz w:val="18"/>
                <w:szCs w:val="18"/>
              </w:rPr>
              <w:t>122</w:t>
            </w:r>
          </w:p>
        </w:tc>
        <w:tc>
          <w:tcPr>
            <w:tcW w:w="166" w:type="pct"/>
            <w:vMerge/>
            <w:shd w:val="clear" w:color="auto" w:fill="auto"/>
            <w:vAlign w:val="center"/>
            <w:hideMark/>
          </w:tcPr>
          <w:p w14:paraId="6E627383"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51F651CA"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71AC8D1E" w14:textId="77777777" w:rsidR="002D3258" w:rsidRPr="002D3258" w:rsidRDefault="002D3258" w:rsidP="002D3258">
            <w:pPr>
              <w:pStyle w:val="13"/>
              <w:spacing w:line="240" w:lineRule="auto"/>
              <w:ind w:firstLineChars="0" w:firstLine="0"/>
              <w:rPr>
                <w:sz w:val="18"/>
                <w:szCs w:val="18"/>
              </w:rPr>
            </w:pPr>
            <w:r w:rsidRPr="002D3258">
              <w:rPr>
                <w:sz w:val="18"/>
                <w:szCs w:val="18"/>
              </w:rPr>
              <w:t>3.2.3</w:t>
            </w:r>
          </w:p>
        </w:tc>
        <w:tc>
          <w:tcPr>
            <w:tcW w:w="1463" w:type="pct"/>
            <w:shd w:val="clear" w:color="auto" w:fill="auto"/>
            <w:noWrap/>
            <w:vAlign w:val="center"/>
            <w:hideMark/>
          </w:tcPr>
          <w:p w14:paraId="03AEB6D5" w14:textId="77777777" w:rsidR="002D3258" w:rsidRPr="002D3258" w:rsidRDefault="002D3258" w:rsidP="002D3258">
            <w:pPr>
              <w:pStyle w:val="13"/>
              <w:spacing w:line="240" w:lineRule="auto"/>
              <w:ind w:firstLineChars="0" w:firstLine="0"/>
              <w:rPr>
                <w:sz w:val="18"/>
                <w:szCs w:val="18"/>
              </w:rPr>
            </w:pPr>
            <w:r w:rsidRPr="002D3258">
              <w:rPr>
                <w:sz w:val="18"/>
                <w:szCs w:val="18"/>
              </w:rPr>
              <w:t>预算绩效管理咨询</w:t>
            </w:r>
          </w:p>
        </w:tc>
        <w:tc>
          <w:tcPr>
            <w:tcW w:w="2063" w:type="pct"/>
            <w:shd w:val="clear" w:color="auto" w:fill="auto"/>
            <w:vAlign w:val="center"/>
            <w:hideMark/>
          </w:tcPr>
          <w:p w14:paraId="60A8B177" w14:textId="77777777" w:rsidR="002D3258" w:rsidRPr="002D3258" w:rsidRDefault="002D3258" w:rsidP="002D3258">
            <w:pPr>
              <w:pStyle w:val="13"/>
              <w:spacing w:line="240" w:lineRule="auto"/>
              <w:ind w:firstLineChars="0" w:firstLine="0"/>
              <w:rPr>
                <w:sz w:val="18"/>
                <w:szCs w:val="18"/>
              </w:rPr>
            </w:pPr>
            <w:r w:rsidRPr="002D3258">
              <w:rPr>
                <w:sz w:val="18"/>
                <w:szCs w:val="18"/>
              </w:rPr>
              <w:t>《关于推进预算绩效管理的指导意见》（财预〔2011〕416号）</w:t>
            </w:r>
          </w:p>
        </w:tc>
      </w:tr>
      <w:tr w:rsidR="002D3258" w:rsidRPr="002D3258" w14:paraId="7F61C247" w14:textId="77777777" w:rsidTr="002D3258">
        <w:trPr>
          <w:gridAfter w:val="1"/>
          <w:wAfter w:w="11" w:type="pct"/>
          <w:trHeight w:val="283"/>
        </w:trPr>
        <w:tc>
          <w:tcPr>
            <w:tcW w:w="407" w:type="pct"/>
            <w:shd w:val="clear" w:color="auto" w:fill="auto"/>
            <w:noWrap/>
            <w:vAlign w:val="center"/>
            <w:hideMark/>
          </w:tcPr>
          <w:p w14:paraId="0254A472" w14:textId="77777777" w:rsidR="002D3258" w:rsidRPr="002D3258" w:rsidRDefault="002D3258" w:rsidP="002D3258">
            <w:pPr>
              <w:pStyle w:val="13"/>
              <w:spacing w:line="240" w:lineRule="auto"/>
              <w:ind w:firstLineChars="0" w:firstLine="0"/>
              <w:rPr>
                <w:sz w:val="18"/>
                <w:szCs w:val="18"/>
              </w:rPr>
            </w:pPr>
            <w:r w:rsidRPr="002D3258">
              <w:rPr>
                <w:sz w:val="18"/>
                <w:szCs w:val="18"/>
              </w:rPr>
              <w:t>123</w:t>
            </w:r>
          </w:p>
        </w:tc>
        <w:tc>
          <w:tcPr>
            <w:tcW w:w="166" w:type="pct"/>
            <w:vMerge/>
            <w:shd w:val="clear" w:color="auto" w:fill="auto"/>
            <w:vAlign w:val="center"/>
            <w:hideMark/>
          </w:tcPr>
          <w:p w14:paraId="04356510"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0F72BA69"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F65FCF7" w14:textId="77777777" w:rsidR="002D3258" w:rsidRPr="002D3258" w:rsidRDefault="002D3258" w:rsidP="002D3258">
            <w:pPr>
              <w:pStyle w:val="13"/>
              <w:spacing w:line="240" w:lineRule="auto"/>
              <w:ind w:firstLineChars="0" w:firstLine="0"/>
              <w:rPr>
                <w:sz w:val="18"/>
                <w:szCs w:val="18"/>
              </w:rPr>
            </w:pPr>
            <w:r w:rsidRPr="002D3258">
              <w:rPr>
                <w:sz w:val="18"/>
                <w:szCs w:val="18"/>
              </w:rPr>
              <w:t>3.2.4</w:t>
            </w:r>
          </w:p>
        </w:tc>
        <w:tc>
          <w:tcPr>
            <w:tcW w:w="1463" w:type="pct"/>
            <w:shd w:val="clear" w:color="auto" w:fill="auto"/>
            <w:noWrap/>
            <w:vAlign w:val="center"/>
            <w:hideMark/>
          </w:tcPr>
          <w:p w14:paraId="46A66E7A" w14:textId="77777777" w:rsidR="002D3258" w:rsidRPr="002D3258" w:rsidRDefault="002D3258" w:rsidP="002D3258">
            <w:pPr>
              <w:pStyle w:val="13"/>
              <w:spacing w:line="240" w:lineRule="auto"/>
              <w:ind w:firstLineChars="0" w:firstLine="0"/>
              <w:rPr>
                <w:sz w:val="18"/>
                <w:szCs w:val="18"/>
              </w:rPr>
            </w:pPr>
            <w:r w:rsidRPr="002D3258">
              <w:rPr>
                <w:sz w:val="18"/>
                <w:szCs w:val="18"/>
              </w:rPr>
              <w:t>为农村集体经济提供咨询服务</w:t>
            </w:r>
          </w:p>
        </w:tc>
        <w:tc>
          <w:tcPr>
            <w:tcW w:w="2063" w:type="pct"/>
            <w:shd w:val="clear" w:color="auto" w:fill="auto"/>
            <w:vAlign w:val="center"/>
            <w:hideMark/>
          </w:tcPr>
          <w:p w14:paraId="79E91F46"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713AD810" w14:textId="77777777" w:rsidTr="002D3258">
        <w:trPr>
          <w:gridAfter w:val="1"/>
          <w:wAfter w:w="11" w:type="pct"/>
          <w:trHeight w:val="283"/>
        </w:trPr>
        <w:tc>
          <w:tcPr>
            <w:tcW w:w="407" w:type="pct"/>
            <w:shd w:val="clear" w:color="auto" w:fill="auto"/>
            <w:noWrap/>
            <w:vAlign w:val="center"/>
            <w:hideMark/>
          </w:tcPr>
          <w:p w14:paraId="646715C0" w14:textId="77777777" w:rsidR="002D3258" w:rsidRPr="002D3258" w:rsidRDefault="002D3258" w:rsidP="002D3258">
            <w:pPr>
              <w:pStyle w:val="13"/>
              <w:spacing w:line="240" w:lineRule="auto"/>
              <w:ind w:firstLineChars="0" w:firstLine="0"/>
              <w:rPr>
                <w:sz w:val="18"/>
                <w:szCs w:val="18"/>
              </w:rPr>
            </w:pPr>
            <w:r w:rsidRPr="002D3258">
              <w:rPr>
                <w:sz w:val="18"/>
                <w:szCs w:val="18"/>
              </w:rPr>
              <w:t>124</w:t>
            </w:r>
          </w:p>
        </w:tc>
        <w:tc>
          <w:tcPr>
            <w:tcW w:w="166" w:type="pct"/>
            <w:vMerge/>
            <w:shd w:val="clear" w:color="auto" w:fill="auto"/>
            <w:vAlign w:val="center"/>
            <w:hideMark/>
          </w:tcPr>
          <w:p w14:paraId="61BA5F9C"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45F2BCFD"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0C48FD2C" w14:textId="77777777" w:rsidR="002D3258" w:rsidRPr="002D3258" w:rsidRDefault="002D3258" w:rsidP="002D3258">
            <w:pPr>
              <w:pStyle w:val="13"/>
              <w:spacing w:line="240" w:lineRule="auto"/>
              <w:ind w:firstLineChars="0" w:firstLine="0"/>
              <w:rPr>
                <w:sz w:val="18"/>
                <w:szCs w:val="18"/>
              </w:rPr>
            </w:pPr>
            <w:r w:rsidRPr="002D3258">
              <w:rPr>
                <w:sz w:val="18"/>
                <w:szCs w:val="18"/>
              </w:rPr>
              <w:t>3.2.5</w:t>
            </w:r>
          </w:p>
        </w:tc>
        <w:tc>
          <w:tcPr>
            <w:tcW w:w="1463" w:type="pct"/>
            <w:shd w:val="clear" w:color="auto" w:fill="auto"/>
            <w:noWrap/>
            <w:vAlign w:val="center"/>
            <w:hideMark/>
          </w:tcPr>
          <w:p w14:paraId="67252A7E" w14:textId="77777777" w:rsidR="002D3258" w:rsidRPr="002D3258" w:rsidRDefault="002D3258" w:rsidP="002D3258">
            <w:pPr>
              <w:pStyle w:val="13"/>
              <w:spacing w:line="240" w:lineRule="auto"/>
              <w:ind w:firstLineChars="0" w:firstLine="0"/>
              <w:rPr>
                <w:sz w:val="18"/>
                <w:szCs w:val="18"/>
              </w:rPr>
            </w:pPr>
            <w:r w:rsidRPr="002D3258">
              <w:rPr>
                <w:sz w:val="18"/>
                <w:szCs w:val="18"/>
              </w:rPr>
              <w:t>工程造价咨询业务</w:t>
            </w:r>
          </w:p>
        </w:tc>
        <w:tc>
          <w:tcPr>
            <w:tcW w:w="2063" w:type="pct"/>
            <w:shd w:val="clear" w:color="auto" w:fill="auto"/>
            <w:vAlign w:val="center"/>
            <w:hideMark/>
          </w:tcPr>
          <w:p w14:paraId="17DC15BE"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2FD6E157" w14:textId="77777777" w:rsidTr="002D3258">
        <w:trPr>
          <w:gridAfter w:val="1"/>
          <w:wAfter w:w="11" w:type="pct"/>
          <w:trHeight w:val="283"/>
        </w:trPr>
        <w:tc>
          <w:tcPr>
            <w:tcW w:w="407" w:type="pct"/>
            <w:shd w:val="clear" w:color="auto" w:fill="auto"/>
            <w:noWrap/>
            <w:vAlign w:val="center"/>
            <w:hideMark/>
          </w:tcPr>
          <w:p w14:paraId="797FC6EF" w14:textId="77777777" w:rsidR="002D3258" w:rsidRPr="002D3258" w:rsidRDefault="002D3258" w:rsidP="002D3258">
            <w:pPr>
              <w:pStyle w:val="13"/>
              <w:spacing w:line="240" w:lineRule="auto"/>
              <w:ind w:firstLineChars="0" w:firstLine="0"/>
              <w:rPr>
                <w:sz w:val="18"/>
                <w:szCs w:val="18"/>
              </w:rPr>
            </w:pPr>
            <w:r w:rsidRPr="002D3258">
              <w:rPr>
                <w:sz w:val="18"/>
                <w:szCs w:val="18"/>
              </w:rPr>
              <w:t>125</w:t>
            </w:r>
          </w:p>
        </w:tc>
        <w:tc>
          <w:tcPr>
            <w:tcW w:w="166" w:type="pct"/>
            <w:vMerge/>
            <w:shd w:val="clear" w:color="auto" w:fill="auto"/>
            <w:vAlign w:val="center"/>
            <w:hideMark/>
          </w:tcPr>
          <w:p w14:paraId="35FFB90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2E6A4BA3"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3EE47CFD" w14:textId="77777777" w:rsidR="002D3258" w:rsidRPr="002D3258" w:rsidRDefault="002D3258" w:rsidP="002D3258">
            <w:pPr>
              <w:pStyle w:val="13"/>
              <w:spacing w:line="240" w:lineRule="auto"/>
              <w:ind w:firstLineChars="0" w:firstLine="0"/>
              <w:rPr>
                <w:sz w:val="18"/>
                <w:szCs w:val="18"/>
              </w:rPr>
            </w:pPr>
            <w:r w:rsidRPr="002D3258">
              <w:rPr>
                <w:sz w:val="18"/>
                <w:szCs w:val="18"/>
              </w:rPr>
              <w:t>3.2.6</w:t>
            </w:r>
          </w:p>
        </w:tc>
        <w:tc>
          <w:tcPr>
            <w:tcW w:w="1463" w:type="pct"/>
            <w:shd w:val="clear" w:color="auto" w:fill="auto"/>
            <w:noWrap/>
            <w:vAlign w:val="center"/>
            <w:hideMark/>
          </w:tcPr>
          <w:p w14:paraId="5E9BC868" w14:textId="77777777" w:rsidR="002D3258" w:rsidRPr="002D3258" w:rsidRDefault="002D3258" w:rsidP="002D3258">
            <w:pPr>
              <w:pStyle w:val="13"/>
              <w:spacing w:line="240" w:lineRule="auto"/>
              <w:ind w:firstLineChars="0" w:firstLine="0"/>
              <w:rPr>
                <w:sz w:val="18"/>
                <w:szCs w:val="18"/>
              </w:rPr>
            </w:pPr>
            <w:r w:rsidRPr="002D3258">
              <w:rPr>
                <w:sz w:val="18"/>
                <w:szCs w:val="18"/>
              </w:rPr>
              <w:t>家庭资产配置服务</w:t>
            </w:r>
          </w:p>
        </w:tc>
        <w:tc>
          <w:tcPr>
            <w:tcW w:w="2063" w:type="pct"/>
            <w:shd w:val="clear" w:color="auto" w:fill="auto"/>
            <w:vAlign w:val="center"/>
            <w:hideMark/>
          </w:tcPr>
          <w:p w14:paraId="19641719"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r w:rsidR="002D3258" w:rsidRPr="002D3258" w14:paraId="26A87ED6" w14:textId="77777777" w:rsidTr="002D3258">
        <w:trPr>
          <w:gridAfter w:val="1"/>
          <w:wAfter w:w="11" w:type="pct"/>
          <w:trHeight w:val="283"/>
        </w:trPr>
        <w:tc>
          <w:tcPr>
            <w:tcW w:w="407" w:type="pct"/>
            <w:shd w:val="clear" w:color="auto" w:fill="auto"/>
            <w:noWrap/>
            <w:vAlign w:val="center"/>
            <w:hideMark/>
          </w:tcPr>
          <w:p w14:paraId="618F967A" w14:textId="77777777" w:rsidR="002D3258" w:rsidRPr="002D3258" w:rsidRDefault="002D3258" w:rsidP="002D3258">
            <w:pPr>
              <w:pStyle w:val="13"/>
              <w:spacing w:line="240" w:lineRule="auto"/>
              <w:ind w:firstLineChars="0" w:firstLine="0"/>
              <w:rPr>
                <w:sz w:val="18"/>
                <w:szCs w:val="18"/>
              </w:rPr>
            </w:pPr>
            <w:r w:rsidRPr="002D3258">
              <w:rPr>
                <w:sz w:val="18"/>
                <w:szCs w:val="18"/>
              </w:rPr>
              <w:t>126</w:t>
            </w:r>
          </w:p>
        </w:tc>
        <w:tc>
          <w:tcPr>
            <w:tcW w:w="166" w:type="pct"/>
            <w:vMerge/>
            <w:shd w:val="clear" w:color="auto" w:fill="auto"/>
            <w:vAlign w:val="center"/>
            <w:hideMark/>
          </w:tcPr>
          <w:p w14:paraId="5C8CB849" w14:textId="77777777" w:rsidR="002D3258" w:rsidRPr="002D3258" w:rsidRDefault="002D3258" w:rsidP="002D3258">
            <w:pPr>
              <w:pStyle w:val="13"/>
              <w:spacing w:line="240" w:lineRule="auto"/>
              <w:ind w:firstLineChars="0" w:firstLine="0"/>
              <w:rPr>
                <w:sz w:val="18"/>
                <w:szCs w:val="18"/>
              </w:rPr>
            </w:pPr>
          </w:p>
        </w:tc>
        <w:tc>
          <w:tcPr>
            <w:tcW w:w="407" w:type="pct"/>
            <w:vMerge/>
            <w:shd w:val="clear" w:color="auto" w:fill="auto"/>
            <w:vAlign w:val="center"/>
            <w:hideMark/>
          </w:tcPr>
          <w:p w14:paraId="1D86ACED" w14:textId="77777777" w:rsidR="002D3258" w:rsidRPr="002D3258" w:rsidRDefault="002D3258" w:rsidP="002D3258">
            <w:pPr>
              <w:pStyle w:val="13"/>
              <w:spacing w:line="240" w:lineRule="auto"/>
              <w:ind w:firstLineChars="0" w:firstLine="0"/>
              <w:rPr>
                <w:sz w:val="18"/>
                <w:szCs w:val="18"/>
              </w:rPr>
            </w:pPr>
          </w:p>
        </w:tc>
        <w:tc>
          <w:tcPr>
            <w:tcW w:w="484" w:type="pct"/>
            <w:shd w:val="clear" w:color="auto" w:fill="auto"/>
            <w:noWrap/>
            <w:vAlign w:val="center"/>
            <w:hideMark/>
          </w:tcPr>
          <w:p w14:paraId="52A4C2DC" w14:textId="77777777" w:rsidR="002D3258" w:rsidRPr="002D3258" w:rsidRDefault="002D3258" w:rsidP="002D3258">
            <w:pPr>
              <w:pStyle w:val="13"/>
              <w:spacing w:line="240" w:lineRule="auto"/>
              <w:ind w:firstLineChars="0" w:firstLine="0"/>
              <w:rPr>
                <w:sz w:val="18"/>
                <w:szCs w:val="18"/>
              </w:rPr>
            </w:pPr>
            <w:r w:rsidRPr="002D3258">
              <w:rPr>
                <w:sz w:val="18"/>
                <w:szCs w:val="18"/>
              </w:rPr>
              <w:t>3.2.7</w:t>
            </w:r>
          </w:p>
        </w:tc>
        <w:tc>
          <w:tcPr>
            <w:tcW w:w="1463" w:type="pct"/>
            <w:shd w:val="clear" w:color="auto" w:fill="auto"/>
            <w:noWrap/>
            <w:vAlign w:val="center"/>
            <w:hideMark/>
          </w:tcPr>
          <w:p w14:paraId="15D445B2" w14:textId="77777777" w:rsidR="002D3258" w:rsidRPr="002D3258" w:rsidRDefault="002D3258" w:rsidP="002D3258">
            <w:pPr>
              <w:pStyle w:val="13"/>
              <w:spacing w:line="240" w:lineRule="auto"/>
              <w:ind w:firstLineChars="0" w:firstLine="0"/>
              <w:rPr>
                <w:sz w:val="18"/>
                <w:szCs w:val="18"/>
              </w:rPr>
            </w:pPr>
            <w:r w:rsidRPr="002D3258">
              <w:rPr>
                <w:sz w:val="18"/>
                <w:szCs w:val="18"/>
              </w:rPr>
              <w:t>个人理财服务</w:t>
            </w:r>
          </w:p>
        </w:tc>
        <w:tc>
          <w:tcPr>
            <w:tcW w:w="2063" w:type="pct"/>
            <w:shd w:val="clear" w:color="auto" w:fill="auto"/>
            <w:vAlign w:val="center"/>
            <w:hideMark/>
          </w:tcPr>
          <w:p w14:paraId="0B8273FE" w14:textId="77777777" w:rsidR="002D3258" w:rsidRPr="002D3258" w:rsidRDefault="002D3258" w:rsidP="002D3258">
            <w:pPr>
              <w:pStyle w:val="13"/>
              <w:spacing w:line="240" w:lineRule="auto"/>
              <w:ind w:firstLineChars="0" w:firstLine="0"/>
              <w:rPr>
                <w:sz w:val="18"/>
                <w:szCs w:val="18"/>
              </w:rPr>
            </w:pPr>
            <w:r w:rsidRPr="002D3258">
              <w:rPr>
                <w:sz w:val="18"/>
                <w:szCs w:val="18"/>
              </w:rPr>
              <w:t>市场需求</w:t>
            </w:r>
          </w:p>
        </w:tc>
      </w:tr>
    </w:tbl>
    <w:p w14:paraId="0949C90C" w14:textId="6EB27459" w:rsidR="00F67FFD" w:rsidRDefault="00F67FFD" w:rsidP="00882ED4">
      <w:pPr>
        <w:pStyle w:val="13"/>
      </w:pPr>
    </w:p>
    <w:p w14:paraId="4F2673DD" w14:textId="352416D0" w:rsidR="00F67FFD" w:rsidRDefault="002D3258" w:rsidP="002D3258">
      <w:pPr>
        <w:pStyle w:val="21"/>
        <w:spacing w:before="156" w:after="93"/>
      </w:pPr>
      <w:bookmarkStart w:id="212" w:name="_Toc81833445"/>
      <w:r w:rsidRPr="002D3258">
        <w:rPr>
          <w:rFonts w:hint="eastAsia"/>
        </w:rPr>
        <w:t>国有企业资产评估管理</w:t>
      </w:r>
      <w:bookmarkEnd w:id="212"/>
    </w:p>
    <w:p w14:paraId="2643D6EA" w14:textId="3321CD3D" w:rsidR="00F67FFD" w:rsidRDefault="002D3258" w:rsidP="002D3258">
      <w:pPr>
        <w:pStyle w:val="31"/>
        <w:spacing w:before="156" w:after="62"/>
      </w:pPr>
      <w:bookmarkStart w:id="213" w:name="_Toc81833446"/>
      <w:r w:rsidRPr="002D3258">
        <w:rPr>
          <w:rFonts w:hint="eastAsia"/>
        </w:rPr>
        <w:t>《中华人民共和国企业国有资产法》（主席令第五号）</w:t>
      </w:r>
      <w:bookmarkEnd w:id="213"/>
    </w:p>
    <w:p w14:paraId="4709BB88" w14:textId="08B8D51A" w:rsidR="002D3258" w:rsidRPr="002D3258" w:rsidRDefault="002D3258" w:rsidP="00AF7342">
      <w:pPr>
        <w:pStyle w:val="a9"/>
        <w:spacing w:before="62" w:after="62"/>
      </w:pPr>
      <w:r w:rsidRPr="002D3258">
        <w:rPr>
          <w:rFonts w:hint="eastAsia"/>
        </w:rPr>
        <w:t>第一</w:t>
      </w:r>
      <w:r>
        <w:rPr>
          <w:rFonts w:hint="eastAsia"/>
        </w:rPr>
        <w:t xml:space="preserve">章 </w:t>
      </w:r>
      <w:r w:rsidRPr="002D3258">
        <w:rPr>
          <w:rFonts w:hint="eastAsia"/>
        </w:rPr>
        <w:t>总则</w:t>
      </w:r>
    </w:p>
    <w:p w14:paraId="5F0AEB27" w14:textId="5ED8A41E" w:rsidR="002D3258" w:rsidRPr="002D3258" w:rsidRDefault="004E3EBB" w:rsidP="002D3258">
      <w:pPr>
        <w:pStyle w:val="13"/>
        <w:ind w:firstLine="482"/>
      </w:pPr>
      <w:r w:rsidRPr="004E3EBB">
        <w:rPr>
          <w:rFonts w:hint="eastAsia"/>
          <w:b/>
          <w:bCs/>
        </w:rPr>
        <w:t xml:space="preserve">第一条 </w:t>
      </w:r>
      <w:r w:rsidR="002D3258" w:rsidRPr="002D3258">
        <w:rPr>
          <w:rFonts w:hint="eastAsia"/>
        </w:rPr>
        <w:t>为了维护国家基本经济制度，巩固和发展国有经济，加强对国有资产的保护，发挥国有经济在国民经济中的主导作用，促进社会主义市场经济发展，制定本法。</w:t>
      </w:r>
    </w:p>
    <w:p w14:paraId="40EC22EA" w14:textId="0E3DE3ED" w:rsidR="002D3258" w:rsidRPr="002D3258" w:rsidRDefault="004E3EBB" w:rsidP="002D3258">
      <w:pPr>
        <w:pStyle w:val="13"/>
        <w:ind w:firstLine="482"/>
      </w:pPr>
      <w:r w:rsidRPr="004E3EBB">
        <w:rPr>
          <w:rFonts w:hint="eastAsia"/>
          <w:b/>
          <w:bCs/>
        </w:rPr>
        <w:t xml:space="preserve">第二条 </w:t>
      </w:r>
      <w:r w:rsidR="002D3258" w:rsidRPr="002D3258">
        <w:rPr>
          <w:rFonts w:hint="eastAsia"/>
        </w:rPr>
        <w:t>本法所称企业国有资产（以下称国有资产），是指国家对企业各种形式的出资所形成的权益。</w:t>
      </w:r>
    </w:p>
    <w:p w14:paraId="3E044C7D" w14:textId="05D71855" w:rsidR="002D3258" w:rsidRPr="002D3258" w:rsidRDefault="004E3EBB" w:rsidP="002D3258">
      <w:pPr>
        <w:pStyle w:val="13"/>
        <w:ind w:firstLine="482"/>
      </w:pPr>
      <w:r w:rsidRPr="004E3EBB">
        <w:rPr>
          <w:rFonts w:hint="eastAsia"/>
          <w:b/>
          <w:bCs/>
        </w:rPr>
        <w:t xml:space="preserve">第三条 </w:t>
      </w:r>
      <w:r w:rsidR="002D3258" w:rsidRPr="002D3258">
        <w:rPr>
          <w:rFonts w:hint="eastAsia"/>
        </w:rPr>
        <w:t>国有资产属于国家所有即全民所有。国务院代表国家行使国有资产所有权。</w:t>
      </w:r>
    </w:p>
    <w:p w14:paraId="45F73D50" w14:textId="1E7348D2" w:rsidR="002D3258" w:rsidRPr="002D3258" w:rsidRDefault="004E3EBB" w:rsidP="002D3258">
      <w:pPr>
        <w:pStyle w:val="13"/>
        <w:ind w:firstLine="482"/>
      </w:pPr>
      <w:r w:rsidRPr="004E3EBB">
        <w:rPr>
          <w:rFonts w:hint="eastAsia"/>
          <w:b/>
          <w:bCs/>
        </w:rPr>
        <w:t xml:space="preserve">第四条 </w:t>
      </w:r>
      <w:r w:rsidR="002D3258" w:rsidRPr="002D3258">
        <w:rPr>
          <w:rFonts w:hint="eastAsia"/>
        </w:rPr>
        <w:t>国务院和地方人民政府依照法律、行政法规的规定，分别代表国家对国家出资企业履行出资人职责，享有出资人权益。</w:t>
      </w:r>
    </w:p>
    <w:p w14:paraId="38F8011A" w14:textId="3E184C21" w:rsidR="002D3258" w:rsidRPr="002D3258" w:rsidRDefault="002D3258" w:rsidP="002D3258">
      <w:pPr>
        <w:pStyle w:val="13"/>
      </w:pPr>
      <w:r w:rsidRPr="002D3258">
        <w:rPr>
          <w:rFonts w:hint="eastAsia"/>
        </w:rPr>
        <w:t>国务院确定的关系国民经济命脉和国家安全的大型国家出资企业，重要基础设施和重要自然资源等领域的国家出资企业，由国务院代表国家履行出资人职责。其他的国家出资企业，由地方人民政府代表国家履行出资人职责。</w:t>
      </w:r>
    </w:p>
    <w:p w14:paraId="1D4F1086" w14:textId="4D913DB6" w:rsidR="002D3258" w:rsidRPr="002D3258" w:rsidRDefault="004E3EBB" w:rsidP="002D3258">
      <w:pPr>
        <w:pStyle w:val="13"/>
        <w:ind w:firstLine="482"/>
      </w:pPr>
      <w:r w:rsidRPr="004E3EBB">
        <w:rPr>
          <w:rFonts w:hint="eastAsia"/>
          <w:b/>
          <w:bCs/>
        </w:rPr>
        <w:t xml:space="preserve">第五条 </w:t>
      </w:r>
      <w:r w:rsidR="002D3258" w:rsidRPr="002D3258">
        <w:rPr>
          <w:rFonts w:hint="eastAsia"/>
        </w:rPr>
        <w:t>本法所称国家出资企业，是指国家出资的国有独资企业、国有独资公司，以及国有资本控股公司、国有资本参股公司。</w:t>
      </w:r>
    </w:p>
    <w:p w14:paraId="7D39A27E" w14:textId="623EBB6A" w:rsidR="002D3258" w:rsidRPr="002D3258" w:rsidRDefault="004E3EBB" w:rsidP="002D3258">
      <w:pPr>
        <w:pStyle w:val="13"/>
        <w:ind w:firstLine="482"/>
      </w:pPr>
      <w:r w:rsidRPr="004E3EBB">
        <w:rPr>
          <w:rFonts w:hint="eastAsia"/>
          <w:b/>
          <w:bCs/>
        </w:rPr>
        <w:t xml:space="preserve">第六条 </w:t>
      </w:r>
      <w:r w:rsidR="002D3258" w:rsidRPr="002D3258">
        <w:rPr>
          <w:rFonts w:hint="eastAsia"/>
        </w:rPr>
        <w:t>国务院和地方人民政府应当按照政企分开、社会公共管理职能与国有资产出资人职能分开、不干预企业依法自主经营的原则，依法履行出资人职责。</w:t>
      </w:r>
    </w:p>
    <w:p w14:paraId="271BB65C" w14:textId="38532791" w:rsidR="002D3258" w:rsidRPr="002D3258" w:rsidRDefault="004E3EBB" w:rsidP="002D3258">
      <w:pPr>
        <w:pStyle w:val="13"/>
        <w:ind w:firstLine="482"/>
      </w:pPr>
      <w:r w:rsidRPr="004E3EBB">
        <w:rPr>
          <w:rFonts w:hint="eastAsia"/>
          <w:b/>
          <w:bCs/>
        </w:rPr>
        <w:t xml:space="preserve">第七条 </w:t>
      </w:r>
      <w:r w:rsidR="002D3258" w:rsidRPr="002D3258">
        <w:rPr>
          <w:rFonts w:hint="eastAsia"/>
        </w:rPr>
        <w:t>国家采取措施，推动国有资本向关系国民经济命脉和国家安全的重要行业和关键领域集中，优化国有经济布局和结构，推进国有企业的改革和发展，提高国有经济的整体素质，增强国有经济的控制力、影响力。</w:t>
      </w:r>
    </w:p>
    <w:p w14:paraId="6D2FA130" w14:textId="7B7D0E31" w:rsidR="002D3258" w:rsidRPr="002D3258" w:rsidRDefault="004E3EBB" w:rsidP="002D3258">
      <w:pPr>
        <w:pStyle w:val="13"/>
        <w:ind w:firstLine="482"/>
      </w:pPr>
      <w:r w:rsidRPr="004E3EBB">
        <w:rPr>
          <w:rFonts w:hint="eastAsia"/>
          <w:b/>
          <w:bCs/>
        </w:rPr>
        <w:t xml:space="preserve">第八条 </w:t>
      </w:r>
      <w:r w:rsidR="002D3258" w:rsidRPr="002D3258">
        <w:rPr>
          <w:rFonts w:hint="eastAsia"/>
        </w:rPr>
        <w:t>国家建立健全与社会主义市场经济发展要求相适应的国有资产管理与</w:t>
      </w:r>
      <w:r w:rsidR="002D3258" w:rsidRPr="002D3258">
        <w:rPr>
          <w:rFonts w:hint="eastAsia"/>
        </w:rPr>
        <w:lastRenderedPageBreak/>
        <w:t>监督体制，建立健全国有资产保值增值考核和责任追究制度，落实国有资产保值增值责任。</w:t>
      </w:r>
    </w:p>
    <w:p w14:paraId="5747B05D" w14:textId="15170732" w:rsidR="002D3258" w:rsidRPr="002D3258" w:rsidRDefault="00E05BDA" w:rsidP="002D3258">
      <w:pPr>
        <w:pStyle w:val="13"/>
        <w:ind w:firstLine="482"/>
      </w:pPr>
      <w:r w:rsidRPr="00E05BDA">
        <w:rPr>
          <w:rFonts w:hint="eastAsia"/>
          <w:b/>
          <w:bCs/>
        </w:rPr>
        <w:t xml:space="preserve">第九条 </w:t>
      </w:r>
      <w:r w:rsidR="002D3258" w:rsidRPr="002D3258">
        <w:rPr>
          <w:rFonts w:hint="eastAsia"/>
        </w:rPr>
        <w:t>国家建立健全国有资产基础管理制度。具体办法按照国务院的规定制定。</w:t>
      </w:r>
    </w:p>
    <w:p w14:paraId="7445B86C" w14:textId="36B441D5" w:rsidR="002D3258" w:rsidRPr="002D3258" w:rsidRDefault="00E05BDA" w:rsidP="002D3258">
      <w:pPr>
        <w:pStyle w:val="13"/>
        <w:ind w:firstLine="482"/>
      </w:pPr>
      <w:r w:rsidRPr="00E05BDA">
        <w:rPr>
          <w:rFonts w:hint="eastAsia"/>
          <w:b/>
          <w:bCs/>
        </w:rPr>
        <w:t xml:space="preserve">第十条 </w:t>
      </w:r>
      <w:r w:rsidR="002D3258" w:rsidRPr="002D3258">
        <w:rPr>
          <w:rFonts w:hint="eastAsia"/>
        </w:rPr>
        <w:t>国有资产受法律保护，任何单位和个人不得侵害。</w:t>
      </w:r>
    </w:p>
    <w:p w14:paraId="5497CD66" w14:textId="0BD0DA03" w:rsidR="002D3258" w:rsidRPr="002D3258" w:rsidRDefault="002D3258" w:rsidP="00AF7342">
      <w:pPr>
        <w:pStyle w:val="a9"/>
        <w:spacing w:before="62" w:after="62"/>
      </w:pPr>
      <w:r w:rsidRPr="002D3258">
        <w:rPr>
          <w:rFonts w:hint="eastAsia"/>
        </w:rPr>
        <w:t>第二</w:t>
      </w:r>
      <w:r>
        <w:rPr>
          <w:rFonts w:hint="eastAsia"/>
        </w:rPr>
        <w:t xml:space="preserve">章 </w:t>
      </w:r>
      <w:r w:rsidRPr="002D3258">
        <w:rPr>
          <w:rFonts w:hint="eastAsia"/>
        </w:rPr>
        <w:t>履行出资人职责的机构</w:t>
      </w:r>
    </w:p>
    <w:p w14:paraId="116F9834" w14:textId="48DC76DA" w:rsidR="002D3258" w:rsidRPr="002D3258" w:rsidRDefault="00E05BDA" w:rsidP="002D3258">
      <w:pPr>
        <w:pStyle w:val="13"/>
        <w:ind w:firstLine="482"/>
      </w:pPr>
      <w:r w:rsidRPr="00E05BDA">
        <w:rPr>
          <w:rFonts w:hint="eastAsia"/>
          <w:b/>
          <w:bCs/>
        </w:rPr>
        <w:t xml:space="preserve">第十一条 </w:t>
      </w:r>
      <w:r w:rsidR="002D3258" w:rsidRPr="002D3258">
        <w:rPr>
          <w:rFonts w:hint="eastAsia"/>
        </w:rPr>
        <w:t>国务院国有资产监督管理机构和地方人民政府按照国务院的规定设立的国有资产监督管理机构，根据本级人民政府的授权，代表本级人民政府对国家出资企业履行出资人职责。</w:t>
      </w:r>
    </w:p>
    <w:p w14:paraId="012EC009" w14:textId="7B10AB50" w:rsidR="002D3258" w:rsidRPr="002D3258" w:rsidRDefault="002D3258" w:rsidP="002D3258">
      <w:pPr>
        <w:pStyle w:val="13"/>
      </w:pPr>
      <w:r w:rsidRPr="002D3258">
        <w:rPr>
          <w:rFonts w:hint="eastAsia"/>
        </w:rPr>
        <w:t>国务院和地方人民政府根据需要，可以授权其他部门、机构代表本级人民政府对国家出资企业履行出资人职责。</w:t>
      </w:r>
    </w:p>
    <w:p w14:paraId="7989D522" w14:textId="498908DC" w:rsidR="002D3258" w:rsidRPr="002D3258" w:rsidRDefault="002D3258" w:rsidP="002D3258">
      <w:pPr>
        <w:pStyle w:val="13"/>
      </w:pPr>
      <w:r w:rsidRPr="002D3258">
        <w:rPr>
          <w:rFonts w:hint="eastAsia"/>
        </w:rPr>
        <w:t>代表本级人民政府履行出资人职责的机构、部门，以下统称履行出资人职责的机构。</w:t>
      </w:r>
    </w:p>
    <w:p w14:paraId="37C27E93" w14:textId="4654DD7E" w:rsidR="002D3258" w:rsidRPr="002D3258" w:rsidRDefault="00E05BDA" w:rsidP="002D3258">
      <w:pPr>
        <w:pStyle w:val="13"/>
        <w:ind w:firstLine="482"/>
      </w:pPr>
      <w:r w:rsidRPr="00E05BDA">
        <w:rPr>
          <w:rFonts w:hint="eastAsia"/>
          <w:b/>
          <w:bCs/>
        </w:rPr>
        <w:t xml:space="preserve">第十二条 </w:t>
      </w:r>
      <w:r w:rsidR="002D3258" w:rsidRPr="002D3258">
        <w:rPr>
          <w:rFonts w:hint="eastAsia"/>
        </w:rPr>
        <w:t>履行出资人职责的机构代表本级人民政府对国家出资企业依法享有资产收益、参与重大决策和选择管理者等出资人权利。</w:t>
      </w:r>
    </w:p>
    <w:p w14:paraId="3B7EB122" w14:textId="25D8D096" w:rsidR="002D3258" w:rsidRPr="002D3258" w:rsidRDefault="002D3258" w:rsidP="002D3258">
      <w:pPr>
        <w:pStyle w:val="13"/>
      </w:pPr>
      <w:r w:rsidRPr="002D3258">
        <w:rPr>
          <w:rFonts w:hint="eastAsia"/>
        </w:rPr>
        <w:t>履行出资人职责的机构依照法律、行政法规的规定，制定或者参与制定国家出资企业的章程。</w:t>
      </w:r>
    </w:p>
    <w:p w14:paraId="065E3621" w14:textId="09C6C46A" w:rsidR="002D3258" w:rsidRPr="002D3258" w:rsidRDefault="002D3258" w:rsidP="002D3258">
      <w:pPr>
        <w:pStyle w:val="13"/>
      </w:pPr>
      <w:r w:rsidRPr="002D3258">
        <w:rPr>
          <w:rFonts w:hint="eastAsia"/>
        </w:rPr>
        <w:t>履行出资人职责的机构对法律、行政法规和本级人民政府规定须经本级人民政府批准的履行出资人职责的重大事项，应当报请本级人民政府批准。</w:t>
      </w:r>
    </w:p>
    <w:p w14:paraId="674F3C1E" w14:textId="1011C0A2" w:rsidR="002D3258" w:rsidRPr="002D3258" w:rsidRDefault="00E05BDA" w:rsidP="002D3258">
      <w:pPr>
        <w:pStyle w:val="13"/>
        <w:ind w:firstLine="482"/>
      </w:pPr>
      <w:r w:rsidRPr="00E05BDA">
        <w:rPr>
          <w:rFonts w:hint="eastAsia"/>
          <w:b/>
          <w:bCs/>
        </w:rPr>
        <w:t xml:space="preserve">第十三条 </w:t>
      </w:r>
      <w:r w:rsidR="002D3258" w:rsidRPr="002D3258">
        <w:rPr>
          <w:rFonts w:hint="eastAsia"/>
        </w:rPr>
        <w:t>履行出资人职责的机构委派的股东代表参加国有资本控股公司、国有资本参股公司召开的股东会会议、股东大会会议，应当按照委派机构的指示提出提案、发表意见、行使表决权，并将其履行职责的情况和结果及时报告委派机构。</w:t>
      </w:r>
    </w:p>
    <w:p w14:paraId="65C24A93" w14:textId="708D5101" w:rsidR="002D3258" w:rsidRPr="002D3258" w:rsidRDefault="00E05BDA" w:rsidP="002D3258">
      <w:pPr>
        <w:pStyle w:val="13"/>
        <w:ind w:firstLine="482"/>
      </w:pPr>
      <w:r w:rsidRPr="00E05BDA">
        <w:rPr>
          <w:rFonts w:hint="eastAsia"/>
          <w:b/>
          <w:bCs/>
        </w:rPr>
        <w:t xml:space="preserve">第十四条 </w:t>
      </w:r>
      <w:r w:rsidR="002D3258" w:rsidRPr="002D3258">
        <w:rPr>
          <w:rFonts w:hint="eastAsia"/>
        </w:rPr>
        <w:t>履行出资人职责的机构应当依照法律、行政法规以及企业章程履行出资人职责，保障出资人权益，防止国有资产损失。</w:t>
      </w:r>
    </w:p>
    <w:p w14:paraId="69B3D705" w14:textId="1A83A2E2" w:rsidR="002D3258" w:rsidRPr="002D3258" w:rsidRDefault="002D3258" w:rsidP="002D3258">
      <w:pPr>
        <w:pStyle w:val="13"/>
      </w:pPr>
      <w:r w:rsidRPr="002D3258">
        <w:rPr>
          <w:rFonts w:hint="eastAsia"/>
        </w:rPr>
        <w:t>履行出资人职责的机构应当维护企业作为市场主体依法享有的权利，除依法履行出资人职责外，不得干预企业经营活动。</w:t>
      </w:r>
    </w:p>
    <w:p w14:paraId="334CD10E" w14:textId="573957C5" w:rsidR="002D3258" w:rsidRPr="002D3258" w:rsidRDefault="00E05BDA" w:rsidP="002D3258">
      <w:pPr>
        <w:pStyle w:val="13"/>
        <w:ind w:firstLine="482"/>
      </w:pPr>
      <w:r w:rsidRPr="00E05BDA">
        <w:rPr>
          <w:rFonts w:hint="eastAsia"/>
          <w:b/>
          <w:bCs/>
        </w:rPr>
        <w:t xml:space="preserve">第十五条 </w:t>
      </w:r>
      <w:r w:rsidR="002D3258" w:rsidRPr="002D3258">
        <w:rPr>
          <w:rFonts w:hint="eastAsia"/>
        </w:rPr>
        <w:t>履行出资人职责的机构对本级人民政府负责，向本级人民政府报告履行出资人职责的情况，接受本级人民政府的监督和考核，对国有资产的保值增值负责。</w:t>
      </w:r>
    </w:p>
    <w:p w14:paraId="24FCD1B1" w14:textId="46C66D8D" w:rsidR="002D3258" w:rsidRPr="002D3258" w:rsidRDefault="002D3258" w:rsidP="002D3258">
      <w:pPr>
        <w:pStyle w:val="13"/>
      </w:pPr>
      <w:r w:rsidRPr="002D3258">
        <w:rPr>
          <w:rFonts w:hint="eastAsia"/>
        </w:rPr>
        <w:t>履行出资人职责的机构应当按照国家有关规定，定期向本级人民政府报告有关国有资产总量、结构、变动、收益等汇总分析的情况。</w:t>
      </w:r>
    </w:p>
    <w:p w14:paraId="6C42BFBA" w14:textId="021E3178" w:rsidR="002D3258" w:rsidRPr="002D3258" w:rsidRDefault="002D3258" w:rsidP="00AF7342">
      <w:pPr>
        <w:pStyle w:val="a9"/>
        <w:spacing w:before="62" w:after="62"/>
      </w:pPr>
      <w:r w:rsidRPr="002D3258">
        <w:rPr>
          <w:rFonts w:hint="eastAsia"/>
        </w:rPr>
        <w:t>第三</w:t>
      </w:r>
      <w:r>
        <w:rPr>
          <w:rFonts w:hint="eastAsia"/>
        </w:rPr>
        <w:t xml:space="preserve">章 </w:t>
      </w:r>
      <w:r w:rsidRPr="002D3258">
        <w:rPr>
          <w:rFonts w:hint="eastAsia"/>
        </w:rPr>
        <w:t>国家出资企业</w:t>
      </w:r>
    </w:p>
    <w:p w14:paraId="519FA23A" w14:textId="46A06196" w:rsidR="002D3258" w:rsidRPr="002D3258" w:rsidRDefault="00E05BDA" w:rsidP="002D3258">
      <w:pPr>
        <w:pStyle w:val="13"/>
        <w:ind w:firstLine="482"/>
      </w:pPr>
      <w:r w:rsidRPr="00E05BDA">
        <w:rPr>
          <w:rFonts w:hint="eastAsia"/>
          <w:b/>
          <w:bCs/>
        </w:rPr>
        <w:t xml:space="preserve">第十六条 </w:t>
      </w:r>
      <w:r w:rsidR="002D3258" w:rsidRPr="002D3258">
        <w:rPr>
          <w:rFonts w:hint="eastAsia"/>
        </w:rPr>
        <w:t>国家出资企业对其动产、不动产和其他财产依照法律、行政法规以及企业章程享有占有、使用、收益和处分的权利。</w:t>
      </w:r>
    </w:p>
    <w:p w14:paraId="741F66EE" w14:textId="67216222" w:rsidR="002D3258" w:rsidRPr="002D3258" w:rsidRDefault="002D3258" w:rsidP="002D3258">
      <w:pPr>
        <w:pStyle w:val="13"/>
      </w:pPr>
      <w:r w:rsidRPr="002D3258">
        <w:rPr>
          <w:rFonts w:hint="eastAsia"/>
        </w:rPr>
        <w:lastRenderedPageBreak/>
        <w:t>国家出资企业依法享有的经营自主权和其他合法权益受法律保护。</w:t>
      </w:r>
    </w:p>
    <w:p w14:paraId="73BCACD2" w14:textId="23514EA7" w:rsidR="002D3258" w:rsidRPr="002D3258" w:rsidRDefault="00E05BDA" w:rsidP="002D3258">
      <w:pPr>
        <w:pStyle w:val="13"/>
        <w:ind w:firstLine="482"/>
      </w:pPr>
      <w:r w:rsidRPr="00E05BDA">
        <w:rPr>
          <w:rFonts w:hint="eastAsia"/>
          <w:b/>
          <w:bCs/>
        </w:rPr>
        <w:t xml:space="preserve">第十七条 </w:t>
      </w:r>
      <w:r w:rsidR="002D3258" w:rsidRPr="002D3258">
        <w:rPr>
          <w:rFonts w:hint="eastAsia"/>
        </w:rPr>
        <w:t>国家出资企业从事经营活动，应当遵守法律、行政法规，加强经营管理，提高经济效益，接受人民政府及其有关部门、机构依法实施的管理和监督，接受社会公众的监督，承担社会责任，对出资人负责。</w:t>
      </w:r>
    </w:p>
    <w:p w14:paraId="283EF7F1" w14:textId="5C7307A7" w:rsidR="002D3258" w:rsidRPr="002D3258" w:rsidRDefault="002D3258" w:rsidP="002D3258">
      <w:pPr>
        <w:pStyle w:val="13"/>
      </w:pPr>
      <w:r w:rsidRPr="002D3258">
        <w:rPr>
          <w:rFonts w:hint="eastAsia"/>
        </w:rPr>
        <w:t>国家出资企业应当依法建立和完善法人治理结构，建立健全内部监督管理和风险控制制度。</w:t>
      </w:r>
    </w:p>
    <w:p w14:paraId="12BA9193" w14:textId="0FF08628" w:rsidR="002D3258" w:rsidRPr="002D3258" w:rsidRDefault="00E05BDA" w:rsidP="002D3258">
      <w:pPr>
        <w:pStyle w:val="13"/>
        <w:ind w:firstLine="482"/>
      </w:pPr>
      <w:r w:rsidRPr="00E05BDA">
        <w:rPr>
          <w:rFonts w:hint="eastAsia"/>
          <w:b/>
          <w:bCs/>
        </w:rPr>
        <w:t xml:space="preserve">第十八条 </w:t>
      </w:r>
      <w:r w:rsidR="002D3258" w:rsidRPr="002D3258">
        <w:rPr>
          <w:rFonts w:hint="eastAsia"/>
        </w:rPr>
        <w:t>国家出资企业应当依照法律、行政法规和国务院财政部门的规定，建立健全财务、会计制度，设置会计账簿，进行会计核算，依照法律、行政法规以及企业章程的规定向出资人提供真实、完整的财务、会计信息。</w:t>
      </w:r>
    </w:p>
    <w:p w14:paraId="1A6F70A6" w14:textId="564D017A" w:rsidR="002D3258" w:rsidRPr="002D3258" w:rsidRDefault="002D3258" w:rsidP="002D3258">
      <w:pPr>
        <w:pStyle w:val="13"/>
      </w:pPr>
      <w:r w:rsidRPr="002D3258">
        <w:rPr>
          <w:rFonts w:hint="eastAsia"/>
        </w:rPr>
        <w:t>国家出资企业应当依照法律、行政法规以及企业章程的规定，向出资人分配利润。</w:t>
      </w:r>
    </w:p>
    <w:p w14:paraId="40414548" w14:textId="2C83F929" w:rsidR="002D3258" w:rsidRPr="002D3258" w:rsidRDefault="00E05BDA" w:rsidP="002D3258">
      <w:pPr>
        <w:pStyle w:val="13"/>
        <w:ind w:firstLine="482"/>
      </w:pPr>
      <w:r w:rsidRPr="00E05BDA">
        <w:rPr>
          <w:rFonts w:hint="eastAsia"/>
          <w:b/>
          <w:bCs/>
        </w:rPr>
        <w:t xml:space="preserve">第十九条 </w:t>
      </w:r>
      <w:r w:rsidR="002D3258" w:rsidRPr="002D3258">
        <w:rPr>
          <w:rFonts w:hint="eastAsia"/>
        </w:rPr>
        <w:t>国有独资公司、国有资本控股公司和国有资本参股公司依照《中华人民共和国公司法》的规定设立监事会。国有独资企业由履行出资人职责的机构按照国务院的规定委派监事组成监事会。</w:t>
      </w:r>
    </w:p>
    <w:p w14:paraId="230B9EBE" w14:textId="73F6A7A5" w:rsidR="002D3258" w:rsidRPr="002D3258" w:rsidRDefault="002D3258" w:rsidP="002D3258">
      <w:pPr>
        <w:pStyle w:val="13"/>
      </w:pPr>
      <w:r w:rsidRPr="002D3258">
        <w:rPr>
          <w:rFonts w:hint="eastAsia"/>
        </w:rPr>
        <w:t>国家出资企业的监事会依照法律、行政法规以及企业章程的规定，对董事、高级管理人员执行职务的行为进行监督，对企业财务进行监督检查。</w:t>
      </w:r>
    </w:p>
    <w:p w14:paraId="0FD5B2B9" w14:textId="4A0583ED" w:rsidR="002D3258" w:rsidRPr="002D3258" w:rsidRDefault="00E05BDA" w:rsidP="002D3258">
      <w:pPr>
        <w:pStyle w:val="13"/>
        <w:ind w:firstLine="482"/>
      </w:pPr>
      <w:r w:rsidRPr="00E05BDA">
        <w:rPr>
          <w:rFonts w:hint="eastAsia"/>
          <w:b/>
          <w:bCs/>
        </w:rPr>
        <w:t xml:space="preserve">第二十条 </w:t>
      </w:r>
      <w:r w:rsidR="002D3258" w:rsidRPr="002D3258">
        <w:rPr>
          <w:rFonts w:hint="eastAsia"/>
        </w:rPr>
        <w:t>国家出资企业依照法律规定，通过职工代表大会或者其他形式，实行民主管理。</w:t>
      </w:r>
    </w:p>
    <w:p w14:paraId="14361291" w14:textId="21744A78" w:rsidR="002D3258" w:rsidRPr="002D3258" w:rsidRDefault="00E05BDA" w:rsidP="002D3258">
      <w:pPr>
        <w:pStyle w:val="13"/>
        <w:ind w:firstLine="482"/>
      </w:pPr>
      <w:r w:rsidRPr="00E05BDA">
        <w:rPr>
          <w:rFonts w:hint="eastAsia"/>
          <w:b/>
          <w:bCs/>
        </w:rPr>
        <w:t xml:space="preserve">第二十一条 </w:t>
      </w:r>
      <w:r w:rsidR="002D3258" w:rsidRPr="002D3258">
        <w:rPr>
          <w:rFonts w:hint="eastAsia"/>
        </w:rPr>
        <w:t>国家出资企业对其所出资企业依法享有资产收益、参与重大决策和选择管理者等出资人权利。</w:t>
      </w:r>
    </w:p>
    <w:p w14:paraId="7972F05B" w14:textId="1BAB3A7A" w:rsidR="002D3258" w:rsidRPr="002D3258" w:rsidRDefault="002D3258" w:rsidP="002D3258">
      <w:pPr>
        <w:pStyle w:val="13"/>
      </w:pPr>
      <w:r w:rsidRPr="002D3258">
        <w:rPr>
          <w:rFonts w:hint="eastAsia"/>
        </w:rPr>
        <w:t>国家出资企业对其所出资企业，应当依照法律、行政法规的规定，通过制定或者参与制定所出资企业的章程，建立权责明确、有效制衡的企业内部监督管理和风险控制制度，维护其出资人权益。</w:t>
      </w:r>
    </w:p>
    <w:p w14:paraId="2DCC2A04" w14:textId="07D0FC0B" w:rsidR="002D3258" w:rsidRPr="002D3258" w:rsidRDefault="002D3258" w:rsidP="00AF7342">
      <w:pPr>
        <w:pStyle w:val="a9"/>
        <w:spacing w:before="62" w:after="62"/>
      </w:pPr>
      <w:r w:rsidRPr="002D3258">
        <w:rPr>
          <w:rFonts w:hint="eastAsia"/>
        </w:rPr>
        <w:t>第四</w:t>
      </w:r>
      <w:r>
        <w:rPr>
          <w:rFonts w:hint="eastAsia"/>
        </w:rPr>
        <w:t xml:space="preserve">章 </w:t>
      </w:r>
      <w:r w:rsidRPr="002D3258">
        <w:rPr>
          <w:rFonts w:hint="eastAsia"/>
        </w:rPr>
        <w:t>国家出资企业管理者的选择与考核</w:t>
      </w:r>
    </w:p>
    <w:p w14:paraId="749DECF1" w14:textId="283C5649" w:rsidR="002D3258" w:rsidRPr="002D3258" w:rsidRDefault="00E05BDA" w:rsidP="002D3258">
      <w:pPr>
        <w:pStyle w:val="13"/>
        <w:ind w:firstLine="482"/>
      </w:pPr>
      <w:r w:rsidRPr="00E05BDA">
        <w:rPr>
          <w:rFonts w:hint="eastAsia"/>
          <w:b/>
          <w:bCs/>
        </w:rPr>
        <w:t xml:space="preserve">第二十二条 </w:t>
      </w:r>
      <w:r w:rsidR="002D3258" w:rsidRPr="002D3258">
        <w:rPr>
          <w:rFonts w:hint="eastAsia"/>
        </w:rPr>
        <w:t>履行出资人职责的机构依照法律、行政法规以及企业章程的规定，任免或者建议任免国家出资企业的下列人员：</w:t>
      </w:r>
    </w:p>
    <w:p w14:paraId="6997C73E" w14:textId="7921CF12" w:rsidR="002D3258" w:rsidRPr="002D3258" w:rsidRDefault="002D3258" w:rsidP="002D3258">
      <w:pPr>
        <w:pStyle w:val="13"/>
      </w:pPr>
      <w:r w:rsidRPr="002D3258">
        <w:rPr>
          <w:rFonts w:hint="eastAsia"/>
        </w:rPr>
        <w:t>（一）任免国有独资企业的经理、副经理、财务负责人和其他高级管理人员；</w:t>
      </w:r>
    </w:p>
    <w:p w14:paraId="7EC392BA" w14:textId="2111D675" w:rsidR="002D3258" w:rsidRPr="002D3258" w:rsidRDefault="002D3258" w:rsidP="002D3258">
      <w:pPr>
        <w:pStyle w:val="13"/>
      </w:pPr>
      <w:r w:rsidRPr="002D3258">
        <w:rPr>
          <w:rFonts w:hint="eastAsia"/>
        </w:rPr>
        <w:t>（二）任免国有独资公司的董事长、副董事长、董事、监事会主席和监事；</w:t>
      </w:r>
    </w:p>
    <w:p w14:paraId="2FE0D76B" w14:textId="445D1627" w:rsidR="002D3258" w:rsidRPr="002D3258" w:rsidRDefault="002D3258" w:rsidP="002D3258">
      <w:pPr>
        <w:pStyle w:val="13"/>
      </w:pPr>
      <w:r w:rsidRPr="002D3258">
        <w:rPr>
          <w:rFonts w:hint="eastAsia"/>
        </w:rPr>
        <w:t>（三）向国有资本控股公司、国有资本参股公司的股东会、股东大会提出董事、监事人选。</w:t>
      </w:r>
    </w:p>
    <w:p w14:paraId="5FB4E26F" w14:textId="4227B33B" w:rsidR="002D3258" w:rsidRPr="002D3258" w:rsidRDefault="002D3258" w:rsidP="002D3258">
      <w:pPr>
        <w:pStyle w:val="13"/>
      </w:pPr>
      <w:r w:rsidRPr="002D3258">
        <w:rPr>
          <w:rFonts w:hint="eastAsia"/>
        </w:rPr>
        <w:t>国家出资企业中应当由职工代表出任的董事、监事，依照有关法律、行政法规的规定由职工民主选举产生。</w:t>
      </w:r>
    </w:p>
    <w:p w14:paraId="395FAFDD" w14:textId="0974399F" w:rsidR="002D3258" w:rsidRPr="002D3258" w:rsidRDefault="00E05BDA" w:rsidP="002D3258">
      <w:pPr>
        <w:pStyle w:val="13"/>
        <w:ind w:firstLine="482"/>
      </w:pPr>
      <w:r w:rsidRPr="00E05BDA">
        <w:rPr>
          <w:rFonts w:hint="eastAsia"/>
          <w:b/>
          <w:bCs/>
        </w:rPr>
        <w:t xml:space="preserve">第二十三条 </w:t>
      </w:r>
      <w:r w:rsidR="002D3258" w:rsidRPr="002D3258">
        <w:rPr>
          <w:rFonts w:hint="eastAsia"/>
        </w:rPr>
        <w:t>履行出资人职责的机构任命或者建议任命的董事、监事、高级管理人员，应当具备下列条件：</w:t>
      </w:r>
    </w:p>
    <w:p w14:paraId="26EA8E93" w14:textId="754101BD" w:rsidR="002D3258" w:rsidRPr="002D3258" w:rsidRDefault="002D3258" w:rsidP="002D3258">
      <w:pPr>
        <w:pStyle w:val="13"/>
      </w:pPr>
      <w:r w:rsidRPr="002D3258">
        <w:rPr>
          <w:rFonts w:hint="eastAsia"/>
        </w:rPr>
        <w:lastRenderedPageBreak/>
        <w:t>（一）有良好的品行；</w:t>
      </w:r>
    </w:p>
    <w:p w14:paraId="0F6C565A" w14:textId="59ECB45B" w:rsidR="002D3258" w:rsidRPr="002D3258" w:rsidRDefault="002D3258" w:rsidP="002D3258">
      <w:pPr>
        <w:pStyle w:val="13"/>
      </w:pPr>
      <w:r w:rsidRPr="002D3258">
        <w:rPr>
          <w:rFonts w:hint="eastAsia"/>
        </w:rPr>
        <w:t>（二）有符合职位要求的专业知识和工作能力；</w:t>
      </w:r>
    </w:p>
    <w:p w14:paraId="4A396FF8" w14:textId="68CFFB45" w:rsidR="002D3258" w:rsidRPr="002D3258" w:rsidRDefault="002D3258" w:rsidP="002D3258">
      <w:pPr>
        <w:pStyle w:val="13"/>
      </w:pPr>
      <w:r w:rsidRPr="002D3258">
        <w:rPr>
          <w:rFonts w:hint="eastAsia"/>
        </w:rPr>
        <w:t>（三）有能够正常履行职责的身体条件；</w:t>
      </w:r>
    </w:p>
    <w:p w14:paraId="18895C8E" w14:textId="0DE77BB5" w:rsidR="002D3258" w:rsidRPr="002D3258" w:rsidRDefault="002D3258" w:rsidP="002D3258">
      <w:pPr>
        <w:pStyle w:val="13"/>
      </w:pPr>
      <w:r w:rsidRPr="002D3258">
        <w:rPr>
          <w:rFonts w:hint="eastAsia"/>
        </w:rPr>
        <w:t>（四）法律、行政法规规定的其他条件。</w:t>
      </w:r>
    </w:p>
    <w:p w14:paraId="68B076CB" w14:textId="048188FA" w:rsidR="002D3258" w:rsidRPr="002D3258" w:rsidRDefault="002D3258" w:rsidP="002D3258">
      <w:pPr>
        <w:pStyle w:val="13"/>
      </w:pPr>
      <w:r w:rsidRPr="002D3258">
        <w:rPr>
          <w:rFonts w:hint="eastAsia"/>
        </w:rPr>
        <w:t>董事、监事、高级管理人员在任职期间出现不符合前款规定情形或者出现《中华人民共和国公司法》规定的不得担任公司董事、监事、高级管理人员情形的，履行出资人职责的机构应当依法予以免职或者提出免职建议。</w:t>
      </w:r>
    </w:p>
    <w:p w14:paraId="54CA4753" w14:textId="289866BD" w:rsidR="002D3258" w:rsidRPr="002D3258" w:rsidRDefault="00E05BDA" w:rsidP="002D3258">
      <w:pPr>
        <w:pStyle w:val="13"/>
        <w:ind w:firstLine="482"/>
      </w:pPr>
      <w:r w:rsidRPr="00E05BDA">
        <w:rPr>
          <w:rFonts w:hint="eastAsia"/>
          <w:b/>
          <w:bCs/>
        </w:rPr>
        <w:t xml:space="preserve">第二十四条 </w:t>
      </w:r>
      <w:r w:rsidR="002D3258" w:rsidRPr="002D3258">
        <w:rPr>
          <w:rFonts w:hint="eastAsia"/>
        </w:rPr>
        <w:t>履行出资人职责的机构对拟任命或者建议任命的董事、监事、高级管理人员的人选，应当按照规定的条件和程序进行考察。考察合格的，按照规定的权限和程序任命或者建议任命。</w:t>
      </w:r>
    </w:p>
    <w:p w14:paraId="6F1F2579" w14:textId="1C9786E9" w:rsidR="002D3258" w:rsidRPr="002D3258" w:rsidRDefault="00E05BDA" w:rsidP="002D3258">
      <w:pPr>
        <w:pStyle w:val="13"/>
        <w:ind w:firstLine="482"/>
      </w:pPr>
      <w:r w:rsidRPr="00E05BDA">
        <w:rPr>
          <w:rFonts w:hint="eastAsia"/>
          <w:b/>
          <w:bCs/>
        </w:rPr>
        <w:t xml:space="preserve">第二十五条 </w:t>
      </w:r>
      <w:r w:rsidR="002D3258" w:rsidRPr="002D3258">
        <w:rPr>
          <w:rFonts w:hint="eastAsia"/>
        </w:rPr>
        <w:t>未经履行出资人职责的机构同意，国有独资企业、国有独资公司的董事、高级管理人员不得在其他企业兼职。未经股东会、股东大会同意，国有资本控股公司、国有资本参股公司的董事、高级管理人员不得在经营同类业务的其他企业兼职。</w:t>
      </w:r>
    </w:p>
    <w:p w14:paraId="18ED897F" w14:textId="5DE81113" w:rsidR="002D3258" w:rsidRPr="002D3258" w:rsidRDefault="002D3258" w:rsidP="002D3258">
      <w:pPr>
        <w:pStyle w:val="13"/>
      </w:pPr>
      <w:r w:rsidRPr="002D3258">
        <w:rPr>
          <w:rFonts w:hint="eastAsia"/>
        </w:rPr>
        <w:t>未经履行出资人职责的机构同意，国有独资公司的董事长不得兼任经理。未经股东会、股东大会同意，国有资本控股公司的董事长不得兼任经理。</w:t>
      </w:r>
    </w:p>
    <w:p w14:paraId="6BC08E66" w14:textId="77777777" w:rsidR="002D3258" w:rsidRPr="002D3258" w:rsidRDefault="002D3258" w:rsidP="002D3258">
      <w:pPr>
        <w:pStyle w:val="13"/>
      </w:pPr>
      <w:r w:rsidRPr="002D3258">
        <w:rPr>
          <w:rFonts w:hint="eastAsia"/>
        </w:rPr>
        <w:t>董事、高级管理人员不得兼任监事。</w:t>
      </w:r>
    </w:p>
    <w:p w14:paraId="5523C0E9" w14:textId="608F1348" w:rsidR="002D3258" w:rsidRPr="002D3258" w:rsidRDefault="00E05BDA" w:rsidP="002D3258">
      <w:pPr>
        <w:pStyle w:val="13"/>
        <w:ind w:firstLine="482"/>
      </w:pPr>
      <w:r w:rsidRPr="00E05BDA">
        <w:rPr>
          <w:rFonts w:hint="eastAsia"/>
          <w:b/>
          <w:bCs/>
        </w:rPr>
        <w:t xml:space="preserve">第二十六条 </w:t>
      </w:r>
      <w:r w:rsidR="002D3258" w:rsidRPr="002D3258">
        <w:rPr>
          <w:rFonts w:hint="eastAsia"/>
        </w:rPr>
        <w:t>国家出资企业的董事、监事、高级管理人员，应当遵守法律、行政法规以及企业章程，对企业负有忠实义务和勤勉义务，不得利用职权收受贿赂或者取得其他非法收入和不当利益，不得侵占、挪用企业资产，不得超越职权或者违反程序决定企业重大事项，不得有其他侵害国有资产出资人权益的行为。</w:t>
      </w:r>
    </w:p>
    <w:p w14:paraId="57AC8D2D" w14:textId="7BD40CA7" w:rsidR="002D3258" w:rsidRPr="002D3258" w:rsidRDefault="00E05BDA" w:rsidP="002D3258">
      <w:pPr>
        <w:pStyle w:val="13"/>
        <w:ind w:firstLine="482"/>
      </w:pPr>
      <w:r w:rsidRPr="00E05BDA">
        <w:rPr>
          <w:rFonts w:hint="eastAsia"/>
          <w:b/>
          <w:bCs/>
        </w:rPr>
        <w:t xml:space="preserve">第二十七条 </w:t>
      </w:r>
      <w:r w:rsidR="002D3258" w:rsidRPr="002D3258">
        <w:rPr>
          <w:rFonts w:hint="eastAsia"/>
        </w:rPr>
        <w:t>国家建立国家出资企业管理者经营业绩考核制度。履行出资人职责的机构应当对其任命的企业管理者进行年度和任期考核，并依据考核结果决定对企业管理者的奖惩。</w:t>
      </w:r>
    </w:p>
    <w:p w14:paraId="11B0CBB8" w14:textId="4B878E1C" w:rsidR="002D3258" w:rsidRPr="002D3258" w:rsidRDefault="002D3258" w:rsidP="002D3258">
      <w:pPr>
        <w:pStyle w:val="13"/>
      </w:pPr>
      <w:r w:rsidRPr="002D3258">
        <w:rPr>
          <w:rFonts w:hint="eastAsia"/>
        </w:rPr>
        <w:t>履行出资人职责的机构应当按照国家有关规定，确定其任命的国家出资企业管理者的薪酬标准。</w:t>
      </w:r>
    </w:p>
    <w:p w14:paraId="4684198D" w14:textId="10B04FBE" w:rsidR="002D3258" w:rsidRPr="002D3258" w:rsidRDefault="00E05BDA" w:rsidP="002D3258">
      <w:pPr>
        <w:pStyle w:val="13"/>
        <w:ind w:firstLine="482"/>
      </w:pPr>
      <w:r w:rsidRPr="00E05BDA">
        <w:rPr>
          <w:rFonts w:hint="eastAsia"/>
          <w:b/>
          <w:bCs/>
        </w:rPr>
        <w:t xml:space="preserve">第二十八条 </w:t>
      </w:r>
      <w:r w:rsidR="002D3258" w:rsidRPr="002D3258">
        <w:rPr>
          <w:rFonts w:hint="eastAsia"/>
        </w:rPr>
        <w:t>国有独资企业、国有独资公司和国有资本控股公司的主要负责人，应当接受依法进行的任期经济责任审计。</w:t>
      </w:r>
    </w:p>
    <w:p w14:paraId="54D5098B" w14:textId="16181F95" w:rsidR="002D3258" w:rsidRPr="002D3258" w:rsidRDefault="00E05BDA" w:rsidP="002D3258">
      <w:pPr>
        <w:pStyle w:val="13"/>
        <w:ind w:firstLine="482"/>
      </w:pPr>
      <w:r w:rsidRPr="00E05BDA">
        <w:rPr>
          <w:rFonts w:hint="eastAsia"/>
          <w:b/>
          <w:bCs/>
        </w:rPr>
        <w:t xml:space="preserve">第二十九条 </w:t>
      </w:r>
      <w:r w:rsidR="002D3258" w:rsidRPr="002D3258">
        <w:rPr>
          <w:rFonts w:hint="eastAsia"/>
        </w:rPr>
        <w:t>本法第二十二条第一款第一项、第二项规定的企业管理者，国务院和地方人民政府规定由本级人民政府任免的，依照其规定。履行出资人职责的机构依照本章规定对上述企业管理者进行考核、奖惩并确定其薪酬标准。</w:t>
      </w:r>
    </w:p>
    <w:p w14:paraId="0FFBFCF4" w14:textId="00B30FE2" w:rsidR="002D3258" w:rsidRPr="002D3258" w:rsidRDefault="002D3258" w:rsidP="00AF7342">
      <w:pPr>
        <w:pStyle w:val="a9"/>
        <w:spacing w:before="62" w:after="62"/>
      </w:pPr>
      <w:r w:rsidRPr="002D3258">
        <w:rPr>
          <w:rFonts w:hint="eastAsia"/>
        </w:rPr>
        <w:t>第五</w:t>
      </w:r>
      <w:r>
        <w:rPr>
          <w:rFonts w:hint="eastAsia"/>
        </w:rPr>
        <w:t xml:space="preserve">章 </w:t>
      </w:r>
      <w:r w:rsidRPr="002D3258">
        <w:rPr>
          <w:rFonts w:hint="eastAsia"/>
        </w:rPr>
        <w:t>关系国有资产出资人权益的重大事项</w:t>
      </w:r>
    </w:p>
    <w:p w14:paraId="6513AAA8" w14:textId="0557D076" w:rsidR="002D3258" w:rsidRPr="002D3258" w:rsidRDefault="002D3258" w:rsidP="00AF7342">
      <w:pPr>
        <w:pStyle w:val="a9"/>
        <w:spacing w:before="62" w:after="62"/>
      </w:pPr>
      <w:r w:rsidRPr="002D3258">
        <w:rPr>
          <w:rFonts w:hint="eastAsia"/>
        </w:rPr>
        <w:t>第一节</w:t>
      </w:r>
      <w:r>
        <w:rPr>
          <w:rFonts w:hint="eastAsia"/>
        </w:rPr>
        <w:t xml:space="preserve"> </w:t>
      </w:r>
      <w:r w:rsidRPr="002D3258">
        <w:rPr>
          <w:rFonts w:hint="eastAsia"/>
        </w:rPr>
        <w:t>一般规定</w:t>
      </w:r>
    </w:p>
    <w:p w14:paraId="3E86D6F5" w14:textId="349A5AE3" w:rsidR="002D3258" w:rsidRPr="002D3258" w:rsidRDefault="00E05BDA" w:rsidP="002D3258">
      <w:pPr>
        <w:pStyle w:val="13"/>
        <w:ind w:firstLine="482"/>
      </w:pPr>
      <w:r w:rsidRPr="00E05BDA">
        <w:rPr>
          <w:rFonts w:hint="eastAsia"/>
          <w:b/>
          <w:bCs/>
        </w:rPr>
        <w:t xml:space="preserve">第三十条 </w:t>
      </w:r>
      <w:r w:rsidR="002D3258" w:rsidRPr="002D3258">
        <w:rPr>
          <w:rFonts w:hint="eastAsia"/>
        </w:rPr>
        <w:t>国家出资企业合并、分立、改制、上市，增加或者减少注册资本，发</w:t>
      </w:r>
      <w:r w:rsidR="002D3258" w:rsidRPr="002D3258">
        <w:rPr>
          <w:rFonts w:hint="eastAsia"/>
        </w:rPr>
        <w:lastRenderedPageBreak/>
        <w:t>行债券，进行重大投资，为他人提供大额担保，转让重大财产，进行大额捐赠，分配利润，以及解散、申请破产等重大事项，应当遵守法律、行政法规以及企业章程的规定，不得损害出资人和债权人的权益。</w:t>
      </w:r>
    </w:p>
    <w:p w14:paraId="55F14C5F" w14:textId="7DC98614" w:rsidR="002D3258" w:rsidRPr="002D3258" w:rsidRDefault="003B2FB1" w:rsidP="002D3258">
      <w:pPr>
        <w:pStyle w:val="13"/>
        <w:ind w:firstLine="482"/>
      </w:pPr>
      <w:r w:rsidRPr="003B2FB1">
        <w:rPr>
          <w:rFonts w:hint="eastAsia"/>
          <w:b/>
          <w:bCs/>
        </w:rPr>
        <w:t xml:space="preserve">第三十一条 </w:t>
      </w:r>
      <w:r w:rsidR="002D3258" w:rsidRPr="002D3258">
        <w:rPr>
          <w:rFonts w:hint="eastAsia"/>
        </w:rPr>
        <w:t>国有独资企业、国有独资公司合并、分立，增加或者减少注册资本，发行债券，分配利润，以及解散、申请破产，由履行出资人职责的机构决定。</w:t>
      </w:r>
    </w:p>
    <w:p w14:paraId="250BAA69" w14:textId="36724147" w:rsidR="002D3258" w:rsidRPr="002D3258" w:rsidRDefault="003B2FB1" w:rsidP="002D3258">
      <w:pPr>
        <w:pStyle w:val="13"/>
        <w:ind w:firstLine="482"/>
      </w:pPr>
      <w:r w:rsidRPr="003B2FB1">
        <w:rPr>
          <w:rFonts w:hint="eastAsia"/>
          <w:b/>
          <w:bCs/>
        </w:rPr>
        <w:t xml:space="preserve">第三十二条 </w:t>
      </w:r>
      <w:r w:rsidR="002D3258" w:rsidRPr="002D3258">
        <w:rPr>
          <w:rFonts w:hint="eastAsia"/>
        </w:rPr>
        <w:t>国有独资企业、国有独资公司有本法第三十条所列事项的，除依照本法第三十一条和有关法律、行政法规以及企业章程的规定，由履行出资人职责的机构决定的以外，国有独资企业由企业负责人集体讨论决定，国有独资公司由董事会决定。</w:t>
      </w:r>
    </w:p>
    <w:p w14:paraId="4B954613" w14:textId="06BA3181" w:rsidR="002D3258" w:rsidRPr="002D3258" w:rsidRDefault="003B2FB1" w:rsidP="002D3258">
      <w:pPr>
        <w:pStyle w:val="13"/>
        <w:ind w:firstLine="482"/>
      </w:pPr>
      <w:r w:rsidRPr="003B2FB1">
        <w:rPr>
          <w:rFonts w:hint="eastAsia"/>
          <w:b/>
          <w:bCs/>
        </w:rPr>
        <w:t xml:space="preserve">第三十三条 </w:t>
      </w:r>
      <w:r w:rsidR="002D3258" w:rsidRPr="002D3258">
        <w:rPr>
          <w:rFonts w:hint="eastAsia"/>
        </w:rPr>
        <w:t>国有资本控股公司、国有资本参股公司有本法第三十条所列事项的，依照法律、行政法规以及公司章程的规定，由公司股东会、股东大会或者董事会决定。由股东会、股东大会决定的，履行出资人职责的机构委派的股东代表应当依照本法第十三条的规定行使权力。</w:t>
      </w:r>
    </w:p>
    <w:p w14:paraId="38AE2F21" w14:textId="73855857" w:rsidR="002D3258" w:rsidRPr="002D3258" w:rsidRDefault="003B2FB1" w:rsidP="002D3258">
      <w:pPr>
        <w:pStyle w:val="13"/>
        <w:ind w:firstLine="482"/>
      </w:pPr>
      <w:r w:rsidRPr="003B2FB1">
        <w:rPr>
          <w:rFonts w:hint="eastAsia"/>
          <w:b/>
          <w:bCs/>
        </w:rPr>
        <w:t xml:space="preserve">第三十四条 </w:t>
      </w:r>
      <w:r w:rsidR="002D3258" w:rsidRPr="002D3258">
        <w:rPr>
          <w:rFonts w:hint="eastAsia"/>
        </w:rPr>
        <w:t>重要的国有独资企业、国有独资公司、国有资本控股公司的合并、分立、解散、申请破产以及法律、行政法规和本级人民政府规定应当由履行出资人职责的机构报经本级人民政府批准的重大事项，履行出资人职责的机构在</w:t>
      </w:r>
      <w:proofErr w:type="gramStart"/>
      <w:r w:rsidR="002D3258" w:rsidRPr="002D3258">
        <w:rPr>
          <w:rFonts w:hint="eastAsia"/>
        </w:rPr>
        <w:t>作出</w:t>
      </w:r>
      <w:proofErr w:type="gramEnd"/>
      <w:r w:rsidR="002D3258" w:rsidRPr="002D3258">
        <w:rPr>
          <w:rFonts w:hint="eastAsia"/>
        </w:rPr>
        <w:t>决定或者向其委派参加国有资本控股公司股东会会议、股东大会会议的股东代表作出指示前，应当报请本级人民政府批准。</w:t>
      </w:r>
    </w:p>
    <w:p w14:paraId="0D52D1DE" w14:textId="42148E3F" w:rsidR="002D3258" w:rsidRPr="002D3258" w:rsidRDefault="002D3258" w:rsidP="002D3258">
      <w:pPr>
        <w:pStyle w:val="13"/>
      </w:pPr>
      <w:r w:rsidRPr="002D3258">
        <w:rPr>
          <w:rFonts w:hint="eastAsia"/>
        </w:rPr>
        <w:t>本法所称的重要的国有独资企业、国有独资公司和国有资本控股公司，按照国务院的规定确定。</w:t>
      </w:r>
    </w:p>
    <w:p w14:paraId="3D49F310" w14:textId="644D788A" w:rsidR="002D3258" w:rsidRPr="002D3258" w:rsidRDefault="003B2FB1" w:rsidP="002D3258">
      <w:pPr>
        <w:pStyle w:val="13"/>
        <w:ind w:firstLine="482"/>
      </w:pPr>
      <w:r w:rsidRPr="003B2FB1">
        <w:rPr>
          <w:rFonts w:hint="eastAsia"/>
          <w:b/>
          <w:bCs/>
        </w:rPr>
        <w:t xml:space="preserve">第三十五条 </w:t>
      </w:r>
      <w:r w:rsidR="002D3258" w:rsidRPr="002D3258">
        <w:rPr>
          <w:rFonts w:hint="eastAsia"/>
        </w:rPr>
        <w:t>国家出资企业发行债券、投资等事项，有关法律、行政法规规定应当报经人民政府或者人民政府有关部门、机构批准、核准或者备案的，依照其规定。</w:t>
      </w:r>
    </w:p>
    <w:p w14:paraId="58FE763E" w14:textId="522D8317" w:rsidR="002D3258" w:rsidRPr="002D3258" w:rsidRDefault="003B2FB1" w:rsidP="002D3258">
      <w:pPr>
        <w:pStyle w:val="13"/>
        <w:ind w:firstLine="482"/>
      </w:pPr>
      <w:r w:rsidRPr="003B2FB1">
        <w:rPr>
          <w:rFonts w:hint="eastAsia"/>
          <w:b/>
          <w:bCs/>
        </w:rPr>
        <w:t xml:space="preserve">第三十六条 </w:t>
      </w:r>
      <w:r w:rsidR="002D3258" w:rsidRPr="002D3258">
        <w:rPr>
          <w:rFonts w:hint="eastAsia"/>
        </w:rPr>
        <w:t>国家出资企业投资应当符合国家产业政策，并按照国家规定进行可行性研究；与他人交易应当公平、有偿，取得合理对价。</w:t>
      </w:r>
    </w:p>
    <w:p w14:paraId="350B02AA" w14:textId="3815FA0A" w:rsidR="002D3258" w:rsidRPr="002D3258" w:rsidRDefault="003B2FB1" w:rsidP="002D3258">
      <w:pPr>
        <w:pStyle w:val="13"/>
        <w:ind w:firstLine="482"/>
      </w:pPr>
      <w:r w:rsidRPr="003B2FB1">
        <w:rPr>
          <w:rFonts w:hint="eastAsia"/>
          <w:b/>
          <w:bCs/>
        </w:rPr>
        <w:t xml:space="preserve">第三十七条 </w:t>
      </w:r>
      <w:r w:rsidR="002D3258" w:rsidRPr="002D3258">
        <w:rPr>
          <w:rFonts w:hint="eastAsia"/>
        </w:rPr>
        <w:t>国家出资企业的合并、分立、改制、解散、申请破产等重大事项，应当听取企业工会的意见，并通过职工代表大会或者其他形式听取职工的意见和建议。</w:t>
      </w:r>
    </w:p>
    <w:p w14:paraId="0271FAF2" w14:textId="4AFA6E2E" w:rsidR="002D3258" w:rsidRPr="002D3258" w:rsidRDefault="003B2FB1" w:rsidP="002D3258">
      <w:pPr>
        <w:pStyle w:val="13"/>
        <w:ind w:firstLine="482"/>
      </w:pPr>
      <w:r w:rsidRPr="003B2FB1">
        <w:rPr>
          <w:rFonts w:hint="eastAsia"/>
          <w:b/>
          <w:bCs/>
        </w:rPr>
        <w:t xml:space="preserve">第三十八条 </w:t>
      </w:r>
      <w:r w:rsidR="002D3258" w:rsidRPr="002D3258">
        <w:rPr>
          <w:rFonts w:hint="eastAsia"/>
        </w:rPr>
        <w:t>国有独资企业、国有独资公司、国有资本控股公司对其所出资企业的重大事项参照本章规定履行出资人职责。具体办法由国务院规定。</w:t>
      </w:r>
    </w:p>
    <w:p w14:paraId="5515303B" w14:textId="7DDFB46E" w:rsidR="002D3258" w:rsidRPr="002D3258" w:rsidRDefault="002D3258" w:rsidP="00AF7342">
      <w:pPr>
        <w:pStyle w:val="a9"/>
        <w:spacing w:before="62" w:after="62"/>
      </w:pPr>
      <w:r w:rsidRPr="002D3258">
        <w:rPr>
          <w:rFonts w:hint="eastAsia"/>
        </w:rPr>
        <w:t>第二节</w:t>
      </w:r>
      <w:r>
        <w:rPr>
          <w:rFonts w:hint="eastAsia"/>
        </w:rPr>
        <w:t xml:space="preserve"> </w:t>
      </w:r>
      <w:r w:rsidRPr="002D3258">
        <w:rPr>
          <w:rFonts w:hint="eastAsia"/>
        </w:rPr>
        <w:t>企业改制</w:t>
      </w:r>
    </w:p>
    <w:p w14:paraId="28E81C1B" w14:textId="263EF7C0" w:rsidR="002D3258" w:rsidRPr="002D3258" w:rsidRDefault="003B2FB1" w:rsidP="002D3258">
      <w:pPr>
        <w:pStyle w:val="13"/>
        <w:ind w:firstLine="482"/>
      </w:pPr>
      <w:r w:rsidRPr="003B2FB1">
        <w:rPr>
          <w:rFonts w:hint="eastAsia"/>
          <w:b/>
          <w:bCs/>
        </w:rPr>
        <w:t xml:space="preserve">第三十九条 </w:t>
      </w:r>
      <w:r w:rsidR="002D3258" w:rsidRPr="002D3258">
        <w:rPr>
          <w:rFonts w:hint="eastAsia"/>
        </w:rPr>
        <w:t>本法所称企业改制是指：</w:t>
      </w:r>
      <w:r w:rsidR="002D3258" w:rsidRPr="002D3258">
        <w:rPr>
          <w:rFonts w:hint="eastAsia"/>
        </w:rPr>
        <w:t> </w:t>
      </w:r>
    </w:p>
    <w:p w14:paraId="6B8AF506" w14:textId="5A8270A0" w:rsidR="002D3258" w:rsidRPr="002D3258" w:rsidRDefault="002D3258" w:rsidP="002D3258">
      <w:pPr>
        <w:pStyle w:val="13"/>
      </w:pPr>
      <w:r w:rsidRPr="002D3258">
        <w:rPr>
          <w:rFonts w:hint="eastAsia"/>
        </w:rPr>
        <w:t>（一）国有独资企业改为国有独资公司；</w:t>
      </w:r>
    </w:p>
    <w:p w14:paraId="4CE6D061" w14:textId="59279173" w:rsidR="002D3258" w:rsidRPr="002D3258" w:rsidRDefault="002D3258" w:rsidP="002D3258">
      <w:pPr>
        <w:pStyle w:val="13"/>
      </w:pPr>
      <w:r w:rsidRPr="002D3258">
        <w:rPr>
          <w:rFonts w:hint="eastAsia"/>
        </w:rPr>
        <w:t>（二）国有独资企业、国有独资公司改为国有资本控股公司或者非国有资本控股公司；</w:t>
      </w:r>
    </w:p>
    <w:p w14:paraId="4DD4F3FA" w14:textId="5E03D51F" w:rsidR="002D3258" w:rsidRPr="002D3258" w:rsidRDefault="002D3258" w:rsidP="002D3258">
      <w:pPr>
        <w:pStyle w:val="13"/>
      </w:pPr>
      <w:r w:rsidRPr="002D3258">
        <w:rPr>
          <w:rFonts w:hint="eastAsia"/>
        </w:rPr>
        <w:lastRenderedPageBreak/>
        <w:t>（三）国有资本控股公司改为非国有资本控股公司。</w:t>
      </w:r>
    </w:p>
    <w:p w14:paraId="7DA09662" w14:textId="5DD8FF34" w:rsidR="002D3258" w:rsidRPr="002D3258" w:rsidRDefault="003B2FB1" w:rsidP="002D3258">
      <w:pPr>
        <w:pStyle w:val="13"/>
        <w:ind w:firstLine="482"/>
      </w:pPr>
      <w:r w:rsidRPr="003B2FB1">
        <w:rPr>
          <w:rFonts w:hint="eastAsia"/>
          <w:b/>
          <w:bCs/>
        </w:rPr>
        <w:t xml:space="preserve">第四十条 </w:t>
      </w:r>
      <w:r w:rsidR="002D3258" w:rsidRPr="002D3258">
        <w:rPr>
          <w:rFonts w:hint="eastAsia"/>
        </w:rPr>
        <w:t>企业改制应当依照法定程序，由履行出资人职责的机构决定或者由公司股东会、股东大会决定。</w:t>
      </w:r>
    </w:p>
    <w:p w14:paraId="14B62245" w14:textId="1D492BED" w:rsidR="002D3258" w:rsidRPr="002D3258" w:rsidRDefault="002D3258" w:rsidP="002D3258">
      <w:pPr>
        <w:pStyle w:val="13"/>
      </w:pPr>
      <w:r w:rsidRPr="002D3258">
        <w:rPr>
          <w:rFonts w:hint="eastAsia"/>
        </w:rPr>
        <w:t>重要的国有独资企业、国有独资公司、国有资本控股公司的改制，履行出资人职责的机构在</w:t>
      </w:r>
      <w:proofErr w:type="gramStart"/>
      <w:r w:rsidRPr="002D3258">
        <w:rPr>
          <w:rFonts w:hint="eastAsia"/>
        </w:rPr>
        <w:t>作出</w:t>
      </w:r>
      <w:proofErr w:type="gramEnd"/>
      <w:r w:rsidRPr="002D3258">
        <w:rPr>
          <w:rFonts w:hint="eastAsia"/>
        </w:rPr>
        <w:t>决定或者向其委派参加国有资本控股公司股东会会议、股东大会会议的股东代表作出指示前，应当将改制方案报请本级人民政府批准。</w:t>
      </w:r>
    </w:p>
    <w:p w14:paraId="2A4D5D80" w14:textId="58781C5F" w:rsidR="002D3258" w:rsidRPr="002D3258" w:rsidRDefault="003B2FB1" w:rsidP="002D3258">
      <w:pPr>
        <w:pStyle w:val="13"/>
        <w:ind w:firstLine="482"/>
      </w:pPr>
      <w:r w:rsidRPr="003B2FB1">
        <w:rPr>
          <w:rFonts w:hint="eastAsia"/>
          <w:b/>
          <w:bCs/>
        </w:rPr>
        <w:t xml:space="preserve">第四十一条 </w:t>
      </w:r>
      <w:r w:rsidR="002D3258" w:rsidRPr="002D3258">
        <w:rPr>
          <w:rFonts w:hint="eastAsia"/>
        </w:rPr>
        <w:t>企业改制应当制定改制方案，载明改制后的企业组织形式、企业资产和债权债务处理方案、股权变动方案、改制的操作程序、资产评估和财务审计等中介机构的选聘等事项。</w:t>
      </w:r>
    </w:p>
    <w:p w14:paraId="7508C652" w14:textId="3CA38FD5" w:rsidR="002D3258" w:rsidRPr="002D3258" w:rsidRDefault="002D3258" w:rsidP="002D3258">
      <w:pPr>
        <w:pStyle w:val="13"/>
      </w:pPr>
      <w:r w:rsidRPr="002D3258">
        <w:rPr>
          <w:rFonts w:hint="eastAsia"/>
        </w:rPr>
        <w:t>企业改制涉及重新安置企业职工的，还应当制定职工安置方案，并经职工代表大会或者职工大会审议通过。</w:t>
      </w:r>
    </w:p>
    <w:p w14:paraId="6CAD3B49" w14:textId="453BE2F5" w:rsidR="002D3258" w:rsidRPr="002D3258" w:rsidRDefault="003B2FB1" w:rsidP="002D3258">
      <w:pPr>
        <w:pStyle w:val="13"/>
        <w:ind w:firstLine="482"/>
      </w:pPr>
      <w:r w:rsidRPr="003B2FB1">
        <w:rPr>
          <w:rFonts w:hint="eastAsia"/>
          <w:b/>
          <w:bCs/>
        </w:rPr>
        <w:t xml:space="preserve">第四十二条 </w:t>
      </w:r>
      <w:r w:rsidR="002D3258" w:rsidRPr="002D3258">
        <w:rPr>
          <w:rFonts w:hint="eastAsia"/>
        </w:rPr>
        <w:t>企业改制应当按照规定进行清产核资、财务审计、资产评估，准确界定和核实资产，客观、公正地确定资产的价值。</w:t>
      </w:r>
    </w:p>
    <w:p w14:paraId="4CC85754" w14:textId="2D6CCFD4" w:rsidR="002D3258" w:rsidRPr="002D3258" w:rsidRDefault="002D3258" w:rsidP="002D3258">
      <w:pPr>
        <w:pStyle w:val="13"/>
      </w:pPr>
      <w:r w:rsidRPr="002D3258">
        <w:rPr>
          <w:rFonts w:hint="eastAsia"/>
        </w:rPr>
        <w:t>企业改制涉及以企业的实物、知识产权、土地使用权等非货币财产折算为国有资本出资或者股份的，应当按照规定对折价财产进行评估，以评估确认价格作为确定国有资本出资额或者股份数额的依据。不得将财产低价折股或者有其他损害出资人权益的行为。</w:t>
      </w:r>
    </w:p>
    <w:p w14:paraId="570ED63E" w14:textId="16C52CFC" w:rsidR="002D3258" w:rsidRPr="002D3258" w:rsidRDefault="002D3258" w:rsidP="00AF7342">
      <w:pPr>
        <w:pStyle w:val="a9"/>
        <w:spacing w:before="62" w:after="62"/>
      </w:pPr>
      <w:r w:rsidRPr="002D3258">
        <w:rPr>
          <w:rFonts w:hint="eastAsia"/>
        </w:rPr>
        <w:t>第三节</w:t>
      </w:r>
      <w:r>
        <w:rPr>
          <w:rFonts w:hint="eastAsia"/>
        </w:rPr>
        <w:t xml:space="preserve"> </w:t>
      </w:r>
      <w:r w:rsidRPr="002D3258">
        <w:rPr>
          <w:rFonts w:hint="eastAsia"/>
        </w:rPr>
        <w:t>与关联方的交易</w:t>
      </w:r>
    </w:p>
    <w:p w14:paraId="6F3DF564" w14:textId="5A4FE6B1" w:rsidR="002D3258" w:rsidRPr="002D3258" w:rsidRDefault="003B2FB1" w:rsidP="002D3258">
      <w:pPr>
        <w:pStyle w:val="13"/>
        <w:ind w:firstLine="482"/>
      </w:pPr>
      <w:r w:rsidRPr="003B2FB1">
        <w:rPr>
          <w:rFonts w:hint="eastAsia"/>
          <w:b/>
          <w:bCs/>
        </w:rPr>
        <w:t xml:space="preserve">第四十三条 </w:t>
      </w:r>
      <w:r w:rsidR="002D3258" w:rsidRPr="002D3258">
        <w:rPr>
          <w:rFonts w:hint="eastAsia"/>
        </w:rPr>
        <w:t>国家出资企业的关联方不得利用与国家出资企业之间的交易，谋取不当利益，损害国家出资企业利益。</w:t>
      </w:r>
    </w:p>
    <w:p w14:paraId="36FBFA9C" w14:textId="072D31DC" w:rsidR="002D3258" w:rsidRPr="002D3258" w:rsidRDefault="002D3258" w:rsidP="002D3258">
      <w:pPr>
        <w:pStyle w:val="13"/>
      </w:pPr>
      <w:r w:rsidRPr="002D3258">
        <w:rPr>
          <w:rFonts w:hint="eastAsia"/>
        </w:rPr>
        <w:t>本法所称关联方，是指本企业的董事、监事、高级管理人员及其近亲属，以及这些人员所有或者实际控制的企业。</w:t>
      </w:r>
    </w:p>
    <w:p w14:paraId="7BCA011E" w14:textId="2659D786" w:rsidR="002D3258" w:rsidRPr="002D3258" w:rsidRDefault="003B2FB1" w:rsidP="002D3258">
      <w:pPr>
        <w:pStyle w:val="13"/>
        <w:ind w:firstLine="482"/>
      </w:pPr>
      <w:r w:rsidRPr="003B2FB1">
        <w:rPr>
          <w:rFonts w:hint="eastAsia"/>
          <w:b/>
          <w:bCs/>
        </w:rPr>
        <w:t xml:space="preserve">第四十四条 </w:t>
      </w:r>
      <w:r w:rsidR="002D3258" w:rsidRPr="002D3258">
        <w:rPr>
          <w:rFonts w:hint="eastAsia"/>
        </w:rPr>
        <w:t>国有独资企业、国有独资公司、国有资本控股公司不得无偿向关联方提供资金、商品、服务或者其他资产，不得以不公平的价格与关联方进行交易。</w:t>
      </w:r>
    </w:p>
    <w:p w14:paraId="0F99E2EC" w14:textId="06DE4D70" w:rsidR="002D3258" w:rsidRPr="002D3258" w:rsidRDefault="003B2FB1" w:rsidP="002D3258">
      <w:pPr>
        <w:pStyle w:val="13"/>
        <w:ind w:firstLine="482"/>
      </w:pPr>
      <w:r w:rsidRPr="003B2FB1">
        <w:rPr>
          <w:rFonts w:hint="eastAsia"/>
          <w:b/>
          <w:bCs/>
        </w:rPr>
        <w:t xml:space="preserve">第四十五条 </w:t>
      </w:r>
      <w:r w:rsidR="002D3258" w:rsidRPr="002D3258">
        <w:rPr>
          <w:rFonts w:hint="eastAsia"/>
        </w:rPr>
        <w:t>未经履行出资人职责的机构同意，国有独资企业、国有独资公司不得有下列行为：</w:t>
      </w:r>
    </w:p>
    <w:p w14:paraId="1DA33780" w14:textId="00F1038E" w:rsidR="002D3258" w:rsidRPr="002D3258" w:rsidRDefault="002D3258" w:rsidP="002D3258">
      <w:pPr>
        <w:pStyle w:val="13"/>
      </w:pPr>
      <w:r w:rsidRPr="002D3258">
        <w:rPr>
          <w:rFonts w:hint="eastAsia"/>
        </w:rPr>
        <w:t>（一）与关联方订立财产转让、借款的协议；</w:t>
      </w:r>
    </w:p>
    <w:p w14:paraId="1994F315" w14:textId="39221D14" w:rsidR="002D3258" w:rsidRPr="002D3258" w:rsidRDefault="002D3258" w:rsidP="002D3258">
      <w:pPr>
        <w:pStyle w:val="13"/>
      </w:pPr>
      <w:r w:rsidRPr="002D3258">
        <w:rPr>
          <w:rFonts w:hint="eastAsia"/>
        </w:rPr>
        <w:t>（二）为关联方提供担保；</w:t>
      </w:r>
    </w:p>
    <w:p w14:paraId="023E2E58" w14:textId="6CC24E79" w:rsidR="002D3258" w:rsidRPr="002D3258" w:rsidRDefault="002D3258" w:rsidP="002D3258">
      <w:pPr>
        <w:pStyle w:val="13"/>
      </w:pPr>
      <w:r w:rsidRPr="002D3258">
        <w:rPr>
          <w:rFonts w:hint="eastAsia"/>
        </w:rPr>
        <w:t>（三）与关联方共同出资设立企业，或者向董事、监事、高级管理人员或者其近亲属所有或者实际控制的企业投资。</w:t>
      </w:r>
    </w:p>
    <w:p w14:paraId="2684A4E9" w14:textId="230096DD" w:rsidR="002D3258" w:rsidRPr="002D3258" w:rsidRDefault="003B2FB1" w:rsidP="002D3258">
      <w:pPr>
        <w:pStyle w:val="13"/>
        <w:ind w:firstLine="482"/>
      </w:pPr>
      <w:r w:rsidRPr="003B2FB1">
        <w:rPr>
          <w:rFonts w:hint="eastAsia"/>
          <w:b/>
          <w:bCs/>
        </w:rPr>
        <w:t xml:space="preserve">第四十六条 </w:t>
      </w:r>
      <w:r w:rsidR="002D3258" w:rsidRPr="002D3258">
        <w:rPr>
          <w:rFonts w:hint="eastAsia"/>
        </w:rPr>
        <w:t>国有资本控股公司、国有资本参股公司与关联方的交易，依照《中华人民共和国公司法》和有关行政法规以及公司章程的规定，由公司股东会、股东大会或者董事会决定。由公司股东会、股东大会决定的，履行出资人职责的机构委派的股东代表，应当依照本法第十三条的规定行使权利。</w:t>
      </w:r>
    </w:p>
    <w:p w14:paraId="49B7484D" w14:textId="1BADF003" w:rsidR="002D3258" w:rsidRPr="002D3258" w:rsidRDefault="002D3258" w:rsidP="002D3258">
      <w:pPr>
        <w:pStyle w:val="13"/>
      </w:pPr>
      <w:r w:rsidRPr="002D3258">
        <w:rPr>
          <w:rFonts w:hint="eastAsia"/>
        </w:rPr>
        <w:lastRenderedPageBreak/>
        <w:t>公司董事会对公司与关联方的交易</w:t>
      </w:r>
      <w:proofErr w:type="gramStart"/>
      <w:r w:rsidRPr="002D3258">
        <w:rPr>
          <w:rFonts w:hint="eastAsia"/>
        </w:rPr>
        <w:t>作出</w:t>
      </w:r>
      <w:proofErr w:type="gramEnd"/>
      <w:r w:rsidRPr="002D3258">
        <w:rPr>
          <w:rFonts w:hint="eastAsia"/>
        </w:rPr>
        <w:t>决议时，该交易涉及的董事不得行使表决权，也不得代理其他董事行使表决权。</w:t>
      </w:r>
    </w:p>
    <w:p w14:paraId="7BA9B225" w14:textId="2747823B" w:rsidR="002D3258" w:rsidRPr="002D3258" w:rsidRDefault="002D3258" w:rsidP="00AF7342">
      <w:pPr>
        <w:pStyle w:val="a9"/>
        <w:spacing w:before="62" w:after="62"/>
      </w:pPr>
      <w:r w:rsidRPr="002D3258">
        <w:rPr>
          <w:rFonts w:hint="eastAsia"/>
        </w:rPr>
        <w:t>第四节</w:t>
      </w:r>
      <w:r>
        <w:rPr>
          <w:rFonts w:hint="eastAsia"/>
        </w:rPr>
        <w:t xml:space="preserve"> </w:t>
      </w:r>
      <w:r w:rsidRPr="002D3258">
        <w:rPr>
          <w:rFonts w:hint="eastAsia"/>
        </w:rPr>
        <w:t>资产评估</w:t>
      </w:r>
    </w:p>
    <w:p w14:paraId="382426A9" w14:textId="515A4506" w:rsidR="002D3258" w:rsidRPr="002D3258" w:rsidRDefault="003B2FB1" w:rsidP="002D3258">
      <w:pPr>
        <w:pStyle w:val="13"/>
        <w:ind w:firstLine="482"/>
      </w:pPr>
      <w:r w:rsidRPr="003B2FB1">
        <w:rPr>
          <w:rFonts w:hint="eastAsia"/>
          <w:b/>
          <w:bCs/>
        </w:rPr>
        <w:t xml:space="preserve">第四十七条 </w:t>
      </w:r>
      <w:r w:rsidR="002D3258" w:rsidRPr="002D3258">
        <w:rPr>
          <w:rFonts w:hint="eastAsia"/>
        </w:rPr>
        <w:t>国有独资企业、国有独资公司和国有资本控股公司合并、分立、改制，转让重大财产，以非货币财产对外投资，清算或者有法律、行政法规以及企业章程规定应当进行资产评估的其他情形的，应当按照规定对有关资产进行评估。</w:t>
      </w:r>
    </w:p>
    <w:p w14:paraId="5DEBE68D" w14:textId="17A811DA" w:rsidR="002D3258" w:rsidRPr="002D3258" w:rsidRDefault="002D3258" w:rsidP="002D3258">
      <w:pPr>
        <w:pStyle w:val="13"/>
        <w:ind w:firstLine="482"/>
      </w:pPr>
      <w:r w:rsidRPr="002D3258">
        <w:rPr>
          <w:rFonts w:hint="eastAsia"/>
          <w:b/>
          <w:bCs/>
        </w:rPr>
        <w:t>第四十八条</w:t>
      </w:r>
      <w:r>
        <w:rPr>
          <w:rFonts w:hint="eastAsia"/>
        </w:rPr>
        <w:t xml:space="preserve"> </w:t>
      </w:r>
      <w:r w:rsidRPr="002D3258">
        <w:rPr>
          <w:rFonts w:hint="eastAsia"/>
        </w:rPr>
        <w:t>国有独资企业、国有独资公司和国有资本控股公司应当委托依法设立的符合条件的资产评估机构进行资产评估；涉及应当报经履行出资人职责的机构决定的事项的，应当将委托资产评估机构的情况</w:t>
      </w:r>
      <w:proofErr w:type="gramStart"/>
      <w:r w:rsidRPr="002D3258">
        <w:rPr>
          <w:rFonts w:hint="eastAsia"/>
        </w:rPr>
        <w:t>向履行</w:t>
      </w:r>
      <w:proofErr w:type="gramEnd"/>
      <w:r w:rsidRPr="002D3258">
        <w:rPr>
          <w:rFonts w:hint="eastAsia"/>
        </w:rPr>
        <w:t>出资人职责的机构报告。</w:t>
      </w:r>
    </w:p>
    <w:p w14:paraId="3DF8A22A" w14:textId="25C19411" w:rsidR="002D3258" w:rsidRPr="002D3258" w:rsidRDefault="002D3258" w:rsidP="002D3258">
      <w:pPr>
        <w:pStyle w:val="13"/>
        <w:ind w:firstLine="482"/>
      </w:pPr>
      <w:r w:rsidRPr="002D3258">
        <w:rPr>
          <w:rFonts w:hint="eastAsia"/>
          <w:b/>
          <w:bCs/>
        </w:rPr>
        <w:t>第四十九条</w:t>
      </w:r>
      <w:r>
        <w:rPr>
          <w:rFonts w:hint="eastAsia"/>
        </w:rPr>
        <w:t xml:space="preserve"> </w:t>
      </w:r>
      <w:r w:rsidRPr="002D3258">
        <w:rPr>
          <w:rFonts w:hint="eastAsia"/>
        </w:rPr>
        <w:t>国有独资企业、国有独资公司、国有资本控股公司及其董事、监事、高级管理人员应当向资产评估机构如实提供有关情况和资料，不得与资产评估机构串通评估作价。</w:t>
      </w:r>
    </w:p>
    <w:p w14:paraId="0671F12A" w14:textId="0E5A08AD" w:rsidR="002D3258" w:rsidRPr="002D3258" w:rsidRDefault="002D3258" w:rsidP="002D3258">
      <w:pPr>
        <w:pStyle w:val="13"/>
        <w:ind w:firstLine="482"/>
      </w:pPr>
      <w:r w:rsidRPr="002D3258">
        <w:rPr>
          <w:rFonts w:hint="eastAsia"/>
          <w:b/>
          <w:bCs/>
        </w:rPr>
        <w:t>第五十条</w:t>
      </w:r>
      <w:r>
        <w:rPr>
          <w:rFonts w:hint="eastAsia"/>
        </w:rPr>
        <w:t xml:space="preserve"> </w:t>
      </w:r>
      <w:r w:rsidRPr="002D3258">
        <w:rPr>
          <w:rFonts w:hint="eastAsia"/>
        </w:rPr>
        <w:t>资产评估机构及其工作人员受托评估有关资产，应当遵守法律、行政法规以及评估执业准则，独立、客观、公正地对受托评估的资产进行评估。资产评估机构应当对其出具的评估报告负责。</w:t>
      </w:r>
    </w:p>
    <w:p w14:paraId="40295CD7" w14:textId="5F277D5D" w:rsidR="002D3258" w:rsidRPr="002D3258" w:rsidRDefault="002D3258" w:rsidP="00AF7342">
      <w:pPr>
        <w:pStyle w:val="a9"/>
        <w:spacing w:before="62" w:after="62"/>
      </w:pPr>
      <w:r w:rsidRPr="002D3258">
        <w:rPr>
          <w:rFonts w:hint="eastAsia"/>
        </w:rPr>
        <w:t>第五节</w:t>
      </w:r>
      <w:r>
        <w:rPr>
          <w:rFonts w:hint="eastAsia"/>
        </w:rPr>
        <w:t xml:space="preserve"> </w:t>
      </w:r>
      <w:r w:rsidRPr="002D3258">
        <w:rPr>
          <w:rFonts w:hint="eastAsia"/>
        </w:rPr>
        <w:t>国有资产转让</w:t>
      </w:r>
    </w:p>
    <w:p w14:paraId="0DDB7961" w14:textId="2F0B86AD" w:rsidR="002D3258" w:rsidRPr="002D3258" w:rsidRDefault="002D3258" w:rsidP="002D3258">
      <w:pPr>
        <w:pStyle w:val="13"/>
        <w:ind w:firstLine="482"/>
      </w:pPr>
      <w:r w:rsidRPr="002D3258">
        <w:rPr>
          <w:rFonts w:hint="eastAsia"/>
          <w:b/>
          <w:bCs/>
        </w:rPr>
        <w:t>第五十一条</w:t>
      </w:r>
      <w:r>
        <w:rPr>
          <w:rFonts w:hint="eastAsia"/>
        </w:rPr>
        <w:t xml:space="preserve"> </w:t>
      </w:r>
      <w:r w:rsidRPr="002D3258">
        <w:rPr>
          <w:rFonts w:hint="eastAsia"/>
        </w:rPr>
        <w:t>本法所称国有资产转让，是指依法将国家对企业的出资所形成的权益转移给其他单位或者个人的行为；按照国家规定无偿划转国有资产的除外。</w:t>
      </w:r>
    </w:p>
    <w:p w14:paraId="37CC267A" w14:textId="683A6CAB" w:rsidR="002D3258" w:rsidRPr="002D3258" w:rsidRDefault="002D3258" w:rsidP="002D3258">
      <w:pPr>
        <w:pStyle w:val="13"/>
        <w:ind w:firstLine="482"/>
      </w:pPr>
      <w:r w:rsidRPr="002D3258">
        <w:rPr>
          <w:rFonts w:hint="eastAsia"/>
          <w:b/>
          <w:bCs/>
        </w:rPr>
        <w:t>第五十二条</w:t>
      </w:r>
      <w:r>
        <w:rPr>
          <w:rFonts w:hint="eastAsia"/>
        </w:rPr>
        <w:t xml:space="preserve"> </w:t>
      </w:r>
      <w:r w:rsidRPr="002D3258">
        <w:rPr>
          <w:rFonts w:hint="eastAsia"/>
        </w:rPr>
        <w:t>国有资产转让应当有利于国有经济布局和结构的战略性调整，防止国有资产损失，不得损害交易各方的合法权益。</w:t>
      </w:r>
    </w:p>
    <w:p w14:paraId="2DECDE8D" w14:textId="2467C373" w:rsidR="002D3258" w:rsidRPr="002D3258" w:rsidRDefault="002D3258" w:rsidP="002D3258">
      <w:pPr>
        <w:pStyle w:val="13"/>
        <w:ind w:firstLine="482"/>
      </w:pPr>
      <w:r w:rsidRPr="002D3258">
        <w:rPr>
          <w:rFonts w:hint="eastAsia"/>
          <w:b/>
          <w:bCs/>
        </w:rPr>
        <w:t>第五十三条</w:t>
      </w:r>
      <w:r>
        <w:rPr>
          <w:rFonts w:hint="eastAsia"/>
        </w:rPr>
        <w:t xml:space="preserve"> </w:t>
      </w:r>
      <w:r w:rsidRPr="002D3258">
        <w:rPr>
          <w:rFonts w:hint="eastAsia"/>
        </w:rPr>
        <w:t>国有资产转让由履行出资人职责的机构决定。履行出资人职责的机构决定转让全部国有资产的，或者转让部分国有资产致使国家对该企业不再具有控股地位的，应当报请本级人民政府批准。</w:t>
      </w:r>
    </w:p>
    <w:p w14:paraId="7322A4F5" w14:textId="3BC1D8C3" w:rsidR="002D3258" w:rsidRPr="002D3258" w:rsidRDefault="002D3258" w:rsidP="002D3258">
      <w:pPr>
        <w:pStyle w:val="13"/>
        <w:ind w:firstLine="482"/>
      </w:pPr>
      <w:r w:rsidRPr="002D3258">
        <w:rPr>
          <w:rFonts w:hint="eastAsia"/>
          <w:b/>
          <w:bCs/>
        </w:rPr>
        <w:t>第五十四条</w:t>
      </w:r>
      <w:r>
        <w:rPr>
          <w:rFonts w:hint="eastAsia"/>
        </w:rPr>
        <w:t xml:space="preserve"> </w:t>
      </w:r>
      <w:r w:rsidRPr="002D3258">
        <w:rPr>
          <w:rFonts w:hint="eastAsia"/>
        </w:rPr>
        <w:t>国有资产转让应当遵循等价有偿和公开、公平、公正的原则。</w:t>
      </w:r>
    </w:p>
    <w:p w14:paraId="131F2DC3" w14:textId="77777777" w:rsidR="002D3258" w:rsidRPr="002D3258" w:rsidRDefault="002D3258" w:rsidP="002D3258">
      <w:pPr>
        <w:pStyle w:val="13"/>
      </w:pPr>
      <w:r w:rsidRPr="002D3258">
        <w:rPr>
          <w:rFonts w:hint="eastAsia"/>
        </w:rPr>
        <w:t>除按照国家规定可以直接协议转让的以外，国有资产转让应当在依法设立的产权交易场所公开进行。转让方应当如实披露有关信息，</w:t>
      </w:r>
      <w:proofErr w:type="gramStart"/>
      <w:r w:rsidRPr="002D3258">
        <w:rPr>
          <w:rFonts w:hint="eastAsia"/>
        </w:rPr>
        <w:t>征集受</w:t>
      </w:r>
      <w:proofErr w:type="gramEnd"/>
      <w:r w:rsidRPr="002D3258">
        <w:rPr>
          <w:rFonts w:hint="eastAsia"/>
        </w:rPr>
        <w:t>让方；征集产生的受让方为两个以上的，转让应当采用公开竞价的交易方式。</w:t>
      </w:r>
    </w:p>
    <w:p w14:paraId="2E2B54E7" w14:textId="16A57D58" w:rsidR="002D3258" w:rsidRPr="002D3258" w:rsidRDefault="002D3258" w:rsidP="002D3258">
      <w:pPr>
        <w:pStyle w:val="13"/>
      </w:pPr>
      <w:r w:rsidRPr="002D3258">
        <w:rPr>
          <w:rFonts w:hint="eastAsia"/>
        </w:rPr>
        <w:t>转让上市交易的股份依照《中华人民共和国证券法》的规定进行。</w:t>
      </w:r>
    </w:p>
    <w:p w14:paraId="4F64EB32" w14:textId="65C65DE7" w:rsidR="002D3258" w:rsidRPr="002D3258" w:rsidRDefault="002D3258" w:rsidP="002D3258">
      <w:pPr>
        <w:pStyle w:val="13"/>
        <w:ind w:firstLine="482"/>
      </w:pPr>
      <w:r w:rsidRPr="002D3258">
        <w:rPr>
          <w:rFonts w:hint="eastAsia"/>
          <w:b/>
          <w:bCs/>
        </w:rPr>
        <w:t>第五十五条</w:t>
      </w:r>
      <w:r>
        <w:rPr>
          <w:rFonts w:hint="eastAsia"/>
        </w:rPr>
        <w:t xml:space="preserve"> </w:t>
      </w:r>
      <w:r w:rsidRPr="002D3258">
        <w:rPr>
          <w:rFonts w:hint="eastAsia"/>
        </w:rPr>
        <w:t>国有资产转让应当以依法评估的、经履行出资人职责的机构认可或者由履行出资人职责的机构报经本级人民政府核准的价格为依据，合理确定最低转让价格。</w:t>
      </w:r>
    </w:p>
    <w:p w14:paraId="6D9FCFBA" w14:textId="060D44F5" w:rsidR="002D3258" w:rsidRPr="002D3258" w:rsidRDefault="002D3258" w:rsidP="002D3258">
      <w:pPr>
        <w:pStyle w:val="13"/>
        <w:ind w:firstLine="482"/>
      </w:pPr>
      <w:r w:rsidRPr="002D3258">
        <w:rPr>
          <w:rFonts w:hint="eastAsia"/>
          <w:b/>
          <w:bCs/>
        </w:rPr>
        <w:t>第五十六条</w:t>
      </w:r>
      <w:r>
        <w:rPr>
          <w:rFonts w:hint="eastAsia"/>
        </w:rPr>
        <w:t xml:space="preserve"> </w:t>
      </w:r>
      <w:r w:rsidRPr="002D3258">
        <w:rPr>
          <w:rFonts w:hint="eastAsia"/>
        </w:rPr>
        <w:t>法律、行政法规或者国务院国有资产监督管理机构规定可以向本企业的董事、监事、高级管理人员或者其近亲属，或者这些人员所有或者实际控制的企</w:t>
      </w:r>
      <w:r w:rsidRPr="002D3258">
        <w:rPr>
          <w:rFonts w:hint="eastAsia"/>
        </w:rPr>
        <w:lastRenderedPageBreak/>
        <w:t>业转让的国有资产，在转让时，上述人员或者企业参与受让的，应当与其他受让参与者平等竞买；转让方应当按照国家有关规定，如实披露有关信息；相关的董事、监事和高级管理人员不得参与转让方案的制定和组织实施的各项工作。</w:t>
      </w:r>
    </w:p>
    <w:p w14:paraId="26F1085C" w14:textId="461B1CE8" w:rsidR="002D3258" w:rsidRPr="002D3258" w:rsidRDefault="002D3258" w:rsidP="002D3258">
      <w:pPr>
        <w:pStyle w:val="13"/>
        <w:ind w:firstLine="482"/>
      </w:pPr>
      <w:r w:rsidRPr="002D3258">
        <w:rPr>
          <w:rFonts w:hint="eastAsia"/>
          <w:b/>
          <w:bCs/>
        </w:rPr>
        <w:t>第五十七条</w:t>
      </w:r>
      <w:r>
        <w:rPr>
          <w:rFonts w:hint="eastAsia"/>
        </w:rPr>
        <w:t xml:space="preserve"> </w:t>
      </w:r>
      <w:r w:rsidRPr="002D3258">
        <w:rPr>
          <w:rFonts w:hint="eastAsia"/>
        </w:rPr>
        <w:t>国有资产向境外投资者转让的，应当遵守国家有关规定，不得危害国家安全和社会公共利益。</w:t>
      </w:r>
    </w:p>
    <w:p w14:paraId="6376F988" w14:textId="562BDD32" w:rsidR="002D3258" w:rsidRPr="002D3258" w:rsidRDefault="002D3258" w:rsidP="00AF7342">
      <w:pPr>
        <w:pStyle w:val="a9"/>
        <w:spacing w:before="62" w:after="62"/>
      </w:pPr>
      <w:r w:rsidRPr="002D3258">
        <w:rPr>
          <w:rFonts w:hint="eastAsia"/>
        </w:rPr>
        <w:t>第六</w:t>
      </w:r>
      <w:r>
        <w:rPr>
          <w:rFonts w:hint="eastAsia"/>
        </w:rPr>
        <w:t xml:space="preserve">章 </w:t>
      </w:r>
      <w:r w:rsidRPr="002D3258">
        <w:rPr>
          <w:rFonts w:hint="eastAsia"/>
        </w:rPr>
        <w:t>国有资本经营预算</w:t>
      </w:r>
    </w:p>
    <w:p w14:paraId="1C1D5C0F" w14:textId="1930C913" w:rsidR="002D3258" w:rsidRPr="002D3258" w:rsidRDefault="002D3258" w:rsidP="002D3258">
      <w:pPr>
        <w:pStyle w:val="13"/>
        <w:ind w:firstLine="482"/>
      </w:pPr>
      <w:r w:rsidRPr="002D3258">
        <w:rPr>
          <w:rFonts w:hint="eastAsia"/>
          <w:b/>
          <w:bCs/>
        </w:rPr>
        <w:t>第五十八条</w:t>
      </w:r>
      <w:r>
        <w:rPr>
          <w:rFonts w:hint="eastAsia"/>
        </w:rPr>
        <w:t xml:space="preserve"> </w:t>
      </w:r>
      <w:r w:rsidRPr="002D3258">
        <w:rPr>
          <w:rFonts w:hint="eastAsia"/>
        </w:rPr>
        <w:t>国家建立健全国有资本经营预算制度，对取得的国有资本收入及其支出实行预算管理。</w:t>
      </w:r>
    </w:p>
    <w:p w14:paraId="2D616A51" w14:textId="7F9E9ABE" w:rsidR="002D3258" w:rsidRPr="002D3258" w:rsidRDefault="002D3258" w:rsidP="002D3258">
      <w:pPr>
        <w:pStyle w:val="13"/>
        <w:ind w:firstLine="482"/>
      </w:pPr>
      <w:r w:rsidRPr="002D3258">
        <w:rPr>
          <w:rFonts w:hint="eastAsia"/>
          <w:b/>
          <w:bCs/>
        </w:rPr>
        <w:t>第五十九条</w:t>
      </w:r>
      <w:r>
        <w:rPr>
          <w:rFonts w:hint="eastAsia"/>
        </w:rPr>
        <w:t xml:space="preserve"> </w:t>
      </w:r>
      <w:r w:rsidRPr="002D3258">
        <w:rPr>
          <w:rFonts w:hint="eastAsia"/>
        </w:rPr>
        <w:t>国家取得的下列国有资本收入，以及下列收入的支出，应当编制国有资本经营预算：</w:t>
      </w:r>
    </w:p>
    <w:p w14:paraId="0D38681E" w14:textId="02A357C0" w:rsidR="002D3258" w:rsidRPr="002D3258" w:rsidRDefault="002D3258" w:rsidP="002D3258">
      <w:pPr>
        <w:pStyle w:val="13"/>
      </w:pPr>
      <w:r w:rsidRPr="002D3258">
        <w:rPr>
          <w:rFonts w:hint="eastAsia"/>
        </w:rPr>
        <w:t>（一）从国家出资企业分得的利润；</w:t>
      </w:r>
    </w:p>
    <w:p w14:paraId="47FEED56" w14:textId="4F6A0371" w:rsidR="002D3258" w:rsidRPr="002D3258" w:rsidRDefault="002D3258" w:rsidP="002D3258">
      <w:pPr>
        <w:pStyle w:val="13"/>
      </w:pPr>
      <w:r w:rsidRPr="002D3258">
        <w:rPr>
          <w:rFonts w:hint="eastAsia"/>
        </w:rPr>
        <w:t>（二）国有资产转让收入；</w:t>
      </w:r>
    </w:p>
    <w:p w14:paraId="19E3DD0D" w14:textId="3112E3B7" w:rsidR="002D3258" w:rsidRPr="002D3258" w:rsidRDefault="002D3258" w:rsidP="002D3258">
      <w:pPr>
        <w:pStyle w:val="13"/>
      </w:pPr>
      <w:r w:rsidRPr="002D3258">
        <w:rPr>
          <w:rFonts w:hint="eastAsia"/>
        </w:rPr>
        <w:t>（三）从国家出资企业取得的清算收入；</w:t>
      </w:r>
    </w:p>
    <w:p w14:paraId="55A40946" w14:textId="3CB6AFE8" w:rsidR="002D3258" w:rsidRPr="002D3258" w:rsidRDefault="002D3258" w:rsidP="002D3258">
      <w:pPr>
        <w:pStyle w:val="13"/>
      </w:pPr>
      <w:r w:rsidRPr="002D3258">
        <w:rPr>
          <w:rFonts w:hint="eastAsia"/>
        </w:rPr>
        <w:t>（四）其他国有资本收入。</w:t>
      </w:r>
    </w:p>
    <w:p w14:paraId="11049C32" w14:textId="47873B9C" w:rsidR="002D3258" w:rsidRPr="002D3258" w:rsidRDefault="002D3258" w:rsidP="002D3258">
      <w:pPr>
        <w:pStyle w:val="13"/>
        <w:ind w:firstLine="482"/>
      </w:pPr>
      <w:r w:rsidRPr="002D3258">
        <w:rPr>
          <w:rFonts w:hint="eastAsia"/>
          <w:b/>
          <w:bCs/>
        </w:rPr>
        <w:t>第六十条</w:t>
      </w:r>
      <w:r>
        <w:rPr>
          <w:rFonts w:hint="eastAsia"/>
        </w:rPr>
        <w:t xml:space="preserve"> </w:t>
      </w:r>
      <w:r w:rsidRPr="002D3258">
        <w:rPr>
          <w:rFonts w:hint="eastAsia"/>
        </w:rPr>
        <w:t>国有资本经营预算按年度单独编制，纳入本级人民政府预算，报本级人民代表大会批准。</w:t>
      </w:r>
    </w:p>
    <w:p w14:paraId="78E8F4DD" w14:textId="2A06B1D4" w:rsidR="002D3258" w:rsidRPr="002D3258" w:rsidRDefault="002D3258" w:rsidP="002D3258">
      <w:pPr>
        <w:pStyle w:val="13"/>
      </w:pPr>
      <w:r w:rsidRPr="002D3258">
        <w:rPr>
          <w:rFonts w:hint="eastAsia"/>
        </w:rPr>
        <w:t>国有资本经营预算支出按照当年预算收入规模安排，不列赤字。</w:t>
      </w:r>
    </w:p>
    <w:p w14:paraId="1C06C629" w14:textId="5DE0E9E8" w:rsidR="002D3258" w:rsidRPr="002D3258" w:rsidRDefault="002D3258" w:rsidP="002D3258">
      <w:pPr>
        <w:pStyle w:val="13"/>
        <w:ind w:firstLine="482"/>
      </w:pPr>
      <w:r w:rsidRPr="002D3258">
        <w:rPr>
          <w:rFonts w:hint="eastAsia"/>
          <w:b/>
          <w:bCs/>
        </w:rPr>
        <w:t xml:space="preserve">第六十一条 </w:t>
      </w:r>
      <w:r w:rsidRPr="002D3258">
        <w:rPr>
          <w:rFonts w:hint="eastAsia"/>
        </w:rPr>
        <w:t>国务院和有关地方人民政府财政部门负责国有资本经营预算草案的编制工作，履行出资人职责的机构向财政部门提出由其履行出资人职责的国有资本经营预算建议草案。</w:t>
      </w:r>
    </w:p>
    <w:p w14:paraId="4AECE0BF" w14:textId="187A4598" w:rsidR="002D3258" w:rsidRPr="002D3258" w:rsidRDefault="002D3258" w:rsidP="002D3258">
      <w:pPr>
        <w:pStyle w:val="13"/>
        <w:ind w:firstLine="482"/>
      </w:pPr>
      <w:r w:rsidRPr="002D3258">
        <w:rPr>
          <w:rFonts w:hint="eastAsia"/>
          <w:b/>
          <w:bCs/>
        </w:rPr>
        <w:t>第六十二条</w:t>
      </w:r>
      <w:r>
        <w:rPr>
          <w:rFonts w:hint="eastAsia"/>
        </w:rPr>
        <w:t xml:space="preserve"> </w:t>
      </w:r>
      <w:r w:rsidRPr="002D3258">
        <w:rPr>
          <w:rFonts w:hint="eastAsia"/>
        </w:rPr>
        <w:t>国有资本经营预算管理的具体办法和实施步骤，由国务院规定，报全国人民代表大会常务委员会备案。</w:t>
      </w:r>
    </w:p>
    <w:p w14:paraId="74E309F9" w14:textId="63068173" w:rsidR="002D3258" w:rsidRPr="002D3258" w:rsidRDefault="002D3258" w:rsidP="00AF7342">
      <w:pPr>
        <w:pStyle w:val="a9"/>
        <w:spacing w:before="62" w:after="62"/>
      </w:pPr>
      <w:r w:rsidRPr="002D3258">
        <w:rPr>
          <w:rFonts w:hint="eastAsia"/>
        </w:rPr>
        <w:t>第七</w:t>
      </w:r>
      <w:r>
        <w:rPr>
          <w:rFonts w:hint="eastAsia"/>
        </w:rPr>
        <w:t xml:space="preserve">章 </w:t>
      </w:r>
      <w:r w:rsidRPr="002D3258">
        <w:rPr>
          <w:rFonts w:hint="eastAsia"/>
        </w:rPr>
        <w:t>国有资产监督</w:t>
      </w:r>
    </w:p>
    <w:p w14:paraId="0FFD7D17" w14:textId="25CCA9AB" w:rsidR="002D3258" w:rsidRPr="002D3258" w:rsidRDefault="002D3258" w:rsidP="002D3258">
      <w:pPr>
        <w:pStyle w:val="13"/>
        <w:ind w:firstLine="482"/>
      </w:pPr>
      <w:r w:rsidRPr="002D3258">
        <w:rPr>
          <w:rFonts w:hint="eastAsia"/>
          <w:b/>
          <w:bCs/>
        </w:rPr>
        <w:t>第六十三条</w:t>
      </w:r>
      <w:r>
        <w:rPr>
          <w:rFonts w:hint="eastAsia"/>
        </w:rPr>
        <w:t xml:space="preserve"> </w:t>
      </w:r>
      <w:r w:rsidRPr="002D3258">
        <w:rPr>
          <w:rFonts w:hint="eastAsia"/>
        </w:rPr>
        <w:t>各级人民代表大会常务委员会通过听取和审议本级人民政府履行出资人职责的情况和国有资产监督管理情况的专项工作报告，组织对本法实施情况的执法检查等，依法行使监督职权。</w:t>
      </w:r>
    </w:p>
    <w:p w14:paraId="0AB4A7C9" w14:textId="3795C99B" w:rsidR="002D3258" w:rsidRPr="002D3258" w:rsidRDefault="002D3258" w:rsidP="002D3258">
      <w:pPr>
        <w:pStyle w:val="13"/>
        <w:ind w:firstLine="482"/>
      </w:pPr>
      <w:r w:rsidRPr="002D3258">
        <w:rPr>
          <w:rFonts w:hint="eastAsia"/>
          <w:b/>
          <w:bCs/>
        </w:rPr>
        <w:t>第六十四条</w:t>
      </w:r>
      <w:r>
        <w:rPr>
          <w:rFonts w:hint="eastAsia"/>
        </w:rPr>
        <w:t xml:space="preserve"> </w:t>
      </w:r>
      <w:r w:rsidRPr="002D3258">
        <w:rPr>
          <w:rFonts w:hint="eastAsia"/>
        </w:rPr>
        <w:t>国务院和地方人民政府应当对其授权履行出资人职责的机构履行职责的情况进行监督。</w:t>
      </w:r>
    </w:p>
    <w:p w14:paraId="4F9587FC" w14:textId="086419E7" w:rsidR="002D3258" w:rsidRPr="002D3258" w:rsidRDefault="002D3258" w:rsidP="002D3258">
      <w:pPr>
        <w:pStyle w:val="13"/>
        <w:ind w:firstLine="482"/>
      </w:pPr>
      <w:r w:rsidRPr="002D3258">
        <w:rPr>
          <w:rFonts w:hint="eastAsia"/>
          <w:b/>
          <w:bCs/>
        </w:rPr>
        <w:t>第六十五条</w:t>
      </w:r>
      <w:r>
        <w:rPr>
          <w:rFonts w:hint="eastAsia"/>
        </w:rPr>
        <w:t xml:space="preserve"> </w:t>
      </w:r>
      <w:r w:rsidRPr="002D3258">
        <w:rPr>
          <w:rFonts w:hint="eastAsia"/>
        </w:rPr>
        <w:t>国务院和地方人民政府审计机关依照《中华人民共和国审计法》的规定，对国有资本经营预算的执行情况和属于审计监督对象的国家出资企业进行审计监督。</w:t>
      </w:r>
    </w:p>
    <w:p w14:paraId="368EB0B4" w14:textId="03425730" w:rsidR="002D3258" w:rsidRPr="002D3258" w:rsidRDefault="002D3258" w:rsidP="002D3258">
      <w:pPr>
        <w:pStyle w:val="13"/>
        <w:ind w:firstLine="482"/>
      </w:pPr>
      <w:r w:rsidRPr="002D3258">
        <w:rPr>
          <w:rFonts w:hint="eastAsia"/>
          <w:b/>
          <w:bCs/>
        </w:rPr>
        <w:t>第六十六条</w:t>
      </w:r>
      <w:r>
        <w:rPr>
          <w:rFonts w:hint="eastAsia"/>
        </w:rPr>
        <w:t xml:space="preserve"> </w:t>
      </w:r>
      <w:r w:rsidRPr="002D3258">
        <w:rPr>
          <w:rFonts w:hint="eastAsia"/>
        </w:rPr>
        <w:t>国务院和地方人民政府应当依法向社会公布国有资产状况和国有资产监督管理工作情况，接受社会公众的监督。</w:t>
      </w:r>
    </w:p>
    <w:p w14:paraId="1B1DC149" w14:textId="23177C9E" w:rsidR="002D3258" w:rsidRPr="002D3258" w:rsidRDefault="002D3258" w:rsidP="002D3258">
      <w:pPr>
        <w:pStyle w:val="13"/>
      </w:pPr>
      <w:r w:rsidRPr="002D3258">
        <w:rPr>
          <w:rFonts w:hint="eastAsia"/>
        </w:rPr>
        <w:lastRenderedPageBreak/>
        <w:t>任何单位和个人有权对造成国有资产损失的行为进行检举和控告。</w:t>
      </w:r>
    </w:p>
    <w:p w14:paraId="5F8CC377" w14:textId="57148B5F" w:rsidR="002D3258" w:rsidRPr="002D3258" w:rsidRDefault="002D3258" w:rsidP="002D3258">
      <w:pPr>
        <w:pStyle w:val="13"/>
        <w:ind w:firstLine="482"/>
      </w:pPr>
      <w:r w:rsidRPr="002D3258">
        <w:rPr>
          <w:rFonts w:hint="eastAsia"/>
          <w:b/>
          <w:bCs/>
        </w:rPr>
        <w:t>第六十七条</w:t>
      </w:r>
      <w:r>
        <w:rPr>
          <w:rFonts w:hint="eastAsia"/>
        </w:rPr>
        <w:t xml:space="preserve"> </w:t>
      </w:r>
      <w:r w:rsidRPr="002D3258">
        <w:rPr>
          <w:rFonts w:hint="eastAsia"/>
        </w:rPr>
        <w:t>履行出资人职责的机构根据需要，可以委托会计师事务所对国有独资企业、国有独资公司的年度财务会计报告进行审计，或者通过国有资本控股公司的股东会、股东大会决议，由国有资本控股公司聘请会计师事务所对公司的年度财务会计报告进行审计，维护出资人权益。</w:t>
      </w:r>
    </w:p>
    <w:p w14:paraId="7628FE7A" w14:textId="3A48D4E5" w:rsidR="002D3258" w:rsidRPr="002D3258" w:rsidRDefault="002D3258" w:rsidP="00AF7342">
      <w:pPr>
        <w:pStyle w:val="a9"/>
        <w:spacing w:before="62" w:after="62"/>
      </w:pPr>
      <w:r w:rsidRPr="002D3258">
        <w:rPr>
          <w:rFonts w:hint="eastAsia"/>
        </w:rPr>
        <w:t>第八</w:t>
      </w:r>
      <w:r>
        <w:rPr>
          <w:rFonts w:hint="eastAsia"/>
        </w:rPr>
        <w:t xml:space="preserve">章 </w:t>
      </w:r>
      <w:r w:rsidRPr="002D3258">
        <w:rPr>
          <w:rFonts w:hint="eastAsia"/>
        </w:rPr>
        <w:t>法律责任</w:t>
      </w:r>
    </w:p>
    <w:p w14:paraId="26003B23" w14:textId="4A33A16A" w:rsidR="002D3258" w:rsidRPr="002D3258" w:rsidRDefault="002D3258" w:rsidP="002D3258">
      <w:pPr>
        <w:pStyle w:val="13"/>
        <w:ind w:firstLine="482"/>
      </w:pPr>
      <w:r w:rsidRPr="002D3258">
        <w:rPr>
          <w:rFonts w:hint="eastAsia"/>
          <w:b/>
          <w:bCs/>
        </w:rPr>
        <w:t>第六十八条</w:t>
      </w:r>
      <w:r>
        <w:rPr>
          <w:rFonts w:hint="eastAsia"/>
        </w:rPr>
        <w:t xml:space="preserve"> </w:t>
      </w:r>
      <w:r w:rsidRPr="002D3258">
        <w:rPr>
          <w:rFonts w:hint="eastAsia"/>
        </w:rPr>
        <w:t>履行出资人职责的机构有下列行为之一的，对其直接负责的主管人员和其他直接责任人员依法给予处分：</w:t>
      </w:r>
    </w:p>
    <w:p w14:paraId="71E964DC" w14:textId="39C43A8C" w:rsidR="002D3258" w:rsidRPr="002D3258" w:rsidRDefault="002D3258" w:rsidP="002D3258">
      <w:pPr>
        <w:pStyle w:val="13"/>
      </w:pPr>
      <w:r w:rsidRPr="002D3258">
        <w:rPr>
          <w:rFonts w:hint="eastAsia"/>
        </w:rPr>
        <w:t>（一）不按照法定的任职条件，任命或者建议任命国家出资企业管理者的；</w:t>
      </w:r>
    </w:p>
    <w:p w14:paraId="21CF4023" w14:textId="3806DAEF" w:rsidR="002D3258" w:rsidRPr="002D3258" w:rsidRDefault="002D3258" w:rsidP="002D3258">
      <w:pPr>
        <w:pStyle w:val="13"/>
      </w:pPr>
      <w:r w:rsidRPr="002D3258">
        <w:rPr>
          <w:rFonts w:hint="eastAsia"/>
        </w:rPr>
        <w:t>（二）侵占、截留、挪用国家出资企业的资金或者应当上缴的国有资本收入的；</w:t>
      </w:r>
    </w:p>
    <w:p w14:paraId="26DC4E11" w14:textId="7A09E700" w:rsidR="002D3258" w:rsidRPr="002D3258" w:rsidRDefault="002D3258" w:rsidP="002D3258">
      <w:pPr>
        <w:pStyle w:val="13"/>
      </w:pPr>
      <w:r w:rsidRPr="002D3258">
        <w:rPr>
          <w:rFonts w:hint="eastAsia"/>
        </w:rPr>
        <w:t>（三）违反法定的权限、程序，决定国家出资企业重大事项，造成国有资产损失的；</w:t>
      </w:r>
    </w:p>
    <w:p w14:paraId="6CABA35C" w14:textId="68EFE595" w:rsidR="002D3258" w:rsidRPr="002D3258" w:rsidRDefault="002D3258" w:rsidP="002D3258">
      <w:pPr>
        <w:pStyle w:val="13"/>
      </w:pPr>
      <w:r w:rsidRPr="002D3258">
        <w:rPr>
          <w:rFonts w:hint="eastAsia"/>
        </w:rPr>
        <w:t>（四）有其他不依法履行出资人职责的行为，造成国有资产损失的。</w:t>
      </w:r>
    </w:p>
    <w:p w14:paraId="0FA701AD" w14:textId="56476543" w:rsidR="002D3258" w:rsidRPr="002D3258" w:rsidRDefault="002D3258" w:rsidP="002D3258">
      <w:pPr>
        <w:pStyle w:val="13"/>
        <w:ind w:firstLine="482"/>
      </w:pPr>
      <w:r w:rsidRPr="002D3258">
        <w:rPr>
          <w:rFonts w:hint="eastAsia"/>
          <w:b/>
          <w:bCs/>
        </w:rPr>
        <w:t xml:space="preserve">第六十九条 </w:t>
      </w:r>
      <w:r w:rsidRPr="002D3258">
        <w:rPr>
          <w:rFonts w:hint="eastAsia"/>
        </w:rPr>
        <w:t>履行出资人职责的机构的工作人员玩忽职守、滥用职权、徇私舞弊，尚不构成犯罪的，依法给予处分。</w:t>
      </w:r>
    </w:p>
    <w:p w14:paraId="14F80A10" w14:textId="0C0496E8" w:rsidR="002D3258" w:rsidRPr="002D3258" w:rsidRDefault="002D3258" w:rsidP="002D3258">
      <w:pPr>
        <w:pStyle w:val="13"/>
        <w:ind w:firstLine="482"/>
      </w:pPr>
      <w:r w:rsidRPr="002D3258">
        <w:rPr>
          <w:rFonts w:hint="eastAsia"/>
          <w:b/>
          <w:bCs/>
        </w:rPr>
        <w:t>第七十条</w:t>
      </w:r>
      <w:r>
        <w:rPr>
          <w:rFonts w:hint="eastAsia"/>
        </w:rPr>
        <w:t xml:space="preserve"> </w:t>
      </w:r>
      <w:r w:rsidRPr="002D3258">
        <w:rPr>
          <w:rFonts w:hint="eastAsia"/>
        </w:rPr>
        <w:t>履行出资人职责的机构委派的股东代表未按照委派机构的指示履行职责，造成国有资产损失的，依法承担赔偿责任；属于国家工作人员的，并依法给予处分。</w:t>
      </w:r>
    </w:p>
    <w:p w14:paraId="0AA6D4D8" w14:textId="271DF469" w:rsidR="002D3258" w:rsidRPr="002D3258" w:rsidRDefault="002D3258" w:rsidP="002D3258">
      <w:pPr>
        <w:pStyle w:val="13"/>
        <w:ind w:firstLine="482"/>
      </w:pPr>
      <w:r w:rsidRPr="002D3258">
        <w:rPr>
          <w:rFonts w:hint="eastAsia"/>
          <w:b/>
          <w:bCs/>
        </w:rPr>
        <w:t>第七十一条</w:t>
      </w:r>
      <w:r>
        <w:rPr>
          <w:rFonts w:hint="eastAsia"/>
        </w:rPr>
        <w:t xml:space="preserve"> </w:t>
      </w:r>
      <w:r w:rsidRPr="002D3258">
        <w:rPr>
          <w:rFonts w:hint="eastAsia"/>
        </w:rPr>
        <w:t>国家出资企业的董事、监事、高级管理人员有下列行为之一，造成国有资产损失的，依法承担赔偿责任；属于国家工作人员的，并依法给予处分：</w:t>
      </w:r>
    </w:p>
    <w:p w14:paraId="3D400B74" w14:textId="4336277A" w:rsidR="002D3258" w:rsidRPr="002D3258" w:rsidRDefault="002D3258" w:rsidP="002D3258">
      <w:pPr>
        <w:pStyle w:val="13"/>
      </w:pPr>
      <w:r w:rsidRPr="002D3258">
        <w:rPr>
          <w:rFonts w:hint="eastAsia"/>
        </w:rPr>
        <w:t>（一）利用职权收受贿赂或者取得其他非法收入和不当利益的；</w:t>
      </w:r>
    </w:p>
    <w:p w14:paraId="5D0448B1" w14:textId="0F954A2A" w:rsidR="002D3258" w:rsidRPr="002D3258" w:rsidRDefault="002D3258" w:rsidP="002D3258">
      <w:pPr>
        <w:pStyle w:val="13"/>
      </w:pPr>
      <w:r w:rsidRPr="002D3258">
        <w:rPr>
          <w:rFonts w:hint="eastAsia"/>
        </w:rPr>
        <w:t>（二）侵占、挪用企业资产的；</w:t>
      </w:r>
    </w:p>
    <w:p w14:paraId="08658931" w14:textId="6D4AF4BD" w:rsidR="002D3258" w:rsidRPr="002D3258" w:rsidRDefault="002D3258" w:rsidP="002D3258">
      <w:pPr>
        <w:pStyle w:val="13"/>
      </w:pPr>
      <w:r w:rsidRPr="002D3258">
        <w:rPr>
          <w:rFonts w:hint="eastAsia"/>
        </w:rPr>
        <w:t>（三）在企业改制、财产转让等过程中，违反法律、行政法规和公平交易规则，将企业财产低价转让、低价折股的；</w:t>
      </w:r>
    </w:p>
    <w:p w14:paraId="3A4CDCF1" w14:textId="6F9BDB70" w:rsidR="002D3258" w:rsidRPr="002D3258" w:rsidRDefault="002D3258" w:rsidP="002D3258">
      <w:pPr>
        <w:pStyle w:val="13"/>
      </w:pPr>
      <w:r w:rsidRPr="002D3258">
        <w:rPr>
          <w:rFonts w:hint="eastAsia"/>
        </w:rPr>
        <w:t>（四）违反本法规定与本企业进行交易的；</w:t>
      </w:r>
    </w:p>
    <w:p w14:paraId="31C4CF9C" w14:textId="493E3D5D" w:rsidR="002D3258" w:rsidRPr="002D3258" w:rsidRDefault="002D3258" w:rsidP="002D3258">
      <w:pPr>
        <w:pStyle w:val="13"/>
      </w:pPr>
      <w:r w:rsidRPr="002D3258">
        <w:rPr>
          <w:rFonts w:hint="eastAsia"/>
        </w:rPr>
        <w:t>（五）</w:t>
      </w:r>
      <w:proofErr w:type="gramStart"/>
      <w:r w:rsidRPr="002D3258">
        <w:rPr>
          <w:rFonts w:hint="eastAsia"/>
        </w:rPr>
        <w:t>不</w:t>
      </w:r>
      <w:proofErr w:type="gramEnd"/>
      <w:r w:rsidRPr="002D3258">
        <w:rPr>
          <w:rFonts w:hint="eastAsia"/>
        </w:rPr>
        <w:t>如实向资产评估机构、会计师事务所提供有关情况和资料，或者与资产评估机构、会计师事务所串通出具虚假资产评估报告、审计报告的；</w:t>
      </w:r>
    </w:p>
    <w:p w14:paraId="665D6724" w14:textId="73C5055A" w:rsidR="002D3258" w:rsidRPr="002D3258" w:rsidRDefault="002D3258" w:rsidP="002D3258">
      <w:pPr>
        <w:pStyle w:val="13"/>
      </w:pPr>
      <w:r w:rsidRPr="002D3258">
        <w:rPr>
          <w:rFonts w:hint="eastAsia"/>
        </w:rPr>
        <w:t>（六）违反法律、行政法规和企业章程规定的决策程序，决定企业重大事项的；</w:t>
      </w:r>
    </w:p>
    <w:p w14:paraId="284AB742" w14:textId="686B5577" w:rsidR="002D3258" w:rsidRPr="002D3258" w:rsidRDefault="002D3258" w:rsidP="002D3258">
      <w:pPr>
        <w:pStyle w:val="13"/>
      </w:pPr>
      <w:r w:rsidRPr="002D3258">
        <w:rPr>
          <w:rFonts w:hint="eastAsia"/>
        </w:rPr>
        <w:t>（七）有其他违反法律、行政法规和企业章程执行职务行为的。</w:t>
      </w:r>
    </w:p>
    <w:p w14:paraId="55651706" w14:textId="78BA9529" w:rsidR="002D3258" w:rsidRPr="002D3258" w:rsidRDefault="002D3258" w:rsidP="002D3258">
      <w:pPr>
        <w:pStyle w:val="13"/>
      </w:pPr>
      <w:r w:rsidRPr="002D3258">
        <w:rPr>
          <w:rFonts w:hint="eastAsia"/>
        </w:rPr>
        <w:t>国家出资企业的董事、监事、高级管理人员因前款所</w:t>
      </w:r>
      <w:proofErr w:type="gramStart"/>
      <w:r w:rsidRPr="002D3258">
        <w:rPr>
          <w:rFonts w:hint="eastAsia"/>
        </w:rPr>
        <w:t>列行</w:t>
      </w:r>
      <w:proofErr w:type="gramEnd"/>
      <w:r w:rsidRPr="002D3258">
        <w:rPr>
          <w:rFonts w:hint="eastAsia"/>
        </w:rPr>
        <w:t>为取得的收入，依法予以追缴或者归国家出资企业所有。</w:t>
      </w:r>
    </w:p>
    <w:p w14:paraId="223115ED" w14:textId="28F94B6B" w:rsidR="002D3258" w:rsidRPr="002D3258" w:rsidRDefault="002D3258" w:rsidP="002D3258">
      <w:pPr>
        <w:pStyle w:val="13"/>
      </w:pPr>
      <w:r w:rsidRPr="002D3258">
        <w:rPr>
          <w:rFonts w:hint="eastAsia"/>
        </w:rPr>
        <w:t>履行出资人职责的机构任命或者建议任命的董事、监事、高级管理人员有本条第一款所</w:t>
      </w:r>
      <w:proofErr w:type="gramStart"/>
      <w:r w:rsidRPr="002D3258">
        <w:rPr>
          <w:rFonts w:hint="eastAsia"/>
        </w:rPr>
        <w:t>列行</w:t>
      </w:r>
      <w:proofErr w:type="gramEnd"/>
      <w:r w:rsidRPr="002D3258">
        <w:rPr>
          <w:rFonts w:hint="eastAsia"/>
        </w:rPr>
        <w:t>为之一，造成国有资产重大损失的，由履行出资人职责的机构依法予以免职或者提出免职建议。</w:t>
      </w:r>
    </w:p>
    <w:p w14:paraId="5022E948" w14:textId="7ECF15B8" w:rsidR="002D3258" w:rsidRPr="002D3258" w:rsidRDefault="002D3258" w:rsidP="002D3258">
      <w:pPr>
        <w:pStyle w:val="13"/>
        <w:ind w:firstLine="482"/>
      </w:pPr>
      <w:r w:rsidRPr="002D3258">
        <w:rPr>
          <w:rFonts w:hint="eastAsia"/>
          <w:b/>
          <w:bCs/>
        </w:rPr>
        <w:lastRenderedPageBreak/>
        <w:t>第七十二条</w:t>
      </w:r>
      <w:r>
        <w:rPr>
          <w:rFonts w:hint="eastAsia"/>
        </w:rPr>
        <w:t xml:space="preserve"> </w:t>
      </w:r>
      <w:r w:rsidRPr="002D3258">
        <w:rPr>
          <w:rFonts w:hint="eastAsia"/>
        </w:rPr>
        <w:t>在涉及关联方交易、国有资产转让等交易活动中，当事人恶意串通，损害国有资产权益的，该交易行为无效。</w:t>
      </w:r>
    </w:p>
    <w:p w14:paraId="665C543C" w14:textId="6981297B" w:rsidR="002D3258" w:rsidRPr="002D3258" w:rsidRDefault="002D3258" w:rsidP="002D3258">
      <w:pPr>
        <w:pStyle w:val="13"/>
        <w:ind w:firstLine="482"/>
      </w:pPr>
      <w:r w:rsidRPr="002D3258">
        <w:rPr>
          <w:rFonts w:hint="eastAsia"/>
          <w:b/>
          <w:bCs/>
        </w:rPr>
        <w:t>第七十三条</w:t>
      </w:r>
      <w:r>
        <w:rPr>
          <w:rFonts w:hint="eastAsia"/>
        </w:rPr>
        <w:t xml:space="preserve"> </w:t>
      </w:r>
      <w:r w:rsidRPr="002D3258">
        <w:rPr>
          <w:rFonts w:hint="eastAsia"/>
        </w:rPr>
        <w:t>国有独资企业、国有独资公司、国有资本控股公司的董事、监事、高级管理人员违反本法规定，造成国有资产重大损失，被免职的，</w:t>
      </w:r>
      <w:proofErr w:type="gramStart"/>
      <w:r w:rsidRPr="002D3258">
        <w:rPr>
          <w:rFonts w:hint="eastAsia"/>
        </w:rPr>
        <w:t>自免</w:t>
      </w:r>
      <w:proofErr w:type="gramEnd"/>
      <w:r w:rsidRPr="002D3258">
        <w:rPr>
          <w:rFonts w:hint="eastAsia"/>
        </w:rPr>
        <w:t>职之日起五年内不得担任国有独资企业、国有独资公司、国有资本控股公司的董事、监事、高级管理人员；造成国有资产特别重大损失，或者因贪污、贿赂、侵占财产、挪用财产或者破坏社会主义市场经济秩序被判处刑罚的，终身不得担任国有独资企业、国有独资公司、国有资本控股公司的董事、监事、高级管理人员。</w:t>
      </w:r>
    </w:p>
    <w:p w14:paraId="7F185CE8" w14:textId="1B21346B" w:rsidR="002D3258" w:rsidRPr="002D3258" w:rsidRDefault="002D3258" w:rsidP="002D3258">
      <w:pPr>
        <w:pStyle w:val="13"/>
        <w:ind w:firstLine="482"/>
      </w:pPr>
      <w:r w:rsidRPr="002D3258">
        <w:rPr>
          <w:rFonts w:hint="eastAsia"/>
          <w:b/>
          <w:bCs/>
        </w:rPr>
        <w:t>第七十四条</w:t>
      </w:r>
      <w:r>
        <w:rPr>
          <w:rFonts w:hint="eastAsia"/>
        </w:rPr>
        <w:t xml:space="preserve"> </w:t>
      </w:r>
      <w:r w:rsidRPr="002D3258">
        <w:rPr>
          <w:rFonts w:hint="eastAsia"/>
        </w:rPr>
        <w:t>接受委托对国家出资企业进行资产评估、财务审计的资产评估机构、会计师事务所违反法律、行政法规的规定和执业准则，出具虚假的资产评估报告或者审计报告的，依照有关法律、行政法规的规定追究法律责任。</w:t>
      </w:r>
    </w:p>
    <w:p w14:paraId="64B12BB0" w14:textId="63E4B374" w:rsidR="002D3258" w:rsidRPr="002D3258" w:rsidRDefault="002D3258" w:rsidP="002D3258">
      <w:pPr>
        <w:pStyle w:val="13"/>
        <w:ind w:firstLine="482"/>
      </w:pPr>
      <w:r w:rsidRPr="002D3258">
        <w:rPr>
          <w:rFonts w:hint="eastAsia"/>
          <w:b/>
          <w:bCs/>
        </w:rPr>
        <w:t>第七十五条</w:t>
      </w:r>
      <w:r>
        <w:rPr>
          <w:rFonts w:hint="eastAsia"/>
        </w:rPr>
        <w:t xml:space="preserve"> </w:t>
      </w:r>
      <w:r w:rsidRPr="002D3258">
        <w:rPr>
          <w:rFonts w:hint="eastAsia"/>
        </w:rPr>
        <w:t>违反本法规定，构成犯罪的，依法追究刑事责任。</w:t>
      </w:r>
    </w:p>
    <w:p w14:paraId="3CAB911A" w14:textId="03576854" w:rsidR="002D3258" w:rsidRPr="002D3258" w:rsidRDefault="002D3258" w:rsidP="00AF7342">
      <w:pPr>
        <w:pStyle w:val="a9"/>
        <w:spacing w:before="62" w:after="62"/>
      </w:pPr>
      <w:r w:rsidRPr="002D3258">
        <w:rPr>
          <w:rFonts w:hint="eastAsia"/>
        </w:rPr>
        <w:t>第九</w:t>
      </w:r>
      <w:r>
        <w:rPr>
          <w:rFonts w:hint="eastAsia"/>
        </w:rPr>
        <w:t xml:space="preserve">章 </w:t>
      </w:r>
      <w:r w:rsidRPr="002D3258">
        <w:rPr>
          <w:rFonts w:hint="eastAsia"/>
        </w:rPr>
        <w:t>附则</w:t>
      </w:r>
    </w:p>
    <w:p w14:paraId="681B0042" w14:textId="57C54706" w:rsidR="002D3258" w:rsidRPr="002D3258" w:rsidRDefault="002D3258" w:rsidP="002D3258">
      <w:pPr>
        <w:pStyle w:val="13"/>
        <w:ind w:firstLine="482"/>
      </w:pPr>
      <w:r w:rsidRPr="002D3258">
        <w:rPr>
          <w:rFonts w:hint="eastAsia"/>
          <w:b/>
          <w:bCs/>
        </w:rPr>
        <w:t>第七十六条</w:t>
      </w:r>
      <w:r>
        <w:rPr>
          <w:rFonts w:hint="eastAsia"/>
        </w:rPr>
        <w:t xml:space="preserve"> </w:t>
      </w:r>
      <w:r w:rsidRPr="002D3258">
        <w:rPr>
          <w:rFonts w:hint="eastAsia"/>
        </w:rPr>
        <w:t>金融企业国有资产的管理与监督，法律、行政法规另有规定的，依照其规定。</w:t>
      </w:r>
    </w:p>
    <w:p w14:paraId="6EE5D8F0" w14:textId="66C0B01B" w:rsidR="002D3258" w:rsidRDefault="002D3258" w:rsidP="002D3258">
      <w:pPr>
        <w:pStyle w:val="13"/>
        <w:ind w:firstLine="482"/>
      </w:pPr>
      <w:r w:rsidRPr="002D3258">
        <w:rPr>
          <w:rFonts w:hint="eastAsia"/>
          <w:b/>
          <w:bCs/>
        </w:rPr>
        <w:t>第七十七条</w:t>
      </w:r>
      <w:r>
        <w:rPr>
          <w:rFonts w:hint="eastAsia"/>
        </w:rPr>
        <w:t xml:space="preserve"> </w:t>
      </w:r>
      <w:r w:rsidRPr="002D3258">
        <w:rPr>
          <w:rFonts w:hint="eastAsia"/>
        </w:rPr>
        <w:t>本法自2009年5月1日起施行。</w:t>
      </w:r>
    </w:p>
    <w:p w14:paraId="223D0FD8" w14:textId="77777777" w:rsidR="003B0D09" w:rsidRPr="00864171" w:rsidRDefault="003B0D09" w:rsidP="003B0D09">
      <w:pPr>
        <w:pStyle w:val="31"/>
        <w:spacing w:before="156" w:after="62"/>
      </w:pPr>
      <w:bookmarkStart w:id="214" w:name="_Toc81833447"/>
      <w:r w:rsidRPr="00E16412">
        <w:rPr>
          <w:rFonts w:hint="eastAsia"/>
        </w:rPr>
        <w:t>《国有资产评估管理办法》（国务院令第</w:t>
      </w:r>
      <w:r w:rsidRPr="00E16412">
        <w:t>91号）</w:t>
      </w:r>
      <w:bookmarkEnd w:id="214"/>
    </w:p>
    <w:p w14:paraId="1B95A35E" w14:textId="77777777" w:rsidR="003B0D09" w:rsidRDefault="003B0D09" w:rsidP="00AF7342">
      <w:pPr>
        <w:pStyle w:val="a9"/>
        <w:spacing w:before="62" w:after="62"/>
      </w:pPr>
      <w:r>
        <w:rPr>
          <w:rFonts w:hint="eastAsia"/>
        </w:rPr>
        <w:t>第一章</w:t>
      </w:r>
      <w:r>
        <w:t xml:space="preserve"> 总则</w:t>
      </w:r>
    </w:p>
    <w:p w14:paraId="56A91514" w14:textId="77777777" w:rsidR="003B0D09" w:rsidRDefault="003B0D09" w:rsidP="003B0D09">
      <w:pPr>
        <w:pStyle w:val="13"/>
        <w:ind w:firstLine="482"/>
      </w:pPr>
      <w:r w:rsidRPr="004E3EBB">
        <w:rPr>
          <w:rFonts w:hint="eastAsia"/>
          <w:b/>
        </w:rPr>
        <w:t xml:space="preserve">第一条 </w:t>
      </w:r>
      <w:r>
        <w:t>为了正确体现国有资产的价值量，保护国有资产所有者和经营者、使用者的合法权益，制定本办法。</w:t>
      </w:r>
    </w:p>
    <w:p w14:paraId="2F9A887E" w14:textId="77777777" w:rsidR="003B0D09" w:rsidRDefault="003B0D09" w:rsidP="003B0D09">
      <w:pPr>
        <w:pStyle w:val="13"/>
        <w:ind w:firstLine="482"/>
      </w:pPr>
      <w:r w:rsidRPr="004E3EBB">
        <w:rPr>
          <w:rFonts w:hint="eastAsia"/>
          <w:b/>
        </w:rPr>
        <w:t xml:space="preserve">第二条 </w:t>
      </w:r>
      <w:r>
        <w:t>国有资产评估，除法律、法规另有规定外，适用本办法。</w:t>
      </w:r>
    </w:p>
    <w:p w14:paraId="567316A6" w14:textId="77777777" w:rsidR="003B0D09" w:rsidRDefault="003B0D09" w:rsidP="003B0D09">
      <w:pPr>
        <w:pStyle w:val="13"/>
        <w:ind w:firstLine="482"/>
      </w:pPr>
      <w:r w:rsidRPr="004E3EBB">
        <w:rPr>
          <w:rFonts w:hint="eastAsia"/>
          <w:b/>
        </w:rPr>
        <w:t xml:space="preserve">第三条 </w:t>
      </w:r>
      <w:r>
        <w:t>国有资产占有单位（以下简称占有单位）有下列情形之一的，应当进行资产评估：</w:t>
      </w:r>
    </w:p>
    <w:p w14:paraId="1838C615" w14:textId="77777777" w:rsidR="003B0D09" w:rsidRDefault="003B0D09" w:rsidP="003B0D09">
      <w:pPr>
        <w:pStyle w:val="13"/>
      </w:pPr>
      <w:r>
        <w:rPr>
          <w:rFonts w:hint="eastAsia"/>
        </w:rPr>
        <w:t>（一）资产拍卖、转让；</w:t>
      </w:r>
    </w:p>
    <w:p w14:paraId="5513DD0F" w14:textId="77777777" w:rsidR="003B0D09" w:rsidRDefault="003B0D09" w:rsidP="003B0D09">
      <w:pPr>
        <w:pStyle w:val="13"/>
      </w:pPr>
      <w:r>
        <w:rPr>
          <w:rFonts w:hint="eastAsia"/>
        </w:rPr>
        <w:t>（二）企业兼并、出售、联营、股份经营；</w:t>
      </w:r>
    </w:p>
    <w:p w14:paraId="76146296" w14:textId="77777777" w:rsidR="003B0D09" w:rsidRDefault="003B0D09" w:rsidP="003B0D09">
      <w:pPr>
        <w:pStyle w:val="13"/>
      </w:pPr>
      <w:r>
        <w:rPr>
          <w:rFonts w:hint="eastAsia"/>
        </w:rPr>
        <w:t>（三）与外国公司、企业和其他经济组织或者个人开办中外合资经营企业或者</w:t>
      </w:r>
      <w:r w:rsidRPr="00E16412">
        <w:rPr>
          <w:rFonts w:hint="eastAsia"/>
        </w:rPr>
        <w:t>外商投资企业</w:t>
      </w:r>
      <w:r>
        <w:rPr>
          <w:rFonts w:hint="eastAsia"/>
        </w:rPr>
        <w:t>；</w:t>
      </w:r>
    </w:p>
    <w:p w14:paraId="0717020B" w14:textId="77777777" w:rsidR="003B0D09" w:rsidRDefault="003B0D09" w:rsidP="003B0D09">
      <w:pPr>
        <w:pStyle w:val="13"/>
      </w:pPr>
      <w:r>
        <w:rPr>
          <w:rFonts w:hint="eastAsia"/>
        </w:rPr>
        <w:t>（四）企业清算；</w:t>
      </w:r>
    </w:p>
    <w:p w14:paraId="18B602B1" w14:textId="77777777" w:rsidR="003B0D09" w:rsidRDefault="003B0D09" w:rsidP="003B0D09">
      <w:pPr>
        <w:pStyle w:val="13"/>
      </w:pPr>
      <w:r>
        <w:rPr>
          <w:rFonts w:hint="eastAsia"/>
        </w:rPr>
        <w:t>（五）依照国家有关规定需要进行资产评估的其他情形。</w:t>
      </w:r>
    </w:p>
    <w:p w14:paraId="1991F79A" w14:textId="77777777" w:rsidR="003B0D09" w:rsidRDefault="003B0D09" w:rsidP="003B0D09">
      <w:pPr>
        <w:pStyle w:val="13"/>
        <w:ind w:firstLine="482"/>
      </w:pPr>
      <w:r w:rsidRPr="004E3EBB">
        <w:rPr>
          <w:rFonts w:hint="eastAsia"/>
          <w:b/>
        </w:rPr>
        <w:t xml:space="preserve">第四条 </w:t>
      </w:r>
      <w:r>
        <w:t>占有单位有下列情形之一，当事人认为需要的，可以进行资产评估：</w:t>
      </w:r>
    </w:p>
    <w:p w14:paraId="0FD4845F" w14:textId="77777777" w:rsidR="003B0D09" w:rsidRDefault="003B0D09" w:rsidP="003B0D09">
      <w:pPr>
        <w:pStyle w:val="13"/>
      </w:pPr>
      <w:r>
        <w:rPr>
          <w:rFonts w:hint="eastAsia"/>
        </w:rPr>
        <w:t>（一）资产抵押及其他担保；</w:t>
      </w:r>
    </w:p>
    <w:p w14:paraId="66E6F78B" w14:textId="77777777" w:rsidR="003B0D09" w:rsidRDefault="003B0D09" w:rsidP="003B0D09">
      <w:pPr>
        <w:pStyle w:val="13"/>
      </w:pPr>
      <w:r>
        <w:rPr>
          <w:rFonts w:hint="eastAsia"/>
        </w:rPr>
        <w:t>（二）企业租赁；</w:t>
      </w:r>
    </w:p>
    <w:p w14:paraId="45B370D4" w14:textId="77777777" w:rsidR="003B0D09" w:rsidRDefault="003B0D09" w:rsidP="003B0D09">
      <w:pPr>
        <w:pStyle w:val="13"/>
      </w:pPr>
      <w:r>
        <w:rPr>
          <w:rFonts w:hint="eastAsia"/>
        </w:rPr>
        <w:t>（三）需要进行资产评估的其他情形。</w:t>
      </w:r>
    </w:p>
    <w:p w14:paraId="0FFC4CFC" w14:textId="77777777" w:rsidR="003B0D09" w:rsidRDefault="003B0D09" w:rsidP="003B0D09">
      <w:pPr>
        <w:pStyle w:val="13"/>
        <w:ind w:firstLine="482"/>
      </w:pPr>
      <w:r w:rsidRPr="004E3EBB">
        <w:rPr>
          <w:rFonts w:hint="eastAsia"/>
          <w:b/>
        </w:rPr>
        <w:lastRenderedPageBreak/>
        <w:t xml:space="preserve">第五条 </w:t>
      </w:r>
      <w:r>
        <w:t>全国或者特定行业的国有资产评估，由国务院决定。</w:t>
      </w:r>
    </w:p>
    <w:p w14:paraId="5D221C76" w14:textId="77777777" w:rsidR="003B0D09" w:rsidRDefault="003B0D09" w:rsidP="003B0D09">
      <w:pPr>
        <w:pStyle w:val="13"/>
        <w:ind w:firstLine="482"/>
      </w:pPr>
      <w:r w:rsidRPr="004E3EBB">
        <w:rPr>
          <w:rFonts w:hint="eastAsia"/>
          <w:b/>
        </w:rPr>
        <w:t xml:space="preserve">第六条 </w:t>
      </w:r>
      <w:r>
        <w:t>国有资产评估范围包括：固定资产、流动资产、无形资产和其他资产。</w:t>
      </w:r>
    </w:p>
    <w:p w14:paraId="00AACE90" w14:textId="77777777" w:rsidR="003B0D09" w:rsidRPr="00864171" w:rsidRDefault="003B0D09" w:rsidP="003B0D09">
      <w:pPr>
        <w:pStyle w:val="13"/>
        <w:ind w:firstLine="482"/>
      </w:pPr>
      <w:r w:rsidRPr="004E3EBB">
        <w:rPr>
          <w:b/>
        </w:rPr>
        <w:t xml:space="preserve">第七条 </w:t>
      </w:r>
      <w:r>
        <w:t>国有资产评估应当遵循真实性、科学性、可行性原则，依照国家规定的标</w:t>
      </w:r>
      <w:r>
        <w:rPr>
          <w:rFonts w:hint="eastAsia"/>
        </w:rPr>
        <w:t>准、程序和方法进行评定和估算。</w:t>
      </w:r>
    </w:p>
    <w:p w14:paraId="33C308CF" w14:textId="77777777" w:rsidR="003B0D09" w:rsidRDefault="003B0D09" w:rsidP="00AF7342">
      <w:pPr>
        <w:pStyle w:val="a9"/>
        <w:spacing w:before="62" w:after="62"/>
      </w:pPr>
      <w:r>
        <w:rPr>
          <w:rFonts w:hint="eastAsia"/>
        </w:rPr>
        <w:t>第二章</w:t>
      </w:r>
      <w:r>
        <w:t xml:space="preserve"> 组织管理</w:t>
      </w:r>
    </w:p>
    <w:p w14:paraId="5C35C444" w14:textId="77777777" w:rsidR="003B0D09" w:rsidRDefault="003B0D09" w:rsidP="003B0D09">
      <w:pPr>
        <w:pStyle w:val="13"/>
        <w:ind w:firstLine="482"/>
      </w:pPr>
      <w:r w:rsidRPr="004E3EBB">
        <w:rPr>
          <w:rFonts w:hint="eastAsia"/>
          <w:b/>
        </w:rPr>
        <w:t xml:space="preserve">第八条 </w:t>
      </w:r>
      <w:r>
        <w:t>国有资产评估工作，按照国有资产管理权限，由国有资产管理行政主管部门负责管理和监督。</w:t>
      </w:r>
    </w:p>
    <w:p w14:paraId="15B74C98" w14:textId="77777777" w:rsidR="003B0D09" w:rsidRDefault="003B0D09" w:rsidP="003B0D09">
      <w:pPr>
        <w:pStyle w:val="13"/>
      </w:pPr>
      <w:r>
        <w:rPr>
          <w:rFonts w:hint="eastAsia"/>
        </w:rPr>
        <w:t>国有资产评估组织工作，按照占有单位的隶属关系，由行业主管部门负责。国有资产管理行政主管部门和行业主管部门不直接从事国有资产评估业务。</w:t>
      </w:r>
    </w:p>
    <w:p w14:paraId="340223F5" w14:textId="77777777" w:rsidR="003B0D09" w:rsidRDefault="003B0D09" w:rsidP="003B0D09">
      <w:pPr>
        <w:pStyle w:val="13"/>
        <w:ind w:firstLine="482"/>
      </w:pPr>
      <w:r w:rsidRPr="00E05BDA">
        <w:rPr>
          <w:rFonts w:hint="eastAsia"/>
          <w:b/>
        </w:rPr>
        <w:t xml:space="preserve">第九条 </w:t>
      </w:r>
      <w:r>
        <w:t>持有国务院或者省、自治区、直辖市人民政府国有资产管理行政主管部门颁发的国有资产评估资格证书的资产评估公司、会计师事务所、审计事务所、财务咨询</w:t>
      </w:r>
      <w:r>
        <w:rPr>
          <w:rFonts w:hint="eastAsia"/>
        </w:rPr>
        <w:t>公司，经国务院或者省、自治区、直辖市人民政府国有资产管理行政主管部门认可的临时评估机构（以下统称资产评估机构），可以接受占有单位的委托，从事国有资产评估业务。</w:t>
      </w:r>
    </w:p>
    <w:p w14:paraId="512A4572" w14:textId="77777777" w:rsidR="003B0D09" w:rsidRDefault="003B0D09" w:rsidP="003B0D09">
      <w:pPr>
        <w:pStyle w:val="13"/>
      </w:pPr>
      <w:r>
        <w:rPr>
          <w:rFonts w:hint="eastAsia"/>
        </w:rPr>
        <w:t>前款所列资产评估机构的管理办法，由国务院国有资产管理行政主管部门制定。</w:t>
      </w:r>
    </w:p>
    <w:p w14:paraId="5DB6FF47" w14:textId="77777777" w:rsidR="003B0D09" w:rsidRDefault="003B0D09" w:rsidP="003B0D09">
      <w:pPr>
        <w:pStyle w:val="13"/>
        <w:ind w:firstLine="482"/>
      </w:pPr>
      <w:r w:rsidRPr="00E05BDA">
        <w:rPr>
          <w:rFonts w:hint="eastAsia"/>
          <w:b/>
        </w:rPr>
        <w:t xml:space="preserve">第十条 </w:t>
      </w:r>
      <w:r>
        <w:t>占有单位委托资产评估机构进行资产评估时，应当如实提供有关情况和资</w:t>
      </w:r>
      <w:r>
        <w:rPr>
          <w:rFonts w:hint="eastAsia"/>
        </w:rPr>
        <w:t>料。资产评估机构应当对占有单位提供的有关情况和资料保守秘密。</w:t>
      </w:r>
    </w:p>
    <w:p w14:paraId="506C30F7" w14:textId="77777777" w:rsidR="003B0D09" w:rsidRDefault="003B0D09" w:rsidP="003B0D09">
      <w:pPr>
        <w:pStyle w:val="13"/>
        <w:ind w:firstLine="482"/>
      </w:pPr>
      <w:r w:rsidRPr="00E05BDA">
        <w:rPr>
          <w:rFonts w:hint="eastAsia"/>
          <w:b/>
        </w:rPr>
        <w:t xml:space="preserve">第十一条 </w:t>
      </w:r>
      <w:r w:rsidRPr="00E16412">
        <w:t>资产评估机构进行资产评估，实行有偿服务。资产评估收费办法，由国务院国有资产管理行政主管部门会同财政部门、物价主管部门制定。</w:t>
      </w:r>
    </w:p>
    <w:p w14:paraId="619F5C54" w14:textId="77777777" w:rsidR="003B0D09" w:rsidRDefault="003B0D09" w:rsidP="00AF7342">
      <w:pPr>
        <w:pStyle w:val="a9"/>
        <w:spacing w:before="62" w:after="62"/>
      </w:pPr>
      <w:r>
        <w:rPr>
          <w:rFonts w:hint="eastAsia"/>
        </w:rPr>
        <w:t>第三章</w:t>
      </w:r>
      <w:r>
        <w:t xml:space="preserve"> 评估程序</w:t>
      </w:r>
    </w:p>
    <w:p w14:paraId="39A5F23C" w14:textId="77777777" w:rsidR="003B0D09" w:rsidRDefault="003B0D09" w:rsidP="003B0D09">
      <w:pPr>
        <w:pStyle w:val="13"/>
        <w:ind w:firstLine="482"/>
      </w:pPr>
      <w:r w:rsidRPr="00E05BDA">
        <w:rPr>
          <w:b/>
        </w:rPr>
        <w:t xml:space="preserve">第十二条 </w:t>
      </w:r>
      <w:r>
        <w:t>国有资产评估按照下列程序进行：</w:t>
      </w:r>
    </w:p>
    <w:p w14:paraId="2E4ABAF8" w14:textId="77777777" w:rsidR="003B0D09" w:rsidRDefault="003B0D09" w:rsidP="003B0D09">
      <w:pPr>
        <w:pStyle w:val="13"/>
      </w:pPr>
      <w:r>
        <w:rPr>
          <w:rFonts w:hint="eastAsia"/>
        </w:rPr>
        <w:t>（一）申请立项；</w:t>
      </w:r>
    </w:p>
    <w:p w14:paraId="03F38767" w14:textId="77777777" w:rsidR="003B0D09" w:rsidRDefault="003B0D09" w:rsidP="003B0D09">
      <w:pPr>
        <w:pStyle w:val="13"/>
      </w:pPr>
      <w:r>
        <w:rPr>
          <w:rFonts w:hint="eastAsia"/>
        </w:rPr>
        <w:t>（二）资产清查；</w:t>
      </w:r>
    </w:p>
    <w:p w14:paraId="309E1C96" w14:textId="77777777" w:rsidR="003B0D09" w:rsidRDefault="003B0D09" w:rsidP="003B0D09">
      <w:pPr>
        <w:pStyle w:val="13"/>
      </w:pPr>
      <w:r>
        <w:rPr>
          <w:rFonts w:hint="eastAsia"/>
        </w:rPr>
        <w:t>（三）评定估算；</w:t>
      </w:r>
    </w:p>
    <w:p w14:paraId="3CBB79BD" w14:textId="77777777" w:rsidR="003B0D09" w:rsidRDefault="003B0D09" w:rsidP="003B0D09">
      <w:pPr>
        <w:pStyle w:val="13"/>
      </w:pPr>
      <w:r>
        <w:rPr>
          <w:rFonts w:hint="eastAsia"/>
        </w:rPr>
        <w:t>（四）验证确认。</w:t>
      </w:r>
    </w:p>
    <w:p w14:paraId="7F3A19EE" w14:textId="77777777" w:rsidR="003B0D09" w:rsidRDefault="003B0D09" w:rsidP="003B0D09">
      <w:pPr>
        <w:pStyle w:val="13"/>
        <w:ind w:firstLine="482"/>
      </w:pPr>
      <w:r w:rsidRPr="00E05BDA">
        <w:rPr>
          <w:rFonts w:hint="eastAsia"/>
          <w:b/>
        </w:rPr>
        <w:t xml:space="preserve">第十三条 </w:t>
      </w:r>
      <w:r>
        <w:t>依照本办法第三条、第四条规定进行资产评估的占有单位，经其主管部门审查同意后，应当向同级国有资产管理行政主管部门提交资产评估立项申请书，并附财产目录和有关会计报表等资料。</w:t>
      </w:r>
    </w:p>
    <w:p w14:paraId="7301AA3B" w14:textId="77777777" w:rsidR="003B0D09" w:rsidRDefault="003B0D09" w:rsidP="003B0D09">
      <w:pPr>
        <w:pStyle w:val="13"/>
      </w:pPr>
      <w:r>
        <w:rPr>
          <w:rFonts w:hint="eastAsia"/>
        </w:rPr>
        <w:t>经国有资产管理行政主管部门授权或者委托，占有单位的主管部门可以审批资产评估立项申请。</w:t>
      </w:r>
    </w:p>
    <w:p w14:paraId="21EC937E" w14:textId="77777777" w:rsidR="003B0D09" w:rsidRDefault="003B0D09" w:rsidP="003B0D09">
      <w:pPr>
        <w:pStyle w:val="13"/>
        <w:ind w:firstLine="482"/>
      </w:pPr>
      <w:r w:rsidRPr="00E05BDA">
        <w:rPr>
          <w:rFonts w:hint="eastAsia"/>
          <w:b/>
        </w:rPr>
        <w:t xml:space="preserve">第十四条 </w:t>
      </w:r>
      <w:r>
        <w:t>国有资产管理行政主管部门应当自收到资产评估立项申请书之日起十日内进行审核，并</w:t>
      </w:r>
      <w:proofErr w:type="gramStart"/>
      <w:r>
        <w:t>作出</w:t>
      </w:r>
      <w:proofErr w:type="gramEnd"/>
      <w:r>
        <w:t>是否准予资产评估立项的决定，通知申请单位及其主管部门。</w:t>
      </w:r>
    </w:p>
    <w:p w14:paraId="0BE31E92" w14:textId="77777777" w:rsidR="003B0D09" w:rsidRDefault="003B0D09" w:rsidP="003B0D09">
      <w:pPr>
        <w:pStyle w:val="13"/>
        <w:ind w:firstLine="482"/>
      </w:pPr>
      <w:r w:rsidRPr="00E05BDA">
        <w:rPr>
          <w:rFonts w:hint="eastAsia"/>
          <w:b/>
        </w:rPr>
        <w:lastRenderedPageBreak/>
        <w:t xml:space="preserve">第十五条 </w:t>
      </w:r>
      <w:r>
        <w:t>国务院决定对全国或者特定行业进行国有资产评估的，视为已经准予资产评估立项。</w:t>
      </w:r>
    </w:p>
    <w:p w14:paraId="231879B1" w14:textId="77777777" w:rsidR="003B0D09" w:rsidRDefault="003B0D09" w:rsidP="003B0D09">
      <w:pPr>
        <w:pStyle w:val="13"/>
        <w:ind w:firstLine="482"/>
      </w:pPr>
      <w:r w:rsidRPr="00E05BDA">
        <w:rPr>
          <w:rFonts w:hint="eastAsia"/>
          <w:b/>
        </w:rPr>
        <w:t xml:space="preserve">第十六条 </w:t>
      </w:r>
      <w:r>
        <w:t>申请单位收到准予资产评估立项通知书后，可以委托资产评估机构评估资产。</w:t>
      </w:r>
    </w:p>
    <w:p w14:paraId="7D014D0B" w14:textId="77777777" w:rsidR="003B0D09" w:rsidRDefault="003B0D09" w:rsidP="003B0D09">
      <w:pPr>
        <w:pStyle w:val="13"/>
        <w:ind w:firstLine="482"/>
      </w:pPr>
      <w:r w:rsidRPr="00E05BDA">
        <w:rPr>
          <w:rFonts w:hint="eastAsia"/>
          <w:b/>
        </w:rPr>
        <w:t xml:space="preserve">第十七条 </w:t>
      </w:r>
      <w:r>
        <w:t>受占有单位委托的资产评估机构应当在对委托单位的资产、债权、债务进行全面清查的基础上，核实资产</w:t>
      </w:r>
      <w:proofErr w:type="gramStart"/>
      <w:r>
        <w:t>帐面</w:t>
      </w:r>
      <w:proofErr w:type="gramEnd"/>
      <w:r>
        <w:t>与实际是否相符，经营成果是否真实，据以</w:t>
      </w:r>
      <w:proofErr w:type="gramStart"/>
      <w:r>
        <w:t>作出</w:t>
      </w:r>
      <w:proofErr w:type="gramEnd"/>
      <w:r>
        <w:t>鉴定。</w:t>
      </w:r>
    </w:p>
    <w:p w14:paraId="35F5A5B8" w14:textId="77777777" w:rsidR="003B0D09" w:rsidRDefault="003B0D09" w:rsidP="003B0D09">
      <w:pPr>
        <w:pStyle w:val="13"/>
        <w:ind w:firstLine="482"/>
      </w:pPr>
      <w:r w:rsidRPr="00E05BDA">
        <w:rPr>
          <w:rFonts w:hint="eastAsia"/>
          <w:b/>
        </w:rPr>
        <w:t xml:space="preserve">第十八条 </w:t>
      </w:r>
      <w:r>
        <w:t>受占有单位委托的资产评估机构应当根据本办法的规定，对委托单位被评估资产的价值进行评定和估算，并向委托单位提出资产评估结果报告书。</w:t>
      </w:r>
    </w:p>
    <w:p w14:paraId="2BE34E19" w14:textId="77777777" w:rsidR="003B0D09" w:rsidRDefault="003B0D09" w:rsidP="003B0D09">
      <w:pPr>
        <w:pStyle w:val="13"/>
      </w:pPr>
      <w:r>
        <w:rPr>
          <w:rFonts w:hint="eastAsia"/>
        </w:rPr>
        <w:t>委托单位收到资产评估机构的资产评估结果报告书后，应当报其主管部门审查；主管部门审查同意后，报同级国有资产管理行政主管部门确认资产评估结果。</w:t>
      </w:r>
    </w:p>
    <w:p w14:paraId="4A37EF25" w14:textId="77777777" w:rsidR="003B0D09" w:rsidRDefault="003B0D09" w:rsidP="003B0D09">
      <w:pPr>
        <w:pStyle w:val="13"/>
      </w:pPr>
      <w:r>
        <w:rPr>
          <w:rFonts w:hint="eastAsia"/>
        </w:rPr>
        <w:t>经国有资产管理行政主管部门授权或者委托，占有单位的主管部门可以确认资产评估结果。</w:t>
      </w:r>
    </w:p>
    <w:p w14:paraId="5EDE4504" w14:textId="77777777" w:rsidR="003B0D09" w:rsidRDefault="003B0D09" w:rsidP="003B0D09">
      <w:pPr>
        <w:pStyle w:val="13"/>
        <w:ind w:firstLine="482"/>
      </w:pPr>
      <w:r w:rsidRPr="00E05BDA">
        <w:rPr>
          <w:rFonts w:hint="eastAsia"/>
          <w:b/>
        </w:rPr>
        <w:t xml:space="preserve">第十九条 </w:t>
      </w:r>
      <w:r>
        <w:t>国有资产管理行政主管部门应当自收到占有单位报送的资产评估结果报告书之日起四十五日内组织审核、验证、协商，确认资产评估结果，并下达确认通知书。</w:t>
      </w:r>
    </w:p>
    <w:p w14:paraId="100A9DD9" w14:textId="77777777" w:rsidR="003B0D09" w:rsidRDefault="003B0D09" w:rsidP="003B0D09">
      <w:pPr>
        <w:pStyle w:val="13"/>
        <w:ind w:firstLine="482"/>
      </w:pPr>
      <w:r w:rsidRPr="00E05BDA">
        <w:rPr>
          <w:b/>
        </w:rPr>
        <w:t xml:space="preserve">第二十条 </w:t>
      </w:r>
      <w:r>
        <w:t>占有单位对确认通知书有异议的，可以自收到通知书之日起十五日内向</w:t>
      </w:r>
      <w:r>
        <w:rPr>
          <w:rFonts w:hint="eastAsia"/>
        </w:rPr>
        <w:t>上一级国有资产管理行政主管部门申请复核。上一级国有资产管理行政主管部门应当自收到复核申请之日起三十日内</w:t>
      </w:r>
      <w:proofErr w:type="gramStart"/>
      <w:r>
        <w:rPr>
          <w:rFonts w:hint="eastAsia"/>
        </w:rPr>
        <w:t>作出</w:t>
      </w:r>
      <w:proofErr w:type="gramEnd"/>
      <w:r>
        <w:rPr>
          <w:rFonts w:hint="eastAsia"/>
        </w:rPr>
        <w:t>裁定，并下达裁定通知书。</w:t>
      </w:r>
    </w:p>
    <w:p w14:paraId="025636D2" w14:textId="77777777" w:rsidR="003B0D09" w:rsidRDefault="003B0D09" w:rsidP="003B0D09">
      <w:pPr>
        <w:pStyle w:val="13"/>
        <w:ind w:firstLine="482"/>
      </w:pPr>
      <w:r w:rsidRPr="00E05BDA">
        <w:rPr>
          <w:rFonts w:hint="eastAsia"/>
          <w:b/>
        </w:rPr>
        <w:t xml:space="preserve">第二十一条 </w:t>
      </w:r>
      <w:r>
        <w:t>占有单位收到确认通知书或者裁定通知书后，应当根据国家有关财务、会计制度进行帐</w:t>
      </w:r>
      <w:proofErr w:type="gramStart"/>
      <w:r>
        <w:t>务</w:t>
      </w:r>
      <w:proofErr w:type="gramEnd"/>
      <w:r>
        <w:t>处理。</w:t>
      </w:r>
    </w:p>
    <w:p w14:paraId="4081D77A" w14:textId="77777777" w:rsidR="003B0D09" w:rsidRDefault="003B0D09" w:rsidP="00AF7342">
      <w:pPr>
        <w:pStyle w:val="a9"/>
        <w:spacing w:before="62" w:after="62"/>
      </w:pPr>
      <w:r>
        <w:rPr>
          <w:rFonts w:hint="eastAsia"/>
        </w:rPr>
        <w:t>第四章</w:t>
      </w:r>
      <w:r>
        <w:t xml:space="preserve"> 评估方法</w:t>
      </w:r>
    </w:p>
    <w:p w14:paraId="50343E36" w14:textId="77777777" w:rsidR="003B0D09" w:rsidRDefault="003B0D09" w:rsidP="003B0D09">
      <w:pPr>
        <w:pStyle w:val="13"/>
        <w:ind w:firstLine="482"/>
      </w:pPr>
      <w:r w:rsidRPr="00E05BDA">
        <w:rPr>
          <w:rFonts w:hint="eastAsia"/>
          <w:b/>
        </w:rPr>
        <w:t xml:space="preserve">第二十二条 </w:t>
      </w:r>
      <w:r>
        <w:t>国有资产重估价值，根据资产原值、净值、新旧程度、重置成本、获利能力等因素和本办法规定的资产评估方法评定。</w:t>
      </w:r>
    </w:p>
    <w:p w14:paraId="7F4374C1" w14:textId="77777777" w:rsidR="003B0D09" w:rsidRDefault="003B0D09" w:rsidP="003B0D09">
      <w:pPr>
        <w:pStyle w:val="13"/>
        <w:ind w:firstLine="482"/>
      </w:pPr>
      <w:r w:rsidRPr="00E05BDA">
        <w:rPr>
          <w:rFonts w:hint="eastAsia"/>
          <w:b/>
        </w:rPr>
        <w:t xml:space="preserve">第二十三条 </w:t>
      </w:r>
      <w:r>
        <w:t>国有资产评估方法包括：</w:t>
      </w:r>
    </w:p>
    <w:p w14:paraId="59E319D5" w14:textId="77777777" w:rsidR="003B0D09" w:rsidRDefault="003B0D09" w:rsidP="003B0D09">
      <w:pPr>
        <w:pStyle w:val="13"/>
      </w:pPr>
      <w:r>
        <w:rPr>
          <w:rFonts w:hint="eastAsia"/>
        </w:rPr>
        <w:t>（一）收益现值法；</w:t>
      </w:r>
    </w:p>
    <w:p w14:paraId="7862D4D2" w14:textId="77777777" w:rsidR="003B0D09" w:rsidRDefault="003B0D09" w:rsidP="003B0D09">
      <w:pPr>
        <w:pStyle w:val="13"/>
      </w:pPr>
      <w:r>
        <w:rPr>
          <w:rFonts w:hint="eastAsia"/>
        </w:rPr>
        <w:t>（二）重置成本法；</w:t>
      </w:r>
    </w:p>
    <w:p w14:paraId="028B7155" w14:textId="77777777" w:rsidR="003B0D09" w:rsidRDefault="003B0D09" w:rsidP="003B0D09">
      <w:pPr>
        <w:pStyle w:val="13"/>
      </w:pPr>
      <w:r>
        <w:rPr>
          <w:rFonts w:hint="eastAsia"/>
        </w:rPr>
        <w:t>（三）现行市价法；</w:t>
      </w:r>
    </w:p>
    <w:p w14:paraId="3A8772DE" w14:textId="77777777" w:rsidR="003B0D09" w:rsidRDefault="003B0D09" w:rsidP="003B0D09">
      <w:pPr>
        <w:pStyle w:val="13"/>
      </w:pPr>
      <w:r>
        <w:rPr>
          <w:rFonts w:hint="eastAsia"/>
        </w:rPr>
        <w:t>（四）清算价格法；</w:t>
      </w:r>
    </w:p>
    <w:p w14:paraId="794E6FD6" w14:textId="77777777" w:rsidR="003B0D09" w:rsidRDefault="003B0D09" w:rsidP="003B0D09">
      <w:pPr>
        <w:pStyle w:val="13"/>
      </w:pPr>
      <w:r>
        <w:rPr>
          <w:rFonts w:hint="eastAsia"/>
        </w:rPr>
        <w:t>（五）国务院国有资产管理行政主管部门规定的其他评估方法。</w:t>
      </w:r>
    </w:p>
    <w:p w14:paraId="512556A2" w14:textId="77777777" w:rsidR="003B0D09" w:rsidRDefault="003B0D09" w:rsidP="003B0D09">
      <w:pPr>
        <w:pStyle w:val="13"/>
        <w:ind w:firstLine="482"/>
      </w:pPr>
      <w:r w:rsidRPr="00E05BDA">
        <w:rPr>
          <w:rFonts w:hint="eastAsia"/>
          <w:b/>
        </w:rPr>
        <w:t xml:space="preserve">第二十四条 </w:t>
      </w:r>
      <w:r>
        <w:t>用收益现值法进行资产评估的，应当根据被评估资产合理的预期获利能力和适当的折现率，计算出资产的现值，并以此评定重估价值。</w:t>
      </w:r>
    </w:p>
    <w:p w14:paraId="2079624A" w14:textId="77777777" w:rsidR="003B0D09" w:rsidRDefault="003B0D09" w:rsidP="003B0D09">
      <w:pPr>
        <w:pStyle w:val="13"/>
        <w:ind w:firstLine="482"/>
      </w:pPr>
      <w:r w:rsidRPr="00E05BDA">
        <w:rPr>
          <w:rFonts w:hint="eastAsia"/>
          <w:b/>
        </w:rPr>
        <w:t xml:space="preserve">第二十五条 </w:t>
      </w:r>
      <w:r>
        <w:t>用重置成本法进行资产评估的，应当根据该项资产在全新情况下的重置成本，减去按重置成本计算的已使用年限的累积折旧额，考虑资产功能变化、成</w:t>
      </w:r>
      <w:r>
        <w:lastRenderedPageBreak/>
        <w:t>新率等因素，评定重估价值；或者根据资产的使用期限，考虑资产功能变化等因素重新确定成新率，评定重估价值。</w:t>
      </w:r>
    </w:p>
    <w:p w14:paraId="6BBC77C3" w14:textId="77777777" w:rsidR="003B0D09" w:rsidRDefault="003B0D09" w:rsidP="003B0D09">
      <w:pPr>
        <w:pStyle w:val="13"/>
        <w:ind w:firstLine="482"/>
      </w:pPr>
      <w:r w:rsidRPr="00E05BDA">
        <w:rPr>
          <w:rFonts w:hint="eastAsia"/>
          <w:b/>
        </w:rPr>
        <w:t xml:space="preserve">第二十六条 </w:t>
      </w:r>
      <w:r>
        <w:t>用现行市价法进行资产评估的，应当参照相同或者类似资产的市场价格，评定重估价值。</w:t>
      </w:r>
    </w:p>
    <w:p w14:paraId="384B6D99" w14:textId="77777777" w:rsidR="003B0D09" w:rsidRDefault="003B0D09" w:rsidP="003B0D09">
      <w:pPr>
        <w:pStyle w:val="13"/>
        <w:ind w:firstLine="482"/>
      </w:pPr>
      <w:r w:rsidRPr="00E05BDA">
        <w:rPr>
          <w:rFonts w:hint="eastAsia"/>
          <w:b/>
        </w:rPr>
        <w:t xml:space="preserve">第二十七条 </w:t>
      </w:r>
      <w:r>
        <w:t>用清算价格法进行资产评估的，应当根据企业清算时其资产可变现的价值，评定重估价值。</w:t>
      </w:r>
    </w:p>
    <w:p w14:paraId="40B866DD" w14:textId="77777777" w:rsidR="003B0D09" w:rsidRDefault="003B0D09" w:rsidP="003B0D09">
      <w:pPr>
        <w:pStyle w:val="13"/>
        <w:ind w:firstLine="482"/>
      </w:pPr>
      <w:r w:rsidRPr="00E05BDA">
        <w:rPr>
          <w:rFonts w:hint="eastAsia"/>
          <w:b/>
        </w:rPr>
        <w:t xml:space="preserve">第二十八条 </w:t>
      </w:r>
      <w:r>
        <w:t>对流动资产中的原材料、在制品、协作件、库存商品、低值易耗品等进行评估时，应当根据该项资产的现行市场价格、计划价格，考虑购置费用、产品完工程度、损耗等因素，评定重估价值。</w:t>
      </w:r>
    </w:p>
    <w:p w14:paraId="7D4F15C8" w14:textId="77777777" w:rsidR="003B0D09" w:rsidRDefault="003B0D09" w:rsidP="003B0D09">
      <w:pPr>
        <w:pStyle w:val="13"/>
        <w:ind w:firstLine="482"/>
      </w:pPr>
      <w:r w:rsidRPr="00E05BDA">
        <w:rPr>
          <w:rFonts w:hint="eastAsia"/>
          <w:b/>
        </w:rPr>
        <w:t xml:space="preserve">第二十九条 </w:t>
      </w:r>
      <w:r>
        <w:t>对有价证券的评估，参照市场价格评定重估价值；没有市场价格的，考虑票面价值、预期收益等因素，评定重估价值。</w:t>
      </w:r>
    </w:p>
    <w:p w14:paraId="5E039044" w14:textId="77777777" w:rsidR="003B0D09" w:rsidRDefault="003B0D09" w:rsidP="003B0D09">
      <w:pPr>
        <w:pStyle w:val="13"/>
        <w:ind w:firstLine="482"/>
      </w:pPr>
      <w:r w:rsidRPr="00E05BDA">
        <w:rPr>
          <w:rFonts w:hint="eastAsia"/>
          <w:b/>
        </w:rPr>
        <w:t xml:space="preserve">第三十条 </w:t>
      </w:r>
      <w:r>
        <w:t>对占有单位的无形资产，区别下列情况评定重估价值：</w:t>
      </w:r>
    </w:p>
    <w:p w14:paraId="49C26F39" w14:textId="77777777" w:rsidR="003B0D09" w:rsidRDefault="003B0D09" w:rsidP="003B0D09">
      <w:pPr>
        <w:pStyle w:val="13"/>
      </w:pPr>
      <w:r>
        <w:rPr>
          <w:rFonts w:hint="eastAsia"/>
        </w:rPr>
        <w:t>（一）外购的无形资产，根据购入成本及该项资产具有的获利能力；</w:t>
      </w:r>
    </w:p>
    <w:p w14:paraId="4331B479" w14:textId="77777777" w:rsidR="003B0D09" w:rsidRDefault="003B0D09" w:rsidP="003B0D09">
      <w:pPr>
        <w:pStyle w:val="13"/>
      </w:pPr>
      <w:r>
        <w:rPr>
          <w:rFonts w:hint="eastAsia"/>
        </w:rPr>
        <w:t>（二）自创或者自身拥有的无形资产，根据其形成时所需实际成本及该项资产具有的获利能力；</w:t>
      </w:r>
    </w:p>
    <w:p w14:paraId="64E56CD5" w14:textId="77777777" w:rsidR="003B0D09" w:rsidRDefault="003B0D09" w:rsidP="003B0D09">
      <w:pPr>
        <w:pStyle w:val="13"/>
      </w:pPr>
      <w:r>
        <w:rPr>
          <w:rFonts w:hint="eastAsia"/>
        </w:rPr>
        <w:t>（三）自创或者自身拥有的未单独计算成本的无形资产，根据该项资产具有的获利能力。</w:t>
      </w:r>
    </w:p>
    <w:p w14:paraId="508D1047" w14:textId="77777777" w:rsidR="003B0D09" w:rsidRDefault="003B0D09" w:rsidP="00AF7342">
      <w:pPr>
        <w:pStyle w:val="a9"/>
        <w:spacing w:before="62" w:after="62"/>
      </w:pPr>
      <w:r>
        <w:rPr>
          <w:rFonts w:hint="eastAsia"/>
        </w:rPr>
        <w:t>第五章</w:t>
      </w:r>
      <w:r>
        <w:t xml:space="preserve"> 法律责任</w:t>
      </w:r>
    </w:p>
    <w:p w14:paraId="4EB65905" w14:textId="77777777" w:rsidR="003B0D09" w:rsidRDefault="003B0D09" w:rsidP="003B0D09">
      <w:pPr>
        <w:pStyle w:val="13"/>
        <w:ind w:firstLine="482"/>
      </w:pPr>
      <w:r w:rsidRPr="003B2FB1">
        <w:rPr>
          <w:rFonts w:hint="eastAsia"/>
          <w:b/>
        </w:rPr>
        <w:t xml:space="preserve">第三十一条 </w:t>
      </w:r>
      <w:r>
        <w:t>占有单位违反本办法的规定，提供虚假情况和资料，或者与资产评估机构串通作弊，致使资产评估结果失实的，国有资产管理行政主管部门可以宣布资产评估结果无效，并可以根据情节轻重，单处或者并</w:t>
      </w:r>
      <w:proofErr w:type="gramStart"/>
      <w:r>
        <w:t>处下列</w:t>
      </w:r>
      <w:proofErr w:type="gramEnd"/>
      <w:r>
        <w:t>处罚：</w:t>
      </w:r>
    </w:p>
    <w:p w14:paraId="4481FDDE" w14:textId="77777777" w:rsidR="003B0D09" w:rsidRDefault="003B0D09" w:rsidP="003B0D09">
      <w:pPr>
        <w:pStyle w:val="13"/>
      </w:pPr>
      <w:r>
        <w:rPr>
          <w:rFonts w:hint="eastAsia"/>
        </w:rPr>
        <w:t>（一）通报批评；</w:t>
      </w:r>
    </w:p>
    <w:p w14:paraId="49F4FA73" w14:textId="77777777" w:rsidR="003B0D09" w:rsidRDefault="003B0D09" w:rsidP="003B0D09">
      <w:pPr>
        <w:pStyle w:val="13"/>
      </w:pPr>
      <w:r>
        <w:rPr>
          <w:rFonts w:hint="eastAsia"/>
        </w:rPr>
        <w:t>（二）限期改正，并可以处以相当于评估费用以下的罚款；</w:t>
      </w:r>
    </w:p>
    <w:p w14:paraId="5638EE95" w14:textId="77777777" w:rsidR="003B0D09" w:rsidRDefault="003B0D09" w:rsidP="003B0D09">
      <w:pPr>
        <w:pStyle w:val="13"/>
      </w:pPr>
      <w:r>
        <w:rPr>
          <w:rFonts w:hint="eastAsia"/>
        </w:rPr>
        <w:t>（三）提请有关部门对单位主管人员和直接责任人员给予行政处分，并可以处以相当于本人三个月基本工资以下的罚款。</w:t>
      </w:r>
    </w:p>
    <w:p w14:paraId="6125BE0B" w14:textId="77777777" w:rsidR="003B0D09" w:rsidRDefault="003B0D09" w:rsidP="003B0D09">
      <w:pPr>
        <w:pStyle w:val="13"/>
        <w:ind w:firstLine="482"/>
      </w:pPr>
      <w:r w:rsidRPr="003B2FB1">
        <w:rPr>
          <w:rFonts w:hint="eastAsia"/>
          <w:b/>
        </w:rPr>
        <w:t xml:space="preserve">第三十二条 </w:t>
      </w:r>
      <w:r>
        <w:t>资产评估机构作弊或者玩忽职守，致使资产评估结果失实的，国有资产管理行政主管部门可以宣布资产评估结果无效，并可以根据情节轻重，对该资产评估机构给予下列处罚：</w:t>
      </w:r>
    </w:p>
    <w:p w14:paraId="7FF885C2" w14:textId="77777777" w:rsidR="003B0D09" w:rsidRDefault="003B0D09" w:rsidP="003B0D09">
      <w:pPr>
        <w:pStyle w:val="13"/>
      </w:pPr>
      <w:r>
        <w:rPr>
          <w:rFonts w:hint="eastAsia"/>
        </w:rPr>
        <w:t>（一）警告；</w:t>
      </w:r>
    </w:p>
    <w:p w14:paraId="7C30548A" w14:textId="77777777" w:rsidR="003B0D09" w:rsidRDefault="003B0D09" w:rsidP="003B0D09">
      <w:pPr>
        <w:pStyle w:val="13"/>
      </w:pPr>
      <w:r>
        <w:rPr>
          <w:rFonts w:hint="eastAsia"/>
        </w:rPr>
        <w:t>（二）停业整顿；</w:t>
      </w:r>
    </w:p>
    <w:p w14:paraId="65283614" w14:textId="77777777" w:rsidR="003B0D09" w:rsidRDefault="003B0D09" w:rsidP="003B0D09">
      <w:pPr>
        <w:pStyle w:val="13"/>
      </w:pPr>
      <w:r>
        <w:rPr>
          <w:rFonts w:hint="eastAsia"/>
        </w:rPr>
        <w:t>（三）吊销国有资产评估资格证书。</w:t>
      </w:r>
    </w:p>
    <w:p w14:paraId="52AF9886" w14:textId="77777777" w:rsidR="003B0D09" w:rsidRDefault="003B0D09" w:rsidP="003B0D09">
      <w:pPr>
        <w:pStyle w:val="13"/>
        <w:ind w:firstLine="482"/>
      </w:pPr>
      <w:r w:rsidRPr="003B2FB1">
        <w:rPr>
          <w:rFonts w:hint="eastAsia"/>
          <w:b/>
        </w:rPr>
        <w:t xml:space="preserve">第三十三条 </w:t>
      </w:r>
      <w:r>
        <w:t>被处罚的单位和个人对依照本办法第三十一条、第三十二条规</w:t>
      </w:r>
      <w:proofErr w:type="gramStart"/>
      <w:r>
        <w:t>定作</w:t>
      </w:r>
      <w:proofErr w:type="gramEnd"/>
      <w:r>
        <w:t>出的处罚决定不服的，可以在收到处罚通知之日起十五日内，向上一级国有资产管理行政主管部门申请复议。上一级国有资产管理行政主管部门应当自收到复议申请之</w:t>
      </w:r>
      <w:r>
        <w:lastRenderedPageBreak/>
        <w:t>日起六十日内</w:t>
      </w:r>
      <w:proofErr w:type="gramStart"/>
      <w:r>
        <w:t>作出</w:t>
      </w:r>
      <w:proofErr w:type="gramEnd"/>
      <w:r>
        <w:t>复议决定。申请人对复议决定不服的，可以自收到复议通知之日起十五日内，向人民法院提起诉讼。</w:t>
      </w:r>
    </w:p>
    <w:p w14:paraId="357B1ECD" w14:textId="77777777" w:rsidR="003B0D09" w:rsidRDefault="003B0D09" w:rsidP="003B0D09">
      <w:pPr>
        <w:pStyle w:val="13"/>
        <w:ind w:firstLine="482"/>
      </w:pPr>
      <w:r w:rsidRPr="003B2FB1">
        <w:rPr>
          <w:rFonts w:hint="eastAsia"/>
          <w:b/>
        </w:rPr>
        <w:t xml:space="preserve">第三十四条 </w:t>
      </w:r>
      <w:r>
        <w:t>国有资产管理行政主管部门或者行业主管部门工作人员违反本办法，利用职权谋取私利，或者玩忽职守，造成国有资产损失的，国有资产管理行政主管部门或者行业主管部门可以按照干部管理权限，给予行政处分，并可以处以相当于本人三个月基本工资以下的罚款。</w:t>
      </w:r>
    </w:p>
    <w:p w14:paraId="4F597B4F" w14:textId="77777777" w:rsidR="003B0D09" w:rsidRDefault="003B0D09" w:rsidP="003B0D09">
      <w:pPr>
        <w:pStyle w:val="13"/>
      </w:pPr>
      <w:r>
        <w:rPr>
          <w:rFonts w:hint="eastAsia"/>
        </w:rPr>
        <w:t>违反本办法，利用职权谋取私利的，由</w:t>
      </w:r>
      <w:proofErr w:type="gramStart"/>
      <w:r>
        <w:rPr>
          <w:rFonts w:hint="eastAsia"/>
        </w:rPr>
        <w:t>有查处</w:t>
      </w:r>
      <w:proofErr w:type="gramEnd"/>
      <w:r>
        <w:rPr>
          <w:rFonts w:hint="eastAsia"/>
        </w:rPr>
        <w:t>权的部门依法追缴其非法所得。</w:t>
      </w:r>
    </w:p>
    <w:p w14:paraId="36DC6190" w14:textId="77777777" w:rsidR="003B0D09" w:rsidRDefault="003B0D09" w:rsidP="003B0D09">
      <w:pPr>
        <w:pStyle w:val="13"/>
        <w:ind w:firstLine="482"/>
      </w:pPr>
      <w:r w:rsidRPr="003B2FB1">
        <w:rPr>
          <w:rFonts w:hint="eastAsia"/>
          <w:b/>
        </w:rPr>
        <w:t xml:space="preserve">第三十五条 </w:t>
      </w:r>
      <w:r>
        <w:t>违反本办法，情节严重，构成犯罪的，由司法机关依法追究刑事责任。</w:t>
      </w:r>
    </w:p>
    <w:p w14:paraId="3F979F50" w14:textId="77777777" w:rsidR="003B0D09" w:rsidRDefault="003B0D09" w:rsidP="00AF7342">
      <w:pPr>
        <w:pStyle w:val="a9"/>
        <w:spacing w:before="62" w:after="62"/>
      </w:pPr>
      <w:r>
        <w:rPr>
          <w:rFonts w:hint="eastAsia"/>
        </w:rPr>
        <w:t>第六章</w:t>
      </w:r>
      <w:r>
        <w:t xml:space="preserve"> 附则</w:t>
      </w:r>
    </w:p>
    <w:p w14:paraId="36C79D46" w14:textId="77777777" w:rsidR="003B0D09" w:rsidRDefault="003B0D09" w:rsidP="003B0D09">
      <w:pPr>
        <w:pStyle w:val="13"/>
        <w:ind w:firstLine="482"/>
      </w:pPr>
      <w:r w:rsidRPr="003B2FB1">
        <w:rPr>
          <w:rFonts w:hint="eastAsia"/>
          <w:b/>
        </w:rPr>
        <w:t xml:space="preserve">第三十六条 </w:t>
      </w:r>
      <w:r>
        <w:t>境外国有资产的评估，不适用本办法。</w:t>
      </w:r>
    </w:p>
    <w:p w14:paraId="22E95EC6" w14:textId="77777777" w:rsidR="003B0D09" w:rsidRDefault="003B0D09" w:rsidP="003B0D09">
      <w:pPr>
        <w:pStyle w:val="13"/>
        <w:ind w:firstLine="482"/>
      </w:pPr>
      <w:r w:rsidRPr="003B2FB1">
        <w:rPr>
          <w:rFonts w:hint="eastAsia"/>
          <w:b/>
        </w:rPr>
        <w:t xml:space="preserve">第三十七条 </w:t>
      </w:r>
      <w:r>
        <w:t>有关国有自然资源有偿使用、开采的评估办法，由国务院另行规定。</w:t>
      </w:r>
    </w:p>
    <w:p w14:paraId="6DE58B53" w14:textId="77777777" w:rsidR="003B0D09" w:rsidRDefault="003B0D09" w:rsidP="003B0D09">
      <w:pPr>
        <w:pStyle w:val="13"/>
        <w:ind w:firstLine="482"/>
      </w:pPr>
      <w:r w:rsidRPr="003B2FB1">
        <w:rPr>
          <w:b/>
        </w:rPr>
        <w:t xml:space="preserve">第三十八条 </w:t>
      </w:r>
      <w:r>
        <w:t>本办法由国务院国有资产管理行政主管部门负责解释。本办法的施行</w:t>
      </w:r>
      <w:r>
        <w:rPr>
          <w:rFonts w:hint="eastAsia"/>
        </w:rPr>
        <w:t>细则由国务院国有资产管理行政主管部门制定。</w:t>
      </w:r>
    </w:p>
    <w:p w14:paraId="1A1ECE3D" w14:textId="77777777" w:rsidR="003B0D09" w:rsidRDefault="003B0D09" w:rsidP="003B0D09">
      <w:pPr>
        <w:pStyle w:val="13"/>
        <w:ind w:firstLine="482"/>
      </w:pPr>
      <w:r w:rsidRPr="003B2FB1">
        <w:rPr>
          <w:rFonts w:hint="eastAsia"/>
          <w:b/>
        </w:rPr>
        <w:t xml:space="preserve">第三十九条 </w:t>
      </w:r>
      <w:r>
        <w:t>本办法自发布之日起施行。</w:t>
      </w:r>
    </w:p>
    <w:p w14:paraId="2ADAC0F8" w14:textId="77777777" w:rsidR="003B0D09" w:rsidRDefault="003B0D09" w:rsidP="003B0D09">
      <w:pPr>
        <w:pStyle w:val="31"/>
        <w:spacing w:before="156" w:after="62"/>
      </w:pPr>
      <w:bookmarkStart w:id="215" w:name="_Toc81833448"/>
      <w:r w:rsidRPr="00B57DCB">
        <w:rPr>
          <w:rFonts w:hint="eastAsia"/>
        </w:rPr>
        <w:t>《国有资产评估管理若干问题的规定》（财政部第</w:t>
      </w:r>
      <w:r w:rsidRPr="00B57DCB">
        <w:t xml:space="preserve"> 14号令）</w:t>
      </w:r>
      <w:bookmarkEnd w:id="215"/>
    </w:p>
    <w:p w14:paraId="2529B686" w14:textId="77777777" w:rsidR="003B0D09" w:rsidRDefault="003B0D09" w:rsidP="003B0D09">
      <w:pPr>
        <w:pStyle w:val="13"/>
        <w:ind w:firstLine="482"/>
      </w:pPr>
      <w:r w:rsidRPr="004E3EBB">
        <w:rPr>
          <w:rFonts w:hint="eastAsia"/>
          <w:b/>
        </w:rPr>
        <w:t xml:space="preserve">第一条 </w:t>
      </w:r>
      <w:r>
        <w:t>为了适应建立和完善现代企业制度的需要，规范经济结构调整中的国布资本运营行为，维护国有资产合法权益，根据《国有资产评估管理办法》（</w:t>
      </w:r>
      <w:proofErr w:type="gramStart"/>
      <w:r>
        <w:t>国务院令第</w:t>
      </w:r>
      <w:proofErr w:type="gramEnd"/>
      <w:r>
        <w:t xml:space="preserve"> 91号）和《国务院办公厅转发财政部&lt;关于改革国有资产评估行政管理方式加强资产评估监督管理工作意见&gt;的通知》（国办发〔2001〕102号），制定本规定。</w:t>
      </w:r>
    </w:p>
    <w:p w14:paraId="4C4BF0A5" w14:textId="77777777" w:rsidR="003B0D09" w:rsidRDefault="003B0D09" w:rsidP="003B0D09">
      <w:pPr>
        <w:pStyle w:val="13"/>
        <w:ind w:firstLine="482"/>
      </w:pPr>
      <w:r w:rsidRPr="004E3EBB">
        <w:rPr>
          <w:rFonts w:hint="eastAsia"/>
          <w:b/>
        </w:rPr>
        <w:t xml:space="preserve">第二条 </w:t>
      </w:r>
      <w:r>
        <w:t>本规定适用于各类占有国有资产的企业和事业单位（</w:t>
      </w:r>
      <w:proofErr w:type="gramStart"/>
      <w:r>
        <w:t>以下筒称占有</w:t>
      </w:r>
      <w:proofErr w:type="gramEnd"/>
      <w:r>
        <w:t>单位）。</w:t>
      </w:r>
    </w:p>
    <w:p w14:paraId="185BCC1A" w14:textId="77777777" w:rsidR="003B0D09" w:rsidRDefault="003B0D09" w:rsidP="003B0D09">
      <w:pPr>
        <w:pStyle w:val="13"/>
        <w:ind w:firstLine="482"/>
      </w:pPr>
      <w:r w:rsidRPr="004E3EBB">
        <w:rPr>
          <w:b/>
        </w:rPr>
        <w:t xml:space="preserve">第三条 </w:t>
      </w:r>
      <w:r>
        <w:t>占有单位有下列行为之一的，应当对相关国有资产进行评估</w:t>
      </w:r>
    </w:p>
    <w:p w14:paraId="14B1B2FA" w14:textId="77777777" w:rsidR="003B0D09" w:rsidRDefault="003B0D09" w:rsidP="003B0D09">
      <w:pPr>
        <w:pStyle w:val="13"/>
      </w:pPr>
      <w:r>
        <w:rPr>
          <w:rFonts w:hint="eastAsia"/>
        </w:rPr>
        <w:t>（一）整体或部分改建为</w:t>
      </w:r>
      <w:proofErr w:type="gramStart"/>
      <w:r>
        <w:rPr>
          <w:rFonts w:hint="eastAsia"/>
        </w:rPr>
        <w:t>有限贡任公司</w:t>
      </w:r>
      <w:proofErr w:type="gramEnd"/>
      <w:r>
        <w:rPr>
          <w:rFonts w:hint="eastAsia"/>
        </w:rPr>
        <w:t>或者股份有限公司；</w:t>
      </w:r>
    </w:p>
    <w:p w14:paraId="002BD6C6" w14:textId="77777777" w:rsidR="003B0D09" w:rsidRDefault="003B0D09" w:rsidP="003B0D09">
      <w:pPr>
        <w:pStyle w:val="13"/>
      </w:pPr>
      <w:r>
        <w:rPr>
          <w:rFonts w:hint="eastAsia"/>
        </w:rPr>
        <w:t>（二）以非货币资产对外投资；</w:t>
      </w:r>
    </w:p>
    <w:p w14:paraId="2CDB1504" w14:textId="77777777" w:rsidR="003B0D09" w:rsidRDefault="003B0D09" w:rsidP="003B0D09">
      <w:pPr>
        <w:pStyle w:val="13"/>
      </w:pPr>
      <w:r>
        <w:rPr>
          <w:rFonts w:hint="eastAsia"/>
        </w:rPr>
        <w:t>（三）合并、分立、清算；</w:t>
      </w:r>
    </w:p>
    <w:p w14:paraId="6BC1FEF0" w14:textId="77777777" w:rsidR="003B0D09" w:rsidRDefault="003B0D09" w:rsidP="003B0D09">
      <w:pPr>
        <w:pStyle w:val="13"/>
      </w:pPr>
      <w:r>
        <w:rPr>
          <w:rFonts w:hint="eastAsia"/>
        </w:rPr>
        <w:t>（四）除上市公司以外的原股东股权比例变动；</w:t>
      </w:r>
    </w:p>
    <w:p w14:paraId="0C5E262A" w14:textId="77777777" w:rsidR="003B0D09" w:rsidRDefault="003B0D09" w:rsidP="003B0D09">
      <w:pPr>
        <w:pStyle w:val="13"/>
      </w:pPr>
      <w:r>
        <w:rPr>
          <w:rFonts w:hint="eastAsia"/>
        </w:rPr>
        <w:t>（五）除上市公司以外的整体或者部分产权（股权）转让；</w:t>
      </w:r>
    </w:p>
    <w:p w14:paraId="12EADF2B" w14:textId="77777777" w:rsidR="003B0D09" w:rsidRDefault="003B0D09" w:rsidP="003B0D09">
      <w:pPr>
        <w:pStyle w:val="13"/>
      </w:pPr>
      <w:r>
        <w:rPr>
          <w:rFonts w:hint="eastAsia"/>
        </w:rPr>
        <w:t>（六）资产转让、置换、拍卖；</w:t>
      </w:r>
    </w:p>
    <w:p w14:paraId="57803A27" w14:textId="77777777" w:rsidR="003B0D09" w:rsidRDefault="003B0D09" w:rsidP="003B0D09">
      <w:pPr>
        <w:pStyle w:val="13"/>
      </w:pPr>
      <w:r>
        <w:rPr>
          <w:rFonts w:hint="eastAsia"/>
        </w:rPr>
        <w:t>（七）整体资产或者部分资产租赁给非国有单位；</w:t>
      </w:r>
    </w:p>
    <w:p w14:paraId="6D43D995" w14:textId="77777777" w:rsidR="003B0D09" w:rsidRDefault="003B0D09" w:rsidP="003B0D09">
      <w:pPr>
        <w:pStyle w:val="13"/>
      </w:pPr>
      <w:r>
        <w:rPr>
          <w:rFonts w:hint="eastAsia"/>
        </w:rPr>
        <w:t>（八）确定涉讼资产价值；</w:t>
      </w:r>
    </w:p>
    <w:p w14:paraId="5EFF2D27" w14:textId="77777777" w:rsidR="003B0D09" w:rsidRDefault="003B0D09" w:rsidP="003B0D09">
      <w:pPr>
        <w:pStyle w:val="13"/>
      </w:pPr>
      <w:r>
        <w:rPr>
          <w:rFonts w:hint="eastAsia"/>
        </w:rPr>
        <w:t>（九）法律、行政法规规定的其他需要进行评估的事项。</w:t>
      </w:r>
    </w:p>
    <w:p w14:paraId="7E740D1A" w14:textId="77777777" w:rsidR="003B0D09" w:rsidRDefault="003B0D09" w:rsidP="003B0D09">
      <w:pPr>
        <w:pStyle w:val="13"/>
        <w:ind w:firstLine="482"/>
      </w:pPr>
      <w:r w:rsidRPr="004E3EBB">
        <w:rPr>
          <w:rFonts w:hint="eastAsia"/>
          <w:b/>
        </w:rPr>
        <w:t xml:space="preserve">第四条 </w:t>
      </w:r>
      <w:r>
        <w:t>占有单位有下列行为之一的，可以不进行资产评估，</w:t>
      </w:r>
    </w:p>
    <w:p w14:paraId="452799C7" w14:textId="77777777" w:rsidR="003B0D09" w:rsidRDefault="003B0D09" w:rsidP="003B0D09">
      <w:pPr>
        <w:pStyle w:val="13"/>
      </w:pPr>
      <w:r>
        <w:rPr>
          <w:rFonts w:hint="eastAsia"/>
        </w:rPr>
        <w:lastRenderedPageBreak/>
        <w:t>（一）经各级人民政府及其授权部门批准，对整体企业或者部分资产实施无偿划转</w:t>
      </w:r>
    </w:p>
    <w:p w14:paraId="1B434089" w14:textId="77777777" w:rsidR="003B0D09" w:rsidRDefault="003B0D09" w:rsidP="003B0D09">
      <w:pPr>
        <w:pStyle w:val="13"/>
      </w:pPr>
      <w:r>
        <w:rPr>
          <w:rFonts w:hint="eastAsia"/>
        </w:rPr>
        <w:t>（二）国有独资企业、行政事业单位下属的独资企业（事业单位）之间的合并、资产（产权）划转、置换和转让。</w:t>
      </w:r>
    </w:p>
    <w:p w14:paraId="7E0F880E" w14:textId="77777777" w:rsidR="003B0D09" w:rsidRDefault="003B0D09" w:rsidP="003B0D09">
      <w:pPr>
        <w:pStyle w:val="13"/>
        <w:ind w:firstLine="482"/>
      </w:pPr>
      <w:r w:rsidRPr="004E3EBB">
        <w:rPr>
          <w:rFonts w:hint="eastAsia"/>
          <w:b/>
        </w:rPr>
        <w:t xml:space="preserve">第五条 </w:t>
      </w:r>
      <w:r>
        <w:t>占有单位有其他经济行为，当事人认为需要的，可以进行国有资产评估。</w:t>
      </w:r>
    </w:p>
    <w:p w14:paraId="34E37B72" w14:textId="77777777" w:rsidR="003B0D09" w:rsidRDefault="003B0D09" w:rsidP="003B0D09">
      <w:pPr>
        <w:pStyle w:val="13"/>
        <w:ind w:firstLine="482"/>
      </w:pPr>
      <w:r w:rsidRPr="004E3EBB">
        <w:rPr>
          <w:b/>
        </w:rPr>
        <w:t xml:space="preserve">第六条 </w:t>
      </w:r>
      <w:r>
        <w:t>占有单位有下列行为之一的，应当对相关非国有资产进行评估</w:t>
      </w:r>
    </w:p>
    <w:p w14:paraId="16038FB8" w14:textId="77777777" w:rsidR="003B0D09" w:rsidRDefault="003B0D09" w:rsidP="003B0D09">
      <w:pPr>
        <w:pStyle w:val="13"/>
      </w:pPr>
      <w:r>
        <w:rPr>
          <w:rFonts w:hint="eastAsia"/>
        </w:rPr>
        <w:t>（一）收购非国有资产；</w:t>
      </w:r>
    </w:p>
    <w:p w14:paraId="21AD4E60" w14:textId="77777777" w:rsidR="003B0D09" w:rsidRDefault="003B0D09" w:rsidP="003B0D09">
      <w:pPr>
        <w:pStyle w:val="13"/>
      </w:pPr>
      <w:r>
        <w:rPr>
          <w:rFonts w:hint="eastAsia"/>
        </w:rPr>
        <w:t>（二）与非国有单位置换资产；</w:t>
      </w:r>
    </w:p>
    <w:p w14:paraId="10A48C20" w14:textId="77777777" w:rsidR="003B0D09" w:rsidRDefault="003B0D09" w:rsidP="003B0D09">
      <w:pPr>
        <w:pStyle w:val="13"/>
      </w:pPr>
      <w:r>
        <w:rPr>
          <w:rFonts w:hint="eastAsia"/>
        </w:rPr>
        <w:t>（三）接受非国有单位以实物资产偿还债务。</w:t>
      </w:r>
    </w:p>
    <w:p w14:paraId="13A05389" w14:textId="77777777" w:rsidR="003B0D09" w:rsidRDefault="003B0D09" w:rsidP="003B0D09">
      <w:pPr>
        <w:pStyle w:val="13"/>
        <w:ind w:firstLine="482"/>
      </w:pPr>
      <w:r w:rsidRPr="004E3EBB">
        <w:rPr>
          <w:rFonts w:hint="eastAsia"/>
          <w:b/>
        </w:rPr>
        <w:t xml:space="preserve">第七条 </w:t>
      </w:r>
      <w:r>
        <w:t>占有单位有本规定所列评估事项时，应当委托具有相应资质的评估机构进行评估。</w:t>
      </w:r>
    </w:p>
    <w:p w14:paraId="08B1732F" w14:textId="77777777" w:rsidR="003B0D09" w:rsidRDefault="003B0D09" w:rsidP="003B0D09">
      <w:pPr>
        <w:pStyle w:val="13"/>
      </w:pPr>
      <w:r>
        <w:rPr>
          <w:rFonts w:hint="eastAsia"/>
        </w:rPr>
        <w:t>占有单位应当如实提供有关情况和资料，并对所提供的情况和资料的客观性、真实性和合法性负责，不得以任何形式干预评估机构独立执业。</w:t>
      </w:r>
    </w:p>
    <w:p w14:paraId="1A9C7F55" w14:textId="77777777" w:rsidR="003B0D09" w:rsidRDefault="003B0D09" w:rsidP="003B0D09">
      <w:pPr>
        <w:pStyle w:val="13"/>
        <w:ind w:firstLine="482"/>
      </w:pPr>
      <w:r w:rsidRPr="004E3EBB">
        <w:rPr>
          <w:rFonts w:hint="eastAsia"/>
          <w:b/>
        </w:rPr>
        <w:t xml:space="preserve">第八条 </w:t>
      </w:r>
      <w:r>
        <w:t>国有资产评估项目实行核准制和备案制。</w:t>
      </w:r>
    </w:p>
    <w:p w14:paraId="00CDAEA2" w14:textId="77777777" w:rsidR="003B0D09" w:rsidRDefault="003B0D09" w:rsidP="003B0D09">
      <w:pPr>
        <w:pStyle w:val="13"/>
        <w:ind w:firstLine="482"/>
      </w:pPr>
      <w:r w:rsidRPr="00E05BDA">
        <w:rPr>
          <w:rFonts w:hint="eastAsia"/>
          <w:b/>
        </w:rPr>
        <w:t xml:space="preserve">第九条 </w:t>
      </w:r>
      <w:r>
        <w:t>经国务院批准实施的重大经济事项涉及的资产评估项目，由</w:t>
      </w:r>
      <w:proofErr w:type="gramStart"/>
      <w:r>
        <w:t>财政部负贡核</w:t>
      </w:r>
      <w:r>
        <w:rPr>
          <w:rFonts w:hint="eastAsia"/>
        </w:rPr>
        <w:t>准</w:t>
      </w:r>
      <w:proofErr w:type="gramEnd"/>
      <w:r>
        <w:rPr>
          <w:rFonts w:hint="eastAsia"/>
        </w:rPr>
        <w:t>。</w:t>
      </w:r>
    </w:p>
    <w:p w14:paraId="6DB12CA7" w14:textId="77777777" w:rsidR="003B0D09" w:rsidRDefault="003B0D09" w:rsidP="003B0D09">
      <w:pPr>
        <w:pStyle w:val="13"/>
      </w:pPr>
      <w:r>
        <w:rPr>
          <w:rFonts w:hint="eastAsia"/>
        </w:rPr>
        <w:t>经省级（含计划单列市，下同）人民政府批准实施的重大经济事项涉及的资产评估项目，由省级财政部门（或国有资产管理部门，下同）负责核准。</w:t>
      </w:r>
    </w:p>
    <w:p w14:paraId="410AFE87" w14:textId="77777777" w:rsidR="003B0D09" w:rsidRDefault="003B0D09" w:rsidP="003B0D09">
      <w:pPr>
        <w:pStyle w:val="13"/>
        <w:ind w:firstLine="482"/>
      </w:pPr>
      <w:r w:rsidRPr="00E05BDA">
        <w:rPr>
          <w:rFonts w:hint="eastAsia"/>
          <w:b/>
        </w:rPr>
        <w:t xml:space="preserve">第十条 </w:t>
      </w:r>
      <w:r>
        <w:t>除本规定第九条规定以外，对资产评估项目实行备案制。</w:t>
      </w:r>
    </w:p>
    <w:p w14:paraId="5DD349CC" w14:textId="77777777" w:rsidR="003B0D09" w:rsidRDefault="003B0D09" w:rsidP="003B0D09">
      <w:pPr>
        <w:pStyle w:val="13"/>
      </w:pPr>
      <w:r>
        <w:rPr>
          <w:rFonts w:hint="eastAsia"/>
        </w:rPr>
        <w:t>中央管理的企业集团公司及其子公司，国务院有关部门直属企事业单位的资产评估项目备案工作由财政部负责，子公司或直属企事业单位以下企业的资产评估</w:t>
      </w:r>
      <w:proofErr w:type="gramStart"/>
      <w:r>
        <w:rPr>
          <w:rFonts w:hint="eastAsia"/>
        </w:rPr>
        <w:t>项目岳案工作</w:t>
      </w:r>
      <w:proofErr w:type="gramEnd"/>
      <w:r>
        <w:rPr>
          <w:rFonts w:hint="eastAsia"/>
        </w:rPr>
        <w:t>由集团公司或有关部门负责。</w:t>
      </w:r>
    </w:p>
    <w:p w14:paraId="0DC2FF43" w14:textId="77777777" w:rsidR="003B0D09" w:rsidRDefault="003B0D09" w:rsidP="003B0D09">
      <w:pPr>
        <w:pStyle w:val="13"/>
      </w:pPr>
      <w:r>
        <w:rPr>
          <w:rFonts w:hint="eastAsia"/>
        </w:rPr>
        <w:t>地方管理的占有单位的资产评估项目备案工作比照前款规定国有资产管理法规政策汇编的原则执行。</w:t>
      </w:r>
    </w:p>
    <w:p w14:paraId="0CC77340" w14:textId="77777777" w:rsidR="003B0D09" w:rsidRDefault="003B0D09" w:rsidP="003B0D09">
      <w:pPr>
        <w:pStyle w:val="13"/>
        <w:ind w:firstLine="482"/>
      </w:pPr>
      <w:r w:rsidRPr="00E05BDA">
        <w:rPr>
          <w:rFonts w:hint="eastAsia"/>
          <w:b/>
        </w:rPr>
        <w:t xml:space="preserve">第十一条 </w:t>
      </w:r>
      <w:r>
        <w:t>财政部门下达的资产评估项目核准丈件和经财政部门或集团公司、有关部门备案的资产评估项目备案表是占有单位办理产权登记、股权设置等相关手续的必备文件。</w:t>
      </w:r>
    </w:p>
    <w:p w14:paraId="5A9D23C8" w14:textId="77777777" w:rsidR="003B0D09" w:rsidRDefault="003B0D09" w:rsidP="003B0D09">
      <w:pPr>
        <w:pStyle w:val="13"/>
        <w:ind w:firstLine="482"/>
      </w:pPr>
      <w:r w:rsidRPr="00E05BDA">
        <w:rPr>
          <w:rFonts w:hint="eastAsia"/>
          <w:b/>
        </w:rPr>
        <w:t xml:space="preserve">第十二条 </w:t>
      </w:r>
      <w:r>
        <w:t>占有单位发生依法应进行资产评估的经济行为时，应当以资产评估结果作为作价参考依据，实际交易价格与评估结果相差 10%以上的，占有单位应就其差异原因向同级财政部门（集团公司或有关部门）</w:t>
      </w:r>
      <w:proofErr w:type="gramStart"/>
      <w:r>
        <w:t>作出</w:t>
      </w:r>
      <w:proofErr w:type="gramEnd"/>
      <w:r>
        <w:t>书面说明。</w:t>
      </w:r>
    </w:p>
    <w:p w14:paraId="59729F13" w14:textId="77777777" w:rsidR="003B0D09" w:rsidRDefault="003B0D09" w:rsidP="003B0D09">
      <w:pPr>
        <w:pStyle w:val="13"/>
        <w:ind w:firstLine="482"/>
      </w:pPr>
      <w:r w:rsidRPr="00E05BDA">
        <w:rPr>
          <w:rFonts w:hint="eastAsia"/>
          <w:b/>
        </w:rPr>
        <w:t xml:space="preserve">第十三条 </w:t>
      </w:r>
      <w:r>
        <w:t>财政部门、集团公司或有关部门应当建立资产评估项目统计报告制度，按</w:t>
      </w:r>
      <w:proofErr w:type="gramStart"/>
      <w:r>
        <w:t>耍求</w:t>
      </w:r>
      <w:proofErr w:type="gramEnd"/>
      <w:r>
        <w:t>将核准和备案的资产评估项目逐项登记并逐级汇总，定期上报财政部。</w:t>
      </w:r>
    </w:p>
    <w:p w14:paraId="1D4D7991" w14:textId="77777777" w:rsidR="003B0D09" w:rsidRDefault="003B0D09" w:rsidP="003B0D09">
      <w:pPr>
        <w:pStyle w:val="13"/>
        <w:ind w:firstLine="482"/>
      </w:pPr>
      <w:r w:rsidRPr="00E05BDA">
        <w:rPr>
          <w:rFonts w:hint="eastAsia"/>
          <w:b/>
        </w:rPr>
        <w:t xml:space="preserve">第十四条 </w:t>
      </w:r>
      <w:r>
        <w:t>财政部门应当加强对-资产评估项目的监督管理，定期或不定期地对资产评估项目进行抽查。</w:t>
      </w:r>
    </w:p>
    <w:p w14:paraId="403D651A" w14:textId="77777777" w:rsidR="003B0D09" w:rsidRDefault="003B0D09" w:rsidP="003B0D09">
      <w:pPr>
        <w:pStyle w:val="13"/>
        <w:ind w:firstLine="482"/>
      </w:pPr>
      <w:r w:rsidRPr="00E05BDA">
        <w:rPr>
          <w:rFonts w:hint="eastAsia"/>
          <w:b/>
        </w:rPr>
        <w:lastRenderedPageBreak/>
        <w:t xml:space="preserve">第十五条 </w:t>
      </w:r>
      <w:r>
        <w:t>占有单位违反本规定，向评估机构提供虚假情况和资料，或者耍评估机构串通作弊并导致评估结果失实的，由财政部门根据《国有资产评估管理办法》第三十一条的规定予以处罚。</w:t>
      </w:r>
    </w:p>
    <w:p w14:paraId="0E5C5D7B" w14:textId="77777777" w:rsidR="003B0D09" w:rsidRDefault="003B0D09" w:rsidP="003B0D09">
      <w:pPr>
        <w:pStyle w:val="13"/>
        <w:ind w:firstLine="482"/>
      </w:pPr>
      <w:r w:rsidRPr="00E05BDA">
        <w:rPr>
          <w:rFonts w:hint="eastAsia"/>
          <w:b/>
        </w:rPr>
        <w:t xml:space="preserve">第十六条 </w:t>
      </w:r>
      <w:r>
        <w:t>占有单位违反本规定，有下列情形之一的，由财政部门责令改正并通报</w:t>
      </w:r>
      <w:r>
        <w:rPr>
          <w:rFonts w:hint="eastAsia"/>
        </w:rPr>
        <w:t>批评</w:t>
      </w:r>
    </w:p>
    <w:p w14:paraId="087AF2A8" w14:textId="77777777" w:rsidR="003B0D09" w:rsidRDefault="003B0D09" w:rsidP="003B0D09">
      <w:pPr>
        <w:pStyle w:val="13"/>
      </w:pPr>
      <w:r>
        <w:rPr>
          <w:rFonts w:hint="eastAsia"/>
        </w:rPr>
        <w:t>（一）应当迸行资产评估而未进行评估，</w:t>
      </w:r>
    </w:p>
    <w:p w14:paraId="6FBBC8A2" w14:textId="77777777" w:rsidR="003B0D09" w:rsidRDefault="003B0D09" w:rsidP="003B0D09">
      <w:pPr>
        <w:pStyle w:val="13"/>
      </w:pPr>
      <w:r>
        <w:rPr>
          <w:rFonts w:hint="eastAsia"/>
        </w:rPr>
        <w:t>（二）应当办理核准、备案手续而未办理，</w:t>
      </w:r>
    </w:p>
    <w:p w14:paraId="120CD222" w14:textId="77777777" w:rsidR="003B0D09" w:rsidRDefault="003B0D09" w:rsidP="003B0D09">
      <w:pPr>
        <w:pStyle w:val="13"/>
      </w:pPr>
      <w:r>
        <w:rPr>
          <w:rFonts w:hint="eastAsia"/>
        </w:rPr>
        <w:t>（三）聘请不符合资质条件的评估机构从事国有资产评估活动。</w:t>
      </w:r>
    </w:p>
    <w:p w14:paraId="10E62FC1" w14:textId="77777777" w:rsidR="003B0D09" w:rsidRDefault="003B0D09" w:rsidP="003B0D09">
      <w:pPr>
        <w:pStyle w:val="13"/>
      </w:pPr>
      <w:r>
        <w:rPr>
          <w:rFonts w:hint="eastAsia"/>
        </w:rPr>
        <w:t>占有单位有前款第（三）项情形的，财政部门可以宣布原评估结果无效。</w:t>
      </w:r>
    </w:p>
    <w:p w14:paraId="69C2CAF0" w14:textId="77777777" w:rsidR="003B0D09" w:rsidRDefault="003B0D09" w:rsidP="003B0D09">
      <w:pPr>
        <w:pStyle w:val="13"/>
        <w:ind w:firstLine="482"/>
      </w:pPr>
      <w:r w:rsidRPr="00E05BDA">
        <w:rPr>
          <w:rFonts w:hint="eastAsia"/>
          <w:b/>
        </w:rPr>
        <w:t xml:space="preserve">第十七条 </w:t>
      </w:r>
      <w:r>
        <w:t>财政部门对占有单位在国有资产评估中的违法违规行为迸行处罚时，对直接负责的主管人员和其他宜</w:t>
      </w:r>
      <w:proofErr w:type="gramStart"/>
      <w:r>
        <w:t>接责任</w:t>
      </w:r>
      <w:proofErr w:type="gramEnd"/>
      <w:r>
        <w:t>人员，可以建议其上级单位或所在单位给予行政处分。</w:t>
      </w:r>
    </w:p>
    <w:p w14:paraId="70F0527E" w14:textId="77777777" w:rsidR="003B0D09" w:rsidRDefault="003B0D09" w:rsidP="003B0D09">
      <w:pPr>
        <w:pStyle w:val="13"/>
        <w:ind w:firstLine="482"/>
      </w:pPr>
      <w:r w:rsidRPr="00E05BDA">
        <w:rPr>
          <w:rFonts w:hint="eastAsia"/>
          <w:b/>
        </w:rPr>
        <w:t xml:space="preserve">第十八条 </w:t>
      </w:r>
      <w:r>
        <w:t>资产评估机构、注册资产评估师在资产评估过程中有违法违规行为的，依法处理。</w:t>
      </w:r>
    </w:p>
    <w:p w14:paraId="4E99AEE6" w14:textId="77777777" w:rsidR="003B0D09" w:rsidRDefault="003B0D09" w:rsidP="003B0D09">
      <w:pPr>
        <w:pStyle w:val="13"/>
        <w:ind w:firstLine="482"/>
      </w:pPr>
      <w:r w:rsidRPr="00E05BDA">
        <w:rPr>
          <w:rFonts w:hint="eastAsia"/>
          <w:b/>
        </w:rPr>
        <w:t xml:space="preserve">第十九条 </w:t>
      </w:r>
      <w:r>
        <w:t>财政部门、集团公司、有关部门及其工作人员违反国有资产评估管理的</w:t>
      </w:r>
      <w:r>
        <w:rPr>
          <w:rFonts w:hint="eastAsia"/>
        </w:rPr>
        <w:t>有关规定，造成国有资产损失的，由同级人民政府或所在单位对有关责任人给予行政处分。</w:t>
      </w:r>
    </w:p>
    <w:p w14:paraId="78D78298" w14:textId="77777777" w:rsidR="003B0D09" w:rsidRDefault="003B0D09" w:rsidP="003B0D09">
      <w:pPr>
        <w:pStyle w:val="13"/>
        <w:ind w:firstLine="482"/>
      </w:pPr>
      <w:r w:rsidRPr="00E05BDA">
        <w:rPr>
          <w:rFonts w:hint="eastAsia"/>
          <w:b/>
        </w:rPr>
        <w:t xml:space="preserve">第二十条 </w:t>
      </w:r>
      <w:r>
        <w:t>境外国有资产的评估，另行规定。</w:t>
      </w:r>
    </w:p>
    <w:p w14:paraId="7EBA07A3" w14:textId="77777777" w:rsidR="003B0D09" w:rsidRDefault="003B0D09" w:rsidP="003B0D09">
      <w:pPr>
        <w:pStyle w:val="13"/>
        <w:ind w:firstLine="482"/>
      </w:pPr>
      <w:r w:rsidRPr="00E05BDA">
        <w:rPr>
          <w:rFonts w:hint="eastAsia"/>
          <w:b/>
        </w:rPr>
        <w:t xml:space="preserve">第二十一条 </w:t>
      </w:r>
      <w:r>
        <w:t>省级财政部门可以根据本规定，结合本地区实际情况制定实施细则并报财政部备案。</w:t>
      </w:r>
    </w:p>
    <w:p w14:paraId="41C3F352" w14:textId="77777777" w:rsidR="003B0D09" w:rsidRDefault="003B0D09" w:rsidP="003B0D09">
      <w:pPr>
        <w:pStyle w:val="13"/>
        <w:ind w:firstLine="482"/>
      </w:pPr>
      <w:r w:rsidRPr="00E05BDA">
        <w:rPr>
          <w:rFonts w:hint="eastAsia"/>
          <w:b/>
        </w:rPr>
        <w:t xml:space="preserve">第二十二条 </w:t>
      </w:r>
      <w:r>
        <w:t>本规定自二〇〇二年一月一日起施行。</w:t>
      </w:r>
    </w:p>
    <w:p w14:paraId="155A7B6A" w14:textId="77777777" w:rsidR="003B0D09" w:rsidRDefault="003B0D09" w:rsidP="003B0D09">
      <w:pPr>
        <w:pStyle w:val="31"/>
        <w:spacing w:before="156" w:after="62"/>
      </w:pPr>
      <w:bookmarkStart w:id="216" w:name="_Toc81833449"/>
      <w:r w:rsidRPr="00B57DCB">
        <w:rPr>
          <w:rFonts w:hint="eastAsia"/>
        </w:rPr>
        <w:t>《企业国有资产评估管理暂行办法》（国资委令第</w:t>
      </w:r>
      <w:r w:rsidRPr="00B57DCB">
        <w:t>12号）</w:t>
      </w:r>
      <w:bookmarkEnd w:id="216"/>
    </w:p>
    <w:p w14:paraId="4B3D5731" w14:textId="77777777" w:rsidR="003B0D09" w:rsidRDefault="003B0D09" w:rsidP="003B0D09">
      <w:pPr>
        <w:pStyle w:val="13"/>
      </w:pPr>
      <w:r>
        <w:rPr>
          <w:rFonts w:hint="eastAsia"/>
        </w:rPr>
        <w:t>《企业国有资产评估管理暂行办法》已经国务院国有资产监督管理委员会第</w:t>
      </w:r>
      <w:r>
        <w:t>31次主任办公会议审议通过，现予公布，自2005年9月1日起施行。</w:t>
      </w:r>
    </w:p>
    <w:p w14:paraId="0B46C9CC" w14:textId="77777777" w:rsidR="003B0D09" w:rsidRDefault="003B0D09" w:rsidP="003B0D09">
      <w:pPr>
        <w:pStyle w:val="13"/>
        <w:jc w:val="right"/>
      </w:pPr>
      <w:r>
        <w:rPr>
          <w:rFonts w:hint="eastAsia"/>
        </w:rPr>
        <w:t>国务院国有资产监督管理委员会主任</w:t>
      </w:r>
      <w:r>
        <w:t xml:space="preserve">  李荣融</w:t>
      </w:r>
    </w:p>
    <w:p w14:paraId="35B8462A" w14:textId="77777777" w:rsidR="003B0D09" w:rsidRDefault="003B0D09" w:rsidP="003B0D09">
      <w:pPr>
        <w:pStyle w:val="13"/>
        <w:jc w:val="right"/>
      </w:pPr>
      <w:r>
        <w:rPr>
          <w:rFonts w:hint="eastAsia"/>
        </w:rPr>
        <w:t>二ＯＯ五年八月二十五日</w:t>
      </w:r>
    </w:p>
    <w:p w14:paraId="796895CB" w14:textId="77777777" w:rsidR="003B0D09" w:rsidRDefault="003B0D09" w:rsidP="00AF7342">
      <w:pPr>
        <w:pStyle w:val="a9"/>
        <w:spacing w:before="62" w:after="62"/>
      </w:pPr>
      <w:r w:rsidRPr="00B57DCB">
        <w:rPr>
          <w:rFonts w:hint="eastAsia"/>
        </w:rPr>
        <w:t>企业国有资产评估管理暂行办法</w:t>
      </w:r>
    </w:p>
    <w:p w14:paraId="3C477319" w14:textId="77777777" w:rsidR="003B0D09" w:rsidRDefault="003B0D09" w:rsidP="00AF7342">
      <w:pPr>
        <w:pStyle w:val="a9"/>
        <w:spacing w:before="62" w:after="62"/>
      </w:pPr>
      <w:r>
        <w:rPr>
          <w:rFonts w:hint="eastAsia"/>
        </w:rPr>
        <w:t>第一章</w:t>
      </w:r>
      <w:r>
        <w:t xml:space="preserve"> 总则</w:t>
      </w:r>
    </w:p>
    <w:p w14:paraId="1C1764B8" w14:textId="77777777" w:rsidR="003B0D09" w:rsidRDefault="003B0D09" w:rsidP="003B0D09">
      <w:pPr>
        <w:pStyle w:val="13"/>
        <w:ind w:firstLine="482"/>
      </w:pPr>
      <w:r w:rsidRPr="004E3EBB">
        <w:rPr>
          <w:rFonts w:hint="eastAsia"/>
          <w:b/>
        </w:rPr>
        <w:t xml:space="preserve">第一条 </w:t>
      </w:r>
      <w:r>
        <w:t>为规范企业国有资产评估行为，维护国有资产出资人合法权益，促进企业国有产权有序流转，防止国有资产流失，根据《中华人民共和国公司法》、《企业国有资</w:t>
      </w:r>
      <w:r>
        <w:rPr>
          <w:rFonts w:hint="eastAsia"/>
        </w:rPr>
        <w:t>产监督管理暂行条例》（</w:t>
      </w:r>
      <w:proofErr w:type="gramStart"/>
      <w:r>
        <w:rPr>
          <w:rFonts w:hint="eastAsia"/>
        </w:rPr>
        <w:t>国务院令第</w:t>
      </w:r>
      <w:proofErr w:type="gramEnd"/>
      <w:r>
        <w:t xml:space="preserve"> 378号）和《国有资产评估管理办法》（国务院令第91号）等有关法律法规，制定本办法。</w:t>
      </w:r>
    </w:p>
    <w:p w14:paraId="487FAA21" w14:textId="77777777" w:rsidR="003B0D09" w:rsidRDefault="003B0D09" w:rsidP="003B0D09">
      <w:pPr>
        <w:pStyle w:val="13"/>
        <w:ind w:firstLine="482"/>
      </w:pPr>
      <w:r w:rsidRPr="004E3EBB">
        <w:rPr>
          <w:rFonts w:hint="eastAsia"/>
          <w:b/>
        </w:rPr>
        <w:t xml:space="preserve">第二条 </w:t>
      </w:r>
      <w:r>
        <w:t>各级国有资产监督管理机构履行出资人职责的企业（以下统称所出资企</w:t>
      </w:r>
      <w:r>
        <w:lastRenderedPageBreak/>
        <w:t>业）及其各级子企业（以下统称企业）涉及的资产评估，适用本办法。</w:t>
      </w:r>
    </w:p>
    <w:p w14:paraId="64AE922C" w14:textId="77777777" w:rsidR="003B0D09" w:rsidRDefault="003B0D09" w:rsidP="003B0D09">
      <w:pPr>
        <w:pStyle w:val="13"/>
        <w:ind w:firstLine="482"/>
      </w:pPr>
      <w:r w:rsidRPr="004E3EBB">
        <w:rPr>
          <w:rFonts w:hint="eastAsia"/>
          <w:b/>
        </w:rPr>
        <w:t xml:space="preserve">第三条 </w:t>
      </w:r>
      <w:r>
        <w:t>各级国有资产监督管理机构负责其所出资企业的国有资产评估监管工作。国务院国有资产监督管理机构负责对全国企业国有资产评估监管工作进行指导和</w:t>
      </w:r>
      <w:r>
        <w:rPr>
          <w:rFonts w:hint="eastAsia"/>
        </w:rPr>
        <w:t>监督。</w:t>
      </w:r>
    </w:p>
    <w:p w14:paraId="182A8830" w14:textId="77777777" w:rsidR="003B0D09" w:rsidRDefault="003B0D09" w:rsidP="003B0D09">
      <w:pPr>
        <w:pStyle w:val="13"/>
        <w:ind w:firstLine="482"/>
      </w:pPr>
      <w:r w:rsidRPr="004E3EBB">
        <w:rPr>
          <w:rFonts w:hint="eastAsia"/>
          <w:b/>
        </w:rPr>
        <w:t xml:space="preserve">第四条 </w:t>
      </w:r>
      <w:r>
        <w:t>企业国有资产评估项目实行核准制和备案制。</w:t>
      </w:r>
    </w:p>
    <w:p w14:paraId="32B769FD" w14:textId="77777777" w:rsidR="003B0D09" w:rsidRDefault="003B0D09" w:rsidP="003B0D09">
      <w:pPr>
        <w:pStyle w:val="13"/>
      </w:pPr>
      <w:r>
        <w:rPr>
          <w:rFonts w:hint="eastAsia"/>
        </w:rPr>
        <w:t>经各级人民政府批准经济行为的事项涉及的资产评估项目，分别由其国有资产监督管理机构负责核准。</w:t>
      </w:r>
    </w:p>
    <w:p w14:paraId="4169CC80" w14:textId="77777777" w:rsidR="003B0D09" w:rsidRDefault="003B0D09" w:rsidP="003B0D09">
      <w:pPr>
        <w:pStyle w:val="13"/>
      </w:pPr>
      <w:r>
        <w:rPr>
          <w:rFonts w:hint="eastAsia"/>
        </w:rPr>
        <w:t>经国务院国有资产监督管理机构批准经济行为的事项涉及的资产评估项目，由国务院国有资产监督管理机构负责备案；经国务院国有资产监督管理机构所出资企业（以下简称中央企业）及其各级子企业批准经济行为的事项涉及的资产评估项目，由中央企业负责备案。</w:t>
      </w:r>
    </w:p>
    <w:p w14:paraId="12D7302E" w14:textId="77777777" w:rsidR="003B0D09" w:rsidRDefault="003B0D09" w:rsidP="003B0D09">
      <w:pPr>
        <w:pStyle w:val="13"/>
      </w:pPr>
      <w:r>
        <w:rPr>
          <w:rFonts w:hint="eastAsia"/>
        </w:rPr>
        <w:t>地方国有资产监督管理机构及其所出资企业的资产评估项目备案管理工作的职责分工，由地方国有资产监督管理机构根据各地实际情况自行规定。</w:t>
      </w:r>
    </w:p>
    <w:p w14:paraId="64601AD8" w14:textId="77777777" w:rsidR="003B0D09" w:rsidRDefault="003B0D09" w:rsidP="003B0D09">
      <w:pPr>
        <w:pStyle w:val="13"/>
        <w:ind w:firstLine="482"/>
      </w:pPr>
      <w:r w:rsidRPr="004E3EBB">
        <w:rPr>
          <w:rFonts w:hint="eastAsia"/>
          <w:b/>
        </w:rPr>
        <w:t xml:space="preserve">第五条 </w:t>
      </w:r>
      <w:r>
        <w:t>各级国有资产监督管理机构及其所出资企业，应当建立企业国有资产评估管理工作制度，完善资产评估项目的档案管理，做好项目统计分析报告工作。</w:t>
      </w:r>
    </w:p>
    <w:p w14:paraId="55F2AAE8" w14:textId="77777777" w:rsidR="003B0D09" w:rsidRDefault="003B0D09" w:rsidP="003B0D09">
      <w:pPr>
        <w:pStyle w:val="13"/>
      </w:pPr>
      <w:r>
        <w:rPr>
          <w:rFonts w:hint="eastAsia"/>
        </w:rPr>
        <w:t>省级国有资产监督管理机构和中央企业应当于每年度终了</w:t>
      </w:r>
      <w:r>
        <w:t xml:space="preserve"> 30 </w:t>
      </w:r>
      <w:proofErr w:type="gramStart"/>
      <w:r>
        <w:t>个</w:t>
      </w:r>
      <w:proofErr w:type="gramEnd"/>
      <w:r>
        <w:t>工作日内将其资产评估项目情况的统计分析资料上报国务院国有资产监督管理机构。</w:t>
      </w:r>
    </w:p>
    <w:p w14:paraId="59936956" w14:textId="77777777" w:rsidR="003B0D09" w:rsidRDefault="003B0D09" w:rsidP="00AF7342">
      <w:pPr>
        <w:pStyle w:val="a9"/>
        <w:spacing w:before="62" w:after="62"/>
      </w:pPr>
      <w:r>
        <w:rPr>
          <w:rFonts w:hint="eastAsia"/>
        </w:rPr>
        <w:t>第二章</w:t>
      </w:r>
      <w:r>
        <w:t xml:space="preserve"> 资产评估</w:t>
      </w:r>
    </w:p>
    <w:p w14:paraId="073CE708" w14:textId="77777777" w:rsidR="003B0D09" w:rsidRDefault="003B0D09" w:rsidP="003B0D09">
      <w:pPr>
        <w:pStyle w:val="13"/>
        <w:ind w:firstLine="482"/>
      </w:pPr>
      <w:r w:rsidRPr="004E3EBB">
        <w:rPr>
          <w:rFonts w:hint="eastAsia"/>
          <w:b/>
        </w:rPr>
        <w:t xml:space="preserve">第六条 </w:t>
      </w:r>
      <w:r>
        <w:t>企业有下列行为之一的，应当对相关资产进行评估：</w:t>
      </w:r>
    </w:p>
    <w:p w14:paraId="4677C8C4" w14:textId="77777777" w:rsidR="003B0D09" w:rsidRDefault="003B0D09" w:rsidP="003B0D09">
      <w:pPr>
        <w:pStyle w:val="13"/>
      </w:pPr>
      <w:r>
        <w:rPr>
          <w:rFonts w:hint="eastAsia"/>
        </w:rPr>
        <w:t>（一）整体或者部分改建为有限责任公司或者股份有限公司；</w:t>
      </w:r>
    </w:p>
    <w:p w14:paraId="7C5DDD24" w14:textId="77777777" w:rsidR="003B0D09" w:rsidRDefault="003B0D09" w:rsidP="003B0D09">
      <w:pPr>
        <w:pStyle w:val="13"/>
      </w:pPr>
      <w:r>
        <w:rPr>
          <w:rFonts w:hint="eastAsia"/>
        </w:rPr>
        <w:t>（二）以非货币资产对外投资；</w:t>
      </w:r>
    </w:p>
    <w:p w14:paraId="37F9BB65" w14:textId="77777777" w:rsidR="003B0D09" w:rsidRDefault="003B0D09" w:rsidP="003B0D09">
      <w:pPr>
        <w:pStyle w:val="13"/>
      </w:pPr>
      <w:r>
        <w:rPr>
          <w:rFonts w:hint="eastAsia"/>
        </w:rPr>
        <w:t>（三）合并、分立、破产、解散；</w:t>
      </w:r>
    </w:p>
    <w:p w14:paraId="0296DB5A" w14:textId="77777777" w:rsidR="003B0D09" w:rsidRDefault="003B0D09" w:rsidP="003B0D09">
      <w:pPr>
        <w:pStyle w:val="13"/>
      </w:pPr>
      <w:r>
        <w:rPr>
          <w:rFonts w:hint="eastAsia"/>
        </w:rPr>
        <w:t>（四）非上市公司国有股东股权比例变动；</w:t>
      </w:r>
    </w:p>
    <w:p w14:paraId="7069AE03" w14:textId="77777777" w:rsidR="003B0D09" w:rsidRDefault="003B0D09" w:rsidP="003B0D09">
      <w:pPr>
        <w:pStyle w:val="13"/>
      </w:pPr>
      <w:r>
        <w:rPr>
          <w:rFonts w:hint="eastAsia"/>
        </w:rPr>
        <w:t>（五）产权转让；</w:t>
      </w:r>
    </w:p>
    <w:p w14:paraId="21458A47" w14:textId="77777777" w:rsidR="003B0D09" w:rsidRDefault="003B0D09" w:rsidP="003B0D09">
      <w:pPr>
        <w:pStyle w:val="13"/>
      </w:pPr>
      <w:r>
        <w:rPr>
          <w:rFonts w:hint="eastAsia"/>
        </w:rPr>
        <w:t>（六）资产转让、置换；</w:t>
      </w:r>
    </w:p>
    <w:p w14:paraId="03D68077" w14:textId="77777777" w:rsidR="003B0D09" w:rsidRDefault="003B0D09" w:rsidP="003B0D09">
      <w:pPr>
        <w:pStyle w:val="13"/>
      </w:pPr>
      <w:r>
        <w:rPr>
          <w:rFonts w:hint="eastAsia"/>
        </w:rPr>
        <w:t>（七）整体资产或者部分资产租赁给非国有单位；</w:t>
      </w:r>
    </w:p>
    <w:p w14:paraId="570B1152" w14:textId="77777777" w:rsidR="003B0D09" w:rsidRDefault="003B0D09" w:rsidP="003B0D09">
      <w:pPr>
        <w:pStyle w:val="13"/>
      </w:pPr>
      <w:r>
        <w:rPr>
          <w:rFonts w:hint="eastAsia"/>
        </w:rPr>
        <w:t>（八）以非货币资产偿还债务；</w:t>
      </w:r>
    </w:p>
    <w:p w14:paraId="5EA46A8D" w14:textId="77777777" w:rsidR="003B0D09" w:rsidRDefault="003B0D09" w:rsidP="003B0D09">
      <w:pPr>
        <w:pStyle w:val="13"/>
      </w:pPr>
      <w:r>
        <w:rPr>
          <w:rFonts w:hint="eastAsia"/>
        </w:rPr>
        <w:t>（九）资产涉讼；</w:t>
      </w:r>
    </w:p>
    <w:p w14:paraId="64989569" w14:textId="77777777" w:rsidR="003B0D09" w:rsidRDefault="003B0D09" w:rsidP="003B0D09">
      <w:pPr>
        <w:pStyle w:val="13"/>
      </w:pPr>
      <w:r>
        <w:rPr>
          <w:rFonts w:hint="eastAsia"/>
        </w:rPr>
        <w:t>（十）收购非国有单位的资产；</w:t>
      </w:r>
    </w:p>
    <w:p w14:paraId="4CA8D674" w14:textId="77777777" w:rsidR="003B0D09" w:rsidRDefault="003B0D09" w:rsidP="003B0D09">
      <w:pPr>
        <w:pStyle w:val="13"/>
      </w:pPr>
      <w:r>
        <w:rPr>
          <w:rFonts w:hint="eastAsia"/>
        </w:rPr>
        <w:t>（十一）接受非国有单位以非货币资产出资；</w:t>
      </w:r>
    </w:p>
    <w:p w14:paraId="0437FCE8" w14:textId="77777777" w:rsidR="003B0D09" w:rsidRDefault="003B0D09" w:rsidP="003B0D09">
      <w:pPr>
        <w:pStyle w:val="13"/>
      </w:pPr>
      <w:r>
        <w:rPr>
          <w:rFonts w:hint="eastAsia"/>
        </w:rPr>
        <w:t>（十二）接受非国有单位以非货币资产抵债；</w:t>
      </w:r>
    </w:p>
    <w:p w14:paraId="72EDFECF" w14:textId="77777777" w:rsidR="003B0D09" w:rsidRDefault="003B0D09" w:rsidP="003B0D09">
      <w:pPr>
        <w:pStyle w:val="13"/>
      </w:pPr>
      <w:r>
        <w:rPr>
          <w:rFonts w:hint="eastAsia"/>
        </w:rPr>
        <w:t>（十三）法律、行政法规规定的其他需要进行资产评估的事项。</w:t>
      </w:r>
    </w:p>
    <w:p w14:paraId="2F5543AF" w14:textId="77777777" w:rsidR="003B0D09" w:rsidRDefault="003B0D09" w:rsidP="003B0D09">
      <w:pPr>
        <w:pStyle w:val="13"/>
        <w:ind w:firstLine="482"/>
      </w:pPr>
      <w:r w:rsidRPr="004E3EBB">
        <w:rPr>
          <w:rFonts w:hint="eastAsia"/>
          <w:b/>
        </w:rPr>
        <w:t xml:space="preserve">第七条 </w:t>
      </w:r>
      <w:r>
        <w:t>企业有下列行为之一的，可以不对相关国有资产进行评估：</w:t>
      </w:r>
    </w:p>
    <w:p w14:paraId="75126D68" w14:textId="77777777" w:rsidR="003B0D09" w:rsidRDefault="003B0D09" w:rsidP="003B0D09">
      <w:pPr>
        <w:pStyle w:val="13"/>
      </w:pPr>
      <w:r>
        <w:rPr>
          <w:rFonts w:hint="eastAsia"/>
        </w:rPr>
        <w:t>（一）经各级人民政府或其国有资产监督管理机构批准，对企业整体或者部分资</w:t>
      </w:r>
      <w:r>
        <w:rPr>
          <w:rFonts w:hint="eastAsia"/>
        </w:rPr>
        <w:lastRenderedPageBreak/>
        <w:t>产实施无偿划转；</w:t>
      </w:r>
    </w:p>
    <w:p w14:paraId="5EFC3101" w14:textId="77777777" w:rsidR="003B0D09" w:rsidRDefault="003B0D09" w:rsidP="003B0D09">
      <w:pPr>
        <w:pStyle w:val="13"/>
      </w:pPr>
      <w:r>
        <w:rPr>
          <w:rFonts w:hint="eastAsia"/>
        </w:rPr>
        <w:t>（二）国有独资企业与其下属独资企业（事业单位）之</w:t>
      </w:r>
      <w:proofErr w:type="gramStart"/>
      <w:r>
        <w:rPr>
          <w:rFonts w:hint="eastAsia"/>
        </w:rPr>
        <w:t>间或其</w:t>
      </w:r>
      <w:proofErr w:type="gramEnd"/>
      <w:r>
        <w:rPr>
          <w:rFonts w:hint="eastAsia"/>
        </w:rPr>
        <w:t>下属独资企业（事业单位）之间的合并、资产（产权）置换和无偿划转。</w:t>
      </w:r>
    </w:p>
    <w:p w14:paraId="0BF0E7E1" w14:textId="77777777" w:rsidR="003B0D09" w:rsidRDefault="003B0D09" w:rsidP="003B0D09">
      <w:pPr>
        <w:pStyle w:val="13"/>
        <w:ind w:firstLine="482"/>
      </w:pPr>
      <w:r w:rsidRPr="004E3EBB">
        <w:rPr>
          <w:rFonts w:hint="eastAsia"/>
          <w:b/>
        </w:rPr>
        <w:t xml:space="preserve">第八条 </w:t>
      </w:r>
      <w:r>
        <w:t>企业发生第六条所</w:t>
      </w:r>
      <w:proofErr w:type="gramStart"/>
      <w:r>
        <w:t>列行</w:t>
      </w:r>
      <w:proofErr w:type="gramEnd"/>
      <w:r>
        <w:t>为的，应当由其产权持有单位委托具有相应资质的资产评估机构进行评估。</w:t>
      </w:r>
    </w:p>
    <w:p w14:paraId="33FC6786" w14:textId="77777777" w:rsidR="003B0D09" w:rsidRDefault="003B0D09" w:rsidP="003B0D09">
      <w:pPr>
        <w:pStyle w:val="13"/>
        <w:ind w:firstLine="482"/>
      </w:pPr>
      <w:r w:rsidRPr="00E05BDA">
        <w:rPr>
          <w:rFonts w:hint="eastAsia"/>
          <w:b/>
        </w:rPr>
        <w:t xml:space="preserve">第九条 </w:t>
      </w:r>
      <w:r>
        <w:t>企业产权持有单位委托的资产评估机构应当具备下列基本条件：</w:t>
      </w:r>
    </w:p>
    <w:p w14:paraId="751C4FC6" w14:textId="77777777" w:rsidR="003B0D09" w:rsidRDefault="003B0D09" w:rsidP="003B0D09">
      <w:pPr>
        <w:pStyle w:val="13"/>
      </w:pPr>
      <w:r>
        <w:rPr>
          <w:rFonts w:hint="eastAsia"/>
        </w:rPr>
        <w:t>（一）遵守国家有关法律、法规、规章以及企业国有资产评估的政策规定，严格履行法定职责，近</w:t>
      </w:r>
      <w:r>
        <w:t xml:space="preserve"> 3 年内没有违法、违规记录；</w:t>
      </w:r>
    </w:p>
    <w:p w14:paraId="5A2D65CD" w14:textId="77777777" w:rsidR="003B0D09" w:rsidRDefault="003B0D09" w:rsidP="003B0D09">
      <w:pPr>
        <w:pStyle w:val="13"/>
      </w:pPr>
      <w:r>
        <w:rPr>
          <w:rFonts w:hint="eastAsia"/>
        </w:rPr>
        <w:t>（二）具有与评估对象相适应的资质条件；</w:t>
      </w:r>
    </w:p>
    <w:p w14:paraId="1AA74184" w14:textId="77777777" w:rsidR="003B0D09" w:rsidRDefault="003B0D09" w:rsidP="003B0D09">
      <w:pPr>
        <w:pStyle w:val="13"/>
      </w:pPr>
      <w:r>
        <w:rPr>
          <w:rFonts w:hint="eastAsia"/>
        </w:rPr>
        <w:t>（三）具有与评估对象相适应的专业人员和专业特长；</w:t>
      </w:r>
    </w:p>
    <w:p w14:paraId="1D8928D7" w14:textId="77777777" w:rsidR="003B0D09" w:rsidRDefault="003B0D09" w:rsidP="003B0D09">
      <w:pPr>
        <w:pStyle w:val="13"/>
      </w:pPr>
      <w:r>
        <w:rPr>
          <w:rFonts w:hint="eastAsia"/>
        </w:rPr>
        <w:t>（四）与企业负责人无经济利益关系；</w:t>
      </w:r>
    </w:p>
    <w:p w14:paraId="31F08950" w14:textId="77777777" w:rsidR="003B0D09" w:rsidRDefault="003B0D09" w:rsidP="003B0D09">
      <w:pPr>
        <w:pStyle w:val="13"/>
      </w:pPr>
      <w:r>
        <w:rPr>
          <w:rFonts w:hint="eastAsia"/>
        </w:rPr>
        <w:t>（五）未向同一经济行为提供审计业务服务。</w:t>
      </w:r>
    </w:p>
    <w:p w14:paraId="73D0874B" w14:textId="77777777" w:rsidR="003B0D09" w:rsidRDefault="003B0D09" w:rsidP="003B0D09">
      <w:pPr>
        <w:pStyle w:val="13"/>
        <w:ind w:firstLine="482"/>
      </w:pPr>
      <w:r w:rsidRPr="00E05BDA">
        <w:rPr>
          <w:rFonts w:hint="eastAsia"/>
          <w:b/>
        </w:rPr>
        <w:t xml:space="preserve">第十条 </w:t>
      </w:r>
      <w:r>
        <w:t>企业应当向资产评估机构如实提供有关情况和资料，并对所提供情况和资料的真实性、合法性和完整性负责，不得隐匿或虚报资产。</w:t>
      </w:r>
    </w:p>
    <w:p w14:paraId="21E34228" w14:textId="77777777" w:rsidR="003B0D09" w:rsidRDefault="003B0D09" w:rsidP="003B0D09">
      <w:pPr>
        <w:pStyle w:val="13"/>
        <w:ind w:firstLine="482"/>
      </w:pPr>
      <w:r w:rsidRPr="00E05BDA">
        <w:rPr>
          <w:rFonts w:hint="eastAsia"/>
          <w:b/>
        </w:rPr>
        <w:t xml:space="preserve">第十一条 </w:t>
      </w:r>
      <w:r>
        <w:t>企业应当积极配合资产评估机构开展工作，不得以任何形式干预其正常执业行为。</w:t>
      </w:r>
    </w:p>
    <w:p w14:paraId="266DC064" w14:textId="77777777" w:rsidR="003B0D09" w:rsidRDefault="003B0D09" w:rsidP="00AF7342">
      <w:pPr>
        <w:pStyle w:val="a9"/>
        <w:spacing w:before="62" w:after="62"/>
      </w:pPr>
      <w:r>
        <w:rPr>
          <w:rFonts w:hint="eastAsia"/>
        </w:rPr>
        <w:t>第三章</w:t>
      </w:r>
      <w:r>
        <w:t xml:space="preserve"> 核准与备案</w:t>
      </w:r>
    </w:p>
    <w:p w14:paraId="5B7A7738" w14:textId="77777777" w:rsidR="003B0D09" w:rsidRDefault="003B0D09" w:rsidP="003B0D09">
      <w:pPr>
        <w:pStyle w:val="13"/>
        <w:ind w:firstLine="482"/>
      </w:pPr>
      <w:r w:rsidRPr="00E05BDA">
        <w:rPr>
          <w:rFonts w:hint="eastAsia"/>
          <w:b/>
        </w:rPr>
        <w:t xml:space="preserve">第十二条 </w:t>
      </w:r>
      <w:r>
        <w:t>凡需经核准的资产评估项目，企业在资产评估前应当向国有资产监督管理机构报告下列有关事项：</w:t>
      </w:r>
    </w:p>
    <w:p w14:paraId="043C96B5" w14:textId="77777777" w:rsidR="003B0D09" w:rsidRDefault="003B0D09" w:rsidP="003B0D09">
      <w:pPr>
        <w:pStyle w:val="13"/>
      </w:pPr>
      <w:r>
        <w:rPr>
          <w:rFonts w:hint="eastAsia"/>
        </w:rPr>
        <w:t>（一）相关经济行为批准情况；</w:t>
      </w:r>
    </w:p>
    <w:p w14:paraId="236E5ECB" w14:textId="77777777" w:rsidR="003B0D09" w:rsidRDefault="003B0D09" w:rsidP="003B0D09">
      <w:pPr>
        <w:pStyle w:val="13"/>
      </w:pPr>
      <w:r>
        <w:rPr>
          <w:rFonts w:hint="eastAsia"/>
        </w:rPr>
        <w:t>（二）评估基准日的选择情况；</w:t>
      </w:r>
    </w:p>
    <w:p w14:paraId="5C375EB2" w14:textId="77777777" w:rsidR="003B0D09" w:rsidRDefault="003B0D09" w:rsidP="003B0D09">
      <w:pPr>
        <w:pStyle w:val="13"/>
      </w:pPr>
      <w:r>
        <w:rPr>
          <w:rFonts w:hint="eastAsia"/>
        </w:rPr>
        <w:t>（三）资产评估范围的确定情况；</w:t>
      </w:r>
    </w:p>
    <w:p w14:paraId="5338C168" w14:textId="77777777" w:rsidR="003B0D09" w:rsidRDefault="003B0D09" w:rsidP="003B0D09">
      <w:pPr>
        <w:pStyle w:val="13"/>
      </w:pPr>
      <w:r>
        <w:rPr>
          <w:rFonts w:hint="eastAsia"/>
        </w:rPr>
        <w:t>（四）选择资产评估机构的条件、范围、程序及拟选定机构的资质、专业特长情况；</w:t>
      </w:r>
    </w:p>
    <w:p w14:paraId="43609E74" w14:textId="77777777" w:rsidR="003B0D09" w:rsidRDefault="003B0D09" w:rsidP="003B0D09">
      <w:pPr>
        <w:pStyle w:val="13"/>
      </w:pPr>
      <w:r>
        <w:rPr>
          <w:rFonts w:hint="eastAsia"/>
        </w:rPr>
        <w:t>（五）资产评估的时间进度安排情况。</w:t>
      </w:r>
    </w:p>
    <w:p w14:paraId="6CABA2A7" w14:textId="77777777" w:rsidR="003B0D09" w:rsidRDefault="003B0D09" w:rsidP="003B0D09">
      <w:pPr>
        <w:pStyle w:val="13"/>
        <w:ind w:firstLine="482"/>
      </w:pPr>
      <w:r w:rsidRPr="00E05BDA">
        <w:rPr>
          <w:rFonts w:hint="eastAsia"/>
          <w:b/>
        </w:rPr>
        <w:t xml:space="preserve">第十三条 </w:t>
      </w:r>
      <w:r>
        <w:t>企业应当及时向国有资产监督管理机构报告资产评估项目的工作进展情况。国有资产监督管理机构认为必要时，可以对该项目进行跟踪指导和现场检查。</w:t>
      </w:r>
    </w:p>
    <w:p w14:paraId="0F8BCAB2" w14:textId="77777777" w:rsidR="003B0D09" w:rsidRDefault="003B0D09" w:rsidP="003B0D09">
      <w:pPr>
        <w:pStyle w:val="13"/>
        <w:ind w:firstLine="482"/>
      </w:pPr>
      <w:r w:rsidRPr="00E05BDA">
        <w:rPr>
          <w:rFonts w:hint="eastAsia"/>
          <w:b/>
        </w:rPr>
        <w:t xml:space="preserve">第十四条 </w:t>
      </w:r>
      <w:r>
        <w:t>资产评估项目的核准按照下列程序进行：</w:t>
      </w:r>
    </w:p>
    <w:p w14:paraId="00EBC30B" w14:textId="77777777" w:rsidR="003B0D09" w:rsidRDefault="003B0D09" w:rsidP="003B0D09">
      <w:pPr>
        <w:pStyle w:val="13"/>
      </w:pPr>
      <w:r>
        <w:rPr>
          <w:rFonts w:hint="eastAsia"/>
        </w:rPr>
        <w:t>（一）企业收到资产评估机构出具的评估报告后应当逐级上报初审，经初审同意后，</w:t>
      </w:r>
      <w:r>
        <w:t xml:space="preserve">自评估基准日起 8 </w:t>
      </w:r>
      <w:proofErr w:type="gramStart"/>
      <w:r>
        <w:t>个</w:t>
      </w:r>
      <w:proofErr w:type="gramEnd"/>
      <w:r>
        <w:t>月内向国有资产监督管理机构提出核准申请；</w:t>
      </w:r>
    </w:p>
    <w:p w14:paraId="6FA62F32" w14:textId="77777777" w:rsidR="003B0D09" w:rsidRDefault="003B0D09" w:rsidP="003B0D09">
      <w:pPr>
        <w:pStyle w:val="13"/>
      </w:pPr>
      <w:r>
        <w:rPr>
          <w:rFonts w:hint="eastAsia"/>
        </w:rPr>
        <w:t>（二）国有资产监督管理机构收到核准申请后，对符合核准要求的，及时组织有关专家审核，在</w:t>
      </w:r>
      <w:r>
        <w:t>20个工作日内完成对评估报告的核准；对不符合核准要求的，予以退回。</w:t>
      </w:r>
    </w:p>
    <w:p w14:paraId="556D85D4" w14:textId="77777777" w:rsidR="003B0D09" w:rsidRDefault="003B0D09" w:rsidP="003B0D09">
      <w:pPr>
        <w:pStyle w:val="13"/>
        <w:ind w:firstLine="482"/>
      </w:pPr>
      <w:r w:rsidRPr="00E05BDA">
        <w:rPr>
          <w:b/>
        </w:rPr>
        <w:lastRenderedPageBreak/>
        <w:t xml:space="preserve">第十五条 </w:t>
      </w:r>
      <w:r>
        <w:t>企业提出资产评估项目核准申请时，应当向国有资产监督管理机构报送</w:t>
      </w:r>
      <w:r>
        <w:rPr>
          <w:rFonts w:hint="eastAsia"/>
        </w:rPr>
        <w:t>下列文件材料：</w:t>
      </w:r>
    </w:p>
    <w:p w14:paraId="65B3F459" w14:textId="77777777" w:rsidR="003B0D09" w:rsidRDefault="003B0D09" w:rsidP="003B0D09">
      <w:pPr>
        <w:pStyle w:val="13"/>
      </w:pPr>
      <w:r>
        <w:rPr>
          <w:rFonts w:hint="eastAsia"/>
        </w:rPr>
        <w:t>（一）资产评估项目核准申请文件；</w:t>
      </w:r>
    </w:p>
    <w:p w14:paraId="43B1EE79" w14:textId="77777777" w:rsidR="003B0D09" w:rsidRDefault="003B0D09" w:rsidP="003B0D09">
      <w:pPr>
        <w:pStyle w:val="13"/>
      </w:pPr>
      <w:r>
        <w:rPr>
          <w:rFonts w:hint="eastAsia"/>
        </w:rPr>
        <w:t>（二）资产评估项目核准申请表（附件</w:t>
      </w:r>
      <w:r>
        <w:t xml:space="preserve"> 1）；</w:t>
      </w:r>
    </w:p>
    <w:p w14:paraId="1C166044" w14:textId="77777777" w:rsidR="003B0D09" w:rsidRDefault="003B0D09" w:rsidP="003B0D09">
      <w:pPr>
        <w:pStyle w:val="13"/>
      </w:pPr>
      <w:r>
        <w:rPr>
          <w:rFonts w:hint="eastAsia"/>
        </w:rPr>
        <w:t>（三）与评估目的相对应的经济行为批准文件或有效材料；</w:t>
      </w:r>
    </w:p>
    <w:p w14:paraId="2177CF0C" w14:textId="77777777" w:rsidR="003B0D09" w:rsidRDefault="003B0D09" w:rsidP="003B0D09">
      <w:pPr>
        <w:pStyle w:val="13"/>
      </w:pPr>
      <w:r>
        <w:rPr>
          <w:rFonts w:hint="eastAsia"/>
        </w:rPr>
        <w:t>（四）所涉及的资产重组方案或者改制方案、发起人协议等材料；</w:t>
      </w:r>
    </w:p>
    <w:p w14:paraId="0C4EB7A2" w14:textId="77777777" w:rsidR="003B0D09" w:rsidRDefault="003B0D09" w:rsidP="003B0D09">
      <w:pPr>
        <w:pStyle w:val="13"/>
      </w:pPr>
      <w:r>
        <w:rPr>
          <w:rFonts w:hint="eastAsia"/>
        </w:rPr>
        <w:t>（五）资产评估机构提交的资产评估报告（包括评估报告书、评估说明、评估明细表及其电子文档）；</w:t>
      </w:r>
    </w:p>
    <w:p w14:paraId="42E78523" w14:textId="77777777" w:rsidR="003B0D09" w:rsidRDefault="003B0D09" w:rsidP="003B0D09">
      <w:pPr>
        <w:pStyle w:val="13"/>
      </w:pPr>
      <w:r>
        <w:rPr>
          <w:rFonts w:hint="eastAsia"/>
        </w:rPr>
        <w:t>（六）与经济行为相对应的审计报告；</w:t>
      </w:r>
    </w:p>
    <w:p w14:paraId="46EB6DE6" w14:textId="77777777" w:rsidR="003B0D09" w:rsidRDefault="003B0D09" w:rsidP="003B0D09">
      <w:pPr>
        <w:pStyle w:val="13"/>
      </w:pPr>
      <w:r>
        <w:rPr>
          <w:rFonts w:hint="eastAsia"/>
        </w:rPr>
        <w:t>（七）资产评估各当事方的相关承诺函；</w:t>
      </w:r>
    </w:p>
    <w:p w14:paraId="50E3F6C2" w14:textId="77777777" w:rsidR="003B0D09" w:rsidRDefault="003B0D09" w:rsidP="003B0D09">
      <w:pPr>
        <w:pStyle w:val="13"/>
      </w:pPr>
      <w:r>
        <w:rPr>
          <w:rFonts w:hint="eastAsia"/>
        </w:rPr>
        <w:t>（八）其他有关材料。</w:t>
      </w:r>
    </w:p>
    <w:p w14:paraId="547E4106" w14:textId="77777777" w:rsidR="003B0D09" w:rsidRDefault="003B0D09" w:rsidP="003B0D09">
      <w:pPr>
        <w:pStyle w:val="13"/>
        <w:ind w:firstLine="482"/>
      </w:pPr>
      <w:r w:rsidRPr="00E05BDA">
        <w:rPr>
          <w:rFonts w:hint="eastAsia"/>
          <w:b/>
        </w:rPr>
        <w:t xml:space="preserve">第十六条 </w:t>
      </w:r>
      <w:r>
        <w:t>国有资产监督管理机构应当对下列事项进行审核：</w:t>
      </w:r>
    </w:p>
    <w:p w14:paraId="0A916723" w14:textId="77777777" w:rsidR="003B0D09" w:rsidRDefault="003B0D09" w:rsidP="003B0D09">
      <w:pPr>
        <w:pStyle w:val="13"/>
      </w:pPr>
      <w:r>
        <w:rPr>
          <w:rFonts w:hint="eastAsia"/>
        </w:rPr>
        <w:t>（一）资产评估项目所涉及的经济行为是否获得批准；</w:t>
      </w:r>
    </w:p>
    <w:p w14:paraId="072E6908" w14:textId="77777777" w:rsidR="003B0D09" w:rsidRDefault="003B0D09" w:rsidP="003B0D09">
      <w:pPr>
        <w:pStyle w:val="13"/>
      </w:pPr>
      <w:r>
        <w:rPr>
          <w:rFonts w:hint="eastAsia"/>
        </w:rPr>
        <w:t>（二）资产评估机构是否具备相应评估资质；</w:t>
      </w:r>
    </w:p>
    <w:p w14:paraId="1A801E0B" w14:textId="77777777" w:rsidR="003B0D09" w:rsidRDefault="003B0D09" w:rsidP="003B0D09">
      <w:pPr>
        <w:pStyle w:val="13"/>
      </w:pPr>
      <w:r>
        <w:rPr>
          <w:rFonts w:hint="eastAsia"/>
        </w:rPr>
        <w:t>（三）评估人员是否具备相应执业资格；</w:t>
      </w:r>
    </w:p>
    <w:p w14:paraId="400D4012" w14:textId="77777777" w:rsidR="003B0D09" w:rsidRDefault="003B0D09" w:rsidP="003B0D09">
      <w:pPr>
        <w:pStyle w:val="13"/>
      </w:pPr>
      <w:r>
        <w:rPr>
          <w:rFonts w:hint="eastAsia"/>
        </w:rPr>
        <w:t>（四）评估基准日的选择是否适当，评估结果的使用有效期是否明示；</w:t>
      </w:r>
    </w:p>
    <w:p w14:paraId="575FD598" w14:textId="77777777" w:rsidR="003B0D09" w:rsidRDefault="003B0D09" w:rsidP="003B0D09">
      <w:pPr>
        <w:pStyle w:val="13"/>
      </w:pPr>
      <w:r>
        <w:rPr>
          <w:rFonts w:hint="eastAsia"/>
        </w:rPr>
        <w:t>（五）资产评估范围与经济行为批准文件确定的资产范围是否一致；</w:t>
      </w:r>
    </w:p>
    <w:p w14:paraId="12920702" w14:textId="77777777" w:rsidR="003B0D09" w:rsidRDefault="003B0D09" w:rsidP="003B0D09">
      <w:pPr>
        <w:pStyle w:val="13"/>
      </w:pPr>
      <w:r>
        <w:rPr>
          <w:rFonts w:hint="eastAsia"/>
        </w:rPr>
        <w:t>（六）评估依据是否适当；</w:t>
      </w:r>
    </w:p>
    <w:p w14:paraId="07238297" w14:textId="77777777" w:rsidR="003B0D09" w:rsidRDefault="003B0D09" w:rsidP="003B0D09">
      <w:pPr>
        <w:pStyle w:val="13"/>
      </w:pPr>
      <w:r>
        <w:rPr>
          <w:rFonts w:hint="eastAsia"/>
        </w:rPr>
        <w:t>（七）企业是否就所提供的资产权属证明文件、财务会计资料及生产经营管理资料的真实性、合法性和完整性做出承诺；</w:t>
      </w:r>
    </w:p>
    <w:p w14:paraId="78558A6F" w14:textId="77777777" w:rsidR="003B0D09" w:rsidRDefault="003B0D09" w:rsidP="003B0D09">
      <w:pPr>
        <w:pStyle w:val="13"/>
      </w:pPr>
      <w:r>
        <w:rPr>
          <w:rFonts w:hint="eastAsia"/>
        </w:rPr>
        <w:t>（八）评估过程是否符合相关评估准则的规定；</w:t>
      </w:r>
    </w:p>
    <w:p w14:paraId="04ACAB48" w14:textId="77777777" w:rsidR="003B0D09" w:rsidRDefault="003B0D09" w:rsidP="003B0D09">
      <w:pPr>
        <w:pStyle w:val="13"/>
      </w:pPr>
      <w:r>
        <w:rPr>
          <w:rFonts w:hint="eastAsia"/>
        </w:rPr>
        <w:t>（九）参与审核的专家是否达成一致意见。</w:t>
      </w:r>
    </w:p>
    <w:p w14:paraId="6F338C72" w14:textId="77777777" w:rsidR="003B0D09" w:rsidRDefault="003B0D09" w:rsidP="003B0D09">
      <w:pPr>
        <w:pStyle w:val="13"/>
        <w:ind w:firstLine="482"/>
      </w:pPr>
      <w:r w:rsidRPr="00E05BDA">
        <w:rPr>
          <w:rFonts w:hint="eastAsia"/>
          <w:b/>
        </w:rPr>
        <w:t xml:space="preserve">第十七条 </w:t>
      </w:r>
      <w:r>
        <w:t>资产评估项目的备案按照下列程序进行：</w:t>
      </w:r>
    </w:p>
    <w:p w14:paraId="279FE076" w14:textId="77777777" w:rsidR="003B0D09" w:rsidRDefault="003B0D09" w:rsidP="003B0D09">
      <w:pPr>
        <w:pStyle w:val="13"/>
      </w:pPr>
      <w:r>
        <w:rPr>
          <w:rFonts w:hint="eastAsia"/>
        </w:rPr>
        <w:t>（一）企业收到资产评估机构出具的评估报告后，将备案材料逐级报送给国有资产监督管理机构或其所出资企业，自评估基准日起</w:t>
      </w:r>
      <w:r>
        <w:t xml:space="preserve"> 9 </w:t>
      </w:r>
      <w:proofErr w:type="gramStart"/>
      <w:r>
        <w:t>个</w:t>
      </w:r>
      <w:proofErr w:type="gramEnd"/>
      <w:r>
        <w:t>月内提出备案申请；</w:t>
      </w:r>
    </w:p>
    <w:p w14:paraId="3B72C9D6" w14:textId="77777777" w:rsidR="003B0D09" w:rsidRDefault="003B0D09" w:rsidP="003B0D09">
      <w:pPr>
        <w:pStyle w:val="13"/>
      </w:pPr>
      <w:r>
        <w:rPr>
          <w:rFonts w:hint="eastAsia"/>
        </w:rPr>
        <w:t>（二）国有资产监督管理机构或者所出资企业收到备案材料后，对材料齐全的，在</w:t>
      </w:r>
      <w:r>
        <w:t>20个工作日内办理备案手续，必要时可组织有关专家参与备案评审。</w:t>
      </w:r>
    </w:p>
    <w:p w14:paraId="3DB5EEB5" w14:textId="77777777" w:rsidR="003B0D09" w:rsidRDefault="003B0D09" w:rsidP="003B0D09">
      <w:pPr>
        <w:pStyle w:val="13"/>
        <w:ind w:firstLine="482"/>
      </w:pPr>
      <w:r w:rsidRPr="00E05BDA">
        <w:rPr>
          <w:b/>
        </w:rPr>
        <w:t xml:space="preserve">第十八条 </w:t>
      </w:r>
      <w:r>
        <w:t>资产评估项目备案需报送下列文件材料：</w:t>
      </w:r>
    </w:p>
    <w:p w14:paraId="0793790A" w14:textId="77777777" w:rsidR="003B0D09" w:rsidRDefault="003B0D09" w:rsidP="003B0D09">
      <w:pPr>
        <w:pStyle w:val="13"/>
      </w:pPr>
      <w:r>
        <w:rPr>
          <w:rFonts w:hint="eastAsia"/>
        </w:rPr>
        <w:t>（一）国有资产评估项目备案表一式三份（附件</w:t>
      </w:r>
      <w:r>
        <w:t xml:space="preserve"> 2）；</w:t>
      </w:r>
    </w:p>
    <w:p w14:paraId="3F971B99" w14:textId="77777777" w:rsidR="003B0D09" w:rsidRDefault="003B0D09" w:rsidP="003B0D09">
      <w:pPr>
        <w:pStyle w:val="13"/>
      </w:pPr>
      <w:r>
        <w:rPr>
          <w:rFonts w:hint="eastAsia"/>
        </w:rPr>
        <w:t>（二）资产评估报告（评估报告书、评估说明和评估明细表及其电子文档）；</w:t>
      </w:r>
    </w:p>
    <w:p w14:paraId="230A8171" w14:textId="77777777" w:rsidR="003B0D09" w:rsidRDefault="003B0D09" w:rsidP="003B0D09">
      <w:pPr>
        <w:pStyle w:val="13"/>
      </w:pPr>
      <w:r>
        <w:rPr>
          <w:rFonts w:hint="eastAsia"/>
        </w:rPr>
        <w:t>（三）与资产评估项目相对应的经济行为批准文件；</w:t>
      </w:r>
    </w:p>
    <w:p w14:paraId="6514A31E" w14:textId="77777777" w:rsidR="003B0D09" w:rsidRDefault="003B0D09" w:rsidP="003B0D09">
      <w:pPr>
        <w:pStyle w:val="13"/>
      </w:pPr>
      <w:r>
        <w:rPr>
          <w:rFonts w:hint="eastAsia"/>
        </w:rPr>
        <w:t>（四）其他有关材料。</w:t>
      </w:r>
    </w:p>
    <w:p w14:paraId="63C29248" w14:textId="77777777" w:rsidR="003B0D09" w:rsidRDefault="003B0D09" w:rsidP="003B0D09">
      <w:pPr>
        <w:pStyle w:val="13"/>
        <w:ind w:firstLine="482"/>
      </w:pPr>
      <w:r w:rsidRPr="00E05BDA">
        <w:rPr>
          <w:rFonts w:hint="eastAsia"/>
          <w:b/>
        </w:rPr>
        <w:t xml:space="preserve">第十九条 </w:t>
      </w:r>
      <w:r>
        <w:t>国有资产监督管理机构及所出资企业根据下列情况确定是否对资产评估项目予以备案：</w:t>
      </w:r>
    </w:p>
    <w:p w14:paraId="3A72D2F0" w14:textId="77777777" w:rsidR="003B0D09" w:rsidRDefault="003B0D09" w:rsidP="003B0D09">
      <w:pPr>
        <w:pStyle w:val="13"/>
      </w:pPr>
      <w:r>
        <w:rPr>
          <w:rFonts w:hint="eastAsia"/>
        </w:rPr>
        <w:lastRenderedPageBreak/>
        <w:t>（一）资产评估所涉及的经济行为是否获得批准；</w:t>
      </w:r>
    </w:p>
    <w:p w14:paraId="6213018D" w14:textId="77777777" w:rsidR="003B0D09" w:rsidRDefault="003B0D09" w:rsidP="003B0D09">
      <w:pPr>
        <w:pStyle w:val="13"/>
      </w:pPr>
      <w:r>
        <w:rPr>
          <w:rFonts w:hint="eastAsia"/>
        </w:rPr>
        <w:t>（二）资产评估机构是否具备相应评估资质，评估人员是否具备相应执业资格；</w:t>
      </w:r>
    </w:p>
    <w:p w14:paraId="0E2F5930" w14:textId="77777777" w:rsidR="003B0D09" w:rsidRDefault="003B0D09" w:rsidP="003B0D09">
      <w:pPr>
        <w:pStyle w:val="13"/>
      </w:pPr>
      <w:r>
        <w:rPr>
          <w:rFonts w:hint="eastAsia"/>
        </w:rPr>
        <w:t>（三）评估基准日的选择是否适当，评估结果的使用有效期是否明示；</w:t>
      </w:r>
    </w:p>
    <w:p w14:paraId="497D4D8B" w14:textId="77777777" w:rsidR="003B0D09" w:rsidRDefault="003B0D09" w:rsidP="003B0D09">
      <w:pPr>
        <w:pStyle w:val="13"/>
      </w:pPr>
      <w:r>
        <w:rPr>
          <w:rFonts w:hint="eastAsia"/>
        </w:rPr>
        <w:t>（四）资产评估范围与经济行为批准文件确定的资产范围是否一致；</w:t>
      </w:r>
    </w:p>
    <w:p w14:paraId="6714B5CB" w14:textId="77777777" w:rsidR="003B0D09" w:rsidRDefault="003B0D09" w:rsidP="003B0D09">
      <w:pPr>
        <w:pStyle w:val="13"/>
      </w:pPr>
      <w:r>
        <w:rPr>
          <w:rFonts w:hint="eastAsia"/>
        </w:rPr>
        <w:t>（五）企业是否就所提供的资产权属证明文件、财务会计资料及生产经营管理资料的真实性、合法性和完整性</w:t>
      </w:r>
      <w:proofErr w:type="gramStart"/>
      <w:r>
        <w:rPr>
          <w:rFonts w:hint="eastAsia"/>
        </w:rPr>
        <w:t>作出</w:t>
      </w:r>
      <w:proofErr w:type="gramEnd"/>
      <w:r>
        <w:rPr>
          <w:rFonts w:hint="eastAsia"/>
        </w:rPr>
        <w:t>承诺；</w:t>
      </w:r>
    </w:p>
    <w:p w14:paraId="208F26F5" w14:textId="77777777" w:rsidR="003B0D09" w:rsidRDefault="003B0D09" w:rsidP="003B0D09">
      <w:pPr>
        <w:pStyle w:val="13"/>
      </w:pPr>
      <w:r>
        <w:rPr>
          <w:rFonts w:hint="eastAsia"/>
        </w:rPr>
        <w:t>（六）评估程序是否符合相关评估准则的规定。</w:t>
      </w:r>
    </w:p>
    <w:p w14:paraId="2ED6424C" w14:textId="77777777" w:rsidR="003B0D09" w:rsidRDefault="003B0D09" w:rsidP="003B0D09">
      <w:pPr>
        <w:pStyle w:val="13"/>
        <w:ind w:firstLine="482"/>
      </w:pPr>
      <w:r w:rsidRPr="00E05BDA">
        <w:rPr>
          <w:rFonts w:hint="eastAsia"/>
          <w:b/>
        </w:rPr>
        <w:t xml:space="preserve">第二十条 </w:t>
      </w:r>
      <w:r>
        <w:t>国有资产监督管理机构下达的资产评估项目核准文件和经国有资产监督管理机构或所出资企业备案的资产评估项目备案表是企业办理产权登记、股权设置和产权转让等相关手续的必备文件。</w:t>
      </w:r>
    </w:p>
    <w:p w14:paraId="6CBA2769" w14:textId="77777777" w:rsidR="003B0D09" w:rsidRDefault="003B0D09" w:rsidP="003B0D09">
      <w:pPr>
        <w:pStyle w:val="13"/>
        <w:ind w:firstLine="482"/>
      </w:pPr>
      <w:r w:rsidRPr="00E05BDA">
        <w:rPr>
          <w:rFonts w:hint="eastAsia"/>
          <w:b/>
        </w:rPr>
        <w:t xml:space="preserve">第二十一条 </w:t>
      </w:r>
      <w:r>
        <w:t>经核准或备案的资产评估结果使用有效期为自评估基准日起1年。</w:t>
      </w:r>
    </w:p>
    <w:p w14:paraId="3C86E420" w14:textId="77777777" w:rsidR="003B0D09" w:rsidRDefault="003B0D09" w:rsidP="003B0D09">
      <w:pPr>
        <w:pStyle w:val="13"/>
        <w:ind w:firstLine="482"/>
      </w:pPr>
      <w:r w:rsidRPr="00E05BDA">
        <w:rPr>
          <w:b/>
        </w:rPr>
        <w:t xml:space="preserve">第二十二条 </w:t>
      </w:r>
      <w:r>
        <w:t>企业进行与资产评估相应的经济行为时，应当以经核准或备案的资产</w:t>
      </w:r>
      <w:r>
        <w:rPr>
          <w:rFonts w:hint="eastAsia"/>
        </w:rPr>
        <w:t>评估结果为作价参考依据；当交易价格低于评估结果的</w:t>
      </w:r>
      <w:r>
        <w:t>90%时，应当暂停交易，在获得原经济行为批准机构同意后方可继续交易。</w:t>
      </w:r>
    </w:p>
    <w:p w14:paraId="1DEA7891" w14:textId="77777777" w:rsidR="003B0D09" w:rsidRDefault="003B0D09" w:rsidP="00AF7342">
      <w:pPr>
        <w:pStyle w:val="a9"/>
        <w:spacing w:before="62" w:after="62"/>
      </w:pPr>
      <w:r>
        <w:rPr>
          <w:rFonts w:hint="eastAsia"/>
        </w:rPr>
        <w:t>第四章</w:t>
      </w:r>
      <w:r>
        <w:t xml:space="preserve"> 监督检查</w:t>
      </w:r>
    </w:p>
    <w:p w14:paraId="47201D74" w14:textId="77777777" w:rsidR="003B0D09" w:rsidRDefault="003B0D09" w:rsidP="003B0D09">
      <w:pPr>
        <w:pStyle w:val="13"/>
        <w:ind w:firstLine="482"/>
      </w:pPr>
      <w:r w:rsidRPr="00E05BDA">
        <w:rPr>
          <w:rFonts w:hint="eastAsia"/>
          <w:b/>
        </w:rPr>
        <w:t xml:space="preserve">第二十三条 </w:t>
      </w:r>
      <w:r>
        <w:t>各级国有资产监督管理机构应当加强对企业国有资产评估工作的监督检查，重点检查企业内部国有资产评估管理制度的建立、执行情况和评估管理人员配备情况，定期或者不定期地对资产评估项目进行抽查。</w:t>
      </w:r>
    </w:p>
    <w:p w14:paraId="3616CF9F" w14:textId="77777777" w:rsidR="003B0D09" w:rsidRDefault="003B0D09" w:rsidP="003B0D09">
      <w:pPr>
        <w:pStyle w:val="13"/>
        <w:ind w:firstLine="482"/>
      </w:pPr>
      <w:r w:rsidRPr="00E05BDA">
        <w:rPr>
          <w:rFonts w:hint="eastAsia"/>
          <w:b/>
        </w:rPr>
        <w:t xml:space="preserve">第二十四条 </w:t>
      </w:r>
      <w:r>
        <w:t>各级国有资产监督管理机构对企业资产评估项目进行抽查的内容包括：</w:t>
      </w:r>
    </w:p>
    <w:p w14:paraId="2427D07E" w14:textId="77777777" w:rsidR="003B0D09" w:rsidRDefault="003B0D09" w:rsidP="003B0D09">
      <w:pPr>
        <w:pStyle w:val="13"/>
      </w:pPr>
      <w:r>
        <w:rPr>
          <w:rFonts w:hint="eastAsia"/>
        </w:rPr>
        <w:t>（一）企业经济行为的合</w:t>
      </w:r>
      <w:proofErr w:type="gramStart"/>
      <w:r>
        <w:rPr>
          <w:rFonts w:hint="eastAsia"/>
        </w:rPr>
        <w:t>规</w:t>
      </w:r>
      <w:proofErr w:type="gramEnd"/>
      <w:r>
        <w:rPr>
          <w:rFonts w:hint="eastAsia"/>
        </w:rPr>
        <w:t>性；</w:t>
      </w:r>
    </w:p>
    <w:p w14:paraId="2676416D" w14:textId="77777777" w:rsidR="003B0D09" w:rsidRDefault="003B0D09" w:rsidP="003B0D09">
      <w:pPr>
        <w:pStyle w:val="13"/>
      </w:pPr>
      <w:r>
        <w:rPr>
          <w:rFonts w:hint="eastAsia"/>
        </w:rPr>
        <w:t>（二）评估的资产范围与有关经济行为所涉及的资产范围是否一致；</w:t>
      </w:r>
    </w:p>
    <w:p w14:paraId="21B8A94C" w14:textId="77777777" w:rsidR="003B0D09" w:rsidRDefault="003B0D09" w:rsidP="003B0D09">
      <w:pPr>
        <w:pStyle w:val="13"/>
      </w:pPr>
      <w:r>
        <w:rPr>
          <w:rFonts w:hint="eastAsia"/>
        </w:rPr>
        <w:t>（三）企业提供的资产权属证明文件、财务会计资料及生产经营管理资料的真实性、合法性和完整性；</w:t>
      </w:r>
    </w:p>
    <w:p w14:paraId="44439303" w14:textId="77777777" w:rsidR="003B0D09" w:rsidRDefault="003B0D09" w:rsidP="003B0D09">
      <w:pPr>
        <w:pStyle w:val="13"/>
      </w:pPr>
      <w:r>
        <w:rPr>
          <w:rFonts w:hint="eastAsia"/>
        </w:rPr>
        <w:t>（四）资产评估机构的执业资质和评估人员的执业资格；</w:t>
      </w:r>
    </w:p>
    <w:p w14:paraId="6F6BC216" w14:textId="77777777" w:rsidR="003B0D09" w:rsidRDefault="003B0D09" w:rsidP="003B0D09">
      <w:pPr>
        <w:pStyle w:val="13"/>
      </w:pPr>
      <w:r>
        <w:rPr>
          <w:rFonts w:hint="eastAsia"/>
        </w:rPr>
        <w:t>（五）资产账面价值与评估结果的差异；</w:t>
      </w:r>
    </w:p>
    <w:p w14:paraId="1401CAB1" w14:textId="77777777" w:rsidR="003B0D09" w:rsidRDefault="003B0D09" w:rsidP="003B0D09">
      <w:pPr>
        <w:pStyle w:val="13"/>
      </w:pPr>
      <w:r>
        <w:rPr>
          <w:rFonts w:hint="eastAsia"/>
        </w:rPr>
        <w:t>（六）经济行为的实际成交价与评估结果的差异；</w:t>
      </w:r>
    </w:p>
    <w:p w14:paraId="23C9B627" w14:textId="77777777" w:rsidR="003B0D09" w:rsidRDefault="003B0D09" w:rsidP="003B0D09">
      <w:pPr>
        <w:pStyle w:val="13"/>
      </w:pPr>
      <w:r>
        <w:rPr>
          <w:rFonts w:hint="eastAsia"/>
        </w:rPr>
        <w:t>（七）评估工作底稿；</w:t>
      </w:r>
    </w:p>
    <w:p w14:paraId="0C5DC572" w14:textId="77777777" w:rsidR="003B0D09" w:rsidRDefault="003B0D09" w:rsidP="003B0D09">
      <w:pPr>
        <w:pStyle w:val="13"/>
      </w:pPr>
      <w:r>
        <w:rPr>
          <w:rFonts w:hint="eastAsia"/>
        </w:rPr>
        <w:t>（八）评估依据的合理性；</w:t>
      </w:r>
    </w:p>
    <w:p w14:paraId="046C60A3" w14:textId="77777777" w:rsidR="003B0D09" w:rsidRDefault="003B0D09" w:rsidP="003B0D09">
      <w:pPr>
        <w:pStyle w:val="13"/>
      </w:pPr>
      <w:r>
        <w:rPr>
          <w:rFonts w:hint="eastAsia"/>
        </w:rPr>
        <w:t>（九）评估报告对重大事项及其对评估结果影响的披露程度，以及该披露与实际情况的差异；</w:t>
      </w:r>
    </w:p>
    <w:p w14:paraId="4CC405DC" w14:textId="77777777" w:rsidR="003B0D09" w:rsidRDefault="003B0D09" w:rsidP="003B0D09">
      <w:pPr>
        <w:pStyle w:val="13"/>
      </w:pPr>
      <w:r>
        <w:rPr>
          <w:rFonts w:hint="eastAsia"/>
        </w:rPr>
        <w:t>（十）其他有关情况。</w:t>
      </w:r>
    </w:p>
    <w:p w14:paraId="1721AF0D" w14:textId="77777777" w:rsidR="003B0D09" w:rsidRDefault="003B0D09" w:rsidP="003B0D09">
      <w:pPr>
        <w:pStyle w:val="13"/>
        <w:ind w:firstLine="482"/>
      </w:pPr>
      <w:r w:rsidRPr="00E05BDA">
        <w:rPr>
          <w:rFonts w:hint="eastAsia"/>
          <w:b/>
        </w:rPr>
        <w:t xml:space="preserve">第二十五条 </w:t>
      </w:r>
      <w:r>
        <w:t xml:space="preserve">省级国有资产监督管理机构应当于每年度终了30 </w:t>
      </w:r>
      <w:proofErr w:type="gramStart"/>
      <w:r>
        <w:t>个</w:t>
      </w:r>
      <w:proofErr w:type="gramEnd"/>
      <w:r>
        <w:t>工作日内将检查、抽查及处理情况上报国务院国有资产监督管理机构。</w:t>
      </w:r>
    </w:p>
    <w:p w14:paraId="02454F4E" w14:textId="77777777" w:rsidR="003B0D09" w:rsidRDefault="003B0D09" w:rsidP="003B0D09">
      <w:pPr>
        <w:pStyle w:val="13"/>
        <w:ind w:firstLine="482"/>
      </w:pPr>
      <w:r w:rsidRPr="00E05BDA">
        <w:rPr>
          <w:rFonts w:hint="eastAsia"/>
          <w:b/>
        </w:rPr>
        <w:lastRenderedPageBreak/>
        <w:t xml:space="preserve">第二十六条 </w:t>
      </w:r>
      <w:r>
        <w:t>国有资产监督管理机构应当将资产评估项目的抽查结果通报相关部门。</w:t>
      </w:r>
    </w:p>
    <w:p w14:paraId="3800250D" w14:textId="77777777" w:rsidR="003B0D09" w:rsidRDefault="003B0D09" w:rsidP="00AF7342">
      <w:pPr>
        <w:pStyle w:val="a9"/>
        <w:spacing w:before="62" w:after="62"/>
      </w:pPr>
      <w:r>
        <w:rPr>
          <w:rFonts w:hint="eastAsia"/>
        </w:rPr>
        <w:t>第五章</w:t>
      </w:r>
      <w:r>
        <w:t xml:space="preserve"> 罚则</w:t>
      </w:r>
    </w:p>
    <w:p w14:paraId="789A22A9" w14:textId="77777777" w:rsidR="003B0D09" w:rsidRDefault="003B0D09" w:rsidP="003B0D09">
      <w:pPr>
        <w:pStyle w:val="13"/>
        <w:ind w:firstLine="482"/>
      </w:pPr>
      <w:r w:rsidRPr="00E05BDA">
        <w:rPr>
          <w:rFonts w:hint="eastAsia"/>
          <w:b/>
        </w:rPr>
        <w:t xml:space="preserve">第二十七条 </w:t>
      </w:r>
      <w:r>
        <w:t>企业违反本办法，有下列情形之一的，由国有资产监督管理机构通报批评并责令改正，必要时可依法向人民法院提起诉讼，确认其相应的经济行为无效：</w:t>
      </w:r>
    </w:p>
    <w:p w14:paraId="4C30B46A" w14:textId="77777777" w:rsidR="003B0D09" w:rsidRDefault="003B0D09" w:rsidP="003B0D09">
      <w:pPr>
        <w:pStyle w:val="13"/>
      </w:pPr>
      <w:r>
        <w:rPr>
          <w:rFonts w:hint="eastAsia"/>
        </w:rPr>
        <w:t>（一）应当进行资产评估而未进行评估；</w:t>
      </w:r>
    </w:p>
    <w:p w14:paraId="03862CA4" w14:textId="77777777" w:rsidR="003B0D09" w:rsidRDefault="003B0D09" w:rsidP="003B0D09">
      <w:pPr>
        <w:pStyle w:val="13"/>
      </w:pPr>
      <w:r>
        <w:rPr>
          <w:rFonts w:hint="eastAsia"/>
        </w:rPr>
        <w:t>（二）聘请不符合相应资质条件的资产评估机构从事国有资产评估活动；</w:t>
      </w:r>
    </w:p>
    <w:p w14:paraId="4D6B32CB" w14:textId="77777777" w:rsidR="003B0D09" w:rsidRDefault="003B0D09" w:rsidP="003B0D09">
      <w:pPr>
        <w:pStyle w:val="13"/>
      </w:pPr>
      <w:r>
        <w:rPr>
          <w:rFonts w:hint="eastAsia"/>
        </w:rPr>
        <w:t>（三）向资产评估机构提供虚假情况和资料，或者与资产评估机构串通作弊导致评估结果失实的；</w:t>
      </w:r>
    </w:p>
    <w:p w14:paraId="24887DD3" w14:textId="77777777" w:rsidR="003B0D09" w:rsidRDefault="003B0D09" w:rsidP="003B0D09">
      <w:pPr>
        <w:pStyle w:val="13"/>
      </w:pPr>
      <w:r>
        <w:rPr>
          <w:rFonts w:hint="eastAsia"/>
        </w:rPr>
        <w:t>（四）应当办理核准、备案而未办理。</w:t>
      </w:r>
    </w:p>
    <w:p w14:paraId="234FC698" w14:textId="77777777" w:rsidR="003B0D09" w:rsidRDefault="003B0D09" w:rsidP="003B0D09">
      <w:pPr>
        <w:pStyle w:val="13"/>
        <w:ind w:firstLine="482"/>
      </w:pPr>
      <w:r w:rsidRPr="00E05BDA">
        <w:rPr>
          <w:rFonts w:hint="eastAsia"/>
          <w:b/>
        </w:rPr>
        <w:t xml:space="preserve">第二十八条 </w:t>
      </w:r>
      <w:r>
        <w:t>企业在国有资产评估中发生违法违规行为或者不正当使用评估报告的，对负有直接责任的主管人员和其他直接责任人员，依法给予处分；涉嫌犯罪的，依法移 送司法机关处理。</w:t>
      </w:r>
    </w:p>
    <w:p w14:paraId="46827EE0" w14:textId="77777777" w:rsidR="003B0D09" w:rsidRDefault="003B0D09" w:rsidP="003B0D09">
      <w:pPr>
        <w:pStyle w:val="13"/>
        <w:ind w:firstLine="482"/>
      </w:pPr>
      <w:r w:rsidRPr="00E05BDA">
        <w:rPr>
          <w:rFonts w:hint="eastAsia"/>
          <w:b/>
        </w:rPr>
        <w:t xml:space="preserve">第二十九条 </w:t>
      </w:r>
      <w:r>
        <w:t>受托资产评估机构在资产评估过程中违规执业的，由国有资产监督管理机构将有关情况通报其行业主管部门，建议给予相应处罚；情节严重的，可要求企业不得再委托该中介机构及其当事人进行国有资产评估业务；涉嫌犯罪的，依法移送司法机关处理。</w:t>
      </w:r>
    </w:p>
    <w:p w14:paraId="174A200F" w14:textId="77777777" w:rsidR="003B0D09" w:rsidRDefault="003B0D09" w:rsidP="003B0D09">
      <w:pPr>
        <w:pStyle w:val="13"/>
        <w:ind w:firstLine="482"/>
      </w:pPr>
      <w:r w:rsidRPr="00E05BDA">
        <w:rPr>
          <w:rFonts w:hint="eastAsia"/>
          <w:b/>
        </w:rPr>
        <w:t xml:space="preserve">第三十条 </w:t>
      </w:r>
      <w:r>
        <w:t>有关资产评估机构对资产评估项目抽查工作不予配合的，国有资产监督管理机构可以要求企业不得再委托该资产评估机构及其当事人进行国有资产评估业务。</w:t>
      </w:r>
    </w:p>
    <w:p w14:paraId="11BC9A45" w14:textId="77777777" w:rsidR="003B0D09" w:rsidRDefault="003B0D09" w:rsidP="003B0D09">
      <w:pPr>
        <w:pStyle w:val="13"/>
        <w:ind w:firstLine="482"/>
      </w:pPr>
      <w:r w:rsidRPr="003B2FB1">
        <w:rPr>
          <w:rFonts w:hint="eastAsia"/>
          <w:b/>
        </w:rPr>
        <w:t xml:space="preserve">第三十一条 </w:t>
      </w:r>
      <w:r>
        <w:t>各级国有资产监督管理机构工作人员违反本规定，造成国有资产流失的，依法给予处分；涉嫌犯罪的，依法移送司法机关处理。</w:t>
      </w:r>
    </w:p>
    <w:p w14:paraId="0B771319" w14:textId="77777777" w:rsidR="003B0D09" w:rsidRDefault="003B0D09" w:rsidP="00AF7342">
      <w:pPr>
        <w:pStyle w:val="a9"/>
        <w:spacing w:before="62" w:after="62"/>
      </w:pPr>
      <w:r>
        <w:rPr>
          <w:rFonts w:hint="eastAsia"/>
        </w:rPr>
        <w:t>第六章</w:t>
      </w:r>
      <w:r>
        <w:t xml:space="preserve"> 附则</w:t>
      </w:r>
    </w:p>
    <w:p w14:paraId="72246B3D" w14:textId="77777777" w:rsidR="003B0D09" w:rsidRDefault="003B0D09" w:rsidP="003B0D09">
      <w:pPr>
        <w:pStyle w:val="13"/>
        <w:ind w:firstLine="482"/>
      </w:pPr>
      <w:r w:rsidRPr="003B2FB1">
        <w:rPr>
          <w:rFonts w:hint="eastAsia"/>
          <w:b/>
        </w:rPr>
        <w:t xml:space="preserve">第三十二条 </w:t>
      </w:r>
      <w:r>
        <w:t>境外国有资产评估，遵照相关法规执行。</w:t>
      </w:r>
    </w:p>
    <w:p w14:paraId="7A32F619" w14:textId="77777777" w:rsidR="003B0D09" w:rsidRDefault="003B0D09" w:rsidP="003B0D09">
      <w:pPr>
        <w:pStyle w:val="13"/>
        <w:ind w:firstLine="482"/>
      </w:pPr>
      <w:r w:rsidRPr="003B2FB1">
        <w:rPr>
          <w:rFonts w:hint="eastAsia"/>
          <w:b/>
        </w:rPr>
        <w:t xml:space="preserve">第三十三条 </w:t>
      </w:r>
      <w:r>
        <w:t>政企尚未分开单位所属企事业单位的国有资产评估工作，参照本办法执行。</w:t>
      </w:r>
    </w:p>
    <w:p w14:paraId="10180F80" w14:textId="77777777" w:rsidR="003B0D09" w:rsidRDefault="003B0D09" w:rsidP="003B0D09">
      <w:pPr>
        <w:pStyle w:val="13"/>
        <w:ind w:firstLine="482"/>
      </w:pPr>
      <w:r w:rsidRPr="003B2FB1">
        <w:rPr>
          <w:rFonts w:hint="eastAsia"/>
          <w:b/>
        </w:rPr>
        <w:t xml:space="preserve">第三十四条 </w:t>
      </w:r>
      <w:r>
        <w:t>省级国有资产监督管理机构可以根据本办法，制定本地区相关工作规范，并报国务院国有资产监督管理机构备案。</w:t>
      </w:r>
    </w:p>
    <w:p w14:paraId="06176311" w14:textId="77777777" w:rsidR="003B0D09" w:rsidRDefault="003B0D09" w:rsidP="003B0D09">
      <w:pPr>
        <w:pStyle w:val="13"/>
        <w:ind w:firstLine="482"/>
      </w:pPr>
      <w:r w:rsidRPr="003B2FB1">
        <w:rPr>
          <w:rFonts w:hint="eastAsia"/>
          <w:b/>
        </w:rPr>
        <w:t xml:space="preserve">第三十五条 </w:t>
      </w:r>
      <w:r>
        <w:t>本办法自 2005年9月1日起施行。</w:t>
      </w:r>
    </w:p>
    <w:p w14:paraId="4A40342E" w14:textId="77777777" w:rsidR="003B0D09" w:rsidRDefault="003B0D09" w:rsidP="003B0D09">
      <w:pPr>
        <w:pStyle w:val="13"/>
      </w:pPr>
      <w:r>
        <w:t>附件 1：资产评估项目核准申请表</w:t>
      </w:r>
    </w:p>
    <w:p w14:paraId="1C1E9A9C" w14:textId="77777777" w:rsidR="003B0D09" w:rsidRDefault="003B0D09" w:rsidP="003B0D09">
      <w:pPr>
        <w:pStyle w:val="13"/>
      </w:pPr>
      <w:r>
        <w:rPr>
          <w:rFonts w:hint="eastAsia"/>
        </w:rPr>
        <w:t>附件</w:t>
      </w:r>
      <w:r>
        <w:t xml:space="preserve"> 2：国有资产评估项目备案表</w:t>
      </w:r>
    </w:p>
    <w:p w14:paraId="1534622E" w14:textId="77777777" w:rsidR="003B0D09" w:rsidRPr="008D37F9" w:rsidRDefault="003B0D09" w:rsidP="003B0D09">
      <w:pPr>
        <w:pStyle w:val="31"/>
        <w:spacing w:before="156" w:after="62"/>
      </w:pPr>
      <w:bookmarkStart w:id="217" w:name="_Toc81833450"/>
      <w:r>
        <w:rPr>
          <w:rFonts w:hint="eastAsia"/>
        </w:rPr>
        <w:lastRenderedPageBreak/>
        <w:t>《</w:t>
      </w:r>
      <w:r w:rsidRPr="008D37F9">
        <w:rPr>
          <w:rFonts w:hint="eastAsia"/>
        </w:rPr>
        <w:t>中央企业境外国有资产监督管理暂行办法</w:t>
      </w:r>
      <w:r>
        <w:rPr>
          <w:rFonts w:hint="eastAsia"/>
        </w:rPr>
        <w:t>》（国资委令</w:t>
      </w:r>
      <w:r w:rsidRPr="008D37F9">
        <w:rPr>
          <w:rFonts w:hint="eastAsia"/>
        </w:rPr>
        <w:t>第</w:t>
      </w:r>
      <w:r w:rsidRPr="008D37F9">
        <w:t>26号</w:t>
      </w:r>
      <w:r>
        <w:rPr>
          <w:rFonts w:hint="eastAsia"/>
        </w:rPr>
        <w:t>）</w:t>
      </w:r>
      <w:bookmarkEnd w:id="217"/>
    </w:p>
    <w:p w14:paraId="15A74D17" w14:textId="77777777" w:rsidR="003B0D09" w:rsidRDefault="003B0D09" w:rsidP="003B0D09">
      <w:pPr>
        <w:pStyle w:val="13"/>
      </w:pPr>
      <w:r>
        <w:rPr>
          <w:rFonts w:hint="eastAsia"/>
        </w:rPr>
        <w:t>《中央企业境外国有资产监督管理暂行办法》已经国务院国有资产监督管理委员会第</w:t>
      </w:r>
      <w:r>
        <w:t>102次主任办公会议审议通过，现予公布，自2011年7月1日起施行。</w:t>
      </w:r>
    </w:p>
    <w:p w14:paraId="4E451EAE" w14:textId="77777777" w:rsidR="003B0D09" w:rsidRDefault="003B0D09" w:rsidP="003B0D09">
      <w:pPr>
        <w:pStyle w:val="13"/>
        <w:jc w:val="right"/>
      </w:pPr>
      <w:r>
        <w:t>国务院国有资产监督管理委员会主任王勇</w:t>
      </w:r>
    </w:p>
    <w:p w14:paraId="4CB6E34F" w14:textId="77777777" w:rsidR="003B0D09" w:rsidRPr="008D37F9" w:rsidRDefault="003B0D09" w:rsidP="003B0D09">
      <w:pPr>
        <w:pStyle w:val="13"/>
        <w:jc w:val="right"/>
      </w:pPr>
      <w:r>
        <w:t>二○一一年六月十四日</w:t>
      </w:r>
    </w:p>
    <w:p w14:paraId="1F3B2F55" w14:textId="77777777" w:rsidR="003B0D09" w:rsidRDefault="003B0D09" w:rsidP="00AF7342">
      <w:pPr>
        <w:pStyle w:val="a9"/>
        <w:spacing w:before="62" w:after="62"/>
      </w:pPr>
      <w:r>
        <w:rPr>
          <w:rFonts w:hint="eastAsia"/>
        </w:rPr>
        <w:t>中央企业境外国有资产监督管理暂行办法</w:t>
      </w:r>
    </w:p>
    <w:p w14:paraId="3C939D5B" w14:textId="77777777" w:rsidR="003B0D09" w:rsidRDefault="003B0D09" w:rsidP="00AF7342">
      <w:pPr>
        <w:pStyle w:val="a9"/>
        <w:spacing w:before="62" w:after="62"/>
      </w:pPr>
      <w:r>
        <w:rPr>
          <w:rFonts w:hint="eastAsia"/>
        </w:rPr>
        <w:t>第一章</w:t>
      </w:r>
      <w:r>
        <w:t xml:space="preserve"> 总则</w:t>
      </w:r>
    </w:p>
    <w:p w14:paraId="06087EDC" w14:textId="77777777" w:rsidR="003B0D09" w:rsidRDefault="003B0D09" w:rsidP="003B0D09">
      <w:pPr>
        <w:pStyle w:val="13"/>
        <w:ind w:firstLine="482"/>
      </w:pPr>
      <w:r w:rsidRPr="004E3EBB">
        <w:rPr>
          <w:rFonts w:hint="eastAsia"/>
          <w:b/>
        </w:rPr>
        <w:t xml:space="preserve">第一条 </w:t>
      </w:r>
      <w:r>
        <w:t>为加强国务院国有资产监督管理委员会（以下简称国资委）履行出资人职责的企业（以下简称中央企业）境外国有资产监督管理，规范境外企业经营行为，维护境外国有资产权益，防止国有资产流失，根据《中华人民共和国企业国有资产法》和《企业国有资产监督管理暂行条例》及相关法律、行政法规，制定本办法。</w:t>
      </w:r>
    </w:p>
    <w:p w14:paraId="0EF76663" w14:textId="77777777" w:rsidR="003B0D09" w:rsidRDefault="003B0D09" w:rsidP="003B0D09">
      <w:pPr>
        <w:pStyle w:val="13"/>
        <w:ind w:firstLine="482"/>
      </w:pPr>
      <w:r w:rsidRPr="004E3EBB">
        <w:rPr>
          <w:rFonts w:hint="eastAsia"/>
          <w:b/>
        </w:rPr>
        <w:t xml:space="preserve">第二条 </w:t>
      </w:r>
      <w:r>
        <w:t>本办法适用于中央企业及其各级独资、控股子企业（以下简称各级子企业）在境外以各种形式出资所形成的国有权益的监督管理。</w:t>
      </w:r>
    </w:p>
    <w:p w14:paraId="441F9ABD" w14:textId="77777777" w:rsidR="003B0D09" w:rsidRDefault="003B0D09" w:rsidP="003B0D09">
      <w:pPr>
        <w:pStyle w:val="13"/>
      </w:pPr>
      <w:r>
        <w:rPr>
          <w:rFonts w:hint="eastAsia"/>
        </w:rPr>
        <w:t>本办法所称境外企业，是指中央企业及其各级子企业在我国境外以及香港特别行政区、澳门特别行政区和台湾地区依据当地法律出资设立的独资及控股企业。</w:t>
      </w:r>
    </w:p>
    <w:p w14:paraId="0B801609" w14:textId="77777777" w:rsidR="003B0D09" w:rsidRDefault="003B0D09" w:rsidP="003B0D09">
      <w:pPr>
        <w:pStyle w:val="13"/>
        <w:ind w:firstLine="482"/>
      </w:pPr>
      <w:r w:rsidRPr="004E3EBB">
        <w:rPr>
          <w:rFonts w:hint="eastAsia"/>
          <w:b/>
        </w:rPr>
        <w:t xml:space="preserve">第三条 </w:t>
      </w:r>
      <w:r>
        <w:t>国资委依法对中央企业境外国有资产履行下列监督管理职责：</w:t>
      </w:r>
    </w:p>
    <w:p w14:paraId="4BDA14C9" w14:textId="77777777" w:rsidR="003B0D09" w:rsidRDefault="003B0D09" w:rsidP="003B0D09">
      <w:pPr>
        <w:pStyle w:val="13"/>
      </w:pPr>
      <w:r>
        <w:rPr>
          <w:rFonts w:hint="eastAsia"/>
        </w:rPr>
        <w:t>（一）制定中央企业境外国有资产监督管理制度，并负责组织实施和监督检查；</w:t>
      </w:r>
    </w:p>
    <w:p w14:paraId="085C41BC" w14:textId="77777777" w:rsidR="003B0D09" w:rsidRDefault="003B0D09" w:rsidP="003B0D09">
      <w:pPr>
        <w:pStyle w:val="13"/>
      </w:pPr>
      <w:r>
        <w:rPr>
          <w:rFonts w:hint="eastAsia"/>
        </w:rPr>
        <w:t>（二）组织开展中央企业境外国有资产产权登记、资产统计、清产核资、资产评估和绩效评价等基础管理工作；</w:t>
      </w:r>
    </w:p>
    <w:p w14:paraId="56526D30" w14:textId="77777777" w:rsidR="003B0D09" w:rsidRDefault="003B0D09" w:rsidP="003B0D09">
      <w:pPr>
        <w:pStyle w:val="13"/>
      </w:pPr>
      <w:r>
        <w:rPr>
          <w:rFonts w:hint="eastAsia"/>
        </w:rPr>
        <w:t>（三）督促、指导中央企业建立健全境外国有资产经营责任体系，落实国有资产保值增值责任；</w:t>
      </w:r>
    </w:p>
    <w:p w14:paraId="3333A481" w14:textId="77777777" w:rsidR="003B0D09" w:rsidRDefault="003B0D09" w:rsidP="003B0D09">
      <w:pPr>
        <w:pStyle w:val="13"/>
      </w:pPr>
      <w:r>
        <w:rPr>
          <w:rFonts w:hint="eastAsia"/>
        </w:rPr>
        <w:t>（四）依法监督管理中央企业境外投资、境外国有资产经营管理重大事项，组织协调处理境外企业重大突发事件；</w:t>
      </w:r>
    </w:p>
    <w:p w14:paraId="5F3AA913" w14:textId="77777777" w:rsidR="003B0D09" w:rsidRDefault="003B0D09" w:rsidP="003B0D09">
      <w:pPr>
        <w:pStyle w:val="13"/>
      </w:pPr>
      <w:r>
        <w:rPr>
          <w:rFonts w:hint="eastAsia"/>
        </w:rPr>
        <w:t>（五）按照《中央企业资产损失责任追究暂行办法》组织开展境外企业重大资产损失责任追究工作；</w:t>
      </w:r>
    </w:p>
    <w:p w14:paraId="6875314A" w14:textId="77777777" w:rsidR="003B0D09" w:rsidRDefault="003B0D09" w:rsidP="003B0D09">
      <w:pPr>
        <w:pStyle w:val="13"/>
      </w:pPr>
      <w:r>
        <w:rPr>
          <w:rFonts w:hint="eastAsia"/>
        </w:rPr>
        <w:t>（六）法律、行政法规以及国有资产监督管理有关规定赋予的其他职责。</w:t>
      </w:r>
    </w:p>
    <w:p w14:paraId="72F0D998" w14:textId="77777777" w:rsidR="003B0D09" w:rsidRDefault="003B0D09" w:rsidP="003B0D09">
      <w:pPr>
        <w:pStyle w:val="13"/>
        <w:ind w:firstLine="482"/>
      </w:pPr>
      <w:r w:rsidRPr="004E3EBB">
        <w:rPr>
          <w:rFonts w:hint="eastAsia"/>
          <w:b/>
        </w:rPr>
        <w:t xml:space="preserve">第四条 </w:t>
      </w:r>
      <w:r>
        <w:t>中央企业依法对所属境外企业国有资产履行下列监督管理职责：</w:t>
      </w:r>
    </w:p>
    <w:p w14:paraId="1CD883C6" w14:textId="77777777" w:rsidR="003B0D09" w:rsidRDefault="003B0D09" w:rsidP="003B0D09">
      <w:pPr>
        <w:pStyle w:val="13"/>
      </w:pPr>
      <w:r>
        <w:rPr>
          <w:rFonts w:hint="eastAsia"/>
        </w:rPr>
        <w:t>（一）依法审核决定境外企业重大事项，组织开展境外企业国有资产基础管理工作；</w:t>
      </w:r>
    </w:p>
    <w:p w14:paraId="3943F79B" w14:textId="77777777" w:rsidR="003B0D09" w:rsidRDefault="003B0D09" w:rsidP="003B0D09">
      <w:pPr>
        <w:pStyle w:val="13"/>
      </w:pPr>
      <w:r>
        <w:rPr>
          <w:rFonts w:hint="eastAsia"/>
        </w:rPr>
        <w:t>（二）建立健全境外企业监管的规章制度及内部控制和风险防范机制；</w:t>
      </w:r>
    </w:p>
    <w:p w14:paraId="7F7EC361" w14:textId="77777777" w:rsidR="003B0D09" w:rsidRDefault="003B0D09" w:rsidP="003B0D09">
      <w:pPr>
        <w:pStyle w:val="13"/>
      </w:pPr>
      <w:r>
        <w:rPr>
          <w:rFonts w:hint="eastAsia"/>
        </w:rPr>
        <w:t>（三）建立健全境外国有资产经营责任体系，对境外企业经营行为进行评价和监督，落实国有资产保值增值责任；</w:t>
      </w:r>
    </w:p>
    <w:p w14:paraId="3D1A6AC8" w14:textId="77777777" w:rsidR="003B0D09" w:rsidRDefault="003B0D09" w:rsidP="003B0D09">
      <w:pPr>
        <w:pStyle w:val="13"/>
      </w:pPr>
      <w:r>
        <w:rPr>
          <w:rFonts w:hint="eastAsia"/>
        </w:rPr>
        <w:t>（四）按照《中央企业资产损失责任追究暂行办法》规定，负责或者配合国资委</w:t>
      </w:r>
      <w:r>
        <w:rPr>
          <w:rFonts w:hint="eastAsia"/>
        </w:rPr>
        <w:lastRenderedPageBreak/>
        <w:t>开展所属境外企业重大资产损失责任追究工作；</w:t>
      </w:r>
    </w:p>
    <w:p w14:paraId="397F4EF4" w14:textId="77777777" w:rsidR="003B0D09" w:rsidRDefault="003B0D09" w:rsidP="003B0D09">
      <w:pPr>
        <w:pStyle w:val="13"/>
      </w:pPr>
      <w:r>
        <w:rPr>
          <w:rFonts w:hint="eastAsia"/>
        </w:rPr>
        <w:t>（五）协调处理所属境外企业突发事件；</w:t>
      </w:r>
    </w:p>
    <w:p w14:paraId="6404A760" w14:textId="77777777" w:rsidR="003B0D09" w:rsidRDefault="003B0D09" w:rsidP="003B0D09">
      <w:pPr>
        <w:pStyle w:val="13"/>
      </w:pPr>
      <w:r>
        <w:rPr>
          <w:rFonts w:hint="eastAsia"/>
        </w:rPr>
        <w:t>（六）法律、行政法规以及国有资产监督管理有关规定赋予的其他职责。</w:t>
      </w:r>
    </w:p>
    <w:p w14:paraId="21960BAF" w14:textId="77777777" w:rsidR="003B0D09" w:rsidRDefault="003B0D09" w:rsidP="003B0D09">
      <w:pPr>
        <w:pStyle w:val="13"/>
        <w:ind w:firstLine="482"/>
      </w:pPr>
      <w:r w:rsidRPr="004E3EBB">
        <w:rPr>
          <w:rFonts w:hint="eastAsia"/>
          <w:b/>
        </w:rPr>
        <w:t xml:space="preserve">第五条 </w:t>
      </w:r>
      <w:r>
        <w:t>中央企业及其各级子企业依法对境外企业享有资产收益、参与重大决策和选择管理者等出资人权利，依法制定或者参与制定其出资的境外企业章程。</w:t>
      </w:r>
    </w:p>
    <w:p w14:paraId="144AEB14" w14:textId="77777777" w:rsidR="003B0D09" w:rsidRDefault="003B0D09" w:rsidP="003B0D09">
      <w:pPr>
        <w:pStyle w:val="13"/>
      </w:pPr>
      <w:r>
        <w:rPr>
          <w:rFonts w:hint="eastAsia"/>
        </w:rPr>
        <w:t>中央企业及其各级子企业应当依法参与其出资的境外参股、联营、合作企业重大事项管理。</w:t>
      </w:r>
    </w:p>
    <w:p w14:paraId="19292214" w14:textId="77777777" w:rsidR="003B0D09" w:rsidRDefault="003B0D09" w:rsidP="00AF7342">
      <w:pPr>
        <w:pStyle w:val="a9"/>
        <w:spacing w:before="62" w:after="62"/>
      </w:pPr>
      <w:r>
        <w:rPr>
          <w:rFonts w:hint="eastAsia"/>
        </w:rPr>
        <w:t>第二章</w:t>
      </w:r>
      <w:r>
        <w:t xml:space="preserve"> 境外出资管理</w:t>
      </w:r>
    </w:p>
    <w:p w14:paraId="5A0D1B80" w14:textId="77777777" w:rsidR="003B0D09" w:rsidRDefault="003B0D09" w:rsidP="003B0D09">
      <w:pPr>
        <w:pStyle w:val="13"/>
        <w:ind w:firstLine="482"/>
      </w:pPr>
      <w:r w:rsidRPr="004E3EBB">
        <w:rPr>
          <w:rFonts w:hint="eastAsia"/>
          <w:b/>
        </w:rPr>
        <w:t xml:space="preserve">第六条 </w:t>
      </w:r>
      <w:r>
        <w:t>中央企业应当建立健全境外出资管理制度，对境外出资实行集中管理，统一规划。</w:t>
      </w:r>
    </w:p>
    <w:p w14:paraId="43E4ED38" w14:textId="77777777" w:rsidR="003B0D09" w:rsidRDefault="003B0D09" w:rsidP="003B0D09">
      <w:pPr>
        <w:pStyle w:val="13"/>
        <w:ind w:firstLine="482"/>
      </w:pPr>
      <w:r w:rsidRPr="004E3EBB">
        <w:rPr>
          <w:rFonts w:hint="eastAsia"/>
          <w:b/>
        </w:rPr>
        <w:t xml:space="preserve">第七条 </w:t>
      </w:r>
      <w:r>
        <w:t>境外出资应当遵守法律、行政法规、国有资产监督管理有关规定和所在国（地区）法律，符合国民经济和社会发展规划及产业政策，符合国有经济布局和结构调整方向，符合中央企业发展战略和规划。</w:t>
      </w:r>
    </w:p>
    <w:p w14:paraId="406D5084" w14:textId="77777777" w:rsidR="003B0D09" w:rsidRDefault="003B0D09" w:rsidP="003B0D09">
      <w:pPr>
        <w:pStyle w:val="13"/>
      </w:pPr>
      <w:r>
        <w:rPr>
          <w:rFonts w:hint="eastAsia"/>
        </w:rPr>
        <w:t>中央企业及其重要子企业收购、兼并境外上市公司以及重大境外出资行为应当依照法定程序报国资委备案或者核准。</w:t>
      </w:r>
    </w:p>
    <w:p w14:paraId="3CB6A342" w14:textId="77777777" w:rsidR="003B0D09" w:rsidRDefault="003B0D09" w:rsidP="003B0D09">
      <w:pPr>
        <w:pStyle w:val="13"/>
        <w:ind w:firstLine="482"/>
      </w:pPr>
      <w:r w:rsidRPr="004E3EBB">
        <w:rPr>
          <w:rFonts w:hint="eastAsia"/>
          <w:b/>
        </w:rPr>
        <w:t xml:space="preserve">第八条 </w:t>
      </w:r>
      <w:r>
        <w:t>境外出资应当进行可行性研究和尽职调查，评估企业财务承受能力和经营管理能力，防范经营、管理、资金、法律等风险。境外出资原则上不得设立承担无限责任的经营实体。</w:t>
      </w:r>
    </w:p>
    <w:p w14:paraId="45A1E382" w14:textId="77777777" w:rsidR="003B0D09" w:rsidRDefault="003B0D09" w:rsidP="003B0D09">
      <w:pPr>
        <w:pStyle w:val="13"/>
        <w:ind w:firstLine="482"/>
      </w:pPr>
      <w:r w:rsidRPr="00E05BDA">
        <w:rPr>
          <w:rFonts w:hint="eastAsia"/>
          <w:b/>
        </w:rPr>
        <w:t xml:space="preserve">第九条 </w:t>
      </w:r>
      <w:r>
        <w:t>以非货币资产向境外出资的，应当依法进行资产评估并按照有关规定备案或者核准。</w:t>
      </w:r>
    </w:p>
    <w:p w14:paraId="6EA1C578" w14:textId="77777777" w:rsidR="003B0D09" w:rsidRDefault="003B0D09" w:rsidP="003B0D09">
      <w:pPr>
        <w:pStyle w:val="13"/>
        <w:ind w:firstLine="482"/>
      </w:pPr>
      <w:r w:rsidRPr="00E05BDA">
        <w:rPr>
          <w:rFonts w:hint="eastAsia"/>
          <w:b/>
        </w:rPr>
        <w:t xml:space="preserve">第十条 </w:t>
      </w:r>
      <w:r>
        <w:t>境外出资形成的产权应当由中央企业或者其各级子企业持有。根据境外相关法律规定须以个人名义持有的，应当统一由中央企业依据有关规定决定或者批准，依法办理委托出资、</w:t>
      </w:r>
      <w:proofErr w:type="gramStart"/>
      <w:r>
        <w:t>代持等</w:t>
      </w:r>
      <w:proofErr w:type="gramEnd"/>
      <w:r>
        <w:t>保全国有资产的法律手续，并以书面形式报告国资委。</w:t>
      </w:r>
    </w:p>
    <w:p w14:paraId="4F21853A" w14:textId="77777777" w:rsidR="003B0D09" w:rsidRDefault="003B0D09" w:rsidP="003B0D09">
      <w:pPr>
        <w:pStyle w:val="13"/>
        <w:ind w:firstLine="482"/>
      </w:pPr>
      <w:r w:rsidRPr="00E05BDA">
        <w:rPr>
          <w:rFonts w:hint="eastAsia"/>
          <w:b/>
        </w:rPr>
        <w:t xml:space="preserve">第十一条 </w:t>
      </w:r>
      <w:r>
        <w:t>中央企业应当建立健全离岸公司管理制度，规范离岸公司设立程序，加强离岸公司资金管理。新设离岸公司的，应当由中央企业决定或者批准并以书面形式报告国资委。已无存续必要的离岸公司，应当依法予以注销。</w:t>
      </w:r>
    </w:p>
    <w:p w14:paraId="5400ECFE" w14:textId="77777777" w:rsidR="003B0D09" w:rsidRDefault="003B0D09" w:rsidP="003B0D09">
      <w:pPr>
        <w:pStyle w:val="13"/>
        <w:ind w:firstLine="482"/>
      </w:pPr>
      <w:r w:rsidRPr="00E05BDA">
        <w:rPr>
          <w:rFonts w:hint="eastAsia"/>
          <w:b/>
        </w:rPr>
        <w:t xml:space="preserve">第十二条 </w:t>
      </w:r>
      <w:r>
        <w:t>中央企业应当将境外企业纳入本企业全面预算管理体系，明确境外企业年度预算目标，加强对境外企业重大经营事项的预算控制，及时掌握境外企业预算执行情况。</w:t>
      </w:r>
    </w:p>
    <w:p w14:paraId="4290ADD5" w14:textId="77777777" w:rsidR="003B0D09" w:rsidRDefault="003B0D09" w:rsidP="003B0D09">
      <w:pPr>
        <w:pStyle w:val="13"/>
        <w:ind w:firstLine="482"/>
      </w:pPr>
      <w:r w:rsidRPr="00E05BDA">
        <w:rPr>
          <w:rFonts w:hint="eastAsia"/>
          <w:b/>
        </w:rPr>
        <w:t xml:space="preserve">第十三条 </w:t>
      </w:r>
      <w:r>
        <w:t>中央企业应当将境外资金纳入本企业统一的资金管理体系，明确界定境外资金调度与使用的权限与责任，加强日常监控。具备条件的中央企业应当对境外资金实施集中管理和调度。</w:t>
      </w:r>
    </w:p>
    <w:p w14:paraId="43698AE3" w14:textId="77777777" w:rsidR="003B0D09" w:rsidRDefault="003B0D09" w:rsidP="003B0D09">
      <w:pPr>
        <w:pStyle w:val="13"/>
      </w:pPr>
      <w:r>
        <w:rPr>
          <w:rFonts w:hint="eastAsia"/>
        </w:rPr>
        <w:t>中央企业应当建立境外大额资金调度管控制度，对境外临时资金集中账户的资金运作实施严格审批和监督检查，定期向国资委报告境外大额资金的管理和运作情</w:t>
      </w:r>
      <w:r>
        <w:rPr>
          <w:rFonts w:hint="eastAsia"/>
        </w:rPr>
        <w:lastRenderedPageBreak/>
        <w:t>况。</w:t>
      </w:r>
    </w:p>
    <w:p w14:paraId="4301FD62" w14:textId="77777777" w:rsidR="003B0D09" w:rsidRDefault="003B0D09" w:rsidP="003B0D09">
      <w:pPr>
        <w:pStyle w:val="13"/>
        <w:ind w:firstLine="482"/>
      </w:pPr>
      <w:r w:rsidRPr="00E05BDA">
        <w:rPr>
          <w:rFonts w:hint="eastAsia"/>
          <w:b/>
        </w:rPr>
        <w:t xml:space="preserve">第十四条 </w:t>
      </w:r>
      <w:r>
        <w:t>中央企业应当加强境外金融衍生业务的统一管理，明确决策程序、授权权限和操作流程，规定年度交易量、交易权限和交易流程等重要事项，并按照相关规定报国资委备案或者核准。从事境外期货、期权、远期、掉期等金融衍生业务应当严守套期保值原则，完善风险管理规定，禁止投机行为。</w:t>
      </w:r>
    </w:p>
    <w:p w14:paraId="3E62670D" w14:textId="77777777" w:rsidR="003B0D09" w:rsidRDefault="003B0D09" w:rsidP="003B0D09">
      <w:pPr>
        <w:pStyle w:val="13"/>
        <w:ind w:firstLine="482"/>
      </w:pPr>
      <w:r w:rsidRPr="00E05BDA">
        <w:rPr>
          <w:rFonts w:hint="eastAsia"/>
          <w:b/>
        </w:rPr>
        <w:t xml:space="preserve">第十五条 </w:t>
      </w:r>
      <w:r>
        <w:t>中央企业应当建立外派人员管理制度，明确岗位职责、工作纪律、工资薪酬等规定，建立外派境外企业经营管理人员的定期述职和履职评估制度。</w:t>
      </w:r>
    </w:p>
    <w:p w14:paraId="60183E61" w14:textId="77777777" w:rsidR="003B0D09" w:rsidRDefault="003B0D09" w:rsidP="003B0D09">
      <w:pPr>
        <w:pStyle w:val="13"/>
      </w:pPr>
      <w:r>
        <w:rPr>
          <w:rFonts w:hint="eastAsia"/>
        </w:rPr>
        <w:t>中央企业应当按照属地化管理原则，统筹境内外薪酬管理制度。不具备属地化管理条件的，中央企业应当按照法律法规有关规定，结合属地的实际情况，制定统一的外派人员薪酬管理办法，报国资委备案。</w:t>
      </w:r>
    </w:p>
    <w:p w14:paraId="1D1DF538" w14:textId="77777777" w:rsidR="003B0D09" w:rsidRDefault="003B0D09" w:rsidP="00AF7342">
      <w:pPr>
        <w:pStyle w:val="a9"/>
        <w:spacing w:before="62" w:after="62"/>
      </w:pPr>
      <w:r>
        <w:rPr>
          <w:rFonts w:hint="eastAsia"/>
        </w:rPr>
        <w:t>第三章</w:t>
      </w:r>
      <w:r>
        <w:t xml:space="preserve"> 境外企业管理</w:t>
      </w:r>
    </w:p>
    <w:p w14:paraId="215520FD" w14:textId="77777777" w:rsidR="003B0D09" w:rsidRDefault="003B0D09" w:rsidP="003B0D09">
      <w:pPr>
        <w:pStyle w:val="13"/>
        <w:ind w:firstLine="482"/>
      </w:pPr>
      <w:r w:rsidRPr="00E05BDA">
        <w:rPr>
          <w:rFonts w:hint="eastAsia"/>
          <w:b/>
        </w:rPr>
        <w:t xml:space="preserve">第十六条 </w:t>
      </w:r>
      <w:r>
        <w:t>中央企业是所属境外企业监督管理的责任主体。境外企业应当定期向中央企业报告境外国有资产总量、结构、变动、收益等汇总分析情况。</w:t>
      </w:r>
    </w:p>
    <w:p w14:paraId="59DF53DD" w14:textId="77777777" w:rsidR="003B0D09" w:rsidRDefault="003B0D09" w:rsidP="003B0D09">
      <w:pPr>
        <w:pStyle w:val="13"/>
        <w:ind w:firstLine="482"/>
      </w:pPr>
      <w:r w:rsidRPr="00E05BDA">
        <w:rPr>
          <w:rFonts w:hint="eastAsia"/>
          <w:b/>
        </w:rPr>
        <w:t xml:space="preserve">第十七条 </w:t>
      </w:r>
      <w:r>
        <w:t>境外企业应当建立完善法人治理结构，健全资产分类管理制度和内部控制机制，定期开展资产清查，加强风险管理，对其运营管理的国有资产承担保值增值责任。</w:t>
      </w:r>
    </w:p>
    <w:p w14:paraId="67A129D6" w14:textId="77777777" w:rsidR="003B0D09" w:rsidRDefault="003B0D09" w:rsidP="003B0D09">
      <w:pPr>
        <w:pStyle w:val="13"/>
        <w:ind w:firstLine="482"/>
      </w:pPr>
      <w:r w:rsidRPr="00E05BDA">
        <w:rPr>
          <w:rFonts w:hint="eastAsia"/>
          <w:b/>
        </w:rPr>
        <w:t xml:space="preserve">第十八条 </w:t>
      </w:r>
      <w:r>
        <w:t>境外企业应当依据有关规定建立健全境外国有产权管理制度，明确负责机构和工作责任，切实加强境外国有产权管理。</w:t>
      </w:r>
    </w:p>
    <w:p w14:paraId="2CCEEDCE" w14:textId="77777777" w:rsidR="003B0D09" w:rsidRDefault="003B0D09" w:rsidP="003B0D09">
      <w:pPr>
        <w:pStyle w:val="13"/>
        <w:ind w:firstLine="482"/>
      </w:pPr>
      <w:r w:rsidRPr="00E05BDA">
        <w:rPr>
          <w:rFonts w:hint="eastAsia"/>
          <w:b/>
        </w:rPr>
        <w:t xml:space="preserve">第十九条 </w:t>
      </w:r>
      <w:r>
        <w:t>境外企业应当加强投资管理，严格按照中央企业内部管理制度办理相关手续。</w:t>
      </w:r>
    </w:p>
    <w:p w14:paraId="1985C35E" w14:textId="77777777" w:rsidR="003B0D09" w:rsidRDefault="003B0D09" w:rsidP="003B0D09">
      <w:pPr>
        <w:pStyle w:val="13"/>
      </w:pPr>
    </w:p>
    <w:p w14:paraId="3BA4A439" w14:textId="77777777" w:rsidR="003B0D09" w:rsidRDefault="003B0D09" w:rsidP="003B0D09">
      <w:pPr>
        <w:pStyle w:val="13"/>
        <w:ind w:firstLine="482"/>
      </w:pPr>
      <w:r w:rsidRPr="00E05BDA">
        <w:rPr>
          <w:rFonts w:hint="eastAsia"/>
          <w:b/>
        </w:rPr>
        <w:t xml:space="preserve">第二十条 </w:t>
      </w:r>
      <w:r>
        <w:t>境外企业应当加强预算管理，严格执行经股东（大）会、董事会或章程规定的相关权力机构审议通过的年度预算方案，加强成本费用管理，严格控制预算外支出。</w:t>
      </w:r>
    </w:p>
    <w:p w14:paraId="363CE597" w14:textId="77777777" w:rsidR="003B0D09" w:rsidRDefault="003B0D09" w:rsidP="003B0D09">
      <w:pPr>
        <w:pStyle w:val="13"/>
        <w:ind w:firstLine="482"/>
      </w:pPr>
      <w:r w:rsidRPr="00E05BDA">
        <w:rPr>
          <w:rFonts w:hint="eastAsia"/>
          <w:b/>
        </w:rPr>
        <w:t xml:space="preserve">第二十一条 </w:t>
      </w:r>
      <w:r>
        <w:t>境外企业应当建立健全法律风险防范机制，严格执行重大决策、合同的审核与管理程序。</w:t>
      </w:r>
    </w:p>
    <w:p w14:paraId="5940A540" w14:textId="77777777" w:rsidR="003B0D09" w:rsidRDefault="003B0D09" w:rsidP="003B0D09">
      <w:pPr>
        <w:pStyle w:val="13"/>
        <w:ind w:firstLine="482"/>
      </w:pPr>
      <w:r w:rsidRPr="00E05BDA">
        <w:rPr>
          <w:rFonts w:hint="eastAsia"/>
          <w:b/>
        </w:rPr>
        <w:t xml:space="preserve">第二十二条 </w:t>
      </w:r>
      <w:r>
        <w:t>境外企业应当遵循中央企业确定的融资权限。非金融类境外企业不得为其所属中央企业系统之外的企业或个人进行任何形式的融资、拆借资金或者提供担保。</w:t>
      </w:r>
    </w:p>
    <w:p w14:paraId="20106876" w14:textId="77777777" w:rsidR="003B0D09" w:rsidRDefault="003B0D09" w:rsidP="003B0D09">
      <w:pPr>
        <w:pStyle w:val="13"/>
        <w:ind w:firstLine="482"/>
      </w:pPr>
      <w:r w:rsidRPr="00E05BDA">
        <w:rPr>
          <w:rFonts w:hint="eastAsia"/>
          <w:b/>
        </w:rPr>
        <w:t xml:space="preserve">第二十三条 </w:t>
      </w:r>
      <w:r>
        <w:t>境外企业应当加强资金管理，明确资金使用管理权限，严格执行企业主要负责人与财务负责人联签制度，大额资金支出和调度应当符合中央企业规定的审批程序和权限。</w:t>
      </w:r>
    </w:p>
    <w:p w14:paraId="30843309" w14:textId="77777777" w:rsidR="003B0D09" w:rsidRDefault="003B0D09" w:rsidP="003B0D09">
      <w:pPr>
        <w:pStyle w:val="13"/>
      </w:pPr>
      <w:r>
        <w:rPr>
          <w:rFonts w:hint="eastAsia"/>
        </w:rPr>
        <w:t>境外企业应当选择信誉良好并具有相应资质的银行作为开户行，不得以个人名义开设账户，</w:t>
      </w:r>
      <w:proofErr w:type="gramStart"/>
      <w:r>
        <w:rPr>
          <w:rFonts w:hint="eastAsia"/>
        </w:rPr>
        <w:t>但所在</w:t>
      </w:r>
      <w:proofErr w:type="gramEnd"/>
      <w:r>
        <w:rPr>
          <w:rFonts w:hint="eastAsia"/>
        </w:rPr>
        <w:t>国（地区）法律另有规定的除外。境外企业账户不得转借个人或</w:t>
      </w:r>
      <w:r>
        <w:rPr>
          <w:rFonts w:hint="eastAsia"/>
        </w:rPr>
        <w:lastRenderedPageBreak/>
        <w:t>者其他机构使用。</w:t>
      </w:r>
    </w:p>
    <w:p w14:paraId="5AA6B4A3" w14:textId="77777777" w:rsidR="003B0D09" w:rsidRDefault="003B0D09" w:rsidP="003B0D09">
      <w:pPr>
        <w:pStyle w:val="13"/>
        <w:ind w:firstLine="482"/>
      </w:pPr>
      <w:r w:rsidRPr="00E05BDA">
        <w:rPr>
          <w:rFonts w:hint="eastAsia"/>
          <w:b/>
        </w:rPr>
        <w:t xml:space="preserve">第二十四条 </w:t>
      </w:r>
      <w:r>
        <w:t>境外企业应当按照法律、行政法规以及国有资产监督管理有关规定和企业章程，在符合所在国（地区）法律规定的条件下，及时、足额向出资人分配利润。</w:t>
      </w:r>
    </w:p>
    <w:p w14:paraId="486CBF49" w14:textId="77777777" w:rsidR="003B0D09" w:rsidRDefault="003B0D09" w:rsidP="003B0D09">
      <w:pPr>
        <w:pStyle w:val="13"/>
        <w:ind w:firstLine="482"/>
      </w:pPr>
      <w:r w:rsidRPr="00E05BDA">
        <w:rPr>
          <w:rFonts w:hint="eastAsia"/>
          <w:b/>
        </w:rPr>
        <w:t xml:space="preserve">第二十五条 </w:t>
      </w:r>
      <w:r>
        <w:t>境外企业应当建立和完善会计核算制度，会计账簿及财务报告应当真实、完整、及时地反映企业经营成果、财务状况和资金收支情况。</w:t>
      </w:r>
    </w:p>
    <w:p w14:paraId="0EF326D8" w14:textId="77777777" w:rsidR="003B0D09" w:rsidRDefault="003B0D09" w:rsidP="003B0D09">
      <w:pPr>
        <w:pStyle w:val="13"/>
        <w:ind w:firstLine="482"/>
      </w:pPr>
      <w:r w:rsidRPr="00E05BDA">
        <w:rPr>
          <w:rFonts w:hint="eastAsia"/>
          <w:b/>
        </w:rPr>
        <w:t xml:space="preserve">第二十六条 </w:t>
      </w:r>
      <w:r>
        <w:t>境外企业应当通过法定程序聘请具有资质的外部审计机构对年度财务报告进行审计。暂不具备条件的，由中央企业内部审计机构进行审计。</w:t>
      </w:r>
    </w:p>
    <w:p w14:paraId="2125DF59" w14:textId="77777777" w:rsidR="003B0D09" w:rsidRDefault="003B0D09" w:rsidP="00AF7342">
      <w:pPr>
        <w:pStyle w:val="a9"/>
        <w:spacing w:before="62" w:after="62"/>
      </w:pPr>
      <w:r>
        <w:rPr>
          <w:rFonts w:hint="eastAsia"/>
        </w:rPr>
        <w:t>第四章</w:t>
      </w:r>
      <w:r>
        <w:t xml:space="preserve"> 境外企业重大事项管理</w:t>
      </w:r>
    </w:p>
    <w:p w14:paraId="44F6199F" w14:textId="77777777" w:rsidR="003B0D09" w:rsidRDefault="003B0D09" w:rsidP="003B0D09">
      <w:pPr>
        <w:pStyle w:val="13"/>
        <w:ind w:firstLine="482"/>
      </w:pPr>
      <w:r w:rsidRPr="00E05BDA">
        <w:rPr>
          <w:rFonts w:hint="eastAsia"/>
          <w:b/>
        </w:rPr>
        <w:t xml:space="preserve">第二十七条 </w:t>
      </w:r>
      <w:r>
        <w:t>中央企业应当依法建立健全境外企业重大事项管理制度和报告制度，加强对境外企业重大事项的管理。</w:t>
      </w:r>
    </w:p>
    <w:p w14:paraId="3041BCC2" w14:textId="77777777" w:rsidR="003B0D09" w:rsidRDefault="003B0D09" w:rsidP="003B0D09">
      <w:pPr>
        <w:pStyle w:val="13"/>
        <w:ind w:firstLine="482"/>
      </w:pPr>
      <w:r w:rsidRPr="00E05BDA">
        <w:rPr>
          <w:rFonts w:hint="eastAsia"/>
          <w:b/>
        </w:rPr>
        <w:t xml:space="preserve">第二十八条 </w:t>
      </w:r>
      <w:r>
        <w:t>中央企业应当明确境外出资企业股东代表的选任条件、职责权限、报告程序和考核奖惩办法，委派股东代表参加境外企业的股东（大）会会议。股东代表应当按照委派企业的指示提出议案、发表意见、行使表决权，并将其履行职责的情况和结果及时报告委派企业。</w:t>
      </w:r>
    </w:p>
    <w:p w14:paraId="64F329B4" w14:textId="77777777" w:rsidR="003B0D09" w:rsidRDefault="003B0D09" w:rsidP="003B0D09">
      <w:pPr>
        <w:pStyle w:val="13"/>
        <w:ind w:firstLine="482"/>
      </w:pPr>
      <w:r w:rsidRPr="00E05BDA">
        <w:rPr>
          <w:rFonts w:hint="eastAsia"/>
          <w:b/>
        </w:rPr>
        <w:t xml:space="preserve">第二十九条 </w:t>
      </w:r>
      <w:r>
        <w:t>境外企业有下列重大事项之一的，应当按照法定程序报中央企业核准：</w:t>
      </w:r>
    </w:p>
    <w:p w14:paraId="5F93C651" w14:textId="77777777" w:rsidR="003B0D09" w:rsidRDefault="003B0D09" w:rsidP="003B0D09">
      <w:pPr>
        <w:pStyle w:val="13"/>
      </w:pPr>
      <w:r>
        <w:rPr>
          <w:rFonts w:hint="eastAsia"/>
        </w:rPr>
        <w:t>（一）增加或者减少注册资本，合并、分立、解散、清算、申请破产或者变更企业组织形式；</w:t>
      </w:r>
    </w:p>
    <w:p w14:paraId="432BE8CB" w14:textId="77777777" w:rsidR="003B0D09" w:rsidRDefault="003B0D09" w:rsidP="003B0D09">
      <w:pPr>
        <w:pStyle w:val="13"/>
      </w:pPr>
      <w:r>
        <w:rPr>
          <w:rFonts w:hint="eastAsia"/>
        </w:rPr>
        <w:t>（二）年度财务预算方案、决算方案、利润分配方案和弥补亏损方案；</w:t>
      </w:r>
    </w:p>
    <w:p w14:paraId="068E85A6" w14:textId="77777777" w:rsidR="003B0D09" w:rsidRDefault="003B0D09" w:rsidP="003B0D09">
      <w:pPr>
        <w:pStyle w:val="13"/>
      </w:pPr>
      <w:r>
        <w:rPr>
          <w:rFonts w:hint="eastAsia"/>
        </w:rPr>
        <w:t>（三）发行公司债券或者股票等融资活动；</w:t>
      </w:r>
    </w:p>
    <w:p w14:paraId="24A9D2E0" w14:textId="77777777" w:rsidR="003B0D09" w:rsidRDefault="003B0D09" w:rsidP="003B0D09">
      <w:pPr>
        <w:pStyle w:val="13"/>
      </w:pPr>
      <w:r>
        <w:rPr>
          <w:rFonts w:hint="eastAsia"/>
        </w:rPr>
        <w:t>（四）收购、股权投资、理财业务以及开展金融衍生业务；</w:t>
      </w:r>
    </w:p>
    <w:p w14:paraId="220B9D3D" w14:textId="77777777" w:rsidR="003B0D09" w:rsidRDefault="003B0D09" w:rsidP="003B0D09">
      <w:pPr>
        <w:pStyle w:val="13"/>
      </w:pPr>
      <w:r>
        <w:rPr>
          <w:rFonts w:hint="eastAsia"/>
        </w:rPr>
        <w:t>（五）对外担保、对外捐赠事项；</w:t>
      </w:r>
    </w:p>
    <w:p w14:paraId="329BFA0A" w14:textId="77777777" w:rsidR="003B0D09" w:rsidRDefault="003B0D09" w:rsidP="003B0D09">
      <w:pPr>
        <w:pStyle w:val="13"/>
      </w:pPr>
      <w:r>
        <w:rPr>
          <w:rFonts w:hint="eastAsia"/>
        </w:rPr>
        <w:t>（六）重要资产处置、产权转让；</w:t>
      </w:r>
    </w:p>
    <w:p w14:paraId="24D4130C" w14:textId="77777777" w:rsidR="003B0D09" w:rsidRDefault="003B0D09" w:rsidP="003B0D09">
      <w:pPr>
        <w:pStyle w:val="13"/>
      </w:pPr>
      <w:r>
        <w:rPr>
          <w:rFonts w:hint="eastAsia"/>
        </w:rPr>
        <w:t>（七）开立、变更、撤并银行账户；</w:t>
      </w:r>
    </w:p>
    <w:p w14:paraId="76EB7CC9" w14:textId="77777777" w:rsidR="003B0D09" w:rsidRDefault="003B0D09" w:rsidP="003B0D09">
      <w:pPr>
        <w:pStyle w:val="13"/>
      </w:pPr>
      <w:r>
        <w:rPr>
          <w:rFonts w:hint="eastAsia"/>
        </w:rPr>
        <w:t>（八）企业章程规定的其他事项。</w:t>
      </w:r>
    </w:p>
    <w:p w14:paraId="431F2B86" w14:textId="77777777" w:rsidR="003B0D09" w:rsidRDefault="003B0D09" w:rsidP="003B0D09">
      <w:pPr>
        <w:pStyle w:val="13"/>
        <w:ind w:firstLine="482"/>
      </w:pPr>
      <w:r w:rsidRPr="00E05BDA">
        <w:rPr>
          <w:rFonts w:hint="eastAsia"/>
          <w:b/>
        </w:rPr>
        <w:t xml:space="preserve">第三十条 </w:t>
      </w:r>
      <w:r>
        <w:t>境外企业转让国有资产，导致中央企业重要子企业由国有独资转为绝对控股、绝对控股转为相对控股或者失去控股地位的，应当按照有关规定报国资委审核同意。</w:t>
      </w:r>
    </w:p>
    <w:p w14:paraId="1DD57AF0" w14:textId="77777777" w:rsidR="003B0D09" w:rsidRDefault="003B0D09" w:rsidP="003B0D09">
      <w:pPr>
        <w:pStyle w:val="13"/>
        <w:ind w:firstLine="482"/>
      </w:pPr>
      <w:r w:rsidRPr="003B2FB1">
        <w:rPr>
          <w:rFonts w:hint="eastAsia"/>
          <w:b/>
        </w:rPr>
        <w:t xml:space="preserve">第三十一条 </w:t>
      </w:r>
      <w:r>
        <w:t>境外企业发生以下有重大影响的突发事件，应当立即报告中央企业；影响特别重大的，应当通过中央企业在24小时内向国资委报告。</w:t>
      </w:r>
    </w:p>
    <w:p w14:paraId="21DA1910" w14:textId="77777777" w:rsidR="003B0D09" w:rsidRDefault="003B0D09" w:rsidP="003B0D09">
      <w:pPr>
        <w:pStyle w:val="13"/>
      </w:pPr>
      <w:r>
        <w:rPr>
          <w:rFonts w:hint="eastAsia"/>
        </w:rPr>
        <w:t>（一）银行账户或者境外款项被冻结；</w:t>
      </w:r>
    </w:p>
    <w:p w14:paraId="4700466A" w14:textId="77777777" w:rsidR="003B0D09" w:rsidRDefault="003B0D09" w:rsidP="003B0D09">
      <w:pPr>
        <w:pStyle w:val="13"/>
      </w:pPr>
      <w:r>
        <w:rPr>
          <w:rFonts w:hint="eastAsia"/>
        </w:rPr>
        <w:t>（二）开户银行或者存款所在的金融机构破产；</w:t>
      </w:r>
    </w:p>
    <w:p w14:paraId="709A34E9" w14:textId="77777777" w:rsidR="003B0D09" w:rsidRDefault="003B0D09" w:rsidP="003B0D09">
      <w:pPr>
        <w:pStyle w:val="13"/>
      </w:pPr>
      <w:r>
        <w:rPr>
          <w:rFonts w:hint="eastAsia"/>
        </w:rPr>
        <w:t>（三）重大资产损失；</w:t>
      </w:r>
    </w:p>
    <w:p w14:paraId="66ECB7C4" w14:textId="77777777" w:rsidR="003B0D09" w:rsidRDefault="003B0D09" w:rsidP="003B0D09">
      <w:pPr>
        <w:pStyle w:val="13"/>
      </w:pPr>
      <w:r>
        <w:rPr>
          <w:rFonts w:hint="eastAsia"/>
        </w:rPr>
        <w:lastRenderedPageBreak/>
        <w:t>（四）发生战争、重大自然灾害，重大群体性事件，以及危及人身或者财产安全的重大突发事件；</w:t>
      </w:r>
    </w:p>
    <w:p w14:paraId="2252D46A" w14:textId="77777777" w:rsidR="003B0D09" w:rsidRDefault="003B0D09" w:rsidP="003B0D09">
      <w:pPr>
        <w:pStyle w:val="13"/>
      </w:pPr>
      <w:r>
        <w:rPr>
          <w:rFonts w:hint="eastAsia"/>
        </w:rPr>
        <w:t>（五）受到所在国（地区）监管部门处罚产生重大不良影响；</w:t>
      </w:r>
    </w:p>
    <w:p w14:paraId="5EABA3CC" w14:textId="77777777" w:rsidR="003B0D09" w:rsidRDefault="003B0D09" w:rsidP="003B0D09">
      <w:pPr>
        <w:pStyle w:val="13"/>
      </w:pPr>
      <w:r>
        <w:rPr>
          <w:rFonts w:hint="eastAsia"/>
        </w:rPr>
        <w:t>（六）其他有重大影响的事件。</w:t>
      </w:r>
    </w:p>
    <w:p w14:paraId="79B7B946" w14:textId="77777777" w:rsidR="003B0D09" w:rsidRDefault="003B0D09" w:rsidP="00AF7342">
      <w:pPr>
        <w:pStyle w:val="a9"/>
        <w:spacing w:before="62" w:after="62"/>
      </w:pPr>
      <w:r>
        <w:rPr>
          <w:rFonts w:hint="eastAsia"/>
        </w:rPr>
        <w:t>第五章</w:t>
      </w:r>
      <w:r>
        <w:t xml:space="preserve"> 境外国有资产监督</w:t>
      </w:r>
    </w:p>
    <w:p w14:paraId="184BAF6A" w14:textId="77777777" w:rsidR="003B0D09" w:rsidRDefault="003B0D09" w:rsidP="003B0D09">
      <w:pPr>
        <w:pStyle w:val="13"/>
        <w:ind w:firstLine="482"/>
      </w:pPr>
      <w:r w:rsidRPr="003B2FB1">
        <w:rPr>
          <w:rFonts w:hint="eastAsia"/>
          <w:b/>
        </w:rPr>
        <w:t xml:space="preserve">第三十二条 </w:t>
      </w:r>
      <w:r>
        <w:t>国资委应当将境外企业纳入中央企业业绩考核和绩效评价范围，定期组织开展境外企业抽查审计，综合评判中央企业经营成果。</w:t>
      </w:r>
    </w:p>
    <w:p w14:paraId="2A952816" w14:textId="77777777" w:rsidR="003B0D09" w:rsidRDefault="003B0D09" w:rsidP="003B0D09">
      <w:pPr>
        <w:pStyle w:val="13"/>
        <w:ind w:firstLine="482"/>
      </w:pPr>
      <w:r w:rsidRPr="003B2FB1">
        <w:rPr>
          <w:rFonts w:hint="eastAsia"/>
          <w:b/>
        </w:rPr>
        <w:t xml:space="preserve">第三十三条 </w:t>
      </w:r>
      <w:r>
        <w:t>中央企业应当定期对境外企业经营管理、内部控制、会计信息以及国有资产运营等情况进行监督检查，建立境外企业生产经营和财务状况信息报告制度，按照规定向国资委报告有关境外企业财产状况、生产经营状况和境外国有资产总量、结构、变动、收益等情况。</w:t>
      </w:r>
    </w:p>
    <w:p w14:paraId="372F9EC6" w14:textId="77777777" w:rsidR="003B0D09" w:rsidRDefault="003B0D09" w:rsidP="003B0D09">
      <w:pPr>
        <w:pStyle w:val="13"/>
        <w:ind w:firstLine="482"/>
      </w:pPr>
      <w:r w:rsidRPr="003B2FB1">
        <w:rPr>
          <w:rFonts w:hint="eastAsia"/>
          <w:b/>
        </w:rPr>
        <w:t xml:space="preserve">第三十四条 </w:t>
      </w:r>
      <w:r>
        <w:t>中央企业应当加强对境外企业中方负责人的考核评价，开展任期及离任经济责任审计，并出具审计报告。重要境外企业中方负责人的经济责任审计报告应当报国资委备案。</w:t>
      </w:r>
    </w:p>
    <w:p w14:paraId="38EAD00C" w14:textId="77777777" w:rsidR="003B0D09" w:rsidRDefault="003B0D09" w:rsidP="003B0D09">
      <w:pPr>
        <w:pStyle w:val="13"/>
        <w:ind w:firstLine="482"/>
      </w:pPr>
      <w:r w:rsidRPr="003B2FB1">
        <w:rPr>
          <w:rFonts w:hint="eastAsia"/>
          <w:b/>
        </w:rPr>
        <w:t xml:space="preserve">第三十五条 </w:t>
      </w:r>
      <w:r>
        <w:t>国家出资企业监事会依照法律、行政法规以及国有资产监督管理有关规定，对中央企业境外国有资产进行监督检查，根据需要组织开展专项检查。</w:t>
      </w:r>
    </w:p>
    <w:p w14:paraId="233C2617" w14:textId="77777777" w:rsidR="003B0D09" w:rsidRDefault="003B0D09" w:rsidP="00AF7342">
      <w:pPr>
        <w:pStyle w:val="a9"/>
        <w:spacing w:before="62" w:after="62"/>
      </w:pPr>
      <w:r>
        <w:rPr>
          <w:rFonts w:hint="eastAsia"/>
        </w:rPr>
        <w:t>第六章</w:t>
      </w:r>
      <w:r>
        <w:t xml:space="preserve"> 法律责任</w:t>
      </w:r>
    </w:p>
    <w:p w14:paraId="558E1001" w14:textId="77777777" w:rsidR="003B0D09" w:rsidRDefault="003B0D09" w:rsidP="003B0D09">
      <w:pPr>
        <w:pStyle w:val="13"/>
        <w:ind w:firstLine="482"/>
      </w:pPr>
      <w:r w:rsidRPr="003B2FB1">
        <w:rPr>
          <w:rFonts w:hint="eastAsia"/>
          <w:b/>
        </w:rPr>
        <w:t xml:space="preserve">第三十六条 </w:t>
      </w:r>
      <w:r>
        <w:t>境外企业有下列情形之一的，中央企业应当按照法律、行政法规以及国有资产监督管理有关规定，追究有关责任人的责任。</w:t>
      </w:r>
    </w:p>
    <w:p w14:paraId="4608D36D" w14:textId="77777777" w:rsidR="003B0D09" w:rsidRDefault="003B0D09" w:rsidP="003B0D09">
      <w:pPr>
        <w:pStyle w:val="13"/>
      </w:pPr>
      <w:r>
        <w:rPr>
          <w:rFonts w:hint="eastAsia"/>
        </w:rPr>
        <w:t>（一）违规为其所属中央企业系统之外的企业或者个人进行融资或者提供担保，出借银行账户；</w:t>
      </w:r>
    </w:p>
    <w:p w14:paraId="5BA3C700" w14:textId="77777777" w:rsidR="003B0D09" w:rsidRDefault="003B0D09" w:rsidP="003B0D09">
      <w:pPr>
        <w:pStyle w:val="13"/>
      </w:pPr>
      <w:r>
        <w:rPr>
          <w:rFonts w:hint="eastAsia"/>
        </w:rPr>
        <w:t>（二）越权或者未按规定程序进行投资、调度和使用资金、处置资产；</w:t>
      </w:r>
    </w:p>
    <w:p w14:paraId="35163300" w14:textId="77777777" w:rsidR="003B0D09" w:rsidRDefault="003B0D09" w:rsidP="003B0D09">
      <w:pPr>
        <w:pStyle w:val="13"/>
      </w:pPr>
      <w:r>
        <w:rPr>
          <w:rFonts w:hint="eastAsia"/>
        </w:rPr>
        <w:t>（三）内部控制和风险防范存在严重缺陷；</w:t>
      </w:r>
    </w:p>
    <w:p w14:paraId="2FAF6556" w14:textId="77777777" w:rsidR="003B0D09" w:rsidRDefault="003B0D09" w:rsidP="003B0D09">
      <w:pPr>
        <w:pStyle w:val="13"/>
      </w:pPr>
      <w:r>
        <w:rPr>
          <w:rFonts w:hint="eastAsia"/>
        </w:rPr>
        <w:t>（四）会计信息不真实，存有账外</w:t>
      </w:r>
      <w:proofErr w:type="gramStart"/>
      <w:r>
        <w:rPr>
          <w:rFonts w:hint="eastAsia"/>
        </w:rPr>
        <w:t>业务和账外</w:t>
      </w:r>
      <w:proofErr w:type="gramEnd"/>
      <w:r>
        <w:rPr>
          <w:rFonts w:hint="eastAsia"/>
        </w:rPr>
        <w:t>资产；</w:t>
      </w:r>
    </w:p>
    <w:p w14:paraId="76CF6204" w14:textId="77777777" w:rsidR="003B0D09" w:rsidRDefault="003B0D09" w:rsidP="003B0D09">
      <w:pPr>
        <w:pStyle w:val="13"/>
      </w:pPr>
      <w:r>
        <w:rPr>
          <w:rFonts w:hint="eastAsia"/>
        </w:rPr>
        <w:t>（五）通过不正当交易转移利润；</w:t>
      </w:r>
    </w:p>
    <w:p w14:paraId="0CF02220" w14:textId="77777777" w:rsidR="003B0D09" w:rsidRDefault="003B0D09" w:rsidP="003B0D09">
      <w:pPr>
        <w:pStyle w:val="13"/>
      </w:pPr>
      <w:r>
        <w:rPr>
          <w:rFonts w:hint="eastAsia"/>
        </w:rPr>
        <w:t>（六）挪用或者截留应缴收益；</w:t>
      </w:r>
    </w:p>
    <w:p w14:paraId="7359E40A" w14:textId="77777777" w:rsidR="003B0D09" w:rsidRDefault="003B0D09" w:rsidP="003B0D09">
      <w:pPr>
        <w:pStyle w:val="13"/>
      </w:pPr>
      <w:r>
        <w:rPr>
          <w:rFonts w:hint="eastAsia"/>
        </w:rPr>
        <w:t>（七）未按本规定及时报告重大事项。</w:t>
      </w:r>
    </w:p>
    <w:p w14:paraId="5A8E393C" w14:textId="77777777" w:rsidR="003B0D09" w:rsidRDefault="003B0D09" w:rsidP="003B0D09">
      <w:pPr>
        <w:pStyle w:val="13"/>
        <w:ind w:firstLine="482"/>
      </w:pPr>
      <w:r w:rsidRPr="003B2FB1">
        <w:rPr>
          <w:rFonts w:hint="eastAsia"/>
          <w:b/>
        </w:rPr>
        <w:t xml:space="preserve">第三十七条 </w:t>
      </w:r>
      <w:r>
        <w:t>中央企业有下列情形之一，国资委应当按照法律、行政法规以及国有资产监督管理有关规定，追究相关责任人的责任。</w:t>
      </w:r>
    </w:p>
    <w:p w14:paraId="1D369854" w14:textId="77777777" w:rsidR="003B0D09" w:rsidRDefault="003B0D09" w:rsidP="003B0D09">
      <w:pPr>
        <w:pStyle w:val="13"/>
      </w:pPr>
      <w:r>
        <w:rPr>
          <w:rFonts w:hint="eastAsia"/>
        </w:rPr>
        <w:t>（一）未建立境外企业国有资产监管制度；</w:t>
      </w:r>
    </w:p>
    <w:p w14:paraId="527E86B6" w14:textId="77777777" w:rsidR="003B0D09" w:rsidRDefault="003B0D09" w:rsidP="003B0D09">
      <w:pPr>
        <w:pStyle w:val="13"/>
      </w:pPr>
      <w:r>
        <w:rPr>
          <w:rFonts w:hint="eastAsia"/>
        </w:rPr>
        <w:t>（二）未按本办法规定履行有关核准备案程序；</w:t>
      </w:r>
    </w:p>
    <w:p w14:paraId="5B02D6CC" w14:textId="77777777" w:rsidR="003B0D09" w:rsidRDefault="003B0D09" w:rsidP="003B0D09">
      <w:pPr>
        <w:pStyle w:val="13"/>
      </w:pPr>
      <w:r>
        <w:rPr>
          <w:rFonts w:hint="eastAsia"/>
        </w:rPr>
        <w:t>（三）未按本办法规定及时报告重大事项；</w:t>
      </w:r>
    </w:p>
    <w:p w14:paraId="16F7326B" w14:textId="77777777" w:rsidR="003B0D09" w:rsidRDefault="003B0D09" w:rsidP="003B0D09">
      <w:pPr>
        <w:pStyle w:val="13"/>
      </w:pPr>
      <w:r>
        <w:rPr>
          <w:rFonts w:hint="eastAsia"/>
        </w:rPr>
        <w:t>（四）对境外企业管理失控，造成国有资产损失。</w:t>
      </w:r>
    </w:p>
    <w:p w14:paraId="2455F256" w14:textId="77777777" w:rsidR="003B0D09" w:rsidRDefault="003B0D09" w:rsidP="00AF7342">
      <w:pPr>
        <w:pStyle w:val="a9"/>
        <w:spacing w:before="62" w:after="62"/>
      </w:pPr>
      <w:r>
        <w:rPr>
          <w:rFonts w:hint="eastAsia"/>
        </w:rPr>
        <w:lastRenderedPageBreak/>
        <w:t>第七章</w:t>
      </w:r>
      <w:r>
        <w:t xml:space="preserve"> 附则</w:t>
      </w:r>
    </w:p>
    <w:p w14:paraId="103EA151" w14:textId="77777777" w:rsidR="003B0D09" w:rsidRDefault="003B0D09" w:rsidP="003B0D09">
      <w:pPr>
        <w:pStyle w:val="13"/>
        <w:ind w:firstLine="482"/>
      </w:pPr>
      <w:r w:rsidRPr="003B2FB1">
        <w:rPr>
          <w:rFonts w:hint="eastAsia"/>
          <w:b/>
        </w:rPr>
        <w:t xml:space="preserve">第三十八条 </w:t>
      </w:r>
      <w:r>
        <w:t>中央企业及其各级子企业在境外设立的各类分支机构的国有资产的监督和管理参照本办法执行。</w:t>
      </w:r>
    </w:p>
    <w:p w14:paraId="4DBF4C42" w14:textId="77777777" w:rsidR="003B0D09" w:rsidRDefault="003B0D09" w:rsidP="003B0D09">
      <w:pPr>
        <w:pStyle w:val="13"/>
        <w:ind w:firstLine="482"/>
      </w:pPr>
      <w:r w:rsidRPr="003B2FB1">
        <w:rPr>
          <w:rFonts w:hint="eastAsia"/>
          <w:b/>
        </w:rPr>
        <w:t xml:space="preserve">第三十九条 </w:t>
      </w:r>
      <w:r>
        <w:t>地方国有资产监督管理机构可以参照本办法制定所出资企业境外国有资产管理制度。</w:t>
      </w:r>
    </w:p>
    <w:p w14:paraId="3EDD63C8" w14:textId="77777777" w:rsidR="003B0D09" w:rsidRDefault="003B0D09" w:rsidP="003B0D09">
      <w:pPr>
        <w:pStyle w:val="13"/>
        <w:ind w:firstLine="482"/>
      </w:pPr>
      <w:r w:rsidRPr="003B2FB1">
        <w:rPr>
          <w:rFonts w:hint="eastAsia"/>
          <w:b/>
        </w:rPr>
        <w:t xml:space="preserve">第四十条 </w:t>
      </w:r>
      <w:r>
        <w:t>本办法自2011年7月1日起施行。</w:t>
      </w:r>
    </w:p>
    <w:p w14:paraId="4E49C766" w14:textId="77777777" w:rsidR="003B0D09" w:rsidRPr="008D37F9" w:rsidRDefault="003B0D09" w:rsidP="003B0D09">
      <w:pPr>
        <w:pStyle w:val="31"/>
        <w:spacing w:before="156" w:after="62"/>
      </w:pPr>
      <w:bookmarkStart w:id="218" w:name="_Toc81833451"/>
      <w:r w:rsidRPr="006E2852">
        <w:rPr>
          <w:rFonts w:hint="eastAsia"/>
        </w:rPr>
        <w:t>《中央企业境外国有产权管理暂行办法》（国资委令第</w:t>
      </w:r>
      <w:r w:rsidRPr="006E2852">
        <w:t>27号）</w:t>
      </w:r>
      <w:bookmarkEnd w:id="218"/>
    </w:p>
    <w:p w14:paraId="7F73626D" w14:textId="77777777" w:rsidR="003B0D09" w:rsidRDefault="003B0D09" w:rsidP="003B0D09">
      <w:pPr>
        <w:pStyle w:val="13"/>
      </w:pPr>
      <w:r>
        <w:rPr>
          <w:rFonts w:hint="eastAsia"/>
        </w:rPr>
        <w:t>《中央企业境外国有产权管理暂行办法》已经国务院国有资产监督管理委员会第</w:t>
      </w:r>
      <w:r>
        <w:t>102次主任办公会议审议通过，现予公布，自2011年7月1日起施行。</w:t>
      </w:r>
    </w:p>
    <w:p w14:paraId="0893EFA7" w14:textId="77777777" w:rsidR="003B0D09" w:rsidRDefault="003B0D09" w:rsidP="003B0D09">
      <w:pPr>
        <w:pStyle w:val="13"/>
        <w:jc w:val="right"/>
      </w:pPr>
      <w:r>
        <w:t>国务院国有资产监督管理委员会主任 王勇</w:t>
      </w:r>
    </w:p>
    <w:p w14:paraId="2E5D9D7B" w14:textId="77777777" w:rsidR="003B0D09" w:rsidRDefault="003B0D09" w:rsidP="003B0D09">
      <w:pPr>
        <w:pStyle w:val="13"/>
        <w:jc w:val="right"/>
      </w:pPr>
      <w:r>
        <w:t>二○一一年六月十四日</w:t>
      </w:r>
    </w:p>
    <w:p w14:paraId="586F39EB" w14:textId="77777777" w:rsidR="003B0D09" w:rsidRDefault="003B0D09" w:rsidP="00AF7342">
      <w:pPr>
        <w:pStyle w:val="a9"/>
        <w:spacing w:before="62" w:after="62"/>
      </w:pPr>
      <w:r>
        <w:rPr>
          <w:rFonts w:hint="eastAsia"/>
        </w:rPr>
        <w:t>中央企业境外国有产权管理暂行办法</w:t>
      </w:r>
    </w:p>
    <w:p w14:paraId="3E0DDC17" w14:textId="77777777" w:rsidR="003B0D09" w:rsidRDefault="003B0D09" w:rsidP="003B0D09">
      <w:pPr>
        <w:pStyle w:val="13"/>
        <w:ind w:firstLine="482"/>
      </w:pPr>
      <w:r w:rsidRPr="004E3EBB">
        <w:rPr>
          <w:rFonts w:hint="eastAsia"/>
          <w:b/>
        </w:rPr>
        <w:t xml:space="preserve">第一条 </w:t>
      </w:r>
      <w:r>
        <w:t>为加强和规范中央企业境外国有产权管理，根据《中华人民共和国企业国有资产法》、《企业国有资产监督管理暂行条例》（国务院令第378号）和国家有关法律、行政法规的规定，制定本办法。</w:t>
      </w:r>
    </w:p>
    <w:p w14:paraId="34C13187" w14:textId="77777777" w:rsidR="003B0D09" w:rsidRDefault="003B0D09" w:rsidP="003B0D09">
      <w:pPr>
        <w:pStyle w:val="13"/>
        <w:ind w:firstLine="482"/>
      </w:pPr>
      <w:r w:rsidRPr="004E3EBB">
        <w:rPr>
          <w:rFonts w:hint="eastAsia"/>
          <w:b/>
        </w:rPr>
        <w:t xml:space="preserve">第二条 </w:t>
      </w:r>
      <w:r>
        <w:t>国务院国有资产监督管理委员会（以下简称国资委）履行出资人职责的企业（以下简称中央企业）及其各级独资、控股子企业（以下简称各级子企业）持有的境外国有产权管理适用本办法。国家法律、行政法规另有规定的，从其规定。</w:t>
      </w:r>
    </w:p>
    <w:p w14:paraId="7295D358" w14:textId="77777777" w:rsidR="003B0D09" w:rsidRDefault="003B0D09" w:rsidP="003B0D09">
      <w:pPr>
        <w:pStyle w:val="13"/>
      </w:pPr>
      <w:r>
        <w:rPr>
          <w:rFonts w:hint="eastAsia"/>
        </w:rPr>
        <w:t>本办法所称境外国有产权是指中央企业及其各级子企业以各种形式对境外企业出资所形成的权益。</w:t>
      </w:r>
    </w:p>
    <w:p w14:paraId="78D9C5DC" w14:textId="77777777" w:rsidR="003B0D09" w:rsidRDefault="003B0D09" w:rsidP="003B0D09">
      <w:pPr>
        <w:pStyle w:val="13"/>
      </w:pPr>
      <w:r>
        <w:rPr>
          <w:rFonts w:hint="eastAsia"/>
        </w:rPr>
        <w:t>前款所称境外企业，是指中央企业及其各级子企业在我国境外以及香港特别行政区、澳门特别行政区和台湾地区依据当地法律出资设立的企业。</w:t>
      </w:r>
    </w:p>
    <w:p w14:paraId="55888288" w14:textId="77777777" w:rsidR="003B0D09" w:rsidRDefault="003B0D09" w:rsidP="003B0D09">
      <w:pPr>
        <w:pStyle w:val="13"/>
        <w:ind w:firstLine="482"/>
      </w:pPr>
      <w:r w:rsidRPr="004E3EBB">
        <w:rPr>
          <w:rFonts w:hint="eastAsia"/>
          <w:b/>
        </w:rPr>
        <w:t xml:space="preserve">第三条 </w:t>
      </w:r>
      <w:r>
        <w:t>中央企业是其境外国有产权管理的责任主体，应当依照我国法律、行政法规建立健全境外国有产权管理制度，同时遵守境外注册地和上市地的相关法律规定，规范境外国有产权管理行为。</w:t>
      </w:r>
    </w:p>
    <w:p w14:paraId="71046DC0" w14:textId="77777777" w:rsidR="003B0D09" w:rsidRDefault="003B0D09" w:rsidP="003B0D09">
      <w:pPr>
        <w:pStyle w:val="13"/>
        <w:ind w:firstLine="482"/>
      </w:pPr>
      <w:r w:rsidRPr="004E3EBB">
        <w:rPr>
          <w:rFonts w:hint="eastAsia"/>
          <w:b/>
        </w:rPr>
        <w:t xml:space="preserve">第四条 </w:t>
      </w:r>
      <w:r>
        <w:t>中央企业应当完善境外企业治理结构，强化境外企业章程管理，优化境外国有产权配置，保障境外国有产权安全。</w:t>
      </w:r>
    </w:p>
    <w:p w14:paraId="51F3507E" w14:textId="77777777" w:rsidR="003B0D09" w:rsidRDefault="003B0D09" w:rsidP="003B0D09">
      <w:pPr>
        <w:pStyle w:val="13"/>
        <w:ind w:firstLine="482"/>
      </w:pPr>
      <w:r w:rsidRPr="004E3EBB">
        <w:rPr>
          <w:rFonts w:hint="eastAsia"/>
          <w:b/>
        </w:rPr>
        <w:t xml:space="preserve">第五条 </w:t>
      </w:r>
      <w:r>
        <w:t>中央企业及其各级子企业独资或者控股的境外企业所持有的境内国有产权的管理，比照国资委境内国有产权管理的相关规定执行。</w:t>
      </w:r>
    </w:p>
    <w:p w14:paraId="7E63C16B" w14:textId="77777777" w:rsidR="003B0D09" w:rsidRDefault="003B0D09" w:rsidP="003B0D09">
      <w:pPr>
        <w:pStyle w:val="13"/>
        <w:ind w:firstLine="482"/>
      </w:pPr>
      <w:r w:rsidRPr="004E3EBB">
        <w:rPr>
          <w:rFonts w:hint="eastAsia"/>
          <w:b/>
        </w:rPr>
        <w:t xml:space="preserve">第六条 </w:t>
      </w:r>
      <w:r>
        <w:t>境外国有产权应当由中央企业或者其各级子企业持有。境外企业注册地相关法律规定须以个人名义持有的，应当统一由中央企业依据有关规定决定或者批准，依法办理委托出资等保全国有产权的法律手续，并以书面形式报告国资委。</w:t>
      </w:r>
    </w:p>
    <w:p w14:paraId="5400294B" w14:textId="77777777" w:rsidR="003B0D09" w:rsidRDefault="003B0D09" w:rsidP="003B0D09">
      <w:pPr>
        <w:pStyle w:val="13"/>
        <w:ind w:firstLine="482"/>
      </w:pPr>
      <w:r w:rsidRPr="004E3EBB">
        <w:rPr>
          <w:rFonts w:hint="eastAsia"/>
          <w:b/>
        </w:rPr>
        <w:t xml:space="preserve">第七条 </w:t>
      </w:r>
      <w:r>
        <w:t>中央企业应当加强对离岸公司等特殊目的公司的管理。因重组、上市、</w:t>
      </w:r>
      <w:r>
        <w:lastRenderedPageBreak/>
        <w:t>转让或者经营管理需要设立特殊目的公司的，应当由中央企业决定或者批准并以书面形式报告国资委。已无存续必要的特殊目的公司，应当及时依法予以注销。</w:t>
      </w:r>
    </w:p>
    <w:p w14:paraId="253D132A" w14:textId="77777777" w:rsidR="003B0D09" w:rsidRDefault="003B0D09" w:rsidP="003B0D09">
      <w:pPr>
        <w:pStyle w:val="13"/>
        <w:ind w:firstLine="482"/>
      </w:pPr>
      <w:r w:rsidRPr="004E3EBB">
        <w:rPr>
          <w:rFonts w:hint="eastAsia"/>
          <w:b/>
        </w:rPr>
        <w:t xml:space="preserve">第八条 </w:t>
      </w:r>
      <w:r>
        <w:t>中央企业及其各级子企业发生以下事项时，应当由中央企业统一向国资委申办产权登记：</w:t>
      </w:r>
    </w:p>
    <w:p w14:paraId="331501D5" w14:textId="77777777" w:rsidR="003B0D09" w:rsidRDefault="003B0D09" w:rsidP="003B0D09">
      <w:pPr>
        <w:pStyle w:val="13"/>
      </w:pPr>
      <w:r>
        <w:rPr>
          <w:rFonts w:hint="eastAsia"/>
        </w:rPr>
        <w:t>（一）以投资、分立、合并等方式新设境外企业，或者以收购、投资入股等方式首次取得境外企业产权的。</w:t>
      </w:r>
    </w:p>
    <w:p w14:paraId="47F41E79" w14:textId="77777777" w:rsidR="003B0D09" w:rsidRDefault="003B0D09" w:rsidP="003B0D09">
      <w:pPr>
        <w:pStyle w:val="13"/>
      </w:pPr>
      <w:r>
        <w:rPr>
          <w:rFonts w:hint="eastAsia"/>
        </w:rPr>
        <w:t>（二）境外企业名称、注册地、注册资本、主营业务范围等企业基本信息发生改变，或者因企业出资人、出资额、出资比例等变化导致境外企业产权状况发生改变的。</w:t>
      </w:r>
    </w:p>
    <w:p w14:paraId="7B41D67B" w14:textId="77777777" w:rsidR="003B0D09" w:rsidRDefault="003B0D09" w:rsidP="003B0D09">
      <w:pPr>
        <w:pStyle w:val="13"/>
      </w:pPr>
      <w:r>
        <w:rPr>
          <w:rFonts w:hint="eastAsia"/>
        </w:rPr>
        <w:t>（三）境外企业解散、破产，或者因产权转让、减资等原因不再保留国有产权的。</w:t>
      </w:r>
    </w:p>
    <w:p w14:paraId="27CE1450" w14:textId="77777777" w:rsidR="003B0D09" w:rsidRDefault="003B0D09" w:rsidP="003B0D09">
      <w:pPr>
        <w:pStyle w:val="13"/>
      </w:pPr>
      <w:r>
        <w:rPr>
          <w:rFonts w:hint="eastAsia"/>
        </w:rPr>
        <w:t>（四）其他需要办理产权登记的情形。</w:t>
      </w:r>
    </w:p>
    <w:p w14:paraId="27EDFCA2" w14:textId="77777777" w:rsidR="003B0D09" w:rsidRDefault="003B0D09" w:rsidP="003B0D09">
      <w:pPr>
        <w:pStyle w:val="13"/>
        <w:ind w:firstLine="482"/>
      </w:pPr>
      <w:r w:rsidRPr="00E05BDA">
        <w:rPr>
          <w:rFonts w:hint="eastAsia"/>
          <w:b/>
        </w:rPr>
        <w:t xml:space="preserve">第九条 </w:t>
      </w:r>
      <w:r>
        <w:t>中央企业及其各级子企业以其拥有的境内国有产权向境外企业注资或者转让，或者以其拥有的境外国有产权向境内企业注资或者转让，应当依照《企业国有资产评估管理暂行办法》（国资委令第12号）等相关规定，聘请具有相应资质的境内评估机构对标的物进行评估，并办理评估备案或者核准。</w:t>
      </w:r>
    </w:p>
    <w:p w14:paraId="700195D6" w14:textId="77777777" w:rsidR="003B0D09" w:rsidRDefault="003B0D09" w:rsidP="003B0D09">
      <w:pPr>
        <w:pStyle w:val="13"/>
        <w:ind w:firstLine="482"/>
      </w:pPr>
      <w:r w:rsidRPr="00E05BDA">
        <w:rPr>
          <w:rFonts w:hint="eastAsia"/>
          <w:b/>
        </w:rPr>
        <w:t xml:space="preserve">第十条 </w:t>
      </w:r>
      <w:r>
        <w:t>中央企业及其各级子企业独资或者控股的境外企业在境外发生转让或者受让产权、以非货币资产出资、非上市公司国有股东股权比例变动、合并分立、解散清算等经济行为时，应当聘请具有相应资质、专业经验和良好信誉的专业机构对标的物进行评估或者估值，评估项目或者估值情况应当由中央企业备案；涉及中央企业重要子企业由国有独资转为绝对控股、绝对控股转为相对控股或者失去控股地位等经济行为的，评估项目或者估值情况应当报国资委备案或者核准。</w:t>
      </w:r>
    </w:p>
    <w:p w14:paraId="07DE1B6C" w14:textId="77777777" w:rsidR="003B0D09" w:rsidRDefault="003B0D09" w:rsidP="003B0D09">
      <w:pPr>
        <w:pStyle w:val="13"/>
      </w:pPr>
      <w:r>
        <w:rPr>
          <w:rFonts w:hint="eastAsia"/>
        </w:rPr>
        <w:t>中央企业及其各级子企业独资或者控股的境外企业在进行与评估或者估值相应的经济行为时，其交易对价应当以经备案的评估或者估值结果为基准。</w:t>
      </w:r>
    </w:p>
    <w:p w14:paraId="6ECEA844" w14:textId="77777777" w:rsidR="003B0D09" w:rsidRDefault="003B0D09" w:rsidP="003B0D09">
      <w:pPr>
        <w:pStyle w:val="13"/>
        <w:ind w:firstLine="482"/>
      </w:pPr>
      <w:r w:rsidRPr="00E05BDA">
        <w:rPr>
          <w:rFonts w:hint="eastAsia"/>
          <w:b/>
        </w:rPr>
        <w:t xml:space="preserve">第十一条 </w:t>
      </w:r>
      <w:r>
        <w:t>境外国有产权转让等涉及国有产权变动的事项，由中央企业决定或者批准，并按国家有关法律和法规办理相关手续。其中，中央企业重要子企业由国有独资转为绝对控股、绝对控股转为相对控股或者失去控股地位的，应当报国资委审核同意。</w:t>
      </w:r>
    </w:p>
    <w:p w14:paraId="091A3516" w14:textId="77777777" w:rsidR="003B0D09" w:rsidRDefault="003B0D09" w:rsidP="003B0D09">
      <w:pPr>
        <w:pStyle w:val="13"/>
        <w:ind w:firstLine="482"/>
      </w:pPr>
      <w:r w:rsidRPr="00E05BDA">
        <w:rPr>
          <w:rFonts w:hint="eastAsia"/>
          <w:b/>
        </w:rPr>
        <w:t xml:space="preserve">第十二条 </w:t>
      </w:r>
      <w:r>
        <w:t>中央企业及其各级子企业转让境外国有产权，要多方比选意向受让方。具备条件的，应当公开征集意向受让方并竞价转让，或者进入中央企业国有产权转让交易试点机构挂牌交易。</w:t>
      </w:r>
    </w:p>
    <w:p w14:paraId="4D73548C" w14:textId="77777777" w:rsidR="003B0D09" w:rsidRDefault="003B0D09" w:rsidP="003B0D09">
      <w:pPr>
        <w:pStyle w:val="13"/>
        <w:ind w:firstLine="482"/>
      </w:pPr>
      <w:r w:rsidRPr="00E05BDA">
        <w:rPr>
          <w:rFonts w:hint="eastAsia"/>
          <w:b/>
        </w:rPr>
        <w:t xml:space="preserve">第十三条 </w:t>
      </w:r>
      <w:r>
        <w:t>中央企业在本企业内部实施资产重组，转让方为中央企业及其直接或者间接全资拥有的境外企业，受让方为中央企业及其直接或者间接全资拥有的境内外企业的，转让价格可以以评估或者审计确认的净资产值为底价确定。</w:t>
      </w:r>
    </w:p>
    <w:p w14:paraId="5C7F6A9B" w14:textId="77777777" w:rsidR="003B0D09" w:rsidRDefault="003B0D09" w:rsidP="003B0D09">
      <w:pPr>
        <w:pStyle w:val="13"/>
        <w:ind w:firstLine="482"/>
      </w:pPr>
      <w:r w:rsidRPr="00E05BDA">
        <w:rPr>
          <w:rFonts w:hint="eastAsia"/>
          <w:b/>
        </w:rPr>
        <w:t xml:space="preserve">第十四条 </w:t>
      </w:r>
      <w:r>
        <w:t>境外国有产权转让价款应当按照产权转让合同约定支付，原则上应当一次付清。确需采取分期付款的，受让方须提供合法的担保。</w:t>
      </w:r>
    </w:p>
    <w:p w14:paraId="1F299DCB" w14:textId="77777777" w:rsidR="003B0D09" w:rsidRDefault="003B0D09" w:rsidP="003B0D09">
      <w:pPr>
        <w:pStyle w:val="13"/>
        <w:ind w:firstLine="482"/>
      </w:pPr>
      <w:r w:rsidRPr="00E05BDA">
        <w:rPr>
          <w:rFonts w:hint="eastAsia"/>
          <w:b/>
        </w:rPr>
        <w:lastRenderedPageBreak/>
        <w:t xml:space="preserve">第十五条 </w:t>
      </w:r>
      <w:r>
        <w:t>中央企业及其各级子企业独资或者控股的境外企业在境外首次公开发行股票，或者中央企业及其各级子企业所持有的境外注册并上市公司的股份发生变动的，由中央企业按照证券监管法律、法规决定或者批准，并将有关情况以书面形式报告国资委。境外注册并上市公司属于中央企业重要子企业的，上述事项应当由中央企业按照《国有股东转让所持上市公司股份管理暂行办法》（国资委令第19号）等相关规定报国资委审核同意或者备案。</w:t>
      </w:r>
    </w:p>
    <w:p w14:paraId="1A97344A" w14:textId="77777777" w:rsidR="003B0D09" w:rsidRDefault="003B0D09" w:rsidP="003B0D09">
      <w:pPr>
        <w:pStyle w:val="13"/>
        <w:ind w:firstLine="482"/>
      </w:pPr>
      <w:r w:rsidRPr="00E05BDA">
        <w:rPr>
          <w:rFonts w:hint="eastAsia"/>
          <w:b/>
        </w:rPr>
        <w:t xml:space="preserve">第十六条 </w:t>
      </w:r>
      <w:r>
        <w:t>中央企业应当按照本办法落实境外国有产权管理工作责任，完善档案管理，并及时将本企业境外国有产权管理制度、负责机构等相关情况以书面形式报告国资委。</w:t>
      </w:r>
    </w:p>
    <w:p w14:paraId="35BDAF8F" w14:textId="77777777" w:rsidR="003B0D09" w:rsidRDefault="003B0D09" w:rsidP="003B0D09">
      <w:pPr>
        <w:pStyle w:val="13"/>
        <w:ind w:firstLine="482"/>
      </w:pPr>
      <w:r w:rsidRPr="00E05BDA">
        <w:rPr>
          <w:rFonts w:hint="eastAsia"/>
          <w:b/>
        </w:rPr>
        <w:t xml:space="preserve">第十七条 </w:t>
      </w:r>
      <w:r>
        <w:t>中央企业应当每年对各级子企业执行本办法的情况进行监督检查，并及时将检查情况以书面形式报告国资委。</w:t>
      </w:r>
    </w:p>
    <w:p w14:paraId="4904CF06" w14:textId="77777777" w:rsidR="003B0D09" w:rsidRDefault="003B0D09" w:rsidP="003B0D09">
      <w:pPr>
        <w:pStyle w:val="13"/>
      </w:pPr>
      <w:r>
        <w:rPr>
          <w:rFonts w:hint="eastAsia"/>
        </w:rPr>
        <w:t>国资委对中央企业境外国有产权管理情况进行不定期抽查。</w:t>
      </w:r>
    </w:p>
    <w:p w14:paraId="5886FD5C" w14:textId="77777777" w:rsidR="003B0D09" w:rsidRDefault="003B0D09" w:rsidP="003B0D09">
      <w:pPr>
        <w:pStyle w:val="13"/>
        <w:ind w:firstLine="482"/>
      </w:pPr>
      <w:r w:rsidRPr="00E05BDA">
        <w:rPr>
          <w:rFonts w:hint="eastAsia"/>
          <w:b/>
        </w:rPr>
        <w:t xml:space="preserve">第十八条 </w:t>
      </w:r>
      <w:r>
        <w:t>中央企业及其各级子企业有关责任人员违反国家法律、法规和本办法规定，未履行对境外国有产权的监管责任，导致国有资产损失的，由有关部门按照干部管理权限和有关法律法规给予处分；涉嫌犯罪的，依法移交司法机关处理。</w:t>
      </w:r>
    </w:p>
    <w:p w14:paraId="4DB286A4" w14:textId="77777777" w:rsidR="003B0D09" w:rsidRDefault="003B0D09" w:rsidP="003B0D09">
      <w:pPr>
        <w:pStyle w:val="13"/>
        <w:ind w:firstLine="482"/>
      </w:pPr>
      <w:r w:rsidRPr="00E05BDA">
        <w:rPr>
          <w:rFonts w:hint="eastAsia"/>
          <w:b/>
        </w:rPr>
        <w:t xml:space="preserve">第十九条 </w:t>
      </w:r>
      <w:r>
        <w:t>地方国有资产监督管理机构可以参照本办法制定所出资企业境外国有产权管理制度。</w:t>
      </w:r>
    </w:p>
    <w:p w14:paraId="54E421B6" w14:textId="77777777" w:rsidR="003B0D09" w:rsidRDefault="003B0D09" w:rsidP="003B0D09">
      <w:pPr>
        <w:pStyle w:val="13"/>
        <w:ind w:firstLine="482"/>
      </w:pPr>
      <w:r w:rsidRPr="00E05BDA">
        <w:rPr>
          <w:rFonts w:hint="eastAsia"/>
          <w:b/>
        </w:rPr>
        <w:t xml:space="preserve">第二十条 </w:t>
      </w:r>
      <w:r>
        <w:t>本办法自2011年7月1日起施行。</w:t>
      </w:r>
    </w:p>
    <w:p w14:paraId="201BD1B4" w14:textId="77777777" w:rsidR="003B0D09" w:rsidRDefault="003B0D09" w:rsidP="003B0D09">
      <w:pPr>
        <w:pStyle w:val="31"/>
        <w:spacing w:before="156" w:after="62"/>
      </w:pPr>
      <w:bookmarkStart w:id="219" w:name="_Toc81833452"/>
      <w:r w:rsidRPr="00EC071E">
        <w:rPr>
          <w:rFonts w:hint="eastAsia"/>
        </w:rPr>
        <w:t>《企业国有资产交易监督管理办法》（国务院国资委</w:t>
      </w:r>
      <w:r w:rsidRPr="00EC071E">
        <w:t xml:space="preserve"> 财政部令第32号）</w:t>
      </w:r>
      <w:bookmarkEnd w:id="219"/>
    </w:p>
    <w:p w14:paraId="6648ADB8" w14:textId="77777777" w:rsidR="003B0D09" w:rsidRDefault="003B0D09" w:rsidP="003B0D09">
      <w:pPr>
        <w:pStyle w:val="13"/>
      </w:pPr>
      <w:r w:rsidRPr="00EC071E">
        <w:rPr>
          <w:rFonts w:hint="eastAsia"/>
        </w:rPr>
        <w:t>《企业国有资产交易监督管理办法》已经国务院国有资产监督管理委员会主任办公会议审议通过，并报经国务院同意，现予公布，自公布之日起施行。</w:t>
      </w:r>
    </w:p>
    <w:p w14:paraId="0D3D690D" w14:textId="77777777" w:rsidR="003B0D09" w:rsidRDefault="003B0D09" w:rsidP="003B0D09">
      <w:pPr>
        <w:pStyle w:val="13"/>
        <w:jc w:val="right"/>
      </w:pPr>
      <w:r>
        <w:rPr>
          <w:rFonts w:hint="eastAsia"/>
        </w:rPr>
        <w:t>国务院国有资产监督管理委员会主任</w:t>
      </w:r>
      <w:r>
        <w:t xml:space="preserve"> 肖亚庆</w:t>
      </w:r>
    </w:p>
    <w:p w14:paraId="07F3DF35" w14:textId="77777777" w:rsidR="003B0D09" w:rsidRDefault="003B0D09" w:rsidP="003B0D09">
      <w:pPr>
        <w:pStyle w:val="13"/>
        <w:jc w:val="right"/>
      </w:pPr>
      <w:r>
        <w:rPr>
          <w:rFonts w:hint="eastAsia"/>
        </w:rPr>
        <w:t>财政部部长</w:t>
      </w:r>
      <w:r>
        <w:t xml:space="preserve"> 楼继伟</w:t>
      </w:r>
    </w:p>
    <w:p w14:paraId="31C6B2AC" w14:textId="77777777" w:rsidR="003B0D09" w:rsidRDefault="003B0D09" w:rsidP="003B0D09">
      <w:pPr>
        <w:pStyle w:val="13"/>
        <w:jc w:val="right"/>
      </w:pPr>
      <w:r>
        <w:t>2016年6月24日</w:t>
      </w:r>
    </w:p>
    <w:p w14:paraId="2EC12FBA" w14:textId="77777777" w:rsidR="003B0D09" w:rsidRDefault="003B0D09" w:rsidP="00AF7342">
      <w:pPr>
        <w:pStyle w:val="a9"/>
        <w:spacing w:before="62" w:after="62"/>
      </w:pPr>
      <w:r>
        <w:rPr>
          <w:rFonts w:hint="eastAsia"/>
        </w:rPr>
        <w:t>企业国有资产交易监督管理办法</w:t>
      </w:r>
    </w:p>
    <w:p w14:paraId="4450B1BC" w14:textId="77777777" w:rsidR="003B0D09" w:rsidRDefault="003B0D09" w:rsidP="00AF7342">
      <w:pPr>
        <w:pStyle w:val="a9"/>
        <w:spacing w:before="62" w:after="62"/>
      </w:pPr>
      <w:r>
        <w:rPr>
          <w:rFonts w:hint="eastAsia"/>
        </w:rPr>
        <w:t>第一章</w:t>
      </w:r>
      <w:r>
        <w:t xml:space="preserve"> 总则</w:t>
      </w:r>
    </w:p>
    <w:p w14:paraId="66BF57DB" w14:textId="77777777" w:rsidR="003B0D09" w:rsidRDefault="003B0D09" w:rsidP="003B0D09">
      <w:pPr>
        <w:pStyle w:val="13"/>
        <w:ind w:firstLine="482"/>
      </w:pPr>
      <w:r w:rsidRPr="004E3EBB">
        <w:rPr>
          <w:rFonts w:hint="eastAsia"/>
          <w:b/>
          <w:bCs/>
        </w:rPr>
        <w:t xml:space="preserve">第一条 </w:t>
      </w:r>
      <w:r>
        <w:t>为规范企业国有资产交易行为，加强企业国有资产交易监督管理，防止国有资产流失，根据《中华人民共和国企业国有资产法》、《中华人民共和国公司法》、《企业国有资产监督管理暂行条例》等有关法律法规，制定本办法。</w:t>
      </w:r>
    </w:p>
    <w:p w14:paraId="559A4F3D" w14:textId="77777777" w:rsidR="003B0D09" w:rsidRDefault="003B0D09" w:rsidP="003B0D09">
      <w:pPr>
        <w:pStyle w:val="13"/>
        <w:ind w:firstLine="482"/>
      </w:pPr>
      <w:r w:rsidRPr="004E3EBB">
        <w:rPr>
          <w:rFonts w:hint="eastAsia"/>
          <w:b/>
          <w:bCs/>
        </w:rPr>
        <w:t xml:space="preserve">第二条 </w:t>
      </w:r>
      <w:r>
        <w:t>企业国有资产交易应当遵守国家法律法规和政策规定，有利于国有经济布局和结构调整优化，充分发挥市场配置资源作用，遵循等价有偿和公开公平公正的原则，在依法设立的产权交易机构中公开进行，国家法律法规另有规定的从其规定。</w:t>
      </w:r>
    </w:p>
    <w:p w14:paraId="1BDEB978" w14:textId="77777777" w:rsidR="003B0D09" w:rsidRDefault="003B0D09" w:rsidP="003B0D09">
      <w:pPr>
        <w:pStyle w:val="13"/>
        <w:ind w:firstLine="482"/>
      </w:pPr>
      <w:r w:rsidRPr="004E3EBB">
        <w:rPr>
          <w:rFonts w:hint="eastAsia"/>
          <w:b/>
          <w:bCs/>
        </w:rPr>
        <w:t xml:space="preserve">第三条 </w:t>
      </w:r>
      <w:r>
        <w:t>本办法所称企业国有资产交易行为包括：</w:t>
      </w:r>
    </w:p>
    <w:p w14:paraId="4A7DF00F" w14:textId="77777777" w:rsidR="003B0D09" w:rsidRDefault="003B0D09" w:rsidP="003B0D09">
      <w:pPr>
        <w:pStyle w:val="13"/>
      </w:pPr>
      <w:r>
        <w:rPr>
          <w:rFonts w:hint="eastAsia"/>
        </w:rPr>
        <w:lastRenderedPageBreak/>
        <w:t>（一）履行出资人职责的机构、国有及国有控股企业、国有实际控制企业转让其对企业各种形式出资所形成权益的行为（以下称企业产权转让）；</w:t>
      </w:r>
    </w:p>
    <w:p w14:paraId="5C6F4384" w14:textId="77777777" w:rsidR="003B0D09" w:rsidRDefault="003B0D09" w:rsidP="003B0D09">
      <w:pPr>
        <w:pStyle w:val="13"/>
      </w:pPr>
      <w:r>
        <w:rPr>
          <w:rFonts w:hint="eastAsia"/>
        </w:rPr>
        <w:t>（二）国有及国有控股企业、国有实际控制企业增加资本的行为（以下称企业增资），政府以增加资本金方式对国家出资企业的投入除外；</w:t>
      </w:r>
    </w:p>
    <w:p w14:paraId="337E1784" w14:textId="77777777" w:rsidR="003B0D09" w:rsidRDefault="003B0D09" w:rsidP="003B0D09">
      <w:pPr>
        <w:pStyle w:val="13"/>
      </w:pPr>
      <w:r>
        <w:rPr>
          <w:rFonts w:hint="eastAsia"/>
        </w:rPr>
        <w:t>（三）国有及国有控股企业、国有实际控制企业的重大资产转让行为（以下称企业资产转让）。</w:t>
      </w:r>
    </w:p>
    <w:p w14:paraId="0758E066" w14:textId="77777777" w:rsidR="003B0D09" w:rsidRDefault="003B0D09" w:rsidP="003B0D09">
      <w:pPr>
        <w:pStyle w:val="13"/>
        <w:ind w:firstLine="482"/>
      </w:pPr>
      <w:r w:rsidRPr="004E3EBB">
        <w:rPr>
          <w:rFonts w:hint="eastAsia"/>
          <w:b/>
          <w:bCs/>
        </w:rPr>
        <w:t xml:space="preserve">第四条 </w:t>
      </w:r>
      <w:r>
        <w:t>本办法所称国有及国有控股企业、国有实际控制企业包括：</w:t>
      </w:r>
    </w:p>
    <w:p w14:paraId="77A55A6E" w14:textId="77777777" w:rsidR="003B0D09" w:rsidRDefault="003B0D09" w:rsidP="003B0D09">
      <w:pPr>
        <w:pStyle w:val="13"/>
      </w:pPr>
      <w:r>
        <w:rPr>
          <w:rFonts w:hint="eastAsia"/>
        </w:rPr>
        <w:t>（一）政府部门、机构、事业单位出资设立的国有独资企业（公司），以及上述单位、企业直接或间接合计持股为</w:t>
      </w:r>
      <w:r>
        <w:t>100%的国有全资企业；</w:t>
      </w:r>
    </w:p>
    <w:p w14:paraId="1D8B22B4" w14:textId="77777777" w:rsidR="003B0D09" w:rsidRDefault="003B0D09" w:rsidP="003B0D09">
      <w:pPr>
        <w:pStyle w:val="13"/>
      </w:pPr>
      <w:r>
        <w:rPr>
          <w:rFonts w:hint="eastAsia"/>
        </w:rPr>
        <w:t>（二）本条第（一）款所列单位、企业单独或共同出资，合计拥有产（股）权比例超过</w:t>
      </w:r>
      <w:r>
        <w:t>50%，且其中之一为最大股东的企业；</w:t>
      </w:r>
    </w:p>
    <w:p w14:paraId="7DBF06DD" w14:textId="77777777" w:rsidR="003B0D09" w:rsidRDefault="003B0D09" w:rsidP="003B0D09">
      <w:pPr>
        <w:pStyle w:val="13"/>
      </w:pPr>
      <w:r>
        <w:rPr>
          <w:rFonts w:hint="eastAsia"/>
        </w:rPr>
        <w:t>（三）本条第（一）、（二）款所列企业对外出资，拥有股权比例超过</w:t>
      </w:r>
      <w:r>
        <w:t>50%的各级子企业；</w:t>
      </w:r>
    </w:p>
    <w:p w14:paraId="24774453" w14:textId="77777777" w:rsidR="003B0D09" w:rsidRDefault="003B0D09" w:rsidP="003B0D09">
      <w:pPr>
        <w:pStyle w:val="13"/>
      </w:pPr>
      <w:r>
        <w:rPr>
          <w:rFonts w:hint="eastAsia"/>
        </w:rPr>
        <w:t>（四）政府部门、机构、事业单位、单一国有及国有控股企业直接或间接持股比例未超过</w:t>
      </w:r>
      <w:r>
        <w:t>50%，但为第一大股东，并且通过股东协议、公司章程、董事会决议或者其他协议安排能够对其实际支配的企业。</w:t>
      </w:r>
    </w:p>
    <w:p w14:paraId="0E84D755" w14:textId="77777777" w:rsidR="003B0D09" w:rsidRDefault="003B0D09" w:rsidP="003B0D09">
      <w:pPr>
        <w:pStyle w:val="13"/>
        <w:ind w:firstLine="482"/>
      </w:pPr>
      <w:r w:rsidRPr="004E3EBB">
        <w:rPr>
          <w:rFonts w:hint="eastAsia"/>
          <w:b/>
          <w:bCs/>
        </w:rPr>
        <w:t xml:space="preserve">第五条 </w:t>
      </w:r>
      <w:r>
        <w:t>企业国有资产交易标的应当权属清晰，不存在法律法规禁止或限制交易的情形。已设定担保物权的国有资产交易，应当符合《中华人民共和国物权法》、《中华人民共和国担保法》等有关法律法规规定。涉及政府社会公共管理事项的，应当依法报政府有关部门审核。</w:t>
      </w:r>
    </w:p>
    <w:p w14:paraId="19458DAE" w14:textId="77777777" w:rsidR="003B0D09" w:rsidRDefault="003B0D09" w:rsidP="003B0D09">
      <w:pPr>
        <w:pStyle w:val="13"/>
        <w:ind w:firstLine="482"/>
      </w:pPr>
      <w:r w:rsidRPr="004E3EBB">
        <w:rPr>
          <w:rFonts w:hint="eastAsia"/>
          <w:b/>
          <w:bCs/>
        </w:rPr>
        <w:t xml:space="preserve">第六条 </w:t>
      </w:r>
      <w:r>
        <w:t>国有资产监督管理机构（以下简称国资监管机构）负责所监管企业的国有资产交易监督管理；国家出资企业负责其各级子企业国有资产交易的管理，定期向同级国资监管机构报告本企业的国有资产交易情况。</w:t>
      </w:r>
    </w:p>
    <w:p w14:paraId="1C590FB9" w14:textId="77777777" w:rsidR="003B0D09" w:rsidRDefault="003B0D09" w:rsidP="00AF7342">
      <w:pPr>
        <w:pStyle w:val="a9"/>
        <w:spacing w:before="62" w:after="62"/>
      </w:pPr>
      <w:r>
        <w:rPr>
          <w:rFonts w:hint="eastAsia"/>
        </w:rPr>
        <w:t>第二章</w:t>
      </w:r>
      <w:r>
        <w:t xml:space="preserve"> 企业产权转让</w:t>
      </w:r>
    </w:p>
    <w:p w14:paraId="1FBCF8F0" w14:textId="77777777" w:rsidR="003B0D09" w:rsidRDefault="003B0D09" w:rsidP="003B0D09">
      <w:pPr>
        <w:pStyle w:val="13"/>
        <w:ind w:firstLine="482"/>
      </w:pPr>
      <w:r w:rsidRPr="004E3EBB">
        <w:rPr>
          <w:rFonts w:hint="eastAsia"/>
          <w:b/>
          <w:bCs/>
        </w:rPr>
        <w:t xml:space="preserve">第七条 </w:t>
      </w:r>
      <w:r>
        <w:t>国资监管机构负责审核国家出资企业的产权转让事项。其中，因产权转让致使国家不再拥有所出资企业控股权的，须由国资监管机构报本级人民政府批准。</w:t>
      </w:r>
    </w:p>
    <w:p w14:paraId="2FA6C2AA" w14:textId="77777777" w:rsidR="003B0D09" w:rsidRDefault="003B0D09" w:rsidP="003B0D09">
      <w:pPr>
        <w:pStyle w:val="13"/>
        <w:ind w:firstLine="482"/>
      </w:pPr>
      <w:r w:rsidRPr="004E3EBB">
        <w:rPr>
          <w:rFonts w:hint="eastAsia"/>
          <w:b/>
          <w:bCs/>
        </w:rPr>
        <w:t xml:space="preserve">第八条 </w:t>
      </w:r>
      <w:r>
        <w:t>国家出资企业应当制定其子企业产权转让管理制度，确定审批管理权限。其中，对主业处于关系国家安全、国民经济命脉的重要行业和关键领域，主要承担重大专项任务子企业的产权转让，须由国家出资企业报同级国资监管机构批准。</w:t>
      </w:r>
    </w:p>
    <w:p w14:paraId="2B86C56E" w14:textId="77777777" w:rsidR="003B0D09" w:rsidRDefault="003B0D09" w:rsidP="003B0D09">
      <w:pPr>
        <w:pStyle w:val="13"/>
      </w:pPr>
      <w:r>
        <w:rPr>
          <w:rFonts w:hint="eastAsia"/>
        </w:rPr>
        <w:t>转让方为多家国有股东共同持股的企业，由其中持股比例最大的国有股东负责履行相关批准程序；各国有股东持股比例相同的，由相关股东协商后确定其中一家股东负责履行相关批准程序。</w:t>
      </w:r>
    </w:p>
    <w:p w14:paraId="6C50E659" w14:textId="77777777" w:rsidR="003B0D09" w:rsidRDefault="003B0D09" w:rsidP="003B0D09">
      <w:pPr>
        <w:pStyle w:val="13"/>
        <w:ind w:firstLine="482"/>
      </w:pPr>
      <w:r w:rsidRPr="00E05BDA">
        <w:rPr>
          <w:rFonts w:hint="eastAsia"/>
          <w:b/>
          <w:bCs/>
        </w:rPr>
        <w:t xml:space="preserve">第九条 </w:t>
      </w:r>
      <w:r>
        <w:t>产权转让应当由转让方按照企业章程和企业内部管理制度进行决策，形成书面决议。国有控股和国有实际控制企业中国有股东委派的股东代表，应当按照本</w:t>
      </w:r>
      <w:r>
        <w:lastRenderedPageBreak/>
        <w:t>办法规定和委派单位的指示发表意见、行使表决权，并将履职情况和结果及时报告委派单位。</w:t>
      </w:r>
    </w:p>
    <w:p w14:paraId="76A1D8EB" w14:textId="77777777" w:rsidR="003B0D09" w:rsidRDefault="003B0D09" w:rsidP="003B0D09">
      <w:pPr>
        <w:pStyle w:val="13"/>
        <w:ind w:firstLine="482"/>
      </w:pPr>
      <w:r w:rsidRPr="00E05BDA">
        <w:rPr>
          <w:rFonts w:hint="eastAsia"/>
          <w:b/>
          <w:bCs/>
        </w:rPr>
        <w:t xml:space="preserve">第十条 </w:t>
      </w:r>
      <w:r>
        <w:t>转让方应当按照企业发展战略做好产权转让的可行性研究和方案论证。产权转让涉及职工安置事项的，安置方案应当经职工代表大会或职工大会审议通过；涉及债权债务处置事项的，应当符合国家相关法律法规的规定。</w:t>
      </w:r>
    </w:p>
    <w:p w14:paraId="3A0BA17D" w14:textId="77777777" w:rsidR="003B0D09" w:rsidRDefault="003B0D09" w:rsidP="003B0D09">
      <w:pPr>
        <w:pStyle w:val="13"/>
        <w:ind w:firstLine="482"/>
      </w:pPr>
      <w:r w:rsidRPr="00E05BDA">
        <w:rPr>
          <w:rFonts w:hint="eastAsia"/>
          <w:b/>
          <w:bCs/>
        </w:rPr>
        <w:t xml:space="preserve">第十一条 </w:t>
      </w:r>
      <w:r>
        <w:t>产权转让事项经批准后，由转让方委托会计师事务所对转让标的企业进行审计。涉及参股权转让不宜单独进行专项审计的，转让方应当取得转让标的企业最近一期年度审计报告。</w:t>
      </w:r>
    </w:p>
    <w:p w14:paraId="6B3F0476" w14:textId="77777777" w:rsidR="003B0D09" w:rsidRDefault="003B0D09" w:rsidP="003B0D09">
      <w:pPr>
        <w:pStyle w:val="13"/>
        <w:ind w:firstLine="482"/>
      </w:pPr>
      <w:r w:rsidRPr="00E05BDA">
        <w:rPr>
          <w:rFonts w:hint="eastAsia"/>
          <w:b/>
          <w:bCs/>
        </w:rPr>
        <w:t xml:space="preserve">第十二条 </w:t>
      </w:r>
      <w:r>
        <w:t>对按照有关法律法规要求必须进行资产评估的产权转让事项，转让方应当委托具有相应资质的评估机构对转让标的进行资产评估，产权转让价格应以经核准或备案的评估结果为基础确定。</w:t>
      </w:r>
    </w:p>
    <w:p w14:paraId="6B9B0AB7" w14:textId="77777777" w:rsidR="003B0D09" w:rsidRDefault="003B0D09" w:rsidP="003B0D09">
      <w:pPr>
        <w:pStyle w:val="13"/>
        <w:ind w:firstLine="482"/>
      </w:pPr>
      <w:r w:rsidRPr="00E05BDA">
        <w:rPr>
          <w:rFonts w:hint="eastAsia"/>
          <w:b/>
          <w:bCs/>
        </w:rPr>
        <w:t xml:space="preserve">第十三条 </w:t>
      </w:r>
      <w:r>
        <w:t>产权转让原则上通过产权市场公开进行。转让方可以根据企业实际情况和工作进度安排，采取信息预披露和正式披露相结合的方式，通过产权交易机构网站分阶段对外披露产权转让信息，公开</w:t>
      </w:r>
      <w:proofErr w:type="gramStart"/>
      <w:r>
        <w:t>征集受</w:t>
      </w:r>
      <w:proofErr w:type="gramEnd"/>
      <w:r>
        <w:t>让方。其中正式披露信息时间不得少于20个工作日。</w:t>
      </w:r>
    </w:p>
    <w:p w14:paraId="35F70565" w14:textId="77777777" w:rsidR="003B0D09" w:rsidRDefault="003B0D09" w:rsidP="003B0D09">
      <w:pPr>
        <w:pStyle w:val="13"/>
      </w:pPr>
      <w:r>
        <w:rPr>
          <w:rFonts w:hint="eastAsia"/>
        </w:rPr>
        <w:t>因产权转让导致转让标的企业的实际控制权发生转移的，转让方应当在转让</w:t>
      </w:r>
      <w:proofErr w:type="gramStart"/>
      <w:r>
        <w:rPr>
          <w:rFonts w:hint="eastAsia"/>
        </w:rPr>
        <w:t>行为获</w:t>
      </w:r>
      <w:proofErr w:type="gramEnd"/>
      <w:r>
        <w:rPr>
          <w:rFonts w:hint="eastAsia"/>
        </w:rPr>
        <w:t>批后</w:t>
      </w:r>
      <w:r>
        <w:t>10个工作日内，通过产权交易机构进行信息预披露，时间不得少于20个工作日。</w:t>
      </w:r>
    </w:p>
    <w:p w14:paraId="6096B15B" w14:textId="77777777" w:rsidR="003B0D09" w:rsidRDefault="003B0D09" w:rsidP="003B0D09">
      <w:pPr>
        <w:pStyle w:val="13"/>
        <w:ind w:firstLine="482"/>
      </w:pPr>
      <w:r w:rsidRPr="00E05BDA">
        <w:rPr>
          <w:rFonts w:hint="eastAsia"/>
          <w:b/>
          <w:bCs/>
        </w:rPr>
        <w:t xml:space="preserve">第十四条 </w:t>
      </w:r>
      <w:r>
        <w:t>产权转让原则上不得针对受让方设置资格条件，确需设置的，不得有明确指向性或违反公平竞争原则，所设资格条件相关内容应当在信息披露前报同级国资监管机构备案，国资监管机构在5个工作日内未反馈意见的视为同意。</w:t>
      </w:r>
    </w:p>
    <w:p w14:paraId="101EDCB5" w14:textId="77777777" w:rsidR="003B0D09" w:rsidRDefault="003B0D09" w:rsidP="003B0D09">
      <w:pPr>
        <w:pStyle w:val="13"/>
        <w:ind w:firstLine="482"/>
      </w:pPr>
      <w:r w:rsidRPr="00E05BDA">
        <w:rPr>
          <w:rFonts w:hint="eastAsia"/>
          <w:b/>
          <w:bCs/>
        </w:rPr>
        <w:t xml:space="preserve">第十五条 </w:t>
      </w:r>
      <w:r>
        <w:t>转让方披露信息包括但不限于以下内容：</w:t>
      </w:r>
    </w:p>
    <w:p w14:paraId="0B05CDC5" w14:textId="77777777" w:rsidR="003B0D09" w:rsidRDefault="003B0D09" w:rsidP="003B0D09">
      <w:pPr>
        <w:pStyle w:val="13"/>
      </w:pPr>
      <w:r>
        <w:rPr>
          <w:rFonts w:hint="eastAsia"/>
        </w:rPr>
        <w:t>（一）转让标的基本情况；</w:t>
      </w:r>
    </w:p>
    <w:p w14:paraId="78B3B303" w14:textId="77777777" w:rsidR="003B0D09" w:rsidRDefault="003B0D09" w:rsidP="003B0D09">
      <w:pPr>
        <w:pStyle w:val="13"/>
      </w:pPr>
      <w:r>
        <w:rPr>
          <w:rFonts w:hint="eastAsia"/>
        </w:rPr>
        <w:t>（二）转让标的企业的股东结构；</w:t>
      </w:r>
    </w:p>
    <w:p w14:paraId="20E77FFD" w14:textId="77777777" w:rsidR="003B0D09" w:rsidRDefault="003B0D09" w:rsidP="003B0D09">
      <w:pPr>
        <w:pStyle w:val="13"/>
      </w:pPr>
      <w:r>
        <w:rPr>
          <w:rFonts w:hint="eastAsia"/>
        </w:rPr>
        <w:t>（三）产权转让行为的决策及批准情况；</w:t>
      </w:r>
    </w:p>
    <w:p w14:paraId="6C25D729" w14:textId="77777777" w:rsidR="003B0D09" w:rsidRDefault="003B0D09" w:rsidP="003B0D09">
      <w:pPr>
        <w:pStyle w:val="13"/>
      </w:pPr>
      <w:r>
        <w:rPr>
          <w:rFonts w:hint="eastAsia"/>
        </w:rPr>
        <w:t>（四）转让标的企业最近一个年度审计报告和最近一期财务报表中的主要财务指标数据，包括但不限于资产总额、负债总额、所有者权益、营业收入、净利润等（转让参股权的，披露最近一个年度审计报告中的相应数据）；</w:t>
      </w:r>
    </w:p>
    <w:p w14:paraId="02BC4053" w14:textId="77777777" w:rsidR="003B0D09" w:rsidRDefault="003B0D09" w:rsidP="003B0D09">
      <w:pPr>
        <w:pStyle w:val="13"/>
      </w:pPr>
      <w:r>
        <w:rPr>
          <w:rFonts w:hint="eastAsia"/>
        </w:rPr>
        <w:t>（五）受让方资格条件（适用于对受让方有特殊要求的情形）；</w:t>
      </w:r>
    </w:p>
    <w:p w14:paraId="0AFC7085" w14:textId="77777777" w:rsidR="003B0D09" w:rsidRDefault="003B0D09" w:rsidP="003B0D09">
      <w:pPr>
        <w:pStyle w:val="13"/>
      </w:pPr>
      <w:r>
        <w:rPr>
          <w:rFonts w:hint="eastAsia"/>
        </w:rPr>
        <w:t>（六）交易条件、转让底价；</w:t>
      </w:r>
    </w:p>
    <w:p w14:paraId="117552EC" w14:textId="77777777" w:rsidR="003B0D09" w:rsidRDefault="003B0D09" w:rsidP="003B0D09">
      <w:pPr>
        <w:pStyle w:val="13"/>
      </w:pPr>
      <w:r>
        <w:rPr>
          <w:rFonts w:hint="eastAsia"/>
        </w:rPr>
        <w:t>（七）企业管理层是否参与受让，有限责任公司原股东是否放弃优先受让权；</w:t>
      </w:r>
    </w:p>
    <w:p w14:paraId="5CFADF78" w14:textId="77777777" w:rsidR="003B0D09" w:rsidRDefault="003B0D09" w:rsidP="003B0D09">
      <w:pPr>
        <w:pStyle w:val="13"/>
      </w:pPr>
      <w:r>
        <w:rPr>
          <w:rFonts w:hint="eastAsia"/>
        </w:rPr>
        <w:t>（八）竞价方式，受让方选择的相关评判标准；</w:t>
      </w:r>
    </w:p>
    <w:p w14:paraId="1F5BF4F2" w14:textId="77777777" w:rsidR="003B0D09" w:rsidRDefault="003B0D09" w:rsidP="003B0D09">
      <w:pPr>
        <w:pStyle w:val="13"/>
      </w:pPr>
      <w:r>
        <w:rPr>
          <w:rFonts w:hint="eastAsia"/>
        </w:rPr>
        <w:t>（九）其他需要披露的事项。</w:t>
      </w:r>
    </w:p>
    <w:p w14:paraId="25D0AAC1" w14:textId="77777777" w:rsidR="003B0D09" w:rsidRDefault="003B0D09" w:rsidP="003B0D09">
      <w:pPr>
        <w:pStyle w:val="13"/>
      </w:pPr>
      <w:r>
        <w:rPr>
          <w:rFonts w:hint="eastAsia"/>
        </w:rPr>
        <w:t>其中信息预披露应当包括但不限于以上（一）、（二）、（三）、（四）、（五）款内容。</w:t>
      </w:r>
    </w:p>
    <w:p w14:paraId="5133627D" w14:textId="77777777" w:rsidR="003B0D09" w:rsidRDefault="003B0D09" w:rsidP="003B0D09">
      <w:pPr>
        <w:pStyle w:val="13"/>
        <w:ind w:firstLine="482"/>
      </w:pPr>
      <w:r w:rsidRPr="00E05BDA">
        <w:rPr>
          <w:rFonts w:hint="eastAsia"/>
          <w:b/>
          <w:bCs/>
        </w:rPr>
        <w:lastRenderedPageBreak/>
        <w:t xml:space="preserve">第十六条 </w:t>
      </w:r>
      <w:r>
        <w:t>转让方应当按照要求向产权交易机构提供披露信息内容的纸质文档材料，并对披露内容和所提供材料的真实性、完整性、准确性负责。产权交易机构应当对信息披露的规范性负责。</w:t>
      </w:r>
    </w:p>
    <w:p w14:paraId="3B562DFA" w14:textId="77777777" w:rsidR="003B0D09" w:rsidRDefault="003B0D09" w:rsidP="003B0D09">
      <w:pPr>
        <w:pStyle w:val="13"/>
        <w:ind w:firstLine="482"/>
      </w:pPr>
      <w:r w:rsidRPr="00E05BDA">
        <w:rPr>
          <w:rFonts w:hint="eastAsia"/>
          <w:b/>
          <w:bCs/>
        </w:rPr>
        <w:t xml:space="preserve">第十七条 </w:t>
      </w:r>
      <w:r>
        <w:t>产权转让项目首次正式信息披露的转让底价，不得低于经核准或备案的转让标的评估结果。</w:t>
      </w:r>
    </w:p>
    <w:p w14:paraId="742E9E1E" w14:textId="77777777" w:rsidR="003B0D09" w:rsidRDefault="003B0D09" w:rsidP="003B0D09">
      <w:pPr>
        <w:pStyle w:val="13"/>
        <w:ind w:firstLine="482"/>
      </w:pPr>
      <w:r w:rsidRPr="00E05BDA">
        <w:rPr>
          <w:rFonts w:hint="eastAsia"/>
          <w:b/>
          <w:bCs/>
        </w:rPr>
        <w:t xml:space="preserve">第十八条 </w:t>
      </w:r>
      <w:r>
        <w:t>信息披露期满未征集到意向受让方的，可以延期或在降低转让底价、</w:t>
      </w:r>
      <w:proofErr w:type="gramStart"/>
      <w:r>
        <w:t>变更受</w:t>
      </w:r>
      <w:proofErr w:type="gramEnd"/>
      <w:r>
        <w:t>让条件后重新进行信息披露。</w:t>
      </w:r>
    </w:p>
    <w:p w14:paraId="3B74DDFC" w14:textId="77777777" w:rsidR="003B0D09" w:rsidRDefault="003B0D09" w:rsidP="003B0D09">
      <w:pPr>
        <w:pStyle w:val="13"/>
      </w:pPr>
      <w:r>
        <w:rPr>
          <w:rFonts w:hint="eastAsia"/>
        </w:rPr>
        <w:t>降低转让底价或</w:t>
      </w:r>
      <w:proofErr w:type="gramStart"/>
      <w:r>
        <w:rPr>
          <w:rFonts w:hint="eastAsia"/>
        </w:rPr>
        <w:t>变更受</w:t>
      </w:r>
      <w:proofErr w:type="gramEnd"/>
      <w:r>
        <w:rPr>
          <w:rFonts w:hint="eastAsia"/>
        </w:rPr>
        <w:t>让条件后重新披露信息的，披露时间不得少于</w:t>
      </w:r>
      <w:r>
        <w:t>20个工作日。新的转让底价低于评估结果的90%时，应当经转让行为批准单位书面同意。</w:t>
      </w:r>
    </w:p>
    <w:p w14:paraId="0D74D468" w14:textId="77777777" w:rsidR="003B0D09" w:rsidRDefault="003B0D09" w:rsidP="003B0D09">
      <w:pPr>
        <w:pStyle w:val="13"/>
        <w:ind w:firstLine="482"/>
      </w:pPr>
      <w:r w:rsidRPr="00E05BDA">
        <w:rPr>
          <w:rFonts w:hint="eastAsia"/>
          <w:b/>
          <w:bCs/>
        </w:rPr>
        <w:t xml:space="preserve">第十九条 </w:t>
      </w:r>
      <w:r>
        <w:t>转让项目自首次正式披露信息之日起超过12个月未征集到合格受让方的，应当重新履行审计、资产评估以及信息披露等产权转让工作程序。</w:t>
      </w:r>
    </w:p>
    <w:p w14:paraId="560554AD" w14:textId="77777777" w:rsidR="003B0D09" w:rsidRDefault="003B0D09" w:rsidP="003B0D09">
      <w:pPr>
        <w:pStyle w:val="13"/>
        <w:ind w:firstLine="482"/>
      </w:pPr>
      <w:r w:rsidRPr="00E05BDA">
        <w:rPr>
          <w:rFonts w:hint="eastAsia"/>
          <w:b/>
          <w:bCs/>
        </w:rPr>
        <w:t xml:space="preserve">第二十条 </w:t>
      </w:r>
      <w:r>
        <w:t>在正式披露信息期间，转让方不得变更产权转让公告中公布的内容，由于非转让方原因或其他不可抗力因素导致可能对转让标的价值判断造成影响的，转让方应当及时调整补充披露信息内容，并相应延长信息披露时间。</w:t>
      </w:r>
    </w:p>
    <w:p w14:paraId="258E41D9" w14:textId="77777777" w:rsidR="003B0D09" w:rsidRDefault="003B0D09" w:rsidP="003B0D09">
      <w:pPr>
        <w:pStyle w:val="13"/>
        <w:ind w:firstLine="482"/>
      </w:pPr>
      <w:r w:rsidRPr="00E05BDA">
        <w:rPr>
          <w:rFonts w:hint="eastAsia"/>
          <w:b/>
          <w:bCs/>
        </w:rPr>
        <w:t xml:space="preserve">第二十一条 </w:t>
      </w:r>
      <w:r>
        <w:t>产权交易机构负责意向受让方的登记工作，对意向受让方是否符合受让条件提出意见并反馈转让方。产权交易机构与转让</w:t>
      </w:r>
      <w:proofErr w:type="gramStart"/>
      <w:r>
        <w:t>方意见</w:t>
      </w:r>
      <w:proofErr w:type="gramEnd"/>
      <w:r>
        <w:t>不一致的，由转让行为批准单位决定意向受让方是否符合受让条件。</w:t>
      </w:r>
    </w:p>
    <w:p w14:paraId="5D80E2DE" w14:textId="77777777" w:rsidR="003B0D09" w:rsidRDefault="003B0D09" w:rsidP="003B0D09">
      <w:pPr>
        <w:pStyle w:val="13"/>
        <w:ind w:firstLine="482"/>
      </w:pPr>
      <w:r w:rsidRPr="00E05BDA">
        <w:rPr>
          <w:rFonts w:hint="eastAsia"/>
          <w:b/>
          <w:bCs/>
        </w:rPr>
        <w:t xml:space="preserve">第二十二条 </w:t>
      </w:r>
      <w:r>
        <w:t>产权转让信息披露期满、产生符合条件的意向受让方的，按照披露的竞价方式组织竞价。竞价可以采取拍卖、招投标、网络竞价以及其他竞价方式，且不得违反国家法律法规的规定。</w:t>
      </w:r>
    </w:p>
    <w:p w14:paraId="348C51F7" w14:textId="77777777" w:rsidR="003B0D09" w:rsidRDefault="003B0D09" w:rsidP="003B0D09">
      <w:pPr>
        <w:pStyle w:val="13"/>
        <w:ind w:firstLine="482"/>
      </w:pPr>
      <w:r w:rsidRPr="00E05BDA">
        <w:rPr>
          <w:rFonts w:hint="eastAsia"/>
          <w:b/>
          <w:bCs/>
        </w:rPr>
        <w:t xml:space="preserve">第二十三条 </w:t>
      </w:r>
      <w:r>
        <w:t>受让方确定后，转让方与受让方应当签订产权交易合同，交易双方不得以交易期间企业经营性损益等理由对已达成的交易条件和交易价格进行调整。</w:t>
      </w:r>
    </w:p>
    <w:p w14:paraId="0631391D" w14:textId="77777777" w:rsidR="003B0D09" w:rsidRDefault="003B0D09" w:rsidP="003B0D09">
      <w:pPr>
        <w:pStyle w:val="13"/>
        <w:ind w:firstLine="482"/>
      </w:pPr>
      <w:r w:rsidRPr="00E05BDA">
        <w:rPr>
          <w:rFonts w:hint="eastAsia"/>
          <w:b/>
          <w:bCs/>
        </w:rPr>
        <w:t xml:space="preserve">第二十四条 </w:t>
      </w:r>
      <w:r>
        <w:t>产权转让导致国有股东持有上市公司股份间接转让的，应当同时遵守上市公司国有股权管理以及证券监管相关规定。</w:t>
      </w:r>
    </w:p>
    <w:p w14:paraId="2968D2D8" w14:textId="77777777" w:rsidR="003B0D09" w:rsidRDefault="003B0D09" w:rsidP="003B0D09">
      <w:pPr>
        <w:pStyle w:val="13"/>
        <w:ind w:firstLine="482"/>
      </w:pPr>
      <w:r w:rsidRPr="00E05BDA">
        <w:rPr>
          <w:rFonts w:hint="eastAsia"/>
          <w:b/>
          <w:bCs/>
        </w:rPr>
        <w:t xml:space="preserve">第二十五条 </w:t>
      </w:r>
      <w:r>
        <w:t>企业产权转让涉及交易主体资格审查、反垄断审查、特许经营权、国有划拨土地使用权、探矿权和采矿权等政府审批事项的，按照相关规定执行。</w:t>
      </w:r>
    </w:p>
    <w:p w14:paraId="356D82FC" w14:textId="77777777" w:rsidR="003B0D09" w:rsidRDefault="003B0D09" w:rsidP="003B0D09">
      <w:pPr>
        <w:pStyle w:val="13"/>
        <w:ind w:firstLine="482"/>
      </w:pPr>
      <w:r w:rsidRPr="00E05BDA">
        <w:rPr>
          <w:rFonts w:hint="eastAsia"/>
          <w:b/>
          <w:bCs/>
        </w:rPr>
        <w:t xml:space="preserve">第二十六条 </w:t>
      </w:r>
      <w:r>
        <w:t>受让方为境外投资者的，应当符合外商投资产业指导目录和负面清单管理要求，以及外商投资安全审查有关规定。</w:t>
      </w:r>
    </w:p>
    <w:p w14:paraId="4546C135" w14:textId="77777777" w:rsidR="003B0D09" w:rsidRDefault="003B0D09" w:rsidP="003B0D09">
      <w:pPr>
        <w:pStyle w:val="13"/>
        <w:ind w:firstLine="482"/>
      </w:pPr>
      <w:r w:rsidRPr="00E05BDA">
        <w:rPr>
          <w:rFonts w:hint="eastAsia"/>
          <w:b/>
          <w:bCs/>
        </w:rPr>
        <w:t xml:space="preserve">第二十七条 </w:t>
      </w:r>
      <w:r>
        <w:t>交易价款应当以人民币计价，通过产权交易机构以货币进行结算。因特殊情况不能通过产权交易机构结算的，转让方应当向产权交易机构提供转让行为批准单位的书面意见以及受让方付款凭证。</w:t>
      </w:r>
    </w:p>
    <w:p w14:paraId="466EE8EB" w14:textId="77777777" w:rsidR="003B0D09" w:rsidRDefault="003B0D09" w:rsidP="003B0D09">
      <w:pPr>
        <w:pStyle w:val="13"/>
        <w:ind w:firstLine="482"/>
      </w:pPr>
      <w:r w:rsidRPr="00E05BDA">
        <w:rPr>
          <w:rFonts w:hint="eastAsia"/>
          <w:b/>
          <w:bCs/>
        </w:rPr>
        <w:t xml:space="preserve">第二十八条 </w:t>
      </w:r>
      <w:r>
        <w:t>交易价款原则上应当自合同生效之日起5个工作日内一次付清。</w:t>
      </w:r>
    </w:p>
    <w:p w14:paraId="27EA50F8" w14:textId="77777777" w:rsidR="003B0D09" w:rsidRDefault="003B0D09" w:rsidP="003B0D09">
      <w:pPr>
        <w:pStyle w:val="13"/>
      </w:pPr>
      <w:r>
        <w:rPr>
          <w:rFonts w:hint="eastAsia"/>
        </w:rPr>
        <w:t>金额较大、一次付清确有困难的，可以采取分期付款方式。采用分期付款方式的，首期付款不得低于总价款的</w:t>
      </w:r>
      <w:r>
        <w:t>30%，并在合同生效之日起5个工作日内支付；其余款项</w:t>
      </w:r>
      <w:r>
        <w:lastRenderedPageBreak/>
        <w:t>应当提供转让方认可的合法有效担保，并按同期银行贷款利率支付延期付款期间的利息，付款期限不得超过1年。</w:t>
      </w:r>
    </w:p>
    <w:p w14:paraId="63310C83" w14:textId="77777777" w:rsidR="003B0D09" w:rsidRDefault="003B0D09" w:rsidP="003B0D09">
      <w:pPr>
        <w:pStyle w:val="13"/>
        <w:ind w:firstLine="482"/>
      </w:pPr>
      <w:r w:rsidRPr="00E05BDA">
        <w:rPr>
          <w:rFonts w:hint="eastAsia"/>
          <w:b/>
          <w:bCs/>
        </w:rPr>
        <w:t xml:space="preserve">第二十九条 </w:t>
      </w:r>
      <w:r>
        <w:t>产权交易合同生效后，产权交易机构应当将交易结果通过交易机构网站对外公告，公告内容包括交易标的名称、转让标的评估结果、转让底价、交易价格，公告期不少于5个工作日。</w:t>
      </w:r>
    </w:p>
    <w:p w14:paraId="6BB9F64C" w14:textId="77777777" w:rsidR="003B0D09" w:rsidRDefault="003B0D09" w:rsidP="003B0D09">
      <w:pPr>
        <w:pStyle w:val="13"/>
        <w:ind w:firstLine="482"/>
      </w:pPr>
      <w:r w:rsidRPr="00E05BDA">
        <w:rPr>
          <w:rFonts w:hint="eastAsia"/>
          <w:b/>
          <w:bCs/>
        </w:rPr>
        <w:t xml:space="preserve">第三十条 </w:t>
      </w:r>
      <w:r>
        <w:t>产权交易合同生效，并且受让方按照合同约定支付交易价款后，产权交易机构应当及时为交易双方出具交易凭证。</w:t>
      </w:r>
    </w:p>
    <w:p w14:paraId="582AB359" w14:textId="77777777" w:rsidR="003B0D09" w:rsidRDefault="003B0D09" w:rsidP="003B0D09">
      <w:pPr>
        <w:pStyle w:val="13"/>
        <w:ind w:firstLine="482"/>
      </w:pPr>
      <w:r w:rsidRPr="003B2FB1">
        <w:rPr>
          <w:rFonts w:hint="eastAsia"/>
          <w:b/>
          <w:bCs/>
        </w:rPr>
        <w:t xml:space="preserve">第三十一条 </w:t>
      </w:r>
      <w:r>
        <w:t>以下情形的产权转让可以采取非公开协议转让方式：</w:t>
      </w:r>
    </w:p>
    <w:p w14:paraId="792F5357" w14:textId="77777777" w:rsidR="003B0D09" w:rsidRDefault="003B0D09" w:rsidP="003B0D09">
      <w:pPr>
        <w:pStyle w:val="13"/>
      </w:pPr>
      <w:r>
        <w:rPr>
          <w:rFonts w:hint="eastAsia"/>
        </w:rPr>
        <w:t>（一）涉及主业处于关系国家安全、国民经济命脉的重要行业和关键领域企业的重组整合，对受让方有特殊要求，企业产权需要在国有及国有控股企业之间转让的，经国资监管机构批准，可以采取非公开协议转让方式；</w:t>
      </w:r>
    </w:p>
    <w:p w14:paraId="279D3408" w14:textId="77777777" w:rsidR="003B0D09" w:rsidRDefault="003B0D09" w:rsidP="003B0D09">
      <w:pPr>
        <w:pStyle w:val="13"/>
      </w:pPr>
      <w:r>
        <w:rPr>
          <w:rFonts w:hint="eastAsia"/>
        </w:rPr>
        <w:t>（二）同一国家出资企业及其各级控股企业或实际控制企业之间因实施内部重组整合进行产权转让的，经该国家出资企业审议决策，可以采取非公开协议转让方式。</w:t>
      </w:r>
    </w:p>
    <w:p w14:paraId="54E1E175" w14:textId="77777777" w:rsidR="003B0D09" w:rsidRDefault="003B0D09" w:rsidP="003B0D09">
      <w:pPr>
        <w:pStyle w:val="13"/>
        <w:ind w:firstLine="482"/>
      </w:pPr>
      <w:r w:rsidRPr="003B2FB1">
        <w:rPr>
          <w:rFonts w:hint="eastAsia"/>
          <w:b/>
          <w:bCs/>
        </w:rPr>
        <w:t xml:space="preserve">第三十二条 </w:t>
      </w:r>
      <w:r>
        <w:t>采取非公开协议转让方式转让企业产权，转让价格不得低于经核准或备案的评估结果。</w:t>
      </w:r>
    </w:p>
    <w:p w14:paraId="78933B70" w14:textId="77777777" w:rsidR="003B0D09" w:rsidRDefault="003B0D09" w:rsidP="003B0D09">
      <w:pPr>
        <w:pStyle w:val="13"/>
      </w:pPr>
      <w:r>
        <w:rPr>
          <w:rFonts w:hint="eastAsia"/>
        </w:rPr>
        <w:t>以下情形按照《中华人民共和国公司法》、企业章程履行决策程序后，转让价格可以资产评估报告或最近一期审计报告确认的净资产值为基础确定，且不得低于经评估或审计的净资产值：</w:t>
      </w:r>
    </w:p>
    <w:p w14:paraId="435C3425" w14:textId="77777777" w:rsidR="003B0D09" w:rsidRDefault="003B0D09" w:rsidP="003B0D09">
      <w:pPr>
        <w:pStyle w:val="13"/>
      </w:pPr>
      <w:r>
        <w:rPr>
          <w:rFonts w:hint="eastAsia"/>
        </w:rPr>
        <w:t>（一）同一国家出资企业内部实施重组整合，转让方和受让方为该国家出资企业及其直接或间接全资拥有的子企业；</w:t>
      </w:r>
    </w:p>
    <w:p w14:paraId="43493E0B" w14:textId="77777777" w:rsidR="003B0D09" w:rsidRDefault="003B0D09" w:rsidP="003B0D09">
      <w:pPr>
        <w:pStyle w:val="13"/>
      </w:pPr>
      <w:r>
        <w:rPr>
          <w:rFonts w:hint="eastAsia"/>
        </w:rPr>
        <w:t>（二）同一国有控股企业或国有实际控制企业内部实施重组整合，转让方和受让方为该国有控股企业或国有实际控制企业及其直接、间接全资拥有的子企业。</w:t>
      </w:r>
    </w:p>
    <w:p w14:paraId="6BDDF43A" w14:textId="77777777" w:rsidR="003B0D09" w:rsidRDefault="003B0D09" w:rsidP="003B0D09">
      <w:pPr>
        <w:pStyle w:val="13"/>
        <w:ind w:firstLine="482"/>
      </w:pPr>
      <w:r w:rsidRPr="003B2FB1">
        <w:rPr>
          <w:rFonts w:hint="eastAsia"/>
          <w:b/>
          <w:bCs/>
        </w:rPr>
        <w:t xml:space="preserve">第三十三条 </w:t>
      </w:r>
      <w:r>
        <w:t>国资监管机构批准、国家出资企业审议决策采取非公开协议方式的企业产权转让行为时，应当审核下列文件：</w:t>
      </w:r>
    </w:p>
    <w:p w14:paraId="3CEF32CE" w14:textId="77777777" w:rsidR="003B0D09" w:rsidRDefault="003B0D09" w:rsidP="003B0D09">
      <w:pPr>
        <w:pStyle w:val="13"/>
      </w:pPr>
      <w:r>
        <w:rPr>
          <w:rFonts w:hint="eastAsia"/>
        </w:rPr>
        <w:t>（一）产权转让的有关决议文件；</w:t>
      </w:r>
    </w:p>
    <w:p w14:paraId="3F7CEBAB" w14:textId="77777777" w:rsidR="003B0D09" w:rsidRDefault="003B0D09" w:rsidP="003B0D09">
      <w:pPr>
        <w:pStyle w:val="13"/>
      </w:pPr>
      <w:r>
        <w:rPr>
          <w:rFonts w:hint="eastAsia"/>
        </w:rPr>
        <w:t>（二）产权转让方案；</w:t>
      </w:r>
    </w:p>
    <w:p w14:paraId="3669C900" w14:textId="77777777" w:rsidR="003B0D09" w:rsidRDefault="003B0D09" w:rsidP="003B0D09">
      <w:pPr>
        <w:pStyle w:val="13"/>
      </w:pPr>
      <w:r>
        <w:rPr>
          <w:rFonts w:hint="eastAsia"/>
        </w:rPr>
        <w:t>（三）采取非公开协议方式转让产权的必要性以及受让方情况；</w:t>
      </w:r>
    </w:p>
    <w:p w14:paraId="1350E297" w14:textId="77777777" w:rsidR="003B0D09" w:rsidRDefault="003B0D09" w:rsidP="003B0D09">
      <w:pPr>
        <w:pStyle w:val="13"/>
      </w:pPr>
      <w:r>
        <w:rPr>
          <w:rFonts w:hint="eastAsia"/>
        </w:rPr>
        <w:t>（四）转让标的企业审计报告、资产评估报告及其核准或备案文件。其中属于第三十二条（一）、（二）款情形的，可以仅提供企业审计报告；</w:t>
      </w:r>
    </w:p>
    <w:p w14:paraId="21116950" w14:textId="77777777" w:rsidR="003B0D09" w:rsidRDefault="003B0D09" w:rsidP="003B0D09">
      <w:pPr>
        <w:pStyle w:val="13"/>
      </w:pPr>
      <w:r>
        <w:rPr>
          <w:rFonts w:hint="eastAsia"/>
        </w:rPr>
        <w:t>（五）产权转让协议；</w:t>
      </w:r>
    </w:p>
    <w:p w14:paraId="3401ED37" w14:textId="77777777" w:rsidR="003B0D09" w:rsidRDefault="003B0D09" w:rsidP="003B0D09">
      <w:pPr>
        <w:pStyle w:val="13"/>
      </w:pPr>
      <w:r>
        <w:rPr>
          <w:rFonts w:hint="eastAsia"/>
        </w:rPr>
        <w:t>（六）转让方、受让方和转让标的企业的国家出资企业产权登记表（证）；</w:t>
      </w:r>
    </w:p>
    <w:p w14:paraId="48F637F0" w14:textId="77777777" w:rsidR="003B0D09" w:rsidRDefault="003B0D09" w:rsidP="003B0D09">
      <w:pPr>
        <w:pStyle w:val="13"/>
      </w:pPr>
      <w:r>
        <w:rPr>
          <w:rFonts w:hint="eastAsia"/>
        </w:rPr>
        <w:t>（七）产权转让行为的法律意见书；</w:t>
      </w:r>
    </w:p>
    <w:p w14:paraId="28CCCDAD" w14:textId="77777777" w:rsidR="003B0D09" w:rsidRDefault="003B0D09" w:rsidP="003B0D09">
      <w:pPr>
        <w:pStyle w:val="13"/>
      </w:pPr>
      <w:r>
        <w:rPr>
          <w:rFonts w:hint="eastAsia"/>
        </w:rPr>
        <w:t>（八）其他必要的文件。</w:t>
      </w:r>
    </w:p>
    <w:p w14:paraId="53FB375E" w14:textId="77777777" w:rsidR="003B0D09" w:rsidRDefault="003B0D09" w:rsidP="00AF7342">
      <w:pPr>
        <w:pStyle w:val="a9"/>
        <w:spacing w:before="62" w:after="62"/>
      </w:pPr>
      <w:r>
        <w:rPr>
          <w:rFonts w:hint="eastAsia"/>
        </w:rPr>
        <w:lastRenderedPageBreak/>
        <w:t>第三章</w:t>
      </w:r>
      <w:r>
        <w:t xml:space="preserve"> 企业增资</w:t>
      </w:r>
    </w:p>
    <w:p w14:paraId="678802F6" w14:textId="77777777" w:rsidR="003B0D09" w:rsidRDefault="003B0D09" w:rsidP="003B0D09">
      <w:pPr>
        <w:pStyle w:val="13"/>
        <w:ind w:firstLine="482"/>
      </w:pPr>
      <w:r w:rsidRPr="003B2FB1">
        <w:rPr>
          <w:rFonts w:hint="eastAsia"/>
          <w:b/>
          <w:bCs/>
        </w:rPr>
        <w:t xml:space="preserve">第三十四条 </w:t>
      </w:r>
      <w:r>
        <w:t>国资监管机构负责审核国家出资企业的增资行为。其中，因增资致使国家不再拥有所出资企业控股权的，须由国资监管机构报本级人民政府批准。</w:t>
      </w:r>
    </w:p>
    <w:p w14:paraId="67E69432" w14:textId="77777777" w:rsidR="003B0D09" w:rsidRDefault="003B0D09" w:rsidP="003B0D09">
      <w:pPr>
        <w:pStyle w:val="13"/>
        <w:ind w:firstLine="482"/>
      </w:pPr>
      <w:r w:rsidRPr="003B2FB1">
        <w:rPr>
          <w:rFonts w:hint="eastAsia"/>
          <w:b/>
          <w:bCs/>
        </w:rPr>
        <w:t xml:space="preserve">第三十五条 </w:t>
      </w:r>
      <w:r>
        <w:t>国家出资企业决定其子企业的增资行为。其中，对主业处于关系国家安全、国民经济命脉的重要行业和关键领域，主要承担重大专项任务的子企业的增资行为，须由国家出资企业报同级国资监管机构批准。</w:t>
      </w:r>
    </w:p>
    <w:p w14:paraId="13D03389" w14:textId="77777777" w:rsidR="003B0D09" w:rsidRDefault="003B0D09" w:rsidP="003B0D09">
      <w:pPr>
        <w:pStyle w:val="13"/>
      </w:pPr>
      <w:r>
        <w:rPr>
          <w:rFonts w:hint="eastAsia"/>
        </w:rPr>
        <w:t>增资企业为多家国有股东共同持股的企业，由其中持股比例最大的国有股东负责履行相关批准程序；各国有股东持股比例相同的，由相关股东协商后确定其中一家股东负责履行相关批准程序。</w:t>
      </w:r>
    </w:p>
    <w:p w14:paraId="3555BB6E" w14:textId="77777777" w:rsidR="003B0D09" w:rsidRDefault="003B0D09" w:rsidP="003B0D09">
      <w:pPr>
        <w:pStyle w:val="13"/>
        <w:ind w:firstLine="482"/>
      </w:pPr>
      <w:r w:rsidRPr="003B2FB1">
        <w:rPr>
          <w:rFonts w:hint="eastAsia"/>
          <w:b/>
          <w:bCs/>
        </w:rPr>
        <w:t xml:space="preserve">第三十六条 </w:t>
      </w:r>
      <w:r>
        <w:t>企业增资应当符合国家出资企业的发展战略，做好可行性研究，制定增资方案，明确募集资金金额、用途、投资方应具备的条件、选择标准和遴选方式等。增资后企业的股东数量须符合国家相关法律法规的规定。</w:t>
      </w:r>
    </w:p>
    <w:p w14:paraId="35042854" w14:textId="77777777" w:rsidR="003B0D09" w:rsidRDefault="003B0D09" w:rsidP="003B0D09">
      <w:pPr>
        <w:pStyle w:val="13"/>
        <w:ind w:firstLine="482"/>
      </w:pPr>
      <w:r w:rsidRPr="003B2FB1">
        <w:rPr>
          <w:rFonts w:hint="eastAsia"/>
          <w:b/>
          <w:bCs/>
        </w:rPr>
        <w:t xml:space="preserve">第三十七条 </w:t>
      </w:r>
      <w:r>
        <w:t>企业增资应当由增资企业按照企业章程和内部管理制度进行决策，形成书面决议。国有控股、国有实际控制企业中国有股东委派的股东代表，应当按照本办法规定和委派单位的指示发表意见、行使表决权，并将履职情况和结果及时报告委派单位。</w:t>
      </w:r>
    </w:p>
    <w:p w14:paraId="7B8BEF49" w14:textId="77777777" w:rsidR="003B0D09" w:rsidRDefault="003B0D09" w:rsidP="003B0D09">
      <w:pPr>
        <w:pStyle w:val="13"/>
        <w:ind w:firstLine="482"/>
      </w:pPr>
      <w:r w:rsidRPr="003B2FB1">
        <w:rPr>
          <w:rFonts w:hint="eastAsia"/>
          <w:b/>
          <w:bCs/>
        </w:rPr>
        <w:t xml:space="preserve">第三十八条 </w:t>
      </w:r>
      <w:r>
        <w:t>企业增资在完成决策批准程序后，应当由增资企业委托具有相应资质的中介机构开展审计和资产评估。</w:t>
      </w:r>
    </w:p>
    <w:p w14:paraId="4267BC61" w14:textId="77777777" w:rsidR="003B0D09" w:rsidRDefault="003B0D09" w:rsidP="003B0D09">
      <w:pPr>
        <w:pStyle w:val="13"/>
      </w:pPr>
      <w:r>
        <w:rPr>
          <w:rFonts w:hint="eastAsia"/>
        </w:rPr>
        <w:t>以下情形按照《中华人民共和国公司法》、企业章程履行决策程序后，可以依据评估报告或最近一期审计报告确定企业资本及股权比例：</w:t>
      </w:r>
    </w:p>
    <w:p w14:paraId="20B2AEA1" w14:textId="77777777" w:rsidR="003B0D09" w:rsidRDefault="003B0D09" w:rsidP="003B0D09">
      <w:pPr>
        <w:pStyle w:val="13"/>
      </w:pPr>
      <w:r>
        <w:rPr>
          <w:rFonts w:hint="eastAsia"/>
        </w:rPr>
        <w:t>（一）增资企业原股东同比例增资的；</w:t>
      </w:r>
    </w:p>
    <w:p w14:paraId="01E224B8" w14:textId="77777777" w:rsidR="003B0D09" w:rsidRDefault="003B0D09" w:rsidP="003B0D09">
      <w:pPr>
        <w:pStyle w:val="13"/>
      </w:pPr>
      <w:r>
        <w:rPr>
          <w:rFonts w:hint="eastAsia"/>
        </w:rPr>
        <w:t>（二）履行出资人职责的机构对国家出资企业增资的；</w:t>
      </w:r>
    </w:p>
    <w:p w14:paraId="5BA74C3B" w14:textId="77777777" w:rsidR="003B0D09" w:rsidRDefault="003B0D09" w:rsidP="003B0D09">
      <w:pPr>
        <w:pStyle w:val="13"/>
      </w:pPr>
      <w:r>
        <w:rPr>
          <w:rFonts w:hint="eastAsia"/>
        </w:rPr>
        <w:t>（三）国有控股或国有实际控制企业对其独资子企业增资的；</w:t>
      </w:r>
    </w:p>
    <w:p w14:paraId="3C2465C7" w14:textId="77777777" w:rsidR="003B0D09" w:rsidRDefault="003B0D09" w:rsidP="003B0D09">
      <w:pPr>
        <w:pStyle w:val="13"/>
      </w:pPr>
      <w:r>
        <w:rPr>
          <w:rFonts w:hint="eastAsia"/>
        </w:rPr>
        <w:t>（四）增资企业和投资方均为国有独资或国有全资企业的。</w:t>
      </w:r>
    </w:p>
    <w:p w14:paraId="5B6154D0" w14:textId="77777777" w:rsidR="003B0D09" w:rsidRDefault="003B0D09" w:rsidP="003B0D09">
      <w:pPr>
        <w:pStyle w:val="13"/>
        <w:ind w:firstLine="482"/>
      </w:pPr>
      <w:r w:rsidRPr="003B2FB1">
        <w:rPr>
          <w:rFonts w:hint="eastAsia"/>
          <w:b/>
          <w:bCs/>
        </w:rPr>
        <w:t xml:space="preserve">第三十九条 </w:t>
      </w:r>
      <w:r>
        <w:t>企业增资通过产权交易机构网站对外披露信息公开征集投资方，时间不得少于40个工作日。信息披露内容包括但不限于：</w:t>
      </w:r>
    </w:p>
    <w:p w14:paraId="3FFFA161" w14:textId="77777777" w:rsidR="003B0D09" w:rsidRDefault="003B0D09" w:rsidP="003B0D09">
      <w:pPr>
        <w:pStyle w:val="13"/>
      </w:pPr>
      <w:r>
        <w:rPr>
          <w:rFonts w:hint="eastAsia"/>
        </w:rPr>
        <w:t>（一）企业的基本情况；</w:t>
      </w:r>
    </w:p>
    <w:p w14:paraId="4CDEDCB4" w14:textId="77777777" w:rsidR="003B0D09" w:rsidRDefault="003B0D09" w:rsidP="003B0D09">
      <w:pPr>
        <w:pStyle w:val="13"/>
      </w:pPr>
      <w:r>
        <w:rPr>
          <w:rFonts w:hint="eastAsia"/>
        </w:rPr>
        <w:t>（二）企业目前的股权结构；</w:t>
      </w:r>
    </w:p>
    <w:p w14:paraId="1CC5D6C2" w14:textId="77777777" w:rsidR="003B0D09" w:rsidRDefault="003B0D09" w:rsidP="003B0D09">
      <w:pPr>
        <w:pStyle w:val="13"/>
      </w:pPr>
      <w:r>
        <w:rPr>
          <w:rFonts w:hint="eastAsia"/>
        </w:rPr>
        <w:t>（三）企业增资行为的决策及批准情况；</w:t>
      </w:r>
    </w:p>
    <w:p w14:paraId="6CCCA37F" w14:textId="77777777" w:rsidR="003B0D09" w:rsidRDefault="003B0D09" w:rsidP="003B0D09">
      <w:pPr>
        <w:pStyle w:val="13"/>
      </w:pPr>
      <w:r>
        <w:rPr>
          <w:rFonts w:hint="eastAsia"/>
        </w:rPr>
        <w:t>（四）近三年企业审计报告中的主要财务指标；</w:t>
      </w:r>
    </w:p>
    <w:p w14:paraId="01A922DF" w14:textId="77777777" w:rsidR="003B0D09" w:rsidRDefault="003B0D09" w:rsidP="003B0D09">
      <w:pPr>
        <w:pStyle w:val="13"/>
      </w:pPr>
      <w:r>
        <w:rPr>
          <w:rFonts w:hint="eastAsia"/>
        </w:rPr>
        <w:t>（五）企业拟募集资金金额和增资后的企业股权结构；</w:t>
      </w:r>
    </w:p>
    <w:p w14:paraId="50AB6F7F" w14:textId="77777777" w:rsidR="003B0D09" w:rsidRDefault="003B0D09" w:rsidP="003B0D09">
      <w:pPr>
        <w:pStyle w:val="13"/>
      </w:pPr>
      <w:r>
        <w:rPr>
          <w:rFonts w:hint="eastAsia"/>
        </w:rPr>
        <w:t>（六）募集资金用途；</w:t>
      </w:r>
    </w:p>
    <w:p w14:paraId="5BE1349A" w14:textId="77777777" w:rsidR="003B0D09" w:rsidRDefault="003B0D09" w:rsidP="003B0D09">
      <w:pPr>
        <w:pStyle w:val="13"/>
      </w:pPr>
      <w:r>
        <w:rPr>
          <w:rFonts w:hint="eastAsia"/>
        </w:rPr>
        <w:t>（七）投资方的资格条件，以及投资金额和持股比例要求等；</w:t>
      </w:r>
    </w:p>
    <w:p w14:paraId="69ABD89A" w14:textId="77777777" w:rsidR="003B0D09" w:rsidRDefault="003B0D09" w:rsidP="003B0D09">
      <w:pPr>
        <w:pStyle w:val="13"/>
      </w:pPr>
      <w:r>
        <w:rPr>
          <w:rFonts w:hint="eastAsia"/>
        </w:rPr>
        <w:t>（八）投资方的遴选方式；</w:t>
      </w:r>
    </w:p>
    <w:p w14:paraId="00A171ED" w14:textId="77777777" w:rsidR="003B0D09" w:rsidRDefault="003B0D09" w:rsidP="003B0D09">
      <w:pPr>
        <w:pStyle w:val="13"/>
      </w:pPr>
      <w:r>
        <w:rPr>
          <w:rFonts w:hint="eastAsia"/>
        </w:rPr>
        <w:lastRenderedPageBreak/>
        <w:t>（九）增资终止的条件；</w:t>
      </w:r>
    </w:p>
    <w:p w14:paraId="4C9C4CBD" w14:textId="77777777" w:rsidR="003B0D09" w:rsidRDefault="003B0D09" w:rsidP="003B0D09">
      <w:pPr>
        <w:pStyle w:val="13"/>
      </w:pPr>
      <w:r>
        <w:rPr>
          <w:rFonts w:hint="eastAsia"/>
        </w:rPr>
        <w:t>（十）其他需要披露的事项。</w:t>
      </w:r>
    </w:p>
    <w:p w14:paraId="2338DEFB" w14:textId="77777777" w:rsidR="003B0D09" w:rsidRDefault="003B0D09" w:rsidP="003B0D09">
      <w:pPr>
        <w:pStyle w:val="13"/>
        <w:ind w:firstLine="482"/>
      </w:pPr>
      <w:r w:rsidRPr="003B2FB1">
        <w:rPr>
          <w:rFonts w:hint="eastAsia"/>
          <w:b/>
          <w:bCs/>
        </w:rPr>
        <w:t xml:space="preserve">第四十条 </w:t>
      </w:r>
      <w:r>
        <w:t>企业增资涉及上市公司实际控制人发生变更的，应当同时遵守上市公司国有股权管理以及证券监管相关规定。</w:t>
      </w:r>
    </w:p>
    <w:p w14:paraId="57CF0CD6" w14:textId="77777777" w:rsidR="003B0D09" w:rsidRDefault="003B0D09" w:rsidP="003B0D09">
      <w:pPr>
        <w:pStyle w:val="13"/>
        <w:ind w:firstLine="482"/>
      </w:pPr>
      <w:r w:rsidRPr="003B2FB1">
        <w:rPr>
          <w:rFonts w:hint="eastAsia"/>
          <w:b/>
          <w:bCs/>
        </w:rPr>
        <w:t xml:space="preserve">第四十一条 </w:t>
      </w:r>
      <w:r>
        <w:t>产权交易机构接受增资企业的委托提供项目推介服务，负责意向投资方的登记工作，协助企业开展投资方资格审查。</w:t>
      </w:r>
    </w:p>
    <w:p w14:paraId="3D2C5CC9" w14:textId="77777777" w:rsidR="003B0D09" w:rsidRDefault="003B0D09" w:rsidP="003B0D09">
      <w:pPr>
        <w:pStyle w:val="13"/>
        <w:ind w:firstLine="482"/>
      </w:pPr>
      <w:r w:rsidRPr="003B2FB1">
        <w:rPr>
          <w:rFonts w:hint="eastAsia"/>
          <w:b/>
          <w:bCs/>
        </w:rPr>
        <w:t xml:space="preserve">第四十二条 </w:t>
      </w:r>
      <w:r>
        <w:t>通过资格审查的意向投资方数量较多时，可以采用竞价、竞争性谈判、综合评议等方式进行多轮次遴选。产权交易机构负责统一接收意向投资方的投标和报价文件，协助企业开展投资方遴选有关工作。企业董事会或股东会以资产评估结果为基础，结合意向投资方的条件和报价等因素审议选定投资方。</w:t>
      </w:r>
    </w:p>
    <w:p w14:paraId="69F06C33" w14:textId="77777777" w:rsidR="003B0D09" w:rsidRDefault="003B0D09" w:rsidP="003B0D09">
      <w:pPr>
        <w:pStyle w:val="13"/>
        <w:ind w:firstLine="482"/>
      </w:pPr>
      <w:r w:rsidRPr="003B2FB1">
        <w:rPr>
          <w:rFonts w:hint="eastAsia"/>
          <w:b/>
          <w:bCs/>
        </w:rPr>
        <w:t xml:space="preserve">第四十三条 </w:t>
      </w:r>
      <w:r>
        <w:t>投资方以非货币资产出资的，应当经增资企业董事会或股东会审议同意，并委托具有相应资质的评估机构进行评估，确认投资方的出资金额。</w:t>
      </w:r>
    </w:p>
    <w:p w14:paraId="4773D0EB" w14:textId="77777777" w:rsidR="003B0D09" w:rsidRDefault="003B0D09" w:rsidP="003B0D09">
      <w:pPr>
        <w:pStyle w:val="13"/>
        <w:ind w:firstLine="482"/>
      </w:pPr>
      <w:r w:rsidRPr="003B2FB1">
        <w:rPr>
          <w:rFonts w:hint="eastAsia"/>
          <w:b/>
          <w:bCs/>
        </w:rPr>
        <w:t xml:space="preserve">第四十四条 </w:t>
      </w:r>
      <w:r>
        <w:t>增资协议签订并生效后，产权交易机构应当出具交易凭证，通过交易机构网站对外公告结果，公告内容包括投资方名称、投资金额、持股比例等，公告期不少于5个工作日。</w:t>
      </w:r>
    </w:p>
    <w:p w14:paraId="4122B2E5" w14:textId="77777777" w:rsidR="003B0D09" w:rsidRDefault="003B0D09" w:rsidP="003B0D09">
      <w:pPr>
        <w:pStyle w:val="13"/>
        <w:ind w:firstLine="482"/>
      </w:pPr>
      <w:r w:rsidRPr="003B2FB1">
        <w:rPr>
          <w:rFonts w:hint="eastAsia"/>
          <w:b/>
          <w:bCs/>
        </w:rPr>
        <w:t xml:space="preserve">第四十五条 </w:t>
      </w:r>
      <w:r>
        <w:t>以下情形经同级国资监管机构批准，可以采取非公开协议方式进行增资：</w:t>
      </w:r>
    </w:p>
    <w:p w14:paraId="6B35C7C4" w14:textId="77777777" w:rsidR="003B0D09" w:rsidRDefault="003B0D09" w:rsidP="003B0D09">
      <w:pPr>
        <w:pStyle w:val="13"/>
      </w:pPr>
      <w:r>
        <w:rPr>
          <w:rFonts w:hint="eastAsia"/>
        </w:rPr>
        <w:t>（一）因国有资本布局结构调整需要，由特定的国有及国有控股企业或国有实际控制企业参与增资；</w:t>
      </w:r>
    </w:p>
    <w:p w14:paraId="093D9C79" w14:textId="77777777" w:rsidR="003B0D09" w:rsidRDefault="003B0D09" w:rsidP="003B0D09">
      <w:pPr>
        <w:pStyle w:val="13"/>
      </w:pPr>
      <w:r>
        <w:rPr>
          <w:rFonts w:hint="eastAsia"/>
        </w:rPr>
        <w:t>（二）因国家出资企业与特定投资方建立战略合作伙伴或利益共同体需要，由该投资方参与国家出资企业或其子企业增资。</w:t>
      </w:r>
    </w:p>
    <w:p w14:paraId="1BA88196" w14:textId="77777777" w:rsidR="003B0D09" w:rsidRDefault="003B0D09" w:rsidP="003B0D09">
      <w:pPr>
        <w:pStyle w:val="13"/>
        <w:ind w:firstLine="482"/>
      </w:pPr>
      <w:r w:rsidRPr="003B2FB1">
        <w:rPr>
          <w:rFonts w:hint="eastAsia"/>
          <w:b/>
          <w:bCs/>
        </w:rPr>
        <w:t xml:space="preserve">第四十六条 </w:t>
      </w:r>
      <w:r>
        <w:t>以下情形经国家出资企业审议决策，可以采取非公开协议方式进行增资：</w:t>
      </w:r>
    </w:p>
    <w:p w14:paraId="2A8010BD" w14:textId="77777777" w:rsidR="003B0D09" w:rsidRDefault="003B0D09" w:rsidP="003B0D09">
      <w:pPr>
        <w:pStyle w:val="13"/>
      </w:pPr>
      <w:r>
        <w:rPr>
          <w:rFonts w:hint="eastAsia"/>
        </w:rPr>
        <w:t>（一）国家出资企业直接或指定其控股、实际控制的其他子企业参与增资；</w:t>
      </w:r>
    </w:p>
    <w:p w14:paraId="0E0EF3D0" w14:textId="77777777" w:rsidR="003B0D09" w:rsidRDefault="003B0D09" w:rsidP="003B0D09">
      <w:pPr>
        <w:pStyle w:val="13"/>
      </w:pPr>
      <w:r>
        <w:rPr>
          <w:rFonts w:hint="eastAsia"/>
        </w:rPr>
        <w:t>（二）企业债权转为股权；</w:t>
      </w:r>
    </w:p>
    <w:p w14:paraId="6EAC1B2C" w14:textId="77777777" w:rsidR="003B0D09" w:rsidRDefault="003B0D09" w:rsidP="003B0D09">
      <w:pPr>
        <w:pStyle w:val="13"/>
      </w:pPr>
      <w:r>
        <w:rPr>
          <w:rFonts w:hint="eastAsia"/>
        </w:rPr>
        <w:t>（三）企业原股东增资。</w:t>
      </w:r>
    </w:p>
    <w:p w14:paraId="5B9B520E" w14:textId="77777777" w:rsidR="003B0D09" w:rsidRDefault="003B0D09" w:rsidP="003B0D09">
      <w:pPr>
        <w:pStyle w:val="13"/>
        <w:ind w:firstLine="482"/>
      </w:pPr>
      <w:r w:rsidRPr="003B2FB1">
        <w:rPr>
          <w:rFonts w:hint="eastAsia"/>
          <w:b/>
          <w:bCs/>
        </w:rPr>
        <w:t xml:space="preserve">第四十七条 </w:t>
      </w:r>
      <w:r>
        <w:t>国资监管机构批准、国家出资企业审议决策采取非公开协议方式的企业增资行为时，应当审核下列文件：</w:t>
      </w:r>
    </w:p>
    <w:p w14:paraId="70A7D2A7" w14:textId="77777777" w:rsidR="003B0D09" w:rsidRDefault="003B0D09" w:rsidP="003B0D09">
      <w:pPr>
        <w:pStyle w:val="13"/>
      </w:pPr>
      <w:r>
        <w:rPr>
          <w:rFonts w:hint="eastAsia"/>
        </w:rPr>
        <w:t>（一）增资的有关决议文件；</w:t>
      </w:r>
    </w:p>
    <w:p w14:paraId="71493C43" w14:textId="77777777" w:rsidR="003B0D09" w:rsidRDefault="003B0D09" w:rsidP="003B0D09">
      <w:pPr>
        <w:pStyle w:val="13"/>
      </w:pPr>
      <w:r>
        <w:rPr>
          <w:rFonts w:hint="eastAsia"/>
        </w:rPr>
        <w:t>（二）增资方案；</w:t>
      </w:r>
    </w:p>
    <w:p w14:paraId="2199D040" w14:textId="77777777" w:rsidR="003B0D09" w:rsidRDefault="003B0D09" w:rsidP="003B0D09">
      <w:pPr>
        <w:pStyle w:val="13"/>
      </w:pPr>
      <w:r>
        <w:rPr>
          <w:rFonts w:hint="eastAsia"/>
        </w:rPr>
        <w:t>（三）采取非公开协议方式增资的必要性以及投资方情况；</w:t>
      </w:r>
    </w:p>
    <w:p w14:paraId="24D6EF1C" w14:textId="77777777" w:rsidR="003B0D09" w:rsidRDefault="003B0D09" w:rsidP="003B0D09">
      <w:pPr>
        <w:pStyle w:val="13"/>
      </w:pPr>
      <w:r>
        <w:rPr>
          <w:rFonts w:hint="eastAsia"/>
        </w:rPr>
        <w:t>（四）增资企业审计报告、资产评估报告及其核准或备案文件。其中属于第三十八条（一）、（二）、（三）、（四）款情形的，可以仅提供企业审计报告；</w:t>
      </w:r>
    </w:p>
    <w:p w14:paraId="649FC010" w14:textId="77777777" w:rsidR="003B0D09" w:rsidRDefault="003B0D09" w:rsidP="003B0D09">
      <w:pPr>
        <w:pStyle w:val="13"/>
      </w:pPr>
      <w:r>
        <w:rPr>
          <w:rFonts w:hint="eastAsia"/>
        </w:rPr>
        <w:t>（五）增资协议；</w:t>
      </w:r>
    </w:p>
    <w:p w14:paraId="5F981D2C" w14:textId="77777777" w:rsidR="003B0D09" w:rsidRDefault="003B0D09" w:rsidP="003B0D09">
      <w:pPr>
        <w:pStyle w:val="13"/>
      </w:pPr>
      <w:r>
        <w:rPr>
          <w:rFonts w:hint="eastAsia"/>
        </w:rPr>
        <w:lastRenderedPageBreak/>
        <w:t>（六）增资企业的国家出资企业产权登记表（证）；</w:t>
      </w:r>
    </w:p>
    <w:p w14:paraId="69A40862" w14:textId="77777777" w:rsidR="003B0D09" w:rsidRDefault="003B0D09" w:rsidP="003B0D09">
      <w:pPr>
        <w:pStyle w:val="13"/>
      </w:pPr>
      <w:r>
        <w:rPr>
          <w:rFonts w:hint="eastAsia"/>
        </w:rPr>
        <w:t>（七）增资行为的法律意见书；</w:t>
      </w:r>
    </w:p>
    <w:p w14:paraId="54E28AEA" w14:textId="77777777" w:rsidR="003B0D09" w:rsidRDefault="003B0D09" w:rsidP="003B0D09">
      <w:pPr>
        <w:pStyle w:val="13"/>
      </w:pPr>
      <w:r>
        <w:rPr>
          <w:rFonts w:hint="eastAsia"/>
        </w:rPr>
        <w:t>（八）其他必要的文件。</w:t>
      </w:r>
    </w:p>
    <w:p w14:paraId="11F821C1" w14:textId="77777777" w:rsidR="003B0D09" w:rsidRDefault="003B0D09" w:rsidP="00AF7342">
      <w:pPr>
        <w:pStyle w:val="a9"/>
        <w:spacing w:before="62" w:after="62"/>
      </w:pPr>
      <w:r>
        <w:rPr>
          <w:rFonts w:hint="eastAsia"/>
        </w:rPr>
        <w:t>第四章</w:t>
      </w:r>
      <w:r>
        <w:t xml:space="preserve"> 企业资产转让</w:t>
      </w:r>
    </w:p>
    <w:p w14:paraId="7733AE6B" w14:textId="77777777" w:rsidR="003B0D09" w:rsidRDefault="003B0D09" w:rsidP="003B0D09">
      <w:pPr>
        <w:pStyle w:val="13"/>
        <w:ind w:firstLine="482"/>
      </w:pPr>
      <w:r w:rsidRPr="00281247">
        <w:rPr>
          <w:rFonts w:hint="eastAsia"/>
          <w:b/>
          <w:bCs/>
        </w:rPr>
        <w:t>第四十八条</w:t>
      </w:r>
      <w:r>
        <w:t xml:space="preserve"> 企业一定金额以上的生产设备、房产、在建工程以及土地使用权、债权、知识产权等资产对外转让，应当按照企业内部管理制度履行相应决策程序后，在产权交易机构公开进行。涉及国家出资企业内部或特定行业的资产转让，确需在国有及国有控股、国有实际控制企业之间非公开转让的，由转让方逐级报国家出资企业审核批准。</w:t>
      </w:r>
    </w:p>
    <w:p w14:paraId="14B73FC0" w14:textId="77777777" w:rsidR="003B0D09" w:rsidRDefault="003B0D09" w:rsidP="003B0D09">
      <w:pPr>
        <w:pStyle w:val="13"/>
        <w:ind w:firstLine="482"/>
      </w:pPr>
      <w:r w:rsidRPr="00281247">
        <w:rPr>
          <w:rFonts w:hint="eastAsia"/>
          <w:b/>
          <w:bCs/>
        </w:rPr>
        <w:t>第四十九条</w:t>
      </w:r>
      <w:r>
        <w:t xml:space="preserve"> 国家出资企业负责制定本企业不同类型资产转让行为的内部管理制度，明确责任部门、管理权限、决策程序、工作流程，对其中应当在产权交易机构公开转让的资产种类、金额标准等</w:t>
      </w:r>
      <w:proofErr w:type="gramStart"/>
      <w:r>
        <w:t>作出</w:t>
      </w:r>
      <w:proofErr w:type="gramEnd"/>
      <w:r>
        <w:t>具体规定，并报同级国资监管机构备案。</w:t>
      </w:r>
    </w:p>
    <w:p w14:paraId="55156C69" w14:textId="77777777" w:rsidR="003B0D09" w:rsidRDefault="003B0D09" w:rsidP="003B0D09">
      <w:pPr>
        <w:pStyle w:val="13"/>
        <w:ind w:firstLine="482"/>
      </w:pPr>
      <w:r w:rsidRPr="00281247">
        <w:rPr>
          <w:rFonts w:hint="eastAsia"/>
          <w:b/>
          <w:bCs/>
        </w:rPr>
        <w:t>第五十条</w:t>
      </w:r>
      <w:r>
        <w:t xml:space="preserve"> 转让方应当根据转让标的情况合理确定转让底价和转让信息公告期：</w:t>
      </w:r>
    </w:p>
    <w:p w14:paraId="31ECD2CF" w14:textId="77777777" w:rsidR="003B0D09" w:rsidRDefault="003B0D09" w:rsidP="003B0D09">
      <w:pPr>
        <w:pStyle w:val="13"/>
      </w:pPr>
      <w:r>
        <w:rPr>
          <w:rFonts w:hint="eastAsia"/>
        </w:rPr>
        <w:t>（一）转让底价高于</w:t>
      </w:r>
      <w:r>
        <w:t>100万元、低于1000万元的资产转让项目，信息公告期应不少于10个工作日；</w:t>
      </w:r>
    </w:p>
    <w:p w14:paraId="656020CB" w14:textId="77777777" w:rsidR="003B0D09" w:rsidRDefault="003B0D09" w:rsidP="003B0D09">
      <w:pPr>
        <w:pStyle w:val="13"/>
      </w:pPr>
      <w:r>
        <w:rPr>
          <w:rFonts w:hint="eastAsia"/>
        </w:rPr>
        <w:t>（二）转让底价高于</w:t>
      </w:r>
      <w:r>
        <w:t>1000万元的资产转让项目，信息公告期应不少于20个工作日。</w:t>
      </w:r>
    </w:p>
    <w:p w14:paraId="33D70488" w14:textId="77777777" w:rsidR="003B0D09" w:rsidRDefault="003B0D09" w:rsidP="003B0D09">
      <w:pPr>
        <w:pStyle w:val="13"/>
      </w:pPr>
      <w:r>
        <w:rPr>
          <w:rFonts w:hint="eastAsia"/>
        </w:rPr>
        <w:t>企业资产转让的具体工作流程参照本办法关于企业产权转让的规定执行。</w:t>
      </w:r>
    </w:p>
    <w:p w14:paraId="5AD5A7C0" w14:textId="77777777" w:rsidR="003B0D09" w:rsidRDefault="003B0D09" w:rsidP="003B0D09">
      <w:pPr>
        <w:pStyle w:val="13"/>
        <w:ind w:firstLine="482"/>
      </w:pPr>
      <w:r w:rsidRPr="00281247">
        <w:rPr>
          <w:rFonts w:hint="eastAsia"/>
          <w:b/>
          <w:bCs/>
        </w:rPr>
        <w:t>第五十一条</w:t>
      </w:r>
      <w:r>
        <w:t xml:space="preserve"> 除国家法律法规或相关规定另有要求的外，资产转让不得对受让方设置资格条件。</w:t>
      </w:r>
    </w:p>
    <w:p w14:paraId="5191627E" w14:textId="77777777" w:rsidR="003B0D09" w:rsidRDefault="003B0D09" w:rsidP="003B0D09">
      <w:pPr>
        <w:pStyle w:val="13"/>
        <w:ind w:firstLine="482"/>
      </w:pPr>
      <w:r w:rsidRPr="00281247">
        <w:rPr>
          <w:rFonts w:hint="eastAsia"/>
          <w:b/>
          <w:bCs/>
        </w:rPr>
        <w:t>第五十二条</w:t>
      </w:r>
      <w:r>
        <w:t xml:space="preserve"> 资产转让价款原则上一次性付清。</w:t>
      </w:r>
    </w:p>
    <w:p w14:paraId="517C4B46" w14:textId="77777777" w:rsidR="003B0D09" w:rsidRDefault="003B0D09" w:rsidP="00AF7342">
      <w:pPr>
        <w:pStyle w:val="a9"/>
        <w:spacing w:before="62" w:after="62"/>
      </w:pPr>
      <w:r>
        <w:rPr>
          <w:rFonts w:hint="eastAsia"/>
        </w:rPr>
        <w:t>第五章</w:t>
      </w:r>
      <w:r>
        <w:t xml:space="preserve"> 监督管理</w:t>
      </w:r>
    </w:p>
    <w:p w14:paraId="28608B8E" w14:textId="77777777" w:rsidR="003B0D09" w:rsidRDefault="003B0D09" w:rsidP="003B0D09">
      <w:pPr>
        <w:pStyle w:val="13"/>
        <w:ind w:firstLine="482"/>
      </w:pPr>
      <w:r w:rsidRPr="00281247">
        <w:rPr>
          <w:rFonts w:hint="eastAsia"/>
          <w:b/>
          <w:bCs/>
        </w:rPr>
        <w:t>第五十三条</w:t>
      </w:r>
      <w:r>
        <w:t xml:space="preserve"> 国资监管机构及其他履行出资人职责的机构对企业国有资产交易履行以下监管职责：</w:t>
      </w:r>
    </w:p>
    <w:p w14:paraId="1AD6993C" w14:textId="77777777" w:rsidR="003B0D09" w:rsidRDefault="003B0D09" w:rsidP="003B0D09">
      <w:pPr>
        <w:pStyle w:val="13"/>
      </w:pPr>
      <w:r>
        <w:rPr>
          <w:rFonts w:hint="eastAsia"/>
        </w:rPr>
        <w:t>（一）根据国家有关法律法规，制定企业国有资产交易监管制度和办法；</w:t>
      </w:r>
    </w:p>
    <w:p w14:paraId="35C153B0" w14:textId="77777777" w:rsidR="003B0D09" w:rsidRDefault="003B0D09" w:rsidP="003B0D09">
      <w:pPr>
        <w:pStyle w:val="13"/>
      </w:pPr>
      <w:r>
        <w:rPr>
          <w:rFonts w:hint="eastAsia"/>
        </w:rPr>
        <w:t>（二）按照本办法规定，审核批准企业产权转让、增资等事项；</w:t>
      </w:r>
    </w:p>
    <w:p w14:paraId="54B445F4" w14:textId="77777777" w:rsidR="003B0D09" w:rsidRDefault="003B0D09" w:rsidP="003B0D09">
      <w:pPr>
        <w:pStyle w:val="13"/>
      </w:pPr>
      <w:r>
        <w:rPr>
          <w:rFonts w:hint="eastAsia"/>
        </w:rPr>
        <w:t>（三）选择从事企业国有资产交易业务的产权交易机构，并建立对交易机构的检查评审机制；</w:t>
      </w:r>
    </w:p>
    <w:p w14:paraId="22EC7244" w14:textId="77777777" w:rsidR="003B0D09" w:rsidRDefault="003B0D09" w:rsidP="003B0D09">
      <w:pPr>
        <w:pStyle w:val="13"/>
      </w:pPr>
      <w:r>
        <w:rPr>
          <w:rFonts w:hint="eastAsia"/>
        </w:rPr>
        <w:t>（四）对企业国有资产交易制度的贯彻落实情况进行监督检查；</w:t>
      </w:r>
    </w:p>
    <w:p w14:paraId="63E85F43" w14:textId="77777777" w:rsidR="003B0D09" w:rsidRDefault="003B0D09" w:rsidP="003B0D09">
      <w:pPr>
        <w:pStyle w:val="13"/>
      </w:pPr>
      <w:r>
        <w:rPr>
          <w:rFonts w:hint="eastAsia"/>
        </w:rPr>
        <w:t>（五）负责企业国有资产交易信息的收集、汇总、分析和上报工作；</w:t>
      </w:r>
    </w:p>
    <w:p w14:paraId="649B6EE5" w14:textId="77777777" w:rsidR="003B0D09" w:rsidRDefault="003B0D09" w:rsidP="003B0D09">
      <w:pPr>
        <w:pStyle w:val="13"/>
      </w:pPr>
      <w:r>
        <w:rPr>
          <w:rFonts w:hint="eastAsia"/>
        </w:rPr>
        <w:t>（六）履行本级人民政府赋予的其他监管职责。</w:t>
      </w:r>
    </w:p>
    <w:p w14:paraId="39FA3410" w14:textId="77777777" w:rsidR="003B0D09" w:rsidRDefault="003B0D09" w:rsidP="003B0D09">
      <w:pPr>
        <w:pStyle w:val="13"/>
        <w:ind w:firstLine="482"/>
      </w:pPr>
      <w:r w:rsidRPr="00EC071E">
        <w:rPr>
          <w:rFonts w:hint="eastAsia"/>
          <w:b/>
          <w:bCs/>
        </w:rPr>
        <w:t>第五十四条</w:t>
      </w:r>
      <w:r>
        <w:t xml:space="preserve"> 省级以上国资监管机构应当在全国范围选择开展企业国有资产交易业务的产权交易机构，并对外公布名单。选择的产权交易机构应当满足以下条件：</w:t>
      </w:r>
    </w:p>
    <w:p w14:paraId="4EAC20BB" w14:textId="77777777" w:rsidR="003B0D09" w:rsidRDefault="003B0D09" w:rsidP="003B0D09">
      <w:pPr>
        <w:pStyle w:val="13"/>
      </w:pPr>
      <w:r>
        <w:rPr>
          <w:rFonts w:hint="eastAsia"/>
        </w:rPr>
        <w:lastRenderedPageBreak/>
        <w:t>（一）严格遵守国家法律法规，未从事政府明令禁止开展的业务，未发生重大违法违规行为；</w:t>
      </w:r>
    </w:p>
    <w:p w14:paraId="3C707462" w14:textId="77777777" w:rsidR="003B0D09" w:rsidRDefault="003B0D09" w:rsidP="003B0D09">
      <w:pPr>
        <w:pStyle w:val="13"/>
      </w:pPr>
      <w:r>
        <w:rPr>
          <w:rFonts w:hint="eastAsia"/>
        </w:rPr>
        <w:t>（二）交易管理制度、业务规则、收费标准等向社会公开，交易规则符合国有资产交易制度规定；</w:t>
      </w:r>
    </w:p>
    <w:p w14:paraId="412DB442" w14:textId="77777777" w:rsidR="003B0D09" w:rsidRDefault="003B0D09" w:rsidP="003B0D09">
      <w:pPr>
        <w:pStyle w:val="13"/>
      </w:pPr>
      <w:r>
        <w:rPr>
          <w:rFonts w:hint="eastAsia"/>
        </w:rPr>
        <w:t>（三）拥有组织交易活动的场所、设施、信息发布渠道和专业人员，具备实施网络竞价的条件；</w:t>
      </w:r>
    </w:p>
    <w:p w14:paraId="11692DF5" w14:textId="77777777" w:rsidR="003B0D09" w:rsidRDefault="003B0D09" w:rsidP="003B0D09">
      <w:pPr>
        <w:pStyle w:val="13"/>
      </w:pPr>
      <w:r>
        <w:rPr>
          <w:rFonts w:hint="eastAsia"/>
        </w:rPr>
        <w:t>（四）具有较强的市场影响力，服务能力和水平能够满足企业国有资产交易的需要；</w:t>
      </w:r>
    </w:p>
    <w:p w14:paraId="0B14CBA6" w14:textId="77777777" w:rsidR="003B0D09" w:rsidRDefault="003B0D09" w:rsidP="003B0D09">
      <w:pPr>
        <w:pStyle w:val="13"/>
      </w:pPr>
      <w:r>
        <w:rPr>
          <w:rFonts w:hint="eastAsia"/>
        </w:rPr>
        <w:t>（五）信息化建设和管理水平</w:t>
      </w:r>
      <w:proofErr w:type="gramStart"/>
      <w:r>
        <w:rPr>
          <w:rFonts w:hint="eastAsia"/>
        </w:rPr>
        <w:t>满足国</w:t>
      </w:r>
      <w:proofErr w:type="gramEnd"/>
      <w:r>
        <w:rPr>
          <w:rFonts w:hint="eastAsia"/>
        </w:rPr>
        <w:t>资监管机构对交易业务动态监测的要求；</w:t>
      </w:r>
    </w:p>
    <w:p w14:paraId="37D56942" w14:textId="77777777" w:rsidR="003B0D09" w:rsidRDefault="003B0D09" w:rsidP="003B0D09">
      <w:pPr>
        <w:pStyle w:val="13"/>
      </w:pPr>
      <w:r>
        <w:rPr>
          <w:rFonts w:hint="eastAsia"/>
        </w:rPr>
        <w:t>（六）相关交易业务接受国资监管机构的监督检查。</w:t>
      </w:r>
    </w:p>
    <w:p w14:paraId="1133ED89" w14:textId="77777777" w:rsidR="003B0D09" w:rsidRDefault="003B0D09" w:rsidP="003B0D09">
      <w:pPr>
        <w:pStyle w:val="13"/>
        <w:ind w:firstLine="482"/>
      </w:pPr>
      <w:r w:rsidRPr="00EC071E">
        <w:rPr>
          <w:rFonts w:hint="eastAsia"/>
          <w:b/>
          <w:bCs/>
        </w:rPr>
        <w:t>第五十五条</w:t>
      </w:r>
      <w:r>
        <w:t xml:space="preserve"> 国资监管机构应当对产权交易机构开展企业国有资产交易业务的情况进行动态监督。交易机构出现以下情形的，视情节轻重对其进行提醒、警告、通报、暂停直至停止委托从事相关业务：</w:t>
      </w:r>
    </w:p>
    <w:p w14:paraId="102C4B1B" w14:textId="77777777" w:rsidR="003B0D09" w:rsidRDefault="003B0D09" w:rsidP="003B0D09">
      <w:pPr>
        <w:pStyle w:val="13"/>
      </w:pPr>
      <w:r>
        <w:rPr>
          <w:rFonts w:hint="eastAsia"/>
        </w:rPr>
        <w:t>（一）服务能力和服务水平较差，市场功能未得到充分发挥；</w:t>
      </w:r>
    </w:p>
    <w:p w14:paraId="0E4A1657" w14:textId="77777777" w:rsidR="003B0D09" w:rsidRDefault="003B0D09" w:rsidP="003B0D09">
      <w:pPr>
        <w:pStyle w:val="13"/>
      </w:pPr>
      <w:r>
        <w:rPr>
          <w:rFonts w:hint="eastAsia"/>
        </w:rPr>
        <w:t>（二）在日常监管和定期检查评审中发现问题较多，且整改不及时或整改效果不明显；</w:t>
      </w:r>
    </w:p>
    <w:p w14:paraId="4B47BEAD" w14:textId="77777777" w:rsidR="003B0D09" w:rsidRDefault="003B0D09" w:rsidP="003B0D09">
      <w:pPr>
        <w:pStyle w:val="13"/>
      </w:pPr>
      <w:r>
        <w:rPr>
          <w:rFonts w:hint="eastAsia"/>
        </w:rPr>
        <w:t>（三）因违规操作、重大过失等导致企业国有资产在交易过程中出现损失；</w:t>
      </w:r>
    </w:p>
    <w:p w14:paraId="1A6AE019" w14:textId="77777777" w:rsidR="003B0D09" w:rsidRDefault="003B0D09" w:rsidP="003B0D09">
      <w:pPr>
        <w:pStyle w:val="13"/>
      </w:pPr>
      <w:r>
        <w:rPr>
          <w:rFonts w:hint="eastAsia"/>
        </w:rPr>
        <w:t>（四）违反相关规定，被政府有关部门予以行政处罚而影响业务开展；</w:t>
      </w:r>
    </w:p>
    <w:p w14:paraId="1123CC1E" w14:textId="77777777" w:rsidR="003B0D09" w:rsidRDefault="003B0D09" w:rsidP="003B0D09">
      <w:pPr>
        <w:pStyle w:val="13"/>
      </w:pPr>
      <w:r>
        <w:rPr>
          <w:rFonts w:hint="eastAsia"/>
        </w:rPr>
        <w:t>（五）拒绝接受国资监管机构对其相关业务开展监督检查；</w:t>
      </w:r>
    </w:p>
    <w:p w14:paraId="255A54BF" w14:textId="77777777" w:rsidR="003B0D09" w:rsidRDefault="003B0D09" w:rsidP="003B0D09">
      <w:pPr>
        <w:pStyle w:val="13"/>
      </w:pPr>
      <w:r>
        <w:rPr>
          <w:rFonts w:hint="eastAsia"/>
        </w:rPr>
        <w:t>（六）不能</w:t>
      </w:r>
      <w:proofErr w:type="gramStart"/>
      <w:r>
        <w:rPr>
          <w:rFonts w:hint="eastAsia"/>
        </w:rPr>
        <w:t>满足国</w:t>
      </w:r>
      <w:proofErr w:type="gramEnd"/>
      <w:r>
        <w:rPr>
          <w:rFonts w:hint="eastAsia"/>
        </w:rPr>
        <w:t>资监管机构监管要求的其他情形。</w:t>
      </w:r>
    </w:p>
    <w:p w14:paraId="1571DF8F" w14:textId="77777777" w:rsidR="003B0D09" w:rsidRDefault="003B0D09" w:rsidP="003B0D09">
      <w:pPr>
        <w:pStyle w:val="13"/>
        <w:ind w:firstLine="482"/>
      </w:pPr>
      <w:r w:rsidRPr="00EC071E">
        <w:rPr>
          <w:rFonts w:hint="eastAsia"/>
          <w:b/>
          <w:bCs/>
        </w:rPr>
        <w:t>第五十六条</w:t>
      </w:r>
      <w:r>
        <w:t xml:space="preserve"> 国资监管机构发现转让方或增资企业未执行或违反相关规定、侵害国有权益的，应当责成其停止交易活动。</w:t>
      </w:r>
    </w:p>
    <w:p w14:paraId="4C9A1EF4" w14:textId="77777777" w:rsidR="003B0D09" w:rsidRDefault="003B0D09" w:rsidP="003B0D09">
      <w:pPr>
        <w:pStyle w:val="13"/>
        <w:ind w:firstLine="482"/>
      </w:pPr>
      <w:r w:rsidRPr="00EC071E">
        <w:rPr>
          <w:rFonts w:hint="eastAsia"/>
          <w:b/>
          <w:bCs/>
        </w:rPr>
        <w:t>第五十七条</w:t>
      </w:r>
      <w:r>
        <w:t xml:space="preserve"> 国资监管机构及其他履行出资人职责的机构应定期对国家出资企业及其控股和实际控制企业的国有资产交易情况进行检查和抽查，重点检查国家法律法规政策和企业内部管理制度的贯彻执行情况。</w:t>
      </w:r>
    </w:p>
    <w:p w14:paraId="4FA264B6" w14:textId="77777777" w:rsidR="003B0D09" w:rsidRDefault="003B0D09" w:rsidP="00AF7342">
      <w:pPr>
        <w:pStyle w:val="a9"/>
        <w:spacing w:before="62" w:after="62"/>
      </w:pPr>
      <w:r>
        <w:rPr>
          <w:rFonts w:hint="eastAsia"/>
        </w:rPr>
        <w:t>第六章</w:t>
      </w:r>
      <w:r>
        <w:t xml:space="preserve"> 法律责任</w:t>
      </w:r>
    </w:p>
    <w:p w14:paraId="23FE6D71" w14:textId="77777777" w:rsidR="003B0D09" w:rsidRDefault="003B0D09" w:rsidP="003B0D09">
      <w:pPr>
        <w:pStyle w:val="13"/>
        <w:ind w:firstLine="482"/>
      </w:pPr>
      <w:r w:rsidRPr="00EC071E">
        <w:rPr>
          <w:rFonts w:hint="eastAsia"/>
          <w:b/>
          <w:bCs/>
        </w:rPr>
        <w:t>第五十八条</w:t>
      </w:r>
      <w:r>
        <w:t xml:space="preserve"> 企业国有资产交易过程中交易双方发生争议时，当事方可以向产权交易机构申请调解；调解无效时可以按照约定向仲裁机构申请仲裁或向人民法院提起诉讼。</w:t>
      </w:r>
    </w:p>
    <w:p w14:paraId="72B93AED" w14:textId="77777777" w:rsidR="003B0D09" w:rsidRDefault="003B0D09" w:rsidP="003B0D09">
      <w:pPr>
        <w:pStyle w:val="13"/>
        <w:ind w:firstLine="482"/>
      </w:pPr>
      <w:r w:rsidRPr="00EC071E">
        <w:rPr>
          <w:rFonts w:hint="eastAsia"/>
          <w:b/>
          <w:bCs/>
        </w:rPr>
        <w:t>第五十九条</w:t>
      </w:r>
      <w:r>
        <w:t xml:space="preserve"> 企业国有资产交易应当严格执行“三重一大”决策机制。国资监管机构、国有及国有控股企业、国有实际控制企业的有关人员违反规定越权决策、批准相关交易事项，或者玩忽职守、以权谋私致使国有权益受到侵害的，由有关单位按照人事和干部管理权限给予相关责任人员相应处分；造成国有资产损失的，相关责任人员应当承担赔偿责任；构成犯罪的，依法追究其刑事责任。</w:t>
      </w:r>
    </w:p>
    <w:p w14:paraId="47167CC0" w14:textId="77777777" w:rsidR="003B0D09" w:rsidRDefault="003B0D09" w:rsidP="003B0D09">
      <w:pPr>
        <w:pStyle w:val="13"/>
        <w:ind w:firstLine="482"/>
      </w:pPr>
      <w:r w:rsidRPr="00EC071E">
        <w:rPr>
          <w:rFonts w:hint="eastAsia"/>
          <w:b/>
          <w:bCs/>
        </w:rPr>
        <w:lastRenderedPageBreak/>
        <w:t>第六十条</w:t>
      </w:r>
      <w:r>
        <w:t xml:space="preserve"> 社会中介机构在为企业国有资产交易提供审计、资产评估和法律服务中存在违规执业行为的，有关国有企业应及时报告同级国资监管机构，国资监管机构可要求国有及国有控股企业、国有实际控制企业不得再委托其开展相关业务；情节严重的，由国资监管机构将有关情况通报其行业主管部门，建议给予其相应处罚。</w:t>
      </w:r>
    </w:p>
    <w:p w14:paraId="44BCA5E5" w14:textId="77777777" w:rsidR="003B0D09" w:rsidRDefault="003B0D09" w:rsidP="003B0D09">
      <w:pPr>
        <w:pStyle w:val="13"/>
        <w:ind w:firstLine="482"/>
      </w:pPr>
      <w:r w:rsidRPr="00EC071E">
        <w:rPr>
          <w:rFonts w:hint="eastAsia"/>
          <w:b/>
          <w:bCs/>
        </w:rPr>
        <w:t>第六十一条</w:t>
      </w:r>
      <w:r>
        <w:t xml:space="preserve"> 产权交易机构在企业国有资产交易中弄虚作假或者玩忽职守、给企业造成损失的，应当承担赔偿责任，并依法追究直接责任人员的责任。</w:t>
      </w:r>
    </w:p>
    <w:p w14:paraId="14351B5C" w14:textId="77777777" w:rsidR="003B0D09" w:rsidRDefault="003B0D09" w:rsidP="00AF7342">
      <w:pPr>
        <w:pStyle w:val="a9"/>
        <w:spacing w:before="62" w:after="62"/>
      </w:pPr>
      <w:r>
        <w:rPr>
          <w:rFonts w:hint="eastAsia"/>
        </w:rPr>
        <w:t>第七章</w:t>
      </w:r>
      <w:r>
        <w:t xml:space="preserve"> 附则</w:t>
      </w:r>
    </w:p>
    <w:p w14:paraId="546751BE" w14:textId="77777777" w:rsidR="003B0D09" w:rsidRDefault="003B0D09" w:rsidP="003B0D09">
      <w:pPr>
        <w:pStyle w:val="13"/>
        <w:ind w:firstLine="482"/>
      </w:pPr>
      <w:r w:rsidRPr="00EC071E">
        <w:rPr>
          <w:rFonts w:hint="eastAsia"/>
          <w:b/>
          <w:bCs/>
        </w:rPr>
        <w:t>第六十二条</w:t>
      </w:r>
      <w:r>
        <w:t xml:space="preserve"> 政府部门、机构、事业单位持有的企业国有资产交易，按照现行监管体制，比照本办法管理。</w:t>
      </w:r>
    </w:p>
    <w:p w14:paraId="1AB7BE24" w14:textId="77777777" w:rsidR="003B0D09" w:rsidRDefault="003B0D09" w:rsidP="003B0D09">
      <w:pPr>
        <w:pStyle w:val="13"/>
        <w:ind w:firstLine="482"/>
      </w:pPr>
      <w:r w:rsidRPr="00EC071E">
        <w:rPr>
          <w:rFonts w:hint="eastAsia"/>
          <w:b/>
          <w:bCs/>
        </w:rPr>
        <w:t>第六十三条</w:t>
      </w:r>
      <w:r>
        <w:t xml:space="preserve"> 金融、文化类国家出资企业的国有资产交易和上市公司的国有股权转让等行为，国家另有规定的，依照其规定。</w:t>
      </w:r>
    </w:p>
    <w:p w14:paraId="160635EF" w14:textId="77777777" w:rsidR="003B0D09" w:rsidRDefault="003B0D09" w:rsidP="003B0D09">
      <w:pPr>
        <w:pStyle w:val="13"/>
        <w:ind w:firstLine="482"/>
      </w:pPr>
      <w:r w:rsidRPr="00EC071E">
        <w:rPr>
          <w:rFonts w:hint="eastAsia"/>
          <w:b/>
          <w:bCs/>
        </w:rPr>
        <w:t>第六十四条</w:t>
      </w:r>
      <w:r>
        <w:t xml:space="preserve"> 国有资本投资、运营公司对各级子企业资产交易的监督管理，相应由各级人民政府或国资监管机构另行授权。</w:t>
      </w:r>
    </w:p>
    <w:p w14:paraId="074FD6E9" w14:textId="77777777" w:rsidR="003B0D09" w:rsidRDefault="003B0D09" w:rsidP="003B0D09">
      <w:pPr>
        <w:pStyle w:val="13"/>
        <w:ind w:firstLine="482"/>
      </w:pPr>
      <w:r w:rsidRPr="00EC071E">
        <w:rPr>
          <w:rFonts w:hint="eastAsia"/>
          <w:b/>
          <w:bCs/>
        </w:rPr>
        <w:t>第六十五条</w:t>
      </w:r>
      <w:r>
        <w:t xml:space="preserve"> 境外国有及国有控股企业、国有实际控制企业在境内投资企业的资产交易，比照本办法规定执行。</w:t>
      </w:r>
    </w:p>
    <w:p w14:paraId="1CF46E41" w14:textId="77777777" w:rsidR="003B0D09" w:rsidRDefault="003B0D09" w:rsidP="003B0D09">
      <w:pPr>
        <w:pStyle w:val="13"/>
        <w:ind w:firstLine="482"/>
      </w:pPr>
      <w:r w:rsidRPr="00EC071E">
        <w:rPr>
          <w:rFonts w:hint="eastAsia"/>
          <w:b/>
          <w:bCs/>
        </w:rPr>
        <w:t>第六十六条</w:t>
      </w:r>
      <w:r>
        <w:t xml:space="preserve"> 政府设立的各类股权投资基金投资形成企业产（股）权对外转让，按照有关法律法规规定执行。</w:t>
      </w:r>
    </w:p>
    <w:p w14:paraId="683683A2" w14:textId="77777777" w:rsidR="003B0D09" w:rsidRDefault="003B0D09" w:rsidP="003B0D09">
      <w:pPr>
        <w:pStyle w:val="13"/>
        <w:ind w:firstLine="482"/>
      </w:pPr>
      <w:r w:rsidRPr="00EC071E">
        <w:rPr>
          <w:rFonts w:hint="eastAsia"/>
          <w:b/>
          <w:bCs/>
        </w:rPr>
        <w:t>第六十七条</w:t>
      </w:r>
      <w:r>
        <w:t xml:space="preserve"> 本办法自发布之日起施行，现行企业国有资产交易监管相关规定与本办法不一致的，以本办法为准。</w:t>
      </w:r>
    </w:p>
    <w:p w14:paraId="0CA00E26" w14:textId="77777777" w:rsidR="003B0D09" w:rsidRDefault="003B0D09" w:rsidP="003B0D09">
      <w:pPr>
        <w:pStyle w:val="31"/>
        <w:spacing w:before="156" w:after="62"/>
      </w:pPr>
      <w:bookmarkStart w:id="220" w:name="_Toc81833453"/>
      <w:r w:rsidRPr="008D37F9">
        <w:rPr>
          <w:rFonts w:hint="eastAsia"/>
        </w:rPr>
        <w:t>《上市公司国有股权监督管理办法》（国务院国资委、财政部、证监会令第</w:t>
      </w:r>
      <w:r w:rsidRPr="008D37F9">
        <w:t>36号）</w:t>
      </w:r>
      <w:bookmarkEnd w:id="220"/>
    </w:p>
    <w:p w14:paraId="734B8A7D" w14:textId="77777777" w:rsidR="003B0D09" w:rsidRDefault="003B0D09" w:rsidP="003B0D09">
      <w:pPr>
        <w:pStyle w:val="13"/>
      </w:pPr>
      <w:r>
        <w:rPr>
          <w:rFonts w:hint="eastAsia"/>
        </w:rPr>
        <w:t>《上市公司国有股权监督管理办法》已经国务院国有资产监督管理委员会主任办公会议审议通过，并报经中央全面深化改革领导小组同意，现予公布，自</w:t>
      </w:r>
      <w:r>
        <w:t>2018年7月1日起施行。自施行之日起，2007年印发的《国有股东转让所持上市公司股份管理暂行办法》（国资委 证监会令第19号）同时废止。</w:t>
      </w:r>
    </w:p>
    <w:p w14:paraId="340CD093" w14:textId="77777777" w:rsidR="003B0D09" w:rsidRDefault="003B0D09" w:rsidP="003B0D09">
      <w:pPr>
        <w:pStyle w:val="13"/>
        <w:jc w:val="right"/>
      </w:pPr>
      <w:r>
        <w:rPr>
          <w:rFonts w:hint="eastAsia"/>
        </w:rPr>
        <w:t>国务院国有资产监督管理委员会主任 肖亚庆</w:t>
      </w:r>
    </w:p>
    <w:p w14:paraId="6AAA7848" w14:textId="77777777" w:rsidR="003B0D09" w:rsidRDefault="003B0D09" w:rsidP="003B0D09">
      <w:pPr>
        <w:pStyle w:val="13"/>
        <w:jc w:val="right"/>
      </w:pPr>
      <w:r>
        <w:rPr>
          <w:rFonts w:hint="eastAsia"/>
        </w:rPr>
        <w:t>财政部部长 刘昆</w:t>
      </w:r>
    </w:p>
    <w:p w14:paraId="28D55D0A" w14:textId="77777777" w:rsidR="003B0D09" w:rsidRDefault="003B0D09" w:rsidP="003B0D09">
      <w:pPr>
        <w:pStyle w:val="13"/>
        <w:jc w:val="right"/>
      </w:pPr>
      <w:r>
        <w:rPr>
          <w:rFonts w:hint="eastAsia"/>
        </w:rPr>
        <w:t>中国证券监督管理委员会主席</w:t>
      </w:r>
    </w:p>
    <w:p w14:paraId="1C5F1E47" w14:textId="77777777" w:rsidR="003B0D09" w:rsidRDefault="003B0D09" w:rsidP="003B0D09">
      <w:pPr>
        <w:pStyle w:val="13"/>
        <w:jc w:val="right"/>
      </w:pPr>
      <w:r>
        <w:t>2018年5月16日</w:t>
      </w:r>
    </w:p>
    <w:p w14:paraId="081954E0" w14:textId="77777777" w:rsidR="003B0D09" w:rsidRPr="008D37F9" w:rsidRDefault="003B0D09" w:rsidP="00AF7342">
      <w:pPr>
        <w:pStyle w:val="a9"/>
        <w:spacing w:before="62" w:after="62"/>
      </w:pPr>
      <w:r w:rsidRPr="008D37F9">
        <w:rPr>
          <w:rFonts w:hint="eastAsia"/>
        </w:rPr>
        <w:t>上市公司国有股权监督管理办法</w:t>
      </w:r>
    </w:p>
    <w:p w14:paraId="4ED9C900" w14:textId="77777777" w:rsidR="003B0D09" w:rsidRPr="008D37F9" w:rsidRDefault="003B0D09" w:rsidP="00AF7342">
      <w:pPr>
        <w:pStyle w:val="a9"/>
        <w:spacing w:before="62" w:after="62"/>
      </w:pPr>
      <w:r w:rsidRPr="008D37F9">
        <w:rPr>
          <w:rFonts w:hint="eastAsia"/>
        </w:rPr>
        <w:t>第一章</w:t>
      </w:r>
      <w:r>
        <w:rPr>
          <w:rFonts w:hint="eastAsia"/>
        </w:rPr>
        <w:t xml:space="preserve"> </w:t>
      </w:r>
      <w:r w:rsidRPr="008D37F9">
        <w:rPr>
          <w:rFonts w:hint="eastAsia"/>
        </w:rPr>
        <w:t>总则</w:t>
      </w:r>
    </w:p>
    <w:p w14:paraId="1400E49D" w14:textId="77777777" w:rsidR="003B0D09" w:rsidRPr="008D37F9" w:rsidRDefault="003B0D09" w:rsidP="003B0D09">
      <w:pPr>
        <w:pStyle w:val="13"/>
        <w:ind w:firstLine="482"/>
      </w:pPr>
      <w:r w:rsidRPr="004E3EBB">
        <w:rPr>
          <w:rFonts w:hint="eastAsia"/>
          <w:b/>
          <w:bCs/>
        </w:rPr>
        <w:t xml:space="preserve">第一条 </w:t>
      </w:r>
      <w:r w:rsidRPr="008D37F9">
        <w:rPr>
          <w:rFonts w:hint="eastAsia"/>
        </w:rPr>
        <w:t>为规范上市公司国有股权变动行为，推动国有资源优化配置，平等保护各类投资者合法权益，防止国有资产流失，根据《中华人民共和国公司法》、《中华人民共和国证券法》、《中华人民共和国企业国有资产法》、《企业国有资产监督管理暂行</w:t>
      </w:r>
      <w:r w:rsidRPr="008D37F9">
        <w:rPr>
          <w:rFonts w:hint="eastAsia"/>
        </w:rPr>
        <w:lastRenderedPageBreak/>
        <w:t>条例》等法律法规，制定本办法。</w:t>
      </w:r>
    </w:p>
    <w:p w14:paraId="014F05D3" w14:textId="77777777" w:rsidR="003B0D09" w:rsidRPr="008D37F9" w:rsidRDefault="003B0D09" w:rsidP="003B0D09">
      <w:pPr>
        <w:pStyle w:val="13"/>
        <w:ind w:firstLine="482"/>
      </w:pPr>
      <w:r w:rsidRPr="004E3EBB">
        <w:rPr>
          <w:rFonts w:hint="eastAsia"/>
          <w:b/>
          <w:bCs/>
        </w:rPr>
        <w:t xml:space="preserve">第二条 </w:t>
      </w:r>
      <w:r w:rsidRPr="008D37F9">
        <w:rPr>
          <w:rFonts w:hint="eastAsia"/>
        </w:rPr>
        <w:t>本办法所称上市公司国有股权变动行为，是指上市公司国有股权持股主体、数量或比例等发生变化的行为，具体包括：国有股东所持上市公司股份通过证券交易系统转让、公开征集转让、非公开协议转让、无偿划转、间接转让、国有股东发行可交换公司债券；国有股东通过证券交易系统增持、协议受让、间接受让、要约收购上市公司股份和认购上市公司发行股票；国有股东所控股上市公司吸收合并、发行证券；国有股东与上市公司进行资产重组等行为。</w:t>
      </w:r>
    </w:p>
    <w:p w14:paraId="4F9F1843" w14:textId="77777777" w:rsidR="003B0D09" w:rsidRPr="008D37F9" w:rsidRDefault="003B0D09" w:rsidP="003B0D09">
      <w:pPr>
        <w:pStyle w:val="13"/>
        <w:ind w:firstLine="482"/>
      </w:pPr>
      <w:r w:rsidRPr="004E3EBB">
        <w:rPr>
          <w:rFonts w:hint="eastAsia"/>
          <w:b/>
          <w:bCs/>
        </w:rPr>
        <w:t xml:space="preserve">第三条 </w:t>
      </w:r>
      <w:r w:rsidRPr="008D37F9">
        <w:rPr>
          <w:rFonts w:hint="eastAsia"/>
        </w:rPr>
        <w:t>本办法所称国有股东是指符合以下情形之一的企业和单位，其证券账户标注“SS”：</w:t>
      </w:r>
    </w:p>
    <w:p w14:paraId="2572AD6A" w14:textId="77777777" w:rsidR="003B0D09" w:rsidRPr="008D37F9" w:rsidRDefault="003B0D09" w:rsidP="003B0D09">
      <w:pPr>
        <w:pStyle w:val="13"/>
      </w:pPr>
      <w:r w:rsidRPr="008D37F9">
        <w:rPr>
          <w:rFonts w:hint="eastAsia"/>
        </w:rPr>
        <w:t>（一）政府部门、机构、事业单位、境内国有独资或全资企业；</w:t>
      </w:r>
    </w:p>
    <w:p w14:paraId="3B73901A" w14:textId="77777777" w:rsidR="003B0D09" w:rsidRPr="008D37F9" w:rsidRDefault="003B0D09" w:rsidP="003B0D09">
      <w:pPr>
        <w:pStyle w:val="13"/>
      </w:pPr>
      <w:r w:rsidRPr="008D37F9">
        <w:rPr>
          <w:rFonts w:hint="eastAsia"/>
        </w:rPr>
        <w:t>（二）第一款中所述单位或企业独家持股比例超过50%，或合计持股比例超过50%，且其中之一为第一大股东的境内企业；</w:t>
      </w:r>
    </w:p>
    <w:p w14:paraId="5B6C120E" w14:textId="77777777" w:rsidR="003B0D09" w:rsidRPr="008D37F9" w:rsidRDefault="003B0D09" w:rsidP="003B0D09">
      <w:pPr>
        <w:pStyle w:val="13"/>
      </w:pPr>
      <w:r w:rsidRPr="008D37F9">
        <w:rPr>
          <w:rFonts w:hint="eastAsia"/>
        </w:rPr>
        <w:t>（三）第二款中所述企业直接或间接持股的各级境内独资或全资企业。</w:t>
      </w:r>
    </w:p>
    <w:p w14:paraId="5BFD9068" w14:textId="77777777" w:rsidR="003B0D09" w:rsidRPr="008D37F9" w:rsidRDefault="003B0D09" w:rsidP="003B0D09">
      <w:pPr>
        <w:pStyle w:val="13"/>
        <w:ind w:firstLine="482"/>
      </w:pPr>
      <w:r w:rsidRPr="004E3EBB">
        <w:rPr>
          <w:rFonts w:hint="eastAsia"/>
          <w:b/>
          <w:bCs/>
        </w:rPr>
        <w:t xml:space="preserve">第四条 </w:t>
      </w:r>
      <w:r w:rsidRPr="008D37F9">
        <w:rPr>
          <w:rFonts w:hint="eastAsia"/>
        </w:rPr>
        <w:t>上市公司国有股权变动行为应坚持公开、公平、公正原则，遵守国家有关法律、行政法规和规章制度规定，符合国家产业政策和国有经济布局结构调整方向，有利于国有资本保值增值，提高企业核心竞争力。</w:t>
      </w:r>
    </w:p>
    <w:p w14:paraId="2999C025" w14:textId="77777777" w:rsidR="003B0D09" w:rsidRPr="008D37F9" w:rsidRDefault="003B0D09" w:rsidP="003B0D09">
      <w:pPr>
        <w:pStyle w:val="13"/>
        <w:ind w:firstLine="482"/>
      </w:pPr>
      <w:r w:rsidRPr="004E3EBB">
        <w:rPr>
          <w:rFonts w:hint="eastAsia"/>
          <w:b/>
          <w:bCs/>
        </w:rPr>
        <w:t xml:space="preserve">第五条 </w:t>
      </w:r>
      <w:r w:rsidRPr="008D37F9">
        <w:rPr>
          <w:rFonts w:hint="eastAsia"/>
        </w:rPr>
        <w:t>上市公司国有股权变动涉及的股份应当权属清晰，不存在受法律法规规定限制的情形。</w:t>
      </w:r>
    </w:p>
    <w:p w14:paraId="0A6D2788" w14:textId="77777777" w:rsidR="003B0D09" w:rsidRPr="008D37F9" w:rsidRDefault="003B0D09" w:rsidP="003B0D09">
      <w:pPr>
        <w:pStyle w:val="13"/>
        <w:ind w:firstLine="482"/>
      </w:pPr>
      <w:r w:rsidRPr="004E3EBB">
        <w:rPr>
          <w:rFonts w:hint="eastAsia"/>
          <w:b/>
          <w:bCs/>
        </w:rPr>
        <w:t xml:space="preserve">第六条 </w:t>
      </w:r>
      <w:r w:rsidRPr="008D37F9">
        <w:rPr>
          <w:rFonts w:hint="eastAsia"/>
        </w:rPr>
        <w:t>上市公司国有股权变动的监督管理由省级以上国有资产监督管理机构负责。省级国有资产监督管理机构报经省级人民政府同意，可以将地市级以下有关上市公司国有股权变动的监督管理交由地市级国有资产监督管理机构负责。省级国有资产监督管理机构需建立相应的监督检查工作机制。</w:t>
      </w:r>
    </w:p>
    <w:p w14:paraId="189248F3" w14:textId="77777777" w:rsidR="003B0D09" w:rsidRPr="008D37F9" w:rsidRDefault="003B0D09" w:rsidP="003B0D09">
      <w:pPr>
        <w:pStyle w:val="13"/>
      </w:pPr>
      <w:r w:rsidRPr="008D37F9">
        <w:rPr>
          <w:rFonts w:hint="eastAsia"/>
        </w:rPr>
        <w:t>上市公司国有股权变动涉及政府社会公共管理事项的，应当依法报政府有关部门审核。受让方为境外投资者的，应当符合外商投资产业指导目录或负面清单管理的要求，以及外商投资安全审查的规定，涉及该类情形的，各审核主体在接到相关申请后，应就转让行为是否符合吸收外商投资政策向同级商务部门征求意见，具体申报程序由省级以上国有资产监督管理机构商同级商务部门按《关于上市公司国有股向外国投资者及外商投资企业转让申报程序有关问题的通知》（</w:t>
      </w:r>
      <w:proofErr w:type="gramStart"/>
      <w:r w:rsidRPr="008D37F9">
        <w:rPr>
          <w:rFonts w:hint="eastAsia"/>
        </w:rPr>
        <w:t>商资字〔2004〕</w:t>
      </w:r>
      <w:proofErr w:type="gramEnd"/>
      <w:r w:rsidRPr="008D37F9">
        <w:rPr>
          <w:rFonts w:hint="eastAsia"/>
        </w:rPr>
        <w:t>1号）确定的原则制定。</w:t>
      </w:r>
    </w:p>
    <w:p w14:paraId="3F056320" w14:textId="77777777" w:rsidR="003B0D09" w:rsidRPr="008D37F9" w:rsidRDefault="003B0D09" w:rsidP="003B0D09">
      <w:pPr>
        <w:pStyle w:val="13"/>
      </w:pPr>
      <w:r w:rsidRPr="008D37F9">
        <w:rPr>
          <w:rFonts w:hint="eastAsia"/>
        </w:rPr>
        <w:t>按照法律、行政法规和本级人民政府有关规定，须经本级人民政府批准的上市公司国有股权变动事项，国有资产监督管理机构应当履行报批程序。</w:t>
      </w:r>
    </w:p>
    <w:p w14:paraId="4CB89C17" w14:textId="77777777" w:rsidR="003B0D09" w:rsidRPr="008D37F9" w:rsidRDefault="003B0D09" w:rsidP="003B0D09">
      <w:pPr>
        <w:pStyle w:val="13"/>
        <w:ind w:firstLine="482"/>
      </w:pPr>
      <w:r w:rsidRPr="004E3EBB">
        <w:rPr>
          <w:rFonts w:hint="eastAsia"/>
          <w:b/>
          <w:bCs/>
        </w:rPr>
        <w:t xml:space="preserve">第七条 </w:t>
      </w:r>
      <w:r w:rsidRPr="008D37F9">
        <w:rPr>
          <w:rFonts w:hint="eastAsia"/>
        </w:rPr>
        <w:t>国家出资企业负责管理以下事项：</w:t>
      </w:r>
    </w:p>
    <w:p w14:paraId="6148F38C" w14:textId="77777777" w:rsidR="003B0D09" w:rsidRPr="008D37F9" w:rsidRDefault="003B0D09" w:rsidP="003B0D09">
      <w:pPr>
        <w:pStyle w:val="13"/>
      </w:pPr>
      <w:r w:rsidRPr="008D37F9">
        <w:rPr>
          <w:rFonts w:hint="eastAsia"/>
        </w:rPr>
        <w:t>（一）国有股东通过证券交易系统转让所持上市公司股份，未达到本办法第十二条规定的比例或数量的事项；</w:t>
      </w:r>
    </w:p>
    <w:p w14:paraId="46B42FDB" w14:textId="77777777" w:rsidR="003B0D09" w:rsidRPr="008D37F9" w:rsidRDefault="003B0D09" w:rsidP="003B0D09">
      <w:pPr>
        <w:pStyle w:val="13"/>
      </w:pPr>
      <w:r w:rsidRPr="008D37F9">
        <w:rPr>
          <w:rFonts w:hint="eastAsia"/>
        </w:rPr>
        <w:lastRenderedPageBreak/>
        <w:t>（二）国有股东所持上市公司股份在本企业集团内部进行的无偿划转、非公开协议转让事项；</w:t>
      </w:r>
    </w:p>
    <w:p w14:paraId="099CB0EA" w14:textId="77777777" w:rsidR="003B0D09" w:rsidRPr="008D37F9" w:rsidRDefault="003B0D09" w:rsidP="003B0D09">
      <w:pPr>
        <w:pStyle w:val="13"/>
      </w:pPr>
      <w:r w:rsidRPr="008D37F9">
        <w:rPr>
          <w:rFonts w:hint="eastAsia"/>
        </w:rPr>
        <w:t>（三）国有控股股东所持上市公司股份公开征集转让、发行可交换公司债券及所控股上市公司发行证券，未导致其持股比例低于合理持股比例的事项；国有参股股东所持上市公司股份公开征集转让、发行可交换公司债券事项；</w:t>
      </w:r>
    </w:p>
    <w:p w14:paraId="5B3BB801" w14:textId="77777777" w:rsidR="003B0D09" w:rsidRPr="008D37F9" w:rsidRDefault="003B0D09" w:rsidP="003B0D09">
      <w:pPr>
        <w:pStyle w:val="13"/>
      </w:pPr>
      <w:r w:rsidRPr="008D37F9">
        <w:rPr>
          <w:rFonts w:hint="eastAsia"/>
        </w:rPr>
        <w:t>（四）国有股东通过证券交易系统增持、协议受让、认购上市公司发行股票等未导致上市公司控股权转移的事项；</w:t>
      </w:r>
    </w:p>
    <w:p w14:paraId="1D0EE4A5" w14:textId="77777777" w:rsidR="003B0D09" w:rsidRPr="008D37F9" w:rsidRDefault="003B0D09" w:rsidP="003B0D09">
      <w:pPr>
        <w:pStyle w:val="13"/>
      </w:pPr>
      <w:r w:rsidRPr="008D37F9">
        <w:rPr>
          <w:rFonts w:hint="eastAsia"/>
        </w:rPr>
        <w:t>（五）国有股东与所控股上市公司进行资产重组，不属于中国证监会规定的重大资产重组范围的事项。</w:t>
      </w:r>
    </w:p>
    <w:p w14:paraId="5F663F18" w14:textId="77777777" w:rsidR="003B0D09" w:rsidRPr="008D37F9" w:rsidRDefault="003B0D09" w:rsidP="003B0D09">
      <w:pPr>
        <w:pStyle w:val="13"/>
        <w:ind w:firstLine="482"/>
      </w:pPr>
      <w:r w:rsidRPr="004E3EBB">
        <w:rPr>
          <w:rFonts w:hint="eastAsia"/>
          <w:b/>
          <w:bCs/>
        </w:rPr>
        <w:t xml:space="preserve">第八条 </w:t>
      </w:r>
      <w:r w:rsidRPr="008D37F9">
        <w:rPr>
          <w:rFonts w:hint="eastAsia"/>
        </w:rPr>
        <w:t>国有控股股东的合理持股比例（与国有控股股东属于同</w:t>
      </w:r>
      <w:proofErr w:type="gramStart"/>
      <w:r w:rsidRPr="008D37F9">
        <w:rPr>
          <w:rFonts w:hint="eastAsia"/>
        </w:rPr>
        <w:t>一控制</w:t>
      </w:r>
      <w:proofErr w:type="gramEnd"/>
      <w:r w:rsidRPr="008D37F9">
        <w:rPr>
          <w:rFonts w:hint="eastAsia"/>
        </w:rPr>
        <w:t>人的，其所持股份的比例应合并计算）由国家出资企业研究确定，并报国有资产监督管理机构备案。</w:t>
      </w:r>
    </w:p>
    <w:p w14:paraId="708F5B8D" w14:textId="77777777" w:rsidR="003B0D09" w:rsidRPr="008D37F9" w:rsidRDefault="003B0D09" w:rsidP="003B0D09">
      <w:pPr>
        <w:pStyle w:val="13"/>
      </w:pPr>
      <w:r w:rsidRPr="008D37F9">
        <w:rPr>
          <w:rFonts w:hint="eastAsia"/>
        </w:rPr>
        <w:t>确定合理持股比例的具体办法由省级以上国有资产监督管理机构另行制定。</w:t>
      </w:r>
    </w:p>
    <w:p w14:paraId="46B81646" w14:textId="77777777" w:rsidR="003B0D09" w:rsidRPr="008D37F9" w:rsidRDefault="003B0D09" w:rsidP="003B0D09">
      <w:pPr>
        <w:pStyle w:val="13"/>
        <w:ind w:firstLine="482"/>
      </w:pPr>
      <w:r w:rsidRPr="00E05BDA">
        <w:rPr>
          <w:rFonts w:hint="eastAsia"/>
          <w:b/>
          <w:bCs/>
        </w:rPr>
        <w:t xml:space="preserve">第九条 </w:t>
      </w:r>
      <w:r w:rsidRPr="008D37F9">
        <w:rPr>
          <w:rFonts w:hint="eastAsia"/>
        </w:rPr>
        <w:t>国有股东所持上市公司股份变动应在作充分可行性研究的基础上制定方案，严格履行决策、审批程序，规范操作，按照证券监管的相关规定履行信息披露等义务。在上市公司国有股权变动信息披露前，各关联方要严格遵守保密规定。违反保密规定的，应依法依规追究相关人员责任。</w:t>
      </w:r>
    </w:p>
    <w:p w14:paraId="1F3B648E" w14:textId="77777777" w:rsidR="003B0D09" w:rsidRPr="008D37F9" w:rsidRDefault="003B0D09" w:rsidP="003B0D09">
      <w:pPr>
        <w:pStyle w:val="13"/>
        <w:ind w:firstLine="482"/>
      </w:pPr>
      <w:r w:rsidRPr="00E05BDA">
        <w:rPr>
          <w:rFonts w:hint="eastAsia"/>
          <w:b/>
          <w:bCs/>
        </w:rPr>
        <w:t xml:space="preserve">第十条 </w:t>
      </w:r>
      <w:r w:rsidRPr="008D37F9">
        <w:rPr>
          <w:rFonts w:hint="eastAsia"/>
        </w:rPr>
        <w:t>上市公司国有股权变动应当根据证券市场公开交易价格、可比公司股票交易价格、每股净资产值等因素合理定价。</w:t>
      </w:r>
    </w:p>
    <w:p w14:paraId="448D6F5B" w14:textId="77777777" w:rsidR="003B0D09" w:rsidRPr="008D37F9" w:rsidRDefault="003B0D09" w:rsidP="003B0D09">
      <w:pPr>
        <w:pStyle w:val="13"/>
        <w:ind w:firstLine="482"/>
      </w:pPr>
      <w:r w:rsidRPr="00E05BDA">
        <w:rPr>
          <w:rFonts w:hint="eastAsia"/>
          <w:b/>
          <w:bCs/>
        </w:rPr>
        <w:t xml:space="preserve">第十一条 </w:t>
      </w:r>
      <w:r w:rsidRPr="008D37F9">
        <w:rPr>
          <w:rFonts w:hint="eastAsia"/>
        </w:rPr>
        <w:t>国有资产监督管理机构通过上市公司国有股权管理信息系统（以下简称管理信息系统）对上市公司国有股权变动实施统一监管。</w:t>
      </w:r>
    </w:p>
    <w:p w14:paraId="00F5D2C0" w14:textId="77777777" w:rsidR="003B0D09" w:rsidRPr="008D37F9" w:rsidRDefault="003B0D09" w:rsidP="003B0D09">
      <w:pPr>
        <w:pStyle w:val="13"/>
      </w:pPr>
      <w:r w:rsidRPr="008D37F9">
        <w:rPr>
          <w:rFonts w:hint="eastAsia"/>
        </w:rPr>
        <w:t>国家出资企业应通过管理信息系统，及时、完整、准确将所持上市公司股份变动情况报送国有资产监督管理机构。</w:t>
      </w:r>
    </w:p>
    <w:p w14:paraId="71A2B74F" w14:textId="77777777" w:rsidR="003B0D09" w:rsidRPr="008D37F9" w:rsidRDefault="003B0D09" w:rsidP="003B0D09">
      <w:pPr>
        <w:pStyle w:val="13"/>
      </w:pPr>
      <w:r w:rsidRPr="008D37F9">
        <w:rPr>
          <w:rFonts w:hint="eastAsia"/>
        </w:rPr>
        <w:t>其中，按照本办法规定由国家出资企业审核批准的变动事项须通过管理信息系统作备案管理，并取得统一编号的备案表。</w:t>
      </w:r>
    </w:p>
    <w:p w14:paraId="0A5F4E4F" w14:textId="77777777" w:rsidR="003B0D09" w:rsidRPr="008D37F9" w:rsidRDefault="003B0D09" w:rsidP="00AF7342">
      <w:pPr>
        <w:pStyle w:val="a9"/>
        <w:spacing w:before="62" w:after="62"/>
      </w:pPr>
      <w:r w:rsidRPr="008D37F9">
        <w:rPr>
          <w:rFonts w:hint="eastAsia"/>
        </w:rPr>
        <w:t>第二章</w:t>
      </w:r>
      <w:r>
        <w:rPr>
          <w:rFonts w:hint="eastAsia"/>
        </w:rPr>
        <w:t xml:space="preserve"> </w:t>
      </w:r>
      <w:r w:rsidRPr="008D37F9">
        <w:rPr>
          <w:rFonts w:hint="eastAsia"/>
        </w:rPr>
        <w:t>国有股东所持上市公司股份通过证券交易系统转让</w:t>
      </w:r>
    </w:p>
    <w:p w14:paraId="054BEE6A" w14:textId="77777777" w:rsidR="003B0D09" w:rsidRPr="008D37F9" w:rsidRDefault="003B0D09" w:rsidP="003B0D09">
      <w:pPr>
        <w:pStyle w:val="13"/>
        <w:ind w:firstLine="482"/>
      </w:pPr>
      <w:r w:rsidRPr="00E05BDA">
        <w:rPr>
          <w:rFonts w:hint="eastAsia"/>
          <w:b/>
          <w:bCs/>
        </w:rPr>
        <w:t xml:space="preserve">第十二条 </w:t>
      </w:r>
      <w:r w:rsidRPr="008D37F9">
        <w:rPr>
          <w:rFonts w:hint="eastAsia"/>
        </w:rPr>
        <w:t>国有股东通过证券交易系统转让上市公司股份，按照国家出资企业内部决策程序决定，有以下情形之一的，应报国有资产监督管理机构审核批准：</w:t>
      </w:r>
    </w:p>
    <w:p w14:paraId="4D061772" w14:textId="77777777" w:rsidR="003B0D09" w:rsidRPr="008D37F9" w:rsidRDefault="003B0D09" w:rsidP="003B0D09">
      <w:pPr>
        <w:pStyle w:val="13"/>
      </w:pPr>
      <w:r w:rsidRPr="008D37F9">
        <w:rPr>
          <w:rFonts w:hint="eastAsia"/>
        </w:rPr>
        <w:t>（一）国有控股股东转让上市公司股份可能导致持股比例低于合理持股比例的；</w:t>
      </w:r>
    </w:p>
    <w:p w14:paraId="7DBE606E" w14:textId="77777777" w:rsidR="003B0D09" w:rsidRPr="008D37F9" w:rsidRDefault="003B0D09" w:rsidP="003B0D09">
      <w:pPr>
        <w:pStyle w:val="13"/>
      </w:pPr>
      <w:r w:rsidRPr="008D37F9">
        <w:rPr>
          <w:rFonts w:hint="eastAsia"/>
        </w:rPr>
        <w:t>（二）总股本不超过10亿股的上市公司，国有控股股东拟于一个会计年度内累计净转让（累计转让股份扣除累计增持股份后的余额，下同）达到总股本5%及以上的；总股本超过10亿股的上市公司，国有控股股东拟于一个会计年度内累计净转让数量达到5000万股及以上的；</w:t>
      </w:r>
    </w:p>
    <w:p w14:paraId="0B864B02" w14:textId="77777777" w:rsidR="003B0D09" w:rsidRPr="008D37F9" w:rsidRDefault="003B0D09" w:rsidP="003B0D09">
      <w:pPr>
        <w:pStyle w:val="13"/>
      </w:pPr>
      <w:r w:rsidRPr="008D37F9">
        <w:rPr>
          <w:rFonts w:hint="eastAsia"/>
        </w:rPr>
        <w:t>（三）国有参股股东拟于一个会计年度内累计净转让达到上市公司总股本5%及</w:t>
      </w:r>
      <w:r w:rsidRPr="008D37F9">
        <w:rPr>
          <w:rFonts w:hint="eastAsia"/>
        </w:rPr>
        <w:lastRenderedPageBreak/>
        <w:t>以上的。</w:t>
      </w:r>
    </w:p>
    <w:p w14:paraId="39F846B2" w14:textId="77777777" w:rsidR="003B0D09" w:rsidRPr="008D37F9" w:rsidRDefault="003B0D09" w:rsidP="003B0D09">
      <w:pPr>
        <w:pStyle w:val="13"/>
        <w:ind w:firstLine="482"/>
      </w:pPr>
      <w:r w:rsidRPr="00E05BDA">
        <w:rPr>
          <w:rFonts w:hint="eastAsia"/>
          <w:b/>
          <w:bCs/>
        </w:rPr>
        <w:t xml:space="preserve">第十三条 </w:t>
      </w:r>
      <w:r w:rsidRPr="008D37F9">
        <w:rPr>
          <w:rFonts w:hint="eastAsia"/>
        </w:rPr>
        <w:t>国家出资企业、国有资产监督管理机构决定或批准国有股东通过证券交易系统转让上市公司股份时，应当审核以下文件：</w:t>
      </w:r>
    </w:p>
    <w:p w14:paraId="04BCF2A2" w14:textId="77777777" w:rsidR="003B0D09" w:rsidRPr="008D37F9" w:rsidRDefault="003B0D09" w:rsidP="003B0D09">
      <w:pPr>
        <w:pStyle w:val="13"/>
      </w:pPr>
      <w:r w:rsidRPr="008D37F9">
        <w:rPr>
          <w:rFonts w:hint="eastAsia"/>
        </w:rPr>
        <w:t>（一）国有股东转让上市公司股份的内部决策文件；</w:t>
      </w:r>
    </w:p>
    <w:p w14:paraId="5FB4EDC4" w14:textId="77777777" w:rsidR="003B0D09" w:rsidRPr="008D37F9" w:rsidRDefault="003B0D09" w:rsidP="003B0D09">
      <w:pPr>
        <w:pStyle w:val="13"/>
      </w:pPr>
      <w:r w:rsidRPr="008D37F9">
        <w:rPr>
          <w:rFonts w:hint="eastAsia"/>
        </w:rPr>
        <w:t>（二）国有股东转让上市公司股份方案，内容包括但不限于：转让的必要性，国有股东及上市公司基本情况、主要财务数据，拟转让股份权属情况，转让底价及确定依据，转让数量、转让时限等；</w:t>
      </w:r>
    </w:p>
    <w:p w14:paraId="3B126BE5" w14:textId="77777777" w:rsidR="003B0D09" w:rsidRPr="008D37F9" w:rsidRDefault="003B0D09" w:rsidP="003B0D09">
      <w:pPr>
        <w:pStyle w:val="13"/>
      </w:pPr>
      <w:r w:rsidRPr="008D37F9">
        <w:rPr>
          <w:rFonts w:hint="eastAsia"/>
        </w:rPr>
        <w:t>（三）上市公司股份转让的可行性研究报告；</w:t>
      </w:r>
    </w:p>
    <w:p w14:paraId="4CC1F50D" w14:textId="77777777" w:rsidR="003B0D09" w:rsidRPr="008D37F9" w:rsidRDefault="003B0D09" w:rsidP="003B0D09">
      <w:pPr>
        <w:pStyle w:val="13"/>
      </w:pPr>
      <w:r w:rsidRPr="008D37F9">
        <w:rPr>
          <w:rFonts w:hint="eastAsia"/>
        </w:rPr>
        <w:t>（四）国家出资企业、国有资产监督管理机构认为必要的其他文件。</w:t>
      </w:r>
    </w:p>
    <w:p w14:paraId="47E2CACA" w14:textId="77777777" w:rsidR="003B0D09" w:rsidRPr="008D37F9" w:rsidRDefault="003B0D09" w:rsidP="00AF7342">
      <w:pPr>
        <w:pStyle w:val="a9"/>
        <w:spacing w:before="62" w:after="62"/>
      </w:pPr>
      <w:r w:rsidRPr="008D37F9">
        <w:rPr>
          <w:rFonts w:hint="eastAsia"/>
        </w:rPr>
        <w:t>第三章</w:t>
      </w:r>
      <w:r>
        <w:rPr>
          <w:rFonts w:hint="eastAsia"/>
        </w:rPr>
        <w:t xml:space="preserve"> </w:t>
      </w:r>
      <w:r w:rsidRPr="008D37F9">
        <w:rPr>
          <w:rFonts w:hint="eastAsia"/>
        </w:rPr>
        <w:t>国有股东所持上市公司股份公开征集转让</w:t>
      </w:r>
    </w:p>
    <w:p w14:paraId="628A83C5" w14:textId="77777777" w:rsidR="003B0D09" w:rsidRPr="008D37F9" w:rsidRDefault="003B0D09" w:rsidP="003B0D09">
      <w:pPr>
        <w:pStyle w:val="13"/>
        <w:ind w:firstLine="482"/>
      </w:pPr>
      <w:r w:rsidRPr="00E05BDA">
        <w:rPr>
          <w:rFonts w:hint="eastAsia"/>
          <w:b/>
          <w:bCs/>
        </w:rPr>
        <w:t xml:space="preserve">第十四条 </w:t>
      </w:r>
      <w:r w:rsidRPr="008D37F9">
        <w:rPr>
          <w:rFonts w:hint="eastAsia"/>
        </w:rPr>
        <w:t>公开征集转让是指国有股东依法公开披露信息，</w:t>
      </w:r>
      <w:proofErr w:type="gramStart"/>
      <w:r w:rsidRPr="008D37F9">
        <w:rPr>
          <w:rFonts w:hint="eastAsia"/>
        </w:rPr>
        <w:t>征集受</w:t>
      </w:r>
      <w:proofErr w:type="gramEnd"/>
      <w:r w:rsidRPr="008D37F9">
        <w:rPr>
          <w:rFonts w:hint="eastAsia"/>
        </w:rPr>
        <w:t>让方转让上市公司股份的行为。</w:t>
      </w:r>
    </w:p>
    <w:p w14:paraId="76EDF4FB" w14:textId="77777777" w:rsidR="003B0D09" w:rsidRPr="008D37F9" w:rsidRDefault="003B0D09" w:rsidP="003B0D09">
      <w:pPr>
        <w:pStyle w:val="13"/>
        <w:ind w:firstLine="482"/>
      </w:pPr>
      <w:r w:rsidRPr="00E05BDA">
        <w:rPr>
          <w:rFonts w:hint="eastAsia"/>
          <w:b/>
          <w:bCs/>
        </w:rPr>
        <w:t xml:space="preserve">第十五条 </w:t>
      </w:r>
      <w:r w:rsidRPr="008D37F9">
        <w:rPr>
          <w:rFonts w:hint="eastAsia"/>
        </w:rPr>
        <w:t>国有股东拟公开征集转让上市公司股份的，在履行内部决策程序后，应书面告知上市公司，由上市公司依法披露，进行提示性公告。国有控股股东公开征集转让上市公司股份可能导致上市公司控股权转移的，应当一并通知上市公司申请停牌。</w:t>
      </w:r>
    </w:p>
    <w:p w14:paraId="21DC27EA" w14:textId="77777777" w:rsidR="003B0D09" w:rsidRPr="008D37F9" w:rsidRDefault="003B0D09" w:rsidP="003B0D09">
      <w:pPr>
        <w:pStyle w:val="13"/>
        <w:ind w:firstLine="482"/>
      </w:pPr>
      <w:r w:rsidRPr="00E05BDA">
        <w:rPr>
          <w:rFonts w:hint="eastAsia"/>
          <w:b/>
          <w:bCs/>
        </w:rPr>
        <w:t xml:space="preserve">第十六条 </w:t>
      </w:r>
      <w:r w:rsidRPr="008D37F9">
        <w:rPr>
          <w:rFonts w:hint="eastAsia"/>
        </w:rPr>
        <w:t>上市公司发布提示性公告后，国有股东应及时将转让方案、可行性研究报告、内部决策文件、拟发布的公开征集信息等内容通过管理信息系统报送国有资产监督管理机构。</w:t>
      </w:r>
    </w:p>
    <w:p w14:paraId="15F3F0AF" w14:textId="77777777" w:rsidR="003B0D09" w:rsidRPr="008D37F9" w:rsidRDefault="003B0D09" w:rsidP="003B0D09">
      <w:pPr>
        <w:pStyle w:val="13"/>
        <w:ind w:firstLine="482"/>
      </w:pPr>
      <w:r w:rsidRPr="00E05BDA">
        <w:rPr>
          <w:rFonts w:hint="eastAsia"/>
          <w:b/>
          <w:bCs/>
        </w:rPr>
        <w:t xml:space="preserve">第十七条 </w:t>
      </w:r>
      <w:r w:rsidRPr="008D37F9">
        <w:rPr>
          <w:rFonts w:hint="eastAsia"/>
        </w:rPr>
        <w:t>公开征集信息内容包括但不限于：拟转让股份权属情况、数量，受让方应当具备的资格条件，受让方的选择规则，公开征集期限等。</w:t>
      </w:r>
    </w:p>
    <w:p w14:paraId="4A6537A6" w14:textId="77777777" w:rsidR="003B0D09" w:rsidRPr="008D37F9" w:rsidRDefault="003B0D09" w:rsidP="003B0D09">
      <w:pPr>
        <w:pStyle w:val="13"/>
      </w:pPr>
      <w:r w:rsidRPr="008D37F9">
        <w:rPr>
          <w:rFonts w:hint="eastAsia"/>
        </w:rPr>
        <w:t>公开征集信息对受让方的资格条件不得设定指向性或违反公平竞争要求的条款，公开征集期限不得少于10个交易日。</w:t>
      </w:r>
    </w:p>
    <w:p w14:paraId="2814BF7C" w14:textId="77777777" w:rsidR="003B0D09" w:rsidRPr="008D37F9" w:rsidRDefault="003B0D09" w:rsidP="003B0D09">
      <w:pPr>
        <w:pStyle w:val="13"/>
        <w:ind w:firstLine="482"/>
      </w:pPr>
      <w:r w:rsidRPr="00E05BDA">
        <w:rPr>
          <w:rFonts w:hint="eastAsia"/>
          <w:b/>
          <w:bCs/>
        </w:rPr>
        <w:t xml:space="preserve">第十八条 </w:t>
      </w:r>
      <w:r w:rsidRPr="008D37F9">
        <w:rPr>
          <w:rFonts w:hint="eastAsia"/>
        </w:rPr>
        <w:t>国有资产监督管理机构通过管理信息系统对公开征集转让事项出具意见。国有股东在获得国有资产监督管理机构同意意见后书面通知上市公司发布公开征集信息。</w:t>
      </w:r>
    </w:p>
    <w:p w14:paraId="3F02CC44" w14:textId="77777777" w:rsidR="003B0D09" w:rsidRPr="008D37F9" w:rsidRDefault="003B0D09" w:rsidP="003B0D09">
      <w:pPr>
        <w:pStyle w:val="13"/>
        <w:ind w:firstLine="482"/>
      </w:pPr>
      <w:r w:rsidRPr="00E05BDA">
        <w:rPr>
          <w:rFonts w:hint="eastAsia"/>
          <w:b/>
          <w:bCs/>
        </w:rPr>
        <w:t xml:space="preserve">第十九条 </w:t>
      </w:r>
      <w:r w:rsidRPr="008D37F9">
        <w:rPr>
          <w:rFonts w:hint="eastAsia"/>
        </w:rPr>
        <w:t>国有股东收到拟受让方提交的受让申请及受让方案后，应当成立由内部职能部门人员以及法律、财务等独立外部专家组成的工作小组，严格按照已公告的规则选择确定受让方。</w:t>
      </w:r>
    </w:p>
    <w:p w14:paraId="69632CD5" w14:textId="77777777" w:rsidR="003B0D09" w:rsidRPr="008D37F9" w:rsidRDefault="003B0D09" w:rsidP="003B0D09">
      <w:pPr>
        <w:pStyle w:val="13"/>
        <w:ind w:firstLine="482"/>
      </w:pPr>
      <w:r w:rsidRPr="00E05BDA">
        <w:rPr>
          <w:rFonts w:hint="eastAsia"/>
          <w:b/>
          <w:bCs/>
        </w:rPr>
        <w:t xml:space="preserve">第二十条 </w:t>
      </w:r>
      <w:r w:rsidRPr="008D37F9">
        <w:rPr>
          <w:rFonts w:hint="eastAsia"/>
        </w:rPr>
        <w:t>公开征集转让可能导致上市公司控股权转移的，国有股东应当聘请具有上市公司并购重组财务顾问业务资格的证券公司、证券投资咨询机构或者其他符合条件的财务顾问机构担任财务顾问（以下简称财务顾问）。财务顾问应当具有良好的信誉，近三年内无重大违法违规记录，且与受让方不存在利益关联。</w:t>
      </w:r>
    </w:p>
    <w:p w14:paraId="1CBBE94F" w14:textId="77777777" w:rsidR="003B0D09" w:rsidRPr="008D37F9" w:rsidRDefault="003B0D09" w:rsidP="003B0D09">
      <w:pPr>
        <w:pStyle w:val="13"/>
        <w:ind w:firstLine="482"/>
      </w:pPr>
      <w:r w:rsidRPr="00E05BDA">
        <w:rPr>
          <w:rFonts w:hint="eastAsia"/>
          <w:b/>
          <w:bCs/>
        </w:rPr>
        <w:t xml:space="preserve">第二十一条 </w:t>
      </w:r>
      <w:r w:rsidRPr="008D37F9">
        <w:rPr>
          <w:rFonts w:hint="eastAsia"/>
        </w:rPr>
        <w:t>财务顾问应当勤勉尽责，遵守行业规范和职业道德，对上市公司股</w:t>
      </w:r>
      <w:r w:rsidRPr="008D37F9">
        <w:rPr>
          <w:rFonts w:hint="eastAsia"/>
        </w:rPr>
        <w:lastRenderedPageBreak/>
        <w:t>份的转让方式、转让价格、股份转让对国有股东和上市公司的影响等方面出具专业意见；并对拟受让方进行尽职调查，出具尽职调查报告。尽职调查应当包括但不限于以下内容：</w:t>
      </w:r>
    </w:p>
    <w:p w14:paraId="6FF22DD3" w14:textId="77777777" w:rsidR="003B0D09" w:rsidRPr="008D37F9" w:rsidRDefault="003B0D09" w:rsidP="003B0D09">
      <w:pPr>
        <w:pStyle w:val="13"/>
      </w:pPr>
      <w:r w:rsidRPr="008D37F9">
        <w:rPr>
          <w:rFonts w:hint="eastAsia"/>
        </w:rPr>
        <w:t>（一）拟受让方受让股份的目的；</w:t>
      </w:r>
    </w:p>
    <w:p w14:paraId="38D4E559" w14:textId="77777777" w:rsidR="003B0D09" w:rsidRPr="008D37F9" w:rsidRDefault="003B0D09" w:rsidP="003B0D09">
      <w:pPr>
        <w:pStyle w:val="13"/>
      </w:pPr>
      <w:r w:rsidRPr="008D37F9">
        <w:rPr>
          <w:rFonts w:hint="eastAsia"/>
        </w:rPr>
        <w:t>（二）拟受让方的经营情况、财务状况、资金实力及是否有重大违法违规记录和不良诚信记录；</w:t>
      </w:r>
    </w:p>
    <w:p w14:paraId="5A6F5E2C" w14:textId="77777777" w:rsidR="003B0D09" w:rsidRPr="008D37F9" w:rsidRDefault="003B0D09" w:rsidP="003B0D09">
      <w:pPr>
        <w:pStyle w:val="13"/>
      </w:pPr>
      <w:r w:rsidRPr="008D37F9">
        <w:rPr>
          <w:rFonts w:hint="eastAsia"/>
        </w:rPr>
        <w:t>（三）拟受让方是否具有及时足额支付转让价款的能力、受让资金的来源及合法性；</w:t>
      </w:r>
    </w:p>
    <w:p w14:paraId="7D7CABD3" w14:textId="77777777" w:rsidR="003B0D09" w:rsidRPr="008D37F9" w:rsidRDefault="003B0D09" w:rsidP="003B0D09">
      <w:pPr>
        <w:pStyle w:val="13"/>
      </w:pPr>
      <w:r w:rsidRPr="008D37F9">
        <w:rPr>
          <w:rFonts w:hint="eastAsia"/>
        </w:rPr>
        <w:t>（四）拟受让方是否具有促进上市公司持续发展和改善上市公司法人治理结构的能力。</w:t>
      </w:r>
    </w:p>
    <w:p w14:paraId="32D8C8CC" w14:textId="77777777" w:rsidR="003B0D09" w:rsidRPr="008D37F9" w:rsidRDefault="003B0D09" w:rsidP="003B0D09">
      <w:pPr>
        <w:pStyle w:val="13"/>
        <w:ind w:firstLine="482"/>
      </w:pPr>
      <w:r w:rsidRPr="00E05BDA">
        <w:rPr>
          <w:rFonts w:hint="eastAsia"/>
          <w:b/>
          <w:bCs/>
        </w:rPr>
        <w:t xml:space="preserve">第二十二条 </w:t>
      </w:r>
      <w:r w:rsidRPr="008D37F9">
        <w:rPr>
          <w:rFonts w:hint="eastAsia"/>
        </w:rPr>
        <w:t>国有股东确定受让方后，应当及时与受让方签订股份转让协议。股份转让协议应当包括但不限于以下内容：</w:t>
      </w:r>
    </w:p>
    <w:p w14:paraId="419BF96D" w14:textId="77777777" w:rsidR="003B0D09" w:rsidRPr="008D37F9" w:rsidRDefault="003B0D09" w:rsidP="003B0D09">
      <w:pPr>
        <w:pStyle w:val="13"/>
      </w:pPr>
      <w:r w:rsidRPr="008D37F9">
        <w:rPr>
          <w:rFonts w:hint="eastAsia"/>
        </w:rPr>
        <w:t>（一）转让方、上市公司、拟受让方的名称、法定代表人及住所；</w:t>
      </w:r>
    </w:p>
    <w:p w14:paraId="17BC90BC" w14:textId="77777777" w:rsidR="003B0D09" w:rsidRPr="008D37F9" w:rsidRDefault="003B0D09" w:rsidP="003B0D09">
      <w:pPr>
        <w:pStyle w:val="13"/>
      </w:pPr>
      <w:r w:rsidRPr="008D37F9">
        <w:rPr>
          <w:rFonts w:hint="eastAsia"/>
        </w:rPr>
        <w:t>（二）转让方持股数量、拟转让股份数量及价格；</w:t>
      </w:r>
    </w:p>
    <w:p w14:paraId="3809305F" w14:textId="77777777" w:rsidR="003B0D09" w:rsidRPr="008D37F9" w:rsidRDefault="003B0D09" w:rsidP="003B0D09">
      <w:pPr>
        <w:pStyle w:val="13"/>
      </w:pPr>
      <w:r w:rsidRPr="008D37F9">
        <w:rPr>
          <w:rFonts w:hint="eastAsia"/>
        </w:rPr>
        <w:t>（三）转让方、受让方的权利和义务；</w:t>
      </w:r>
    </w:p>
    <w:p w14:paraId="53918F91" w14:textId="77777777" w:rsidR="003B0D09" w:rsidRPr="008D37F9" w:rsidRDefault="003B0D09" w:rsidP="003B0D09">
      <w:pPr>
        <w:pStyle w:val="13"/>
      </w:pPr>
      <w:r w:rsidRPr="008D37F9">
        <w:rPr>
          <w:rFonts w:hint="eastAsia"/>
        </w:rPr>
        <w:t>（四）股份转让价款支付方式及期限；</w:t>
      </w:r>
    </w:p>
    <w:p w14:paraId="123D8C77" w14:textId="77777777" w:rsidR="003B0D09" w:rsidRPr="008D37F9" w:rsidRDefault="003B0D09" w:rsidP="003B0D09">
      <w:pPr>
        <w:pStyle w:val="13"/>
      </w:pPr>
      <w:r w:rsidRPr="008D37F9">
        <w:rPr>
          <w:rFonts w:hint="eastAsia"/>
        </w:rPr>
        <w:t>（五）股份登记过户的条件；</w:t>
      </w:r>
    </w:p>
    <w:p w14:paraId="5E425C17" w14:textId="77777777" w:rsidR="003B0D09" w:rsidRPr="008D37F9" w:rsidRDefault="003B0D09" w:rsidP="003B0D09">
      <w:pPr>
        <w:pStyle w:val="13"/>
      </w:pPr>
      <w:r w:rsidRPr="008D37F9">
        <w:rPr>
          <w:rFonts w:hint="eastAsia"/>
        </w:rPr>
        <w:t>（六）协议生效、变更和解除条件、争议解决方式、违约责任等。</w:t>
      </w:r>
    </w:p>
    <w:p w14:paraId="32D3B44D" w14:textId="77777777" w:rsidR="003B0D09" w:rsidRPr="008D37F9" w:rsidRDefault="003B0D09" w:rsidP="003B0D09">
      <w:pPr>
        <w:pStyle w:val="13"/>
        <w:ind w:firstLine="482"/>
      </w:pPr>
      <w:r w:rsidRPr="00E05BDA">
        <w:rPr>
          <w:rFonts w:hint="eastAsia"/>
          <w:b/>
          <w:bCs/>
        </w:rPr>
        <w:t xml:space="preserve">第二十三条 </w:t>
      </w:r>
      <w:r w:rsidRPr="008D37F9">
        <w:rPr>
          <w:rFonts w:hint="eastAsia"/>
        </w:rPr>
        <w:t>国有股东公开征集转让上市公司股份的价格不得低于下列两者之中的较高者：</w:t>
      </w:r>
    </w:p>
    <w:p w14:paraId="7EB8AE8F" w14:textId="77777777" w:rsidR="003B0D09" w:rsidRPr="008D37F9" w:rsidRDefault="003B0D09" w:rsidP="003B0D09">
      <w:pPr>
        <w:pStyle w:val="13"/>
      </w:pPr>
      <w:r w:rsidRPr="008D37F9">
        <w:rPr>
          <w:rFonts w:hint="eastAsia"/>
        </w:rPr>
        <w:t>（一）提示性公告日前30个交易日的每日加权平均价格的算术平均值；</w:t>
      </w:r>
    </w:p>
    <w:p w14:paraId="0E0D93D2" w14:textId="77777777" w:rsidR="003B0D09" w:rsidRPr="008D37F9" w:rsidRDefault="003B0D09" w:rsidP="003B0D09">
      <w:pPr>
        <w:pStyle w:val="13"/>
      </w:pPr>
      <w:r w:rsidRPr="008D37F9">
        <w:rPr>
          <w:rFonts w:hint="eastAsia"/>
        </w:rPr>
        <w:t>（二）最近一个会计年度上市公司经审计的每股净资产值。</w:t>
      </w:r>
    </w:p>
    <w:p w14:paraId="39EC9A1C" w14:textId="77777777" w:rsidR="003B0D09" w:rsidRPr="008D37F9" w:rsidRDefault="003B0D09" w:rsidP="003B0D09">
      <w:pPr>
        <w:pStyle w:val="13"/>
        <w:ind w:firstLine="482"/>
      </w:pPr>
      <w:r w:rsidRPr="00E05BDA">
        <w:rPr>
          <w:rFonts w:hint="eastAsia"/>
          <w:b/>
          <w:bCs/>
        </w:rPr>
        <w:t xml:space="preserve">第二十四条 </w:t>
      </w:r>
      <w:r w:rsidRPr="008D37F9">
        <w:rPr>
          <w:rFonts w:hint="eastAsia"/>
        </w:rPr>
        <w:t>国有股东与受让方签订协议后，属于本办法第七条规定情形的，由国家出资企业审核批准，其他情形由国有资产监督管理机构审核批准。</w:t>
      </w:r>
    </w:p>
    <w:p w14:paraId="44E0EE33" w14:textId="77777777" w:rsidR="003B0D09" w:rsidRPr="008D37F9" w:rsidRDefault="003B0D09" w:rsidP="003B0D09">
      <w:pPr>
        <w:pStyle w:val="13"/>
        <w:ind w:firstLine="482"/>
      </w:pPr>
      <w:r w:rsidRPr="00E05BDA">
        <w:rPr>
          <w:rFonts w:hint="eastAsia"/>
          <w:b/>
          <w:bCs/>
        </w:rPr>
        <w:t xml:space="preserve">第二十五条 </w:t>
      </w:r>
      <w:r w:rsidRPr="008D37F9">
        <w:rPr>
          <w:rFonts w:hint="eastAsia"/>
        </w:rPr>
        <w:t>国家出资企业、国有资产监督管理机构批准国有股东所持上市公司股份公开征集转让时，应当审核以下文件：</w:t>
      </w:r>
    </w:p>
    <w:p w14:paraId="041F060E" w14:textId="77777777" w:rsidR="003B0D09" w:rsidRPr="008D37F9" w:rsidRDefault="003B0D09" w:rsidP="003B0D09">
      <w:pPr>
        <w:pStyle w:val="13"/>
      </w:pPr>
      <w:r w:rsidRPr="008D37F9">
        <w:rPr>
          <w:rFonts w:hint="eastAsia"/>
        </w:rPr>
        <w:t>（一）受让方的征集及选择情况；</w:t>
      </w:r>
    </w:p>
    <w:p w14:paraId="3537ED4D" w14:textId="77777777" w:rsidR="003B0D09" w:rsidRPr="008D37F9" w:rsidRDefault="003B0D09" w:rsidP="003B0D09">
      <w:pPr>
        <w:pStyle w:val="13"/>
      </w:pPr>
      <w:r w:rsidRPr="008D37F9">
        <w:rPr>
          <w:rFonts w:hint="eastAsia"/>
        </w:rPr>
        <w:t>（二）国有股东基本情况、受让方基本情况及上一年度经审计的财务会计报告；</w:t>
      </w:r>
    </w:p>
    <w:p w14:paraId="3D976EE0" w14:textId="77777777" w:rsidR="003B0D09" w:rsidRPr="008D37F9" w:rsidRDefault="003B0D09" w:rsidP="003B0D09">
      <w:pPr>
        <w:pStyle w:val="13"/>
      </w:pPr>
      <w:r w:rsidRPr="008D37F9">
        <w:rPr>
          <w:rFonts w:hint="eastAsia"/>
        </w:rPr>
        <w:t>（三）股份转让协议及股份转让价格的定价说明；</w:t>
      </w:r>
    </w:p>
    <w:p w14:paraId="75856149" w14:textId="77777777" w:rsidR="003B0D09" w:rsidRPr="008D37F9" w:rsidRDefault="003B0D09" w:rsidP="003B0D09">
      <w:pPr>
        <w:pStyle w:val="13"/>
      </w:pPr>
      <w:r w:rsidRPr="008D37F9">
        <w:rPr>
          <w:rFonts w:hint="eastAsia"/>
        </w:rPr>
        <w:t>（四）受让方与国有股东、上市公司之间在最近12个月内股权转让、资产置换、投资等重大情况及债权债务情况；</w:t>
      </w:r>
    </w:p>
    <w:p w14:paraId="18F22C87" w14:textId="77777777" w:rsidR="003B0D09" w:rsidRPr="008D37F9" w:rsidRDefault="003B0D09" w:rsidP="003B0D09">
      <w:pPr>
        <w:pStyle w:val="13"/>
      </w:pPr>
      <w:r w:rsidRPr="008D37F9">
        <w:rPr>
          <w:rFonts w:hint="eastAsia"/>
        </w:rPr>
        <w:t>（五）律师事务所出具的法律意见书；</w:t>
      </w:r>
    </w:p>
    <w:p w14:paraId="1DA2E607" w14:textId="77777777" w:rsidR="003B0D09" w:rsidRPr="008D37F9" w:rsidRDefault="003B0D09" w:rsidP="003B0D09">
      <w:pPr>
        <w:pStyle w:val="13"/>
      </w:pPr>
      <w:r w:rsidRPr="008D37F9">
        <w:rPr>
          <w:rFonts w:hint="eastAsia"/>
        </w:rPr>
        <w:t>（六）财务顾问出具的尽职调查报告（适用于上市公司控股权转移的）；</w:t>
      </w:r>
    </w:p>
    <w:p w14:paraId="0D5F49C0" w14:textId="77777777" w:rsidR="003B0D09" w:rsidRPr="008D37F9" w:rsidRDefault="003B0D09" w:rsidP="003B0D09">
      <w:pPr>
        <w:pStyle w:val="13"/>
      </w:pPr>
      <w:r w:rsidRPr="008D37F9">
        <w:rPr>
          <w:rFonts w:hint="eastAsia"/>
        </w:rPr>
        <w:t>（七）国家出资企业、国有资产监督管理机构认为必要的其他文件。</w:t>
      </w:r>
    </w:p>
    <w:p w14:paraId="1B9D0EDD" w14:textId="77777777" w:rsidR="003B0D09" w:rsidRPr="008D37F9" w:rsidRDefault="003B0D09" w:rsidP="003B0D09">
      <w:pPr>
        <w:pStyle w:val="13"/>
        <w:ind w:firstLine="482"/>
      </w:pPr>
      <w:r w:rsidRPr="00E05BDA">
        <w:rPr>
          <w:rFonts w:hint="eastAsia"/>
          <w:b/>
          <w:bCs/>
        </w:rPr>
        <w:lastRenderedPageBreak/>
        <w:t xml:space="preserve">第二十六条 </w:t>
      </w:r>
      <w:r w:rsidRPr="008D37F9">
        <w:rPr>
          <w:rFonts w:hint="eastAsia"/>
        </w:rPr>
        <w:t>国有股东应在股份转让协议签订后5个工作日内收取不低于转让价款30%的保证金，其余价款应在股份过户前全部结清。在全部转让价款支付完毕或交由转让双方共同认可的第三方妥善保管前，不得办理股份过户登记手续。</w:t>
      </w:r>
    </w:p>
    <w:p w14:paraId="734FEC07" w14:textId="77777777" w:rsidR="003B0D09" w:rsidRPr="008D37F9" w:rsidRDefault="003B0D09" w:rsidP="003B0D09">
      <w:pPr>
        <w:pStyle w:val="13"/>
        <w:ind w:firstLine="482"/>
      </w:pPr>
      <w:r w:rsidRPr="00E05BDA">
        <w:rPr>
          <w:rFonts w:hint="eastAsia"/>
          <w:b/>
          <w:bCs/>
        </w:rPr>
        <w:t xml:space="preserve">第二十七条 </w:t>
      </w:r>
      <w:r w:rsidRPr="008D37F9">
        <w:rPr>
          <w:rFonts w:hint="eastAsia"/>
        </w:rPr>
        <w:t>国有资产监督管理机构关于国有股东公开征集转让上市公司股份的批准文件或国有资产监督管理机构、管理信息系统出具的统一编号的备案表和全部转让价款支付凭证是证券交易所、中国证券登记结算有限责任公司办理上市公司股份过户登记手续的必备文件。</w:t>
      </w:r>
    </w:p>
    <w:p w14:paraId="5C1ECE24" w14:textId="77777777" w:rsidR="003B0D09" w:rsidRPr="008D37F9" w:rsidRDefault="003B0D09" w:rsidP="003B0D09">
      <w:pPr>
        <w:pStyle w:val="13"/>
      </w:pPr>
      <w:r w:rsidRPr="008D37F9">
        <w:rPr>
          <w:rFonts w:hint="eastAsia"/>
        </w:rPr>
        <w:t>上市公司股份过户前，原则上受让方人员不能提前进入上市公司董事会和经理层，不得干预上市公司正常生产经营。</w:t>
      </w:r>
    </w:p>
    <w:p w14:paraId="24D70FD3" w14:textId="77777777" w:rsidR="003B0D09" w:rsidRPr="008D37F9" w:rsidRDefault="003B0D09" w:rsidP="00AF7342">
      <w:pPr>
        <w:pStyle w:val="a9"/>
        <w:spacing w:before="62" w:after="62"/>
      </w:pPr>
      <w:r w:rsidRPr="008D37F9">
        <w:rPr>
          <w:rFonts w:hint="eastAsia"/>
        </w:rPr>
        <w:t>第四章</w:t>
      </w:r>
      <w:r>
        <w:rPr>
          <w:rFonts w:hint="eastAsia"/>
        </w:rPr>
        <w:t xml:space="preserve"> </w:t>
      </w:r>
      <w:r w:rsidRPr="008D37F9">
        <w:rPr>
          <w:rFonts w:hint="eastAsia"/>
        </w:rPr>
        <w:t>国有股东所持上市公司股份非公开协议转让</w:t>
      </w:r>
    </w:p>
    <w:p w14:paraId="6986D5D6" w14:textId="77777777" w:rsidR="003B0D09" w:rsidRPr="008D37F9" w:rsidRDefault="003B0D09" w:rsidP="003B0D09">
      <w:pPr>
        <w:pStyle w:val="13"/>
        <w:ind w:firstLine="482"/>
      </w:pPr>
      <w:r w:rsidRPr="00E05BDA">
        <w:rPr>
          <w:rFonts w:hint="eastAsia"/>
          <w:b/>
          <w:bCs/>
        </w:rPr>
        <w:t xml:space="preserve">第二十八条 </w:t>
      </w:r>
      <w:r w:rsidRPr="008D37F9">
        <w:rPr>
          <w:rFonts w:hint="eastAsia"/>
        </w:rPr>
        <w:t>非公开协议转让是指不公开</w:t>
      </w:r>
      <w:proofErr w:type="gramStart"/>
      <w:r w:rsidRPr="008D37F9">
        <w:rPr>
          <w:rFonts w:hint="eastAsia"/>
        </w:rPr>
        <w:t>征集受</w:t>
      </w:r>
      <w:proofErr w:type="gramEnd"/>
      <w:r w:rsidRPr="008D37F9">
        <w:rPr>
          <w:rFonts w:hint="eastAsia"/>
        </w:rPr>
        <w:t>让方，通过直接签订协议转让上市公司股份的行为。</w:t>
      </w:r>
    </w:p>
    <w:p w14:paraId="74C657D1" w14:textId="77777777" w:rsidR="003B0D09" w:rsidRPr="008D37F9" w:rsidRDefault="003B0D09" w:rsidP="003B0D09">
      <w:pPr>
        <w:pStyle w:val="13"/>
        <w:ind w:firstLine="482"/>
      </w:pPr>
      <w:r w:rsidRPr="00E05BDA">
        <w:rPr>
          <w:rFonts w:hint="eastAsia"/>
          <w:b/>
          <w:bCs/>
        </w:rPr>
        <w:t xml:space="preserve">第二十九条 </w:t>
      </w:r>
      <w:r w:rsidRPr="008D37F9">
        <w:rPr>
          <w:rFonts w:hint="eastAsia"/>
        </w:rPr>
        <w:t>符合以下情形之一的，国有股东可以非公开协议转让上市公司股份：</w:t>
      </w:r>
    </w:p>
    <w:p w14:paraId="7823EE66" w14:textId="77777777" w:rsidR="003B0D09" w:rsidRPr="008D37F9" w:rsidRDefault="003B0D09" w:rsidP="003B0D09">
      <w:pPr>
        <w:pStyle w:val="13"/>
      </w:pPr>
      <w:r w:rsidRPr="008D37F9">
        <w:rPr>
          <w:rFonts w:hint="eastAsia"/>
        </w:rPr>
        <w:t>（一）上市公司连续两年亏损并存在退</w:t>
      </w:r>
      <w:proofErr w:type="gramStart"/>
      <w:r w:rsidRPr="008D37F9">
        <w:rPr>
          <w:rFonts w:hint="eastAsia"/>
        </w:rPr>
        <w:t>市风险</w:t>
      </w:r>
      <w:proofErr w:type="gramEnd"/>
      <w:r w:rsidRPr="008D37F9">
        <w:rPr>
          <w:rFonts w:hint="eastAsia"/>
        </w:rPr>
        <w:t>或严重财务危机，受让方提出重大资产重组计划及具体时间表的；</w:t>
      </w:r>
    </w:p>
    <w:p w14:paraId="157DBA77" w14:textId="77777777" w:rsidR="003B0D09" w:rsidRPr="008D37F9" w:rsidRDefault="003B0D09" w:rsidP="003B0D09">
      <w:pPr>
        <w:pStyle w:val="13"/>
      </w:pPr>
      <w:r w:rsidRPr="008D37F9">
        <w:rPr>
          <w:rFonts w:hint="eastAsia"/>
        </w:rPr>
        <w:t>（二）企业主业处于关系国家安全、国民经济命脉的重要行业和关键领域，主要承担重大专项任务，对受让方有特殊要求的；</w:t>
      </w:r>
    </w:p>
    <w:p w14:paraId="13672101" w14:textId="77777777" w:rsidR="003B0D09" w:rsidRPr="008D37F9" w:rsidRDefault="003B0D09" w:rsidP="003B0D09">
      <w:pPr>
        <w:pStyle w:val="13"/>
      </w:pPr>
      <w:r w:rsidRPr="008D37F9">
        <w:rPr>
          <w:rFonts w:hint="eastAsia"/>
        </w:rPr>
        <w:t>（三）为实施国有资源整合或资产重组，在国有股东、潜在国有股东（经本次国有资源整合或资产重组后成为上市公司国有股东的，以下统称国有股东）之间转让的；</w:t>
      </w:r>
    </w:p>
    <w:p w14:paraId="7669D88F" w14:textId="77777777" w:rsidR="003B0D09" w:rsidRPr="008D37F9" w:rsidRDefault="003B0D09" w:rsidP="003B0D09">
      <w:pPr>
        <w:pStyle w:val="13"/>
      </w:pPr>
      <w:r w:rsidRPr="008D37F9">
        <w:rPr>
          <w:rFonts w:hint="eastAsia"/>
        </w:rPr>
        <w:t>（四）上市公司回购股</w:t>
      </w:r>
      <w:proofErr w:type="gramStart"/>
      <w:r w:rsidRPr="008D37F9">
        <w:rPr>
          <w:rFonts w:hint="eastAsia"/>
        </w:rPr>
        <w:t>份涉及</w:t>
      </w:r>
      <w:proofErr w:type="gramEnd"/>
      <w:r w:rsidRPr="008D37F9">
        <w:rPr>
          <w:rFonts w:hint="eastAsia"/>
        </w:rPr>
        <w:t>国有股东所持股份的；</w:t>
      </w:r>
    </w:p>
    <w:p w14:paraId="55A5E4CD" w14:textId="77777777" w:rsidR="003B0D09" w:rsidRPr="008D37F9" w:rsidRDefault="003B0D09" w:rsidP="003B0D09">
      <w:pPr>
        <w:pStyle w:val="13"/>
      </w:pPr>
      <w:r w:rsidRPr="008D37F9">
        <w:rPr>
          <w:rFonts w:hint="eastAsia"/>
        </w:rPr>
        <w:t>（五）国有股东因接受要约收购方式转让其所持上市公司股份的；</w:t>
      </w:r>
    </w:p>
    <w:p w14:paraId="58477A3E" w14:textId="77777777" w:rsidR="003B0D09" w:rsidRPr="008D37F9" w:rsidRDefault="003B0D09" w:rsidP="003B0D09">
      <w:pPr>
        <w:pStyle w:val="13"/>
      </w:pPr>
      <w:r w:rsidRPr="008D37F9">
        <w:rPr>
          <w:rFonts w:hint="eastAsia"/>
        </w:rPr>
        <w:t>（六）国有股东因解散、破产、减资、被依法责令关闭等原因转让其所持上市公司股份的；</w:t>
      </w:r>
    </w:p>
    <w:p w14:paraId="49297A55" w14:textId="77777777" w:rsidR="003B0D09" w:rsidRPr="008D37F9" w:rsidRDefault="003B0D09" w:rsidP="003B0D09">
      <w:pPr>
        <w:pStyle w:val="13"/>
      </w:pPr>
      <w:r w:rsidRPr="008D37F9">
        <w:rPr>
          <w:rFonts w:hint="eastAsia"/>
        </w:rPr>
        <w:t>（七）国有股东以所持上市公司股份出资的。</w:t>
      </w:r>
    </w:p>
    <w:p w14:paraId="5746F89A" w14:textId="77777777" w:rsidR="003B0D09" w:rsidRPr="008D37F9" w:rsidRDefault="003B0D09" w:rsidP="003B0D09">
      <w:pPr>
        <w:pStyle w:val="13"/>
        <w:ind w:firstLine="482"/>
      </w:pPr>
      <w:r w:rsidRPr="00E05BDA">
        <w:rPr>
          <w:rFonts w:hint="eastAsia"/>
          <w:b/>
          <w:bCs/>
        </w:rPr>
        <w:t xml:space="preserve">第三十条 </w:t>
      </w:r>
      <w:r w:rsidRPr="008D37F9">
        <w:rPr>
          <w:rFonts w:hint="eastAsia"/>
        </w:rPr>
        <w:t>国有股东在履行内部决策程序后，应当及时与受让方签订股份转让协议。涉及上市公司控股权转移的，在转让协议签订前，应按本办法第二十条、第二十一条规定聘请财务顾问，对拟受让方进行尽职调查，出具尽职调查报告。</w:t>
      </w:r>
    </w:p>
    <w:p w14:paraId="58BC1119" w14:textId="77777777" w:rsidR="003B0D09" w:rsidRPr="008D37F9" w:rsidRDefault="003B0D09" w:rsidP="003B0D09">
      <w:pPr>
        <w:pStyle w:val="13"/>
        <w:ind w:firstLine="482"/>
      </w:pPr>
      <w:r w:rsidRPr="003B2FB1">
        <w:rPr>
          <w:rFonts w:hint="eastAsia"/>
          <w:b/>
          <w:bCs/>
        </w:rPr>
        <w:t xml:space="preserve">第三十一条 </w:t>
      </w:r>
      <w:r w:rsidRPr="008D37F9">
        <w:rPr>
          <w:rFonts w:hint="eastAsia"/>
        </w:rPr>
        <w:t>国有股东与受让方签订协议后，属于本办法第七条规定情形的，由国家出资企业审核批准，其他情形由国有资产监督管理机构审核批准。</w:t>
      </w:r>
    </w:p>
    <w:p w14:paraId="41E8CE2A" w14:textId="77777777" w:rsidR="003B0D09" w:rsidRPr="008D37F9" w:rsidRDefault="003B0D09" w:rsidP="003B0D09">
      <w:pPr>
        <w:pStyle w:val="13"/>
        <w:ind w:firstLine="482"/>
      </w:pPr>
      <w:r w:rsidRPr="003B2FB1">
        <w:rPr>
          <w:rFonts w:hint="eastAsia"/>
          <w:b/>
          <w:bCs/>
        </w:rPr>
        <w:t xml:space="preserve">第三十二条 </w:t>
      </w:r>
      <w:r w:rsidRPr="008D37F9">
        <w:rPr>
          <w:rFonts w:hint="eastAsia"/>
        </w:rPr>
        <w:t>国有股东非公开协议转让上市公司股份的价格不得低于下列两者之中的较高者：</w:t>
      </w:r>
    </w:p>
    <w:p w14:paraId="1B39F22F" w14:textId="77777777" w:rsidR="003B0D09" w:rsidRPr="008D37F9" w:rsidRDefault="003B0D09" w:rsidP="003B0D09">
      <w:pPr>
        <w:pStyle w:val="13"/>
      </w:pPr>
      <w:r w:rsidRPr="008D37F9">
        <w:rPr>
          <w:rFonts w:hint="eastAsia"/>
        </w:rPr>
        <w:t>（一）提示性公告日前30个交易日的每日加权平均价格的算术平均值；</w:t>
      </w:r>
    </w:p>
    <w:p w14:paraId="190CAF25" w14:textId="77777777" w:rsidR="003B0D09" w:rsidRPr="008D37F9" w:rsidRDefault="003B0D09" w:rsidP="003B0D09">
      <w:pPr>
        <w:pStyle w:val="13"/>
      </w:pPr>
      <w:r w:rsidRPr="008D37F9">
        <w:rPr>
          <w:rFonts w:hint="eastAsia"/>
        </w:rPr>
        <w:t>（二）最近一个会计年度上市公司经审计的每股净资产值。</w:t>
      </w:r>
    </w:p>
    <w:p w14:paraId="16A7EF84" w14:textId="77777777" w:rsidR="003B0D09" w:rsidRPr="008D37F9" w:rsidRDefault="003B0D09" w:rsidP="003B0D09">
      <w:pPr>
        <w:pStyle w:val="13"/>
        <w:ind w:firstLine="482"/>
      </w:pPr>
      <w:r w:rsidRPr="003B2FB1">
        <w:rPr>
          <w:rFonts w:hint="eastAsia"/>
          <w:b/>
          <w:bCs/>
        </w:rPr>
        <w:lastRenderedPageBreak/>
        <w:t xml:space="preserve">第三十三条 </w:t>
      </w:r>
      <w:r w:rsidRPr="008D37F9">
        <w:rPr>
          <w:rFonts w:hint="eastAsia"/>
        </w:rPr>
        <w:t>国有股东非公开协议转让上市公司股份存在下列特殊情形的，可按以下原则确定股份转让价格：</w:t>
      </w:r>
    </w:p>
    <w:p w14:paraId="439C62F6" w14:textId="77777777" w:rsidR="003B0D09" w:rsidRPr="008D37F9" w:rsidRDefault="003B0D09" w:rsidP="003B0D09">
      <w:pPr>
        <w:pStyle w:val="13"/>
      </w:pPr>
      <w:r w:rsidRPr="008D37F9">
        <w:rPr>
          <w:rFonts w:hint="eastAsia"/>
        </w:rPr>
        <w:t>（一）国有股东为实施资源整合或重组上市公司，并在其所持上市公司股份转让完成后全部回购上市公司主业资产的，股份转让价格由国有股东根据中介机构出具的该上市公司股票价格的合理估值结果确定；</w:t>
      </w:r>
    </w:p>
    <w:p w14:paraId="618D4032" w14:textId="77777777" w:rsidR="003B0D09" w:rsidRPr="008D37F9" w:rsidRDefault="003B0D09" w:rsidP="003B0D09">
      <w:pPr>
        <w:pStyle w:val="13"/>
      </w:pPr>
      <w:r w:rsidRPr="008D37F9">
        <w:rPr>
          <w:rFonts w:hint="eastAsia"/>
        </w:rPr>
        <w:t>（二）为实施国有资源整合或资产重组，在国有股东之间转让且上市公司中的国有权益并不因此减少的，股份转让价格应当根据上市公司股票的每股净资产值、净资产收益率、合理的市盈率等因素合理确定。</w:t>
      </w:r>
    </w:p>
    <w:p w14:paraId="02E4AD49" w14:textId="77777777" w:rsidR="003B0D09" w:rsidRPr="008D37F9" w:rsidRDefault="003B0D09" w:rsidP="003B0D09">
      <w:pPr>
        <w:pStyle w:val="13"/>
        <w:ind w:firstLine="482"/>
      </w:pPr>
      <w:r w:rsidRPr="003B2FB1">
        <w:rPr>
          <w:rFonts w:hint="eastAsia"/>
          <w:b/>
          <w:bCs/>
        </w:rPr>
        <w:t xml:space="preserve">第三十四条 </w:t>
      </w:r>
      <w:r w:rsidRPr="008D37F9">
        <w:rPr>
          <w:rFonts w:hint="eastAsia"/>
        </w:rPr>
        <w:t>国家出资企业、国有资产监督管理机构批准国有股东非公开协议转让上市公司股份时，应当审核以下文件：</w:t>
      </w:r>
    </w:p>
    <w:p w14:paraId="19D88B4F" w14:textId="77777777" w:rsidR="003B0D09" w:rsidRPr="008D37F9" w:rsidRDefault="003B0D09" w:rsidP="003B0D09">
      <w:pPr>
        <w:pStyle w:val="13"/>
      </w:pPr>
      <w:r w:rsidRPr="008D37F9">
        <w:rPr>
          <w:rFonts w:hint="eastAsia"/>
        </w:rPr>
        <w:t>（一）国有股东转让上市公司股份的决策文件；</w:t>
      </w:r>
    </w:p>
    <w:p w14:paraId="23651B9D" w14:textId="77777777" w:rsidR="003B0D09" w:rsidRPr="008D37F9" w:rsidRDefault="003B0D09" w:rsidP="003B0D09">
      <w:pPr>
        <w:pStyle w:val="13"/>
      </w:pPr>
      <w:r w:rsidRPr="008D37F9">
        <w:rPr>
          <w:rFonts w:hint="eastAsia"/>
        </w:rPr>
        <w:t>（二）国有股东转让上市公司股份的方案，内容包括但不限于：不公开</w:t>
      </w:r>
      <w:proofErr w:type="gramStart"/>
      <w:r w:rsidRPr="008D37F9">
        <w:rPr>
          <w:rFonts w:hint="eastAsia"/>
        </w:rPr>
        <w:t>征集受</w:t>
      </w:r>
      <w:proofErr w:type="gramEnd"/>
      <w:r w:rsidRPr="008D37F9">
        <w:rPr>
          <w:rFonts w:hint="eastAsia"/>
        </w:rPr>
        <w:t>让方的原因，转让价格及确定依据，转让的数量，转让收入的使用计划等；</w:t>
      </w:r>
    </w:p>
    <w:p w14:paraId="78E10C35" w14:textId="77777777" w:rsidR="003B0D09" w:rsidRPr="008D37F9" w:rsidRDefault="003B0D09" w:rsidP="003B0D09">
      <w:pPr>
        <w:pStyle w:val="13"/>
      </w:pPr>
      <w:r w:rsidRPr="008D37F9">
        <w:rPr>
          <w:rFonts w:hint="eastAsia"/>
        </w:rPr>
        <w:t>（三）国有股东基本情况、受让方基本情况及上一年度经审计的财务会计报告；</w:t>
      </w:r>
    </w:p>
    <w:p w14:paraId="6C9E339B" w14:textId="77777777" w:rsidR="003B0D09" w:rsidRPr="008D37F9" w:rsidRDefault="003B0D09" w:rsidP="003B0D09">
      <w:pPr>
        <w:pStyle w:val="13"/>
      </w:pPr>
      <w:r w:rsidRPr="008D37F9">
        <w:rPr>
          <w:rFonts w:hint="eastAsia"/>
        </w:rPr>
        <w:t>（四）可行性研究报告；</w:t>
      </w:r>
    </w:p>
    <w:p w14:paraId="0C2E9FF2" w14:textId="77777777" w:rsidR="003B0D09" w:rsidRPr="008D37F9" w:rsidRDefault="003B0D09" w:rsidP="003B0D09">
      <w:pPr>
        <w:pStyle w:val="13"/>
      </w:pPr>
      <w:r w:rsidRPr="008D37F9">
        <w:rPr>
          <w:rFonts w:hint="eastAsia"/>
        </w:rPr>
        <w:t>（五）股份转让协议；</w:t>
      </w:r>
    </w:p>
    <w:p w14:paraId="73BACA46" w14:textId="77777777" w:rsidR="003B0D09" w:rsidRPr="008D37F9" w:rsidRDefault="003B0D09" w:rsidP="003B0D09">
      <w:pPr>
        <w:pStyle w:val="13"/>
      </w:pPr>
      <w:r w:rsidRPr="008D37F9">
        <w:rPr>
          <w:rFonts w:hint="eastAsia"/>
        </w:rPr>
        <w:t>（六）以非货币资产支付的说明；</w:t>
      </w:r>
    </w:p>
    <w:p w14:paraId="5FEEC495" w14:textId="77777777" w:rsidR="003B0D09" w:rsidRPr="008D37F9" w:rsidRDefault="003B0D09" w:rsidP="003B0D09">
      <w:pPr>
        <w:pStyle w:val="13"/>
      </w:pPr>
      <w:r w:rsidRPr="008D37F9">
        <w:rPr>
          <w:rFonts w:hint="eastAsia"/>
        </w:rPr>
        <w:t>（七）拟受让方与国有股东、上市公司之间在最近12个月内股权转让、资产置换、投资等重大情况及债权债务情况；</w:t>
      </w:r>
    </w:p>
    <w:p w14:paraId="65F86A5C" w14:textId="77777777" w:rsidR="003B0D09" w:rsidRPr="008D37F9" w:rsidRDefault="003B0D09" w:rsidP="003B0D09">
      <w:pPr>
        <w:pStyle w:val="13"/>
      </w:pPr>
      <w:r w:rsidRPr="008D37F9">
        <w:rPr>
          <w:rFonts w:hint="eastAsia"/>
        </w:rPr>
        <w:t>（八）律师事务所出具的法律意见书；</w:t>
      </w:r>
    </w:p>
    <w:p w14:paraId="06152A49" w14:textId="77777777" w:rsidR="003B0D09" w:rsidRPr="008D37F9" w:rsidRDefault="003B0D09" w:rsidP="003B0D09">
      <w:pPr>
        <w:pStyle w:val="13"/>
      </w:pPr>
      <w:r w:rsidRPr="008D37F9">
        <w:rPr>
          <w:rFonts w:hint="eastAsia"/>
        </w:rPr>
        <w:t>（九）财务顾问出具的尽职调查报告（适用于上市公司控股权转移的）；</w:t>
      </w:r>
    </w:p>
    <w:p w14:paraId="7503E458" w14:textId="77777777" w:rsidR="003B0D09" w:rsidRPr="008D37F9" w:rsidRDefault="003B0D09" w:rsidP="003B0D09">
      <w:pPr>
        <w:pStyle w:val="13"/>
      </w:pPr>
      <w:r w:rsidRPr="008D37F9">
        <w:rPr>
          <w:rFonts w:hint="eastAsia"/>
        </w:rPr>
        <w:t>（十）国家出资企业、国有资产监督管理机构认为必要的其他文件。</w:t>
      </w:r>
    </w:p>
    <w:p w14:paraId="315BFC28" w14:textId="77777777" w:rsidR="003B0D09" w:rsidRPr="008D37F9" w:rsidRDefault="003B0D09" w:rsidP="003B0D09">
      <w:pPr>
        <w:pStyle w:val="13"/>
        <w:ind w:firstLine="482"/>
      </w:pPr>
      <w:r w:rsidRPr="003B2FB1">
        <w:rPr>
          <w:rFonts w:hint="eastAsia"/>
          <w:b/>
          <w:bCs/>
        </w:rPr>
        <w:t xml:space="preserve">第三十五条 </w:t>
      </w:r>
      <w:r w:rsidRPr="008D37F9">
        <w:rPr>
          <w:rFonts w:hint="eastAsia"/>
        </w:rPr>
        <w:t>以现金支付股份转让价款的，转让价款收取按照本办法第二十六条规定办理；以非货币资产支付股份转让价款的，应当符合国家相关规定。</w:t>
      </w:r>
    </w:p>
    <w:p w14:paraId="30E54B7F" w14:textId="77777777" w:rsidR="003B0D09" w:rsidRPr="008D37F9" w:rsidRDefault="003B0D09" w:rsidP="003B0D09">
      <w:pPr>
        <w:pStyle w:val="13"/>
        <w:ind w:firstLine="482"/>
      </w:pPr>
      <w:r w:rsidRPr="003B2FB1">
        <w:rPr>
          <w:rFonts w:hint="eastAsia"/>
          <w:b/>
          <w:bCs/>
        </w:rPr>
        <w:t xml:space="preserve">第三十六条 </w:t>
      </w:r>
      <w:r w:rsidRPr="008D37F9">
        <w:rPr>
          <w:rFonts w:hint="eastAsia"/>
        </w:rPr>
        <w:t>国有资产监督管理机构关于国有股东非公开协议转让上市公司股份的批准文件或国有资产监督管理机构、管理信息系统出具的统一编号的备案表和全部转让价款支付凭证（包括非货币资产的交割凭证）是证券交易所、中国证券登记结算有限责任公司办理上市公司股份过户登记手续的必备文件。</w:t>
      </w:r>
    </w:p>
    <w:p w14:paraId="678E0D1E" w14:textId="77777777" w:rsidR="003B0D09" w:rsidRPr="008D37F9" w:rsidRDefault="003B0D09" w:rsidP="00AF7342">
      <w:pPr>
        <w:pStyle w:val="a9"/>
        <w:spacing w:before="62" w:after="62"/>
      </w:pPr>
      <w:r w:rsidRPr="008D37F9">
        <w:rPr>
          <w:rFonts w:hint="eastAsia"/>
        </w:rPr>
        <w:t>第五章</w:t>
      </w:r>
      <w:r>
        <w:rPr>
          <w:rFonts w:hint="eastAsia"/>
        </w:rPr>
        <w:t xml:space="preserve"> </w:t>
      </w:r>
      <w:r w:rsidRPr="008D37F9">
        <w:rPr>
          <w:rFonts w:hint="eastAsia"/>
        </w:rPr>
        <w:t>国有股东所持上市公司股份无偿划转</w:t>
      </w:r>
    </w:p>
    <w:p w14:paraId="4F9A2AC3" w14:textId="77777777" w:rsidR="003B0D09" w:rsidRPr="008D37F9" w:rsidRDefault="003B0D09" w:rsidP="003B0D09">
      <w:pPr>
        <w:pStyle w:val="13"/>
        <w:ind w:firstLine="482"/>
      </w:pPr>
      <w:r w:rsidRPr="003B2FB1">
        <w:rPr>
          <w:rFonts w:hint="eastAsia"/>
          <w:b/>
          <w:bCs/>
        </w:rPr>
        <w:t xml:space="preserve">第三十七条 </w:t>
      </w:r>
      <w:r w:rsidRPr="008D37F9">
        <w:rPr>
          <w:rFonts w:hint="eastAsia"/>
        </w:rPr>
        <w:t>政府部门、机构、事业单位、国有独资或全资企业之间可以依法无偿划转所持上市公司股份。</w:t>
      </w:r>
    </w:p>
    <w:p w14:paraId="68676623" w14:textId="77777777" w:rsidR="003B0D09" w:rsidRPr="008D37F9" w:rsidRDefault="003B0D09" w:rsidP="003B0D09">
      <w:pPr>
        <w:pStyle w:val="13"/>
        <w:ind w:firstLine="482"/>
      </w:pPr>
      <w:r w:rsidRPr="003B2FB1">
        <w:rPr>
          <w:rFonts w:hint="eastAsia"/>
          <w:b/>
          <w:bCs/>
        </w:rPr>
        <w:t xml:space="preserve">第三十八条 </w:t>
      </w:r>
      <w:r w:rsidRPr="008D37F9">
        <w:rPr>
          <w:rFonts w:hint="eastAsia"/>
        </w:rPr>
        <w:t>国有股东所持上市公司股份无偿划转属于本办法第七条规定情形的，由国家出资企业审核批准，其他情形由国有资产监督管理机构审核批准。</w:t>
      </w:r>
    </w:p>
    <w:p w14:paraId="61C62AC0" w14:textId="77777777" w:rsidR="003B0D09" w:rsidRPr="008D37F9" w:rsidRDefault="003B0D09" w:rsidP="003B0D09">
      <w:pPr>
        <w:pStyle w:val="13"/>
        <w:ind w:firstLine="482"/>
      </w:pPr>
      <w:r w:rsidRPr="003B2FB1">
        <w:rPr>
          <w:rFonts w:hint="eastAsia"/>
          <w:b/>
          <w:bCs/>
        </w:rPr>
        <w:t xml:space="preserve">第三十九条 </w:t>
      </w:r>
      <w:r w:rsidRPr="008D37F9">
        <w:rPr>
          <w:rFonts w:hint="eastAsia"/>
        </w:rPr>
        <w:t>国家出资企业、国有资产监督管理机构批准国有股东所持上市公司</w:t>
      </w:r>
      <w:r w:rsidRPr="008D37F9">
        <w:rPr>
          <w:rFonts w:hint="eastAsia"/>
        </w:rPr>
        <w:lastRenderedPageBreak/>
        <w:t>股份无偿划转时，应当审核以下文件：</w:t>
      </w:r>
    </w:p>
    <w:p w14:paraId="0A62E005" w14:textId="77777777" w:rsidR="003B0D09" w:rsidRPr="008D37F9" w:rsidRDefault="003B0D09" w:rsidP="003B0D09">
      <w:pPr>
        <w:pStyle w:val="13"/>
      </w:pPr>
      <w:r w:rsidRPr="008D37F9">
        <w:rPr>
          <w:rFonts w:hint="eastAsia"/>
        </w:rPr>
        <w:t>（一）国有股东无偿划转上市公司股份的内部决策文件；</w:t>
      </w:r>
    </w:p>
    <w:p w14:paraId="0E38D23F" w14:textId="77777777" w:rsidR="003B0D09" w:rsidRPr="008D37F9" w:rsidRDefault="003B0D09" w:rsidP="003B0D09">
      <w:pPr>
        <w:pStyle w:val="13"/>
      </w:pPr>
      <w:r w:rsidRPr="008D37F9">
        <w:rPr>
          <w:rFonts w:hint="eastAsia"/>
        </w:rPr>
        <w:t>（二）国有股东无偿划转上市公司股份的方案和可行性研究报告；</w:t>
      </w:r>
    </w:p>
    <w:p w14:paraId="34E677BB" w14:textId="77777777" w:rsidR="003B0D09" w:rsidRPr="008D37F9" w:rsidRDefault="003B0D09" w:rsidP="003B0D09">
      <w:pPr>
        <w:pStyle w:val="13"/>
      </w:pPr>
      <w:r w:rsidRPr="008D37F9">
        <w:rPr>
          <w:rFonts w:hint="eastAsia"/>
        </w:rPr>
        <w:t>（三）上市公司股份无偿划转协议；</w:t>
      </w:r>
    </w:p>
    <w:p w14:paraId="088C074C" w14:textId="77777777" w:rsidR="003B0D09" w:rsidRPr="008D37F9" w:rsidRDefault="003B0D09" w:rsidP="003B0D09">
      <w:pPr>
        <w:pStyle w:val="13"/>
      </w:pPr>
      <w:r w:rsidRPr="008D37F9">
        <w:rPr>
          <w:rFonts w:hint="eastAsia"/>
        </w:rPr>
        <w:t>（四）划转双方基本情况、上一年度经审计的财务会计报告；</w:t>
      </w:r>
    </w:p>
    <w:p w14:paraId="7F009139" w14:textId="77777777" w:rsidR="003B0D09" w:rsidRPr="008D37F9" w:rsidRDefault="003B0D09" w:rsidP="003B0D09">
      <w:pPr>
        <w:pStyle w:val="13"/>
      </w:pPr>
      <w:r w:rsidRPr="008D37F9">
        <w:rPr>
          <w:rFonts w:hint="eastAsia"/>
        </w:rPr>
        <w:t>（五）划出方债务处置方案及或有负债的解决方案，及主要债权人对无偿划转的无异议函；</w:t>
      </w:r>
    </w:p>
    <w:p w14:paraId="53D034C3" w14:textId="77777777" w:rsidR="003B0D09" w:rsidRPr="008D37F9" w:rsidRDefault="003B0D09" w:rsidP="003B0D09">
      <w:pPr>
        <w:pStyle w:val="13"/>
      </w:pPr>
      <w:r w:rsidRPr="008D37F9">
        <w:rPr>
          <w:rFonts w:hint="eastAsia"/>
        </w:rPr>
        <w:t>（六）划入</w:t>
      </w:r>
      <w:proofErr w:type="gramStart"/>
      <w:r w:rsidRPr="008D37F9">
        <w:rPr>
          <w:rFonts w:hint="eastAsia"/>
        </w:rPr>
        <w:t>方未来</w:t>
      </w:r>
      <w:proofErr w:type="gramEnd"/>
      <w:r w:rsidRPr="008D37F9">
        <w:rPr>
          <w:rFonts w:hint="eastAsia"/>
        </w:rPr>
        <w:t>12个月内对上市公司的重组计划或未来三年发展规划（适用于上市公司控股权转移的）；</w:t>
      </w:r>
    </w:p>
    <w:p w14:paraId="7584FCD2" w14:textId="77777777" w:rsidR="003B0D09" w:rsidRPr="008D37F9" w:rsidRDefault="003B0D09" w:rsidP="003B0D09">
      <w:pPr>
        <w:pStyle w:val="13"/>
      </w:pPr>
      <w:r w:rsidRPr="008D37F9">
        <w:rPr>
          <w:rFonts w:hint="eastAsia"/>
        </w:rPr>
        <w:t>（七）律师事务所出具的法律意见书；</w:t>
      </w:r>
    </w:p>
    <w:p w14:paraId="09E3F848" w14:textId="77777777" w:rsidR="003B0D09" w:rsidRPr="008D37F9" w:rsidRDefault="003B0D09" w:rsidP="003B0D09">
      <w:pPr>
        <w:pStyle w:val="13"/>
      </w:pPr>
      <w:r w:rsidRPr="008D37F9">
        <w:rPr>
          <w:rFonts w:hint="eastAsia"/>
        </w:rPr>
        <w:t>（八）国家出资企业、国有资产监督管理机构认为必要的其他文件。</w:t>
      </w:r>
    </w:p>
    <w:p w14:paraId="09B89C87" w14:textId="77777777" w:rsidR="003B0D09" w:rsidRPr="008D37F9" w:rsidRDefault="003B0D09" w:rsidP="003B0D09">
      <w:pPr>
        <w:pStyle w:val="13"/>
        <w:ind w:firstLine="482"/>
      </w:pPr>
      <w:r w:rsidRPr="003B2FB1">
        <w:rPr>
          <w:rFonts w:hint="eastAsia"/>
          <w:b/>
          <w:bCs/>
        </w:rPr>
        <w:t xml:space="preserve">第四十条 </w:t>
      </w:r>
      <w:r w:rsidRPr="008D37F9">
        <w:rPr>
          <w:rFonts w:hint="eastAsia"/>
        </w:rPr>
        <w:t>国有资产监督管理机构关于国有股东无偿划转上市公司股份的批准文件或国有资产监督管理机构、管理信息系统出具的统一编号的备案表是证券交易所、中国证券登记结算有限责任公司办理股份过户登记手续的必备文件。</w:t>
      </w:r>
    </w:p>
    <w:p w14:paraId="0A59ADA1" w14:textId="77777777" w:rsidR="003B0D09" w:rsidRPr="008D37F9" w:rsidRDefault="003B0D09" w:rsidP="00AF7342">
      <w:pPr>
        <w:pStyle w:val="a9"/>
        <w:spacing w:before="62" w:after="62"/>
      </w:pPr>
      <w:r w:rsidRPr="008D37F9">
        <w:rPr>
          <w:rFonts w:hint="eastAsia"/>
        </w:rPr>
        <w:t>第六章</w:t>
      </w:r>
      <w:r>
        <w:rPr>
          <w:rFonts w:hint="eastAsia"/>
        </w:rPr>
        <w:t xml:space="preserve"> </w:t>
      </w:r>
      <w:r w:rsidRPr="008D37F9">
        <w:rPr>
          <w:rFonts w:hint="eastAsia"/>
        </w:rPr>
        <w:t>国有股东所持上市公司股份间接转让</w:t>
      </w:r>
    </w:p>
    <w:p w14:paraId="2D66B103" w14:textId="77777777" w:rsidR="003B0D09" w:rsidRPr="008D37F9" w:rsidRDefault="003B0D09" w:rsidP="003B0D09">
      <w:pPr>
        <w:pStyle w:val="13"/>
        <w:ind w:firstLine="482"/>
      </w:pPr>
      <w:r w:rsidRPr="003B2FB1">
        <w:rPr>
          <w:rFonts w:hint="eastAsia"/>
          <w:b/>
          <w:bCs/>
        </w:rPr>
        <w:t xml:space="preserve">第四十一条 </w:t>
      </w:r>
      <w:r w:rsidRPr="008D37F9">
        <w:rPr>
          <w:rFonts w:hint="eastAsia"/>
        </w:rPr>
        <w:t>本办法所称国有股东所持上市公司股份间接转让是指因国有产权转让或增资扩股等原因导致国有股东不再符合本办法第三条规定情形的行为。</w:t>
      </w:r>
    </w:p>
    <w:p w14:paraId="57A18A6B" w14:textId="77777777" w:rsidR="003B0D09" w:rsidRPr="008D37F9" w:rsidRDefault="003B0D09" w:rsidP="003B0D09">
      <w:pPr>
        <w:pStyle w:val="13"/>
        <w:ind w:firstLine="482"/>
      </w:pPr>
      <w:r w:rsidRPr="003B2FB1">
        <w:rPr>
          <w:rFonts w:hint="eastAsia"/>
          <w:b/>
          <w:bCs/>
        </w:rPr>
        <w:t xml:space="preserve">第四十二条 </w:t>
      </w:r>
      <w:r w:rsidRPr="008D37F9">
        <w:rPr>
          <w:rFonts w:hint="eastAsia"/>
        </w:rPr>
        <w:t>国有股东拟间接转让上市公司股份的，履行内部决策程序后，应书面通知上市公司进行信息披露，涉及国有控股股东的，应当一并通知上市公司申请停牌。</w:t>
      </w:r>
    </w:p>
    <w:p w14:paraId="6B480BE7" w14:textId="77777777" w:rsidR="003B0D09" w:rsidRPr="008D37F9" w:rsidRDefault="003B0D09" w:rsidP="003B0D09">
      <w:pPr>
        <w:pStyle w:val="13"/>
        <w:ind w:firstLine="482"/>
      </w:pPr>
      <w:r w:rsidRPr="003B2FB1">
        <w:rPr>
          <w:rFonts w:hint="eastAsia"/>
          <w:b/>
          <w:bCs/>
        </w:rPr>
        <w:t xml:space="preserve">第四十三条 </w:t>
      </w:r>
      <w:r w:rsidRPr="008D37F9">
        <w:rPr>
          <w:rFonts w:hint="eastAsia"/>
        </w:rPr>
        <w:t>国有股东所持上市公司股份间接转让应当按照本办法第二十三条规定确定其所持上市公司股份价值，上市公司股份价值确定的基准日应与国有股东资产评估的基准日一致，且与国有股东产权直接持有单位对该产权变动决策的日期相差不得超过一个月。</w:t>
      </w:r>
    </w:p>
    <w:p w14:paraId="45FD7F60" w14:textId="77777777" w:rsidR="003B0D09" w:rsidRPr="008D37F9" w:rsidRDefault="003B0D09" w:rsidP="003B0D09">
      <w:pPr>
        <w:pStyle w:val="13"/>
      </w:pPr>
      <w:r w:rsidRPr="008D37F9">
        <w:rPr>
          <w:rFonts w:hint="eastAsia"/>
        </w:rPr>
        <w:t>国有产权转让或增资扩股到产权交易机构挂牌时，因上市公司股价发生大幅变化等原因，导致资产评估报告的结论已不能反映交易标的真实价值的，</w:t>
      </w:r>
      <w:proofErr w:type="gramStart"/>
      <w:r w:rsidRPr="008D37F9">
        <w:rPr>
          <w:rFonts w:hint="eastAsia"/>
        </w:rPr>
        <w:t>原决策</w:t>
      </w:r>
      <w:proofErr w:type="gramEnd"/>
      <w:r w:rsidRPr="008D37F9">
        <w:rPr>
          <w:rFonts w:hint="eastAsia"/>
        </w:rPr>
        <w:t>机构应对间接转让行为重新审议。</w:t>
      </w:r>
    </w:p>
    <w:p w14:paraId="290C536D" w14:textId="77777777" w:rsidR="003B0D09" w:rsidRPr="008D37F9" w:rsidRDefault="003B0D09" w:rsidP="003B0D09">
      <w:pPr>
        <w:pStyle w:val="13"/>
        <w:ind w:firstLine="482"/>
      </w:pPr>
      <w:r w:rsidRPr="003B2FB1">
        <w:rPr>
          <w:rFonts w:hint="eastAsia"/>
          <w:b/>
          <w:bCs/>
        </w:rPr>
        <w:t xml:space="preserve">第四十四条 </w:t>
      </w:r>
      <w:r w:rsidRPr="008D37F9">
        <w:rPr>
          <w:rFonts w:hint="eastAsia"/>
        </w:rPr>
        <w:t>国有控股股东所持上市公司股份间接转让，应当按本办法第二十条、第二十一条规定聘请财务顾问，对国有产权拟受让方或投资人进行尽职调查，并出具尽职调查报告。</w:t>
      </w:r>
    </w:p>
    <w:p w14:paraId="58E9565C" w14:textId="77777777" w:rsidR="003B0D09" w:rsidRPr="008D37F9" w:rsidRDefault="003B0D09" w:rsidP="003B0D09">
      <w:pPr>
        <w:pStyle w:val="13"/>
        <w:ind w:firstLine="482"/>
      </w:pPr>
      <w:r w:rsidRPr="003B2FB1">
        <w:rPr>
          <w:rFonts w:hint="eastAsia"/>
          <w:b/>
          <w:bCs/>
        </w:rPr>
        <w:t xml:space="preserve">第四十五条 </w:t>
      </w:r>
      <w:r w:rsidRPr="008D37F9">
        <w:rPr>
          <w:rFonts w:hint="eastAsia"/>
        </w:rPr>
        <w:t>国有股东所持上市公司股份间接转让的，国有股东应在产权转让或增资扩股协议签订后，产权交易机构出具交易凭证前报国有资产监督管理机构审核批准。</w:t>
      </w:r>
    </w:p>
    <w:p w14:paraId="0AA2F87E" w14:textId="77777777" w:rsidR="003B0D09" w:rsidRPr="008D37F9" w:rsidRDefault="003B0D09" w:rsidP="003B0D09">
      <w:pPr>
        <w:pStyle w:val="13"/>
        <w:ind w:firstLine="482"/>
      </w:pPr>
      <w:r w:rsidRPr="003B2FB1">
        <w:rPr>
          <w:rFonts w:hint="eastAsia"/>
          <w:b/>
          <w:bCs/>
        </w:rPr>
        <w:t xml:space="preserve">第四十六条 </w:t>
      </w:r>
      <w:r w:rsidRPr="008D37F9">
        <w:rPr>
          <w:rFonts w:hint="eastAsia"/>
        </w:rPr>
        <w:t>国有资产监督管理机构批准国有股东所持上市公司股份间接转让</w:t>
      </w:r>
      <w:r w:rsidRPr="008D37F9">
        <w:rPr>
          <w:rFonts w:hint="eastAsia"/>
        </w:rPr>
        <w:lastRenderedPageBreak/>
        <w:t>时，应当审核以下文件：</w:t>
      </w:r>
    </w:p>
    <w:p w14:paraId="2923B0EC" w14:textId="77777777" w:rsidR="003B0D09" w:rsidRPr="008D37F9" w:rsidRDefault="003B0D09" w:rsidP="003B0D09">
      <w:pPr>
        <w:pStyle w:val="13"/>
      </w:pPr>
      <w:r w:rsidRPr="008D37F9">
        <w:rPr>
          <w:rFonts w:hint="eastAsia"/>
        </w:rPr>
        <w:t>（一）产权转让或增资扩股决策文件、资产评估结果核准、备案文件及可行性研究报告；</w:t>
      </w:r>
    </w:p>
    <w:p w14:paraId="59471B95" w14:textId="77777777" w:rsidR="003B0D09" w:rsidRPr="008D37F9" w:rsidRDefault="003B0D09" w:rsidP="003B0D09">
      <w:pPr>
        <w:pStyle w:val="13"/>
      </w:pPr>
      <w:r w:rsidRPr="008D37F9">
        <w:rPr>
          <w:rFonts w:hint="eastAsia"/>
        </w:rPr>
        <w:t>（二）经批准的产权转让或增资扩股方案；</w:t>
      </w:r>
    </w:p>
    <w:p w14:paraId="17FA18C5" w14:textId="77777777" w:rsidR="003B0D09" w:rsidRPr="008D37F9" w:rsidRDefault="003B0D09" w:rsidP="003B0D09">
      <w:pPr>
        <w:pStyle w:val="13"/>
      </w:pPr>
      <w:r w:rsidRPr="008D37F9">
        <w:rPr>
          <w:rFonts w:hint="eastAsia"/>
        </w:rPr>
        <w:t>（三）受让方或投资人征集、选择情况；</w:t>
      </w:r>
    </w:p>
    <w:p w14:paraId="7094F7C8" w14:textId="77777777" w:rsidR="003B0D09" w:rsidRPr="008D37F9" w:rsidRDefault="003B0D09" w:rsidP="003B0D09">
      <w:pPr>
        <w:pStyle w:val="13"/>
      </w:pPr>
      <w:r w:rsidRPr="008D37F9">
        <w:rPr>
          <w:rFonts w:hint="eastAsia"/>
        </w:rPr>
        <w:t>（四）国有产权转让协议或增资扩股协议；</w:t>
      </w:r>
    </w:p>
    <w:p w14:paraId="1DF2B908" w14:textId="77777777" w:rsidR="003B0D09" w:rsidRPr="008D37F9" w:rsidRDefault="003B0D09" w:rsidP="003B0D09">
      <w:pPr>
        <w:pStyle w:val="13"/>
      </w:pPr>
      <w:r w:rsidRPr="008D37F9">
        <w:rPr>
          <w:rFonts w:hint="eastAsia"/>
        </w:rPr>
        <w:t>（五）国有股东资产作价金额，包括国有股东所持上市公司股份的作价说明；</w:t>
      </w:r>
    </w:p>
    <w:p w14:paraId="03B127AD" w14:textId="77777777" w:rsidR="003B0D09" w:rsidRPr="008D37F9" w:rsidRDefault="003B0D09" w:rsidP="003B0D09">
      <w:pPr>
        <w:pStyle w:val="13"/>
      </w:pPr>
      <w:r w:rsidRPr="008D37F9">
        <w:rPr>
          <w:rFonts w:hint="eastAsia"/>
        </w:rPr>
        <w:t>（六）受让方或投资人基本情况及上一年度经审计的财务会计报告；</w:t>
      </w:r>
    </w:p>
    <w:p w14:paraId="3E4BBB10" w14:textId="77777777" w:rsidR="003B0D09" w:rsidRPr="008D37F9" w:rsidRDefault="003B0D09" w:rsidP="003B0D09">
      <w:pPr>
        <w:pStyle w:val="13"/>
      </w:pPr>
      <w:r w:rsidRPr="008D37F9">
        <w:rPr>
          <w:rFonts w:hint="eastAsia"/>
        </w:rPr>
        <w:t>（七）财务顾问出具的尽职调查报告（适用于国有控股股东国有产权变动的）；</w:t>
      </w:r>
    </w:p>
    <w:p w14:paraId="7A543CE2" w14:textId="77777777" w:rsidR="003B0D09" w:rsidRPr="008D37F9" w:rsidRDefault="003B0D09" w:rsidP="003B0D09">
      <w:pPr>
        <w:pStyle w:val="13"/>
      </w:pPr>
      <w:r w:rsidRPr="008D37F9">
        <w:rPr>
          <w:rFonts w:hint="eastAsia"/>
        </w:rPr>
        <w:t>（八）律师事务所出具的法律意见书；</w:t>
      </w:r>
    </w:p>
    <w:p w14:paraId="0CB0B5C5" w14:textId="77777777" w:rsidR="003B0D09" w:rsidRPr="008D37F9" w:rsidRDefault="003B0D09" w:rsidP="003B0D09">
      <w:pPr>
        <w:pStyle w:val="13"/>
      </w:pPr>
      <w:r w:rsidRPr="008D37F9">
        <w:rPr>
          <w:rFonts w:hint="eastAsia"/>
        </w:rPr>
        <w:t>（九）国有资产监督管理机构认为必要的其他文件。</w:t>
      </w:r>
    </w:p>
    <w:p w14:paraId="723A1038" w14:textId="77777777" w:rsidR="003B0D09" w:rsidRPr="008D37F9" w:rsidRDefault="003B0D09" w:rsidP="003B0D09">
      <w:pPr>
        <w:pStyle w:val="13"/>
        <w:ind w:firstLine="482"/>
      </w:pPr>
      <w:r w:rsidRPr="003B2FB1">
        <w:rPr>
          <w:rFonts w:hint="eastAsia"/>
          <w:b/>
          <w:bCs/>
        </w:rPr>
        <w:t xml:space="preserve">第四十七条 </w:t>
      </w:r>
      <w:r w:rsidRPr="008D37F9">
        <w:rPr>
          <w:rFonts w:hint="eastAsia"/>
        </w:rPr>
        <w:t>有股东产权转让或增资扩股未构成间接转让的，其资产评估涉及上市公司股份作价按照本办法第四十三条规定确定。</w:t>
      </w:r>
    </w:p>
    <w:p w14:paraId="388D2363" w14:textId="77777777" w:rsidR="003B0D09" w:rsidRPr="008D37F9" w:rsidRDefault="003B0D09" w:rsidP="00AF7342">
      <w:pPr>
        <w:pStyle w:val="a9"/>
        <w:spacing w:before="62" w:after="62"/>
      </w:pPr>
      <w:r w:rsidRPr="008D37F9">
        <w:rPr>
          <w:rFonts w:hint="eastAsia"/>
        </w:rPr>
        <w:t>第七章</w:t>
      </w:r>
      <w:r>
        <w:rPr>
          <w:rFonts w:hint="eastAsia"/>
        </w:rPr>
        <w:t xml:space="preserve"> </w:t>
      </w:r>
      <w:r w:rsidRPr="008D37F9">
        <w:rPr>
          <w:rFonts w:hint="eastAsia"/>
        </w:rPr>
        <w:t>国有股东发行可交换公司债券</w:t>
      </w:r>
    </w:p>
    <w:p w14:paraId="19936E4D" w14:textId="77777777" w:rsidR="003B0D09" w:rsidRPr="008D37F9" w:rsidRDefault="003B0D09" w:rsidP="003B0D09">
      <w:pPr>
        <w:pStyle w:val="13"/>
        <w:ind w:firstLine="482"/>
      </w:pPr>
      <w:r w:rsidRPr="008D37F9">
        <w:rPr>
          <w:rFonts w:hint="eastAsia"/>
          <w:b/>
          <w:bCs/>
        </w:rPr>
        <w:t>第四十八条</w:t>
      </w:r>
      <w:r>
        <w:rPr>
          <w:rFonts w:hint="eastAsia"/>
        </w:rPr>
        <w:t xml:space="preserve"> </w:t>
      </w:r>
      <w:r w:rsidRPr="008D37F9">
        <w:rPr>
          <w:rFonts w:hint="eastAsia"/>
        </w:rPr>
        <w:t>本办法所称国有股东发行可交换公司债券，是指上市公司国有股东依法发行、在一定期限内依据约定条件可以交换成该股东所持特定上市公司股份的公司债券的行为。</w:t>
      </w:r>
    </w:p>
    <w:p w14:paraId="47FB3193" w14:textId="77777777" w:rsidR="003B0D09" w:rsidRPr="008D37F9" w:rsidRDefault="003B0D09" w:rsidP="003B0D09">
      <w:pPr>
        <w:pStyle w:val="13"/>
        <w:ind w:firstLine="482"/>
      </w:pPr>
      <w:r w:rsidRPr="008D37F9">
        <w:rPr>
          <w:rFonts w:hint="eastAsia"/>
          <w:b/>
          <w:bCs/>
        </w:rPr>
        <w:t>第四十九条</w:t>
      </w:r>
      <w:r>
        <w:rPr>
          <w:rFonts w:hint="eastAsia"/>
        </w:rPr>
        <w:t xml:space="preserve"> </w:t>
      </w:r>
      <w:r w:rsidRPr="008D37F9">
        <w:rPr>
          <w:rFonts w:hint="eastAsia"/>
        </w:rPr>
        <w:t>国有股东发行的可交换公司债券交换为上市公司每股股份的价格，应不低于债券募集说明书公告日前1个交易日、前20个交易日、前30个交易日该上市公司股票均价中的最高者。</w:t>
      </w:r>
    </w:p>
    <w:p w14:paraId="0AA9B7B0" w14:textId="77777777" w:rsidR="003B0D09" w:rsidRPr="008D37F9" w:rsidRDefault="003B0D09" w:rsidP="003B0D09">
      <w:pPr>
        <w:pStyle w:val="13"/>
        <w:ind w:firstLine="482"/>
      </w:pPr>
      <w:r w:rsidRPr="008D37F9">
        <w:rPr>
          <w:rFonts w:hint="eastAsia"/>
          <w:b/>
          <w:bCs/>
        </w:rPr>
        <w:t>第五十条</w:t>
      </w:r>
      <w:r>
        <w:rPr>
          <w:rFonts w:hint="eastAsia"/>
        </w:rPr>
        <w:t xml:space="preserve"> </w:t>
      </w:r>
      <w:r w:rsidRPr="008D37F9">
        <w:rPr>
          <w:rFonts w:hint="eastAsia"/>
        </w:rPr>
        <w:t>国有股东发行的可交换公司债券，其利率应当在参照同期银行贷款利率、银行票据利率、同行业其他企业发行的债券利率，以及标的公司股票每股交换价格、上市公司未来发展前景等因素的前提下，通过市场询价合理确定。</w:t>
      </w:r>
    </w:p>
    <w:p w14:paraId="2BF881E7" w14:textId="77777777" w:rsidR="003B0D09" w:rsidRPr="008D37F9" w:rsidRDefault="003B0D09" w:rsidP="003B0D09">
      <w:pPr>
        <w:pStyle w:val="13"/>
        <w:ind w:firstLine="482"/>
      </w:pPr>
      <w:r w:rsidRPr="008D37F9">
        <w:rPr>
          <w:rFonts w:hint="eastAsia"/>
          <w:b/>
          <w:bCs/>
        </w:rPr>
        <w:t>第五十一条</w:t>
      </w:r>
      <w:r>
        <w:rPr>
          <w:rFonts w:hint="eastAsia"/>
        </w:rPr>
        <w:t xml:space="preserve"> </w:t>
      </w:r>
      <w:r w:rsidRPr="008D37F9">
        <w:rPr>
          <w:rFonts w:hint="eastAsia"/>
        </w:rPr>
        <w:t>国有股东发行可交换公司债券属于本办法第七条规定情形的，由国家出资企业审核批准，其他情形由国有资产监督管理机构审核批准。</w:t>
      </w:r>
    </w:p>
    <w:p w14:paraId="779C3FC6" w14:textId="77777777" w:rsidR="003B0D09" w:rsidRPr="008D37F9" w:rsidRDefault="003B0D09" w:rsidP="003B0D09">
      <w:pPr>
        <w:pStyle w:val="13"/>
        <w:ind w:firstLine="482"/>
      </w:pPr>
      <w:r w:rsidRPr="008D37F9">
        <w:rPr>
          <w:rFonts w:hint="eastAsia"/>
          <w:b/>
          <w:bCs/>
        </w:rPr>
        <w:t>第五十二条</w:t>
      </w:r>
      <w:r>
        <w:rPr>
          <w:rFonts w:hint="eastAsia"/>
        </w:rPr>
        <w:t xml:space="preserve"> </w:t>
      </w:r>
      <w:r w:rsidRPr="008D37F9">
        <w:rPr>
          <w:rFonts w:hint="eastAsia"/>
        </w:rPr>
        <w:t>国家出资企业、国有资产监督管理机构批准国有股东发行可交换公司债券时，应当审核以下文件：</w:t>
      </w:r>
    </w:p>
    <w:p w14:paraId="40478C5C" w14:textId="77777777" w:rsidR="003B0D09" w:rsidRPr="008D37F9" w:rsidRDefault="003B0D09" w:rsidP="003B0D09">
      <w:pPr>
        <w:pStyle w:val="13"/>
      </w:pPr>
      <w:r w:rsidRPr="008D37F9">
        <w:rPr>
          <w:rFonts w:hint="eastAsia"/>
        </w:rPr>
        <w:t>（一）国有股东发行可交换公司债券的内部决策文件；</w:t>
      </w:r>
    </w:p>
    <w:p w14:paraId="13E081F6" w14:textId="77777777" w:rsidR="003B0D09" w:rsidRPr="008D37F9" w:rsidRDefault="003B0D09" w:rsidP="003B0D09">
      <w:pPr>
        <w:pStyle w:val="13"/>
      </w:pPr>
      <w:r w:rsidRPr="008D37F9">
        <w:rPr>
          <w:rFonts w:hint="eastAsia"/>
        </w:rPr>
        <w:t>（二）国有股东发行可交换公司债券的方案，内容包括但不限于：国有股东、上市公司基本情况及主要财务数据，预备用于交换的股份数量及保证方式，风险评估论证情况、偿本付息及应对债务风险的具体方案，对国有股东控股地位影响的分析等；</w:t>
      </w:r>
    </w:p>
    <w:p w14:paraId="26E67A5C" w14:textId="77777777" w:rsidR="003B0D09" w:rsidRPr="008D37F9" w:rsidRDefault="003B0D09" w:rsidP="003B0D09">
      <w:pPr>
        <w:pStyle w:val="13"/>
      </w:pPr>
      <w:r w:rsidRPr="008D37F9">
        <w:rPr>
          <w:rFonts w:hint="eastAsia"/>
        </w:rPr>
        <w:t>（三）可行性研究报告；</w:t>
      </w:r>
    </w:p>
    <w:p w14:paraId="72F0D38A" w14:textId="77777777" w:rsidR="003B0D09" w:rsidRPr="008D37F9" w:rsidRDefault="003B0D09" w:rsidP="003B0D09">
      <w:pPr>
        <w:pStyle w:val="13"/>
      </w:pPr>
      <w:r w:rsidRPr="008D37F9">
        <w:rPr>
          <w:rFonts w:hint="eastAsia"/>
        </w:rPr>
        <w:t>（四）律师事务所出具的法律意见书；</w:t>
      </w:r>
    </w:p>
    <w:p w14:paraId="1BF05736" w14:textId="77777777" w:rsidR="003B0D09" w:rsidRPr="008D37F9" w:rsidRDefault="003B0D09" w:rsidP="003B0D09">
      <w:pPr>
        <w:pStyle w:val="13"/>
      </w:pPr>
      <w:r w:rsidRPr="008D37F9">
        <w:rPr>
          <w:rFonts w:hint="eastAsia"/>
        </w:rPr>
        <w:t>（五）国家出资企业、国有资产监督管理机构认为必要的其他文件。</w:t>
      </w:r>
    </w:p>
    <w:p w14:paraId="6E4E72AE" w14:textId="77777777" w:rsidR="003B0D09" w:rsidRPr="008D37F9" w:rsidRDefault="003B0D09" w:rsidP="00AF7342">
      <w:pPr>
        <w:pStyle w:val="a9"/>
        <w:spacing w:before="62" w:after="62"/>
      </w:pPr>
      <w:r w:rsidRPr="008D37F9">
        <w:rPr>
          <w:rFonts w:hint="eastAsia"/>
        </w:rPr>
        <w:lastRenderedPageBreak/>
        <w:t>第八章</w:t>
      </w:r>
      <w:r>
        <w:rPr>
          <w:rFonts w:hint="eastAsia"/>
        </w:rPr>
        <w:t xml:space="preserve"> </w:t>
      </w:r>
      <w:r w:rsidRPr="008D37F9">
        <w:rPr>
          <w:rFonts w:hint="eastAsia"/>
        </w:rPr>
        <w:t>国有股东受让上市公司股份</w:t>
      </w:r>
    </w:p>
    <w:p w14:paraId="529262AA" w14:textId="77777777" w:rsidR="003B0D09" w:rsidRPr="008D37F9" w:rsidRDefault="003B0D09" w:rsidP="003B0D09">
      <w:pPr>
        <w:pStyle w:val="13"/>
        <w:ind w:firstLine="482"/>
      </w:pPr>
      <w:r w:rsidRPr="008D37F9">
        <w:rPr>
          <w:rFonts w:hint="eastAsia"/>
          <w:b/>
          <w:bCs/>
        </w:rPr>
        <w:t>第五十三条</w:t>
      </w:r>
      <w:r>
        <w:rPr>
          <w:rFonts w:hint="eastAsia"/>
        </w:rPr>
        <w:t xml:space="preserve"> </w:t>
      </w:r>
      <w:r w:rsidRPr="008D37F9">
        <w:rPr>
          <w:rFonts w:hint="eastAsia"/>
        </w:rPr>
        <w:t>本办法所称国有股东受让上市公司股份行为主要包括国有股东通过证券交易系统增持、协议受让、间接受让、要约收购上市公司股份和认购上市公司发行股票等。</w:t>
      </w:r>
    </w:p>
    <w:p w14:paraId="54DFEB7F" w14:textId="77777777" w:rsidR="003B0D09" w:rsidRPr="008D37F9" w:rsidRDefault="003B0D09" w:rsidP="003B0D09">
      <w:pPr>
        <w:pStyle w:val="13"/>
        <w:ind w:firstLine="482"/>
      </w:pPr>
      <w:r w:rsidRPr="008D37F9">
        <w:rPr>
          <w:rFonts w:hint="eastAsia"/>
          <w:b/>
          <w:bCs/>
        </w:rPr>
        <w:t>第五十四条</w:t>
      </w:r>
      <w:r>
        <w:rPr>
          <w:rFonts w:hint="eastAsia"/>
        </w:rPr>
        <w:t xml:space="preserve"> </w:t>
      </w:r>
      <w:r w:rsidRPr="008D37F9">
        <w:rPr>
          <w:rFonts w:hint="eastAsia"/>
        </w:rPr>
        <w:t>国有股东受让上市公司股份属于本办法第七条规定情形的，由国家出资企业审核批准，其他情形由国有资产监督管理机构审核批准。</w:t>
      </w:r>
    </w:p>
    <w:p w14:paraId="2D5A5BE0" w14:textId="77777777" w:rsidR="003B0D09" w:rsidRPr="008D37F9" w:rsidRDefault="003B0D09" w:rsidP="003B0D09">
      <w:pPr>
        <w:pStyle w:val="13"/>
        <w:ind w:firstLine="482"/>
      </w:pPr>
      <w:r w:rsidRPr="008D37F9">
        <w:rPr>
          <w:rFonts w:hint="eastAsia"/>
          <w:b/>
          <w:bCs/>
        </w:rPr>
        <w:t>第五十五条</w:t>
      </w:r>
      <w:r>
        <w:rPr>
          <w:rFonts w:hint="eastAsia"/>
        </w:rPr>
        <w:t xml:space="preserve"> </w:t>
      </w:r>
      <w:r w:rsidRPr="008D37F9">
        <w:rPr>
          <w:rFonts w:hint="eastAsia"/>
        </w:rPr>
        <w:t>国家出资企业、国有资产监督管理机构批准国有股东受让上市公司股份时，应当审核以下文件：</w:t>
      </w:r>
    </w:p>
    <w:p w14:paraId="7E837A10" w14:textId="77777777" w:rsidR="003B0D09" w:rsidRPr="008D37F9" w:rsidRDefault="003B0D09" w:rsidP="003B0D09">
      <w:pPr>
        <w:pStyle w:val="13"/>
      </w:pPr>
      <w:r w:rsidRPr="008D37F9">
        <w:rPr>
          <w:rFonts w:hint="eastAsia"/>
        </w:rPr>
        <w:t>（一）国有股东受让上市公司股份的内部决策文件；</w:t>
      </w:r>
    </w:p>
    <w:p w14:paraId="14EEA1EA" w14:textId="77777777" w:rsidR="003B0D09" w:rsidRPr="008D37F9" w:rsidRDefault="003B0D09" w:rsidP="003B0D09">
      <w:pPr>
        <w:pStyle w:val="13"/>
      </w:pPr>
      <w:r w:rsidRPr="008D37F9">
        <w:rPr>
          <w:rFonts w:hint="eastAsia"/>
        </w:rPr>
        <w:t>（二）国有股东受让上市公司股份方案，内容包括但不限于：国有股东及上市公司的基本情况、主要财务数据、价格上限及确定依据、数量及受让时限等；</w:t>
      </w:r>
    </w:p>
    <w:p w14:paraId="21C64947" w14:textId="77777777" w:rsidR="003B0D09" w:rsidRPr="008D37F9" w:rsidRDefault="003B0D09" w:rsidP="003B0D09">
      <w:pPr>
        <w:pStyle w:val="13"/>
      </w:pPr>
      <w:r w:rsidRPr="008D37F9">
        <w:rPr>
          <w:rFonts w:hint="eastAsia"/>
        </w:rPr>
        <w:t>（三）可行性研究报告；</w:t>
      </w:r>
    </w:p>
    <w:p w14:paraId="4EF5F645" w14:textId="77777777" w:rsidR="003B0D09" w:rsidRPr="008D37F9" w:rsidRDefault="003B0D09" w:rsidP="003B0D09">
      <w:pPr>
        <w:pStyle w:val="13"/>
      </w:pPr>
      <w:r w:rsidRPr="008D37F9">
        <w:rPr>
          <w:rFonts w:hint="eastAsia"/>
        </w:rPr>
        <w:t>（四）股份转让协议（适用于协议受让的）、产权转让或增资扩股协议（适用于间接受让的）；</w:t>
      </w:r>
    </w:p>
    <w:p w14:paraId="4CF587DD" w14:textId="77777777" w:rsidR="003B0D09" w:rsidRPr="008D37F9" w:rsidRDefault="003B0D09" w:rsidP="003B0D09">
      <w:pPr>
        <w:pStyle w:val="13"/>
      </w:pPr>
      <w:r w:rsidRPr="008D37F9">
        <w:rPr>
          <w:rFonts w:hint="eastAsia"/>
        </w:rPr>
        <w:t>（五）财务顾问出具的尽职调查报告和上市公司估值报告（适用于取得控股权的）；</w:t>
      </w:r>
    </w:p>
    <w:p w14:paraId="0269F81D" w14:textId="77777777" w:rsidR="003B0D09" w:rsidRPr="008D37F9" w:rsidRDefault="003B0D09" w:rsidP="003B0D09">
      <w:pPr>
        <w:pStyle w:val="13"/>
      </w:pPr>
      <w:r w:rsidRPr="008D37F9">
        <w:rPr>
          <w:rFonts w:hint="eastAsia"/>
        </w:rPr>
        <w:t>（六）律师事务所出具的法律意见书；</w:t>
      </w:r>
    </w:p>
    <w:p w14:paraId="3660274F" w14:textId="77777777" w:rsidR="003B0D09" w:rsidRPr="008D37F9" w:rsidRDefault="003B0D09" w:rsidP="003B0D09">
      <w:pPr>
        <w:pStyle w:val="13"/>
      </w:pPr>
      <w:r w:rsidRPr="008D37F9">
        <w:rPr>
          <w:rFonts w:hint="eastAsia"/>
        </w:rPr>
        <w:t>（七）国家出资企业、国有资产监督管理机构认为必要的其他文件。</w:t>
      </w:r>
    </w:p>
    <w:p w14:paraId="21D0D313" w14:textId="77777777" w:rsidR="003B0D09" w:rsidRPr="008D37F9" w:rsidRDefault="003B0D09" w:rsidP="003B0D09">
      <w:pPr>
        <w:pStyle w:val="13"/>
        <w:ind w:firstLine="482"/>
      </w:pPr>
      <w:r w:rsidRPr="008D37F9">
        <w:rPr>
          <w:rFonts w:hint="eastAsia"/>
          <w:b/>
          <w:bCs/>
        </w:rPr>
        <w:t>第五十六条</w:t>
      </w:r>
      <w:r>
        <w:rPr>
          <w:rFonts w:hint="eastAsia"/>
        </w:rPr>
        <w:t xml:space="preserve"> </w:t>
      </w:r>
      <w:r w:rsidRPr="008D37F9">
        <w:rPr>
          <w:rFonts w:hint="eastAsia"/>
        </w:rPr>
        <w:t>国有股东将其持有的可转换公司债</w:t>
      </w:r>
      <w:proofErr w:type="gramStart"/>
      <w:r w:rsidRPr="008D37F9">
        <w:rPr>
          <w:rFonts w:hint="eastAsia"/>
        </w:rPr>
        <w:t>券</w:t>
      </w:r>
      <w:proofErr w:type="gramEnd"/>
      <w:r w:rsidRPr="008D37F9">
        <w:rPr>
          <w:rFonts w:hint="eastAsia"/>
        </w:rPr>
        <w:t>或可交换公司债券转换、交换成上市公司股票的，通过司法机关强制执行手续取得上市公司股份的，按照相关法律、行政法规及规章制度的规定办理，并在上述行为完成后10个工作日内将相关情况通过管理信息系统按程序报告国有资产监督管理机构。</w:t>
      </w:r>
    </w:p>
    <w:p w14:paraId="633E546B" w14:textId="77777777" w:rsidR="003B0D09" w:rsidRPr="008D37F9" w:rsidRDefault="003B0D09" w:rsidP="00AF7342">
      <w:pPr>
        <w:pStyle w:val="a9"/>
        <w:spacing w:before="62" w:after="62"/>
      </w:pPr>
      <w:r w:rsidRPr="008D37F9">
        <w:rPr>
          <w:rFonts w:hint="eastAsia"/>
        </w:rPr>
        <w:t>第九章</w:t>
      </w:r>
      <w:r>
        <w:rPr>
          <w:rFonts w:hint="eastAsia"/>
        </w:rPr>
        <w:t xml:space="preserve"> </w:t>
      </w:r>
      <w:r w:rsidRPr="008D37F9">
        <w:rPr>
          <w:rFonts w:hint="eastAsia"/>
        </w:rPr>
        <w:t>国有股东所控股上市公司吸收合并</w:t>
      </w:r>
    </w:p>
    <w:p w14:paraId="693988E0" w14:textId="77777777" w:rsidR="003B0D09" w:rsidRPr="008D37F9" w:rsidRDefault="003B0D09" w:rsidP="003B0D09">
      <w:pPr>
        <w:pStyle w:val="13"/>
        <w:ind w:firstLine="482"/>
      </w:pPr>
      <w:r w:rsidRPr="008D37F9">
        <w:rPr>
          <w:rFonts w:hint="eastAsia"/>
          <w:b/>
          <w:bCs/>
        </w:rPr>
        <w:t>第五十七条</w:t>
      </w:r>
      <w:r>
        <w:rPr>
          <w:rFonts w:hint="eastAsia"/>
        </w:rPr>
        <w:t xml:space="preserve"> </w:t>
      </w:r>
      <w:r w:rsidRPr="008D37F9">
        <w:rPr>
          <w:rFonts w:hint="eastAsia"/>
        </w:rPr>
        <w:t>本办法所称国有股东所控股上市公司吸收合并，是指国有控股上市公司之间或国有控股上市公司与非国有控股上市公司之间的吸收合并。</w:t>
      </w:r>
    </w:p>
    <w:p w14:paraId="5F44EAD1" w14:textId="77777777" w:rsidR="003B0D09" w:rsidRPr="008D37F9" w:rsidRDefault="003B0D09" w:rsidP="003B0D09">
      <w:pPr>
        <w:pStyle w:val="13"/>
        <w:ind w:firstLine="482"/>
      </w:pPr>
      <w:r w:rsidRPr="008D37F9">
        <w:rPr>
          <w:rFonts w:hint="eastAsia"/>
          <w:b/>
          <w:bCs/>
        </w:rPr>
        <w:t>第五十八条</w:t>
      </w:r>
      <w:r>
        <w:rPr>
          <w:rFonts w:hint="eastAsia"/>
        </w:rPr>
        <w:t xml:space="preserve"> </w:t>
      </w:r>
      <w:r w:rsidRPr="008D37F9">
        <w:rPr>
          <w:rFonts w:hint="eastAsia"/>
        </w:rPr>
        <w:t>国有股东所控股上市公司应当聘请财务顾问，对吸收合并的双方进行尽职调查和内部核查，并出具专业意见。</w:t>
      </w:r>
    </w:p>
    <w:p w14:paraId="71F12DE9" w14:textId="77777777" w:rsidR="003B0D09" w:rsidRPr="008D37F9" w:rsidRDefault="003B0D09" w:rsidP="003B0D09">
      <w:pPr>
        <w:pStyle w:val="13"/>
        <w:ind w:firstLine="482"/>
      </w:pPr>
      <w:r w:rsidRPr="008D37F9">
        <w:rPr>
          <w:rFonts w:hint="eastAsia"/>
          <w:b/>
          <w:bCs/>
        </w:rPr>
        <w:t>第五十九条</w:t>
      </w:r>
      <w:r>
        <w:rPr>
          <w:rFonts w:hint="eastAsia"/>
        </w:rPr>
        <w:t xml:space="preserve"> </w:t>
      </w:r>
      <w:r w:rsidRPr="008D37F9">
        <w:rPr>
          <w:rFonts w:hint="eastAsia"/>
        </w:rPr>
        <w:t>国有股东应指导上市公司根据股票交易价格，并参考可比交易案例，合理确定上市公司换股价格。</w:t>
      </w:r>
    </w:p>
    <w:p w14:paraId="4C7B499E" w14:textId="77777777" w:rsidR="003B0D09" w:rsidRPr="008D37F9" w:rsidRDefault="003B0D09" w:rsidP="003B0D09">
      <w:pPr>
        <w:pStyle w:val="13"/>
        <w:ind w:firstLine="482"/>
      </w:pPr>
      <w:r w:rsidRPr="008D37F9">
        <w:rPr>
          <w:rFonts w:hint="eastAsia"/>
          <w:b/>
          <w:bCs/>
        </w:rPr>
        <w:t>第六十条</w:t>
      </w:r>
      <w:r>
        <w:rPr>
          <w:rFonts w:hint="eastAsia"/>
        </w:rPr>
        <w:t xml:space="preserve"> </w:t>
      </w:r>
      <w:r w:rsidRPr="008D37F9">
        <w:rPr>
          <w:rFonts w:hint="eastAsia"/>
        </w:rPr>
        <w:t>国有股东应当在上市公司董事会审议吸收合并方案前，将该方案报国有资产监督管理机构审核批准。</w:t>
      </w:r>
    </w:p>
    <w:p w14:paraId="30C4038C" w14:textId="77777777" w:rsidR="003B0D09" w:rsidRPr="008D37F9" w:rsidRDefault="003B0D09" w:rsidP="003B0D09">
      <w:pPr>
        <w:pStyle w:val="13"/>
        <w:ind w:firstLine="482"/>
      </w:pPr>
      <w:r w:rsidRPr="008D37F9">
        <w:rPr>
          <w:rFonts w:hint="eastAsia"/>
          <w:b/>
          <w:bCs/>
        </w:rPr>
        <w:t>第六十一条</w:t>
      </w:r>
      <w:r>
        <w:rPr>
          <w:rFonts w:hint="eastAsia"/>
        </w:rPr>
        <w:t xml:space="preserve"> </w:t>
      </w:r>
      <w:r w:rsidRPr="008D37F9">
        <w:rPr>
          <w:rFonts w:hint="eastAsia"/>
        </w:rPr>
        <w:t>国有资产监督管理机构批准国有股东所控股上市公司吸收合并时，应当审核以下文件：</w:t>
      </w:r>
    </w:p>
    <w:p w14:paraId="6AC8E0D5" w14:textId="77777777" w:rsidR="003B0D09" w:rsidRPr="008D37F9" w:rsidRDefault="003B0D09" w:rsidP="003B0D09">
      <w:pPr>
        <w:pStyle w:val="13"/>
      </w:pPr>
      <w:r w:rsidRPr="008D37F9">
        <w:rPr>
          <w:rFonts w:hint="eastAsia"/>
        </w:rPr>
        <w:t>（一）国家出资企业、国有股东的内部决策文件；</w:t>
      </w:r>
    </w:p>
    <w:p w14:paraId="37663674" w14:textId="77777777" w:rsidR="003B0D09" w:rsidRPr="008D37F9" w:rsidRDefault="003B0D09" w:rsidP="003B0D09">
      <w:pPr>
        <w:pStyle w:val="13"/>
      </w:pPr>
      <w:r w:rsidRPr="008D37F9">
        <w:rPr>
          <w:rFonts w:hint="eastAsia"/>
        </w:rPr>
        <w:lastRenderedPageBreak/>
        <w:t>（二）国有股东所控股上市公司吸收合并的方案，内容包括但不限于：国有控股股东及上市公司基本情况、换股价格的确定依据、现金选择权安排、吸收合并后的股权结构、债务处置、职工安置、市场应对预案等；</w:t>
      </w:r>
    </w:p>
    <w:p w14:paraId="6743C958" w14:textId="77777777" w:rsidR="003B0D09" w:rsidRPr="008D37F9" w:rsidRDefault="003B0D09" w:rsidP="003B0D09">
      <w:pPr>
        <w:pStyle w:val="13"/>
      </w:pPr>
      <w:r w:rsidRPr="008D37F9">
        <w:rPr>
          <w:rFonts w:hint="eastAsia"/>
        </w:rPr>
        <w:t>（三）可行性研究报告；</w:t>
      </w:r>
    </w:p>
    <w:p w14:paraId="2E902091" w14:textId="77777777" w:rsidR="003B0D09" w:rsidRPr="008D37F9" w:rsidRDefault="003B0D09" w:rsidP="003B0D09">
      <w:pPr>
        <w:pStyle w:val="13"/>
      </w:pPr>
      <w:r w:rsidRPr="008D37F9">
        <w:rPr>
          <w:rFonts w:hint="eastAsia"/>
        </w:rPr>
        <w:t>（四）律师事务所出具的法律意见书；</w:t>
      </w:r>
    </w:p>
    <w:p w14:paraId="6A3E2E38" w14:textId="77777777" w:rsidR="003B0D09" w:rsidRPr="008D37F9" w:rsidRDefault="003B0D09" w:rsidP="003B0D09">
      <w:pPr>
        <w:pStyle w:val="13"/>
      </w:pPr>
      <w:r w:rsidRPr="008D37F9">
        <w:rPr>
          <w:rFonts w:hint="eastAsia"/>
        </w:rPr>
        <w:t>（五）国有资产监督管理机构认为必要的其他文件。</w:t>
      </w:r>
    </w:p>
    <w:p w14:paraId="6E80087C" w14:textId="77777777" w:rsidR="003B0D09" w:rsidRPr="008D37F9" w:rsidRDefault="003B0D09" w:rsidP="00AF7342">
      <w:pPr>
        <w:pStyle w:val="a9"/>
        <w:spacing w:before="62" w:after="62"/>
      </w:pPr>
      <w:r w:rsidRPr="008D37F9">
        <w:rPr>
          <w:rFonts w:hint="eastAsia"/>
        </w:rPr>
        <w:t>第十章</w:t>
      </w:r>
      <w:r>
        <w:rPr>
          <w:rFonts w:hint="eastAsia"/>
        </w:rPr>
        <w:t xml:space="preserve"> </w:t>
      </w:r>
      <w:r w:rsidRPr="008D37F9">
        <w:rPr>
          <w:rFonts w:hint="eastAsia"/>
        </w:rPr>
        <w:t>国有股东所控股上市公司发行证券</w:t>
      </w:r>
    </w:p>
    <w:p w14:paraId="40D27DB3" w14:textId="77777777" w:rsidR="003B0D09" w:rsidRPr="008D37F9" w:rsidRDefault="003B0D09" w:rsidP="003B0D09">
      <w:pPr>
        <w:pStyle w:val="13"/>
        <w:ind w:firstLine="482"/>
      </w:pPr>
      <w:r w:rsidRPr="008D37F9">
        <w:rPr>
          <w:rFonts w:hint="eastAsia"/>
          <w:b/>
          <w:bCs/>
        </w:rPr>
        <w:t>第六十二条</w:t>
      </w:r>
      <w:r>
        <w:rPr>
          <w:rFonts w:hint="eastAsia"/>
        </w:rPr>
        <w:t xml:space="preserve"> </w:t>
      </w:r>
      <w:r w:rsidRPr="008D37F9">
        <w:rPr>
          <w:rFonts w:hint="eastAsia"/>
        </w:rPr>
        <w:t>办法所称国有股东所控股上市公司发行证券包括上市公司采用公开方式向原股东配售股份、向不特定对象公开募集股份、采用非公开方式向特定对象发行股份以及发行可转换公司债</w:t>
      </w:r>
      <w:proofErr w:type="gramStart"/>
      <w:r w:rsidRPr="008D37F9">
        <w:rPr>
          <w:rFonts w:hint="eastAsia"/>
        </w:rPr>
        <w:t>券</w:t>
      </w:r>
      <w:proofErr w:type="gramEnd"/>
      <w:r w:rsidRPr="008D37F9">
        <w:rPr>
          <w:rFonts w:hint="eastAsia"/>
        </w:rPr>
        <w:t>等行为。</w:t>
      </w:r>
    </w:p>
    <w:p w14:paraId="662D1138" w14:textId="77777777" w:rsidR="003B0D09" w:rsidRPr="008D37F9" w:rsidRDefault="003B0D09" w:rsidP="003B0D09">
      <w:pPr>
        <w:pStyle w:val="13"/>
        <w:ind w:firstLine="482"/>
      </w:pPr>
      <w:r w:rsidRPr="008D37F9">
        <w:rPr>
          <w:rFonts w:hint="eastAsia"/>
          <w:b/>
          <w:bCs/>
        </w:rPr>
        <w:t>第六十三条</w:t>
      </w:r>
      <w:r>
        <w:rPr>
          <w:rFonts w:hint="eastAsia"/>
        </w:rPr>
        <w:t xml:space="preserve"> </w:t>
      </w:r>
      <w:r w:rsidRPr="008D37F9">
        <w:rPr>
          <w:rFonts w:hint="eastAsia"/>
        </w:rPr>
        <w:t>国有股东所控股上市公司发行证券，应当在股东大会召开前取得批准。属于本办法第七条规定情形的，由国家出资企业审核批准，其他情形报国有资产监督管理机构审核批准。</w:t>
      </w:r>
    </w:p>
    <w:p w14:paraId="69FA7F56" w14:textId="77777777" w:rsidR="003B0D09" w:rsidRPr="008D37F9" w:rsidRDefault="003B0D09" w:rsidP="003B0D09">
      <w:pPr>
        <w:pStyle w:val="13"/>
        <w:ind w:firstLine="482"/>
      </w:pPr>
      <w:r w:rsidRPr="008D37F9">
        <w:rPr>
          <w:rFonts w:hint="eastAsia"/>
          <w:b/>
          <w:bCs/>
        </w:rPr>
        <w:t>第六十四条</w:t>
      </w:r>
      <w:r>
        <w:rPr>
          <w:rFonts w:hint="eastAsia"/>
        </w:rPr>
        <w:t xml:space="preserve"> </w:t>
      </w:r>
      <w:r w:rsidRPr="008D37F9">
        <w:rPr>
          <w:rFonts w:hint="eastAsia"/>
        </w:rPr>
        <w:t>国家出资企业、国有资产监管机构批准国有股东所控股上市公司发行证券时，应当审核以下文件：</w:t>
      </w:r>
    </w:p>
    <w:p w14:paraId="49F3F8F5" w14:textId="77777777" w:rsidR="003B0D09" w:rsidRPr="008D37F9" w:rsidRDefault="003B0D09" w:rsidP="003B0D09">
      <w:pPr>
        <w:pStyle w:val="13"/>
      </w:pPr>
      <w:r w:rsidRPr="008D37F9">
        <w:rPr>
          <w:rFonts w:hint="eastAsia"/>
        </w:rPr>
        <w:t>（一）上市公司董事会决议；</w:t>
      </w:r>
    </w:p>
    <w:p w14:paraId="2FA2AC5E" w14:textId="77777777" w:rsidR="003B0D09" w:rsidRPr="008D37F9" w:rsidRDefault="003B0D09" w:rsidP="003B0D09">
      <w:pPr>
        <w:pStyle w:val="13"/>
      </w:pPr>
      <w:r w:rsidRPr="008D37F9">
        <w:rPr>
          <w:rFonts w:hint="eastAsia"/>
        </w:rPr>
        <w:t>（二）国有股东所控股上市公司发行证券的方案，内容包括但不限于：相关国有股东、上市公司基本情况，发行方式、数量、价格，募集资金用途，对国有股东控股地位影响的分析，发行可转换公司债</w:t>
      </w:r>
      <w:proofErr w:type="gramStart"/>
      <w:r w:rsidRPr="008D37F9">
        <w:rPr>
          <w:rFonts w:hint="eastAsia"/>
        </w:rPr>
        <w:t>券</w:t>
      </w:r>
      <w:proofErr w:type="gramEnd"/>
      <w:r w:rsidRPr="008D37F9">
        <w:rPr>
          <w:rFonts w:hint="eastAsia"/>
        </w:rPr>
        <w:t>的风险评估论证情况、偿本付息及应对债务风险的具体方案等；</w:t>
      </w:r>
    </w:p>
    <w:p w14:paraId="0EBB5211" w14:textId="77777777" w:rsidR="003B0D09" w:rsidRPr="008D37F9" w:rsidRDefault="003B0D09" w:rsidP="003B0D09">
      <w:pPr>
        <w:pStyle w:val="13"/>
      </w:pPr>
      <w:r w:rsidRPr="008D37F9">
        <w:rPr>
          <w:rFonts w:hint="eastAsia"/>
        </w:rPr>
        <w:t>（三）可行性研究报告；</w:t>
      </w:r>
    </w:p>
    <w:p w14:paraId="43480754" w14:textId="77777777" w:rsidR="003B0D09" w:rsidRPr="008D37F9" w:rsidRDefault="003B0D09" w:rsidP="003B0D09">
      <w:pPr>
        <w:pStyle w:val="13"/>
      </w:pPr>
      <w:r w:rsidRPr="008D37F9">
        <w:rPr>
          <w:rFonts w:hint="eastAsia"/>
        </w:rPr>
        <w:t>（四）律师事务所出具的法律意见书；</w:t>
      </w:r>
    </w:p>
    <w:p w14:paraId="3D4E0159" w14:textId="77777777" w:rsidR="003B0D09" w:rsidRPr="008D37F9" w:rsidRDefault="003B0D09" w:rsidP="003B0D09">
      <w:pPr>
        <w:pStyle w:val="13"/>
      </w:pPr>
      <w:r w:rsidRPr="008D37F9">
        <w:rPr>
          <w:rFonts w:hint="eastAsia"/>
        </w:rPr>
        <w:t>（五）国家出资企业、国有资产监督管理机构认为必要的其他文件。</w:t>
      </w:r>
    </w:p>
    <w:p w14:paraId="74969962" w14:textId="77777777" w:rsidR="003B0D09" w:rsidRPr="008D37F9" w:rsidRDefault="003B0D09" w:rsidP="00AF7342">
      <w:pPr>
        <w:pStyle w:val="a9"/>
        <w:spacing w:before="62" w:after="62"/>
      </w:pPr>
      <w:r w:rsidRPr="008D37F9">
        <w:rPr>
          <w:rFonts w:hint="eastAsia"/>
        </w:rPr>
        <w:t>第十一章</w:t>
      </w:r>
      <w:r>
        <w:rPr>
          <w:rFonts w:hint="eastAsia"/>
        </w:rPr>
        <w:t xml:space="preserve"> </w:t>
      </w:r>
      <w:r w:rsidRPr="008D37F9">
        <w:rPr>
          <w:rFonts w:hint="eastAsia"/>
        </w:rPr>
        <w:t>国有股东与上市公司进行资产重组</w:t>
      </w:r>
    </w:p>
    <w:p w14:paraId="50872D93" w14:textId="77777777" w:rsidR="003B0D09" w:rsidRPr="008D37F9" w:rsidRDefault="003B0D09" w:rsidP="003B0D09">
      <w:pPr>
        <w:pStyle w:val="13"/>
        <w:ind w:firstLine="482"/>
      </w:pPr>
      <w:r w:rsidRPr="008D37F9">
        <w:rPr>
          <w:rFonts w:hint="eastAsia"/>
          <w:b/>
          <w:bCs/>
        </w:rPr>
        <w:t>第六十五条</w:t>
      </w:r>
      <w:r>
        <w:rPr>
          <w:rFonts w:hint="eastAsia"/>
        </w:rPr>
        <w:t xml:space="preserve"> </w:t>
      </w:r>
      <w:r w:rsidRPr="008D37F9">
        <w:rPr>
          <w:rFonts w:hint="eastAsia"/>
        </w:rPr>
        <w:t>本办法所称国有股东与上市公司进行资产重组是指国有股东向上市公司注入、购买或置换资产并涉及国有股东所持上市公司股份发生变化的情形。</w:t>
      </w:r>
    </w:p>
    <w:p w14:paraId="6CEC4CAC" w14:textId="77777777" w:rsidR="003B0D09" w:rsidRPr="008D37F9" w:rsidRDefault="003B0D09" w:rsidP="003B0D09">
      <w:pPr>
        <w:pStyle w:val="13"/>
        <w:ind w:firstLine="482"/>
      </w:pPr>
      <w:r w:rsidRPr="008D37F9">
        <w:rPr>
          <w:rFonts w:hint="eastAsia"/>
          <w:b/>
          <w:bCs/>
        </w:rPr>
        <w:t>第六十六条</w:t>
      </w:r>
      <w:r>
        <w:rPr>
          <w:rFonts w:hint="eastAsia"/>
        </w:rPr>
        <w:t xml:space="preserve"> </w:t>
      </w:r>
      <w:r w:rsidRPr="008D37F9">
        <w:rPr>
          <w:rFonts w:hint="eastAsia"/>
        </w:rPr>
        <w:t>国有股东就资产重组事项进行内部决策后，应书面通知上市公司，由上市公司依法披露，并申请股票停牌。在上市公司董事会审议资产重组方案前，应当将可行性研究报告报国家出资企业、国有资产监督管理机构预审核，并由国有资产监督管理机构通过管理信息系统出具意见。</w:t>
      </w:r>
    </w:p>
    <w:p w14:paraId="40464E62" w14:textId="77777777" w:rsidR="003B0D09" w:rsidRPr="008D37F9" w:rsidRDefault="003B0D09" w:rsidP="003B0D09">
      <w:pPr>
        <w:pStyle w:val="13"/>
        <w:ind w:firstLine="482"/>
      </w:pPr>
      <w:r w:rsidRPr="008D37F9">
        <w:rPr>
          <w:rFonts w:hint="eastAsia"/>
          <w:b/>
          <w:bCs/>
        </w:rPr>
        <w:t>第六十七条</w:t>
      </w:r>
      <w:r>
        <w:rPr>
          <w:rFonts w:hint="eastAsia"/>
        </w:rPr>
        <w:t xml:space="preserve"> </w:t>
      </w:r>
      <w:r w:rsidRPr="008D37F9">
        <w:rPr>
          <w:rFonts w:hint="eastAsia"/>
        </w:rPr>
        <w:t>国有股东与上市公司进行资产重组方案经上市公司董事会审议通过后，应当在上市公司股东大会召开前获得相应批准。属于本办法第七条规定情形的，由国家出资企业审核批准，其他情形由国有资产监督管理机构审核批准。</w:t>
      </w:r>
    </w:p>
    <w:p w14:paraId="6439CEA8" w14:textId="77777777" w:rsidR="003B0D09" w:rsidRPr="008D37F9" w:rsidRDefault="003B0D09" w:rsidP="003B0D09">
      <w:pPr>
        <w:pStyle w:val="13"/>
        <w:ind w:firstLine="482"/>
      </w:pPr>
      <w:r w:rsidRPr="008D37F9">
        <w:rPr>
          <w:rFonts w:hint="eastAsia"/>
          <w:b/>
          <w:bCs/>
        </w:rPr>
        <w:lastRenderedPageBreak/>
        <w:t>第六十八条</w:t>
      </w:r>
      <w:r>
        <w:rPr>
          <w:rFonts w:hint="eastAsia"/>
        </w:rPr>
        <w:t xml:space="preserve"> </w:t>
      </w:r>
      <w:r w:rsidRPr="008D37F9">
        <w:rPr>
          <w:rFonts w:hint="eastAsia"/>
        </w:rPr>
        <w:t>国家出资企业、国有资产监督管理机构批准国有股东与上市公司进行资产重组时，应当审核以下文件：</w:t>
      </w:r>
    </w:p>
    <w:p w14:paraId="18B9E0B2" w14:textId="77777777" w:rsidR="003B0D09" w:rsidRPr="008D37F9" w:rsidRDefault="003B0D09" w:rsidP="003B0D09">
      <w:pPr>
        <w:pStyle w:val="13"/>
      </w:pPr>
      <w:r w:rsidRPr="008D37F9">
        <w:rPr>
          <w:rFonts w:hint="eastAsia"/>
        </w:rPr>
        <w:t>（一）国有股东决策文件和上市公司董事会决议；</w:t>
      </w:r>
    </w:p>
    <w:p w14:paraId="2DEDC217" w14:textId="77777777" w:rsidR="003B0D09" w:rsidRPr="008D37F9" w:rsidRDefault="003B0D09" w:rsidP="003B0D09">
      <w:pPr>
        <w:pStyle w:val="13"/>
      </w:pPr>
      <w:r w:rsidRPr="008D37F9">
        <w:rPr>
          <w:rFonts w:hint="eastAsia"/>
        </w:rPr>
        <w:t>（二）资产重组的方案，内容包括但不限于：资产重组的原因及目的，涉及标的资产范围、业务情况及近三年损益情况、未来盈利预测及其依据，相关资产作价的说明，资产重组对国有股东及上市公司权益、盈利水平和未来发展的影响等；</w:t>
      </w:r>
    </w:p>
    <w:p w14:paraId="153BB364" w14:textId="77777777" w:rsidR="003B0D09" w:rsidRPr="008D37F9" w:rsidRDefault="003B0D09" w:rsidP="003B0D09">
      <w:pPr>
        <w:pStyle w:val="13"/>
      </w:pPr>
      <w:r w:rsidRPr="008D37F9">
        <w:rPr>
          <w:rFonts w:hint="eastAsia"/>
        </w:rPr>
        <w:t>（三）资产重组涉及相关资产的评估备案表或核准文件；</w:t>
      </w:r>
    </w:p>
    <w:p w14:paraId="2E5DBE4C" w14:textId="77777777" w:rsidR="003B0D09" w:rsidRPr="008D37F9" w:rsidRDefault="003B0D09" w:rsidP="003B0D09">
      <w:pPr>
        <w:pStyle w:val="13"/>
      </w:pPr>
      <w:r w:rsidRPr="008D37F9">
        <w:rPr>
          <w:rFonts w:hint="eastAsia"/>
        </w:rPr>
        <w:t>（四）律师事务所出具的法律意见书；</w:t>
      </w:r>
    </w:p>
    <w:p w14:paraId="5D5A4193" w14:textId="77777777" w:rsidR="003B0D09" w:rsidRPr="008D37F9" w:rsidRDefault="003B0D09" w:rsidP="003B0D09">
      <w:pPr>
        <w:pStyle w:val="13"/>
      </w:pPr>
      <w:r w:rsidRPr="008D37F9">
        <w:rPr>
          <w:rFonts w:hint="eastAsia"/>
        </w:rPr>
        <w:t>（五）国家出资企业、国有资产监督管理机构认为必要的其他文件。</w:t>
      </w:r>
    </w:p>
    <w:p w14:paraId="6A9287AE" w14:textId="77777777" w:rsidR="003B0D09" w:rsidRPr="008D37F9" w:rsidRDefault="003B0D09" w:rsidP="003B0D09">
      <w:pPr>
        <w:pStyle w:val="13"/>
        <w:ind w:firstLine="482"/>
      </w:pPr>
      <w:r w:rsidRPr="008D37F9">
        <w:rPr>
          <w:rFonts w:hint="eastAsia"/>
          <w:b/>
          <w:bCs/>
        </w:rPr>
        <w:t>第六十九条</w:t>
      </w:r>
      <w:r>
        <w:rPr>
          <w:rFonts w:hint="eastAsia"/>
        </w:rPr>
        <w:t xml:space="preserve"> </w:t>
      </w:r>
      <w:r w:rsidRPr="008D37F9">
        <w:rPr>
          <w:rFonts w:hint="eastAsia"/>
        </w:rPr>
        <w:t>国有股东参股的非上市企业参与非国有控股上市公司的资产重组事项由国家出资企业按照内部决策程序自主决定。</w:t>
      </w:r>
    </w:p>
    <w:p w14:paraId="126C11E7" w14:textId="77777777" w:rsidR="003B0D09" w:rsidRPr="008D37F9" w:rsidRDefault="003B0D09" w:rsidP="00AF7342">
      <w:pPr>
        <w:pStyle w:val="a9"/>
        <w:spacing w:before="62" w:after="62"/>
      </w:pPr>
      <w:r w:rsidRPr="008D37F9">
        <w:rPr>
          <w:rFonts w:hint="eastAsia"/>
        </w:rPr>
        <w:t>第十二章</w:t>
      </w:r>
      <w:r>
        <w:rPr>
          <w:rFonts w:hint="eastAsia"/>
        </w:rPr>
        <w:t xml:space="preserve"> </w:t>
      </w:r>
      <w:r w:rsidRPr="008D37F9">
        <w:rPr>
          <w:rFonts w:hint="eastAsia"/>
        </w:rPr>
        <w:t>法律责任</w:t>
      </w:r>
    </w:p>
    <w:p w14:paraId="56F78FC7" w14:textId="77777777" w:rsidR="003B0D09" w:rsidRPr="008D37F9" w:rsidRDefault="003B0D09" w:rsidP="003B0D09">
      <w:pPr>
        <w:pStyle w:val="13"/>
        <w:ind w:firstLine="482"/>
      </w:pPr>
      <w:r w:rsidRPr="008D37F9">
        <w:rPr>
          <w:rFonts w:hint="eastAsia"/>
          <w:b/>
          <w:bCs/>
        </w:rPr>
        <w:t>第七十条</w:t>
      </w:r>
      <w:r>
        <w:rPr>
          <w:rFonts w:hint="eastAsia"/>
        </w:rPr>
        <w:t xml:space="preserve"> </w:t>
      </w:r>
      <w:r w:rsidRPr="008D37F9">
        <w:rPr>
          <w:rFonts w:hint="eastAsia"/>
        </w:rPr>
        <w:t>在上市公司国有股权变动中，相关方有下列行为之一的，国有资产监督管理机构或国家出资企业应要求终止上市公司股权变动行为，必要时应向人民法院提起诉讼：</w:t>
      </w:r>
    </w:p>
    <w:p w14:paraId="72539C5B" w14:textId="77777777" w:rsidR="003B0D09" w:rsidRPr="008D37F9" w:rsidRDefault="003B0D09" w:rsidP="003B0D09">
      <w:pPr>
        <w:pStyle w:val="13"/>
      </w:pPr>
      <w:r w:rsidRPr="008D37F9">
        <w:rPr>
          <w:rFonts w:hint="eastAsia"/>
        </w:rPr>
        <w:t>（一）不履行相应的内部决策程序、批准程序或者超越权限，擅自变动上市公司国有股权的；</w:t>
      </w:r>
    </w:p>
    <w:p w14:paraId="0CA251D0" w14:textId="77777777" w:rsidR="003B0D09" w:rsidRPr="008D37F9" w:rsidRDefault="003B0D09" w:rsidP="003B0D09">
      <w:pPr>
        <w:pStyle w:val="13"/>
      </w:pPr>
      <w:r w:rsidRPr="008D37F9">
        <w:rPr>
          <w:rFonts w:hint="eastAsia"/>
        </w:rPr>
        <w:t>（二）向中介机构提供虚假资料，导致审计、评估结果失真，造成国有资产损失的；</w:t>
      </w:r>
    </w:p>
    <w:p w14:paraId="4A294AB0" w14:textId="77777777" w:rsidR="003B0D09" w:rsidRPr="008D37F9" w:rsidRDefault="003B0D09" w:rsidP="003B0D09">
      <w:pPr>
        <w:pStyle w:val="13"/>
      </w:pPr>
      <w:r w:rsidRPr="008D37F9">
        <w:rPr>
          <w:rFonts w:hint="eastAsia"/>
        </w:rPr>
        <w:t>（三）相关方恶意串通，签订显失公平的协议，造成国有资产损失的；</w:t>
      </w:r>
    </w:p>
    <w:p w14:paraId="2D232FA2" w14:textId="77777777" w:rsidR="003B0D09" w:rsidRPr="008D37F9" w:rsidRDefault="003B0D09" w:rsidP="003B0D09">
      <w:pPr>
        <w:pStyle w:val="13"/>
      </w:pPr>
      <w:r w:rsidRPr="008D37F9">
        <w:rPr>
          <w:rFonts w:hint="eastAsia"/>
        </w:rPr>
        <w:t>（四）相关方采取欺诈、隐瞒等手段变动上市公司国有股权，造成国有资产损失的；</w:t>
      </w:r>
    </w:p>
    <w:p w14:paraId="39E730B2" w14:textId="77777777" w:rsidR="003B0D09" w:rsidRPr="008D37F9" w:rsidRDefault="003B0D09" w:rsidP="003B0D09">
      <w:pPr>
        <w:pStyle w:val="13"/>
      </w:pPr>
      <w:r w:rsidRPr="008D37F9">
        <w:rPr>
          <w:rFonts w:hint="eastAsia"/>
        </w:rPr>
        <w:t>（五）相关方未在约定期限内履行承诺义务的；</w:t>
      </w:r>
    </w:p>
    <w:p w14:paraId="7543E425" w14:textId="77777777" w:rsidR="003B0D09" w:rsidRPr="008D37F9" w:rsidRDefault="003B0D09" w:rsidP="003B0D09">
      <w:pPr>
        <w:pStyle w:val="13"/>
      </w:pPr>
      <w:r w:rsidRPr="008D37F9">
        <w:rPr>
          <w:rFonts w:hint="eastAsia"/>
        </w:rPr>
        <w:t>（六）违反上市公司信息披露规定，涉嫌内幕交易的。</w:t>
      </w:r>
    </w:p>
    <w:p w14:paraId="48944438" w14:textId="77777777" w:rsidR="003B0D09" w:rsidRPr="008D37F9" w:rsidRDefault="003B0D09" w:rsidP="003B0D09">
      <w:pPr>
        <w:pStyle w:val="13"/>
        <w:ind w:firstLine="482"/>
      </w:pPr>
      <w:r w:rsidRPr="008D37F9">
        <w:rPr>
          <w:rFonts w:hint="eastAsia"/>
          <w:b/>
          <w:bCs/>
        </w:rPr>
        <w:t>第七十一条</w:t>
      </w:r>
      <w:r>
        <w:rPr>
          <w:rFonts w:hint="eastAsia"/>
        </w:rPr>
        <w:t xml:space="preserve"> </w:t>
      </w:r>
      <w:r w:rsidRPr="008D37F9">
        <w:rPr>
          <w:rFonts w:hint="eastAsia"/>
        </w:rPr>
        <w:t>违反有关法律、法规或本办法的规定变动上市公司国有股权并造成国有资产损失的，国有资产监督管理机构可以责令国有股东采取措施限期纠正；国有股东、上市公司负有直接责任的主管人员和其他直接责任人员，由国有资产监督管理机构或者相关企业按照权限给予纪律处分，造成国有资产损失的，应负赔偿责任；涉嫌犯罪的，依法移送司法机关处理。</w:t>
      </w:r>
    </w:p>
    <w:p w14:paraId="7B09FE05" w14:textId="77777777" w:rsidR="003B0D09" w:rsidRPr="008D37F9" w:rsidRDefault="003B0D09" w:rsidP="003B0D09">
      <w:pPr>
        <w:pStyle w:val="13"/>
        <w:ind w:firstLine="482"/>
      </w:pPr>
      <w:r w:rsidRPr="008D37F9">
        <w:rPr>
          <w:rFonts w:hint="eastAsia"/>
          <w:b/>
          <w:bCs/>
        </w:rPr>
        <w:t>第七十二条</w:t>
      </w:r>
      <w:r>
        <w:rPr>
          <w:rFonts w:hint="eastAsia"/>
        </w:rPr>
        <w:t xml:space="preserve"> </w:t>
      </w:r>
      <w:r w:rsidRPr="008D37F9">
        <w:rPr>
          <w:rFonts w:hint="eastAsia"/>
        </w:rPr>
        <w:t>社会中介机构在上市公司国有股权变动的审计、评估、咨询和法律等服务中违规执业的，由国有资产监督管理机构将有关情况通报其行业主管部门，建议给予相应处罚；情节严重的，国有股东三年内不得再委托其开展相关业务。</w:t>
      </w:r>
    </w:p>
    <w:p w14:paraId="4962F250" w14:textId="77777777" w:rsidR="003B0D09" w:rsidRPr="008D37F9" w:rsidRDefault="003B0D09" w:rsidP="003B0D09">
      <w:pPr>
        <w:pStyle w:val="13"/>
        <w:ind w:firstLine="482"/>
      </w:pPr>
      <w:r w:rsidRPr="008D37F9">
        <w:rPr>
          <w:rFonts w:hint="eastAsia"/>
          <w:b/>
          <w:bCs/>
        </w:rPr>
        <w:t>第七十三条</w:t>
      </w:r>
      <w:r>
        <w:rPr>
          <w:rFonts w:hint="eastAsia"/>
        </w:rPr>
        <w:t xml:space="preserve"> </w:t>
      </w:r>
      <w:r w:rsidRPr="008D37F9">
        <w:rPr>
          <w:rFonts w:hint="eastAsia"/>
        </w:rPr>
        <w:t>上市公司国有股权变动批准机构及其有关人员违反有关法律、法规或本办法的规定，擅自批准或者在批准中以权谋私，造成国有资产损失的，由有关部</w:t>
      </w:r>
      <w:r w:rsidRPr="008D37F9">
        <w:rPr>
          <w:rFonts w:hint="eastAsia"/>
        </w:rPr>
        <w:lastRenderedPageBreak/>
        <w:t>门按照权限给予纪律处分；涉嫌犯罪的，依法移送司法机关处理。</w:t>
      </w:r>
    </w:p>
    <w:p w14:paraId="73F6C180" w14:textId="77777777" w:rsidR="003B0D09" w:rsidRPr="008D37F9" w:rsidRDefault="003B0D09" w:rsidP="003B0D09">
      <w:pPr>
        <w:pStyle w:val="13"/>
      </w:pPr>
      <w:r w:rsidRPr="008D37F9">
        <w:rPr>
          <w:rFonts w:hint="eastAsia"/>
        </w:rPr>
        <w:t>国有资产监督管理机构违反有关法律、法规或本办法的规定审核批准上市公司国有股权变动并造成国有资产损失的，对直接负责的主管人员和其他责任人员给予纪律处分；涉嫌犯罪的，依法移送司法机关处理。</w:t>
      </w:r>
    </w:p>
    <w:p w14:paraId="5C6A2E8E" w14:textId="77777777" w:rsidR="003B0D09" w:rsidRPr="008D37F9" w:rsidRDefault="003B0D09" w:rsidP="00AF7342">
      <w:pPr>
        <w:pStyle w:val="a9"/>
        <w:spacing w:before="62" w:after="62"/>
      </w:pPr>
      <w:r w:rsidRPr="008D37F9">
        <w:rPr>
          <w:rFonts w:hint="eastAsia"/>
        </w:rPr>
        <w:t>第十三章</w:t>
      </w:r>
      <w:r>
        <w:rPr>
          <w:rFonts w:hint="eastAsia"/>
        </w:rPr>
        <w:t xml:space="preserve"> </w:t>
      </w:r>
      <w:r w:rsidRPr="008D37F9">
        <w:rPr>
          <w:rFonts w:hint="eastAsia"/>
        </w:rPr>
        <w:t>附则</w:t>
      </w:r>
    </w:p>
    <w:p w14:paraId="7088DC84" w14:textId="77777777" w:rsidR="003B0D09" w:rsidRPr="008D37F9" w:rsidRDefault="003B0D09" w:rsidP="003B0D09">
      <w:pPr>
        <w:pStyle w:val="13"/>
        <w:ind w:firstLine="482"/>
      </w:pPr>
      <w:r w:rsidRPr="008D37F9">
        <w:rPr>
          <w:rFonts w:hint="eastAsia"/>
          <w:b/>
          <w:bCs/>
        </w:rPr>
        <w:t>第七十四条</w:t>
      </w:r>
      <w:r>
        <w:rPr>
          <w:rFonts w:hint="eastAsia"/>
        </w:rPr>
        <w:t xml:space="preserve"> </w:t>
      </w:r>
      <w:r w:rsidRPr="008D37F9">
        <w:rPr>
          <w:rFonts w:hint="eastAsia"/>
        </w:rPr>
        <w:t>不符合本办法规定的国有股东标准，但政府部门、机构、事业单位和国有独资或全资企业通过投资关系、协议或者其他安排，能够实际支配其行为的境内外企业，证券账户标注为“CS”，所持上市公司股权变动行为参照本办法管理。</w:t>
      </w:r>
    </w:p>
    <w:p w14:paraId="4D80B97A" w14:textId="77777777" w:rsidR="003B0D09" w:rsidRPr="008D37F9" w:rsidRDefault="003B0D09" w:rsidP="003B0D09">
      <w:pPr>
        <w:pStyle w:val="13"/>
        <w:ind w:firstLine="482"/>
      </w:pPr>
      <w:r w:rsidRPr="008D37F9">
        <w:rPr>
          <w:rFonts w:hint="eastAsia"/>
          <w:b/>
          <w:bCs/>
        </w:rPr>
        <w:t>第七十五条</w:t>
      </w:r>
      <w:r>
        <w:rPr>
          <w:rFonts w:hint="eastAsia"/>
        </w:rPr>
        <w:t xml:space="preserve"> </w:t>
      </w:r>
      <w:r w:rsidRPr="008D37F9">
        <w:rPr>
          <w:rFonts w:hint="eastAsia"/>
        </w:rPr>
        <w:t>政府部门、机构、事业单位及其所属企业持有的上市公司国有股权变动行为，按照现行监管体制，比照本办法管理。</w:t>
      </w:r>
    </w:p>
    <w:p w14:paraId="5E584B2B" w14:textId="77777777" w:rsidR="003B0D09" w:rsidRPr="008D37F9" w:rsidRDefault="003B0D09" w:rsidP="003B0D09">
      <w:pPr>
        <w:pStyle w:val="13"/>
        <w:ind w:firstLine="482"/>
      </w:pPr>
      <w:r w:rsidRPr="008D37F9">
        <w:rPr>
          <w:rFonts w:hint="eastAsia"/>
          <w:b/>
          <w:bCs/>
        </w:rPr>
        <w:t>第七十六条</w:t>
      </w:r>
      <w:r>
        <w:rPr>
          <w:rFonts w:hint="eastAsia"/>
        </w:rPr>
        <w:t xml:space="preserve"> </w:t>
      </w:r>
      <w:r w:rsidRPr="008D37F9">
        <w:rPr>
          <w:rFonts w:hint="eastAsia"/>
        </w:rPr>
        <w:t>金融、文化类上市公司国有股权的监督管理，国家另有规定的，依照其规定。</w:t>
      </w:r>
    </w:p>
    <w:p w14:paraId="7C48A641" w14:textId="77777777" w:rsidR="003B0D09" w:rsidRPr="008D37F9" w:rsidRDefault="003B0D09" w:rsidP="003B0D09">
      <w:pPr>
        <w:pStyle w:val="13"/>
        <w:ind w:firstLine="482"/>
      </w:pPr>
      <w:r w:rsidRPr="008D37F9">
        <w:rPr>
          <w:rFonts w:hint="eastAsia"/>
          <w:b/>
          <w:bCs/>
        </w:rPr>
        <w:t>第七十七条</w:t>
      </w:r>
      <w:r>
        <w:rPr>
          <w:rFonts w:hint="eastAsia"/>
        </w:rPr>
        <w:t xml:space="preserve"> </w:t>
      </w:r>
      <w:r w:rsidRPr="008D37F9">
        <w:rPr>
          <w:rFonts w:hint="eastAsia"/>
        </w:rPr>
        <w:t>国有或国有控股的专门从事证券业务的证券公司及基金管理公司转让、受让上市公司股份的监督管理按照相关规定办理。</w:t>
      </w:r>
    </w:p>
    <w:p w14:paraId="0A1F1290" w14:textId="77777777" w:rsidR="003B0D09" w:rsidRPr="008D37F9" w:rsidRDefault="003B0D09" w:rsidP="003B0D09">
      <w:pPr>
        <w:pStyle w:val="13"/>
        <w:ind w:firstLine="482"/>
      </w:pPr>
      <w:r w:rsidRPr="008D37F9">
        <w:rPr>
          <w:rFonts w:hint="eastAsia"/>
          <w:b/>
          <w:bCs/>
        </w:rPr>
        <w:t>第七十八条</w:t>
      </w:r>
      <w:r>
        <w:rPr>
          <w:rFonts w:hint="eastAsia"/>
        </w:rPr>
        <w:t xml:space="preserve"> </w:t>
      </w:r>
      <w:r w:rsidRPr="008D37F9">
        <w:rPr>
          <w:rFonts w:hint="eastAsia"/>
        </w:rPr>
        <w:t>国有出资的有限合伙企业不作国有股东认定，其所持上市公司股份的监督管理另行规定。</w:t>
      </w:r>
    </w:p>
    <w:p w14:paraId="6517D708" w14:textId="77777777" w:rsidR="003B0D09" w:rsidRPr="008D37F9" w:rsidRDefault="003B0D09" w:rsidP="003B0D09">
      <w:pPr>
        <w:pStyle w:val="13"/>
        <w:ind w:firstLine="482"/>
      </w:pPr>
      <w:r w:rsidRPr="008D37F9">
        <w:rPr>
          <w:rFonts w:hint="eastAsia"/>
          <w:b/>
          <w:bCs/>
        </w:rPr>
        <w:t>第七十九条</w:t>
      </w:r>
      <w:r>
        <w:rPr>
          <w:rFonts w:hint="eastAsia"/>
        </w:rPr>
        <w:t xml:space="preserve"> </w:t>
      </w:r>
      <w:r w:rsidRPr="008D37F9">
        <w:rPr>
          <w:rFonts w:hint="eastAsia"/>
        </w:rPr>
        <w:t>本办法自2018年7月1日起施行。</w:t>
      </w:r>
    </w:p>
    <w:p w14:paraId="774EDB1F" w14:textId="77777777" w:rsidR="003B0D09" w:rsidRDefault="003B0D09" w:rsidP="003B0D09">
      <w:pPr>
        <w:pStyle w:val="31"/>
        <w:spacing w:before="156" w:after="62"/>
      </w:pPr>
      <w:bookmarkStart w:id="221" w:name="_Toc81833454"/>
      <w:r w:rsidRPr="00F51B3D">
        <w:rPr>
          <w:rFonts w:hint="eastAsia"/>
        </w:rPr>
        <w:t>《国有资产评估违法行为处罚办法》（财政部令〔</w:t>
      </w:r>
      <w:r w:rsidRPr="00F51B3D">
        <w:t>2001〕15号）</w:t>
      </w:r>
      <w:bookmarkEnd w:id="221"/>
    </w:p>
    <w:p w14:paraId="27393C1C" w14:textId="77777777" w:rsidR="003B0D09" w:rsidRDefault="003B0D09" w:rsidP="003B0D09">
      <w:pPr>
        <w:pStyle w:val="13"/>
      </w:pPr>
      <w:r>
        <w:rPr>
          <w:rFonts w:hint="eastAsia"/>
        </w:rPr>
        <w:t>经部</w:t>
      </w:r>
      <w:proofErr w:type="gramStart"/>
      <w:r>
        <w:rPr>
          <w:rFonts w:hint="eastAsia"/>
        </w:rPr>
        <w:t>务</w:t>
      </w:r>
      <w:proofErr w:type="gramEnd"/>
      <w:r>
        <w:rPr>
          <w:rFonts w:hint="eastAsia"/>
        </w:rPr>
        <w:t>会议审议通过，现公布《国有资产评估违法行为处罚办法》，自</w:t>
      </w:r>
      <w:r>
        <w:t>2002年1月1日起施行。</w:t>
      </w:r>
    </w:p>
    <w:p w14:paraId="59C3BDC9" w14:textId="77777777" w:rsidR="003B0D09" w:rsidRDefault="003B0D09" w:rsidP="003B0D09">
      <w:pPr>
        <w:pStyle w:val="13"/>
        <w:jc w:val="right"/>
      </w:pPr>
      <w:r>
        <w:rPr>
          <w:rFonts w:hint="eastAsia"/>
        </w:rPr>
        <w:t>部长</w:t>
      </w:r>
      <w:r>
        <w:t xml:space="preserve"> 项怀诚</w:t>
      </w:r>
    </w:p>
    <w:p w14:paraId="4554AA07" w14:textId="77777777" w:rsidR="003B0D09" w:rsidRDefault="003B0D09" w:rsidP="00AF7342">
      <w:pPr>
        <w:pStyle w:val="a9"/>
        <w:spacing w:before="62" w:after="62"/>
      </w:pPr>
      <w:r w:rsidRPr="00F51B3D">
        <w:t>国有资产评估违法行为处罚办法</w:t>
      </w:r>
    </w:p>
    <w:p w14:paraId="5C0B987F" w14:textId="77777777" w:rsidR="003B0D09" w:rsidRPr="00F51B3D" w:rsidRDefault="003B0D09" w:rsidP="003B0D09">
      <w:pPr>
        <w:pStyle w:val="13"/>
        <w:ind w:firstLine="482"/>
      </w:pPr>
      <w:r w:rsidRPr="004E3EBB">
        <w:rPr>
          <w:rFonts w:hint="eastAsia"/>
          <w:b/>
        </w:rPr>
        <w:t xml:space="preserve">第一条 </w:t>
      </w:r>
      <w:r w:rsidRPr="00F51B3D">
        <w:rPr>
          <w:rFonts w:hint="eastAsia"/>
        </w:rPr>
        <w:t>为规范国有资产评估行为，加强国有资产评估管理，保障国有资产权益，维护社会公共利益，根据《国有资产评估管理办法》、《国务院办公厅转发财政部&lt;关于改革国有资产评估行政管理方式加强资产评估监督管理工作意见&gt;的通知》（国办发[2001）102号）及其他有关法律、行政法规的规定，制定本办法。</w:t>
      </w:r>
    </w:p>
    <w:p w14:paraId="43E624B1" w14:textId="77777777" w:rsidR="003B0D09" w:rsidRPr="00F51B3D" w:rsidRDefault="003B0D09" w:rsidP="003B0D09">
      <w:pPr>
        <w:pStyle w:val="13"/>
        <w:ind w:firstLine="482"/>
      </w:pPr>
      <w:r w:rsidRPr="004E3EBB">
        <w:rPr>
          <w:rFonts w:hint="eastAsia"/>
          <w:b/>
        </w:rPr>
        <w:t xml:space="preserve">第二条 </w:t>
      </w:r>
      <w:r w:rsidRPr="00F51B3D">
        <w:rPr>
          <w:rFonts w:hint="eastAsia"/>
        </w:rPr>
        <w:t>资产评估机构在国有资产评估活动中违反有关管律、法规和规章，应</w:t>
      </w:r>
      <w:proofErr w:type="gramStart"/>
      <w:r w:rsidRPr="00F51B3D">
        <w:rPr>
          <w:rFonts w:hint="eastAsia"/>
        </w:rPr>
        <w:t>予行</w:t>
      </w:r>
      <w:proofErr w:type="gramEnd"/>
      <w:r w:rsidRPr="00F51B3D">
        <w:rPr>
          <w:rFonts w:hint="eastAsia"/>
        </w:rPr>
        <w:t>政处罚的，适用本办法。</w:t>
      </w:r>
    </w:p>
    <w:p w14:paraId="6F1A6AFF" w14:textId="77777777" w:rsidR="003B0D09" w:rsidRPr="00F51B3D" w:rsidRDefault="003B0D09" w:rsidP="003B0D09">
      <w:pPr>
        <w:pStyle w:val="13"/>
        <w:ind w:firstLine="482"/>
      </w:pPr>
      <w:r w:rsidRPr="004E3EBB">
        <w:rPr>
          <w:rFonts w:hint="eastAsia"/>
          <w:b/>
        </w:rPr>
        <w:t xml:space="preserve">第三条 </w:t>
      </w:r>
      <w:r w:rsidRPr="00F51B3D">
        <w:rPr>
          <w:rFonts w:hint="eastAsia"/>
        </w:rPr>
        <w:t>省级人民政府财政部门（国有资产管理部门，下同）负责对本地区资产评估机构（包括设在本地区的资产评估分支机构）的违法行为实施处罚。对严重评估违法行为，国务院财政部门可以直接进行处罚。</w:t>
      </w:r>
    </w:p>
    <w:p w14:paraId="6387AA87" w14:textId="77777777" w:rsidR="003B0D09" w:rsidRPr="00F51B3D" w:rsidRDefault="003B0D09" w:rsidP="003B0D09">
      <w:pPr>
        <w:pStyle w:val="13"/>
        <w:ind w:firstLine="482"/>
      </w:pPr>
      <w:r w:rsidRPr="004E3EBB">
        <w:rPr>
          <w:rFonts w:hint="eastAsia"/>
          <w:b/>
        </w:rPr>
        <w:t xml:space="preserve">第四条 </w:t>
      </w:r>
      <w:r w:rsidRPr="00F51B3D">
        <w:rPr>
          <w:rFonts w:hint="eastAsia"/>
        </w:rPr>
        <w:t>资产评估机构违法行为的处罚种类：</w:t>
      </w:r>
    </w:p>
    <w:p w14:paraId="66A5DA7A" w14:textId="77777777" w:rsidR="003B0D09" w:rsidRPr="00F51B3D" w:rsidRDefault="003B0D09" w:rsidP="003B0D09">
      <w:pPr>
        <w:pStyle w:val="13"/>
      </w:pPr>
      <w:r w:rsidRPr="00F51B3D">
        <w:rPr>
          <w:rFonts w:hint="eastAsia"/>
        </w:rPr>
        <w:t>（一）警告；</w:t>
      </w:r>
    </w:p>
    <w:p w14:paraId="03BB6792" w14:textId="77777777" w:rsidR="003B0D09" w:rsidRPr="00F51B3D" w:rsidRDefault="003B0D09" w:rsidP="003B0D09">
      <w:pPr>
        <w:pStyle w:val="13"/>
      </w:pPr>
      <w:r w:rsidRPr="00F51B3D">
        <w:rPr>
          <w:rFonts w:hint="eastAsia"/>
        </w:rPr>
        <w:lastRenderedPageBreak/>
        <w:t>（二）罚款；</w:t>
      </w:r>
    </w:p>
    <w:p w14:paraId="4780F912" w14:textId="77777777" w:rsidR="003B0D09" w:rsidRPr="00F51B3D" w:rsidRDefault="003B0D09" w:rsidP="003B0D09">
      <w:pPr>
        <w:pStyle w:val="13"/>
      </w:pPr>
      <w:r w:rsidRPr="00F51B3D">
        <w:rPr>
          <w:rFonts w:hint="eastAsia"/>
        </w:rPr>
        <w:t>（三）没收违法所得；</w:t>
      </w:r>
    </w:p>
    <w:p w14:paraId="39E007BF" w14:textId="77777777" w:rsidR="003B0D09" w:rsidRPr="00F51B3D" w:rsidRDefault="003B0D09" w:rsidP="003B0D09">
      <w:pPr>
        <w:pStyle w:val="13"/>
      </w:pPr>
      <w:r w:rsidRPr="00F51B3D">
        <w:rPr>
          <w:rFonts w:hint="eastAsia"/>
        </w:rPr>
        <w:t>（四）暂停执行部分或者全部业务，暂停执业的期限为三至十二个月；</w:t>
      </w:r>
    </w:p>
    <w:p w14:paraId="62960CEA" w14:textId="77777777" w:rsidR="003B0D09" w:rsidRPr="00F51B3D" w:rsidRDefault="003B0D09" w:rsidP="003B0D09">
      <w:pPr>
        <w:pStyle w:val="13"/>
      </w:pPr>
      <w:r w:rsidRPr="00F51B3D">
        <w:rPr>
          <w:rFonts w:hint="eastAsia"/>
        </w:rPr>
        <w:t>（五）吊销资产评估资格证书。</w:t>
      </w:r>
    </w:p>
    <w:p w14:paraId="317A67BE" w14:textId="77777777" w:rsidR="003B0D09" w:rsidRPr="00F51B3D" w:rsidRDefault="003B0D09" w:rsidP="003B0D09">
      <w:pPr>
        <w:pStyle w:val="13"/>
        <w:ind w:firstLine="482"/>
      </w:pPr>
      <w:r w:rsidRPr="004E3EBB">
        <w:rPr>
          <w:rFonts w:hint="eastAsia"/>
          <w:b/>
        </w:rPr>
        <w:t xml:space="preserve">第五条 </w:t>
      </w:r>
      <w:r w:rsidRPr="00F51B3D">
        <w:rPr>
          <w:rFonts w:hint="eastAsia"/>
        </w:rPr>
        <w:t>资产评估机构与委托人或被评估单位串通作弊，故意出具虚假报告的，没收违法所得，处以违法所得一倍以上五倍以下的罚款，并予以暂停执业；给利害关系人造成重大经济损失或者产生恶劣社会影响的，吊销资产评估资格证书。</w:t>
      </w:r>
    </w:p>
    <w:p w14:paraId="3FEAABBB" w14:textId="77777777" w:rsidR="003B0D09" w:rsidRPr="00F51B3D" w:rsidRDefault="003B0D09" w:rsidP="003B0D09">
      <w:pPr>
        <w:pStyle w:val="13"/>
      </w:pPr>
      <w:proofErr w:type="gramStart"/>
      <w:r w:rsidRPr="00F51B3D">
        <w:rPr>
          <w:rFonts w:hint="eastAsia"/>
        </w:rPr>
        <w:t>笫</w:t>
      </w:r>
      <w:proofErr w:type="gramEnd"/>
      <w:r w:rsidRPr="00F51B3D">
        <w:rPr>
          <w:rFonts w:hint="eastAsia"/>
        </w:rPr>
        <w:t>六条</w:t>
      </w:r>
      <w:r>
        <w:rPr>
          <w:rFonts w:hint="eastAsia"/>
        </w:rPr>
        <w:t xml:space="preserve"> </w:t>
      </w:r>
      <w:r w:rsidRPr="00F51B3D">
        <w:rPr>
          <w:rFonts w:hint="eastAsia"/>
        </w:rPr>
        <w:t>资产评估机构因过失出具有重大遗漏的报告的，责令改正，情节较重的，处以所得收入一倍以上三倍以下的罚款，并予以暂停执业；</w:t>
      </w:r>
    </w:p>
    <w:p w14:paraId="28CAF841" w14:textId="77777777" w:rsidR="003B0D09" w:rsidRPr="00F51B3D" w:rsidRDefault="003B0D09" w:rsidP="003B0D09">
      <w:pPr>
        <w:pStyle w:val="13"/>
        <w:ind w:firstLine="482"/>
      </w:pPr>
      <w:r w:rsidRPr="004E3EBB">
        <w:rPr>
          <w:rFonts w:hint="eastAsia"/>
          <w:b/>
        </w:rPr>
        <w:t xml:space="preserve">第七条 </w:t>
      </w:r>
      <w:r w:rsidRPr="00F51B3D">
        <w:rPr>
          <w:rFonts w:hint="eastAsia"/>
        </w:rPr>
        <w:t>资产评估机构冒用其他机构名义或者允许其他机构以本机构名义执行评估业务的，责令改正，予以警告。</w:t>
      </w:r>
    </w:p>
    <w:p w14:paraId="0DA2AEDB" w14:textId="77777777" w:rsidR="003B0D09" w:rsidRPr="00F51B3D" w:rsidRDefault="003B0D09" w:rsidP="003B0D09">
      <w:pPr>
        <w:pStyle w:val="13"/>
        <w:ind w:firstLine="482"/>
      </w:pPr>
      <w:r w:rsidRPr="004E3EBB">
        <w:rPr>
          <w:rFonts w:hint="eastAsia"/>
          <w:b/>
        </w:rPr>
        <w:t xml:space="preserve">第八条 </w:t>
      </w:r>
      <w:r w:rsidRPr="00F51B3D">
        <w:rPr>
          <w:rFonts w:hint="eastAsia"/>
        </w:rPr>
        <w:t>资产评估机构向委托人或者被评估单位索取、收受业务约定书约定以外的酬金或者其他财物，或者利用业务之便，谋取其他不正当利益的，责令改正，予以警告。</w:t>
      </w:r>
    </w:p>
    <w:p w14:paraId="351AC7D9" w14:textId="77777777" w:rsidR="003B0D09" w:rsidRPr="00F51B3D" w:rsidRDefault="003B0D09" w:rsidP="003B0D09">
      <w:pPr>
        <w:pStyle w:val="13"/>
        <w:ind w:firstLine="482"/>
      </w:pPr>
      <w:r w:rsidRPr="00E05BDA">
        <w:rPr>
          <w:rFonts w:hint="eastAsia"/>
          <w:b/>
        </w:rPr>
        <w:t xml:space="preserve">第九条 </w:t>
      </w:r>
      <w:r w:rsidRPr="00F51B3D">
        <w:rPr>
          <w:rFonts w:hint="eastAsia"/>
        </w:rPr>
        <w:t>资产评估机构有下列情形之一的；责令改正，并予以警告：</w:t>
      </w:r>
    </w:p>
    <w:p w14:paraId="5F71A3D3" w14:textId="77777777" w:rsidR="003B0D09" w:rsidRPr="00F51B3D" w:rsidRDefault="003B0D09" w:rsidP="003B0D09">
      <w:pPr>
        <w:pStyle w:val="13"/>
      </w:pPr>
      <w:r w:rsidRPr="00F51B3D">
        <w:rPr>
          <w:rFonts w:hint="eastAsia"/>
        </w:rPr>
        <w:t>（一）对其能力进行虚假广告宣传的</w:t>
      </w:r>
      <w:r>
        <w:rPr>
          <w:rFonts w:hint="eastAsia"/>
        </w:rPr>
        <w:t>；</w:t>
      </w:r>
    </w:p>
    <w:p w14:paraId="25A6C73F" w14:textId="77777777" w:rsidR="003B0D09" w:rsidRPr="00F51B3D" w:rsidRDefault="003B0D09" w:rsidP="003B0D09">
      <w:pPr>
        <w:pStyle w:val="13"/>
      </w:pPr>
      <w:r w:rsidRPr="00F51B3D">
        <w:rPr>
          <w:rFonts w:hint="eastAsia"/>
        </w:rPr>
        <w:t>（二）向有关单位和个人支付回扣或者介绍费的；</w:t>
      </w:r>
    </w:p>
    <w:p w14:paraId="0A367D74" w14:textId="77777777" w:rsidR="003B0D09" w:rsidRPr="00F51B3D" w:rsidRDefault="003B0D09" w:rsidP="003B0D09">
      <w:pPr>
        <w:pStyle w:val="13"/>
      </w:pPr>
      <w:r w:rsidRPr="00F51B3D">
        <w:rPr>
          <w:rFonts w:hint="eastAsia"/>
        </w:rPr>
        <w:t>（三）对委托人、被评估单位或者其他单位和个人进行胁迫、欺诈、利诱的；</w:t>
      </w:r>
    </w:p>
    <w:p w14:paraId="67777C24" w14:textId="77777777" w:rsidR="003B0D09" w:rsidRPr="00F51B3D" w:rsidRDefault="003B0D09" w:rsidP="003B0D09">
      <w:pPr>
        <w:pStyle w:val="13"/>
      </w:pPr>
      <w:r w:rsidRPr="00F51B3D">
        <w:rPr>
          <w:rFonts w:hint="eastAsia"/>
        </w:rPr>
        <w:t>（四）恶意降低收费的。</w:t>
      </w:r>
    </w:p>
    <w:p w14:paraId="6DE26956" w14:textId="77777777" w:rsidR="003B0D09" w:rsidRPr="00F51B3D" w:rsidRDefault="003B0D09" w:rsidP="003B0D09">
      <w:pPr>
        <w:pStyle w:val="13"/>
        <w:ind w:firstLine="482"/>
      </w:pPr>
      <w:r w:rsidRPr="00E05BDA">
        <w:rPr>
          <w:rFonts w:hint="eastAsia"/>
          <w:b/>
        </w:rPr>
        <w:t xml:space="preserve">第十条 </w:t>
      </w:r>
      <w:r w:rsidRPr="00F51B3D">
        <w:rPr>
          <w:rFonts w:hint="eastAsia"/>
        </w:rPr>
        <w:t>资产评估机构与委托人或者被评估单位存在利害关系应当回避没有回避的，责令改正，并予以警告。</w:t>
      </w:r>
    </w:p>
    <w:p w14:paraId="21EFF68A" w14:textId="77777777" w:rsidR="003B0D09" w:rsidRPr="00F51B3D" w:rsidRDefault="003B0D09" w:rsidP="003B0D09">
      <w:pPr>
        <w:pStyle w:val="13"/>
        <w:ind w:firstLine="482"/>
      </w:pPr>
      <w:r w:rsidRPr="00E05BDA">
        <w:rPr>
          <w:rFonts w:hint="eastAsia"/>
          <w:b/>
        </w:rPr>
        <w:t xml:space="preserve">第十一条 </w:t>
      </w:r>
      <w:r w:rsidRPr="00F51B3D">
        <w:rPr>
          <w:rFonts w:hint="eastAsia"/>
        </w:rPr>
        <w:t>资产评估机构泄露委托人或者被评估单位商业秘密的，予以警告。</w:t>
      </w:r>
    </w:p>
    <w:p w14:paraId="0DD1CE00" w14:textId="77777777" w:rsidR="003B0D09" w:rsidRPr="00F51B3D" w:rsidRDefault="003B0D09" w:rsidP="003B0D09">
      <w:pPr>
        <w:pStyle w:val="13"/>
        <w:ind w:firstLine="482"/>
      </w:pPr>
      <w:r w:rsidRPr="00E05BDA">
        <w:rPr>
          <w:rFonts w:hint="eastAsia"/>
          <w:b/>
        </w:rPr>
        <w:t xml:space="preserve">第十二条 </w:t>
      </w:r>
      <w:r w:rsidRPr="00F51B3D">
        <w:rPr>
          <w:rFonts w:hint="eastAsia"/>
        </w:rPr>
        <w:t>本办法第七条至十一条所列情形，有违法所得的，处以违法所得三倍以下的罚款，但最高不得超过三万元；没有违法所得的，处以一万元以下的罚款。</w:t>
      </w:r>
    </w:p>
    <w:p w14:paraId="44D87C83" w14:textId="77777777" w:rsidR="003B0D09" w:rsidRPr="00F51B3D" w:rsidRDefault="003B0D09" w:rsidP="003B0D09">
      <w:pPr>
        <w:pStyle w:val="13"/>
        <w:ind w:firstLine="482"/>
      </w:pPr>
      <w:proofErr w:type="gramStart"/>
      <w:r w:rsidRPr="00E05BDA">
        <w:rPr>
          <w:rFonts w:hint="eastAsia"/>
          <w:b/>
          <w:bCs/>
        </w:rPr>
        <w:t>笫</w:t>
      </w:r>
      <w:proofErr w:type="gramEnd"/>
      <w:r w:rsidRPr="00E05BDA">
        <w:rPr>
          <w:rFonts w:hint="eastAsia"/>
          <w:b/>
          <w:bCs/>
        </w:rPr>
        <w:t xml:space="preserve">十三条 </w:t>
      </w:r>
      <w:r w:rsidRPr="00F51B3D">
        <w:rPr>
          <w:rFonts w:hint="eastAsia"/>
        </w:rPr>
        <w:t>资产评估机构不按照执业准则、职业道德准则的要求执业的；予以警告。</w:t>
      </w:r>
    </w:p>
    <w:p w14:paraId="402D955E" w14:textId="77777777" w:rsidR="003B0D09" w:rsidRPr="00F51B3D" w:rsidRDefault="003B0D09" w:rsidP="003B0D09">
      <w:pPr>
        <w:pStyle w:val="13"/>
        <w:ind w:firstLine="482"/>
      </w:pPr>
      <w:r w:rsidRPr="00E05BDA">
        <w:rPr>
          <w:rFonts w:hint="eastAsia"/>
          <w:b/>
        </w:rPr>
        <w:t xml:space="preserve">第十四条 </w:t>
      </w:r>
      <w:r w:rsidRPr="00F51B3D">
        <w:rPr>
          <w:rFonts w:hint="eastAsia"/>
        </w:rPr>
        <w:t>资产评估机构拒绝、阻挠财政部门依法实施检查的，予以警告；</w:t>
      </w:r>
    </w:p>
    <w:p w14:paraId="2FC80094" w14:textId="77777777" w:rsidR="003B0D09" w:rsidRPr="00F51B3D" w:rsidRDefault="003B0D09" w:rsidP="003B0D09">
      <w:pPr>
        <w:pStyle w:val="13"/>
        <w:ind w:firstLine="482"/>
      </w:pPr>
      <w:r w:rsidRPr="00E05BDA">
        <w:rPr>
          <w:rFonts w:hint="eastAsia"/>
          <w:b/>
        </w:rPr>
        <w:t xml:space="preserve">第十五条 </w:t>
      </w:r>
      <w:r w:rsidRPr="00F51B3D">
        <w:rPr>
          <w:rFonts w:hint="eastAsia"/>
        </w:rPr>
        <w:t>资产评估机构有下列情形之一的；，应当从轻、减轻处罚：</w:t>
      </w:r>
    </w:p>
    <w:p w14:paraId="26CB07E8" w14:textId="77777777" w:rsidR="003B0D09" w:rsidRPr="00F51B3D" w:rsidRDefault="003B0D09" w:rsidP="003B0D09">
      <w:pPr>
        <w:pStyle w:val="13"/>
      </w:pPr>
      <w:r w:rsidRPr="00F51B3D">
        <w:rPr>
          <w:rFonts w:hint="eastAsia"/>
        </w:rPr>
        <w:t>（一）主动改正违法行为或主动消除、减轻违法行为危害后果的；</w:t>
      </w:r>
    </w:p>
    <w:p w14:paraId="55FB1676" w14:textId="77777777" w:rsidR="003B0D09" w:rsidRPr="00F51B3D" w:rsidRDefault="003B0D09" w:rsidP="003B0D09">
      <w:pPr>
        <w:pStyle w:val="13"/>
      </w:pPr>
      <w:r w:rsidRPr="00F51B3D">
        <w:rPr>
          <w:rFonts w:hint="eastAsia"/>
        </w:rPr>
        <w:t>（二）主动向有关部门报告其违法行为的；</w:t>
      </w:r>
    </w:p>
    <w:p w14:paraId="1C999C23" w14:textId="77777777" w:rsidR="003B0D09" w:rsidRPr="00F51B3D" w:rsidRDefault="003B0D09" w:rsidP="003B0D09">
      <w:pPr>
        <w:pStyle w:val="13"/>
      </w:pPr>
      <w:r w:rsidRPr="00F51B3D">
        <w:rPr>
          <w:rFonts w:hint="eastAsia"/>
        </w:rPr>
        <w:t>（三）主动配合查处违法行为的；</w:t>
      </w:r>
    </w:p>
    <w:p w14:paraId="4C07BA70" w14:textId="77777777" w:rsidR="003B0D09" w:rsidRPr="00F51B3D" w:rsidRDefault="003B0D09" w:rsidP="003B0D09">
      <w:pPr>
        <w:pStyle w:val="13"/>
      </w:pPr>
      <w:r w:rsidRPr="00F51B3D">
        <w:rPr>
          <w:rFonts w:hint="eastAsia"/>
        </w:rPr>
        <w:t>（四）受他人胁迫有违法行为的；</w:t>
      </w:r>
    </w:p>
    <w:p w14:paraId="5F883EB7" w14:textId="77777777" w:rsidR="003B0D09" w:rsidRPr="00F51B3D" w:rsidRDefault="003B0D09" w:rsidP="003B0D09">
      <w:pPr>
        <w:pStyle w:val="13"/>
      </w:pPr>
      <w:r w:rsidRPr="00F51B3D">
        <w:rPr>
          <w:rFonts w:hint="eastAsia"/>
        </w:rPr>
        <w:t>（五）其他应予从轻、减轻处罚的情形。</w:t>
      </w:r>
    </w:p>
    <w:p w14:paraId="08DADF21" w14:textId="77777777" w:rsidR="003B0D09" w:rsidRPr="00F51B3D" w:rsidRDefault="003B0D09" w:rsidP="003B0D09">
      <w:pPr>
        <w:pStyle w:val="13"/>
        <w:ind w:firstLine="482"/>
      </w:pPr>
      <w:r w:rsidRPr="00E05BDA">
        <w:rPr>
          <w:rFonts w:hint="eastAsia"/>
          <w:b/>
        </w:rPr>
        <w:t xml:space="preserve">第十六条 </w:t>
      </w:r>
      <w:r w:rsidRPr="00F51B3D">
        <w:rPr>
          <w:rFonts w:hint="eastAsia"/>
        </w:rPr>
        <w:t>资产评估机构有下列情形之一的，应当从重处罚：</w:t>
      </w:r>
    </w:p>
    <w:p w14:paraId="4FAEB700" w14:textId="77777777" w:rsidR="003B0D09" w:rsidRPr="00F51B3D" w:rsidRDefault="003B0D09" w:rsidP="003B0D09">
      <w:pPr>
        <w:pStyle w:val="13"/>
      </w:pPr>
      <w:r w:rsidRPr="00F51B3D">
        <w:rPr>
          <w:rFonts w:hint="eastAsia"/>
        </w:rPr>
        <w:lastRenderedPageBreak/>
        <w:t>（一）同时具有两种或两种以上应予处罚的行为的；</w:t>
      </w:r>
    </w:p>
    <w:p w14:paraId="7CAF55CF" w14:textId="77777777" w:rsidR="003B0D09" w:rsidRPr="00F51B3D" w:rsidRDefault="003B0D09" w:rsidP="003B0D09">
      <w:pPr>
        <w:pStyle w:val="13"/>
      </w:pPr>
      <w:r w:rsidRPr="00F51B3D">
        <w:rPr>
          <w:rFonts w:hint="eastAsia"/>
        </w:rPr>
        <w:t>（二）在两年内发生两次或两次以上同一性质的应予处罚的行为的；</w:t>
      </w:r>
    </w:p>
    <w:p w14:paraId="6D7BEC18" w14:textId="77777777" w:rsidR="003B0D09" w:rsidRPr="00F51B3D" w:rsidRDefault="003B0D09" w:rsidP="003B0D09">
      <w:pPr>
        <w:pStyle w:val="13"/>
      </w:pPr>
      <w:r w:rsidRPr="00F51B3D">
        <w:rPr>
          <w:rFonts w:hint="eastAsia"/>
        </w:rPr>
        <w:t>（三）对投诉人、举报人、证人等进行威胁、报复的；</w:t>
      </w:r>
    </w:p>
    <w:p w14:paraId="461D4556" w14:textId="77777777" w:rsidR="003B0D09" w:rsidRPr="00F51B3D" w:rsidRDefault="003B0D09" w:rsidP="003B0D09">
      <w:pPr>
        <w:pStyle w:val="13"/>
      </w:pPr>
      <w:r w:rsidRPr="00F51B3D">
        <w:rPr>
          <w:rFonts w:hint="eastAsia"/>
        </w:rPr>
        <w:t>（四）违法行为发生后隐匿、销毁证据材料的；</w:t>
      </w:r>
    </w:p>
    <w:p w14:paraId="6BF9CE61" w14:textId="77777777" w:rsidR="003B0D09" w:rsidRPr="00F51B3D" w:rsidRDefault="003B0D09" w:rsidP="003B0D09">
      <w:pPr>
        <w:pStyle w:val="13"/>
      </w:pPr>
      <w:r w:rsidRPr="00F51B3D">
        <w:rPr>
          <w:rFonts w:hint="eastAsia"/>
        </w:rPr>
        <w:t>（五）其他应予从重处罚的情形。</w:t>
      </w:r>
    </w:p>
    <w:p w14:paraId="696F4CC8" w14:textId="77777777" w:rsidR="003B0D09" w:rsidRPr="00F51B3D" w:rsidRDefault="003B0D09" w:rsidP="003B0D09">
      <w:pPr>
        <w:pStyle w:val="13"/>
        <w:ind w:firstLine="482"/>
      </w:pPr>
      <w:r w:rsidRPr="00E05BDA">
        <w:rPr>
          <w:rFonts w:hint="eastAsia"/>
          <w:b/>
        </w:rPr>
        <w:t xml:space="preserve">第十七条 </w:t>
      </w:r>
      <w:r w:rsidRPr="00F51B3D">
        <w:rPr>
          <w:rFonts w:hint="eastAsia"/>
        </w:rPr>
        <w:t>省级人民政府财政部门</w:t>
      </w:r>
      <w:proofErr w:type="gramStart"/>
      <w:r w:rsidRPr="00F51B3D">
        <w:rPr>
          <w:rFonts w:hint="eastAsia"/>
        </w:rPr>
        <w:t>作出</w:t>
      </w:r>
      <w:proofErr w:type="gramEnd"/>
      <w:r w:rsidRPr="00F51B3D">
        <w:rPr>
          <w:rFonts w:hint="eastAsia"/>
        </w:rPr>
        <w:t>本办法第四条第（二）至第（五）项处罚决定的，应当在</w:t>
      </w:r>
      <w:proofErr w:type="gramStart"/>
      <w:r w:rsidRPr="00F51B3D">
        <w:rPr>
          <w:rFonts w:hint="eastAsia"/>
        </w:rPr>
        <w:t>作出</w:t>
      </w:r>
      <w:proofErr w:type="gramEnd"/>
      <w:r w:rsidRPr="00F51B3D">
        <w:rPr>
          <w:rFonts w:hint="eastAsia"/>
        </w:rPr>
        <w:t>处罚决定之日起15日内报送国务院财政部门备案。</w:t>
      </w:r>
    </w:p>
    <w:p w14:paraId="6DE18412" w14:textId="77777777" w:rsidR="003B0D09" w:rsidRPr="00F51B3D" w:rsidRDefault="003B0D09" w:rsidP="003B0D09">
      <w:pPr>
        <w:pStyle w:val="13"/>
        <w:ind w:firstLine="482"/>
      </w:pPr>
      <w:r w:rsidRPr="00E05BDA">
        <w:rPr>
          <w:rFonts w:hint="eastAsia"/>
          <w:b/>
        </w:rPr>
        <w:t xml:space="preserve">第十八条 </w:t>
      </w:r>
      <w:r w:rsidRPr="00F51B3D">
        <w:rPr>
          <w:rFonts w:hint="eastAsia"/>
        </w:rPr>
        <w:t>省级以上人民政府财政部门</w:t>
      </w:r>
      <w:proofErr w:type="gramStart"/>
      <w:r w:rsidRPr="00F51B3D">
        <w:rPr>
          <w:rFonts w:hint="eastAsia"/>
        </w:rPr>
        <w:t>作出</w:t>
      </w:r>
      <w:proofErr w:type="gramEnd"/>
      <w:r w:rsidRPr="00F51B3D">
        <w:rPr>
          <w:rFonts w:hint="eastAsia"/>
        </w:rPr>
        <w:t>行政处罚决定之前，应当告知资产评估机构</w:t>
      </w:r>
      <w:proofErr w:type="gramStart"/>
      <w:r w:rsidRPr="00F51B3D">
        <w:rPr>
          <w:rFonts w:hint="eastAsia"/>
        </w:rPr>
        <w:t>作出</w:t>
      </w:r>
      <w:proofErr w:type="gramEnd"/>
      <w:r w:rsidRPr="00F51B3D">
        <w:rPr>
          <w:rFonts w:hint="eastAsia"/>
        </w:rPr>
        <w:t>行政处罚决定的事实、理由及依据，并告知当事人依法享有的权利；</w:t>
      </w:r>
      <w:proofErr w:type="gramStart"/>
      <w:r w:rsidRPr="00F51B3D">
        <w:rPr>
          <w:rFonts w:hint="eastAsia"/>
        </w:rPr>
        <w:t>作出</w:t>
      </w:r>
      <w:proofErr w:type="gramEnd"/>
      <w:r w:rsidRPr="00F51B3D">
        <w:rPr>
          <w:rFonts w:hint="eastAsia"/>
        </w:rPr>
        <w:t>较大数额罚款、暂停执业和吊销资产评估资格证书的处罚决定之前，应当告知资产评估机构有要求举行听证的权利。</w:t>
      </w:r>
    </w:p>
    <w:p w14:paraId="7F94AA8F" w14:textId="77777777" w:rsidR="003B0D09" w:rsidRPr="00F51B3D" w:rsidRDefault="003B0D09" w:rsidP="003B0D09">
      <w:pPr>
        <w:pStyle w:val="13"/>
        <w:ind w:firstLine="482"/>
      </w:pPr>
      <w:r w:rsidRPr="00E05BDA">
        <w:rPr>
          <w:rFonts w:hint="eastAsia"/>
          <w:b/>
        </w:rPr>
        <w:t xml:space="preserve">第十九条 </w:t>
      </w:r>
      <w:r w:rsidRPr="00F51B3D">
        <w:rPr>
          <w:rFonts w:hint="eastAsia"/>
        </w:rPr>
        <w:t>资产评估机构要求听证的，拟作出行政处罚的省级以上人民政府财政部门应当按照《财政部门行政处罚听证程序实施办法》的有关规定组织听证。</w:t>
      </w:r>
    </w:p>
    <w:p w14:paraId="05603241" w14:textId="77777777" w:rsidR="003B0D09" w:rsidRPr="00F51B3D" w:rsidRDefault="003B0D09" w:rsidP="003B0D09">
      <w:pPr>
        <w:pStyle w:val="13"/>
        <w:ind w:firstLine="482"/>
      </w:pPr>
      <w:r w:rsidRPr="00E05BDA">
        <w:rPr>
          <w:rFonts w:hint="eastAsia"/>
          <w:b/>
        </w:rPr>
        <w:t xml:space="preserve">第二十条 </w:t>
      </w:r>
      <w:r w:rsidRPr="00F51B3D">
        <w:rPr>
          <w:rFonts w:hint="eastAsia"/>
        </w:rPr>
        <w:t>资产评估机构对处罚决定不服的，可以依法申请行政复议或提起行政诉讼。</w:t>
      </w:r>
    </w:p>
    <w:p w14:paraId="5674964B" w14:textId="77777777" w:rsidR="003B0D09" w:rsidRPr="00F51B3D" w:rsidRDefault="003B0D09" w:rsidP="003B0D09">
      <w:pPr>
        <w:pStyle w:val="13"/>
        <w:ind w:firstLine="482"/>
      </w:pPr>
      <w:r w:rsidRPr="00E05BDA">
        <w:rPr>
          <w:rFonts w:hint="eastAsia"/>
          <w:b/>
        </w:rPr>
        <w:t xml:space="preserve">第二十一条 </w:t>
      </w:r>
      <w:r w:rsidRPr="00F51B3D">
        <w:rPr>
          <w:rFonts w:hint="eastAsia"/>
        </w:rPr>
        <w:t>注册资产评估师在国有资产评估中有违法行为的，按照有关规定处理。</w:t>
      </w:r>
    </w:p>
    <w:p w14:paraId="51B69B4E" w14:textId="77777777" w:rsidR="003B0D09" w:rsidRPr="00F51B3D" w:rsidRDefault="003B0D09" w:rsidP="003B0D09">
      <w:pPr>
        <w:pStyle w:val="13"/>
        <w:ind w:firstLine="482"/>
      </w:pPr>
      <w:r w:rsidRPr="00E05BDA">
        <w:rPr>
          <w:rFonts w:hint="eastAsia"/>
          <w:b/>
        </w:rPr>
        <w:t xml:space="preserve">第二十二条 </w:t>
      </w:r>
      <w:r w:rsidRPr="00F51B3D">
        <w:rPr>
          <w:rFonts w:hint="eastAsia"/>
        </w:rPr>
        <w:t>本办法自2002年1月1日起施行。</w:t>
      </w:r>
    </w:p>
    <w:p w14:paraId="18E875E4" w14:textId="77777777" w:rsidR="003B0D09" w:rsidRPr="002D3258" w:rsidRDefault="003B0D09" w:rsidP="002D3258">
      <w:pPr>
        <w:pStyle w:val="13"/>
      </w:pPr>
    </w:p>
    <w:p w14:paraId="6059381C" w14:textId="221A65F4" w:rsidR="00F67FFD" w:rsidRPr="002D3258" w:rsidRDefault="00F51B3D" w:rsidP="00F51B3D">
      <w:pPr>
        <w:pStyle w:val="31"/>
        <w:spacing w:before="156" w:after="62"/>
      </w:pPr>
      <w:bookmarkStart w:id="222" w:name="_Toc81833455"/>
      <w:r w:rsidRPr="00F51B3D">
        <w:rPr>
          <w:rFonts w:hint="eastAsia"/>
        </w:rPr>
        <w:t>《关于改革国有资产评估行政管理方式加强资产评估监督管理工作的意见》</w:t>
      </w:r>
      <w:r>
        <w:br/>
      </w:r>
      <w:r w:rsidRPr="00F51B3D">
        <w:rPr>
          <w:rFonts w:hint="eastAsia"/>
        </w:rPr>
        <w:t>（国办发〔</w:t>
      </w:r>
      <w:r w:rsidRPr="00F51B3D">
        <w:t>2001〕102号）</w:t>
      </w:r>
      <w:bookmarkEnd w:id="222"/>
    </w:p>
    <w:p w14:paraId="5AFE6A6E" w14:textId="77777777" w:rsidR="00F51B3D" w:rsidRDefault="00F51B3D" w:rsidP="00F51B3D">
      <w:pPr>
        <w:pStyle w:val="13"/>
        <w:ind w:firstLineChars="0" w:firstLine="0"/>
      </w:pPr>
      <w:r>
        <w:rPr>
          <w:rFonts w:hint="eastAsia"/>
        </w:rPr>
        <w:t>各省、自治区、直辖市人民政府，国务院各部委、各直属机构：</w:t>
      </w:r>
    </w:p>
    <w:p w14:paraId="303D2E0E" w14:textId="77777777" w:rsidR="00F51B3D" w:rsidRDefault="00F51B3D" w:rsidP="00F51B3D">
      <w:pPr>
        <w:pStyle w:val="13"/>
      </w:pPr>
      <w:r>
        <w:rPr>
          <w:rFonts w:hint="eastAsia"/>
        </w:rPr>
        <w:t>财政部《关于改革国有资产评估行政管理方式加强资产评估监督管理工作的意见》已经国务院同意，现转发给你们，请认真贯彻执行。</w:t>
      </w:r>
    </w:p>
    <w:p w14:paraId="001710FD" w14:textId="61047AB8" w:rsidR="00F51B3D" w:rsidRDefault="00F51B3D" w:rsidP="00F51B3D">
      <w:pPr>
        <w:pStyle w:val="13"/>
        <w:jc w:val="right"/>
      </w:pPr>
      <w:r>
        <w:rPr>
          <w:rFonts w:hint="eastAsia"/>
        </w:rPr>
        <w:t>国务院办公厅</w:t>
      </w:r>
    </w:p>
    <w:p w14:paraId="45E707B1" w14:textId="2FFAF11F" w:rsidR="00F67FFD" w:rsidRDefault="00F51B3D" w:rsidP="00F51B3D">
      <w:pPr>
        <w:pStyle w:val="13"/>
        <w:jc w:val="right"/>
      </w:pPr>
      <w:r>
        <w:rPr>
          <w:rFonts w:hint="eastAsia"/>
        </w:rPr>
        <w:t>二○○一年十二月三十一日</w:t>
      </w:r>
    </w:p>
    <w:p w14:paraId="7B15E26C" w14:textId="55145D2C" w:rsidR="00F67FFD" w:rsidRDefault="00F51B3D" w:rsidP="00AF7342">
      <w:pPr>
        <w:pStyle w:val="a9"/>
        <w:spacing w:before="62" w:after="62"/>
      </w:pPr>
      <w:r>
        <w:rPr>
          <w:rFonts w:hint="eastAsia"/>
        </w:rPr>
        <w:t>关于改革国有资产评估行政管理方式加强资产评估监督管理工作的意见</w:t>
      </w:r>
    </w:p>
    <w:p w14:paraId="0E003CCC" w14:textId="77777777" w:rsidR="00F51B3D" w:rsidRDefault="00F51B3D" w:rsidP="00F51B3D">
      <w:pPr>
        <w:pStyle w:val="13"/>
      </w:pPr>
      <w:r>
        <w:t>1991年国务院发布《国有资产评估管理办法》(国务院令第91号)，规定对国有资产的评估由政府行政管理部门进行立项和审核确认，这为评估行业的规范起步、健康发展奠定了基础。10年来，资产评估业在维护国家及各类投资者权益、吸收利用外资、规范国有企业改组改制和促进资本市场发展等方面发挥了重要作用。目前资产评估业已基本发育成熟，评估机构已初步具备了独立、客观、公正执业的条件，从业人员的素质不断提高。</w:t>
      </w:r>
    </w:p>
    <w:p w14:paraId="52F3ABEA" w14:textId="35947D83" w:rsidR="00F51B3D" w:rsidRDefault="00F51B3D" w:rsidP="00F51B3D">
      <w:pPr>
        <w:pStyle w:val="13"/>
      </w:pPr>
      <w:r>
        <w:rPr>
          <w:rFonts w:hint="eastAsia"/>
        </w:rPr>
        <w:lastRenderedPageBreak/>
        <w:t>随着我国市场经济体制的逐步完善以及我国加入世界贸易组织，为进一步转变政府职能，减少不必要的行政性审批，促进中介机构和从业人员真正作到独立、客观、公正地执业，现就改革国有资产评估行政管理方式、加强资产评估监督管理工作的有关问题提出以下意见：</w:t>
      </w:r>
    </w:p>
    <w:p w14:paraId="37205621" w14:textId="77777777" w:rsidR="00F51B3D" w:rsidRDefault="00F51B3D" w:rsidP="00F51B3D">
      <w:pPr>
        <w:pStyle w:val="ab"/>
        <w:spacing w:before="62" w:after="62"/>
        <w:ind w:firstLine="482"/>
      </w:pPr>
      <w:r>
        <w:rPr>
          <w:rFonts w:hint="eastAsia"/>
        </w:rPr>
        <w:t>一、取消政府部门对国有资产评估项目的立项确认审批制度，实行核准制和备案制</w:t>
      </w:r>
    </w:p>
    <w:p w14:paraId="66537F70" w14:textId="77777777" w:rsidR="00F51B3D" w:rsidRDefault="00F51B3D" w:rsidP="00F51B3D">
      <w:pPr>
        <w:pStyle w:val="13"/>
      </w:pPr>
      <w:r>
        <w:rPr>
          <w:rFonts w:hint="eastAsia"/>
        </w:rPr>
        <w:t>各级财政</w:t>
      </w:r>
      <w:r>
        <w:t>(或国有资产管理，下同)部门对国有资产评估项目不再进行立项批复和对评估报告的确认批复(合</w:t>
      </w:r>
      <w:proofErr w:type="gramStart"/>
      <w:r>
        <w:t>规</w:t>
      </w:r>
      <w:proofErr w:type="gramEnd"/>
      <w:r>
        <w:t>性审核)。有关经济行为的资产评估活动由国有资产占有单位按照现行法律、法规的规定，聘请具有相应资质的中介机构独立进行，评估报告的法律责任由签字的注册资产评估师及所在评估机构共同承担。</w:t>
      </w:r>
    </w:p>
    <w:p w14:paraId="18DDD6BC" w14:textId="77777777" w:rsidR="00F51B3D" w:rsidRDefault="00F51B3D" w:rsidP="00F51B3D">
      <w:pPr>
        <w:pStyle w:val="13"/>
      </w:pPr>
      <w:r>
        <w:rPr>
          <w:rFonts w:hint="eastAsia"/>
        </w:rPr>
        <w:t>经各级政府批准的涉及国有资产产权变动、对外投资等经济行为的重大经济项目，其国有资产评估实行核准制。凡由国务院批准实施的重大经济项目，其评估报告由财政部进行核准；凡由省级人民政府批准实施的重大经济项目，其评估报告由省级财政部门进行核准。</w:t>
      </w:r>
    </w:p>
    <w:p w14:paraId="025C7A31" w14:textId="77777777" w:rsidR="00F51B3D" w:rsidRDefault="00F51B3D" w:rsidP="00F51B3D">
      <w:pPr>
        <w:pStyle w:val="13"/>
      </w:pPr>
      <w:r>
        <w:rPr>
          <w:rFonts w:hint="eastAsia"/>
        </w:rPr>
        <w:t>对其他国有资产评估项目实行备案制。除核准项目以外，中央管理的国有资产，其资产评估项目报财政部或中央管理的企业集团公司、国务院有关部门备案。地方管理的国有资产评估项目的备案工作，比照上述原则执行。</w:t>
      </w:r>
    </w:p>
    <w:p w14:paraId="0FD213F0" w14:textId="77777777" w:rsidR="00F51B3D" w:rsidRDefault="00F51B3D" w:rsidP="00F51B3D">
      <w:pPr>
        <w:pStyle w:val="ab"/>
        <w:spacing w:before="62" w:after="62"/>
        <w:ind w:firstLine="482"/>
      </w:pPr>
      <w:r>
        <w:rPr>
          <w:rFonts w:hint="eastAsia"/>
        </w:rPr>
        <w:t>二、加强资产评估活动的监管力度</w:t>
      </w:r>
    </w:p>
    <w:p w14:paraId="6871FC9F" w14:textId="77777777" w:rsidR="00F51B3D" w:rsidRDefault="00F51B3D" w:rsidP="00F51B3D">
      <w:pPr>
        <w:pStyle w:val="13"/>
      </w:pPr>
      <w:r>
        <w:rPr>
          <w:rFonts w:hint="eastAsia"/>
        </w:rPr>
        <w:t>资产评估是维护社会主义市场经济秩序、促进公平交易、防止国有资产流失的重要手段。国有资产占有单位在发生公司制改建、对外投资、合并、分立、清算、股权比例变动、产权转让、资产拍卖、租赁、资产涉讼及其他影响国有权益等行为时，必须遵照国家现行法律法规的要求，独立聘请中介机构进行资产评估，不得有意或借故规避评估程序，不得借评估行为弄虚作假、侵吞国有资产。</w:t>
      </w:r>
    </w:p>
    <w:p w14:paraId="1AD13F85" w14:textId="77777777" w:rsidR="00F51B3D" w:rsidRDefault="00F51B3D" w:rsidP="00F51B3D">
      <w:pPr>
        <w:pStyle w:val="13"/>
      </w:pPr>
      <w:r>
        <w:rPr>
          <w:rFonts w:hint="eastAsia"/>
        </w:rPr>
        <w:t>承担资产评估工作的各类中介机构，应严格按照国家有关法律法规规定的评估程序、评估方法和标准，独立、客观、公正地进行资产评估，不得违规执业或出具虚假评估报告。</w:t>
      </w:r>
    </w:p>
    <w:p w14:paraId="5823B824" w14:textId="77777777" w:rsidR="00F51B3D" w:rsidRDefault="00F51B3D" w:rsidP="00F51B3D">
      <w:pPr>
        <w:pStyle w:val="13"/>
      </w:pPr>
      <w:r>
        <w:rPr>
          <w:rFonts w:hint="eastAsia"/>
        </w:rPr>
        <w:t>各级财政部门应认真履行职责，加强对资产评估活动的监督管理，严格规范资产评估活动中各有关主体的行为，指导国有资产占有单位合理运用评估结果。对利用评估活动弄虚作假、侵害国有资产的行为要严肃查处，认真纠正，对违法违规执业的评估机构和从业人员要严厉处罚。</w:t>
      </w:r>
    </w:p>
    <w:p w14:paraId="04352106" w14:textId="77777777" w:rsidR="00F51B3D" w:rsidRDefault="00F51B3D" w:rsidP="00F51B3D">
      <w:pPr>
        <w:pStyle w:val="ab"/>
        <w:spacing w:before="62" w:after="62"/>
        <w:ind w:firstLine="482"/>
      </w:pPr>
      <w:r>
        <w:rPr>
          <w:rFonts w:hint="eastAsia"/>
        </w:rPr>
        <w:t>三、完善制度建设，规范评估秩序</w:t>
      </w:r>
    </w:p>
    <w:p w14:paraId="30F13F82" w14:textId="1C3661CE" w:rsidR="00F67FFD" w:rsidRPr="00F51B3D" w:rsidRDefault="00F51B3D" w:rsidP="00F51B3D">
      <w:pPr>
        <w:pStyle w:val="13"/>
      </w:pPr>
      <w:r>
        <w:rPr>
          <w:rFonts w:hint="eastAsia"/>
        </w:rPr>
        <w:t>资产评估行政管理方式的改革，情况复杂，涉及面广，各地区、各部门要高度重视，积极支持，确保这项改革顺利进行。各级财政部门要切实转变工作方式，加强资</w:t>
      </w:r>
      <w:r>
        <w:rPr>
          <w:rFonts w:hint="eastAsia"/>
        </w:rPr>
        <w:lastRenderedPageBreak/>
        <w:t>产评估管理法规和制度建设。财政部要尽快制定相关配套措施，建立评估项目的核准、备案、抽查制度，完善资产评估准则体系，强化对违法违规行为的处罚制度，以进一步规范评估程序和执业行为。对工作中出现的新情况、新问题，要认真调查研究，及时总结经验，制定相应的政策制度，确保国有资产评估工作健康、有序地进行。</w:t>
      </w:r>
    </w:p>
    <w:p w14:paraId="4B42E264" w14:textId="0063377F" w:rsidR="00F67FFD" w:rsidRDefault="00F51B3D" w:rsidP="00F51B3D">
      <w:pPr>
        <w:pStyle w:val="31"/>
        <w:spacing w:before="156" w:after="62"/>
      </w:pPr>
      <w:bookmarkStart w:id="223" w:name="_Toc81833456"/>
      <w:r w:rsidRPr="00F51B3D">
        <w:rPr>
          <w:rFonts w:hint="eastAsia"/>
        </w:rPr>
        <w:t>《国务院办公厅转发财政部关于改革国有资产评估行政管理方式加强资产评估监督管理工作意见的通知》（财企〔</w:t>
      </w:r>
      <w:r w:rsidRPr="00F51B3D">
        <w:t>2002〕8号）</w:t>
      </w:r>
      <w:bookmarkEnd w:id="223"/>
    </w:p>
    <w:p w14:paraId="1944B07B" w14:textId="77777777" w:rsidR="00F51B3D" w:rsidRDefault="00F51B3D" w:rsidP="00F51B3D">
      <w:pPr>
        <w:pStyle w:val="13"/>
        <w:ind w:firstLineChars="0" w:firstLine="0"/>
      </w:pPr>
      <w:r>
        <w:rPr>
          <w:rFonts w:hint="eastAsia"/>
        </w:rPr>
        <w:t>各中央管理企业，总后勤部，武警总部，新疆生产建设兵团财务局，各省、自治区、直辖市、计划单列市财政厅（局），上海市、深圳市国有资产管理办公室，厦门市国有资产管理局：</w:t>
      </w:r>
    </w:p>
    <w:p w14:paraId="7B331168" w14:textId="02018D3B" w:rsidR="00F51B3D" w:rsidRDefault="00F51B3D" w:rsidP="00F51B3D">
      <w:pPr>
        <w:pStyle w:val="13"/>
      </w:pPr>
      <w:r>
        <w:rPr>
          <w:rFonts w:hint="eastAsia"/>
        </w:rPr>
        <w:t>经国务院同意，国务院办公厅近日印发了《国务院办公厅转发财政部关于改革国有资产评估行政管理方式加强资产评估监督管理工作意见的通知》（国办发〔</w:t>
      </w:r>
      <w:r>
        <w:t>2001〕102号，以下简称《通知》），对国有资产评估管理方式和监督体制进行了改革。为贯彻《通知》精神，现就有关事项通知如下：</w:t>
      </w:r>
    </w:p>
    <w:p w14:paraId="481FADCA" w14:textId="3CAE33AF" w:rsidR="00F51B3D" w:rsidRDefault="00F51B3D" w:rsidP="00F51B3D">
      <w:pPr>
        <w:pStyle w:val="13"/>
      </w:pPr>
      <w:r>
        <w:rPr>
          <w:rFonts w:hint="eastAsia"/>
        </w:rPr>
        <w:t>一、中央管理企业、有关部门和各级财政部门要认真学习、领会《通知》精神，从转变政府职能、促进市场经济健康发展和推进中介机构规范执业的高度来认识改革的意义，做好本系统的贯彻工作。</w:t>
      </w:r>
    </w:p>
    <w:p w14:paraId="025AECE9" w14:textId="77777777" w:rsidR="00F51B3D" w:rsidRDefault="00F51B3D" w:rsidP="00F51B3D">
      <w:pPr>
        <w:pStyle w:val="13"/>
      </w:pPr>
      <w:r>
        <w:rPr>
          <w:rFonts w:hint="eastAsia"/>
        </w:rPr>
        <w:t>二、国有资产占有单位发生应当进行资产评估的经济行为时，必须按照《通知》及有关法律法规的要求，聘请有相应资质的中介机构进行评估，不得干预中介机构独立执业；要按规范程序和要求及时办理有关核准或备案手续。</w:t>
      </w:r>
    </w:p>
    <w:p w14:paraId="753F67E7" w14:textId="77777777" w:rsidR="00F51B3D" w:rsidRDefault="00F51B3D" w:rsidP="00F51B3D">
      <w:pPr>
        <w:pStyle w:val="13"/>
      </w:pPr>
      <w:r>
        <w:rPr>
          <w:rFonts w:hint="eastAsia"/>
        </w:rPr>
        <w:t>三、各中央管理企业、有关部门应切实承担起有关评估管理职能，要根据《通知》精神尽快制定相应的规章制度，做好所属单位资产评估活动的监管工作，严格防止国有资产流失；同时，要正确处理与所属单位、评估机构的关系，杜绝部门封锁和损害公平竞争的现象。</w:t>
      </w:r>
    </w:p>
    <w:p w14:paraId="1C821124" w14:textId="1093BCF2" w:rsidR="00F51B3D" w:rsidRDefault="00F51B3D" w:rsidP="00F51B3D">
      <w:pPr>
        <w:pStyle w:val="13"/>
      </w:pPr>
      <w:r>
        <w:rPr>
          <w:rFonts w:hint="eastAsia"/>
        </w:rPr>
        <w:t>四、各级财政部门要切实转变观念和工作方式，加强监督管理。要根据《通知》的精神制定有关细则，做好核准、备案、抽查及有关统计等监管工作，及时制裁违法行为，</w:t>
      </w:r>
      <w:r>
        <w:t>确保国有资产评估工作健康、有序地进行。</w:t>
      </w:r>
    </w:p>
    <w:p w14:paraId="2EAA3844" w14:textId="4C8E9BD0" w:rsidR="00F67FFD" w:rsidRDefault="00F51B3D" w:rsidP="00F51B3D">
      <w:pPr>
        <w:pStyle w:val="13"/>
      </w:pPr>
      <w:r>
        <w:rPr>
          <w:rFonts w:hint="eastAsia"/>
        </w:rPr>
        <w:t>五、各中央管理企业、有关部门及各级财政部门对改革后出现的新情况、新问题要认真调查研究，妥善处理。对有关重大情况和问题，请及时与财政部企业司联系。</w:t>
      </w:r>
    </w:p>
    <w:p w14:paraId="29F53796" w14:textId="77777777" w:rsidR="00EA7C3F" w:rsidRDefault="00EA7C3F" w:rsidP="00EA7C3F">
      <w:pPr>
        <w:pStyle w:val="31"/>
        <w:spacing w:before="156" w:after="62"/>
      </w:pPr>
      <w:bookmarkStart w:id="224" w:name="_Toc81833457"/>
      <w:r w:rsidRPr="00CE47EB">
        <w:rPr>
          <w:rFonts w:hint="eastAsia"/>
        </w:rPr>
        <w:t>《关于规范国有企业改制工作的意见》（国办发〔</w:t>
      </w:r>
      <w:r w:rsidRPr="00CE47EB">
        <w:t>2003〕96号）</w:t>
      </w:r>
      <w:bookmarkEnd w:id="224"/>
    </w:p>
    <w:p w14:paraId="3F623E19" w14:textId="77777777" w:rsidR="00EA7C3F" w:rsidRDefault="00EA7C3F" w:rsidP="00EA7C3F">
      <w:pPr>
        <w:pStyle w:val="13"/>
        <w:spacing w:line="288" w:lineRule="auto"/>
        <w:ind w:firstLineChars="0" w:firstLine="0"/>
      </w:pPr>
      <w:r>
        <w:rPr>
          <w:rFonts w:hint="eastAsia"/>
        </w:rPr>
        <w:t>各省、自治区、直辖市人民政府，国务院各部委、各直属机构：</w:t>
      </w:r>
    </w:p>
    <w:p w14:paraId="36F51F4C" w14:textId="77777777" w:rsidR="00EA7C3F" w:rsidRDefault="00EA7C3F" w:rsidP="00EA7C3F">
      <w:pPr>
        <w:pStyle w:val="13"/>
        <w:spacing w:line="288" w:lineRule="auto"/>
      </w:pPr>
      <w:r>
        <w:rPr>
          <w:rFonts w:hint="eastAsia"/>
        </w:rPr>
        <w:t>国务院国有资产监督管理委员会《关于规范国有企业改制工作的意见》已经国务院同意，现转发给你们，请认真贯彻执行。</w:t>
      </w:r>
    </w:p>
    <w:p w14:paraId="74BE74C2" w14:textId="77777777" w:rsidR="00EA7C3F" w:rsidRDefault="00EA7C3F" w:rsidP="00EA7C3F">
      <w:pPr>
        <w:pStyle w:val="13"/>
        <w:spacing w:line="240" w:lineRule="auto"/>
        <w:jc w:val="right"/>
      </w:pPr>
      <w:r>
        <w:t>中华人民共和国国务院办公厅</w:t>
      </w:r>
    </w:p>
    <w:p w14:paraId="499221A0" w14:textId="77777777" w:rsidR="00EA7C3F" w:rsidRDefault="00EA7C3F" w:rsidP="00EA7C3F">
      <w:pPr>
        <w:pStyle w:val="13"/>
        <w:spacing w:line="240" w:lineRule="auto"/>
        <w:jc w:val="right"/>
      </w:pPr>
      <w:r>
        <w:t>二ＯＯ三年十一月三十日</w:t>
      </w:r>
    </w:p>
    <w:p w14:paraId="0620C761" w14:textId="77777777" w:rsidR="00EA7C3F" w:rsidRPr="00CE47EB" w:rsidRDefault="00EA7C3F" w:rsidP="00AF7342">
      <w:pPr>
        <w:pStyle w:val="a9"/>
        <w:spacing w:before="62" w:after="62"/>
      </w:pPr>
      <w:r w:rsidRPr="00CE47EB">
        <w:rPr>
          <w:rFonts w:hint="eastAsia"/>
        </w:rPr>
        <w:lastRenderedPageBreak/>
        <w:t>关于规范国有企业改制工作的意见</w:t>
      </w:r>
    </w:p>
    <w:p w14:paraId="328D75F5" w14:textId="77777777" w:rsidR="00EA7C3F" w:rsidRPr="00CE47EB" w:rsidRDefault="00EA7C3F" w:rsidP="00EA7C3F">
      <w:pPr>
        <w:pStyle w:val="13"/>
      </w:pPr>
      <w:r w:rsidRPr="00CE47EB">
        <w:rPr>
          <w:rFonts w:hint="eastAsia"/>
        </w:rPr>
        <w:t>党的十五大以来，各地认真贯彻国有经济有进有退、有所为有所不为的方针，积极推进国有经济布局和结构调整，探索公有制的多种有效实现形式和国有企业改制的多种途径，取得了显著成效，积累了宝贵经验。但前一阶段国有企业改制工作中出现了一些不够规范的现象，造成国有资产的流失。国有企业改制是一项政策性很强的工作，涉及出资人、债权人、企业和职工等多方面的利益，既要积极探索，又要规范有序。为全面贯彻落实党中央关于国有经济布局结构调整和国有企业改革的精神，保证国有企业改制工作健康、有序、规范地进行，现提出以下意见：</w:t>
      </w:r>
    </w:p>
    <w:p w14:paraId="77F307CD" w14:textId="77777777" w:rsidR="00EA7C3F" w:rsidRPr="00CE47EB" w:rsidRDefault="00EA7C3F" w:rsidP="00EA7C3F">
      <w:pPr>
        <w:pStyle w:val="ab"/>
        <w:spacing w:before="62" w:after="62"/>
        <w:ind w:firstLine="482"/>
      </w:pPr>
      <w:r w:rsidRPr="00CE47EB">
        <w:rPr>
          <w:rFonts w:hint="eastAsia"/>
        </w:rPr>
        <w:t>一、健全制度，规范运作</w:t>
      </w:r>
    </w:p>
    <w:p w14:paraId="417F2E78" w14:textId="77777777" w:rsidR="00EA7C3F" w:rsidRPr="00CE47EB" w:rsidRDefault="00EA7C3F" w:rsidP="00EA7C3F">
      <w:pPr>
        <w:pStyle w:val="13"/>
      </w:pPr>
      <w:r w:rsidRPr="00CE47EB">
        <w:rPr>
          <w:rFonts w:hint="eastAsia"/>
        </w:rPr>
        <w:t>（一）批准制度。国有企业改制应采取重组、联合、兼并、租赁、承包经营、合资、转让国有产权和股份制、股份合作制等多种形式进行。国有企业改制，包括转让国有控股、参股企业国有股权或者通过增资扩股来提高非国有股的比例等，必须制订改制方案。方案可由改制企业国有产权持有单位制订，也可由其委托中介机构或者改制企业（向本企业经营管理者转让国有产权的企业和国有参股企业除外）制订。国有企业改制方案需按照《企业国有资产监督管理暂行条例》（国务院令第３７８号，以下简称《条例》）和国务院国有资产监督管理委员会（以下简称国资委）的有关规定履行决定或批准程序，未经决定或批准不得实施。国有企业改制涉及财政、劳动保障等事项的，需预先报经同级人民政府有关部门审核，批准后报国有资产监督管理机构协调审批；涉及政府社会公共管理审批事项的，依照国家有关法律法规，报经政府有关部门审批；国有资产监督管理机构所出资企业改制为国有股</w:t>
      </w:r>
      <w:proofErr w:type="gramStart"/>
      <w:r w:rsidRPr="00CE47EB">
        <w:rPr>
          <w:rFonts w:hint="eastAsia"/>
        </w:rPr>
        <w:t>不</w:t>
      </w:r>
      <w:proofErr w:type="gramEnd"/>
      <w:r w:rsidRPr="00CE47EB">
        <w:rPr>
          <w:rFonts w:hint="eastAsia"/>
        </w:rPr>
        <w:t>控股或</w:t>
      </w:r>
      <w:proofErr w:type="gramStart"/>
      <w:r w:rsidRPr="00CE47EB">
        <w:rPr>
          <w:rFonts w:hint="eastAsia"/>
        </w:rPr>
        <w:t>不</w:t>
      </w:r>
      <w:proofErr w:type="gramEnd"/>
      <w:r w:rsidRPr="00CE47EB">
        <w:rPr>
          <w:rFonts w:hint="eastAsia"/>
        </w:rPr>
        <w:t>参股的企业（以下</w:t>
      </w:r>
      <w:proofErr w:type="gramStart"/>
      <w:r w:rsidRPr="00CE47EB">
        <w:rPr>
          <w:rFonts w:hint="eastAsia"/>
        </w:rPr>
        <w:t>简称非</w:t>
      </w:r>
      <w:proofErr w:type="gramEnd"/>
      <w:r w:rsidRPr="00CE47EB">
        <w:rPr>
          <w:rFonts w:hint="eastAsia"/>
        </w:rPr>
        <w:t>国有的企业），改制方案需报同级人民政府批准；转让上市公司国有股权审批暂按现行规定办理，并由国资委会同证监会抓紧研究提出完善意见。</w:t>
      </w:r>
    </w:p>
    <w:p w14:paraId="47269A1E" w14:textId="77777777" w:rsidR="00EA7C3F" w:rsidRPr="00CE47EB" w:rsidRDefault="00EA7C3F" w:rsidP="00EA7C3F">
      <w:pPr>
        <w:pStyle w:val="13"/>
      </w:pPr>
      <w:r w:rsidRPr="00CE47EB">
        <w:rPr>
          <w:rFonts w:hint="eastAsia"/>
        </w:rPr>
        <w:t>（二）清产核资。国有企业改制，必须对企业各类资产、负债进行全面认真的清查，做到账、卡、物、现金等齐全、准确、一致。要按照“谁投资、谁所有、谁受益”的原则，核实和界定国有资本金及其权益，其中国有企业借贷资金形成的净资产必须界定为国有产权。企业改制中涉及资产损失认定与处理的，必须按有关规定履行批准程序。改制企业法定代表人和财务负责人对清产核资结果的真实性、准确性负责。</w:t>
      </w:r>
    </w:p>
    <w:p w14:paraId="2EF359A6" w14:textId="77777777" w:rsidR="00EA7C3F" w:rsidRPr="00CE47EB" w:rsidRDefault="00EA7C3F" w:rsidP="00EA7C3F">
      <w:pPr>
        <w:pStyle w:val="13"/>
      </w:pPr>
      <w:r w:rsidRPr="00CE47EB">
        <w:rPr>
          <w:rFonts w:hint="eastAsia"/>
        </w:rPr>
        <w:t>（三）财务审计。国有企业改制，必须由直接持有该国有产权的单位决定聘请具备资格的会计师事务所进行财务审计。凡改制为非国有的企业，必须按照国家有关规定对企业法定代表人进行离任审计。改制企业必须按照有关规定向会计师事务所或政府审计部门提供有关财务会计资料和文件，不得妨碍其办理业务。任何人不得授意、指使、强令改制企业会计机构、会计人员提供虚假资料文件或违法办理会计事项。</w:t>
      </w:r>
    </w:p>
    <w:p w14:paraId="48C30C99" w14:textId="77777777" w:rsidR="00EA7C3F" w:rsidRPr="00CE47EB" w:rsidRDefault="00EA7C3F" w:rsidP="00EA7C3F">
      <w:pPr>
        <w:pStyle w:val="13"/>
      </w:pPr>
      <w:r w:rsidRPr="00CE47EB">
        <w:rPr>
          <w:rFonts w:hint="eastAsia"/>
        </w:rPr>
        <w:t>（四）资产评估。国有企业改制，必须依照《国有资产评估管理办法》（国务院令第９１号）聘请具备资格的资产评估事务所进行资产和土地使用权评估。国有控股</w:t>
      </w:r>
      <w:r w:rsidRPr="00CE47EB">
        <w:rPr>
          <w:rFonts w:hint="eastAsia"/>
        </w:rPr>
        <w:lastRenderedPageBreak/>
        <w:t>企业进行资产评估，要严格履行有关法律法规规定的程序。向非国有投资者转让国有产权的，由直接持有该国有产权的单位决定聘请资产评估事务所。企业的专利权、非专利技术、商标权、商誉等无形资产必须纳入评估范围。评估结果由依照有关规定批准国有企业改制和转让国有产权的单位核准。</w:t>
      </w:r>
    </w:p>
    <w:p w14:paraId="7DC71482" w14:textId="77777777" w:rsidR="00EA7C3F" w:rsidRPr="00CE47EB" w:rsidRDefault="00EA7C3F" w:rsidP="00EA7C3F">
      <w:pPr>
        <w:pStyle w:val="13"/>
      </w:pPr>
      <w:r w:rsidRPr="00CE47EB">
        <w:rPr>
          <w:rFonts w:hint="eastAsia"/>
        </w:rPr>
        <w:t>（五）交易管理。非上市企业国有产权转让要进入产权交易市场，不受地区、行业、出资和隶属关系的限制，并按照《企业国有产权转让管理暂行办法》的规定，公开信息，竞价转让。具体转让方式可以采取拍卖、招投标、协议转让以及国家法律法规规定的其他方式。</w:t>
      </w:r>
    </w:p>
    <w:p w14:paraId="596AB1A4" w14:textId="77777777" w:rsidR="00EA7C3F" w:rsidRPr="00CE47EB" w:rsidRDefault="00EA7C3F" w:rsidP="00EA7C3F">
      <w:pPr>
        <w:pStyle w:val="13"/>
      </w:pPr>
      <w:r w:rsidRPr="00CE47EB">
        <w:rPr>
          <w:rFonts w:hint="eastAsia"/>
        </w:rPr>
        <w:t>（六）定价管理。向非国有投资者转让国有产权的底价，或者以存量国有资产吸收非国有投资者投资时国有产权的折股价格，由依照有关规定批准国有企业改制和转让国有产权的单位决定。底价的确定主要依据资产评估的结果，同时要考虑产权交易市场的供求状况、同类资产的市场价格、职工安置、引进先进技术等因素。上市公司国有股转让价格在不低于每股净资产的基础上，参考上市公司盈利能力和市场表现合理定价。</w:t>
      </w:r>
    </w:p>
    <w:p w14:paraId="6D2DC880" w14:textId="77777777" w:rsidR="00EA7C3F" w:rsidRPr="00CE47EB" w:rsidRDefault="00EA7C3F" w:rsidP="00EA7C3F">
      <w:pPr>
        <w:pStyle w:val="13"/>
      </w:pPr>
      <w:r w:rsidRPr="00CE47EB">
        <w:rPr>
          <w:rFonts w:hint="eastAsia"/>
        </w:rPr>
        <w:t>（七）转让价款管理。转让国有产权的价款原则上应当一次结清。一次结清确有困难的，经转让和受让双方协商，并经依照有关规定批准国有企业改制和转让国有产权的单位批准，可采取分期付款的方式。分期付款时，首期付款不得低于总价款的３０％，其余价款应当由受让方提供合法担保，并在首期付款之日起一年内支付完毕。转让国有产权的价款优先用于支付解除劳动合同职工的经济补偿金和移交社会保障机构管理职工的社会保险费，以及偿还拖欠职工的债务和企业欠缴的社会保险费，剩余价款按照有关规定处理。</w:t>
      </w:r>
    </w:p>
    <w:p w14:paraId="1071D43C" w14:textId="77777777" w:rsidR="00EA7C3F" w:rsidRPr="00CE47EB" w:rsidRDefault="00EA7C3F" w:rsidP="00EA7C3F">
      <w:pPr>
        <w:pStyle w:val="13"/>
      </w:pPr>
      <w:r w:rsidRPr="00CE47EB">
        <w:rPr>
          <w:rFonts w:hint="eastAsia"/>
        </w:rPr>
        <w:t>（八）依法保护债权人利益。国有企业改制要征得债权金融机构同意，保全金融债权，依法落实金融债务，维护其他债权人的利益。要严格防止利用改制逃废金融债务，金融债务未落实的企业不得进行改制。</w:t>
      </w:r>
    </w:p>
    <w:p w14:paraId="79E7AD7A" w14:textId="77777777" w:rsidR="00EA7C3F" w:rsidRPr="00CE47EB" w:rsidRDefault="00EA7C3F" w:rsidP="00EA7C3F">
      <w:pPr>
        <w:pStyle w:val="13"/>
      </w:pPr>
      <w:r w:rsidRPr="00CE47EB">
        <w:rPr>
          <w:rFonts w:hint="eastAsia"/>
        </w:rPr>
        <w:t>（九）维护职工合法权益。国有企业改制方案和国有控股企业改制为非国有的企业的方案，必须提交企业职工代表大会或职工大会审议，充分听取职工意见。其中，职工安置方案需经企业职工代表大会或职工大会审议通过后方可实施改制。改制为非国有的企业，要按照有关政策处理好改制企业与职工的劳动关系。改制企业拖欠职工的工资、医疗费和挪用的职工住房公积金以及企业欠缴的社会保险费等要按有关规定予以解决。改制后的企业要按照有关规定按时足额交纳社会保险费，及时为职工接续养老、失业、医疗、工伤、生育等各项社会保险关系。</w:t>
      </w:r>
    </w:p>
    <w:p w14:paraId="47F71D8D" w14:textId="77777777" w:rsidR="00EA7C3F" w:rsidRPr="00CE47EB" w:rsidRDefault="00EA7C3F" w:rsidP="00EA7C3F">
      <w:pPr>
        <w:pStyle w:val="13"/>
      </w:pPr>
      <w:r w:rsidRPr="00CE47EB">
        <w:rPr>
          <w:rFonts w:hint="eastAsia"/>
        </w:rPr>
        <w:t>（十）管理层收购。向本企业经营管理者转让国有产权必须严格执行国家的有关规定，以及本指导意见的各项要求，并需按照有关规定履行审批程序。向本企业经营管理者转让国有产权方案的制订，由直接持有该企业国有产权的单位负责或其委托</w:t>
      </w:r>
      <w:r w:rsidRPr="00CE47EB">
        <w:rPr>
          <w:rFonts w:hint="eastAsia"/>
        </w:rPr>
        <w:lastRenderedPageBreak/>
        <w:t>中介机构进行，经营管理者不得参与转让国有产权的决策、财务审计、离任审计、清产核资、资产评估、底价确定等重大事项，严禁自卖自买国有产权。经营管理者筹集收购国有产权的资金，要执行《贷款通则》的有关规定，不得向包括本企业在内的国有及国有控股企业借款，不得以这些企业的国有产权或实物资产作标的物为融资提供保证、抵押、质押、贴现等。经营管理者对企业经营业绩下降负有责任的，不得参与收购本企业国有产权。</w:t>
      </w:r>
    </w:p>
    <w:p w14:paraId="6E358A5A" w14:textId="77777777" w:rsidR="00EA7C3F" w:rsidRPr="00CE47EB" w:rsidRDefault="00EA7C3F" w:rsidP="00EA7C3F">
      <w:pPr>
        <w:pStyle w:val="ab"/>
        <w:spacing w:before="62" w:after="62"/>
        <w:ind w:firstLine="482"/>
      </w:pPr>
      <w:r w:rsidRPr="00CE47EB">
        <w:rPr>
          <w:rFonts w:hint="eastAsia"/>
        </w:rPr>
        <w:t>二、严格监督，追究责任</w:t>
      </w:r>
    </w:p>
    <w:p w14:paraId="1709A0A0" w14:textId="77777777" w:rsidR="00EA7C3F" w:rsidRPr="00CE47EB" w:rsidRDefault="00EA7C3F" w:rsidP="00EA7C3F">
      <w:pPr>
        <w:pStyle w:val="13"/>
      </w:pPr>
      <w:r w:rsidRPr="00CE47EB">
        <w:rPr>
          <w:rFonts w:hint="eastAsia"/>
        </w:rPr>
        <w:t>各级监察机关、国有资产监督管理机构和其他有关部门，要加强联系、密切配合，加大对国有企业改制工作的监督检查力度。通过建立重要事项通报制度和重大案件报告制度，以及设立并公布举报电话和信箱等办法，及时发现和严肃查处国有企业改制中的违纪违法案件。对国有资产监督管理机构工作人员、企业领导人员利用改制之机转移、侵占、侵吞国有资产的，隐匿资产、提供虚假会计资料造成国有资产流失的，营私舞弊、与买方串通低价转让国有产权的，严重失职、违规操作、损害国家和群众利益的，要进行认真调查处理。其中涉嫌犯罪的，依法移交司法机关处理；造成国有资产损失的，按照《条例》的规定，追究有关责任人的赔偿责任。对中介机构弄虚作假、提供虚假审计报告、故意压低评估价格等违规违法行为，要加大惩处力度；国有资产监督管理机构和国有及国有控股企业不得再聘请该中介机构及其责任人从事涉及国有及国有控股企业的中介活动。</w:t>
      </w:r>
    </w:p>
    <w:p w14:paraId="6763CC66" w14:textId="77777777" w:rsidR="00EA7C3F" w:rsidRPr="00CE47EB" w:rsidRDefault="00EA7C3F" w:rsidP="00EA7C3F">
      <w:pPr>
        <w:pStyle w:val="13"/>
      </w:pPr>
      <w:r w:rsidRPr="00CE47EB">
        <w:rPr>
          <w:rFonts w:hint="eastAsia"/>
        </w:rPr>
        <w:t>为加快建设和完善产权交易市场体系，确保产权交易公开、公平、公正，由法制办会同国资委、财政部等有关部门研究有关产权交易市场的法规和监管制度，各地依照法律法规及有关规定，根据实际情况制订具体实施细则。</w:t>
      </w:r>
    </w:p>
    <w:p w14:paraId="7AA560AF" w14:textId="77777777" w:rsidR="00EA7C3F" w:rsidRPr="00CE47EB" w:rsidRDefault="00EA7C3F" w:rsidP="00EA7C3F">
      <w:pPr>
        <w:pStyle w:val="ab"/>
        <w:spacing w:before="62" w:after="62"/>
        <w:ind w:firstLine="482"/>
      </w:pPr>
      <w:r w:rsidRPr="00CE47EB">
        <w:rPr>
          <w:rFonts w:hint="eastAsia"/>
        </w:rPr>
        <w:t>三、精心组织，加强领导</w:t>
      </w:r>
    </w:p>
    <w:p w14:paraId="357B0E8A" w14:textId="77777777" w:rsidR="00EA7C3F" w:rsidRPr="00CE47EB" w:rsidRDefault="00EA7C3F" w:rsidP="00EA7C3F">
      <w:pPr>
        <w:pStyle w:val="13"/>
      </w:pPr>
      <w:r w:rsidRPr="00CE47EB">
        <w:rPr>
          <w:rFonts w:hint="eastAsia"/>
        </w:rPr>
        <w:t>（一）全面准确理解国有经济布局和结构调整战略方针，坚持党的十六大提出的必须毫不动摇地巩固和发展公有制经济，必须毫不动摇地鼓励、支持和引导非公有制经济发展的方针。国有企业改制要坚持国有经济控制重要行业和关键领域，提高国有经济的控制力、影响力和带动力。在其他行业和领域，国有企业通过重组改制、结构调整、深化改革、转换机制，在市场竞争中实现优胜劣汰。</w:t>
      </w:r>
    </w:p>
    <w:p w14:paraId="4CE98C70" w14:textId="77777777" w:rsidR="00EA7C3F" w:rsidRPr="00CE47EB" w:rsidRDefault="00EA7C3F" w:rsidP="00EA7C3F">
      <w:pPr>
        <w:pStyle w:val="13"/>
      </w:pPr>
      <w:r w:rsidRPr="00CE47EB">
        <w:rPr>
          <w:rFonts w:hint="eastAsia"/>
        </w:rPr>
        <w:t>（二）在国有企业改制工作中，各地区要防止和纠正不顾产权市场供求状况及其对价格形成的影响作用、不计转让价格和收益，下指标、限时间、赶进度，集中成批向非国有投资者转让国有产权的做法。防止和避免人为造成买方市场、低价处置和贱卖国有资产的现象。</w:t>
      </w:r>
    </w:p>
    <w:p w14:paraId="36BD8964" w14:textId="77777777" w:rsidR="00EA7C3F" w:rsidRPr="00CE47EB" w:rsidRDefault="00EA7C3F" w:rsidP="00EA7C3F">
      <w:pPr>
        <w:pStyle w:val="13"/>
      </w:pPr>
      <w:r w:rsidRPr="00CE47EB">
        <w:rPr>
          <w:rFonts w:hint="eastAsia"/>
        </w:rPr>
        <w:t>（三）国有企业改制要从企业实际出发，着眼于企业的发展。要建立竞争机制，充分考虑投资者搞好企业的能力，选择合格的投资者参与国有企业改制，引入资金、</w:t>
      </w:r>
      <w:r w:rsidRPr="00CE47EB">
        <w:rPr>
          <w:rFonts w:hint="eastAsia"/>
        </w:rPr>
        <w:lastRenderedPageBreak/>
        <w:t>技术、管理、市场、人才等资源增量，推动企业制度创新、机制转换、盘活资产、扭亏脱困和增加就业，促进企业加快发展。</w:t>
      </w:r>
    </w:p>
    <w:p w14:paraId="204C9FF7" w14:textId="77777777" w:rsidR="00EA7C3F" w:rsidRPr="00CE47EB" w:rsidRDefault="00EA7C3F" w:rsidP="00EA7C3F">
      <w:pPr>
        <w:pStyle w:val="13"/>
      </w:pPr>
      <w:r w:rsidRPr="00CE47EB">
        <w:rPr>
          <w:rFonts w:hint="eastAsia"/>
        </w:rPr>
        <w:t>（四）地方各级人民政府及其国有资产监督管理机构、国有及国有控股企业，要高度重视国有企业改制工作，全面理解和正确贯彻党中央、国务院有关精神，切实负起责任，加强组织领导。要从实际出发，把握好改制工作的力度和节奏。在国有企业改制的每一个环节都要做到依法运作，规范透明，落实责任。上级国有资产监督管理机构要加强对下级国有资产监督管理机构的指导和监督，及时总结经验，发现和纠正国有企业改制工作中存在的问题，促进国有资产合理流动和重组，实现国有资产保值增值，更好地发挥国有经济的主导作用。</w:t>
      </w:r>
    </w:p>
    <w:p w14:paraId="6DF28B14" w14:textId="2126F154" w:rsidR="00F51B3D" w:rsidRDefault="00CE47EB" w:rsidP="00CE47EB">
      <w:pPr>
        <w:pStyle w:val="31"/>
        <w:spacing w:before="156" w:after="62"/>
      </w:pPr>
      <w:bookmarkStart w:id="225" w:name="_Toc81833458"/>
      <w:r w:rsidRPr="00CE47EB">
        <w:rPr>
          <w:rFonts w:hint="eastAsia"/>
        </w:rPr>
        <w:t>《关于加强企业国有资产评估管理工作有关问题的通知》</w:t>
      </w:r>
      <w:r>
        <w:br/>
      </w:r>
      <w:r w:rsidRPr="00CE47EB">
        <w:rPr>
          <w:rFonts w:hint="eastAsia"/>
        </w:rPr>
        <w:t>（国资委产权〔</w:t>
      </w:r>
      <w:r w:rsidRPr="00CE47EB">
        <w:t>2006〕274号）</w:t>
      </w:r>
      <w:bookmarkEnd w:id="225"/>
    </w:p>
    <w:p w14:paraId="09A04C00" w14:textId="77777777" w:rsidR="00CE47EB" w:rsidRDefault="00CE47EB" w:rsidP="00CE47EB">
      <w:pPr>
        <w:pStyle w:val="13"/>
        <w:ind w:firstLineChars="0" w:firstLine="0"/>
      </w:pPr>
      <w:r>
        <w:rPr>
          <w:rFonts w:hint="eastAsia"/>
        </w:rPr>
        <w:t>各省、自治区、直辖市国资委，各中央企业：</w:t>
      </w:r>
    </w:p>
    <w:p w14:paraId="6A6002D9" w14:textId="5E4CFC33" w:rsidR="00CE47EB" w:rsidRDefault="00CE47EB" w:rsidP="00CE47EB">
      <w:pPr>
        <w:pStyle w:val="13"/>
      </w:pPr>
      <w:r>
        <w:rPr>
          <w:rFonts w:hint="eastAsia"/>
        </w:rPr>
        <w:t>《企业国有资产评估管理暂行办法》（国资委令第</w:t>
      </w:r>
      <w:r>
        <w:t>12号，以下简称《暂行办法》）的施行，进一步规范了企业国有资产评估管理工作，有效提高了资产评估工作水平。结合《暂行办法》施行以来的实际情况，企业国有资产评估管理过程中的一些具体问题需进一步明确。经研究，现就有关问题通知如下：</w:t>
      </w:r>
    </w:p>
    <w:p w14:paraId="1C4326B8" w14:textId="4A74195A" w:rsidR="00CE47EB" w:rsidRDefault="00CE47EB" w:rsidP="00CE47EB">
      <w:pPr>
        <w:pStyle w:val="ab"/>
        <w:spacing w:before="62" w:after="62"/>
        <w:ind w:firstLine="482"/>
      </w:pPr>
      <w:r>
        <w:rPr>
          <w:rFonts w:hint="eastAsia"/>
        </w:rPr>
        <w:t>一、中央企业国有资产评估项目备案管理有关问题</w:t>
      </w:r>
    </w:p>
    <w:p w14:paraId="11BD0427" w14:textId="62FD6FF4" w:rsidR="00CE47EB" w:rsidRDefault="00CE47EB" w:rsidP="00CE47EB">
      <w:pPr>
        <w:pStyle w:val="13"/>
      </w:pPr>
      <w:r>
        <w:rPr>
          <w:rFonts w:hint="eastAsia"/>
        </w:rPr>
        <w:t>经国务院国有资产监督管理机构批准经济行为的事项涉及的资产评估项目，其中包括采用协议方式转让企业国有产权事项涉及的资产评估项目和股份有限公司国有股权设置事项涉及的资产评估项目</w:t>
      </w:r>
      <w:r>
        <w:t>,由国务院国有资产监督管理机构负责备案。</w:t>
      </w:r>
    </w:p>
    <w:p w14:paraId="25C39B6B" w14:textId="2FBCD0D0" w:rsidR="00CE47EB" w:rsidRDefault="00CE47EB" w:rsidP="00CE47EB">
      <w:pPr>
        <w:pStyle w:val="13"/>
      </w:pPr>
      <w:r>
        <w:rPr>
          <w:rFonts w:hint="eastAsia"/>
        </w:rPr>
        <w:t>经国务院国有资产监督管理机构批准进行主辅分离辅业改制项目中，按限额专项委托中央企业办理相关资产评估项目备案。其中，属于国家授权投资机构的中央企业负责办理资产总额账面值</w:t>
      </w:r>
      <w:r>
        <w:t>5000万元（不含）以下资产评估项目的备案，5000万元以上的资产评估项目由国务院国有资产监督管理机构办理备案；其他中央企业负责办理资产总额账面值2000万元（不含）以下资产评估项目的备案，2000万元以上的资产评估项目由国务院国有资产监督管理机构办理备案。</w:t>
      </w:r>
    </w:p>
    <w:p w14:paraId="710B1DBF" w14:textId="79A387FC" w:rsidR="00CE47EB" w:rsidRDefault="00CE47EB" w:rsidP="00CE47EB">
      <w:pPr>
        <w:pStyle w:val="ab"/>
        <w:spacing w:before="62" w:after="62"/>
        <w:ind w:firstLine="482"/>
      </w:pPr>
      <w:r>
        <w:rPr>
          <w:rFonts w:hint="eastAsia"/>
        </w:rPr>
        <w:t>二、资产评估项目的委托</w:t>
      </w:r>
    </w:p>
    <w:p w14:paraId="3E63ED05" w14:textId="11A4D93E" w:rsidR="00CE47EB" w:rsidRDefault="00CE47EB" w:rsidP="00CE47EB">
      <w:pPr>
        <w:pStyle w:val="13"/>
      </w:pPr>
      <w:r>
        <w:rPr>
          <w:rFonts w:hint="eastAsia"/>
        </w:rPr>
        <w:t>根据《暂行办法》第八条规定，企业发生应当进行资产评估的经济行为时，应当由其产权持有单位委托具有相应资质的资产评估机构进行评估。针对不同经济行为，资产评估工作的</w:t>
      </w:r>
      <w:proofErr w:type="gramStart"/>
      <w:r>
        <w:rPr>
          <w:rFonts w:hint="eastAsia"/>
        </w:rPr>
        <w:t>委托按</w:t>
      </w:r>
      <w:proofErr w:type="gramEnd"/>
      <w:r>
        <w:rPr>
          <w:rFonts w:hint="eastAsia"/>
        </w:rPr>
        <w:t>以下情况处理：经济行为事项涉及的评估对象属于企业法人财产权范围的，由企业委托；经济行为事项涉及的评估对象属于企业产权等出资人权利的，按照产权关系，由企业的出资人委托。企业接受非国有资产等涉及非国有资产评估的，一般由接受非国有资产的企业委托。</w:t>
      </w:r>
    </w:p>
    <w:p w14:paraId="0B3D318F" w14:textId="7C2EDB63" w:rsidR="00CE47EB" w:rsidRDefault="00CE47EB" w:rsidP="00CE47EB">
      <w:pPr>
        <w:pStyle w:val="ab"/>
        <w:spacing w:before="62" w:after="62"/>
        <w:ind w:firstLine="482"/>
      </w:pPr>
      <w:r>
        <w:rPr>
          <w:rFonts w:hint="eastAsia"/>
        </w:rPr>
        <w:lastRenderedPageBreak/>
        <w:t>三、涉及多个国有产权主体的资产评估项目的管理方式</w:t>
      </w:r>
    </w:p>
    <w:p w14:paraId="15400D2E" w14:textId="2CA36A30" w:rsidR="00CE47EB" w:rsidRDefault="00CE47EB" w:rsidP="00CE47EB">
      <w:pPr>
        <w:pStyle w:val="13"/>
      </w:pPr>
      <w:r>
        <w:rPr>
          <w:rFonts w:hint="eastAsia"/>
        </w:rPr>
        <w:t>有多个国有股东的企业发生资产评估事项，经协商一致可由国有</w:t>
      </w:r>
      <w:proofErr w:type="gramStart"/>
      <w:r>
        <w:rPr>
          <w:rFonts w:hint="eastAsia"/>
        </w:rPr>
        <w:t>股最大</w:t>
      </w:r>
      <w:proofErr w:type="gramEnd"/>
      <w:r>
        <w:rPr>
          <w:rFonts w:hint="eastAsia"/>
        </w:rPr>
        <w:t>股东依照其产权关系办理核准或备案手续；国有股股东持股比例相等的，经协商一致可由其中一方依照其产权关系办理核准或备案手续。</w:t>
      </w:r>
    </w:p>
    <w:p w14:paraId="06CD82CB" w14:textId="142D8BC8" w:rsidR="00CE47EB" w:rsidRDefault="00CE47EB" w:rsidP="00CE47EB">
      <w:pPr>
        <w:pStyle w:val="13"/>
      </w:pPr>
      <w:r>
        <w:rPr>
          <w:rFonts w:hint="eastAsia"/>
        </w:rPr>
        <w:t>国务院批准的重大经济事项同时涉及中央和地方的资产评估项目，可由国有</w:t>
      </w:r>
      <w:proofErr w:type="gramStart"/>
      <w:r>
        <w:rPr>
          <w:rFonts w:hint="eastAsia"/>
        </w:rPr>
        <w:t>股最大</w:t>
      </w:r>
      <w:proofErr w:type="gramEnd"/>
      <w:r>
        <w:rPr>
          <w:rFonts w:hint="eastAsia"/>
        </w:rPr>
        <w:t>股东依照其产权关系，逐级报送国务院国有资产监督管理机构进行核准。</w:t>
      </w:r>
    </w:p>
    <w:p w14:paraId="6E3E966C" w14:textId="3258310D" w:rsidR="00CE47EB" w:rsidRDefault="00CE47EB" w:rsidP="00CE47EB">
      <w:pPr>
        <w:pStyle w:val="ab"/>
        <w:spacing w:before="62" w:after="62"/>
        <w:ind w:firstLine="482"/>
      </w:pPr>
      <w:r>
        <w:rPr>
          <w:rFonts w:hint="eastAsia"/>
        </w:rPr>
        <w:t>四、涉及非国有资产评估项目的核准或备案</w:t>
      </w:r>
    </w:p>
    <w:p w14:paraId="72D949F4" w14:textId="7C5E9ECE" w:rsidR="00CE47EB" w:rsidRDefault="00CE47EB" w:rsidP="00CE47EB">
      <w:pPr>
        <w:pStyle w:val="13"/>
      </w:pPr>
      <w:r>
        <w:rPr>
          <w:rFonts w:hint="eastAsia"/>
        </w:rPr>
        <w:t>企业发生《暂行办法》第六条所列经济行为，需要对接受的非国有资产进行评估的，接受企业应依照其产权关系将评估项目报国有资产监督管理机构或其所出资企业备案；如果该经济行为属于各级人民政府批准实施的，接受企业应依照其产权关系按规定程序将评估项目报同级国有资产监督管理机构核准。</w:t>
      </w:r>
    </w:p>
    <w:p w14:paraId="63A0ED26" w14:textId="54FF31EE" w:rsidR="00CE47EB" w:rsidRDefault="00CE47EB" w:rsidP="00CE47EB">
      <w:pPr>
        <w:pStyle w:val="ab"/>
        <w:spacing w:before="62" w:after="62"/>
        <w:ind w:firstLine="482"/>
      </w:pPr>
      <w:r>
        <w:rPr>
          <w:rFonts w:hint="eastAsia"/>
        </w:rPr>
        <w:t>五、资产评估备案表及其分类</w:t>
      </w:r>
    </w:p>
    <w:p w14:paraId="0EFC26EA" w14:textId="5D2B6348" w:rsidR="00CE47EB" w:rsidRDefault="00CE47EB" w:rsidP="00CE47EB">
      <w:pPr>
        <w:pStyle w:val="13"/>
      </w:pPr>
      <w:r>
        <w:rPr>
          <w:rFonts w:hint="eastAsia"/>
        </w:rPr>
        <w:t>为适应《暂行办法》第六条所列各类经济行为资产评估项目备案的需要，将资产评估项目备案表分为国有资产评估项目备案表和接受非国有资产评估项目备案表两类。各级企业进行资产评估项目备案时，应按附件的格式和内容填报办理。</w:t>
      </w:r>
    </w:p>
    <w:p w14:paraId="5B4E318D" w14:textId="648CA99B" w:rsidR="00CE47EB" w:rsidRDefault="00CE47EB" w:rsidP="00CE47EB">
      <w:pPr>
        <w:pStyle w:val="ab"/>
        <w:spacing w:before="62" w:after="62"/>
        <w:ind w:firstLine="482"/>
      </w:pPr>
      <w:r>
        <w:rPr>
          <w:rFonts w:hint="eastAsia"/>
        </w:rPr>
        <w:t>六、企业价值评估</w:t>
      </w:r>
    </w:p>
    <w:p w14:paraId="7BD058C2" w14:textId="03538118" w:rsidR="00CE47EB" w:rsidRDefault="00CE47EB" w:rsidP="00CE47EB">
      <w:pPr>
        <w:pStyle w:val="13"/>
      </w:pPr>
      <w:r>
        <w:rPr>
          <w:rFonts w:hint="eastAsia"/>
        </w:rPr>
        <w:t>涉及企业价值的资产评估项目，以持续经营为前提进行评估时，原则上要求采用两种以上方法进行评估，并在评估报告中列示，依据实际状况充分、全面分析后，确定其中一个评估结果作为评估报告使用结果。同时，对企业进行价值评估，企业应当提供与经济行为相对应的评估基准日审计报告。</w:t>
      </w:r>
    </w:p>
    <w:p w14:paraId="6438EE88" w14:textId="358C2AC5" w:rsidR="00CE47EB" w:rsidRDefault="00CE47EB" w:rsidP="00CE47EB">
      <w:pPr>
        <w:pStyle w:val="13"/>
      </w:pPr>
      <w:r>
        <w:rPr>
          <w:rFonts w:hint="eastAsia"/>
        </w:rPr>
        <w:t>附件：</w:t>
      </w:r>
      <w:r>
        <w:t>1.国有资产评估项目备案表</w:t>
      </w:r>
    </w:p>
    <w:p w14:paraId="7723B2D1" w14:textId="77777777" w:rsidR="00CE47EB" w:rsidRDefault="00CE47EB" w:rsidP="00CE47EB">
      <w:pPr>
        <w:pStyle w:val="13"/>
      </w:pPr>
    </w:p>
    <w:p w14:paraId="2F9003D9" w14:textId="75427BA6" w:rsidR="00CE47EB" w:rsidRDefault="00CE47EB" w:rsidP="00CE47EB">
      <w:pPr>
        <w:pStyle w:val="13"/>
      </w:pPr>
      <w:r>
        <w:t>2.接受非国有资产评估项目备案表</w:t>
      </w:r>
    </w:p>
    <w:p w14:paraId="1AFF3A44" w14:textId="496BC002" w:rsidR="00CE47EB" w:rsidRDefault="00CE47EB" w:rsidP="00CE47EB">
      <w:pPr>
        <w:pStyle w:val="13"/>
      </w:pPr>
      <w:r>
        <w:rPr>
          <w:rFonts w:hint="eastAsia"/>
        </w:rPr>
        <w:t>3</w:t>
      </w:r>
      <w:r>
        <w:t>.《国有资产评估项目备案表》、《接受非国有资产评估项目备案表》填报说明</w:t>
      </w:r>
    </w:p>
    <w:p w14:paraId="4141B40D" w14:textId="77777777" w:rsidR="00CE47EB" w:rsidRDefault="00CE47EB" w:rsidP="00CE47EB">
      <w:pPr>
        <w:pStyle w:val="13"/>
        <w:jc w:val="right"/>
      </w:pPr>
      <w:r>
        <w:rPr>
          <w:rFonts w:hint="eastAsia"/>
        </w:rPr>
        <w:t>国务院国有资产监督管理委员会</w:t>
      </w:r>
    </w:p>
    <w:p w14:paraId="6486C500" w14:textId="2D084D31" w:rsidR="00F51B3D" w:rsidRDefault="00CE47EB" w:rsidP="00CE47EB">
      <w:pPr>
        <w:pStyle w:val="13"/>
        <w:jc w:val="right"/>
      </w:pPr>
      <w:r>
        <w:rPr>
          <w:rFonts w:hint="eastAsia"/>
        </w:rPr>
        <w:t>二ＯＯ六年十二月十二日</w:t>
      </w:r>
    </w:p>
    <w:p w14:paraId="1015CAC0" w14:textId="5381D117" w:rsidR="002D34B5" w:rsidRDefault="00281247" w:rsidP="00281247">
      <w:pPr>
        <w:pStyle w:val="31"/>
        <w:spacing w:before="156" w:after="62"/>
      </w:pPr>
      <w:bookmarkStart w:id="226" w:name="_Toc81833459"/>
      <w:r w:rsidRPr="00281247">
        <w:rPr>
          <w:rFonts w:hint="eastAsia"/>
        </w:rPr>
        <w:t>《森林资源资产评估管理暂行规定》（财企〔</w:t>
      </w:r>
      <w:r w:rsidRPr="00281247">
        <w:t>2006〕529号）</w:t>
      </w:r>
      <w:bookmarkEnd w:id="226"/>
    </w:p>
    <w:p w14:paraId="1DF1B5AD" w14:textId="77777777" w:rsidR="00281247" w:rsidRDefault="00281247" w:rsidP="00281247">
      <w:pPr>
        <w:pStyle w:val="13"/>
        <w:ind w:firstLineChars="0" w:firstLine="0"/>
      </w:pPr>
      <w:r>
        <w:rPr>
          <w:rFonts w:hint="eastAsia"/>
        </w:rPr>
        <w:t>各省、自治区、直辖市、计划单列市财政厅（局）、林业厅（局），新疆生产建设兵团财务局、林业局：</w:t>
      </w:r>
    </w:p>
    <w:p w14:paraId="5CD38297" w14:textId="77777777" w:rsidR="00281247" w:rsidRDefault="00281247" w:rsidP="00281247">
      <w:pPr>
        <w:pStyle w:val="13"/>
      </w:pPr>
      <w:r>
        <w:rPr>
          <w:rFonts w:hint="eastAsia"/>
        </w:rPr>
        <w:t>为落实《中共中央、国务院关于加快林业发展的决定》（中发〔</w:t>
      </w:r>
      <w:r>
        <w:t>2003〕9号），加强森林资源资产评估管理工作，规范森林资源资产评估行为，维护社会公共利益和资产评估各方当事人的合法权益，根据《中华人民共和国森林法》、《国有资产评估管理</w:t>
      </w:r>
      <w:r>
        <w:lastRenderedPageBreak/>
        <w:t>办法》</w:t>
      </w:r>
    </w:p>
    <w:p w14:paraId="3945C567" w14:textId="77777777" w:rsidR="00281247" w:rsidRDefault="00281247" w:rsidP="00281247">
      <w:pPr>
        <w:pStyle w:val="13"/>
      </w:pPr>
      <w:r>
        <w:rPr>
          <w:rFonts w:hint="eastAsia"/>
        </w:rPr>
        <w:t>（</w:t>
      </w:r>
      <w:proofErr w:type="gramStart"/>
      <w:r>
        <w:rPr>
          <w:rFonts w:hint="eastAsia"/>
        </w:rPr>
        <w:t>国务院令第</w:t>
      </w:r>
      <w:proofErr w:type="gramEnd"/>
      <w:r>
        <w:t xml:space="preserve"> 91号）等法律法规，财政部、国家林业局联合制定了《森林资源资产评估管理暂行规定》。现予印发，请遵照执行。</w:t>
      </w:r>
    </w:p>
    <w:p w14:paraId="0FBE81B6" w14:textId="44B2E57F" w:rsidR="002D34B5" w:rsidRDefault="00281247" w:rsidP="00281247">
      <w:pPr>
        <w:pStyle w:val="13"/>
      </w:pPr>
      <w:r>
        <w:rPr>
          <w:rFonts w:hint="eastAsia"/>
        </w:rPr>
        <w:t>附件：森林资源资产评估管理暂行规定</w:t>
      </w:r>
    </w:p>
    <w:p w14:paraId="0C719CD5" w14:textId="77777777" w:rsidR="00281247" w:rsidRDefault="00281247" w:rsidP="00281247">
      <w:pPr>
        <w:pStyle w:val="13"/>
        <w:jc w:val="right"/>
      </w:pPr>
      <w:r>
        <w:rPr>
          <w:rFonts w:hint="eastAsia"/>
        </w:rPr>
        <w:t>财政部</w:t>
      </w:r>
      <w:r>
        <w:t xml:space="preserve"> 国家林业局</w:t>
      </w:r>
    </w:p>
    <w:p w14:paraId="2686ACE1" w14:textId="7D9A4A7A" w:rsidR="002D34B5" w:rsidRDefault="00281247" w:rsidP="00281247">
      <w:pPr>
        <w:pStyle w:val="13"/>
        <w:jc w:val="right"/>
      </w:pPr>
      <w:r>
        <w:t>2006年12月25日</w:t>
      </w:r>
    </w:p>
    <w:p w14:paraId="0A31A3AF" w14:textId="77777777" w:rsidR="00281247" w:rsidRDefault="00281247" w:rsidP="00AF7342">
      <w:pPr>
        <w:pStyle w:val="a9"/>
        <w:spacing w:before="62" w:after="62"/>
      </w:pPr>
      <w:r>
        <w:rPr>
          <w:rFonts w:hint="eastAsia"/>
        </w:rPr>
        <w:t>森林资源资产评估管理暂行规定</w:t>
      </w:r>
    </w:p>
    <w:p w14:paraId="2D61283F" w14:textId="77777777" w:rsidR="00281247" w:rsidRDefault="00281247" w:rsidP="00AF7342">
      <w:pPr>
        <w:pStyle w:val="a9"/>
        <w:spacing w:before="62" w:after="62"/>
      </w:pPr>
      <w:r>
        <w:rPr>
          <w:rFonts w:hint="eastAsia"/>
        </w:rPr>
        <w:t>第一章</w:t>
      </w:r>
      <w:r>
        <w:t xml:space="preserve"> 总则</w:t>
      </w:r>
    </w:p>
    <w:p w14:paraId="74D19DF5" w14:textId="7AAAA2BB" w:rsidR="00281247" w:rsidRDefault="004E3EBB" w:rsidP="00281247">
      <w:pPr>
        <w:pStyle w:val="13"/>
        <w:ind w:firstLine="482"/>
      </w:pPr>
      <w:r w:rsidRPr="004E3EBB">
        <w:rPr>
          <w:rFonts w:hint="eastAsia"/>
          <w:b/>
        </w:rPr>
        <w:t xml:space="preserve">第一条 </w:t>
      </w:r>
      <w:r w:rsidR="00281247">
        <w:t>为加强森林资源资产评估管理工作，规范森林资源资产评估行为，维护社会公共利益和资产评估各方当事人的合法权益，根据《中华人民共和国森林法》、《国有资产评估管理办法》（</w:t>
      </w:r>
      <w:proofErr w:type="gramStart"/>
      <w:r w:rsidR="00281247">
        <w:t>国务院令第</w:t>
      </w:r>
      <w:proofErr w:type="gramEnd"/>
      <w:r w:rsidR="00281247">
        <w:t xml:space="preserve"> 91号）、《中共中央、国务院关于加快林业发展的决定》</w:t>
      </w:r>
      <w:r w:rsidR="00281247">
        <w:rPr>
          <w:rFonts w:hint="eastAsia"/>
        </w:rPr>
        <w:t>（中发〔</w:t>
      </w:r>
      <w:r w:rsidR="00281247">
        <w:t>2003〕9号）等法律法规，制定本规定。</w:t>
      </w:r>
    </w:p>
    <w:p w14:paraId="379C8CA4" w14:textId="68525512" w:rsidR="00281247" w:rsidRDefault="004E3EBB" w:rsidP="00281247">
      <w:pPr>
        <w:pStyle w:val="13"/>
        <w:ind w:firstLine="482"/>
      </w:pPr>
      <w:r w:rsidRPr="004E3EBB">
        <w:rPr>
          <w:rFonts w:hint="eastAsia"/>
          <w:b/>
        </w:rPr>
        <w:t xml:space="preserve">第二条 </w:t>
      </w:r>
      <w:r w:rsidR="00281247">
        <w:t>在中华人民共和国境内从事森林资源资产评估，除法律、法规另有规定外</w:t>
      </w:r>
      <w:r w:rsidR="003068F8">
        <w:t>，</w:t>
      </w:r>
      <w:r w:rsidR="00281247">
        <w:t>适用本规定。</w:t>
      </w:r>
    </w:p>
    <w:p w14:paraId="0BCC375D" w14:textId="42D697D8" w:rsidR="00281247" w:rsidRDefault="004E3EBB" w:rsidP="00281247">
      <w:pPr>
        <w:pStyle w:val="13"/>
        <w:ind w:firstLine="482"/>
      </w:pPr>
      <w:r w:rsidRPr="004E3EBB">
        <w:rPr>
          <w:rFonts w:hint="eastAsia"/>
          <w:b/>
        </w:rPr>
        <w:t xml:space="preserve">第三条 </w:t>
      </w:r>
      <w:r w:rsidR="00281247">
        <w:t>本规定所指森林资源资产，包括森林、林木、林地、森林景观资产以及与森林资源相关的其他资产。</w:t>
      </w:r>
    </w:p>
    <w:p w14:paraId="34749EB6" w14:textId="7950016B" w:rsidR="00281247" w:rsidRDefault="004E3EBB" w:rsidP="00281247">
      <w:pPr>
        <w:pStyle w:val="13"/>
        <w:ind w:firstLine="482"/>
      </w:pPr>
      <w:r w:rsidRPr="004E3EBB">
        <w:rPr>
          <w:rFonts w:hint="eastAsia"/>
          <w:b/>
        </w:rPr>
        <w:t xml:space="preserve">第四条 </w:t>
      </w:r>
      <w:r w:rsidR="00281247">
        <w:t>森林资源资产评估是指评估人员依据相关法律、法规和资产评估准则，在评估基准日，对特定目的和条件下的森林资源资产价值进行分析、估算，并发表专业意见的行为和过程。</w:t>
      </w:r>
    </w:p>
    <w:p w14:paraId="78F9813C" w14:textId="77115F00" w:rsidR="00281247" w:rsidRDefault="004E3EBB" w:rsidP="00281247">
      <w:pPr>
        <w:pStyle w:val="13"/>
        <w:ind w:firstLine="482"/>
      </w:pPr>
      <w:r w:rsidRPr="004E3EBB">
        <w:rPr>
          <w:rFonts w:hint="eastAsia"/>
          <w:b/>
        </w:rPr>
        <w:t xml:space="preserve">第五条 </w:t>
      </w:r>
      <w:r w:rsidR="00281247">
        <w:t>国有森林资源资产评估项目，实行核准制和备案制。</w:t>
      </w:r>
    </w:p>
    <w:p w14:paraId="16DFC1D3" w14:textId="77777777" w:rsidR="00281247" w:rsidRDefault="00281247" w:rsidP="00281247">
      <w:pPr>
        <w:pStyle w:val="13"/>
      </w:pPr>
      <w:r>
        <w:rPr>
          <w:rFonts w:hint="eastAsia"/>
        </w:rPr>
        <w:t>东北、内蒙古重点国有林区森林资源资产评估项目，实行核准制，由国务院林业主管部门核准或授权核准。</w:t>
      </w:r>
    </w:p>
    <w:p w14:paraId="211B8C34" w14:textId="77777777" w:rsidR="00281247" w:rsidRDefault="00281247" w:rsidP="00281247">
      <w:pPr>
        <w:pStyle w:val="13"/>
      </w:pPr>
      <w:r>
        <w:rPr>
          <w:rFonts w:hint="eastAsia"/>
        </w:rPr>
        <w:t>其他地区国有森林资源资产评估项目，涉及国家重点公益林的，实行核准制，由国务院林业主管部门核准或授权核准。对其他国有森林资源资产评估项目，实行核准制或备案制，由省级林业主管部门规定。对其中实行核准制的评估项目，由省级林业主管部门核准或授权核准。</w:t>
      </w:r>
    </w:p>
    <w:p w14:paraId="38DE647C" w14:textId="17A8DDB8" w:rsidR="00281247" w:rsidRDefault="004E3EBB" w:rsidP="00281247">
      <w:pPr>
        <w:pStyle w:val="13"/>
        <w:ind w:firstLine="482"/>
      </w:pPr>
      <w:r w:rsidRPr="004E3EBB">
        <w:rPr>
          <w:rFonts w:hint="eastAsia"/>
          <w:b/>
        </w:rPr>
        <w:t xml:space="preserve">第六条 </w:t>
      </w:r>
      <w:r w:rsidR="00281247">
        <w:t>非国有森林资源资产评估项目涉及国家重点公益林的，实行核准制，由国务院林业主管部门核准或授权核准。其他评估项目是否实行备案制，由省级林业主管部门决定。</w:t>
      </w:r>
    </w:p>
    <w:p w14:paraId="46C1A85C" w14:textId="7385D4BD" w:rsidR="00281247" w:rsidRDefault="004E3EBB" w:rsidP="00281247">
      <w:pPr>
        <w:pStyle w:val="13"/>
        <w:ind w:firstLine="482"/>
      </w:pPr>
      <w:r w:rsidRPr="004E3EBB">
        <w:rPr>
          <w:rFonts w:hint="eastAsia"/>
          <w:b/>
        </w:rPr>
        <w:t xml:space="preserve">第七条 </w:t>
      </w:r>
      <w:r w:rsidR="00281247">
        <w:t>森林资源资产评估工作，由财政部门和林业主管部门按照各自的职责进行管理和监督。</w:t>
      </w:r>
    </w:p>
    <w:p w14:paraId="0E64BDEC" w14:textId="3C060801" w:rsidR="00281247" w:rsidRDefault="004E3EBB" w:rsidP="00281247">
      <w:pPr>
        <w:pStyle w:val="13"/>
        <w:ind w:firstLine="482"/>
      </w:pPr>
      <w:r w:rsidRPr="004E3EBB">
        <w:rPr>
          <w:rFonts w:hint="eastAsia"/>
          <w:b/>
        </w:rPr>
        <w:t xml:space="preserve">第八条 </w:t>
      </w:r>
      <w:r w:rsidR="00281247">
        <w:t>森林资源资产评估的具体操作程序和方法，遵照资产评估准则及相关技术规范的要求执行。</w:t>
      </w:r>
    </w:p>
    <w:p w14:paraId="49D6BACF" w14:textId="77777777" w:rsidR="00281247" w:rsidRDefault="00281247" w:rsidP="00AF7342">
      <w:pPr>
        <w:pStyle w:val="a9"/>
        <w:spacing w:before="62" w:after="62"/>
      </w:pPr>
      <w:r>
        <w:rPr>
          <w:rFonts w:hint="eastAsia"/>
        </w:rPr>
        <w:lastRenderedPageBreak/>
        <w:t>第二章</w:t>
      </w:r>
      <w:r>
        <w:t xml:space="preserve"> 评估范围</w:t>
      </w:r>
    </w:p>
    <w:p w14:paraId="4DC97A41" w14:textId="603CB4F5" w:rsidR="00281247" w:rsidRDefault="00E05BDA" w:rsidP="00281247">
      <w:pPr>
        <w:pStyle w:val="13"/>
        <w:ind w:firstLine="482"/>
      </w:pPr>
      <w:r w:rsidRPr="00E05BDA">
        <w:rPr>
          <w:rFonts w:hint="eastAsia"/>
          <w:b/>
        </w:rPr>
        <w:t xml:space="preserve">第九条 </w:t>
      </w:r>
      <w:r w:rsidR="00281247">
        <w:t>国有森林资源资产占有单位有下列情形之一的，应当进行资产评估：</w:t>
      </w:r>
    </w:p>
    <w:p w14:paraId="4563EE66" w14:textId="77777777" w:rsidR="00281247" w:rsidRDefault="00281247" w:rsidP="00281247">
      <w:pPr>
        <w:pStyle w:val="13"/>
      </w:pPr>
      <w:r>
        <w:rPr>
          <w:rFonts w:hint="eastAsia"/>
        </w:rPr>
        <w:t>（一）森林资源资产转让、置换；</w:t>
      </w:r>
    </w:p>
    <w:p w14:paraId="25BD9047" w14:textId="77777777" w:rsidR="00281247" w:rsidRDefault="00281247" w:rsidP="00281247">
      <w:pPr>
        <w:pStyle w:val="13"/>
      </w:pPr>
      <w:r>
        <w:rPr>
          <w:rFonts w:hint="eastAsia"/>
        </w:rPr>
        <w:t>（二）森林资源资产出资进行中外合资或者合作；</w:t>
      </w:r>
    </w:p>
    <w:p w14:paraId="7454C9BC" w14:textId="77777777" w:rsidR="00281247" w:rsidRDefault="00281247" w:rsidP="00281247">
      <w:pPr>
        <w:pStyle w:val="13"/>
      </w:pPr>
      <w:r>
        <w:rPr>
          <w:rFonts w:hint="eastAsia"/>
        </w:rPr>
        <w:t>（三）森林资源资产出资进行股份经营或者联营；</w:t>
      </w:r>
    </w:p>
    <w:p w14:paraId="73CC183F" w14:textId="77777777" w:rsidR="00281247" w:rsidRDefault="00281247" w:rsidP="00281247">
      <w:pPr>
        <w:pStyle w:val="13"/>
      </w:pPr>
      <w:r>
        <w:rPr>
          <w:rFonts w:hint="eastAsia"/>
        </w:rPr>
        <w:t>（四）森林资源资产从事租赁经营；</w:t>
      </w:r>
    </w:p>
    <w:p w14:paraId="77CB18E7" w14:textId="77777777" w:rsidR="00281247" w:rsidRDefault="00281247" w:rsidP="00281247">
      <w:pPr>
        <w:pStyle w:val="13"/>
      </w:pPr>
      <w:r>
        <w:rPr>
          <w:rFonts w:hint="eastAsia"/>
        </w:rPr>
        <w:t>（五）森林资源资产抵押贷款、担保或偿还债务；</w:t>
      </w:r>
    </w:p>
    <w:p w14:paraId="5AF61E04" w14:textId="77777777" w:rsidR="00281247" w:rsidRDefault="00281247" w:rsidP="00281247">
      <w:pPr>
        <w:pStyle w:val="13"/>
      </w:pPr>
      <w:r>
        <w:rPr>
          <w:rFonts w:hint="eastAsia"/>
        </w:rPr>
        <w:t>（六）收购非国有森林资源资产；</w:t>
      </w:r>
    </w:p>
    <w:p w14:paraId="2EEA56E5" w14:textId="77777777" w:rsidR="00281247" w:rsidRDefault="00281247" w:rsidP="00281247">
      <w:pPr>
        <w:pStyle w:val="13"/>
      </w:pPr>
      <w:r>
        <w:rPr>
          <w:rFonts w:hint="eastAsia"/>
        </w:rPr>
        <w:t>（七）涉及森林资源资产诉讼；</w:t>
      </w:r>
    </w:p>
    <w:p w14:paraId="6F14680E" w14:textId="77777777" w:rsidR="00281247" w:rsidRDefault="00281247" w:rsidP="00281247">
      <w:pPr>
        <w:pStyle w:val="13"/>
      </w:pPr>
      <w:r>
        <w:rPr>
          <w:rFonts w:hint="eastAsia"/>
        </w:rPr>
        <w:t>（八）法律、法规规定需要进行评估的其他情形。</w:t>
      </w:r>
    </w:p>
    <w:p w14:paraId="7CE8CB42" w14:textId="27BB6024" w:rsidR="00281247" w:rsidRDefault="00E05BDA" w:rsidP="00281247">
      <w:pPr>
        <w:pStyle w:val="13"/>
        <w:ind w:firstLine="482"/>
      </w:pPr>
      <w:r w:rsidRPr="00E05BDA">
        <w:rPr>
          <w:rFonts w:hint="eastAsia"/>
          <w:b/>
        </w:rPr>
        <w:t xml:space="preserve">第十条 </w:t>
      </w:r>
      <w:r w:rsidR="00281247">
        <w:t>非国有森林资源资产是否进行资产评估，由当事人自行决定，法律、法规另有规定的除外。</w:t>
      </w:r>
    </w:p>
    <w:p w14:paraId="09CA8BA8" w14:textId="1FBD1597" w:rsidR="00281247" w:rsidRDefault="00E05BDA" w:rsidP="00281247">
      <w:pPr>
        <w:pStyle w:val="13"/>
        <w:ind w:firstLine="482"/>
      </w:pPr>
      <w:r w:rsidRPr="00E05BDA">
        <w:rPr>
          <w:rFonts w:hint="eastAsia"/>
          <w:b/>
        </w:rPr>
        <w:t xml:space="preserve">第十一条 </w:t>
      </w:r>
      <w:r w:rsidR="00281247">
        <w:t>森林资源资产有下列情形之一的，可根据需要进行评估：</w:t>
      </w:r>
    </w:p>
    <w:p w14:paraId="3A5C5611" w14:textId="77777777" w:rsidR="00281247" w:rsidRDefault="00281247" w:rsidP="00281247">
      <w:pPr>
        <w:pStyle w:val="13"/>
      </w:pPr>
      <w:r>
        <w:rPr>
          <w:rFonts w:hint="eastAsia"/>
        </w:rPr>
        <w:t>（一）因自然灾害造成森林资源资产损失；</w:t>
      </w:r>
    </w:p>
    <w:p w14:paraId="035EA033" w14:textId="77777777" w:rsidR="00281247" w:rsidRDefault="00281247" w:rsidP="00281247">
      <w:pPr>
        <w:pStyle w:val="13"/>
      </w:pPr>
      <w:r>
        <w:rPr>
          <w:rFonts w:hint="eastAsia"/>
        </w:rPr>
        <w:t>（二）盗伐、滥伐、乱批滥占林地人为造成森林资源资产损失；</w:t>
      </w:r>
    </w:p>
    <w:p w14:paraId="603465B8" w14:textId="77777777" w:rsidR="00281247" w:rsidRDefault="00281247" w:rsidP="00281247">
      <w:pPr>
        <w:pStyle w:val="13"/>
      </w:pPr>
      <w:r>
        <w:rPr>
          <w:rFonts w:hint="eastAsia"/>
        </w:rPr>
        <w:t>（三）占有单位要求评估。</w:t>
      </w:r>
    </w:p>
    <w:p w14:paraId="552F2F97" w14:textId="77777777" w:rsidR="00281247" w:rsidRDefault="00281247" w:rsidP="00AF7342">
      <w:pPr>
        <w:pStyle w:val="a9"/>
        <w:spacing w:before="62" w:after="62"/>
      </w:pPr>
      <w:r>
        <w:rPr>
          <w:rFonts w:hint="eastAsia"/>
        </w:rPr>
        <w:t>第三章</w:t>
      </w:r>
      <w:r>
        <w:t xml:space="preserve"> 评估机构和人员</w:t>
      </w:r>
    </w:p>
    <w:p w14:paraId="0E419557" w14:textId="396B5FE7" w:rsidR="00281247" w:rsidRDefault="00E05BDA" w:rsidP="00281247">
      <w:pPr>
        <w:pStyle w:val="13"/>
        <w:ind w:firstLine="482"/>
      </w:pPr>
      <w:r w:rsidRPr="00E05BDA">
        <w:rPr>
          <w:rFonts w:hint="eastAsia"/>
          <w:b/>
        </w:rPr>
        <w:t xml:space="preserve">第十二条 </w:t>
      </w:r>
      <w:r w:rsidR="00281247">
        <w:t>从事国有森林资源资产评估业务的资产评估机构，应具有财政部门颁发的资产评估资格，并有 2 名以上（含 2 名）森林资源资产评估专家参加，方可开展国有森林资源资产评估业务。</w:t>
      </w:r>
    </w:p>
    <w:p w14:paraId="050AEA26" w14:textId="77777777" w:rsidR="00281247" w:rsidRDefault="00281247" w:rsidP="00281247">
      <w:pPr>
        <w:pStyle w:val="13"/>
      </w:pPr>
      <w:r>
        <w:rPr>
          <w:rFonts w:hint="eastAsia"/>
        </w:rPr>
        <w:t>森林资源资产评估专家由国家林业局与中国资产评估协会共同评审认定。经认定的森林资源资产评估专家进入专家库，并向社会公布。</w:t>
      </w:r>
    </w:p>
    <w:p w14:paraId="0EC5687C" w14:textId="77777777" w:rsidR="00281247" w:rsidRDefault="00281247" w:rsidP="00281247">
      <w:pPr>
        <w:pStyle w:val="13"/>
      </w:pPr>
      <w:r>
        <w:rPr>
          <w:rFonts w:hint="eastAsia"/>
        </w:rPr>
        <w:t>资产评估机构出具的森林资源资产评估报告，须经</w:t>
      </w:r>
      <w:r>
        <w:t xml:space="preserve"> 2 </w:t>
      </w:r>
      <w:proofErr w:type="gramStart"/>
      <w:r>
        <w:t>名注册</w:t>
      </w:r>
      <w:proofErr w:type="gramEnd"/>
      <w:r>
        <w:t>资产评估师与 2 名森林资源资产评估专家共同签字方能有效。签字的注册资产评估师与森林资源资产评估专家应对森林资源资产评估报告承担相应的责任。</w:t>
      </w:r>
    </w:p>
    <w:p w14:paraId="464604C2" w14:textId="2B576C57" w:rsidR="00281247" w:rsidRDefault="00E05BDA" w:rsidP="00281247">
      <w:pPr>
        <w:pStyle w:val="13"/>
        <w:ind w:firstLine="482"/>
      </w:pPr>
      <w:r w:rsidRPr="00E05BDA">
        <w:rPr>
          <w:rFonts w:hint="eastAsia"/>
          <w:b/>
        </w:rPr>
        <w:t xml:space="preserve">第十三条 </w:t>
      </w:r>
      <w:r w:rsidR="00281247">
        <w:t>非国有森林资源资产的评估，按照抵押贷款的有关规定，凡金额在 100 万元以上的银行抵押贷款项目，应委托财政部门颁发资产评估资格的机构进行评估；金额在 100 万元以下的银行抵押贷款项目，可委托财政部门颁发资产评估资格的机构评估或由林业部门管理的具有丙级以上（含丙级）资质的森林资源调查规划设计、林业科研教学等单位提供评估咨询服务，出具评估咨询报告。</w:t>
      </w:r>
    </w:p>
    <w:p w14:paraId="07316AA9" w14:textId="77777777" w:rsidR="00281247" w:rsidRDefault="00281247" w:rsidP="00281247">
      <w:pPr>
        <w:pStyle w:val="13"/>
      </w:pPr>
      <w:r>
        <w:rPr>
          <w:rFonts w:hint="eastAsia"/>
        </w:rPr>
        <w:t>上述森林资源调查规划设计、林业科研教学单位提供评估服务的人员须参加国家林业局与中国资产评估协会共同组织的培训及后续教育。</w:t>
      </w:r>
    </w:p>
    <w:p w14:paraId="0DD58341" w14:textId="2EFF927F" w:rsidR="00281247" w:rsidRDefault="00E05BDA" w:rsidP="00281247">
      <w:pPr>
        <w:pStyle w:val="13"/>
        <w:ind w:firstLine="482"/>
      </w:pPr>
      <w:r w:rsidRPr="00E05BDA">
        <w:rPr>
          <w:rFonts w:hint="eastAsia"/>
          <w:b/>
        </w:rPr>
        <w:t xml:space="preserve">第十四条 </w:t>
      </w:r>
      <w:r w:rsidR="00281247">
        <w:t>资产评估机构和森林资源资产评估专家从事评估业务应当遵守保密原则，保持独立性。与评估当事人或者相关经济事项有利害关系的，不得参与该项评</w:t>
      </w:r>
      <w:r w:rsidR="00281247">
        <w:lastRenderedPageBreak/>
        <w:t>估业务。</w:t>
      </w:r>
    </w:p>
    <w:p w14:paraId="53190E62" w14:textId="77777777" w:rsidR="00281247" w:rsidRDefault="00281247" w:rsidP="00AF7342">
      <w:pPr>
        <w:pStyle w:val="a9"/>
        <w:spacing w:before="62" w:after="62"/>
      </w:pPr>
      <w:r>
        <w:rPr>
          <w:rFonts w:hint="eastAsia"/>
        </w:rPr>
        <w:t>第四章</w:t>
      </w:r>
      <w:r>
        <w:t xml:space="preserve"> 核准与备案</w:t>
      </w:r>
    </w:p>
    <w:p w14:paraId="6D2BEC79" w14:textId="57DA4B25" w:rsidR="00281247" w:rsidRDefault="00E05BDA" w:rsidP="00281247">
      <w:pPr>
        <w:pStyle w:val="13"/>
        <w:ind w:firstLine="482"/>
      </w:pPr>
      <w:r w:rsidRPr="00E05BDA">
        <w:rPr>
          <w:rFonts w:hint="eastAsia"/>
          <w:b/>
        </w:rPr>
        <w:t xml:space="preserve">第十五条 </w:t>
      </w:r>
      <w:r w:rsidR="00281247">
        <w:t>凡需核准的国有森林资源资产评估项目，占有单位在评估前应按照行政隶属关系，经上级林业主管部门审核同意后，由审核部门向省级林业主管部门或国务院林业主管部门报告下列有关事项：</w:t>
      </w:r>
    </w:p>
    <w:p w14:paraId="491BC2BC" w14:textId="77777777" w:rsidR="00281247" w:rsidRDefault="00281247" w:rsidP="00281247">
      <w:pPr>
        <w:pStyle w:val="13"/>
      </w:pPr>
      <w:r>
        <w:rPr>
          <w:rFonts w:hint="eastAsia"/>
        </w:rPr>
        <w:t>（一）评估项目的审核情况；</w:t>
      </w:r>
    </w:p>
    <w:p w14:paraId="490A8BF9" w14:textId="77777777" w:rsidR="00281247" w:rsidRDefault="00281247" w:rsidP="00281247">
      <w:pPr>
        <w:pStyle w:val="13"/>
      </w:pPr>
      <w:r>
        <w:rPr>
          <w:rFonts w:hint="eastAsia"/>
        </w:rPr>
        <w:t>（二）评估基准日的选择情况；</w:t>
      </w:r>
    </w:p>
    <w:p w14:paraId="34A8BBF4" w14:textId="77777777" w:rsidR="00281247" w:rsidRDefault="00281247" w:rsidP="00281247">
      <w:pPr>
        <w:pStyle w:val="13"/>
      </w:pPr>
      <w:r>
        <w:rPr>
          <w:rFonts w:hint="eastAsia"/>
        </w:rPr>
        <w:t>（三）森林资源资产评估范围的确定情况；</w:t>
      </w:r>
    </w:p>
    <w:p w14:paraId="483F5A14" w14:textId="77777777" w:rsidR="00281247" w:rsidRDefault="00281247" w:rsidP="00281247">
      <w:pPr>
        <w:pStyle w:val="13"/>
      </w:pPr>
      <w:r>
        <w:rPr>
          <w:rFonts w:hint="eastAsia"/>
        </w:rPr>
        <w:t>（四）森林资源资产实物量清单；</w:t>
      </w:r>
    </w:p>
    <w:p w14:paraId="416F9452" w14:textId="77777777" w:rsidR="00281247" w:rsidRDefault="00281247" w:rsidP="00281247">
      <w:pPr>
        <w:pStyle w:val="13"/>
      </w:pPr>
      <w:r>
        <w:rPr>
          <w:rFonts w:hint="eastAsia"/>
        </w:rPr>
        <w:t>（五）选择森林资源资产评估机构的条件、范围、程序及拟选定机构的资质；</w:t>
      </w:r>
    </w:p>
    <w:p w14:paraId="7099EC92" w14:textId="77777777" w:rsidR="00281247" w:rsidRDefault="00281247" w:rsidP="00281247">
      <w:pPr>
        <w:pStyle w:val="13"/>
      </w:pPr>
      <w:r>
        <w:rPr>
          <w:rFonts w:hint="eastAsia"/>
        </w:rPr>
        <w:t>（六）森林资源资产评估的时间进度安排情况。</w:t>
      </w:r>
    </w:p>
    <w:p w14:paraId="5C1594A0" w14:textId="1E5B5A23" w:rsidR="00281247" w:rsidRDefault="00E05BDA" w:rsidP="00281247">
      <w:pPr>
        <w:pStyle w:val="13"/>
        <w:ind w:firstLine="482"/>
      </w:pPr>
      <w:r w:rsidRPr="00E05BDA">
        <w:rPr>
          <w:rFonts w:hint="eastAsia"/>
          <w:b/>
        </w:rPr>
        <w:t xml:space="preserve">第十六条 </w:t>
      </w:r>
      <w:r w:rsidR="00281247">
        <w:t>国有森林资源资产评估项目的核准工作按照下列程序进行：</w:t>
      </w:r>
    </w:p>
    <w:p w14:paraId="42F39411" w14:textId="77777777" w:rsidR="00281247" w:rsidRDefault="00281247" w:rsidP="00281247">
      <w:pPr>
        <w:pStyle w:val="13"/>
      </w:pPr>
      <w:r>
        <w:rPr>
          <w:rFonts w:hint="eastAsia"/>
        </w:rPr>
        <w:t>（一）国有森林资源资产占有单位收到资产评估机构出具的资产评估报告后应按照隶属关系，报上级林业主管部门初审，经初审同意后，由审核部门在评估报告有效期届满前</w:t>
      </w:r>
      <w:r>
        <w:t xml:space="preserve"> 3 </w:t>
      </w:r>
      <w:proofErr w:type="gramStart"/>
      <w:r>
        <w:t>个</w:t>
      </w:r>
      <w:proofErr w:type="gramEnd"/>
      <w:r>
        <w:t>月向省级林业主管部门或国务院林业主管部门提出核准申请。</w:t>
      </w:r>
    </w:p>
    <w:p w14:paraId="15843721" w14:textId="77777777" w:rsidR="00281247" w:rsidRDefault="00281247" w:rsidP="00281247">
      <w:pPr>
        <w:pStyle w:val="13"/>
      </w:pPr>
      <w:r>
        <w:rPr>
          <w:rFonts w:hint="eastAsia"/>
        </w:rPr>
        <w:t>（二）省级林业主管部门或国务院林业主管部门收到核准申请后，对符合核准要求的，及时组织有关专家和单位审核，在</w:t>
      </w:r>
      <w:r>
        <w:t xml:space="preserve"> 20 </w:t>
      </w:r>
      <w:proofErr w:type="gramStart"/>
      <w:r>
        <w:t>个</w:t>
      </w:r>
      <w:proofErr w:type="gramEnd"/>
      <w:r>
        <w:t>工作日内完成评估报告的核准；对不符合核准要求的，予以退回。</w:t>
      </w:r>
    </w:p>
    <w:p w14:paraId="0C43B67F" w14:textId="50189196" w:rsidR="00281247" w:rsidRDefault="00E05BDA" w:rsidP="00281247">
      <w:pPr>
        <w:pStyle w:val="13"/>
        <w:ind w:firstLine="482"/>
      </w:pPr>
      <w:r w:rsidRPr="00E05BDA">
        <w:rPr>
          <w:rFonts w:hint="eastAsia"/>
          <w:b/>
        </w:rPr>
        <w:t xml:space="preserve">第十七条 </w:t>
      </w:r>
      <w:r w:rsidR="00281247">
        <w:t>国有森林资源资产评估项目核准的申请应包括下列文件材料：</w:t>
      </w:r>
    </w:p>
    <w:p w14:paraId="1CBCE0E2" w14:textId="77777777" w:rsidR="00281247" w:rsidRDefault="00281247" w:rsidP="00281247">
      <w:pPr>
        <w:pStyle w:val="13"/>
      </w:pPr>
      <w:r>
        <w:rPr>
          <w:rFonts w:hint="eastAsia"/>
        </w:rPr>
        <w:t>（一）资产评估项目核准申请文件；</w:t>
      </w:r>
    </w:p>
    <w:p w14:paraId="150C012A" w14:textId="77777777" w:rsidR="00281247" w:rsidRDefault="00281247" w:rsidP="00281247">
      <w:pPr>
        <w:pStyle w:val="13"/>
      </w:pPr>
      <w:r>
        <w:rPr>
          <w:rFonts w:hint="eastAsia"/>
        </w:rPr>
        <w:t>（二）资产评估项目核准申请表（附表</w:t>
      </w:r>
      <w:r>
        <w:t xml:space="preserve"> 1）；</w:t>
      </w:r>
    </w:p>
    <w:p w14:paraId="0895718B" w14:textId="77777777" w:rsidR="00281247" w:rsidRDefault="00281247" w:rsidP="00281247">
      <w:pPr>
        <w:pStyle w:val="13"/>
      </w:pPr>
      <w:r>
        <w:rPr>
          <w:rFonts w:hint="eastAsia"/>
        </w:rPr>
        <w:t>（三）评估项目批准文件或有效材料；</w:t>
      </w:r>
    </w:p>
    <w:p w14:paraId="68318755" w14:textId="77777777" w:rsidR="00281247" w:rsidRDefault="00281247" w:rsidP="00281247">
      <w:pPr>
        <w:pStyle w:val="13"/>
      </w:pPr>
      <w:r>
        <w:rPr>
          <w:rFonts w:hint="eastAsia"/>
        </w:rPr>
        <w:t>（四）与所评估项目有关的林权证和权属变更的相关证明；</w:t>
      </w:r>
    </w:p>
    <w:p w14:paraId="4F21BDAA" w14:textId="77777777" w:rsidR="00281247" w:rsidRDefault="00281247" w:rsidP="00281247">
      <w:pPr>
        <w:pStyle w:val="13"/>
      </w:pPr>
      <w:r>
        <w:rPr>
          <w:rFonts w:hint="eastAsia"/>
        </w:rPr>
        <w:t>（五）资产评估机构、签字注册资产评估师和森林资源资产评估专家资质证明；</w:t>
      </w:r>
    </w:p>
    <w:p w14:paraId="5C761147" w14:textId="77777777" w:rsidR="00281247" w:rsidRDefault="00281247" w:rsidP="00281247">
      <w:pPr>
        <w:pStyle w:val="13"/>
      </w:pPr>
      <w:r>
        <w:rPr>
          <w:rFonts w:hint="eastAsia"/>
        </w:rPr>
        <w:t>（六）资产评估机构聘请核查机构对占有单位提供的森林资源资产实物量进行核查的，应提供核查机构资质证明；</w:t>
      </w:r>
    </w:p>
    <w:p w14:paraId="3881A790" w14:textId="77777777" w:rsidR="00281247" w:rsidRDefault="00281247" w:rsidP="00281247">
      <w:pPr>
        <w:pStyle w:val="13"/>
      </w:pPr>
      <w:r>
        <w:rPr>
          <w:rFonts w:hint="eastAsia"/>
        </w:rPr>
        <w:t>（七）资产评估机构提交的森林资源资产评估报告和核查报告；</w:t>
      </w:r>
    </w:p>
    <w:p w14:paraId="6105FFD3" w14:textId="77777777" w:rsidR="00281247" w:rsidRDefault="00281247" w:rsidP="00281247">
      <w:pPr>
        <w:pStyle w:val="13"/>
      </w:pPr>
      <w:r>
        <w:rPr>
          <w:rFonts w:hint="eastAsia"/>
        </w:rPr>
        <w:t>（八）资产评估各当事方的相关承诺函；</w:t>
      </w:r>
    </w:p>
    <w:p w14:paraId="3E342A8D" w14:textId="77777777" w:rsidR="00281247" w:rsidRDefault="00281247" w:rsidP="00281247">
      <w:pPr>
        <w:pStyle w:val="13"/>
      </w:pPr>
      <w:r>
        <w:rPr>
          <w:rFonts w:hint="eastAsia"/>
        </w:rPr>
        <w:t>（九）其他有关材料。</w:t>
      </w:r>
    </w:p>
    <w:p w14:paraId="1A454CA2" w14:textId="54A351D9" w:rsidR="00281247" w:rsidRDefault="00E05BDA" w:rsidP="00281247">
      <w:pPr>
        <w:pStyle w:val="13"/>
        <w:ind w:firstLine="482"/>
      </w:pPr>
      <w:r w:rsidRPr="00E05BDA">
        <w:rPr>
          <w:rFonts w:hint="eastAsia"/>
          <w:b/>
        </w:rPr>
        <w:t xml:space="preserve">第十八条 </w:t>
      </w:r>
      <w:r w:rsidR="00281247">
        <w:t>省级林业主管部门或国务院林业主管部门受理资产评估项目核准申请后，</w:t>
      </w:r>
      <w:r w:rsidR="00281247">
        <w:rPr>
          <w:rFonts w:hint="eastAsia"/>
        </w:rPr>
        <w:t>应当对下列事项进行审核：</w:t>
      </w:r>
    </w:p>
    <w:p w14:paraId="6F999700" w14:textId="77777777" w:rsidR="00281247" w:rsidRDefault="00281247" w:rsidP="00281247">
      <w:pPr>
        <w:pStyle w:val="13"/>
      </w:pPr>
      <w:r>
        <w:rPr>
          <w:rFonts w:hint="eastAsia"/>
        </w:rPr>
        <w:t>（一）资产评估项目是否获得批准；</w:t>
      </w:r>
    </w:p>
    <w:p w14:paraId="7242C505" w14:textId="77777777" w:rsidR="00281247" w:rsidRDefault="00281247" w:rsidP="00281247">
      <w:pPr>
        <w:pStyle w:val="13"/>
      </w:pPr>
      <w:r>
        <w:rPr>
          <w:rFonts w:hint="eastAsia"/>
        </w:rPr>
        <w:t>（二）资产评估机构是否具备相应评估资质；</w:t>
      </w:r>
    </w:p>
    <w:p w14:paraId="068D51EC" w14:textId="77777777" w:rsidR="00281247" w:rsidRDefault="00281247" w:rsidP="00281247">
      <w:pPr>
        <w:pStyle w:val="13"/>
      </w:pPr>
      <w:r>
        <w:rPr>
          <w:rFonts w:hint="eastAsia"/>
        </w:rPr>
        <w:t>（三）评估人员是否具备相应资质；</w:t>
      </w:r>
    </w:p>
    <w:p w14:paraId="768C7D02" w14:textId="77777777" w:rsidR="00281247" w:rsidRDefault="00281247" w:rsidP="00281247">
      <w:pPr>
        <w:pStyle w:val="13"/>
      </w:pPr>
      <w:r>
        <w:rPr>
          <w:rFonts w:hint="eastAsia"/>
        </w:rPr>
        <w:lastRenderedPageBreak/>
        <w:t>（四）评估基准日的选择是否适当，评估结果的使用有效期是否明示；</w:t>
      </w:r>
    </w:p>
    <w:p w14:paraId="06A4B15D" w14:textId="77777777" w:rsidR="00281247" w:rsidRDefault="00281247" w:rsidP="00281247">
      <w:pPr>
        <w:pStyle w:val="13"/>
      </w:pPr>
      <w:r>
        <w:rPr>
          <w:rFonts w:hint="eastAsia"/>
        </w:rPr>
        <w:t>（五）资产评估范围与项目批准文件确定的范围是否一致；</w:t>
      </w:r>
    </w:p>
    <w:p w14:paraId="7734E52B" w14:textId="77777777" w:rsidR="00281247" w:rsidRDefault="00281247" w:rsidP="00281247">
      <w:pPr>
        <w:pStyle w:val="13"/>
      </w:pPr>
      <w:r>
        <w:rPr>
          <w:rFonts w:hint="eastAsia"/>
        </w:rPr>
        <w:t>（六）评估依据是否适当；</w:t>
      </w:r>
    </w:p>
    <w:p w14:paraId="43489F27" w14:textId="77777777" w:rsidR="00281247" w:rsidRDefault="00281247" w:rsidP="00281247">
      <w:pPr>
        <w:pStyle w:val="13"/>
      </w:pPr>
      <w:r>
        <w:rPr>
          <w:rFonts w:hint="eastAsia"/>
        </w:rPr>
        <w:t>（七）占有单位是否就所提供的资产权属证明文件、财务会计资料及生产经营管理资料的真实性、合法性和完整性做出承诺；</w:t>
      </w:r>
    </w:p>
    <w:p w14:paraId="2A7BC552" w14:textId="77777777" w:rsidR="00281247" w:rsidRDefault="00281247" w:rsidP="00281247">
      <w:pPr>
        <w:pStyle w:val="13"/>
      </w:pPr>
      <w:r>
        <w:rPr>
          <w:rFonts w:hint="eastAsia"/>
        </w:rPr>
        <w:t>（八）评估过程是否符合相关评估准则的规定。</w:t>
      </w:r>
    </w:p>
    <w:p w14:paraId="540E70CF" w14:textId="0896B77C" w:rsidR="00281247" w:rsidRDefault="00E05BDA" w:rsidP="00281247">
      <w:pPr>
        <w:pStyle w:val="13"/>
        <w:ind w:firstLine="482"/>
      </w:pPr>
      <w:r w:rsidRPr="00E05BDA">
        <w:rPr>
          <w:rFonts w:hint="eastAsia"/>
          <w:b/>
        </w:rPr>
        <w:t xml:space="preserve">第十九条 </w:t>
      </w:r>
      <w:r w:rsidR="00281247">
        <w:t>评估项目的备案按照下列程序进行：</w:t>
      </w:r>
    </w:p>
    <w:p w14:paraId="490AA6A4" w14:textId="400AE9E5" w:rsidR="00281247" w:rsidRDefault="00281247" w:rsidP="00281247">
      <w:pPr>
        <w:pStyle w:val="13"/>
      </w:pPr>
      <w:r>
        <w:rPr>
          <w:rFonts w:hint="eastAsia"/>
        </w:rPr>
        <w:t>（一）国有森林资源资产占有单位收到评估机构出具的评估报告后，应在评估报告有效期届满前</w:t>
      </w:r>
      <w:r>
        <w:t>3个月将备案材料报送上级林业主管部门；</w:t>
      </w:r>
    </w:p>
    <w:p w14:paraId="38A7BB91" w14:textId="291E6E74" w:rsidR="00281247" w:rsidRDefault="00281247" w:rsidP="00281247">
      <w:pPr>
        <w:pStyle w:val="13"/>
      </w:pPr>
      <w:r>
        <w:rPr>
          <w:rFonts w:hint="eastAsia"/>
        </w:rPr>
        <w:t>（二）上级林业主管部门收到占有单位报送的备案材料后，对材料齐全的，应在</w:t>
      </w:r>
      <w:r>
        <w:t>20个工作日内办理备案手续；对材料不全的，待占有单位或评估机构补充完善有关材料后予以办理。</w:t>
      </w:r>
    </w:p>
    <w:p w14:paraId="15D3894A" w14:textId="5EFBDF1F" w:rsidR="00281247" w:rsidRDefault="00E05BDA" w:rsidP="00281247">
      <w:pPr>
        <w:pStyle w:val="13"/>
        <w:ind w:firstLine="482"/>
      </w:pPr>
      <w:r w:rsidRPr="00E05BDA">
        <w:rPr>
          <w:rFonts w:hint="eastAsia"/>
          <w:b/>
        </w:rPr>
        <w:t xml:space="preserve">第二十条 </w:t>
      </w:r>
      <w:r w:rsidR="00281247">
        <w:t>森林资源资产评估项目备案需报送下列文件材料：</w:t>
      </w:r>
    </w:p>
    <w:p w14:paraId="6F4686AA" w14:textId="77777777" w:rsidR="00281247" w:rsidRDefault="00281247" w:rsidP="00281247">
      <w:pPr>
        <w:pStyle w:val="13"/>
      </w:pPr>
      <w:r>
        <w:rPr>
          <w:rFonts w:hint="eastAsia"/>
        </w:rPr>
        <w:t>（一）资产评估项目备案申请表（附表</w:t>
      </w:r>
      <w:r>
        <w:t xml:space="preserve"> 2）；</w:t>
      </w:r>
    </w:p>
    <w:p w14:paraId="7FA91D18" w14:textId="77777777" w:rsidR="00281247" w:rsidRDefault="00281247" w:rsidP="00281247">
      <w:pPr>
        <w:pStyle w:val="13"/>
      </w:pPr>
      <w:r>
        <w:rPr>
          <w:rFonts w:hint="eastAsia"/>
        </w:rPr>
        <w:t>（二）资产评估报告和核查报告；</w:t>
      </w:r>
    </w:p>
    <w:p w14:paraId="15CE0CF2" w14:textId="77777777" w:rsidR="00281247" w:rsidRDefault="00281247" w:rsidP="00281247">
      <w:pPr>
        <w:pStyle w:val="13"/>
      </w:pPr>
      <w:r>
        <w:rPr>
          <w:rFonts w:hint="eastAsia"/>
        </w:rPr>
        <w:t>（三）评估项目的批准文件或有关证明材料；</w:t>
      </w:r>
    </w:p>
    <w:p w14:paraId="1CD350B2" w14:textId="77777777" w:rsidR="00281247" w:rsidRDefault="00281247" w:rsidP="00281247">
      <w:pPr>
        <w:pStyle w:val="13"/>
      </w:pPr>
      <w:r>
        <w:rPr>
          <w:rFonts w:hint="eastAsia"/>
        </w:rPr>
        <w:t>（四）与所评估项目有关的林权证和权属变更的相关证明；</w:t>
      </w:r>
    </w:p>
    <w:p w14:paraId="71CB79A7" w14:textId="77777777" w:rsidR="00281247" w:rsidRDefault="00281247" w:rsidP="00281247">
      <w:pPr>
        <w:pStyle w:val="13"/>
      </w:pPr>
      <w:r>
        <w:rPr>
          <w:rFonts w:hint="eastAsia"/>
        </w:rPr>
        <w:t>（五）其他有关材料。</w:t>
      </w:r>
    </w:p>
    <w:p w14:paraId="2606F654" w14:textId="37F18524" w:rsidR="00281247" w:rsidRDefault="00E05BDA" w:rsidP="00281247">
      <w:pPr>
        <w:pStyle w:val="13"/>
        <w:ind w:firstLine="482"/>
      </w:pPr>
      <w:r w:rsidRPr="00E05BDA">
        <w:rPr>
          <w:rFonts w:hint="eastAsia"/>
          <w:b/>
        </w:rPr>
        <w:t xml:space="preserve">第二十一条 </w:t>
      </w:r>
      <w:r w:rsidR="00281247">
        <w:t>各级林业主管部门受理资产评估项目备案申请后，应当对下列事项进行审核：</w:t>
      </w:r>
    </w:p>
    <w:p w14:paraId="7424B553" w14:textId="77777777" w:rsidR="00281247" w:rsidRDefault="00281247" w:rsidP="00281247">
      <w:pPr>
        <w:pStyle w:val="13"/>
      </w:pPr>
      <w:r>
        <w:rPr>
          <w:rFonts w:hint="eastAsia"/>
        </w:rPr>
        <w:t>（一）资产评估项目是否获得批准或相关证明；</w:t>
      </w:r>
    </w:p>
    <w:p w14:paraId="3F4D35ED" w14:textId="77777777" w:rsidR="00281247" w:rsidRDefault="00281247" w:rsidP="00281247">
      <w:pPr>
        <w:pStyle w:val="13"/>
      </w:pPr>
      <w:r>
        <w:rPr>
          <w:rFonts w:hint="eastAsia"/>
        </w:rPr>
        <w:t>（二）资产评估范围与评估项目确定的资产范围是否一致；</w:t>
      </w:r>
    </w:p>
    <w:p w14:paraId="101A99D8" w14:textId="77777777" w:rsidR="00281247" w:rsidRDefault="00281247" w:rsidP="00281247">
      <w:pPr>
        <w:pStyle w:val="13"/>
      </w:pPr>
      <w:r>
        <w:rPr>
          <w:rFonts w:hint="eastAsia"/>
        </w:rPr>
        <w:t>（三）评估基准日的选择是否适当，评估结果的使用有效期是否明示，评估程序是否符合相关评估准则的规定；</w:t>
      </w:r>
    </w:p>
    <w:p w14:paraId="0F496B8C" w14:textId="77777777" w:rsidR="00281247" w:rsidRDefault="00281247" w:rsidP="00281247">
      <w:pPr>
        <w:pStyle w:val="13"/>
      </w:pPr>
      <w:r>
        <w:rPr>
          <w:rFonts w:hint="eastAsia"/>
        </w:rPr>
        <w:t>（四）占有单位是否就所提供的森林资源资产清单、资产权属证明文件等资料的真实性、合法性和完整性做出承诺。</w:t>
      </w:r>
    </w:p>
    <w:p w14:paraId="612383AE" w14:textId="4659ECED" w:rsidR="00281247" w:rsidRDefault="00E05BDA" w:rsidP="00281247">
      <w:pPr>
        <w:pStyle w:val="13"/>
        <w:ind w:firstLine="482"/>
      </w:pPr>
      <w:r w:rsidRPr="00E05BDA">
        <w:rPr>
          <w:rFonts w:hint="eastAsia"/>
          <w:b/>
        </w:rPr>
        <w:t xml:space="preserve">第二十二条 </w:t>
      </w:r>
      <w:r w:rsidR="00281247">
        <w:t>经核准或备案的森林资源资产评估结果有效期为自评估基准日起1年。</w:t>
      </w:r>
    </w:p>
    <w:p w14:paraId="00BC832F" w14:textId="558EE57E" w:rsidR="00281247" w:rsidRDefault="00E05BDA" w:rsidP="00281247">
      <w:pPr>
        <w:pStyle w:val="13"/>
        <w:ind w:firstLine="482"/>
      </w:pPr>
      <w:r w:rsidRPr="00E05BDA">
        <w:rPr>
          <w:b/>
        </w:rPr>
        <w:t xml:space="preserve">第二十三条 </w:t>
      </w:r>
      <w:r w:rsidR="00281247">
        <w:t>国有森林资源资产占有单位在进行与资产评估相应的经济行为时，应</w:t>
      </w:r>
      <w:r w:rsidR="00281247">
        <w:rPr>
          <w:rFonts w:hint="eastAsia"/>
        </w:rPr>
        <w:t>当以核准或备案的资产评估结果为作价参考依据。在产权交易过程中，当交易价低于评估结果的</w:t>
      </w:r>
      <w:r w:rsidR="00281247">
        <w:t>90%时，应当暂停交易，在获得产权转让批准机构同意后方可继续交易。</w:t>
      </w:r>
    </w:p>
    <w:p w14:paraId="5B015852" w14:textId="77777777" w:rsidR="00281247" w:rsidRDefault="00281247" w:rsidP="00AF7342">
      <w:pPr>
        <w:pStyle w:val="a9"/>
        <w:spacing w:before="62" w:after="62"/>
      </w:pPr>
      <w:r>
        <w:rPr>
          <w:rFonts w:hint="eastAsia"/>
        </w:rPr>
        <w:t>第五章</w:t>
      </w:r>
      <w:r>
        <w:t xml:space="preserve"> 监督管理</w:t>
      </w:r>
    </w:p>
    <w:p w14:paraId="5DA62F1C" w14:textId="46BD3FA1" w:rsidR="00281247" w:rsidRDefault="00E05BDA" w:rsidP="00281247">
      <w:pPr>
        <w:pStyle w:val="13"/>
        <w:ind w:firstLine="482"/>
      </w:pPr>
      <w:r w:rsidRPr="00E05BDA">
        <w:rPr>
          <w:rFonts w:hint="eastAsia"/>
          <w:b/>
        </w:rPr>
        <w:t xml:space="preserve">第二十四条 </w:t>
      </w:r>
      <w:r w:rsidR="00281247">
        <w:t>省级财政部门和林业主管部门应当加强对国有森林资源资产评估工作的监督检查工作，采取定期或不定期检查方式对森林资源资产评估项目情况进</w:t>
      </w:r>
      <w:r w:rsidR="00281247">
        <w:lastRenderedPageBreak/>
        <w:t>行抽查。</w:t>
      </w:r>
    </w:p>
    <w:p w14:paraId="4B6A2B00" w14:textId="483F33A6" w:rsidR="00281247" w:rsidRDefault="00E05BDA" w:rsidP="00281247">
      <w:pPr>
        <w:pStyle w:val="13"/>
        <w:ind w:firstLine="482"/>
      </w:pPr>
      <w:r w:rsidRPr="00E05BDA">
        <w:rPr>
          <w:rFonts w:hint="eastAsia"/>
          <w:b/>
        </w:rPr>
        <w:t xml:space="preserve">第二十五条 </w:t>
      </w:r>
      <w:r w:rsidR="00281247">
        <w:t xml:space="preserve">省级林业主管部门应当于每年度终了 30 </w:t>
      </w:r>
      <w:proofErr w:type="gramStart"/>
      <w:r w:rsidR="00281247">
        <w:t>个</w:t>
      </w:r>
      <w:proofErr w:type="gramEnd"/>
      <w:r w:rsidR="00281247">
        <w:t>工作日内将本省（区）森林资源资产评估项目的核准、备案情况及检查结果报国家林业局。</w:t>
      </w:r>
    </w:p>
    <w:p w14:paraId="43007312" w14:textId="77777777" w:rsidR="00281247" w:rsidRDefault="00281247" w:rsidP="00AF7342">
      <w:pPr>
        <w:pStyle w:val="a9"/>
        <w:spacing w:before="62" w:after="62"/>
      </w:pPr>
      <w:r>
        <w:rPr>
          <w:rFonts w:hint="eastAsia"/>
        </w:rPr>
        <w:t>第六章</w:t>
      </w:r>
      <w:r>
        <w:t xml:space="preserve"> 附则</w:t>
      </w:r>
    </w:p>
    <w:p w14:paraId="034B4BBD" w14:textId="2859C492" w:rsidR="00281247" w:rsidRDefault="00E05BDA" w:rsidP="00281247">
      <w:pPr>
        <w:pStyle w:val="13"/>
        <w:ind w:firstLine="482"/>
      </w:pPr>
      <w:r w:rsidRPr="00E05BDA">
        <w:rPr>
          <w:rFonts w:hint="eastAsia"/>
          <w:b/>
        </w:rPr>
        <w:t xml:space="preserve">第二十六条 </w:t>
      </w:r>
      <w:r w:rsidR="00281247">
        <w:t>各省（自治区、直辖市）财政部门和林业主管部门可根据本省（自治区、直辖市）实际情况，依据本规定制定实施细则或操作办法，报财政部和国家林业局备案。</w:t>
      </w:r>
    </w:p>
    <w:p w14:paraId="7AA54F19" w14:textId="02EBDBE6" w:rsidR="00281247" w:rsidRDefault="00E05BDA" w:rsidP="00281247">
      <w:pPr>
        <w:pStyle w:val="13"/>
        <w:ind w:firstLine="482"/>
      </w:pPr>
      <w:r w:rsidRPr="00E05BDA">
        <w:rPr>
          <w:rFonts w:hint="eastAsia"/>
          <w:b/>
        </w:rPr>
        <w:t xml:space="preserve">第二十七条 </w:t>
      </w:r>
      <w:r w:rsidR="00281247">
        <w:t>本规定由财政部、国家林业局负责解释。</w:t>
      </w:r>
    </w:p>
    <w:p w14:paraId="335C108D" w14:textId="3A748C07" w:rsidR="00281247" w:rsidRDefault="00E05BDA" w:rsidP="00281247">
      <w:pPr>
        <w:pStyle w:val="13"/>
        <w:ind w:firstLine="482"/>
      </w:pPr>
      <w:r w:rsidRPr="00E05BDA">
        <w:rPr>
          <w:rFonts w:hint="eastAsia"/>
          <w:b/>
        </w:rPr>
        <w:t xml:space="preserve">第二十八条 </w:t>
      </w:r>
      <w:r w:rsidR="00281247">
        <w:t>本规定自 2007</w:t>
      </w:r>
      <w:r w:rsidR="003068F8">
        <w:t>年</w:t>
      </w:r>
      <w:r w:rsidR="00281247">
        <w:t>1</w:t>
      </w:r>
      <w:r w:rsidR="003068F8">
        <w:t>月</w:t>
      </w:r>
      <w:r w:rsidR="00281247">
        <w:t>1</w:t>
      </w:r>
      <w:r w:rsidR="003068F8">
        <w:t>日</w:t>
      </w:r>
      <w:r w:rsidR="00281247">
        <w:t>起施行。原林业部和原国家国有资产管理局发布的《关于〈森林资源资产产权变动有关问题的规范意见（试行）〉的通知》（林财字</w:t>
      </w:r>
      <w:r w:rsidR="00281247">
        <w:rPr>
          <w:rFonts w:hint="eastAsia"/>
        </w:rPr>
        <w:t>〔</w:t>
      </w:r>
      <w:r w:rsidR="00281247">
        <w:t>1995〕67号）和《关于加强森林资源资产评估管理工作若干问题的通知》（国资办发</w:t>
      </w:r>
      <w:r w:rsidR="00281247">
        <w:rPr>
          <w:rFonts w:hint="eastAsia"/>
        </w:rPr>
        <w:t>〔</w:t>
      </w:r>
      <w:r w:rsidR="00281247">
        <w:t>1997〕16号）同时废止。</w:t>
      </w:r>
    </w:p>
    <w:p w14:paraId="6DF3B5C8" w14:textId="77777777" w:rsidR="00281247" w:rsidRDefault="00281247" w:rsidP="00281247">
      <w:pPr>
        <w:pStyle w:val="13"/>
      </w:pPr>
      <w:r>
        <w:rPr>
          <w:rFonts w:hint="eastAsia"/>
        </w:rPr>
        <w:t>附表：</w:t>
      </w:r>
      <w:r>
        <w:t>1.森林资源资产评估项目核准申请表</w:t>
      </w:r>
    </w:p>
    <w:p w14:paraId="60FCEA19" w14:textId="39919B37" w:rsidR="002D34B5" w:rsidRDefault="00281247" w:rsidP="00281247">
      <w:pPr>
        <w:pStyle w:val="13"/>
      </w:pPr>
      <w:r>
        <w:t>2.森林资源资产评估项目备案申请表</w:t>
      </w:r>
    </w:p>
    <w:p w14:paraId="5D7BD1A1" w14:textId="2C7F124D" w:rsidR="002D34B5" w:rsidRDefault="00281247" w:rsidP="00281247">
      <w:pPr>
        <w:pStyle w:val="13"/>
        <w:ind w:firstLineChars="0" w:firstLine="0"/>
      </w:pPr>
      <w:r>
        <w:rPr>
          <w:noProof/>
        </w:rPr>
        <w:drawing>
          <wp:inline distT="0" distB="0" distL="0" distR="0" wp14:anchorId="21EDDC21" wp14:editId="46993266">
            <wp:extent cx="5715000" cy="3876675"/>
            <wp:effectExtent l="0" t="0" r="0" b="9525"/>
            <wp:docPr id="32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5715000" cy="3876675"/>
                    </a:xfrm>
                    <a:prstGeom prst="rect">
                      <a:avLst/>
                    </a:prstGeom>
                    <a:noFill/>
                  </pic:spPr>
                </pic:pic>
              </a:graphicData>
            </a:graphic>
          </wp:inline>
        </w:drawing>
      </w:r>
    </w:p>
    <w:p w14:paraId="327BDAF3" w14:textId="5599629A" w:rsidR="002D34B5" w:rsidRDefault="00281247" w:rsidP="00281247">
      <w:pPr>
        <w:pStyle w:val="13"/>
        <w:ind w:firstLineChars="0" w:firstLine="0"/>
      </w:pPr>
      <w:r>
        <w:rPr>
          <w:noProof/>
        </w:rPr>
        <w:lastRenderedPageBreak/>
        <w:drawing>
          <wp:inline distT="0" distB="0" distL="0" distR="0" wp14:anchorId="78689D96" wp14:editId="3D01A424">
            <wp:extent cx="5543550" cy="3757023"/>
            <wp:effectExtent l="0" t="0" r="0" b="0"/>
            <wp:docPr id="32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5543550" cy="3757023"/>
                    </a:xfrm>
                    <a:prstGeom prst="rect">
                      <a:avLst/>
                    </a:prstGeom>
                    <a:noFill/>
                  </pic:spPr>
                </pic:pic>
              </a:graphicData>
            </a:graphic>
          </wp:inline>
        </w:drawing>
      </w:r>
    </w:p>
    <w:p w14:paraId="020353D2" w14:textId="54B34FEB" w:rsidR="002D34B5" w:rsidRDefault="002D34B5" w:rsidP="00882ED4">
      <w:pPr>
        <w:pStyle w:val="13"/>
      </w:pPr>
    </w:p>
    <w:p w14:paraId="7E0DBFCA" w14:textId="21FE5DE7" w:rsidR="002D34B5" w:rsidRDefault="005D5D49" w:rsidP="005D5D49">
      <w:pPr>
        <w:pStyle w:val="31"/>
        <w:spacing w:before="156" w:after="62"/>
      </w:pPr>
      <w:bookmarkStart w:id="227" w:name="_Toc81833460"/>
      <w:r w:rsidRPr="005D5D49">
        <w:rPr>
          <w:rFonts w:hint="eastAsia"/>
        </w:rPr>
        <w:t>《关于规范中央企业选聘评估机构工作的指导意见》（</w:t>
      </w:r>
      <w:proofErr w:type="gramStart"/>
      <w:r w:rsidRPr="005D5D49">
        <w:rPr>
          <w:rFonts w:hint="eastAsia"/>
        </w:rPr>
        <w:t>国资发产权</w:t>
      </w:r>
      <w:proofErr w:type="gramEnd"/>
      <w:r w:rsidRPr="005D5D49">
        <w:rPr>
          <w:rFonts w:hint="eastAsia"/>
        </w:rPr>
        <w:t>〔</w:t>
      </w:r>
      <w:r w:rsidRPr="005D5D49">
        <w:t>2011〕68号）</w:t>
      </w:r>
      <w:bookmarkEnd w:id="227"/>
    </w:p>
    <w:p w14:paraId="3524DD2D" w14:textId="77777777" w:rsidR="005D5D49" w:rsidRDefault="005D5D49" w:rsidP="005D5D49">
      <w:pPr>
        <w:pStyle w:val="13"/>
      </w:pPr>
      <w:r>
        <w:rPr>
          <w:rFonts w:hint="eastAsia"/>
        </w:rPr>
        <w:t>为进一步加强中央企业国有资产评估管理工作，规范企业选聘评估机构行为，维护国有资产出资人合法权益，根据《中华人民共和国企业国有资产法》、《企业国有资产评估管理暂行办法》（国资委令第</w:t>
      </w:r>
      <w:r>
        <w:t>12号）等有关法律和规定，现就中央企业选聘评估机构工作提出以下意见：</w:t>
      </w:r>
    </w:p>
    <w:p w14:paraId="6245D6EB" w14:textId="120CF9EE" w:rsidR="005D5D49" w:rsidRDefault="005D5D49" w:rsidP="005D5D49">
      <w:pPr>
        <w:pStyle w:val="13"/>
      </w:pPr>
      <w:r>
        <w:rPr>
          <w:rFonts w:hint="eastAsia"/>
        </w:rPr>
        <w:t>一、中央企业应当依据国家有关法律法规的要求，结合本企业具体情况，制订评估机构选聘管理制度，完善评估机构选聘工作程序，明确评估机构选聘条件，建立评估机构执业质量评价标准及考核体系。</w:t>
      </w:r>
    </w:p>
    <w:p w14:paraId="2C52F1D4" w14:textId="16DCD869" w:rsidR="005D5D49" w:rsidRDefault="005D5D49" w:rsidP="005D5D49">
      <w:pPr>
        <w:pStyle w:val="13"/>
      </w:pPr>
      <w:r>
        <w:rPr>
          <w:rFonts w:hint="eastAsia"/>
        </w:rPr>
        <w:t>二、中央企业选聘的评估机构应当符合以下条件：</w:t>
      </w:r>
    </w:p>
    <w:p w14:paraId="0514208B" w14:textId="3166E96B" w:rsidR="005D5D49" w:rsidRDefault="005D5D49" w:rsidP="005D5D49">
      <w:pPr>
        <w:pStyle w:val="13"/>
      </w:pPr>
      <w:r>
        <w:rPr>
          <w:rFonts w:hint="eastAsia"/>
        </w:rPr>
        <w:t>（一）遵守国家有关法律、法规、规章以及企业国有资产评估的政策规定，严格履行法定职责，近</w:t>
      </w:r>
      <w:r>
        <w:t>3年内没有违法、违规执业记录。</w:t>
      </w:r>
    </w:p>
    <w:p w14:paraId="703135C2" w14:textId="54158D54" w:rsidR="005D5D49" w:rsidRDefault="005D5D49" w:rsidP="005D5D49">
      <w:pPr>
        <w:pStyle w:val="13"/>
      </w:pPr>
      <w:r>
        <w:rPr>
          <w:rFonts w:hint="eastAsia"/>
        </w:rPr>
        <w:t>（二）掌握企业所在行业的经济行为特点和相关市场信息，具有与企业评估需求相适应的资质条件、专业人员和专业特长。</w:t>
      </w:r>
    </w:p>
    <w:p w14:paraId="2AE83556" w14:textId="59DBB917" w:rsidR="005D5D49" w:rsidRDefault="005D5D49" w:rsidP="005D5D49">
      <w:pPr>
        <w:pStyle w:val="13"/>
      </w:pPr>
      <w:r>
        <w:rPr>
          <w:rFonts w:hint="eastAsia"/>
        </w:rPr>
        <w:t>（三）熟悉与企业及其所在行业相关的法规、政策。</w:t>
      </w:r>
    </w:p>
    <w:p w14:paraId="2952E069" w14:textId="5D587E92" w:rsidR="005D5D49" w:rsidRDefault="005D5D49" w:rsidP="005D5D49">
      <w:pPr>
        <w:pStyle w:val="13"/>
      </w:pPr>
      <w:r>
        <w:rPr>
          <w:rFonts w:hint="eastAsia"/>
        </w:rPr>
        <w:t>三、中央企业应当按照“公开、公平、公正”的原则，根据自身及其各级子企业规模、区域分布、资产评估业务特点等，结合评估机构的资质条件、人员规模、执业质量、执业信誉、技术特长、区域分布等因素，建立适应本企业各类评估业务需求的评估机构备选库。</w:t>
      </w:r>
    </w:p>
    <w:p w14:paraId="6B77F083" w14:textId="26FC915D" w:rsidR="005D5D49" w:rsidRDefault="005D5D49" w:rsidP="005D5D49">
      <w:pPr>
        <w:pStyle w:val="13"/>
      </w:pPr>
      <w:r>
        <w:rPr>
          <w:rFonts w:hint="eastAsia"/>
        </w:rPr>
        <w:lastRenderedPageBreak/>
        <w:t>中央企业确定评估机构备选库后，应当在本企业公告备选评估机构名单，并在公告期截止之日起</w:t>
      </w:r>
      <w:r>
        <w:t>10个工作日内将备选评估机构名单及选聘情况报送国资委备案。国资委根据备案情况，将中央企业备选评估机构名单在国资委网站上向社会公布。</w:t>
      </w:r>
    </w:p>
    <w:p w14:paraId="7352BFA8" w14:textId="42616CF5" w:rsidR="005D5D49" w:rsidRDefault="005D5D49" w:rsidP="005D5D49">
      <w:pPr>
        <w:pStyle w:val="13"/>
      </w:pPr>
      <w:r>
        <w:rPr>
          <w:rFonts w:hint="eastAsia"/>
        </w:rPr>
        <w:t>四、中央企业及其各级子企业在聘请评估机构执行业务时，应当在本企业评估机构备选库内实行差额竞争选聘。个别临时业务中确有原因不能在本企业备选库内选聘的，应当在国资委公布的中央企业备选评估机构名单中竞争选聘，并向国资委报告相关情况。</w:t>
      </w:r>
    </w:p>
    <w:p w14:paraId="488F89CA" w14:textId="2E9DDA7B" w:rsidR="005D5D49" w:rsidRDefault="005D5D49" w:rsidP="005D5D49">
      <w:pPr>
        <w:pStyle w:val="13"/>
      </w:pPr>
      <w:r>
        <w:rPr>
          <w:rFonts w:hint="eastAsia"/>
        </w:rPr>
        <w:t>五、中央企业应当根据评估机构执业质量评价结果和企业评估业务需要，对评估机构备选</w:t>
      </w:r>
      <w:proofErr w:type="gramStart"/>
      <w:r>
        <w:rPr>
          <w:rFonts w:hint="eastAsia"/>
        </w:rPr>
        <w:t>库实行</w:t>
      </w:r>
      <w:proofErr w:type="gramEnd"/>
      <w:r>
        <w:rPr>
          <w:rFonts w:hint="eastAsia"/>
        </w:rPr>
        <w:t>动态管理，原则上每两年调整一次，调整时应当根据执业质量评价结果对备选评估机构予以一定比例的更换。</w:t>
      </w:r>
    </w:p>
    <w:p w14:paraId="45A5EAAA" w14:textId="78D3749A" w:rsidR="005D5D49" w:rsidRDefault="005D5D49" w:rsidP="005D5D49">
      <w:pPr>
        <w:pStyle w:val="13"/>
      </w:pPr>
      <w:r>
        <w:rPr>
          <w:rFonts w:hint="eastAsia"/>
        </w:rPr>
        <w:t>六、受聘评估机构在执业过程中发生故意违规行为的，中央企业应终止其执行该业务；情节严重的，应将该评估机构从本企业评估机构备选库中删除，同时将相关情况报告国资委及有关部门，由国资委通告各中央企业三年内不再选聘该评估机构；涉嫌犯罪的，依法移送司法机关处理。</w:t>
      </w:r>
    </w:p>
    <w:p w14:paraId="04018A2D" w14:textId="632D2291" w:rsidR="002D34B5" w:rsidRDefault="005D5D49" w:rsidP="005D5D49">
      <w:pPr>
        <w:pStyle w:val="13"/>
      </w:pPr>
      <w:r>
        <w:rPr>
          <w:rFonts w:hint="eastAsia"/>
        </w:rPr>
        <w:t>七、中央企业在选聘评估机构过程中，应当严格按照本指导意见执行。国资委定期对中央企业评估机构备选库建立工作及企业重大重组改制涉及的评估机构选聘工作进行抽查和监督。</w:t>
      </w:r>
    </w:p>
    <w:p w14:paraId="47B6CC03" w14:textId="77777777" w:rsidR="005D5D49" w:rsidRDefault="005D5D49" w:rsidP="005D5D49">
      <w:pPr>
        <w:pStyle w:val="13"/>
        <w:jc w:val="right"/>
      </w:pPr>
      <w:r>
        <w:rPr>
          <w:rFonts w:hint="eastAsia"/>
        </w:rPr>
        <w:t>国务院国有资产监督管理委员会</w:t>
      </w:r>
    </w:p>
    <w:p w14:paraId="0F4577EB" w14:textId="1C2FFBA5" w:rsidR="002D34B5" w:rsidRDefault="005D5D49" w:rsidP="005D5D49">
      <w:pPr>
        <w:pStyle w:val="13"/>
        <w:jc w:val="right"/>
      </w:pPr>
      <w:r>
        <w:rPr>
          <w:rFonts w:hint="eastAsia"/>
        </w:rPr>
        <w:t>二〇一一年五月二十八日</w:t>
      </w:r>
    </w:p>
    <w:p w14:paraId="083A09B2" w14:textId="77777777" w:rsidR="00EA7C3F" w:rsidRPr="00CE47EB" w:rsidRDefault="00EA7C3F" w:rsidP="00EA7C3F">
      <w:pPr>
        <w:pStyle w:val="31"/>
        <w:spacing w:before="156" w:after="62"/>
      </w:pPr>
      <w:bookmarkStart w:id="228" w:name="_Toc81833461"/>
      <w:r>
        <w:rPr>
          <w:rFonts w:hint="eastAsia"/>
        </w:rPr>
        <w:t>《国务院关于国有企业发展混合所有制经济的意见》（</w:t>
      </w:r>
      <w:r w:rsidRPr="002D34B5">
        <w:rPr>
          <w:rFonts w:hint="eastAsia"/>
        </w:rPr>
        <w:t>国发〔</w:t>
      </w:r>
      <w:r w:rsidRPr="002D34B5">
        <w:t>2015〕54号</w:t>
      </w:r>
      <w:r>
        <w:rPr>
          <w:rFonts w:hint="eastAsia"/>
        </w:rPr>
        <w:t>）</w:t>
      </w:r>
      <w:bookmarkEnd w:id="228"/>
    </w:p>
    <w:p w14:paraId="359295DB" w14:textId="77777777" w:rsidR="00EA7C3F" w:rsidRDefault="00EA7C3F" w:rsidP="00EA7C3F">
      <w:pPr>
        <w:pStyle w:val="13"/>
        <w:ind w:firstLineChars="0" w:firstLine="0"/>
      </w:pPr>
      <w:r>
        <w:rPr>
          <w:rFonts w:hint="eastAsia"/>
        </w:rPr>
        <w:t>各省、自治区、直辖市人民政府，国务院各部委、各直属机构：</w:t>
      </w:r>
    </w:p>
    <w:p w14:paraId="538BC222" w14:textId="77777777" w:rsidR="00EA7C3F" w:rsidRDefault="00EA7C3F" w:rsidP="00EA7C3F">
      <w:pPr>
        <w:pStyle w:val="13"/>
      </w:pPr>
      <w:r>
        <w:rPr>
          <w:rFonts w:hint="eastAsia"/>
        </w:rPr>
        <w:t>发展混合所有制经济，是深化国有企业改革的重要举措。为贯彻党的十八大和十八届三中、四中全会精神，按照“四个全面”战略布局要求，落实党中央、国务院决策部署，推进国有企业混合所有制改革，促进各种所有制经济共同发展，现提出以下意见。</w:t>
      </w:r>
    </w:p>
    <w:p w14:paraId="33A36872" w14:textId="77777777" w:rsidR="00EA7C3F" w:rsidRDefault="00EA7C3F" w:rsidP="00EA7C3F">
      <w:pPr>
        <w:pStyle w:val="ab"/>
        <w:spacing w:before="62" w:after="62"/>
        <w:ind w:firstLine="482"/>
      </w:pPr>
      <w:r>
        <w:rPr>
          <w:rFonts w:hint="eastAsia"/>
        </w:rPr>
        <w:t>一、总体要求</w:t>
      </w:r>
    </w:p>
    <w:p w14:paraId="1EEAABF1" w14:textId="77777777" w:rsidR="00EA7C3F" w:rsidRDefault="00EA7C3F" w:rsidP="00EA7C3F">
      <w:pPr>
        <w:pStyle w:val="13"/>
      </w:pPr>
      <w:r>
        <w:rPr>
          <w:rFonts w:hint="eastAsia"/>
        </w:rPr>
        <w:t>（一）改革出发点和落脚点。国有资本、集体资本、非公有资本等交叉持股、相互融合的混合所有制经济，是基本经济制度的重要实现形式。多年来，一批国有企业通过改制发展成为混合所有制企业，但治理机制和监管体制还需要进一步完善；还有许多国有企业为转换经营机制、提高运行效率，正在积极探索混合所有制改革。当前，应对日益激烈的国际竞争和挑战，推动我国经济保持中高速增长、迈向中高端水平，需要通过深化国有企业混合所有制改革，推动完善现代企业制度，健全企业法人治理结构；提高国有资本配置和运行效率，优化国有经济布局，增强国有经济活力、控制</w:t>
      </w:r>
      <w:r>
        <w:rPr>
          <w:rFonts w:hint="eastAsia"/>
        </w:rPr>
        <w:lastRenderedPageBreak/>
        <w:t>力、影响力和抗风险能力，主动适应和引领经济发展新常态；促进国有企业转换经营机制，放大国有资本功能，实现国有资产保值增值，实现各种所有制资本取长补短、相互促进、共同发展，夯实社会主义基本经济制度的微观基础。在国有企业混合所有制改革中，要坚决防止因监管不到位、改革不彻底导致国有资产流失。</w:t>
      </w:r>
    </w:p>
    <w:p w14:paraId="2BD2FDD1" w14:textId="77777777" w:rsidR="00EA7C3F" w:rsidRDefault="00EA7C3F" w:rsidP="00EA7C3F">
      <w:pPr>
        <w:pStyle w:val="13"/>
      </w:pPr>
      <w:r>
        <w:rPr>
          <w:rFonts w:hint="eastAsia"/>
        </w:rPr>
        <w:t>（二）基本原则。</w:t>
      </w:r>
    </w:p>
    <w:p w14:paraId="585FF66B" w14:textId="77777777" w:rsidR="00EA7C3F" w:rsidRDefault="00EA7C3F" w:rsidP="00EA7C3F">
      <w:pPr>
        <w:pStyle w:val="13"/>
      </w:pPr>
      <w:r>
        <w:rPr>
          <w:rFonts w:hint="eastAsia"/>
        </w:rPr>
        <w:t>——政府引导，市场运作。尊重市场经济规律和企业发展规律，以企业为主体，充分发挥市场机制作用，把引资本与转机制结合起来，把产权多元化与完善企业法人治理结构结合起来，探索国有企业混合所有制改革的有效途径。</w:t>
      </w:r>
    </w:p>
    <w:p w14:paraId="747D4940" w14:textId="77777777" w:rsidR="00EA7C3F" w:rsidRDefault="00EA7C3F" w:rsidP="00EA7C3F">
      <w:pPr>
        <w:pStyle w:val="13"/>
      </w:pPr>
      <w:r>
        <w:rPr>
          <w:rFonts w:hint="eastAsia"/>
        </w:rPr>
        <w:t>——完善制度，保护产权。以保护产权、维护契约、统一市场、平等交换、公平竞争、有效监管为基本导向，切实保护混合所有制企业各类出资人的产权权益，调动各类资本参与发展混合所有制经济的积极性。</w:t>
      </w:r>
    </w:p>
    <w:p w14:paraId="0570090D" w14:textId="77777777" w:rsidR="00EA7C3F" w:rsidRDefault="00EA7C3F" w:rsidP="00EA7C3F">
      <w:pPr>
        <w:pStyle w:val="13"/>
      </w:pPr>
      <w:r>
        <w:rPr>
          <w:rFonts w:hint="eastAsia"/>
        </w:rPr>
        <w:t>——严格程序，规范操作。坚持依法依规，进一步健全国有资产交易规则，科学评估国有资产价值，完善市场定价机制，切实做到规则公开、过程公开、结果公开。强化交易主体和交易过程监管，防止暗箱操作、低价贱卖、利益输送、化公为私、逃废债务，杜绝国有资产流失。</w:t>
      </w:r>
    </w:p>
    <w:p w14:paraId="3617E14F" w14:textId="77777777" w:rsidR="00EA7C3F" w:rsidRDefault="00EA7C3F" w:rsidP="00EA7C3F">
      <w:pPr>
        <w:pStyle w:val="13"/>
      </w:pPr>
      <w:r>
        <w:rPr>
          <w:rFonts w:hint="eastAsia"/>
        </w:rPr>
        <w:t>——宜改则改，稳妥推进。对通过实行股份制、上市等途径已经实行混合所有制的国有企业，要着力在完善现代企业制度、提高资本运行效率上下功夫；对适宜继续推进混合所有制改革的国有企业，要充分发挥市场机制作用，坚持因地施策、因业施策、因企施策，</w:t>
      </w:r>
      <w:proofErr w:type="gramStart"/>
      <w:r>
        <w:rPr>
          <w:rFonts w:hint="eastAsia"/>
        </w:rPr>
        <w:t>宜独则独</w:t>
      </w:r>
      <w:proofErr w:type="gramEnd"/>
      <w:r>
        <w:rPr>
          <w:rFonts w:hint="eastAsia"/>
        </w:rPr>
        <w:t>、宜</w:t>
      </w:r>
      <w:proofErr w:type="gramStart"/>
      <w:r>
        <w:rPr>
          <w:rFonts w:hint="eastAsia"/>
        </w:rPr>
        <w:t>控则控</w:t>
      </w:r>
      <w:proofErr w:type="gramEnd"/>
      <w:r>
        <w:rPr>
          <w:rFonts w:hint="eastAsia"/>
        </w:rPr>
        <w:t>、</w:t>
      </w:r>
      <w:proofErr w:type="gramStart"/>
      <w:r>
        <w:rPr>
          <w:rFonts w:hint="eastAsia"/>
        </w:rPr>
        <w:t>宜参则参</w:t>
      </w:r>
      <w:proofErr w:type="gramEnd"/>
      <w:r>
        <w:rPr>
          <w:rFonts w:hint="eastAsia"/>
        </w:rPr>
        <w:t>，不搞拉郎配，不搞全覆盖，不设时间表，</w:t>
      </w:r>
      <w:proofErr w:type="gramStart"/>
      <w:r>
        <w:rPr>
          <w:rFonts w:hint="eastAsia"/>
        </w:rPr>
        <w:t>一</w:t>
      </w:r>
      <w:proofErr w:type="gramEnd"/>
      <w:r>
        <w:rPr>
          <w:rFonts w:hint="eastAsia"/>
        </w:rPr>
        <w:t>企</w:t>
      </w:r>
      <w:proofErr w:type="gramStart"/>
      <w:r>
        <w:rPr>
          <w:rFonts w:hint="eastAsia"/>
        </w:rPr>
        <w:t>一</w:t>
      </w:r>
      <w:proofErr w:type="gramEnd"/>
      <w:r>
        <w:rPr>
          <w:rFonts w:hint="eastAsia"/>
        </w:rPr>
        <w:t>策，成熟一个推进一个，确保改革规范有序进行。尊重基层创新实践，形成一批可复制、可推广的成功做法。</w:t>
      </w:r>
    </w:p>
    <w:p w14:paraId="4D2B6645" w14:textId="77777777" w:rsidR="00EA7C3F" w:rsidRDefault="00EA7C3F" w:rsidP="00EA7C3F">
      <w:pPr>
        <w:pStyle w:val="ab"/>
        <w:spacing w:before="62" w:after="62"/>
        <w:ind w:firstLine="482"/>
      </w:pPr>
      <w:r>
        <w:rPr>
          <w:rFonts w:hint="eastAsia"/>
        </w:rPr>
        <w:t>二、分类推进国有企业混合所有制改革</w:t>
      </w:r>
    </w:p>
    <w:p w14:paraId="14FF455A" w14:textId="77777777" w:rsidR="00EA7C3F" w:rsidRDefault="00EA7C3F" w:rsidP="00EA7C3F">
      <w:pPr>
        <w:pStyle w:val="13"/>
      </w:pPr>
      <w:r>
        <w:rPr>
          <w:rFonts w:hint="eastAsia"/>
        </w:rPr>
        <w:t>（三）稳妥推进主业处于充分竞争行业和领域的商业类国有企业混合所有制改革。按照市场化、国际化要求，以增强国有经济活力、放大国有资本功能、实现国有资产保值增值为主要目标，以提高经济效益和创新商业模式为导向，充分运用整体上市等方式，积极引入其他国有资本或各类非国有资本实现股权多元化。坚持以资本为纽带完善混合所有制企业治理结构和管理方式，国有资本出资人和各类非国有资本出资人以股东身份履行权利和职责，使混合所有制企业成为真正的市场主体。</w:t>
      </w:r>
    </w:p>
    <w:p w14:paraId="201450D5" w14:textId="77777777" w:rsidR="00EA7C3F" w:rsidRDefault="00EA7C3F" w:rsidP="00EA7C3F">
      <w:pPr>
        <w:pStyle w:val="13"/>
      </w:pPr>
      <w:r>
        <w:rPr>
          <w:rFonts w:hint="eastAsia"/>
        </w:rPr>
        <w:t>（四）有效探索主业处于重要行业和关键领域的商业类国有企业混合所有制改革。对主业处于关系国家安全、国民经济命脉的重要行业和关键领域、主要承担重大专项任务的商业类国有企业，要保持国有资本控股地位，支持非国有资本参股。对自然垄断行业，实行以政企分开、政资分开、特许经营、政府监管为主要内容的改革，根据不同行业特点</w:t>
      </w:r>
      <w:proofErr w:type="gramStart"/>
      <w:r>
        <w:rPr>
          <w:rFonts w:hint="eastAsia"/>
        </w:rPr>
        <w:t>实行网运</w:t>
      </w:r>
      <w:proofErr w:type="gramEnd"/>
      <w:r>
        <w:rPr>
          <w:rFonts w:hint="eastAsia"/>
        </w:rPr>
        <w:t>分开、放开竞争性业务，促进公共资源配置市场化，同时加强分类依法监管，规范营利模式。</w:t>
      </w:r>
    </w:p>
    <w:p w14:paraId="466DCBA1" w14:textId="77777777" w:rsidR="00EA7C3F" w:rsidRDefault="00EA7C3F" w:rsidP="00EA7C3F">
      <w:pPr>
        <w:pStyle w:val="13"/>
      </w:pPr>
      <w:r>
        <w:rPr>
          <w:rFonts w:hint="eastAsia"/>
        </w:rPr>
        <w:lastRenderedPageBreak/>
        <w:t>——重要通信基础设施、枢纽</w:t>
      </w:r>
      <w:proofErr w:type="gramStart"/>
      <w:r>
        <w:rPr>
          <w:rFonts w:hint="eastAsia"/>
        </w:rPr>
        <w:t>型交通</w:t>
      </w:r>
      <w:proofErr w:type="gramEnd"/>
      <w:r>
        <w:rPr>
          <w:rFonts w:hint="eastAsia"/>
        </w:rPr>
        <w:t>基础设施、重要江河流域控制性水利水电</w:t>
      </w:r>
      <w:proofErr w:type="gramStart"/>
      <w:r>
        <w:rPr>
          <w:rFonts w:hint="eastAsia"/>
        </w:rPr>
        <w:t>航电枢纽</w:t>
      </w:r>
      <w:proofErr w:type="gramEnd"/>
      <w:r>
        <w:rPr>
          <w:rFonts w:hint="eastAsia"/>
        </w:rPr>
        <w:t>、跨流域调水工程等领域，实行国有独资或控股，允许符合条件的非国有企业依法通过特许经营、政府购买服务等方式参与建设和运营。</w:t>
      </w:r>
    </w:p>
    <w:p w14:paraId="7D29A791" w14:textId="77777777" w:rsidR="00EA7C3F" w:rsidRDefault="00EA7C3F" w:rsidP="00EA7C3F">
      <w:pPr>
        <w:pStyle w:val="13"/>
      </w:pPr>
      <w:r>
        <w:rPr>
          <w:rFonts w:hint="eastAsia"/>
        </w:rPr>
        <w:t>——重要水资源、森林资源、战略性矿产资源等开发利用，实行国有独资或绝对控股，在强化环境、质量、安全监管的基础上，允许非国有资本进入，依法依规有序参与开发经营。</w:t>
      </w:r>
    </w:p>
    <w:p w14:paraId="420E5BD7" w14:textId="77777777" w:rsidR="00EA7C3F" w:rsidRDefault="00EA7C3F" w:rsidP="00EA7C3F">
      <w:pPr>
        <w:pStyle w:val="13"/>
      </w:pPr>
      <w:r>
        <w:rPr>
          <w:rFonts w:hint="eastAsia"/>
        </w:rPr>
        <w:t>——江河主干渠道、石油天然气主干管网、电网等，根据不同行业领域特点</w:t>
      </w:r>
      <w:proofErr w:type="gramStart"/>
      <w:r>
        <w:rPr>
          <w:rFonts w:hint="eastAsia"/>
        </w:rPr>
        <w:t>实行网运</w:t>
      </w:r>
      <w:proofErr w:type="gramEnd"/>
      <w:r>
        <w:rPr>
          <w:rFonts w:hint="eastAsia"/>
        </w:rPr>
        <w:t>分开、主辅分离，除对自然垄断环节的管网实行国有独资或绝对控股外，放开竞争性业务，允许非国有资本平等进入。</w:t>
      </w:r>
    </w:p>
    <w:p w14:paraId="3BE60BD1" w14:textId="77777777" w:rsidR="00EA7C3F" w:rsidRDefault="00EA7C3F" w:rsidP="00EA7C3F">
      <w:pPr>
        <w:pStyle w:val="13"/>
      </w:pPr>
      <w:r>
        <w:rPr>
          <w:rFonts w:hint="eastAsia"/>
        </w:rPr>
        <w:t>——核电、重要公共技术平台、气象测绘水文等基础数据采集利用等领域，实行国有独资或绝对控股，支持非国有企业投资参股以及参与特许经营和政府采购。粮食、石油、天然气等战略物资国家储备领域保持国有独资或控股。</w:t>
      </w:r>
    </w:p>
    <w:p w14:paraId="03601A0F" w14:textId="77777777" w:rsidR="00EA7C3F" w:rsidRDefault="00EA7C3F" w:rsidP="00EA7C3F">
      <w:pPr>
        <w:pStyle w:val="13"/>
      </w:pPr>
      <w:r>
        <w:rPr>
          <w:rFonts w:hint="eastAsia"/>
        </w:rPr>
        <w:t>——国防军工等特殊产业，从事战略武器装备科研生产、关系国家战略安全和涉及国家核心机密的核心军工能力领域，实行国有独资或绝对控股。其他军工领域，分类逐步放宽市场准入，建立竞争性采购体制机制，支持非国有企业参与武器装备科研生产、维修服务和竞争性采购。</w:t>
      </w:r>
    </w:p>
    <w:p w14:paraId="18D46FB8" w14:textId="77777777" w:rsidR="00EA7C3F" w:rsidRDefault="00EA7C3F" w:rsidP="00EA7C3F">
      <w:pPr>
        <w:pStyle w:val="13"/>
      </w:pPr>
      <w:r>
        <w:rPr>
          <w:rFonts w:hint="eastAsia"/>
        </w:rPr>
        <w:t>——对其他服务国家战略目标、重要前瞻性战略性产业、生态环境保护、共用技术平台等重要行业和关键领域，加大国有资本投资力度，发挥国有资本引导和带动作用。</w:t>
      </w:r>
    </w:p>
    <w:p w14:paraId="28CE9726" w14:textId="77777777" w:rsidR="00EA7C3F" w:rsidRDefault="00EA7C3F" w:rsidP="00EA7C3F">
      <w:pPr>
        <w:pStyle w:val="13"/>
      </w:pPr>
      <w:r>
        <w:rPr>
          <w:rFonts w:hint="eastAsia"/>
        </w:rPr>
        <w:t>（五）引导公益类国有企业规范开展混合所有制改革。在水电气热、公共交通、公共设施等提供公共产品和服务的行业和领域，根据不同业务特点，加强分类指导，推进具备条件的企业实现投资主体多元化。通过购买服务、特许经营、委托代理等方式，鼓励非国有企业参与经营。政府要加强对价格水平、成本控制、服务质量、安全标准、信息披露、营运效率、保障能力等方面的监管，根据企业不同特点有区别地考核其经营业绩指标和国有资产保值增值情况，考核中要引入社会评价。</w:t>
      </w:r>
    </w:p>
    <w:p w14:paraId="18895437" w14:textId="77777777" w:rsidR="00EA7C3F" w:rsidRDefault="00EA7C3F" w:rsidP="00EA7C3F">
      <w:pPr>
        <w:pStyle w:val="ab"/>
        <w:spacing w:before="62" w:after="62"/>
        <w:ind w:firstLine="482"/>
      </w:pPr>
      <w:r>
        <w:rPr>
          <w:rFonts w:hint="eastAsia"/>
        </w:rPr>
        <w:t>三、分层推进国有企业混合所有制改革</w:t>
      </w:r>
    </w:p>
    <w:p w14:paraId="6770796D" w14:textId="77777777" w:rsidR="00EA7C3F" w:rsidRDefault="00EA7C3F" w:rsidP="00EA7C3F">
      <w:pPr>
        <w:pStyle w:val="13"/>
      </w:pPr>
      <w:r>
        <w:rPr>
          <w:rFonts w:hint="eastAsia"/>
        </w:rPr>
        <w:t>（六）引导在子公司层面有序推进混合所有制改革。对国有企业集团公司二级及以下企业，以研发创新、生产服务等实体企业为重点，引入非国有资本，加快技术创新、管理创新、商业模式创新，合理限定法人层级，有效压缩管理层级。明确股东的法律地位和股东在资本收益、企业重大决策、选择管理者等方面的权利，股东依法按出资比例和公司章程规定行权履职。</w:t>
      </w:r>
    </w:p>
    <w:p w14:paraId="60EF3452" w14:textId="77777777" w:rsidR="00EA7C3F" w:rsidRDefault="00EA7C3F" w:rsidP="00EA7C3F">
      <w:pPr>
        <w:pStyle w:val="13"/>
      </w:pPr>
      <w:r>
        <w:rPr>
          <w:rFonts w:hint="eastAsia"/>
        </w:rPr>
        <w:t>（七）探索在集团公司层面推进混合所有制改革。在国家有明确规定的特定领域，坚持国有资本控股，形成合理的治理结构和市场化经营机制；在其他领域，鼓励通过整体上市、并购重组、发行可转债等方式，逐步调整国有股权比例，积极引入各</w:t>
      </w:r>
      <w:r>
        <w:rPr>
          <w:rFonts w:hint="eastAsia"/>
        </w:rPr>
        <w:lastRenderedPageBreak/>
        <w:t>类投资者，形成股权结构多元、股东行为规范、内部约束有效、运行高效灵活的经营机制。</w:t>
      </w:r>
    </w:p>
    <w:p w14:paraId="53B712F1" w14:textId="77777777" w:rsidR="00EA7C3F" w:rsidRDefault="00EA7C3F" w:rsidP="00EA7C3F">
      <w:pPr>
        <w:pStyle w:val="13"/>
      </w:pPr>
      <w:r>
        <w:rPr>
          <w:rFonts w:hint="eastAsia"/>
        </w:rPr>
        <w:t>（八）鼓励地方从实际出发推进混合所有制改革。各地区要认真贯彻落实中央要求，区分不同情况，制定完善改革方案和相关配套措施，指导国有企业稳妥开展混合所有制改革，确保改革依法合</w:t>
      </w:r>
      <w:proofErr w:type="gramStart"/>
      <w:r>
        <w:rPr>
          <w:rFonts w:hint="eastAsia"/>
        </w:rPr>
        <w:t>规</w:t>
      </w:r>
      <w:proofErr w:type="gramEnd"/>
      <w:r>
        <w:rPr>
          <w:rFonts w:hint="eastAsia"/>
        </w:rPr>
        <w:t>、有序推进。</w:t>
      </w:r>
    </w:p>
    <w:p w14:paraId="315E89A2" w14:textId="77777777" w:rsidR="00EA7C3F" w:rsidRDefault="00EA7C3F" w:rsidP="00EA7C3F">
      <w:pPr>
        <w:pStyle w:val="ab"/>
        <w:spacing w:before="62" w:after="62"/>
        <w:ind w:firstLine="482"/>
      </w:pPr>
      <w:r>
        <w:rPr>
          <w:rFonts w:hint="eastAsia"/>
        </w:rPr>
        <w:t>四、鼓励各类资本参与国有企业混合所有制改革</w:t>
      </w:r>
    </w:p>
    <w:p w14:paraId="12D2DCC7" w14:textId="77777777" w:rsidR="00EA7C3F" w:rsidRDefault="00EA7C3F" w:rsidP="00EA7C3F">
      <w:pPr>
        <w:pStyle w:val="13"/>
      </w:pPr>
      <w:r>
        <w:rPr>
          <w:rFonts w:hint="eastAsia"/>
        </w:rPr>
        <w:t>（九）鼓励非公有资本参与国有企业混合所有制改革。非公有资本投资主体可通过出资入股、收购股权、认购可转债、股权置换等多种方式，参与国有企业改制重组或国有控股上市公司增资扩股以及企业经营管理。非公有资本投资主体可以货币出资，或以实物、股权、土地使用权等法律法规允许的方式出资。企业国有产权或国有股权转让时，除国家另有规定外，一般不在意向受让人资质条件中对民间投资主体单独设置附加条件。</w:t>
      </w:r>
    </w:p>
    <w:p w14:paraId="3E6C785D" w14:textId="77777777" w:rsidR="00EA7C3F" w:rsidRDefault="00EA7C3F" w:rsidP="00EA7C3F">
      <w:pPr>
        <w:pStyle w:val="13"/>
      </w:pPr>
      <w:r>
        <w:rPr>
          <w:rFonts w:hint="eastAsia"/>
        </w:rPr>
        <w:t>（十）支持集体资本参与国有企业混合所有制改革。明晰集体资产产权，发展股权多元化、经营产业化、管理规范化的经济实体。允许经确权认定的集体资本、资产和其他生产要素作价入股，参与国有企业混合所有制改革。研究制定股份合作经济（企业）管理办法。</w:t>
      </w:r>
    </w:p>
    <w:p w14:paraId="625258DB" w14:textId="77777777" w:rsidR="00EA7C3F" w:rsidRDefault="00EA7C3F" w:rsidP="00EA7C3F">
      <w:pPr>
        <w:pStyle w:val="13"/>
      </w:pPr>
      <w:r>
        <w:rPr>
          <w:rFonts w:hint="eastAsia"/>
        </w:rPr>
        <w:t>（十一）有序吸收外资参与国有企业混合所有制改革。引入外资参与国有企业改制重组、合资合作，鼓励通过海外并购、投融资合作、离岸金融等方式，充分利用国际市场、技术、人才等资源和要素，发展混合所有制经济，深度参与国际竞争和全球产业分工，提高资源全球化配置能力。按照扩大开放与加强监管同步的要求，依照外商投资产业指导目录和相关安全审查规定，完善外资安全审查工作机制，切实加强风险防范。</w:t>
      </w:r>
    </w:p>
    <w:p w14:paraId="0C27B7EE" w14:textId="77777777" w:rsidR="00EA7C3F" w:rsidRDefault="00EA7C3F" w:rsidP="00EA7C3F">
      <w:pPr>
        <w:pStyle w:val="13"/>
      </w:pPr>
      <w:r>
        <w:rPr>
          <w:rFonts w:hint="eastAsia"/>
        </w:rPr>
        <w:t>（十二）推广政府和社会资本合作（</w:t>
      </w:r>
      <w:r>
        <w:t>PPP）模式。优化政府投资方式，通过投资补助、基金注资、担保补贴、贷款贴息等，优先支持引入社会资本的项目。以项目运营绩效评价结果为依据，适时对价格和补贴进行调整。组合引入保险资金、社保基金等长期投资者参与国家重点工程投资。鼓励社会资本投资或参股基础设施、公用事业、公共服务等领域项目，使投资者在平等竞争中获取合理收益。加强信息公开和项目储备，建立综合信息服务平台。</w:t>
      </w:r>
    </w:p>
    <w:p w14:paraId="6AC7EE4A" w14:textId="77777777" w:rsidR="00EA7C3F" w:rsidRDefault="00EA7C3F" w:rsidP="00EA7C3F">
      <w:pPr>
        <w:pStyle w:val="13"/>
      </w:pPr>
      <w:r>
        <w:rPr>
          <w:rFonts w:hint="eastAsia"/>
        </w:rPr>
        <w:t>（十三）鼓励国有资本以多种方式入股非国有企业。在公共服务、高新技术、生态环境保护和战略性产业等重点领域，以市场选择为前提，以资本为纽带，充分发挥国有资本投资、运营公司的资本运作平台作用，对发展潜力大、成长性强的非国有企业进行股权投资。鼓励国有企业通过投资入股、联合投资、并购重组等多种方式，与非国有企业进行股权融合、战略合作、资源整合，发展混合所有制经济。支持国有资本与非国有资本共同设立股权投资基金，参与企业改制重组。</w:t>
      </w:r>
    </w:p>
    <w:p w14:paraId="130D7C01" w14:textId="77777777" w:rsidR="00EA7C3F" w:rsidRDefault="00EA7C3F" w:rsidP="00EA7C3F">
      <w:pPr>
        <w:pStyle w:val="13"/>
      </w:pPr>
      <w:r>
        <w:rPr>
          <w:rFonts w:hint="eastAsia"/>
        </w:rPr>
        <w:lastRenderedPageBreak/>
        <w:t>（十四）探索完善优先股和国家特殊管理股方式。国有资本</w:t>
      </w:r>
      <w:proofErr w:type="gramStart"/>
      <w:r>
        <w:rPr>
          <w:rFonts w:hint="eastAsia"/>
        </w:rPr>
        <w:t>参股非</w:t>
      </w:r>
      <w:proofErr w:type="gramEnd"/>
      <w:r>
        <w:rPr>
          <w:rFonts w:hint="eastAsia"/>
        </w:rPr>
        <w:t>国有企业或国有企业引入非国有资本时，允许将部分国有资本转化为优先股。在少数特定领域探索建立国家特殊管理股制度，依照相关法律法规和公司章程规定，行使特定事项否决权，保证国有资本在特定领域的控制力。</w:t>
      </w:r>
    </w:p>
    <w:p w14:paraId="075AF43B" w14:textId="77777777" w:rsidR="00EA7C3F" w:rsidRDefault="00EA7C3F" w:rsidP="00EA7C3F">
      <w:pPr>
        <w:pStyle w:val="13"/>
      </w:pPr>
      <w:r>
        <w:rPr>
          <w:rFonts w:hint="eastAsia"/>
        </w:rPr>
        <w:t>（十五）探索实行混合所有制企业员工持股。坚持激励和约束相结合的原则，通过试点稳妥推进员工持股。员工持股主要采取增资扩股、出资新设等方式，优先支持人才资本和技术要素贡献</w:t>
      </w:r>
      <w:proofErr w:type="gramStart"/>
      <w:r>
        <w:rPr>
          <w:rFonts w:hint="eastAsia"/>
        </w:rPr>
        <w:t>占比较</w:t>
      </w:r>
      <w:proofErr w:type="gramEnd"/>
      <w:r>
        <w:rPr>
          <w:rFonts w:hint="eastAsia"/>
        </w:rPr>
        <w:t>高的转制科研院所、高新技术企业和科技服务型企业开展试点，支持对企业经营业绩和持续发展有直接或较大影响的科研人员、经营管理人员和业务骨干等持股。完善相关政策，健全审核程序，规范操作流程，严格资产评估，建立健全股权流转和退出机制，确保员工持股公开透明，严禁暗箱操作，防止利益输送。混合所有制企业实行员工持股，要按照混合所有制企业实行员工持股试点的有关工作要求组织实施。</w:t>
      </w:r>
    </w:p>
    <w:p w14:paraId="475821F2" w14:textId="77777777" w:rsidR="00EA7C3F" w:rsidRDefault="00EA7C3F" w:rsidP="00EA7C3F">
      <w:pPr>
        <w:pStyle w:val="ab"/>
        <w:spacing w:before="62" w:after="62"/>
        <w:ind w:firstLine="482"/>
      </w:pPr>
      <w:r>
        <w:rPr>
          <w:rFonts w:hint="eastAsia"/>
        </w:rPr>
        <w:t>五、建立健全混合所有制企业治理机制</w:t>
      </w:r>
    </w:p>
    <w:p w14:paraId="1B1B28B1" w14:textId="77777777" w:rsidR="00EA7C3F" w:rsidRDefault="00EA7C3F" w:rsidP="00EA7C3F">
      <w:pPr>
        <w:pStyle w:val="13"/>
      </w:pPr>
      <w:r>
        <w:rPr>
          <w:rFonts w:hint="eastAsia"/>
        </w:rPr>
        <w:t>（十六）进一步确立和落实企业市场主体地位。政府不得干预企业自主经营，股东不得干预企业日常运营，确保企业治理规范、激励约束机制到位。落实董事会对经理层成员等高级经营管理人员选聘、业绩考核和薪酬管理等职权，维护企业真正的市场主体地位。</w:t>
      </w:r>
    </w:p>
    <w:p w14:paraId="7BF4D7BA" w14:textId="77777777" w:rsidR="00EA7C3F" w:rsidRDefault="00EA7C3F" w:rsidP="00EA7C3F">
      <w:pPr>
        <w:pStyle w:val="13"/>
      </w:pPr>
      <w:r>
        <w:rPr>
          <w:rFonts w:hint="eastAsia"/>
        </w:rPr>
        <w:t>（十七）健全混合所有制企业法人治理结构。混合所有制企业要建立健全现代企业制度，明晰产权，同股同权，依法保护各类股东权益。规范企业股东（大）会、董事会、经理层、监事会和党组织的权责关系，按章程行权，对资本监管，靠市场选人，依规则运行，形成定位清晰、权责对等、运转协调、制衡有效的法人治理结构。</w:t>
      </w:r>
    </w:p>
    <w:p w14:paraId="7B04FB12" w14:textId="77777777" w:rsidR="00EA7C3F" w:rsidRDefault="00EA7C3F" w:rsidP="00EA7C3F">
      <w:pPr>
        <w:pStyle w:val="13"/>
      </w:pPr>
      <w:r>
        <w:rPr>
          <w:rFonts w:hint="eastAsia"/>
        </w:rPr>
        <w:t>（十八）推行混合所有制企业职业经理</w:t>
      </w:r>
      <w:proofErr w:type="gramStart"/>
      <w:r>
        <w:rPr>
          <w:rFonts w:hint="eastAsia"/>
        </w:rPr>
        <w:t>人制</w:t>
      </w:r>
      <w:proofErr w:type="gramEnd"/>
      <w:r>
        <w:rPr>
          <w:rFonts w:hint="eastAsia"/>
        </w:rPr>
        <w:t>度。按照现代企业制度要求，建立市场导向的选人用人和激励约束机制，通过市场化方式选聘职业经理人依法负责企业经营管理，畅通现有经营管理者与职业经理人的身份转换通道。职业经理人实行任期制和契约化管理，按照市场化原则决定薪酬，可以采取多种方式探索中长期激励机制。严格职业经理人任期管理和绩效考核，加快建立退出机制。</w:t>
      </w:r>
    </w:p>
    <w:p w14:paraId="0920CF2A" w14:textId="77777777" w:rsidR="00EA7C3F" w:rsidRDefault="00EA7C3F" w:rsidP="00EA7C3F">
      <w:pPr>
        <w:pStyle w:val="ab"/>
        <w:spacing w:before="62" w:after="62"/>
        <w:ind w:firstLine="482"/>
      </w:pPr>
      <w:r>
        <w:rPr>
          <w:rFonts w:hint="eastAsia"/>
        </w:rPr>
        <w:t>六、建立依法合</w:t>
      </w:r>
      <w:proofErr w:type="gramStart"/>
      <w:r>
        <w:rPr>
          <w:rFonts w:hint="eastAsia"/>
        </w:rPr>
        <w:t>规</w:t>
      </w:r>
      <w:proofErr w:type="gramEnd"/>
      <w:r>
        <w:rPr>
          <w:rFonts w:hint="eastAsia"/>
        </w:rPr>
        <w:t>的操作规则</w:t>
      </w:r>
    </w:p>
    <w:p w14:paraId="4AB827D8" w14:textId="77777777" w:rsidR="00EA7C3F" w:rsidRDefault="00EA7C3F" w:rsidP="00EA7C3F">
      <w:pPr>
        <w:pStyle w:val="13"/>
      </w:pPr>
      <w:r>
        <w:rPr>
          <w:rFonts w:hint="eastAsia"/>
        </w:rPr>
        <w:t>（十九）严格规范操作流程和审批程序。在组建和注册混合所有制企业时，要依据相关法律法规，规范国有资产授权经营和产权交易等行为，健全清产核资、评估定价、转让交易、登记确权等国有产权流转程序。国有企业产权和股权转让、增资扩股、上市公司增发等，应在产权、股权、证券市场公开披露信息，公开择优确定投资人，达成交易意向后应及时公示交易对象、交易价格、关联交易等信息，防止利益输送。国有企业实施混合所有制改革前，应依据本意</w:t>
      </w:r>
      <w:proofErr w:type="gramStart"/>
      <w:r>
        <w:rPr>
          <w:rFonts w:hint="eastAsia"/>
        </w:rPr>
        <w:t>见制定</w:t>
      </w:r>
      <w:proofErr w:type="gramEnd"/>
      <w:r>
        <w:rPr>
          <w:rFonts w:hint="eastAsia"/>
        </w:rPr>
        <w:t>方案，报同级国有资产监管机构</w:t>
      </w:r>
      <w:r>
        <w:rPr>
          <w:rFonts w:hint="eastAsia"/>
        </w:rPr>
        <w:lastRenderedPageBreak/>
        <w:t>批准；重要国有企业改制后国有资本不再控股的，报同级人民政府批准。国有资产监管机构要按照本意见要求，明确国有企业混合所有制改革的操作流程。方案审批时，应加强对社会资本质量、合作方诚信与操守、债权债务关系等内容的审核。要充分保障企业职工对国有企业混合所有制改革的知情权和参与权，涉及职工切身利益的要做好评估工作，职工安置方案要经过职工代表大会或者职工大会审议通过。</w:t>
      </w:r>
    </w:p>
    <w:p w14:paraId="15DD5C0B" w14:textId="77777777" w:rsidR="00EA7C3F" w:rsidRDefault="00EA7C3F" w:rsidP="00EA7C3F">
      <w:pPr>
        <w:pStyle w:val="13"/>
      </w:pPr>
      <w:r>
        <w:rPr>
          <w:rFonts w:hint="eastAsia"/>
        </w:rPr>
        <w:t>（二十）健全国有资产定价机制。按照公开公平公正原则，完善国有资产交易方式，严格规范国有资产登记、转让、清算、退出等程序和交易行为。通过产权、股权、证券市场发现和合理确定资产价格，发挥专业化中介机构作用，借助多种市场化定价手段，完善资产定价机制，实施信息公开，加强社会监督，防止出现内部人控制、利益输送造成国有资产流失。</w:t>
      </w:r>
    </w:p>
    <w:p w14:paraId="6820CBEA" w14:textId="77777777" w:rsidR="00EA7C3F" w:rsidRDefault="00EA7C3F" w:rsidP="00EA7C3F">
      <w:pPr>
        <w:pStyle w:val="13"/>
      </w:pPr>
      <w:r>
        <w:rPr>
          <w:rFonts w:hint="eastAsia"/>
        </w:rPr>
        <w:t>（二十一）切实加强监管。政府有关部门要加强对国有企业混合所有制改革的监管，完善国有产权交易规则和监管制度。国有资产监管机构对改革中出现的违法转让和侵吞国有资产、化公为私、利益输送、暗箱操作、逃废债务等行为，要依法严肃处理。审计部门要依法履行审计监督职能，加强对改制企业原国有企业法定代表人的离任审计。充分发挥第三方机构在清产核资、财务审计、资产定价、股权托管等方面的作用。加强企业职工内部监督。进一步做好信息公开，自觉接受社会监督。</w:t>
      </w:r>
    </w:p>
    <w:p w14:paraId="4D3BB982" w14:textId="77777777" w:rsidR="00EA7C3F" w:rsidRDefault="00EA7C3F" w:rsidP="00EA7C3F">
      <w:pPr>
        <w:pStyle w:val="ab"/>
        <w:spacing w:before="62" w:after="62"/>
        <w:ind w:firstLine="482"/>
      </w:pPr>
      <w:r>
        <w:rPr>
          <w:rFonts w:hint="eastAsia"/>
        </w:rPr>
        <w:t>七、营造国有企业混合所有制改革的良好环境</w:t>
      </w:r>
    </w:p>
    <w:p w14:paraId="0748807B" w14:textId="77777777" w:rsidR="00EA7C3F" w:rsidRDefault="00EA7C3F" w:rsidP="00EA7C3F">
      <w:pPr>
        <w:pStyle w:val="13"/>
      </w:pPr>
      <w:r>
        <w:rPr>
          <w:rFonts w:hint="eastAsia"/>
        </w:rPr>
        <w:t>（二十二）加强产权保护。健全严格的产权占有、使用、收益、处分等完整保护制度，依法保护混合所有制企业各类出资人的产权和知识产权权益。在立法、司法和行政执法过程中，坚持对各种所有制经济产权和合法利益给予同等法律保护。</w:t>
      </w:r>
    </w:p>
    <w:p w14:paraId="03759068" w14:textId="77777777" w:rsidR="00EA7C3F" w:rsidRDefault="00EA7C3F" w:rsidP="00EA7C3F">
      <w:pPr>
        <w:pStyle w:val="13"/>
      </w:pPr>
      <w:r>
        <w:rPr>
          <w:rFonts w:hint="eastAsia"/>
        </w:rPr>
        <w:t>（二十三）健全多层次资本市场。加快建立规则统一、交易规范的场外市场，促进非上市股份公司股权交易，完善股权、债权、物权、知识产权及信托、融资租赁、产业投资基金等产品交易机制。建立规范的区域性股权市场，为企业提供融资服务，促进资产证券化和资本流动，健全股权登记、托管、做市商等第三</w:t>
      </w:r>
      <w:proofErr w:type="gramStart"/>
      <w:r>
        <w:rPr>
          <w:rFonts w:hint="eastAsia"/>
        </w:rPr>
        <w:t>方服务</w:t>
      </w:r>
      <w:proofErr w:type="gramEnd"/>
      <w:r>
        <w:rPr>
          <w:rFonts w:hint="eastAsia"/>
        </w:rPr>
        <w:t>体系。以具备条件的区域性股权、产权市场为载体，探索建立统一结算制度，完善股权公开转让和报价机制。制定场外市场交易规则和规范监管制度，明确监管主体，实行属地化、专业化监管。</w:t>
      </w:r>
    </w:p>
    <w:p w14:paraId="50318F37" w14:textId="77777777" w:rsidR="00EA7C3F" w:rsidRDefault="00EA7C3F" w:rsidP="00EA7C3F">
      <w:pPr>
        <w:pStyle w:val="13"/>
      </w:pPr>
      <w:r>
        <w:rPr>
          <w:rFonts w:hint="eastAsia"/>
        </w:rPr>
        <w:t>（二十四）完善支持国有企业混合所有制改革的政策。进一步简政放权，最大限度取消涉及企业依法自主经营的行政许可审批事项。凡是市场主体基于自愿的投资经营和民事行为，只要不属于法律法规禁止进入的领域，且不危害国家安全、社会公共利益和第三方合法权益，不得限制进入。完善工商登记、财税管理、土地管理、金融服务等政策。依法妥善解决混合所有制改革涉及的国有企业职工劳动关系调整、社会保险关系接续等问题，确保企业职工队伍稳定。加快剥离国有企业办社会职能，妥善解决历史遗留问题。完善统计制度，加强监测分析。</w:t>
      </w:r>
    </w:p>
    <w:p w14:paraId="18501BFB" w14:textId="77777777" w:rsidR="00EA7C3F" w:rsidRDefault="00EA7C3F" w:rsidP="00EA7C3F">
      <w:pPr>
        <w:pStyle w:val="13"/>
      </w:pPr>
      <w:r>
        <w:rPr>
          <w:rFonts w:hint="eastAsia"/>
        </w:rPr>
        <w:lastRenderedPageBreak/>
        <w:t>（二十五）加快建立健全法律法规制度。健全混合所有制经济相关法律法规和规章，加大法律法规立、改、废、</w:t>
      </w:r>
      <w:proofErr w:type="gramStart"/>
      <w:r>
        <w:rPr>
          <w:rFonts w:hint="eastAsia"/>
        </w:rPr>
        <w:t>释工作</w:t>
      </w:r>
      <w:proofErr w:type="gramEnd"/>
      <w:r>
        <w:rPr>
          <w:rFonts w:hint="eastAsia"/>
        </w:rPr>
        <w:t>力度，确保改革于法有据。根据改革需要抓紧对合同法、物权法、公司法、企业国有资产法、企业破产法中有关法律制度进行研究，依照法定程序及时提请修改。推动加快制定有关产权保护、市场准入和退出、交易规则、公平竞争等方面法律法规。</w:t>
      </w:r>
    </w:p>
    <w:p w14:paraId="544E2E58" w14:textId="77777777" w:rsidR="00EA7C3F" w:rsidRDefault="00EA7C3F" w:rsidP="00EA7C3F">
      <w:pPr>
        <w:pStyle w:val="ab"/>
        <w:spacing w:before="62" w:after="62"/>
        <w:ind w:firstLine="482"/>
      </w:pPr>
      <w:r>
        <w:rPr>
          <w:rFonts w:hint="eastAsia"/>
        </w:rPr>
        <w:t>八、组织实施</w:t>
      </w:r>
    </w:p>
    <w:p w14:paraId="5654CEB8" w14:textId="77777777" w:rsidR="00EA7C3F" w:rsidRDefault="00EA7C3F" w:rsidP="00EA7C3F">
      <w:pPr>
        <w:pStyle w:val="13"/>
      </w:pPr>
      <w:r>
        <w:rPr>
          <w:rFonts w:hint="eastAsia"/>
        </w:rPr>
        <w:t>（二十六）建立工作协调机制。国有企业混合所有制改革涉及面广、政策性强、社会关注度高。各地区、各有关部门和单位要高度重视，精心组织，严守规范，明确责任。各级政府及相关职能部门要加强对国有企业混合所有制改革的组织领导，做好把关定向、配套落实、审核批准、纠偏提醒等工作。各级国有资产监管机构要及时跟踪改革进展，加强改革协调，评估改革成效，推广改革经验，重大问题及时向同级人民政府报告。各级工商联要充分发挥广泛联系非公有制企业的组织优势，参与做好沟通政企、凝聚共识、决策咨询、政策评估、典型宣传等方面工作。</w:t>
      </w:r>
    </w:p>
    <w:p w14:paraId="0E8B4023" w14:textId="77777777" w:rsidR="00EA7C3F" w:rsidRDefault="00EA7C3F" w:rsidP="00EA7C3F">
      <w:pPr>
        <w:pStyle w:val="13"/>
      </w:pPr>
      <w:r>
        <w:rPr>
          <w:rFonts w:hint="eastAsia"/>
        </w:rPr>
        <w:t>（二十七）加强混合所有制企业党建工作。坚持党的建设与企业改革同步谋划、同步开展，根据企业组织形式变化，同步设置或调整党的组织，理顺党组织隶属关系，同步选配好党组织负责人，健全党的工作机构，配强党务工作者队伍，保障党组织工作经费，有效开展党的工作，发挥好党组织政治核心作用和党员先锋模范作用。</w:t>
      </w:r>
    </w:p>
    <w:p w14:paraId="0F2849A5" w14:textId="77777777" w:rsidR="00EA7C3F" w:rsidRDefault="00EA7C3F" w:rsidP="00EA7C3F">
      <w:pPr>
        <w:pStyle w:val="13"/>
      </w:pPr>
      <w:r>
        <w:rPr>
          <w:rFonts w:hint="eastAsia"/>
        </w:rPr>
        <w:t>（二十八）开展不同领域混合所有制改革试点示范。结合电力、石油、天然气、铁路、民航、电信、军工等领域改革，开展放开竞争性业务、推进混合所有制改革试点示范。在基础设施和公共服务领域选择有代表性的政府投融资项目，开展多种形式的政府和社会资本合作试点，加快形成可复制、可推广的模式和经验。</w:t>
      </w:r>
    </w:p>
    <w:p w14:paraId="179E0AFF" w14:textId="77777777" w:rsidR="00EA7C3F" w:rsidRDefault="00EA7C3F" w:rsidP="00EA7C3F">
      <w:pPr>
        <w:pStyle w:val="13"/>
      </w:pPr>
      <w:r>
        <w:rPr>
          <w:rFonts w:hint="eastAsia"/>
        </w:rPr>
        <w:t>（二十九）营造良好的舆论氛围。以坚持“两个毫不动摇”（毫不动摇巩固和发展公有制经济，毫不动摇鼓励、支持、引导非公有制经济发展）为导向，加强国有企业混合所有制改革舆论宣传，做好政策解读，阐释目标方向和重要意义，宣传成功经验，正确引导舆论，回应社会关切，使广大人民群众了解和支持改革。</w:t>
      </w:r>
    </w:p>
    <w:p w14:paraId="25189A20" w14:textId="77777777" w:rsidR="00EA7C3F" w:rsidRDefault="00EA7C3F" w:rsidP="00EA7C3F">
      <w:pPr>
        <w:pStyle w:val="13"/>
      </w:pPr>
      <w:r>
        <w:rPr>
          <w:rFonts w:hint="eastAsia"/>
        </w:rPr>
        <w:t>各级政府要加强对国有企业混合所有制改革的领导，根据本意见，结合实际推动改革。</w:t>
      </w:r>
    </w:p>
    <w:p w14:paraId="3BDD8E06" w14:textId="77777777" w:rsidR="00EA7C3F" w:rsidRDefault="00EA7C3F" w:rsidP="00EA7C3F">
      <w:pPr>
        <w:pStyle w:val="13"/>
      </w:pPr>
      <w:r>
        <w:rPr>
          <w:rFonts w:hint="eastAsia"/>
        </w:rPr>
        <w:t>金融、文化等国有企业的改革，中央另有规定的依其规定执行。</w:t>
      </w:r>
    </w:p>
    <w:p w14:paraId="7DC43615" w14:textId="77777777" w:rsidR="00EA7C3F" w:rsidRDefault="00EA7C3F" w:rsidP="00EA7C3F">
      <w:pPr>
        <w:pStyle w:val="31"/>
        <w:spacing w:before="156" w:after="62"/>
      </w:pPr>
      <w:bookmarkStart w:id="229" w:name="_Toc81833462"/>
      <w:r>
        <w:rPr>
          <w:rFonts w:hint="eastAsia"/>
        </w:rPr>
        <w:t>《国务院办公厅关于建立国有企业违规经营投资责任追究制度的意见》</w:t>
      </w:r>
      <w:r>
        <w:br/>
      </w:r>
      <w:r w:rsidRPr="002D34B5">
        <w:rPr>
          <w:rFonts w:hint="eastAsia"/>
        </w:rPr>
        <w:t>（国办发〔</w:t>
      </w:r>
      <w:r w:rsidRPr="002D34B5">
        <w:t>2016〕63号）</w:t>
      </w:r>
      <w:bookmarkEnd w:id="229"/>
    </w:p>
    <w:p w14:paraId="6B5BAF60" w14:textId="77777777" w:rsidR="00EA7C3F" w:rsidRDefault="00EA7C3F" w:rsidP="00EA7C3F">
      <w:pPr>
        <w:pStyle w:val="13"/>
        <w:ind w:firstLineChars="0" w:firstLine="0"/>
      </w:pPr>
      <w:r>
        <w:rPr>
          <w:rFonts w:hint="eastAsia"/>
        </w:rPr>
        <w:t>各省、自治区、直辖市人民政府，国务院各部委、各直属机构：</w:t>
      </w:r>
    </w:p>
    <w:p w14:paraId="3763D782" w14:textId="77777777" w:rsidR="00EA7C3F" w:rsidRDefault="00EA7C3F" w:rsidP="00EA7C3F">
      <w:pPr>
        <w:pStyle w:val="13"/>
      </w:pPr>
      <w:r>
        <w:rPr>
          <w:rFonts w:hint="eastAsia"/>
        </w:rPr>
        <w:t>根据《中共中央</w:t>
      </w:r>
      <w:r>
        <w:t xml:space="preserve"> 国务院关于深化国有企业改革的指导意见》、《国务院办公厅关于加强和改进企业国有资产监督防止国有资产流失的意见》（国办发〔2015〕79号）</w:t>
      </w:r>
      <w:r>
        <w:lastRenderedPageBreak/>
        <w:t>等要求，为落实国有资本保值增值责任，完善国有资产监管，防止国有资产流失，经国务院同意，现就建立国有企业违规经营投资责任追究制度提出以下意见。</w:t>
      </w:r>
    </w:p>
    <w:p w14:paraId="0C4F63C8" w14:textId="77777777" w:rsidR="00EA7C3F" w:rsidRDefault="00EA7C3F" w:rsidP="00EA7C3F">
      <w:pPr>
        <w:pStyle w:val="ab"/>
        <w:spacing w:before="62" w:after="62"/>
        <w:ind w:firstLine="482"/>
      </w:pPr>
      <w:r>
        <w:rPr>
          <w:rFonts w:hint="eastAsia"/>
        </w:rPr>
        <w:t>一、总体要求</w:t>
      </w:r>
    </w:p>
    <w:p w14:paraId="5CB3A30E" w14:textId="77777777" w:rsidR="00EA7C3F" w:rsidRDefault="00EA7C3F" w:rsidP="00EA7C3F">
      <w:pPr>
        <w:pStyle w:val="13"/>
      </w:pPr>
      <w:r>
        <w:rPr>
          <w:rFonts w:hint="eastAsia"/>
        </w:rPr>
        <w:t>（一）指导思想。全面贯彻党的十八大和十八届三中、四中、五中全会精神，按照“五位一体”总体布局和“四个全面”战略布局，牢固树立和贯彻落实创新、协调、绿色、开放、共享的发展理念，深入贯彻习近平总书记系列重要讲话精神，认真落实党中央、国务院决策部署，坚持社会主义市场经济改革方向，按照完善现代企业制度的要求，以提高国有企业运行质量和经济效益为目标，以强化对权力集中、资金密集、资源富集、资产聚集部门和岗位的监督为重点，</w:t>
      </w:r>
      <w:proofErr w:type="gramStart"/>
      <w:r>
        <w:rPr>
          <w:rFonts w:hint="eastAsia"/>
        </w:rPr>
        <w:t>严格问</w:t>
      </w:r>
      <w:proofErr w:type="gramEnd"/>
      <w:r>
        <w:rPr>
          <w:rFonts w:hint="eastAsia"/>
        </w:rPr>
        <w:t>责、完善机制，构建权责清晰、约束有效的经营投资责任体系，全面推进依法治企，健全协调运转、有效制衡的法人治理结构，提高国有资本效率、增强国有企业活力、防止国有资产流失，实现国有资本保值增值。</w:t>
      </w:r>
    </w:p>
    <w:p w14:paraId="72834126" w14:textId="77777777" w:rsidR="00EA7C3F" w:rsidRDefault="00EA7C3F" w:rsidP="00EA7C3F">
      <w:pPr>
        <w:pStyle w:val="13"/>
      </w:pPr>
      <w:r>
        <w:rPr>
          <w:rFonts w:hint="eastAsia"/>
        </w:rPr>
        <w:t>（二）基本原则。</w:t>
      </w:r>
    </w:p>
    <w:p w14:paraId="306752AE" w14:textId="77777777" w:rsidR="00EA7C3F" w:rsidRDefault="00EA7C3F" w:rsidP="00EA7C3F">
      <w:pPr>
        <w:pStyle w:val="13"/>
      </w:pPr>
      <w:r>
        <w:t>1.依法合</w:t>
      </w:r>
      <w:proofErr w:type="gramStart"/>
      <w:r>
        <w:t>规</w:t>
      </w:r>
      <w:proofErr w:type="gramEnd"/>
      <w:r>
        <w:t>、违规必究。以国家法律法规为准绳，严格执行企业内部管理规定，对违反规定、未履行或未正确履行职责造成国有资产损失以及其他严重不良后果的国有企业经营管理有关人员，严格界定违规经营投资责任，严肃追究问责，实行重大决策终身责任追究制度。</w:t>
      </w:r>
    </w:p>
    <w:p w14:paraId="06DBAB11" w14:textId="77777777" w:rsidR="00EA7C3F" w:rsidRDefault="00EA7C3F" w:rsidP="00EA7C3F">
      <w:pPr>
        <w:pStyle w:val="13"/>
      </w:pPr>
      <w:r>
        <w:t>2.分级组织、分类处理。履行出资人职责的机构和国有企业按照国有资产分级管理要求和干部管理权限，分别组织开展责任追究工作。对违纪违法行为，严格依纪依法处理。</w:t>
      </w:r>
    </w:p>
    <w:p w14:paraId="343E5416" w14:textId="77777777" w:rsidR="00EA7C3F" w:rsidRDefault="00EA7C3F" w:rsidP="00EA7C3F">
      <w:pPr>
        <w:pStyle w:val="13"/>
      </w:pPr>
      <w:r>
        <w:t>3.客观公正、责罚适当。在充分调查核实和责任认定的基础上，既考虑量的标准也考虑质的不同，实事求是地确定资产损失程度和责任追究范围，恰当公正地处理相关责任人。</w:t>
      </w:r>
    </w:p>
    <w:p w14:paraId="562CB093" w14:textId="77777777" w:rsidR="00EA7C3F" w:rsidRDefault="00EA7C3F" w:rsidP="00EA7C3F">
      <w:pPr>
        <w:pStyle w:val="13"/>
      </w:pPr>
      <w:r>
        <w:t>4.惩教结合、纠建并举。在严肃追究违规经营投资责任的同时，加强案例总结和警示教育，不断完善规章制度，及时堵塞经营管理漏洞，</w:t>
      </w:r>
      <w:proofErr w:type="gramStart"/>
      <w:r>
        <w:t>建立问</w:t>
      </w:r>
      <w:proofErr w:type="gramEnd"/>
      <w:r>
        <w:t>责长效机制，提高国有企业经营管理水平。</w:t>
      </w:r>
    </w:p>
    <w:p w14:paraId="0B7ED66A" w14:textId="77777777" w:rsidR="00EA7C3F" w:rsidRDefault="00EA7C3F" w:rsidP="00EA7C3F">
      <w:pPr>
        <w:pStyle w:val="13"/>
      </w:pPr>
      <w:r>
        <w:rPr>
          <w:rFonts w:hint="eastAsia"/>
        </w:rPr>
        <w:t>（三）主要目标。在</w:t>
      </w:r>
      <w:r>
        <w:t>2017年年底前，国有企业违规经营投资责任追究制度和责任倒查机制基本形成，责任追究的范围、标准、程序和方式清晰规范，责任追究工作实现有章可循。在2020年年底前，全面建立覆盖各级履行出资人职责的机构及国有企业的责任追究工作体系，形成职责明确、流程清晰、规范有序的责任追究工作机制，对相关责任人及时追究问责，国有企业经营投资责任意识和责任约束显著增强。</w:t>
      </w:r>
    </w:p>
    <w:p w14:paraId="1BF46046" w14:textId="77777777" w:rsidR="00EA7C3F" w:rsidRDefault="00EA7C3F" w:rsidP="00EA7C3F">
      <w:pPr>
        <w:pStyle w:val="ab"/>
        <w:spacing w:before="62" w:after="62"/>
        <w:ind w:firstLine="482"/>
      </w:pPr>
      <w:r>
        <w:rPr>
          <w:rFonts w:hint="eastAsia"/>
        </w:rPr>
        <w:t>二、责任追究范围</w:t>
      </w:r>
    </w:p>
    <w:p w14:paraId="091E2703" w14:textId="77777777" w:rsidR="00EA7C3F" w:rsidRDefault="00EA7C3F" w:rsidP="00EA7C3F">
      <w:pPr>
        <w:pStyle w:val="13"/>
      </w:pPr>
      <w:r>
        <w:rPr>
          <w:rFonts w:hint="eastAsia"/>
        </w:rPr>
        <w:t>国有企业经营管理有关人员违反国家法律法规和企业内部管理规定，未履行或</w:t>
      </w:r>
      <w:r>
        <w:rPr>
          <w:rFonts w:hint="eastAsia"/>
        </w:rPr>
        <w:lastRenderedPageBreak/>
        <w:t>未正确履行职责致使发生下列情形造成国有资产损失以及其他严重不良后果的，应当追究责任：</w:t>
      </w:r>
    </w:p>
    <w:p w14:paraId="64CB5FCD" w14:textId="77777777" w:rsidR="00EA7C3F" w:rsidRDefault="00EA7C3F" w:rsidP="00EA7C3F">
      <w:pPr>
        <w:pStyle w:val="13"/>
      </w:pPr>
      <w:r>
        <w:rPr>
          <w:rFonts w:hint="eastAsia"/>
        </w:rPr>
        <w:t>（一）集团管控方面。所属子企业发生重大违纪违法问题，造成重大资产损失，影响其持续经营能力或造成严重不良后果；未履行或未正确履行职责致使集团发生较大资产损失，对生产经营、财务状况产生重大影响；对集团重大风险隐患、内控缺陷等问题失察，或</w:t>
      </w:r>
      <w:proofErr w:type="gramStart"/>
      <w:r>
        <w:rPr>
          <w:rFonts w:hint="eastAsia"/>
        </w:rPr>
        <w:t>虽发现</w:t>
      </w:r>
      <w:proofErr w:type="gramEnd"/>
      <w:r>
        <w:rPr>
          <w:rFonts w:hint="eastAsia"/>
        </w:rPr>
        <w:t>但没有及时报告、处理，造成重大风险等。</w:t>
      </w:r>
    </w:p>
    <w:p w14:paraId="692720C6" w14:textId="77777777" w:rsidR="00EA7C3F" w:rsidRDefault="00EA7C3F" w:rsidP="00EA7C3F">
      <w:pPr>
        <w:pStyle w:val="13"/>
      </w:pPr>
      <w:r>
        <w:rPr>
          <w:rFonts w:hint="eastAsia"/>
        </w:rPr>
        <w:t>（二）购销管理方面。未按照规定订立、履行合同，未履行或未正确履行职责致使合同标的价格明显</w:t>
      </w:r>
      <w:proofErr w:type="gramStart"/>
      <w:r>
        <w:rPr>
          <w:rFonts w:hint="eastAsia"/>
        </w:rPr>
        <w:t>不</w:t>
      </w:r>
      <w:proofErr w:type="gramEnd"/>
      <w:r>
        <w:rPr>
          <w:rFonts w:hint="eastAsia"/>
        </w:rPr>
        <w:t>公允；交易行为虚假或违规开展“空转”贸易；利用关联交易输送利益；未按照规定进行招标或未执行招标结果；违反规定提供赊销信用、资质、担保（含抵押、质押等）或预付款项，利用业务预付或物资交易等方式变相融资或投资；违规开展商品期货、期权等衍生业务；未按规定对应收款项及时追索或采取有效保全措施等。</w:t>
      </w:r>
    </w:p>
    <w:p w14:paraId="1D213BF3" w14:textId="77777777" w:rsidR="00EA7C3F" w:rsidRDefault="00EA7C3F" w:rsidP="00EA7C3F">
      <w:pPr>
        <w:pStyle w:val="13"/>
      </w:pPr>
      <w:r>
        <w:rPr>
          <w:rFonts w:hint="eastAsia"/>
        </w:rPr>
        <w:t>（三）工程承包建设方面。未按规定对合同标的进行调查论证，未经授权或超越授权投标，中标价格严重低于成本，造成企业资产损失；违反规定擅自签订或变更合同，合同约定未经严格审查，存在重大疏漏；工程物资未按规定招标；违反规定转包、分包；工程组织管理混乱，致使工程质量不达标，工程成本严重超支；违反合同约定超计价、超进度付款等。</w:t>
      </w:r>
    </w:p>
    <w:p w14:paraId="1F05A1F6" w14:textId="77777777" w:rsidR="00EA7C3F" w:rsidRDefault="00EA7C3F" w:rsidP="00EA7C3F">
      <w:pPr>
        <w:pStyle w:val="13"/>
      </w:pPr>
      <w:r>
        <w:rPr>
          <w:rFonts w:hint="eastAsia"/>
        </w:rPr>
        <w:t>（四）转让产权、上市公司股权和资产方面。未按规定履行决策和审批程序或超越授权范围转让；财务审计和资产评估违反相关规定；组织提供和披露虚假信息，操纵中介机构出具虚假财务审计、资产评估</w:t>
      </w:r>
      <w:proofErr w:type="gramStart"/>
      <w:r>
        <w:rPr>
          <w:rFonts w:hint="eastAsia"/>
        </w:rPr>
        <w:t>鉴证</w:t>
      </w:r>
      <w:proofErr w:type="gramEnd"/>
      <w:r>
        <w:rPr>
          <w:rFonts w:hint="eastAsia"/>
        </w:rPr>
        <w:t>结果；未按相关规定执行回避制度，造成资产损失；违反相关规定和公开公平交易原则，低价转让企业产权、上市公司股权和资产等。</w:t>
      </w:r>
    </w:p>
    <w:p w14:paraId="36231530" w14:textId="77777777" w:rsidR="00EA7C3F" w:rsidRDefault="00EA7C3F" w:rsidP="00EA7C3F">
      <w:pPr>
        <w:pStyle w:val="13"/>
      </w:pPr>
      <w:r>
        <w:rPr>
          <w:rFonts w:hint="eastAsia"/>
        </w:rPr>
        <w:t>（五）固定资产投资方面。未按规定进行可行性研究或风险分析；项目概算未经严格审查，严重偏离实际；未按规定履行决策和审批程序擅自投资，造成资产损失；购建项目未按规定招标，干预或操纵招标；外部环境发生重大变化，未按规定及时调整投资方案并采取止损措施；擅自变更工程设计、建设内容；项目管理混乱，致使建设严重拖期、成本明显高于同类项目等。</w:t>
      </w:r>
    </w:p>
    <w:p w14:paraId="7AF09C77" w14:textId="77777777" w:rsidR="00EA7C3F" w:rsidRDefault="00EA7C3F" w:rsidP="00EA7C3F">
      <w:pPr>
        <w:pStyle w:val="13"/>
      </w:pPr>
      <w:r>
        <w:rPr>
          <w:rFonts w:hint="eastAsia"/>
        </w:rPr>
        <w:t>（六）投资并购方面。投资</w:t>
      </w:r>
      <w:proofErr w:type="gramStart"/>
      <w:r>
        <w:rPr>
          <w:rFonts w:hint="eastAsia"/>
        </w:rPr>
        <w:t>并购未</w:t>
      </w:r>
      <w:proofErr w:type="gramEnd"/>
      <w:r>
        <w:rPr>
          <w:rFonts w:hint="eastAsia"/>
        </w:rPr>
        <w:t>按规定开展尽职调查，或尽职调查未进行风险分析等，存在重大疏漏；财务审计、资产评估或估值违反相关规定，或投资并购过程中授意、指使中介机构或有关单位出具虚假报告；未按规定履行决策和审批程序，决策未充分考虑重大风险因素，未制定风险防范预案；违规以各种形式为其他合资合作方提供垫资，或通过高溢价并购等手段向关联方输送利益；投资合同、协议及标的企业公司章程中国有权益保护条款缺失，对标的企业管理失控；投资参股后未行使股东权利，发生重大变化未及时采取止损措施；违反合同约定提前支付并购价款等。</w:t>
      </w:r>
    </w:p>
    <w:p w14:paraId="7BAF6CC0" w14:textId="77777777" w:rsidR="00EA7C3F" w:rsidRDefault="00EA7C3F" w:rsidP="00EA7C3F">
      <w:pPr>
        <w:pStyle w:val="13"/>
      </w:pPr>
      <w:r>
        <w:rPr>
          <w:rFonts w:hint="eastAsia"/>
        </w:rPr>
        <w:lastRenderedPageBreak/>
        <w:t>（七）改组改制方面。未按规定履行决策和审批程序；未按规定组织开展清产核资、财务审计和资产评估；故意转移、隐匿国有资产或向中介机构提供虚假信息，操纵中介机构出具虚假清产核资、财务审计与资产评估</w:t>
      </w:r>
      <w:proofErr w:type="gramStart"/>
      <w:r>
        <w:rPr>
          <w:rFonts w:hint="eastAsia"/>
        </w:rPr>
        <w:t>鉴证</w:t>
      </w:r>
      <w:proofErr w:type="gramEnd"/>
      <w:r>
        <w:rPr>
          <w:rFonts w:hint="eastAsia"/>
        </w:rPr>
        <w:t>结果；将国有资产以明显</w:t>
      </w:r>
      <w:proofErr w:type="gramStart"/>
      <w:r>
        <w:rPr>
          <w:rFonts w:hint="eastAsia"/>
        </w:rPr>
        <w:t>不</w:t>
      </w:r>
      <w:proofErr w:type="gramEnd"/>
      <w:r>
        <w:rPr>
          <w:rFonts w:hint="eastAsia"/>
        </w:rPr>
        <w:t>公允低价折股、出售或无偿分给其他单位或个人；在发展混合所有制经济、实施员工持股计划等改组改制过程中变相套取、私分国有股权；未按规定收取国有资产转让价款；改制后的公司章程中国有权益保护条款缺失等。</w:t>
      </w:r>
    </w:p>
    <w:p w14:paraId="13EBF4C5" w14:textId="77777777" w:rsidR="00EA7C3F" w:rsidRDefault="00EA7C3F" w:rsidP="00EA7C3F">
      <w:pPr>
        <w:pStyle w:val="13"/>
      </w:pPr>
      <w:r>
        <w:rPr>
          <w:rFonts w:hint="eastAsia"/>
        </w:rPr>
        <w:t>（八）资金管理方面。违反决策和审批程序或超越权限批准资金支出；设立“小金库”；违规集资、发行股票（债券）、捐赠、担保、委托理财、拆借资金或开立信用证、办理银行票据；虚列支出套取资金；违规以个人名义留存资金、收支结算、开立银行账户；违规超发、滥发职工薪</w:t>
      </w:r>
      <w:proofErr w:type="gramStart"/>
      <w:r>
        <w:rPr>
          <w:rFonts w:hint="eastAsia"/>
        </w:rPr>
        <w:t>酬</w:t>
      </w:r>
      <w:proofErr w:type="gramEnd"/>
      <w:r>
        <w:rPr>
          <w:rFonts w:hint="eastAsia"/>
        </w:rPr>
        <w:t>福利；因财务内控缺失，发生侵占、盗取、欺诈等。</w:t>
      </w:r>
    </w:p>
    <w:p w14:paraId="5E19D626" w14:textId="77777777" w:rsidR="00EA7C3F" w:rsidRDefault="00EA7C3F" w:rsidP="00EA7C3F">
      <w:pPr>
        <w:pStyle w:val="13"/>
      </w:pPr>
      <w:r>
        <w:rPr>
          <w:rFonts w:hint="eastAsia"/>
        </w:rPr>
        <w:t>（九）风险管理方面。内控及风险管理制度缺失，内控流程存在重大缺陷或内部控制执行不力；对经营投资重大风险未能及时分析、识别、评估、预警和应对；对企业规章制度、经济合同和重要决策的法律审核不到位；过度负债危及企业持续经营，恶意逃废金融债务；瞒报、漏报重大风险及风险损失事件，指使编制虚假财务报告，企业账</w:t>
      </w:r>
      <w:proofErr w:type="gramStart"/>
      <w:r>
        <w:rPr>
          <w:rFonts w:hint="eastAsia"/>
        </w:rPr>
        <w:t>实严重</w:t>
      </w:r>
      <w:proofErr w:type="gramEnd"/>
      <w:r>
        <w:rPr>
          <w:rFonts w:hint="eastAsia"/>
        </w:rPr>
        <w:t>不符等。</w:t>
      </w:r>
    </w:p>
    <w:p w14:paraId="20394C91" w14:textId="77777777" w:rsidR="00EA7C3F" w:rsidRDefault="00EA7C3F" w:rsidP="00EA7C3F">
      <w:pPr>
        <w:pStyle w:val="13"/>
      </w:pPr>
      <w:r>
        <w:rPr>
          <w:rFonts w:hint="eastAsia"/>
        </w:rPr>
        <w:t>（十）其他违反规定，应当追究责任的情形。</w:t>
      </w:r>
    </w:p>
    <w:p w14:paraId="513B2B92" w14:textId="77777777" w:rsidR="00EA7C3F" w:rsidRDefault="00EA7C3F" w:rsidP="00EA7C3F">
      <w:pPr>
        <w:pStyle w:val="ab"/>
        <w:spacing w:before="62" w:after="62"/>
        <w:ind w:firstLine="482"/>
      </w:pPr>
      <w:r>
        <w:rPr>
          <w:rFonts w:hint="eastAsia"/>
        </w:rPr>
        <w:t>三、资产损失认定</w:t>
      </w:r>
    </w:p>
    <w:p w14:paraId="66035229" w14:textId="77777777" w:rsidR="00EA7C3F" w:rsidRDefault="00EA7C3F" w:rsidP="00EA7C3F">
      <w:pPr>
        <w:pStyle w:val="13"/>
      </w:pPr>
      <w:r>
        <w:rPr>
          <w:rFonts w:hint="eastAsia"/>
        </w:rPr>
        <w:t>对国有企业经营投资发生的资产损失，应当在调查核实的基础上，依据有关规定认定损失金额及影响。</w:t>
      </w:r>
    </w:p>
    <w:p w14:paraId="2873CBBC" w14:textId="77777777" w:rsidR="00EA7C3F" w:rsidRDefault="00EA7C3F" w:rsidP="00EA7C3F">
      <w:pPr>
        <w:pStyle w:val="13"/>
      </w:pPr>
      <w:r>
        <w:rPr>
          <w:rFonts w:hint="eastAsia"/>
        </w:rPr>
        <w:t>（一）资产损失包括直接损失和间接损失。直接损失是与相关人员行为有直接因果关系的损失金额及影响。间接损失是由相关人员行为引发或导致的，除直接损失外、能够确认计量的其他损失金额及影响。</w:t>
      </w:r>
    </w:p>
    <w:p w14:paraId="7D5BA0CB" w14:textId="77777777" w:rsidR="00EA7C3F" w:rsidRDefault="00EA7C3F" w:rsidP="00EA7C3F">
      <w:pPr>
        <w:pStyle w:val="13"/>
      </w:pPr>
      <w:r>
        <w:rPr>
          <w:rFonts w:hint="eastAsia"/>
        </w:rPr>
        <w:t>（二）资产损失分为一般资产损失、较大资产损失和重大资产损失。涉及违纪违法和犯罪行为查处的损失标准，遵照相关党内法规和国家法律法规的规定执行；涉及其他责任追究处理的，由履行出资人职责的机构和国有企业根据实际情况制定资产损失程度划分标准。</w:t>
      </w:r>
    </w:p>
    <w:p w14:paraId="3F34801C" w14:textId="77777777" w:rsidR="00EA7C3F" w:rsidRDefault="00EA7C3F" w:rsidP="00EA7C3F">
      <w:pPr>
        <w:pStyle w:val="13"/>
      </w:pPr>
      <w:r>
        <w:rPr>
          <w:rFonts w:hint="eastAsia"/>
        </w:rPr>
        <w:t>（三）资产损失的金额及影响，可根据司法、行政机关出具的书面文件，具有相应资质的会计师事务所、资产评估机构、律师事务所等中介机构出具的专项审计、评估或</w:t>
      </w:r>
      <w:proofErr w:type="gramStart"/>
      <w:r>
        <w:rPr>
          <w:rFonts w:hint="eastAsia"/>
        </w:rPr>
        <w:t>鉴证</w:t>
      </w:r>
      <w:proofErr w:type="gramEnd"/>
      <w:r>
        <w:rPr>
          <w:rFonts w:hint="eastAsia"/>
        </w:rPr>
        <w:t>报告，以及企业内部证明材料等进行综合</w:t>
      </w:r>
      <w:proofErr w:type="gramStart"/>
      <w:r>
        <w:rPr>
          <w:rFonts w:hint="eastAsia"/>
        </w:rPr>
        <w:t>研</w:t>
      </w:r>
      <w:proofErr w:type="gramEnd"/>
      <w:r>
        <w:rPr>
          <w:rFonts w:hint="eastAsia"/>
        </w:rPr>
        <w:t>判认定。相关经营投资虽尚未形成事实损失，经中介机构评估在可预见未来将发生的损失，可以认定为或有资产损失。</w:t>
      </w:r>
    </w:p>
    <w:p w14:paraId="5C238F75" w14:textId="77777777" w:rsidR="00EA7C3F" w:rsidRDefault="00EA7C3F" w:rsidP="00EA7C3F">
      <w:pPr>
        <w:pStyle w:val="ab"/>
        <w:spacing w:before="62" w:after="62"/>
        <w:ind w:firstLine="482"/>
      </w:pPr>
      <w:r>
        <w:rPr>
          <w:rFonts w:hint="eastAsia"/>
        </w:rPr>
        <w:lastRenderedPageBreak/>
        <w:t>四、经营投资责任认定</w:t>
      </w:r>
    </w:p>
    <w:p w14:paraId="5B435AD0" w14:textId="77777777" w:rsidR="00EA7C3F" w:rsidRDefault="00EA7C3F" w:rsidP="00EA7C3F">
      <w:pPr>
        <w:pStyle w:val="13"/>
      </w:pPr>
      <w:r>
        <w:rPr>
          <w:rFonts w:hint="eastAsia"/>
        </w:rPr>
        <w:t>国有企业经营管理有关人员任职期间违反规定，未履行或未正确履行职责造成国有资产损失以及其他严重不良后果的，应当追究其相应责任；已调任其他岗位或退休的，应当纳入责任追究范围，实行重大决策终身责任追究制度。经营投资责任根据工作职责划分为直接责任、主管责任和领导责任。</w:t>
      </w:r>
    </w:p>
    <w:p w14:paraId="41FFB933" w14:textId="77777777" w:rsidR="00EA7C3F" w:rsidRDefault="00EA7C3F" w:rsidP="00EA7C3F">
      <w:pPr>
        <w:pStyle w:val="13"/>
      </w:pPr>
      <w:r>
        <w:rPr>
          <w:rFonts w:hint="eastAsia"/>
        </w:rPr>
        <w:t>（一）直接责任是</w:t>
      </w:r>
      <w:proofErr w:type="gramStart"/>
      <w:r>
        <w:rPr>
          <w:rFonts w:hint="eastAsia"/>
        </w:rPr>
        <w:t>指相关</w:t>
      </w:r>
      <w:proofErr w:type="gramEnd"/>
      <w:r>
        <w:rPr>
          <w:rFonts w:hint="eastAsia"/>
        </w:rPr>
        <w:t>人员在其工作职责范围内，违反规定，未履行或未正确履行职责，对造成的资产损失或其他不良后果起决定性直接作用时应当承担的责任。</w:t>
      </w:r>
    </w:p>
    <w:p w14:paraId="0A70B8FD" w14:textId="77777777" w:rsidR="00EA7C3F" w:rsidRDefault="00EA7C3F" w:rsidP="00EA7C3F">
      <w:pPr>
        <w:pStyle w:val="13"/>
      </w:pPr>
      <w:r>
        <w:rPr>
          <w:rFonts w:hint="eastAsia"/>
        </w:rPr>
        <w:t>企业负责人存在以下情形的，应当承担直接责任：本人或与他人共同违反国家法律法规和企业内部管理规定；授意、指使、强令、纵容、包庇下属人员违反国家法律法规和企业内部管理规定；未经民主决策、相关会议讨论或文件传签、报审等规定程序，直接决定、批准、组织实施重大经济事项，并造成重大资产损失或其他严重不良后果；主持相关会议讨论或以</w:t>
      </w:r>
      <w:proofErr w:type="gramStart"/>
      <w:r>
        <w:rPr>
          <w:rFonts w:hint="eastAsia"/>
        </w:rPr>
        <w:t>文件传签等</w:t>
      </w:r>
      <w:proofErr w:type="gramEnd"/>
      <w:r>
        <w:rPr>
          <w:rFonts w:hint="eastAsia"/>
        </w:rPr>
        <w:t>其他方式研究时，在多数人不同意的情况下，直接决定、批准、组织实施重大经济事项，造成重大资产损失或其他严重不良后果；将按有关法律法规制度应作为第一责任人（总负责）的事项、签订的有关目标责任事项或应当履行的其他重要职责，授权（委托）其他领导干部决策</w:t>
      </w:r>
      <w:proofErr w:type="gramStart"/>
      <w:r>
        <w:rPr>
          <w:rFonts w:hint="eastAsia"/>
        </w:rPr>
        <w:t>且决策</w:t>
      </w:r>
      <w:proofErr w:type="gramEnd"/>
      <w:r>
        <w:rPr>
          <w:rFonts w:hint="eastAsia"/>
        </w:rPr>
        <w:t>不当或决策失误造成重大资产损失或其他严重不良后果；其他失职、渎职和应当承担直接责任的行为。</w:t>
      </w:r>
    </w:p>
    <w:p w14:paraId="2175851F" w14:textId="77777777" w:rsidR="00EA7C3F" w:rsidRDefault="00EA7C3F" w:rsidP="00EA7C3F">
      <w:pPr>
        <w:pStyle w:val="13"/>
      </w:pPr>
      <w:r>
        <w:rPr>
          <w:rFonts w:hint="eastAsia"/>
        </w:rPr>
        <w:t>（二）主管责任是</w:t>
      </w:r>
      <w:proofErr w:type="gramStart"/>
      <w:r>
        <w:rPr>
          <w:rFonts w:hint="eastAsia"/>
        </w:rPr>
        <w:t>指相关</w:t>
      </w:r>
      <w:proofErr w:type="gramEnd"/>
      <w:r>
        <w:rPr>
          <w:rFonts w:hint="eastAsia"/>
        </w:rPr>
        <w:t>人员在其直接主管（分管）工作职责范围内，违反规定，未履行或未正确履行职责，对造成的资产损失或不良后果应当承担的责任。</w:t>
      </w:r>
    </w:p>
    <w:p w14:paraId="3480CD7B" w14:textId="77777777" w:rsidR="00EA7C3F" w:rsidRDefault="00EA7C3F" w:rsidP="00EA7C3F">
      <w:pPr>
        <w:pStyle w:val="13"/>
      </w:pPr>
      <w:r>
        <w:rPr>
          <w:rFonts w:hint="eastAsia"/>
        </w:rPr>
        <w:t>（三）领导责任是指主要负责人在其工作职责范围内，违反规定，未履行或未正确履行职责，对造成的资产损失或不良后果应当承担的责任。</w:t>
      </w:r>
    </w:p>
    <w:p w14:paraId="4C57ABA5" w14:textId="77777777" w:rsidR="00EA7C3F" w:rsidRDefault="00EA7C3F" w:rsidP="00EA7C3F">
      <w:pPr>
        <w:pStyle w:val="ab"/>
        <w:spacing w:before="62" w:after="62"/>
        <w:ind w:firstLine="482"/>
      </w:pPr>
      <w:r>
        <w:rPr>
          <w:rFonts w:hint="eastAsia"/>
        </w:rPr>
        <w:t>五、责任追究处理</w:t>
      </w:r>
    </w:p>
    <w:p w14:paraId="5A60A91D" w14:textId="77777777" w:rsidR="00EA7C3F" w:rsidRDefault="00EA7C3F" w:rsidP="00EA7C3F">
      <w:pPr>
        <w:pStyle w:val="13"/>
      </w:pPr>
      <w:r>
        <w:rPr>
          <w:rFonts w:hint="eastAsia"/>
        </w:rPr>
        <w:t>（一）根据资产损失程度、问题性质等，对相关责任人采取组织处理、扣减薪酬、禁入限制、纪律处分、移送司法机关等方式处理。</w:t>
      </w:r>
    </w:p>
    <w:p w14:paraId="4944A503" w14:textId="77777777" w:rsidR="00EA7C3F" w:rsidRDefault="00EA7C3F" w:rsidP="00EA7C3F">
      <w:pPr>
        <w:pStyle w:val="13"/>
      </w:pPr>
      <w:r>
        <w:t>1.组织处理。包括批评教育、责令书面检查、通报批评、诫勉、停职、调离工作岗位、降职、改任非领导职务、责令辞职、免职等。</w:t>
      </w:r>
    </w:p>
    <w:p w14:paraId="697B3802" w14:textId="77777777" w:rsidR="00EA7C3F" w:rsidRDefault="00EA7C3F" w:rsidP="00EA7C3F">
      <w:pPr>
        <w:pStyle w:val="13"/>
      </w:pPr>
      <w:r>
        <w:t>2.扣减薪酬。扣减和追索绩效年薪或任期激励收入，终止或收回中长期激励收益，取消参加中长期激励资格等。</w:t>
      </w:r>
    </w:p>
    <w:p w14:paraId="37208F5A" w14:textId="77777777" w:rsidR="00EA7C3F" w:rsidRDefault="00EA7C3F" w:rsidP="00EA7C3F">
      <w:pPr>
        <w:pStyle w:val="13"/>
      </w:pPr>
      <w:r>
        <w:t>3.禁入限制。五年内直至终身不得担任国有企业董事、监事、高级管理人员。</w:t>
      </w:r>
    </w:p>
    <w:p w14:paraId="77283560" w14:textId="77777777" w:rsidR="00EA7C3F" w:rsidRDefault="00EA7C3F" w:rsidP="00EA7C3F">
      <w:pPr>
        <w:pStyle w:val="13"/>
      </w:pPr>
      <w:r>
        <w:t>4.纪律处分。由相应的纪检监察机关依法依规查处。</w:t>
      </w:r>
    </w:p>
    <w:p w14:paraId="5C94A13B" w14:textId="77777777" w:rsidR="00EA7C3F" w:rsidRDefault="00EA7C3F" w:rsidP="00EA7C3F">
      <w:pPr>
        <w:pStyle w:val="13"/>
      </w:pPr>
      <w:r>
        <w:t>5.移送司法机关处理。依据国家有关法律规定，移送司法机关依法查处。</w:t>
      </w:r>
    </w:p>
    <w:p w14:paraId="4CFA29ED" w14:textId="77777777" w:rsidR="00EA7C3F" w:rsidRDefault="00EA7C3F" w:rsidP="00EA7C3F">
      <w:pPr>
        <w:pStyle w:val="13"/>
      </w:pPr>
      <w:r>
        <w:rPr>
          <w:rFonts w:hint="eastAsia"/>
        </w:rPr>
        <w:t>以上处理方式可以单独使用，也可以合并使用。</w:t>
      </w:r>
    </w:p>
    <w:p w14:paraId="34274C9A" w14:textId="77777777" w:rsidR="00EA7C3F" w:rsidRDefault="00EA7C3F" w:rsidP="00EA7C3F">
      <w:pPr>
        <w:pStyle w:val="13"/>
      </w:pPr>
      <w:r>
        <w:rPr>
          <w:rFonts w:hint="eastAsia"/>
        </w:rPr>
        <w:t>（二）国有企业发生资产损失，经过查证核实和责任认定后，除依据有关规定移送司法机关处理外，应当按以下方式处理：</w:t>
      </w:r>
    </w:p>
    <w:p w14:paraId="62B2922D" w14:textId="77777777" w:rsidR="00EA7C3F" w:rsidRDefault="00EA7C3F" w:rsidP="00EA7C3F">
      <w:pPr>
        <w:pStyle w:val="13"/>
      </w:pPr>
      <w:r>
        <w:lastRenderedPageBreak/>
        <w:t>1.发生较大资产损失的，对直接责任人和主管责任人给予通报批评、诫勉、停职、调离工作岗位、降职等处理，同时按照以下标准扣减薪酬：扣减和追索责任认定年度50%—100%的绩效年薪、扣减和追索责任认定年度（含）前三年50%—100%的任期激励收入并延期支付绩效年薪，终止尚未行使的中长期激励权益、上缴责任认定年度及前一年度的全部中长期激励收益、五年内不得参加企业新的中长期激励。</w:t>
      </w:r>
    </w:p>
    <w:p w14:paraId="779EA734" w14:textId="77777777" w:rsidR="00EA7C3F" w:rsidRDefault="00EA7C3F" w:rsidP="00EA7C3F">
      <w:pPr>
        <w:pStyle w:val="13"/>
      </w:pPr>
      <w:r>
        <w:rPr>
          <w:rFonts w:hint="eastAsia"/>
        </w:rPr>
        <w:t>对领导责任人给予通报批评、诫勉、停职、调离工作岗位等处理，同时按照以下标准扣减薪酬：扣减和追索责任认定年度</w:t>
      </w:r>
      <w:r>
        <w:t>30%—70%的绩效年薪、扣减和追索责任认定年度（含）前三年30%—70%的任期激励收入并延期支付绩效年薪，终止尚未行使的中长期激励权益、三年内不得参加企业新的中长期激励。</w:t>
      </w:r>
    </w:p>
    <w:p w14:paraId="1C817472" w14:textId="77777777" w:rsidR="00EA7C3F" w:rsidRDefault="00EA7C3F" w:rsidP="00EA7C3F">
      <w:pPr>
        <w:pStyle w:val="13"/>
      </w:pPr>
      <w:r>
        <w:t>2.发生重大资产损失的，对直接责任人和主管责任人给予降职、改任非领导职务、责令辞职、免职和禁入限制等处理，同时按照以下标准扣减薪酬：扣减和追索责任认定年度100%的绩效年薪、扣减和追索责任认定年度（含）前三年100%的任期激励收入并延期支付绩效年薪，终止尚未行使的中长期激励权益、上缴责任认定年度（含）前三年的全部中长期激励收益、不得参加企业新的中长期激励。</w:t>
      </w:r>
    </w:p>
    <w:p w14:paraId="2D5D0B50" w14:textId="77777777" w:rsidR="00EA7C3F" w:rsidRDefault="00EA7C3F" w:rsidP="00EA7C3F">
      <w:pPr>
        <w:pStyle w:val="13"/>
      </w:pPr>
      <w:r>
        <w:rPr>
          <w:rFonts w:hint="eastAsia"/>
        </w:rPr>
        <w:t>对领导责任人给予调离工作岗位、降职、改任非领导职务、责令辞职、免职和禁入限制等处理，同时按照以下标准扣减薪酬：扣减和追索责任认定年度</w:t>
      </w:r>
      <w:r>
        <w:t>70%—100%的绩效年薪、扣减和追索责任认定年度（含）前三年70%—100%的任期激励收入并延期支付绩效年薪，终止尚未行使的中长期激励权益、上缴责任认定年度（含）前三年的全部中长期激励收益、五年内不得参加企业新的中长期激励。</w:t>
      </w:r>
    </w:p>
    <w:p w14:paraId="6587C3FE" w14:textId="77777777" w:rsidR="00EA7C3F" w:rsidRDefault="00EA7C3F" w:rsidP="00EA7C3F">
      <w:pPr>
        <w:pStyle w:val="13"/>
      </w:pPr>
      <w:r>
        <w:t>3.责任人在责任认定年度已不在本企业领取绩效年薪的，按离职前一年度全部绩效年薪及前三年任期激励收入总和计算，参照上述标准追索扣回其薪酬。</w:t>
      </w:r>
    </w:p>
    <w:p w14:paraId="2476CF80" w14:textId="77777777" w:rsidR="00EA7C3F" w:rsidRDefault="00EA7C3F" w:rsidP="00EA7C3F">
      <w:pPr>
        <w:pStyle w:val="13"/>
      </w:pPr>
      <w:r>
        <w:t>4.对同一事件、同一责任人的薪酬扣减和追索，按照党纪政纪处分、责任追究</w:t>
      </w:r>
      <w:proofErr w:type="gramStart"/>
      <w:r>
        <w:t>等扣减薪酬</w:t>
      </w:r>
      <w:proofErr w:type="gramEnd"/>
      <w:r>
        <w:t>处理的最高标准执行，但不合并使用。</w:t>
      </w:r>
    </w:p>
    <w:p w14:paraId="7D032E5F" w14:textId="77777777" w:rsidR="00EA7C3F" w:rsidRDefault="00EA7C3F" w:rsidP="00EA7C3F">
      <w:pPr>
        <w:pStyle w:val="13"/>
      </w:pPr>
      <w:r>
        <w:rPr>
          <w:rFonts w:hint="eastAsia"/>
        </w:rPr>
        <w:t>（三）对资产损失频繁发生、金额巨大、后果严重、影响恶劣的，未及时采取措施或措施不力导致资产损失扩大的，以及瞒报、谎报资产损失的，应当从重处理。对及时采取措施减少、挽回损失并消除不良影响的，可以适当从轻处理。</w:t>
      </w:r>
    </w:p>
    <w:p w14:paraId="7E1700A6" w14:textId="77777777" w:rsidR="00EA7C3F" w:rsidRDefault="00EA7C3F" w:rsidP="00EA7C3F">
      <w:pPr>
        <w:pStyle w:val="13"/>
      </w:pPr>
      <w:r>
        <w:rPr>
          <w:rFonts w:hint="eastAsia"/>
        </w:rPr>
        <w:t>（四）国有企业违规经营投资责任追究处理的具体标准，由各级履行出资人职责的机构根据资产损失程度、应当承担责任等情况，依照本意见制定。</w:t>
      </w:r>
    </w:p>
    <w:p w14:paraId="5380D02C" w14:textId="77777777" w:rsidR="00EA7C3F" w:rsidRDefault="00EA7C3F" w:rsidP="00EA7C3F">
      <w:pPr>
        <w:pStyle w:val="ab"/>
        <w:spacing w:before="62" w:after="62"/>
        <w:ind w:firstLine="482"/>
      </w:pPr>
      <w:r>
        <w:rPr>
          <w:rFonts w:hint="eastAsia"/>
        </w:rPr>
        <w:t>六、责任追究工作的组织实施</w:t>
      </w:r>
    </w:p>
    <w:p w14:paraId="0FBF092B" w14:textId="77777777" w:rsidR="00EA7C3F" w:rsidRDefault="00EA7C3F" w:rsidP="00EA7C3F">
      <w:pPr>
        <w:pStyle w:val="13"/>
      </w:pPr>
      <w:r>
        <w:rPr>
          <w:rFonts w:hint="eastAsia"/>
        </w:rPr>
        <w:t>（一）开展国有企业违规经营投资责任追究工作，应当遵循以下程序：</w:t>
      </w:r>
    </w:p>
    <w:p w14:paraId="2ECF80A7" w14:textId="77777777" w:rsidR="00EA7C3F" w:rsidRDefault="00EA7C3F" w:rsidP="00EA7C3F">
      <w:pPr>
        <w:pStyle w:val="13"/>
      </w:pPr>
      <w:r>
        <w:t>1.受理。资产损失一经发现，应当立即按管辖规定及相关程序报告。受理部门应当对掌握的资产损失线索进行初步核实，属于责任追究范围的，应当及时启动责任追究工作。</w:t>
      </w:r>
    </w:p>
    <w:p w14:paraId="69874BD3" w14:textId="77777777" w:rsidR="00EA7C3F" w:rsidRDefault="00EA7C3F" w:rsidP="00EA7C3F">
      <w:pPr>
        <w:pStyle w:val="13"/>
      </w:pPr>
      <w:r>
        <w:t>2.调查。受理部门应当按照职责权限及时组织开展调查，核查资产损失及相关业</w:t>
      </w:r>
      <w:r>
        <w:lastRenderedPageBreak/>
        <w:t>务情况、核实损失金额和损失情形、查清损失原因、认定相应责任、提出整改措施等，必要时可经批准组成联合调查组进行核查，并出具资产损失情况调查报告。</w:t>
      </w:r>
    </w:p>
    <w:p w14:paraId="0674D099" w14:textId="77777777" w:rsidR="00EA7C3F" w:rsidRDefault="00EA7C3F" w:rsidP="00EA7C3F">
      <w:pPr>
        <w:pStyle w:val="13"/>
      </w:pPr>
      <w:r>
        <w:t>3.处理。根据调查事实，依照管辖规定移送有关部门，按照管理权限和相关程序对相关责任人追究责任。相关责任人对处理决定有异议的，有权提出申诉，但申诉期间不停止原处理决定的执行。责任追究调查情况及处理结果在一定范围内公开。</w:t>
      </w:r>
    </w:p>
    <w:p w14:paraId="4A73231F" w14:textId="77777777" w:rsidR="00EA7C3F" w:rsidRDefault="00EA7C3F" w:rsidP="00EA7C3F">
      <w:pPr>
        <w:pStyle w:val="13"/>
      </w:pPr>
      <w:r>
        <w:t>4.整改。发生资产损失的国有企业应当认真总结吸取教训，落实整改措施，堵塞管理漏洞，建立健全防范损失的长效机制。</w:t>
      </w:r>
    </w:p>
    <w:p w14:paraId="3E17362D" w14:textId="77777777" w:rsidR="00EA7C3F" w:rsidRDefault="00EA7C3F" w:rsidP="00EA7C3F">
      <w:pPr>
        <w:pStyle w:val="13"/>
      </w:pPr>
      <w:r>
        <w:rPr>
          <w:rFonts w:hint="eastAsia"/>
        </w:rPr>
        <w:t>（二）责任追究工作原则上按照干部管理权限组织开展，一般资产损失由本企业依据相关规定自行开展责任追究工作，上级企业或履行出资人职责的机构认为有必要的，可直接组织开展；达到较大或重大资产损失标准的，应当由上级企业或履行出资人职责的机构开展责任追究工作；多次发生重大资产损失或造成其他严重不良影响、资产损失金额特别巨大且危及企业生存发展的，应当由履行出资人职责的机构开展责任追究工作。</w:t>
      </w:r>
    </w:p>
    <w:p w14:paraId="1B8634FE" w14:textId="77777777" w:rsidR="00EA7C3F" w:rsidRDefault="00EA7C3F" w:rsidP="00EA7C3F">
      <w:pPr>
        <w:pStyle w:val="13"/>
      </w:pPr>
      <w:r>
        <w:rPr>
          <w:rFonts w:hint="eastAsia"/>
        </w:rPr>
        <w:t>（三）对违反规定，未履行或未正确履行职责造成国有资产损失的董事，除依法承担赔偿责任外，应当依照公司法、公司章程及本意</w:t>
      </w:r>
      <w:proofErr w:type="gramStart"/>
      <w:r>
        <w:rPr>
          <w:rFonts w:hint="eastAsia"/>
        </w:rPr>
        <w:t>见规定</w:t>
      </w:r>
      <w:proofErr w:type="gramEnd"/>
      <w:r>
        <w:rPr>
          <w:rFonts w:hint="eastAsia"/>
        </w:rPr>
        <w:t>对其进行处理。对重大资产损失负有直接责任的董事，应及时调整或解聘。</w:t>
      </w:r>
    </w:p>
    <w:p w14:paraId="06ABA32F" w14:textId="77777777" w:rsidR="00EA7C3F" w:rsidRDefault="00EA7C3F" w:rsidP="00EA7C3F">
      <w:pPr>
        <w:pStyle w:val="13"/>
      </w:pPr>
      <w:r>
        <w:rPr>
          <w:rFonts w:hint="eastAsia"/>
        </w:rPr>
        <w:t>（四）经营投资责任调查期间，对相关责任人未支付或兑现的绩效年薪、任期激励收入、中长期激励收益等均应暂停支付或兑现；对有可能影响调查工作顺利开展的相关责任人，可视</w:t>
      </w:r>
      <w:proofErr w:type="gramStart"/>
      <w:r>
        <w:rPr>
          <w:rFonts w:hint="eastAsia"/>
        </w:rPr>
        <w:t>情采取</w:t>
      </w:r>
      <w:proofErr w:type="gramEnd"/>
      <w:r>
        <w:rPr>
          <w:rFonts w:hint="eastAsia"/>
        </w:rPr>
        <w:t>停职、调离工作岗位、免职等措施。</w:t>
      </w:r>
    </w:p>
    <w:p w14:paraId="019FEA51" w14:textId="77777777" w:rsidR="00EA7C3F" w:rsidRDefault="00EA7C3F" w:rsidP="00EA7C3F">
      <w:pPr>
        <w:pStyle w:val="13"/>
      </w:pPr>
      <w:r>
        <w:rPr>
          <w:rFonts w:hint="eastAsia"/>
        </w:rPr>
        <w:t>（五）对发生安全生产、环境污染责任事故和重大不稳定事件的，按照国家有关规定另行处理。</w:t>
      </w:r>
    </w:p>
    <w:p w14:paraId="6EECC74A" w14:textId="77777777" w:rsidR="00EA7C3F" w:rsidRDefault="00EA7C3F" w:rsidP="00EA7C3F">
      <w:pPr>
        <w:pStyle w:val="ab"/>
        <w:spacing w:before="62" w:after="62"/>
        <w:ind w:firstLine="482"/>
      </w:pPr>
      <w:r>
        <w:rPr>
          <w:rFonts w:hint="eastAsia"/>
        </w:rPr>
        <w:t>七、工作要求</w:t>
      </w:r>
    </w:p>
    <w:p w14:paraId="0CA665FC" w14:textId="77777777" w:rsidR="00EA7C3F" w:rsidRDefault="00EA7C3F" w:rsidP="00EA7C3F">
      <w:pPr>
        <w:pStyle w:val="13"/>
      </w:pPr>
      <w:r>
        <w:rPr>
          <w:rFonts w:hint="eastAsia"/>
        </w:rPr>
        <w:t>（一）各级履行出资人职责的机构要明确所出资企业负责人在经营投资活动中须履行的职责，引导其树立责任意识和风险意识，依法经营，廉洁从业，坚持职业操守，履职尽责，规范经营投资决策，维护国有资产安全。国有企业要依据公司法规定完善公司章程，建立健全重大决策评估、决策事项履职记录、决策过错认定等配套制度，细化各类经营投资责任清单，明确岗位职责和履职程序，不断提高经营投资责任管理的规范化、科学化水平。履行出资人职责的机构和国有企业应在有关外聘董事、职业经理人聘任合同中，明确违规经营投资责任追究的原则要求。</w:t>
      </w:r>
    </w:p>
    <w:p w14:paraId="66A33C8D" w14:textId="77777777" w:rsidR="00EA7C3F" w:rsidRDefault="00EA7C3F" w:rsidP="00EA7C3F">
      <w:pPr>
        <w:pStyle w:val="13"/>
      </w:pPr>
      <w:r>
        <w:rPr>
          <w:rFonts w:hint="eastAsia"/>
        </w:rPr>
        <w:t>（二）各级履行出资人职责的机构和国有企业要按照本意见要求，建立健全违规经营投资责任追究制度，细化经营投资责任追究的原则、范围、依据、启动机制、程序、方式、标准和职责，保障违规经营投资责任追究工作有章可循、规范有序。国有企业违规经营投资责任追究制度应当</w:t>
      </w:r>
      <w:proofErr w:type="gramStart"/>
      <w:r>
        <w:rPr>
          <w:rFonts w:hint="eastAsia"/>
        </w:rPr>
        <w:t>报履行</w:t>
      </w:r>
      <w:proofErr w:type="gramEnd"/>
      <w:r>
        <w:rPr>
          <w:rFonts w:hint="eastAsia"/>
        </w:rPr>
        <w:t>出资人职责的机构备案。</w:t>
      </w:r>
    </w:p>
    <w:p w14:paraId="1F56DC6B" w14:textId="77777777" w:rsidR="00EA7C3F" w:rsidRDefault="00EA7C3F" w:rsidP="00EA7C3F">
      <w:pPr>
        <w:pStyle w:val="13"/>
      </w:pPr>
      <w:r>
        <w:rPr>
          <w:rFonts w:hint="eastAsia"/>
        </w:rPr>
        <w:t>（三）国有企业要充分发挥党组织、审计、财务、法律、人力资源、巡视、纪检</w:t>
      </w:r>
      <w:r>
        <w:rPr>
          <w:rFonts w:hint="eastAsia"/>
        </w:rPr>
        <w:lastRenderedPageBreak/>
        <w:t>监察等部门的监督作用，形成联合实施、协同联动、规范有序的责任追究工作机制，重要情况和问题及时</w:t>
      </w:r>
      <w:proofErr w:type="gramStart"/>
      <w:r>
        <w:rPr>
          <w:rFonts w:hint="eastAsia"/>
        </w:rPr>
        <w:t>向履行</w:t>
      </w:r>
      <w:proofErr w:type="gramEnd"/>
      <w:r>
        <w:rPr>
          <w:rFonts w:hint="eastAsia"/>
        </w:rPr>
        <w:t>出资人职责的机构报告。履行出资人职责的机构要加强与外派监事会、巡视组、审计机关、纪检监察机关、司法机关的协同配合，共同做好国有企业违规经营投资责任追究工作。对国有企业违规经营投资等重大违法违纪违规问题应当发现而未发现或敷衍不追、隐匿不报、查处不力的，严格追究企业和履行出资人职责的机构有关人员的失职渎职责任。</w:t>
      </w:r>
    </w:p>
    <w:p w14:paraId="6252BDA0" w14:textId="77777777" w:rsidR="00EA7C3F" w:rsidRDefault="00EA7C3F" w:rsidP="00EA7C3F">
      <w:pPr>
        <w:pStyle w:val="13"/>
      </w:pPr>
      <w:r>
        <w:rPr>
          <w:rFonts w:hint="eastAsia"/>
        </w:rPr>
        <w:t>（四）各级履行出资人职责的机构和国有企业要做好国有企业违规经营投资责任追究相关制度的宣传解释工作，凝聚社会共识，为深入开展责任追究工作营造良好氛围；要结合对具体案例的调查处理，在适当范围进行总结和通报，探索向社会公开调查处理情况，接受社会监督，充分发挥警示教育作用。</w:t>
      </w:r>
    </w:p>
    <w:p w14:paraId="1B418B47" w14:textId="77777777" w:rsidR="00EA7C3F" w:rsidRDefault="00EA7C3F" w:rsidP="00EA7C3F">
      <w:pPr>
        <w:pStyle w:val="13"/>
      </w:pPr>
      <w:r>
        <w:rPr>
          <w:rFonts w:hint="eastAsia"/>
        </w:rPr>
        <w:t>本意见适用于国有及国有控股企业违规经营投资责任追究工作。金融、文化等国有企业违规经营投资责任追究工作，中央另有规定的依其规定执行。</w:t>
      </w:r>
    </w:p>
    <w:p w14:paraId="1DBA8A46" w14:textId="77777777" w:rsidR="00EA7C3F" w:rsidRPr="00F51B3D" w:rsidRDefault="00EA7C3F" w:rsidP="00EA7C3F">
      <w:pPr>
        <w:pStyle w:val="31"/>
        <w:spacing w:before="156" w:after="62"/>
      </w:pPr>
      <w:bookmarkStart w:id="230" w:name="_Toc81833463"/>
      <w:r w:rsidRPr="00864171">
        <w:rPr>
          <w:rFonts w:hint="eastAsia"/>
        </w:rPr>
        <w:t>《企业国有资产监督管理暂行条例》</w:t>
      </w:r>
      <w:r>
        <w:rPr>
          <w:rFonts w:hint="eastAsia"/>
        </w:rPr>
        <w:t>（</w:t>
      </w:r>
      <w:r>
        <w:rPr>
          <w:rFonts w:ascii="Arial" w:hAnsi="Arial" w:cs="Arial"/>
          <w:color w:val="333333"/>
          <w:sz w:val="21"/>
          <w:szCs w:val="21"/>
          <w:shd w:val="clear" w:color="auto" w:fill="FFFFFF"/>
        </w:rPr>
        <w:t>2019</w:t>
      </w:r>
      <w:r>
        <w:rPr>
          <w:rFonts w:ascii="Arial" w:hAnsi="Arial" w:cs="Arial"/>
          <w:color w:val="333333"/>
          <w:sz w:val="21"/>
          <w:szCs w:val="21"/>
          <w:shd w:val="clear" w:color="auto" w:fill="FFFFFF"/>
        </w:rPr>
        <w:t>年</w:t>
      </w:r>
      <w:r>
        <w:rPr>
          <w:rFonts w:ascii="Arial" w:hAnsi="Arial" w:cs="Arial"/>
          <w:color w:val="333333"/>
          <w:sz w:val="21"/>
          <w:szCs w:val="21"/>
          <w:shd w:val="clear" w:color="auto" w:fill="FFFFFF"/>
        </w:rPr>
        <w:t>3</w:t>
      </w:r>
      <w:r>
        <w:rPr>
          <w:rFonts w:ascii="Arial" w:hAnsi="Arial" w:cs="Arial"/>
          <w:color w:val="333333"/>
          <w:sz w:val="21"/>
          <w:szCs w:val="21"/>
          <w:shd w:val="clear" w:color="auto" w:fill="FFFFFF"/>
        </w:rPr>
        <w:t>月</w:t>
      </w:r>
      <w:r>
        <w:rPr>
          <w:rFonts w:ascii="Arial" w:hAnsi="Arial" w:cs="Arial"/>
          <w:color w:val="333333"/>
          <w:sz w:val="21"/>
          <w:szCs w:val="21"/>
          <w:shd w:val="clear" w:color="auto" w:fill="FFFFFF"/>
        </w:rPr>
        <w:t>2</w:t>
      </w:r>
      <w:r>
        <w:rPr>
          <w:rFonts w:ascii="Arial" w:hAnsi="Arial" w:cs="Arial"/>
          <w:color w:val="333333"/>
          <w:sz w:val="21"/>
          <w:szCs w:val="21"/>
          <w:shd w:val="clear" w:color="auto" w:fill="FFFFFF"/>
        </w:rPr>
        <w:t>日</w:t>
      </w:r>
      <w:r>
        <w:rPr>
          <w:rFonts w:ascii="Arial" w:hAnsi="Arial" w:cs="Arial" w:hint="eastAsia"/>
          <w:color w:val="333333"/>
          <w:sz w:val="21"/>
          <w:szCs w:val="21"/>
          <w:shd w:val="clear" w:color="auto" w:fill="FFFFFF"/>
        </w:rPr>
        <w:t>修订</w:t>
      </w:r>
      <w:r>
        <w:rPr>
          <w:rFonts w:hint="eastAsia"/>
        </w:rPr>
        <w:t>）</w:t>
      </w:r>
      <w:bookmarkEnd w:id="230"/>
    </w:p>
    <w:p w14:paraId="18575575" w14:textId="77777777" w:rsidR="00EA7C3F" w:rsidRPr="00864171" w:rsidRDefault="00EA7C3F" w:rsidP="00AF7342">
      <w:pPr>
        <w:pStyle w:val="a9"/>
        <w:spacing w:before="62" w:after="62"/>
      </w:pPr>
      <w:r w:rsidRPr="00864171">
        <w:rPr>
          <w:rFonts w:hint="eastAsia"/>
        </w:rPr>
        <w:t>第一章</w:t>
      </w:r>
      <w:r>
        <w:t xml:space="preserve"> </w:t>
      </w:r>
      <w:r w:rsidRPr="00864171">
        <w:rPr>
          <w:rFonts w:hint="eastAsia"/>
        </w:rPr>
        <w:t>总则</w:t>
      </w:r>
    </w:p>
    <w:p w14:paraId="69761B8E" w14:textId="77777777" w:rsidR="00EA7C3F" w:rsidRPr="00864171" w:rsidRDefault="00EA7C3F" w:rsidP="00EA7C3F">
      <w:pPr>
        <w:pStyle w:val="13"/>
        <w:ind w:firstLine="482"/>
      </w:pPr>
      <w:r w:rsidRPr="004E3EBB">
        <w:rPr>
          <w:rFonts w:hint="eastAsia"/>
          <w:b/>
        </w:rPr>
        <w:t xml:space="preserve">第一条 </w:t>
      </w:r>
      <w:r w:rsidRPr="00864171">
        <w:rPr>
          <w:rFonts w:hint="eastAsia"/>
        </w:rPr>
        <w:t>为建立适应社会主义市场经济需要的国有资产监督管理体制，进一步搞好国有企业，推动国有经济布局和结构的战略性调整，发展和壮大国有经济，实现国有资产保值增值，制定本条例。</w:t>
      </w:r>
    </w:p>
    <w:p w14:paraId="730BFD4F" w14:textId="77777777" w:rsidR="00EA7C3F" w:rsidRPr="00864171" w:rsidRDefault="00EA7C3F" w:rsidP="00EA7C3F">
      <w:pPr>
        <w:pStyle w:val="13"/>
        <w:ind w:firstLine="482"/>
      </w:pPr>
      <w:r w:rsidRPr="004E3EBB">
        <w:rPr>
          <w:rFonts w:hint="eastAsia"/>
          <w:b/>
        </w:rPr>
        <w:t xml:space="preserve">第二条 </w:t>
      </w:r>
      <w:r w:rsidRPr="00864171">
        <w:rPr>
          <w:rFonts w:hint="eastAsia"/>
        </w:rPr>
        <w:t>国有及国有控股企业、国有参股企业中的国有资产的监督管理，适用本条例。</w:t>
      </w:r>
    </w:p>
    <w:p w14:paraId="2E01C107" w14:textId="77777777" w:rsidR="00EA7C3F" w:rsidRPr="00864171" w:rsidRDefault="00EA7C3F" w:rsidP="00EA7C3F">
      <w:pPr>
        <w:pStyle w:val="13"/>
      </w:pPr>
      <w:r w:rsidRPr="00864171">
        <w:rPr>
          <w:rFonts w:hint="eastAsia"/>
        </w:rPr>
        <w:t>金融机构中的国有资产的监督管理，不适用本条例。</w:t>
      </w:r>
    </w:p>
    <w:p w14:paraId="1456F0CE" w14:textId="77777777" w:rsidR="00EA7C3F" w:rsidRPr="00864171" w:rsidRDefault="00EA7C3F" w:rsidP="00EA7C3F">
      <w:pPr>
        <w:pStyle w:val="13"/>
        <w:ind w:firstLine="482"/>
      </w:pPr>
      <w:r w:rsidRPr="004E3EBB">
        <w:rPr>
          <w:rFonts w:hint="eastAsia"/>
          <w:b/>
        </w:rPr>
        <w:t xml:space="preserve">第三条 </w:t>
      </w:r>
      <w:r w:rsidRPr="00864171">
        <w:rPr>
          <w:rFonts w:hint="eastAsia"/>
        </w:rPr>
        <w:t>本条例所称企业国有资产，是指国家对企业各种形式的投资和投资所形成的权益，以及依法认定为国家所有的其他权益。</w:t>
      </w:r>
    </w:p>
    <w:p w14:paraId="6660B858" w14:textId="77777777" w:rsidR="00EA7C3F" w:rsidRPr="00864171" w:rsidRDefault="00EA7C3F" w:rsidP="00EA7C3F">
      <w:pPr>
        <w:pStyle w:val="13"/>
        <w:ind w:firstLine="482"/>
      </w:pPr>
      <w:r w:rsidRPr="004E3EBB">
        <w:rPr>
          <w:rFonts w:hint="eastAsia"/>
          <w:b/>
        </w:rPr>
        <w:t xml:space="preserve">第四条 </w:t>
      </w:r>
      <w:r w:rsidRPr="00864171">
        <w:rPr>
          <w:rFonts w:hint="eastAsia"/>
        </w:rPr>
        <w:t>企业国有资产属于国家所有。国家实行由国务院和地方人民政府分别代表国家履行出资人职责，享有所有者权益，权利、义务和责任相统一，管资产和管人、管事相结合的国有资产管理体制。</w:t>
      </w:r>
    </w:p>
    <w:p w14:paraId="278CF9F0" w14:textId="77777777" w:rsidR="00EA7C3F" w:rsidRPr="00864171" w:rsidRDefault="00EA7C3F" w:rsidP="00EA7C3F">
      <w:pPr>
        <w:pStyle w:val="13"/>
        <w:ind w:firstLine="482"/>
      </w:pPr>
      <w:r w:rsidRPr="004E3EBB">
        <w:rPr>
          <w:rFonts w:hint="eastAsia"/>
          <w:b/>
        </w:rPr>
        <w:t xml:space="preserve">第五条 </w:t>
      </w:r>
      <w:r w:rsidRPr="00864171">
        <w:rPr>
          <w:rFonts w:hint="eastAsia"/>
        </w:rPr>
        <w:t>国务院代表国家对关系国民经济命脉和国家安全的大型国有及国有控股、国有参股企业，重要基础设施和重要自然资源等领域的国有及国有控股、国有参股企业，履行出资人职责。国务院履行出资人职责的企业，由国务院确定、公布。</w:t>
      </w:r>
    </w:p>
    <w:p w14:paraId="665D2A3A" w14:textId="77777777" w:rsidR="00EA7C3F" w:rsidRPr="00864171" w:rsidRDefault="00EA7C3F" w:rsidP="00EA7C3F">
      <w:pPr>
        <w:pStyle w:val="13"/>
      </w:pPr>
      <w:r w:rsidRPr="00864171">
        <w:rPr>
          <w:rFonts w:hint="eastAsia"/>
        </w:rPr>
        <w:t>省、自治区、直辖市人民政府和设区的市、自治州级人民政府分别代表国家对由国务院履行出资人职责以外的国有及国有控股、国有参股企业，履行出资人职责。其中，省、自治区、直辖市人民政府履行出资人职责的国有及国有控股、国有参股企业，由省、自治区、直辖市人民政府确定、公布，并报国务院国有资产监督管理机构备案；其他由设区的市、自治州级人民政府履行出资人职责的国有及国有控股、国有参股企</w:t>
      </w:r>
      <w:r w:rsidRPr="00864171">
        <w:rPr>
          <w:rFonts w:hint="eastAsia"/>
        </w:rPr>
        <w:lastRenderedPageBreak/>
        <w:t>业，由设区的市、自治州级人民政府确定、公布，并报省、自治区、直辖市人民政府国有资产监督管理机构备案。</w:t>
      </w:r>
    </w:p>
    <w:p w14:paraId="1F29DC32" w14:textId="77777777" w:rsidR="00EA7C3F" w:rsidRPr="00864171" w:rsidRDefault="00EA7C3F" w:rsidP="00EA7C3F">
      <w:pPr>
        <w:pStyle w:val="13"/>
      </w:pPr>
      <w:r w:rsidRPr="00864171">
        <w:rPr>
          <w:rFonts w:hint="eastAsia"/>
        </w:rPr>
        <w:t>国务院，省、自治区、直辖市人民政府，设区的市、自治州级人民政府履行出资人职责的企业，以下统称所出资企业。</w:t>
      </w:r>
    </w:p>
    <w:p w14:paraId="23F13DF0" w14:textId="77777777" w:rsidR="00EA7C3F" w:rsidRPr="00864171" w:rsidRDefault="00EA7C3F" w:rsidP="00EA7C3F">
      <w:pPr>
        <w:pStyle w:val="13"/>
        <w:ind w:firstLine="482"/>
      </w:pPr>
      <w:r w:rsidRPr="004E3EBB">
        <w:rPr>
          <w:rFonts w:hint="eastAsia"/>
          <w:b/>
        </w:rPr>
        <w:t xml:space="preserve">第六条 </w:t>
      </w:r>
      <w:r w:rsidRPr="00864171">
        <w:rPr>
          <w:rFonts w:hint="eastAsia"/>
        </w:rPr>
        <w:t>国务院，省、自治区、直辖市人民政府，设区的市、自治州级人民政府，分别设立国有资产监督管理机构。国有资产监督管理机构根据授权，依法履行出资人职责，依法对企业国有资产进行监督管理。</w:t>
      </w:r>
    </w:p>
    <w:p w14:paraId="78E1D682" w14:textId="77777777" w:rsidR="00EA7C3F" w:rsidRPr="00864171" w:rsidRDefault="00EA7C3F" w:rsidP="00EA7C3F">
      <w:pPr>
        <w:pStyle w:val="13"/>
      </w:pPr>
      <w:r w:rsidRPr="00864171">
        <w:rPr>
          <w:rFonts w:hint="eastAsia"/>
        </w:rPr>
        <w:t>企业国有资产较少的设区的市、自治州，经省、自治区、直辖市人民政府批准，可以不单独设立国有资产监督管理机构。</w:t>
      </w:r>
    </w:p>
    <w:p w14:paraId="0AEF2D85" w14:textId="77777777" w:rsidR="00EA7C3F" w:rsidRPr="00864171" w:rsidRDefault="00EA7C3F" w:rsidP="00EA7C3F">
      <w:pPr>
        <w:pStyle w:val="13"/>
        <w:ind w:firstLine="482"/>
      </w:pPr>
      <w:r w:rsidRPr="004E3EBB">
        <w:rPr>
          <w:rFonts w:hint="eastAsia"/>
          <w:b/>
        </w:rPr>
        <w:t xml:space="preserve">第七条 </w:t>
      </w:r>
      <w:r w:rsidRPr="00864171">
        <w:rPr>
          <w:rFonts w:hint="eastAsia"/>
        </w:rPr>
        <w:t>各级人民政府应当严格执行国有资产管理法律、法规，坚持政府的社会公共管理职能与国有资产出资人职能分开，坚持政企分开，实行所有权与经营权分离。</w:t>
      </w:r>
    </w:p>
    <w:p w14:paraId="14B1F733" w14:textId="77777777" w:rsidR="00EA7C3F" w:rsidRPr="00864171" w:rsidRDefault="00EA7C3F" w:rsidP="00EA7C3F">
      <w:pPr>
        <w:pStyle w:val="13"/>
      </w:pPr>
      <w:r w:rsidRPr="00864171">
        <w:rPr>
          <w:rFonts w:hint="eastAsia"/>
        </w:rPr>
        <w:t>国有资产监督管理机构不行使政府的社会公共管理职能，政府其他机构、部门不履行企业国有资产出资人职责。</w:t>
      </w:r>
    </w:p>
    <w:p w14:paraId="0A6515A1" w14:textId="77777777" w:rsidR="00EA7C3F" w:rsidRPr="00864171" w:rsidRDefault="00EA7C3F" w:rsidP="00EA7C3F">
      <w:pPr>
        <w:pStyle w:val="13"/>
        <w:ind w:firstLine="482"/>
      </w:pPr>
      <w:r w:rsidRPr="004E3EBB">
        <w:rPr>
          <w:rFonts w:hint="eastAsia"/>
          <w:b/>
        </w:rPr>
        <w:t xml:space="preserve">第八条 </w:t>
      </w:r>
      <w:r w:rsidRPr="00864171">
        <w:rPr>
          <w:rFonts w:hint="eastAsia"/>
        </w:rPr>
        <w:t>国有资产监督管理机构应当依照本条例和其他有关法律、行政法规的规定，建立健全内部监督制度，严格执行法律、行政法规。</w:t>
      </w:r>
    </w:p>
    <w:p w14:paraId="62FB7A82" w14:textId="77777777" w:rsidR="00EA7C3F" w:rsidRPr="00864171" w:rsidRDefault="00EA7C3F" w:rsidP="00EA7C3F">
      <w:pPr>
        <w:pStyle w:val="13"/>
        <w:ind w:firstLine="482"/>
      </w:pPr>
      <w:r w:rsidRPr="00E05BDA">
        <w:rPr>
          <w:rFonts w:hint="eastAsia"/>
          <w:b/>
        </w:rPr>
        <w:t xml:space="preserve">第九条 </w:t>
      </w:r>
      <w:r w:rsidRPr="00864171">
        <w:rPr>
          <w:rFonts w:hint="eastAsia"/>
        </w:rPr>
        <w:t>发生战争、严重自然灾害或者其他重大、紧急情况时，国家可以依法统一调用、处置企业国有资产。</w:t>
      </w:r>
    </w:p>
    <w:p w14:paraId="6497AFD5" w14:textId="77777777" w:rsidR="00EA7C3F" w:rsidRPr="00864171" w:rsidRDefault="00EA7C3F" w:rsidP="00EA7C3F">
      <w:pPr>
        <w:pStyle w:val="13"/>
        <w:ind w:firstLine="482"/>
      </w:pPr>
      <w:r w:rsidRPr="00E05BDA">
        <w:rPr>
          <w:rFonts w:hint="eastAsia"/>
          <w:b/>
        </w:rPr>
        <w:t xml:space="preserve">第十条 </w:t>
      </w:r>
      <w:r w:rsidRPr="00864171">
        <w:rPr>
          <w:rFonts w:hint="eastAsia"/>
        </w:rPr>
        <w:t>所出资企业及其投资设立的企业，享有有关法律、行政法规规定的企业经营自主权。</w:t>
      </w:r>
    </w:p>
    <w:p w14:paraId="2A4159B8" w14:textId="77777777" w:rsidR="00EA7C3F" w:rsidRPr="00864171" w:rsidRDefault="00EA7C3F" w:rsidP="00EA7C3F">
      <w:pPr>
        <w:pStyle w:val="13"/>
      </w:pPr>
      <w:r w:rsidRPr="00864171">
        <w:rPr>
          <w:rFonts w:hint="eastAsia"/>
        </w:rPr>
        <w:t>国有资产监督管理机构应当支持企业依法自主经营，除履行出资人职责以外，不得干预企业的生产经营活动。</w:t>
      </w:r>
    </w:p>
    <w:p w14:paraId="281BAB6E" w14:textId="77777777" w:rsidR="00EA7C3F" w:rsidRPr="00864171" w:rsidRDefault="00EA7C3F" w:rsidP="00EA7C3F">
      <w:pPr>
        <w:pStyle w:val="13"/>
        <w:ind w:firstLine="482"/>
      </w:pPr>
      <w:r w:rsidRPr="00E05BDA">
        <w:rPr>
          <w:rFonts w:hint="eastAsia"/>
          <w:b/>
        </w:rPr>
        <w:t xml:space="preserve">第十一条 </w:t>
      </w:r>
      <w:r w:rsidRPr="00864171">
        <w:rPr>
          <w:rFonts w:hint="eastAsia"/>
        </w:rPr>
        <w:t>所出资企业应当努力提高经济效益，对其经营管理的企业国有资产承担保值增值责任。</w:t>
      </w:r>
    </w:p>
    <w:p w14:paraId="488C6EA8" w14:textId="77777777" w:rsidR="00EA7C3F" w:rsidRPr="00864171" w:rsidRDefault="00EA7C3F" w:rsidP="00EA7C3F">
      <w:pPr>
        <w:pStyle w:val="13"/>
      </w:pPr>
      <w:r w:rsidRPr="00864171">
        <w:rPr>
          <w:rFonts w:hint="eastAsia"/>
        </w:rPr>
        <w:t>所出资企业应当接受国有资产监督管理机构依法实施的监督管理，不得损害企业国有资产所有者和其他出资人的合法权益。</w:t>
      </w:r>
    </w:p>
    <w:p w14:paraId="4E7DF8C0" w14:textId="77777777" w:rsidR="00EA7C3F" w:rsidRPr="00864171" w:rsidRDefault="00EA7C3F" w:rsidP="00AF7342">
      <w:pPr>
        <w:pStyle w:val="a9"/>
        <w:spacing w:before="62" w:after="62"/>
      </w:pPr>
      <w:r w:rsidRPr="00864171">
        <w:rPr>
          <w:rFonts w:hint="eastAsia"/>
        </w:rPr>
        <w:t>第二章</w:t>
      </w:r>
      <w:r>
        <w:t xml:space="preserve"> </w:t>
      </w:r>
      <w:r w:rsidRPr="00864171">
        <w:rPr>
          <w:rFonts w:hint="eastAsia"/>
        </w:rPr>
        <w:t>国有资产监督管理机构</w:t>
      </w:r>
    </w:p>
    <w:p w14:paraId="51BCAFCC" w14:textId="77777777" w:rsidR="00EA7C3F" w:rsidRPr="00864171" w:rsidRDefault="00EA7C3F" w:rsidP="00EA7C3F">
      <w:pPr>
        <w:pStyle w:val="13"/>
        <w:ind w:firstLine="482"/>
      </w:pPr>
      <w:r w:rsidRPr="00E05BDA">
        <w:rPr>
          <w:rFonts w:hint="eastAsia"/>
          <w:b/>
        </w:rPr>
        <w:t xml:space="preserve">第十二条 </w:t>
      </w:r>
      <w:r w:rsidRPr="00864171">
        <w:rPr>
          <w:rFonts w:hint="eastAsia"/>
        </w:rPr>
        <w:t>国务院国有资产监督管理机构是代表国务院履行出资人职责、负责监督管理企业国有资产的直属特设机构。</w:t>
      </w:r>
    </w:p>
    <w:p w14:paraId="4EB0FAFA" w14:textId="77777777" w:rsidR="00EA7C3F" w:rsidRPr="00864171" w:rsidRDefault="00EA7C3F" w:rsidP="00EA7C3F">
      <w:pPr>
        <w:pStyle w:val="13"/>
      </w:pPr>
      <w:r w:rsidRPr="00864171">
        <w:rPr>
          <w:rFonts w:hint="eastAsia"/>
        </w:rPr>
        <w:t>省、自治区、直辖市人民政府国有资产监督管理机构，设区的市、自治州级人民政府国有资产监督管理机构是代表本级政府履行出资人职责、负责监督管理企业国有资产的直属特设机构。</w:t>
      </w:r>
    </w:p>
    <w:p w14:paraId="769928CD" w14:textId="77777777" w:rsidR="00EA7C3F" w:rsidRPr="00864171" w:rsidRDefault="00EA7C3F" w:rsidP="00EA7C3F">
      <w:pPr>
        <w:pStyle w:val="13"/>
      </w:pPr>
      <w:r w:rsidRPr="00864171">
        <w:rPr>
          <w:rFonts w:hint="eastAsia"/>
        </w:rPr>
        <w:t>上级政府国有资产监督管理机构依法对下级政府的国有资产监督管理工作进行指导和监督。</w:t>
      </w:r>
    </w:p>
    <w:p w14:paraId="6CBF3476" w14:textId="77777777" w:rsidR="00EA7C3F" w:rsidRPr="00864171" w:rsidRDefault="00EA7C3F" w:rsidP="00EA7C3F">
      <w:pPr>
        <w:pStyle w:val="13"/>
        <w:ind w:firstLine="482"/>
      </w:pPr>
      <w:r w:rsidRPr="00E05BDA">
        <w:rPr>
          <w:rFonts w:hint="eastAsia"/>
          <w:b/>
        </w:rPr>
        <w:lastRenderedPageBreak/>
        <w:t xml:space="preserve">第十三条 </w:t>
      </w:r>
      <w:r w:rsidRPr="00864171">
        <w:rPr>
          <w:rFonts w:hint="eastAsia"/>
        </w:rPr>
        <w:t>国有资产监督管理机构的主要职责是：</w:t>
      </w:r>
    </w:p>
    <w:p w14:paraId="7E4C7399" w14:textId="77777777" w:rsidR="00EA7C3F" w:rsidRPr="00864171" w:rsidRDefault="00EA7C3F" w:rsidP="00EA7C3F">
      <w:pPr>
        <w:pStyle w:val="13"/>
      </w:pPr>
      <w:r w:rsidRPr="00864171">
        <w:rPr>
          <w:rFonts w:hint="eastAsia"/>
        </w:rPr>
        <w:t>（一）依照《中华人民共和国公司法》等法律、法规，对所出资企业履行出资人职责，维护所有者权益；</w:t>
      </w:r>
    </w:p>
    <w:p w14:paraId="55FBA19A" w14:textId="77777777" w:rsidR="00EA7C3F" w:rsidRPr="00864171" w:rsidRDefault="00EA7C3F" w:rsidP="00EA7C3F">
      <w:pPr>
        <w:pStyle w:val="13"/>
      </w:pPr>
      <w:r w:rsidRPr="00864171">
        <w:rPr>
          <w:rFonts w:hint="eastAsia"/>
        </w:rPr>
        <w:t>（二）指导推进国有及国有控股企业的改革和重组；</w:t>
      </w:r>
    </w:p>
    <w:p w14:paraId="317375E0" w14:textId="77777777" w:rsidR="00EA7C3F" w:rsidRPr="00864171" w:rsidRDefault="00EA7C3F" w:rsidP="00EA7C3F">
      <w:pPr>
        <w:pStyle w:val="13"/>
      </w:pPr>
      <w:r w:rsidRPr="00864171">
        <w:rPr>
          <w:rFonts w:hint="eastAsia"/>
        </w:rPr>
        <w:t>（三）依照规定向所出资企业委派监事；</w:t>
      </w:r>
    </w:p>
    <w:p w14:paraId="357DDF8D" w14:textId="77777777" w:rsidR="00EA7C3F" w:rsidRPr="00864171" w:rsidRDefault="00EA7C3F" w:rsidP="00EA7C3F">
      <w:pPr>
        <w:pStyle w:val="13"/>
      </w:pPr>
      <w:r w:rsidRPr="00864171">
        <w:rPr>
          <w:rFonts w:hint="eastAsia"/>
        </w:rPr>
        <w:t>（四）依照法定程序对所出资企业的企业负责人进行任免、考核，并根据考核结果对其进行奖惩；</w:t>
      </w:r>
    </w:p>
    <w:p w14:paraId="38F60182" w14:textId="77777777" w:rsidR="00EA7C3F" w:rsidRPr="00864171" w:rsidRDefault="00EA7C3F" w:rsidP="00EA7C3F">
      <w:pPr>
        <w:pStyle w:val="13"/>
      </w:pPr>
      <w:r w:rsidRPr="00864171">
        <w:rPr>
          <w:rFonts w:hint="eastAsia"/>
        </w:rPr>
        <w:t>（五）通过统计、稽核等方式对企业国有资产的保值增值情况进行监管；</w:t>
      </w:r>
    </w:p>
    <w:p w14:paraId="50A4B789" w14:textId="77777777" w:rsidR="00EA7C3F" w:rsidRPr="00864171" w:rsidRDefault="00EA7C3F" w:rsidP="00EA7C3F">
      <w:pPr>
        <w:pStyle w:val="13"/>
      </w:pPr>
      <w:r w:rsidRPr="00864171">
        <w:rPr>
          <w:rFonts w:hint="eastAsia"/>
        </w:rPr>
        <w:t>（六）履行出资人的其他职责和承办本级政府交办的其他事项。</w:t>
      </w:r>
    </w:p>
    <w:p w14:paraId="5A21DE68" w14:textId="77777777" w:rsidR="00EA7C3F" w:rsidRPr="00864171" w:rsidRDefault="00EA7C3F" w:rsidP="00EA7C3F">
      <w:pPr>
        <w:pStyle w:val="13"/>
      </w:pPr>
      <w:r w:rsidRPr="00864171">
        <w:rPr>
          <w:rFonts w:hint="eastAsia"/>
        </w:rPr>
        <w:t>国务院国有资产监督管理机构除前款规定职责外，可以制定企业国有资产监督管理的规章、制度。</w:t>
      </w:r>
    </w:p>
    <w:p w14:paraId="605E1B3D" w14:textId="77777777" w:rsidR="00EA7C3F" w:rsidRPr="00864171" w:rsidRDefault="00EA7C3F" w:rsidP="00EA7C3F">
      <w:pPr>
        <w:pStyle w:val="13"/>
        <w:ind w:firstLine="482"/>
      </w:pPr>
      <w:r w:rsidRPr="00E05BDA">
        <w:rPr>
          <w:rFonts w:hint="eastAsia"/>
          <w:b/>
        </w:rPr>
        <w:t xml:space="preserve">第十四条 </w:t>
      </w:r>
      <w:r w:rsidRPr="00864171">
        <w:rPr>
          <w:rFonts w:hint="eastAsia"/>
        </w:rPr>
        <w:t>国有资产监督管理机构的主要义务是：</w:t>
      </w:r>
    </w:p>
    <w:p w14:paraId="1547DCBD" w14:textId="77777777" w:rsidR="00EA7C3F" w:rsidRPr="00864171" w:rsidRDefault="00EA7C3F" w:rsidP="00EA7C3F">
      <w:pPr>
        <w:pStyle w:val="13"/>
      </w:pPr>
      <w:r w:rsidRPr="00864171">
        <w:rPr>
          <w:rFonts w:hint="eastAsia"/>
        </w:rPr>
        <w:t>（一）推进国有资产合理流动和优化配置，推动国有经济布局和结构的调整；</w:t>
      </w:r>
    </w:p>
    <w:p w14:paraId="00EBEF85" w14:textId="77777777" w:rsidR="00EA7C3F" w:rsidRPr="00864171" w:rsidRDefault="00EA7C3F" w:rsidP="00EA7C3F">
      <w:pPr>
        <w:pStyle w:val="13"/>
      </w:pPr>
      <w:r w:rsidRPr="00864171">
        <w:rPr>
          <w:rFonts w:hint="eastAsia"/>
        </w:rPr>
        <w:t>（二）保持和提高关系国民经济命脉和国家安全领域国有经济的控制力和竞争力，提高国有经济的整体素质；</w:t>
      </w:r>
    </w:p>
    <w:p w14:paraId="76505EE9" w14:textId="77777777" w:rsidR="00EA7C3F" w:rsidRPr="00864171" w:rsidRDefault="00EA7C3F" w:rsidP="00EA7C3F">
      <w:pPr>
        <w:pStyle w:val="13"/>
      </w:pPr>
      <w:r w:rsidRPr="00864171">
        <w:rPr>
          <w:rFonts w:hint="eastAsia"/>
        </w:rPr>
        <w:t>（三）探索有效的企业国有资产经营体制和方式，加强企业国有资产监督管理工作，促进企业国有资产保值增值，防止企业国有资产流失；</w:t>
      </w:r>
    </w:p>
    <w:p w14:paraId="04560730" w14:textId="77777777" w:rsidR="00EA7C3F" w:rsidRPr="00864171" w:rsidRDefault="00EA7C3F" w:rsidP="00EA7C3F">
      <w:pPr>
        <w:pStyle w:val="13"/>
      </w:pPr>
      <w:r w:rsidRPr="00864171">
        <w:rPr>
          <w:rFonts w:hint="eastAsia"/>
        </w:rPr>
        <w:t>（四）指导和促进国有及国有控股企业建立现代企业制度，完善法人治理结构，推进管理现代化；</w:t>
      </w:r>
    </w:p>
    <w:p w14:paraId="735E62B9" w14:textId="77777777" w:rsidR="00EA7C3F" w:rsidRPr="00864171" w:rsidRDefault="00EA7C3F" w:rsidP="00EA7C3F">
      <w:pPr>
        <w:pStyle w:val="13"/>
      </w:pPr>
      <w:r w:rsidRPr="00864171">
        <w:rPr>
          <w:rFonts w:hint="eastAsia"/>
        </w:rPr>
        <w:t>（五）尊重、维护国有及国有控股企业经营自主权，依法维护企业合法权益，促进企业依法经营管理，增强企业竞争力；</w:t>
      </w:r>
    </w:p>
    <w:p w14:paraId="06FE4C72" w14:textId="77777777" w:rsidR="00EA7C3F" w:rsidRPr="00864171" w:rsidRDefault="00EA7C3F" w:rsidP="00EA7C3F">
      <w:pPr>
        <w:pStyle w:val="13"/>
      </w:pPr>
      <w:r w:rsidRPr="00864171">
        <w:rPr>
          <w:rFonts w:hint="eastAsia"/>
        </w:rPr>
        <w:t>（六）指导和协调解决国有及国有控股企业改革与发展中的困难和问题。</w:t>
      </w:r>
    </w:p>
    <w:p w14:paraId="64C760FE" w14:textId="77777777" w:rsidR="00EA7C3F" w:rsidRPr="00864171" w:rsidRDefault="00EA7C3F" w:rsidP="00EA7C3F">
      <w:pPr>
        <w:pStyle w:val="13"/>
        <w:ind w:firstLine="482"/>
      </w:pPr>
      <w:r w:rsidRPr="00E05BDA">
        <w:rPr>
          <w:rFonts w:hint="eastAsia"/>
          <w:b/>
        </w:rPr>
        <w:t xml:space="preserve">第十五条 </w:t>
      </w:r>
      <w:r w:rsidRPr="00864171">
        <w:rPr>
          <w:rFonts w:hint="eastAsia"/>
        </w:rPr>
        <w:t>国有资产监督管理机构应当向本级政府报告企业国有资产监督管理工作、国有资产保值增值状况和其他重大事项。</w:t>
      </w:r>
    </w:p>
    <w:p w14:paraId="4FE0D739" w14:textId="77777777" w:rsidR="00EA7C3F" w:rsidRPr="00864171" w:rsidRDefault="00EA7C3F" w:rsidP="00AF7342">
      <w:pPr>
        <w:pStyle w:val="a9"/>
        <w:spacing w:before="62" w:after="62"/>
      </w:pPr>
      <w:r w:rsidRPr="00864171">
        <w:rPr>
          <w:rFonts w:hint="eastAsia"/>
        </w:rPr>
        <w:t>第三章</w:t>
      </w:r>
      <w:r>
        <w:t xml:space="preserve"> </w:t>
      </w:r>
      <w:r w:rsidRPr="00864171">
        <w:rPr>
          <w:rFonts w:hint="eastAsia"/>
        </w:rPr>
        <w:t>企业负责人管理</w:t>
      </w:r>
    </w:p>
    <w:p w14:paraId="7FAD9592" w14:textId="77777777" w:rsidR="00EA7C3F" w:rsidRPr="00864171" w:rsidRDefault="00EA7C3F" w:rsidP="00EA7C3F">
      <w:pPr>
        <w:pStyle w:val="13"/>
        <w:ind w:firstLine="482"/>
      </w:pPr>
      <w:r w:rsidRPr="00E05BDA">
        <w:rPr>
          <w:rFonts w:hint="eastAsia"/>
          <w:b/>
        </w:rPr>
        <w:t xml:space="preserve">第十六条 </w:t>
      </w:r>
      <w:r w:rsidRPr="00864171">
        <w:rPr>
          <w:rFonts w:hint="eastAsia"/>
        </w:rPr>
        <w:t>国有资产监督管理机构应当建立健全适应现代企业制度要求的企业负责人的选用机制和激励约束机制。</w:t>
      </w:r>
    </w:p>
    <w:p w14:paraId="41500982" w14:textId="77777777" w:rsidR="00EA7C3F" w:rsidRPr="00864171" w:rsidRDefault="00EA7C3F" w:rsidP="00EA7C3F">
      <w:pPr>
        <w:pStyle w:val="13"/>
        <w:ind w:firstLine="482"/>
      </w:pPr>
      <w:r w:rsidRPr="00E05BDA">
        <w:rPr>
          <w:rFonts w:hint="eastAsia"/>
          <w:b/>
        </w:rPr>
        <w:t xml:space="preserve">第十七条 </w:t>
      </w:r>
      <w:r w:rsidRPr="00864171">
        <w:rPr>
          <w:rFonts w:hint="eastAsia"/>
        </w:rPr>
        <w:t>国有资产监督管理机构依照有关规定，任免或者建议任免所出资企业的企业负责人：</w:t>
      </w:r>
    </w:p>
    <w:p w14:paraId="3689A9A7" w14:textId="77777777" w:rsidR="00EA7C3F" w:rsidRPr="00864171" w:rsidRDefault="00EA7C3F" w:rsidP="00EA7C3F">
      <w:pPr>
        <w:pStyle w:val="13"/>
      </w:pPr>
      <w:r w:rsidRPr="00864171">
        <w:rPr>
          <w:rFonts w:hint="eastAsia"/>
        </w:rPr>
        <w:t>（一）任免国有独资企业的总经理、副总经理、总会计师及其他企业负责人；</w:t>
      </w:r>
    </w:p>
    <w:p w14:paraId="5A3E34F2" w14:textId="77777777" w:rsidR="00EA7C3F" w:rsidRPr="00864171" w:rsidRDefault="00EA7C3F" w:rsidP="00EA7C3F">
      <w:pPr>
        <w:pStyle w:val="13"/>
      </w:pPr>
      <w:r w:rsidRPr="00864171">
        <w:rPr>
          <w:rFonts w:hint="eastAsia"/>
        </w:rPr>
        <w:t>（二）任免国有独资公司的董事长、副董事长、董事，并向其提出总经理、副总经理、总会计师等的任免建议；</w:t>
      </w:r>
    </w:p>
    <w:p w14:paraId="1F821A7B" w14:textId="77777777" w:rsidR="00EA7C3F" w:rsidRPr="00864171" w:rsidRDefault="00EA7C3F" w:rsidP="00EA7C3F">
      <w:pPr>
        <w:pStyle w:val="13"/>
      </w:pPr>
      <w:r w:rsidRPr="00864171">
        <w:rPr>
          <w:rFonts w:hint="eastAsia"/>
        </w:rPr>
        <w:t>（三）依照公司章程，提出向国有控股的公司派出的董事、监事人选，推荐国有控股的公司的董事长、副董事长和监事会主席人选，并向其提出总经理、副总经理、</w:t>
      </w:r>
      <w:r w:rsidRPr="00864171">
        <w:rPr>
          <w:rFonts w:hint="eastAsia"/>
        </w:rPr>
        <w:lastRenderedPageBreak/>
        <w:t>总会计师人选的建议；</w:t>
      </w:r>
    </w:p>
    <w:p w14:paraId="5D3EB01B" w14:textId="77777777" w:rsidR="00EA7C3F" w:rsidRPr="00864171" w:rsidRDefault="00EA7C3F" w:rsidP="00EA7C3F">
      <w:pPr>
        <w:pStyle w:val="13"/>
      </w:pPr>
      <w:r w:rsidRPr="00864171">
        <w:rPr>
          <w:rFonts w:hint="eastAsia"/>
        </w:rPr>
        <w:t>（四）依照公司章程，提出向国有参股的公司派出的董事、监事人选。</w:t>
      </w:r>
    </w:p>
    <w:p w14:paraId="48F6EA54" w14:textId="77777777" w:rsidR="00EA7C3F" w:rsidRPr="00864171" w:rsidRDefault="00EA7C3F" w:rsidP="00EA7C3F">
      <w:pPr>
        <w:pStyle w:val="13"/>
      </w:pPr>
      <w:r w:rsidRPr="00864171">
        <w:rPr>
          <w:rFonts w:hint="eastAsia"/>
        </w:rPr>
        <w:t>国务院，省、自治区、直辖市人民政府，设区的市、自治州级人民政府，对所出资企业的企业负责人的任免另有规定的，按照有关规定执行。</w:t>
      </w:r>
    </w:p>
    <w:p w14:paraId="43886F48" w14:textId="77777777" w:rsidR="00EA7C3F" w:rsidRPr="00864171" w:rsidRDefault="00EA7C3F" w:rsidP="00EA7C3F">
      <w:pPr>
        <w:pStyle w:val="13"/>
        <w:ind w:firstLine="482"/>
      </w:pPr>
      <w:r w:rsidRPr="00E05BDA">
        <w:rPr>
          <w:rFonts w:hint="eastAsia"/>
          <w:b/>
        </w:rPr>
        <w:t xml:space="preserve">第十八条 </w:t>
      </w:r>
      <w:r w:rsidRPr="00864171">
        <w:rPr>
          <w:rFonts w:hint="eastAsia"/>
        </w:rPr>
        <w:t>国有资产监督管理机构应当建立企业负责人经营业绩考核制度，与其任命的企业负责人签订业绩合同，根据业绩合同对企业负责人进行年度考核和任期考核。</w:t>
      </w:r>
    </w:p>
    <w:p w14:paraId="64220408" w14:textId="77777777" w:rsidR="00EA7C3F" w:rsidRPr="00864171" w:rsidRDefault="00EA7C3F" w:rsidP="00EA7C3F">
      <w:pPr>
        <w:pStyle w:val="13"/>
        <w:ind w:firstLine="482"/>
      </w:pPr>
      <w:r w:rsidRPr="00E05BDA">
        <w:rPr>
          <w:rFonts w:hint="eastAsia"/>
          <w:b/>
        </w:rPr>
        <w:t xml:space="preserve">第十九条 </w:t>
      </w:r>
      <w:r w:rsidRPr="00864171">
        <w:rPr>
          <w:rFonts w:hint="eastAsia"/>
        </w:rPr>
        <w:t>国有资产监督管理机构应当依照有关规定，确定所出资企业中的国有独资企业、国有独资公司的企业负责人的薪酬；依据考核结果，决定其向所出资企业派出的企业负责人的奖惩。</w:t>
      </w:r>
    </w:p>
    <w:p w14:paraId="08018FCF" w14:textId="77777777" w:rsidR="00EA7C3F" w:rsidRPr="00864171" w:rsidRDefault="00EA7C3F" w:rsidP="00AF7342">
      <w:pPr>
        <w:pStyle w:val="a9"/>
        <w:spacing w:before="62" w:after="62"/>
      </w:pPr>
      <w:r w:rsidRPr="00864171">
        <w:rPr>
          <w:rFonts w:hint="eastAsia"/>
        </w:rPr>
        <w:t>第四章</w:t>
      </w:r>
      <w:r>
        <w:t xml:space="preserve"> </w:t>
      </w:r>
      <w:r w:rsidRPr="00864171">
        <w:rPr>
          <w:rFonts w:hint="eastAsia"/>
        </w:rPr>
        <w:t>企业重大事项管理</w:t>
      </w:r>
    </w:p>
    <w:p w14:paraId="3EF6B710" w14:textId="77777777" w:rsidR="00EA7C3F" w:rsidRPr="00864171" w:rsidRDefault="00EA7C3F" w:rsidP="00EA7C3F">
      <w:pPr>
        <w:pStyle w:val="13"/>
        <w:ind w:firstLine="482"/>
      </w:pPr>
      <w:r w:rsidRPr="00E05BDA">
        <w:rPr>
          <w:rFonts w:hint="eastAsia"/>
          <w:b/>
        </w:rPr>
        <w:t xml:space="preserve">第二十条 </w:t>
      </w:r>
      <w:r w:rsidRPr="00864171">
        <w:rPr>
          <w:rFonts w:hint="eastAsia"/>
        </w:rPr>
        <w:t>国有资产监督管理机构负责指导国有及国有控股企业建立现代企业制度，审核批准其所出资企业中的国有独资企业、国有独资公司的重组、股份制改造方案和所出资企业中的国有独资公司的章程。</w:t>
      </w:r>
    </w:p>
    <w:p w14:paraId="19D9C9DD" w14:textId="77777777" w:rsidR="00EA7C3F" w:rsidRPr="00864171" w:rsidRDefault="00EA7C3F" w:rsidP="00EA7C3F">
      <w:pPr>
        <w:pStyle w:val="13"/>
        <w:ind w:firstLine="482"/>
      </w:pPr>
      <w:r w:rsidRPr="00E05BDA">
        <w:rPr>
          <w:rFonts w:hint="eastAsia"/>
          <w:b/>
        </w:rPr>
        <w:t xml:space="preserve">第二十一条 </w:t>
      </w:r>
      <w:r w:rsidRPr="00864171">
        <w:rPr>
          <w:rFonts w:hint="eastAsia"/>
        </w:rPr>
        <w:t>国有资产监督管理机构依照法定程序决定其所出资企业中的国有独资企业、国有独资公司的分立、合并、破产、解散、增减资本、发行公司债券等重大事项。其中，重要的国有独资企业、国有独资公司分立、合并、破产、解散的，应当由国有资产监督管理机构审核后，报本级人民政府批准。</w:t>
      </w:r>
    </w:p>
    <w:p w14:paraId="5321F016" w14:textId="77777777" w:rsidR="00EA7C3F" w:rsidRPr="00864171" w:rsidRDefault="00EA7C3F" w:rsidP="00EA7C3F">
      <w:pPr>
        <w:pStyle w:val="13"/>
      </w:pPr>
      <w:r w:rsidRPr="00864171">
        <w:rPr>
          <w:rFonts w:hint="eastAsia"/>
        </w:rPr>
        <w:t>国有资产监督管理机构依照法定程序审核、决定国防科技工业领域其所出资企业中的国有独资企业、国有独资公司的有关重大事项时，按照国家有关法律、规定执行。</w:t>
      </w:r>
    </w:p>
    <w:p w14:paraId="58045CCC" w14:textId="77777777" w:rsidR="00EA7C3F" w:rsidRPr="00864171" w:rsidRDefault="00EA7C3F" w:rsidP="00EA7C3F">
      <w:pPr>
        <w:pStyle w:val="13"/>
        <w:ind w:firstLine="482"/>
      </w:pPr>
      <w:r w:rsidRPr="00E05BDA">
        <w:rPr>
          <w:rFonts w:hint="eastAsia"/>
          <w:b/>
        </w:rPr>
        <w:t xml:space="preserve">第二十二条 </w:t>
      </w:r>
      <w:r w:rsidRPr="00864171">
        <w:rPr>
          <w:rFonts w:hint="eastAsia"/>
        </w:rPr>
        <w:t>国有资产监督管理机构依照公司法的规定，派出股东代表、董事，参加国有控股的公司、国有参股的公司的股东会、董事会。</w:t>
      </w:r>
    </w:p>
    <w:p w14:paraId="3A68F206" w14:textId="77777777" w:rsidR="00EA7C3F" w:rsidRPr="00864171" w:rsidRDefault="00EA7C3F" w:rsidP="00EA7C3F">
      <w:pPr>
        <w:pStyle w:val="13"/>
      </w:pPr>
      <w:r w:rsidRPr="00864171">
        <w:rPr>
          <w:rFonts w:hint="eastAsia"/>
        </w:rPr>
        <w:t>国有控股的公司、国有参股的公司的股东会、董事会决定公司的分立、合并、破产、解散、增减资本、发行公司债券、任免企业负责人等重大事项时，国有资产监督管理机构派出的股东代表、董事，应当按照国有资产监督管理机构的指示发表意见、行使表决权。</w:t>
      </w:r>
    </w:p>
    <w:p w14:paraId="6719A9F1" w14:textId="77777777" w:rsidR="00EA7C3F" w:rsidRPr="00864171" w:rsidRDefault="00EA7C3F" w:rsidP="00EA7C3F">
      <w:pPr>
        <w:pStyle w:val="13"/>
      </w:pPr>
      <w:r w:rsidRPr="00864171">
        <w:rPr>
          <w:rFonts w:hint="eastAsia"/>
        </w:rPr>
        <w:t>国有资产监督管理机构派出的股东代表、董事，应当将其履行职责的有关情况及时向国有资产监督管理机构报告。</w:t>
      </w:r>
    </w:p>
    <w:p w14:paraId="5E99739E" w14:textId="77777777" w:rsidR="00EA7C3F" w:rsidRPr="00864171" w:rsidRDefault="00EA7C3F" w:rsidP="00EA7C3F">
      <w:pPr>
        <w:pStyle w:val="13"/>
        <w:ind w:firstLine="482"/>
      </w:pPr>
      <w:r w:rsidRPr="00E05BDA">
        <w:rPr>
          <w:rFonts w:hint="eastAsia"/>
          <w:b/>
        </w:rPr>
        <w:t xml:space="preserve">第二十三条 </w:t>
      </w:r>
      <w:r w:rsidRPr="00864171">
        <w:rPr>
          <w:rFonts w:hint="eastAsia"/>
        </w:rPr>
        <w:t>国有资产监督管理机构决定其所出资企业的国有股权转让。其中，转让全部国有股权或者转让部分国有股权致使国家不再拥有控股地位的，报本级人民政府批准。</w:t>
      </w:r>
    </w:p>
    <w:p w14:paraId="3FF551E9" w14:textId="77777777" w:rsidR="00EA7C3F" w:rsidRPr="00864171" w:rsidRDefault="00EA7C3F" w:rsidP="00EA7C3F">
      <w:pPr>
        <w:pStyle w:val="13"/>
        <w:ind w:firstLine="482"/>
      </w:pPr>
      <w:r w:rsidRPr="00E05BDA">
        <w:rPr>
          <w:rFonts w:hint="eastAsia"/>
          <w:b/>
        </w:rPr>
        <w:t xml:space="preserve">第二十四条 </w:t>
      </w:r>
      <w:r w:rsidRPr="00864171">
        <w:rPr>
          <w:rFonts w:hint="eastAsia"/>
        </w:rPr>
        <w:t>所出资企业投资设立的重要子企业的重大事项，需由所出资企业报国有资产监督管理机构批准的，管理办法由国务院国有资产监督管理机构另行制定，</w:t>
      </w:r>
      <w:r w:rsidRPr="00864171">
        <w:rPr>
          <w:rFonts w:hint="eastAsia"/>
        </w:rPr>
        <w:lastRenderedPageBreak/>
        <w:t>报国务院批准。</w:t>
      </w:r>
    </w:p>
    <w:p w14:paraId="4154257F" w14:textId="77777777" w:rsidR="00EA7C3F" w:rsidRPr="00864171" w:rsidRDefault="00EA7C3F" w:rsidP="00EA7C3F">
      <w:pPr>
        <w:pStyle w:val="13"/>
        <w:ind w:firstLine="482"/>
      </w:pPr>
      <w:r w:rsidRPr="00E05BDA">
        <w:rPr>
          <w:rFonts w:hint="eastAsia"/>
          <w:b/>
        </w:rPr>
        <w:t xml:space="preserve">第二十五条 </w:t>
      </w:r>
      <w:r w:rsidRPr="00864171">
        <w:rPr>
          <w:rFonts w:hint="eastAsia"/>
        </w:rPr>
        <w:t>国有资产监督管理机构依照国家有关规定组织协调所出资企业中的国有独资企业、国有独资公司的兼并破产工作，并配合有关部门做好企业下岗职工安置等工作。</w:t>
      </w:r>
    </w:p>
    <w:p w14:paraId="542F4869" w14:textId="77777777" w:rsidR="00EA7C3F" w:rsidRPr="00864171" w:rsidRDefault="00EA7C3F" w:rsidP="00EA7C3F">
      <w:pPr>
        <w:pStyle w:val="13"/>
        <w:ind w:firstLine="482"/>
      </w:pPr>
      <w:r w:rsidRPr="00E05BDA">
        <w:rPr>
          <w:rFonts w:hint="eastAsia"/>
          <w:b/>
        </w:rPr>
        <w:t xml:space="preserve">第二十六条 </w:t>
      </w:r>
      <w:r w:rsidRPr="00864171">
        <w:rPr>
          <w:rFonts w:hint="eastAsia"/>
        </w:rPr>
        <w:t>国有资产监督管理机构依照国家有关规定拟订所出资企业收入分配制度改革的指导意见，调控所出资企业工资分配的总体水平。</w:t>
      </w:r>
    </w:p>
    <w:p w14:paraId="34F9C4BA" w14:textId="77777777" w:rsidR="00EA7C3F" w:rsidRPr="00864171" w:rsidRDefault="00EA7C3F" w:rsidP="00EA7C3F">
      <w:pPr>
        <w:pStyle w:val="13"/>
        <w:ind w:firstLine="482"/>
      </w:pPr>
      <w:r w:rsidRPr="00E05BDA">
        <w:rPr>
          <w:rFonts w:hint="eastAsia"/>
          <w:b/>
        </w:rPr>
        <w:t xml:space="preserve">第二十七条 </w:t>
      </w:r>
      <w:r w:rsidRPr="00864171">
        <w:rPr>
          <w:rFonts w:hint="eastAsia"/>
        </w:rPr>
        <w:t>国有资产监督管理机构可以对所出资企业中具备条件的国有独资企业、国有独资公司进行国有资产授权经营。</w:t>
      </w:r>
    </w:p>
    <w:p w14:paraId="6CFCF294" w14:textId="77777777" w:rsidR="00EA7C3F" w:rsidRPr="00864171" w:rsidRDefault="00EA7C3F" w:rsidP="00EA7C3F">
      <w:pPr>
        <w:pStyle w:val="13"/>
      </w:pPr>
      <w:r w:rsidRPr="00864171">
        <w:rPr>
          <w:rFonts w:hint="eastAsia"/>
        </w:rPr>
        <w:t>被授权的国有独资企业、国有独资公司对其全资、控股、参股企业中国家投资形成的国有资产依法进行经营、管理和监督。</w:t>
      </w:r>
    </w:p>
    <w:p w14:paraId="3EF2FDE5" w14:textId="77777777" w:rsidR="00EA7C3F" w:rsidRPr="00864171" w:rsidRDefault="00EA7C3F" w:rsidP="00EA7C3F">
      <w:pPr>
        <w:pStyle w:val="13"/>
        <w:ind w:firstLine="482"/>
      </w:pPr>
      <w:r w:rsidRPr="00E05BDA">
        <w:rPr>
          <w:rFonts w:hint="eastAsia"/>
          <w:b/>
        </w:rPr>
        <w:t xml:space="preserve">第二十八条 </w:t>
      </w:r>
      <w:r w:rsidRPr="00864171">
        <w:rPr>
          <w:rFonts w:hint="eastAsia"/>
        </w:rPr>
        <w:t>被授权的国有独资企业、国有独资公司应当建立和完善规范的现代企业制度，并承担企业国有资产的保值增值责任。</w:t>
      </w:r>
    </w:p>
    <w:p w14:paraId="0B0303D9" w14:textId="77777777" w:rsidR="00EA7C3F" w:rsidRPr="00864171" w:rsidRDefault="00EA7C3F" w:rsidP="00AF7342">
      <w:pPr>
        <w:pStyle w:val="a9"/>
        <w:spacing w:before="62" w:after="62"/>
      </w:pPr>
      <w:r w:rsidRPr="00864171">
        <w:rPr>
          <w:rFonts w:hint="eastAsia"/>
        </w:rPr>
        <w:t>第五章</w:t>
      </w:r>
      <w:r>
        <w:t xml:space="preserve"> </w:t>
      </w:r>
      <w:r w:rsidRPr="00864171">
        <w:rPr>
          <w:rFonts w:hint="eastAsia"/>
        </w:rPr>
        <w:t>企业国有资产管理</w:t>
      </w:r>
    </w:p>
    <w:p w14:paraId="0DB76484" w14:textId="77777777" w:rsidR="00EA7C3F" w:rsidRPr="00864171" w:rsidRDefault="00EA7C3F" w:rsidP="00EA7C3F">
      <w:pPr>
        <w:pStyle w:val="13"/>
        <w:ind w:firstLine="482"/>
      </w:pPr>
      <w:r w:rsidRPr="00E05BDA">
        <w:rPr>
          <w:rFonts w:hint="eastAsia"/>
          <w:b/>
        </w:rPr>
        <w:t xml:space="preserve">第二十九条 </w:t>
      </w:r>
      <w:r w:rsidRPr="00864171">
        <w:rPr>
          <w:rFonts w:hint="eastAsia"/>
        </w:rPr>
        <w:t>国有资产监督管理机构依照国家有关规定，负责企业国有资产的产权界定、产权登记、资产评估监管、清产核资、资产统计、综合评价等基础管理工作。</w:t>
      </w:r>
    </w:p>
    <w:p w14:paraId="4F97D6C5" w14:textId="77777777" w:rsidR="00EA7C3F" w:rsidRPr="00864171" w:rsidRDefault="00EA7C3F" w:rsidP="00EA7C3F">
      <w:pPr>
        <w:pStyle w:val="13"/>
      </w:pPr>
      <w:r w:rsidRPr="00864171">
        <w:rPr>
          <w:rFonts w:hint="eastAsia"/>
        </w:rPr>
        <w:t>国有资产监督管理机构协调其所出资企业之间的企业国有资产产权纠纷。</w:t>
      </w:r>
    </w:p>
    <w:p w14:paraId="0F1733F6" w14:textId="77777777" w:rsidR="00EA7C3F" w:rsidRPr="00864171" w:rsidRDefault="00EA7C3F" w:rsidP="00EA7C3F">
      <w:pPr>
        <w:pStyle w:val="13"/>
        <w:ind w:firstLine="482"/>
      </w:pPr>
      <w:r w:rsidRPr="00E05BDA">
        <w:rPr>
          <w:rFonts w:hint="eastAsia"/>
          <w:b/>
        </w:rPr>
        <w:t xml:space="preserve">第三十条 </w:t>
      </w:r>
      <w:r w:rsidRPr="00864171">
        <w:rPr>
          <w:rFonts w:hint="eastAsia"/>
        </w:rPr>
        <w:t>国有资产监督管理机构应当建立企业国有资产产权交易监督管理制度，加强企业国有资产产权交易的监督管理，促进企业国有资产的合理流动，防止企业国有资产流失。</w:t>
      </w:r>
    </w:p>
    <w:p w14:paraId="08312988" w14:textId="77777777" w:rsidR="00EA7C3F" w:rsidRPr="00864171" w:rsidRDefault="00EA7C3F" w:rsidP="00EA7C3F">
      <w:pPr>
        <w:pStyle w:val="13"/>
        <w:ind w:firstLine="482"/>
      </w:pPr>
      <w:r w:rsidRPr="003B2FB1">
        <w:rPr>
          <w:rFonts w:hint="eastAsia"/>
          <w:b/>
        </w:rPr>
        <w:t xml:space="preserve">第三十一条 </w:t>
      </w:r>
      <w:r w:rsidRPr="00864171">
        <w:rPr>
          <w:rFonts w:hint="eastAsia"/>
        </w:rPr>
        <w:t>国有资产监督管理机构对其所出资企业的企业国有资产收益依法履行出资人职责；对其所出资企业的重大投融资规划、发展战略和规划，依照国家发展规划和产业政策履行出资人职责。</w:t>
      </w:r>
    </w:p>
    <w:p w14:paraId="6112EC9E" w14:textId="77777777" w:rsidR="00EA7C3F" w:rsidRPr="00864171" w:rsidRDefault="00EA7C3F" w:rsidP="00EA7C3F">
      <w:pPr>
        <w:pStyle w:val="13"/>
        <w:ind w:firstLine="482"/>
      </w:pPr>
      <w:r w:rsidRPr="003B2FB1">
        <w:rPr>
          <w:rFonts w:hint="eastAsia"/>
          <w:b/>
        </w:rPr>
        <w:t xml:space="preserve">第三十二条 </w:t>
      </w:r>
      <w:r w:rsidRPr="00864171">
        <w:rPr>
          <w:rFonts w:hint="eastAsia"/>
        </w:rPr>
        <w:t>所出资企业中的国有独资企业、国有独资公司的重大资产处置，需由国有资产监督管理机构批准的，依照有关规定执行。</w:t>
      </w:r>
    </w:p>
    <w:p w14:paraId="2E0C5BAA" w14:textId="77777777" w:rsidR="00EA7C3F" w:rsidRPr="00864171" w:rsidRDefault="00EA7C3F" w:rsidP="00AF7342">
      <w:pPr>
        <w:pStyle w:val="a9"/>
        <w:spacing w:before="62" w:after="62"/>
      </w:pPr>
      <w:r w:rsidRPr="00864171">
        <w:rPr>
          <w:rFonts w:hint="eastAsia"/>
        </w:rPr>
        <w:t>第六章</w:t>
      </w:r>
      <w:r>
        <w:t xml:space="preserve"> </w:t>
      </w:r>
      <w:r w:rsidRPr="00864171">
        <w:rPr>
          <w:rFonts w:hint="eastAsia"/>
        </w:rPr>
        <w:t>企业国有资产监督</w:t>
      </w:r>
    </w:p>
    <w:p w14:paraId="2B2562AC" w14:textId="77777777" w:rsidR="00EA7C3F" w:rsidRPr="00864171" w:rsidRDefault="00EA7C3F" w:rsidP="00EA7C3F">
      <w:pPr>
        <w:pStyle w:val="13"/>
        <w:ind w:firstLine="482"/>
      </w:pPr>
      <w:r w:rsidRPr="003B2FB1">
        <w:rPr>
          <w:rFonts w:hint="eastAsia"/>
          <w:b/>
        </w:rPr>
        <w:t xml:space="preserve">第三十三条 </w:t>
      </w:r>
      <w:r w:rsidRPr="00864171">
        <w:rPr>
          <w:rFonts w:hint="eastAsia"/>
        </w:rPr>
        <w:t>国有资产监督管理机构依法对所出资企业财务进行监督，建立和完善国有资产保值增值指标体系，维护国有资产出资人的权益。</w:t>
      </w:r>
    </w:p>
    <w:p w14:paraId="54473920" w14:textId="77777777" w:rsidR="00EA7C3F" w:rsidRPr="00864171" w:rsidRDefault="00EA7C3F" w:rsidP="00EA7C3F">
      <w:pPr>
        <w:pStyle w:val="13"/>
        <w:ind w:firstLine="482"/>
      </w:pPr>
      <w:r w:rsidRPr="003B2FB1">
        <w:rPr>
          <w:rFonts w:hint="eastAsia"/>
          <w:b/>
        </w:rPr>
        <w:t xml:space="preserve">第三十四条 </w:t>
      </w:r>
      <w:r w:rsidRPr="00864171">
        <w:rPr>
          <w:rFonts w:hint="eastAsia"/>
        </w:rPr>
        <w:t>国有及国有控股企业应当加强内部监督和风险控制，依照国家有关规定建立健全财务、审计、企业法律顾问和职工民主监督等制度。</w:t>
      </w:r>
    </w:p>
    <w:p w14:paraId="4B6755E5" w14:textId="77777777" w:rsidR="00EA7C3F" w:rsidRPr="00864171" w:rsidRDefault="00EA7C3F" w:rsidP="00EA7C3F">
      <w:pPr>
        <w:pStyle w:val="13"/>
        <w:ind w:firstLine="482"/>
      </w:pPr>
      <w:r w:rsidRPr="003B2FB1">
        <w:rPr>
          <w:rFonts w:hint="eastAsia"/>
          <w:b/>
        </w:rPr>
        <w:t xml:space="preserve">第三十五条 </w:t>
      </w:r>
      <w:r w:rsidRPr="00864171">
        <w:rPr>
          <w:rFonts w:hint="eastAsia"/>
        </w:rPr>
        <w:t>所出资企业中的国有独资企业、国有独资公司应当按照规定定期向国有资产监督管理机构报告财务状况、生产经营状况和国有资产保值增值状况。</w:t>
      </w:r>
    </w:p>
    <w:p w14:paraId="565700CA" w14:textId="77777777" w:rsidR="00EA7C3F" w:rsidRPr="00864171" w:rsidRDefault="00EA7C3F" w:rsidP="00AF7342">
      <w:pPr>
        <w:pStyle w:val="a9"/>
        <w:spacing w:before="62" w:after="62"/>
      </w:pPr>
      <w:r w:rsidRPr="00864171">
        <w:rPr>
          <w:rFonts w:hint="eastAsia"/>
        </w:rPr>
        <w:t>第七章</w:t>
      </w:r>
      <w:r>
        <w:t xml:space="preserve"> </w:t>
      </w:r>
      <w:r w:rsidRPr="00864171">
        <w:rPr>
          <w:rFonts w:hint="eastAsia"/>
        </w:rPr>
        <w:t>法律责任</w:t>
      </w:r>
    </w:p>
    <w:p w14:paraId="62C633FA" w14:textId="77777777" w:rsidR="00EA7C3F" w:rsidRPr="00864171" w:rsidRDefault="00EA7C3F" w:rsidP="00EA7C3F">
      <w:pPr>
        <w:pStyle w:val="13"/>
        <w:ind w:firstLine="482"/>
      </w:pPr>
      <w:r w:rsidRPr="003B2FB1">
        <w:rPr>
          <w:rFonts w:hint="eastAsia"/>
          <w:b/>
        </w:rPr>
        <w:t xml:space="preserve">第三十六条 </w:t>
      </w:r>
      <w:r w:rsidRPr="00864171">
        <w:rPr>
          <w:rFonts w:hint="eastAsia"/>
        </w:rPr>
        <w:t>国有资产监督管理机构不按规定任免或者建议任免所出资企业的</w:t>
      </w:r>
      <w:r w:rsidRPr="00864171">
        <w:rPr>
          <w:rFonts w:hint="eastAsia"/>
        </w:rPr>
        <w:lastRenderedPageBreak/>
        <w:t>企业负责人，或者违法干预所出资企业的生产经营活动，侵犯其合法权益，造成企业国有资产损失或者其他严重后果的，对直接负责的主管人员和其他直接责任人员依法给予行政处分；构成犯罪的，依法追究刑事责任。</w:t>
      </w:r>
    </w:p>
    <w:p w14:paraId="68C4DB8E" w14:textId="77777777" w:rsidR="00EA7C3F" w:rsidRPr="00864171" w:rsidRDefault="00EA7C3F" w:rsidP="00EA7C3F">
      <w:pPr>
        <w:pStyle w:val="13"/>
        <w:ind w:firstLine="482"/>
      </w:pPr>
      <w:r w:rsidRPr="003B2FB1">
        <w:rPr>
          <w:rFonts w:hint="eastAsia"/>
          <w:b/>
        </w:rPr>
        <w:t xml:space="preserve">第三十七条 </w:t>
      </w:r>
      <w:r w:rsidRPr="00864171">
        <w:rPr>
          <w:rFonts w:hint="eastAsia"/>
        </w:rPr>
        <w:t>所出资企业中的国有独资企业、国有独资公司未按照规定向国有资产监督管理机构报告财务状况、生产经营状况和国有资产保值增值状况的，予以警告；情节严重的，对直接负责的主管人员和其他直接责任人员依法给予纪律处分。</w:t>
      </w:r>
    </w:p>
    <w:p w14:paraId="6327B957" w14:textId="77777777" w:rsidR="00EA7C3F" w:rsidRPr="00864171" w:rsidRDefault="00EA7C3F" w:rsidP="00EA7C3F">
      <w:pPr>
        <w:pStyle w:val="13"/>
        <w:ind w:firstLine="482"/>
      </w:pPr>
      <w:r w:rsidRPr="003B2FB1">
        <w:rPr>
          <w:rFonts w:hint="eastAsia"/>
          <w:b/>
        </w:rPr>
        <w:t xml:space="preserve">第三十八条 </w:t>
      </w:r>
      <w:r w:rsidRPr="00864171">
        <w:rPr>
          <w:rFonts w:hint="eastAsia"/>
        </w:rPr>
        <w:t>国有及国有控股企业的企业负责人滥用职权、玩忽职守，造成企业国有资产损失的，应负赔偿责任，并对其依法给予纪律处分；构成犯罪的，依法追究刑事责任。</w:t>
      </w:r>
    </w:p>
    <w:p w14:paraId="05FE27E2" w14:textId="77777777" w:rsidR="00EA7C3F" w:rsidRPr="00864171" w:rsidRDefault="00EA7C3F" w:rsidP="00EA7C3F">
      <w:pPr>
        <w:pStyle w:val="13"/>
        <w:ind w:firstLine="482"/>
      </w:pPr>
      <w:r w:rsidRPr="003B2FB1">
        <w:rPr>
          <w:rFonts w:hint="eastAsia"/>
          <w:b/>
        </w:rPr>
        <w:t xml:space="preserve">第三十九条 </w:t>
      </w:r>
      <w:r w:rsidRPr="00864171">
        <w:rPr>
          <w:rFonts w:hint="eastAsia"/>
        </w:rPr>
        <w:t>对企业国有资产损失负有责任受到撤职以上纪律处分的国有及国有控股企业的企业负责人，5年内不得担任任何国有及国有控股企业的企业负责人；造成企业国有资产重大损失或者被判处刑罚的，终身不得担任任何国有及国有控股企业的企业负责人。</w:t>
      </w:r>
    </w:p>
    <w:p w14:paraId="024CC473" w14:textId="77777777" w:rsidR="00EA7C3F" w:rsidRPr="00864171" w:rsidRDefault="00EA7C3F" w:rsidP="00AF7342">
      <w:pPr>
        <w:pStyle w:val="a9"/>
        <w:spacing w:before="62" w:after="62"/>
      </w:pPr>
      <w:r w:rsidRPr="00864171">
        <w:rPr>
          <w:rFonts w:hint="eastAsia"/>
        </w:rPr>
        <w:t>第八章</w:t>
      </w:r>
      <w:r>
        <w:t xml:space="preserve"> </w:t>
      </w:r>
      <w:r w:rsidRPr="00864171">
        <w:rPr>
          <w:rFonts w:hint="eastAsia"/>
        </w:rPr>
        <w:t>附则</w:t>
      </w:r>
    </w:p>
    <w:p w14:paraId="56191DDB" w14:textId="77777777" w:rsidR="00EA7C3F" w:rsidRPr="00864171" w:rsidRDefault="00EA7C3F" w:rsidP="00EA7C3F">
      <w:pPr>
        <w:pStyle w:val="13"/>
        <w:ind w:firstLine="482"/>
      </w:pPr>
      <w:r w:rsidRPr="003B2FB1">
        <w:rPr>
          <w:rFonts w:hint="eastAsia"/>
          <w:b/>
        </w:rPr>
        <w:t xml:space="preserve">第四十条 </w:t>
      </w:r>
      <w:r w:rsidRPr="00864171">
        <w:rPr>
          <w:rFonts w:hint="eastAsia"/>
        </w:rPr>
        <w:t>国有及国有控股企业、国有参股企业的组织形式、组织机构、权利和义务等，依照《中华人民共和国公司法》等法律、行政法规和本条例的规定执行。</w:t>
      </w:r>
    </w:p>
    <w:p w14:paraId="1C9B4F9A" w14:textId="77777777" w:rsidR="00EA7C3F" w:rsidRPr="00864171" w:rsidRDefault="00EA7C3F" w:rsidP="00EA7C3F">
      <w:pPr>
        <w:pStyle w:val="13"/>
        <w:ind w:firstLine="482"/>
      </w:pPr>
      <w:r w:rsidRPr="003B2FB1">
        <w:rPr>
          <w:rFonts w:hint="eastAsia"/>
          <w:b/>
        </w:rPr>
        <w:t xml:space="preserve">第四十一条 </w:t>
      </w:r>
      <w:r w:rsidRPr="00864171">
        <w:rPr>
          <w:rFonts w:hint="eastAsia"/>
        </w:rPr>
        <w:t>国有及国有控股企业、国有参股企业中中国共产党基层组织建设、社会主义精神文明建设和党风廉政建设，依照《中国共产党章程》和有关规定执行。</w:t>
      </w:r>
    </w:p>
    <w:p w14:paraId="0D4986CA" w14:textId="77777777" w:rsidR="00EA7C3F" w:rsidRPr="00864171" w:rsidRDefault="00EA7C3F" w:rsidP="00EA7C3F">
      <w:pPr>
        <w:pStyle w:val="13"/>
      </w:pPr>
      <w:r w:rsidRPr="00864171">
        <w:rPr>
          <w:rFonts w:hint="eastAsia"/>
        </w:rPr>
        <w:t>国有及国有控股企业、国有参股企业中工会组织依照《中华人民共和国工会法》和《中国工会章程》的有关规定执行。</w:t>
      </w:r>
    </w:p>
    <w:p w14:paraId="58C49D91" w14:textId="77777777" w:rsidR="00EA7C3F" w:rsidRPr="00864171" w:rsidRDefault="00EA7C3F" w:rsidP="00EA7C3F">
      <w:pPr>
        <w:pStyle w:val="13"/>
        <w:ind w:firstLine="482"/>
      </w:pPr>
      <w:r w:rsidRPr="003B2FB1">
        <w:rPr>
          <w:rFonts w:hint="eastAsia"/>
          <w:b/>
        </w:rPr>
        <w:t xml:space="preserve">第四十二条 </w:t>
      </w:r>
      <w:r w:rsidRPr="00864171">
        <w:rPr>
          <w:rFonts w:hint="eastAsia"/>
        </w:rPr>
        <w:t>国务院国有资产监督管理机构，省、自治区、直辖市人民政府可以依据本条例制定实施办法。</w:t>
      </w:r>
    </w:p>
    <w:p w14:paraId="09DDA7A2" w14:textId="77777777" w:rsidR="00EA7C3F" w:rsidRPr="00864171" w:rsidRDefault="00EA7C3F" w:rsidP="00EA7C3F">
      <w:pPr>
        <w:pStyle w:val="13"/>
        <w:ind w:firstLine="482"/>
      </w:pPr>
      <w:r w:rsidRPr="003B2FB1">
        <w:rPr>
          <w:rFonts w:hint="eastAsia"/>
          <w:b/>
        </w:rPr>
        <w:t xml:space="preserve">第四十三条 </w:t>
      </w:r>
      <w:r w:rsidRPr="00864171">
        <w:rPr>
          <w:rFonts w:hint="eastAsia"/>
        </w:rPr>
        <w:t>本条例施行前制定的有关企业国有资产监督管理的行政法规与本条例不一致的，依照本条例的规定执行。</w:t>
      </w:r>
    </w:p>
    <w:p w14:paraId="1774B12B" w14:textId="77777777" w:rsidR="00EA7C3F" w:rsidRPr="00864171" w:rsidRDefault="00EA7C3F" w:rsidP="00EA7C3F">
      <w:pPr>
        <w:pStyle w:val="13"/>
        <w:ind w:firstLine="482"/>
      </w:pPr>
      <w:r w:rsidRPr="003B2FB1">
        <w:rPr>
          <w:rFonts w:hint="eastAsia"/>
          <w:b/>
        </w:rPr>
        <w:t xml:space="preserve">第四十四条 </w:t>
      </w:r>
      <w:r w:rsidRPr="00864171">
        <w:rPr>
          <w:rFonts w:hint="eastAsia"/>
        </w:rPr>
        <w:t>政企尚未分开的单位，应当按照国务院的规定，加快改革，实现政企分开。政企分开后的企业，由国有资产监督管理机构依法履行出资人职责，依法对企业国有资产进行监督管理。</w:t>
      </w:r>
    </w:p>
    <w:p w14:paraId="72BD84C0" w14:textId="5B68C538" w:rsidR="00EA7C3F" w:rsidRDefault="00EA7C3F" w:rsidP="00EA7C3F">
      <w:pPr>
        <w:pStyle w:val="13"/>
        <w:ind w:firstLine="482"/>
      </w:pPr>
      <w:r w:rsidRPr="003B2FB1">
        <w:rPr>
          <w:rFonts w:hint="eastAsia"/>
          <w:b/>
        </w:rPr>
        <w:t xml:space="preserve">第四十五条 </w:t>
      </w:r>
      <w:r w:rsidRPr="00864171">
        <w:rPr>
          <w:rFonts w:hint="eastAsia"/>
        </w:rPr>
        <w:t>本条例自公布之日起施行。</w:t>
      </w:r>
    </w:p>
    <w:p w14:paraId="5D62DA92" w14:textId="77777777" w:rsidR="00EA7C3F" w:rsidRDefault="00EA7C3F" w:rsidP="00EA7C3F">
      <w:pPr>
        <w:pStyle w:val="13"/>
      </w:pPr>
    </w:p>
    <w:p w14:paraId="280D03A0" w14:textId="54CF8713" w:rsidR="002D34B5" w:rsidRPr="005D5D49" w:rsidRDefault="005D5D49" w:rsidP="005D5D49">
      <w:pPr>
        <w:pStyle w:val="31"/>
        <w:spacing w:before="156" w:after="62"/>
      </w:pPr>
      <w:bookmarkStart w:id="231" w:name="_Toc81833464"/>
      <w:r w:rsidRPr="005D5D49">
        <w:rPr>
          <w:rFonts w:hint="eastAsia"/>
        </w:rPr>
        <w:t>《中央企业混合所有制改革操作指引》（国资产权〔</w:t>
      </w:r>
      <w:r w:rsidRPr="005D5D49">
        <w:t>2019〕653号</w:t>
      </w:r>
      <w:r w:rsidRPr="005D5D49">
        <w:rPr>
          <w:rFonts w:hint="eastAsia"/>
        </w:rPr>
        <w:t>）</w:t>
      </w:r>
      <w:bookmarkEnd w:id="231"/>
    </w:p>
    <w:p w14:paraId="7363F405" w14:textId="77777777" w:rsidR="005A7F6E" w:rsidRDefault="005A7F6E" w:rsidP="005A7F6E">
      <w:pPr>
        <w:pStyle w:val="13"/>
      </w:pPr>
      <w:r>
        <w:rPr>
          <w:rFonts w:hint="eastAsia"/>
        </w:rPr>
        <w:t>各中央企业：</w:t>
      </w:r>
    </w:p>
    <w:p w14:paraId="67EBFF6D" w14:textId="77777777" w:rsidR="005A7F6E" w:rsidRDefault="005A7F6E" w:rsidP="005A7F6E">
      <w:pPr>
        <w:pStyle w:val="13"/>
      </w:pPr>
      <w:r>
        <w:rPr>
          <w:rFonts w:hint="eastAsia"/>
        </w:rPr>
        <w:t>为深入贯彻落实党中央、国务院关于积极发展混合所有制经济的决策部署，稳妥有序推进混合所有制改革，国资委在总结中央企业混合所有制改革工作的基础上，制</w:t>
      </w:r>
      <w:r>
        <w:rPr>
          <w:rFonts w:hint="eastAsia"/>
        </w:rPr>
        <w:lastRenderedPageBreak/>
        <w:t>定了《中央企业混合所有制改革操作指引》。现印发给你们，供参考。</w:t>
      </w:r>
    </w:p>
    <w:p w14:paraId="6202D909" w14:textId="77777777" w:rsidR="005A7F6E" w:rsidRDefault="005A7F6E" w:rsidP="005A7F6E">
      <w:pPr>
        <w:pStyle w:val="13"/>
        <w:jc w:val="right"/>
      </w:pPr>
      <w:r>
        <w:rPr>
          <w:rFonts w:hint="eastAsia"/>
        </w:rPr>
        <w:t>国资委</w:t>
      </w:r>
    </w:p>
    <w:p w14:paraId="37F9E6EC" w14:textId="224D0830" w:rsidR="002D34B5" w:rsidRDefault="005A7F6E" w:rsidP="005A7F6E">
      <w:pPr>
        <w:pStyle w:val="13"/>
        <w:jc w:val="right"/>
      </w:pPr>
      <w:r>
        <w:t>2019年10月31日</w:t>
      </w:r>
    </w:p>
    <w:p w14:paraId="471EF574" w14:textId="77777777" w:rsidR="005A7F6E" w:rsidRPr="005A7F6E" w:rsidRDefault="005A7F6E" w:rsidP="00AF7342">
      <w:pPr>
        <w:pStyle w:val="a9"/>
        <w:spacing w:before="62" w:after="62"/>
      </w:pPr>
      <w:r w:rsidRPr="005A7F6E">
        <w:rPr>
          <w:rFonts w:hint="eastAsia"/>
        </w:rPr>
        <w:t>中央企业混合所有制改革操作指引</w:t>
      </w:r>
    </w:p>
    <w:p w14:paraId="09BB43A7" w14:textId="77777777" w:rsidR="005A7F6E" w:rsidRPr="005A7F6E" w:rsidRDefault="005A7F6E" w:rsidP="005A7F6E">
      <w:pPr>
        <w:pStyle w:val="13"/>
      </w:pPr>
      <w:r w:rsidRPr="005A7F6E">
        <w:rPr>
          <w:rFonts w:hint="eastAsia"/>
        </w:rPr>
        <w:t>为贯彻落实党中央、国务院关于积极发展混合所有制经济的决策部署，稳妥有序推进中央企业混合所有制改革，促进各种所有制资本取长补短、相互促进、共同发展，夯实社会主义基本经济制度的微观基础，按照《中共中央、国务院关于深化国有企业改革的指导意见》（中发〔2015〕22号）、《国务院关于国有企业发展混合所有制经济的意见》（国发〔2015〕54号）等文件精神和有关政策规定，结合中央企业混合所有制改革实践，制定本操作指引。中央企业所属各级子企业通过产权转让、增资扩股、首发上市（IPO）、上市公司资产重组等方式，引入非公有资本、集体资本实施混合所有制改革，相关工作参考本操作指引。</w:t>
      </w:r>
    </w:p>
    <w:p w14:paraId="701F0F58" w14:textId="77777777" w:rsidR="005A7F6E" w:rsidRPr="005A7F6E" w:rsidRDefault="005A7F6E" w:rsidP="005A7F6E">
      <w:pPr>
        <w:pStyle w:val="13"/>
        <w:ind w:firstLine="482"/>
      </w:pPr>
      <w:r w:rsidRPr="005A7F6E">
        <w:rPr>
          <w:rFonts w:hint="eastAsia"/>
          <w:b/>
          <w:bCs/>
        </w:rPr>
        <w:t>一、基本操作流程</w:t>
      </w:r>
    </w:p>
    <w:p w14:paraId="729C8D37" w14:textId="77777777" w:rsidR="005A7F6E" w:rsidRPr="005A7F6E" w:rsidRDefault="005A7F6E" w:rsidP="005A7F6E">
      <w:pPr>
        <w:pStyle w:val="13"/>
      </w:pPr>
      <w:r w:rsidRPr="005A7F6E">
        <w:rPr>
          <w:rFonts w:hint="eastAsia"/>
        </w:rPr>
        <w:t>中央企业所属各级子企业实施混合所有制改革，一般应履行以下基本操作流程：可行性研究、制定混合所有制改革方案、履行决策审批程序、开展审计评估、引进非公有资本投资者、推进企业运营机制改革。以新设企业、对外投资并购、投资入股等方式实施混合所有制改革的，履行中央企业投资管理有关程序。</w:t>
      </w:r>
    </w:p>
    <w:p w14:paraId="7AE266B2" w14:textId="77777777" w:rsidR="005A7F6E" w:rsidRPr="005A7F6E" w:rsidRDefault="005A7F6E" w:rsidP="005A7F6E">
      <w:pPr>
        <w:pStyle w:val="13"/>
      </w:pPr>
      <w:r w:rsidRPr="005A7F6E">
        <w:rPr>
          <w:rFonts w:hint="eastAsia"/>
        </w:rPr>
        <w:t>（一）可行性研究。</w:t>
      </w:r>
    </w:p>
    <w:p w14:paraId="5A8AB445" w14:textId="77777777" w:rsidR="005A7F6E" w:rsidRPr="005A7F6E" w:rsidRDefault="005A7F6E" w:rsidP="005A7F6E">
      <w:pPr>
        <w:pStyle w:val="13"/>
      </w:pPr>
      <w:r w:rsidRPr="005A7F6E">
        <w:rPr>
          <w:rFonts w:hint="eastAsia"/>
        </w:rPr>
        <w:t>拟实施混合所有制改革的企业（以下简称</w:t>
      </w:r>
      <w:proofErr w:type="gramStart"/>
      <w:r w:rsidRPr="005A7F6E">
        <w:rPr>
          <w:rFonts w:hint="eastAsia"/>
        </w:rPr>
        <w:t>拟混改</w:t>
      </w:r>
      <w:proofErr w:type="gramEnd"/>
      <w:r w:rsidRPr="005A7F6E">
        <w:rPr>
          <w:rFonts w:hint="eastAsia"/>
        </w:rPr>
        <w:t>企业）要按照“完善治理、强化激励、突出主业、提高效率”的总体要求，坚持“因地施策、因业施策、因企施策，宜独则独、宜控则控、宜参则参，不搞拉郎配，不搞全覆盖，不设时间表”的原则，依据相关政策规定对混合所有制改革的必要性和可行性进行充分研究，</w:t>
      </w:r>
      <w:proofErr w:type="gramStart"/>
      <w:r w:rsidRPr="005A7F6E">
        <w:rPr>
          <w:rFonts w:hint="eastAsia"/>
        </w:rPr>
        <w:t>一</w:t>
      </w:r>
      <w:proofErr w:type="gramEnd"/>
      <w:r w:rsidRPr="005A7F6E">
        <w:rPr>
          <w:rFonts w:hint="eastAsia"/>
        </w:rPr>
        <w:t>企</w:t>
      </w:r>
      <w:proofErr w:type="gramStart"/>
      <w:r w:rsidRPr="005A7F6E">
        <w:rPr>
          <w:rFonts w:hint="eastAsia"/>
        </w:rPr>
        <w:t>一</w:t>
      </w:r>
      <w:proofErr w:type="gramEnd"/>
      <w:r w:rsidRPr="005A7F6E">
        <w:rPr>
          <w:rFonts w:hint="eastAsia"/>
        </w:rPr>
        <w:t>策，成熟一个推进一个。</w:t>
      </w:r>
    </w:p>
    <w:p w14:paraId="1632B3C7" w14:textId="77777777" w:rsidR="005A7F6E" w:rsidRPr="005A7F6E" w:rsidRDefault="005A7F6E" w:rsidP="005A7F6E">
      <w:pPr>
        <w:pStyle w:val="13"/>
      </w:pPr>
      <w:r w:rsidRPr="005A7F6E">
        <w:rPr>
          <w:rFonts w:hint="eastAsia"/>
        </w:rPr>
        <w:t>积极稳妥推进主业处于充分竞争行业和领域的商业类国有企业混合所有制改革，国有资本宜</w:t>
      </w:r>
      <w:proofErr w:type="gramStart"/>
      <w:r w:rsidRPr="005A7F6E">
        <w:rPr>
          <w:rFonts w:hint="eastAsia"/>
        </w:rPr>
        <w:t>控则控</w:t>
      </w:r>
      <w:proofErr w:type="gramEnd"/>
      <w:r w:rsidRPr="005A7F6E">
        <w:rPr>
          <w:rFonts w:hint="eastAsia"/>
        </w:rPr>
        <w:t>、</w:t>
      </w:r>
      <w:proofErr w:type="gramStart"/>
      <w:r w:rsidRPr="005A7F6E">
        <w:rPr>
          <w:rFonts w:hint="eastAsia"/>
        </w:rPr>
        <w:t>宜参则参</w:t>
      </w:r>
      <w:proofErr w:type="gramEnd"/>
      <w:r w:rsidRPr="005A7F6E">
        <w:rPr>
          <w:rFonts w:hint="eastAsia"/>
        </w:rPr>
        <w:t>；探索主业处于重要行业和关键领域的商业类国有企业混合所有制改革，保持国有资本控股地位，支持非公有资本参股；根据不同业务特点，有序推进具备条件的公益类国有企业混合所有制改革；充分发挥国有资本投资、运营公司市场化运作专业平台作用，积极推进所属企业混合所有制改革。</w:t>
      </w:r>
    </w:p>
    <w:p w14:paraId="3227A4AC" w14:textId="77777777" w:rsidR="005A7F6E" w:rsidRPr="005A7F6E" w:rsidRDefault="005A7F6E" w:rsidP="005A7F6E">
      <w:pPr>
        <w:pStyle w:val="13"/>
      </w:pPr>
      <w:r w:rsidRPr="005A7F6E">
        <w:rPr>
          <w:rFonts w:hint="eastAsia"/>
        </w:rPr>
        <w:t>可行性研究阶段，企业应按照有关文件规定，对实施混合所有制改革的社会稳定风险</w:t>
      </w:r>
      <w:proofErr w:type="gramStart"/>
      <w:r w:rsidRPr="005A7F6E">
        <w:rPr>
          <w:rFonts w:hint="eastAsia"/>
        </w:rPr>
        <w:t>作出</w:t>
      </w:r>
      <w:proofErr w:type="gramEnd"/>
      <w:r w:rsidRPr="005A7F6E">
        <w:rPr>
          <w:rFonts w:hint="eastAsia"/>
        </w:rPr>
        <w:t>评估。</w:t>
      </w:r>
    </w:p>
    <w:p w14:paraId="35E529FC" w14:textId="77777777" w:rsidR="005A7F6E" w:rsidRPr="005A7F6E" w:rsidRDefault="005A7F6E" w:rsidP="005A7F6E">
      <w:pPr>
        <w:pStyle w:val="13"/>
      </w:pPr>
      <w:r w:rsidRPr="005A7F6E">
        <w:rPr>
          <w:rFonts w:hint="eastAsia"/>
        </w:rPr>
        <w:t>（二）制定混合所有制改革方案。</w:t>
      </w:r>
    </w:p>
    <w:p w14:paraId="338877AC" w14:textId="77777777" w:rsidR="005A7F6E" w:rsidRPr="005A7F6E" w:rsidRDefault="005A7F6E" w:rsidP="005A7F6E">
      <w:pPr>
        <w:pStyle w:val="13"/>
      </w:pPr>
      <w:proofErr w:type="gramStart"/>
      <w:r w:rsidRPr="005A7F6E">
        <w:rPr>
          <w:rFonts w:hint="eastAsia"/>
        </w:rPr>
        <w:t>拟混改</w:t>
      </w:r>
      <w:proofErr w:type="gramEnd"/>
      <w:r w:rsidRPr="005A7F6E">
        <w:rPr>
          <w:rFonts w:hint="eastAsia"/>
        </w:rPr>
        <w:t>企业应制定混合所有制改革方案，方案一般包括以下内容：企业基本情况，混合所有制改革必要性和可行性分析，改革基本原则和思路，改革后企业股权结构设置，转变运营机制的主要举措，引进非公有资本的条件要求、方式、定价办法，</w:t>
      </w:r>
      <w:r w:rsidRPr="005A7F6E">
        <w:rPr>
          <w:rFonts w:hint="eastAsia"/>
        </w:rPr>
        <w:lastRenderedPageBreak/>
        <w:t>员工激励计划，债权债务处置方案，职工安置方案，历史遗留问题解决方案，改革风险评估与防范措施，违反相关规定的追责措施，改革组织保障和进度安排等。</w:t>
      </w:r>
    </w:p>
    <w:p w14:paraId="1563D422" w14:textId="77777777" w:rsidR="005A7F6E" w:rsidRPr="005A7F6E" w:rsidRDefault="005A7F6E" w:rsidP="005A7F6E">
      <w:pPr>
        <w:pStyle w:val="13"/>
      </w:pPr>
      <w:r w:rsidRPr="005A7F6E">
        <w:rPr>
          <w:rFonts w:hint="eastAsia"/>
        </w:rPr>
        <w:t>制定方案过程中，要科学设计混合所有制企业股权结构，充分向非公有资本释放股权，尽可能使非公有资本能够派出董事或监事；注重保障企业职工对混合所有制改革的知情权和参与权，涉及职工切身利益的要做好评估工作，职工安置方案应经职工大会或者职工代表大会审议通过；科学设计改革路径，用好用足国家相关税收优惠政策，降低改革成本。必要时可聘请外部专家、中介机构等参与。</w:t>
      </w:r>
    </w:p>
    <w:p w14:paraId="31CDDD3E" w14:textId="77777777" w:rsidR="005A7F6E" w:rsidRPr="005A7F6E" w:rsidRDefault="005A7F6E" w:rsidP="005A7F6E">
      <w:pPr>
        <w:pStyle w:val="13"/>
      </w:pPr>
      <w:r w:rsidRPr="005A7F6E">
        <w:rPr>
          <w:rFonts w:hint="eastAsia"/>
        </w:rPr>
        <w:t>（三）履行决策审批程序。</w:t>
      </w:r>
    </w:p>
    <w:p w14:paraId="41AD528A" w14:textId="77777777" w:rsidR="005A7F6E" w:rsidRPr="005A7F6E" w:rsidRDefault="005A7F6E" w:rsidP="005A7F6E">
      <w:pPr>
        <w:pStyle w:val="13"/>
      </w:pPr>
      <w:r w:rsidRPr="005A7F6E">
        <w:rPr>
          <w:rFonts w:hint="eastAsia"/>
        </w:rPr>
        <w:t>混合所有制改革方案制定后，中央企业应按照“三重一大”决策机制，履行企业内部决策程序。</w:t>
      </w:r>
      <w:proofErr w:type="gramStart"/>
      <w:r w:rsidRPr="005A7F6E">
        <w:rPr>
          <w:rFonts w:hint="eastAsia"/>
        </w:rPr>
        <w:t>拟混改</w:t>
      </w:r>
      <w:proofErr w:type="gramEnd"/>
      <w:r w:rsidRPr="005A7F6E">
        <w:rPr>
          <w:rFonts w:hint="eastAsia"/>
        </w:rPr>
        <w:t>企业属于主业处于关系国家安全、国民经济命脉的重要行业和关键领域、主要承担重大专项任务子企业的，其混合所有制改革方案由中央企业审核后报国资委批准，其中需报国务院批准的，由国资委按照有关法律、行政法规和国务院文件规定履行相应程序；</w:t>
      </w:r>
      <w:proofErr w:type="gramStart"/>
      <w:r w:rsidRPr="005A7F6E">
        <w:rPr>
          <w:rFonts w:hint="eastAsia"/>
        </w:rPr>
        <w:t>拟混改</w:t>
      </w:r>
      <w:proofErr w:type="gramEnd"/>
      <w:r w:rsidRPr="005A7F6E">
        <w:rPr>
          <w:rFonts w:hint="eastAsia"/>
        </w:rPr>
        <w:t>企业属于其他功能定位子企业的，其混合所有制改革方案由中央企业批准。</w:t>
      </w:r>
    </w:p>
    <w:p w14:paraId="314448C2" w14:textId="77777777" w:rsidR="005A7F6E" w:rsidRPr="005A7F6E" w:rsidRDefault="005A7F6E" w:rsidP="005A7F6E">
      <w:pPr>
        <w:pStyle w:val="13"/>
      </w:pPr>
      <w:r w:rsidRPr="005A7F6E">
        <w:rPr>
          <w:rFonts w:hint="eastAsia"/>
        </w:rPr>
        <w:t>（四）开展审计评估。</w:t>
      </w:r>
    </w:p>
    <w:p w14:paraId="23A7FF0A" w14:textId="77777777" w:rsidR="005A7F6E" w:rsidRPr="005A7F6E" w:rsidRDefault="005A7F6E" w:rsidP="005A7F6E">
      <w:pPr>
        <w:pStyle w:val="13"/>
      </w:pPr>
      <w:r w:rsidRPr="005A7F6E">
        <w:rPr>
          <w:rFonts w:hint="eastAsia"/>
        </w:rPr>
        <w:t>企业实施混合所有制改革，应合</w:t>
      </w:r>
      <w:proofErr w:type="gramStart"/>
      <w:r w:rsidRPr="005A7F6E">
        <w:rPr>
          <w:rFonts w:hint="eastAsia"/>
        </w:rPr>
        <w:t>理确定</w:t>
      </w:r>
      <w:proofErr w:type="gramEnd"/>
      <w:r w:rsidRPr="005A7F6E">
        <w:rPr>
          <w:rFonts w:hint="eastAsia"/>
        </w:rPr>
        <w:t>纳入改革的资产范围，需要对资产、业务进行调整的，可按照相关规定选择无偿划转、产权转让、产权置换等方式。企业混合所有制改革前如确有必要开展清产核资工作的，按照有关规定履行程序。</w:t>
      </w:r>
    </w:p>
    <w:p w14:paraId="7EEFDDD3" w14:textId="77777777" w:rsidR="005A7F6E" w:rsidRPr="005A7F6E" w:rsidRDefault="005A7F6E" w:rsidP="005A7F6E">
      <w:pPr>
        <w:pStyle w:val="13"/>
      </w:pPr>
      <w:proofErr w:type="gramStart"/>
      <w:r w:rsidRPr="005A7F6E">
        <w:rPr>
          <w:rFonts w:hint="eastAsia"/>
        </w:rPr>
        <w:t>拟混改</w:t>
      </w:r>
      <w:proofErr w:type="gramEnd"/>
      <w:r w:rsidRPr="005A7F6E">
        <w:rPr>
          <w:rFonts w:hint="eastAsia"/>
        </w:rPr>
        <w:t>企业的资产范围确定后，由企业或产权持有单位选聘具备相应资质的中介机构开展财务审计、资产评估工作，履行资产评估项目备案程序，以经备案的资产评估结果作为资产交易定价的参考依据。</w:t>
      </w:r>
    </w:p>
    <w:p w14:paraId="531DD486" w14:textId="77777777" w:rsidR="005A7F6E" w:rsidRPr="005A7F6E" w:rsidRDefault="005A7F6E" w:rsidP="005A7F6E">
      <w:pPr>
        <w:pStyle w:val="13"/>
      </w:pPr>
      <w:r w:rsidRPr="005A7F6E">
        <w:rPr>
          <w:rFonts w:hint="eastAsia"/>
        </w:rPr>
        <w:t>（五）引进非公有资本投资者。</w:t>
      </w:r>
    </w:p>
    <w:p w14:paraId="3A6EEFAC" w14:textId="77777777" w:rsidR="005A7F6E" w:rsidRPr="005A7F6E" w:rsidRDefault="005A7F6E" w:rsidP="005A7F6E">
      <w:pPr>
        <w:pStyle w:val="13"/>
      </w:pPr>
      <w:proofErr w:type="gramStart"/>
      <w:r w:rsidRPr="005A7F6E">
        <w:rPr>
          <w:rFonts w:hint="eastAsia"/>
        </w:rPr>
        <w:t>拟混改</w:t>
      </w:r>
      <w:proofErr w:type="gramEnd"/>
      <w:r w:rsidRPr="005A7F6E">
        <w:rPr>
          <w:rFonts w:hint="eastAsia"/>
        </w:rPr>
        <w:t>企业引进非公有资本投资者，主要通过产权市场、股票市场等市场化平台，以公开、公平、公正的方式进行。通过产权市场引进非公有资本投资者，主要方式包括增资扩股和转让部分国有股权。通过股票市场引进非公有资本投资者，主要方式包括首发上市（IPO）和上市公司股份转让、发行证券、资产重组等。中央企业通过市场平台引进非公有资本投资者过程中，要注重保障各类社会资本平等参与权利，对拟参与方的条件要求不得有明确指向性或违反公平竞争原则的内容。</w:t>
      </w:r>
    </w:p>
    <w:p w14:paraId="4CED6EE7" w14:textId="77777777" w:rsidR="005A7F6E" w:rsidRPr="005A7F6E" w:rsidRDefault="005A7F6E" w:rsidP="005A7F6E">
      <w:pPr>
        <w:pStyle w:val="13"/>
      </w:pPr>
      <w:r w:rsidRPr="005A7F6E">
        <w:rPr>
          <w:rFonts w:hint="eastAsia"/>
        </w:rPr>
        <w:t>（六）推进运营机制改革。</w:t>
      </w:r>
    </w:p>
    <w:p w14:paraId="4BC47074" w14:textId="77777777" w:rsidR="005A7F6E" w:rsidRPr="005A7F6E" w:rsidRDefault="005A7F6E" w:rsidP="005A7F6E">
      <w:pPr>
        <w:pStyle w:val="13"/>
      </w:pPr>
      <w:r w:rsidRPr="005A7F6E">
        <w:rPr>
          <w:rFonts w:hint="eastAsia"/>
        </w:rPr>
        <w:t>混合所有制企业要完善现代企业制度，健全法人治理结构，充分发挥公司章程在公司治理中的基础性作用，各方股东共同制定章程，规范企业股东（大）会、董事会、监事会、经理层和党组织的权责关系，落实董事会职权，深化三项制度改革；用足用好用活各种正向激励工具，构建多元化、系统化的激励约束体系，充分调动企业职工积极性。转变混合所有制企业管控模式，探索根据国有资本与非公有资本的不同比例</w:t>
      </w:r>
      <w:r w:rsidRPr="005A7F6E">
        <w:rPr>
          <w:rFonts w:hint="eastAsia"/>
        </w:rPr>
        <w:lastRenderedPageBreak/>
        <w:t>结构协商确定具体管控方式，国有出资方强化以出资额和出资比例为限、以派出股权董事为依托的管控方式，明确监管边界，股东不干预企业日常经营。</w:t>
      </w:r>
    </w:p>
    <w:p w14:paraId="4A1AF87E" w14:textId="77777777" w:rsidR="005A7F6E" w:rsidRPr="005A7F6E" w:rsidRDefault="005A7F6E" w:rsidP="005A7F6E">
      <w:pPr>
        <w:pStyle w:val="13"/>
        <w:ind w:firstLine="482"/>
      </w:pPr>
      <w:r w:rsidRPr="005A7F6E">
        <w:rPr>
          <w:rFonts w:hint="eastAsia"/>
          <w:b/>
          <w:bCs/>
        </w:rPr>
        <w:t>二、“混资本”相关环节操作要点</w:t>
      </w:r>
    </w:p>
    <w:p w14:paraId="07BBD843" w14:textId="77777777" w:rsidR="005A7F6E" w:rsidRPr="005A7F6E" w:rsidRDefault="005A7F6E" w:rsidP="005A7F6E">
      <w:pPr>
        <w:pStyle w:val="13"/>
      </w:pPr>
      <w:r w:rsidRPr="005A7F6E">
        <w:rPr>
          <w:rFonts w:hint="eastAsia"/>
        </w:rPr>
        <w:t>（一）资产审计评估。</w:t>
      </w:r>
    </w:p>
    <w:p w14:paraId="4C6437B0" w14:textId="77777777" w:rsidR="005A7F6E" w:rsidRPr="005A7F6E" w:rsidRDefault="005A7F6E" w:rsidP="005A7F6E">
      <w:pPr>
        <w:pStyle w:val="13"/>
      </w:pPr>
      <w:r w:rsidRPr="005A7F6E">
        <w:rPr>
          <w:rFonts w:hint="eastAsia"/>
        </w:rPr>
        <w:t>1.财务审计。实施混合所有制改革，应当按照《国务院办公厅转发国务院国有资产监督管理委员会关于规范国有企业改制工作意见的通知》（国办发〔2003〕96号）、《国务院办公厅转发国资委关于进一步规范国有企业改制工作实施意见的通知》（国办发〔2005〕60号）等规定，开展财务审计工作。</w:t>
      </w:r>
    </w:p>
    <w:p w14:paraId="3BB9415D" w14:textId="77777777" w:rsidR="005A7F6E" w:rsidRPr="005A7F6E" w:rsidRDefault="005A7F6E" w:rsidP="005A7F6E">
      <w:pPr>
        <w:pStyle w:val="13"/>
      </w:pPr>
      <w:r w:rsidRPr="005A7F6E">
        <w:rPr>
          <w:rFonts w:hint="eastAsia"/>
        </w:rPr>
        <w:t>（1）关于选聘审计机构。选聘审计机构应采取差额竞争方式，综合考察和了解其资质、信誉及能力。选聘的审计机构近两年内在企业财务审计中没有违法、违规记录，未承担同一混合所有制改革项目的评估业务，与企业不存在经济利益关系。</w:t>
      </w:r>
    </w:p>
    <w:p w14:paraId="4D0D723D" w14:textId="77777777" w:rsidR="005A7F6E" w:rsidRPr="005A7F6E" w:rsidRDefault="005A7F6E" w:rsidP="005A7F6E">
      <w:pPr>
        <w:pStyle w:val="13"/>
      </w:pPr>
      <w:r w:rsidRPr="005A7F6E">
        <w:rPr>
          <w:rFonts w:hint="eastAsia"/>
        </w:rPr>
        <w:t>（2）关于审计报告。审计报告应为无保留意见的标准审计报告。拟上市项目或上市公司的重大资产重组项目，评估基准日在6月30日（含）之前的，需出具最近三个完整会计年度和本年度截至评估基准日的审计报告；评估基准日在6月30日之后的，需出具最近两个完整会计年度和本年度截至评估基准日的审计报告。其他经济行为需出具最近一个完整会计年度和本年度截至评估基准日的审计报告。</w:t>
      </w:r>
    </w:p>
    <w:p w14:paraId="17E465C1" w14:textId="77777777" w:rsidR="005A7F6E" w:rsidRPr="005A7F6E" w:rsidRDefault="005A7F6E" w:rsidP="005A7F6E">
      <w:pPr>
        <w:pStyle w:val="13"/>
      </w:pPr>
      <w:r w:rsidRPr="005A7F6E">
        <w:rPr>
          <w:rFonts w:hint="eastAsia"/>
        </w:rPr>
        <w:t>2.资产评估。实施混合所有制改革，应当按照《中华人民共和国资产评估法》《企业国有资产评估管理暂行办法》（国资委令第12号）等规定，开展资产评估工作。</w:t>
      </w:r>
    </w:p>
    <w:p w14:paraId="30205D8E" w14:textId="77777777" w:rsidR="005A7F6E" w:rsidRPr="005A7F6E" w:rsidRDefault="005A7F6E" w:rsidP="005A7F6E">
      <w:pPr>
        <w:pStyle w:val="13"/>
      </w:pPr>
      <w:r w:rsidRPr="005A7F6E">
        <w:rPr>
          <w:rFonts w:hint="eastAsia"/>
        </w:rPr>
        <w:t>（1）评估机构选聘及委托。中央企业应当采取差额竞争方式在本企业评估机构备选库内选聘评估机构。选聘的评估机构应具有与企业评估需求相适应的资质条件、专业人员和专业特长，近3年内没有违法、违规执业国有资产评估项目记录；掌握企业及所在行业相关的法律法规、政策、经济行为特点和相关市场信息；与混合所有制改革相关方无经济利益关系。评估对象为企业股权的资产评估项目，由产权持有单位委托，其中涉及增资扩股事项的，可由产权持有单位和增资企业共同委托。</w:t>
      </w:r>
    </w:p>
    <w:p w14:paraId="64B1CC27" w14:textId="77777777" w:rsidR="005A7F6E" w:rsidRPr="005A7F6E" w:rsidRDefault="005A7F6E" w:rsidP="005A7F6E">
      <w:pPr>
        <w:pStyle w:val="13"/>
      </w:pPr>
      <w:r w:rsidRPr="005A7F6E">
        <w:rPr>
          <w:rFonts w:hint="eastAsia"/>
        </w:rPr>
        <w:t>（2）评估备案管理权限。经国资委批准的混合所有制改革涉及的资产评估项目，由国资委负责备案；经中央企业批准的混合所有制改革涉及的资产评估项目，由中央企业负责备案；被评估企业涉及多个国有股东的，经协商一致，可以由持股比例最大的国有股东办理备案手续。</w:t>
      </w:r>
    </w:p>
    <w:p w14:paraId="13F1DD85" w14:textId="77777777" w:rsidR="005A7F6E" w:rsidRPr="005A7F6E" w:rsidRDefault="005A7F6E" w:rsidP="005A7F6E">
      <w:pPr>
        <w:pStyle w:val="13"/>
      </w:pPr>
      <w:r w:rsidRPr="005A7F6E">
        <w:rPr>
          <w:rFonts w:hint="eastAsia"/>
        </w:rPr>
        <w:t>（3）重点关注事项。一是评估基准日选取应尽量接近混合所有制改革的实施日期。如果期后发生对评估结果产生重大影响的事项，应调整评估基准日或评估结果。二是评估范围应与混合所有制改革方案、决策文件、评估业务委托约定书等确定的范围一致。三是纳入评估的房产、土地、矿产资源等资产应当权属明晰、证照齐全。符合划拨用地条件的国有划拨土地使用权，经所在地县级以上人民政府批准可继续以划拨方式使用。四是涉及企业价值的资产评估项目，原则上应当采用两种以上评估方</w:t>
      </w:r>
      <w:r w:rsidRPr="005A7F6E">
        <w:rPr>
          <w:rFonts w:hint="eastAsia"/>
        </w:rPr>
        <w:lastRenderedPageBreak/>
        <w:t>法。五是资产评估项目备案前，应当按照资产评估项目公示制度履行公示程序。</w:t>
      </w:r>
    </w:p>
    <w:p w14:paraId="40CBF9A1" w14:textId="77777777" w:rsidR="005A7F6E" w:rsidRPr="005A7F6E" w:rsidRDefault="005A7F6E" w:rsidP="005A7F6E">
      <w:pPr>
        <w:pStyle w:val="13"/>
      </w:pPr>
      <w:r w:rsidRPr="005A7F6E">
        <w:rPr>
          <w:rFonts w:hint="eastAsia"/>
        </w:rPr>
        <w:t>（二）通过产权市场实施混合所有制改革。</w:t>
      </w:r>
    </w:p>
    <w:p w14:paraId="6C3465CF" w14:textId="77777777" w:rsidR="005A7F6E" w:rsidRPr="005A7F6E" w:rsidRDefault="005A7F6E" w:rsidP="005A7F6E">
      <w:pPr>
        <w:pStyle w:val="13"/>
      </w:pPr>
      <w:r w:rsidRPr="005A7F6E">
        <w:rPr>
          <w:rFonts w:hint="eastAsia"/>
        </w:rPr>
        <w:t>1.产权交易机构选择。非上市企业通过产权转让、增资扩股方式实施混合所有制改革应按照《企业国有资产交易监督管理办法》（国资委 财政部令第32号）、《关于印发&lt;企业国有产权交易操作规则&gt;的通知》（</w:t>
      </w:r>
      <w:proofErr w:type="gramStart"/>
      <w:r w:rsidRPr="005A7F6E">
        <w:rPr>
          <w:rFonts w:hint="eastAsia"/>
        </w:rPr>
        <w:t>国资发产权</w:t>
      </w:r>
      <w:proofErr w:type="gramEnd"/>
      <w:r w:rsidRPr="005A7F6E">
        <w:rPr>
          <w:rFonts w:hint="eastAsia"/>
        </w:rPr>
        <w:t>〔2009〕120号）等有关规定，在国资委确定的可以从事相关业务的产权交易机构中公开进行。从事中央企业产权转让业务的机构有北京产权交易所、天津产权交易中心、上海联合产权交易所和重庆联合产权交易所；从事中央企业增资扩股业务的机构有北京产权交易所和上海联合产权交易所。</w:t>
      </w:r>
    </w:p>
    <w:p w14:paraId="3132AB9D" w14:textId="77777777" w:rsidR="005A7F6E" w:rsidRPr="005A7F6E" w:rsidRDefault="005A7F6E" w:rsidP="005A7F6E">
      <w:pPr>
        <w:pStyle w:val="13"/>
      </w:pPr>
      <w:r w:rsidRPr="005A7F6E">
        <w:rPr>
          <w:rFonts w:hint="eastAsia"/>
        </w:rPr>
        <w:t>2.信息披露。进场交易项目要严格按照规定在产权交易机构进行信息披露。企业混合所有制改革方案确定后，可合理选择信息发布时机，及早披露相关信息。产权转让项目正式信息披露时间不少于20个工作日，涉及企业实际控制权转移的应进行信息预披露，时间不少于20个工作日。增资扩股项目信息披露时间不少于40个工作日。</w:t>
      </w:r>
    </w:p>
    <w:p w14:paraId="7FEE71C9" w14:textId="77777777" w:rsidR="005A7F6E" w:rsidRPr="005A7F6E" w:rsidRDefault="005A7F6E" w:rsidP="005A7F6E">
      <w:pPr>
        <w:pStyle w:val="13"/>
      </w:pPr>
      <w:r w:rsidRPr="005A7F6E">
        <w:rPr>
          <w:rFonts w:hint="eastAsia"/>
        </w:rPr>
        <w:t>3.投资人遴选。</w:t>
      </w:r>
      <w:proofErr w:type="gramStart"/>
      <w:r w:rsidRPr="005A7F6E">
        <w:rPr>
          <w:rFonts w:hint="eastAsia"/>
        </w:rPr>
        <w:t>拟混改</w:t>
      </w:r>
      <w:proofErr w:type="gramEnd"/>
      <w:r w:rsidRPr="005A7F6E">
        <w:rPr>
          <w:rFonts w:hint="eastAsia"/>
        </w:rPr>
        <w:t>企业要合理确定投资人的遴选方式。产权转让项目可采取拍卖、招投标、网络竞价等方式，增资扩股项目可采取竞价、竞争性谈判、综合评议等方式。投资人遴选过程中，对战略投资人主要关注与企业发展战略、经营目标、主营业务等方面的匹配和协同情况，对财务投资人主要关注资金实力和财务状况等。</w:t>
      </w:r>
    </w:p>
    <w:p w14:paraId="79901E5B" w14:textId="77777777" w:rsidR="005A7F6E" w:rsidRPr="005A7F6E" w:rsidRDefault="005A7F6E" w:rsidP="005A7F6E">
      <w:pPr>
        <w:pStyle w:val="13"/>
      </w:pPr>
      <w:r w:rsidRPr="005A7F6E">
        <w:rPr>
          <w:rFonts w:hint="eastAsia"/>
        </w:rPr>
        <w:t>4.重点关注事项。</w:t>
      </w:r>
    </w:p>
    <w:p w14:paraId="28E99075" w14:textId="77777777" w:rsidR="005A7F6E" w:rsidRPr="005A7F6E" w:rsidRDefault="005A7F6E" w:rsidP="005A7F6E">
      <w:pPr>
        <w:pStyle w:val="13"/>
      </w:pPr>
      <w:r w:rsidRPr="005A7F6E">
        <w:rPr>
          <w:rFonts w:hint="eastAsia"/>
        </w:rPr>
        <w:t>（1）企业增资与产权转让同步进行。企业混合所有制改革后继续保持国有控股地位的，如增资过程中国有股东拟同步转让其所持有的少部分企业产权，统一按照增资流程操作，产权转让价格应与增资价格保持一致。</w:t>
      </w:r>
    </w:p>
    <w:p w14:paraId="235794AC" w14:textId="77777777" w:rsidR="005A7F6E" w:rsidRPr="005A7F6E" w:rsidRDefault="005A7F6E" w:rsidP="005A7F6E">
      <w:pPr>
        <w:pStyle w:val="13"/>
      </w:pPr>
      <w:r w:rsidRPr="005A7F6E">
        <w:rPr>
          <w:rFonts w:hint="eastAsia"/>
        </w:rPr>
        <w:t>（2）商业秘密保护。在配合意向投资人尽职调查过程中，如涉及</w:t>
      </w:r>
      <w:proofErr w:type="gramStart"/>
      <w:r w:rsidRPr="005A7F6E">
        <w:rPr>
          <w:rFonts w:hint="eastAsia"/>
        </w:rPr>
        <w:t>拟混改</w:t>
      </w:r>
      <w:proofErr w:type="gramEnd"/>
      <w:r w:rsidRPr="005A7F6E">
        <w:rPr>
          <w:rFonts w:hint="eastAsia"/>
        </w:rPr>
        <w:t>企业商业秘密，应按照《关于印发&lt;中央企业商业秘密保护暂行规定&gt;的通知》（</w:t>
      </w:r>
      <w:proofErr w:type="gramStart"/>
      <w:r w:rsidRPr="005A7F6E">
        <w:rPr>
          <w:rFonts w:hint="eastAsia"/>
        </w:rPr>
        <w:t>国资发〔2010〕</w:t>
      </w:r>
      <w:proofErr w:type="gramEnd"/>
      <w:r w:rsidRPr="005A7F6E">
        <w:rPr>
          <w:rFonts w:hint="eastAsia"/>
        </w:rPr>
        <w:t>41号）要求，与相关方签订保密协议，保护自身权益。</w:t>
      </w:r>
    </w:p>
    <w:p w14:paraId="71EF5EDA" w14:textId="77777777" w:rsidR="005A7F6E" w:rsidRPr="005A7F6E" w:rsidRDefault="005A7F6E" w:rsidP="005A7F6E">
      <w:pPr>
        <w:pStyle w:val="13"/>
      </w:pPr>
      <w:r w:rsidRPr="005A7F6E">
        <w:rPr>
          <w:rFonts w:hint="eastAsia"/>
        </w:rPr>
        <w:t>（3）交易价格。产权转让项目首次正式挂牌底价不得低于经备案的评估结果，信息披露期满未征集到受让方拟降价的，新的挂牌底价低于评估结果90%时，应经混合所有制改革批准单位同意；交易价格确定后，交易双方不得以期间损益等理由对交易价格进行调整。增资扩股项目的交易价格以评估结果为基础，结合意向投资人的条件和报价等因素综合确定，并经企业董事会或股东会审议同意。</w:t>
      </w:r>
    </w:p>
    <w:p w14:paraId="0716BF45" w14:textId="77777777" w:rsidR="005A7F6E" w:rsidRPr="005A7F6E" w:rsidRDefault="005A7F6E" w:rsidP="005A7F6E">
      <w:pPr>
        <w:pStyle w:val="13"/>
      </w:pPr>
      <w:r w:rsidRPr="005A7F6E">
        <w:rPr>
          <w:rFonts w:hint="eastAsia"/>
        </w:rPr>
        <w:t>（三）通过股票市场实施混合所有制改革。</w:t>
      </w:r>
    </w:p>
    <w:p w14:paraId="0EB4671A" w14:textId="77777777" w:rsidR="005A7F6E" w:rsidRPr="005A7F6E" w:rsidRDefault="005A7F6E" w:rsidP="005A7F6E">
      <w:pPr>
        <w:pStyle w:val="13"/>
      </w:pPr>
      <w:r w:rsidRPr="005A7F6E">
        <w:rPr>
          <w:rFonts w:hint="eastAsia"/>
        </w:rPr>
        <w:t>通过股票市场发行证券、转让上市公司股份、国有股东与上市公司资产重组等方式实施混合所有制改革，应按照《上市公司国有股权监督管理办法》（国资委 财政部 证监会令第36号）及证券监管的有关规定履行程序。</w:t>
      </w:r>
    </w:p>
    <w:p w14:paraId="39E40A4A" w14:textId="77777777" w:rsidR="005A7F6E" w:rsidRPr="005A7F6E" w:rsidRDefault="005A7F6E" w:rsidP="005A7F6E">
      <w:pPr>
        <w:pStyle w:val="13"/>
      </w:pPr>
      <w:r w:rsidRPr="005A7F6E">
        <w:rPr>
          <w:rFonts w:hint="eastAsia"/>
        </w:rPr>
        <w:lastRenderedPageBreak/>
        <w:t>1.发行证券。通过发行证券形式实施混合所有制改革，可以采取首发上市（IPO）、国有股东以所持上市公司股票发行可交换公司债券、上市公司发行股份购买非国有股东所持股权、增发和发行可转换公司债</w:t>
      </w:r>
      <w:proofErr w:type="gramStart"/>
      <w:r w:rsidRPr="005A7F6E">
        <w:rPr>
          <w:rFonts w:hint="eastAsia"/>
        </w:rPr>
        <w:t>券</w:t>
      </w:r>
      <w:proofErr w:type="gramEnd"/>
      <w:r w:rsidRPr="005A7F6E">
        <w:rPr>
          <w:rFonts w:hint="eastAsia"/>
        </w:rPr>
        <w:t>等方式。采取首发上市（IPO）方式的，应当按照要求履行国有股东标识管理程序。符合国家战略、拥有关键核心技术、科技创新能力突出、主要依靠核心技术开展生产经营、具有稳定商业模式、市场认可度高、社会形象良好、具有较强成长性的企业，可积极申请在</w:t>
      </w:r>
      <w:proofErr w:type="gramStart"/>
      <w:r w:rsidRPr="005A7F6E">
        <w:rPr>
          <w:rFonts w:hint="eastAsia"/>
        </w:rPr>
        <w:t>科创板</w:t>
      </w:r>
      <w:proofErr w:type="gramEnd"/>
      <w:r w:rsidRPr="005A7F6E">
        <w:rPr>
          <w:rFonts w:hint="eastAsia"/>
        </w:rPr>
        <w:t>上市。</w:t>
      </w:r>
    </w:p>
    <w:p w14:paraId="7C6B9B69" w14:textId="77777777" w:rsidR="005A7F6E" w:rsidRPr="005A7F6E" w:rsidRDefault="005A7F6E" w:rsidP="005A7F6E">
      <w:pPr>
        <w:pStyle w:val="13"/>
      </w:pPr>
      <w:r w:rsidRPr="005A7F6E">
        <w:rPr>
          <w:rFonts w:hint="eastAsia"/>
        </w:rPr>
        <w:t>2.上市公司股份转让。应坚持公开、公平、公正原则，一般采取公开征集方式进行。国有股东履行内部决策程序后，书面通知上市公司，由其依法披露、进行提示性公告。国有股东将转让方案、可行性研究报告、内部决策文件、拟发布的公开征集信息等内容通过国资委产权管理综合信息系统报国资委同意后，书面通知上市公司发布公开征集信息，内容主要包括拟转让股份权属情况和数量、受让方应当具备的资格条件、受让方的选择规则、公开征集期限等。公开征集信息中对受让方资格条件不得设定指向性或违反公平竞争要求的条款。收到拟受让方提交的受让申请和受让方案后，国有股东成立由内部职能部门及独立外部专家组成的工作小组，严格按照已公告的规则选择确定受让方。转让价格不低于上市公司提示性公告日前30个交易日的每日加权平均价格的算术平均值及最近一个会计年度经审计的每股净资产值中的较高者。</w:t>
      </w:r>
    </w:p>
    <w:p w14:paraId="473605E1" w14:textId="77777777" w:rsidR="005A7F6E" w:rsidRPr="005A7F6E" w:rsidRDefault="005A7F6E" w:rsidP="005A7F6E">
      <w:pPr>
        <w:pStyle w:val="13"/>
      </w:pPr>
      <w:r w:rsidRPr="005A7F6E">
        <w:rPr>
          <w:rFonts w:hint="eastAsia"/>
        </w:rPr>
        <w:t>3.国有股东与上市公司资产重组。国有股东应按照符合国有股东发展战略及有利于提高上市公司质量和核心竞争力等原则，在与上市公司充分协商基础上，科学策划重组方案，合理选择重组时机。国有股东履行内部决策程序后，书面通知上市公司，由其依法披露并申请停牌，并按照相关规定履行国资委预审核、上市公司董事会审议预案、对外披露预案、复牌、资产评估及备案、董事会审议草案、对外披露草案、集团公司或国资委审批重组方案、股东大会审议重组方案、报送证券监管机构审核等程序。资产重组发行股份价格在符合证券监管规则基础上，按照有利于维护包括国有股东在内的全体股东权益的原则确定。</w:t>
      </w:r>
    </w:p>
    <w:p w14:paraId="7E8C5097" w14:textId="77777777" w:rsidR="005A7F6E" w:rsidRPr="005A7F6E" w:rsidRDefault="005A7F6E" w:rsidP="005A7F6E">
      <w:pPr>
        <w:pStyle w:val="13"/>
      </w:pPr>
      <w:r w:rsidRPr="005A7F6E">
        <w:rPr>
          <w:rFonts w:hint="eastAsia"/>
        </w:rPr>
        <w:t>通过股票市场实施混合所有制改革应做好信息披露工作，切实防控内幕交易，其中涉及的投资人遴选、商业秘密保护等事项按照“通过产权市场实施混合所有制改革”中明确的原则操作。</w:t>
      </w:r>
    </w:p>
    <w:p w14:paraId="67FCB879" w14:textId="77777777" w:rsidR="005A7F6E" w:rsidRPr="005A7F6E" w:rsidRDefault="005A7F6E" w:rsidP="005A7F6E">
      <w:pPr>
        <w:pStyle w:val="13"/>
        <w:ind w:firstLine="482"/>
      </w:pPr>
      <w:r w:rsidRPr="005A7F6E">
        <w:rPr>
          <w:rFonts w:hint="eastAsia"/>
          <w:b/>
          <w:bCs/>
        </w:rPr>
        <w:t>三、“改机制”相关环节操作要点</w:t>
      </w:r>
    </w:p>
    <w:p w14:paraId="653DF177" w14:textId="77777777" w:rsidR="005A7F6E" w:rsidRPr="005A7F6E" w:rsidRDefault="005A7F6E" w:rsidP="005A7F6E">
      <w:pPr>
        <w:pStyle w:val="13"/>
      </w:pPr>
      <w:r w:rsidRPr="005A7F6E">
        <w:rPr>
          <w:rFonts w:hint="eastAsia"/>
        </w:rPr>
        <w:t>（一）关于混合所有制企业公司治理和管控方式。</w:t>
      </w:r>
    </w:p>
    <w:p w14:paraId="14655792" w14:textId="77777777" w:rsidR="005A7F6E" w:rsidRPr="005A7F6E" w:rsidRDefault="005A7F6E" w:rsidP="005A7F6E">
      <w:pPr>
        <w:pStyle w:val="13"/>
      </w:pPr>
      <w:r w:rsidRPr="005A7F6E">
        <w:rPr>
          <w:rFonts w:hint="eastAsia"/>
        </w:rPr>
        <w:t>1.混合所有制企业法人治理结构。混合所有制企业要建立健全现代企业制度，坚持以资本为纽带、以产权为基础完善治理结构，根据股权结构合理设置股东（大）会、董事会、监事会，规范股东会、董事会、监事会、经理层和党组织的权责关系，按章程行权、依规则运行，形成定位清晰、权责对等、运转协调、制衡有效的法人治理结</w:t>
      </w:r>
      <w:r w:rsidRPr="005A7F6E">
        <w:rPr>
          <w:rFonts w:hint="eastAsia"/>
        </w:rPr>
        <w:lastRenderedPageBreak/>
        <w:t>构。充分发挥公司章程在公司治理中的基础性作用，国有股东根据法律法规和公司实际情况，与其他股东充分协商，合理制定章程条款，切实维护各方股东权利。充分发挥非公有资本股东的积极作用，依法确定非公有资本股东提名和委派董事、监事的规则，建立各方参与、有效制衡的董事会，促进非公有资本股东代表能够有效参与公司治理。</w:t>
      </w:r>
    </w:p>
    <w:p w14:paraId="0EDD40C0" w14:textId="77777777" w:rsidR="005A7F6E" w:rsidRPr="005A7F6E" w:rsidRDefault="005A7F6E" w:rsidP="005A7F6E">
      <w:pPr>
        <w:pStyle w:val="13"/>
      </w:pPr>
      <w:r w:rsidRPr="005A7F6E">
        <w:rPr>
          <w:rFonts w:hint="eastAsia"/>
        </w:rPr>
        <w:t>2.混合所有制企业管控方式。中央企业要科学合理界定与混合所有制企业的权责边界，避免“行政化”“机关化”管控，加快实现从“控制”到“配置”的转变。国有股东要在现代企业制度框架下按照市场化规则，以股东角色和身份参与企业决策和经营管理，不干预企业日常经营。通过股东（大）会表决、推荐董事和监事等方式行使股东权利，实施以股权关系为基础、以派出股权董事为依托的</w:t>
      </w:r>
      <w:proofErr w:type="gramStart"/>
      <w:r w:rsidRPr="005A7F6E">
        <w:rPr>
          <w:rFonts w:hint="eastAsia"/>
        </w:rPr>
        <w:t>治理型管控</w:t>
      </w:r>
      <w:proofErr w:type="gramEnd"/>
      <w:r w:rsidRPr="005A7F6E">
        <w:rPr>
          <w:rFonts w:hint="eastAsia"/>
        </w:rPr>
        <w:t>，加强股权董事履职支撑服务和监督管理，确保国有股权董事行权履职体现出资人意志。依法保障混合所有制企业自主经营权，落实董事会对经理层成员选聘、业绩考核和薪酬管理等职权。对于国有参股的混合所有制企业，结合实际健全完善管理体制、落实董事会职责权限、加强经理层成员和国有股权董事监督管理，并在公司章程中予以明确。</w:t>
      </w:r>
    </w:p>
    <w:p w14:paraId="5909CEE1" w14:textId="77777777" w:rsidR="005A7F6E" w:rsidRPr="005A7F6E" w:rsidRDefault="005A7F6E" w:rsidP="005A7F6E">
      <w:pPr>
        <w:pStyle w:val="13"/>
      </w:pPr>
      <w:r w:rsidRPr="005A7F6E">
        <w:rPr>
          <w:rFonts w:hint="eastAsia"/>
        </w:rPr>
        <w:t>3.混合所有制企业党的建设。中央企业混合所有制改革要把建立党的组织、开展党的工作作为必要前提。根据不同类型混合所有制企业特点，明确党组织的设置方式、职责定位和管理模式。按照党章及党内法规制度要求，结合实际，推动混合所有制企业党组织和工作有效覆盖，设置党的工作机构，配齐配强专兼职党务工作人员，保证必需的党建工作经费，确保党的活动能够正常开展。</w:t>
      </w:r>
    </w:p>
    <w:p w14:paraId="6852725D" w14:textId="77777777" w:rsidR="005A7F6E" w:rsidRPr="005A7F6E" w:rsidRDefault="005A7F6E" w:rsidP="005A7F6E">
      <w:pPr>
        <w:pStyle w:val="13"/>
      </w:pPr>
      <w:r w:rsidRPr="005A7F6E">
        <w:rPr>
          <w:rFonts w:hint="eastAsia"/>
        </w:rPr>
        <w:t>（二）关于三项制度改革。</w:t>
      </w:r>
    </w:p>
    <w:p w14:paraId="3DFA57D1" w14:textId="77777777" w:rsidR="005A7F6E" w:rsidRPr="005A7F6E" w:rsidRDefault="005A7F6E" w:rsidP="005A7F6E">
      <w:pPr>
        <w:pStyle w:val="13"/>
      </w:pPr>
      <w:r w:rsidRPr="005A7F6E">
        <w:rPr>
          <w:rFonts w:hint="eastAsia"/>
        </w:rPr>
        <w:t>1.建立市场化选人用人机制，实现管理人员能上能下。推动混合所有制企业在更大范围实行经理层成员任期制和契约化管理，具备条件的建立职业经理</w:t>
      </w:r>
      <w:proofErr w:type="gramStart"/>
      <w:r w:rsidRPr="005A7F6E">
        <w:rPr>
          <w:rFonts w:hint="eastAsia"/>
        </w:rPr>
        <w:t>人制</w:t>
      </w:r>
      <w:proofErr w:type="gramEnd"/>
      <w:r w:rsidRPr="005A7F6E">
        <w:rPr>
          <w:rFonts w:hint="eastAsia"/>
        </w:rPr>
        <w:t>度，积极探索建立与市场接轨的经理层激励制度。树立正确的选人用人导向，建立健全内部管理人员考核评价机制，实现“能者上、庸者下、平者让”。完善职业发展通道，为内部管理人员搭建能上能下平台。</w:t>
      </w:r>
    </w:p>
    <w:p w14:paraId="4807B455" w14:textId="77777777" w:rsidR="005A7F6E" w:rsidRPr="005A7F6E" w:rsidRDefault="005A7F6E" w:rsidP="005A7F6E">
      <w:pPr>
        <w:pStyle w:val="13"/>
      </w:pPr>
      <w:r w:rsidRPr="005A7F6E">
        <w:rPr>
          <w:rFonts w:hint="eastAsia"/>
        </w:rPr>
        <w:t>2.健全市场化用工制度，实现员工能进能出。建立健全以合同管理为核心、以岗位管理为基础的市场化用工制度。拓宽人才引进渠道，严格招聘管理，严把人员入口，不断提升引进人员质量。合理确定用工总量，盘活用工存量，畅通进出渠道，构建正常流动机制，不断提升用工效率和劳动生产率。</w:t>
      </w:r>
    </w:p>
    <w:p w14:paraId="6A9DFEB0" w14:textId="77777777" w:rsidR="005A7F6E" w:rsidRPr="005A7F6E" w:rsidRDefault="005A7F6E" w:rsidP="005A7F6E">
      <w:pPr>
        <w:pStyle w:val="13"/>
      </w:pPr>
      <w:r w:rsidRPr="005A7F6E">
        <w:rPr>
          <w:rFonts w:hint="eastAsia"/>
        </w:rPr>
        <w:t>3.建立市场化薪酬分配机制，实现收入能增能减。落实中央企业工资总额管理制度改革要求，建立健全与劳动力市场基本适应、与企业经济效益和劳动生产率挂钩的工资决定和正常增长机制。完善市场化薪酬分配制度，优化薪酬结构，坚持向关键岗位和核心骨干倾斜，坚持与绩效考核紧密挂钩，合理拉开收入分配差距，打破高水平</w:t>
      </w:r>
      <w:r w:rsidRPr="005A7F6E">
        <w:rPr>
          <w:rFonts w:hint="eastAsia"/>
        </w:rPr>
        <w:lastRenderedPageBreak/>
        <w:t>“大锅饭”。统筹推进上市公司股权激励、科技型企业股权分红、员工持股等中长期激励措施，用好用足相关政策，不断增强关键核心人才的获得感、责任感、荣誉感。</w:t>
      </w:r>
    </w:p>
    <w:p w14:paraId="4A408FA9" w14:textId="77777777" w:rsidR="005A7F6E" w:rsidRPr="005A7F6E" w:rsidRDefault="005A7F6E" w:rsidP="005A7F6E">
      <w:pPr>
        <w:pStyle w:val="13"/>
      </w:pPr>
      <w:r w:rsidRPr="005A7F6E">
        <w:rPr>
          <w:rFonts w:hint="eastAsia"/>
        </w:rPr>
        <w:t>（三）关于激励约束机制。</w:t>
      </w:r>
    </w:p>
    <w:p w14:paraId="29D42B8D" w14:textId="77777777" w:rsidR="005A7F6E" w:rsidRPr="005A7F6E" w:rsidRDefault="005A7F6E" w:rsidP="005A7F6E">
      <w:pPr>
        <w:pStyle w:val="13"/>
      </w:pPr>
      <w:r w:rsidRPr="005A7F6E">
        <w:rPr>
          <w:rFonts w:hint="eastAsia"/>
        </w:rPr>
        <w:t>鼓励混合所有制企业综合运用国有控股混合所有制企业员工持股、国有控股上市公司股权激励、国有科技型企业股权和分红激励等中长期激励政策，探索超额利润分享、项目跟投、虚拟股权等中长期激励方式，注重发挥好非物质激励的积极作用，系统提升正向激励的综合效果。</w:t>
      </w:r>
    </w:p>
    <w:p w14:paraId="4B977BF1" w14:textId="77777777" w:rsidR="005A7F6E" w:rsidRPr="005A7F6E" w:rsidRDefault="005A7F6E" w:rsidP="005A7F6E">
      <w:pPr>
        <w:pStyle w:val="13"/>
      </w:pPr>
      <w:r w:rsidRPr="005A7F6E">
        <w:rPr>
          <w:rFonts w:hint="eastAsia"/>
        </w:rPr>
        <w:t>1.混合所有制企业员工持股。员工持股应按照《关于印发&lt;关于国有控股混合所有制企业开展员工持股试点的意见&gt;的通知》（国</w:t>
      </w:r>
      <w:proofErr w:type="gramStart"/>
      <w:r w:rsidRPr="005A7F6E">
        <w:rPr>
          <w:rFonts w:hint="eastAsia"/>
        </w:rPr>
        <w:t>资发改革</w:t>
      </w:r>
      <w:proofErr w:type="gramEnd"/>
      <w:r w:rsidRPr="005A7F6E">
        <w:rPr>
          <w:rFonts w:hint="eastAsia"/>
        </w:rPr>
        <w:t>〔2016〕133号）稳慎开展。坚持依法合</w:t>
      </w:r>
      <w:proofErr w:type="gramStart"/>
      <w:r w:rsidRPr="005A7F6E">
        <w:rPr>
          <w:rFonts w:hint="eastAsia"/>
        </w:rPr>
        <w:t>规</w:t>
      </w:r>
      <w:proofErr w:type="gramEnd"/>
      <w:r w:rsidRPr="005A7F6E">
        <w:rPr>
          <w:rFonts w:hint="eastAsia"/>
        </w:rPr>
        <w:t>、公开透明，增量引入、利益绑定，</w:t>
      </w:r>
      <w:proofErr w:type="gramStart"/>
      <w:r w:rsidRPr="005A7F6E">
        <w:rPr>
          <w:rFonts w:hint="eastAsia"/>
        </w:rPr>
        <w:t>以岗定股</w:t>
      </w:r>
      <w:proofErr w:type="gramEnd"/>
      <w:r w:rsidRPr="005A7F6E">
        <w:rPr>
          <w:rFonts w:hint="eastAsia"/>
        </w:rPr>
        <w:t>、动态调整，严控范围、强化监督等原则。优先支持人才资本和技术要素贡献</w:t>
      </w:r>
      <w:proofErr w:type="gramStart"/>
      <w:r w:rsidRPr="005A7F6E">
        <w:rPr>
          <w:rFonts w:hint="eastAsia"/>
        </w:rPr>
        <w:t>占比较</w:t>
      </w:r>
      <w:proofErr w:type="gramEnd"/>
      <w:r w:rsidRPr="005A7F6E">
        <w:rPr>
          <w:rFonts w:hint="eastAsia"/>
        </w:rPr>
        <w:t>高的科技型企业开展员工持股。员工持股企业应当具备以下条件：主业处于充分竞争行业和领域的商业类企业；股权结构合理，非公有资本股东所</w:t>
      </w:r>
      <w:proofErr w:type="gramStart"/>
      <w:r w:rsidRPr="005A7F6E">
        <w:rPr>
          <w:rFonts w:hint="eastAsia"/>
        </w:rPr>
        <w:t>持股份应达到</w:t>
      </w:r>
      <w:proofErr w:type="gramEnd"/>
      <w:r w:rsidRPr="005A7F6E">
        <w:rPr>
          <w:rFonts w:hint="eastAsia"/>
        </w:rPr>
        <w:t>一定比例，公司董事会中有非公有资本股东推荐的董事；公司治理结构健全，建立市场化的劳动人事分配制度和业绩考核评价体系，形成管理人员能上能下、员工能进能出、收入能增能减的市场化机制，营业收入和利润90%以上来源于所在企业集团外部市场。员工持股总量原则上不高于公司总股本的30%，单一员工持股比例原则上不高于公司总股本的1%。</w:t>
      </w:r>
    </w:p>
    <w:p w14:paraId="0D7A9D7A" w14:textId="77777777" w:rsidR="005A7F6E" w:rsidRPr="005A7F6E" w:rsidRDefault="005A7F6E" w:rsidP="005A7F6E">
      <w:pPr>
        <w:pStyle w:val="13"/>
      </w:pPr>
      <w:r w:rsidRPr="005A7F6E">
        <w:rPr>
          <w:rFonts w:hint="eastAsia"/>
        </w:rPr>
        <w:t>2.中央企业控股上市公司股权激励。中央企业控股上市公司应按照证监会和国资委有关规定规范实施股权激励，建立健全长效激励约束机制，充分调动核心骨干人才创新创业的积极性。股权激励对象要聚焦核心骨干人才队伍，结合企业高质量发展需要、行业竞争特点、关键岗位职责、绩效考核评价等因素综合确定。股权激励方式一般为股票期权、股票增值权、限制性股票等方式，也可以探索试行法律、行政法规允许的其他激励方式。中小市值上市公司及科技创新型上市公司，首次实施股权激励计划授予的权益数量占公司股本总额的比重，最高可以由1%上浮至3%。上市公司两个完整会计年度内累计授予的权益数量一般在公司总股本的3%以内，公司重大战略转型等特殊需要的可以适当放宽至总股本的5%以内。股权激励对象实际获得的收益不再设置调控上限。中央企业控股上市公司根据有关政策规定，制定股权激励计划，在股东大会审议之前，国有控股股东按照公司治理和股权关系，经中央企业审核同意，并报国资委批准。除主营业务整体上市公司外，国资委不再审核上市公司股权激励分期实施方案，上市公司依据股权激励计划制定的分期实施方案，国有控股股东应当在董事会审议决定前，报中央企业审核同意。</w:t>
      </w:r>
    </w:p>
    <w:p w14:paraId="33F80B64" w14:textId="77777777" w:rsidR="005A7F6E" w:rsidRPr="005A7F6E" w:rsidRDefault="005A7F6E" w:rsidP="005A7F6E">
      <w:pPr>
        <w:pStyle w:val="13"/>
      </w:pPr>
      <w:r w:rsidRPr="005A7F6E">
        <w:rPr>
          <w:rFonts w:hint="eastAsia"/>
        </w:rPr>
        <w:t>3.国有科技型企业股权和分红激励。鼓励符合条件的国有科技型企业按照国家相关规定，实施股权和分红激励，充分调动科研骨干和关键人才的积极性和创造性。明确激励政策导向，以推动形成有利于自主创新和科技成果转化的激励机制为主要</w:t>
      </w:r>
      <w:r w:rsidRPr="005A7F6E">
        <w:rPr>
          <w:rFonts w:hint="eastAsia"/>
        </w:rPr>
        <w:lastRenderedPageBreak/>
        <w:t>目标，根据科技人才资本和技术要素贡献占比及投入产出效率等情况，合理确定实施企业范围和激励对象，建立导向清晰、层次分明、重点突出的中长期激励体系。优先支持符合《“十三五”国家科技创新规划》战略布局和中央企业“十三五”科技创新重点研发方向，创新能力较强、成果技术水平较高、市场前景较好的企业或项目实施股权和分红激励。综合考虑职工岗位价值、实际贡献、承担风险和服务年限等因素，重点激励在自主创新和科技成果转化中发挥主要作用的关键核心技术、管理人员。科学选择激励方式，鼓励符合条件的企业优先开展岗位分红激励，科技成果转化和项目收支明确的企业可选择项目分红激励，在积累试点经验的基础上稳妥实施、逐步推进股权激励。合理确定总体激励水平，从经营发展战略以及自身经济效益状况出发，分类分步推进股权和分红激励工作，坚持效益导向和增量激励原则，根据企业人工成本承受能力和经营业绩状况，合理确定激励水平。规范制度执行，中央企业开展股权和分红激励要按照《关于印发&lt;国有科技型企业股权和分红激励暂行办法&gt;的通知》（财资〔2016〕4号）等有关规定，不得随意降低资格条件。</w:t>
      </w:r>
    </w:p>
    <w:p w14:paraId="4DD9CC66" w14:textId="77777777" w:rsidR="005A7F6E" w:rsidRPr="005A7F6E" w:rsidRDefault="005A7F6E" w:rsidP="005A7F6E">
      <w:pPr>
        <w:pStyle w:val="13"/>
        <w:ind w:firstLine="482"/>
      </w:pPr>
      <w:r w:rsidRPr="005A7F6E">
        <w:rPr>
          <w:rFonts w:hint="eastAsia"/>
          <w:b/>
          <w:bCs/>
        </w:rPr>
        <w:t>四、相关支持政策</w:t>
      </w:r>
    </w:p>
    <w:p w14:paraId="3783536D" w14:textId="77777777" w:rsidR="005A7F6E" w:rsidRPr="005A7F6E" w:rsidRDefault="005A7F6E" w:rsidP="005A7F6E">
      <w:pPr>
        <w:pStyle w:val="13"/>
      </w:pPr>
      <w:r w:rsidRPr="005A7F6E">
        <w:rPr>
          <w:rFonts w:hint="eastAsia"/>
        </w:rPr>
        <w:t>（一）关于财税支持政策。</w:t>
      </w:r>
    </w:p>
    <w:p w14:paraId="4424456E" w14:textId="77777777" w:rsidR="005A7F6E" w:rsidRPr="005A7F6E" w:rsidRDefault="005A7F6E" w:rsidP="005A7F6E">
      <w:pPr>
        <w:pStyle w:val="13"/>
      </w:pPr>
      <w:r w:rsidRPr="005A7F6E">
        <w:rPr>
          <w:rFonts w:hint="eastAsia"/>
        </w:rPr>
        <w:t>发展改革委、国资委会同有关部门共同制定出台了《关于深化混合所有制改革试点若干政策的意见》（</w:t>
      </w:r>
      <w:proofErr w:type="gramStart"/>
      <w:r w:rsidRPr="005A7F6E">
        <w:rPr>
          <w:rFonts w:hint="eastAsia"/>
        </w:rPr>
        <w:t>发改经</w:t>
      </w:r>
      <w:proofErr w:type="gramEnd"/>
      <w:r w:rsidRPr="005A7F6E">
        <w:rPr>
          <w:rFonts w:hint="eastAsia"/>
        </w:rPr>
        <w:t>体〔2017〕2057号）、《国家发展改革委办公厅关于印发＜国有企业混合所有制改革相关税收政策文件汇编＞的通知》（发改办经体〔2018〕947号），对混合所有制改革过程中符合税法规定条件的有关情形，可享受相应的财税政策支持，主要包括：股权（资产）收购、合并、分立、债务重组、债转股等，可享受企业所得税递延纳税优惠政策；涉及以非货币性资产对外投资确认的非货币性资产转让所得，可享受5年内分期缴纳企业所得税政策；符合税法规定条件的债权损失在计算企业所得税应纳税所得额时扣除；通过合并、分立、出售、置换等方式，将全部或者部分实物资产以及与其相关联的债权、负债和劳动力，一并转让给其他单位和个人，其中涉及的货物、不动产、土地使用权转让，不征收增值税、营业税；符合条件的股权收购、资产收购、按账面净值划转股权或资产等，可适用特殊性税务处理政策；混合所有制改革涉及的土地增值税、契税、印花税，可享受相关优惠政策。</w:t>
      </w:r>
    </w:p>
    <w:p w14:paraId="3E8855B7" w14:textId="77777777" w:rsidR="005A7F6E" w:rsidRPr="005A7F6E" w:rsidRDefault="005A7F6E" w:rsidP="005A7F6E">
      <w:pPr>
        <w:pStyle w:val="13"/>
      </w:pPr>
      <w:r w:rsidRPr="005A7F6E">
        <w:rPr>
          <w:rFonts w:hint="eastAsia"/>
        </w:rPr>
        <w:t>（二）关于土地处置支持政策。</w:t>
      </w:r>
    </w:p>
    <w:p w14:paraId="0F4D35A2" w14:textId="77777777" w:rsidR="005A7F6E" w:rsidRPr="005A7F6E" w:rsidRDefault="005A7F6E" w:rsidP="005A7F6E">
      <w:pPr>
        <w:pStyle w:val="13"/>
      </w:pPr>
      <w:r w:rsidRPr="005A7F6E">
        <w:rPr>
          <w:rFonts w:hint="eastAsia"/>
        </w:rPr>
        <w:t>企业推进混合所有制改革过程中涉及的土地处置事项，按照《国务院关于促进企业兼并重组的意见》（国发〔2010〕27号）、《国务院关于进一步优化企业兼并重组市场环境的意见》（国发〔2014〕14号）、《国务院关于全民所有自然资源资产有偿使用制度改革的指导意见》（国发〔2016〕82号）等相关规定办理，主管部门对</w:t>
      </w:r>
      <w:proofErr w:type="gramStart"/>
      <w:r w:rsidRPr="005A7F6E">
        <w:rPr>
          <w:rFonts w:hint="eastAsia"/>
        </w:rPr>
        <w:t>拟混改</w:t>
      </w:r>
      <w:proofErr w:type="gramEnd"/>
      <w:r w:rsidRPr="005A7F6E">
        <w:rPr>
          <w:rFonts w:hint="eastAsia"/>
        </w:rPr>
        <w:t>企业提出的土地转让、改变用途等申请，将依法依规加快办理相关用地和规划手续。</w:t>
      </w:r>
      <w:proofErr w:type="gramStart"/>
      <w:r w:rsidRPr="005A7F6E">
        <w:rPr>
          <w:rFonts w:hint="eastAsia"/>
        </w:rPr>
        <w:t>拟混改</w:t>
      </w:r>
      <w:proofErr w:type="gramEnd"/>
      <w:r w:rsidRPr="005A7F6E">
        <w:rPr>
          <w:rFonts w:hint="eastAsia"/>
        </w:rPr>
        <w:t>企业拥有国有划拨土地使用权的，经主管部门批准，可根据行业和改革需要，分</w:t>
      </w:r>
      <w:r w:rsidRPr="005A7F6E">
        <w:rPr>
          <w:rFonts w:hint="eastAsia"/>
        </w:rPr>
        <w:lastRenderedPageBreak/>
        <w:t>别采取出让、租赁、国家作价出资（入股）、授权经营和保留规划用地等方式进行处置；重点产业调整和振兴规划确定的混合所有制改革事项涉及的国有划拨土地使用权，经省级以上主管部门批准，可以国家作价出资（入股）方式处置；涉及因实施城市规划需要搬迁的工业项目，经主管部门审核批准，可收回原国有土地使用权，并以协议出让或租赁方式为原土地使用权人重新安排工业用地；涉及事业单位等改制为企业的，允许实行国有企业改制土地资产处置政策。</w:t>
      </w:r>
    </w:p>
    <w:p w14:paraId="200F4DC3" w14:textId="77777777" w:rsidR="005A7F6E" w:rsidRPr="005A7F6E" w:rsidRDefault="005A7F6E" w:rsidP="005A7F6E">
      <w:pPr>
        <w:pStyle w:val="13"/>
      </w:pPr>
      <w:r w:rsidRPr="005A7F6E">
        <w:rPr>
          <w:rFonts w:hint="eastAsia"/>
        </w:rPr>
        <w:t>混合所有制改革具有较强探索性和挑战性，涉及面广、政策性强、影响广泛、社会关注度高。中央企业要坚持解放思想、实事求是，积极稳妥统筹推进，鼓励探索、勇于实践，建立健全容错纠错机制，宽容在改革创新中的失误。要坚持依法合</w:t>
      </w:r>
      <w:proofErr w:type="gramStart"/>
      <w:r w:rsidRPr="005A7F6E">
        <w:rPr>
          <w:rFonts w:hint="eastAsia"/>
        </w:rPr>
        <w:t>规</w:t>
      </w:r>
      <w:proofErr w:type="gramEnd"/>
      <w:r w:rsidRPr="005A7F6E">
        <w:rPr>
          <w:rFonts w:hint="eastAsia"/>
        </w:rPr>
        <w:t>操作，注重发挥内外部监督合力，做到规则公开、过程公开、结果公开，防止暗箱操作、低价贱卖、利益输送、化公为私、逃废债务，杜绝国有资产流失。要及时跟踪改革进展，评估改革成效，推广改革经验，加快形成可复制、可推广的模式和经验。</w:t>
      </w:r>
    </w:p>
    <w:p w14:paraId="2F223218" w14:textId="14D8DE0E" w:rsidR="002D34B5" w:rsidRPr="005A7F6E" w:rsidRDefault="00360377" w:rsidP="00360377">
      <w:pPr>
        <w:pStyle w:val="21"/>
        <w:spacing w:before="156" w:after="93"/>
      </w:pPr>
      <w:bookmarkStart w:id="232" w:name="_Toc81833465"/>
      <w:r w:rsidRPr="00360377">
        <w:rPr>
          <w:rFonts w:hint="eastAsia"/>
        </w:rPr>
        <w:t>金融国有企业资产评估管理</w:t>
      </w:r>
      <w:bookmarkEnd w:id="232"/>
    </w:p>
    <w:p w14:paraId="6DC582E6" w14:textId="70552B30" w:rsidR="002D34B5" w:rsidRDefault="00360377" w:rsidP="00360377">
      <w:pPr>
        <w:pStyle w:val="31"/>
        <w:spacing w:before="156" w:after="62"/>
      </w:pPr>
      <w:bookmarkStart w:id="233" w:name="_Toc81833466"/>
      <w:r w:rsidRPr="00360377">
        <w:rPr>
          <w:rFonts w:hint="eastAsia"/>
        </w:rPr>
        <w:t>《金融企业国有资产评估监督管理暂行办法》（财政部第</w:t>
      </w:r>
      <w:r w:rsidRPr="00360377">
        <w:t>47号令）</w:t>
      </w:r>
      <w:bookmarkEnd w:id="233"/>
    </w:p>
    <w:p w14:paraId="32655880" w14:textId="77777777" w:rsidR="00360377" w:rsidRDefault="00360377" w:rsidP="00360377">
      <w:pPr>
        <w:pStyle w:val="13"/>
      </w:pPr>
      <w:r>
        <w:rPr>
          <w:rFonts w:hint="eastAsia"/>
        </w:rPr>
        <w:t>《金融企业国有资产评估监督管理暂行办法》已经部</w:t>
      </w:r>
      <w:proofErr w:type="gramStart"/>
      <w:r>
        <w:rPr>
          <w:rFonts w:hint="eastAsia"/>
        </w:rPr>
        <w:t>务</w:t>
      </w:r>
      <w:proofErr w:type="gramEnd"/>
      <w:r>
        <w:rPr>
          <w:rFonts w:hint="eastAsia"/>
        </w:rPr>
        <w:t>会议审议通过，现予公布，自</w:t>
      </w:r>
      <w:r>
        <w:t>2008年1月1日起施行。</w:t>
      </w:r>
    </w:p>
    <w:p w14:paraId="7500EF67" w14:textId="536418B1" w:rsidR="00360377" w:rsidRDefault="00360377" w:rsidP="00360377">
      <w:pPr>
        <w:pStyle w:val="13"/>
        <w:jc w:val="right"/>
      </w:pPr>
      <w:r>
        <w:rPr>
          <w:rFonts w:hint="eastAsia"/>
        </w:rPr>
        <w:t>部长</w:t>
      </w:r>
      <w:r>
        <w:t xml:space="preserve"> 谢旭人</w:t>
      </w:r>
    </w:p>
    <w:p w14:paraId="023C9DF9" w14:textId="59CC6779" w:rsidR="002D34B5" w:rsidRDefault="00360377" w:rsidP="00360377">
      <w:pPr>
        <w:pStyle w:val="13"/>
        <w:jc w:val="right"/>
      </w:pPr>
      <w:r>
        <w:rPr>
          <w:rFonts w:hint="eastAsia"/>
        </w:rPr>
        <w:t>二〇〇七年十月十二日</w:t>
      </w:r>
    </w:p>
    <w:p w14:paraId="5AB7B59B" w14:textId="77777777" w:rsidR="00360377" w:rsidRDefault="00360377" w:rsidP="00AF7342">
      <w:pPr>
        <w:pStyle w:val="a9"/>
        <w:spacing w:before="62" w:after="62"/>
      </w:pPr>
      <w:r>
        <w:rPr>
          <w:rFonts w:hint="eastAsia"/>
        </w:rPr>
        <w:t>金融企业国有资产评估监督管理暂行办法</w:t>
      </w:r>
    </w:p>
    <w:p w14:paraId="397F5368" w14:textId="1BA13467" w:rsidR="00360377" w:rsidRDefault="00360377" w:rsidP="00AF7342">
      <w:pPr>
        <w:pStyle w:val="a9"/>
        <w:spacing w:before="62" w:after="62"/>
      </w:pPr>
      <w:r>
        <w:rPr>
          <w:rFonts w:hint="eastAsia"/>
        </w:rPr>
        <w:t>第一章 总则</w:t>
      </w:r>
    </w:p>
    <w:p w14:paraId="3E18701C" w14:textId="38144904" w:rsidR="00360377" w:rsidRDefault="004E3EBB" w:rsidP="00360377">
      <w:pPr>
        <w:pStyle w:val="13"/>
        <w:ind w:firstLine="482"/>
      </w:pPr>
      <w:r w:rsidRPr="004E3EBB">
        <w:rPr>
          <w:rFonts w:hint="eastAsia"/>
          <w:b/>
        </w:rPr>
        <w:t xml:space="preserve">第一条 </w:t>
      </w:r>
      <w:r w:rsidR="00360377">
        <w:rPr>
          <w:rFonts w:hint="eastAsia"/>
        </w:rPr>
        <w:t>为了加强对金融企业国有资产评估的监督管理，规范金融企业国有资产评估行为，维护国有资产所有者合法权益，根据有关法律、行政法规和国务院相关规定，制定本办法。</w:t>
      </w:r>
    </w:p>
    <w:p w14:paraId="4A91A96E" w14:textId="6A1B5DAB" w:rsidR="00360377" w:rsidRDefault="004E3EBB" w:rsidP="00360377">
      <w:pPr>
        <w:pStyle w:val="13"/>
        <w:ind w:firstLine="482"/>
      </w:pPr>
      <w:r w:rsidRPr="004E3EBB">
        <w:rPr>
          <w:rFonts w:hint="eastAsia"/>
          <w:b/>
        </w:rPr>
        <w:t xml:space="preserve">第二条 </w:t>
      </w:r>
      <w:r w:rsidR="00360377">
        <w:rPr>
          <w:rFonts w:hint="eastAsia"/>
        </w:rPr>
        <w:t>在中华人民共和国境内依法设立，并占有国有资产的金融企业、金融控股公司、担保公司（以下简称金融企业）的资产评估，适用本办法。</w:t>
      </w:r>
    </w:p>
    <w:p w14:paraId="511DB0D5" w14:textId="33127A86" w:rsidR="00360377" w:rsidRDefault="00360377" w:rsidP="00360377">
      <w:pPr>
        <w:pStyle w:val="13"/>
      </w:pPr>
      <w:r>
        <w:rPr>
          <w:rFonts w:hint="eastAsia"/>
        </w:rPr>
        <w:t>金融资产管理公司不良资产处置评估另有规定的从其规定。</w:t>
      </w:r>
    </w:p>
    <w:p w14:paraId="7B15CD57" w14:textId="3F1BAE69" w:rsidR="00360377" w:rsidRDefault="004E3EBB" w:rsidP="00360377">
      <w:pPr>
        <w:pStyle w:val="13"/>
        <w:ind w:firstLine="482"/>
      </w:pPr>
      <w:r w:rsidRPr="004E3EBB">
        <w:rPr>
          <w:rFonts w:hint="eastAsia"/>
          <w:b/>
        </w:rPr>
        <w:t xml:space="preserve">第三条 </w:t>
      </w:r>
      <w:r w:rsidR="00360377">
        <w:rPr>
          <w:rFonts w:hint="eastAsia"/>
        </w:rPr>
        <w:t>县级以上人民政府财政部门（以下简称财政部门）按照统一政策、分级管理的原则，对本级金融企业资产评估工作进行监督管理。</w:t>
      </w:r>
    </w:p>
    <w:p w14:paraId="0E738D60" w14:textId="1C414887" w:rsidR="00360377" w:rsidRDefault="00360377" w:rsidP="00360377">
      <w:pPr>
        <w:pStyle w:val="13"/>
      </w:pPr>
      <w:r>
        <w:rPr>
          <w:rFonts w:hint="eastAsia"/>
        </w:rPr>
        <w:t>上级财政部门对下级财政部门监督管理金融企业资产评估工作进行指导和监督。</w:t>
      </w:r>
    </w:p>
    <w:p w14:paraId="02035EA4" w14:textId="5337DBF5" w:rsidR="00360377" w:rsidRDefault="004E3EBB" w:rsidP="00360377">
      <w:pPr>
        <w:pStyle w:val="13"/>
        <w:ind w:firstLine="482"/>
      </w:pPr>
      <w:r w:rsidRPr="004E3EBB">
        <w:rPr>
          <w:rFonts w:hint="eastAsia"/>
          <w:b/>
        </w:rPr>
        <w:t xml:space="preserve">第四条 </w:t>
      </w:r>
      <w:r w:rsidR="00360377">
        <w:rPr>
          <w:rFonts w:hint="eastAsia"/>
        </w:rPr>
        <w:t>资产评估机构进行资产评估应当遵守有关法律、法规、部门规章，以及资产评估准则和执业规范，对评估报告的合法性、真实性和合理性负责，并承担责任。</w:t>
      </w:r>
    </w:p>
    <w:p w14:paraId="565266FC" w14:textId="7347B8D0" w:rsidR="00360377" w:rsidRDefault="00360377" w:rsidP="00360377">
      <w:pPr>
        <w:pStyle w:val="13"/>
      </w:pPr>
      <w:r>
        <w:rPr>
          <w:rFonts w:hint="eastAsia"/>
        </w:rPr>
        <w:t>资产评估委托方和提供资料的相关当事方，应当对所提供资料的真实性、合法性</w:t>
      </w:r>
      <w:r>
        <w:rPr>
          <w:rFonts w:hint="eastAsia"/>
        </w:rPr>
        <w:lastRenderedPageBreak/>
        <w:t>和完整性负责。</w:t>
      </w:r>
    </w:p>
    <w:p w14:paraId="3245AE3D" w14:textId="0CD0BC6F" w:rsidR="00360377" w:rsidRDefault="004E3EBB" w:rsidP="00360377">
      <w:pPr>
        <w:pStyle w:val="13"/>
        <w:ind w:firstLine="482"/>
      </w:pPr>
      <w:r w:rsidRPr="004E3EBB">
        <w:rPr>
          <w:rFonts w:hint="eastAsia"/>
          <w:b/>
        </w:rPr>
        <w:t xml:space="preserve">第五条 </w:t>
      </w:r>
      <w:r w:rsidR="00360377">
        <w:rPr>
          <w:rFonts w:hint="eastAsia"/>
        </w:rPr>
        <w:t>金融企业不得委托同一中介机构对同一经济行为进行资产评估、审计、会计业务服务。金融企业有关负责人与中介机构存在可能影响公正执业的利害关系时，应当予以回避。</w:t>
      </w:r>
    </w:p>
    <w:p w14:paraId="6DD364BE" w14:textId="558439CF" w:rsidR="00360377" w:rsidRDefault="00360377" w:rsidP="00AF7342">
      <w:pPr>
        <w:pStyle w:val="a9"/>
        <w:spacing w:before="62" w:after="62"/>
      </w:pPr>
      <w:r>
        <w:rPr>
          <w:rFonts w:hint="eastAsia"/>
        </w:rPr>
        <w:t>第二章评估事项</w:t>
      </w:r>
    </w:p>
    <w:p w14:paraId="096E35DF" w14:textId="18E7DFE8" w:rsidR="00360377" w:rsidRDefault="004E3EBB" w:rsidP="00360377">
      <w:pPr>
        <w:pStyle w:val="13"/>
        <w:ind w:firstLine="482"/>
      </w:pPr>
      <w:r w:rsidRPr="004E3EBB">
        <w:rPr>
          <w:rFonts w:hint="eastAsia"/>
          <w:b/>
        </w:rPr>
        <w:t xml:space="preserve">第六条 </w:t>
      </w:r>
      <w:r w:rsidR="00360377">
        <w:rPr>
          <w:rFonts w:hint="eastAsia"/>
        </w:rPr>
        <w:t>金融企业有下列情形之一的，应当委托资产评估机构进行资产评估：</w:t>
      </w:r>
    </w:p>
    <w:p w14:paraId="64156841" w14:textId="23C2BAEA" w:rsidR="00360377" w:rsidRDefault="00360377" w:rsidP="00360377">
      <w:pPr>
        <w:pStyle w:val="13"/>
      </w:pPr>
      <w:r>
        <w:rPr>
          <w:rFonts w:hint="eastAsia"/>
        </w:rPr>
        <w:t>（一）整体或者部分改制为有限责任公司或者股份有限公司的；</w:t>
      </w:r>
    </w:p>
    <w:p w14:paraId="244D60F4" w14:textId="00895849" w:rsidR="00360377" w:rsidRDefault="00360377" w:rsidP="00360377">
      <w:pPr>
        <w:pStyle w:val="13"/>
      </w:pPr>
      <w:r>
        <w:rPr>
          <w:rFonts w:hint="eastAsia"/>
        </w:rPr>
        <w:t>（二）以非货币性资产对外投资的；</w:t>
      </w:r>
    </w:p>
    <w:p w14:paraId="478D343A" w14:textId="300CA19E" w:rsidR="00360377" w:rsidRDefault="00360377" w:rsidP="00360377">
      <w:pPr>
        <w:pStyle w:val="13"/>
      </w:pPr>
      <w:r>
        <w:rPr>
          <w:rFonts w:hint="eastAsia"/>
        </w:rPr>
        <w:t>（三）合并、分立、清算的；</w:t>
      </w:r>
    </w:p>
    <w:p w14:paraId="0F1968C5" w14:textId="6FA0ED9C" w:rsidR="00360377" w:rsidRDefault="00360377" w:rsidP="00360377">
      <w:pPr>
        <w:pStyle w:val="13"/>
      </w:pPr>
      <w:r>
        <w:rPr>
          <w:rFonts w:hint="eastAsia"/>
        </w:rPr>
        <w:t>（四）非上市金融企业国有股东股权比例变动的；</w:t>
      </w:r>
    </w:p>
    <w:p w14:paraId="5CD4FCEB" w14:textId="0BC85C65" w:rsidR="00360377" w:rsidRDefault="00360377" w:rsidP="00360377">
      <w:pPr>
        <w:pStyle w:val="13"/>
      </w:pPr>
      <w:r>
        <w:rPr>
          <w:rFonts w:hint="eastAsia"/>
        </w:rPr>
        <w:t>（五）产权转让的；</w:t>
      </w:r>
    </w:p>
    <w:p w14:paraId="71F7BBC7" w14:textId="208D3AFA" w:rsidR="00360377" w:rsidRDefault="00360377" w:rsidP="00360377">
      <w:pPr>
        <w:pStyle w:val="13"/>
      </w:pPr>
      <w:r>
        <w:rPr>
          <w:rFonts w:hint="eastAsia"/>
        </w:rPr>
        <w:t>（六）资产转让、置换、拍卖的；</w:t>
      </w:r>
    </w:p>
    <w:p w14:paraId="47EBBD86" w14:textId="651C49B5" w:rsidR="00360377" w:rsidRDefault="00360377" w:rsidP="00360377">
      <w:pPr>
        <w:pStyle w:val="13"/>
      </w:pPr>
      <w:r>
        <w:rPr>
          <w:rFonts w:hint="eastAsia"/>
        </w:rPr>
        <w:t>（七）债权转股权的；</w:t>
      </w:r>
    </w:p>
    <w:p w14:paraId="39D29DD0" w14:textId="09448A23" w:rsidR="00360377" w:rsidRDefault="00360377" w:rsidP="00360377">
      <w:pPr>
        <w:pStyle w:val="13"/>
      </w:pPr>
      <w:r>
        <w:rPr>
          <w:rFonts w:hint="eastAsia"/>
        </w:rPr>
        <w:t>（八）债务重组的；</w:t>
      </w:r>
    </w:p>
    <w:p w14:paraId="5FFD1020" w14:textId="25740AFA" w:rsidR="00360377" w:rsidRDefault="00360377" w:rsidP="00360377">
      <w:pPr>
        <w:pStyle w:val="13"/>
      </w:pPr>
      <w:r>
        <w:rPr>
          <w:rFonts w:hint="eastAsia"/>
        </w:rPr>
        <w:t>（九）接受非货币性资产抵押或者质押的；</w:t>
      </w:r>
    </w:p>
    <w:p w14:paraId="0A60741E" w14:textId="6FD5DD61" w:rsidR="00360377" w:rsidRDefault="00360377" w:rsidP="00360377">
      <w:pPr>
        <w:pStyle w:val="13"/>
      </w:pPr>
      <w:r>
        <w:rPr>
          <w:rFonts w:hint="eastAsia"/>
        </w:rPr>
        <w:t>（十）处置不良资产的；</w:t>
      </w:r>
    </w:p>
    <w:p w14:paraId="31536A3B" w14:textId="7A9AB3CB" w:rsidR="00360377" w:rsidRDefault="00360377" w:rsidP="00360377">
      <w:pPr>
        <w:pStyle w:val="13"/>
      </w:pPr>
      <w:r>
        <w:rPr>
          <w:rFonts w:hint="eastAsia"/>
        </w:rPr>
        <w:t>（十一）以非货币性资产抵债或者接受抵债的；</w:t>
      </w:r>
    </w:p>
    <w:p w14:paraId="681F3046" w14:textId="1BF05FC5" w:rsidR="00360377" w:rsidRDefault="00360377" w:rsidP="00360377">
      <w:pPr>
        <w:pStyle w:val="13"/>
      </w:pPr>
      <w:r>
        <w:rPr>
          <w:rFonts w:hint="eastAsia"/>
        </w:rPr>
        <w:t>（十二）收购非国有单位资产的；</w:t>
      </w:r>
    </w:p>
    <w:p w14:paraId="0F8BDB47" w14:textId="6F96C721" w:rsidR="00360377" w:rsidRDefault="00360377" w:rsidP="00360377">
      <w:pPr>
        <w:pStyle w:val="13"/>
      </w:pPr>
      <w:r>
        <w:rPr>
          <w:rFonts w:hint="eastAsia"/>
        </w:rPr>
        <w:t>（十三）接受非国有单位以非货币性资产出资的；</w:t>
      </w:r>
    </w:p>
    <w:p w14:paraId="0367F136" w14:textId="06623088" w:rsidR="00360377" w:rsidRDefault="00360377" w:rsidP="00360377">
      <w:pPr>
        <w:pStyle w:val="13"/>
      </w:pPr>
      <w:r>
        <w:rPr>
          <w:rFonts w:hint="eastAsia"/>
        </w:rPr>
        <w:t>（十四）确定涉讼资产价值的；</w:t>
      </w:r>
    </w:p>
    <w:p w14:paraId="459D63DB" w14:textId="7FEC887A" w:rsidR="00360377" w:rsidRDefault="00360377" w:rsidP="00360377">
      <w:pPr>
        <w:pStyle w:val="13"/>
      </w:pPr>
      <w:r>
        <w:rPr>
          <w:rFonts w:hint="eastAsia"/>
        </w:rPr>
        <w:t>（十五）法律、行政法规规定的应当进行评估的其他情形。</w:t>
      </w:r>
    </w:p>
    <w:p w14:paraId="420CAE16" w14:textId="477BAA70" w:rsidR="00360377" w:rsidRDefault="004E3EBB" w:rsidP="00360377">
      <w:pPr>
        <w:pStyle w:val="13"/>
        <w:ind w:firstLine="482"/>
      </w:pPr>
      <w:r w:rsidRPr="004E3EBB">
        <w:rPr>
          <w:rFonts w:hint="eastAsia"/>
          <w:b/>
        </w:rPr>
        <w:t xml:space="preserve">第七条 </w:t>
      </w:r>
      <w:r w:rsidR="00360377">
        <w:rPr>
          <w:rFonts w:hint="eastAsia"/>
        </w:rPr>
        <w:t>金融企业有下列情形之一的，对相关的资产可以不进行资产评估：</w:t>
      </w:r>
    </w:p>
    <w:p w14:paraId="7B7F608C" w14:textId="20759739" w:rsidR="00360377" w:rsidRDefault="00360377" w:rsidP="00360377">
      <w:pPr>
        <w:pStyle w:val="13"/>
      </w:pPr>
      <w:r>
        <w:rPr>
          <w:rFonts w:hint="eastAsia"/>
        </w:rPr>
        <w:t>（一）县级以上人民政府或者其授权部门批准其所属企业或者企业的部分资产实施无偿划转的；</w:t>
      </w:r>
    </w:p>
    <w:p w14:paraId="60A7E3E7" w14:textId="5A372D7D" w:rsidR="00360377" w:rsidRDefault="00360377" w:rsidP="00360377">
      <w:pPr>
        <w:pStyle w:val="13"/>
      </w:pPr>
      <w:r>
        <w:rPr>
          <w:rFonts w:hint="eastAsia"/>
        </w:rPr>
        <w:t>（二）国有独资企业与其下属的独资企业之间，或者其下属独资企业之间的合并，以及资产或者产权置换、转让和无偿划转的；</w:t>
      </w:r>
    </w:p>
    <w:p w14:paraId="23DEF74D" w14:textId="11D8EEB4" w:rsidR="00360377" w:rsidRDefault="00360377" w:rsidP="00360377">
      <w:pPr>
        <w:pStyle w:val="13"/>
      </w:pPr>
      <w:r>
        <w:rPr>
          <w:rFonts w:hint="eastAsia"/>
        </w:rPr>
        <w:t>（三）发生多次同类型的经济行为时，同一资产在评估报告使用有效期内，并且资产、市场状况未发生重大变化的；</w:t>
      </w:r>
    </w:p>
    <w:p w14:paraId="3BC20B68" w14:textId="4A4A1E25" w:rsidR="00360377" w:rsidRDefault="00360377" w:rsidP="00360377">
      <w:pPr>
        <w:pStyle w:val="13"/>
      </w:pPr>
      <w:r>
        <w:rPr>
          <w:rFonts w:hint="eastAsia"/>
        </w:rPr>
        <w:t>（四）上市公司可流通的股权转让。</w:t>
      </w:r>
    </w:p>
    <w:p w14:paraId="1E3C64BB" w14:textId="671BFF76" w:rsidR="00360377" w:rsidRDefault="004E3EBB" w:rsidP="00360377">
      <w:pPr>
        <w:pStyle w:val="13"/>
        <w:ind w:firstLine="482"/>
      </w:pPr>
      <w:r w:rsidRPr="004E3EBB">
        <w:rPr>
          <w:rFonts w:hint="eastAsia"/>
          <w:b/>
        </w:rPr>
        <w:t xml:space="preserve">第八条 </w:t>
      </w:r>
      <w:r w:rsidR="00360377">
        <w:rPr>
          <w:rFonts w:hint="eastAsia"/>
        </w:rPr>
        <w:t>需要资产评估时，应当按照下列情况进行委托：</w:t>
      </w:r>
    </w:p>
    <w:p w14:paraId="0DF12C82" w14:textId="1C15C412" w:rsidR="00360377" w:rsidRDefault="00360377" w:rsidP="00360377">
      <w:pPr>
        <w:pStyle w:val="13"/>
      </w:pPr>
      <w:r>
        <w:rPr>
          <w:rFonts w:hint="eastAsia"/>
        </w:rPr>
        <w:t>（一）经济行为涉及的评估对象属于金融企业法人财产权的，或者金融企业接受非国有资产的，资产评估由金融企业委托；</w:t>
      </w:r>
    </w:p>
    <w:p w14:paraId="78453125" w14:textId="0A0F9D2A" w:rsidR="00360377" w:rsidRDefault="00360377" w:rsidP="00360377">
      <w:pPr>
        <w:pStyle w:val="13"/>
      </w:pPr>
      <w:r>
        <w:rPr>
          <w:rFonts w:hint="eastAsia"/>
        </w:rPr>
        <w:t>（二）经济行为涉及的评估对象属于金融企业出资人权利的，资产评估由金融企业出资人或者其上级单位委托。</w:t>
      </w:r>
    </w:p>
    <w:p w14:paraId="117B41F2" w14:textId="06A576EB" w:rsidR="00360377" w:rsidRDefault="00E05BDA" w:rsidP="00360377">
      <w:pPr>
        <w:pStyle w:val="13"/>
        <w:ind w:firstLine="482"/>
      </w:pPr>
      <w:r w:rsidRPr="00E05BDA">
        <w:rPr>
          <w:rFonts w:hint="eastAsia"/>
          <w:b/>
        </w:rPr>
        <w:lastRenderedPageBreak/>
        <w:t xml:space="preserve">第九条 </w:t>
      </w:r>
      <w:r w:rsidR="00360377">
        <w:rPr>
          <w:rFonts w:hint="eastAsia"/>
        </w:rPr>
        <w:t>金融企业有关经济行为的资产评估报告，自评估基准日起</w:t>
      </w:r>
      <w:r w:rsidR="00360377">
        <w:t>1年内有效。</w:t>
      </w:r>
    </w:p>
    <w:p w14:paraId="76E2A28D" w14:textId="4A53CEE5" w:rsidR="00360377" w:rsidRDefault="00360377" w:rsidP="00AF7342">
      <w:pPr>
        <w:pStyle w:val="a9"/>
        <w:spacing w:before="62" w:after="62"/>
      </w:pPr>
      <w:r>
        <w:rPr>
          <w:rFonts w:hint="eastAsia"/>
        </w:rPr>
        <w:t>第三章 核准和备案</w:t>
      </w:r>
    </w:p>
    <w:p w14:paraId="0D7327AD" w14:textId="4C6501AA" w:rsidR="00360377" w:rsidRDefault="00E05BDA" w:rsidP="00360377">
      <w:pPr>
        <w:pStyle w:val="13"/>
        <w:ind w:firstLine="482"/>
      </w:pPr>
      <w:r w:rsidRPr="00E05BDA">
        <w:rPr>
          <w:rFonts w:hint="eastAsia"/>
          <w:b/>
        </w:rPr>
        <w:t xml:space="preserve">第十条 </w:t>
      </w:r>
      <w:r w:rsidR="00360377">
        <w:rPr>
          <w:rFonts w:hint="eastAsia"/>
        </w:rPr>
        <w:t>金融企业资产评估项目实行核准制和备案制。</w:t>
      </w:r>
    </w:p>
    <w:p w14:paraId="15C5E10E" w14:textId="6956F642" w:rsidR="00360377" w:rsidRDefault="00E05BDA" w:rsidP="00360377">
      <w:pPr>
        <w:pStyle w:val="13"/>
        <w:ind w:firstLine="482"/>
      </w:pPr>
      <w:r w:rsidRPr="00E05BDA">
        <w:rPr>
          <w:rFonts w:hint="eastAsia"/>
          <w:b/>
        </w:rPr>
        <w:t xml:space="preserve">第十一条 </w:t>
      </w:r>
      <w:r w:rsidR="00360377">
        <w:rPr>
          <w:rFonts w:hint="eastAsia"/>
        </w:rPr>
        <w:t>金融企业下列经济行为涉及资产评估的，资产评估项目实行核准：</w:t>
      </w:r>
    </w:p>
    <w:p w14:paraId="63579B51" w14:textId="56EBFD76" w:rsidR="00360377" w:rsidRDefault="00360377" w:rsidP="00360377">
      <w:pPr>
        <w:pStyle w:val="13"/>
      </w:pPr>
      <w:r>
        <w:rPr>
          <w:rFonts w:hint="eastAsia"/>
        </w:rPr>
        <w:t>（一）经批准进行改组改制、拟在境内或者境外上市、以非货币性资产与外商合资经营或者合作经营的经济行为；</w:t>
      </w:r>
    </w:p>
    <w:p w14:paraId="32EE6C56" w14:textId="366774C7" w:rsidR="00360377" w:rsidRDefault="00360377" w:rsidP="00360377">
      <w:pPr>
        <w:pStyle w:val="13"/>
      </w:pPr>
      <w:r>
        <w:rPr>
          <w:rFonts w:hint="eastAsia"/>
        </w:rPr>
        <w:t>（二）经县级以上人民政府批准的其他涉及国有资产产权变动的经济行为。</w:t>
      </w:r>
    </w:p>
    <w:p w14:paraId="7FBEE705" w14:textId="39F7D920" w:rsidR="00360377" w:rsidRDefault="00360377" w:rsidP="00360377">
      <w:pPr>
        <w:pStyle w:val="13"/>
      </w:pPr>
      <w:r>
        <w:rPr>
          <w:rFonts w:hint="eastAsia"/>
        </w:rPr>
        <w:t>中央金融企业资产评估项目报财政部核准。地方金融企业资产评估项目报本级财政部门核准。</w:t>
      </w:r>
    </w:p>
    <w:p w14:paraId="59B1AB78" w14:textId="4365D765" w:rsidR="00360377" w:rsidRDefault="00E05BDA" w:rsidP="00360377">
      <w:pPr>
        <w:pStyle w:val="13"/>
        <w:ind w:firstLine="482"/>
      </w:pPr>
      <w:r w:rsidRPr="00E05BDA">
        <w:rPr>
          <w:rFonts w:hint="eastAsia"/>
          <w:b/>
        </w:rPr>
        <w:t xml:space="preserve">第十二条 </w:t>
      </w:r>
      <w:r w:rsidR="00360377">
        <w:rPr>
          <w:rFonts w:hint="eastAsia"/>
        </w:rPr>
        <w:t>需要核准的资产评估项目，金融企业应当在资产评估前向财政部门报告下列情况：</w:t>
      </w:r>
    </w:p>
    <w:p w14:paraId="100BEFCA" w14:textId="726FB472" w:rsidR="00360377" w:rsidRDefault="00360377" w:rsidP="00360377">
      <w:pPr>
        <w:pStyle w:val="13"/>
      </w:pPr>
      <w:r>
        <w:rPr>
          <w:rFonts w:hint="eastAsia"/>
        </w:rPr>
        <w:t>（一）相关经济行为的批准情况；</w:t>
      </w:r>
    </w:p>
    <w:p w14:paraId="34FAE004" w14:textId="426A74AC" w:rsidR="00360377" w:rsidRDefault="00360377" w:rsidP="00360377">
      <w:pPr>
        <w:pStyle w:val="13"/>
      </w:pPr>
      <w:r>
        <w:rPr>
          <w:rFonts w:hint="eastAsia"/>
        </w:rPr>
        <w:t>（二）评估基准日的选择情况；</w:t>
      </w:r>
    </w:p>
    <w:p w14:paraId="1770C5CF" w14:textId="090ABCAF" w:rsidR="00360377" w:rsidRDefault="00360377" w:rsidP="00360377">
      <w:pPr>
        <w:pStyle w:val="13"/>
      </w:pPr>
      <w:r>
        <w:rPr>
          <w:rFonts w:hint="eastAsia"/>
        </w:rPr>
        <w:t>（三）资产评估范围的确定情况；</w:t>
      </w:r>
    </w:p>
    <w:p w14:paraId="5C614D32" w14:textId="7BF54303" w:rsidR="00360377" w:rsidRDefault="00360377" w:rsidP="00360377">
      <w:pPr>
        <w:pStyle w:val="13"/>
      </w:pPr>
      <w:r>
        <w:rPr>
          <w:rFonts w:hint="eastAsia"/>
        </w:rPr>
        <w:t>（四）资产评估机构的选择情况；</w:t>
      </w:r>
    </w:p>
    <w:p w14:paraId="1BDB5D72" w14:textId="0B18C833" w:rsidR="00360377" w:rsidRDefault="00360377" w:rsidP="00360377">
      <w:pPr>
        <w:pStyle w:val="13"/>
      </w:pPr>
      <w:r>
        <w:rPr>
          <w:rFonts w:hint="eastAsia"/>
        </w:rPr>
        <w:t>（五）资产评估的进度安排情况。</w:t>
      </w:r>
    </w:p>
    <w:p w14:paraId="499C8F91" w14:textId="6F1626EC" w:rsidR="00360377" w:rsidRDefault="00E05BDA" w:rsidP="00360377">
      <w:pPr>
        <w:pStyle w:val="13"/>
        <w:ind w:firstLine="482"/>
      </w:pPr>
      <w:r w:rsidRPr="00E05BDA">
        <w:rPr>
          <w:rFonts w:hint="eastAsia"/>
          <w:b/>
        </w:rPr>
        <w:t xml:space="preserve">第十三条 </w:t>
      </w:r>
      <w:r w:rsidR="00360377">
        <w:rPr>
          <w:rFonts w:hint="eastAsia"/>
        </w:rPr>
        <w:t>对资产评估机构出具的评估报告，金融企业应当逐级上报审核，自评估基准日起</w:t>
      </w:r>
      <w:r w:rsidR="00360377">
        <w:t>8个月内向财政部门提出资产评估项目核准申请。</w:t>
      </w:r>
    </w:p>
    <w:p w14:paraId="163C8D83" w14:textId="31FD25E3" w:rsidR="00360377" w:rsidRDefault="00E05BDA" w:rsidP="00360377">
      <w:pPr>
        <w:pStyle w:val="13"/>
        <w:ind w:firstLine="482"/>
      </w:pPr>
      <w:r w:rsidRPr="00E05BDA">
        <w:rPr>
          <w:rFonts w:hint="eastAsia"/>
          <w:b/>
        </w:rPr>
        <w:t xml:space="preserve">第十四条 </w:t>
      </w:r>
      <w:r w:rsidR="00360377">
        <w:rPr>
          <w:rFonts w:hint="eastAsia"/>
        </w:rPr>
        <w:t>金融企业申请资产评估项目核准时，应当向财政部门报送下列材料：</w:t>
      </w:r>
    </w:p>
    <w:p w14:paraId="2C0D9A48" w14:textId="3D726B47" w:rsidR="00360377" w:rsidRDefault="00360377" w:rsidP="00360377">
      <w:pPr>
        <w:pStyle w:val="13"/>
      </w:pPr>
      <w:r>
        <w:rPr>
          <w:rFonts w:hint="eastAsia"/>
        </w:rPr>
        <w:t>（一）资产评估项目核准申请文件；</w:t>
      </w:r>
    </w:p>
    <w:p w14:paraId="20E47EC5" w14:textId="698A64CC" w:rsidR="00360377" w:rsidRDefault="00360377" w:rsidP="00360377">
      <w:pPr>
        <w:pStyle w:val="13"/>
      </w:pPr>
      <w:r>
        <w:rPr>
          <w:rFonts w:hint="eastAsia"/>
        </w:rPr>
        <w:t>（二）金融企业资产评估项目核准表（包括：资产评估项目基本情况和资产评估结果，见附件</w:t>
      </w:r>
      <w:r>
        <w:t>1，一式一份）；</w:t>
      </w:r>
    </w:p>
    <w:p w14:paraId="78E01165" w14:textId="7D49D66C" w:rsidR="00360377" w:rsidRDefault="00360377" w:rsidP="00360377">
      <w:pPr>
        <w:pStyle w:val="13"/>
      </w:pPr>
      <w:r>
        <w:rPr>
          <w:rFonts w:hint="eastAsia"/>
        </w:rPr>
        <w:t>（三）与资产评估目的相对应的经济行为批准文件及实施方案；</w:t>
      </w:r>
    </w:p>
    <w:p w14:paraId="47085AFC" w14:textId="14B3F828" w:rsidR="00360377" w:rsidRDefault="00360377" w:rsidP="00360377">
      <w:pPr>
        <w:pStyle w:val="13"/>
      </w:pPr>
      <w:r>
        <w:rPr>
          <w:rFonts w:hint="eastAsia"/>
        </w:rPr>
        <w:t>（四）资产评估报告及电子文档；</w:t>
      </w:r>
    </w:p>
    <w:p w14:paraId="269742CD" w14:textId="5743C104" w:rsidR="00360377" w:rsidRDefault="00360377" w:rsidP="00360377">
      <w:pPr>
        <w:pStyle w:val="13"/>
      </w:pPr>
      <w:r>
        <w:rPr>
          <w:rFonts w:hint="eastAsia"/>
        </w:rPr>
        <w:t>（五）按照规定应当进行审计的审计报告。</w:t>
      </w:r>
    </w:p>
    <w:p w14:paraId="13EA705E" w14:textId="5D508FEB" w:rsidR="00360377" w:rsidRDefault="00360377" w:rsidP="00360377">
      <w:pPr>
        <w:pStyle w:val="13"/>
      </w:pPr>
      <w:r>
        <w:rPr>
          <w:rFonts w:hint="eastAsia"/>
        </w:rPr>
        <w:t>拟在境外和香港特别行政区上市的，还应当报送符合相关规定的资产评估报告。</w:t>
      </w:r>
    </w:p>
    <w:p w14:paraId="23E57AFA" w14:textId="47738E34" w:rsidR="00360377" w:rsidRDefault="00E05BDA" w:rsidP="00360377">
      <w:pPr>
        <w:pStyle w:val="13"/>
        <w:ind w:firstLine="482"/>
      </w:pPr>
      <w:r w:rsidRPr="00E05BDA">
        <w:rPr>
          <w:rFonts w:hint="eastAsia"/>
          <w:b/>
        </w:rPr>
        <w:t xml:space="preserve">第十五条 </w:t>
      </w:r>
      <w:r w:rsidR="00360377">
        <w:rPr>
          <w:rFonts w:hint="eastAsia"/>
        </w:rPr>
        <w:t>财政部门收到核准申请后，对申请材料不齐全或者不符合法定形式的，应当在</w:t>
      </w:r>
      <w:r w:rsidR="00360377">
        <w:t>5个工作日内书面一次性告知申请人需要补正的全部内容。对申请材料齐全、符合法定形式，或者申请人按照要求全部补正申请材料的应当受理。</w:t>
      </w:r>
    </w:p>
    <w:p w14:paraId="35AB7E78" w14:textId="0C322550" w:rsidR="00360377" w:rsidRDefault="00360377" w:rsidP="00360377">
      <w:pPr>
        <w:pStyle w:val="13"/>
      </w:pPr>
      <w:r>
        <w:rPr>
          <w:rFonts w:hint="eastAsia"/>
        </w:rPr>
        <w:t>受理申请或者不予受理申请，应当向申请人出具注明日期的书面凭证（见附件</w:t>
      </w:r>
      <w:r>
        <w:t>2）。</w:t>
      </w:r>
    </w:p>
    <w:p w14:paraId="0F1F9D89" w14:textId="0B4E53D5" w:rsidR="00360377" w:rsidRDefault="00E05BDA" w:rsidP="00360377">
      <w:pPr>
        <w:pStyle w:val="13"/>
        <w:ind w:firstLine="482"/>
      </w:pPr>
      <w:r w:rsidRPr="00E05BDA">
        <w:rPr>
          <w:rFonts w:hint="eastAsia"/>
          <w:b/>
        </w:rPr>
        <w:t xml:space="preserve">第十六条 </w:t>
      </w:r>
      <w:r w:rsidR="00360377">
        <w:rPr>
          <w:rFonts w:hint="eastAsia"/>
        </w:rPr>
        <w:t>财政部门受理申请后，应当对申请材料进行审查。申请材料符合下列要求的，财政部门应当组织专家对资产评估报告进行评审：</w:t>
      </w:r>
    </w:p>
    <w:p w14:paraId="4AEB3F60" w14:textId="4EE41415" w:rsidR="00360377" w:rsidRDefault="00360377" w:rsidP="00360377">
      <w:pPr>
        <w:pStyle w:val="13"/>
      </w:pPr>
      <w:r>
        <w:rPr>
          <w:rFonts w:hint="eastAsia"/>
        </w:rPr>
        <w:t>（一）资产评估项目所涉及的经济行为已获得批准；</w:t>
      </w:r>
    </w:p>
    <w:p w14:paraId="3DEB1EF7" w14:textId="1EE3500F" w:rsidR="00360377" w:rsidRDefault="00360377" w:rsidP="00360377">
      <w:pPr>
        <w:pStyle w:val="13"/>
      </w:pPr>
      <w:r>
        <w:rPr>
          <w:rFonts w:hint="eastAsia"/>
        </w:rPr>
        <w:lastRenderedPageBreak/>
        <w:t>（二）资产评估基准日的选择适当；</w:t>
      </w:r>
    </w:p>
    <w:p w14:paraId="000FC273" w14:textId="11830E8B" w:rsidR="00360377" w:rsidRDefault="00360377" w:rsidP="00360377">
      <w:pPr>
        <w:pStyle w:val="13"/>
      </w:pPr>
      <w:r>
        <w:rPr>
          <w:rFonts w:hint="eastAsia"/>
        </w:rPr>
        <w:t>（三）资产评估依据适当；</w:t>
      </w:r>
    </w:p>
    <w:p w14:paraId="77A36BA6" w14:textId="6BD19BB9" w:rsidR="00360377" w:rsidRDefault="00360377" w:rsidP="00360377">
      <w:pPr>
        <w:pStyle w:val="13"/>
      </w:pPr>
      <w:r>
        <w:rPr>
          <w:rFonts w:hint="eastAsia"/>
        </w:rPr>
        <w:t>（四）资产评估范围与经济行为批准文件确定的资产范围一致；</w:t>
      </w:r>
    </w:p>
    <w:p w14:paraId="5365B026" w14:textId="634FEF02" w:rsidR="00360377" w:rsidRDefault="00360377" w:rsidP="00360377">
      <w:pPr>
        <w:pStyle w:val="13"/>
      </w:pPr>
      <w:r>
        <w:rPr>
          <w:rFonts w:hint="eastAsia"/>
        </w:rPr>
        <w:t>（五）资产评估程序符合相关评估准则的规定；</w:t>
      </w:r>
    </w:p>
    <w:p w14:paraId="7F237832" w14:textId="0C9101A9" w:rsidR="00360377" w:rsidRDefault="00360377" w:rsidP="00360377">
      <w:pPr>
        <w:pStyle w:val="13"/>
      </w:pPr>
      <w:r>
        <w:rPr>
          <w:rFonts w:hint="eastAsia"/>
        </w:rPr>
        <w:t>（六）资产评估报告的有效期已明示；</w:t>
      </w:r>
    </w:p>
    <w:p w14:paraId="0EC70091" w14:textId="31F97362" w:rsidR="00360377" w:rsidRDefault="00360377" w:rsidP="00360377">
      <w:pPr>
        <w:pStyle w:val="13"/>
      </w:pPr>
      <w:r>
        <w:rPr>
          <w:rFonts w:hint="eastAsia"/>
        </w:rPr>
        <w:t>（七）委托方和提供资料的相关当事方已就所提供的资产权属证明文件及其他资料的真实性、合法性和完整性做出承诺。</w:t>
      </w:r>
    </w:p>
    <w:p w14:paraId="036D6B75" w14:textId="49CC38EA" w:rsidR="00360377" w:rsidRDefault="00360377" w:rsidP="00360377">
      <w:pPr>
        <w:pStyle w:val="13"/>
      </w:pPr>
      <w:r>
        <w:rPr>
          <w:rFonts w:hint="eastAsia"/>
        </w:rPr>
        <w:t>财政部门应当在受理申请后的</w:t>
      </w:r>
      <w:r>
        <w:t>20个工作日内</w:t>
      </w:r>
      <w:proofErr w:type="gramStart"/>
      <w:r>
        <w:t>作出</w:t>
      </w:r>
      <w:proofErr w:type="gramEnd"/>
      <w:r>
        <w:t>是否予以核准的书面决定。</w:t>
      </w:r>
      <w:proofErr w:type="gramStart"/>
      <w:r>
        <w:t>作出</w:t>
      </w:r>
      <w:proofErr w:type="gramEnd"/>
      <w:r>
        <w:t>不予核准的书面决定的，应当说明理由。</w:t>
      </w:r>
    </w:p>
    <w:p w14:paraId="17C02480" w14:textId="3AB03955" w:rsidR="00360377" w:rsidRDefault="00360377" w:rsidP="00360377">
      <w:pPr>
        <w:pStyle w:val="13"/>
      </w:pPr>
      <w:r>
        <w:rPr>
          <w:rFonts w:hint="eastAsia"/>
        </w:rPr>
        <w:t>组织专家评审所需时间不计算在前款规定的期限内。</w:t>
      </w:r>
    </w:p>
    <w:p w14:paraId="4144F06E" w14:textId="69763A4B" w:rsidR="00360377" w:rsidRDefault="00E05BDA" w:rsidP="00360377">
      <w:pPr>
        <w:pStyle w:val="13"/>
        <w:ind w:firstLine="482"/>
      </w:pPr>
      <w:r w:rsidRPr="00E05BDA">
        <w:rPr>
          <w:rFonts w:hint="eastAsia"/>
          <w:b/>
        </w:rPr>
        <w:t xml:space="preserve">第十七条 </w:t>
      </w:r>
      <w:r w:rsidR="00360377">
        <w:rPr>
          <w:rFonts w:hint="eastAsia"/>
        </w:rPr>
        <w:t>除本办法第十一条第一款规定的经济行为以外的其他经济行为，应当进行资产评估的，资产评估项目实行备案。</w:t>
      </w:r>
    </w:p>
    <w:p w14:paraId="0CC89311" w14:textId="2E244592" w:rsidR="00360377" w:rsidRDefault="00E05BDA" w:rsidP="00360377">
      <w:pPr>
        <w:pStyle w:val="13"/>
        <w:ind w:firstLine="482"/>
      </w:pPr>
      <w:r w:rsidRPr="00E05BDA">
        <w:rPr>
          <w:rFonts w:hint="eastAsia"/>
          <w:b/>
        </w:rPr>
        <w:t xml:space="preserve">第十八条 </w:t>
      </w:r>
      <w:r w:rsidR="00360377">
        <w:rPr>
          <w:rFonts w:hint="eastAsia"/>
        </w:rPr>
        <w:t>中央直接管理的金融企业资产评估项目报财政部备案。中央直接管理的金融企业子公司、省级分公司或分行、金融资产管理公司办事处账面资产总额大于或者等于</w:t>
      </w:r>
      <w:r w:rsidR="00360377">
        <w:t>5000万元人民币的资产评估项目，由中央直接管理的金融企业审核后报财政部备案。中央直接管理的金融企业子公司、省级分公司或分行、金融资产管理公司办事处账面资产总额小于5000万元人民币的资产评估项目，以及下属公司、银行地（市、县）级支行的资产评估项目，报中央直接管理的金融企业备案。</w:t>
      </w:r>
    </w:p>
    <w:p w14:paraId="05BEA442" w14:textId="51D74816" w:rsidR="00360377" w:rsidRDefault="00360377" w:rsidP="00360377">
      <w:pPr>
        <w:pStyle w:val="13"/>
      </w:pPr>
      <w:r>
        <w:rPr>
          <w:rFonts w:hint="eastAsia"/>
        </w:rPr>
        <w:t>地方金融企业资产评估项目备案，由省级财政部门根据本地区实际情况具体确定。</w:t>
      </w:r>
    </w:p>
    <w:p w14:paraId="7DB02A7A" w14:textId="2542ED00" w:rsidR="00360377" w:rsidRDefault="00E05BDA" w:rsidP="00360377">
      <w:pPr>
        <w:pStyle w:val="13"/>
        <w:ind w:firstLine="482"/>
      </w:pPr>
      <w:r w:rsidRPr="00E05BDA">
        <w:rPr>
          <w:rFonts w:hint="eastAsia"/>
          <w:b/>
        </w:rPr>
        <w:t xml:space="preserve">第十九条 </w:t>
      </w:r>
      <w:r w:rsidR="00360377">
        <w:rPr>
          <w:rFonts w:hint="eastAsia"/>
        </w:rPr>
        <w:t>对资产评估机构出具的评估报告，金融企业应当逐级上报审核，自评估基准日起</w:t>
      </w:r>
      <w:r w:rsidR="00360377">
        <w:t>9个月内向财政部门（或者金融企业）提出资产评估项目备案申请。</w:t>
      </w:r>
    </w:p>
    <w:p w14:paraId="6A5A747E" w14:textId="75C9E1A7" w:rsidR="00360377" w:rsidRDefault="00E05BDA" w:rsidP="00360377">
      <w:pPr>
        <w:pStyle w:val="13"/>
        <w:ind w:firstLine="482"/>
      </w:pPr>
      <w:r w:rsidRPr="00E05BDA">
        <w:rPr>
          <w:rFonts w:hint="eastAsia"/>
          <w:b/>
        </w:rPr>
        <w:t xml:space="preserve">第二十条 </w:t>
      </w:r>
      <w:r w:rsidR="00360377">
        <w:rPr>
          <w:rFonts w:hint="eastAsia"/>
        </w:rPr>
        <w:t>金融企业申请资产评估项目备案时，应当报送下列材料：</w:t>
      </w:r>
    </w:p>
    <w:p w14:paraId="2B33EE73" w14:textId="2311F5B7" w:rsidR="00360377" w:rsidRDefault="00360377" w:rsidP="00360377">
      <w:pPr>
        <w:pStyle w:val="13"/>
      </w:pPr>
      <w:r>
        <w:rPr>
          <w:rFonts w:hint="eastAsia"/>
        </w:rPr>
        <w:t>（一）金融企业资产评估项目备案表（包括：资产评估项目基本情况和资产评估结果，见附件</w:t>
      </w:r>
      <w:r>
        <w:t>3，一式三份）；</w:t>
      </w:r>
    </w:p>
    <w:p w14:paraId="024F821B" w14:textId="030C272E" w:rsidR="00360377" w:rsidRDefault="00360377" w:rsidP="00360377">
      <w:pPr>
        <w:pStyle w:val="13"/>
      </w:pPr>
      <w:r>
        <w:rPr>
          <w:rFonts w:hint="eastAsia"/>
        </w:rPr>
        <w:t>（二）与资产评估目的相对应的经济行为批准文件；</w:t>
      </w:r>
    </w:p>
    <w:p w14:paraId="3F3EEE7F" w14:textId="0447BDF2" w:rsidR="00360377" w:rsidRDefault="00360377" w:rsidP="00360377">
      <w:pPr>
        <w:pStyle w:val="13"/>
      </w:pPr>
      <w:r>
        <w:rPr>
          <w:rFonts w:hint="eastAsia"/>
        </w:rPr>
        <w:t>（三）资产评估报告及电子文档；</w:t>
      </w:r>
    </w:p>
    <w:p w14:paraId="6C5049D0" w14:textId="4F4EA32A" w:rsidR="00360377" w:rsidRDefault="00360377" w:rsidP="00360377">
      <w:pPr>
        <w:pStyle w:val="13"/>
      </w:pPr>
      <w:r>
        <w:rPr>
          <w:rFonts w:hint="eastAsia"/>
        </w:rPr>
        <w:t>（四）按照规定应当进行审计的审计报告。</w:t>
      </w:r>
    </w:p>
    <w:p w14:paraId="5F2CB2F0" w14:textId="1E72098D" w:rsidR="00360377" w:rsidRDefault="00E05BDA" w:rsidP="00360377">
      <w:pPr>
        <w:pStyle w:val="13"/>
        <w:ind w:firstLine="482"/>
      </w:pPr>
      <w:r w:rsidRPr="00E05BDA">
        <w:rPr>
          <w:rFonts w:hint="eastAsia"/>
          <w:b/>
        </w:rPr>
        <w:t xml:space="preserve">第二十一条 </w:t>
      </w:r>
      <w:r w:rsidR="00360377">
        <w:rPr>
          <w:rFonts w:hint="eastAsia"/>
        </w:rPr>
        <w:t>财政部门（或者金融企业）收到备案材料后，应当在</w:t>
      </w:r>
      <w:r w:rsidR="00360377">
        <w:t>20个工作日内决定是否办理备案手续。</w:t>
      </w:r>
    </w:p>
    <w:p w14:paraId="50D97D20" w14:textId="3935B9A1" w:rsidR="00360377" w:rsidRDefault="00360377" w:rsidP="00360377">
      <w:pPr>
        <w:pStyle w:val="13"/>
      </w:pPr>
      <w:r>
        <w:rPr>
          <w:rFonts w:hint="eastAsia"/>
        </w:rPr>
        <w:t>对材料齐全、符合下列要求的，财政部门（或者金融企业）应当办理备案手续，并将资产评估项目备案</w:t>
      </w:r>
      <w:proofErr w:type="gramStart"/>
      <w:r>
        <w:rPr>
          <w:rFonts w:hint="eastAsia"/>
        </w:rPr>
        <w:t>表退资产</w:t>
      </w:r>
      <w:proofErr w:type="gramEnd"/>
      <w:r>
        <w:rPr>
          <w:rFonts w:hint="eastAsia"/>
        </w:rPr>
        <w:t>占有企业和报送企业留存：</w:t>
      </w:r>
    </w:p>
    <w:p w14:paraId="42A20998" w14:textId="5D1F304D" w:rsidR="00360377" w:rsidRDefault="00360377" w:rsidP="00360377">
      <w:pPr>
        <w:pStyle w:val="13"/>
      </w:pPr>
      <w:r>
        <w:rPr>
          <w:rFonts w:hint="eastAsia"/>
        </w:rPr>
        <w:t>（一）资产评估项目所涉及的经济行为已获得批准；</w:t>
      </w:r>
    </w:p>
    <w:p w14:paraId="5D56E54F" w14:textId="108CD982" w:rsidR="00360377" w:rsidRDefault="00360377" w:rsidP="00360377">
      <w:pPr>
        <w:pStyle w:val="13"/>
      </w:pPr>
      <w:r>
        <w:rPr>
          <w:rFonts w:hint="eastAsia"/>
        </w:rPr>
        <w:t>（二）资产评估范围与经济行为批准文件确定的资产范围一致；</w:t>
      </w:r>
    </w:p>
    <w:p w14:paraId="69A7E069" w14:textId="06811A69" w:rsidR="00360377" w:rsidRDefault="00360377" w:rsidP="00360377">
      <w:pPr>
        <w:pStyle w:val="13"/>
      </w:pPr>
      <w:r>
        <w:rPr>
          <w:rFonts w:hint="eastAsia"/>
        </w:rPr>
        <w:lastRenderedPageBreak/>
        <w:t>（三）资产评估程序符合相关评估准则的规定；</w:t>
      </w:r>
    </w:p>
    <w:p w14:paraId="68591EBE" w14:textId="21DEDAE1" w:rsidR="00360377" w:rsidRDefault="00360377" w:rsidP="00360377">
      <w:pPr>
        <w:pStyle w:val="13"/>
      </w:pPr>
      <w:r>
        <w:rPr>
          <w:rFonts w:hint="eastAsia"/>
        </w:rPr>
        <w:t>（四）委托方和提供资料的相关当事方已就所提供的资产权属证明文件及其他资料的真实性、合法性和完整性做出承诺。</w:t>
      </w:r>
    </w:p>
    <w:p w14:paraId="3DFD4FDE" w14:textId="7D7FAE12" w:rsidR="00360377" w:rsidRDefault="00360377" w:rsidP="00360377">
      <w:pPr>
        <w:pStyle w:val="13"/>
      </w:pPr>
      <w:r>
        <w:rPr>
          <w:rFonts w:hint="eastAsia"/>
        </w:rPr>
        <w:t>对材料不齐全或者不符合上述要求的，财政部门（或者金融企业）不予办理备案手续，并书面说明理由。</w:t>
      </w:r>
    </w:p>
    <w:p w14:paraId="39EDC041" w14:textId="2645DB8E" w:rsidR="00360377" w:rsidRDefault="00360377" w:rsidP="00360377">
      <w:pPr>
        <w:pStyle w:val="13"/>
      </w:pPr>
      <w:r>
        <w:rPr>
          <w:rFonts w:hint="eastAsia"/>
        </w:rPr>
        <w:t>必要时财政部门（或者金融企业）可以组织有关专家进行评审。组织专家评审所需时间不计算在本条第一款规定的期限内。</w:t>
      </w:r>
    </w:p>
    <w:p w14:paraId="70F557D3" w14:textId="5E63D27A" w:rsidR="00360377" w:rsidRDefault="00E05BDA" w:rsidP="00360377">
      <w:pPr>
        <w:pStyle w:val="13"/>
        <w:ind w:firstLine="482"/>
      </w:pPr>
      <w:r w:rsidRPr="00E05BDA">
        <w:rPr>
          <w:rFonts w:hint="eastAsia"/>
          <w:b/>
        </w:rPr>
        <w:t xml:space="preserve">第二十二条 </w:t>
      </w:r>
      <w:r w:rsidR="00360377">
        <w:rPr>
          <w:rFonts w:hint="eastAsia"/>
        </w:rPr>
        <w:t>涉及多个产权投资主体的，按照金融企业国有</w:t>
      </w:r>
      <w:proofErr w:type="gramStart"/>
      <w:r w:rsidR="00360377">
        <w:rPr>
          <w:rFonts w:hint="eastAsia"/>
        </w:rPr>
        <w:t>股最大</w:t>
      </w:r>
      <w:proofErr w:type="gramEnd"/>
      <w:r w:rsidR="00360377">
        <w:rPr>
          <w:rFonts w:hint="eastAsia"/>
        </w:rPr>
        <w:t>股东的财务隶属关系申请核准或者备案。国有股东持股比例相等的，经协商可以委托其中一方按照其财务隶属关系申请核准或者备案。</w:t>
      </w:r>
    </w:p>
    <w:p w14:paraId="0F372E2B" w14:textId="0AE8A32C" w:rsidR="00360377" w:rsidRDefault="00360377" w:rsidP="00360377">
      <w:pPr>
        <w:pStyle w:val="13"/>
      </w:pPr>
      <w:r>
        <w:rPr>
          <w:rFonts w:hint="eastAsia"/>
        </w:rPr>
        <w:t>申请核准或者备案的金融企业应当及时将核准或者备案情况告知产权投资主体。</w:t>
      </w:r>
    </w:p>
    <w:p w14:paraId="52F2EC7B" w14:textId="31B76FEF" w:rsidR="00360377" w:rsidRDefault="00E05BDA" w:rsidP="00360377">
      <w:pPr>
        <w:pStyle w:val="13"/>
        <w:ind w:firstLine="482"/>
      </w:pPr>
      <w:r w:rsidRPr="00E05BDA">
        <w:rPr>
          <w:rFonts w:hint="eastAsia"/>
          <w:b/>
        </w:rPr>
        <w:t xml:space="preserve">第二十三条 </w:t>
      </w:r>
      <w:r w:rsidR="00360377">
        <w:rPr>
          <w:rFonts w:hint="eastAsia"/>
        </w:rPr>
        <w:t>财政部门准予资产评估项目核准文件和经财政部门（或者金融企业）备案的资产评估项目备案表是金融企业办理产权登记、股权设置和产权转让等相关手续的必备材料。</w:t>
      </w:r>
    </w:p>
    <w:p w14:paraId="4C6701C0" w14:textId="3761B554" w:rsidR="00360377" w:rsidRDefault="00E05BDA" w:rsidP="00360377">
      <w:pPr>
        <w:pStyle w:val="13"/>
        <w:ind w:firstLine="482"/>
      </w:pPr>
      <w:r w:rsidRPr="00E05BDA">
        <w:rPr>
          <w:rFonts w:hint="eastAsia"/>
          <w:b/>
        </w:rPr>
        <w:t xml:space="preserve">第二十四条 </w:t>
      </w:r>
      <w:r w:rsidR="00360377">
        <w:rPr>
          <w:rFonts w:hint="eastAsia"/>
        </w:rPr>
        <w:t>金融企业发生与资产评估相对应的经济行为时，应当以经核准或者备案的资产评估结果为作价参考依据。当交易价格与资产评估结果相差</w:t>
      </w:r>
      <w:r w:rsidR="00360377">
        <w:t>10%以上时，应当就差异原因向财政部门（或者金融企业）</w:t>
      </w:r>
      <w:proofErr w:type="gramStart"/>
      <w:r w:rsidR="00360377">
        <w:t>作出</w:t>
      </w:r>
      <w:proofErr w:type="gramEnd"/>
      <w:r w:rsidR="00360377">
        <w:t>书面说明。</w:t>
      </w:r>
    </w:p>
    <w:p w14:paraId="6EDABA21" w14:textId="68F0FC04" w:rsidR="00360377" w:rsidRDefault="00360377" w:rsidP="00AF7342">
      <w:pPr>
        <w:pStyle w:val="a9"/>
        <w:spacing w:before="62" w:after="62"/>
      </w:pPr>
      <w:r>
        <w:rPr>
          <w:rFonts w:hint="eastAsia"/>
        </w:rPr>
        <w:t>第四章 监督检查</w:t>
      </w:r>
    </w:p>
    <w:p w14:paraId="61C1C984" w14:textId="00E83746" w:rsidR="00360377" w:rsidRDefault="00E05BDA" w:rsidP="00360377">
      <w:pPr>
        <w:pStyle w:val="13"/>
        <w:ind w:firstLine="482"/>
      </w:pPr>
      <w:r w:rsidRPr="00E05BDA">
        <w:rPr>
          <w:rFonts w:hint="eastAsia"/>
          <w:b/>
        </w:rPr>
        <w:t xml:space="preserve">第二十五条 </w:t>
      </w:r>
      <w:r w:rsidR="00360377">
        <w:rPr>
          <w:rFonts w:hint="eastAsia"/>
        </w:rPr>
        <w:t>金融企业应当建立健全金融企业资产评估管理工作制度，完善档案管理，加强统计分析工作。</w:t>
      </w:r>
    </w:p>
    <w:p w14:paraId="625CC164" w14:textId="4E0A25BF" w:rsidR="00360377" w:rsidRDefault="00E05BDA" w:rsidP="00360377">
      <w:pPr>
        <w:pStyle w:val="13"/>
        <w:ind w:firstLine="482"/>
      </w:pPr>
      <w:r w:rsidRPr="00E05BDA">
        <w:rPr>
          <w:rFonts w:hint="eastAsia"/>
          <w:b/>
        </w:rPr>
        <w:t xml:space="preserve">第二十六条 </w:t>
      </w:r>
      <w:r w:rsidR="00360377">
        <w:rPr>
          <w:rFonts w:hint="eastAsia"/>
        </w:rPr>
        <w:t>省级以上财政部门应当对金融企业资产评估工作进行监督检查，必要时可以对资产评估机构进行延伸检查。</w:t>
      </w:r>
    </w:p>
    <w:p w14:paraId="1B73FD83" w14:textId="4D5F2BD9" w:rsidR="00360377" w:rsidRDefault="00E05BDA" w:rsidP="00360377">
      <w:pPr>
        <w:pStyle w:val="13"/>
        <w:ind w:firstLine="482"/>
      </w:pPr>
      <w:r w:rsidRPr="00E05BDA">
        <w:rPr>
          <w:rFonts w:hint="eastAsia"/>
          <w:b/>
        </w:rPr>
        <w:t xml:space="preserve">第二十七条 </w:t>
      </w:r>
      <w:r w:rsidR="00360377">
        <w:rPr>
          <w:rFonts w:hint="eastAsia"/>
        </w:rPr>
        <w:t>省级财政部门应当于每年的</w:t>
      </w:r>
      <w:r w:rsidR="00360377">
        <w:t>3月31日前，将对本地区金融企业上一年度资产评估工作的监督检查情况、存在的问题及处理情况报财政部。</w:t>
      </w:r>
    </w:p>
    <w:p w14:paraId="4BD13872" w14:textId="2EF65969" w:rsidR="00360377" w:rsidRDefault="00E05BDA" w:rsidP="00360377">
      <w:pPr>
        <w:pStyle w:val="13"/>
        <w:ind w:firstLine="482"/>
      </w:pPr>
      <w:r w:rsidRPr="00E05BDA">
        <w:rPr>
          <w:rFonts w:hint="eastAsia"/>
          <w:b/>
        </w:rPr>
        <w:t xml:space="preserve">第二十八条 </w:t>
      </w:r>
      <w:r w:rsidR="00360377">
        <w:rPr>
          <w:rFonts w:hint="eastAsia"/>
        </w:rPr>
        <w:t>省级以上财政部门应当将监督检查中发现的问题，及时向相关监管部门进行通报。</w:t>
      </w:r>
    </w:p>
    <w:p w14:paraId="2CFECF6C" w14:textId="436DF97A" w:rsidR="00360377" w:rsidRDefault="00360377" w:rsidP="00AF7342">
      <w:pPr>
        <w:pStyle w:val="a9"/>
        <w:spacing w:before="62" w:after="62"/>
      </w:pPr>
      <w:r>
        <w:rPr>
          <w:rFonts w:hint="eastAsia"/>
        </w:rPr>
        <w:t>第五章 罚则</w:t>
      </w:r>
    </w:p>
    <w:p w14:paraId="27A1B8E7" w14:textId="4C4CC076" w:rsidR="00360377" w:rsidRDefault="00E05BDA" w:rsidP="00360377">
      <w:pPr>
        <w:pStyle w:val="13"/>
        <w:ind w:firstLine="482"/>
      </w:pPr>
      <w:r w:rsidRPr="00E05BDA">
        <w:rPr>
          <w:rFonts w:hint="eastAsia"/>
          <w:b/>
        </w:rPr>
        <w:t xml:space="preserve">第二十九条 </w:t>
      </w:r>
      <w:r w:rsidR="00360377">
        <w:rPr>
          <w:rFonts w:hint="eastAsia"/>
        </w:rPr>
        <w:t>金融企业在资产评估中有违法行为的，依照有关法律、行政法规的规定处理、处罚。</w:t>
      </w:r>
    </w:p>
    <w:p w14:paraId="023F4CC4" w14:textId="1183300F" w:rsidR="00360377" w:rsidRDefault="00E05BDA" w:rsidP="00360377">
      <w:pPr>
        <w:pStyle w:val="13"/>
        <w:ind w:firstLine="482"/>
      </w:pPr>
      <w:r w:rsidRPr="00E05BDA">
        <w:rPr>
          <w:rFonts w:hint="eastAsia"/>
          <w:b/>
        </w:rPr>
        <w:t xml:space="preserve">第三十条 </w:t>
      </w:r>
      <w:r w:rsidR="00360377">
        <w:rPr>
          <w:rFonts w:hint="eastAsia"/>
        </w:rPr>
        <w:t>金融企业违反本办法有关规定，由财政部门责令限期改正。有下列情形之一的，由财政部门给予警告：</w:t>
      </w:r>
    </w:p>
    <w:p w14:paraId="51709C52" w14:textId="3BA9CACF" w:rsidR="00360377" w:rsidRDefault="00360377" w:rsidP="00360377">
      <w:pPr>
        <w:pStyle w:val="13"/>
      </w:pPr>
      <w:r>
        <w:rPr>
          <w:rFonts w:hint="eastAsia"/>
        </w:rPr>
        <w:t>（一）应当进行资产评估而未进行评估的；</w:t>
      </w:r>
    </w:p>
    <w:p w14:paraId="6829DA91" w14:textId="7BD62D07" w:rsidR="00360377" w:rsidRDefault="00360377" w:rsidP="00360377">
      <w:pPr>
        <w:pStyle w:val="13"/>
      </w:pPr>
      <w:r>
        <w:rPr>
          <w:rFonts w:hint="eastAsia"/>
        </w:rPr>
        <w:t>（二）应当申请资产评估项目核准或者备案而未申请的；</w:t>
      </w:r>
    </w:p>
    <w:p w14:paraId="28B2E949" w14:textId="628A70D5" w:rsidR="00360377" w:rsidRDefault="00360377" w:rsidP="00360377">
      <w:pPr>
        <w:pStyle w:val="13"/>
      </w:pPr>
      <w:r>
        <w:rPr>
          <w:rFonts w:hint="eastAsia"/>
        </w:rPr>
        <w:lastRenderedPageBreak/>
        <w:t>（三）委托没有资产评估执业资格的机构或者人员从事资产评估的，或者委托同一中介机构对同一经济行为进行资产评估、审计、会计业务服务的。</w:t>
      </w:r>
    </w:p>
    <w:p w14:paraId="72AC4B9D" w14:textId="15B11A65" w:rsidR="00360377" w:rsidRDefault="003B2FB1" w:rsidP="00360377">
      <w:pPr>
        <w:pStyle w:val="13"/>
        <w:ind w:firstLine="482"/>
      </w:pPr>
      <w:r w:rsidRPr="003B2FB1">
        <w:rPr>
          <w:rFonts w:hint="eastAsia"/>
          <w:b/>
        </w:rPr>
        <w:t xml:space="preserve">第三十一条 </w:t>
      </w:r>
      <w:r w:rsidR="00360377">
        <w:rPr>
          <w:rFonts w:hint="eastAsia"/>
        </w:rPr>
        <w:t>资产评估机构或者人员在金融企业资产评估中违反有关规定的，由省级以上财政部门依法进行处理、处罚。</w:t>
      </w:r>
    </w:p>
    <w:p w14:paraId="56DDCBC8" w14:textId="0D25B00B" w:rsidR="00360377" w:rsidRDefault="003B2FB1" w:rsidP="00360377">
      <w:pPr>
        <w:pStyle w:val="13"/>
        <w:ind w:firstLine="482"/>
      </w:pPr>
      <w:r w:rsidRPr="003B2FB1">
        <w:rPr>
          <w:rFonts w:hint="eastAsia"/>
          <w:b/>
        </w:rPr>
        <w:t xml:space="preserve">第三十二条 </w:t>
      </w:r>
      <w:r w:rsidR="00360377">
        <w:rPr>
          <w:rFonts w:hint="eastAsia"/>
        </w:rPr>
        <w:t>财政部门工作人员在资产评估监督管理工作中滥用职权、玩忽职守、徇私舞弊，或者泄漏金融企业商业秘密的，依法给予行政处分，涉嫌犯罪的，依法移送司法机关。</w:t>
      </w:r>
    </w:p>
    <w:p w14:paraId="3E30B78C" w14:textId="7BCD143F" w:rsidR="00360377" w:rsidRDefault="00360377" w:rsidP="00AF7342">
      <w:pPr>
        <w:pStyle w:val="a9"/>
        <w:spacing w:before="62" w:after="62"/>
      </w:pPr>
      <w:r>
        <w:rPr>
          <w:rFonts w:hint="eastAsia"/>
        </w:rPr>
        <w:t>第六章 附则</w:t>
      </w:r>
    </w:p>
    <w:p w14:paraId="52104302" w14:textId="24CCB578" w:rsidR="00360377" w:rsidRDefault="003B2FB1" w:rsidP="00360377">
      <w:pPr>
        <w:pStyle w:val="13"/>
        <w:ind w:firstLine="482"/>
      </w:pPr>
      <w:r w:rsidRPr="003B2FB1">
        <w:rPr>
          <w:rFonts w:hint="eastAsia"/>
          <w:b/>
        </w:rPr>
        <w:t xml:space="preserve">第三十三条 </w:t>
      </w:r>
      <w:r w:rsidR="00360377">
        <w:rPr>
          <w:rFonts w:hint="eastAsia"/>
        </w:rPr>
        <w:t>省级财政部门可以依照本办法，结合本地区实际情况，制订具体实施办法。</w:t>
      </w:r>
    </w:p>
    <w:p w14:paraId="54E77612" w14:textId="1C15AC2D" w:rsidR="00360377" w:rsidRDefault="003B2FB1" w:rsidP="00360377">
      <w:pPr>
        <w:pStyle w:val="13"/>
        <w:ind w:firstLine="482"/>
      </w:pPr>
      <w:r w:rsidRPr="003B2FB1">
        <w:rPr>
          <w:rFonts w:hint="eastAsia"/>
          <w:b/>
        </w:rPr>
        <w:t xml:space="preserve">第三十四条 </w:t>
      </w:r>
      <w:r w:rsidR="00360377">
        <w:rPr>
          <w:rFonts w:hint="eastAsia"/>
        </w:rPr>
        <w:t>对中国人民银行总行所属企业资产评估的监督管理，参照本办法执行。</w:t>
      </w:r>
    </w:p>
    <w:p w14:paraId="4EA98248" w14:textId="71BA0D3D" w:rsidR="00360377" w:rsidRDefault="003B2FB1" w:rsidP="00360377">
      <w:pPr>
        <w:pStyle w:val="13"/>
        <w:ind w:firstLine="482"/>
      </w:pPr>
      <w:r w:rsidRPr="003B2FB1">
        <w:rPr>
          <w:rFonts w:hint="eastAsia"/>
          <w:b/>
        </w:rPr>
        <w:t xml:space="preserve">第三十五条 </w:t>
      </w:r>
      <w:r w:rsidR="00360377">
        <w:rPr>
          <w:rFonts w:hint="eastAsia"/>
        </w:rPr>
        <w:t>本办法自</w:t>
      </w:r>
      <w:r w:rsidR="00360377">
        <w:t>2008年1月1日起施行。</w:t>
      </w:r>
    </w:p>
    <w:p w14:paraId="7250FED1" w14:textId="466F9F67" w:rsidR="00F67FFD" w:rsidRDefault="00360377" w:rsidP="00360377">
      <w:pPr>
        <w:pStyle w:val="31"/>
        <w:spacing w:before="156" w:after="62"/>
      </w:pPr>
      <w:bookmarkStart w:id="234" w:name="_Toc81833467"/>
      <w:r w:rsidRPr="00360377">
        <w:rPr>
          <w:rFonts w:hint="eastAsia"/>
        </w:rPr>
        <w:t>《金融企业国有资产转让管理办法》（财政部第</w:t>
      </w:r>
      <w:r w:rsidRPr="00360377">
        <w:t xml:space="preserve"> 54号令）</w:t>
      </w:r>
      <w:bookmarkEnd w:id="234"/>
    </w:p>
    <w:p w14:paraId="45B5F351" w14:textId="21C05256" w:rsidR="00360377" w:rsidRDefault="00360377" w:rsidP="00AF7342">
      <w:pPr>
        <w:pStyle w:val="a9"/>
        <w:spacing w:before="62" w:after="62"/>
      </w:pPr>
      <w:r>
        <w:rPr>
          <w:rFonts w:hint="eastAsia"/>
        </w:rPr>
        <w:t>第一章 总则</w:t>
      </w:r>
    </w:p>
    <w:p w14:paraId="07EFDFE0" w14:textId="661BAFB6" w:rsidR="00360377" w:rsidRDefault="004E3EBB" w:rsidP="00360377">
      <w:pPr>
        <w:pStyle w:val="13"/>
        <w:ind w:firstLine="482"/>
      </w:pPr>
      <w:r w:rsidRPr="004E3EBB">
        <w:rPr>
          <w:b/>
        </w:rPr>
        <w:t xml:space="preserve">第一条 </w:t>
      </w:r>
      <w:r w:rsidR="00360377">
        <w:t>为了规范金融企业国有资产转让行为，加强国有资产交易的监督管理，维护国有资产出资人的合法权益，防止国有资产流失，根据有关法律、行政法规，制定本办法。</w:t>
      </w:r>
    </w:p>
    <w:p w14:paraId="186C533E" w14:textId="18C7552F" w:rsidR="00360377" w:rsidRDefault="004E3EBB" w:rsidP="00360377">
      <w:pPr>
        <w:pStyle w:val="13"/>
        <w:ind w:firstLine="482"/>
      </w:pPr>
      <w:r w:rsidRPr="004E3EBB">
        <w:rPr>
          <w:b/>
        </w:rPr>
        <w:t xml:space="preserve">第二条 </w:t>
      </w:r>
      <w:r w:rsidR="00360377">
        <w:t>本办法所称金融企业国有资产，是指各级人民政府及其授权投资主体对金融企业各种形式的出资所形成的权益。</w:t>
      </w:r>
    </w:p>
    <w:p w14:paraId="0EC23437" w14:textId="2D19C2E7" w:rsidR="00360377" w:rsidRDefault="00360377" w:rsidP="00360377">
      <w:pPr>
        <w:pStyle w:val="13"/>
      </w:pPr>
      <w:r>
        <w:t>本办法所称金融企业，包括所有获得金融业务许可证的企业和金融控股（集团）公司。</w:t>
      </w:r>
    </w:p>
    <w:p w14:paraId="4B59C86B" w14:textId="7F91237A" w:rsidR="00360377" w:rsidRDefault="004E3EBB" w:rsidP="00360377">
      <w:pPr>
        <w:pStyle w:val="13"/>
        <w:ind w:firstLine="482"/>
      </w:pPr>
      <w:r w:rsidRPr="004E3EBB">
        <w:rPr>
          <w:b/>
        </w:rPr>
        <w:t xml:space="preserve">第三条 </w:t>
      </w:r>
      <w:r w:rsidR="00360377">
        <w:t>县级以上人民政府财政部门（以下简称财政部门）和县级以上人民政府或者财政部门授权投资主体转让所持金融企业国有资产，国有及国有控股金融企业（以下统称转让方）转让所持国有资产给境内外法人、自然人或者其他组织（以下统称受让方），适用本办法。</w:t>
      </w:r>
    </w:p>
    <w:p w14:paraId="4E6A91AE" w14:textId="504F10AF" w:rsidR="00360377" w:rsidRDefault="004E3EBB" w:rsidP="00360377">
      <w:pPr>
        <w:pStyle w:val="13"/>
        <w:ind w:firstLine="482"/>
      </w:pPr>
      <w:r w:rsidRPr="004E3EBB">
        <w:rPr>
          <w:b/>
        </w:rPr>
        <w:t xml:space="preserve">第四条 </w:t>
      </w:r>
      <w:r w:rsidR="00360377">
        <w:t>金融企业国有资产转让应当遵守法律、行政法规和产业政策规定。</w:t>
      </w:r>
    </w:p>
    <w:p w14:paraId="69638DC2" w14:textId="40DE6797" w:rsidR="00360377" w:rsidRDefault="004E3EBB" w:rsidP="00360377">
      <w:pPr>
        <w:pStyle w:val="13"/>
        <w:ind w:firstLine="482"/>
      </w:pPr>
      <w:r w:rsidRPr="004E3EBB">
        <w:rPr>
          <w:b/>
        </w:rPr>
        <w:t xml:space="preserve">第五条 </w:t>
      </w:r>
      <w:r w:rsidR="00360377">
        <w:t>金融企业国有资产转让包括非上市企业国有产权转让和上市公司国有股份转让。</w:t>
      </w:r>
    </w:p>
    <w:p w14:paraId="2B424B9B" w14:textId="124D23E5" w:rsidR="00360377" w:rsidRDefault="00360377" w:rsidP="00360377">
      <w:pPr>
        <w:pStyle w:val="13"/>
      </w:pPr>
      <w:r>
        <w:t>金融企业国有资产转让以通过产权交易机构、证券交易系统交易为主要方式。符合本办法规定条件的，可以采取直接协议方式转让金融企业国有资产。</w:t>
      </w:r>
    </w:p>
    <w:p w14:paraId="295B4404" w14:textId="2794E133" w:rsidR="00360377" w:rsidRDefault="004E3EBB" w:rsidP="00360377">
      <w:pPr>
        <w:pStyle w:val="13"/>
        <w:ind w:firstLine="482"/>
      </w:pPr>
      <w:r w:rsidRPr="004E3EBB">
        <w:rPr>
          <w:b/>
        </w:rPr>
        <w:t xml:space="preserve">第六条 </w:t>
      </w:r>
      <w:r w:rsidR="00360377">
        <w:t>拟转让的金融企业国有资产权属关系应当明晰。权属关系不明确或者存在权属纠纷以及法律、行政法规和国家有关政策规定禁止转让的金融企业国有资产</w:t>
      </w:r>
      <w:r w:rsidR="00360377">
        <w:lastRenderedPageBreak/>
        <w:t>不得转让。</w:t>
      </w:r>
    </w:p>
    <w:p w14:paraId="2D4D049A" w14:textId="64AA7BBF" w:rsidR="00360377" w:rsidRDefault="00360377" w:rsidP="00360377">
      <w:pPr>
        <w:pStyle w:val="13"/>
      </w:pPr>
      <w:r>
        <w:t>转让已经设立担保物权的金融企业国有资产，应当符合《中华人民共和国物权法》、《中华人民共和国担保法》等有关法律、行政法规的规定。</w:t>
      </w:r>
    </w:p>
    <w:p w14:paraId="7EB655CB" w14:textId="1DBF1E64" w:rsidR="00360377" w:rsidRDefault="004E3EBB" w:rsidP="00360377">
      <w:pPr>
        <w:pStyle w:val="13"/>
        <w:ind w:firstLine="482"/>
      </w:pPr>
      <w:r w:rsidRPr="004E3EBB">
        <w:rPr>
          <w:b/>
        </w:rPr>
        <w:t xml:space="preserve">第七条 </w:t>
      </w:r>
      <w:r w:rsidR="00360377">
        <w:t>金融企业国有资产转让按照统一政策、分级管理的原则，由财政部门负责监督管理。财政部门转让金融企业国有资产，应当报本级人民政府批准。政府授权投资主体转让金融企业国有资产，应当报本级财政部门批准。</w:t>
      </w:r>
    </w:p>
    <w:p w14:paraId="34064262" w14:textId="515DB5D9" w:rsidR="00360377" w:rsidRDefault="00360377" w:rsidP="00360377">
      <w:pPr>
        <w:pStyle w:val="13"/>
      </w:pPr>
      <w:r>
        <w:t>金融企业国有资产转让过程中，涉及政府社会公共管理和金融行业监督管理事项的，应当根据国家规定，报经政府有关部门批准。</w:t>
      </w:r>
    </w:p>
    <w:p w14:paraId="6F2D8A55" w14:textId="131621C6" w:rsidR="00360377" w:rsidRDefault="00360377" w:rsidP="00360377">
      <w:pPr>
        <w:pStyle w:val="13"/>
      </w:pPr>
      <w:r>
        <w:t>以境外投资人为受让方的，应当符合国家有关外商投资的监督管理规定，由转让方按照有关规定报经政府有关部门批准。</w:t>
      </w:r>
    </w:p>
    <w:p w14:paraId="4120CBD3" w14:textId="60963A70" w:rsidR="00360377" w:rsidRDefault="004E3EBB" w:rsidP="00360377">
      <w:pPr>
        <w:pStyle w:val="13"/>
        <w:ind w:firstLine="482"/>
      </w:pPr>
      <w:r w:rsidRPr="004E3EBB">
        <w:rPr>
          <w:b/>
        </w:rPr>
        <w:t xml:space="preserve">第八条 </w:t>
      </w:r>
      <w:r w:rsidR="00360377">
        <w:t>财政部门是金融企业国有资产转让的监督管理部门。</w:t>
      </w:r>
    </w:p>
    <w:p w14:paraId="22383BB1" w14:textId="349CFBDC" w:rsidR="00360377" w:rsidRDefault="00360377" w:rsidP="00360377">
      <w:pPr>
        <w:pStyle w:val="13"/>
      </w:pPr>
      <w:r>
        <w:t>财政部负责制</w:t>
      </w:r>
      <w:proofErr w:type="gramStart"/>
      <w:r>
        <w:t>定金融</w:t>
      </w:r>
      <w:proofErr w:type="gramEnd"/>
      <w:r>
        <w:t>企业国有资产转让监督管理制度，并对中央管理的金融企业及其子公司的国有资产转让工作实施监督管理。</w:t>
      </w:r>
    </w:p>
    <w:p w14:paraId="6256A734" w14:textId="0576FFA4" w:rsidR="00360377" w:rsidRDefault="00360377" w:rsidP="00360377">
      <w:pPr>
        <w:pStyle w:val="13"/>
      </w:pPr>
      <w:r>
        <w:t>地方县级以上财政部门对本级管理的金融企业及其子公司国有资产转让实施监督管理。</w:t>
      </w:r>
    </w:p>
    <w:p w14:paraId="31594EAF" w14:textId="4139EC74" w:rsidR="00360377" w:rsidRDefault="00360377" w:rsidP="00360377">
      <w:pPr>
        <w:pStyle w:val="13"/>
      </w:pPr>
      <w:r>
        <w:t>上级财政部门指导和监督下级财政部门的金融企业国有资产转让监督管理工作。</w:t>
      </w:r>
    </w:p>
    <w:p w14:paraId="4A2C4C6A" w14:textId="00AF91A6" w:rsidR="00360377" w:rsidRDefault="00E05BDA" w:rsidP="00360377">
      <w:pPr>
        <w:pStyle w:val="13"/>
        <w:ind w:firstLine="482"/>
      </w:pPr>
      <w:r w:rsidRPr="00E05BDA">
        <w:rPr>
          <w:b/>
        </w:rPr>
        <w:t xml:space="preserve">第九条 </w:t>
      </w:r>
      <w:r w:rsidR="00360377">
        <w:t>财政部门对金融企业国有资产转让履行下列监督管理职责：</w:t>
      </w:r>
    </w:p>
    <w:p w14:paraId="207C6B3B" w14:textId="7D58E45D" w:rsidR="00360377" w:rsidRDefault="00360377" w:rsidP="00360377">
      <w:pPr>
        <w:pStyle w:val="13"/>
      </w:pPr>
      <w:r>
        <w:t>（一）决定或者批准金融企业国有资产转让事项，审核重大资产转让事项并报本级人民政府批准；</w:t>
      </w:r>
    </w:p>
    <w:p w14:paraId="602A7F6A" w14:textId="563DC45C" w:rsidR="00360377" w:rsidRDefault="00360377" w:rsidP="00360377">
      <w:pPr>
        <w:pStyle w:val="13"/>
      </w:pPr>
      <w:r>
        <w:t>（二）确定承办金融企业国有资产交易业务的产权交易机构备选名单；</w:t>
      </w:r>
    </w:p>
    <w:p w14:paraId="5966DC33" w14:textId="1AA2F1F0" w:rsidR="00360377" w:rsidRDefault="00360377" w:rsidP="00360377">
      <w:pPr>
        <w:pStyle w:val="13"/>
      </w:pPr>
      <w:r>
        <w:t>（三）负责金融企业国有资产转让情况的监督检查工作；</w:t>
      </w:r>
    </w:p>
    <w:p w14:paraId="5A1A706F" w14:textId="782848F8" w:rsidR="00360377" w:rsidRDefault="00360377" w:rsidP="00360377">
      <w:pPr>
        <w:pStyle w:val="13"/>
      </w:pPr>
      <w:r>
        <w:t>（四）负责金融企业国有资产转让信息的收集、汇总、分析和上报工作；</w:t>
      </w:r>
    </w:p>
    <w:p w14:paraId="43583F58" w14:textId="3C84488E" w:rsidR="00360377" w:rsidRDefault="00360377" w:rsidP="00360377">
      <w:pPr>
        <w:pStyle w:val="13"/>
      </w:pPr>
      <w:r>
        <w:t>（五）本级人民政府授权的其他职责。</w:t>
      </w:r>
    </w:p>
    <w:p w14:paraId="2B82F7D3" w14:textId="770D50FD" w:rsidR="00360377" w:rsidRDefault="00E05BDA" w:rsidP="00360377">
      <w:pPr>
        <w:pStyle w:val="13"/>
        <w:ind w:firstLine="482"/>
      </w:pPr>
      <w:r w:rsidRPr="00E05BDA">
        <w:rPr>
          <w:b/>
        </w:rPr>
        <w:t xml:space="preserve">第十条 </w:t>
      </w:r>
      <w:r w:rsidR="00360377">
        <w:t>国有及国有控股金融企业在境内</w:t>
      </w:r>
      <w:proofErr w:type="gramStart"/>
      <w:r w:rsidR="00360377">
        <w:t>外依法</w:t>
      </w:r>
      <w:proofErr w:type="gramEnd"/>
      <w:r w:rsidR="00360377">
        <w:t>设立子公司或者向企业投资的，由该国有及国有控股金融企业按本办法规定负责所设立子公司和投资企业的国有资产的转让工作，并履行下列职责：</w:t>
      </w:r>
    </w:p>
    <w:p w14:paraId="5A6A1FDC" w14:textId="6D7060A1" w:rsidR="00360377" w:rsidRDefault="00360377" w:rsidP="00360377">
      <w:pPr>
        <w:pStyle w:val="13"/>
      </w:pPr>
      <w:r>
        <w:t>（一）按照本办法及国家有关规定，制定企业所属分支机构、子公司的国有资产转让管理办法和工作程序，并报本级财政部门备案；</w:t>
      </w:r>
    </w:p>
    <w:p w14:paraId="34551C54" w14:textId="0B37E69E" w:rsidR="00360377" w:rsidRDefault="00360377" w:rsidP="00360377">
      <w:pPr>
        <w:pStyle w:val="13"/>
      </w:pPr>
      <w:r>
        <w:t>（二）研究资产转让行为是否有利于促进企业的持续发展；</w:t>
      </w:r>
    </w:p>
    <w:p w14:paraId="402CA173" w14:textId="7A97050D" w:rsidR="00360377" w:rsidRDefault="00360377" w:rsidP="00360377">
      <w:pPr>
        <w:pStyle w:val="13"/>
      </w:pPr>
      <w:r>
        <w:t>（三）审议所属一级子公司的资产转让事项，监督一级子公司以下的资产转让事项；</w:t>
      </w:r>
    </w:p>
    <w:p w14:paraId="0B3A97F1" w14:textId="0EA9B2C5" w:rsidR="00360377" w:rsidRDefault="00360377" w:rsidP="00360377">
      <w:pPr>
        <w:pStyle w:val="13"/>
      </w:pPr>
      <w:r>
        <w:t>（四）向财政部门、相关金融监督管理部门和其他有关部门报告有关资产转让情况。</w:t>
      </w:r>
    </w:p>
    <w:p w14:paraId="7479AF2A" w14:textId="1CAEFAB4" w:rsidR="00360377" w:rsidRDefault="00360377" w:rsidP="00AF7342">
      <w:pPr>
        <w:pStyle w:val="a9"/>
        <w:spacing w:before="62" w:after="62"/>
      </w:pPr>
      <w:r>
        <w:rPr>
          <w:rFonts w:hint="eastAsia"/>
        </w:rPr>
        <w:lastRenderedPageBreak/>
        <w:t>第二章 非上市企业国有产权转让</w:t>
      </w:r>
    </w:p>
    <w:p w14:paraId="257F4EF7" w14:textId="47AF3816" w:rsidR="00360377" w:rsidRDefault="00E05BDA" w:rsidP="00360377">
      <w:pPr>
        <w:pStyle w:val="13"/>
        <w:ind w:firstLine="482"/>
      </w:pPr>
      <w:r w:rsidRPr="00E05BDA">
        <w:rPr>
          <w:b/>
        </w:rPr>
        <w:t xml:space="preserve">第十一条 </w:t>
      </w:r>
      <w:r w:rsidR="00360377">
        <w:t>非上市企业国有产权的转让应当在依法设立的省级以上（含省级，下同）产权交易机构公开进行，不受地区、行业、出资或者隶属关系的限制。</w:t>
      </w:r>
    </w:p>
    <w:p w14:paraId="20052795" w14:textId="2113BAAE" w:rsidR="00360377" w:rsidRDefault="00E05BDA" w:rsidP="00360377">
      <w:pPr>
        <w:pStyle w:val="13"/>
        <w:ind w:firstLine="482"/>
      </w:pPr>
      <w:r w:rsidRPr="00E05BDA">
        <w:rPr>
          <w:b/>
        </w:rPr>
        <w:t xml:space="preserve">第十二条 </w:t>
      </w:r>
      <w:r w:rsidR="00360377">
        <w:t>国有及国有控股金融企业转让一级子公司的产权，应当报财政部门审批。除国家明确规定需要报国务院批准外，中央管理的国有及国有控股金融企业转让一级子公司的产权应当报财政部审批；地方管理的金融企业国有资产转让的审批权限，由省级财政部门确定。</w:t>
      </w:r>
    </w:p>
    <w:p w14:paraId="00CC4E68" w14:textId="422F4C94" w:rsidR="00360377" w:rsidRDefault="00360377" w:rsidP="00360377">
      <w:pPr>
        <w:pStyle w:val="13"/>
      </w:pPr>
      <w:r>
        <w:t>国有及国有控股金融企业一级子公司（省级分公司或者分行、金融资产管理公司办事处）转让所持子公司产权，由控股（集团）公司审批。其中，涉及重要行业、重点子公司的重大国有产权转让，或者导致转让标的企业所持金融企业或者其他重点子公司控股权转移的，应当报财政部门审批。</w:t>
      </w:r>
    </w:p>
    <w:p w14:paraId="38E8A600" w14:textId="15AF0BC3" w:rsidR="00360377" w:rsidRDefault="00E05BDA" w:rsidP="00360377">
      <w:pPr>
        <w:pStyle w:val="13"/>
        <w:ind w:firstLine="482"/>
      </w:pPr>
      <w:r w:rsidRPr="00E05BDA">
        <w:rPr>
          <w:b/>
        </w:rPr>
        <w:t xml:space="preserve">第十三条 </w:t>
      </w:r>
      <w:r w:rsidR="00360377">
        <w:t>转让方应当制定转让方案，并按照内部决策程序交股东会或者股东大会、董事会或者其他决策部门审议，形成书面决议。</w:t>
      </w:r>
    </w:p>
    <w:p w14:paraId="50352D02" w14:textId="3E463894" w:rsidR="00360377" w:rsidRDefault="00360377" w:rsidP="00360377">
      <w:pPr>
        <w:pStyle w:val="13"/>
      </w:pPr>
      <w:r>
        <w:t>转让方案包括转让标的企业产权的基本情况、转让行为的论证情况、产权转让公告以及其他主要内容。</w:t>
      </w:r>
    </w:p>
    <w:p w14:paraId="230C9752" w14:textId="26F55CD6" w:rsidR="00360377" w:rsidRDefault="00360377" w:rsidP="00360377">
      <w:pPr>
        <w:pStyle w:val="13"/>
      </w:pPr>
      <w:r>
        <w:t>转让标的企业涉及职工安置问题的，应当按照国家有关规定办理职工安置工作。</w:t>
      </w:r>
    </w:p>
    <w:p w14:paraId="3515E65A" w14:textId="2ABC87D6" w:rsidR="00360377" w:rsidRDefault="00E05BDA" w:rsidP="00360377">
      <w:pPr>
        <w:pStyle w:val="13"/>
        <w:ind w:firstLine="482"/>
      </w:pPr>
      <w:r w:rsidRPr="00E05BDA">
        <w:rPr>
          <w:b/>
        </w:rPr>
        <w:t xml:space="preserve">第十四条 </w:t>
      </w:r>
      <w:r w:rsidR="00360377">
        <w:t>转让方应当依照国家有关规定，委托资产评估机构对转让标的企业的整体价值进行评估。</w:t>
      </w:r>
    </w:p>
    <w:p w14:paraId="2432E210" w14:textId="5DECE577" w:rsidR="00360377" w:rsidRDefault="00E05BDA" w:rsidP="00360377">
      <w:pPr>
        <w:pStyle w:val="13"/>
        <w:ind w:firstLine="482"/>
      </w:pPr>
      <w:r w:rsidRPr="00E05BDA">
        <w:rPr>
          <w:b/>
        </w:rPr>
        <w:t xml:space="preserve">第十五条 </w:t>
      </w:r>
      <w:r w:rsidR="00360377">
        <w:t>非上市企业国有产权转让需要报财政部门审批的，转让方应当在进场交易前报送以下材料：</w:t>
      </w:r>
    </w:p>
    <w:p w14:paraId="4F1751B5" w14:textId="62629A20" w:rsidR="00360377" w:rsidRDefault="00360377" w:rsidP="00360377">
      <w:pPr>
        <w:pStyle w:val="13"/>
      </w:pPr>
      <w:r>
        <w:t>（一）产权转让的申请书，包括转让原因，是否进场交易等内容；</w:t>
      </w:r>
    </w:p>
    <w:p w14:paraId="4CA67B0C" w14:textId="7BBF98A9" w:rsidR="00360377" w:rsidRDefault="00360377" w:rsidP="00360377">
      <w:pPr>
        <w:pStyle w:val="13"/>
      </w:pPr>
      <w:r>
        <w:t>（二）产权转让方案及内部决策文件；</w:t>
      </w:r>
    </w:p>
    <w:p w14:paraId="29CB6396" w14:textId="00507FD6" w:rsidR="00360377" w:rsidRDefault="00360377" w:rsidP="00360377">
      <w:pPr>
        <w:pStyle w:val="13"/>
      </w:pPr>
      <w:r>
        <w:t>（三）转让方基本情况及上一年度经会计师事务所审计的财务会计报告；</w:t>
      </w:r>
    </w:p>
    <w:p w14:paraId="7AB83E5E" w14:textId="2B44F2B6" w:rsidR="00360377" w:rsidRDefault="00360377" w:rsidP="00360377">
      <w:pPr>
        <w:pStyle w:val="13"/>
      </w:pPr>
      <w:r>
        <w:t>（四）转让标的企业基本情况、当期财务会计报告和最近一期经会计师事务所审计的财务会计报告；</w:t>
      </w:r>
    </w:p>
    <w:p w14:paraId="093D83EE" w14:textId="0F1FEBEA" w:rsidR="00360377" w:rsidRDefault="00360377" w:rsidP="00360377">
      <w:pPr>
        <w:pStyle w:val="13"/>
      </w:pPr>
      <w:r>
        <w:t>（五）转让方和转让标的企业国有资产产权证明文件；</w:t>
      </w:r>
    </w:p>
    <w:p w14:paraId="17FAE49B" w14:textId="56AA2FEC" w:rsidR="00360377" w:rsidRDefault="00360377" w:rsidP="00360377">
      <w:pPr>
        <w:pStyle w:val="13"/>
      </w:pPr>
      <w:r>
        <w:t>（六）转让标的企业资产评估核准或者备案文件；</w:t>
      </w:r>
    </w:p>
    <w:p w14:paraId="0F20C90E" w14:textId="59FD4840" w:rsidR="00360377" w:rsidRDefault="00360377" w:rsidP="00360377">
      <w:pPr>
        <w:pStyle w:val="13"/>
      </w:pPr>
      <w:r>
        <w:t>（七）拟选择的产权交易机构；</w:t>
      </w:r>
    </w:p>
    <w:p w14:paraId="77CDE125" w14:textId="64C99F15" w:rsidR="00360377" w:rsidRDefault="00360377" w:rsidP="00360377">
      <w:pPr>
        <w:pStyle w:val="13"/>
      </w:pPr>
      <w:r>
        <w:t>（八）意向受让方应当具备的基本条件、支付方式；</w:t>
      </w:r>
    </w:p>
    <w:p w14:paraId="30433816" w14:textId="25E8CEAF" w:rsidR="00360377" w:rsidRDefault="00360377" w:rsidP="00360377">
      <w:pPr>
        <w:pStyle w:val="13"/>
      </w:pPr>
      <w:r>
        <w:t>（九）律师事务所出具的法律意见书；</w:t>
      </w:r>
    </w:p>
    <w:p w14:paraId="1DCB7059" w14:textId="6F4DD22F" w:rsidR="00360377" w:rsidRDefault="00360377" w:rsidP="00360377">
      <w:pPr>
        <w:pStyle w:val="13"/>
      </w:pPr>
      <w:r>
        <w:t>（十）财政部门认为必要的其他文件。</w:t>
      </w:r>
    </w:p>
    <w:p w14:paraId="20A1BD55" w14:textId="17854146" w:rsidR="00360377" w:rsidRDefault="00360377" w:rsidP="00360377">
      <w:pPr>
        <w:pStyle w:val="13"/>
      </w:pPr>
      <w:r>
        <w:t>转让金融企业产权的，应当对是否符合相关金融监督管理部门的规定进行说明。</w:t>
      </w:r>
    </w:p>
    <w:p w14:paraId="77E925CA" w14:textId="3CE799D9" w:rsidR="00360377" w:rsidRDefault="00E05BDA" w:rsidP="00360377">
      <w:pPr>
        <w:pStyle w:val="13"/>
        <w:ind w:firstLine="482"/>
      </w:pPr>
      <w:r w:rsidRPr="00E05BDA">
        <w:rPr>
          <w:b/>
        </w:rPr>
        <w:t xml:space="preserve">第十六条 </w:t>
      </w:r>
      <w:r w:rsidR="00360377">
        <w:t>从事金融企业国有产权交易活动的产权交易机构，应当符合下列基本条件：</w:t>
      </w:r>
    </w:p>
    <w:p w14:paraId="465BB443" w14:textId="3D027BD0" w:rsidR="00360377" w:rsidRDefault="00360377" w:rsidP="00360377">
      <w:pPr>
        <w:pStyle w:val="13"/>
      </w:pPr>
      <w:r>
        <w:lastRenderedPageBreak/>
        <w:t>（一）遵守有关法律、法规、规章；</w:t>
      </w:r>
    </w:p>
    <w:p w14:paraId="471F4E2C" w14:textId="2354B800" w:rsidR="00360377" w:rsidRDefault="00360377" w:rsidP="00360377">
      <w:pPr>
        <w:pStyle w:val="13"/>
      </w:pPr>
      <w:r>
        <w:t>（二）具备相应的交易场所、信息发布渠道和专业人员，能够满足金融企业国有产权交易活动的需要；</w:t>
      </w:r>
    </w:p>
    <w:p w14:paraId="1706D40A" w14:textId="04239EE3" w:rsidR="00360377" w:rsidRDefault="00360377" w:rsidP="00360377">
      <w:pPr>
        <w:pStyle w:val="13"/>
      </w:pPr>
      <w:r>
        <w:t>（三）具有健全的内部管理制度，产权交易操作规范；</w:t>
      </w:r>
    </w:p>
    <w:p w14:paraId="7C01463E" w14:textId="6593177F" w:rsidR="00360377" w:rsidRDefault="00360377" w:rsidP="00360377">
      <w:pPr>
        <w:pStyle w:val="13"/>
      </w:pPr>
      <w:r>
        <w:t>（四）能够履行产权交易机构的职责，依法审查产权交易主体的资格和条件；</w:t>
      </w:r>
    </w:p>
    <w:p w14:paraId="57F0A4B8" w14:textId="56F94358" w:rsidR="00360377" w:rsidRDefault="00360377" w:rsidP="00360377">
      <w:pPr>
        <w:pStyle w:val="13"/>
      </w:pPr>
      <w:r>
        <w:t>（五）连续3年没有违法、违规记录；</w:t>
      </w:r>
    </w:p>
    <w:p w14:paraId="45EC0BC6" w14:textId="33996980" w:rsidR="00360377" w:rsidRDefault="00360377" w:rsidP="00360377">
      <w:pPr>
        <w:pStyle w:val="13"/>
      </w:pPr>
      <w:r>
        <w:t>（六）按照国家有关规定公开披露产权交易信息，并能够按要求及时向省级以上财政部门报告场内金融企业国有产权交易情况。</w:t>
      </w:r>
    </w:p>
    <w:p w14:paraId="0B8C781C" w14:textId="6438F325" w:rsidR="00360377" w:rsidRDefault="00E05BDA" w:rsidP="00360377">
      <w:pPr>
        <w:pStyle w:val="13"/>
        <w:ind w:firstLine="482"/>
      </w:pPr>
      <w:r w:rsidRPr="00E05BDA">
        <w:rPr>
          <w:b/>
        </w:rPr>
        <w:t xml:space="preserve">第十七条 </w:t>
      </w:r>
      <w:r w:rsidR="00360377">
        <w:t>转让方在确定进场交易的产权交易机构后，应当委托该产权交易机构在省级以上公开发行的经济或者金融类报刊和产权交易机构的网站上刊登产权转让公告，公开披露有关非上市企业产权转让信息，征集意向受让方。</w:t>
      </w:r>
    </w:p>
    <w:p w14:paraId="26E88119" w14:textId="53135DB8" w:rsidR="00360377" w:rsidRDefault="00360377" w:rsidP="00360377">
      <w:pPr>
        <w:pStyle w:val="13"/>
      </w:pPr>
      <w:r>
        <w:t>产权转让公告期不得少于20个工作日。</w:t>
      </w:r>
    </w:p>
    <w:p w14:paraId="40AD5507" w14:textId="1741318A" w:rsidR="00360377" w:rsidRDefault="00E05BDA" w:rsidP="00360377">
      <w:pPr>
        <w:pStyle w:val="13"/>
        <w:ind w:firstLine="482"/>
      </w:pPr>
      <w:r w:rsidRPr="00E05BDA">
        <w:rPr>
          <w:b/>
        </w:rPr>
        <w:t xml:space="preserve">第十八条 </w:t>
      </w:r>
      <w:r w:rsidR="00360377">
        <w:t>转让方披露的非上市企业产权转让信息应当包括下列内容：</w:t>
      </w:r>
    </w:p>
    <w:p w14:paraId="54A3C92E" w14:textId="60C1377F" w:rsidR="00360377" w:rsidRDefault="00360377" w:rsidP="00360377">
      <w:pPr>
        <w:pStyle w:val="13"/>
      </w:pPr>
      <w:r>
        <w:t>（一）转让标的企业的基本情况；</w:t>
      </w:r>
    </w:p>
    <w:p w14:paraId="2A69C92C" w14:textId="6F7AE9C9" w:rsidR="00360377" w:rsidRDefault="00360377" w:rsidP="00360377">
      <w:pPr>
        <w:pStyle w:val="13"/>
      </w:pPr>
      <w:r>
        <w:t>（二）转让标的企业的产权构成情况；</w:t>
      </w:r>
    </w:p>
    <w:p w14:paraId="37576032" w14:textId="5967BE60" w:rsidR="00360377" w:rsidRDefault="00360377" w:rsidP="00360377">
      <w:pPr>
        <w:pStyle w:val="13"/>
      </w:pPr>
      <w:r>
        <w:t>（三）产权转让行为的内部决策情况；</w:t>
      </w:r>
    </w:p>
    <w:p w14:paraId="2E123562" w14:textId="7BFF5A8A" w:rsidR="00360377" w:rsidRDefault="00360377" w:rsidP="00360377">
      <w:pPr>
        <w:pStyle w:val="13"/>
      </w:pPr>
      <w:r>
        <w:t>（四）转让标的企业最近一期经会计师事务所审计的主要财务指标数据；</w:t>
      </w:r>
    </w:p>
    <w:p w14:paraId="0B96B491" w14:textId="0E414F08" w:rsidR="00360377" w:rsidRDefault="00360377" w:rsidP="00360377">
      <w:pPr>
        <w:pStyle w:val="13"/>
      </w:pPr>
      <w:r>
        <w:t>（五）转让标的企业资产评估核准或者备案情况；</w:t>
      </w:r>
    </w:p>
    <w:p w14:paraId="2F99C87D" w14:textId="7A8192C9" w:rsidR="00360377" w:rsidRDefault="00360377" w:rsidP="00360377">
      <w:pPr>
        <w:pStyle w:val="13"/>
      </w:pPr>
      <w:r>
        <w:t>（六）受让方应当具备的基本条件；</w:t>
      </w:r>
    </w:p>
    <w:p w14:paraId="39AD2486" w14:textId="57E921A7" w:rsidR="00360377" w:rsidRDefault="00360377" w:rsidP="00360377">
      <w:pPr>
        <w:pStyle w:val="13"/>
      </w:pPr>
      <w:r>
        <w:t>（七）其他需要披露的事项。</w:t>
      </w:r>
    </w:p>
    <w:p w14:paraId="425EFC99" w14:textId="25BCEE98" w:rsidR="00360377" w:rsidRDefault="00360377" w:rsidP="00360377">
      <w:pPr>
        <w:pStyle w:val="13"/>
      </w:pPr>
      <w:r>
        <w:t>需要按本办法办理审批手续的，还应当披露产权转让行为的批准情况。</w:t>
      </w:r>
    </w:p>
    <w:p w14:paraId="510D6434" w14:textId="547ED4AF" w:rsidR="00360377" w:rsidRDefault="00E05BDA" w:rsidP="00360377">
      <w:pPr>
        <w:pStyle w:val="13"/>
        <w:ind w:firstLine="482"/>
      </w:pPr>
      <w:r w:rsidRPr="00E05BDA">
        <w:rPr>
          <w:b/>
        </w:rPr>
        <w:t xml:space="preserve">第十九条 </w:t>
      </w:r>
      <w:r w:rsidR="00360377">
        <w:t>意向受让方一般应当具备下列条件：</w:t>
      </w:r>
    </w:p>
    <w:p w14:paraId="09CA0AF1" w14:textId="6B5BC103" w:rsidR="00360377" w:rsidRDefault="00360377" w:rsidP="00360377">
      <w:pPr>
        <w:pStyle w:val="13"/>
      </w:pPr>
      <w:r>
        <w:t>（一）具有良好的财务状况和支付能力；</w:t>
      </w:r>
    </w:p>
    <w:p w14:paraId="2712702E" w14:textId="3A088D5F" w:rsidR="00360377" w:rsidRDefault="00360377" w:rsidP="00360377">
      <w:pPr>
        <w:pStyle w:val="13"/>
      </w:pPr>
      <w:r>
        <w:t>（二）具有良好的商业信用；</w:t>
      </w:r>
    </w:p>
    <w:p w14:paraId="09666A22" w14:textId="752443F5" w:rsidR="00360377" w:rsidRDefault="00360377" w:rsidP="00360377">
      <w:pPr>
        <w:pStyle w:val="13"/>
      </w:pPr>
      <w:r>
        <w:t>（三）受让方为自然人的，应当具有完全民事行为能力；</w:t>
      </w:r>
    </w:p>
    <w:p w14:paraId="39025087" w14:textId="0B501507" w:rsidR="00360377" w:rsidRDefault="00360377" w:rsidP="00360377">
      <w:pPr>
        <w:pStyle w:val="13"/>
      </w:pPr>
      <w:r>
        <w:t>（四）国家规定的其他条件。</w:t>
      </w:r>
    </w:p>
    <w:p w14:paraId="28D80B09" w14:textId="1A436D4F" w:rsidR="00360377" w:rsidRDefault="00360377" w:rsidP="00360377">
      <w:pPr>
        <w:pStyle w:val="13"/>
      </w:pPr>
      <w:r>
        <w:t>在不违反相关监督管理要求和公平竞争原则下，转让方可以对意向受让方的资质、商业信誉、行业准入、资产规模、经营情况、财务状况、管理能力等提出具体要求。</w:t>
      </w:r>
    </w:p>
    <w:p w14:paraId="032C1065" w14:textId="0002F079" w:rsidR="00360377" w:rsidRDefault="00E05BDA" w:rsidP="00360377">
      <w:pPr>
        <w:pStyle w:val="13"/>
        <w:ind w:firstLine="482"/>
      </w:pPr>
      <w:r w:rsidRPr="00E05BDA">
        <w:rPr>
          <w:b/>
        </w:rPr>
        <w:t xml:space="preserve">第二十条 </w:t>
      </w:r>
      <w:r w:rsidR="00360377">
        <w:t>在产权交易过程中，首次挂牌价格不得低于经核准或者备案的资产评估结果。</w:t>
      </w:r>
    </w:p>
    <w:p w14:paraId="4C7DA80A" w14:textId="543340DE" w:rsidR="00360377" w:rsidRDefault="00360377" w:rsidP="00360377">
      <w:pPr>
        <w:pStyle w:val="13"/>
      </w:pPr>
      <w:r>
        <w:t>首次挂牌未能征集到意向受让方的，转让方可以根据转让标的企业情况确定新的挂牌价格并重新公告。如新的挂牌价格低于资产评估结果的90%，应当重新报批。</w:t>
      </w:r>
    </w:p>
    <w:p w14:paraId="0BA46E11" w14:textId="4EB2702F" w:rsidR="00360377" w:rsidRDefault="00E05BDA" w:rsidP="00360377">
      <w:pPr>
        <w:pStyle w:val="13"/>
        <w:ind w:firstLine="482"/>
      </w:pPr>
      <w:r w:rsidRPr="00E05BDA">
        <w:rPr>
          <w:b/>
        </w:rPr>
        <w:t xml:space="preserve">第二十一条 </w:t>
      </w:r>
      <w:r w:rsidR="00360377">
        <w:t>经公开征集，产生2个以上（含2个）意向受让方时，转让方应当</w:t>
      </w:r>
      <w:r w:rsidR="00360377">
        <w:lastRenderedPageBreak/>
        <w:t>会同产权交易机构共同对意向受让方进行资格审核，根据转让标的企业的具体情况采取拍卖、招投标或者国家规定的其他公开竞价方式实施产权交易。</w:t>
      </w:r>
    </w:p>
    <w:p w14:paraId="3E1F31E8" w14:textId="07897F4D" w:rsidR="00360377" w:rsidRDefault="00360377" w:rsidP="00360377">
      <w:pPr>
        <w:pStyle w:val="13"/>
      </w:pPr>
      <w:r>
        <w:t>采取拍卖方式</w:t>
      </w:r>
      <w:proofErr w:type="gramStart"/>
      <w:r>
        <w:t>转让非</w:t>
      </w:r>
      <w:proofErr w:type="gramEnd"/>
      <w:r>
        <w:t>上市企业产权的，应当按照《中华人民共和国拍卖法》及其他有关规定组织实施。</w:t>
      </w:r>
    </w:p>
    <w:p w14:paraId="4DCA5FCE" w14:textId="40E54F4A" w:rsidR="00360377" w:rsidRDefault="00360377" w:rsidP="00360377">
      <w:pPr>
        <w:pStyle w:val="13"/>
      </w:pPr>
      <w:r>
        <w:t>采取招投标方式</w:t>
      </w:r>
      <w:proofErr w:type="gramStart"/>
      <w:r>
        <w:t>转让非</w:t>
      </w:r>
      <w:proofErr w:type="gramEnd"/>
      <w:r>
        <w:t>上市企业产权的，应当按照《中华人民共和国招标投标法》及其他有关规定组织实施。</w:t>
      </w:r>
    </w:p>
    <w:p w14:paraId="67CA4976" w14:textId="13EBE623" w:rsidR="00360377" w:rsidRDefault="00E05BDA" w:rsidP="00360377">
      <w:pPr>
        <w:pStyle w:val="13"/>
        <w:ind w:firstLine="482"/>
      </w:pPr>
      <w:r w:rsidRPr="00E05BDA">
        <w:rPr>
          <w:b/>
        </w:rPr>
        <w:t xml:space="preserve">第二十二条 </w:t>
      </w:r>
      <w:r w:rsidR="00360377">
        <w:t>经产权交易机构公开征集只产生1个符合条件的意向受让方时，产权转让可以采取场内协议转让方式进行，但转让价格不得低于挂牌价格。</w:t>
      </w:r>
    </w:p>
    <w:p w14:paraId="567115B9" w14:textId="31F27535" w:rsidR="00360377" w:rsidRDefault="00360377" w:rsidP="00360377">
      <w:pPr>
        <w:pStyle w:val="13"/>
      </w:pPr>
      <w:r>
        <w:t>采取场内协议转让方式的，转让方应当与受让方进行充分协商，依法妥善处理转让中所涉及的相关事项后，签订产权转让协议（合同，下同）。</w:t>
      </w:r>
    </w:p>
    <w:p w14:paraId="4B5B3C96" w14:textId="786B9E12" w:rsidR="00360377" w:rsidRDefault="00E05BDA" w:rsidP="00360377">
      <w:pPr>
        <w:pStyle w:val="13"/>
        <w:ind w:firstLine="482"/>
      </w:pPr>
      <w:r w:rsidRPr="00E05BDA">
        <w:rPr>
          <w:b/>
        </w:rPr>
        <w:t xml:space="preserve">第二十三条 </w:t>
      </w:r>
      <w:r w:rsidR="00360377">
        <w:t>确定受让方后，转让方应当与受让方签订产权转让协议。</w:t>
      </w:r>
    </w:p>
    <w:p w14:paraId="0630334B" w14:textId="0765AA17" w:rsidR="00360377" w:rsidRDefault="00360377" w:rsidP="00360377">
      <w:pPr>
        <w:pStyle w:val="13"/>
      </w:pPr>
      <w:r>
        <w:t>转让协议应当包括下列内容：</w:t>
      </w:r>
    </w:p>
    <w:p w14:paraId="022C6DD6" w14:textId="623AD9E5" w:rsidR="00360377" w:rsidRDefault="00360377" w:rsidP="00360377">
      <w:pPr>
        <w:pStyle w:val="13"/>
      </w:pPr>
      <w:r>
        <w:t>（一）转让与受让双方的名称与住所；</w:t>
      </w:r>
    </w:p>
    <w:p w14:paraId="7D7E56F2" w14:textId="06C6001C" w:rsidR="00360377" w:rsidRDefault="00360377" w:rsidP="00360377">
      <w:pPr>
        <w:pStyle w:val="13"/>
      </w:pPr>
      <w:r>
        <w:t>（二）转让标的企业产权的基本情况；</w:t>
      </w:r>
    </w:p>
    <w:p w14:paraId="72DA888F" w14:textId="74FEE472" w:rsidR="00360377" w:rsidRDefault="00360377" w:rsidP="00360377">
      <w:pPr>
        <w:pStyle w:val="13"/>
      </w:pPr>
      <w:r>
        <w:t>（三）转让方式、转让价格、价款支付时间和方式及付款条件；</w:t>
      </w:r>
    </w:p>
    <w:p w14:paraId="44B5D674" w14:textId="718EE50B" w:rsidR="00360377" w:rsidRDefault="00360377" w:rsidP="00360377">
      <w:pPr>
        <w:pStyle w:val="13"/>
      </w:pPr>
      <w:r>
        <w:t>（四）产权交割事项；</w:t>
      </w:r>
    </w:p>
    <w:p w14:paraId="0EF0E767" w14:textId="11F5CC1D" w:rsidR="00360377" w:rsidRDefault="00360377" w:rsidP="00360377">
      <w:pPr>
        <w:pStyle w:val="13"/>
      </w:pPr>
      <w:r>
        <w:t>（五）转让涉及的有关税费负担；</w:t>
      </w:r>
    </w:p>
    <w:p w14:paraId="4AEA03EE" w14:textId="1DA4246B" w:rsidR="00360377" w:rsidRDefault="00360377" w:rsidP="00360377">
      <w:pPr>
        <w:pStyle w:val="13"/>
      </w:pPr>
      <w:r>
        <w:t>（六）协议争议的解决方式；</w:t>
      </w:r>
    </w:p>
    <w:p w14:paraId="0EA58D11" w14:textId="3D15D2F8" w:rsidR="00360377" w:rsidRDefault="00360377" w:rsidP="00360377">
      <w:pPr>
        <w:pStyle w:val="13"/>
      </w:pPr>
      <w:r>
        <w:t>（七）协议各方的违约责任；</w:t>
      </w:r>
    </w:p>
    <w:p w14:paraId="00218338" w14:textId="094B537B" w:rsidR="00360377" w:rsidRDefault="00360377" w:rsidP="00360377">
      <w:pPr>
        <w:pStyle w:val="13"/>
      </w:pPr>
      <w:r>
        <w:t>（八）协议变更和解除的条件；</w:t>
      </w:r>
    </w:p>
    <w:p w14:paraId="20B3BE1B" w14:textId="29CE51ED" w:rsidR="00360377" w:rsidRDefault="00360377" w:rsidP="00360377">
      <w:pPr>
        <w:pStyle w:val="13"/>
      </w:pPr>
      <w:r>
        <w:t>（九）转让和受让双方认为必要的其他条款。</w:t>
      </w:r>
    </w:p>
    <w:p w14:paraId="2A90E595" w14:textId="600327C0" w:rsidR="00360377" w:rsidRDefault="00E05BDA" w:rsidP="00360377">
      <w:pPr>
        <w:pStyle w:val="13"/>
        <w:ind w:firstLine="482"/>
      </w:pPr>
      <w:r w:rsidRPr="00E05BDA">
        <w:rPr>
          <w:b/>
        </w:rPr>
        <w:t xml:space="preserve">第二十四条 </w:t>
      </w:r>
      <w:r w:rsidR="00360377">
        <w:t>转让方应当按照产权转让协议的约定及时收取产权转让的全部价款，转让价款原则上应当采取货币性资产一次性收取。如金额较大、一次付清确有困难的，可以约定分期付款方式，但分期付款期限不得超过１年。</w:t>
      </w:r>
    </w:p>
    <w:p w14:paraId="13C449D7" w14:textId="3D94A846" w:rsidR="00360377" w:rsidRDefault="00360377" w:rsidP="00360377">
      <w:pPr>
        <w:pStyle w:val="13"/>
      </w:pPr>
      <w:r>
        <w:t>采用分期付款方式的，受让方首期付款不得低于总价款的30%，并在协议生效之日起5个工作日内支付；其余款项应当办理合法的价款支付保全手续，并按同期金融机构基准贷款利率向转让方支付分期付款期间利息。在全部转让价款支付完毕前或者未办理价款支付保全手续前，转让方不得申请办理国有产权登记和工商变更登记手续。</w:t>
      </w:r>
    </w:p>
    <w:p w14:paraId="6C51863C" w14:textId="0B085947" w:rsidR="00360377" w:rsidRDefault="00360377" w:rsidP="00360377">
      <w:pPr>
        <w:pStyle w:val="13"/>
      </w:pPr>
      <w:r>
        <w:t>受让方以非货币性资产支付产权转让价款的，转让方应当按照有关规定委托资产评估机构进行资产评估，确定非货币性资产的价值。</w:t>
      </w:r>
    </w:p>
    <w:p w14:paraId="0E97906E" w14:textId="11824DCA" w:rsidR="00360377" w:rsidRDefault="00E05BDA" w:rsidP="00360377">
      <w:pPr>
        <w:pStyle w:val="13"/>
        <w:ind w:firstLine="482"/>
      </w:pPr>
      <w:r w:rsidRPr="00E05BDA">
        <w:rPr>
          <w:b/>
        </w:rPr>
        <w:t xml:space="preserve">第二十五条 </w:t>
      </w:r>
      <w:r w:rsidR="00360377">
        <w:t>财政部门应当对转让方报送的材料进行认真审核，确定是否批准相关产权转让事项。</w:t>
      </w:r>
    </w:p>
    <w:p w14:paraId="678C7D56" w14:textId="253733CC" w:rsidR="00360377" w:rsidRDefault="00360377" w:rsidP="00360377">
      <w:pPr>
        <w:pStyle w:val="13"/>
      </w:pPr>
      <w:r>
        <w:t>转让事项经批准后，如转让和受让双方调整产权转让比例或者产权转让方案有</w:t>
      </w:r>
      <w:r>
        <w:lastRenderedPageBreak/>
        <w:t>重大变化，造成与批准事项不符的，应当按照规定程序重新报批。</w:t>
      </w:r>
    </w:p>
    <w:p w14:paraId="13B140FC" w14:textId="00D75410" w:rsidR="00360377" w:rsidRDefault="00E05BDA" w:rsidP="00360377">
      <w:pPr>
        <w:pStyle w:val="13"/>
        <w:ind w:firstLine="482"/>
      </w:pPr>
      <w:r w:rsidRPr="00E05BDA">
        <w:rPr>
          <w:b/>
        </w:rPr>
        <w:t xml:space="preserve">第二十六条 </w:t>
      </w:r>
      <w:r w:rsidR="00360377">
        <w:t>非上市企业产权转让过程中涉及国有土地（海域）使用权、探矿权、采矿权的，应当按照国家有关规定另行办理相关手续。</w:t>
      </w:r>
    </w:p>
    <w:p w14:paraId="1216B6E0" w14:textId="4C2A96E2" w:rsidR="00360377" w:rsidRDefault="00E05BDA" w:rsidP="00360377">
      <w:pPr>
        <w:pStyle w:val="13"/>
        <w:ind w:firstLine="482"/>
      </w:pPr>
      <w:r w:rsidRPr="00E05BDA">
        <w:rPr>
          <w:b/>
        </w:rPr>
        <w:t xml:space="preserve">第二十七条 </w:t>
      </w:r>
      <w:r w:rsidR="00360377">
        <w:t>非上市企业产权转让完成后，转让和受让双方应当凭产权交易机构出具的产权交易凭证，按照国家有关规定及时办理相关国有产权登记手续。</w:t>
      </w:r>
    </w:p>
    <w:p w14:paraId="1DB6DACE" w14:textId="154D853F" w:rsidR="00360377" w:rsidRDefault="00360377" w:rsidP="00AF7342">
      <w:pPr>
        <w:pStyle w:val="a9"/>
        <w:spacing w:before="62" w:after="62"/>
      </w:pPr>
      <w:r>
        <w:rPr>
          <w:rFonts w:hint="eastAsia"/>
        </w:rPr>
        <w:t>第三章 上市公司国有股份转让</w:t>
      </w:r>
    </w:p>
    <w:p w14:paraId="6F0175DB" w14:textId="55BD1AC8" w:rsidR="00360377" w:rsidRDefault="00E05BDA" w:rsidP="00360377">
      <w:pPr>
        <w:pStyle w:val="13"/>
        <w:ind w:firstLine="482"/>
      </w:pPr>
      <w:r w:rsidRPr="00E05BDA">
        <w:rPr>
          <w:b/>
        </w:rPr>
        <w:t xml:space="preserve">第二十八条 </w:t>
      </w:r>
      <w:r w:rsidR="00360377">
        <w:t>转让上市金融企业国有股份和金融企业转让上市公司国有股份应当通过依法设立的证券交易系统进行。</w:t>
      </w:r>
    </w:p>
    <w:p w14:paraId="261347C0" w14:textId="527FF640" w:rsidR="00360377" w:rsidRDefault="00E05BDA" w:rsidP="00360377">
      <w:pPr>
        <w:pStyle w:val="13"/>
        <w:ind w:firstLine="482"/>
      </w:pPr>
      <w:r w:rsidRPr="00E05BDA">
        <w:rPr>
          <w:b/>
        </w:rPr>
        <w:t xml:space="preserve">第二十九条 </w:t>
      </w:r>
      <w:r w:rsidR="00360377">
        <w:t>转让方应当根据有关规定，办理上市公司股份转让的信息披露事项。</w:t>
      </w:r>
    </w:p>
    <w:p w14:paraId="4CB44786" w14:textId="13EC3966" w:rsidR="00360377" w:rsidRDefault="00E05BDA" w:rsidP="00360377">
      <w:pPr>
        <w:pStyle w:val="13"/>
        <w:ind w:firstLine="482"/>
      </w:pPr>
      <w:r w:rsidRPr="00E05BDA">
        <w:rPr>
          <w:b/>
        </w:rPr>
        <w:t xml:space="preserve">第三十条 </w:t>
      </w:r>
      <w:r w:rsidR="00360377">
        <w:t>转让方为上市公司控股股东，应当将股份转让方案报财政部门审批后实施。</w:t>
      </w:r>
    </w:p>
    <w:p w14:paraId="3B28B10D" w14:textId="2832EAC7" w:rsidR="00360377" w:rsidRDefault="00360377" w:rsidP="00360377">
      <w:pPr>
        <w:pStyle w:val="13"/>
      </w:pPr>
      <w:r>
        <w:t>涉及国民经济关键行业的，应当得到相关部门的批准。</w:t>
      </w:r>
    </w:p>
    <w:p w14:paraId="231D239B" w14:textId="486C3AAB" w:rsidR="00360377" w:rsidRDefault="003B2FB1" w:rsidP="00360377">
      <w:pPr>
        <w:pStyle w:val="13"/>
        <w:ind w:firstLine="482"/>
      </w:pPr>
      <w:r w:rsidRPr="003B2FB1">
        <w:rPr>
          <w:b/>
        </w:rPr>
        <w:t xml:space="preserve">第三十一条 </w:t>
      </w:r>
      <w:r w:rsidR="00360377">
        <w:t>转让方为上市公司参股股东，在1个完整会计年度内累计净转让股份（累计减持股份扣除累计增持股份后的余额，下同）比例未达到上市公司总股本5%的，由转让方按照内部决策程序决定，并在每年1月10日前将上一年度转让上市公司股份的情况报财政部门；达到或者超过上市公司总股本5%的，应当事先将转让方案报财政部门批准后实施。</w:t>
      </w:r>
    </w:p>
    <w:p w14:paraId="2FEBA9A8" w14:textId="049FA951" w:rsidR="00360377" w:rsidRDefault="003B2FB1" w:rsidP="00360377">
      <w:pPr>
        <w:pStyle w:val="13"/>
        <w:ind w:firstLine="482"/>
      </w:pPr>
      <w:r w:rsidRPr="003B2FB1">
        <w:rPr>
          <w:b/>
        </w:rPr>
        <w:t xml:space="preserve">第三十二条 </w:t>
      </w:r>
      <w:r w:rsidR="00360377">
        <w:t>转让方转让上市公司国有股份需要报财政部门审批的，报送材料应当包括：</w:t>
      </w:r>
    </w:p>
    <w:p w14:paraId="7ED85C48" w14:textId="785783C0" w:rsidR="00360377" w:rsidRDefault="00360377" w:rsidP="00360377">
      <w:pPr>
        <w:pStyle w:val="13"/>
      </w:pPr>
      <w:r>
        <w:t>（一）转让上市公司股份的申请书，包括转让原因、转让股份数量、持股成本、转让价格确定等内容；</w:t>
      </w:r>
    </w:p>
    <w:p w14:paraId="4D593695" w14:textId="50666532" w:rsidR="00360377" w:rsidRDefault="00360377" w:rsidP="00360377">
      <w:pPr>
        <w:pStyle w:val="13"/>
      </w:pPr>
      <w:r>
        <w:t>（二）上市公司股份转让方案和内部决策文件；</w:t>
      </w:r>
    </w:p>
    <w:p w14:paraId="728FD8DA" w14:textId="0345002A" w:rsidR="00360377" w:rsidRDefault="00360377" w:rsidP="00360377">
      <w:pPr>
        <w:pStyle w:val="13"/>
      </w:pPr>
      <w:r>
        <w:t>（三）转让方基本情况及上一年度经会计师事务所审计的财务会计报告；</w:t>
      </w:r>
    </w:p>
    <w:p w14:paraId="137F2486" w14:textId="09240C4D" w:rsidR="00360377" w:rsidRDefault="00360377" w:rsidP="00360377">
      <w:pPr>
        <w:pStyle w:val="13"/>
      </w:pPr>
      <w:r>
        <w:t>（四）上市公司基本情况及最近一期年度财务会计报告和经会计师事务所审计的财务会计报告；</w:t>
      </w:r>
    </w:p>
    <w:p w14:paraId="0FA8EFF1" w14:textId="46F88C90" w:rsidR="00360377" w:rsidRDefault="00360377" w:rsidP="00360377">
      <w:pPr>
        <w:pStyle w:val="13"/>
      </w:pPr>
      <w:r>
        <w:t>（五）转让上市公司股份对公司控制权、公司股价和资本市场的影响；</w:t>
      </w:r>
    </w:p>
    <w:p w14:paraId="5F099A0F" w14:textId="48354FB0" w:rsidR="00360377" w:rsidRDefault="00360377" w:rsidP="00360377">
      <w:pPr>
        <w:pStyle w:val="13"/>
      </w:pPr>
      <w:r>
        <w:t>（六）财政部门规定的其他文件。</w:t>
      </w:r>
    </w:p>
    <w:p w14:paraId="0E68236B" w14:textId="403EE642" w:rsidR="00360377" w:rsidRDefault="00360377" w:rsidP="00360377">
      <w:pPr>
        <w:pStyle w:val="13"/>
      </w:pPr>
      <w:r>
        <w:t>财政部门应当对转让方报送的材料进行认真审核，确定是否同意上市公司股份转让事项。</w:t>
      </w:r>
    </w:p>
    <w:p w14:paraId="4C237DE9" w14:textId="1710F71E" w:rsidR="00360377" w:rsidRDefault="003B2FB1" w:rsidP="00360377">
      <w:pPr>
        <w:pStyle w:val="13"/>
        <w:ind w:firstLine="482"/>
      </w:pPr>
      <w:r w:rsidRPr="003B2FB1">
        <w:rPr>
          <w:b/>
        </w:rPr>
        <w:t xml:space="preserve">第三十三条 </w:t>
      </w:r>
      <w:r w:rsidR="00360377">
        <w:t>转让方采取大宗交易方式转让上市公司股份的，股份转让价格不得低于该上市公司股票当天交易的加权平均价格；当日无成交的，不得低于前1个交易日的加权平均价格。</w:t>
      </w:r>
    </w:p>
    <w:p w14:paraId="08A23CC6" w14:textId="3797AB94" w:rsidR="00360377" w:rsidRDefault="003B2FB1" w:rsidP="00360377">
      <w:pPr>
        <w:pStyle w:val="13"/>
        <w:ind w:firstLine="482"/>
      </w:pPr>
      <w:r w:rsidRPr="003B2FB1">
        <w:rPr>
          <w:b/>
        </w:rPr>
        <w:t xml:space="preserve">第三十四条 </w:t>
      </w:r>
      <w:r w:rsidR="00360377">
        <w:t>上市公司股份转让完成后，转让方应当按照国家有关规定及时办理国有产权登记手续。</w:t>
      </w:r>
    </w:p>
    <w:p w14:paraId="145F30EE" w14:textId="6DDC67D0" w:rsidR="00360377" w:rsidRDefault="00360377" w:rsidP="00AF7342">
      <w:pPr>
        <w:pStyle w:val="a9"/>
        <w:spacing w:before="62" w:after="62"/>
      </w:pPr>
      <w:r>
        <w:rPr>
          <w:rFonts w:hint="eastAsia"/>
        </w:rPr>
        <w:lastRenderedPageBreak/>
        <w:t>第四章 国有资产直接协议转让</w:t>
      </w:r>
    </w:p>
    <w:p w14:paraId="42B3F435" w14:textId="1228AD32" w:rsidR="00360377" w:rsidRDefault="003B2FB1" w:rsidP="00360377">
      <w:pPr>
        <w:pStyle w:val="13"/>
        <w:ind w:firstLine="482"/>
      </w:pPr>
      <w:r w:rsidRPr="003B2FB1">
        <w:rPr>
          <w:b/>
        </w:rPr>
        <w:t xml:space="preserve">第三十五条 </w:t>
      </w:r>
      <w:r w:rsidR="00360377">
        <w:t>有下列情况之一，经国务院批准或者财政部门批准，转让方可以采取直接协议转让方式</w:t>
      </w:r>
      <w:proofErr w:type="gramStart"/>
      <w:r w:rsidR="00360377">
        <w:t>转让非</w:t>
      </w:r>
      <w:proofErr w:type="gramEnd"/>
      <w:r w:rsidR="00360377">
        <w:t>上市企业国有产权和上市公司国有股份。</w:t>
      </w:r>
    </w:p>
    <w:p w14:paraId="0CAC71B8" w14:textId="48AE7D0F" w:rsidR="00360377" w:rsidRDefault="00360377" w:rsidP="00360377">
      <w:pPr>
        <w:pStyle w:val="13"/>
      </w:pPr>
      <w:r>
        <w:t>（一）国家有关规定对受让方有特殊要求；</w:t>
      </w:r>
    </w:p>
    <w:p w14:paraId="4E9358DD" w14:textId="6900905F" w:rsidR="00360377" w:rsidRDefault="00360377" w:rsidP="00360377">
      <w:pPr>
        <w:pStyle w:val="13"/>
      </w:pPr>
      <w:r>
        <w:t>（二）控股（集团）公司进行内部资产重组；</w:t>
      </w:r>
    </w:p>
    <w:p w14:paraId="05C4F8E5" w14:textId="55AF8A3E" w:rsidR="00360377" w:rsidRDefault="00360377" w:rsidP="00360377">
      <w:pPr>
        <w:pStyle w:val="13"/>
      </w:pPr>
      <w:r>
        <w:t>（三）其他特殊原因</w:t>
      </w:r>
    </w:p>
    <w:p w14:paraId="708D1E2A" w14:textId="4A573E6B" w:rsidR="00360377" w:rsidRDefault="00360377" w:rsidP="00360377">
      <w:pPr>
        <w:pStyle w:val="13"/>
      </w:pPr>
      <w:r>
        <w:t>拟采取直接协议转让方式对控股（集团）公司内部进行资产重组的，中央管理的金融企业一级子公司的产权转让工作由财政部负责；</w:t>
      </w:r>
      <w:proofErr w:type="gramStart"/>
      <w:r>
        <w:t>一级以</w:t>
      </w:r>
      <w:proofErr w:type="gramEnd"/>
      <w:r>
        <w:t>下子公司的产权转让由控股（集团）公司负责，其中：拟直接协议转让控股上市公司股份的，应当将转让方案报财政部审批。</w:t>
      </w:r>
    </w:p>
    <w:p w14:paraId="70CB1B34" w14:textId="6663F638" w:rsidR="00360377" w:rsidRDefault="003B2FB1" w:rsidP="00360377">
      <w:pPr>
        <w:pStyle w:val="13"/>
        <w:ind w:firstLine="482"/>
      </w:pPr>
      <w:r w:rsidRPr="003B2FB1">
        <w:rPr>
          <w:b/>
        </w:rPr>
        <w:t xml:space="preserve">第三十六条 </w:t>
      </w:r>
      <w:r w:rsidR="00360377">
        <w:t>转让方采用直接协议方式</w:t>
      </w:r>
      <w:proofErr w:type="gramStart"/>
      <w:r w:rsidR="00360377">
        <w:t>转让非</w:t>
      </w:r>
      <w:proofErr w:type="gramEnd"/>
      <w:r w:rsidR="00360377">
        <w:t>上市企业产权的，应当按照本办法第十三条、第十四条、第十五条、第二十三条和第二十四条的规定，组织转让方案制定、资产评估、审核材料报送、转让协议签署和转让价款收取等项工作。</w:t>
      </w:r>
    </w:p>
    <w:p w14:paraId="3ADF9419" w14:textId="3DE0E5A7" w:rsidR="00360377" w:rsidRDefault="003B2FB1" w:rsidP="00360377">
      <w:pPr>
        <w:pStyle w:val="13"/>
        <w:ind w:firstLine="482"/>
      </w:pPr>
      <w:r w:rsidRPr="003B2FB1">
        <w:rPr>
          <w:b/>
        </w:rPr>
        <w:t xml:space="preserve">第三十七条 </w:t>
      </w:r>
      <w:r w:rsidR="00360377">
        <w:t>非上市企业产权直接协议转让的价格不得低于经核准或者备案的资产评估结果。</w:t>
      </w:r>
    </w:p>
    <w:p w14:paraId="2E4166D0" w14:textId="75E80DEC" w:rsidR="00360377" w:rsidRDefault="00360377" w:rsidP="00360377">
      <w:pPr>
        <w:pStyle w:val="13"/>
      </w:pPr>
      <w:r>
        <w:t>国有金融企业在实施内部资产重组过程中，拟采取直接协议方式转让产权、且转让方和受让方为控股（集团）公司所属独资子公司的，可以不对转让标的企业进行整体评估，但转让价格不得低于最近一期经审计确认的净资产值。</w:t>
      </w:r>
    </w:p>
    <w:p w14:paraId="1E120A56" w14:textId="7693091E" w:rsidR="00360377" w:rsidRDefault="003B2FB1" w:rsidP="00360377">
      <w:pPr>
        <w:pStyle w:val="13"/>
        <w:ind w:firstLine="482"/>
      </w:pPr>
      <w:r w:rsidRPr="003B2FB1">
        <w:rPr>
          <w:b/>
        </w:rPr>
        <w:t xml:space="preserve">第三十八条 </w:t>
      </w:r>
      <w:r w:rsidR="00360377">
        <w:t>财政部门对金融企业以直接协议转让形式</w:t>
      </w:r>
      <w:proofErr w:type="gramStart"/>
      <w:r w:rsidR="00360377">
        <w:t>转让非</w:t>
      </w:r>
      <w:proofErr w:type="gramEnd"/>
      <w:r w:rsidR="00360377">
        <w:t>上市企业产权的审核按照本办法第二十五条规定执行。</w:t>
      </w:r>
    </w:p>
    <w:p w14:paraId="352357BD" w14:textId="1ED97EA5" w:rsidR="00360377" w:rsidRDefault="003B2FB1" w:rsidP="00360377">
      <w:pPr>
        <w:pStyle w:val="13"/>
        <w:ind w:firstLine="482"/>
      </w:pPr>
      <w:r w:rsidRPr="003B2FB1">
        <w:rPr>
          <w:b/>
        </w:rPr>
        <w:t xml:space="preserve">第三十九条 </w:t>
      </w:r>
      <w:r w:rsidR="00360377">
        <w:t>转让方拟直接协议转让上市公司股份的，应当按照内部决策程序交股东大会、董事会或者其他决策部门进行审议，形成书面决议，并及时报告财政部门。</w:t>
      </w:r>
    </w:p>
    <w:p w14:paraId="27E9C6FA" w14:textId="0B40C6D4" w:rsidR="00360377" w:rsidRDefault="00360377" w:rsidP="00360377">
      <w:pPr>
        <w:pStyle w:val="13"/>
      </w:pPr>
      <w:r>
        <w:t>转让方应当将拟直接协议转让股份的信息书面告知上市公司，由上市公司依法向社会公众进行提示性公告，公告中应当注明，本次股份拟直接协议转让事项应当经财政部门审批。</w:t>
      </w:r>
    </w:p>
    <w:p w14:paraId="4E832C14" w14:textId="3DCE1490" w:rsidR="00360377" w:rsidRDefault="003B2FB1" w:rsidP="00360377">
      <w:pPr>
        <w:pStyle w:val="13"/>
        <w:ind w:firstLine="482"/>
      </w:pPr>
      <w:r w:rsidRPr="003B2FB1">
        <w:rPr>
          <w:b/>
        </w:rPr>
        <w:t xml:space="preserve">第四十条 </w:t>
      </w:r>
      <w:r w:rsidR="00360377">
        <w:t>转让方直接协议转让上市公司股份，应当向财政部门提交下列材料：</w:t>
      </w:r>
    </w:p>
    <w:p w14:paraId="193ECB24" w14:textId="7876A68B" w:rsidR="00360377" w:rsidRDefault="00360377" w:rsidP="00360377">
      <w:pPr>
        <w:pStyle w:val="13"/>
      </w:pPr>
      <w:r>
        <w:t>（一）协议转让上市公司股份的申请书，包括转让原因、转让股份数量、持股成本等内容；</w:t>
      </w:r>
    </w:p>
    <w:p w14:paraId="1903EFAF" w14:textId="7AE0150F" w:rsidR="00360377" w:rsidRDefault="00360377" w:rsidP="00360377">
      <w:pPr>
        <w:pStyle w:val="13"/>
      </w:pPr>
      <w:r>
        <w:t>（二）协议转让上市公司股份的内部决策文件及可行性研究报告；</w:t>
      </w:r>
    </w:p>
    <w:p w14:paraId="470ECA9D" w14:textId="0194D651" w:rsidR="00360377" w:rsidRDefault="00360377" w:rsidP="00360377">
      <w:pPr>
        <w:pStyle w:val="13"/>
      </w:pPr>
      <w:r>
        <w:t>（三）拟公开发布的股份协议转让信息内容；</w:t>
      </w:r>
    </w:p>
    <w:p w14:paraId="1D7FD229" w14:textId="45EE8A43" w:rsidR="00360377" w:rsidRDefault="00360377" w:rsidP="00360377">
      <w:pPr>
        <w:pStyle w:val="13"/>
      </w:pPr>
      <w:r>
        <w:t>（四）财政部门规定的其他文件。</w:t>
      </w:r>
    </w:p>
    <w:p w14:paraId="4BAE42AA" w14:textId="57719514" w:rsidR="00360377" w:rsidRDefault="003B2FB1" w:rsidP="00360377">
      <w:pPr>
        <w:pStyle w:val="13"/>
        <w:ind w:firstLine="482"/>
      </w:pPr>
      <w:r w:rsidRPr="003B2FB1">
        <w:rPr>
          <w:b/>
        </w:rPr>
        <w:t xml:space="preserve">第四十一条 </w:t>
      </w:r>
      <w:r w:rsidR="00360377">
        <w:t>财政部门收到转让方提交的直接协议转让上市公司股份材料后，应当认真进行审核，确定是否批准协议转让事项，并在15个工作日内予以答复。</w:t>
      </w:r>
    </w:p>
    <w:p w14:paraId="77405071" w14:textId="5260503C" w:rsidR="00360377" w:rsidRDefault="00360377" w:rsidP="00360377">
      <w:pPr>
        <w:pStyle w:val="13"/>
      </w:pPr>
      <w:r>
        <w:t>转让</w:t>
      </w:r>
      <w:proofErr w:type="gramStart"/>
      <w:r>
        <w:t>方收到</w:t>
      </w:r>
      <w:proofErr w:type="gramEnd"/>
      <w:r>
        <w:t>财政部门出具的意见后2个工作日内，应当书面告知上市公司，由</w:t>
      </w:r>
      <w:r>
        <w:lastRenderedPageBreak/>
        <w:t>上市公司依法公开披露国有股东拟直接协议转让上市公司股份的信息。</w:t>
      </w:r>
    </w:p>
    <w:p w14:paraId="795AF356" w14:textId="7B3A8B52" w:rsidR="00360377" w:rsidRDefault="003B2FB1" w:rsidP="00360377">
      <w:pPr>
        <w:pStyle w:val="13"/>
        <w:ind w:firstLine="482"/>
      </w:pPr>
      <w:r w:rsidRPr="003B2FB1">
        <w:rPr>
          <w:b/>
        </w:rPr>
        <w:t xml:space="preserve">第四十二条 </w:t>
      </w:r>
      <w:r w:rsidR="00360377">
        <w:t>转让方直接协议转让上市公司股份信息应当包括以下内容：</w:t>
      </w:r>
    </w:p>
    <w:p w14:paraId="313626D9" w14:textId="2942A32A" w:rsidR="00360377" w:rsidRDefault="00360377" w:rsidP="00360377">
      <w:pPr>
        <w:pStyle w:val="13"/>
      </w:pPr>
      <w:r>
        <w:t>（一）转让股份数量及所涉及的上市公司名称及基本情况；</w:t>
      </w:r>
    </w:p>
    <w:p w14:paraId="057D2F5F" w14:textId="7C7A452A" w:rsidR="00360377" w:rsidRDefault="00360377" w:rsidP="00360377">
      <w:pPr>
        <w:pStyle w:val="13"/>
      </w:pPr>
      <w:r>
        <w:t>（二）受让方应当具备的资格条件；</w:t>
      </w:r>
    </w:p>
    <w:p w14:paraId="2E8F0F80" w14:textId="79BC6453" w:rsidR="00360377" w:rsidRDefault="00360377" w:rsidP="00360377">
      <w:pPr>
        <w:pStyle w:val="13"/>
      </w:pPr>
      <w:r>
        <w:t>（三）受让方递交受让申请的截止日期；</w:t>
      </w:r>
    </w:p>
    <w:p w14:paraId="41527FFC" w14:textId="4B61BEF6" w:rsidR="00360377" w:rsidRDefault="00360377" w:rsidP="00360377">
      <w:pPr>
        <w:pStyle w:val="13"/>
      </w:pPr>
      <w:r>
        <w:t>（四）财政部门和相关部门的批复意见。</w:t>
      </w:r>
    </w:p>
    <w:p w14:paraId="1504C243" w14:textId="52415CE5" w:rsidR="00360377" w:rsidRDefault="003B2FB1" w:rsidP="00360377">
      <w:pPr>
        <w:pStyle w:val="13"/>
        <w:ind w:firstLine="482"/>
      </w:pPr>
      <w:r w:rsidRPr="003B2FB1">
        <w:rPr>
          <w:b/>
        </w:rPr>
        <w:t xml:space="preserve">第四十三条 </w:t>
      </w:r>
      <w:r w:rsidR="00360377">
        <w:t>具有下列情形之一的，经财政部门批准后，转让方可以不披露上市公司股份协议转让信息：</w:t>
      </w:r>
    </w:p>
    <w:p w14:paraId="729D4467" w14:textId="76A8FF10" w:rsidR="00360377" w:rsidRDefault="00360377" w:rsidP="00360377">
      <w:pPr>
        <w:pStyle w:val="13"/>
      </w:pPr>
      <w:r>
        <w:t>（一）国民经济关键行业、领域中对受让方有特殊要求的；</w:t>
      </w:r>
    </w:p>
    <w:p w14:paraId="165608E0" w14:textId="4C4E04D2" w:rsidR="00360377" w:rsidRDefault="00360377" w:rsidP="00360377">
      <w:pPr>
        <w:pStyle w:val="13"/>
      </w:pPr>
      <w:r>
        <w:t>（二）转让方作为国有控股股东，为实施国有资源整合或者资产重组，在控股公司或者集团企业内部进行协议转让的；</w:t>
      </w:r>
    </w:p>
    <w:p w14:paraId="7D9F2AC0" w14:textId="681BB771" w:rsidR="00360377" w:rsidRDefault="00360377" w:rsidP="00360377">
      <w:pPr>
        <w:pStyle w:val="13"/>
      </w:pPr>
      <w:r>
        <w:t>（三）上市公司连续2年亏损并存在退</w:t>
      </w:r>
      <w:proofErr w:type="gramStart"/>
      <w:r>
        <w:t>市风险</w:t>
      </w:r>
      <w:proofErr w:type="gramEnd"/>
      <w:r>
        <w:t>或者严重财务危机，受让方提出重大资产重组计划及具体时间表的；</w:t>
      </w:r>
    </w:p>
    <w:p w14:paraId="5E37FC7D" w14:textId="0A594B03" w:rsidR="00360377" w:rsidRDefault="00360377" w:rsidP="00360377">
      <w:pPr>
        <w:pStyle w:val="13"/>
      </w:pPr>
      <w:r>
        <w:t>（四）上市公司回购股</w:t>
      </w:r>
      <w:proofErr w:type="gramStart"/>
      <w:r>
        <w:t>份涉及</w:t>
      </w:r>
      <w:proofErr w:type="gramEnd"/>
      <w:r>
        <w:t>转让方所持股份的。</w:t>
      </w:r>
    </w:p>
    <w:p w14:paraId="24DE2140" w14:textId="6FADCEAB" w:rsidR="00360377" w:rsidRDefault="003B2FB1" w:rsidP="00360377">
      <w:pPr>
        <w:pStyle w:val="13"/>
        <w:ind w:firstLine="482"/>
      </w:pPr>
      <w:r w:rsidRPr="003B2FB1">
        <w:rPr>
          <w:b/>
        </w:rPr>
        <w:t xml:space="preserve">第四十四条 </w:t>
      </w:r>
      <w:r w:rsidR="00360377">
        <w:t>转让方作为上市公司控股股东，拟采取直接协议转让方式转让股份并失去控股权的，应当聘请具有相应资质的专业中介机构担任财务顾问和法律顾问，并提出书面意见。财务顾问和法律顾问应当具有良好的信誉及近3年内无重大违法违规记录。转让方认为必要时，可委托具有证券评估资格的资产评估机构对转让标的资产进行评估。</w:t>
      </w:r>
    </w:p>
    <w:p w14:paraId="78AE65EB" w14:textId="4DE815B8" w:rsidR="00360377" w:rsidRDefault="003B2FB1" w:rsidP="00360377">
      <w:pPr>
        <w:pStyle w:val="13"/>
        <w:ind w:firstLine="482"/>
      </w:pPr>
      <w:r w:rsidRPr="003B2FB1">
        <w:rPr>
          <w:b/>
        </w:rPr>
        <w:t xml:space="preserve">第四十五条 </w:t>
      </w:r>
      <w:r w:rsidR="00360377">
        <w:t>转让方直接协议转让上市公司股份的，转让价格应当按照上市公司股份转让信息公告日（经批准不须公开股份转让信息的，以股份转让协议签署日为准）前30个交易日每日加权平均价格的加权平均价格或者前1个交易日加权平均价格孰高的原则确定。</w:t>
      </w:r>
    </w:p>
    <w:p w14:paraId="5588E81F" w14:textId="25337251" w:rsidR="00360377" w:rsidRDefault="00360377" w:rsidP="00360377">
      <w:pPr>
        <w:pStyle w:val="13"/>
      </w:pPr>
      <w:r>
        <w:t>转让方作为上市公司国有控股股东，为实施国有资源整合或者资产重组，在内部进行协议转让，且拥有的上市公司权益并不因此减少的，转让价格应当根据上市公司最近一期经审计的净资产、净资产收益率、市盈率等因素合理协商确定。</w:t>
      </w:r>
    </w:p>
    <w:p w14:paraId="003DE1EE" w14:textId="317204D5" w:rsidR="00360377" w:rsidRDefault="003B2FB1" w:rsidP="00360377">
      <w:pPr>
        <w:pStyle w:val="13"/>
        <w:ind w:firstLine="482"/>
      </w:pPr>
      <w:r w:rsidRPr="003B2FB1">
        <w:rPr>
          <w:b/>
        </w:rPr>
        <w:t xml:space="preserve">第四十六条 </w:t>
      </w:r>
      <w:r w:rsidR="00360377">
        <w:t>受让上市公司股份后，受让方拥有上市公司实际控制权的，应当具备以下条件：</w:t>
      </w:r>
    </w:p>
    <w:p w14:paraId="611113D1" w14:textId="66C61331" w:rsidR="00360377" w:rsidRDefault="00360377" w:rsidP="00360377">
      <w:pPr>
        <w:pStyle w:val="13"/>
      </w:pPr>
      <w:r>
        <w:t>（一）具有法人资格；</w:t>
      </w:r>
    </w:p>
    <w:p w14:paraId="67322725" w14:textId="57DB382F" w:rsidR="00360377" w:rsidRDefault="00360377" w:rsidP="00360377">
      <w:pPr>
        <w:pStyle w:val="13"/>
      </w:pPr>
      <w:r>
        <w:t>（二）设立3年以上，最近2年连续盈利且无重大违法违规行为；</w:t>
      </w:r>
    </w:p>
    <w:p w14:paraId="0A14A617" w14:textId="100746CF" w:rsidR="00360377" w:rsidRDefault="00360377" w:rsidP="00360377">
      <w:pPr>
        <w:pStyle w:val="13"/>
      </w:pPr>
      <w:r>
        <w:t>（三）具有促进上市公司持续发展和改善上市公司法人治理结构的能力。</w:t>
      </w:r>
    </w:p>
    <w:p w14:paraId="55346631" w14:textId="2AB0F38B" w:rsidR="00360377" w:rsidRDefault="003B2FB1" w:rsidP="00360377">
      <w:pPr>
        <w:pStyle w:val="13"/>
        <w:ind w:firstLine="482"/>
      </w:pPr>
      <w:r w:rsidRPr="003B2FB1">
        <w:rPr>
          <w:b/>
        </w:rPr>
        <w:t xml:space="preserve">第四十七条 </w:t>
      </w:r>
      <w:r w:rsidR="00360377">
        <w:t>受让方确定后，转让方应当及时与受让方签署股份转让协议。</w:t>
      </w:r>
    </w:p>
    <w:p w14:paraId="56415B96" w14:textId="2460BC2C" w:rsidR="00360377" w:rsidRDefault="00360377" w:rsidP="00360377">
      <w:pPr>
        <w:pStyle w:val="13"/>
      </w:pPr>
      <w:r>
        <w:t>转让协议应当包括但不限于以下内容：</w:t>
      </w:r>
    </w:p>
    <w:p w14:paraId="24637803" w14:textId="2E1F96F0" w:rsidR="00360377" w:rsidRDefault="00360377" w:rsidP="00360377">
      <w:pPr>
        <w:pStyle w:val="13"/>
      </w:pPr>
      <w:r>
        <w:t>（一）转让方、上市公司、受让方企业名称、法定代表人姓名及住所；</w:t>
      </w:r>
    </w:p>
    <w:p w14:paraId="16FFE1DC" w14:textId="0CEE5373" w:rsidR="00360377" w:rsidRDefault="00360377" w:rsidP="00360377">
      <w:pPr>
        <w:pStyle w:val="13"/>
      </w:pPr>
      <w:r>
        <w:lastRenderedPageBreak/>
        <w:t>（二）转让方持股数量、拟转让股份数量及价格；</w:t>
      </w:r>
    </w:p>
    <w:p w14:paraId="7188756F" w14:textId="2E042996" w:rsidR="00360377" w:rsidRDefault="00360377" w:rsidP="00360377">
      <w:pPr>
        <w:pStyle w:val="13"/>
      </w:pPr>
      <w:r>
        <w:t>（三）转让方、受让方的权利和义务；</w:t>
      </w:r>
    </w:p>
    <w:p w14:paraId="1B0E0C3A" w14:textId="70BC2BEB" w:rsidR="00360377" w:rsidRDefault="00360377" w:rsidP="00360377">
      <w:pPr>
        <w:pStyle w:val="13"/>
      </w:pPr>
      <w:r>
        <w:t>（四）股份转让价款支付方式及期限；</w:t>
      </w:r>
    </w:p>
    <w:p w14:paraId="04F7CBF0" w14:textId="7DEDBAB2" w:rsidR="00360377" w:rsidRDefault="00360377" w:rsidP="00360377">
      <w:pPr>
        <w:pStyle w:val="13"/>
      </w:pPr>
      <w:r>
        <w:t>（五）股份登记过户条件；</w:t>
      </w:r>
    </w:p>
    <w:p w14:paraId="315778E0" w14:textId="24204743" w:rsidR="00360377" w:rsidRDefault="00360377" w:rsidP="00360377">
      <w:pPr>
        <w:pStyle w:val="13"/>
      </w:pPr>
      <w:r>
        <w:t>（六）协议变更和解除条件；</w:t>
      </w:r>
    </w:p>
    <w:p w14:paraId="03C4F62E" w14:textId="055A8DEA" w:rsidR="00360377" w:rsidRDefault="00360377" w:rsidP="00360377">
      <w:pPr>
        <w:pStyle w:val="13"/>
      </w:pPr>
      <w:r>
        <w:t>（七）协议争议解决方式；</w:t>
      </w:r>
    </w:p>
    <w:p w14:paraId="3624FD28" w14:textId="7E0302CD" w:rsidR="00360377" w:rsidRDefault="00360377" w:rsidP="00360377">
      <w:pPr>
        <w:pStyle w:val="13"/>
      </w:pPr>
      <w:r>
        <w:t>（八）协议各方的违约责任；</w:t>
      </w:r>
    </w:p>
    <w:p w14:paraId="4410B515" w14:textId="548F6689" w:rsidR="00360377" w:rsidRDefault="00360377" w:rsidP="00360377">
      <w:pPr>
        <w:pStyle w:val="13"/>
      </w:pPr>
      <w:r>
        <w:t>（九）协议生效条件。</w:t>
      </w:r>
    </w:p>
    <w:p w14:paraId="4FFFC064" w14:textId="282B5C26" w:rsidR="00360377" w:rsidRDefault="00360377" w:rsidP="00360377">
      <w:pPr>
        <w:pStyle w:val="13"/>
        <w:ind w:firstLine="482"/>
      </w:pPr>
      <w:r w:rsidRPr="003B2FB1">
        <w:rPr>
          <w:b/>
          <w:bCs/>
        </w:rPr>
        <w:t>第四十八条</w:t>
      </w:r>
      <w:r>
        <w:t xml:space="preserve"> 上市公司股份的转让方为国有及国有控股金融企业的，转让方在确定受让方后，应当及时向财政部门报送以下材料：</w:t>
      </w:r>
    </w:p>
    <w:p w14:paraId="2184AD66" w14:textId="49A62D4A" w:rsidR="00360377" w:rsidRDefault="00360377" w:rsidP="00360377">
      <w:pPr>
        <w:pStyle w:val="13"/>
      </w:pPr>
      <w:r>
        <w:t>（一）转让方案的实施及</w:t>
      </w:r>
      <w:proofErr w:type="gramStart"/>
      <w:r>
        <w:t>选择受</w:t>
      </w:r>
      <w:proofErr w:type="gramEnd"/>
      <w:r>
        <w:t>让方的有关情况；</w:t>
      </w:r>
    </w:p>
    <w:p w14:paraId="79FCD933" w14:textId="07244A06" w:rsidR="00360377" w:rsidRDefault="00360377" w:rsidP="00360377">
      <w:pPr>
        <w:pStyle w:val="13"/>
      </w:pPr>
      <w:r>
        <w:t>（二）上一年度经会计师事务所审计的财务会计报告；</w:t>
      </w:r>
    </w:p>
    <w:p w14:paraId="74256DBD" w14:textId="16388F5D" w:rsidR="00360377" w:rsidRDefault="00360377" w:rsidP="00360377">
      <w:pPr>
        <w:pStyle w:val="13"/>
      </w:pPr>
      <w:r>
        <w:t>（三）受让方基本情况、公司章程及最近一期经会计师事务所审计的财务会计报告；</w:t>
      </w:r>
    </w:p>
    <w:p w14:paraId="5AEFE15F" w14:textId="12E0ABB2" w:rsidR="00360377" w:rsidRDefault="00360377" w:rsidP="00360377">
      <w:pPr>
        <w:pStyle w:val="13"/>
      </w:pPr>
      <w:r>
        <w:t>（四）上市公司基本情况、最近一期中期财务会计报告及经会计师事务所审计年度财务会计报告；</w:t>
      </w:r>
    </w:p>
    <w:p w14:paraId="3FA5E123" w14:textId="50277506" w:rsidR="00360377" w:rsidRDefault="00360377" w:rsidP="00360377">
      <w:pPr>
        <w:pStyle w:val="13"/>
      </w:pPr>
      <w:r>
        <w:t>（五）股份转让协议及股份转让价格的定价说明；</w:t>
      </w:r>
    </w:p>
    <w:p w14:paraId="59BADD92" w14:textId="14C14B36" w:rsidR="00360377" w:rsidRDefault="00360377" w:rsidP="00360377">
      <w:pPr>
        <w:pStyle w:val="13"/>
      </w:pPr>
      <w:r>
        <w:t>（六）受让方与国有股东、上市公司之间在最近12个月内股权转让、资产置换、投资等重大情况及债权债务情况；</w:t>
      </w:r>
    </w:p>
    <w:p w14:paraId="70D30C6B" w14:textId="566F1CE6" w:rsidR="00360377" w:rsidRDefault="00360377" w:rsidP="00360377">
      <w:pPr>
        <w:pStyle w:val="13"/>
      </w:pPr>
      <w:r>
        <w:t>（七）律师事务所出具的法律意见书；</w:t>
      </w:r>
    </w:p>
    <w:p w14:paraId="6B9051AA" w14:textId="7FB48BED" w:rsidR="00360377" w:rsidRDefault="00360377" w:rsidP="00360377">
      <w:pPr>
        <w:pStyle w:val="13"/>
      </w:pPr>
      <w:r>
        <w:t>（八）转让上市公司股份对公司股价和资本市场的影响；</w:t>
      </w:r>
    </w:p>
    <w:p w14:paraId="1A99DD12" w14:textId="4C690446" w:rsidR="00360377" w:rsidRDefault="00360377" w:rsidP="00360377">
      <w:pPr>
        <w:pStyle w:val="13"/>
      </w:pPr>
      <w:r>
        <w:t>（九）财政部门规定的其他文件。</w:t>
      </w:r>
    </w:p>
    <w:p w14:paraId="1BC2CE30" w14:textId="5D28C3EA" w:rsidR="00360377" w:rsidRDefault="00360377" w:rsidP="00360377">
      <w:pPr>
        <w:pStyle w:val="13"/>
        <w:ind w:firstLine="482"/>
      </w:pPr>
      <w:r w:rsidRPr="003B2FB1">
        <w:rPr>
          <w:b/>
          <w:bCs/>
        </w:rPr>
        <w:t>第四十九条</w:t>
      </w:r>
      <w:r>
        <w:t xml:space="preserve"> 财政部门应当对转让方报送的材料进行认真审核，并出具股份转让批复文件。</w:t>
      </w:r>
    </w:p>
    <w:p w14:paraId="1B6CC854" w14:textId="51BF79B6" w:rsidR="00360377" w:rsidRDefault="00360377" w:rsidP="00360377">
      <w:pPr>
        <w:pStyle w:val="13"/>
        <w:ind w:firstLine="482"/>
      </w:pPr>
      <w:r w:rsidRPr="003B2FB1">
        <w:rPr>
          <w:b/>
          <w:bCs/>
        </w:rPr>
        <w:t>第五十条</w:t>
      </w:r>
      <w:r>
        <w:t xml:space="preserve"> 转让方应当按照本办法第二十四条的规定，收取转让价款，并按照国家有关规定及时办理相关国有产权登记手续。</w:t>
      </w:r>
    </w:p>
    <w:p w14:paraId="46041B07" w14:textId="5AE0B843" w:rsidR="00360377" w:rsidRDefault="00360377" w:rsidP="00AF7342">
      <w:pPr>
        <w:pStyle w:val="a9"/>
        <w:spacing w:before="62" w:after="62"/>
      </w:pPr>
      <w:r>
        <w:rPr>
          <w:rFonts w:hint="eastAsia"/>
        </w:rPr>
        <w:t>第五章 法律责任</w:t>
      </w:r>
    </w:p>
    <w:p w14:paraId="2803A4CA" w14:textId="40E442D9" w:rsidR="00360377" w:rsidRDefault="00360377" w:rsidP="00360377">
      <w:pPr>
        <w:pStyle w:val="13"/>
        <w:ind w:firstLine="482"/>
      </w:pPr>
      <w:r w:rsidRPr="003B2FB1">
        <w:rPr>
          <w:b/>
          <w:bCs/>
        </w:rPr>
        <w:t>第五十一条</w:t>
      </w:r>
      <w:r>
        <w:t xml:space="preserve"> 金融企业国有资产转让过程中出现下列情形之一的，财政部门可以要求转让方立即中止或者终止资产转让活动：</w:t>
      </w:r>
    </w:p>
    <w:p w14:paraId="2ED59FE4" w14:textId="60B4AB2C" w:rsidR="00360377" w:rsidRDefault="00360377" w:rsidP="00360377">
      <w:pPr>
        <w:pStyle w:val="13"/>
      </w:pPr>
      <w:r>
        <w:t>（一）未按本办法有关规定在产权交易机构中进行交易的；</w:t>
      </w:r>
    </w:p>
    <w:p w14:paraId="5463C4BE" w14:textId="0E17A8BB" w:rsidR="00360377" w:rsidRDefault="00360377" w:rsidP="00360377">
      <w:pPr>
        <w:pStyle w:val="13"/>
      </w:pPr>
      <w:r>
        <w:t>（二）转让方不履行相应的内部决策程序、批准程序或者超越权限，或者未按规定报经财政部门和相关部门审批，擅自转让资产的；</w:t>
      </w:r>
    </w:p>
    <w:p w14:paraId="127FA1D7" w14:textId="3CB0B712" w:rsidR="00360377" w:rsidRDefault="00360377" w:rsidP="00360377">
      <w:pPr>
        <w:pStyle w:val="13"/>
      </w:pPr>
      <w:r>
        <w:t>（三）转让方、转让标的企业故意隐匿应当纳入评估范围的资产，或者向中介机构提供虚假会计资料，导致审计、评估结果失真，以及未经审计、评估，造成国有资</w:t>
      </w:r>
      <w:r>
        <w:lastRenderedPageBreak/>
        <w:t>产流失的；</w:t>
      </w:r>
    </w:p>
    <w:p w14:paraId="45706F66" w14:textId="626BFCA9" w:rsidR="00360377" w:rsidRDefault="00360377" w:rsidP="00360377">
      <w:pPr>
        <w:pStyle w:val="13"/>
      </w:pPr>
      <w:r>
        <w:t>（四）转让方与受让方串通，低价转让国有资产，造成国有资产流失的；</w:t>
      </w:r>
    </w:p>
    <w:p w14:paraId="056E8209" w14:textId="63C8D867" w:rsidR="00360377" w:rsidRDefault="00360377" w:rsidP="00360377">
      <w:pPr>
        <w:pStyle w:val="13"/>
      </w:pPr>
      <w:r>
        <w:t>（五）转让方未按规定落实转让标的企业的债权债务，非法转移债权或者逃避债务清偿责任的；以金融企业国有资产作为担保的，转让该部分资产时，未经担保债权人同意的；</w:t>
      </w:r>
    </w:p>
    <w:p w14:paraId="7B7F4EE9" w14:textId="2B22CEAC" w:rsidR="00360377" w:rsidRDefault="00360377" w:rsidP="00360377">
      <w:pPr>
        <w:pStyle w:val="13"/>
      </w:pPr>
      <w:r>
        <w:t>（六）受让方采取欺诈、隐瞒等手段影响转让方的选择以及资产转让协议签订的；</w:t>
      </w:r>
    </w:p>
    <w:p w14:paraId="5E0330F6" w14:textId="715F5B7F" w:rsidR="00360377" w:rsidRDefault="00360377" w:rsidP="00360377">
      <w:pPr>
        <w:pStyle w:val="13"/>
      </w:pPr>
      <w:r>
        <w:t>（七）受让方在产权转让竞价过程中，恶意串通压低价格，造成国有资产流失的。</w:t>
      </w:r>
    </w:p>
    <w:p w14:paraId="3B7A31FF" w14:textId="6B84DBCB" w:rsidR="00360377" w:rsidRDefault="00360377" w:rsidP="00360377">
      <w:pPr>
        <w:pStyle w:val="13"/>
        <w:ind w:firstLine="482"/>
      </w:pPr>
      <w:r w:rsidRPr="003B2FB1">
        <w:rPr>
          <w:b/>
          <w:bCs/>
        </w:rPr>
        <w:t>第五十二条</w:t>
      </w:r>
      <w:r>
        <w:t xml:space="preserve"> 转让方、转让标的企业有本办法第五十一条规定的情形，由财政部门给予警告，并建议有关部门对负有直接责任的人员和其他直接责任人员给予行政处分；造成国有资产损失的，应当建议有关部门依法追究金融企业董事、监事、高级管理人员的责任；由于受让方的责任造成国有资产流失的，受让方应当依法赔偿转让方的经济损失。涉嫌犯罪的，应当移送司法机关。</w:t>
      </w:r>
    </w:p>
    <w:p w14:paraId="59DCDB4D" w14:textId="4FDE24C9" w:rsidR="00360377" w:rsidRDefault="00360377" w:rsidP="00360377">
      <w:pPr>
        <w:pStyle w:val="13"/>
        <w:ind w:firstLine="482"/>
      </w:pPr>
      <w:r w:rsidRPr="003B2FB1">
        <w:rPr>
          <w:b/>
          <w:bCs/>
        </w:rPr>
        <w:t>第五十三条</w:t>
      </w:r>
      <w:r>
        <w:t xml:space="preserve"> 会计师事务所、资产评估机构、律师事务所、财务顾问机构等社会中介机构在国有资产转让的审计、评估、法律和咨询服务中违规执业的，财政部门应当向其行业主管部门通报有关情况，建议依法给予相应处理。</w:t>
      </w:r>
    </w:p>
    <w:p w14:paraId="08D606BF" w14:textId="6D08408C" w:rsidR="00360377" w:rsidRDefault="00360377" w:rsidP="00360377">
      <w:pPr>
        <w:pStyle w:val="13"/>
        <w:ind w:firstLine="482"/>
      </w:pPr>
      <w:r w:rsidRPr="003B2FB1">
        <w:rPr>
          <w:b/>
          <w:bCs/>
        </w:rPr>
        <w:t>第五十四条</w:t>
      </w:r>
      <w:r>
        <w:t xml:space="preserve"> 产权交易机构在金融企业国有资产交易中弄虚作假或者玩忽职守，损害国家利益或者交易双方合法权益的，财政部门可以停止其从事金融企业国有资产交易的相关业务，建议有关部门依法追究产权交易机构及直接责任人员的责任。</w:t>
      </w:r>
    </w:p>
    <w:p w14:paraId="15CD84D6" w14:textId="733B93CD" w:rsidR="00360377" w:rsidRDefault="00360377" w:rsidP="00360377">
      <w:pPr>
        <w:pStyle w:val="13"/>
        <w:ind w:firstLine="482"/>
      </w:pPr>
      <w:r w:rsidRPr="003B2FB1">
        <w:rPr>
          <w:b/>
          <w:bCs/>
        </w:rPr>
        <w:t>第五十五条</w:t>
      </w:r>
      <w:r>
        <w:t xml:space="preserve"> 金融企业国有资产转让批准机构及其有关人员违反法律、行政法规及本办法规定，造成国有资产流失的，由有关部门依法给予纪律处分；涉嫌犯罪的，移送司法机关。</w:t>
      </w:r>
    </w:p>
    <w:p w14:paraId="76C8CF98" w14:textId="73B35E6E" w:rsidR="00360377" w:rsidRDefault="00360377" w:rsidP="00AF7342">
      <w:pPr>
        <w:pStyle w:val="a9"/>
        <w:spacing w:before="62" w:after="62"/>
      </w:pPr>
      <w:r>
        <w:rPr>
          <w:rFonts w:hint="eastAsia"/>
        </w:rPr>
        <w:t>第六章 附则</w:t>
      </w:r>
    </w:p>
    <w:p w14:paraId="3D6004C1" w14:textId="19F67DFA" w:rsidR="00360377" w:rsidRDefault="00360377" w:rsidP="00360377">
      <w:pPr>
        <w:pStyle w:val="13"/>
        <w:ind w:firstLine="482"/>
      </w:pPr>
      <w:r w:rsidRPr="003B2FB1">
        <w:rPr>
          <w:b/>
          <w:bCs/>
        </w:rPr>
        <w:t>第五十六条</w:t>
      </w:r>
      <w:r>
        <w:t xml:space="preserve"> 省、自治区、直辖市、计划单列市的财政厅（局）可以根据本办法，制定本地区金融企业国有资产转让管理实施办法，并报财政部备案。</w:t>
      </w:r>
    </w:p>
    <w:p w14:paraId="27A34784" w14:textId="0F4D318D" w:rsidR="00360377" w:rsidRDefault="00360377" w:rsidP="00360377">
      <w:pPr>
        <w:pStyle w:val="13"/>
        <w:ind w:firstLine="482"/>
      </w:pPr>
      <w:r w:rsidRPr="003B2FB1">
        <w:rPr>
          <w:b/>
          <w:bCs/>
        </w:rPr>
        <w:t>第五十七条</w:t>
      </w:r>
      <w:r>
        <w:t xml:space="preserve"> 国有及国有控股金融企业因依法行使债权或者担保物权，而受偿于债务人、担保人或者第三人的非上市企业产权转让，比照本办法第二章在产权交易机构进行。</w:t>
      </w:r>
    </w:p>
    <w:p w14:paraId="3DFB5FE8" w14:textId="7C0A57E4" w:rsidR="00360377" w:rsidRDefault="00360377" w:rsidP="00360377">
      <w:pPr>
        <w:pStyle w:val="13"/>
      </w:pPr>
      <w:r>
        <w:t>国有及国有控股金融企业因依法行使债权或者担保物权，而受偿于债务人、担保人或者第三人的上市公司股份转让，比照本办法第三章的规定在证券交易系统中进行。</w:t>
      </w:r>
    </w:p>
    <w:p w14:paraId="6F9B0FA9" w14:textId="0C1C7CEB" w:rsidR="00360377" w:rsidRDefault="00360377" w:rsidP="00360377">
      <w:pPr>
        <w:pStyle w:val="13"/>
        <w:ind w:firstLine="482"/>
      </w:pPr>
      <w:r w:rsidRPr="003B2FB1">
        <w:rPr>
          <w:b/>
          <w:bCs/>
        </w:rPr>
        <w:t>第五十八条</w:t>
      </w:r>
      <w:r>
        <w:t xml:space="preserve"> 国有及国有控股金融企业持有的国有资产涉及诉讼的，根据人民法院具有法律效力的文件，办理相关转让手续。</w:t>
      </w:r>
    </w:p>
    <w:p w14:paraId="2AB4B211" w14:textId="264ED39A" w:rsidR="00360377" w:rsidRDefault="00360377" w:rsidP="00360377">
      <w:pPr>
        <w:pStyle w:val="13"/>
        <w:ind w:firstLine="482"/>
      </w:pPr>
      <w:r w:rsidRPr="003B2FB1">
        <w:rPr>
          <w:b/>
          <w:bCs/>
        </w:rPr>
        <w:t>第五十九条</w:t>
      </w:r>
      <w:r>
        <w:t xml:space="preserve"> 国有及国有控股的证券公司、基金管理公司、资产管理公司、信托</w:t>
      </w:r>
      <w:r>
        <w:lastRenderedPageBreak/>
        <w:t>公司和保险资产管理公司等金融企业出售其所持有的以自营为目的的上市公司股份按照相关规定办理。</w:t>
      </w:r>
    </w:p>
    <w:p w14:paraId="712010C3" w14:textId="7AACC741" w:rsidR="00360377" w:rsidRDefault="00360377" w:rsidP="00360377">
      <w:pPr>
        <w:pStyle w:val="13"/>
        <w:ind w:firstLine="482"/>
      </w:pPr>
      <w:r w:rsidRPr="003B2FB1">
        <w:rPr>
          <w:b/>
          <w:bCs/>
        </w:rPr>
        <w:t>第六十条</w:t>
      </w:r>
      <w:r>
        <w:t xml:space="preserve"> 金融资产管理公司转让不良</w:t>
      </w:r>
      <w:proofErr w:type="gramStart"/>
      <w:r>
        <w:t>资产和债转</w:t>
      </w:r>
      <w:proofErr w:type="gramEnd"/>
      <w:r>
        <w:t>股股权资产的，国家相关政策另有规定的，从其规定。</w:t>
      </w:r>
    </w:p>
    <w:p w14:paraId="762FF9D4" w14:textId="090D14E0" w:rsidR="00360377" w:rsidRDefault="00360377" w:rsidP="00360377">
      <w:pPr>
        <w:pStyle w:val="13"/>
      </w:pPr>
      <w:r>
        <w:t>本办法所称金融资产管理公司，是指中国华融资</w:t>
      </w:r>
      <w:proofErr w:type="gramStart"/>
      <w:r>
        <w:t>产管理</w:t>
      </w:r>
      <w:proofErr w:type="gramEnd"/>
      <w:r>
        <w:t>公司、中国长城资产管理公司、中国东方资产管理公司和中国信达资产管理公司。</w:t>
      </w:r>
    </w:p>
    <w:p w14:paraId="299036EC" w14:textId="2C01AC65" w:rsidR="00360377" w:rsidRDefault="00360377" w:rsidP="00360377">
      <w:pPr>
        <w:pStyle w:val="13"/>
        <w:ind w:firstLine="482"/>
      </w:pPr>
      <w:r w:rsidRPr="003B2FB1">
        <w:rPr>
          <w:b/>
          <w:bCs/>
        </w:rPr>
        <w:t>第六十一条</w:t>
      </w:r>
      <w:r>
        <w:t xml:space="preserve"> 中国人民银行总行所属企业、中国投资有限责任公司（含中央汇金投资有限责任公司）、信用担保公司以及其他金融类企业的国有资产转让监督管理工作，比照本办法执行。</w:t>
      </w:r>
    </w:p>
    <w:p w14:paraId="1A478043" w14:textId="4825A0C5" w:rsidR="00F67FFD" w:rsidRDefault="00360377" w:rsidP="00360377">
      <w:pPr>
        <w:pStyle w:val="13"/>
        <w:ind w:firstLine="482"/>
      </w:pPr>
      <w:r w:rsidRPr="003B2FB1">
        <w:rPr>
          <w:b/>
          <w:bCs/>
        </w:rPr>
        <w:t>第六十二条</w:t>
      </w:r>
      <w:r>
        <w:t xml:space="preserve"> 本办法自2009年5月1日起施行。</w:t>
      </w:r>
    </w:p>
    <w:p w14:paraId="405C52DD" w14:textId="4B5CF4BC" w:rsidR="00F67FFD" w:rsidRDefault="00360377" w:rsidP="00360377">
      <w:pPr>
        <w:pStyle w:val="31"/>
        <w:spacing w:before="156" w:after="62"/>
      </w:pPr>
      <w:bookmarkStart w:id="235" w:name="_Toc81833468"/>
      <w:r w:rsidRPr="00360377">
        <w:rPr>
          <w:rFonts w:hint="eastAsia"/>
        </w:rPr>
        <w:t>《关于贯彻落实</w:t>
      </w:r>
      <w:r w:rsidRPr="00360377">
        <w:t>&lt;金融企业国有资产转让管理办法&gt;有关事项的通知》</w:t>
      </w:r>
      <w:r>
        <w:br/>
      </w:r>
      <w:r w:rsidRPr="00360377">
        <w:t>（财金〔2009〕178号）</w:t>
      </w:r>
      <w:bookmarkEnd w:id="235"/>
    </w:p>
    <w:p w14:paraId="19B1298A" w14:textId="77777777" w:rsidR="00360377" w:rsidRDefault="00360377" w:rsidP="00360377">
      <w:pPr>
        <w:pStyle w:val="13"/>
      </w:pPr>
      <w:r>
        <w:t>为进一步贯彻落实《金融企业国有资产转让管理办法》（财政部令第54号，以下简称《办法》），规范金融企业国有资产转让行为，促进金融国有资产有序流转，加强财政部门对转让行为的监督管理，现将有关事项通知如下：</w:t>
      </w:r>
    </w:p>
    <w:p w14:paraId="3C9362C8" w14:textId="77777777" w:rsidR="00360377" w:rsidRDefault="00360377" w:rsidP="00360377">
      <w:pPr>
        <w:pStyle w:val="ab"/>
        <w:spacing w:before="62" w:after="62"/>
        <w:ind w:firstLine="482"/>
      </w:pPr>
      <w:r>
        <w:rPr>
          <w:rFonts w:hint="eastAsia"/>
        </w:rPr>
        <w:t>一、明确职责，做好各项规定的贯彻落实工作</w:t>
      </w:r>
    </w:p>
    <w:p w14:paraId="7D416FB7" w14:textId="77777777" w:rsidR="00360377" w:rsidRDefault="00360377" w:rsidP="00360377">
      <w:pPr>
        <w:pStyle w:val="13"/>
      </w:pPr>
      <w:r>
        <w:rPr>
          <w:rFonts w:hint="eastAsia"/>
        </w:rPr>
        <w:t>《办法》规定了金融企业国有资产转让的程序，明确了财政部门、国有及国有控股金融企业、产权交易机构和社会中介机构的职责。各相关单位要按照“职责明确、运作规范、把关严格、监管有力”的原则，认真做好《办法》的贯彻落实工作。</w:t>
      </w:r>
    </w:p>
    <w:p w14:paraId="5267B03F" w14:textId="77777777" w:rsidR="00360377" w:rsidRDefault="00360377" w:rsidP="00360377">
      <w:pPr>
        <w:pStyle w:val="13"/>
      </w:pPr>
      <w:r>
        <w:rPr>
          <w:rFonts w:hint="eastAsia"/>
        </w:rPr>
        <w:t>（一）地方财政部门要加强金融国有资产转让管理。各省、自治区、直辖市、计划单列市的财政厅（局）（以下简称省级财政部门）要根据《办法》，结合本地区实际情况，制定所管理金融企业及其子公司国有资产转让管理实施办法，并报我部备案。</w:t>
      </w:r>
    </w:p>
    <w:p w14:paraId="6EE148F6" w14:textId="77777777" w:rsidR="00360377" w:rsidRDefault="00360377" w:rsidP="00360377">
      <w:pPr>
        <w:pStyle w:val="13"/>
      </w:pPr>
      <w:r>
        <w:rPr>
          <w:rFonts w:hint="eastAsia"/>
        </w:rPr>
        <w:t>（二）中央管理的金融企业要严格贯彻落实《办法》。各中央管理的国有及国有控股金融企业要研究制定本集团（控股）企业的国有资产转让管理实施办法和工作程序，并报我部备案；要落实企业内部负责国有资产转让监管的职能部门和人员，明确工作责任；要加强对各级子公司国有资产转让行为的管理和审核，并对进入产权交易机构和证券交易系统的各个工作环节实施跟踪监管，切实维护所有者权益，防止国有资产流失。</w:t>
      </w:r>
    </w:p>
    <w:p w14:paraId="53B8EAAB" w14:textId="77777777" w:rsidR="00360377" w:rsidRDefault="00360377" w:rsidP="00360377">
      <w:pPr>
        <w:pStyle w:val="13"/>
      </w:pPr>
      <w:r>
        <w:rPr>
          <w:rFonts w:hint="eastAsia"/>
        </w:rPr>
        <w:t>（三）产权交易机构要认真履行职责。各承办金融企业国有资产产权转让业务的产权交易机构，要积极配合财政部门做好培训宣传和交易信息采集汇总工作；认真做好产权交易主体资格审查、信息披露、意向受让方登记、公开竞价组织实施、交易结算、出具产权交易凭证、产权交易档案保管和交易信息收集汇总等工作；在产权转让公告中提出的受让条件不得出现具有明确指向性或违反公平竞争的内容；加强机构</w:t>
      </w:r>
      <w:r>
        <w:rPr>
          <w:rFonts w:hint="eastAsia"/>
        </w:rPr>
        <w:lastRenderedPageBreak/>
        <w:t>间的沟通协调，探索制定统一的金融企业国有资产产权交易操作规则。</w:t>
      </w:r>
    </w:p>
    <w:p w14:paraId="780F9223" w14:textId="77777777" w:rsidR="00360377" w:rsidRDefault="00360377" w:rsidP="00360377">
      <w:pPr>
        <w:pStyle w:val="ab"/>
        <w:spacing w:before="62" w:after="62"/>
        <w:ind w:firstLine="482"/>
      </w:pPr>
      <w:r>
        <w:rPr>
          <w:rFonts w:hint="eastAsia"/>
        </w:rPr>
        <w:t>二、提高认识，严格执行国有资产转让进场交易制度</w:t>
      </w:r>
    </w:p>
    <w:p w14:paraId="086637C3" w14:textId="77777777" w:rsidR="00360377" w:rsidRDefault="00360377" w:rsidP="00360377">
      <w:pPr>
        <w:pStyle w:val="13"/>
      </w:pPr>
      <w:r>
        <w:rPr>
          <w:rFonts w:hint="eastAsia"/>
        </w:rPr>
        <w:t>各级财政部门和各中央管理的国有及国有控股金融企业要充分认识金融国有资产进场交易的重要意义，严格控制直接协议转让的范围，切实执行进场交易制度，充分利用产权交易机构和证券交易系统，缩短投资管理链条，促进国有金融资产的有序流转，确保金融企业国有资产转让公平、公正、公开。</w:t>
      </w:r>
    </w:p>
    <w:p w14:paraId="5475EECF" w14:textId="77777777" w:rsidR="00360377" w:rsidRDefault="00360377" w:rsidP="00360377">
      <w:pPr>
        <w:pStyle w:val="13"/>
      </w:pPr>
      <w:r>
        <w:rPr>
          <w:rFonts w:hint="eastAsia"/>
        </w:rPr>
        <w:t>（一）产权交易机构的选择和监管。各省级财政部门要高度重视和扎实做好承办金融企业国有资产交易业务的产权交易机构的选择工作。根据《办法》，尽快确定本地区承办金融企业国有资产交易业务的省级产权交易机构名单，并推荐</w:t>
      </w:r>
      <w:r>
        <w:t>1家产权交易机构承担中央管理金融企业国有资产转让业务。选择和推荐工作结束后，各省级财政部门应将所选择和推荐交易机构的基本情况，以适当方式向社会公告，并在2010年3月底之前报我部备案；加强对承办交易业务，特别是中央管理金融企业国有资产转让业务的产权交易机构的日常监督管理。对不符合《办法》所规定从事金融企业</w:t>
      </w:r>
      <w:r>
        <w:rPr>
          <w:rFonts w:hint="eastAsia"/>
        </w:rPr>
        <w:t>国有产权交易活动基本条件，或在交易活动中出现弄虚作假、玩忽职守、损害国家利益或交易双方合法权益的产权交易机构，应立即停止其从事金融企业国有资产交易业务的资格，并向社会公告。</w:t>
      </w:r>
    </w:p>
    <w:p w14:paraId="4B57532A" w14:textId="77777777" w:rsidR="00360377" w:rsidRDefault="00360377" w:rsidP="00360377">
      <w:pPr>
        <w:pStyle w:val="13"/>
      </w:pPr>
      <w:r>
        <w:rPr>
          <w:rFonts w:hint="eastAsia"/>
        </w:rPr>
        <w:t>（二）中央管理金融企业选择产权交易机构的范围。各中央管理的国有及国有控股金融企业</w:t>
      </w:r>
      <w:proofErr w:type="gramStart"/>
      <w:r>
        <w:rPr>
          <w:rFonts w:hint="eastAsia"/>
        </w:rPr>
        <w:t>转让非</w:t>
      </w:r>
      <w:proofErr w:type="gramEnd"/>
      <w:r>
        <w:rPr>
          <w:rFonts w:hint="eastAsia"/>
        </w:rPr>
        <w:t>上市企业国有产权，应当按照收益最大化和便利交易的原则，在北京产权交易所、天津产权交易中心、上海联合产权交易所、重庆联合产权交易所和各省级财政部门推荐确定的省级产权交易机构中进行，不受地区、行业、出资或者隶属关系的限制。</w:t>
      </w:r>
    </w:p>
    <w:p w14:paraId="701E5589" w14:textId="77777777" w:rsidR="00360377" w:rsidRDefault="00360377" w:rsidP="00360377">
      <w:pPr>
        <w:pStyle w:val="13"/>
      </w:pPr>
      <w:r>
        <w:rPr>
          <w:rFonts w:hint="eastAsia"/>
        </w:rPr>
        <w:t>（三）非上市企业国有产权转让的若干特殊规定。《办法》所称重要行业是指金融、军工、电网电力、石油石化、电信、煤炭、民航、航运</w:t>
      </w:r>
      <w:r>
        <w:t>8大行业。重点子公司是指国有及国有控股金融企业对涉及上述行业的公司拥有控股权，以及对上市公司拥有控股权。根据《办法》，涉及重点子公司的国有产权转让行为应当报财政部门审批；国有及国有控股金融企业拟转让在境内外设立的特殊目的公司所持有的重点子公司产权，应当报财政部门审批；国有控股金融企业拟转让境外非上市子公司产权的，原则上应在《办法》规定的产权交易机构中进行。确因受制于客观条件，无法征集意向</w:t>
      </w:r>
      <w:r>
        <w:rPr>
          <w:rFonts w:hint="eastAsia"/>
        </w:rPr>
        <w:t>受让方的，经充分询价，报经主管财政部门审核批准后，可采取直接协议转让的方式进行。</w:t>
      </w:r>
    </w:p>
    <w:p w14:paraId="56C45C75" w14:textId="77777777" w:rsidR="00360377" w:rsidRDefault="00360377" w:rsidP="00360377">
      <w:pPr>
        <w:pStyle w:val="ab"/>
        <w:spacing w:before="62" w:after="62"/>
        <w:ind w:firstLine="482"/>
      </w:pPr>
      <w:r>
        <w:rPr>
          <w:rFonts w:hint="eastAsia"/>
        </w:rPr>
        <w:t>三、完善程序，规范金融企业国有资产转让行为</w:t>
      </w:r>
    </w:p>
    <w:p w14:paraId="461BDFBA" w14:textId="77777777" w:rsidR="00360377" w:rsidRDefault="00360377" w:rsidP="00360377">
      <w:pPr>
        <w:pStyle w:val="13"/>
      </w:pPr>
      <w:r>
        <w:rPr>
          <w:rFonts w:hint="eastAsia"/>
        </w:rPr>
        <w:t>各级财政部门和各中央管理的国有及国有控股金融企业，在推进国有金融资产布局和结构调整、促进国有金融资本合理流转的过程中，要按照《办法》规定，严格</w:t>
      </w:r>
      <w:r>
        <w:rPr>
          <w:rFonts w:hint="eastAsia"/>
        </w:rPr>
        <w:lastRenderedPageBreak/>
        <w:t>规范金融企业国有资产转让行为。</w:t>
      </w:r>
    </w:p>
    <w:p w14:paraId="3662B9A3" w14:textId="77777777" w:rsidR="00360377" w:rsidRDefault="00360377" w:rsidP="00360377">
      <w:pPr>
        <w:pStyle w:val="13"/>
      </w:pPr>
      <w:r>
        <w:rPr>
          <w:rFonts w:hint="eastAsia"/>
        </w:rPr>
        <w:t>（一）加强对金融企业国有资产转让的全过程管理。国有及国有控股金融企业要严格履行内部决策程序和审批程序；按规定做好财务审计和资产评估工作，并以评估值作为转让价格的参考依据；要坚持资产转让进入公开市场，保证转让信息披露完全，杜绝暗箱操作；及时做好转让价款收取、转让</w:t>
      </w:r>
      <w:proofErr w:type="gramStart"/>
      <w:r>
        <w:rPr>
          <w:rFonts w:hint="eastAsia"/>
        </w:rPr>
        <w:t>鉴证</w:t>
      </w:r>
      <w:proofErr w:type="gramEnd"/>
      <w:r>
        <w:rPr>
          <w:rFonts w:hint="eastAsia"/>
        </w:rPr>
        <w:t>和产权登记工作。涉及上市公司国有股份转让的，还应遵守证券监管部门的相关规定。</w:t>
      </w:r>
    </w:p>
    <w:p w14:paraId="04787E9B" w14:textId="77777777" w:rsidR="00360377" w:rsidRDefault="00360377" w:rsidP="00360377">
      <w:pPr>
        <w:pStyle w:val="13"/>
      </w:pPr>
      <w:r>
        <w:rPr>
          <w:rFonts w:hint="eastAsia"/>
        </w:rPr>
        <w:t>（二）加强金融国有资产管理各项基础工作的有机结合。各级财政部门要做好资产转让过程中，涉及的金融企业国有资产产权登记管理和资产评估工作，加强金融国有资产管理各项基础工作的配合力度。</w:t>
      </w:r>
    </w:p>
    <w:p w14:paraId="1D9DB25D" w14:textId="77777777" w:rsidR="00360377" w:rsidRDefault="00360377" w:rsidP="00360377">
      <w:pPr>
        <w:pStyle w:val="13"/>
      </w:pPr>
      <w:r>
        <w:rPr>
          <w:rFonts w:hint="eastAsia"/>
        </w:rPr>
        <w:t>（三）加强对金融国有资产转让活动的监督检查。财政部负责对各省和各中央管理的国有及国有控股金融企业的资产转让行为进行监督检查，发现违法违规行为，将按照有关规定严肃处理。各中央管理的国有及国有控股金融企业要通过对各级子企业国有资产转让事前、事中和事后等环节的审核把关和监督检查，切实履行好相关监管职责。</w:t>
      </w:r>
    </w:p>
    <w:p w14:paraId="45D05A26" w14:textId="77777777" w:rsidR="00360377" w:rsidRDefault="00360377" w:rsidP="00360377">
      <w:pPr>
        <w:pStyle w:val="13"/>
      </w:pPr>
      <w:r>
        <w:rPr>
          <w:rFonts w:hint="eastAsia"/>
        </w:rPr>
        <w:t>四、强化信息管理，建立健全金融企业国有资产转让情况报告制度</w:t>
      </w:r>
    </w:p>
    <w:p w14:paraId="651F3EC4" w14:textId="77777777" w:rsidR="00360377" w:rsidRDefault="00360377" w:rsidP="00360377">
      <w:pPr>
        <w:pStyle w:val="13"/>
      </w:pPr>
      <w:r>
        <w:rPr>
          <w:rFonts w:hint="eastAsia"/>
        </w:rPr>
        <w:t>为做好金融企业国有资产转让信息的统计分析工作，各省级财政部门和各中央管理的国有及国有控股金融企业要充分利用信息化技术，探索建立金融国有资产转让基础信息库，全面掌握所管理企业国有资产转让的有关情况。</w:t>
      </w:r>
    </w:p>
    <w:p w14:paraId="7AB7D2AC" w14:textId="77777777" w:rsidR="00360377" w:rsidRDefault="00360377" w:rsidP="00360377">
      <w:pPr>
        <w:pStyle w:val="13"/>
      </w:pPr>
      <w:r>
        <w:rPr>
          <w:rFonts w:hint="eastAsia"/>
        </w:rPr>
        <w:t>（一）做好信息定期报送工作。每年</w:t>
      </w:r>
      <w:r>
        <w:t>3月底之前，各省级财政部门和各中央管理的国有及国有控股金融企业要将上一年度金融企业国有资产转让情况统计汇总后报我部。</w:t>
      </w:r>
    </w:p>
    <w:p w14:paraId="7919F8C8" w14:textId="77777777" w:rsidR="00360377" w:rsidRDefault="00360377" w:rsidP="00360377">
      <w:pPr>
        <w:pStyle w:val="13"/>
      </w:pPr>
      <w:r>
        <w:rPr>
          <w:rFonts w:hint="eastAsia"/>
        </w:rPr>
        <w:t>（二）做好研究报告工作。各级财政部门和国有金融企业要注意了解和总结在国有资产转让活动中出现的新情况、新问题，对有关重要情况和重大问题要及时向我部报告。</w:t>
      </w:r>
    </w:p>
    <w:p w14:paraId="746A0ADD" w14:textId="77777777" w:rsidR="00360377" w:rsidRDefault="00360377" w:rsidP="00360377">
      <w:pPr>
        <w:pStyle w:val="13"/>
        <w:jc w:val="right"/>
      </w:pPr>
      <w:r>
        <w:rPr>
          <w:rFonts w:hint="eastAsia"/>
        </w:rPr>
        <w:t>财政部</w:t>
      </w:r>
    </w:p>
    <w:p w14:paraId="366030A6" w14:textId="232FA404" w:rsidR="00281247" w:rsidRDefault="00360377" w:rsidP="00360377">
      <w:pPr>
        <w:pStyle w:val="13"/>
        <w:jc w:val="right"/>
      </w:pPr>
      <w:r>
        <w:rPr>
          <w:rFonts w:hint="eastAsia"/>
        </w:rPr>
        <w:t>二○○九年十二月二十七日</w:t>
      </w:r>
    </w:p>
    <w:p w14:paraId="2A5F1109" w14:textId="52975412" w:rsidR="00F67FFD" w:rsidRDefault="00360377" w:rsidP="00360377">
      <w:pPr>
        <w:pStyle w:val="31"/>
        <w:spacing w:before="156" w:after="62"/>
      </w:pPr>
      <w:bookmarkStart w:id="236" w:name="_Toc81833469"/>
      <w:r w:rsidRPr="00360377">
        <w:rPr>
          <w:rFonts w:hint="eastAsia"/>
        </w:rPr>
        <w:t>《关于金融企业国有资产评估监督管理有关问题的通知》（财金〔</w:t>
      </w:r>
      <w:r w:rsidRPr="00360377">
        <w:t>2011〕59号）</w:t>
      </w:r>
      <w:bookmarkEnd w:id="236"/>
    </w:p>
    <w:p w14:paraId="3F2B7BF1" w14:textId="77777777" w:rsidR="00360377" w:rsidRDefault="00360377" w:rsidP="00360377">
      <w:pPr>
        <w:pStyle w:val="13"/>
        <w:ind w:firstLineChars="0" w:firstLine="0"/>
      </w:pPr>
      <w:r>
        <w:rPr>
          <w:rFonts w:hint="eastAsia"/>
        </w:rPr>
        <w:t>各省、自治区、直辖市、计划单列市财政厅（局），有关金融企业：</w:t>
      </w:r>
    </w:p>
    <w:p w14:paraId="2A56ADE0" w14:textId="01AD46D6" w:rsidR="00F67FFD" w:rsidRDefault="00360377" w:rsidP="00360377">
      <w:pPr>
        <w:pStyle w:val="13"/>
      </w:pPr>
      <w:r>
        <w:t>为进一步贯彻落实《金融企业国有资产评估监督管理暂行办法》（财政部令第47号，以下简称《办法》），加强和规范金融企业国有资产评估监督管理工作，现就有关问题通知如下：</w:t>
      </w:r>
    </w:p>
    <w:p w14:paraId="48F15060" w14:textId="77777777" w:rsidR="00C762AA" w:rsidRDefault="00C762AA" w:rsidP="00C762AA">
      <w:pPr>
        <w:pStyle w:val="ab"/>
        <w:spacing w:before="62" w:after="62"/>
        <w:ind w:firstLine="482"/>
      </w:pPr>
      <w:r>
        <w:rPr>
          <w:rFonts w:hint="eastAsia"/>
        </w:rPr>
        <w:t>一、关于评估范围的确定问题</w:t>
      </w:r>
    </w:p>
    <w:p w14:paraId="1AAE0EFA" w14:textId="453CF106" w:rsidR="00C762AA" w:rsidRDefault="00C762AA" w:rsidP="00C762AA">
      <w:pPr>
        <w:pStyle w:val="13"/>
      </w:pPr>
      <w:r>
        <w:t>（一）金融企业出现《办法》第六条所述的经济行为时，应按下列要求确定评估</w:t>
      </w:r>
      <w:r>
        <w:lastRenderedPageBreak/>
        <w:t>范围：</w:t>
      </w:r>
    </w:p>
    <w:p w14:paraId="55302266" w14:textId="4DF73C4F" w:rsidR="00C762AA" w:rsidRDefault="00C762AA" w:rsidP="00C762AA">
      <w:pPr>
        <w:pStyle w:val="13"/>
      </w:pPr>
      <w:r>
        <w:t>1.整体或者部分改制为有限责任公司或者股份有限公司，合并、分立、清算，或产权转让的，应对企业进行整体资产评估。</w:t>
      </w:r>
    </w:p>
    <w:p w14:paraId="6D189AB0" w14:textId="20D18755" w:rsidR="00C762AA" w:rsidRDefault="00C762AA" w:rsidP="00C762AA">
      <w:pPr>
        <w:pStyle w:val="13"/>
      </w:pPr>
      <w:r>
        <w:t>2.对子公司增资扩股时，因吸收新股东入股或企业原股东未按照原有出资比例追加投资等，造成原国有股东股权比例发生变化的，需要对子公司进行整体资产评估。以非货币性资产增资或出资的，还应对非货币性资产进行评估。</w:t>
      </w:r>
    </w:p>
    <w:p w14:paraId="043673C9" w14:textId="2141792F" w:rsidR="00C762AA" w:rsidRDefault="00C762AA" w:rsidP="00C762AA">
      <w:pPr>
        <w:pStyle w:val="13"/>
      </w:pPr>
      <w:r>
        <w:t>3.接受非国有单位以非货币性资产出资的，应对接受非国有资产的企业进行整体资产评估，还应对非货币性资产进行评估。</w:t>
      </w:r>
    </w:p>
    <w:p w14:paraId="2098F04E" w14:textId="67D2C77B" w:rsidR="00C762AA" w:rsidRDefault="00C762AA" w:rsidP="00C762AA">
      <w:pPr>
        <w:pStyle w:val="13"/>
      </w:pPr>
      <w:r>
        <w:t>4.以债权转股权方式进行债务重组的，应对拟转股的企业进行整体资产评估。</w:t>
      </w:r>
    </w:p>
    <w:p w14:paraId="27A74E91" w14:textId="1C3B977F" w:rsidR="00C762AA" w:rsidRDefault="00C762AA" w:rsidP="00C762AA">
      <w:pPr>
        <w:pStyle w:val="13"/>
      </w:pPr>
      <w:r>
        <w:t>5.收购非国有单位股权的，应对被收购企业进行整体资产评估。以非货币性资产收购的，还应对非货币性资产进行评估。</w:t>
      </w:r>
    </w:p>
    <w:p w14:paraId="6E33A2CF" w14:textId="352FA680" w:rsidR="00C762AA" w:rsidRDefault="00C762AA" w:rsidP="00C762AA">
      <w:pPr>
        <w:pStyle w:val="13"/>
      </w:pPr>
      <w:r>
        <w:t>6.以非货币性资产对外进行长期股权投资，接受非货币性资产抵押或质押，以及以非货币性资产抵债或者接受抵债的，应对非货币性资产进行评估。</w:t>
      </w:r>
    </w:p>
    <w:p w14:paraId="035302E5" w14:textId="00133B4B" w:rsidR="00C762AA" w:rsidRDefault="00C762AA" w:rsidP="00C762AA">
      <w:pPr>
        <w:pStyle w:val="13"/>
      </w:pPr>
      <w:r>
        <w:t>7.收购非国有单位非股权类资产，处置不良资产，确定涉讼资产价值，或进行资产转让、置换和拍卖的，应对所涉及的资产进行评估。</w:t>
      </w:r>
    </w:p>
    <w:p w14:paraId="5762A457" w14:textId="7CD667F6" w:rsidR="00C762AA" w:rsidRDefault="00C762AA" w:rsidP="00C762AA">
      <w:pPr>
        <w:pStyle w:val="13"/>
      </w:pPr>
      <w:r>
        <w:t>8.法律、行政法规规定的应当进行评估的其他情形，评估范围的确定应视具体情形而定。</w:t>
      </w:r>
    </w:p>
    <w:p w14:paraId="16C9A192" w14:textId="485F3FA7" w:rsidR="00C762AA" w:rsidRDefault="00C762AA" w:rsidP="00C762AA">
      <w:pPr>
        <w:pStyle w:val="13"/>
      </w:pPr>
      <w:r>
        <w:t>（二）中央直接管理的金融企业与其下属的独资企业之间，或者其下属独资企业之间的合并，以及资产或者产权置换、转让和无偿划转的，未造成国有股权比例发生变动的，对相关的资产可以不进行评估。</w:t>
      </w:r>
    </w:p>
    <w:p w14:paraId="7B10A160" w14:textId="0919D7E4" w:rsidR="00C762AA" w:rsidRDefault="00C762AA" w:rsidP="00C762AA">
      <w:pPr>
        <w:pStyle w:val="ab"/>
        <w:spacing w:before="62" w:after="62"/>
        <w:ind w:firstLine="482"/>
      </w:pPr>
      <w:r>
        <w:t>二、关于评估项目的委托问题</w:t>
      </w:r>
    </w:p>
    <w:p w14:paraId="0AEAEDA7" w14:textId="3F7C00B9" w:rsidR="00C762AA" w:rsidRDefault="00C762AA" w:rsidP="00C762AA">
      <w:pPr>
        <w:pStyle w:val="13"/>
      </w:pPr>
      <w:r>
        <w:t>金融企业出现《办法》第六条所述整体或者部分改制为有限责任公司或者股份有限公司，合并、分立、清算，非上市金融企业国有股东股权比例发生变动，产权转让，债务重组，接受非国有单位以非货币性资产出资等经济行为时，涉及的评估对象属于金融企业出资人权利的，应由国有出资人直接委托，或书面授权金融企业作为评估委托方。</w:t>
      </w:r>
    </w:p>
    <w:p w14:paraId="69FACB27" w14:textId="13348A35" w:rsidR="00C762AA" w:rsidRDefault="00C762AA" w:rsidP="00C762AA">
      <w:pPr>
        <w:pStyle w:val="13"/>
      </w:pPr>
      <w:r>
        <w:t>中央直接管理的金融企业在出现上述经济行为时，应向国有出资人书面申请授权其选聘评估机构开展相关资产评估工作，国有出资人根据实际情况进行批复。</w:t>
      </w:r>
    </w:p>
    <w:p w14:paraId="0B879A55" w14:textId="61A6D44A" w:rsidR="00C762AA" w:rsidRDefault="00C762AA" w:rsidP="00C762AA">
      <w:pPr>
        <w:pStyle w:val="13"/>
      </w:pPr>
      <w:r>
        <w:t>金融企业出现《办法》第六条所述以非货币性资产对外出资，资产转让、置换、拍卖，债权转股权，接受非货币性资产抵押或质押，处置不良资产，以非货币资产抵债或接受抵债，收购非国有单位资产，确定诉讼资产价值等经济行为时，涉及的评估对象属于金融企业法人财产权或者金融企业接受非国有资产的，资产评估应由金融企业委托。</w:t>
      </w:r>
    </w:p>
    <w:p w14:paraId="49085B67" w14:textId="582B0E32" w:rsidR="00C762AA" w:rsidRDefault="00C762AA" w:rsidP="00C762AA">
      <w:pPr>
        <w:pStyle w:val="ab"/>
        <w:spacing w:before="62" w:after="62"/>
        <w:ind w:firstLine="482"/>
      </w:pPr>
      <w:r>
        <w:lastRenderedPageBreak/>
        <w:t>三、关于核准（备案）申请需报送的经济行为批准文件</w:t>
      </w:r>
    </w:p>
    <w:p w14:paraId="11E88B82" w14:textId="06CC82E9" w:rsidR="00C762AA" w:rsidRDefault="00C762AA" w:rsidP="00C762AA">
      <w:pPr>
        <w:pStyle w:val="13"/>
      </w:pPr>
      <w:r>
        <w:t>（一）《办法》第十四条规定的核准申请应报送的经济行为批准文件，为各级人民政府批准金融企业进行改组改制、拟在境内（外）上市、以非货币性资产与外商合资合作或其他涉及国有资产产权比例变动经济行为事项时的审批文件，或财政部门依照本级人民政府审批文件出具的、同意金融企业开展相应资产评估事项的批准文件。</w:t>
      </w:r>
    </w:p>
    <w:p w14:paraId="337E3A6C" w14:textId="6EC6E9F3" w:rsidR="00C762AA" w:rsidRDefault="00C762AA" w:rsidP="00C762AA">
      <w:pPr>
        <w:pStyle w:val="13"/>
      </w:pPr>
      <w:r>
        <w:t>中央直接管理的金融企业需报送的经济行为批准文件，为国务院批准同意的重组改制等相关经济行为审批文件，或财政部根据国务院审批文件出具的、同意其开展相应资产评估事项的批准文件。</w:t>
      </w:r>
    </w:p>
    <w:p w14:paraId="256A2169" w14:textId="600A1027" w:rsidR="00C762AA" w:rsidRDefault="00C762AA" w:rsidP="00C762AA">
      <w:pPr>
        <w:pStyle w:val="13"/>
      </w:pPr>
      <w:r>
        <w:t>（二）《办法》第二十条规定的备案申请应报送的经济行为批准文件分为：</w:t>
      </w:r>
    </w:p>
    <w:p w14:paraId="07111C86" w14:textId="7D1A9230" w:rsidR="00C762AA" w:rsidRDefault="00C762AA" w:rsidP="00C762AA">
      <w:pPr>
        <w:pStyle w:val="13"/>
      </w:pPr>
      <w:r>
        <w:t>1.已经设立股东（大）会、董事会的，根据《中华人民共和国公司法》和公司章程的相关规定，经济行为批准文件为董事会或股东（大）会决议；或按照股东（大）会、董事会对管理层的授权，由管理层在授权范围内，根据决策议事机制，对经济行为审议同意后形成的文件。对按规定需报财政部门批准的事项，经济行为批准文件为财政部门的审批文件。</w:t>
      </w:r>
    </w:p>
    <w:p w14:paraId="653C7A69" w14:textId="7F673C76" w:rsidR="00C762AA" w:rsidRDefault="00C762AA" w:rsidP="00C762AA">
      <w:pPr>
        <w:pStyle w:val="13"/>
      </w:pPr>
      <w:r>
        <w:t>2.尚未设立股东（大）会、董事会的，根据财务和资产管理制度的有关规定，经济行为批准文件为财政部门的批复文件；或者按规定的内部决策议事机制，经总经理（行长、总裁、党委）办公会以及其他内部审核部门审议同意后形成的文件。</w:t>
      </w:r>
    </w:p>
    <w:p w14:paraId="5C1536A6" w14:textId="368772FA" w:rsidR="00C762AA" w:rsidRDefault="00C762AA" w:rsidP="00C762AA">
      <w:pPr>
        <w:pStyle w:val="ab"/>
        <w:spacing w:before="62" w:after="62"/>
        <w:ind w:firstLine="482"/>
      </w:pPr>
      <w:r>
        <w:t>四、关于评估备案的管理权限问题</w:t>
      </w:r>
    </w:p>
    <w:p w14:paraId="5121D287" w14:textId="0552C142" w:rsidR="00C762AA" w:rsidRDefault="00C762AA" w:rsidP="00C762AA">
      <w:pPr>
        <w:pStyle w:val="13"/>
      </w:pPr>
      <w:r>
        <w:t>根据《办法》第十八条规定，中央直接管理的金融企业需报财政部备案的资产评估项目包括：中央直接管理的金融企业资产评估项目；其一级子公司、省级分公司或分行、金融资产管理公司办事处账面资产总额大于或者等于5000万元人民币的资产评估项目。</w:t>
      </w:r>
    </w:p>
    <w:p w14:paraId="37D72061" w14:textId="52CCABAF" w:rsidR="00C762AA" w:rsidRDefault="00C762AA" w:rsidP="00C762AA">
      <w:pPr>
        <w:pStyle w:val="13"/>
      </w:pPr>
      <w:r>
        <w:t>因开展信贷、担保等正常经营业务涉及抵（质）押资产、抵债资产、诉讼资产价值确认以及固定资产等非股权类资产收购处置的评估项目，备案工作由中央直接管理的金融企业负责。</w:t>
      </w:r>
    </w:p>
    <w:p w14:paraId="0E11F564" w14:textId="10E346F2" w:rsidR="00C762AA" w:rsidRDefault="00C762AA" w:rsidP="00C762AA">
      <w:pPr>
        <w:pStyle w:val="ab"/>
        <w:spacing w:before="62" w:after="62"/>
        <w:ind w:firstLine="482"/>
      </w:pPr>
      <w:r>
        <w:t>五、关于核准（备案）申请的报送期限</w:t>
      </w:r>
    </w:p>
    <w:p w14:paraId="2A1A55E8" w14:textId="7A257ABE" w:rsidR="00C762AA" w:rsidRDefault="00C762AA" w:rsidP="00C762AA">
      <w:pPr>
        <w:pStyle w:val="13"/>
      </w:pPr>
      <w:r>
        <w:t>根据《办法》第十三条的规定，中央直接管理的金融企业的资产评估项目核准申请应在评估基准日起8个月内、相应经济行为实际发生前，向财政部提出；因经济行为文件未能批复等原因造成未在规定期限内报送申请的，应至少在评估结果使用有效期截止日之前20个工作日提出申请，逾期财政部不予受理。</w:t>
      </w:r>
    </w:p>
    <w:p w14:paraId="7288503F" w14:textId="0AE2BA25" w:rsidR="00C762AA" w:rsidRDefault="00C762AA" w:rsidP="00C762AA">
      <w:pPr>
        <w:pStyle w:val="13"/>
      </w:pPr>
      <w:r>
        <w:t>根据《办法》第十九条的规定，中央直接管理的金融企业的资产评估项目备案申请应在评估基准日起9个月内、相应经济行为实际发生前，向财政部提出。对经济行</w:t>
      </w:r>
      <w:r>
        <w:lastRenderedPageBreak/>
        <w:t>为已实际发生、相关交易手续已经完成的，财政部不予受理。</w:t>
      </w:r>
    </w:p>
    <w:p w14:paraId="07AF5A1F" w14:textId="370BDF4E" w:rsidR="00C762AA" w:rsidRDefault="00C762AA" w:rsidP="00C762AA">
      <w:pPr>
        <w:pStyle w:val="ab"/>
        <w:spacing w:before="62" w:after="62"/>
        <w:ind w:firstLine="482"/>
      </w:pPr>
      <w:r>
        <w:t>六、关于评估项目核准（备案）表的填报问题</w:t>
      </w:r>
    </w:p>
    <w:p w14:paraId="29C7EDC3" w14:textId="08284A54" w:rsidR="00C762AA" w:rsidRDefault="00C762AA" w:rsidP="00C762AA">
      <w:pPr>
        <w:pStyle w:val="13"/>
      </w:pPr>
      <w:r>
        <w:t>金融企业应根据被评估企业的性质，选择资产评估项目核准（备案）表进行填报。其中，基金管理公司应填报《证券公司评估结果表》，金融控股公司等其他非银行、证券、保险、担保类企业应填报《其他企业类评估结果表》。资产评估项目核准（备案）表应采用A3纸张双面打印。</w:t>
      </w:r>
    </w:p>
    <w:p w14:paraId="70A09FD1" w14:textId="727D7F64" w:rsidR="00C762AA" w:rsidRDefault="00C762AA" w:rsidP="00C762AA">
      <w:pPr>
        <w:pStyle w:val="ab"/>
        <w:spacing w:before="62" w:after="62"/>
        <w:ind w:firstLine="482"/>
      </w:pPr>
      <w:r>
        <w:t>七、关于评估结论的使用问题</w:t>
      </w:r>
    </w:p>
    <w:p w14:paraId="2E371A05" w14:textId="538D0F1F" w:rsidR="00C762AA" w:rsidRDefault="00C762AA" w:rsidP="00C762AA">
      <w:pPr>
        <w:pStyle w:val="13"/>
      </w:pPr>
      <w:r>
        <w:t>评估结论的使用必须与所对应的经济行为保持一致。在金融企业改制过程中，改制设立股份有限公司的评估结论仅适用于设立股份有限公司的工商登记注册，不得用于引入战略投资者和首次公开发行上市。</w:t>
      </w:r>
    </w:p>
    <w:p w14:paraId="4DF7C398" w14:textId="6589F266" w:rsidR="00C762AA" w:rsidRDefault="00C762AA" w:rsidP="00C762AA">
      <w:pPr>
        <w:pStyle w:val="13"/>
      </w:pPr>
      <w:r>
        <w:t>金融企业发生《办法》第七条所称同类型经济行为需要再次使用评估结论时，可不再申请备案，但应确认评估结论仍在有效使用期内，且与评估基准日时相比，未出现因资产状态、使用方式、市场环境以及评估假设等发生显著变化，导致资产价值发生重大变化的情况。</w:t>
      </w:r>
    </w:p>
    <w:p w14:paraId="630EEA78" w14:textId="78252099" w:rsidR="00C762AA" w:rsidRDefault="00C762AA" w:rsidP="00C762AA">
      <w:pPr>
        <w:pStyle w:val="ab"/>
        <w:spacing w:before="62" w:after="62"/>
        <w:ind w:firstLine="482"/>
      </w:pPr>
      <w:r>
        <w:t>八、关于评估机构的选聘问题</w:t>
      </w:r>
    </w:p>
    <w:p w14:paraId="6B718BF2" w14:textId="43607CDA" w:rsidR="00C762AA" w:rsidRDefault="00C762AA" w:rsidP="00C762AA">
      <w:pPr>
        <w:pStyle w:val="13"/>
      </w:pPr>
      <w:r>
        <w:t>金融企业选聘资产评估机构应当遵循公平、公开、公正和诚实信用的原则。在相关选聘管理办法出台前，具体选聘和决策程序参照《金融企业选聘会计师事务所招标管理办法（试行）》（财金[2010]169号）有关规定执行。</w:t>
      </w:r>
    </w:p>
    <w:p w14:paraId="301F0FB8" w14:textId="67A286FE" w:rsidR="00C762AA" w:rsidRDefault="00C762AA" w:rsidP="00C762AA">
      <w:pPr>
        <w:pStyle w:val="13"/>
      </w:pPr>
      <w:r>
        <w:t>拟选聘的资产评估机构应当具有固定的工作场所，组织机构健全，内部管理和控制制度较为完善并且执行有效；遵守国家有关法律、法规、规章及国有资产评估的政策规定，严格履行法定职责；遵守执业准则和执业规范，近3年内没有违法、违规或行业自律惩戒记录；具有与评估对象相适应的资质条件、专业人员和专业特长；与资产评估</w:t>
      </w:r>
      <w:proofErr w:type="gramStart"/>
      <w:r>
        <w:t>委托方高管层</w:t>
      </w:r>
      <w:proofErr w:type="gramEnd"/>
      <w:r>
        <w:t>无经济利益关系；未就同一经济行为向金融企业提供会计、审计及财务顾问服务等。</w:t>
      </w:r>
    </w:p>
    <w:p w14:paraId="5EEF9E48" w14:textId="6121A945" w:rsidR="00C762AA" w:rsidRDefault="00C762AA" w:rsidP="00C762AA">
      <w:pPr>
        <w:pStyle w:val="ab"/>
        <w:spacing w:before="62" w:after="62"/>
        <w:ind w:firstLine="482"/>
      </w:pPr>
      <w:r>
        <w:t>九、其他问题</w:t>
      </w:r>
    </w:p>
    <w:p w14:paraId="4A8A78E0" w14:textId="6367A497" w:rsidR="00C762AA" w:rsidRDefault="00C762AA" w:rsidP="00C762AA">
      <w:pPr>
        <w:pStyle w:val="13"/>
      </w:pPr>
      <w:r>
        <w:t>《办法》和本通知的适用范围包括：占有国有资产的获得金融业务许可证的企业、金融控股公司、担保公司以及其他金融类企业。中国投资有限责任公司（含中央汇金投资有限责任公司），中国人民银行所属企业，以及金融类企业依法投资于其他非金融类企业的，资产评估监督管理工作比照《办法》和本通知执行。</w:t>
      </w:r>
    </w:p>
    <w:p w14:paraId="283B259F" w14:textId="1A221D9C" w:rsidR="00C762AA" w:rsidRDefault="00C762AA" w:rsidP="00C762AA">
      <w:pPr>
        <w:pStyle w:val="13"/>
      </w:pPr>
      <w:r>
        <w:t>省级财政部门可以依照《办法》和本通知，结合本地区实际情况，制定具体实施细则。</w:t>
      </w:r>
    </w:p>
    <w:p w14:paraId="3FE3C54C" w14:textId="77777777" w:rsidR="00C762AA" w:rsidRDefault="00C762AA" w:rsidP="00C762AA">
      <w:pPr>
        <w:pStyle w:val="13"/>
        <w:jc w:val="right"/>
      </w:pPr>
      <w:r>
        <w:rPr>
          <w:rFonts w:hint="eastAsia"/>
        </w:rPr>
        <w:t>财政部</w:t>
      </w:r>
    </w:p>
    <w:p w14:paraId="2014CA8E" w14:textId="77777777" w:rsidR="00C762AA" w:rsidRDefault="00C762AA" w:rsidP="00C762AA">
      <w:pPr>
        <w:pStyle w:val="13"/>
        <w:jc w:val="right"/>
      </w:pPr>
      <w:r>
        <w:rPr>
          <w:rFonts w:hint="eastAsia"/>
        </w:rPr>
        <w:t>二○一一年六月十六日</w:t>
      </w:r>
    </w:p>
    <w:p w14:paraId="2D082A40" w14:textId="42D91F96" w:rsidR="00F67FFD" w:rsidRPr="00C762AA" w:rsidRDefault="00C762AA" w:rsidP="00C762AA">
      <w:pPr>
        <w:pStyle w:val="21"/>
        <w:spacing w:before="156" w:after="93"/>
      </w:pPr>
      <w:bookmarkStart w:id="237" w:name="_Toc81833470"/>
      <w:r>
        <w:rPr>
          <w:rFonts w:hint="eastAsia"/>
        </w:rPr>
        <w:lastRenderedPageBreak/>
        <w:t>文</w:t>
      </w:r>
      <w:r w:rsidRPr="00C762AA">
        <w:rPr>
          <w:rFonts w:hint="eastAsia"/>
        </w:rPr>
        <w:t>化国有企业资产评估管理</w:t>
      </w:r>
      <w:bookmarkEnd w:id="237"/>
    </w:p>
    <w:p w14:paraId="7C578E54" w14:textId="33727374" w:rsidR="00F67FFD" w:rsidRPr="00360377" w:rsidRDefault="000366C2" w:rsidP="00E56BA0">
      <w:pPr>
        <w:pStyle w:val="31"/>
        <w:spacing w:before="156" w:after="62"/>
      </w:pPr>
      <w:bookmarkStart w:id="238" w:name="_Toc81833471"/>
      <w:r w:rsidRPr="000366C2">
        <w:rPr>
          <w:rFonts w:hint="eastAsia"/>
        </w:rPr>
        <w:t>《中央文化企业国有资产评估管理暂行办法》（</w:t>
      </w:r>
      <w:proofErr w:type="gramStart"/>
      <w:r w:rsidRPr="000366C2">
        <w:rPr>
          <w:rFonts w:hint="eastAsia"/>
        </w:rPr>
        <w:t>财文资〔</w:t>
      </w:r>
      <w:r w:rsidRPr="000366C2">
        <w:t>2012〕</w:t>
      </w:r>
      <w:proofErr w:type="gramEnd"/>
      <w:r w:rsidRPr="000366C2">
        <w:t>15号）</w:t>
      </w:r>
      <w:bookmarkEnd w:id="238"/>
    </w:p>
    <w:p w14:paraId="0AF27F9B" w14:textId="77777777" w:rsidR="00E56BA0" w:rsidRDefault="00E56BA0" w:rsidP="00B93D94">
      <w:pPr>
        <w:pStyle w:val="13"/>
        <w:ind w:firstLineChars="0" w:firstLine="0"/>
      </w:pPr>
      <w:r>
        <w:rPr>
          <w:rFonts w:hint="eastAsia"/>
        </w:rPr>
        <w:t>党中央有关部门，国务院各部委、各直属机构，全国人大常委会办公厅，全国政协办公厅，高法院，高检院，有关人民团体，各民主党派中央，有关中央管理企业：</w:t>
      </w:r>
    </w:p>
    <w:p w14:paraId="14160C11" w14:textId="2A1C4C7E" w:rsidR="00E56BA0" w:rsidRDefault="00E56BA0" w:rsidP="00E56BA0">
      <w:pPr>
        <w:pStyle w:val="13"/>
      </w:pPr>
      <w:r>
        <w:rPr>
          <w:rFonts w:hint="eastAsia"/>
        </w:rPr>
        <w:t>为进一步加强中央文化企业国有资产评估管理，根据《国有资产评估管理办法》（国务院令第</w:t>
      </w:r>
      <w:r>
        <w:t>91号）和《国有资产评估若干问题的规定》（财政部令第14号）等有关规定，我们制定了《中央文化企业国有资产评估管理暂行办法》。现印发给你们，请遵照执行。执行中有何问题，请及时向我们反映。</w:t>
      </w:r>
    </w:p>
    <w:p w14:paraId="352F1094" w14:textId="4EFBE0E4" w:rsidR="00E56BA0" w:rsidRDefault="00E56BA0" w:rsidP="00FE2C85">
      <w:pPr>
        <w:pStyle w:val="13"/>
        <w:jc w:val="right"/>
      </w:pPr>
      <w:r>
        <w:t>财政部</w:t>
      </w:r>
    </w:p>
    <w:p w14:paraId="36F67740" w14:textId="77777777" w:rsidR="00FE2C85" w:rsidRDefault="00FE2C85" w:rsidP="00AF7342">
      <w:pPr>
        <w:pStyle w:val="a9"/>
        <w:spacing w:before="62" w:after="62"/>
      </w:pPr>
      <w:r>
        <w:rPr>
          <w:rFonts w:hint="eastAsia"/>
        </w:rPr>
        <w:t>中央文化企业国有资产评估管理暂行办法</w:t>
      </w:r>
    </w:p>
    <w:p w14:paraId="29E0A81F" w14:textId="643B43B6" w:rsidR="00FE2C85" w:rsidRDefault="00FE2C85" w:rsidP="00AF7342">
      <w:pPr>
        <w:pStyle w:val="a9"/>
        <w:spacing w:before="62" w:after="62"/>
      </w:pPr>
      <w:r>
        <w:rPr>
          <w:rFonts w:hint="eastAsia"/>
        </w:rPr>
        <w:t>第一章 总则</w:t>
      </w:r>
    </w:p>
    <w:p w14:paraId="1A9B7132" w14:textId="1C031F05" w:rsidR="00FE2C85" w:rsidRDefault="004E3EBB" w:rsidP="00FE2C85">
      <w:pPr>
        <w:pStyle w:val="13"/>
        <w:ind w:firstLine="482"/>
      </w:pPr>
      <w:r w:rsidRPr="004E3EBB">
        <w:rPr>
          <w:rFonts w:hint="eastAsia"/>
          <w:b/>
        </w:rPr>
        <w:t xml:space="preserve">第一条 </w:t>
      </w:r>
      <w:r w:rsidR="00FE2C85">
        <w:rPr>
          <w:rFonts w:hint="eastAsia"/>
        </w:rPr>
        <w:t>为规范中央文化企业国有资产评估行为，维护国有资产出资人合法权益，促进中央文化企业国有产权有序流转，防止国有资产流失，结合文化企业特点，根据《国有资产评估管理办法》（国务院令第</w:t>
      </w:r>
      <w:r w:rsidR="00FE2C85">
        <w:t>91号）和《国有资产评估若干问题的规定》（财政部令第14号）等有关规定，制定本办法。</w:t>
      </w:r>
    </w:p>
    <w:p w14:paraId="58524216" w14:textId="68435BB6" w:rsidR="00FE2C85" w:rsidRDefault="004E3EBB" w:rsidP="00FE2C85">
      <w:pPr>
        <w:pStyle w:val="13"/>
        <w:ind w:firstLine="482"/>
      </w:pPr>
      <w:r w:rsidRPr="004E3EBB">
        <w:rPr>
          <w:rFonts w:hint="eastAsia"/>
          <w:b/>
        </w:rPr>
        <w:t xml:space="preserve">第二条 </w:t>
      </w:r>
      <w:r w:rsidR="00FE2C85">
        <w:rPr>
          <w:rFonts w:hint="eastAsia"/>
        </w:rPr>
        <w:t>财政部代表国务院履行出资人职责的中央文化企业及其各级子企业涉及的资产评估，适用本办法。</w:t>
      </w:r>
    </w:p>
    <w:p w14:paraId="66BE254D" w14:textId="050B1FAD" w:rsidR="00FE2C85" w:rsidRDefault="004E3EBB" w:rsidP="00FE2C85">
      <w:pPr>
        <w:pStyle w:val="13"/>
        <w:ind w:firstLine="482"/>
      </w:pPr>
      <w:r w:rsidRPr="004E3EBB">
        <w:rPr>
          <w:rFonts w:hint="eastAsia"/>
          <w:b/>
        </w:rPr>
        <w:t xml:space="preserve">第三条 </w:t>
      </w:r>
      <w:r w:rsidR="00FE2C85">
        <w:rPr>
          <w:rFonts w:hint="eastAsia"/>
        </w:rPr>
        <w:t>中央文化企业国有资产评估项目实行核准制和备案制。</w:t>
      </w:r>
    </w:p>
    <w:p w14:paraId="27A9D69D" w14:textId="379CC3CC" w:rsidR="00FE2C85" w:rsidRDefault="00FE2C85" w:rsidP="00FE2C85">
      <w:pPr>
        <w:pStyle w:val="13"/>
      </w:pPr>
      <w:r>
        <w:rPr>
          <w:rFonts w:hint="eastAsia"/>
        </w:rPr>
        <w:t>国务院批准经济行为事项涉及的资产评估项目，由财政部负责核准。其他资产评估项目实行备案制。</w:t>
      </w:r>
    </w:p>
    <w:p w14:paraId="399AFE22" w14:textId="14103BD5" w:rsidR="00FE2C85" w:rsidRDefault="00FE2C85" w:rsidP="00FE2C85">
      <w:pPr>
        <w:pStyle w:val="13"/>
      </w:pPr>
      <w:r>
        <w:rPr>
          <w:rFonts w:hint="eastAsia"/>
        </w:rPr>
        <w:t>资产评估项目备案实行分级管理。中央文化企业及其子企业的资产评估项目由财政部负责备案，子企业以下企业的资产评估项目由中央文化企业负责备案。各级中央文化企业涉及拟上市项目的资产评估由财政部负责备案。</w:t>
      </w:r>
    </w:p>
    <w:p w14:paraId="0A142191" w14:textId="21B68EAC" w:rsidR="00FE2C85" w:rsidRDefault="004E3EBB" w:rsidP="00FE2C85">
      <w:pPr>
        <w:pStyle w:val="13"/>
        <w:ind w:firstLine="482"/>
      </w:pPr>
      <w:r w:rsidRPr="004E3EBB">
        <w:rPr>
          <w:rFonts w:hint="eastAsia"/>
          <w:b/>
        </w:rPr>
        <w:t xml:space="preserve">第四条 </w:t>
      </w:r>
      <w:r w:rsidR="00FE2C85">
        <w:rPr>
          <w:rFonts w:hint="eastAsia"/>
        </w:rPr>
        <w:t>中央文化企业应当建立内部国有资产评估管理制度，实施资产评估项目的档案管理，于每年度终了</w:t>
      </w:r>
      <w:r w:rsidR="00FE2C85">
        <w:t>30个工作日内，将其备案的资产评估项目统计分析资料报送财政部。</w:t>
      </w:r>
    </w:p>
    <w:p w14:paraId="77AEED5D" w14:textId="6156F8E5" w:rsidR="00FE2C85" w:rsidRDefault="00FE2C85" w:rsidP="00AF7342">
      <w:pPr>
        <w:pStyle w:val="a9"/>
        <w:spacing w:before="62" w:after="62"/>
      </w:pPr>
      <w:r>
        <w:rPr>
          <w:rFonts w:hint="eastAsia"/>
        </w:rPr>
        <w:t>第二章 资产评估</w:t>
      </w:r>
    </w:p>
    <w:p w14:paraId="6253D46A" w14:textId="3388FE15" w:rsidR="00FE2C85" w:rsidRDefault="004E3EBB" w:rsidP="00FE2C85">
      <w:pPr>
        <w:pStyle w:val="13"/>
        <w:ind w:firstLine="482"/>
      </w:pPr>
      <w:r w:rsidRPr="004E3EBB">
        <w:rPr>
          <w:rFonts w:hint="eastAsia"/>
          <w:b/>
        </w:rPr>
        <w:t xml:space="preserve">第五条 </w:t>
      </w:r>
      <w:r w:rsidR="00FE2C85">
        <w:rPr>
          <w:rFonts w:hint="eastAsia"/>
        </w:rPr>
        <w:t>中央文化企业有下列行为之一的，应当对相关资产进行评估：</w:t>
      </w:r>
    </w:p>
    <w:p w14:paraId="4508C85D" w14:textId="47C39F15" w:rsidR="00FE2C85" w:rsidRDefault="00FE2C85" w:rsidP="00FE2C85">
      <w:pPr>
        <w:pStyle w:val="13"/>
      </w:pPr>
      <w:r>
        <w:rPr>
          <w:rFonts w:hint="eastAsia"/>
        </w:rPr>
        <w:t>（一）整体或者部分改建为有限责任公司或者股份有限公司；</w:t>
      </w:r>
    </w:p>
    <w:p w14:paraId="7CFB7A2A" w14:textId="36BAD008" w:rsidR="00FE2C85" w:rsidRDefault="00FE2C85" w:rsidP="00FE2C85">
      <w:pPr>
        <w:pStyle w:val="13"/>
      </w:pPr>
      <w:r>
        <w:rPr>
          <w:rFonts w:hint="eastAsia"/>
        </w:rPr>
        <w:t>（二）以非货币资产对外投资；</w:t>
      </w:r>
    </w:p>
    <w:p w14:paraId="568A8A0D" w14:textId="37CB8FDC" w:rsidR="00FE2C85" w:rsidRDefault="00FE2C85" w:rsidP="00FE2C85">
      <w:pPr>
        <w:pStyle w:val="13"/>
      </w:pPr>
      <w:r>
        <w:rPr>
          <w:rFonts w:hint="eastAsia"/>
        </w:rPr>
        <w:t>（三）合并、分立、破产、解散；</w:t>
      </w:r>
    </w:p>
    <w:p w14:paraId="1BDF0B09" w14:textId="175AB34E" w:rsidR="00FE2C85" w:rsidRDefault="00FE2C85" w:rsidP="00FE2C85">
      <w:pPr>
        <w:pStyle w:val="13"/>
      </w:pPr>
      <w:r>
        <w:rPr>
          <w:rFonts w:hint="eastAsia"/>
        </w:rPr>
        <w:t>（四）非上市公司国有股东股权比例变动；</w:t>
      </w:r>
    </w:p>
    <w:p w14:paraId="56B72AD7" w14:textId="0D9D7CA6" w:rsidR="00FE2C85" w:rsidRDefault="00FE2C85" w:rsidP="00FE2C85">
      <w:pPr>
        <w:pStyle w:val="13"/>
      </w:pPr>
      <w:r>
        <w:rPr>
          <w:rFonts w:hint="eastAsia"/>
        </w:rPr>
        <w:lastRenderedPageBreak/>
        <w:t>（五）产权转让；</w:t>
      </w:r>
    </w:p>
    <w:p w14:paraId="4BF35A63" w14:textId="6DC3A074" w:rsidR="00FE2C85" w:rsidRDefault="00FE2C85" w:rsidP="00FE2C85">
      <w:pPr>
        <w:pStyle w:val="13"/>
      </w:pPr>
      <w:r>
        <w:rPr>
          <w:rFonts w:hint="eastAsia"/>
        </w:rPr>
        <w:t>（六）资产转让、置换、拍卖、抵押、质押；</w:t>
      </w:r>
    </w:p>
    <w:p w14:paraId="51DF7177" w14:textId="04EF6C2B" w:rsidR="00FE2C85" w:rsidRDefault="00FE2C85" w:rsidP="00FE2C85">
      <w:pPr>
        <w:pStyle w:val="13"/>
      </w:pPr>
      <w:r>
        <w:rPr>
          <w:rFonts w:hint="eastAsia"/>
        </w:rPr>
        <w:t>（七）整体或者部分资产租赁给非国有单位；</w:t>
      </w:r>
    </w:p>
    <w:p w14:paraId="0410B27C" w14:textId="701561FE" w:rsidR="00FE2C85" w:rsidRDefault="00FE2C85" w:rsidP="00FE2C85">
      <w:pPr>
        <w:pStyle w:val="13"/>
      </w:pPr>
      <w:r>
        <w:rPr>
          <w:rFonts w:hint="eastAsia"/>
        </w:rPr>
        <w:t>（八）以非货币资产偿还债务；</w:t>
      </w:r>
    </w:p>
    <w:p w14:paraId="0F9BE0C5" w14:textId="7F5D4C33" w:rsidR="00FE2C85" w:rsidRDefault="00FE2C85" w:rsidP="00FE2C85">
      <w:pPr>
        <w:pStyle w:val="13"/>
      </w:pPr>
      <w:r>
        <w:rPr>
          <w:rFonts w:hint="eastAsia"/>
        </w:rPr>
        <w:t>（九）确定涉讼资产价值；</w:t>
      </w:r>
    </w:p>
    <w:p w14:paraId="6A0A8F00" w14:textId="39413557" w:rsidR="00FE2C85" w:rsidRDefault="00FE2C85" w:rsidP="00FE2C85">
      <w:pPr>
        <w:pStyle w:val="13"/>
      </w:pPr>
      <w:r>
        <w:rPr>
          <w:rFonts w:hint="eastAsia"/>
        </w:rPr>
        <w:t>（十）收购非国有单位的资产；</w:t>
      </w:r>
    </w:p>
    <w:p w14:paraId="321CDE00" w14:textId="15A82B57" w:rsidR="00FE2C85" w:rsidRDefault="00FE2C85" w:rsidP="00FE2C85">
      <w:pPr>
        <w:pStyle w:val="13"/>
      </w:pPr>
      <w:r>
        <w:rPr>
          <w:rFonts w:hint="eastAsia"/>
        </w:rPr>
        <w:t>（十一）接受非国有单位以非货币资产出资、抵债；</w:t>
      </w:r>
    </w:p>
    <w:p w14:paraId="187D682A" w14:textId="6F936F2F" w:rsidR="00FE2C85" w:rsidRDefault="00FE2C85" w:rsidP="00FE2C85">
      <w:pPr>
        <w:pStyle w:val="13"/>
      </w:pPr>
      <w:r>
        <w:rPr>
          <w:rFonts w:hint="eastAsia"/>
        </w:rPr>
        <w:t>（十二）法律、行政法规以及企业章程规定应当进行资产评估的其他情形。</w:t>
      </w:r>
    </w:p>
    <w:p w14:paraId="1E11D5A6" w14:textId="56E0F23C" w:rsidR="00FE2C85" w:rsidRDefault="004E3EBB" w:rsidP="00FE2C85">
      <w:pPr>
        <w:pStyle w:val="13"/>
        <w:ind w:firstLine="482"/>
      </w:pPr>
      <w:r w:rsidRPr="004E3EBB">
        <w:rPr>
          <w:rFonts w:hint="eastAsia"/>
          <w:b/>
        </w:rPr>
        <w:t xml:space="preserve">第六条 </w:t>
      </w:r>
      <w:r w:rsidR="00FE2C85">
        <w:rPr>
          <w:rFonts w:hint="eastAsia"/>
        </w:rPr>
        <w:t>中央文化企业有下列行为之一的，可以不对相关国有资产进行评估：</w:t>
      </w:r>
    </w:p>
    <w:p w14:paraId="2D3DF23C" w14:textId="3051D48F" w:rsidR="00FE2C85" w:rsidRDefault="00FE2C85" w:rsidP="00FE2C85">
      <w:pPr>
        <w:pStyle w:val="13"/>
      </w:pPr>
      <w:r>
        <w:rPr>
          <w:rFonts w:hint="eastAsia"/>
        </w:rPr>
        <w:t>（一）经国务院及其授权部门批准，对企业整体或者部分资产实施无偿划转，且资产有关凭证完整有效；</w:t>
      </w:r>
    </w:p>
    <w:p w14:paraId="3C82B2BA" w14:textId="4E543396" w:rsidR="00FE2C85" w:rsidRDefault="00FE2C85" w:rsidP="00FE2C85">
      <w:pPr>
        <w:pStyle w:val="13"/>
      </w:pPr>
      <w:r>
        <w:rPr>
          <w:rFonts w:hint="eastAsia"/>
        </w:rPr>
        <w:t>（二）国有独资企业与其下属独资企业之间或者其下属独资企业之间合并、资产（产权）划转、置换和转让，且资产有关凭证完整有效。</w:t>
      </w:r>
    </w:p>
    <w:p w14:paraId="7D0F559E" w14:textId="66B94DE2" w:rsidR="00FE2C85" w:rsidRDefault="004E3EBB" w:rsidP="00FE2C85">
      <w:pPr>
        <w:pStyle w:val="13"/>
        <w:ind w:firstLine="482"/>
      </w:pPr>
      <w:r w:rsidRPr="004E3EBB">
        <w:rPr>
          <w:rFonts w:hint="eastAsia"/>
          <w:b/>
        </w:rPr>
        <w:t xml:space="preserve">第七条 </w:t>
      </w:r>
      <w:r w:rsidR="00FE2C85">
        <w:rPr>
          <w:rFonts w:hint="eastAsia"/>
        </w:rPr>
        <w:t>中央文化企业发生第五条所列经济行为的，涉及的评估对象属于企业法人财产权的，资产评估由中央文化企业委托；属于企业出资人权利的，由出资人委托；属于接受非国有资产的，一般由接受方委托。</w:t>
      </w:r>
    </w:p>
    <w:p w14:paraId="50549C9D" w14:textId="63E3C09B" w:rsidR="00FE2C85" w:rsidRDefault="004E3EBB" w:rsidP="00FE2C85">
      <w:pPr>
        <w:pStyle w:val="13"/>
        <w:ind w:firstLine="482"/>
      </w:pPr>
      <w:r w:rsidRPr="004E3EBB">
        <w:rPr>
          <w:rFonts w:hint="eastAsia"/>
          <w:b/>
        </w:rPr>
        <w:t xml:space="preserve">第八条 </w:t>
      </w:r>
      <w:r w:rsidR="00FE2C85">
        <w:rPr>
          <w:rFonts w:hint="eastAsia"/>
        </w:rPr>
        <w:t>中央文化企业应当加强著作权等无形资产的管理工作，对无形资产进行全面清查，完善权属证明材料，配合资产评估机构对纳入评估范围的无形资产进行全面、合理评估。</w:t>
      </w:r>
    </w:p>
    <w:p w14:paraId="59090395" w14:textId="61E251D4" w:rsidR="00FE2C85" w:rsidRDefault="00E05BDA" w:rsidP="00FE2C85">
      <w:pPr>
        <w:pStyle w:val="13"/>
        <w:ind w:firstLine="482"/>
      </w:pPr>
      <w:r w:rsidRPr="00E05BDA">
        <w:rPr>
          <w:rFonts w:hint="eastAsia"/>
          <w:b/>
        </w:rPr>
        <w:t xml:space="preserve">第九条 </w:t>
      </w:r>
      <w:r w:rsidR="00FE2C85">
        <w:rPr>
          <w:rFonts w:hint="eastAsia"/>
        </w:rPr>
        <w:t>中央文化企业应当向资产评估机构如实提供有关情况和资料，并对所提供情况和资料的真实性、合法性和完整性负责，不得以任何形式干预其正常执业行为。</w:t>
      </w:r>
    </w:p>
    <w:p w14:paraId="49DB4F15" w14:textId="07F5861D" w:rsidR="00FE2C85" w:rsidRDefault="00E05BDA" w:rsidP="00FE2C85">
      <w:pPr>
        <w:pStyle w:val="13"/>
        <w:ind w:firstLine="482"/>
      </w:pPr>
      <w:r w:rsidRPr="00E05BDA">
        <w:rPr>
          <w:rFonts w:hint="eastAsia"/>
          <w:b/>
        </w:rPr>
        <w:t xml:space="preserve">第十条 </w:t>
      </w:r>
      <w:r w:rsidR="00FE2C85">
        <w:rPr>
          <w:rFonts w:hint="eastAsia"/>
        </w:rPr>
        <w:t>委托的资产评估机构应当具备下列条件：</w:t>
      </w:r>
    </w:p>
    <w:p w14:paraId="7D75BE4E" w14:textId="3D56EC2E" w:rsidR="00FE2C85" w:rsidRDefault="00FE2C85" w:rsidP="00FE2C85">
      <w:pPr>
        <w:pStyle w:val="13"/>
      </w:pPr>
      <w:r>
        <w:rPr>
          <w:rFonts w:hint="eastAsia"/>
        </w:rPr>
        <w:t>（一）严格履行法定职责，近</w:t>
      </w:r>
      <w:r>
        <w:t>3年内没有违法、违规记录；</w:t>
      </w:r>
    </w:p>
    <w:p w14:paraId="2912A2D5" w14:textId="4AAF66EB" w:rsidR="00FE2C85" w:rsidRDefault="00FE2C85" w:rsidP="00FE2C85">
      <w:pPr>
        <w:pStyle w:val="13"/>
      </w:pPr>
      <w:r>
        <w:rPr>
          <w:rFonts w:hint="eastAsia"/>
        </w:rPr>
        <w:t>（二）具有与评估对象相适应的资质条件；</w:t>
      </w:r>
    </w:p>
    <w:p w14:paraId="4AFD9FD1" w14:textId="460C26C7" w:rsidR="00FE2C85" w:rsidRDefault="00FE2C85" w:rsidP="00FE2C85">
      <w:pPr>
        <w:pStyle w:val="13"/>
      </w:pPr>
      <w:r>
        <w:rPr>
          <w:rFonts w:hint="eastAsia"/>
        </w:rPr>
        <w:t>（三）具有与评估对象相适应的专业人员和专业特长；</w:t>
      </w:r>
    </w:p>
    <w:p w14:paraId="7EE8F7FA" w14:textId="5B387F3A" w:rsidR="00FE2C85" w:rsidRDefault="00FE2C85" w:rsidP="00FE2C85">
      <w:pPr>
        <w:pStyle w:val="13"/>
      </w:pPr>
      <w:r>
        <w:rPr>
          <w:rFonts w:hint="eastAsia"/>
        </w:rPr>
        <w:t>（四）与企业负责人无经济利益关系；</w:t>
      </w:r>
    </w:p>
    <w:p w14:paraId="4A7E36F8" w14:textId="2175B33B" w:rsidR="00FE2C85" w:rsidRDefault="00FE2C85" w:rsidP="00FE2C85">
      <w:pPr>
        <w:pStyle w:val="13"/>
      </w:pPr>
      <w:r>
        <w:rPr>
          <w:rFonts w:hint="eastAsia"/>
        </w:rPr>
        <w:t>（五）未向同一经济行为提供审计业务服务。</w:t>
      </w:r>
    </w:p>
    <w:p w14:paraId="670F9964" w14:textId="42424840" w:rsidR="00FE2C85" w:rsidRDefault="00E05BDA" w:rsidP="00FE2C85">
      <w:pPr>
        <w:pStyle w:val="13"/>
        <w:ind w:firstLine="482"/>
      </w:pPr>
      <w:r w:rsidRPr="00E05BDA">
        <w:rPr>
          <w:rFonts w:hint="eastAsia"/>
          <w:b/>
        </w:rPr>
        <w:t xml:space="preserve">第十一条 </w:t>
      </w:r>
      <w:r w:rsidR="00FE2C85">
        <w:rPr>
          <w:rFonts w:hint="eastAsia"/>
        </w:rPr>
        <w:t>资产评估机构应当遵守国家有关法律、法规、规章以及资产评估准则和执业规范，对评估报告的合法性、真实性和评估结论的合理性负责，并承担相应的责任。</w:t>
      </w:r>
    </w:p>
    <w:p w14:paraId="2C9DFCFE" w14:textId="25B9DE2B" w:rsidR="00FE2C85" w:rsidRDefault="00FE2C85" w:rsidP="00AF7342">
      <w:pPr>
        <w:pStyle w:val="a9"/>
        <w:spacing w:before="62" w:after="62"/>
      </w:pPr>
      <w:r>
        <w:rPr>
          <w:rFonts w:hint="eastAsia"/>
        </w:rPr>
        <w:t>第三章 资产评估核准</w:t>
      </w:r>
    </w:p>
    <w:p w14:paraId="37FEC3C1" w14:textId="0D77EFAD" w:rsidR="00FE2C85" w:rsidRDefault="00E05BDA" w:rsidP="00FE2C85">
      <w:pPr>
        <w:pStyle w:val="13"/>
        <w:ind w:firstLine="482"/>
      </w:pPr>
      <w:r w:rsidRPr="00E05BDA">
        <w:rPr>
          <w:rFonts w:hint="eastAsia"/>
          <w:b/>
        </w:rPr>
        <w:t xml:space="preserve">第十二条 </w:t>
      </w:r>
      <w:r w:rsidR="00FE2C85">
        <w:rPr>
          <w:rFonts w:hint="eastAsia"/>
        </w:rPr>
        <w:t>中央文化企业对需要核准的资产评估项目，在确定评估基准日前，应当向财政部书面报告下列有关事项：</w:t>
      </w:r>
    </w:p>
    <w:p w14:paraId="43A897EF" w14:textId="1A8CE78D" w:rsidR="00FE2C85" w:rsidRDefault="00FE2C85" w:rsidP="00FE2C85">
      <w:pPr>
        <w:pStyle w:val="13"/>
      </w:pPr>
      <w:r>
        <w:rPr>
          <w:rFonts w:hint="eastAsia"/>
        </w:rPr>
        <w:lastRenderedPageBreak/>
        <w:t>（一）经济行为的批准依据；</w:t>
      </w:r>
    </w:p>
    <w:p w14:paraId="35D976FA" w14:textId="2A9BC41F" w:rsidR="00FE2C85" w:rsidRDefault="00FE2C85" w:rsidP="00FE2C85">
      <w:pPr>
        <w:pStyle w:val="13"/>
      </w:pPr>
      <w:r>
        <w:rPr>
          <w:rFonts w:hint="eastAsia"/>
        </w:rPr>
        <w:t>（二）评估基准日的选择理由；</w:t>
      </w:r>
    </w:p>
    <w:p w14:paraId="72B635C6" w14:textId="34BFA012" w:rsidR="00FE2C85" w:rsidRDefault="00FE2C85" w:rsidP="00FE2C85">
      <w:pPr>
        <w:pStyle w:val="13"/>
      </w:pPr>
      <w:r>
        <w:rPr>
          <w:rFonts w:hint="eastAsia"/>
        </w:rPr>
        <w:t>（三）资产评估范围；</w:t>
      </w:r>
    </w:p>
    <w:p w14:paraId="5339EEC8" w14:textId="366C9EF8" w:rsidR="00FE2C85" w:rsidRDefault="00FE2C85" w:rsidP="00FE2C85">
      <w:pPr>
        <w:pStyle w:val="13"/>
      </w:pPr>
      <w:r>
        <w:rPr>
          <w:rFonts w:hint="eastAsia"/>
        </w:rPr>
        <w:t>（四）资产评估机构的选聘条件和程序；</w:t>
      </w:r>
    </w:p>
    <w:p w14:paraId="708A4040" w14:textId="001B4E10" w:rsidR="00FE2C85" w:rsidRDefault="00FE2C85" w:rsidP="00FE2C85">
      <w:pPr>
        <w:pStyle w:val="13"/>
      </w:pPr>
      <w:r>
        <w:rPr>
          <w:rFonts w:hint="eastAsia"/>
        </w:rPr>
        <w:t>（五）资产评估的时间进度安排。</w:t>
      </w:r>
    </w:p>
    <w:p w14:paraId="02CFD00A" w14:textId="2B995531" w:rsidR="00FE2C85" w:rsidRDefault="00E05BDA" w:rsidP="00FE2C85">
      <w:pPr>
        <w:pStyle w:val="13"/>
        <w:ind w:firstLine="482"/>
      </w:pPr>
      <w:r w:rsidRPr="00E05BDA">
        <w:rPr>
          <w:rFonts w:hint="eastAsia"/>
          <w:b/>
        </w:rPr>
        <w:t xml:space="preserve">第十三条 </w:t>
      </w:r>
      <w:r w:rsidR="00FE2C85">
        <w:rPr>
          <w:rFonts w:hint="eastAsia"/>
        </w:rPr>
        <w:t>中央文化企业应当及时报告资产评估项目工作进展情况。财政部认为必要时，可以对该项目进行跟踪指导和现场检查。</w:t>
      </w:r>
    </w:p>
    <w:p w14:paraId="796CBB9D" w14:textId="17759870" w:rsidR="00FE2C85" w:rsidRDefault="00E05BDA" w:rsidP="00FE2C85">
      <w:pPr>
        <w:pStyle w:val="13"/>
        <w:ind w:firstLine="482"/>
      </w:pPr>
      <w:r w:rsidRPr="00E05BDA">
        <w:rPr>
          <w:rFonts w:hint="eastAsia"/>
          <w:b/>
        </w:rPr>
        <w:t xml:space="preserve">第十四条 </w:t>
      </w:r>
      <w:r w:rsidR="00FE2C85">
        <w:rPr>
          <w:rFonts w:hint="eastAsia"/>
        </w:rPr>
        <w:t>申请办理资产评估项目核准，应当报送下列文件和材料：</w:t>
      </w:r>
    </w:p>
    <w:p w14:paraId="5B6667C7" w14:textId="7A918839" w:rsidR="00FE2C85" w:rsidRDefault="00FE2C85" w:rsidP="00FE2C85">
      <w:pPr>
        <w:pStyle w:val="13"/>
      </w:pPr>
      <w:r>
        <w:rPr>
          <w:rFonts w:hint="eastAsia"/>
        </w:rPr>
        <w:t>（一）资产评估项目核准申请；</w:t>
      </w:r>
    </w:p>
    <w:p w14:paraId="02A823E0" w14:textId="3C23E5B9" w:rsidR="00FE2C85" w:rsidRDefault="00FE2C85" w:rsidP="00FE2C85">
      <w:pPr>
        <w:pStyle w:val="13"/>
      </w:pPr>
      <w:r>
        <w:rPr>
          <w:rFonts w:hint="eastAsia"/>
        </w:rPr>
        <w:t>（二）《国有资产评估项目核准申请表》或者《接受非国有资产评估项目核准申请表》；</w:t>
      </w:r>
    </w:p>
    <w:p w14:paraId="0774EF0B" w14:textId="4830BD27" w:rsidR="00FE2C85" w:rsidRDefault="00FE2C85" w:rsidP="00FE2C85">
      <w:pPr>
        <w:pStyle w:val="13"/>
      </w:pPr>
      <w:r>
        <w:rPr>
          <w:rFonts w:hint="eastAsia"/>
        </w:rPr>
        <w:t>（三）经济行为决策或者批准文件；</w:t>
      </w:r>
    </w:p>
    <w:p w14:paraId="2C0321FC" w14:textId="10D55DEF" w:rsidR="00FE2C85" w:rsidRDefault="00FE2C85" w:rsidP="00FE2C85">
      <w:pPr>
        <w:pStyle w:val="13"/>
      </w:pPr>
      <w:r>
        <w:rPr>
          <w:rFonts w:hint="eastAsia"/>
        </w:rPr>
        <w:t>（四）资产评估报告及其主要引用报告；</w:t>
      </w:r>
    </w:p>
    <w:p w14:paraId="0F3B98BB" w14:textId="6481485A" w:rsidR="00FE2C85" w:rsidRDefault="00FE2C85" w:rsidP="00FE2C85">
      <w:pPr>
        <w:pStyle w:val="13"/>
      </w:pPr>
      <w:r>
        <w:rPr>
          <w:rFonts w:hint="eastAsia"/>
        </w:rPr>
        <w:t>（五）产权变动文件；</w:t>
      </w:r>
    </w:p>
    <w:p w14:paraId="7C5F0081" w14:textId="4EC19D2E" w:rsidR="00FE2C85" w:rsidRDefault="00FE2C85" w:rsidP="00FE2C85">
      <w:pPr>
        <w:pStyle w:val="13"/>
      </w:pPr>
      <w:r>
        <w:rPr>
          <w:rFonts w:hint="eastAsia"/>
        </w:rPr>
        <w:t>（六）与经济行为相对应的审计报告；</w:t>
      </w:r>
    </w:p>
    <w:p w14:paraId="63A350C1" w14:textId="74B7CA8B" w:rsidR="00FE2C85" w:rsidRDefault="00FE2C85" w:rsidP="00FE2C85">
      <w:pPr>
        <w:pStyle w:val="13"/>
      </w:pPr>
      <w:r>
        <w:rPr>
          <w:rFonts w:hint="eastAsia"/>
        </w:rPr>
        <w:t>（七）上一会计年度和本年度截至评估基准日的审计报告，拟上市项目或已上市公司的重大资产置换与收购项目，需提供最近三个会计年度和本年度截至评估基准日的审计报告；</w:t>
      </w:r>
    </w:p>
    <w:p w14:paraId="0B5DF653" w14:textId="49E238B9" w:rsidR="00FE2C85" w:rsidRDefault="00FE2C85" w:rsidP="00FE2C85">
      <w:pPr>
        <w:pStyle w:val="13"/>
      </w:pPr>
      <w:r>
        <w:rPr>
          <w:rFonts w:hint="eastAsia"/>
        </w:rPr>
        <w:t>（八）资产评估各当事方按照评估准则出具的相关承诺函；</w:t>
      </w:r>
    </w:p>
    <w:p w14:paraId="2EBF8B72" w14:textId="06A6DF5C" w:rsidR="00FE2C85" w:rsidRDefault="00FE2C85" w:rsidP="00FE2C85">
      <w:pPr>
        <w:pStyle w:val="13"/>
      </w:pPr>
      <w:r>
        <w:rPr>
          <w:rFonts w:hint="eastAsia"/>
        </w:rPr>
        <w:t>（九）其他有关材料。</w:t>
      </w:r>
    </w:p>
    <w:p w14:paraId="05555E39" w14:textId="056A7FBF" w:rsidR="00FE2C85" w:rsidRDefault="00E05BDA" w:rsidP="00FE2C85">
      <w:pPr>
        <w:pStyle w:val="13"/>
        <w:ind w:firstLine="482"/>
      </w:pPr>
      <w:r w:rsidRPr="00E05BDA">
        <w:rPr>
          <w:rFonts w:hint="eastAsia"/>
          <w:b/>
        </w:rPr>
        <w:t xml:space="preserve">第十五条 </w:t>
      </w:r>
      <w:r w:rsidR="00FE2C85">
        <w:rPr>
          <w:rFonts w:hint="eastAsia"/>
        </w:rPr>
        <w:t>资产评估项目的核准程序如下：</w:t>
      </w:r>
    </w:p>
    <w:p w14:paraId="370C60F6" w14:textId="31766E5A" w:rsidR="00FE2C85" w:rsidRDefault="00FE2C85" w:rsidP="00FE2C85">
      <w:pPr>
        <w:pStyle w:val="13"/>
      </w:pPr>
      <w:r>
        <w:rPr>
          <w:rFonts w:hint="eastAsia"/>
        </w:rPr>
        <w:t>（一）企业自评估基准日起</w:t>
      </w:r>
      <w:r>
        <w:t>8个月内向财政部提出核准申请，并将有关文件和材料逐级审核上报；</w:t>
      </w:r>
    </w:p>
    <w:p w14:paraId="70F0964E" w14:textId="27745334" w:rsidR="00FE2C85" w:rsidRDefault="00FE2C85" w:rsidP="00FE2C85">
      <w:pPr>
        <w:pStyle w:val="13"/>
      </w:pPr>
      <w:r>
        <w:rPr>
          <w:rFonts w:hint="eastAsia"/>
        </w:rPr>
        <w:t>（二）财政部对申请资料合</w:t>
      </w:r>
      <w:proofErr w:type="gramStart"/>
      <w:r>
        <w:rPr>
          <w:rFonts w:hint="eastAsia"/>
        </w:rPr>
        <w:t>规</w:t>
      </w:r>
      <w:proofErr w:type="gramEnd"/>
      <w:r>
        <w:rPr>
          <w:rFonts w:hint="eastAsia"/>
        </w:rPr>
        <w:t>的，及时组织召开专家评审会议，经两名以上专家独立审核提出意见，被审核企业及相关中介机构应当予以解释和说明，或者对评估报告进行修改、补充；</w:t>
      </w:r>
    </w:p>
    <w:p w14:paraId="58C31F7A" w14:textId="34A8C9EF" w:rsidR="00FE2C85" w:rsidRDefault="00FE2C85" w:rsidP="00FE2C85">
      <w:pPr>
        <w:pStyle w:val="13"/>
      </w:pPr>
      <w:r>
        <w:rPr>
          <w:rFonts w:hint="eastAsia"/>
        </w:rPr>
        <w:t>（三）财政部对符合核准要求的项目在</w:t>
      </w:r>
      <w:r>
        <w:t>20个工作日内予以核准，对不符合核准要求的，予以退回。</w:t>
      </w:r>
    </w:p>
    <w:p w14:paraId="509B6FF3" w14:textId="2BCF1A3E" w:rsidR="00FE2C85" w:rsidRDefault="00E05BDA" w:rsidP="00FE2C85">
      <w:pPr>
        <w:pStyle w:val="13"/>
        <w:ind w:firstLine="482"/>
      </w:pPr>
      <w:r w:rsidRPr="00E05BDA">
        <w:rPr>
          <w:rFonts w:hint="eastAsia"/>
          <w:b/>
        </w:rPr>
        <w:t xml:space="preserve">第十六条 </w:t>
      </w:r>
      <w:r w:rsidR="00FE2C85">
        <w:rPr>
          <w:rFonts w:hint="eastAsia"/>
        </w:rPr>
        <w:t>中央文化企业应当组织中介机构向专家评审会议报告下列事项：</w:t>
      </w:r>
    </w:p>
    <w:p w14:paraId="762294F1" w14:textId="1DB0A453" w:rsidR="00FE2C85" w:rsidRDefault="00FE2C85" w:rsidP="00FE2C85">
      <w:pPr>
        <w:pStyle w:val="13"/>
      </w:pPr>
      <w:r>
        <w:rPr>
          <w:rFonts w:hint="eastAsia"/>
        </w:rPr>
        <w:t>（一）企业有关工作情况。经营及财务状况，涉及项目经济行为基本情况，企业的战略规划和赢利模式，企业股权架构及产权变动情况。</w:t>
      </w:r>
    </w:p>
    <w:p w14:paraId="27B8CF53" w14:textId="1C9CC963" w:rsidR="00FE2C85" w:rsidRDefault="00FE2C85" w:rsidP="00FE2C85">
      <w:pPr>
        <w:pStyle w:val="13"/>
      </w:pPr>
      <w:r>
        <w:rPr>
          <w:rFonts w:hint="eastAsia"/>
        </w:rPr>
        <w:t>（二）资产评估工作情况。资产评估的组织及质量控制情况，著作权等主要无形资产情况，重要资产的运行或者使用情况，评估结论及增减</w:t>
      </w:r>
      <w:proofErr w:type="gramStart"/>
      <w:r>
        <w:rPr>
          <w:rFonts w:hint="eastAsia"/>
        </w:rPr>
        <w:t>值原因</w:t>
      </w:r>
      <w:proofErr w:type="gramEnd"/>
      <w:r>
        <w:rPr>
          <w:rFonts w:hint="eastAsia"/>
        </w:rPr>
        <w:t>分析，评估报告的假设和特别事项说明。</w:t>
      </w:r>
    </w:p>
    <w:p w14:paraId="77F65AAC" w14:textId="45E6AE83" w:rsidR="00FE2C85" w:rsidRDefault="00FE2C85" w:rsidP="00FE2C85">
      <w:pPr>
        <w:pStyle w:val="13"/>
      </w:pPr>
      <w:r>
        <w:rPr>
          <w:rFonts w:hint="eastAsia"/>
        </w:rPr>
        <w:lastRenderedPageBreak/>
        <w:t>（三）拟上市项目或已上市公司的重大资产置换与收购项目有关情况。相关战略规划和工作方案，对同行业上市公司财务指标的比较分析，就同类评估对象不同价值类型的估值差异分析。</w:t>
      </w:r>
    </w:p>
    <w:p w14:paraId="4101692D" w14:textId="3DC19F5F" w:rsidR="00FE2C85" w:rsidRDefault="00FE2C85" w:rsidP="00FE2C85">
      <w:pPr>
        <w:pStyle w:val="13"/>
      </w:pPr>
      <w:r>
        <w:rPr>
          <w:rFonts w:hint="eastAsia"/>
        </w:rPr>
        <w:t>（四）核准需要报告的其他重要事项。</w:t>
      </w:r>
    </w:p>
    <w:p w14:paraId="6E2CC461" w14:textId="3577911B" w:rsidR="00FE2C85" w:rsidRDefault="00E05BDA" w:rsidP="00FE2C85">
      <w:pPr>
        <w:pStyle w:val="13"/>
        <w:ind w:firstLine="482"/>
      </w:pPr>
      <w:r w:rsidRPr="00E05BDA">
        <w:rPr>
          <w:rFonts w:hint="eastAsia"/>
          <w:b/>
        </w:rPr>
        <w:t xml:space="preserve">第十七条 </w:t>
      </w:r>
      <w:r w:rsidR="00FE2C85">
        <w:rPr>
          <w:rFonts w:hint="eastAsia"/>
        </w:rPr>
        <w:t>专家评审重点审核下列事项：</w:t>
      </w:r>
    </w:p>
    <w:p w14:paraId="46769FB2" w14:textId="09AF6298" w:rsidR="00FE2C85" w:rsidRDefault="00FE2C85" w:rsidP="00FE2C85">
      <w:pPr>
        <w:pStyle w:val="13"/>
      </w:pPr>
      <w:r>
        <w:rPr>
          <w:rFonts w:hint="eastAsia"/>
        </w:rPr>
        <w:t>（一）经济行为是否获得批准；</w:t>
      </w:r>
    </w:p>
    <w:p w14:paraId="4FD93D37" w14:textId="286621E2" w:rsidR="00FE2C85" w:rsidRDefault="00FE2C85" w:rsidP="00FE2C85">
      <w:pPr>
        <w:pStyle w:val="13"/>
      </w:pPr>
      <w:r>
        <w:rPr>
          <w:rFonts w:hint="eastAsia"/>
        </w:rPr>
        <w:t>（二）评估基准日、价值类型的选择是否适当，评估报告的使用有效期是否明示；</w:t>
      </w:r>
    </w:p>
    <w:p w14:paraId="5C0E40BE" w14:textId="712EAB92" w:rsidR="00FE2C85" w:rsidRDefault="00FE2C85" w:rsidP="00FE2C85">
      <w:pPr>
        <w:pStyle w:val="13"/>
      </w:pPr>
      <w:r>
        <w:rPr>
          <w:rFonts w:hint="eastAsia"/>
        </w:rPr>
        <w:t>（三）资产评估范围与经济行为批准文件是否一致；</w:t>
      </w:r>
    </w:p>
    <w:p w14:paraId="29D6AA18" w14:textId="26790364" w:rsidR="00FE2C85" w:rsidRDefault="00FE2C85" w:rsidP="00FE2C85">
      <w:pPr>
        <w:pStyle w:val="13"/>
      </w:pPr>
      <w:r>
        <w:rPr>
          <w:rFonts w:hint="eastAsia"/>
        </w:rPr>
        <w:t>（四）资产评估机构是否具备相应评估资质，评估人员是否具备相应执业资格；</w:t>
      </w:r>
    </w:p>
    <w:p w14:paraId="2B4811DE" w14:textId="0B83D6D8" w:rsidR="00FE2C85" w:rsidRDefault="00FE2C85" w:rsidP="00FE2C85">
      <w:pPr>
        <w:pStyle w:val="13"/>
      </w:pPr>
      <w:r>
        <w:rPr>
          <w:rFonts w:hint="eastAsia"/>
        </w:rPr>
        <w:t>（五）企业是否就所提供的资产权属证明文件、财务会计资料及生产经营管理资料的真实性、合法性和完整性</w:t>
      </w:r>
      <w:proofErr w:type="gramStart"/>
      <w:r>
        <w:rPr>
          <w:rFonts w:hint="eastAsia"/>
        </w:rPr>
        <w:t>作出</w:t>
      </w:r>
      <w:proofErr w:type="gramEnd"/>
      <w:r>
        <w:rPr>
          <w:rFonts w:hint="eastAsia"/>
        </w:rPr>
        <w:t>承诺；</w:t>
      </w:r>
    </w:p>
    <w:p w14:paraId="06E23F81" w14:textId="5BD5C2D5" w:rsidR="00FE2C85" w:rsidRDefault="00FE2C85" w:rsidP="00FE2C85">
      <w:pPr>
        <w:pStyle w:val="13"/>
      </w:pPr>
      <w:r>
        <w:rPr>
          <w:rFonts w:hint="eastAsia"/>
        </w:rPr>
        <w:t>（六）评估程序是否符合相关评估准则的规定；</w:t>
      </w:r>
    </w:p>
    <w:p w14:paraId="30AAE0C7" w14:textId="32A03F38" w:rsidR="00FE2C85" w:rsidRDefault="00FE2C85" w:rsidP="00FE2C85">
      <w:pPr>
        <w:pStyle w:val="13"/>
      </w:pPr>
      <w:r>
        <w:rPr>
          <w:rFonts w:hint="eastAsia"/>
        </w:rPr>
        <w:t>（七）评估方法是否合理，是否考虑了文化企业的经营和资产特点；</w:t>
      </w:r>
    </w:p>
    <w:p w14:paraId="267DEC84" w14:textId="48A61904" w:rsidR="00FE2C85" w:rsidRDefault="00FE2C85" w:rsidP="00FE2C85">
      <w:pPr>
        <w:pStyle w:val="13"/>
      </w:pPr>
      <w:r>
        <w:rPr>
          <w:rFonts w:hint="eastAsia"/>
        </w:rPr>
        <w:t>（八）评估依据是否适当；</w:t>
      </w:r>
    </w:p>
    <w:p w14:paraId="47E73C99" w14:textId="271A87D8" w:rsidR="00FE2C85" w:rsidRDefault="00FE2C85" w:rsidP="00FE2C85">
      <w:pPr>
        <w:pStyle w:val="13"/>
      </w:pPr>
      <w:r>
        <w:rPr>
          <w:rFonts w:hint="eastAsia"/>
        </w:rPr>
        <w:t>（九）评估说明中是否分析了文化企业的经营特点、赢利模式，是否关注了无形资产的价值贡献等，收益法说明是否分析参数、依据及测算过程；</w:t>
      </w:r>
    </w:p>
    <w:p w14:paraId="0D0C9FB6" w14:textId="3FDA37B2" w:rsidR="00FE2C85" w:rsidRDefault="00FE2C85" w:rsidP="00FE2C85">
      <w:pPr>
        <w:pStyle w:val="13"/>
      </w:pPr>
      <w:r>
        <w:rPr>
          <w:rFonts w:hint="eastAsia"/>
        </w:rPr>
        <w:t>（十）评估报告是否符合评估准则的规定。</w:t>
      </w:r>
    </w:p>
    <w:p w14:paraId="1C3ADEBE" w14:textId="432186B4" w:rsidR="00FE2C85" w:rsidRDefault="00FE2C85" w:rsidP="00AF7342">
      <w:pPr>
        <w:pStyle w:val="a9"/>
        <w:spacing w:before="62" w:after="62"/>
      </w:pPr>
      <w:r>
        <w:rPr>
          <w:rFonts w:hint="eastAsia"/>
        </w:rPr>
        <w:t>第四章 资产评估备案</w:t>
      </w:r>
    </w:p>
    <w:p w14:paraId="59731662" w14:textId="5DE15E83" w:rsidR="00FE2C85" w:rsidRDefault="00E05BDA" w:rsidP="00FE2C85">
      <w:pPr>
        <w:pStyle w:val="13"/>
        <w:ind w:firstLine="482"/>
      </w:pPr>
      <w:r w:rsidRPr="00E05BDA">
        <w:rPr>
          <w:rFonts w:hint="eastAsia"/>
          <w:b/>
        </w:rPr>
        <w:t xml:space="preserve">第十八条 </w:t>
      </w:r>
      <w:r w:rsidR="00FE2C85">
        <w:rPr>
          <w:rFonts w:hint="eastAsia"/>
        </w:rPr>
        <w:t>申请办理资产评估项目备案，应当报送下列文件和材料：</w:t>
      </w:r>
    </w:p>
    <w:p w14:paraId="2F2E9CA6" w14:textId="1A339BDA" w:rsidR="00FE2C85" w:rsidRDefault="00FE2C85" w:rsidP="00FE2C85">
      <w:pPr>
        <w:pStyle w:val="13"/>
      </w:pPr>
      <w:r>
        <w:rPr>
          <w:rFonts w:hint="eastAsia"/>
        </w:rPr>
        <w:t>（一）《国有资产评估项目备案表》或者《接受非国有资产评估项目备案表》；</w:t>
      </w:r>
    </w:p>
    <w:p w14:paraId="2A3C4720" w14:textId="48EEB4B7" w:rsidR="00FE2C85" w:rsidRDefault="00FE2C85" w:rsidP="00FE2C85">
      <w:pPr>
        <w:pStyle w:val="13"/>
      </w:pPr>
      <w:r>
        <w:rPr>
          <w:rFonts w:hint="eastAsia"/>
        </w:rPr>
        <w:t>（二）本办法第十四条第（三）项至第（八）项规定的有关文件和材料；</w:t>
      </w:r>
    </w:p>
    <w:p w14:paraId="658160A7" w14:textId="0897A501" w:rsidR="00FE2C85" w:rsidRDefault="00FE2C85" w:rsidP="00FE2C85">
      <w:pPr>
        <w:pStyle w:val="13"/>
      </w:pPr>
      <w:r>
        <w:rPr>
          <w:rFonts w:hint="eastAsia"/>
        </w:rPr>
        <w:t>（三）其他有关材料。</w:t>
      </w:r>
    </w:p>
    <w:p w14:paraId="2F65D231" w14:textId="69BAC061" w:rsidR="00FE2C85" w:rsidRDefault="00E05BDA" w:rsidP="00FE2C85">
      <w:pPr>
        <w:pStyle w:val="13"/>
        <w:ind w:firstLine="482"/>
      </w:pPr>
      <w:r w:rsidRPr="00E05BDA">
        <w:rPr>
          <w:rFonts w:hint="eastAsia"/>
          <w:b/>
        </w:rPr>
        <w:t xml:space="preserve">第十九条 </w:t>
      </w:r>
      <w:r w:rsidR="00FE2C85">
        <w:rPr>
          <w:rFonts w:hint="eastAsia"/>
        </w:rPr>
        <w:t>资产评估项目备案程序如下：</w:t>
      </w:r>
    </w:p>
    <w:p w14:paraId="703D6E60" w14:textId="254E7306" w:rsidR="00FE2C85" w:rsidRDefault="00FE2C85" w:rsidP="00FE2C85">
      <w:pPr>
        <w:pStyle w:val="13"/>
      </w:pPr>
      <w:r>
        <w:rPr>
          <w:rFonts w:hint="eastAsia"/>
        </w:rPr>
        <w:t>（一）企业自评估基准日起</w:t>
      </w:r>
      <w:r>
        <w:t>9个月内将备案文件和材料逐级审核上报备案管理部门。资产和财务关系在财政部单列的中央文化企业及其子企业直接报财政部备案，其他中央文化企业及其子企业通过主管部门报财政部备案，子企业以下企业的资产评估项目逐级审核报中央文化企业备案。</w:t>
      </w:r>
    </w:p>
    <w:p w14:paraId="7FC04B23" w14:textId="4D9F60CE" w:rsidR="00FE2C85" w:rsidRDefault="00FE2C85" w:rsidP="00FE2C85">
      <w:pPr>
        <w:pStyle w:val="13"/>
      </w:pPr>
      <w:r>
        <w:rPr>
          <w:rFonts w:hint="eastAsia"/>
        </w:rPr>
        <w:t>（二）备案管理部门对备案资料进行审核，审核要求参照本办法第十七条第（一）项至第（六）项的规定，必要时可以组织有关专家参与审核。涉及拟上市项目的资产评估由财政部组织专家进行评审，审核要求参照本办法第十七条的规定。</w:t>
      </w:r>
    </w:p>
    <w:p w14:paraId="0F0F7E12" w14:textId="76519E71" w:rsidR="00FE2C85" w:rsidRDefault="00FE2C85" w:rsidP="00FE2C85">
      <w:pPr>
        <w:pStyle w:val="13"/>
      </w:pPr>
      <w:r>
        <w:rPr>
          <w:rFonts w:hint="eastAsia"/>
        </w:rPr>
        <w:t>（三）备案管理部门对符合要求的，在</w:t>
      </w:r>
      <w:r>
        <w:t>20个工作日内予以备案。</w:t>
      </w:r>
    </w:p>
    <w:p w14:paraId="7ED99D09" w14:textId="4E11A948" w:rsidR="00FE2C85" w:rsidRDefault="00FE2C85" w:rsidP="00AF7342">
      <w:pPr>
        <w:pStyle w:val="a9"/>
        <w:spacing w:before="62" w:after="62"/>
      </w:pPr>
      <w:r>
        <w:rPr>
          <w:rFonts w:hint="eastAsia"/>
        </w:rPr>
        <w:t>第五章 管理与监督</w:t>
      </w:r>
    </w:p>
    <w:p w14:paraId="7311A791" w14:textId="468723D5" w:rsidR="00FE2C85" w:rsidRDefault="00E05BDA" w:rsidP="00FE2C85">
      <w:pPr>
        <w:pStyle w:val="13"/>
        <w:ind w:firstLine="482"/>
      </w:pPr>
      <w:r w:rsidRPr="00E05BDA">
        <w:rPr>
          <w:rFonts w:hint="eastAsia"/>
          <w:b/>
        </w:rPr>
        <w:t xml:space="preserve">第二十条 </w:t>
      </w:r>
      <w:r w:rsidR="00FE2C85">
        <w:rPr>
          <w:rFonts w:hint="eastAsia"/>
        </w:rPr>
        <w:t>资产评估项目核准文件和备案表是中央文化企业办理产权登记、股权</w:t>
      </w:r>
      <w:r w:rsidR="00FE2C85">
        <w:rPr>
          <w:rFonts w:hint="eastAsia"/>
        </w:rPr>
        <w:lastRenderedPageBreak/>
        <w:t>设置和产权转让等相关手续的必备文件。</w:t>
      </w:r>
    </w:p>
    <w:p w14:paraId="075658B2" w14:textId="7EF4252E" w:rsidR="00FE2C85" w:rsidRDefault="00E05BDA" w:rsidP="00FE2C85">
      <w:pPr>
        <w:pStyle w:val="13"/>
        <w:ind w:firstLine="482"/>
      </w:pPr>
      <w:r w:rsidRPr="00E05BDA">
        <w:rPr>
          <w:rFonts w:hint="eastAsia"/>
          <w:b/>
        </w:rPr>
        <w:t xml:space="preserve">第二十一条 </w:t>
      </w:r>
      <w:r w:rsidR="00FE2C85">
        <w:rPr>
          <w:rFonts w:hint="eastAsia"/>
        </w:rPr>
        <w:t>由两个（含两个）以上国有资本出资人共同出资的中央文化企业发生资产评估事项，按照国有资本出资额最大的出资人产权归属关系办理核准或者备案手续；国有资本出资额最大的出资人存在多个的，由各出资人推举一个出资人办理核准或者备案手续，其余出资人出具资产评估事项委托书。</w:t>
      </w:r>
    </w:p>
    <w:p w14:paraId="16955140" w14:textId="035F3466" w:rsidR="00FE2C85" w:rsidRDefault="00E05BDA" w:rsidP="00FE2C85">
      <w:pPr>
        <w:pStyle w:val="13"/>
        <w:ind w:firstLine="482"/>
      </w:pPr>
      <w:r w:rsidRPr="00E05BDA">
        <w:rPr>
          <w:rFonts w:hint="eastAsia"/>
          <w:b/>
        </w:rPr>
        <w:t xml:space="preserve">第二十二条 </w:t>
      </w:r>
      <w:r w:rsidR="00FE2C85">
        <w:rPr>
          <w:rFonts w:hint="eastAsia"/>
        </w:rPr>
        <w:t>经核准或者备案的资产评估报告使用有效期为自评估基准日起</w:t>
      </w:r>
      <w:r w:rsidR="00FE2C85">
        <w:t>1年。评估结论的使用必须与所对应的经济行为保持一致。中央文化企业改制设立股份有限公司的评估结论仅适用于其工商注册登记，不得用于引入战略投资者和首次公开发行上市。</w:t>
      </w:r>
    </w:p>
    <w:p w14:paraId="795ABAA5" w14:textId="24011EB5" w:rsidR="00FE2C85" w:rsidRDefault="00E05BDA" w:rsidP="00FE2C85">
      <w:pPr>
        <w:pStyle w:val="13"/>
        <w:ind w:firstLine="482"/>
      </w:pPr>
      <w:r w:rsidRPr="00E05BDA">
        <w:rPr>
          <w:rFonts w:hint="eastAsia"/>
          <w:b/>
        </w:rPr>
        <w:t xml:space="preserve">第二十三条 </w:t>
      </w:r>
      <w:r w:rsidR="00FE2C85">
        <w:rPr>
          <w:rFonts w:hint="eastAsia"/>
        </w:rPr>
        <w:t>中央文化企业发生与资产评估相应的经济行为时，应当以经核准或者备案的资产评估结论为作价参考依据；当交易价格低于评估结论的</w:t>
      </w:r>
      <w:r w:rsidR="00FE2C85">
        <w:t>90%时，应当暂停交易，在获得原经济行为批准机构同意后方可继续交易。</w:t>
      </w:r>
    </w:p>
    <w:p w14:paraId="28B74733" w14:textId="4FAF88E7" w:rsidR="00FE2C85" w:rsidRDefault="00FE2C85" w:rsidP="00FE2C85">
      <w:pPr>
        <w:pStyle w:val="13"/>
      </w:pPr>
      <w:r>
        <w:rPr>
          <w:rFonts w:hint="eastAsia"/>
        </w:rPr>
        <w:t>中央文化企业发生本办法第五条所称同类型经济行为需要再次使用评估结论时，在资产评估报告使用有效期内，且与评估基准日时相比，未出现因资产状态、使用方式、市场环境以及评估假设等发生显著变化，导致资产价值发生重大变化的，可不再申请备案。</w:t>
      </w:r>
    </w:p>
    <w:p w14:paraId="1A3341BA" w14:textId="79682EC3" w:rsidR="00FE2C85" w:rsidRDefault="00E05BDA" w:rsidP="00FE2C85">
      <w:pPr>
        <w:pStyle w:val="13"/>
        <w:ind w:firstLine="482"/>
      </w:pPr>
      <w:r w:rsidRPr="00E05BDA">
        <w:rPr>
          <w:rFonts w:hint="eastAsia"/>
          <w:b/>
        </w:rPr>
        <w:t xml:space="preserve">第二十四条 </w:t>
      </w:r>
      <w:r w:rsidR="00FE2C85">
        <w:rPr>
          <w:rFonts w:hint="eastAsia"/>
        </w:rPr>
        <w:t>财政部应当加强对中央文化企业国有资产评估工作的监督检查。有关主管部门和中央文化企业，应当按照管理权限开展对相关企业资产评估的监督检查工作。</w:t>
      </w:r>
    </w:p>
    <w:p w14:paraId="3B6D3A03" w14:textId="3F3FFC6A" w:rsidR="00FE2C85" w:rsidRDefault="00E05BDA" w:rsidP="00FE2C85">
      <w:pPr>
        <w:pStyle w:val="13"/>
        <w:ind w:firstLine="482"/>
      </w:pPr>
      <w:r w:rsidRPr="00E05BDA">
        <w:rPr>
          <w:rFonts w:hint="eastAsia"/>
          <w:b/>
        </w:rPr>
        <w:t xml:space="preserve">第二十五条 </w:t>
      </w:r>
      <w:r w:rsidR="00FE2C85">
        <w:rPr>
          <w:rFonts w:hint="eastAsia"/>
        </w:rPr>
        <w:t>财政部汇总资产评估项目的检查结果及总体情况，并通报相关部门。</w:t>
      </w:r>
    </w:p>
    <w:p w14:paraId="7A9125C0" w14:textId="62D46257" w:rsidR="00FE2C85" w:rsidRDefault="00FE2C85" w:rsidP="00AF7342">
      <w:pPr>
        <w:pStyle w:val="a9"/>
        <w:spacing w:before="62" w:after="62"/>
      </w:pPr>
      <w:r>
        <w:rPr>
          <w:rFonts w:hint="eastAsia"/>
        </w:rPr>
        <w:t>第六章 法律责任</w:t>
      </w:r>
    </w:p>
    <w:p w14:paraId="2BDD40A6" w14:textId="7C2268C2" w:rsidR="00FE2C85" w:rsidRDefault="00E05BDA" w:rsidP="00FE2C85">
      <w:pPr>
        <w:pStyle w:val="13"/>
        <w:ind w:firstLine="482"/>
      </w:pPr>
      <w:r w:rsidRPr="00E05BDA">
        <w:rPr>
          <w:rFonts w:hint="eastAsia"/>
          <w:b/>
        </w:rPr>
        <w:t xml:space="preserve">第二十六条 </w:t>
      </w:r>
      <w:r w:rsidR="00FE2C85">
        <w:rPr>
          <w:rFonts w:hint="eastAsia"/>
        </w:rPr>
        <w:t>中央文化企业违反本办法，有下列情形之一的，由财政部通报批评并责令改正，必要时可依法确认其相应的经济行为无效：</w:t>
      </w:r>
    </w:p>
    <w:p w14:paraId="6205E28A" w14:textId="21C44C7E" w:rsidR="00FE2C85" w:rsidRDefault="00FE2C85" w:rsidP="00FE2C85">
      <w:pPr>
        <w:pStyle w:val="13"/>
      </w:pPr>
      <w:r>
        <w:rPr>
          <w:rFonts w:hint="eastAsia"/>
        </w:rPr>
        <w:t>（一）应当进行资产评估而未进行评估；</w:t>
      </w:r>
    </w:p>
    <w:p w14:paraId="16D0B7DB" w14:textId="02B74C61" w:rsidR="00FE2C85" w:rsidRDefault="00FE2C85" w:rsidP="00FE2C85">
      <w:pPr>
        <w:pStyle w:val="13"/>
      </w:pPr>
      <w:r>
        <w:rPr>
          <w:rFonts w:hint="eastAsia"/>
        </w:rPr>
        <w:t>（二）聘请不符合相应资质条件的资产评估机构进行国有资产评估；</w:t>
      </w:r>
    </w:p>
    <w:p w14:paraId="6029F95D" w14:textId="4CF9C71B" w:rsidR="00FE2C85" w:rsidRDefault="00FE2C85" w:rsidP="00FE2C85">
      <w:pPr>
        <w:pStyle w:val="13"/>
      </w:pPr>
      <w:r>
        <w:rPr>
          <w:rFonts w:hint="eastAsia"/>
        </w:rPr>
        <w:t>（三）向资产评估机构提供虚假情况和资料，或者与资产评估机构串通作弊导致评估结论失实；</w:t>
      </w:r>
    </w:p>
    <w:p w14:paraId="45505674" w14:textId="2558348C" w:rsidR="00FE2C85" w:rsidRDefault="00FE2C85" w:rsidP="00FE2C85">
      <w:pPr>
        <w:pStyle w:val="13"/>
      </w:pPr>
      <w:r>
        <w:rPr>
          <w:rFonts w:hint="eastAsia"/>
        </w:rPr>
        <w:t>（四）应当办理核准或者备案而未办理。</w:t>
      </w:r>
    </w:p>
    <w:p w14:paraId="361168AC" w14:textId="12B4EDE6" w:rsidR="00FE2C85" w:rsidRDefault="00E05BDA" w:rsidP="00FE2C85">
      <w:pPr>
        <w:pStyle w:val="13"/>
        <w:ind w:firstLine="482"/>
      </w:pPr>
      <w:r w:rsidRPr="00E05BDA">
        <w:rPr>
          <w:rFonts w:hint="eastAsia"/>
          <w:b/>
        </w:rPr>
        <w:t xml:space="preserve">第二十七条 </w:t>
      </w:r>
      <w:r w:rsidR="00FE2C85">
        <w:rPr>
          <w:rFonts w:hint="eastAsia"/>
        </w:rPr>
        <w:t>中央文化企业在国有资产评估中发生违法违规行为或者不正当使用评估报告的，对负有直接责任的主管人员和其他直接责任人员，依法给予处分。</w:t>
      </w:r>
    </w:p>
    <w:p w14:paraId="54E961BB" w14:textId="2B908AC3" w:rsidR="00FE2C85" w:rsidRDefault="00E05BDA" w:rsidP="00FE2C85">
      <w:pPr>
        <w:pStyle w:val="13"/>
        <w:ind w:firstLine="482"/>
      </w:pPr>
      <w:r w:rsidRPr="00E05BDA">
        <w:rPr>
          <w:rFonts w:hint="eastAsia"/>
          <w:b/>
        </w:rPr>
        <w:t xml:space="preserve">第二十八条 </w:t>
      </w:r>
      <w:r w:rsidR="00FE2C85">
        <w:rPr>
          <w:rFonts w:hint="eastAsia"/>
        </w:rPr>
        <w:t>受托资产评估机构在资产评估过程中违规执业或者对资产评估项目检查工作不予配合的，由财政部将有关情况通报其行业主管部门，建议给予相应处理。</w:t>
      </w:r>
    </w:p>
    <w:p w14:paraId="18571535" w14:textId="0EC0464B" w:rsidR="00FE2C85" w:rsidRDefault="00E05BDA" w:rsidP="00FE2C85">
      <w:pPr>
        <w:pStyle w:val="13"/>
        <w:ind w:firstLine="482"/>
      </w:pPr>
      <w:r w:rsidRPr="00E05BDA">
        <w:rPr>
          <w:rFonts w:hint="eastAsia"/>
          <w:b/>
        </w:rPr>
        <w:t xml:space="preserve">第二十九条 </w:t>
      </w:r>
      <w:r w:rsidR="00FE2C85">
        <w:rPr>
          <w:rFonts w:hint="eastAsia"/>
        </w:rPr>
        <w:t>财政部、有关主管部门和中央文化企业在资产评估核准或者备案管</w:t>
      </w:r>
      <w:r w:rsidR="00FE2C85">
        <w:rPr>
          <w:rFonts w:hint="eastAsia"/>
        </w:rPr>
        <w:lastRenderedPageBreak/>
        <w:t>理工作中，有关工作人员违反本规定，造成国有资产流失的，依法给予处分。</w:t>
      </w:r>
    </w:p>
    <w:p w14:paraId="166A8B61" w14:textId="508B767B" w:rsidR="00FE2C85" w:rsidRDefault="00FE2C85" w:rsidP="00AF7342">
      <w:pPr>
        <w:pStyle w:val="a9"/>
        <w:spacing w:before="62" w:after="62"/>
      </w:pPr>
      <w:r>
        <w:rPr>
          <w:rFonts w:hint="eastAsia"/>
        </w:rPr>
        <w:t>第七章 附则</w:t>
      </w:r>
    </w:p>
    <w:p w14:paraId="45B04BFD" w14:textId="2F97652E" w:rsidR="00F67FFD" w:rsidRDefault="00E05BDA" w:rsidP="00FE2C85">
      <w:pPr>
        <w:pStyle w:val="13"/>
        <w:ind w:firstLine="482"/>
      </w:pPr>
      <w:r w:rsidRPr="00E05BDA">
        <w:rPr>
          <w:rFonts w:hint="eastAsia"/>
          <w:b/>
        </w:rPr>
        <w:t xml:space="preserve">第三十条 </w:t>
      </w:r>
      <w:r w:rsidR="00FE2C85">
        <w:rPr>
          <w:rFonts w:hint="eastAsia"/>
        </w:rPr>
        <w:t>本办法自</w:t>
      </w:r>
      <w:r w:rsidR="00FE2C85">
        <w:t>2013年1月1日起施行。</w:t>
      </w:r>
    </w:p>
    <w:p w14:paraId="00B6ADD2" w14:textId="125BC173" w:rsidR="00FE2C85" w:rsidRDefault="00FE2C85" w:rsidP="00FE2C85">
      <w:pPr>
        <w:pStyle w:val="31"/>
        <w:spacing w:before="156" w:after="62"/>
      </w:pPr>
      <w:bookmarkStart w:id="239" w:name="_Toc81833472"/>
      <w:r w:rsidRPr="00FE2C85">
        <w:rPr>
          <w:rFonts w:hint="eastAsia"/>
        </w:rPr>
        <w:t>《关于中央文化企业国有资产评估管理的补充通知》（财文〔</w:t>
      </w:r>
      <w:r w:rsidRPr="00FE2C85">
        <w:t>2017〕93号）</w:t>
      </w:r>
      <w:bookmarkEnd w:id="239"/>
    </w:p>
    <w:p w14:paraId="1A96120B" w14:textId="77777777" w:rsidR="00FE2C85" w:rsidRDefault="00FE2C85" w:rsidP="002C5718">
      <w:pPr>
        <w:pStyle w:val="13"/>
        <w:ind w:firstLineChars="0" w:firstLine="0"/>
      </w:pPr>
      <w:r>
        <w:rPr>
          <w:rFonts w:hint="eastAsia"/>
        </w:rPr>
        <w:t>党中央有关部门，国务院有关部委、有关直属机构，全国政协办公厅，高法院，高检院，有关民主党派中央，有关人民团体，中国出版集团公司、中国对外文化集团公司、中国广播电视网络有限公司：</w:t>
      </w:r>
    </w:p>
    <w:p w14:paraId="2BA353DE" w14:textId="77777777" w:rsidR="00FE2C85" w:rsidRDefault="00FE2C85" w:rsidP="00FE2C85">
      <w:pPr>
        <w:pStyle w:val="13"/>
      </w:pPr>
      <w:r>
        <w:rPr>
          <w:rFonts w:hint="eastAsia"/>
        </w:rPr>
        <w:t>根据《中共中央宣传部</w:t>
      </w:r>
      <w:r>
        <w:t xml:space="preserve"> 财政部关于印发&lt;中央文化企业国有资产监督管理暂行办法&gt;的通知》（中宣发〔2017〕3号），为进一步规范财政部代表国务院履行出资人职责的中央文化企业及其各级子企业国有资产评估管理工作，促进企业国有产权有序流转，防止国有资产流失，现就《中央文化企业国有资产评估管理暂行办法》（</w:t>
      </w:r>
      <w:proofErr w:type="gramStart"/>
      <w:r>
        <w:t>财文资〔2012〕</w:t>
      </w:r>
      <w:proofErr w:type="gramEnd"/>
      <w:r>
        <w:t>15号，以下简称《办法》）有关事项补充通知如下：</w:t>
      </w:r>
    </w:p>
    <w:p w14:paraId="185058A7" w14:textId="77777777" w:rsidR="00FE2C85" w:rsidRDefault="00FE2C85" w:rsidP="00FE2C85">
      <w:pPr>
        <w:pStyle w:val="13"/>
      </w:pPr>
      <w:r>
        <w:rPr>
          <w:rFonts w:hint="eastAsia"/>
        </w:rPr>
        <w:t>一、按照深化简政放权、放管结合的改革要求，财政部代表国务院依法履行中央文化企业出资人管理职责，精简监管事项，改进监管方式，推进国有资产监督管理职能转变，以管资本为主加强中央文化企业国有资产评估监督管理工作，进一步提高国有资本运营和配置效率。</w:t>
      </w:r>
    </w:p>
    <w:p w14:paraId="242D678F" w14:textId="77777777" w:rsidR="00FE2C85" w:rsidRDefault="00FE2C85" w:rsidP="00FE2C85">
      <w:pPr>
        <w:pStyle w:val="13"/>
      </w:pPr>
      <w:r>
        <w:rPr>
          <w:rFonts w:hint="eastAsia"/>
        </w:rPr>
        <w:t>二、财政部负责研究制定中央文化企业国有资产评估有关制度，建立资产评估专家库，监管中央文化企业国有资产评估工作。主管部门负责监督中央文化企业及其各级子企业国有资产评估工作，督促中央文化企业建立内部国有资产评估管理制度，对资产评估项目备案情况进行检查。中央文化企业负责建立内部国有资产评估管理制度，组织开展国有资产评估项目备案工作，完善档案管理，做好统计分析报告工作。</w:t>
      </w:r>
    </w:p>
    <w:p w14:paraId="51920FCC" w14:textId="77777777" w:rsidR="00FE2C85" w:rsidRDefault="00FE2C85" w:rsidP="00FE2C85">
      <w:pPr>
        <w:pStyle w:val="13"/>
      </w:pPr>
      <w:r>
        <w:rPr>
          <w:rFonts w:hint="eastAsia"/>
        </w:rPr>
        <w:t>三、中央文化企业国有资产评估项目备案实行分级管理。经财政部批准经济行为的事项涉及的资产评估项目，由财政部负责备案。经中央文化企业及其各级子企业批准经济行为的事项涉及的资产评估项目，由中央文化企业负责备案。属于中央文化企业负责的资产评估项目备案事项，中央文化企业不得下放管理级次。</w:t>
      </w:r>
    </w:p>
    <w:p w14:paraId="7EF2D26D" w14:textId="77777777" w:rsidR="00FE2C85" w:rsidRDefault="00FE2C85" w:rsidP="00FE2C85">
      <w:pPr>
        <w:pStyle w:val="13"/>
      </w:pPr>
      <w:r>
        <w:rPr>
          <w:rFonts w:hint="eastAsia"/>
        </w:rPr>
        <w:t>四、根据《资产评估法》，中央文化企业及其各级子企业在组织资产评估过程中应当要求评估专业人员适当选择评估方法，除依据评估职业准则只能选择一种评估方法的外，应当选择两种以上评估方法，并依据实际状况，经综合分析，形成最终评估结论，编制评估报告。</w:t>
      </w:r>
    </w:p>
    <w:p w14:paraId="6FB7C67E" w14:textId="77777777" w:rsidR="00FE2C85" w:rsidRDefault="00FE2C85" w:rsidP="00FE2C85">
      <w:pPr>
        <w:pStyle w:val="13"/>
      </w:pPr>
      <w:r>
        <w:rPr>
          <w:rFonts w:hint="eastAsia"/>
        </w:rPr>
        <w:t>五、中央文化企业对本级及其各级子企业国有资产评估项目备案应按照以下程序进行：</w:t>
      </w:r>
    </w:p>
    <w:p w14:paraId="4D413730" w14:textId="77777777" w:rsidR="00FE2C85" w:rsidRDefault="00FE2C85" w:rsidP="00FE2C85">
      <w:pPr>
        <w:pStyle w:val="13"/>
      </w:pPr>
      <w:r>
        <w:rPr>
          <w:rFonts w:hint="eastAsia"/>
        </w:rPr>
        <w:t>（一）根据《办法》，相关单位应当自评估基准日起</w:t>
      </w:r>
      <w:r>
        <w:t>9个月内将备案文件和材料逐级审核上报中央文化企业备案；</w:t>
      </w:r>
    </w:p>
    <w:p w14:paraId="432993F2" w14:textId="77777777" w:rsidR="00FE2C85" w:rsidRDefault="00FE2C85" w:rsidP="00FE2C85">
      <w:pPr>
        <w:pStyle w:val="13"/>
      </w:pPr>
      <w:r>
        <w:rPr>
          <w:rFonts w:hint="eastAsia"/>
        </w:rPr>
        <w:lastRenderedPageBreak/>
        <w:t>（二）中央文化企业收到国有资产评估备案文件和材料后应当进行合</w:t>
      </w:r>
      <w:proofErr w:type="gramStart"/>
      <w:r>
        <w:rPr>
          <w:rFonts w:hint="eastAsia"/>
        </w:rPr>
        <w:t>规</w:t>
      </w:r>
      <w:proofErr w:type="gramEnd"/>
      <w:r>
        <w:rPr>
          <w:rFonts w:hint="eastAsia"/>
        </w:rPr>
        <w:t>性审核，审核要求参照《办法》第十七条第（一）项至第（六）项的规定。</w:t>
      </w:r>
    </w:p>
    <w:p w14:paraId="610A6B51" w14:textId="77777777" w:rsidR="00FE2C85" w:rsidRDefault="00FE2C85" w:rsidP="00FE2C85">
      <w:pPr>
        <w:pStyle w:val="13"/>
      </w:pPr>
      <w:r>
        <w:rPr>
          <w:rFonts w:hint="eastAsia"/>
        </w:rPr>
        <w:t>（三）中央文化企业在资产评估备案项目审核过程中</w:t>
      </w:r>
      <w:r>
        <w:t>, 涉及《办法》第五条第（六）</w:t>
      </w:r>
      <w:proofErr w:type="gramStart"/>
      <w:r>
        <w:t>项经济</w:t>
      </w:r>
      <w:proofErr w:type="gramEnd"/>
      <w:r>
        <w:t>行为的,中央文化企业认为必要时可以组织有关专家参与备案评审；涉及其他经济行为的中央文化企业应当组织有关专家参与备案评审。评审专家应在财政部建立的资产评估专家库中选取。</w:t>
      </w:r>
    </w:p>
    <w:p w14:paraId="63724582" w14:textId="77777777" w:rsidR="00FE2C85" w:rsidRDefault="00FE2C85" w:rsidP="00FE2C85">
      <w:pPr>
        <w:pStyle w:val="13"/>
      </w:pPr>
      <w:r>
        <w:rPr>
          <w:rFonts w:hint="eastAsia"/>
        </w:rPr>
        <w:t>（四）对材料齐全、合</w:t>
      </w:r>
      <w:proofErr w:type="gramStart"/>
      <w:r>
        <w:rPr>
          <w:rFonts w:hint="eastAsia"/>
        </w:rPr>
        <w:t>规</w:t>
      </w:r>
      <w:proofErr w:type="gramEnd"/>
      <w:r>
        <w:rPr>
          <w:rFonts w:hint="eastAsia"/>
        </w:rPr>
        <w:t>的国有资产评估备案文件，中央文化企业要在</w:t>
      </w:r>
      <w:r>
        <w:t>20个工作日内予以备案。</w:t>
      </w:r>
    </w:p>
    <w:p w14:paraId="2F54A901" w14:textId="77777777" w:rsidR="00FE2C85" w:rsidRDefault="00FE2C85" w:rsidP="00FE2C85">
      <w:pPr>
        <w:pStyle w:val="13"/>
      </w:pPr>
      <w:r>
        <w:rPr>
          <w:rFonts w:hint="eastAsia"/>
        </w:rPr>
        <w:t>（五）中央文化企业开展国有资产评估项目备案工作，应当登录中央文化企业国有资产监督管理信息平台（以下简称监管平台）完成有关工作。</w:t>
      </w:r>
    </w:p>
    <w:p w14:paraId="1BE36665" w14:textId="77777777" w:rsidR="00FE2C85" w:rsidRDefault="00FE2C85" w:rsidP="00FE2C85">
      <w:pPr>
        <w:pStyle w:val="13"/>
      </w:pPr>
      <w:r>
        <w:rPr>
          <w:rFonts w:hint="eastAsia"/>
        </w:rPr>
        <w:t>六、中央文化企业应当按时完成资产评估项目备案工作，提高工作效率。鉴于资产评估报告使用有效期为自评估基准日起一年，为保证必要的审核时间和项目执行时间，自评估基准日起</w:t>
      </w:r>
      <w:r>
        <w:t>10个月内，资产评估项目备案材料未报送备案管理部门的，备案材料将不予以受理。</w:t>
      </w:r>
    </w:p>
    <w:p w14:paraId="7B53AEAE" w14:textId="77777777" w:rsidR="00FE2C85" w:rsidRDefault="00FE2C85" w:rsidP="00FE2C85">
      <w:pPr>
        <w:pStyle w:val="13"/>
      </w:pPr>
      <w:r>
        <w:rPr>
          <w:rFonts w:hint="eastAsia"/>
        </w:rPr>
        <w:t>七、主管部门和中央文化企业应当加强组织领导，落实责任，认真制定企业内部国有资产评估管理制度，开展国有资产评估备案和统计分析工作，提交有关统计分析报表和报告。</w:t>
      </w:r>
      <w:r>
        <w:t>2017年12月底前中央文化企业应建立完善内部国有资产评估管理制度，履行必要的内部决策程序，报主管部门审核后,由主管部门报财政部。每年1月31日前，中央文化企业将资产评估项目备案统计分析等材料报送主管部门，主管部门审核后报财政部。</w:t>
      </w:r>
    </w:p>
    <w:p w14:paraId="07D8AF3A" w14:textId="34C5A82F" w:rsidR="00FE2C85" w:rsidRDefault="00FE2C85" w:rsidP="00FE2C85">
      <w:pPr>
        <w:pStyle w:val="13"/>
      </w:pPr>
      <w:r>
        <w:rPr>
          <w:rFonts w:hint="eastAsia"/>
        </w:rPr>
        <w:t>八、本通知自发布之日起施行，《办法》中相关规定与本通知不一致的，以本通知为准。</w:t>
      </w:r>
    </w:p>
    <w:p w14:paraId="11D651E2" w14:textId="77777777" w:rsidR="002C5718" w:rsidRDefault="002C5718" w:rsidP="002C5718">
      <w:pPr>
        <w:pStyle w:val="13"/>
        <w:jc w:val="right"/>
      </w:pPr>
      <w:r>
        <w:rPr>
          <w:rFonts w:hint="eastAsia"/>
        </w:rPr>
        <w:t>财政部</w:t>
      </w:r>
    </w:p>
    <w:p w14:paraId="51670F4A" w14:textId="661016DA" w:rsidR="00FE2C85" w:rsidRDefault="002C5718" w:rsidP="002C5718">
      <w:pPr>
        <w:pStyle w:val="13"/>
        <w:jc w:val="right"/>
      </w:pPr>
      <w:r>
        <w:t>2017年7月19日</w:t>
      </w:r>
    </w:p>
    <w:p w14:paraId="5388257C" w14:textId="77777777" w:rsidR="002C5718" w:rsidRDefault="002C5718" w:rsidP="002C5718">
      <w:pPr>
        <w:pStyle w:val="21"/>
        <w:spacing w:before="156" w:after="93"/>
      </w:pPr>
      <w:bookmarkStart w:id="240" w:name="_Toc81833473"/>
      <w:r>
        <w:rPr>
          <w:rFonts w:hint="eastAsia"/>
        </w:rPr>
        <w:t>事业行政国有资产评估管理</w:t>
      </w:r>
      <w:bookmarkEnd w:id="240"/>
    </w:p>
    <w:p w14:paraId="33F6A52B" w14:textId="541E1965" w:rsidR="00FE2C85" w:rsidRDefault="002C5718" w:rsidP="002C5718">
      <w:pPr>
        <w:pStyle w:val="31"/>
        <w:spacing w:before="156" w:after="62"/>
      </w:pPr>
      <w:bookmarkStart w:id="241" w:name="_Toc81833474"/>
      <w:r>
        <w:rPr>
          <w:rFonts w:hint="eastAsia"/>
        </w:rPr>
        <w:t>《行政单位国有资产管理暂行办法》（财政部第</w:t>
      </w:r>
      <w:r>
        <w:t>35号令）</w:t>
      </w:r>
      <w:bookmarkEnd w:id="241"/>
    </w:p>
    <w:p w14:paraId="1BD91534" w14:textId="07DC0D00" w:rsidR="00FC0719" w:rsidRPr="00FC0719" w:rsidRDefault="00FC0719" w:rsidP="00AF7342">
      <w:pPr>
        <w:pStyle w:val="a9"/>
        <w:spacing w:before="62" w:after="62"/>
      </w:pPr>
      <w:r w:rsidRPr="00FC0719">
        <w:rPr>
          <w:rFonts w:hint="eastAsia"/>
        </w:rPr>
        <w:t>第一</w:t>
      </w:r>
      <w:r>
        <w:rPr>
          <w:rFonts w:hint="eastAsia"/>
        </w:rPr>
        <w:t xml:space="preserve">章 </w:t>
      </w:r>
      <w:r w:rsidRPr="00FC0719">
        <w:rPr>
          <w:rFonts w:hint="eastAsia"/>
        </w:rPr>
        <w:t>总则</w:t>
      </w:r>
    </w:p>
    <w:p w14:paraId="720F2270" w14:textId="5F2EC134" w:rsidR="00FC0719" w:rsidRPr="00FC0719" w:rsidRDefault="004E3EBB" w:rsidP="00FC0719">
      <w:pPr>
        <w:pStyle w:val="13"/>
        <w:ind w:firstLine="482"/>
      </w:pPr>
      <w:r w:rsidRPr="004E3EBB">
        <w:rPr>
          <w:rFonts w:hint="eastAsia"/>
          <w:b/>
          <w:bCs/>
        </w:rPr>
        <w:t xml:space="preserve">第一条 </w:t>
      </w:r>
      <w:r w:rsidR="00FC0719" w:rsidRPr="00FC0719">
        <w:rPr>
          <w:rFonts w:hint="eastAsia"/>
        </w:rPr>
        <w:t>为了规范和加强行政单位国有资产管理，维护国有资产的安全和完整，合理配置国有资产，提高国有资产使用效益，保障行政单位履行职能，根据国务院有关规定，制定本办法。</w:t>
      </w:r>
    </w:p>
    <w:p w14:paraId="49A90585" w14:textId="6E2A683A" w:rsidR="00FC0719" w:rsidRPr="00FC0719" w:rsidRDefault="004E3EBB" w:rsidP="00FC0719">
      <w:pPr>
        <w:pStyle w:val="13"/>
        <w:ind w:firstLine="482"/>
      </w:pPr>
      <w:r w:rsidRPr="004E3EBB">
        <w:rPr>
          <w:rFonts w:hint="eastAsia"/>
          <w:b/>
          <w:bCs/>
        </w:rPr>
        <w:t xml:space="preserve">第二条 </w:t>
      </w:r>
      <w:r w:rsidR="00FC0719" w:rsidRPr="00FC0719">
        <w:rPr>
          <w:rFonts w:hint="eastAsia"/>
        </w:rPr>
        <w:t>本办法适用于各级党的机关、人大机关、行政机关、政协机关、审判机关、检察机关和各民主党派机关(以下统称行政单位)的国有资产管理行为。</w:t>
      </w:r>
    </w:p>
    <w:p w14:paraId="74458945" w14:textId="7E7A5019" w:rsidR="00FC0719" w:rsidRPr="00FC0719" w:rsidRDefault="004E3EBB" w:rsidP="00FC0719">
      <w:pPr>
        <w:pStyle w:val="13"/>
        <w:ind w:firstLine="482"/>
      </w:pPr>
      <w:r w:rsidRPr="004E3EBB">
        <w:rPr>
          <w:rFonts w:hint="eastAsia"/>
          <w:b/>
          <w:bCs/>
        </w:rPr>
        <w:lastRenderedPageBreak/>
        <w:t xml:space="preserve">第三条 </w:t>
      </w:r>
      <w:r w:rsidR="00FC0719" w:rsidRPr="00FC0719">
        <w:rPr>
          <w:rFonts w:hint="eastAsia"/>
        </w:rPr>
        <w:t>本办法所称的行政单位国有资产，是指由各级行政单位占有、使用的，依法确认为国家所有，能以货币计量的各种经济资源的总称，即行政单位的国有（公共）财产。</w:t>
      </w:r>
    </w:p>
    <w:p w14:paraId="2AB0009F" w14:textId="5DED8934" w:rsidR="00FC0719" w:rsidRPr="00FC0719" w:rsidRDefault="00FC0719" w:rsidP="00FC0719">
      <w:pPr>
        <w:pStyle w:val="13"/>
      </w:pPr>
      <w:r w:rsidRPr="00FC0719">
        <w:rPr>
          <w:rFonts w:hint="eastAsia"/>
        </w:rPr>
        <w:t>行政单位国有资产包括行政单位用国家财政性资金形成的资产、国家调拨给行政单位的资产、行政单位按照国家规定组织收入形成的资产，以及接受捐赠和其他经法律确认为国家所有的资产，其表现形式为固定资产、流动资产和无形资产等。</w:t>
      </w:r>
    </w:p>
    <w:p w14:paraId="3D14A49C" w14:textId="64690732" w:rsidR="00FC0719" w:rsidRPr="00FC0719" w:rsidRDefault="004E3EBB" w:rsidP="00FC0719">
      <w:pPr>
        <w:pStyle w:val="13"/>
        <w:ind w:firstLine="482"/>
      </w:pPr>
      <w:r w:rsidRPr="004E3EBB">
        <w:rPr>
          <w:rFonts w:hint="eastAsia"/>
          <w:b/>
          <w:bCs/>
        </w:rPr>
        <w:t xml:space="preserve">第四条 </w:t>
      </w:r>
      <w:r w:rsidR="00FC0719" w:rsidRPr="00FC0719">
        <w:rPr>
          <w:rFonts w:hint="eastAsia"/>
        </w:rPr>
        <w:t>行政单位国有资产管理的主要任务是：</w:t>
      </w:r>
    </w:p>
    <w:p w14:paraId="5BFBCE23" w14:textId="58078CB2" w:rsidR="00FC0719" w:rsidRPr="00FC0719" w:rsidRDefault="00FC0719" w:rsidP="00FC0719">
      <w:pPr>
        <w:pStyle w:val="13"/>
      </w:pPr>
      <w:r w:rsidRPr="00FC0719">
        <w:rPr>
          <w:rFonts w:hint="eastAsia"/>
        </w:rPr>
        <w:t>（一）建立和健全各项规章制度；</w:t>
      </w:r>
    </w:p>
    <w:p w14:paraId="661FE9E8" w14:textId="34AD8053" w:rsidR="00FC0719" w:rsidRPr="00FC0719" w:rsidRDefault="00FC0719" w:rsidP="00FC0719">
      <w:pPr>
        <w:pStyle w:val="13"/>
      </w:pPr>
      <w:r w:rsidRPr="00FC0719">
        <w:rPr>
          <w:rFonts w:hint="eastAsia"/>
        </w:rPr>
        <w:t>（二）推动国有资产的合理配置和有效使用；</w:t>
      </w:r>
    </w:p>
    <w:p w14:paraId="715D5746" w14:textId="7F20CD0F" w:rsidR="00FC0719" w:rsidRPr="00FC0719" w:rsidRDefault="00FC0719" w:rsidP="00FC0719">
      <w:pPr>
        <w:pStyle w:val="13"/>
      </w:pPr>
      <w:r w:rsidRPr="00FC0719">
        <w:rPr>
          <w:rFonts w:hint="eastAsia"/>
        </w:rPr>
        <w:t>（三）保障国有资产的安全和完整；</w:t>
      </w:r>
    </w:p>
    <w:p w14:paraId="24EA0B26" w14:textId="2867C1A5" w:rsidR="00FC0719" w:rsidRPr="00FC0719" w:rsidRDefault="00FC0719" w:rsidP="00FC0719">
      <w:pPr>
        <w:pStyle w:val="13"/>
      </w:pPr>
      <w:r w:rsidRPr="00FC0719">
        <w:rPr>
          <w:rFonts w:hint="eastAsia"/>
        </w:rPr>
        <w:t>（四）监管尚未脱钩的经济实体的国有资产，实现国有资产的保值增值。</w:t>
      </w:r>
    </w:p>
    <w:p w14:paraId="41BA67E1" w14:textId="677710F6" w:rsidR="00FC0719" w:rsidRPr="00FC0719" w:rsidRDefault="004E3EBB" w:rsidP="00FC0719">
      <w:pPr>
        <w:pStyle w:val="13"/>
        <w:ind w:firstLine="482"/>
      </w:pPr>
      <w:r w:rsidRPr="004E3EBB">
        <w:rPr>
          <w:rFonts w:hint="eastAsia"/>
          <w:b/>
          <w:bCs/>
        </w:rPr>
        <w:t xml:space="preserve">第五条 </w:t>
      </w:r>
      <w:r w:rsidR="00FC0719" w:rsidRPr="00FC0719">
        <w:rPr>
          <w:rFonts w:hint="eastAsia"/>
        </w:rPr>
        <w:t>行政单位国有资产管理的内容包括：资产配置、资产使用、资产处置、资产评估、产权界定、产权纠纷调处、产权登记、资产清查、资产统计报告和监督检查等。</w:t>
      </w:r>
    </w:p>
    <w:p w14:paraId="272FE99F" w14:textId="0BA76974" w:rsidR="00FC0719" w:rsidRPr="00FC0719" w:rsidRDefault="004E3EBB" w:rsidP="00FC0719">
      <w:pPr>
        <w:pStyle w:val="13"/>
        <w:ind w:firstLine="482"/>
      </w:pPr>
      <w:r w:rsidRPr="004E3EBB">
        <w:rPr>
          <w:rFonts w:hint="eastAsia"/>
          <w:b/>
          <w:bCs/>
        </w:rPr>
        <w:t xml:space="preserve">第六条 </w:t>
      </w:r>
      <w:r w:rsidR="00FC0719" w:rsidRPr="00FC0719">
        <w:rPr>
          <w:rFonts w:hint="eastAsia"/>
        </w:rPr>
        <w:t>行政单位国有资产管理活动，应当遵循以下原则：</w:t>
      </w:r>
    </w:p>
    <w:p w14:paraId="74224C27" w14:textId="28275116" w:rsidR="00FC0719" w:rsidRPr="00FC0719" w:rsidRDefault="00FC0719" w:rsidP="00FC0719">
      <w:pPr>
        <w:pStyle w:val="13"/>
      </w:pPr>
      <w:r w:rsidRPr="00FC0719">
        <w:rPr>
          <w:rFonts w:hint="eastAsia"/>
        </w:rPr>
        <w:t>（一）资产管理与预算管理相结合；</w:t>
      </w:r>
    </w:p>
    <w:p w14:paraId="62D07ABD" w14:textId="075E8486" w:rsidR="00FC0719" w:rsidRPr="00FC0719" w:rsidRDefault="00FC0719" w:rsidP="00FC0719">
      <w:pPr>
        <w:pStyle w:val="13"/>
      </w:pPr>
      <w:r w:rsidRPr="00FC0719">
        <w:rPr>
          <w:rFonts w:hint="eastAsia"/>
        </w:rPr>
        <w:t>（二）资产管理与财务管理相结合；</w:t>
      </w:r>
    </w:p>
    <w:p w14:paraId="73018730" w14:textId="500EBFC0" w:rsidR="00FC0719" w:rsidRPr="00FC0719" w:rsidRDefault="00FC0719" w:rsidP="00FC0719">
      <w:pPr>
        <w:pStyle w:val="13"/>
      </w:pPr>
      <w:r w:rsidRPr="00FC0719">
        <w:rPr>
          <w:rFonts w:hint="eastAsia"/>
        </w:rPr>
        <w:t>（三）实物管理与价值管理相结合。</w:t>
      </w:r>
    </w:p>
    <w:p w14:paraId="1CAC372C" w14:textId="584CDE4D" w:rsidR="00FC0719" w:rsidRPr="00FC0719" w:rsidRDefault="004E3EBB" w:rsidP="00FC0719">
      <w:pPr>
        <w:pStyle w:val="13"/>
        <w:ind w:firstLine="482"/>
      </w:pPr>
      <w:r w:rsidRPr="004E3EBB">
        <w:rPr>
          <w:rFonts w:hint="eastAsia"/>
          <w:b/>
          <w:bCs/>
        </w:rPr>
        <w:t xml:space="preserve">第七条 </w:t>
      </w:r>
      <w:r w:rsidR="00FC0719" w:rsidRPr="00FC0719">
        <w:rPr>
          <w:rFonts w:hint="eastAsia"/>
        </w:rPr>
        <w:t>行政单位国有资产管理，实行国家统一所有，政府分级监管，单位占有、使用的管理体制。</w:t>
      </w:r>
    </w:p>
    <w:p w14:paraId="0222CB5E" w14:textId="270086BC" w:rsidR="00FC0719" w:rsidRPr="00FC0719" w:rsidRDefault="00FC0719" w:rsidP="00AF7342">
      <w:pPr>
        <w:pStyle w:val="a9"/>
        <w:spacing w:before="62" w:after="62"/>
      </w:pPr>
      <w:r w:rsidRPr="00FC0719">
        <w:rPr>
          <w:rFonts w:hint="eastAsia"/>
        </w:rPr>
        <w:t>第二</w:t>
      </w:r>
      <w:r>
        <w:rPr>
          <w:rFonts w:hint="eastAsia"/>
        </w:rPr>
        <w:t xml:space="preserve">章 </w:t>
      </w:r>
      <w:r w:rsidRPr="00FC0719">
        <w:rPr>
          <w:rFonts w:hint="eastAsia"/>
        </w:rPr>
        <w:t>管理机构及职责</w:t>
      </w:r>
    </w:p>
    <w:p w14:paraId="0BE07FC9" w14:textId="24E58569" w:rsidR="00FC0719" w:rsidRPr="00FC0719" w:rsidRDefault="004E3EBB" w:rsidP="00FC0719">
      <w:pPr>
        <w:pStyle w:val="13"/>
        <w:ind w:firstLine="482"/>
      </w:pPr>
      <w:r w:rsidRPr="004E3EBB">
        <w:rPr>
          <w:rFonts w:hint="eastAsia"/>
          <w:b/>
          <w:bCs/>
        </w:rPr>
        <w:t xml:space="preserve">第八条 </w:t>
      </w:r>
      <w:r w:rsidR="00FC0719" w:rsidRPr="00FC0719">
        <w:rPr>
          <w:rFonts w:hint="eastAsia"/>
        </w:rPr>
        <w:t>各级财政部门是政府负责行政单位国有资产管理的职能部门，对行政单位国有资产实行综合管理。其主要职责是：</w:t>
      </w:r>
    </w:p>
    <w:p w14:paraId="3E93030F" w14:textId="695BAB08" w:rsidR="00FC0719" w:rsidRPr="00FC0719" w:rsidRDefault="00FC0719" w:rsidP="00FC0719">
      <w:pPr>
        <w:pStyle w:val="13"/>
      </w:pPr>
      <w:r w:rsidRPr="00FC0719">
        <w:rPr>
          <w:rFonts w:hint="eastAsia"/>
        </w:rPr>
        <w:t>（一）贯彻执行国家有关国有资产管理的法律、法规和政策；</w:t>
      </w:r>
    </w:p>
    <w:p w14:paraId="28E93A65" w14:textId="7CBD321C" w:rsidR="00FC0719" w:rsidRPr="00FC0719" w:rsidRDefault="00FC0719" w:rsidP="00FC0719">
      <w:pPr>
        <w:pStyle w:val="13"/>
      </w:pPr>
      <w:r w:rsidRPr="00FC0719">
        <w:rPr>
          <w:rFonts w:hint="eastAsia"/>
        </w:rPr>
        <w:t>（二）根据国家国有资产管理的有关规定，制定行政单位国有资产管理的规章制度，并对执行情况进行监督检查；</w:t>
      </w:r>
    </w:p>
    <w:p w14:paraId="16720B16" w14:textId="01386512" w:rsidR="00FC0719" w:rsidRPr="00FC0719" w:rsidRDefault="00FC0719" w:rsidP="00FC0719">
      <w:pPr>
        <w:pStyle w:val="13"/>
      </w:pPr>
      <w:r w:rsidRPr="00FC0719">
        <w:rPr>
          <w:rFonts w:hint="eastAsia"/>
        </w:rPr>
        <w:t>（三）负责会同有关部门研究制定本级行政单位国有资产配置标准，负责资产配置事项的审批，按规定进行资产处置和产权变动事项的审批，负责组织产权界定、产权纠纷调处、资产统计报告、资产评估、资产清查等工作；</w:t>
      </w:r>
    </w:p>
    <w:p w14:paraId="30200F07" w14:textId="6B8A119E" w:rsidR="00FC0719" w:rsidRPr="00FC0719" w:rsidRDefault="00FC0719" w:rsidP="00FC0719">
      <w:pPr>
        <w:pStyle w:val="13"/>
      </w:pPr>
      <w:r w:rsidRPr="00FC0719">
        <w:rPr>
          <w:rFonts w:hint="eastAsia"/>
        </w:rPr>
        <w:t>（四）负责本级行政单位出租、出借国有资产的审批，负责与行政单位尚未脱钩的经济实体的国有资产的监督管理；</w:t>
      </w:r>
    </w:p>
    <w:p w14:paraId="58ED56AF" w14:textId="2AD2CF70" w:rsidR="00FC0719" w:rsidRPr="00FC0719" w:rsidRDefault="00FC0719" w:rsidP="00FC0719">
      <w:pPr>
        <w:pStyle w:val="13"/>
      </w:pPr>
      <w:r w:rsidRPr="00FC0719">
        <w:rPr>
          <w:rFonts w:hint="eastAsia"/>
        </w:rPr>
        <w:t>（五）负责本级行政单位国有资产收益的监督、管理；</w:t>
      </w:r>
    </w:p>
    <w:p w14:paraId="24235AEE" w14:textId="746CD66C" w:rsidR="00FC0719" w:rsidRPr="00FC0719" w:rsidRDefault="00FC0719" w:rsidP="00FC0719">
      <w:pPr>
        <w:pStyle w:val="13"/>
      </w:pPr>
      <w:r w:rsidRPr="00FC0719">
        <w:rPr>
          <w:rFonts w:hint="eastAsia"/>
        </w:rPr>
        <w:t>（六）对本级行政单位和下级财政部门的国有资产管理工作进行监督、检查；</w:t>
      </w:r>
    </w:p>
    <w:p w14:paraId="7B6430C1" w14:textId="0E6AEC2B" w:rsidR="00FC0719" w:rsidRPr="00FC0719" w:rsidRDefault="00FC0719" w:rsidP="00FC0719">
      <w:pPr>
        <w:pStyle w:val="13"/>
      </w:pPr>
      <w:r w:rsidRPr="00FC0719">
        <w:rPr>
          <w:rFonts w:hint="eastAsia"/>
        </w:rPr>
        <w:t>（七）向本级政府和上级财政部门报告有关国有资产管理工作。</w:t>
      </w:r>
    </w:p>
    <w:p w14:paraId="4DAF4337" w14:textId="7C4F5FF5" w:rsidR="00FC0719" w:rsidRPr="00FC0719" w:rsidRDefault="00E05BDA" w:rsidP="00FC0719">
      <w:pPr>
        <w:pStyle w:val="13"/>
        <w:ind w:firstLine="482"/>
      </w:pPr>
      <w:r w:rsidRPr="00E05BDA">
        <w:rPr>
          <w:rFonts w:hint="eastAsia"/>
          <w:b/>
          <w:bCs/>
        </w:rPr>
        <w:lastRenderedPageBreak/>
        <w:t xml:space="preserve">第九条 </w:t>
      </w:r>
      <w:r w:rsidR="00FC0719" w:rsidRPr="00FC0719">
        <w:rPr>
          <w:rFonts w:hint="eastAsia"/>
        </w:rPr>
        <w:t>行政单位对本单位占有、使用的国有资产实施具体管理。其主要职责是：</w:t>
      </w:r>
    </w:p>
    <w:p w14:paraId="57B26C6C" w14:textId="1CFD616A" w:rsidR="00FC0719" w:rsidRPr="00FC0719" w:rsidRDefault="00FC0719" w:rsidP="00FC0719">
      <w:pPr>
        <w:pStyle w:val="13"/>
      </w:pPr>
      <w:r w:rsidRPr="00FC0719">
        <w:rPr>
          <w:rFonts w:hint="eastAsia"/>
        </w:rPr>
        <w:t>（一）根据行政单位国有资产管理的规定，负责制定本单位国有资产管理具体办法并组织实施；</w:t>
      </w:r>
    </w:p>
    <w:p w14:paraId="72F64419" w14:textId="3F8EDF1F" w:rsidR="00FC0719" w:rsidRPr="00FC0719" w:rsidRDefault="00FC0719" w:rsidP="00FC0719">
      <w:pPr>
        <w:pStyle w:val="13"/>
      </w:pPr>
      <w:r w:rsidRPr="00FC0719">
        <w:rPr>
          <w:rFonts w:hint="eastAsia"/>
        </w:rPr>
        <w:t>（二）负责本单位国有资产的账卡管理、清查登记、统计报告及日常监督检查等工作；</w:t>
      </w:r>
    </w:p>
    <w:p w14:paraId="6C9F5D41" w14:textId="67128A44" w:rsidR="00FC0719" w:rsidRPr="00FC0719" w:rsidRDefault="00FC0719" w:rsidP="00FC0719">
      <w:pPr>
        <w:pStyle w:val="13"/>
      </w:pPr>
      <w:r w:rsidRPr="00FC0719">
        <w:rPr>
          <w:rFonts w:hint="eastAsia"/>
        </w:rPr>
        <w:t>（三）负责本单位国有资产的采购、验收、维修和保养等日常管理工作，保障国有资产的安全完整；</w:t>
      </w:r>
    </w:p>
    <w:p w14:paraId="38C96F4A" w14:textId="4D4F4305" w:rsidR="00FC0719" w:rsidRPr="00FC0719" w:rsidRDefault="00FC0719" w:rsidP="00FC0719">
      <w:pPr>
        <w:pStyle w:val="13"/>
      </w:pPr>
      <w:r w:rsidRPr="00FC0719">
        <w:rPr>
          <w:rFonts w:hint="eastAsia"/>
        </w:rPr>
        <w:t>（四）负责办理本单位国有资产的配置、处置、出租、出借等事项的报批手续；</w:t>
      </w:r>
    </w:p>
    <w:p w14:paraId="22BF3A48" w14:textId="74CAFB5E" w:rsidR="00FC0719" w:rsidRPr="00FC0719" w:rsidRDefault="00FC0719" w:rsidP="00FC0719">
      <w:pPr>
        <w:pStyle w:val="13"/>
      </w:pPr>
      <w:r w:rsidRPr="00FC0719">
        <w:rPr>
          <w:rFonts w:hint="eastAsia"/>
        </w:rPr>
        <w:t>（五）负责与行政单位尚未脱钩的经济实体的国有资产的具体监督管理工作并承担保值增值的责任；</w:t>
      </w:r>
    </w:p>
    <w:p w14:paraId="1D2BB22D" w14:textId="2A1A3C36" w:rsidR="00FC0719" w:rsidRPr="00FC0719" w:rsidRDefault="00FC0719" w:rsidP="00FC0719">
      <w:pPr>
        <w:pStyle w:val="13"/>
      </w:pPr>
      <w:r w:rsidRPr="00FC0719">
        <w:rPr>
          <w:rFonts w:hint="eastAsia"/>
        </w:rPr>
        <w:t>（六）接受财政部门的指导和监督，报告本单位国有资产管理情况。</w:t>
      </w:r>
    </w:p>
    <w:p w14:paraId="305F2FE8" w14:textId="77A660A5" w:rsidR="00FC0719" w:rsidRPr="00FC0719" w:rsidRDefault="00E05BDA" w:rsidP="00FC0719">
      <w:pPr>
        <w:pStyle w:val="13"/>
        <w:ind w:firstLine="482"/>
      </w:pPr>
      <w:r w:rsidRPr="00E05BDA">
        <w:rPr>
          <w:rFonts w:hint="eastAsia"/>
          <w:b/>
          <w:bCs/>
        </w:rPr>
        <w:t xml:space="preserve">第十条 </w:t>
      </w:r>
      <w:r w:rsidR="00FC0719" w:rsidRPr="00FC0719">
        <w:rPr>
          <w:rFonts w:hint="eastAsia"/>
        </w:rPr>
        <w:t>财政部门根据工作需要，可以将国有资产管理的部分工作交由有关单位完成。有关单位应当完成所交给的国有资产管理工作，向财政部门负责，并报告工作的完成情况。</w:t>
      </w:r>
    </w:p>
    <w:p w14:paraId="4EBD9CAA" w14:textId="731EC54F" w:rsidR="00FC0719" w:rsidRPr="00FC0719" w:rsidRDefault="00E05BDA" w:rsidP="00FC0719">
      <w:pPr>
        <w:pStyle w:val="13"/>
        <w:ind w:firstLine="482"/>
      </w:pPr>
      <w:r w:rsidRPr="00E05BDA">
        <w:rPr>
          <w:rFonts w:hint="eastAsia"/>
          <w:b/>
          <w:bCs/>
        </w:rPr>
        <w:t xml:space="preserve">第十一条 </w:t>
      </w:r>
      <w:r w:rsidR="00FC0719" w:rsidRPr="00FC0719">
        <w:rPr>
          <w:rFonts w:hint="eastAsia"/>
        </w:rPr>
        <w:t>各级财政部门和行政单位应当明确国有资产管理的机构和人员，加强行政单位国有资产管理工作。</w:t>
      </w:r>
    </w:p>
    <w:p w14:paraId="5C929510" w14:textId="0840A1EA" w:rsidR="00FC0719" w:rsidRPr="00FC0719" w:rsidRDefault="00FC0719" w:rsidP="00AF7342">
      <w:pPr>
        <w:pStyle w:val="a9"/>
        <w:spacing w:before="62" w:after="62"/>
      </w:pPr>
      <w:r w:rsidRPr="00FC0719">
        <w:rPr>
          <w:rFonts w:hint="eastAsia"/>
        </w:rPr>
        <w:t>第三</w:t>
      </w:r>
      <w:r>
        <w:rPr>
          <w:rFonts w:hint="eastAsia"/>
        </w:rPr>
        <w:t xml:space="preserve">章 </w:t>
      </w:r>
      <w:r w:rsidRPr="00FC0719">
        <w:rPr>
          <w:rFonts w:hint="eastAsia"/>
        </w:rPr>
        <w:t>资产配置</w:t>
      </w:r>
    </w:p>
    <w:p w14:paraId="7E6D61D9" w14:textId="22B5D1E1" w:rsidR="00FC0719" w:rsidRPr="00FC0719" w:rsidRDefault="00E05BDA" w:rsidP="00FC0719">
      <w:pPr>
        <w:pStyle w:val="13"/>
        <w:ind w:firstLine="482"/>
      </w:pPr>
      <w:r w:rsidRPr="00E05BDA">
        <w:rPr>
          <w:rFonts w:hint="eastAsia"/>
          <w:b/>
          <w:bCs/>
        </w:rPr>
        <w:t xml:space="preserve">第十二条 </w:t>
      </w:r>
      <w:r w:rsidR="00FC0719" w:rsidRPr="00FC0719">
        <w:rPr>
          <w:rFonts w:hint="eastAsia"/>
        </w:rPr>
        <w:t>行政单位国有资产配置应当遵循以下原则：</w:t>
      </w:r>
    </w:p>
    <w:p w14:paraId="454FB645" w14:textId="6BF51782" w:rsidR="00FC0719" w:rsidRPr="00FC0719" w:rsidRDefault="00FC0719" w:rsidP="00FC0719">
      <w:pPr>
        <w:pStyle w:val="13"/>
      </w:pPr>
      <w:r w:rsidRPr="00FC0719">
        <w:rPr>
          <w:rFonts w:hint="eastAsia"/>
        </w:rPr>
        <w:t>（一）严格执行法律、法规和有关规章制度；</w:t>
      </w:r>
    </w:p>
    <w:p w14:paraId="1E105966" w14:textId="3493D05C" w:rsidR="00FC0719" w:rsidRPr="00FC0719" w:rsidRDefault="00FC0719" w:rsidP="00FC0719">
      <w:pPr>
        <w:pStyle w:val="13"/>
      </w:pPr>
      <w:r w:rsidRPr="00FC0719">
        <w:rPr>
          <w:rFonts w:hint="eastAsia"/>
        </w:rPr>
        <w:t>（二）与行政单位履行职能需要相适应；</w:t>
      </w:r>
    </w:p>
    <w:p w14:paraId="744259D8" w14:textId="25AD3643" w:rsidR="00FC0719" w:rsidRPr="00FC0719" w:rsidRDefault="00FC0719" w:rsidP="00FC0719">
      <w:pPr>
        <w:pStyle w:val="13"/>
      </w:pPr>
      <w:r w:rsidRPr="00FC0719">
        <w:rPr>
          <w:rFonts w:hint="eastAsia"/>
        </w:rPr>
        <w:t>（三）科学合理，优化资产结构；</w:t>
      </w:r>
    </w:p>
    <w:p w14:paraId="307DB1B9" w14:textId="01075DD8" w:rsidR="00FC0719" w:rsidRPr="00FC0719" w:rsidRDefault="00FC0719" w:rsidP="00FC0719">
      <w:pPr>
        <w:pStyle w:val="13"/>
      </w:pPr>
      <w:r w:rsidRPr="00FC0719">
        <w:rPr>
          <w:rFonts w:hint="eastAsia"/>
        </w:rPr>
        <w:t>（四）勤俭节约，从严控制。</w:t>
      </w:r>
    </w:p>
    <w:p w14:paraId="6117E298" w14:textId="46F7DC84" w:rsidR="00FC0719" w:rsidRPr="00FC0719" w:rsidRDefault="00E05BDA" w:rsidP="00FC0719">
      <w:pPr>
        <w:pStyle w:val="13"/>
        <w:ind w:firstLine="482"/>
      </w:pPr>
      <w:r w:rsidRPr="00E05BDA">
        <w:rPr>
          <w:rFonts w:hint="eastAsia"/>
          <w:b/>
          <w:bCs/>
        </w:rPr>
        <w:t xml:space="preserve">第十三条 </w:t>
      </w:r>
      <w:r w:rsidR="00FC0719" w:rsidRPr="00FC0719">
        <w:rPr>
          <w:rFonts w:hint="eastAsia"/>
        </w:rPr>
        <w:t>对有规定配备标准的资产，应当按照标准进行配备；对没有规定配备标准的资产，应当从实际需要出发，从严控制，合理配备。</w:t>
      </w:r>
    </w:p>
    <w:p w14:paraId="6C5CB9A2" w14:textId="4AC11C05" w:rsidR="00FC0719" w:rsidRPr="00FC0719" w:rsidRDefault="00FC0719" w:rsidP="00FC0719">
      <w:pPr>
        <w:pStyle w:val="13"/>
      </w:pPr>
      <w:r w:rsidRPr="00FC0719">
        <w:rPr>
          <w:rFonts w:hint="eastAsia"/>
        </w:rPr>
        <w:t>财政部门对要求配置的资产，能通过调剂解决的，原则上不重新购置。</w:t>
      </w:r>
    </w:p>
    <w:p w14:paraId="3C4A6294" w14:textId="7DD0F1FB" w:rsidR="00FC0719" w:rsidRPr="00FC0719" w:rsidRDefault="00E05BDA" w:rsidP="00FC0719">
      <w:pPr>
        <w:pStyle w:val="13"/>
        <w:ind w:firstLine="482"/>
      </w:pPr>
      <w:r w:rsidRPr="00E05BDA">
        <w:rPr>
          <w:rFonts w:hint="eastAsia"/>
          <w:b/>
          <w:bCs/>
        </w:rPr>
        <w:t xml:space="preserve">第十四条 </w:t>
      </w:r>
      <w:r w:rsidR="00FC0719" w:rsidRPr="00FC0719">
        <w:rPr>
          <w:rFonts w:hint="eastAsia"/>
        </w:rPr>
        <w:t>购置有规定配备标准的资产，除国家另有规定外，应当按下列程序报批：</w:t>
      </w:r>
    </w:p>
    <w:p w14:paraId="0CB4A2CF" w14:textId="1C974E7A" w:rsidR="00FC0719" w:rsidRPr="00FC0719" w:rsidRDefault="00FC0719" w:rsidP="00FC0719">
      <w:pPr>
        <w:pStyle w:val="13"/>
      </w:pPr>
      <w:r w:rsidRPr="00FC0719">
        <w:rPr>
          <w:rFonts w:hint="eastAsia"/>
        </w:rPr>
        <w:t>（一） 行政单位的资产管理部门会同财务部门审核资产存量，提出拟购置资产的品目、数量，测算经费额度，经单位负责人审核同意后报同级财政部门审批，并按照同级财政部门要求提交相关材料；</w:t>
      </w:r>
    </w:p>
    <w:p w14:paraId="08D686EA" w14:textId="73AA6E44" w:rsidR="00FC0719" w:rsidRPr="00FC0719" w:rsidRDefault="00FC0719" w:rsidP="00FC0719">
      <w:pPr>
        <w:pStyle w:val="13"/>
      </w:pPr>
      <w:r w:rsidRPr="00FC0719">
        <w:rPr>
          <w:rFonts w:hint="eastAsia"/>
        </w:rPr>
        <w:t>（二）同级财政部门根据单位资产状况对行政单位提出的资产购置项目进行审批；</w:t>
      </w:r>
    </w:p>
    <w:p w14:paraId="29027CD3" w14:textId="6C551FA3" w:rsidR="00FC0719" w:rsidRPr="00FC0719" w:rsidRDefault="00FC0719" w:rsidP="00FC0719">
      <w:pPr>
        <w:pStyle w:val="13"/>
      </w:pPr>
      <w:r w:rsidRPr="00FC0719">
        <w:rPr>
          <w:rFonts w:hint="eastAsia"/>
        </w:rPr>
        <w:t>（三）经同级财政部门审批同意，各单位可以将资产购置项目列入单位年度部门预算，并在编制年度部门预算时将批复文件和相关材料一并报同级财政部门，作为审</w:t>
      </w:r>
      <w:r w:rsidRPr="00FC0719">
        <w:rPr>
          <w:rFonts w:hint="eastAsia"/>
        </w:rPr>
        <w:lastRenderedPageBreak/>
        <w:t>批部门预算的依据。未经批准，不得列入部门预算，也不得列入单位经费支出。</w:t>
      </w:r>
    </w:p>
    <w:p w14:paraId="5F7B7EDF" w14:textId="3AFD0522" w:rsidR="00FC0719" w:rsidRPr="00FC0719" w:rsidRDefault="00E05BDA" w:rsidP="00FC0719">
      <w:pPr>
        <w:pStyle w:val="13"/>
        <w:ind w:firstLine="482"/>
      </w:pPr>
      <w:r w:rsidRPr="00E05BDA">
        <w:rPr>
          <w:rFonts w:hint="eastAsia"/>
          <w:b/>
          <w:bCs/>
        </w:rPr>
        <w:t xml:space="preserve">第十五条 </w:t>
      </w:r>
      <w:r w:rsidR="00FC0719" w:rsidRPr="00FC0719">
        <w:rPr>
          <w:rFonts w:hint="eastAsia"/>
        </w:rPr>
        <w:t>经批准召开重大会议、举办大型活动等需要购置资产的，由会议或者活动主办单位按照本办法规定程序报批。</w:t>
      </w:r>
    </w:p>
    <w:p w14:paraId="1FBF1126" w14:textId="6CC145AA" w:rsidR="00FC0719" w:rsidRPr="00FC0719" w:rsidRDefault="00E05BDA" w:rsidP="00FC0719">
      <w:pPr>
        <w:pStyle w:val="13"/>
        <w:ind w:firstLine="482"/>
      </w:pPr>
      <w:r w:rsidRPr="00E05BDA">
        <w:rPr>
          <w:rFonts w:hint="eastAsia"/>
          <w:b/>
          <w:bCs/>
        </w:rPr>
        <w:t xml:space="preserve">第十六条 </w:t>
      </w:r>
      <w:r w:rsidR="00FC0719" w:rsidRPr="00FC0719">
        <w:rPr>
          <w:rFonts w:hint="eastAsia"/>
        </w:rPr>
        <w:t>行政单位购置纳入政府采购范围的资产，依法实施政府采购。</w:t>
      </w:r>
    </w:p>
    <w:p w14:paraId="00019402" w14:textId="5ECAE34A" w:rsidR="00FC0719" w:rsidRPr="00FC0719" w:rsidRDefault="00E05BDA" w:rsidP="00FC0719">
      <w:pPr>
        <w:pStyle w:val="13"/>
        <w:ind w:firstLine="482"/>
      </w:pPr>
      <w:r w:rsidRPr="00E05BDA">
        <w:rPr>
          <w:rFonts w:hint="eastAsia"/>
          <w:b/>
          <w:bCs/>
        </w:rPr>
        <w:t xml:space="preserve">第十七条 </w:t>
      </w:r>
      <w:r w:rsidR="00FC0719" w:rsidRPr="00FC0719">
        <w:rPr>
          <w:rFonts w:hint="eastAsia"/>
        </w:rPr>
        <w:t>行政单位资产管理部门应当对购置的资产进行验收、登记，并及时进行账务处理。</w:t>
      </w:r>
    </w:p>
    <w:p w14:paraId="741B12E4" w14:textId="6207D0E8" w:rsidR="00FC0719" w:rsidRPr="00FC0719" w:rsidRDefault="00FC0719" w:rsidP="00AF7342">
      <w:pPr>
        <w:pStyle w:val="a9"/>
        <w:spacing w:before="62" w:after="62"/>
      </w:pPr>
      <w:r w:rsidRPr="00FC0719">
        <w:rPr>
          <w:rFonts w:hint="eastAsia"/>
        </w:rPr>
        <w:t>第四</w:t>
      </w:r>
      <w:r>
        <w:rPr>
          <w:rFonts w:hint="eastAsia"/>
        </w:rPr>
        <w:t xml:space="preserve">章 </w:t>
      </w:r>
      <w:r w:rsidRPr="00FC0719">
        <w:rPr>
          <w:rFonts w:hint="eastAsia"/>
        </w:rPr>
        <w:t>资产使用</w:t>
      </w:r>
    </w:p>
    <w:p w14:paraId="4DB09988" w14:textId="0741D410" w:rsidR="00FC0719" w:rsidRPr="00FC0719" w:rsidRDefault="00E05BDA" w:rsidP="00FC0719">
      <w:pPr>
        <w:pStyle w:val="13"/>
        <w:ind w:firstLine="482"/>
      </w:pPr>
      <w:r w:rsidRPr="00E05BDA">
        <w:rPr>
          <w:rFonts w:hint="eastAsia"/>
          <w:b/>
          <w:bCs/>
        </w:rPr>
        <w:t xml:space="preserve">第十八条 </w:t>
      </w:r>
      <w:r w:rsidR="00FC0719" w:rsidRPr="00FC0719">
        <w:rPr>
          <w:rFonts w:hint="eastAsia"/>
        </w:rPr>
        <w:t>行政单位应当建立健全国有资产使用管理制度，规范国有资产使用行为。</w:t>
      </w:r>
    </w:p>
    <w:p w14:paraId="0AFED50B" w14:textId="29AAD5B4" w:rsidR="00FC0719" w:rsidRPr="00FC0719" w:rsidRDefault="00E05BDA" w:rsidP="00FC0719">
      <w:pPr>
        <w:pStyle w:val="13"/>
        <w:ind w:firstLine="482"/>
      </w:pPr>
      <w:r w:rsidRPr="00E05BDA">
        <w:rPr>
          <w:rFonts w:hint="eastAsia"/>
          <w:b/>
          <w:bCs/>
        </w:rPr>
        <w:t xml:space="preserve">第十九条 </w:t>
      </w:r>
      <w:r w:rsidR="00FC0719" w:rsidRPr="00FC0719">
        <w:rPr>
          <w:rFonts w:hint="eastAsia"/>
        </w:rPr>
        <w:t>行政单位应当认真做好国有资产的使用管理工作，做到物尽其用，充分发挥国有资产的使用效益；保障国有资产的安全完整，防止国有资产使用中的</w:t>
      </w:r>
      <w:proofErr w:type="gramStart"/>
      <w:r w:rsidR="00FC0719" w:rsidRPr="00FC0719">
        <w:rPr>
          <w:rFonts w:hint="eastAsia"/>
        </w:rPr>
        <w:t>不当损失</w:t>
      </w:r>
      <w:proofErr w:type="gramEnd"/>
      <w:r w:rsidR="00FC0719" w:rsidRPr="00FC0719">
        <w:rPr>
          <w:rFonts w:hint="eastAsia"/>
        </w:rPr>
        <w:t>和浪费。</w:t>
      </w:r>
    </w:p>
    <w:p w14:paraId="6D3FCA47" w14:textId="63BA94B4" w:rsidR="00FC0719" w:rsidRPr="00FC0719" w:rsidRDefault="00E05BDA" w:rsidP="00FC0719">
      <w:pPr>
        <w:pStyle w:val="13"/>
        <w:ind w:firstLine="482"/>
      </w:pPr>
      <w:r w:rsidRPr="00E05BDA">
        <w:rPr>
          <w:rFonts w:hint="eastAsia"/>
          <w:b/>
          <w:bCs/>
        </w:rPr>
        <w:t xml:space="preserve">第二十条 </w:t>
      </w:r>
      <w:r w:rsidR="00FC0719" w:rsidRPr="00FC0719">
        <w:rPr>
          <w:rFonts w:hint="eastAsia"/>
        </w:rPr>
        <w:t>行政单位对所占有、使用的国有资产应当定期清查盘点，做到家底清楚，账、卡、实相符，防止国有资产流失。</w:t>
      </w:r>
    </w:p>
    <w:p w14:paraId="43400A57" w14:textId="6E3818AF" w:rsidR="00FC0719" w:rsidRPr="00FC0719" w:rsidRDefault="00E05BDA" w:rsidP="00FC0719">
      <w:pPr>
        <w:pStyle w:val="13"/>
        <w:ind w:firstLine="482"/>
      </w:pPr>
      <w:r w:rsidRPr="00E05BDA">
        <w:rPr>
          <w:rFonts w:hint="eastAsia"/>
          <w:b/>
          <w:bCs/>
        </w:rPr>
        <w:t xml:space="preserve">第二十一条 </w:t>
      </w:r>
      <w:r w:rsidR="00FC0719" w:rsidRPr="00FC0719">
        <w:rPr>
          <w:rFonts w:hint="eastAsia"/>
        </w:rPr>
        <w:t>行政单位应当建立严格的国有资产管理责任制，将国有资产管理责任落实到人。</w:t>
      </w:r>
    </w:p>
    <w:p w14:paraId="0AD991E3" w14:textId="53D8159B" w:rsidR="00FC0719" w:rsidRPr="00FC0719" w:rsidRDefault="00E05BDA" w:rsidP="00FC0719">
      <w:pPr>
        <w:pStyle w:val="13"/>
        <w:ind w:firstLine="482"/>
      </w:pPr>
      <w:r w:rsidRPr="00E05BDA">
        <w:rPr>
          <w:rFonts w:hint="eastAsia"/>
          <w:b/>
          <w:bCs/>
        </w:rPr>
        <w:t xml:space="preserve">第二十二条 </w:t>
      </w:r>
      <w:r w:rsidR="00FC0719" w:rsidRPr="00FC0719">
        <w:rPr>
          <w:rFonts w:hint="eastAsia"/>
        </w:rPr>
        <w:t>行政单位</w:t>
      </w:r>
      <w:proofErr w:type="gramStart"/>
      <w:r w:rsidR="00FC0719" w:rsidRPr="00FC0719">
        <w:rPr>
          <w:rFonts w:hint="eastAsia"/>
        </w:rPr>
        <w:t>不</w:t>
      </w:r>
      <w:proofErr w:type="gramEnd"/>
      <w:r w:rsidR="00FC0719" w:rsidRPr="00FC0719">
        <w:rPr>
          <w:rFonts w:hint="eastAsia"/>
        </w:rPr>
        <w:t>得用国有资产对外担保，法律另有规定的除外。</w:t>
      </w:r>
    </w:p>
    <w:p w14:paraId="57BE629E" w14:textId="5E0AE567" w:rsidR="00FC0719" w:rsidRPr="00FC0719" w:rsidRDefault="00E05BDA" w:rsidP="00FC0719">
      <w:pPr>
        <w:pStyle w:val="13"/>
        <w:ind w:firstLine="482"/>
      </w:pPr>
      <w:r w:rsidRPr="00E05BDA">
        <w:rPr>
          <w:rFonts w:hint="eastAsia"/>
          <w:b/>
          <w:bCs/>
        </w:rPr>
        <w:t xml:space="preserve">第二十三条 </w:t>
      </w:r>
      <w:r w:rsidR="00FC0719" w:rsidRPr="00FC0719">
        <w:rPr>
          <w:rFonts w:hint="eastAsia"/>
        </w:rPr>
        <w:t>行政单位不得以任何形式用占有、使用的国有资产举办经济实体。在本办法颁布前已经用占有、使用的国有资产举办经济实体的，应当按照国家关于党政机关与所办经济实体脱钩的规定进行脱钩。脱钩之前，行政单位应当按照国家有关规定对其经济实体的经济效益、收益分配及使用情况等进行严格监管。</w:t>
      </w:r>
    </w:p>
    <w:p w14:paraId="3DDA273B" w14:textId="0A4AD22E" w:rsidR="00FC0719" w:rsidRPr="00FC0719" w:rsidRDefault="00FC0719" w:rsidP="00FC0719">
      <w:pPr>
        <w:pStyle w:val="13"/>
      </w:pPr>
      <w:r w:rsidRPr="00FC0719">
        <w:rPr>
          <w:rFonts w:hint="eastAsia"/>
        </w:rPr>
        <w:t>财政部门应当对其经济效益、收益分配及使用情况进行监督检查。</w:t>
      </w:r>
    </w:p>
    <w:p w14:paraId="751FE87C" w14:textId="4A756393" w:rsidR="00FC0719" w:rsidRPr="00FC0719" w:rsidRDefault="00E05BDA" w:rsidP="00FC0719">
      <w:pPr>
        <w:pStyle w:val="13"/>
        <w:ind w:firstLine="482"/>
      </w:pPr>
      <w:r w:rsidRPr="00E05BDA">
        <w:rPr>
          <w:rFonts w:hint="eastAsia"/>
          <w:b/>
          <w:bCs/>
        </w:rPr>
        <w:t xml:space="preserve">第二十四条 </w:t>
      </w:r>
      <w:r w:rsidR="00FC0719" w:rsidRPr="00FC0719">
        <w:rPr>
          <w:rFonts w:hint="eastAsia"/>
        </w:rPr>
        <w:t>行政单</w:t>
      </w:r>
      <w:proofErr w:type="gramStart"/>
      <w:r w:rsidR="00FC0719" w:rsidRPr="00FC0719">
        <w:rPr>
          <w:rFonts w:hint="eastAsia"/>
        </w:rPr>
        <w:t>位拟</w:t>
      </w:r>
      <w:proofErr w:type="gramEnd"/>
      <w:r w:rsidR="00FC0719" w:rsidRPr="00FC0719">
        <w:rPr>
          <w:rFonts w:hint="eastAsia"/>
        </w:rPr>
        <w:t>将占有、使用的国有资产对外出租、出借的，必须事先上报同级财政部门审核批准。未经批准，不得对外出租、出借。</w:t>
      </w:r>
    </w:p>
    <w:p w14:paraId="6426C605" w14:textId="5BBBA3E4" w:rsidR="00FC0719" w:rsidRPr="00FC0719" w:rsidRDefault="00FC0719" w:rsidP="00FC0719">
      <w:pPr>
        <w:pStyle w:val="13"/>
      </w:pPr>
      <w:r w:rsidRPr="00FC0719">
        <w:rPr>
          <w:rFonts w:hint="eastAsia"/>
        </w:rPr>
        <w:t>同级财政部门应当根据实际情况对行政单位国有资产对外出租、出借事项严格控制，从严审批。</w:t>
      </w:r>
    </w:p>
    <w:p w14:paraId="3E879A17" w14:textId="21B5BBC6" w:rsidR="00FC0719" w:rsidRPr="00FC0719" w:rsidRDefault="00E05BDA" w:rsidP="00FC0719">
      <w:pPr>
        <w:pStyle w:val="13"/>
        <w:ind w:firstLine="482"/>
      </w:pPr>
      <w:r w:rsidRPr="00E05BDA">
        <w:rPr>
          <w:rFonts w:hint="eastAsia"/>
          <w:b/>
          <w:bCs/>
        </w:rPr>
        <w:t xml:space="preserve">第二十五条 </w:t>
      </w:r>
      <w:r w:rsidR="00FC0719" w:rsidRPr="00FC0719">
        <w:rPr>
          <w:rFonts w:hint="eastAsia"/>
        </w:rPr>
        <w:t>行政单位出租、出借的国有资产，其所有权性质不变，仍归国家所有；所形成的收入，按照政府非税收入管理的规定，实行“收支两条线”管理。</w:t>
      </w:r>
    </w:p>
    <w:p w14:paraId="732F29E3" w14:textId="2DCD3833" w:rsidR="00FC0719" w:rsidRPr="00FC0719" w:rsidRDefault="00E05BDA" w:rsidP="00FC0719">
      <w:pPr>
        <w:pStyle w:val="13"/>
        <w:ind w:firstLine="482"/>
      </w:pPr>
      <w:r w:rsidRPr="00E05BDA">
        <w:rPr>
          <w:rFonts w:hint="eastAsia"/>
          <w:b/>
          <w:bCs/>
        </w:rPr>
        <w:t xml:space="preserve">第二十六条 </w:t>
      </w:r>
      <w:r w:rsidR="00FC0719" w:rsidRPr="00FC0719">
        <w:rPr>
          <w:rFonts w:hint="eastAsia"/>
        </w:rPr>
        <w:t>对行政单位中超标配置、低效运转或者长期闲置的国有资产，同级财政部门有权调剂使用或者处置。</w:t>
      </w:r>
    </w:p>
    <w:p w14:paraId="4B9B33D6" w14:textId="7EF36E56" w:rsidR="00FC0719" w:rsidRPr="00FC0719" w:rsidRDefault="00FC0719" w:rsidP="00AF7342">
      <w:pPr>
        <w:pStyle w:val="a9"/>
        <w:spacing w:before="62" w:after="62"/>
      </w:pPr>
      <w:r w:rsidRPr="00FC0719">
        <w:rPr>
          <w:rFonts w:hint="eastAsia"/>
        </w:rPr>
        <w:t>第五</w:t>
      </w:r>
      <w:r>
        <w:rPr>
          <w:rFonts w:hint="eastAsia"/>
        </w:rPr>
        <w:t xml:space="preserve">章 </w:t>
      </w:r>
      <w:r w:rsidRPr="00FC0719">
        <w:rPr>
          <w:rFonts w:hint="eastAsia"/>
        </w:rPr>
        <w:t>资产处置</w:t>
      </w:r>
    </w:p>
    <w:p w14:paraId="1C207B93" w14:textId="11EA34F6" w:rsidR="00FC0719" w:rsidRPr="00FC0719" w:rsidRDefault="00E05BDA" w:rsidP="00FC0719">
      <w:pPr>
        <w:pStyle w:val="13"/>
        <w:ind w:firstLine="482"/>
      </w:pPr>
      <w:r w:rsidRPr="00E05BDA">
        <w:rPr>
          <w:rFonts w:hint="eastAsia"/>
          <w:b/>
          <w:bCs/>
        </w:rPr>
        <w:t xml:space="preserve">第二十七条 </w:t>
      </w:r>
      <w:r w:rsidR="00FC0719" w:rsidRPr="00FC0719">
        <w:rPr>
          <w:rFonts w:hint="eastAsia"/>
        </w:rPr>
        <w:t>行政单位国有资产处置，是指行政单位国有资产产权的转移及核销，包括各类国有资产的无偿转让、出售、置换、报损、报废等。</w:t>
      </w:r>
    </w:p>
    <w:p w14:paraId="25318049" w14:textId="17C4B108" w:rsidR="00FC0719" w:rsidRPr="00FC0719" w:rsidRDefault="00E05BDA" w:rsidP="00FC0719">
      <w:pPr>
        <w:pStyle w:val="13"/>
        <w:ind w:firstLine="482"/>
      </w:pPr>
      <w:r w:rsidRPr="00E05BDA">
        <w:rPr>
          <w:rFonts w:hint="eastAsia"/>
          <w:b/>
          <w:bCs/>
        </w:rPr>
        <w:lastRenderedPageBreak/>
        <w:t xml:space="preserve">第二十八条 </w:t>
      </w:r>
      <w:r w:rsidR="00FC0719" w:rsidRPr="00FC0719">
        <w:rPr>
          <w:rFonts w:hint="eastAsia"/>
        </w:rPr>
        <w:t>行政单位需处置的国有资产范围包括：</w:t>
      </w:r>
    </w:p>
    <w:p w14:paraId="771327BD" w14:textId="0202E268" w:rsidR="00FC0719" w:rsidRPr="00FC0719" w:rsidRDefault="00FC0719" w:rsidP="00FC0719">
      <w:pPr>
        <w:pStyle w:val="13"/>
      </w:pPr>
      <w:r w:rsidRPr="00FC0719">
        <w:rPr>
          <w:rFonts w:hint="eastAsia"/>
        </w:rPr>
        <w:t>（一）闲置资产；</w:t>
      </w:r>
    </w:p>
    <w:p w14:paraId="34E878D8" w14:textId="43B45492" w:rsidR="00FC0719" w:rsidRPr="00FC0719" w:rsidRDefault="00FC0719" w:rsidP="00FC0719">
      <w:pPr>
        <w:pStyle w:val="13"/>
      </w:pPr>
      <w:r w:rsidRPr="00FC0719">
        <w:rPr>
          <w:rFonts w:hint="eastAsia"/>
        </w:rPr>
        <w:t>（二）因技术原因并经过科学论证，确需报废、淘汰的资产；</w:t>
      </w:r>
    </w:p>
    <w:p w14:paraId="5570C19F" w14:textId="781D45FF" w:rsidR="00FC0719" w:rsidRPr="00FC0719" w:rsidRDefault="00FC0719" w:rsidP="00FC0719">
      <w:pPr>
        <w:pStyle w:val="13"/>
      </w:pPr>
      <w:r w:rsidRPr="00FC0719">
        <w:rPr>
          <w:rFonts w:hint="eastAsia"/>
        </w:rPr>
        <w:t>（三）因单位分立、撤销、合并、改制、隶属关系改变等原因发生的产权或者使用权转移的资产；</w:t>
      </w:r>
    </w:p>
    <w:p w14:paraId="61C0D1B8" w14:textId="16133A21" w:rsidR="00FC0719" w:rsidRPr="00FC0719" w:rsidRDefault="00FC0719" w:rsidP="00FC0719">
      <w:pPr>
        <w:pStyle w:val="13"/>
      </w:pPr>
      <w:r w:rsidRPr="00FC0719">
        <w:rPr>
          <w:rFonts w:hint="eastAsia"/>
        </w:rPr>
        <w:t>（四）盘亏、呆账及非</w:t>
      </w:r>
      <w:proofErr w:type="gramStart"/>
      <w:r w:rsidRPr="00FC0719">
        <w:rPr>
          <w:rFonts w:hint="eastAsia"/>
        </w:rPr>
        <w:t>正常损失</w:t>
      </w:r>
      <w:proofErr w:type="gramEnd"/>
      <w:r w:rsidRPr="00FC0719">
        <w:rPr>
          <w:rFonts w:hint="eastAsia"/>
        </w:rPr>
        <w:t>的资产；</w:t>
      </w:r>
    </w:p>
    <w:p w14:paraId="3D3A5B55" w14:textId="7AA9CC71" w:rsidR="00FC0719" w:rsidRPr="00FC0719" w:rsidRDefault="00FC0719" w:rsidP="00FC0719">
      <w:pPr>
        <w:pStyle w:val="13"/>
      </w:pPr>
      <w:r w:rsidRPr="00FC0719">
        <w:rPr>
          <w:rFonts w:hint="eastAsia"/>
        </w:rPr>
        <w:t>（五）已超过使用年限无法使用的资产；</w:t>
      </w:r>
    </w:p>
    <w:p w14:paraId="02CE9D68" w14:textId="5F14FDB1" w:rsidR="00FC0719" w:rsidRPr="00FC0719" w:rsidRDefault="00FC0719" w:rsidP="00FC0719">
      <w:pPr>
        <w:pStyle w:val="13"/>
      </w:pPr>
      <w:r w:rsidRPr="00FC0719">
        <w:rPr>
          <w:rFonts w:hint="eastAsia"/>
        </w:rPr>
        <w:t>（六）依照国家有关规定需要进行资产处置的其他情形。</w:t>
      </w:r>
    </w:p>
    <w:p w14:paraId="4B7943DF" w14:textId="41314720" w:rsidR="00FC0719" w:rsidRPr="00FC0719" w:rsidRDefault="00E05BDA" w:rsidP="00FC0719">
      <w:pPr>
        <w:pStyle w:val="13"/>
        <w:ind w:firstLine="482"/>
      </w:pPr>
      <w:r w:rsidRPr="00E05BDA">
        <w:rPr>
          <w:rFonts w:hint="eastAsia"/>
          <w:b/>
          <w:bCs/>
        </w:rPr>
        <w:t xml:space="preserve">第二十九条 </w:t>
      </w:r>
      <w:r w:rsidR="00FC0719" w:rsidRPr="00FC0719">
        <w:rPr>
          <w:rFonts w:hint="eastAsia"/>
        </w:rPr>
        <w:t>行政单位处置国有资产应当严格履行审批手续，未经批准不得处置。</w:t>
      </w:r>
    </w:p>
    <w:p w14:paraId="062D987C" w14:textId="5BE61D6E" w:rsidR="00FC0719" w:rsidRPr="00FC0719" w:rsidRDefault="00E05BDA" w:rsidP="00FC0719">
      <w:pPr>
        <w:pStyle w:val="13"/>
        <w:ind w:firstLine="482"/>
      </w:pPr>
      <w:r w:rsidRPr="00E05BDA">
        <w:rPr>
          <w:rFonts w:hint="eastAsia"/>
          <w:b/>
          <w:bCs/>
        </w:rPr>
        <w:t xml:space="preserve">第三十条 </w:t>
      </w:r>
      <w:r w:rsidR="00FC0719" w:rsidRPr="00FC0719">
        <w:rPr>
          <w:rFonts w:hint="eastAsia"/>
        </w:rPr>
        <w:t>资产处置应当由行政单位资产管理部门会同财务部门、技术部门审核鉴定，提出意见，按审批权限报送审批。</w:t>
      </w:r>
    </w:p>
    <w:p w14:paraId="1E3F88B1" w14:textId="359D08AE" w:rsidR="00FC0719" w:rsidRPr="00FC0719" w:rsidRDefault="003B2FB1" w:rsidP="00FC0719">
      <w:pPr>
        <w:pStyle w:val="13"/>
        <w:ind w:firstLine="482"/>
      </w:pPr>
      <w:r w:rsidRPr="003B2FB1">
        <w:rPr>
          <w:rFonts w:hint="eastAsia"/>
          <w:b/>
          <w:bCs/>
        </w:rPr>
        <w:t xml:space="preserve">第三十一条 </w:t>
      </w:r>
      <w:r w:rsidR="00FC0719" w:rsidRPr="00FC0719">
        <w:rPr>
          <w:rFonts w:hint="eastAsia"/>
        </w:rPr>
        <w:t>行政单位国有资产处置的审批权限和处置办法，除国家另有规定外，由财政部门根据本办法规定。</w:t>
      </w:r>
    </w:p>
    <w:p w14:paraId="066BB842" w14:textId="3A39A8AE" w:rsidR="00FC0719" w:rsidRPr="00FC0719" w:rsidRDefault="003B2FB1" w:rsidP="00FC0719">
      <w:pPr>
        <w:pStyle w:val="13"/>
        <w:ind w:firstLine="482"/>
      </w:pPr>
      <w:r w:rsidRPr="003B2FB1">
        <w:rPr>
          <w:rFonts w:hint="eastAsia"/>
          <w:b/>
          <w:bCs/>
        </w:rPr>
        <w:t xml:space="preserve">第三十二条 </w:t>
      </w:r>
      <w:r w:rsidR="00FC0719" w:rsidRPr="00FC0719">
        <w:rPr>
          <w:rFonts w:hint="eastAsia"/>
        </w:rPr>
        <w:t>行政单位国有资产处置应当按照公开、公正、公平的原则进行。资产的出售与置换应当采取拍卖、招投标、协议转让及国家法律、行政法规规定的其他方式进行。</w:t>
      </w:r>
    </w:p>
    <w:p w14:paraId="6D887A2A" w14:textId="6867F992" w:rsidR="00FC0719" w:rsidRPr="00FC0719" w:rsidRDefault="003B2FB1" w:rsidP="00FC0719">
      <w:pPr>
        <w:pStyle w:val="13"/>
        <w:ind w:firstLine="482"/>
      </w:pPr>
      <w:r w:rsidRPr="003B2FB1">
        <w:rPr>
          <w:rFonts w:hint="eastAsia"/>
          <w:b/>
          <w:bCs/>
        </w:rPr>
        <w:t xml:space="preserve">第三十三条 </w:t>
      </w:r>
      <w:r w:rsidR="00FC0719" w:rsidRPr="00FC0719">
        <w:rPr>
          <w:rFonts w:hint="eastAsia"/>
        </w:rPr>
        <w:t>行政单位国有资产处置的变价收入和残值收入，按照政府非税收入管理的规定，实行“收支两条线”管理。</w:t>
      </w:r>
    </w:p>
    <w:p w14:paraId="27C39452" w14:textId="5FD9C75B" w:rsidR="00FC0719" w:rsidRPr="00FC0719" w:rsidRDefault="003B2FB1" w:rsidP="00FC0719">
      <w:pPr>
        <w:pStyle w:val="13"/>
        <w:ind w:firstLine="482"/>
      </w:pPr>
      <w:r w:rsidRPr="003B2FB1">
        <w:rPr>
          <w:rFonts w:hint="eastAsia"/>
          <w:b/>
          <w:bCs/>
        </w:rPr>
        <w:t xml:space="preserve">第三十四条 </w:t>
      </w:r>
      <w:r w:rsidR="00FC0719" w:rsidRPr="00FC0719">
        <w:rPr>
          <w:rFonts w:hint="eastAsia"/>
        </w:rPr>
        <w:t>行政单位分立、撤销、合并、改制及隶属关系发生改变时，应当对其占有、使用的国有资产进行清查登记，编制清册，报送财政部门审核、处置，并及时办理资产转移手续。</w:t>
      </w:r>
    </w:p>
    <w:p w14:paraId="151DD965" w14:textId="4D2DA9F7" w:rsidR="00FC0719" w:rsidRPr="00FC0719" w:rsidRDefault="003B2FB1" w:rsidP="00FC0719">
      <w:pPr>
        <w:pStyle w:val="13"/>
        <w:ind w:firstLine="482"/>
      </w:pPr>
      <w:r w:rsidRPr="003B2FB1">
        <w:rPr>
          <w:rFonts w:hint="eastAsia"/>
          <w:b/>
          <w:bCs/>
        </w:rPr>
        <w:t xml:space="preserve">第三十五条 </w:t>
      </w:r>
      <w:r w:rsidR="00FC0719" w:rsidRPr="00FC0719">
        <w:rPr>
          <w:rFonts w:hint="eastAsia"/>
        </w:rPr>
        <w:t>行政单位联合召开重大会议、举办大型活动等而临时购置的国有资产，由主办单位在会议、活动结束时按照本办法规定报批后处置。</w:t>
      </w:r>
    </w:p>
    <w:p w14:paraId="1C2DB00F" w14:textId="77777777" w:rsidR="00FC0719" w:rsidRPr="00FC0719" w:rsidRDefault="00FC0719" w:rsidP="00AF7342">
      <w:pPr>
        <w:pStyle w:val="a9"/>
        <w:spacing w:before="62" w:after="62"/>
      </w:pPr>
      <w:r w:rsidRPr="00FC0719">
        <w:rPr>
          <w:rFonts w:hint="eastAsia"/>
        </w:rPr>
        <w:t>第六章 资产评估</w:t>
      </w:r>
    </w:p>
    <w:p w14:paraId="1FC80339" w14:textId="57470425" w:rsidR="00FC0719" w:rsidRPr="00FC0719" w:rsidRDefault="003B2FB1" w:rsidP="00FC0719">
      <w:pPr>
        <w:pStyle w:val="13"/>
        <w:ind w:firstLine="482"/>
      </w:pPr>
      <w:r w:rsidRPr="003B2FB1">
        <w:rPr>
          <w:rFonts w:hint="eastAsia"/>
          <w:b/>
          <w:bCs/>
        </w:rPr>
        <w:t xml:space="preserve">第三十六条 </w:t>
      </w:r>
      <w:r w:rsidR="00FC0719" w:rsidRPr="00FC0719">
        <w:rPr>
          <w:rFonts w:hint="eastAsia"/>
        </w:rPr>
        <w:t>行政单位有下列情形之一的，应当对相关资产进行评估：</w:t>
      </w:r>
    </w:p>
    <w:p w14:paraId="57305807" w14:textId="20CF90BF" w:rsidR="00FC0719" w:rsidRPr="00FC0719" w:rsidRDefault="00FC0719" w:rsidP="00FC0719">
      <w:pPr>
        <w:pStyle w:val="13"/>
      </w:pPr>
      <w:r w:rsidRPr="00FC0719">
        <w:rPr>
          <w:rFonts w:hint="eastAsia"/>
        </w:rPr>
        <w:t>（一）行政单位取得的没有原始价格凭证的资产；</w:t>
      </w:r>
    </w:p>
    <w:p w14:paraId="74ADF8D4" w14:textId="55F0A4F6" w:rsidR="00FC0719" w:rsidRPr="00FC0719" w:rsidRDefault="00FC0719" w:rsidP="00FC0719">
      <w:pPr>
        <w:pStyle w:val="13"/>
      </w:pPr>
      <w:r w:rsidRPr="00FC0719">
        <w:rPr>
          <w:rFonts w:hint="eastAsia"/>
        </w:rPr>
        <w:t>（二）拍卖、有偿转让、置换国有资产；</w:t>
      </w:r>
    </w:p>
    <w:p w14:paraId="512FD99F" w14:textId="0BF54657" w:rsidR="00FC0719" w:rsidRPr="00FC0719" w:rsidRDefault="00FC0719" w:rsidP="00FC0719">
      <w:pPr>
        <w:pStyle w:val="13"/>
      </w:pPr>
      <w:r w:rsidRPr="00FC0719">
        <w:rPr>
          <w:rFonts w:hint="eastAsia"/>
        </w:rPr>
        <w:t>（三）依照国家有关规定需要进行资产评估的其他情形。</w:t>
      </w:r>
    </w:p>
    <w:p w14:paraId="33BC854D" w14:textId="102C40E3" w:rsidR="00FC0719" w:rsidRPr="00FC0719" w:rsidRDefault="003B2FB1" w:rsidP="00FC0719">
      <w:pPr>
        <w:pStyle w:val="13"/>
        <w:ind w:firstLine="482"/>
      </w:pPr>
      <w:r w:rsidRPr="003B2FB1">
        <w:rPr>
          <w:rFonts w:hint="eastAsia"/>
          <w:b/>
          <w:bCs/>
        </w:rPr>
        <w:t xml:space="preserve">第三十七条 </w:t>
      </w:r>
      <w:r w:rsidR="00FC0719" w:rsidRPr="00FC0719">
        <w:rPr>
          <w:rFonts w:hint="eastAsia"/>
        </w:rPr>
        <w:t>行政单位国有资产评估项目实行核准制和备案制。实行核准制和备案制的项目范围、权限由财政部门另行规定。</w:t>
      </w:r>
    </w:p>
    <w:p w14:paraId="62529AF6" w14:textId="65EFDB8A" w:rsidR="00FC0719" w:rsidRPr="00FC0719" w:rsidRDefault="003B2FB1" w:rsidP="00FC0719">
      <w:pPr>
        <w:pStyle w:val="13"/>
        <w:ind w:firstLine="482"/>
      </w:pPr>
      <w:r w:rsidRPr="003B2FB1">
        <w:rPr>
          <w:rFonts w:hint="eastAsia"/>
          <w:b/>
          <w:bCs/>
        </w:rPr>
        <w:t xml:space="preserve">第三十八条 </w:t>
      </w:r>
      <w:r w:rsidR="00FC0719" w:rsidRPr="00FC0719">
        <w:rPr>
          <w:rFonts w:hint="eastAsia"/>
        </w:rPr>
        <w:t>行政单位国有资产评估工作应当委托具有资产评估资质的资产评估机构进行。</w:t>
      </w:r>
    </w:p>
    <w:p w14:paraId="160FADDB" w14:textId="56FA5003" w:rsidR="00FC0719" w:rsidRPr="00FC0719" w:rsidRDefault="003B2FB1" w:rsidP="00FC0719">
      <w:pPr>
        <w:pStyle w:val="13"/>
        <w:ind w:firstLine="482"/>
      </w:pPr>
      <w:r w:rsidRPr="003B2FB1">
        <w:rPr>
          <w:rFonts w:hint="eastAsia"/>
          <w:b/>
          <w:bCs/>
        </w:rPr>
        <w:t xml:space="preserve">第三十九条 </w:t>
      </w:r>
      <w:r w:rsidR="00FC0719" w:rsidRPr="00FC0719">
        <w:rPr>
          <w:rFonts w:hint="eastAsia"/>
        </w:rPr>
        <w:t>进行资产评估的行政单位，应当如实提供有关情况和资料，并对所提供的情况和资料的客观性、真实性和合法性负责，不得以任何形式干预评估机构独</w:t>
      </w:r>
      <w:r w:rsidR="00FC0719" w:rsidRPr="00FC0719">
        <w:rPr>
          <w:rFonts w:hint="eastAsia"/>
        </w:rPr>
        <w:lastRenderedPageBreak/>
        <w:t>立执业。</w:t>
      </w:r>
    </w:p>
    <w:p w14:paraId="34A52DB6" w14:textId="4288FC6B" w:rsidR="00FC0719" w:rsidRPr="00FC0719" w:rsidRDefault="00FC0719" w:rsidP="00AF7342">
      <w:pPr>
        <w:pStyle w:val="a9"/>
        <w:spacing w:before="62" w:after="62"/>
      </w:pPr>
      <w:r w:rsidRPr="00FC0719">
        <w:rPr>
          <w:rFonts w:hint="eastAsia"/>
        </w:rPr>
        <w:t>第七</w:t>
      </w:r>
      <w:r>
        <w:rPr>
          <w:rFonts w:hint="eastAsia"/>
        </w:rPr>
        <w:t xml:space="preserve">章 </w:t>
      </w:r>
      <w:r w:rsidRPr="00FC0719">
        <w:rPr>
          <w:rFonts w:hint="eastAsia"/>
        </w:rPr>
        <w:t>产权纠纷调处</w:t>
      </w:r>
    </w:p>
    <w:p w14:paraId="3FD75E48" w14:textId="27A31490" w:rsidR="00FC0719" w:rsidRPr="00FC0719" w:rsidRDefault="003B2FB1" w:rsidP="00FC0719">
      <w:pPr>
        <w:pStyle w:val="13"/>
        <w:ind w:firstLine="482"/>
      </w:pPr>
      <w:r w:rsidRPr="003B2FB1">
        <w:rPr>
          <w:rFonts w:hint="eastAsia"/>
          <w:b/>
          <w:bCs/>
        </w:rPr>
        <w:t xml:space="preserve">第四十条 </w:t>
      </w:r>
      <w:r w:rsidR="00FC0719" w:rsidRPr="00FC0719">
        <w:rPr>
          <w:rFonts w:hint="eastAsia"/>
        </w:rPr>
        <w:t>产权纠纷是指由于财产所有权、经营权、使用权等产权归属不清而发生的争议。</w:t>
      </w:r>
    </w:p>
    <w:p w14:paraId="4448CEB7" w14:textId="7A0F1A45" w:rsidR="00FC0719" w:rsidRPr="00FC0719" w:rsidRDefault="003B2FB1" w:rsidP="00FC0719">
      <w:pPr>
        <w:pStyle w:val="13"/>
        <w:ind w:firstLine="482"/>
      </w:pPr>
      <w:r w:rsidRPr="003B2FB1">
        <w:rPr>
          <w:rFonts w:hint="eastAsia"/>
          <w:b/>
          <w:bCs/>
        </w:rPr>
        <w:t xml:space="preserve">第四十一条 </w:t>
      </w:r>
      <w:r w:rsidR="00FC0719" w:rsidRPr="00FC0719">
        <w:rPr>
          <w:rFonts w:hint="eastAsia"/>
        </w:rPr>
        <w:t>行政单位之间的产权纠纷，由当事人协商解决。协商不能解决的，由财政部门或者同级政府调解、裁定。</w:t>
      </w:r>
    </w:p>
    <w:p w14:paraId="382F2529" w14:textId="5F1FB470" w:rsidR="00FC0719" w:rsidRPr="00FC0719" w:rsidRDefault="003B2FB1" w:rsidP="00FC0719">
      <w:pPr>
        <w:pStyle w:val="13"/>
        <w:ind w:firstLine="482"/>
      </w:pPr>
      <w:r w:rsidRPr="003B2FB1">
        <w:rPr>
          <w:rFonts w:hint="eastAsia"/>
          <w:b/>
          <w:bCs/>
        </w:rPr>
        <w:t xml:space="preserve">第四十二条 </w:t>
      </w:r>
      <w:r w:rsidR="00FC0719" w:rsidRPr="00FC0719">
        <w:rPr>
          <w:rFonts w:hint="eastAsia"/>
        </w:rPr>
        <w:t>行政单位与非行政单位、组织或者个人之间发生产权纠纷，由行政单位提出处理意见，并报经财政部门同意后，与对方当事人协商解决。协商不能解决的，依照司法程序处理。</w:t>
      </w:r>
    </w:p>
    <w:p w14:paraId="4A5D225B" w14:textId="24025450" w:rsidR="00FC0719" w:rsidRPr="00FC0719" w:rsidRDefault="00FC0719" w:rsidP="00AF7342">
      <w:pPr>
        <w:pStyle w:val="a9"/>
        <w:spacing w:before="62" w:after="62"/>
      </w:pPr>
      <w:r w:rsidRPr="00FC0719">
        <w:rPr>
          <w:rFonts w:hint="eastAsia"/>
        </w:rPr>
        <w:t>第八</w:t>
      </w:r>
      <w:r>
        <w:rPr>
          <w:rFonts w:hint="eastAsia"/>
        </w:rPr>
        <w:t xml:space="preserve">章 </w:t>
      </w:r>
      <w:r w:rsidRPr="00FC0719">
        <w:rPr>
          <w:rFonts w:hint="eastAsia"/>
        </w:rPr>
        <w:t>资产统计报告</w:t>
      </w:r>
    </w:p>
    <w:p w14:paraId="71FBD120" w14:textId="770371BD" w:rsidR="00FC0719" w:rsidRPr="00FC0719" w:rsidRDefault="003B2FB1" w:rsidP="00FC0719">
      <w:pPr>
        <w:pStyle w:val="13"/>
        <w:ind w:firstLine="482"/>
      </w:pPr>
      <w:r w:rsidRPr="003B2FB1">
        <w:rPr>
          <w:rFonts w:hint="eastAsia"/>
          <w:b/>
          <w:bCs/>
        </w:rPr>
        <w:t xml:space="preserve">第四十三条 </w:t>
      </w:r>
      <w:r w:rsidR="00FC0719" w:rsidRPr="00FC0719">
        <w:rPr>
          <w:rFonts w:hint="eastAsia"/>
        </w:rPr>
        <w:t>行政单位应当建立资产登记档案，并严格按照财政部门的要求做出报告。</w:t>
      </w:r>
    </w:p>
    <w:p w14:paraId="6492B12F" w14:textId="206D1046" w:rsidR="00FC0719" w:rsidRPr="00FC0719" w:rsidRDefault="00FC0719" w:rsidP="00FC0719">
      <w:pPr>
        <w:pStyle w:val="13"/>
      </w:pPr>
      <w:r w:rsidRPr="00FC0719">
        <w:rPr>
          <w:rFonts w:hint="eastAsia"/>
        </w:rPr>
        <w:t>财政部门、行政单位应当建立和完善资产管理信息系统，对国有资产实行动态管理。</w:t>
      </w:r>
    </w:p>
    <w:p w14:paraId="6AA43BF4" w14:textId="619A1782" w:rsidR="00FC0719" w:rsidRPr="00FC0719" w:rsidRDefault="003B2FB1" w:rsidP="00FC0719">
      <w:pPr>
        <w:pStyle w:val="13"/>
        <w:ind w:firstLine="482"/>
      </w:pPr>
      <w:r w:rsidRPr="003B2FB1">
        <w:rPr>
          <w:rFonts w:hint="eastAsia"/>
          <w:b/>
          <w:bCs/>
        </w:rPr>
        <w:t xml:space="preserve">第四十四条 </w:t>
      </w:r>
      <w:r w:rsidR="00FC0719" w:rsidRPr="00FC0719">
        <w:rPr>
          <w:rFonts w:hint="eastAsia"/>
        </w:rPr>
        <w:t>行政单位报送资产统计报告，应当做到真实、准确、及时、完整，并对国有资产占有、使用、变动、处置等情况做出文字分析说明。</w:t>
      </w:r>
    </w:p>
    <w:p w14:paraId="399CDE5A" w14:textId="523B4744" w:rsidR="00FC0719" w:rsidRPr="00FC0719" w:rsidRDefault="00FC0719" w:rsidP="00FC0719">
      <w:pPr>
        <w:pStyle w:val="13"/>
      </w:pPr>
      <w:r w:rsidRPr="00FC0719">
        <w:rPr>
          <w:rFonts w:hint="eastAsia"/>
        </w:rPr>
        <w:t>财政部门与行政单位应当对国有资产实行绩效管理，监督资产使用的有效性。</w:t>
      </w:r>
    </w:p>
    <w:p w14:paraId="520AECF3" w14:textId="2697C43F" w:rsidR="00FC0719" w:rsidRPr="00FC0719" w:rsidRDefault="003B2FB1" w:rsidP="00FC0719">
      <w:pPr>
        <w:pStyle w:val="13"/>
        <w:ind w:firstLine="482"/>
      </w:pPr>
      <w:r w:rsidRPr="003B2FB1">
        <w:rPr>
          <w:rFonts w:hint="eastAsia"/>
          <w:b/>
          <w:bCs/>
        </w:rPr>
        <w:t xml:space="preserve">第四十五条 </w:t>
      </w:r>
      <w:r w:rsidR="00FC0719" w:rsidRPr="00FC0719">
        <w:rPr>
          <w:rFonts w:hint="eastAsia"/>
        </w:rPr>
        <w:t>财政部门应当对行政单位资产统计报告进行审核批复，必要时可以委托有关单位进行审计。</w:t>
      </w:r>
    </w:p>
    <w:p w14:paraId="08310058" w14:textId="2C259955" w:rsidR="00FC0719" w:rsidRPr="00FC0719" w:rsidRDefault="00FC0719" w:rsidP="00FC0719">
      <w:pPr>
        <w:pStyle w:val="13"/>
      </w:pPr>
      <w:r w:rsidRPr="00FC0719">
        <w:rPr>
          <w:rFonts w:hint="eastAsia"/>
        </w:rPr>
        <w:t>经财政部门审核批复的统计报告，应当作为预算管理和资产管理的依据和基础。</w:t>
      </w:r>
    </w:p>
    <w:p w14:paraId="5AE6F02E" w14:textId="16CB9C2A" w:rsidR="00FC0719" w:rsidRPr="00FC0719" w:rsidRDefault="003B2FB1" w:rsidP="00FC0719">
      <w:pPr>
        <w:pStyle w:val="13"/>
        <w:ind w:firstLine="482"/>
      </w:pPr>
      <w:r w:rsidRPr="003B2FB1">
        <w:rPr>
          <w:rFonts w:hint="eastAsia"/>
          <w:b/>
          <w:bCs/>
        </w:rPr>
        <w:t xml:space="preserve">第四十六条 </w:t>
      </w:r>
      <w:r w:rsidR="00FC0719" w:rsidRPr="00FC0719">
        <w:rPr>
          <w:rFonts w:hint="eastAsia"/>
        </w:rPr>
        <w:t>财政部门可以根据工作需要，组织开展资产清查工作。进行资产清查的实施办法，由县级以上人民政府财政部门另行制定。</w:t>
      </w:r>
    </w:p>
    <w:p w14:paraId="68990819" w14:textId="66CE2BF8" w:rsidR="00FC0719" w:rsidRPr="00FC0719" w:rsidRDefault="003B2FB1" w:rsidP="00FC0719">
      <w:pPr>
        <w:pStyle w:val="13"/>
        <w:ind w:firstLine="482"/>
      </w:pPr>
      <w:r w:rsidRPr="003B2FB1">
        <w:rPr>
          <w:rFonts w:hint="eastAsia"/>
          <w:b/>
          <w:bCs/>
        </w:rPr>
        <w:t xml:space="preserve">第四十七条 </w:t>
      </w:r>
      <w:r w:rsidR="00FC0719" w:rsidRPr="00FC0719">
        <w:rPr>
          <w:rFonts w:hint="eastAsia"/>
        </w:rPr>
        <w:t>财政部门可以根据国有资产统计工作的需要，开展行政单位国有资产产权登记工作。产权登记办法，</w:t>
      </w:r>
      <w:proofErr w:type="gramStart"/>
      <w:r w:rsidR="00FC0719" w:rsidRPr="00FC0719">
        <w:rPr>
          <w:rFonts w:hint="eastAsia"/>
        </w:rPr>
        <w:t>由开展</w:t>
      </w:r>
      <w:proofErr w:type="gramEnd"/>
      <w:r w:rsidR="00FC0719" w:rsidRPr="00FC0719">
        <w:rPr>
          <w:rFonts w:hint="eastAsia"/>
        </w:rPr>
        <w:t>产权登记的财政部门制定并负责组织实施。</w:t>
      </w:r>
    </w:p>
    <w:p w14:paraId="7E03FF4B" w14:textId="77777777" w:rsidR="00FC0719" w:rsidRPr="00FC0719" w:rsidRDefault="00FC0719" w:rsidP="00AF7342">
      <w:pPr>
        <w:pStyle w:val="a9"/>
        <w:spacing w:before="62" w:after="62"/>
      </w:pPr>
      <w:r w:rsidRPr="00FC0719">
        <w:rPr>
          <w:rFonts w:hint="eastAsia"/>
        </w:rPr>
        <w:t>第九章 监督检查和法律责任</w:t>
      </w:r>
    </w:p>
    <w:p w14:paraId="7A65E17F" w14:textId="4F498503" w:rsidR="00FC0719" w:rsidRPr="00FC0719" w:rsidRDefault="00FC0719" w:rsidP="00FC0719">
      <w:pPr>
        <w:pStyle w:val="13"/>
        <w:ind w:firstLine="482"/>
      </w:pPr>
      <w:r w:rsidRPr="00FC0719">
        <w:rPr>
          <w:rFonts w:hint="eastAsia"/>
          <w:b/>
          <w:bCs/>
        </w:rPr>
        <w:t>第四十八</w:t>
      </w:r>
      <w:r w:rsidRPr="004D6D32">
        <w:rPr>
          <w:rFonts w:hint="eastAsia"/>
          <w:b/>
          <w:bCs/>
        </w:rPr>
        <w:t>条</w:t>
      </w:r>
      <w:r>
        <w:rPr>
          <w:rFonts w:hint="eastAsia"/>
        </w:rPr>
        <w:t xml:space="preserve"> </w:t>
      </w:r>
      <w:r w:rsidRPr="00FC0719">
        <w:rPr>
          <w:rFonts w:hint="eastAsia"/>
        </w:rPr>
        <w:t>财政部门、行政单位及其工作人员，应当认真履行国有资产管理职责，依法维护国有资产的安全、完整。</w:t>
      </w:r>
    </w:p>
    <w:p w14:paraId="3188ABB7" w14:textId="528096A9" w:rsidR="00FC0719" w:rsidRPr="00FC0719" w:rsidRDefault="00FC0719" w:rsidP="00FC0719">
      <w:pPr>
        <w:pStyle w:val="13"/>
        <w:ind w:firstLine="482"/>
      </w:pPr>
      <w:r w:rsidRPr="00FC0719">
        <w:rPr>
          <w:rFonts w:hint="eastAsia"/>
          <w:b/>
          <w:bCs/>
        </w:rPr>
        <w:t>第四十九条</w:t>
      </w:r>
      <w:r w:rsidRPr="00FC0719">
        <w:rPr>
          <w:rFonts w:hint="eastAsia"/>
        </w:rPr>
        <w:t xml:space="preserve"> 财政部门、行政单位应当加强国有资产管理和监督，坚持单位内部监督与财政监督、审计监督、社会监督相结合，事前监督、事中监督、事后监督相结合，日常监督与专项检查相结合。</w:t>
      </w:r>
    </w:p>
    <w:p w14:paraId="63305894" w14:textId="26DD1996" w:rsidR="00FC0719" w:rsidRPr="00FC0719" w:rsidRDefault="00FC0719" w:rsidP="00FC0719">
      <w:pPr>
        <w:pStyle w:val="13"/>
        <w:ind w:firstLine="482"/>
      </w:pPr>
      <w:r w:rsidRPr="00FC0719">
        <w:rPr>
          <w:rFonts w:hint="eastAsia"/>
          <w:b/>
          <w:bCs/>
        </w:rPr>
        <w:t>第五十条</w:t>
      </w:r>
      <w:r w:rsidR="004D6D32">
        <w:rPr>
          <w:rFonts w:hint="eastAsia"/>
        </w:rPr>
        <w:t xml:space="preserve"> </w:t>
      </w:r>
      <w:r w:rsidRPr="00FC0719">
        <w:rPr>
          <w:rFonts w:hint="eastAsia"/>
        </w:rPr>
        <w:t>各级财政部门、行政单位及其工作人员在行政单位国有资产配置、使用、处置等管理工作中，存在违反本办法规定的行为，以及其他滥用职权、玩忽职守、徇私舞弊等违法违纪行为的，依照《中华人民共和国公务员法》《中华人民共和国行</w:t>
      </w:r>
      <w:r w:rsidRPr="00FC0719">
        <w:rPr>
          <w:rFonts w:hint="eastAsia"/>
        </w:rPr>
        <w:lastRenderedPageBreak/>
        <w:t>政监察法》《财政违法行为处罚处分条例》等国家有关规定追究相应责任；涉嫌犯罪的，依法移送司法机关处理。</w:t>
      </w:r>
    </w:p>
    <w:p w14:paraId="690D52D7" w14:textId="0B2B5A80" w:rsidR="00FC0719" w:rsidRPr="00FC0719" w:rsidRDefault="00FC0719" w:rsidP="00AF7342">
      <w:pPr>
        <w:pStyle w:val="a9"/>
        <w:spacing w:before="62" w:after="62"/>
      </w:pPr>
      <w:r w:rsidRPr="00FC0719">
        <w:rPr>
          <w:rFonts w:hint="eastAsia"/>
        </w:rPr>
        <w:t>第十</w:t>
      </w:r>
      <w:r>
        <w:rPr>
          <w:rFonts w:hint="eastAsia"/>
        </w:rPr>
        <w:t xml:space="preserve">章 </w:t>
      </w:r>
      <w:r w:rsidRPr="00FC0719">
        <w:rPr>
          <w:rFonts w:hint="eastAsia"/>
        </w:rPr>
        <w:t>附则</w:t>
      </w:r>
    </w:p>
    <w:p w14:paraId="3F3003BB" w14:textId="2A20B1AE" w:rsidR="00FC0719" w:rsidRPr="00FC0719" w:rsidRDefault="00FC0719" w:rsidP="00FC0719">
      <w:pPr>
        <w:pStyle w:val="13"/>
        <w:ind w:firstLine="482"/>
      </w:pPr>
      <w:r w:rsidRPr="00FC0719">
        <w:rPr>
          <w:rFonts w:hint="eastAsia"/>
          <w:b/>
          <w:bCs/>
        </w:rPr>
        <w:t>第五十一条</w:t>
      </w:r>
      <w:r w:rsidRPr="00FC0719">
        <w:rPr>
          <w:rFonts w:hint="eastAsia"/>
        </w:rPr>
        <w:t xml:space="preserve"> 参照公务员制度管理的事业单位和社会团体的国有资产管理依照本办法执行。</w:t>
      </w:r>
    </w:p>
    <w:p w14:paraId="300BFFEA" w14:textId="434D2359" w:rsidR="00FC0719" w:rsidRPr="00FC0719" w:rsidRDefault="00FC0719" w:rsidP="00FC0719">
      <w:pPr>
        <w:pStyle w:val="13"/>
        <w:ind w:firstLine="482"/>
      </w:pPr>
      <w:r w:rsidRPr="00FC0719">
        <w:rPr>
          <w:rFonts w:hint="eastAsia"/>
          <w:b/>
          <w:bCs/>
        </w:rPr>
        <w:t>第五十二</w:t>
      </w:r>
      <w:r w:rsidRPr="004D6D32">
        <w:rPr>
          <w:rFonts w:hint="eastAsia"/>
          <w:b/>
          <w:bCs/>
        </w:rPr>
        <w:t>条</w:t>
      </w:r>
      <w:r>
        <w:rPr>
          <w:rFonts w:hint="eastAsia"/>
        </w:rPr>
        <w:t xml:space="preserve"> </w:t>
      </w:r>
      <w:r w:rsidRPr="00FC0719">
        <w:rPr>
          <w:rFonts w:hint="eastAsia"/>
        </w:rPr>
        <w:t>行政单位所属独立核算的非公务员管理的事业单位执行事业单位国有资产管理的有关规定，独立核算的企业执行企业国有资产管理的有关规定，不执行本办法。</w:t>
      </w:r>
    </w:p>
    <w:p w14:paraId="57658BD3" w14:textId="0151DD96" w:rsidR="00FC0719" w:rsidRPr="00FC0719" w:rsidRDefault="00FC0719" w:rsidP="00FC0719">
      <w:pPr>
        <w:pStyle w:val="13"/>
        <w:ind w:firstLine="482"/>
      </w:pPr>
      <w:r w:rsidRPr="00FC0719">
        <w:rPr>
          <w:rFonts w:hint="eastAsia"/>
          <w:b/>
          <w:bCs/>
        </w:rPr>
        <w:t>第五十三</w:t>
      </w:r>
      <w:r w:rsidRPr="004D6D32">
        <w:rPr>
          <w:rFonts w:hint="eastAsia"/>
          <w:b/>
          <w:bCs/>
        </w:rPr>
        <w:t>条</w:t>
      </w:r>
      <w:r>
        <w:rPr>
          <w:rFonts w:hint="eastAsia"/>
        </w:rPr>
        <w:t xml:space="preserve"> </w:t>
      </w:r>
      <w:r w:rsidRPr="00FC0719">
        <w:rPr>
          <w:rFonts w:hint="eastAsia"/>
        </w:rPr>
        <w:t>地方财政部门可以根据本办法及上级财政部门有关国有资产管理的规定，制定本地区和本级行政单位国有资产管理的规章制度，并报上一级财政部门备案。</w:t>
      </w:r>
    </w:p>
    <w:p w14:paraId="6DB1F2FE" w14:textId="3CAE6536" w:rsidR="00FC0719" w:rsidRPr="00FC0719" w:rsidRDefault="00FC0719" w:rsidP="00FC0719">
      <w:pPr>
        <w:pStyle w:val="13"/>
        <w:ind w:firstLine="482"/>
      </w:pPr>
      <w:r w:rsidRPr="00FC0719">
        <w:rPr>
          <w:rFonts w:hint="eastAsia"/>
          <w:b/>
          <w:bCs/>
        </w:rPr>
        <w:t>第五十四条</w:t>
      </w:r>
      <w:r w:rsidRPr="00FC0719">
        <w:rPr>
          <w:rFonts w:hint="eastAsia"/>
        </w:rPr>
        <w:t xml:space="preserve"> 行政单位境外国有资产管理办法由财政部另行制定。</w:t>
      </w:r>
    </w:p>
    <w:p w14:paraId="5EC3F634" w14:textId="096D986C" w:rsidR="00FC0719" w:rsidRPr="00FC0719" w:rsidRDefault="00FC0719" w:rsidP="00FC0719">
      <w:pPr>
        <w:pStyle w:val="13"/>
      </w:pPr>
      <w:r w:rsidRPr="00FC0719">
        <w:rPr>
          <w:rFonts w:hint="eastAsia"/>
        </w:rPr>
        <w:t>中央级行政单位的国有资产管理实施办法，由财政部会同有关部门根据本办法制定。</w:t>
      </w:r>
    </w:p>
    <w:p w14:paraId="1EC91384" w14:textId="4C7D10F8" w:rsidR="00FC0719" w:rsidRPr="00FC0719" w:rsidRDefault="00FC0719" w:rsidP="00FC0719">
      <w:pPr>
        <w:pStyle w:val="13"/>
        <w:ind w:firstLine="482"/>
      </w:pPr>
      <w:r w:rsidRPr="00FC0719">
        <w:rPr>
          <w:rFonts w:hint="eastAsia"/>
          <w:b/>
          <w:bCs/>
        </w:rPr>
        <w:t>第五十五条</w:t>
      </w:r>
      <w:r w:rsidRPr="00FC0719">
        <w:rPr>
          <w:rFonts w:hint="eastAsia"/>
        </w:rPr>
        <w:t xml:space="preserve"> 中国人民解放军等特定单位占有、使用的国有资产的管理办法，由解放军总后勤部等有关部门会同财政部另行制定。</w:t>
      </w:r>
    </w:p>
    <w:p w14:paraId="22FE74A3" w14:textId="7500DA99" w:rsidR="00FC0719" w:rsidRPr="00FC0719" w:rsidRDefault="00FC0719" w:rsidP="00FC0719">
      <w:pPr>
        <w:pStyle w:val="13"/>
        <w:ind w:firstLine="482"/>
      </w:pPr>
      <w:r w:rsidRPr="00FC0719">
        <w:rPr>
          <w:rFonts w:hint="eastAsia"/>
          <w:b/>
          <w:bCs/>
        </w:rPr>
        <w:t>第五十六</w:t>
      </w:r>
      <w:r w:rsidRPr="004D6D32">
        <w:rPr>
          <w:rFonts w:hint="eastAsia"/>
          <w:b/>
          <w:bCs/>
        </w:rPr>
        <w:t>条</w:t>
      </w:r>
      <w:r>
        <w:rPr>
          <w:rFonts w:hint="eastAsia"/>
        </w:rPr>
        <w:t xml:space="preserve"> </w:t>
      </w:r>
      <w:r w:rsidRPr="00FC0719">
        <w:rPr>
          <w:rFonts w:hint="eastAsia"/>
        </w:rPr>
        <w:t>本办法自2006年7月1日起施行。此前颁布的有关行政单位国有资产管理的规章制度，凡与本办法相抵触的，以本办法为准。</w:t>
      </w:r>
    </w:p>
    <w:p w14:paraId="4E8A433A" w14:textId="12A4E36C" w:rsidR="00FE2C85" w:rsidRPr="00FC0719" w:rsidRDefault="00664F05" w:rsidP="00664F05">
      <w:pPr>
        <w:pStyle w:val="31"/>
        <w:spacing w:before="156" w:after="62"/>
      </w:pPr>
      <w:bookmarkStart w:id="242" w:name="_Toc81833475"/>
      <w:r w:rsidRPr="00664F05">
        <w:rPr>
          <w:rFonts w:hint="eastAsia"/>
        </w:rPr>
        <w:t>《事业单位国有资产管理暂行办法》</w:t>
      </w:r>
      <w:r>
        <w:rPr>
          <w:rFonts w:hint="eastAsia"/>
        </w:rPr>
        <w:t>（</w:t>
      </w:r>
      <w:r w:rsidRPr="00664F05">
        <w:rPr>
          <w:rFonts w:hint="eastAsia"/>
        </w:rPr>
        <w:t>财政部令第</w:t>
      </w:r>
      <w:r w:rsidRPr="00664F05">
        <w:t>100号</w:t>
      </w:r>
      <w:r>
        <w:rPr>
          <w:rFonts w:hint="eastAsia"/>
        </w:rPr>
        <w:t>）</w:t>
      </w:r>
      <w:bookmarkEnd w:id="242"/>
    </w:p>
    <w:p w14:paraId="60FA2881" w14:textId="63558166" w:rsidR="00FE2C85" w:rsidRDefault="00664F05" w:rsidP="00882ED4">
      <w:pPr>
        <w:pStyle w:val="13"/>
      </w:pPr>
      <w:r w:rsidRPr="00664F05">
        <w:rPr>
          <w:rFonts w:hint="eastAsia"/>
        </w:rPr>
        <w:t>《财政部关于修改</w:t>
      </w:r>
      <w:r w:rsidRPr="00664F05">
        <w:t>&lt;事业单位国有资产管理暂行办法&gt;的决定》已经财政部部务会议审议通过，现予公布，自公布之日起施行。</w:t>
      </w:r>
    </w:p>
    <w:p w14:paraId="0080C742" w14:textId="77777777" w:rsidR="00664F05" w:rsidRDefault="00664F05" w:rsidP="00664F05">
      <w:pPr>
        <w:pStyle w:val="13"/>
        <w:jc w:val="right"/>
      </w:pPr>
      <w:r>
        <w:rPr>
          <w:rFonts w:hint="eastAsia"/>
        </w:rPr>
        <w:t>部长</w:t>
      </w:r>
      <w:r>
        <w:t xml:space="preserve"> 刘昆</w:t>
      </w:r>
    </w:p>
    <w:p w14:paraId="68C06782" w14:textId="6768DBDB" w:rsidR="00FE2C85" w:rsidRDefault="00664F05" w:rsidP="00664F05">
      <w:pPr>
        <w:pStyle w:val="13"/>
        <w:jc w:val="right"/>
      </w:pPr>
      <w:r>
        <w:t>2019年3月29日</w:t>
      </w:r>
    </w:p>
    <w:p w14:paraId="432F907C" w14:textId="77777777" w:rsidR="00664F05" w:rsidRPr="00664F05" w:rsidRDefault="00664F05" w:rsidP="00AF7342">
      <w:pPr>
        <w:pStyle w:val="a9"/>
        <w:spacing w:before="62" w:after="62"/>
      </w:pPr>
      <w:r w:rsidRPr="00664F05">
        <w:rPr>
          <w:rFonts w:hint="eastAsia"/>
        </w:rPr>
        <w:t>财政部关于修改《事业单位国有资产管理暂行办法》的决定</w:t>
      </w:r>
    </w:p>
    <w:p w14:paraId="12C6BED0" w14:textId="77777777" w:rsidR="00664F05" w:rsidRPr="00664F05" w:rsidRDefault="00664F05" w:rsidP="00664F05">
      <w:pPr>
        <w:pStyle w:val="13"/>
      </w:pPr>
      <w:r w:rsidRPr="00664F05">
        <w:rPr>
          <w:rFonts w:hint="eastAsia"/>
        </w:rPr>
        <w:t>财政部部务会议决定，对《事业单位国有资产管理暂行办法》</w:t>
      </w:r>
      <w:proofErr w:type="gramStart"/>
      <w:r w:rsidRPr="00664F05">
        <w:rPr>
          <w:rFonts w:hint="eastAsia"/>
        </w:rPr>
        <w:t>作出</w:t>
      </w:r>
      <w:proofErr w:type="gramEnd"/>
      <w:r w:rsidRPr="00664F05">
        <w:rPr>
          <w:rFonts w:hint="eastAsia"/>
        </w:rPr>
        <w:t>修改：</w:t>
      </w:r>
    </w:p>
    <w:p w14:paraId="6D92FC43" w14:textId="77777777" w:rsidR="00664F05" w:rsidRPr="00664F05" w:rsidRDefault="00664F05" w:rsidP="00664F05">
      <w:pPr>
        <w:pStyle w:val="13"/>
      </w:pPr>
      <w:r w:rsidRPr="00664F05">
        <w:rPr>
          <w:rFonts w:hint="eastAsia"/>
        </w:rPr>
        <w:t>一、将第二十一条第一款修改为：“事业单位利用国有资产对外投资、出租、出借和担保等应当进行必要的可行性论证，并提出申请，经主管部门审核同意后，报同级财政部门审批。法律、行政法规和本办法第五十六条另有规定的，依照其规定。”</w:t>
      </w:r>
    </w:p>
    <w:p w14:paraId="3AE49A37" w14:textId="77777777" w:rsidR="00664F05" w:rsidRPr="00664F05" w:rsidRDefault="00664F05" w:rsidP="00664F05">
      <w:pPr>
        <w:pStyle w:val="13"/>
      </w:pPr>
      <w:r w:rsidRPr="00664F05">
        <w:rPr>
          <w:rFonts w:hint="eastAsia"/>
        </w:rPr>
        <w:t>二、将第二十三条修改为：“除本办法第五十六条及国家另有规定外，事业单位对外投资收益以及利用国有资产出租、出借和担保等取得的收入应当纳入单位预算，统一核算，统一管理。”</w:t>
      </w:r>
    </w:p>
    <w:p w14:paraId="6EFCFDD4" w14:textId="77777777" w:rsidR="00664F05" w:rsidRPr="00664F05" w:rsidRDefault="00664F05" w:rsidP="00664F05">
      <w:pPr>
        <w:pStyle w:val="13"/>
      </w:pPr>
      <w:r w:rsidRPr="00664F05">
        <w:rPr>
          <w:rFonts w:hint="eastAsia"/>
        </w:rPr>
        <w:t>三、将第二十五条修改为：“除本办法第五十六条另有规定外，事业单位处置国有资产，应当严格履行审批手续，未经批准不得自行处置。”</w:t>
      </w:r>
    </w:p>
    <w:p w14:paraId="7AA2A3A6" w14:textId="77777777" w:rsidR="00664F05" w:rsidRPr="00664F05" w:rsidRDefault="00664F05" w:rsidP="00664F05">
      <w:pPr>
        <w:pStyle w:val="13"/>
      </w:pPr>
      <w:r w:rsidRPr="00664F05">
        <w:rPr>
          <w:rFonts w:hint="eastAsia"/>
        </w:rPr>
        <w:lastRenderedPageBreak/>
        <w:t>四、将第二十六条修改为：“事业单位占有、使用的房屋建筑物、土地和车辆的处置，货币性资产损失的核销，以及单位价值或者批量价值在规定限额以上的资产的处置，经主管部门审核后报同级财政部门审批；规定限额以下的资产的处置报主管部门审批，主管部门将审批结果定期报同级财政部门备案。法律、行政法规和本办法第五十六条另有规定的，依照其规定。”</w:t>
      </w:r>
    </w:p>
    <w:p w14:paraId="4C6D1E66" w14:textId="77777777" w:rsidR="00664F05" w:rsidRPr="00664F05" w:rsidRDefault="00664F05" w:rsidP="00664F05">
      <w:pPr>
        <w:pStyle w:val="13"/>
      </w:pPr>
      <w:r w:rsidRPr="00664F05">
        <w:rPr>
          <w:rFonts w:hint="eastAsia"/>
        </w:rPr>
        <w:t>五、将第二十九条修改为：“除本办法第五十六条另有规定外，事业单位国有资产处置收入属于国家所有，应当按照政府非税收入管理的规定，实行‘收支两条线’管理。”</w:t>
      </w:r>
    </w:p>
    <w:p w14:paraId="11341C14" w14:textId="77777777" w:rsidR="00664F05" w:rsidRPr="00664F05" w:rsidRDefault="00664F05" w:rsidP="00664F05">
      <w:pPr>
        <w:pStyle w:val="13"/>
      </w:pPr>
      <w:r w:rsidRPr="00664F05">
        <w:rPr>
          <w:rFonts w:hint="eastAsia"/>
        </w:rPr>
        <w:t>六、将第三十九条第三项修改为第四项，增加一项作为第三项：“（三）国家设立的研究开发机构、高等院校将其持有的科技成果转让、许可或者作价投资给国有全资企业的；”。</w:t>
      </w:r>
    </w:p>
    <w:p w14:paraId="1725E9C2" w14:textId="77777777" w:rsidR="00664F05" w:rsidRPr="00664F05" w:rsidRDefault="00664F05" w:rsidP="00664F05">
      <w:pPr>
        <w:pStyle w:val="13"/>
      </w:pPr>
      <w:r w:rsidRPr="00664F05">
        <w:rPr>
          <w:rFonts w:hint="eastAsia"/>
        </w:rPr>
        <w:t>七、增加一条，作为第四十条：“国家设立的研究开发机构、高等院校将其持有的科技成果转让、许可或者作价投资给非国有全资企业的，由单位自主决定是否进行资产评估。”</w:t>
      </w:r>
    </w:p>
    <w:p w14:paraId="24857DB0" w14:textId="77777777" w:rsidR="00664F05" w:rsidRPr="00664F05" w:rsidRDefault="00664F05" w:rsidP="00664F05">
      <w:pPr>
        <w:pStyle w:val="13"/>
      </w:pPr>
      <w:r w:rsidRPr="00664F05">
        <w:rPr>
          <w:rFonts w:hint="eastAsia"/>
        </w:rPr>
        <w:t>八、将第五十一条修改为第五十二条，第四项修改为第五项，增加一项作为第四项：“（四）通过串通作弊、暗箱操作等低价处置国有资产的；”。</w:t>
      </w:r>
    </w:p>
    <w:p w14:paraId="303383FB" w14:textId="77777777" w:rsidR="00664F05" w:rsidRPr="00664F05" w:rsidRDefault="00664F05" w:rsidP="00664F05">
      <w:pPr>
        <w:pStyle w:val="13"/>
      </w:pPr>
      <w:r w:rsidRPr="00664F05">
        <w:rPr>
          <w:rFonts w:hint="eastAsia"/>
        </w:rPr>
        <w:t>九、将第五十二条修改为第五十三条，将本条中的“《中华人民共和国行政监察法》”修改为“《中华人民共和国监察法》”。</w:t>
      </w:r>
    </w:p>
    <w:p w14:paraId="435B131E" w14:textId="77777777" w:rsidR="00664F05" w:rsidRPr="00664F05" w:rsidRDefault="00664F05" w:rsidP="00664F05">
      <w:pPr>
        <w:pStyle w:val="13"/>
      </w:pPr>
      <w:r w:rsidRPr="00664F05">
        <w:rPr>
          <w:rFonts w:hint="eastAsia"/>
        </w:rPr>
        <w:t>十、增加一条，作为第五十六条：“国家设立的研究开发机构、高等院校对其持有的科技成果，可以自主决定转让、许可或者作价投资，不需报主管部门、财政部门审批或者备案，并通过协议定价、在技术交易市场挂牌交易、拍卖等方式确定价格。通过协议定价的，应当在本单位公示科技成果名称和</w:t>
      </w:r>
      <w:proofErr w:type="gramStart"/>
      <w:r w:rsidRPr="00664F05">
        <w:rPr>
          <w:rFonts w:hint="eastAsia"/>
        </w:rPr>
        <w:t>拟交易</w:t>
      </w:r>
      <w:proofErr w:type="gramEnd"/>
      <w:r w:rsidRPr="00664F05">
        <w:rPr>
          <w:rFonts w:hint="eastAsia"/>
        </w:rPr>
        <w:t>价格。</w:t>
      </w:r>
    </w:p>
    <w:p w14:paraId="17F9450F" w14:textId="77777777" w:rsidR="00664F05" w:rsidRPr="00664F05" w:rsidRDefault="00664F05" w:rsidP="00664F05">
      <w:pPr>
        <w:pStyle w:val="13"/>
      </w:pPr>
      <w:r w:rsidRPr="00664F05">
        <w:rPr>
          <w:rFonts w:hint="eastAsia"/>
        </w:rPr>
        <w:t>“国家设立的研究开发机构、高等院校转化科技成果所获得的收入全部留归本单位。”</w:t>
      </w:r>
    </w:p>
    <w:p w14:paraId="50DB1E26" w14:textId="77777777" w:rsidR="00664F05" w:rsidRPr="00664F05" w:rsidRDefault="00664F05" w:rsidP="00664F05">
      <w:pPr>
        <w:pStyle w:val="13"/>
      </w:pPr>
      <w:r w:rsidRPr="00664F05">
        <w:rPr>
          <w:rFonts w:hint="eastAsia"/>
        </w:rPr>
        <w:t>本决定自公布之日起施行。</w:t>
      </w:r>
    </w:p>
    <w:p w14:paraId="01207F82" w14:textId="77777777" w:rsidR="00664F05" w:rsidRPr="00664F05" w:rsidRDefault="00664F05" w:rsidP="00664F05">
      <w:pPr>
        <w:pStyle w:val="13"/>
      </w:pPr>
      <w:r w:rsidRPr="00664F05">
        <w:rPr>
          <w:rFonts w:hint="eastAsia"/>
        </w:rPr>
        <w:t>《事业单位国有资产管理暂行办法》根据本决定作相应修改，重新公布。</w:t>
      </w:r>
    </w:p>
    <w:p w14:paraId="7CE42603" w14:textId="77777777" w:rsidR="00664F05" w:rsidRPr="00664F05" w:rsidRDefault="00664F05" w:rsidP="00AF7342">
      <w:pPr>
        <w:pStyle w:val="a9"/>
        <w:spacing w:before="62" w:after="62"/>
      </w:pPr>
      <w:r w:rsidRPr="00664F05">
        <w:rPr>
          <w:rFonts w:hint="eastAsia"/>
        </w:rPr>
        <w:t>事业单位国有资产管理暂行办法</w:t>
      </w:r>
    </w:p>
    <w:p w14:paraId="57932B0A" w14:textId="77777777" w:rsidR="00664F05" w:rsidRPr="00664F05" w:rsidRDefault="00664F05" w:rsidP="00664F05">
      <w:pPr>
        <w:pStyle w:val="13"/>
      </w:pPr>
      <w:r w:rsidRPr="00664F05">
        <w:rPr>
          <w:rFonts w:hint="eastAsia"/>
        </w:rPr>
        <w:t>（2006年5月30日财政部令第36号公布 根据2017年12月4日财政部令第90号《财政部关于修改〈注册会计师注册办法〉等6部规章的决定》第一次修改 根据2019年3月29日《财政部关于修改&lt;事业单位国有资产管理暂行办法&gt;的决定》第二次修改）</w:t>
      </w:r>
    </w:p>
    <w:p w14:paraId="43E6F27A" w14:textId="77777777" w:rsidR="00664F05" w:rsidRPr="00664F05" w:rsidRDefault="00664F05" w:rsidP="00AF7342">
      <w:pPr>
        <w:pStyle w:val="a9"/>
        <w:spacing w:before="62" w:after="62"/>
      </w:pPr>
      <w:r w:rsidRPr="00664F05">
        <w:rPr>
          <w:rFonts w:hint="eastAsia"/>
        </w:rPr>
        <w:t>第一章 总则</w:t>
      </w:r>
    </w:p>
    <w:p w14:paraId="0DF115FA" w14:textId="451B479A" w:rsidR="00664F05" w:rsidRPr="00664F05" w:rsidRDefault="004E3EBB" w:rsidP="00664F05">
      <w:pPr>
        <w:pStyle w:val="13"/>
        <w:ind w:firstLine="482"/>
      </w:pPr>
      <w:r w:rsidRPr="004E3EBB">
        <w:rPr>
          <w:rFonts w:hint="eastAsia"/>
          <w:b/>
          <w:bCs/>
        </w:rPr>
        <w:t xml:space="preserve">第一条 </w:t>
      </w:r>
      <w:r w:rsidR="00664F05" w:rsidRPr="00664F05">
        <w:rPr>
          <w:rFonts w:hint="eastAsia"/>
        </w:rPr>
        <w:t>为了规范和加强事业单位国有资产管理，维护国有资产的安全完整，合</w:t>
      </w:r>
      <w:r w:rsidR="00664F05" w:rsidRPr="00664F05">
        <w:rPr>
          <w:rFonts w:hint="eastAsia"/>
        </w:rPr>
        <w:lastRenderedPageBreak/>
        <w:t>理配置和有效利用国有资产，保障和促进各项事业发展，建立适应社会主义市场经济和公共财政要求的事业单位国有资产管理体制，根据国务院有关规定，制定本办法。</w:t>
      </w:r>
    </w:p>
    <w:p w14:paraId="74E4E19F" w14:textId="0EF953B3" w:rsidR="00664F05" w:rsidRPr="00664F05" w:rsidRDefault="004E3EBB" w:rsidP="00664F05">
      <w:pPr>
        <w:pStyle w:val="13"/>
        <w:ind w:firstLine="482"/>
      </w:pPr>
      <w:r w:rsidRPr="004E3EBB">
        <w:rPr>
          <w:rFonts w:hint="eastAsia"/>
          <w:b/>
          <w:bCs/>
        </w:rPr>
        <w:t xml:space="preserve">第二条 </w:t>
      </w:r>
      <w:r w:rsidR="00664F05" w:rsidRPr="00664F05">
        <w:rPr>
          <w:rFonts w:hint="eastAsia"/>
        </w:rPr>
        <w:t>本办法适用于各级各类事业单位的国有资产管理活动。</w:t>
      </w:r>
    </w:p>
    <w:p w14:paraId="0BB08DBF" w14:textId="397D1FCD" w:rsidR="00664F05" w:rsidRPr="00664F05" w:rsidRDefault="004E3EBB" w:rsidP="00664F05">
      <w:pPr>
        <w:pStyle w:val="13"/>
        <w:ind w:firstLine="482"/>
      </w:pPr>
      <w:r w:rsidRPr="004E3EBB">
        <w:rPr>
          <w:rFonts w:hint="eastAsia"/>
          <w:b/>
          <w:bCs/>
        </w:rPr>
        <w:t xml:space="preserve">第三条 </w:t>
      </w:r>
      <w:r w:rsidR="00664F05" w:rsidRPr="00664F05">
        <w:rPr>
          <w:rFonts w:hint="eastAsia"/>
        </w:rPr>
        <w:t>本办法所称的事业单位国有资产，是指事业单位占有、使用的，依法确认为国家所有，能以货币计量的各种经济资源的总称，即事业单位的国有（公共）财产。</w:t>
      </w:r>
    </w:p>
    <w:p w14:paraId="0F3A8AF7" w14:textId="77777777" w:rsidR="00664F05" w:rsidRPr="00664F05" w:rsidRDefault="00664F05" w:rsidP="00664F05">
      <w:pPr>
        <w:pStyle w:val="13"/>
      </w:pPr>
      <w:r w:rsidRPr="00664F05">
        <w:rPr>
          <w:rFonts w:hint="eastAsia"/>
        </w:rPr>
        <w:t>事业单位国有资产包括国家拨给事业单位的资产，事业单位按照国家规定运用国有资产组织收入形成的资产，以及接受捐赠和其他经法律确认为国家所有的资产，其表现形式为流动资产、固定资产、无形资产和对外投资等。</w:t>
      </w:r>
    </w:p>
    <w:p w14:paraId="53F1F082" w14:textId="10C9278A" w:rsidR="00664F05" w:rsidRPr="00664F05" w:rsidRDefault="004E3EBB" w:rsidP="00664F05">
      <w:pPr>
        <w:pStyle w:val="13"/>
        <w:ind w:firstLine="482"/>
      </w:pPr>
      <w:r w:rsidRPr="004E3EBB">
        <w:rPr>
          <w:rFonts w:hint="eastAsia"/>
          <w:b/>
          <w:bCs/>
        </w:rPr>
        <w:t xml:space="preserve">第四条 </w:t>
      </w:r>
      <w:r w:rsidR="00664F05" w:rsidRPr="00664F05">
        <w:rPr>
          <w:rFonts w:hint="eastAsia"/>
        </w:rPr>
        <w:t>事业单位国有资产管理活动，应当坚持资产管理与预算管理相结合的原则，推行实物费用定额制度，促进事业资产整合与共享共用，实现资产管理和预算管理的紧密统一；应当坚持所有权和使用权相分离的原则；应当坚持资产管理与财务管理、实物管理与价值管理相结合的原则。</w:t>
      </w:r>
    </w:p>
    <w:p w14:paraId="03A48FB6" w14:textId="71298775" w:rsidR="00664F05" w:rsidRPr="00664F05" w:rsidRDefault="004E3EBB" w:rsidP="00664F05">
      <w:pPr>
        <w:pStyle w:val="13"/>
        <w:ind w:firstLine="482"/>
      </w:pPr>
      <w:r w:rsidRPr="004E3EBB">
        <w:rPr>
          <w:rFonts w:hint="eastAsia"/>
          <w:b/>
          <w:bCs/>
        </w:rPr>
        <w:t xml:space="preserve">第五条 </w:t>
      </w:r>
      <w:r w:rsidR="00664F05" w:rsidRPr="00664F05">
        <w:rPr>
          <w:rFonts w:hint="eastAsia"/>
        </w:rPr>
        <w:t>事业单位国有资产实行国家统一所有，政府分级监管，单位占有、使用的管理体制。</w:t>
      </w:r>
    </w:p>
    <w:p w14:paraId="5B29DC7B" w14:textId="77777777" w:rsidR="00664F05" w:rsidRPr="00664F05" w:rsidRDefault="00664F05" w:rsidP="00AF7342">
      <w:pPr>
        <w:pStyle w:val="a9"/>
        <w:spacing w:before="62" w:after="62"/>
      </w:pPr>
      <w:r w:rsidRPr="00664F05">
        <w:rPr>
          <w:rFonts w:hint="eastAsia"/>
        </w:rPr>
        <w:t>第二章 管理机构及其职责</w:t>
      </w:r>
    </w:p>
    <w:p w14:paraId="6FFC50B1" w14:textId="02B08ADE" w:rsidR="00664F05" w:rsidRPr="00664F05" w:rsidRDefault="004E3EBB" w:rsidP="00664F05">
      <w:pPr>
        <w:pStyle w:val="13"/>
        <w:ind w:firstLine="482"/>
      </w:pPr>
      <w:r w:rsidRPr="004E3EBB">
        <w:rPr>
          <w:rFonts w:hint="eastAsia"/>
          <w:b/>
          <w:bCs/>
        </w:rPr>
        <w:t xml:space="preserve">第六条 </w:t>
      </w:r>
      <w:r w:rsidR="00664F05" w:rsidRPr="00664F05">
        <w:rPr>
          <w:rFonts w:hint="eastAsia"/>
        </w:rPr>
        <w:t>各级财政部门是政府负责事业单位国有资产管理的职能部门，对事业单位的国有资产实施综合管理。其主要职责是：</w:t>
      </w:r>
    </w:p>
    <w:p w14:paraId="3DB099BA" w14:textId="77777777" w:rsidR="00664F05" w:rsidRPr="00664F05" w:rsidRDefault="00664F05" w:rsidP="00664F05">
      <w:pPr>
        <w:pStyle w:val="13"/>
      </w:pPr>
      <w:r w:rsidRPr="00664F05">
        <w:rPr>
          <w:rFonts w:hint="eastAsia"/>
        </w:rPr>
        <w:t>（一）根据国家有关国有资产管理的规定，制定事业单位国有资产管理的规章制度，并组织实施和监督检查；</w:t>
      </w:r>
    </w:p>
    <w:p w14:paraId="3B063F20" w14:textId="77777777" w:rsidR="00664F05" w:rsidRPr="00664F05" w:rsidRDefault="00664F05" w:rsidP="00664F05">
      <w:pPr>
        <w:pStyle w:val="13"/>
      </w:pPr>
      <w:r w:rsidRPr="00664F05">
        <w:rPr>
          <w:rFonts w:hint="eastAsia"/>
        </w:rPr>
        <w:t>（二）研究制定本级事业单位实物资产配置标准和相关的费用标准，组织本级事业单位国有资产的产权登记、产权界定、产权纠纷调处、资产评估监管、资产清查和统计报告等基础管理工作；</w:t>
      </w:r>
    </w:p>
    <w:p w14:paraId="79B07E32" w14:textId="77777777" w:rsidR="00664F05" w:rsidRPr="00664F05" w:rsidRDefault="00664F05" w:rsidP="00664F05">
      <w:pPr>
        <w:pStyle w:val="13"/>
      </w:pPr>
      <w:r w:rsidRPr="00664F05">
        <w:rPr>
          <w:rFonts w:hint="eastAsia"/>
        </w:rPr>
        <w:t>（三）按规定权限审批本级事业单位有关资产购置、处置和利用国有资产对外投资、出租、出借和担保等事项，组织事业单位长期闲置、低效运转和超标准配置资产的调剂工作，建立事业单位国有资产整合、共享、共用机制；</w:t>
      </w:r>
    </w:p>
    <w:p w14:paraId="02E640A0" w14:textId="77777777" w:rsidR="00664F05" w:rsidRPr="00664F05" w:rsidRDefault="00664F05" w:rsidP="00664F05">
      <w:pPr>
        <w:pStyle w:val="13"/>
      </w:pPr>
      <w:r w:rsidRPr="00664F05">
        <w:rPr>
          <w:rFonts w:hint="eastAsia"/>
        </w:rPr>
        <w:t>（四）推进本级有条件的事业单位实现国有资产的市场化、社会化，加强</w:t>
      </w:r>
      <w:proofErr w:type="gramStart"/>
      <w:r w:rsidRPr="00664F05">
        <w:rPr>
          <w:rFonts w:hint="eastAsia"/>
        </w:rPr>
        <w:t>事业单位转企改制</w:t>
      </w:r>
      <w:proofErr w:type="gramEnd"/>
      <w:r w:rsidRPr="00664F05">
        <w:rPr>
          <w:rFonts w:hint="eastAsia"/>
        </w:rPr>
        <w:t>工作中国有资产的监督管理；</w:t>
      </w:r>
    </w:p>
    <w:p w14:paraId="5649E25C" w14:textId="77777777" w:rsidR="00664F05" w:rsidRPr="00664F05" w:rsidRDefault="00664F05" w:rsidP="00664F05">
      <w:pPr>
        <w:pStyle w:val="13"/>
      </w:pPr>
      <w:r w:rsidRPr="00664F05">
        <w:rPr>
          <w:rFonts w:hint="eastAsia"/>
        </w:rPr>
        <w:t>（五）负责本级事业单位国有资产收益的监督管理；</w:t>
      </w:r>
    </w:p>
    <w:p w14:paraId="6B7DD204" w14:textId="77777777" w:rsidR="00664F05" w:rsidRPr="00664F05" w:rsidRDefault="00664F05" w:rsidP="00664F05">
      <w:pPr>
        <w:pStyle w:val="13"/>
      </w:pPr>
      <w:r w:rsidRPr="00664F05">
        <w:rPr>
          <w:rFonts w:hint="eastAsia"/>
        </w:rPr>
        <w:t>（六）建立和完善事业单位国有资产管理信息系统，对事业单位国有资产实行动态管理；</w:t>
      </w:r>
    </w:p>
    <w:p w14:paraId="54EED831" w14:textId="77777777" w:rsidR="00664F05" w:rsidRPr="00664F05" w:rsidRDefault="00664F05" w:rsidP="00664F05">
      <w:pPr>
        <w:pStyle w:val="13"/>
      </w:pPr>
      <w:r w:rsidRPr="00664F05">
        <w:rPr>
          <w:rFonts w:hint="eastAsia"/>
        </w:rPr>
        <w:t>（七）研究建立事业单位国有资产安全性、完整性和使用有效性的评价方法、评价标准和评价机制，对事业单位国有资产实行绩效管理；</w:t>
      </w:r>
    </w:p>
    <w:p w14:paraId="69E8A9A3" w14:textId="77777777" w:rsidR="00664F05" w:rsidRPr="00664F05" w:rsidRDefault="00664F05" w:rsidP="00664F05">
      <w:pPr>
        <w:pStyle w:val="13"/>
      </w:pPr>
      <w:r w:rsidRPr="00664F05">
        <w:rPr>
          <w:rFonts w:hint="eastAsia"/>
        </w:rPr>
        <w:t>（八）监督、指导本级事业单位及其主管部门、下级财政部门的国有资产管理工</w:t>
      </w:r>
      <w:r w:rsidRPr="00664F05">
        <w:rPr>
          <w:rFonts w:hint="eastAsia"/>
        </w:rPr>
        <w:lastRenderedPageBreak/>
        <w:t>作。</w:t>
      </w:r>
    </w:p>
    <w:p w14:paraId="1DC0CA41" w14:textId="48563E19" w:rsidR="00664F05" w:rsidRPr="00664F05" w:rsidRDefault="004E3EBB" w:rsidP="00664F05">
      <w:pPr>
        <w:pStyle w:val="13"/>
        <w:ind w:firstLine="482"/>
      </w:pPr>
      <w:r w:rsidRPr="004E3EBB">
        <w:rPr>
          <w:rFonts w:hint="eastAsia"/>
          <w:b/>
        </w:rPr>
        <w:t xml:space="preserve">第七条 </w:t>
      </w:r>
      <w:r w:rsidR="00664F05" w:rsidRPr="00664F05">
        <w:rPr>
          <w:rFonts w:hint="eastAsia"/>
        </w:rPr>
        <w:t>事业单位的主管部门（以下简称主管部门）负责对本部门所属事业单位的国有资产实施监督管理。其主要职责是：</w:t>
      </w:r>
    </w:p>
    <w:p w14:paraId="081BD2A5" w14:textId="77777777" w:rsidR="00664F05" w:rsidRPr="00664F05" w:rsidRDefault="00664F05" w:rsidP="00664F05">
      <w:pPr>
        <w:pStyle w:val="13"/>
      </w:pPr>
      <w:r w:rsidRPr="00664F05">
        <w:rPr>
          <w:rFonts w:hint="eastAsia"/>
        </w:rPr>
        <w:t>（一）根据本级和上级财政部门有关国有资产管理的规定，制定本部门事业单位国有资产管理的实施办法，并组织实施和监督检查；</w:t>
      </w:r>
    </w:p>
    <w:p w14:paraId="2E6CABCE" w14:textId="77777777" w:rsidR="00664F05" w:rsidRPr="00664F05" w:rsidRDefault="00664F05" w:rsidP="00664F05">
      <w:pPr>
        <w:pStyle w:val="13"/>
      </w:pPr>
      <w:r w:rsidRPr="00664F05">
        <w:rPr>
          <w:rFonts w:hint="eastAsia"/>
        </w:rPr>
        <w:t>（二）组织本部门事业单位国有资产的清查、登记、统计汇总及日常监督检查工作；</w:t>
      </w:r>
    </w:p>
    <w:p w14:paraId="1A07C997" w14:textId="77777777" w:rsidR="00664F05" w:rsidRPr="00664F05" w:rsidRDefault="00664F05" w:rsidP="00664F05">
      <w:pPr>
        <w:pStyle w:val="13"/>
      </w:pPr>
      <w:r w:rsidRPr="00664F05">
        <w:rPr>
          <w:rFonts w:hint="eastAsia"/>
        </w:rPr>
        <w:t>（三）审核本部门所属事业单位利用国有资产对外投资、出租、出借和担保等事项，按规定权限审核或者审批有关资产购置、处置事项；</w:t>
      </w:r>
    </w:p>
    <w:p w14:paraId="37CD71D5" w14:textId="77777777" w:rsidR="00664F05" w:rsidRPr="00664F05" w:rsidRDefault="00664F05" w:rsidP="00664F05">
      <w:pPr>
        <w:pStyle w:val="13"/>
      </w:pPr>
      <w:r w:rsidRPr="00664F05">
        <w:rPr>
          <w:rFonts w:hint="eastAsia"/>
        </w:rPr>
        <w:t>（四）负责本部门所属事业单位长期闲置、低效运转和超标准配置资产的调剂工作，优化事业单位国有资产配置，推动事业单位国有资产共享、共用；</w:t>
      </w:r>
    </w:p>
    <w:p w14:paraId="5F94D942" w14:textId="77777777" w:rsidR="00664F05" w:rsidRPr="00664F05" w:rsidRDefault="00664F05" w:rsidP="00664F05">
      <w:pPr>
        <w:pStyle w:val="13"/>
      </w:pPr>
      <w:r w:rsidRPr="00664F05">
        <w:rPr>
          <w:rFonts w:hint="eastAsia"/>
        </w:rPr>
        <w:t>（五）督促本部门所属事业单位按规定缴纳国有资产收益；</w:t>
      </w:r>
    </w:p>
    <w:p w14:paraId="6C5FB3DB" w14:textId="77777777" w:rsidR="00664F05" w:rsidRPr="00664F05" w:rsidRDefault="00664F05" w:rsidP="00664F05">
      <w:pPr>
        <w:pStyle w:val="13"/>
      </w:pPr>
      <w:r w:rsidRPr="00664F05">
        <w:rPr>
          <w:rFonts w:hint="eastAsia"/>
        </w:rPr>
        <w:t>（六）组织实施对本部门所属事业单位国有资产管理和使用情况的评价考核；</w:t>
      </w:r>
    </w:p>
    <w:p w14:paraId="2E83D491" w14:textId="77777777" w:rsidR="00664F05" w:rsidRPr="00664F05" w:rsidRDefault="00664F05" w:rsidP="00664F05">
      <w:pPr>
        <w:pStyle w:val="13"/>
      </w:pPr>
      <w:r w:rsidRPr="00664F05">
        <w:rPr>
          <w:rFonts w:hint="eastAsia"/>
        </w:rPr>
        <w:t>（七）接受同级财政部门的监督、指导并向其报告有关事业单位国有资产管理工作。</w:t>
      </w:r>
    </w:p>
    <w:p w14:paraId="127E89D5" w14:textId="54E61396" w:rsidR="00664F05" w:rsidRPr="00664F05" w:rsidRDefault="004E3EBB" w:rsidP="00664F05">
      <w:pPr>
        <w:pStyle w:val="13"/>
        <w:ind w:firstLine="482"/>
      </w:pPr>
      <w:r w:rsidRPr="004E3EBB">
        <w:rPr>
          <w:rFonts w:hint="eastAsia"/>
          <w:b/>
        </w:rPr>
        <w:t xml:space="preserve">第八条 </w:t>
      </w:r>
      <w:r w:rsidR="00664F05" w:rsidRPr="00664F05">
        <w:rPr>
          <w:rFonts w:hint="eastAsia"/>
        </w:rPr>
        <w:t>事业单位负责对本单位占有、使用的国有资产实施具体管理。其主要职责是：</w:t>
      </w:r>
    </w:p>
    <w:p w14:paraId="1B7A6AFA" w14:textId="77777777" w:rsidR="00664F05" w:rsidRPr="00664F05" w:rsidRDefault="00664F05" w:rsidP="00664F05">
      <w:pPr>
        <w:pStyle w:val="13"/>
      </w:pPr>
      <w:r w:rsidRPr="00664F05">
        <w:rPr>
          <w:rFonts w:hint="eastAsia"/>
        </w:rPr>
        <w:t>（一）根据事业单位国有资产管理的有关规定，制定本单位国有资产管理的具体办法并组织实施；</w:t>
      </w:r>
    </w:p>
    <w:p w14:paraId="4266ADF2" w14:textId="77777777" w:rsidR="00664F05" w:rsidRPr="00664F05" w:rsidRDefault="00664F05" w:rsidP="00664F05">
      <w:pPr>
        <w:pStyle w:val="13"/>
      </w:pPr>
      <w:r w:rsidRPr="00664F05">
        <w:rPr>
          <w:rFonts w:hint="eastAsia"/>
        </w:rPr>
        <w:t>（二）负责本单位资产购置、验收入库、维护保管等日常管理，负责本单位资产的账卡管理、清查登记、统计报告及日常监督检查工作；</w:t>
      </w:r>
    </w:p>
    <w:p w14:paraId="782BEE6F" w14:textId="77777777" w:rsidR="00664F05" w:rsidRPr="00664F05" w:rsidRDefault="00664F05" w:rsidP="00664F05">
      <w:pPr>
        <w:pStyle w:val="13"/>
      </w:pPr>
      <w:r w:rsidRPr="00664F05">
        <w:rPr>
          <w:rFonts w:hint="eastAsia"/>
        </w:rPr>
        <w:t>（三）办理本单位国有资产配置、处置和对外投资、出租、出借和担保等事项的报批手续；</w:t>
      </w:r>
    </w:p>
    <w:p w14:paraId="48670A24" w14:textId="77777777" w:rsidR="00664F05" w:rsidRPr="00664F05" w:rsidRDefault="00664F05" w:rsidP="00664F05">
      <w:pPr>
        <w:pStyle w:val="13"/>
      </w:pPr>
      <w:r w:rsidRPr="00664F05">
        <w:rPr>
          <w:rFonts w:hint="eastAsia"/>
        </w:rPr>
        <w:t>（四）负责本单位用于对外投资、出租、出借和担保的资产的保值增值，按照规定及时、足额缴纳国有资产收益；</w:t>
      </w:r>
    </w:p>
    <w:p w14:paraId="33FCDD9F" w14:textId="77777777" w:rsidR="00664F05" w:rsidRPr="00664F05" w:rsidRDefault="00664F05" w:rsidP="00664F05">
      <w:pPr>
        <w:pStyle w:val="13"/>
      </w:pPr>
      <w:r w:rsidRPr="00664F05">
        <w:rPr>
          <w:rFonts w:hint="eastAsia"/>
        </w:rPr>
        <w:t>（五）负责本单位存量资产的有效利用，参与大型仪器、设备等资产的共享、共用和公共研究平台建设工作；</w:t>
      </w:r>
    </w:p>
    <w:p w14:paraId="06CEEEBD" w14:textId="77777777" w:rsidR="00664F05" w:rsidRPr="00664F05" w:rsidRDefault="00664F05" w:rsidP="00664F05">
      <w:pPr>
        <w:pStyle w:val="13"/>
      </w:pPr>
      <w:r w:rsidRPr="00664F05">
        <w:rPr>
          <w:rFonts w:hint="eastAsia"/>
        </w:rPr>
        <w:t>（六）接受主管部门和同级财政部门的监督、指导并向其报告有关国有资产管理工作。</w:t>
      </w:r>
    </w:p>
    <w:p w14:paraId="4BA97132" w14:textId="6F0294C2" w:rsidR="00664F05" w:rsidRPr="00664F05" w:rsidRDefault="00E05BDA" w:rsidP="00664F05">
      <w:pPr>
        <w:pStyle w:val="13"/>
        <w:ind w:firstLine="482"/>
      </w:pPr>
      <w:r w:rsidRPr="00E05BDA">
        <w:rPr>
          <w:rFonts w:hint="eastAsia"/>
          <w:b/>
          <w:bCs/>
        </w:rPr>
        <w:t xml:space="preserve">第九条 </w:t>
      </w:r>
      <w:r w:rsidR="00664F05" w:rsidRPr="00664F05">
        <w:rPr>
          <w:rFonts w:hint="eastAsia"/>
        </w:rPr>
        <w:t>各级财政部门、主管部门和事业单位应当按照本办法的规定，明确管理机构和人员，做好事业单位国有资产管理工作。</w:t>
      </w:r>
    </w:p>
    <w:p w14:paraId="3E686F45" w14:textId="75B6A846" w:rsidR="00664F05" w:rsidRPr="00664F05" w:rsidRDefault="00E05BDA" w:rsidP="00664F05">
      <w:pPr>
        <w:pStyle w:val="13"/>
        <w:ind w:firstLine="482"/>
      </w:pPr>
      <w:r w:rsidRPr="00E05BDA">
        <w:rPr>
          <w:rFonts w:hint="eastAsia"/>
          <w:b/>
        </w:rPr>
        <w:t xml:space="preserve">第十条 </w:t>
      </w:r>
      <w:r w:rsidR="00664F05" w:rsidRPr="00664F05">
        <w:rPr>
          <w:rFonts w:hint="eastAsia"/>
        </w:rPr>
        <w:t>财政部门根据工作需要，可以将国有资产管理的部分工作交由有关单位完成。</w:t>
      </w:r>
    </w:p>
    <w:p w14:paraId="47817751" w14:textId="77777777" w:rsidR="00664F05" w:rsidRPr="00664F05" w:rsidRDefault="00664F05" w:rsidP="00AF7342">
      <w:pPr>
        <w:pStyle w:val="a9"/>
        <w:spacing w:before="62" w:after="62"/>
      </w:pPr>
      <w:r w:rsidRPr="00664F05">
        <w:rPr>
          <w:rFonts w:hint="eastAsia"/>
        </w:rPr>
        <w:lastRenderedPageBreak/>
        <w:t>第三章 资产配置及使用</w:t>
      </w:r>
    </w:p>
    <w:p w14:paraId="4CCB42AE" w14:textId="39AF6DF0" w:rsidR="00664F05" w:rsidRPr="00664F05" w:rsidRDefault="00E05BDA" w:rsidP="00664F05">
      <w:pPr>
        <w:pStyle w:val="13"/>
        <w:ind w:firstLine="482"/>
      </w:pPr>
      <w:r w:rsidRPr="00E05BDA">
        <w:rPr>
          <w:rFonts w:hint="eastAsia"/>
          <w:b/>
        </w:rPr>
        <w:t xml:space="preserve">第十一条 </w:t>
      </w:r>
      <w:r w:rsidR="00664F05" w:rsidRPr="00664F05">
        <w:rPr>
          <w:rFonts w:hint="eastAsia"/>
        </w:rPr>
        <w:t>事业单位国有资产配置是指财政部门、主管部门、事业单位等根据事业单位履行职能的需要，按照国家有关法律、法规和规章制度规定的程序，通过购置或者调剂等方式为事业单位配备资产的行为。</w:t>
      </w:r>
    </w:p>
    <w:p w14:paraId="2CC9E866" w14:textId="4CCD6607" w:rsidR="00664F05" w:rsidRPr="00664F05" w:rsidRDefault="00E05BDA" w:rsidP="00664F05">
      <w:pPr>
        <w:pStyle w:val="13"/>
        <w:ind w:firstLine="482"/>
      </w:pPr>
      <w:r w:rsidRPr="00E05BDA">
        <w:rPr>
          <w:rFonts w:hint="eastAsia"/>
          <w:b/>
        </w:rPr>
        <w:t xml:space="preserve">第十二条 </w:t>
      </w:r>
      <w:r w:rsidR="00664F05" w:rsidRPr="00664F05">
        <w:rPr>
          <w:rFonts w:hint="eastAsia"/>
        </w:rPr>
        <w:t>事业单位国有资产配置应当符合以下条件：</w:t>
      </w:r>
    </w:p>
    <w:p w14:paraId="58E56D11" w14:textId="77777777" w:rsidR="00664F05" w:rsidRPr="00664F05" w:rsidRDefault="00664F05" w:rsidP="00664F05">
      <w:pPr>
        <w:pStyle w:val="13"/>
      </w:pPr>
      <w:r w:rsidRPr="00664F05">
        <w:rPr>
          <w:rFonts w:hint="eastAsia"/>
        </w:rPr>
        <w:t>（一）现有资产无法满足事业单位履行职能的需要；</w:t>
      </w:r>
    </w:p>
    <w:p w14:paraId="7496011C" w14:textId="77777777" w:rsidR="00664F05" w:rsidRPr="00664F05" w:rsidRDefault="00664F05" w:rsidP="00664F05">
      <w:pPr>
        <w:pStyle w:val="13"/>
      </w:pPr>
      <w:r w:rsidRPr="00664F05">
        <w:rPr>
          <w:rFonts w:hint="eastAsia"/>
        </w:rPr>
        <w:t>（二）难以与其他单位共享、共用相关资产；</w:t>
      </w:r>
    </w:p>
    <w:p w14:paraId="39B58A81" w14:textId="77777777" w:rsidR="00664F05" w:rsidRPr="00664F05" w:rsidRDefault="00664F05" w:rsidP="00664F05">
      <w:pPr>
        <w:pStyle w:val="13"/>
      </w:pPr>
      <w:r w:rsidRPr="00664F05">
        <w:rPr>
          <w:rFonts w:hint="eastAsia"/>
        </w:rPr>
        <w:t>（三）难以通过市场购买产品或者服务的方式代替资产配置，或者采取市场购买方式的成本过高。</w:t>
      </w:r>
    </w:p>
    <w:p w14:paraId="048F501B" w14:textId="259211D6" w:rsidR="00664F05" w:rsidRPr="00664F05" w:rsidRDefault="00E05BDA" w:rsidP="00664F05">
      <w:pPr>
        <w:pStyle w:val="13"/>
        <w:ind w:firstLine="482"/>
      </w:pPr>
      <w:r w:rsidRPr="00E05BDA">
        <w:rPr>
          <w:rFonts w:hint="eastAsia"/>
          <w:b/>
        </w:rPr>
        <w:t xml:space="preserve">第十三条 </w:t>
      </w:r>
      <w:r w:rsidR="00664F05" w:rsidRPr="00664F05">
        <w:rPr>
          <w:rFonts w:hint="eastAsia"/>
        </w:rPr>
        <w:t>事业单位国有资产配置应当符合规定的配置标准；没有规定配置标准的，应当从严控制，合理配置。</w:t>
      </w:r>
    </w:p>
    <w:p w14:paraId="0900DC1A" w14:textId="59BE4A06" w:rsidR="00664F05" w:rsidRPr="00664F05" w:rsidRDefault="00E05BDA" w:rsidP="00664F05">
      <w:pPr>
        <w:pStyle w:val="13"/>
        <w:ind w:firstLine="482"/>
      </w:pPr>
      <w:r w:rsidRPr="00E05BDA">
        <w:rPr>
          <w:rFonts w:hint="eastAsia"/>
          <w:b/>
        </w:rPr>
        <w:t xml:space="preserve">第十四条 </w:t>
      </w:r>
      <w:r w:rsidR="00664F05" w:rsidRPr="00664F05">
        <w:rPr>
          <w:rFonts w:hint="eastAsia"/>
        </w:rPr>
        <w:t>对于事业单位长期闲置、低效运转或者超标准配置的资产，原则上由主管部门进行调剂，并报同级财政部门备案；跨部门、跨地区的资产调剂应当报同级或者共同上一级的财政部门批准。法律、行政法规另有规定的，依照其规定。</w:t>
      </w:r>
    </w:p>
    <w:p w14:paraId="01087F15" w14:textId="71695148" w:rsidR="00664F05" w:rsidRPr="00664F05" w:rsidRDefault="00E05BDA" w:rsidP="00664F05">
      <w:pPr>
        <w:pStyle w:val="13"/>
        <w:ind w:firstLine="482"/>
      </w:pPr>
      <w:r w:rsidRPr="00E05BDA">
        <w:rPr>
          <w:rFonts w:hint="eastAsia"/>
          <w:b/>
        </w:rPr>
        <w:t xml:space="preserve">第十五条 </w:t>
      </w:r>
      <w:r w:rsidR="00664F05" w:rsidRPr="00664F05">
        <w:rPr>
          <w:rFonts w:hint="eastAsia"/>
        </w:rPr>
        <w:t>事业单位向财政部门申请用财政性资金购置规定限额以上资产的（包括事业单位申请用财政性资金举办大型会议、活动需要进行的购置），除国家另有规定外，按照下列程序报批：</w:t>
      </w:r>
    </w:p>
    <w:p w14:paraId="3DFFED7E" w14:textId="77777777" w:rsidR="00664F05" w:rsidRPr="00664F05" w:rsidRDefault="00664F05" w:rsidP="00664F05">
      <w:pPr>
        <w:pStyle w:val="13"/>
      </w:pPr>
      <w:r w:rsidRPr="00664F05">
        <w:rPr>
          <w:rFonts w:hint="eastAsia"/>
        </w:rPr>
        <w:t>（一）年度部门预算编制前，事业单位资产管理部门会同财务部门审核资产存量，提出下一年度拟购置资产的品目、数量，测算经费额度，报主管部门审核；</w:t>
      </w:r>
    </w:p>
    <w:p w14:paraId="1E46E2B4" w14:textId="77777777" w:rsidR="00664F05" w:rsidRPr="00664F05" w:rsidRDefault="00664F05" w:rsidP="00664F05">
      <w:pPr>
        <w:pStyle w:val="13"/>
      </w:pPr>
      <w:r w:rsidRPr="00664F05">
        <w:rPr>
          <w:rFonts w:hint="eastAsia"/>
        </w:rPr>
        <w:t>（二）主管部门根据事业单位资产存量状况和有关资产配置标准，审核、汇总事业单位资产购置计划，报同级财政部门审批；</w:t>
      </w:r>
    </w:p>
    <w:p w14:paraId="2073CFDC" w14:textId="77777777" w:rsidR="00664F05" w:rsidRPr="00664F05" w:rsidRDefault="00664F05" w:rsidP="00664F05">
      <w:pPr>
        <w:pStyle w:val="13"/>
      </w:pPr>
      <w:r w:rsidRPr="00664F05">
        <w:rPr>
          <w:rFonts w:hint="eastAsia"/>
        </w:rPr>
        <w:t>（三）同级财政部门根据主管部门的审核意见，对资产购置计划进行审批；</w:t>
      </w:r>
    </w:p>
    <w:p w14:paraId="15F9F4CE" w14:textId="77777777" w:rsidR="00664F05" w:rsidRPr="00664F05" w:rsidRDefault="00664F05" w:rsidP="00664F05">
      <w:pPr>
        <w:pStyle w:val="13"/>
      </w:pPr>
      <w:r w:rsidRPr="00664F05">
        <w:rPr>
          <w:rFonts w:hint="eastAsia"/>
        </w:rPr>
        <w:t>（四）经同级财政部门批准的资产购置计划，事业单位应当列入年度部门预算，并在上报年度部门预算时附送批复文件等相关材料，作为财政部门批复部门预算的依据。</w:t>
      </w:r>
    </w:p>
    <w:p w14:paraId="31313A0F" w14:textId="37E6C9C2" w:rsidR="00664F05" w:rsidRPr="00664F05" w:rsidRDefault="00E05BDA" w:rsidP="00664F05">
      <w:pPr>
        <w:pStyle w:val="13"/>
        <w:ind w:firstLine="482"/>
      </w:pPr>
      <w:r w:rsidRPr="00E05BDA">
        <w:rPr>
          <w:rFonts w:hint="eastAsia"/>
          <w:b/>
        </w:rPr>
        <w:t xml:space="preserve">第十六条 </w:t>
      </w:r>
      <w:r w:rsidR="00664F05" w:rsidRPr="00664F05">
        <w:rPr>
          <w:rFonts w:hint="eastAsia"/>
        </w:rPr>
        <w:t>事业单位向主管部门或者其他部门申请项目经费的，有关部门在下达经费前，应当将所涉及的规定限额以上的资产购置事项报同级财政部门批准。</w:t>
      </w:r>
    </w:p>
    <w:p w14:paraId="488D2645" w14:textId="18128B34" w:rsidR="00664F05" w:rsidRPr="00664F05" w:rsidRDefault="00E05BDA" w:rsidP="00664F05">
      <w:pPr>
        <w:pStyle w:val="13"/>
        <w:ind w:firstLine="482"/>
      </w:pPr>
      <w:r w:rsidRPr="00E05BDA">
        <w:rPr>
          <w:rFonts w:hint="eastAsia"/>
          <w:b/>
        </w:rPr>
        <w:t xml:space="preserve">第十七条 </w:t>
      </w:r>
      <w:r w:rsidR="00664F05" w:rsidRPr="00664F05">
        <w:rPr>
          <w:rFonts w:hint="eastAsia"/>
        </w:rPr>
        <w:t>事业单位用其他资金购置规定限额以上资产的，报主管部门审批；主管部门应当将审批结果定期报同级财政部门备案。</w:t>
      </w:r>
    </w:p>
    <w:p w14:paraId="6A01F038" w14:textId="23838851" w:rsidR="00664F05" w:rsidRPr="00664F05" w:rsidRDefault="00E05BDA" w:rsidP="00664F05">
      <w:pPr>
        <w:pStyle w:val="13"/>
        <w:ind w:firstLine="482"/>
      </w:pPr>
      <w:r w:rsidRPr="00E05BDA">
        <w:rPr>
          <w:rFonts w:hint="eastAsia"/>
          <w:b/>
        </w:rPr>
        <w:t xml:space="preserve">第十八条 </w:t>
      </w:r>
      <w:r w:rsidR="00664F05" w:rsidRPr="00664F05">
        <w:rPr>
          <w:rFonts w:hint="eastAsia"/>
        </w:rPr>
        <w:t>事业单位购置纳入政府采购范围的资产，应当按照国家有关政府采购的规定执行。</w:t>
      </w:r>
    </w:p>
    <w:p w14:paraId="6769754D" w14:textId="2258B795" w:rsidR="00664F05" w:rsidRPr="00664F05" w:rsidRDefault="00E05BDA" w:rsidP="00664F05">
      <w:pPr>
        <w:pStyle w:val="13"/>
        <w:ind w:firstLine="482"/>
      </w:pPr>
      <w:r w:rsidRPr="00E05BDA">
        <w:rPr>
          <w:rFonts w:hint="eastAsia"/>
          <w:b/>
        </w:rPr>
        <w:t xml:space="preserve">第十九条 </w:t>
      </w:r>
      <w:r w:rsidR="00664F05" w:rsidRPr="00664F05">
        <w:rPr>
          <w:rFonts w:hint="eastAsia"/>
        </w:rPr>
        <w:t>事业单位国有资产的使用包括单位自用和对外投资、出租、出借、担保等方式。</w:t>
      </w:r>
    </w:p>
    <w:p w14:paraId="53C5E676" w14:textId="6019651F" w:rsidR="00664F05" w:rsidRPr="00664F05" w:rsidRDefault="00E05BDA" w:rsidP="00664F05">
      <w:pPr>
        <w:pStyle w:val="13"/>
        <w:ind w:firstLine="482"/>
      </w:pPr>
      <w:r w:rsidRPr="00E05BDA">
        <w:rPr>
          <w:rFonts w:hint="eastAsia"/>
          <w:b/>
        </w:rPr>
        <w:t xml:space="preserve">第二十条 </w:t>
      </w:r>
      <w:r w:rsidR="00664F05" w:rsidRPr="00664F05">
        <w:rPr>
          <w:rFonts w:hint="eastAsia"/>
        </w:rPr>
        <w:t>事业单位应当建立健全资产购置、验收、保管、使用等内部管理制度。</w:t>
      </w:r>
    </w:p>
    <w:p w14:paraId="6A270E63" w14:textId="77777777" w:rsidR="00664F05" w:rsidRPr="00664F05" w:rsidRDefault="00664F05" w:rsidP="00664F05">
      <w:pPr>
        <w:pStyle w:val="13"/>
      </w:pPr>
      <w:r w:rsidRPr="00664F05">
        <w:rPr>
          <w:rFonts w:hint="eastAsia"/>
        </w:rPr>
        <w:lastRenderedPageBreak/>
        <w:t>事业单位应当对实物资产进行定期清查，做到账</w:t>
      </w:r>
      <w:proofErr w:type="gramStart"/>
      <w:r w:rsidRPr="00664F05">
        <w:rPr>
          <w:rFonts w:hint="eastAsia"/>
        </w:rPr>
        <w:t>账</w:t>
      </w:r>
      <w:proofErr w:type="gramEnd"/>
      <w:r w:rsidRPr="00664F05">
        <w:rPr>
          <w:rFonts w:hint="eastAsia"/>
        </w:rPr>
        <w:t>、账卡、账实相符，加强对本单位专利权、商标权、著作权、土地使用权、非专利技术、商誉等无形资产的管理，防止无形资产流失。</w:t>
      </w:r>
    </w:p>
    <w:p w14:paraId="775FDDC7" w14:textId="25D43A5A" w:rsidR="00664F05" w:rsidRPr="00664F05" w:rsidRDefault="00E05BDA" w:rsidP="00664F05">
      <w:pPr>
        <w:pStyle w:val="13"/>
        <w:ind w:firstLine="482"/>
      </w:pPr>
      <w:r w:rsidRPr="00E05BDA">
        <w:rPr>
          <w:rFonts w:hint="eastAsia"/>
          <w:b/>
        </w:rPr>
        <w:t xml:space="preserve">第二十一条 </w:t>
      </w:r>
      <w:r w:rsidR="00664F05" w:rsidRPr="00664F05">
        <w:rPr>
          <w:rFonts w:hint="eastAsia"/>
        </w:rPr>
        <w:t>事业单位利用国有资产对外投资、出租、出借和担保等应当进行必要的可行性论证，并提出申请，经主管部门审核同意后，报同级财政部门审批。法律、行政法规和本办法第五十六条另有规定的，依照其规定。</w:t>
      </w:r>
    </w:p>
    <w:p w14:paraId="33CC1820" w14:textId="77777777" w:rsidR="00664F05" w:rsidRPr="00664F05" w:rsidRDefault="00664F05" w:rsidP="00664F05">
      <w:pPr>
        <w:pStyle w:val="13"/>
      </w:pPr>
      <w:r w:rsidRPr="00664F05">
        <w:rPr>
          <w:rFonts w:hint="eastAsia"/>
        </w:rPr>
        <w:t>事业单位应当对本单位用于对外投资、出租和出借的资产实行专项管理，并在单位财务会计报告中对相关信息进行充分披露。</w:t>
      </w:r>
    </w:p>
    <w:p w14:paraId="37C64EC7" w14:textId="5D2C17FD" w:rsidR="00664F05" w:rsidRPr="00664F05" w:rsidRDefault="00E05BDA" w:rsidP="00664F05">
      <w:pPr>
        <w:pStyle w:val="13"/>
        <w:ind w:firstLine="482"/>
      </w:pPr>
      <w:r w:rsidRPr="00E05BDA">
        <w:rPr>
          <w:rFonts w:hint="eastAsia"/>
          <w:b/>
        </w:rPr>
        <w:t xml:space="preserve">第二十二条 </w:t>
      </w:r>
      <w:r w:rsidR="00664F05" w:rsidRPr="00664F05">
        <w:rPr>
          <w:rFonts w:hint="eastAsia"/>
        </w:rPr>
        <w:t>财政部门和主管部门应当加强对事业单位利用国有资产对外投资、出租、出借和担保等行为的风险控制。</w:t>
      </w:r>
    </w:p>
    <w:p w14:paraId="4DC90940" w14:textId="6686C87B" w:rsidR="00664F05" w:rsidRPr="00664F05" w:rsidRDefault="00E05BDA" w:rsidP="00664F05">
      <w:pPr>
        <w:pStyle w:val="13"/>
        <w:ind w:firstLine="482"/>
      </w:pPr>
      <w:r w:rsidRPr="00E05BDA">
        <w:rPr>
          <w:rFonts w:hint="eastAsia"/>
          <w:b/>
        </w:rPr>
        <w:t xml:space="preserve">第二十三条 </w:t>
      </w:r>
      <w:r w:rsidR="00664F05" w:rsidRPr="00664F05">
        <w:rPr>
          <w:rFonts w:hint="eastAsia"/>
        </w:rPr>
        <w:t>除本办法第五十六条及国家另有规定外，事业单位对外投资收益以及利用国有资产出租、出借和担保等取得的收入应当纳入单位预算，统一核算，统一管理。</w:t>
      </w:r>
    </w:p>
    <w:p w14:paraId="3474B7BD" w14:textId="77777777" w:rsidR="00664F05" w:rsidRPr="00664F05" w:rsidRDefault="00664F05" w:rsidP="00AF7342">
      <w:pPr>
        <w:pStyle w:val="a9"/>
        <w:spacing w:before="62" w:after="62"/>
      </w:pPr>
      <w:r w:rsidRPr="00664F05">
        <w:rPr>
          <w:rFonts w:hint="eastAsia"/>
        </w:rPr>
        <w:t>第四章 资产处置</w:t>
      </w:r>
    </w:p>
    <w:p w14:paraId="7CB99F2E" w14:textId="203BC1C7" w:rsidR="00664F05" w:rsidRPr="00664F05" w:rsidRDefault="00E05BDA" w:rsidP="00664F05">
      <w:pPr>
        <w:pStyle w:val="13"/>
        <w:ind w:firstLine="482"/>
      </w:pPr>
      <w:r w:rsidRPr="00E05BDA">
        <w:rPr>
          <w:rFonts w:hint="eastAsia"/>
          <w:b/>
        </w:rPr>
        <w:t xml:space="preserve">第二十四条 </w:t>
      </w:r>
      <w:r w:rsidR="00664F05" w:rsidRPr="00664F05">
        <w:rPr>
          <w:rFonts w:hint="eastAsia"/>
        </w:rPr>
        <w:t>事业单位国有资产处置，是指事业单位对其占有、使用的国有资产进行产权转让或者注销产权的行为。处置方式包括出售、出让、转让、对外捐赠、报废、报损以及货币性资产损失核销等。</w:t>
      </w:r>
    </w:p>
    <w:p w14:paraId="781C9986" w14:textId="6FBDAAE2" w:rsidR="00664F05" w:rsidRPr="00664F05" w:rsidRDefault="00E05BDA" w:rsidP="00664F05">
      <w:pPr>
        <w:pStyle w:val="13"/>
        <w:ind w:firstLine="482"/>
      </w:pPr>
      <w:r w:rsidRPr="00E05BDA">
        <w:rPr>
          <w:rFonts w:hint="eastAsia"/>
          <w:b/>
        </w:rPr>
        <w:t xml:space="preserve">第二十五条 </w:t>
      </w:r>
      <w:r w:rsidR="00664F05" w:rsidRPr="00664F05">
        <w:rPr>
          <w:rFonts w:hint="eastAsia"/>
        </w:rPr>
        <w:t>除本办法第五十六条另有规定外，事业单位处置国有资产，应当严格履行审批手续，未经批准不得自行处置。</w:t>
      </w:r>
    </w:p>
    <w:p w14:paraId="7C3AA695" w14:textId="38CE72F5" w:rsidR="00664F05" w:rsidRPr="00664F05" w:rsidRDefault="00E05BDA" w:rsidP="00664F05">
      <w:pPr>
        <w:pStyle w:val="13"/>
        <w:ind w:firstLine="482"/>
      </w:pPr>
      <w:r w:rsidRPr="00E05BDA">
        <w:rPr>
          <w:rFonts w:hint="eastAsia"/>
          <w:b/>
        </w:rPr>
        <w:t xml:space="preserve">第二十六条 </w:t>
      </w:r>
      <w:r w:rsidR="00664F05" w:rsidRPr="00664F05">
        <w:rPr>
          <w:rFonts w:hint="eastAsia"/>
        </w:rPr>
        <w:t>事业单位占有、使用的房屋建筑物、土地和车辆的处置，货币性资产损失的核销，以及单位价值或者批量价值在规定限额以上的资产的处置，经主管部门审核后报同级财政部门审批；规定限额以下的资产的处置报主管部门审批，主管部门将审批结果定期报同级财政部门备案。法律、行政法规和本办法第五十六条另有规定的，依照其规定。</w:t>
      </w:r>
    </w:p>
    <w:p w14:paraId="71159A89" w14:textId="1CB89570" w:rsidR="00664F05" w:rsidRPr="00664F05" w:rsidRDefault="00E05BDA" w:rsidP="00664F05">
      <w:pPr>
        <w:pStyle w:val="13"/>
        <w:ind w:firstLine="482"/>
      </w:pPr>
      <w:r w:rsidRPr="00E05BDA">
        <w:rPr>
          <w:rFonts w:hint="eastAsia"/>
          <w:b/>
        </w:rPr>
        <w:t xml:space="preserve">第二十七条 </w:t>
      </w:r>
      <w:r w:rsidR="00664F05" w:rsidRPr="00664F05">
        <w:rPr>
          <w:rFonts w:hint="eastAsia"/>
        </w:rPr>
        <w:t>财政部门或者主管部门对事业单位国有资产处置事项的批复是财政部门重新安排事业单位有关资产配置预算项目的参考依据，是事业单位调整相关会计账目的凭证。</w:t>
      </w:r>
    </w:p>
    <w:p w14:paraId="64D67613" w14:textId="72C07639" w:rsidR="00664F05" w:rsidRPr="00664F05" w:rsidRDefault="00E05BDA" w:rsidP="00664F05">
      <w:pPr>
        <w:pStyle w:val="13"/>
        <w:ind w:firstLine="482"/>
      </w:pPr>
      <w:r w:rsidRPr="00E05BDA">
        <w:rPr>
          <w:rFonts w:hint="eastAsia"/>
          <w:b/>
        </w:rPr>
        <w:t xml:space="preserve">第二十八条 </w:t>
      </w:r>
      <w:r w:rsidR="00664F05" w:rsidRPr="00664F05">
        <w:rPr>
          <w:rFonts w:hint="eastAsia"/>
        </w:rPr>
        <w:t>事业单位国有资产处置应当遵循公开、公正、公平的原则。</w:t>
      </w:r>
    </w:p>
    <w:p w14:paraId="127C9DEF" w14:textId="77777777" w:rsidR="00664F05" w:rsidRPr="00664F05" w:rsidRDefault="00664F05" w:rsidP="00664F05">
      <w:pPr>
        <w:pStyle w:val="13"/>
      </w:pPr>
      <w:r w:rsidRPr="00664F05">
        <w:rPr>
          <w:rFonts w:hint="eastAsia"/>
        </w:rPr>
        <w:t>事业单位出售、出让、转让、变卖资产数量较多或者价值较高的，应当通过拍卖等市场竞价方式公开处置。</w:t>
      </w:r>
    </w:p>
    <w:p w14:paraId="51C383EF" w14:textId="160DC5CE" w:rsidR="00664F05" w:rsidRPr="00664F05" w:rsidRDefault="00E05BDA" w:rsidP="00664F05">
      <w:pPr>
        <w:pStyle w:val="13"/>
        <w:ind w:firstLine="482"/>
      </w:pPr>
      <w:r w:rsidRPr="00E05BDA">
        <w:rPr>
          <w:rFonts w:hint="eastAsia"/>
          <w:b/>
        </w:rPr>
        <w:t xml:space="preserve">第二十九条 </w:t>
      </w:r>
      <w:r w:rsidR="00664F05" w:rsidRPr="00664F05">
        <w:rPr>
          <w:rFonts w:hint="eastAsia"/>
        </w:rPr>
        <w:t>除本办法第五十六条另有规定外，事业单位国有资产处置收入属于国家所有，应当按照政府非税收入管理的规定，实行“收支两条线”管理。</w:t>
      </w:r>
    </w:p>
    <w:p w14:paraId="54A944CF" w14:textId="77777777" w:rsidR="00664F05" w:rsidRPr="00664F05" w:rsidRDefault="00664F05" w:rsidP="00AF7342">
      <w:pPr>
        <w:pStyle w:val="a9"/>
        <w:spacing w:before="62" w:after="62"/>
      </w:pPr>
      <w:r w:rsidRPr="00664F05">
        <w:rPr>
          <w:rFonts w:hint="eastAsia"/>
        </w:rPr>
        <w:lastRenderedPageBreak/>
        <w:t>第五章 产权登记与产权纠纷处理</w:t>
      </w:r>
    </w:p>
    <w:p w14:paraId="7CC1A2FF" w14:textId="00A08C74" w:rsidR="00664F05" w:rsidRPr="00664F05" w:rsidRDefault="00E05BDA" w:rsidP="00664F05">
      <w:pPr>
        <w:pStyle w:val="13"/>
        <w:ind w:firstLine="482"/>
      </w:pPr>
      <w:r w:rsidRPr="00E05BDA">
        <w:rPr>
          <w:rFonts w:hint="eastAsia"/>
          <w:b/>
        </w:rPr>
        <w:t xml:space="preserve">第三十条 </w:t>
      </w:r>
      <w:r w:rsidR="00664F05" w:rsidRPr="00664F05">
        <w:rPr>
          <w:rFonts w:hint="eastAsia"/>
        </w:rPr>
        <w:t>事业单位国有资产产权登记（以下简称产权登记）是国家对事业单位占有、使用的国有资产进行登记，依法确认国家对国有资产的所有权和事业单位对国有资产的占有、使用权的行为。</w:t>
      </w:r>
    </w:p>
    <w:p w14:paraId="2B96FCC3" w14:textId="3F409DA3" w:rsidR="00664F05" w:rsidRPr="00664F05" w:rsidRDefault="003B2FB1" w:rsidP="00664F05">
      <w:pPr>
        <w:pStyle w:val="13"/>
        <w:ind w:firstLine="482"/>
      </w:pPr>
      <w:r w:rsidRPr="003B2FB1">
        <w:rPr>
          <w:rFonts w:hint="eastAsia"/>
          <w:b/>
        </w:rPr>
        <w:t xml:space="preserve">第三十一条 </w:t>
      </w:r>
      <w:r w:rsidR="00664F05" w:rsidRPr="00664F05">
        <w:rPr>
          <w:rFonts w:hint="eastAsia"/>
        </w:rPr>
        <w:t>事业单位应当向同级财政部门或者经同级财政部门授权的主管部门（以下简称授权部门）申报、办理产权登记，并由财政部门或者授权部门核发《事业单位国有资产产权登记证》（以下简称《产权登记证》）。</w:t>
      </w:r>
    </w:p>
    <w:p w14:paraId="5A6B7C83" w14:textId="5C0A6F4B" w:rsidR="00664F05" w:rsidRPr="00664F05" w:rsidRDefault="003B2FB1" w:rsidP="00664F05">
      <w:pPr>
        <w:pStyle w:val="13"/>
        <w:ind w:firstLine="482"/>
      </w:pPr>
      <w:r w:rsidRPr="003B2FB1">
        <w:rPr>
          <w:rFonts w:hint="eastAsia"/>
          <w:b/>
        </w:rPr>
        <w:t xml:space="preserve">第三十二条 </w:t>
      </w:r>
      <w:r w:rsidR="00664F05" w:rsidRPr="00664F05">
        <w:rPr>
          <w:rFonts w:hint="eastAsia"/>
        </w:rPr>
        <w:t>《产权登记证》是国家对事业单位国有资产享有所有权，单位享有占有、使用权的法律凭证，由财政部统一印制。</w:t>
      </w:r>
    </w:p>
    <w:p w14:paraId="689485DA" w14:textId="77777777" w:rsidR="00664F05" w:rsidRPr="00664F05" w:rsidRDefault="00664F05" w:rsidP="00664F05">
      <w:pPr>
        <w:pStyle w:val="13"/>
      </w:pPr>
      <w:r w:rsidRPr="00664F05">
        <w:rPr>
          <w:rFonts w:hint="eastAsia"/>
        </w:rPr>
        <w:t>事业单位办理法人年检、改制、资产处置和利用国有资产对外投资、出租、出借、担保等事项时，应当出具《产权登记证》。</w:t>
      </w:r>
    </w:p>
    <w:p w14:paraId="24DFFB5A" w14:textId="277FC715" w:rsidR="00664F05" w:rsidRPr="00664F05" w:rsidRDefault="003B2FB1" w:rsidP="00664F05">
      <w:pPr>
        <w:pStyle w:val="13"/>
        <w:ind w:firstLine="482"/>
      </w:pPr>
      <w:r w:rsidRPr="003B2FB1">
        <w:rPr>
          <w:rFonts w:hint="eastAsia"/>
          <w:b/>
        </w:rPr>
        <w:t xml:space="preserve">第三十三条 </w:t>
      </w:r>
      <w:r w:rsidR="00664F05" w:rsidRPr="00664F05">
        <w:rPr>
          <w:rFonts w:hint="eastAsia"/>
        </w:rPr>
        <w:t>事业单位国有资产产权登记的内容主要包括：</w:t>
      </w:r>
    </w:p>
    <w:p w14:paraId="3FBA688A" w14:textId="77777777" w:rsidR="00664F05" w:rsidRPr="00664F05" w:rsidRDefault="00664F05" w:rsidP="00664F05">
      <w:pPr>
        <w:pStyle w:val="13"/>
      </w:pPr>
      <w:r w:rsidRPr="00664F05">
        <w:rPr>
          <w:rFonts w:hint="eastAsia"/>
        </w:rPr>
        <w:t>（一）单位名称、住所、负责人及成立时间；</w:t>
      </w:r>
    </w:p>
    <w:p w14:paraId="6D493C7D" w14:textId="77777777" w:rsidR="00664F05" w:rsidRPr="00664F05" w:rsidRDefault="00664F05" w:rsidP="00664F05">
      <w:pPr>
        <w:pStyle w:val="13"/>
      </w:pPr>
      <w:r w:rsidRPr="00664F05">
        <w:rPr>
          <w:rFonts w:hint="eastAsia"/>
        </w:rPr>
        <w:t>（二）单位性质、主管部门；</w:t>
      </w:r>
    </w:p>
    <w:p w14:paraId="2DA276C1" w14:textId="77777777" w:rsidR="00664F05" w:rsidRPr="00664F05" w:rsidRDefault="00664F05" w:rsidP="00664F05">
      <w:pPr>
        <w:pStyle w:val="13"/>
      </w:pPr>
      <w:r w:rsidRPr="00664F05">
        <w:rPr>
          <w:rFonts w:hint="eastAsia"/>
        </w:rPr>
        <w:t>（三）单位资产总额、国有资产总额、主要实物资产额及其使用状况、对外投资情况；</w:t>
      </w:r>
    </w:p>
    <w:p w14:paraId="4CB2A0F4" w14:textId="77777777" w:rsidR="00664F05" w:rsidRPr="00664F05" w:rsidRDefault="00664F05" w:rsidP="00664F05">
      <w:pPr>
        <w:pStyle w:val="13"/>
      </w:pPr>
      <w:r w:rsidRPr="00664F05">
        <w:rPr>
          <w:rFonts w:hint="eastAsia"/>
        </w:rPr>
        <w:t>（四）其他需要登记的事项。</w:t>
      </w:r>
    </w:p>
    <w:p w14:paraId="7BD59E7B" w14:textId="681B31D3" w:rsidR="00664F05" w:rsidRPr="00664F05" w:rsidRDefault="003B2FB1" w:rsidP="00664F05">
      <w:pPr>
        <w:pStyle w:val="13"/>
        <w:ind w:firstLine="482"/>
      </w:pPr>
      <w:r w:rsidRPr="003B2FB1">
        <w:rPr>
          <w:rFonts w:hint="eastAsia"/>
          <w:b/>
        </w:rPr>
        <w:t xml:space="preserve">第三十四条 </w:t>
      </w:r>
      <w:r w:rsidR="00664F05" w:rsidRPr="00664F05">
        <w:rPr>
          <w:rFonts w:hint="eastAsia"/>
        </w:rPr>
        <w:t>事业单位应当按照以下规定进行国有资产产权登记：</w:t>
      </w:r>
    </w:p>
    <w:p w14:paraId="4D2DDFD3" w14:textId="77777777" w:rsidR="00664F05" w:rsidRPr="00664F05" w:rsidRDefault="00664F05" w:rsidP="00664F05">
      <w:pPr>
        <w:pStyle w:val="13"/>
      </w:pPr>
      <w:r w:rsidRPr="00664F05">
        <w:rPr>
          <w:rFonts w:hint="eastAsia"/>
        </w:rPr>
        <w:t>（一）新设立的事业单位，办理占有产权登记；</w:t>
      </w:r>
    </w:p>
    <w:p w14:paraId="73F08754" w14:textId="77777777" w:rsidR="00664F05" w:rsidRPr="00664F05" w:rsidRDefault="00664F05" w:rsidP="00664F05">
      <w:pPr>
        <w:pStyle w:val="13"/>
      </w:pPr>
      <w:r w:rsidRPr="00664F05">
        <w:rPr>
          <w:rFonts w:hint="eastAsia"/>
        </w:rPr>
        <w:t>（二）发生分立、合并、部分改制，以及隶属关系、单位名称、住所和单位负责人等产权登记内容发生变化的事业单位，办理变更产权登记；</w:t>
      </w:r>
    </w:p>
    <w:p w14:paraId="6D848E02" w14:textId="77777777" w:rsidR="00664F05" w:rsidRPr="00664F05" w:rsidRDefault="00664F05" w:rsidP="00664F05">
      <w:pPr>
        <w:pStyle w:val="13"/>
      </w:pPr>
      <w:r w:rsidRPr="00664F05">
        <w:rPr>
          <w:rFonts w:hint="eastAsia"/>
        </w:rPr>
        <w:t>（三）因依法撤销或者整体改制等原因被清算、注销的事业单位，办理注销产权登记。</w:t>
      </w:r>
    </w:p>
    <w:p w14:paraId="1148E388" w14:textId="4A13FC8B" w:rsidR="00664F05" w:rsidRPr="00664F05" w:rsidRDefault="003B2FB1" w:rsidP="00664F05">
      <w:pPr>
        <w:pStyle w:val="13"/>
        <w:ind w:firstLine="482"/>
      </w:pPr>
      <w:r w:rsidRPr="003B2FB1">
        <w:rPr>
          <w:rFonts w:hint="eastAsia"/>
          <w:b/>
        </w:rPr>
        <w:t xml:space="preserve">第三十五条 </w:t>
      </w:r>
      <w:r w:rsidR="00664F05" w:rsidRPr="00664F05">
        <w:rPr>
          <w:rFonts w:hint="eastAsia"/>
        </w:rPr>
        <w:t>各级财政部门应当在资产动态管理信息系统和变更产权登记的基础上，对事业单位国有资产产权登记实行定期检查。</w:t>
      </w:r>
    </w:p>
    <w:p w14:paraId="344D952D" w14:textId="1FDBA9E7" w:rsidR="00664F05" w:rsidRPr="00664F05" w:rsidRDefault="003B2FB1" w:rsidP="00664F05">
      <w:pPr>
        <w:pStyle w:val="13"/>
        <w:ind w:firstLine="482"/>
      </w:pPr>
      <w:r w:rsidRPr="003B2FB1">
        <w:rPr>
          <w:rFonts w:hint="eastAsia"/>
          <w:b/>
        </w:rPr>
        <w:t xml:space="preserve">第三十六条 </w:t>
      </w:r>
      <w:r w:rsidR="00664F05" w:rsidRPr="00664F05">
        <w:rPr>
          <w:rFonts w:hint="eastAsia"/>
        </w:rPr>
        <w:t>事业单位与其他国有单位之间发生国有资产产权纠纷的，由当事人协商解决。协商不能解决的，可以向同级或者共同上一级财政部门申请调解或者裁定，必要时报有管辖权的人民政府处理。</w:t>
      </w:r>
    </w:p>
    <w:p w14:paraId="1F609EBD" w14:textId="071B3832" w:rsidR="00664F05" w:rsidRPr="00664F05" w:rsidRDefault="003B2FB1" w:rsidP="00664F05">
      <w:pPr>
        <w:pStyle w:val="13"/>
        <w:ind w:firstLine="482"/>
      </w:pPr>
      <w:r w:rsidRPr="003B2FB1">
        <w:rPr>
          <w:rFonts w:hint="eastAsia"/>
          <w:b/>
        </w:rPr>
        <w:t xml:space="preserve">第三十七条 </w:t>
      </w:r>
      <w:r w:rsidR="00664F05" w:rsidRPr="00664F05">
        <w:rPr>
          <w:rFonts w:hint="eastAsia"/>
        </w:rPr>
        <w:t>事业单位与非国有单位或者个人之间发生产权纠纷的，事业单位应当提出拟处理意见，经主管部门审核并报同级财政部门批准后，与对方当事人协商解决。协商不能解决的，依照司法程序处理。</w:t>
      </w:r>
    </w:p>
    <w:p w14:paraId="58B685C3" w14:textId="77777777" w:rsidR="00664F05" w:rsidRPr="00664F05" w:rsidRDefault="00664F05" w:rsidP="00AF7342">
      <w:pPr>
        <w:pStyle w:val="a9"/>
        <w:spacing w:before="62" w:after="62"/>
      </w:pPr>
      <w:r w:rsidRPr="00664F05">
        <w:rPr>
          <w:rFonts w:hint="eastAsia"/>
        </w:rPr>
        <w:t>第六章 资产评估与资产清查</w:t>
      </w:r>
    </w:p>
    <w:p w14:paraId="6D366028" w14:textId="770CAD5B" w:rsidR="00664F05" w:rsidRPr="00664F05" w:rsidRDefault="003B2FB1" w:rsidP="00664F05">
      <w:pPr>
        <w:pStyle w:val="13"/>
        <w:ind w:firstLine="482"/>
      </w:pPr>
      <w:r w:rsidRPr="003B2FB1">
        <w:rPr>
          <w:rFonts w:hint="eastAsia"/>
          <w:b/>
        </w:rPr>
        <w:t xml:space="preserve">第三十八条 </w:t>
      </w:r>
      <w:r w:rsidR="00664F05" w:rsidRPr="00664F05">
        <w:rPr>
          <w:rFonts w:hint="eastAsia"/>
        </w:rPr>
        <w:t>事业单位有下列情形之一的，应当对相关国有资产进行评估：</w:t>
      </w:r>
    </w:p>
    <w:p w14:paraId="5A13C1F6" w14:textId="77777777" w:rsidR="00664F05" w:rsidRPr="00664F05" w:rsidRDefault="00664F05" w:rsidP="00664F05">
      <w:pPr>
        <w:pStyle w:val="13"/>
      </w:pPr>
      <w:r w:rsidRPr="00664F05">
        <w:rPr>
          <w:rFonts w:hint="eastAsia"/>
        </w:rPr>
        <w:t>（一）整体或者部分改制为企业；</w:t>
      </w:r>
    </w:p>
    <w:p w14:paraId="4304D5B4" w14:textId="77777777" w:rsidR="00664F05" w:rsidRPr="00664F05" w:rsidRDefault="00664F05" w:rsidP="00664F05">
      <w:pPr>
        <w:pStyle w:val="13"/>
      </w:pPr>
      <w:r w:rsidRPr="00664F05">
        <w:rPr>
          <w:rFonts w:hint="eastAsia"/>
        </w:rPr>
        <w:lastRenderedPageBreak/>
        <w:t>（二）以非货币性资产对外投资；</w:t>
      </w:r>
    </w:p>
    <w:p w14:paraId="2B874457" w14:textId="77777777" w:rsidR="00664F05" w:rsidRPr="00664F05" w:rsidRDefault="00664F05" w:rsidP="00664F05">
      <w:pPr>
        <w:pStyle w:val="13"/>
      </w:pPr>
      <w:r w:rsidRPr="00664F05">
        <w:rPr>
          <w:rFonts w:hint="eastAsia"/>
        </w:rPr>
        <w:t>（三）合并、分立、清算；</w:t>
      </w:r>
    </w:p>
    <w:p w14:paraId="7F55914C" w14:textId="77777777" w:rsidR="00664F05" w:rsidRPr="00664F05" w:rsidRDefault="00664F05" w:rsidP="00664F05">
      <w:pPr>
        <w:pStyle w:val="13"/>
      </w:pPr>
      <w:r w:rsidRPr="00664F05">
        <w:rPr>
          <w:rFonts w:hint="eastAsia"/>
        </w:rPr>
        <w:t>（四）资产拍卖、转让、置换；</w:t>
      </w:r>
    </w:p>
    <w:p w14:paraId="10B40CB2" w14:textId="77777777" w:rsidR="00664F05" w:rsidRPr="00664F05" w:rsidRDefault="00664F05" w:rsidP="00664F05">
      <w:pPr>
        <w:pStyle w:val="13"/>
      </w:pPr>
      <w:r w:rsidRPr="00664F05">
        <w:rPr>
          <w:rFonts w:hint="eastAsia"/>
        </w:rPr>
        <w:t>（五）整体或者部分资产租赁给非国有单位；</w:t>
      </w:r>
    </w:p>
    <w:p w14:paraId="6657B458" w14:textId="77777777" w:rsidR="00664F05" w:rsidRPr="00664F05" w:rsidRDefault="00664F05" w:rsidP="00664F05">
      <w:pPr>
        <w:pStyle w:val="13"/>
      </w:pPr>
      <w:r w:rsidRPr="00664F05">
        <w:rPr>
          <w:rFonts w:hint="eastAsia"/>
        </w:rPr>
        <w:t>（六）确定涉讼资产价值；</w:t>
      </w:r>
    </w:p>
    <w:p w14:paraId="4DAE9033" w14:textId="77777777" w:rsidR="00664F05" w:rsidRPr="00664F05" w:rsidRDefault="00664F05" w:rsidP="00664F05">
      <w:pPr>
        <w:pStyle w:val="13"/>
      </w:pPr>
      <w:r w:rsidRPr="00664F05">
        <w:rPr>
          <w:rFonts w:hint="eastAsia"/>
        </w:rPr>
        <w:t>（七）法律、行政法规规定的其他需要进行评估的事项。</w:t>
      </w:r>
    </w:p>
    <w:p w14:paraId="3CDED483" w14:textId="2F02D25A" w:rsidR="00664F05" w:rsidRPr="00664F05" w:rsidRDefault="003B2FB1" w:rsidP="00664F05">
      <w:pPr>
        <w:pStyle w:val="13"/>
        <w:ind w:firstLine="482"/>
      </w:pPr>
      <w:r w:rsidRPr="003B2FB1">
        <w:rPr>
          <w:rFonts w:hint="eastAsia"/>
          <w:b/>
        </w:rPr>
        <w:t xml:space="preserve">第三十九条 </w:t>
      </w:r>
      <w:r w:rsidR="00664F05" w:rsidRPr="00664F05">
        <w:rPr>
          <w:rFonts w:hint="eastAsia"/>
        </w:rPr>
        <w:t>事业单位有下列情形之一的，可以不进行资产评估：</w:t>
      </w:r>
    </w:p>
    <w:p w14:paraId="4B8B7337" w14:textId="77777777" w:rsidR="00664F05" w:rsidRPr="00664F05" w:rsidRDefault="00664F05" w:rsidP="00664F05">
      <w:pPr>
        <w:pStyle w:val="13"/>
      </w:pPr>
      <w:r w:rsidRPr="00664F05">
        <w:rPr>
          <w:rFonts w:hint="eastAsia"/>
        </w:rPr>
        <w:t>（一）经批准事业单位整体或者部分资产无偿划转；</w:t>
      </w:r>
    </w:p>
    <w:p w14:paraId="3FCFE5B7" w14:textId="77777777" w:rsidR="00664F05" w:rsidRPr="00664F05" w:rsidRDefault="00664F05" w:rsidP="00664F05">
      <w:pPr>
        <w:pStyle w:val="13"/>
      </w:pPr>
      <w:r w:rsidRPr="00664F05">
        <w:rPr>
          <w:rFonts w:hint="eastAsia"/>
        </w:rPr>
        <w:t>（二）行政、事业单位下属的事业单位之间的合并、资产划转、置换和转让；</w:t>
      </w:r>
    </w:p>
    <w:p w14:paraId="25AC6411" w14:textId="77777777" w:rsidR="00664F05" w:rsidRPr="00664F05" w:rsidRDefault="00664F05" w:rsidP="00664F05">
      <w:pPr>
        <w:pStyle w:val="13"/>
      </w:pPr>
      <w:r w:rsidRPr="00664F05">
        <w:rPr>
          <w:rFonts w:hint="eastAsia"/>
        </w:rPr>
        <w:t>（三）国家设立的研究开发机构、高等院校将其持有的科技成果转让、许可或者作价投资给国有全资企业的；</w:t>
      </w:r>
    </w:p>
    <w:p w14:paraId="618797B2" w14:textId="77777777" w:rsidR="00664F05" w:rsidRPr="00664F05" w:rsidRDefault="00664F05" w:rsidP="00664F05">
      <w:pPr>
        <w:pStyle w:val="13"/>
      </w:pPr>
      <w:r w:rsidRPr="00664F05">
        <w:rPr>
          <w:rFonts w:hint="eastAsia"/>
        </w:rPr>
        <w:t>（四）发生其他不影响国有资产权益的特殊产权变动行为，报经同级财政部门确认可以不进行资产评估的。</w:t>
      </w:r>
    </w:p>
    <w:p w14:paraId="29D3785C" w14:textId="7EEBEB0F" w:rsidR="00664F05" w:rsidRPr="00664F05" w:rsidRDefault="003B2FB1" w:rsidP="00664F05">
      <w:pPr>
        <w:pStyle w:val="13"/>
        <w:ind w:firstLine="482"/>
      </w:pPr>
      <w:r w:rsidRPr="003B2FB1">
        <w:rPr>
          <w:rFonts w:hint="eastAsia"/>
          <w:b/>
          <w:bCs/>
        </w:rPr>
        <w:t xml:space="preserve">第四十条 </w:t>
      </w:r>
      <w:r w:rsidR="00664F05" w:rsidRPr="00664F05">
        <w:rPr>
          <w:rFonts w:hint="eastAsia"/>
        </w:rPr>
        <w:t>国家设立的研究开发机构、高等院校将其持有的科技成果转让、许可或者作价投资给非国有全资企业的，由单位自主决定是否进行资产评估。</w:t>
      </w:r>
    </w:p>
    <w:p w14:paraId="30BD1C18" w14:textId="47EB9775" w:rsidR="00664F05" w:rsidRPr="00664F05" w:rsidRDefault="003B2FB1" w:rsidP="00664F05">
      <w:pPr>
        <w:pStyle w:val="13"/>
        <w:ind w:firstLine="482"/>
      </w:pPr>
      <w:r w:rsidRPr="003B2FB1">
        <w:rPr>
          <w:rFonts w:hint="eastAsia"/>
          <w:b/>
          <w:bCs/>
        </w:rPr>
        <w:t xml:space="preserve">第四十一条 </w:t>
      </w:r>
      <w:r w:rsidR="00664F05" w:rsidRPr="00664F05">
        <w:rPr>
          <w:rFonts w:hint="eastAsia"/>
        </w:rPr>
        <w:t>事业单位国有资产评估工作应当委托具有资产评估资质的评估机构进行。事业单位应当如实向资产评估机构提供有关情况和资料，并对所提供的情况和资料的客观性、真实性和合法性负责。</w:t>
      </w:r>
    </w:p>
    <w:p w14:paraId="61EB80CF" w14:textId="77777777" w:rsidR="00664F05" w:rsidRPr="00664F05" w:rsidRDefault="00664F05" w:rsidP="00664F05">
      <w:pPr>
        <w:pStyle w:val="13"/>
      </w:pPr>
      <w:r w:rsidRPr="00664F05">
        <w:rPr>
          <w:rFonts w:hint="eastAsia"/>
        </w:rPr>
        <w:t>事业单位不得以任何形式干预资产评估机构独立执业。</w:t>
      </w:r>
    </w:p>
    <w:p w14:paraId="22B978F7" w14:textId="410C3FF2" w:rsidR="00664F05" w:rsidRPr="00664F05" w:rsidRDefault="003B2FB1" w:rsidP="00664F05">
      <w:pPr>
        <w:pStyle w:val="13"/>
        <w:ind w:firstLine="482"/>
      </w:pPr>
      <w:r w:rsidRPr="003B2FB1">
        <w:rPr>
          <w:rFonts w:hint="eastAsia"/>
          <w:b/>
          <w:bCs/>
        </w:rPr>
        <w:t xml:space="preserve">第四十二条 </w:t>
      </w:r>
      <w:r w:rsidR="00664F05" w:rsidRPr="00664F05">
        <w:rPr>
          <w:rFonts w:hint="eastAsia"/>
        </w:rPr>
        <w:t>事业单位国有资产评估项目实行核准制和备案制。核准和备案工作按照国家有关国有资产评估项目核准和备案管理的规定执行。</w:t>
      </w:r>
    </w:p>
    <w:p w14:paraId="4062678F" w14:textId="6394F473" w:rsidR="00664F05" w:rsidRPr="00664F05" w:rsidRDefault="003B2FB1" w:rsidP="00664F05">
      <w:pPr>
        <w:pStyle w:val="13"/>
        <w:ind w:firstLine="482"/>
      </w:pPr>
      <w:r w:rsidRPr="003B2FB1">
        <w:rPr>
          <w:rFonts w:hint="eastAsia"/>
          <w:b/>
          <w:bCs/>
        </w:rPr>
        <w:t xml:space="preserve">第四十三条 </w:t>
      </w:r>
      <w:r w:rsidR="00664F05" w:rsidRPr="00664F05">
        <w:rPr>
          <w:rFonts w:hint="eastAsia"/>
        </w:rPr>
        <w:t>事业单位有下列情形之一的，应当进行资产清查：</w:t>
      </w:r>
    </w:p>
    <w:p w14:paraId="1A2BABE6" w14:textId="77777777" w:rsidR="00664F05" w:rsidRPr="00664F05" w:rsidRDefault="00664F05" w:rsidP="00664F05">
      <w:pPr>
        <w:pStyle w:val="13"/>
      </w:pPr>
      <w:r w:rsidRPr="00664F05">
        <w:rPr>
          <w:rFonts w:hint="eastAsia"/>
        </w:rPr>
        <w:t>（一）根据国家专项工作要求或者本级政府实际工作需要，被纳入统一组织的资产清查范围的；</w:t>
      </w:r>
    </w:p>
    <w:p w14:paraId="186E4CF5" w14:textId="77777777" w:rsidR="00664F05" w:rsidRPr="00664F05" w:rsidRDefault="00664F05" w:rsidP="00664F05">
      <w:pPr>
        <w:pStyle w:val="13"/>
      </w:pPr>
      <w:r w:rsidRPr="00664F05">
        <w:rPr>
          <w:rFonts w:hint="eastAsia"/>
        </w:rPr>
        <w:t>（二）进行重大改革或者整体、部分改制为企业的；</w:t>
      </w:r>
    </w:p>
    <w:p w14:paraId="5A8B0188" w14:textId="77777777" w:rsidR="00664F05" w:rsidRPr="00664F05" w:rsidRDefault="00664F05" w:rsidP="00664F05">
      <w:pPr>
        <w:pStyle w:val="13"/>
      </w:pPr>
      <w:r w:rsidRPr="00664F05">
        <w:rPr>
          <w:rFonts w:hint="eastAsia"/>
        </w:rPr>
        <w:t>（三）遭受重大自然灾害等不可抗力造成资产严重损失的；</w:t>
      </w:r>
    </w:p>
    <w:p w14:paraId="21C6B6E5" w14:textId="77777777" w:rsidR="00664F05" w:rsidRPr="00664F05" w:rsidRDefault="00664F05" w:rsidP="00664F05">
      <w:pPr>
        <w:pStyle w:val="13"/>
      </w:pPr>
      <w:r w:rsidRPr="00664F05">
        <w:rPr>
          <w:rFonts w:hint="eastAsia"/>
        </w:rPr>
        <w:t>（四）会计信息严重失真或者国有资产出现重大流失的；</w:t>
      </w:r>
    </w:p>
    <w:p w14:paraId="5F6325AA" w14:textId="77777777" w:rsidR="00664F05" w:rsidRPr="00664F05" w:rsidRDefault="00664F05" w:rsidP="00664F05">
      <w:pPr>
        <w:pStyle w:val="13"/>
      </w:pPr>
      <w:r w:rsidRPr="00664F05">
        <w:rPr>
          <w:rFonts w:hint="eastAsia"/>
        </w:rPr>
        <w:t>（五）会计政策发生重大更改，涉及资产核算方法发生重要变化的；</w:t>
      </w:r>
    </w:p>
    <w:p w14:paraId="79A8C69E" w14:textId="77777777" w:rsidR="00664F05" w:rsidRPr="00664F05" w:rsidRDefault="00664F05" w:rsidP="00664F05">
      <w:pPr>
        <w:pStyle w:val="13"/>
      </w:pPr>
      <w:r w:rsidRPr="00664F05">
        <w:rPr>
          <w:rFonts w:hint="eastAsia"/>
        </w:rPr>
        <w:t>（六）同级财政部门认为应当进行资产清查的其他情形。</w:t>
      </w:r>
    </w:p>
    <w:p w14:paraId="5AD88FC3" w14:textId="5279F5CB" w:rsidR="00664F05" w:rsidRPr="00664F05" w:rsidRDefault="003B2FB1" w:rsidP="00664F05">
      <w:pPr>
        <w:pStyle w:val="13"/>
        <w:ind w:firstLine="482"/>
      </w:pPr>
      <w:r w:rsidRPr="003B2FB1">
        <w:rPr>
          <w:rFonts w:hint="eastAsia"/>
          <w:b/>
          <w:bCs/>
        </w:rPr>
        <w:t xml:space="preserve">第四十四条 </w:t>
      </w:r>
      <w:r w:rsidR="00664F05" w:rsidRPr="00664F05">
        <w:rPr>
          <w:rFonts w:hint="eastAsia"/>
        </w:rPr>
        <w:t>事业单位进行资产清查，应当向主管部门提出申请，并按照规定程序报同级财政部门批准立项后组织实施，但根据国家专项工作要求或者本级政府工作需要进行的资产清查除外。</w:t>
      </w:r>
    </w:p>
    <w:p w14:paraId="41100920" w14:textId="56093804" w:rsidR="00664F05" w:rsidRPr="00664F05" w:rsidRDefault="003B2FB1" w:rsidP="00664F05">
      <w:pPr>
        <w:pStyle w:val="13"/>
        <w:ind w:firstLine="482"/>
      </w:pPr>
      <w:r w:rsidRPr="003B2FB1">
        <w:rPr>
          <w:rFonts w:hint="eastAsia"/>
          <w:b/>
          <w:bCs/>
        </w:rPr>
        <w:t xml:space="preserve">第四十五条 </w:t>
      </w:r>
      <w:r w:rsidR="00664F05" w:rsidRPr="00664F05">
        <w:rPr>
          <w:rFonts w:hint="eastAsia"/>
        </w:rPr>
        <w:t>事业单位资产清查工作的内容主要包括基本情况清理、账务清理、财产清查、损溢认定、资产核实和完善制度等。资产清查的具体办法由财政部另行制</w:t>
      </w:r>
      <w:r w:rsidR="00664F05" w:rsidRPr="00664F05">
        <w:rPr>
          <w:rFonts w:hint="eastAsia"/>
        </w:rPr>
        <w:lastRenderedPageBreak/>
        <w:t>定。</w:t>
      </w:r>
    </w:p>
    <w:p w14:paraId="1F3AEFF0" w14:textId="77777777" w:rsidR="00664F05" w:rsidRPr="00664F05" w:rsidRDefault="00664F05" w:rsidP="00AF7342">
      <w:pPr>
        <w:pStyle w:val="a9"/>
        <w:spacing w:before="62" w:after="62"/>
      </w:pPr>
      <w:r w:rsidRPr="00664F05">
        <w:rPr>
          <w:rFonts w:hint="eastAsia"/>
        </w:rPr>
        <w:t>第七章 资产信息管理与报告</w:t>
      </w:r>
    </w:p>
    <w:p w14:paraId="33137F76" w14:textId="5DB8CC62" w:rsidR="00664F05" w:rsidRPr="00664F05" w:rsidRDefault="003B2FB1" w:rsidP="00664F05">
      <w:pPr>
        <w:pStyle w:val="13"/>
        <w:ind w:firstLine="482"/>
      </w:pPr>
      <w:r w:rsidRPr="003B2FB1">
        <w:rPr>
          <w:rFonts w:hint="eastAsia"/>
          <w:b/>
          <w:bCs/>
        </w:rPr>
        <w:t xml:space="preserve">第四十六条 </w:t>
      </w:r>
      <w:r w:rsidR="00664F05" w:rsidRPr="00664F05">
        <w:rPr>
          <w:rFonts w:hint="eastAsia"/>
        </w:rPr>
        <w:t>事业单位应当按照国有资产管理信息化的要求，及时将资产变动信息录入管理信息系统，对本单位资产实行动态管理，并在此基础上做好国有资产统计和信息报告工作。</w:t>
      </w:r>
    </w:p>
    <w:p w14:paraId="0E0DB154" w14:textId="708B4185" w:rsidR="00664F05" w:rsidRPr="00664F05" w:rsidRDefault="003B2FB1" w:rsidP="00664F05">
      <w:pPr>
        <w:pStyle w:val="13"/>
        <w:ind w:firstLine="482"/>
      </w:pPr>
      <w:r w:rsidRPr="003B2FB1">
        <w:rPr>
          <w:rFonts w:hint="eastAsia"/>
          <w:b/>
          <w:bCs/>
        </w:rPr>
        <w:t xml:space="preserve">第四十七条 </w:t>
      </w:r>
      <w:r w:rsidR="00664F05" w:rsidRPr="00664F05">
        <w:rPr>
          <w:rFonts w:hint="eastAsia"/>
        </w:rPr>
        <w:t>事业单位国有资产信息报告是事业单位财务会计报告的重要组成部分。事业单位应当按照财政部门规定的事业单位财务会计报告的格式、内容及要求，对其占有、使用的国有资产状况定期做出报告。</w:t>
      </w:r>
    </w:p>
    <w:p w14:paraId="3E58A6BA" w14:textId="77777777" w:rsidR="00664F05" w:rsidRPr="00664F05" w:rsidRDefault="00664F05" w:rsidP="00664F05">
      <w:pPr>
        <w:pStyle w:val="13"/>
        <w:ind w:firstLine="482"/>
      </w:pPr>
      <w:r w:rsidRPr="00664F05">
        <w:rPr>
          <w:rFonts w:hint="eastAsia"/>
          <w:b/>
          <w:bCs/>
        </w:rPr>
        <w:t>第四十八条</w:t>
      </w:r>
      <w:r w:rsidRPr="00664F05">
        <w:rPr>
          <w:rFonts w:hint="eastAsia"/>
        </w:rPr>
        <w:t xml:space="preserve"> 事业单位国有资产占有、使用状况，是主管部门、财政部门编制和安排事业单位预算的重要参考依据。各级财政部门、主管部门应当充分利用资产管理信息系统和资产信息报告，全面、动态地掌握事业单位国有资产占有、使用状况，建立和完善资产与预算有效结合的激励和约束机制。</w:t>
      </w:r>
    </w:p>
    <w:p w14:paraId="6A0104C9" w14:textId="77777777" w:rsidR="00664F05" w:rsidRPr="00664F05" w:rsidRDefault="00664F05" w:rsidP="00AF7342">
      <w:pPr>
        <w:pStyle w:val="a9"/>
        <w:spacing w:before="62" w:after="62"/>
      </w:pPr>
      <w:r w:rsidRPr="00664F05">
        <w:rPr>
          <w:rFonts w:hint="eastAsia"/>
        </w:rPr>
        <w:t>第八章 监督检查与法律责任</w:t>
      </w:r>
    </w:p>
    <w:p w14:paraId="44217D58" w14:textId="77777777" w:rsidR="00664F05" w:rsidRPr="00664F05" w:rsidRDefault="00664F05" w:rsidP="00664F05">
      <w:pPr>
        <w:pStyle w:val="13"/>
        <w:ind w:firstLine="482"/>
      </w:pPr>
      <w:r w:rsidRPr="00664F05">
        <w:rPr>
          <w:rFonts w:hint="eastAsia"/>
          <w:b/>
          <w:bCs/>
        </w:rPr>
        <w:t>第四十九条</w:t>
      </w:r>
      <w:r w:rsidRPr="00664F05">
        <w:rPr>
          <w:rFonts w:hint="eastAsia"/>
        </w:rPr>
        <w:t xml:space="preserve"> 财政部门、主管部门、事业单位及其工作人员，应当依法维护事业单位国有资产的安全完整，提高国有资产使用效益。</w:t>
      </w:r>
    </w:p>
    <w:p w14:paraId="53D26924" w14:textId="77777777" w:rsidR="00664F05" w:rsidRPr="00664F05" w:rsidRDefault="00664F05" w:rsidP="00664F05">
      <w:pPr>
        <w:pStyle w:val="13"/>
        <w:ind w:firstLine="482"/>
      </w:pPr>
      <w:r w:rsidRPr="00664F05">
        <w:rPr>
          <w:rFonts w:hint="eastAsia"/>
          <w:b/>
          <w:bCs/>
        </w:rPr>
        <w:t>第五十条</w:t>
      </w:r>
      <w:r w:rsidRPr="00664F05">
        <w:rPr>
          <w:rFonts w:hint="eastAsia"/>
        </w:rPr>
        <w:t xml:space="preserve"> 财政部门、主管部门和事业单位应当建立健全科学合理的事业单位国有资产监督管理责任制，将资产监督、管理的责任落实到具体部门、单位和个人。</w:t>
      </w:r>
    </w:p>
    <w:p w14:paraId="4A18718E" w14:textId="77777777" w:rsidR="00664F05" w:rsidRPr="00664F05" w:rsidRDefault="00664F05" w:rsidP="00664F05">
      <w:pPr>
        <w:pStyle w:val="13"/>
        <w:ind w:firstLine="482"/>
      </w:pPr>
      <w:r w:rsidRPr="00664F05">
        <w:rPr>
          <w:rFonts w:hint="eastAsia"/>
          <w:b/>
          <w:bCs/>
        </w:rPr>
        <w:t>第五十一条</w:t>
      </w:r>
      <w:r w:rsidRPr="00664F05">
        <w:rPr>
          <w:rFonts w:hint="eastAsia"/>
        </w:rPr>
        <w:t xml:space="preserve"> 事业单位国有资产监督应当坚持单位内部监督与财政监督、审计监督、社会监督相结合，事前监督与事中监督、事后监督相结合，日常监督与专项检查相结合。</w:t>
      </w:r>
    </w:p>
    <w:p w14:paraId="26C92882" w14:textId="77777777" w:rsidR="00664F05" w:rsidRPr="00664F05" w:rsidRDefault="00664F05" w:rsidP="00664F05">
      <w:pPr>
        <w:pStyle w:val="13"/>
        <w:ind w:firstLine="482"/>
      </w:pPr>
      <w:r w:rsidRPr="00664F05">
        <w:rPr>
          <w:rFonts w:hint="eastAsia"/>
          <w:b/>
          <w:bCs/>
        </w:rPr>
        <w:t>第五十二条</w:t>
      </w:r>
      <w:r w:rsidRPr="00664F05">
        <w:rPr>
          <w:rFonts w:hint="eastAsia"/>
        </w:rPr>
        <w:t xml:space="preserve"> 事业单位及其工作人员违反本办法，有下列行为之一的，依据《财政违法行为处罚处分条例》的规定进行处罚、处理、处分：</w:t>
      </w:r>
    </w:p>
    <w:p w14:paraId="0E23C77D" w14:textId="77777777" w:rsidR="00664F05" w:rsidRPr="00664F05" w:rsidRDefault="00664F05" w:rsidP="00664F05">
      <w:pPr>
        <w:pStyle w:val="13"/>
      </w:pPr>
      <w:r w:rsidRPr="00664F05">
        <w:rPr>
          <w:rFonts w:hint="eastAsia"/>
        </w:rPr>
        <w:t>（一）以虚报、冒领等手段骗取财政资金的；</w:t>
      </w:r>
    </w:p>
    <w:p w14:paraId="0DA8CC19" w14:textId="77777777" w:rsidR="00664F05" w:rsidRPr="00664F05" w:rsidRDefault="00664F05" w:rsidP="00664F05">
      <w:pPr>
        <w:pStyle w:val="13"/>
      </w:pPr>
      <w:r w:rsidRPr="00664F05">
        <w:rPr>
          <w:rFonts w:hint="eastAsia"/>
        </w:rPr>
        <w:t>（二）擅自占有、使用和处置国有资产的；</w:t>
      </w:r>
    </w:p>
    <w:p w14:paraId="1FAA8BB6" w14:textId="77777777" w:rsidR="00664F05" w:rsidRPr="00664F05" w:rsidRDefault="00664F05" w:rsidP="00664F05">
      <w:pPr>
        <w:pStyle w:val="13"/>
      </w:pPr>
      <w:r w:rsidRPr="00664F05">
        <w:rPr>
          <w:rFonts w:hint="eastAsia"/>
        </w:rPr>
        <w:t>（三）擅自提供担保的；</w:t>
      </w:r>
    </w:p>
    <w:p w14:paraId="6CBE9A88" w14:textId="77777777" w:rsidR="00664F05" w:rsidRPr="00664F05" w:rsidRDefault="00664F05" w:rsidP="00664F05">
      <w:pPr>
        <w:pStyle w:val="13"/>
      </w:pPr>
      <w:r w:rsidRPr="00664F05">
        <w:rPr>
          <w:rFonts w:hint="eastAsia"/>
        </w:rPr>
        <w:t>（四）通过串通作弊、暗箱操作等低价处置国有资产的；</w:t>
      </w:r>
    </w:p>
    <w:p w14:paraId="673B564E" w14:textId="77777777" w:rsidR="00664F05" w:rsidRPr="00664F05" w:rsidRDefault="00664F05" w:rsidP="00664F05">
      <w:pPr>
        <w:pStyle w:val="13"/>
      </w:pPr>
      <w:r w:rsidRPr="00664F05">
        <w:rPr>
          <w:rFonts w:hint="eastAsia"/>
        </w:rPr>
        <w:t>（五）未按规定缴纳国有资产收益的。</w:t>
      </w:r>
    </w:p>
    <w:p w14:paraId="6A6AD4C3" w14:textId="77777777" w:rsidR="00664F05" w:rsidRPr="00664F05" w:rsidRDefault="00664F05" w:rsidP="00664F05">
      <w:pPr>
        <w:pStyle w:val="13"/>
        <w:ind w:firstLine="482"/>
      </w:pPr>
      <w:r w:rsidRPr="00664F05">
        <w:rPr>
          <w:rFonts w:hint="eastAsia"/>
          <w:b/>
          <w:bCs/>
        </w:rPr>
        <w:t>第五十三条</w:t>
      </w:r>
      <w:r w:rsidRPr="00664F05">
        <w:rPr>
          <w:rFonts w:hint="eastAsia"/>
        </w:rPr>
        <w:t xml:space="preserve"> 各级财政部门、主管部门及其工作人员在事业单位国有资产配置、使用、处置等管理工作中，存在违反本办法规定的行为，以及其他滥用职权、玩忽职守、徇私舞弊等违法违纪行为的，依照《中华人民共和国公务员法》《中华人民共和国监察法》《财政违法行为处罚处分条例》等国家有关规定追究相应责任；涉嫌犯罪的，依法移送司法机关处理。</w:t>
      </w:r>
    </w:p>
    <w:p w14:paraId="1F71224C" w14:textId="77777777" w:rsidR="00664F05" w:rsidRPr="00664F05" w:rsidRDefault="00664F05" w:rsidP="00664F05">
      <w:pPr>
        <w:pStyle w:val="13"/>
        <w:ind w:firstLine="482"/>
      </w:pPr>
      <w:r w:rsidRPr="00664F05">
        <w:rPr>
          <w:rFonts w:hint="eastAsia"/>
          <w:b/>
          <w:bCs/>
        </w:rPr>
        <w:t>第五十四条</w:t>
      </w:r>
      <w:r w:rsidRPr="00664F05">
        <w:rPr>
          <w:rFonts w:hint="eastAsia"/>
        </w:rPr>
        <w:t xml:space="preserve"> 主管部门在配置事业单位国有资产或者审核、批准国有资产使用、</w:t>
      </w:r>
      <w:r w:rsidRPr="00664F05">
        <w:rPr>
          <w:rFonts w:hint="eastAsia"/>
        </w:rPr>
        <w:lastRenderedPageBreak/>
        <w:t>处置事项的工作中违反本办法规定的，财政部门可以责令其限期改正，逾期不改的予以警告。</w:t>
      </w:r>
    </w:p>
    <w:p w14:paraId="523D6ED6" w14:textId="77777777" w:rsidR="00664F05" w:rsidRPr="00664F05" w:rsidRDefault="00664F05" w:rsidP="00664F05">
      <w:pPr>
        <w:pStyle w:val="13"/>
        <w:ind w:firstLine="482"/>
      </w:pPr>
      <w:r w:rsidRPr="00664F05">
        <w:rPr>
          <w:rFonts w:hint="eastAsia"/>
          <w:b/>
          <w:bCs/>
        </w:rPr>
        <w:t>第五十五条</w:t>
      </w:r>
      <w:r w:rsidRPr="00664F05">
        <w:rPr>
          <w:rFonts w:hint="eastAsia"/>
        </w:rPr>
        <w:t xml:space="preserve"> 违反本办法有关事业单位国有资产管理规定的其他行为，依据国家有关法律、法规及规章制度进行处理。</w:t>
      </w:r>
    </w:p>
    <w:p w14:paraId="19D1EE8C" w14:textId="77777777" w:rsidR="00664F05" w:rsidRPr="00664F05" w:rsidRDefault="00664F05" w:rsidP="00AF7342">
      <w:pPr>
        <w:pStyle w:val="a9"/>
        <w:spacing w:before="62" w:after="62"/>
      </w:pPr>
      <w:r w:rsidRPr="00664F05">
        <w:rPr>
          <w:rFonts w:hint="eastAsia"/>
        </w:rPr>
        <w:t>第九章 附则</w:t>
      </w:r>
    </w:p>
    <w:p w14:paraId="25B92C6E" w14:textId="77777777" w:rsidR="00664F05" w:rsidRPr="00664F05" w:rsidRDefault="00664F05" w:rsidP="00664F05">
      <w:pPr>
        <w:pStyle w:val="13"/>
        <w:ind w:firstLine="482"/>
      </w:pPr>
      <w:r w:rsidRPr="00664F05">
        <w:rPr>
          <w:rFonts w:hint="eastAsia"/>
          <w:b/>
          <w:bCs/>
        </w:rPr>
        <w:t>第五十六条</w:t>
      </w:r>
      <w:r w:rsidRPr="00664F05">
        <w:rPr>
          <w:rFonts w:hint="eastAsia"/>
        </w:rPr>
        <w:t xml:space="preserve"> 国家设立的研究开发机构、高等院校对其持有的科技成果，可以自主决定转让、许可或者作价投资，不需报主管部门、财政部门审批或者备案，并通过协议定价、在技术交易市场挂牌交易、拍卖等方式确定价格。通过协议定价的，应当在本单位公示科技成果名称和</w:t>
      </w:r>
      <w:proofErr w:type="gramStart"/>
      <w:r w:rsidRPr="00664F05">
        <w:rPr>
          <w:rFonts w:hint="eastAsia"/>
        </w:rPr>
        <w:t>拟交易</w:t>
      </w:r>
      <w:proofErr w:type="gramEnd"/>
      <w:r w:rsidRPr="00664F05">
        <w:rPr>
          <w:rFonts w:hint="eastAsia"/>
        </w:rPr>
        <w:t>价格。</w:t>
      </w:r>
    </w:p>
    <w:p w14:paraId="4BEA3AF2" w14:textId="77777777" w:rsidR="00664F05" w:rsidRPr="00664F05" w:rsidRDefault="00664F05" w:rsidP="00664F05">
      <w:pPr>
        <w:pStyle w:val="13"/>
      </w:pPr>
      <w:r w:rsidRPr="00664F05">
        <w:rPr>
          <w:rFonts w:hint="eastAsia"/>
        </w:rPr>
        <w:t>国家设立的研究开发机构、高等院校转化科技成果所获得的收入全部留归本单位。</w:t>
      </w:r>
    </w:p>
    <w:p w14:paraId="73E43E96" w14:textId="77777777" w:rsidR="00664F05" w:rsidRPr="00664F05" w:rsidRDefault="00664F05" w:rsidP="00664F05">
      <w:pPr>
        <w:pStyle w:val="13"/>
        <w:ind w:firstLine="482"/>
      </w:pPr>
      <w:r w:rsidRPr="00664F05">
        <w:rPr>
          <w:rFonts w:hint="eastAsia"/>
          <w:b/>
          <w:bCs/>
        </w:rPr>
        <w:t>第五十七条</w:t>
      </w:r>
      <w:r w:rsidRPr="00664F05">
        <w:rPr>
          <w:rFonts w:hint="eastAsia"/>
        </w:rPr>
        <w:t xml:space="preserve"> 社会团体和民办非企业单位中占有、使用国有资产的，参照本办法执行。参照公务员制度管理的事业单位和社会团体，依照国家关于行政单位国有资产管理的有关规定执行。</w:t>
      </w:r>
    </w:p>
    <w:p w14:paraId="1641F72E" w14:textId="77777777" w:rsidR="00664F05" w:rsidRPr="00664F05" w:rsidRDefault="00664F05" w:rsidP="00664F05">
      <w:pPr>
        <w:pStyle w:val="13"/>
        <w:ind w:firstLine="482"/>
      </w:pPr>
      <w:r w:rsidRPr="00664F05">
        <w:rPr>
          <w:rFonts w:hint="eastAsia"/>
          <w:b/>
          <w:bCs/>
        </w:rPr>
        <w:t>第五十八条</w:t>
      </w:r>
      <w:r w:rsidRPr="00664F05">
        <w:rPr>
          <w:rFonts w:hint="eastAsia"/>
        </w:rPr>
        <w:t xml:space="preserve"> 实行企业化管理并执行企业财务会计制度的事业单位，以及事业单位创办的具有法人资格的企业，由财政部门按照企业国有资产监督管理的有关规定实施监督管理。</w:t>
      </w:r>
    </w:p>
    <w:p w14:paraId="7BB46EC2" w14:textId="77777777" w:rsidR="00664F05" w:rsidRPr="00664F05" w:rsidRDefault="00664F05" w:rsidP="00664F05">
      <w:pPr>
        <w:pStyle w:val="13"/>
        <w:ind w:firstLine="482"/>
      </w:pPr>
      <w:r w:rsidRPr="00664F05">
        <w:rPr>
          <w:rFonts w:hint="eastAsia"/>
          <w:b/>
          <w:bCs/>
        </w:rPr>
        <w:t>第五十九条</w:t>
      </w:r>
      <w:r w:rsidRPr="00664F05">
        <w:rPr>
          <w:rFonts w:hint="eastAsia"/>
        </w:rPr>
        <w:t xml:space="preserve"> 地方财政部门制定的本地区和本级事业单位的国有资产管理规章制度，应当报上一级财政部门备案。</w:t>
      </w:r>
    </w:p>
    <w:p w14:paraId="5409FA84" w14:textId="77777777" w:rsidR="00664F05" w:rsidRPr="00664F05" w:rsidRDefault="00664F05" w:rsidP="00664F05">
      <w:pPr>
        <w:pStyle w:val="13"/>
      </w:pPr>
      <w:r w:rsidRPr="00664F05">
        <w:rPr>
          <w:rFonts w:hint="eastAsia"/>
        </w:rPr>
        <w:t>中央级事业单位的国有资产管理实施办法，由财政部会同有关部门根据本办法制定。</w:t>
      </w:r>
    </w:p>
    <w:p w14:paraId="1DDC857A" w14:textId="77777777" w:rsidR="00664F05" w:rsidRPr="00664F05" w:rsidRDefault="00664F05" w:rsidP="00664F05">
      <w:pPr>
        <w:pStyle w:val="13"/>
        <w:ind w:firstLine="482"/>
      </w:pPr>
      <w:r w:rsidRPr="00664F05">
        <w:rPr>
          <w:rFonts w:hint="eastAsia"/>
          <w:b/>
          <w:bCs/>
        </w:rPr>
        <w:t>第六十条</w:t>
      </w:r>
      <w:r w:rsidRPr="00664F05">
        <w:rPr>
          <w:rFonts w:hint="eastAsia"/>
        </w:rPr>
        <w:t xml:space="preserve"> 境外事业单位国有资产管理办法由财政部另行制定。中国人民解放军、武装警察部队以及经国家批准的特定事业单位的国有资产管理办法，由解放军总后勤部、武装警察部队和有关主管部门会同财政部另行制定。</w:t>
      </w:r>
    </w:p>
    <w:p w14:paraId="2FF965E6" w14:textId="77777777" w:rsidR="00664F05" w:rsidRPr="00664F05" w:rsidRDefault="00664F05" w:rsidP="00664F05">
      <w:pPr>
        <w:pStyle w:val="13"/>
      </w:pPr>
      <w:r w:rsidRPr="00664F05">
        <w:rPr>
          <w:rFonts w:hint="eastAsia"/>
        </w:rPr>
        <w:t>行业特点突出，需要制定行业事业单位国有资产管理办法的，由财政部会同有关主管部门根据本办法制定。</w:t>
      </w:r>
    </w:p>
    <w:p w14:paraId="0DC6F476" w14:textId="77777777" w:rsidR="00664F05" w:rsidRPr="00664F05" w:rsidRDefault="00664F05" w:rsidP="00664F05">
      <w:pPr>
        <w:pStyle w:val="13"/>
        <w:ind w:firstLine="482"/>
      </w:pPr>
      <w:r w:rsidRPr="00664F05">
        <w:rPr>
          <w:rFonts w:hint="eastAsia"/>
          <w:b/>
          <w:bCs/>
        </w:rPr>
        <w:t>第六十一条</w:t>
      </w:r>
      <w:r w:rsidRPr="00664F05">
        <w:rPr>
          <w:rFonts w:hint="eastAsia"/>
        </w:rPr>
        <w:t xml:space="preserve"> 本办法中有关资产配置、处置事项的“规定限额”由省级以上财政部门另行确定。</w:t>
      </w:r>
    </w:p>
    <w:p w14:paraId="249D066B" w14:textId="77777777" w:rsidR="00664F05" w:rsidRPr="00664F05" w:rsidRDefault="00664F05" w:rsidP="00664F05">
      <w:pPr>
        <w:pStyle w:val="13"/>
        <w:ind w:firstLine="482"/>
      </w:pPr>
      <w:r w:rsidRPr="00664F05">
        <w:rPr>
          <w:rFonts w:hint="eastAsia"/>
          <w:b/>
          <w:bCs/>
        </w:rPr>
        <w:t>第六十二条</w:t>
      </w:r>
      <w:r w:rsidRPr="00664F05">
        <w:rPr>
          <w:rFonts w:hint="eastAsia"/>
        </w:rPr>
        <w:t xml:space="preserve"> 本办法自2006年7月1日起施行。此前颁布的有关事业单位国有资产管理的规定与本办法相抵触的，按照本办法执行。</w:t>
      </w:r>
    </w:p>
    <w:p w14:paraId="6A92EF4A" w14:textId="2BEB15EC" w:rsidR="00FE2C85" w:rsidRPr="00664F05" w:rsidRDefault="00664F05" w:rsidP="00A90CD5">
      <w:pPr>
        <w:pStyle w:val="31"/>
        <w:spacing w:before="156" w:after="62"/>
      </w:pPr>
      <w:bookmarkStart w:id="243" w:name="_Toc81833476"/>
      <w:r>
        <w:rPr>
          <w:rFonts w:hint="eastAsia"/>
        </w:rPr>
        <w:t>《地方行政单位国有资产处置管理暂行办法》</w:t>
      </w:r>
      <w:r w:rsidR="00A90CD5">
        <w:rPr>
          <w:rFonts w:hint="eastAsia"/>
        </w:rPr>
        <w:t>（</w:t>
      </w:r>
      <w:proofErr w:type="gramStart"/>
      <w:r w:rsidR="00A90CD5" w:rsidRPr="00A90CD5">
        <w:rPr>
          <w:rFonts w:hint="eastAsia"/>
        </w:rPr>
        <w:t>财行〔</w:t>
      </w:r>
      <w:r w:rsidR="00A90CD5" w:rsidRPr="00A90CD5">
        <w:t>2014〕</w:t>
      </w:r>
      <w:proofErr w:type="gramEnd"/>
      <w:r w:rsidR="00A90CD5" w:rsidRPr="00A90CD5">
        <w:t>228号</w:t>
      </w:r>
      <w:r w:rsidR="00A90CD5">
        <w:rPr>
          <w:rFonts w:hint="eastAsia"/>
        </w:rPr>
        <w:t>）</w:t>
      </w:r>
      <w:bookmarkEnd w:id="243"/>
    </w:p>
    <w:p w14:paraId="659F9A15" w14:textId="77777777" w:rsidR="00A90CD5" w:rsidRDefault="00A90CD5" w:rsidP="00A90CD5">
      <w:pPr>
        <w:pStyle w:val="13"/>
        <w:ind w:firstLineChars="0" w:firstLine="0"/>
      </w:pPr>
      <w:r>
        <w:rPr>
          <w:rFonts w:hint="eastAsia"/>
        </w:rPr>
        <w:t>各省、自治区、直辖市、计划单列市财政厅（局）：</w:t>
      </w:r>
    </w:p>
    <w:p w14:paraId="36E70925" w14:textId="37909245" w:rsidR="00A90CD5" w:rsidRDefault="00A90CD5" w:rsidP="00A90CD5">
      <w:pPr>
        <w:pStyle w:val="13"/>
      </w:pPr>
      <w:r>
        <w:rPr>
          <w:rFonts w:hint="eastAsia"/>
        </w:rPr>
        <w:t>为加强行政单位国有资产管理，规范行政单位资产处置工作，我们制定了《地方</w:t>
      </w:r>
      <w:r>
        <w:rPr>
          <w:rFonts w:hint="eastAsia"/>
        </w:rPr>
        <w:lastRenderedPageBreak/>
        <w:t>行政单位国有资产处置管理暂行办法》。现印发给你们，请遵照执行。执行中遇到的问题，请及时向我部反映。</w:t>
      </w:r>
    </w:p>
    <w:p w14:paraId="5856B166" w14:textId="5E698901" w:rsidR="00A90CD5" w:rsidRDefault="00A90CD5" w:rsidP="00A90CD5">
      <w:pPr>
        <w:pStyle w:val="13"/>
        <w:jc w:val="right"/>
      </w:pPr>
      <w:r>
        <w:rPr>
          <w:rFonts w:hint="eastAsia"/>
        </w:rPr>
        <w:t>财政部</w:t>
      </w:r>
    </w:p>
    <w:p w14:paraId="7B1D0CED" w14:textId="10E0718C" w:rsidR="00FE2C85" w:rsidRPr="00A90CD5" w:rsidRDefault="00A90CD5" w:rsidP="00A90CD5">
      <w:pPr>
        <w:pStyle w:val="13"/>
        <w:jc w:val="right"/>
      </w:pPr>
      <w:r>
        <w:t>2014年8月20日</w:t>
      </w:r>
    </w:p>
    <w:p w14:paraId="20B1F608" w14:textId="77777777" w:rsidR="00A90CD5" w:rsidRDefault="00A90CD5" w:rsidP="00AF7342">
      <w:pPr>
        <w:pStyle w:val="a9"/>
        <w:spacing w:before="62" w:after="62"/>
      </w:pPr>
      <w:r>
        <w:rPr>
          <w:rFonts w:hint="eastAsia"/>
        </w:rPr>
        <w:t>地方行政单位国有资产处置管理暂行办法</w:t>
      </w:r>
    </w:p>
    <w:p w14:paraId="1A0E3979" w14:textId="53016DFD" w:rsidR="00A90CD5" w:rsidRDefault="00A90CD5" w:rsidP="00AF7342">
      <w:pPr>
        <w:pStyle w:val="a9"/>
        <w:spacing w:before="62" w:after="62"/>
      </w:pPr>
      <w:r>
        <w:rPr>
          <w:rFonts w:hint="eastAsia"/>
        </w:rPr>
        <w:t>第一章 总则</w:t>
      </w:r>
    </w:p>
    <w:p w14:paraId="04907D1D" w14:textId="28F722D1" w:rsidR="00A90CD5" w:rsidRDefault="004E3EBB" w:rsidP="00A90CD5">
      <w:pPr>
        <w:pStyle w:val="13"/>
        <w:ind w:firstLine="482"/>
      </w:pPr>
      <w:r w:rsidRPr="004E3EBB">
        <w:rPr>
          <w:rFonts w:hint="eastAsia"/>
          <w:b/>
        </w:rPr>
        <w:t xml:space="preserve">第一条 </w:t>
      </w:r>
      <w:r w:rsidR="00A90CD5">
        <w:rPr>
          <w:rFonts w:hint="eastAsia"/>
        </w:rPr>
        <w:t>为规范地方行政单位国有资产处置行为，维护国有资产的安全和完整，保障国家所有者权益，根据《党政机关厉行节约反对浪费条例》和《行政单位国有资产管理暂行办法》，制定本办法。</w:t>
      </w:r>
    </w:p>
    <w:p w14:paraId="361C710A" w14:textId="17C4FB66" w:rsidR="00A90CD5" w:rsidRDefault="004E3EBB" w:rsidP="00A90CD5">
      <w:pPr>
        <w:pStyle w:val="13"/>
        <w:ind w:firstLine="482"/>
      </w:pPr>
      <w:r w:rsidRPr="004E3EBB">
        <w:rPr>
          <w:rFonts w:hint="eastAsia"/>
          <w:b/>
        </w:rPr>
        <w:t xml:space="preserve">第二条 </w:t>
      </w:r>
      <w:r w:rsidR="00A90CD5">
        <w:rPr>
          <w:rFonts w:hint="eastAsia"/>
        </w:rPr>
        <w:t>本办法适用于地方各级党的机关、政府机关、人大机关、政协机关、审判机关、检察机关、各民主党派机关（以下统称地方行政单位）国有资产处置工作。</w:t>
      </w:r>
    </w:p>
    <w:p w14:paraId="7C296C9D" w14:textId="11EABB94" w:rsidR="00A90CD5" w:rsidRDefault="004E3EBB" w:rsidP="00A90CD5">
      <w:pPr>
        <w:pStyle w:val="13"/>
        <w:ind w:firstLine="482"/>
      </w:pPr>
      <w:r w:rsidRPr="004E3EBB">
        <w:rPr>
          <w:rFonts w:hint="eastAsia"/>
          <w:b/>
        </w:rPr>
        <w:t xml:space="preserve">第三条 </w:t>
      </w:r>
      <w:r w:rsidR="00A90CD5">
        <w:rPr>
          <w:rFonts w:hint="eastAsia"/>
        </w:rPr>
        <w:t>本办法所称的地方行政单位国有资产处置，是指行政单位对其占有、使用的资产，进行产权转移或核销的行为。处置方式包括：无偿转让、有偿转让、置换、报废、报损等。</w:t>
      </w:r>
    </w:p>
    <w:p w14:paraId="5C38B706" w14:textId="32009E62" w:rsidR="00A90CD5" w:rsidRDefault="004E3EBB" w:rsidP="00A90CD5">
      <w:pPr>
        <w:pStyle w:val="13"/>
        <w:ind w:firstLine="482"/>
      </w:pPr>
      <w:r w:rsidRPr="004E3EBB">
        <w:rPr>
          <w:rFonts w:hint="eastAsia"/>
          <w:b/>
        </w:rPr>
        <w:t xml:space="preserve">第四条 </w:t>
      </w:r>
      <w:r w:rsidR="00A90CD5">
        <w:rPr>
          <w:rFonts w:hint="eastAsia"/>
        </w:rPr>
        <w:t>地方财政部门是地方政府负责资产处置工作的职能部门，承担制度建设、处置审批及监督检查等管理工作。</w:t>
      </w:r>
    </w:p>
    <w:p w14:paraId="06D241EA" w14:textId="4525C643" w:rsidR="00A90CD5" w:rsidRDefault="00A90CD5" w:rsidP="00A90CD5">
      <w:pPr>
        <w:pStyle w:val="13"/>
      </w:pPr>
      <w:r>
        <w:rPr>
          <w:rFonts w:hint="eastAsia"/>
        </w:rPr>
        <w:t>地方财政部门可以根据工作需要，将资产处置工作交由有关单位完成。有关单位应当完成所交给的国有资产管理工作，向财政部门负责，并报告工作的完成情况。</w:t>
      </w:r>
    </w:p>
    <w:p w14:paraId="2980A2BE" w14:textId="3F7660C3" w:rsidR="00A90CD5" w:rsidRDefault="00A90CD5" w:rsidP="00AF7342">
      <w:pPr>
        <w:pStyle w:val="a9"/>
        <w:spacing w:before="62" w:after="62"/>
      </w:pPr>
      <w:r>
        <w:rPr>
          <w:rFonts w:hint="eastAsia"/>
        </w:rPr>
        <w:t>第二章 管理规定</w:t>
      </w:r>
    </w:p>
    <w:p w14:paraId="04A2E6BB" w14:textId="3681F1D9" w:rsidR="00A90CD5" w:rsidRDefault="004E3EBB" w:rsidP="00A90CD5">
      <w:pPr>
        <w:pStyle w:val="13"/>
        <w:ind w:firstLine="482"/>
      </w:pPr>
      <w:r w:rsidRPr="004E3EBB">
        <w:rPr>
          <w:rFonts w:hint="eastAsia"/>
          <w:b/>
        </w:rPr>
        <w:t xml:space="preserve">第五条 </w:t>
      </w:r>
      <w:r w:rsidR="00A90CD5">
        <w:rPr>
          <w:rFonts w:hint="eastAsia"/>
        </w:rPr>
        <w:t>资产处置应当遵循以下原则：</w:t>
      </w:r>
    </w:p>
    <w:p w14:paraId="787A5006" w14:textId="42718518" w:rsidR="00A90CD5" w:rsidRDefault="00A90CD5" w:rsidP="00A90CD5">
      <w:pPr>
        <w:pStyle w:val="13"/>
      </w:pPr>
      <w:r>
        <w:rPr>
          <w:rFonts w:hint="eastAsia"/>
        </w:rPr>
        <w:t>（一）符合法律、法规和规章规定；</w:t>
      </w:r>
    </w:p>
    <w:p w14:paraId="075CE9F3" w14:textId="180BCFEC" w:rsidR="00A90CD5" w:rsidRDefault="00A90CD5" w:rsidP="00A90CD5">
      <w:pPr>
        <w:pStyle w:val="13"/>
      </w:pPr>
      <w:r>
        <w:rPr>
          <w:rFonts w:hint="eastAsia"/>
        </w:rPr>
        <w:t>（二）厉行勤俭节约；</w:t>
      </w:r>
    </w:p>
    <w:p w14:paraId="1287B4D2" w14:textId="18346149" w:rsidR="00A90CD5" w:rsidRDefault="00A90CD5" w:rsidP="00A90CD5">
      <w:pPr>
        <w:pStyle w:val="13"/>
      </w:pPr>
      <w:r>
        <w:rPr>
          <w:rFonts w:hint="eastAsia"/>
        </w:rPr>
        <w:t>（三）公开、公平、公正；</w:t>
      </w:r>
    </w:p>
    <w:p w14:paraId="7B308FD6" w14:textId="2C84EB1D" w:rsidR="00A90CD5" w:rsidRDefault="00A90CD5" w:rsidP="00A90CD5">
      <w:pPr>
        <w:pStyle w:val="13"/>
      </w:pPr>
      <w:r>
        <w:rPr>
          <w:rFonts w:hint="eastAsia"/>
        </w:rPr>
        <w:t>（四）与资产配置、使用相结合。</w:t>
      </w:r>
    </w:p>
    <w:p w14:paraId="110B03C0" w14:textId="351BDA6C" w:rsidR="00A90CD5" w:rsidRDefault="004E3EBB" w:rsidP="00A90CD5">
      <w:pPr>
        <w:pStyle w:val="13"/>
        <w:ind w:firstLine="482"/>
      </w:pPr>
      <w:r w:rsidRPr="004E3EBB">
        <w:rPr>
          <w:rFonts w:hint="eastAsia"/>
          <w:b/>
        </w:rPr>
        <w:t xml:space="preserve">第六条 </w:t>
      </w:r>
      <w:r w:rsidR="00A90CD5">
        <w:rPr>
          <w:rFonts w:hint="eastAsia"/>
        </w:rPr>
        <w:t>地方行政单位需处置的国有资产范围包括：</w:t>
      </w:r>
    </w:p>
    <w:p w14:paraId="6E9B8BBA" w14:textId="64A84F54" w:rsidR="00A90CD5" w:rsidRDefault="00A90CD5" w:rsidP="00A90CD5">
      <w:pPr>
        <w:pStyle w:val="13"/>
      </w:pPr>
      <w:r>
        <w:rPr>
          <w:rFonts w:hint="eastAsia"/>
        </w:rPr>
        <w:t>（一）闲置资产；</w:t>
      </w:r>
    </w:p>
    <w:p w14:paraId="604C5A80" w14:textId="27F823F5" w:rsidR="00A90CD5" w:rsidRDefault="00A90CD5" w:rsidP="00A90CD5">
      <w:pPr>
        <w:pStyle w:val="13"/>
      </w:pPr>
      <w:r>
        <w:rPr>
          <w:rFonts w:hint="eastAsia"/>
        </w:rPr>
        <w:t>（二）超标准配置的资产；</w:t>
      </w:r>
    </w:p>
    <w:p w14:paraId="6C38CB1F" w14:textId="758841B2" w:rsidR="00A90CD5" w:rsidRDefault="00A90CD5" w:rsidP="00A90CD5">
      <w:pPr>
        <w:pStyle w:val="13"/>
      </w:pPr>
      <w:r>
        <w:rPr>
          <w:rFonts w:hint="eastAsia"/>
        </w:rPr>
        <w:t>（三）因技术原因并经过科学论证，确需报废、淘汰的资产；</w:t>
      </w:r>
    </w:p>
    <w:p w14:paraId="59D5504F" w14:textId="074D45C0" w:rsidR="00A90CD5" w:rsidRDefault="00A90CD5" w:rsidP="00A90CD5">
      <w:pPr>
        <w:pStyle w:val="13"/>
      </w:pPr>
      <w:r>
        <w:rPr>
          <w:rFonts w:hint="eastAsia"/>
        </w:rPr>
        <w:t>（四）因单位分立、撤销、合并、改制、隶属关系改变等原因发生的产权转移的资产；</w:t>
      </w:r>
    </w:p>
    <w:p w14:paraId="6776BDD7" w14:textId="3A79826F" w:rsidR="00A90CD5" w:rsidRDefault="00A90CD5" w:rsidP="00A90CD5">
      <w:pPr>
        <w:pStyle w:val="13"/>
      </w:pPr>
      <w:r>
        <w:rPr>
          <w:rFonts w:hint="eastAsia"/>
        </w:rPr>
        <w:t>（五）呆账及非</w:t>
      </w:r>
      <w:proofErr w:type="gramStart"/>
      <w:r>
        <w:rPr>
          <w:rFonts w:hint="eastAsia"/>
        </w:rPr>
        <w:t>正常损失</w:t>
      </w:r>
      <w:proofErr w:type="gramEnd"/>
      <w:r>
        <w:rPr>
          <w:rFonts w:hint="eastAsia"/>
        </w:rPr>
        <w:t>的资产；</w:t>
      </w:r>
    </w:p>
    <w:p w14:paraId="515DC476" w14:textId="628DB231" w:rsidR="00A90CD5" w:rsidRDefault="00A90CD5" w:rsidP="00A90CD5">
      <w:pPr>
        <w:pStyle w:val="13"/>
      </w:pPr>
      <w:r>
        <w:rPr>
          <w:rFonts w:hint="eastAsia"/>
        </w:rPr>
        <w:t>（六）已超过使用年限无需继续使用的资产；</w:t>
      </w:r>
    </w:p>
    <w:p w14:paraId="1546B72A" w14:textId="70F9E1C8" w:rsidR="00A90CD5" w:rsidRDefault="00A90CD5" w:rsidP="00A90CD5">
      <w:pPr>
        <w:pStyle w:val="13"/>
      </w:pPr>
      <w:r>
        <w:rPr>
          <w:rFonts w:hint="eastAsia"/>
        </w:rPr>
        <w:t>（七）依照国家有关规定需要进行资产处置的其他情形。</w:t>
      </w:r>
    </w:p>
    <w:p w14:paraId="54ED86FF" w14:textId="1DAEF327" w:rsidR="00A90CD5" w:rsidRDefault="004E3EBB" w:rsidP="00A90CD5">
      <w:pPr>
        <w:pStyle w:val="13"/>
        <w:ind w:firstLine="482"/>
      </w:pPr>
      <w:r w:rsidRPr="004E3EBB">
        <w:rPr>
          <w:rFonts w:hint="eastAsia"/>
          <w:b/>
        </w:rPr>
        <w:lastRenderedPageBreak/>
        <w:t xml:space="preserve">第七条 </w:t>
      </w:r>
      <w:r w:rsidR="00A90CD5">
        <w:rPr>
          <w:rFonts w:hint="eastAsia"/>
        </w:rPr>
        <w:t>需处置资产应当产权清晰，权属关系不明或存在权属纠纷的资产，需待权属界定明确后予以处置。</w:t>
      </w:r>
    </w:p>
    <w:p w14:paraId="3760BC14" w14:textId="680472AF" w:rsidR="00A90CD5" w:rsidRDefault="004E3EBB" w:rsidP="00A90CD5">
      <w:pPr>
        <w:pStyle w:val="13"/>
        <w:ind w:firstLine="482"/>
      </w:pPr>
      <w:r w:rsidRPr="004E3EBB">
        <w:rPr>
          <w:rFonts w:hint="eastAsia"/>
          <w:b/>
        </w:rPr>
        <w:t xml:space="preserve">第八条 </w:t>
      </w:r>
      <w:r w:rsidR="00A90CD5">
        <w:rPr>
          <w:rFonts w:hint="eastAsia"/>
        </w:rPr>
        <w:t>资产处置应当严格履行审批手续。未履行审批手续的，不得处置。</w:t>
      </w:r>
    </w:p>
    <w:p w14:paraId="151C2422" w14:textId="0544566F" w:rsidR="00A90CD5" w:rsidRDefault="00A90CD5" w:rsidP="00A90CD5">
      <w:pPr>
        <w:pStyle w:val="13"/>
      </w:pPr>
      <w:r>
        <w:rPr>
          <w:rFonts w:hint="eastAsia"/>
        </w:rPr>
        <w:t>资产处置事项的批复，是编制资产配置预算的重要依据。资产处置事项的批复和处置交易凭证，是单位进行相关资产和会计账务处理、相关部门办理资产产权变更和登记手续的依据。</w:t>
      </w:r>
    </w:p>
    <w:p w14:paraId="73A2F029" w14:textId="327FD8E4" w:rsidR="00A90CD5" w:rsidRDefault="00E05BDA" w:rsidP="00A90CD5">
      <w:pPr>
        <w:pStyle w:val="13"/>
        <w:ind w:firstLine="482"/>
      </w:pPr>
      <w:r w:rsidRPr="00E05BDA">
        <w:rPr>
          <w:rFonts w:hint="eastAsia"/>
          <w:b/>
        </w:rPr>
        <w:t xml:space="preserve">第九条 </w:t>
      </w:r>
      <w:r w:rsidR="00A90CD5">
        <w:rPr>
          <w:rFonts w:hint="eastAsia"/>
        </w:rPr>
        <w:t>地方行政单位应当充分利用信息化等管理手段，及时准确反映资产增减变动情况和处置收入情况。</w:t>
      </w:r>
    </w:p>
    <w:p w14:paraId="4CE43D7E" w14:textId="0DBBC8E1" w:rsidR="00A90CD5" w:rsidRDefault="00E05BDA" w:rsidP="00A90CD5">
      <w:pPr>
        <w:pStyle w:val="13"/>
        <w:ind w:firstLine="482"/>
      </w:pPr>
      <w:r w:rsidRPr="00E05BDA">
        <w:rPr>
          <w:rFonts w:hint="eastAsia"/>
          <w:b/>
        </w:rPr>
        <w:t xml:space="preserve">第十条 </w:t>
      </w:r>
      <w:r w:rsidR="00A90CD5">
        <w:rPr>
          <w:rFonts w:hint="eastAsia"/>
        </w:rPr>
        <w:t>地方财政部门可根据实际情况，逐步建立集中处置管理制度，对地方行政单位国有资产进行统一处置。</w:t>
      </w:r>
    </w:p>
    <w:p w14:paraId="6B17FA7D" w14:textId="6F8847ED" w:rsidR="00A90CD5" w:rsidRDefault="00A90CD5" w:rsidP="00A90CD5">
      <w:pPr>
        <w:pStyle w:val="13"/>
      </w:pPr>
      <w:r>
        <w:rPr>
          <w:rFonts w:hint="eastAsia"/>
        </w:rPr>
        <w:t>对地方行政单位重要事项及召开重大会议、举办大型活动而临时购置的资产，实行统一处置。</w:t>
      </w:r>
    </w:p>
    <w:p w14:paraId="11F186F2" w14:textId="5A6772D6" w:rsidR="00A90CD5" w:rsidRDefault="00E05BDA" w:rsidP="00A90CD5">
      <w:pPr>
        <w:pStyle w:val="13"/>
        <w:ind w:firstLine="482"/>
      </w:pPr>
      <w:r w:rsidRPr="00E05BDA">
        <w:rPr>
          <w:rFonts w:hint="eastAsia"/>
          <w:b/>
        </w:rPr>
        <w:t xml:space="preserve">第十一条 </w:t>
      </w:r>
      <w:r w:rsidR="00A90CD5">
        <w:rPr>
          <w:rFonts w:hint="eastAsia"/>
        </w:rPr>
        <w:t>地方行政单位应当建立健全资产内部管理制度，明确岗位职责，完善处置流程，规范处置行为。</w:t>
      </w:r>
    </w:p>
    <w:p w14:paraId="79D2BD5D" w14:textId="0B356166" w:rsidR="00A90CD5" w:rsidRDefault="00E05BDA" w:rsidP="00A90CD5">
      <w:pPr>
        <w:pStyle w:val="13"/>
        <w:ind w:firstLine="482"/>
      </w:pPr>
      <w:r w:rsidRPr="00E05BDA">
        <w:rPr>
          <w:rFonts w:hint="eastAsia"/>
          <w:b/>
        </w:rPr>
        <w:t xml:space="preserve">第十二条 </w:t>
      </w:r>
      <w:r w:rsidR="00A90CD5">
        <w:rPr>
          <w:rFonts w:hint="eastAsia"/>
        </w:rPr>
        <w:t>地方行政单位通过无偿转让和置换取得的资产，应当符合资产配置标准，与其工作职责和人员编制情况相符。</w:t>
      </w:r>
    </w:p>
    <w:p w14:paraId="24B7959E" w14:textId="5E01327A" w:rsidR="00A90CD5" w:rsidRDefault="00A90CD5" w:rsidP="00A90CD5">
      <w:pPr>
        <w:pStyle w:val="13"/>
      </w:pPr>
      <w:r>
        <w:rPr>
          <w:rFonts w:hint="eastAsia"/>
        </w:rPr>
        <w:t>通过无偿转让和置换取得办公用房的，应当执行新建办公用房各项标准，不得以未使用政府预算建设资金、资产整合等名义规避审批。</w:t>
      </w:r>
    </w:p>
    <w:p w14:paraId="31F3998D" w14:textId="29342D95" w:rsidR="00A90CD5" w:rsidRDefault="00E05BDA" w:rsidP="00A90CD5">
      <w:pPr>
        <w:pStyle w:val="13"/>
        <w:ind w:firstLine="482"/>
      </w:pPr>
      <w:r w:rsidRPr="00E05BDA">
        <w:rPr>
          <w:rFonts w:hint="eastAsia"/>
          <w:b/>
        </w:rPr>
        <w:t xml:space="preserve">第十三条 </w:t>
      </w:r>
      <w:r w:rsidR="00A90CD5">
        <w:rPr>
          <w:rFonts w:hint="eastAsia"/>
        </w:rPr>
        <w:t>涉密资产处置应当符合安全保密的有关规定。</w:t>
      </w:r>
    </w:p>
    <w:p w14:paraId="39F29B33" w14:textId="0FECFA65" w:rsidR="00A90CD5" w:rsidRDefault="00A90CD5" w:rsidP="00AF7342">
      <w:pPr>
        <w:pStyle w:val="a9"/>
        <w:spacing w:before="62" w:after="62"/>
      </w:pPr>
      <w:r>
        <w:rPr>
          <w:rFonts w:hint="eastAsia"/>
        </w:rPr>
        <w:t>第三章 无偿转让</w:t>
      </w:r>
    </w:p>
    <w:p w14:paraId="3BEC4F2D" w14:textId="245F76ED" w:rsidR="00A90CD5" w:rsidRDefault="00E05BDA" w:rsidP="00A90CD5">
      <w:pPr>
        <w:pStyle w:val="13"/>
        <w:ind w:firstLine="482"/>
      </w:pPr>
      <w:r w:rsidRPr="00E05BDA">
        <w:rPr>
          <w:rFonts w:hint="eastAsia"/>
          <w:b/>
        </w:rPr>
        <w:t xml:space="preserve">第十四条 </w:t>
      </w:r>
      <w:r w:rsidR="00A90CD5">
        <w:rPr>
          <w:rFonts w:hint="eastAsia"/>
        </w:rPr>
        <w:t>无偿转让是指在不改变国有资产性质的前提下，以无偿的方式转移资产产权的处置行为。</w:t>
      </w:r>
    </w:p>
    <w:p w14:paraId="73A647D0" w14:textId="35F39946" w:rsidR="00A90CD5" w:rsidRDefault="00E05BDA" w:rsidP="00A90CD5">
      <w:pPr>
        <w:pStyle w:val="13"/>
        <w:ind w:firstLine="482"/>
      </w:pPr>
      <w:r w:rsidRPr="00E05BDA">
        <w:rPr>
          <w:rFonts w:hint="eastAsia"/>
          <w:b/>
        </w:rPr>
        <w:t xml:space="preserve">第十五条 </w:t>
      </w:r>
      <w:r w:rsidR="00A90CD5">
        <w:rPr>
          <w:rFonts w:hint="eastAsia"/>
        </w:rPr>
        <w:t>地方行政单位申请无偿转让资产，应提交以下材料：</w:t>
      </w:r>
    </w:p>
    <w:p w14:paraId="4D1DE7EE" w14:textId="3CC4DF42" w:rsidR="00A90CD5" w:rsidRDefault="00A90CD5" w:rsidP="00A90CD5">
      <w:pPr>
        <w:pStyle w:val="13"/>
      </w:pPr>
      <w:r>
        <w:rPr>
          <w:rFonts w:hint="eastAsia"/>
        </w:rPr>
        <w:t>（一）申请文件、资产清单、权属证明和价值凭证；</w:t>
      </w:r>
    </w:p>
    <w:p w14:paraId="0F57688F" w14:textId="67B5C7B5" w:rsidR="00A90CD5" w:rsidRDefault="00A90CD5" w:rsidP="00A90CD5">
      <w:pPr>
        <w:pStyle w:val="13"/>
      </w:pPr>
      <w:r>
        <w:rPr>
          <w:rFonts w:hint="eastAsia"/>
        </w:rPr>
        <w:t>（二）接收单位同类资产存量情况；</w:t>
      </w:r>
    </w:p>
    <w:p w14:paraId="2752FA49" w14:textId="43BB57B3" w:rsidR="00A90CD5" w:rsidRDefault="00A90CD5" w:rsidP="00A90CD5">
      <w:pPr>
        <w:pStyle w:val="13"/>
      </w:pPr>
      <w:r>
        <w:rPr>
          <w:rFonts w:hint="eastAsia"/>
        </w:rPr>
        <w:t>（三）因单位划转撤并而移交资产的，需提供划转撤并批文以及由具备相应资质的中介机构出具的资产清查等相关报告；</w:t>
      </w:r>
    </w:p>
    <w:p w14:paraId="35588F2C" w14:textId="05204BEB" w:rsidR="00A90CD5" w:rsidRDefault="00A90CD5" w:rsidP="00A90CD5">
      <w:pPr>
        <w:pStyle w:val="13"/>
      </w:pPr>
      <w:r>
        <w:rPr>
          <w:rFonts w:hint="eastAsia"/>
        </w:rPr>
        <w:t>（四）其他相关材料。</w:t>
      </w:r>
    </w:p>
    <w:p w14:paraId="21795DDB" w14:textId="7139537B" w:rsidR="00A90CD5" w:rsidRDefault="00E05BDA" w:rsidP="00A90CD5">
      <w:pPr>
        <w:pStyle w:val="13"/>
        <w:ind w:firstLine="482"/>
      </w:pPr>
      <w:r w:rsidRPr="00E05BDA">
        <w:rPr>
          <w:rFonts w:hint="eastAsia"/>
          <w:b/>
        </w:rPr>
        <w:t xml:space="preserve">第十六条 </w:t>
      </w:r>
      <w:r w:rsidR="00A90CD5">
        <w:rPr>
          <w:rFonts w:hint="eastAsia"/>
        </w:rPr>
        <w:t>地方行政单位原则上不得向下级政府有关单位配发或调拨资产，确因工作需要配发或调拨的，应当同时符合以下条件：</w:t>
      </w:r>
    </w:p>
    <w:p w14:paraId="4812705A" w14:textId="68B83646" w:rsidR="00A90CD5" w:rsidRDefault="00A90CD5" w:rsidP="00A90CD5">
      <w:pPr>
        <w:pStyle w:val="13"/>
      </w:pPr>
      <w:r>
        <w:rPr>
          <w:rFonts w:hint="eastAsia"/>
        </w:rPr>
        <w:t>（一）资产购置经费渠道合法合</w:t>
      </w:r>
      <w:proofErr w:type="gramStart"/>
      <w:r>
        <w:rPr>
          <w:rFonts w:hint="eastAsia"/>
        </w:rPr>
        <w:t>规</w:t>
      </w:r>
      <w:proofErr w:type="gramEnd"/>
      <w:r>
        <w:rPr>
          <w:rFonts w:hint="eastAsia"/>
        </w:rPr>
        <w:t>，无下级财政配套资金的要求；</w:t>
      </w:r>
    </w:p>
    <w:p w14:paraId="066D05B7" w14:textId="7E06FDE2" w:rsidR="00A90CD5" w:rsidRDefault="00A90CD5" w:rsidP="00A90CD5">
      <w:pPr>
        <w:pStyle w:val="13"/>
      </w:pPr>
      <w:r>
        <w:rPr>
          <w:rFonts w:hint="eastAsia"/>
        </w:rPr>
        <w:t>（二）下级单位接收资产符合配备标准和相关编制要求；</w:t>
      </w:r>
    </w:p>
    <w:p w14:paraId="1F80E8DE" w14:textId="6D46BADD" w:rsidR="00A90CD5" w:rsidRDefault="00A90CD5" w:rsidP="00A90CD5">
      <w:pPr>
        <w:pStyle w:val="13"/>
      </w:pPr>
      <w:r>
        <w:rPr>
          <w:rFonts w:hint="eastAsia"/>
        </w:rPr>
        <w:t>（三）经同级财政部门审批同意。</w:t>
      </w:r>
    </w:p>
    <w:p w14:paraId="2F7246A5" w14:textId="4D7BA28D" w:rsidR="00A90CD5" w:rsidRDefault="00A90CD5" w:rsidP="00A90CD5">
      <w:pPr>
        <w:pStyle w:val="13"/>
      </w:pPr>
      <w:r>
        <w:rPr>
          <w:rFonts w:hint="eastAsia"/>
        </w:rPr>
        <w:t>向下级政府有关单位配发或调拨资产，应同时告知接受单位同级财政部门。</w:t>
      </w:r>
    </w:p>
    <w:p w14:paraId="61AE827C" w14:textId="14BE06F5" w:rsidR="00A90CD5" w:rsidRDefault="00A90CD5" w:rsidP="00AF7342">
      <w:pPr>
        <w:pStyle w:val="a9"/>
        <w:spacing w:before="62" w:after="62"/>
      </w:pPr>
      <w:r>
        <w:rPr>
          <w:rFonts w:hint="eastAsia"/>
        </w:rPr>
        <w:lastRenderedPageBreak/>
        <w:t>第四章 有偿转让和置换</w:t>
      </w:r>
    </w:p>
    <w:p w14:paraId="2910B9ED" w14:textId="4B882D20" w:rsidR="00A90CD5" w:rsidRDefault="00E05BDA" w:rsidP="00A90CD5">
      <w:pPr>
        <w:pStyle w:val="13"/>
        <w:ind w:firstLine="482"/>
      </w:pPr>
      <w:r w:rsidRPr="00E05BDA">
        <w:rPr>
          <w:rFonts w:hint="eastAsia"/>
          <w:b/>
        </w:rPr>
        <w:t xml:space="preserve">第十七条 </w:t>
      </w:r>
      <w:r w:rsidR="00A90CD5">
        <w:rPr>
          <w:rFonts w:hint="eastAsia"/>
        </w:rPr>
        <w:t>有偿转让是指转移资产产权并取得相应收益的处置行为。</w:t>
      </w:r>
    </w:p>
    <w:p w14:paraId="01B98FA5" w14:textId="1DCB7A5C" w:rsidR="00A90CD5" w:rsidRDefault="00E05BDA" w:rsidP="00A90CD5">
      <w:pPr>
        <w:pStyle w:val="13"/>
        <w:ind w:firstLine="482"/>
      </w:pPr>
      <w:r w:rsidRPr="00E05BDA">
        <w:rPr>
          <w:rFonts w:hint="eastAsia"/>
          <w:b/>
        </w:rPr>
        <w:t xml:space="preserve">第十八条 </w:t>
      </w:r>
      <w:r w:rsidR="00A90CD5">
        <w:rPr>
          <w:rFonts w:hint="eastAsia"/>
        </w:rPr>
        <w:t>置换是指行政单位与其他单位以非货币性资产为主进行的交换，该交换不涉及或只涉及少量的货币性资产（即补价）。</w:t>
      </w:r>
    </w:p>
    <w:p w14:paraId="46C8588D" w14:textId="2DA0F854" w:rsidR="00A90CD5" w:rsidRDefault="00E05BDA" w:rsidP="00A90CD5">
      <w:pPr>
        <w:pStyle w:val="13"/>
        <w:ind w:firstLine="482"/>
      </w:pPr>
      <w:r w:rsidRPr="00E05BDA">
        <w:rPr>
          <w:rFonts w:hint="eastAsia"/>
          <w:b/>
        </w:rPr>
        <w:t xml:space="preserve">第十九条 </w:t>
      </w:r>
      <w:r w:rsidR="00A90CD5">
        <w:rPr>
          <w:rFonts w:hint="eastAsia"/>
        </w:rPr>
        <w:t>资产有偿转让或置换，应当经具备相应资质的中介机构评估。</w:t>
      </w:r>
    </w:p>
    <w:p w14:paraId="0EF9E821" w14:textId="1BA6DA81" w:rsidR="00A90CD5" w:rsidRDefault="00E05BDA" w:rsidP="00A90CD5">
      <w:pPr>
        <w:pStyle w:val="13"/>
        <w:ind w:firstLine="482"/>
      </w:pPr>
      <w:r w:rsidRPr="00E05BDA">
        <w:rPr>
          <w:rFonts w:hint="eastAsia"/>
          <w:b/>
        </w:rPr>
        <w:t xml:space="preserve">第二十条 </w:t>
      </w:r>
      <w:r w:rsidR="00A90CD5">
        <w:rPr>
          <w:rFonts w:hint="eastAsia"/>
        </w:rPr>
        <w:t>有偿转让原则上应当以拍卖、公开招标等方式处置。不适合拍卖、公开招标或经公开征集只有一个意向受让方的，经批准，可以以协议转让等方式进行处置。</w:t>
      </w:r>
    </w:p>
    <w:p w14:paraId="244AE85F" w14:textId="0CC73F5F" w:rsidR="00A90CD5" w:rsidRDefault="00A90CD5" w:rsidP="00A90CD5">
      <w:pPr>
        <w:pStyle w:val="13"/>
      </w:pPr>
      <w:r>
        <w:rPr>
          <w:rFonts w:hint="eastAsia"/>
        </w:rPr>
        <w:t>采取拍卖和公开招标方式有偿转让资产的，应当将资产处置公告刊登在公开媒介，披露有关信息。</w:t>
      </w:r>
    </w:p>
    <w:p w14:paraId="68C148B2" w14:textId="046027A7" w:rsidR="00A90CD5" w:rsidRDefault="00E05BDA" w:rsidP="00A90CD5">
      <w:pPr>
        <w:pStyle w:val="13"/>
        <w:ind w:firstLine="482"/>
      </w:pPr>
      <w:r w:rsidRPr="00E05BDA">
        <w:rPr>
          <w:rFonts w:hint="eastAsia"/>
          <w:b/>
        </w:rPr>
        <w:t xml:space="preserve">第二十一条 </w:t>
      </w:r>
      <w:r w:rsidR="00A90CD5">
        <w:rPr>
          <w:rFonts w:hint="eastAsia"/>
        </w:rPr>
        <w:t>涉及房屋征收的资产置换，应当确保单位工作正常开展，征收补偿应当达到国家或当地政府规定的补偿标准。</w:t>
      </w:r>
    </w:p>
    <w:p w14:paraId="5A0EB9BE" w14:textId="63593B18" w:rsidR="00A90CD5" w:rsidRDefault="00E05BDA" w:rsidP="00A90CD5">
      <w:pPr>
        <w:pStyle w:val="13"/>
        <w:ind w:firstLine="482"/>
      </w:pPr>
      <w:r w:rsidRPr="00E05BDA">
        <w:rPr>
          <w:rFonts w:hint="eastAsia"/>
          <w:b/>
        </w:rPr>
        <w:t xml:space="preserve">第二十二条 </w:t>
      </w:r>
      <w:r w:rsidR="00A90CD5">
        <w:rPr>
          <w:rFonts w:hint="eastAsia"/>
        </w:rPr>
        <w:t>地方行政单位申请有偿转让或置换资产，应当提交以下材料：</w:t>
      </w:r>
    </w:p>
    <w:p w14:paraId="01F88924" w14:textId="2264C8F0" w:rsidR="00A90CD5" w:rsidRDefault="00A90CD5" w:rsidP="00A90CD5">
      <w:pPr>
        <w:pStyle w:val="13"/>
      </w:pPr>
      <w:r>
        <w:rPr>
          <w:rFonts w:hint="eastAsia"/>
        </w:rPr>
        <w:t>（一）申请文件、资产清单、权属证明、价值凭证、中介机构出具的资产评估报告及单位同类资产情况；</w:t>
      </w:r>
    </w:p>
    <w:p w14:paraId="36B1D8C2" w14:textId="0F7D51FE" w:rsidR="00A90CD5" w:rsidRDefault="00A90CD5" w:rsidP="00A90CD5">
      <w:pPr>
        <w:pStyle w:val="13"/>
      </w:pPr>
      <w:r>
        <w:rPr>
          <w:rFonts w:hint="eastAsia"/>
        </w:rPr>
        <w:t>（二）拟采用协议转让方式处置的，应提供转让意向书；</w:t>
      </w:r>
    </w:p>
    <w:p w14:paraId="5FD56A89" w14:textId="55BF3698" w:rsidR="00A90CD5" w:rsidRDefault="00A90CD5" w:rsidP="00A90CD5">
      <w:pPr>
        <w:pStyle w:val="13"/>
      </w:pPr>
      <w:r>
        <w:rPr>
          <w:rFonts w:hint="eastAsia"/>
        </w:rPr>
        <w:t>（三）拟采用置换方式处置的，应提供当地政府或部门的会议纪要、置换意向书；</w:t>
      </w:r>
    </w:p>
    <w:p w14:paraId="1964F55F" w14:textId="239E3D56" w:rsidR="00A90CD5" w:rsidRDefault="00A90CD5" w:rsidP="00A90CD5">
      <w:pPr>
        <w:pStyle w:val="13"/>
      </w:pPr>
      <w:r>
        <w:rPr>
          <w:rFonts w:hint="eastAsia"/>
        </w:rPr>
        <w:t>（四）其他相关材料。</w:t>
      </w:r>
    </w:p>
    <w:p w14:paraId="36A97672" w14:textId="5E4D256A" w:rsidR="00A90CD5" w:rsidRDefault="00A90CD5" w:rsidP="00AF7342">
      <w:pPr>
        <w:pStyle w:val="a9"/>
        <w:spacing w:before="62" w:after="62"/>
      </w:pPr>
      <w:r>
        <w:rPr>
          <w:rFonts w:hint="eastAsia"/>
        </w:rPr>
        <w:t>第五章 报废和报损</w:t>
      </w:r>
    </w:p>
    <w:p w14:paraId="77AD4782" w14:textId="543BAFC1" w:rsidR="00A90CD5" w:rsidRDefault="00E05BDA" w:rsidP="00A90CD5">
      <w:pPr>
        <w:pStyle w:val="13"/>
        <w:ind w:firstLine="482"/>
      </w:pPr>
      <w:r w:rsidRPr="00E05BDA">
        <w:rPr>
          <w:rFonts w:hint="eastAsia"/>
          <w:b/>
        </w:rPr>
        <w:t xml:space="preserve">第二十三条 </w:t>
      </w:r>
      <w:r w:rsidR="00A90CD5">
        <w:rPr>
          <w:rFonts w:hint="eastAsia"/>
        </w:rPr>
        <w:t>报废是指对达到使用年限，经技术鉴定或按有关规定，已不能继续使用的资产进行产权核销的处置行为。</w:t>
      </w:r>
    </w:p>
    <w:p w14:paraId="4D9D2D41" w14:textId="107F9F2B" w:rsidR="00A90CD5" w:rsidRDefault="00A90CD5" w:rsidP="00A90CD5">
      <w:pPr>
        <w:pStyle w:val="13"/>
      </w:pPr>
      <w:r>
        <w:rPr>
          <w:rFonts w:hint="eastAsia"/>
        </w:rPr>
        <w:t>国家或行业对资产报废有技术要求的，应当由具备相应资质的专业机构进行技术鉴定。</w:t>
      </w:r>
    </w:p>
    <w:p w14:paraId="21DDE72A" w14:textId="364BFF86" w:rsidR="00A90CD5" w:rsidRDefault="00E05BDA" w:rsidP="00A90CD5">
      <w:pPr>
        <w:pStyle w:val="13"/>
        <w:ind w:firstLine="482"/>
      </w:pPr>
      <w:r w:rsidRPr="00E05BDA">
        <w:rPr>
          <w:rFonts w:hint="eastAsia"/>
          <w:b/>
        </w:rPr>
        <w:t xml:space="preserve">第二十四条 </w:t>
      </w:r>
      <w:r w:rsidR="00A90CD5">
        <w:rPr>
          <w:rFonts w:hint="eastAsia"/>
        </w:rPr>
        <w:t>达到国家和地方更新标准，但仍可以继续使用的资产，不得报废。</w:t>
      </w:r>
    </w:p>
    <w:p w14:paraId="58F9F3D9" w14:textId="086B82EB" w:rsidR="00A90CD5" w:rsidRDefault="00E05BDA" w:rsidP="00A90CD5">
      <w:pPr>
        <w:pStyle w:val="13"/>
        <w:ind w:firstLine="482"/>
      </w:pPr>
      <w:r w:rsidRPr="00E05BDA">
        <w:rPr>
          <w:rFonts w:hint="eastAsia"/>
          <w:b/>
        </w:rPr>
        <w:t xml:space="preserve">第二十五条 </w:t>
      </w:r>
      <w:r w:rsidR="00A90CD5">
        <w:rPr>
          <w:rFonts w:hint="eastAsia"/>
        </w:rPr>
        <w:t>车辆、电器电子产品、危险品报废处理应当符合国家有关规定。</w:t>
      </w:r>
    </w:p>
    <w:p w14:paraId="080CB183" w14:textId="66D084AB" w:rsidR="00A90CD5" w:rsidRDefault="00E05BDA" w:rsidP="00A90CD5">
      <w:pPr>
        <w:pStyle w:val="13"/>
        <w:ind w:firstLine="482"/>
      </w:pPr>
      <w:r w:rsidRPr="00E05BDA">
        <w:rPr>
          <w:rFonts w:hint="eastAsia"/>
          <w:b/>
        </w:rPr>
        <w:t xml:space="preserve">第二十六条 </w:t>
      </w:r>
      <w:r w:rsidR="00A90CD5">
        <w:rPr>
          <w:rFonts w:hint="eastAsia"/>
        </w:rPr>
        <w:t>报损是指对发生呆账或非</w:t>
      </w:r>
      <w:proofErr w:type="gramStart"/>
      <w:r w:rsidR="00A90CD5">
        <w:rPr>
          <w:rFonts w:hint="eastAsia"/>
        </w:rPr>
        <w:t>正常损失</w:t>
      </w:r>
      <w:proofErr w:type="gramEnd"/>
      <w:r w:rsidR="00A90CD5">
        <w:rPr>
          <w:rFonts w:hint="eastAsia"/>
        </w:rPr>
        <w:t>的资产进行产权核销的处置行为。资产报损分为货币性资产报损和非货币性资产报损。</w:t>
      </w:r>
    </w:p>
    <w:p w14:paraId="6A02B4B8" w14:textId="537B21CA" w:rsidR="00A90CD5" w:rsidRDefault="00E05BDA" w:rsidP="00A90CD5">
      <w:pPr>
        <w:pStyle w:val="13"/>
        <w:ind w:firstLine="482"/>
      </w:pPr>
      <w:r w:rsidRPr="00E05BDA">
        <w:rPr>
          <w:rFonts w:hint="eastAsia"/>
          <w:b/>
        </w:rPr>
        <w:t xml:space="preserve">第二十七条 </w:t>
      </w:r>
      <w:r w:rsidR="00A90CD5">
        <w:rPr>
          <w:rFonts w:hint="eastAsia"/>
        </w:rPr>
        <w:t>资产存在下列情况之一的，可以报损：</w:t>
      </w:r>
    </w:p>
    <w:p w14:paraId="04DBF7A6" w14:textId="4B787168" w:rsidR="00A90CD5" w:rsidRDefault="00A90CD5" w:rsidP="00A90CD5">
      <w:pPr>
        <w:pStyle w:val="13"/>
      </w:pPr>
      <w:r>
        <w:rPr>
          <w:rFonts w:hint="eastAsia"/>
        </w:rPr>
        <w:t>（一）债务人已依法破产或者死亡（</w:t>
      </w:r>
      <w:proofErr w:type="gramStart"/>
      <w:r>
        <w:rPr>
          <w:rFonts w:hint="eastAsia"/>
        </w:rPr>
        <w:t>含依法</w:t>
      </w:r>
      <w:proofErr w:type="gramEnd"/>
      <w:r>
        <w:rPr>
          <w:rFonts w:hint="eastAsia"/>
        </w:rPr>
        <w:t>宣告死亡）的，根据法律规定其清算财产或者遗产不足清偿的；</w:t>
      </w:r>
    </w:p>
    <w:p w14:paraId="05B85800" w14:textId="66A36F81" w:rsidR="00A90CD5" w:rsidRDefault="00A90CD5" w:rsidP="00A90CD5">
      <w:pPr>
        <w:pStyle w:val="13"/>
      </w:pPr>
      <w:r>
        <w:rPr>
          <w:rFonts w:hint="eastAsia"/>
        </w:rPr>
        <w:t>（二）因不可抗力因素造成损失的；</w:t>
      </w:r>
    </w:p>
    <w:p w14:paraId="0C14B06D" w14:textId="26F9A811" w:rsidR="00A90CD5" w:rsidRDefault="00A90CD5" w:rsidP="00A90CD5">
      <w:pPr>
        <w:pStyle w:val="13"/>
      </w:pPr>
      <w:r>
        <w:rPr>
          <w:rFonts w:hint="eastAsia"/>
        </w:rPr>
        <w:t>（三）根据国家有关规定，可以报损的其他情形。</w:t>
      </w:r>
    </w:p>
    <w:p w14:paraId="10C0F076" w14:textId="5B60EAEE" w:rsidR="00A90CD5" w:rsidRDefault="00E05BDA" w:rsidP="00A90CD5">
      <w:pPr>
        <w:pStyle w:val="13"/>
        <w:ind w:firstLine="482"/>
      </w:pPr>
      <w:r w:rsidRPr="00E05BDA">
        <w:rPr>
          <w:rFonts w:hint="eastAsia"/>
          <w:b/>
        </w:rPr>
        <w:t xml:space="preserve">第二十八条 </w:t>
      </w:r>
      <w:r w:rsidR="00A90CD5">
        <w:rPr>
          <w:rFonts w:hint="eastAsia"/>
        </w:rPr>
        <w:t>资产报损前，应当通过公告、诉讼等方式向债务人、担保人或责任人追索。</w:t>
      </w:r>
    </w:p>
    <w:p w14:paraId="54D58E72" w14:textId="7A9D0F38" w:rsidR="00A90CD5" w:rsidRDefault="00A90CD5" w:rsidP="00A90CD5">
      <w:pPr>
        <w:pStyle w:val="13"/>
      </w:pPr>
      <w:r>
        <w:rPr>
          <w:rFonts w:hint="eastAsia"/>
        </w:rPr>
        <w:lastRenderedPageBreak/>
        <w:t>地方行政单位应当对报损的资产备查登记，实行“账销案存”的方式管理，对已批准核销的资产损失，单位仍有追偿的权利和义务，对“账销案存”资产清理和追索收回的资产，应当及时入账，货币性资产上缴国库。</w:t>
      </w:r>
    </w:p>
    <w:p w14:paraId="1FC6925E" w14:textId="6912D7A3" w:rsidR="00A90CD5" w:rsidRDefault="00E05BDA" w:rsidP="00A90CD5">
      <w:pPr>
        <w:pStyle w:val="13"/>
        <w:ind w:firstLine="482"/>
      </w:pPr>
      <w:r w:rsidRPr="00E05BDA">
        <w:rPr>
          <w:rFonts w:hint="eastAsia"/>
          <w:b/>
        </w:rPr>
        <w:t xml:space="preserve">第二十九条 </w:t>
      </w:r>
      <w:r w:rsidR="00A90CD5">
        <w:rPr>
          <w:rFonts w:hint="eastAsia"/>
        </w:rPr>
        <w:t>地方行政单位申请报废、报损，应当提交以下材料：</w:t>
      </w:r>
    </w:p>
    <w:p w14:paraId="1FE9E9A8" w14:textId="07655B95" w:rsidR="00A90CD5" w:rsidRDefault="00A90CD5" w:rsidP="00A90CD5">
      <w:pPr>
        <w:pStyle w:val="13"/>
      </w:pPr>
      <w:r>
        <w:rPr>
          <w:rFonts w:hint="eastAsia"/>
        </w:rPr>
        <w:t>（一）申请文件、资产清单、价值凭证和权属证明；</w:t>
      </w:r>
    </w:p>
    <w:p w14:paraId="6BB58CC6" w14:textId="567708D1" w:rsidR="00A90CD5" w:rsidRDefault="00A90CD5" w:rsidP="00A90CD5">
      <w:pPr>
        <w:pStyle w:val="13"/>
      </w:pPr>
      <w:r>
        <w:rPr>
          <w:rFonts w:hint="eastAsia"/>
        </w:rPr>
        <w:t>（二）因技术原因报废的，应当提供相关技术鉴定；</w:t>
      </w:r>
    </w:p>
    <w:p w14:paraId="2EE6715B" w14:textId="2F9A21C7" w:rsidR="00A90CD5" w:rsidRDefault="00A90CD5" w:rsidP="00A90CD5">
      <w:pPr>
        <w:pStyle w:val="13"/>
      </w:pPr>
      <w:r>
        <w:rPr>
          <w:rFonts w:hint="eastAsia"/>
        </w:rPr>
        <w:t>（三）债务人已依法破产的，应当提供人民法院裁定书及财产清算报告；</w:t>
      </w:r>
    </w:p>
    <w:p w14:paraId="5997796A" w14:textId="470E9FB1" w:rsidR="00A90CD5" w:rsidRDefault="00A90CD5" w:rsidP="00A90CD5">
      <w:pPr>
        <w:pStyle w:val="13"/>
      </w:pPr>
      <w:r>
        <w:rPr>
          <w:rFonts w:hint="eastAsia"/>
        </w:rPr>
        <w:t>（四）债务人死亡（宣告死亡）的，应当提供其财产或者遗产不足清查的法律文书；</w:t>
      </w:r>
    </w:p>
    <w:p w14:paraId="2319AAAE" w14:textId="17111F52" w:rsidR="00A90CD5" w:rsidRDefault="00A90CD5" w:rsidP="00A90CD5">
      <w:pPr>
        <w:pStyle w:val="13"/>
      </w:pPr>
      <w:r>
        <w:rPr>
          <w:rFonts w:hint="eastAsia"/>
        </w:rPr>
        <w:t>（五）涉及诉讼的，应当提供人民法院判决书或裁定书等；</w:t>
      </w:r>
    </w:p>
    <w:p w14:paraId="2AB5A084" w14:textId="06EB5459" w:rsidR="00A90CD5" w:rsidRDefault="00A90CD5" w:rsidP="00A90CD5">
      <w:pPr>
        <w:pStyle w:val="13"/>
      </w:pPr>
      <w:r>
        <w:rPr>
          <w:rFonts w:hint="eastAsia"/>
        </w:rPr>
        <w:t>（六）因不可抗力造成损失的，应当提供相关案件证明材料、责任认定报告和赔偿情况；</w:t>
      </w:r>
    </w:p>
    <w:p w14:paraId="14DBB07D" w14:textId="0D0F9FB8" w:rsidR="00A90CD5" w:rsidRDefault="00A90CD5" w:rsidP="00A90CD5">
      <w:pPr>
        <w:pStyle w:val="13"/>
      </w:pPr>
      <w:r>
        <w:rPr>
          <w:rFonts w:hint="eastAsia"/>
        </w:rPr>
        <w:t>（七）其他相关材料。</w:t>
      </w:r>
    </w:p>
    <w:p w14:paraId="005E0786" w14:textId="5726A986" w:rsidR="00A90CD5" w:rsidRDefault="00A90CD5" w:rsidP="00AF7342">
      <w:pPr>
        <w:pStyle w:val="a9"/>
        <w:spacing w:before="62" w:after="62"/>
      </w:pPr>
      <w:r>
        <w:rPr>
          <w:rFonts w:hint="eastAsia"/>
        </w:rPr>
        <w:t>第六章 收入管理</w:t>
      </w:r>
    </w:p>
    <w:p w14:paraId="3E73DC31" w14:textId="678E3591" w:rsidR="00A90CD5" w:rsidRDefault="00E05BDA" w:rsidP="00A90CD5">
      <w:pPr>
        <w:pStyle w:val="13"/>
        <w:ind w:firstLine="482"/>
      </w:pPr>
      <w:r w:rsidRPr="00E05BDA">
        <w:rPr>
          <w:rFonts w:hint="eastAsia"/>
          <w:b/>
        </w:rPr>
        <w:t xml:space="preserve">第三十条 </w:t>
      </w:r>
      <w:r w:rsidR="00A90CD5">
        <w:rPr>
          <w:rFonts w:hint="eastAsia"/>
        </w:rPr>
        <w:t>资产处置收入包括有偿转让收入、置换差价收入、报废报损残值变价收入、征收补偿收入、保险理赔收入以及处置资产取得的其他收入。</w:t>
      </w:r>
    </w:p>
    <w:p w14:paraId="7DD320EF" w14:textId="5EEA9345" w:rsidR="00A90CD5" w:rsidRDefault="00A90CD5" w:rsidP="00A90CD5">
      <w:pPr>
        <w:pStyle w:val="13"/>
      </w:pPr>
      <w:r>
        <w:rPr>
          <w:rFonts w:hint="eastAsia"/>
        </w:rPr>
        <w:t>有偿转让收入包含出售收入和出让收入。</w:t>
      </w:r>
    </w:p>
    <w:p w14:paraId="27A36890" w14:textId="7E275904" w:rsidR="00A90CD5" w:rsidRDefault="003B2FB1" w:rsidP="00A90CD5">
      <w:pPr>
        <w:pStyle w:val="13"/>
        <w:ind w:firstLine="482"/>
      </w:pPr>
      <w:r w:rsidRPr="003B2FB1">
        <w:rPr>
          <w:rFonts w:hint="eastAsia"/>
          <w:b/>
        </w:rPr>
        <w:t xml:space="preserve">第三十一条 </w:t>
      </w:r>
      <w:r w:rsidR="00A90CD5">
        <w:rPr>
          <w:rFonts w:hint="eastAsia"/>
        </w:rPr>
        <w:t>资产处置收入应当纳入公共预算管理，按照政府非税收入管理有关规定上缴国库。</w:t>
      </w:r>
    </w:p>
    <w:p w14:paraId="42EF19FB" w14:textId="53EDAB28" w:rsidR="00A90CD5" w:rsidRDefault="003B2FB1" w:rsidP="00A90CD5">
      <w:pPr>
        <w:pStyle w:val="13"/>
        <w:ind w:firstLine="482"/>
      </w:pPr>
      <w:r w:rsidRPr="003B2FB1">
        <w:rPr>
          <w:rFonts w:hint="eastAsia"/>
          <w:b/>
        </w:rPr>
        <w:t xml:space="preserve">第三十二条 </w:t>
      </w:r>
      <w:r w:rsidR="00A90CD5">
        <w:rPr>
          <w:rFonts w:hint="eastAsia"/>
        </w:rPr>
        <w:t>资产处置收入上缴</w:t>
      </w:r>
      <w:proofErr w:type="gramStart"/>
      <w:r w:rsidR="00A90CD5">
        <w:rPr>
          <w:rFonts w:hint="eastAsia"/>
        </w:rPr>
        <w:t>列政府</w:t>
      </w:r>
      <w:proofErr w:type="gramEnd"/>
      <w:r w:rsidR="00A90CD5">
        <w:rPr>
          <w:rFonts w:hint="eastAsia"/>
        </w:rPr>
        <w:t>收支分类科目“行政单位国有资产处置收入”科目。</w:t>
      </w:r>
    </w:p>
    <w:p w14:paraId="314E559B" w14:textId="67FE0D53" w:rsidR="00A90CD5" w:rsidRDefault="00A90CD5" w:rsidP="00AF7342">
      <w:pPr>
        <w:pStyle w:val="a9"/>
        <w:spacing w:before="62" w:after="62"/>
      </w:pPr>
      <w:r>
        <w:rPr>
          <w:rFonts w:hint="eastAsia"/>
        </w:rPr>
        <w:t>第七章 监督检查</w:t>
      </w:r>
    </w:p>
    <w:p w14:paraId="488CE2CC" w14:textId="21CD31DB" w:rsidR="00A90CD5" w:rsidRDefault="003B2FB1" w:rsidP="00A90CD5">
      <w:pPr>
        <w:pStyle w:val="13"/>
        <w:ind w:firstLine="482"/>
      </w:pPr>
      <w:r w:rsidRPr="003B2FB1">
        <w:rPr>
          <w:rFonts w:hint="eastAsia"/>
          <w:b/>
        </w:rPr>
        <w:t xml:space="preserve">第三十三条 </w:t>
      </w:r>
      <w:r w:rsidR="00A90CD5">
        <w:rPr>
          <w:rFonts w:hint="eastAsia"/>
        </w:rPr>
        <w:t>资产处置监督工作应当坚持单位内部监督与财政监督、审计监督、社会监督相结合，事前监督与事中监督、事后监督相结合，日常监督与专项检查相结合。</w:t>
      </w:r>
    </w:p>
    <w:p w14:paraId="5FE57649" w14:textId="75FF2906" w:rsidR="00A90CD5" w:rsidRDefault="003B2FB1" w:rsidP="00A90CD5">
      <w:pPr>
        <w:pStyle w:val="13"/>
        <w:ind w:firstLine="482"/>
      </w:pPr>
      <w:r w:rsidRPr="003B2FB1">
        <w:rPr>
          <w:rFonts w:hint="eastAsia"/>
          <w:b/>
        </w:rPr>
        <w:t xml:space="preserve">第三十四条 </w:t>
      </w:r>
      <w:r w:rsidR="00A90CD5">
        <w:rPr>
          <w:rFonts w:hint="eastAsia"/>
        </w:rPr>
        <w:t>除涉及国家安全和秘密外，地方行政单位应当实行资产处置内部公示制度。</w:t>
      </w:r>
    </w:p>
    <w:p w14:paraId="00F7C7FC" w14:textId="6822A1AB" w:rsidR="00A90CD5" w:rsidRDefault="003B2FB1" w:rsidP="00A90CD5">
      <w:pPr>
        <w:pStyle w:val="13"/>
        <w:ind w:firstLine="482"/>
      </w:pPr>
      <w:r w:rsidRPr="003B2FB1">
        <w:rPr>
          <w:rFonts w:hint="eastAsia"/>
          <w:b/>
        </w:rPr>
        <w:t xml:space="preserve">第三十五条 </w:t>
      </w:r>
      <w:r w:rsidR="00A90CD5">
        <w:rPr>
          <w:rFonts w:hint="eastAsia"/>
        </w:rPr>
        <w:t>资产处置过程中，存在下列行为的，按照《财政违法行为处罚处分条例》等有关规定处理：</w:t>
      </w:r>
    </w:p>
    <w:p w14:paraId="3CBFAC85" w14:textId="612B254A" w:rsidR="00A90CD5" w:rsidRDefault="00A90CD5" w:rsidP="00A90CD5">
      <w:pPr>
        <w:pStyle w:val="13"/>
      </w:pPr>
      <w:r>
        <w:rPr>
          <w:rFonts w:hint="eastAsia"/>
        </w:rPr>
        <w:t>（一）未经批准擅自处置的；</w:t>
      </w:r>
    </w:p>
    <w:p w14:paraId="204A36F9" w14:textId="4F42605F" w:rsidR="00A90CD5" w:rsidRDefault="00A90CD5" w:rsidP="00A90CD5">
      <w:pPr>
        <w:pStyle w:val="13"/>
      </w:pPr>
      <w:r>
        <w:rPr>
          <w:rFonts w:hint="eastAsia"/>
        </w:rPr>
        <w:t>（二）在处置过程中弄虚作假，人为造成资产损失的；</w:t>
      </w:r>
    </w:p>
    <w:p w14:paraId="5A2BA66D" w14:textId="40780A35" w:rsidR="00A90CD5" w:rsidRDefault="00A90CD5" w:rsidP="00A90CD5">
      <w:pPr>
        <w:pStyle w:val="13"/>
      </w:pPr>
      <w:r>
        <w:rPr>
          <w:rFonts w:hint="eastAsia"/>
        </w:rPr>
        <w:t>（三）对已获准处置资产不进行处置，继续留用的；</w:t>
      </w:r>
    </w:p>
    <w:p w14:paraId="579C97BC" w14:textId="582C6A18" w:rsidR="00A90CD5" w:rsidRDefault="00A90CD5" w:rsidP="00A90CD5">
      <w:pPr>
        <w:pStyle w:val="13"/>
      </w:pPr>
      <w:r>
        <w:rPr>
          <w:rFonts w:hint="eastAsia"/>
        </w:rPr>
        <w:t>（四）隐瞒、截留、挤占、坐支和挪用资产处置收入的；</w:t>
      </w:r>
    </w:p>
    <w:p w14:paraId="2D75F5F8" w14:textId="3AEF0890" w:rsidR="00A90CD5" w:rsidRDefault="00A90CD5" w:rsidP="00A90CD5">
      <w:pPr>
        <w:pStyle w:val="13"/>
      </w:pPr>
      <w:r>
        <w:rPr>
          <w:rFonts w:hint="eastAsia"/>
        </w:rPr>
        <w:lastRenderedPageBreak/>
        <w:t>（五）其他违法、违规的资产处置行为。</w:t>
      </w:r>
    </w:p>
    <w:p w14:paraId="772D25F5" w14:textId="1EBC76BB" w:rsidR="00A90CD5" w:rsidRDefault="00A90CD5" w:rsidP="00AF7342">
      <w:pPr>
        <w:pStyle w:val="a9"/>
        <w:spacing w:before="62" w:after="62"/>
      </w:pPr>
      <w:r>
        <w:rPr>
          <w:rFonts w:hint="eastAsia"/>
        </w:rPr>
        <w:t>第八章 附则</w:t>
      </w:r>
    </w:p>
    <w:p w14:paraId="5BB01200" w14:textId="4B52070A" w:rsidR="00A90CD5" w:rsidRDefault="003B2FB1" w:rsidP="00A90CD5">
      <w:pPr>
        <w:pStyle w:val="13"/>
        <w:ind w:firstLine="482"/>
      </w:pPr>
      <w:r w:rsidRPr="003B2FB1">
        <w:rPr>
          <w:rFonts w:hint="eastAsia"/>
          <w:b/>
        </w:rPr>
        <w:t xml:space="preserve">第三十六条 </w:t>
      </w:r>
      <w:r w:rsidR="00A90CD5">
        <w:rPr>
          <w:rFonts w:hint="eastAsia"/>
        </w:rPr>
        <w:t>列为行政编制并接受财政拨款的社会团体依照本办法执行。</w:t>
      </w:r>
    </w:p>
    <w:p w14:paraId="0CAF7E24" w14:textId="625C6088" w:rsidR="00A90CD5" w:rsidRDefault="00A90CD5" w:rsidP="00A90CD5">
      <w:pPr>
        <w:pStyle w:val="13"/>
      </w:pPr>
      <w:r>
        <w:rPr>
          <w:rFonts w:hint="eastAsia"/>
        </w:rPr>
        <w:t>参照公务员法管理、执行行政单位会计制度的事业单位依照本办法执行。</w:t>
      </w:r>
    </w:p>
    <w:p w14:paraId="4386F362" w14:textId="631C8568" w:rsidR="00A90CD5" w:rsidRDefault="003B2FB1" w:rsidP="00A90CD5">
      <w:pPr>
        <w:pStyle w:val="13"/>
        <w:ind w:firstLine="482"/>
      </w:pPr>
      <w:r w:rsidRPr="003B2FB1">
        <w:rPr>
          <w:rFonts w:hint="eastAsia"/>
          <w:b/>
        </w:rPr>
        <w:t xml:space="preserve">第三十七条 </w:t>
      </w:r>
      <w:r w:rsidR="00A90CD5">
        <w:rPr>
          <w:rFonts w:hint="eastAsia"/>
        </w:rPr>
        <w:t>地方行政单位在建工程、罚没资产处置按照国家有关规定办理。</w:t>
      </w:r>
    </w:p>
    <w:p w14:paraId="2B33DB4F" w14:textId="4FF36477" w:rsidR="00A90CD5" w:rsidRDefault="003B2FB1" w:rsidP="00A90CD5">
      <w:pPr>
        <w:pStyle w:val="13"/>
        <w:ind w:firstLine="482"/>
      </w:pPr>
      <w:r w:rsidRPr="003B2FB1">
        <w:rPr>
          <w:rFonts w:hint="eastAsia"/>
          <w:b/>
        </w:rPr>
        <w:t xml:space="preserve">第三十八条 </w:t>
      </w:r>
      <w:r w:rsidR="00A90CD5">
        <w:rPr>
          <w:rFonts w:hint="eastAsia"/>
        </w:rPr>
        <w:t>地方财政部门可根据本办法及上级财政部门有关资产处置管理的规定，制定本地区和本级行政单位资产处置管理制度，并报上一级财政部门备案。</w:t>
      </w:r>
    </w:p>
    <w:p w14:paraId="3C995723" w14:textId="05B23C3C" w:rsidR="00FE2C85" w:rsidRPr="00A90CD5" w:rsidRDefault="003B2FB1" w:rsidP="00A90CD5">
      <w:pPr>
        <w:pStyle w:val="13"/>
        <w:ind w:firstLine="482"/>
      </w:pPr>
      <w:r w:rsidRPr="003B2FB1">
        <w:rPr>
          <w:rFonts w:hint="eastAsia"/>
          <w:b/>
        </w:rPr>
        <w:t xml:space="preserve">第三十九条 </w:t>
      </w:r>
      <w:r w:rsidR="00A90CD5">
        <w:rPr>
          <w:rFonts w:hint="eastAsia"/>
        </w:rPr>
        <w:t>本办法自</w:t>
      </w:r>
      <w:r w:rsidR="00A90CD5">
        <w:t>2014年10月1日起施行。</w:t>
      </w:r>
    </w:p>
    <w:p w14:paraId="5291C402" w14:textId="553AD0D8" w:rsidR="00FE2C85" w:rsidRDefault="002A05BE" w:rsidP="002A05BE">
      <w:pPr>
        <w:pStyle w:val="31"/>
        <w:spacing w:before="156" w:after="62"/>
      </w:pPr>
      <w:bookmarkStart w:id="244" w:name="_Toc81833477"/>
      <w:r>
        <w:rPr>
          <w:rFonts w:hint="eastAsia"/>
        </w:rPr>
        <w:t>《</w:t>
      </w:r>
      <w:r w:rsidRPr="002A05BE">
        <w:rPr>
          <w:rFonts w:hint="eastAsia"/>
        </w:rPr>
        <w:t>教育部关于规范和加强直属高校国有资产管理的若干意见</w:t>
      </w:r>
      <w:r>
        <w:rPr>
          <w:rFonts w:hint="eastAsia"/>
        </w:rPr>
        <w:t>》</w:t>
      </w:r>
      <w:r>
        <w:br/>
      </w:r>
      <w:r>
        <w:rPr>
          <w:rFonts w:hint="eastAsia"/>
        </w:rPr>
        <w:t>（</w:t>
      </w:r>
      <w:proofErr w:type="gramStart"/>
      <w:r w:rsidRPr="002A05BE">
        <w:rPr>
          <w:rFonts w:hint="eastAsia"/>
        </w:rPr>
        <w:t>教财〔</w:t>
      </w:r>
      <w:r w:rsidRPr="002A05BE">
        <w:t>2017〕</w:t>
      </w:r>
      <w:proofErr w:type="gramEnd"/>
      <w:r w:rsidRPr="002A05BE">
        <w:t>9号</w:t>
      </w:r>
      <w:r>
        <w:rPr>
          <w:rFonts w:hint="eastAsia"/>
        </w:rPr>
        <w:t>）</w:t>
      </w:r>
      <w:bookmarkEnd w:id="244"/>
    </w:p>
    <w:p w14:paraId="43FECE03" w14:textId="77777777" w:rsidR="002A05BE" w:rsidRPr="002A05BE" w:rsidRDefault="002A05BE" w:rsidP="002A05BE">
      <w:pPr>
        <w:pStyle w:val="13"/>
      </w:pPr>
      <w:r w:rsidRPr="002A05BE">
        <w:rPr>
          <w:rFonts w:hint="eastAsia"/>
        </w:rPr>
        <w:t>部属各高等学校：</w:t>
      </w:r>
    </w:p>
    <w:p w14:paraId="21322B40" w14:textId="4F12362D" w:rsidR="002A05BE" w:rsidRPr="002A05BE" w:rsidRDefault="002A05BE" w:rsidP="002A05BE">
      <w:pPr>
        <w:pStyle w:val="13"/>
      </w:pPr>
      <w:r w:rsidRPr="002A05BE">
        <w:rPr>
          <w:rFonts w:hint="eastAsia"/>
        </w:rPr>
        <w:t>根据《教育部等五部门关于深化高等教育领域简政放权放管结合优化服务改革的若干意见》（教政法〔2017〕7号）《财政部关于印发&lt;中央部门所属高校国有资产处置管理补充规定&gt;的通知》（财资〔2017〕72号）《财政部关于&lt;国有资产评估项目备案管理办法&gt;的补充通知》（财资〔2017〕70号）和《教育部直属高等学校国有资产管理暂行办法》（</w:t>
      </w:r>
      <w:proofErr w:type="gramStart"/>
      <w:r w:rsidRPr="002A05BE">
        <w:rPr>
          <w:rFonts w:hint="eastAsia"/>
        </w:rPr>
        <w:t>教财〔2012〕</w:t>
      </w:r>
      <w:proofErr w:type="gramEnd"/>
      <w:r w:rsidRPr="002A05BE">
        <w:rPr>
          <w:rFonts w:hint="eastAsia"/>
        </w:rPr>
        <w:t>6号）等有关规定，现就规范和加强直属高校国有资产管理提出如下意见：</w:t>
      </w:r>
    </w:p>
    <w:p w14:paraId="1CB1E7C8" w14:textId="08B52FD2" w:rsidR="002A05BE" w:rsidRPr="002A05BE" w:rsidRDefault="002A05BE" w:rsidP="002A05BE">
      <w:pPr>
        <w:pStyle w:val="13"/>
        <w:ind w:firstLine="482"/>
      </w:pPr>
      <w:r w:rsidRPr="002A05BE">
        <w:rPr>
          <w:rFonts w:hint="eastAsia"/>
          <w:b/>
          <w:bCs/>
        </w:rPr>
        <w:t>一、落实高校国有资产管理主体责任。</w:t>
      </w:r>
      <w:r w:rsidRPr="002A05BE">
        <w:rPr>
          <w:rFonts w:hint="eastAsia"/>
        </w:rPr>
        <w:t>高校承担本校占有、使用国有资产的具体管理职责，高校校长是国有资产管理工作第一责任人，分管校领导是国有资产管理工作的主要负责人。高校应结合实际，建立和完善本校资产配置、使用、处置、绩效评价、信息化建设、统计报告、日常监督等具体制度。科学合理设置内部国有资产管理机构，对学校国有资产实施统一领导、归口管理。具备条件的高校应对现有分散和多头管理的格局进行整合，成立单独设置的一级国有资产管理机构，统一管理学校国有资产。高校要根据资产规模和管理工作的需要，配备相应数量的国有资产管理工作人员，确保管理责任落实到人。</w:t>
      </w:r>
    </w:p>
    <w:p w14:paraId="7015999A" w14:textId="29F84C1B" w:rsidR="002A05BE" w:rsidRPr="002A05BE" w:rsidRDefault="002A05BE" w:rsidP="002A05BE">
      <w:pPr>
        <w:pStyle w:val="13"/>
        <w:ind w:firstLine="482"/>
      </w:pPr>
      <w:r w:rsidRPr="002A05BE">
        <w:rPr>
          <w:rFonts w:hint="eastAsia"/>
          <w:b/>
          <w:bCs/>
        </w:rPr>
        <w:t>二、加强资产配置管理。</w:t>
      </w:r>
      <w:r w:rsidRPr="002A05BE">
        <w:rPr>
          <w:rFonts w:hint="eastAsia"/>
        </w:rPr>
        <w:t>高校应按照国家对事业单位资产配置数量、价格上限、最低使用年限等规定，结合本校实际，科学论证，从严控制，厉行节约，建立健全资产配置标准。高校要积极推进资产管理与预算管理相结合，将资产配置管理职能嵌入预算管理流程。新增资产配置必须综合考虑现有资产存量情况，充分论证，纳入学校预算统一管理。高校要加强对存量资产的有效利用，积极推进国有资产整合与共享共用，避免资产闲置浪费。</w:t>
      </w:r>
    </w:p>
    <w:p w14:paraId="07B2A0C2" w14:textId="358C5FDB" w:rsidR="002A05BE" w:rsidRPr="002A05BE" w:rsidRDefault="002A05BE" w:rsidP="002A05BE">
      <w:pPr>
        <w:pStyle w:val="13"/>
        <w:ind w:firstLine="482"/>
      </w:pPr>
      <w:r w:rsidRPr="002A05BE">
        <w:rPr>
          <w:rFonts w:hint="eastAsia"/>
          <w:b/>
          <w:bCs/>
        </w:rPr>
        <w:t>三、规范资产出租、出借行为。</w:t>
      </w:r>
      <w:r w:rsidRPr="002A05BE">
        <w:rPr>
          <w:rFonts w:hint="eastAsia"/>
        </w:rPr>
        <w:t>高校国有资产应切实保障教学、科研事业的改革发展需要，一般不出租出借国有资产。确需出租出借资产的，应当按照规定程序履行</w:t>
      </w:r>
      <w:r w:rsidRPr="002A05BE">
        <w:rPr>
          <w:rFonts w:hint="eastAsia"/>
        </w:rPr>
        <w:lastRenderedPageBreak/>
        <w:t>报批报备手续，原则上实行公开竞价招租，必要时可采取评审或资产评估的方式确定出租价格。要建立出租、出借</w:t>
      </w:r>
      <w:proofErr w:type="gramStart"/>
      <w:r w:rsidRPr="002A05BE">
        <w:rPr>
          <w:rFonts w:hint="eastAsia"/>
        </w:rPr>
        <w:t>资产台</w:t>
      </w:r>
      <w:proofErr w:type="gramEnd"/>
      <w:r w:rsidRPr="002A05BE">
        <w:rPr>
          <w:rFonts w:hint="eastAsia"/>
        </w:rPr>
        <w:t>账，实现动态跟踪管理。</w:t>
      </w:r>
    </w:p>
    <w:p w14:paraId="6ACDF709" w14:textId="6546294D" w:rsidR="002A05BE" w:rsidRPr="002A05BE" w:rsidRDefault="002A05BE" w:rsidP="002A05BE">
      <w:pPr>
        <w:pStyle w:val="13"/>
        <w:ind w:firstLine="482"/>
      </w:pPr>
      <w:r w:rsidRPr="002A05BE">
        <w:rPr>
          <w:rFonts w:hint="eastAsia"/>
          <w:b/>
          <w:bCs/>
        </w:rPr>
        <w:t>四、扩大高校资产处置权限。</w:t>
      </w:r>
      <w:r w:rsidRPr="002A05BE">
        <w:rPr>
          <w:rFonts w:hint="eastAsia"/>
        </w:rPr>
        <w:t>对于已</w:t>
      </w:r>
      <w:proofErr w:type="gramStart"/>
      <w:r w:rsidRPr="002A05BE">
        <w:rPr>
          <w:rFonts w:hint="eastAsia"/>
        </w:rPr>
        <w:t>达使用</w:t>
      </w:r>
      <w:proofErr w:type="gramEnd"/>
      <w:r w:rsidRPr="002A05BE">
        <w:rPr>
          <w:rFonts w:hint="eastAsia"/>
        </w:rPr>
        <w:t>年限并且应淘汰报废的固定资产，授权高校自主处置，处置结果于每季度终了后10个工作日内报教育部备案。对于未达使用年限的固定资产，一次性处置单位价值或批量价值在1500万元以下的，由高校审批后10个工作日内将审批文件及相关资料报教育部，教育部审核后报财政部备案；一次性处置单位价值或批量价值在1500万元以上（含1500万元）的，由高校审核后报教育部审批，教育部审批后将批复文件报财政部备案。资产使用年限标准按照《教育部直属高校固定资产最低使用年限表》（附件1）执行。已</w:t>
      </w:r>
      <w:proofErr w:type="gramStart"/>
      <w:r w:rsidRPr="002A05BE">
        <w:rPr>
          <w:rFonts w:hint="eastAsia"/>
        </w:rPr>
        <w:t>达使用</w:t>
      </w:r>
      <w:proofErr w:type="gramEnd"/>
      <w:r w:rsidRPr="002A05BE">
        <w:rPr>
          <w:rFonts w:hint="eastAsia"/>
        </w:rPr>
        <w:t>年限仍可以继续使用的，应当继续使用。高校资产处置后，要按规定及时进行账务处理。</w:t>
      </w:r>
    </w:p>
    <w:p w14:paraId="7A8AF5D3" w14:textId="4FAB5985" w:rsidR="002A05BE" w:rsidRPr="002A05BE" w:rsidRDefault="002A05BE" w:rsidP="002A05BE">
      <w:pPr>
        <w:pStyle w:val="13"/>
        <w:ind w:firstLine="482"/>
      </w:pPr>
      <w:r w:rsidRPr="002A05BE">
        <w:rPr>
          <w:rFonts w:hint="eastAsia"/>
          <w:b/>
          <w:bCs/>
        </w:rPr>
        <w:t>五、规范资产处置收益管理。</w:t>
      </w:r>
      <w:r w:rsidRPr="002A05BE">
        <w:rPr>
          <w:rFonts w:hint="eastAsia"/>
        </w:rPr>
        <w:t>高校自主处置已</w:t>
      </w:r>
      <w:proofErr w:type="gramStart"/>
      <w:r w:rsidRPr="002A05BE">
        <w:rPr>
          <w:rFonts w:hint="eastAsia"/>
        </w:rPr>
        <w:t>达使用</w:t>
      </w:r>
      <w:proofErr w:type="gramEnd"/>
      <w:r w:rsidRPr="002A05BE">
        <w:rPr>
          <w:rFonts w:hint="eastAsia"/>
        </w:rPr>
        <w:t>年限并且应淘汰报废的固定资产取得的收益，留归高校，纳入预算，统一管理。涉及科技成果转化资产处置的，按照《中华人民共和国促进科技成果转化法》《国务院关于印发实施〈中华人民共和国促进科技成果转化法〉若干规定的通知》（国发〔2016〕16号）和《中华人民共和国专利法》及其实施细则等有关规定执行。除上述情形以外的资产处置收入，按照《中央级事业单位国有资产处置管理暂行办法》（</w:t>
      </w:r>
      <w:proofErr w:type="gramStart"/>
      <w:r w:rsidRPr="002A05BE">
        <w:rPr>
          <w:rFonts w:hint="eastAsia"/>
        </w:rPr>
        <w:t>财教〔2008〕</w:t>
      </w:r>
      <w:proofErr w:type="gramEnd"/>
      <w:r w:rsidRPr="002A05BE">
        <w:rPr>
          <w:rFonts w:hint="eastAsia"/>
        </w:rPr>
        <w:t>495号）有关规定执行。</w:t>
      </w:r>
    </w:p>
    <w:p w14:paraId="40058CAC" w14:textId="7B962864" w:rsidR="002A05BE" w:rsidRPr="002A05BE" w:rsidRDefault="002A05BE" w:rsidP="002A05BE">
      <w:pPr>
        <w:pStyle w:val="13"/>
        <w:ind w:firstLine="482"/>
      </w:pPr>
      <w:r w:rsidRPr="002A05BE">
        <w:rPr>
          <w:rFonts w:hint="eastAsia"/>
          <w:b/>
          <w:bCs/>
        </w:rPr>
        <w:t>六、履行高校科技成果评估备案管理职责。</w:t>
      </w:r>
      <w:r w:rsidRPr="002A05BE">
        <w:rPr>
          <w:rFonts w:hint="eastAsia"/>
        </w:rPr>
        <w:t>高校科技成果资产评估备案工作，授权高校负责。高校要结合科技成果转化工作实际，根据国家有关规定，制定科技成果资产评估项目备案工作操作细则，规范科技成果资产评估机构的选聘工作，按要求严格审核科技成果资产评估各项资料，完善资产评估档案管理，切实做好科技成果资产评估备案工作。</w:t>
      </w:r>
    </w:p>
    <w:p w14:paraId="2FF2876A" w14:textId="4A9885CE" w:rsidR="002A05BE" w:rsidRPr="002A05BE" w:rsidRDefault="002A05BE" w:rsidP="002A05BE">
      <w:pPr>
        <w:pStyle w:val="13"/>
      </w:pPr>
      <w:r w:rsidRPr="002A05BE">
        <w:rPr>
          <w:rFonts w:hint="eastAsia"/>
        </w:rPr>
        <w:t>高校科技成果转化管理部门应按照国有资产评估管理工作要求，填写《国有资产评估项目备案表》，提交相关备案材料。高校国有资产管理部门应自收齐备案材料日起，在5个工作日内完成备案手续，于每年度终了15个工作日内，将本年度科技成果评估项目备案情况汇总表（附件2）报送教育部，教育部汇总后报财政部。</w:t>
      </w:r>
    </w:p>
    <w:p w14:paraId="0641BAB0" w14:textId="585204E1" w:rsidR="002A05BE" w:rsidRPr="002A05BE" w:rsidRDefault="002A05BE" w:rsidP="002A05BE">
      <w:pPr>
        <w:pStyle w:val="13"/>
        <w:ind w:firstLine="482"/>
      </w:pPr>
      <w:r w:rsidRPr="002A05BE">
        <w:rPr>
          <w:rFonts w:hint="eastAsia"/>
          <w:b/>
          <w:bCs/>
        </w:rPr>
        <w:t>七、推进资产管理信息系统建设。</w:t>
      </w:r>
      <w:r w:rsidRPr="002A05BE">
        <w:rPr>
          <w:rFonts w:hint="eastAsia"/>
        </w:rPr>
        <w:t>高校应统筹设计、整体规划、稳步推进国有资产信息化建设，充分考虑国有资产监管要求、内部控制环节、现有设施资源及未来业务发展变化，持续优化管理信息系统。高校应运用信息化管理工具对国有资产信息系统的合理性、数据的准确性、操作的规范性进行监控和反馈,加强资产管理信息系统的管理与维护，确保资产信息安全。</w:t>
      </w:r>
    </w:p>
    <w:p w14:paraId="22A3A8DD" w14:textId="5D920BCB" w:rsidR="002A05BE" w:rsidRPr="002A05BE" w:rsidRDefault="002A05BE" w:rsidP="002A05BE">
      <w:pPr>
        <w:pStyle w:val="13"/>
        <w:ind w:firstLine="482"/>
      </w:pPr>
      <w:r w:rsidRPr="002A05BE">
        <w:rPr>
          <w:rFonts w:hint="eastAsia"/>
          <w:b/>
          <w:bCs/>
        </w:rPr>
        <w:t>八、加强资产绩效考核评价。</w:t>
      </w:r>
      <w:r w:rsidRPr="002A05BE">
        <w:rPr>
          <w:rFonts w:hint="eastAsia"/>
        </w:rPr>
        <w:t>高校应按照社会效益和经济效益相结合的原则建立资产绩效考核评价体系，通过科学合理、客观公正、规范可行的方法、标准和程序，真实反映和评价本校国有资产管理绩效。高校要加强绩效考核评价结果的运用，将绩</w:t>
      </w:r>
      <w:r w:rsidRPr="002A05BE">
        <w:rPr>
          <w:rFonts w:hint="eastAsia"/>
        </w:rPr>
        <w:lastRenderedPageBreak/>
        <w:t>效评价的结果作为资产配置、使用和处置的重要依据，不断提高国有资产的安全性、完整性和有效性。</w:t>
      </w:r>
    </w:p>
    <w:p w14:paraId="7B91DF3A" w14:textId="46DB65B4" w:rsidR="002A05BE" w:rsidRPr="002A05BE" w:rsidRDefault="002A05BE" w:rsidP="002A05BE">
      <w:pPr>
        <w:pStyle w:val="13"/>
        <w:ind w:firstLine="482"/>
      </w:pPr>
      <w:r w:rsidRPr="002A05BE">
        <w:rPr>
          <w:rFonts w:hint="eastAsia"/>
          <w:b/>
          <w:bCs/>
        </w:rPr>
        <w:t>九、建立国有资产年度报告制度。</w:t>
      </w:r>
      <w:r w:rsidRPr="002A05BE">
        <w:rPr>
          <w:rFonts w:hint="eastAsia"/>
        </w:rPr>
        <w:t>高校应在年度终了2个月内，将上年度国有资产管理情况书面报告教育部。报告的主要内容包括：制度建设、机构设置和人员配备情况；资产使用管理情况；资产处置管理情况，含处置资产的原因、账面原值和处置方式，取得的收入及其使用情况，授权管理取得的成效、存在的问题和建议等；其他资产管理情况等。</w:t>
      </w:r>
    </w:p>
    <w:p w14:paraId="262DB613" w14:textId="69D98700" w:rsidR="002A05BE" w:rsidRPr="002A05BE" w:rsidRDefault="002A05BE" w:rsidP="002A05BE">
      <w:pPr>
        <w:pStyle w:val="13"/>
        <w:ind w:firstLine="482"/>
      </w:pPr>
      <w:r w:rsidRPr="002A05BE">
        <w:rPr>
          <w:rFonts w:hint="eastAsia"/>
          <w:b/>
          <w:bCs/>
        </w:rPr>
        <w:t>十、强化国有资产监督管理。</w:t>
      </w:r>
      <w:r w:rsidRPr="002A05BE">
        <w:rPr>
          <w:rFonts w:hint="eastAsia"/>
        </w:rPr>
        <w:t>高校要建立健全国有资产监督管理责任制，强化纪检、监察、审计等部门协作联动监督，提高内部控制水平，防止国有资产流失。教育部将加大对高校国有资产管理的指导和监督力度，组织专项检查，及时发现国有资产管理过程中存在的突出问题、管理漏洞和薄弱环节，督促加以改进。高校要自觉接受和配合教育部、财政部组织的监督检查工作。</w:t>
      </w:r>
    </w:p>
    <w:p w14:paraId="42AEB013" w14:textId="591CF852" w:rsidR="002A05BE" w:rsidRPr="002A05BE" w:rsidRDefault="002A05BE" w:rsidP="002A05BE">
      <w:pPr>
        <w:pStyle w:val="13"/>
      </w:pPr>
      <w:r w:rsidRPr="002A05BE">
        <w:rPr>
          <w:rFonts w:hint="eastAsia"/>
        </w:rPr>
        <w:t>高校应根据财政部、教育部相关规定，结合实际情况，及时修订本校国有资产管理办法，并报教育部备查。</w:t>
      </w:r>
    </w:p>
    <w:p w14:paraId="04E4E89F" w14:textId="77777777" w:rsidR="002A05BE" w:rsidRDefault="002A05BE" w:rsidP="002A05BE">
      <w:pPr>
        <w:pStyle w:val="13"/>
      </w:pPr>
      <w:r>
        <w:rPr>
          <w:rFonts w:hint="eastAsia"/>
        </w:rPr>
        <w:t>附件：</w:t>
      </w:r>
      <w:r>
        <w:t>1.教育部直属高校固定资产最低使用年限表</w:t>
      </w:r>
    </w:p>
    <w:p w14:paraId="5447333C" w14:textId="157E82A9" w:rsidR="002A05BE" w:rsidRDefault="002A05BE" w:rsidP="002A05BE">
      <w:pPr>
        <w:pStyle w:val="13"/>
        <w:ind w:firstLineChars="500" w:firstLine="1200"/>
      </w:pPr>
      <w:r>
        <w:t>2.科技成果评估项目备案情况汇总表</w:t>
      </w:r>
    </w:p>
    <w:p w14:paraId="31673781" w14:textId="77777777" w:rsidR="00B93D94" w:rsidRDefault="00B93D94" w:rsidP="002A05BE">
      <w:pPr>
        <w:pStyle w:val="13"/>
        <w:ind w:firstLineChars="500" w:firstLine="1200"/>
      </w:pPr>
    </w:p>
    <w:p w14:paraId="7402AC86" w14:textId="77777777" w:rsidR="002A05BE" w:rsidRPr="002A05BE" w:rsidRDefault="002A05BE" w:rsidP="002A05BE">
      <w:pPr>
        <w:pStyle w:val="13"/>
        <w:ind w:firstLineChars="0" w:firstLine="0"/>
        <w:rPr>
          <w:b/>
          <w:bCs/>
        </w:rPr>
      </w:pPr>
      <w:r w:rsidRPr="002A05BE">
        <w:rPr>
          <w:rFonts w:hint="eastAsia"/>
          <w:b/>
          <w:bCs/>
        </w:rPr>
        <w:t>附件</w:t>
      </w:r>
      <w:r w:rsidRPr="002A05BE">
        <w:rPr>
          <w:b/>
          <w:bCs/>
        </w:rPr>
        <w:t>1：</w:t>
      </w:r>
    </w:p>
    <w:p w14:paraId="114C977F" w14:textId="25A1753C" w:rsidR="00FE2C85" w:rsidRPr="002A05BE" w:rsidRDefault="002A05BE" w:rsidP="00AF7342">
      <w:pPr>
        <w:pStyle w:val="a9"/>
        <w:spacing w:before="62" w:after="62"/>
      </w:pPr>
      <w:r>
        <w:rPr>
          <w:rFonts w:hint="eastAsia"/>
        </w:rPr>
        <w:t>教育部直属高校固定资产最低使用年限表</w:t>
      </w:r>
    </w:p>
    <w:tbl>
      <w:tblPr>
        <w:tblW w:w="5000" w:type="pct"/>
        <w:tblLook w:val="0000" w:firstRow="0" w:lastRow="0" w:firstColumn="0" w:lastColumn="0" w:noHBand="0" w:noVBand="0"/>
      </w:tblPr>
      <w:tblGrid>
        <w:gridCol w:w="2142"/>
        <w:gridCol w:w="1613"/>
        <w:gridCol w:w="2597"/>
        <w:gridCol w:w="2368"/>
      </w:tblGrid>
      <w:tr w:rsidR="002A05BE" w:rsidRPr="002A05BE" w14:paraId="58D5B970" w14:textId="77777777" w:rsidTr="002A05BE">
        <w:trPr>
          <w:cantSplit/>
          <w:trHeight w:hRule="exact" w:val="448"/>
          <w:tblHeader/>
        </w:trPr>
        <w:tc>
          <w:tcPr>
            <w:tcW w:w="1228" w:type="pct"/>
            <w:tcBorders>
              <w:top w:val="single" w:sz="4" w:space="0" w:color="auto"/>
              <w:left w:val="single" w:sz="4" w:space="0" w:color="auto"/>
              <w:bottom w:val="single" w:sz="4" w:space="0" w:color="auto"/>
              <w:right w:val="single" w:sz="4" w:space="0" w:color="auto"/>
            </w:tcBorders>
            <w:vAlign w:val="center"/>
          </w:tcPr>
          <w:p w14:paraId="386681A8" w14:textId="77777777" w:rsidR="002A05BE" w:rsidRPr="002A05BE" w:rsidRDefault="002A05BE" w:rsidP="002A05BE">
            <w:pPr>
              <w:pStyle w:val="13"/>
              <w:spacing w:line="240" w:lineRule="auto"/>
              <w:ind w:firstLineChars="0" w:firstLine="0"/>
              <w:jc w:val="center"/>
              <w:rPr>
                <w:b/>
                <w:bCs/>
                <w:sz w:val="21"/>
                <w:szCs w:val="21"/>
              </w:rPr>
            </w:pPr>
            <w:r w:rsidRPr="002A05BE">
              <w:rPr>
                <w:b/>
                <w:bCs/>
                <w:sz w:val="21"/>
                <w:szCs w:val="21"/>
              </w:rPr>
              <w:t>固定资产类别</w:t>
            </w:r>
          </w:p>
        </w:tc>
        <w:tc>
          <w:tcPr>
            <w:tcW w:w="2414" w:type="pct"/>
            <w:gridSpan w:val="2"/>
            <w:tcBorders>
              <w:top w:val="single" w:sz="4" w:space="0" w:color="auto"/>
              <w:left w:val="nil"/>
              <w:bottom w:val="single" w:sz="4" w:space="0" w:color="auto"/>
              <w:right w:val="single" w:sz="4" w:space="0" w:color="auto"/>
            </w:tcBorders>
            <w:vAlign w:val="center"/>
          </w:tcPr>
          <w:p w14:paraId="4F88D269" w14:textId="77777777" w:rsidR="002A05BE" w:rsidRPr="002A05BE" w:rsidRDefault="002A05BE" w:rsidP="002A05BE">
            <w:pPr>
              <w:pStyle w:val="13"/>
              <w:spacing w:line="240" w:lineRule="auto"/>
              <w:ind w:firstLineChars="0" w:firstLine="0"/>
              <w:jc w:val="center"/>
              <w:rPr>
                <w:b/>
                <w:bCs/>
                <w:sz w:val="21"/>
                <w:szCs w:val="21"/>
              </w:rPr>
            </w:pPr>
            <w:r w:rsidRPr="002A05BE">
              <w:rPr>
                <w:b/>
                <w:bCs/>
                <w:sz w:val="21"/>
                <w:szCs w:val="21"/>
              </w:rPr>
              <w:t>内容</w:t>
            </w:r>
          </w:p>
        </w:tc>
        <w:tc>
          <w:tcPr>
            <w:tcW w:w="1359" w:type="pct"/>
            <w:tcBorders>
              <w:top w:val="single" w:sz="4" w:space="0" w:color="auto"/>
              <w:left w:val="nil"/>
              <w:bottom w:val="single" w:sz="4" w:space="0" w:color="auto"/>
              <w:right w:val="single" w:sz="4" w:space="0" w:color="auto"/>
            </w:tcBorders>
            <w:vAlign w:val="center"/>
          </w:tcPr>
          <w:p w14:paraId="4EFCF1D1" w14:textId="77777777" w:rsidR="002A05BE" w:rsidRPr="002A05BE" w:rsidRDefault="002A05BE" w:rsidP="002A05BE">
            <w:pPr>
              <w:pStyle w:val="13"/>
              <w:spacing w:line="240" w:lineRule="auto"/>
              <w:ind w:firstLineChars="0" w:firstLine="0"/>
              <w:jc w:val="center"/>
              <w:rPr>
                <w:b/>
                <w:bCs/>
                <w:sz w:val="21"/>
                <w:szCs w:val="21"/>
              </w:rPr>
            </w:pPr>
            <w:r w:rsidRPr="002A05BE">
              <w:rPr>
                <w:rFonts w:hint="eastAsia"/>
                <w:b/>
                <w:bCs/>
                <w:sz w:val="21"/>
                <w:szCs w:val="21"/>
              </w:rPr>
              <w:t>最低使用</w:t>
            </w:r>
            <w:r w:rsidRPr="002A05BE">
              <w:rPr>
                <w:b/>
                <w:bCs/>
                <w:sz w:val="21"/>
                <w:szCs w:val="21"/>
              </w:rPr>
              <w:t>年限</w:t>
            </w:r>
            <w:r w:rsidRPr="002A05BE">
              <w:rPr>
                <w:rFonts w:hint="eastAsia"/>
                <w:b/>
                <w:bCs/>
                <w:sz w:val="21"/>
                <w:szCs w:val="21"/>
              </w:rPr>
              <w:t>（</w:t>
            </w:r>
            <w:r w:rsidRPr="002A05BE">
              <w:rPr>
                <w:b/>
                <w:bCs/>
                <w:sz w:val="21"/>
                <w:szCs w:val="21"/>
              </w:rPr>
              <w:t>年</w:t>
            </w:r>
            <w:r w:rsidRPr="002A05BE">
              <w:rPr>
                <w:rFonts w:hint="eastAsia"/>
                <w:b/>
                <w:bCs/>
                <w:sz w:val="21"/>
                <w:szCs w:val="21"/>
              </w:rPr>
              <w:t>）</w:t>
            </w:r>
          </w:p>
        </w:tc>
      </w:tr>
      <w:tr w:rsidR="002A05BE" w:rsidRPr="002A05BE" w14:paraId="73BB2C7C" w14:textId="77777777" w:rsidTr="002A05BE">
        <w:trPr>
          <w:cantSplit/>
          <w:trHeight w:hRule="exact" w:val="448"/>
        </w:trPr>
        <w:tc>
          <w:tcPr>
            <w:tcW w:w="1228" w:type="pct"/>
            <w:vMerge w:val="restart"/>
            <w:tcBorders>
              <w:top w:val="nil"/>
              <w:left w:val="single" w:sz="4" w:space="0" w:color="auto"/>
              <w:bottom w:val="single" w:sz="4" w:space="0" w:color="auto"/>
              <w:right w:val="single" w:sz="4" w:space="0" w:color="auto"/>
            </w:tcBorders>
            <w:vAlign w:val="center"/>
          </w:tcPr>
          <w:p w14:paraId="1A37E7B7" w14:textId="77777777" w:rsidR="002A05BE" w:rsidRPr="002A05BE" w:rsidRDefault="002A05BE" w:rsidP="002A05BE">
            <w:pPr>
              <w:pStyle w:val="13"/>
              <w:spacing w:line="240" w:lineRule="auto"/>
              <w:ind w:firstLineChars="0" w:firstLine="0"/>
              <w:rPr>
                <w:sz w:val="21"/>
                <w:szCs w:val="21"/>
              </w:rPr>
            </w:pPr>
            <w:r w:rsidRPr="002A05BE">
              <w:rPr>
                <w:sz w:val="21"/>
                <w:szCs w:val="21"/>
              </w:rPr>
              <w:t>房屋及构筑物</w:t>
            </w:r>
          </w:p>
        </w:tc>
        <w:tc>
          <w:tcPr>
            <w:tcW w:w="925" w:type="pct"/>
            <w:vMerge w:val="restart"/>
            <w:tcBorders>
              <w:top w:val="nil"/>
              <w:left w:val="nil"/>
              <w:right w:val="single" w:sz="4" w:space="0" w:color="auto"/>
            </w:tcBorders>
            <w:vAlign w:val="center"/>
          </w:tcPr>
          <w:p w14:paraId="6DC10BC7" w14:textId="77777777" w:rsidR="002A05BE" w:rsidRPr="002A05BE" w:rsidRDefault="002A05BE" w:rsidP="002A05BE">
            <w:pPr>
              <w:pStyle w:val="13"/>
              <w:spacing w:line="240" w:lineRule="auto"/>
              <w:ind w:firstLineChars="0" w:firstLine="0"/>
              <w:rPr>
                <w:sz w:val="21"/>
                <w:szCs w:val="21"/>
              </w:rPr>
            </w:pPr>
            <w:r w:rsidRPr="002A05BE">
              <w:rPr>
                <w:sz w:val="21"/>
                <w:szCs w:val="21"/>
              </w:rPr>
              <w:t>业务及管理用房</w:t>
            </w:r>
          </w:p>
        </w:tc>
        <w:tc>
          <w:tcPr>
            <w:tcW w:w="1489" w:type="pct"/>
            <w:tcBorders>
              <w:top w:val="nil"/>
              <w:left w:val="nil"/>
              <w:bottom w:val="single" w:sz="4" w:space="0" w:color="auto"/>
              <w:right w:val="single" w:sz="4" w:space="0" w:color="auto"/>
            </w:tcBorders>
            <w:vAlign w:val="center"/>
          </w:tcPr>
          <w:p w14:paraId="21EDC941" w14:textId="77777777" w:rsidR="002A05BE" w:rsidRPr="002A05BE" w:rsidRDefault="002A05BE" w:rsidP="002A05BE">
            <w:pPr>
              <w:pStyle w:val="13"/>
              <w:spacing w:line="240" w:lineRule="auto"/>
              <w:ind w:firstLineChars="0" w:firstLine="0"/>
              <w:rPr>
                <w:sz w:val="21"/>
                <w:szCs w:val="21"/>
              </w:rPr>
            </w:pPr>
            <w:r w:rsidRPr="002A05BE">
              <w:rPr>
                <w:sz w:val="21"/>
                <w:szCs w:val="21"/>
              </w:rPr>
              <w:t>钢结构</w:t>
            </w:r>
          </w:p>
        </w:tc>
        <w:tc>
          <w:tcPr>
            <w:tcW w:w="1359" w:type="pct"/>
            <w:tcBorders>
              <w:top w:val="nil"/>
              <w:left w:val="nil"/>
              <w:bottom w:val="single" w:sz="4" w:space="0" w:color="auto"/>
              <w:right w:val="single" w:sz="4" w:space="0" w:color="auto"/>
            </w:tcBorders>
            <w:vAlign w:val="center"/>
          </w:tcPr>
          <w:p w14:paraId="3A4E951C"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50</w:t>
            </w:r>
          </w:p>
        </w:tc>
      </w:tr>
      <w:tr w:rsidR="002A05BE" w:rsidRPr="002A05BE" w14:paraId="4883BAAE"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EA67EAA" w14:textId="77777777" w:rsidR="002A05BE" w:rsidRPr="002A05BE" w:rsidRDefault="002A05BE" w:rsidP="002A05BE">
            <w:pPr>
              <w:pStyle w:val="13"/>
              <w:spacing w:line="240" w:lineRule="auto"/>
              <w:ind w:firstLineChars="0" w:firstLine="0"/>
              <w:rPr>
                <w:sz w:val="21"/>
                <w:szCs w:val="21"/>
              </w:rPr>
            </w:pPr>
          </w:p>
        </w:tc>
        <w:tc>
          <w:tcPr>
            <w:tcW w:w="925" w:type="pct"/>
            <w:vMerge/>
            <w:tcBorders>
              <w:left w:val="nil"/>
              <w:right w:val="single" w:sz="4" w:space="0" w:color="auto"/>
            </w:tcBorders>
            <w:vAlign w:val="center"/>
          </w:tcPr>
          <w:p w14:paraId="04563613" w14:textId="77777777" w:rsidR="002A05BE" w:rsidRPr="002A05BE" w:rsidRDefault="002A05BE" w:rsidP="002A05BE">
            <w:pPr>
              <w:pStyle w:val="13"/>
              <w:spacing w:line="240" w:lineRule="auto"/>
              <w:ind w:firstLineChars="0" w:firstLine="0"/>
              <w:rPr>
                <w:sz w:val="21"/>
                <w:szCs w:val="21"/>
              </w:rPr>
            </w:pPr>
          </w:p>
        </w:tc>
        <w:tc>
          <w:tcPr>
            <w:tcW w:w="1489" w:type="pct"/>
            <w:tcBorders>
              <w:top w:val="nil"/>
              <w:left w:val="nil"/>
              <w:bottom w:val="single" w:sz="4" w:space="0" w:color="auto"/>
              <w:right w:val="single" w:sz="4" w:space="0" w:color="auto"/>
            </w:tcBorders>
            <w:vAlign w:val="center"/>
          </w:tcPr>
          <w:p w14:paraId="7A65232F" w14:textId="77777777" w:rsidR="002A05BE" w:rsidRPr="002A05BE" w:rsidRDefault="002A05BE" w:rsidP="002A05BE">
            <w:pPr>
              <w:pStyle w:val="13"/>
              <w:spacing w:line="240" w:lineRule="auto"/>
              <w:ind w:firstLineChars="0" w:firstLine="0"/>
              <w:rPr>
                <w:sz w:val="21"/>
                <w:szCs w:val="21"/>
              </w:rPr>
            </w:pPr>
            <w:r w:rsidRPr="002A05BE">
              <w:rPr>
                <w:sz w:val="21"/>
                <w:szCs w:val="21"/>
              </w:rPr>
              <w:t>钢筋混凝土结构</w:t>
            </w:r>
          </w:p>
        </w:tc>
        <w:tc>
          <w:tcPr>
            <w:tcW w:w="1359" w:type="pct"/>
            <w:tcBorders>
              <w:top w:val="nil"/>
              <w:left w:val="nil"/>
              <w:bottom w:val="single" w:sz="4" w:space="0" w:color="auto"/>
              <w:right w:val="single" w:sz="4" w:space="0" w:color="auto"/>
            </w:tcBorders>
            <w:vAlign w:val="center"/>
          </w:tcPr>
          <w:p w14:paraId="1503A954"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50</w:t>
            </w:r>
          </w:p>
        </w:tc>
      </w:tr>
      <w:tr w:rsidR="002A05BE" w:rsidRPr="002A05BE" w14:paraId="42740FC5"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009D83C6" w14:textId="77777777" w:rsidR="002A05BE" w:rsidRPr="002A05BE" w:rsidRDefault="002A05BE" w:rsidP="002A05BE">
            <w:pPr>
              <w:pStyle w:val="13"/>
              <w:spacing w:line="240" w:lineRule="auto"/>
              <w:ind w:firstLineChars="0" w:firstLine="0"/>
              <w:rPr>
                <w:sz w:val="21"/>
                <w:szCs w:val="21"/>
              </w:rPr>
            </w:pPr>
          </w:p>
        </w:tc>
        <w:tc>
          <w:tcPr>
            <w:tcW w:w="925" w:type="pct"/>
            <w:vMerge/>
            <w:tcBorders>
              <w:left w:val="nil"/>
              <w:right w:val="single" w:sz="4" w:space="0" w:color="auto"/>
            </w:tcBorders>
            <w:vAlign w:val="center"/>
          </w:tcPr>
          <w:p w14:paraId="35D4FF3F" w14:textId="77777777" w:rsidR="002A05BE" w:rsidRPr="002A05BE" w:rsidRDefault="002A05BE" w:rsidP="002A05BE">
            <w:pPr>
              <w:pStyle w:val="13"/>
              <w:spacing w:line="240" w:lineRule="auto"/>
              <w:ind w:firstLineChars="0" w:firstLine="0"/>
              <w:rPr>
                <w:sz w:val="21"/>
                <w:szCs w:val="21"/>
              </w:rPr>
            </w:pPr>
          </w:p>
        </w:tc>
        <w:tc>
          <w:tcPr>
            <w:tcW w:w="1489" w:type="pct"/>
            <w:tcBorders>
              <w:top w:val="nil"/>
              <w:left w:val="nil"/>
              <w:bottom w:val="single" w:sz="4" w:space="0" w:color="auto"/>
              <w:right w:val="single" w:sz="4" w:space="0" w:color="auto"/>
            </w:tcBorders>
            <w:vAlign w:val="center"/>
          </w:tcPr>
          <w:p w14:paraId="4750F632" w14:textId="77777777" w:rsidR="002A05BE" w:rsidRPr="002A05BE" w:rsidRDefault="002A05BE" w:rsidP="002A05BE">
            <w:pPr>
              <w:pStyle w:val="13"/>
              <w:spacing w:line="240" w:lineRule="auto"/>
              <w:ind w:firstLineChars="0" w:firstLine="0"/>
              <w:rPr>
                <w:sz w:val="21"/>
                <w:szCs w:val="21"/>
              </w:rPr>
            </w:pPr>
            <w:r w:rsidRPr="002A05BE">
              <w:rPr>
                <w:sz w:val="21"/>
                <w:szCs w:val="21"/>
              </w:rPr>
              <w:t>砖混结构</w:t>
            </w:r>
          </w:p>
        </w:tc>
        <w:tc>
          <w:tcPr>
            <w:tcW w:w="1359" w:type="pct"/>
            <w:tcBorders>
              <w:top w:val="nil"/>
              <w:left w:val="nil"/>
              <w:bottom w:val="single" w:sz="4" w:space="0" w:color="auto"/>
              <w:right w:val="single" w:sz="4" w:space="0" w:color="auto"/>
            </w:tcBorders>
            <w:vAlign w:val="center"/>
          </w:tcPr>
          <w:p w14:paraId="0801A719"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30</w:t>
            </w:r>
          </w:p>
        </w:tc>
      </w:tr>
      <w:tr w:rsidR="002A05BE" w:rsidRPr="002A05BE" w14:paraId="7388A97E"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798DE06A" w14:textId="77777777" w:rsidR="002A05BE" w:rsidRPr="002A05BE" w:rsidRDefault="002A05BE" w:rsidP="002A05BE">
            <w:pPr>
              <w:pStyle w:val="13"/>
              <w:spacing w:line="240" w:lineRule="auto"/>
              <w:ind w:firstLineChars="0" w:firstLine="0"/>
              <w:rPr>
                <w:sz w:val="21"/>
                <w:szCs w:val="21"/>
              </w:rPr>
            </w:pPr>
          </w:p>
        </w:tc>
        <w:tc>
          <w:tcPr>
            <w:tcW w:w="925" w:type="pct"/>
            <w:vMerge/>
            <w:tcBorders>
              <w:left w:val="nil"/>
              <w:bottom w:val="single" w:sz="4" w:space="0" w:color="auto"/>
              <w:right w:val="single" w:sz="4" w:space="0" w:color="auto"/>
            </w:tcBorders>
            <w:vAlign w:val="center"/>
          </w:tcPr>
          <w:p w14:paraId="52E73945" w14:textId="77777777" w:rsidR="002A05BE" w:rsidRPr="002A05BE" w:rsidRDefault="002A05BE" w:rsidP="002A05BE">
            <w:pPr>
              <w:pStyle w:val="13"/>
              <w:spacing w:line="240" w:lineRule="auto"/>
              <w:ind w:firstLineChars="0" w:firstLine="0"/>
              <w:rPr>
                <w:sz w:val="21"/>
                <w:szCs w:val="21"/>
              </w:rPr>
            </w:pPr>
          </w:p>
        </w:tc>
        <w:tc>
          <w:tcPr>
            <w:tcW w:w="1489" w:type="pct"/>
            <w:tcBorders>
              <w:top w:val="nil"/>
              <w:left w:val="nil"/>
              <w:bottom w:val="single" w:sz="4" w:space="0" w:color="auto"/>
              <w:right w:val="single" w:sz="4" w:space="0" w:color="auto"/>
            </w:tcBorders>
            <w:vAlign w:val="center"/>
          </w:tcPr>
          <w:p w14:paraId="0B8CE22A" w14:textId="77777777" w:rsidR="002A05BE" w:rsidRPr="002A05BE" w:rsidRDefault="002A05BE" w:rsidP="002A05BE">
            <w:pPr>
              <w:pStyle w:val="13"/>
              <w:spacing w:line="240" w:lineRule="auto"/>
              <w:ind w:firstLineChars="0" w:firstLine="0"/>
              <w:rPr>
                <w:sz w:val="21"/>
                <w:szCs w:val="21"/>
              </w:rPr>
            </w:pPr>
            <w:r w:rsidRPr="002A05BE">
              <w:rPr>
                <w:sz w:val="21"/>
                <w:szCs w:val="21"/>
              </w:rPr>
              <w:t>砖木结构</w:t>
            </w:r>
          </w:p>
        </w:tc>
        <w:tc>
          <w:tcPr>
            <w:tcW w:w="1359" w:type="pct"/>
            <w:tcBorders>
              <w:top w:val="nil"/>
              <w:left w:val="nil"/>
              <w:bottom w:val="single" w:sz="4" w:space="0" w:color="auto"/>
              <w:right w:val="single" w:sz="4" w:space="0" w:color="auto"/>
            </w:tcBorders>
            <w:vAlign w:val="center"/>
          </w:tcPr>
          <w:p w14:paraId="36CD0D6C"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30</w:t>
            </w:r>
          </w:p>
        </w:tc>
      </w:tr>
      <w:tr w:rsidR="002A05BE" w:rsidRPr="002A05BE" w14:paraId="6B6947F5"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5CDB4EFE"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single" w:sz="4" w:space="0" w:color="auto"/>
              <w:left w:val="nil"/>
              <w:bottom w:val="single" w:sz="4" w:space="0" w:color="auto"/>
              <w:right w:val="single" w:sz="4" w:space="0" w:color="auto"/>
            </w:tcBorders>
            <w:vAlign w:val="center"/>
          </w:tcPr>
          <w:p w14:paraId="647248CD" w14:textId="77777777" w:rsidR="002A05BE" w:rsidRPr="002A05BE" w:rsidRDefault="002A05BE" w:rsidP="002A05BE">
            <w:pPr>
              <w:pStyle w:val="13"/>
              <w:spacing w:line="240" w:lineRule="auto"/>
              <w:ind w:firstLineChars="0" w:firstLine="0"/>
              <w:rPr>
                <w:sz w:val="21"/>
                <w:szCs w:val="21"/>
              </w:rPr>
            </w:pPr>
            <w:r w:rsidRPr="002A05BE">
              <w:rPr>
                <w:sz w:val="21"/>
                <w:szCs w:val="21"/>
              </w:rPr>
              <w:t>简易房</w:t>
            </w:r>
          </w:p>
        </w:tc>
        <w:tc>
          <w:tcPr>
            <w:tcW w:w="1359" w:type="pct"/>
            <w:tcBorders>
              <w:top w:val="nil"/>
              <w:left w:val="nil"/>
              <w:bottom w:val="single" w:sz="4" w:space="0" w:color="auto"/>
              <w:right w:val="single" w:sz="4" w:space="0" w:color="auto"/>
            </w:tcBorders>
            <w:vAlign w:val="center"/>
          </w:tcPr>
          <w:p w14:paraId="0F5FDB35"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8</w:t>
            </w:r>
          </w:p>
        </w:tc>
      </w:tr>
      <w:tr w:rsidR="002A05BE" w:rsidRPr="002A05BE" w14:paraId="7F8AECFE"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0FA7BB0"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single" w:sz="4" w:space="0" w:color="auto"/>
              <w:left w:val="nil"/>
              <w:bottom w:val="single" w:sz="4" w:space="0" w:color="auto"/>
              <w:right w:val="single" w:sz="4" w:space="0" w:color="auto"/>
            </w:tcBorders>
            <w:vAlign w:val="center"/>
          </w:tcPr>
          <w:p w14:paraId="6467E82D" w14:textId="77777777" w:rsidR="002A05BE" w:rsidRPr="002A05BE" w:rsidRDefault="002A05BE" w:rsidP="002A05BE">
            <w:pPr>
              <w:pStyle w:val="13"/>
              <w:spacing w:line="240" w:lineRule="auto"/>
              <w:ind w:firstLineChars="0" w:firstLine="0"/>
              <w:rPr>
                <w:sz w:val="21"/>
                <w:szCs w:val="21"/>
              </w:rPr>
            </w:pPr>
            <w:r w:rsidRPr="002A05BE">
              <w:rPr>
                <w:sz w:val="21"/>
                <w:szCs w:val="21"/>
              </w:rPr>
              <w:t>房屋附属设施</w:t>
            </w:r>
          </w:p>
        </w:tc>
        <w:tc>
          <w:tcPr>
            <w:tcW w:w="1359" w:type="pct"/>
            <w:tcBorders>
              <w:top w:val="nil"/>
              <w:left w:val="nil"/>
              <w:bottom w:val="single" w:sz="4" w:space="0" w:color="auto"/>
              <w:right w:val="single" w:sz="4" w:space="0" w:color="auto"/>
            </w:tcBorders>
            <w:vAlign w:val="center"/>
          </w:tcPr>
          <w:p w14:paraId="0142ED01"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8</w:t>
            </w:r>
          </w:p>
        </w:tc>
      </w:tr>
      <w:tr w:rsidR="002A05BE" w:rsidRPr="002A05BE" w14:paraId="6833259A"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0FB2BDDF"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572ABAC0" w14:textId="77777777" w:rsidR="002A05BE" w:rsidRPr="002A05BE" w:rsidRDefault="002A05BE" w:rsidP="002A05BE">
            <w:pPr>
              <w:pStyle w:val="13"/>
              <w:spacing w:line="240" w:lineRule="auto"/>
              <w:ind w:firstLineChars="0" w:firstLine="0"/>
              <w:rPr>
                <w:sz w:val="21"/>
                <w:szCs w:val="21"/>
              </w:rPr>
            </w:pPr>
            <w:r w:rsidRPr="002A05BE">
              <w:rPr>
                <w:sz w:val="21"/>
                <w:szCs w:val="21"/>
              </w:rPr>
              <w:t>构筑物</w:t>
            </w:r>
          </w:p>
        </w:tc>
        <w:tc>
          <w:tcPr>
            <w:tcW w:w="1359" w:type="pct"/>
            <w:tcBorders>
              <w:top w:val="nil"/>
              <w:left w:val="nil"/>
              <w:bottom w:val="single" w:sz="4" w:space="0" w:color="auto"/>
              <w:right w:val="single" w:sz="4" w:space="0" w:color="auto"/>
            </w:tcBorders>
            <w:vAlign w:val="center"/>
          </w:tcPr>
          <w:p w14:paraId="1D4B2E12"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8</w:t>
            </w:r>
          </w:p>
        </w:tc>
      </w:tr>
      <w:tr w:rsidR="002A05BE" w:rsidRPr="002A05BE" w14:paraId="753F7931" w14:textId="77777777" w:rsidTr="002A05BE">
        <w:trPr>
          <w:cantSplit/>
          <w:trHeight w:hRule="exact" w:val="448"/>
        </w:trPr>
        <w:tc>
          <w:tcPr>
            <w:tcW w:w="1228" w:type="pct"/>
            <w:vMerge w:val="restart"/>
            <w:tcBorders>
              <w:top w:val="nil"/>
              <w:left w:val="single" w:sz="4" w:space="0" w:color="auto"/>
              <w:bottom w:val="single" w:sz="4" w:space="0" w:color="auto"/>
              <w:right w:val="single" w:sz="4" w:space="0" w:color="auto"/>
            </w:tcBorders>
            <w:vAlign w:val="center"/>
          </w:tcPr>
          <w:p w14:paraId="0D368693" w14:textId="77777777" w:rsidR="002A05BE" w:rsidRPr="002A05BE" w:rsidRDefault="002A05BE" w:rsidP="002A05BE">
            <w:pPr>
              <w:pStyle w:val="13"/>
              <w:spacing w:line="240" w:lineRule="auto"/>
              <w:ind w:firstLineChars="0" w:firstLine="0"/>
              <w:rPr>
                <w:sz w:val="21"/>
                <w:szCs w:val="21"/>
              </w:rPr>
            </w:pPr>
            <w:r w:rsidRPr="002A05BE">
              <w:rPr>
                <w:sz w:val="21"/>
                <w:szCs w:val="21"/>
              </w:rPr>
              <w:t>通用设备</w:t>
            </w:r>
          </w:p>
        </w:tc>
        <w:tc>
          <w:tcPr>
            <w:tcW w:w="2414" w:type="pct"/>
            <w:gridSpan w:val="2"/>
            <w:tcBorders>
              <w:top w:val="nil"/>
              <w:left w:val="nil"/>
              <w:bottom w:val="single" w:sz="4" w:space="0" w:color="auto"/>
              <w:right w:val="single" w:sz="4" w:space="0" w:color="auto"/>
            </w:tcBorders>
            <w:vAlign w:val="center"/>
          </w:tcPr>
          <w:p w14:paraId="7FD57204" w14:textId="77777777" w:rsidR="002A05BE" w:rsidRPr="002A05BE" w:rsidRDefault="002A05BE" w:rsidP="002A05BE">
            <w:pPr>
              <w:pStyle w:val="13"/>
              <w:spacing w:line="240" w:lineRule="auto"/>
              <w:ind w:firstLineChars="0" w:firstLine="0"/>
              <w:rPr>
                <w:sz w:val="21"/>
                <w:szCs w:val="21"/>
              </w:rPr>
            </w:pPr>
            <w:r w:rsidRPr="002A05BE">
              <w:rPr>
                <w:sz w:val="21"/>
                <w:szCs w:val="21"/>
              </w:rPr>
              <w:t>计算机设备</w:t>
            </w:r>
          </w:p>
        </w:tc>
        <w:tc>
          <w:tcPr>
            <w:tcW w:w="1359" w:type="pct"/>
            <w:tcBorders>
              <w:top w:val="nil"/>
              <w:left w:val="nil"/>
              <w:bottom w:val="single" w:sz="4" w:space="0" w:color="auto"/>
              <w:right w:val="single" w:sz="4" w:space="0" w:color="auto"/>
            </w:tcBorders>
            <w:vAlign w:val="center"/>
          </w:tcPr>
          <w:p w14:paraId="3A8401A2"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6</w:t>
            </w:r>
          </w:p>
        </w:tc>
      </w:tr>
      <w:tr w:rsidR="002A05BE" w:rsidRPr="002A05BE" w14:paraId="5A367CD8"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1F1948BC"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2808188F" w14:textId="77777777" w:rsidR="002A05BE" w:rsidRPr="002A05BE" w:rsidRDefault="002A05BE" w:rsidP="002A05BE">
            <w:pPr>
              <w:pStyle w:val="13"/>
              <w:spacing w:line="240" w:lineRule="auto"/>
              <w:ind w:firstLineChars="0" w:firstLine="0"/>
              <w:rPr>
                <w:sz w:val="21"/>
                <w:szCs w:val="21"/>
              </w:rPr>
            </w:pPr>
            <w:r w:rsidRPr="002A05BE">
              <w:rPr>
                <w:sz w:val="21"/>
                <w:szCs w:val="21"/>
              </w:rPr>
              <w:t>办公设备</w:t>
            </w:r>
          </w:p>
        </w:tc>
        <w:tc>
          <w:tcPr>
            <w:tcW w:w="1359" w:type="pct"/>
            <w:tcBorders>
              <w:top w:val="nil"/>
              <w:left w:val="nil"/>
              <w:bottom w:val="single" w:sz="4" w:space="0" w:color="auto"/>
              <w:right w:val="single" w:sz="4" w:space="0" w:color="auto"/>
            </w:tcBorders>
            <w:vAlign w:val="center"/>
          </w:tcPr>
          <w:p w14:paraId="59A2EBA2"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6</w:t>
            </w:r>
          </w:p>
        </w:tc>
      </w:tr>
      <w:tr w:rsidR="002A05BE" w:rsidRPr="002A05BE" w14:paraId="1EF5AD0E"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77603FE2"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427FC400" w14:textId="77777777" w:rsidR="002A05BE" w:rsidRPr="002A05BE" w:rsidRDefault="002A05BE" w:rsidP="002A05BE">
            <w:pPr>
              <w:pStyle w:val="13"/>
              <w:spacing w:line="240" w:lineRule="auto"/>
              <w:ind w:firstLineChars="0" w:firstLine="0"/>
              <w:rPr>
                <w:sz w:val="21"/>
                <w:szCs w:val="21"/>
              </w:rPr>
            </w:pPr>
            <w:r w:rsidRPr="002A05BE">
              <w:rPr>
                <w:sz w:val="21"/>
                <w:szCs w:val="21"/>
              </w:rPr>
              <w:t>车辆</w:t>
            </w:r>
          </w:p>
        </w:tc>
        <w:tc>
          <w:tcPr>
            <w:tcW w:w="1359" w:type="pct"/>
            <w:tcBorders>
              <w:top w:val="nil"/>
              <w:left w:val="nil"/>
              <w:bottom w:val="single" w:sz="4" w:space="0" w:color="auto"/>
              <w:right w:val="single" w:sz="4" w:space="0" w:color="auto"/>
            </w:tcBorders>
            <w:vAlign w:val="center"/>
          </w:tcPr>
          <w:p w14:paraId="3A8F1A6D"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8</w:t>
            </w:r>
          </w:p>
        </w:tc>
      </w:tr>
      <w:tr w:rsidR="002A05BE" w:rsidRPr="002A05BE" w14:paraId="24339155"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51FCA350"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64121ADD" w14:textId="77777777" w:rsidR="002A05BE" w:rsidRPr="002A05BE" w:rsidRDefault="002A05BE" w:rsidP="002A05BE">
            <w:pPr>
              <w:pStyle w:val="13"/>
              <w:spacing w:line="240" w:lineRule="auto"/>
              <w:ind w:firstLineChars="0" w:firstLine="0"/>
              <w:rPr>
                <w:sz w:val="21"/>
                <w:szCs w:val="21"/>
              </w:rPr>
            </w:pPr>
            <w:r w:rsidRPr="002A05BE">
              <w:rPr>
                <w:sz w:val="21"/>
                <w:szCs w:val="21"/>
              </w:rPr>
              <w:t>图书档案设备</w:t>
            </w:r>
          </w:p>
        </w:tc>
        <w:tc>
          <w:tcPr>
            <w:tcW w:w="1359" w:type="pct"/>
            <w:tcBorders>
              <w:top w:val="nil"/>
              <w:left w:val="nil"/>
              <w:bottom w:val="single" w:sz="4" w:space="0" w:color="auto"/>
              <w:right w:val="single" w:sz="4" w:space="0" w:color="auto"/>
            </w:tcBorders>
            <w:vAlign w:val="center"/>
          </w:tcPr>
          <w:p w14:paraId="259D7238"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16EAEE87"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95B2C30"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69BB241F" w14:textId="77777777" w:rsidR="002A05BE" w:rsidRPr="002A05BE" w:rsidRDefault="002A05BE" w:rsidP="002A05BE">
            <w:pPr>
              <w:pStyle w:val="13"/>
              <w:spacing w:line="240" w:lineRule="auto"/>
              <w:ind w:firstLineChars="0" w:firstLine="0"/>
              <w:rPr>
                <w:sz w:val="21"/>
                <w:szCs w:val="21"/>
              </w:rPr>
            </w:pPr>
            <w:r w:rsidRPr="002A05BE">
              <w:rPr>
                <w:sz w:val="21"/>
                <w:szCs w:val="21"/>
              </w:rPr>
              <w:t>机械设备</w:t>
            </w:r>
          </w:p>
        </w:tc>
        <w:tc>
          <w:tcPr>
            <w:tcW w:w="1359" w:type="pct"/>
            <w:tcBorders>
              <w:top w:val="nil"/>
              <w:left w:val="nil"/>
              <w:bottom w:val="single" w:sz="4" w:space="0" w:color="auto"/>
              <w:right w:val="single" w:sz="4" w:space="0" w:color="auto"/>
            </w:tcBorders>
            <w:vAlign w:val="center"/>
          </w:tcPr>
          <w:p w14:paraId="4B65AEAD"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6B1869A5"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DCD760D"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5E36B5B9" w14:textId="77777777" w:rsidR="002A05BE" w:rsidRPr="002A05BE" w:rsidRDefault="002A05BE" w:rsidP="002A05BE">
            <w:pPr>
              <w:pStyle w:val="13"/>
              <w:spacing w:line="240" w:lineRule="auto"/>
              <w:ind w:firstLineChars="0" w:firstLine="0"/>
              <w:rPr>
                <w:sz w:val="21"/>
                <w:szCs w:val="21"/>
              </w:rPr>
            </w:pPr>
            <w:r w:rsidRPr="002A05BE">
              <w:rPr>
                <w:sz w:val="21"/>
                <w:szCs w:val="21"/>
              </w:rPr>
              <w:t>电气设备</w:t>
            </w:r>
          </w:p>
        </w:tc>
        <w:tc>
          <w:tcPr>
            <w:tcW w:w="1359" w:type="pct"/>
            <w:tcBorders>
              <w:top w:val="nil"/>
              <w:left w:val="nil"/>
              <w:bottom w:val="single" w:sz="4" w:space="0" w:color="auto"/>
              <w:right w:val="single" w:sz="4" w:space="0" w:color="auto"/>
            </w:tcBorders>
            <w:vAlign w:val="center"/>
          </w:tcPr>
          <w:p w14:paraId="73E674B6"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3E8191C5"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2299BEC7"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7F38980E" w14:textId="77777777" w:rsidR="002A05BE" w:rsidRPr="002A05BE" w:rsidRDefault="002A05BE" w:rsidP="002A05BE">
            <w:pPr>
              <w:pStyle w:val="13"/>
              <w:spacing w:line="240" w:lineRule="auto"/>
              <w:ind w:firstLineChars="0" w:firstLine="0"/>
              <w:rPr>
                <w:sz w:val="21"/>
                <w:szCs w:val="21"/>
              </w:rPr>
            </w:pPr>
            <w:r w:rsidRPr="002A05BE">
              <w:rPr>
                <w:sz w:val="21"/>
                <w:szCs w:val="21"/>
              </w:rPr>
              <w:t>雷达、无线电和卫星导航设备</w:t>
            </w:r>
          </w:p>
        </w:tc>
        <w:tc>
          <w:tcPr>
            <w:tcW w:w="1359" w:type="pct"/>
            <w:tcBorders>
              <w:top w:val="nil"/>
              <w:left w:val="nil"/>
              <w:bottom w:val="single" w:sz="4" w:space="0" w:color="auto"/>
              <w:right w:val="single" w:sz="4" w:space="0" w:color="auto"/>
            </w:tcBorders>
            <w:vAlign w:val="center"/>
          </w:tcPr>
          <w:p w14:paraId="392E4108"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09CE868E"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0BC1FF72"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2C7179D4" w14:textId="77777777" w:rsidR="002A05BE" w:rsidRPr="002A05BE" w:rsidRDefault="002A05BE" w:rsidP="002A05BE">
            <w:pPr>
              <w:pStyle w:val="13"/>
              <w:spacing w:line="240" w:lineRule="auto"/>
              <w:ind w:firstLineChars="0" w:firstLine="0"/>
              <w:rPr>
                <w:sz w:val="21"/>
                <w:szCs w:val="21"/>
              </w:rPr>
            </w:pPr>
            <w:r w:rsidRPr="002A05BE">
              <w:rPr>
                <w:sz w:val="21"/>
                <w:szCs w:val="21"/>
              </w:rPr>
              <w:t>通信设备</w:t>
            </w:r>
          </w:p>
        </w:tc>
        <w:tc>
          <w:tcPr>
            <w:tcW w:w="1359" w:type="pct"/>
            <w:tcBorders>
              <w:top w:val="nil"/>
              <w:left w:val="nil"/>
              <w:bottom w:val="single" w:sz="4" w:space="0" w:color="auto"/>
              <w:right w:val="single" w:sz="4" w:space="0" w:color="auto"/>
            </w:tcBorders>
            <w:vAlign w:val="center"/>
          </w:tcPr>
          <w:p w14:paraId="185B8373"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55176E3D"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530CBCC4"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2AB29A79" w14:textId="77777777" w:rsidR="002A05BE" w:rsidRPr="002A05BE" w:rsidRDefault="002A05BE" w:rsidP="002A05BE">
            <w:pPr>
              <w:pStyle w:val="13"/>
              <w:spacing w:line="240" w:lineRule="auto"/>
              <w:ind w:firstLineChars="0" w:firstLine="0"/>
              <w:rPr>
                <w:sz w:val="21"/>
                <w:szCs w:val="21"/>
              </w:rPr>
            </w:pPr>
            <w:r w:rsidRPr="002A05BE">
              <w:rPr>
                <w:sz w:val="21"/>
                <w:szCs w:val="21"/>
              </w:rPr>
              <w:t>广播、电视、电影设备</w:t>
            </w:r>
          </w:p>
        </w:tc>
        <w:tc>
          <w:tcPr>
            <w:tcW w:w="1359" w:type="pct"/>
            <w:tcBorders>
              <w:top w:val="nil"/>
              <w:left w:val="nil"/>
              <w:bottom w:val="single" w:sz="4" w:space="0" w:color="auto"/>
              <w:right w:val="single" w:sz="4" w:space="0" w:color="auto"/>
            </w:tcBorders>
            <w:vAlign w:val="center"/>
          </w:tcPr>
          <w:p w14:paraId="20DCE3AF"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4743825D"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7EED06CD"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662AF536" w14:textId="77777777" w:rsidR="002A05BE" w:rsidRPr="002A05BE" w:rsidRDefault="002A05BE" w:rsidP="002A05BE">
            <w:pPr>
              <w:pStyle w:val="13"/>
              <w:spacing w:line="240" w:lineRule="auto"/>
              <w:ind w:firstLineChars="0" w:firstLine="0"/>
              <w:rPr>
                <w:sz w:val="21"/>
                <w:szCs w:val="21"/>
              </w:rPr>
            </w:pPr>
            <w:r w:rsidRPr="002A05BE">
              <w:rPr>
                <w:sz w:val="21"/>
                <w:szCs w:val="21"/>
              </w:rPr>
              <w:t>仪器仪表</w:t>
            </w:r>
          </w:p>
        </w:tc>
        <w:tc>
          <w:tcPr>
            <w:tcW w:w="1359" w:type="pct"/>
            <w:tcBorders>
              <w:top w:val="nil"/>
              <w:left w:val="nil"/>
              <w:bottom w:val="single" w:sz="4" w:space="0" w:color="auto"/>
              <w:right w:val="single" w:sz="4" w:space="0" w:color="auto"/>
            </w:tcBorders>
            <w:vAlign w:val="center"/>
          </w:tcPr>
          <w:p w14:paraId="190DF382"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43710003"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03ED1636"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3979C2BA" w14:textId="77777777" w:rsidR="002A05BE" w:rsidRPr="002A05BE" w:rsidRDefault="002A05BE" w:rsidP="002A05BE">
            <w:pPr>
              <w:pStyle w:val="13"/>
              <w:spacing w:line="240" w:lineRule="auto"/>
              <w:ind w:firstLineChars="0" w:firstLine="0"/>
              <w:rPr>
                <w:sz w:val="21"/>
                <w:szCs w:val="21"/>
              </w:rPr>
            </w:pPr>
            <w:r w:rsidRPr="002A05BE">
              <w:rPr>
                <w:sz w:val="21"/>
                <w:szCs w:val="21"/>
              </w:rPr>
              <w:t>电子和通信测量设备</w:t>
            </w:r>
          </w:p>
        </w:tc>
        <w:tc>
          <w:tcPr>
            <w:tcW w:w="1359" w:type="pct"/>
            <w:tcBorders>
              <w:top w:val="nil"/>
              <w:left w:val="nil"/>
              <w:bottom w:val="single" w:sz="4" w:space="0" w:color="auto"/>
              <w:right w:val="single" w:sz="4" w:space="0" w:color="auto"/>
            </w:tcBorders>
            <w:vAlign w:val="center"/>
          </w:tcPr>
          <w:p w14:paraId="0F301A63"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77AF5E75"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11A47D5"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4842A0ED" w14:textId="77777777" w:rsidR="002A05BE" w:rsidRPr="002A05BE" w:rsidRDefault="002A05BE" w:rsidP="002A05BE">
            <w:pPr>
              <w:pStyle w:val="13"/>
              <w:spacing w:line="240" w:lineRule="auto"/>
              <w:ind w:firstLineChars="0" w:firstLine="0"/>
              <w:rPr>
                <w:sz w:val="21"/>
                <w:szCs w:val="21"/>
              </w:rPr>
            </w:pPr>
            <w:r w:rsidRPr="002A05BE">
              <w:rPr>
                <w:sz w:val="21"/>
                <w:szCs w:val="21"/>
              </w:rPr>
              <w:t>计量标准器具及量具、衡器</w:t>
            </w:r>
          </w:p>
        </w:tc>
        <w:tc>
          <w:tcPr>
            <w:tcW w:w="1359" w:type="pct"/>
            <w:tcBorders>
              <w:top w:val="nil"/>
              <w:left w:val="nil"/>
              <w:bottom w:val="single" w:sz="4" w:space="0" w:color="auto"/>
              <w:right w:val="single" w:sz="4" w:space="0" w:color="auto"/>
            </w:tcBorders>
            <w:vAlign w:val="center"/>
          </w:tcPr>
          <w:p w14:paraId="3F24892D"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01F26A0E" w14:textId="77777777" w:rsidTr="002A05BE">
        <w:trPr>
          <w:cantSplit/>
          <w:trHeight w:hRule="exact" w:val="448"/>
        </w:trPr>
        <w:tc>
          <w:tcPr>
            <w:tcW w:w="1228" w:type="pct"/>
            <w:vMerge w:val="restart"/>
            <w:tcBorders>
              <w:top w:val="nil"/>
              <w:left w:val="single" w:sz="4" w:space="0" w:color="auto"/>
              <w:bottom w:val="single" w:sz="4" w:space="0" w:color="auto"/>
              <w:right w:val="single" w:sz="4" w:space="0" w:color="auto"/>
            </w:tcBorders>
            <w:vAlign w:val="center"/>
          </w:tcPr>
          <w:p w14:paraId="1DC7A9EA" w14:textId="77777777" w:rsidR="002A05BE" w:rsidRPr="002A05BE" w:rsidRDefault="002A05BE" w:rsidP="002A05BE">
            <w:pPr>
              <w:pStyle w:val="13"/>
              <w:spacing w:line="240" w:lineRule="auto"/>
              <w:ind w:firstLineChars="0" w:firstLine="0"/>
              <w:rPr>
                <w:sz w:val="21"/>
                <w:szCs w:val="21"/>
              </w:rPr>
            </w:pPr>
            <w:r w:rsidRPr="002A05BE">
              <w:rPr>
                <w:sz w:val="21"/>
                <w:szCs w:val="21"/>
              </w:rPr>
              <w:t>专用设备</w:t>
            </w:r>
          </w:p>
        </w:tc>
        <w:tc>
          <w:tcPr>
            <w:tcW w:w="2414" w:type="pct"/>
            <w:gridSpan w:val="2"/>
            <w:tcBorders>
              <w:top w:val="nil"/>
              <w:left w:val="nil"/>
              <w:bottom w:val="single" w:sz="4" w:space="0" w:color="auto"/>
              <w:right w:val="single" w:sz="4" w:space="0" w:color="auto"/>
            </w:tcBorders>
            <w:vAlign w:val="center"/>
          </w:tcPr>
          <w:p w14:paraId="0FCE2FC8" w14:textId="77777777" w:rsidR="002A05BE" w:rsidRPr="002A05BE" w:rsidRDefault="002A05BE" w:rsidP="002A05BE">
            <w:pPr>
              <w:pStyle w:val="13"/>
              <w:spacing w:line="240" w:lineRule="auto"/>
              <w:ind w:firstLineChars="0" w:firstLine="0"/>
              <w:rPr>
                <w:sz w:val="21"/>
                <w:szCs w:val="21"/>
              </w:rPr>
            </w:pPr>
            <w:r w:rsidRPr="002A05BE">
              <w:rPr>
                <w:sz w:val="21"/>
                <w:szCs w:val="21"/>
              </w:rPr>
              <w:t>探矿、采矿、选矿和</w:t>
            </w:r>
            <w:proofErr w:type="gramStart"/>
            <w:r w:rsidRPr="002A05BE">
              <w:rPr>
                <w:sz w:val="21"/>
                <w:szCs w:val="21"/>
              </w:rPr>
              <w:t>造块设备</w:t>
            </w:r>
            <w:proofErr w:type="gramEnd"/>
          </w:p>
        </w:tc>
        <w:tc>
          <w:tcPr>
            <w:tcW w:w="1359" w:type="pct"/>
            <w:tcBorders>
              <w:top w:val="nil"/>
              <w:left w:val="nil"/>
              <w:bottom w:val="single" w:sz="4" w:space="0" w:color="auto"/>
              <w:right w:val="single" w:sz="4" w:space="0" w:color="auto"/>
            </w:tcBorders>
            <w:vAlign w:val="center"/>
          </w:tcPr>
          <w:p w14:paraId="740BC0DA"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7FA3AAD3"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BDB3C21"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349E9BCD" w14:textId="77777777" w:rsidR="002A05BE" w:rsidRPr="002A05BE" w:rsidRDefault="002A05BE" w:rsidP="002A05BE">
            <w:pPr>
              <w:pStyle w:val="13"/>
              <w:spacing w:line="240" w:lineRule="auto"/>
              <w:ind w:firstLineChars="0" w:firstLine="0"/>
              <w:rPr>
                <w:sz w:val="21"/>
                <w:szCs w:val="21"/>
              </w:rPr>
            </w:pPr>
            <w:r w:rsidRPr="002A05BE">
              <w:rPr>
                <w:sz w:val="21"/>
                <w:szCs w:val="21"/>
              </w:rPr>
              <w:t>石油天然气开采专用设备</w:t>
            </w:r>
          </w:p>
        </w:tc>
        <w:tc>
          <w:tcPr>
            <w:tcW w:w="1359" w:type="pct"/>
            <w:tcBorders>
              <w:top w:val="nil"/>
              <w:left w:val="nil"/>
              <w:bottom w:val="single" w:sz="4" w:space="0" w:color="auto"/>
              <w:right w:val="single" w:sz="4" w:space="0" w:color="auto"/>
            </w:tcBorders>
            <w:vAlign w:val="center"/>
          </w:tcPr>
          <w:p w14:paraId="43CBE1D6"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49BE2090"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4DD69EC"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7D355394" w14:textId="77777777" w:rsidR="002A05BE" w:rsidRPr="002A05BE" w:rsidRDefault="002A05BE" w:rsidP="002A05BE">
            <w:pPr>
              <w:pStyle w:val="13"/>
              <w:spacing w:line="240" w:lineRule="auto"/>
              <w:ind w:firstLineChars="0" w:firstLine="0"/>
              <w:rPr>
                <w:sz w:val="21"/>
                <w:szCs w:val="21"/>
              </w:rPr>
            </w:pPr>
            <w:r w:rsidRPr="002A05BE">
              <w:rPr>
                <w:sz w:val="21"/>
                <w:szCs w:val="21"/>
              </w:rPr>
              <w:t>石油和化学工业专用设备</w:t>
            </w:r>
          </w:p>
        </w:tc>
        <w:tc>
          <w:tcPr>
            <w:tcW w:w="1359" w:type="pct"/>
            <w:tcBorders>
              <w:top w:val="nil"/>
              <w:left w:val="nil"/>
              <w:bottom w:val="single" w:sz="4" w:space="0" w:color="auto"/>
              <w:right w:val="single" w:sz="4" w:space="0" w:color="auto"/>
            </w:tcBorders>
            <w:vAlign w:val="center"/>
          </w:tcPr>
          <w:p w14:paraId="01D45499"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17981B3E"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1DF409E3"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362BFE37" w14:textId="77777777" w:rsidR="002A05BE" w:rsidRPr="002A05BE" w:rsidRDefault="002A05BE" w:rsidP="002A05BE">
            <w:pPr>
              <w:pStyle w:val="13"/>
              <w:spacing w:line="240" w:lineRule="auto"/>
              <w:ind w:firstLineChars="0" w:firstLine="0"/>
              <w:rPr>
                <w:sz w:val="21"/>
                <w:szCs w:val="21"/>
              </w:rPr>
            </w:pPr>
            <w:r w:rsidRPr="002A05BE">
              <w:rPr>
                <w:sz w:val="21"/>
                <w:szCs w:val="21"/>
              </w:rPr>
              <w:t>炼焦和金属冶炼轧制设备</w:t>
            </w:r>
          </w:p>
        </w:tc>
        <w:tc>
          <w:tcPr>
            <w:tcW w:w="1359" w:type="pct"/>
            <w:tcBorders>
              <w:top w:val="nil"/>
              <w:left w:val="nil"/>
              <w:bottom w:val="single" w:sz="4" w:space="0" w:color="auto"/>
              <w:right w:val="single" w:sz="4" w:space="0" w:color="auto"/>
            </w:tcBorders>
            <w:vAlign w:val="center"/>
          </w:tcPr>
          <w:p w14:paraId="50C45906"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55384E68"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159C7C1"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2C5113BA" w14:textId="77777777" w:rsidR="002A05BE" w:rsidRPr="002A05BE" w:rsidRDefault="002A05BE" w:rsidP="002A05BE">
            <w:pPr>
              <w:pStyle w:val="13"/>
              <w:spacing w:line="240" w:lineRule="auto"/>
              <w:ind w:firstLineChars="0" w:firstLine="0"/>
              <w:rPr>
                <w:sz w:val="21"/>
                <w:szCs w:val="21"/>
              </w:rPr>
            </w:pPr>
            <w:r w:rsidRPr="002A05BE">
              <w:rPr>
                <w:sz w:val="21"/>
                <w:szCs w:val="21"/>
              </w:rPr>
              <w:t>电力工业专用设备</w:t>
            </w:r>
          </w:p>
        </w:tc>
        <w:tc>
          <w:tcPr>
            <w:tcW w:w="1359" w:type="pct"/>
            <w:tcBorders>
              <w:top w:val="nil"/>
              <w:left w:val="nil"/>
              <w:bottom w:val="single" w:sz="4" w:space="0" w:color="auto"/>
              <w:right w:val="single" w:sz="4" w:space="0" w:color="auto"/>
            </w:tcBorders>
            <w:vAlign w:val="center"/>
          </w:tcPr>
          <w:p w14:paraId="3D6E8D87"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20</w:t>
            </w:r>
          </w:p>
        </w:tc>
      </w:tr>
      <w:tr w:rsidR="002A05BE" w:rsidRPr="002A05BE" w14:paraId="6647B5C9"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C24C7DE"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5A14728D" w14:textId="77777777" w:rsidR="002A05BE" w:rsidRPr="002A05BE" w:rsidRDefault="002A05BE" w:rsidP="002A05BE">
            <w:pPr>
              <w:pStyle w:val="13"/>
              <w:spacing w:line="240" w:lineRule="auto"/>
              <w:ind w:firstLineChars="0" w:firstLine="0"/>
              <w:rPr>
                <w:sz w:val="21"/>
                <w:szCs w:val="21"/>
              </w:rPr>
            </w:pPr>
            <w:r w:rsidRPr="002A05BE">
              <w:rPr>
                <w:sz w:val="21"/>
                <w:szCs w:val="21"/>
              </w:rPr>
              <w:t>非金属矿物制品工业专用设备</w:t>
            </w:r>
          </w:p>
        </w:tc>
        <w:tc>
          <w:tcPr>
            <w:tcW w:w="1359" w:type="pct"/>
            <w:tcBorders>
              <w:top w:val="nil"/>
              <w:left w:val="nil"/>
              <w:bottom w:val="single" w:sz="4" w:space="0" w:color="auto"/>
              <w:right w:val="single" w:sz="4" w:space="0" w:color="auto"/>
            </w:tcBorders>
            <w:vAlign w:val="center"/>
          </w:tcPr>
          <w:p w14:paraId="5D7B826F"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2446B825"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815DB93"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29958466" w14:textId="77777777" w:rsidR="002A05BE" w:rsidRPr="002A05BE" w:rsidRDefault="002A05BE" w:rsidP="002A05BE">
            <w:pPr>
              <w:pStyle w:val="13"/>
              <w:spacing w:line="240" w:lineRule="auto"/>
              <w:ind w:firstLineChars="0" w:firstLine="0"/>
              <w:rPr>
                <w:sz w:val="21"/>
                <w:szCs w:val="21"/>
              </w:rPr>
            </w:pPr>
            <w:r w:rsidRPr="002A05BE">
              <w:rPr>
                <w:sz w:val="21"/>
                <w:szCs w:val="21"/>
              </w:rPr>
              <w:t>核工业专用设备</w:t>
            </w:r>
          </w:p>
        </w:tc>
        <w:tc>
          <w:tcPr>
            <w:tcW w:w="1359" w:type="pct"/>
            <w:tcBorders>
              <w:top w:val="nil"/>
              <w:left w:val="nil"/>
              <w:bottom w:val="single" w:sz="4" w:space="0" w:color="auto"/>
              <w:right w:val="single" w:sz="4" w:space="0" w:color="auto"/>
            </w:tcBorders>
            <w:vAlign w:val="center"/>
          </w:tcPr>
          <w:p w14:paraId="68050968"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20</w:t>
            </w:r>
          </w:p>
        </w:tc>
      </w:tr>
      <w:tr w:rsidR="002A05BE" w:rsidRPr="002A05BE" w14:paraId="33A147DA"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813235B"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21403194" w14:textId="77777777" w:rsidR="002A05BE" w:rsidRPr="002A05BE" w:rsidRDefault="002A05BE" w:rsidP="002A05BE">
            <w:pPr>
              <w:pStyle w:val="13"/>
              <w:spacing w:line="240" w:lineRule="auto"/>
              <w:ind w:firstLineChars="0" w:firstLine="0"/>
              <w:rPr>
                <w:sz w:val="21"/>
                <w:szCs w:val="21"/>
              </w:rPr>
            </w:pPr>
            <w:r w:rsidRPr="002A05BE">
              <w:rPr>
                <w:sz w:val="21"/>
                <w:szCs w:val="21"/>
              </w:rPr>
              <w:t>航空航天工业专用设备</w:t>
            </w:r>
          </w:p>
        </w:tc>
        <w:tc>
          <w:tcPr>
            <w:tcW w:w="1359" w:type="pct"/>
            <w:tcBorders>
              <w:top w:val="nil"/>
              <w:left w:val="nil"/>
              <w:bottom w:val="single" w:sz="4" w:space="0" w:color="auto"/>
              <w:right w:val="single" w:sz="4" w:space="0" w:color="auto"/>
            </w:tcBorders>
            <w:vAlign w:val="center"/>
          </w:tcPr>
          <w:p w14:paraId="36BAB43D"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20</w:t>
            </w:r>
          </w:p>
        </w:tc>
      </w:tr>
      <w:tr w:rsidR="002A05BE" w:rsidRPr="002A05BE" w14:paraId="6C3DB4EA"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D4E38CE"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4CE62308" w14:textId="77777777" w:rsidR="002A05BE" w:rsidRPr="002A05BE" w:rsidRDefault="002A05BE" w:rsidP="002A05BE">
            <w:pPr>
              <w:pStyle w:val="13"/>
              <w:spacing w:line="240" w:lineRule="auto"/>
              <w:ind w:firstLineChars="0" w:firstLine="0"/>
              <w:rPr>
                <w:sz w:val="21"/>
                <w:szCs w:val="21"/>
              </w:rPr>
            </w:pPr>
            <w:r w:rsidRPr="002A05BE">
              <w:rPr>
                <w:sz w:val="21"/>
                <w:szCs w:val="21"/>
              </w:rPr>
              <w:t>工程机械</w:t>
            </w:r>
          </w:p>
        </w:tc>
        <w:tc>
          <w:tcPr>
            <w:tcW w:w="1359" w:type="pct"/>
            <w:tcBorders>
              <w:top w:val="nil"/>
              <w:left w:val="nil"/>
              <w:bottom w:val="single" w:sz="4" w:space="0" w:color="auto"/>
              <w:right w:val="single" w:sz="4" w:space="0" w:color="auto"/>
            </w:tcBorders>
            <w:vAlign w:val="center"/>
          </w:tcPr>
          <w:p w14:paraId="33DACED6"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5ADA88DF"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165278A9"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74EBA469" w14:textId="77777777" w:rsidR="002A05BE" w:rsidRPr="002A05BE" w:rsidRDefault="002A05BE" w:rsidP="002A05BE">
            <w:pPr>
              <w:pStyle w:val="13"/>
              <w:spacing w:line="240" w:lineRule="auto"/>
              <w:ind w:firstLineChars="0" w:firstLine="0"/>
              <w:rPr>
                <w:sz w:val="21"/>
                <w:szCs w:val="21"/>
              </w:rPr>
            </w:pPr>
            <w:r w:rsidRPr="002A05BE">
              <w:rPr>
                <w:sz w:val="21"/>
                <w:szCs w:val="21"/>
              </w:rPr>
              <w:t>农业和林业机械</w:t>
            </w:r>
          </w:p>
        </w:tc>
        <w:tc>
          <w:tcPr>
            <w:tcW w:w="1359" w:type="pct"/>
            <w:tcBorders>
              <w:top w:val="nil"/>
              <w:left w:val="nil"/>
              <w:bottom w:val="single" w:sz="4" w:space="0" w:color="auto"/>
              <w:right w:val="single" w:sz="4" w:space="0" w:color="auto"/>
            </w:tcBorders>
            <w:vAlign w:val="center"/>
          </w:tcPr>
          <w:p w14:paraId="0F0F591E"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59C54774"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0CC1BCF7"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7F7AFD0F" w14:textId="77777777" w:rsidR="002A05BE" w:rsidRPr="002A05BE" w:rsidRDefault="002A05BE" w:rsidP="002A05BE">
            <w:pPr>
              <w:pStyle w:val="13"/>
              <w:spacing w:line="240" w:lineRule="auto"/>
              <w:ind w:firstLineChars="0" w:firstLine="0"/>
              <w:rPr>
                <w:sz w:val="21"/>
                <w:szCs w:val="21"/>
              </w:rPr>
            </w:pPr>
            <w:r w:rsidRPr="002A05BE">
              <w:rPr>
                <w:sz w:val="21"/>
                <w:szCs w:val="21"/>
              </w:rPr>
              <w:t>木材采集和加工设备</w:t>
            </w:r>
          </w:p>
        </w:tc>
        <w:tc>
          <w:tcPr>
            <w:tcW w:w="1359" w:type="pct"/>
            <w:tcBorders>
              <w:top w:val="nil"/>
              <w:left w:val="nil"/>
              <w:bottom w:val="single" w:sz="4" w:space="0" w:color="auto"/>
              <w:right w:val="single" w:sz="4" w:space="0" w:color="auto"/>
            </w:tcBorders>
            <w:vAlign w:val="center"/>
          </w:tcPr>
          <w:p w14:paraId="2C4B2488"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0B54EA23"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00530303"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0BA743B7" w14:textId="77777777" w:rsidR="002A05BE" w:rsidRPr="002A05BE" w:rsidRDefault="002A05BE" w:rsidP="002A05BE">
            <w:pPr>
              <w:pStyle w:val="13"/>
              <w:spacing w:line="240" w:lineRule="auto"/>
              <w:ind w:firstLineChars="0" w:firstLine="0"/>
              <w:rPr>
                <w:sz w:val="21"/>
                <w:szCs w:val="21"/>
              </w:rPr>
            </w:pPr>
            <w:r w:rsidRPr="002A05BE">
              <w:rPr>
                <w:sz w:val="21"/>
                <w:szCs w:val="21"/>
              </w:rPr>
              <w:t>食品加工专用设备</w:t>
            </w:r>
          </w:p>
        </w:tc>
        <w:tc>
          <w:tcPr>
            <w:tcW w:w="1359" w:type="pct"/>
            <w:tcBorders>
              <w:top w:val="nil"/>
              <w:left w:val="nil"/>
              <w:bottom w:val="single" w:sz="4" w:space="0" w:color="auto"/>
              <w:right w:val="single" w:sz="4" w:space="0" w:color="auto"/>
            </w:tcBorders>
            <w:vAlign w:val="center"/>
          </w:tcPr>
          <w:p w14:paraId="2ADD6ABF"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0E5DEE17"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53A6F341"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46CEDF17" w14:textId="77777777" w:rsidR="002A05BE" w:rsidRPr="002A05BE" w:rsidRDefault="002A05BE" w:rsidP="002A05BE">
            <w:pPr>
              <w:pStyle w:val="13"/>
              <w:spacing w:line="240" w:lineRule="auto"/>
              <w:ind w:firstLineChars="0" w:firstLine="0"/>
              <w:rPr>
                <w:sz w:val="21"/>
                <w:szCs w:val="21"/>
              </w:rPr>
            </w:pPr>
            <w:r w:rsidRPr="002A05BE">
              <w:rPr>
                <w:sz w:val="21"/>
                <w:szCs w:val="21"/>
              </w:rPr>
              <w:t>饮料加工设备</w:t>
            </w:r>
          </w:p>
        </w:tc>
        <w:tc>
          <w:tcPr>
            <w:tcW w:w="1359" w:type="pct"/>
            <w:tcBorders>
              <w:top w:val="nil"/>
              <w:left w:val="nil"/>
              <w:bottom w:val="single" w:sz="4" w:space="0" w:color="auto"/>
              <w:right w:val="single" w:sz="4" w:space="0" w:color="auto"/>
            </w:tcBorders>
            <w:vAlign w:val="center"/>
          </w:tcPr>
          <w:p w14:paraId="095148AE"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1F064170"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483A8A5"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09E995F1" w14:textId="77777777" w:rsidR="002A05BE" w:rsidRPr="002A05BE" w:rsidRDefault="002A05BE" w:rsidP="002A05BE">
            <w:pPr>
              <w:pStyle w:val="13"/>
              <w:spacing w:line="240" w:lineRule="auto"/>
              <w:ind w:firstLineChars="0" w:firstLine="0"/>
              <w:rPr>
                <w:sz w:val="21"/>
                <w:szCs w:val="21"/>
              </w:rPr>
            </w:pPr>
            <w:r w:rsidRPr="002A05BE">
              <w:rPr>
                <w:sz w:val="21"/>
                <w:szCs w:val="21"/>
              </w:rPr>
              <w:t>烟草加工设备</w:t>
            </w:r>
          </w:p>
        </w:tc>
        <w:tc>
          <w:tcPr>
            <w:tcW w:w="1359" w:type="pct"/>
            <w:tcBorders>
              <w:top w:val="nil"/>
              <w:left w:val="nil"/>
              <w:bottom w:val="single" w:sz="4" w:space="0" w:color="auto"/>
              <w:right w:val="single" w:sz="4" w:space="0" w:color="auto"/>
            </w:tcBorders>
            <w:vAlign w:val="center"/>
          </w:tcPr>
          <w:p w14:paraId="6129E36A"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40CB32BB"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E0916B1"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4DB85632" w14:textId="77777777" w:rsidR="002A05BE" w:rsidRPr="002A05BE" w:rsidRDefault="002A05BE" w:rsidP="002A05BE">
            <w:pPr>
              <w:pStyle w:val="13"/>
              <w:spacing w:line="240" w:lineRule="auto"/>
              <w:ind w:firstLineChars="0" w:firstLine="0"/>
              <w:rPr>
                <w:sz w:val="21"/>
                <w:szCs w:val="21"/>
              </w:rPr>
            </w:pPr>
            <w:r w:rsidRPr="002A05BE">
              <w:rPr>
                <w:sz w:val="21"/>
                <w:szCs w:val="21"/>
              </w:rPr>
              <w:t>粮油作物和饲料加工设备</w:t>
            </w:r>
          </w:p>
        </w:tc>
        <w:tc>
          <w:tcPr>
            <w:tcW w:w="1359" w:type="pct"/>
            <w:tcBorders>
              <w:top w:val="nil"/>
              <w:left w:val="nil"/>
              <w:bottom w:val="single" w:sz="4" w:space="0" w:color="auto"/>
              <w:right w:val="single" w:sz="4" w:space="0" w:color="auto"/>
            </w:tcBorders>
            <w:vAlign w:val="center"/>
          </w:tcPr>
          <w:p w14:paraId="33CFAA76"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316DE964"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E65FCCF"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39A078FA" w14:textId="77777777" w:rsidR="002A05BE" w:rsidRPr="002A05BE" w:rsidRDefault="002A05BE" w:rsidP="002A05BE">
            <w:pPr>
              <w:pStyle w:val="13"/>
              <w:spacing w:line="240" w:lineRule="auto"/>
              <w:ind w:firstLineChars="0" w:firstLine="0"/>
              <w:rPr>
                <w:sz w:val="21"/>
                <w:szCs w:val="21"/>
              </w:rPr>
            </w:pPr>
            <w:r w:rsidRPr="002A05BE">
              <w:rPr>
                <w:sz w:val="21"/>
                <w:szCs w:val="21"/>
              </w:rPr>
              <w:t>纺织设备</w:t>
            </w:r>
          </w:p>
        </w:tc>
        <w:tc>
          <w:tcPr>
            <w:tcW w:w="1359" w:type="pct"/>
            <w:tcBorders>
              <w:top w:val="nil"/>
              <w:left w:val="nil"/>
              <w:bottom w:val="single" w:sz="4" w:space="0" w:color="auto"/>
              <w:right w:val="single" w:sz="4" w:space="0" w:color="auto"/>
            </w:tcBorders>
            <w:vAlign w:val="center"/>
          </w:tcPr>
          <w:p w14:paraId="5C4DD840"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24BB38F4"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09F6882"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5E79327E" w14:textId="77777777" w:rsidR="002A05BE" w:rsidRPr="002A05BE" w:rsidRDefault="002A05BE" w:rsidP="002A05BE">
            <w:pPr>
              <w:pStyle w:val="13"/>
              <w:spacing w:line="240" w:lineRule="auto"/>
              <w:ind w:firstLineChars="0" w:firstLine="0"/>
              <w:rPr>
                <w:sz w:val="21"/>
                <w:szCs w:val="21"/>
              </w:rPr>
            </w:pPr>
            <w:r w:rsidRPr="002A05BE">
              <w:rPr>
                <w:sz w:val="21"/>
                <w:szCs w:val="21"/>
              </w:rPr>
              <w:t>缝纫、服饰、制革和毛皮加工设备</w:t>
            </w:r>
          </w:p>
        </w:tc>
        <w:tc>
          <w:tcPr>
            <w:tcW w:w="1359" w:type="pct"/>
            <w:tcBorders>
              <w:top w:val="nil"/>
              <w:left w:val="nil"/>
              <w:bottom w:val="single" w:sz="4" w:space="0" w:color="auto"/>
              <w:right w:val="single" w:sz="4" w:space="0" w:color="auto"/>
            </w:tcBorders>
            <w:vAlign w:val="center"/>
          </w:tcPr>
          <w:p w14:paraId="6A9301DC"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74485B14"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3D84AEED"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26377C1D" w14:textId="77777777" w:rsidR="002A05BE" w:rsidRPr="002A05BE" w:rsidRDefault="002A05BE" w:rsidP="002A05BE">
            <w:pPr>
              <w:pStyle w:val="13"/>
              <w:spacing w:line="240" w:lineRule="auto"/>
              <w:ind w:firstLineChars="0" w:firstLine="0"/>
              <w:rPr>
                <w:sz w:val="21"/>
                <w:szCs w:val="21"/>
              </w:rPr>
            </w:pPr>
            <w:r w:rsidRPr="002A05BE">
              <w:rPr>
                <w:sz w:val="21"/>
                <w:szCs w:val="21"/>
              </w:rPr>
              <w:t>造纸和印刷机械</w:t>
            </w:r>
          </w:p>
        </w:tc>
        <w:tc>
          <w:tcPr>
            <w:tcW w:w="1359" w:type="pct"/>
            <w:tcBorders>
              <w:top w:val="nil"/>
              <w:left w:val="nil"/>
              <w:bottom w:val="single" w:sz="4" w:space="0" w:color="auto"/>
              <w:right w:val="single" w:sz="4" w:space="0" w:color="auto"/>
            </w:tcBorders>
            <w:vAlign w:val="center"/>
          </w:tcPr>
          <w:p w14:paraId="39A118FC"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23E99D59"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16DAFED0"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6A6E1E71" w14:textId="77777777" w:rsidR="002A05BE" w:rsidRPr="002A05BE" w:rsidRDefault="002A05BE" w:rsidP="002A05BE">
            <w:pPr>
              <w:pStyle w:val="13"/>
              <w:spacing w:line="240" w:lineRule="auto"/>
              <w:ind w:firstLineChars="0" w:firstLine="0"/>
              <w:rPr>
                <w:sz w:val="21"/>
                <w:szCs w:val="21"/>
              </w:rPr>
            </w:pPr>
            <w:r w:rsidRPr="002A05BE">
              <w:rPr>
                <w:sz w:val="21"/>
                <w:szCs w:val="21"/>
              </w:rPr>
              <w:t>化学药品和中药专用设备</w:t>
            </w:r>
          </w:p>
        </w:tc>
        <w:tc>
          <w:tcPr>
            <w:tcW w:w="1359" w:type="pct"/>
            <w:tcBorders>
              <w:top w:val="nil"/>
              <w:left w:val="nil"/>
              <w:bottom w:val="single" w:sz="4" w:space="0" w:color="auto"/>
              <w:right w:val="single" w:sz="4" w:space="0" w:color="auto"/>
            </w:tcBorders>
            <w:vAlign w:val="center"/>
          </w:tcPr>
          <w:p w14:paraId="1D92CDB0"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75BCB8A0"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544632F3"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241D8964" w14:textId="77777777" w:rsidR="002A05BE" w:rsidRPr="002A05BE" w:rsidRDefault="002A05BE" w:rsidP="002A05BE">
            <w:pPr>
              <w:pStyle w:val="13"/>
              <w:spacing w:line="240" w:lineRule="auto"/>
              <w:ind w:firstLineChars="0" w:firstLine="0"/>
              <w:rPr>
                <w:sz w:val="21"/>
                <w:szCs w:val="21"/>
              </w:rPr>
            </w:pPr>
            <w:r w:rsidRPr="002A05BE">
              <w:rPr>
                <w:sz w:val="21"/>
                <w:szCs w:val="21"/>
              </w:rPr>
              <w:t>医疗设备</w:t>
            </w:r>
          </w:p>
        </w:tc>
        <w:tc>
          <w:tcPr>
            <w:tcW w:w="1359" w:type="pct"/>
            <w:tcBorders>
              <w:top w:val="nil"/>
              <w:left w:val="nil"/>
              <w:bottom w:val="single" w:sz="4" w:space="0" w:color="auto"/>
              <w:right w:val="single" w:sz="4" w:space="0" w:color="auto"/>
            </w:tcBorders>
            <w:vAlign w:val="center"/>
          </w:tcPr>
          <w:p w14:paraId="1C2C9780"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3B426167"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403DBFE"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031B8182" w14:textId="77777777" w:rsidR="002A05BE" w:rsidRPr="002A05BE" w:rsidRDefault="002A05BE" w:rsidP="002A05BE">
            <w:pPr>
              <w:pStyle w:val="13"/>
              <w:spacing w:line="240" w:lineRule="auto"/>
              <w:ind w:firstLineChars="0" w:firstLine="0"/>
              <w:rPr>
                <w:sz w:val="21"/>
                <w:szCs w:val="21"/>
              </w:rPr>
            </w:pPr>
            <w:r w:rsidRPr="002A05BE">
              <w:rPr>
                <w:sz w:val="21"/>
                <w:szCs w:val="21"/>
              </w:rPr>
              <w:t>电工、电子专用生产设备</w:t>
            </w:r>
          </w:p>
        </w:tc>
        <w:tc>
          <w:tcPr>
            <w:tcW w:w="1359" w:type="pct"/>
            <w:tcBorders>
              <w:top w:val="nil"/>
              <w:left w:val="nil"/>
              <w:bottom w:val="single" w:sz="4" w:space="0" w:color="auto"/>
              <w:right w:val="single" w:sz="4" w:space="0" w:color="auto"/>
            </w:tcBorders>
            <w:vAlign w:val="center"/>
          </w:tcPr>
          <w:p w14:paraId="514410B9"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21986B5F"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7C9F6EE0"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0B6D8C00" w14:textId="77777777" w:rsidR="002A05BE" w:rsidRPr="002A05BE" w:rsidRDefault="002A05BE" w:rsidP="002A05BE">
            <w:pPr>
              <w:pStyle w:val="13"/>
              <w:spacing w:line="240" w:lineRule="auto"/>
              <w:ind w:firstLineChars="0" w:firstLine="0"/>
              <w:rPr>
                <w:sz w:val="21"/>
                <w:szCs w:val="21"/>
              </w:rPr>
            </w:pPr>
            <w:r w:rsidRPr="002A05BE">
              <w:rPr>
                <w:sz w:val="21"/>
                <w:szCs w:val="21"/>
              </w:rPr>
              <w:t>安全生产设备</w:t>
            </w:r>
          </w:p>
        </w:tc>
        <w:tc>
          <w:tcPr>
            <w:tcW w:w="1359" w:type="pct"/>
            <w:tcBorders>
              <w:top w:val="nil"/>
              <w:left w:val="nil"/>
              <w:bottom w:val="single" w:sz="4" w:space="0" w:color="auto"/>
              <w:right w:val="single" w:sz="4" w:space="0" w:color="auto"/>
            </w:tcBorders>
            <w:vAlign w:val="center"/>
          </w:tcPr>
          <w:p w14:paraId="04A0A2F6"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162654A1"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F5BD13C"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3076CDB4" w14:textId="77777777" w:rsidR="002A05BE" w:rsidRPr="002A05BE" w:rsidRDefault="002A05BE" w:rsidP="002A05BE">
            <w:pPr>
              <w:pStyle w:val="13"/>
              <w:spacing w:line="240" w:lineRule="auto"/>
              <w:ind w:firstLineChars="0" w:firstLine="0"/>
              <w:rPr>
                <w:sz w:val="21"/>
                <w:szCs w:val="21"/>
              </w:rPr>
            </w:pPr>
            <w:r w:rsidRPr="002A05BE">
              <w:rPr>
                <w:sz w:val="21"/>
                <w:szCs w:val="21"/>
              </w:rPr>
              <w:t>邮政专用设备</w:t>
            </w:r>
          </w:p>
        </w:tc>
        <w:tc>
          <w:tcPr>
            <w:tcW w:w="1359" w:type="pct"/>
            <w:tcBorders>
              <w:top w:val="nil"/>
              <w:left w:val="nil"/>
              <w:bottom w:val="single" w:sz="4" w:space="0" w:color="auto"/>
              <w:right w:val="single" w:sz="4" w:space="0" w:color="auto"/>
            </w:tcBorders>
            <w:vAlign w:val="center"/>
          </w:tcPr>
          <w:p w14:paraId="58BE433D"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20AE7EDB"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57895351"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4A4E386C" w14:textId="77777777" w:rsidR="002A05BE" w:rsidRPr="002A05BE" w:rsidRDefault="002A05BE" w:rsidP="002A05BE">
            <w:pPr>
              <w:pStyle w:val="13"/>
              <w:spacing w:line="240" w:lineRule="auto"/>
              <w:ind w:firstLineChars="0" w:firstLine="0"/>
              <w:rPr>
                <w:sz w:val="21"/>
                <w:szCs w:val="21"/>
              </w:rPr>
            </w:pPr>
            <w:r w:rsidRPr="002A05BE">
              <w:rPr>
                <w:sz w:val="21"/>
                <w:szCs w:val="21"/>
              </w:rPr>
              <w:t>环境污染防治设备</w:t>
            </w:r>
          </w:p>
        </w:tc>
        <w:tc>
          <w:tcPr>
            <w:tcW w:w="1359" w:type="pct"/>
            <w:tcBorders>
              <w:top w:val="nil"/>
              <w:left w:val="nil"/>
              <w:bottom w:val="single" w:sz="4" w:space="0" w:color="auto"/>
              <w:right w:val="single" w:sz="4" w:space="0" w:color="auto"/>
            </w:tcBorders>
            <w:vAlign w:val="center"/>
          </w:tcPr>
          <w:p w14:paraId="35D75396"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470DBC6F"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1455779"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3C399479" w14:textId="77777777" w:rsidR="002A05BE" w:rsidRPr="002A05BE" w:rsidRDefault="002A05BE" w:rsidP="002A05BE">
            <w:pPr>
              <w:pStyle w:val="13"/>
              <w:spacing w:line="240" w:lineRule="auto"/>
              <w:ind w:firstLineChars="0" w:firstLine="0"/>
              <w:rPr>
                <w:sz w:val="21"/>
                <w:szCs w:val="21"/>
              </w:rPr>
            </w:pPr>
            <w:r w:rsidRPr="002A05BE">
              <w:rPr>
                <w:sz w:val="21"/>
                <w:szCs w:val="21"/>
              </w:rPr>
              <w:t>公安专用设备</w:t>
            </w:r>
          </w:p>
        </w:tc>
        <w:tc>
          <w:tcPr>
            <w:tcW w:w="1359" w:type="pct"/>
            <w:tcBorders>
              <w:top w:val="nil"/>
              <w:left w:val="nil"/>
              <w:bottom w:val="single" w:sz="4" w:space="0" w:color="auto"/>
              <w:right w:val="single" w:sz="4" w:space="0" w:color="auto"/>
            </w:tcBorders>
            <w:vAlign w:val="center"/>
          </w:tcPr>
          <w:p w14:paraId="0801C5CB"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3</w:t>
            </w:r>
          </w:p>
        </w:tc>
      </w:tr>
      <w:tr w:rsidR="002A05BE" w:rsidRPr="002A05BE" w14:paraId="58713D61"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7502D74C"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090A6ACF" w14:textId="77777777" w:rsidR="002A05BE" w:rsidRPr="002A05BE" w:rsidRDefault="002A05BE" w:rsidP="002A05BE">
            <w:pPr>
              <w:pStyle w:val="13"/>
              <w:spacing w:line="240" w:lineRule="auto"/>
              <w:ind w:firstLineChars="0" w:firstLine="0"/>
              <w:rPr>
                <w:sz w:val="21"/>
                <w:szCs w:val="21"/>
              </w:rPr>
            </w:pPr>
            <w:r w:rsidRPr="002A05BE">
              <w:rPr>
                <w:sz w:val="21"/>
                <w:szCs w:val="21"/>
              </w:rPr>
              <w:t>水工机械</w:t>
            </w:r>
          </w:p>
        </w:tc>
        <w:tc>
          <w:tcPr>
            <w:tcW w:w="1359" w:type="pct"/>
            <w:tcBorders>
              <w:top w:val="nil"/>
              <w:left w:val="nil"/>
              <w:bottom w:val="single" w:sz="4" w:space="0" w:color="auto"/>
              <w:right w:val="single" w:sz="4" w:space="0" w:color="auto"/>
            </w:tcBorders>
            <w:vAlign w:val="center"/>
          </w:tcPr>
          <w:p w14:paraId="6FB045C3"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5EE6A1B9"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0B4C8FAD"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1330A6BC" w14:textId="77777777" w:rsidR="002A05BE" w:rsidRPr="002A05BE" w:rsidRDefault="002A05BE" w:rsidP="002A05BE">
            <w:pPr>
              <w:pStyle w:val="13"/>
              <w:spacing w:line="240" w:lineRule="auto"/>
              <w:ind w:firstLineChars="0" w:firstLine="0"/>
              <w:rPr>
                <w:sz w:val="21"/>
                <w:szCs w:val="21"/>
              </w:rPr>
            </w:pPr>
            <w:r w:rsidRPr="002A05BE">
              <w:rPr>
                <w:sz w:val="21"/>
                <w:szCs w:val="21"/>
              </w:rPr>
              <w:t>殡葬设备及用品</w:t>
            </w:r>
          </w:p>
        </w:tc>
        <w:tc>
          <w:tcPr>
            <w:tcW w:w="1359" w:type="pct"/>
            <w:tcBorders>
              <w:top w:val="nil"/>
              <w:left w:val="nil"/>
              <w:bottom w:val="single" w:sz="4" w:space="0" w:color="auto"/>
              <w:right w:val="single" w:sz="4" w:space="0" w:color="auto"/>
            </w:tcBorders>
            <w:vAlign w:val="center"/>
          </w:tcPr>
          <w:p w14:paraId="4C792754"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3762435B"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50D718BD"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66DCDF07" w14:textId="77777777" w:rsidR="002A05BE" w:rsidRPr="002A05BE" w:rsidRDefault="002A05BE" w:rsidP="002A05BE">
            <w:pPr>
              <w:pStyle w:val="13"/>
              <w:spacing w:line="240" w:lineRule="auto"/>
              <w:ind w:firstLineChars="0" w:firstLine="0"/>
              <w:rPr>
                <w:sz w:val="21"/>
                <w:szCs w:val="21"/>
              </w:rPr>
            </w:pPr>
            <w:r w:rsidRPr="002A05BE">
              <w:rPr>
                <w:sz w:val="21"/>
                <w:szCs w:val="21"/>
              </w:rPr>
              <w:t>铁路运输设备</w:t>
            </w:r>
          </w:p>
        </w:tc>
        <w:tc>
          <w:tcPr>
            <w:tcW w:w="1359" w:type="pct"/>
            <w:tcBorders>
              <w:top w:val="nil"/>
              <w:left w:val="nil"/>
              <w:bottom w:val="single" w:sz="4" w:space="0" w:color="auto"/>
              <w:right w:val="single" w:sz="4" w:space="0" w:color="auto"/>
            </w:tcBorders>
            <w:vAlign w:val="center"/>
          </w:tcPr>
          <w:p w14:paraId="4264FD9D"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4EA28D78"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FBED34C"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66BCF142" w14:textId="77777777" w:rsidR="002A05BE" w:rsidRPr="002A05BE" w:rsidRDefault="002A05BE" w:rsidP="002A05BE">
            <w:pPr>
              <w:pStyle w:val="13"/>
              <w:spacing w:line="240" w:lineRule="auto"/>
              <w:ind w:firstLineChars="0" w:firstLine="0"/>
              <w:rPr>
                <w:sz w:val="21"/>
                <w:szCs w:val="21"/>
              </w:rPr>
            </w:pPr>
            <w:r w:rsidRPr="002A05BE">
              <w:rPr>
                <w:sz w:val="21"/>
                <w:szCs w:val="21"/>
              </w:rPr>
              <w:t>水上交通运输设备</w:t>
            </w:r>
          </w:p>
        </w:tc>
        <w:tc>
          <w:tcPr>
            <w:tcW w:w="1359" w:type="pct"/>
            <w:tcBorders>
              <w:top w:val="nil"/>
              <w:left w:val="nil"/>
              <w:bottom w:val="single" w:sz="4" w:space="0" w:color="auto"/>
              <w:right w:val="single" w:sz="4" w:space="0" w:color="auto"/>
            </w:tcBorders>
            <w:vAlign w:val="center"/>
          </w:tcPr>
          <w:p w14:paraId="79806B55"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387E21F7"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D1A1C85"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7DC4F1AE" w14:textId="77777777" w:rsidR="002A05BE" w:rsidRPr="002A05BE" w:rsidRDefault="002A05BE" w:rsidP="002A05BE">
            <w:pPr>
              <w:pStyle w:val="13"/>
              <w:spacing w:line="240" w:lineRule="auto"/>
              <w:ind w:firstLineChars="0" w:firstLine="0"/>
              <w:rPr>
                <w:sz w:val="21"/>
                <w:szCs w:val="21"/>
              </w:rPr>
            </w:pPr>
            <w:r w:rsidRPr="002A05BE">
              <w:rPr>
                <w:sz w:val="21"/>
                <w:szCs w:val="21"/>
              </w:rPr>
              <w:t>航空器及其配套设备</w:t>
            </w:r>
          </w:p>
        </w:tc>
        <w:tc>
          <w:tcPr>
            <w:tcW w:w="1359" w:type="pct"/>
            <w:tcBorders>
              <w:top w:val="nil"/>
              <w:left w:val="nil"/>
              <w:bottom w:val="single" w:sz="4" w:space="0" w:color="auto"/>
              <w:right w:val="single" w:sz="4" w:space="0" w:color="auto"/>
            </w:tcBorders>
            <w:vAlign w:val="center"/>
          </w:tcPr>
          <w:p w14:paraId="0778987A"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10</w:t>
            </w:r>
          </w:p>
        </w:tc>
      </w:tr>
      <w:tr w:rsidR="002A05BE" w:rsidRPr="002A05BE" w14:paraId="5C2B7292"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59E9C98F"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78E66211" w14:textId="77777777" w:rsidR="002A05BE" w:rsidRPr="002A05BE" w:rsidRDefault="002A05BE" w:rsidP="002A05BE">
            <w:pPr>
              <w:pStyle w:val="13"/>
              <w:spacing w:line="240" w:lineRule="auto"/>
              <w:ind w:firstLineChars="0" w:firstLine="0"/>
              <w:rPr>
                <w:sz w:val="21"/>
                <w:szCs w:val="21"/>
              </w:rPr>
            </w:pPr>
            <w:r w:rsidRPr="002A05BE">
              <w:rPr>
                <w:sz w:val="21"/>
                <w:szCs w:val="21"/>
              </w:rPr>
              <w:t>专用仪器仪表</w:t>
            </w:r>
          </w:p>
        </w:tc>
        <w:tc>
          <w:tcPr>
            <w:tcW w:w="1359" w:type="pct"/>
            <w:tcBorders>
              <w:top w:val="nil"/>
              <w:left w:val="nil"/>
              <w:bottom w:val="single" w:sz="4" w:space="0" w:color="auto"/>
              <w:right w:val="single" w:sz="4" w:space="0" w:color="auto"/>
            </w:tcBorders>
            <w:vAlign w:val="center"/>
          </w:tcPr>
          <w:p w14:paraId="394D0E54"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0DED8294"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09D744E0"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227A0631" w14:textId="77777777" w:rsidR="002A05BE" w:rsidRPr="002A05BE" w:rsidRDefault="002A05BE" w:rsidP="002A05BE">
            <w:pPr>
              <w:pStyle w:val="13"/>
              <w:spacing w:line="240" w:lineRule="auto"/>
              <w:ind w:firstLineChars="0" w:firstLine="0"/>
              <w:rPr>
                <w:sz w:val="21"/>
                <w:szCs w:val="21"/>
              </w:rPr>
            </w:pPr>
            <w:r w:rsidRPr="002A05BE">
              <w:rPr>
                <w:sz w:val="21"/>
                <w:szCs w:val="21"/>
              </w:rPr>
              <w:t>文艺设备</w:t>
            </w:r>
          </w:p>
        </w:tc>
        <w:tc>
          <w:tcPr>
            <w:tcW w:w="1359" w:type="pct"/>
            <w:tcBorders>
              <w:top w:val="nil"/>
              <w:left w:val="nil"/>
              <w:bottom w:val="single" w:sz="4" w:space="0" w:color="auto"/>
              <w:right w:val="single" w:sz="4" w:space="0" w:color="auto"/>
            </w:tcBorders>
            <w:vAlign w:val="center"/>
          </w:tcPr>
          <w:p w14:paraId="3E4C3DD9"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399FF0F9"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6BB72BF3"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6D1DEE5A" w14:textId="77777777" w:rsidR="002A05BE" w:rsidRPr="002A05BE" w:rsidRDefault="002A05BE" w:rsidP="002A05BE">
            <w:pPr>
              <w:pStyle w:val="13"/>
              <w:spacing w:line="240" w:lineRule="auto"/>
              <w:ind w:firstLineChars="0" w:firstLine="0"/>
              <w:rPr>
                <w:sz w:val="21"/>
                <w:szCs w:val="21"/>
              </w:rPr>
            </w:pPr>
            <w:r w:rsidRPr="002A05BE">
              <w:rPr>
                <w:sz w:val="21"/>
                <w:szCs w:val="21"/>
              </w:rPr>
              <w:t>体育设备</w:t>
            </w:r>
          </w:p>
        </w:tc>
        <w:tc>
          <w:tcPr>
            <w:tcW w:w="1359" w:type="pct"/>
            <w:tcBorders>
              <w:top w:val="nil"/>
              <w:left w:val="nil"/>
              <w:bottom w:val="single" w:sz="4" w:space="0" w:color="auto"/>
              <w:right w:val="single" w:sz="4" w:space="0" w:color="auto"/>
            </w:tcBorders>
            <w:vAlign w:val="center"/>
          </w:tcPr>
          <w:p w14:paraId="304DF43F"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700C479E" w14:textId="77777777" w:rsidTr="002A05BE">
        <w:trPr>
          <w:cantSplit/>
          <w:trHeight w:hRule="exact" w:val="448"/>
        </w:trPr>
        <w:tc>
          <w:tcPr>
            <w:tcW w:w="1228" w:type="pct"/>
            <w:vMerge/>
            <w:tcBorders>
              <w:top w:val="nil"/>
              <w:left w:val="single" w:sz="4" w:space="0" w:color="auto"/>
              <w:bottom w:val="single" w:sz="4" w:space="0" w:color="auto"/>
              <w:right w:val="single" w:sz="4" w:space="0" w:color="auto"/>
            </w:tcBorders>
            <w:vAlign w:val="center"/>
          </w:tcPr>
          <w:p w14:paraId="47EC635D"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nil"/>
              <w:left w:val="nil"/>
              <w:bottom w:val="single" w:sz="4" w:space="0" w:color="auto"/>
              <w:right w:val="single" w:sz="4" w:space="0" w:color="auto"/>
            </w:tcBorders>
            <w:vAlign w:val="center"/>
          </w:tcPr>
          <w:p w14:paraId="52ACB7A2" w14:textId="77777777" w:rsidR="002A05BE" w:rsidRPr="002A05BE" w:rsidRDefault="002A05BE" w:rsidP="002A05BE">
            <w:pPr>
              <w:pStyle w:val="13"/>
              <w:spacing w:line="240" w:lineRule="auto"/>
              <w:ind w:firstLineChars="0" w:firstLine="0"/>
              <w:rPr>
                <w:sz w:val="21"/>
                <w:szCs w:val="21"/>
              </w:rPr>
            </w:pPr>
            <w:r w:rsidRPr="002A05BE">
              <w:rPr>
                <w:sz w:val="21"/>
                <w:szCs w:val="21"/>
              </w:rPr>
              <w:t>娱乐设备</w:t>
            </w:r>
          </w:p>
        </w:tc>
        <w:tc>
          <w:tcPr>
            <w:tcW w:w="1359" w:type="pct"/>
            <w:tcBorders>
              <w:top w:val="nil"/>
              <w:left w:val="nil"/>
              <w:bottom w:val="single" w:sz="4" w:space="0" w:color="auto"/>
              <w:right w:val="single" w:sz="4" w:space="0" w:color="auto"/>
            </w:tcBorders>
            <w:vAlign w:val="center"/>
          </w:tcPr>
          <w:p w14:paraId="470D9B51"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r w:rsidR="002A05BE" w:rsidRPr="002A05BE" w14:paraId="7C99C555" w14:textId="77777777" w:rsidTr="002A05BE">
        <w:trPr>
          <w:cantSplit/>
          <w:trHeight w:hRule="exact" w:val="448"/>
        </w:trPr>
        <w:tc>
          <w:tcPr>
            <w:tcW w:w="1228" w:type="pct"/>
            <w:vMerge w:val="restart"/>
            <w:tcBorders>
              <w:top w:val="nil"/>
              <w:left w:val="single" w:sz="4" w:space="0" w:color="auto"/>
              <w:right w:val="single" w:sz="4" w:space="0" w:color="auto"/>
            </w:tcBorders>
            <w:vAlign w:val="center"/>
          </w:tcPr>
          <w:p w14:paraId="22246665" w14:textId="77777777" w:rsidR="002A05BE" w:rsidRPr="002A05BE" w:rsidRDefault="002A05BE" w:rsidP="002A05BE">
            <w:pPr>
              <w:pStyle w:val="13"/>
              <w:spacing w:line="240" w:lineRule="auto"/>
              <w:ind w:firstLineChars="0" w:firstLine="0"/>
              <w:rPr>
                <w:sz w:val="21"/>
                <w:szCs w:val="21"/>
              </w:rPr>
            </w:pPr>
            <w:r w:rsidRPr="002A05BE">
              <w:rPr>
                <w:sz w:val="21"/>
                <w:szCs w:val="21"/>
              </w:rPr>
              <w:t>家具、用具及装具</w:t>
            </w:r>
          </w:p>
        </w:tc>
        <w:tc>
          <w:tcPr>
            <w:tcW w:w="2414" w:type="pct"/>
            <w:gridSpan w:val="2"/>
            <w:tcBorders>
              <w:top w:val="nil"/>
              <w:left w:val="nil"/>
              <w:bottom w:val="single" w:sz="4" w:space="0" w:color="auto"/>
              <w:right w:val="single" w:sz="4" w:space="0" w:color="auto"/>
            </w:tcBorders>
            <w:vAlign w:val="center"/>
          </w:tcPr>
          <w:p w14:paraId="6978FD0B" w14:textId="77777777" w:rsidR="002A05BE" w:rsidRPr="002A05BE" w:rsidRDefault="002A05BE" w:rsidP="002A05BE">
            <w:pPr>
              <w:pStyle w:val="13"/>
              <w:spacing w:line="240" w:lineRule="auto"/>
              <w:ind w:firstLineChars="0" w:firstLine="0"/>
              <w:rPr>
                <w:sz w:val="21"/>
                <w:szCs w:val="21"/>
              </w:rPr>
            </w:pPr>
            <w:r w:rsidRPr="002A05BE">
              <w:rPr>
                <w:sz w:val="21"/>
                <w:szCs w:val="21"/>
              </w:rPr>
              <w:t>家具</w:t>
            </w:r>
          </w:p>
        </w:tc>
        <w:tc>
          <w:tcPr>
            <w:tcW w:w="1359" w:type="pct"/>
            <w:tcBorders>
              <w:top w:val="nil"/>
              <w:left w:val="nil"/>
              <w:bottom w:val="single" w:sz="4" w:space="0" w:color="auto"/>
              <w:right w:val="single" w:sz="4" w:space="0" w:color="auto"/>
            </w:tcBorders>
            <w:vAlign w:val="center"/>
          </w:tcPr>
          <w:p w14:paraId="61906C5B"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15</w:t>
            </w:r>
          </w:p>
        </w:tc>
      </w:tr>
      <w:tr w:rsidR="002A05BE" w:rsidRPr="002A05BE" w14:paraId="1F4473BA" w14:textId="77777777" w:rsidTr="002A05BE">
        <w:trPr>
          <w:cantSplit/>
          <w:trHeight w:hRule="exact" w:val="448"/>
        </w:trPr>
        <w:tc>
          <w:tcPr>
            <w:tcW w:w="1228" w:type="pct"/>
            <w:vMerge/>
            <w:tcBorders>
              <w:left w:val="single" w:sz="4" w:space="0" w:color="auto"/>
              <w:bottom w:val="single" w:sz="4" w:space="0" w:color="auto"/>
              <w:right w:val="single" w:sz="4" w:space="0" w:color="auto"/>
            </w:tcBorders>
            <w:vAlign w:val="center"/>
          </w:tcPr>
          <w:p w14:paraId="32344BC2" w14:textId="77777777" w:rsidR="002A05BE" w:rsidRPr="002A05BE" w:rsidRDefault="002A05BE" w:rsidP="002A05BE">
            <w:pPr>
              <w:pStyle w:val="13"/>
              <w:spacing w:line="240" w:lineRule="auto"/>
              <w:ind w:firstLineChars="0" w:firstLine="0"/>
              <w:rPr>
                <w:sz w:val="21"/>
                <w:szCs w:val="21"/>
              </w:rPr>
            </w:pPr>
          </w:p>
        </w:tc>
        <w:tc>
          <w:tcPr>
            <w:tcW w:w="2414" w:type="pct"/>
            <w:gridSpan w:val="2"/>
            <w:tcBorders>
              <w:top w:val="single" w:sz="4" w:space="0" w:color="auto"/>
              <w:left w:val="nil"/>
              <w:bottom w:val="single" w:sz="4" w:space="0" w:color="auto"/>
              <w:right w:val="single" w:sz="4" w:space="0" w:color="auto"/>
            </w:tcBorders>
            <w:vAlign w:val="center"/>
          </w:tcPr>
          <w:p w14:paraId="1B4B3150" w14:textId="77777777" w:rsidR="002A05BE" w:rsidRPr="002A05BE" w:rsidRDefault="002A05BE" w:rsidP="002A05BE">
            <w:pPr>
              <w:pStyle w:val="13"/>
              <w:spacing w:line="240" w:lineRule="auto"/>
              <w:ind w:firstLineChars="0" w:firstLine="0"/>
              <w:rPr>
                <w:sz w:val="21"/>
                <w:szCs w:val="21"/>
              </w:rPr>
            </w:pPr>
            <w:r w:rsidRPr="002A05BE">
              <w:rPr>
                <w:sz w:val="21"/>
                <w:szCs w:val="21"/>
              </w:rPr>
              <w:t>用具、装具</w:t>
            </w:r>
          </w:p>
        </w:tc>
        <w:tc>
          <w:tcPr>
            <w:tcW w:w="1359" w:type="pct"/>
            <w:tcBorders>
              <w:top w:val="single" w:sz="4" w:space="0" w:color="auto"/>
              <w:left w:val="nil"/>
              <w:bottom w:val="single" w:sz="4" w:space="0" w:color="auto"/>
              <w:right w:val="single" w:sz="4" w:space="0" w:color="auto"/>
            </w:tcBorders>
            <w:vAlign w:val="center"/>
          </w:tcPr>
          <w:p w14:paraId="2EAF89C1" w14:textId="77777777" w:rsidR="002A05BE" w:rsidRPr="002A05BE" w:rsidRDefault="002A05BE" w:rsidP="002A05BE">
            <w:pPr>
              <w:pStyle w:val="13"/>
              <w:spacing w:line="240" w:lineRule="auto"/>
              <w:ind w:firstLineChars="0" w:firstLine="0"/>
              <w:jc w:val="center"/>
              <w:rPr>
                <w:sz w:val="21"/>
                <w:szCs w:val="21"/>
              </w:rPr>
            </w:pPr>
            <w:r w:rsidRPr="002A05BE">
              <w:rPr>
                <w:sz w:val="21"/>
                <w:szCs w:val="21"/>
              </w:rPr>
              <w:t>5</w:t>
            </w:r>
          </w:p>
        </w:tc>
      </w:tr>
    </w:tbl>
    <w:p w14:paraId="76BCE32D" w14:textId="47642CA2" w:rsidR="00FE2C85" w:rsidRDefault="00FE2C85" w:rsidP="00882ED4">
      <w:pPr>
        <w:pStyle w:val="13"/>
      </w:pPr>
    </w:p>
    <w:p w14:paraId="5DC75138" w14:textId="2C19D459" w:rsidR="002A05BE" w:rsidRPr="002A05BE" w:rsidRDefault="002A05BE" w:rsidP="002A05BE">
      <w:pPr>
        <w:pStyle w:val="13"/>
        <w:ind w:firstLineChars="0" w:firstLine="0"/>
        <w:rPr>
          <w:b/>
          <w:bCs/>
        </w:rPr>
      </w:pPr>
      <w:r w:rsidRPr="002A05BE">
        <w:rPr>
          <w:rFonts w:hint="eastAsia"/>
          <w:b/>
          <w:bCs/>
        </w:rPr>
        <w:t>附件2</w:t>
      </w:r>
    </w:p>
    <w:p w14:paraId="4F6B157E" w14:textId="4DA7DEF2" w:rsidR="002A05BE" w:rsidRDefault="002A05BE" w:rsidP="00AF7342">
      <w:pPr>
        <w:pStyle w:val="a9"/>
        <w:spacing w:before="62" w:after="62"/>
      </w:pPr>
      <w:r w:rsidRPr="002A05BE">
        <w:rPr>
          <w:rFonts w:hint="eastAsia"/>
        </w:rPr>
        <w:t>科技成果评估项目备案情况汇总表</w:t>
      </w:r>
    </w:p>
    <w:tbl>
      <w:tblPr>
        <w:tblW w:w="5000" w:type="pct"/>
        <w:tblLook w:val="0000" w:firstRow="0" w:lastRow="0" w:firstColumn="0" w:lastColumn="0" w:noHBand="0" w:noVBand="0"/>
      </w:tblPr>
      <w:tblGrid>
        <w:gridCol w:w="1085"/>
        <w:gridCol w:w="831"/>
        <w:gridCol w:w="665"/>
        <w:gridCol w:w="115"/>
        <w:gridCol w:w="550"/>
        <w:gridCol w:w="84"/>
        <w:gridCol w:w="499"/>
        <w:gridCol w:w="581"/>
        <w:gridCol w:w="187"/>
        <w:gridCol w:w="478"/>
        <w:gridCol w:w="155"/>
        <w:gridCol w:w="512"/>
        <w:gridCol w:w="581"/>
        <w:gridCol w:w="175"/>
        <w:gridCol w:w="491"/>
        <w:gridCol w:w="583"/>
        <w:gridCol w:w="1158"/>
      </w:tblGrid>
      <w:tr w:rsidR="002A05BE" w:rsidRPr="002A05BE" w14:paraId="7FFCE58C" w14:textId="77777777" w:rsidTr="002A05BE">
        <w:trPr>
          <w:trHeight w:val="510"/>
        </w:trPr>
        <w:tc>
          <w:tcPr>
            <w:tcW w:w="621" w:type="pct"/>
            <w:tcBorders>
              <w:top w:val="nil"/>
              <w:left w:val="nil"/>
              <w:bottom w:val="nil"/>
              <w:right w:val="nil"/>
            </w:tcBorders>
            <w:vAlign w:val="center"/>
          </w:tcPr>
          <w:p w14:paraId="0711BE79"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编制单位：</w:t>
            </w:r>
          </w:p>
        </w:tc>
        <w:tc>
          <w:tcPr>
            <w:tcW w:w="476" w:type="pct"/>
            <w:tcBorders>
              <w:top w:val="nil"/>
              <w:left w:val="nil"/>
              <w:bottom w:val="nil"/>
              <w:right w:val="nil"/>
            </w:tcBorders>
            <w:vAlign w:val="center"/>
          </w:tcPr>
          <w:p w14:paraId="4EC4DE5B" w14:textId="77777777" w:rsidR="002A05BE" w:rsidRPr="002A05BE" w:rsidRDefault="002A05BE" w:rsidP="002A05BE">
            <w:pPr>
              <w:pStyle w:val="13"/>
              <w:spacing w:line="240" w:lineRule="auto"/>
              <w:ind w:firstLineChars="0" w:firstLine="0"/>
              <w:rPr>
                <w:sz w:val="21"/>
                <w:szCs w:val="21"/>
              </w:rPr>
            </w:pPr>
          </w:p>
        </w:tc>
        <w:tc>
          <w:tcPr>
            <w:tcW w:w="447" w:type="pct"/>
            <w:gridSpan w:val="2"/>
            <w:tcBorders>
              <w:top w:val="nil"/>
              <w:left w:val="nil"/>
              <w:bottom w:val="nil"/>
              <w:right w:val="nil"/>
            </w:tcBorders>
            <w:vAlign w:val="center"/>
          </w:tcPr>
          <w:p w14:paraId="71931DF3" w14:textId="77777777" w:rsidR="002A05BE" w:rsidRPr="002A05BE" w:rsidRDefault="002A05BE" w:rsidP="002A05BE">
            <w:pPr>
              <w:pStyle w:val="13"/>
              <w:spacing w:line="240" w:lineRule="auto"/>
              <w:ind w:firstLineChars="0" w:firstLine="0"/>
              <w:rPr>
                <w:sz w:val="21"/>
                <w:szCs w:val="21"/>
              </w:rPr>
            </w:pPr>
          </w:p>
        </w:tc>
        <w:tc>
          <w:tcPr>
            <w:tcW w:w="363" w:type="pct"/>
            <w:gridSpan w:val="2"/>
            <w:tcBorders>
              <w:top w:val="nil"/>
              <w:left w:val="nil"/>
              <w:bottom w:val="nil"/>
              <w:right w:val="nil"/>
            </w:tcBorders>
            <w:vAlign w:val="center"/>
          </w:tcPr>
          <w:p w14:paraId="33F0EBC3" w14:textId="77777777" w:rsidR="002A05BE" w:rsidRPr="002A05BE" w:rsidRDefault="002A05BE" w:rsidP="002A05BE">
            <w:pPr>
              <w:pStyle w:val="13"/>
              <w:spacing w:line="240" w:lineRule="auto"/>
              <w:ind w:firstLineChars="0" w:firstLine="0"/>
              <w:rPr>
                <w:sz w:val="21"/>
                <w:szCs w:val="21"/>
              </w:rPr>
            </w:pPr>
          </w:p>
        </w:tc>
        <w:tc>
          <w:tcPr>
            <w:tcW w:w="286" w:type="pct"/>
            <w:tcBorders>
              <w:top w:val="nil"/>
              <w:left w:val="nil"/>
              <w:bottom w:val="nil"/>
              <w:right w:val="nil"/>
            </w:tcBorders>
            <w:vAlign w:val="center"/>
          </w:tcPr>
          <w:p w14:paraId="3C9174AD" w14:textId="77777777" w:rsidR="002A05BE" w:rsidRPr="002A05BE" w:rsidRDefault="002A05BE" w:rsidP="002A05BE">
            <w:pPr>
              <w:pStyle w:val="13"/>
              <w:spacing w:line="240" w:lineRule="auto"/>
              <w:ind w:firstLineChars="0" w:firstLine="0"/>
              <w:rPr>
                <w:sz w:val="21"/>
                <w:szCs w:val="21"/>
              </w:rPr>
            </w:pPr>
          </w:p>
        </w:tc>
        <w:tc>
          <w:tcPr>
            <w:tcW w:w="440" w:type="pct"/>
            <w:gridSpan w:val="2"/>
            <w:tcBorders>
              <w:top w:val="nil"/>
              <w:left w:val="nil"/>
              <w:bottom w:val="nil"/>
              <w:right w:val="nil"/>
            </w:tcBorders>
            <w:vAlign w:val="center"/>
          </w:tcPr>
          <w:p w14:paraId="3335ECB6" w14:textId="77777777" w:rsidR="002A05BE" w:rsidRPr="002A05BE" w:rsidRDefault="002A05BE" w:rsidP="002A05BE">
            <w:pPr>
              <w:pStyle w:val="13"/>
              <w:spacing w:line="240" w:lineRule="auto"/>
              <w:ind w:firstLineChars="0" w:firstLine="0"/>
              <w:rPr>
                <w:sz w:val="21"/>
                <w:szCs w:val="21"/>
              </w:rPr>
            </w:pPr>
          </w:p>
        </w:tc>
        <w:tc>
          <w:tcPr>
            <w:tcW w:w="363" w:type="pct"/>
            <w:gridSpan w:val="2"/>
            <w:tcBorders>
              <w:top w:val="nil"/>
              <w:left w:val="nil"/>
              <w:bottom w:val="nil"/>
              <w:right w:val="nil"/>
            </w:tcBorders>
            <w:vAlign w:val="center"/>
          </w:tcPr>
          <w:p w14:paraId="36C6D01E" w14:textId="77777777" w:rsidR="002A05BE" w:rsidRPr="002A05BE" w:rsidRDefault="002A05BE" w:rsidP="002A05BE">
            <w:pPr>
              <w:pStyle w:val="13"/>
              <w:spacing w:line="240" w:lineRule="auto"/>
              <w:ind w:firstLineChars="0" w:firstLine="0"/>
              <w:rPr>
                <w:sz w:val="21"/>
                <w:szCs w:val="21"/>
              </w:rPr>
            </w:pPr>
          </w:p>
        </w:tc>
        <w:tc>
          <w:tcPr>
            <w:tcW w:w="293" w:type="pct"/>
            <w:tcBorders>
              <w:top w:val="nil"/>
              <w:left w:val="nil"/>
              <w:bottom w:val="nil"/>
              <w:right w:val="nil"/>
            </w:tcBorders>
            <w:vAlign w:val="center"/>
          </w:tcPr>
          <w:p w14:paraId="042AEC1D" w14:textId="77777777" w:rsidR="002A05BE" w:rsidRPr="002A05BE" w:rsidRDefault="002A05BE" w:rsidP="002A05BE">
            <w:pPr>
              <w:pStyle w:val="13"/>
              <w:spacing w:line="240" w:lineRule="auto"/>
              <w:ind w:firstLineChars="0" w:firstLine="0"/>
              <w:rPr>
                <w:sz w:val="21"/>
                <w:szCs w:val="21"/>
              </w:rPr>
            </w:pPr>
          </w:p>
        </w:tc>
        <w:tc>
          <w:tcPr>
            <w:tcW w:w="433" w:type="pct"/>
            <w:gridSpan w:val="2"/>
            <w:tcBorders>
              <w:top w:val="nil"/>
              <w:left w:val="nil"/>
              <w:bottom w:val="nil"/>
              <w:right w:val="nil"/>
            </w:tcBorders>
            <w:vAlign w:val="center"/>
          </w:tcPr>
          <w:p w14:paraId="7DB0C682" w14:textId="77777777" w:rsidR="002A05BE" w:rsidRPr="002A05BE" w:rsidRDefault="002A05BE" w:rsidP="002A05BE">
            <w:pPr>
              <w:pStyle w:val="13"/>
              <w:spacing w:line="240" w:lineRule="auto"/>
              <w:ind w:firstLineChars="0" w:firstLine="0"/>
              <w:rPr>
                <w:sz w:val="21"/>
                <w:szCs w:val="21"/>
              </w:rPr>
            </w:pPr>
          </w:p>
        </w:tc>
        <w:tc>
          <w:tcPr>
            <w:tcW w:w="1279" w:type="pct"/>
            <w:gridSpan w:val="3"/>
            <w:tcBorders>
              <w:top w:val="nil"/>
              <w:left w:val="nil"/>
              <w:bottom w:val="nil"/>
              <w:right w:val="nil"/>
            </w:tcBorders>
            <w:vAlign w:val="center"/>
          </w:tcPr>
          <w:p w14:paraId="236BF759"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金额单位：万元</w:t>
            </w:r>
          </w:p>
        </w:tc>
      </w:tr>
      <w:tr w:rsidR="002A05BE" w:rsidRPr="002A05BE" w14:paraId="5310A5B0" w14:textId="77777777" w:rsidTr="002A05BE">
        <w:trPr>
          <w:trHeight w:val="402"/>
        </w:trPr>
        <w:tc>
          <w:tcPr>
            <w:tcW w:w="621" w:type="pct"/>
            <w:vMerge w:val="restart"/>
            <w:tcBorders>
              <w:top w:val="single" w:sz="4" w:space="0" w:color="auto"/>
              <w:left w:val="single" w:sz="4" w:space="0" w:color="auto"/>
              <w:bottom w:val="single" w:sz="4" w:space="0" w:color="auto"/>
              <w:right w:val="single" w:sz="4" w:space="0" w:color="auto"/>
            </w:tcBorders>
            <w:vAlign w:val="center"/>
          </w:tcPr>
          <w:p w14:paraId="23FF325C"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经济行为类型</w:t>
            </w:r>
          </w:p>
        </w:tc>
        <w:tc>
          <w:tcPr>
            <w:tcW w:w="476" w:type="pct"/>
            <w:vMerge w:val="restart"/>
            <w:tcBorders>
              <w:top w:val="single" w:sz="4" w:space="0" w:color="auto"/>
              <w:left w:val="single" w:sz="4" w:space="0" w:color="auto"/>
              <w:bottom w:val="single" w:sz="4" w:space="0" w:color="auto"/>
              <w:right w:val="single" w:sz="4" w:space="0" w:color="auto"/>
            </w:tcBorders>
            <w:vAlign w:val="center"/>
          </w:tcPr>
          <w:p w14:paraId="103BA8B3"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备案</w:t>
            </w:r>
            <w:r w:rsidRPr="002A05BE">
              <w:rPr>
                <w:sz w:val="21"/>
                <w:szCs w:val="21"/>
              </w:rPr>
              <w:t xml:space="preserve">                     </w:t>
            </w:r>
            <w:r w:rsidRPr="002A05BE">
              <w:rPr>
                <w:rFonts w:hint="eastAsia"/>
                <w:sz w:val="21"/>
                <w:szCs w:val="21"/>
              </w:rPr>
              <w:t>项目数</w:t>
            </w:r>
          </w:p>
        </w:tc>
        <w:tc>
          <w:tcPr>
            <w:tcW w:w="1096" w:type="pct"/>
            <w:gridSpan w:val="5"/>
            <w:tcBorders>
              <w:top w:val="single" w:sz="4" w:space="0" w:color="auto"/>
              <w:left w:val="nil"/>
              <w:bottom w:val="single" w:sz="4" w:space="0" w:color="auto"/>
              <w:right w:val="single" w:sz="4" w:space="0" w:color="auto"/>
            </w:tcBorders>
            <w:vAlign w:val="center"/>
          </w:tcPr>
          <w:p w14:paraId="5BC3941F"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账面价值</w:t>
            </w:r>
          </w:p>
        </w:tc>
        <w:tc>
          <w:tcPr>
            <w:tcW w:w="1096" w:type="pct"/>
            <w:gridSpan w:val="5"/>
            <w:tcBorders>
              <w:top w:val="single" w:sz="4" w:space="0" w:color="auto"/>
              <w:left w:val="nil"/>
              <w:bottom w:val="single" w:sz="4" w:space="0" w:color="auto"/>
              <w:right w:val="single" w:sz="4" w:space="0" w:color="auto"/>
            </w:tcBorders>
            <w:vAlign w:val="center"/>
          </w:tcPr>
          <w:p w14:paraId="791652D5"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评估价值</w:t>
            </w:r>
          </w:p>
        </w:tc>
        <w:tc>
          <w:tcPr>
            <w:tcW w:w="1048" w:type="pct"/>
            <w:gridSpan w:val="4"/>
            <w:tcBorders>
              <w:top w:val="single" w:sz="4" w:space="0" w:color="auto"/>
              <w:left w:val="nil"/>
              <w:bottom w:val="single" w:sz="4" w:space="0" w:color="auto"/>
              <w:right w:val="single" w:sz="4" w:space="0" w:color="auto"/>
            </w:tcBorders>
            <w:vAlign w:val="center"/>
          </w:tcPr>
          <w:p w14:paraId="6874B2F5"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增值率（</w:t>
            </w:r>
            <w:r w:rsidRPr="002A05BE">
              <w:rPr>
                <w:sz w:val="21"/>
                <w:szCs w:val="21"/>
              </w:rPr>
              <w:t>%</w:t>
            </w:r>
            <w:r w:rsidRPr="002A05BE">
              <w:rPr>
                <w:rFonts w:hint="eastAsia"/>
                <w:sz w:val="21"/>
                <w:szCs w:val="21"/>
              </w:rPr>
              <w:t>）</w:t>
            </w:r>
          </w:p>
        </w:tc>
        <w:tc>
          <w:tcPr>
            <w:tcW w:w="664" w:type="pct"/>
            <w:vMerge w:val="restart"/>
            <w:tcBorders>
              <w:top w:val="single" w:sz="4" w:space="0" w:color="auto"/>
              <w:left w:val="single" w:sz="4" w:space="0" w:color="auto"/>
              <w:bottom w:val="single" w:sz="4" w:space="0" w:color="auto"/>
              <w:right w:val="single" w:sz="4" w:space="0" w:color="auto"/>
            </w:tcBorders>
            <w:vAlign w:val="center"/>
          </w:tcPr>
          <w:p w14:paraId="60024B53"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备注</w:t>
            </w:r>
          </w:p>
        </w:tc>
      </w:tr>
      <w:tr w:rsidR="002A05BE" w:rsidRPr="002A05BE" w14:paraId="7312A412" w14:textId="77777777" w:rsidTr="002A05BE">
        <w:trPr>
          <w:trHeight w:val="402"/>
        </w:trPr>
        <w:tc>
          <w:tcPr>
            <w:tcW w:w="621" w:type="pct"/>
            <w:vMerge/>
            <w:tcBorders>
              <w:top w:val="single" w:sz="4" w:space="0" w:color="auto"/>
              <w:left w:val="single" w:sz="4" w:space="0" w:color="auto"/>
              <w:bottom w:val="single" w:sz="4" w:space="0" w:color="auto"/>
              <w:right w:val="single" w:sz="4" w:space="0" w:color="auto"/>
            </w:tcBorders>
            <w:vAlign w:val="center"/>
          </w:tcPr>
          <w:p w14:paraId="40B1386A" w14:textId="77777777" w:rsidR="002A05BE" w:rsidRPr="002A05BE" w:rsidRDefault="002A05BE" w:rsidP="002A05BE">
            <w:pPr>
              <w:pStyle w:val="13"/>
              <w:spacing w:line="240" w:lineRule="auto"/>
              <w:ind w:firstLineChars="0" w:firstLine="0"/>
              <w:rPr>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tcPr>
          <w:p w14:paraId="69CE0E6D" w14:textId="77777777" w:rsidR="002A05BE" w:rsidRPr="002A05BE" w:rsidRDefault="002A05BE" w:rsidP="002A05BE">
            <w:pPr>
              <w:pStyle w:val="13"/>
              <w:spacing w:line="240" w:lineRule="auto"/>
              <w:ind w:firstLineChars="0" w:firstLine="0"/>
              <w:rPr>
                <w:sz w:val="21"/>
                <w:szCs w:val="21"/>
              </w:rPr>
            </w:pPr>
          </w:p>
        </w:tc>
        <w:tc>
          <w:tcPr>
            <w:tcW w:w="381" w:type="pct"/>
            <w:tcBorders>
              <w:top w:val="nil"/>
              <w:left w:val="nil"/>
              <w:bottom w:val="single" w:sz="4" w:space="0" w:color="auto"/>
              <w:right w:val="single" w:sz="4" w:space="0" w:color="auto"/>
            </w:tcBorders>
            <w:vAlign w:val="center"/>
          </w:tcPr>
          <w:p w14:paraId="210C5639"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资产总额</w:t>
            </w:r>
          </w:p>
        </w:tc>
        <w:tc>
          <w:tcPr>
            <w:tcW w:w="381" w:type="pct"/>
            <w:gridSpan w:val="2"/>
            <w:tcBorders>
              <w:top w:val="nil"/>
              <w:left w:val="nil"/>
              <w:bottom w:val="single" w:sz="4" w:space="0" w:color="auto"/>
              <w:right w:val="single" w:sz="4" w:space="0" w:color="auto"/>
            </w:tcBorders>
            <w:vAlign w:val="center"/>
          </w:tcPr>
          <w:p w14:paraId="71548E63"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负债总额</w:t>
            </w:r>
          </w:p>
        </w:tc>
        <w:tc>
          <w:tcPr>
            <w:tcW w:w="334" w:type="pct"/>
            <w:gridSpan w:val="2"/>
            <w:tcBorders>
              <w:top w:val="nil"/>
              <w:left w:val="nil"/>
              <w:bottom w:val="single" w:sz="4" w:space="0" w:color="auto"/>
              <w:right w:val="single" w:sz="4" w:space="0" w:color="auto"/>
            </w:tcBorders>
            <w:vAlign w:val="center"/>
          </w:tcPr>
          <w:p w14:paraId="53E76952"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净资产</w:t>
            </w:r>
          </w:p>
        </w:tc>
        <w:tc>
          <w:tcPr>
            <w:tcW w:w="333" w:type="pct"/>
            <w:tcBorders>
              <w:top w:val="nil"/>
              <w:left w:val="nil"/>
              <w:bottom w:val="single" w:sz="4" w:space="0" w:color="auto"/>
              <w:right w:val="single" w:sz="4" w:space="0" w:color="auto"/>
            </w:tcBorders>
            <w:vAlign w:val="center"/>
          </w:tcPr>
          <w:p w14:paraId="6FC04448"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资产总额</w:t>
            </w:r>
          </w:p>
        </w:tc>
        <w:tc>
          <w:tcPr>
            <w:tcW w:w="381" w:type="pct"/>
            <w:gridSpan w:val="2"/>
            <w:tcBorders>
              <w:top w:val="nil"/>
              <w:left w:val="nil"/>
              <w:bottom w:val="single" w:sz="4" w:space="0" w:color="auto"/>
              <w:right w:val="single" w:sz="4" w:space="0" w:color="auto"/>
            </w:tcBorders>
            <w:vAlign w:val="center"/>
          </w:tcPr>
          <w:p w14:paraId="3E0861A9"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负债总额</w:t>
            </w:r>
          </w:p>
        </w:tc>
        <w:tc>
          <w:tcPr>
            <w:tcW w:w="382" w:type="pct"/>
            <w:gridSpan w:val="2"/>
            <w:tcBorders>
              <w:top w:val="nil"/>
              <w:left w:val="nil"/>
              <w:bottom w:val="single" w:sz="4" w:space="0" w:color="auto"/>
              <w:right w:val="single" w:sz="4" w:space="0" w:color="auto"/>
            </w:tcBorders>
            <w:vAlign w:val="center"/>
          </w:tcPr>
          <w:p w14:paraId="629772A0"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净资产</w:t>
            </w:r>
          </w:p>
        </w:tc>
        <w:tc>
          <w:tcPr>
            <w:tcW w:w="333" w:type="pct"/>
            <w:tcBorders>
              <w:top w:val="nil"/>
              <w:left w:val="nil"/>
              <w:bottom w:val="single" w:sz="4" w:space="0" w:color="auto"/>
              <w:right w:val="single" w:sz="4" w:space="0" w:color="auto"/>
            </w:tcBorders>
            <w:vAlign w:val="center"/>
          </w:tcPr>
          <w:p w14:paraId="671542FB"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资产总额</w:t>
            </w:r>
          </w:p>
        </w:tc>
        <w:tc>
          <w:tcPr>
            <w:tcW w:w="381" w:type="pct"/>
            <w:gridSpan w:val="2"/>
            <w:tcBorders>
              <w:top w:val="nil"/>
              <w:left w:val="nil"/>
              <w:bottom w:val="single" w:sz="4" w:space="0" w:color="auto"/>
              <w:right w:val="single" w:sz="4" w:space="0" w:color="auto"/>
            </w:tcBorders>
            <w:vAlign w:val="center"/>
          </w:tcPr>
          <w:p w14:paraId="35B795BD"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负债总额</w:t>
            </w:r>
          </w:p>
        </w:tc>
        <w:tc>
          <w:tcPr>
            <w:tcW w:w="334" w:type="pct"/>
            <w:tcBorders>
              <w:top w:val="nil"/>
              <w:left w:val="nil"/>
              <w:bottom w:val="single" w:sz="4" w:space="0" w:color="auto"/>
              <w:right w:val="single" w:sz="4" w:space="0" w:color="auto"/>
            </w:tcBorders>
            <w:vAlign w:val="center"/>
          </w:tcPr>
          <w:p w14:paraId="5EF8457B"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净资产</w:t>
            </w:r>
          </w:p>
        </w:tc>
        <w:tc>
          <w:tcPr>
            <w:tcW w:w="664" w:type="pct"/>
            <w:vMerge/>
            <w:tcBorders>
              <w:top w:val="single" w:sz="4" w:space="0" w:color="auto"/>
              <w:left w:val="single" w:sz="4" w:space="0" w:color="auto"/>
              <w:bottom w:val="single" w:sz="4" w:space="0" w:color="auto"/>
              <w:right w:val="single" w:sz="4" w:space="0" w:color="auto"/>
            </w:tcBorders>
            <w:vAlign w:val="center"/>
          </w:tcPr>
          <w:p w14:paraId="758E6702" w14:textId="77777777" w:rsidR="002A05BE" w:rsidRPr="002A05BE" w:rsidRDefault="002A05BE" w:rsidP="002A05BE">
            <w:pPr>
              <w:pStyle w:val="13"/>
              <w:spacing w:line="240" w:lineRule="auto"/>
              <w:ind w:firstLineChars="0" w:firstLine="0"/>
              <w:rPr>
                <w:sz w:val="21"/>
                <w:szCs w:val="21"/>
              </w:rPr>
            </w:pPr>
          </w:p>
        </w:tc>
      </w:tr>
      <w:tr w:rsidR="002A05BE" w:rsidRPr="002A05BE" w14:paraId="3F059EA8" w14:textId="77777777" w:rsidTr="002A05BE">
        <w:trPr>
          <w:trHeight w:val="402"/>
        </w:trPr>
        <w:tc>
          <w:tcPr>
            <w:tcW w:w="621" w:type="pct"/>
            <w:tcBorders>
              <w:top w:val="nil"/>
              <w:left w:val="single" w:sz="4" w:space="0" w:color="auto"/>
              <w:bottom w:val="single" w:sz="4" w:space="0" w:color="auto"/>
              <w:right w:val="single" w:sz="4" w:space="0" w:color="auto"/>
            </w:tcBorders>
            <w:vAlign w:val="center"/>
          </w:tcPr>
          <w:p w14:paraId="2D2D398E"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转让</w:t>
            </w:r>
          </w:p>
        </w:tc>
        <w:tc>
          <w:tcPr>
            <w:tcW w:w="476" w:type="pct"/>
            <w:tcBorders>
              <w:top w:val="nil"/>
              <w:left w:val="nil"/>
              <w:bottom w:val="single" w:sz="4" w:space="0" w:color="auto"/>
              <w:right w:val="single" w:sz="4" w:space="0" w:color="auto"/>
            </w:tcBorders>
            <w:vAlign w:val="center"/>
          </w:tcPr>
          <w:p w14:paraId="3B05CF88"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tcBorders>
              <w:top w:val="nil"/>
              <w:left w:val="nil"/>
              <w:bottom w:val="single" w:sz="4" w:space="0" w:color="auto"/>
              <w:right w:val="single" w:sz="4" w:space="0" w:color="auto"/>
            </w:tcBorders>
            <w:vAlign w:val="center"/>
          </w:tcPr>
          <w:p w14:paraId="68F7712A"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77BD5383"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gridSpan w:val="2"/>
            <w:tcBorders>
              <w:top w:val="nil"/>
              <w:left w:val="nil"/>
              <w:bottom w:val="single" w:sz="4" w:space="0" w:color="auto"/>
              <w:right w:val="single" w:sz="4" w:space="0" w:color="auto"/>
            </w:tcBorders>
            <w:vAlign w:val="center"/>
          </w:tcPr>
          <w:p w14:paraId="3539C113"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03B0D2BE"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31917886"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2" w:type="pct"/>
            <w:gridSpan w:val="2"/>
            <w:tcBorders>
              <w:top w:val="nil"/>
              <w:left w:val="nil"/>
              <w:bottom w:val="single" w:sz="4" w:space="0" w:color="auto"/>
              <w:right w:val="single" w:sz="4" w:space="0" w:color="auto"/>
            </w:tcBorders>
            <w:vAlign w:val="center"/>
          </w:tcPr>
          <w:p w14:paraId="34C97AAE"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3074426C"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77250192"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tcBorders>
              <w:top w:val="nil"/>
              <w:left w:val="nil"/>
              <w:bottom w:val="single" w:sz="4" w:space="0" w:color="auto"/>
              <w:right w:val="single" w:sz="4" w:space="0" w:color="auto"/>
            </w:tcBorders>
            <w:vAlign w:val="center"/>
          </w:tcPr>
          <w:p w14:paraId="61BA4429"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664" w:type="pct"/>
            <w:tcBorders>
              <w:top w:val="nil"/>
              <w:left w:val="nil"/>
              <w:bottom w:val="single" w:sz="4" w:space="0" w:color="auto"/>
              <w:right w:val="single" w:sz="4" w:space="0" w:color="auto"/>
            </w:tcBorders>
            <w:vAlign w:val="center"/>
          </w:tcPr>
          <w:p w14:paraId="41D5B821"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r>
      <w:tr w:rsidR="002A05BE" w:rsidRPr="002A05BE" w14:paraId="232E4554" w14:textId="77777777" w:rsidTr="002A05BE">
        <w:trPr>
          <w:trHeight w:val="402"/>
        </w:trPr>
        <w:tc>
          <w:tcPr>
            <w:tcW w:w="621" w:type="pct"/>
            <w:tcBorders>
              <w:top w:val="nil"/>
              <w:left w:val="single" w:sz="4" w:space="0" w:color="auto"/>
              <w:bottom w:val="single" w:sz="4" w:space="0" w:color="auto"/>
              <w:right w:val="single" w:sz="4" w:space="0" w:color="auto"/>
            </w:tcBorders>
            <w:vAlign w:val="center"/>
          </w:tcPr>
          <w:p w14:paraId="55A4769C"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许可</w:t>
            </w:r>
          </w:p>
        </w:tc>
        <w:tc>
          <w:tcPr>
            <w:tcW w:w="476" w:type="pct"/>
            <w:tcBorders>
              <w:top w:val="nil"/>
              <w:left w:val="nil"/>
              <w:bottom w:val="single" w:sz="4" w:space="0" w:color="auto"/>
              <w:right w:val="single" w:sz="4" w:space="0" w:color="auto"/>
            </w:tcBorders>
            <w:vAlign w:val="center"/>
          </w:tcPr>
          <w:p w14:paraId="216727E0"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tcBorders>
              <w:top w:val="nil"/>
              <w:left w:val="nil"/>
              <w:bottom w:val="single" w:sz="4" w:space="0" w:color="auto"/>
              <w:right w:val="single" w:sz="4" w:space="0" w:color="auto"/>
            </w:tcBorders>
            <w:vAlign w:val="center"/>
          </w:tcPr>
          <w:p w14:paraId="0D7170C1"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53FF4E50"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gridSpan w:val="2"/>
            <w:tcBorders>
              <w:top w:val="nil"/>
              <w:left w:val="nil"/>
              <w:bottom w:val="single" w:sz="4" w:space="0" w:color="auto"/>
              <w:right w:val="single" w:sz="4" w:space="0" w:color="auto"/>
            </w:tcBorders>
            <w:vAlign w:val="center"/>
          </w:tcPr>
          <w:p w14:paraId="046C47BB"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49087D4A"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65BB6E1A"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2" w:type="pct"/>
            <w:gridSpan w:val="2"/>
            <w:tcBorders>
              <w:top w:val="nil"/>
              <w:left w:val="nil"/>
              <w:bottom w:val="single" w:sz="4" w:space="0" w:color="auto"/>
              <w:right w:val="single" w:sz="4" w:space="0" w:color="auto"/>
            </w:tcBorders>
            <w:vAlign w:val="center"/>
          </w:tcPr>
          <w:p w14:paraId="627BBCB3"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40031663"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517EBB5D"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tcBorders>
              <w:top w:val="nil"/>
              <w:left w:val="nil"/>
              <w:bottom w:val="single" w:sz="4" w:space="0" w:color="auto"/>
              <w:right w:val="single" w:sz="4" w:space="0" w:color="auto"/>
            </w:tcBorders>
            <w:vAlign w:val="center"/>
          </w:tcPr>
          <w:p w14:paraId="05E6D21B"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664" w:type="pct"/>
            <w:tcBorders>
              <w:top w:val="nil"/>
              <w:left w:val="nil"/>
              <w:bottom w:val="single" w:sz="4" w:space="0" w:color="auto"/>
              <w:right w:val="single" w:sz="4" w:space="0" w:color="auto"/>
            </w:tcBorders>
            <w:vAlign w:val="center"/>
          </w:tcPr>
          <w:p w14:paraId="0316F7D5"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r>
      <w:tr w:rsidR="002A05BE" w:rsidRPr="002A05BE" w14:paraId="6F6F4B9C" w14:textId="77777777" w:rsidTr="002A05BE">
        <w:trPr>
          <w:trHeight w:val="402"/>
        </w:trPr>
        <w:tc>
          <w:tcPr>
            <w:tcW w:w="621" w:type="pct"/>
            <w:tcBorders>
              <w:top w:val="nil"/>
              <w:left w:val="single" w:sz="4" w:space="0" w:color="auto"/>
              <w:bottom w:val="single" w:sz="4" w:space="0" w:color="auto"/>
              <w:right w:val="single" w:sz="4" w:space="0" w:color="auto"/>
            </w:tcBorders>
            <w:vAlign w:val="center"/>
          </w:tcPr>
          <w:p w14:paraId="41265BAB"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作价投资</w:t>
            </w:r>
          </w:p>
        </w:tc>
        <w:tc>
          <w:tcPr>
            <w:tcW w:w="476" w:type="pct"/>
            <w:tcBorders>
              <w:top w:val="nil"/>
              <w:left w:val="nil"/>
              <w:bottom w:val="single" w:sz="4" w:space="0" w:color="auto"/>
              <w:right w:val="single" w:sz="4" w:space="0" w:color="auto"/>
            </w:tcBorders>
            <w:vAlign w:val="center"/>
          </w:tcPr>
          <w:p w14:paraId="779789C8"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tcBorders>
              <w:top w:val="nil"/>
              <w:left w:val="nil"/>
              <w:bottom w:val="single" w:sz="4" w:space="0" w:color="auto"/>
              <w:right w:val="single" w:sz="4" w:space="0" w:color="auto"/>
            </w:tcBorders>
            <w:vAlign w:val="center"/>
          </w:tcPr>
          <w:p w14:paraId="0B8DB59F"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567D40E5"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gridSpan w:val="2"/>
            <w:tcBorders>
              <w:top w:val="nil"/>
              <w:left w:val="nil"/>
              <w:bottom w:val="single" w:sz="4" w:space="0" w:color="auto"/>
              <w:right w:val="single" w:sz="4" w:space="0" w:color="auto"/>
            </w:tcBorders>
            <w:vAlign w:val="center"/>
          </w:tcPr>
          <w:p w14:paraId="1E2F6A82"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1C15C47C"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0A1F98ED"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2" w:type="pct"/>
            <w:gridSpan w:val="2"/>
            <w:tcBorders>
              <w:top w:val="nil"/>
              <w:left w:val="nil"/>
              <w:bottom w:val="single" w:sz="4" w:space="0" w:color="auto"/>
              <w:right w:val="single" w:sz="4" w:space="0" w:color="auto"/>
            </w:tcBorders>
            <w:vAlign w:val="center"/>
          </w:tcPr>
          <w:p w14:paraId="793A6155"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4FB504A5"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6E801710"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tcBorders>
              <w:top w:val="nil"/>
              <w:left w:val="nil"/>
              <w:bottom w:val="single" w:sz="4" w:space="0" w:color="auto"/>
              <w:right w:val="single" w:sz="4" w:space="0" w:color="auto"/>
            </w:tcBorders>
            <w:vAlign w:val="center"/>
          </w:tcPr>
          <w:p w14:paraId="4301BAF2"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664" w:type="pct"/>
            <w:tcBorders>
              <w:top w:val="nil"/>
              <w:left w:val="nil"/>
              <w:bottom w:val="single" w:sz="4" w:space="0" w:color="auto"/>
              <w:right w:val="single" w:sz="4" w:space="0" w:color="auto"/>
            </w:tcBorders>
            <w:vAlign w:val="center"/>
          </w:tcPr>
          <w:p w14:paraId="346DB2C0"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r>
      <w:tr w:rsidR="002A05BE" w:rsidRPr="002A05BE" w14:paraId="114B293F" w14:textId="77777777" w:rsidTr="002A05BE">
        <w:trPr>
          <w:trHeight w:val="402"/>
        </w:trPr>
        <w:tc>
          <w:tcPr>
            <w:tcW w:w="621" w:type="pct"/>
            <w:tcBorders>
              <w:top w:val="nil"/>
              <w:left w:val="single" w:sz="4" w:space="0" w:color="auto"/>
              <w:bottom w:val="single" w:sz="4" w:space="0" w:color="auto"/>
              <w:right w:val="single" w:sz="4" w:space="0" w:color="auto"/>
            </w:tcBorders>
            <w:vAlign w:val="center"/>
          </w:tcPr>
          <w:p w14:paraId="1BB4940A"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其他</w:t>
            </w:r>
          </w:p>
        </w:tc>
        <w:tc>
          <w:tcPr>
            <w:tcW w:w="476" w:type="pct"/>
            <w:tcBorders>
              <w:top w:val="nil"/>
              <w:left w:val="nil"/>
              <w:bottom w:val="single" w:sz="4" w:space="0" w:color="auto"/>
              <w:right w:val="single" w:sz="4" w:space="0" w:color="auto"/>
            </w:tcBorders>
            <w:vAlign w:val="center"/>
          </w:tcPr>
          <w:p w14:paraId="799FFA8D"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tcBorders>
              <w:top w:val="nil"/>
              <w:left w:val="nil"/>
              <w:bottom w:val="single" w:sz="4" w:space="0" w:color="auto"/>
              <w:right w:val="single" w:sz="4" w:space="0" w:color="auto"/>
            </w:tcBorders>
            <w:vAlign w:val="center"/>
          </w:tcPr>
          <w:p w14:paraId="095BF8E6"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286844D5"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gridSpan w:val="2"/>
            <w:tcBorders>
              <w:top w:val="nil"/>
              <w:left w:val="nil"/>
              <w:bottom w:val="single" w:sz="4" w:space="0" w:color="auto"/>
              <w:right w:val="single" w:sz="4" w:space="0" w:color="auto"/>
            </w:tcBorders>
            <w:vAlign w:val="center"/>
          </w:tcPr>
          <w:p w14:paraId="43255879"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0AC00389"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03544FA0"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2" w:type="pct"/>
            <w:gridSpan w:val="2"/>
            <w:tcBorders>
              <w:top w:val="nil"/>
              <w:left w:val="nil"/>
              <w:bottom w:val="single" w:sz="4" w:space="0" w:color="auto"/>
              <w:right w:val="single" w:sz="4" w:space="0" w:color="auto"/>
            </w:tcBorders>
            <w:vAlign w:val="center"/>
          </w:tcPr>
          <w:p w14:paraId="547F7116"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3822292B"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11922EBD"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tcBorders>
              <w:top w:val="nil"/>
              <w:left w:val="nil"/>
              <w:bottom w:val="single" w:sz="4" w:space="0" w:color="auto"/>
              <w:right w:val="single" w:sz="4" w:space="0" w:color="auto"/>
            </w:tcBorders>
            <w:vAlign w:val="center"/>
          </w:tcPr>
          <w:p w14:paraId="3017D384"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664" w:type="pct"/>
            <w:tcBorders>
              <w:top w:val="nil"/>
              <w:left w:val="nil"/>
              <w:bottom w:val="single" w:sz="4" w:space="0" w:color="auto"/>
              <w:right w:val="single" w:sz="4" w:space="0" w:color="auto"/>
            </w:tcBorders>
            <w:vAlign w:val="center"/>
          </w:tcPr>
          <w:p w14:paraId="1D1A340A"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r>
      <w:tr w:rsidR="002A05BE" w:rsidRPr="002A05BE" w14:paraId="3CB4CB52" w14:textId="77777777" w:rsidTr="002A05BE">
        <w:trPr>
          <w:trHeight w:val="402"/>
        </w:trPr>
        <w:tc>
          <w:tcPr>
            <w:tcW w:w="621" w:type="pct"/>
            <w:tcBorders>
              <w:top w:val="nil"/>
              <w:left w:val="single" w:sz="4" w:space="0" w:color="auto"/>
              <w:bottom w:val="single" w:sz="4" w:space="0" w:color="auto"/>
              <w:right w:val="single" w:sz="4" w:space="0" w:color="auto"/>
            </w:tcBorders>
            <w:vAlign w:val="center"/>
          </w:tcPr>
          <w:p w14:paraId="0B79FF8D"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合计</w:t>
            </w:r>
          </w:p>
        </w:tc>
        <w:tc>
          <w:tcPr>
            <w:tcW w:w="476" w:type="pct"/>
            <w:tcBorders>
              <w:top w:val="nil"/>
              <w:left w:val="nil"/>
              <w:bottom w:val="single" w:sz="4" w:space="0" w:color="auto"/>
              <w:right w:val="single" w:sz="4" w:space="0" w:color="auto"/>
            </w:tcBorders>
            <w:vAlign w:val="center"/>
          </w:tcPr>
          <w:p w14:paraId="624D7766"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tcBorders>
              <w:top w:val="nil"/>
              <w:left w:val="nil"/>
              <w:bottom w:val="single" w:sz="4" w:space="0" w:color="auto"/>
              <w:right w:val="single" w:sz="4" w:space="0" w:color="auto"/>
            </w:tcBorders>
            <w:vAlign w:val="center"/>
          </w:tcPr>
          <w:p w14:paraId="50EA6037"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4A7A07DB"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gridSpan w:val="2"/>
            <w:tcBorders>
              <w:top w:val="nil"/>
              <w:left w:val="nil"/>
              <w:bottom w:val="single" w:sz="4" w:space="0" w:color="auto"/>
              <w:right w:val="single" w:sz="4" w:space="0" w:color="auto"/>
            </w:tcBorders>
            <w:vAlign w:val="center"/>
          </w:tcPr>
          <w:p w14:paraId="468C2949"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0A18AF5D"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700C2E17"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2" w:type="pct"/>
            <w:gridSpan w:val="2"/>
            <w:tcBorders>
              <w:top w:val="nil"/>
              <w:left w:val="nil"/>
              <w:bottom w:val="single" w:sz="4" w:space="0" w:color="auto"/>
              <w:right w:val="single" w:sz="4" w:space="0" w:color="auto"/>
            </w:tcBorders>
            <w:vAlign w:val="center"/>
          </w:tcPr>
          <w:p w14:paraId="1E51281C"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3" w:type="pct"/>
            <w:tcBorders>
              <w:top w:val="nil"/>
              <w:left w:val="nil"/>
              <w:bottom w:val="single" w:sz="4" w:space="0" w:color="auto"/>
              <w:right w:val="single" w:sz="4" w:space="0" w:color="auto"/>
            </w:tcBorders>
            <w:vAlign w:val="center"/>
          </w:tcPr>
          <w:p w14:paraId="2A7C8879"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81" w:type="pct"/>
            <w:gridSpan w:val="2"/>
            <w:tcBorders>
              <w:top w:val="nil"/>
              <w:left w:val="nil"/>
              <w:bottom w:val="single" w:sz="4" w:space="0" w:color="auto"/>
              <w:right w:val="single" w:sz="4" w:space="0" w:color="auto"/>
            </w:tcBorders>
            <w:vAlign w:val="center"/>
          </w:tcPr>
          <w:p w14:paraId="068C5CAF"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334" w:type="pct"/>
            <w:tcBorders>
              <w:top w:val="nil"/>
              <w:left w:val="nil"/>
              <w:bottom w:val="single" w:sz="4" w:space="0" w:color="auto"/>
              <w:right w:val="single" w:sz="4" w:space="0" w:color="auto"/>
            </w:tcBorders>
            <w:vAlign w:val="center"/>
          </w:tcPr>
          <w:p w14:paraId="51CC4711"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c>
          <w:tcPr>
            <w:tcW w:w="664" w:type="pct"/>
            <w:tcBorders>
              <w:top w:val="nil"/>
              <w:left w:val="nil"/>
              <w:bottom w:val="single" w:sz="4" w:space="0" w:color="auto"/>
              <w:right w:val="single" w:sz="4" w:space="0" w:color="auto"/>
            </w:tcBorders>
            <w:vAlign w:val="center"/>
          </w:tcPr>
          <w:p w14:paraId="24CF386F" w14:textId="77777777" w:rsidR="002A05BE" w:rsidRPr="002A05BE" w:rsidRDefault="002A05BE" w:rsidP="002A05BE">
            <w:pPr>
              <w:pStyle w:val="13"/>
              <w:spacing w:line="240" w:lineRule="auto"/>
              <w:ind w:firstLineChars="0" w:firstLine="0"/>
              <w:rPr>
                <w:sz w:val="21"/>
                <w:szCs w:val="21"/>
              </w:rPr>
            </w:pPr>
            <w:r w:rsidRPr="002A05BE">
              <w:rPr>
                <w:rFonts w:hint="eastAsia"/>
                <w:sz w:val="21"/>
                <w:szCs w:val="21"/>
              </w:rPr>
              <w:t xml:space="preserve">　</w:t>
            </w:r>
          </w:p>
        </w:tc>
      </w:tr>
    </w:tbl>
    <w:p w14:paraId="5A956311" w14:textId="5FC92CD9" w:rsidR="00F67FFD" w:rsidRDefault="00F67FFD" w:rsidP="00882ED4">
      <w:pPr>
        <w:pStyle w:val="13"/>
      </w:pPr>
    </w:p>
    <w:p w14:paraId="43CA6AA2" w14:textId="47698E9C" w:rsidR="00B93D94" w:rsidRDefault="00B93D94">
      <w:pPr>
        <w:widowControl/>
        <w:jc w:val="left"/>
        <w:rPr>
          <w:rFonts w:ascii="宋体" w:hAnsi="宋体"/>
          <w:sz w:val="24"/>
          <w:szCs w:val="24"/>
        </w:rPr>
      </w:pPr>
      <w:r>
        <w:br w:type="page"/>
      </w:r>
    </w:p>
    <w:p w14:paraId="7F8A0FDB" w14:textId="6EE59379" w:rsidR="00F67FFD" w:rsidRDefault="008858D9" w:rsidP="008858D9">
      <w:pPr>
        <w:pStyle w:val="21"/>
        <w:spacing w:before="156" w:after="93"/>
      </w:pPr>
      <w:bookmarkStart w:id="245" w:name="_Toc81833478"/>
      <w:r w:rsidRPr="008858D9">
        <w:rPr>
          <w:rFonts w:hint="eastAsia"/>
        </w:rPr>
        <w:lastRenderedPageBreak/>
        <w:t>国有资产评估报告核准及备案</w:t>
      </w:r>
      <w:bookmarkEnd w:id="245"/>
    </w:p>
    <w:p w14:paraId="3C42FEF5" w14:textId="6BE61D88" w:rsidR="002A05BE" w:rsidRDefault="008858D9" w:rsidP="008858D9">
      <w:pPr>
        <w:pStyle w:val="31"/>
        <w:spacing w:before="156" w:after="62"/>
      </w:pPr>
      <w:bookmarkStart w:id="246" w:name="_Toc81833479"/>
      <w:r w:rsidRPr="008858D9">
        <w:rPr>
          <w:rFonts w:hint="eastAsia"/>
        </w:rPr>
        <w:t>《关于企业国有资产评估报告审核工作有关事项的通知》</w:t>
      </w:r>
      <w:r>
        <w:br/>
      </w:r>
      <w:r w:rsidRPr="008858D9">
        <w:rPr>
          <w:rFonts w:hint="eastAsia"/>
        </w:rPr>
        <w:t>（国资产权〔</w:t>
      </w:r>
      <w:r w:rsidRPr="008858D9">
        <w:t>2009〕941号）</w:t>
      </w:r>
      <w:bookmarkEnd w:id="246"/>
    </w:p>
    <w:p w14:paraId="7AE65C4B" w14:textId="77777777" w:rsidR="008858D9" w:rsidRDefault="008858D9" w:rsidP="008858D9">
      <w:pPr>
        <w:pStyle w:val="13"/>
        <w:ind w:firstLineChars="0" w:firstLine="0"/>
      </w:pPr>
      <w:r>
        <w:rPr>
          <w:rFonts w:hint="eastAsia"/>
        </w:rPr>
        <w:t>各省、自治区、直辖市及计划单列市和新疆建设兵团国资委，各中央企业：</w:t>
      </w:r>
    </w:p>
    <w:p w14:paraId="3DCD94AB" w14:textId="447DE583" w:rsidR="008858D9" w:rsidRDefault="008858D9" w:rsidP="008858D9">
      <w:pPr>
        <w:pStyle w:val="13"/>
      </w:pPr>
      <w:r>
        <w:rPr>
          <w:rFonts w:hint="eastAsia"/>
        </w:rPr>
        <w:t>为规范企业国有资产评估行为，加强企业国有资产评估报告审核工作，现将有关事项通知如下：</w:t>
      </w:r>
    </w:p>
    <w:p w14:paraId="641CF713" w14:textId="2CDAA516" w:rsidR="008858D9" w:rsidRDefault="008858D9" w:rsidP="008858D9">
      <w:pPr>
        <w:pStyle w:val="13"/>
      </w:pPr>
      <w:r>
        <w:rPr>
          <w:rFonts w:hint="eastAsia"/>
        </w:rPr>
        <w:t>一、各级国有资产监督管理机构及国家出资企业对企业国有资产评估报告核准、备案时，应依照中国资产评估协会公布的《企业国有资产评估报告指南》（以下简称《指南》）进行审核，进一步提高核准和备案工作质量。</w:t>
      </w:r>
    </w:p>
    <w:p w14:paraId="0ECE70BF" w14:textId="5AFC164E" w:rsidR="008858D9" w:rsidRDefault="008858D9" w:rsidP="008858D9">
      <w:pPr>
        <w:pStyle w:val="13"/>
      </w:pPr>
      <w:r>
        <w:rPr>
          <w:rFonts w:hint="eastAsia"/>
        </w:rPr>
        <w:t>二、各级国有资产监督管理机构及国家出资企业对企业国有资产评估报告核准、备案时，发现评估报告中存在《指南》第二十二条所列示下列情况时，应当要求申请核准、备案单位妥善解决相关问题后，方予受理。</w:t>
      </w:r>
    </w:p>
    <w:p w14:paraId="32344034" w14:textId="13F09BF6" w:rsidR="008858D9" w:rsidRDefault="008858D9" w:rsidP="008858D9">
      <w:pPr>
        <w:pStyle w:val="13"/>
      </w:pPr>
      <w:r>
        <w:rPr>
          <w:rFonts w:hint="eastAsia"/>
        </w:rPr>
        <w:t>（一）权属资料不全面或者存在瑕疵；</w:t>
      </w:r>
    </w:p>
    <w:p w14:paraId="3D330F0B" w14:textId="109BD5E1" w:rsidR="008858D9" w:rsidRDefault="008858D9" w:rsidP="008858D9">
      <w:pPr>
        <w:pStyle w:val="13"/>
      </w:pPr>
      <w:r>
        <w:rPr>
          <w:rFonts w:hint="eastAsia"/>
        </w:rPr>
        <w:t>（二）评估程序受到限制；</w:t>
      </w:r>
    </w:p>
    <w:p w14:paraId="0321F3B3" w14:textId="4568E457" w:rsidR="008858D9" w:rsidRDefault="008858D9" w:rsidP="008858D9">
      <w:pPr>
        <w:pStyle w:val="13"/>
      </w:pPr>
      <w:r>
        <w:rPr>
          <w:rFonts w:hint="eastAsia"/>
        </w:rPr>
        <w:t>（三）资产评估对应的经济行为中存在可能对评估结论产生重大影响的瑕疵。</w:t>
      </w:r>
    </w:p>
    <w:p w14:paraId="28382D82" w14:textId="640CC202" w:rsidR="008858D9" w:rsidRDefault="008858D9" w:rsidP="008858D9">
      <w:pPr>
        <w:pStyle w:val="13"/>
      </w:pPr>
      <w:r>
        <w:rPr>
          <w:rFonts w:hint="eastAsia"/>
        </w:rPr>
        <w:t>三、申请核准、备案单位报送的评估报告中有关收益法说明部分应包括下列参数、依据及测算过程：</w:t>
      </w:r>
    </w:p>
    <w:p w14:paraId="5E17A984" w14:textId="587BAFDA" w:rsidR="008858D9" w:rsidRDefault="008858D9" w:rsidP="008858D9">
      <w:pPr>
        <w:pStyle w:val="13"/>
      </w:pPr>
      <w:r>
        <w:rPr>
          <w:rFonts w:hint="eastAsia"/>
        </w:rPr>
        <w:t>（一）收入预测表及说明；</w:t>
      </w:r>
    </w:p>
    <w:p w14:paraId="4088E5C9" w14:textId="1C1611F8" w:rsidR="008858D9" w:rsidRDefault="008858D9" w:rsidP="008858D9">
      <w:pPr>
        <w:pStyle w:val="13"/>
      </w:pPr>
      <w:r>
        <w:rPr>
          <w:rFonts w:hint="eastAsia"/>
        </w:rPr>
        <w:t>（二）成本及费用预测表及说明；</w:t>
      </w:r>
    </w:p>
    <w:p w14:paraId="70972091" w14:textId="15BC0D6B" w:rsidR="008858D9" w:rsidRDefault="008858D9" w:rsidP="008858D9">
      <w:pPr>
        <w:pStyle w:val="13"/>
      </w:pPr>
      <w:r>
        <w:rPr>
          <w:rFonts w:hint="eastAsia"/>
        </w:rPr>
        <w:t>（三）折旧和摊销预测表及说明；</w:t>
      </w:r>
    </w:p>
    <w:p w14:paraId="773A60DC" w14:textId="6A5B8FCB" w:rsidR="008858D9" w:rsidRDefault="008858D9" w:rsidP="008858D9">
      <w:pPr>
        <w:pStyle w:val="13"/>
      </w:pPr>
      <w:r>
        <w:rPr>
          <w:rFonts w:hint="eastAsia"/>
        </w:rPr>
        <w:t>（四）营运资金预测表及说明；</w:t>
      </w:r>
    </w:p>
    <w:p w14:paraId="21E5A569" w14:textId="55A85B5A" w:rsidR="008858D9" w:rsidRDefault="008858D9" w:rsidP="008858D9">
      <w:pPr>
        <w:pStyle w:val="13"/>
      </w:pPr>
      <w:r>
        <w:rPr>
          <w:rFonts w:hint="eastAsia"/>
        </w:rPr>
        <w:t>（五）资本性支出预测表及说明；</w:t>
      </w:r>
    </w:p>
    <w:p w14:paraId="72E404F8" w14:textId="36C56828" w:rsidR="008858D9" w:rsidRDefault="008858D9" w:rsidP="008858D9">
      <w:pPr>
        <w:pStyle w:val="13"/>
      </w:pPr>
      <w:r>
        <w:rPr>
          <w:rFonts w:hint="eastAsia"/>
        </w:rPr>
        <w:t>（六）折现率选取、计算、分析及说明；</w:t>
      </w:r>
    </w:p>
    <w:p w14:paraId="76AE10AD" w14:textId="4E39A5EA" w:rsidR="008858D9" w:rsidRDefault="008858D9" w:rsidP="008858D9">
      <w:pPr>
        <w:pStyle w:val="13"/>
      </w:pPr>
      <w:r>
        <w:rPr>
          <w:rFonts w:hint="eastAsia"/>
        </w:rPr>
        <w:t>（七）负债预测表及说明；</w:t>
      </w:r>
    </w:p>
    <w:p w14:paraId="5D322C31" w14:textId="149EE49E" w:rsidR="008858D9" w:rsidRDefault="008858D9" w:rsidP="008858D9">
      <w:pPr>
        <w:pStyle w:val="13"/>
      </w:pPr>
      <w:r>
        <w:rPr>
          <w:rFonts w:hint="eastAsia"/>
        </w:rPr>
        <w:t>（八）溢</w:t>
      </w:r>
      <w:proofErr w:type="gramStart"/>
      <w:r>
        <w:rPr>
          <w:rFonts w:hint="eastAsia"/>
        </w:rPr>
        <w:t>余资产</w:t>
      </w:r>
      <w:proofErr w:type="gramEnd"/>
      <w:r>
        <w:rPr>
          <w:rFonts w:hint="eastAsia"/>
        </w:rPr>
        <w:t>分析及说明；</w:t>
      </w:r>
    </w:p>
    <w:p w14:paraId="004AA895" w14:textId="2EB53660" w:rsidR="008858D9" w:rsidRDefault="008858D9" w:rsidP="008858D9">
      <w:pPr>
        <w:pStyle w:val="13"/>
      </w:pPr>
      <w:r>
        <w:rPr>
          <w:rFonts w:hint="eastAsia"/>
        </w:rPr>
        <w:t>（九）非经营性资产分析及说明。</w:t>
      </w:r>
    </w:p>
    <w:p w14:paraId="5CE643F4" w14:textId="78F3C475" w:rsidR="008858D9" w:rsidRDefault="008858D9" w:rsidP="008858D9">
      <w:pPr>
        <w:pStyle w:val="13"/>
      </w:pPr>
      <w:r>
        <w:rPr>
          <w:rFonts w:hint="eastAsia"/>
        </w:rPr>
        <w:t>四、企业国有产权持有单位或被评估单位应如实提供相关评估资料，确保资料真实、完整、有效。企业国有资产评估报告中的《企业关于进行资产评估有关事项的说明》应由委托方或产权持有单位按照《指南》要求编写，对实际存在但未入账的无形资产应详细说明。《企业关于进行资产评估有关事项的说明》应加盖编写单位公章。</w:t>
      </w:r>
    </w:p>
    <w:p w14:paraId="2051C6C5" w14:textId="3AC4B690" w:rsidR="002A05BE" w:rsidRDefault="008858D9" w:rsidP="008858D9">
      <w:pPr>
        <w:pStyle w:val="13"/>
      </w:pPr>
      <w:r>
        <w:rPr>
          <w:rFonts w:hint="eastAsia"/>
        </w:rPr>
        <w:t>五、《国有资产评估项目备案表》及《接受非国有资产评估项目备案表》（见附件）已进行调整，企业申请资产评估项目备案时，可从国务院国有资产监督管理委员会网站下载，并按要求填报办理。</w:t>
      </w:r>
    </w:p>
    <w:p w14:paraId="3860E6AF" w14:textId="77777777" w:rsidR="008858D9" w:rsidRDefault="008858D9" w:rsidP="008858D9">
      <w:pPr>
        <w:pStyle w:val="13"/>
      </w:pPr>
      <w:r>
        <w:rPr>
          <w:rFonts w:hint="eastAsia"/>
        </w:rPr>
        <w:lastRenderedPageBreak/>
        <w:t>附件：</w:t>
      </w:r>
      <w:r>
        <w:t>1．国有资产评估项目备案表</w:t>
      </w:r>
    </w:p>
    <w:p w14:paraId="2C4B3975" w14:textId="6F7A9073" w:rsidR="008858D9" w:rsidRDefault="008858D9" w:rsidP="008858D9">
      <w:pPr>
        <w:pStyle w:val="13"/>
        <w:ind w:firstLineChars="500" w:firstLine="1200"/>
      </w:pPr>
      <w:r>
        <w:t>2．接受非国有资产评估项目备案表</w:t>
      </w:r>
    </w:p>
    <w:p w14:paraId="793EB866" w14:textId="4C046BE9" w:rsidR="008858D9" w:rsidRDefault="008858D9" w:rsidP="008858D9">
      <w:pPr>
        <w:pStyle w:val="13"/>
        <w:jc w:val="right"/>
      </w:pPr>
      <w:r>
        <w:rPr>
          <w:rFonts w:hint="eastAsia"/>
        </w:rPr>
        <w:t>国务院国有资产监督管理委员会</w:t>
      </w:r>
    </w:p>
    <w:p w14:paraId="3C39E93F" w14:textId="60ACA548" w:rsidR="002A05BE" w:rsidRDefault="008858D9" w:rsidP="008858D9">
      <w:pPr>
        <w:pStyle w:val="13"/>
        <w:jc w:val="right"/>
      </w:pPr>
      <w:r>
        <w:t>二○○九年九月十一日</w:t>
      </w:r>
    </w:p>
    <w:p w14:paraId="246F7096" w14:textId="23CC5915" w:rsidR="002A05BE" w:rsidRPr="008858D9" w:rsidRDefault="008858D9" w:rsidP="008858D9">
      <w:pPr>
        <w:pStyle w:val="31"/>
        <w:spacing w:before="156" w:after="62"/>
      </w:pPr>
      <w:bookmarkStart w:id="247" w:name="_Toc81833480"/>
      <w:r w:rsidRPr="008858D9">
        <w:rPr>
          <w:rFonts w:hint="eastAsia"/>
        </w:rPr>
        <w:t>《中央企业资产评估项目核准工作指引》（</w:t>
      </w:r>
      <w:proofErr w:type="gramStart"/>
      <w:r w:rsidRPr="008858D9">
        <w:rPr>
          <w:rFonts w:hint="eastAsia"/>
        </w:rPr>
        <w:t>国资发产权</w:t>
      </w:r>
      <w:proofErr w:type="gramEnd"/>
      <w:r w:rsidRPr="008858D9">
        <w:rPr>
          <w:rFonts w:hint="eastAsia"/>
        </w:rPr>
        <w:t>〔</w:t>
      </w:r>
      <w:r w:rsidRPr="008858D9">
        <w:t>2010〕71号）</w:t>
      </w:r>
      <w:bookmarkEnd w:id="247"/>
    </w:p>
    <w:p w14:paraId="34A9CE40" w14:textId="77777777" w:rsidR="008858D9" w:rsidRDefault="008858D9" w:rsidP="008858D9">
      <w:pPr>
        <w:pStyle w:val="13"/>
        <w:ind w:firstLineChars="0" w:firstLine="0"/>
      </w:pPr>
      <w:r>
        <w:rPr>
          <w:rFonts w:hint="eastAsia"/>
        </w:rPr>
        <w:t>各中央企业：</w:t>
      </w:r>
    </w:p>
    <w:p w14:paraId="2C7AB0A7" w14:textId="431503DA" w:rsidR="008858D9" w:rsidRDefault="008858D9" w:rsidP="008858D9">
      <w:pPr>
        <w:pStyle w:val="13"/>
      </w:pPr>
      <w:r>
        <w:rPr>
          <w:rFonts w:hint="eastAsia"/>
        </w:rPr>
        <w:t>为进一步规范企业国有资产评估项目核准工作，提高评估核准工作效率，国资委制定了《中央企业资产评估项目核准工作指引》，现印发给你们。请遵照执行，并及时反馈工作中的有关情况和问题。</w:t>
      </w:r>
    </w:p>
    <w:p w14:paraId="66F3E212" w14:textId="1841A182" w:rsidR="008858D9" w:rsidRDefault="008858D9" w:rsidP="008858D9">
      <w:pPr>
        <w:pStyle w:val="13"/>
        <w:jc w:val="right"/>
      </w:pPr>
      <w:r>
        <w:rPr>
          <w:rFonts w:hint="eastAsia"/>
        </w:rPr>
        <w:t>国务院国有资产监督管理委员会</w:t>
      </w:r>
    </w:p>
    <w:p w14:paraId="24A1D90E" w14:textId="28DDAD81" w:rsidR="002A05BE" w:rsidRDefault="008858D9" w:rsidP="008858D9">
      <w:pPr>
        <w:pStyle w:val="13"/>
        <w:jc w:val="right"/>
      </w:pPr>
      <w:r>
        <w:rPr>
          <w:rFonts w:hint="eastAsia"/>
        </w:rPr>
        <w:t>二○一○年五月二十五日</w:t>
      </w:r>
    </w:p>
    <w:p w14:paraId="3AD841D6" w14:textId="77777777" w:rsidR="008858D9" w:rsidRDefault="008858D9" w:rsidP="008858D9">
      <w:pPr>
        <w:pStyle w:val="13"/>
      </w:pPr>
      <w:r>
        <w:rPr>
          <w:rFonts w:hint="eastAsia"/>
        </w:rPr>
        <w:t>中央企业资产评估项目核准工作指引</w:t>
      </w:r>
    </w:p>
    <w:p w14:paraId="7F8634A7" w14:textId="02EF9692" w:rsidR="008858D9" w:rsidRDefault="004E3EBB" w:rsidP="008858D9">
      <w:pPr>
        <w:pStyle w:val="13"/>
        <w:ind w:firstLine="482"/>
      </w:pPr>
      <w:r w:rsidRPr="004E3EBB">
        <w:rPr>
          <w:rFonts w:hint="eastAsia"/>
          <w:b/>
        </w:rPr>
        <w:t xml:space="preserve">第一条 </w:t>
      </w:r>
      <w:r w:rsidR="008858D9">
        <w:t>为确保中央企业（以下简称企业）改制重组工作顺利进行，进一步规范企业国有资产评估项目核准工作，依据《企业国有资产评估管理暂行办法》（国资委令第12号）（以下简称12号令）等规定，制定本指引。</w:t>
      </w:r>
    </w:p>
    <w:p w14:paraId="1BD0B3C4" w14:textId="7AD66D9B" w:rsidR="008858D9" w:rsidRDefault="004E3EBB" w:rsidP="008858D9">
      <w:pPr>
        <w:pStyle w:val="13"/>
        <w:ind w:firstLine="482"/>
      </w:pPr>
      <w:r w:rsidRPr="004E3EBB">
        <w:rPr>
          <w:rFonts w:hint="eastAsia"/>
          <w:b/>
        </w:rPr>
        <w:t xml:space="preserve">第二条 </w:t>
      </w:r>
      <w:r w:rsidR="008858D9">
        <w:t>按照12号令规定应当进行核准的资产评估项目，企业在确定评估基准日前，应当向国务院国有资产监督管理委员会（以下简称国资委）书面报告下列有关事项：</w:t>
      </w:r>
    </w:p>
    <w:p w14:paraId="32FBF8E8" w14:textId="36C26696" w:rsidR="008858D9" w:rsidRDefault="008858D9" w:rsidP="008858D9">
      <w:pPr>
        <w:pStyle w:val="13"/>
      </w:pPr>
      <w:r>
        <w:rPr>
          <w:rFonts w:hint="eastAsia"/>
        </w:rPr>
        <w:t>（一）国家有关部门对相关经济行为的批复情况；</w:t>
      </w:r>
    </w:p>
    <w:p w14:paraId="206C8FB5" w14:textId="5AE6537E" w:rsidR="008858D9" w:rsidRDefault="008858D9" w:rsidP="008858D9">
      <w:pPr>
        <w:pStyle w:val="13"/>
      </w:pPr>
      <w:r>
        <w:rPr>
          <w:rFonts w:hint="eastAsia"/>
        </w:rPr>
        <w:t>（二）评估基准日的选择情况及理由；</w:t>
      </w:r>
    </w:p>
    <w:p w14:paraId="2EF9283C" w14:textId="511E0228" w:rsidR="008858D9" w:rsidRDefault="008858D9" w:rsidP="008858D9">
      <w:pPr>
        <w:pStyle w:val="13"/>
      </w:pPr>
      <w:r>
        <w:rPr>
          <w:rFonts w:hint="eastAsia"/>
        </w:rPr>
        <w:t>（三）资产评估范围的确定情况，包括拟纳入评估范围的资产占企业全部资产比例关系、拟纳入评估范围的资产是否与经济行为一致及拟剥离资产处置方案等；</w:t>
      </w:r>
    </w:p>
    <w:p w14:paraId="5A1019F1" w14:textId="07459C44" w:rsidR="008858D9" w:rsidRDefault="008858D9" w:rsidP="008858D9">
      <w:pPr>
        <w:pStyle w:val="13"/>
      </w:pPr>
      <w:r>
        <w:rPr>
          <w:rFonts w:hint="eastAsia"/>
        </w:rPr>
        <w:t>（四）资产评估机构选聘情况，包括选聘评估机构的条件、范围、程序及拟选定机构的资质、专业特长情况等；</w:t>
      </w:r>
    </w:p>
    <w:p w14:paraId="007A2C13" w14:textId="1488871E" w:rsidR="008858D9" w:rsidRDefault="008858D9" w:rsidP="008858D9">
      <w:pPr>
        <w:pStyle w:val="13"/>
      </w:pPr>
      <w:r>
        <w:rPr>
          <w:rFonts w:hint="eastAsia"/>
        </w:rPr>
        <w:t>（五）资产评估的时间进度安排情况，包括资产评估的现场工作时间、评估报告的出具时间及报国资委申请核准时间。</w:t>
      </w:r>
    </w:p>
    <w:p w14:paraId="23429650" w14:textId="08D6B16E" w:rsidR="008858D9" w:rsidRDefault="004E3EBB" w:rsidP="008858D9">
      <w:pPr>
        <w:pStyle w:val="13"/>
        <w:ind w:firstLine="482"/>
      </w:pPr>
      <w:r w:rsidRPr="004E3EBB">
        <w:rPr>
          <w:rFonts w:hint="eastAsia"/>
          <w:b/>
        </w:rPr>
        <w:t xml:space="preserve">第三条 </w:t>
      </w:r>
      <w:r w:rsidR="008858D9">
        <w:t>在评估项目开展过程中，企业应当及时向国资委报告资产评估项目的工作进展情况，包括评估、审计、土地、矿产资源等相关工作的进展情况，工作中发现问题应当及时沟通。必要时，国资委可对评估项目进行跟踪指导和现场检查。</w:t>
      </w:r>
    </w:p>
    <w:p w14:paraId="618C7B4B" w14:textId="1F9D0182" w:rsidR="008858D9" w:rsidRDefault="004E3EBB" w:rsidP="008858D9">
      <w:pPr>
        <w:pStyle w:val="13"/>
        <w:ind w:firstLine="482"/>
      </w:pPr>
      <w:r w:rsidRPr="004E3EBB">
        <w:rPr>
          <w:rFonts w:hint="eastAsia"/>
          <w:b/>
        </w:rPr>
        <w:t xml:space="preserve">第四条 </w:t>
      </w:r>
      <w:r w:rsidR="008858D9">
        <w:t>企业将评估报告报国资委申请核准前，应当完成以下事项：</w:t>
      </w:r>
    </w:p>
    <w:p w14:paraId="19252DDE" w14:textId="5C5413F6" w:rsidR="008858D9" w:rsidRDefault="008858D9" w:rsidP="008858D9">
      <w:pPr>
        <w:pStyle w:val="13"/>
      </w:pPr>
      <w:r>
        <w:rPr>
          <w:rFonts w:hint="eastAsia"/>
        </w:rPr>
        <w:t>（一）取得国家有关部门对相关经济行为的正式批准文件</w:t>
      </w:r>
      <w:r>
        <w:t>;</w:t>
      </w:r>
    </w:p>
    <w:p w14:paraId="0FECF696" w14:textId="208EBA9B" w:rsidR="008858D9" w:rsidRDefault="008858D9" w:rsidP="008858D9">
      <w:pPr>
        <w:pStyle w:val="13"/>
      </w:pPr>
      <w:r>
        <w:rPr>
          <w:rFonts w:hint="eastAsia"/>
        </w:rPr>
        <w:t>（二）确认所聘请中介机构及相关人员具有相应资质</w:t>
      </w:r>
      <w:r>
        <w:t>;</w:t>
      </w:r>
    </w:p>
    <w:p w14:paraId="2D6F0DF7" w14:textId="1E9997EA" w:rsidR="008858D9" w:rsidRDefault="008858D9" w:rsidP="008858D9">
      <w:pPr>
        <w:pStyle w:val="13"/>
      </w:pPr>
      <w:r>
        <w:rPr>
          <w:rFonts w:hint="eastAsia"/>
        </w:rPr>
        <w:t>（三）纳入评估范围的房产、土地及矿产资源等资产权属要件齐全，并依法办理</w:t>
      </w:r>
      <w:r>
        <w:rPr>
          <w:rFonts w:hint="eastAsia"/>
        </w:rPr>
        <w:lastRenderedPageBreak/>
        <w:t>相关企业产权变动事宜</w:t>
      </w:r>
      <w:r>
        <w:t>;</w:t>
      </w:r>
    </w:p>
    <w:p w14:paraId="3B20BB85" w14:textId="0565AA0D" w:rsidR="008858D9" w:rsidRDefault="008858D9" w:rsidP="008858D9">
      <w:pPr>
        <w:pStyle w:val="13"/>
      </w:pPr>
      <w:r>
        <w:rPr>
          <w:rFonts w:hint="eastAsia"/>
        </w:rPr>
        <w:t>（四）纳入评估范围的资产与经济行为批复、重组改制方案内容一致</w:t>
      </w:r>
      <w:r>
        <w:t>;</w:t>
      </w:r>
    </w:p>
    <w:p w14:paraId="6CCF8955" w14:textId="2839777C" w:rsidR="008858D9" w:rsidRDefault="008858D9" w:rsidP="008858D9">
      <w:pPr>
        <w:pStyle w:val="13"/>
      </w:pPr>
      <w:r>
        <w:rPr>
          <w:rFonts w:hint="eastAsia"/>
        </w:rPr>
        <w:t>（五）对评估报告进行审核并督促评估机构修改完善。</w:t>
      </w:r>
    </w:p>
    <w:p w14:paraId="23ABF016" w14:textId="41D38849" w:rsidR="008858D9" w:rsidRDefault="004E3EBB" w:rsidP="008858D9">
      <w:pPr>
        <w:pStyle w:val="13"/>
        <w:ind w:firstLine="482"/>
      </w:pPr>
      <w:r w:rsidRPr="004E3EBB">
        <w:rPr>
          <w:rFonts w:hint="eastAsia"/>
          <w:b/>
        </w:rPr>
        <w:t xml:space="preserve">第五条 </w:t>
      </w:r>
      <w:r w:rsidR="008858D9">
        <w:t>企业应当自评估基准日起8个月内向国资委提出核准申请，并报送下列文件材料：</w:t>
      </w:r>
    </w:p>
    <w:p w14:paraId="528799CC" w14:textId="69FE659C" w:rsidR="008858D9" w:rsidRDefault="008858D9" w:rsidP="008858D9">
      <w:pPr>
        <w:pStyle w:val="13"/>
      </w:pPr>
      <w:r>
        <w:rPr>
          <w:rFonts w:hint="eastAsia"/>
        </w:rPr>
        <w:t>（一）资产评估项目核准申请文件，主要包括经济行为批准情况、资产评估工作情况和资产评估账面值、评估值等。</w:t>
      </w:r>
    </w:p>
    <w:p w14:paraId="7ED19314" w14:textId="5F8D05F5" w:rsidR="008858D9" w:rsidRDefault="008858D9" w:rsidP="008858D9">
      <w:pPr>
        <w:pStyle w:val="13"/>
      </w:pPr>
      <w:r>
        <w:rPr>
          <w:rFonts w:hint="eastAsia"/>
        </w:rPr>
        <w:t>（二）资产评估项目核准申请表（一式三份）。</w:t>
      </w:r>
    </w:p>
    <w:p w14:paraId="491B187F" w14:textId="402A849C" w:rsidR="008858D9" w:rsidRDefault="008858D9" w:rsidP="008858D9">
      <w:pPr>
        <w:pStyle w:val="13"/>
      </w:pPr>
      <w:r>
        <w:rPr>
          <w:rFonts w:hint="eastAsia"/>
        </w:rPr>
        <w:t>（三）与评估目的相对应的经济行为批准文件或有效材料，包括国务院批复文件、相关部门批复文件以及企业董事会或总经理办公会议决议等。</w:t>
      </w:r>
    </w:p>
    <w:p w14:paraId="7F0E4A4B" w14:textId="3A2E3122" w:rsidR="008858D9" w:rsidRDefault="008858D9" w:rsidP="008858D9">
      <w:pPr>
        <w:pStyle w:val="13"/>
      </w:pPr>
      <w:r>
        <w:rPr>
          <w:rFonts w:hint="eastAsia"/>
        </w:rPr>
        <w:t>（四）所涉及的资产重组方案或者改制方案、发起人协议等材料。</w:t>
      </w:r>
    </w:p>
    <w:p w14:paraId="0EA98990" w14:textId="191FC4BD" w:rsidR="008858D9" w:rsidRDefault="008858D9" w:rsidP="008858D9">
      <w:pPr>
        <w:pStyle w:val="13"/>
      </w:pPr>
      <w:r>
        <w:rPr>
          <w:rFonts w:hint="eastAsia"/>
        </w:rPr>
        <w:t>（五）资产评估机构提交的资产评估报告及其主要引用报告（包括评估报告书、评估说明、评估明细表及其电子文档）。</w:t>
      </w:r>
    </w:p>
    <w:p w14:paraId="71E60D7E" w14:textId="72CB42E6" w:rsidR="008858D9" w:rsidRDefault="008858D9" w:rsidP="008858D9">
      <w:pPr>
        <w:pStyle w:val="13"/>
      </w:pPr>
      <w:r>
        <w:rPr>
          <w:rFonts w:hint="eastAsia"/>
        </w:rPr>
        <w:t>（六）所涉及的企业或资产的产权变动完成法律程序的证明文件。</w:t>
      </w:r>
    </w:p>
    <w:p w14:paraId="25C5C444" w14:textId="7AD27341" w:rsidR="008858D9" w:rsidRDefault="008858D9" w:rsidP="008858D9">
      <w:pPr>
        <w:pStyle w:val="13"/>
      </w:pPr>
      <w:r>
        <w:rPr>
          <w:rFonts w:hint="eastAsia"/>
        </w:rPr>
        <w:t>（七）与经济行为相对应的无保留意见审计报告。如有强调事项段，需提供企业对有关事项的书面说明及意见。</w:t>
      </w:r>
    </w:p>
    <w:p w14:paraId="422860FD" w14:textId="769C6EA2" w:rsidR="008858D9" w:rsidRDefault="008858D9" w:rsidP="008858D9">
      <w:pPr>
        <w:pStyle w:val="13"/>
      </w:pPr>
      <w:r>
        <w:rPr>
          <w:rFonts w:hint="eastAsia"/>
        </w:rPr>
        <w:t>（八）拟上市项目或已上市公司的重大资产置换与收购项目，评估基准日在</w:t>
      </w:r>
      <w:r>
        <w:t>6月30日（含）之前的，需提供最近三个完整会计年度和本年度截至评估基准日的审计报告；评估基准日在6月30日之后的，需提供最近两个完整会计年度和本年度截至评估基准日的审计报告。其他经济行为需提供最近一个完整会计年度和本年度截至评估基准日的审计报告。</w:t>
      </w:r>
    </w:p>
    <w:p w14:paraId="67C09BAB" w14:textId="6A4D3DF3" w:rsidR="008858D9" w:rsidRDefault="008858D9" w:rsidP="008858D9">
      <w:pPr>
        <w:pStyle w:val="13"/>
      </w:pPr>
      <w:r>
        <w:rPr>
          <w:rFonts w:hint="eastAsia"/>
        </w:rPr>
        <w:t>（九）资产评估各当事方的相关承诺函。评估委托方、评估机构均应当按照评估准则的相关规定出具承诺函。</w:t>
      </w:r>
    </w:p>
    <w:p w14:paraId="7E28DBBF" w14:textId="304E9248" w:rsidR="008858D9" w:rsidRDefault="008858D9" w:rsidP="008858D9">
      <w:pPr>
        <w:pStyle w:val="13"/>
      </w:pPr>
      <w:r>
        <w:rPr>
          <w:rFonts w:hint="eastAsia"/>
        </w:rPr>
        <w:t>（十）企业对评估报告审核情况的说明。</w:t>
      </w:r>
    </w:p>
    <w:p w14:paraId="45797330" w14:textId="514EA96D" w:rsidR="008858D9" w:rsidRDefault="008858D9" w:rsidP="008858D9">
      <w:pPr>
        <w:pStyle w:val="13"/>
      </w:pPr>
      <w:r>
        <w:rPr>
          <w:rFonts w:hint="eastAsia"/>
        </w:rPr>
        <w:t>（十一）其他有关材料。</w:t>
      </w:r>
    </w:p>
    <w:p w14:paraId="6FC7D978" w14:textId="2BC24516" w:rsidR="008858D9" w:rsidRDefault="004E3EBB" w:rsidP="008858D9">
      <w:pPr>
        <w:pStyle w:val="13"/>
        <w:ind w:firstLine="482"/>
      </w:pPr>
      <w:r w:rsidRPr="004E3EBB">
        <w:rPr>
          <w:rFonts w:hint="eastAsia"/>
          <w:b/>
        </w:rPr>
        <w:t xml:space="preserve">第六条 </w:t>
      </w:r>
      <w:r w:rsidR="008858D9">
        <w:t>国资委收到核准申请后，经审核符合本指引第五条规定要求的，应当在5个工作日内组织召开核准会议。参加核准会议人员包括国资委聘请的专家、被审核企业人员和中介机构人员等。</w:t>
      </w:r>
    </w:p>
    <w:p w14:paraId="40A563B5" w14:textId="7A472792" w:rsidR="008858D9" w:rsidRDefault="004E3EBB" w:rsidP="008858D9">
      <w:pPr>
        <w:pStyle w:val="13"/>
        <w:ind w:firstLine="482"/>
      </w:pPr>
      <w:r w:rsidRPr="004E3EBB">
        <w:rPr>
          <w:rFonts w:hint="eastAsia"/>
          <w:b/>
        </w:rPr>
        <w:t xml:space="preserve">第七条 </w:t>
      </w:r>
      <w:r w:rsidR="008858D9">
        <w:t>核准会议上，企业应当组织中介机构汇报核准项目的以下相关工作情况：</w:t>
      </w:r>
    </w:p>
    <w:p w14:paraId="20152E74" w14:textId="78A3BD35" w:rsidR="008858D9" w:rsidRDefault="008858D9" w:rsidP="008858D9">
      <w:pPr>
        <w:pStyle w:val="13"/>
      </w:pPr>
      <w:r>
        <w:rPr>
          <w:rFonts w:hint="eastAsia"/>
        </w:rPr>
        <w:t>（一）企业基本情况及相关工作。</w:t>
      </w:r>
    </w:p>
    <w:p w14:paraId="154535DA" w14:textId="3C9EA360" w:rsidR="008858D9" w:rsidRDefault="008858D9" w:rsidP="008858D9">
      <w:pPr>
        <w:pStyle w:val="13"/>
      </w:pPr>
      <w:r>
        <w:t>1.企业基本情况概述；</w:t>
      </w:r>
    </w:p>
    <w:p w14:paraId="106314C0" w14:textId="2CEE5CF0" w:rsidR="008858D9" w:rsidRDefault="008858D9" w:rsidP="008858D9">
      <w:pPr>
        <w:pStyle w:val="13"/>
      </w:pPr>
      <w:r>
        <w:t>2.近三年主要经营及财务状况；</w:t>
      </w:r>
    </w:p>
    <w:p w14:paraId="1126C62F" w14:textId="4F702C77" w:rsidR="008858D9" w:rsidRDefault="008858D9" w:rsidP="008858D9">
      <w:pPr>
        <w:pStyle w:val="13"/>
      </w:pPr>
      <w:r>
        <w:t>3.涉及项目经济行为基本情况；</w:t>
      </w:r>
    </w:p>
    <w:p w14:paraId="3340B674" w14:textId="1D66C3CC" w:rsidR="008858D9" w:rsidRDefault="008858D9" w:rsidP="008858D9">
      <w:pPr>
        <w:pStyle w:val="13"/>
      </w:pPr>
      <w:r>
        <w:t>4.被评估企业改制重组前后的股权架构及产权变动情况；</w:t>
      </w:r>
    </w:p>
    <w:p w14:paraId="3E4DF8AD" w14:textId="0A723889" w:rsidR="008858D9" w:rsidRDefault="008858D9" w:rsidP="008858D9">
      <w:pPr>
        <w:pStyle w:val="13"/>
      </w:pPr>
      <w:r>
        <w:lastRenderedPageBreak/>
        <w:t>5.各中介机构工作进展总体情况；</w:t>
      </w:r>
    </w:p>
    <w:p w14:paraId="3E91A4DC" w14:textId="5AEFA7ED" w:rsidR="008858D9" w:rsidRDefault="008858D9" w:rsidP="008858D9">
      <w:pPr>
        <w:pStyle w:val="13"/>
      </w:pPr>
      <w:r>
        <w:t>6.后续工作及时间安排。</w:t>
      </w:r>
    </w:p>
    <w:p w14:paraId="46E18270" w14:textId="370A05DE" w:rsidR="008858D9" w:rsidRDefault="008858D9" w:rsidP="008858D9">
      <w:pPr>
        <w:pStyle w:val="13"/>
      </w:pPr>
      <w:r>
        <w:rPr>
          <w:rFonts w:hint="eastAsia"/>
        </w:rPr>
        <w:t>（二）资产评估工作情况。</w:t>
      </w:r>
    </w:p>
    <w:p w14:paraId="7ED7233E" w14:textId="168FD62A" w:rsidR="008858D9" w:rsidRDefault="008858D9" w:rsidP="008858D9">
      <w:pPr>
        <w:pStyle w:val="13"/>
      </w:pPr>
      <w:r>
        <w:t>1.资产评估的组织，包括项目组织结构、基本工作程序、人员安排、时间进度等；</w:t>
      </w:r>
    </w:p>
    <w:p w14:paraId="4AE503F8" w14:textId="2717CBCC" w:rsidR="008858D9" w:rsidRDefault="008858D9" w:rsidP="008858D9">
      <w:pPr>
        <w:pStyle w:val="13"/>
      </w:pPr>
      <w:r>
        <w:t>2.资产清查工作中发现的资产权属瑕疵，重要资产的运行或使用情况及盘点盈亏情况；</w:t>
      </w:r>
    </w:p>
    <w:p w14:paraId="0A240E59" w14:textId="56F20FF9" w:rsidR="008858D9" w:rsidRDefault="008858D9" w:rsidP="008858D9">
      <w:pPr>
        <w:pStyle w:val="13"/>
      </w:pPr>
      <w:r>
        <w:t>3.评估要素介绍，包括评估基准日、评估范围和对象，重大、特殊资产评估方法，主要评估参数的选取；</w:t>
      </w:r>
    </w:p>
    <w:p w14:paraId="5953E615" w14:textId="1F5BAC82" w:rsidR="008858D9" w:rsidRDefault="008858D9" w:rsidP="008858D9">
      <w:pPr>
        <w:pStyle w:val="13"/>
      </w:pPr>
      <w:r>
        <w:t>4.评估基准日后评估范围内重大资产变动和重组情况；</w:t>
      </w:r>
    </w:p>
    <w:p w14:paraId="00A381AC" w14:textId="1AF5C408" w:rsidR="008858D9" w:rsidRDefault="008858D9" w:rsidP="008858D9">
      <w:pPr>
        <w:pStyle w:val="13"/>
      </w:pPr>
      <w:r>
        <w:t>5.土地使用权评估结果的引用情况；</w:t>
      </w:r>
    </w:p>
    <w:p w14:paraId="21607F53" w14:textId="616E2159" w:rsidR="008858D9" w:rsidRDefault="008858D9" w:rsidP="008858D9">
      <w:pPr>
        <w:pStyle w:val="13"/>
      </w:pPr>
      <w:r>
        <w:t>6.矿业权评估结果的引用情况；</w:t>
      </w:r>
    </w:p>
    <w:p w14:paraId="6747D34F" w14:textId="5902473F" w:rsidR="008858D9" w:rsidRDefault="008858D9" w:rsidP="008858D9">
      <w:pPr>
        <w:pStyle w:val="13"/>
      </w:pPr>
      <w:r>
        <w:t>7.境外估值机构与资产评估机构就同类评估对象估值差异分析；</w:t>
      </w:r>
    </w:p>
    <w:p w14:paraId="2DD5CC1C" w14:textId="477415A7" w:rsidR="008858D9" w:rsidRDefault="008858D9" w:rsidP="008858D9">
      <w:pPr>
        <w:pStyle w:val="13"/>
      </w:pPr>
      <w:r>
        <w:t>8.其他中介机构工作成果的引用情况；</w:t>
      </w:r>
    </w:p>
    <w:p w14:paraId="7FA55696" w14:textId="4B6F725F" w:rsidR="008858D9" w:rsidRDefault="008858D9" w:rsidP="008858D9">
      <w:pPr>
        <w:pStyle w:val="13"/>
      </w:pPr>
      <w:r>
        <w:t>9.评估机构对评估报告的内部质量控制情况；</w:t>
      </w:r>
    </w:p>
    <w:p w14:paraId="2F5B4C11" w14:textId="0D838407" w:rsidR="008858D9" w:rsidRDefault="008858D9" w:rsidP="008858D9">
      <w:pPr>
        <w:pStyle w:val="13"/>
      </w:pPr>
      <w:r>
        <w:t>10.评估结论及增减</w:t>
      </w:r>
      <w:proofErr w:type="gramStart"/>
      <w:r>
        <w:t>值原因</w:t>
      </w:r>
      <w:proofErr w:type="gramEnd"/>
      <w:r>
        <w:t>分析；</w:t>
      </w:r>
    </w:p>
    <w:p w14:paraId="00246131" w14:textId="096CA809" w:rsidR="008858D9" w:rsidRDefault="008858D9" w:rsidP="008858D9">
      <w:pPr>
        <w:pStyle w:val="13"/>
      </w:pPr>
      <w:r>
        <w:t>11.评估报告体例。</w:t>
      </w:r>
    </w:p>
    <w:p w14:paraId="43E669AE" w14:textId="28770A2F" w:rsidR="008858D9" w:rsidRDefault="008858D9" w:rsidP="008858D9">
      <w:pPr>
        <w:pStyle w:val="13"/>
      </w:pPr>
      <w:r>
        <w:rPr>
          <w:rFonts w:hint="eastAsia"/>
        </w:rPr>
        <w:t>（三）土地估价工作情况。</w:t>
      </w:r>
    </w:p>
    <w:p w14:paraId="01633B3C" w14:textId="79CE674A" w:rsidR="008858D9" w:rsidRDefault="008858D9" w:rsidP="008858D9">
      <w:pPr>
        <w:pStyle w:val="13"/>
      </w:pPr>
      <w:r>
        <w:t>1.估价工作总协调情况和合作评估机构的介绍；</w:t>
      </w:r>
    </w:p>
    <w:p w14:paraId="08F06C85" w14:textId="7E5D8740" w:rsidR="008858D9" w:rsidRDefault="008858D9" w:rsidP="008858D9">
      <w:pPr>
        <w:pStyle w:val="13"/>
      </w:pPr>
      <w:r>
        <w:t>2.评估项目涉及的执业土地估价师名单；</w:t>
      </w:r>
    </w:p>
    <w:p w14:paraId="67389D3C" w14:textId="651AAEBD" w:rsidR="008858D9" w:rsidRDefault="008858D9" w:rsidP="008858D9">
      <w:pPr>
        <w:pStyle w:val="13"/>
      </w:pPr>
      <w:r>
        <w:t>3.评估项目涉及的土地权属状况；</w:t>
      </w:r>
    </w:p>
    <w:p w14:paraId="2C6E66F7" w14:textId="4BAE78AD" w:rsidR="008858D9" w:rsidRDefault="008858D9" w:rsidP="008858D9">
      <w:pPr>
        <w:pStyle w:val="13"/>
      </w:pPr>
      <w:r>
        <w:t>4.土地估价技术方案和评估基本过程描述；</w:t>
      </w:r>
    </w:p>
    <w:p w14:paraId="5BF4034C" w14:textId="7F5873E3" w:rsidR="008858D9" w:rsidRDefault="008858D9" w:rsidP="008858D9">
      <w:pPr>
        <w:pStyle w:val="13"/>
      </w:pPr>
      <w:r>
        <w:t>5.评估项目涉及的土地、房屋的房地匹配说明及附表；</w:t>
      </w:r>
    </w:p>
    <w:p w14:paraId="2428F609" w14:textId="7F62D302" w:rsidR="008858D9" w:rsidRDefault="008858D9" w:rsidP="008858D9">
      <w:pPr>
        <w:pStyle w:val="13"/>
      </w:pPr>
      <w:r>
        <w:t>6.完善土地权属的预计费用支出情况；</w:t>
      </w:r>
    </w:p>
    <w:p w14:paraId="320F24D5" w14:textId="0D45E433" w:rsidR="008858D9" w:rsidRDefault="008858D9" w:rsidP="008858D9">
      <w:pPr>
        <w:pStyle w:val="13"/>
      </w:pPr>
      <w:r>
        <w:t>7.土地资产处置审批与土地估价报告备案情况。</w:t>
      </w:r>
    </w:p>
    <w:p w14:paraId="780AFFA2" w14:textId="4D501E5E" w:rsidR="008858D9" w:rsidRDefault="008858D9" w:rsidP="008858D9">
      <w:pPr>
        <w:pStyle w:val="13"/>
      </w:pPr>
      <w:r>
        <w:rPr>
          <w:rFonts w:hint="eastAsia"/>
        </w:rPr>
        <w:t>（四）涉及矿产资源的，应当汇报矿业权评估情况。</w:t>
      </w:r>
    </w:p>
    <w:p w14:paraId="1D5CCB9D" w14:textId="15A9CB93" w:rsidR="008858D9" w:rsidRDefault="008858D9" w:rsidP="008858D9">
      <w:pPr>
        <w:pStyle w:val="13"/>
      </w:pPr>
      <w:r>
        <w:t>1.评估项目涉及的矿业权评估师名单；</w:t>
      </w:r>
    </w:p>
    <w:p w14:paraId="60DB9781" w14:textId="2DF38E8F" w:rsidR="008858D9" w:rsidRDefault="008858D9" w:rsidP="008858D9">
      <w:pPr>
        <w:pStyle w:val="13"/>
      </w:pPr>
      <w:r>
        <w:t>2.矿业权人、矿业权评估对象的主要情况；</w:t>
      </w:r>
    </w:p>
    <w:p w14:paraId="13628F9B" w14:textId="73B0DAB7" w:rsidR="008858D9" w:rsidRDefault="008858D9" w:rsidP="008858D9">
      <w:pPr>
        <w:pStyle w:val="13"/>
      </w:pPr>
      <w:r>
        <w:t>3.矿业权价款处置及本次评估的处理情况；</w:t>
      </w:r>
    </w:p>
    <w:p w14:paraId="7980AF02" w14:textId="62C3855B" w:rsidR="008858D9" w:rsidRDefault="008858D9" w:rsidP="008858D9">
      <w:pPr>
        <w:pStyle w:val="13"/>
      </w:pPr>
      <w:r>
        <w:t>4.评估项目涉及的矿产资源储量核实和评审备案情况；</w:t>
      </w:r>
    </w:p>
    <w:p w14:paraId="5E30BA4F" w14:textId="01DFDD0A" w:rsidR="008858D9" w:rsidRDefault="008858D9" w:rsidP="008858D9">
      <w:pPr>
        <w:pStyle w:val="13"/>
      </w:pPr>
      <w:r>
        <w:t>5.评估技术方案和评估基本过程描述；</w:t>
      </w:r>
    </w:p>
    <w:p w14:paraId="556AE4A7" w14:textId="042F681B" w:rsidR="008858D9" w:rsidRDefault="008858D9" w:rsidP="008858D9">
      <w:pPr>
        <w:pStyle w:val="13"/>
      </w:pPr>
      <w:r>
        <w:t>6.评估项目涉及的固定资产和土地使用权投资参数与资产评估、土地使用权评估的对接情况；</w:t>
      </w:r>
    </w:p>
    <w:p w14:paraId="2D751BA2" w14:textId="29B99261" w:rsidR="008858D9" w:rsidRDefault="008858D9" w:rsidP="008858D9">
      <w:pPr>
        <w:pStyle w:val="13"/>
      </w:pPr>
      <w:r>
        <w:t>7.完善矿业权权属的预计费用支出情况。</w:t>
      </w:r>
    </w:p>
    <w:p w14:paraId="44B85CD0" w14:textId="4F31510B" w:rsidR="008858D9" w:rsidRDefault="008858D9" w:rsidP="008858D9">
      <w:pPr>
        <w:pStyle w:val="13"/>
      </w:pPr>
      <w:r>
        <w:rPr>
          <w:rFonts w:hint="eastAsia"/>
        </w:rPr>
        <w:t>（五）审计工作情况。</w:t>
      </w:r>
    </w:p>
    <w:p w14:paraId="356961D7" w14:textId="31FEFE55" w:rsidR="008858D9" w:rsidRDefault="008858D9" w:rsidP="008858D9">
      <w:pPr>
        <w:pStyle w:val="13"/>
      </w:pPr>
      <w:r>
        <w:lastRenderedPageBreak/>
        <w:t>1.审计工作的组织，包括项目组织结构、基本工作程序、人员安排、时间进度等；</w:t>
      </w:r>
    </w:p>
    <w:p w14:paraId="46876A8D" w14:textId="1E6FD142" w:rsidR="008858D9" w:rsidRDefault="008858D9" w:rsidP="008858D9">
      <w:pPr>
        <w:pStyle w:val="13"/>
      </w:pPr>
      <w:r>
        <w:t>2.所审计财务报表的编制基础，对于特殊的编制基础或有模拟的企业架构，应当重点予以介绍；</w:t>
      </w:r>
    </w:p>
    <w:p w14:paraId="71FB57F2" w14:textId="42BB844D" w:rsidR="008858D9" w:rsidRDefault="008858D9" w:rsidP="008858D9">
      <w:pPr>
        <w:pStyle w:val="13"/>
      </w:pPr>
      <w:r>
        <w:t>3.对所审计财务报表有重大影响的事项，包括重要重组行为及其会计处理等，说明事项及其影响金额；</w:t>
      </w:r>
    </w:p>
    <w:p w14:paraId="420BDA5F" w14:textId="2ECF6813" w:rsidR="008858D9" w:rsidRDefault="008858D9" w:rsidP="008858D9">
      <w:pPr>
        <w:pStyle w:val="13"/>
      </w:pPr>
      <w:r>
        <w:t>4.合并报表的合并范围说明；</w:t>
      </w:r>
    </w:p>
    <w:p w14:paraId="390E2689" w14:textId="65D85C2B" w:rsidR="008858D9" w:rsidRDefault="008858D9" w:rsidP="008858D9">
      <w:pPr>
        <w:pStyle w:val="13"/>
      </w:pPr>
      <w:r>
        <w:t>5.对于拟境外上市的公司或境外上市公司实施收购的核准项目，需说明所审计报表与境外报表</w:t>
      </w:r>
      <w:proofErr w:type="gramStart"/>
      <w:r>
        <w:t>之间净</w:t>
      </w:r>
      <w:proofErr w:type="gramEnd"/>
      <w:r>
        <w:t>利润与净资产的主要差异项目及金额；</w:t>
      </w:r>
    </w:p>
    <w:p w14:paraId="7F78CC02" w14:textId="3854D176" w:rsidR="008858D9" w:rsidRDefault="008858D9" w:rsidP="008858D9">
      <w:pPr>
        <w:pStyle w:val="13"/>
      </w:pPr>
      <w:r>
        <w:t>6.审计结论。</w:t>
      </w:r>
    </w:p>
    <w:p w14:paraId="61623CF7" w14:textId="28F46EAA" w:rsidR="008858D9" w:rsidRDefault="008858D9" w:rsidP="008858D9">
      <w:pPr>
        <w:pStyle w:val="13"/>
      </w:pPr>
      <w:r>
        <w:rPr>
          <w:rFonts w:hint="eastAsia"/>
        </w:rPr>
        <w:t>（六）律师工作情况。</w:t>
      </w:r>
    </w:p>
    <w:p w14:paraId="245E2D7F" w14:textId="44463E95" w:rsidR="008858D9" w:rsidRDefault="008858D9" w:rsidP="008858D9">
      <w:pPr>
        <w:pStyle w:val="13"/>
      </w:pPr>
      <w:r>
        <w:t>1.相关经济行为的合法性情况；</w:t>
      </w:r>
    </w:p>
    <w:p w14:paraId="567A5B78" w14:textId="55DBB744" w:rsidR="008858D9" w:rsidRDefault="008858D9" w:rsidP="008858D9">
      <w:pPr>
        <w:pStyle w:val="13"/>
      </w:pPr>
      <w:r>
        <w:t>2.房产、土地、矿产资源等资产权属文件办理情况及其合</w:t>
      </w:r>
      <w:proofErr w:type="gramStart"/>
      <w:r>
        <w:t>规</w:t>
      </w:r>
      <w:proofErr w:type="gramEnd"/>
      <w:r>
        <w:t>性，存在瑕疵的处理方法及其合</w:t>
      </w:r>
      <w:proofErr w:type="gramStart"/>
      <w:r>
        <w:t>规</w:t>
      </w:r>
      <w:proofErr w:type="gramEnd"/>
      <w:r>
        <w:t>性承诺；</w:t>
      </w:r>
    </w:p>
    <w:p w14:paraId="2B5FCEC7" w14:textId="69127D13" w:rsidR="008858D9" w:rsidRDefault="008858D9" w:rsidP="008858D9">
      <w:pPr>
        <w:pStyle w:val="13"/>
      </w:pPr>
      <w:r>
        <w:t>3.尽职调查情况。</w:t>
      </w:r>
    </w:p>
    <w:p w14:paraId="4AA5814F" w14:textId="055525C9" w:rsidR="008858D9" w:rsidRDefault="008858D9" w:rsidP="008858D9">
      <w:pPr>
        <w:pStyle w:val="13"/>
      </w:pPr>
      <w:r>
        <w:rPr>
          <w:rFonts w:hint="eastAsia"/>
        </w:rPr>
        <w:t>（七）聘请财务顾问的，应当汇报的情况。</w:t>
      </w:r>
    </w:p>
    <w:p w14:paraId="26DEEA86" w14:textId="2E97485E" w:rsidR="008858D9" w:rsidRDefault="008858D9" w:rsidP="008858D9">
      <w:pPr>
        <w:pStyle w:val="13"/>
      </w:pPr>
      <w:r>
        <w:t>1.企业经济行为总体方案及要点；</w:t>
      </w:r>
    </w:p>
    <w:p w14:paraId="0580E385" w14:textId="7CC00866" w:rsidR="008858D9" w:rsidRDefault="008858D9" w:rsidP="008858D9">
      <w:pPr>
        <w:pStyle w:val="13"/>
      </w:pPr>
      <w:r>
        <w:t>2.企业经济行为的重要性和必要性；</w:t>
      </w:r>
    </w:p>
    <w:p w14:paraId="25E88795" w14:textId="6E0F317B" w:rsidR="008858D9" w:rsidRDefault="008858D9" w:rsidP="008858D9">
      <w:pPr>
        <w:pStyle w:val="13"/>
      </w:pPr>
      <w:r>
        <w:t>3.总体时间安排及进度；</w:t>
      </w:r>
    </w:p>
    <w:p w14:paraId="54FBD543" w14:textId="57EA2269" w:rsidR="008858D9" w:rsidRDefault="008858D9" w:rsidP="008858D9">
      <w:pPr>
        <w:pStyle w:val="13"/>
      </w:pPr>
      <w:r>
        <w:t>4.各中介机构工作协调情况及存在问题；</w:t>
      </w:r>
    </w:p>
    <w:p w14:paraId="6820F3ED" w14:textId="4C36F12F" w:rsidR="008858D9" w:rsidRDefault="008858D9" w:rsidP="008858D9">
      <w:pPr>
        <w:pStyle w:val="13"/>
      </w:pPr>
      <w:r>
        <w:t>5.对资本市场趋势变化分析；</w:t>
      </w:r>
    </w:p>
    <w:p w14:paraId="0E2F21D5" w14:textId="72CF6626" w:rsidR="008858D9" w:rsidRDefault="008858D9" w:rsidP="008858D9">
      <w:pPr>
        <w:pStyle w:val="13"/>
      </w:pPr>
      <w:r>
        <w:t>6.定价底线是否高于评估值。</w:t>
      </w:r>
    </w:p>
    <w:p w14:paraId="2A4B6EAB" w14:textId="198EA3FD" w:rsidR="008858D9" w:rsidRDefault="008858D9" w:rsidP="008858D9">
      <w:pPr>
        <w:pStyle w:val="13"/>
      </w:pPr>
      <w:r>
        <w:rPr>
          <w:rFonts w:hint="eastAsia"/>
        </w:rPr>
        <w:t>（八）其他需汇报的情况。</w:t>
      </w:r>
    </w:p>
    <w:p w14:paraId="226386A4" w14:textId="4C541D4B" w:rsidR="008858D9" w:rsidRDefault="004E3EBB" w:rsidP="008858D9">
      <w:pPr>
        <w:pStyle w:val="13"/>
        <w:ind w:firstLine="482"/>
      </w:pPr>
      <w:r w:rsidRPr="004E3EBB">
        <w:rPr>
          <w:rFonts w:hint="eastAsia"/>
          <w:b/>
        </w:rPr>
        <w:t xml:space="preserve">第八条 </w:t>
      </w:r>
      <w:r w:rsidR="008858D9">
        <w:t>国资委聘请的专家应当遵守国家有关法律、法规及国资委工作要求，并签署保密承诺函。专家应当独立开展审核工作，重点对下列事项进行审核：</w:t>
      </w:r>
    </w:p>
    <w:p w14:paraId="7671F205" w14:textId="7B4CF534" w:rsidR="008858D9" w:rsidRDefault="008858D9" w:rsidP="008858D9">
      <w:pPr>
        <w:pStyle w:val="13"/>
      </w:pPr>
      <w:r>
        <w:rPr>
          <w:rFonts w:hint="eastAsia"/>
        </w:rPr>
        <w:t>（一）评估基准日的选择是否适当，评估结果的使用有效期是否明示。重点审查评估基准日的选择是否符合有关评估准则的规定要求等。</w:t>
      </w:r>
    </w:p>
    <w:p w14:paraId="24714D3A" w14:textId="5267C9B2" w:rsidR="008858D9" w:rsidRDefault="008858D9" w:rsidP="008858D9">
      <w:pPr>
        <w:pStyle w:val="13"/>
      </w:pPr>
      <w:r>
        <w:rPr>
          <w:rFonts w:hint="eastAsia"/>
        </w:rPr>
        <w:t>（二）资产评估范围与经济行为批准文件确定的资产范围是否一致。</w:t>
      </w:r>
    </w:p>
    <w:p w14:paraId="56A71D59" w14:textId="72B18A9A" w:rsidR="008858D9" w:rsidRDefault="008858D9" w:rsidP="008858D9">
      <w:pPr>
        <w:pStyle w:val="13"/>
      </w:pPr>
      <w:r>
        <w:rPr>
          <w:rFonts w:hint="eastAsia"/>
        </w:rPr>
        <w:t>（三）评估方法运用是否合理。重点审核评估方法是否符合相关评估准则的规定要求，评估方法及技术参数选取是否合理等。</w:t>
      </w:r>
    </w:p>
    <w:p w14:paraId="62C30540" w14:textId="201F2717" w:rsidR="008858D9" w:rsidRDefault="008858D9" w:rsidP="008858D9">
      <w:pPr>
        <w:pStyle w:val="13"/>
      </w:pPr>
      <w:r>
        <w:rPr>
          <w:rFonts w:hint="eastAsia"/>
        </w:rPr>
        <w:t>（四）评估依据是否适当。重点审核评估工作过程中所引用的法律法规和技术参数资料等是否适当。</w:t>
      </w:r>
    </w:p>
    <w:p w14:paraId="0A7C3F1F" w14:textId="662B5B9E" w:rsidR="008858D9" w:rsidRDefault="008858D9" w:rsidP="008858D9">
      <w:pPr>
        <w:pStyle w:val="13"/>
      </w:pPr>
      <w:r>
        <w:rPr>
          <w:rFonts w:hint="eastAsia"/>
        </w:rPr>
        <w:t>（五）企业是否就所提供的资产权属证明文件、财务会计资料及生产经营管理资料的真实性、合法性和完整性</w:t>
      </w:r>
      <w:proofErr w:type="gramStart"/>
      <w:r>
        <w:rPr>
          <w:rFonts w:hint="eastAsia"/>
        </w:rPr>
        <w:t>作出</w:t>
      </w:r>
      <w:proofErr w:type="gramEnd"/>
      <w:r>
        <w:rPr>
          <w:rFonts w:hint="eastAsia"/>
        </w:rPr>
        <w:t>承诺。</w:t>
      </w:r>
    </w:p>
    <w:p w14:paraId="7C683E61" w14:textId="2866BA6E" w:rsidR="008858D9" w:rsidRDefault="008858D9" w:rsidP="008858D9">
      <w:pPr>
        <w:pStyle w:val="13"/>
      </w:pPr>
      <w:r>
        <w:rPr>
          <w:rFonts w:hint="eastAsia"/>
        </w:rPr>
        <w:t>（六）评估过程是否符合相关评估准则的规定。重点审核评估机构在评估过程中</w:t>
      </w:r>
      <w:r>
        <w:rPr>
          <w:rFonts w:hint="eastAsia"/>
        </w:rPr>
        <w:lastRenderedPageBreak/>
        <w:t>是否履行了必要评估程序，评估过程是否完整，是否存在未履行评估准则规定的必要评估步骤的行为等。</w:t>
      </w:r>
    </w:p>
    <w:p w14:paraId="6DB1CF36" w14:textId="080AD55F" w:rsidR="008858D9" w:rsidRDefault="008858D9" w:rsidP="008858D9">
      <w:pPr>
        <w:pStyle w:val="13"/>
      </w:pPr>
      <w:r>
        <w:rPr>
          <w:rFonts w:hint="eastAsia"/>
        </w:rPr>
        <w:t>（七）评估报告是否符合《企业国有资产评估报告指南》规定要求。</w:t>
      </w:r>
    </w:p>
    <w:p w14:paraId="6A5ACFDC" w14:textId="23D43E84" w:rsidR="008858D9" w:rsidRDefault="00E05BDA" w:rsidP="008858D9">
      <w:pPr>
        <w:pStyle w:val="13"/>
        <w:ind w:firstLine="482"/>
      </w:pPr>
      <w:r w:rsidRPr="00E05BDA">
        <w:rPr>
          <w:rFonts w:hint="eastAsia"/>
          <w:b/>
        </w:rPr>
        <w:t xml:space="preserve">第九条 </w:t>
      </w:r>
      <w:r w:rsidR="008858D9">
        <w:t>评估报告需经两名以上专家审核并独立提出意见。国资委组织专家与被审核企业及相关中介机构交换意见，被审核企业及相关中介机构应当就专家提出的审核意见</w:t>
      </w:r>
      <w:proofErr w:type="gramStart"/>
      <w:r w:rsidR="008858D9">
        <w:t>作出</w:t>
      </w:r>
      <w:proofErr w:type="gramEnd"/>
      <w:r w:rsidR="008858D9">
        <w:t>解释和说明。企业的解释和说明达不到核准要求的，国资委将向企业提出审核意见。</w:t>
      </w:r>
    </w:p>
    <w:p w14:paraId="47A37F9A" w14:textId="0486D8A7" w:rsidR="008858D9" w:rsidRDefault="00E05BDA" w:rsidP="008858D9">
      <w:pPr>
        <w:pStyle w:val="13"/>
        <w:ind w:firstLine="482"/>
      </w:pPr>
      <w:r w:rsidRPr="00E05BDA">
        <w:rPr>
          <w:rFonts w:hint="eastAsia"/>
          <w:b/>
        </w:rPr>
        <w:t xml:space="preserve">第十条 </w:t>
      </w:r>
      <w:r w:rsidR="008858D9">
        <w:t>国资委向企业提出审核意见后，企业应当及时组织相关中介机构对评估、审计、土地、矿业权等报告进行补充完善，并将完善后的评估报告及审核意见的书面答复报送国资委。</w:t>
      </w:r>
    </w:p>
    <w:p w14:paraId="03568BE0" w14:textId="1059A88B" w:rsidR="008858D9" w:rsidRDefault="00E05BDA" w:rsidP="008858D9">
      <w:pPr>
        <w:pStyle w:val="13"/>
        <w:ind w:firstLine="482"/>
      </w:pPr>
      <w:r w:rsidRPr="00E05BDA">
        <w:rPr>
          <w:rFonts w:hint="eastAsia"/>
          <w:b/>
        </w:rPr>
        <w:t xml:space="preserve">第十一条 </w:t>
      </w:r>
      <w:r w:rsidR="008858D9">
        <w:t>国资委收到企业报送的答复意见及经修改的评估报告后，应当在5个工作日内组织专家召开复审会。</w:t>
      </w:r>
    </w:p>
    <w:p w14:paraId="0FE3082D" w14:textId="2EE0F799" w:rsidR="008858D9" w:rsidRDefault="00E05BDA" w:rsidP="008858D9">
      <w:pPr>
        <w:pStyle w:val="13"/>
        <w:ind w:firstLine="482"/>
      </w:pPr>
      <w:r w:rsidRPr="00E05BDA">
        <w:rPr>
          <w:rFonts w:hint="eastAsia"/>
          <w:b/>
        </w:rPr>
        <w:t xml:space="preserve">第十二条 </w:t>
      </w:r>
      <w:r w:rsidR="008858D9">
        <w:t>经审核符合本指引第八条规定的核准要求的，国资委应当在10个工作日内完成对评估报告的核准批复。</w:t>
      </w:r>
    </w:p>
    <w:p w14:paraId="61542F06" w14:textId="1CA1E5C6" w:rsidR="008858D9" w:rsidRDefault="00E05BDA" w:rsidP="008858D9">
      <w:pPr>
        <w:pStyle w:val="13"/>
        <w:ind w:firstLine="482"/>
      </w:pPr>
      <w:r w:rsidRPr="00E05BDA">
        <w:rPr>
          <w:rFonts w:hint="eastAsia"/>
          <w:b/>
        </w:rPr>
        <w:t xml:space="preserve">第十三条 </w:t>
      </w:r>
      <w:r w:rsidR="008858D9">
        <w:t>本指引自印发之日起施行。</w:t>
      </w:r>
    </w:p>
    <w:p w14:paraId="4CFB35FA" w14:textId="587F2E0F" w:rsidR="002A05BE" w:rsidRPr="008858D9" w:rsidRDefault="008858D9" w:rsidP="008858D9">
      <w:pPr>
        <w:pStyle w:val="31"/>
        <w:spacing w:before="156" w:after="62"/>
      </w:pPr>
      <w:bookmarkStart w:id="248" w:name="_Toc81833481"/>
      <w:r w:rsidRPr="008858D9">
        <w:rPr>
          <w:rFonts w:hint="eastAsia"/>
        </w:rPr>
        <w:t>《企业国有资产评估项目备案工作指引》（</w:t>
      </w:r>
      <w:proofErr w:type="gramStart"/>
      <w:r w:rsidRPr="008858D9">
        <w:rPr>
          <w:rFonts w:hint="eastAsia"/>
        </w:rPr>
        <w:t>国资发产权</w:t>
      </w:r>
      <w:proofErr w:type="gramEnd"/>
      <w:r w:rsidRPr="008858D9">
        <w:rPr>
          <w:rFonts w:hint="eastAsia"/>
        </w:rPr>
        <w:t>〔</w:t>
      </w:r>
      <w:r w:rsidRPr="008858D9">
        <w:t>2013〕64号）</w:t>
      </w:r>
      <w:bookmarkEnd w:id="248"/>
    </w:p>
    <w:p w14:paraId="302B2116" w14:textId="77777777" w:rsidR="008858D9" w:rsidRDefault="008858D9" w:rsidP="00B93D94">
      <w:pPr>
        <w:pStyle w:val="13"/>
        <w:ind w:firstLineChars="0" w:firstLine="0"/>
      </w:pPr>
      <w:r>
        <w:rPr>
          <w:rFonts w:hint="eastAsia"/>
        </w:rPr>
        <w:t>各中央企业：</w:t>
      </w:r>
    </w:p>
    <w:p w14:paraId="49B4B53A" w14:textId="09DA33DA" w:rsidR="008858D9" w:rsidRDefault="008858D9" w:rsidP="008858D9">
      <w:pPr>
        <w:pStyle w:val="13"/>
      </w:pPr>
      <w:r>
        <w:rPr>
          <w:rFonts w:hint="eastAsia"/>
        </w:rPr>
        <w:t>为进一步规范企业国有资产评估项目备案工作，提高评估备案工作效率，国资委制定了《企业国有资产评估项目备案工作指引》，现印发给你们。请遵照执行，并及时反馈工作中的有关情况和问题。</w:t>
      </w:r>
    </w:p>
    <w:p w14:paraId="57F15493" w14:textId="77777777" w:rsidR="008858D9" w:rsidRDefault="008858D9" w:rsidP="008858D9">
      <w:pPr>
        <w:pStyle w:val="13"/>
        <w:jc w:val="right"/>
      </w:pPr>
      <w:r>
        <w:rPr>
          <w:rFonts w:hint="eastAsia"/>
        </w:rPr>
        <w:t>国资委</w:t>
      </w:r>
    </w:p>
    <w:p w14:paraId="6A2BA9B7" w14:textId="020E6994" w:rsidR="002A05BE" w:rsidRDefault="008858D9" w:rsidP="008858D9">
      <w:pPr>
        <w:pStyle w:val="13"/>
        <w:jc w:val="right"/>
      </w:pPr>
      <w:r>
        <w:t>2013年5月10日</w:t>
      </w:r>
    </w:p>
    <w:p w14:paraId="6E8F5271" w14:textId="497C24C4" w:rsidR="008858D9" w:rsidRDefault="008858D9" w:rsidP="00AF7342">
      <w:pPr>
        <w:pStyle w:val="a9"/>
        <w:spacing w:before="62" w:after="62"/>
      </w:pPr>
      <w:r>
        <w:rPr>
          <w:rFonts w:hint="eastAsia"/>
        </w:rPr>
        <w:t>企业国有资产评估项目备案工作指引</w:t>
      </w:r>
    </w:p>
    <w:p w14:paraId="0B5AA9F9" w14:textId="3A9B52BD" w:rsidR="008858D9" w:rsidRDefault="008858D9" w:rsidP="00AF7342">
      <w:pPr>
        <w:pStyle w:val="a9"/>
        <w:spacing w:before="62" w:after="62"/>
      </w:pPr>
      <w:r>
        <w:rPr>
          <w:rFonts w:hint="eastAsia"/>
        </w:rPr>
        <w:t>第一章</w:t>
      </w:r>
      <w:r>
        <w:t xml:space="preserve"> 总则</w:t>
      </w:r>
    </w:p>
    <w:p w14:paraId="573A7C15" w14:textId="3385D7FD" w:rsidR="008858D9" w:rsidRDefault="004E3EBB" w:rsidP="008858D9">
      <w:pPr>
        <w:pStyle w:val="13"/>
        <w:ind w:firstLine="482"/>
      </w:pPr>
      <w:r w:rsidRPr="004E3EBB">
        <w:rPr>
          <w:rFonts w:hint="eastAsia"/>
          <w:b/>
        </w:rPr>
        <w:t xml:space="preserve">第一条 </w:t>
      </w:r>
      <w:r w:rsidR="008858D9">
        <w:t>为进一步规范中央企业及其各级子企业（以下简称企业）国有资产评估项目备案管理工作，确保企业改制重组、产权流转等工作顺利进行，依据《中华人民共和国企业国有资产法》、《企业国有资产评估管理暂行办法》（国资委令第12号，以下简称《评估管理办法》）等规定，制定本指引。</w:t>
      </w:r>
    </w:p>
    <w:p w14:paraId="24E2DB2B" w14:textId="69F9AE82" w:rsidR="002A05BE" w:rsidRDefault="004E3EBB" w:rsidP="008858D9">
      <w:pPr>
        <w:pStyle w:val="13"/>
        <w:ind w:firstLine="482"/>
      </w:pPr>
      <w:r w:rsidRPr="004E3EBB">
        <w:rPr>
          <w:rFonts w:hint="eastAsia"/>
          <w:b/>
        </w:rPr>
        <w:t xml:space="preserve">第二条 </w:t>
      </w:r>
      <w:r w:rsidR="008858D9">
        <w:t>国务院国有资产监督管理委员会和中央企业（以下简称备案管理单位），按照《评估管理办法》规定对应当备案的资产评估项目进行备案管理工作，适用本指引。</w:t>
      </w:r>
    </w:p>
    <w:p w14:paraId="5FA13557" w14:textId="77777777" w:rsidR="008858D9" w:rsidRDefault="008858D9" w:rsidP="00AF7342">
      <w:pPr>
        <w:pStyle w:val="a9"/>
        <w:spacing w:before="62" w:after="62"/>
      </w:pPr>
      <w:r>
        <w:rPr>
          <w:rFonts w:hint="eastAsia"/>
        </w:rPr>
        <w:t>第二章</w:t>
      </w:r>
      <w:r>
        <w:t xml:space="preserve"> 备案工作程序</w:t>
      </w:r>
    </w:p>
    <w:p w14:paraId="46882BF0" w14:textId="488576A7" w:rsidR="008858D9" w:rsidRDefault="004E3EBB" w:rsidP="008858D9">
      <w:pPr>
        <w:pStyle w:val="13"/>
        <w:ind w:firstLine="482"/>
      </w:pPr>
      <w:r w:rsidRPr="004E3EBB">
        <w:rPr>
          <w:rFonts w:hint="eastAsia"/>
          <w:b/>
        </w:rPr>
        <w:t xml:space="preserve">第三条 </w:t>
      </w:r>
      <w:r w:rsidR="008858D9">
        <w:t>企业发生需要进行资产评估的经济行为时，应当按照《关于规范中央企</w:t>
      </w:r>
      <w:r w:rsidR="008858D9">
        <w:lastRenderedPageBreak/>
        <w:t>业选聘评估机构工作的指导意见》（</w:t>
      </w:r>
      <w:proofErr w:type="gramStart"/>
      <w:r w:rsidR="008858D9">
        <w:t>国资发产权</w:t>
      </w:r>
      <w:proofErr w:type="gramEnd"/>
      <w:r w:rsidR="008858D9">
        <w:t>〔2011〕68号）等文件规定聘请具有相应资质的评估机构。</w:t>
      </w:r>
    </w:p>
    <w:p w14:paraId="3830B173" w14:textId="37C64907" w:rsidR="008858D9" w:rsidRDefault="004E3EBB" w:rsidP="008858D9">
      <w:pPr>
        <w:pStyle w:val="13"/>
        <w:ind w:firstLine="482"/>
      </w:pPr>
      <w:r w:rsidRPr="004E3EBB">
        <w:rPr>
          <w:rFonts w:hint="eastAsia"/>
          <w:b/>
        </w:rPr>
        <w:t xml:space="preserve">第四条 </w:t>
      </w:r>
      <w:r w:rsidR="008858D9">
        <w:t>在资产评估项目开展过程中，企业应当就工作情况及时通过中央企业资产评估管理信息系统向备案管理单位报告，包括评估基准日选定、资产评估、土地估</w:t>
      </w:r>
      <w:r w:rsidR="008858D9">
        <w:rPr>
          <w:rFonts w:hint="eastAsia"/>
        </w:rPr>
        <w:t>价、矿业权评估和相关审计等情况。必要时，备案管理单位可对资产评估项目进行跟踪指导和现场检查。</w:t>
      </w:r>
    </w:p>
    <w:p w14:paraId="3F14562E" w14:textId="4B1F3D47" w:rsidR="008858D9" w:rsidRDefault="004E3EBB" w:rsidP="008858D9">
      <w:pPr>
        <w:pStyle w:val="13"/>
        <w:ind w:firstLine="482"/>
      </w:pPr>
      <w:r w:rsidRPr="004E3EBB">
        <w:rPr>
          <w:rFonts w:hint="eastAsia"/>
          <w:b/>
        </w:rPr>
        <w:t xml:space="preserve">第五条 </w:t>
      </w:r>
      <w:r w:rsidR="008858D9">
        <w:t>企业收到评估机构出具的评估报告后，应当在评估基准日起9个月内将备案申请材料逐级报送备案管理单位。在报送备案管理单位之前，企业应当进行以下初步审核：</w:t>
      </w:r>
    </w:p>
    <w:p w14:paraId="0A3AEE8B" w14:textId="77777777" w:rsidR="008858D9" w:rsidRDefault="008858D9" w:rsidP="008858D9">
      <w:pPr>
        <w:pStyle w:val="13"/>
      </w:pPr>
      <w:r>
        <w:rPr>
          <w:rFonts w:hint="eastAsia"/>
        </w:rPr>
        <w:t>（一）相关经济行为是否符合国家有关规定要求。</w:t>
      </w:r>
    </w:p>
    <w:p w14:paraId="11DDF715" w14:textId="77777777" w:rsidR="008858D9" w:rsidRDefault="008858D9" w:rsidP="008858D9">
      <w:pPr>
        <w:pStyle w:val="13"/>
      </w:pPr>
      <w:r>
        <w:rPr>
          <w:rFonts w:hint="eastAsia"/>
        </w:rPr>
        <w:t>（二）评估基准日的选择是否合理。</w:t>
      </w:r>
    </w:p>
    <w:p w14:paraId="0B5C9708" w14:textId="77777777" w:rsidR="008858D9" w:rsidRDefault="008858D9" w:rsidP="008858D9">
      <w:pPr>
        <w:pStyle w:val="13"/>
      </w:pPr>
      <w:r>
        <w:rPr>
          <w:rFonts w:hint="eastAsia"/>
        </w:rPr>
        <w:t>（三）执业评估机构及人员是否具备相应资质。</w:t>
      </w:r>
    </w:p>
    <w:p w14:paraId="7A1ABC6F" w14:textId="77777777" w:rsidR="008858D9" w:rsidRDefault="008858D9" w:rsidP="008858D9">
      <w:pPr>
        <w:pStyle w:val="13"/>
      </w:pPr>
      <w:r>
        <w:rPr>
          <w:rFonts w:hint="eastAsia"/>
        </w:rPr>
        <w:t>（四）评估范围是否与经济行为批准文件或重组改制方案内容一致。</w:t>
      </w:r>
    </w:p>
    <w:p w14:paraId="6BC5F738" w14:textId="77777777" w:rsidR="008858D9" w:rsidRDefault="008858D9" w:rsidP="008858D9">
      <w:pPr>
        <w:pStyle w:val="13"/>
      </w:pPr>
      <w:r>
        <w:rPr>
          <w:rFonts w:hint="eastAsia"/>
        </w:rPr>
        <w:t>（五）纳入评估范围的房产、土地及矿产资源等资产权属要件是否齐全。</w:t>
      </w:r>
    </w:p>
    <w:p w14:paraId="24AA1ECC" w14:textId="77777777" w:rsidR="008858D9" w:rsidRDefault="008858D9" w:rsidP="008858D9">
      <w:pPr>
        <w:pStyle w:val="13"/>
      </w:pPr>
      <w:r>
        <w:rPr>
          <w:rFonts w:hint="eastAsia"/>
        </w:rPr>
        <w:t>（六）被评估企业是否依法办理相关产权登记事宜。</w:t>
      </w:r>
    </w:p>
    <w:p w14:paraId="2D6C50E7" w14:textId="77777777" w:rsidR="008858D9" w:rsidRDefault="008858D9" w:rsidP="008858D9">
      <w:pPr>
        <w:pStyle w:val="13"/>
      </w:pPr>
      <w:r>
        <w:rPr>
          <w:rFonts w:hint="eastAsia"/>
        </w:rPr>
        <w:t>（七）评估报告、审计报告等资料要件是否齐全。</w:t>
      </w:r>
    </w:p>
    <w:p w14:paraId="1A6D4A83" w14:textId="166958EE" w:rsidR="008858D9" w:rsidRDefault="004E3EBB" w:rsidP="008858D9">
      <w:pPr>
        <w:pStyle w:val="13"/>
        <w:ind w:firstLine="482"/>
      </w:pPr>
      <w:r w:rsidRPr="004E3EBB">
        <w:rPr>
          <w:rFonts w:hint="eastAsia"/>
          <w:b/>
        </w:rPr>
        <w:t xml:space="preserve">第六条 </w:t>
      </w:r>
      <w:r w:rsidR="008858D9">
        <w:t>企业提出资产评估项目备案申请时，应当向备案管理单位报送下列文件材</w:t>
      </w:r>
      <w:r w:rsidR="008858D9">
        <w:rPr>
          <w:rFonts w:hint="eastAsia"/>
        </w:rPr>
        <w:t>料：</w:t>
      </w:r>
    </w:p>
    <w:p w14:paraId="67649E47" w14:textId="77777777" w:rsidR="008858D9" w:rsidRDefault="008858D9" w:rsidP="008858D9">
      <w:pPr>
        <w:pStyle w:val="13"/>
      </w:pPr>
      <w:r>
        <w:rPr>
          <w:rFonts w:hint="eastAsia"/>
        </w:rPr>
        <w:t>（一）资产评估项目备案申请文件。</w:t>
      </w:r>
    </w:p>
    <w:p w14:paraId="1A18F6D1" w14:textId="77777777" w:rsidR="008858D9" w:rsidRDefault="008858D9" w:rsidP="008858D9">
      <w:pPr>
        <w:pStyle w:val="13"/>
      </w:pPr>
      <w:r>
        <w:rPr>
          <w:rFonts w:hint="eastAsia"/>
        </w:rPr>
        <w:t>（二）资产评估项目备案表（一式三份）。</w:t>
      </w:r>
    </w:p>
    <w:p w14:paraId="4AC16E6A" w14:textId="77777777" w:rsidR="008858D9" w:rsidRDefault="008858D9" w:rsidP="008858D9">
      <w:pPr>
        <w:pStyle w:val="13"/>
      </w:pPr>
      <w:r>
        <w:rPr>
          <w:rFonts w:hint="eastAsia"/>
        </w:rPr>
        <w:t>（三）与评估目的相对应的经济行为批准文件或其他有效文件，包括相关单位批复文件以及企业董事会决议或总经理办公会议纪要等。</w:t>
      </w:r>
    </w:p>
    <w:p w14:paraId="79B5C513" w14:textId="77777777" w:rsidR="008858D9" w:rsidRDefault="008858D9" w:rsidP="008858D9">
      <w:pPr>
        <w:pStyle w:val="13"/>
      </w:pPr>
      <w:r>
        <w:rPr>
          <w:rFonts w:hint="eastAsia"/>
        </w:rPr>
        <w:t>（四）评估所涉及的资产改制重组、产权流转方案或发起人协议等材料。</w:t>
      </w:r>
    </w:p>
    <w:p w14:paraId="4D5671AC" w14:textId="77777777" w:rsidR="008858D9" w:rsidRDefault="008858D9" w:rsidP="008858D9">
      <w:pPr>
        <w:pStyle w:val="13"/>
      </w:pPr>
      <w:r>
        <w:rPr>
          <w:rFonts w:hint="eastAsia"/>
        </w:rPr>
        <w:t>（五）评估机构提交的评估报告（包括评估报告书、评估说明、评估明细表及其电子文档等）及其主要引用报告（包括审计报告、土地估价报告、矿业权评估报告</w:t>
      </w:r>
      <w:r>
        <w:t xml:space="preserve"> 等）。</w:t>
      </w:r>
    </w:p>
    <w:p w14:paraId="0853B26C" w14:textId="77777777" w:rsidR="008858D9" w:rsidRDefault="008858D9" w:rsidP="008858D9">
      <w:pPr>
        <w:pStyle w:val="13"/>
      </w:pPr>
      <w:r>
        <w:rPr>
          <w:rFonts w:hint="eastAsia"/>
        </w:rPr>
        <w:t>（六）被评估资产权属证明文件。</w:t>
      </w:r>
    </w:p>
    <w:p w14:paraId="0DF09209" w14:textId="77777777" w:rsidR="008858D9" w:rsidRDefault="008858D9" w:rsidP="008858D9">
      <w:pPr>
        <w:pStyle w:val="13"/>
      </w:pPr>
      <w:r>
        <w:rPr>
          <w:rFonts w:hint="eastAsia"/>
        </w:rPr>
        <w:t>（七）与经济行为相对应的无保留意见标准审计报告。如为非标准无保留意见的审计报告时，对其附加说明段、强调事项段或修正性用语，企业需提供对有关事项的书面说明及承诺。</w:t>
      </w:r>
    </w:p>
    <w:p w14:paraId="7EE6C401" w14:textId="4084137C" w:rsidR="008858D9" w:rsidRDefault="008858D9" w:rsidP="008858D9">
      <w:pPr>
        <w:pStyle w:val="13"/>
      </w:pPr>
      <w:r>
        <w:rPr>
          <w:rFonts w:hint="eastAsia"/>
        </w:rPr>
        <w:t>（八）拟上市项目或已上市公司的重大资产重组项目，评估基准日在</w:t>
      </w:r>
      <w:r>
        <w:t xml:space="preserve"> 6</w:t>
      </w:r>
      <w:r w:rsidR="003068F8">
        <w:t>月</w:t>
      </w:r>
      <w:r>
        <w:t>30</w:t>
      </w:r>
      <w:r w:rsidR="003068F8">
        <w:t>日</w:t>
      </w:r>
      <w:r>
        <w:rPr>
          <w:rFonts w:hint="eastAsia"/>
        </w:rPr>
        <w:t>（含）之前的，需提供最近三个完整会计年度和本年度截至评估基准日的审计报告</w:t>
      </w:r>
      <w:r w:rsidR="003068F8">
        <w:rPr>
          <w:rFonts w:hint="eastAsia"/>
        </w:rPr>
        <w:t>；</w:t>
      </w:r>
      <w:r>
        <w:t>评估基准日在 6</w:t>
      </w:r>
      <w:r w:rsidR="003068F8">
        <w:t>月</w:t>
      </w:r>
      <w:r>
        <w:t>30</w:t>
      </w:r>
      <w:r w:rsidR="003068F8">
        <w:t>日</w:t>
      </w:r>
      <w:r>
        <w:t>之后的，需提供最近两个完整会计年度和本年度截至评估基准日的审计报告。其他经济行为需提供最近一个完整会计年度和本年度截至评估</w:t>
      </w:r>
      <w:r>
        <w:lastRenderedPageBreak/>
        <w:t>基准日的审计报告。</w:t>
      </w:r>
    </w:p>
    <w:p w14:paraId="75FA698C" w14:textId="77777777" w:rsidR="008858D9" w:rsidRDefault="008858D9" w:rsidP="008858D9">
      <w:pPr>
        <w:pStyle w:val="13"/>
      </w:pPr>
      <w:r>
        <w:rPr>
          <w:rFonts w:hint="eastAsia"/>
        </w:rPr>
        <w:t>（九）资产评估各当事方的相关承诺函。评估委托方、评估机构、被评估企业</w:t>
      </w:r>
    </w:p>
    <w:p w14:paraId="22B0248F" w14:textId="77777777" w:rsidR="008858D9" w:rsidRDefault="008858D9" w:rsidP="008858D9">
      <w:pPr>
        <w:pStyle w:val="13"/>
      </w:pPr>
      <w:r>
        <w:rPr>
          <w:rFonts w:hint="eastAsia"/>
        </w:rPr>
        <w:t>（产权持有单位）均应当按照评估准则的相关规定出具承诺函。</w:t>
      </w:r>
    </w:p>
    <w:p w14:paraId="5A774FCC" w14:textId="77777777" w:rsidR="008858D9" w:rsidRDefault="008858D9" w:rsidP="008858D9">
      <w:pPr>
        <w:pStyle w:val="13"/>
      </w:pPr>
      <w:r>
        <w:rPr>
          <w:rFonts w:hint="eastAsia"/>
        </w:rPr>
        <w:t>（十）需要提供的其他材料。</w:t>
      </w:r>
    </w:p>
    <w:p w14:paraId="32A675FC" w14:textId="455AC915" w:rsidR="008858D9" w:rsidRDefault="004E3EBB" w:rsidP="00B03A34">
      <w:pPr>
        <w:pStyle w:val="13"/>
        <w:ind w:firstLine="482"/>
      </w:pPr>
      <w:r w:rsidRPr="004E3EBB">
        <w:rPr>
          <w:rFonts w:hint="eastAsia"/>
          <w:b/>
        </w:rPr>
        <w:t xml:space="preserve">第七条 </w:t>
      </w:r>
      <w:r w:rsidR="008858D9">
        <w:t>企业应当按照《关于启用中央企业资产评估管理信息系统有关事项的通知》（</w:t>
      </w:r>
      <w:proofErr w:type="gramStart"/>
      <w:r w:rsidR="008858D9">
        <w:t>国资厅产权</w:t>
      </w:r>
      <w:proofErr w:type="gramEnd"/>
      <w:r w:rsidR="008858D9">
        <w:t>〔2012〕201号），及时将项目基本情况、评估报告等录入中央企业资产评估管理信息系统，并组织开展审核工作。必要时可组织有关专家参与评估项目评</w:t>
      </w:r>
      <w:r w:rsidR="008858D9">
        <w:rPr>
          <w:rFonts w:hint="eastAsia"/>
        </w:rPr>
        <w:t>审工作。</w:t>
      </w:r>
    </w:p>
    <w:p w14:paraId="37090643" w14:textId="303B42D7" w:rsidR="008858D9" w:rsidRDefault="004E3EBB" w:rsidP="008858D9">
      <w:pPr>
        <w:pStyle w:val="13"/>
        <w:ind w:firstLine="482"/>
      </w:pPr>
      <w:r w:rsidRPr="004E3EBB">
        <w:rPr>
          <w:rFonts w:hint="eastAsia"/>
          <w:b/>
        </w:rPr>
        <w:t xml:space="preserve">第八条 </w:t>
      </w:r>
      <w:r w:rsidR="008858D9">
        <w:t xml:space="preserve">备案管理单位收到备案申请材料后，应当在 10 </w:t>
      </w:r>
      <w:proofErr w:type="gramStart"/>
      <w:r w:rsidR="008858D9">
        <w:t>个</w:t>
      </w:r>
      <w:proofErr w:type="gramEnd"/>
      <w:r w:rsidR="008858D9">
        <w:t xml:space="preserve">工作日内向企业出具审核意见。企业应当及时组织相关中介机构逐条答复审核意见，并根据审核要求对资产评估报告、土地估价报告、矿业权评估报告和相关审计报告等进行补充修改，并将调整完善后的备案申请材料和审核意见答复在 10 </w:t>
      </w:r>
      <w:proofErr w:type="gramStart"/>
      <w:r w:rsidR="008858D9">
        <w:t>个</w:t>
      </w:r>
      <w:proofErr w:type="gramEnd"/>
      <w:r w:rsidR="008858D9">
        <w:t>工作日内报送备案管理单位，备案管</w:t>
      </w:r>
    </w:p>
    <w:p w14:paraId="7041F747" w14:textId="77777777" w:rsidR="008858D9" w:rsidRDefault="008858D9" w:rsidP="008858D9">
      <w:pPr>
        <w:pStyle w:val="13"/>
      </w:pPr>
      <w:proofErr w:type="gramStart"/>
      <w:r>
        <w:rPr>
          <w:rFonts w:hint="eastAsia"/>
        </w:rPr>
        <w:t>理单位</w:t>
      </w:r>
      <w:proofErr w:type="gramEnd"/>
      <w:r>
        <w:rPr>
          <w:rFonts w:hint="eastAsia"/>
        </w:rPr>
        <w:t>应当及时组织复审。经审核符合备案要求的，应当在</w:t>
      </w:r>
      <w:r>
        <w:t xml:space="preserve"> 10 </w:t>
      </w:r>
      <w:proofErr w:type="gramStart"/>
      <w:r>
        <w:t>个</w:t>
      </w:r>
      <w:proofErr w:type="gramEnd"/>
      <w:r>
        <w:t>工作日内办理完成备案手续。</w:t>
      </w:r>
    </w:p>
    <w:p w14:paraId="2DB84ED0" w14:textId="77777777" w:rsidR="008858D9" w:rsidRDefault="008858D9" w:rsidP="00AF7342">
      <w:pPr>
        <w:pStyle w:val="a9"/>
        <w:spacing w:before="62" w:after="62"/>
      </w:pPr>
      <w:r>
        <w:rPr>
          <w:rFonts w:hint="eastAsia"/>
        </w:rPr>
        <w:t>第三章</w:t>
      </w:r>
      <w:r>
        <w:t xml:space="preserve"> 资产评估报告审核要点</w:t>
      </w:r>
    </w:p>
    <w:p w14:paraId="12B44A52" w14:textId="5E8DDF82" w:rsidR="008858D9" w:rsidRDefault="00E05BDA" w:rsidP="008858D9">
      <w:pPr>
        <w:pStyle w:val="13"/>
        <w:ind w:firstLine="482"/>
      </w:pPr>
      <w:r w:rsidRPr="00E05BDA">
        <w:rPr>
          <w:rFonts w:hint="eastAsia"/>
          <w:b/>
        </w:rPr>
        <w:t xml:space="preserve">第九条 </w:t>
      </w:r>
      <w:r w:rsidR="008858D9">
        <w:t>备案管理单位应当严格按照《评估管理办法》、《企业国有资产评估报告指南》等企业国有资产评估管理法规和相关评估准则，对备案事项相关行为的合</w:t>
      </w:r>
      <w:proofErr w:type="gramStart"/>
      <w:r w:rsidR="008858D9">
        <w:t>规</w:t>
      </w:r>
      <w:proofErr w:type="gramEnd"/>
      <w:r w:rsidR="008858D9">
        <w:t>性、评估结果的合理性等进行审核。</w:t>
      </w:r>
    </w:p>
    <w:p w14:paraId="2993ED94" w14:textId="55220275" w:rsidR="008858D9" w:rsidRDefault="00E05BDA" w:rsidP="008858D9">
      <w:pPr>
        <w:pStyle w:val="13"/>
        <w:ind w:firstLine="482"/>
      </w:pPr>
      <w:r w:rsidRPr="00E05BDA">
        <w:rPr>
          <w:rFonts w:hint="eastAsia"/>
          <w:b/>
        </w:rPr>
        <w:t xml:space="preserve">第十条 </w:t>
      </w:r>
      <w:r w:rsidR="008858D9">
        <w:t>备案管理单位应当对资产评估报告以下内容进行重点审核：</w:t>
      </w:r>
    </w:p>
    <w:p w14:paraId="2B0E0CAD" w14:textId="77777777" w:rsidR="008858D9" w:rsidRDefault="008858D9" w:rsidP="008858D9">
      <w:pPr>
        <w:pStyle w:val="13"/>
      </w:pPr>
      <w:r>
        <w:rPr>
          <w:rFonts w:hint="eastAsia"/>
        </w:rPr>
        <w:t>（一）评估委托方、被评估企业（产权持有单位）概况。</w:t>
      </w:r>
    </w:p>
    <w:p w14:paraId="55090E61" w14:textId="77777777" w:rsidR="008858D9" w:rsidRDefault="008858D9" w:rsidP="008858D9">
      <w:pPr>
        <w:pStyle w:val="13"/>
      </w:pPr>
      <w:r>
        <w:rPr>
          <w:rFonts w:hint="eastAsia"/>
        </w:rPr>
        <w:t>（二）评估目的。</w:t>
      </w:r>
    </w:p>
    <w:p w14:paraId="57798EA8" w14:textId="77777777" w:rsidR="008858D9" w:rsidRDefault="008858D9" w:rsidP="008858D9">
      <w:pPr>
        <w:pStyle w:val="13"/>
      </w:pPr>
      <w:r>
        <w:rPr>
          <w:rFonts w:hint="eastAsia"/>
        </w:rPr>
        <w:t>（三）评估对象和评估范围。</w:t>
      </w:r>
    </w:p>
    <w:p w14:paraId="6D62A0B0" w14:textId="77777777" w:rsidR="008858D9" w:rsidRDefault="008858D9" w:rsidP="008858D9">
      <w:pPr>
        <w:pStyle w:val="13"/>
      </w:pPr>
      <w:r>
        <w:rPr>
          <w:rFonts w:hint="eastAsia"/>
        </w:rPr>
        <w:t>（四）价值类型及其定义。</w:t>
      </w:r>
    </w:p>
    <w:p w14:paraId="7BBB8216" w14:textId="77777777" w:rsidR="008858D9" w:rsidRDefault="008858D9" w:rsidP="008858D9">
      <w:pPr>
        <w:pStyle w:val="13"/>
      </w:pPr>
      <w:r>
        <w:rPr>
          <w:rFonts w:hint="eastAsia"/>
        </w:rPr>
        <w:t>（五）评估基准日。</w:t>
      </w:r>
    </w:p>
    <w:p w14:paraId="637A7376" w14:textId="77777777" w:rsidR="008858D9" w:rsidRDefault="008858D9" w:rsidP="008858D9">
      <w:pPr>
        <w:pStyle w:val="13"/>
      </w:pPr>
      <w:r>
        <w:rPr>
          <w:rFonts w:hint="eastAsia"/>
        </w:rPr>
        <w:t>（六）评估依据。</w:t>
      </w:r>
    </w:p>
    <w:p w14:paraId="6BAC5E3D" w14:textId="77777777" w:rsidR="008858D9" w:rsidRDefault="008858D9" w:rsidP="008858D9">
      <w:pPr>
        <w:pStyle w:val="13"/>
      </w:pPr>
      <w:r>
        <w:rPr>
          <w:rFonts w:hint="eastAsia"/>
        </w:rPr>
        <w:t>（七）评估程序实施过程和情况。</w:t>
      </w:r>
    </w:p>
    <w:p w14:paraId="4EA84B56" w14:textId="77777777" w:rsidR="008858D9" w:rsidRDefault="008858D9" w:rsidP="008858D9">
      <w:pPr>
        <w:pStyle w:val="13"/>
      </w:pPr>
      <w:r>
        <w:rPr>
          <w:rFonts w:hint="eastAsia"/>
        </w:rPr>
        <w:t>（八）评估方法。</w:t>
      </w:r>
    </w:p>
    <w:p w14:paraId="295F01C7" w14:textId="77777777" w:rsidR="008858D9" w:rsidRDefault="008858D9" w:rsidP="008858D9">
      <w:pPr>
        <w:pStyle w:val="13"/>
      </w:pPr>
      <w:r>
        <w:rPr>
          <w:rFonts w:hint="eastAsia"/>
        </w:rPr>
        <w:t>（九）评估结论。</w:t>
      </w:r>
    </w:p>
    <w:p w14:paraId="3CD3F979" w14:textId="77777777" w:rsidR="008858D9" w:rsidRDefault="008858D9" w:rsidP="008858D9">
      <w:pPr>
        <w:pStyle w:val="13"/>
      </w:pPr>
      <w:r>
        <w:rPr>
          <w:rFonts w:hint="eastAsia"/>
        </w:rPr>
        <w:t>（十）特别事项说明。</w:t>
      </w:r>
    </w:p>
    <w:p w14:paraId="2B166A0E" w14:textId="77777777" w:rsidR="008858D9" w:rsidRDefault="008858D9" w:rsidP="008858D9">
      <w:pPr>
        <w:pStyle w:val="13"/>
      </w:pPr>
      <w:r>
        <w:rPr>
          <w:rFonts w:hint="eastAsia"/>
        </w:rPr>
        <w:t>（十一）签字盖章。</w:t>
      </w:r>
    </w:p>
    <w:p w14:paraId="15EF5F6C" w14:textId="77777777" w:rsidR="008858D9" w:rsidRDefault="008858D9" w:rsidP="008858D9">
      <w:pPr>
        <w:pStyle w:val="13"/>
      </w:pPr>
      <w:r>
        <w:rPr>
          <w:rFonts w:hint="eastAsia"/>
        </w:rPr>
        <w:t>（十二）评估报告附件。</w:t>
      </w:r>
    </w:p>
    <w:p w14:paraId="1B2C7EE3" w14:textId="4EFC9EF5" w:rsidR="008858D9" w:rsidRDefault="00E05BDA" w:rsidP="008858D9">
      <w:pPr>
        <w:pStyle w:val="13"/>
        <w:ind w:firstLine="482"/>
      </w:pPr>
      <w:r w:rsidRPr="00E05BDA">
        <w:rPr>
          <w:rFonts w:hint="eastAsia"/>
          <w:b/>
        </w:rPr>
        <w:t xml:space="preserve">第十一条 </w:t>
      </w:r>
      <w:r w:rsidR="008858D9">
        <w:t>备案管理单位审核评估委托方、被评估企业（产权持有单位）概况，应当关注是否对被评估企业历史沿革、股权结构（图）、股权变更、经营管理等情况</w:t>
      </w:r>
      <w:r w:rsidR="008858D9">
        <w:lastRenderedPageBreak/>
        <w:t>进行了必要说明，是否反映了近三年的资产、财务、经营状况。存在关联交易的，应当关注是否披露了关联方、交易方式等基本情况。</w:t>
      </w:r>
    </w:p>
    <w:p w14:paraId="015A3E45" w14:textId="73F102EC" w:rsidR="008858D9" w:rsidRDefault="00E05BDA" w:rsidP="008858D9">
      <w:pPr>
        <w:pStyle w:val="13"/>
        <w:ind w:firstLine="482"/>
      </w:pPr>
      <w:r w:rsidRPr="00E05BDA">
        <w:rPr>
          <w:rFonts w:hint="eastAsia"/>
          <w:b/>
        </w:rPr>
        <w:t xml:space="preserve">第十二条 </w:t>
      </w:r>
      <w:r w:rsidR="008858D9">
        <w:t>备案管理单位审核评估目的，应当关注评估报告中是否清晰、明确地说明本次资产评估的经济行为目的；以及评估所对应的经济行为获得批准的情况或者其他经济行为依据。</w:t>
      </w:r>
    </w:p>
    <w:p w14:paraId="7E13970F" w14:textId="2491405D" w:rsidR="008858D9" w:rsidRDefault="00E05BDA" w:rsidP="008858D9">
      <w:pPr>
        <w:pStyle w:val="13"/>
        <w:ind w:firstLine="482"/>
      </w:pPr>
      <w:r w:rsidRPr="00E05BDA">
        <w:rPr>
          <w:rFonts w:hint="eastAsia"/>
          <w:b/>
        </w:rPr>
        <w:t xml:space="preserve">第十三条 </w:t>
      </w:r>
      <w:r w:rsidR="008858D9">
        <w:t>备案管理单位审核评估对象和评估范围，应当关注评估对象的基本情况，包括法律权属状况、经济状况和物理状况等；关注评估范围是否与经济行为批准文件、评估业务委托约定书等确定的资产范围一致。</w:t>
      </w:r>
    </w:p>
    <w:p w14:paraId="4D8AB11D" w14:textId="1A477232" w:rsidR="008858D9" w:rsidRDefault="008858D9" w:rsidP="00B03A34">
      <w:pPr>
        <w:pStyle w:val="13"/>
      </w:pPr>
      <w:r>
        <w:rPr>
          <w:rFonts w:hint="eastAsia"/>
        </w:rPr>
        <w:t>企业价值评估中，备案管理单位应当关注评估范围是否包括了企业拥有的实物资产和专利技术、非专利技术、商标权等无形资产，以及明确的未来权利、义务（负债），特别是土地使用权、探矿权、采矿权等。对实际存在但未入账或已摊销完毕的无形资产、未来义务及或有事项等是否在《企业关于进行资产评估有关事项的说明》中进行了详细说明。</w:t>
      </w:r>
    </w:p>
    <w:p w14:paraId="5CB973E9" w14:textId="3C1DFDCF" w:rsidR="008858D9" w:rsidRDefault="00E05BDA" w:rsidP="008858D9">
      <w:pPr>
        <w:pStyle w:val="13"/>
        <w:ind w:firstLine="482"/>
      </w:pPr>
      <w:r w:rsidRPr="00E05BDA">
        <w:rPr>
          <w:rFonts w:hint="eastAsia"/>
          <w:b/>
        </w:rPr>
        <w:t xml:space="preserve">第十四条 </w:t>
      </w:r>
      <w:r w:rsidR="008858D9">
        <w:t>备案管理单位审核价值类型及其定义，应当关注评估报告是否列明了所选择的价值类型及其定义。选择市场价值以外的价值类型，应当关注其选择理由和选取的合理性。</w:t>
      </w:r>
    </w:p>
    <w:p w14:paraId="51A08B55" w14:textId="5EFF8518" w:rsidR="008858D9" w:rsidRDefault="00E05BDA" w:rsidP="008858D9">
      <w:pPr>
        <w:pStyle w:val="13"/>
        <w:ind w:firstLine="482"/>
      </w:pPr>
      <w:r w:rsidRPr="00E05BDA">
        <w:rPr>
          <w:rFonts w:hint="eastAsia"/>
          <w:b/>
        </w:rPr>
        <w:t xml:space="preserve">第十五条 </w:t>
      </w:r>
      <w:r w:rsidR="008858D9">
        <w:t>备案管理单位审核评估基准日，应当关注评估基准日的选择是否接近评估目的对应的经济行为或特定事项的实施日期。企业在评估基准日后如遇重大事项</w:t>
      </w:r>
      <w:r w:rsidR="003068F8">
        <w:t>，</w:t>
      </w:r>
      <w:r w:rsidR="008858D9">
        <w:t>如汇率变动、国家重大政策调整、企业资产权属或数量、价值发生重大变化等，可能对评估结果产生重大影响时，应当关注评估基准日或评估结果是否进行了合理调整。</w:t>
      </w:r>
    </w:p>
    <w:p w14:paraId="170E25FB" w14:textId="77777777" w:rsidR="008858D9" w:rsidRDefault="008858D9" w:rsidP="008858D9">
      <w:pPr>
        <w:pStyle w:val="13"/>
      </w:pPr>
      <w:r>
        <w:rPr>
          <w:rFonts w:hint="eastAsia"/>
        </w:rPr>
        <w:t>备案管理单位审核涉及上市公司股份间接转让项目时，应当关注所选择的评估基准日是否符合《国有股东转让所持上市公司股份管理暂行办法》（国资委</w:t>
      </w:r>
      <w:proofErr w:type="gramStart"/>
      <w:r>
        <w:rPr>
          <w:rFonts w:hint="eastAsia"/>
        </w:rPr>
        <w:t>证监会令第</w:t>
      </w:r>
      <w:proofErr w:type="gramEnd"/>
      <w:r>
        <w:t xml:space="preserve"> 19号）规定，即上市公司股份价格确定的基准日应与国有股东资产评估的基准日一致。国有股东资产评估的基准日与国有股东产权持有单位对该国有股东产权变动决议的日期相差不得超过一个月。</w:t>
      </w:r>
    </w:p>
    <w:p w14:paraId="14D3C974" w14:textId="4459A13F" w:rsidR="008858D9" w:rsidRDefault="00E05BDA" w:rsidP="008858D9">
      <w:pPr>
        <w:pStyle w:val="13"/>
        <w:ind w:firstLine="482"/>
      </w:pPr>
      <w:r w:rsidRPr="00E05BDA">
        <w:rPr>
          <w:rFonts w:hint="eastAsia"/>
          <w:b/>
        </w:rPr>
        <w:t xml:space="preserve">第十六条 </w:t>
      </w:r>
      <w:r w:rsidR="008858D9">
        <w:t>备案管理单位审核评估依据，应当关注以下内容：</w:t>
      </w:r>
    </w:p>
    <w:p w14:paraId="1BE4349E" w14:textId="77777777" w:rsidR="008858D9" w:rsidRDefault="008858D9" w:rsidP="008858D9">
      <w:pPr>
        <w:pStyle w:val="13"/>
      </w:pPr>
      <w:r>
        <w:rPr>
          <w:rFonts w:hint="eastAsia"/>
        </w:rPr>
        <w:t>（一）经济行为依据。</w:t>
      </w:r>
    </w:p>
    <w:p w14:paraId="1CC36432" w14:textId="77777777" w:rsidR="008858D9" w:rsidRDefault="008858D9" w:rsidP="008858D9">
      <w:pPr>
        <w:pStyle w:val="13"/>
      </w:pPr>
      <w:r>
        <w:rPr>
          <w:rFonts w:hint="eastAsia"/>
        </w:rPr>
        <w:t>重点关注经济行为依据的合</w:t>
      </w:r>
      <w:proofErr w:type="gramStart"/>
      <w:r>
        <w:rPr>
          <w:rFonts w:hint="eastAsia"/>
        </w:rPr>
        <w:t>规</w:t>
      </w:r>
      <w:proofErr w:type="gramEnd"/>
      <w:r>
        <w:rPr>
          <w:rFonts w:hint="eastAsia"/>
        </w:rPr>
        <w:t>性和完整性。</w:t>
      </w:r>
    </w:p>
    <w:p w14:paraId="0EE7A0FE" w14:textId="77777777" w:rsidR="008858D9" w:rsidRDefault="008858D9" w:rsidP="008858D9">
      <w:pPr>
        <w:pStyle w:val="13"/>
      </w:pPr>
      <w:r>
        <w:rPr>
          <w:rFonts w:hint="eastAsia"/>
        </w:rPr>
        <w:t>（二）法律法规、评估准则、权属、取价等依据。</w:t>
      </w:r>
    </w:p>
    <w:p w14:paraId="631C82AF" w14:textId="61D55F4C" w:rsidR="008858D9" w:rsidRDefault="008858D9" w:rsidP="00B03A34">
      <w:pPr>
        <w:pStyle w:val="13"/>
      </w:pPr>
      <w:r>
        <w:t>1.重点关注评估工作过程中所引用的法律法规和技术参数资料等是否适当。评估依</w:t>
      </w:r>
      <w:r>
        <w:rPr>
          <w:rFonts w:hint="eastAsia"/>
        </w:rPr>
        <w:t>据是否明确、规范、具体，便于查阅和理解；评估依据是否具有代表性，且在评估基准日有效。</w:t>
      </w:r>
    </w:p>
    <w:p w14:paraId="57CE4DA3" w14:textId="51B5D6ED" w:rsidR="008858D9" w:rsidRDefault="008858D9" w:rsidP="008858D9">
      <w:pPr>
        <w:pStyle w:val="13"/>
      </w:pPr>
      <w:r>
        <w:t>2.收集的价格信息、工程定额标准等是否与评估对象具有较强的关联性。结合评</w:t>
      </w:r>
      <w:r>
        <w:lastRenderedPageBreak/>
        <w:t>估目的、业务性质和行业特点等，重点关注取价依据、法律法规依据的相关性及其对资产评估结果的影响。</w:t>
      </w:r>
    </w:p>
    <w:p w14:paraId="20854CCB" w14:textId="480326A7" w:rsidR="008858D9" w:rsidRDefault="008858D9" w:rsidP="008858D9">
      <w:pPr>
        <w:pStyle w:val="13"/>
      </w:pPr>
      <w:r>
        <w:t>3.关注土地、房屋建筑物及无形资产等重要资产的权属和使用状况。被评估资产是否权属清晰、权属证明文件齐备。对重要资产权属资料不全面或存在瑕疵的，企业是否已经妥善解决。</w:t>
      </w:r>
    </w:p>
    <w:p w14:paraId="34DFD4C6" w14:textId="4D4AD2AD" w:rsidR="008858D9" w:rsidRDefault="008858D9" w:rsidP="008858D9">
      <w:pPr>
        <w:pStyle w:val="13"/>
      </w:pPr>
      <w:r>
        <w:t>4</w:t>
      </w:r>
      <w:r w:rsidR="00B03A34">
        <w:rPr>
          <w:rFonts w:hint="eastAsia"/>
        </w:rPr>
        <w:t>.</w:t>
      </w:r>
      <w:r>
        <w:t>《企业国有资产评估报告指南》、国资委有关资产评估管理及评估报告审核相关规范文件等是否列示在评估依据文件中。</w:t>
      </w:r>
    </w:p>
    <w:p w14:paraId="09F27F48" w14:textId="7B1E1665" w:rsidR="008858D9" w:rsidRDefault="00E05BDA" w:rsidP="008858D9">
      <w:pPr>
        <w:pStyle w:val="13"/>
        <w:ind w:firstLine="482"/>
      </w:pPr>
      <w:r w:rsidRPr="00E05BDA">
        <w:rPr>
          <w:rFonts w:hint="eastAsia"/>
          <w:b/>
        </w:rPr>
        <w:t xml:space="preserve">第十七条 </w:t>
      </w:r>
      <w:r w:rsidR="008858D9">
        <w:t>备案管理单位审核评估程序实施过程和情况，应当重点关注评估机构在评估过程中是否履行了必要评估程序，评估过程是否完整，是否存在未履行评估准则规定的必要评估步骤的行为。</w:t>
      </w:r>
    </w:p>
    <w:p w14:paraId="097240DC" w14:textId="2F0071D1" w:rsidR="008858D9" w:rsidRDefault="008858D9" w:rsidP="00B03A34">
      <w:pPr>
        <w:pStyle w:val="13"/>
      </w:pPr>
      <w:r>
        <w:rPr>
          <w:rFonts w:hint="eastAsia"/>
        </w:rPr>
        <w:t>备案管理单位应当重点关注资产清查情况。针对评估报告中关于资产清查情况的说明，应当结合特别事项说明、资产评估明细表和资产权属证明文件，以及改制方</w:t>
      </w:r>
      <w:r>
        <w:t>案、审计报告等资料，对评估范围进行核对，核实是否有账外资产、或有负债、资产</w:t>
      </w:r>
      <w:r>
        <w:rPr>
          <w:rFonts w:hint="eastAsia"/>
        </w:rPr>
        <w:t>（土地、车辆等）权利人与实际使用人不一致等情况。应当关注对企业资产状况的描述，尤其是房地产、无形资产、长期股权投资等重大资产，核实是否存在隐匿或遗</w:t>
      </w:r>
      <w:r>
        <w:t>漏。</w:t>
      </w:r>
    </w:p>
    <w:p w14:paraId="47EF43DF" w14:textId="0A946AFC" w:rsidR="008858D9" w:rsidRDefault="00E05BDA" w:rsidP="00B03A34">
      <w:pPr>
        <w:pStyle w:val="13"/>
        <w:ind w:firstLine="482"/>
      </w:pPr>
      <w:r w:rsidRPr="00E05BDA">
        <w:rPr>
          <w:rFonts w:hint="eastAsia"/>
          <w:b/>
        </w:rPr>
        <w:t xml:space="preserve">第十八条 </w:t>
      </w:r>
      <w:r w:rsidR="008858D9">
        <w:t>备案管理单位审核评估方法，应当重点关注评估方法选择是否合理，是否符合相关评估准则的规定要求，以及评估过程中评估参数选取是否合理等。以持续经营为前提进行企业价值评估时，对企业（含其拥有实际控制权的长期股权投资企</w:t>
      </w:r>
      <w:r w:rsidR="008858D9">
        <w:rPr>
          <w:rFonts w:hint="eastAsia"/>
        </w:rPr>
        <w:t>业）是否采用了两种或两种以上方法进行评估，并分别说明了选取每种评估方法的理由和确定评估结论的依据。</w:t>
      </w:r>
    </w:p>
    <w:p w14:paraId="410B958F" w14:textId="6CD77834" w:rsidR="008858D9" w:rsidRDefault="00E05BDA" w:rsidP="008858D9">
      <w:pPr>
        <w:pStyle w:val="13"/>
        <w:ind w:firstLine="482"/>
      </w:pPr>
      <w:r w:rsidRPr="00E05BDA">
        <w:rPr>
          <w:rFonts w:hint="eastAsia"/>
          <w:b/>
        </w:rPr>
        <w:t xml:space="preserve">第十九条 </w:t>
      </w:r>
      <w:r w:rsidR="008858D9">
        <w:t>对使用收益法评估的，备案管理单位审核时应当重点关注以下内容：</w:t>
      </w:r>
    </w:p>
    <w:p w14:paraId="1073CB94" w14:textId="0D92201A" w:rsidR="008858D9" w:rsidRDefault="008858D9" w:rsidP="00B03A34">
      <w:pPr>
        <w:pStyle w:val="13"/>
      </w:pPr>
      <w:r>
        <w:rPr>
          <w:rFonts w:hint="eastAsia"/>
        </w:rPr>
        <w:t>（一）对企业资产、财务情况的分析是否充分、合理。是否对被评估企业财务报表的编制基础、不具有代表性的收入和支出，如非正常和偶然性的收入和支出等进行了合理调整；是否对被评估企业的非经营性资产、负债和</w:t>
      </w:r>
      <w:proofErr w:type="gramStart"/>
      <w:r>
        <w:rPr>
          <w:rFonts w:hint="eastAsia"/>
        </w:rPr>
        <w:t>溢余</w:t>
      </w:r>
      <w:proofErr w:type="gramEnd"/>
      <w:r>
        <w:rPr>
          <w:rFonts w:hint="eastAsia"/>
        </w:rPr>
        <w:t>资产进行单独分析，合理判断资产、债务、经营业务配置的有效性，划分与收益存在直接相关性的资产、债务情况。对于不能或不需归集的，是否单独进行评估。</w:t>
      </w:r>
    </w:p>
    <w:p w14:paraId="4555A3C3" w14:textId="4F50B0D9" w:rsidR="008858D9" w:rsidRDefault="008858D9" w:rsidP="008858D9">
      <w:pPr>
        <w:pStyle w:val="13"/>
      </w:pPr>
      <w:r>
        <w:rPr>
          <w:rFonts w:hint="eastAsia"/>
        </w:rPr>
        <w:t>（二）收益预测是否合理。是否根据企业资本结构、经营模式、收益情况等选择了恰当的收益模型，对应的折现率确定过程和依据是否合理。在确定收益预测期间</w:t>
      </w:r>
      <w:r>
        <w:t>时，是否合理考虑被评估企业经营状况和发展前景，及其所在行业现状、发展前景，国家相关行业政策、企业经营期限及主要产品的经济寿命年限等，并恰当考虑预测期后的收益情况及相关终值的计算。</w:t>
      </w:r>
    </w:p>
    <w:p w14:paraId="0178561F" w14:textId="77777777" w:rsidR="008858D9" w:rsidRDefault="008858D9" w:rsidP="008858D9">
      <w:pPr>
        <w:pStyle w:val="13"/>
      </w:pPr>
      <w:r>
        <w:rPr>
          <w:rFonts w:hint="eastAsia"/>
        </w:rPr>
        <w:t>是否合理预测了相关参数，如被评估企业的收入、成本及费用、折旧和摊销、营运资金、资本性支出、折现率、负债、溢</w:t>
      </w:r>
      <w:proofErr w:type="gramStart"/>
      <w:r>
        <w:rPr>
          <w:rFonts w:hint="eastAsia"/>
        </w:rPr>
        <w:t>余资产</w:t>
      </w:r>
      <w:proofErr w:type="gramEnd"/>
      <w:r>
        <w:rPr>
          <w:rFonts w:hint="eastAsia"/>
        </w:rPr>
        <w:t>和非经营性资产等。关注相关参数确定的依据是否充分，测算过程是否完整，是否有完整的预测表及说明。</w:t>
      </w:r>
    </w:p>
    <w:p w14:paraId="008C946B" w14:textId="41759210" w:rsidR="008858D9" w:rsidRDefault="00E05BDA" w:rsidP="008858D9">
      <w:pPr>
        <w:pStyle w:val="13"/>
        <w:ind w:firstLine="482"/>
      </w:pPr>
      <w:r w:rsidRPr="00E05BDA">
        <w:rPr>
          <w:rFonts w:hint="eastAsia"/>
          <w:b/>
        </w:rPr>
        <w:lastRenderedPageBreak/>
        <w:t xml:space="preserve">第二十条 </w:t>
      </w:r>
      <w:r w:rsidR="008858D9">
        <w:t>对使用市场法评估的，备案管理单位审核时应当重点关注以下内容：</w:t>
      </w:r>
    </w:p>
    <w:p w14:paraId="2C268658" w14:textId="77777777" w:rsidR="008858D9" w:rsidRDefault="008858D9" w:rsidP="008858D9">
      <w:pPr>
        <w:pStyle w:val="13"/>
      </w:pPr>
      <w:r>
        <w:rPr>
          <w:rFonts w:hint="eastAsia"/>
        </w:rPr>
        <w:t>（一）选择的可比案例是否与被评估企业具有可比性，是否处于同一行业或相近行业，或者是受共同因素决定或影响。是否对可比案例及被评估企业的数据进行了必要的分析调整，并消除了偶然性因素的影响。</w:t>
      </w:r>
    </w:p>
    <w:p w14:paraId="5CFCA928" w14:textId="77777777" w:rsidR="008858D9" w:rsidRDefault="008858D9" w:rsidP="008858D9">
      <w:pPr>
        <w:pStyle w:val="13"/>
      </w:pPr>
      <w:r>
        <w:rPr>
          <w:rFonts w:hint="eastAsia"/>
        </w:rPr>
        <w:t>（二）选择的可比因素是否是企业价值的决定因素，选择的价值比率是否适当可靠，是否经过了必要的修正调整。是否选择了多种可比因素，对于不同可比因素得到的不同评估值是否能够合理的选择计算。</w:t>
      </w:r>
    </w:p>
    <w:p w14:paraId="63F24426" w14:textId="1781448C" w:rsidR="008858D9" w:rsidRDefault="00E05BDA" w:rsidP="008858D9">
      <w:pPr>
        <w:pStyle w:val="13"/>
        <w:ind w:firstLine="482"/>
      </w:pPr>
      <w:r w:rsidRPr="00E05BDA">
        <w:rPr>
          <w:rFonts w:hint="eastAsia"/>
          <w:b/>
        </w:rPr>
        <w:t xml:space="preserve">第二十一条 </w:t>
      </w:r>
      <w:r w:rsidR="008858D9">
        <w:t>备案管理单位审核评估结论，应当关注评估结果是否涵盖了评估范围，及其与评估目的和经济行为的一致性和适用性。采用两种或两种以上方法进行企业价值评估时，应当关注不同评估方法结果的差异及其原因和最终确定评估结论的理由。</w:t>
      </w:r>
    </w:p>
    <w:p w14:paraId="602D5B71" w14:textId="47F67900" w:rsidR="008858D9" w:rsidRDefault="00E05BDA" w:rsidP="008858D9">
      <w:pPr>
        <w:pStyle w:val="13"/>
        <w:ind w:firstLine="482"/>
      </w:pPr>
      <w:r w:rsidRPr="00E05BDA">
        <w:rPr>
          <w:rFonts w:hint="eastAsia"/>
          <w:b/>
        </w:rPr>
        <w:t xml:space="preserve">第二十二条 </w:t>
      </w:r>
      <w:r w:rsidR="008858D9">
        <w:t>备案管理单位审核特别事项说明，应当关注以下内容：</w:t>
      </w:r>
    </w:p>
    <w:p w14:paraId="4719DEA2" w14:textId="77777777" w:rsidR="008858D9" w:rsidRDefault="008858D9" w:rsidP="008858D9">
      <w:pPr>
        <w:pStyle w:val="13"/>
      </w:pPr>
      <w:r>
        <w:rPr>
          <w:rFonts w:hint="eastAsia"/>
        </w:rPr>
        <w:t>（一）企业是否逐条分析特别事项说明中的披露事项，了解特别事项形成原因、性质及对评估结果影响程度，并分别对以下事项进行了处理：</w:t>
      </w:r>
    </w:p>
    <w:p w14:paraId="467ECBDC" w14:textId="659D4826" w:rsidR="008858D9" w:rsidRDefault="008858D9" w:rsidP="008858D9">
      <w:pPr>
        <w:pStyle w:val="13"/>
      </w:pPr>
      <w:r>
        <w:t>1.对权属资料不全面、评估资料不完整、经济行为有瑕疵等情形，企业是否已经补充完善。</w:t>
      </w:r>
    </w:p>
    <w:p w14:paraId="095F9D0E" w14:textId="5DE5D968" w:rsidR="008858D9" w:rsidRDefault="008858D9" w:rsidP="008858D9">
      <w:pPr>
        <w:pStyle w:val="13"/>
      </w:pPr>
      <w:r>
        <w:t>2.对评估机构未履行必要程序，通过特别事项说明披露大量问题，影响评估结论的，企业和评估机构是否已经妥善解决。</w:t>
      </w:r>
    </w:p>
    <w:p w14:paraId="3B81EB6A" w14:textId="77777777" w:rsidR="008858D9" w:rsidRDefault="008858D9" w:rsidP="008858D9">
      <w:pPr>
        <w:pStyle w:val="13"/>
      </w:pPr>
      <w:r>
        <w:rPr>
          <w:rFonts w:hint="eastAsia"/>
        </w:rPr>
        <w:t>（二）企业是否通过内部审核论证，对未在评估报告中说明但可能对评估结论产生重大影响的事项，与评估机构沟通确定是否须在特别事项说明中披露；对于不宜在报告中披露的，企业是否形成了专项处理意见。</w:t>
      </w:r>
    </w:p>
    <w:p w14:paraId="02310A31" w14:textId="7399988E" w:rsidR="008858D9" w:rsidRDefault="00E05BDA" w:rsidP="008858D9">
      <w:pPr>
        <w:pStyle w:val="13"/>
        <w:ind w:firstLine="482"/>
      </w:pPr>
      <w:r w:rsidRPr="00E05BDA">
        <w:rPr>
          <w:rFonts w:hint="eastAsia"/>
          <w:b/>
        </w:rPr>
        <w:t xml:space="preserve">第二十三条 </w:t>
      </w:r>
      <w:r w:rsidR="008858D9">
        <w:t>备案管理单位审核签字盖章，应当对照《企业国有资产评估报告指南》等规定，关注评估报告签字盖章是否齐全、规范、清晰。应当关注公司制评估机构的法定代表人或者合伙制评估机构负责该评估业务的合伙人是否在评估报告上签 字。关注《企业关于进行资产评估有关事项的说明》是否已经由评估委托方单位负责人和被评估企业（产权持有单位）负责人签字，加盖相应单位公章并签署日期。</w:t>
      </w:r>
    </w:p>
    <w:p w14:paraId="2E60B49F" w14:textId="53293D3A" w:rsidR="008858D9" w:rsidRDefault="00E05BDA" w:rsidP="008858D9">
      <w:pPr>
        <w:pStyle w:val="13"/>
        <w:ind w:firstLine="482"/>
      </w:pPr>
      <w:r w:rsidRPr="00E05BDA">
        <w:rPr>
          <w:rFonts w:hint="eastAsia"/>
          <w:b/>
        </w:rPr>
        <w:t xml:space="preserve">第二十四条 </w:t>
      </w:r>
      <w:r w:rsidR="008858D9">
        <w:t>备案管理单位审核评估报告附件，应当关注附件是否齐全，评估报告附件内容及其所涉及的签章是否清晰、完整，相关内容是否与评估报告摘要、正文一致。附件为复印件的，评估机构是否与原件进行了核对。</w:t>
      </w:r>
    </w:p>
    <w:p w14:paraId="4EFE01CB" w14:textId="77777777" w:rsidR="008858D9" w:rsidRDefault="008858D9" w:rsidP="008858D9">
      <w:pPr>
        <w:pStyle w:val="13"/>
      </w:pPr>
      <w:r>
        <w:rPr>
          <w:rFonts w:hint="eastAsia"/>
        </w:rPr>
        <w:t>备案管理单位审核《评估业务约定书》，应当关注资产评估项目的评估委托方式是否合</w:t>
      </w:r>
      <w:proofErr w:type="gramStart"/>
      <w:r>
        <w:rPr>
          <w:rFonts w:hint="eastAsia"/>
        </w:rPr>
        <w:t>规</w:t>
      </w:r>
      <w:proofErr w:type="gramEnd"/>
      <w:r>
        <w:rPr>
          <w:rFonts w:hint="eastAsia"/>
        </w:rPr>
        <w:t>，签署内容是否完整，经济行为与评估报告披露内容是否一致等。</w:t>
      </w:r>
    </w:p>
    <w:p w14:paraId="0197A4E9" w14:textId="77777777" w:rsidR="008858D9" w:rsidRDefault="008858D9" w:rsidP="00AF7342">
      <w:pPr>
        <w:pStyle w:val="a9"/>
        <w:spacing w:before="62" w:after="62"/>
      </w:pPr>
      <w:r>
        <w:rPr>
          <w:rFonts w:hint="eastAsia"/>
        </w:rPr>
        <w:t>第四章</w:t>
      </w:r>
      <w:r>
        <w:t xml:space="preserve"> 其他报告审核要点</w:t>
      </w:r>
    </w:p>
    <w:p w14:paraId="319E4228" w14:textId="10361BB5" w:rsidR="008858D9" w:rsidRDefault="00E05BDA" w:rsidP="008858D9">
      <w:pPr>
        <w:pStyle w:val="13"/>
        <w:ind w:firstLine="482"/>
      </w:pPr>
      <w:r w:rsidRPr="00E05BDA">
        <w:rPr>
          <w:rFonts w:hint="eastAsia"/>
          <w:b/>
        </w:rPr>
        <w:t xml:space="preserve">第二十五条 </w:t>
      </w:r>
      <w:r w:rsidR="008858D9">
        <w:t>备案管理单位应当关注审计报告中的以下内容：</w:t>
      </w:r>
    </w:p>
    <w:p w14:paraId="1F5CC543" w14:textId="77777777" w:rsidR="008858D9" w:rsidRDefault="008858D9" w:rsidP="008858D9">
      <w:pPr>
        <w:pStyle w:val="13"/>
      </w:pPr>
      <w:r>
        <w:rPr>
          <w:rFonts w:hint="eastAsia"/>
        </w:rPr>
        <w:t>（一）审计报告与评估报告之间数据勾</w:t>
      </w:r>
      <w:proofErr w:type="gramStart"/>
      <w:r>
        <w:rPr>
          <w:rFonts w:hint="eastAsia"/>
        </w:rPr>
        <w:t>稽</w:t>
      </w:r>
      <w:proofErr w:type="gramEnd"/>
      <w:r>
        <w:rPr>
          <w:rFonts w:hint="eastAsia"/>
        </w:rPr>
        <w:t>关系是否合理一致；审计范围是否与经</w:t>
      </w:r>
      <w:r>
        <w:rPr>
          <w:rFonts w:hint="eastAsia"/>
        </w:rPr>
        <w:lastRenderedPageBreak/>
        <w:t>济行为批准文件、审计业务委托约定书等确定的资产范围一致，以及合并报表的合并范围是否合理。</w:t>
      </w:r>
    </w:p>
    <w:p w14:paraId="45085A51" w14:textId="77777777" w:rsidR="008858D9" w:rsidRDefault="008858D9" w:rsidP="008858D9">
      <w:pPr>
        <w:pStyle w:val="13"/>
      </w:pPr>
      <w:r>
        <w:rPr>
          <w:rFonts w:hint="eastAsia"/>
        </w:rPr>
        <w:t>（二）审计报告报表与报表附注之间勾</w:t>
      </w:r>
      <w:proofErr w:type="gramStart"/>
      <w:r>
        <w:rPr>
          <w:rFonts w:hint="eastAsia"/>
        </w:rPr>
        <w:t>稽</w:t>
      </w:r>
      <w:proofErr w:type="gramEnd"/>
      <w:r>
        <w:rPr>
          <w:rFonts w:hint="eastAsia"/>
        </w:rPr>
        <w:t>关系是否一致；主要会计政策是否合理，包括收入确认原则、成本核算原则等。</w:t>
      </w:r>
    </w:p>
    <w:p w14:paraId="6C7DB5BE" w14:textId="77777777" w:rsidR="008858D9" w:rsidRDefault="008858D9" w:rsidP="008858D9">
      <w:pPr>
        <w:pStyle w:val="13"/>
      </w:pPr>
      <w:r>
        <w:rPr>
          <w:rFonts w:hint="eastAsia"/>
        </w:rPr>
        <w:t>（三）企业整体改制涉及资产剥离时，剥离原则是否与改制方案一致，以及模拟的时点是否合理。</w:t>
      </w:r>
    </w:p>
    <w:p w14:paraId="7FEB5D60" w14:textId="77777777" w:rsidR="00B03A34" w:rsidRDefault="008858D9" w:rsidP="008858D9">
      <w:pPr>
        <w:pStyle w:val="13"/>
      </w:pPr>
      <w:r>
        <w:rPr>
          <w:rFonts w:hint="eastAsia"/>
        </w:rPr>
        <w:t>（四）涉及计提减值准备时，各项资产计提减值准备的依据和比例是否合理。</w:t>
      </w:r>
    </w:p>
    <w:p w14:paraId="2DB23A27" w14:textId="59273BAE" w:rsidR="008858D9" w:rsidRDefault="00E05BDA" w:rsidP="008858D9">
      <w:pPr>
        <w:pStyle w:val="13"/>
        <w:ind w:firstLine="482"/>
      </w:pPr>
      <w:r w:rsidRPr="00E05BDA">
        <w:rPr>
          <w:rFonts w:hint="eastAsia"/>
          <w:b/>
        </w:rPr>
        <w:t xml:space="preserve">第二十六条 </w:t>
      </w:r>
      <w:r w:rsidR="008858D9">
        <w:t>备案管理单位应当关注土地使用权估价报告中的以下内容：</w:t>
      </w:r>
    </w:p>
    <w:p w14:paraId="296DB506" w14:textId="77777777" w:rsidR="008858D9" w:rsidRDefault="008858D9" w:rsidP="008858D9">
      <w:pPr>
        <w:pStyle w:val="13"/>
      </w:pPr>
      <w:r>
        <w:rPr>
          <w:rFonts w:hint="eastAsia"/>
        </w:rPr>
        <w:t>（一）土地估价范围、权属、土地资产处置审批与土地估价报告备案情况。如果评估基准</w:t>
      </w:r>
      <w:proofErr w:type="gramStart"/>
      <w:r>
        <w:rPr>
          <w:rFonts w:hint="eastAsia"/>
        </w:rPr>
        <w:t>日存在</w:t>
      </w:r>
      <w:proofErr w:type="gramEnd"/>
      <w:r>
        <w:rPr>
          <w:rFonts w:hint="eastAsia"/>
        </w:rPr>
        <w:t>划拨土地，应当重点关注划拨土地的处置情况：</w:t>
      </w:r>
    </w:p>
    <w:p w14:paraId="70C66C43" w14:textId="55D2516F" w:rsidR="008858D9" w:rsidRDefault="008858D9" w:rsidP="008858D9">
      <w:pPr>
        <w:pStyle w:val="13"/>
      </w:pPr>
      <w:r>
        <w:t>1.关注是否有划拨土地处置审批文件，审批文件是否合法有效、审批内容是否与实际评估土地一致等；</w:t>
      </w:r>
    </w:p>
    <w:p w14:paraId="6DAA0775" w14:textId="008AE353" w:rsidR="008858D9" w:rsidRDefault="008858D9" w:rsidP="008858D9">
      <w:pPr>
        <w:pStyle w:val="13"/>
      </w:pPr>
      <w:r>
        <w:t>2.如果是未经处置的划拨土地，应当关注其未处置理由的合</w:t>
      </w:r>
      <w:proofErr w:type="gramStart"/>
      <w:r>
        <w:t>规</w:t>
      </w:r>
      <w:proofErr w:type="gramEnd"/>
      <w:r>
        <w:t>性以及评估中处理方式的合理性等。</w:t>
      </w:r>
    </w:p>
    <w:p w14:paraId="2EECFDC1" w14:textId="77777777" w:rsidR="008858D9" w:rsidRDefault="008858D9" w:rsidP="008858D9">
      <w:pPr>
        <w:pStyle w:val="13"/>
      </w:pPr>
      <w:r>
        <w:rPr>
          <w:rFonts w:hint="eastAsia"/>
        </w:rPr>
        <w:t>（二）土地地价定义是否符合相关准则要求。关注估价方法选取的合理性；相关参数选取依据是否充分、计算过程是否完整及评估结果选取是否合理等。</w:t>
      </w:r>
    </w:p>
    <w:p w14:paraId="54CF9E78" w14:textId="7593E3A6" w:rsidR="008858D9" w:rsidRDefault="00E05BDA" w:rsidP="008858D9">
      <w:pPr>
        <w:pStyle w:val="13"/>
        <w:ind w:firstLine="482"/>
      </w:pPr>
      <w:r w:rsidRPr="00E05BDA">
        <w:rPr>
          <w:rFonts w:hint="eastAsia"/>
          <w:b/>
        </w:rPr>
        <w:t xml:space="preserve">第二十七条 </w:t>
      </w:r>
      <w:r w:rsidR="008858D9">
        <w:rPr>
          <w:rFonts w:hint="eastAsia"/>
        </w:rPr>
        <w:t>备案管理单位应当关注矿业权评估报告中的以下内容：</w:t>
      </w:r>
    </w:p>
    <w:p w14:paraId="3BFF34C4" w14:textId="77777777" w:rsidR="008858D9" w:rsidRDefault="008858D9" w:rsidP="008858D9">
      <w:pPr>
        <w:pStyle w:val="13"/>
      </w:pPr>
      <w:r>
        <w:rPr>
          <w:rFonts w:hint="eastAsia"/>
        </w:rPr>
        <w:t>（一）矿业权评估范围、权属、矿业权价款缴纳情况、矿产资源储量评审备案情</w:t>
      </w:r>
    </w:p>
    <w:p w14:paraId="48980E82" w14:textId="77777777" w:rsidR="008858D9" w:rsidRDefault="008858D9" w:rsidP="008858D9">
      <w:pPr>
        <w:pStyle w:val="13"/>
      </w:pPr>
      <w:proofErr w:type="gramStart"/>
      <w:r>
        <w:rPr>
          <w:rFonts w:hint="eastAsia"/>
        </w:rPr>
        <w:t>况</w:t>
      </w:r>
      <w:proofErr w:type="gramEnd"/>
      <w:r>
        <w:rPr>
          <w:rFonts w:hint="eastAsia"/>
        </w:rPr>
        <w:t>。</w:t>
      </w:r>
    </w:p>
    <w:p w14:paraId="0C7159C3" w14:textId="77777777" w:rsidR="008858D9" w:rsidRDefault="008858D9" w:rsidP="008858D9">
      <w:pPr>
        <w:pStyle w:val="13"/>
      </w:pPr>
      <w:r>
        <w:rPr>
          <w:rFonts w:hint="eastAsia"/>
        </w:rPr>
        <w:t>（二）矿业权评估报告是否符合相关准则要求；评估方法选取是否合理；相关参数选取依据是否充分、计算过程是否完整、确定的结果是否合理。</w:t>
      </w:r>
    </w:p>
    <w:p w14:paraId="738D3AB8" w14:textId="12355D9F" w:rsidR="008858D9" w:rsidRDefault="00E05BDA" w:rsidP="008858D9">
      <w:pPr>
        <w:pStyle w:val="13"/>
        <w:ind w:firstLine="482"/>
      </w:pPr>
      <w:r w:rsidRPr="00E05BDA">
        <w:rPr>
          <w:rFonts w:hint="eastAsia"/>
          <w:b/>
        </w:rPr>
        <w:t xml:space="preserve">第二十八条 </w:t>
      </w:r>
      <w:r w:rsidR="008858D9">
        <w:t>资产评估结果引用土地使用权、矿业权或者其他相关专业评估报告评估结论的，应当关注以下事项：</w:t>
      </w:r>
    </w:p>
    <w:p w14:paraId="0C129D7B" w14:textId="77777777" w:rsidR="008858D9" w:rsidRDefault="008858D9" w:rsidP="008858D9">
      <w:pPr>
        <w:pStyle w:val="13"/>
      </w:pPr>
      <w:r>
        <w:rPr>
          <w:rFonts w:hint="eastAsia"/>
        </w:rPr>
        <w:t>（一）资产评估师是否对所引用报告进行了必要的专业判断，并声明其了解所引用报告结论的取得过程，承担引用报告结论的相关责任。</w:t>
      </w:r>
    </w:p>
    <w:p w14:paraId="41303C3E" w14:textId="77777777" w:rsidR="008858D9" w:rsidRDefault="008858D9" w:rsidP="008858D9">
      <w:pPr>
        <w:pStyle w:val="13"/>
      </w:pPr>
      <w:r>
        <w:rPr>
          <w:rFonts w:hint="eastAsia"/>
        </w:rPr>
        <w:t>（二）所引用报告评估目的、价值类型是否一致；评估基准日、评估结论使用有效期是否一致；评估假设是否一致，资产评估引用结果是否与所引用报告披露的结果一致，所引用报告披露的相关事项说明是否与资产评估报告一致。</w:t>
      </w:r>
    </w:p>
    <w:p w14:paraId="7283F814" w14:textId="77777777" w:rsidR="008858D9" w:rsidRDefault="008858D9" w:rsidP="00AF7342">
      <w:pPr>
        <w:pStyle w:val="a9"/>
        <w:spacing w:before="62" w:after="62"/>
      </w:pPr>
      <w:r>
        <w:rPr>
          <w:rFonts w:hint="eastAsia"/>
        </w:rPr>
        <w:t>第五章</w:t>
      </w:r>
      <w:r>
        <w:t xml:space="preserve"> 境外评估或估值报告审核要点</w:t>
      </w:r>
    </w:p>
    <w:p w14:paraId="4BD10423" w14:textId="53449243" w:rsidR="008858D9" w:rsidRDefault="00E05BDA" w:rsidP="008858D9">
      <w:pPr>
        <w:pStyle w:val="13"/>
        <w:ind w:firstLine="482"/>
      </w:pPr>
      <w:r w:rsidRPr="00E05BDA">
        <w:rPr>
          <w:rFonts w:hint="eastAsia"/>
          <w:b/>
        </w:rPr>
        <w:t xml:space="preserve">第二十九条 </w:t>
      </w:r>
      <w:r w:rsidR="008858D9">
        <w:t>备案管理单位审核境外评估或估值报告，应当关注评估或估值机构的选聘是否符合《中央企业境外国有产权管理暂行办法》（</w:t>
      </w:r>
      <w:proofErr w:type="gramStart"/>
      <w:r w:rsidR="008858D9">
        <w:t>国资委令第</w:t>
      </w:r>
      <w:proofErr w:type="gramEnd"/>
      <w:r w:rsidR="008858D9">
        <w:t xml:space="preserve"> 27号）和《关于加强中央企业境外国有产权管理有关工作的通知》（</w:t>
      </w:r>
      <w:proofErr w:type="gramStart"/>
      <w:r w:rsidR="008858D9">
        <w:t>国资发产权</w:t>
      </w:r>
      <w:proofErr w:type="gramEnd"/>
      <w:r w:rsidR="008858D9">
        <w:t>〔2011〕144号）等规定。</w:t>
      </w:r>
    </w:p>
    <w:p w14:paraId="2C9889B5" w14:textId="72DF2327" w:rsidR="008858D9" w:rsidRDefault="00E05BDA" w:rsidP="008858D9">
      <w:pPr>
        <w:pStyle w:val="13"/>
        <w:ind w:firstLine="482"/>
      </w:pPr>
      <w:r w:rsidRPr="00E05BDA">
        <w:rPr>
          <w:rFonts w:hint="eastAsia"/>
          <w:b/>
        </w:rPr>
        <w:t xml:space="preserve">第三十条 </w:t>
      </w:r>
      <w:r w:rsidR="008858D9">
        <w:t>对境外企业国有资产评估或估值项目，备案管理单位应当关注评估或</w:t>
      </w:r>
      <w:r w:rsidR="008858D9">
        <w:lastRenderedPageBreak/>
        <w:t>估值机构是否协助企业进行尽职调查、询价，是否参与交易过程。经济行为涉及的交易对价是否以评估或估值结果为基础，确有差异的是否具有充足合理的理由。</w:t>
      </w:r>
    </w:p>
    <w:p w14:paraId="736AD7E9" w14:textId="751E6C80" w:rsidR="008858D9" w:rsidRDefault="003B2FB1" w:rsidP="00B03A34">
      <w:pPr>
        <w:pStyle w:val="13"/>
        <w:ind w:firstLine="482"/>
      </w:pPr>
      <w:r w:rsidRPr="003B2FB1">
        <w:rPr>
          <w:rFonts w:hint="eastAsia"/>
          <w:b/>
        </w:rPr>
        <w:t xml:space="preserve">第三十一条 </w:t>
      </w:r>
      <w:r w:rsidR="008858D9">
        <w:t>审核境外评估及估值机构出具的评估或估值报告，应当关注其是否明示了所依据的评估准则，是否合理参考了境内评估准则及要求。评估或估值结果是否以人民币为计量币种。使用其他币种计量的，是否注明了该币种与人民币在评估基准日的汇率。如果评估或估值结果为区间值的，应关注是否在区间之内确定了一个最大</w:t>
      </w:r>
      <w:r w:rsidR="008858D9">
        <w:rPr>
          <w:rFonts w:hint="eastAsia"/>
        </w:rPr>
        <w:t>可能值，并说明确定依据。</w:t>
      </w:r>
    </w:p>
    <w:p w14:paraId="7D20B358" w14:textId="3105B05B" w:rsidR="008858D9" w:rsidRDefault="003B2FB1" w:rsidP="00B03A34">
      <w:pPr>
        <w:pStyle w:val="13"/>
        <w:ind w:firstLine="482"/>
      </w:pPr>
      <w:r w:rsidRPr="003B2FB1">
        <w:rPr>
          <w:rFonts w:hint="eastAsia"/>
          <w:b/>
        </w:rPr>
        <w:t xml:space="preserve">第三十二条 </w:t>
      </w:r>
      <w:r w:rsidR="008858D9">
        <w:t>备案管理单位可以使用备案表或者备案确认函的方式对境外评估或估值机构出具的评估或者估值报告予以备案。备案确认</w:t>
      </w:r>
      <w:proofErr w:type="gramStart"/>
      <w:r w:rsidR="008858D9">
        <w:t>函应当</w:t>
      </w:r>
      <w:proofErr w:type="gramEnd"/>
      <w:r w:rsidR="008858D9">
        <w:t>简要描述评估项目有关情况，包括评估行为各当事方及经济行为、评估基准日、评估结果使用有效期、评估对象账面价值等内容，明确评估结果区间值及最大可能值，明确评估行为各当事方的</w:t>
      </w:r>
      <w:r w:rsidR="008858D9">
        <w:rPr>
          <w:rFonts w:hint="eastAsia"/>
        </w:rPr>
        <w:t>权、责、利等执行情况。</w:t>
      </w:r>
    </w:p>
    <w:p w14:paraId="6A8D2051" w14:textId="77777777" w:rsidR="008858D9" w:rsidRDefault="008858D9" w:rsidP="00AF7342">
      <w:pPr>
        <w:pStyle w:val="a9"/>
        <w:spacing w:before="62" w:after="62"/>
      </w:pPr>
      <w:r>
        <w:rPr>
          <w:rFonts w:hint="eastAsia"/>
        </w:rPr>
        <w:t>第六章</w:t>
      </w:r>
      <w:r>
        <w:t xml:space="preserve"> 附则</w:t>
      </w:r>
    </w:p>
    <w:p w14:paraId="431DAC40" w14:textId="536CEBA1" w:rsidR="008858D9" w:rsidRDefault="003B2FB1" w:rsidP="008858D9">
      <w:pPr>
        <w:pStyle w:val="13"/>
        <w:ind w:firstLine="482"/>
      </w:pPr>
      <w:r w:rsidRPr="003B2FB1">
        <w:rPr>
          <w:rFonts w:hint="eastAsia"/>
          <w:b/>
        </w:rPr>
        <w:t xml:space="preserve">第三十三条 </w:t>
      </w:r>
      <w:r w:rsidR="008858D9">
        <w:t>地方各级国有资产监督管理机构可以参照本指引，根据当地国有资产产权管理实际情况，制定适合本地使用的国家出资企业资产评估项目备案工作指引。</w:t>
      </w:r>
    </w:p>
    <w:p w14:paraId="1F447546" w14:textId="1E2A31DE" w:rsidR="002A05BE" w:rsidRDefault="003B2FB1" w:rsidP="008858D9">
      <w:pPr>
        <w:pStyle w:val="13"/>
        <w:ind w:firstLine="482"/>
      </w:pPr>
      <w:r w:rsidRPr="003B2FB1">
        <w:rPr>
          <w:rFonts w:hint="eastAsia"/>
          <w:b/>
        </w:rPr>
        <w:t xml:space="preserve">第三十四条 </w:t>
      </w:r>
      <w:r w:rsidR="008858D9">
        <w:t>本指引自印发之日起施行。</w:t>
      </w:r>
    </w:p>
    <w:p w14:paraId="733AF9A0" w14:textId="1405CC10" w:rsidR="002A05BE" w:rsidRPr="00214120" w:rsidRDefault="00D269D2" w:rsidP="00D269D2">
      <w:pPr>
        <w:pStyle w:val="31"/>
        <w:spacing w:before="156" w:after="62"/>
      </w:pPr>
      <w:bookmarkStart w:id="249" w:name="_Toc81833482"/>
      <w:r w:rsidRPr="00D269D2">
        <w:rPr>
          <w:rFonts w:hint="eastAsia"/>
        </w:rPr>
        <w:t>《上海市企业国有资产评估报告审核手册》沪国资委评估</w:t>
      </w:r>
      <w:r w:rsidR="00B93D94" w:rsidRPr="0006263B">
        <w:rPr>
          <w:rFonts w:hint="eastAsia"/>
        </w:rPr>
        <w:t>〔</w:t>
      </w:r>
      <w:r w:rsidRPr="00D269D2">
        <w:t>2018</w:t>
      </w:r>
      <w:r w:rsidR="00B93D94" w:rsidRPr="0006263B">
        <w:t>〕</w:t>
      </w:r>
      <w:r w:rsidRPr="00D269D2">
        <w:t>353号</w:t>
      </w:r>
      <w:bookmarkEnd w:id="249"/>
    </w:p>
    <w:p w14:paraId="5D48BA6E" w14:textId="77777777" w:rsidR="00D269D2" w:rsidRPr="00D269D2" w:rsidRDefault="00D269D2" w:rsidP="00D269D2">
      <w:pPr>
        <w:pStyle w:val="13"/>
        <w:ind w:firstLineChars="0" w:firstLine="0"/>
      </w:pPr>
      <w:r w:rsidRPr="00D269D2">
        <w:rPr>
          <w:rFonts w:hint="eastAsia"/>
        </w:rPr>
        <w:t>各监管企业、</w:t>
      </w:r>
      <w:proofErr w:type="gramStart"/>
      <w:r w:rsidRPr="00D269D2">
        <w:rPr>
          <w:rFonts w:hint="eastAsia"/>
        </w:rPr>
        <w:t>各委托</w:t>
      </w:r>
      <w:proofErr w:type="gramEnd"/>
      <w:r w:rsidRPr="00D269D2">
        <w:rPr>
          <w:rFonts w:hint="eastAsia"/>
        </w:rPr>
        <w:t>监管单位、各区国资委：</w:t>
      </w:r>
    </w:p>
    <w:p w14:paraId="4A24E75A" w14:textId="77777777" w:rsidR="00D269D2" w:rsidRPr="00D269D2" w:rsidRDefault="00D269D2" w:rsidP="00D269D2">
      <w:pPr>
        <w:pStyle w:val="13"/>
      </w:pPr>
      <w:r w:rsidRPr="00D269D2">
        <w:rPr>
          <w:rFonts w:hint="eastAsia"/>
        </w:rPr>
        <w:t>为进一步加强国有资产评估项目管理，规范国有资产评估报告审核工作，提高资产评估报告审核质量。根据《资产评估法》（2016年主席令第46号）、《企业国有资产评估管理暂行办法》（国务院国有资产监督管理委员会令第12号）、《企业国有资产评估报告指南》（</w:t>
      </w:r>
      <w:proofErr w:type="gramStart"/>
      <w:r w:rsidRPr="00D269D2">
        <w:rPr>
          <w:rFonts w:hint="eastAsia"/>
        </w:rPr>
        <w:t>中评协</w:t>
      </w:r>
      <w:proofErr w:type="gramEnd"/>
      <w:r w:rsidRPr="00D269D2">
        <w:rPr>
          <w:rFonts w:hint="eastAsia"/>
        </w:rPr>
        <w:t>[2017]42号）等文件及有关准则，我委对《上海市企业国有资产评估项目核准备案操作手册》（沪国资委评估[2012]468号）第二部分评估报告审核注意事项进行了修订，形成《上海市企业国有资产评估报告审核手册》，现印发给你们。请结合实际，遵照执行。</w:t>
      </w:r>
    </w:p>
    <w:p w14:paraId="04CC35ED" w14:textId="77777777" w:rsidR="00D269D2" w:rsidRPr="00D269D2" w:rsidRDefault="00D269D2" w:rsidP="00D269D2">
      <w:pPr>
        <w:pStyle w:val="13"/>
      </w:pPr>
      <w:r w:rsidRPr="00D269D2">
        <w:rPr>
          <w:rFonts w:hint="eastAsia"/>
        </w:rPr>
        <w:t>《上海市企业国有资产评估项目核准备案操作手册》（沪国资委评估[2012]468号）第二部分不再执行。</w:t>
      </w:r>
    </w:p>
    <w:p w14:paraId="293D6A7D" w14:textId="24476EFF" w:rsidR="00D269D2" w:rsidRPr="00D269D2" w:rsidRDefault="00D269D2" w:rsidP="00D269D2">
      <w:pPr>
        <w:pStyle w:val="13"/>
      </w:pPr>
      <w:r w:rsidRPr="00D269D2">
        <w:rPr>
          <w:rFonts w:hint="eastAsia"/>
        </w:rPr>
        <w:t>特此通知。</w:t>
      </w:r>
    </w:p>
    <w:p w14:paraId="342B0963" w14:textId="77777777" w:rsidR="00D269D2" w:rsidRPr="00D269D2" w:rsidRDefault="00D269D2" w:rsidP="00D269D2">
      <w:pPr>
        <w:pStyle w:val="13"/>
      </w:pPr>
      <w:r w:rsidRPr="00D269D2">
        <w:rPr>
          <w:rFonts w:hint="eastAsia"/>
        </w:rPr>
        <w:t>附件：《上海市企业国有资产评估报告审核手册》</w:t>
      </w:r>
    </w:p>
    <w:p w14:paraId="4BA166AF" w14:textId="77777777" w:rsidR="00D269D2" w:rsidRPr="00D269D2" w:rsidRDefault="00D269D2" w:rsidP="00D269D2">
      <w:pPr>
        <w:pStyle w:val="13"/>
        <w:jc w:val="right"/>
      </w:pPr>
      <w:r w:rsidRPr="00D269D2">
        <w:rPr>
          <w:rFonts w:hint="eastAsia"/>
        </w:rPr>
        <w:t>上海市国有资产监督管理委员会</w:t>
      </w:r>
    </w:p>
    <w:p w14:paraId="09ED2191" w14:textId="77777777" w:rsidR="00D269D2" w:rsidRPr="00D269D2" w:rsidRDefault="00D269D2" w:rsidP="00D269D2">
      <w:pPr>
        <w:pStyle w:val="13"/>
        <w:jc w:val="right"/>
      </w:pPr>
      <w:r w:rsidRPr="00D269D2">
        <w:rPr>
          <w:rFonts w:hint="eastAsia"/>
        </w:rPr>
        <w:t>2018年10月10日</w:t>
      </w:r>
    </w:p>
    <w:p w14:paraId="3D11CEEC" w14:textId="567C5481" w:rsidR="002A05BE" w:rsidRDefault="00D269D2" w:rsidP="00AF7342">
      <w:pPr>
        <w:pStyle w:val="a9"/>
        <w:spacing w:before="62" w:after="62"/>
      </w:pPr>
      <w:r w:rsidRPr="00D269D2">
        <w:rPr>
          <w:rFonts w:hint="eastAsia"/>
        </w:rPr>
        <w:lastRenderedPageBreak/>
        <w:t>上海市企业国有资产评估报告审核手册</w:t>
      </w:r>
    </w:p>
    <w:p w14:paraId="05C3994C" w14:textId="77777777" w:rsidR="00D269D2" w:rsidRPr="00D269D2" w:rsidRDefault="00D269D2" w:rsidP="00D269D2">
      <w:pPr>
        <w:pStyle w:val="13"/>
        <w:ind w:firstLine="482"/>
      </w:pPr>
      <w:r w:rsidRPr="00D269D2">
        <w:rPr>
          <w:rFonts w:hint="eastAsia"/>
          <w:b/>
          <w:bCs/>
        </w:rPr>
        <w:t>一、资产评估项目核准备案审核主要事项</w:t>
      </w:r>
    </w:p>
    <w:p w14:paraId="3BDCA318" w14:textId="77777777" w:rsidR="00D269D2" w:rsidRPr="00D269D2" w:rsidRDefault="00D269D2" w:rsidP="00D269D2">
      <w:pPr>
        <w:pStyle w:val="13"/>
      </w:pPr>
      <w:r w:rsidRPr="00D269D2">
        <w:rPr>
          <w:rFonts w:hint="eastAsia"/>
        </w:rPr>
        <w:t>（一）国有资产监督管理部门根据下列情况确定是否对资产评估项目予以核准：</w:t>
      </w:r>
    </w:p>
    <w:p w14:paraId="1A69A930" w14:textId="77777777" w:rsidR="00D269D2" w:rsidRPr="00D269D2" w:rsidRDefault="00D269D2" w:rsidP="00D269D2">
      <w:pPr>
        <w:pStyle w:val="13"/>
      </w:pPr>
      <w:r w:rsidRPr="00D269D2">
        <w:rPr>
          <w:rFonts w:hint="eastAsia"/>
        </w:rPr>
        <w:t>1.资产评估项目所涉及的经济行为是否获得批准；</w:t>
      </w:r>
    </w:p>
    <w:p w14:paraId="628C4544" w14:textId="77777777" w:rsidR="00D269D2" w:rsidRPr="00D269D2" w:rsidRDefault="00D269D2" w:rsidP="00D269D2">
      <w:pPr>
        <w:pStyle w:val="13"/>
      </w:pPr>
      <w:r w:rsidRPr="00D269D2">
        <w:rPr>
          <w:rFonts w:hint="eastAsia"/>
        </w:rPr>
        <w:t>2.资产评估机构是否具备相应评估资质并符合相关选聘规定；</w:t>
      </w:r>
    </w:p>
    <w:p w14:paraId="3A4A2FB3" w14:textId="77777777" w:rsidR="00D269D2" w:rsidRPr="00D269D2" w:rsidRDefault="00D269D2" w:rsidP="00D269D2">
      <w:pPr>
        <w:pStyle w:val="13"/>
      </w:pPr>
      <w:r w:rsidRPr="00D269D2">
        <w:rPr>
          <w:rFonts w:hint="eastAsia"/>
        </w:rPr>
        <w:t>3.评估人员是否具备相应职业资格；</w:t>
      </w:r>
    </w:p>
    <w:p w14:paraId="4B14B261" w14:textId="77777777" w:rsidR="00D269D2" w:rsidRPr="00D269D2" w:rsidRDefault="00D269D2" w:rsidP="00D269D2">
      <w:pPr>
        <w:pStyle w:val="13"/>
      </w:pPr>
      <w:r w:rsidRPr="00D269D2">
        <w:rPr>
          <w:rFonts w:hint="eastAsia"/>
        </w:rPr>
        <w:t>4.评估基准日的选择是否适当，评估结果的使用有效期是否明示；</w:t>
      </w:r>
    </w:p>
    <w:p w14:paraId="740C1099" w14:textId="77777777" w:rsidR="00D269D2" w:rsidRPr="00D269D2" w:rsidRDefault="00D269D2" w:rsidP="00D269D2">
      <w:pPr>
        <w:pStyle w:val="13"/>
      </w:pPr>
      <w:r w:rsidRPr="00D269D2">
        <w:rPr>
          <w:rFonts w:hint="eastAsia"/>
        </w:rPr>
        <w:t>5.资产评估范围与经济行为批准文件确定的资产范围是否一致；</w:t>
      </w:r>
    </w:p>
    <w:p w14:paraId="0DE5A3DD" w14:textId="77777777" w:rsidR="00D269D2" w:rsidRPr="00D269D2" w:rsidRDefault="00D269D2" w:rsidP="00D269D2">
      <w:pPr>
        <w:pStyle w:val="13"/>
      </w:pPr>
      <w:r w:rsidRPr="00D269D2">
        <w:rPr>
          <w:rFonts w:hint="eastAsia"/>
        </w:rPr>
        <w:t>6.评估依据是否适当、完整和适用；</w:t>
      </w:r>
    </w:p>
    <w:p w14:paraId="3DCC0683" w14:textId="77777777" w:rsidR="00D269D2" w:rsidRPr="00D269D2" w:rsidRDefault="00D269D2" w:rsidP="00D269D2">
      <w:pPr>
        <w:pStyle w:val="13"/>
      </w:pPr>
      <w:r w:rsidRPr="00D269D2">
        <w:rPr>
          <w:rFonts w:hint="eastAsia"/>
        </w:rPr>
        <w:t>7.企业是否就所提供的资产权属证明文件、财务会计资料及生产经营管理资料的真实性、合法性和完整性做出承诺；</w:t>
      </w:r>
    </w:p>
    <w:p w14:paraId="5722B664" w14:textId="77777777" w:rsidR="00D269D2" w:rsidRPr="00D269D2" w:rsidRDefault="00D269D2" w:rsidP="00D269D2">
      <w:pPr>
        <w:pStyle w:val="13"/>
      </w:pPr>
      <w:r w:rsidRPr="00D269D2">
        <w:rPr>
          <w:rFonts w:hint="eastAsia"/>
        </w:rPr>
        <w:t>8.评估过程是否符合相关评估准则的规定；</w:t>
      </w:r>
    </w:p>
    <w:p w14:paraId="69BBFC42" w14:textId="77777777" w:rsidR="00D269D2" w:rsidRPr="00D269D2" w:rsidRDefault="00D269D2" w:rsidP="00D269D2">
      <w:pPr>
        <w:pStyle w:val="13"/>
      </w:pPr>
      <w:r w:rsidRPr="00D269D2">
        <w:rPr>
          <w:rFonts w:hint="eastAsia"/>
        </w:rPr>
        <w:t>9.相关单位是否按规定完成公示并形成公示结论说明；</w:t>
      </w:r>
    </w:p>
    <w:p w14:paraId="6BC95953" w14:textId="77777777" w:rsidR="00D269D2" w:rsidRPr="00D269D2" w:rsidRDefault="00D269D2" w:rsidP="00D269D2">
      <w:pPr>
        <w:pStyle w:val="13"/>
      </w:pPr>
      <w:r w:rsidRPr="00D269D2">
        <w:rPr>
          <w:rFonts w:hint="eastAsia"/>
        </w:rPr>
        <w:t>10. 参与审核的专家是否就评审意见达成一致。</w:t>
      </w:r>
    </w:p>
    <w:p w14:paraId="2674ADD4" w14:textId="77777777" w:rsidR="00D269D2" w:rsidRPr="00D269D2" w:rsidRDefault="00D269D2" w:rsidP="00D269D2">
      <w:pPr>
        <w:pStyle w:val="13"/>
      </w:pPr>
      <w:r w:rsidRPr="00D269D2">
        <w:rPr>
          <w:rFonts w:hint="eastAsia"/>
        </w:rPr>
        <w:t>（二）国有资产监督管理部门及备案管理单位根据下列情况确定是否对资产评估项目予以备案：</w:t>
      </w:r>
    </w:p>
    <w:p w14:paraId="653D6E69" w14:textId="77777777" w:rsidR="00D269D2" w:rsidRPr="00D269D2" w:rsidRDefault="00D269D2" w:rsidP="00D269D2">
      <w:pPr>
        <w:pStyle w:val="13"/>
      </w:pPr>
      <w:r w:rsidRPr="00D269D2">
        <w:rPr>
          <w:rFonts w:hint="eastAsia"/>
        </w:rPr>
        <w:t>1.资产评估项目所涉及的经济行为是否获得批准；</w:t>
      </w:r>
    </w:p>
    <w:p w14:paraId="00C1AE88" w14:textId="77777777" w:rsidR="00D269D2" w:rsidRPr="00D269D2" w:rsidRDefault="00D269D2" w:rsidP="00D269D2">
      <w:pPr>
        <w:pStyle w:val="13"/>
      </w:pPr>
      <w:r w:rsidRPr="00D269D2">
        <w:rPr>
          <w:rFonts w:hint="eastAsia"/>
        </w:rPr>
        <w:t>2.资产评估机构是否具备相应评估资质并符合相关选聘规定；</w:t>
      </w:r>
    </w:p>
    <w:p w14:paraId="2151389A" w14:textId="77777777" w:rsidR="00D269D2" w:rsidRPr="00D269D2" w:rsidRDefault="00D269D2" w:rsidP="00D269D2">
      <w:pPr>
        <w:pStyle w:val="13"/>
      </w:pPr>
      <w:r w:rsidRPr="00D269D2">
        <w:rPr>
          <w:rFonts w:hint="eastAsia"/>
        </w:rPr>
        <w:t>3.评估人员是否具备相应职业资格；</w:t>
      </w:r>
    </w:p>
    <w:p w14:paraId="43F53155" w14:textId="77777777" w:rsidR="00D269D2" w:rsidRPr="00D269D2" w:rsidRDefault="00D269D2" w:rsidP="00D269D2">
      <w:pPr>
        <w:pStyle w:val="13"/>
      </w:pPr>
      <w:r w:rsidRPr="00D269D2">
        <w:rPr>
          <w:rFonts w:hint="eastAsia"/>
        </w:rPr>
        <w:t>4.评估基准日的选择是否适当，评估结果的使用有效期是否明示；</w:t>
      </w:r>
    </w:p>
    <w:p w14:paraId="30725080" w14:textId="77777777" w:rsidR="00D269D2" w:rsidRPr="00D269D2" w:rsidRDefault="00D269D2" w:rsidP="00D269D2">
      <w:pPr>
        <w:pStyle w:val="13"/>
      </w:pPr>
      <w:r w:rsidRPr="00D269D2">
        <w:rPr>
          <w:rFonts w:hint="eastAsia"/>
        </w:rPr>
        <w:t>5.资产评估范围与经济行为批准文件确定的资产范围是否一致；</w:t>
      </w:r>
    </w:p>
    <w:p w14:paraId="2C870CBA" w14:textId="77777777" w:rsidR="00D269D2" w:rsidRPr="00D269D2" w:rsidRDefault="00D269D2" w:rsidP="00D269D2">
      <w:pPr>
        <w:pStyle w:val="13"/>
      </w:pPr>
      <w:r w:rsidRPr="00D269D2">
        <w:rPr>
          <w:rFonts w:hint="eastAsia"/>
        </w:rPr>
        <w:t>6.企业是否就所提供的资产权属证明文件、财务会计资料及生产经营管理资料的真实性、合法性和完整性做出承诺；</w:t>
      </w:r>
    </w:p>
    <w:p w14:paraId="54000752" w14:textId="77777777" w:rsidR="00D269D2" w:rsidRPr="00D269D2" w:rsidRDefault="00D269D2" w:rsidP="00D269D2">
      <w:pPr>
        <w:pStyle w:val="13"/>
      </w:pPr>
      <w:r w:rsidRPr="00D269D2">
        <w:rPr>
          <w:rFonts w:hint="eastAsia"/>
        </w:rPr>
        <w:t>7.评估程序是否符合相关评估准则的规定；</w:t>
      </w:r>
    </w:p>
    <w:p w14:paraId="2025C722" w14:textId="77777777" w:rsidR="00D269D2" w:rsidRPr="00D269D2" w:rsidRDefault="00D269D2" w:rsidP="00D269D2">
      <w:pPr>
        <w:pStyle w:val="13"/>
      </w:pPr>
      <w:r w:rsidRPr="00D269D2">
        <w:rPr>
          <w:rFonts w:hint="eastAsia"/>
        </w:rPr>
        <w:t>8.相关单位是否按规定完成公示并形成公示结论说明；</w:t>
      </w:r>
    </w:p>
    <w:p w14:paraId="64551DDE" w14:textId="77777777" w:rsidR="00D269D2" w:rsidRPr="00D269D2" w:rsidRDefault="00D269D2" w:rsidP="00D269D2">
      <w:pPr>
        <w:pStyle w:val="13"/>
      </w:pPr>
      <w:r w:rsidRPr="00D269D2">
        <w:rPr>
          <w:rFonts w:hint="eastAsia"/>
        </w:rPr>
        <w:t>9．按规定需要专家评审的，与会专家是否就评审意见达成一致。</w:t>
      </w:r>
    </w:p>
    <w:p w14:paraId="1884DF0D" w14:textId="77777777" w:rsidR="00D269D2" w:rsidRPr="00D269D2" w:rsidRDefault="00D269D2" w:rsidP="00D269D2">
      <w:pPr>
        <w:pStyle w:val="13"/>
        <w:ind w:firstLine="482"/>
      </w:pPr>
      <w:r w:rsidRPr="00D269D2">
        <w:rPr>
          <w:rFonts w:hint="eastAsia"/>
          <w:b/>
          <w:bCs/>
        </w:rPr>
        <w:t>二、资产评估报告审核</w:t>
      </w:r>
    </w:p>
    <w:p w14:paraId="3C6DC0CD" w14:textId="77777777" w:rsidR="00D269D2" w:rsidRPr="00D269D2" w:rsidRDefault="00D269D2" w:rsidP="00D269D2">
      <w:pPr>
        <w:pStyle w:val="13"/>
      </w:pPr>
      <w:r w:rsidRPr="00D269D2">
        <w:rPr>
          <w:rFonts w:hint="eastAsia"/>
        </w:rPr>
        <w:t>核准备案管理单位应当严格按照《企业国有资产评估管理暂行办法》（国资委令第12号）、《企业国有资产评估报告指南》（</w:t>
      </w:r>
      <w:proofErr w:type="gramStart"/>
      <w:r w:rsidRPr="00D269D2">
        <w:rPr>
          <w:rFonts w:hint="eastAsia"/>
        </w:rPr>
        <w:t>中评协</w:t>
      </w:r>
      <w:proofErr w:type="gramEnd"/>
      <w:r w:rsidRPr="00D269D2">
        <w:rPr>
          <w:rFonts w:hint="eastAsia"/>
        </w:rPr>
        <w:t>[2017]42号）等企业国有资产评估管理法规和评估准则，对核准备案的资产评估报告进行审核。</w:t>
      </w:r>
    </w:p>
    <w:p w14:paraId="598A5276" w14:textId="77777777" w:rsidR="00D269D2" w:rsidRPr="00D269D2" w:rsidRDefault="00D269D2" w:rsidP="00D269D2">
      <w:pPr>
        <w:pStyle w:val="13"/>
      </w:pPr>
      <w:r w:rsidRPr="00D269D2">
        <w:rPr>
          <w:rFonts w:hint="eastAsia"/>
        </w:rPr>
        <w:t>（一）资产评估报告格式与内容的审核</w:t>
      </w:r>
    </w:p>
    <w:p w14:paraId="2A8A587A" w14:textId="77777777" w:rsidR="00D269D2" w:rsidRPr="00D269D2" w:rsidRDefault="00D269D2" w:rsidP="00D269D2">
      <w:pPr>
        <w:pStyle w:val="13"/>
      </w:pPr>
      <w:r w:rsidRPr="00D269D2">
        <w:rPr>
          <w:rFonts w:hint="eastAsia"/>
        </w:rPr>
        <w:t>资产评估报告格式与内容应符合《资产评估准则——评估报告》（</w:t>
      </w:r>
      <w:proofErr w:type="gramStart"/>
      <w:r w:rsidRPr="00D269D2">
        <w:rPr>
          <w:rFonts w:hint="eastAsia"/>
        </w:rPr>
        <w:t>中评协</w:t>
      </w:r>
      <w:proofErr w:type="gramEnd"/>
      <w:r w:rsidRPr="00D269D2">
        <w:rPr>
          <w:rFonts w:hint="eastAsia"/>
        </w:rPr>
        <w:t>[2017]32号）、《企业国有资产评估报告指南》（</w:t>
      </w:r>
      <w:proofErr w:type="gramStart"/>
      <w:r w:rsidRPr="00D269D2">
        <w:rPr>
          <w:rFonts w:hint="eastAsia"/>
        </w:rPr>
        <w:t>中评协</w:t>
      </w:r>
      <w:proofErr w:type="gramEnd"/>
      <w:r w:rsidRPr="00D269D2">
        <w:rPr>
          <w:rFonts w:hint="eastAsia"/>
        </w:rPr>
        <w:t>[2017]42号）的要求。</w:t>
      </w:r>
    </w:p>
    <w:p w14:paraId="18711178" w14:textId="77777777" w:rsidR="00D269D2" w:rsidRPr="00D269D2" w:rsidRDefault="00D269D2" w:rsidP="00D269D2">
      <w:pPr>
        <w:pStyle w:val="13"/>
      </w:pPr>
      <w:r w:rsidRPr="00D269D2">
        <w:rPr>
          <w:rFonts w:hint="eastAsia"/>
        </w:rPr>
        <w:t>（二）委托人、报告使用人概况的审核</w:t>
      </w:r>
    </w:p>
    <w:p w14:paraId="44B7F791" w14:textId="77777777" w:rsidR="00D269D2" w:rsidRPr="00D269D2" w:rsidRDefault="00D269D2" w:rsidP="00D269D2">
      <w:pPr>
        <w:pStyle w:val="13"/>
      </w:pPr>
      <w:r w:rsidRPr="00D269D2">
        <w:rPr>
          <w:rFonts w:hint="eastAsia"/>
        </w:rPr>
        <w:lastRenderedPageBreak/>
        <w:t>应当关注相关报告使用人介绍是否全面，是否包含了委托人、被评估单位和资产评估合同约定的其他资产评估报告使用人。</w:t>
      </w:r>
    </w:p>
    <w:p w14:paraId="60A160BF" w14:textId="77777777" w:rsidR="00D269D2" w:rsidRPr="00D269D2" w:rsidRDefault="00D269D2" w:rsidP="00D269D2">
      <w:pPr>
        <w:pStyle w:val="13"/>
      </w:pPr>
      <w:r w:rsidRPr="00D269D2">
        <w:rPr>
          <w:rFonts w:hint="eastAsia"/>
        </w:rPr>
        <w:t>企业价值评估中，应当关注是否对被评估单位的历史沿革、股权结构（图）、经营管理、股权交易及评估、股权变更等情况进行了必要说明，是否反映了近三年的资产负债和经营状况。涉及协议交易的，应</w:t>
      </w:r>
      <w:proofErr w:type="gramStart"/>
      <w:r w:rsidRPr="00D269D2">
        <w:rPr>
          <w:rFonts w:hint="eastAsia"/>
        </w:rPr>
        <w:t>介绍受</w:t>
      </w:r>
      <w:proofErr w:type="gramEnd"/>
      <w:r w:rsidRPr="00D269D2">
        <w:rPr>
          <w:rFonts w:hint="eastAsia"/>
        </w:rPr>
        <w:t>让方及其基本情况。存在交叉持股的，应列示交叉</w:t>
      </w:r>
      <w:proofErr w:type="gramStart"/>
      <w:r w:rsidRPr="00D269D2">
        <w:rPr>
          <w:rFonts w:hint="eastAsia"/>
        </w:rPr>
        <w:t>持股图</w:t>
      </w:r>
      <w:proofErr w:type="gramEnd"/>
      <w:r w:rsidRPr="00D269D2">
        <w:rPr>
          <w:rFonts w:hint="eastAsia"/>
        </w:rPr>
        <w:t>并简述交叉持股关系及是否属于同</w:t>
      </w:r>
      <w:proofErr w:type="gramStart"/>
      <w:r w:rsidRPr="00D269D2">
        <w:rPr>
          <w:rFonts w:hint="eastAsia"/>
        </w:rPr>
        <w:t>一控制</w:t>
      </w:r>
      <w:proofErr w:type="gramEnd"/>
      <w:r w:rsidRPr="00D269D2">
        <w:rPr>
          <w:rFonts w:hint="eastAsia"/>
        </w:rPr>
        <w:t>的情形。存在关联交易的，应披露关联方、交易方式等基本情况。</w:t>
      </w:r>
    </w:p>
    <w:p w14:paraId="2A096EE2" w14:textId="77777777" w:rsidR="00D269D2" w:rsidRPr="00D269D2" w:rsidRDefault="00D269D2" w:rsidP="00D269D2">
      <w:pPr>
        <w:pStyle w:val="13"/>
      </w:pPr>
      <w:r w:rsidRPr="00D269D2">
        <w:rPr>
          <w:rFonts w:hint="eastAsia"/>
        </w:rPr>
        <w:t>（三）评估目的审核</w:t>
      </w:r>
    </w:p>
    <w:p w14:paraId="46EF925E" w14:textId="77777777" w:rsidR="00D269D2" w:rsidRPr="00D269D2" w:rsidRDefault="00D269D2" w:rsidP="00D269D2">
      <w:pPr>
        <w:pStyle w:val="13"/>
      </w:pPr>
      <w:r w:rsidRPr="00D269D2">
        <w:rPr>
          <w:rFonts w:hint="eastAsia"/>
        </w:rPr>
        <w:t>应清晰、明确地说明本次资产评估的经济行为目的，以及评估所对应的经济行为获得批准的情况或者其他经济行为依据。涉及协议交易的，应声明评估结果仅适用于本次交易，如交易方式转变为其他方式的，则评估报告不适用。</w:t>
      </w:r>
    </w:p>
    <w:p w14:paraId="6FCEF7D0" w14:textId="77777777" w:rsidR="00D269D2" w:rsidRPr="00D269D2" w:rsidRDefault="00D269D2" w:rsidP="00D269D2">
      <w:pPr>
        <w:pStyle w:val="13"/>
      </w:pPr>
      <w:r w:rsidRPr="00D269D2">
        <w:rPr>
          <w:rFonts w:hint="eastAsia"/>
        </w:rPr>
        <w:t>（四）评估对象和评估范围的审核</w:t>
      </w:r>
    </w:p>
    <w:p w14:paraId="7205D454" w14:textId="77777777" w:rsidR="00D269D2" w:rsidRPr="00D269D2" w:rsidRDefault="00D269D2" w:rsidP="00D269D2">
      <w:pPr>
        <w:pStyle w:val="13"/>
      </w:pPr>
      <w:r w:rsidRPr="00D269D2">
        <w:rPr>
          <w:rFonts w:hint="eastAsia"/>
        </w:rPr>
        <w:t>1.应当关注评估对象的基本情况，包括法律权属状况、经济状况和物理状况等。</w:t>
      </w:r>
    </w:p>
    <w:p w14:paraId="64AF9EC3" w14:textId="77777777" w:rsidR="00D269D2" w:rsidRPr="00D269D2" w:rsidRDefault="00D269D2" w:rsidP="00D269D2">
      <w:pPr>
        <w:pStyle w:val="13"/>
      </w:pPr>
      <w:r w:rsidRPr="00D269D2">
        <w:rPr>
          <w:rFonts w:hint="eastAsia"/>
        </w:rPr>
        <w:t>2.针对评估报告中对评估范围的描述及资产清查情况的说明，结合经济行为批文、审计报告、特别事项说明、明细表、权证附件等对评估范围进行审核：</w:t>
      </w:r>
    </w:p>
    <w:p w14:paraId="406A8F9B" w14:textId="77777777" w:rsidR="00D269D2" w:rsidRPr="00D269D2" w:rsidRDefault="00D269D2" w:rsidP="00D269D2">
      <w:pPr>
        <w:pStyle w:val="13"/>
      </w:pPr>
      <w:r w:rsidRPr="00D269D2">
        <w:rPr>
          <w:rFonts w:hint="eastAsia"/>
        </w:rPr>
        <w:t>（1）关注评估范围是否与经济行为批准文件、评估业务委托合同等确定的资产范围一致。</w:t>
      </w:r>
    </w:p>
    <w:p w14:paraId="5314154F" w14:textId="77777777" w:rsidR="00D269D2" w:rsidRPr="00D269D2" w:rsidRDefault="00D269D2" w:rsidP="00D269D2">
      <w:pPr>
        <w:pStyle w:val="13"/>
      </w:pPr>
      <w:r w:rsidRPr="00D269D2">
        <w:rPr>
          <w:rFonts w:hint="eastAsia"/>
        </w:rPr>
        <w:t>（2）企业价值评估中，评估范围是否包括了企业拥有的实物资产和无形资产，以及明确的未来权利、义务（负债）。重点关注土地使用权、探矿权、采矿权等无形资产，以及房地产、长期投资等重大资产是否有隐匿或遗漏。</w:t>
      </w:r>
    </w:p>
    <w:p w14:paraId="44825609" w14:textId="77777777" w:rsidR="00D269D2" w:rsidRPr="00D269D2" w:rsidRDefault="00D269D2" w:rsidP="00D269D2">
      <w:pPr>
        <w:pStyle w:val="13"/>
      </w:pPr>
      <w:r w:rsidRPr="00D269D2">
        <w:rPr>
          <w:rFonts w:hint="eastAsia"/>
        </w:rPr>
        <w:t>（3）企业价值评估时，一般应包括企业全部无形资产。要根据企业实际情况关注是否存在商标、专利、专有技术、专利权、特许经营权、销售网络、客户关系、合同权益、域名、商誉等单项无形资产或无形资产组合。</w:t>
      </w:r>
    </w:p>
    <w:p w14:paraId="572B650B" w14:textId="77777777" w:rsidR="00D269D2" w:rsidRPr="00D269D2" w:rsidRDefault="00D269D2" w:rsidP="00D269D2">
      <w:pPr>
        <w:pStyle w:val="13"/>
      </w:pPr>
      <w:r w:rsidRPr="00D269D2">
        <w:rPr>
          <w:rFonts w:hint="eastAsia"/>
        </w:rPr>
        <w:t>（4）关注是否存在权利人与实际使用人不一致等情形（如房地产、车辆等）。</w:t>
      </w:r>
    </w:p>
    <w:p w14:paraId="36D045AB" w14:textId="78AA932D" w:rsidR="00D269D2" w:rsidRPr="00D269D2" w:rsidRDefault="00D269D2" w:rsidP="00D269D2">
      <w:pPr>
        <w:pStyle w:val="13"/>
      </w:pPr>
      <w:r w:rsidRPr="00D269D2">
        <w:rPr>
          <w:rFonts w:hint="eastAsia"/>
        </w:rPr>
        <w:t>3.关注实际存在但未入账或已摊销完毕的无形资产、未来义务及或有事项等是否纳入评估范围并在《企业关于进行资产评估有关事项的说明》中进行了详细说明。</w:t>
      </w:r>
    </w:p>
    <w:p w14:paraId="6F0D6F75" w14:textId="77777777" w:rsidR="00D269D2" w:rsidRPr="00D269D2" w:rsidRDefault="00D269D2" w:rsidP="00D269D2">
      <w:pPr>
        <w:pStyle w:val="13"/>
      </w:pPr>
      <w:r w:rsidRPr="00D269D2">
        <w:rPr>
          <w:rFonts w:hint="eastAsia"/>
        </w:rPr>
        <w:t>4.涉及企业改制或重组时，若方案设计中并非全部资产、负债进行改制或重组，存在如土地使用权、房屋、无形资产等租赁使用而不纳入评估范围、部分长期投资划出等情形的，评估范围应与经批准的改制或重组方案的资产负债范围保持一致，并在特别事项中予以披露。委托评估的资产是经剥离部分资产后的整体资产时，应说明被剥离资产的明细、剥离原因及处置方案。</w:t>
      </w:r>
    </w:p>
    <w:p w14:paraId="7179E080" w14:textId="77777777" w:rsidR="00D269D2" w:rsidRPr="00D269D2" w:rsidRDefault="00D269D2" w:rsidP="00D269D2">
      <w:pPr>
        <w:pStyle w:val="13"/>
      </w:pPr>
      <w:r w:rsidRPr="00D269D2">
        <w:rPr>
          <w:rFonts w:hint="eastAsia"/>
        </w:rPr>
        <w:t>5.对于经营租入资产、特许使用的资产，应当特别说明是否纳入评估范围及其理由。</w:t>
      </w:r>
    </w:p>
    <w:p w14:paraId="6BA67839" w14:textId="77777777" w:rsidR="00D269D2" w:rsidRPr="00D269D2" w:rsidRDefault="00D269D2" w:rsidP="00D269D2">
      <w:pPr>
        <w:pStyle w:val="13"/>
      </w:pPr>
      <w:r w:rsidRPr="00D269D2">
        <w:rPr>
          <w:rFonts w:hint="eastAsia"/>
        </w:rPr>
        <w:t>（五）价值类型和定义的审核</w:t>
      </w:r>
    </w:p>
    <w:p w14:paraId="6C5F07EF" w14:textId="77777777" w:rsidR="00D269D2" w:rsidRPr="00D269D2" w:rsidRDefault="00D269D2" w:rsidP="00D269D2">
      <w:pPr>
        <w:pStyle w:val="13"/>
      </w:pPr>
      <w:r w:rsidRPr="00D269D2">
        <w:rPr>
          <w:rFonts w:hint="eastAsia"/>
        </w:rPr>
        <w:lastRenderedPageBreak/>
        <w:t>应当关注评估报告是否列明所选择的价值类型及其定义。选择市场价值以外的价值类型，应当关注其选择理由和选取的合理性。</w:t>
      </w:r>
    </w:p>
    <w:p w14:paraId="14C044F4" w14:textId="77777777" w:rsidR="00D269D2" w:rsidRPr="00D269D2" w:rsidRDefault="00D269D2" w:rsidP="00D269D2">
      <w:pPr>
        <w:pStyle w:val="13"/>
      </w:pPr>
      <w:r w:rsidRPr="00D269D2">
        <w:rPr>
          <w:rFonts w:hint="eastAsia"/>
        </w:rPr>
        <w:t>（六）评估基准日的审核</w:t>
      </w:r>
    </w:p>
    <w:p w14:paraId="2F21F220" w14:textId="77777777" w:rsidR="00D269D2" w:rsidRPr="00D269D2" w:rsidRDefault="00D269D2" w:rsidP="00D269D2">
      <w:pPr>
        <w:pStyle w:val="13"/>
      </w:pPr>
      <w:r w:rsidRPr="00D269D2">
        <w:rPr>
          <w:rFonts w:hint="eastAsia"/>
        </w:rPr>
        <w:t>1.应关注评估基准日的选择是否妥当，评估结果的使用有效期是否明示。重点关注评估基准</w:t>
      </w:r>
      <w:proofErr w:type="gramStart"/>
      <w:r w:rsidRPr="00D269D2">
        <w:rPr>
          <w:rFonts w:hint="eastAsia"/>
        </w:rPr>
        <w:t>日选择</w:t>
      </w:r>
      <w:proofErr w:type="gramEnd"/>
      <w:r w:rsidRPr="00D269D2">
        <w:rPr>
          <w:rFonts w:hint="eastAsia"/>
        </w:rPr>
        <w:t>的合理性，是否符合有关评估准则的规定要求。</w:t>
      </w:r>
    </w:p>
    <w:p w14:paraId="445272EB" w14:textId="77777777" w:rsidR="00D269D2" w:rsidRPr="00D269D2" w:rsidRDefault="00D269D2" w:rsidP="00D269D2">
      <w:pPr>
        <w:pStyle w:val="13"/>
      </w:pPr>
      <w:r w:rsidRPr="00D269D2">
        <w:rPr>
          <w:rFonts w:hint="eastAsia"/>
        </w:rPr>
        <w:t>2.基准日后是否有对评估结果产生重大影响使评估结果无法有效地服务于评估目的的事项，如汇率、利率等的变动、国家重大政策调整、企业资产权属、数量及价值发生重大变化等，如有，应重新选择评估基准日或调整评估结果。</w:t>
      </w:r>
    </w:p>
    <w:p w14:paraId="2A0F6B2D" w14:textId="77777777" w:rsidR="00D269D2" w:rsidRPr="00D269D2" w:rsidRDefault="00D269D2" w:rsidP="00D269D2">
      <w:pPr>
        <w:pStyle w:val="13"/>
      </w:pPr>
      <w:r w:rsidRPr="00D269D2">
        <w:rPr>
          <w:rFonts w:hint="eastAsia"/>
        </w:rPr>
        <w:t>3.建筑施工类企业的评估基准</w:t>
      </w:r>
      <w:proofErr w:type="gramStart"/>
      <w:r w:rsidRPr="00D269D2">
        <w:rPr>
          <w:rFonts w:hint="eastAsia"/>
        </w:rPr>
        <w:t>日一般</w:t>
      </w:r>
      <w:proofErr w:type="gramEnd"/>
      <w:r w:rsidRPr="00D269D2">
        <w:rPr>
          <w:rFonts w:hint="eastAsia"/>
        </w:rPr>
        <w:t>应选择12月31日（如选择其他评估基准日，应能对建筑施工类企业的收入、成本等进行准确划分和配比）。</w:t>
      </w:r>
    </w:p>
    <w:p w14:paraId="2C8F73F7" w14:textId="77777777" w:rsidR="00D269D2" w:rsidRPr="00D269D2" w:rsidRDefault="00D269D2" w:rsidP="00D269D2">
      <w:pPr>
        <w:pStyle w:val="13"/>
      </w:pPr>
      <w:r w:rsidRPr="00D269D2">
        <w:rPr>
          <w:rFonts w:hint="eastAsia"/>
        </w:rPr>
        <w:t>4.涉及国有股东所持上市公司股份间接转让项目时，应当关注所选择的评估基准日是否符合《上市公司国有股权监督管理办法》（国资委 财政部 证监会令第36号）规定。上市公司股份价值确定的基准日应与国有股东资产评估的基准日一致，且与国有股东产权直接持有单位对该产权变动决策的日期相差不得超过一个月。</w:t>
      </w:r>
    </w:p>
    <w:p w14:paraId="1660A3AC" w14:textId="77777777" w:rsidR="00D269D2" w:rsidRPr="00D269D2" w:rsidRDefault="00D269D2" w:rsidP="00D269D2">
      <w:pPr>
        <w:pStyle w:val="13"/>
      </w:pPr>
      <w:r w:rsidRPr="00D269D2">
        <w:rPr>
          <w:rFonts w:hint="eastAsia"/>
        </w:rPr>
        <w:t>5.涉及上市公司的资产置换、发行股份收购资产等产权变动，评估基准日应为上市公司公告（停牌日）前后一个月内；如停牌期限较长，也可选择停牌期间的某月末为基准日。</w:t>
      </w:r>
    </w:p>
    <w:p w14:paraId="1473C844" w14:textId="77777777" w:rsidR="00D269D2" w:rsidRPr="00D269D2" w:rsidRDefault="00D269D2" w:rsidP="00D269D2">
      <w:pPr>
        <w:pStyle w:val="13"/>
      </w:pPr>
      <w:r w:rsidRPr="00D269D2">
        <w:rPr>
          <w:rFonts w:hint="eastAsia"/>
        </w:rPr>
        <w:t>（七）评估依据的审核</w:t>
      </w:r>
    </w:p>
    <w:p w14:paraId="38D696D2" w14:textId="77777777" w:rsidR="00D269D2" w:rsidRPr="00D269D2" w:rsidRDefault="00D269D2" w:rsidP="00D269D2">
      <w:pPr>
        <w:pStyle w:val="13"/>
      </w:pPr>
      <w:r w:rsidRPr="00D269D2">
        <w:rPr>
          <w:rFonts w:hint="eastAsia"/>
        </w:rPr>
        <w:t>重点关注经济行为依据的合</w:t>
      </w:r>
      <w:proofErr w:type="gramStart"/>
      <w:r w:rsidRPr="00D269D2">
        <w:rPr>
          <w:rFonts w:hint="eastAsia"/>
        </w:rPr>
        <w:t>规</w:t>
      </w:r>
      <w:proofErr w:type="gramEnd"/>
      <w:r w:rsidRPr="00D269D2">
        <w:rPr>
          <w:rFonts w:hint="eastAsia"/>
        </w:rPr>
        <w:t>性和完整性、评估工作过程中所引用的法律法规和技术参数资料等的依据是否适当。</w:t>
      </w:r>
    </w:p>
    <w:p w14:paraId="1B64C005" w14:textId="77777777" w:rsidR="00D269D2" w:rsidRPr="00D269D2" w:rsidRDefault="00D269D2" w:rsidP="00D269D2">
      <w:pPr>
        <w:pStyle w:val="13"/>
      </w:pPr>
      <w:r w:rsidRPr="00D269D2">
        <w:rPr>
          <w:rFonts w:hint="eastAsia"/>
        </w:rPr>
        <w:t>1.评估依据应当明确、规范、具体，便于查阅和理解；评估依据应当具有代表性，且在评估基准日有效。</w:t>
      </w:r>
    </w:p>
    <w:p w14:paraId="03274F78" w14:textId="77777777" w:rsidR="00D269D2" w:rsidRPr="00D269D2" w:rsidRDefault="00D269D2" w:rsidP="00D269D2">
      <w:pPr>
        <w:pStyle w:val="13"/>
      </w:pPr>
      <w:r w:rsidRPr="00D269D2">
        <w:rPr>
          <w:rFonts w:hint="eastAsia"/>
        </w:rPr>
        <w:t>2.评估依据应当完整，相关法律法规、规章、国资管理规范和制度是否列示完整。</w:t>
      </w:r>
    </w:p>
    <w:p w14:paraId="1620654B" w14:textId="77777777" w:rsidR="00D269D2" w:rsidRPr="00D269D2" w:rsidRDefault="00D269D2" w:rsidP="00D269D2">
      <w:pPr>
        <w:pStyle w:val="13"/>
      </w:pPr>
      <w:r w:rsidRPr="00D269D2">
        <w:rPr>
          <w:rFonts w:hint="eastAsia"/>
        </w:rPr>
        <w:t>3.收集的价格信息、工程定额标准等应当与评估对象具有较强的关联性。结合评估目的、业务性质和行业特点等，重点关注取价依据、法律法规依据的相关性及其对资产评估结果的影响。</w:t>
      </w:r>
    </w:p>
    <w:p w14:paraId="73DAB8A6" w14:textId="77777777" w:rsidR="00D269D2" w:rsidRPr="00D269D2" w:rsidRDefault="00D269D2" w:rsidP="00D269D2">
      <w:pPr>
        <w:pStyle w:val="13"/>
      </w:pPr>
      <w:r w:rsidRPr="00D269D2">
        <w:rPr>
          <w:rFonts w:hint="eastAsia"/>
        </w:rPr>
        <w:t>4.应当关注土地、房屋建筑物及无形资产等特殊资产的权属和使用状况。被评估资产应当权属清晰、权属证明文件齐备，房地产应获取交易中心的产权信息。对重要资产权属资料不全面或存在瑕疵的，企业应当妥善解决，并在特别事项中予以披露，提请报告使用者关注。</w:t>
      </w:r>
    </w:p>
    <w:p w14:paraId="28EAB74F" w14:textId="77777777" w:rsidR="00D269D2" w:rsidRPr="00D269D2" w:rsidRDefault="00D269D2" w:rsidP="00D269D2">
      <w:pPr>
        <w:pStyle w:val="13"/>
      </w:pPr>
      <w:r w:rsidRPr="00D269D2">
        <w:rPr>
          <w:rFonts w:hint="eastAsia"/>
        </w:rPr>
        <w:t>（八）评估方法的审核</w:t>
      </w:r>
    </w:p>
    <w:p w14:paraId="4F87270B" w14:textId="77777777" w:rsidR="00D269D2" w:rsidRPr="00D269D2" w:rsidRDefault="00D269D2" w:rsidP="00D269D2">
      <w:pPr>
        <w:pStyle w:val="13"/>
      </w:pPr>
      <w:r w:rsidRPr="00D269D2">
        <w:rPr>
          <w:rFonts w:hint="eastAsia"/>
        </w:rPr>
        <w:t>1.重点审核评估方法、过程是否符合相关准则和规范规定，对于价值量较大、增减值较大的资产、负债应重点审核，同时应分析其评估结果的合理性。</w:t>
      </w:r>
    </w:p>
    <w:p w14:paraId="0EF1A691" w14:textId="77777777" w:rsidR="00D269D2" w:rsidRPr="00D269D2" w:rsidRDefault="00D269D2" w:rsidP="00D269D2">
      <w:pPr>
        <w:pStyle w:val="13"/>
      </w:pPr>
      <w:r w:rsidRPr="00D269D2">
        <w:rPr>
          <w:rFonts w:hint="eastAsia"/>
        </w:rPr>
        <w:t>2.以持续经营为前提进行企业价值评估时，对企业及其拥有实际控制权的长期</w:t>
      </w:r>
      <w:r w:rsidRPr="00D269D2">
        <w:rPr>
          <w:rFonts w:hint="eastAsia"/>
        </w:rPr>
        <w:lastRenderedPageBreak/>
        <w:t>股权投资企业，是否采用了两种或两种以上方法进行评估；采用两种以上方法评估的应分别说明选取每种评估方法的理由及确定评估结果的依据；未采用两种或两种以上评估方法进行评估的，应在报告中分析并披露其他基本评估方法不适用的原因或所受的操作限制；重大资产如房地产是否采用两种以上评估方法评估。</w:t>
      </w:r>
    </w:p>
    <w:p w14:paraId="678FCCC9" w14:textId="77777777" w:rsidR="00D269D2" w:rsidRPr="00D269D2" w:rsidRDefault="00D269D2" w:rsidP="00D269D2">
      <w:pPr>
        <w:pStyle w:val="13"/>
      </w:pPr>
      <w:r w:rsidRPr="00D269D2">
        <w:rPr>
          <w:rFonts w:hint="eastAsia"/>
        </w:rPr>
        <w:t>3.评估机构是否选取有代表性、价值量大的资产、负债作为评估案例进行评估分析说明。评估机构是否在评估报告中对企业拥有的全部土地、无形资产进行分析说明。对企业拥有的房屋建筑物是否进行分类，并将每一类中有代表性、价值量大的房屋建筑物作为评估案例进行分析说明。</w:t>
      </w:r>
    </w:p>
    <w:p w14:paraId="12B01922" w14:textId="77777777" w:rsidR="00D269D2" w:rsidRPr="00D269D2" w:rsidRDefault="00D269D2" w:rsidP="00D269D2">
      <w:pPr>
        <w:pStyle w:val="13"/>
      </w:pPr>
      <w:r w:rsidRPr="00D269D2">
        <w:rPr>
          <w:rFonts w:hint="eastAsia"/>
        </w:rPr>
        <w:t>（九）评估程序的审核</w:t>
      </w:r>
    </w:p>
    <w:p w14:paraId="08C0E63A" w14:textId="77777777" w:rsidR="00D269D2" w:rsidRPr="00D269D2" w:rsidRDefault="00D269D2" w:rsidP="00D269D2">
      <w:pPr>
        <w:pStyle w:val="13"/>
      </w:pPr>
      <w:r w:rsidRPr="00D269D2">
        <w:rPr>
          <w:rFonts w:hint="eastAsia"/>
        </w:rPr>
        <w:t>关注评估程序是否符合评估准则的要求，重点审核评估机构在评估过程中是否履行了必要评估程序，评估过程是否完整，是否存在未履行评估准则规定的必要程序等。关注评估受限的情形以及对评估结果的影响，如果程序受限对评估结果产生重大影响或者无法判断其影响程度的，不得出具资产评估报告。</w:t>
      </w:r>
    </w:p>
    <w:p w14:paraId="6B4CED60" w14:textId="2AD6B3A0" w:rsidR="00D269D2" w:rsidRPr="00D269D2" w:rsidRDefault="00D269D2" w:rsidP="00D269D2">
      <w:pPr>
        <w:pStyle w:val="13"/>
      </w:pPr>
      <w:r>
        <w:rPr>
          <w:rFonts w:hint="eastAsia"/>
        </w:rPr>
        <w:t>（十）</w:t>
      </w:r>
      <w:r w:rsidRPr="00D269D2">
        <w:rPr>
          <w:rFonts w:hint="eastAsia"/>
        </w:rPr>
        <w:t>评估假设的审核</w:t>
      </w:r>
    </w:p>
    <w:p w14:paraId="013B5F75" w14:textId="77777777" w:rsidR="00D269D2" w:rsidRPr="00D269D2" w:rsidRDefault="00D269D2" w:rsidP="00D269D2">
      <w:pPr>
        <w:pStyle w:val="13"/>
      </w:pPr>
      <w:r w:rsidRPr="00D269D2">
        <w:rPr>
          <w:rFonts w:hint="eastAsia"/>
        </w:rPr>
        <w:t>评估假设是评估结果成立的前提条件,审核应关注评估假设的科学性、合理性和相关性，以及评估假设对评估结果的影响。评估假设不可取代必要的评估分析判断。</w:t>
      </w:r>
    </w:p>
    <w:p w14:paraId="5DC9CE6A" w14:textId="77777777" w:rsidR="00D269D2" w:rsidRPr="00D269D2" w:rsidRDefault="00D269D2" w:rsidP="00D269D2">
      <w:pPr>
        <w:pStyle w:val="13"/>
      </w:pPr>
      <w:r w:rsidRPr="00D269D2">
        <w:rPr>
          <w:rFonts w:hint="eastAsia"/>
        </w:rPr>
        <w:t>（十一）评估结果的审核</w:t>
      </w:r>
    </w:p>
    <w:p w14:paraId="22009A38" w14:textId="77777777" w:rsidR="00D269D2" w:rsidRPr="00D269D2" w:rsidRDefault="00D269D2" w:rsidP="00D269D2">
      <w:pPr>
        <w:pStyle w:val="13"/>
      </w:pPr>
      <w:r w:rsidRPr="00D269D2">
        <w:rPr>
          <w:rFonts w:hint="eastAsia"/>
        </w:rPr>
        <w:t>应当关注评估结果是否与评估范围一致，及其与评估目的和经济行为的一致性和适用性。采用两种或两种以上方法进行企业价值评估时，应当关注不同评估方法结果的差异及其原因和最终确定评估结果的理由。</w:t>
      </w:r>
    </w:p>
    <w:p w14:paraId="0C290FE4" w14:textId="77777777" w:rsidR="00D269D2" w:rsidRPr="00D269D2" w:rsidRDefault="00D269D2" w:rsidP="00D269D2">
      <w:pPr>
        <w:pStyle w:val="13"/>
      </w:pPr>
      <w:r w:rsidRPr="00D269D2">
        <w:rPr>
          <w:rFonts w:hint="eastAsia"/>
        </w:rPr>
        <w:t>（十二）特别事项说明的审核</w:t>
      </w:r>
    </w:p>
    <w:p w14:paraId="1E53647D" w14:textId="77777777" w:rsidR="00D269D2" w:rsidRPr="00D269D2" w:rsidRDefault="00D269D2" w:rsidP="00D269D2">
      <w:pPr>
        <w:pStyle w:val="13"/>
      </w:pPr>
      <w:r w:rsidRPr="00D269D2">
        <w:rPr>
          <w:rFonts w:hint="eastAsia"/>
        </w:rPr>
        <w:t>1.重点关注评估程序受到限制、评估特殊处理、评估结果瑕疵等特别事项及期后事项的真实性及其评估处理的合理性。</w:t>
      </w:r>
    </w:p>
    <w:p w14:paraId="0042CDE8" w14:textId="77777777" w:rsidR="00D269D2" w:rsidRPr="00D269D2" w:rsidRDefault="00D269D2" w:rsidP="00D269D2">
      <w:pPr>
        <w:pStyle w:val="13"/>
      </w:pPr>
      <w:r w:rsidRPr="00D269D2">
        <w:rPr>
          <w:rFonts w:hint="eastAsia"/>
        </w:rPr>
        <w:t>2.评估报告应当说明上述事项的形成原因、性质、处理方式、和对评估结果可能产生的影响，并提示评估报告使用者关注其对经济行为的影响。</w:t>
      </w:r>
    </w:p>
    <w:p w14:paraId="1DE1DD21" w14:textId="77777777" w:rsidR="00D269D2" w:rsidRPr="00D269D2" w:rsidRDefault="00D269D2" w:rsidP="00D269D2">
      <w:pPr>
        <w:pStyle w:val="13"/>
      </w:pPr>
      <w:r w:rsidRPr="00D269D2">
        <w:rPr>
          <w:rFonts w:hint="eastAsia"/>
        </w:rPr>
        <w:t>3.对权属资料不全面、评估资料不完整、经济行为有瑕疵的，应关注企业是否已补充完善、中介机构是否履行了必要程序，是否已妥善解决。</w:t>
      </w:r>
    </w:p>
    <w:p w14:paraId="7CECF608" w14:textId="77777777" w:rsidR="00D269D2" w:rsidRPr="00D269D2" w:rsidRDefault="00D269D2" w:rsidP="00D269D2">
      <w:pPr>
        <w:pStyle w:val="13"/>
      </w:pPr>
      <w:r w:rsidRPr="00D269D2">
        <w:rPr>
          <w:rFonts w:hint="eastAsia"/>
        </w:rPr>
        <w:t>4.对引用其他机构出具评估结果的情况，是否说明承担引用不当的责任。</w:t>
      </w:r>
    </w:p>
    <w:p w14:paraId="29A77E3A" w14:textId="77777777" w:rsidR="00D269D2" w:rsidRPr="00D269D2" w:rsidRDefault="00D269D2" w:rsidP="00D269D2">
      <w:pPr>
        <w:pStyle w:val="13"/>
      </w:pPr>
      <w:r w:rsidRPr="00D269D2">
        <w:rPr>
          <w:rFonts w:hint="eastAsia"/>
        </w:rPr>
        <w:t>5.期后事项（评估基准日至评估报告日期间发生的相关事项）可能对评估结果产生影响的，评估处理原则：期后事项对评估结果有重大影响的，应调整评估基准日；期后事项对评估结果有一定影响，且影响是确定的，应在评估结果中考虑，并在报告中披露；期后事项对评估结果有一定影响，但影响不确定的，应在报告中披露。</w:t>
      </w:r>
    </w:p>
    <w:p w14:paraId="19A25183" w14:textId="77777777" w:rsidR="00D269D2" w:rsidRPr="00D269D2" w:rsidRDefault="00D269D2" w:rsidP="00D269D2">
      <w:pPr>
        <w:pStyle w:val="13"/>
      </w:pPr>
      <w:r w:rsidRPr="00D269D2">
        <w:rPr>
          <w:rFonts w:hint="eastAsia"/>
        </w:rPr>
        <w:t>6.评估对应的经济行为中，可能对评估结果产生重大影响的瑕疵情形，有条件的应披露影响的具体数值。</w:t>
      </w:r>
    </w:p>
    <w:p w14:paraId="031DCB49" w14:textId="77777777" w:rsidR="00D269D2" w:rsidRPr="00D269D2" w:rsidRDefault="00D269D2" w:rsidP="00D269D2">
      <w:pPr>
        <w:pStyle w:val="13"/>
      </w:pPr>
      <w:r w:rsidRPr="00D269D2">
        <w:rPr>
          <w:rFonts w:hint="eastAsia"/>
        </w:rPr>
        <w:lastRenderedPageBreak/>
        <w:t>7.对评估中已查明的盘盈、盘亏、毁损、报废、资金挂账、呆坏账、无需支付的负债等原因造成的资产价值变化，评估结果中应作增减值处理，如因企业尚未报经有关部门批准而未对上述资产进行会计处理，评估机构应在评估报告中提示企业按现行规定程序报批后进行处理。</w:t>
      </w:r>
    </w:p>
    <w:p w14:paraId="290C67F1" w14:textId="77777777" w:rsidR="00D269D2" w:rsidRPr="00D269D2" w:rsidRDefault="00D269D2" w:rsidP="00D269D2">
      <w:pPr>
        <w:pStyle w:val="13"/>
      </w:pPr>
      <w:r w:rsidRPr="00D269D2">
        <w:rPr>
          <w:rFonts w:hint="eastAsia"/>
        </w:rPr>
        <w:t>8.披露企业未纳入评估范围的相关资产和负债账面情况，以及剥离资产的处置方案。</w:t>
      </w:r>
    </w:p>
    <w:p w14:paraId="5BFC59C6" w14:textId="77777777" w:rsidR="00D269D2" w:rsidRPr="00D269D2" w:rsidRDefault="00D269D2" w:rsidP="00D269D2">
      <w:pPr>
        <w:pStyle w:val="13"/>
      </w:pPr>
      <w:r w:rsidRPr="00D269D2">
        <w:rPr>
          <w:rFonts w:hint="eastAsia"/>
        </w:rPr>
        <w:t>9.对企业实收资本不实或注册资本尚在认缴期内等情况，资产评估报告应作相应披露。</w:t>
      </w:r>
    </w:p>
    <w:p w14:paraId="7B0CEDDF" w14:textId="77777777" w:rsidR="00D269D2" w:rsidRPr="00D269D2" w:rsidRDefault="00D269D2" w:rsidP="00D269D2">
      <w:pPr>
        <w:pStyle w:val="13"/>
      </w:pPr>
      <w:r w:rsidRPr="00D269D2">
        <w:rPr>
          <w:rFonts w:hint="eastAsia"/>
        </w:rPr>
        <w:t>（十三）签字盖章及评估报告日的审核</w:t>
      </w:r>
    </w:p>
    <w:p w14:paraId="3A0E8843" w14:textId="77777777" w:rsidR="00D269D2" w:rsidRPr="00D269D2" w:rsidRDefault="00D269D2" w:rsidP="00D269D2">
      <w:pPr>
        <w:pStyle w:val="13"/>
      </w:pPr>
      <w:r w:rsidRPr="00D269D2">
        <w:rPr>
          <w:rFonts w:hint="eastAsia"/>
        </w:rPr>
        <w:t>关注资产评估报告签字盖章是否齐全、规范、清晰。资产评估报告应当由至少两名承办该评估业务的资产评估师签字，并加盖评估机构公章（不包括分支机构公章）。资产评估师必须签字并盖章，不得使用签字章。关注《企业关于进行资产评估有关事项的说明》是否已经由委托人单位负责人和被评估单位（产权持有单位）负责人签字，加盖相应单位公章并签署日期。</w:t>
      </w:r>
    </w:p>
    <w:p w14:paraId="5A8E3CBE" w14:textId="77777777" w:rsidR="00D269D2" w:rsidRPr="00D269D2" w:rsidRDefault="00D269D2" w:rsidP="00D269D2">
      <w:pPr>
        <w:pStyle w:val="13"/>
      </w:pPr>
      <w:r w:rsidRPr="00D269D2">
        <w:rPr>
          <w:rFonts w:hint="eastAsia"/>
        </w:rPr>
        <w:t>资产评估报告应当载明评估报告日，通常为评估结果形成的日期，可以不同于资产评估报告签发日。评估审核中如有修改完善事项，应视为评估结果尚未形成。审核人员还应关注评估报告日至审核期间是否有对价值重大影响的事项。</w:t>
      </w:r>
    </w:p>
    <w:p w14:paraId="1DBD2D07" w14:textId="77777777" w:rsidR="00D269D2" w:rsidRPr="00D269D2" w:rsidRDefault="00D269D2" w:rsidP="00D269D2">
      <w:pPr>
        <w:pStyle w:val="13"/>
      </w:pPr>
      <w:r w:rsidRPr="00D269D2">
        <w:rPr>
          <w:rFonts w:hint="eastAsia"/>
        </w:rPr>
        <w:t>（十四）附件的审核</w:t>
      </w:r>
    </w:p>
    <w:p w14:paraId="7D751D83" w14:textId="77777777" w:rsidR="00D269D2" w:rsidRPr="00D269D2" w:rsidRDefault="00D269D2" w:rsidP="00D269D2">
      <w:pPr>
        <w:pStyle w:val="13"/>
      </w:pPr>
      <w:r w:rsidRPr="00D269D2">
        <w:rPr>
          <w:rFonts w:hint="eastAsia"/>
        </w:rPr>
        <w:t>1.应当关注附件是否齐全，评估报告附件内容及其所涉及的签章是否清晰、完整，相关内容是否与评估报告摘要、正文一致。</w:t>
      </w:r>
    </w:p>
    <w:p w14:paraId="10FA1EBB" w14:textId="77777777" w:rsidR="00D269D2" w:rsidRPr="00D269D2" w:rsidRDefault="00D269D2" w:rsidP="00D269D2">
      <w:pPr>
        <w:pStyle w:val="13"/>
      </w:pPr>
      <w:r w:rsidRPr="00D269D2">
        <w:rPr>
          <w:rFonts w:hint="eastAsia"/>
        </w:rPr>
        <w:t>2.关注是否存在未在评估报告中披露的重大事项；是否存在应予评估或披露而未予评估、披露的情况；相关承诺</w:t>
      </w:r>
      <w:proofErr w:type="gramStart"/>
      <w:r w:rsidRPr="00D269D2">
        <w:rPr>
          <w:rFonts w:hint="eastAsia"/>
        </w:rPr>
        <w:t>函是否</w:t>
      </w:r>
      <w:proofErr w:type="gramEnd"/>
      <w:r w:rsidRPr="00D269D2">
        <w:rPr>
          <w:rFonts w:hint="eastAsia"/>
        </w:rPr>
        <w:t>齐备等。</w:t>
      </w:r>
    </w:p>
    <w:p w14:paraId="6679B463" w14:textId="77777777" w:rsidR="00D269D2" w:rsidRPr="00D269D2" w:rsidRDefault="00D269D2" w:rsidP="00D269D2">
      <w:pPr>
        <w:pStyle w:val="13"/>
      </w:pPr>
      <w:r w:rsidRPr="00D269D2">
        <w:rPr>
          <w:rFonts w:hint="eastAsia"/>
        </w:rPr>
        <w:t>3.附件不得缺少与评估目的相对应的经济行为文件。</w:t>
      </w:r>
    </w:p>
    <w:p w14:paraId="660A2C9A" w14:textId="77777777" w:rsidR="00D269D2" w:rsidRPr="00D269D2" w:rsidRDefault="00D269D2" w:rsidP="00D269D2">
      <w:pPr>
        <w:pStyle w:val="13"/>
      </w:pPr>
      <w:r w:rsidRPr="00D269D2">
        <w:rPr>
          <w:rFonts w:hint="eastAsia"/>
        </w:rPr>
        <w:t>4.企业价值评估中，应提供标的企业及其控股二级子企业两年又一期审计报告，包括合并及母公司报表（含企业资产负债表、损益表、现金流量表、所有者权益变动表及附注）。三级及以下控股子企业至少应提供经审计机构盖章的两年又一期审定财务报表。</w:t>
      </w:r>
    </w:p>
    <w:p w14:paraId="2F5E0CB4" w14:textId="77777777" w:rsidR="00D269D2" w:rsidRPr="00D269D2" w:rsidRDefault="00D269D2" w:rsidP="00D269D2">
      <w:pPr>
        <w:pStyle w:val="13"/>
      </w:pPr>
      <w:r w:rsidRPr="00D269D2">
        <w:rPr>
          <w:rFonts w:hint="eastAsia"/>
        </w:rPr>
        <w:t>评估基准日后发生重大资产变动的，应出具模拟资产变动后的审计报告，但模拟事项需在评估备案前完成，模拟事项的审计报告原则上追溯两年又一期。</w:t>
      </w:r>
    </w:p>
    <w:p w14:paraId="461A196D" w14:textId="77777777" w:rsidR="00D269D2" w:rsidRPr="00D269D2" w:rsidRDefault="00D269D2" w:rsidP="00D269D2">
      <w:pPr>
        <w:pStyle w:val="13"/>
      </w:pPr>
      <w:r w:rsidRPr="00D269D2">
        <w:rPr>
          <w:rFonts w:hint="eastAsia"/>
        </w:rPr>
        <w:t>涉及国有参股股权转让不具备单独进行专项审计条件的，国有参股</w:t>
      </w:r>
      <w:proofErr w:type="gramStart"/>
      <w:r w:rsidRPr="00D269D2">
        <w:rPr>
          <w:rFonts w:hint="eastAsia"/>
        </w:rPr>
        <w:t>方至少</w:t>
      </w:r>
      <w:proofErr w:type="gramEnd"/>
      <w:r w:rsidRPr="00D269D2">
        <w:rPr>
          <w:rFonts w:hint="eastAsia"/>
        </w:rPr>
        <w:t>应当取得转让标的企业最近一期年度审计报告。</w:t>
      </w:r>
    </w:p>
    <w:p w14:paraId="724E41BD" w14:textId="77777777" w:rsidR="00D269D2" w:rsidRPr="00D269D2" w:rsidRDefault="00D269D2" w:rsidP="00D269D2">
      <w:pPr>
        <w:pStyle w:val="13"/>
      </w:pPr>
      <w:r w:rsidRPr="00D269D2">
        <w:rPr>
          <w:rFonts w:hint="eastAsia"/>
        </w:rPr>
        <w:t>审计报告为非标准意见的，企业应对该审计意见涉及的事项进行整改方可予以受理。如有关事项无法进行整改，且非标准意见不构成对企业改制或一般股权变动的重大影响的，企业应提供相关说明，并经国有产权持有单位同意，该审计报告可作为</w:t>
      </w:r>
      <w:r w:rsidRPr="00D269D2">
        <w:rPr>
          <w:rFonts w:hint="eastAsia"/>
        </w:rPr>
        <w:lastRenderedPageBreak/>
        <w:t>企业改制或一般股权变动的评估依据。</w:t>
      </w:r>
    </w:p>
    <w:p w14:paraId="3F3CD304" w14:textId="77777777" w:rsidR="00D269D2" w:rsidRPr="00D269D2" w:rsidRDefault="00D269D2" w:rsidP="00D269D2">
      <w:pPr>
        <w:pStyle w:val="13"/>
      </w:pPr>
      <w:r w:rsidRPr="00D269D2">
        <w:rPr>
          <w:rFonts w:hint="eastAsia"/>
        </w:rPr>
        <w:t>5.审核《资产评估委托合同》，应当关注资产评估项目的委托人是否合</w:t>
      </w:r>
      <w:proofErr w:type="gramStart"/>
      <w:r w:rsidRPr="00D269D2">
        <w:rPr>
          <w:rFonts w:hint="eastAsia"/>
        </w:rPr>
        <w:t>规</w:t>
      </w:r>
      <w:proofErr w:type="gramEnd"/>
      <w:r w:rsidRPr="00D269D2">
        <w:rPr>
          <w:rFonts w:hint="eastAsia"/>
        </w:rPr>
        <w:t>，签署内容是否完整，委托经济行为和范围是否与评估报告披露内容是否一致等。</w:t>
      </w:r>
    </w:p>
    <w:p w14:paraId="1B7814E6" w14:textId="77777777" w:rsidR="00D269D2" w:rsidRPr="00D269D2" w:rsidRDefault="00D269D2" w:rsidP="00D269D2">
      <w:pPr>
        <w:pStyle w:val="13"/>
      </w:pPr>
      <w:r w:rsidRPr="00D269D2">
        <w:rPr>
          <w:rFonts w:hint="eastAsia"/>
        </w:rPr>
        <w:t>6.引用其他机构出具的报告结果，所引用的报告如需经相应主管部门批准（备案）的，应当将相应主管部门相关批准（备案）文件作为评估报告附件。</w:t>
      </w:r>
    </w:p>
    <w:p w14:paraId="68C68A3A" w14:textId="77777777" w:rsidR="00D269D2" w:rsidRPr="00D269D2" w:rsidRDefault="00D269D2" w:rsidP="00D269D2">
      <w:pPr>
        <w:pStyle w:val="13"/>
      </w:pPr>
      <w:r w:rsidRPr="00D269D2">
        <w:rPr>
          <w:rFonts w:hint="eastAsia"/>
        </w:rPr>
        <w:t>7.附件应当归类并编制目录及序号，并按序号装订，必要时应单独装订成册。</w:t>
      </w:r>
    </w:p>
    <w:p w14:paraId="23B1C8A3" w14:textId="77777777" w:rsidR="00D269D2" w:rsidRPr="00D269D2" w:rsidRDefault="00D269D2" w:rsidP="00D269D2">
      <w:pPr>
        <w:pStyle w:val="13"/>
      </w:pPr>
      <w:r w:rsidRPr="00D269D2">
        <w:rPr>
          <w:rFonts w:hint="eastAsia"/>
        </w:rPr>
        <w:t>8.评估报告附件为复印件的，应当与原件一致；提供的相关问题证明材料是复印件的，原则上应有该证明材料的提供方盖章；有些证明材料需要由发证机关盖章证明的，原则上需要由发证机关盖章。提交核准备案的评估报告，评估机构应在提供相关问题的证明材料的复印件上，加盖评估机构公章。</w:t>
      </w:r>
    </w:p>
    <w:p w14:paraId="766AC876" w14:textId="77777777" w:rsidR="00D269D2" w:rsidRPr="00D269D2" w:rsidRDefault="00D269D2" w:rsidP="00D269D2">
      <w:pPr>
        <w:pStyle w:val="13"/>
      </w:pPr>
      <w:r w:rsidRPr="00D269D2">
        <w:rPr>
          <w:rFonts w:hint="eastAsia"/>
        </w:rPr>
        <w:t>（十五）评估说明的审核</w:t>
      </w:r>
    </w:p>
    <w:p w14:paraId="7999605B" w14:textId="77777777" w:rsidR="00D269D2" w:rsidRPr="00D269D2" w:rsidRDefault="00D269D2" w:rsidP="00D269D2">
      <w:pPr>
        <w:pStyle w:val="13"/>
      </w:pPr>
      <w:r w:rsidRPr="00D269D2">
        <w:rPr>
          <w:rFonts w:hint="eastAsia"/>
        </w:rPr>
        <w:t>评估说明是评估报告申请核准备案材料的必备部分，评估说明应当做到内容完整、表述清晰，并充分考虑不同经济行为和不同评估方法的特点，其内容应同评估报告所阐述的内容一致。</w:t>
      </w:r>
    </w:p>
    <w:p w14:paraId="0C128F41" w14:textId="77777777" w:rsidR="00D269D2" w:rsidRPr="00D269D2" w:rsidRDefault="00D269D2" w:rsidP="00D269D2">
      <w:pPr>
        <w:pStyle w:val="13"/>
      </w:pPr>
      <w:r w:rsidRPr="00D269D2">
        <w:rPr>
          <w:rFonts w:hint="eastAsia"/>
        </w:rPr>
        <w:t>（十六）资产评估明细表的审核</w:t>
      </w:r>
    </w:p>
    <w:p w14:paraId="3F0E5E65" w14:textId="77777777" w:rsidR="00D269D2" w:rsidRPr="00D269D2" w:rsidRDefault="00D269D2" w:rsidP="00D269D2">
      <w:pPr>
        <w:pStyle w:val="13"/>
      </w:pPr>
      <w:r w:rsidRPr="00D269D2">
        <w:rPr>
          <w:rFonts w:hint="eastAsia"/>
        </w:rPr>
        <w:t>1.资产评估明细表包括目录、资产评估结果汇总表（表一）、资产评估结果分类汇总表（表二）、评估明细表。表一、二应加盖评估机构公章。表格内容应填写完整，原则上不得有缺项。</w:t>
      </w:r>
    </w:p>
    <w:p w14:paraId="254821DC" w14:textId="77777777" w:rsidR="00D269D2" w:rsidRPr="00D269D2" w:rsidRDefault="00D269D2" w:rsidP="00D269D2">
      <w:pPr>
        <w:pStyle w:val="13"/>
      </w:pPr>
      <w:r w:rsidRPr="00D269D2">
        <w:rPr>
          <w:rFonts w:hint="eastAsia"/>
        </w:rPr>
        <w:t>2.企业价值评估采用市场法、收益法评估的，一般情况下应报送资产负债清查明细表，评估结果汇总表中对应的</w:t>
      </w:r>
      <w:proofErr w:type="gramStart"/>
      <w:r w:rsidRPr="00D269D2">
        <w:rPr>
          <w:rFonts w:hint="eastAsia"/>
        </w:rPr>
        <w:t>评估值栏可不</w:t>
      </w:r>
      <w:proofErr w:type="gramEnd"/>
      <w:r w:rsidRPr="00D269D2">
        <w:rPr>
          <w:rFonts w:hint="eastAsia"/>
        </w:rPr>
        <w:t>填写。收益法应提供收入、成本及费用、折旧和摊销、营运资金、资本性支出等预测表格。市场法应提供相关测算表格。</w:t>
      </w:r>
    </w:p>
    <w:p w14:paraId="5B47AE3E" w14:textId="77777777" w:rsidR="00D269D2" w:rsidRPr="00D269D2" w:rsidRDefault="00D269D2" w:rsidP="00D269D2">
      <w:pPr>
        <w:pStyle w:val="13"/>
      </w:pPr>
      <w:r w:rsidRPr="00D269D2">
        <w:rPr>
          <w:rFonts w:hint="eastAsia"/>
        </w:rPr>
        <w:t>3.评估明细表应当按被评估单位分别装订成册。</w:t>
      </w:r>
    </w:p>
    <w:p w14:paraId="23F9566F" w14:textId="77777777" w:rsidR="00D269D2" w:rsidRPr="00D269D2" w:rsidRDefault="00D269D2" w:rsidP="00D269D2">
      <w:pPr>
        <w:pStyle w:val="13"/>
        <w:ind w:firstLine="482"/>
      </w:pPr>
      <w:r w:rsidRPr="00D269D2">
        <w:rPr>
          <w:rFonts w:hint="eastAsia"/>
          <w:b/>
          <w:bCs/>
        </w:rPr>
        <w:t>三、流动资产评估审核</w:t>
      </w:r>
    </w:p>
    <w:p w14:paraId="2F75A569" w14:textId="77777777" w:rsidR="00D269D2" w:rsidRPr="00D269D2" w:rsidRDefault="00D269D2" w:rsidP="00D269D2">
      <w:pPr>
        <w:pStyle w:val="13"/>
      </w:pPr>
      <w:r w:rsidRPr="00D269D2">
        <w:rPr>
          <w:rFonts w:hint="eastAsia"/>
        </w:rPr>
        <w:t>1.对于企业内部往来对账不平，记账分类错误，记账不实、应摊未摊、应提未提、费用记入往来账等情况，应由审计机构进行调整。</w:t>
      </w:r>
    </w:p>
    <w:p w14:paraId="4F5772C1" w14:textId="77777777" w:rsidR="00D269D2" w:rsidRPr="00D269D2" w:rsidRDefault="00D269D2" w:rsidP="00D269D2">
      <w:pPr>
        <w:pStyle w:val="13"/>
      </w:pPr>
      <w:r w:rsidRPr="00D269D2">
        <w:rPr>
          <w:rFonts w:hint="eastAsia"/>
        </w:rPr>
        <w:t>2.应收款项应按明细清查，适当函证，</w:t>
      </w:r>
      <w:proofErr w:type="gramStart"/>
      <w:r w:rsidRPr="00D269D2">
        <w:rPr>
          <w:rFonts w:hint="eastAsia"/>
        </w:rPr>
        <w:t>函证比例</w:t>
      </w:r>
      <w:proofErr w:type="gramEnd"/>
      <w:r w:rsidRPr="00D269D2">
        <w:rPr>
          <w:rFonts w:hint="eastAsia"/>
        </w:rPr>
        <w:t>原则上应不低于应收款项笔数的10％和金额的50％；对于年限长、金额大及有疑问的应收款项必须函证；无回函或者</w:t>
      </w:r>
      <w:proofErr w:type="gramStart"/>
      <w:r w:rsidRPr="00D269D2">
        <w:rPr>
          <w:rFonts w:hint="eastAsia"/>
        </w:rPr>
        <w:t>无法函证的</w:t>
      </w:r>
      <w:proofErr w:type="gramEnd"/>
      <w:r w:rsidRPr="00D269D2">
        <w:rPr>
          <w:rFonts w:hint="eastAsia"/>
        </w:rPr>
        <w:t>，应采用适当的替代程序。为同一经济行为服务的，评估机构可与审计机构共同</w:t>
      </w:r>
      <w:proofErr w:type="gramStart"/>
      <w:r w:rsidRPr="00D269D2">
        <w:rPr>
          <w:rFonts w:hint="eastAsia"/>
        </w:rPr>
        <w:t>进行函证或</w:t>
      </w:r>
      <w:proofErr w:type="gramEnd"/>
      <w:r w:rsidRPr="00D269D2">
        <w:rPr>
          <w:rFonts w:hint="eastAsia"/>
        </w:rPr>
        <w:t>采用审计机构的函证，并根据需要，在</w:t>
      </w:r>
      <w:proofErr w:type="gramStart"/>
      <w:r w:rsidRPr="00D269D2">
        <w:rPr>
          <w:rFonts w:hint="eastAsia"/>
        </w:rPr>
        <w:t>审计函证的</w:t>
      </w:r>
      <w:proofErr w:type="gramEnd"/>
      <w:r w:rsidRPr="00D269D2">
        <w:rPr>
          <w:rFonts w:hint="eastAsia"/>
        </w:rPr>
        <w:t>基础上进行追加函证。评估机构引用审计机构</w:t>
      </w:r>
      <w:proofErr w:type="gramStart"/>
      <w:r w:rsidRPr="00D269D2">
        <w:rPr>
          <w:rFonts w:hint="eastAsia"/>
        </w:rPr>
        <w:t>的函证等</w:t>
      </w:r>
      <w:proofErr w:type="gramEnd"/>
      <w:r w:rsidRPr="00D269D2">
        <w:rPr>
          <w:rFonts w:hint="eastAsia"/>
        </w:rPr>
        <w:t>资料，应承担引用资料的相关责任。对应收款项的评估，评估人员应根据可收回程度做出职业判断。</w:t>
      </w:r>
    </w:p>
    <w:p w14:paraId="68DA2622" w14:textId="77777777" w:rsidR="00D269D2" w:rsidRPr="00D269D2" w:rsidRDefault="00D269D2" w:rsidP="00D269D2">
      <w:pPr>
        <w:pStyle w:val="13"/>
      </w:pPr>
      <w:r w:rsidRPr="00D269D2">
        <w:rPr>
          <w:rFonts w:hint="eastAsia"/>
        </w:rPr>
        <w:t>3.对应收账款、其他应收款等虽无确凿证据但预计无法收回的债权可作为坏账评减。具体操作如下：</w:t>
      </w:r>
    </w:p>
    <w:p w14:paraId="13F5E642" w14:textId="77777777" w:rsidR="00D269D2" w:rsidRPr="00D269D2" w:rsidRDefault="00D269D2" w:rsidP="00D269D2">
      <w:pPr>
        <w:pStyle w:val="13"/>
      </w:pPr>
      <w:r w:rsidRPr="00D269D2">
        <w:rPr>
          <w:rFonts w:hint="eastAsia"/>
        </w:rPr>
        <w:t>（1）对于很可能收不回部分款项的，在难以确定收不回债权的数额时，可以根</w:t>
      </w:r>
      <w:r w:rsidRPr="00D269D2">
        <w:rPr>
          <w:rFonts w:hint="eastAsia"/>
        </w:rPr>
        <w:lastRenderedPageBreak/>
        <w:t>据企业历史资料估计出这部分可能收不回的债权作为评估减项，确定评估值。</w:t>
      </w:r>
    </w:p>
    <w:p w14:paraId="5B8F27C6" w14:textId="77777777" w:rsidR="00D269D2" w:rsidRPr="00D269D2" w:rsidRDefault="00D269D2" w:rsidP="00D269D2">
      <w:pPr>
        <w:pStyle w:val="13"/>
      </w:pPr>
      <w:r w:rsidRPr="00D269D2">
        <w:rPr>
          <w:rFonts w:hint="eastAsia"/>
        </w:rPr>
        <w:t>（2）对于符合有关管理制度规定应予以核销的或有确凿根据（具有法律效力的外部证据）表明无法收回的，应按零值计算。评估人员须在评估报告中单独说明，列示相关证明材料，并注明国有单位需办妥有关手续。</w:t>
      </w:r>
    </w:p>
    <w:p w14:paraId="1DF5C0CE" w14:textId="77777777" w:rsidR="00D269D2" w:rsidRPr="00D269D2" w:rsidRDefault="00D269D2" w:rsidP="00D269D2">
      <w:pPr>
        <w:pStyle w:val="13"/>
      </w:pPr>
      <w:r w:rsidRPr="00D269D2">
        <w:rPr>
          <w:rFonts w:hint="eastAsia"/>
        </w:rPr>
        <w:t>具有法律效力的外部证据，是指司法机关的判决或者裁定；公安机关的立案结案证明、回复；工商管理部门出具的注销、吊销及停业证明；企业的破产清算公告及清偿文件；政府部门的公文及明令禁止的文件；国家及授权专业技术鉴定部门的鉴定报告；保险公司对投保资产出具的出险调查单、理赔计算单；符合法律条件的其他证据等书面文件。</w:t>
      </w:r>
    </w:p>
    <w:p w14:paraId="77F26B8F" w14:textId="77777777" w:rsidR="00D269D2" w:rsidRPr="00D269D2" w:rsidRDefault="00D269D2" w:rsidP="00D269D2">
      <w:pPr>
        <w:pStyle w:val="13"/>
      </w:pPr>
      <w:r w:rsidRPr="00D269D2">
        <w:rPr>
          <w:rFonts w:hint="eastAsia"/>
        </w:rPr>
        <w:t>（3）对账面上的“坏账准备”科目应按零值评估。</w:t>
      </w:r>
    </w:p>
    <w:p w14:paraId="0E3DA2EB" w14:textId="77777777" w:rsidR="00D269D2" w:rsidRPr="00D269D2" w:rsidRDefault="00D269D2" w:rsidP="00D269D2">
      <w:pPr>
        <w:pStyle w:val="13"/>
        <w:ind w:firstLine="482"/>
      </w:pPr>
      <w:r w:rsidRPr="00D269D2">
        <w:rPr>
          <w:rFonts w:hint="eastAsia"/>
          <w:b/>
          <w:bCs/>
        </w:rPr>
        <w:t>四、长期投资评估审核</w:t>
      </w:r>
    </w:p>
    <w:p w14:paraId="6D9FCB5D" w14:textId="77777777" w:rsidR="00D269D2" w:rsidRPr="00D269D2" w:rsidRDefault="00D269D2" w:rsidP="00D269D2">
      <w:pPr>
        <w:pStyle w:val="13"/>
      </w:pPr>
      <w:r w:rsidRPr="00D269D2">
        <w:rPr>
          <w:rFonts w:hint="eastAsia"/>
        </w:rPr>
        <w:t>1.可供出售金融资产中的股权投资审核要求与长期投资要求一致。</w:t>
      </w:r>
    </w:p>
    <w:p w14:paraId="26499F41" w14:textId="77777777" w:rsidR="00D269D2" w:rsidRPr="00D269D2" w:rsidRDefault="00D269D2" w:rsidP="00D269D2">
      <w:pPr>
        <w:pStyle w:val="13"/>
      </w:pPr>
      <w:r w:rsidRPr="00D269D2">
        <w:rPr>
          <w:rFonts w:hint="eastAsia"/>
        </w:rPr>
        <w:t>2.评估机构原则上应对企业的全部长期投资单位（包括歇业的）进行资产清查。</w:t>
      </w:r>
    </w:p>
    <w:p w14:paraId="716F4CD0" w14:textId="77777777" w:rsidR="00D269D2" w:rsidRPr="00D269D2" w:rsidRDefault="00D269D2" w:rsidP="00D269D2">
      <w:pPr>
        <w:pStyle w:val="13"/>
      </w:pPr>
      <w:r w:rsidRPr="00D269D2">
        <w:rPr>
          <w:rFonts w:hint="eastAsia"/>
        </w:rPr>
        <w:t>3.资产评估</w:t>
      </w:r>
      <w:proofErr w:type="gramStart"/>
      <w:r w:rsidRPr="00D269D2">
        <w:rPr>
          <w:rFonts w:hint="eastAsia"/>
        </w:rPr>
        <w:t>师应当</w:t>
      </w:r>
      <w:proofErr w:type="gramEnd"/>
      <w:r w:rsidRPr="00D269D2">
        <w:rPr>
          <w:rFonts w:hint="eastAsia"/>
        </w:rPr>
        <w:t>对长期股权投资项目进行分析，根据相关项目的具体资产、盈利状况、股权比例、清查情况及其对评估结果的影响程度等因素，合理确定评估方法和评估程序，不能简单地按照账面值以及</w:t>
      </w:r>
      <w:proofErr w:type="gramStart"/>
      <w:r w:rsidRPr="00D269D2">
        <w:rPr>
          <w:rFonts w:hint="eastAsia"/>
        </w:rPr>
        <w:t>审计值</w:t>
      </w:r>
      <w:proofErr w:type="gramEnd"/>
      <w:r w:rsidRPr="00D269D2">
        <w:rPr>
          <w:rFonts w:hint="eastAsia"/>
        </w:rPr>
        <w:t>进行评估。</w:t>
      </w:r>
    </w:p>
    <w:p w14:paraId="55E2BD59" w14:textId="77777777" w:rsidR="00D269D2" w:rsidRPr="00D269D2" w:rsidRDefault="00D269D2" w:rsidP="00D269D2">
      <w:pPr>
        <w:pStyle w:val="13"/>
      </w:pPr>
      <w:r w:rsidRPr="00D269D2">
        <w:rPr>
          <w:rFonts w:hint="eastAsia"/>
        </w:rPr>
        <w:t>长期投资（不论级次、是否控股）原则上应对被投资企业进行股权价值评估。应重点关注拥有房地产、无形资产等重大资产或经营状况较好的长期投资企业。</w:t>
      </w:r>
    </w:p>
    <w:p w14:paraId="7686EDD9" w14:textId="77777777" w:rsidR="00D269D2" w:rsidRPr="00D269D2" w:rsidRDefault="00D269D2" w:rsidP="00D269D2">
      <w:pPr>
        <w:pStyle w:val="13"/>
      </w:pPr>
      <w:r w:rsidRPr="00D269D2">
        <w:rPr>
          <w:rFonts w:hint="eastAsia"/>
        </w:rPr>
        <w:t>4.如果被投资单位成立期限较短，价值变化不大，资产账实相符，则可根据核实后的被投资企业资产负债表或经审计的净资产数额测算股权投资的价值。</w:t>
      </w:r>
    </w:p>
    <w:p w14:paraId="315F9AF7" w14:textId="77777777" w:rsidR="00D269D2" w:rsidRPr="00D269D2" w:rsidRDefault="00D269D2" w:rsidP="00D269D2">
      <w:pPr>
        <w:pStyle w:val="13"/>
      </w:pPr>
      <w:r w:rsidRPr="00D269D2">
        <w:rPr>
          <w:rFonts w:hint="eastAsia"/>
        </w:rPr>
        <w:t>5.长期股权投资实际股权比例与工商登记比例不一致的，一般应根据工商登记股权比例评估，但资产评估师应关注以往实际变更情况，取得合法证据后做出职业判断。</w:t>
      </w:r>
    </w:p>
    <w:p w14:paraId="3BC8B665" w14:textId="77777777" w:rsidR="00D269D2" w:rsidRPr="00D269D2" w:rsidRDefault="00D269D2" w:rsidP="00D269D2">
      <w:pPr>
        <w:pStyle w:val="13"/>
      </w:pPr>
      <w:r w:rsidRPr="00D269D2">
        <w:rPr>
          <w:rFonts w:hint="eastAsia"/>
        </w:rPr>
        <w:t>6.长期投资单位在注册资本在认缴期内，原则上应按照章程、协议履行出资义务后才能享有相应股东权益，在企业实缴状态符合公司法、章程约定的情况下，评估可以按照以下方式确认股东权益价值：部分股东权益价值=（评估基准日全部股东权益价值评估值+应缴未缴出资额）×该股东认缴的出资比例-该股东应缴未缴出资额。</w:t>
      </w:r>
    </w:p>
    <w:p w14:paraId="1E0A112B" w14:textId="77777777" w:rsidR="00D269D2" w:rsidRPr="00D269D2" w:rsidRDefault="00D269D2" w:rsidP="00D269D2">
      <w:pPr>
        <w:pStyle w:val="13"/>
      </w:pPr>
      <w:r w:rsidRPr="00D269D2">
        <w:rPr>
          <w:rFonts w:hint="eastAsia"/>
        </w:rPr>
        <w:t>7.存在交叉持股的，应当列示交叉</w:t>
      </w:r>
      <w:proofErr w:type="gramStart"/>
      <w:r w:rsidRPr="00D269D2">
        <w:rPr>
          <w:rFonts w:hint="eastAsia"/>
        </w:rPr>
        <w:t>持股图</w:t>
      </w:r>
      <w:proofErr w:type="gramEnd"/>
      <w:r w:rsidRPr="00D269D2">
        <w:rPr>
          <w:rFonts w:hint="eastAsia"/>
        </w:rPr>
        <w:t>并简述交叉持股关系及是否属于同</w:t>
      </w:r>
      <w:proofErr w:type="gramStart"/>
      <w:r w:rsidRPr="00D269D2">
        <w:rPr>
          <w:rFonts w:hint="eastAsia"/>
        </w:rPr>
        <w:t>一控制</w:t>
      </w:r>
      <w:proofErr w:type="gramEnd"/>
      <w:r w:rsidRPr="00D269D2">
        <w:rPr>
          <w:rFonts w:hint="eastAsia"/>
        </w:rPr>
        <w:t>的情形。</w:t>
      </w:r>
    </w:p>
    <w:p w14:paraId="0341553F" w14:textId="77777777" w:rsidR="00D269D2" w:rsidRPr="00D269D2" w:rsidRDefault="00D269D2" w:rsidP="00D269D2">
      <w:pPr>
        <w:pStyle w:val="13"/>
      </w:pPr>
      <w:r w:rsidRPr="00D269D2">
        <w:rPr>
          <w:rFonts w:hint="eastAsia"/>
        </w:rPr>
        <w:t>交叉持股公司企业价值评估值可通过以下两个公式来计算。</w:t>
      </w:r>
    </w:p>
    <w:p w14:paraId="7C701552" w14:textId="77777777" w:rsidR="00D269D2" w:rsidRPr="00D269D2" w:rsidRDefault="00D269D2" w:rsidP="00D269D2">
      <w:pPr>
        <w:pStyle w:val="13"/>
      </w:pPr>
      <w:r w:rsidRPr="00D269D2">
        <w:rPr>
          <w:rFonts w:hint="eastAsia"/>
        </w:rPr>
        <w:t>A公司企业价值＝除对B公司股权价值外的A公司其他资产价值＋B公司企业价值×A公司占B公司的股权比例</w:t>
      </w:r>
    </w:p>
    <w:p w14:paraId="72EED6E9" w14:textId="77777777" w:rsidR="00D269D2" w:rsidRPr="00D269D2" w:rsidRDefault="00D269D2" w:rsidP="00D269D2">
      <w:pPr>
        <w:pStyle w:val="13"/>
      </w:pPr>
      <w:r w:rsidRPr="00D269D2">
        <w:rPr>
          <w:rFonts w:hint="eastAsia"/>
        </w:rPr>
        <w:t>B公司企业价值＝除对A公司股权价值外的B公司其他资产价值＋A公司企业价值×B公司占A公司的股权比例</w:t>
      </w:r>
    </w:p>
    <w:p w14:paraId="4FB79D9B" w14:textId="77777777" w:rsidR="00D269D2" w:rsidRPr="00D269D2" w:rsidRDefault="00D269D2" w:rsidP="00D269D2">
      <w:pPr>
        <w:pStyle w:val="13"/>
      </w:pPr>
      <w:r w:rsidRPr="00D269D2">
        <w:rPr>
          <w:rFonts w:hint="eastAsia"/>
        </w:rPr>
        <w:lastRenderedPageBreak/>
        <w:t>8.对于净资产评估为负值的长期投资应作具体分析，应当结合其与母公司之间往来款、相关权利义务约定及资本实缴等情况予以判断，不可简单将其长期投资直接评估为零。</w:t>
      </w:r>
    </w:p>
    <w:p w14:paraId="1E582887" w14:textId="77777777" w:rsidR="00D269D2" w:rsidRPr="00D269D2" w:rsidRDefault="00D269D2" w:rsidP="00D269D2">
      <w:pPr>
        <w:pStyle w:val="13"/>
        <w:ind w:firstLine="482"/>
      </w:pPr>
      <w:r w:rsidRPr="00D269D2">
        <w:rPr>
          <w:rFonts w:hint="eastAsia"/>
          <w:b/>
          <w:bCs/>
        </w:rPr>
        <w:t>五、房地产评估审核</w:t>
      </w:r>
    </w:p>
    <w:p w14:paraId="37177B51" w14:textId="77777777" w:rsidR="00D269D2" w:rsidRPr="00D269D2" w:rsidRDefault="00D269D2" w:rsidP="00D269D2">
      <w:pPr>
        <w:pStyle w:val="13"/>
      </w:pPr>
      <w:r w:rsidRPr="00D269D2">
        <w:rPr>
          <w:rFonts w:hint="eastAsia"/>
        </w:rPr>
        <w:t>1.房地产原则上应采用两种以上方法评估。</w:t>
      </w:r>
    </w:p>
    <w:p w14:paraId="1AE295B7" w14:textId="77777777" w:rsidR="00D269D2" w:rsidRPr="00D269D2" w:rsidRDefault="00D269D2" w:rsidP="00D269D2">
      <w:pPr>
        <w:pStyle w:val="13"/>
      </w:pPr>
      <w:r w:rsidRPr="00D269D2">
        <w:rPr>
          <w:rFonts w:hint="eastAsia"/>
        </w:rPr>
        <w:t>2.房地产权证记载的内容与规划许可证记载的内容不一致时，评估应以权证记载内容为准。</w:t>
      </w:r>
    </w:p>
    <w:p w14:paraId="0196454E" w14:textId="77777777" w:rsidR="00D269D2" w:rsidRPr="00D269D2" w:rsidRDefault="00D269D2" w:rsidP="00D269D2">
      <w:pPr>
        <w:pStyle w:val="13"/>
      </w:pPr>
      <w:r w:rsidRPr="00D269D2">
        <w:rPr>
          <w:rFonts w:hint="eastAsia"/>
        </w:rPr>
        <w:t>3.房地产实际状态、用途与权证记载状态、用途不一致时，一般应按权证用途确认。但资产评估</w:t>
      </w:r>
      <w:proofErr w:type="gramStart"/>
      <w:r w:rsidRPr="00D269D2">
        <w:rPr>
          <w:rFonts w:hint="eastAsia"/>
        </w:rPr>
        <w:t>师应当</w:t>
      </w:r>
      <w:proofErr w:type="gramEnd"/>
      <w:r w:rsidRPr="00D269D2">
        <w:rPr>
          <w:rFonts w:hint="eastAsia"/>
        </w:rPr>
        <w:t>调查了解被评估对象所在区域的规划情况，分析房地产实际状态、用途的可持续性。对于实际状态、用途与房地产权证记载用途不一致，但明确符合规划用途的，应当充分考虑规划用途调整及相对应市场的实际交易情况对被评估房地产价值的影响。对于房地产实际状态、用途无法持续的视具体情况进行评估。当房地产存在多种利用方式时，应当在合法的前提下，以最优利用方式进行评估。</w:t>
      </w:r>
    </w:p>
    <w:p w14:paraId="7CED812C" w14:textId="77777777" w:rsidR="00D269D2" w:rsidRPr="00D269D2" w:rsidRDefault="00D269D2" w:rsidP="00D269D2">
      <w:pPr>
        <w:pStyle w:val="13"/>
      </w:pPr>
      <w:r w:rsidRPr="00D269D2">
        <w:rPr>
          <w:rFonts w:hint="eastAsia"/>
        </w:rPr>
        <w:t>4.</w:t>
      </w:r>
      <w:proofErr w:type="gramStart"/>
      <w:r w:rsidRPr="00D269D2">
        <w:rPr>
          <w:rFonts w:hint="eastAsia"/>
        </w:rPr>
        <w:t>无权证建筑</w:t>
      </w:r>
      <w:proofErr w:type="gramEnd"/>
      <w:r w:rsidRPr="00D269D2">
        <w:rPr>
          <w:rFonts w:hint="eastAsia"/>
        </w:rPr>
        <w:t>应结合其形成原因和合法性等情况按照贡献原则考虑其价值，评估时应在评估报告的“特别事项说明”及评估说明中披露权证情况以及对价值的影响。</w:t>
      </w:r>
    </w:p>
    <w:p w14:paraId="3E816BE6" w14:textId="77777777" w:rsidR="00D269D2" w:rsidRPr="00D269D2" w:rsidRDefault="00D269D2" w:rsidP="00D269D2">
      <w:pPr>
        <w:pStyle w:val="13"/>
      </w:pPr>
      <w:r w:rsidRPr="00D269D2">
        <w:rPr>
          <w:rFonts w:hint="eastAsia"/>
        </w:rPr>
        <w:t>5.应对企业在租赁土地上建造的房屋建筑物进行评估，评估时应在评估报告的“特别事项说明”及评估说明中披露权证情况以及对价值的影响。</w:t>
      </w:r>
    </w:p>
    <w:p w14:paraId="06151FC3" w14:textId="77777777" w:rsidR="00D269D2" w:rsidRPr="00D269D2" w:rsidRDefault="00D269D2" w:rsidP="00D269D2">
      <w:pPr>
        <w:pStyle w:val="13"/>
      </w:pPr>
      <w:r w:rsidRPr="00D269D2">
        <w:rPr>
          <w:rFonts w:hint="eastAsia"/>
        </w:rPr>
        <w:t>6.房地产评估应严格按照规定的程序操作，操作中还应该特别注意下列程序：</w:t>
      </w:r>
    </w:p>
    <w:p w14:paraId="73704112" w14:textId="77777777" w:rsidR="00D269D2" w:rsidRPr="00D269D2" w:rsidRDefault="00D269D2" w:rsidP="00D269D2">
      <w:pPr>
        <w:pStyle w:val="13"/>
      </w:pPr>
      <w:r w:rsidRPr="00D269D2">
        <w:rPr>
          <w:rFonts w:hint="eastAsia"/>
        </w:rPr>
        <w:t>（1）核实权证记载内容与实际情况的异同；</w:t>
      </w:r>
    </w:p>
    <w:p w14:paraId="347D4973" w14:textId="77777777" w:rsidR="00D269D2" w:rsidRPr="00D269D2" w:rsidRDefault="00D269D2" w:rsidP="00D269D2">
      <w:pPr>
        <w:pStyle w:val="13"/>
      </w:pPr>
      <w:r w:rsidRPr="00D269D2">
        <w:rPr>
          <w:rFonts w:hint="eastAsia"/>
        </w:rPr>
        <w:t>（2）全面了解被评估对象所在区域的规划情况及该地块的规划情况；</w:t>
      </w:r>
    </w:p>
    <w:p w14:paraId="457788A2" w14:textId="77777777" w:rsidR="00D269D2" w:rsidRPr="00D269D2" w:rsidRDefault="00D269D2" w:rsidP="00D269D2">
      <w:pPr>
        <w:pStyle w:val="13"/>
      </w:pPr>
      <w:r w:rsidRPr="00D269D2">
        <w:rPr>
          <w:rFonts w:hint="eastAsia"/>
        </w:rPr>
        <w:t>（3）充分调查被评估对象周边的市场情况；对所选择的交易案例作全面调查，充分掌握案例的交易背景、交易条件、受让方的情况、案例对象的区域因素、个别因素及其他因素等。</w:t>
      </w:r>
    </w:p>
    <w:p w14:paraId="15C1901D" w14:textId="77777777" w:rsidR="00D269D2" w:rsidRPr="00D269D2" w:rsidRDefault="00D269D2" w:rsidP="00D269D2">
      <w:pPr>
        <w:pStyle w:val="13"/>
      </w:pPr>
      <w:r w:rsidRPr="00D269D2">
        <w:rPr>
          <w:rFonts w:hint="eastAsia"/>
        </w:rPr>
        <w:t>（4）一般情况下，应当对所评估的房地产进行现场勘察，明确其存在的状态并关注其权属状况。因客观原因无法进行实地查看的部分，应采取适当措施加以判断并予以适当披露。房地产开发企业或房地产资产价值量较大的其他企业，应在评估说明或附件中增加房地产的位置图和照片信息。</w:t>
      </w:r>
    </w:p>
    <w:p w14:paraId="3DC2532B" w14:textId="77777777" w:rsidR="00D269D2" w:rsidRPr="00D269D2" w:rsidRDefault="00D269D2" w:rsidP="00D269D2">
      <w:pPr>
        <w:pStyle w:val="13"/>
      </w:pPr>
      <w:r w:rsidRPr="00D269D2">
        <w:rPr>
          <w:rFonts w:hint="eastAsia"/>
        </w:rPr>
        <w:t>（5）企业价值评估中对于有权证的房地产，评估时应在市场价值</w:t>
      </w:r>
      <w:proofErr w:type="gramStart"/>
      <w:r w:rsidRPr="00D269D2">
        <w:rPr>
          <w:rFonts w:hint="eastAsia"/>
        </w:rPr>
        <w:t>外考虑</w:t>
      </w:r>
      <w:proofErr w:type="gramEnd"/>
      <w:r w:rsidRPr="00D269D2">
        <w:rPr>
          <w:rFonts w:hint="eastAsia"/>
        </w:rPr>
        <w:t>契税的影响，其他办理权证的费用，如交易手续费、印花税、登记费、图纸费等可适当考虑。</w:t>
      </w:r>
    </w:p>
    <w:p w14:paraId="62FD8005" w14:textId="77777777" w:rsidR="00D269D2" w:rsidRPr="00D269D2" w:rsidRDefault="00D269D2" w:rsidP="00D269D2">
      <w:pPr>
        <w:pStyle w:val="13"/>
      </w:pPr>
      <w:r w:rsidRPr="00D269D2">
        <w:rPr>
          <w:rFonts w:hint="eastAsia"/>
        </w:rPr>
        <w:t>（6）在企业价值评估中，应重点关注作为存货的房地产、投资性房地产和自用房地产的价值影响因素存在差异。</w:t>
      </w:r>
    </w:p>
    <w:p w14:paraId="32253322" w14:textId="77777777" w:rsidR="00D269D2" w:rsidRPr="00D269D2" w:rsidRDefault="00D269D2" w:rsidP="00D269D2">
      <w:pPr>
        <w:pStyle w:val="13"/>
      </w:pPr>
      <w:r w:rsidRPr="00D269D2">
        <w:rPr>
          <w:rFonts w:hint="eastAsia"/>
        </w:rPr>
        <w:t>7.土地使用权评估方法的选择。</w:t>
      </w:r>
    </w:p>
    <w:p w14:paraId="582767BB" w14:textId="77777777" w:rsidR="00D269D2" w:rsidRPr="00D269D2" w:rsidRDefault="00D269D2" w:rsidP="00D269D2">
      <w:pPr>
        <w:pStyle w:val="13"/>
      </w:pPr>
      <w:r w:rsidRPr="00D269D2">
        <w:rPr>
          <w:rFonts w:hint="eastAsia"/>
        </w:rPr>
        <w:t>在选择土地使用权评估方法时，应充分考虑评估目的、被评估地块的现状、规划</w:t>
      </w:r>
      <w:r w:rsidRPr="00D269D2">
        <w:rPr>
          <w:rFonts w:hint="eastAsia"/>
        </w:rPr>
        <w:lastRenderedPageBreak/>
        <w:t>用途等因素，选择能充分反映被评估地块市场价值的合理方法。</w:t>
      </w:r>
    </w:p>
    <w:p w14:paraId="7AC35C9A" w14:textId="77777777" w:rsidR="00D269D2" w:rsidRPr="00D269D2" w:rsidRDefault="00D269D2" w:rsidP="00D269D2">
      <w:pPr>
        <w:pStyle w:val="13"/>
      </w:pPr>
      <w:r w:rsidRPr="00D269D2">
        <w:rPr>
          <w:rFonts w:hint="eastAsia"/>
        </w:rPr>
        <w:t>土地使用权评估方法一般为市场法、收益法、假设开发法。当被评估土地处于上海市八级</w:t>
      </w:r>
      <w:proofErr w:type="gramStart"/>
      <w:r w:rsidRPr="00D269D2">
        <w:rPr>
          <w:rFonts w:hint="eastAsia"/>
        </w:rPr>
        <w:t>地区域</w:t>
      </w:r>
      <w:proofErr w:type="gramEnd"/>
      <w:r w:rsidRPr="00D269D2">
        <w:rPr>
          <w:rFonts w:hint="eastAsia"/>
        </w:rPr>
        <w:t>以外（含八级地区域）或相邻区域</w:t>
      </w:r>
      <w:proofErr w:type="gramStart"/>
      <w:r w:rsidRPr="00D269D2">
        <w:rPr>
          <w:rFonts w:hint="eastAsia"/>
        </w:rPr>
        <w:t>内近期</w:t>
      </w:r>
      <w:proofErr w:type="gramEnd"/>
      <w:r w:rsidRPr="00D269D2">
        <w:rPr>
          <w:rFonts w:hint="eastAsia"/>
        </w:rPr>
        <w:t>有征地案例的，如果无法使用前述三种方法时，可以考虑采用成本法。土地使用权评估一般不宜单独使用基准地价系数修正法。工业用地使用权评估，评估价不得低于国土资源部制定的《全国工业用地出让最低价标准》或各地方标准。</w:t>
      </w:r>
    </w:p>
    <w:p w14:paraId="33C480D3" w14:textId="77777777" w:rsidR="00D269D2" w:rsidRPr="00D269D2" w:rsidRDefault="00D269D2" w:rsidP="00D269D2">
      <w:pPr>
        <w:pStyle w:val="13"/>
      </w:pPr>
      <w:r w:rsidRPr="00D269D2">
        <w:rPr>
          <w:rFonts w:hint="eastAsia"/>
        </w:rPr>
        <w:t>8.被评估企业无房屋建筑物的，评估时应在评估报告的“特别事项说明”中揭示被评估企业生产、经营用房的权属情况。</w:t>
      </w:r>
    </w:p>
    <w:p w14:paraId="488CF1BA" w14:textId="77777777" w:rsidR="00D269D2" w:rsidRPr="00D269D2" w:rsidRDefault="00D269D2" w:rsidP="00D269D2">
      <w:pPr>
        <w:pStyle w:val="13"/>
        <w:ind w:firstLine="482"/>
      </w:pPr>
      <w:r w:rsidRPr="00D269D2">
        <w:rPr>
          <w:rFonts w:hint="eastAsia"/>
          <w:b/>
          <w:bCs/>
        </w:rPr>
        <w:t>六、机器设备评估审核</w:t>
      </w:r>
    </w:p>
    <w:p w14:paraId="62223E2A" w14:textId="77777777" w:rsidR="00D269D2" w:rsidRPr="00D269D2" w:rsidRDefault="00D269D2" w:rsidP="00D269D2">
      <w:pPr>
        <w:pStyle w:val="13"/>
      </w:pPr>
      <w:r w:rsidRPr="00D269D2">
        <w:rPr>
          <w:rFonts w:hint="eastAsia"/>
        </w:rPr>
        <w:t>1.评估机构应对超出本机构专业知识和经验的机器设备采取恰当的弥补措施，必要时应当聘请专家协助工作。</w:t>
      </w:r>
    </w:p>
    <w:p w14:paraId="56B7CA0B" w14:textId="77777777" w:rsidR="00D269D2" w:rsidRPr="00D269D2" w:rsidRDefault="00D269D2" w:rsidP="00D269D2">
      <w:pPr>
        <w:pStyle w:val="13"/>
      </w:pPr>
      <w:r w:rsidRPr="00D269D2">
        <w:rPr>
          <w:rFonts w:hint="eastAsia"/>
        </w:rPr>
        <w:t>2.资产评估</w:t>
      </w:r>
      <w:proofErr w:type="gramStart"/>
      <w:r w:rsidRPr="00D269D2">
        <w:rPr>
          <w:rFonts w:hint="eastAsia"/>
        </w:rPr>
        <w:t>师应当</w:t>
      </w:r>
      <w:proofErr w:type="gramEnd"/>
      <w:r w:rsidRPr="00D269D2">
        <w:rPr>
          <w:rFonts w:hint="eastAsia"/>
        </w:rPr>
        <w:t>通过恰当方式获得机器设备的市场信息，并对其真实性、可靠性进行必要的判断。</w:t>
      </w:r>
    </w:p>
    <w:p w14:paraId="63CEDA57" w14:textId="77777777" w:rsidR="00D269D2" w:rsidRPr="00D269D2" w:rsidRDefault="00D269D2" w:rsidP="00D269D2">
      <w:pPr>
        <w:pStyle w:val="13"/>
      </w:pPr>
      <w:r w:rsidRPr="00D269D2">
        <w:rPr>
          <w:rFonts w:hint="eastAsia"/>
        </w:rPr>
        <w:t>3.资产评估</w:t>
      </w:r>
      <w:proofErr w:type="gramStart"/>
      <w:r w:rsidRPr="00D269D2">
        <w:rPr>
          <w:rFonts w:hint="eastAsia"/>
        </w:rPr>
        <w:t>师执行</w:t>
      </w:r>
      <w:proofErr w:type="gramEnd"/>
      <w:r w:rsidRPr="00D269D2">
        <w:rPr>
          <w:rFonts w:hint="eastAsia"/>
        </w:rPr>
        <w:t>机器设备评估业务，应当根据评估目的、评估假设等条件，明确评估范围是否包括设备的安装、基础、附属设施，是否包括软件、技术服务、技术资料等无形资产。对于附属于不动产的机器设备，资产评估</w:t>
      </w:r>
      <w:proofErr w:type="gramStart"/>
      <w:r w:rsidRPr="00D269D2">
        <w:rPr>
          <w:rFonts w:hint="eastAsia"/>
        </w:rPr>
        <w:t>师应当</w:t>
      </w:r>
      <w:proofErr w:type="gramEnd"/>
      <w:r w:rsidRPr="00D269D2">
        <w:rPr>
          <w:rFonts w:hint="eastAsia"/>
        </w:rPr>
        <w:t>合理划分不动产与机器设备的评估范围，避免重复或者遗漏。</w:t>
      </w:r>
    </w:p>
    <w:p w14:paraId="119B2D5A" w14:textId="77777777" w:rsidR="00D269D2" w:rsidRPr="00D269D2" w:rsidRDefault="00D269D2" w:rsidP="00D269D2">
      <w:pPr>
        <w:pStyle w:val="13"/>
      </w:pPr>
      <w:r w:rsidRPr="00D269D2">
        <w:rPr>
          <w:rFonts w:hint="eastAsia"/>
        </w:rPr>
        <w:t>4.车辆评估时应考虑牌照的价值，其价值可参考市场车辆牌照交易价格。</w:t>
      </w:r>
    </w:p>
    <w:p w14:paraId="09277ED6" w14:textId="77777777" w:rsidR="00D269D2" w:rsidRPr="00D269D2" w:rsidRDefault="00D269D2" w:rsidP="00D269D2">
      <w:pPr>
        <w:pStyle w:val="13"/>
      </w:pPr>
      <w:r w:rsidRPr="00D269D2">
        <w:rPr>
          <w:rFonts w:hint="eastAsia"/>
        </w:rPr>
        <w:t>5.对于明显处于盘亏、报废，或经过鉴定和检验无效或价值损失严重的机器设备，评估值一般为清理变现后的净收入。对于上述资产盘亏、毁损可以收回的保险赔偿和过失人的赔偿，应在评估值中考虑。</w:t>
      </w:r>
    </w:p>
    <w:p w14:paraId="7803A782" w14:textId="77777777" w:rsidR="00D269D2" w:rsidRPr="00D269D2" w:rsidRDefault="00D269D2" w:rsidP="00D269D2">
      <w:pPr>
        <w:pStyle w:val="13"/>
        <w:ind w:firstLine="482"/>
      </w:pPr>
      <w:r w:rsidRPr="00D269D2">
        <w:rPr>
          <w:rFonts w:hint="eastAsia"/>
          <w:b/>
          <w:bCs/>
        </w:rPr>
        <w:t>七、在建工程评估审核</w:t>
      </w:r>
    </w:p>
    <w:p w14:paraId="3F3E0D7A" w14:textId="77777777" w:rsidR="00D269D2" w:rsidRPr="00D269D2" w:rsidRDefault="00D269D2" w:rsidP="00D269D2">
      <w:pPr>
        <w:pStyle w:val="13"/>
      </w:pPr>
      <w:r w:rsidRPr="00D269D2">
        <w:rPr>
          <w:rFonts w:hint="eastAsia"/>
        </w:rPr>
        <w:t>选择在建工程评估方法时，应充分考虑评估目的、实际付款额、工程进度和建设工期等因素，选择能充分反映被评估在建工程市场价值的合理方法。</w:t>
      </w:r>
    </w:p>
    <w:p w14:paraId="4A97E6D9" w14:textId="77777777" w:rsidR="00D269D2" w:rsidRPr="00D269D2" w:rsidRDefault="00D269D2" w:rsidP="00D269D2">
      <w:pPr>
        <w:pStyle w:val="13"/>
      </w:pPr>
      <w:r w:rsidRPr="00D269D2">
        <w:rPr>
          <w:rFonts w:hint="eastAsia"/>
        </w:rPr>
        <w:t>1.正常在建工程评估，应考虑符合合同规定标的物完工后市场价值、未付工程款、建设工期、合理利润、相关税费等因素，不可以简单地按照账面</w:t>
      </w:r>
      <w:proofErr w:type="gramStart"/>
      <w:r w:rsidRPr="00D269D2">
        <w:rPr>
          <w:rFonts w:hint="eastAsia"/>
        </w:rPr>
        <w:t>值或者</w:t>
      </w:r>
      <w:proofErr w:type="gramEnd"/>
      <w:r w:rsidRPr="00D269D2">
        <w:rPr>
          <w:rFonts w:hint="eastAsia"/>
        </w:rPr>
        <w:t>按照工程进度进行评估。</w:t>
      </w:r>
    </w:p>
    <w:p w14:paraId="407FF164" w14:textId="77777777" w:rsidR="00D269D2" w:rsidRPr="00D269D2" w:rsidRDefault="00D269D2" w:rsidP="00D269D2">
      <w:pPr>
        <w:pStyle w:val="13"/>
      </w:pPr>
      <w:r w:rsidRPr="00D269D2">
        <w:rPr>
          <w:rFonts w:hint="eastAsia"/>
        </w:rPr>
        <w:t>2.停建在建工程评估，应了解停建原因和续建可能性，分析判断是否存在贬值情况。对于长期停建在建工程评估应考虑贬值因素。</w:t>
      </w:r>
    </w:p>
    <w:p w14:paraId="075C6C03" w14:textId="77777777" w:rsidR="00D269D2" w:rsidRPr="00D269D2" w:rsidRDefault="00D269D2" w:rsidP="00D269D2">
      <w:pPr>
        <w:pStyle w:val="13"/>
      </w:pPr>
      <w:r w:rsidRPr="00D269D2">
        <w:rPr>
          <w:rFonts w:hint="eastAsia"/>
        </w:rPr>
        <w:t>3.报废、无效等价值严重损失的在建工程评估，应当关注其价值损失是否经过专业鉴定和检验，其评估值一般为清理变现后的净收入。</w:t>
      </w:r>
    </w:p>
    <w:p w14:paraId="7B1EF7BB" w14:textId="77777777" w:rsidR="00D269D2" w:rsidRPr="00D269D2" w:rsidRDefault="00D269D2" w:rsidP="00D269D2">
      <w:pPr>
        <w:pStyle w:val="13"/>
        <w:ind w:firstLine="482"/>
      </w:pPr>
      <w:r w:rsidRPr="00D269D2">
        <w:rPr>
          <w:rFonts w:hint="eastAsia"/>
          <w:b/>
          <w:bCs/>
        </w:rPr>
        <w:t>八、无形资产评估审核</w:t>
      </w:r>
    </w:p>
    <w:p w14:paraId="6E12BB70" w14:textId="77777777" w:rsidR="00D269D2" w:rsidRPr="00D269D2" w:rsidRDefault="00D269D2" w:rsidP="00D269D2">
      <w:pPr>
        <w:pStyle w:val="13"/>
      </w:pPr>
      <w:r w:rsidRPr="00D269D2">
        <w:rPr>
          <w:rFonts w:hint="eastAsia"/>
        </w:rPr>
        <w:t>1.企业价值评估时，应对企业是否拥有无形资产进行分析和判断，应当对所有的无形资产进行清查和评估。谨慎区分可辨认无形资产和不可辨认无形资产，单项无形</w:t>
      </w:r>
      <w:r w:rsidRPr="00D269D2">
        <w:rPr>
          <w:rFonts w:hint="eastAsia"/>
        </w:rPr>
        <w:lastRenderedPageBreak/>
        <w:t>资产和无形资产组合。</w:t>
      </w:r>
    </w:p>
    <w:p w14:paraId="5FADB74A" w14:textId="77777777" w:rsidR="00D269D2" w:rsidRPr="00D269D2" w:rsidRDefault="00D269D2" w:rsidP="00D269D2">
      <w:pPr>
        <w:pStyle w:val="13"/>
      </w:pPr>
      <w:r w:rsidRPr="00D269D2">
        <w:rPr>
          <w:rFonts w:hint="eastAsia"/>
        </w:rPr>
        <w:t>2.无形资产应当在评估报告明确以下事项：</w:t>
      </w:r>
    </w:p>
    <w:p w14:paraId="265D789D" w14:textId="77777777" w:rsidR="00D269D2" w:rsidRPr="00D269D2" w:rsidRDefault="00D269D2" w:rsidP="00D269D2">
      <w:pPr>
        <w:pStyle w:val="13"/>
      </w:pPr>
      <w:r w:rsidRPr="00D269D2">
        <w:rPr>
          <w:rFonts w:hint="eastAsia"/>
        </w:rPr>
        <w:t>（1）无形资产权利的法律文件、权属有效性文件或者其他证明资料；</w:t>
      </w:r>
    </w:p>
    <w:p w14:paraId="6AE8D3A2" w14:textId="77777777" w:rsidR="00D269D2" w:rsidRPr="00D269D2" w:rsidRDefault="00D269D2" w:rsidP="00D269D2">
      <w:pPr>
        <w:pStyle w:val="13"/>
      </w:pPr>
      <w:r w:rsidRPr="00D269D2">
        <w:rPr>
          <w:rFonts w:hint="eastAsia"/>
        </w:rPr>
        <w:t>（2）无形资产是否能带来持续的可辨识经济利益；</w:t>
      </w:r>
    </w:p>
    <w:p w14:paraId="010BDB53" w14:textId="77777777" w:rsidR="00D269D2" w:rsidRPr="00D269D2" w:rsidRDefault="00D269D2" w:rsidP="00D269D2">
      <w:pPr>
        <w:pStyle w:val="13"/>
      </w:pPr>
      <w:r w:rsidRPr="00D269D2">
        <w:rPr>
          <w:rFonts w:hint="eastAsia"/>
        </w:rPr>
        <w:t>（3）无形资产的性质和特点，历史取得和目前的使用状况；</w:t>
      </w:r>
    </w:p>
    <w:p w14:paraId="3EE9C12A" w14:textId="77777777" w:rsidR="00D269D2" w:rsidRPr="00D269D2" w:rsidRDefault="00D269D2" w:rsidP="00D269D2">
      <w:pPr>
        <w:pStyle w:val="13"/>
      </w:pPr>
      <w:r w:rsidRPr="00D269D2">
        <w:rPr>
          <w:rFonts w:hint="eastAsia"/>
        </w:rPr>
        <w:t>（4）无形资产的剩余经济寿命和法定寿命，无形资产的保护措施；</w:t>
      </w:r>
    </w:p>
    <w:p w14:paraId="28A44313" w14:textId="77777777" w:rsidR="00D269D2" w:rsidRPr="00D269D2" w:rsidRDefault="00D269D2" w:rsidP="00D269D2">
      <w:pPr>
        <w:pStyle w:val="13"/>
      </w:pPr>
      <w:r w:rsidRPr="00D269D2">
        <w:rPr>
          <w:rFonts w:hint="eastAsia"/>
        </w:rPr>
        <w:t>（5）无形资产实施的地域范围、领域范围、获利能力与获利方式；</w:t>
      </w:r>
    </w:p>
    <w:p w14:paraId="40ADF489" w14:textId="77777777" w:rsidR="00D269D2" w:rsidRPr="00D269D2" w:rsidRDefault="00D269D2" w:rsidP="00D269D2">
      <w:pPr>
        <w:pStyle w:val="13"/>
      </w:pPr>
      <w:r w:rsidRPr="00D269D2">
        <w:rPr>
          <w:rFonts w:hint="eastAsia"/>
        </w:rPr>
        <w:t>（6）无形资产以往的评估及交易情况；</w:t>
      </w:r>
    </w:p>
    <w:p w14:paraId="6C8B144B" w14:textId="77777777" w:rsidR="00D269D2" w:rsidRPr="00D269D2" w:rsidRDefault="00D269D2" w:rsidP="00D269D2">
      <w:pPr>
        <w:pStyle w:val="13"/>
      </w:pPr>
      <w:r w:rsidRPr="00D269D2">
        <w:rPr>
          <w:rFonts w:hint="eastAsia"/>
        </w:rPr>
        <w:t>（7）无形资产实施过程中所受到国家法律、法规或者其他资产的限制；</w:t>
      </w:r>
    </w:p>
    <w:p w14:paraId="2E9669FF" w14:textId="77777777" w:rsidR="00D269D2" w:rsidRPr="00D269D2" w:rsidRDefault="00D269D2" w:rsidP="00D269D2">
      <w:pPr>
        <w:pStyle w:val="13"/>
      </w:pPr>
      <w:r w:rsidRPr="00D269D2">
        <w:rPr>
          <w:rFonts w:hint="eastAsia"/>
        </w:rPr>
        <w:t>（8）无形资产转让、出资、质押等的可行性；</w:t>
      </w:r>
    </w:p>
    <w:p w14:paraId="5B6D3314" w14:textId="77777777" w:rsidR="00D269D2" w:rsidRPr="00D269D2" w:rsidRDefault="00D269D2" w:rsidP="00D269D2">
      <w:pPr>
        <w:pStyle w:val="13"/>
      </w:pPr>
      <w:r w:rsidRPr="00D269D2">
        <w:rPr>
          <w:rFonts w:hint="eastAsia"/>
        </w:rPr>
        <w:t>（9）类似无形资产的市场价格信息；</w:t>
      </w:r>
    </w:p>
    <w:p w14:paraId="074D5F22" w14:textId="77777777" w:rsidR="00D269D2" w:rsidRPr="00D269D2" w:rsidRDefault="00D269D2" w:rsidP="00D269D2">
      <w:pPr>
        <w:pStyle w:val="13"/>
      </w:pPr>
      <w:r w:rsidRPr="00D269D2">
        <w:rPr>
          <w:rFonts w:hint="eastAsia"/>
        </w:rPr>
        <w:t>（10）宏观经济环境；</w:t>
      </w:r>
    </w:p>
    <w:p w14:paraId="3E475F29" w14:textId="77777777" w:rsidR="00D269D2" w:rsidRPr="00D269D2" w:rsidRDefault="00D269D2" w:rsidP="00D269D2">
      <w:pPr>
        <w:pStyle w:val="13"/>
      </w:pPr>
      <w:r w:rsidRPr="00D269D2">
        <w:rPr>
          <w:rFonts w:hint="eastAsia"/>
        </w:rPr>
        <w:t>（11）行业状况及发展前景；</w:t>
      </w:r>
    </w:p>
    <w:p w14:paraId="531A907E" w14:textId="77777777" w:rsidR="00D269D2" w:rsidRPr="00D269D2" w:rsidRDefault="00D269D2" w:rsidP="00D269D2">
      <w:pPr>
        <w:pStyle w:val="13"/>
      </w:pPr>
      <w:r w:rsidRPr="00D269D2">
        <w:rPr>
          <w:rFonts w:hint="eastAsia"/>
        </w:rPr>
        <w:t>（12）企业状况及发展前景；</w:t>
      </w:r>
    </w:p>
    <w:p w14:paraId="3D26217E" w14:textId="77777777" w:rsidR="00D269D2" w:rsidRPr="00D269D2" w:rsidRDefault="00D269D2" w:rsidP="00D269D2">
      <w:pPr>
        <w:pStyle w:val="13"/>
      </w:pPr>
      <w:r w:rsidRPr="00D269D2">
        <w:rPr>
          <w:rFonts w:hint="eastAsia"/>
        </w:rPr>
        <w:t>（13）其他相关信息。</w:t>
      </w:r>
    </w:p>
    <w:p w14:paraId="7ADFB1F1" w14:textId="77777777" w:rsidR="00D269D2" w:rsidRPr="00D269D2" w:rsidRDefault="00D269D2" w:rsidP="00D269D2">
      <w:pPr>
        <w:pStyle w:val="13"/>
      </w:pPr>
      <w:r w:rsidRPr="00D269D2">
        <w:rPr>
          <w:rFonts w:hint="eastAsia"/>
        </w:rPr>
        <w:t>3.资产评估</w:t>
      </w:r>
      <w:proofErr w:type="gramStart"/>
      <w:r w:rsidRPr="00D269D2">
        <w:rPr>
          <w:rFonts w:hint="eastAsia"/>
        </w:rPr>
        <w:t>师应当</w:t>
      </w:r>
      <w:proofErr w:type="gramEnd"/>
      <w:r w:rsidRPr="00D269D2">
        <w:rPr>
          <w:rFonts w:hint="eastAsia"/>
        </w:rPr>
        <w:t>根据评估目的、评估对象、价值类型、资料收集情况等相关条件，分析收益法、市场法和成本法三种评估方法及其衍生方法的适用性，恰当选择评估方法。</w:t>
      </w:r>
    </w:p>
    <w:p w14:paraId="72BA5C37" w14:textId="77777777" w:rsidR="00D269D2" w:rsidRPr="00D269D2" w:rsidRDefault="00D269D2" w:rsidP="00D269D2">
      <w:pPr>
        <w:pStyle w:val="13"/>
      </w:pPr>
      <w:r w:rsidRPr="00D269D2">
        <w:rPr>
          <w:rFonts w:hint="eastAsia"/>
        </w:rPr>
        <w:t>（1）采用收益法评估时，应重点分析无形资产经济收益的可预测性，考虑收益法的适用性；预期收益口径与折现率口径的一致性；收益期限的确定应综合分析无形资产的剩余经济寿命、法定寿命及其他相关因素。</w:t>
      </w:r>
    </w:p>
    <w:p w14:paraId="727098F2" w14:textId="77777777" w:rsidR="00D269D2" w:rsidRPr="00D269D2" w:rsidRDefault="00D269D2" w:rsidP="00D269D2">
      <w:pPr>
        <w:pStyle w:val="13"/>
      </w:pPr>
      <w:r w:rsidRPr="00D269D2">
        <w:rPr>
          <w:rFonts w:hint="eastAsia"/>
        </w:rPr>
        <w:t>（2）采用市场法评估时，应考虑该无形资产是否存在活跃的市场并选择具有可比性的交易案例。</w:t>
      </w:r>
    </w:p>
    <w:p w14:paraId="64A87C90" w14:textId="77777777" w:rsidR="00D269D2" w:rsidRPr="00D269D2" w:rsidRDefault="00D269D2" w:rsidP="00D269D2">
      <w:pPr>
        <w:pStyle w:val="13"/>
      </w:pPr>
      <w:r w:rsidRPr="00D269D2">
        <w:rPr>
          <w:rFonts w:hint="eastAsia"/>
        </w:rPr>
        <w:t>（3）无形资产评估一般不采用成本法评估。如果采用成本法评估，应当详尽分析说明无法采用收益法、市场法的原因。</w:t>
      </w:r>
    </w:p>
    <w:p w14:paraId="07CB81A6" w14:textId="77777777" w:rsidR="00D269D2" w:rsidRPr="00D269D2" w:rsidRDefault="00D269D2" w:rsidP="00D269D2">
      <w:pPr>
        <w:pStyle w:val="13"/>
        <w:ind w:firstLine="482"/>
      </w:pPr>
      <w:r w:rsidRPr="00D269D2">
        <w:rPr>
          <w:rFonts w:hint="eastAsia"/>
          <w:b/>
          <w:bCs/>
        </w:rPr>
        <w:t>九、债务类科目评估审核</w:t>
      </w:r>
    </w:p>
    <w:p w14:paraId="2539634C" w14:textId="77777777" w:rsidR="00D269D2" w:rsidRPr="00D269D2" w:rsidRDefault="00D269D2" w:rsidP="00D269D2">
      <w:pPr>
        <w:pStyle w:val="13"/>
      </w:pPr>
      <w:r w:rsidRPr="00D269D2">
        <w:rPr>
          <w:rFonts w:hint="eastAsia"/>
        </w:rPr>
        <w:t>1.应付款项应按明细清查，适当函证，</w:t>
      </w:r>
      <w:proofErr w:type="gramStart"/>
      <w:r w:rsidRPr="00D269D2">
        <w:rPr>
          <w:rFonts w:hint="eastAsia"/>
        </w:rPr>
        <w:t>函证比例</w:t>
      </w:r>
      <w:proofErr w:type="gramEnd"/>
      <w:r w:rsidRPr="00D269D2">
        <w:rPr>
          <w:rFonts w:hint="eastAsia"/>
        </w:rPr>
        <w:t>原则上应不低于应付款项笔数的10％和金额的50％。</w:t>
      </w:r>
    </w:p>
    <w:p w14:paraId="25A3119C" w14:textId="77777777" w:rsidR="00D269D2" w:rsidRPr="00D269D2" w:rsidRDefault="00D269D2" w:rsidP="00D269D2">
      <w:pPr>
        <w:pStyle w:val="13"/>
      </w:pPr>
      <w:r w:rsidRPr="00D269D2">
        <w:rPr>
          <w:rFonts w:hint="eastAsia"/>
        </w:rPr>
        <w:t>2.账龄在两年以上的应付款项，对于确需支付且被评估企业提供追讨证明的，评估机构可以不进行函证；如不能提供追讨证明的，金额较大或有疑问的款项，评估机构必须逐笔函证；金额较小的款项，评估机构可以抽样函证。对于无需支付的款项一般应评估为零；对于无回函或</w:t>
      </w:r>
      <w:proofErr w:type="gramStart"/>
      <w:r w:rsidRPr="00D269D2">
        <w:rPr>
          <w:rFonts w:hint="eastAsia"/>
        </w:rPr>
        <w:t>无法函证的</w:t>
      </w:r>
      <w:proofErr w:type="gramEnd"/>
      <w:r w:rsidRPr="00D269D2">
        <w:rPr>
          <w:rFonts w:hint="eastAsia"/>
        </w:rPr>
        <w:t>，应根据具体情况做相应处理。</w:t>
      </w:r>
    </w:p>
    <w:p w14:paraId="7BE74D95" w14:textId="77777777" w:rsidR="00D269D2" w:rsidRPr="00D269D2" w:rsidRDefault="00D269D2" w:rsidP="00D269D2">
      <w:pPr>
        <w:pStyle w:val="13"/>
      </w:pPr>
      <w:r w:rsidRPr="00D269D2">
        <w:rPr>
          <w:rFonts w:hint="eastAsia"/>
        </w:rPr>
        <w:t>3.除企业因职工提供服务而产生的现实支付义务的款项外，应付职工薪酬应评估为零。</w:t>
      </w:r>
    </w:p>
    <w:p w14:paraId="73984B01" w14:textId="77777777" w:rsidR="00D269D2" w:rsidRPr="00D269D2" w:rsidRDefault="00D269D2" w:rsidP="00D269D2">
      <w:pPr>
        <w:pStyle w:val="13"/>
      </w:pPr>
      <w:r w:rsidRPr="00D269D2">
        <w:rPr>
          <w:rFonts w:hint="eastAsia"/>
        </w:rPr>
        <w:lastRenderedPageBreak/>
        <w:t>4. 对于解除或终止劳动合同的职工的经济补偿、离退休人员、内退人员有关费用等职工安置费用，应按照《关于企业重组有关职工安置费用财务管理问题的通知》（财企[2009]117号）处理。职工安置费用的确定须经国资监管机构或监管企业审核同意。</w:t>
      </w:r>
    </w:p>
    <w:p w14:paraId="34826B90" w14:textId="77777777" w:rsidR="00D269D2" w:rsidRPr="00D269D2" w:rsidRDefault="00D269D2" w:rsidP="00D269D2">
      <w:pPr>
        <w:pStyle w:val="13"/>
      </w:pPr>
      <w:r w:rsidRPr="00D269D2">
        <w:rPr>
          <w:rFonts w:hint="eastAsia"/>
        </w:rPr>
        <w:t>5.国家统一了计提基础和计提比例的企业职工薪酬，应核实并提供根据有关法定程序制订的支付计划，符合规定的，评估时予以确认。按规定不能预提的，应评估为零。</w:t>
      </w:r>
    </w:p>
    <w:p w14:paraId="67654FD8" w14:textId="77777777" w:rsidR="00D269D2" w:rsidRPr="00D269D2" w:rsidRDefault="00D269D2" w:rsidP="00D269D2">
      <w:pPr>
        <w:pStyle w:val="13"/>
        <w:ind w:firstLine="482"/>
      </w:pPr>
      <w:r w:rsidRPr="00D269D2">
        <w:rPr>
          <w:rFonts w:hint="eastAsia"/>
          <w:b/>
          <w:bCs/>
        </w:rPr>
        <w:t>十、企业价值市场法及收益法评估审核</w:t>
      </w:r>
    </w:p>
    <w:p w14:paraId="34B4F98C" w14:textId="77777777" w:rsidR="00D269D2" w:rsidRPr="00D269D2" w:rsidRDefault="00D269D2" w:rsidP="00D269D2">
      <w:pPr>
        <w:pStyle w:val="13"/>
      </w:pPr>
      <w:r w:rsidRPr="00D269D2">
        <w:rPr>
          <w:rFonts w:hint="eastAsia"/>
        </w:rPr>
        <w:t>1.运用收益法、市场法评估企业价值时，评估机构至少应收集企业前三年经审计的会计报表，对企业进行全面的资产清查核实。应当对所采用的被评估单位和可比企业财务指标的合理性进行分析和判断。评估报告应披露影响企业经营的宏观、区域经济因素；所在行业现状和发展前景；企业业务分析情况；企业资产、财务状况分析和调整情况。</w:t>
      </w:r>
    </w:p>
    <w:p w14:paraId="1DD62ECD" w14:textId="77777777" w:rsidR="00D269D2" w:rsidRPr="00D269D2" w:rsidRDefault="00D269D2" w:rsidP="00D269D2">
      <w:pPr>
        <w:pStyle w:val="13"/>
      </w:pPr>
      <w:r w:rsidRPr="00D269D2">
        <w:rPr>
          <w:rFonts w:hint="eastAsia"/>
        </w:rPr>
        <w:t>2.采用收益法评估的，审核时应当重点关注以下内容：</w:t>
      </w:r>
    </w:p>
    <w:p w14:paraId="3CCE3821" w14:textId="77777777" w:rsidR="00D269D2" w:rsidRPr="00D269D2" w:rsidRDefault="00D269D2" w:rsidP="00D269D2">
      <w:pPr>
        <w:pStyle w:val="13"/>
      </w:pPr>
      <w:r w:rsidRPr="00D269D2">
        <w:rPr>
          <w:rFonts w:hint="eastAsia"/>
        </w:rPr>
        <w:t>（1）对企业资产、财务状况的分析是否充分、合理。是否对企业前三年的经营、收益等情况进行分析；是否对被评估企业财务报表的编制基础、不具有代表性的收入和支出，如非正常和偶然性的收入和支出等进行了合理调整；是否对被评估企业的非经营性资产、负债和</w:t>
      </w:r>
      <w:proofErr w:type="gramStart"/>
      <w:r w:rsidRPr="00D269D2">
        <w:rPr>
          <w:rFonts w:hint="eastAsia"/>
        </w:rPr>
        <w:t>溢余</w:t>
      </w:r>
      <w:proofErr w:type="gramEnd"/>
      <w:r w:rsidRPr="00D269D2">
        <w:rPr>
          <w:rFonts w:hint="eastAsia"/>
        </w:rPr>
        <w:t>资产进行单独分析，合理判断资产、负债、经营业务配置的有效性，划分与收益存在直接相关性的资产、债务情况，对于不能或不需归集的，是否单独进行评估。</w:t>
      </w:r>
    </w:p>
    <w:p w14:paraId="4E4C12AB" w14:textId="77777777" w:rsidR="00D269D2" w:rsidRPr="00D269D2" w:rsidRDefault="00D269D2" w:rsidP="00D269D2">
      <w:pPr>
        <w:pStyle w:val="13"/>
      </w:pPr>
      <w:r w:rsidRPr="00D269D2">
        <w:rPr>
          <w:rFonts w:hint="eastAsia"/>
        </w:rPr>
        <w:t>（2）收益预测是否合理。是否根据企业所处行业、资本结构、经营模式、收益情况、发展趋势等选择恰当的现金</w:t>
      </w:r>
      <w:proofErr w:type="gramStart"/>
      <w:r w:rsidRPr="00D269D2">
        <w:rPr>
          <w:rFonts w:hint="eastAsia"/>
        </w:rPr>
        <w:t>流收益</w:t>
      </w:r>
      <w:proofErr w:type="gramEnd"/>
      <w:r w:rsidRPr="00D269D2">
        <w:rPr>
          <w:rFonts w:hint="eastAsia"/>
        </w:rPr>
        <w:t>模型。折现率确定过程和依据是否合理，是否与收益口径保持一致，是否综合考虑评估基准日的利率水平、市场投资收益率等资本市场相关信息和所在行业、企业的特定风险等相关因素。收益预测期确定，是否合理考虑被评估企业经营状况和发展前景，及其所在行业现状、发展前景，国家相关行业政策、企业经营期限及主要产品的经济寿命年限等，并恰当考虑稳定预测期后的收益情况及相关终值的计算。是否合理预测了相关参数，如被评估企业的收入、成本及费用、折旧和摊销、营运资金、资本性支出、付息负债、溢</w:t>
      </w:r>
      <w:proofErr w:type="gramStart"/>
      <w:r w:rsidRPr="00D269D2">
        <w:rPr>
          <w:rFonts w:hint="eastAsia"/>
        </w:rPr>
        <w:t>余资产</w:t>
      </w:r>
      <w:proofErr w:type="gramEnd"/>
      <w:r w:rsidRPr="00D269D2">
        <w:rPr>
          <w:rFonts w:hint="eastAsia"/>
        </w:rPr>
        <w:t>和非经营性资产等。关注相关参数确定的依据是否充分，测算过程是否完整。</w:t>
      </w:r>
    </w:p>
    <w:p w14:paraId="57750B4D" w14:textId="77777777" w:rsidR="00D269D2" w:rsidRPr="00D269D2" w:rsidRDefault="00D269D2" w:rsidP="00D269D2">
      <w:pPr>
        <w:pStyle w:val="13"/>
      </w:pPr>
      <w:r w:rsidRPr="00D269D2">
        <w:rPr>
          <w:rFonts w:hint="eastAsia"/>
        </w:rPr>
        <w:t>（3）关注未来收益预测中经营管理、业务架构、主营业务收入、毛利率、营运资金、资本性支出、资本结构等主要参数与评估假设、价值类型的一致性。当预测趋势与历史业绩和现实经营状况存在重大差异时，资产评估专业人员应当要求委托人和其他相关当事人说明差异的合理性及可持续性，与评估假设、价值类型核查一致后，在资产评估报告中予以披露。</w:t>
      </w:r>
    </w:p>
    <w:p w14:paraId="403F795E" w14:textId="77777777" w:rsidR="00D269D2" w:rsidRPr="00D269D2" w:rsidRDefault="00D269D2" w:rsidP="00D269D2">
      <w:pPr>
        <w:pStyle w:val="13"/>
      </w:pPr>
      <w:r w:rsidRPr="00D269D2">
        <w:rPr>
          <w:rFonts w:hint="eastAsia"/>
        </w:rPr>
        <w:lastRenderedPageBreak/>
        <w:t>3.对使用市场法评估的，审核时应当重点关注以下内容：</w:t>
      </w:r>
    </w:p>
    <w:p w14:paraId="5E1FD04E" w14:textId="77777777" w:rsidR="00D269D2" w:rsidRPr="00D269D2" w:rsidRDefault="00D269D2" w:rsidP="00D269D2">
      <w:pPr>
        <w:pStyle w:val="13"/>
      </w:pPr>
      <w:r w:rsidRPr="00D269D2">
        <w:rPr>
          <w:rFonts w:hint="eastAsia"/>
        </w:rPr>
        <w:t>（1）选择的可比案例是否与被评估企业具有可比性。是否根据业务结构、经营模式、企业规模、资产配置和使用情况、企业所处经营阶段、成长性、经营风险、财务风险等因素，恰当选择与被评估单位进行比较分析的可比企业。是否处于同一行业或相近行业，或者是受共同因素决定或影响。是否对可比案例及被评估企业的数据进行了必要的分析调整，并消除了偶然性因素的影响。选择可比案例，是否考虑控制权和流动性对评估值的影响。</w:t>
      </w:r>
    </w:p>
    <w:p w14:paraId="05873348" w14:textId="77777777" w:rsidR="00D269D2" w:rsidRPr="00D269D2" w:rsidRDefault="00D269D2" w:rsidP="00D269D2">
      <w:pPr>
        <w:pStyle w:val="13"/>
      </w:pPr>
      <w:r w:rsidRPr="00D269D2">
        <w:rPr>
          <w:rFonts w:hint="eastAsia"/>
        </w:rPr>
        <w:t>（2）选择的可比因素是否是企业价值的决定因素，选择的盈利比率、资产比率、收入比率和其他特定比率等价值比率是否适当可靠，是否经过了必要的修正调整。是否选择了多种可比因素，对于不同可比因素得到的不同评估值是否能够合理的选择计算。</w:t>
      </w:r>
    </w:p>
    <w:p w14:paraId="21F2E495" w14:textId="77777777" w:rsidR="00D269D2" w:rsidRPr="00D269D2" w:rsidRDefault="00D269D2" w:rsidP="00D269D2">
      <w:pPr>
        <w:pStyle w:val="13"/>
        <w:ind w:firstLine="482"/>
      </w:pPr>
      <w:r w:rsidRPr="00D269D2">
        <w:rPr>
          <w:rFonts w:hint="eastAsia"/>
          <w:b/>
          <w:bCs/>
        </w:rPr>
        <w:t>十一、境外资产评估或估值报告审核</w:t>
      </w:r>
    </w:p>
    <w:p w14:paraId="7E37DA67" w14:textId="77777777" w:rsidR="00D269D2" w:rsidRPr="00D269D2" w:rsidRDefault="00D269D2" w:rsidP="00D269D2">
      <w:pPr>
        <w:pStyle w:val="13"/>
      </w:pPr>
      <w:r w:rsidRPr="00D269D2">
        <w:rPr>
          <w:rFonts w:hint="eastAsia"/>
        </w:rPr>
        <w:t>1.对境外企业国有资产评估或估值项目，备案管理单位应当关注评估或估值机构是否协助企业进行尽职调查、询价，是否参与交易过程。</w:t>
      </w:r>
    </w:p>
    <w:p w14:paraId="3FC29D0D" w14:textId="77777777" w:rsidR="00D269D2" w:rsidRPr="00D269D2" w:rsidRDefault="00D269D2" w:rsidP="00D269D2">
      <w:pPr>
        <w:pStyle w:val="13"/>
      </w:pPr>
      <w:r w:rsidRPr="00D269D2">
        <w:rPr>
          <w:rFonts w:hint="eastAsia"/>
        </w:rPr>
        <w:t>2.审核境外评估及估值机构出具的评估或估值报告，应当关注是否明示了所依据的评估准则，是否合理参考了境内评估准则及要求。评估或估值结果是否以人民币为计量币种。使用其他币种计量的，是否注明了该币种与人民币在评估基准日的汇率。如果评估或估值结果为区间值的，应关注是否在区间之内确定了一个最大可能值，并说明确定依据。</w:t>
      </w:r>
    </w:p>
    <w:p w14:paraId="280FCA79" w14:textId="77777777" w:rsidR="00D269D2" w:rsidRPr="00D269D2" w:rsidRDefault="00D269D2" w:rsidP="00D269D2">
      <w:pPr>
        <w:pStyle w:val="13"/>
      </w:pPr>
      <w:r w:rsidRPr="00D269D2">
        <w:rPr>
          <w:rFonts w:hint="eastAsia"/>
        </w:rPr>
        <w:t>3.备案管理单位可以使用备案表或者备案确认函的方式对境外评估或估值机构出具的评估或者估值报告予以备案。</w:t>
      </w:r>
    </w:p>
    <w:p w14:paraId="60A9531E" w14:textId="77777777" w:rsidR="00D269D2" w:rsidRPr="00D269D2" w:rsidRDefault="00D269D2" w:rsidP="00D269D2">
      <w:pPr>
        <w:pStyle w:val="13"/>
        <w:ind w:firstLine="482"/>
      </w:pPr>
      <w:r w:rsidRPr="00D269D2">
        <w:rPr>
          <w:rFonts w:hint="eastAsia"/>
          <w:b/>
          <w:bCs/>
        </w:rPr>
        <w:t>十二、其他报告审核关注要点</w:t>
      </w:r>
    </w:p>
    <w:p w14:paraId="5AE68967" w14:textId="77777777" w:rsidR="00D269D2" w:rsidRPr="00D269D2" w:rsidRDefault="00D269D2" w:rsidP="00D269D2">
      <w:pPr>
        <w:pStyle w:val="13"/>
      </w:pPr>
      <w:r w:rsidRPr="00D269D2">
        <w:rPr>
          <w:rFonts w:hint="eastAsia"/>
        </w:rPr>
        <w:t>1.审计报告中应关注的内容</w:t>
      </w:r>
    </w:p>
    <w:p w14:paraId="5932221D" w14:textId="77777777" w:rsidR="00D269D2" w:rsidRPr="00D269D2" w:rsidRDefault="00D269D2" w:rsidP="00D269D2">
      <w:pPr>
        <w:pStyle w:val="13"/>
      </w:pPr>
      <w:r w:rsidRPr="00D269D2">
        <w:rPr>
          <w:rFonts w:hint="eastAsia"/>
        </w:rPr>
        <w:t>（1）审计报告与评估报告之间数据勾</w:t>
      </w:r>
      <w:proofErr w:type="gramStart"/>
      <w:r w:rsidRPr="00D269D2">
        <w:rPr>
          <w:rFonts w:hint="eastAsia"/>
        </w:rPr>
        <w:t>稽</w:t>
      </w:r>
      <w:proofErr w:type="gramEnd"/>
      <w:r w:rsidRPr="00D269D2">
        <w:rPr>
          <w:rFonts w:hint="eastAsia"/>
        </w:rPr>
        <w:t>关系是否合理一致；审计范围是否与经济行为批准文件、审计业务委托约定书等确定的资产范围一致，以及合并报表的合并范围是否合理。</w:t>
      </w:r>
    </w:p>
    <w:p w14:paraId="73538960" w14:textId="77777777" w:rsidR="00D269D2" w:rsidRPr="00D269D2" w:rsidRDefault="00D269D2" w:rsidP="00D269D2">
      <w:pPr>
        <w:pStyle w:val="13"/>
      </w:pPr>
      <w:r w:rsidRPr="00D269D2">
        <w:rPr>
          <w:rFonts w:hint="eastAsia"/>
        </w:rPr>
        <w:t>（2）审计报告报表与报表附注之间勾</w:t>
      </w:r>
      <w:proofErr w:type="gramStart"/>
      <w:r w:rsidRPr="00D269D2">
        <w:rPr>
          <w:rFonts w:hint="eastAsia"/>
        </w:rPr>
        <w:t>稽</w:t>
      </w:r>
      <w:proofErr w:type="gramEnd"/>
      <w:r w:rsidRPr="00D269D2">
        <w:rPr>
          <w:rFonts w:hint="eastAsia"/>
        </w:rPr>
        <w:t>关系是否一致；主要会计政策是否合理，包括收入确认原则、成本核算原则等。</w:t>
      </w:r>
    </w:p>
    <w:p w14:paraId="66CA15B8" w14:textId="77777777" w:rsidR="00D269D2" w:rsidRPr="00D269D2" w:rsidRDefault="00D269D2" w:rsidP="00D269D2">
      <w:pPr>
        <w:pStyle w:val="13"/>
      </w:pPr>
      <w:r w:rsidRPr="00D269D2">
        <w:rPr>
          <w:rFonts w:hint="eastAsia"/>
        </w:rPr>
        <w:t>（3）企业整体改制涉及资产剥离时，剥离原则是否与改制方案一致，以及模拟的时点是否合理。</w:t>
      </w:r>
    </w:p>
    <w:p w14:paraId="71B018C5" w14:textId="77777777" w:rsidR="00D269D2" w:rsidRPr="00D269D2" w:rsidRDefault="00D269D2" w:rsidP="00D269D2">
      <w:pPr>
        <w:pStyle w:val="13"/>
      </w:pPr>
      <w:r w:rsidRPr="00D269D2">
        <w:rPr>
          <w:rFonts w:hint="eastAsia"/>
        </w:rPr>
        <w:t>（4）涉及计提减值准备时，各项资产计提减值准备的依据和比例是否合理。</w:t>
      </w:r>
    </w:p>
    <w:p w14:paraId="0BB3311C" w14:textId="77777777" w:rsidR="00D269D2" w:rsidRPr="00D269D2" w:rsidRDefault="00D269D2" w:rsidP="00D269D2">
      <w:pPr>
        <w:pStyle w:val="13"/>
      </w:pPr>
      <w:r w:rsidRPr="00D269D2">
        <w:rPr>
          <w:rFonts w:hint="eastAsia"/>
        </w:rPr>
        <w:t>（5）应当充分关注审计披露情况以及评估师引用审计结果的合理性。资产评估</w:t>
      </w:r>
      <w:proofErr w:type="gramStart"/>
      <w:r w:rsidRPr="00D269D2">
        <w:rPr>
          <w:rFonts w:hint="eastAsia"/>
        </w:rPr>
        <w:t>师应当</w:t>
      </w:r>
      <w:proofErr w:type="gramEnd"/>
      <w:r w:rsidRPr="00D269D2">
        <w:rPr>
          <w:rFonts w:hint="eastAsia"/>
        </w:rPr>
        <w:t>对引用的审计结果进行核实并做出相应的职业判断，不得以审计结果替代评估判断。对审计报告提示的重要重大事项，资产评估师应在核实的基础上在评估报告</w:t>
      </w:r>
      <w:r w:rsidRPr="00D269D2">
        <w:rPr>
          <w:rFonts w:hint="eastAsia"/>
        </w:rPr>
        <w:lastRenderedPageBreak/>
        <w:t>中予以披露。</w:t>
      </w:r>
    </w:p>
    <w:p w14:paraId="746FB63E" w14:textId="77777777" w:rsidR="00D269D2" w:rsidRPr="00D269D2" w:rsidRDefault="00D269D2" w:rsidP="00D269D2">
      <w:pPr>
        <w:pStyle w:val="13"/>
      </w:pPr>
      <w:r w:rsidRPr="00D269D2">
        <w:rPr>
          <w:rFonts w:hint="eastAsia"/>
        </w:rPr>
        <w:t>2.土地使用权估价报告中应关注的内容</w:t>
      </w:r>
    </w:p>
    <w:p w14:paraId="7CAF55C4" w14:textId="77777777" w:rsidR="00D269D2" w:rsidRPr="00D269D2" w:rsidRDefault="00D269D2" w:rsidP="00D269D2">
      <w:pPr>
        <w:pStyle w:val="13"/>
      </w:pPr>
      <w:r w:rsidRPr="00D269D2">
        <w:rPr>
          <w:rFonts w:hint="eastAsia"/>
        </w:rPr>
        <w:t>（1）土地估价范围、权属、土地资产处置审批与土地估价报告备案情况。如果评估基准</w:t>
      </w:r>
      <w:proofErr w:type="gramStart"/>
      <w:r w:rsidRPr="00D269D2">
        <w:rPr>
          <w:rFonts w:hint="eastAsia"/>
        </w:rPr>
        <w:t>日存在</w:t>
      </w:r>
      <w:proofErr w:type="gramEnd"/>
      <w:r w:rsidRPr="00D269D2">
        <w:rPr>
          <w:rFonts w:hint="eastAsia"/>
        </w:rPr>
        <w:t>划拨土地，应当重点关注划拨土地的处置情况：</w:t>
      </w:r>
    </w:p>
    <w:p w14:paraId="6D7A3A1C" w14:textId="77777777" w:rsidR="00D269D2" w:rsidRPr="00D269D2" w:rsidRDefault="00D269D2" w:rsidP="00D269D2">
      <w:pPr>
        <w:pStyle w:val="13"/>
      </w:pPr>
      <w:r w:rsidRPr="00D269D2">
        <w:rPr>
          <w:rFonts w:hint="eastAsia"/>
        </w:rPr>
        <w:t>①关注是否有划拨土地处置审批文件，审批文件是否合法有效、审批内容是否与实际评估土地一致等；</w:t>
      </w:r>
    </w:p>
    <w:p w14:paraId="05143265" w14:textId="77777777" w:rsidR="00D269D2" w:rsidRPr="00D269D2" w:rsidRDefault="00D269D2" w:rsidP="00D269D2">
      <w:pPr>
        <w:pStyle w:val="13"/>
      </w:pPr>
      <w:r w:rsidRPr="00D269D2">
        <w:rPr>
          <w:rFonts w:hint="eastAsia"/>
        </w:rPr>
        <w:t>②如果是未经处置的划拨土地，应当关注其未处置理由的合</w:t>
      </w:r>
      <w:proofErr w:type="gramStart"/>
      <w:r w:rsidRPr="00D269D2">
        <w:rPr>
          <w:rFonts w:hint="eastAsia"/>
        </w:rPr>
        <w:t>规</w:t>
      </w:r>
      <w:proofErr w:type="gramEnd"/>
      <w:r w:rsidRPr="00D269D2">
        <w:rPr>
          <w:rFonts w:hint="eastAsia"/>
        </w:rPr>
        <w:t>性以及评估中处理方式的合理性等。</w:t>
      </w:r>
    </w:p>
    <w:p w14:paraId="72DE07A8" w14:textId="77777777" w:rsidR="00D269D2" w:rsidRPr="00D269D2" w:rsidRDefault="00D269D2" w:rsidP="00D269D2">
      <w:pPr>
        <w:pStyle w:val="13"/>
      </w:pPr>
      <w:r w:rsidRPr="00D269D2">
        <w:rPr>
          <w:rFonts w:hint="eastAsia"/>
        </w:rPr>
        <w:t>（2）土地地价定义是否符合相关准则要求。关注估价方法选取的合理性；相关参数选取依据是否充分、计算过程是否完整及评估结果选取是否合理等。</w:t>
      </w:r>
    </w:p>
    <w:p w14:paraId="4AD8B65C" w14:textId="77777777" w:rsidR="00D269D2" w:rsidRPr="00D269D2" w:rsidRDefault="00D269D2" w:rsidP="00D269D2">
      <w:pPr>
        <w:pStyle w:val="13"/>
      </w:pPr>
      <w:r w:rsidRPr="00D269D2">
        <w:rPr>
          <w:rFonts w:hint="eastAsia"/>
        </w:rPr>
        <w:t>3.矿业权评估报告中应关注的内容：</w:t>
      </w:r>
    </w:p>
    <w:p w14:paraId="76D8CAD9" w14:textId="77777777" w:rsidR="00D269D2" w:rsidRPr="00D269D2" w:rsidRDefault="00D269D2" w:rsidP="00D269D2">
      <w:pPr>
        <w:pStyle w:val="13"/>
      </w:pPr>
      <w:r w:rsidRPr="00D269D2">
        <w:rPr>
          <w:rFonts w:hint="eastAsia"/>
        </w:rPr>
        <w:t>（1）矿业权评估范围、权属、矿产资源储量评审备案情况、有偿处置情况。</w:t>
      </w:r>
    </w:p>
    <w:p w14:paraId="75EAE874" w14:textId="77777777" w:rsidR="00D269D2" w:rsidRPr="00D269D2" w:rsidRDefault="00D269D2" w:rsidP="00D269D2">
      <w:pPr>
        <w:pStyle w:val="13"/>
      </w:pPr>
      <w:r w:rsidRPr="00D269D2">
        <w:rPr>
          <w:rFonts w:hint="eastAsia"/>
        </w:rPr>
        <w:t>对于有偿取得的矿业权，应当关注有偿取得时矿业权价款对应的开采深度、范围、矿种等是否与本次评估一致；是否存在分期缴纳矿业权价款情形；本次评估矿业权对应的资源储量是否为有偿取得时对应的资源储量，是否经过评审，是否属于企业法人资产；对于无偿取得的矿业权，应当关注矿业权价款对评估结果的影响。</w:t>
      </w:r>
    </w:p>
    <w:p w14:paraId="4FE4B3A2" w14:textId="77777777" w:rsidR="00D269D2" w:rsidRPr="00D269D2" w:rsidRDefault="00D269D2" w:rsidP="00D269D2">
      <w:pPr>
        <w:pStyle w:val="13"/>
      </w:pPr>
      <w:r w:rsidRPr="00D269D2">
        <w:rPr>
          <w:rFonts w:hint="eastAsia"/>
        </w:rPr>
        <w:t>如矿业权评估确定的收益期长于矿产资源勘查许可证、采矿许可证载有效期，应当关注到期续展是否涉及矿业权价款及相关费用的缴纳，以及对资产评估结果的影响。</w:t>
      </w:r>
    </w:p>
    <w:p w14:paraId="13CC33AF" w14:textId="77777777" w:rsidR="00D269D2" w:rsidRPr="00D269D2" w:rsidRDefault="00D269D2" w:rsidP="00D269D2">
      <w:pPr>
        <w:pStyle w:val="13"/>
      </w:pPr>
      <w:r w:rsidRPr="00D269D2">
        <w:rPr>
          <w:rFonts w:hint="eastAsia"/>
        </w:rPr>
        <w:t>（2）应当关注矿业权评估报告是否符合相关准则要求。关注评估方法选取是否合理；相关参数选取依据是否充分、计算过程是否完整，及确定的结果是否合理、是否与资产评估相矛盾等。</w:t>
      </w:r>
    </w:p>
    <w:p w14:paraId="1BE76E48" w14:textId="77777777" w:rsidR="00D269D2" w:rsidRPr="00D269D2" w:rsidRDefault="00D269D2" w:rsidP="00D269D2">
      <w:pPr>
        <w:pStyle w:val="13"/>
      </w:pPr>
      <w:r w:rsidRPr="00D269D2">
        <w:rPr>
          <w:rFonts w:hint="eastAsia"/>
        </w:rPr>
        <w:t>如依据企业财务报表确定矿业权评估参数，应当关注企业财务报表是否经过审计、是否与企业经营状况相符；如依据矿山设计文件等确定矿业权评估参数，应关注有关文件是否经过审核、是否与市场状况相符；</w:t>
      </w:r>
    </w:p>
    <w:p w14:paraId="187E925B" w14:textId="77777777" w:rsidR="00D269D2" w:rsidRPr="00D269D2" w:rsidRDefault="00D269D2" w:rsidP="00D269D2">
      <w:pPr>
        <w:pStyle w:val="13"/>
      </w:pPr>
      <w:r w:rsidRPr="00D269D2">
        <w:rPr>
          <w:rFonts w:hint="eastAsia"/>
        </w:rPr>
        <w:t>对采用收益途径评估的矿业权，应当重点关注矿产品价格、无风险收益率等参数与其他估值报告的一致性；关注利用固定资产评估结果作为矿业权评估固定资产投资额时，口径的一致性、取值的合理性；关注利用土地估价结果作为矿业权评估无形资产投资额时，口径的一致性、取值的合理性。</w:t>
      </w:r>
    </w:p>
    <w:p w14:paraId="4AC16A80" w14:textId="77777777" w:rsidR="00D269D2" w:rsidRPr="00D269D2" w:rsidRDefault="00D269D2" w:rsidP="00D269D2">
      <w:pPr>
        <w:pStyle w:val="13"/>
      </w:pPr>
      <w:r w:rsidRPr="00D269D2">
        <w:rPr>
          <w:rFonts w:hint="eastAsia"/>
        </w:rPr>
        <w:t>4.资产评估结果引用土地使用权、矿业权或者其他相关专业评估报告评估结果的，应当关注：</w:t>
      </w:r>
    </w:p>
    <w:p w14:paraId="791F883D" w14:textId="77777777" w:rsidR="00D269D2" w:rsidRPr="00D269D2" w:rsidRDefault="00D269D2" w:rsidP="00D269D2">
      <w:pPr>
        <w:pStyle w:val="13"/>
      </w:pPr>
      <w:r w:rsidRPr="00D269D2">
        <w:rPr>
          <w:rFonts w:hint="eastAsia"/>
        </w:rPr>
        <w:t>（1）资产评估师是否对所引用报告进行了必要的专业判断，并声明其了解所引用报告结果的取得过程，承担引用报告结果的相关责任。</w:t>
      </w:r>
    </w:p>
    <w:p w14:paraId="49BA80E6" w14:textId="77777777" w:rsidR="00D269D2" w:rsidRPr="00D269D2" w:rsidRDefault="00D269D2" w:rsidP="00D269D2">
      <w:pPr>
        <w:pStyle w:val="13"/>
      </w:pPr>
      <w:r w:rsidRPr="00D269D2">
        <w:rPr>
          <w:rFonts w:hint="eastAsia"/>
        </w:rPr>
        <w:t>（2）所引用报告评估基准日、结果使用有效期是否一致；评估假设是否一致，</w:t>
      </w:r>
      <w:r w:rsidRPr="00D269D2">
        <w:rPr>
          <w:rFonts w:hint="eastAsia"/>
        </w:rPr>
        <w:lastRenderedPageBreak/>
        <w:t>资产评估引用结果是否与所引用报告披露的结果一致，所引用报告披露的相关事项说明是否与资产评估报告一致。</w:t>
      </w:r>
    </w:p>
    <w:p w14:paraId="27923794" w14:textId="0278D04A" w:rsidR="00D269D2" w:rsidRPr="00D269D2" w:rsidRDefault="00D269D2" w:rsidP="00D269D2">
      <w:pPr>
        <w:pStyle w:val="13"/>
        <w:ind w:firstLine="482"/>
      </w:pPr>
      <w:r w:rsidRPr="00D269D2">
        <w:rPr>
          <w:rFonts w:hint="eastAsia"/>
          <w:b/>
          <w:bCs/>
        </w:rPr>
        <w:t>附件</w:t>
      </w:r>
      <w:r>
        <w:rPr>
          <w:rFonts w:hint="eastAsia"/>
        </w:rPr>
        <w:t>：</w:t>
      </w:r>
      <w:r w:rsidRPr="00D269D2">
        <w:rPr>
          <w:rFonts w:hint="eastAsia"/>
          <w:b/>
          <w:bCs/>
        </w:rPr>
        <w:t>相关文件目录</w:t>
      </w:r>
    </w:p>
    <w:p w14:paraId="2F6AE8AE" w14:textId="2952EEAF" w:rsidR="00D269D2" w:rsidRPr="00D269D2" w:rsidRDefault="00D269D2" w:rsidP="00D269D2">
      <w:pPr>
        <w:pStyle w:val="13"/>
        <w:ind w:firstLine="482"/>
      </w:pPr>
      <w:r w:rsidRPr="00D269D2">
        <w:rPr>
          <w:rFonts w:hint="eastAsia"/>
          <w:b/>
          <w:bCs/>
        </w:rPr>
        <w:t>一、国有资产评估管理相关文件</w:t>
      </w:r>
    </w:p>
    <w:p w14:paraId="336D32BA" w14:textId="77777777" w:rsidR="00D269D2" w:rsidRPr="00D269D2" w:rsidRDefault="00D269D2" w:rsidP="00D269D2">
      <w:pPr>
        <w:pStyle w:val="13"/>
      </w:pPr>
      <w:r w:rsidRPr="00D269D2">
        <w:rPr>
          <w:rFonts w:hint="eastAsia"/>
        </w:rPr>
        <w:t>1.中华人民共和国企业国有资产法（2008年主席令第五号，2009年5月1日起实施）</w:t>
      </w:r>
    </w:p>
    <w:p w14:paraId="7F3FE966" w14:textId="77777777" w:rsidR="00D269D2" w:rsidRPr="00D269D2" w:rsidRDefault="00D269D2" w:rsidP="00D269D2">
      <w:pPr>
        <w:pStyle w:val="13"/>
      </w:pPr>
      <w:r w:rsidRPr="00D269D2">
        <w:rPr>
          <w:rFonts w:hint="eastAsia"/>
        </w:rPr>
        <w:t>2.中华人民共和国资产评估法（2016年主席令第四十六号，2016年12月1日起实施）</w:t>
      </w:r>
    </w:p>
    <w:p w14:paraId="51E9FA78" w14:textId="77777777" w:rsidR="00D269D2" w:rsidRPr="00D269D2" w:rsidRDefault="00D269D2" w:rsidP="00D269D2">
      <w:pPr>
        <w:pStyle w:val="13"/>
      </w:pPr>
      <w:r w:rsidRPr="00D269D2">
        <w:rPr>
          <w:rFonts w:hint="eastAsia"/>
        </w:rPr>
        <w:t>3.国有资产评估管理办法（国务院令第91号）</w:t>
      </w:r>
    </w:p>
    <w:p w14:paraId="183AB6B9" w14:textId="77777777" w:rsidR="00D269D2" w:rsidRPr="00D269D2" w:rsidRDefault="00D269D2" w:rsidP="00D269D2">
      <w:pPr>
        <w:pStyle w:val="13"/>
      </w:pPr>
      <w:r w:rsidRPr="00D269D2">
        <w:rPr>
          <w:rFonts w:hint="eastAsia"/>
        </w:rPr>
        <w:t>4.企业国有资产评估管理暂行办法（国务院国有资产监督管理委员会令第12号）</w:t>
      </w:r>
    </w:p>
    <w:p w14:paraId="1F80849E" w14:textId="77777777" w:rsidR="00D269D2" w:rsidRPr="00D269D2" w:rsidRDefault="00D269D2" w:rsidP="00D269D2">
      <w:pPr>
        <w:pStyle w:val="13"/>
      </w:pPr>
      <w:r w:rsidRPr="00D269D2">
        <w:rPr>
          <w:rFonts w:hint="eastAsia"/>
        </w:rPr>
        <w:t>5.上市公司国有股权监督管理办法（国务院国有资产监督管理委员会 财政部 中国证券监督管理委员会令第36号）</w:t>
      </w:r>
    </w:p>
    <w:p w14:paraId="206C57B9" w14:textId="77777777" w:rsidR="00D269D2" w:rsidRPr="00D269D2" w:rsidRDefault="00D269D2" w:rsidP="00D269D2">
      <w:pPr>
        <w:pStyle w:val="13"/>
      </w:pPr>
      <w:r w:rsidRPr="00D269D2">
        <w:rPr>
          <w:rFonts w:hint="eastAsia"/>
        </w:rPr>
        <w:t>6.国有资产评估管理若干问题的规定（中华人民共和国财政部令第14号）</w:t>
      </w:r>
    </w:p>
    <w:p w14:paraId="776E2221" w14:textId="77777777" w:rsidR="00D269D2" w:rsidRPr="00D269D2" w:rsidRDefault="00D269D2" w:rsidP="00D269D2">
      <w:pPr>
        <w:pStyle w:val="13"/>
      </w:pPr>
      <w:r w:rsidRPr="00D269D2">
        <w:rPr>
          <w:rFonts w:hint="eastAsia"/>
        </w:rPr>
        <w:t>7.国有资产评估违法行为处罚办法（中华人民共和国财政部令第15号）</w:t>
      </w:r>
    </w:p>
    <w:p w14:paraId="57204898" w14:textId="77777777" w:rsidR="00D269D2" w:rsidRPr="00D269D2" w:rsidRDefault="00D269D2" w:rsidP="00D269D2">
      <w:pPr>
        <w:pStyle w:val="13"/>
      </w:pPr>
      <w:r w:rsidRPr="00D269D2">
        <w:rPr>
          <w:rFonts w:hint="eastAsia"/>
        </w:rPr>
        <w:t>8.关于印发《国有资产评估管理办法施行细则》的通知（国资办发(1992)36号）</w:t>
      </w:r>
    </w:p>
    <w:p w14:paraId="0C8DCBC2" w14:textId="77777777" w:rsidR="00D269D2" w:rsidRPr="00D269D2" w:rsidRDefault="00D269D2" w:rsidP="00D269D2">
      <w:pPr>
        <w:pStyle w:val="13"/>
      </w:pPr>
      <w:r w:rsidRPr="00D269D2">
        <w:rPr>
          <w:rFonts w:hint="eastAsia"/>
        </w:rPr>
        <w:t>9.国务院办公厅转发财政部关于改革国有资产评估行政管理方式加强资产评估监督管理工作意见的通知（国办发[2001]102号）</w:t>
      </w:r>
    </w:p>
    <w:p w14:paraId="36CE9177" w14:textId="77777777" w:rsidR="00D269D2" w:rsidRPr="00D269D2" w:rsidRDefault="00D269D2" w:rsidP="00D269D2">
      <w:pPr>
        <w:pStyle w:val="13"/>
      </w:pPr>
      <w:r w:rsidRPr="00D269D2">
        <w:rPr>
          <w:rFonts w:hint="eastAsia"/>
        </w:rPr>
        <w:t>10.财政部关于印发《国有资产评估项目核准管理办法》的通知（财企[2001]801号）</w:t>
      </w:r>
    </w:p>
    <w:p w14:paraId="2DAF60B7" w14:textId="77777777" w:rsidR="00D269D2" w:rsidRPr="00D269D2" w:rsidRDefault="00D269D2" w:rsidP="00D269D2">
      <w:pPr>
        <w:pStyle w:val="13"/>
      </w:pPr>
      <w:r w:rsidRPr="00D269D2">
        <w:rPr>
          <w:rFonts w:hint="eastAsia"/>
        </w:rPr>
        <w:t>11.财政部关于印发《国有资产评估项目备案管理办法》的通知（财企[2001]802号）、</w:t>
      </w:r>
    </w:p>
    <w:p w14:paraId="3C1E2831" w14:textId="77777777" w:rsidR="00D269D2" w:rsidRPr="00D269D2" w:rsidRDefault="00D269D2" w:rsidP="00D269D2">
      <w:pPr>
        <w:pStyle w:val="13"/>
      </w:pPr>
      <w:r w:rsidRPr="00D269D2">
        <w:rPr>
          <w:rFonts w:hint="eastAsia"/>
        </w:rPr>
        <w:t>12.国务院办公厅转发国资委关于进一步规范国有企业改制工作实施意见的通知（国办发[2005]60号）</w:t>
      </w:r>
    </w:p>
    <w:p w14:paraId="6BF8C63A" w14:textId="77777777" w:rsidR="00D269D2" w:rsidRPr="00D269D2" w:rsidRDefault="00D269D2" w:rsidP="00D269D2">
      <w:pPr>
        <w:pStyle w:val="13"/>
      </w:pPr>
      <w:r w:rsidRPr="00D269D2">
        <w:rPr>
          <w:rFonts w:hint="eastAsia"/>
        </w:rPr>
        <w:t>13.关于加强企业国有资产评估管理工作有关问题的通知（国资委产权[2006]274号）</w:t>
      </w:r>
    </w:p>
    <w:p w14:paraId="41D98486" w14:textId="77777777" w:rsidR="00D269D2" w:rsidRPr="00D269D2" w:rsidRDefault="00D269D2" w:rsidP="00D269D2">
      <w:pPr>
        <w:pStyle w:val="13"/>
      </w:pPr>
      <w:r w:rsidRPr="00D269D2">
        <w:rPr>
          <w:rFonts w:hint="eastAsia"/>
        </w:rPr>
        <w:t>14.关于加强以非货币财产出资的评估管理若干问题的通知（财企[2009]46号）</w:t>
      </w:r>
    </w:p>
    <w:p w14:paraId="50BDE06C" w14:textId="77777777" w:rsidR="00D269D2" w:rsidRPr="00D269D2" w:rsidRDefault="00D269D2" w:rsidP="00D269D2">
      <w:pPr>
        <w:pStyle w:val="13"/>
      </w:pPr>
      <w:r w:rsidRPr="00D269D2">
        <w:rPr>
          <w:rFonts w:hint="eastAsia"/>
        </w:rPr>
        <w:t>15.关于企业重组有关职工安置费用财务管理问题的通知（财企[2009]117号）</w:t>
      </w:r>
    </w:p>
    <w:p w14:paraId="1F575D9D" w14:textId="77777777" w:rsidR="00D269D2" w:rsidRPr="00D269D2" w:rsidRDefault="00D269D2" w:rsidP="00D269D2">
      <w:pPr>
        <w:pStyle w:val="13"/>
      </w:pPr>
      <w:r w:rsidRPr="00D269D2">
        <w:rPr>
          <w:rFonts w:hint="eastAsia"/>
        </w:rPr>
        <w:t>16.关于印发《上海市企业国有资产评估项目核准备案操作手册》的通知（沪国资委评估[2012]468号）</w:t>
      </w:r>
    </w:p>
    <w:p w14:paraId="75AF035C" w14:textId="77777777" w:rsidR="00D269D2" w:rsidRPr="00D269D2" w:rsidRDefault="00D269D2" w:rsidP="00D269D2">
      <w:pPr>
        <w:pStyle w:val="13"/>
      </w:pPr>
      <w:r w:rsidRPr="00D269D2">
        <w:rPr>
          <w:rFonts w:hint="eastAsia"/>
        </w:rPr>
        <w:t>17.上海市国有资产评估监督检查办法(沪国资委评[2011]448号)</w:t>
      </w:r>
    </w:p>
    <w:p w14:paraId="5620CA85" w14:textId="77777777" w:rsidR="00D269D2" w:rsidRPr="00D269D2" w:rsidRDefault="00D269D2" w:rsidP="00D269D2">
      <w:pPr>
        <w:pStyle w:val="13"/>
      </w:pPr>
      <w:r w:rsidRPr="00D269D2">
        <w:rPr>
          <w:rFonts w:hint="eastAsia"/>
        </w:rPr>
        <w:t>18.上海市企业境外国有资产监督管理暂行办法（沪国资委办[2012]230号）</w:t>
      </w:r>
    </w:p>
    <w:p w14:paraId="430631F3" w14:textId="77777777" w:rsidR="00D269D2" w:rsidRPr="00D269D2" w:rsidRDefault="00D269D2" w:rsidP="00D269D2">
      <w:pPr>
        <w:pStyle w:val="13"/>
      </w:pPr>
      <w:r w:rsidRPr="00D269D2">
        <w:rPr>
          <w:rFonts w:hint="eastAsia"/>
        </w:rPr>
        <w:t>19.关于印发《企业国有资产评估项目备案工作指引》的通知（</w:t>
      </w:r>
      <w:proofErr w:type="gramStart"/>
      <w:r w:rsidRPr="00D269D2">
        <w:rPr>
          <w:rFonts w:hint="eastAsia"/>
        </w:rPr>
        <w:t>国资发产权</w:t>
      </w:r>
      <w:proofErr w:type="gramEnd"/>
      <w:r w:rsidRPr="00D269D2">
        <w:rPr>
          <w:rFonts w:hint="eastAsia"/>
        </w:rPr>
        <w:t>[2013]64号）</w:t>
      </w:r>
    </w:p>
    <w:p w14:paraId="5FB704C0" w14:textId="77777777" w:rsidR="00D269D2" w:rsidRPr="00D269D2" w:rsidRDefault="00D269D2" w:rsidP="00D269D2">
      <w:pPr>
        <w:pStyle w:val="13"/>
      </w:pPr>
      <w:r w:rsidRPr="00D269D2">
        <w:rPr>
          <w:rFonts w:hint="eastAsia"/>
        </w:rPr>
        <w:t>20.关于印发《本市国有企业混合所有制改制操作指引（试行）》的通知（沪国资</w:t>
      </w:r>
      <w:r w:rsidRPr="00D269D2">
        <w:rPr>
          <w:rFonts w:hint="eastAsia"/>
        </w:rPr>
        <w:lastRenderedPageBreak/>
        <w:t>委改革[2016]26号）</w:t>
      </w:r>
    </w:p>
    <w:p w14:paraId="0B3E32EA" w14:textId="77777777" w:rsidR="00D269D2" w:rsidRPr="00D269D2" w:rsidRDefault="00D269D2" w:rsidP="00D269D2">
      <w:pPr>
        <w:pStyle w:val="13"/>
      </w:pPr>
      <w:r w:rsidRPr="00D269D2">
        <w:rPr>
          <w:rFonts w:hint="eastAsia"/>
        </w:rPr>
        <w:t>21.关于印发《上海市国资委系统受托评估机构执业质量综合评价办法》的通知（沪国资委评估[2013]48号）</w:t>
      </w:r>
    </w:p>
    <w:p w14:paraId="6C33E377" w14:textId="77777777" w:rsidR="00D269D2" w:rsidRPr="00D269D2" w:rsidRDefault="00D269D2" w:rsidP="00D269D2">
      <w:pPr>
        <w:pStyle w:val="13"/>
      </w:pPr>
      <w:r w:rsidRPr="00D269D2">
        <w:rPr>
          <w:rFonts w:hint="eastAsia"/>
        </w:rPr>
        <w:t>22.关于转发国务院国资委《关于建立中央企业资产评估项目公示制度有关事项的通知》（沪国资委评估[2016]338号）</w:t>
      </w:r>
    </w:p>
    <w:p w14:paraId="1DAA4FBB" w14:textId="77777777" w:rsidR="00D269D2" w:rsidRPr="00D269D2" w:rsidRDefault="00D269D2" w:rsidP="00D269D2">
      <w:pPr>
        <w:pStyle w:val="13"/>
      </w:pPr>
      <w:r w:rsidRPr="00D269D2">
        <w:rPr>
          <w:rFonts w:hint="eastAsia"/>
        </w:rPr>
        <w:t>23.关于规范本市国有资产评估项目评估机构选聘工作的指导意见（沪国资委评估[2016]354号）</w:t>
      </w:r>
    </w:p>
    <w:p w14:paraId="00E69617" w14:textId="38C31E6C" w:rsidR="00D269D2" w:rsidRPr="00D269D2" w:rsidRDefault="00D269D2" w:rsidP="00D269D2">
      <w:pPr>
        <w:pStyle w:val="13"/>
        <w:ind w:firstLine="482"/>
      </w:pPr>
      <w:r w:rsidRPr="00D269D2">
        <w:rPr>
          <w:rFonts w:hint="eastAsia"/>
          <w:b/>
          <w:bCs/>
        </w:rPr>
        <w:t>二、国有资产产权管理相关文件</w:t>
      </w:r>
    </w:p>
    <w:p w14:paraId="2918A495" w14:textId="77777777" w:rsidR="00D269D2" w:rsidRPr="00D269D2" w:rsidRDefault="00D269D2" w:rsidP="00D269D2">
      <w:pPr>
        <w:pStyle w:val="13"/>
      </w:pPr>
      <w:r w:rsidRPr="00D269D2">
        <w:rPr>
          <w:rFonts w:hint="eastAsia"/>
        </w:rPr>
        <w:t>1.关于印发《企业国有产权无偿划转管理暂行办法》的通知（</w:t>
      </w:r>
      <w:proofErr w:type="gramStart"/>
      <w:r w:rsidRPr="00D269D2">
        <w:rPr>
          <w:rFonts w:hint="eastAsia"/>
        </w:rPr>
        <w:t>国资发产权</w:t>
      </w:r>
      <w:proofErr w:type="gramEnd"/>
      <w:r w:rsidRPr="00D269D2">
        <w:rPr>
          <w:rFonts w:hint="eastAsia"/>
        </w:rPr>
        <w:t>[2005]239号）</w:t>
      </w:r>
    </w:p>
    <w:p w14:paraId="316EB2C3" w14:textId="77777777" w:rsidR="00D269D2" w:rsidRPr="00D269D2" w:rsidRDefault="00D269D2" w:rsidP="00D269D2">
      <w:pPr>
        <w:pStyle w:val="13"/>
      </w:pPr>
      <w:r w:rsidRPr="00D269D2">
        <w:rPr>
          <w:rFonts w:hint="eastAsia"/>
        </w:rPr>
        <w:t>2.企业国有资产交易监督管理办法（国务院国有资产监督管理委员会、财政部令第32号）</w:t>
      </w:r>
    </w:p>
    <w:p w14:paraId="7ECC9E84" w14:textId="77777777" w:rsidR="00D269D2" w:rsidRPr="00D269D2" w:rsidRDefault="00D269D2" w:rsidP="00D269D2">
      <w:pPr>
        <w:pStyle w:val="13"/>
      </w:pPr>
      <w:r w:rsidRPr="00D269D2">
        <w:rPr>
          <w:rFonts w:hint="eastAsia"/>
        </w:rPr>
        <w:t>3.关于印发《上海市企业国有产权无偿划转暂行办法》的通知（沪国资委产[2006]362号）</w:t>
      </w:r>
    </w:p>
    <w:p w14:paraId="0AEA34F1" w14:textId="77777777" w:rsidR="00D269D2" w:rsidRPr="00D269D2" w:rsidRDefault="00D269D2" w:rsidP="00D269D2">
      <w:pPr>
        <w:pStyle w:val="13"/>
      </w:pPr>
      <w:r w:rsidRPr="00D269D2">
        <w:rPr>
          <w:rFonts w:hint="eastAsia"/>
        </w:rPr>
        <w:t>4.关于印发《企业国有产权（股权）管理有关事项办理程序及报批材料指引》的通知（沪国资委办发[2009]10号）</w:t>
      </w:r>
    </w:p>
    <w:p w14:paraId="55FDAA89" w14:textId="77777777" w:rsidR="00D269D2" w:rsidRPr="00D269D2" w:rsidRDefault="00D269D2" w:rsidP="00D269D2">
      <w:pPr>
        <w:pStyle w:val="13"/>
      </w:pPr>
      <w:r w:rsidRPr="00D269D2">
        <w:rPr>
          <w:rFonts w:hint="eastAsia"/>
        </w:rPr>
        <w:t>5.关于中央企业国有产权协议转让有关事项的通知（</w:t>
      </w:r>
      <w:proofErr w:type="gramStart"/>
      <w:r w:rsidRPr="00D269D2">
        <w:rPr>
          <w:rFonts w:hint="eastAsia"/>
        </w:rPr>
        <w:t>国资发产权</w:t>
      </w:r>
      <w:proofErr w:type="gramEnd"/>
      <w:r w:rsidRPr="00D269D2">
        <w:rPr>
          <w:rFonts w:hint="eastAsia"/>
        </w:rPr>
        <w:t>[2010]11号）</w:t>
      </w:r>
    </w:p>
    <w:p w14:paraId="0D64F1AE" w14:textId="793CBE37" w:rsidR="00D269D2" w:rsidRPr="00D269D2" w:rsidRDefault="00D269D2" w:rsidP="00D269D2">
      <w:pPr>
        <w:pStyle w:val="13"/>
        <w:ind w:firstLine="482"/>
      </w:pPr>
      <w:r w:rsidRPr="00D269D2">
        <w:rPr>
          <w:rFonts w:hint="eastAsia"/>
          <w:b/>
          <w:bCs/>
        </w:rPr>
        <w:t>三、国有资产财务审计管理相关文件</w:t>
      </w:r>
    </w:p>
    <w:p w14:paraId="7498606C" w14:textId="77777777" w:rsidR="00D269D2" w:rsidRPr="00D269D2" w:rsidRDefault="00D269D2" w:rsidP="00D269D2">
      <w:pPr>
        <w:pStyle w:val="13"/>
      </w:pPr>
      <w:r w:rsidRPr="00D269D2">
        <w:rPr>
          <w:rFonts w:hint="eastAsia"/>
        </w:rPr>
        <w:t>1.关于印发《上海市国有企业改制财务审计管理暂行办法》（修订版）等文件的通知（沪国资委评价[2011]153号）</w:t>
      </w:r>
    </w:p>
    <w:p w14:paraId="72498379" w14:textId="696349EB" w:rsidR="00D269D2" w:rsidRPr="00D269D2" w:rsidRDefault="00D269D2" w:rsidP="00D269D2">
      <w:pPr>
        <w:pStyle w:val="13"/>
        <w:ind w:firstLine="482"/>
      </w:pPr>
      <w:r w:rsidRPr="00D269D2">
        <w:rPr>
          <w:rFonts w:hint="eastAsia"/>
          <w:b/>
          <w:bCs/>
        </w:rPr>
        <w:t>四、资产评估准则、指南、指导意见</w:t>
      </w:r>
    </w:p>
    <w:p w14:paraId="0945A083" w14:textId="77777777" w:rsidR="00D269D2" w:rsidRPr="00D269D2" w:rsidRDefault="00D269D2" w:rsidP="00D269D2">
      <w:pPr>
        <w:pStyle w:val="13"/>
      </w:pPr>
      <w:r w:rsidRPr="00D269D2">
        <w:rPr>
          <w:rFonts w:hint="eastAsia"/>
        </w:rPr>
        <w:t>1.《资产评估基本准则》（财资[2017]43号）</w:t>
      </w:r>
    </w:p>
    <w:p w14:paraId="4F2B7644" w14:textId="77777777" w:rsidR="00D269D2" w:rsidRPr="00D269D2" w:rsidRDefault="00D269D2" w:rsidP="00D269D2">
      <w:pPr>
        <w:pStyle w:val="13"/>
      </w:pPr>
      <w:r w:rsidRPr="00D269D2">
        <w:rPr>
          <w:rFonts w:hint="eastAsia"/>
        </w:rPr>
        <w:t>2.《资产评估职业道德准则》（</w:t>
      </w:r>
      <w:proofErr w:type="gramStart"/>
      <w:r w:rsidRPr="00D269D2">
        <w:rPr>
          <w:rFonts w:hint="eastAsia"/>
        </w:rPr>
        <w:t>中评协</w:t>
      </w:r>
      <w:proofErr w:type="gramEnd"/>
      <w:r w:rsidRPr="00D269D2">
        <w:rPr>
          <w:rFonts w:hint="eastAsia"/>
        </w:rPr>
        <w:t>[2017]30号）</w:t>
      </w:r>
    </w:p>
    <w:p w14:paraId="5164DCC7" w14:textId="77777777" w:rsidR="00D269D2" w:rsidRPr="00D269D2" w:rsidRDefault="00D269D2" w:rsidP="00D269D2">
      <w:pPr>
        <w:pStyle w:val="13"/>
      </w:pPr>
      <w:r w:rsidRPr="00D269D2">
        <w:rPr>
          <w:rFonts w:hint="eastAsia"/>
        </w:rPr>
        <w:t>3.《资产评估执业准则——资产评估程序》（</w:t>
      </w:r>
      <w:proofErr w:type="gramStart"/>
      <w:r w:rsidRPr="00D269D2">
        <w:rPr>
          <w:rFonts w:hint="eastAsia"/>
        </w:rPr>
        <w:t>中评协</w:t>
      </w:r>
      <w:proofErr w:type="gramEnd"/>
      <w:r w:rsidRPr="00D269D2">
        <w:rPr>
          <w:rFonts w:hint="eastAsia"/>
        </w:rPr>
        <w:t>[2017]31号）</w:t>
      </w:r>
    </w:p>
    <w:p w14:paraId="2576A279" w14:textId="77777777" w:rsidR="00D269D2" w:rsidRPr="00D269D2" w:rsidRDefault="00D269D2" w:rsidP="00D269D2">
      <w:pPr>
        <w:pStyle w:val="13"/>
      </w:pPr>
      <w:r w:rsidRPr="00D269D2">
        <w:rPr>
          <w:rFonts w:hint="eastAsia"/>
        </w:rPr>
        <w:t>4.《资产评估执业准则——资产评估报告》（</w:t>
      </w:r>
      <w:proofErr w:type="gramStart"/>
      <w:r w:rsidRPr="00D269D2">
        <w:rPr>
          <w:rFonts w:hint="eastAsia"/>
        </w:rPr>
        <w:t>中评协</w:t>
      </w:r>
      <w:proofErr w:type="gramEnd"/>
      <w:r w:rsidRPr="00D269D2">
        <w:rPr>
          <w:rFonts w:hint="eastAsia"/>
        </w:rPr>
        <w:t>[2017]32号）</w:t>
      </w:r>
    </w:p>
    <w:p w14:paraId="5343D02D" w14:textId="77777777" w:rsidR="00D269D2" w:rsidRPr="00D269D2" w:rsidRDefault="00D269D2" w:rsidP="00D269D2">
      <w:pPr>
        <w:pStyle w:val="13"/>
      </w:pPr>
      <w:r w:rsidRPr="00D269D2">
        <w:rPr>
          <w:rFonts w:hint="eastAsia"/>
        </w:rPr>
        <w:t>5.《资产评估执业准则——资产评估委托合同》（</w:t>
      </w:r>
      <w:proofErr w:type="gramStart"/>
      <w:r w:rsidRPr="00D269D2">
        <w:rPr>
          <w:rFonts w:hint="eastAsia"/>
        </w:rPr>
        <w:t>中评协</w:t>
      </w:r>
      <w:proofErr w:type="gramEnd"/>
      <w:r w:rsidRPr="00D269D2">
        <w:rPr>
          <w:rFonts w:hint="eastAsia"/>
        </w:rPr>
        <w:t>[2017]33号）</w:t>
      </w:r>
    </w:p>
    <w:p w14:paraId="6B962E7A" w14:textId="77777777" w:rsidR="00D269D2" w:rsidRPr="00D269D2" w:rsidRDefault="00D269D2" w:rsidP="00D269D2">
      <w:pPr>
        <w:pStyle w:val="13"/>
      </w:pPr>
      <w:r w:rsidRPr="00D269D2">
        <w:rPr>
          <w:rFonts w:hint="eastAsia"/>
        </w:rPr>
        <w:t>6.资产评估执业准则——资产评估档案</w:t>
      </w:r>
      <w:proofErr w:type="gramStart"/>
      <w:r w:rsidRPr="00D269D2">
        <w:rPr>
          <w:rFonts w:hint="eastAsia"/>
        </w:rPr>
        <w:t>》</w:t>
      </w:r>
      <w:proofErr w:type="gramEnd"/>
      <w:r w:rsidRPr="00D269D2">
        <w:rPr>
          <w:rFonts w:hint="eastAsia"/>
        </w:rPr>
        <w:t>（</w:t>
      </w:r>
      <w:proofErr w:type="gramStart"/>
      <w:r w:rsidRPr="00D269D2">
        <w:rPr>
          <w:rFonts w:hint="eastAsia"/>
        </w:rPr>
        <w:t>中评协</w:t>
      </w:r>
      <w:proofErr w:type="gramEnd"/>
      <w:r w:rsidRPr="00D269D2">
        <w:rPr>
          <w:rFonts w:hint="eastAsia"/>
        </w:rPr>
        <w:t>[2017]34号）</w:t>
      </w:r>
    </w:p>
    <w:p w14:paraId="7B82003E" w14:textId="77777777" w:rsidR="00D269D2" w:rsidRPr="00D269D2" w:rsidRDefault="00D269D2" w:rsidP="00D269D2">
      <w:pPr>
        <w:pStyle w:val="13"/>
      </w:pPr>
      <w:r w:rsidRPr="00D269D2">
        <w:rPr>
          <w:rFonts w:hint="eastAsia"/>
        </w:rPr>
        <w:t>7.《资产评估执业准则——利用专家工作及相关报告》（</w:t>
      </w:r>
      <w:proofErr w:type="gramStart"/>
      <w:r w:rsidRPr="00D269D2">
        <w:rPr>
          <w:rFonts w:hint="eastAsia"/>
        </w:rPr>
        <w:t>中评协</w:t>
      </w:r>
      <w:proofErr w:type="gramEnd"/>
      <w:r w:rsidRPr="00D269D2">
        <w:rPr>
          <w:rFonts w:hint="eastAsia"/>
        </w:rPr>
        <w:t>[2017]35号）</w:t>
      </w:r>
    </w:p>
    <w:p w14:paraId="45504987" w14:textId="77777777" w:rsidR="00D269D2" w:rsidRPr="00D269D2" w:rsidRDefault="00D269D2" w:rsidP="00D269D2">
      <w:pPr>
        <w:pStyle w:val="13"/>
      </w:pPr>
      <w:r w:rsidRPr="00D269D2">
        <w:rPr>
          <w:rFonts w:hint="eastAsia"/>
        </w:rPr>
        <w:t>8.《资产评估执业准则——企业价值》（</w:t>
      </w:r>
      <w:proofErr w:type="gramStart"/>
      <w:r w:rsidRPr="00D269D2">
        <w:rPr>
          <w:rFonts w:hint="eastAsia"/>
        </w:rPr>
        <w:t>中评协</w:t>
      </w:r>
      <w:proofErr w:type="gramEnd"/>
      <w:r w:rsidRPr="00D269D2">
        <w:rPr>
          <w:rFonts w:hint="eastAsia"/>
        </w:rPr>
        <w:t>[2017]36号）</w:t>
      </w:r>
    </w:p>
    <w:p w14:paraId="34219563" w14:textId="77777777" w:rsidR="00D269D2" w:rsidRPr="00D269D2" w:rsidRDefault="00D269D2" w:rsidP="00D269D2">
      <w:pPr>
        <w:pStyle w:val="13"/>
      </w:pPr>
      <w:r w:rsidRPr="00D269D2">
        <w:rPr>
          <w:rFonts w:hint="eastAsia"/>
        </w:rPr>
        <w:t>9.《资产评估执业准则——无形资产》（</w:t>
      </w:r>
      <w:proofErr w:type="gramStart"/>
      <w:r w:rsidRPr="00D269D2">
        <w:rPr>
          <w:rFonts w:hint="eastAsia"/>
        </w:rPr>
        <w:t>中评协</w:t>
      </w:r>
      <w:proofErr w:type="gramEnd"/>
      <w:r w:rsidRPr="00D269D2">
        <w:rPr>
          <w:rFonts w:hint="eastAsia"/>
        </w:rPr>
        <w:t>[2017]37号）</w:t>
      </w:r>
    </w:p>
    <w:p w14:paraId="076CCC89" w14:textId="77777777" w:rsidR="00D269D2" w:rsidRPr="00D269D2" w:rsidRDefault="00D269D2" w:rsidP="00D269D2">
      <w:pPr>
        <w:pStyle w:val="13"/>
      </w:pPr>
      <w:r w:rsidRPr="00D269D2">
        <w:rPr>
          <w:rFonts w:hint="eastAsia"/>
        </w:rPr>
        <w:t>10.《资产评估执业准则——不动产》（</w:t>
      </w:r>
      <w:proofErr w:type="gramStart"/>
      <w:r w:rsidRPr="00D269D2">
        <w:rPr>
          <w:rFonts w:hint="eastAsia"/>
        </w:rPr>
        <w:t>中评协</w:t>
      </w:r>
      <w:proofErr w:type="gramEnd"/>
      <w:r w:rsidRPr="00D269D2">
        <w:rPr>
          <w:rFonts w:hint="eastAsia"/>
        </w:rPr>
        <w:t>[2017]38号）</w:t>
      </w:r>
    </w:p>
    <w:p w14:paraId="73EF67E0" w14:textId="77777777" w:rsidR="00D269D2" w:rsidRPr="00D269D2" w:rsidRDefault="00D269D2" w:rsidP="00D269D2">
      <w:pPr>
        <w:pStyle w:val="13"/>
      </w:pPr>
      <w:r w:rsidRPr="00D269D2">
        <w:rPr>
          <w:rFonts w:hint="eastAsia"/>
        </w:rPr>
        <w:t>11.《资产评估执业准则——机器设备》（</w:t>
      </w:r>
      <w:proofErr w:type="gramStart"/>
      <w:r w:rsidRPr="00D269D2">
        <w:rPr>
          <w:rFonts w:hint="eastAsia"/>
        </w:rPr>
        <w:t>中评协</w:t>
      </w:r>
      <w:proofErr w:type="gramEnd"/>
      <w:r w:rsidRPr="00D269D2">
        <w:rPr>
          <w:rFonts w:hint="eastAsia"/>
        </w:rPr>
        <w:t>[2017]39号）</w:t>
      </w:r>
    </w:p>
    <w:p w14:paraId="427100D9" w14:textId="77777777" w:rsidR="00D269D2" w:rsidRPr="00D269D2" w:rsidRDefault="00D269D2" w:rsidP="00D269D2">
      <w:pPr>
        <w:pStyle w:val="13"/>
      </w:pPr>
      <w:r w:rsidRPr="00D269D2">
        <w:rPr>
          <w:rFonts w:hint="eastAsia"/>
        </w:rPr>
        <w:t>12.《资产评估执业准则——珠宝首饰》（</w:t>
      </w:r>
      <w:proofErr w:type="gramStart"/>
      <w:r w:rsidRPr="00D269D2">
        <w:rPr>
          <w:rFonts w:hint="eastAsia"/>
        </w:rPr>
        <w:t>中评协</w:t>
      </w:r>
      <w:proofErr w:type="gramEnd"/>
      <w:r w:rsidRPr="00D269D2">
        <w:rPr>
          <w:rFonts w:hint="eastAsia"/>
        </w:rPr>
        <w:t>[2017]40号）</w:t>
      </w:r>
    </w:p>
    <w:p w14:paraId="043A6412" w14:textId="77777777" w:rsidR="00D269D2" w:rsidRPr="00D269D2" w:rsidRDefault="00D269D2" w:rsidP="00D269D2">
      <w:pPr>
        <w:pStyle w:val="13"/>
      </w:pPr>
      <w:r w:rsidRPr="00D269D2">
        <w:rPr>
          <w:rFonts w:hint="eastAsia"/>
        </w:rPr>
        <w:t>13.《资产评估执业准则——森林资源资产》（</w:t>
      </w:r>
      <w:proofErr w:type="gramStart"/>
      <w:r w:rsidRPr="00D269D2">
        <w:rPr>
          <w:rFonts w:hint="eastAsia"/>
        </w:rPr>
        <w:t>中评协</w:t>
      </w:r>
      <w:proofErr w:type="gramEnd"/>
      <w:r w:rsidRPr="00D269D2">
        <w:rPr>
          <w:rFonts w:hint="eastAsia"/>
        </w:rPr>
        <w:t>[2017]41号）</w:t>
      </w:r>
    </w:p>
    <w:p w14:paraId="4F1DB4D8" w14:textId="77777777" w:rsidR="00D269D2" w:rsidRPr="00D269D2" w:rsidRDefault="00D269D2" w:rsidP="00D269D2">
      <w:pPr>
        <w:pStyle w:val="13"/>
      </w:pPr>
      <w:r w:rsidRPr="00D269D2">
        <w:rPr>
          <w:rFonts w:hint="eastAsia"/>
        </w:rPr>
        <w:lastRenderedPageBreak/>
        <w:t>14.《企业国有资产评估报告指南》（</w:t>
      </w:r>
      <w:proofErr w:type="gramStart"/>
      <w:r w:rsidRPr="00D269D2">
        <w:rPr>
          <w:rFonts w:hint="eastAsia"/>
        </w:rPr>
        <w:t>中评协</w:t>
      </w:r>
      <w:proofErr w:type="gramEnd"/>
      <w:r w:rsidRPr="00D269D2">
        <w:rPr>
          <w:rFonts w:hint="eastAsia"/>
        </w:rPr>
        <w:t>[2017]42号）</w:t>
      </w:r>
    </w:p>
    <w:p w14:paraId="41AFA60C" w14:textId="77777777" w:rsidR="00D269D2" w:rsidRPr="00D269D2" w:rsidRDefault="00D269D2" w:rsidP="00D269D2">
      <w:pPr>
        <w:pStyle w:val="13"/>
      </w:pPr>
      <w:r w:rsidRPr="00D269D2">
        <w:rPr>
          <w:rFonts w:hint="eastAsia"/>
        </w:rPr>
        <w:t>15.《金融企业国有资产评估报告指南》（</w:t>
      </w:r>
      <w:proofErr w:type="gramStart"/>
      <w:r w:rsidRPr="00D269D2">
        <w:rPr>
          <w:rFonts w:hint="eastAsia"/>
        </w:rPr>
        <w:t>中评协</w:t>
      </w:r>
      <w:proofErr w:type="gramEnd"/>
      <w:r w:rsidRPr="00D269D2">
        <w:rPr>
          <w:rFonts w:hint="eastAsia"/>
        </w:rPr>
        <w:t>[2017]43号）</w:t>
      </w:r>
    </w:p>
    <w:p w14:paraId="0A820390" w14:textId="77777777" w:rsidR="00D269D2" w:rsidRPr="00D269D2" w:rsidRDefault="00D269D2" w:rsidP="00D269D2">
      <w:pPr>
        <w:pStyle w:val="13"/>
      </w:pPr>
      <w:r w:rsidRPr="00D269D2">
        <w:rPr>
          <w:rFonts w:hint="eastAsia"/>
        </w:rPr>
        <w:t>16.《知识产权资产评估指南》（</w:t>
      </w:r>
      <w:proofErr w:type="gramStart"/>
      <w:r w:rsidRPr="00D269D2">
        <w:rPr>
          <w:rFonts w:hint="eastAsia"/>
        </w:rPr>
        <w:t>中评协</w:t>
      </w:r>
      <w:proofErr w:type="gramEnd"/>
      <w:r w:rsidRPr="00D269D2">
        <w:rPr>
          <w:rFonts w:hint="eastAsia"/>
        </w:rPr>
        <w:t>[2017]44号）</w:t>
      </w:r>
    </w:p>
    <w:p w14:paraId="38CF5FB0" w14:textId="77777777" w:rsidR="00D269D2" w:rsidRPr="00D269D2" w:rsidRDefault="00D269D2" w:rsidP="00D269D2">
      <w:pPr>
        <w:pStyle w:val="13"/>
      </w:pPr>
      <w:r w:rsidRPr="00D269D2">
        <w:rPr>
          <w:rFonts w:hint="eastAsia"/>
        </w:rPr>
        <w:t>17.《资产评估价值类型指导意见》（</w:t>
      </w:r>
      <w:proofErr w:type="gramStart"/>
      <w:r w:rsidRPr="00D269D2">
        <w:rPr>
          <w:rFonts w:hint="eastAsia"/>
        </w:rPr>
        <w:t>中评协</w:t>
      </w:r>
      <w:proofErr w:type="gramEnd"/>
      <w:r w:rsidRPr="00D269D2">
        <w:rPr>
          <w:rFonts w:hint="eastAsia"/>
        </w:rPr>
        <w:t>[2017]47号）</w:t>
      </w:r>
    </w:p>
    <w:p w14:paraId="0696BB82" w14:textId="77777777" w:rsidR="00D269D2" w:rsidRPr="00D269D2" w:rsidRDefault="00D269D2" w:rsidP="00D269D2">
      <w:pPr>
        <w:pStyle w:val="13"/>
      </w:pPr>
      <w:r w:rsidRPr="00D269D2">
        <w:rPr>
          <w:rFonts w:hint="eastAsia"/>
        </w:rPr>
        <w:t>18.《资产评估对象法律权属指导意见》（</w:t>
      </w:r>
      <w:proofErr w:type="gramStart"/>
      <w:r w:rsidRPr="00D269D2">
        <w:rPr>
          <w:rFonts w:hint="eastAsia"/>
        </w:rPr>
        <w:t>中评协</w:t>
      </w:r>
      <w:proofErr w:type="gramEnd"/>
      <w:r w:rsidRPr="00D269D2">
        <w:rPr>
          <w:rFonts w:hint="eastAsia"/>
        </w:rPr>
        <w:t>[2017]48号）</w:t>
      </w:r>
    </w:p>
    <w:p w14:paraId="5FA41229" w14:textId="77777777" w:rsidR="00D269D2" w:rsidRPr="00D269D2" w:rsidRDefault="00D269D2" w:rsidP="00D269D2">
      <w:pPr>
        <w:pStyle w:val="13"/>
      </w:pPr>
      <w:r w:rsidRPr="00D269D2">
        <w:rPr>
          <w:rFonts w:hint="eastAsia"/>
        </w:rPr>
        <w:t>19.《专利资产评估指导意见》（</w:t>
      </w:r>
      <w:proofErr w:type="gramStart"/>
      <w:r w:rsidRPr="00D269D2">
        <w:rPr>
          <w:rFonts w:hint="eastAsia"/>
        </w:rPr>
        <w:t>中评协</w:t>
      </w:r>
      <w:proofErr w:type="gramEnd"/>
      <w:r w:rsidRPr="00D269D2">
        <w:rPr>
          <w:rFonts w:hint="eastAsia"/>
        </w:rPr>
        <w:t>[2017]49号）</w:t>
      </w:r>
    </w:p>
    <w:p w14:paraId="3459A7FB" w14:textId="77777777" w:rsidR="00D269D2" w:rsidRPr="00D269D2" w:rsidRDefault="00D269D2" w:rsidP="00D269D2">
      <w:pPr>
        <w:pStyle w:val="13"/>
      </w:pPr>
      <w:r w:rsidRPr="00D269D2">
        <w:rPr>
          <w:rFonts w:hint="eastAsia"/>
        </w:rPr>
        <w:t>20.《著作权资产评估指导意见》（</w:t>
      </w:r>
      <w:proofErr w:type="gramStart"/>
      <w:r w:rsidRPr="00D269D2">
        <w:rPr>
          <w:rFonts w:hint="eastAsia"/>
        </w:rPr>
        <w:t>中评协</w:t>
      </w:r>
      <w:proofErr w:type="gramEnd"/>
      <w:r w:rsidRPr="00D269D2">
        <w:rPr>
          <w:rFonts w:hint="eastAsia"/>
        </w:rPr>
        <w:t>[2017]50号）</w:t>
      </w:r>
    </w:p>
    <w:p w14:paraId="6E8E100A" w14:textId="77777777" w:rsidR="00D269D2" w:rsidRPr="00D269D2" w:rsidRDefault="00D269D2" w:rsidP="00D269D2">
      <w:pPr>
        <w:pStyle w:val="13"/>
      </w:pPr>
      <w:r w:rsidRPr="00D269D2">
        <w:rPr>
          <w:rFonts w:hint="eastAsia"/>
        </w:rPr>
        <w:t>21.《商标资产评估指导意见》（</w:t>
      </w:r>
      <w:proofErr w:type="gramStart"/>
      <w:r w:rsidRPr="00D269D2">
        <w:rPr>
          <w:rFonts w:hint="eastAsia"/>
        </w:rPr>
        <w:t>中评协</w:t>
      </w:r>
      <w:proofErr w:type="gramEnd"/>
      <w:r w:rsidRPr="00D269D2">
        <w:rPr>
          <w:rFonts w:hint="eastAsia"/>
        </w:rPr>
        <w:t>[2017]51号）</w:t>
      </w:r>
    </w:p>
    <w:p w14:paraId="5B0A30E3" w14:textId="77777777" w:rsidR="00D269D2" w:rsidRPr="00D269D2" w:rsidRDefault="00D269D2" w:rsidP="00D269D2">
      <w:pPr>
        <w:pStyle w:val="13"/>
      </w:pPr>
      <w:r w:rsidRPr="00D269D2">
        <w:rPr>
          <w:rFonts w:hint="eastAsia"/>
        </w:rPr>
        <w:t>22.《金融不良资产评估指导意见》（</w:t>
      </w:r>
      <w:proofErr w:type="gramStart"/>
      <w:r w:rsidRPr="00D269D2">
        <w:rPr>
          <w:rFonts w:hint="eastAsia"/>
        </w:rPr>
        <w:t>中评协</w:t>
      </w:r>
      <w:proofErr w:type="gramEnd"/>
      <w:r w:rsidRPr="00D269D2">
        <w:rPr>
          <w:rFonts w:hint="eastAsia"/>
        </w:rPr>
        <w:t>[2017]52号）</w:t>
      </w:r>
    </w:p>
    <w:p w14:paraId="31026BFA" w14:textId="77777777" w:rsidR="00D269D2" w:rsidRPr="00D269D2" w:rsidRDefault="00D269D2" w:rsidP="00D269D2">
      <w:pPr>
        <w:pStyle w:val="13"/>
      </w:pPr>
      <w:r w:rsidRPr="00D269D2">
        <w:rPr>
          <w:rFonts w:hint="eastAsia"/>
        </w:rPr>
        <w:t>23.《投资性房地产评估指导意见》（</w:t>
      </w:r>
      <w:proofErr w:type="gramStart"/>
      <w:r w:rsidRPr="00D269D2">
        <w:rPr>
          <w:rFonts w:hint="eastAsia"/>
        </w:rPr>
        <w:t>中评协</w:t>
      </w:r>
      <w:proofErr w:type="gramEnd"/>
      <w:r w:rsidRPr="00D269D2">
        <w:rPr>
          <w:rFonts w:hint="eastAsia"/>
        </w:rPr>
        <w:t>[2017]53号）</w:t>
      </w:r>
    </w:p>
    <w:p w14:paraId="44F524CB" w14:textId="77777777" w:rsidR="00D269D2" w:rsidRPr="00D269D2" w:rsidRDefault="00D269D2" w:rsidP="00D269D2">
      <w:pPr>
        <w:pStyle w:val="13"/>
      </w:pPr>
      <w:r w:rsidRPr="00D269D2">
        <w:rPr>
          <w:rFonts w:hint="eastAsia"/>
        </w:rPr>
        <w:t>24.《实物期权评估指导意见》（</w:t>
      </w:r>
      <w:proofErr w:type="gramStart"/>
      <w:r w:rsidRPr="00D269D2">
        <w:rPr>
          <w:rFonts w:hint="eastAsia"/>
        </w:rPr>
        <w:t>中评协</w:t>
      </w:r>
      <w:proofErr w:type="gramEnd"/>
      <w:r w:rsidRPr="00D269D2">
        <w:rPr>
          <w:rFonts w:hint="eastAsia"/>
        </w:rPr>
        <w:t>[2017]54号）</w:t>
      </w:r>
    </w:p>
    <w:p w14:paraId="2CACC3A2" w14:textId="114C01F8" w:rsidR="00214120" w:rsidRPr="00D269D2" w:rsidRDefault="0006263B" w:rsidP="0006263B">
      <w:pPr>
        <w:pStyle w:val="31"/>
        <w:spacing w:before="156" w:after="62"/>
      </w:pPr>
      <w:bookmarkStart w:id="250" w:name="_Toc81833483"/>
      <w:r w:rsidRPr="0006263B">
        <w:rPr>
          <w:rFonts w:hint="eastAsia"/>
        </w:rPr>
        <w:t>《上海市企业国有资产评估报告专家评审工作指引》</w:t>
      </w:r>
      <w:r>
        <w:br/>
      </w:r>
      <w:r w:rsidRPr="0006263B">
        <w:rPr>
          <w:rFonts w:hint="eastAsia"/>
        </w:rPr>
        <w:t>（沪国资委评估〔</w:t>
      </w:r>
      <w:r w:rsidRPr="0006263B">
        <w:t>2019〕104号）</w:t>
      </w:r>
      <w:bookmarkEnd w:id="250"/>
    </w:p>
    <w:p w14:paraId="4ACD6434" w14:textId="77777777" w:rsidR="0006263B" w:rsidRPr="0006263B" w:rsidRDefault="0006263B" w:rsidP="0006263B">
      <w:pPr>
        <w:pStyle w:val="13"/>
      </w:pPr>
      <w:r w:rsidRPr="0006263B">
        <w:t>各监管企业、</w:t>
      </w:r>
      <w:proofErr w:type="gramStart"/>
      <w:r w:rsidRPr="0006263B">
        <w:t>各委托</w:t>
      </w:r>
      <w:proofErr w:type="gramEnd"/>
      <w:r w:rsidRPr="0006263B">
        <w:t>监管单位、各区国资委：</w:t>
      </w:r>
    </w:p>
    <w:p w14:paraId="4489F9EE" w14:textId="77777777" w:rsidR="0006263B" w:rsidRPr="0006263B" w:rsidRDefault="0006263B" w:rsidP="0006263B">
      <w:pPr>
        <w:pStyle w:val="13"/>
      </w:pPr>
      <w:r w:rsidRPr="0006263B">
        <w:t>《上海市企业国有资产评估报告专家评审工作指引》已经市国资委主任办公会议（2019-9）审议通过，现印发给你们，请认真贯彻执行。</w:t>
      </w:r>
    </w:p>
    <w:p w14:paraId="7C45ED88" w14:textId="77777777" w:rsidR="0006263B" w:rsidRPr="0006263B" w:rsidRDefault="0006263B" w:rsidP="0006263B">
      <w:pPr>
        <w:pStyle w:val="13"/>
      </w:pPr>
      <w:r w:rsidRPr="0006263B">
        <w:t>市国资委2009年印发的《关于印发&lt;关于在评估管理办法调整试点中加强评估管理有关事项的通知&gt;的通知》（沪国资委评估［2009］587号）附件3《国资委系统企业重大项目资产评估报告专家评审会办法》同步废止。</w:t>
      </w:r>
    </w:p>
    <w:p w14:paraId="21B684F3" w14:textId="77777777" w:rsidR="0006263B" w:rsidRPr="0006263B" w:rsidRDefault="0006263B" w:rsidP="0006263B">
      <w:pPr>
        <w:pStyle w:val="13"/>
      </w:pPr>
      <w:r w:rsidRPr="0006263B">
        <w:t>特此通知。</w:t>
      </w:r>
    </w:p>
    <w:p w14:paraId="69239541" w14:textId="7782D721" w:rsidR="0006263B" w:rsidRPr="0006263B" w:rsidRDefault="0006263B" w:rsidP="0006263B">
      <w:pPr>
        <w:pStyle w:val="13"/>
        <w:jc w:val="right"/>
      </w:pPr>
      <w:r w:rsidRPr="0006263B">
        <w:t>上海市国有资产监督管理委员会</w:t>
      </w:r>
    </w:p>
    <w:p w14:paraId="1521CFC2" w14:textId="77777777" w:rsidR="0006263B" w:rsidRPr="0006263B" w:rsidRDefault="0006263B" w:rsidP="0006263B">
      <w:pPr>
        <w:pStyle w:val="13"/>
        <w:jc w:val="right"/>
      </w:pPr>
      <w:r w:rsidRPr="0006263B">
        <w:t>2019年5月27日</w:t>
      </w:r>
    </w:p>
    <w:p w14:paraId="0116191A" w14:textId="77777777" w:rsidR="0006263B" w:rsidRPr="0006263B" w:rsidRDefault="0006263B" w:rsidP="00AF7342">
      <w:pPr>
        <w:pStyle w:val="a9"/>
        <w:spacing w:before="62" w:after="62"/>
      </w:pPr>
      <w:r w:rsidRPr="0006263B">
        <w:t>上海市企业国有资产评估报告专家评审工作指引</w:t>
      </w:r>
    </w:p>
    <w:p w14:paraId="35B349A5" w14:textId="77777777" w:rsidR="0006263B" w:rsidRPr="0006263B" w:rsidRDefault="0006263B" w:rsidP="0006263B">
      <w:pPr>
        <w:pStyle w:val="13"/>
      </w:pPr>
      <w:r w:rsidRPr="0006263B">
        <w:t>为进一步规范与完善本市国有资产评估报告专家评审工作，充分发挥各行业专家作用，不断提高资产评估报告审核质量，加大国有资产评估管理“放管服”工作力度，根据《企业国有资产评估管理暂行办法》（国务院国资委令第12号，以下简称“12号令”）和本市国有资产评估管理相关规定，制定本工作指引。</w:t>
      </w:r>
    </w:p>
    <w:p w14:paraId="08B14951" w14:textId="2456F825" w:rsidR="0006263B" w:rsidRPr="0006263B" w:rsidRDefault="0006263B" w:rsidP="00AF7342">
      <w:pPr>
        <w:pStyle w:val="a9"/>
        <w:spacing w:before="62" w:after="62"/>
      </w:pPr>
      <w:r w:rsidRPr="0006263B">
        <w:t>第一章</w:t>
      </w:r>
      <w:r>
        <w:rPr>
          <w:rFonts w:hint="eastAsia"/>
        </w:rPr>
        <w:t xml:space="preserve"> </w:t>
      </w:r>
      <w:r w:rsidRPr="0006263B">
        <w:t>功能定位</w:t>
      </w:r>
    </w:p>
    <w:p w14:paraId="145653D0" w14:textId="31E762BA" w:rsidR="0006263B" w:rsidRPr="0006263B" w:rsidRDefault="004E3EBB" w:rsidP="0006263B">
      <w:pPr>
        <w:pStyle w:val="13"/>
        <w:ind w:firstLine="482"/>
      </w:pPr>
      <w:r w:rsidRPr="004E3EBB">
        <w:rPr>
          <w:b/>
        </w:rPr>
        <w:t xml:space="preserve">第一条 </w:t>
      </w:r>
      <w:r w:rsidR="0006263B" w:rsidRPr="0006263B">
        <w:t>本工作指引用于规范和完善本市国有资产评估报告核准备案管理单位召开国有资产评估报告专家评审会议，主要涉及评审范围、会议组织、评审程序、评审结论及评审专家等内容。</w:t>
      </w:r>
    </w:p>
    <w:p w14:paraId="4EDA0C8E" w14:textId="77777777" w:rsidR="0006263B" w:rsidRPr="0006263B" w:rsidRDefault="0006263B" w:rsidP="0006263B">
      <w:pPr>
        <w:pStyle w:val="13"/>
      </w:pPr>
      <w:r w:rsidRPr="0006263B">
        <w:t>本工作指引所指核准备案管理单位包括市国资委、具有备案管理权的监管企业和委托监管单位。</w:t>
      </w:r>
    </w:p>
    <w:p w14:paraId="1E20940E" w14:textId="24413F6B" w:rsidR="0006263B" w:rsidRPr="0006263B" w:rsidRDefault="004E3EBB" w:rsidP="0006263B">
      <w:pPr>
        <w:pStyle w:val="13"/>
        <w:ind w:firstLine="482"/>
      </w:pPr>
      <w:r w:rsidRPr="004E3EBB">
        <w:rPr>
          <w:b/>
        </w:rPr>
        <w:lastRenderedPageBreak/>
        <w:t xml:space="preserve">第二条 </w:t>
      </w:r>
      <w:r w:rsidR="0006263B" w:rsidRPr="0006263B">
        <w:t>评审专家的职责是对资产评估报告进行评审，独立、客观、公正发表专家意见，形成《专家个人评审意见》（以下简称《专家个人意见》）。专家评审会议的职责是根据《专家个人意见》归纳形成《专家评审会意见》（以下简称《评审会意见》）。</w:t>
      </w:r>
    </w:p>
    <w:p w14:paraId="62DCA936" w14:textId="1D0CB03E" w:rsidR="0006263B" w:rsidRPr="0006263B" w:rsidRDefault="004E3EBB" w:rsidP="0006263B">
      <w:pPr>
        <w:pStyle w:val="13"/>
        <w:ind w:firstLine="482"/>
      </w:pPr>
      <w:r w:rsidRPr="004E3EBB">
        <w:rPr>
          <w:b/>
        </w:rPr>
        <w:t xml:space="preserve">第三条 </w:t>
      </w:r>
      <w:r w:rsidR="0006263B" w:rsidRPr="0006263B">
        <w:t>《专家个人意见》和《评审会意见》作为专业咨询意见，为核准备案管理单位审核资产评估报告提供重要参考，但不能取代核准备案管理单位的审核意见。</w:t>
      </w:r>
    </w:p>
    <w:p w14:paraId="46546B70" w14:textId="259E17BD" w:rsidR="0006263B" w:rsidRPr="0006263B" w:rsidRDefault="004E3EBB" w:rsidP="0006263B">
      <w:pPr>
        <w:pStyle w:val="13"/>
        <w:ind w:firstLine="482"/>
      </w:pPr>
      <w:r w:rsidRPr="004E3EBB">
        <w:rPr>
          <w:b/>
        </w:rPr>
        <w:t xml:space="preserve">第四条 </w:t>
      </w:r>
      <w:r w:rsidR="0006263B" w:rsidRPr="0006263B">
        <w:t>专家评审会为核准备案管理单位在重大项目资产评估报告审核过程中提供专业技术支持，并不减少或替代核准备案管理单位的审核职责，也不减少或替代资产评估报告出具单位的相关责任。</w:t>
      </w:r>
    </w:p>
    <w:p w14:paraId="2FAA73F7" w14:textId="73A1AB3D" w:rsidR="0006263B" w:rsidRPr="0006263B" w:rsidRDefault="0006263B" w:rsidP="00AF7342">
      <w:pPr>
        <w:pStyle w:val="a9"/>
        <w:spacing w:before="62" w:after="62"/>
        <w:rPr>
          <w:rStyle w:val="aa"/>
          <w:b/>
          <w:bCs/>
        </w:rPr>
      </w:pPr>
      <w:r w:rsidRPr="0006263B">
        <w:t>第</w:t>
      </w:r>
      <w:r w:rsidRPr="0006263B">
        <w:rPr>
          <w:rStyle w:val="aa"/>
          <w:b/>
          <w:bCs/>
        </w:rPr>
        <w:t>二章 评审范围</w:t>
      </w:r>
    </w:p>
    <w:p w14:paraId="392FA120" w14:textId="7E3E6159" w:rsidR="0006263B" w:rsidRPr="0006263B" w:rsidRDefault="004E3EBB" w:rsidP="0006263B">
      <w:pPr>
        <w:pStyle w:val="13"/>
        <w:ind w:firstLine="482"/>
      </w:pPr>
      <w:r w:rsidRPr="004E3EBB">
        <w:rPr>
          <w:b/>
        </w:rPr>
        <w:t xml:space="preserve">第五条 </w:t>
      </w:r>
      <w:r w:rsidR="0006263B" w:rsidRPr="0006263B">
        <w:t>涉及下列情况之一的资产评估项目，应当召开专家评审会：</w:t>
      </w:r>
    </w:p>
    <w:p w14:paraId="73450CA8" w14:textId="77777777" w:rsidR="0006263B" w:rsidRPr="0006263B" w:rsidRDefault="0006263B" w:rsidP="0006263B">
      <w:pPr>
        <w:pStyle w:val="13"/>
      </w:pPr>
      <w:r w:rsidRPr="0006263B">
        <w:t>1、核准项目；</w:t>
      </w:r>
    </w:p>
    <w:p w14:paraId="3B038689" w14:textId="77777777" w:rsidR="0006263B" w:rsidRPr="0006263B" w:rsidRDefault="0006263B" w:rsidP="0006263B">
      <w:pPr>
        <w:pStyle w:val="13"/>
      </w:pPr>
      <w:r w:rsidRPr="0006263B">
        <w:t>2、重大项目；</w:t>
      </w:r>
    </w:p>
    <w:p w14:paraId="114D1934" w14:textId="77777777" w:rsidR="0006263B" w:rsidRPr="0006263B" w:rsidRDefault="0006263B" w:rsidP="0006263B">
      <w:pPr>
        <w:pStyle w:val="13"/>
      </w:pPr>
      <w:r w:rsidRPr="0006263B">
        <w:t>3、核准备案管理单位评估管理制度规定的项目；</w:t>
      </w:r>
    </w:p>
    <w:p w14:paraId="55CC94CA" w14:textId="77777777" w:rsidR="0006263B" w:rsidRPr="0006263B" w:rsidRDefault="0006263B" w:rsidP="0006263B">
      <w:pPr>
        <w:pStyle w:val="13"/>
      </w:pPr>
      <w:r w:rsidRPr="0006263B">
        <w:t>4、实行市国资委事前备案管理的投资项目；</w:t>
      </w:r>
    </w:p>
    <w:p w14:paraId="2474EC5D" w14:textId="77777777" w:rsidR="0006263B" w:rsidRPr="0006263B" w:rsidRDefault="0006263B" w:rsidP="0006263B">
      <w:pPr>
        <w:pStyle w:val="13"/>
      </w:pPr>
      <w:r w:rsidRPr="0006263B">
        <w:t>5、市国资委要求的其他项目。</w:t>
      </w:r>
    </w:p>
    <w:p w14:paraId="349C839A" w14:textId="2F1C56EC" w:rsidR="0006263B" w:rsidRPr="0006263B" w:rsidRDefault="004E3EBB" w:rsidP="0006263B">
      <w:pPr>
        <w:pStyle w:val="13"/>
        <w:ind w:firstLine="482"/>
      </w:pPr>
      <w:r w:rsidRPr="004E3EBB">
        <w:rPr>
          <w:b/>
        </w:rPr>
        <w:t xml:space="preserve">第六条 </w:t>
      </w:r>
      <w:r w:rsidR="0006263B" w:rsidRPr="0006263B">
        <w:t>核准备案管理单位应当在企业评估管理制度中明确规定重大项目的标准；未明确规定的，按评估项目预估值占监管企业上一会计年度经审计合并报表净资产10%及以上的予以确定。</w:t>
      </w:r>
    </w:p>
    <w:p w14:paraId="73718049" w14:textId="77777777" w:rsidR="0006263B" w:rsidRPr="0006263B" w:rsidRDefault="0006263B" w:rsidP="0006263B">
      <w:pPr>
        <w:pStyle w:val="13"/>
      </w:pPr>
      <w:r w:rsidRPr="0006263B">
        <w:t>实行市国资委事前备案管理的投资项目是指《上海市国资委监管企业投资监督管理办法》（沪国资委规划[2018]72号）所规定的投资项目。</w:t>
      </w:r>
    </w:p>
    <w:p w14:paraId="64536C73" w14:textId="77777777" w:rsidR="0006263B" w:rsidRPr="0006263B" w:rsidRDefault="0006263B" w:rsidP="0006263B">
      <w:pPr>
        <w:pStyle w:val="13"/>
      </w:pPr>
      <w:r w:rsidRPr="0006263B">
        <w:t>核准备案项目采用估值报告的，核准备案管理单位应当就估值报告的审核制定相关专家评审制度。</w:t>
      </w:r>
    </w:p>
    <w:p w14:paraId="6F746266" w14:textId="423B9858" w:rsidR="0006263B" w:rsidRPr="0006263B" w:rsidRDefault="004E3EBB" w:rsidP="0006263B">
      <w:pPr>
        <w:pStyle w:val="13"/>
        <w:ind w:firstLine="482"/>
      </w:pPr>
      <w:r w:rsidRPr="004E3EBB">
        <w:rPr>
          <w:b/>
        </w:rPr>
        <w:t xml:space="preserve">第七条 </w:t>
      </w:r>
      <w:r w:rsidR="0006263B" w:rsidRPr="0006263B">
        <w:t>评审专家应当按照12号令、《上海市企业国有资产评估项目核准备案操作手册》（沪国资委评估[2012]468号）、《上海市企业国有资产评估报告审核手册》（沪国资委评估[2018]353号）、《企业国有资产评估报告指南》（</w:t>
      </w:r>
      <w:proofErr w:type="gramStart"/>
      <w:r w:rsidR="0006263B" w:rsidRPr="0006263B">
        <w:t>中评协</w:t>
      </w:r>
      <w:proofErr w:type="gramEnd"/>
      <w:r w:rsidR="0006263B" w:rsidRPr="0006263B">
        <w:t>[2017]42号）等文件和评估准则要求进行评审。重点关注包括但不限于下列事项：</w:t>
      </w:r>
    </w:p>
    <w:p w14:paraId="5EEFCF1A" w14:textId="77777777" w:rsidR="0006263B" w:rsidRPr="0006263B" w:rsidRDefault="0006263B" w:rsidP="0006263B">
      <w:pPr>
        <w:pStyle w:val="13"/>
      </w:pPr>
      <w:r w:rsidRPr="0006263B">
        <w:t>1、核准备案相关事项的合</w:t>
      </w:r>
      <w:proofErr w:type="gramStart"/>
      <w:r w:rsidRPr="0006263B">
        <w:t>规</w:t>
      </w:r>
      <w:proofErr w:type="gramEnd"/>
      <w:r w:rsidRPr="0006263B">
        <w:t>性；</w:t>
      </w:r>
    </w:p>
    <w:p w14:paraId="30E8EF97" w14:textId="77777777" w:rsidR="0006263B" w:rsidRPr="0006263B" w:rsidRDefault="0006263B" w:rsidP="0006263B">
      <w:pPr>
        <w:pStyle w:val="13"/>
      </w:pPr>
      <w:r w:rsidRPr="0006263B">
        <w:t>2、评估范围的完整性与规范性；</w:t>
      </w:r>
    </w:p>
    <w:p w14:paraId="733C30D8" w14:textId="77777777" w:rsidR="0006263B" w:rsidRPr="0006263B" w:rsidRDefault="0006263B" w:rsidP="0006263B">
      <w:pPr>
        <w:pStyle w:val="13"/>
      </w:pPr>
      <w:r w:rsidRPr="0006263B">
        <w:t>3、评估基准日的选择合理性；</w:t>
      </w:r>
    </w:p>
    <w:p w14:paraId="672AC920" w14:textId="77777777" w:rsidR="0006263B" w:rsidRPr="0006263B" w:rsidRDefault="0006263B" w:rsidP="0006263B">
      <w:pPr>
        <w:pStyle w:val="13"/>
      </w:pPr>
      <w:r w:rsidRPr="0006263B">
        <w:t>4、评估依据的适当性、完整性和适用性，以及评估假设、评估方法、评估模型、技术参数、预测数据、评估结果的合理性；</w:t>
      </w:r>
    </w:p>
    <w:p w14:paraId="6F72B7CC" w14:textId="77777777" w:rsidR="0006263B" w:rsidRPr="0006263B" w:rsidRDefault="0006263B" w:rsidP="0006263B">
      <w:pPr>
        <w:pStyle w:val="13"/>
      </w:pPr>
      <w:r w:rsidRPr="0006263B">
        <w:t>5、特别事项及期后事项披露的完整性及适当性。</w:t>
      </w:r>
    </w:p>
    <w:p w14:paraId="1F0211E2" w14:textId="7359133A" w:rsidR="0006263B" w:rsidRPr="0006263B" w:rsidRDefault="0006263B" w:rsidP="00AF7342">
      <w:pPr>
        <w:pStyle w:val="a9"/>
        <w:spacing w:before="62" w:after="62"/>
      </w:pPr>
      <w:r w:rsidRPr="0006263B">
        <w:lastRenderedPageBreak/>
        <w:t>第三</w:t>
      </w:r>
      <w:r>
        <w:t xml:space="preserve">章 </w:t>
      </w:r>
      <w:r w:rsidRPr="0006263B">
        <w:t>会议组织</w:t>
      </w:r>
    </w:p>
    <w:p w14:paraId="2D74DFD9" w14:textId="033B03EC" w:rsidR="0006263B" w:rsidRPr="0006263B" w:rsidRDefault="004E3EBB" w:rsidP="0006263B">
      <w:pPr>
        <w:pStyle w:val="13"/>
        <w:ind w:firstLine="482"/>
      </w:pPr>
      <w:r w:rsidRPr="004E3EBB">
        <w:rPr>
          <w:b/>
        </w:rPr>
        <w:t xml:space="preserve">第八条 </w:t>
      </w:r>
      <w:r w:rsidR="0006263B" w:rsidRPr="0006263B">
        <w:t>专家评审会一般由核准备案管理单位负责组织。市国资委核准备案项目按规定应召</w:t>
      </w:r>
      <w:proofErr w:type="gramStart"/>
      <w:r w:rsidR="0006263B" w:rsidRPr="0006263B">
        <w:t>开专家</w:t>
      </w:r>
      <w:proofErr w:type="gramEnd"/>
      <w:r w:rsidR="0006263B" w:rsidRPr="0006263B">
        <w:t>评审会的，由市国资委会同监管企业或委托监管单位共同组织。</w:t>
      </w:r>
    </w:p>
    <w:p w14:paraId="77BC4C04" w14:textId="22C32430" w:rsidR="0006263B" w:rsidRPr="0006263B" w:rsidRDefault="00E05BDA" w:rsidP="0006263B">
      <w:pPr>
        <w:pStyle w:val="13"/>
        <w:ind w:firstLine="482"/>
      </w:pPr>
      <w:r w:rsidRPr="00E05BDA">
        <w:rPr>
          <w:b/>
        </w:rPr>
        <w:t xml:space="preserve">第九条 </w:t>
      </w:r>
      <w:r w:rsidR="0006263B" w:rsidRPr="0006263B">
        <w:t>专家评审组织单位应认真履行资产评估报告预审核、评审专家选定、评审会议组织、评审专家合法权益维护、会议资料归档等职责。</w:t>
      </w:r>
    </w:p>
    <w:p w14:paraId="0DBD1A89" w14:textId="698F659F" w:rsidR="0006263B" w:rsidRPr="0006263B" w:rsidRDefault="00E05BDA" w:rsidP="0006263B">
      <w:pPr>
        <w:pStyle w:val="13"/>
        <w:ind w:firstLine="482"/>
      </w:pPr>
      <w:r w:rsidRPr="00E05BDA">
        <w:rPr>
          <w:b/>
        </w:rPr>
        <w:t xml:space="preserve">第十条 </w:t>
      </w:r>
      <w:r w:rsidR="0006263B" w:rsidRPr="0006263B">
        <w:t>预审核是指专家评审组织单位在评审会召开前对评估报告进行初步审核，并将意见反馈至评估机构等相关单位。对沟通一致的意见，评估机构应对资产评估报告作相应修改。</w:t>
      </w:r>
    </w:p>
    <w:p w14:paraId="2AAFAE98" w14:textId="3F6CC40E" w:rsidR="0006263B" w:rsidRPr="0006263B" w:rsidRDefault="00E05BDA" w:rsidP="0006263B">
      <w:pPr>
        <w:pStyle w:val="13"/>
        <w:ind w:firstLine="482"/>
      </w:pPr>
      <w:r w:rsidRPr="00E05BDA">
        <w:rPr>
          <w:b/>
        </w:rPr>
        <w:t xml:space="preserve">第十一条 </w:t>
      </w:r>
      <w:r w:rsidR="0006263B" w:rsidRPr="0006263B">
        <w:t>专家评审组织单位根据项目情况，分析评估项目的重要性、复杂程度、风险大小等因素，并在此基础上确定专家人数及人选。评审专家一般由5-9人组成，专家人选中至少应包含3名资产评估专家，还可根据评估项目特点合理选择财务审计专家、房地产评估专家、法律专家、其他行业专家等。</w:t>
      </w:r>
    </w:p>
    <w:p w14:paraId="30C9D93B" w14:textId="1C3FBB37" w:rsidR="0006263B" w:rsidRPr="0006263B" w:rsidRDefault="00E05BDA" w:rsidP="0006263B">
      <w:pPr>
        <w:pStyle w:val="13"/>
        <w:ind w:firstLine="482"/>
      </w:pPr>
      <w:r w:rsidRPr="00E05BDA">
        <w:rPr>
          <w:b/>
        </w:rPr>
        <w:t xml:space="preserve">第十二条 </w:t>
      </w:r>
      <w:r w:rsidR="0006263B" w:rsidRPr="0006263B">
        <w:t>专家评审组织单位应认真做好会前准备工作，组织好专家评审会议，维护会议现场秩序，保障与会专家充分讨论，并独立、客观、公正发表评审意见。</w:t>
      </w:r>
    </w:p>
    <w:p w14:paraId="4A9F885F" w14:textId="1B8EC403" w:rsidR="0006263B" w:rsidRPr="0006263B" w:rsidRDefault="00E05BDA" w:rsidP="0006263B">
      <w:pPr>
        <w:pStyle w:val="13"/>
        <w:ind w:firstLine="482"/>
      </w:pPr>
      <w:r w:rsidRPr="00E05BDA">
        <w:rPr>
          <w:b/>
        </w:rPr>
        <w:t xml:space="preserve">第十三条 </w:t>
      </w:r>
      <w:r w:rsidR="0006263B" w:rsidRPr="0006263B">
        <w:t>专家评审组织单位应对评审专家个人评审意见予以保密，不得随意向有利益冲突的相关方或在专家评审会以外的场合，透露评审专家个人发表的评审意见。</w:t>
      </w:r>
    </w:p>
    <w:p w14:paraId="653F797A" w14:textId="17057DF7" w:rsidR="0006263B" w:rsidRPr="0006263B" w:rsidRDefault="00E05BDA" w:rsidP="0006263B">
      <w:pPr>
        <w:pStyle w:val="13"/>
        <w:ind w:firstLine="482"/>
      </w:pPr>
      <w:r w:rsidRPr="00E05BDA">
        <w:rPr>
          <w:b/>
        </w:rPr>
        <w:t xml:space="preserve">第十四条 </w:t>
      </w:r>
      <w:r w:rsidR="0006263B" w:rsidRPr="0006263B">
        <w:t>会议组织单位应在会后及时整理会议资料、录入评估管理信息系统并存档备查。会议资料可采用视频文件或书面记录等多种形式保存，包括但不限于以下资料：</w:t>
      </w:r>
    </w:p>
    <w:p w14:paraId="4F243CC6" w14:textId="77777777" w:rsidR="0006263B" w:rsidRPr="0006263B" w:rsidRDefault="0006263B" w:rsidP="0006263B">
      <w:pPr>
        <w:pStyle w:val="13"/>
      </w:pPr>
      <w:r w:rsidRPr="0006263B">
        <w:t>1、会议出席名单；</w:t>
      </w:r>
    </w:p>
    <w:p w14:paraId="3C3C50A5" w14:textId="77777777" w:rsidR="0006263B" w:rsidRPr="0006263B" w:rsidRDefault="0006263B" w:rsidP="0006263B">
      <w:pPr>
        <w:pStyle w:val="13"/>
      </w:pPr>
      <w:r w:rsidRPr="0006263B">
        <w:t>2、履职承诺函（见附件1）；</w:t>
      </w:r>
    </w:p>
    <w:p w14:paraId="70EEA62D" w14:textId="77777777" w:rsidR="0006263B" w:rsidRPr="0006263B" w:rsidRDefault="0006263B" w:rsidP="0006263B">
      <w:pPr>
        <w:pStyle w:val="13"/>
      </w:pPr>
      <w:r w:rsidRPr="0006263B">
        <w:t>3、被评估企业关于评估标的及项目背景的介绍资料；</w:t>
      </w:r>
    </w:p>
    <w:p w14:paraId="0E69FD31" w14:textId="77777777" w:rsidR="0006263B" w:rsidRPr="0006263B" w:rsidRDefault="0006263B" w:rsidP="0006263B">
      <w:pPr>
        <w:pStyle w:val="13"/>
      </w:pPr>
      <w:r w:rsidRPr="0006263B">
        <w:t>4、审计机构关于审计主要情况及重要信息的介绍资料；</w:t>
      </w:r>
    </w:p>
    <w:p w14:paraId="1323098F" w14:textId="77777777" w:rsidR="0006263B" w:rsidRPr="0006263B" w:rsidRDefault="0006263B" w:rsidP="0006263B">
      <w:pPr>
        <w:pStyle w:val="13"/>
      </w:pPr>
      <w:r w:rsidRPr="0006263B">
        <w:t>5、评估机构关于评估主要情况及重要信息的介绍资料；</w:t>
      </w:r>
    </w:p>
    <w:p w14:paraId="423274BD" w14:textId="77777777" w:rsidR="0006263B" w:rsidRPr="0006263B" w:rsidRDefault="0006263B" w:rsidP="0006263B">
      <w:pPr>
        <w:pStyle w:val="13"/>
      </w:pPr>
      <w:r w:rsidRPr="0006263B">
        <w:t>6、专家评审组织单位对评估报告预审意见及修改情况、</w:t>
      </w:r>
      <w:proofErr w:type="gramStart"/>
      <w:r w:rsidRPr="0006263B">
        <w:t>会前与</w:t>
      </w:r>
      <w:proofErr w:type="gramEnd"/>
      <w:r w:rsidRPr="0006263B">
        <w:t>评审专家交流情况资料；</w:t>
      </w:r>
    </w:p>
    <w:p w14:paraId="24B53C92" w14:textId="77777777" w:rsidR="0006263B" w:rsidRPr="0006263B" w:rsidRDefault="0006263B" w:rsidP="0006263B">
      <w:pPr>
        <w:pStyle w:val="13"/>
      </w:pPr>
      <w:r w:rsidRPr="0006263B">
        <w:t>7、《专家个人意见》和《评审会意见》；</w:t>
      </w:r>
    </w:p>
    <w:p w14:paraId="57E17292" w14:textId="77777777" w:rsidR="0006263B" w:rsidRPr="0006263B" w:rsidRDefault="0006263B" w:rsidP="0006263B">
      <w:pPr>
        <w:pStyle w:val="13"/>
      </w:pPr>
      <w:r w:rsidRPr="0006263B">
        <w:t>8、专家评审会会议纪要；</w:t>
      </w:r>
    </w:p>
    <w:p w14:paraId="7EF53A74" w14:textId="77777777" w:rsidR="0006263B" w:rsidRPr="0006263B" w:rsidRDefault="0006263B" w:rsidP="0006263B">
      <w:pPr>
        <w:pStyle w:val="13"/>
      </w:pPr>
      <w:r w:rsidRPr="0006263B">
        <w:t>9、对照《专家个人意见》和《评审会意见》,评估机构等单位对评估报告修改或情况说明的书面答复；</w:t>
      </w:r>
    </w:p>
    <w:p w14:paraId="20D0782B" w14:textId="77777777" w:rsidR="0006263B" w:rsidRPr="0006263B" w:rsidRDefault="0006263B" w:rsidP="0006263B">
      <w:pPr>
        <w:pStyle w:val="13"/>
      </w:pPr>
      <w:r w:rsidRPr="0006263B">
        <w:t>10、评审专家对修改情况的书面意见；</w:t>
      </w:r>
    </w:p>
    <w:p w14:paraId="789EBF31" w14:textId="77777777" w:rsidR="0006263B" w:rsidRPr="0006263B" w:rsidRDefault="0006263B" w:rsidP="0006263B">
      <w:pPr>
        <w:pStyle w:val="13"/>
      </w:pPr>
      <w:r w:rsidRPr="0006263B">
        <w:t>11、重要事项专项情况说明等其他重要资料。</w:t>
      </w:r>
    </w:p>
    <w:p w14:paraId="7D19B621" w14:textId="7A539B22" w:rsidR="0006263B" w:rsidRPr="0006263B" w:rsidRDefault="0006263B" w:rsidP="00AF7342">
      <w:pPr>
        <w:pStyle w:val="a9"/>
        <w:spacing w:before="62" w:after="62"/>
      </w:pPr>
      <w:r w:rsidRPr="0006263B">
        <w:lastRenderedPageBreak/>
        <w:t>第四</w:t>
      </w:r>
      <w:r>
        <w:t xml:space="preserve">章 </w:t>
      </w:r>
      <w:r w:rsidRPr="0006263B">
        <w:t>评审程序</w:t>
      </w:r>
    </w:p>
    <w:p w14:paraId="5E6D0F97" w14:textId="4BF5A6FE" w:rsidR="0006263B" w:rsidRPr="0006263B" w:rsidRDefault="00E05BDA" w:rsidP="0006263B">
      <w:pPr>
        <w:pStyle w:val="13"/>
        <w:ind w:firstLine="482"/>
      </w:pPr>
      <w:r w:rsidRPr="00E05BDA">
        <w:rPr>
          <w:b/>
        </w:rPr>
        <w:t xml:space="preserve">第十五条 </w:t>
      </w:r>
      <w:r w:rsidR="0006263B" w:rsidRPr="0006263B">
        <w:t>同时满足以下条件的，可正式启动该项目的专家评审程序：</w:t>
      </w:r>
    </w:p>
    <w:p w14:paraId="18FBFA96" w14:textId="77777777" w:rsidR="0006263B" w:rsidRPr="0006263B" w:rsidRDefault="0006263B" w:rsidP="0006263B">
      <w:pPr>
        <w:pStyle w:val="13"/>
      </w:pPr>
      <w:r w:rsidRPr="0006263B">
        <w:t>1、资产评估项目在召开专家评审会的要求范围之内；</w:t>
      </w:r>
    </w:p>
    <w:p w14:paraId="15C90118" w14:textId="77777777" w:rsidR="0006263B" w:rsidRPr="0006263B" w:rsidRDefault="0006263B" w:rsidP="0006263B">
      <w:pPr>
        <w:pStyle w:val="13"/>
      </w:pPr>
      <w:r w:rsidRPr="0006263B">
        <w:t>2、专家评审组织单位对评估项目已完成预审核程序；</w:t>
      </w:r>
    </w:p>
    <w:p w14:paraId="5B3BBCD3" w14:textId="77777777" w:rsidR="0006263B" w:rsidRPr="0006263B" w:rsidRDefault="0006263B" w:rsidP="0006263B">
      <w:pPr>
        <w:pStyle w:val="13"/>
      </w:pPr>
      <w:r w:rsidRPr="0006263B">
        <w:t>3、已履行召开专家评审会组织单位的相关批准程序。</w:t>
      </w:r>
    </w:p>
    <w:p w14:paraId="1DC7D2F4" w14:textId="58140761" w:rsidR="0006263B" w:rsidRPr="0006263B" w:rsidRDefault="00E05BDA" w:rsidP="0006263B">
      <w:pPr>
        <w:pStyle w:val="13"/>
        <w:ind w:firstLine="482"/>
      </w:pPr>
      <w:r w:rsidRPr="00E05BDA">
        <w:rPr>
          <w:b/>
        </w:rPr>
        <w:t xml:space="preserve">第十六条 </w:t>
      </w:r>
      <w:r w:rsidR="0006263B" w:rsidRPr="0006263B">
        <w:t>专家评审组织单位会前应根据项目特点和预审情况梳理出项目评审的重点和要点，并选定合适的、符合规定数量的评审专家。</w:t>
      </w:r>
    </w:p>
    <w:p w14:paraId="15F4AE7D" w14:textId="6E05AF47" w:rsidR="0006263B" w:rsidRPr="0006263B" w:rsidRDefault="00E05BDA" w:rsidP="0006263B">
      <w:pPr>
        <w:pStyle w:val="13"/>
        <w:ind w:firstLine="482"/>
      </w:pPr>
      <w:r w:rsidRPr="00E05BDA">
        <w:rPr>
          <w:b/>
        </w:rPr>
        <w:t xml:space="preserve">第十七条 </w:t>
      </w:r>
      <w:r w:rsidR="0006263B" w:rsidRPr="0006263B">
        <w:t>专家评审组织单位与评审专家签署履职承诺函。</w:t>
      </w:r>
    </w:p>
    <w:p w14:paraId="66D6AEB3" w14:textId="6E7A8802" w:rsidR="0006263B" w:rsidRPr="0006263B" w:rsidRDefault="00E05BDA" w:rsidP="0006263B">
      <w:pPr>
        <w:pStyle w:val="13"/>
        <w:ind w:firstLine="482"/>
      </w:pPr>
      <w:r w:rsidRPr="00E05BDA">
        <w:rPr>
          <w:b/>
        </w:rPr>
        <w:t xml:space="preserve">第十八条 </w:t>
      </w:r>
      <w:r w:rsidR="0006263B" w:rsidRPr="0006263B">
        <w:t>专家评审组织单位确定会议日期后，应当至少提前5个工作日将评估报告、说明及相关文件资料提供给受邀专家。在</w:t>
      </w:r>
      <w:proofErr w:type="gramStart"/>
      <w:r w:rsidR="0006263B" w:rsidRPr="0006263B">
        <w:t>会前与</w:t>
      </w:r>
      <w:proofErr w:type="gramEnd"/>
      <w:r w:rsidR="0006263B" w:rsidRPr="0006263B">
        <w:t>专家交流审核意见，如发现评估报告存在重大差错或重大不确定性的，专家评审组织单位应及时与评估机构进行沟通，并在会前修改完善。</w:t>
      </w:r>
    </w:p>
    <w:p w14:paraId="54F8F932" w14:textId="1415F47A" w:rsidR="0006263B" w:rsidRPr="0006263B" w:rsidRDefault="00E05BDA" w:rsidP="0006263B">
      <w:pPr>
        <w:pStyle w:val="13"/>
        <w:ind w:firstLine="482"/>
      </w:pPr>
      <w:r w:rsidRPr="00E05BDA">
        <w:rPr>
          <w:b/>
        </w:rPr>
        <w:t xml:space="preserve">第十九条 </w:t>
      </w:r>
      <w:r w:rsidR="0006263B" w:rsidRPr="0006263B">
        <w:t>专家评审会议主要议程</w:t>
      </w:r>
    </w:p>
    <w:p w14:paraId="6E7CC9C7" w14:textId="77777777" w:rsidR="0006263B" w:rsidRPr="0006263B" w:rsidRDefault="0006263B" w:rsidP="0006263B">
      <w:pPr>
        <w:pStyle w:val="13"/>
      </w:pPr>
      <w:r w:rsidRPr="0006263B">
        <w:t>1、专家评审组织单位介绍专家基本情况、参会人员及会议议程；</w:t>
      </w:r>
    </w:p>
    <w:p w14:paraId="4455D699" w14:textId="77777777" w:rsidR="0006263B" w:rsidRPr="0006263B" w:rsidRDefault="0006263B" w:rsidP="0006263B">
      <w:pPr>
        <w:pStyle w:val="13"/>
      </w:pPr>
      <w:r w:rsidRPr="0006263B">
        <w:t>2、在评审专家中推选产生专家组组长。专家组组长应具有资产评估师资质和较为丰富的专家评审经验。由专家组组长主持评审会；</w:t>
      </w:r>
    </w:p>
    <w:p w14:paraId="2C167670" w14:textId="77777777" w:rsidR="0006263B" w:rsidRPr="0006263B" w:rsidRDefault="0006263B" w:rsidP="0006263B">
      <w:pPr>
        <w:pStyle w:val="13"/>
      </w:pPr>
      <w:r w:rsidRPr="0006263B">
        <w:t>3、由被评估企业或相关方介绍评估标的和项目背景情况，充分披露重要信息；</w:t>
      </w:r>
    </w:p>
    <w:p w14:paraId="74CA6BC5" w14:textId="77777777" w:rsidR="0006263B" w:rsidRPr="0006263B" w:rsidRDefault="0006263B" w:rsidP="0006263B">
      <w:pPr>
        <w:pStyle w:val="13"/>
      </w:pPr>
      <w:r w:rsidRPr="0006263B">
        <w:t>4、审计机构介绍审计主要情况，充分披露重要信息；</w:t>
      </w:r>
    </w:p>
    <w:p w14:paraId="1495508B" w14:textId="77777777" w:rsidR="0006263B" w:rsidRPr="0006263B" w:rsidRDefault="0006263B" w:rsidP="0006263B">
      <w:pPr>
        <w:pStyle w:val="13"/>
      </w:pPr>
      <w:r w:rsidRPr="0006263B">
        <w:t>5、评估机构介绍评估报告主要情况，充分披露重要信息；</w:t>
      </w:r>
    </w:p>
    <w:p w14:paraId="3F3F8E3B" w14:textId="77777777" w:rsidR="0006263B" w:rsidRPr="0006263B" w:rsidRDefault="0006263B" w:rsidP="0006263B">
      <w:pPr>
        <w:pStyle w:val="13"/>
      </w:pPr>
      <w:r w:rsidRPr="0006263B">
        <w:t>6、专家评审组织单位通报评估初审情况及与专家初步交流情况；</w:t>
      </w:r>
    </w:p>
    <w:p w14:paraId="04404DF2" w14:textId="77777777" w:rsidR="0006263B" w:rsidRPr="0006263B" w:rsidRDefault="0006263B" w:rsidP="0006263B">
      <w:pPr>
        <w:pStyle w:val="13"/>
      </w:pPr>
      <w:r w:rsidRPr="0006263B">
        <w:t>7、专家质询，由审计机构、评估机构等相关方进行情况说明；</w:t>
      </w:r>
    </w:p>
    <w:p w14:paraId="31FAEE98" w14:textId="77777777" w:rsidR="0006263B" w:rsidRPr="0006263B" w:rsidRDefault="0006263B" w:rsidP="0006263B">
      <w:pPr>
        <w:pStyle w:val="13"/>
      </w:pPr>
      <w:r w:rsidRPr="0006263B">
        <w:t>8、中介机构（包括评估机构、审计机构等单位，下同）及被评估企业等相关单位人员离场，与会专家进行讨论、发表意见和表决，形成书面《专家个人意见》和《评审会意见》；</w:t>
      </w:r>
    </w:p>
    <w:p w14:paraId="02A0011C" w14:textId="77777777" w:rsidR="0006263B" w:rsidRPr="0006263B" w:rsidRDefault="0006263B" w:rsidP="0006263B">
      <w:pPr>
        <w:pStyle w:val="13"/>
      </w:pPr>
      <w:r w:rsidRPr="0006263B">
        <w:t>9、所有参会人员到场，专家组组长宣读《评审会意见》。</w:t>
      </w:r>
    </w:p>
    <w:p w14:paraId="4F573203" w14:textId="0778A572" w:rsidR="0006263B" w:rsidRPr="0006263B" w:rsidRDefault="0006263B" w:rsidP="00AF7342">
      <w:pPr>
        <w:pStyle w:val="a9"/>
        <w:spacing w:before="62" w:after="62"/>
      </w:pPr>
      <w:r w:rsidRPr="0006263B">
        <w:t>第五</w:t>
      </w:r>
      <w:r>
        <w:t>章</w:t>
      </w:r>
      <w:r>
        <w:rPr>
          <w:rFonts w:hint="eastAsia"/>
        </w:rPr>
        <w:t xml:space="preserve"> </w:t>
      </w:r>
      <w:r w:rsidRPr="0006263B">
        <w:t>评审结论</w:t>
      </w:r>
    </w:p>
    <w:p w14:paraId="5F2688B0" w14:textId="52EF9FAB" w:rsidR="0006263B" w:rsidRPr="0006263B" w:rsidRDefault="00E05BDA" w:rsidP="0006263B">
      <w:pPr>
        <w:pStyle w:val="13"/>
        <w:ind w:firstLine="482"/>
      </w:pPr>
      <w:r w:rsidRPr="00E05BDA">
        <w:rPr>
          <w:b/>
        </w:rPr>
        <w:t xml:space="preserve">第二十条 </w:t>
      </w:r>
      <w:r w:rsidR="0006263B" w:rsidRPr="0006263B">
        <w:t>《专家个人意见》和《评审会意见》评审结论一般可分为“通过”“需修改完善后通过”和“不予通过”三种类型。《专家个人意见》</w:t>
      </w:r>
      <w:proofErr w:type="gramStart"/>
      <w:r w:rsidR="0006263B" w:rsidRPr="0006263B">
        <w:t>模版见附件</w:t>
      </w:r>
      <w:proofErr w:type="gramEnd"/>
      <w:r w:rsidR="0006263B" w:rsidRPr="0006263B">
        <w:t>2，《评审会意见》</w:t>
      </w:r>
      <w:proofErr w:type="gramStart"/>
      <w:r w:rsidR="0006263B" w:rsidRPr="0006263B">
        <w:t>模版见附件</w:t>
      </w:r>
      <w:proofErr w:type="gramEnd"/>
      <w:r w:rsidR="0006263B" w:rsidRPr="0006263B">
        <w:t>3。</w:t>
      </w:r>
    </w:p>
    <w:p w14:paraId="6456B27C" w14:textId="1615CC55" w:rsidR="0006263B" w:rsidRPr="0006263B" w:rsidRDefault="00E05BDA" w:rsidP="0006263B">
      <w:pPr>
        <w:pStyle w:val="13"/>
        <w:ind w:firstLine="482"/>
      </w:pPr>
      <w:r w:rsidRPr="00E05BDA">
        <w:rPr>
          <w:b/>
        </w:rPr>
        <w:t xml:space="preserve">第二十一条 </w:t>
      </w:r>
      <w:r w:rsidR="0006263B" w:rsidRPr="0006263B">
        <w:t>每位专家需形成《专家个人意见》并书面签字表决，《专家个人意见》内容较多的可附页处理。根据会议讨论和《专家个人意见》汇总情况，由专家组组长归纳形成《评审会意见》，所有专家同意后书面签字：</w:t>
      </w:r>
    </w:p>
    <w:p w14:paraId="6D0A241F" w14:textId="77777777" w:rsidR="0006263B" w:rsidRPr="0006263B" w:rsidRDefault="0006263B" w:rsidP="0006263B">
      <w:pPr>
        <w:pStyle w:val="13"/>
      </w:pPr>
      <w:r w:rsidRPr="0006263B">
        <w:t>1、《评审会意见》“通过”：是指《专家个人意见》全票“通过”的；</w:t>
      </w:r>
    </w:p>
    <w:p w14:paraId="3918BABD" w14:textId="77777777" w:rsidR="0006263B" w:rsidRPr="0006263B" w:rsidRDefault="0006263B" w:rsidP="0006263B">
      <w:pPr>
        <w:pStyle w:val="13"/>
      </w:pPr>
      <w:r w:rsidRPr="0006263B">
        <w:t>2、《评审会意见》“需修改完善后通过”：是指《专家个人意见》表决“通过”、</w:t>
      </w:r>
      <w:r w:rsidRPr="0006263B">
        <w:lastRenderedPageBreak/>
        <w:t>“需修改完善后通过”合</w:t>
      </w:r>
      <w:proofErr w:type="gramStart"/>
      <w:r w:rsidRPr="0006263B">
        <w:t>计票数</w:t>
      </w:r>
      <w:proofErr w:type="gramEnd"/>
      <w:r w:rsidRPr="0006263B">
        <w:t>达到或超过出席评审会专家人数三分之二的；</w:t>
      </w:r>
    </w:p>
    <w:p w14:paraId="04C0B9B5" w14:textId="77777777" w:rsidR="0006263B" w:rsidRPr="0006263B" w:rsidRDefault="0006263B" w:rsidP="0006263B">
      <w:pPr>
        <w:pStyle w:val="13"/>
      </w:pPr>
      <w:r w:rsidRPr="0006263B">
        <w:t>3、《评审会意见》“不予通过”：是指《专家个人意见》表决“通过”、“需修改完善后通过”合</w:t>
      </w:r>
      <w:proofErr w:type="gramStart"/>
      <w:r w:rsidRPr="0006263B">
        <w:t>计票数未</w:t>
      </w:r>
      <w:proofErr w:type="gramEnd"/>
      <w:r w:rsidRPr="0006263B">
        <w:t>达到出席评审会专家人数三分之二的。</w:t>
      </w:r>
    </w:p>
    <w:p w14:paraId="70A10E72" w14:textId="15D0E0D1" w:rsidR="0006263B" w:rsidRPr="0006263B" w:rsidRDefault="00E05BDA" w:rsidP="0006263B">
      <w:pPr>
        <w:pStyle w:val="13"/>
        <w:ind w:firstLine="482"/>
      </w:pPr>
      <w:r w:rsidRPr="00E05BDA">
        <w:rPr>
          <w:b/>
        </w:rPr>
        <w:t xml:space="preserve">第二十二条 </w:t>
      </w:r>
      <w:r w:rsidR="0006263B" w:rsidRPr="0006263B">
        <w:t>《评审会意见》“需修改完善后通过”的，与会专家可根据意见复杂程度提出评估机构修改完善时间建议。经与相关单位协商后，由专家评审组织单位确定修改时间并督促办理。对超出修改时间的，相关单位应提供合理解释。</w:t>
      </w:r>
    </w:p>
    <w:p w14:paraId="6DB4265E" w14:textId="77777777" w:rsidR="0006263B" w:rsidRPr="0006263B" w:rsidRDefault="0006263B" w:rsidP="0006263B">
      <w:pPr>
        <w:pStyle w:val="13"/>
      </w:pPr>
      <w:r w:rsidRPr="0006263B">
        <w:t>中介机构及相关单位应按照《评审会意见》，在限定时间内对评估报告及相关材料进行修改及完善。经修改的评估报告或补充资料需经专家复审，修改内容需</w:t>
      </w:r>
      <w:proofErr w:type="gramStart"/>
      <w:r w:rsidRPr="0006263B">
        <w:t>经全部</w:t>
      </w:r>
      <w:proofErr w:type="gramEnd"/>
      <w:r w:rsidRPr="0006263B">
        <w:t>专家人数超过三分之二认可后方可进入核准备案程序。</w:t>
      </w:r>
    </w:p>
    <w:p w14:paraId="3330E733" w14:textId="1DB15D71" w:rsidR="0006263B" w:rsidRPr="0006263B" w:rsidRDefault="00E05BDA" w:rsidP="0006263B">
      <w:pPr>
        <w:pStyle w:val="13"/>
        <w:ind w:firstLine="482"/>
      </w:pPr>
      <w:r w:rsidRPr="00E05BDA">
        <w:rPr>
          <w:b/>
        </w:rPr>
        <w:t xml:space="preserve">第二十三条 </w:t>
      </w:r>
      <w:r w:rsidR="0006263B" w:rsidRPr="0006263B">
        <w:t>评估机构应高度重视对评估报告的修改工作质量。专家评审组织单位应在评估机构执业质量评价中体现评估机构报告修改情况。</w:t>
      </w:r>
    </w:p>
    <w:p w14:paraId="76225D86" w14:textId="653C1F90" w:rsidR="0006263B" w:rsidRPr="0006263B" w:rsidRDefault="00E05BDA" w:rsidP="0006263B">
      <w:pPr>
        <w:pStyle w:val="13"/>
        <w:ind w:firstLine="482"/>
      </w:pPr>
      <w:r w:rsidRPr="00E05BDA">
        <w:rPr>
          <w:b/>
        </w:rPr>
        <w:t xml:space="preserve">第二十四条 </w:t>
      </w:r>
      <w:r w:rsidR="0006263B" w:rsidRPr="0006263B">
        <w:t>《评审会意见》“不予通过”的，专家评审组织单位应充分关注和分析“不予通过”的原因，形成专项情况说明备查。资产评估工作继续推进的，中介机构与相关单位应积极整改，整改完成后应由专家评审组织单位重新启动专家评审程序。如无特殊情况，一般应由首次参与评审的专家参与评审。第二次评审意见将是终审意见。如果再次评审仍未通过的，则该项目需更换评估机构重新进行评估。</w:t>
      </w:r>
    </w:p>
    <w:p w14:paraId="1F6AE142" w14:textId="34DED0DF" w:rsidR="0006263B" w:rsidRPr="0006263B" w:rsidRDefault="00E05BDA" w:rsidP="0006263B">
      <w:pPr>
        <w:pStyle w:val="13"/>
        <w:ind w:firstLine="482"/>
      </w:pPr>
      <w:r w:rsidRPr="00E05BDA">
        <w:rPr>
          <w:b/>
        </w:rPr>
        <w:t xml:space="preserve">第二十五条 </w:t>
      </w:r>
      <w:r w:rsidR="0006263B" w:rsidRPr="0006263B">
        <w:t>中介机构及相关单位对《评审会意见》有异议的，可反馈评审组织单位。专家评审组织单位负责与专家组协调后作出最终处理决定，并形成专项情况说明备查。</w:t>
      </w:r>
    </w:p>
    <w:p w14:paraId="625052F4" w14:textId="3A6FAD4D" w:rsidR="0006263B" w:rsidRPr="0006263B" w:rsidRDefault="0006263B" w:rsidP="00AF7342">
      <w:pPr>
        <w:pStyle w:val="a9"/>
        <w:spacing w:before="62" w:after="62"/>
      </w:pPr>
      <w:r w:rsidRPr="0006263B">
        <w:t>第六</w:t>
      </w:r>
      <w:r>
        <w:t xml:space="preserve">章 </w:t>
      </w:r>
      <w:r w:rsidRPr="0006263B">
        <w:t>评审专家管理</w:t>
      </w:r>
    </w:p>
    <w:p w14:paraId="3E8B3A66" w14:textId="3B8F06F4" w:rsidR="0006263B" w:rsidRPr="0006263B" w:rsidRDefault="00E05BDA" w:rsidP="0006263B">
      <w:pPr>
        <w:pStyle w:val="13"/>
        <w:ind w:firstLine="482"/>
      </w:pPr>
      <w:r w:rsidRPr="00E05BDA">
        <w:rPr>
          <w:b/>
        </w:rPr>
        <w:t xml:space="preserve">第二十六条 </w:t>
      </w:r>
      <w:r w:rsidR="0006263B" w:rsidRPr="0006263B">
        <w:t>评审专家包括评估专家、审计专家、法律专家及各行业专家等。评估专家包括资产评估、土地估价、矿业权评估、房地产估价、旧机动车鉴定估价、保险公估等专家。</w:t>
      </w:r>
    </w:p>
    <w:p w14:paraId="7E4C3A23" w14:textId="70DA4A5F" w:rsidR="0006263B" w:rsidRPr="0006263B" w:rsidRDefault="00E05BDA" w:rsidP="0006263B">
      <w:pPr>
        <w:pStyle w:val="13"/>
        <w:ind w:firstLine="482"/>
      </w:pPr>
      <w:r w:rsidRPr="00E05BDA">
        <w:rPr>
          <w:b/>
        </w:rPr>
        <w:t xml:space="preserve">第二十七条 </w:t>
      </w:r>
      <w:r w:rsidR="0006263B" w:rsidRPr="0006263B">
        <w:t>市国资委根据上海市资产评估行业协会或相关单位按条件推荐的人选，汇总形成资产评估评审专家</w:t>
      </w:r>
      <w:proofErr w:type="gramStart"/>
      <w:r w:rsidR="0006263B" w:rsidRPr="0006263B">
        <w:t>库建议</w:t>
      </w:r>
      <w:proofErr w:type="gramEnd"/>
      <w:r w:rsidR="0006263B" w:rsidRPr="0006263B">
        <w:t>名单，经公示后形成上海市企业国有资产评估评审专家库（以下简称专家库）。市国资委对专家</w:t>
      </w:r>
      <w:proofErr w:type="gramStart"/>
      <w:r w:rsidR="0006263B" w:rsidRPr="0006263B">
        <w:t>库实施</w:t>
      </w:r>
      <w:proofErr w:type="gramEnd"/>
      <w:r w:rsidR="0006263B" w:rsidRPr="0006263B">
        <w:t>动态管理，每三年更新一次。专家评审组织单位可以从专家库中选取资产评估专家。如不在库内选择资产评估专家的，应符合本工作指引第二十八条对资产评估专家的选择条件。其他类型评审专家的选择条件由评审组织单位参照相关行业标准自行确定。</w:t>
      </w:r>
    </w:p>
    <w:p w14:paraId="4D5F3DCF" w14:textId="77F125F5" w:rsidR="0006263B" w:rsidRPr="0006263B" w:rsidRDefault="00E05BDA" w:rsidP="0006263B">
      <w:pPr>
        <w:pStyle w:val="13"/>
        <w:ind w:firstLine="482"/>
      </w:pPr>
      <w:r w:rsidRPr="00E05BDA">
        <w:rPr>
          <w:b/>
        </w:rPr>
        <w:t xml:space="preserve">第二十八条 </w:t>
      </w:r>
      <w:r w:rsidR="0006263B" w:rsidRPr="0006263B">
        <w:t>资产评估专家需同时具备以下条件：</w:t>
      </w:r>
    </w:p>
    <w:p w14:paraId="59D31A05" w14:textId="77777777" w:rsidR="0006263B" w:rsidRPr="0006263B" w:rsidRDefault="0006263B" w:rsidP="0006263B">
      <w:pPr>
        <w:pStyle w:val="13"/>
      </w:pPr>
      <w:r w:rsidRPr="0006263B">
        <w:t>1、遵守国家有关法律、法规及规章，有良好的社会信誉，近三年内没有违法违规职业记录；</w:t>
      </w:r>
    </w:p>
    <w:p w14:paraId="129A1A45" w14:textId="72CAB38E" w:rsidR="0006263B" w:rsidRPr="0006263B" w:rsidRDefault="0006263B" w:rsidP="0006263B">
      <w:pPr>
        <w:pStyle w:val="13"/>
      </w:pPr>
      <w:r w:rsidRPr="0006263B">
        <w:t>2、具有较高的专业知识、工作能力和职业操守，在评审过程中能独立、客观、公正提出审核意见，并做到</w:t>
      </w:r>
      <w:r w:rsidRPr="006361A5">
        <w:t>廉洁自律</w:t>
      </w:r>
      <w:r w:rsidRPr="0006263B">
        <w:t>、遵纪守法；</w:t>
      </w:r>
    </w:p>
    <w:p w14:paraId="3CEE847C" w14:textId="77777777" w:rsidR="0006263B" w:rsidRPr="0006263B" w:rsidRDefault="0006263B" w:rsidP="0006263B">
      <w:pPr>
        <w:pStyle w:val="13"/>
      </w:pPr>
      <w:r w:rsidRPr="0006263B">
        <w:lastRenderedPageBreak/>
        <w:t>3、具有资产评估</w:t>
      </w:r>
      <w:proofErr w:type="gramStart"/>
      <w:r w:rsidRPr="0006263B">
        <w:t>师资质且执业</w:t>
      </w:r>
      <w:proofErr w:type="gramEnd"/>
      <w:r w:rsidRPr="0006263B">
        <w:t>满8年（以取得评估师资质并从业的时间起算），精通评估业务，具有丰富的大型企业评估经验,在其专业领域享有一定声誉；</w:t>
      </w:r>
    </w:p>
    <w:p w14:paraId="255D6476" w14:textId="77777777" w:rsidR="0006263B" w:rsidRPr="0006263B" w:rsidRDefault="0006263B" w:rsidP="0006263B">
      <w:pPr>
        <w:pStyle w:val="13"/>
      </w:pPr>
      <w:r w:rsidRPr="0006263B">
        <w:t>4、身体健康，能够胜任审核工作；</w:t>
      </w:r>
    </w:p>
    <w:p w14:paraId="0AE3CD6D" w14:textId="77777777" w:rsidR="0006263B" w:rsidRPr="0006263B" w:rsidRDefault="0006263B" w:rsidP="0006263B">
      <w:pPr>
        <w:pStyle w:val="13"/>
      </w:pPr>
      <w:r w:rsidRPr="0006263B">
        <w:t>5、具有相关国家部委专业委员、资产评估协会专业委员会委员、评估行业检查工作经验，以及资产评估行业优秀人才、领军人才称号的人员优先考虑。</w:t>
      </w:r>
    </w:p>
    <w:p w14:paraId="604C77CE" w14:textId="4A77E2DE" w:rsidR="0006263B" w:rsidRPr="0006263B" w:rsidRDefault="00E05BDA" w:rsidP="0006263B">
      <w:pPr>
        <w:pStyle w:val="13"/>
        <w:ind w:firstLine="482"/>
      </w:pPr>
      <w:r w:rsidRPr="00E05BDA">
        <w:rPr>
          <w:b/>
        </w:rPr>
        <w:t xml:space="preserve">第二十九条 </w:t>
      </w:r>
      <w:r w:rsidR="0006263B" w:rsidRPr="0006263B">
        <w:t>纳入专家库的资产评估专家应向市国资委提供下列信息：   </w:t>
      </w:r>
    </w:p>
    <w:p w14:paraId="709D164A" w14:textId="77777777" w:rsidR="0006263B" w:rsidRPr="0006263B" w:rsidRDefault="0006263B" w:rsidP="0006263B">
      <w:pPr>
        <w:pStyle w:val="13"/>
      </w:pPr>
      <w:r w:rsidRPr="0006263B">
        <w:t>1、个人身份证明复印件；</w:t>
      </w:r>
    </w:p>
    <w:p w14:paraId="556D09C5" w14:textId="77777777" w:rsidR="0006263B" w:rsidRPr="0006263B" w:rsidRDefault="0006263B" w:rsidP="0006263B">
      <w:pPr>
        <w:pStyle w:val="13"/>
      </w:pPr>
      <w:r w:rsidRPr="0006263B">
        <w:t>2、资产评估资格证书复印件；</w:t>
      </w:r>
    </w:p>
    <w:p w14:paraId="531CB231" w14:textId="77777777" w:rsidR="0006263B" w:rsidRPr="0006263B" w:rsidRDefault="0006263B" w:rsidP="0006263B">
      <w:pPr>
        <w:pStyle w:val="13"/>
      </w:pPr>
      <w:r w:rsidRPr="0006263B">
        <w:t>3、个人从业简历；</w:t>
      </w:r>
    </w:p>
    <w:p w14:paraId="0EECE3A9" w14:textId="77777777" w:rsidR="0006263B" w:rsidRPr="0006263B" w:rsidRDefault="0006263B" w:rsidP="0006263B">
      <w:pPr>
        <w:pStyle w:val="13"/>
      </w:pPr>
      <w:r w:rsidRPr="0006263B">
        <w:t>4、个人工作成就简况（包括学术论文、科研成果、发明创造、专业背景及业务专长等内容）;</w:t>
      </w:r>
    </w:p>
    <w:p w14:paraId="30E6866A" w14:textId="136BEE9B" w:rsidR="0006263B" w:rsidRPr="0006263B" w:rsidRDefault="0006263B" w:rsidP="0006263B">
      <w:pPr>
        <w:pStyle w:val="13"/>
      </w:pPr>
      <w:r w:rsidRPr="0006263B">
        <w:t>5、推荐单位意见。</w:t>
      </w:r>
    </w:p>
    <w:p w14:paraId="16BF56F1" w14:textId="43CE7225" w:rsidR="0006263B" w:rsidRPr="0006263B" w:rsidRDefault="00E05BDA" w:rsidP="0006263B">
      <w:pPr>
        <w:pStyle w:val="13"/>
        <w:ind w:firstLine="482"/>
      </w:pPr>
      <w:r w:rsidRPr="00E05BDA">
        <w:rPr>
          <w:b/>
        </w:rPr>
        <w:t xml:space="preserve">第三十条 </w:t>
      </w:r>
      <w:r w:rsidR="0006263B" w:rsidRPr="0006263B">
        <w:t>评审专家以个人名义参加评审工作，独立发表评审意见，不受任何单位和个人的影响。</w:t>
      </w:r>
    </w:p>
    <w:p w14:paraId="45772B80" w14:textId="373D9BE6" w:rsidR="0006263B" w:rsidRPr="0006263B" w:rsidRDefault="003B2FB1" w:rsidP="0006263B">
      <w:pPr>
        <w:pStyle w:val="13"/>
        <w:ind w:firstLine="482"/>
      </w:pPr>
      <w:r w:rsidRPr="003B2FB1">
        <w:rPr>
          <w:b/>
        </w:rPr>
        <w:t xml:space="preserve">第三十一条 </w:t>
      </w:r>
      <w:r w:rsidR="0006263B" w:rsidRPr="0006263B">
        <w:t>评审专家对与自身有利害关系的评审项目应主动提出回避。专家评审组织单位应当支付给评审专家合理劳务报酬。除评审劳动报酬之外，评审专家不得收受或索取与评审项目有关的任何单位或个人的馈赠。</w:t>
      </w:r>
    </w:p>
    <w:p w14:paraId="07CCA013" w14:textId="5EF46F63" w:rsidR="0006263B" w:rsidRPr="0006263B" w:rsidRDefault="003B2FB1" w:rsidP="0006263B">
      <w:pPr>
        <w:pStyle w:val="13"/>
        <w:ind w:firstLine="482"/>
      </w:pPr>
      <w:r w:rsidRPr="003B2FB1">
        <w:rPr>
          <w:b/>
        </w:rPr>
        <w:t xml:space="preserve">第三十二条 </w:t>
      </w:r>
      <w:r w:rsidR="0006263B" w:rsidRPr="0006263B">
        <w:t>资产评估评审专家库名单应在市国资委官网中公布。征得专家本人同意后，专家姓名、联系方式、专业工作经历、专业特长等信息</w:t>
      </w:r>
      <w:proofErr w:type="gramStart"/>
      <w:r w:rsidR="0006263B" w:rsidRPr="0006263B">
        <w:t>随专家</w:t>
      </w:r>
      <w:proofErr w:type="gramEnd"/>
      <w:r w:rsidR="0006263B" w:rsidRPr="0006263B">
        <w:t>库名单一并在本市企业国有资产评估管理相关信息系统中公布。</w:t>
      </w:r>
    </w:p>
    <w:p w14:paraId="5025B2D2" w14:textId="351D6C60" w:rsidR="0006263B" w:rsidRPr="0006263B" w:rsidRDefault="003B2FB1" w:rsidP="0006263B">
      <w:pPr>
        <w:pStyle w:val="13"/>
        <w:ind w:firstLine="482"/>
      </w:pPr>
      <w:r w:rsidRPr="003B2FB1">
        <w:rPr>
          <w:b/>
        </w:rPr>
        <w:t xml:space="preserve">第三十三条 </w:t>
      </w:r>
      <w:r w:rsidR="0006263B" w:rsidRPr="0006263B">
        <w:t>受到刑事处罚、行政处罚、行业协会处罚或者发生其他不适合继续担任专家的情况，资产评估专家应及时告知市国资委，主动申请不再担任专家。</w:t>
      </w:r>
    </w:p>
    <w:p w14:paraId="514A0BCA" w14:textId="32AE451E" w:rsidR="0006263B" w:rsidRPr="0006263B" w:rsidRDefault="003B2FB1" w:rsidP="0006263B">
      <w:pPr>
        <w:pStyle w:val="13"/>
        <w:ind w:firstLine="482"/>
      </w:pPr>
      <w:r w:rsidRPr="003B2FB1">
        <w:rPr>
          <w:b/>
        </w:rPr>
        <w:t xml:space="preserve">第三十四条 </w:t>
      </w:r>
      <w:r w:rsidR="0006263B" w:rsidRPr="0006263B">
        <w:t>经核实情况后存在下列情形之一的，市国资委可将相关人员从资产评估评审专家库中移除，并在评估管理信息系统中作相应信息公告：</w:t>
      </w:r>
    </w:p>
    <w:p w14:paraId="20B314A2" w14:textId="77777777" w:rsidR="0006263B" w:rsidRPr="0006263B" w:rsidRDefault="0006263B" w:rsidP="0006263B">
      <w:pPr>
        <w:pStyle w:val="13"/>
      </w:pPr>
      <w:r w:rsidRPr="0006263B">
        <w:t>1、一年内多次被选定参与评估项目评审会，但未按规定时间参与评审的；</w:t>
      </w:r>
    </w:p>
    <w:p w14:paraId="112B52F0" w14:textId="7E4877D8" w:rsidR="0006263B" w:rsidRPr="0006263B" w:rsidRDefault="0006263B" w:rsidP="0006263B">
      <w:pPr>
        <w:pStyle w:val="13"/>
      </w:pPr>
      <w:r w:rsidRPr="0006263B">
        <w:t>2、违反法律法规、职业道德和廉洁自律相关规定的；</w:t>
      </w:r>
    </w:p>
    <w:p w14:paraId="46196A9F" w14:textId="77777777" w:rsidR="0006263B" w:rsidRPr="0006263B" w:rsidRDefault="0006263B" w:rsidP="0006263B">
      <w:pPr>
        <w:pStyle w:val="13"/>
      </w:pPr>
      <w:r w:rsidRPr="0006263B">
        <w:t>3、违反履职承诺，造成不良影响或后果的；</w:t>
      </w:r>
    </w:p>
    <w:p w14:paraId="581C40C2" w14:textId="77777777" w:rsidR="0006263B" w:rsidRPr="0006263B" w:rsidRDefault="0006263B" w:rsidP="0006263B">
      <w:pPr>
        <w:pStyle w:val="13"/>
      </w:pPr>
      <w:r w:rsidRPr="0006263B">
        <w:t>4、在评估管理检查、评估项目核准备案审核中发现有重大职业差错的；</w:t>
      </w:r>
    </w:p>
    <w:p w14:paraId="4EED3B00" w14:textId="77777777" w:rsidR="0006263B" w:rsidRPr="0006263B" w:rsidRDefault="0006263B" w:rsidP="0006263B">
      <w:pPr>
        <w:pStyle w:val="13"/>
      </w:pPr>
      <w:r w:rsidRPr="0006263B">
        <w:t>5、因本人原因，任期内从未参加过专家评审工作的；</w:t>
      </w:r>
    </w:p>
    <w:p w14:paraId="7DFD57BF" w14:textId="77777777" w:rsidR="0006263B" w:rsidRPr="0006263B" w:rsidRDefault="0006263B" w:rsidP="0006263B">
      <w:pPr>
        <w:pStyle w:val="13"/>
      </w:pPr>
      <w:r w:rsidRPr="0006263B">
        <w:t>6、符合本工作指引第三十三条的情形。</w:t>
      </w:r>
    </w:p>
    <w:p w14:paraId="7B1C380A" w14:textId="3D2A94CD" w:rsidR="0006263B" w:rsidRPr="0006263B" w:rsidRDefault="0006263B" w:rsidP="00AF7342">
      <w:pPr>
        <w:pStyle w:val="a9"/>
        <w:spacing w:before="62" w:after="62"/>
      </w:pPr>
      <w:r w:rsidRPr="0006263B">
        <w:t>第七章</w:t>
      </w:r>
      <w:r>
        <w:rPr>
          <w:rFonts w:hint="eastAsia"/>
        </w:rPr>
        <w:t xml:space="preserve"> </w:t>
      </w:r>
      <w:r w:rsidRPr="0006263B">
        <w:t>附则</w:t>
      </w:r>
    </w:p>
    <w:p w14:paraId="049EC901" w14:textId="217F896C" w:rsidR="0006263B" w:rsidRPr="0006263B" w:rsidRDefault="003B2FB1" w:rsidP="0006263B">
      <w:pPr>
        <w:pStyle w:val="13"/>
        <w:ind w:firstLine="482"/>
      </w:pPr>
      <w:r w:rsidRPr="003B2FB1">
        <w:rPr>
          <w:b/>
        </w:rPr>
        <w:t xml:space="preserve">第三十五条 </w:t>
      </w:r>
      <w:r w:rsidR="0006263B" w:rsidRPr="0006263B">
        <w:t>各区国资委可结合本单位具体情况，参照执行。</w:t>
      </w:r>
    </w:p>
    <w:p w14:paraId="5A91D818" w14:textId="7C20A77F" w:rsidR="0006263B" w:rsidRPr="0006263B" w:rsidRDefault="003B2FB1" w:rsidP="0006263B">
      <w:pPr>
        <w:pStyle w:val="13"/>
        <w:ind w:firstLine="482"/>
      </w:pPr>
      <w:r w:rsidRPr="003B2FB1">
        <w:rPr>
          <w:b/>
        </w:rPr>
        <w:t xml:space="preserve">第三十六条 </w:t>
      </w:r>
      <w:r w:rsidR="0006263B" w:rsidRPr="0006263B">
        <w:t>本工作指引由市国资委负责解释。</w:t>
      </w:r>
    </w:p>
    <w:p w14:paraId="281BFB6B" w14:textId="4AAD4139" w:rsidR="0006263B" w:rsidRPr="0006263B" w:rsidRDefault="003B2FB1" w:rsidP="0006263B">
      <w:pPr>
        <w:pStyle w:val="13"/>
        <w:ind w:firstLine="482"/>
      </w:pPr>
      <w:r w:rsidRPr="003B2FB1">
        <w:rPr>
          <w:b/>
        </w:rPr>
        <w:t xml:space="preserve">第三十七条 </w:t>
      </w:r>
      <w:r w:rsidR="0006263B" w:rsidRPr="0006263B">
        <w:t>本工作指引自发布之日起施行。</w:t>
      </w:r>
    </w:p>
    <w:p w14:paraId="277F5B8D" w14:textId="77777777" w:rsidR="0006263B" w:rsidRPr="0006263B" w:rsidRDefault="0006263B" w:rsidP="0006263B">
      <w:pPr>
        <w:pStyle w:val="13"/>
      </w:pPr>
      <w:r w:rsidRPr="0006263B">
        <w:lastRenderedPageBreak/>
        <w:t>附件：1、**评估项目专家评审会评审专家履职承诺函</w:t>
      </w:r>
    </w:p>
    <w:p w14:paraId="5BE80604" w14:textId="77777777" w:rsidR="0006263B" w:rsidRPr="0006263B" w:rsidRDefault="0006263B" w:rsidP="0006263B">
      <w:pPr>
        <w:pStyle w:val="13"/>
        <w:ind w:firstLineChars="500" w:firstLine="1200"/>
      </w:pPr>
      <w:r w:rsidRPr="0006263B">
        <w:t>2、专家个人评审意见模板</w:t>
      </w:r>
    </w:p>
    <w:p w14:paraId="6F3BA077" w14:textId="77777777" w:rsidR="0006263B" w:rsidRPr="0006263B" w:rsidRDefault="0006263B" w:rsidP="0006263B">
      <w:pPr>
        <w:pStyle w:val="13"/>
        <w:ind w:firstLineChars="500" w:firstLine="1200"/>
      </w:pPr>
      <w:r w:rsidRPr="0006263B">
        <w:t>3、专家评审</w:t>
      </w:r>
      <w:proofErr w:type="gramStart"/>
      <w:r w:rsidRPr="0006263B">
        <w:t>会意见</w:t>
      </w:r>
      <w:proofErr w:type="gramEnd"/>
      <w:r w:rsidRPr="0006263B">
        <w:t>模板及填表说明</w:t>
      </w:r>
    </w:p>
    <w:p w14:paraId="6599A19A" w14:textId="77777777" w:rsidR="0006263B" w:rsidRPr="0006263B" w:rsidRDefault="0006263B" w:rsidP="0006263B">
      <w:pPr>
        <w:pStyle w:val="13"/>
        <w:ind w:firstLine="482"/>
      </w:pPr>
      <w:r w:rsidRPr="0006263B">
        <w:rPr>
          <w:rFonts w:hint="eastAsia"/>
          <w:b/>
          <w:bCs/>
        </w:rPr>
        <w:t>附件1</w:t>
      </w:r>
    </w:p>
    <w:p w14:paraId="51D97DE4" w14:textId="77777777" w:rsidR="0006263B" w:rsidRPr="0006263B" w:rsidRDefault="0006263B" w:rsidP="00AF7342">
      <w:pPr>
        <w:pStyle w:val="a9"/>
        <w:spacing w:before="62" w:after="62"/>
      </w:pPr>
      <w:r w:rsidRPr="0006263B">
        <w:rPr>
          <w:rFonts w:hint="eastAsia"/>
        </w:rPr>
        <w:t>**评估项目专家评审会评审专家履职承诺函</w:t>
      </w:r>
    </w:p>
    <w:p w14:paraId="1FBF71B7" w14:textId="77777777" w:rsidR="0006263B" w:rsidRPr="0006263B" w:rsidRDefault="0006263B" w:rsidP="0006263B">
      <w:pPr>
        <w:pStyle w:val="13"/>
      </w:pPr>
      <w:r w:rsidRPr="0006263B">
        <w:rPr>
          <w:rFonts w:hint="eastAsia"/>
        </w:rPr>
        <w:t>为确保**评估项目专家评审会议顺利进行，保证被评审企业及中介机构的合法权益和商业机密不受侵犯，本人在履行评估报告评审过程中承诺如下：</w:t>
      </w:r>
    </w:p>
    <w:p w14:paraId="0E7A43D0" w14:textId="77777777" w:rsidR="0006263B" w:rsidRPr="0006263B" w:rsidRDefault="0006263B" w:rsidP="0006263B">
      <w:pPr>
        <w:pStyle w:val="13"/>
      </w:pPr>
      <w:r w:rsidRPr="0006263B">
        <w:rPr>
          <w:rFonts w:hint="eastAsia"/>
        </w:rPr>
        <w:t>1、本人或亲属（配偶、父母、子女及配偶）与资产评估委托方、资产占有方、中介机构或者有关人员，有业务联系或者为上述单位提供过业务指导（咨询），可能妨碍公正履行职责的，应及时告知评审组织单位，回避本次评审；</w:t>
      </w:r>
    </w:p>
    <w:p w14:paraId="03883D3C" w14:textId="77777777" w:rsidR="0006263B" w:rsidRPr="0006263B" w:rsidRDefault="0006263B" w:rsidP="0006263B">
      <w:pPr>
        <w:pStyle w:val="13"/>
      </w:pPr>
      <w:r w:rsidRPr="0006263B">
        <w:rPr>
          <w:rFonts w:hint="eastAsia"/>
        </w:rPr>
        <w:t>2、不直接或者间接使用评审会的非公开信息；</w:t>
      </w:r>
    </w:p>
    <w:p w14:paraId="1CA1E2E4" w14:textId="77777777" w:rsidR="0006263B" w:rsidRPr="0006263B" w:rsidRDefault="0006263B" w:rsidP="0006263B">
      <w:pPr>
        <w:pStyle w:val="13"/>
      </w:pPr>
      <w:r w:rsidRPr="0006263B">
        <w:rPr>
          <w:rFonts w:hint="eastAsia"/>
        </w:rPr>
        <w:t>3、不在专家评审会以外的场合透露评审内容、会议议程、出席会议的人员、讨论的内容、表决结果、会议进展以及其他有关情况；</w:t>
      </w:r>
    </w:p>
    <w:p w14:paraId="098A123C" w14:textId="77777777" w:rsidR="0006263B" w:rsidRPr="0006263B" w:rsidRDefault="0006263B" w:rsidP="0006263B">
      <w:pPr>
        <w:pStyle w:val="13"/>
      </w:pPr>
      <w:r w:rsidRPr="0006263B">
        <w:rPr>
          <w:rFonts w:hint="eastAsia"/>
        </w:rPr>
        <w:t>4、未经评审组织单位同意，不得私下与被评审企业或中介机构沟通联系被评审项目相关情况；</w:t>
      </w:r>
    </w:p>
    <w:p w14:paraId="10EA2D44" w14:textId="77777777" w:rsidR="0006263B" w:rsidRPr="0006263B" w:rsidRDefault="0006263B" w:rsidP="0006263B">
      <w:pPr>
        <w:pStyle w:val="13"/>
      </w:pPr>
      <w:r w:rsidRPr="0006263B">
        <w:rPr>
          <w:rFonts w:hint="eastAsia"/>
        </w:rPr>
        <w:t>5、不以评审专家的名义参加评审会以外的各类社会、团体或者个人组织的活动；</w:t>
      </w:r>
    </w:p>
    <w:p w14:paraId="02D7364A" w14:textId="77777777" w:rsidR="0006263B" w:rsidRPr="0006263B" w:rsidRDefault="0006263B" w:rsidP="0006263B">
      <w:pPr>
        <w:pStyle w:val="13"/>
      </w:pPr>
      <w:r w:rsidRPr="0006263B">
        <w:rPr>
          <w:rFonts w:hint="eastAsia"/>
        </w:rPr>
        <w:t>6、</w:t>
      </w:r>
      <w:proofErr w:type="gramStart"/>
      <w:r w:rsidRPr="0006263B">
        <w:rPr>
          <w:rFonts w:hint="eastAsia"/>
        </w:rPr>
        <w:t>本承诺</w:t>
      </w:r>
      <w:proofErr w:type="gramEnd"/>
      <w:r w:rsidRPr="0006263B">
        <w:rPr>
          <w:rFonts w:hint="eastAsia"/>
        </w:rPr>
        <w:t>由参加评审的相关人员签署，签署人员认可并保证上述条款的合法有效性，并为此承担相应的法律责任；</w:t>
      </w:r>
    </w:p>
    <w:p w14:paraId="154A6B49" w14:textId="77777777" w:rsidR="0006263B" w:rsidRPr="0006263B" w:rsidRDefault="0006263B" w:rsidP="0006263B">
      <w:pPr>
        <w:pStyle w:val="13"/>
      </w:pPr>
      <w:r w:rsidRPr="0006263B">
        <w:rPr>
          <w:rFonts w:hint="eastAsia"/>
        </w:rPr>
        <w:t>7、</w:t>
      </w:r>
      <w:proofErr w:type="gramStart"/>
      <w:r w:rsidRPr="0006263B">
        <w:rPr>
          <w:rFonts w:hint="eastAsia"/>
        </w:rPr>
        <w:t>本承诺</w:t>
      </w:r>
      <w:proofErr w:type="gramEnd"/>
      <w:r w:rsidRPr="0006263B">
        <w:rPr>
          <w:rFonts w:hint="eastAsia"/>
        </w:rPr>
        <w:t>自签署之日起生效。</w:t>
      </w:r>
    </w:p>
    <w:p w14:paraId="63027E0D" w14:textId="3AB9F38E" w:rsidR="0006263B" w:rsidRPr="0006263B" w:rsidRDefault="0006263B" w:rsidP="0006263B">
      <w:pPr>
        <w:pStyle w:val="13"/>
        <w:wordWrap w:val="0"/>
        <w:jc w:val="right"/>
      </w:pPr>
      <w:r w:rsidRPr="0006263B">
        <w:rPr>
          <w:rFonts w:hint="eastAsia"/>
        </w:rPr>
        <w:t>评审专家（签名）：</w:t>
      </w:r>
      <w:r>
        <w:rPr>
          <w:rFonts w:hint="eastAsia"/>
        </w:rPr>
        <w:t xml:space="preserve"> </w:t>
      </w:r>
      <w:r>
        <w:t xml:space="preserve">    </w:t>
      </w:r>
    </w:p>
    <w:p w14:paraId="71AAA1D8" w14:textId="58F3CDB9" w:rsidR="0006263B" w:rsidRDefault="0006263B" w:rsidP="0006263B">
      <w:pPr>
        <w:pStyle w:val="13"/>
        <w:jc w:val="right"/>
      </w:pPr>
      <w:r w:rsidRPr="0006263B">
        <w:rPr>
          <w:rFonts w:hint="eastAsia"/>
        </w:rPr>
        <w:t>年</w:t>
      </w:r>
      <w:r>
        <w:t xml:space="preserve">   </w:t>
      </w:r>
      <w:r w:rsidR="003068F8">
        <w:t>月</w:t>
      </w:r>
      <w:r>
        <w:t xml:space="preserve">  </w:t>
      </w:r>
      <w:r w:rsidR="003068F8">
        <w:t>日</w:t>
      </w:r>
    </w:p>
    <w:p w14:paraId="3B5D5794" w14:textId="3E586A81" w:rsidR="00BD6068" w:rsidRDefault="00BD6068">
      <w:pPr>
        <w:widowControl/>
        <w:jc w:val="left"/>
        <w:rPr>
          <w:rFonts w:ascii="宋体" w:hAnsi="宋体"/>
          <w:sz w:val="24"/>
          <w:szCs w:val="24"/>
        </w:rPr>
      </w:pPr>
      <w:r>
        <w:br w:type="page"/>
      </w:r>
    </w:p>
    <w:p w14:paraId="2DFCEBB4" w14:textId="23453BF8" w:rsidR="0006263B" w:rsidRPr="0006263B" w:rsidRDefault="0006263B" w:rsidP="0006263B">
      <w:pPr>
        <w:pStyle w:val="13"/>
        <w:ind w:firstLine="482"/>
      </w:pPr>
      <w:r w:rsidRPr="0006263B">
        <w:rPr>
          <w:rFonts w:hint="eastAsia"/>
          <w:b/>
          <w:bCs/>
        </w:rPr>
        <w:lastRenderedPageBreak/>
        <w:t>附件2</w:t>
      </w:r>
    </w:p>
    <w:p w14:paraId="5AEB1921" w14:textId="77777777" w:rsidR="0006263B" w:rsidRPr="0006263B" w:rsidRDefault="0006263B" w:rsidP="00AF7342">
      <w:pPr>
        <w:pStyle w:val="a9"/>
        <w:spacing w:before="62" w:after="62"/>
      </w:pPr>
      <w:r w:rsidRPr="0006263B">
        <w:rPr>
          <w:rFonts w:hint="eastAsia"/>
        </w:rPr>
        <w:t>专家个人评审意见模板</w:t>
      </w:r>
    </w:p>
    <w:p w14:paraId="1456D1A0" w14:textId="6DBEA3D6" w:rsidR="00214120" w:rsidRPr="0006263B" w:rsidRDefault="0006263B" w:rsidP="00BD6068">
      <w:pPr>
        <w:pStyle w:val="13"/>
        <w:ind w:firstLineChars="0" w:firstLine="0"/>
      </w:pPr>
      <w:r>
        <w:rPr>
          <w:noProof/>
        </w:rPr>
        <w:drawing>
          <wp:inline distT="0" distB="0" distL="0" distR="0" wp14:anchorId="45A03DDB" wp14:editId="11DFF401">
            <wp:extent cx="5543550" cy="748855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43550" cy="7488555"/>
                    </a:xfrm>
                    <a:prstGeom prst="rect">
                      <a:avLst/>
                    </a:prstGeom>
                  </pic:spPr>
                </pic:pic>
              </a:graphicData>
            </a:graphic>
          </wp:inline>
        </w:drawing>
      </w:r>
    </w:p>
    <w:p w14:paraId="6B30F9DF" w14:textId="50EEC4A4" w:rsidR="00214120" w:rsidRDefault="00214120" w:rsidP="00882ED4">
      <w:pPr>
        <w:pStyle w:val="13"/>
      </w:pPr>
    </w:p>
    <w:p w14:paraId="72FA9F51" w14:textId="09BED912" w:rsidR="00BD6068" w:rsidRDefault="00BD6068">
      <w:pPr>
        <w:widowControl/>
        <w:jc w:val="left"/>
        <w:rPr>
          <w:rFonts w:ascii="宋体" w:hAnsi="宋体"/>
          <w:sz w:val="24"/>
          <w:szCs w:val="24"/>
        </w:rPr>
      </w:pPr>
      <w:r>
        <w:br w:type="page"/>
      </w:r>
    </w:p>
    <w:p w14:paraId="167AD070" w14:textId="6734DBFF" w:rsidR="00BD6068" w:rsidRPr="00BD6068" w:rsidRDefault="00BD6068" w:rsidP="00BD6068">
      <w:pPr>
        <w:pStyle w:val="13"/>
        <w:ind w:firstLine="482"/>
        <w:rPr>
          <w:b/>
          <w:bCs/>
        </w:rPr>
      </w:pPr>
      <w:r w:rsidRPr="00BD6068">
        <w:rPr>
          <w:rFonts w:hint="eastAsia"/>
          <w:b/>
          <w:bCs/>
        </w:rPr>
        <w:lastRenderedPageBreak/>
        <w:t>附件</w:t>
      </w:r>
      <w:r w:rsidRPr="00BD6068">
        <w:rPr>
          <w:b/>
          <w:bCs/>
        </w:rPr>
        <w:t>3</w:t>
      </w:r>
    </w:p>
    <w:p w14:paraId="799A3791" w14:textId="5A5ED433" w:rsidR="00214120" w:rsidRDefault="00BD6068" w:rsidP="00AF7342">
      <w:pPr>
        <w:pStyle w:val="a9"/>
        <w:spacing w:before="62" w:after="62"/>
      </w:pPr>
      <w:r>
        <w:rPr>
          <w:rFonts w:hint="eastAsia"/>
        </w:rPr>
        <w:t>专家评审</w:t>
      </w:r>
      <w:proofErr w:type="gramStart"/>
      <w:r>
        <w:rPr>
          <w:rFonts w:hint="eastAsia"/>
        </w:rPr>
        <w:t>会意见</w:t>
      </w:r>
      <w:proofErr w:type="gramEnd"/>
      <w:r>
        <w:rPr>
          <w:rFonts w:hint="eastAsia"/>
        </w:rPr>
        <w:t>模板及填表说明</w:t>
      </w:r>
    </w:p>
    <w:p w14:paraId="1BEAB419" w14:textId="0640B7F9" w:rsidR="00214120" w:rsidRDefault="00BD6068" w:rsidP="00BD6068">
      <w:pPr>
        <w:pStyle w:val="13"/>
        <w:ind w:firstLineChars="0" w:firstLine="0"/>
      </w:pPr>
      <w:r>
        <w:rPr>
          <w:noProof/>
        </w:rPr>
        <w:drawing>
          <wp:inline distT="0" distB="0" distL="0" distR="0" wp14:anchorId="7BDE8F57" wp14:editId="433BD6C8">
            <wp:extent cx="5543550" cy="7273290"/>
            <wp:effectExtent l="0" t="0" r="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43550" cy="7273290"/>
                    </a:xfrm>
                    <a:prstGeom prst="rect">
                      <a:avLst/>
                    </a:prstGeom>
                  </pic:spPr>
                </pic:pic>
              </a:graphicData>
            </a:graphic>
          </wp:inline>
        </w:drawing>
      </w:r>
    </w:p>
    <w:p w14:paraId="304E618D" w14:textId="77777777" w:rsidR="00BD6068" w:rsidRPr="00BD6068" w:rsidRDefault="00BD6068" w:rsidP="00BD6068">
      <w:pPr>
        <w:pStyle w:val="13"/>
        <w:ind w:firstLine="482"/>
      </w:pPr>
      <w:r w:rsidRPr="00BD6068">
        <w:rPr>
          <w:b/>
          <w:bCs/>
        </w:rPr>
        <w:t>《专家评审会意见》填表说明</w:t>
      </w:r>
    </w:p>
    <w:p w14:paraId="286996AC" w14:textId="77777777" w:rsidR="00BD6068" w:rsidRPr="00BD6068" w:rsidRDefault="00BD6068" w:rsidP="00BD6068">
      <w:pPr>
        <w:pStyle w:val="13"/>
      </w:pPr>
      <w:r w:rsidRPr="00BD6068">
        <w:t>1、评审地点：会议详细地址，具体到会议室；</w:t>
      </w:r>
    </w:p>
    <w:p w14:paraId="75C60C90" w14:textId="77777777" w:rsidR="00BD6068" w:rsidRPr="00BD6068" w:rsidRDefault="00BD6068" w:rsidP="00BD6068">
      <w:pPr>
        <w:pStyle w:val="13"/>
      </w:pPr>
      <w:r w:rsidRPr="00BD6068">
        <w:t>2、评审编号：组织单位召开专家评审会议的存档编号，建议为“单位简称+评审</w:t>
      </w:r>
      <w:r w:rsidRPr="00BD6068">
        <w:lastRenderedPageBreak/>
        <w:t>+年份+顺序号”；</w:t>
      </w:r>
    </w:p>
    <w:p w14:paraId="49DCE679" w14:textId="77777777" w:rsidR="00BD6068" w:rsidRPr="00BD6068" w:rsidRDefault="00BD6068" w:rsidP="00BD6068">
      <w:pPr>
        <w:pStyle w:val="13"/>
      </w:pPr>
      <w:r w:rsidRPr="00BD6068">
        <w:t>3、单位:填写评审组织单位名称；</w:t>
      </w:r>
    </w:p>
    <w:p w14:paraId="3A829B08" w14:textId="77777777" w:rsidR="00BD6068" w:rsidRPr="00BD6068" w:rsidRDefault="00BD6068" w:rsidP="00BD6068">
      <w:pPr>
        <w:pStyle w:val="13"/>
      </w:pPr>
      <w:r w:rsidRPr="00BD6068">
        <w:t>4、评审项目：填写被评审评估报告标题及文号，应当完整、准确；</w:t>
      </w:r>
    </w:p>
    <w:p w14:paraId="3F824B09" w14:textId="77777777" w:rsidR="00BD6068" w:rsidRPr="00BD6068" w:rsidRDefault="00BD6068" w:rsidP="00BD6068">
      <w:pPr>
        <w:pStyle w:val="13"/>
      </w:pPr>
      <w:r w:rsidRPr="00BD6068">
        <w:t>5、票数情况：填写通过、需修改完善后通过以及不予通过的票数统计情况；</w:t>
      </w:r>
    </w:p>
    <w:p w14:paraId="04857CE7" w14:textId="77777777" w:rsidR="00BD6068" w:rsidRPr="00BD6068" w:rsidRDefault="00BD6068" w:rsidP="00BD6068">
      <w:pPr>
        <w:pStyle w:val="13"/>
      </w:pPr>
      <w:r w:rsidRPr="00BD6068">
        <w:t>6、评审结论：根据专家评审相关规定，填写是“通过”、“需修改完善后通过”、“不予通过”三种类型其中一种；</w:t>
      </w:r>
    </w:p>
    <w:p w14:paraId="10155B39" w14:textId="77777777" w:rsidR="00BD6068" w:rsidRPr="00BD6068" w:rsidRDefault="00BD6068" w:rsidP="00BD6068">
      <w:pPr>
        <w:pStyle w:val="13"/>
      </w:pPr>
      <w:r w:rsidRPr="00BD6068">
        <w:t>7、主要存在以下需修改或完善的问题：意见类型为需修改完善后通过或不予通过时需填写，由专家组长根据《专家个人意见》及会议讨论内容归纳形成，一般应为主要评审意见，意见分散或较多的可作附件处理；</w:t>
      </w:r>
    </w:p>
    <w:p w14:paraId="1E59611E" w14:textId="3AAAC08B" w:rsidR="00BD6068" w:rsidRDefault="00BD6068" w:rsidP="00BD6068">
      <w:pPr>
        <w:pStyle w:val="13"/>
      </w:pPr>
      <w:r w:rsidRPr="00BD6068">
        <w:t>8、《评审会意见》应由全体参与评审的专家签名。</w:t>
      </w:r>
    </w:p>
    <w:p w14:paraId="1C74F489" w14:textId="77777777" w:rsidR="006361A5" w:rsidRDefault="006361A5" w:rsidP="006361A5">
      <w:pPr>
        <w:pStyle w:val="31"/>
        <w:spacing w:before="156" w:after="62"/>
      </w:pPr>
      <w:bookmarkStart w:id="251" w:name="_Toc81833484"/>
      <w:r w:rsidRPr="00214120">
        <w:rPr>
          <w:rFonts w:hint="eastAsia"/>
        </w:rPr>
        <w:t>《上海市企业国有资产评估核准备案操作手册》</w:t>
      </w:r>
      <w:r>
        <w:rPr>
          <w:rFonts w:hint="eastAsia"/>
        </w:rPr>
        <w:t>（</w:t>
      </w:r>
      <w:r w:rsidRPr="00214120">
        <w:rPr>
          <w:rFonts w:hint="eastAsia"/>
        </w:rPr>
        <w:t>沪国资委评估</w:t>
      </w:r>
      <w:r w:rsidRPr="0006263B">
        <w:rPr>
          <w:rFonts w:hint="eastAsia"/>
        </w:rPr>
        <w:t>〔</w:t>
      </w:r>
      <w:r w:rsidRPr="00214120">
        <w:t>2020</w:t>
      </w:r>
      <w:r w:rsidRPr="0006263B">
        <w:t>〕</w:t>
      </w:r>
      <w:r w:rsidRPr="00214120">
        <w:t>100号</w:t>
      </w:r>
      <w:r>
        <w:rPr>
          <w:rFonts w:hint="eastAsia"/>
        </w:rPr>
        <w:t>）</w:t>
      </w:r>
      <w:bookmarkEnd w:id="251"/>
    </w:p>
    <w:p w14:paraId="4DD5F56C" w14:textId="77777777" w:rsidR="006361A5" w:rsidRPr="00214120" w:rsidRDefault="006361A5" w:rsidP="006361A5">
      <w:pPr>
        <w:pStyle w:val="13"/>
        <w:ind w:firstLineChars="0" w:firstLine="0"/>
      </w:pPr>
      <w:r w:rsidRPr="00214120">
        <w:rPr>
          <w:rFonts w:hint="eastAsia"/>
        </w:rPr>
        <w:t>各监管企业、委托监管单位，各区国资委：</w:t>
      </w:r>
    </w:p>
    <w:p w14:paraId="24351F48" w14:textId="77777777" w:rsidR="006361A5" w:rsidRPr="00214120" w:rsidRDefault="006361A5" w:rsidP="006361A5">
      <w:pPr>
        <w:pStyle w:val="13"/>
      </w:pPr>
      <w:r w:rsidRPr="00214120">
        <w:rPr>
          <w:rFonts w:hint="eastAsia"/>
        </w:rPr>
        <w:t>为规范本市企业国有资产评估行为，促进本市企业国有资产评估核准、备案工作规范有序开展，根据《中华人民共和国企业国有资产法》《中华人民共和国资产评估法》《企业国有资产评估管理暂行办法》（国务院国资委令第12号）、《企业国有资产交易监督管理办法》（国务院国资委令第32号）和《上海市企业国有资产评估管理暂行办法》(沪国资委评估〔2019〕366号)等文件规定，我委对《上海市企业国有资产评估项目核准备案操作手册》（沪国资委评估〔2012〕468号）第一部分进行了修订，形成《上海市企业国有资产评估核准备案操作手册》，现印发给你们，请遵照执行。</w:t>
      </w:r>
    </w:p>
    <w:p w14:paraId="24FDC7FA" w14:textId="77777777" w:rsidR="006361A5" w:rsidRPr="00214120" w:rsidRDefault="006361A5" w:rsidP="006361A5">
      <w:pPr>
        <w:pStyle w:val="13"/>
      </w:pPr>
      <w:r w:rsidRPr="00214120">
        <w:rPr>
          <w:rFonts w:hint="eastAsia"/>
        </w:rPr>
        <w:t>区属企业的国有资产评估核准、备案工作，结合实际参照执行。</w:t>
      </w:r>
    </w:p>
    <w:p w14:paraId="36ED8BDA" w14:textId="77777777" w:rsidR="006361A5" w:rsidRPr="00214120" w:rsidRDefault="006361A5" w:rsidP="006361A5">
      <w:pPr>
        <w:pStyle w:val="13"/>
      </w:pPr>
      <w:r w:rsidRPr="00214120">
        <w:rPr>
          <w:rFonts w:hint="eastAsia"/>
        </w:rPr>
        <w:t>《上海市企业国有资产评估项目核准备案操作手册》（沪国资委评估〔2012〕468号）即行废止。</w:t>
      </w:r>
    </w:p>
    <w:p w14:paraId="521AEF5A" w14:textId="77777777" w:rsidR="006361A5" w:rsidRPr="00214120" w:rsidRDefault="006361A5" w:rsidP="006361A5">
      <w:pPr>
        <w:pStyle w:val="13"/>
      </w:pPr>
      <w:r w:rsidRPr="00214120">
        <w:rPr>
          <w:rFonts w:hint="eastAsia"/>
        </w:rPr>
        <w:t>特此通知。</w:t>
      </w:r>
    </w:p>
    <w:p w14:paraId="6E5D42A2" w14:textId="77777777" w:rsidR="006361A5" w:rsidRPr="00214120" w:rsidRDefault="006361A5" w:rsidP="006361A5">
      <w:pPr>
        <w:pStyle w:val="13"/>
        <w:jc w:val="right"/>
      </w:pPr>
      <w:r w:rsidRPr="00214120">
        <w:rPr>
          <w:rFonts w:hint="eastAsia"/>
        </w:rPr>
        <w:t>上海市国有资产监督管理委员会</w:t>
      </w:r>
    </w:p>
    <w:p w14:paraId="0AD2331F" w14:textId="77777777" w:rsidR="006361A5" w:rsidRPr="00214120" w:rsidRDefault="006361A5" w:rsidP="006361A5">
      <w:pPr>
        <w:pStyle w:val="13"/>
        <w:jc w:val="right"/>
      </w:pPr>
      <w:r w:rsidRPr="00214120">
        <w:rPr>
          <w:rFonts w:hint="eastAsia"/>
        </w:rPr>
        <w:t>2020年5月12日</w:t>
      </w:r>
    </w:p>
    <w:p w14:paraId="3CFFDFE3" w14:textId="77777777" w:rsidR="006361A5" w:rsidRDefault="006361A5" w:rsidP="00AF7342">
      <w:pPr>
        <w:pStyle w:val="a9"/>
        <w:spacing w:before="62" w:after="62"/>
      </w:pPr>
      <w:r>
        <w:rPr>
          <w:rFonts w:hint="eastAsia"/>
        </w:rPr>
        <w:t>上海市企业国有资产评估核准备案操作手册</w:t>
      </w:r>
    </w:p>
    <w:p w14:paraId="3F3CE713" w14:textId="77777777" w:rsidR="006361A5" w:rsidRPr="00214120" w:rsidRDefault="006361A5" w:rsidP="006361A5">
      <w:pPr>
        <w:pStyle w:val="13"/>
      </w:pPr>
      <w:r w:rsidRPr="00214120">
        <w:rPr>
          <w:rFonts w:hint="eastAsia"/>
        </w:rPr>
        <w:t>上海市企业国有资产评估项目核准、备案的程序为：确定是否需要评估、确定评估机构委托方、聘请评估机构、资产评估、项目预沟通（报市国资委项目）、备案管理单位/转报单位审核、召开专家评审会（根据规定）、评估结果公示（根据规定）、核准备案申报（含执业质量评价）、核准备案审核、出具核准文件或备案表（流程图见附件三）。</w:t>
      </w:r>
    </w:p>
    <w:p w14:paraId="1E79950D" w14:textId="77777777" w:rsidR="006361A5" w:rsidRPr="00214120" w:rsidRDefault="006361A5" w:rsidP="006361A5">
      <w:pPr>
        <w:pStyle w:val="ab"/>
        <w:spacing w:before="62" w:after="62"/>
        <w:ind w:firstLine="482"/>
      </w:pPr>
      <w:r w:rsidRPr="00214120">
        <w:rPr>
          <w:rFonts w:hint="eastAsia"/>
        </w:rPr>
        <w:t>一、评估项目确定</w:t>
      </w:r>
    </w:p>
    <w:p w14:paraId="3957E2B3" w14:textId="77777777" w:rsidR="006361A5" w:rsidRPr="00214120" w:rsidRDefault="006361A5" w:rsidP="006361A5">
      <w:pPr>
        <w:pStyle w:val="13"/>
      </w:pPr>
      <w:r w:rsidRPr="00214120">
        <w:rPr>
          <w:rFonts w:hint="eastAsia"/>
        </w:rPr>
        <w:t>（一）应评估的经济行为类型</w:t>
      </w:r>
    </w:p>
    <w:p w14:paraId="7BA0B1BC" w14:textId="77777777" w:rsidR="006361A5" w:rsidRPr="00214120" w:rsidRDefault="006361A5" w:rsidP="006361A5">
      <w:pPr>
        <w:pStyle w:val="13"/>
      </w:pPr>
      <w:r w:rsidRPr="00214120">
        <w:rPr>
          <w:rFonts w:hint="eastAsia"/>
        </w:rPr>
        <w:lastRenderedPageBreak/>
        <w:t>国有企业有下列行为之一的，应当对相关资产进行评估：</w:t>
      </w:r>
    </w:p>
    <w:p w14:paraId="5ECF68CA" w14:textId="77777777" w:rsidR="006361A5" w:rsidRPr="00214120" w:rsidRDefault="006361A5" w:rsidP="006361A5">
      <w:pPr>
        <w:pStyle w:val="13"/>
      </w:pPr>
      <w:r w:rsidRPr="00214120">
        <w:rPr>
          <w:rFonts w:hint="eastAsia"/>
        </w:rPr>
        <w:t>1.国有企业产权变动涉及的经济行为:</w:t>
      </w:r>
    </w:p>
    <w:p w14:paraId="55F3F203" w14:textId="77777777" w:rsidR="006361A5" w:rsidRPr="00214120" w:rsidRDefault="006361A5" w:rsidP="006361A5">
      <w:pPr>
        <w:pStyle w:val="13"/>
      </w:pPr>
      <w:r w:rsidRPr="00214120">
        <w:rPr>
          <w:rFonts w:hint="eastAsia"/>
        </w:rPr>
        <w:t>（1）整体或部分改建为有限责任公司或者股份有限公司；</w:t>
      </w:r>
    </w:p>
    <w:p w14:paraId="0A9834C2" w14:textId="77777777" w:rsidR="006361A5" w:rsidRPr="00214120" w:rsidRDefault="006361A5" w:rsidP="006361A5">
      <w:pPr>
        <w:pStyle w:val="13"/>
      </w:pPr>
      <w:r w:rsidRPr="00214120">
        <w:rPr>
          <w:rFonts w:hint="eastAsia"/>
        </w:rPr>
        <w:t>（2）合并、分立、破产、解散；</w:t>
      </w:r>
    </w:p>
    <w:p w14:paraId="0C2CBDE3" w14:textId="77777777" w:rsidR="006361A5" w:rsidRPr="00214120" w:rsidRDefault="006361A5" w:rsidP="006361A5">
      <w:pPr>
        <w:pStyle w:val="13"/>
      </w:pPr>
      <w:r w:rsidRPr="00214120">
        <w:rPr>
          <w:rFonts w:hint="eastAsia"/>
        </w:rPr>
        <w:t>“合并”是指一个企业以承担债务、购买、股份化和控股等形式有偿接收其他企业的产权，使被合并方丧失法人资格或改变法人实体。合并分为新设合并和吸收合并。</w:t>
      </w:r>
    </w:p>
    <w:p w14:paraId="2B7D64EA" w14:textId="77777777" w:rsidR="006361A5" w:rsidRPr="00214120" w:rsidRDefault="006361A5" w:rsidP="006361A5">
      <w:pPr>
        <w:pStyle w:val="13"/>
      </w:pPr>
      <w:r w:rsidRPr="00214120">
        <w:rPr>
          <w:rFonts w:hint="eastAsia"/>
        </w:rPr>
        <w:t>“分立”是指将一个企业拆分为两个或两个以上的企业。分立分为新设分立和存续分立。</w:t>
      </w:r>
    </w:p>
    <w:p w14:paraId="0495285F" w14:textId="77777777" w:rsidR="006361A5" w:rsidRPr="00214120" w:rsidRDefault="006361A5" w:rsidP="006361A5">
      <w:pPr>
        <w:pStyle w:val="13"/>
      </w:pPr>
      <w:r w:rsidRPr="00214120">
        <w:rPr>
          <w:rFonts w:hint="eastAsia"/>
        </w:rPr>
        <w:t>（3）非上市公司国有股东股权比例变动；</w:t>
      </w:r>
    </w:p>
    <w:p w14:paraId="693A834D" w14:textId="77777777" w:rsidR="006361A5" w:rsidRPr="00214120" w:rsidRDefault="006361A5" w:rsidP="006361A5">
      <w:pPr>
        <w:pStyle w:val="13"/>
      </w:pPr>
      <w:r w:rsidRPr="00214120">
        <w:rPr>
          <w:rFonts w:hint="eastAsia"/>
        </w:rPr>
        <w:t>指非上市公司由于非同比例增资、减资等行为引起企业股权比例变动。</w:t>
      </w:r>
    </w:p>
    <w:p w14:paraId="04CC030F" w14:textId="77777777" w:rsidR="006361A5" w:rsidRPr="00214120" w:rsidRDefault="006361A5" w:rsidP="006361A5">
      <w:pPr>
        <w:pStyle w:val="13"/>
      </w:pPr>
      <w:r w:rsidRPr="00214120">
        <w:rPr>
          <w:rFonts w:hint="eastAsia"/>
        </w:rPr>
        <w:t>（4）产权转让；</w:t>
      </w:r>
    </w:p>
    <w:p w14:paraId="219E0103" w14:textId="77777777" w:rsidR="006361A5" w:rsidRPr="00214120" w:rsidRDefault="006361A5" w:rsidP="006361A5">
      <w:pPr>
        <w:pStyle w:val="13"/>
      </w:pPr>
      <w:r w:rsidRPr="00214120">
        <w:rPr>
          <w:rFonts w:hint="eastAsia"/>
        </w:rPr>
        <w:t>指将一个非上市公司的所有权（即国有出资人拥有对企业的出资或股份）由原出资人转让给受让方的行为。</w:t>
      </w:r>
    </w:p>
    <w:p w14:paraId="45998A29" w14:textId="77777777" w:rsidR="006361A5" w:rsidRPr="00214120" w:rsidRDefault="006361A5" w:rsidP="006361A5">
      <w:pPr>
        <w:pStyle w:val="13"/>
      </w:pPr>
      <w:r w:rsidRPr="00214120">
        <w:rPr>
          <w:rFonts w:hint="eastAsia"/>
        </w:rPr>
        <w:t>（5）整体资产租赁给非国有企业。</w:t>
      </w:r>
    </w:p>
    <w:p w14:paraId="2E5617F8" w14:textId="77777777" w:rsidR="006361A5" w:rsidRPr="00214120" w:rsidRDefault="006361A5" w:rsidP="006361A5">
      <w:pPr>
        <w:pStyle w:val="13"/>
      </w:pPr>
      <w:r w:rsidRPr="00214120">
        <w:rPr>
          <w:rFonts w:hint="eastAsia"/>
        </w:rPr>
        <w:t>2.国有企业资产处置涉及的经济行为:</w:t>
      </w:r>
    </w:p>
    <w:p w14:paraId="37E24D1A" w14:textId="77777777" w:rsidR="006361A5" w:rsidRPr="00214120" w:rsidRDefault="006361A5" w:rsidP="006361A5">
      <w:pPr>
        <w:pStyle w:val="13"/>
      </w:pPr>
      <w:r w:rsidRPr="00214120">
        <w:rPr>
          <w:rFonts w:hint="eastAsia"/>
        </w:rPr>
        <w:t>（1）以非货币资产对外投资；</w:t>
      </w:r>
    </w:p>
    <w:p w14:paraId="7FB4A746" w14:textId="77777777" w:rsidR="006361A5" w:rsidRPr="00214120" w:rsidRDefault="006361A5" w:rsidP="006361A5">
      <w:pPr>
        <w:pStyle w:val="13"/>
      </w:pPr>
      <w:r w:rsidRPr="00214120">
        <w:rPr>
          <w:rFonts w:hint="eastAsia"/>
        </w:rPr>
        <w:t>（2）资产转让、置换；</w:t>
      </w:r>
    </w:p>
    <w:p w14:paraId="5082178C" w14:textId="77777777" w:rsidR="006361A5" w:rsidRPr="00214120" w:rsidRDefault="006361A5" w:rsidP="006361A5">
      <w:pPr>
        <w:pStyle w:val="13"/>
      </w:pPr>
      <w:r w:rsidRPr="00214120">
        <w:rPr>
          <w:rFonts w:hint="eastAsia"/>
        </w:rPr>
        <w:t>（3）部分资产租赁给非国有企业；</w:t>
      </w:r>
    </w:p>
    <w:p w14:paraId="29CE3E16" w14:textId="77777777" w:rsidR="006361A5" w:rsidRPr="00214120" w:rsidRDefault="006361A5" w:rsidP="006361A5">
      <w:pPr>
        <w:pStyle w:val="13"/>
      </w:pPr>
      <w:r w:rsidRPr="00214120">
        <w:rPr>
          <w:rFonts w:hint="eastAsia"/>
        </w:rPr>
        <w:t>指国有企业非主业经营过程中发生的资产出租给非国有企业行为。</w:t>
      </w:r>
    </w:p>
    <w:p w14:paraId="68309EDE" w14:textId="77777777" w:rsidR="006361A5" w:rsidRPr="00214120" w:rsidRDefault="006361A5" w:rsidP="006361A5">
      <w:pPr>
        <w:pStyle w:val="13"/>
      </w:pPr>
      <w:r w:rsidRPr="00214120">
        <w:rPr>
          <w:rFonts w:hint="eastAsia"/>
        </w:rPr>
        <w:t>（4）以非货币资产偿还债务；</w:t>
      </w:r>
    </w:p>
    <w:p w14:paraId="2C4B926D" w14:textId="77777777" w:rsidR="006361A5" w:rsidRPr="00214120" w:rsidRDefault="006361A5" w:rsidP="006361A5">
      <w:pPr>
        <w:pStyle w:val="13"/>
      </w:pPr>
      <w:r w:rsidRPr="00214120">
        <w:rPr>
          <w:rFonts w:hint="eastAsia"/>
        </w:rPr>
        <w:t>（5）资产涉讼。</w:t>
      </w:r>
    </w:p>
    <w:p w14:paraId="6A3D2906" w14:textId="77777777" w:rsidR="006361A5" w:rsidRPr="00214120" w:rsidRDefault="006361A5" w:rsidP="006361A5">
      <w:pPr>
        <w:pStyle w:val="13"/>
      </w:pPr>
      <w:r w:rsidRPr="00214120">
        <w:rPr>
          <w:rFonts w:hint="eastAsia"/>
        </w:rPr>
        <w:t>3.对相关非国有资产进行评估的经济行为:</w:t>
      </w:r>
    </w:p>
    <w:p w14:paraId="475BCBAE" w14:textId="77777777" w:rsidR="006361A5" w:rsidRPr="00214120" w:rsidRDefault="006361A5" w:rsidP="006361A5">
      <w:pPr>
        <w:pStyle w:val="13"/>
      </w:pPr>
      <w:r w:rsidRPr="00214120">
        <w:rPr>
          <w:rFonts w:hint="eastAsia"/>
        </w:rPr>
        <w:t>（1）收购非国有单位的资产（产权）；</w:t>
      </w:r>
    </w:p>
    <w:p w14:paraId="27A1BFC2" w14:textId="77777777" w:rsidR="006361A5" w:rsidRPr="00214120" w:rsidRDefault="006361A5" w:rsidP="006361A5">
      <w:pPr>
        <w:pStyle w:val="13"/>
      </w:pPr>
      <w:r w:rsidRPr="00214120">
        <w:rPr>
          <w:rFonts w:hint="eastAsia"/>
        </w:rPr>
        <w:t>（2）接受非国有单位以非货币资产出资；</w:t>
      </w:r>
    </w:p>
    <w:p w14:paraId="03463E63" w14:textId="77777777" w:rsidR="006361A5" w:rsidRPr="00214120" w:rsidRDefault="006361A5" w:rsidP="006361A5">
      <w:pPr>
        <w:pStyle w:val="13"/>
      </w:pPr>
      <w:r w:rsidRPr="00214120">
        <w:rPr>
          <w:rFonts w:hint="eastAsia"/>
        </w:rPr>
        <w:t>（3）接受非国有单位以非货币资产抵债。</w:t>
      </w:r>
    </w:p>
    <w:p w14:paraId="38D40553" w14:textId="77777777" w:rsidR="006361A5" w:rsidRPr="00214120" w:rsidRDefault="006361A5" w:rsidP="006361A5">
      <w:pPr>
        <w:pStyle w:val="13"/>
      </w:pPr>
      <w:r w:rsidRPr="00214120">
        <w:rPr>
          <w:rFonts w:hint="eastAsia"/>
        </w:rPr>
        <w:t>4.国有参股企业涉及国有股权变动的经济行为，包括企业国有股权比例变动、企业合并等。</w:t>
      </w:r>
    </w:p>
    <w:p w14:paraId="38DD252F" w14:textId="77777777" w:rsidR="006361A5" w:rsidRPr="00214120" w:rsidRDefault="006361A5" w:rsidP="006361A5">
      <w:pPr>
        <w:pStyle w:val="13"/>
      </w:pPr>
      <w:r w:rsidRPr="00214120">
        <w:rPr>
          <w:rFonts w:hint="eastAsia"/>
        </w:rPr>
        <w:t>5.法律、行政法规规定的其他需要进行资产评估的事项。</w:t>
      </w:r>
    </w:p>
    <w:p w14:paraId="16E8595D" w14:textId="77777777" w:rsidR="006361A5" w:rsidRPr="00214120" w:rsidRDefault="006361A5" w:rsidP="006361A5">
      <w:pPr>
        <w:pStyle w:val="13"/>
      </w:pPr>
      <w:r w:rsidRPr="00214120">
        <w:rPr>
          <w:rFonts w:hint="eastAsia"/>
        </w:rPr>
        <w:t>（二）可免于评估的经济行为类型</w:t>
      </w:r>
    </w:p>
    <w:p w14:paraId="6AB8FDBA" w14:textId="77777777" w:rsidR="006361A5" w:rsidRPr="00214120" w:rsidRDefault="006361A5" w:rsidP="006361A5">
      <w:pPr>
        <w:pStyle w:val="13"/>
      </w:pPr>
      <w:r w:rsidRPr="00214120">
        <w:rPr>
          <w:rFonts w:hint="eastAsia"/>
        </w:rPr>
        <w:t>国有企业有下列行为之一的，可按经核准或备案的评估值或最近一期审计报告确认的净资产值为基准确定相应价格：</w:t>
      </w:r>
    </w:p>
    <w:p w14:paraId="55EACA92" w14:textId="77777777" w:rsidR="006361A5" w:rsidRPr="00214120" w:rsidRDefault="006361A5" w:rsidP="006361A5">
      <w:pPr>
        <w:pStyle w:val="13"/>
      </w:pPr>
      <w:r w:rsidRPr="00214120">
        <w:rPr>
          <w:rFonts w:hint="eastAsia"/>
        </w:rPr>
        <w:t>1.市国资委对国有全资企业增资的；</w:t>
      </w:r>
    </w:p>
    <w:p w14:paraId="2B6A2280" w14:textId="77777777" w:rsidR="006361A5" w:rsidRPr="00214120" w:rsidRDefault="006361A5" w:rsidP="006361A5">
      <w:pPr>
        <w:pStyle w:val="13"/>
      </w:pPr>
      <w:r w:rsidRPr="00214120">
        <w:rPr>
          <w:rFonts w:hint="eastAsia"/>
        </w:rPr>
        <w:t>2.按规定实施的无偿划转；</w:t>
      </w:r>
    </w:p>
    <w:p w14:paraId="21BA4BB6" w14:textId="77777777" w:rsidR="006361A5" w:rsidRPr="00214120" w:rsidRDefault="006361A5" w:rsidP="006361A5">
      <w:pPr>
        <w:pStyle w:val="13"/>
      </w:pPr>
      <w:r w:rsidRPr="00214120">
        <w:rPr>
          <w:rFonts w:hint="eastAsia"/>
        </w:rPr>
        <w:lastRenderedPageBreak/>
        <w:t>3.国有全资企业之间进行的国有产权置换、产权协议转让等行为；</w:t>
      </w:r>
    </w:p>
    <w:p w14:paraId="02F75C56" w14:textId="77777777" w:rsidR="006361A5" w:rsidRPr="00214120" w:rsidRDefault="006361A5" w:rsidP="006361A5">
      <w:pPr>
        <w:pStyle w:val="13"/>
      </w:pPr>
      <w:r w:rsidRPr="00214120">
        <w:rPr>
          <w:rFonts w:hint="eastAsia"/>
        </w:rPr>
        <w:t>4.增资或减资企业和投资方均为国有全资企业；</w:t>
      </w:r>
    </w:p>
    <w:p w14:paraId="669E1333" w14:textId="77777777" w:rsidR="006361A5" w:rsidRPr="00214120" w:rsidRDefault="006361A5" w:rsidP="006361A5">
      <w:pPr>
        <w:pStyle w:val="13"/>
      </w:pPr>
      <w:r w:rsidRPr="00214120">
        <w:rPr>
          <w:rFonts w:hint="eastAsia"/>
        </w:rPr>
        <w:t>5.国有企业与其下属全资企业之间（或国有企业下属全资企业之间）产权协议转让、国有产权置换、非同比例增减资等，且不影响国有权益和其他股东权益的行为；</w:t>
      </w:r>
    </w:p>
    <w:p w14:paraId="59538211" w14:textId="77777777" w:rsidR="006361A5" w:rsidRPr="00214120" w:rsidRDefault="006361A5" w:rsidP="006361A5">
      <w:pPr>
        <w:pStyle w:val="13"/>
      </w:pPr>
      <w:r w:rsidRPr="00214120">
        <w:rPr>
          <w:rFonts w:hint="eastAsia"/>
        </w:rPr>
        <w:t>6.上级国有单位收回且不涉及资产处置的国有全资企业的解散清算行为。</w:t>
      </w:r>
    </w:p>
    <w:p w14:paraId="73B19E4A" w14:textId="77777777" w:rsidR="006361A5" w:rsidRPr="00214120" w:rsidRDefault="006361A5" w:rsidP="006361A5">
      <w:pPr>
        <w:pStyle w:val="13"/>
      </w:pPr>
      <w:r w:rsidRPr="00214120">
        <w:rPr>
          <w:rFonts w:hint="eastAsia"/>
        </w:rPr>
        <w:t>申请以最近一期审计报告确认的净资产值为基准确定相应价格的，需提供下列材料：</w:t>
      </w:r>
    </w:p>
    <w:p w14:paraId="00126E1B" w14:textId="77777777" w:rsidR="006361A5" w:rsidRPr="00214120" w:rsidRDefault="006361A5" w:rsidP="006361A5">
      <w:pPr>
        <w:pStyle w:val="13"/>
      </w:pPr>
      <w:r w:rsidRPr="00214120">
        <w:rPr>
          <w:rFonts w:hint="eastAsia"/>
        </w:rPr>
        <w:t>（1）免于评估的申请；</w:t>
      </w:r>
    </w:p>
    <w:p w14:paraId="5E16A09A" w14:textId="77777777" w:rsidR="006361A5" w:rsidRPr="00214120" w:rsidRDefault="006361A5" w:rsidP="006361A5">
      <w:pPr>
        <w:pStyle w:val="13"/>
      </w:pPr>
      <w:r w:rsidRPr="00214120">
        <w:rPr>
          <w:rFonts w:hint="eastAsia"/>
        </w:rPr>
        <w:t>（2）经济行为批准文件；</w:t>
      </w:r>
    </w:p>
    <w:p w14:paraId="251C26E3" w14:textId="77777777" w:rsidR="006361A5" w:rsidRPr="00214120" w:rsidRDefault="006361A5" w:rsidP="006361A5">
      <w:pPr>
        <w:pStyle w:val="13"/>
      </w:pPr>
      <w:r w:rsidRPr="00214120">
        <w:rPr>
          <w:rFonts w:hint="eastAsia"/>
        </w:rPr>
        <w:t>（3）交易各方的产权证明材料；</w:t>
      </w:r>
    </w:p>
    <w:p w14:paraId="440CAC01" w14:textId="77777777" w:rsidR="006361A5" w:rsidRPr="00214120" w:rsidRDefault="006361A5" w:rsidP="006361A5">
      <w:pPr>
        <w:pStyle w:val="13"/>
      </w:pPr>
      <w:r w:rsidRPr="00214120">
        <w:rPr>
          <w:rFonts w:hint="eastAsia"/>
        </w:rPr>
        <w:t>（4）关于产权转让、非同比例增减资的股东会或董事会决议；如涉及其他股东优先收购权的，在决议中应明确表示其他股东放弃优先收购或另行提供股东放弃优先收购权承诺；涉及增减资的，决议中应明确所有股东增减资金额或比例；</w:t>
      </w:r>
    </w:p>
    <w:p w14:paraId="352F7E87" w14:textId="77777777" w:rsidR="006361A5" w:rsidRPr="00214120" w:rsidRDefault="006361A5" w:rsidP="006361A5">
      <w:pPr>
        <w:pStyle w:val="13"/>
      </w:pPr>
      <w:r w:rsidRPr="00214120">
        <w:rPr>
          <w:rFonts w:hint="eastAsia"/>
        </w:rPr>
        <w:t>（5）企业集团及交易各方对因未评估引起的相关债权债务纠纷和劳动纠纷将由其负责妥善处理的承诺；</w:t>
      </w:r>
    </w:p>
    <w:p w14:paraId="7A15C48D" w14:textId="77777777" w:rsidR="006361A5" w:rsidRPr="00214120" w:rsidRDefault="006361A5" w:rsidP="006361A5">
      <w:pPr>
        <w:pStyle w:val="13"/>
      </w:pPr>
      <w:r w:rsidRPr="00214120">
        <w:rPr>
          <w:rFonts w:hint="eastAsia"/>
        </w:rPr>
        <w:t>（6）法</w:t>
      </w:r>
      <w:proofErr w:type="gramStart"/>
      <w:r w:rsidRPr="00214120">
        <w:rPr>
          <w:rFonts w:hint="eastAsia"/>
        </w:rPr>
        <w:t>务</w:t>
      </w:r>
      <w:proofErr w:type="gramEnd"/>
      <w:r w:rsidRPr="00214120">
        <w:rPr>
          <w:rFonts w:hint="eastAsia"/>
        </w:rPr>
        <w:t>部门出具的法律意见。</w:t>
      </w:r>
    </w:p>
    <w:p w14:paraId="30224850" w14:textId="77777777" w:rsidR="006361A5" w:rsidRPr="00214120" w:rsidRDefault="006361A5" w:rsidP="006361A5">
      <w:pPr>
        <w:pStyle w:val="ab"/>
        <w:spacing w:before="62" w:after="62"/>
        <w:ind w:firstLine="482"/>
      </w:pPr>
      <w:r w:rsidRPr="00214120">
        <w:rPr>
          <w:rFonts w:hint="eastAsia"/>
        </w:rPr>
        <w:t>二、评估前期准备工作</w:t>
      </w:r>
    </w:p>
    <w:p w14:paraId="2E3CFEE7" w14:textId="77777777" w:rsidR="006361A5" w:rsidRPr="00214120" w:rsidRDefault="006361A5" w:rsidP="006361A5">
      <w:pPr>
        <w:pStyle w:val="13"/>
      </w:pPr>
      <w:r w:rsidRPr="00214120">
        <w:rPr>
          <w:rFonts w:hint="eastAsia"/>
        </w:rPr>
        <w:t>（一）经济行为批文</w:t>
      </w:r>
    </w:p>
    <w:p w14:paraId="750BB596" w14:textId="77777777" w:rsidR="006361A5" w:rsidRPr="00214120" w:rsidRDefault="006361A5" w:rsidP="006361A5">
      <w:pPr>
        <w:pStyle w:val="13"/>
      </w:pPr>
      <w:r w:rsidRPr="00214120">
        <w:rPr>
          <w:rFonts w:hint="eastAsia"/>
        </w:rPr>
        <w:t>1.按规定需要对相关经济行为做出决定的，应提供股东（大）会决议、董事会决议、经理办公会决议等决策性文件。</w:t>
      </w:r>
    </w:p>
    <w:p w14:paraId="5D423B3E" w14:textId="77777777" w:rsidR="006361A5" w:rsidRDefault="006361A5" w:rsidP="006361A5">
      <w:pPr>
        <w:pStyle w:val="13"/>
      </w:pPr>
      <w:r w:rsidRPr="00214120">
        <w:rPr>
          <w:rFonts w:hint="eastAsia"/>
        </w:rPr>
        <w:t>2.按规定需经产权持有单位、相关部门或单位批准的，资产评估前应先取得相关单位、部门的初步意见。评估核准、备案时，应提供正式文件。</w:t>
      </w:r>
    </w:p>
    <w:p w14:paraId="50E7AE30" w14:textId="77777777" w:rsidR="006361A5" w:rsidRPr="00214120" w:rsidRDefault="006361A5" w:rsidP="006361A5">
      <w:pPr>
        <w:pStyle w:val="13"/>
      </w:pPr>
      <w:r w:rsidRPr="00214120">
        <w:rPr>
          <w:rFonts w:hint="eastAsia"/>
        </w:rPr>
        <w:t>（二）评估委托方的确定</w:t>
      </w:r>
    </w:p>
    <w:tbl>
      <w:tblPr>
        <w:tblStyle w:val="1f0"/>
        <w:tblW w:w="5000" w:type="pct"/>
        <w:tblLook w:val="04A0" w:firstRow="1" w:lastRow="0" w:firstColumn="1" w:lastColumn="0" w:noHBand="0" w:noVBand="1"/>
      </w:tblPr>
      <w:tblGrid>
        <w:gridCol w:w="704"/>
        <w:gridCol w:w="4057"/>
        <w:gridCol w:w="3959"/>
      </w:tblGrid>
      <w:tr w:rsidR="006361A5" w:rsidRPr="00214120" w14:paraId="70BB36B9" w14:textId="77777777" w:rsidTr="00C41313">
        <w:trPr>
          <w:trHeight w:val="488"/>
          <w:tblHeader/>
        </w:trPr>
        <w:tc>
          <w:tcPr>
            <w:tcW w:w="404" w:type="pct"/>
            <w:vAlign w:val="center"/>
          </w:tcPr>
          <w:p w14:paraId="63123A28" w14:textId="77777777" w:rsidR="006361A5" w:rsidRPr="00214120" w:rsidRDefault="006361A5" w:rsidP="00C41313">
            <w:pPr>
              <w:pStyle w:val="13"/>
              <w:spacing w:line="240" w:lineRule="auto"/>
              <w:ind w:firstLineChars="0" w:firstLine="0"/>
              <w:jc w:val="center"/>
              <w:rPr>
                <w:sz w:val="21"/>
                <w:szCs w:val="21"/>
                <w:lang w:bidi="zh-CN"/>
              </w:rPr>
            </w:pPr>
            <w:r w:rsidRPr="00214120">
              <w:rPr>
                <w:sz w:val="21"/>
                <w:szCs w:val="21"/>
                <w:lang w:bidi="zh-CN"/>
              </w:rPr>
              <w:t>序号</w:t>
            </w:r>
          </w:p>
        </w:tc>
        <w:tc>
          <w:tcPr>
            <w:tcW w:w="2326" w:type="pct"/>
            <w:vAlign w:val="center"/>
          </w:tcPr>
          <w:p w14:paraId="4D4DFEC0" w14:textId="77777777" w:rsidR="006361A5" w:rsidRPr="00214120" w:rsidRDefault="006361A5" w:rsidP="00C41313">
            <w:pPr>
              <w:pStyle w:val="13"/>
              <w:spacing w:line="240" w:lineRule="auto"/>
              <w:ind w:firstLineChars="0" w:firstLine="0"/>
              <w:jc w:val="center"/>
              <w:rPr>
                <w:sz w:val="21"/>
                <w:szCs w:val="21"/>
                <w:lang w:bidi="zh-CN"/>
              </w:rPr>
            </w:pPr>
            <w:r w:rsidRPr="00214120">
              <w:rPr>
                <w:sz w:val="21"/>
                <w:szCs w:val="21"/>
                <w:lang w:bidi="zh-CN"/>
              </w:rPr>
              <w:t>评估项目</w:t>
            </w:r>
          </w:p>
        </w:tc>
        <w:tc>
          <w:tcPr>
            <w:tcW w:w="2270" w:type="pct"/>
            <w:vAlign w:val="center"/>
          </w:tcPr>
          <w:p w14:paraId="4432ED02" w14:textId="77777777" w:rsidR="006361A5" w:rsidRPr="00214120" w:rsidRDefault="006361A5" w:rsidP="00C41313">
            <w:pPr>
              <w:pStyle w:val="13"/>
              <w:spacing w:line="240" w:lineRule="auto"/>
              <w:ind w:firstLineChars="0" w:firstLine="0"/>
              <w:jc w:val="center"/>
              <w:rPr>
                <w:sz w:val="21"/>
                <w:szCs w:val="21"/>
                <w:lang w:bidi="zh-CN"/>
              </w:rPr>
            </w:pPr>
            <w:r w:rsidRPr="00214120">
              <w:rPr>
                <w:sz w:val="21"/>
                <w:szCs w:val="21"/>
                <w:lang w:bidi="zh-CN"/>
              </w:rPr>
              <w:t>资产评估委托方</w:t>
            </w:r>
          </w:p>
        </w:tc>
      </w:tr>
      <w:tr w:rsidR="006361A5" w:rsidRPr="00214120" w14:paraId="44434589" w14:textId="77777777" w:rsidTr="00C41313">
        <w:trPr>
          <w:trHeight w:val="489"/>
        </w:trPr>
        <w:tc>
          <w:tcPr>
            <w:tcW w:w="404" w:type="pct"/>
            <w:vMerge w:val="restart"/>
            <w:vAlign w:val="center"/>
          </w:tcPr>
          <w:p w14:paraId="592F3E9B" w14:textId="77777777" w:rsidR="006361A5" w:rsidRPr="00214120" w:rsidRDefault="006361A5" w:rsidP="00C41313">
            <w:pPr>
              <w:pStyle w:val="13"/>
              <w:spacing w:line="240" w:lineRule="auto"/>
              <w:ind w:firstLineChars="0" w:firstLine="0"/>
              <w:jc w:val="center"/>
              <w:rPr>
                <w:sz w:val="21"/>
                <w:szCs w:val="21"/>
                <w:lang w:bidi="zh-CN"/>
              </w:rPr>
            </w:pPr>
            <w:r w:rsidRPr="00214120">
              <w:rPr>
                <w:sz w:val="21"/>
                <w:szCs w:val="21"/>
                <w:lang w:bidi="zh-CN"/>
              </w:rPr>
              <w:t>1</w:t>
            </w:r>
          </w:p>
        </w:tc>
        <w:tc>
          <w:tcPr>
            <w:tcW w:w="2326" w:type="pct"/>
            <w:vAlign w:val="center"/>
          </w:tcPr>
          <w:p w14:paraId="0481B3A1"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涉及国有产权变动的</w:t>
            </w:r>
          </w:p>
        </w:tc>
        <w:tc>
          <w:tcPr>
            <w:tcW w:w="2270" w:type="pct"/>
            <w:vAlign w:val="center"/>
          </w:tcPr>
          <w:p w14:paraId="7ED4C981"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拟变动国有产权的产权持有单位委托</w:t>
            </w:r>
          </w:p>
        </w:tc>
      </w:tr>
      <w:tr w:rsidR="006361A5" w:rsidRPr="00214120" w14:paraId="42537AAD" w14:textId="77777777" w:rsidTr="00C41313">
        <w:trPr>
          <w:trHeight w:val="555"/>
        </w:trPr>
        <w:tc>
          <w:tcPr>
            <w:tcW w:w="404" w:type="pct"/>
            <w:vMerge/>
            <w:vAlign w:val="center"/>
          </w:tcPr>
          <w:p w14:paraId="63CF735B" w14:textId="77777777" w:rsidR="006361A5" w:rsidRPr="00214120" w:rsidRDefault="006361A5" w:rsidP="00C41313">
            <w:pPr>
              <w:pStyle w:val="13"/>
              <w:spacing w:line="240" w:lineRule="auto"/>
              <w:ind w:firstLineChars="0" w:firstLine="0"/>
              <w:jc w:val="center"/>
              <w:rPr>
                <w:sz w:val="21"/>
                <w:szCs w:val="21"/>
                <w:lang w:bidi="zh-CN"/>
              </w:rPr>
            </w:pPr>
          </w:p>
        </w:tc>
        <w:tc>
          <w:tcPr>
            <w:tcW w:w="2326" w:type="pct"/>
            <w:vAlign w:val="center"/>
          </w:tcPr>
          <w:p w14:paraId="28895B0D"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其中：涉及多个国有股股东产权变动的</w:t>
            </w:r>
          </w:p>
        </w:tc>
        <w:tc>
          <w:tcPr>
            <w:tcW w:w="2270" w:type="pct"/>
            <w:vAlign w:val="center"/>
          </w:tcPr>
          <w:p w14:paraId="3876D844"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经协商一致可由国有</w:t>
            </w:r>
            <w:proofErr w:type="gramStart"/>
            <w:r w:rsidRPr="00214120">
              <w:rPr>
                <w:sz w:val="21"/>
                <w:szCs w:val="21"/>
                <w:lang w:bidi="zh-CN"/>
              </w:rPr>
              <w:t>股最大</w:t>
            </w:r>
            <w:proofErr w:type="gramEnd"/>
            <w:r w:rsidRPr="00214120">
              <w:rPr>
                <w:sz w:val="21"/>
                <w:szCs w:val="21"/>
                <w:lang w:bidi="zh-CN"/>
              </w:rPr>
              <w:t>股东委托</w:t>
            </w:r>
          </w:p>
        </w:tc>
      </w:tr>
      <w:tr w:rsidR="006361A5" w:rsidRPr="00214120" w14:paraId="46EF7982" w14:textId="77777777" w:rsidTr="00C41313">
        <w:trPr>
          <w:trHeight w:val="555"/>
        </w:trPr>
        <w:tc>
          <w:tcPr>
            <w:tcW w:w="404" w:type="pct"/>
            <w:vMerge/>
            <w:vAlign w:val="center"/>
          </w:tcPr>
          <w:p w14:paraId="17960DC0" w14:textId="77777777" w:rsidR="006361A5" w:rsidRPr="00214120" w:rsidRDefault="006361A5" w:rsidP="00C41313">
            <w:pPr>
              <w:pStyle w:val="13"/>
              <w:spacing w:line="240" w:lineRule="auto"/>
              <w:ind w:firstLineChars="0" w:firstLine="0"/>
              <w:jc w:val="center"/>
              <w:rPr>
                <w:sz w:val="21"/>
                <w:szCs w:val="21"/>
                <w:lang w:bidi="zh-CN"/>
              </w:rPr>
            </w:pPr>
          </w:p>
        </w:tc>
        <w:tc>
          <w:tcPr>
            <w:tcW w:w="2326" w:type="pct"/>
            <w:vAlign w:val="center"/>
          </w:tcPr>
          <w:p w14:paraId="729A3C7D"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其中：涉及市国资委出资企业产权变动的</w:t>
            </w:r>
          </w:p>
        </w:tc>
        <w:tc>
          <w:tcPr>
            <w:tcW w:w="2270" w:type="pct"/>
            <w:vAlign w:val="center"/>
          </w:tcPr>
          <w:p w14:paraId="220F7B07"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市国资委授权委管单位委托</w:t>
            </w:r>
          </w:p>
        </w:tc>
      </w:tr>
      <w:tr w:rsidR="006361A5" w:rsidRPr="00214120" w14:paraId="5A919C4F" w14:textId="77777777" w:rsidTr="00C41313">
        <w:trPr>
          <w:trHeight w:val="489"/>
        </w:trPr>
        <w:tc>
          <w:tcPr>
            <w:tcW w:w="404" w:type="pct"/>
            <w:vAlign w:val="center"/>
          </w:tcPr>
          <w:p w14:paraId="6C155261" w14:textId="77777777" w:rsidR="006361A5" w:rsidRPr="00214120" w:rsidRDefault="006361A5" w:rsidP="00C41313">
            <w:pPr>
              <w:pStyle w:val="13"/>
              <w:spacing w:line="240" w:lineRule="auto"/>
              <w:ind w:firstLineChars="0" w:firstLine="0"/>
              <w:jc w:val="center"/>
              <w:rPr>
                <w:sz w:val="21"/>
                <w:szCs w:val="21"/>
                <w:lang w:bidi="zh-CN"/>
              </w:rPr>
            </w:pPr>
            <w:r w:rsidRPr="00214120">
              <w:rPr>
                <w:sz w:val="21"/>
                <w:szCs w:val="21"/>
                <w:lang w:bidi="zh-CN"/>
              </w:rPr>
              <w:t>2</w:t>
            </w:r>
          </w:p>
        </w:tc>
        <w:tc>
          <w:tcPr>
            <w:tcW w:w="2326" w:type="pct"/>
            <w:vAlign w:val="center"/>
          </w:tcPr>
          <w:p w14:paraId="0906517F"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涉及资产处置的</w:t>
            </w:r>
          </w:p>
        </w:tc>
        <w:tc>
          <w:tcPr>
            <w:tcW w:w="2270" w:type="pct"/>
            <w:vAlign w:val="center"/>
          </w:tcPr>
          <w:p w14:paraId="52712B29"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资产的产权持有单位委托</w:t>
            </w:r>
          </w:p>
        </w:tc>
      </w:tr>
      <w:tr w:rsidR="006361A5" w:rsidRPr="00214120" w14:paraId="5F3CBD2B" w14:textId="77777777" w:rsidTr="00C41313">
        <w:trPr>
          <w:trHeight w:val="555"/>
        </w:trPr>
        <w:tc>
          <w:tcPr>
            <w:tcW w:w="404" w:type="pct"/>
            <w:vAlign w:val="center"/>
          </w:tcPr>
          <w:p w14:paraId="1F26696E" w14:textId="77777777" w:rsidR="006361A5" w:rsidRPr="00214120" w:rsidRDefault="006361A5" w:rsidP="00C41313">
            <w:pPr>
              <w:pStyle w:val="13"/>
              <w:spacing w:line="240" w:lineRule="auto"/>
              <w:ind w:firstLineChars="0" w:firstLine="0"/>
              <w:jc w:val="center"/>
              <w:rPr>
                <w:sz w:val="21"/>
                <w:szCs w:val="21"/>
                <w:lang w:bidi="zh-CN"/>
              </w:rPr>
            </w:pPr>
            <w:r w:rsidRPr="00214120">
              <w:rPr>
                <w:sz w:val="21"/>
                <w:szCs w:val="21"/>
                <w:lang w:bidi="zh-CN"/>
              </w:rPr>
              <w:t>3</w:t>
            </w:r>
          </w:p>
        </w:tc>
        <w:tc>
          <w:tcPr>
            <w:tcW w:w="2326" w:type="pct"/>
            <w:vAlign w:val="center"/>
          </w:tcPr>
          <w:p w14:paraId="1FA75590"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涉及相关非国有资产</w:t>
            </w:r>
          </w:p>
        </w:tc>
        <w:tc>
          <w:tcPr>
            <w:tcW w:w="2270" w:type="pct"/>
            <w:vAlign w:val="center"/>
          </w:tcPr>
          <w:p w14:paraId="718A3C6B" w14:textId="77777777" w:rsidR="006361A5" w:rsidRPr="00214120" w:rsidRDefault="006361A5" w:rsidP="00C41313">
            <w:pPr>
              <w:pStyle w:val="13"/>
              <w:spacing w:line="240" w:lineRule="auto"/>
              <w:ind w:firstLineChars="0" w:firstLine="0"/>
              <w:rPr>
                <w:sz w:val="21"/>
                <w:szCs w:val="21"/>
                <w:lang w:bidi="zh-CN"/>
              </w:rPr>
            </w:pPr>
            <w:r w:rsidRPr="00214120">
              <w:rPr>
                <w:sz w:val="21"/>
                <w:szCs w:val="21"/>
                <w:lang w:bidi="zh-CN"/>
              </w:rPr>
              <w:t>一般为接受非国有资产的国有企业委托</w:t>
            </w:r>
          </w:p>
        </w:tc>
      </w:tr>
    </w:tbl>
    <w:p w14:paraId="383214D4" w14:textId="77777777" w:rsidR="006361A5" w:rsidRPr="00214120" w:rsidRDefault="006361A5" w:rsidP="006361A5">
      <w:pPr>
        <w:pStyle w:val="13"/>
      </w:pPr>
      <w:r w:rsidRPr="00214120">
        <w:rPr>
          <w:rFonts w:hint="eastAsia"/>
        </w:rPr>
        <w:t>（三）评估机构的选择</w:t>
      </w:r>
    </w:p>
    <w:p w14:paraId="7455ECAB" w14:textId="77777777" w:rsidR="006361A5" w:rsidRPr="00214120" w:rsidRDefault="006361A5" w:rsidP="006361A5">
      <w:pPr>
        <w:pStyle w:val="13"/>
      </w:pPr>
      <w:r w:rsidRPr="00214120">
        <w:rPr>
          <w:rFonts w:hint="eastAsia"/>
        </w:rPr>
        <w:t>1.备案管理单位应根据相关规定,建立评估机构备选库，并实施动态管理。</w:t>
      </w:r>
    </w:p>
    <w:p w14:paraId="1F654C4B" w14:textId="77777777" w:rsidR="006361A5" w:rsidRPr="00214120" w:rsidRDefault="006361A5" w:rsidP="006361A5">
      <w:pPr>
        <w:pStyle w:val="13"/>
      </w:pPr>
      <w:r w:rsidRPr="00214120">
        <w:rPr>
          <w:rFonts w:hint="eastAsia"/>
        </w:rPr>
        <w:t>2.重大、特殊项目可单独进行招投标选择评估机构。重大项目招投标工作中，委</w:t>
      </w:r>
      <w:r w:rsidRPr="00214120">
        <w:rPr>
          <w:rFonts w:hint="eastAsia"/>
        </w:rPr>
        <w:lastRenderedPageBreak/>
        <w:t>托单位应充分考虑评估机构的承接能力。如委托方需要选聘两家及以上评估机构的，应选择其中一家作为牵头机构组织协调评估工作。</w:t>
      </w:r>
    </w:p>
    <w:p w14:paraId="0C2C8994" w14:textId="77777777" w:rsidR="006361A5" w:rsidRPr="00214120" w:rsidRDefault="006361A5" w:rsidP="006361A5">
      <w:pPr>
        <w:pStyle w:val="13"/>
      </w:pPr>
      <w:r w:rsidRPr="00214120">
        <w:rPr>
          <w:rFonts w:hint="eastAsia"/>
        </w:rPr>
        <w:t>（四）其他有关事项</w:t>
      </w:r>
    </w:p>
    <w:p w14:paraId="23A6AC50" w14:textId="77777777" w:rsidR="006361A5" w:rsidRPr="00214120" w:rsidRDefault="006361A5" w:rsidP="006361A5">
      <w:pPr>
        <w:pStyle w:val="13"/>
      </w:pPr>
      <w:r w:rsidRPr="00214120">
        <w:rPr>
          <w:rFonts w:hint="eastAsia"/>
        </w:rPr>
        <w:t>1.产权持有单位应根据需要，进行清产核资、审计等评估前准备工作。</w:t>
      </w:r>
    </w:p>
    <w:p w14:paraId="4C2D3FB8" w14:textId="77777777" w:rsidR="006361A5" w:rsidRPr="00214120" w:rsidRDefault="006361A5" w:rsidP="006361A5">
      <w:pPr>
        <w:pStyle w:val="13"/>
      </w:pPr>
      <w:r w:rsidRPr="00214120">
        <w:rPr>
          <w:rFonts w:hint="eastAsia"/>
        </w:rPr>
        <w:t>2.企业改制涉及土地使用权有偿使用的,必须经土地确权登记并明确土地使用权的处置方式。涉及国有划拨、空转土地使用权的,必须在改制前按照国家土地管理有关规定办理土地使用权有偿使用手续，由区土地管理部门组织开展地价市场评估，经区政府确定土地出让价款、签订土地出让合同。对确实无法办理出让的划拨、空转土地使用权，企业应与土地管理部门沟通明确处置方式。进入企业改制资产范围的国有划拨、空转土地使用权出让金的评估，应先选择由市规划和自然资源局认可的房地产估价机构进行估价，并纳入企业整体资产中评估。</w:t>
      </w:r>
    </w:p>
    <w:p w14:paraId="7EF25AB2" w14:textId="77777777" w:rsidR="006361A5" w:rsidRPr="00214120" w:rsidRDefault="006361A5" w:rsidP="006361A5">
      <w:pPr>
        <w:pStyle w:val="13"/>
      </w:pPr>
      <w:r w:rsidRPr="00214120">
        <w:rPr>
          <w:rFonts w:hint="eastAsia"/>
        </w:rPr>
        <w:t>3.企业改制涉及探矿权、采矿权有关事项的,必须由国土资源主管部门明确探矿权、采矿权的处置方式。进入企业改制资产范围的探矿权、采矿权,必须经由市规划和自然资源局认可的具有矿业权评估资格的中介机构进行评估作价(矿业权评估结果报国土资源主管部门备案)，并纳入企业整体资产中评估。</w:t>
      </w:r>
    </w:p>
    <w:p w14:paraId="328E4B3C" w14:textId="77777777" w:rsidR="006361A5" w:rsidRPr="00214120" w:rsidRDefault="006361A5" w:rsidP="006361A5">
      <w:pPr>
        <w:pStyle w:val="13"/>
      </w:pPr>
      <w:r w:rsidRPr="00214120">
        <w:rPr>
          <w:rFonts w:hint="eastAsia"/>
        </w:rPr>
        <w:t>4.没有进入企业改制资产范围的实物资产和专利权、非专利技术、商标权、土地使用权、探矿权、采矿权、特许经营权等资产,改制后的企业不得无偿使用;若需使用的,有偿使用费或租赁费计算标准应参考资产评估价或同类资产的市场价确定。</w:t>
      </w:r>
    </w:p>
    <w:p w14:paraId="17E91E48" w14:textId="77777777" w:rsidR="006361A5" w:rsidRPr="00214120" w:rsidRDefault="006361A5" w:rsidP="006361A5">
      <w:pPr>
        <w:pStyle w:val="13"/>
      </w:pPr>
      <w:r w:rsidRPr="00214120">
        <w:rPr>
          <w:rFonts w:hint="eastAsia"/>
        </w:rPr>
        <w:t>5.涉及职工安置费用的评估事项。对于解除或终止劳动合同职工的经济补偿、离退休人员、内退人员有关费用等职工安置费用，按照《关于企业重组有关职工安置费用财务管理问题的通知》(财企〔2009〕117号)处理。职工安置费用的确定须经国资监管机构或监管企业审核同意。</w:t>
      </w:r>
    </w:p>
    <w:p w14:paraId="653B6FB2" w14:textId="77777777" w:rsidR="006361A5" w:rsidRPr="00214120" w:rsidRDefault="006361A5" w:rsidP="006361A5">
      <w:pPr>
        <w:pStyle w:val="ab"/>
        <w:spacing w:before="62" w:after="62"/>
        <w:ind w:firstLine="482"/>
      </w:pPr>
      <w:r w:rsidRPr="00214120">
        <w:rPr>
          <w:rFonts w:hint="eastAsia"/>
        </w:rPr>
        <w:t>三、评估过程管理</w:t>
      </w:r>
    </w:p>
    <w:p w14:paraId="3438DAB4" w14:textId="77777777" w:rsidR="006361A5" w:rsidRPr="00214120" w:rsidRDefault="006361A5" w:rsidP="006361A5">
      <w:pPr>
        <w:pStyle w:val="13"/>
      </w:pPr>
      <w:r w:rsidRPr="00214120">
        <w:rPr>
          <w:rFonts w:hint="eastAsia"/>
        </w:rPr>
        <w:t>（一）确定评估基准日</w:t>
      </w:r>
    </w:p>
    <w:p w14:paraId="042AF978" w14:textId="77777777" w:rsidR="006361A5" w:rsidRPr="00214120" w:rsidRDefault="006361A5" w:rsidP="006361A5">
      <w:pPr>
        <w:pStyle w:val="13"/>
      </w:pPr>
      <w:r w:rsidRPr="00214120">
        <w:rPr>
          <w:rFonts w:hint="eastAsia"/>
        </w:rPr>
        <w:t>评估基准日由委托方与评估机构协商确定，并尽可能与评估目的实现日接近。一般采用评估机构进场前三个月内的某月末为评估基准日，如不是应说明原因。</w:t>
      </w:r>
    </w:p>
    <w:p w14:paraId="7FB12E68" w14:textId="77777777" w:rsidR="006361A5" w:rsidRPr="00214120" w:rsidRDefault="006361A5" w:rsidP="006361A5">
      <w:pPr>
        <w:pStyle w:val="13"/>
      </w:pPr>
      <w:r w:rsidRPr="00214120">
        <w:rPr>
          <w:rFonts w:hint="eastAsia"/>
        </w:rPr>
        <w:t>（二）项目预沟通</w:t>
      </w:r>
    </w:p>
    <w:p w14:paraId="4B4E465D" w14:textId="77777777" w:rsidR="006361A5" w:rsidRPr="00214120" w:rsidRDefault="006361A5" w:rsidP="006361A5">
      <w:pPr>
        <w:pStyle w:val="13"/>
      </w:pPr>
      <w:r w:rsidRPr="00214120">
        <w:rPr>
          <w:rFonts w:hint="eastAsia"/>
        </w:rPr>
        <w:t>对于应报市国资委核准、备案的评估项目，备案管理单位应在评估机构进场清查后，与市国资委就评估方案等内容进行汇报或沟通，沟通一致后方可进行后续评估工作。</w:t>
      </w:r>
    </w:p>
    <w:p w14:paraId="14EE3DEC" w14:textId="77777777" w:rsidR="006361A5" w:rsidRPr="00214120" w:rsidRDefault="006361A5" w:rsidP="006361A5">
      <w:pPr>
        <w:pStyle w:val="13"/>
      </w:pPr>
      <w:r w:rsidRPr="00214120">
        <w:rPr>
          <w:rFonts w:hint="eastAsia"/>
        </w:rPr>
        <w:t>评估方案主要包括：</w:t>
      </w:r>
    </w:p>
    <w:p w14:paraId="12CA3BF0" w14:textId="77777777" w:rsidR="006361A5" w:rsidRPr="00214120" w:rsidRDefault="006361A5" w:rsidP="006361A5">
      <w:pPr>
        <w:pStyle w:val="13"/>
      </w:pPr>
      <w:r w:rsidRPr="00214120">
        <w:rPr>
          <w:rFonts w:hint="eastAsia"/>
        </w:rPr>
        <w:t>（1）项目背景（经济行为依据及内容）；</w:t>
      </w:r>
    </w:p>
    <w:p w14:paraId="736A1850" w14:textId="77777777" w:rsidR="006361A5" w:rsidRPr="00214120" w:rsidRDefault="006361A5" w:rsidP="006361A5">
      <w:pPr>
        <w:pStyle w:val="13"/>
      </w:pPr>
      <w:r w:rsidRPr="00214120">
        <w:rPr>
          <w:rFonts w:hint="eastAsia"/>
        </w:rPr>
        <w:t>（2）被评估单位基本情况：</w:t>
      </w:r>
    </w:p>
    <w:p w14:paraId="4833A2C2" w14:textId="77777777" w:rsidR="006361A5" w:rsidRPr="00214120" w:rsidRDefault="006361A5" w:rsidP="006361A5">
      <w:pPr>
        <w:pStyle w:val="13"/>
      </w:pPr>
      <w:r w:rsidRPr="00214120">
        <w:rPr>
          <w:rFonts w:hint="eastAsia"/>
        </w:rPr>
        <w:t>①股权结构和变动情况；</w:t>
      </w:r>
    </w:p>
    <w:p w14:paraId="7FF7C351" w14:textId="77777777" w:rsidR="006361A5" w:rsidRPr="00214120" w:rsidRDefault="006361A5" w:rsidP="006361A5">
      <w:pPr>
        <w:pStyle w:val="13"/>
      </w:pPr>
      <w:r w:rsidRPr="00214120">
        <w:rPr>
          <w:rFonts w:hint="eastAsia"/>
        </w:rPr>
        <w:lastRenderedPageBreak/>
        <w:t>②业务情况（包括经营模式介绍和单位组织架构）；</w:t>
      </w:r>
    </w:p>
    <w:p w14:paraId="5F0CE845" w14:textId="77777777" w:rsidR="006361A5" w:rsidRPr="00214120" w:rsidRDefault="006361A5" w:rsidP="006361A5">
      <w:pPr>
        <w:pStyle w:val="13"/>
      </w:pPr>
      <w:r w:rsidRPr="00214120">
        <w:rPr>
          <w:rFonts w:hint="eastAsia"/>
        </w:rPr>
        <w:t>③财务情况（包括两年一期的资产负债简表和经营状况简表）。</w:t>
      </w:r>
    </w:p>
    <w:p w14:paraId="0D378400" w14:textId="77777777" w:rsidR="006361A5" w:rsidRPr="00214120" w:rsidRDefault="006361A5" w:rsidP="006361A5">
      <w:pPr>
        <w:pStyle w:val="13"/>
      </w:pPr>
      <w:r w:rsidRPr="00214120">
        <w:rPr>
          <w:rFonts w:hint="eastAsia"/>
        </w:rPr>
        <w:t>（3）评估思路说明，主要包括以下内容：</w:t>
      </w:r>
    </w:p>
    <w:p w14:paraId="25CF9AD1" w14:textId="77777777" w:rsidR="006361A5" w:rsidRPr="00214120" w:rsidRDefault="006361A5" w:rsidP="006361A5">
      <w:pPr>
        <w:pStyle w:val="13"/>
      </w:pPr>
      <w:r w:rsidRPr="00214120">
        <w:rPr>
          <w:rFonts w:hint="eastAsia"/>
        </w:rPr>
        <w:t>①评估基准日的选定说明；</w:t>
      </w:r>
    </w:p>
    <w:p w14:paraId="2872FADA" w14:textId="77777777" w:rsidR="006361A5" w:rsidRPr="00214120" w:rsidRDefault="006361A5" w:rsidP="006361A5">
      <w:pPr>
        <w:pStyle w:val="13"/>
      </w:pPr>
      <w:r w:rsidRPr="00214120">
        <w:rPr>
          <w:rFonts w:hint="eastAsia"/>
        </w:rPr>
        <w:t>②企业价值评估方法的确定及理由；</w:t>
      </w:r>
    </w:p>
    <w:p w14:paraId="5E0E3624" w14:textId="77777777" w:rsidR="006361A5" w:rsidRPr="00214120" w:rsidRDefault="006361A5" w:rsidP="006361A5">
      <w:pPr>
        <w:pStyle w:val="13"/>
      </w:pPr>
      <w:r w:rsidRPr="00214120">
        <w:rPr>
          <w:rFonts w:hint="eastAsia"/>
        </w:rPr>
        <w:t>③主要、特殊（如矿业权等）资产的评估方法、原则及参数标准；</w:t>
      </w:r>
    </w:p>
    <w:p w14:paraId="623FDEB7" w14:textId="77777777" w:rsidR="006361A5" w:rsidRPr="00214120" w:rsidRDefault="006361A5" w:rsidP="006361A5">
      <w:pPr>
        <w:pStyle w:val="13"/>
      </w:pPr>
      <w:r w:rsidRPr="00214120">
        <w:rPr>
          <w:rFonts w:hint="eastAsia"/>
        </w:rPr>
        <w:t>④资产清查情况；</w:t>
      </w:r>
    </w:p>
    <w:p w14:paraId="474FF1F0" w14:textId="77777777" w:rsidR="006361A5" w:rsidRPr="00214120" w:rsidRDefault="006361A5" w:rsidP="006361A5">
      <w:pPr>
        <w:pStyle w:val="13"/>
      </w:pPr>
      <w:r w:rsidRPr="00214120">
        <w:rPr>
          <w:rFonts w:hint="eastAsia"/>
        </w:rPr>
        <w:t>⑤股权投资基本情况列表，包括长期投资和可供出售金融资产中的股权投资；</w:t>
      </w:r>
    </w:p>
    <w:p w14:paraId="61016DC3" w14:textId="77777777" w:rsidR="006361A5" w:rsidRPr="00214120" w:rsidRDefault="006361A5" w:rsidP="006361A5">
      <w:pPr>
        <w:pStyle w:val="13"/>
      </w:pPr>
      <w:r w:rsidRPr="00214120">
        <w:rPr>
          <w:rFonts w:hint="eastAsia"/>
        </w:rPr>
        <w:t>⑥不动产基本情况列表；</w:t>
      </w:r>
    </w:p>
    <w:p w14:paraId="0EDCA90F" w14:textId="77777777" w:rsidR="006361A5" w:rsidRPr="00214120" w:rsidRDefault="006361A5" w:rsidP="006361A5">
      <w:pPr>
        <w:pStyle w:val="13"/>
      </w:pPr>
      <w:r w:rsidRPr="00214120">
        <w:rPr>
          <w:rFonts w:hint="eastAsia"/>
        </w:rPr>
        <w:t>⑦主要无形资产基本情况列表；</w:t>
      </w:r>
    </w:p>
    <w:p w14:paraId="424E6869" w14:textId="77777777" w:rsidR="006361A5" w:rsidRPr="00214120" w:rsidRDefault="006361A5" w:rsidP="006361A5">
      <w:pPr>
        <w:pStyle w:val="13"/>
      </w:pPr>
      <w:r w:rsidRPr="00214120">
        <w:rPr>
          <w:rFonts w:hint="eastAsia"/>
        </w:rPr>
        <w:t>⑧需要说明的往来款项；</w:t>
      </w:r>
    </w:p>
    <w:p w14:paraId="55085451" w14:textId="77777777" w:rsidR="006361A5" w:rsidRPr="00214120" w:rsidRDefault="006361A5" w:rsidP="006361A5">
      <w:pPr>
        <w:pStyle w:val="13"/>
      </w:pPr>
      <w:r w:rsidRPr="00214120">
        <w:rPr>
          <w:rFonts w:hint="eastAsia"/>
        </w:rPr>
        <w:t>⑨可能涉及的特别事项和重大事项（如表外/或有资产、负债，租赁资产，期后事项，担保、抵押、诉讼以及其他对企业权益形成影响的事项）；</w:t>
      </w:r>
    </w:p>
    <w:p w14:paraId="3B978EE7" w14:textId="77777777" w:rsidR="006361A5" w:rsidRPr="00214120" w:rsidRDefault="006361A5" w:rsidP="006361A5">
      <w:pPr>
        <w:pStyle w:val="13"/>
      </w:pPr>
      <w:r w:rsidRPr="00214120">
        <w:rPr>
          <w:rFonts w:hint="eastAsia"/>
        </w:rPr>
        <w:t>⑩审计相关情况（提供财务审计备案表）。</w:t>
      </w:r>
    </w:p>
    <w:p w14:paraId="405207D7" w14:textId="77777777" w:rsidR="006361A5" w:rsidRPr="00214120" w:rsidRDefault="006361A5" w:rsidP="006361A5">
      <w:pPr>
        <w:pStyle w:val="13"/>
      </w:pPr>
      <w:r w:rsidRPr="00214120">
        <w:rPr>
          <w:rFonts w:hint="eastAsia"/>
        </w:rPr>
        <w:t>（4）评估工作计划。</w:t>
      </w:r>
    </w:p>
    <w:p w14:paraId="2603875E" w14:textId="77777777" w:rsidR="006361A5" w:rsidRPr="00214120" w:rsidRDefault="006361A5" w:rsidP="006361A5">
      <w:pPr>
        <w:pStyle w:val="13"/>
      </w:pPr>
      <w:r w:rsidRPr="00214120">
        <w:rPr>
          <w:rFonts w:hint="eastAsia"/>
        </w:rPr>
        <w:t>（三）评估相关各方职责</w:t>
      </w:r>
    </w:p>
    <w:p w14:paraId="706CE6D4" w14:textId="77777777" w:rsidR="006361A5" w:rsidRPr="00214120" w:rsidRDefault="006361A5" w:rsidP="006361A5">
      <w:pPr>
        <w:pStyle w:val="13"/>
      </w:pPr>
      <w:r w:rsidRPr="00214120">
        <w:rPr>
          <w:rFonts w:hint="eastAsia"/>
        </w:rPr>
        <w:t>1.被评估单位和委托方应当积极配合评估机构开展工作，向评估机构如实提供有关情况和资料，并对其所提供情况和资料的真实性、合法性和完整性负责。</w:t>
      </w:r>
    </w:p>
    <w:p w14:paraId="1CE05060" w14:textId="77777777" w:rsidR="006361A5" w:rsidRPr="00214120" w:rsidRDefault="006361A5" w:rsidP="006361A5">
      <w:pPr>
        <w:pStyle w:val="13"/>
      </w:pPr>
      <w:r w:rsidRPr="00214120">
        <w:rPr>
          <w:rFonts w:hint="eastAsia"/>
        </w:rPr>
        <w:t>2.评估机构及评估专业人员对其出具的评估报告承担法律责任。</w:t>
      </w:r>
    </w:p>
    <w:p w14:paraId="64782201" w14:textId="77777777" w:rsidR="006361A5" w:rsidRPr="00214120" w:rsidRDefault="006361A5" w:rsidP="006361A5">
      <w:pPr>
        <w:pStyle w:val="ab"/>
        <w:spacing w:before="62" w:after="62"/>
        <w:ind w:firstLine="482"/>
      </w:pPr>
      <w:r w:rsidRPr="00214120">
        <w:rPr>
          <w:rFonts w:hint="eastAsia"/>
        </w:rPr>
        <w:t>四、评估报告转报审核</w:t>
      </w:r>
    </w:p>
    <w:p w14:paraId="6FBD63DE" w14:textId="77777777" w:rsidR="006361A5" w:rsidRPr="00214120" w:rsidRDefault="006361A5" w:rsidP="006361A5">
      <w:pPr>
        <w:pStyle w:val="13"/>
      </w:pPr>
      <w:r w:rsidRPr="00214120">
        <w:rPr>
          <w:rFonts w:hint="eastAsia"/>
        </w:rPr>
        <w:t>（一）内部审核</w:t>
      </w:r>
    </w:p>
    <w:p w14:paraId="4FAD1DE1" w14:textId="77777777" w:rsidR="006361A5" w:rsidRPr="00214120" w:rsidRDefault="006361A5" w:rsidP="006361A5">
      <w:pPr>
        <w:pStyle w:val="13"/>
      </w:pPr>
      <w:r w:rsidRPr="00214120">
        <w:rPr>
          <w:rFonts w:hint="eastAsia"/>
        </w:rPr>
        <w:t>1.备案管理单位应按照《上海市企业国有资产评估报告审核手册》（沪国资委评估〔2018〕353号）的相关要求，对评估项目进行审核，并按规定进行转报或备案，备案管理单位承担相应的审核或备案责任。</w:t>
      </w:r>
    </w:p>
    <w:p w14:paraId="3F601FAC" w14:textId="77777777" w:rsidR="006361A5" w:rsidRPr="00214120" w:rsidRDefault="006361A5" w:rsidP="006361A5">
      <w:pPr>
        <w:pStyle w:val="13"/>
      </w:pPr>
      <w:r w:rsidRPr="00214120">
        <w:rPr>
          <w:rFonts w:hint="eastAsia"/>
        </w:rPr>
        <w:t>2.备案管理单位应落实专门部门、专门人员负责评估项目的审核和转报工作。原则上应由参加过评估业务培训的人员负责项目的审核和转报工作。</w:t>
      </w:r>
    </w:p>
    <w:p w14:paraId="65ABE8A4" w14:textId="77777777" w:rsidR="006361A5" w:rsidRPr="00214120" w:rsidRDefault="006361A5" w:rsidP="006361A5">
      <w:pPr>
        <w:pStyle w:val="13"/>
      </w:pPr>
      <w:r w:rsidRPr="00214120">
        <w:rPr>
          <w:rFonts w:hint="eastAsia"/>
        </w:rPr>
        <w:t>3.各级单位要认真组织评估报告的审核工作，并于审核完成后形成评估报告审核工作小结。</w:t>
      </w:r>
    </w:p>
    <w:p w14:paraId="0F08CFA5" w14:textId="77777777" w:rsidR="006361A5" w:rsidRPr="00214120" w:rsidRDefault="006361A5" w:rsidP="006361A5">
      <w:pPr>
        <w:pStyle w:val="13"/>
      </w:pPr>
      <w:r w:rsidRPr="00214120">
        <w:rPr>
          <w:rFonts w:hint="eastAsia"/>
        </w:rPr>
        <w:t>4.备案管理单位和转报单位可以根据实际情况，整合内部资产管理、财务、审计、法</w:t>
      </w:r>
      <w:proofErr w:type="gramStart"/>
      <w:r w:rsidRPr="00214120">
        <w:rPr>
          <w:rFonts w:hint="eastAsia"/>
        </w:rPr>
        <w:t>务</w:t>
      </w:r>
      <w:proofErr w:type="gramEnd"/>
      <w:r w:rsidRPr="00214120">
        <w:rPr>
          <w:rFonts w:hint="eastAsia"/>
        </w:rPr>
        <w:t>等部门相关专业力量，共同进行评估报告审核。</w:t>
      </w:r>
    </w:p>
    <w:p w14:paraId="6012AE47" w14:textId="77777777" w:rsidR="006361A5" w:rsidRPr="00214120" w:rsidRDefault="006361A5" w:rsidP="006361A5">
      <w:pPr>
        <w:pStyle w:val="13"/>
      </w:pPr>
      <w:r w:rsidRPr="00214120">
        <w:rPr>
          <w:rFonts w:hint="eastAsia"/>
        </w:rPr>
        <w:t>5.重大项目或涉及金额较大的项目必须实行内部会审，对涉及范围较广、比较复杂、确有疑难的项目，备案管理单位可以组织有关专家参与项目评审。</w:t>
      </w:r>
    </w:p>
    <w:p w14:paraId="47B4C29E" w14:textId="77777777" w:rsidR="006361A5" w:rsidRPr="00214120" w:rsidRDefault="006361A5" w:rsidP="006361A5">
      <w:pPr>
        <w:pStyle w:val="13"/>
      </w:pPr>
      <w:r w:rsidRPr="00214120">
        <w:rPr>
          <w:rFonts w:hint="eastAsia"/>
        </w:rPr>
        <w:t>6.在审核过程中，备案管理单位和转报单位应加强对不动产、无形资产等资产的审核，应对该类资产的使用状况（性质）的变化、价值变化、市场潜力等因素做出适</w:t>
      </w:r>
      <w:r w:rsidRPr="00214120">
        <w:rPr>
          <w:rFonts w:hint="eastAsia"/>
        </w:rPr>
        <w:lastRenderedPageBreak/>
        <w:t>当调查、分析，判断其评估的合</w:t>
      </w:r>
      <w:proofErr w:type="gramStart"/>
      <w:r w:rsidRPr="00214120">
        <w:rPr>
          <w:rFonts w:hint="eastAsia"/>
        </w:rPr>
        <w:t>规</w:t>
      </w:r>
      <w:proofErr w:type="gramEnd"/>
      <w:r w:rsidRPr="00214120">
        <w:rPr>
          <w:rFonts w:hint="eastAsia"/>
        </w:rPr>
        <w:t>性、合理性。对重大、疑难事项，转报时应出具专项审核意见。</w:t>
      </w:r>
    </w:p>
    <w:p w14:paraId="7C9B05A8" w14:textId="77777777" w:rsidR="006361A5" w:rsidRPr="00214120" w:rsidRDefault="006361A5" w:rsidP="006361A5">
      <w:pPr>
        <w:pStyle w:val="13"/>
      </w:pPr>
      <w:r w:rsidRPr="00214120">
        <w:rPr>
          <w:rFonts w:hint="eastAsia"/>
        </w:rPr>
        <w:t>（二）组织专家评审会</w:t>
      </w:r>
    </w:p>
    <w:p w14:paraId="6234EB33" w14:textId="77777777" w:rsidR="006361A5" w:rsidRPr="00214120" w:rsidRDefault="006361A5" w:rsidP="006361A5">
      <w:pPr>
        <w:pStyle w:val="13"/>
      </w:pPr>
      <w:r w:rsidRPr="00214120">
        <w:rPr>
          <w:rFonts w:hint="eastAsia"/>
        </w:rPr>
        <w:t>1.备案管理单位应根据《上海市企业国有资产评估报告专家评审工作指引》（沪国资委评估〔2019〕104号）的规定，组织召开评估报告专家评审会。</w:t>
      </w:r>
    </w:p>
    <w:p w14:paraId="232FF665" w14:textId="77777777" w:rsidR="006361A5" w:rsidRPr="00214120" w:rsidRDefault="006361A5" w:rsidP="006361A5">
      <w:pPr>
        <w:pStyle w:val="13"/>
      </w:pPr>
      <w:r w:rsidRPr="00214120">
        <w:rPr>
          <w:rFonts w:hint="eastAsia"/>
        </w:rPr>
        <w:t>2.涉及下列情况之一的资产评估项目，应当召开专家评审会：</w:t>
      </w:r>
    </w:p>
    <w:p w14:paraId="020C45A1" w14:textId="77777777" w:rsidR="006361A5" w:rsidRPr="00214120" w:rsidRDefault="006361A5" w:rsidP="006361A5">
      <w:pPr>
        <w:pStyle w:val="13"/>
      </w:pPr>
      <w:r w:rsidRPr="00214120">
        <w:rPr>
          <w:rFonts w:hint="eastAsia"/>
        </w:rPr>
        <w:t>（1）核准项目；</w:t>
      </w:r>
    </w:p>
    <w:p w14:paraId="2BD7E929" w14:textId="77777777" w:rsidR="006361A5" w:rsidRPr="00214120" w:rsidRDefault="006361A5" w:rsidP="006361A5">
      <w:pPr>
        <w:pStyle w:val="13"/>
      </w:pPr>
      <w:r w:rsidRPr="00214120">
        <w:rPr>
          <w:rFonts w:hint="eastAsia"/>
        </w:rPr>
        <w:t>（2）重大项目；</w:t>
      </w:r>
    </w:p>
    <w:p w14:paraId="1518A22A" w14:textId="77777777" w:rsidR="006361A5" w:rsidRPr="00214120" w:rsidRDefault="006361A5" w:rsidP="006361A5">
      <w:pPr>
        <w:pStyle w:val="13"/>
      </w:pPr>
      <w:r w:rsidRPr="00214120">
        <w:rPr>
          <w:rFonts w:hint="eastAsia"/>
        </w:rPr>
        <w:t>（3）备案管理单位评估管理制度规定的项目；</w:t>
      </w:r>
    </w:p>
    <w:p w14:paraId="6D11EEAF" w14:textId="77777777" w:rsidR="006361A5" w:rsidRPr="00214120" w:rsidRDefault="006361A5" w:rsidP="006361A5">
      <w:pPr>
        <w:pStyle w:val="13"/>
      </w:pPr>
      <w:r w:rsidRPr="00214120">
        <w:rPr>
          <w:rFonts w:hint="eastAsia"/>
        </w:rPr>
        <w:t>（4）实行市国资委事前备案管理的投资项目；</w:t>
      </w:r>
    </w:p>
    <w:p w14:paraId="63FEB013" w14:textId="77777777" w:rsidR="006361A5" w:rsidRPr="00214120" w:rsidRDefault="006361A5" w:rsidP="006361A5">
      <w:pPr>
        <w:pStyle w:val="13"/>
      </w:pPr>
      <w:r w:rsidRPr="00214120">
        <w:rPr>
          <w:rFonts w:hint="eastAsia"/>
        </w:rPr>
        <w:t>（5）市国资委要求的其他项目。</w:t>
      </w:r>
    </w:p>
    <w:p w14:paraId="3CB5B686" w14:textId="77777777" w:rsidR="006361A5" w:rsidRPr="00214120" w:rsidRDefault="006361A5" w:rsidP="006361A5">
      <w:pPr>
        <w:pStyle w:val="13"/>
      </w:pPr>
      <w:r w:rsidRPr="00214120">
        <w:rPr>
          <w:rFonts w:hint="eastAsia"/>
        </w:rPr>
        <w:t>3.评审会专家一般由5-9人组成，应结合评估项目的重要性、复杂程度、风险大小等因素，确定专家人数及人选。专家人选中至少应包含3名资产评估专家。可根据评估项目特点合理选择财务审计、房地产、法律及其他行业专家等。</w:t>
      </w:r>
    </w:p>
    <w:p w14:paraId="2228028E" w14:textId="77777777" w:rsidR="006361A5" w:rsidRPr="00214120" w:rsidRDefault="006361A5" w:rsidP="006361A5">
      <w:pPr>
        <w:pStyle w:val="13"/>
      </w:pPr>
      <w:r w:rsidRPr="00214120">
        <w:rPr>
          <w:rFonts w:hint="eastAsia"/>
        </w:rPr>
        <w:t>4.项目预审</w:t>
      </w:r>
    </w:p>
    <w:p w14:paraId="73F6CD30" w14:textId="77777777" w:rsidR="006361A5" w:rsidRPr="00214120" w:rsidRDefault="006361A5" w:rsidP="006361A5">
      <w:pPr>
        <w:pStyle w:val="13"/>
      </w:pPr>
      <w:r w:rsidRPr="00214120">
        <w:rPr>
          <w:rFonts w:hint="eastAsia"/>
        </w:rPr>
        <w:t>专家评审组织单位在评审会召开前应对评估报告进行初步审核，并将意见反馈至评估机构等相关单位。对沟通一致的意见，评估机构应对评估报告作相应修改。</w:t>
      </w:r>
    </w:p>
    <w:p w14:paraId="5E2A8ED7" w14:textId="77777777" w:rsidR="006361A5" w:rsidRPr="00214120" w:rsidRDefault="006361A5" w:rsidP="006361A5">
      <w:pPr>
        <w:pStyle w:val="13"/>
      </w:pPr>
      <w:r w:rsidRPr="00214120">
        <w:rPr>
          <w:rFonts w:hint="eastAsia"/>
        </w:rPr>
        <w:t>专家评审组织单位确定会议日期后，应当至少提前5个工作日将评估报告、说明及相关文件资料提供给受邀专家。可在</w:t>
      </w:r>
      <w:proofErr w:type="gramStart"/>
      <w:r w:rsidRPr="00214120">
        <w:rPr>
          <w:rFonts w:hint="eastAsia"/>
        </w:rPr>
        <w:t>会前与</w:t>
      </w:r>
      <w:proofErr w:type="gramEnd"/>
      <w:r w:rsidRPr="00214120">
        <w:rPr>
          <w:rFonts w:hint="eastAsia"/>
        </w:rPr>
        <w:t>专家交流审核意见，如发现评估报告存在重大差错或重大不确定性的，专家评审组织单位应及时与评估机构进行沟通，并在会前修改完善。</w:t>
      </w:r>
    </w:p>
    <w:p w14:paraId="21B6B73B" w14:textId="77777777" w:rsidR="006361A5" w:rsidRPr="00214120" w:rsidRDefault="006361A5" w:rsidP="006361A5">
      <w:pPr>
        <w:pStyle w:val="13"/>
      </w:pPr>
      <w:r w:rsidRPr="00214120">
        <w:rPr>
          <w:rFonts w:hint="eastAsia"/>
        </w:rPr>
        <w:t>5.会议资料</w:t>
      </w:r>
    </w:p>
    <w:p w14:paraId="79A02633" w14:textId="77777777" w:rsidR="006361A5" w:rsidRPr="00214120" w:rsidRDefault="006361A5" w:rsidP="006361A5">
      <w:pPr>
        <w:pStyle w:val="13"/>
      </w:pPr>
      <w:r w:rsidRPr="00214120">
        <w:rPr>
          <w:rFonts w:hint="eastAsia"/>
        </w:rPr>
        <w:t>（1）会议组织单位应在会后及时整理会议资料并存档备查。会议资料可采用视频文件或书面记录等多种形式保存。</w:t>
      </w:r>
    </w:p>
    <w:p w14:paraId="0FE67595" w14:textId="77777777" w:rsidR="006361A5" w:rsidRPr="00214120" w:rsidRDefault="006361A5" w:rsidP="006361A5">
      <w:pPr>
        <w:pStyle w:val="13"/>
      </w:pPr>
      <w:r w:rsidRPr="00214120">
        <w:rPr>
          <w:rFonts w:hint="eastAsia"/>
        </w:rPr>
        <w:t>（2）《评审会意见》、《专家个人意见》、评估机构修改答复及专家对报告修改的确认书应作为评估项目核准、备案的申报材料。</w:t>
      </w:r>
    </w:p>
    <w:p w14:paraId="17397CC5" w14:textId="77777777" w:rsidR="006361A5" w:rsidRPr="00214120" w:rsidRDefault="006361A5" w:rsidP="006361A5">
      <w:pPr>
        <w:pStyle w:val="13"/>
      </w:pPr>
      <w:r w:rsidRPr="00214120">
        <w:rPr>
          <w:rFonts w:hint="eastAsia"/>
        </w:rPr>
        <w:t>6.审核责任</w:t>
      </w:r>
    </w:p>
    <w:p w14:paraId="1374486B" w14:textId="77777777" w:rsidR="006361A5" w:rsidRPr="00214120" w:rsidRDefault="006361A5" w:rsidP="006361A5">
      <w:pPr>
        <w:pStyle w:val="13"/>
      </w:pPr>
      <w:r w:rsidRPr="00214120">
        <w:rPr>
          <w:rFonts w:hint="eastAsia"/>
        </w:rPr>
        <w:t>（1）《专家个人意见》和《评审会意见》作为专业咨询意见，为备案管理单位审核评估报告提供重要参考，但不能取代备案管理单位的审核意见。</w:t>
      </w:r>
    </w:p>
    <w:p w14:paraId="6F0AE2D9" w14:textId="77777777" w:rsidR="006361A5" w:rsidRPr="00214120" w:rsidRDefault="006361A5" w:rsidP="006361A5">
      <w:pPr>
        <w:pStyle w:val="13"/>
      </w:pPr>
      <w:r w:rsidRPr="00214120">
        <w:rPr>
          <w:rFonts w:hint="eastAsia"/>
        </w:rPr>
        <w:t>（2）专家评审会为备案管理单位在评估报告审核过程中提供专业技术支持，并不减少或替代备案管理单位的审核职责，也不减少或替代评估报告出具单位的相关责任。</w:t>
      </w:r>
    </w:p>
    <w:p w14:paraId="0FAD7E98" w14:textId="77777777" w:rsidR="006361A5" w:rsidRPr="00214120" w:rsidRDefault="006361A5" w:rsidP="006361A5">
      <w:pPr>
        <w:pStyle w:val="13"/>
      </w:pPr>
      <w:r w:rsidRPr="00214120">
        <w:rPr>
          <w:rFonts w:hint="eastAsia"/>
        </w:rPr>
        <w:t>(三）评估结果公示</w:t>
      </w:r>
    </w:p>
    <w:p w14:paraId="0DDE4618" w14:textId="77777777" w:rsidR="006361A5" w:rsidRPr="00214120" w:rsidRDefault="006361A5" w:rsidP="006361A5">
      <w:pPr>
        <w:pStyle w:val="13"/>
      </w:pPr>
      <w:r w:rsidRPr="00214120">
        <w:rPr>
          <w:rFonts w:hint="eastAsia"/>
        </w:rPr>
        <w:t>除国有全资企业之间产权交易、国有独资企业改制为国有独资公司的资产评估</w:t>
      </w:r>
      <w:r w:rsidRPr="00214120">
        <w:rPr>
          <w:rFonts w:hint="eastAsia"/>
        </w:rPr>
        <w:lastRenderedPageBreak/>
        <w:t>项目外，其他资产评估项目核准、备案前应按规定进行公示。具体要求如下：</w:t>
      </w:r>
    </w:p>
    <w:p w14:paraId="2333B507" w14:textId="77777777" w:rsidR="006361A5" w:rsidRPr="00214120" w:rsidRDefault="006361A5" w:rsidP="006361A5">
      <w:pPr>
        <w:pStyle w:val="13"/>
      </w:pPr>
      <w:r w:rsidRPr="00214120">
        <w:rPr>
          <w:rFonts w:hint="eastAsia"/>
        </w:rPr>
        <w:t>1.公示主体</w:t>
      </w:r>
    </w:p>
    <w:p w14:paraId="11B48AC3" w14:textId="77777777" w:rsidR="006361A5" w:rsidRPr="00214120" w:rsidRDefault="006361A5" w:rsidP="006361A5">
      <w:pPr>
        <w:pStyle w:val="13"/>
      </w:pPr>
      <w:r w:rsidRPr="00214120">
        <w:rPr>
          <w:rFonts w:hint="eastAsia"/>
        </w:rPr>
        <w:t>公示主体为：监管企业，委托监管单位或其监管的单位，其他委办局或其管理的直属企业。</w:t>
      </w:r>
    </w:p>
    <w:p w14:paraId="563C1DAD" w14:textId="77777777" w:rsidR="006361A5" w:rsidRPr="00214120" w:rsidRDefault="006361A5" w:rsidP="006361A5">
      <w:pPr>
        <w:pStyle w:val="13"/>
      </w:pPr>
      <w:r w:rsidRPr="00214120">
        <w:rPr>
          <w:rFonts w:hint="eastAsia"/>
        </w:rPr>
        <w:t>2.公示范围</w:t>
      </w:r>
    </w:p>
    <w:p w14:paraId="5B4B5096" w14:textId="77777777" w:rsidR="006361A5" w:rsidRPr="00214120" w:rsidRDefault="006361A5" w:rsidP="006361A5">
      <w:pPr>
        <w:pStyle w:val="13"/>
      </w:pPr>
      <w:r w:rsidRPr="00214120">
        <w:rPr>
          <w:rFonts w:hint="eastAsia"/>
        </w:rPr>
        <w:t>一般包括公示主体、评估委托方、资产占有方等资产评估项目涉及的相关单位。涉及国家秘密或商业秘密的，应在内部可知悉范围内公示。被评估单位为非国有企业的，应在被评估单位或委托</w:t>
      </w:r>
      <w:proofErr w:type="gramStart"/>
      <w:r w:rsidRPr="00214120">
        <w:rPr>
          <w:rFonts w:hint="eastAsia"/>
        </w:rPr>
        <w:t>方范围</w:t>
      </w:r>
      <w:proofErr w:type="gramEnd"/>
      <w:r w:rsidRPr="00214120">
        <w:rPr>
          <w:rFonts w:hint="eastAsia"/>
        </w:rPr>
        <w:t>内公示。</w:t>
      </w:r>
    </w:p>
    <w:p w14:paraId="735F630E" w14:textId="77777777" w:rsidR="006361A5" w:rsidRPr="00214120" w:rsidRDefault="006361A5" w:rsidP="006361A5">
      <w:pPr>
        <w:pStyle w:val="13"/>
      </w:pPr>
      <w:r w:rsidRPr="00214120">
        <w:rPr>
          <w:rFonts w:hint="eastAsia"/>
        </w:rPr>
        <w:t>3.公示期限及方式</w:t>
      </w:r>
    </w:p>
    <w:p w14:paraId="2D6804C0" w14:textId="77777777" w:rsidR="006361A5" w:rsidRPr="00214120" w:rsidRDefault="006361A5" w:rsidP="006361A5">
      <w:pPr>
        <w:pStyle w:val="13"/>
      </w:pPr>
      <w:r w:rsidRPr="00214120">
        <w:rPr>
          <w:rFonts w:hint="eastAsia"/>
        </w:rPr>
        <w:t>公示不应少于5个工作日。可通过企业内部公示栏、信息系统等途径进行公示。</w:t>
      </w:r>
    </w:p>
    <w:p w14:paraId="0A8B0C8D" w14:textId="77777777" w:rsidR="006361A5" w:rsidRPr="00214120" w:rsidRDefault="006361A5" w:rsidP="006361A5">
      <w:pPr>
        <w:pStyle w:val="13"/>
      </w:pPr>
      <w:r w:rsidRPr="00214120">
        <w:rPr>
          <w:rFonts w:hint="eastAsia"/>
        </w:rPr>
        <w:t>4.评估结果公示的内容</w:t>
      </w:r>
    </w:p>
    <w:p w14:paraId="136D25B0" w14:textId="77777777" w:rsidR="006361A5" w:rsidRPr="00214120" w:rsidRDefault="006361A5" w:rsidP="006361A5">
      <w:pPr>
        <w:pStyle w:val="13"/>
      </w:pPr>
      <w:r w:rsidRPr="00214120">
        <w:rPr>
          <w:rFonts w:hint="eastAsia"/>
        </w:rPr>
        <w:t>一般包括经济行为批文（因特殊情况尚未取得的，可公示告知评估目的以及尚须履行的批准程序）、评估机构选聘方式、评估机构及评估师资质、评估程序履行情况、评估报告摘要和特别事项说明、评估结果汇总表、评估资料查阅方式、反馈意见收集及处理方式等。</w:t>
      </w:r>
    </w:p>
    <w:p w14:paraId="5D4B87B5" w14:textId="77777777" w:rsidR="006361A5" w:rsidRPr="00214120" w:rsidRDefault="006361A5" w:rsidP="006361A5">
      <w:pPr>
        <w:pStyle w:val="13"/>
      </w:pPr>
      <w:r w:rsidRPr="00214120">
        <w:rPr>
          <w:rFonts w:hint="eastAsia"/>
        </w:rPr>
        <w:t>5.关于资产评估情况公示结论的说明；</w:t>
      </w:r>
    </w:p>
    <w:p w14:paraId="35A2227E" w14:textId="77777777" w:rsidR="006361A5" w:rsidRPr="00214120" w:rsidRDefault="006361A5" w:rsidP="006361A5">
      <w:pPr>
        <w:pStyle w:val="13"/>
      </w:pPr>
      <w:r w:rsidRPr="00214120">
        <w:rPr>
          <w:rFonts w:hint="eastAsia"/>
        </w:rPr>
        <w:t>公示主体或公示范围内各方应出具加盖公章的《关于资产评估情况公示结论的说明》。该《说明》应明确公示的内容、结论及处理情况等。如相关企业职工对本次资产评估范围和内容的真实性有异议的，应说明有异议如何反馈、如何解决，最终结论如何等。同时，被评估单位或委托方应在《资产占有方、委托方的承诺函》中，对所提供的《关于资产评估情况公示结论的说明》的真实性</w:t>
      </w:r>
      <w:proofErr w:type="gramStart"/>
      <w:r w:rsidRPr="00214120">
        <w:rPr>
          <w:rFonts w:hint="eastAsia"/>
        </w:rPr>
        <w:t>作出</w:t>
      </w:r>
      <w:proofErr w:type="gramEnd"/>
      <w:r w:rsidRPr="00214120">
        <w:rPr>
          <w:rFonts w:hint="eastAsia"/>
        </w:rPr>
        <w:t>承诺。</w:t>
      </w:r>
    </w:p>
    <w:p w14:paraId="2811F94B" w14:textId="77777777" w:rsidR="006361A5" w:rsidRPr="00214120" w:rsidRDefault="006361A5" w:rsidP="006361A5">
      <w:pPr>
        <w:pStyle w:val="13"/>
      </w:pPr>
      <w:r w:rsidRPr="00214120">
        <w:rPr>
          <w:rFonts w:hint="eastAsia"/>
        </w:rPr>
        <w:t>公示反馈意见经核实对经济行为和评估结果有重大影响的，应在妥善解决相关问题后重新履行公示程序。</w:t>
      </w:r>
    </w:p>
    <w:p w14:paraId="54956A97" w14:textId="77777777" w:rsidR="006361A5" w:rsidRPr="00214120" w:rsidRDefault="006361A5" w:rsidP="006361A5">
      <w:pPr>
        <w:pStyle w:val="13"/>
      </w:pPr>
      <w:r w:rsidRPr="00214120">
        <w:rPr>
          <w:rFonts w:hint="eastAsia"/>
        </w:rPr>
        <w:t>6.公示完成后，评估机构应根据反馈意见相应调整评估结果，出具正式的评估报告。</w:t>
      </w:r>
    </w:p>
    <w:p w14:paraId="0327137A" w14:textId="77777777" w:rsidR="006361A5" w:rsidRPr="00214120" w:rsidRDefault="006361A5" w:rsidP="006361A5">
      <w:pPr>
        <w:pStyle w:val="ab"/>
        <w:spacing w:before="62" w:after="62"/>
        <w:ind w:firstLine="482"/>
      </w:pPr>
      <w:r w:rsidRPr="00214120">
        <w:rPr>
          <w:rFonts w:hint="eastAsia"/>
        </w:rPr>
        <w:t>五、核准、备案办理</w:t>
      </w:r>
    </w:p>
    <w:p w14:paraId="0D22E306" w14:textId="77777777" w:rsidR="006361A5" w:rsidRPr="00214120" w:rsidRDefault="006361A5" w:rsidP="006361A5">
      <w:pPr>
        <w:pStyle w:val="13"/>
      </w:pPr>
      <w:r w:rsidRPr="00214120">
        <w:rPr>
          <w:rFonts w:hint="eastAsia"/>
        </w:rPr>
        <w:t>（一）核准、备案申报</w:t>
      </w:r>
    </w:p>
    <w:p w14:paraId="0E6C1D66" w14:textId="77777777" w:rsidR="006361A5" w:rsidRPr="00214120" w:rsidRDefault="006361A5" w:rsidP="006361A5">
      <w:pPr>
        <w:pStyle w:val="13"/>
      </w:pPr>
      <w:r w:rsidRPr="00214120">
        <w:rPr>
          <w:rFonts w:hint="eastAsia"/>
        </w:rPr>
        <w:t>1.申报主体的确定</w:t>
      </w:r>
    </w:p>
    <w:p w14:paraId="64B08FB6" w14:textId="77777777" w:rsidR="006361A5" w:rsidRPr="00214120" w:rsidRDefault="006361A5" w:rsidP="006361A5">
      <w:pPr>
        <w:pStyle w:val="13"/>
      </w:pPr>
      <w:r w:rsidRPr="00214120">
        <w:rPr>
          <w:rFonts w:hint="eastAsia"/>
        </w:rPr>
        <w:t>评估项目核准、备案原则上由委托方申报。委托</w:t>
      </w:r>
      <w:proofErr w:type="gramStart"/>
      <w:r w:rsidRPr="00214120">
        <w:rPr>
          <w:rFonts w:hint="eastAsia"/>
        </w:rPr>
        <w:t>方收到</w:t>
      </w:r>
      <w:proofErr w:type="gramEnd"/>
      <w:r w:rsidRPr="00214120">
        <w:rPr>
          <w:rFonts w:hint="eastAsia"/>
        </w:rPr>
        <w:t>评估机构正式出具的评估报告后，原则上按委托</w:t>
      </w:r>
      <w:proofErr w:type="gramStart"/>
      <w:r w:rsidRPr="00214120">
        <w:rPr>
          <w:rFonts w:hint="eastAsia"/>
        </w:rPr>
        <w:t>方最大</w:t>
      </w:r>
      <w:proofErr w:type="gramEnd"/>
      <w:r w:rsidRPr="00214120">
        <w:rPr>
          <w:rFonts w:hint="eastAsia"/>
        </w:rPr>
        <w:t>国有资产出资者的隶属关系逐级报送核准或备案。</w:t>
      </w:r>
    </w:p>
    <w:p w14:paraId="64861683" w14:textId="77777777" w:rsidR="006361A5" w:rsidRPr="00214120" w:rsidRDefault="006361A5" w:rsidP="006361A5">
      <w:pPr>
        <w:pStyle w:val="13"/>
      </w:pPr>
      <w:r w:rsidRPr="00214120">
        <w:rPr>
          <w:rFonts w:hint="eastAsia"/>
        </w:rPr>
        <w:t>2.申报前应完成的事项</w:t>
      </w:r>
    </w:p>
    <w:p w14:paraId="071A9C93" w14:textId="77777777" w:rsidR="006361A5" w:rsidRPr="00214120" w:rsidRDefault="006361A5" w:rsidP="006361A5">
      <w:pPr>
        <w:pStyle w:val="13"/>
      </w:pPr>
      <w:r w:rsidRPr="00214120">
        <w:rPr>
          <w:rFonts w:hint="eastAsia"/>
        </w:rPr>
        <w:t>转报单位将评估报告报相关单位申请核准、备案前，应当完成以下事项：</w:t>
      </w:r>
    </w:p>
    <w:p w14:paraId="22F565FB" w14:textId="77777777" w:rsidR="006361A5" w:rsidRPr="00214120" w:rsidRDefault="006361A5" w:rsidP="006361A5">
      <w:pPr>
        <w:pStyle w:val="13"/>
      </w:pPr>
      <w:r w:rsidRPr="00214120">
        <w:rPr>
          <w:rFonts w:hint="eastAsia"/>
        </w:rPr>
        <w:t>（1）取得与资产评估项目相对应的经济行为批准文件。</w:t>
      </w:r>
    </w:p>
    <w:p w14:paraId="3B5618F6" w14:textId="77777777" w:rsidR="006361A5" w:rsidRPr="00214120" w:rsidRDefault="006361A5" w:rsidP="006361A5">
      <w:pPr>
        <w:pStyle w:val="13"/>
      </w:pPr>
      <w:r w:rsidRPr="00214120">
        <w:rPr>
          <w:rFonts w:hint="eastAsia"/>
        </w:rPr>
        <w:t>（2）确认所聘请中介机构及相关人员具有相应资质。</w:t>
      </w:r>
    </w:p>
    <w:p w14:paraId="710879D8" w14:textId="77777777" w:rsidR="006361A5" w:rsidRPr="00214120" w:rsidRDefault="006361A5" w:rsidP="006361A5">
      <w:pPr>
        <w:pStyle w:val="13"/>
      </w:pPr>
      <w:r w:rsidRPr="00214120">
        <w:rPr>
          <w:rFonts w:hint="eastAsia"/>
        </w:rPr>
        <w:lastRenderedPageBreak/>
        <w:t>（3）纳入评估范围的房产、土地及矿产资源等资产权属要件齐全、手续齐备。权属资料或要件不全面或者存在瑕疵的应妥善解决。</w:t>
      </w:r>
    </w:p>
    <w:p w14:paraId="6D37438F" w14:textId="77777777" w:rsidR="006361A5" w:rsidRPr="00214120" w:rsidRDefault="006361A5" w:rsidP="006361A5">
      <w:pPr>
        <w:pStyle w:val="13"/>
      </w:pPr>
      <w:r w:rsidRPr="00214120">
        <w:rPr>
          <w:rFonts w:hint="eastAsia"/>
        </w:rPr>
        <w:t>（4）纳入评估范围的资产与经济行为批复、重组改制方案内容一致；方案应避免存在可能对评估结论产生重大影响的瑕疵。</w:t>
      </w:r>
    </w:p>
    <w:p w14:paraId="7C27BAF5" w14:textId="77777777" w:rsidR="006361A5" w:rsidRPr="00214120" w:rsidRDefault="006361A5" w:rsidP="006361A5">
      <w:pPr>
        <w:pStyle w:val="13"/>
      </w:pPr>
      <w:r w:rsidRPr="00214120">
        <w:rPr>
          <w:rFonts w:hint="eastAsia"/>
        </w:rPr>
        <w:t>（5）对评估报告进行审核并督促评估机构修改完善。</w:t>
      </w:r>
    </w:p>
    <w:p w14:paraId="1B3C4C81" w14:textId="77777777" w:rsidR="006361A5" w:rsidRPr="00214120" w:rsidRDefault="006361A5" w:rsidP="006361A5">
      <w:pPr>
        <w:pStyle w:val="13"/>
      </w:pPr>
      <w:r w:rsidRPr="00214120">
        <w:rPr>
          <w:rFonts w:hint="eastAsia"/>
        </w:rPr>
        <w:t>（6）按规定履行公示程序。</w:t>
      </w:r>
    </w:p>
    <w:p w14:paraId="734FC24F" w14:textId="77777777" w:rsidR="006361A5" w:rsidRPr="00214120" w:rsidRDefault="006361A5" w:rsidP="006361A5">
      <w:pPr>
        <w:pStyle w:val="13"/>
      </w:pPr>
      <w:r w:rsidRPr="00214120">
        <w:rPr>
          <w:rFonts w:hint="eastAsia"/>
        </w:rPr>
        <w:t>（7）按规定完成《上海市企业国有资产评估项目执业质量评价表》的填写。</w:t>
      </w:r>
    </w:p>
    <w:p w14:paraId="55DE3B8C" w14:textId="77777777" w:rsidR="006361A5" w:rsidRPr="00214120" w:rsidRDefault="006361A5" w:rsidP="006361A5">
      <w:pPr>
        <w:pStyle w:val="13"/>
      </w:pPr>
      <w:r w:rsidRPr="00214120">
        <w:rPr>
          <w:rFonts w:hint="eastAsia"/>
        </w:rPr>
        <w:t>①相关单位应根据市国资委有关评估机构执业质量评价的相关要求，对评估机构执业情况进行评价，并将评价信息录入评估管理相关信息系统。</w:t>
      </w:r>
    </w:p>
    <w:p w14:paraId="499F4499" w14:textId="77777777" w:rsidR="006361A5" w:rsidRPr="00214120" w:rsidRDefault="006361A5" w:rsidP="006361A5">
      <w:pPr>
        <w:pStyle w:val="13"/>
      </w:pPr>
      <w:r w:rsidRPr="00214120">
        <w:rPr>
          <w:rFonts w:hint="eastAsia"/>
        </w:rPr>
        <w:t>②需报市国资委核准、备案的项目，转报单位应将填写完整的《上海市国有资产评估执业质量评价表》（纸质和电子版）转报市国资委。</w:t>
      </w:r>
    </w:p>
    <w:p w14:paraId="7E177A25" w14:textId="77777777" w:rsidR="006361A5" w:rsidRPr="00214120" w:rsidRDefault="006361A5" w:rsidP="006361A5">
      <w:pPr>
        <w:pStyle w:val="13"/>
      </w:pPr>
      <w:r w:rsidRPr="00214120">
        <w:rPr>
          <w:rFonts w:hint="eastAsia"/>
        </w:rPr>
        <w:t>    3.申报表格填写</w:t>
      </w:r>
    </w:p>
    <w:p w14:paraId="65B5D21A" w14:textId="77777777" w:rsidR="006361A5" w:rsidRPr="00214120" w:rsidRDefault="006361A5" w:rsidP="006361A5">
      <w:pPr>
        <w:pStyle w:val="13"/>
      </w:pPr>
      <w:r w:rsidRPr="00214120">
        <w:rPr>
          <w:rFonts w:hint="eastAsia"/>
        </w:rPr>
        <w:t>（1）办理评估项目核准、备案手续需报送的文件材料清单详见附件一、二。</w:t>
      </w:r>
    </w:p>
    <w:p w14:paraId="0B4A289C" w14:textId="77777777" w:rsidR="006361A5" w:rsidRPr="00214120" w:rsidRDefault="006361A5" w:rsidP="006361A5">
      <w:pPr>
        <w:pStyle w:val="13"/>
      </w:pPr>
      <w:r w:rsidRPr="00214120">
        <w:rPr>
          <w:rFonts w:hint="eastAsia"/>
        </w:rPr>
        <w:t>（2）办理评估项目核准、备案手续需报送的文件材料清单中1-3项涉及的表格应登陆评估管理相关信息系统在线填写，按系统格式使用A4纸双面打印各表，不得随意分页。</w:t>
      </w:r>
    </w:p>
    <w:p w14:paraId="37049122" w14:textId="77777777" w:rsidR="006361A5" w:rsidRPr="00214120" w:rsidRDefault="006361A5" w:rsidP="006361A5">
      <w:pPr>
        <w:pStyle w:val="13"/>
      </w:pPr>
      <w:r w:rsidRPr="00214120">
        <w:rPr>
          <w:rFonts w:hint="eastAsia"/>
        </w:rPr>
        <w:t>（3）应按要求如实填写，做到准确、完整、清晰，不得漏项、涂改、手工填写。</w:t>
      </w:r>
    </w:p>
    <w:p w14:paraId="4540A27D" w14:textId="77777777" w:rsidR="006361A5" w:rsidRPr="00214120" w:rsidRDefault="006361A5" w:rsidP="006361A5">
      <w:pPr>
        <w:pStyle w:val="13"/>
      </w:pPr>
      <w:r w:rsidRPr="00214120">
        <w:rPr>
          <w:rFonts w:hint="eastAsia"/>
        </w:rPr>
        <w:t>（二）核准、备案受理</w:t>
      </w:r>
    </w:p>
    <w:p w14:paraId="5BA666C8" w14:textId="77777777" w:rsidR="006361A5" w:rsidRPr="00214120" w:rsidRDefault="006361A5" w:rsidP="006361A5">
      <w:pPr>
        <w:pStyle w:val="13"/>
      </w:pPr>
      <w:r w:rsidRPr="00214120">
        <w:rPr>
          <w:rFonts w:hint="eastAsia"/>
        </w:rPr>
        <w:t>1.受理要求</w:t>
      </w:r>
    </w:p>
    <w:p w14:paraId="19C1EA8A" w14:textId="77777777" w:rsidR="006361A5" w:rsidRPr="00214120" w:rsidRDefault="006361A5" w:rsidP="006361A5">
      <w:pPr>
        <w:pStyle w:val="13"/>
      </w:pPr>
      <w:r w:rsidRPr="00214120">
        <w:rPr>
          <w:rFonts w:hint="eastAsia"/>
        </w:rPr>
        <w:t>（1）评估项目已通过评估管理相关信息系统进行网上申报。</w:t>
      </w:r>
    </w:p>
    <w:p w14:paraId="3F4F687B" w14:textId="77777777" w:rsidR="006361A5" w:rsidRPr="00214120" w:rsidRDefault="006361A5" w:rsidP="006361A5">
      <w:pPr>
        <w:pStyle w:val="13"/>
      </w:pPr>
      <w:r w:rsidRPr="00214120">
        <w:rPr>
          <w:rFonts w:hint="eastAsia"/>
        </w:rPr>
        <w:t>（2）评估机构的委托符合规定。</w:t>
      </w:r>
    </w:p>
    <w:p w14:paraId="646800F0" w14:textId="77777777" w:rsidR="006361A5" w:rsidRPr="00214120" w:rsidRDefault="006361A5" w:rsidP="006361A5">
      <w:pPr>
        <w:pStyle w:val="13"/>
      </w:pPr>
      <w:r w:rsidRPr="00214120">
        <w:rPr>
          <w:rFonts w:hint="eastAsia"/>
        </w:rPr>
        <w:t>（3）申请核准时，核准申请表、核准备案转报表、转报单</w:t>
      </w:r>
      <w:proofErr w:type="gramStart"/>
      <w:r w:rsidRPr="00214120">
        <w:rPr>
          <w:rFonts w:hint="eastAsia"/>
        </w:rPr>
        <w:t>位承诺表</w:t>
      </w:r>
      <w:proofErr w:type="gramEnd"/>
      <w:r w:rsidRPr="00214120">
        <w:rPr>
          <w:rFonts w:hint="eastAsia"/>
        </w:rPr>
        <w:t>、评估机构承诺表填写完整规范；</w:t>
      </w:r>
    </w:p>
    <w:p w14:paraId="04F8D141" w14:textId="77777777" w:rsidR="006361A5" w:rsidRPr="00214120" w:rsidRDefault="006361A5" w:rsidP="006361A5">
      <w:pPr>
        <w:pStyle w:val="13"/>
      </w:pPr>
      <w:r w:rsidRPr="00214120">
        <w:rPr>
          <w:rFonts w:hint="eastAsia"/>
        </w:rPr>
        <w:t>办理备案时，备案表、核准备案转报表、转报单</w:t>
      </w:r>
      <w:proofErr w:type="gramStart"/>
      <w:r w:rsidRPr="00214120">
        <w:rPr>
          <w:rFonts w:hint="eastAsia"/>
        </w:rPr>
        <w:t>位承诺表</w:t>
      </w:r>
      <w:proofErr w:type="gramEnd"/>
      <w:r w:rsidRPr="00214120">
        <w:rPr>
          <w:rFonts w:hint="eastAsia"/>
        </w:rPr>
        <w:t>、评估机构承诺表填写完整规范。</w:t>
      </w:r>
    </w:p>
    <w:p w14:paraId="58806AD3" w14:textId="77777777" w:rsidR="006361A5" w:rsidRPr="00214120" w:rsidRDefault="006361A5" w:rsidP="006361A5">
      <w:pPr>
        <w:pStyle w:val="13"/>
      </w:pPr>
      <w:r w:rsidRPr="00214120">
        <w:rPr>
          <w:rFonts w:hint="eastAsia"/>
        </w:rPr>
        <w:t>（4）表格中经济行为类型选择得当，与本次评估相匹配的经济行为批准文件或有效材料齐全。</w:t>
      </w:r>
    </w:p>
    <w:p w14:paraId="518F140B" w14:textId="77777777" w:rsidR="006361A5" w:rsidRPr="00214120" w:rsidRDefault="006361A5" w:rsidP="006361A5">
      <w:pPr>
        <w:pStyle w:val="13"/>
      </w:pPr>
      <w:r w:rsidRPr="00214120">
        <w:rPr>
          <w:rFonts w:hint="eastAsia"/>
        </w:rPr>
        <w:t>（5）表格中数据、信息与评估报告正文、评估说明、评估明细表、评估备查材料中数据信息一致。</w:t>
      </w:r>
    </w:p>
    <w:p w14:paraId="7900B958" w14:textId="77777777" w:rsidR="006361A5" w:rsidRPr="00214120" w:rsidRDefault="006361A5" w:rsidP="006361A5">
      <w:pPr>
        <w:pStyle w:val="13"/>
      </w:pPr>
      <w:r w:rsidRPr="00214120">
        <w:rPr>
          <w:rFonts w:hint="eastAsia"/>
        </w:rPr>
        <w:t>（6）评估目的、评估对象和资产范围与经济行为批准文件或有效材料相匹配。</w:t>
      </w:r>
    </w:p>
    <w:p w14:paraId="2BD34C85" w14:textId="77777777" w:rsidR="006361A5" w:rsidRPr="00214120" w:rsidRDefault="006361A5" w:rsidP="006361A5">
      <w:pPr>
        <w:pStyle w:val="13"/>
      </w:pPr>
      <w:r w:rsidRPr="00214120">
        <w:rPr>
          <w:rFonts w:hint="eastAsia"/>
        </w:rPr>
        <w:t>（7）如需公示的，相关单位按规定完成公示并形成公示结论说明。</w:t>
      </w:r>
    </w:p>
    <w:p w14:paraId="642B655A" w14:textId="77777777" w:rsidR="006361A5" w:rsidRPr="00214120" w:rsidRDefault="006361A5" w:rsidP="006361A5">
      <w:pPr>
        <w:pStyle w:val="13"/>
      </w:pPr>
      <w:r w:rsidRPr="00214120">
        <w:rPr>
          <w:rFonts w:hint="eastAsia"/>
        </w:rPr>
        <w:t>（8）评估报告完整，内容、格式符合规定。评估报告应符合《资产评估准则——评估报告》、《企业国有资产评估报告指南》的要求。其他类型报告内容及格式应</w:t>
      </w:r>
      <w:proofErr w:type="gramStart"/>
      <w:r w:rsidRPr="00214120">
        <w:rPr>
          <w:rFonts w:hint="eastAsia"/>
        </w:rPr>
        <w:t>满足国</w:t>
      </w:r>
      <w:proofErr w:type="gramEnd"/>
      <w:r w:rsidRPr="00214120">
        <w:rPr>
          <w:rFonts w:hint="eastAsia"/>
        </w:rPr>
        <w:t>资管理的基本要求。</w:t>
      </w:r>
    </w:p>
    <w:p w14:paraId="6FDC2222" w14:textId="77777777" w:rsidR="006361A5" w:rsidRPr="00214120" w:rsidRDefault="006361A5" w:rsidP="006361A5">
      <w:pPr>
        <w:pStyle w:val="13"/>
      </w:pPr>
      <w:r w:rsidRPr="00214120">
        <w:rPr>
          <w:rFonts w:hint="eastAsia"/>
        </w:rPr>
        <w:lastRenderedPageBreak/>
        <w:t>（9）符合受理时限要求:</w:t>
      </w:r>
    </w:p>
    <w:p w14:paraId="6B165687" w14:textId="77777777" w:rsidR="006361A5" w:rsidRPr="00214120" w:rsidRDefault="006361A5" w:rsidP="006361A5">
      <w:pPr>
        <w:pStyle w:val="13"/>
      </w:pPr>
      <w:r w:rsidRPr="00214120">
        <w:rPr>
          <w:rFonts w:hint="eastAsia"/>
        </w:rPr>
        <w:t>申请核准时，转报单位应自评估基准日起8个月内向市国资委提出核准申请；涉及房地产开发企业或主要资产为房地产的企业的评估报告，应自评估基准日起6个月内向市国资委提出核准申请；破产清算项目，应自评估基准日起4个月内向市国资委提出核准申请；</w:t>
      </w:r>
    </w:p>
    <w:p w14:paraId="530273B3" w14:textId="77777777" w:rsidR="006361A5" w:rsidRPr="00214120" w:rsidRDefault="006361A5" w:rsidP="006361A5">
      <w:pPr>
        <w:pStyle w:val="13"/>
      </w:pPr>
      <w:r w:rsidRPr="00214120">
        <w:rPr>
          <w:rFonts w:hint="eastAsia"/>
        </w:rPr>
        <w:t>办理备案时，转报单位应自评估基准日起9个月内按规定转报相关单位备案；涉及房地产开发企业或主要资产为房地产的企业的评估报告，应自评估基准日起6个月内按规定转报相关单位备案；破产清算项目，应自评估基准日起4个月内按规定转报相关单位备案。</w:t>
      </w:r>
    </w:p>
    <w:p w14:paraId="201D8135" w14:textId="77777777" w:rsidR="006361A5" w:rsidRPr="00214120" w:rsidRDefault="006361A5" w:rsidP="006361A5">
      <w:pPr>
        <w:pStyle w:val="13"/>
      </w:pPr>
      <w:r w:rsidRPr="00214120">
        <w:rPr>
          <w:rFonts w:hint="eastAsia"/>
        </w:rPr>
        <w:t>（10）转报单</w:t>
      </w:r>
      <w:proofErr w:type="gramStart"/>
      <w:r w:rsidRPr="00214120">
        <w:rPr>
          <w:rFonts w:hint="eastAsia"/>
        </w:rPr>
        <w:t>位相关</w:t>
      </w:r>
      <w:proofErr w:type="gramEnd"/>
      <w:r w:rsidRPr="00214120">
        <w:rPr>
          <w:rFonts w:hint="eastAsia"/>
        </w:rPr>
        <w:t>审核意见及评估机构修改答复齐全合</w:t>
      </w:r>
      <w:proofErr w:type="gramStart"/>
      <w:r w:rsidRPr="00214120">
        <w:rPr>
          <w:rFonts w:hint="eastAsia"/>
        </w:rPr>
        <w:t>规</w:t>
      </w:r>
      <w:proofErr w:type="gramEnd"/>
      <w:r w:rsidRPr="00214120">
        <w:rPr>
          <w:rFonts w:hint="eastAsia"/>
        </w:rPr>
        <w:t>。按规定召开专家评审会，且评审会相关材料齐全合</w:t>
      </w:r>
      <w:proofErr w:type="gramStart"/>
      <w:r w:rsidRPr="00214120">
        <w:rPr>
          <w:rFonts w:hint="eastAsia"/>
        </w:rPr>
        <w:t>规</w:t>
      </w:r>
      <w:proofErr w:type="gramEnd"/>
      <w:r w:rsidRPr="00214120">
        <w:rPr>
          <w:rFonts w:hint="eastAsia"/>
        </w:rPr>
        <w:t>。</w:t>
      </w:r>
    </w:p>
    <w:p w14:paraId="26F2864D" w14:textId="77777777" w:rsidR="006361A5" w:rsidRPr="00214120" w:rsidRDefault="006361A5" w:rsidP="006361A5">
      <w:pPr>
        <w:pStyle w:val="13"/>
      </w:pPr>
      <w:r w:rsidRPr="00214120">
        <w:rPr>
          <w:rFonts w:hint="eastAsia"/>
        </w:rPr>
        <w:t>（11）被评估单位如不动产、无形资产等资产存在评估重大、疑难问题的，应提供转报单位的专项审核意见。</w:t>
      </w:r>
    </w:p>
    <w:p w14:paraId="41170CB8" w14:textId="77777777" w:rsidR="006361A5" w:rsidRPr="00214120" w:rsidRDefault="006361A5" w:rsidP="006361A5">
      <w:pPr>
        <w:pStyle w:val="13"/>
      </w:pPr>
      <w:r w:rsidRPr="00214120">
        <w:rPr>
          <w:rFonts w:hint="eastAsia"/>
        </w:rPr>
        <w:t>（12）涉及企业价值评估的，原则上需采用两种以上评估方法评估，且评估基准日及前两年母公司及合并的会计报表和审计报告齐备。</w:t>
      </w:r>
    </w:p>
    <w:p w14:paraId="2C4FB308" w14:textId="77777777" w:rsidR="006361A5" w:rsidRPr="00214120" w:rsidRDefault="006361A5" w:rsidP="006361A5">
      <w:pPr>
        <w:pStyle w:val="13"/>
      </w:pPr>
      <w:r w:rsidRPr="00214120">
        <w:rPr>
          <w:rFonts w:hint="eastAsia"/>
        </w:rPr>
        <w:t>（13）资产权属清晰，权属证明文件齐备。没有法定权属文件的，需提供相关证明文件。</w:t>
      </w:r>
    </w:p>
    <w:p w14:paraId="0893F8A0" w14:textId="77777777" w:rsidR="006361A5" w:rsidRPr="00214120" w:rsidRDefault="006361A5" w:rsidP="006361A5">
      <w:pPr>
        <w:pStyle w:val="13"/>
      </w:pPr>
      <w:r w:rsidRPr="00214120">
        <w:rPr>
          <w:rFonts w:hint="eastAsia"/>
        </w:rPr>
        <w:t>（14）《上海市企业国有资产评估项目执业质量评价表》填写规范、盖章符合规定。</w:t>
      </w:r>
    </w:p>
    <w:p w14:paraId="2FB5C6E0" w14:textId="77777777" w:rsidR="006361A5" w:rsidRPr="00214120" w:rsidRDefault="006361A5" w:rsidP="006361A5">
      <w:pPr>
        <w:pStyle w:val="13"/>
      </w:pPr>
      <w:r w:rsidRPr="00214120">
        <w:rPr>
          <w:rFonts w:hint="eastAsia"/>
        </w:rPr>
        <w:t>（15）评估机构评估资质或证券业评估资质证书真实有效。</w:t>
      </w:r>
    </w:p>
    <w:p w14:paraId="6B9B546B" w14:textId="77777777" w:rsidR="006361A5" w:rsidRPr="00214120" w:rsidRDefault="006361A5" w:rsidP="006361A5">
      <w:pPr>
        <w:pStyle w:val="13"/>
      </w:pPr>
      <w:r w:rsidRPr="00214120">
        <w:rPr>
          <w:rFonts w:hint="eastAsia"/>
        </w:rPr>
        <w:t>（16）资产评估师职业资格证书登记卡真实有效，登记单位与评估机构一致。</w:t>
      </w:r>
    </w:p>
    <w:p w14:paraId="41026CEE" w14:textId="77777777" w:rsidR="006361A5" w:rsidRPr="00214120" w:rsidRDefault="006361A5" w:rsidP="006361A5">
      <w:pPr>
        <w:pStyle w:val="13"/>
      </w:pPr>
      <w:r w:rsidRPr="00214120">
        <w:rPr>
          <w:rFonts w:hint="eastAsia"/>
        </w:rPr>
        <w:t>（17）附件中被评估单位、委托方、评估机构及资产评估</w:t>
      </w:r>
      <w:proofErr w:type="gramStart"/>
      <w:r w:rsidRPr="00214120">
        <w:rPr>
          <w:rFonts w:hint="eastAsia"/>
        </w:rPr>
        <w:t>师承诺函齐全</w:t>
      </w:r>
      <w:proofErr w:type="gramEnd"/>
      <w:r w:rsidRPr="00214120">
        <w:rPr>
          <w:rFonts w:hint="eastAsia"/>
        </w:rPr>
        <w:t>合</w:t>
      </w:r>
      <w:proofErr w:type="gramStart"/>
      <w:r w:rsidRPr="00214120">
        <w:rPr>
          <w:rFonts w:hint="eastAsia"/>
        </w:rPr>
        <w:t>规</w:t>
      </w:r>
      <w:proofErr w:type="gramEnd"/>
      <w:r w:rsidRPr="00214120">
        <w:rPr>
          <w:rFonts w:hint="eastAsia"/>
        </w:rPr>
        <w:t>。</w:t>
      </w:r>
    </w:p>
    <w:p w14:paraId="1519BB35" w14:textId="77777777" w:rsidR="006361A5" w:rsidRPr="00214120" w:rsidRDefault="006361A5" w:rsidP="006361A5">
      <w:pPr>
        <w:pStyle w:val="13"/>
      </w:pPr>
      <w:r w:rsidRPr="00214120">
        <w:rPr>
          <w:rFonts w:hint="eastAsia"/>
        </w:rPr>
        <w:t>（18）附件中提供资产评估委托合同。</w:t>
      </w:r>
    </w:p>
    <w:p w14:paraId="172FA471" w14:textId="77777777" w:rsidR="006361A5" w:rsidRPr="00214120" w:rsidRDefault="006361A5" w:rsidP="006361A5">
      <w:pPr>
        <w:pStyle w:val="13"/>
      </w:pPr>
      <w:r w:rsidRPr="00214120">
        <w:rPr>
          <w:rFonts w:hint="eastAsia"/>
        </w:rPr>
        <w:t>（19）评估报告及</w:t>
      </w:r>
      <w:proofErr w:type="gramStart"/>
      <w:r w:rsidRPr="00214120">
        <w:rPr>
          <w:rFonts w:hint="eastAsia"/>
        </w:rPr>
        <w:t>各式表</w:t>
      </w:r>
      <w:proofErr w:type="gramEnd"/>
      <w:r w:rsidRPr="00214120">
        <w:rPr>
          <w:rFonts w:hint="eastAsia"/>
        </w:rPr>
        <w:t>项签字、盖章符合规定。</w:t>
      </w:r>
    </w:p>
    <w:p w14:paraId="19C441C5" w14:textId="77777777" w:rsidR="006361A5" w:rsidRPr="00214120" w:rsidRDefault="006361A5" w:rsidP="006361A5">
      <w:pPr>
        <w:pStyle w:val="13"/>
      </w:pPr>
      <w:r w:rsidRPr="00214120">
        <w:rPr>
          <w:rFonts w:hint="eastAsia"/>
        </w:rPr>
        <w:t>（20）相关书面材料的电子文档</w:t>
      </w:r>
      <w:proofErr w:type="gramStart"/>
      <w:r w:rsidRPr="00214120">
        <w:rPr>
          <w:rFonts w:hint="eastAsia"/>
        </w:rPr>
        <w:t>完整上</w:t>
      </w:r>
      <w:proofErr w:type="gramEnd"/>
      <w:r w:rsidRPr="00214120">
        <w:rPr>
          <w:rFonts w:hint="eastAsia"/>
        </w:rPr>
        <w:t>传至评估管理相关信息系统。</w:t>
      </w:r>
    </w:p>
    <w:p w14:paraId="191BD752" w14:textId="77777777" w:rsidR="006361A5" w:rsidRPr="00214120" w:rsidRDefault="006361A5" w:rsidP="006361A5">
      <w:pPr>
        <w:pStyle w:val="13"/>
      </w:pPr>
      <w:r w:rsidRPr="00214120">
        <w:rPr>
          <w:rFonts w:hint="eastAsia"/>
        </w:rPr>
        <w:t>2.核准、备案审核</w:t>
      </w:r>
    </w:p>
    <w:p w14:paraId="5C201378" w14:textId="77777777" w:rsidR="006361A5" w:rsidRPr="00214120" w:rsidRDefault="006361A5" w:rsidP="006361A5">
      <w:pPr>
        <w:pStyle w:val="13"/>
      </w:pPr>
      <w:r w:rsidRPr="00214120">
        <w:rPr>
          <w:rFonts w:hint="eastAsia"/>
        </w:rPr>
        <w:t>（1）对于市国资委、备案管理单位出具的评估报告审核意见，转报单</w:t>
      </w:r>
      <w:proofErr w:type="gramStart"/>
      <w:r w:rsidRPr="00214120">
        <w:rPr>
          <w:rFonts w:hint="eastAsia"/>
        </w:rPr>
        <w:t>位应当</w:t>
      </w:r>
      <w:proofErr w:type="gramEnd"/>
      <w:r w:rsidRPr="00214120">
        <w:rPr>
          <w:rFonts w:hint="eastAsia"/>
        </w:rPr>
        <w:t>及时组织相关中介机构逐条答复审核意见，并根据审核要求对评估报告、审计报告、土地估价报告、矿业权评估报告等进行补充修改，并将调整完善后的申请材料和审核意见答复在10个工作日内重新报送。评估机构根据审核意见修改完善评估报告后，应相应调整资产评估报告日。</w:t>
      </w:r>
    </w:p>
    <w:p w14:paraId="5597C2A7" w14:textId="77777777" w:rsidR="006361A5" w:rsidRPr="00214120" w:rsidRDefault="006361A5" w:rsidP="006361A5">
      <w:pPr>
        <w:pStyle w:val="13"/>
      </w:pPr>
      <w:r w:rsidRPr="00214120">
        <w:rPr>
          <w:rFonts w:hint="eastAsia"/>
        </w:rPr>
        <w:t>（2）核准项目经审核符合规范要求的，一般在7个工作日内下达《核准通知书》；经审核需修改报告或补充材料的，待修改、补充完备后重新转报。市国资委认为必要时可组织现场核查、专家会审等，核准时间顺延。</w:t>
      </w:r>
    </w:p>
    <w:p w14:paraId="3A135543" w14:textId="77777777" w:rsidR="006361A5" w:rsidRPr="00214120" w:rsidRDefault="006361A5" w:rsidP="006361A5">
      <w:pPr>
        <w:pStyle w:val="13"/>
      </w:pPr>
      <w:r w:rsidRPr="00214120">
        <w:rPr>
          <w:rFonts w:hint="eastAsia"/>
        </w:rPr>
        <w:lastRenderedPageBreak/>
        <w:t>（3）备案项目经审核符合规范，一般在5个工作日内予以备案。经审核需修改报告或补充材料的，待修改、补充完备后重新转报。发现有严重问题的不予备案。市国资委、备案管理单位可组织现场抽查、专家会审、专家评审会等，备案时间顺延。</w:t>
      </w:r>
    </w:p>
    <w:p w14:paraId="12BAC7F4" w14:textId="77777777" w:rsidR="006361A5" w:rsidRPr="00214120" w:rsidRDefault="006361A5" w:rsidP="006361A5">
      <w:pPr>
        <w:pStyle w:val="ab"/>
        <w:spacing w:before="62" w:after="62"/>
        <w:ind w:firstLine="482"/>
      </w:pPr>
      <w:r w:rsidRPr="00214120">
        <w:rPr>
          <w:rFonts w:hint="eastAsia"/>
        </w:rPr>
        <w:t>六、核准、备案后续工作</w:t>
      </w:r>
    </w:p>
    <w:p w14:paraId="2295A29A" w14:textId="77777777" w:rsidR="006361A5" w:rsidRPr="00214120" w:rsidRDefault="006361A5" w:rsidP="006361A5">
      <w:pPr>
        <w:pStyle w:val="13"/>
      </w:pPr>
      <w:r w:rsidRPr="00214120">
        <w:rPr>
          <w:rFonts w:hint="eastAsia"/>
        </w:rPr>
        <w:t>（一）资产评估项目核准或备案文件是企业办理产权登记、股权设置和产权转让等相关手续的必备文件。</w:t>
      </w:r>
    </w:p>
    <w:p w14:paraId="618BA1F2" w14:textId="77777777" w:rsidR="006361A5" w:rsidRPr="00214120" w:rsidRDefault="006361A5" w:rsidP="006361A5">
      <w:pPr>
        <w:pStyle w:val="13"/>
      </w:pPr>
      <w:r w:rsidRPr="00214120">
        <w:rPr>
          <w:rFonts w:hint="eastAsia"/>
        </w:rPr>
        <w:t>（二）经核准或备案的资产评估结果使用有效期为自评估基准日起1年。破产清算项目资产评估结果使用有效期为自评估基准日起6个月。</w:t>
      </w:r>
    </w:p>
    <w:p w14:paraId="44D09D00" w14:textId="77777777" w:rsidR="006361A5" w:rsidRPr="00214120" w:rsidRDefault="006361A5" w:rsidP="006361A5">
      <w:pPr>
        <w:pStyle w:val="13"/>
      </w:pPr>
      <w:r w:rsidRPr="00214120">
        <w:rPr>
          <w:rFonts w:hint="eastAsia"/>
        </w:rPr>
        <w:t>（三）企业进行与资产评估相应的经济行为时，应当以经核准或备案的资产评估结果为作价参考依据；当交易价格低于评估结果的90%时，应当暂停交易，在获得原经济行为批准机构同意后方可继续交易。</w:t>
      </w:r>
    </w:p>
    <w:p w14:paraId="1223EBE9" w14:textId="77777777" w:rsidR="006361A5" w:rsidRPr="00214120" w:rsidRDefault="006361A5" w:rsidP="006361A5">
      <w:pPr>
        <w:pStyle w:val="13"/>
      </w:pPr>
      <w:r w:rsidRPr="00214120">
        <w:rPr>
          <w:rFonts w:hint="eastAsia"/>
        </w:rPr>
        <w:t>（四）备案管理单位使用评估报告时，应关注评估基准</w:t>
      </w:r>
      <w:proofErr w:type="gramStart"/>
      <w:r w:rsidRPr="00214120">
        <w:rPr>
          <w:rFonts w:hint="eastAsia"/>
        </w:rPr>
        <w:t>日后委估</w:t>
      </w:r>
      <w:proofErr w:type="gramEnd"/>
      <w:r w:rsidRPr="00214120">
        <w:rPr>
          <w:rFonts w:hint="eastAsia"/>
        </w:rPr>
        <w:t>资产的状况、价格变化等期后事项,并按有关规定进行适当处理。</w:t>
      </w:r>
    </w:p>
    <w:p w14:paraId="071DF422" w14:textId="77777777" w:rsidR="006361A5" w:rsidRPr="00214120" w:rsidRDefault="006361A5" w:rsidP="006361A5">
      <w:pPr>
        <w:pStyle w:val="13"/>
      </w:pPr>
      <w:r w:rsidRPr="00214120">
        <w:rPr>
          <w:rFonts w:hint="eastAsia"/>
        </w:rPr>
        <w:t>（五）备案管理单位应将评估报告等相关资料作为长期档案妥善保管。</w:t>
      </w:r>
    </w:p>
    <w:p w14:paraId="232B6F74" w14:textId="77777777" w:rsidR="006361A5" w:rsidRPr="00214120" w:rsidRDefault="006361A5" w:rsidP="006361A5">
      <w:pPr>
        <w:pStyle w:val="ab"/>
        <w:spacing w:before="62" w:after="62"/>
        <w:ind w:firstLine="482"/>
      </w:pPr>
      <w:r w:rsidRPr="00214120">
        <w:rPr>
          <w:rFonts w:hint="eastAsia"/>
        </w:rPr>
        <w:t>七、企业境外国有资产评估管理</w:t>
      </w:r>
    </w:p>
    <w:p w14:paraId="545F8A55" w14:textId="77777777" w:rsidR="006361A5" w:rsidRPr="00214120" w:rsidRDefault="006361A5" w:rsidP="006361A5">
      <w:pPr>
        <w:pStyle w:val="13"/>
      </w:pPr>
      <w:r w:rsidRPr="00214120">
        <w:rPr>
          <w:rFonts w:hint="eastAsia"/>
        </w:rPr>
        <w:t>（一）监管企业、委托监管单位所监管企业及各级子企业独资或者控股的境外企业所拥有的境内企业国有资产评估的管理，比照境内企业国有资产评估管理的相关规定执行。</w:t>
      </w:r>
    </w:p>
    <w:p w14:paraId="704ACCDF" w14:textId="77777777" w:rsidR="006361A5" w:rsidRPr="00214120" w:rsidRDefault="006361A5" w:rsidP="006361A5">
      <w:pPr>
        <w:pStyle w:val="13"/>
      </w:pPr>
      <w:r w:rsidRPr="00214120">
        <w:rPr>
          <w:rFonts w:hint="eastAsia"/>
        </w:rPr>
        <w:t>（二）监管企业、委托监管单位所监管企业及各级子企业以其拥有的境内企业国有产权向境外企业注资或者转让，或者以其拥有的境外企业国有产权向境内企业注资或者转让，应当依照《企业国有资产评估管理暂行办法》（国资委令第12号）等相关规定，聘请具有相应资质的境内评估机构对标的物进行评估，并办理评估备案或者核准。</w:t>
      </w:r>
    </w:p>
    <w:p w14:paraId="00A279BB" w14:textId="77777777" w:rsidR="006361A5" w:rsidRPr="00214120" w:rsidRDefault="006361A5" w:rsidP="006361A5">
      <w:pPr>
        <w:pStyle w:val="13"/>
      </w:pPr>
      <w:r w:rsidRPr="00214120">
        <w:rPr>
          <w:rFonts w:hint="eastAsia"/>
        </w:rPr>
        <w:t>（三）监管企业、委托监管单位所监管企业及各级子企业独资或者控股的境内外企业在境外(标的物在境外)发生转让或者受让产权、以非货币资产出资、非上市公司国有股东股权比例变动、合并、分立、破产、解散等经济行为时，应当聘请具有相应资质、专业经验和良好信誉的专业机构对标的物进行评估或者估值，其中标的物主要资产在境内的，一般应对标的物进行评估，并办理评估备案或者核准。上述经济行为的交易对价应当以经核准或备案的评估或者估值结果为基准。</w:t>
      </w:r>
    </w:p>
    <w:p w14:paraId="7424B201" w14:textId="77777777" w:rsidR="006361A5" w:rsidRPr="00214120" w:rsidRDefault="006361A5" w:rsidP="006361A5">
      <w:pPr>
        <w:pStyle w:val="13"/>
      </w:pPr>
      <w:r w:rsidRPr="00214120">
        <w:rPr>
          <w:rFonts w:hint="eastAsia"/>
        </w:rPr>
        <w:t>报送备案或核准的评估或者估值报告书及其相关说明等资料应为中文文本。</w:t>
      </w:r>
    </w:p>
    <w:p w14:paraId="3ECDBD9C" w14:textId="77777777" w:rsidR="006361A5" w:rsidRPr="00214120" w:rsidRDefault="006361A5" w:rsidP="006361A5">
      <w:pPr>
        <w:pStyle w:val="13"/>
      </w:pPr>
      <w:r w:rsidRPr="00214120">
        <w:rPr>
          <w:rFonts w:hint="eastAsia"/>
        </w:rPr>
        <w:t>境外投资项目评估核准、备案应关注该项目是否符合企业发展战略；应关注该项目是否具有后续管理运营计划；应关注该项目的交易条件和风险，是否满足集团规定的风险控制和投资回报率要求。</w:t>
      </w:r>
    </w:p>
    <w:p w14:paraId="75EFE89A" w14:textId="77777777" w:rsidR="006361A5" w:rsidRPr="00214120" w:rsidRDefault="006361A5" w:rsidP="006361A5">
      <w:pPr>
        <w:pStyle w:val="13"/>
      </w:pPr>
      <w:r w:rsidRPr="00214120">
        <w:rPr>
          <w:rFonts w:hint="eastAsia"/>
        </w:rPr>
        <w:lastRenderedPageBreak/>
        <w:t>（四）选择的境内评估机构应当具有国家相关部门确认的专业资质；选择的境外评估或估值机构应当遵守标的物所在国家或地区对评估或估值机构专业资质的相关规定。</w:t>
      </w:r>
    </w:p>
    <w:p w14:paraId="0FBB6179" w14:textId="77777777" w:rsidR="006361A5" w:rsidRPr="00214120" w:rsidRDefault="006361A5" w:rsidP="006361A5">
      <w:pPr>
        <w:pStyle w:val="13"/>
      </w:pPr>
      <w:r w:rsidRPr="00214120">
        <w:rPr>
          <w:rFonts w:hint="eastAsia"/>
        </w:rPr>
        <w:t>（五）境外评估核准、备案项目范围同《上海市企业国有资产评估管理暂行办法》（沪国资委评估〔2019〕366号）第四条。</w:t>
      </w:r>
    </w:p>
    <w:p w14:paraId="22970672" w14:textId="77777777" w:rsidR="006361A5" w:rsidRPr="00214120" w:rsidRDefault="006361A5" w:rsidP="006361A5">
      <w:pPr>
        <w:pStyle w:val="13"/>
      </w:pPr>
      <w:r w:rsidRPr="00214120">
        <w:rPr>
          <w:rFonts w:hint="eastAsia"/>
        </w:rPr>
        <w:t>（六）监管企业、委托监管单位所监管企业内部实施资产重组，转让方为上述主体及其直接或者间接全资拥有的境外企业，受让方为上述主体及其直接或者间接全资拥有的境内外企业的，转让价格可以以经核准或备案的评估</w:t>
      </w:r>
      <w:proofErr w:type="gramStart"/>
      <w:r w:rsidRPr="00214120">
        <w:rPr>
          <w:rFonts w:hint="eastAsia"/>
        </w:rPr>
        <w:t>值或者</w:t>
      </w:r>
      <w:proofErr w:type="gramEnd"/>
      <w:r w:rsidRPr="00214120">
        <w:rPr>
          <w:rFonts w:hint="eastAsia"/>
        </w:rPr>
        <w:t>审计确认的净资产值为底价确定。</w:t>
      </w:r>
    </w:p>
    <w:p w14:paraId="16DF12B1" w14:textId="77777777" w:rsidR="006361A5" w:rsidRPr="00214120" w:rsidRDefault="006361A5" w:rsidP="006361A5">
      <w:pPr>
        <w:pStyle w:val="13"/>
      </w:pPr>
      <w:r w:rsidRPr="00214120">
        <w:rPr>
          <w:rFonts w:hint="eastAsia"/>
        </w:rPr>
        <w:t>国有全资企业之间进行的国有产权置换、产权协议转让、非同比例增减资等行为，转让方为境外国有全资企业，受让方为境内外国有全资企业的，转让价格可以以经核准或备案的评估</w:t>
      </w:r>
      <w:proofErr w:type="gramStart"/>
      <w:r w:rsidRPr="00214120">
        <w:rPr>
          <w:rFonts w:hint="eastAsia"/>
        </w:rPr>
        <w:t>值或者</w:t>
      </w:r>
      <w:proofErr w:type="gramEnd"/>
      <w:r w:rsidRPr="00214120">
        <w:rPr>
          <w:rFonts w:hint="eastAsia"/>
        </w:rPr>
        <w:t>审计确认的净资产值为底价确定。</w:t>
      </w:r>
    </w:p>
    <w:p w14:paraId="06DCCA86" w14:textId="77777777" w:rsidR="006361A5" w:rsidRPr="00214120" w:rsidRDefault="006361A5" w:rsidP="006361A5">
      <w:pPr>
        <w:pStyle w:val="13"/>
      </w:pPr>
      <w:r w:rsidRPr="00214120">
        <w:rPr>
          <w:rFonts w:hint="eastAsia"/>
        </w:rPr>
        <w:t>（七）监管企业、委托监管单位应当落实境外企业国有评估管理工作责任，完善档案管理，制定境外企业国有评估管理制度，并报市国资委备案。</w:t>
      </w:r>
    </w:p>
    <w:p w14:paraId="5F522F53" w14:textId="77777777" w:rsidR="006361A5" w:rsidRPr="00214120" w:rsidRDefault="006361A5" w:rsidP="006361A5">
      <w:pPr>
        <w:pStyle w:val="ab"/>
        <w:spacing w:before="62" w:after="62"/>
        <w:ind w:firstLine="482"/>
      </w:pPr>
      <w:r w:rsidRPr="00214120">
        <w:rPr>
          <w:rFonts w:hint="eastAsia"/>
        </w:rPr>
        <w:t>八、禁止行为</w:t>
      </w:r>
    </w:p>
    <w:p w14:paraId="6EEE6947" w14:textId="77777777" w:rsidR="006361A5" w:rsidRPr="00214120" w:rsidRDefault="006361A5" w:rsidP="006361A5">
      <w:pPr>
        <w:pStyle w:val="13"/>
      </w:pPr>
      <w:r w:rsidRPr="00214120">
        <w:rPr>
          <w:rFonts w:hint="eastAsia"/>
        </w:rPr>
        <w:t>（一）涉及需进行资产评估的经济行为，企业不得使用未经评估核准、备案的评估报告进行相关操作。</w:t>
      </w:r>
    </w:p>
    <w:p w14:paraId="4B49B8BC" w14:textId="77777777" w:rsidR="006361A5" w:rsidRPr="00214120" w:rsidRDefault="006361A5" w:rsidP="006361A5">
      <w:pPr>
        <w:pStyle w:val="13"/>
      </w:pPr>
      <w:r w:rsidRPr="00214120">
        <w:rPr>
          <w:rFonts w:hint="eastAsia"/>
        </w:rPr>
        <w:t>（二）评估报告载明的评估目的应当唯一，企业必须在评估报告限定的评估目的下使用评估报告，不得使用与限定评估目的不一致的评估报告进行相关操作。同一标的企业股权比例变动行为采取不同方式的除外。</w:t>
      </w:r>
    </w:p>
    <w:p w14:paraId="6640EC85" w14:textId="77777777" w:rsidR="006361A5" w:rsidRPr="00214120" w:rsidRDefault="006361A5" w:rsidP="006361A5">
      <w:pPr>
        <w:pStyle w:val="13"/>
      </w:pPr>
      <w:r w:rsidRPr="00214120">
        <w:rPr>
          <w:rFonts w:hint="eastAsia"/>
        </w:rPr>
        <w:t>（三）国有及国有控股企业的负责人以及领导班子的其他成员拟通过增资扩股或其他方式持有企业股权的,不得参与决策制订改制方案、确定国有产权折股价、选择中介机构,以及清产核资、财务审计、离任审计、资产评估中的重大事项。</w:t>
      </w:r>
    </w:p>
    <w:p w14:paraId="63BE9D8E" w14:textId="77777777" w:rsidR="006361A5" w:rsidRPr="00214120" w:rsidRDefault="006361A5" w:rsidP="006361A5">
      <w:pPr>
        <w:pStyle w:val="13"/>
      </w:pPr>
      <w:r w:rsidRPr="00214120">
        <w:rPr>
          <w:rFonts w:hint="eastAsia"/>
        </w:rPr>
        <w:t>（四）被评估单位、委托方不得隐匿或虚报资产、负债，不得以任何形式干预评估机构的正常执业行为。</w:t>
      </w:r>
    </w:p>
    <w:p w14:paraId="22AF385D" w14:textId="77777777" w:rsidR="006361A5" w:rsidRPr="00214120" w:rsidRDefault="006361A5" w:rsidP="006361A5">
      <w:pPr>
        <w:pStyle w:val="13"/>
      </w:pPr>
      <w:r w:rsidRPr="00214120">
        <w:rPr>
          <w:rFonts w:hint="eastAsia"/>
        </w:rPr>
        <w:t>（五）评估报告发现代签字</w:t>
      </w:r>
      <w:proofErr w:type="gramStart"/>
      <w:r w:rsidRPr="00214120">
        <w:rPr>
          <w:rFonts w:hint="eastAsia"/>
        </w:rPr>
        <w:t>代敲章</w:t>
      </w:r>
      <w:proofErr w:type="gramEnd"/>
      <w:r w:rsidRPr="00214120">
        <w:rPr>
          <w:rFonts w:hint="eastAsia"/>
        </w:rPr>
        <w:t>的，建议评估协会、行业主管部门对代签字者、相关评估机构做出相应处罚。评估报告退回转报单位不予备案。</w:t>
      </w:r>
    </w:p>
    <w:p w14:paraId="37121137" w14:textId="77777777" w:rsidR="006361A5" w:rsidRPr="00214120" w:rsidRDefault="006361A5" w:rsidP="006361A5">
      <w:pPr>
        <w:pStyle w:val="ab"/>
        <w:spacing w:before="62" w:after="62"/>
        <w:ind w:firstLine="482"/>
      </w:pPr>
      <w:r w:rsidRPr="00214120">
        <w:rPr>
          <w:rFonts w:hint="eastAsia"/>
        </w:rPr>
        <w:t>九、释义</w:t>
      </w:r>
    </w:p>
    <w:p w14:paraId="4B2B451E" w14:textId="77777777" w:rsidR="006361A5" w:rsidRPr="00214120" w:rsidRDefault="006361A5" w:rsidP="006361A5">
      <w:pPr>
        <w:pStyle w:val="13"/>
      </w:pPr>
      <w:r w:rsidRPr="00214120">
        <w:rPr>
          <w:rFonts w:hint="eastAsia"/>
        </w:rPr>
        <w:t>（一）本文所称“国有企业”，是指本市国有及国有控股企业和国有实际控制企业及其各级子企业。</w:t>
      </w:r>
    </w:p>
    <w:p w14:paraId="56077D71" w14:textId="77777777" w:rsidR="006361A5" w:rsidRPr="00214120" w:rsidRDefault="006361A5" w:rsidP="006361A5">
      <w:pPr>
        <w:pStyle w:val="13"/>
      </w:pPr>
      <w:r w:rsidRPr="00214120">
        <w:rPr>
          <w:rFonts w:hint="eastAsia"/>
        </w:rPr>
        <w:t>（二）本文所称“备案管理单位”，是经授权或批准对监管范围内企业国有资产评估事项履行备案职责的单位，包括具有评估备案权的市国资委监管企业和委托监管单位等。</w:t>
      </w:r>
    </w:p>
    <w:p w14:paraId="78644751" w14:textId="77777777" w:rsidR="006361A5" w:rsidRPr="00214120" w:rsidRDefault="006361A5" w:rsidP="006361A5">
      <w:pPr>
        <w:pStyle w:val="13"/>
      </w:pPr>
      <w:r w:rsidRPr="00214120">
        <w:rPr>
          <w:rFonts w:hint="eastAsia"/>
        </w:rPr>
        <w:lastRenderedPageBreak/>
        <w:t>其中：市国资委监管企业，以市国资委公布的名单为准；委托监管单位，指受市国资委委托对本系统经营性国</w:t>
      </w:r>
      <w:proofErr w:type="gramStart"/>
      <w:r w:rsidRPr="00214120">
        <w:rPr>
          <w:rFonts w:hint="eastAsia"/>
        </w:rPr>
        <w:t>资实施</w:t>
      </w:r>
      <w:proofErr w:type="gramEnd"/>
      <w:r w:rsidRPr="00214120">
        <w:rPr>
          <w:rFonts w:hint="eastAsia"/>
        </w:rPr>
        <w:t>监督管理的市属委办局。</w:t>
      </w:r>
    </w:p>
    <w:p w14:paraId="3A10E483" w14:textId="77777777" w:rsidR="006361A5" w:rsidRPr="00214120" w:rsidRDefault="006361A5" w:rsidP="006361A5">
      <w:pPr>
        <w:pStyle w:val="13"/>
      </w:pPr>
      <w:r w:rsidRPr="00214120">
        <w:rPr>
          <w:rFonts w:hint="eastAsia"/>
        </w:rPr>
        <w:t>（三）本文所称“国有全资企业”，是指国有独资企业、国有独资公司以及股东均为国有投资主体的公司。</w:t>
      </w:r>
    </w:p>
    <w:p w14:paraId="351B599F" w14:textId="77777777" w:rsidR="006361A5" w:rsidRPr="00214120" w:rsidRDefault="006361A5" w:rsidP="006361A5">
      <w:pPr>
        <w:pStyle w:val="13"/>
      </w:pPr>
      <w:r w:rsidRPr="00214120">
        <w:rPr>
          <w:rFonts w:hint="eastAsia"/>
        </w:rPr>
        <w:t>（四）本文所称“评估机构”，是指根据《中华人民共和国资产评估法》和有关法律法规设立，聘用评估专业人员开展评估业务，并到有关评估行政管理部门备案的评估机构。</w:t>
      </w:r>
    </w:p>
    <w:p w14:paraId="7549EF0B" w14:textId="77777777" w:rsidR="006361A5" w:rsidRPr="00214120" w:rsidRDefault="006361A5" w:rsidP="006361A5">
      <w:pPr>
        <w:pStyle w:val="13"/>
      </w:pPr>
      <w:r w:rsidRPr="00214120">
        <w:rPr>
          <w:rFonts w:hint="eastAsia"/>
        </w:rPr>
        <w:t>（五）本文所称“评估报告”，是指格式与内容应符合《资产评估准则——评估报告》（</w:t>
      </w:r>
      <w:proofErr w:type="gramStart"/>
      <w:r w:rsidRPr="00214120">
        <w:rPr>
          <w:rFonts w:hint="eastAsia"/>
        </w:rPr>
        <w:t>中评协</w:t>
      </w:r>
      <w:proofErr w:type="gramEnd"/>
      <w:r w:rsidRPr="00214120">
        <w:rPr>
          <w:rFonts w:hint="eastAsia"/>
        </w:rPr>
        <w:t>〔2017〕32号）、《企业国有资产评估报告指南》（</w:t>
      </w:r>
      <w:proofErr w:type="gramStart"/>
      <w:r w:rsidRPr="00214120">
        <w:rPr>
          <w:rFonts w:hint="eastAsia"/>
        </w:rPr>
        <w:t>中评协</w:t>
      </w:r>
      <w:proofErr w:type="gramEnd"/>
      <w:r w:rsidRPr="00214120">
        <w:rPr>
          <w:rFonts w:hint="eastAsia"/>
        </w:rPr>
        <w:t>〔2017〕42号）要求的评估报告。</w:t>
      </w:r>
    </w:p>
    <w:p w14:paraId="3064615F" w14:textId="77777777" w:rsidR="006361A5" w:rsidRPr="00214120" w:rsidRDefault="006361A5" w:rsidP="006361A5">
      <w:pPr>
        <w:pStyle w:val="13"/>
      </w:pPr>
      <w:r w:rsidRPr="00214120">
        <w:rPr>
          <w:rFonts w:hint="eastAsia"/>
        </w:rPr>
        <w:t>（六）备案管理单位应当在企业评估管理制度中明确规定重大项目的标准；未明确规定的，按评估项目预估值占监管企业上一会计年度经审计合并报表净资产10%及以上的予以确定。</w:t>
      </w:r>
    </w:p>
    <w:p w14:paraId="5ACFA02E" w14:textId="4ABDDC85" w:rsidR="00FA0363" w:rsidRDefault="00FA0363" w:rsidP="00FA0363">
      <w:pPr>
        <w:pStyle w:val="21"/>
        <w:spacing w:before="156" w:after="93"/>
      </w:pPr>
      <w:bookmarkStart w:id="252" w:name="_Toc81833485"/>
      <w:r w:rsidRPr="0043259D">
        <w:rPr>
          <w:rFonts w:hint="eastAsia"/>
        </w:rPr>
        <w:t>山东省国资委</w:t>
      </w:r>
      <w:bookmarkEnd w:id="252"/>
    </w:p>
    <w:p w14:paraId="12EB53CF" w14:textId="77777777" w:rsidR="006361A5" w:rsidRDefault="006361A5" w:rsidP="006361A5">
      <w:pPr>
        <w:pStyle w:val="31"/>
        <w:spacing w:before="156" w:after="62"/>
      </w:pPr>
      <w:bookmarkStart w:id="253" w:name="_Toc81833486"/>
      <w:r>
        <w:rPr>
          <w:rFonts w:hint="eastAsia"/>
        </w:rPr>
        <w:t>《关于对企业资产评估报告有异议另行委托中介机构复查的意见》</w:t>
      </w:r>
      <w:r>
        <w:br/>
      </w:r>
      <w:r>
        <w:rPr>
          <w:rFonts w:hint="eastAsia"/>
        </w:rPr>
        <w:t>（鲁国资产权〔</w:t>
      </w:r>
      <w:r>
        <w:t>2004〕8号）</w:t>
      </w:r>
      <w:bookmarkEnd w:id="253"/>
    </w:p>
    <w:p w14:paraId="68FAEC69" w14:textId="77777777" w:rsidR="006361A5" w:rsidRDefault="006361A5" w:rsidP="006361A5">
      <w:pPr>
        <w:pStyle w:val="13"/>
      </w:pPr>
      <w:r>
        <w:rPr>
          <w:rFonts w:hint="eastAsia"/>
        </w:rPr>
        <w:t>为规范国有企业改制行为，加强企业财务审计和国有资产评估的监督管理，根据《中华人民共和国审计法》、《企业国有资产监督管理暂行条例》、《国有资产评估管理办法》和《国有资产评估管理办法施行细则》以及省国资委的职责，制定本意见。</w:t>
      </w:r>
    </w:p>
    <w:p w14:paraId="7D4C6B88" w14:textId="77777777" w:rsidR="006361A5" w:rsidRDefault="006361A5" w:rsidP="006361A5">
      <w:pPr>
        <w:pStyle w:val="13"/>
      </w:pPr>
      <w:r>
        <w:t>对企业资产评估报告有异议另行委托中介机构复查的意见</w:t>
      </w:r>
    </w:p>
    <w:p w14:paraId="77C6361E" w14:textId="77777777" w:rsidR="006361A5" w:rsidRDefault="006361A5" w:rsidP="006361A5">
      <w:pPr>
        <w:pStyle w:val="ab"/>
        <w:spacing w:before="62" w:after="62"/>
        <w:ind w:firstLine="482"/>
      </w:pPr>
      <w:r>
        <w:t>一、企业资产评估报告复查范围和方式</w:t>
      </w:r>
    </w:p>
    <w:p w14:paraId="0A170487" w14:textId="77777777" w:rsidR="006361A5" w:rsidRDefault="006361A5" w:rsidP="006361A5">
      <w:pPr>
        <w:pStyle w:val="13"/>
      </w:pPr>
      <w:r>
        <w:rPr>
          <w:rFonts w:hint="eastAsia"/>
        </w:rPr>
        <w:t>凡上报省国资委核准、备案的资产评估报告以及资产评估所依据的财务审计报告（以下简称“报告”），经审核有异议且需要进一步核查的，均应纳入复查范围。</w:t>
      </w:r>
    </w:p>
    <w:p w14:paraId="30156A9D" w14:textId="77777777" w:rsidR="006361A5" w:rsidRDefault="006361A5" w:rsidP="006361A5">
      <w:pPr>
        <w:pStyle w:val="13"/>
      </w:pPr>
      <w:r>
        <w:rPr>
          <w:rFonts w:hint="eastAsia"/>
        </w:rPr>
        <w:t>产权持有单位或资产占有单位提出资产评估报告核准、备案申请后，由省国资委对报告进行初审，有异议事项未能核实的委托中介机构进行复查。</w:t>
      </w:r>
    </w:p>
    <w:p w14:paraId="40A7CC05" w14:textId="77777777" w:rsidR="006361A5" w:rsidRDefault="006361A5" w:rsidP="006361A5">
      <w:pPr>
        <w:pStyle w:val="ab"/>
        <w:spacing w:before="62" w:after="62"/>
        <w:ind w:firstLine="482"/>
      </w:pPr>
      <w:r>
        <w:rPr>
          <w:rFonts w:hint="eastAsia"/>
        </w:rPr>
        <w:t>二、企业资产评估报告复查程序</w:t>
      </w:r>
    </w:p>
    <w:p w14:paraId="004AC47F" w14:textId="77777777" w:rsidR="006361A5" w:rsidRDefault="006361A5" w:rsidP="006361A5">
      <w:pPr>
        <w:pStyle w:val="13"/>
      </w:pPr>
      <w:r>
        <w:rPr>
          <w:rFonts w:hint="eastAsia"/>
        </w:rPr>
        <w:t>（一）省国资委对产权持有单位或资产占有单位提请核准、备案的资产评估报告进行审查后，如发现问题，由出具该报告的中介机构提交工作底稿，对报告中的问题做出说明，并</w:t>
      </w:r>
      <w:proofErr w:type="gramStart"/>
      <w:r>
        <w:rPr>
          <w:rFonts w:hint="eastAsia"/>
        </w:rPr>
        <w:t>作出</w:t>
      </w:r>
      <w:proofErr w:type="gramEnd"/>
      <w:r>
        <w:rPr>
          <w:rFonts w:hint="eastAsia"/>
        </w:rPr>
        <w:t>补充报告。</w:t>
      </w:r>
    </w:p>
    <w:p w14:paraId="4F60E619" w14:textId="77777777" w:rsidR="006361A5" w:rsidRDefault="006361A5" w:rsidP="006361A5">
      <w:pPr>
        <w:pStyle w:val="13"/>
      </w:pPr>
      <w:r>
        <w:rPr>
          <w:rFonts w:hint="eastAsia"/>
        </w:rPr>
        <w:t>（二）中介机构对报告中的问题经补充说明后仍不能解释清楚，</w:t>
      </w:r>
      <w:proofErr w:type="gramStart"/>
      <w:r>
        <w:rPr>
          <w:rFonts w:hint="eastAsia"/>
        </w:rPr>
        <w:t>且问题</w:t>
      </w:r>
      <w:proofErr w:type="gramEnd"/>
      <w:r>
        <w:rPr>
          <w:rFonts w:hint="eastAsia"/>
        </w:rPr>
        <w:t>资产额超过企业资产总额</w:t>
      </w:r>
      <w:r>
        <w:t>2%的，由省国资委另行委托其他中介机构对报告以及工作底稿进行复查。</w:t>
      </w:r>
    </w:p>
    <w:p w14:paraId="53681C22" w14:textId="77777777" w:rsidR="006361A5" w:rsidRDefault="006361A5" w:rsidP="006361A5">
      <w:pPr>
        <w:pStyle w:val="13"/>
      </w:pPr>
      <w:r>
        <w:rPr>
          <w:rFonts w:hint="eastAsia"/>
        </w:rPr>
        <w:lastRenderedPageBreak/>
        <w:t>（三）受托中介机构按照复查要求，对报告以及工作底稿进行审查后，出具承担法律责任的《审查意见书》。</w:t>
      </w:r>
    </w:p>
    <w:p w14:paraId="5C0C1E6A" w14:textId="77777777" w:rsidR="006361A5" w:rsidRDefault="006361A5" w:rsidP="006361A5">
      <w:pPr>
        <w:pStyle w:val="ab"/>
        <w:spacing w:before="62" w:after="62"/>
        <w:ind w:firstLine="482"/>
      </w:pPr>
      <w:r>
        <w:rPr>
          <w:rFonts w:hint="eastAsia"/>
        </w:rPr>
        <w:t>三、受托中介机构选定及其责任</w:t>
      </w:r>
    </w:p>
    <w:p w14:paraId="57F7AF15" w14:textId="77777777" w:rsidR="006361A5" w:rsidRDefault="006361A5" w:rsidP="006361A5">
      <w:pPr>
        <w:pStyle w:val="13"/>
      </w:pPr>
      <w:r>
        <w:rPr>
          <w:rFonts w:hint="eastAsia"/>
        </w:rPr>
        <w:t>受托中介机构必须符合鲁国资督导〔</w:t>
      </w:r>
      <w:r>
        <w:t>2004〕2号文件规定的条件。对报告以及工作底稿进行专项审查的人员，必须具有5年以上执业资格。</w:t>
      </w:r>
    </w:p>
    <w:p w14:paraId="5404AC04" w14:textId="77777777" w:rsidR="006361A5" w:rsidRDefault="006361A5" w:rsidP="006361A5">
      <w:pPr>
        <w:pStyle w:val="13"/>
      </w:pPr>
      <w:r>
        <w:rPr>
          <w:rFonts w:hint="eastAsia"/>
        </w:rPr>
        <w:t>根据自愿的原则，纳入省国资委备选库的中介机构同意承接受托复查业务的可于</w:t>
      </w:r>
      <w:r>
        <w:t>11月15日前提出的书面申请，进行登记备案。</w:t>
      </w:r>
    </w:p>
    <w:p w14:paraId="52480B2A" w14:textId="77777777" w:rsidR="006361A5" w:rsidRDefault="006361A5" w:rsidP="006361A5">
      <w:pPr>
        <w:pStyle w:val="13"/>
      </w:pPr>
      <w:r>
        <w:rPr>
          <w:rFonts w:hint="eastAsia"/>
        </w:rPr>
        <w:t>省国资委根据复查业务需要采用随机聘用的方式确定中介机构，出具委托书。被指定的受托中介机构出具承诺函后，该委托生效。省国资委对中介机构的审查工作效率和审查质量建立档案，供以后进行委托工作时参考。对承接受托中介机构实行保密制度，严禁泄漏中介机构及执业人员名单。</w:t>
      </w:r>
    </w:p>
    <w:p w14:paraId="30E131CF" w14:textId="77777777" w:rsidR="006361A5" w:rsidRDefault="006361A5" w:rsidP="006361A5">
      <w:pPr>
        <w:pStyle w:val="13"/>
      </w:pPr>
      <w:r>
        <w:rPr>
          <w:rFonts w:hint="eastAsia"/>
        </w:rPr>
        <w:t>受托中介机构的责任是：</w:t>
      </w:r>
      <w:r>
        <w:t>1.出具《审查意见书》；2.按照国家的法律、法规和规定进行审查；3.按照客观、公正、真实的原则进行审查。省国资委对于故意提高审查报告问题资产数额的，一经查实，以后不再委托。</w:t>
      </w:r>
    </w:p>
    <w:p w14:paraId="4A40AD16" w14:textId="77777777" w:rsidR="006361A5" w:rsidRDefault="006361A5" w:rsidP="006361A5">
      <w:pPr>
        <w:pStyle w:val="ab"/>
        <w:spacing w:before="62" w:after="62"/>
        <w:ind w:firstLine="482"/>
      </w:pPr>
      <w:r>
        <w:rPr>
          <w:rFonts w:hint="eastAsia"/>
        </w:rPr>
        <w:t>四、委托费用的支付</w:t>
      </w:r>
    </w:p>
    <w:p w14:paraId="2E3D0B7F" w14:textId="77777777" w:rsidR="006361A5" w:rsidRDefault="006361A5" w:rsidP="006361A5">
      <w:pPr>
        <w:pStyle w:val="13"/>
      </w:pPr>
      <w:r>
        <w:rPr>
          <w:rFonts w:hint="eastAsia"/>
        </w:rPr>
        <w:t>受托中介机构委托费用，根据其对报告的审查情况，以省国资委最终核实确认的问题资产数额为基础，采用分段累进方式计算付费金额。具体标准如下：</w:t>
      </w:r>
    </w:p>
    <w:p w14:paraId="76EECD31" w14:textId="77777777" w:rsidR="006361A5" w:rsidRDefault="006361A5" w:rsidP="006361A5">
      <w:pPr>
        <w:pStyle w:val="13"/>
      </w:pPr>
      <w:r>
        <w:rPr>
          <w:rFonts w:hint="eastAsia"/>
        </w:rPr>
        <w:t>（一）审增企业国有净资产</w:t>
      </w:r>
      <w:r>
        <w:t>100万元（含100万元）以下的，按照3%的比例支付；</w:t>
      </w:r>
    </w:p>
    <w:p w14:paraId="4242CAA2" w14:textId="77777777" w:rsidR="006361A5" w:rsidRDefault="006361A5" w:rsidP="006361A5">
      <w:pPr>
        <w:pStyle w:val="13"/>
      </w:pPr>
      <w:r>
        <w:rPr>
          <w:rFonts w:hint="eastAsia"/>
        </w:rPr>
        <w:t>（二）审增企业国有净资产</w:t>
      </w:r>
      <w:r>
        <w:t>100万元至500万元（含500万元）的，按照4%的比例支付；</w:t>
      </w:r>
    </w:p>
    <w:p w14:paraId="1764902E" w14:textId="77777777" w:rsidR="006361A5" w:rsidRDefault="006361A5" w:rsidP="006361A5">
      <w:pPr>
        <w:pStyle w:val="13"/>
      </w:pPr>
      <w:r>
        <w:rPr>
          <w:rFonts w:hint="eastAsia"/>
        </w:rPr>
        <w:t>（三）审增企业国有净资产</w:t>
      </w:r>
      <w:r>
        <w:t>500万元以上的，按照5%的比例支付。</w:t>
      </w:r>
    </w:p>
    <w:p w14:paraId="07FBFAB3" w14:textId="77777777" w:rsidR="006361A5" w:rsidRDefault="006361A5" w:rsidP="006361A5">
      <w:pPr>
        <w:pStyle w:val="13"/>
      </w:pPr>
      <w:r>
        <w:rPr>
          <w:rFonts w:hint="eastAsia"/>
        </w:rPr>
        <w:t>依据上述支付标准，如支付费用超过</w:t>
      </w:r>
      <w:r>
        <w:t>50万元，超过的部分由省国资委与受托中介机构协商后确定。委托费用于相应经济行为实现后30日内支付。</w:t>
      </w:r>
    </w:p>
    <w:p w14:paraId="68CD4B2A" w14:textId="77777777" w:rsidR="006361A5" w:rsidRDefault="006361A5" w:rsidP="006361A5">
      <w:pPr>
        <w:pStyle w:val="ab"/>
        <w:spacing w:before="62" w:after="62"/>
        <w:ind w:firstLine="482"/>
      </w:pPr>
      <w:r>
        <w:rPr>
          <w:rFonts w:hint="eastAsia"/>
        </w:rPr>
        <w:t>五、复查出问题的处理</w:t>
      </w:r>
    </w:p>
    <w:p w14:paraId="26C9758F" w14:textId="77777777" w:rsidR="006361A5" w:rsidRDefault="006361A5" w:rsidP="006361A5">
      <w:pPr>
        <w:pStyle w:val="13"/>
      </w:pPr>
      <w:r>
        <w:rPr>
          <w:rFonts w:hint="eastAsia"/>
        </w:rPr>
        <w:t>受托中介机构复查查出的问题，应在《审查意见书》中逐项披露，省国资委按照以下情况提出处理意见：</w:t>
      </w:r>
    </w:p>
    <w:p w14:paraId="19AFA6A0" w14:textId="77777777" w:rsidR="006361A5" w:rsidRDefault="006361A5" w:rsidP="006361A5">
      <w:pPr>
        <w:pStyle w:val="13"/>
      </w:pPr>
      <w:r>
        <w:rPr>
          <w:rFonts w:hint="eastAsia"/>
        </w:rPr>
        <w:t>（一）按照受托中介机构审查情况，通知原出具报告的机构出具补充报告，然后进行核准、备案；</w:t>
      </w:r>
    </w:p>
    <w:p w14:paraId="0297FA08" w14:textId="77777777" w:rsidR="006361A5" w:rsidRDefault="006361A5" w:rsidP="006361A5">
      <w:pPr>
        <w:pStyle w:val="13"/>
      </w:pPr>
      <w:r>
        <w:rPr>
          <w:rFonts w:hint="eastAsia"/>
        </w:rPr>
        <w:t>（二）如果受托中介机构审查后，确认报告存在重大隐匿事项，应重新招标聘用中介机构进行财务审计或资产评估。</w:t>
      </w:r>
    </w:p>
    <w:p w14:paraId="1B5FB756" w14:textId="77777777" w:rsidR="006361A5" w:rsidRDefault="006361A5" w:rsidP="006361A5">
      <w:pPr>
        <w:pStyle w:val="ab"/>
        <w:spacing w:before="62" w:after="62"/>
        <w:ind w:firstLine="482"/>
      </w:pPr>
      <w:r>
        <w:rPr>
          <w:rFonts w:hint="eastAsia"/>
        </w:rPr>
        <w:t>六、对原审计和评估机构的处理</w:t>
      </w:r>
    </w:p>
    <w:p w14:paraId="42091B16" w14:textId="77777777" w:rsidR="006361A5" w:rsidRDefault="006361A5" w:rsidP="006361A5">
      <w:pPr>
        <w:pStyle w:val="13"/>
        <w:ind w:firstLineChars="0"/>
      </w:pPr>
      <w:r>
        <w:rPr>
          <w:rFonts w:hint="eastAsia"/>
        </w:rPr>
        <w:t>经复查，审计或资产评估报告书存在问题的，按出现问题资产数额计算，问题资</w:t>
      </w:r>
      <w:r>
        <w:rPr>
          <w:rFonts w:hint="eastAsia"/>
        </w:rPr>
        <w:lastRenderedPageBreak/>
        <w:t>产每超过总资产</w:t>
      </w:r>
      <w:r>
        <w:t>1%，扣减中介机构服务费用20%。超过总资产5%的，重新招标聘用中介机构进行财务审计或资产评估，并向有关管理部门通报情况。经审查两次在报告中出现类似问题的，省国资委对中介机构的执业质量情况在省内国</w:t>
      </w:r>
      <w:proofErr w:type="gramStart"/>
      <w:r>
        <w:t>资系统</w:t>
      </w:r>
      <w:proofErr w:type="gramEnd"/>
      <w:r>
        <w:t>进行通报，该中介机构不得再参与省内国有企业的财务审计和资产评估业务</w:t>
      </w:r>
      <w:r>
        <w:rPr>
          <w:rFonts w:hint="eastAsia"/>
        </w:rPr>
        <w:t>。</w:t>
      </w:r>
    </w:p>
    <w:p w14:paraId="192B6FDE" w14:textId="77777777" w:rsidR="006361A5" w:rsidRPr="00C81EE7" w:rsidRDefault="006361A5" w:rsidP="006361A5">
      <w:pPr>
        <w:pStyle w:val="31"/>
        <w:spacing w:before="156" w:after="62"/>
      </w:pPr>
      <w:bookmarkStart w:id="254" w:name="_Toc81833487"/>
      <w:r w:rsidRPr="00C81EE7">
        <w:rPr>
          <w:rFonts w:hint="eastAsia"/>
        </w:rPr>
        <w:t>《山东省国有产权交易管理办法》</w:t>
      </w:r>
      <w:r w:rsidRPr="00C81EE7">
        <w:br/>
      </w:r>
      <w:r w:rsidRPr="00C81EE7">
        <w:rPr>
          <w:rFonts w:hint="eastAsia"/>
        </w:rPr>
        <w:t>（根据</w:t>
      </w:r>
      <w:r w:rsidRPr="00C81EE7">
        <w:t>2015年7月20日山东省人民政府令第290号修订）</w:t>
      </w:r>
      <w:bookmarkEnd w:id="254"/>
    </w:p>
    <w:p w14:paraId="326F5DEF" w14:textId="77777777" w:rsidR="006361A5" w:rsidRDefault="006361A5" w:rsidP="00AF7342">
      <w:pPr>
        <w:pStyle w:val="a9"/>
        <w:spacing w:before="62" w:after="62"/>
      </w:pPr>
      <w:r>
        <w:rPr>
          <w:rFonts w:hint="eastAsia"/>
        </w:rPr>
        <w:t xml:space="preserve">第一章 </w:t>
      </w:r>
      <w:r>
        <w:t>总则</w:t>
      </w:r>
    </w:p>
    <w:p w14:paraId="75735BD5" w14:textId="77777777" w:rsidR="006361A5" w:rsidRPr="00C81EE7" w:rsidRDefault="006361A5" w:rsidP="006361A5">
      <w:pPr>
        <w:pStyle w:val="13"/>
        <w:ind w:firstLine="482"/>
      </w:pPr>
      <w:r w:rsidRPr="004E3EBB">
        <w:rPr>
          <w:rFonts w:hint="eastAsia"/>
          <w:b/>
          <w:bCs/>
        </w:rPr>
        <w:t xml:space="preserve">第一条 </w:t>
      </w:r>
      <w:r w:rsidRPr="00C81EE7">
        <w:rPr>
          <w:rFonts w:hint="eastAsia"/>
        </w:rPr>
        <w:t>为培育和发展本省产权交易市场，规范国有产权</w:t>
      </w:r>
      <w:r w:rsidRPr="00C81EE7">
        <w:t>(以下简称产权)交易行为，推动国有资产的合理流动和优化配置，防止国有资产流失，促进廉政建设，结合本省实际，制定本办法。</w:t>
      </w:r>
    </w:p>
    <w:p w14:paraId="6596FB8E" w14:textId="77777777" w:rsidR="006361A5" w:rsidRPr="00C81EE7" w:rsidRDefault="006361A5" w:rsidP="006361A5">
      <w:pPr>
        <w:pStyle w:val="13"/>
        <w:ind w:firstLine="482"/>
      </w:pPr>
      <w:r w:rsidRPr="004E3EBB">
        <w:rPr>
          <w:rFonts w:hint="eastAsia"/>
          <w:b/>
          <w:bCs/>
        </w:rPr>
        <w:t xml:space="preserve">第二条 </w:t>
      </w:r>
      <w:r w:rsidRPr="00C81EE7">
        <w:rPr>
          <w:rFonts w:hint="eastAsia"/>
        </w:rPr>
        <w:t>在本省从事产权交易活动的，应当遵守本办法。</w:t>
      </w:r>
    </w:p>
    <w:p w14:paraId="6C3D561E" w14:textId="77777777" w:rsidR="006361A5" w:rsidRPr="00C81EE7" w:rsidRDefault="006361A5" w:rsidP="006361A5">
      <w:pPr>
        <w:pStyle w:val="13"/>
        <w:ind w:firstLine="482"/>
      </w:pPr>
      <w:r w:rsidRPr="004E3EBB">
        <w:rPr>
          <w:rFonts w:hint="eastAsia"/>
          <w:b/>
          <w:bCs/>
        </w:rPr>
        <w:t xml:space="preserve">第三条 </w:t>
      </w:r>
      <w:r w:rsidRPr="00C81EE7">
        <w:rPr>
          <w:rFonts w:hint="eastAsia"/>
        </w:rPr>
        <w:t>产权交易应当遵循平等自愿、等价有偿、诚实守信和公开、公正、公平的原则，依法保障职工的合法权益，并不得损害第三方和社会公共利益。</w:t>
      </w:r>
    </w:p>
    <w:p w14:paraId="081DAD72" w14:textId="77777777" w:rsidR="006361A5" w:rsidRPr="00C81EE7" w:rsidRDefault="006361A5" w:rsidP="006361A5">
      <w:pPr>
        <w:pStyle w:val="13"/>
        <w:ind w:firstLine="482"/>
      </w:pPr>
      <w:r w:rsidRPr="004E3EBB">
        <w:rPr>
          <w:rFonts w:hint="eastAsia"/>
          <w:b/>
          <w:bCs/>
        </w:rPr>
        <w:t xml:space="preserve">第四条 </w:t>
      </w:r>
      <w:r w:rsidRPr="00C81EE7">
        <w:rPr>
          <w:rFonts w:hint="eastAsia"/>
        </w:rPr>
        <w:t>省国有资产管理机构负责产权交易的监督管理工作。</w:t>
      </w:r>
    </w:p>
    <w:p w14:paraId="75939B4B" w14:textId="77777777" w:rsidR="006361A5" w:rsidRPr="00C81EE7" w:rsidRDefault="006361A5" w:rsidP="006361A5">
      <w:pPr>
        <w:pStyle w:val="13"/>
      </w:pPr>
      <w:r w:rsidRPr="00C81EE7">
        <w:rPr>
          <w:rFonts w:hint="eastAsia"/>
        </w:rPr>
        <w:t>县以上监察、工商等有关部门按照各自的职责，对产权交易实施监督管理。</w:t>
      </w:r>
    </w:p>
    <w:p w14:paraId="3AB984E2" w14:textId="77777777" w:rsidR="006361A5" w:rsidRPr="00C81EE7" w:rsidRDefault="006361A5" w:rsidP="00AF7342">
      <w:pPr>
        <w:pStyle w:val="a9"/>
        <w:spacing w:before="62" w:after="62"/>
      </w:pPr>
      <w:r w:rsidRPr="00C81EE7">
        <w:rPr>
          <w:rFonts w:hint="eastAsia"/>
        </w:rPr>
        <w:t>第二章</w:t>
      </w:r>
      <w:r>
        <w:rPr>
          <w:rFonts w:hint="eastAsia"/>
        </w:rPr>
        <w:t xml:space="preserve"> </w:t>
      </w:r>
      <w:r w:rsidRPr="00C81EE7">
        <w:t>产权交易机构</w:t>
      </w:r>
    </w:p>
    <w:p w14:paraId="7A2B96A8" w14:textId="77777777" w:rsidR="006361A5" w:rsidRPr="00C81EE7" w:rsidRDefault="006361A5" w:rsidP="006361A5">
      <w:pPr>
        <w:pStyle w:val="13"/>
        <w:ind w:firstLine="482"/>
      </w:pPr>
      <w:r w:rsidRPr="004E3EBB">
        <w:rPr>
          <w:rFonts w:hint="eastAsia"/>
          <w:b/>
          <w:bCs/>
        </w:rPr>
        <w:t xml:space="preserve">第五条 </w:t>
      </w:r>
      <w:r w:rsidRPr="00C81EE7">
        <w:rPr>
          <w:rFonts w:hint="eastAsia"/>
        </w:rPr>
        <w:t>产权交易机构是从事产权交易中介服务的国有独资或者控股的有限责任公司。</w:t>
      </w:r>
    </w:p>
    <w:p w14:paraId="753FB2F3" w14:textId="77777777" w:rsidR="006361A5" w:rsidRPr="00C81EE7" w:rsidRDefault="006361A5" w:rsidP="006361A5">
      <w:pPr>
        <w:pStyle w:val="13"/>
        <w:ind w:firstLine="482"/>
      </w:pPr>
      <w:r w:rsidRPr="004E3EBB">
        <w:rPr>
          <w:rFonts w:hint="eastAsia"/>
          <w:b/>
          <w:bCs/>
        </w:rPr>
        <w:t xml:space="preserve">第六条 </w:t>
      </w:r>
      <w:r w:rsidRPr="00C81EE7">
        <w:rPr>
          <w:rFonts w:hint="eastAsia"/>
        </w:rPr>
        <w:t>设立产权交易机构，应当具备下列条件：</w:t>
      </w:r>
    </w:p>
    <w:p w14:paraId="27C1014D" w14:textId="77777777" w:rsidR="006361A5" w:rsidRPr="00C81EE7" w:rsidRDefault="006361A5" w:rsidP="006361A5">
      <w:pPr>
        <w:pStyle w:val="13"/>
      </w:pPr>
      <w:r w:rsidRPr="00C81EE7">
        <w:t>(</w:t>
      </w:r>
      <w:proofErr w:type="gramStart"/>
      <w:r w:rsidRPr="00C81EE7">
        <w:t>一</w:t>
      </w:r>
      <w:proofErr w:type="gramEnd"/>
      <w:r w:rsidRPr="00C81EE7">
        <w:t>)有与从事产权交易活动相适应的资金，并能够独立承担民事责任；</w:t>
      </w:r>
    </w:p>
    <w:p w14:paraId="325BA58A" w14:textId="77777777" w:rsidR="006361A5" w:rsidRPr="00C81EE7" w:rsidRDefault="006361A5" w:rsidP="006361A5">
      <w:pPr>
        <w:pStyle w:val="13"/>
      </w:pPr>
      <w:r w:rsidRPr="00C81EE7">
        <w:t>(二)有固定的交易场所(即交易市场)和完备的交易设施；</w:t>
      </w:r>
    </w:p>
    <w:p w14:paraId="00EA6C50" w14:textId="77777777" w:rsidR="006361A5" w:rsidRPr="00C81EE7" w:rsidRDefault="006361A5" w:rsidP="006361A5">
      <w:pPr>
        <w:pStyle w:val="13"/>
      </w:pPr>
      <w:r w:rsidRPr="00C81EE7">
        <w:t>(三)公司主要负责人符合任职资格，并不得兼职；</w:t>
      </w:r>
    </w:p>
    <w:p w14:paraId="3C49EFFC" w14:textId="77777777" w:rsidR="006361A5" w:rsidRPr="00C81EE7" w:rsidRDefault="006361A5" w:rsidP="006361A5">
      <w:pPr>
        <w:pStyle w:val="13"/>
      </w:pPr>
      <w:r w:rsidRPr="00C81EE7">
        <w:t>(四)有相应的专职会计、经济、法律等专业人员；</w:t>
      </w:r>
    </w:p>
    <w:p w14:paraId="7B8875DB" w14:textId="77777777" w:rsidR="006361A5" w:rsidRPr="00C81EE7" w:rsidRDefault="006361A5" w:rsidP="006361A5">
      <w:pPr>
        <w:pStyle w:val="13"/>
      </w:pPr>
      <w:r w:rsidRPr="00C81EE7">
        <w:t>(五)有完善的公司章程和管理制度。</w:t>
      </w:r>
    </w:p>
    <w:p w14:paraId="3D1E39A9" w14:textId="77777777" w:rsidR="006361A5" w:rsidRPr="00C81EE7" w:rsidRDefault="006361A5" w:rsidP="006361A5">
      <w:pPr>
        <w:pStyle w:val="13"/>
        <w:ind w:firstLine="482"/>
      </w:pPr>
      <w:r w:rsidRPr="004E3EBB">
        <w:rPr>
          <w:rFonts w:hint="eastAsia"/>
          <w:b/>
          <w:bCs/>
        </w:rPr>
        <w:t xml:space="preserve">第七条 </w:t>
      </w:r>
      <w:r w:rsidRPr="00C81EE7">
        <w:rPr>
          <w:rFonts w:hint="eastAsia"/>
        </w:rPr>
        <w:t>产权交易机构应当履行下列职责：</w:t>
      </w:r>
    </w:p>
    <w:p w14:paraId="4B96DFD6" w14:textId="77777777" w:rsidR="006361A5" w:rsidRDefault="006361A5" w:rsidP="006361A5">
      <w:pPr>
        <w:pStyle w:val="13"/>
        <w:numPr>
          <w:ilvl w:val="0"/>
          <w:numId w:val="15"/>
        </w:numPr>
        <w:ind w:firstLineChars="0"/>
      </w:pPr>
      <w:r w:rsidRPr="00C81EE7">
        <w:t>提供产权交易场所；</w:t>
      </w:r>
    </w:p>
    <w:p w14:paraId="7615ED9B" w14:textId="77777777" w:rsidR="006361A5" w:rsidRDefault="006361A5" w:rsidP="006361A5">
      <w:pPr>
        <w:pStyle w:val="13"/>
      </w:pPr>
      <w:r>
        <w:t>(二)提供信息和咨询服务，并依照本办法组织产权交易；</w:t>
      </w:r>
    </w:p>
    <w:p w14:paraId="42493D7B" w14:textId="77777777" w:rsidR="006361A5" w:rsidRDefault="006361A5" w:rsidP="006361A5">
      <w:pPr>
        <w:pStyle w:val="13"/>
      </w:pPr>
      <w:r>
        <w:t>(三)对产权交易出让方和购买方提交文件的真实性进行书面审核；</w:t>
      </w:r>
    </w:p>
    <w:p w14:paraId="0EC8805D" w14:textId="77777777" w:rsidR="006361A5" w:rsidRDefault="006361A5" w:rsidP="006361A5">
      <w:pPr>
        <w:pStyle w:val="13"/>
      </w:pPr>
      <w:r>
        <w:t>(四)按程序向人民政府有关部门报告产权交易的重大事项；</w:t>
      </w:r>
    </w:p>
    <w:p w14:paraId="3CF119BF" w14:textId="77777777" w:rsidR="006361A5" w:rsidRDefault="006361A5" w:rsidP="006361A5">
      <w:pPr>
        <w:pStyle w:val="13"/>
      </w:pPr>
      <w:r>
        <w:t>(五)国家和省规定的其他职责。</w:t>
      </w:r>
    </w:p>
    <w:p w14:paraId="08758371" w14:textId="77777777" w:rsidR="006361A5" w:rsidRDefault="006361A5" w:rsidP="006361A5">
      <w:pPr>
        <w:pStyle w:val="13"/>
        <w:ind w:firstLine="482"/>
      </w:pPr>
      <w:r w:rsidRPr="004E3EBB">
        <w:rPr>
          <w:rFonts w:hint="eastAsia"/>
          <w:b/>
          <w:bCs/>
        </w:rPr>
        <w:t xml:space="preserve">第八条 </w:t>
      </w:r>
      <w:r>
        <w:rPr>
          <w:rFonts w:hint="eastAsia"/>
        </w:rPr>
        <w:t>产权交易机构应当根据本办法制定产权交易规则，报省人民政府或者其授权的部门批准后施行。</w:t>
      </w:r>
    </w:p>
    <w:p w14:paraId="1F402B5E" w14:textId="77777777" w:rsidR="006361A5" w:rsidRDefault="006361A5" w:rsidP="006361A5">
      <w:pPr>
        <w:pStyle w:val="13"/>
        <w:ind w:firstLine="482"/>
      </w:pPr>
      <w:r w:rsidRPr="00E05BDA">
        <w:rPr>
          <w:rFonts w:hint="eastAsia"/>
          <w:b/>
          <w:bCs/>
        </w:rPr>
        <w:t xml:space="preserve">第九条 </w:t>
      </w:r>
      <w:r>
        <w:rPr>
          <w:rFonts w:hint="eastAsia"/>
        </w:rPr>
        <w:t>产权交易机构应当建立产权交易档案，并提供档案查询服务。</w:t>
      </w:r>
    </w:p>
    <w:p w14:paraId="7BCC7A27" w14:textId="77777777" w:rsidR="006361A5" w:rsidRDefault="006361A5" w:rsidP="006361A5">
      <w:pPr>
        <w:pStyle w:val="13"/>
        <w:ind w:firstLine="482"/>
      </w:pPr>
      <w:r w:rsidRPr="00E05BDA">
        <w:rPr>
          <w:rFonts w:hint="eastAsia"/>
          <w:b/>
          <w:bCs/>
        </w:rPr>
        <w:lastRenderedPageBreak/>
        <w:t xml:space="preserve">第十条 </w:t>
      </w:r>
      <w:r>
        <w:rPr>
          <w:rFonts w:hint="eastAsia"/>
        </w:rPr>
        <w:t>产权交易机构从业人员履行职责时与其本人或者其近亲属有利害关系的，应当回避。</w:t>
      </w:r>
    </w:p>
    <w:p w14:paraId="6E773588" w14:textId="77777777" w:rsidR="006361A5" w:rsidRDefault="006361A5" w:rsidP="006361A5">
      <w:pPr>
        <w:pStyle w:val="13"/>
        <w:ind w:firstLine="482"/>
      </w:pPr>
      <w:r w:rsidRPr="00E05BDA">
        <w:rPr>
          <w:rFonts w:hint="eastAsia"/>
          <w:b/>
          <w:bCs/>
        </w:rPr>
        <w:t xml:space="preserve">第十一条 </w:t>
      </w:r>
      <w:r>
        <w:rPr>
          <w:rFonts w:hint="eastAsia"/>
        </w:rPr>
        <w:t>产权交易机构的收费办法由省物价部门会同省财政部门、省国有资产管理机构制定，并在产权交易场所公布。</w:t>
      </w:r>
    </w:p>
    <w:p w14:paraId="6E4D9CE9" w14:textId="77777777" w:rsidR="006361A5" w:rsidRDefault="006361A5" w:rsidP="006361A5">
      <w:pPr>
        <w:pStyle w:val="13"/>
      </w:pPr>
      <w:r>
        <w:rPr>
          <w:rFonts w:hint="eastAsia"/>
        </w:rPr>
        <w:t>职工集体购买本单位产权的，产权交易机构不得收取</w:t>
      </w:r>
      <w:proofErr w:type="gramStart"/>
      <w:r>
        <w:rPr>
          <w:rFonts w:hint="eastAsia"/>
        </w:rPr>
        <w:t>除登记</w:t>
      </w:r>
      <w:proofErr w:type="gramEnd"/>
      <w:r>
        <w:rPr>
          <w:rFonts w:hint="eastAsia"/>
        </w:rPr>
        <w:t>挂牌成本费以外的其他费用。</w:t>
      </w:r>
    </w:p>
    <w:p w14:paraId="32899640" w14:textId="77777777" w:rsidR="006361A5" w:rsidRDefault="006361A5" w:rsidP="00AF7342">
      <w:pPr>
        <w:pStyle w:val="a9"/>
        <w:spacing w:before="62" w:after="62"/>
      </w:pPr>
      <w:r>
        <w:rPr>
          <w:rFonts w:hint="eastAsia"/>
        </w:rPr>
        <w:t xml:space="preserve">第三章 </w:t>
      </w:r>
      <w:r>
        <w:t>产权交易的内容</w:t>
      </w:r>
    </w:p>
    <w:p w14:paraId="6355D59D" w14:textId="77777777" w:rsidR="006361A5" w:rsidRDefault="006361A5" w:rsidP="006361A5">
      <w:pPr>
        <w:pStyle w:val="13"/>
        <w:ind w:firstLine="482"/>
      </w:pPr>
      <w:r w:rsidRPr="00E05BDA">
        <w:rPr>
          <w:rFonts w:hint="eastAsia"/>
          <w:b/>
          <w:bCs/>
        </w:rPr>
        <w:t xml:space="preserve">第十二条 </w:t>
      </w:r>
      <w:r>
        <w:rPr>
          <w:rFonts w:hint="eastAsia"/>
        </w:rPr>
        <w:t>产权交易应当包括下列内容：</w:t>
      </w:r>
    </w:p>
    <w:p w14:paraId="6EF0C2FF" w14:textId="77777777" w:rsidR="006361A5" w:rsidRDefault="006361A5" w:rsidP="006361A5">
      <w:pPr>
        <w:pStyle w:val="13"/>
      </w:pPr>
      <w:r>
        <w:t>(</w:t>
      </w:r>
      <w:proofErr w:type="gramStart"/>
      <w:r>
        <w:t>一</w:t>
      </w:r>
      <w:proofErr w:type="gramEnd"/>
      <w:r>
        <w:t>)国有独资企业整体或部分产权交易；</w:t>
      </w:r>
    </w:p>
    <w:p w14:paraId="25759E1C" w14:textId="77777777" w:rsidR="006361A5" w:rsidRDefault="006361A5" w:rsidP="006361A5">
      <w:pPr>
        <w:pStyle w:val="13"/>
      </w:pPr>
      <w:r>
        <w:t>(二)国有资产控股或者参股公司的产权交易；</w:t>
      </w:r>
    </w:p>
    <w:p w14:paraId="2C3F5A2F" w14:textId="77777777" w:rsidR="006361A5" w:rsidRDefault="006361A5" w:rsidP="006361A5">
      <w:pPr>
        <w:pStyle w:val="13"/>
      </w:pPr>
      <w:r>
        <w:t>(三)行政事业单位的产权交易；</w:t>
      </w:r>
    </w:p>
    <w:p w14:paraId="157397E4" w14:textId="77777777" w:rsidR="006361A5" w:rsidRDefault="006361A5" w:rsidP="006361A5">
      <w:pPr>
        <w:pStyle w:val="13"/>
      </w:pPr>
      <w:r>
        <w:t>(四)其他产权交易。</w:t>
      </w:r>
    </w:p>
    <w:p w14:paraId="0E96BF00" w14:textId="77777777" w:rsidR="006361A5" w:rsidRDefault="006361A5" w:rsidP="006361A5">
      <w:pPr>
        <w:pStyle w:val="13"/>
      </w:pPr>
      <w:r>
        <w:rPr>
          <w:rFonts w:hint="eastAsia"/>
        </w:rPr>
        <w:t>前款规定的产权交易，包括有形、无形资产产权以及经营权、财产使用权等交易。</w:t>
      </w:r>
    </w:p>
    <w:p w14:paraId="482A2D2E" w14:textId="77777777" w:rsidR="006361A5" w:rsidRDefault="006361A5" w:rsidP="006361A5">
      <w:pPr>
        <w:pStyle w:val="13"/>
      </w:pPr>
      <w:r>
        <w:rPr>
          <w:rFonts w:hint="eastAsia"/>
        </w:rPr>
        <w:t>法律、法规和规章另有规定的，从其规定。</w:t>
      </w:r>
    </w:p>
    <w:p w14:paraId="151410CF" w14:textId="77777777" w:rsidR="006361A5" w:rsidRDefault="006361A5" w:rsidP="006361A5">
      <w:pPr>
        <w:pStyle w:val="13"/>
        <w:ind w:firstLine="482"/>
      </w:pPr>
      <w:r w:rsidRPr="00E05BDA">
        <w:rPr>
          <w:rFonts w:hint="eastAsia"/>
          <w:b/>
          <w:bCs/>
        </w:rPr>
        <w:t xml:space="preserve">第十三条 </w:t>
      </w:r>
      <w:r>
        <w:rPr>
          <w:rFonts w:hint="eastAsia"/>
        </w:rPr>
        <w:t>下列产权不得交易：</w:t>
      </w:r>
    </w:p>
    <w:p w14:paraId="3DD59989" w14:textId="77777777" w:rsidR="006361A5" w:rsidRDefault="006361A5" w:rsidP="006361A5">
      <w:pPr>
        <w:pStyle w:val="13"/>
      </w:pPr>
      <w:r>
        <w:t>(</w:t>
      </w:r>
      <w:proofErr w:type="gramStart"/>
      <w:r>
        <w:t>一</w:t>
      </w:r>
      <w:proofErr w:type="gramEnd"/>
      <w:r>
        <w:t>)产权不明或者有争议的；</w:t>
      </w:r>
    </w:p>
    <w:p w14:paraId="466FE96C" w14:textId="77777777" w:rsidR="006361A5" w:rsidRDefault="006361A5" w:rsidP="006361A5">
      <w:pPr>
        <w:pStyle w:val="13"/>
      </w:pPr>
      <w:r>
        <w:t>(二)被设置抵押或者质押，未经抵押权人或者质押权人同意的；</w:t>
      </w:r>
    </w:p>
    <w:p w14:paraId="4E5AA71B" w14:textId="77777777" w:rsidR="006361A5" w:rsidRDefault="006361A5" w:rsidP="006361A5">
      <w:pPr>
        <w:pStyle w:val="13"/>
      </w:pPr>
      <w:r>
        <w:t>(三)被诉讼保全或者被依法强制执行，未经管辖法院或者依法强制执行的行政机关同意的；</w:t>
      </w:r>
    </w:p>
    <w:p w14:paraId="06C98C9B" w14:textId="77777777" w:rsidR="006361A5" w:rsidRDefault="006361A5" w:rsidP="006361A5">
      <w:pPr>
        <w:pStyle w:val="13"/>
      </w:pPr>
      <w:r>
        <w:t>(四)法律、法规或者规章禁止转让的。</w:t>
      </w:r>
    </w:p>
    <w:p w14:paraId="7D23C8F5" w14:textId="77777777" w:rsidR="006361A5" w:rsidRDefault="006361A5" w:rsidP="006361A5">
      <w:pPr>
        <w:pStyle w:val="13"/>
        <w:ind w:firstLine="482"/>
      </w:pPr>
      <w:r w:rsidRPr="00E05BDA">
        <w:rPr>
          <w:rFonts w:hint="eastAsia"/>
          <w:b/>
          <w:bCs/>
        </w:rPr>
        <w:t xml:space="preserve">第十四条 </w:t>
      </w:r>
      <w:r>
        <w:rPr>
          <w:rFonts w:hint="eastAsia"/>
        </w:rPr>
        <w:t>涉及国家安全、国防、尖端技术以及国家秘密的产权交易，按照国家有关规定执行。</w:t>
      </w:r>
    </w:p>
    <w:p w14:paraId="60E1571D" w14:textId="77777777" w:rsidR="006361A5" w:rsidRDefault="006361A5" w:rsidP="006361A5">
      <w:pPr>
        <w:pStyle w:val="13"/>
        <w:ind w:firstLine="482"/>
      </w:pPr>
      <w:r w:rsidRPr="00E05BDA">
        <w:rPr>
          <w:rFonts w:hint="eastAsia"/>
          <w:b/>
          <w:bCs/>
        </w:rPr>
        <w:t xml:space="preserve">第十五条 </w:t>
      </w:r>
      <w:r>
        <w:rPr>
          <w:rFonts w:hint="eastAsia"/>
        </w:rPr>
        <w:t>外商及港、澳、台商购买产权的，应当符合国家和山东省有关外商投资的规定和产业导向目录。</w:t>
      </w:r>
    </w:p>
    <w:p w14:paraId="3FD7D3F8" w14:textId="77777777" w:rsidR="006361A5" w:rsidRDefault="006361A5" w:rsidP="00AF7342">
      <w:pPr>
        <w:pStyle w:val="a9"/>
        <w:spacing w:before="62" w:after="62"/>
      </w:pPr>
      <w:r>
        <w:rPr>
          <w:rFonts w:hint="eastAsia"/>
        </w:rPr>
        <w:t xml:space="preserve">第四章 </w:t>
      </w:r>
      <w:r>
        <w:t>产权交易的程序</w:t>
      </w:r>
    </w:p>
    <w:p w14:paraId="55EBA22A" w14:textId="77777777" w:rsidR="006361A5" w:rsidRDefault="006361A5" w:rsidP="006361A5">
      <w:pPr>
        <w:pStyle w:val="13"/>
        <w:ind w:firstLine="482"/>
      </w:pPr>
      <w:r w:rsidRPr="00E05BDA">
        <w:rPr>
          <w:rFonts w:hint="eastAsia"/>
          <w:b/>
          <w:bCs/>
        </w:rPr>
        <w:t xml:space="preserve">第十六条 </w:t>
      </w:r>
      <w:r>
        <w:rPr>
          <w:rFonts w:hint="eastAsia"/>
        </w:rPr>
        <w:t>产权交易必须在依法设立的产权交易市场进行。</w:t>
      </w:r>
    </w:p>
    <w:p w14:paraId="4BB913A0" w14:textId="77777777" w:rsidR="006361A5" w:rsidRDefault="006361A5" w:rsidP="006361A5">
      <w:pPr>
        <w:pStyle w:val="13"/>
        <w:ind w:firstLine="482"/>
      </w:pPr>
      <w:r w:rsidRPr="00E05BDA">
        <w:rPr>
          <w:rFonts w:hint="eastAsia"/>
          <w:b/>
          <w:bCs/>
        </w:rPr>
        <w:t xml:space="preserve">第十七条 </w:t>
      </w:r>
      <w:r>
        <w:rPr>
          <w:rFonts w:hint="eastAsia"/>
        </w:rPr>
        <w:t>产权出让方申请进入产权交易市场交易的，应当向产权交易机构提交下列文件：</w:t>
      </w:r>
    </w:p>
    <w:p w14:paraId="1632D052" w14:textId="77777777" w:rsidR="006361A5" w:rsidRDefault="006361A5" w:rsidP="006361A5">
      <w:pPr>
        <w:pStyle w:val="13"/>
      </w:pPr>
      <w:r>
        <w:t>(</w:t>
      </w:r>
      <w:proofErr w:type="gramStart"/>
      <w:r>
        <w:t>一</w:t>
      </w:r>
      <w:proofErr w:type="gramEnd"/>
      <w:r>
        <w:t>)出让申请书；</w:t>
      </w:r>
    </w:p>
    <w:p w14:paraId="366EA28C" w14:textId="77777777" w:rsidR="006361A5" w:rsidRDefault="006361A5" w:rsidP="006361A5">
      <w:pPr>
        <w:pStyle w:val="13"/>
      </w:pPr>
      <w:r>
        <w:t>(二)出让资格证明；</w:t>
      </w:r>
    </w:p>
    <w:p w14:paraId="4D5E96A5" w14:textId="77777777" w:rsidR="006361A5" w:rsidRDefault="006361A5" w:rsidP="006361A5">
      <w:pPr>
        <w:pStyle w:val="13"/>
      </w:pPr>
      <w:r>
        <w:t>(三)产权权属证明以及国有资产管理机构或者相关部门准予出让的证明；</w:t>
      </w:r>
    </w:p>
    <w:p w14:paraId="40C62437" w14:textId="77777777" w:rsidR="006361A5" w:rsidRDefault="006361A5" w:rsidP="006361A5">
      <w:pPr>
        <w:pStyle w:val="13"/>
      </w:pPr>
      <w:r>
        <w:t>(四)企业职工代表大会或者股东大会的出让决议；</w:t>
      </w:r>
    </w:p>
    <w:p w14:paraId="0C681784" w14:textId="77777777" w:rsidR="006361A5" w:rsidRDefault="006361A5" w:rsidP="006361A5">
      <w:pPr>
        <w:pStyle w:val="13"/>
      </w:pPr>
      <w:r>
        <w:t>(五)出让产权和职工概况；</w:t>
      </w:r>
    </w:p>
    <w:p w14:paraId="105AEC03" w14:textId="77777777" w:rsidR="006361A5" w:rsidRDefault="006361A5" w:rsidP="006361A5">
      <w:pPr>
        <w:pStyle w:val="13"/>
      </w:pPr>
      <w:r>
        <w:lastRenderedPageBreak/>
        <w:t>(六)国有资产评估报告书以及国有资产管理机构或者相关部门核准或者备案的文件；</w:t>
      </w:r>
    </w:p>
    <w:p w14:paraId="0B1CE664" w14:textId="77777777" w:rsidR="006361A5" w:rsidRDefault="006361A5" w:rsidP="006361A5">
      <w:pPr>
        <w:pStyle w:val="13"/>
      </w:pPr>
      <w:r>
        <w:t>(七)债权方的债务处理意见书和律师事务所的法律意见书；</w:t>
      </w:r>
    </w:p>
    <w:p w14:paraId="6EBF3FC0" w14:textId="77777777" w:rsidR="006361A5" w:rsidRDefault="006361A5" w:rsidP="006361A5">
      <w:pPr>
        <w:pStyle w:val="13"/>
      </w:pPr>
      <w:r>
        <w:t>(八)其他有关材料。</w:t>
      </w:r>
    </w:p>
    <w:p w14:paraId="39FD9625" w14:textId="77777777" w:rsidR="006361A5" w:rsidRDefault="006361A5" w:rsidP="006361A5">
      <w:pPr>
        <w:pStyle w:val="13"/>
        <w:ind w:firstLine="482"/>
      </w:pPr>
      <w:r w:rsidRPr="00E05BDA">
        <w:rPr>
          <w:rFonts w:hint="eastAsia"/>
          <w:b/>
          <w:bCs/>
        </w:rPr>
        <w:t xml:space="preserve">第十八条 </w:t>
      </w:r>
      <w:r>
        <w:rPr>
          <w:rFonts w:hint="eastAsia"/>
        </w:rPr>
        <w:t>产权购买方申请进入产权交易市场交易的，应当向产权交易机构提交下列文件：</w:t>
      </w:r>
    </w:p>
    <w:p w14:paraId="5075EAC6" w14:textId="77777777" w:rsidR="006361A5" w:rsidRDefault="006361A5" w:rsidP="006361A5">
      <w:pPr>
        <w:pStyle w:val="13"/>
      </w:pPr>
      <w:r>
        <w:t>(</w:t>
      </w:r>
      <w:proofErr w:type="gramStart"/>
      <w:r>
        <w:t>一</w:t>
      </w:r>
      <w:proofErr w:type="gramEnd"/>
      <w:r>
        <w:t>)购买申请书；</w:t>
      </w:r>
    </w:p>
    <w:p w14:paraId="56BC85E5" w14:textId="77777777" w:rsidR="006361A5" w:rsidRDefault="006361A5" w:rsidP="006361A5">
      <w:pPr>
        <w:pStyle w:val="13"/>
      </w:pPr>
      <w:r>
        <w:t>(二)购买资格和资信证明；</w:t>
      </w:r>
    </w:p>
    <w:p w14:paraId="19698579" w14:textId="77777777" w:rsidR="006361A5" w:rsidRDefault="006361A5" w:rsidP="006361A5">
      <w:pPr>
        <w:pStyle w:val="13"/>
      </w:pPr>
      <w:r>
        <w:t>(三)购买后的发展方案、职工安置方案；</w:t>
      </w:r>
    </w:p>
    <w:p w14:paraId="0032404A" w14:textId="77777777" w:rsidR="006361A5" w:rsidRDefault="006361A5" w:rsidP="006361A5">
      <w:pPr>
        <w:pStyle w:val="13"/>
      </w:pPr>
      <w:r>
        <w:t>(四)国家和省规定的其他材料。购买属于专卖、专营等产权的，应当取得相应资格和条件，并向产权交易机构提交相关证明。</w:t>
      </w:r>
    </w:p>
    <w:p w14:paraId="22D8F561" w14:textId="77777777" w:rsidR="006361A5" w:rsidRDefault="006361A5" w:rsidP="006361A5">
      <w:pPr>
        <w:pStyle w:val="13"/>
        <w:ind w:firstLine="482"/>
      </w:pPr>
      <w:r w:rsidRPr="00E05BDA">
        <w:rPr>
          <w:rFonts w:hint="eastAsia"/>
          <w:b/>
          <w:bCs/>
        </w:rPr>
        <w:t xml:space="preserve">第十九条 </w:t>
      </w:r>
      <w:r>
        <w:rPr>
          <w:rFonts w:hint="eastAsia"/>
        </w:rPr>
        <w:t>产权交易出让方和购买方提交的文件，必须真实、合法、有效，不得有虚假、误导性内容或者有重大遗漏。</w:t>
      </w:r>
    </w:p>
    <w:p w14:paraId="784A614E" w14:textId="77777777" w:rsidR="006361A5" w:rsidRDefault="006361A5" w:rsidP="006361A5">
      <w:pPr>
        <w:pStyle w:val="13"/>
        <w:ind w:firstLine="482"/>
      </w:pPr>
      <w:r w:rsidRPr="00E05BDA">
        <w:rPr>
          <w:rFonts w:hint="eastAsia"/>
          <w:b/>
          <w:bCs/>
        </w:rPr>
        <w:t xml:space="preserve">第二十条 </w:t>
      </w:r>
      <w:r>
        <w:rPr>
          <w:rFonts w:hint="eastAsia"/>
        </w:rPr>
        <w:t>产权交易机构应当对产权出让方和购买方所提交文件的真实性进行书面审核，并自收到齐全文件之日起</w:t>
      </w:r>
      <w:r>
        <w:t>2日内，做出是否准予交易的答复；准予交易的，办理相关登记手续。</w:t>
      </w:r>
    </w:p>
    <w:p w14:paraId="5883D81C" w14:textId="77777777" w:rsidR="006361A5" w:rsidRDefault="006361A5" w:rsidP="006361A5">
      <w:pPr>
        <w:pStyle w:val="13"/>
        <w:ind w:firstLine="482"/>
      </w:pPr>
      <w:r w:rsidRPr="00E05BDA">
        <w:rPr>
          <w:rFonts w:hint="eastAsia"/>
          <w:b/>
          <w:bCs/>
        </w:rPr>
        <w:t xml:space="preserve">第二十一条 </w:t>
      </w:r>
      <w:r>
        <w:rPr>
          <w:rFonts w:hint="eastAsia"/>
        </w:rPr>
        <w:t>产权准予交易的，产权交易机构应当通过多种形式公开挂牌，及时向社会发布产权交易信息。</w:t>
      </w:r>
    </w:p>
    <w:p w14:paraId="55067DDE" w14:textId="77777777" w:rsidR="006361A5" w:rsidRDefault="006361A5" w:rsidP="006361A5">
      <w:pPr>
        <w:pStyle w:val="13"/>
      </w:pPr>
      <w:r>
        <w:rPr>
          <w:rFonts w:hint="eastAsia"/>
        </w:rPr>
        <w:t>挂牌期限不得少于</w:t>
      </w:r>
      <w:r>
        <w:t>15个工作日。</w:t>
      </w:r>
    </w:p>
    <w:p w14:paraId="7517835D" w14:textId="77777777" w:rsidR="006361A5" w:rsidRDefault="006361A5" w:rsidP="006361A5">
      <w:pPr>
        <w:pStyle w:val="13"/>
      </w:pPr>
      <w:r>
        <w:rPr>
          <w:rFonts w:hint="eastAsia"/>
        </w:rPr>
        <w:t>在挂牌期限内，未经产权交易机构同意，产权人不得撤回挂牌，不得改变挂牌价格。</w:t>
      </w:r>
    </w:p>
    <w:p w14:paraId="22177F32" w14:textId="77777777" w:rsidR="006361A5" w:rsidRDefault="006361A5" w:rsidP="006361A5">
      <w:pPr>
        <w:pStyle w:val="13"/>
        <w:ind w:firstLine="482"/>
      </w:pPr>
      <w:r w:rsidRPr="00E05BDA">
        <w:rPr>
          <w:rFonts w:hint="eastAsia"/>
          <w:b/>
          <w:bCs/>
        </w:rPr>
        <w:t xml:space="preserve">第二十二条 </w:t>
      </w:r>
      <w:r>
        <w:rPr>
          <w:rFonts w:hint="eastAsia"/>
        </w:rPr>
        <w:t>产权交易机构应当自挂牌期限届满之日起</w:t>
      </w:r>
      <w:r>
        <w:t>3日内，将挂牌结果告知产权出让方和购买方，并根据挂牌产权的购买申请情况确定交易方式，组织交易。</w:t>
      </w:r>
      <w:r>
        <w:rPr>
          <w:rFonts w:hint="eastAsia"/>
        </w:rPr>
        <w:t>只有</w:t>
      </w:r>
      <w:r>
        <w:t>1家提出购买申请的，可以采取协议的方式交易。有2家以上提出购买申请的，应当采取竞投、拍卖的方式交易；不适于采取竞投或者拍卖方式交易的，应当采取招标的方式交易。职工集体购买本单位产权的，应当按照行使出资人职责的人民政府批准的方式交易。</w:t>
      </w:r>
    </w:p>
    <w:p w14:paraId="7A77771B" w14:textId="77777777" w:rsidR="006361A5" w:rsidRDefault="006361A5" w:rsidP="006361A5">
      <w:pPr>
        <w:pStyle w:val="13"/>
        <w:ind w:firstLine="482"/>
      </w:pPr>
      <w:r w:rsidRPr="00E05BDA">
        <w:rPr>
          <w:rFonts w:hint="eastAsia"/>
          <w:b/>
          <w:bCs/>
        </w:rPr>
        <w:t xml:space="preserve">第二十三条 </w:t>
      </w:r>
      <w:r>
        <w:rPr>
          <w:rFonts w:hint="eastAsia"/>
        </w:rPr>
        <w:t>产权出让应当以评估值作为底价。出让价格低于底价出售的，出让方应当报同级国有资产管理机构批准。</w:t>
      </w:r>
    </w:p>
    <w:p w14:paraId="54212DC2" w14:textId="77777777" w:rsidR="006361A5" w:rsidRDefault="006361A5" w:rsidP="006361A5">
      <w:pPr>
        <w:pStyle w:val="13"/>
      </w:pPr>
      <w:r>
        <w:rPr>
          <w:rFonts w:hint="eastAsia"/>
        </w:rPr>
        <w:t>产权交易应当统一以人民币计价。</w:t>
      </w:r>
    </w:p>
    <w:p w14:paraId="17E55B7F" w14:textId="77777777" w:rsidR="006361A5" w:rsidRPr="00C81EE7" w:rsidRDefault="006361A5" w:rsidP="006361A5">
      <w:pPr>
        <w:pStyle w:val="13"/>
        <w:ind w:firstLine="482"/>
        <w:rPr>
          <w:b/>
          <w:bCs/>
        </w:rPr>
      </w:pPr>
      <w:r w:rsidRPr="00E05BDA">
        <w:rPr>
          <w:rFonts w:hint="eastAsia"/>
          <w:b/>
          <w:bCs/>
        </w:rPr>
        <w:t xml:space="preserve">第二十四条 </w:t>
      </w:r>
      <w:r>
        <w:rPr>
          <w:rFonts w:hint="eastAsia"/>
        </w:rPr>
        <w:t>产权交易双方达成一致意向后，应当参照规范的合同文本签订产</w:t>
      </w:r>
      <w:r w:rsidRPr="00772EED">
        <w:rPr>
          <w:rFonts w:hint="eastAsia"/>
        </w:rPr>
        <w:t>权交易合同。</w:t>
      </w:r>
    </w:p>
    <w:p w14:paraId="54F3DFD1" w14:textId="77777777" w:rsidR="006361A5" w:rsidRDefault="006361A5" w:rsidP="006361A5">
      <w:pPr>
        <w:pStyle w:val="13"/>
        <w:ind w:firstLine="482"/>
      </w:pPr>
      <w:r w:rsidRPr="00E05BDA">
        <w:rPr>
          <w:rFonts w:hint="eastAsia"/>
          <w:b/>
          <w:bCs/>
        </w:rPr>
        <w:t xml:space="preserve">第二十五条 </w:t>
      </w:r>
      <w:r>
        <w:rPr>
          <w:rFonts w:hint="eastAsia"/>
        </w:rPr>
        <w:t>产权交易合同应当包括下列条款：</w:t>
      </w:r>
    </w:p>
    <w:p w14:paraId="2ADE361C" w14:textId="77777777" w:rsidR="006361A5" w:rsidRDefault="006361A5" w:rsidP="006361A5">
      <w:pPr>
        <w:pStyle w:val="13"/>
      </w:pPr>
      <w:r>
        <w:t>(</w:t>
      </w:r>
      <w:proofErr w:type="gramStart"/>
      <w:r>
        <w:t>一</w:t>
      </w:r>
      <w:proofErr w:type="gramEnd"/>
      <w:r>
        <w:t>)出让方和购买方的名称(姓名)、住所、法定代表人姓名；</w:t>
      </w:r>
    </w:p>
    <w:p w14:paraId="29CE9A34" w14:textId="77777777" w:rsidR="006361A5" w:rsidRDefault="006361A5" w:rsidP="006361A5">
      <w:pPr>
        <w:pStyle w:val="13"/>
      </w:pPr>
      <w:r>
        <w:lastRenderedPageBreak/>
        <w:t>(二)出让标的、价格以及价款支付方式和期限；</w:t>
      </w:r>
    </w:p>
    <w:p w14:paraId="75FE820C" w14:textId="77777777" w:rsidR="006361A5" w:rsidRDefault="006361A5" w:rsidP="006361A5">
      <w:pPr>
        <w:pStyle w:val="13"/>
      </w:pPr>
      <w:r>
        <w:t>(三)出让标的</w:t>
      </w:r>
      <w:proofErr w:type="gramStart"/>
      <w:r>
        <w:t>的</w:t>
      </w:r>
      <w:proofErr w:type="gramEnd"/>
      <w:r>
        <w:t>债权、债务处理以及盈亏处理；</w:t>
      </w:r>
    </w:p>
    <w:p w14:paraId="3FCFF94D" w14:textId="77777777" w:rsidR="006361A5" w:rsidRDefault="006361A5" w:rsidP="006361A5">
      <w:pPr>
        <w:pStyle w:val="13"/>
      </w:pPr>
      <w:r>
        <w:t>(四)职工安置方案；</w:t>
      </w:r>
    </w:p>
    <w:p w14:paraId="289BCB07" w14:textId="77777777" w:rsidR="006361A5" w:rsidRDefault="006361A5" w:rsidP="006361A5">
      <w:pPr>
        <w:pStyle w:val="13"/>
      </w:pPr>
      <w:r>
        <w:t>(五)产权交易的税费负担；</w:t>
      </w:r>
    </w:p>
    <w:p w14:paraId="7BC88D07" w14:textId="77777777" w:rsidR="006361A5" w:rsidRDefault="006361A5" w:rsidP="006361A5">
      <w:pPr>
        <w:pStyle w:val="13"/>
      </w:pPr>
      <w:r>
        <w:t>(六)产权交割方式和期限；</w:t>
      </w:r>
    </w:p>
    <w:p w14:paraId="57D73C4E" w14:textId="77777777" w:rsidR="006361A5" w:rsidRDefault="006361A5" w:rsidP="006361A5">
      <w:pPr>
        <w:pStyle w:val="13"/>
      </w:pPr>
      <w:r>
        <w:t>(七)合同变更和解除条件；</w:t>
      </w:r>
    </w:p>
    <w:p w14:paraId="7731526D" w14:textId="77777777" w:rsidR="006361A5" w:rsidRDefault="006361A5" w:rsidP="006361A5">
      <w:pPr>
        <w:pStyle w:val="13"/>
      </w:pPr>
      <w:r>
        <w:t>(八)违反合同责任和合同争议解决方式；</w:t>
      </w:r>
    </w:p>
    <w:p w14:paraId="3A34147D" w14:textId="77777777" w:rsidR="006361A5" w:rsidRDefault="006361A5" w:rsidP="006361A5">
      <w:pPr>
        <w:pStyle w:val="13"/>
      </w:pPr>
      <w:r>
        <w:t>(九)签约日期；</w:t>
      </w:r>
    </w:p>
    <w:p w14:paraId="7B02C0AB" w14:textId="77777777" w:rsidR="006361A5" w:rsidRDefault="006361A5" w:rsidP="006361A5">
      <w:pPr>
        <w:pStyle w:val="13"/>
      </w:pPr>
      <w:r>
        <w:t>(十)需要约定的其他事项。</w:t>
      </w:r>
    </w:p>
    <w:p w14:paraId="33A66858" w14:textId="77777777" w:rsidR="006361A5" w:rsidRDefault="006361A5" w:rsidP="006361A5">
      <w:pPr>
        <w:pStyle w:val="13"/>
      </w:pPr>
      <w:r>
        <w:rPr>
          <w:rFonts w:hint="eastAsia"/>
        </w:rPr>
        <w:t>产权交易合同中关于债务条款的内容必须征得债权人书面同意。</w:t>
      </w:r>
    </w:p>
    <w:p w14:paraId="11FDB424" w14:textId="77777777" w:rsidR="006361A5" w:rsidRDefault="006361A5" w:rsidP="006361A5">
      <w:pPr>
        <w:pStyle w:val="13"/>
        <w:ind w:firstLine="482"/>
      </w:pPr>
      <w:r w:rsidRPr="00E05BDA">
        <w:rPr>
          <w:rFonts w:hint="eastAsia"/>
          <w:b/>
          <w:bCs/>
        </w:rPr>
        <w:t xml:space="preserve">第二十六条 </w:t>
      </w:r>
      <w:r>
        <w:rPr>
          <w:rFonts w:hint="eastAsia"/>
        </w:rPr>
        <w:t>产权交易机构应当对合同的合法性、真实性进行书面审核；审核合格的，应当及时向产权交易双方出具产权交易凭证。</w:t>
      </w:r>
    </w:p>
    <w:p w14:paraId="4CF47715" w14:textId="77777777" w:rsidR="006361A5" w:rsidRDefault="006361A5" w:rsidP="006361A5">
      <w:pPr>
        <w:pStyle w:val="13"/>
        <w:ind w:firstLine="482"/>
      </w:pPr>
      <w:r w:rsidRPr="00E05BDA">
        <w:rPr>
          <w:rFonts w:hint="eastAsia"/>
          <w:b/>
          <w:bCs/>
        </w:rPr>
        <w:t xml:space="preserve">第二十七条 </w:t>
      </w:r>
      <w:r>
        <w:rPr>
          <w:rFonts w:hint="eastAsia"/>
        </w:rPr>
        <w:t>产权交易双方应当凭产权交易机构出具的产权交易凭证和产权交易合同以及其他有关材料，分别到财政、银行、国有资产管理、工商行政管理、税务、土地、房产、社保等部门办理相关的变更手续。</w:t>
      </w:r>
    </w:p>
    <w:p w14:paraId="59894EB3" w14:textId="77777777" w:rsidR="006361A5" w:rsidRDefault="006361A5" w:rsidP="006361A5">
      <w:pPr>
        <w:pStyle w:val="13"/>
      </w:pPr>
      <w:r>
        <w:rPr>
          <w:rFonts w:hint="eastAsia"/>
        </w:rPr>
        <w:t>前款规定的部门应当在法定期限内办结有关变更手续。</w:t>
      </w:r>
    </w:p>
    <w:p w14:paraId="039CFC5A" w14:textId="77777777" w:rsidR="006361A5" w:rsidRDefault="006361A5" w:rsidP="006361A5">
      <w:pPr>
        <w:pStyle w:val="13"/>
        <w:ind w:firstLine="482"/>
      </w:pPr>
      <w:r w:rsidRPr="00E05BDA">
        <w:rPr>
          <w:rFonts w:hint="eastAsia"/>
          <w:b/>
          <w:bCs/>
        </w:rPr>
        <w:t xml:space="preserve">第二十八条 </w:t>
      </w:r>
      <w:r>
        <w:rPr>
          <w:rFonts w:hint="eastAsia"/>
        </w:rPr>
        <w:t>从事产权交易的，不得实施下列行为：</w:t>
      </w:r>
    </w:p>
    <w:p w14:paraId="3889BB93" w14:textId="77777777" w:rsidR="006361A5" w:rsidRDefault="006361A5" w:rsidP="006361A5">
      <w:pPr>
        <w:pStyle w:val="13"/>
      </w:pPr>
      <w:r>
        <w:t>(</w:t>
      </w:r>
      <w:proofErr w:type="gramStart"/>
      <w:r>
        <w:t>一</w:t>
      </w:r>
      <w:proofErr w:type="gramEnd"/>
      <w:r>
        <w:t>)产权未经评估以及评估值未经国有资产管理部门核准或者备案；</w:t>
      </w:r>
    </w:p>
    <w:p w14:paraId="16EDB6B2" w14:textId="77777777" w:rsidR="006361A5" w:rsidRDefault="006361A5" w:rsidP="006361A5">
      <w:pPr>
        <w:pStyle w:val="13"/>
      </w:pPr>
      <w:r>
        <w:t>(二)披露产权交易信息不完善或者有虚假、误导性内容；</w:t>
      </w:r>
    </w:p>
    <w:p w14:paraId="3886784C" w14:textId="77777777" w:rsidR="006361A5" w:rsidRDefault="006361A5" w:rsidP="006361A5">
      <w:pPr>
        <w:pStyle w:val="13"/>
      </w:pPr>
      <w:r>
        <w:t>(三)故意压低或者抬高交易价格和条件阻碍产权交易；</w:t>
      </w:r>
    </w:p>
    <w:p w14:paraId="19C1C6D7" w14:textId="77777777" w:rsidR="006361A5" w:rsidRDefault="006361A5" w:rsidP="006361A5">
      <w:pPr>
        <w:pStyle w:val="13"/>
      </w:pPr>
      <w:r>
        <w:t>(四)操纵产权交易市场；</w:t>
      </w:r>
    </w:p>
    <w:p w14:paraId="39F5E7AB" w14:textId="77777777" w:rsidR="006361A5" w:rsidRDefault="006361A5" w:rsidP="006361A5">
      <w:pPr>
        <w:pStyle w:val="13"/>
      </w:pPr>
      <w:r>
        <w:t>(五)在产权交易活动中恶意串通；</w:t>
      </w:r>
    </w:p>
    <w:p w14:paraId="29C5627D" w14:textId="77777777" w:rsidR="006361A5" w:rsidRDefault="006361A5" w:rsidP="006361A5">
      <w:pPr>
        <w:pStyle w:val="13"/>
      </w:pPr>
      <w:r>
        <w:t>(六)产权交易机构及其工作人员作为出让方、购买方或者第三方参与交易；</w:t>
      </w:r>
    </w:p>
    <w:p w14:paraId="1460274F" w14:textId="77777777" w:rsidR="006361A5" w:rsidRDefault="006361A5" w:rsidP="006361A5">
      <w:pPr>
        <w:pStyle w:val="13"/>
      </w:pPr>
      <w:r>
        <w:t>(七)法律、法规和规章禁止的其他行为。</w:t>
      </w:r>
    </w:p>
    <w:p w14:paraId="47D0C9A1" w14:textId="77777777" w:rsidR="006361A5" w:rsidRDefault="006361A5" w:rsidP="006361A5">
      <w:pPr>
        <w:pStyle w:val="13"/>
        <w:ind w:firstLine="482"/>
      </w:pPr>
      <w:r w:rsidRPr="00E05BDA">
        <w:rPr>
          <w:rFonts w:hint="eastAsia"/>
          <w:b/>
          <w:bCs/>
        </w:rPr>
        <w:t xml:space="preserve">第二十九条 </w:t>
      </w:r>
      <w:r>
        <w:rPr>
          <w:rFonts w:hint="eastAsia"/>
        </w:rPr>
        <w:t>产权交易期间有下列情形之一的，产权交易应当中止：</w:t>
      </w:r>
    </w:p>
    <w:p w14:paraId="2FD40DB7" w14:textId="77777777" w:rsidR="006361A5" w:rsidRDefault="006361A5" w:rsidP="006361A5">
      <w:pPr>
        <w:pStyle w:val="13"/>
      </w:pPr>
      <w:r>
        <w:t>(</w:t>
      </w:r>
      <w:proofErr w:type="gramStart"/>
      <w:r>
        <w:t>一</w:t>
      </w:r>
      <w:proofErr w:type="gramEnd"/>
      <w:r>
        <w:t>)第三方对出让的产权提出异议尚未裁决的；</w:t>
      </w:r>
    </w:p>
    <w:p w14:paraId="751EF25B" w14:textId="77777777" w:rsidR="006361A5" w:rsidRDefault="006361A5" w:rsidP="006361A5">
      <w:pPr>
        <w:pStyle w:val="13"/>
      </w:pPr>
      <w:r>
        <w:t>(二)因不可抗力致使产权交易活动不能进行的；</w:t>
      </w:r>
    </w:p>
    <w:p w14:paraId="3F4474D6" w14:textId="77777777" w:rsidR="006361A5" w:rsidRDefault="006361A5" w:rsidP="006361A5">
      <w:pPr>
        <w:pStyle w:val="13"/>
      </w:pPr>
      <w:r>
        <w:t>(三)法律、法规规定应当中止的其他情形。</w:t>
      </w:r>
    </w:p>
    <w:p w14:paraId="4042FF3F" w14:textId="77777777" w:rsidR="006361A5" w:rsidRDefault="006361A5" w:rsidP="006361A5">
      <w:pPr>
        <w:pStyle w:val="13"/>
        <w:ind w:firstLine="482"/>
      </w:pPr>
      <w:r w:rsidRPr="00E05BDA">
        <w:rPr>
          <w:rFonts w:hint="eastAsia"/>
          <w:b/>
          <w:bCs/>
        </w:rPr>
        <w:t xml:space="preserve">第三十条 </w:t>
      </w:r>
      <w:r>
        <w:rPr>
          <w:rFonts w:hint="eastAsia"/>
        </w:rPr>
        <w:t>产权交易期间有下列情形之一的，产权交易应当终止：</w:t>
      </w:r>
    </w:p>
    <w:p w14:paraId="6546F4FE" w14:textId="77777777" w:rsidR="006361A5" w:rsidRDefault="006361A5" w:rsidP="006361A5">
      <w:pPr>
        <w:pStyle w:val="13"/>
      </w:pPr>
      <w:r>
        <w:t>(</w:t>
      </w:r>
      <w:proofErr w:type="gramStart"/>
      <w:r>
        <w:t>一</w:t>
      </w:r>
      <w:proofErr w:type="gramEnd"/>
      <w:r>
        <w:t>)出让方或者购买方向产权交易机构提出终止交易的申请并经产权交易机构确认的；</w:t>
      </w:r>
    </w:p>
    <w:p w14:paraId="6E319DB2" w14:textId="77777777" w:rsidR="006361A5" w:rsidRDefault="006361A5" w:rsidP="006361A5">
      <w:pPr>
        <w:pStyle w:val="13"/>
      </w:pPr>
      <w:r>
        <w:t>(二)司法部门或者国有资产管理机构发出终止交易书面通知的；</w:t>
      </w:r>
    </w:p>
    <w:p w14:paraId="007BA550" w14:textId="77777777" w:rsidR="006361A5" w:rsidRDefault="006361A5" w:rsidP="006361A5">
      <w:pPr>
        <w:pStyle w:val="13"/>
      </w:pPr>
      <w:r>
        <w:t>(三)因不可抗力造成产权自然灭失的；</w:t>
      </w:r>
    </w:p>
    <w:p w14:paraId="2281940E" w14:textId="77777777" w:rsidR="006361A5" w:rsidRDefault="006361A5" w:rsidP="006361A5">
      <w:pPr>
        <w:pStyle w:val="13"/>
      </w:pPr>
      <w:r>
        <w:t>(四)法律、法规规定应当终止的其他情形。</w:t>
      </w:r>
    </w:p>
    <w:p w14:paraId="60199415" w14:textId="77777777" w:rsidR="006361A5" w:rsidRDefault="006361A5" w:rsidP="00AF7342">
      <w:pPr>
        <w:pStyle w:val="a9"/>
        <w:spacing w:before="62" w:after="62"/>
      </w:pPr>
      <w:r>
        <w:rPr>
          <w:rFonts w:hint="eastAsia"/>
        </w:rPr>
        <w:lastRenderedPageBreak/>
        <w:t>第五章 法律责任</w:t>
      </w:r>
    </w:p>
    <w:p w14:paraId="5052DB68" w14:textId="77777777" w:rsidR="006361A5" w:rsidRDefault="006361A5" w:rsidP="006361A5">
      <w:pPr>
        <w:pStyle w:val="13"/>
        <w:ind w:firstLine="482"/>
      </w:pPr>
      <w:r w:rsidRPr="003B2FB1">
        <w:rPr>
          <w:rFonts w:hint="eastAsia"/>
          <w:b/>
          <w:bCs/>
        </w:rPr>
        <w:t xml:space="preserve">第三十一条 </w:t>
      </w:r>
      <w:r>
        <w:rPr>
          <w:rFonts w:hint="eastAsia"/>
        </w:rPr>
        <w:t>产权出让方违反本办法规定，未进入产权交易市场交易的，对其直接负责的主管人员和其他直接责任人员依法予以行政处分；构成犯罪的，依法追究刑事责任。</w:t>
      </w:r>
    </w:p>
    <w:p w14:paraId="15B80AFD" w14:textId="77777777" w:rsidR="006361A5" w:rsidRDefault="006361A5" w:rsidP="006361A5">
      <w:pPr>
        <w:pStyle w:val="13"/>
        <w:ind w:firstLine="482"/>
      </w:pPr>
      <w:r w:rsidRPr="003B2FB1">
        <w:rPr>
          <w:rFonts w:hint="eastAsia"/>
          <w:b/>
          <w:bCs/>
        </w:rPr>
        <w:t xml:space="preserve">第三十二条 </w:t>
      </w:r>
      <w:r>
        <w:rPr>
          <w:rFonts w:hint="eastAsia"/>
        </w:rPr>
        <w:t>政府有关部门违反本办法规定，有下列情形之一的，对直接负责的主管人员和其他直接责任人员，依法追究行政责任；构成犯罪的，依法追究刑事责任：</w:t>
      </w:r>
    </w:p>
    <w:p w14:paraId="508A3618" w14:textId="77777777" w:rsidR="006361A5" w:rsidRDefault="006361A5" w:rsidP="006361A5">
      <w:pPr>
        <w:pStyle w:val="13"/>
      </w:pPr>
      <w:r>
        <w:t>(</w:t>
      </w:r>
      <w:proofErr w:type="gramStart"/>
      <w:r>
        <w:t>一</w:t>
      </w:r>
      <w:proofErr w:type="gramEnd"/>
      <w:r>
        <w:t>)违反规定批准产权出让的；</w:t>
      </w:r>
    </w:p>
    <w:p w14:paraId="614A1AAC" w14:textId="77777777" w:rsidR="006361A5" w:rsidRDefault="006361A5" w:rsidP="006361A5">
      <w:pPr>
        <w:pStyle w:val="13"/>
      </w:pPr>
      <w:r>
        <w:t>(二)对未进入产权交易市场交易的产权办理变更手续的；</w:t>
      </w:r>
    </w:p>
    <w:p w14:paraId="72EE1E29" w14:textId="77777777" w:rsidR="006361A5" w:rsidRDefault="006361A5" w:rsidP="006361A5">
      <w:pPr>
        <w:pStyle w:val="13"/>
      </w:pPr>
      <w:r>
        <w:t>(三)对进入产权交易市场交易的产权无故拖延办理或者不办理变更手续的。</w:t>
      </w:r>
    </w:p>
    <w:p w14:paraId="3407F764" w14:textId="77777777" w:rsidR="006361A5" w:rsidRDefault="006361A5" w:rsidP="006361A5">
      <w:pPr>
        <w:pStyle w:val="13"/>
        <w:ind w:firstLine="482"/>
      </w:pPr>
      <w:r w:rsidRPr="003B2FB1">
        <w:rPr>
          <w:rFonts w:hint="eastAsia"/>
          <w:b/>
          <w:bCs/>
        </w:rPr>
        <w:t xml:space="preserve">第三十三条 </w:t>
      </w:r>
      <w:r>
        <w:rPr>
          <w:rFonts w:hint="eastAsia"/>
        </w:rPr>
        <w:t>为产权交易提供资产评估报告书、债务处理意见书或者法律意见书的专业机构弄虚作假，造成国有资产流失或者他人损失的，应当就其所负责的内容依法承担赔偿责任；情节严重的，应当按照法律、法规的规定对其进行处罚；构成犯罪的，依法追究刑事责任。</w:t>
      </w:r>
    </w:p>
    <w:p w14:paraId="30AA91C5" w14:textId="77777777" w:rsidR="006361A5" w:rsidRDefault="006361A5" w:rsidP="006361A5">
      <w:pPr>
        <w:pStyle w:val="13"/>
        <w:ind w:firstLine="482"/>
      </w:pPr>
      <w:r w:rsidRPr="003B2FB1">
        <w:rPr>
          <w:rFonts w:hint="eastAsia"/>
          <w:b/>
          <w:bCs/>
        </w:rPr>
        <w:t xml:space="preserve">第三十四条 </w:t>
      </w:r>
      <w:r>
        <w:rPr>
          <w:rFonts w:hint="eastAsia"/>
        </w:rPr>
        <w:t>产权交易出让方和购买方违反本办法规定，故意提交有虚假、误导性内容或者有重大遗漏的文件，造成国有资产流失或者他人损失的，应当依法承担赔偿责任；构成犯罪的，依法追究刑事责任。</w:t>
      </w:r>
    </w:p>
    <w:p w14:paraId="1AA6EF43" w14:textId="77777777" w:rsidR="006361A5" w:rsidRDefault="006361A5" w:rsidP="006361A5">
      <w:pPr>
        <w:pStyle w:val="13"/>
        <w:ind w:firstLine="482"/>
      </w:pPr>
      <w:r w:rsidRPr="003B2FB1">
        <w:rPr>
          <w:rFonts w:hint="eastAsia"/>
          <w:b/>
          <w:bCs/>
        </w:rPr>
        <w:t xml:space="preserve">第三十五条 </w:t>
      </w:r>
      <w:r>
        <w:rPr>
          <w:rFonts w:hint="eastAsia"/>
        </w:rPr>
        <w:t>产权交易双方提交文件不真实或者不齐全，产权交易机构准予其进入产权交易市场交易的，应当对产权交易机构予以警告，并处</w:t>
      </w:r>
      <w:r>
        <w:t>3万元以下罚款；造成损失的，产权交易机构应当依法予以赔偿。</w:t>
      </w:r>
    </w:p>
    <w:p w14:paraId="113595C4" w14:textId="77777777" w:rsidR="006361A5" w:rsidRDefault="006361A5" w:rsidP="006361A5">
      <w:pPr>
        <w:pStyle w:val="13"/>
        <w:ind w:firstLine="482"/>
      </w:pPr>
      <w:r w:rsidRPr="003B2FB1">
        <w:rPr>
          <w:rFonts w:hint="eastAsia"/>
          <w:b/>
          <w:bCs/>
        </w:rPr>
        <w:t xml:space="preserve">第三十六条 </w:t>
      </w:r>
      <w:r>
        <w:rPr>
          <w:rFonts w:hint="eastAsia"/>
        </w:rPr>
        <w:t>产权交易机构违反本办法规定，出具虚假产权交易凭证的，应当处</w:t>
      </w:r>
      <w:r>
        <w:t>3万元以下罚款；给产权交易当事人造成损失的，应当依法承担赔偿责任；构成犯罪的，依法追究刑事责任。</w:t>
      </w:r>
    </w:p>
    <w:p w14:paraId="4FBF2B10" w14:textId="77777777" w:rsidR="006361A5" w:rsidRDefault="006361A5" w:rsidP="006361A5">
      <w:pPr>
        <w:pStyle w:val="13"/>
        <w:ind w:firstLine="482"/>
      </w:pPr>
      <w:r w:rsidRPr="003B2FB1">
        <w:rPr>
          <w:rFonts w:hint="eastAsia"/>
          <w:b/>
          <w:bCs/>
        </w:rPr>
        <w:t xml:space="preserve">第三十七条 </w:t>
      </w:r>
      <w:r>
        <w:rPr>
          <w:rFonts w:hint="eastAsia"/>
        </w:rPr>
        <w:t>产权交易机构以及产权交易当事人违反本办法第二十八条规定的，应当依法予以警告；情节严重的，并处</w:t>
      </w:r>
      <w:r>
        <w:t>3万元以下罚款；造成损失的，应当依法承担赔偿责任；构成犯罪的，依法追究刑事责任。</w:t>
      </w:r>
    </w:p>
    <w:p w14:paraId="73E3DAC1" w14:textId="77777777" w:rsidR="006361A5" w:rsidRDefault="006361A5" w:rsidP="006361A5">
      <w:pPr>
        <w:pStyle w:val="13"/>
        <w:ind w:firstLine="482"/>
      </w:pPr>
      <w:r w:rsidRPr="003B2FB1">
        <w:rPr>
          <w:rFonts w:hint="eastAsia"/>
          <w:b/>
          <w:bCs/>
        </w:rPr>
        <w:t xml:space="preserve">第三十八条 </w:t>
      </w:r>
      <w:r>
        <w:rPr>
          <w:rFonts w:hint="eastAsia"/>
        </w:rPr>
        <w:t>本办法规定的行政处罚，由有关部门按其法定职责执行。</w:t>
      </w:r>
    </w:p>
    <w:p w14:paraId="074C0512" w14:textId="77777777" w:rsidR="006361A5" w:rsidRDefault="006361A5" w:rsidP="00AF7342">
      <w:pPr>
        <w:pStyle w:val="a9"/>
        <w:spacing w:before="62" w:after="62"/>
      </w:pPr>
      <w:r>
        <w:rPr>
          <w:rFonts w:hint="eastAsia"/>
        </w:rPr>
        <w:t>第六章 附则</w:t>
      </w:r>
    </w:p>
    <w:p w14:paraId="0A6B26D5" w14:textId="77777777" w:rsidR="006361A5" w:rsidRDefault="006361A5" w:rsidP="006361A5">
      <w:pPr>
        <w:pStyle w:val="13"/>
        <w:ind w:firstLine="482"/>
      </w:pPr>
      <w:r w:rsidRPr="003B2FB1">
        <w:rPr>
          <w:rFonts w:hint="eastAsia"/>
          <w:b/>
          <w:bCs/>
        </w:rPr>
        <w:t xml:space="preserve">第三十九条 </w:t>
      </w:r>
      <w:r>
        <w:rPr>
          <w:rFonts w:hint="eastAsia"/>
        </w:rPr>
        <w:t>本办法所称竞投方式，是指在公开挂牌期限届满，有</w:t>
      </w:r>
      <w:r>
        <w:t>2家以上购买的，产权交易机构与出让方协商确定除出让价格以外的其他出让条件后，按价高者得的原则，以公开、集中竞价方式确定受让方的交易方式。</w:t>
      </w:r>
    </w:p>
    <w:p w14:paraId="4BBD820F" w14:textId="77777777" w:rsidR="006361A5" w:rsidRDefault="006361A5" w:rsidP="006361A5">
      <w:pPr>
        <w:pStyle w:val="13"/>
        <w:ind w:firstLine="482"/>
      </w:pPr>
      <w:r w:rsidRPr="003B2FB1">
        <w:rPr>
          <w:rFonts w:hint="eastAsia"/>
          <w:b/>
          <w:bCs/>
        </w:rPr>
        <w:t xml:space="preserve">第四十条 </w:t>
      </w:r>
      <w:r>
        <w:rPr>
          <w:rFonts w:hint="eastAsia"/>
        </w:rPr>
        <w:t>集体产权的交易参照本办法执行。</w:t>
      </w:r>
    </w:p>
    <w:p w14:paraId="40335AA2" w14:textId="6345C90A" w:rsidR="006361A5" w:rsidRDefault="006361A5" w:rsidP="006361A5">
      <w:pPr>
        <w:pStyle w:val="13"/>
        <w:ind w:firstLineChars="0"/>
      </w:pPr>
      <w:r w:rsidRPr="003B2FB1">
        <w:rPr>
          <w:rFonts w:hint="eastAsia"/>
          <w:b/>
          <w:bCs/>
        </w:rPr>
        <w:t xml:space="preserve">第四十一条 </w:t>
      </w:r>
      <w:r>
        <w:rPr>
          <w:rFonts w:hint="eastAsia"/>
        </w:rPr>
        <w:t>本办法自</w:t>
      </w:r>
      <w:r>
        <w:t>2004年1月1日起施行。</w:t>
      </w:r>
    </w:p>
    <w:p w14:paraId="073E62AC" w14:textId="77777777" w:rsidR="006361A5" w:rsidRDefault="006361A5" w:rsidP="006361A5">
      <w:pPr>
        <w:pStyle w:val="13"/>
        <w:ind w:firstLineChars="0"/>
      </w:pPr>
    </w:p>
    <w:p w14:paraId="2970ECF9" w14:textId="77777777" w:rsidR="006361A5" w:rsidRDefault="006361A5" w:rsidP="006361A5">
      <w:pPr>
        <w:pStyle w:val="31"/>
        <w:spacing w:before="156" w:after="62"/>
      </w:pPr>
      <w:bookmarkStart w:id="255" w:name="_Toc81833488"/>
      <w:r>
        <w:rPr>
          <w:rFonts w:hint="eastAsia"/>
        </w:rPr>
        <w:lastRenderedPageBreak/>
        <w:t>《山东省国资委关于印发省属企业资产评估项目专家评审办法的通知》</w:t>
      </w:r>
      <w:r>
        <w:br/>
      </w:r>
      <w:r>
        <w:rPr>
          <w:rFonts w:hint="eastAsia"/>
        </w:rPr>
        <w:t>（鲁国资产权〔</w:t>
      </w:r>
      <w:r>
        <w:t>2016〕3号）</w:t>
      </w:r>
      <w:bookmarkEnd w:id="255"/>
    </w:p>
    <w:p w14:paraId="6C3FD7AF" w14:textId="77777777" w:rsidR="006361A5" w:rsidRDefault="006361A5" w:rsidP="00AF7342">
      <w:pPr>
        <w:pStyle w:val="a9"/>
        <w:spacing w:before="62" w:after="62"/>
      </w:pPr>
      <w:r>
        <w:rPr>
          <w:rFonts w:hint="eastAsia"/>
        </w:rPr>
        <w:t xml:space="preserve">第一章 </w:t>
      </w:r>
      <w:r>
        <w:t>总则</w:t>
      </w:r>
    </w:p>
    <w:p w14:paraId="68423C7F" w14:textId="77777777" w:rsidR="006361A5" w:rsidRDefault="006361A5" w:rsidP="006361A5">
      <w:pPr>
        <w:pStyle w:val="13"/>
        <w:ind w:firstLine="482"/>
      </w:pPr>
      <w:r w:rsidRPr="004E3EBB">
        <w:rPr>
          <w:b/>
          <w:bCs/>
        </w:rPr>
        <w:t xml:space="preserve">第一条 </w:t>
      </w:r>
      <w:r>
        <w:t>为进一步加强省属企业资产评估管理工作，完善资产评估工作体系，规范资产评估项目核准、备案程序，根据《企业国有资产法》、《资产评估法》、《企业国有资产评估管理暂行办法》（国务院国资委令第12号）等法律法规，制定本办法。</w:t>
      </w:r>
    </w:p>
    <w:p w14:paraId="5017D1F1" w14:textId="77777777" w:rsidR="006361A5" w:rsidRDefault="006361A5" w:rsidP="006361A5">
      <w:pPr>
        <w:pStyle w:val="13"/>
        <w:ind w:firstLine="482"/>
      </w:pPr>
      <w:r w:rsidRPr="004E3EBB">
        <w:rPr>
          <w:rFonts w:hint="eastAsia"/>
          <w:b/>
          <w:bCs/>
        </w:rPr>
        <w:t xml:space="preserve">第二条 </w:t>
      </w:r>
      <w:r>
        <w:t>本办法所称专家评审，</w:t>
      </w:r>
      <w:proofErr w:type="gramStart"/>
      <w:r>
        <w:t>是指省国资委</w:t>
      </w:r>
      <w:proofErr w:type="gramEnd"/>
      <w:r>
        <w:t>或省属企业根据工作需要组织有关专家，依据相关法律法规、规章制度和评估准则，对评估报告的完整性、规范性以及评估结论的公允性进行专业性审查和评价，为资产评估项目的核准或备案提供依据的工作。</w:t>
      </w:r>
    </w:p>
    <w:p w14:paraId="3CDDE36B" w14:textId="77777777" w:rsidR="006361A5" w:rsidRDefault="006361A5" w:rsidP="006361A5">
      <w:pPr>
        <w:pStyle w:val="13"/>
        <w:ind w:firstLine="482"/>
      </w:pPr>
      <w:r w:rsidRPr="004E3EBB">
        <w:rPr>
          <w:rFonts w:hint="eastAsia"/>
          <w:b/>
          <w:bCs/>
        </w:rPr>
        <w:t xml:space="preserve">第三条 </w:t>
      </w:r>
      <w:r>
        <w:t>省属企业及各级控制企业资产评估项目的专家评审工作，适用本办法。</w:t>
      </w:r>
    </w:p>
    <w:p w14:paraId="276A43AF" w14:textId="77777777" w:rsidR="006361A5" w:rsidRDefault="006361A5" w:rsidP="006361A5">
      <w:pPr>
        <w:pStyle w:val="13"/>
        <w:ind w:firstLine="482"/>
      </w:pPr>
      <w:r w:rsidRPr="004E3EBB">
        <w:rPr>
          <w:rFonts w:hint="eastAsia"/>
          <w:b/>
          <w:bCs/>
        </w:rPr>
        <w:t xml:space="preserve">第四条 </w:t>
      </w:r>
      <w:r>
        <w:t>省国资委核准或备案的资产评估项目由省国资委负责组织专家评审工作；省属企业备案的资产评估项目由省属企业负责组织专家评审工作。</w:t>
      </w:r>
    </w:p>
    <w:p w14:paraId="32B352D0" w14:textId="77777777" w:rsidR="006361A5" w:rsidRDefault="006361A5" w:rsidP="006361A5">
      <w:pPr>
        <w:pStyle w:val="13"/>
        <w:ind w:firstLine="482"/>
      </w:pPr>
      <w:r w:rsidRPr="004E3EBB">
        <w:rPr>
          <w:rFonts w:hint="eastAsia"/>
          <w:b/>
          <w:bCs/>
        </w:rPr>
        <w:t xml:space="preserve">第五条 </w:t>
      </w:r>
      <w:r>
        <w:t>省国资委负责核准或备案的资产评估项目，均通过专家评审方式进行审核。</w:t>
      </w:r>
    </w:p>
    <w:p w14:paraId="247CBEEB" w14:textId="77777777" w:rsidR="006361A5" w:rsidRDefault="006361A5" w:rsidP="006361A5">
      <w:pPr>
        <w:pStyle w:val="13"/>
      </w:pPr>
      <w:r>
        <w:rPr>
          <w:rFonts w:hint="eastAsia"/>
        </w:rPr>
        <w:t>省属企业负责备案的资产评估项目，由省属企业决定通过专家评审方式进行审核的范围。其中，重大资产评估项目应当通过专家评审方式进行审核。各省属企业应当根据资产评估项目的经济行为重要程度、涉及资产金额大小等因素，合理确定重大资产评估项目标准。</w:t>
      </w:r>
    </w:p>
    <w:p w14:paraId="60B5108A" w14:textId="77777777" w:rsidR="006361A5" w:rsidRDefault="006361A5" w:rsidP="006361A5">
      <w:pPr>
        <w:pStyle w:val="13"/>
        <w:ind w:firstLine="482"/>
      </w:pPr>
      <w:r w:rsidRPr="004E3EBB">
        <w:rPr>
          <w:rFonts w:hint="eastAsia"/>
          <w:b/>
          <w:bCs/>
        </w:rPr>
        <w:t xml:space="preserve">第六条 </w:t>
      </w:r>
      <w:r>
        <w:t>省国资委负责资产评估项目评审专家库的建设、管理和使用监督等工作。</w:t>
      </w:r>
    </w:p>
    <w:p w14:paraId="1D486FCD" w14:textId="77777777" w:rsidR="006361A5" w:rsidRDefault="006361A5" w:rsidP="006361A5">
      <w:pPr>
        <w:pStyle w:val="13"/>
        <w:ind w:firstLine="482"/>
      </w:pPr>
      <w:r w:rsidRPr="004E3EBB">
        <w:rPr>
          <w:rFonts w:hint="eastAsia"/>
          <w:b/>
          <w:bCs/>
        </w:rPr>
        <w:t xml:space="preserve">第七条 </w:t>
      </w:r>
      <w:r>
        <w:t>省属企业资产评估专家评审工作，由省国资委或省属企业从评审专家库中选择的专家承担。</w:t>
      </w:r>
    </w:p>
    <w:p w14:paraId="7EF5D400" w14:textId="77777777" w:rsidR="006361A5" w:rsidRDefault="006361A5" w:rsidP="00AF7342">
      <w:pPr>
        <w:pStyle w:val="a9"/>
        <w:spacing w:before="62" w:after="62"/>
      </w:pPr>
      <w:r>
        <w:t>第二章</w:t>
      </w:r>
      <w:r>
        <w:rPr>
          <w:rFonts w:hint="eastAsia"/>
        </w:rPr>
        <w:t xml:space="preserve"> </w:t>
      </w:r>
      <w:r>
        <w:t>评审专家管理</w:t>
      </w:r>
    </w:p>
    <w:p w14:paraId="37D2FD9C" w14:textId="77777777" w:rsidR="006361A5" w:rsidRDefault="006361A5" w:rsidP="006361A5">
      <w:pPr>
        <w:pStyle w:val="13"/>
        <w:ind w:firstLine="482"/>
      </w:pPr>
      <w:r w:rsidRPr="004E3EBB">
        <w:rPr>
          <w:b/>
          <w:bCs/>
        </w:rPr>
        <w:t xml:space="preserve">第八条 </w:t>
      </w:r>
      <w:r>
        <w:t>评审专家主要包括资产评估、土地估价、房地产估价、矿业权评估等领域的专业人员以及省属企业相关专业人员。评审专家应具备以下基本条件：</w:t>
      </w:r>
    </w:p>
    <w:p w14:paraId="34581C05" w14:textId="77777777" w:rsidR="006361A5" w:rsidRDefault="006361A5" w:rsidP="006361A5">
      <w:pPr>
        <w:pStyle w:val="13"/>
      </w:pPr>
      <w:r>
        <w:rPr>
          <w:rFonts w:hint="eastAsia"/>
        </w:rPr>
        <w:t>（一）具备良好的政治素质和职业道德，能够独立、客观、公正的提出审核意见；</w:t>
      </w:r>
    </w:p>
    <w:p w14:paraId="3337B732" w14:textId="77777777" w:rsidR="006361A5" w:rsidRDefault="006361A5" w:rsidP="006361A5">
      <w:pPr>
        <w:pStyle w:val="13"/>
      </w:pPr>
      <w:r>
        <w:rPr>
          <w:rFonts w:hint="eastAsia"/>
        </w:rPr>
        <w:t>（二）具备资产评估师、矿业权评估师等相关执业资格或相关专业高级职称的一种或多种，具有丰富的专业知识、工作经验以及较高的业务能力。其中，在评估机构工作的专业人员，需要执业</w:t>
      </w:r>
      <w:r>
        <w:t>8年以上；</w:t>
      </w:r>
    </w:p>
    <w:p w14:paraId="7B7BC8A9" w14:textId="77777777" w:rsidR="006361A5" w:rsidRDefault="006361A5" w:rsidP="006361A5">
      <w:pPr>
        <w:pStyle w:val="13"/>
      </w:pPr>
      <w:r>
        <w:rPr>
          <w:rFonts w:hint="eastAsia"/>
        </w:rPr>
        <w:t>（三）无违法、违规执业记录，未受过处罚、处分；</w:t>
      </w:r>
    </w:p>
    <w:p w14:paraId="56CDF0E2" w14:textId="77777777" w:rsidR="006361A5" w:rsidRDefault="006361A5" w:rsidP="006361A5">
      <w:pPr>
        <w:pStyle w:val="13"/>
      </w:pPr>
      <w:r>
        <w:rPr>
          <w:rFonts w:hint="eastAsia"/>
        </w:rPr>
        <w:t>（四）身体健康，能够胜任审核工作。</w:t>
      </w:r>
    </w:p>
    <w:p w14:paraId="359EE0C0" w14:textId="77777777" w:rsidR="006361A5" w:rsidRDefault="006361A5" w:rsidP="006361A5">
      <w:pPr>
        <w:pStyle w:val="13"/>
        <w:ind w:firstLine="482"/>
      </w:pPr>
      <w:r w:rsidRPr="00E05BDA">
        <w:rPr>
          <w:rFonts w:hint="eastAsia"/>
          <w:b/>
          <w:bCs/>
        </w:rPr>
        <w:t xml:space="preserve">第九条 </w:t>
      </w:r>
      <w:r>
        <w:t>专业人员符合本办法规定条件的，可通过由行业协会、省属企业、评估机构等单位推荐的方式提出入库申请，省国资委按照公开、公平、公正、择优的原则</w:t>
      </w:r>
      <w:r>
        <w:lastRenderedPageBreak/>
        <w:t>确定拟入库人选，通过省国资委网站公示无异议后，纳入</w:t>
      </w:r>
      <w:proofErr w:type="gramStart"/>
      <w:r>
        <w:t>专家库并通告</w:t>
      </w:r>
      <w:proofErr w:type="gramEnd"/>
      <w:r>
        <w:t>各省属企业。</w:t>
      </w:r>
    </w:p>
    <w:p w14:paraId="2B20E6A4" w14:textId="77777777" w:rsidR="006361A5" w:rsidRDefault="006361A5" w:rsidP="006361A5">
      <w:pPr>
        <w:pStyle w:val="13"/>
        <w:ind w:firstLine="482"/>
      </w:pPr>
      <w:r w:rsidRPr="00E05BDA">
        <w:rPr>
          <w:rFonts w:hint="eastAsia"/>
          <w:b/>
          <w:bCs/>
        </w:rPr>
        <w:t xml:space="preserve">第十条 </w:t>
      </w:r>
      <w:r>
        <w:t>申请加入专家库的专业人员应提交以下材料：</w:t>
      </w:r>
    </w:p>
    <w:p w14:paraId="283CE098" w14:textId="77777777" w:rsidR="006361A5" w:rsidRDefault="006361A5" w:rsidP="006361A5">
      <w:pPr>
        <w:pStyle w:val="13"/>
      </w:pPr>
      <w:r>
        <w:rPr>
          <w:rFonts w:hint="eastAsia"/>
        </w:rPr>
        <w:t>（一）申请加入评审专家</w:t>
      </w:r>
      <w:proofErr w:type="gramStart"/>
      <w:r>
        <w:rPr>
          <w:rFonts w:hint="eastAsia"/>
        </w:rPr>
        <w:t>库单位</w:t>
      </w:r>
      <w:proofErr w:type="gramEnd"/>
      <w:r>
        <w:rPr>
          <w:rFonts w:hint="eastAsia"/>
        </w:rPr>
        <w:t>推荐意见；</w:t>
      </w:r>
    </w:p>
    <w:p w14:paraId="4280F7D7" w14:textId="77777777" w:rsidR="006361A5" w:rsidRDefault="006361A5" w:rsidP="006361A5">
      <w:pPr>
        <w:pStyle w:val="13"/>
      </w:pPr>
      <w:r>
        <w:rPr>
          <w:rFonts w:hint="eastAsia"/>
        </w:rPr>
        <w:t>（二）学历学位、执业资格、专业技术资格等证书；</w:t>
      </w:r>
    </w:p>
    <w:p w14:paraId="68B0DE07" w14:textId="77777777" w:rsidR="006361A5" w:rsidRDefault="006361A5" w:rsidP="006361A5">
      <w:pPr>
        <w:pStyle w:val="13"/>
      </w:pPr>
      <w:r>
        <w:rPr>
          <w:rFonts w:hint="eastAsia"/>
        </w:rPr>
        <w:t>（三）证明本人身份的有效证件。</w:t>
      </w:r>
    </w:p>
    <w:p w14:paraId="64429419" w14:textId="77777777" w:rsidR="006361A5" w:rsidRDefault="006361A5" w:rsidP="006361A5">
      <w:pPr>
        <w:pStyle w:val="13"/>
        <w:ind w:firstLine="482"/>
      </w:pPr>
      <w:r w:rsidRPr="00E05BDA">
        <w:rPr>
          <w:rFonts w:hint="eastAsia"/>
          <w:b/>
          <w:bCs/>
        </w:rPr>
        <w:t xml:space="preserve">第十一条 </w:t>
      </w:r>
      <w:r>
        <w:t>入库专家享有以下权利：</w:t>
      </w:r>
    </w:p>
    <w:p w14:paraId="69386FF3" w14:textId="77777777" w:rsidR="006361A5" w:rsidRDefault="006361A5" w:rsidP="006361A5">
      <w:pPr>
        <w:pStyle w:val="13"/>
      </w:pPr>
      <w:r>
        <w:rPr>
          <w:rFonts w:hint="eastAsia"/>
        </w:rPr>
        <w:t>（一）受邀参加省国资委或省属企业组织的资产评估项目专家评审工作；</w:t>
      </w:r>
    </w:p>
    <w:p w14:paraId="352BBA8F" w14:textId="77777777" w:rsidR="006361A5" w:rsidRDefault="006361A5" w:rsidP="006361A5">
      <w:pPr>
        <w:pStyle w:val="13"/>
      </w:pPr>
      <w:r>
        <w:rPr>
          <w:rFonts w:hint="eastAsia"/>
        </w:rPr>
        <w:t>（二）审核资产评估项目有关资料，独立发表审核意见；</w:t>
      </w:r>
    </w:p>
    <w:p w14:paraId="69A0CE66" w14:textId="77777777" w:rsidR="006361A5" w:rsidRDefault="006361A5" w:rsidP="006361A5">
      <w:pPr>
        <w:pStyle w:val="13"/>
      </w:pPr>
      <w:r>
        <w:rPr>
          <w:rFonts w:hint="eastAsia"/>
        </w:rPr>
        <w:t>（三）发表是否同意资产评估结果的意见；</w:t>
      </w:r>
    </w:p>
    <w:p w14:paraId="591AFFB6" w14:textId="77777777" w:rsidR="006361A5" w:rsidRDefault="006361A5" w:rsidP="006361A5">
      <w:pPr>
        <w:pStyle w:val="13"/>
      </w:pPr>
      <w:r>
        <w:rPr>
          <w:rFonts w:hint="eastAsia"/>
        </w:rPr>
        <w:t>（四）按照相关规定获取劳动报酬；</w:t>
      </w:r>
    </w:p>
    <w:p w14:paraId="7BD0CF17" w14:textId="77777777" w:rsidR="006361A5" w:rsidRDefault="006361A5" w:rsidP="006361A5">
      <w:pPr>
        <w:pStyle w:val="13"/>
      </w:pPr>
      <w:r>
        <w:rPr>
          <w:rFonts w:hint="eastAsia"/>
        </w:rPr>
        <w:t>（五）申请退出专家库。</w:t>
      </w:r>
    </w:p>
    <w:p w14:paraId="14A5ADBA" w14:textId="77777777" w:rsidR="006361A5" w:rsidRDefault="006361A5" w:rsidP="006361A5">
      <w:pPr>
        <w:pStyle w:val="13"/>
        <w:ind w:firstLine="482"/>
      </w:pPr>
      <w:r w:rsidRPr="00E05BDA">
        <w:rPr>
          <w:rFonts w:hint="eastAsia"/>
          <w:b/>
          <w:bCs/>
        </w:rPr>
        <w:t xml:space="preserve">第十二条 </w:t>
      </w:r>
      <w:r>
        <w:t>入库专家承担以下义务：</w:t>
      </w:r>
    </w:p>
    <w:p w14:paraId="33068287" w14:textId="77777777" w:rsidR="006361A5" w:rsidRDefault="006361A5" w:rsidP="006361A5">
      <w:pPr>
        <w:pStyle w:val="13"/>
      </w:pPr>
      <w:r>
        <w:rPr>
          <w:rFonts w:hint="eastAsia"/>
        </w:rPr>
        <w:t>（一）接受省国资委或省属企业的委托，对资产评估项目进行审核，并承担相应审核责任；</w:t>
      </w:r>
    </w:p>
    <w:p w14:paraId="1BCA333C" w14:textId="77777777" w:rsidR="006361A5" w:rsidRDefault="006361A5" w:rsidP="006361A5">
      <w:pPr>
        <w:pStyle w:val="13"/>
      </w:pPr>
      <w:r>
        <w:rPr>
          <w:rFonts w:hint="eastAsia"/>
        </w:rPr>
        <w:t>（二）遵守法律法规，遵循职业道德，恪守独立、客观、公正的原则；</w:t>
      </w:r>
    </w:p>
    <w:p w14:paraId="371C557F" w14:textId="77777777" w:rsidR="006361A5" w:rsidRDefault="006361A5" w:rsidP="006361A5">
      <w:pPr>
        <w:pStyle w:val="13"/>
      </w:pPr>
      <w:r>
        <w:rPr>
          <w:rFonts w:hint="eastAsia"/>
        </w:rPr>
        <w:t>（三）签署保密承诺函，</w:t>
      </w:r>
      <w:proofErr w:type="gramStart"/>
      <w:r>
        <w:rPr>
          <w:rFonts w:hint="eastAsia"/>
        </w:rPr>
        <w:t>不</w:t>
      </w:r>
      <w:proofErr w:type="gramEnd"/>
      <w:r>
        <w:rPr>
          <w:rFonts w:hint="eastAsia"/>
        </w:rPr>
        <w:t>私下与被审核企业、中介机构或资产评估项目其他利益相关方沟通联系，不泄露与资产评估项目及审核工作有关的任何信息；</w:t>
      </w:r>
    </w:p>
    <w:p w14:paraId="5508B4AA" w14:textId="77777777" w:rsidR="006361A5" w:rsidRDefault="006361A5" w:rsidP="006361A5">
      <w:pPr>
        <w:pStyle w:val="13"/>
      </w:pPr>
      <w:r>
        <w:rPr>
          <w:rFonts w:hint="eastAsia"/>
        </w:rPr>
        <w:t>（四）不得收受或索取与资产评估项目有关的任何单位或个人给予的财物或其他利益；</w:t>
      </w:r>
    </w:p>
    <w:p w14:paraId="4A07BB31" w14:textId="77777777" w:rsidR="006361A5" w:rsidRDefault="006361A5" w:rsidP="006361A5">
      <w:pPr>
        <w:pStyle w:val="13"/>
      </w:pPr>
      <w:r>
        <w:rPr>
          <w:rFonts w:hint="eastAsia"/>
        </w:rPr>
        <w:t>（五）工作单位、职务、执业资格、专业技术资格和联系方式等发生变化的，应</w:t>
      </w:r>
      <w:proofErr w:type="gramStart"/>
      <w:r>
        <w:rPr>
          <w:rFonts w:hint="eastAsia"/>
        </w:rPr>
        <w:t>自变化</w:t>
      </w:r>
      <w:proofErr w:type="gramEnd"/>
      <w:r>
        <w:rPr>
          <w:rFonts w:hint="eastAsia"/>
        </w:rPr>
        <w:t>之日起</w:t>
      </w:r>
      <w:r>
        <w:t>15个工作日内到省国资委变更相关信息；</w:t>
      </w:r>
    </w:p>
    <w:p w14:paraId="25A5340C" w14:textId="77777777" w:rsidR="006361A5" w:rsidRDefault="006361A5" w:rsidP="006361A5">
      <w:pPr>
        <w:pStyle w:val="13"/>
      </w:pPr>
      <w:r>
        <w:rPr>
          <w:rFonts w:hint="eastAsia"/>
        </w:rPr>
        <w:t>（六）发生不适合继续担任专家情况的，应当主动申请退出专家库。</w:t>
      </w:r>
    </w:p>
    <w:p w14:paraId="4DCA83C1" w14:textId="77777777" w:rsidR="006361A5" w:rsidRDefault="006361A5" w:rsidP="006361A5">
      <w:pPr>
        <w:pStyle w:val="13"/>
        <w:ind w:firstLine="482"/>
      </w:pPr>
      <w:r w:rsidRPr="00E05BDA">
        <w:rPr>
          <w:rFonts w:hint="eastAsia"/>
          <w:b/>
          <w:bCs/>
        </w:rPr>
        <w:t xml:space="preserve">第十三条 </w:t>
      </w:r>
      <w:r>
        <w:t>省国资委对评审专家</w:t>
      </w:r>
      <w:proofErr w:type="gramStart"/>
      <w:r>
        <w:t>库实行</w:t>
      </w:r>
      <w:proofErr w:type="gramEnd"/>
      <w:r>
        <w:t>动态管理。评审专家具有下列情形之一的，省国资委不再将其纳入专家库：</w:t>
      </w:r>
    </w:p>
    <w:p w14:paraId="6D2D6352" w14:textId="77777777" w:rsidR="006361A5" w:rsidRDefault="006361A5" w:rsidP="006361A5">
      <w:pPr>
        <w:pStyle w:val="13"/>
      </w:pPr>
      <w:r>
        <w:rPr>
          <w:rFonts w:hint="eastAsia"/>
        </w:rPr>
        <w:t>（一）一年之内被邀请但未参加资产评估项目审核工作达到三次，且无正当理由的；</w:t>
      </w:r>
    </w:p>
    <w:p w14:paraId="01482353" w14:textId="77777777" w:rsidR="006361A5" w:rsidRDefault="006361A5" w:rsidP="006361A5">
      <w:pPr>
        <w:pStyle w:val="13"/>
      </w:pPr>
      <w:r>
        <w:rPr>
          <w:rFonts w:hint="eastAsia"/>
        </w:rPr>
        <w:t>（二）违反保密承诺或回避原则，泄露与资产评估项目及审核工作有关信息的；</w:t>
      </w:r>
    </w:p>
    <w:p w14:paraId="477FD53C" w14:textId="77777777" w:rsidR="006361A5" w:rsidRDefault="006361A5" w:rsidP="006361A5">
      <w:pPr>
        <w:pStyle w:val="13"/>
      </w:pPr>
      <w:r>
        <w:rPr>
          <w:rFonts w:hint="eastAsia"/>
        </w:rPr>
        <w:t>（三）项目审核期间私下与被审核企业、中介机构或资产评估项目其他利益相关方沟通联系的；</w:t>
      </w:r>
    </w:p>
    <w:p w14:paraId="0E242D7A" w14:textId="77777777" w:rsidR="006361A5" w:rsidRDefault="006361A5" w:rsidP="006361A5">
      <w:pPr>
        <w:pStyle w:val="13"/>
      </w:pPr>
      <w:r>
        <w:rPr>
          <w:rFonts w:hint="eastAsia"/>
        </w:rPr>
        <w:t>（四）收受或索取利益相关方财物或其他利益的；</w:t>
      </w:r>
    </w:p>
    <w:p w14:paraId="1CF1559F" w14:textId="77777777" w:rsidR="006361A5" w:rsidRDefault="006361A5" w:rsidP="006361A5">
      <w:pPr>
        <w:pStyle w:val="13"/>
      </w:pPr>
      <w:r>
        <w:rPr>
          <w:rFonts w:hint="eastAsia"/>
        </w:rPr>
        <w:t>（五）审核工作未勤勉尽职，明显违背独立、客观、公正原则或存在重大疏漏，严重影响资产评估项目审核质量的；</w:t>
      </w:r>
    </w:p>
    <w:p w14:paraId="716E865B" w14:textId="77777777" w:rsidR="006361A5" w:rsidRDefault="006361A5" w:rsidP="006361A5">
      <w:pPr>
        <w:pStyle w:val="13"/>
      </w:pPr>
      <w:r>
        <w:rPr>
          <w:rFonts w:hint="eastAsia"/>
        </w:rPr>
        <w:t>（六）受到刑事处罚、行政处罚、行业协会惩戒或单位处分，不再适合继续担任专家的；</w:t>
      </w:r>
    </w:p>
    <w:p w14:paraId="382549D8" w14:textId="77777777" w:rsidR="006361A5" w:rsidRDefault="006361A5" w:rsidP="006361A5">
      <w:pPr>
        <w:pStyle w:val="13"/>
      </w:pPr>
      <w:r>
        <w:rPr>
          <w:rFonts w:hint="eastAsia"/>
        </w:rPr>
        <w:lastRenderedPageBreak/>
        <w:t>（七）发生其他恶意损害国家、单位或个人利益行为的；</w:t>
      </w:r>
    </w:p>
    <w:p w14:paraId="098EB5D2" w14:textId="77777777" w:rsidR="006361A5" w:rsidRDefault="006361A5" w:rsidP="006361A5">
      <w:pPr>
        <w:pStyle w:val="13"/>
      </w:pPr>
      <w:r>
        <w:rPr>
          <w:rFonts w:hint="eastAsia"/>
        </w:rPr>
        <w:t>（八）其他不再适合继续担任专家的情形。</w:t>
      </w:r>
    </w:p>
    <w:p w14:paraId="42E1DE4E" w14:textId="77777777" w:rsidR="006361A5" w:rsidRDefault="006361A5" w:rsidP="006361A5">
      <w:pPr>
        <w:pStyle w:val="13"/>
        <w:ind w:firstLine="482"/>
      </w:pPr>
      <w:r w:rsidRPr="00E05BDA">
        <w:rPr>
          <w:rFonts w:hint="eastAsia"/>
          <w:b/>
          <w:bCs/>
        </w:rPr>
        <w:t xml:space="preserve">第十四条 </w:t>
      </w:r>
      <w:r>
        <w:t>省国资委建立评审专家工作质量评价制度，定期对专家工作质量进行综合评价。</w:t>
      </w:r>
    </w:p>
    <w:p w14:paraId="6E1A25D5" w14:textId="77777777" w:rsidR="006361A5" w:rsidRDefault="006361A5" w:rsidP="006361A5">
      <w:pPr>
        <w:pStyle w:val="13"/>
      </w:pPr>
      <w:r>
        <w:rPr>
          <w:rFonts w:hint="eastAsia"/>
        </w:rPr>
        <w:t>各省属企业应当按照评价制度要求，定期对所委托专家的工作质量进行综合评价，并按年度汇总评价结果，于下年</w:t>
      </w:r>
      <w:r>
        <w:t>1月31日前报省国资委；发现评审专家存在本办法第十三条所列情形的，应当及时报告省国资委。</w:t>
      </w:r>
    </w:p>
    <w:p w14:paraId="7C2A51DD" w14:textId="77777777" w:rsidR="006361A5" w:rsidRDefault="006361A5" w:rsidP="006361A5">
      <w:pPr>
        <w:pStyle w:val="13"/>
        <w:ind w:firstLine="482"/>
      </w:pPr>
      <w:r w:rsidRPr="00E05BDA">
        <w:rPr>
          <w:rFonts w:hint="eastAsia"/>
          <w:b/>
          <w:bCs/>
        </w:rPr>
        <w:t xml:space="preserve">第十五条 </w:t>
      </w:r>
      <w:r>
        <w:t>根据评审专家工作质量综合评价结果，省国资委对评审专家库每两年更新调整一次。</w:t>
      </w:r>
    </w:p>
    <w:p w14:paraId="7E93844A" w14:textId="77777777" w:rsidR="006361A5" w:rsidRDefault="006361A5" w:rsidP="00AF7342">
      <w:pPr>
        <w:pStyle w:val="a9"/>
        <w:spacing w:before="62" w:after="62"/>
      </w:pPr>
      <w:r>
        <w:t>第三章</w:t>
      </w:r>
      <w:r>
        <w:rPr>
          <w:rFonts w:hint="eastAsia"/>
        </w:rPr>
        <w:t xml:space="preserve"> </w:t>
      </w:r>
      <w:r>
        <w:t>专家评审</w:t>
      </w:r>
    </w:p>
    <w:p w14:paraId="7C471892" w14:textId="77777777" w:rsidR="006361A5" w:rsidRDefault="006361A5" w:rsidP="006361A5">
      <w:pPr>
        <w:pStyle w:val="13"/>
        <w:ind w:firstLine="482"/>
      </w:pPr>
      <w:r w:rsidRPr="00E05BDA">
        <w:rPr>
          <w:b/>
          <w:bCs/>
        </w:rPr>
        <w:t xml:space="preserve">第十六条 </w:t>
      </w:r>
      <w:r>
        <w:t>参与评审工作的专家，原则上由省国资委或省属企业根据资产评估项目的具体需要，从评审专家库中分专业分类别随机抽取产生。因资产评估项目比较重</w:t>
      </w:r>
      <w:r>
        <w:rPr>
          <w:rFonts w:hint="eastAsia"/>
        </w:rPr>
        <w:t>大、专业性较强、时间要求紧迫或涉及国家秘密、商业秘密的，可遵循客观、公正、择优原则，从评审专家库中直接选聘。</w:t>
      </w:r>
    </w:p>
    <w:p w14:paraId="4E868576" w14:textId="77777777" w:rsidR="006361A5" w:rsidRDefault="006361A5" w:rsidP="006361A5">
      <w:pPr>
        <w:pStyle w:val="13"/>
        <w:ind w:firstLine="482"/>
      </w:pPr>
      <w:r w:rsidRPr="00E05BDA">
        <w:rPr>
          <w:rFonts w:hint="eastAsia"/>
          <w:b/>
          <w:bCs/>
        </w:rPr>
        <w:t xml:space="preserve">第十七条 </w:t>
      </w:r>
      <w:r>
        <w:t>省国资委组织的专家评审工作，对参与评审工作的专家，参照有关标准支付适当的劳动报酬。</w:t>
      </w:r>
    </w:p>
    <w:p w14:paraId="19BAD36A" w14:textId="77777777" w:rsidR="006361A5" w:rsidRDefault="006361A5" w:rsidP="006361A5">
      <w:pPr>
        <w:pStyle w:val="13"/>
      </w:pPr>
      <w:r>
        <w:rPr>
          <w:rFonts w:hint="eastAsia"/>
        </w:rPr>
        <w:t>省属企业组织的专家评审工作，由省属企业采取合理方式支付专家劳动报酬，具体支付标准和方式由省属企业决定。</w:t>
      </w:r>
    </w:p>
    <w:p w14:paraId="2F4D514A" w14:textId="77777777" w:rsidR="006361A5" w:rsidRDefault="006361A5" w:rsidP="006361A5">
      <w:pPr>
        <w:pStyle w:val="13"/>
        <w:ind w:firstLine="482"/>
      </w:pPr>
      <w:r w:rsidRPr="00E05BDA">
        <w:rPr>
          <w:rFonts w:hint="eastAsia"/>
          <w:b/>
          <w:bCs/>
        </w:rPr>
        <w:t xml:space="preserve">第十八条 </w:t>
      </w:r>
      <w:r>
        <w:t>受邀参加资产评估项目审核工作时，评审专家应当遵循回避原则。评审专家发现自己与被审核企业、中介机构或资产评估项目其他利益相关方有利害关系的，应当主动提出回避。省国资委或省属企业发现存在上述情况的，应当要求评审专家回避。</w:t>
      </w:r>
    </w:p>
    <w:p w14:paraId="44345E2C" w14:textId="77777777" w:rsidR="006361A5" w:rsidRDefault="006361A5" w:rsidP="006361A5">
      <w:pPr>
        <w:pStyle w:val="13"/>
        <w:ind w:firstLine="482"/>
      </w:pPr>
      <w:r w:rsidRPr="00E05BDA">
        <w:rPr>
          <w:rFonts w:hint="eastAsia"/>
          <w:b/>
          <w:bCs/>
        </w:rPr>
        <w:t xml:space="preserve">第十九条 </w:t>
      </w:r>
      <w:r>
        <w:t>评审专家应当依据相关法律法规、管理规定、评估准则以及评估指南等制度规范，对评估报告进行审核，重点审核以下事项：</w:t>
      </w:r>
    </w:p>
    <w:p w14:paraId="280D931B" w14:textId="77777777" w:rsidR="006361A5" w:rsidRDefault="006361A5" w:rsidP="006361A5">
      <w:pPr>
        <w:pStyle w:val="13"/>
      </w:pPr>
      <w:r>
        <w:rPr>
          <w:rFonts w:hint="eastAsia"/>
        </w:rPr>
        <w:t>（一）资产评估项目所涉及经济行为的批准情况；</w:t>
      </w:r>
    </w:p>
    <w:p w14:paraId="2BD13379" w14:textId="77777777" w:rsidR="006361A5" w:rsidRDefault="006361A5" w:rsidP="006361A5">
      <w:pPr>
        <w:pStyle w:val="13"/>
      </w:pPr>
      <w:r>
        <w:rPr>
          <w:rFonts w:hint="eastAsia"/>
        </w:rPr>
        <w:t>（二）资产评估项目评估报告与专项审计报告的衔接情况，评估报告原则上应以专项审计报告为依据；</w:t>
      </w:r>
    </w:p>
    <w:p w14:paraId="13B0796F" w14:textId="77777777" w:rsidR="006361A5" w:rsidRDefault="006361A5" w:rsidP="006361A5">
      <w:pPr>
        <w:pStyle w:val="13"/>
      </w:pPr>
      <w:r>
        <w:rPr>
          <w:rFonts w:hint="eastAsia"/>
        </w:rPr>
        <w:t>（三）评估机构及评估人员评估资质和执业资格的合</w:t>
      </w:r>
      <w:proofErr w:type="gramStart"/>
      <w:r>
        <w:rPr>
          <w:rFonts w:hint="eastAsia"/>
        </w:rPr>
        <w:t>规</w:t>
      </w:r>
      <w:proofErr w:type="gramEnd"/>
      <w:r>
        <w:rPr>
          <w:rFonts w:hint="eastAsia"/>
        </w:rPr>
        <w:t>性；</w:t>
      </w:r>
    </w:p>
    <w:p w14:paraId="742F4DF2" w14:textId="77777777" w:rsidR="006361A5" w:rsidRDefault="006361A5" w:rsidP="006361A5">
      <w:pPr>
        <w:pStyle w:val="13"/>
      </w:pPr>
      <w:r>
        <w:rPr>
          <w:rFonts w:hint="eastAsia"/>
        </w:rPr>
        <w:t>（四）评估范围与经济行为批准文件确定资产范围的一致性；</w:t>
      </w:r>
    </w:p>
    <w:p w14:paraId="55CE26B6" w14:textId="77777777" w:rsidR="006361A5" w:rsidRDefault="006361A5" w:rsidP="006361A5">
      <w:pPr>
        <w:pStyle w:val="13"/>
      </w:pPr>
      <w:r>
        <w:rPr>
          <w:rFonts w:hint="eastAsia"/>
        </w:rPr>
        <w:t>（五）评估依据的真实性、合理性、充分性；</w:t>
      </w:r>
    </w:p>
    <w:p w14:paraId="60B0003D" w14:textId="77777777" w:rsidR="006361A5" w:rsidRDefault="006361A5" w:rsidP="006361A5">
      <w:pPr>
        <w:pStyle w:val="13"/>
      </w:pPr>
      <w:r>
        <w:rPr>
          <w:rFonts w:hint="eastAsia"/>
        </w:rPr>
        <w:t>（六）评估方法、评估模型、技术参数、预测数据的合理性；</w:t>
      </w:r>
    </w:p>
    <w:p w14:paraId="5B06021E" w14:textId="77777777" w:rsidR="006361A5" w:rsidRDefault="006361A5" w:rsidP="006361A5">
      <w:pPr>
        <w:pStyle w:val="13"/>
      </w:pPr>
      <w:r>
        <w:rPr>
          <w:rFonts w:hint="eastAsia"/>
        </w:rPr>
        <w:t>（七）评估计算的准确性；</w:t>
      </w:r>
    </w:p>
    <w:p w14:paraId="108C3090" w14:textId="77777777" w:rsidR="006361A5" w:rsidRDefault="006361A5" w:rsidP="006361A5">
      <w:pPr>
        <w:pStyle w:val="13"/>
      </w:pPr>
      <w:r>
        <w:rPr>
          <w:rFonts w:hint="eastAsia"/>
        </w:rPr>
        <w:t>（八）评估特别事项的披露和处理的完整性、适当性、合</w:t>
      </w:r>
      <w:proofErr w:type="gramStart"/>
      <w:r>
        <w:rPr>
          <w:rFonts w:hint="eastAsia"/>
        </w:rPr>
        <w:t>规</w:t>
      </w:r>
      <w:proofErr w:type="gramEnd"/>
      <w:r>
        <w:rPr>
          <w:rFonts w:hint="eastAsia"/>
        </w:rPr>
        <w:t>性；</w:t>
      </w:r>
    </w:p>
    <w:p w14:paraId="6D2FBADC" w14:textId="77777777" w:rsidR="006361A5" w:rsidRDefault="006361A5" w:rsidP="006361A5">
      <w:pPr>
        <w:pStyle w:val="13"/>
      </w:pPr>
      <w:r>
        <w:rPr>
          <w:rFonts w:hint="eastAsia"/>
        </w:rPr>
        <w:t>（九）评估报告附件的完整性、相关性、真实性；</w:t>
      </w:r>
    </w:p>
    <w:p w14:paraId="5B206CC0" w14:textId="77777777" w:rsidR="006361A5" w:rsidRDefault="006361A5" w:rsidP="006361A5">
      <w:pPr>
        <w:pStyle w:val="13"/>
      </w:pPr>
      <w:r>
        <w:rPr>
          <w:rFonts w:hint="eastAsia"/>
        </w:rPr>
        <w:lastRenderedPageBreak/>
        <w:t>（十）评估报告的编制、评估程序的履行、评估基准日的选取、评估方法的选择、评估结果的有效期等事项符合资产评估法规、准则、指南等制度规范的情况；</w:t>
      </w:r>
    </w:p>
    <w:p w14:paraId="05F8F212" w14:textId="77777777" w:rsidR="006361A5" w:rsidRDefault="006361A5" w:rsidP="006361A5">
      <w:pPr>
        <w:pStyle w:val="13"/>
      </w:pPr>
      <w:r>
        <w:rPr>
          <w:rFonts w:hint="eastAsia"/>
        </w:rPr>
        <w:t>（十一）相关企业就所提供的资产权属证明文件、财务会计资料及生产经营管理资料的真实性、合法性和完整性做出的承诺情况；</w:t>
      </w:r>
    </w:p>
    <w:p w14:paraId="3A6B5ABB" w14:textId="77777777" w:rsidR="006361A5" w:rsidRDefault="006361A5" w:rsidP="006361A5">
      <w:pPr>
        <w:pStyle w:val="13"/>
      </w:pPr>
      <w:r>
        <w:rPr>
          <w:rFonts w:hint="eastAsia"/>
        </w:rPr>
        <w:t>（十二）其他需要审核的事项。</w:t>
      </w:r>
    </w:p>
    <w:p w14:paraId="438488A2" w14:textId="77777777" w:rsidR="006361A5" w:rsidRDefault="006361A5" w:rsidP="006361A5">
      <w:pPr>
        <w:pStyle w:val="13"/>
      </w:pPr>
      <w:r>
        <w:rPr>
          <w:rFonts w:hint="eastAsia"/>
        </w:rPr>
        <w:t>资产评估项目涉及土地估价、矿业权评估的，评审专家应当参照上述有关事项一并进行审核。</w:t>
      </w:r>
    </w:p>
    <w:p w14:paraId="4E7A7A61" w14:textId="77777777" w:rsidR="006361A5" w:rsidRDefault="006361A5" w:rsidP="006361A5">
      <w:pPr>
        <w:pStyle w:val="13"/>
        <w:ind w:firstLine="482"/>
      </w:pPr>
      <w:r w:rsidRPr="00E05BDA">
        <w:rPr>
          <w:rFonts w:hint="eastAsia"/>
          <w:b/>
          <w:bCs/>
        </w:rPr>
        <w:t xml:space="preserve">第二十条 </w:t>
      </w:r>
      <w:r>
        <w:t>省国资委或省属企业收到企业报送的核准或备案申请及评估报告后，应</w:t>
      </w:r>
      <w:r>
        <w:rPr>
          <w:rFonts w:hint="eastAsia"/>
        </w:rPr>
        <w:t>当对材料进行初审，材料完备符合受理条件的，在规定的办理时限内组织专家评审工作。</w:t>
      </w:r>
    </w:p>
    <w:p w14:paraId="4BB5B8AC" w14:textId="77777777" w:rsidR="006361A5" w:rsidRDefault="006361A5" w:rsidP="006361A5">
      <w:pPr>
        <w:pStyle w:val="13"/>
      </w:pPr>
      <w:r>
        <w:rPr>
          <w:rFonts w:hint="eastAsia"/>
        </w:rPr>
        <w:t>根据资产评估项目复杂程度不同，评审专家在</w:t>
      </w:r>
      <w:r>
        <w:t>2-5个工作日内提出审核意见。省国资委或省属企业汇总整理专家审核意见反馈相关企业。需要评估机构进行解释说明或修改完善的，将评估补充报告再次送交评审专家审核。</w:t>
      </w:r>
    </w:p>
    <w:p w14:paraId="157A8BBC" w14:textId="77777777" w:rsidR="006361A5" w:rsidRDefault="006361A5" w:rsidP="006361A5">
      <w:pPr>
        <w:pStyle w:val="13"/>
        <w:ind w:firstLine="482"/>
      </w:pPr>
      <w:r w:rsidRPr="00E05BDA">
        <w:rPr>
          <w:rFonts w:hint="eastAsia"/>
          <w:b/>
          <w:bCs/>
        </w:rPr>
        <w:t xml:space="preserve">第二十一条 </w:t>
      </w:r>
      <w:r>
        <w:t>综合专家审核意见和评估补充报告情况，省国资委或省属企业组织召开专家评审会议，对评估报告进行集中论证。会议参加人员包括省国资委或省属企业的工作人员、评审专家、有关企业人员、评估机构项目负责人等。</w:t>
      </w:r>
    </w:p>
    <w:p w14:paraId="194F5855" w14:textId="77777777" w:rsidR="006361A5" w:rsidRDefault="006361A5" w:rsidP="006361A5">
      <w:pPr>
        <w:pStyle w:val="13"/>
        <w:ind w:firstLine="482"/>
      </w:pPr>
      <w:r w:rsidRPr="00E05BDA">
        <w:rPr>
          <w:rFonts w:hint="eastAsia"/>
          <w:b/>
          <w:bCs/>
        </w:rPr>
        <w:t xml:space="preserve">第二十二条 </w:t>
      </w:r>
      <w:r>
        <w:t>专家评审会议要形成同意或不同意评估报告结果的专家评审意见，</w:t>
      </w:r>
      <w:proofErr w:type="gramStart"/>
      <w:r>
        <w:t>经所有</w:t>
      </w:r>
      <w:proofErr w:type="gramEnd"/>
      <w:r>
        <w:t>与会专家签字后，作为省国资委或省属企业对资产评估项目核准或备案的依据。</w:t>
      </w:r>
    </w:p>
    <w:p w14:paraId="13FC6EBA" w14:textId="77777777" w:rsidR="006361A5" w:rsidRDefault="006361A5" w:rsidP="00AF7342">
      <w:pPr>
        <w:pStyle w:val="a9"/>
        <w:spacing w:before="62" w:after="62"/>
      </w:pPr>
      <w:r>
        <w:t>第四章</w:t>
      </w:r>
      <w:r>
        <w:rPr>
          <w:rFonts w:hint="eastAsia"/>
        </w:rPr>
        <w:t xml:space="preserve"> </w:t>
      </w:r>
      <w:r>
        <w:t>附则</w:t>
      </w:r>
    </w:p>
    <w:p w14:paraId="563091BD" w14:textId="77777777" w:rsidR="006361A5" w:rsidRDefault="006361A5" w:rsidP="006361A5">
      <w:pPr>
        <w:pStyle w:val="13"/>
        <w:ind w:firstLine="482"/>
      </w:pPr>
      <w:r w:rsidRPr="00E05BDA">
        <w:rPr>
          <w:b/>
          <w:bCs/>
        </w:rPr>
        <w:t xml:space="preserve">第二十三条 </w:t>
      </w:r>
      <w:r>
        <w:t>各省属企业应当为专家评审工作提供必要条件，确保评审专家完整审核资产评估项目有关资料，保障评审专家独立发表评审意见。</w:t>
      </w:r>
    </w:p>
    <w:p w14:paraId="2053D408" w14:textId="77777777" w:rsidR="006361A5" w:rsidRDefault="006361A5" w:rsidP="006361A5">
      <w:pPr>
        <w:pStyle w:val="13"/>
        <w:ind w:firstLine="482"/>
      </w:pPr>
      <w:r w:rsidRPr="00E05BDA">
        <w:rPr>
          <w:rFonts w:hint="eastAsia"/>
          <w:b/>
          <w:bCs/>
        </w:rPr>
        <w:t xml:space="preserve">第二十四条 </w:t>
      </w:r>
      <w:r>
        <w:t>省国资委将对省属企业资产评估项目专家评审工作进行抽查，抽查结果在省属企业范围内通报。</w:t>
      </w:r>
    </w:p>
    <w:p w14:paraId="4AF9FE9D" w14:textId="77777777" w:rsidR="006361A5" w:rsidRDefault="006361A5" w:rsidP="006361A5">
      <w:pPr>
        <w:pStyle w:val="13"/>
        <w:ind w:firstLine="482"/>
      </w:pPr>
      <w:r w:rsidRPr="00E05BDA">
        <w:rPr>
          <w:rFonts w:hint="eastAsia"/>
          <w:b/>
          <w:bCs/>
        </w:rPr>
        <w:t xml:space="preserve">第二十五条 </w:t>
      </w:r>
      <w:r>
        <w:t>各省属企业可依据本办法，结合本企业情况和工作实际，制定资产评估专家评审办法实施细则。</w:t>
      </w:r>
    </w:p>
    <w:p w14:paraId="73A9A05A" w14:textId="77777777" w:rsidR="006361A5" w:rsidRDefault="006361A5" w:rsidP="006361A5">
      <w:pPr>
        <w:pStyle w:val="13"/>
        <w:ind w:firstLine="482"/>
      </w:pPr>
      <w:r w:rsidRPr="00E05BDA">
        <w:rPr>
          <w:rFonts w:hint="eastAsia"/>
          <w:b/>
          <w:bCs/>
        </w:rPr>
        <w:t xml:space="preserve">第二十六条 </w:t>
      </w:r>
      <w:r>
        <w:t>本办法自2017年4月1日起施行。</w:t>
      </w:r>
    </w:p>
    <w:p w14:paraId="4D799C4C" w14:textId="77777777" w:rsidR="006361A5" w:rsidRDefault="006361A5" w:rsidP="006361A5">
      <w:pPr>
        <w:pStyle w:val="31"/>
        <w:spacing w:before="156" w:after="62"/>
      </w:pPr>
      <w:bookmarkStart w:id="256" w:name="_Toc81833489"/>
      <w:r>
        <w:rPr>
          <w:rFonts w:hint="eastAsia"/>
        </w:rPr>
        <w:t>《山东省国资委关于印发省属企业资产评估报告质量评价规则的通知》</w:t>
      </w:r>
      <w:r>
        <w:br/>
      </w:r>
      <w:r>
        <w:rPr>
          <w:rFonts w:hint="eastAsia"/>
        </w:rPr>
        <w:t>（鲁国资产权字〔</w:t>
      </w:r>
      <w:r>
        <w:t>2016〕33号）</w:t>
      </w:r>
      <w:bookmarkEnd w:id="256"/>
    </w:p>
    <w:p w14:paraId="4D6DF656" w14:textId="77777777" w:rsidR="006361A5" w:rsidRDefault="006361A5" w:rsidP="006361A5">
      <w:pPr>
        <w:pStyle w:val="13"/>
        <w:ind w:firstLine="482"/>
      </w:pPr>
      <w:r w:rsidRPr="004E3EBB">
        <w:rPr>
          <w:rFonts w:hint="eastAsia"/>
          <w:b/>
          <w:bCs/>
        </w:rPr>
        <w:t xml:space="preserve">第一条 </w:t>
      </w:r>
      <w:r>
        <w:t>为客观评价评估机构的执业质量，进一步加强省属企业资产评估管理工作，维护国有资产出资人合法权益，依据《企业国有资产评估管理暂行办法》（国务院国资委令第12号）、《企业国有资产评估报告指南》（</w:t>
      </w:r>
      <w:proofErr w:type="gramStart"/>
      <w:r>
        <w:t>中评协</w:t>
      </w:r>
      <w:proofErr w:type="gramEnd"/>
      <w:r>
        <w:t>〔2008〕218号）等评估管理规定及准则规范，制定本规则。</w:t>
      </w:r>
    </w:p>
    <w:p w14:paraId="0E901C35" w14:textId="77777777" w:rsidR="006361A5" w:rsidRDefault="006361A5" w:rsidP="006361A5">
      <w:pPr>
        <w:pStyle w:val="13"/>
        <w:ind w:firstLine="482"/>
      </w:pPr>
      <w:r w:rsidRPr="004E3EBB">
        <w:rPr>
          <w:rFonts w:hint="eastAsia"/>
          <w:b/>
          <w:bCs/>
        </w:rPr>
        <w:lastRenderedPageBreak/>
        <w:t xml:space="preserve">第二条 </w:t>
      </w:r>
      <w:r>
        <w:t>省属企业及其各级控制企业涉及的资产评估，评估机构所出具报告（以下简称评估报告）的质量评价工作，适用本规则。</w:t>
      </w:r>
    </w:p>
    <w:p w14:paraId="4996E45C" w14:textId="77777777" w:rsidR="006361A5" w:rsidRDefault="006361A5" w:rsidP="006361A5">
      <w:pPr>
        <w:pStyle w:val="13"/>
        <w:ind w:firstLine="482"/>
      </w:pPr>
      <w:r w:rsidRPr="004E3EBB">
        <w:rPr>
          <w:rFonts w:hint="eastAsia"/>
          <w:b/>
          <w:bCs/>
        </w:rPr>
        <w:t xml:space="preserve">第三条 </w:t>
      </w:r>
      <w:r>
        <w:t>省国资委、省属企业及其各级控制企业与评估机构签订评估业务约定书时，应明确约定评估报告将按照本规则进行评价。</w:t>
      </w:r>
    </w:p>
    <w:p w14:paraId="3CC385B9" w14:textId="77777777" w:rsidR="006361A5" w:rsidRDefault="006361A5" w:rsidP="006361A5">
      <w:pPr>
        <w:pStyle w:val="13"/>
        <w:ind w:firstLine="482"/>
      </w:pPr>
      <w:r w:rsidRPr="004E3EBB">
        <w:rPr>
          <w:rFonts w:hint="eastAsia"/>
          <w:b/>
          <w:bCs/>
        </w:rPr>
        <w:t xml:space="preserve">第四条 </w:t>
      </w:r>
      <w:r>
        <w:t>省国资委核准或备案的评估报告由省国资委负责评价；省属企业备案的评估报告由省属企业负责评价。</w:t>
      </w:r>
    </w:p>
    <w:p w14:paraId="33EDDE0E" w14:textId="77777777" w:rsidR="006361A5" w:rsidRDefault="006361A5" w:rsidP="006361A5">
      <w:pPr>
        <w:pStyle w:val="13"/>
        <w:ind w:firstLine="482"/>
      </w:pPr>
      <w:r w:rsidRPr="004E3EBB">
        <w:rPr>
          <w:rFonts w:hint="eastAsia"/>
          <w:b/>
          <w:bCs/>
        </w:rPr>
        <w:t xml:space="preserve">第五条 </w:t>
      </w:r>
      <w:r>
        <w:t>评估报告质量评价内容主要包括：评估报告的完整性、规范性，评估结论的公允性，以及评估报告出具的及时性。</w:t>
      </w:r>
    </w:p>
    <w:p w14:paraId="476C7C61" w14:textId="77777777" w:rsidR="006361A5" w:rsidRDefault="006361A5" w:rsidP="006361A5">
      <w:pPr>
        <w:pStyle w:val="13"/>
        <w:ind w:firstLine="482"/>
      </w:pPr>
      <w:r w:rsidRPr="004E3EBB">
        <w:rPr>
          <w:rFonts w:hint="eastAsia"/>
          <w:b/>
          <w:bCs/>
        </w:rPr>
        <w:t xml:space="preserve">第六条 </w:t>
      </w:r>
      <w:r>
        <w:t>评估报告质量评价采用量化计分法，满分100分。符合各评价内容基本要求的，得基本分；达不到基本要求的，按照评分标准扣分(具体评价内容和评分标准见附件1)。</w:t>
      </w:r>
    </w:p>
    <w:p w14:paraId="27EC5F0B" w14:textId="77777777" w:rsidR="006361A5" w:rsidRDefault="006361A5" w:rsidP="006361A5">
      <w:pPr>
        <w:pStyle w:val="13"/>
        <w:ind w:firstLine="482"/>
      </w:pPr>
      <w:r w:rsidRPr="004E3EBB">
        <w:rPr>
          <w:rFonts w:hint="eastAsia"/>
          <w:b/>
          <w:bCs/>
        </w:rPr>
        <w:t xml:space="preserve">第七条 </w:t>
      </w:r>
      <w:r>
        <w:t>根据评估报告质量综合评价分数，将评估报告质量评价结果分为优秀、良好、一般和较差四个档次。</w:t>
      </w:r>
    </w:p>
    <w:p w14:paraId="3206FF9D" w14:textId="77777777" w:rsidR="006361A5" w:rsidRDefault="006361A5" w:rsidP="006361A5">
      <w:pPr>
        <w:pStyle w:val="13"/>
      </w:pPr>
      <w:r>
        <w:rPr>
          <w:rFonts w:hint="eastAsia"/>
        </w:rPr>
        <w:t>（一）评价得分达到</w:t>
      </w:r>
      <w:r>
        <w:t>90分以上（含90分）的为优秀；</w:t>
      </w:r>
    </w:p>
    <w:p w14:paraId="518902F9" w14:textId="77777777" w:rsidR="006361A5" w:rsidRDefault="006361A5" w:rsidP="006361A5">
      <w:pPr>
        <w:pStyle w:val="13"/>
      </w:pPr>
      <w:r>
        <w:rPr>
          <w:rFonts w:hint="eastAsia"/>
        </w:rPr>
        <w:t>（二）评价得分达到</w:t>
      </w:r>
      <w:r>
        <w:t>80分以上（含80分）不足90分的为良好；</w:t>
      </w:r>
    </w:p>
    <w:p w14:paraId="1043FB9A" w14:textId="77777777" w:rsidR="006361A5" w:rsidRDefault="006361A5" w:rsidP="006361A5">
      <w:pPr>
        <w:pStyle w:val="13"/>
      </w:pPr>
      <w:r>
        <w:rPr>
          <w:rFonts w:hint="eastAsia"/>
        </w:rPr>
        <w:t>（三）评价得分达到</w:t>
      </w:r>
      <w:r>
        <w:t>70分以上（含70分）不足80分的为一般；</w:t>
      </w:r>
    </w:p>
    <w:p w14:paraId="1B180110" w14:textId="77777777" w:rsidR="006361A5" w:rsidRDefault="006361A5" w:rsidP="006361A5">
      <w:pPr>
        <w:pStyle w:val="13"/>
      </w:pPr>
      <w:r>
        <w:rPr>
          <w:rFonts w:hint="eastAsia"/>
        </w:rPr>
        <w:t>（四）评价得分在</w:t>
      </w:r>
      <w:r>
        <w:t>70分以下的为较差。</w:t>
      </w:r>
    </w:p>
    <w:p w14:paraId="02ED8C8C" w14:textId="77777777" w:rsidR="006361A5" w:rsidRDefault="006361A5" w:rsidP="006361A5">
      <w:pPr>
        <w:pStyle w:val="13"/>
        <w:ind w:firstLine="482"/>
      </w:pPr>
      <w:r w:rsidRPr="004E3EBB">
        <w:rPr>
          <w:rFonts w:hint="eastAsia"/>
          <w:b/>
          <w:bCs/>
        </w:rPr>
        <w:t xml:space="preserve">第八条 </w:t>
      </w:r>
      <w:r>
        <w:t>评估报告质量评价一般于评估项目经核准或备案后1个月之内完成，也可根据工作需要随时开展。具体评价程序如下：</w:t>
      </w:r>
    </w:p>
    <w:p w14:paraId="6E358024" w14:textId="77777777" w:rsidR="006361A5" w:rsidRDefault="006361A5" w:rsidP="006361A5">
      <w:pPr>
        <w:pStyle w:val="13"/>
      </w:pPr>
      <w:r>
        <w:rPr>
          <w:rFonts w:hint="eastAsia"/>
        </w:rPr>
        <w:t>（一）根据评估报告审核情况，</w:t>
      </w:r>
      <w:proofErr w:type="gramStart"/>
      <w:r>
        <w:rPr>
          <w:rFonts w:hint="eastAsia"/>
        </w:rPr>
        <w:t>作出</w:t>
      </w:r>
      <w:proofErr w:type="gramEnd"/>
      <w:r>
        <w:rPr>
          <w:rFonts w:hint="eastAsia"/>
        </w:rPr>
        <w:t>初步评价。</w:t>
      </w:r>
    </w:p>
    <w:p w14:paraId="1581E882" w14:textId="77777777" w:rsidR="006361A5" w:rsidRDefault="006361A5" w:rsidP="006361A5">
      <w:pPr>
        <w:pStyle w:val="13"/>
      </w:pPr>
      <w:r>
        <w:rPr>
          <w:rFonts w:hint="eastAsia"/>
        </w:rPr>
        <w:t>（二）将初步评价情况通过评估委托方反馈评估机构。评估机构须在</w:t>
      </w:r>
      <w:r>
        <w:t>5个工作日提交正式书面报告对有关问题</w:t>
      </w:r>
      <w:proofErr w:type="gramStart"/>
      <w:r>
        <w:t>作出</w:t>
      </w:r>
      <w:proofErr w:type="gramEnd"/>
      <w:r>
        <w:t>说明，对特别复杂问题可延长至10个工作日，逾期视为自动放弃说明。</w:t>
      </w:r>
    </w:p>
    <w:p w14:paraId="33C17E59" w14:textId="77777777" w:rsidR="006361A5" w:rsidRDefault="006361A5" w:rsidP="006361A5">
      <w:pPr>
        <w:pStyle w:val="13"/>
      </w:pPr>
      <w:r>
        <w:rPr>
          <w:rFonts w:hint="eastAsia"/>
        </w:rPr>
        <w:t>（三）对有关评估事项的性质、金额、影响程度等专业技术问题，必要时提交专家进行论证。参加论证的专家应具备专业胜任能力和良好的职业道德，并遵循回避原则。已设立专家库的，从专家库中选择。</w:t>
      </w:r>
    </w:p>
    <w:p w14:paraId="2118DBE0" w14:textId="77777777" w:rsidR="006361A5" w:rsidRDefault="006361A5" w:rsidP="006361A5">
      <w:pPr>
        <w:pStyle w:val="13"/>
      </w:pPr>
      <w:r>
        <w:rPr>
          <w:rFonts w:hint="eastAsia"/>
        </w:rPr>
        <w:t>（四）综合初步评价情况、评估机构说明和专家论证意见，形成最终评价意见。</w:t>
      </w:r>
    </w:p>
    <w:p w14:paraId="51B7D50D" w14:textId="77777777" w:rsidR="006361A5" w:rsidRDefault="006361A5" w:rsidP="006361A5">
      <w:pPr>
        <w:pStyle w:val="13"/>
      </w:pPr>
      <w:r>
        <w:rPr>
          <w:rFonts w:hint="eastAsia"/>
        </w:rPr>
        <w:t>（五）后续工作中发现相关评估报告存在其他问题的，应对评价意见进行追溯调整。</w:t>
      </w:r>
    </w:p>
    <w:p w14:paraId="147521CD" w14:textId="77777777" w:rsidR="006361A5" w:rsidRDefault="006361A5" w:rsidP="006361A5">
      <w:pPr>
        <w:pStyle w:val="13"/>
        <w:ind w:firstLine="482"/>
      </w:pPr>
      <w:r w:rsidRPr="00E05BDA">
        <w:rPr>
          <w:rFonts w:hint="eastAsia"/>
          <w:b/>
          <w:bCs/>
        </w:rPr>
        <w:t xml:space="preserve">第九条 </w:t>
      </w:r>
      <w:r>
        <w:t>除综合评价得分70分以下的以外，评估机构存在下列情形之一的，出具的相关评估报告确定为较差档次：</w:t>
      </w:r>
    </w:p>
    <w:p w14:paraId="6C9E7349" w14:textId="77777777" w:rsidR="006361A5" w:rsidRDefault="006361A5" w:rsidP="006361A5">
      <w:pPr>
        <w:pStyle w:val="13"/>
      </w:pPr>
      <w:r>
        <w:rPr>
          <w:rFonts w:hint="eastAsia"/>
        </w:rPr>
        <w:t>（一）履行评估程序严重不到位的，造成国有资产权益重大损失的；</w:t>
      </w:r>
    </w:p>
    <w:p w14:paraId="15B9B21B" w14:textId="77777777" w:rsidR="006361A5" w:rsidRDefault="006361A5" w:rsidP="006361A5">
      <w:pPr>
        <w:pStyle w:val="13"/>
      </w:pPr>
      <w:r>
        <w:rPr>
          <w:rFonts w:hint="eastAsia"/>
        </w:rPr>
        <w:t>（二）与评估项目相关单位串通作弊，出具虚假评估报告、有重大遗漏评估报告或者具有误导性评估报告，造成国有资产权益重大损失的；</w:t>
      </w:r>
    </w:p>
    <w:p w14:paraId="0FF26F95" w14:textId="77777777" w:rsidR="006361A5" w:rsidRDefault="006361A5" w:rsidP="006361A5">
      <w:pPr>
        <w:pStyle w:val="13"/>
      </w:pPr>
      <w:r>
        <w:rPr>
          <w:rFonts w:hint="eastAsia"/>
        </w:rPr>
        <w:lastRenderedPageBreak/>
        <w:t>（三）不接受国资监管机构监督检查，或推诿扯皮、不配合相关工作，情节严重的；</w:t>
      </w:r>
    </w:p>
    <w:p w14:paraId="62AF5C54" w14:textId="77777777" w:rsidR="006361A5" w:rsidRDefault="006361A5" w:rsidP="006361A5">
      <w:pPr>
        <w:pStyle w:val="13"/>
      </w:pPr>
      <w:r>
        <w:rPr>
          <w:rFonts w:hint="eastAsia"/>
        </w:rPr>
        <w:t>（四）经相关部门依法认定，出具的评估结果严重偏离评估标的客观价值的；</w:t>
      </w:r>
    </w:p>
    <w:p w14:paraId="7C75DB01" w14:textId="77777777" w:rsidR="006361A5" w:rsidRDefault="006361A5" w:rsidP="006361A5">
      <w:pPr>
        <w:pStyle w:val="13"/>
      </w:pPr>
      <w:r>
        <w:rPr>
          <w:rFonts w:hint="eastAsia"/>
        </w:rPr>
        <w:t>（五）其他有违反评估管理规定和执业准则，造成国有资产权益遭受重大损失情形的。</w:t>
      </w:r>
    </w:p>
    <w:p w14:paraId="505FA30F" w14:textId="77777777" w:rsidR="006361A5" w:rsidRDefault="006361A5" w:rsidP="006361A5">
      <w:pPr>
        <w:pStyle w:val="13"/>
        <w:ind w:firstLine="482"/>
      </w:pPr>
      <w:r w:rsidRPr="00E05BDA">
        <w:rPr>
          <w:rFonts w:hint="eastAsia"/>
          <w:b/>
          <w:bCs/>
        </w:rPr>
        <w:t xml:space="preserve">第十条 </w:t>
      </w:r>
      <w:r>
        <w:t>评估报告质量评价结果作为省国资委、省属企业及其各级控制企业选聘评估机构的重要依据。</w:t>
      </w:r>
    </w:p>
    <w:p w14:paraId="7FFF4D4A" w14:textId="77777777" w:rsidR="006361A5" w:rsidRDefault="006361A5" w:rsidP="006361A5">
      <w:pPr>
        <w:pStyle w:val="13"/>
        <w:ind w:firstLine="482"/>
      </w:pPr>
      <w:r w:rsidRPr="00E05BDA">
        <w:rPr>
          <w:rFonts w:hint="eastAsia"/>
          <w:b/>
          <w:bCs/>
        </w:rPr>
        <w:t xml:space="preserve">第十一条 </w:t>
      </w:r>
      <w:r>
        <w:t>评估报告质量评价结果为较差档次或累计两次评价结果为一般档次的，省国资委和省属企业按有关规定建议或直接取消评估机构备选库资格，按约定扣减或不再支付费用，也不再受理签字资产评估师签字的其他资产评估报告。签字资产评估师原聘为企业各类专家</w:t>
      </w:r>
      <w:proofErr w:type="gramStart"/>
      <w:r>
        <w:t>库成员</w:t>
      </w:r>
      <w:proofErr w:type="gramEnd"/>
      <w:r>
        <w:t>的，取消</w:t>
      </w:r>
      <w:proofErr w:type="gramStart"/>
      <w:r>
        <w:t>其专家</w:t>
      </w:r>
      <w:proofErr w:type="gramEnd"/>
      <w:r>
        <w:t>资格。</w:t>
      </w:r>
    </w:p>
    <w:p w14:paraId="0044FDBB" w14:textId="77777777" w:rsidR="006361A5" w:rsidRDefault="006361A5" w:rsidP="006361A5">
      <w:pPr>
        <w:pStyle w:val="13"/>
        <w:ind w:firstLine="482"/>
      </w:pPr>
      <w:r w:rsidRPr="00E05BDA">
        <w:rPr>
          <w:rFonts w:hint="eastAsia"/>
          <w:b/>
          <w:bCs/>
        </w:rPr>
        <w:t xml:space="preserve">第十二条 </w:t>
      </w:r>
      <w:r>
        <w:t>省国资委每半年向省属企业通报一次评估报告的质量评价结果。各省属企业应于每年1月15日和7月15日前，将本企业评估报告质量评价结果报送省国资委(评价结果汇总表格式见附件2)。</w:t>
      </w:r>
    </w:p>
    <w:p w14:paraId="71C6AD7F" w14:textId="77777777" w:rsidR="006361A5" w:rsidRDefault="006361A5" w:rsidP="006361A5">
      <w:pPr>
        <w:pStyle w:val="13"/>
      </w:pPr>
      <w:r>
        <w:rPr>
          <w:rFonts w:hint="eastAsia"/>
        </w:rPr>
        <w:t>省国资委对省属企业资产评估报告质量评价工作进行抽查，抽查结果在省属企业范围内通报。</w:t>
      </w:r>
    </w:p>
    <w:p w14:paraId="6DFAD4AD" w14:textId="77777777" w:rsidR="006361A5" w:rsidRDefault="006361A5" w:rsidP="006361A5">
      <w:pPr>
        <w:pStyle w:val="13"/>
        <w:ind w:firstLine="482"/>
      </w:pPr>
      <w:r w:rsidRPr="00E05BDA">
        <w:rPr>
          <w:rFonts w:hint="eastAsia"/>
          <w:b/>
          <w:bCs/>
        </w:rPr>
        <w:t xml:space="preserve">第十三条 </w:t>
      </w:r>
      <w:r>
        <w:t>各省属企业可依据本规则，结合工作实际，制定本企业资产评估报告质量评价细则。</w:t>
      </w:r>
    </w:p>
    <w:p w14:paraId="0701B8DC" w14:textId="36489103" w:rsidR="00FA0363" w:rsidRDefault="00FA0363" w:rsidP="00FA0363">
      <w:pPr>
        <w:pStyle w:val="31"/>
        <w:spacing w:before="156" w:after="62"/>
      </w:pPr>
      <w:bookmarkStart w:id="257" w:name="_Toc81833490"/>
      <w:r>
        <w:rPr>
          <w:rFonts w:hint="eastAsia"/>
        </w:rPr>
        <w:t>《山东省省属企业资产评估管理工作指引》（鲁国资产权</w:t>
      </w:r>
      <w:r>
        <w:t>[2018]1号）</w:t>
      </w:r>
      <w:bookmarkEnd w:id="257"/>
    </w:p>
    <w:p w14:paraId="681D850C" w14:textId="77777777" w:rsidR="00FA0363" w:rsidRDefault="00FA0363" w:rsidP="00FA0363">
      <w:pPr>
        <w:pStyle w:val="13"/>
        <w:ind w:firstLineChars="0" w:firstLine="0"/>
      </w:pPr>
      <w:r>
        <w:rPr>
          <w:rFonts w:hint="eastAsia"/>
        </w:rPr>
        <w:t>各省属企业：</w:t>
      </w:r>
    </w:p>
    <w:p w14:paraId="4F8605E0" w14:textId="77777777" w:rsidR="00FA0363" w:rsidRDefault="00FA0363" w:rsidP="00FA0363">
      <w:pPr>
        <w:pStyle w:val="13"/>
      </w:pPr>
      <w:r>
        <w:rPr>
          <w:rFonts w:hint="eastAsia"/>
        </w:rPr>
        <w:t>《省属企业资产评估管理工作指引》已经省国资委主任办公会研究通过，现予印发，请遵照执行。</w:t>
      </w:r>
    </w:p>
    <w:p w14:paraId="639C3BD6" w14:textId="77777777" w:rsidR="00FA0363" w:rsidRDefault="00FA0363" w:rsidP="00FA0363">
      <w:pPr>
        <w:pStyle w:val="13"/>
        <w:jc w:val="right"/>
      </w:pPr>
      <w:r>
        <w:rPr>
          <w:rFonts w:hint="eastAsia"/>
        </w:rPr>
        <w:t>山东省人民政府国有资产监督管理委员会</w:t>
      </w:r>
    </w:p>
    <w:p w14:paraId="7BB07C4C" w14:textId="77777777" w:rsidR="00FA0363" w:rsidRDefault="00FA0363" w:rsidP="00FA0363">
      <w:pPr>
        <w:pStyle w:val="13"/>
        <w:jc w:val="right"/>
      </w:pPr>
      <w:r>
        <w:t>2018年4月4日</w:t>
      </w:r>
    </w:p>
    <w:p w14:paraId="3C9D5D9B" w14:textId="77777777" w:rsidR="00FA0363" w:rsidRDefault="00FA0363" w:rsidP="00FA0363">
      <w:pPr>
        <w:pStyle w:val="13"/>
      </w:pPr>
    </w:p>
    <w:p w14:paraId="7C1CCFA8" w14:textId="77777777" w:rsidR="00FA0363" w:rsidRPr="006361A5" w:rsidRDefault="00FA0363" w:rsidP="00AF7342">
      <w:pPr>
        <w:pStyle w:val="a9"/>
        <w:spacing w:before="62" w:after="62"/>
      </w:pPr>
      <w:r w:rsidRPr="006361A5">
        <w:rPr>
          <w:rFonts w:hint="eastAsia"/>
        </w:rPr>
        <w:t>省属企业资产评估管理工作指引</w:t>
      </w:r>
    </w:p>
    <w:p w14:paraId="785763C1" w14:textId="45D0399D" w:rsidR="00FA0363" w:rsidRPr="006361A5" w:rsidRDefault="00FA0363" w:rsidP="00AF7342">
      <w:pPr>
        <w:pStyle w:val="a9"/>
        <w:spacing w:before="62" w:after="62"/>
      </w:pPr>
      <w:r w:rsidRPr="006361A5">
        <w:rPr>
          <w:rFonts w:hint="eastAsia"/>
        </w:rPr>
        <w:t>第一章</w:t>
      </w:r>
      <w:r w:rsidR="008A2152" w:rsidRPr="006361A5">
        <w:rPr>
          <w:rFonts w:hint="eastAsia"/>
        </w:rPr>
        <w:t xml:space="preserve"> </w:t>
      </w:r>
      <w:r w:rsidRPr="006361A5">
        <w:t>总则</w:t>
      </w:r>
    </w:p>
    <w:p w14:paraId="4B9AC98A" w14:textId="00FD7598" w:rsidR="00FA0363" w:rsidRDefault="004E3EBB" w:rsidP="00FA0363">
      <w:pPr>
        <w:pStyle w:val="13"/>
        <w:ind w:firstLine="482"/>
      </w:pPr>
      <w:r w:rsidRPr="004E3EBB">
        <w:rPr>
          <w:rFonts w:hint="eastAsia"/>
          <w:b/>
          <w:bCs/>
        </w:rPr>
        <w:t xml:space="preserve">第一条 </w:t>
      </w:r>
      <w:r w:rsidR="00FA0363">
        <w:t>为进一步规范省属企业资产评估管理工作，促进企业国有产权有序流转，防止国有资产流失，根据《企业国有资产法》、《企业国有资产评估管理暂行办法》（国务院国资委令第12号）、《关于印发〈企业国有资产评估项目备案工作指引〉的通知》（</w:t>
      </w:r>
      <w:proofErr w:type="gramStart"/>
      <w:r w:rsidR="00FA0363">
        <w:t>国资发产权</w:t>
      </w:r>
      <w:proofErr w:type="gramEnd"/>
      <w:r w:rsidR="00FA0363">
        <w:t>﹝2013﹞64号）等法律法规和制度规定，结合省属企业实际，制定本指引。</w:t>
      </w:r>
    </w:p>
    <w:p w14:paraId="0C3298AA" w14:textId="4DD4342C" w:rsidR="00FA0363" w:rsidRDefault="004E3EBB" w:rsidP="00FA0363">
      <w:pPr>
        <w:pStyle w:val="13"/>
        <w:ind w:firstLine="482"/>
      </w:pPr>
      <w:r w:rsidRPr="004E3EBB">
        <w:rPr>
          <w:rFonts w:hint="eastAsia"/>
          <w:b/>
          <w:bCs/>
        </w:rPr>
        <w:t xml:space="preserve">第二条 </w:t>
      </w:r>
      <w:r w:rsidR="00FA0363">
        <w:t>本指引适用范围为省属企业及其拥有实际控制权的境内</w:t>
      </w:r>
      <w:proofErr w:type="gramStart"/>
      <w:r w:rsidR="00FA0363">
        <w:t>外各级</w:t>
      </w:r>
      <w:proofErr w:type="gramEnd"/>
      <w:r w:rsidR="00FA0363">
        <w:t>子企业</w:t>
      </w:r>
      <w:r w:rsidR="00FA0363">
        <w:lastRenderedPageBreak/>
        <w:t>（以下统称企业）。</w:t>
      </w:r>
    </w:p>
    <w:p w14:paraId="0C1769F5" w14:textId="089ED649" w:rsidR="00FA0363" w:rsidRDefault="004E3EBB" w:rsidP="00FA0363">
      <w:pPr>
        <w:pStyle w:val="13"/>
        <w:ind w:firstLine="482"/>
      </w:pPr>
      <w:r w:rsidRPr="004E3EBB">
        <w:rPr>
          <w:rFonts w:hint="eastAsia"/>
          <w:b/>
          <w:bCs/>
        </w:rPr>
        <w:t xml:space="preserve">第三条 </w:t>
      </w:r>
      <w:r w:rsidR="00FA0363">
        <w:t>省国资委负责省属企业资产评估监管工作，主要职责包括：</w:t>
      </w:r>
    </w:p>
    <w:p w14:paraId="79489851" w14:textId="77777777" w:rsidR="00FA0363" w:rsidRDefault="00FA0363" w:rsidP="00FA0363">
      <w:pPr>
        <w:pStyle w:val="13"/>
      </w:pPr>
      <w:r>
        <w:rPr>
          <w:rFonts w:hint="eastAsia"/>
        </w:rPr>
        <w:t>（一）根据有关法律法规，制定省属企业资产评估管理工作制度；</w:t>
      </w:r>
    </w:p>
    <w:p w14:paraId="71086418" w14:textId="77777777" w:rsidR="00FA0363" w:rsidRDefault="00FA0363" w:rsidP="00FA0363">
      <w:pPr>
        <w:pStyle w:val="13"/>
      </w:pPr>
      <w:r>
        <w:rPr>
          <w:rFonts w:hint="eastAsia"/>
        </w:rPr>
        <w:t>（二）对省政府或省国资委批准经济行为涉及的资产评估项目进行核准或备案；</w:t>
      </w:r>
    </w:p>
    <w:p w14:paraId="69F4D28B" w14:textId="77777777" w:rsidR="00FA0363" w:rsidRDefault="00FA0363" w:rsidP="00FA0363">
      <w:pPr>
        <w:pStyle w:val="13"/>
      </w:pPr>
      <w:r>
        <w:rPr>
          <w:rFonts w:hint="eastAsia"/>
        </w:rPr>
        <w:t>（三）指导省属企业的资产评估管理工作；</w:t>
      </w:r>
    </w:p>
    <w:p w14:paraId="703E1900" w14:textId="77777777" w:rsidR="00FA0363" w:rsidRDefault="00FA0363" w:rsidP="00FA0363">
      <w:pPr>
        <w:pStyle w:val="13"/>
      </w:pPr>
      <w:r>
        <w:rPr>
          <w:rFonts w:hint="eastAsia"/>
        </w:rPr>
        <w:t>（四）对企业资产评估项目基本情况进行统计分析；</w:t>
      </w:r>
    </w:p>
    <w:p w14:paraId="19521488" w14:textId="77777777" w:rsidR="00FA0363" w:rsidRDefault="00FA0363" w:rsidP="00FA0363">
      <w:pPr>
        <w:pStyle w:val="13"/>
      </w:pPr>
      <w:r>
        <w:rPr>
          <w:rFonts w:hint="eastAsia"/>
        </w:rPr>
        <w:t>（五）对企业贯彻执行资产评估管理制度以及资产评估项目审核备案等评估管理工作情况进行监督检查；</w:t>
      </w:r>
    </w:p>
    <w:p w14:paraId="7CEA5EDF" w14:textId="77777777" w:rsidR="00FA0363" w:rsidRDefault="00FA0363" w:rsidP="00FA0363">
      <w:pPr>
        <w:pStyle w:val="13"/>
      </w:pPr>
      <w:r>
        <w:rPr>
          <w:rFonts w:hint="eastAsia"/>
        </w:rPr>
        <w:t>（六）法律法规及制度规定的其他职责。</w:t>
      </w:r>
    </w:p>
    <w:p w14:paraId="46469D6D" w14:textId="3C1096A2" w:rsidR="00FA0363" w:rsidRDefault="004E3EBB" w:rsidP="00FA0363">
      <w:pPr>
        <w:pStyle w:val="13"/>
        <w:ind w:firstLine="482"/>
      </w:pPr>
      <w:r w:rsidRPr="004E3EBB">
        <w:rPr>
          <w:rFonts w:hint="eastAsia"/>
          <w:b/>
          <w:bCs/>
        </w:rPr>
        <w:t xml:space="preserve">第四条 </w:t>
      </w:r>
      <w:r w:rsidR="00FA0363">
        <w:t>省属企业负责本企业资产评估管理工作，主要职责包括：</w:t>
      </w:r>
    </w:p>
    <w:p w14:paraId="1E1247B9" w14:textId="77777777" w:rsidR="00FA0363" w:rsidRDefault="00FA0363" w:rsidP="00FA0363">
      <w:pPr>
        <w:pStyle w:val="13"/>
      </w:pPr>
      <w:r>
        <w:rPr>
          <w:rFonts w:hint="eastAsia"/>
        </w:rPr>
        <w:t>（一）建立健全企业内部评估管理制度和工作体系；</w:t>
      </w:r>
    </w:p>
    <w:p w14:paraId="3E5657FA" w14:textId="77777777" w:rsidR="00FA0363" w:rsidRDefault="00FA0363" w:rsidP="00FA0363">
      <w:pPr>
        <w:pStyle w:val="13"/>
      </w:pPr>
      <w:r>
        <w:rPr>
          <w:rFonts w:hint="eastAsia"/>
        </w:rPr>
        <w:t>（二）对企业批准经济行为涉及的资产评估项目进行备案；</w:t>
      </w:r>
    </w:p>
    <w:p w14:paraId="1179EE83" w14:textId="77777777" w:rsidR="00FA0363" w:rsidRDefault="00FA0363" w:rsidP="00FA0363">
      <w:pPr>
        <w:pStyle w:val="13"/>
      </w:pPr>
      <w:r>
        <w:rPr>
          <w:rFonts w:hint="eastAsia"/>
        </w:rPr>
        <w:t>（三）指导子企业的资产评估管理工作；</w:t>
      </w:r>
    </w:p>
    <w:p w14:paraId="0DBFBF28" w14:textId="77777777" w:rsidR="00FA0363" w:rsidRDefault="00FA0363" w:rsidP="00FA0363">
      <w:pPr>
        <w:pStyle w:val="13"/>
      </w:pPr>
      <w:r>
        <w:rPr>
          <w:rFonts w:hint="eastAsia"/>
        </w:rPr>
        <w:t>（四）规范管理资产评估工作档案；</w:t>
      </w:r>
    </w:p>
    <w:p w14:paraId="1015116A" w14:textId="77777777" w:rsidR="00FA0363" w:rsidRDefault="00FA0363" w:rsidP="00FA0363">
      <w:pPr>
        <w:pStyle w:val="13"/>
      </w:pPr>
      <w:r>
        <w:rPr>
          <w:rFonts w:hint="eastAsia"/>
        </w:rPr>
        <w:t>（五）对本企业资产评估项目基本情况进行统计分析；</w:t>
      </w:r>
    </w:p>
    <w:p w14:paraId="1349C59C" w14:textId="77777777" w:rsidR="00FA0363" w:rsidRDefault="00FA0363" w:rsidP="00FA0363">
      <w:pPr>
        <w:pStyle w:val="13"/>
      </w:pPr>
      <w:r>
        <w:rPr>
          <w:rFonts w:hint="eastAsia"/>
        </w:rPr>
        <w:t>（六）按规定向省国资委报告评估管理有关工作情况；</w:t>
      </w:r>
    </w:p>
    <w:p w14:paraId="102EAAB2" w14:textId="77777777" w:rsidR="00FA0363" w:rsidRDefault="00FA0363" w:rsidP="00FA0363">
      <w:pPr>
        <w:pStyle w:val="13"/>
      </w:pPr>
      <w:r>
        <w:rPr>
          <w:rFonts w:hint="eastAsia"/>
        </w:rPr>
        <w:t>（七）法律法规及制度规定的其他职责。</w:t>
      </w:r>
    </w:p>
    <w:p w14:paraId="69572AE7" w14:textId="603F06F6" w:rsidR="00FA0363" w:rsidRDefault="00FA0363" w:rsidP="00AF7342">
      <w:pPr>
        <w:pStyle w:val="a9"/>
        <w:spacing w:before="62" w:after="62"/>
      </w:pPr>
      <w:r>
        <w:rPr>
          <w:rFonts w:hint="eastAsia"/>
        </w:rPr>
        <w:t>第二章</w:t>
      </w:r>
      <w:r w:rsidR="008A2152">
        <w:rPr>
          <w:rFonts w:hint="eastAsia"/>
        </w:rPr>
        <w:t xml:space="preserve"> </w:t>
      </w:r>
      <w:r>
        <w:t>资产评估工作要求</w:t>
      </w:r>
    </w:p>
    <w:p w14:paraId="5015E19E" w14:textId="5F580F21" w:rsidR="00FA0363" w:rsidRDefault="004E3EBB" w:rsidP="00FA0363">
      <w:pPr>
        <w:pStyle w:val="13"/>
        <w:ind w:firstLine="482"/>
      </w:pPr>
      <w:r w:rsidRPr="004E3EBB">
        <w:rPr>
          <w:rFonts w:hint="eastAsia"/>
          <w:b/>
          <w:bCs/>
        </w:rPr>
        <w:t xml:space="preserve">第五条 </w:t>
      </w:r>
      <w:r w:rsidR="00FA0363">
        <w:t>企业有下列行为之一的，应当对相关资产进行评估：</w:t>
      </w:r>
    </w:p>
    <w:p w14:paraId="727D5458" w14:textId="77777777" w:rsidR="00FA0363" w:rsidRDefault="00FA0363" w:rsidP="00FA0363">
      <w:pPr>
        <w:pStyle w:val="13"/>
      </w:pPr>
      <w:r>
        <w:rPr>
          <w:rFonts w:hint="eastAsia"/>
        </w:rPr>
        <w:t>（一）整体或者部分改建为有限公司或者股份公司；</w:t>
      </w:r>
    </w:p>
    <w:p w14:paraId="4D19AE07" w14:textId="77777777" w:rsidR="00FA0363" w:rsidRDefault="00FA0363" w:rsidP="00FA0363">
      <w:pPr>
        <w:pStyle w:val="13"/>
      </w:pPr>
      <w:r>
        <w:rPr>
          <w:rFonts w:hint="eastAsia"/>
        </w:rPr>
        <w:t>（二）合并、分立、破产、解散；</w:t>
      </w:r>
    </w:p>
    <w:p w14:paraId="6D361855" w14:textId="77777777" w:rsidR="00FA0363" w:rsidRDefault="00FA0363" w:rsidP="00FA0363">
      <w:pPr>
        <w:pStyle w:val="13"/>
      </w:pPr>
      <w:r>
        <w:rPr>
          <w:rFonts w:hint="eastAsia"/>
        </w:rPr>
        <w:t>（三）转让所持企业产权；</w:t>
      </w:r>
    </w:p>
    <w:p w14:paraId="4F507442" w14:textId="77777777" w:rsidR="00FA0363" w:rsidRDefault="00FA0363" w:rsidP="00FA0363">
      <w:pPr>
        <w:pStyle w:val="13"/>
      </w:pPr>
      <w:r>
        <w:rPr>
          <w:rFonts w:hint="eastAsia"/>
        </w:rPr>
        <w:t>（四）增资；</w:t>
      </w:r>
    </w:p>
    <w:p w14:paraId="5C88D9B9" w14:textId="77777777" w:rsidR="00FA0363" w:rsidRDefault="00FA0363" w:rsidP="00FA0363">
      <w:pPr>
        <w:pStyle w:val="13"/>
      </w:pPr>
      <w:r>
        <w:rPr>
          <w:rFonts w:hint="eastAsia"/>
        </w:rPr>
        <w:t>（五）减资；</w:t>
      </w:r>
    </w:p>
    <w:p w14:paraId="09156E92" w14:textId="77777777" w:rsidR="00FA0363" w:rsidRDefault="00FA0363" w:rsidP="00FA0363">
      <w:pPr>
        <w:pStyle w:val="13"/>
      </w:pPr>
      <w:r>
        <w:rPr>
          <w:rFonts w:hint="eastAsia"/>
        </w:rPr>
        <w:t>（六）转让、</w:t>
      </w:r>
      <w:proofErr w:type="gramStart"/>
      <w:r>
        <w:rPr>
          <w:rFonts w:hint="eastAsia"/>
        </w:rPr>
        <w:t>置换非</w:t>
      </w:r>
      <w:proofErr w:type="gramEnd"/>
      <w:r>
        <w:rPr>
          <w:rFonts w:hint="eastAsia"/>
        </w:rPr>
        <w:t>货币资产；</w:t>
      </w:r>
    </w:p>
    <w:p w14:paraId="163F7AC8" w14:textId="77777777" w:rsidR="00FA0363" w:rsidRDefault="00FA0363" w:rsidP="00FA0363">
      <w:pPr>
        <w:pStyle w:val="13"/>
      </w:pPr>
      <w:r>
        <w:rPr>
          <w:rFonts w:hint="eastAsia"/>
        </w:rPr>
        <w:t>（七）以非货币资产对外出资；</w:t>
      </w:r>
    </w:p>
    <w:p w14:paraId="1C5616C9" w14:textId="77777777" w:rsidR="00FA0363" w:rsidRDefault="00FA0363" w:rsidP="00FA0363">
      <w:pPr>
        <w:pStyle w:val="13"/>
      </w:pPr>
      <w:r>
        <w:rPr>
          <w:rFonts w:hint="eastAsia"/>
        </w:rPr>
        <w:t>（八）以非货币资产偿还债务；</w:t>
      </w:r>
    </w:p>
    <w:p w14:paraId="2DB4E57A" w14:textId="77777777" w:rsidR="00FA0363" w:rsidRDefault="00FA0363" w:rsidP="00FA0363">
      <w:pPr>
        <w:pStyle w:val="13"/>
      </w:pPr>
      <w:r>
        <w:rPr>
          <w:rFonts w:hint="eastAsia"/>
        </w:rPr>
        <w:t>（九）对外租赁资产；</w:t>
      </w:r>
    </w:p>
    <w:p w14:paraId="0FD4459A" w14:textId="77777777" w:rsidR="00FA0363" w:rsidRDefault="00FA0363" w:rsidP="00FA0363">
      <w:pPr>
        <w:pStyle w:val="13"/>
      </w:pPr>
      <w:r>
        <w:rPr>
          <w:rFonts w:hint="eastAsia"/>
        </w:rPr>
        <w:t>（十）涉讼资产处置；</w:t>
      </w:r>
    </w:p>
    <w:p w14:paraId="5D7ED4F9" w14:textId="77777777" w:rsidR="00FA0363" w:rsidRDefault="00FA0363" w:rsidP="00FA0363">
      <w:pPr>
        <w:pStyle w:val="13"/>
      </w:pPr>
      <w:r>
        <w:rPr>
          <w:rFonts w:hint="eastAsia"/>
        </w:rPr>
        <w:t>（十一）收购其他企业产权；</w:t>
      </w:r>
    </w:p>
    <w:p w14:paraId="65BD3EDA" w14:textId="77777777" w:rsidR="00FA0363" w:rsidRDefault="00FA0363" w:rsidP="00FA0363">
      <w:pPr>
        <w:pStyle w:val="13"/>
      </w:pPr>
      <w:r>
        <w:rPr>
          <w:rFonts w:hint="eastAsia"/>
        </w:rPr>
        <w:t>（十二）对其他企业增资；</w:t>
      </w:r>
    </w:p>
    <w:p w14:paraId="28212EB4" w14:textId="77777777" w:rsidR="00FA0363" w:rsidRDefault="00FA0363" w:rsidP="00FA0363">
      <w:pPr>
        <w:pStyle w:val="13"/>
      </w:pPr>
      <w:r>
        <w:rPr>
          <w:rFonts w:hint="eastAsia"/>
        </w:rPr>
        <w:t>（十三）收购非货币资产；</w:t>
      </w:r>
    </w:p>
    <w:p w14:paraId="1C096C63" w14:textId="77777777" w:rsidR="00FA0363" w:rsidRDefault="00FA0363" w:rsidP="00FA0363">
      <w:pPr>
        <w:pStyle w:val="13"/>
      </w:pPr>
      <w:r>
        <w:rPr>
          <w:rFonts w:hint="eastAsia"/>
        </w:rPr>
        <w:t>（十四）接受非货币资产出资；</w:t>
      </w:r>
    </w:p>
    <w:p w14:paraId="308FBFE6" w14:textId="77777777" w:rsidR="00FA0363" w:rsidRDefault="00FA0363" w:rsidP="00FA0363">
      <w:pPr>
        <w:pStyle w:val="13"/>
      </w:pPr>
      <w:r>
        <w:rPr>
          <w:rFonts w:hint="eastAsia"/>
        </w:rPr>
        <w:t>（十五）接受非货币资产抵债；</w:t>
      </w:r>
    </w:p>
    <w:p w14:paraId="15C19B4C" w14:textId="77777777" w:rsidR="00FA0363" w:rsidRDefault="00FA0363" w:rsidP="00FA0363">
      <w:pPr>
        <w:pStyle w:val="13"/>
      </w:pPr>
      <w:r>
        <w:rPr>
          <w:rFonts w:hint="eastAsia"/>
        </w:rPr>
        <w:lastRenderedPageBreak/>
        <w:t>（十六）法律法规、制度规定、企业章程规定的其他需要进行资产评估的行为。</w:t>
      </w:r>
    </w:p>
    <w:p w14:paraId="3F6F63B0" w14:textId="46B33E83" w:rsidR="00FA0363" w:rsidRDefault="004E3EBB" w:rsidP="00FA0363">
      <w:pPr>
        <w:pStyle w:val="13"/>
        <w:ind w:firstLine="482"/>
      </w:pPr>
      <w:r w:rsidRPr="004E3EBB">
        <w:rPr>
          <w:rFonts w:hint="eastAsia"/>
          <w:b/>
          <w:bCs/>
        </w:rPr>
        <w:t xml:space="preserve">第六条 </w:t>
      </w:r>
      <w:r w:rsidR="00FA0363">
        <w:t>企业发生下列行为的，可以不对相关资产进行评估：</w:t>
      </w:r>
    </w:p>
    <w:p w14:paraId="2F502FCE" w14:textId="77777777" w:rsidR="00FA0363" w:rsidRDefault="00FA0363" w:rsidP="00FA0363">
      <w:pPr>
        <w:pStyle w:val="13"/>
      </w:pPr>
      <w:r>
        <w:rPr>
          <w:rFonts w:hint="eastAsia"/>
        </w:rPr>
        <w:t>（一）经批准对所持企业产权或资产无偿划转；</w:t>
      </w:r>
    </w:p>
    <w:p w14:paraId="3246B5A6" w14:textId="77777777" w:rsidR="00FA0363" w:rsidRDefault="00FA0363" w:rsidP="00FA0363">
      <w:pPr>
        <w:pStyle w:val="13"/>
      </w:pPr>
      <w:r>
        <w:rPr>
          <w:rFonts w:hint="eastAsia"/>
        </w:rPr>
        <w:t>（二）国有股东转让或受让上市公司股份，以及上市公司实施股票增发或股票回购，可以不对上市公司进行评估；</w:t>
      </w:r>
    </w:p>
    <w:p w14:paraId="5DB3638A" w14:textId="77777777" w:rsidR="00FA0363" w:rsidRDefault="00FA0363" w:rsidP="00FA0363">
      <w:pPr>
        <w:pStyle w:val="13"/>
      </w:pPr>
      <w:r>
        <w:rPr>
          <w:rFonts w:hint="eastAsia"/>
        </w:rPr>
        <w:t>（三）省属企业与其独资子企业或其独资子企业之间实施合并或资产（产权）置换；</w:t>
      </w:r>
    </w:p>
    <w:p w14:paraId="45FE94DA" w14:textId="77777777" w:rsidR="00FA0363" w:rsidRDefault="00FA0363" w:rsidP="00FA0363">
      <w:pPr>
        <w:pStyle w:val="13"/>
      </w:pPr>
      <w:r>
        <w:rPr>
          <w:rFonts w:hint="eastAsia"/>
        </w:rPr>
        <w:t>（四）国有独资企业与其独资子企业或其独资子企业之间实施合并或资产（产权）置换；</w:t>
      </w:r>
    </w:p>
    <w:p w14:paraId="52A1425D" w14:textId="77777777" w:rsidR="00FA0363" w:rsidRDefault="00FA0363" w:rsidP="00FA0363">
      <w:pPr>
        <w:pStyle w:val="13"/>
      </w:pPr>
      <w:r>
        <w:rPr>
          <w:rFonts w:hint="eastAsia"/>
        </w:rPr>
        <w:t>（五）企业与其直接、间接全资拥有的子企业或其直接、间接全资拥有的子企业之间转让所持企业产权；</w:t>
      </w:r>
    </w:p>
    <w:p w14:paraId="0F7BDB74" w14:textId="77777777" w:rsidR="00FA0363" w:rsidRDefault="00FA0363" w:rsidP="00FA0363">
      <w:pPr>
        <w:pStyle w:val="13"/>
      </w:pPr>
      <w:r>
        <w:rPr>
          <w:rFonts w:hint="eastAsia"/>
        </w:rPr>
        <w:t>（六）国有股东持股比例未发生变动的企业增资或减资；</w:t>
      </w:r>
    </w:p>
    <w:p w14:paraId="1D9EB9AC" w14:textId="77777777" w:rsidR="00FA0363" w:rsidRDefault="00FA0363" w:rsidP="00FA0363">
      <w:pPr>
        <w:pStyle w:val="13"/>
      </w:pPr>
      <w:r>
        <w:rPr>
          <w:rFonts w:hint="eastAsia"/>
        </w:rPr>
        <w:t>（七）国有全资企业原股东增资或减资；</w:t>
      </w:r>
    </w:p>
    <w:p w14:paraId="6D45CEBA" w14:textId="77777777" w:rsidR="00FA0363" w:rsidRDefault="00FA0363" w:rsidP="00FA0363">
      <w:pPr>
        <w:pStyle w:val="13"/>
      </w:pPr>
      <w:r>
        <w:rPr>
          <w:rFonts w:hint="eastAsia"/>
        </w:rPr>
        <w:t>（八）省国资委对省属企业增资；</w:t>
      </w:r>
    </w:p>
    <w:p w14:paraId="2A18AE35" w14:textId="77777777" w:rsidR="00FA0363" w:rsidRDefault="00FA0363" w:rsidP="00FA0363">
      <w:pPr>
        <w:pStyle w:val="13"/>
      </w:pPr>
      <w:r>
        <w:rPr>
          <w:rFonts w:hint="eastAsia"/>
        </w:rPr>
        <w:t>（九）企业对其独资子企业增资；</w:t>
      </w:r>
    </w:p>
    <w:p w14:paraId="0FDFEBD1" w14:textId="77777777" w:rsidR="00FA0363" w:rsidRDefault="00FA0363" w:rsidP="00FA0363">
      <w:pPr>
        <w:pStyle w:val="13"/>
      </w:pPr>
      <w:r>
        <w:rPr>
          <w:rFonts w:hint="eastAsia"/>
        </w:rPr>
        <w:t>（十）国有独资或全资企业对国有独资或全资企业增资。</w:t>
      </w:r>
    </w:p>
    <w:p w14:paraId="1C666C1F" w14:textId="77777777" w:rsidR="00FA0363" w:rsidRDefault="00FA0363" w:rsidP="00FA0363">
      <w:pPr>
        <w:pStyle w:val="13"/>
      </w:pPr>
      <w:r>
        <w:rPr>
          <w:rFonts w:hint="eastAsia"/>
        </w:rPr>
        <w:t>国有全资企业是指全部由国有资本出资形成的企业。</w:t>
      </w:r>
    </w:p>
    <w:p w14:paraId="204EA7C6" w14:textId="77777777" w:rsidR="00FA0363" w:rsidRDefault="00FA0363" w:rsidP="00FA0363">
      <w:pPr>
        <w:pStyle w:val="13"/>
      </w:pPr>
      <w:r>
        <w:rPr>
          <w:rFonts w:hint="eastAsia"/>
        </w:rPr>
        <w:t>以上行为涉及多方股东或债权人权益的，按规定不对相关资产进行评估时应事先按照《公司法》、企业章程等法律法规履行相应决策程序。</w:t>
      </w:r>
    </w:p>
    <w:p w14:paraId="0487077D" w14:textId="401557A5" w:rsidR="00FA0363" w:rsidRDefault="004E3EBB" w:rsidP="00FA0363">
      <w:pPr>
        <w:pStyle w:val="13"/>
        <w:ind w:firstLine="482"/>
      </w:pPr>
      <w:r w:rsidRPr="004E3EBB">
        <w:rPr>
          <w:rFonts w:hint="eastAsia"/>
          <w:b/>
          <w:bCs/>
        </w:rPr>
        <w:t xml:space="preserve">第七条 </w:t>
      </w:r>
      <w:r w:rsidR="00FA0363">
        <w:t>企业发生第五条所列经济行为时，原则上由产权持有单位委托评估机构进行评估，具体按以下情形委托：</w:t>
      </w:r>
    </w:p>
    <w:p w14:paraId="4B36EE7F" w14:textId="77777777" w:rsidR="00FA0363" w:rsidRDefault="00FA0363" w:rsidP="00FA0363">
      <w:pPr>
        <w:pStyle w:val="13"/>
      </w:pPr>
      <w:r>
        <w:rPr>
          <w:rFonts w:hint="eastAsia"/>
        </w:rPr>
        <w:t>（一）企业发生整体或者部分改建为有限公司或者股份公司、合并、分立等经济行为时，涉及的资产评估项目由企业的出资人委托；经出资人同意，也可以由企业委托。</w:t>
      </w:r>
    </w:p>
    <w:p w14:paraId="15685ECC" w14:textId="77777777" w:rsidR="00FA0363" w:rsidRDefault="00FA0363" w:rsidP="00FA0363">
      <w:pPr>
        <w:pStyle w:val="13"/>
      </w:pPr>
      <w:r>
        <w:rPr>
          <w:rFonts w:hint="eastAsia"/>
        </w:rPr>
        <w:t>（二）企业发生转让所持企业产权经济行为时，涉及的资产评估项目由转让方委托。</w:t>
      </w:r>
    </w:p>
    <w:p w14:paraId="600977B9" w14:textId="77777777" w:rsidR="00FA0363" w:rsidRDefault="00FA0363" w:rsidP="00FA0363">
      <w:pPr>
        <w:pStyle w:val="13"/>
      </w:pPr>
      <w:r>
        <w:rPr>
          <w:rFonts w:hint="eastAsia"/>
        </w:rPr>
        <w:t>（三）企业发生增资，减资，转让、</w:t>
      </w:r>
      <w:proofErr w:type="gramStart"/>
      <w:r>
        <w:rPr>
          <w:rFonts w:hint="eastAsia"/>
        </w:rPr>
        <w:t>置换非</w:t>
      </w:r>
      <w:proofErr w:type="gramEnd"/>
      <w:r>
        <w:rPr>
          <w:rFonts w:hint="eastAsia"/>
        </w:rPr>
        <w:t>货币资产，以非货币资产对外出资、偿还债务，对外租赁资产等经济行为时，涉及的资产评估项目由企业委托。</w:t>
      </w:r>
    </w:p>
    <w:p w14:paraId="6642D636" w14:textId="77777777" w:rsidR="00FA0363" w:rsidRDefault="00FA0363" w:rsidP="00FA0363">
      <w:pPr>
        <w:pStyle w:val="13"/>
      </w:pPr>
      <w:r>
        <w:rPr>
          <w:rFonts w:hint="eastAsia"/>
        </w:rPr>
        <w:t>（四）企业发生收购其他企业产权、非货币资产，对其他企业增资，接受非货币资产出资、抵债等经济行为时，涉及的资产评估项目一般由收购方或接受方委托。</w:t>
      </w:r>
    </w:p>
    <w:p w14:paraId="2D20C5F0" w14:textId="77777777" w:rsidR="00FA0363" w:rsidRDefault="00FA0363" w:rsidP="00FA0363">
      <w:pPr>
        <w:pStyle w:val="13"/>
      </w:pPr>
      <w:r>
        <w:rPr>
          <w:rFonts w:hint="eastAsia"/>
        </w:rPr>
        <w:t>（五）企业发生破产、解散、涉讼资产处置等经济行为时，按有关规定，涉及的资产评估项目分别由破产管理人、清算组和人民法院委托。</w:t>
      </w:r>
    </w:p>
    <w:p w14:paraId="5D564660" w14:textId="77777777" w:rsidR="00FA0363" w:rsidRDefault="00FA0363" w:rsidP="00FA0363">
      <w:pPr>
        <w:pStyle w:val="13"/>
      </w:pPr>
      <w:r>
        <w:rPr>
          <w:rFonts w:hint="eastAsia"/>
        </w:rPr>
        <w:t>（六）资产评估项目经济行为双方均为国有及国有控制企业时，经协商一致，可以共同委托评估。</w:t>
      </w:r>
    </w:p>
    <w:p w14:paraId="51D6C7EF" w14:textId="6A6730B8" w:rsidR="00FA0363" w:rsidRDefault="004E3EBB" w:rsidP="00FA0363">
      <w:pPr>
        <w:pStyle w:val="13"/>
        <w:ind w:firstLine="482"/>
      </w:pPr>
      <w:r w:rsidRPr="004E3EBB">
        <w:rPr>
          <w:rFonts w:hint="eastAsia"/>
          <w:b/>
          <w:bCs/>
        </w:rPr>
        <w:lastRenderedPageBreak/>
        <w:t xml:space="preserve">第八条 </w:t>
      </w:r>
      <w:r w:rsidR="00FA0363">
        <w:t>企业选聘评估机构应当按照《山东省国资委关于调整改进中介机构选聘工作的通知》（</w:t>
      </w:r>
      <w:proofErr w:type="gramStart"/>
      <w:r w:rsidR="00FA0363">
        <w:t>鲁国资董监</w:t>
      </w:r>
      <w:proofErr w:type="gramEnd"/>
      <w:r w:rsidR="00FA0363">
        <w:t>字〔2015〕2号）、《山东省国资委关于委托山东产权交易中心有限公司代理中介机构选聘工作的通知》（</w:t>
      </w:r>
      <w:proofErr w:type="gramStart"/>
      <w:r w:rsidR="00FA0363">
        <w:t>鲁国资董监</w:t>
      </w:r>
      <w:proofErr w:type="gramEnd"/>
      <w:r w:rsidR="00FA0363">
        <w:t>字〔2016〕1号）等规定进行。同时，评估机构应当具备下列基本条件：</w:t>
      </w:r>
    </w:p>
    <w:p w14:paraId="37C10DB7" w14:textId="77777777" w:rsidR="00FA0363" w:rsidRDefault="00FA0363" w:rsidP="00FA0363">
      <w:pPr>
        <w:pStyle w:val="13"/>
      </w:pPr>
      <w:r>
        <w:rPr>
          <w:rFonts w:hint="eastAsia"/>
        </w:rPr>
        <w:t>（一）遵守法律法规及制度规定，近</w:t>
      </w:r>
      <w:r>
        <w:t>3年内没有违法、违规执业记录；</w:t>
      </w:r>
    </w:p>
    <w:p w14:paraId="043802EC" w14:textId="77777777" w:rsidR="00FA0363" w:rsidRDefault="00FA0363" w:rsidP="00FA0363">
      <w:pPr>
        <w:pStyle w:val="13"/>
      </w:pPr>
      <w:r>
        <w:rPr>
          <w:rFonts w:hint="eastAsia"/>
        </w:rPr>
        <w:t>（二）具备与评估对象相适应的资质条件和专业人员；</w:t>
      </w:r>
    </w:p>
    <w:p w14:paraId="73D4B840" w14:textId="77777777" w:rsidR="00FA0363" w:rsidRDefault="00FA0363" w:rsidP="00FA0363">
      <w:pPr>
        <w:pStyle w:val="13"/>
      </w:pPr>
      <w:r>
        <w:rPr>
          <w:rFonts w:hint="eastAsia"/>
        </w:rPr>
        <w:t>（三）与评估委托方、被评估企业及相关当事人没有利害关系；</w:t>
      </w:r>
    </w:p>
    <w:p w14:paraId="42AD6902" w14:textId="77777777" w:rsidR="00FA0363" w:rsidRDefault="00FA0363" w:rsidP="00FA0363">
      <w:pPr>
        <w:pStyle w:val="13"/>
      </w:pPr>
      <w:r>
        <w:rPr>
          <w:rFonts w:hint="eastAsia"/>
        </w:rPr>
        <w:t>（四）关联方未向同一经济行为提供审计、咨询等业务服务；</w:t>
      </w:r>
    </w:p>
    <w:p w14:paraId="11A25203" w14:textId="77777777" w:rsidR="00FA0363" w:rsidRDefault="00FA0363" w:rsidP="00FA0363">
      <w:pPr>
        <w:pStyle w:val="13"/>
      </w:pPr>
      <w:r>
        <w:rPr>
          <w:rFonts w:hint="eastAsia"/>
        </w:rPr>
        <w:t>（五）除可以共同委托情形外，未接受同一经济行为交易对方的委托。</w:t>
      </w:r>
    </w:p>
    <w:p w14:paraId="1B31003A" w14:textId="50C054D1" w:rsidR="00FA0363" w:rsidRDefault="00E05BDA" w:rsidP="00FA0363">
      <w:pPr>
        <w:pStyle w:val="13"/>
        <w:ind w:firstLine="482"/>
      </w:pPr>
      <w:r w:rsidRPr="00E05BDA">
        <w:rPr>
          <w:rFonts w:hint="eastAsia"/>
          <w:b/>
          <w:bCs/>
        </w:rPr>
        <w:t xml:space="preserve">第九条 </w:t>
      </w:r>
      <w:r w:rsidR="00FA0363">
        <w:t>资产评估项目基准日原则上为经济行为</w:t>
      </w:r>
      <w:proofErr w:type="gramStart"/>
      <w:r w:rsidR="00FA0363">
        <w:t>批准日</w:t>
      </w:r>
      <w:proofErr w:type="gramEnd"/>
      <w:r w:rsidR="00FA0363">
        <w:t>的上月末，并应当尽可能接近经济行为的实施日期。</w:t>
      </w:r>
    </w:p>
    <w:p w14:paraId="41E28152" w14:textId="7D3C06AB" w:rsidR="00FA0363" w:rsidRDefault="00E05BDA" w:rsidP="00FA0363">
      <w:pPr>
        <w:pStyle w:val="13"/>
        <w:ind w:firstLine="482"/>
      </w:pPr>
      <w:r w:rsidRPr="00E05BDA">
        <w:rPr>
          <w:rFonts w:hint="eastAsia"/>
          <w:b/>
          <w:bCs/>
        </w:rPr>
        <w:t xml:space="preserve">第十条 </w:t>
      </w:r>
      <w:r w:rsidR="00FA0363">
        <w:t>涉及对企业价值进行评估的资产评估项目，企业应当委托审计机构进行专项审计，提供与经济行为相对应的评估基准日审计报告。其中，对经济行为实施后企业国有权益比例降低的资产评估项目，应提供三年一期的专项审计报告。涉及参股权转让不宜单独进行专项审计的，应当取得转让标的企业最近一期年度审计报告。国有独资企业</w:t>
      </w:r>
      <w:r w:rsidR="00FA0363">
        <w:rPr>
          <w:rFonts w:hint="eastAsia"/>
        </w:rPr>
        <w:t>改为国有独资公司的，可以提供企业经审计的上一年度审计报告。</w:t>
      </w:r>
    </w:p>
    <w:p w14:paraId="2987EEDF" w14:textId="57A17DC0" w:rsidR="00FA0363" w:rsidRDefault="00E05BDA" w:rsidP="00FA0363">
      <w:pPr>
        <w:pStyle w:val="13"/>
        <w:ind w:firstLine="482"/>
      </w:pPr>
      <w:r w:rsidRPr="00E05BDA">
        <w:rPr>
          <w:rFonts w:hint="eastAsia"/>
          <w:b/>
          <w:bCs/>
        </w:rPr>
        <w:t xml:space="preserve">第十一条 </w:t>
      </w:r>
      <w:r w:rsidR="00FA0363">
        <w:t>对涉及国有股东权益变动的国有资产评估项目，省国资委或省属企业在核准或备案前应当对评估结果进行公示，公示时间为7个工作日，公示地点原则上为评估委托方和被评估企业。根据有关制度规定，评估结果不宜对外披露的，可以在企业内部公示或不进行公示。</w:t>
      </w:r>
    </w:p>
    <w:p w14:paraId="5EE3B0CF" w14:textId="6CFAFDC8" w:rsidR="00FA0363" w:rsidRDefault="00FA0363" w:rsidP="00AF7342">
      <w:pPr>
        <w:pStyle w:val="a9"/>
        <w:spacing w:before="62" w:after="62"/>
      </w:pPr>
      <w:r>
        <w:rPr>
          <w:rFonts w:hint="eastAsia"/>
        </w:rPr>
        <w:t>第三章</w:t>
      </w:r>
      <w:r w:rsidR="008A2152">
        <w:rPr>
          <w:rFonts w:hint="eastAsia"/>
        </w:rPr>
        <w:t xml:space="preserve"> </w:t>
      </w:r>
      <w:r>
        <w:t>资产评估项目核准与备案</w:t>
      </w:r>
    </w:p>
    <w:p w14:paraId="6002E032" w14:textId="0A317282" w:rsidR="00FA0363" w:rsidRDefault="00E05BDA" w:rsidP="00FA0363">
      <w:pPr>
        <w:pStyle w:val="13"/>
        <w:ind w:firstLine="482"/>
      </w:pPr>
      <w:r w:rsidRPr="00E05BDA">
        <w:rPr>
          <w:rFonts w:hint="eastAsia"/>
          <w:b/>
          <w:bCs/>
        </w:rPr>
        <w:t xml:space="preserve">第十二条 </w:t>
      </w:r>
      <w:r w:rsidR="00FA0363">
        <w:t>省政府批准的经济行为以及省国资委批准的企业公司制或股份制改建、合并、分立、转让企业产权、增资、与上市公司进行资产重组等经济行为，涉及的资产评估项目由省国资委负责核准；省国资委批准的其他经济行为，涉及的资产评估项目由省国资委负责备案。</w:t>
      </w:r>
    </w:p>
    <w:p w14:paraId="695FC6B0" w14:textId="77777777" w:rsidR="00FA0363" w:rsidRDefault="00FA0363" w:rsidP="00FA0363">
      <w:pPr>
        <w:pStyle w:val="13"/>
      </w:pPr>
      <w:r>
        <w:rPr>
          <w:rFonts w:hint="eastAsia"/>
        </w:rPr>
        <w:t>省属企业及各级子企业批准的各类经济行为，涉及的资产评估项目由省属企业负责备案。</w:t>
      </w:r>
    </w:p>
    <w:p w14:paraId="1A5636B1" w14:textId="2A927F96" w:rsidR="00FA0363" w:rsidRDefault="00E05BDA" w:rsidP="00FA0363">
      <w:pPr>
        <w:pStyle w:val="13"/>
        <w:ind w:firstLine="482"/>
      </w:pPr>
      <w:r w:rsidRPr="00E05BDA">
        <w:rPr>
          <w:rFonts w:hint="eastAsia"/>
          <w:b/>
          <w:bCs/>
        </w:rPr>
        <w:t xml:space="preserve">第十三条 </w:t>
      </w:r>
      <w:r w:rsidR="00FA0363">
        <w:t>资产评估项目核准或备案前，企业应当逐级对评估报告进行审核。需要报省国资委核准或备案的资产评估项目，省国资委派驻省属企业财务总监应出具独立审核意见。资产评估报告审核要点见附件1。</w:t>
      </w:r>
    </w:p>
    <w:p w14:paraId="787CD53A" w14:textId="5EAD15A1" w:rsidR="00FA0363" w:rsidRDefault="00E05BDA" w:rsidP="00FA0363">
      <w:pPr>
        <w:pStyle w:val="13"/>
        <w:ind w:firstLine="482"/>
      </w:pPr>
      <w:r w:rsidRPr="00E05BDA">
        <w:rPr>
          <w:rFonts w:hint="eastAsia"/>
          <w:b/>
          <w:bCs/>
        </w:rPr>
        <w:t xml:space="preserve">第十四条 </w:t>
      </w:r>
      <w:r w:rsidR="00FA0363">
        <w:t>资产评估项目核准与备案按以下程序进行：</w:t>
      </w:r>
    </w:p>
    <w:p w14:paraId="680D035C" w14:textId="77777777" w:rsidR="00FA0363" w:rsidRDefault="00FA0363" w:rsidP="00FA0363">
      <w:pPr>
        <w:pStyle w:val="13"/>
      </w:pPr>
      <w:r>
        <w:rPr>
          <w:rFonts w:hint="eastAsia"/>
        </w:rPr>
        <w:t>（一）企业应当在评估基准日起</w:t>
      </w:r>
      <w:r>
        <w:t>9个月内将核准或备案申请材料逐级上报省国资委或省属企业。</w:t>
      </w:r>
    </w:p>
    <w:p w14:paraId="5646D2D6" w14:textId="77777777" w:rsidR="00FA0363" w:rsidRDefault="00FA0363" w:rsidP="00FA0363">
      <w:pPr>
        <w:pStyle w:val="13"/>
      </w:pPr>
      <w:r>
        <w:rPr>
          <w:rFonts w:hint="eastAsia"/>
        </w:rPr>
        <w:t>（二）省国资委或省属企业按规定程序对评估报告进行审核。其中，省国资委负</w:t>
      </w:r>
      <w:r>
        <w:rPr>
          <w:rFonts w:hint="eastAsia"/>
        </w:rPr>
        <w:lastRenderedPageBreak/>
        <w:t>责核准或备案的资产评估项目以及省属企业负责备案的重大资产评估项目，应当按照《山东省国资委关于印发省属企业资产评估项目专家评审办法的通知》（鲁国资产权〔</w:t>
      </w:r>
      <w:r>
        <w:t>2016〕3号）规定，组织评审专家进行审核，省国资委或省属企业根据专家评审意见，对资产评估项目</w:t>
      </w:r>
      <w:proofErr w:type="gramStart"/>
      <w:r>
        <w:t>作出</w:t>
      </w:r>
      <w:proofErr w:type="gramEnd"/>
      <w:r>
        <w:t>核准（备案）或不予核准（备案）的决定。</w:t>
      </w:r>
    </w:p>
    <w:p w14:paraId="76134397" w14:textId="77777777" w:rsidR="00FA0363" w:rsidRDefault="00FA0363" w:rsidP="00FA0363">
      <w:pPr>
        <w:pStyle w:val="13"/>
      </w:pPr>
      <w:r>
        <w:rPr>
          <w:rFonts w:hint="eastAsia"/>
        </w:rPr>
        <w:t>（三）资产评估项目核准或备案工作应当在</w:t>
      </w:r>
      <w:r>
        <w:t>20个工作日内完成，因评估报告存在问题需要整改的，完成时限相应顺延。</w:t>
      </w:r>
    </w:p>
    <w:p w14:paraId="5C14EE9E" w14:textId="77777777" w:rsidR="00FA0363" w:rsidRDefault="00FA0363" w:rsidP="00FA0363">
      <w:pPr>
        <w:pStyle w:val="13"/>
      </w:pPr>
      <w:r>
        <w:rPr>
          <w:rFonts w:hint="eastAsia"/>
        </w:rPr>
        <w:t>（四）经审核发现评估报告存在问题的，省国资委或省属企业应向企业反馈书面意见。企业应当在</w:t>
      </w:r>
      <w:r>
        <w:t>10个工作日内将书面整改意见、评估补充报告及相关资料报送省国资委或省属企业进行重新审核。</w:t>
      </w:r>
    </w:p>
    <w:p w14:paraId="2A12F97E" w14:textId="16BD63E9" w:rsidR="00FA0363" w:rsidRDefault="00E05BDA" w:rsidP="00FA0363">
      <w:pPr>
        <w:pStyle w:val="13"/>
        <w:ind w:firstLine="482"/>
      </w:pPr>
      <w:r w:rsidRPr="00E05BDA">
        <w:rPr>
          <w:rFonts w:hint="eastAsia"/>
          <w:b/>
          <w:bCs/>
        </w:rPr>
        <w:t xml:space="preserve">第十五条 </w:t>
      </w:r>
      <w:r w:rsidR="00FA0363">
        <w:t>企业申请资产评估项目核准或备案时,应当报送下列文件材料:</w:t>
      </w:r>
    </w:p>
    <w:p w14:paraId="34FA254D" w14:textId="77777777" w:rsidR="00FA0363" w:rsidRDefault="00FA0363" w:rsidP="00FA0363">
      <w:pPr>
        <w:pStyle w:val="13"/>
      </w:pPr>
      <w:r>
        <w:rPr>
          <w:rFonts w:hint="eastAsia"/>
        </w:rPr>
        <w:t>（一）资产评估项目核准或备案申请文件，以及相对应的《资产评估项目核准申请表》（附件</w:t>
      </w:r>
      <w:r>
        <w:t>2）或《国有资产评估项目备案表》（附件3）；</w:t>
      </w:r>
    </w:p>
    <w:p w14:paraId="7B75BC3B" w14:textId="77777777" w:rsidR="00FA0363" w:rsidRDefault="00FA0363" w:rsidP="00FA0363">
      <w:pPr>
        <w:pStyle w:val="13"/>
      </w:pPr>
      <w:r>
        <w:rPr>
          <w:rFonts w:hint="eastAsia"/>
        </w:rPr>
        <w:t>（二）与资产评估项目相对应的经济行为批准文件或有效材料；</w:t>
      </w:r>
    </w:p>
    <w:p w14:paraId="6EC32BA7" w14:textId="77777777" w:rsidR="00FA0363" w:rsidRDefault="00FA0363" w:rsidP="00FA0363">
      <w:pPr>
        <w:pStyle w:val="13"/>
      </w:pPr>
      <w:r>
        <w:rPr>
          <w:rFonts w:hint="eastAsia"/>
        </w:rPr>
        <w:t>（三）资产评估项目涉及的资产重组或改制方案、发起人协议等；</w:t>
      </w:r>
    </w:p>
    <w:p w14:paraId="506E8833" w14:textId="77777777" w:rsidR="00FA0363" w:rsidRDefault="00FA0363" w:rsidP="00FA0363">
      <w:pPr>
        <w:pStyle w:val="13"/>
      </w:pPr>
      <w:r>
        <w:rPr>
          <w:rFonts w:hint="eastAsia"/>
        </w:rPr>
        <w:t>（四）资产评估报告及其电子文档，包括评估报告、评估说明、评估明细表、评估报告附件、收益法评估计算表格等，涉及土地估价、矿业权评估的资产评估项目，还应包括土地使用权估价报告、矿业权评估报告及其电子文档（各类评估明细表和计算表格电子文档应当为包含计算链接的</w:t>
      </w:r>
      <w:r>
        <w:t>Excel格式文档）；</w:t>
      </w:r>
    </w:p>
    <w:p w14:paraId="3B6BE0F9" w14:textId="77777777" w:rsidR="00FA0363" w:rsidRDefault="00FA0363" w:rsidP="00FA0363">
      <w:pPr>
        <w:pStyle w:val="13"/>
      </w:pPr>
      <w:r>
        <w:rPr>
          <w:rFonts w:hint="eastAsia"/>
        </w:rPr>
        <w:t>（五）评估委托方、被评估企业的营业执照和产权登记证（表）；</w:t>
      </w:r>
    </w:p>
    <w:p w14:paraId="34A27F22" w14:textId="77777777" w:rsidR="00FA0363" w:rsidRDefault="00FA0363" w:rsidP="00FA0363">
      <w:pPr>
        <w:pStyle w:val="13"/>
      </w:pPr>
      <w:r>
        <w:rPr>
          <w:rFonts w:hint="eastAsia"/>
        </w:rPr>
        <w:t>（六）资产评估各当事方的相关承诺函；</w:t>
      </w:r>
    </w:p>
    <w:p w14:paraId="58F40A8D" w14:textId="77777777" w:rsidR="00FA0363" w:rsidRDefault="00FA0363" w:rsidP="00FA0363">
      <w:pPr>
        <w:pStyle w:val="13"/>
      </w:pPr>
      <w:r>
        <w:rPr>
          <w:rFonts w:hint="eastAsia"/>
        </w:rPr>
        <w:t>（七）评估业务委托合同；</w:t>
      </w:r>
    </w:p>
    <w:p w14:paraId="25459CD7" w14:textId="77777777" w:rsidR="00FA0363" w:rsidRDefault="00FA0363" w:rsidP="00FA0363">
      <w:pPr>
        <w:pStyle w:val="13"/>
      </w:pPr>
      <w:r>
        <w:rPr>
          <w:rFonts w:hint="eastAsia"/>
        </w:rPr>
        <w:t>（八）企业逐级对评估报告的审核意见；</w:t>
      </w:r>
    </w:p>
    <w:p w14:paraId="7A9EA0DE" w14:textId="77777777" w:rsidR="00FA0363" w:rsidRDefault="00FA0363" w:rsidP="00FA0363">
      <w:pPr>
        <w:pStyle w:val="13"/>
      </w:pPr>
      <w:r>
        <w:rPr>
          <w:rFonts w:hint="eastAsia"/>
        </w:rPr>
        <w:t>（九）由省国资委核准或备案的资产评估项目，报送派驻财务总监对评估报告的审核意见；</w:t>
      </w:r>
    </w:p>
    <w:p w14:paraId="328E70C4" w14:textId="77777777" w:rsidR="00FA0363" w:rsidRDefault="00FA0363" w:rsidP="00FA0363">
      <w:pPr>
        <w:pStyle w:val="13"/>
      </w:pPr>
      <w:r>
        <w:rPr>
          <w:rFonts w:hint="eastAsia"/>
        </w:rPr>
        <w:t>（十）经济行为实施按规定需要对被评估企业法定代表人进行经济责任审计的，报送相关审计意见；</w:t>
      </w:r>
    </w:p>
    <w:p w14:paraId="1D88DC75" w14:textId="77777777" w:rsidR="00FA0363" w:rsidRDefault="00FA0363" w:rsidP="00FA0363">
      <w:pPr>
        <w:pStyle w:val="13"/>
      </w:pPr>
      <w:r>
        <w:rPr>
          <w:rFonts w:hint="eastAsia"/>
        </w:rPr>
        <w:t>（十一）对需要公示的资产评估项目，评估结果公示结束后，报送公示情况的说明、公示文本及公示照片；</w:t>
      </w:r>
    </w:p>
    <w:p w14:paraId="267E3266" w14:textId="77777777" w:rsidR="00FA0363" w:rsidRDefault="00FA0363" w:rsidP="00FA0363">
      <w:pPr>
        <w:pStyle w:val="13"/>
      </w:pPr>
      <w:r>
        <w:rPr>
          <w:rFonts w:hint="eastAsia"/>
        </w:rPr>
        <w:t>（十二）其他需要提交的材料。</w:t>
      </w:r>
    </w:p>
    <w:p w14:paraId="526027E1" w14:textId="63C40341" w:rsidR="00FA0363" w:rsidRDefault="00E05BDA" w:rsidP="00FA0363">
      <w:pPr>
        <w:pStyle w:val="13"/>
        <w:ind w:firstLine="482"/>
      </w:pPr>
      <w:r w:rsidRPr="00E05BDA">
        <w:rPr>
          <w:rFonts w:hint="eastAsia"/>
          <w:b/>
          <w:bCs/>
        </w:rPr>
        <w:t xml:space="preserve">第十六条 </w:t>
      </w:r>
      <w:r w:rsidR="00FA0363">
        <w:t>省国资委、省属企业核准或备案资产评估项目，应当重点审核下列事项：</w:t>
      </w:r>
    </w:p>
    <w:p w14:paraId="4DE6BEC0" w14:textId="77777777" w:rsidR="00FA0363" w:rsidRDefault="00FA0363" w:rsidP="00FA0363">
      <w:pPr>
        <w:pStyle w:val="13"/>
      </w:pPr>
      <w:r>
        <w:rPr>
          <w:rFonts w:hint="eastAsia"/>
        </w:rPr>
        <w:t>（一）资产评估项目所涉及经济行为的批准情况，经济行为应当合法、有效，评估目的与经济行为批准情况一致；</w:t>
      </w:r>
    </w:p>
    <w:p w14:paraId="2830A7B0" w14:textId="77777777" w:rsidR="00FA0363" w:rsidRDefault="00FA0363" w:rsidP="00FA0363">
      <w:pPr>
        <w:pStyle w:val="13"/>
      </w:pPr>
      <w:r>
        <w:rPr>
          <w:rFonts w:hint="eastAsia"/>
        </w:rPr>
        <w:t>（二）评估报告与有关审计报告的衔接情况；</w:t>
      </w:r>
    </w:p>
    <w:p w14:paraId="6D9DDFE7" w14:textId="77777777" w:rsidR="00FA0363" w:rsidRDefault="00FA0363" w:rsidP="00FA0363">
      <w:pPr>
        <w:pStyle w:val="13"/>
      </w:pPr>
      <w:r>
        <w:rPr>
          <w:rFonts w:hint="eastAsia"/>
        </w:rPr>
        <w:lastRenderedPageBreak/>
        <w:t>（三）评估范围的完整性，以及与经济行为批准情况的一致性；</w:t>
      </w:r>
    </w:p>
    <w:p w14:paraId="5CA3A05F" w14:textId="77777777" w:rsidR="00FA0363" w:rsidRDefault="00FA0363" w:rsidP="00FA0363">
      <w:pPr>
        <w:pStyle w:val="13"/>
      </w:pPr>
      <w:r>
        <w:rPr>
          <w:rFonts w:hint="eastAsia"/>
        </w:rPr>
        <w:t>（四）评估基准日选取的合</w:t>
      </w:r>
      <w:proofErr w:type="gramStart"/>
      <w:r>
        <w:rPr>
          <w:rFonts w:hint="eastAsia"/>
        </w:rPr>
        <w:t>规</w:t>
      </w:r>
      <w:proofErr w:type="gramEnd"/>
      <w:r>
        <w:rPr>
          <w:rFonts w:hint="eastAsia"/>
        </w:rPr>
        <w:t>性；</w:t>
      </w:r>
    </w:p>
    <w:p w14:paraId="0C4C354E" w14:textId="77777777" w:rsidR="00FA0363" w:rsidRDefault="00FA0363" w:rsidP="00FA0363">
      <w:pPr>
        <w:pStyle w:val="13"/>
      </w:pPr>
      <w:r>
        <w:rPr>
          <w:rFonts w:hint="eastAsia"/>
        </w:rPr>
        <w:t>（五）评估报告格式和内容的合</w:t>
      </w:r>
      <w:proofErr w:type="gramStart"/>
      <w:r>
        <w:rPr>
          <w:rFonts w:hint="eastAsia"/>
        </w:rPr>
        <w:t>规</w:t>
      </w:r>
      <w:proofErr w:type="gramEnd"/>
      <w:r>
        <w:rPr>
          <w:rFonts w:hint="eastAsia"/>
        </w:rPr>
        <w:t>性；</w:t>
      </w:r>
    </w:p>
    <w:p w14:paraId="62A5AE2D" w14:textId="77777777" w:rsidR="00FA0363" w:rsidRDefault="00FA0363" w:rsidP="00FA0363">
      <w:pPr>
        <w:pStyle w:val="13"/>
      </w:pPr>
      <w:r>
        <w:rPr>
          <w:rFonts w:hint="eastAsia"/>
        </w:rPr>
        <w:t>（六）评估价值类型、评估假设、评估方法、评估模型、评估技术参数、预测数据的合</w:t>
      </w:r>
      <w:proofErr w:type="gramStart"/>
      <w:r>
        <w:rPr>
          <w:rFonts w:hint="eastAsia"/>
        </w:rPr>
        <w:t>规</w:t>
      </w:r>
      <w:proofErr w:type="gramEnd"/>
      <w:r>
        <w:rPr>
          <w:rFonts w:hint="eastAsia"/>
        </w:rPr>
        <w:t>性、合理性；</w:t>
      </w:r>
    </w:p>
    <w:p w14:paraId="0917E113" w14:textId="77777777" w:rsidR="00FA0363" w:rsidRDefault="00FA0363" w:rsidP="00FA0363">
      <w:pPr>
        <w:pStyle w:val="13"/>
      </w:pPr>
      <w:r>
        <w:rPr>
          <w:rFonts w:hint="eastAsia"/>
        </w:rPr>
        <w:t>（七）评估依据的真实性、合理性、充分性，相关企业应当就所提供的资产权属证明文件、财务会计资料及生产经营管理资料的真实性、合法性和完整性做出书面承诺；</w:t>
      </w:r>
    </w:p>
    <w:p w14:paraId="74223884" w14:textId="77777777" w:rsidR="00FA0363" w:rsidRDefault="00FA0363" w:rsidP="00FA0363">
      <w:pPr>
        <w:pStyle w:val="13"/>
      </w:pPr>
      <w:r>
        <w:rPr>
          <w:rFonts w:hint="eastAsia"/>
        </w:rPr>
        <w:t>（八）评估程序履行的规范性；</w:t>
      </w:r>
    </w:p>
    <w:p w14:paraId="5FDF1D02" w14:textId="77777777" w:rsidR="00FA0363" w:rsidRDefault="00FA0363" w:rsidP="00FA0363">
      <w:pPr>
        <w:pStyle w:val="13"/>
      </w:pPr>
      <w:r>
        <w:rPr>
          <w:rFonts w:hint="eastAsia"/>
        </w:rPr>
        <w:t>（九）评估计算的准确性；</w:t>
      </w:r>
    </w:p>
    <w:p w14:paraId="0D68B5B7" w14:textId="77777777" w:rsidR="00FA0363" w:rsidRDefault="00FA0363" w:rsidP="00FA0363">
      <w:pPr>
        <w:pStyle w:val="13"/>
      </w:pPr>
      <w:r>
        <w:rPr>
          <w:rFonts w:hint="eastAsia"/>
        </w:rPr>
        <w:t>（十）评估结论的公允性；</w:t>
      </w:r>
    </w:p>
    <w:p w14:paraId="050FD4BF" w14:textId="77777777" w:rsidR="00FA0363" w:rsidRDefault="00FA0363" w:rsidP="00FA0363">
      <w:pPr>
        <w:pStyle w:val="13"/>
      </w:pPr>
      <w:r>
        <w:rPr>
          <w:rFonts w:hint="eastAsia"/>
        </w:rPr>
        <w:t>（十一）评估特别事项披露和处理的完整性、合</w:t>
      </w:r>
      <w:proofErr w:type="gramStart"/>
      <w:r>
        <w:rPr>
          <w:rFonts w:hint="eastAsia"/>
        </w:rPr>
        <w:t>规</w:t>
      </w:r>
      <w:proofErr w:type="gramEnd"/>
      <w:r>
        <w:rPr>
          <w:rFonts w:hint="eastAsia"/>
        </w:rPr>
        <w:t>性；</w:t>
      </w:r>
    </w:p>
    <w:p w14:paraId="4B615DC1" w14:textId="77777777" w:rsidR="00FA0363" w:rsidRDefault="00FA0363" w:rsidP="00FA0363">
      <w:pPr>
        <w:pStyle w:val="13"/>
      </w:pPr>
      <w:r>
        <w:rPr>
          <w:rFonts w:hint="eastAsia"/>
        </w:rPr>
        <w:t>（十二）评估报告附件的完整性、相关性、真实性；</w:t>
      </w:r>
    </w:p>
    <w:p w14:paraId="7156A20E" w14:textId="77777777" w:rsidR="00FA0363" w:rsidRDefault="00FA0363" w:rsidP="00FA0363">
      <w:pPr>
        <w:pStyle w:val="13"/>
      </w:pPr>
      <w:r>
        <w:rPr>
          <w:rFonts w:hint="eastAsia"/>
        </w:rPr>
        <w:t>（十三）评估机构及评估人员评估资格证明的合</w:t>
      </w:r>
      <w:proofErr w:type="gramStart"/>
      <w:r>
        <w:rPr>
          <w:rFonts w:hint="eastAsia"/>
        </w:rPr>
        <w:t>规</w:t>
      </w:r>
      <w:proofErr w:type="gramEnd"/>
      <w:r>
        <w:rPr>
          <w:rFonts w:hint="eastAsia"/>
        </w:rPr>
        <w:t>性；</w:t>
      </w:r>
    </w:p>
    <w:p w14:paraId="2393F756" w14:textId="77777777" w:rsidR="00FA0363" w:rsidRDefault="00FA0363" w:rsidP="00FA0363">
      <w:pPr>
        <w:pStyle w:val="13"/>
      </w:pPr>
      <w:r>
        <w:rPr>
          <w:rFonts w:hint="eastAsia"/>
        </w:rPr>
        <w:t>（十四）其他影响评估管理规范性和评估结果公允性的事项。</w:t>
      </w:r>
    </w:p>
    <w:p w14:paraId="7E8468A4" w14:textId="4266D9CF" w:rsidR="00FA0363" w:rsidRDefault="00E05BDA" w:rsidP="00FA0363">
      <w:pPr>
        <w:pStyle w:val="13"/>
        <w:ind w:firstLine="482"/>
      </w:pPr>
      <w:r w:rsidRPr="00E05BDA">
        <w:rPr>
          <w:rFonts w:hint="eastAsia"/>
          <w:b/>
          <w:bCs/>
        </w:rPr>
        <w:t xml:space="preserve">第十七条 </w:t>
      </w:r>
      <w:r w:rsidR="00FA0363">
        <w:t>省国资委、省属企业出具的资产评估项目核准文件或备案表是企业办理产权登记、股权设置和产权转让等相关手续的必备文件。</w:t>
      </w:r>
    </w:p>
    <w:p w14:paraId="38AF69F1" w14:textId="41954EF8" w:rsidR="00FA0363" w:rsidRDefault="00E05BDA" w:rsidP="00FA0363">
      <w:pPr>
        <w:pStyle w:val="13"/>
        <w:ind w:firstLine="482"/>
      </w:pPr>
      <w:r w:rsidRPr="00E05BDA">
        <w:rPr>
          <w:rFonts w:hint="eastAsia"/>
          <w:b/>
          <w:bCs/>
        </w:rPr>
        <w:t xml:space="preserve">第十八条 </w:t>
      </w:r>
      <w:r w:rsidR="00FA0363">
        <w:t>企业进行与资产评估相应的经济行为时，应当以经核准或备案的资产评估结果为作价参考依据。</w:t>
      </w:r>
    </w:p>
    <w:p w14:paraId="3C8020E3" w14:textId="2BD3162E" w:rsidR="00FA0363" w:rsidRDefault="00E05BDA" w:rsidP="00FA0363">
      <w:pPr>
        <w:pStyle w:val="13"/>
        <w:ind w:firstLine="482"/>
      </w:pPr>
      <w:r w:rsidRPr="00E05BDA">
        <w:rPr>
          <w:rFonts w:hint="eastAsia"/>
          <w:b/>
          <w:bCs/>
        </w:rPr>
        <w:t xml:space="preserve">第十九条 </w:t>
      </w:r>
      <w:r w:rsidR="00FA0363">
        <w:t>经核准或备案的资产评估结果使用有效期为自评估基准日起1年。</w:t>
      </w:r>
    </w:p>
    <w:p w14:paraId="1A7A723E" w14:textId="73E6C981" w:rsidR="00FA0363" w:rsidRDefault="00FA0363" w:rsidP="00AF7342">
      <w:pPr>
        <w:pStyle w:val="a9"/>
        <w:spacing w:before="62" w:after="62"/>
      </w:pPr>
      <w:r>
        <w:rPr>
          <w:rFonts w:hint="eastAsia"/>
        </w:rPr>
        <w:t>第四章</w:t>
      </w:r>
      <w:r w:rsidR="008A2152">
        <w:rPr>
          <w:rFonts w:hint="eastAsia"/>
        </w:rPr>
        <w:t xml:space="preserve"> </w:t>
      </w:r>
      <w:r>
        <w:t>监督管理</w:t>
      </w:r>
    </w:p>
    <w:p w14:paraId="667D7CD4" w14:textId="75A5144B" w:rsidR="00FA0363" w:rsidRDefault="00E05BDA" w:rsidP="00FA0363">
      <w:pPr>
        <w:pStyle w:val="13"/>
        <w:ind w:firstLine="482"/>
      </w:pPr>
      <w:r w:rsidRPr="00E05BDA">
        <w:rPr>
          <w:rFonts w:hint="eastAsia"/>
          <w:b/>
          <w:bCs/>
        </w:rPr>
        <w:t xml:space="preserve">第二十条 </w:t>
      </w:r>
      <w:r w:rsidR="00FA0363">
        <w:t>省属企业应当按照《山东省国资委关于建立产权管理事项报告制度的通知》（鲁国资产权〔2013〕3号）要求，按时向省国资委报送所备案的企业资产评估项目基本情况，并于年度终了30个工作日内报送本企业资产评估项目的统计分析资料。</w:t>
      </w:r>
    </w:p>
    <w:p w14:paraId="772AB5B7" w14:textId="5AE260C0" w:rsidR="00FA0363" w:rsidRDefault="00E05BDA" w:rsidP="00FA0363">
      <w:pPr>
        <w:pStyle w:val="13"/>
        <w:ind w:firstLine="482"/>
      </w:pPr>
      <w:r w:rsidRPr="00E05BDA">
        <w:rPr>
          <w:rFonts w:hint="eastAsia"/>
          <w:b/>
          <w:bCs/>
        </w:rPr>
        <w:t xml:space="preserve">第二十一条 </w:t>
      </w:r>
      <w:r w:rsidR="00FA0363">
        <w:t>省国资委定期对省属企业资产评估管理工作进行检查，重点检查企业贯彻执行资产评估管理制度情况和内部评估管理工作运行情况，并对省属企业备案的资产评估项目进行抽查，检查结果以适当方式通报省属企业。</w:t>
      </w:r>
    </w:p>
    <w:p w14:paraId="3C8A327B" w14:textId="628D3EDF" w:rsidR="00FA0363" w:rsidRDefault="00E05BDA" w:rsidP="00FA0363">
      <w:pPr>
        <w:pStyle w:val="13"/>
        <w:ind w:firstLine="482"/>
      </w:pPr>
      <w:r w:rsidRPr="00E05BDA">
        <w:rPr>
          <w:rFonts w:hint="eastAsia"/>
          <w:b/>
          <w:bCs/>
        </w:rPr>
        <w:t xml:space="preserve">第二十二条 </w:t>
      </w:r>
      <w:r w:rsidR="00FA0363">
        <w:t>根据《山东省国资委关于印发省属企业资产评估报告质量评价规则的通知》（鲁国资产权字〔2016〕33号）规定，省国资委、省属企业应当对评估机构出具的评估报告质量进行评价。省国资委定期公布评价结果，评估报告质量评价结果作为选聘评估机构的重要依据。</w:t>
      </w:r>
    </w:p>
    <w:p w14:paraId="1CBF5C0C" w14:textId="77CD50C5" w:rsidR="00FA0363" w:rsidRDefault="00FA0363" w:rsidP="00AF7342">
      <w:pPr>
        <w:pStyle w:val="a9"/>
        <w:spacing w:before="62" w:after="62"/>
      </w:pPr>
      <w:r>
        <w:rPr>
          <w:rFonts w:hint="eastAsia"/>
        </w:rPr>
        <w:lastRenderedPageBreak/>
        <w:t>第五章</w:t>
      </w:r>
      <w:r w:rsidR="008A2152">
        <w:rPr>
          <w:rFonts w:hint="eastAsia"/>
        </w:rPr>
        <w:t xml:space="preserve"> </w:t>
      </w:r>
      <w:r>
        <w:t>工作责任</w:t>
      </w:r>
    </w:p>
    <w:p w14:paraId="743AF725" w14:textId="46E1C117" w:rsidR="00FA0363" w:rsidRDefault="00E05BDA" w:rsidP="00FA0363">
      <w:pPr>
        <w:pStyle w:val="13"/>
        <w:ind w:firstLine="482"/>
      </w:pPr>
      <w:r w:rsidRPr="00E05BDA">
        <w:rPr>
          <w:rFonts w:hint="eastAsia"/>
          <w:b/>
          <w:bCs/>
        </w:rPr>
        <w:t xml:space="preserve">第二十三条 </w:t>
      </w:r>
      <w:r w:rsidR="00FA0363">
        <w:t>企业应当按照有关规定进行资产清查，核实账务，及时向评估机构提供有关情况和资料，并对所提供情况和资料的真实性、合法性和完整性负责，不得隐匿或虚报资产。</w:t>
      </w:r>
    </w:p>
    <w:p w14:paraId="15284EE4" w14:textId="5E278433" w:rsidR="00FA0363" w:rsidRDefault="00E05BDA" w:rsidP="00FA0363">
      <w:pPr>
        <w:pStyle w:val="13"/>
        <w:ind w:firstLine="482"/>
      </w:pPr>
      <w:r w:rsidRPr="00E05BDA">
        <w:rPr>
          <w:rFonts w:hint="eastAsia"/>
          <w:b/>
          <w:bCs/>
        </w:rPr>
        <w:t xml:space="preserve">第二十四条 </w:t>
      </w:r>
      <w:r w:rsidR="00FA0363">
        <w:t>企业应当严格遵守评估管理规定，配合评估机构开展工作，不得以任何</w:t>
      </w:r>
      <w:r w:rsidR="00FA0363">
        <w:rPr>
          <w:rFonts w:hint="eastAsia"/>
        </w:rPr>
        <w:t>形式干预评估机构的正常执业行为，不得与评估机构串通评估作价。</w:t>
      </w:r>
    </w:p>
    <w:p w14:paraId="46672B76" w14:textId="3FFF536F" w:rsidR="00FA0363" w:rsidRDefault="00E05BDA" w:rsidP="00FA0363">
      <w:pPr>
        <w:pStyle w:val="13"/>
        <w:ind w:firstLine="482"/>
      </w:pPr>
      <w:r w:rsidRPr="00E05BDA">
        <w:rPr>
          <w:rFonts w:hint="eastAsia"/>
          <w:b/>
          <w:bCs/>
        </w:rPr>
        <w:t xml:space="preserve">第二十五条 </w:t>
      </w:r>
      <w:r w:rsidR="00FA0363">
        <w:t>企业有下列情形之一的，由省国资委通报批评并责令改正，必要时可依法向人民法院提起诉讼，确认相应的经济行为无效：</w:t>
      </w:r>
    </w:p>
    <w:p w14:paraId="7EFB3544" w14:textId="77777777" w:rsidR="00FA0363" w:rsidRDefault="00FA0363" w:rsidP="00FA0363">
      <w:pPr>
        <w:pStyle w:val="13"/>
      </w:pPr>
      <w:r>
        <w:rPr>
          <w:rFonts w:hint="eastAsia"/>
        </w:rPr>
        <w:t>（一）应当进行资产评估而未进行评估；</w:t>
      </w:r>
    </w:p>
    <w:p w14:paraId="06376506" w14:textId="77777777" w:rsidR="00FA0363" w:rsidRDefault="00FA0363" w:rsidP="00FA0363">
      <w:pPr>
        <w:pStyle w:val="13"/>
      </w:pPr>
      <w:r>
        <w:rPr>
          <w:rFonts w:hint="eastAsia"/>
        </w:rPr>
        <w:t>（二）聘请不符合相应资质条件的评估机构从事资产评估业务；</w:t>
      </w:r>
    </w:p>
    <w:p w14:paraId="162B3946" w14:textId="77777777" w:rsidR="00FA0363" w:rsidRDefault="00FA0363" w:rsidP="00FA0363">
      <w:pPr>
        <w:pStyle w:val="13"/>
      </w:pPr>
      <w:r>
        <w:rPr>
          <w:rFonts w:hint="eastAsia"/>
        </w:rPr>
        <w:t>（三）向评估机构提供虚假情况和资料，或者与资产评估机构串通作弊导致评估结果失实的；</w:t>
      </w:r>
    </w:p>
    <w:p w14:paraId="1340FEB6" w14:textId="77777777" w:rsidR="00FA0363" w:rsidRDefault="00FA0363" w:rsidP="00FA0363">
      <w:pPr>
        <w:pStyle w:val="13"/>
      </w:pPr>
      <w:r>
        <w:rPr>
          <w:rFonts w:hint="eastAsia"/>
        </w:rPr>
        <w:t>（四）应当办理核准、备案而未办理。</w:t>
      </w:r>
    </w:p>
    <w:p w14:paraId="3F783C26" w14:textId="6341AD14" w:rsidR="00FA0363" w:rsidRDefault="00E05BDA" w:rsidP="00FA0363">
      <w:pPr>
        <w:pStyle w:val="13"/>
        <w:ind w:firstLine="482"/>
      </w:pPr>
      <w:r w:rsidRPr="00E05BDA">
        <w:rPr>
          <w:rFonts w:hint="eastAsia"/>
          <w:b/>
          <w:bCs/>
        </w:rPr>
        <w:t xml:space="preserve">第二十六条 </w:t>
      </w:r>
      <w:r w:rsidR="00FA0363">
        <w:t>企业在资产评估中发生违规行为，造成国有资产损失的，对负有直接责任的主管人员和其他责任人员，根据法律法规及有关规定追究责任。</w:t>
      </w:r>
    </w:p>
    <w:p w14:paraId="02A841D8" w14:textId="49E8CE27" w:rsidR="00FA0363" w:rsidRDefault="00E05BDA" w:rsidP="00FA0363">
      <w:pPr>
        <w:pStyle w:val="13"/>
        <w:ind w:firstLine="482"/>
      </w:pPr>
      <w:r w:rsidRPr="00E05BDA">
        <w:rPr>
          <w:rFonts w:hint="eastAsia"/>
          <w:b/>
          <w:bCs/>
        </w:rPr>
        <w:t xml:space="preserve">第二十七条 </w:t>
      </w:r>
      <w:r w:rsidR="00FA0363">
        <w:t>受托评估机构应当遵守企业国有资产评估法律法规以及评估执业准则，组织具备充分专业胜任能力的工作人员承担评估业务，独立、客观、公正地进行资产评估，并对其出具的评估报告负责。</w:t>
      </w:r>
    </w:p>
    <w:p w14:paraId="0BF2AC40" w14:textId="77777777" w:rsidR="00FA0363" w:rsidRDefault="00FA0363" w:rsidP="00FA0363">
      <w:pPr>
        <w:pStyle w:val="13"/>
      </w:pPr>
      <w:r>
        <w:rPr>
          <w:rFonts w:hint="eastAsia"/>
        </w:rPr>
        <w:t>评估机构出具的评估报告质量评价结果为较差档次或累计两次评价结果为一般档次，对资产评估项目检查工作不予配合，或者违规执业受到处罚的，省国资委和省属企业按有关规定取消该评估机构备选库资格，不再委托该评估机构及其当事人从事资产评估业务。评估机构当事人为评审专家</w:t>
      </w:r>
      <w:proofErr w:type="gramStart"/>
      <w:r>
        <w:rPr>
          <w:rFonts w:hint="eastAsia"/>
        </w:rPr>
        <w:t>库成员</w:t>
      </w:r>
      <w:proofErr w:type="gramEnd"/>
      <w:r>
        <w:rPr>
          <w:rFonts w:hint="eastAsia"/>
        </w:rPr>
        <w:t>的，取消</w:t>
      </w:r>
      <w:proofErr w:type="gramStart"/>
      <w:r>
        <w:rPr>
          <w:rFonts w:hint="eastAsia"/>
        </w:rPr>
        <w:t>其专家</w:t>
      </w:r>
      <w:proofErr w:type="gramEnd"/>
      <w:r>
        <w:rPr>
          <w:rFonts w:hint="eastAsia"/>
        </w:rPr>
        <w:t>资格。</w:t>
      </w:r>
    </w:p>
    <w:p w14:paraId="77C6D03E" w14:textId="1AA09FF6" w:rsidR="00FA0363" w:rsidRDefault="00FA0363" w:rsidP="00AF7342">
      <w:pPr>
        <w:pStyle w:val="a9"/>
        <w:spacing w:before="62" w:after="62"/>
      </w:pPr>
      <w:r>
        <w:rPr>
          <w:rFonts w:hint="eastAsia"/>
        </w:rPr>
        <w:t>第六章</w:t>
      </w:r>
      <w:r w:rsidR="008A2152">
        <w:rPr>
          <w:rFonts w:hint="eastAsia"/>
        </w:rPr>
        <w:t xml:space="preserve"> </w:t>
      </w:r>
      <w:r>
        <w:t>附则</w:t>
      </w:r>
    </w:p>
    <w:p w14:paraId="212FC5D0" w14:textId="6556A671" w:rsidR="00FA0363" w:rsidRDefault="00E05BDA" w:rsidP="00FA0363">
      <w:pPr>
        <w:pStyle w:val="13"/>
        <w:ind w:firstLine="482"/>
      </w:pPr>
      <w:r w:rsidRPr="00E05BDA">
        <w:rPr>
          <w:rFonts w:hint="eastAsia"/>
          <w:b/>
          <w:bCs/>
        </w:rPr>
        <w:t xml:space="preserve">第二十八条 </w:t>
      </w:r>
      <w:r w:rsidR="00FA0363">
        <w:t>国有参股企业发生第五条所列经济行为时，国有股东委派的股东代表、董事应当在股东会、董事会上提议并表决同意进行资产评估。</w:t>
      </w:r>
    </w:p>
    <w:p w14:paraId="40C48B76" w14:textId="00F20282" w:rsidR="00FA0363" w:rsidRDefault="00E05BDA" w:rsidP="00FA0363">
      <w:pPr>
        <w:pStyle w:val="13"/>
        <w:ind w:firstLine="482"/>
      </w:pPr>
      <w:r w:rsidRPr="00E05BDA">
        <w:rPr>
          <w:rFonts w:hint="eastAsia"/>
          <w:b/>
          <w:bCs/>
        </w:rPr>
        <w:t xml:space="preserve">第二十九条 </w:t>
      </w:r>
      <w:r w:rsidR="00FA0363">
        <w:t>境外企业在境外发生相关经济行为时，可以聘请具有相应资质、专业经验和良好信誉的专业机构对标的物进行评估或估值。评估或估值报告及相关附件、说明等资料为外文的，应同时提供中文文本。</w:t>
      </w:r>
    </w:p>
    <w:p w14:paraId="4F2711F9" w14:textId="4A6ED0E4" w:rsidR="00FA0363" w:rsidRDefault="00E05BDA" w:rsidP="00FA0363">
      <w:pPr>
        <w:pStyle w:val="13"/>
        <w:ind w:firstLine="482"/>
      </w:pPr>
      <w:r w:rsidRPr="00E05BDA">
        <w:rPr>
          <w:rFonts w:hint="eastAsia"/>
          <w:b/>
          <w:bCs/>
        </w:rPr>
        <w:t xml:space="preserve">第三十条 </w:t>
      </w:r>
      <w:r w:rsidR="00FA0363">
        <w:t>各省属企业应当制定内部资产评估管理制度，报省国资委备案。</w:t>
      </w:r>
    </w:p>
    <w:p w14:paraId="28E94AB6" w14:textId="47914329" w:rsidR="00FA0363" w:rsidRDefault="003B2FB1" w:rsidP="00FA0363">
      <w:pPr>
        <w:pStyle w:val="13"/>
        <w:ind w:firstLine="482"/>
      </w:pPr>
      <w:r w:rsidRPr="003B2FB1">
        <w:rPr>
          <w:rFonts w:hint="eastAsia"/>
          <w:b/>
          <w:bCs/>
        </w:rPr>
        <w:t xml:space="preserve">第三十一条 </w:t>
      </w:r>
      <w:r w:rsidR="00FA0363">
        <w:t>省直部门管理企业的资产评估管理工作参照本指引执行。其中，省教育厅（省属高等院校）、省司法厅（戒毒管理局）、省监狱管理局所属企业的资产评估项目，由主管部门审核后，报省国资委核准或备案。</w:t>
      </w:r>
    </w:p>
    <w:p w14:paraId="18E3E603" w14:textId="59437A6F" w:rsidR="00FA0363" w:rsidRDefault="003B2FB1" w:rsidP="00FA0363">
      <w:pPr>
        <w:pStyle w:val="13"/>
        <w:ind w:firstLineChars="0"/>
      </w:pPr>
      <w:r w:rsidRPr="003B2FB1">
        <w:rPr>
          <w:rFonts w:hint="eastAsia"/>
          <w:b/>
          <w:bCs/>
        </w:rPr>
        <w:t xml:space="preserve">第三十二条 </w:t>
      </w:r>
      <w:r w:rsidR="00FA0363">
        <w:t>本指引自2018年6月1日起施行，有效期5年。</w:t>
      </w:r>
    </w:p>
    <w:p w14:paraId="79FBB5E9" w14:textId="77777777" w:rsidR="00FA0363" w:rsidRDefault="00FA0363" w:rsidP="00AF7342">
      <w:pPr>
        <w:pStyle w:val="a9"/>
        <w:spacing w:before="62" w:after="62"/>
      </w:pPr>
      <w:r>
        <w:rPr>
          <w:rFonts w:hint="eastAsia"/>
        </w:rPr>
        <w:lastRenderedPageBreak/>
        <w:t>《省属企业评估审核要点》（鲁国资产权</w:t>
      </w:r>
      <w:r>
        <w:t>2018-1号附件）</w:t>
      </w:r>
    </w:p>
    <w:p w14:paraId="487EAE05" w14:textId="77777777" w:rsidR="00FA0363" w:rsidRDefault="00FA0363" w:rsidP="00FA0363">
      <w:pPr>
        <w:pStyle w:val="13"/>
      </w:pPr>
      <w:r>
        <w:rPr>
          <w:rFonts w:hint="eastAsia"/>
        </w:rPr>
        <w:t>附件</w:t>
      </w:r>
      <w:r>
        <w:t>1</w:t>
      </w:r>
    </w:p>
    <w:p w14:paraId="3EE6D1C1" w14:textId="22A1A817" w:rsidR="00FA0363" w:rsidRDefault="00FA0363" w:rsidP="00FA0363">
      <w:pPr>
        <w:pStyle w:val="13"/>
        <w:ind w:firstLineChars="0"/>
      </w:pPr>
      <w:r>
        <w:rPr>
          <w:rFonts w:hint="eastAsia"/>
        </w:rPr>
        <w:t>资产评估报告审核要点</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000"/>
        <w:gridCol w:w="6724"/>
      </w:tblGrid>
      <w:tr w:rsidR="008A2152" w:rsidRPr="008A2152" w14:paraId="3B919F5E" w14:textId="77777777" w:rsidTr="00466685">
        <w:trPr>
          <w:trHeight w:val="379"/>
          <w:tblHeader/>
          <w:jc w:val="center"/>
        </w:trPr>
        <w:tc>
          <w:tcPr>
            <w:tcW w:w="1146" w:type="pct"/>
            <w:vAlign w:val="center"/>
          </w:tcPr>
          <w:p w14:paraId="56271FFF" w14:textId="77777777" w:rsidR="008A2152" w:rsidRPr="008A2152" w:rsidRDefault="008A2152" w:rsidP="00466685">
            <w:pPr>
              <w:pStyle w:val="13"/>
              <w:spacing w:line="240" w:lineRule="auto"/>
              <w:ind w:firstLineChars="0" w:firstLine="0"/>
              <w:jc w:val="center"/>
              <w:rPr>
                <w:sz w:val="21"/>
                <w:szCs w:val="21"/>
                <w:lang w:bidi="zh-CN"/>
              </w:rPr>
            </w:pPr>
            <w:r w:rsidRPr="008A2152">
              <w:rPr>
                <w:sz w:val="21"/>
                <w:szCs w:val="21"/>
                <w:lang w:bidi="zh-CN"/>
              </w:rPr>
              <w:t>审核项目</w:t>
            </w:r>
          </w:p>
        </w:tc>
        <w:tc>
          <w:tcPr>
            <w:tcW w:w="3854" w:type="pct"/>
            <w:vAlign w:val="center"/>
          </w:tcPr>
          <w:p w14:paraId="360366F5" w14:textId="77777777" w:rsidR="008A2152" w:rsidRPr="008A2152" w:rsidRDefault="008A2152" w:rsidP="00466685">
            <w:pPr>
              <w:pStyle w:val="13"/>
              <w:spacing w:line="240" w:lineRule="auto"/>
              <w:ind w:firstLineChars="0" w:firstLine="0"/>
              <w:jc w:val="center"/>
              <w:rPr>
                <w:sz w:val="21"/>
                <w:szCs w:val="21"/>
                <w:lang w:bidi="zh-CN"/>
              </w:rPr>
            </w:pPr>
            <w:r w:rsidRPr="008A2152">
              <w:rPr>
                <w:sz w:val="21"/>
                <w:szCs w:val="21"/>
                <w:lang w:bidi="zh-CN"/>
              </w:rPr>
              <w:t>审核要求</w:t>
            </w:r>
          </w:p>
        </w:tc>
      </w:tr>
      <w:tr w:rsidR="008A2152" w:rsidRPr="008A2152" w14:paraId="0E85C8A1" w14:textId="77777777" w:rsidTr="00466685">
        <w:trPr>
          <w:trHeight w:val="1274"/>
          <w:jc w:val="center"/>
        </w:trPr>
        <w:tc>
          <w:tcPr>
            <w:tcW w:w="1146" w:type="pct"/>
            <w:vAlign w:val="center"/>
          </w:tcPr>
          <w:p w14:paraId="5C84A1B3"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一、评估委托方、被 评估企业概况</w:t>
            </w:r>
          </w:p>
        </w:tc>
        <w:tc>
          <w:tcPr>
            <w:tcW w:w="3854" w:type="pct"/>
          </w:tcPr>
          <w:p w14:paraId="673C473C" w14:textId="5CB29B9A"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评估报告应对被评估企业历史沿革、股权结构（图）、股权变更、经营管 理等情况进行必要说明</w:t>
            </w:r>
            <w:r w:rsidR="003068F8">
              <w:rPr>
                <w:sz w:val="21"/>
                <w:szCs w:val="21"/>
                <w:lang w:bidi="zh-CN"/>
              </w:rPr>
              <w:t>，</w:t>
            </w:r>
            <w:r w:rsidRPr="008A2152">
              <w:rPr>
                <w:sz w:val="21"/>
                <w:szCs w:val="21"/>
                <w:lang w:bidi="zh-CN"/>
              </w:rPr>
              <w:t>并反映近三年的资产、财务、经营状况；应披露 委托方和被评估企业之间的关系；存在关联交易的，应披露关联方、交易 方式等基本情况。</w:t>
            </w:r>
          </w:p>
        </w:tc>
      </w:tr>
      <w:tr w:rsidR="008A2152" w:rsidRPr="008A2152" w14:paraId="3E549796" w14:textId="77777777" w:rsidTr="00466685">
        <w:trPr>
          <w:trHeight w:val="638"/>
          <w:jc w:val="center"/>
        </w:trPr>
        <w:tc>
          <w:tcPr>
            <w:tcW w:w="1146" w:type="pct"/>
            <w:vAlign w:val="center"/>
          </w:tcPr>
          <w:p w14:paraId="3D6E7752"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二、评估目的</w:t>
            </w:r>
          </w:p>
        </w:tc>
        <w:tc>
          <w:tcPr>
            <w:tcW w:w="3854" w:type="pct"/>
          </w:tcPr>
          <w:p w14:paraId="51E44C6B" w14:textId="1583E308"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评估报告中应清晰、明确地说明本次资产评估的经济行为目的</w:t>
            </w:r>
            <w:r w:rsidR="003068F8">
              <w:rPr>
                <w:sz w:val="21"/>
                <w:szCs w:val="21"/>
                <w:lang w:bidi="zh-CN"/>
              </w:rPr>
              <w:t>，</w:t>
            </w:r>
            <w:r w:rsidRPr="008A2152">
              <w:rPr>
                <w:sz w:val="21"/>
                <w:szCs w:val="21"/>
                <w:lang w:bidi="zh-CN"/>
              </w:rPr>
              <w:t>以及评估 所对应的经济行为获得批准的情况或者其他经济行为依据。</w:t>
            </w:r>
          </w:p>
        </w:tc>
      </w:tr>
      <w:tr w:rsidR="008A2152" w:rsidRPr="008A2152" w14:paraId="634CFECE" w14:textId="77777777" w:rsidTr="00466685">
        <w:trPr>
          <w:trHeight w:val="2547"/>
          <w:jc w:val="center"/>
        </w:trPr>
        <w:tc>
          <w:tcPr>
            <w:tcW w:w="1146" w:type="pct"/>
            <w:vAlign w:val="center"/>
          </w:tcPr>
          <w:p w14:paraId="5CA249CA"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三、评估对象和评估 范围</w:t>
            </w:r>
          </w:p>
        </w:tc>
        <w:tc>
          <w:tcPr>
            <w:tcW w:w="3854" w:type="pct"/>
          </w:tcPr>
          <w:p w14:paraId="58F5B06F"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（一）评估报告应当说明评估对象的基本情况，包括法律权属状况、经济 状况和物理状况等；评估范围应当与经济行为批准文件、评估业务委托合 同等确定的资产范围一致。</w:t>
            </w:r>
          </w:p>
          <w:p w14:paraId="647E7B4C" w14:textId="17BAE3FF"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（二）对于企业价值评估项目，应当审核评估范围是否全面，企业拥有的 实物资产、无形资产、特许使用资产（权益）、已摊销完毕的在用资产</w:t>
            </w:r>
            <w:r w:rsidR="003068F8">
              <w:rPr>
                <w:sz w:val="21"/>
                <w:szCs w:val="21"/>
                <w:lang w:bidi="zh-CN"/>
              </w:rPr>
              <w:t>、</w:t>
            </w:r>
            <w:r w:rsidRPr="008A2152">
              <w:rPr>
                <w:sz w:val="21"/>
                <w:szCs w:val="21"/>
                <w:lang w:bidi="zh-CN"/>
              </w:rPr>
              <w:t xml:space="preserve">账外资产以及其他明确的未来权利（资产）、义务（负债） 等应当纳入评 </w:t>
            </w:r>
            <w:proofErr w:type="gramStart"/>
            <w:r w:rsidRPr="008A2152">
              <w:rPr>
                <w:sz w:val="21"/>
                <w:szCs w:val="21"/>
                <w:lang w:bidi="zh-CN"/>
              </w:rPr>
              <w:t>估范围</w:t>
            </w:r>
            <w:proofErr w:type="gramEnd"/>
            <w:r w:rsidRPr="008A2152">
              <w:rPr>
                <w:sz w:val="21"/>
                <w:szCs w:val="21"/>
                <w:lang w:bidi="zh-CN"/>
              </w:rPr>
              <w:t>并进行详细说明；存在或有资产（负债）、不良资产核销或者资产 剥离等情况的，应进行详细说明。</w:t>
            </w:r>
          </w:p>
        </w:tc>
      </w:tr>
      <w:tr w:rsidR="008A2152" w:rsidRPr="008A2152" w14:paraId="4E397386" w14:textId="77777777" w:rsidTr="00466685">
        <w:trPr>
          <w:trHeight w:val="638"/>
          <w:jc w:val="center"/>
        </w:trPr>
        <w:tc>
          <w:tcPr>
            <w:tcW w:w="1146" w:type="pct"/>
            <w:vAlign w:val="center"/>
          </w:tcPr>
          <w:p w14:paraId="1BD809C4" w14:textId="44F7180F"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四、价值类型及其定义</w:t>
            </w:r>
          </w:p>
        </w:tc>
        <w:tc>
          <w:tcPr>
            <w:tcW w:w="3854" w:type="pct"/>
          </w:tcPr>
          <w:p w14:paraId="49FB7161"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评估报告应当列明所选择的价值类型及其定义。选择市场价值以外的价值 类型，应当审核其选择理由和选取的合理性。</w:t>
            </w:r>
          </w:p>
        </w:tc>
      </w:tr>
      <w:tr w:rsidR="008A2152" w:rsidRPr="008A2152" w14:paraId="3FA63DEA" w14:textId="77777777" w:rsidTr="00466685">
        <w:trPr>
          <w:trHeight w:val="2228"/>
          <w:jc w:val="center"/>
        </w:trPr>
        <w:tc>
          <w:tcPr>
            <w:tcW w:w="1146" w:type="pct"/>
            <w:vAlign w:val="center"/>
          </w:tcPr>
          <w:p w14:paraId="36B78E27"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五、评估基准日</w:t>
            </w:r>
          </w:p>
        </w:tc>
        <w:tc>
          <w:tcPr>
            <w:tcW w:w="3854" w:type="pct"/>
          </w:tcPr>
          <w:p w14:paraId="3AD52CF5" w14:textId="20E31998"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（一）评估基准日的选择应当符合规定。企业在评估基准日后如遇重大事 项</w:t>
            </w:r>
            <w:r w:rsidR="003068F8">
              <w:rPr>
                <w:sz w:val="21"/>
                <w:szCs w:val="21"/>
                <w:lang w:bidi="zh-CN"/>
              </w:rPr>
              <w:t>，</w:t>
            </w:r>
            <w:r w:rsidRPr="008A2152">
              <w:rPr>
                <w:sz w:val="21"/>
                <w:szCs w:val="21"/>
                <w:lang w:bidi="zh-CN"/>
              </w:rPr>
              <w:t>如汇率变动、国家重大政策调整、企业资产权属或数量、价值发生重 大变化等，可能对评估结果产生重大影响时，评估报告应当进行重大期后 事项的披露，评估基准日或评估结果应当进行合理调整。</w:t>
            </w:r>
          </w:p>
          <w:p w14:paraId="1F2A9516"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（二）涉及上市公司股份间接转让项目，所选择的评估基准</w:t>
            </w:r>
            <w:proofErr w:type="gramStart"/>
            <w:r w:rsidRPr="008A2152">
              <w:rPr>
                <w:sz w:val="21"/>
                <w:szCs w:val="21"/>
                <w:lang w:bidi="zh-CN"/>
              </w:rPr>
              <w:t>日应当</w:t>
            </w:r>
            <w:proofErr w:type="gramEnd"/>
            <w:r w:rsidRPr="008A2152">
              <w:rPr>
                <w:sz w:val="21"/>
                <w:szCs w:val="21"/>
                <w:lang w:bidi="zh-CN"/>
              </w:rPr>
              <w:t>与上市 公司股份价格确定的基准日一致，并与经济行为的批准日期相差不得超过 一个月。</w:t>
            </w:r>
          </w:p>
        </w:tc>
      </w:tr>
      <w:tr w:rsidR="008A2152" w:rsidRPr="008A2152" w14:paraId="25B4B11F" w14:textId="77777777" w:rsidTr="00466685">
        <w:trPr>
          <w:trHeight w:val="3183"/>
          <w:jc w:val="center"/>
        </w:trPr>
        <w:tc>
          <w:tcPr>
            <w:tcW w:w="1146" w:type="pct"/>
            <w:vAlign w:val="center"/>
          </w:tcPr>
          <w:p w14:paraId="788CDA54"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六、经济行为、法律 法规、评估准则、权 属、取价等评估依据</w:t>
            </w:r>
          </w:p>
        </w:tc>
        <w:tc>
          <w:tcPr>
            <w:tcW w:w="3854" w:type="pct"/>
          </w:tcPr>
          <w:p w14:paraId="4EA0B0AA"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（一）评估依据的表述应当明确、规范、具体，便于查阅和验证。</w:t>
            </w:r>
          </w:p>
          <w:p w14:paraId="05A6562F"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（二）经济行为依据应当齐全有效。</w:t>
            </w:r>
          </w:p>
          <w:p w14:paraId="5944F62E" w14:textId="07D556B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（三）取</w:t>
            </w:r>
            <w:proofErr w:type="gramStart"/>
            <w:r w:rsidRPr="008A2152">
              <w:rPr>
                <w:sz w:val="21"/>
                <w:szCs w:val="21"/>
                <w:lang w:bidi="zh-CN"/>
              </w:rPr>
              <w:t>价依据</w:t>
            </w:r>
            <w:proofErr w:type="gramEnd"/>
            <w:r w:rsidRPr="008A2152">
              <w:rPr>
                <w:sz w:val="21"/>
                <w:szCs w:val="21"/>
                <w:lang w:bidi="zh-CN"/>
              </w:rPr>
              <w:t>应当具有代表性，且在评估基准日有效。结合评估目的</w:t>
            </w:r>
            <w:r w:rsidR="003068F8">
              <w:rPr>
                <w:sz w:val="21"/>
                <w:szCs w:val="21"/>
                <w:lang w:bidi="zh-CN"/>
              </w:rPr>
              <w:t>、</w:t>
            </w:r>
            <w:r w:rsidRPr="008A2152">
              <w:rPr>
                <w:sz w:val="21"/>
                <w:szCs w:val="21"/>
                <w:lang w:bidi="zh-CN"/>
              </w:rPr>
              <w:t>业务性质和行业特点等，取</w:t>
            </w:r>
            <w:proofErr w:type="gramStart"/>
            <w:r w:rsidRPr="008A2152">
              <w:rPr>
                <w:sz w:val="21"/>
                <w:szCs w:val="21"/>
                <w:lang w:bidi="zh-CN"/>
              </w:rPr>
              <w:t>价依据</w:t>
            </w:r>
            <w:proofErr w:type="gramEnd"/>
            <w:r w:rsidRPr="008A2152">
              <w:rPr>
                <w:sz w:val="21"/>
                <w:szCs w:val="21"/>
                <w:lang w:bidi="zh-CN"/>
              </w:rPr>
              <w:t>应当与评估对象具有较强的关联性、且 合理可靠。</w:t>
            </w:r>
          </w:p>
          <w:p w14:paraId="45A529E3"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（四）被评估资产应当权属清晰、权属证明文件齐备。关注土地、房屋建 筑物及无形资产等重要资产的权属和使用状况。对重要资产权属资料不全 面或存在瑕疵的，企业应当妥善解决。</w:t>
            </w:r>
          </w:p>
          <w:p w14:paraId="6C44C7DF"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 xml:space="preserve">（五）法律法规依据应当与评估项目相关，应当全面列示国有资产评估管 </w:t>
            </w:r>
            <w:proofErr w:type="gramStart"/>
            <w:r w:rsidRPr="008A2152">
              <w:rPr>
                <w:sz w:val="21"/>
                <w:szCs w:val="21"/>
                <w:lang w:bidi="zh-CN"/>
              </w:rPr>
              <w:t>理相关</w:t>
            </w:r>
            <w:proofErr w:type="gramEnd"/>
            <w:r w:rsidRPr="008A2152">
              <w:rPr>
                <w:sz w:val="21"/>
                <w:szCs w:val="21"/>
                <w:lang w:bidi="zh-CN"/>
              </w:rPr>
              <w:t>规范文件及相关资产评估准则。</w:t>
            </w:r>
          </w:p>
        </w:tc>
      </w:tr>
      <w:tr w:rsidR="008A2152" w:rsidRPr="008A2152" w14:paraId="32238B01" w14:textId="77777777" w:rsidTr="00466685">
        <w:trPr>
          <w:trHeight w:val="3541"/>
          <w:jc w:val="center"/>
        </w:trPr>
        <w:tc>
          <w:tcPr>
            <w:tcW w:w="1146" w:type="pct"/>
            <w:vAlign w:val="center"/>
          </w:tcPr>
          <w:p w14:paraId="43FBBC05"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lastRenderedPageBreak/>
              <w:t>七、评估程序实施过 程和情况</w:t>
            </w:r>
          </w:p>
        </w:tc>
        <w:tc>
          <w:tcPr>
            <w:tcW w:w="3854" w:type="pct"/>
          </w:tcPr>
          <w:p w14:paraId="2B68EA4D"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（一）评估机构在评估过程中应当履行必要的评估程序，评估过程应当完 整，不得存在未履行评估准则规定的必要评估步骤的行为。</w:t>
            </w:r>
          </w:p>
          <w:p w14:paraId="72F167AF" w14:textId="14F27A6F"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（二）应当重点关注资产清查和核实情况。针对评估报告、评估说明中关 于资产清查和核实情况的说明，结合特别事项说明、资产评估明细表和</w:t>
            </w:r>
            <w:proofErr w:type="gramStart"/>
            <w:r w:rsidRPr="008A2152">
              <w:rPr>
                <w:sz w:val="21"/>
                <w:szCs w:val="21"/>
                <w:lang w:bidi="zh-CN"/>
              </w:rPr>
              <w:t xml:space="preserve">资 </w:t>
            </w:r>
            <w:proofErr w:type="gramEnd"/>
            <w:r w:rsidRPr="008A2152">
              <w:rPr>
                <w:sz w:val="21"/>
                <w:szCs w:val="21"/>
                <w:lang w:bidi="zh-CN"/>
              </w:rPr>
              <w:t>产权属证明文件，以及改制方案、审计报告等资料，对评估范围进行核对</w:t>
            </w:r>
            <w:r w:rsidR="003068F8">
              <w:rPr>
                <w:sz w:val="21"/>
                <w:szCs w:val="21"/>
                <w:lang w:bidi="zh-CN"/>
              </w:rPr>
              <w:t>，</w:t>
            </w:r>
            <w:r w:rsidRPr="008A2152">
              <w:rPr>
                <w:sz w:val="21"/>
                <w:szCs w:val="21"/>
                <w:lang w:bidi="zh-CN"/>
              </w:rPr>
              <w:t>核实企业是否存在无形资产、账外资产、或有资产（负债）、隐匿或遗漏 资产等情况。关注对企业资产状况的描述</w:t>
            </w:r>
            <w:r w:rsidR="003068F8">
              <w:rPr>
                <w:sz w:val="21"/>
                <w:szCs w:val="21"/>
                <w:lang w:bidi="zh-CN"/>
              </w:rPr>
              <w:t>，</w:t>
            </w:r>
            <w:r w:rsidRPr="008A2152">
              <w:rPr>
                <w:sz w:val="21"/>
                <w:szCs w:val="21"/>
                <w:lang w:bidi="zh-CN"/>
              </w:rPr>
              <w:t>尤其是房地产、无形资产、长 期股权投资等重大资产情况</w:t>
            </w:r>
            <w:r w:rsidR="003068F8">
              <w:rPr>
                <w:sz w:val="21"/>
                <w:szCs w:val="21"/>
                <w:lang w:bidi="zh-CN"/>
              </w:rPr>
              <w:t>，</w:t>
            </w:r>
            <w:r w:rsidRPr="008A2152">
              <w:rPr>
                <w:sz w:val="21"/>
                <w:szCs w:val="21"/>
                <w:lang w:bidi="zh-CN"/>
              </w:rPr>
              <w:t xml:space="preserve">核实资产（土地、房产、车辆等） 权利人与 实际使用人是否一致。关注企业是否存在担保、租赁、法律纠纷等可能影 </w:t>
            </w:r>
            <w:proofErr w:type="gramStart"/>
            <w:r w:rsidRPr="008A2152">
              <w:rPr>
                <w:sz w:val="21"/>
                <w:szCs w:val="21"/>
                <w:lang w:bidi="zh-CN"/>
              </w:rPr>
              <w:t>响资产</w:t>
            </w:r>
            <w:proofErr w:type="gramEnd"/>
            <w:r w:rsidRPr="008A2152">
              <w:rPr>
                <w:sz w:val="21"/>
                <w:szCs w:val="21"/>
                <w:lang w:bidi="zh-CN"/>
              </w:rPr>
              <w:t>评估的事项。</w:t>
            </w:r>
          </w:p>
        </w:tc>
      </w:tr>
      <w:tr w:rsidR="008A2152" w:rsidRPr="008A2152" w14:paraId="573A7D56" w14:textId="77777777" w:rsidTr="00466685">
        <w:trPr>
          <w:trHeight w:val="1863"/>
          <w:jc w:val="center"/>
        </w:trPr>
        <w:tc>
          <w:tcPr>
            <w:tcW w:w="1146" w:type="pct"/>
            <w:vAlign w:val="center"/>
          </w:tcPr>
          <w:p w14:paraId="2644CF6F"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八、评估方法</w:t>
            </w:r>
          </w:p>
        </w:tc>
        <w:tc>
          <w:tcPr>
            <w:tcW w:w="3854" w:type="pct"/>
          </w:tcPr>
          <w:p w14:paraId="38D694CA"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（一）应当审核评估方法选择是否合理，评估方法选择应当符合相关评估 准则的规定要求，评估过程中评估参数选取应当合理。</w:t>
            </w:r>
          </w:p>
          <w:p w14:paraId="1B16DD74"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（二）未采用两种以上评估方法进行评估，应当披露其他基本评估方法不 适用的原因或者所受的操作限制。采用两种以上评估方法进行评估，应当 说明评估结论的确定方法和依据。</w:t>
            </w:r>
          </w:p>
        </w:tc>
      </w:tr>
      <w:tr w:rsidR="008A2152" w:rsidRPr="008A2152" w14:paraId="3E804D15" w14:textId="77777777" w:rsidTr="00466685">
        <w:trPr>
          <w:trHeight w:val="4435"/>
          <w:jc w:val="center"/>
        </w:trPr>
        <w:tc>
          <w:tcPr>
            <w:tcW w:w="1146" w:type="pct"/>
            <w:vAlign w:val="center"/>
          </w:tcPr>
          <w:p w14:paraId="5DB1E1CE"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九、企业价 值评估 （收益法）</w:t>
            </w:r>
          </w:p>
        </w:tc>
        <w:tc>
          <w:tcPr>
            <w:tcW w:w="3854" w:type="pct"/>
          </w:tcPr>
          <w:p w14:paraId="0C3092E7" w14:textId="15EA7AF9"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 xml:space="preserve">（一）评估报告对企业资产、财务情况的分析应当充分、合理。应对被评 </w:t>
            </w:r>
            <w:proofErr w:type="gramStart"/>
            <w:r w:rsidRPr="008A2152">
              <w:rPr>
                <w:sz w:val="21"/>
                <w:szCs w:val="21"/>
                <w:lang w:bidi="zh-CN"/>
              </w:rPr>
              <w:t>估企业</w:t>
            </w:r>
            <w:proofErr w:type="gramEnd"/>
            <w:r w:rsidRPr="008A2152">
              <w:rPr>
                <w:sz w:val="21"/>
                <w:szCs w:val="21"/>
                <w:lang w:bidi="zh-CN"/>
              </w:rPr>
              <w:t>财务报表的编制基础、非经常性收入和支出等进行合理调整；对被 评估企业的非经营性资产、负债和</w:t>
            </w:r>
            <w:proofErr w:type="gramStart"/>
            <w:r w:rsidRPr="008A2152">
              <w:rPr>
                <w:sz w:val="21"/>
                <w:szCs w:val="21"/>
                <w:lang w:bidi="zh-CN"/>
              </w:rPr>
              <w:t>溢余</w:t>
            </w:r>
            <w:proofErr w:type="gramEnd"/>
            <w:r w:rsidRPr="008A2152">
              <w:rPr>
                <w:sz w:val="21"/>
                <w:szCs w:val="21"/>
                <w:lang w:bidi="zh-CN"/>
              </w:rPr>
              <w:t>资产进行单独分析，合理判断资产</w:t>
            </w:r>
            <w:r w:rsidR="003068F8">
              <w:rPr>
                <w:sz w:val="21"/>
                <w:szCs w:val="21"/>
                <w:lang w:bidi="zh-CN"/>
              </w:rPr>
              <w:t>、</w:t>
            </w:r>
            <w:r w:rsidRPr="008A2152">
              <w:rPr>
                <w:sz w:val="21"/>
                <w:szCs w:val="21"/>
                <w:lang w:bidi="zh-CN"/>
              </w:rPr>
              <w:t xml:space="preserve">债务、经营业务配置的有效性。对于不能或不需归集的，应单独进行评估。 （二）评估报告收益预测应当合理。应根据企业资本结构、经营模式、收 </w:t>
            </w:r>
            <w:proofErr w:type="gramStart"/>
            <w:r w:rsidRPr="008A2152">
              <w:rPr>
                <w:sz w:val="21"/>
                <w:szCs w:val="21"/>
                <w:lang w:bidi="zh-CN"/>
              </w:rPr>
              <w:t>益情况</w:t>
            </w:r>
            <w:proofErr w:type="gramEnd"/>
            <w:r w:rsidRPr="008A2152">
              <w:rPr>
                <w:sz w:val="21"/>
                <w:szCs w:val="21"/>
                <w:lang w:bidi="zh-CN"/>
              </w:rPr>
              <w:t>等选择恰当的收益模型，对应的折现率确定过程和依据应当合理。 在确定收益预测期间时，应合</w:t>
            </w:r>
            <w:proofErr w:type="gramStart"/>
            <w:r w:rsidRPr="008A2152">
              <w:rPr>
                <w:sz w:val="21"/>
                <w:szCs w:val="21"/>
                <w:lang w:bidi="zh-CN"/>
              </w:rPr>
              <w:t>理考虑</w:t>
            </w:r>
            <w:proofErr w:type="gramEnd"/>
            <w:r w:rsidRPr="008A2152">
              <w:rPr>
                <w:sz w:val="21"/>
                <w:szCs w:val="21"/>
                <w:lang w:bidi="zh-CN"/>
              </w:rPr>
              <w:t>被评估企业经营状况和发展前景，及 其所在行业现状、发展前景</w:t>
            </w:r>
            <w:r w:rsidR="003068F8">
              <w:rPr>
                <w:sz w:val="21"/>
                <w:szCs w:val="21"/>
                <w:lang w:bidi="zh-CN"/>
              </w:rPr>
              <w:t>，</w:t>
            </w:r>
            <w:r w:rsidRPr="008A2152">
              <w:rPr>
                <w:sz w:val="21"/>
                <w:szCs w:val="21"/>
                <w:lang w:bidi="zh-CN"/>
              </w:rPr>
              <w:t>国家相关行业政策、企业经营期限及主要产 品的经济寿命年限等</w:t>
            </w:r>
            <w:r w:rsidR="003068F8">
              <w:rPr>
                <w:sz w:val="21"/>
                <w:szCs w:val="21"/>
                <w:lang w:bidi="zh-CN"/>
              </w:rPr>
              <w:t>，</w:t>
            </w:r>
            <w:r w:rsidRPr="008A2152">
              <w:rPr>
                <w:sz w:val="21"/>
                <w:szCs w:val="21"/>
                <w:lang w:bidi="zh-CN"/>
              </w:rPr>
              <w:t>并恰当考虑预测期后的收益情况及相关终值的计 算。评估报告应合</w:t>
            </w:r>
            <w:proofErr w:type="gramStart"/>
            <w:r w:rsidRPr="008A2152">
              <w:rPr>
                <w:sz w:val="21"/>
                <w:szCs w:val="21"/>
                <w:lang w:bidi="zh-CN"/>
              </w:rPr>
              <w:t>理预测</w:t>
            </w:r>
            <w:proofErr w:type="gramEnd"/>
            <w:r w:rsidRPr="008A2152">
              <w:rPr>
                <w:sz w:val="21"/>
                <w:szCs w:val="21"/>
                <w:lang w:bidi="zh-CN"/>
              </w:rPr>
              <w:t>相关参数，如被评估企业的收入、成本及费用</w:t>
            </w:r>
            <w:r w:rsidR="003068F8">
              <w:rPr>
                <w:sz w:val="21"/>
                <w:szCs w:val="21"/>
                <w:lang w:bidi="zh-CN"/>
              </w:rPr>
              <w:t>、</w:t>
            </w:r>
            <w:r w:rsidRPr="008A2152">
              <w:rPr>
                <w:sz w:val="21"/>
                <w:szCs w:val="21"/>
                <w:lang w:bidi="zh-CN"/>
              </w:rPr>
              <w:t>折旧和摊销、营运资金、资本性支出、折现率、负债、溢</w:t>
            </w:r>
            <w:proofErr w:type="gramStart"/>
            <w:r w:rsidRPr="008A2152">
              <w:rPr>
                <w:sz w:val="21"/>
                <w:szCs w:val="21"/>
                <w:lang w:bidi="zh-CN"/>
              </w:rPr>
              <w:t>余资产</w:t>
            </w:r>
            <w:proofErr w:type="gramEnd"/>
            <w:r w:rsidRPr="008A2152">
              <w:rPr>
                <w:sz w:val="21"/>
                <w:szCs w:val="21"/>
                <w:lang w:bidi="zh-CN"/>
              </w:rPr>
              <w:t>和非经营 性资产等。应当审核评估报告相关参数确定的依据是否充分，测算过程是 否完整，是否有完整的预测表及说明。</w:t>
            </w:r>
          </w:p>
        </w:tc>
      </w:tr>
      <w:tr w:rsidR="008A2152" w:rsidRPr="008A2152" w14:paraId="339BA7AF" w14:textId="77777777" w:rsidTr="00466685">
        <w:trPr>
          <w:trHeight w:val="2199"/>
          <w:jc w:val="center"/>
        </w:trPr>
        <w:tc>
          <w:tcPr>
            <w:tcW w:w="1146" w:type="pct"/>
            <w:vAlign w:val="center"/>
          </w:tcPr>
          <w:p w14:paraId="7103DFAD"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十、企业价 值评估 （市场法）</w:t>
            </w:r>
          </w:p>
        </w:tc>
        <w:tc>
          <w:tcPr>
            <w:tcW w:w="3854" w:type="pct"/>
          </w:tcPr>
          <w:p w14:paraId="3CA8D261" w14:textId="48BA47A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 xml:space="preserve">（一）评估报告选择的可比案例应当与被评估企业具有可比性，应处于同 </w:t>
            </w:r>
            <w:proofErr w:type="gramStart"/>
            <w:r w:rsidRPr="008A2152">
              <w:rPr>
                <w:sz w:val="21"/>
                <w:szCs w:val="21"/>
                <w:lang w:bidi="zh-CN"/>
              </w:rPr>
              <w:t>一</w:t>
            </w:r>
            <w:proofErr w:type="gramEnd"/>
            <w:r w:rsidRPr="008A2152">
              <w:rPr>
                <w:sz w:val="21"/>
                <w:szCs w:val="21"/>
                <w:lang w:bidi="zh-CN"/>
              </w:rPr>
              <w:t>行业或相近行业，或者受共同因素决定或影响。评估报告应对可比案例 及被评估企业的数据进行了必要的分析调整，并消除偶然性因素的影响。 （二）评估报告选择的可比因素应当是企业价值的决定因素，选择的价值 比率应适当可靠，并经过必要的修正调整。评估报告应选</w:t>
            </w:r>
            <w:proofErr w:type="gramStart"/>
            <w:r w:rsidRPr="008A2152">
              <w:rPr>
                <w:sz w:val="21"/>
                <w:szCs w:val="21"/>
                <w:lang w:bidi="zh-CN"/>
              </w:rPr>
              <w:t>择多种</w:t>
            </w:r>
            <w:proofErr w:type="gramEnd"/>
            <w:r w:rsidRPr="008A2152">
              <w:rPr>
                <w:sz w:val="21"/>
                <w:szCs w:val="21"/>
                <w:lang w:bidi="zh-CN"/>
              </w:rPr>
              <w:t>可比因素</w:t>
            </w:r>
            <w:r w:rsidR="003068F8">
              <w:rPr>
                <w:sz w:val="21"/>
                <w:szCs w:val="21"/>
                <w:lang w:bidi="zh-CN"/>
              </w:rPr>
              <w:t>，</w:t>
            </w:r>
            <w:r w:rsidRPr="008A2152">
              <w:rPr>
                <w:sz w:val="21"/>
                <w:szCs w:val="21"/>
                <w:lang w:bidi="zh-CN"/>
              </w:rPr>
              <w:t>对于不同可比因素得到的不同评估值应进行合理地选择计算。</w:t>
            </w:r>
          </w:p>
        </w:tc>
      </w:tr>
      <w:tr w:rsidR="008A2152" w:rsidRPr="008A2152" w14:paraId="15426A67" w14:textId="77777777" w:rsidTr="00466685">
        <w:trPr>
          <w:trHeight w:val="3305"/>
          <w:jc w:val="center"/>
        </w:trPr>
        <w:tc>
          <w:tcPr>
            <w:tcW w:w="1146" w:type="pct"/>
            <w:vAlign w:val="center"/>
          </w:tcPr>
          <w:p w14:paraId="73817447"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lastRenderedPageBreak/>
              <w:t>十一、企业价值评估 （资产基础法）</w:t>
            </w:r>
          </w:p>
        </w:tc>
        <w:tc>
          <w:tcPr>
            <w:tcW w:w="3854" w:type="pct"/>
            <w:vAlign w:val="center"/>
          </w:tcPr>
          <w:p w14:paraId="4856C0F4"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（一）评估范围应当以被评估企业评估基准日的资产负债表为基础，包含 企业表内及表外各项资产、负债项目。</w:t>
            </w:r>
          </w:p>
          <w:p w14:paraId="43351F8A"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（二）各单项资产评估的具体方法应当遵循对应的评估准则和相关规范。 结合评估明细表和评估说明，审核价值量较大的资产、负债以及评估增减 值较大的资产、负债的评估情况，并分析其评估结果的合理性。</w:t>
            </w:r>
          </w:p>
          <w:p w14:paraId="6807D53C"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 xml:space="preserve">（三）对于企业拥有实际控制权的长期股权投资项目，应当单独对被投资 企业进行了评估；对于其他各项长期投资项目应当履行适当的评估程序合 </w:t>
            </w:r>
            <w:proofErr w:type="gramStart"/>
            <w:r w:rsidRPr="008A2152">
              <w:rPr>
                <w:sz w:val="21"/>
                <w:szCs w:val="21"/>
                <w:lang w:bidi="zh-CN"/>
              </w:rPr>
              <w:t>理确定</w:t>
            </w:r>
            <w:proofErr w:type="gramEnd"/>
            <w:r w:rsidRPr="008A2152">
              <w:rPr>
                <w:sz w:val="21"/>
                <w:szCs w:val="21"/>
                <w:lang w:bidi="zh-CN"/>
              </w:rPr>
              <w:t>其评估价值。</w:t>
            </w:r>
          </w:p>
          <w:p w14:paraId="0F8C526A"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（四）各项资产减值准备应评估为零，各项资产损失应在评估前按规定报 经批准后处理。</w:t>
            </w:r>
          </w:p>
        </w:tc>
      </w:tr>
      <w:tr w:rsidR="008A2152" w:rsidRPr="008A2152" w14:paraId="529987B5" w14:textId="77777777" w:rsidTr="00466685">
        <w:trPr>
          <w:trHeight w:val="801"/>
          <w:jc w:val="center"/>
        </w:trPr>
        <w:tc>
          <w:tcPr>
            <w:tcW w:w="1146" w:type="pct"/>
            <w:vAlign w:val="center"/>
          </w:tcPr>
          <w:p w14:paraId="2FF8A63E"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十二、评估结论</w:t>
            </w:r>
          </w:p>
        </w:tc>
        <w:tc>
          <w:tcPr>
            <w:tcW w:w="3854" w:type="pct"/>
            <w:vAlign w:val="center"/>
          </w:tcPr>
          <w:p w14:paraId="710E7488"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 xml:space="preserve">采用两种或两种以上评估方法进行企业价值评估时，应当审核不同方法评 </w:t>
            </w:r>
            <w:proofErr w:type="gramStart"/>
            <w:r w:rsidRPr="008A2152">
              <w:rPr>
                <w:sz w:val="21"/>
                <w:szCs w:val="21"/>
                <w:lang w:bidi="zh-CN"/>
              </w:rPr>
              <w:t>估结果</w:t>
            </w:r>
            <w:proofErr w:type="gramEnd"/>
            <w:r w:rsidRPr="008A2152">
              <w:rPr>
                <w:sz w:val="21"/>
                <w:szCs w:val="21"/>
                <w:lang w:bidi="zh-CN"/>
              </w:rPr>
              <w:t>的差异及其原因和最终确定评估结论的理由。</w:t>
            </w:r>
          </w:p>
        </w:tc>
      </w:tr>
      <w:tr w:rsidR="008A2152" w:rsidRPr="008A2152" w14:paraId="6E669E65" w14:textId="77777777" w:rsidTr="00466685">
        <w:trPr>
          <w:trHeight w:val="3288"/>
          <w:jc w:val="center"/>
        </w:trPr>
        <w:tc>
          <w:tcPr>
            <w:tcW w:w="1146" w:type="pct"/>
            <w:vAlign w:val="center"/>
          </w:tcPr>
          <w:p w14:paraId="7B8EF15A"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十三、特别事项说明</w:t>
            </w:r>
          </w:p>
        </w:tc>
        <w:tc>
          <w:tcPr>
            <w:tcW w:w="3854" w:type="pct"/>
            <w:vAlign w:val="center"/>
          </w:tcPr>
          <w:p w14:paraId="35CDFA9D" w14:textId="2F8D7A62"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（一）评估报告中所披露的特别事项应当真实、完整</w:t>
            </w:r>
            <w:r w:rsidR="003068F8">
              <w:rPr>
                <w:sz w:val="21"/>
                <w:szCs w:val="21"/>
                <w:lang w:bidi="zh-CN"/>
              </w:rPr>
              <w:t>，</w:t>
            </w:r>
            <w:r w:rsidRPr="008A2152">
              <w:rPr>
                <w:sz w:val="21"/>
                <w:szCs w:val="21"/>
                <w:lang w:bidi="zh-CN"/>
              </w:rPr>
              <w:t>并逐项分析特别事 项的形成原因、性质及其对评估结果的影响程度。</w:t>
            </w:r>
          </w:p>
          <w:p w14:paraId="3A1428AF"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（二）企业和评估机构应分别对以下事项进行处理，并予以说明：     1.对权属资料不全面、评估资料不完整、经济行为有瑕疵等情形，企业应 补充完善。</w:t>
            </w:r>
          </w:p>
          <w:p w14:paraId="32699EA3"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2.对评估机构未履行必要程序，影响评估结论合理性的，企业和评估机构 应妥善解决。</w:t>
            </w:r>
          </w:p>
          <w:p w14:paraId="18F79D9F"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3.如实披露企业是否存在无形资产，各项无形资产的具体情况及其评估情况。 4.对存在的法律、经济等未决事项的，应详细披露该事项的形成过程、可 能的处理方式及对评估结论产生的影响。</w:t>
            </w:r>
          </w:p>
        </w:tc>
      </w:tr>
      <w:tr w:rsidR="008A2152" w:rsidRPr="008A2152" w14:paraId="4C7ECB0F" w14:textId="77777777" w:rsidTr="00466685">
        <w:trPr>
          <w:trHeight w:val="760"/>
          <w:jc w:val="center"/>
        </w:trPr>
        <w:tc>
          <w:tcPr>
            <w:tcW w:w="1146" w:type="pct"/>
            <w:vAlign w:val="center"/>
          </w:tcPr>
          <w:p w14:paraId="71D78D63" w14:textId="48AAAB4A"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十四、资产评估报告</w:t>
            </w:r>
            <w:r w:rsidR="003068F8">
              <w:rPr>
                <w:sz w:val="21"/>
                <w:szCs w:val="21"/>
                <w:lang w:bidi="zh-CN"/>
              </w:rPr>
              <w:t>日</w:t>
            </w:r>
          </w:p>
        </w:tc>
        <w:tc>
          <w:tcPr>
            <w:tcW w:w="3854" w:type="pct"/>
            <w:vAlign w:val="center"/>
          </w:tcPr>
          <w:p w14:paraId="7558032D"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评估报告应当载明资产评估报告日，应当关注评估报告日与签发日一致性 及不一致的原因。</w:t>
            </w:r>
          </w:p>
        </w:tc>
      </w:tr>
      <w:tr w:rsidR="008A2152" w:rsidRPr="008A2152" w14:paraId="2B3F1CDC" w14:textId="77777777" w:rsidTr="00466685">
        <w:trPr>
          <w:trHeight w:val="638"/>
          <w:jc w:val="center"/>
        </w:trPr>
        <w:tc>
          <w:tcPr>
            <w:tcW w:w="1146" w:type="pct"/>
            <w:vAlign w:val="center"/>
          </w:tcPr>
          <w:p w14:paraId="3740E613"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十五、签字盖章</w:t>
            </w:r>
          </w:p>
        </w:tc>
        <w:tc>
          <w:tcPr>
            <w:tcW w:w="3854" w:type="pct"/>
            <w:vAlign w:val="center"/>
          </w:tcPr>
          <w:p w14:paraId="4FC748C2" w14:textId="59B80E6E"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对照《企业国有资产评估报告指南》等规定</w:t>
            </w:r>
            <w:r w:rsidR="003068F8">
              <w:rPr>
                <w:sz w:val="21"/>
                <w:szCs w:val="21"/>
                <w:lang w:bidi="zh-CN"/>
              </w:rPr>
              <w:t>，</w:t>
            </w:r>
            <w:r w:rsidRPr="008A2152">
              <w:rPr>
                <w:sz w:val="21"/>
                <w:szCs w:val="21"/>
                <w:lang w:bidi="zh-CN"/>
              </w:rPr>
              <w:t>审核评估报告签字盖章是否 齐全、规范、清晰。</w:t>
            </w:r>
          </w:p>
        </w:tc>
      </w:tr>
      <w:tr w:rsidR="008A2152" w:rsidRPr="008A2152" w14:paraId="179E714A" w14:textId="77777777" w:rsidTr="00466685">
        <w:trPr>
          <w:trHeight w:val="2987"/>
          <w:jc w:val="center"/>
        </w:trPr>
        <w:tc>
          <w:tcPr>
            <w:tcW w:w="1146" w:type="pct"/>
            <w:vAlign w:val="center"/>
          </w:tcPr>
          <w:p w14:paraId="0ED345A3"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十六、评估报告附件</w:t>
            </w:r>
          </w:p>
        </w:tc>
        <w:tc>
          <w:tcPr>
            <w:tcW w:w="3854" w:type="pct"/>
            <w:vAlign w:val="center"/>
          </w:tcPr>
          <w:p w14:paraId="5A23422C" w14:textId="03A2CDE9"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评估报告附件应当齐全、真实、有效</w:t>
            </w:r>
            <w:r w:rsidR="003068F8">
              <w:rPr>
                <w:sz w:val="21"/>
                <w:szCs w:val="21"/>
                <w:lang w:bidi="zh-CN"/>
              </w:rPr>
              <w:t>，</w:t>
            </w:r>
            <w:r w:rsidRPr="008A2152">
              <w:rPr>
                <w:sz w:val="21"/>
                <w:szCs w:val="21"/>
                <w:lang w:bidi="zh-CN"/>
              </w:rPr>
              <w:t xml:space="preserve">附件内容及其所涉及的签章应当清 </w:t>
            </w:r>
            <w:proofErr w:type="gramStart"/>
            <w:r w:rsidRPr="008A2152">
              <w:rPr>
                <w:sz w:val="21"/>
                <w:szCs w:val="21"/>
                <w:lang w:bidi="zh-CN"/>
              </w:rPr>
              <w:t>晰</w:t>
            </w:r>
            <w:proofErr w:type="gramEnd"/>
            <w:r w:rsidRPr="008A2152">
              <w:rPr>
                <w:sz w:val="21"/>
                <w:szCs w:val="21"/>
                <w:lang w:bidi="zh-CN"/>
              </w:rPr>
              <w:t>、完整</w:t>
            </w:r>
            <w:r w:rsidR="003068F8">
              <w:rPr>
                <w:sz w:val="21"/>
                <w:szCs w:val="21"/>
                <w:lang w:bidi="zh-CN"/>
              </w:rPr>
              <w:t>，</w:t>
            </w:r>
            <w:r w:rsidRPr="008A2152">
              <w:rPr>
                <w:sz w:val="21"/>
                <w:szCs w:val="21"/>
                <w:lang w:bidi="zh-CN"/>
              </w:rPr>
              <w:t>相关内容应与评估报告摘要、正文一致。附件为复印件的</w:t>
            </w:r>
            <w:r w:rsidR="003068F8">
              <w:rPr>
                <w:sz w:val="21"/>
                <w:szCs w:val="21"/>
                <w:lang w:bidi="zh-CN"/>
              </w:rPr>
              <w:t>，</w:t>
            </w:r>
            <w:r w:rsidRPr="008A2152">
              <w:rPr>
                <w:sz w:val="21"/>
                <w:szCs w:val="21"/>
                <w:lang w:bidi="zh-CN"/>
              </w:rPr>
              <w:t>评 估机构应与原件进行核对，并加盖有效的与原件核对无误章。评估报告附 件一般应当包括：</w:t>
            </w:r>
          </w:p>
          <w:p w14:paraId="15AE8886"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（一）与评估目的相对应的齐全有效的经济行为批准文件；</w:t>
            </w:r>
          </w:p>
          <w:p w14:paraId="63B83DCA"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（二）委托方和被评估企业（含其拥有实际控制权的长期股权投资企业） 营业执照；</w:t>
            </w:r>
          </w:p>
          <w:p w14:paraId="2E2768AB"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（三）委托方和被评估企业产权登记证（表）；</w:t>
            </w:r>
          </w:p>
          <w:p w14:paraId="38E72C62"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（四）评估对象涉及的资产权属证明资料；</w:t>
            </w:r>
          </w:p>
        </w:tc>
      </w:tr>
      <w:tr w:rsidR="008A2152" w:rsidRPr="008A2152" w14:paraId="0B680750" w14:textId="77777777" w:rsidTr="00466685">
        <w:trPr>
          <w:trHeight w:val="3402"/>
          <w:jc w:val="center"/>
        </w:trPr>
        <w:tc>
          <w:tcPr>
            <w:tcW w:w="1146" w:type="pct"/>
            <w:vAlign w:val="center"/>
          </w:tcPr>
          <w:p w14:paraId="099DF106"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lastRenderedPageBreak/>
              <w:t>十六、评估报告附件</w:t>
            </w:r>
          </w:p>
        </w:tc>
        <w:tc>
          <w:tcPr>
            <w:tcW w:w="3854" w:type="pct"/>
          </w:tcPr>
          <w:p w14:paraId="0B343B7D"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（五）委托方和其他相关当事方的承诺函（原件）；</w:t>
            </w:r>
          </w:p>
          <w:p w14:paraId="6DDAE8BF"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（六）签字资产评估师承诺函（原件）；</w:t>
            </w:r>
          </w:p>
          <w:p w14:paraId="021FEC63"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（七）评估机构备案文件或者资格证明文件；</w:t>
            </w:r>
          </w:p>
          <w:p w14:paraId="1DBC5554"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（八）评估机构营业执照；</w:t>
            </w:r>
          </w:p>
          <w:p w14:paraId="5D22364E"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（九）负责该评估业务的资产评估师资</w:t>
            </w:r>
            <w:proofErr w:type="gramStart"/>
            <w:r w:rsidRPr="008A2152">
              <w:rPr>
                <w:sz w:val="21"/>
                <w:szCs w:val="21"/>
                <w:lang w:bidi="zh-CN"/>
              </w:rPr>
              <w:t>格证明</w:t>
            </w:r>
            <w:proofErr w:type="gramEnd"/>
            <w:r w:rsidRPr="008A2152">
              <w:rPr>
                <w:sz w:val="21"/>
                <w:szCs w:val="21"/>
                <w:lang w:bidi="zh-CN"/>
              </w:rPr>
              <w:t>文件；</w:t>
            </w:r>
          </w:p>
          <w:p w14:paraId="048A476D" w14:textId="75E9FFAB"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（十）重要取价依据（如合同、协议等）</w:t>
            </w:r>
            <w:r w:rsidR="003068F8">
              <w:rPr>
                <w:sz w:val="21"/>
                <w:szCs w:val="21"/>
                <w:lang w:bidi="zh-CN"/>
              </w:rPr>
              <w:t>；</w:t>
            </w:r>
            <w:r w:rsidRPr="008A2152">
              <w:rPr>
                <w:sz w:val="21"/>
                <w:szCs w:val="21"/>
                <w:lang w:bidi="zh-CN"/>
              </w:rPr>
              <w:t>（十一）评估业务委托合同；</w:t>
            </w:r>
          </w:p>
          <w:p w14:paraId="47E2C217"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（十二）涉及企业价值评估的，提供被评估企业（含其拥有实际控制权的 长期股权投资企业）与经济行为相对应的专项审计报告；</w:t>
            </w:r>
          </w:p>
          <w:p w14:paraId="613CCD9C"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（十三） 引用其他机构出具的报告结论，所引用的报告按规定应当经相应 主管部门批准（备案）的，提供相关批准（备案）文件；</w:t>
            </w:r>
          </w:p>
          <w:p w14:paraId="74A8D108"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（十四）其他重要文件。</w:t>
            </w:r>
          </w:p>
        </w:tc>
      </w:tr>
      <w:tr w:rsidR="008A2152" w:rsidRPr="008A2152" w14:paraId="6821BE06" w14:textId="77777777" w:rsidTr="00466685">
        <w:trPr>
          <w:trHeight w:val="2228"/>
          <w:jc w:val="center"/>
        </w:trPr>
        <w:tc>
          <w:tcPr>
            <w:tcW w:w="1146" w:type="pct"/>
            <w:vAlign w:val="center"/>
          </w:tcPr>
          <w:p w14:paraId="74CB526B"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十七、评估明细表</w:t>
            </w:r>
          </w:p>
        </w:tc>
        <w:tc>
          <w:tcPr>
            <w:tcW w:w="3854" w:type="pct"/>
          </w:tcPr>
          <w:p w14:paraId="3725BCE5" w14:textId="0C31A69A"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（一）评估明细表应当符合《企业国有资产评估报告指南》的要求</w:t>
            </w:r>
            <w:r w:rsidR="003068F8">
              <w:rPr>
                <w:sz w:val="21"/>
                <w:szCs w:val="21"/>
                <w:lang w:bidi="zh-CN"/>
              </w:rPr>
              <w:t>，</w:t>
            </w:r>
            <w:r w:rsidRPr="008A2152">
              <w:rPr>
                <w:sz w:val="21"/>
                <w:szCs w:val="21"/>
                <w:lang w:bidi="zh-CN"/>
              </w:rPr>
              <w:t xml:space="preserve">内 </w:t>
            </w:r>
            <w:proofErr w:type="gramStart"/>
            <w:r w:rsidRPr="008A2152">
              <w:rPr>
                <w:sz w:val="21"/>
                <w:szCs w:val="21"/>
                <w:lang w:bidi="zh-CN"/>
              </w:rPr>
              <w:t>容应当</w:t>
            </w:r>
            <w:proofErr w:type="gramEnd"/>
            <w:r w:rsidRPr="008A2152">
              <w:rPr>
                <w:sz w:val="21"/>
                <w:szCs w:val="21"/>
                <w:lang w:bidi="zh-CN"/>
              </w:rPr>
              <w:t>完整，相关数据应当与评估报告、评估说明一致。</w:t>
            </w:r>
          </w:p>
          <w:p w14:paraId="3DCC77EE"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（二）采用资产基础法进行企业价值评估，评估明细表应当包括按会计 科目设置的资产、负债评估明细表及各级汇总表；采用收益法进行企业价 值评估，应当按照收益法评估参数及盈利预测项目的构成设计评估明细 表；采用市场法进行企业价值评估，应当根据评估技术说明的详略程度决 定是否需要单独编制评估明细表。</w:t>
            </w:r>
          </w:p>
        </w:tc>
      </w:tr>
      <w:tr w:rsidR="008A2152" w:rsidRPr="008A2152" w14:paraId="4CAFCCA8" w14:textId="77777777" w:rsidTr="00466685">
        <w:trPr>
          <w:trHeight w:val="1275"/>
          <w:jc w:val="center"/>
        </w:trPr>
        <w:tc>
          <w:tcPr>
            <w:tcW w:w="1146" w:type="pct"/>
            <w:vAlign w:val="center"/>
          </w:tcPr>
          <w:p w14:paraId="7183E0D7"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十八、企业关于进行 资产评估有 关事项 的说明</w:t>
            </w:r>
          </w:p>
        </w:tc>
        <w:tc>
          <w:tcPr>
            <w:tcW w:w="3854" w:type="pct"/>
          </w:tcPr>
          <w:p w14:paraId="6B559130"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《企业关于进行资产评估有关事项的说明》格式和内容应当符合《企业国 有资产评估报告指南》要求，有关内容应当与评估报告书、评估说明衔接 一致，并由委托方单位负责人和被评估企业负责人签字，加盖相应单位公 章并签署日期。</w:t>
            </w:r>
          </w:p>
        </w:tc>
      </w:tr>
      <w:tr w:rsidR="008A2152" w:rsidRPr="008A2152" w14:paraId="16889E75" w14:textId="77777777" w:rsidTr="00466685">
        <w:trPr>
          <w:trHeight w:val="2953"/>
          <w:jc w:val="center"/>
        </w:trPr>
        <w:tc>
          <w:tcPr>
            <w:tcW w:w="1146" w:type="pct"/>
            <w:vAlign w:val="center"/>
          </w:tcPr>
          <w:p w14:paraId="21E7A0A8"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 xml:space="preserve">十九、土地使用权估 </w:t>
            </w:r>
            <w:proofErr w:type="gramStart"/>
            <w:r w:rsidRPr="008A2152">
              <w:rPr>
                <w:sz w:val="21"/>
                <w:szCs w:val="21"/>
                <w:lang w:bidi="zh-CN"/>
              </w:rPr>
              <w:t>价报告</w:t>
            </w:r>
            <w:proofErr w:type="gramEnd"/>
          </w:p>
        </w:tc>
        <w:tc>
          <w:tcPr>
            <w:tcW w:w="3854" w:type="pct"/>
          </w:tcPr>
          <w:p w14:paraId="4E0B2419"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（一）审核土地估价范围、权属、土地资产处置审批与土地估价报告备案 情况。如果评估基准</w:t>
            </w:r>
            <w:proofErr w:type="gramStart"/>
            <w:r w:rsidRPr="008A2152">
              <w:rPr>
                <w:sz w:val="21"/>
                <w:szCs w:val="21"/>
                <w:lang w:bidi="zh-CN"/>
              </w:rPr>
              <w:t>日存在</w:t>
            </w:r>
            <w:proofErr w:type="gramEnd"/>
            <w:r w:rsidRPr="008A2152">
              <w:rPr>
                <w:sz w:val="21"/>
                <w:szCs w:val="21"/>
                <w:lang w:bidi="zh-CN"/>
              </w:rPr>
              <w:t>划拨土地，应当重点关注划拨土地的处置情况： 1.审核是否有划拨土地处置审批文件，审批文件是否合法有效、审批内容 是否与实际评估土地一致等；</w:t>
            </w:r>
          </w:p>
          <w:p w14:paraId="1C74AF79"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2.如果是未经处置的划拨土地，应当审核其未处置理由的合</w:t>
            </w:r>
            <w:proofErr w:type="gramStart"/>
            <w:r w:rsidRPr="008A2152">
              <w:rPr>
                <w:sz w:val="21"/>
                <w:szCs w:val="21"/>
                <w:lang w:bidi="zh-CN"/>
              </w:rPr>
              <w:t>规</w:t>
            </w:r>
            <w:proofErr w:type="gramEnd"/>
            <w:r w:rsidRPr="008A2152">
              <w:rPr>
                <w:sz w:val="21"/>
                <w:szCs w:val="21"/>
                <w:lang w:bidi="zh-CN"/>
              </w:rPr>
              <w:t>性以及评估 中处理方式的合理性等。</w:t>
            </w:r>
          </w:p>
          <w:p w14:paraId="437C6702"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（二）估价报告对土地地价定义应当符合相关准则要求。审核估价方法选 取的合理性；相关参数选取依据是否充分、计算过程是否完整及评估结果 选取是否合理等。</w:t>
            </w:r>
          </w:p>
        </w:tc>
      </w:tr>
      <w:tr w:rsidR="008A2152" w:rsidRPr="008A2152" w14:paraId="6AF42839" w14:textId="77777777" w:rsidTr="00466685">
        <w:trPr>
          <w:trHeight w:val="1593"/>
          <w:jc w:val="center"/>
        </w:trPr>
        <w:tc>
          <w:tcPr>
            <w:tcW w:w="1146" w:type="pct"/>
            <w:vAlign w:val="center"/>
          </w:tcPr>
          <w:p w14:paraId="620509EA"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二十、矿业权评估报 告</w:t>
            </w:r>
          </w:p>
        </w:tc>
        <w:tc>
          <w:tcPr>
            <w:tcW w:w="3854" w:type="pct"/>
          </w:tcPr>
          <w:p w14:paraId="765A3E4E"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（一）审核矿业权评估范围、权属、矿业权价款缴纳情况、矿产资源储量 评审备案情况。</w:t>
            </w:r>
          </w:p>
          <w:p w14:paraId="7F15308A"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（二）矿业权评估报告应当符合相关准则要求。审核评估方法选取是否合 理；相关参数选取依据是否充分、计算过程是否完整、确定的结果是否合 理。</w:t>
            </w:r>
          </w:p>
        </w:tc>
      </w:tr>
      <w:tr w:rsidR="008A2152" w:rsidRPr="008A2152" w14:paraId="0C1773B7" w14:textId="77777777" w:rsidTr="00466685">
        <w:trPr>
          <w:trHeight w:val="1746"/>
          <w:jc w:val="center"/>
        </w:trPr>
        <w:tc>
          <w:tcPr>
            <w:tcW w:w="1146" w:type="pct"/>
            <w:vAlign w:val="center"/>
          </w:tcPr>
          <w:p w14:paraId="33B809EB" w14:textId="424F6899"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t>二十一、资产评估结 果引用土地使用权</w:t>
            </w:r>
            <w:r w:rsidR="003068F8">
              <w:rPr>
                <w:sz w:val="21"/>
                <w:szCs w:val="21"/>
                <w:lang w:bidi="zh-CN"/>
              </w:rPr>
              <w:t>、</w:t>
            </w:r>
            <w:r w:rsidRPr="008A2152">
              <w:rPr>
                <w:sz w:val="21"/>
                <w:szCs w:val="21"/>
                <w:lang w:bidi="zh-CN"/>
              </w:rPr>
              <w:t xml:space="preserve">矿业权或者 其他相 </w:t>
            </w:r>
            <w:proofErr w:type="gramStart"/>
            <w:r w:rsidRPr="008A2152">
              <w:rPr>
                <w:sz w:val="21"/>
                <w:szCs w:val="21"/>
                <w:lang w:bidi="zh-CN"/>
              </w:rPr>
              <w:t>关专业</w:t>
            </w:r>
            <w:proofErr w:type="gramEnd"/>
            <w:r w:rsidRPr="008A2152">
              <w:rPr>
                <w:sz w:val="21"/>
                <w:szCs w:val="21"/>
                <w:lang w:bidi="zh-CN"/>
              </w:rPr>
              <w:t>评估 报告评 估结论</w:t>
            </w:r>
          </w:p>
        </w:tc>
        <w:tc>
          <w:tcPr>
            <w:tcW w:w="3854" w:type="pct"/>
          </w:tcPr>
          <w:p w14:paraId="366155E9"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（一）资产评估师应对所引用报告进行了必要的专业判断，并声明其了解 所引用报告结论的取得过程，承担引用报告结论的相关责任。</w:t>
            </w:r>
          </w:p>
          <w:p w14:paraId="4F29A7CE" w14:textId="77777777"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（二）所引用报告评估目的、价值类型应当一致；评估基准日、评估结论 使用有效期一致；评估假设一致，资产评估引用结果与所引用报告披露的 结果一致，所引用报告披露的相关事项说明与资产评估报告一致。</w:t>
            </w:r>
          </w:p>
        </w:tc>
      </w:tr>
      <w:tr w:rsidR="008A2152" w:rsidRPr="008A2152" w14:paraId="735431C1" w14:textId="77777777" w:rsidTr="00466685">
        <w:trPr>
          <w:trHeight w:val="2580"/>
          <w:jc w:val="center"/>
        </w:trPr>
        <w:tc>
          <w:tcPr>
            <w:tcW w:w="1146" w:type="pct"/>
            <w:vAlign w:val="center"/>
          </w:tcPr>
          <w:p w14:paraId="5C8EA008" w14:textId="77777777" w:rsidR="008A2152" w:rsidRPr="008A2152" w:rsidRDefault="008A2152" w:rsidP="00466685">
            <w:pPr>
              <w:pStyle w:val="13"/>
              <w:spacing w:line="240" w:lineRule="auto"/>
              <w:ind w:firstLineChars="0" w:firstLine="0"/>
              <w:rPr>
                <w:sz w:val="21"/>
                <w:szCs w:val="21"/>
                <w:lang w:bidi="zh-CN"/>
              </w:rPr>
            </w:pPr>
            <w:r w:rsidRPr="008A2152">
              <w:rPr>
                <w:sz w:val="21"/>
                <w:szCs w:val="21"/>
                <w:lang w:bidi="zh-CN"/>
              </w:rPr>
              <w:lastRenderedPageBreak/>
              <w:t>二十二、境外资产评 估或估值报告</w:t>
            </w:r>
          </w:p>
        </w:tc>
        <w:tc>
          <w:tcPr>
            <w:tcW w:w="3854" w:type="pct"/>
          </w:tcPr>
          <w:p w14:paraId="669E4578" w14:textId="5D9B1609"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（一）应当审核评估或估值机构是否协助企业进行尽职调查、询价，是否 参与交易过程；经济行为涉及的交易对价是否以评估或估值结果为基础</w:t>
            </w:r>
            <w:r w:rsidR="003068F8">
              <w:rPr>
                <w:sz w:val="21"/>
                <w:szCs w:val="21"/>
                <w:lang w:bidi="zh-CN"/>
              </w:rPr>
              <w:t>，</w:t>
            </w:r>
            <w:r w:rsidRPr="008A2152">
              <w:rPr>
                <w:sz w:val="21"/>
                <w:szCs w:val="21"/>
                <w:lang w:bidi="zh-CN"/>
              </w:rPr>
              <w:t>确有差异的是否具有充足合理的理由。</w:t>
            </w:r>
          </w:p>
          <w:p w14:paraId="60DC0261" w14:textId="74BF1A78" w:rsidR="008A2152" w:rsidRPr="008A2152" w:rsidRDefault="008A2152" w:rsidP="008A2152">
            <w:pPr>
              <w:pStyle w:val="13"/>
              <w:spacing w:line="240" w:lineRule="auto"/>
              <w:ind w:firstLineChars="0" w:firstLine="0"/>
              <w:rPr>
                <w:sz w:val="21"/>
                <w:szCs w:val="21"/>
                <w:lang w:bidi="zh-CN"/>
              </w:rPr>
            </w:pPr>
            <w:r w:rsidRPr="008A2152">
              <w:rPr>
                <w:sz w:val="21"/>
                <w:szCs w:val="21"/>
                <w:lang w:bidi="zh-CN"/>
              </w:rPr>
              <w:t>（二）对境外机构出具的估值报告，应当明示其所依据的评估准则</w:t>
            </w:r>
            <w:r w:rsidR="003068F8">
              <w:rPr>
                <w:sz w:val="21"/>
                <w:szCs w:val="21"/>
                <w:lang w:bidi="zh-CN"/>
              </w:rPr>
              <w:t>，</w:t>
            </w:r>
            <w:r w:rsidRPr="008A2152">
              <w:rPr>
                <w:sz w:val="21"/>
                <w:szCs w:val="21"/>
                <w:lang w:bidi="zh-CN"/>
              </w:rPr>
              <w:t>并合 理参考境内评估准则及要求。评估或估值结果应以人民币为计量币种。使 用其他币种计量的，应注明该币种与人民币在评估基准日的汇率。如果评 估或估值结果为区间值的，应在区间之内确定一个最大可能值，并说明确 定依据。</w:t>
            </w:r>
          </w:p>
        </w:tc>
      </w:tr>
    </w:tbl>
    <w:p w14:paraId="1C7771CF" w14:textId="77777777" w:rsidR="00FA0363" w:rsidRPr="00650C0A" w:rsidRDefault="00FA0363" w:rsidP="00466685">
      <w:pPr>
        <w:pStyle w:val="13"/>
      </w:pPr>
      <w:r w:rsidRPr="00650C0A">
        <w:rPr>
          <w:rFonts w:hint="eastAsia"/>
        </w:rPr>
        <w:t>注：对具体评估报告应按照评估管理制度规定和评估准则进行全面审核，不应</w:t>
      </w:r>
      <w:r w:rsidRPr="00650C0A">
        <w:t>局限于上述审核要点所列事项。</w:t>
      </w:r>
    </w:p>
    <w:p w14:paraId="2D55CE85" w14:textId="77777777" w:rsidR="00FA0363" w:rsidRDefault="00FA0363" w:rsidP="00FA0363">
      <w:pPr>
        <w:pStyle w:val="13"/>
        <w:ind w:firstLineChars="0"/>
      </w:pPr>
      <w:r>
        <w:br w:type="page"/>
      </w:r>
    </w:p>
    <w:p w14:paraId="4FE08042" w14:textId="77777777" w:rsidR="00FA0363" w:rsidRDefault="00FA0363" w:rsidP="00FA0363">
      <w:pPr>
        <w:pStyle w:val="13"/>
      </w:pPr>
      <w:r>
        <w:rPr>
          <w:rFonts w:hint="eastAsia"/>
        </w:rPr>
        <w:lastRenderedPageBreak/>
        <w:t>附件</w:t>
      </w:r>
      <w:r>
        <w:t>2</w:t>
      </w:r>
    </w:p>
    <w:p w14:paraId="72A549CD" w14:textId="77777777" w:rsidR="00FA0363" w:rsidRDefault="00FA0363" w:rsidP="00AF7342">
      <w:pPr>
        <w:pStyle w:val="a9"/>
        <w:spacing w:before="62" w:after="62"/>
      </w:pPr>
      <w:r>
        <w:rPr>
          <w:rFonts w:hint="eastAsia"/>
        </w:rPr>
        <w:t>资产评估项目核准申请表</w:t>
      </w:r>
    </w:p>
    <w:p w14:paraId="4A0D37E8" w14:textId="77777777" w:rsidR="00FA0363" w:rsidRDefault="00FA0363" w:rsidP="00FA0363">
      <w:pPr>
        <w:pStyle w:val="13"/>
        <w:ind w:firstLineChars="0"/>
      </w:pPr>
      <w:r>
        <w:rPr>
          <w:rFonts w:hint="eastAsia"/>
        </w:rPr>
        <w:t>填表日期：</w:t>
      </w:r>
      <w:r>
        <w:t>年月日编号：</w:t>
      </w:r>
    </w:p>
    <w:tbl>
      <w:tblPr>
        <w:tblW w:w="87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9"/>
        <w:gridCol w:w="1640"/>
        <w:gridCol w:w="594"/>
        <w:gridCol w:w="297"/>
        <w:gridCol w:w="1204"/>
        <w:gridCol w:w="957"/>
        <w:gridCol w:w="373"/>
        <w:gridCol w:w="641"/>
        <w:gridCol w:w="402"/>
        <w:gridCol w:w="895"/>
        <w:gridCol w:w="406"/>
        <w:gridCol w:w="746"/>
      </w:tblGrid>
      <w:tr w:rsidR="00466685" w:rsidRPr="00466685" w14:paraId="47C5C6B3" w14:textId="77777777" w:rsidTr="00466685">
        <w:trPr>
          <w:trHeight w:val="616"/>
          <w:jc w:val="center"/>
        </w:trPr>
        <w:tc>
          <w:tcPr>
            <w:tcW w:w="2249" w:type="dxa"/>
            <w:gridSpan w:val="2"/>
            <w:vAlign w:val="center"/>
          </w:tcPr>
          <w:p w14:paraId="42318377"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评估对象</w:t>
            </w:r>
          </w:p>
        </w:tc>
        <w:tc>
          <w:tcPr>
            <w:tcW w:w="6515" w:type="dxa"/>
            <w:gridSpan w:val="10"/>
            <w:vAlign w:val="center"/>
          </w:tcPr>
          <w:p w14:paraId="008D4CBE"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04BD1CA6" w14:textId="77777777" w:rsidTr="00466685">
        <w:trPr>
          <w:trHeight w:val="617"/>
          <w:jc w:val="center"/>
        </w:trPr>
        <w:tc>
          <w:tcPr>
            <w:tcW w:w="2249" w:type="dxa"/>
            <w:gridSpan w:val="2"/>
            <w:vAlign w:val="center"/>
          </w:tcPr>
          <w:p w14:paraId="0964AB48"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产权持有单位</w:t>
            </w:r>
          </w:p>
        </w:tc>
        <w:tc>
          <w:tcPr>
            <w:tcW w:w="4066" w:type="dxa"/>
            <w:gridSpan w:val="6"/>
            <w:vAlign w:val="center"/>
          </w:tcPr>
          <w:p w14:paraId="760B9775" w14:textId="77777777" w:rsidR="00466685" w:rsidRPr="00466685" w:rsidRDefault="00466685" w:rsidP="00466685">
            <w:pPr>
              <w:pStyle w:val="13"/>
              <w:spacing w:line="240" w:lineRule="auto"/>
              <w:ind w:firstLineChars="0" w:firstLine="0"/>
              <w:jc w:val="center"/>
              <w:rPr>
                <w:sz w:val="21"/>
                <w:szCs w:val="21"/>
                <w:lang w:bidi="zh-CN"/>
              </w:rPr>
            </w:pPr>
          </w:p>
        </w:tc>
        <w:tc>
          <w:tcPr>
            <w:tcW w:w="1703" w:type="dxa"/>
            <w:gridSpan w:val="3"/>
            <w:vAlign w:val="center"/>
          </w:tcPr>
          <w:p w14:paraId="35BE6D73"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企业管理级次</w:t>
            </w:r>
          </w:p>
        </w:tc>
        <w:tc>
          <w:tcPr>
            <w:tcW w:w="746" w:type="dxa"/>
            <w:vAlign w:val="center"/>
          </w:tcPr>
          <w:p w14:paraId="657997B0"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746C00C6" w14:textId="77777777" w:rsidTr="00466685">
        <w:trPr>
          <w:trHeight w:val="474"/>
          <w:jc w:val="center"/>
        </w:trPr>
        <w:tc>
          <w:tcPr>
            <w:tcW w:w="2249" w:type="dxa"/>
            <w:gridSpan w:val="2"/>
            <w:vAlign w:val="center"/>
          </w:tcPr>
          <w:p w14:paraId="6600BA62"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资产评估委托方</w:t>
            </w:r>
          </w:p>
        </w:tc>
        <w:tc>
          <w:tcPr>
            <w:tcW w:w="6515" w:type="dxa"/>
            <w:gridSpan w:val="10"/>
            <w:vAlign w:val="center"/>
          </w:tcPr>
          <w:p w14:paraId="44FB36A4"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22CD179B" w14:textId="77777777" w:rsidTr="00466685">
        <w:trPr>
          <w:trHeight w:val="653"/>
          <w:jc w:val="center"/>
        </w:trPr>
        <w:tc>
          <w:tcPr>
            <w:tcW w:w="2249" w:type="dxa"/>
            <w:gridSpan w:val="2"/>
            <w:vAlign w:val="center"/>
          </w:tcPr>
          <w:p w14:paraId="6E66ABE8"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省属企业（省直有关</w:t>
            </w:r>
          </w:p>
          <w:p w14:paraId="73DDC669"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部门、单位）</w:t>
            </w:r>
          </w:p>
        </w:tc>
        <w:tc>
          <w:tcPr>
            <w:tcW w:w="6515" w:type="dxa"/>
            <w:gridSpan w:val="10"/>
            <w:vAlign w:val="center"/>
          </w:tcPr>
          <w:p w14:paraId="1E118FF9"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7E0E5EAC" w14:textId="77777777" w:rsidTr="00466685">
        <w:trPr>
          <w:trHeight w:val="1924"/>
          <w:jc w:val="center"/>
        </w:trPr>
        <w:tc>
          <w:tcPr>
            <w:tcW w:w="609" w:type="dxa"/>
            <w:textDirection w:val="tbRlV"/>
            <w:vAlign w:val="center"/>
          </w:tcPr>
          <w:p w14:paraId="310F481C"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评估目的</w:t>
            </w:r>
          </w:p>
        </w:tc>
        <w:tc>
          <w:tcPr>
            <w:tcW w:w="8155" w:type="dxa"/>
            <w:gridSpan w:val="11"/>
            <w:vAlign w:val="center"/>
          </w:tcPr>
          <w:p w14:paraId="324E39DB"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77FE78CC" w14:textId="77777777" w:rsidTr="00466685">
        <w:trPr>
          <w:trHeight w:val="591"/>
          <w:jc w:val="center"/>
        </w:trPr>
        <w:tc>
          <w:tcPr>
            <w:tcW w:w="2249" w:type="dxa"/>
            <w:gridSpan w:val="2"/>
            <w:vAlign w:val="center"/>
          </w:tcPr>
          <w:p w14:paraId="0852DDB4"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评估报告编号</w:t>
            </w:r>
          </w:p>
        </w:tc>
        <w:tc>
          <w:tcPr>
            <w:tcW w:w="6515" w:type="dxa"/>
            <w:gridSpan w:val="10"/>
            <w:vAlign w:val="center"/>
          </w:tcPr>
          <w:p w14:paraId="6E10078C"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184BF1DB" w14:textId="77777777" w:rsidTr="00466685">
        <w:trPr>
          <w:trHeight w:val="617"/>
          <w:jc w:val="center"/>
        </w:trPr>
        <w:tc>
          <w:tcPr>
            <w:tcW w:w="2249" w:type="dxa"/>
            <w:gridSpan w:val="2"/>
            <w:vAlign w:val="center"/>
          </w:tcPr>
          <w:p w14:paraId="786D1C86"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评估范围</w:t>
            </w:r>
          </w:p>
        </w:tc>
        <w:tc>
          <w:tcPr>
            <w:tcW w:w="2095" w:type="dxa"/>
            <w:gridSpan w:val="3"/>
            <w:vAlign w:val="center"/>
          </w:tcPr>
          <w:p w14:paraId="0CEC289C"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整体/部分资产</w:t>
            </w:r>
          </w:p>
        </w:tc>
        <w:tc>
          <w:tcPr>
            <w:tcW w:w="957" w:type="dxa"/>
            <w:vAlign w:val="center"/>
          </w:tcPr>
          <w:p w14:paraId="5ADE99C0" w14:textId="77777777" w:rsidR="00466685" w:rsidRPr="00466685" w:rsidRDefault="00466685" w:rsidP="00466685">
            <w:pPr>
              <w:pStyle w:val="13"/>
              <w:spacing w:line="240" w:lineRule="auto"/>
              <w:ind w:firstLineChars="0" w:firstLine="0"/>
              <w:jc w:val="center"/>
              <w:rPr>
                <w:sz w:val="21"/>
                <w:szCs w:val="21"/>
                <w:lang w:bidi="zh-CN"/>
              </w:rPr>
            </w:pPr>
          </w:p>
        </w:tc>
        <w:tc>
          <w:tcPr>
            <w:tcW w:w="1416" w:type="dxa"/>
            <w:gridSpan w:val="3"/>
            <w:vAlign w:val="center"/>
          </w:tcPr>
          <w:p w14:paraId="28BD339E"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主要评估方法</w:t>
            </w:r>
          </w:p>
        </w:tc>
        <w:tc>
          <w:tcPr>
            <w:tcW w:w="2047" w:type="dxa"/>
            <w:gridSpan w:val="3"/>
            <w:vAlign w:val="center"/>
          </w:tcPr>
          <w:p w14:paraId="7D71F835"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534CC152" w14:textId="77777777" w:rsidTr="00466685">
        <w:trPr>
          <w:trHeight w:val="530"/>
          <w:jc w:val="center"/>
        </w:trPr>
        <w:tc>
          <w:tcPr>
            <w:tcW w:w="2249" w:type="dxa"/>
            <w:gridSpan w:val="2"/>
            <w:vAlign w:val="center"/>
          </w:tcPr>
          <w:p w14:paraId="348A27EA"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账面值（万元）</w:t>
            </w:r>
          </w:p>
        </w:tc>
        <w:tc>
          <w:tcPr>
            <w:tcW w:w="891" w:type="dxa"/>
            <w:gridSpan w:val="2"/>
            <w:vMerge w:val="restart"/>
            <w:tcBorders>
              <w:bottom w:val="nil"/>
            </w:tcBorders>
            <w:vAlign w:val="center"/>
          </w:tcPr>
          <w:p w14:paraId="332A0F2E" w14:textId="77777777" w:rsidR="00466685" w:rsidRPr="00466685" w:rsidRDefault="00466685" w:rsidP="00466685">
            <w:pPr>
              <w:pStyle w:val="13"/>
              <w:spacing w:line="240" w:lineRule="auto"/>
              <w:ind w:firstLineChars="0" w:firstLine="0"/>
              <w:jc w:val="center"/>
              <w:rPr>
                <w:sz w:val="21"/>
                <w:szCs w:val="21"/>
                <w:lang w:bidi="zh-CN"/>
              </w:rPr>
            </w:pPr>
          </w:p>
          <w:p w14:paraId="6F952303"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资产</w:t>
            </w:r>
          </w:p>
        </w:tc>
        <w:tc>
          <w:tcPr>
            <w:tcW w:w="1204" w:type="dxa"/>
            <w:vAlign w:val="center"/>
          </w:tcPr>
          <w:p w14:paraId="476D18FC" w14:textId="77777777" w:rsidR="00466685" w:rsidRPr="00466685" w:rsidRDefault="00466685" w:rsidP="00466685">
            <w:pPr>
              <w:pStyle w:val="13"/>
              <w:spacing w:line="240" w:lineRule="auto"/>
              <w:ind w:firstLineChars="0" w:firstLine="0"/>
              <w:jc w:val="center"/>
              <w:rPr>
                <w:sz w:val="21"/>
                <w:szCs w:val="21"/>
                <w:lang w:bidi="zh-CN"/>
              </w:rPr>
            </w:pPr>
          </w:p>
        </w:tc>
        <w:tc>
          <w:tcPr>
            <w:tcW w:w="957" w:type="dxa"/>
            <w:vMerge w:val="restart"/>
            <w:tcBorders>
              <w:bottom w:val="nil"/>
            </w:tcBorders>
            <w:vAlign w:val="center"/>
          </w:tcPr>
          <w:p w14:paraId="3F644ECB" w14:textId="77777777" w:rsidR="00466685" w:rsidRPr="00466685" w:rsidRDefault="00466685" w:rsidP="00466685">
            <w:pPr>
              <w:pStyle w:val="13"/>
              <w:spacing w:line="240" w:lineRule="auto"/>
              <w:ind w:firstLineChars="0" w:firstLine="0"/>
              <w:jc w:val="center"/>
              <w:rPr>
                <w:sz w:val="21"/>
                <w:szCs w:val="21"/>
                <w:lang w:bidi="zh-CN"/>
              </w:rPr>
            </w:pPr>
          </w:p>
          <w:p w14:paraId="062F9405"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负债</w:t>
            </w:r>
          </w:p>
        </w:tc>
        <w:tc>
          <w:tcPr>
            <w:tcW w:w="1416" w:type="dxa"/>
            <w:gridSpan w:val="3"/>
            <w:vAlign w:val="center"/>
          </w:tcPr>
          <w:p w14:paraId="6A4E4839" w14:textId="77777777" w:rsidR="00466685" w:rsidRPr="00466685" w:rsidRDefault="00466685" w:rsidP="00466685">
            <w:pPr>
              <w:pStyle w:val="13"/>
              <w:spacing w:line="240" w:lineRule="auto"/>
              <w:ind w:firstLineChars="0" w:firstLine="0"/>
              <w:jc w:val="center"/>
              <w:rPr>
                <w:sz w:val="21"/>
                <w:szCs w:val="21"/>
                <w:lang w:bidi="zh-CN"/>
              </w:rPr>
            </w:pPr>
          </w:p>
        </w:tc>
        <w:tc>
          <w:tcPr>
            <w:tcW w:w="895" w:type="dxa"/>
            <w:vMerge w:val="restart"/>
            <w:tcBorders>
              <w:bottom w:val="nil"/>
            </w:tcBorders>
            <w:vAlign w:val="center"/>
          </w:tcPr>
          <w:p w14:paraId="5835ACB0" w14:textId="77777777" w:rsidR="00466685" w:rsidRPr="00466685" w:rsidRDefault="00466685" w:rsidP="00466685">
            <w:pPr>
              <w:pStyle w:val="13"/>
              <w:spacing w:line="240" w:lineRule="auto"/>
              <w:ind w:firstLineChars="0" w:firstLine="0"/>
              <w:jc w:val="center"/>
              <w:rPr>
                <w:sz w:val="21"/>
                <w:szCs w:val="21"/>
                <w:lang w:bidi="zh-CN"/>
              </w:rPr>
            </w:pPr>
          </w:p>
          <w:p w14:paraId="1E2ED10E"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净资产</w:t>
            </w:r>
          </w:p>
        </w:tc>
        <w:tc>
          <w:tcPr>
            <w:tcW w:w="1152" w:type="dxa"/>
            <w:gridSpan w:val="2"/>
            <w:vAlign w:val="center"/>
          </w:tcPr>
          <w:p w14:paraId="0516B5E5"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00824CB3" w14:textId="77777777" w:rsidTr="00466685">
        <w:trPr>
          <w:trHeight w:val="461"/>
          <w:jc w:val="center"/>
        </w:trPr>
        <w:tc>
          <w:tcPr>
            <w:tcW w:w="2249" w:type="dxa"/>
            <w:gridSpan w:val="2"/>
            <w:vAlign w:val="center"/>
          </w:tcPr>
          <w:p w14:paraId="42A14A4B"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评估结果（万元）</w:t>
            </w:r>
          </w:p>
        </w:tc>
        <w:tc>
          <w:tcPr>
            <w:tcW w:w="891" w:type="dxa"/>
            <w:gridSpan w:val="2"/>
            <w:vMerge/>
            <w:tcBorders>
              <w:top w:val="nil"/>
            </w:tcBorders>
            <w:vAlign w:val="center"/>
          </w:tcPr>
          <w:p w14:paraId="40AC017A" w14:textId="77777777" w:rsidR="00466685" w:rsidRPr="00466685" w:rsidRDefault="00466685" w:rsidP="00466685">
            <w:pPr>
              <w:pStyle w:val="13"/>
              <w:spacing w:line="240" w:lineRule="auto"/>
              <w:ind w:firstLineChars="0" w:firstLine="0"/>
              <w:jc w:val="center"/>
              <w:rPr>
                <w:sz w:val="21"/>
                <w:szCs w:val="21"/>
                <w:lang w:bidi="zh-CN"/>
              </w:rPr>
            </w:pPr>
          </w:p>
        </w:tc>
        <w:tc>
          <w:tcPr>
            <w:tcW w:w="1204" w:type="dxa"/>
            <w:vAlign w:val="center"/>
          </w:tcPr>
          <w:p w14:paraId="21C1842F" w14:textId="77777777" w:rsidR="00466685" w:rsidRPr="00466685" w:rsidRDefault="00466685" w:rsidP="00466685">
            <w:pPr>
              <w:pStyle w:val="13"/>
              <w:spacing w:line="240" w:lineRule="auto"/>
              <w:ind w:firstLineChars="0" w:firstLine="0"/>
              <w:jc w:val="center"/>
              <w:rPr>
                <w:sz w:val="21"/>
                <w:szCs w:val="21"/>
                <w:lang w:bidi="zh-CN"/>
              </w:rPr>
            </w:pPr>
          </w:p>
        </w:tc>
        <w:tc>
          <w:tcPr>
            <w:tcW w:w="957" w:type="dxa"/>
            <w:vMerge/>
            <w:tcBorders>
              <w:top w:val="nil"/>
            </w:tcBorders>
            <w:vAlign w:val="center"/>
          </w:tcPr>
          <w:p w14:paraId="17F8B0E8" w14:textId="77777777" w:rsidR="00466685" w:rsidRPr="00466685" w:rsidRDefault="00466685" w:rsidP="00466685">
            <w:pPr>
              <w:pStyle w:val="13"/>
              <w:spacing w:line="240" w:lineRule="auto"/>
              <w:ind w:firstLineChars="0" w:firstLine="0"/>
              <w:jc w:val="center"/>
              <w:rPr>
                <w:sz w:val="21"/>
                <w:szCs w:val="21"/>
                <w:lang w:bidi="zh-CN"/>
              </w:rPr>
            </w:pPr>
          </w:p>
        </w:tc>
        <w:tc>
          <w:tcPr>
            <w:tcW w:w="1416" w:type="dxa"/>
            <w:gridSpan w:val="3"/>
            <w:tcBorders>
              <w:bottom w:val="single" w:sz="2" w:space="0" w:color="000000"/>
            </w:tcBorders>
            <w:vAlign w:val="center"/>
          </w:tcPr>
          <w:p w14:paraId="3AA75FBE" w14:textId="77777777" w:rsidR="00466685" w:rsidRPr="00466685" w:rsidRDefault="00466685" w:rsidP="00466685">
            <w:pPr>
              <w:pStyle w:val="13"/>
              <w:spacing w:line="240" w:lineRule="auto"/>
              <w:ind w:firstLineChars="0" w:firstLine="0"/>
              <w:jc w:val="center"/>
              <w:rPr>
                <w:sz w:val="21"/>
                <w:szCs w:val="21"/>
                <w:lang w:bidi="zh-CN"/>
              </w:rPr>
            </w:pPr>
          </w:p>
        </w:tc>
        <w:tc>
          <w:tcPr>
            <w:tcW w:w="895" w:type="dxa"/>
            <w:vMerge/>
            <w:tcBorders>
              <w:top w:val="nil"/>
            </w:tcBorders>
            <w:vAlign w:val="center"/>
          </w:tcPr>
          <w:p w14:paraId="4210BCFD" w14:textId="77777777" w:rsidR="00466685" w:rsidRPr="00466685" w:rsidRDefault="00466685" w:rsidP="00466685">
            <w:pPr>
              <w:pStyle w:val="13"/>
              <w:spacing w:line="240" w:lineRule="auto"/>
              <w:ind w:firstLineChars="0" w:firstLine="0"/>
              <w:jc w:val="center"/>
              <w:rPr>
                <w:sz w:val="21"/>
                <w:szCs w:val="21"/>
                <w:lang w:bidi="zh-CN"/>
              </w:rPr>
            </w:pPr>
          </w:p>
        </w:tc>
        <w:tc>
          <w:tcPr>
            <w:tcW w:w="1152" w:type="dxa"/>
            <w:gridSpan w:val="2"/>
            <w:vAlign w:val="center"/>
          </w:tcPr>
          <w:p w14:paraId="172EFBE5"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11B52766" w14:textId="77777777" w:rsidTr="00466685">
        <w:trPr>
          <w:trHeight w:val="556"/>
          <w:jc w:val="center"/>
        </w:trPr>
        <w:tc>
          <w:tcPr>
            <w:tcW w:w="2249" w:type="dxa"/>
            <w:gridSpan w:val="2"/>
            <w:vAlign w:val="center"/>
          </w:tcPr>
          <w:p w14:paraId="21C50D9A"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评估机构名称</w:t>
            </w:r>
          </w:p>
        </w:tc>
        <w:tc>
          <w:tcPr>
            <w:tcW w:w="3425" w:type="dxa"/>
            <w:gridSpan w:val="5"/>
            <w:vAlign w:val="center"/>
          </w:tcPr>
          <w:p w14:paraId="1FA7849F" w14:textId="77777777" w:rsidR="00466685" w:rsidRPr="00466685" w:rsidRDefault="00466685" w:rsidP="00466685">
            <w:pPr>
              <w:pStyle w:val="13"/>
              <w:spacing w:line="240" w:lineRule="auto"/>
              <w:ind w:firstLineChars="0" w:firstLine="0"/>
              <w:jc w:val="center"/>
              <w:rPr>
                <w:sz w:val="21"/>
                <w:szCs w:val="21"/>
                <w:lang w:bidi="zh-CN"/>
              </w:rPr>
            </w:pPr>
          </w:p>
        </w:tc>
        <w:tc>
          <w:tcPr>
            <w:tcW w:w="1938" w:type="dxa"/>
            <w:gridSpan w:val="3"/>
            <w:vAlign w:val="center"/>
          </w:tcPr>
          <w:p w14:paraId="7897852A"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资质证书编号</w:t>
            </w:r>
          </w:p>
        </w:tc>
        <w:tc>
          <w:tcPr>
            <w:tcW w:w="1152" w:type="dxa"/>
            <w:gridSpan w:val="2"/>
            <w:vAlign w:val="center"/>
          </w:tcPr>
          <w:p w14:paraId="67DC83B2"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5561EAF8" w14:textId="77777777" w:rsidTr="00466685">
        <w:trPr>
          <w:trHeight w:val="548"/>
          <w:jc w:val="center"/>
        </w:trPr>
        <w:tc>
          <w:tcPr>
            <w:tcW w:w="2249" w:type="dxa"/>
            <w:gridSpan w:val="2"/>
            <w:vAlign w:val="center"/>
          </w:tcPr>
          <w:p w14:paraId="6DB51E76"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资产评估师姓名及编号</w:t>
            </w:r>
          </w:p>
        </w:tc>
        <w:tc>
          <w:tcPr>
            <w:tcW w:w="3425" w:type="dxa"/>
            <w:gridSpan w:val="5"/>
            <w:vAlign w:val="center"/>
          </w:tcPr>
          <w:p w14:paraId="585E8DBA" w14:textId="77777777" w:rsidR="00466685" w:rsidRPr="00466685" w:rsidRDefault="00466685" w:rsidP="00466685">
            <w:pPr>
              <w:pStyle w:val="13"/>
              <w:spacing w:line="240" w:lineRule="auto"/>
              <w:ind w:firstLineChars="0" w:firstLine="0"/>
              <w:jc w:val="center"/>
              <w:rPr>
                <w:sz w:val="21"/>
                <w:szCs w:val="21"/>
                <w:lang w:bidi="zh-CN"/>
              </w:rPr>
            </w:pPr>
          </w:p>
        </w:tc>
        <w:tc>
          <w:tcPr>
            <w:tcW w:w="1938" w:type="dxa"/>
            <w:gridSpan w:val="3"/>
            <w:vAlign w:val="center"/>
          </w:tcPr>
          <w:p w14:paraId="3E6FF1F6" w14:textId="77777777"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评估基准日</w:t>
            </w:r>
          </w:p>
        </w:tc>
        <w:tc>
          <w:tcPr>
            <w:tcW w:w="1152" w:type="dxa"/>
            <w:gridSpan w:val="2"/>
            <w:vAlign w:val="center"/>
          </w:tcPr>
          <w:p w14:paraId="67A23897" w14:textId="77777777" w:rsidR="00466685" w:rsidRPr="00466685" w:rsidRDefault="00466685" w:rsidP="00466685">
            <w:pPr>
              <w:pStyle w:val="13"/>
              <w:spacing w:line="240" w:lineRule="auto"/>
              <w:ind w:firstLineChars="0" w:firstLine="0"/>
              <w:jc w:val="center"/>
              <w:rPr>
                <w:sz w:val="21"/>
                <w:szCs w:val="21"/>
                <w:lang w:bidi="zh-CN"/>
              </w:rPr>
            </w:pPr>
          </w:p>
        </w:tc>
      </w:tr>
      <w:tr w:rsidR="00466685" w:rsidRPr="00466685" w14:paraId="27371618" w14:textId="77777777" w:rsidTr="00466685">
        <w:trPr>
          <w:trHeight w:val="2392"/>
          <w:jc w:val="center"/>
        </w:trPr>
        <w:tc>
          <w:tcPr>
            <w:tcW w:w="2843" w:type="dxa"/>
            <w:gridSpan w:val="3"/>
            <w:tcBorders>
              <w:bottom w:val="nil"/>
            </w:tcBorders>
            <w:vAlign w:val="center"/>
          </w:tcPr>
          <w:p w14:paraId="28801E70" w14:textId="77777777" w:rsidR="00466685" w:rsidRPr="00466685" w:rsidRDefault="00466685" w:rsidP="00466685">
            <w:pPr>
              <w:pStyle w:val="13"/>
              <w:spacing w:line="240" w:lineRule="auto"/>
              <w:ind w:firstLineChars="0" w:firstLine="0"/>
              <w:rPr>
                <w:sz w:val="21"/>
                <w:szCs w:val="21"/>
                <w:lang w:bidi="zh-CN"/>
              </w:rPr>
            </w:pPr>
          </w:p>
          <w:p w14:paraId="561C6935" w14:textId="77777777" w:rsidR="00466685" w:rsidRPr="00466685" w:rsidRDefault="00466685" w:rsidP="00466685">
            <w:pPr>
              <w:pStyle w:val="13"/>
              <w:spacing w:line="240" w:lineRule="auto"/>
              <w:ind w:firstLineChars="0" w:firstLine="0"/>
              <w:rPr>
                <w:sz w:val="21"/>
                <w:szCs w:val="21"/>
                <w:lang w:bidi="zh-CN"/>
              </w:rPr>
            </w:pPr>
            <w:r w:rsidRPr="00466685">
              <w:rPr>
                <w:sz w:val="21"/>
                <w:szCs w:val="21"/>
                <w:lang w:bidi="zh-CN"/>
              </w:rPr>
              <w:t>申请核准</w:t>
            </w:r>
          </w:p>
          <w:p w14:paraId="1AFCEAC7" w14:textId="77777777" w:rsidR="00466685" w:rsidRPr="00466685" w:rsidRDefault="00466685" w:rsidP="00466685">
            <w:pPr>
              <w:pStyle w:val="13"/>
              <w:spacing w:line="240" w:lineRule="auto"/>
              <w:ind w:firstLineChars="0" w:firstLine="0"/>
              <w:rPr>
                <w:sz w:val="21"/>
                <w:szCs w:val="21"/>
                <w:lang w:bidi="zh-CN"/>
              </w:rPr>
            </w:pPr>
          </w:p>
          <w:p w14:paraId="73C78392" w14:textId="77777777" w:rsidR="00466685" w:rsidRPr="00466685" w:rsidRDefault="00466685" w:rsidP="00466685">
            <w:pPr>
              <w:pStyle w:val="13"/>
              <w:spacing w:line="240" w:lineRule="auto"/>
              <w:ind w:firstLineChars="0" w:firstLine="0"/>
              <w:rPr>
                <w:sz w:val="21"/>
                <w:szCs w:val="21"/>
                <w:lang w:bidi="zh-CN"/>
              </w:rPr>
            </w:pPr>
            <w:r w:rsidRPr="00466685">
              <w:rPr>
                <w:sz w:val="21"/>
                <w:szCs w:val="21"/>
                <w:lang w:bidi="zh-CN"/>
              </w:rPr>
              <w:t>产权持有单位盖章</w:t>
            </w:r>
          </w:p>
          <w:p w14:paraId="480F697B" w14:textId="77777777" w:rsidR="00466685" w:rsidRPr="00466685" w:rsidRDefault="00466685" w:rsidP="00466685">
            <w:pPr>
              <w:pStyle w:val="13"/>
              <w:spacing w:line="240" w:lineRule="auto"/>
              <w:ind w:firstLineChars="0" w:firstLine="0"/>
              <w:rPr>
                <w:sz w:val="21"/>
                <w:szCs w:val="21"/>
                <w:lang w:bidi="zh-CN"/>
              </w:rPr>
            </w:pPr>
            <w:r w:rsidRPr="00466685">
              <w:rPr>
                <w:sz w:val="21"/>
                <w:szCs w:val="21"/>
                <w:lang w:bidi="zh-CN"/>
              </w:rPr>
              <w:t>法人代表签字：</w:t>
            </w:r>
          </w:p>
        </w:tc>
        <w:tc>
          <w:tcPr>
            <w:tcW w:w="2831" w:type="dxa"/>
            <w:gridSpan w:val="4"/>
            <w:tcBorders>
              <w:bottom w:val="nil"/>
            </w:tcBorders>
            <w:vAlign w:val="center"/>
          </w:tcPr>
          <w:p w14:paraId="124E6DD3" w14:textId="77777777" w:rsidR="00466685" w:rsidRPr="00466685" w:rsidRDefault="00466685" w:rsidP="00466685">
            <w:pPr>
              <w:pStyle w:val="13"/>
              <w:spacing w:line="240" w:lineRule="auto"/>
              <w:ind w:firstLineChars="0" w:firstLine="0"/>
              <w:rPr>
                <w:sz w:val="21"/>
                <w:szCs w:val="21"/>
                <w:lang w:bidi="zh-CN"/>
              </w:rPr>
            </w:pPr>
          </w:p>
          <w:p w14:paraId="65D7FED5" w14:textId="77777777" w:rsidR="00466685" w:rsidRPr="00466685" w:rsidRDefault="00466685" w:rsidP="00466685">
            <w:pPr>
              <w:pStyle w:val="13"/>
              <w:spacing w:line="240" w:lineRule="auto"/>
              <w:ind w:firstLineChars="0" w:firstLine="0"/>
              <w:rPr>
                <w:sz w:val="21"/>
                <w:szCs w:val="21"/>
                <w:lang w:bidi="zh-CN"/>
              </w:rPr>
            </w:pPr>
            <w:r w:rsidRPr="00466685">
              <w:rPr>
                <w:sz w:val="21"/>
                <w:szCs w:val="21"/>
                <w:lang w:bidi="zh-CN"/>
              </w:rPr>
              <w:t>同意申请</w:t>
            </w:r>
          </w:p>
          <w:p w14:paraId="2A5820A6" w14:textId="77777777" w:rsidR="00466685" w:rsidRPr="00466685" w:rsidRDefault="00466685" w:rsidP="00466685">
            <w:pPr>
              <w:pStyle w:val="13"/>
              <w:spacing w:line="240" w:lineRule="auto"/>
              <w:ind w:firstLineChars="0" w:firstLine="0"/>
              <w:rPr>
                <w:sz w:val="21"/>
                <w:szCs w:val="21"/>
                <w:lang w:bidi="zh-CN"/>
              </w:rPr>
            </w:pPr>
          </w:p>
          <w:p w14:paraId="11E95008" w14:textId="77777777" w:rsidR="00466685" w:rsidRPr="00466685" w:rsidRDefault="00466685" w:rsidP="00466685">
            <w:pPr>
              <w:pStyle w:val="13"/>
              <w:spacing w:line="240" w:lineRule="auto"/>
              <w:ind w:firstLineChars="0" w:firstLine="0"/>
              <w:rPr>
                <w:sz w:val="21"/>
                <w:szCs w:val="21"/>
                <w:lang w:bidi="zh-CN"/>
              </w:rPr>
            </w:pPr>
            <w:r w:rsidRPr="00466685">
              <w:rPr>
                <w:sz w:val="21"/>
                <w:szCs w:val="21"/>
                <w:lang w:bidi="zh-CN"/>
              </w:rPr>
              <w:t>上级单位盖章</w:t>
            </w:r>
          </w:p>
          <w:p w14:paraId="3EB00093" w14:textId="77777777" w:rsidR="00466685" w:rsidRPr="00466685" w:rsidRDefault="00466685" w:rsidP="00466685">
            <w:pPr>
              <w:pStyle w:val="13"/>
              <w:spacing w:line="240" w:lineRule="auto"/>
              <w:ind w:firstLineChars="0" w:firstLine="0"/>
              <w:rPr>
                <w:sz w:val="21"/>
                <w:szCs w:val="21"/>
                <w:lang w:bidi="zh-CN"/>
              </w:rPr>
            </w:pPr>
            <w:r w:rsidRPr="00466685">
              <w:rPr>
                <w:sz w:val="21"/>
                <w:szCs w:val="21"/>
                <w:lang w:bidi="zh-CN"/>
              </w:rPr>
              <w:t>单位领导签字：</w:t>
            </w:r>
          </w:p>
        </w:tc>
        <w:tc>
          <w:tcPr>
            <w:tcW w:w="3090" w:type="dxa"/>
            <w:gridSpan w:val="5"/>
            <w:tcBorders>
              <w:bottom w:val="nil"/>
            </w:tcBorders>
            <w:vAlign w:val="center"/>
          </w:tcPr>
          <w:p w14:paraId="0112CDB0" w14:textId="77777777" w:rsidR="00466685" w:rsidRPr="00466685" w:rsidRDefault="00466685" w:rsidP="00466685">
            <w:pPr>
              <w:pStyle w:val="13"/>
              <w:spacing w:line="240" w:lineRule="auto"/>
              <w:ind w:firstLineChars="0" w:firstLine="0"/>
              <w:rPr>
                <w:sz w:val="21"/>
                <w:szCs w:val="21"/>
                <w:lang w:bidi="zh-CN"/>
              </w:rPr>
            </w:pPr>
          </w:p>
          <w:p w14:paraId="49699AF3" w14:textId="77777777" w:rsidR="00466685" w:rsidRPr="00466685" w:rsidRDefault="00466685" w:rsidP="00466685">
            <w:pPr>
              <w:pStyle w:val="13"/>
              <w:spacing w:line="240" w:lineRule="auto"/>
              <w:ind w:firstLineChars="0" w:firstLine="0"/>
              <w:rPr>
                <w:sz w:val="21"/>
                <w:szCs w:val="21"/>
                <w:lang w:bidi="zh-CN"/>
              </w:rPr>
            </w:pPr>
            <w:r w:rsidRPr="00466685">
              <w:rPr>
                <w:sz w:val="21"/>
                <w:szCs w:val="21"/>
                <w:lang w:bidi="zh-CN"/>
              </w:rPr>
              <w:t>同意申请</w:t>
            </w:r>
          </w:p>
          <w:p w14:paraId="736A3717" w14:textId="77777777" w:rsidR="00466685" w:rsidRPr="00466685" w:rsidRDefault="00466685" w:rsidP="00466685">
            <w:pPr>
              <w:pStyle w:val="13"/>
              <w:spacing w:line="240" w:lineRule="auto"/>
              <w:ind w:firstLineChars="0" w:firstLine="0"/>
              <w:rPr>
                <w:sz w:val="21"/>
                <w:szCs w:val="21"/>
                <w:lang w:bidi="zh-CN"/>
              </w:rPr>
            </w:pPr>
          </w:p>
          <w:p w14:paraId="4CD0585A" w14:textId="77777777" w:rsidR="00466685" w:rsidRPr="00466685" w:rsidRDefault="00466685" w:rsidP="00466685">
            <w:pPr>
              <w:pStyle w:val="13"/>
              <w:spacing w:line="240" w:lineRule="auto"/>
              <w:ind w:firstLineChars="0" w:firstLine="0"/>
              <w:rPr>
                <w:sz w:val="21"/>
                <w:szCs w:val="21"/>
                <w:lang w:bidi="zh-CN"/>
              </w:rPr>
            </w:pPr>
            <w:r w:rsidRPr="00466685">
              <w:rPr>
                <w:sz w:val="21"/>
                <w:szCs w:val="21"/>
                <w:lang w:bidi="zh-CN"/>
              </w:rPr>
              <w:t>省属企业、有关部门盖章</w:t>
            </w:r>
          </w:p>
          <w:p w14:paraId="6FDA5D38" w14:textId="77777777" w:rsidR="00466685" w:rsidRPr="00466685" w:rsidRDefault="00466685" w:rsidP="00466685">
            <w:pPr>
              <w:pStyle w:val="13"/>
              <w:spacing w:line="240" w:lineRule="auto"/>
              <w:ind w:firstLineChars="0" w:firstLine="0"/>
              <w:rPr>
                <w:sz w:val="21"/>
                <w:szCs w:val="21"/>
                <w:lang w:bidi="zh-CN"/>
              </w:rPr>
            </w:pPr>
            <w:r w:rsidRPr="00466685">
              <w:rPr>
                <w:sz w:val="21"/>
                <w:szCs w:val="21"/>
                <w:lang w:bidi="zh-CN"/>
              </w:rPr>
              <w:t>单位领导签字：</w:t>
            </w:r>
          </w:p>
        </w:tc>
      </w:tr>
      <w:tr w:rsidR="00466685" w:rsidRPr="00466685" w14:paraId="7A843144" w14:textId="77777777" w:rsidTr="00466685">
        <w:trPr>
          <w:trHeight w:val="1022"/>
          <w:jc w:val="center"/>
        </w:trPr>
        <w:tc>
          <w:tcPr>
            <w:tcW w:w="2843" w:type="dxa"/>
            <w:gridSpan w:val="3"/>
            <w:tcBorders>
              <w:top w:val="nil"/>
            </w:tcBorders>
            <w:vAlign w:val="center"/>
          </w:tcPr>
          <w:p w14:paraId="07576E2A" w14:textId="77777777" w:rsidR="00466685" w:rsidRPr="00466685" w:rsidRDefault="00466685" w:rsidP="00466685">
            <w:pPr>
              <w:pStyle w:val="13"/>
              <w:spacing w:line="240" w:lineRule="auto"/>
              <w:ind w:firstLineChars="0" w:firstLine="0"/>
              <w:jc w:val="center"/>
              <w:rPr>
                <w:sz w:val="21"/>
                <w:szCs w:val="21"/>
                <w:lang w:bidi="zh-CN"/>
              </w:rPr>
            </w:pPr>
          </w:p>
          <w:p w14:paraId="4029F3C3" w14:textId="223E8EF4"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 xml:space="preserve">年   </w:t>
            </w:r>
            <w:r w:rsidR="003068F8">
              <w:rPr>
                <w:sz w:val="21"/>
                <w:szCs w:val="21"/>
                <w:lang w:bidi="zh-CN"/>
              </w:rPr>
              <w:t>月</w:t>
            </w:r>
            <w:r w:rsidRPr="00466685">
              <w:rPr>
                <w:sz w:val="21"/>
                <w:szCs w:val="21"/>
                <w:lang w:bidi="zh-CN"/>
              </w:rPr>
              <w:t xml:space="preserve">   </w:t>
            </w:r>
            <w:r w:rsidR="003068F8">
              <w:rPr>
                <w:sz w:val="21"/>
                <w:szCs w:val="21"/>
                <w:lang w:bidi="zh-CN"/>
              </w:rPr>
              <w:t>日</w:t>
            </w:r>
          </w:p>
        </w:tc>
        <w:tc>
          <w:tcPr>
            <w:tcW w:w="2831" w:type="dxa"/>
            <w:gridSpan w:val="4"/>
            <w:tcBorders>
              <w:top w:val="nil"/>
            </w:tcBorders>
            <w:vAlign w:val="center"/>
          </w:tcPr>
          <w:p w14:paraId="247943A7" w14:textId="77777777" w:rsidR="00466685" w:rsidRPr="00466685" w:rsidRDefault="00466685" w:rsidP="00466685">
            <w:pPr>
              <w:pStyle w:val="13"/>
              <w:spacing w:line="240" w:lineRule="auto"/>
              <w:ind w:firstLineChars="0" w:firstLine="0"/>
              <w:jc w:val="center"/>
              <w:rPr>
                <w:sz w:val="21"/>
                <w:szCs w:val="21"/>
                <w:lang w:bidi="zh-CN"/>
              </w:rPr>
            </w:pPr>
          </w:p>
          <w:p w14:paraId="5B251FE7" w14:textId="50F9B773"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 xml:space="preserve">年    </w:t>
            </w:r>
            <w:r w:rsidR="003068F8">
              <w:rPr>
                <w:sz w:val="21"/>
                <w:szCs w:val="21"/>
                <w:lang w:bidi="zh-CN"/>
              </w:rPr>
              <w:t>月</w:t>
            </w:r>
            <w:r w:rsidRPr="00466685">
              <w:rPr>
                <w:sz w:val="21"/>
                <w:szCs w:val="21"/>
                <w:lang w:bidi="zh-CN"/>
              </w:rPr>
              <w:t xml:space="preserve">   </w:t>
            </w:r>
            <w:r w:rsidR="003068F8">
              <w:rPr>
                <w:sz w:val="21"/>
                <w:szCs w:val="21"/>
                <w:lang w:bidi="zh-CN"/>
              </w:rPr>
              <w:t>日</w:t>
            </w:r>
          </w:p>
        </w:tc>
        <w:tc>
          <w:tcPr>
            <w:tcW w:w="3090" w:type="dxa"/>
            <w:gridSpan w:val="5"/>
            <w:tcBorders>
              <w:top w:val="nil"/>
            </w:tcBorders>
            <w:vAlign w:val="center"/>
          </w:tcPr>
          <w:p w14:paraId="3A45D0A3" w14:textId="77777777" w:rsidR="00466685" w:rsidRPr="00466685" w:rsidRDefault="00466685" w:rsidP="00466685">
            <w:pPr>
              <w:pStyle w:val="13"/>
              <w:spacing w:line="240" w:lineRule="auto"/>
              <w:ind w:firstLineChars="0" w:firstLine="0"/>
              <w:jc w:val="center"/>
              <w:rPr>
                <w:sz w:val="21"/>
                <w:szCs w:val="21"/>
                <w:lang w:bidi="zh-CN"/>
              </w:rPr>
            </w:pPr>
          </w:p>
          <w:p w14:paraId="2361D063" w14:textId="63EBDF9F" w:rsidR="00466685" w:rsidRPr="00466685" w:rsidRDefault="00466685" w:rsidP="00466685">
            <w:pPr>
              <w:pStyle w:val="13"/>
              <w:spacing w:line="240" w:lineRule="auto"/>
              <w:ind w:firstLineChars="0" w:firstLine="0"/>
              <w:jc w:val="center"/>
              <w:rPr>
                <w:sz w:val="21"/>
                <w:szCs w:val="21"/>
                <w:lang w:bidi="zh-CN"/>
              </w:rPr>
            </w:pPr>
            <w:r w:rsidRPr="00466685">
              <w:rPr>
                <w:sz w:val="21"/>
                <w:szCs w:val="21"/>
                <w:lang w:bidi="zh-CN"/>
              </w:rPr>
              <w:t xml:space="preserve">年   </w:t>
            </w:r>
            <w:r w:rsidR="003068F8">
              <w:rPr>
                <w:sz w:val="21"/>
                <w:szCs w:val="21"/>
                <w:lang w:bidi="zh-CN"/>
              </w:rPr>
              <w:t>月</w:t>
            </w:r>
            <w:r w:rsidRPr="00466685">
              <w:rPr>
                <w:sz w:val="21"/>
                <w:szCs w:val="21"/>
                <w:lang w:bidi="zh-CN"/>
              </w:rPr>
              <w:t xml:space="preserve"> </w:t>
            </w:r>
            <w:r w:rsidR="003068F8">
              <w:rPr>
                <w:sz w:val="21"/>
                <w:szCs w:val="21"/>
                <w:lang w:bidi="zh-CN"/>
              </w:rPr>
              <w:t>日</w:t>
            </w:r>
          </w:p>
        </w:tc>
      </w:tr>
    </w:tbl>
    <w:p w14:paraId="44D46A28" w14:textId="79DA0172" w:rsidR="00FA0363" w:rsidRDefault="00FA0363" w:rsidP="00FA0363">
      <w:pPr>
        <w:pStyle w:val="13"/>
        <w:ind w:firstLineChars="0"/>
      </w:pPr>
    </w:p>
    <w:p w14:paraId="3B76770A" w14:textId="77777777" w:rsidR="00466685" w:rsidRDefault="00466685" w:rsidP="00FA0363">
      <w:pPr>
        <w:pStyle w:val="13"/>
        <w:ind w:firstLineChars="0"/>
      </w:pPr>
    </w:p>
    <w:p w14:paraId="23F94CBC" w14:textId="77777777" w:rsidR="00FA0363" w:rsidRDefault="00FA0363" w:rsidP="00FA0363">
      <w:pPr>
        <w:pStyle w:val="13"/>
        <w:ind w:firstLineChars="0"/>
      </w:pPr>
    </w:p>
    <w:p w14:paraId="0E265C5E" w14:textId="77777777" w:rsidR="00FA0363" w:rsidRDefault="00FA0363" w:rsidP="00AF7342">
      <w:pPr>
        <w:pStyle w:val="a9"/>
        <w:spacing w:before="62" w:after="62"/>
      </w:pPr>
      <w:r>
        <w:rPr>
          <w:rFonts w:hint="eastAsia"/>
        </w:rPr>
        <w:lastRenderedPageBreak/>
        <w:t>《资产评估项目核准申请表》填报说明</w:t>
      </w:r>
    </w:p>
    <w:p w14:paraId="70B2328D" w14:textId="77777777" w:rsidR="00FA0363" w:rsidRDefault="00FA0363" w:rsidP="00FA0363">
      <w:pPr>
        <w:pStyle w:val="ab"/>
        <w:spacing w:before="62" w:after="62"/>
        <w:ind w:firstLine="482"/>
      </w:pPr>
      <w:r>
        <w:rPr>
          <w:rFonts w:hint="eastAsia"/>
        </w:rPr>
        <w:t>一、如何下载、填写、打印、上报</w:t>
      </w:r>
    </w:p>
    <w:p w14:paraId="7F4A3218" w14:textId="77777777" w:rsidR="00FA0363" w:rsidRDefault="00FA0363" w:rsidP="00FA0363">
      <w:pPr>
        <w:pStyle w:val="13"/>
      </w:pPr>
      <w:r>
        <w:rPr>
          <w:rFonts w:hint="eastAsia"/>
        </w:rPr>
        <w:t>（一）下载：按统一的固定格式下载，不能修改表式和有关项目。</w:t>
      </w:r>
    </w:p>
    <w:p w14:paraId="5C70D20E" w14:textId="77777777" w:rsidR="00FA0363" w:rsidRDefault="00FA0363" w:rsidP="00FA0363">
      <w:pPr>
        <w:pStyle w:val="13"/>
      </w:pPr>
      <w:r>
        <w:rPr>
          <w:rFonts w:hint="eastAsia"/>
        </w:rPr>
        <w:t>（二）填写：填写《资产评估项目核准申请表》时，应当通过计算</w:t>
      </w:r>
      <w:r>
        <w:t>机输入，</w:t>
      </w:r>
      <w:proofErr w:type="gramStart"/>
      <w:r>
        <w:t>不</w:t>
      </w:r>
      <w:proofErr w:type="gramEnd"/>
      <w:r>
        <w:t>得用手工填写。要严格按规定的项目和内容如实填写，填写内容要准确、齐全、清晰，不得漏项、涂改。填报的评估数据以万元为单位，保留两位小数。</w:t>
      </w:r>
    </w:p>
    <w:p w14:paraId="6F374F5B" w14:textId="77777777" w:rsidR="00FA0363" w:rsidRDefault="00FA0363" w:rsidP="00FA0363">
      <w:pPr>
        <w:pStyle w:val="13"/>
      </w:pPr>
      <w:r>
        <w:rPr>
          <w:rFonts w:hint="eastAsia"/>
        </w:rPr>
        <w:t>（三）打印：按印制的固定输出格式，用</w:t>
      </w:r>
      <w:r>
        <w:t>A4纸打印。</w:t>
      </w:r>
    </w:p>
    <w:p w14:paraId="37EC41F5" w14:textId="77777777" w:rsidR="00FA0363" w:rsidRDefault="00FA0363" w:rsidP="00FA0363">
      <w:pPr>
        <w:pStyle w:val="13"/>
      </w:pPr>
      <w:r>
        <w:rPr>
          <w:rFonts w:hint="eastAsia"/>
        </w:rPr>
        <w:t>（四）上报：省国资委网站刊登的《资产评估项目核准申请表》供</w:t>
      </w:r>
      <w:r>
        <w:t>下载填报用，填写好的申请表按规定加盖公章并签字后上报。</w:t>
      </w:r>
    </w:p>
    <w:p w14:paraId="7DAB1D0E" w14:textId="77777777" w:rsidR="00FA0363" w:rsidRDefault="00FA0363" w:rsidP="00FA0363">
      <w:pPr>
        <w:pStyle w:val="ab"/>
        <w:spacing w:before="62" w:after="62"/>
        <w:ind w:firstLine="482"/>
      </w:pPr>
      <w:r>
        <w:rPr>
          <w:rFonts w:hint="eastAsia"/>
        </w:rPr>
        <w:t>二、如何填写《资产评估项目核准申请表》</w:t>
      </w:r>
    </w:p>
    <w:p w14:paraId="2886A61D" w14:textId="77777777" w:rsidR="00FA0363" w:rsidRDefault="00FA0363" w:rsidP="00FA0363">
      <w:pPr>
        <w:pStyle w:val="13"/>
      </w:pPr>
      <w:r>
        <w:rPr>
          <w:rFonts w:hint="eastAsia"/>
        </w:rPr>
        <w:t>（一）《资产评估核准申请表》应由产权持有单位填写，各上级单位</w:t>
      </w:r>
      <w:r>
        <w:t>逐级核实无异议后，逐级签章转报省国资委。</w:t>
      </w:r>
    </w:p>
    <w:p w14:paraId="509F5C1C" w14:textId="77777777" w:rsidR="00FA0363" w:rsidRDefault="00FA0363" w:rsidP="00FA0363">
      <w:pPr>
        <w:pStyle w:val="13"/>
      </w:pPr>
      <w:r>
        <w:rPr>
          <w:rFonts w:hint="eastAsia"/>
        </w:rPr>
        <w:t>（二）主要项目填写要求</w:t>
      </w:r>
    </w:p>
    <w:p w14:paraId="0C9D7325" w14:textId="77777777" w:rsidR="00FA0363" w:rsidRDefault="00FA0363" w:rsidP="00FA0363">
      <w:pPr>
        <w:pStyle w:val="13"/>
      </w:pPr>
      <w:r>
        <w:t>1.填表日期：填写填报《资产评估项目核准申请表》的具体时间，如“2018年01月01日”。</w:t>
      </w:r>
    </w:p>
    <w:p w14:paraId="0F57052C" w14:textId="77777777" w:rsidR="00FA0363" w:rsidRDefault="00FA0363" w:rsidP="00FA0363">
      <w:pPr>
        <w:pStyle w:val="13"/>
      </w:pPr>
      <w:r>
        <w:t>2.编号：由省国资委存档时填写统一编号。</w:t>
      </w:r>
    </w:p>
    <w:p w14:paraId="186E1B57" w14:textId="77777777" w:rsidR="00FA0363" w:rsidRDefault="00FA0363" w:rsidP="00FA0363">
      <w:pPr>
        <w:pStyle w:val="13"/>
      </w:pPr>
      <w:r>
        <w:t>3.评估对象：如果评估对象为企业法人财产权范围内的资产，则填写“被评估企业的单位全称+相应资产名称”，如:XXX有限责任公司流动资产、固定资产、无形资产等；如果评估对象为企业所持产权（股权），则填写“被评估企业的单位全称+股东全部权益或部分权益”，如：XXX有限责任公司股东全部权益等。</w:t>
      </w:r>
    </w:p>
    <w:p w14:paraId="531B8E7A" w14:textId="77777777" w:rsidR="00FA0363" w:rsidRDefault="00FA0363" w:rsidP="00FA0363">
      <w:pPr>
        <w:pStyle w:val="13"/>
      </w:pPr>
      <w:r>
        <w:t>4产权持有单位：由评估对象的产权持有单位填写单位全称。</w:t>
      </w:r>
    </w:p>
    <w:p w14:paraId="6335CF29" w14:textId="77777777" w:rsidR="00FA0363" w:rsidRDefault="00FA0363" w:rsidP="00FA0363">
      <w:pPr>
        <w:pStyle w:val="13"/>
      </w:pPr>
      <w:r>
        <w:t>5.企业管理级次：填写产权持有单位在省属企业或有关部门中的产权隶属级次。</w:t>
      </w:r>
    </w:p>
    <w:p w14:paraId="225946DE" w14:textId="77777777" w:rsidR="00FA0363" w:rsidRDefault="00FA0363" w:rsidP="00FA0363">
      <w:pPr>
        <w:pStyle w:val="13"/>
      </w:pPr>
      <w:r>
        <w:t>6.资产评估委托方：填写进行本次资产评估的委托方单位全称。7.省属企业（省直有关部门、单位）：填写产权持有单位所属省属企业或有关部门的单位全称。</w:t>
      </w:r>
    </w:p>
    <w:p w14:paraId="5600667F" w14:textId="77777777" w:rsidR="00FA0363" w:rsidRDefault="00FA0363" w:rsidP="00FA0363">
      <w:pPr>
        <w:pStyle w:val="13"/>
      </w:pPr>
      <w:r>
        <w:t>8.评估目的：根据为资产评估对应经济行为提供价值参考依据的方式规范填写。如：为XXX有限责任公司（单位全称）转让XXX有限责任公司股权提供价值参考依据。</w:t>
      </w:r>
    </w:p>
    <w:p w14:paraId="68690AA6" w14:textId="77777777" w:rsidR="00FA0363" w:rsidRDefault="00FA0363" w:rsidP="00FA0363">
      <w:pPr>
        <w:pStyle w:val="13"/>
      </w:pPr>
      <w:r>
        <w:t>9.评估报告编号：填写所待核准的资产评估报告书编号。</w:t>
      </w:r>
    </w:p>
    <w:p w14:paraId="20CA6D74" w14:textId="77777777" w:rsidR="00FA0363" w:rsidRDefault="00FA0363" w:rsidP="00FA0363">
      <w:pPr>
        <w:pStyle w:val="13"/>
      </w:pPr>
      <w:r>
        <w:t>10.评估范围：如果评估对象为企业所持产权（股权），填写“整体”；如果评估对象为企业法人财产权范围内的资产，一般填写“部分”。</w:t>
      </w:r>
    </w:p>
    <w:p w14:paraId="10D5CB3E" w14:textId="77777777" w:rsidR="00FA0363" w:rsidRDefault="00FA0363" w:rsidP="00FA0363">
      <w:pPr>
        <w:pStyle w:val="13"/>
      </w:pPr>
      <w:r>
        <w:t>11.主要评估方法：根据评估的具体方法填写，最多可填写两种主要方法。</w:t>
      </w:r>
    </w:p>
    <w:p w14:paraId="74E2C3AA" w14:textId="77777777" w:rsidR="00FA0363" w:rsidRDefault="00FA0363" w:rsidP="00FA0363">
      <w:pPr>
        <w:pStyle w:val="13"/>
      </w:pPr>
      <w:r>
        <w:t>12.账面值：当评估对象为企业产权（股权）时，账面值应为审计后账面值；当评估对象为部分资产时，账面值一般为企业账簿记载的账面价值。</w:t>
      </w:r>
    </w:p>
    <w:p w14:paraId="3A794F2A" w14:textId="77777777" w:rsidR="00FA0363" w:rsidRDefault="00FA0363" w:rsidP="00FA0363">
      <w:pPr>
        <w:pStyle w:val="13"/>
      </w:pPr>
      <w:r>
        <w:lastRenderedPageBreak/>
        <w:t>13.评估结果：按照资产评估机构出具的资产评估报告填写。评估对象为企业产权（股权）时，选用成本法评估值作为评估结果的，资产总额、负债总额、净资产的评估价值要逐项填写；选用收益法或市场法评估值作为评估结果的，只填写净资产的评估价值。</w:t>
      </w:r>
    </w:p>
    <w:p w14:paraId="5ADEC237" w14:textId="77777777" w:rsidR="00FA0363" w:rsidRDefault="00FA0363" w:rsidP="00FA0363">
      <w:pPr>
        <w:pStyle w:val="13"/>
      </w:pPr>
      <w:r>
        <w:t>14.评估机构名称：填写委托的资产评估机构的单位全称。委托两家以上资产评估机构的，只填写出具总体报告、负主要责任的资产评估机构单位全称。</w:t>
      </w:r>
    </w:p>
    <w:p w14:paraId="2ECDAE85" w14:textId="77777777" w:rsidR="00FA0363" w:rsidRDefault="00FA0363" w:rsidP="00FA0363">
      <w:pPr>
        <w:pStyle w:val="13"/>
      </w:pPr>
      <w:r>
        <w:t>15.资质证书编号：填写资产评估机构的资产评估资格证书编号。</w:t>
      </w:r>
    </w:p>
    <w:p w14:paraId="23ACE56E" w14:textId="77777777" w:rsidR="00FA0363" w:rsidRDefault="00FA0363" w:rsidP="00FA0363">
      <w:pPr>
        <w:pStyle w:val="13"/>
      </w:pPr>
      <w:r>
        <w:t>16.资产评估师姓名及编号：填写评估报告中两位签字资产评估师姓名、资产评估师资质证书编号。</w:t>
      </w:r>
    </w:p>
    <w:p w14:paraId="3AEA80E2" w14:textId="77777777" w:rsidR="00FA0363" w:rsidRDefault="00FA0363" w:rsidP="00FA0363">
      <w:pPr>
        <w:pStyle w:val="13"/>
      </w:pPr>
      <w:r>
        <w:t>17.评估基准日：根据资产评估报告的评估基准日填写。</w:t>
      </w:r>
    </w:p>
    <w:p w14:paraId="515F225C" w14:textId="77777777" w:rsidR="00FA0363" w:rsidRDefault="00FA0363" w:rsidP="00FA0363">
      <w:pPr>
        <w:pStyle w:val="13"/>
      </w:pPr>
      <w:r>
        <w:t>18.申请核准&lt;产权持有单位签章处&gt;：由产权持有单位填写申请核准日期，由法定代表人亲笔签名并加盖单位公章。</w:t>
      </w:r>
    </w:p>
    <w:p w14:paraId="49B60F78" w14:textId="77777777" w:rsidR="00FA0363" w:rsidRDefault="00FA0363" w:rsidP="00FA0363">
      <w:pPr>
        <w:pStyle w:val="13"/>
      </w:pPr>
      <w:r>
        <w:t>19.同意申请&lt;上级单位签章处&gt;：由产权持有单位的各上级单位填写同意转报申请日期，加盖单位公章，并由各上级单位法定代表人或资产评估分管负责人亲笔签名。</w:t>
      </w:r>
    </w:p>
    <w:p w14:paraId="687C4595" w14:textId="77777777" w:rsidR="00FA0363" w:rsidRDefault="00FA0363" w:rsidP="00FA0363">
      <w:pPr>
        <w:pStyle w:val="13"/>
        <w:ind w:firstLineChars="0"/>
      </w:pPr>
      <w:r>
        <w:t>20.同意申请&lt;省属企业、有关部门签章处&gt;：由产权持有单位所在的省属企业或省直有关部门、单位填写同意转报申请日期，加盖单位公章，并由主要负责人或资产评估分管负责人亲笔签名。</w:t>
      </w:r>
    </w:p>
    <w:p w14:paraId="028660EA" w14:textId="77777777" w:rsidR="00FA0363" w:rsidRDefault="00FA0363" w:rsidP="00FA0363">
      <w:pPr>
        <w:pStyle w:val="13"/>
        <w:ind w:firstLineChars="0"/>
      </w:pPr>
      <w:r>
        <w:br w:type="page"/>
      </w:r>
    </w:p>
    <w:p w14:paraId="7840A72E" w14:textId="77777777" w:rsidR="00FA0363" w:rsidRDefault="00FA0363" w:rsidP="00FA0363">
      <w:pPr>
        <w:spacing w:before="341" w:line="204" w:lineRule="auto"/>
        <w:jc w:val="left"/>
        <w:rPr>
          <w:rFonts w:ascii="黑体" w:eastAsia="黑体" w:hAnsi="黑体" w:cs="黑体"/>
          <w:sz w:val="32"/>
          <w:szCs w:val="32"/>
        </w:rPr>
      </w:pPr>
      <w:r>
        <w:rPr>
          <w:rFonts w:ascii="黑体" w:eastAsia="黑体" w:hAnsi="黑体" w:cs="黑体"/>
          <w:spacing w:val="-12"/>
          <w:sz w:val="32"/>
          <w:szCs w:val="32"/>
        </w:rPr>
        <w:lastRenderedPageBreak/>
        <w:t>附件3</w:t>
      </w:r>
    </w:p>
    <w:p w14:paraId="635A7610" w14:textId="77777777" w:rsidR="00FA0363" w:rsidRDefault="00FA0363" w:rsidP="00FA0363">
      <w:pPr>
        <w:ind w:left="1418"/>
        <w:jc w:val="left"/>
      </w:pPr>
    </w:p>
    <w:p w14:paraId="20703961" w14:textId="77777777" w:rsidR="00FA0363" w:rsidRDefault="00FA0363" w:rsidP="00FA0363">
      <w:pPr>
        <w:ind w:left="1418"/>
        <w:jc w:val="left"/>
      </w:pPr>
    </w:p>
    <w:p w14:paraId="0C55F17E" w14:textId="77777777" w:rsidR="00FA0363" w:rsidRDefault="00FA0363" w:rsidP="00FA0363">
      <w:pPr>
        <w:spacing w:before="117" w:line="204" w:lineRule="auto"/>
        <w:ind w:firstLine="5190"/>
        <w:jc w:val="left"/>
        <w:rPr>
          <w:sz w:val="32"/>
          <w:szCs w:val="32"/>
        </w:rPr>
      </w:pPr>
      <w:r>
        <w:rPr>
          <w:spacing w:val="-2"/>
          <w:sz w:val="32"/>
          <w:szCs w:val="32"/>
        </w:rPr>
        <w:t>备案编号：</w:t>
      </w:r>
    </w:p>
    <w:p w14:paraId="581E2B8A" w14:textId="77777777" w:rsidR="00FA0363" w:rsidRDefault="00FA0363" w:rsidP="00FA0363">
      <w:pPr>
        <w:ind w:left="1418"/>
        <w:jc w:val="left"/>
      </w:pPr>
    </w:p>
    <w:p w14:paraId="187932E3" w14:textId="77777777" w:rsidR="00FA0363" w:rsidRDefault="00FA0363" w:rsidP="00FA0363">
      <w:pPr>
        <w:ind w:left="1418"/>
        <w:jc w:val="left"/>
      </w:pPr>
    </w:p>
    <w:p w14:paraId="7CA1FB90" w14:textId="77777777" w:rsidR="00FA0363" w:rsidRDefault="00FA0363" w:rsidP="00FA0363">
      <w:pPr>
        <w:ind w:left="1418"/>
        <w:jc w:val="left"/>
      </w:pPr>
    </w:p>
    <w:p w14:paraId="6D3CBFFE" w14:textId="77777777" w:rsidR="00FA0363" w:rsidRDefault="00FA0363" w:rsidP="00FA0363">
      <w:pPr>
        <w:ind w:left="1418"/>
        <w:jc w:val="left"/>
      </w:pPr>
    </w:p>
    <w:p w14:paraId="4E9E56B4" w14:textId="77777777" w:rsidR="00FA0363" w:rsidRDefault="00FA0363" w:rsidP="00FA0363">
      <w:pPr>
        <w:ind w:left="1418"/>
        <w:jc w:val="left"/>
      </w:pPr>
    </w:p>
    <w:p w14:paraId="2B7112BB" w14:textId="77777777" w:rsidR="00FA0363" w:rsidRDefault="00FA0363" w:rsidP="00FA0363">
      <w:pPr>
        <w:ind w:left="1418"/>
        <w:jc w:val="left"/>
      </w:pPr>
    </w:p>
    <w:p w14:paraId="2BE85385" w14:textId="77777777" w:rsidR="00FA0363" w:rsidRDefault="00FA0363" w:rsidP="00FA0363">
      <w:pPr>
        <w:spacing w:before="432" w:line="204" w:lineRule="auto"/>
        <w:ind w:firstLine="769"/>
        <w:jc w:val="left"/>
        <w:rPr>
          <w:sz w:val="60"/>
          <w:szCs w:val="60"/>
        </w:rPr>
      </w:pPr>
      <w:r>
        <w:rPr>
          <w:spacing w:val="49"/>
          <w:sz w:val="60"/>
          <w:szCs w:val="60"/>
        </w:rPr>
        <w:t>国有资产评估项目备案表</w:t>
      </w:r>
    </w:p>
    <w:p w14:paraId="0AD8E904" w14:textId="77777777" w:rsidR="00FA0363" w:rsidRDefault="00FA0363" w:rsidP="00FA0363">
      <w:pPr>
        <w:ind w:left="1418"/>
        <w:jc w:val="left"/>
      </w:pPr>
    </w:p>
    <w:p w14:paraId="3E6FEDCF" w14:textId="77777777" w:rsidR="00FA0363" w:rsidRDefault="00FA0363" w:rsidP="00FA0363">
      <w:pPr>
        <w:ind w:left="1418"/>
        <w:jc w:val="left"/>
      </w:pPr>
    </w:p>
    <w:p w14:paraId="6702F03E" w14:textId="77777777" w:rsidR="00FA0363" w:rsidRDefault="00FA0363" w:rsidP="00FA0363">
      <w:pPr>
        <w:ind w:left="1418"/>
        <w:jc w:val="left"/>
      </w:pPr>
    </w:p>
    <w:p w14:paraId="76C776C0" w14:textId="77777777" w:rsidR="00FA0363" w:rsidRDefault="00FA0363" w:rsidP="00FA0363">
      <w:pPr>
        <w:ind w:left="1418"/>
        <w:jc w:val="left"/>
      </w:pPr>
    </w:p>
    <w:p w14:paraId="5D23AA18" w14:textId="77777777" w:rsidR="00FA0363" w:rsidRDefault="00FA0363" w:rsidP="00FA0363">
      <w:pPr>
        <w:ind w:left="1418"/>
        <w:jc w:val="left"/>
      </w:pPr>
    </w:p>
    <w:p w14:paraId="3C414EC9" w14:textId="77777777" w:rsidR="00FA0363" w:rsidRDefault="00FA0363" w:rsidP="00FA0363">
      <w:pPr>
        <w:spacing w:before="157" w:line="204" w:lineRule="auto"/>
        <w:ind w:firstLine="1343"/>
        <w:jc w:val="left"/>
        <w:rPr>
          <w:sz w:val="32"/>
          <w:szCs w:val="32"/>
        </w:rPr>
      </w:pPr>
      <w:r>
        <w:rPr>
          <w:spacing w:val="-8"/>
          <w:sz w:val="32"/>
          <w:szCs w:val="32"/>
        </w:rPr>
        <w:t>申报单位（盖章</w:t>
      </w:r>
      <w:r>
        <w:rPr>
          <w:spacing w:val="-1"/>
          <w:sz w:val="32"/>
          <w:szCs w:val="32"/>
        </w:rPr>
        <w:t>）：</w:t>
      </w:r>
    </w:p>
    <w:p w14:paraId="3078365C" w14:textId="77777777" w:rsidR="00FA0363" w:rsidRDefault="00FA0363" w:rsidP="00FA0363">
      <w:pPr>
        <w:jc w:val="left"/>
      </w:pPr>
    </w:p>
    <w:p w14:paraId="0ECA29E3" w14:textId="77777777" w:rsidR="00FA0363" w:rsidRDefault="00FA0363" w:rsidP="00FA0363">
      <w:pPr>
        <w:jc w:val="left"/>
      </w:pPr>
    </w:p>
    <w:p w14:paraId="7CB5A15C" w14:textId="77777777" w:rsidR="00FA0363" w:rsidRDefault="00FA0363" w:rsidP="00FA0363">
      <w:pPr>
        <w:jc w:val="left"/>
      </w:pPr>
    </w:p>
    <w:p w14:paraId="5EFC3397" w14:textId="77777777" w:rsidR="00FA0363" w:rsidRDefault="00FA0363" w:rsidP="00FA0363">
      <w:pPr>
        <w:spacing w:before="193" w:line="204" w:lineRule="auto"/>
        <w:ind w:firstLine="1301"/>
        <w:jc w:val="left"/>
        <w:rPr>
          <w:sz w:val="32"/>
          <w:szCs w:val="32"/>
        </w:rPr>
      </w:pPr>
      <w:r>
        <w:rPr>
          <w:spacing w:val="-2"/>
          <w:sz w:val="32"/>
          <w:szCs w:val="32"/>
        </w:rPr>
        <w:t>单位领导（签字</w:t>
      </w:r>
      <w:r>
        <w:rPr>
          <w:spacing w:val="-1"/>
          <w:sz w:val="32"/>
          <w:szCs w:val="32"/>
        </w:rPr>
        <w:t>）：</w:t>
      </w:r>
    </w:p>
    <w:p w14:paraId="0C541AB9" w14:textId="77777777" w:rsidR="00FA0363" w:rsidRDefault="00FA0363" w:rsidP="00FA0363">
      <w:pPr>
        <w:jc w:val="left"/>
      </w:pPr>
    </w:p>
    <w:p w14:paraId="1191F025" w14:textId="77777777" w:rsidR="00FA0363" w:rsidRDefault="00FA0363" w:rsidP="00FA0363">
      <w:pPr>
        <w:jc w:val="left"/>
      </w:pPr>
    </w:p>
    <w:p w14:paraId="26B6731D" w14:textId="77777777" w:rsidR="00FA0363" w:rsidRDefault="00FA0363" w:rsidP="00FA0363">
      <w:pPr>
        <w:jc w:val="left"/>
      </w:pPr>
    </w:p>
    <w:p w14:paraId="406AF7CD" w14:textId="77777777" w:rsidR="00FA0363" w:rsidRDefault="00FA0363" w:rsidP="00FA0363">
      <w:pPr>
        <w:spacing w:before="193" w:line="204" w:lineRule="auto"/>
        <w:ind w:firstLine="1300"/>
        <w:jc w:val="left"/>
        <w:rPr>
          <w:sz w:val="32"/>
          <w:szCs w:val="32"/>
        </w:rPr>
      </w:pPr>
      <w:r>
        <w:rPr>
          <w:spacing w:val="-22"/>
          <w:sz w:val="32"/>
          <w:szCs w:val="32"/>
        </w:rPr>
        <w:t>填报日期：</w:t>
      </w:r>
    </w:p>
    <w:p w14:paraId="62B14C43" w14:textId="77777777" w:rsidR="00FA0363" w:rsidRDefault="00FA0363" w:rsidP="00FA0363">
      <w:pPr>
        <w:jc w:val="left"/>
      </w:pPr>
    </w:p>
    <w:p w14:paraId="46C7898B" w14:textId="77777777" w:rsidR="00FA0363" w:rsidRDefault="00FA0363" w:rsidP="00FA0363">
      <w:pPr>
        <w:jc w:val="left"/>
      </w:pPr>
    </w:p>
    <w:p w14:paraId="6FF48637" w14:textId="77777777" w:rsidR="00FA0363" w:rsidRDefault="00FA0363" w:rsidP="00FA0363">
      <w:pPr>
        <w:jc w:val="left"/>
      </w:pPr>
    </w:p>
    <w:p w14:paraId="7E63D5FE" w14:textId="77777777" w:rsidR="00FA0363" w:rsidRPr="00466685" w:rsidRDefault="00FA0363" w:rsidP="00466685">
      <w:pPr>
        <w:spacing w:before="228" w:line="204" w:lineRule="auto"/>
        <w:jc w:val="center"/>
        <w:rPr>
          <w:rFonts w:ascii="黑体" w:eastAsia="黑体" w:hAnsi="黑体" w:cs="黑体"/>
          <w:sz w:val="24"/>
          <w:szCs w:val="24"/>
        </w:rPr>
      </w:pPr>
      <w:r w:rsidRPr="00466685">
        <w:rPr>
          <w:rFonts w:ascii="黑体" w:eastAsia="黑体" w:hAnsi="黑体" w:cs="黑体"/>
          <w:sz w:val="24"/>
          <w:szCs w:val="24"/>
        </w:rPr>
        <w:t>国务院国有资产监督管理委员会制</w:t>
      </w:r>
    </w:p>
    <w:p w14:paraId="57155F1E" w14:textId="77777777" w:rsidR="00FA0363" w:rsidRPr="00C813FC" w:rsidRDefault="00FA0363" w:rsidP="00FA0363">
      <w:pPr>
        <w:pStyle w:val="13"/>
        <w:ind w:firstLineChars="0"/>
      </w:pPr>
    </w:p>
    <w:p w14:paraId="69EEE6D3" w14:textId="77777777" w:rsidR="00FA0363" w:rsidRPr="00466685" w:rsidRDefault="00FA0363" w:rsidP="00FA0363">
      <w:pPr>
        <w:pStyle w:val="13"/>
        <w:ind w:firstLineChars="0"/>
      </w:pPr>
    </w:p>
    <w:p w14:paraId="0D1A2032" w14:textId="202CDB0D" w:rsidR="00FA0363" w:rsidRDefault="00FA0363" w:rsidP="00AF7342">
      <w:pPr>
        <w:pStyle w:val="a9"/>
        <w:spacing w:before="62" w:after="62"/>
      </w:pPr>
      <w:r w:rsidRPr="00C813FC">
        <w:rPr>
          <w:rFonts w:hint="eastAsia"/>
        </w:rPr>
        <w:lastRenderedPageBreak/>
        <w:t>资产评估项目基本情况</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9"/>
        <w:gridCol w:w="1317"/>
        <w:gridCol w:w="1036"/>
        <w:gridCol w:w="397"/>
        <w:gridCol w:w="115"/>
        <w:gridCol w:w="678"/>
        <w:gridCol w:w="1046"/>
        <w:gridCol w:w="861"/>
        <w:gridCol w:w="184"/>
        <w:gridCol w:w="809"/>
        <w:gridCol w:w="901"/>
        <w:gridCol w:w="421"/>
        <w:gridCol w:w="330"/>
      </w:tblGrid>
      <w:tr w:rsidR="00466685" w:rsidRPr="00466685" w14:paraId="57C845F4" w14:textId="77777777" w:rsidTr="00466685">
        <w:trPr>
          <w:trHeight w:val="460"/>
          <w:jc w:val="center"/>
        </w:trPr>
        <w:tc>
          <w:tcPr>
            <w:tcW w:w="1091" w:type="pct"/>
            <w:gridSpan w:val="2"/>
            <w:vAlign w:val="center"/>
          </w:tcPr>
          <w:p w14:paraId="4B1EECCD" w14:textId="77777777" w:rsidR="00466685" w:rsidRPr="00466685" w:rsidRDefault="00466685" w:rsidP="00466685">
            <w:pPr>
              <w:pStyle w:val="13"/>
              <w:ind w:firstLineChars="0" w:firstLine="0"/>
              <w:rPr>
                <w:sz w:val="21"/>
                <w:szCs w:val="21"/>
                <w:lang w:bidi="zh-CN"/>
              </w:rPr>
            </w:pPr>
            <w:r w:rsidRPr="00466685">
              <w:rPr>
                <w:sz w:val="21"/>
                <w:szCs w:val="21"/>
                <w:lang w:bidi="zh-CN"/>
              </w:rPr>
              <w:t xml:space="preserve">评  </w:t>
            </w:r>
            <w:proofErr w:type="gramStart"/>
            <w:r w:rsidRPr="00466685">
              <w:rPr>
                <w:sz w:val="21"/>
                <w:szCs w:val="21"/>
                <w:lang w:bidi="zh-CN"/>
              </w:rPr>
              <w:t>估</w:t>
            </w:r>
            <w:proofErr w:type="gramEnd"/>
            <w:r w:rsidRPr="00466685">
              <w:rPr>
                <w:sz w:val="21"/>
                <w:szCs w:val="21"/>
                <w:lang w:bidi="zh-CN"/>
              </w:rPr>
              <w:t xml:space="preserve">  对  </w:t>
            </w:r>
            <w:proofErr w:type="gramStart"/>
            <w:r w:rsidRPr="00466685">
              <w:rPr>
                <w:sz w:val="21"/>
                <w:szCs w:val="21"/>
                <w:lang w:bidi="zh-CN"/>
              </w:rPr>
              <w:t>象</w:t>
            </w:r>
            <w:proofErr w:type="gramEnd"/>
          </w:p>
        </w:tc>
        <w:tc>
          <w:tcPr>
            <w:tcW w:w="3909" w:type="pct"/>
            <w:gridSpan w:val="11"/>
            <w:vAlign w:val="center"/>
          </w:tcPr>
          <w:p w14:paraId="7C6F6024" w14:textId="77777777" w:rsidR="00466685" w:rsidRPr="00466685" w:rsidRDefault="00466685" w:rsidP="00466685">
            <w:pPr>
              <w:pStyle w:val="13"/>
              <w:ind w:firstLineChars="0" w:firstLine="0"/>
              <w:rPr>
                <w:sz w:val="21"/>
                <w:szCs w:val="21"/>
                <w:lang w:bidi="zh-CN"/>
              </w:rPr>
            </w:pPr>
          </w:p>
        </w:tc>
      </w:tr>
      <w:tr w:rsidR="00466685" w:rsidRPr="00466685" w14:paraId="1F2D52D2" w14:textId="77777777" w:rsidTr="00466685">
        <w:trPr>
          <w:trHeight w:val="440"/>
          <w:jc w:val="center"/>
        </w:trPr>
        <w:tc>
          <w:tcPr>
            <w:tcW w:w="1091" w:type="pct"/>
            <w:gridSpan w:val="2"/>
            <w:vAlign w:val="center"/>
          </w:tcPr>
          <w:p w14:paraId="39308BAA" w14:textId="77777777" w:rsidR="00466685" w:rsidRPr="00466685" w:rsidRDefault="00466685" w:rsidP="00466685">
            <w:pPr>
              <w:pStyle w:val="13"/>
              <w:ind w:firstLineChars="0" w:firstLine="0"/>
              <w:rPr>
                <w:sz w:val="21"/>
                <w:szCs w:val="21"/>
                <w:lang w:bidi="zh-CN"/>
              </w:rPr>
            </w:pPr>
            <w:r w:rsidRPr="00466685">
              <w:rPr>
                <w:sz w:val="21"/>
                <w:szCs w:val="21"/>
                <w:lang w:bidi="zh-CN"/>
              </w:rPr>
              <w:t>产权持有单位</w:t>
            </w:r>
          </w:p>
        </w:tc>
        <w:tc>
          <w:tcPr>
            <w:tcW w:w="2491" w:type="pct"/>
            <w:gridSpan w:val="7"/>
            <w:vAlign w:val="center"/>
          </w:tcPr>
          <w:p w14:paraId="166AD36D" w14:textId="77777777" w:rsidR="00466685" w:rsidRPr="00466685" w:rsidRDefault="00466685" w:rsidP="00466685">
            <w:pPr>
              <w:pStyle w:val="13"/>
              <w:ind w:firstLineChars="0" w:firstLine="0"/>
              <w:rPr>
                <w:sz w:val="21"/>
                <w:szCs w:val="21"/>
                <w:lang w:bidi="zh-CN"/>
              </w:rPr>
            </w:pPr>
          </w:p>
        </w:tc>
        <w:tc>
          <w:tcPr>
            <w:tcW w:w="984" w:type="pct"/>
            <w:gridSpan w:val="2"/>
            <w:vAlign w:val="center"/>
          </w:tcPr>
          <w:p w14:paraId="1B3DA7D5" w14:textId="77777777" w:rsidR="00466685" w:rsidRPr="00466685" w:rsidRDefault="00466685" w:rsidP="00466685">
            <w:pPr>
              <w:pStyle w:val="13"/>
              <w:ind w:firstLineChars="0" w:firstLine="0"/>
              <w:rPr>
                <w:sz w:val="21"/>
                <w:szCs w:val="21"/>
                <w:lang w:bidi="zh-CN"/>
              </w:rPr>
            </w:pPr>
            <w:r w:rsidRPr="00466685">
              <w:rPr>
                <w:sz w:val="21"/>
                <w:szCs w:val="21"/>
                <w:lang w:bidi="zh-CN"/>
              </w:rPr>
              <w:t>企业管理级次</w:t>
            </w:r>
          </w:p>
        </w:tc>
        <w:tc>
          <w:tcPr>
            <w:tcW w:w="435" w:type="pct"/>
            <w:gridSpan w:val="2"/>
            <w:vAlign w:val="center"/>
          </w:tcPr>
          <w:p w14:paraId="275C68CD" w14:textId="77777777" w:rsidR="00466685" w:rsidRPr="00466685" w:rsidRDefault="00466685" w:rsidP="00466685">
            <w:pPr>
              <w:pStyle w:val="13"/>
              <w:ind w:firstLineChars="0" w:firstLine="0"/>
              <w:rPr>
                <w:sz w:val="21"/>
                <w:szCs w:val="21"/>
                <w:lang w:bidi="zh-CN"/>
              </w:rPr>
            </w:pPr>
          </w:p>
        </w:tc>
      </w:tr>
      <w:tr w:rsidR="00466685" w:rsidRPr="00466685" w14:paraId="46BF2AE3" w14:textId="77777777" w:rsidTr="00466685">
        <w:trPr>
          <w:trHeight w:val="443"/>
          <w:jc w:val="center"/>
        </w:trPr>
        <w:tc>
          <w:tcPr>
            <w:tcW w:w="1091" w:type="pct"/>
            <w:gridSpan w:val="2"/>
            <w:vAlign w:val="center"/>
          </w:tcPr>
          <w:p w14:paraId="28CF0DAB" w14:textId="77777777" w:rsidR="00466685" w:rsidRPr="00466685" w:rsidRDefault="00466685" w:rsidP="00466685">
            <w:pPr>
              <w:pStyle w:val="13"/>
              <w:ind w:firstLineChars="0" w:firstLine="0"/>
              <w:rPr>
                <w:sz w:val="21"/>
                <w:szCs w:val="21"/>
                <w:lang w:bidi="zh-CN"/>
              </w:rPr>
            </w:pPr>
            <w:r w:rsidRPr="00466685">
              <w:rPr>
                <w:sz w:val="21"/>
                <w:szCs w:val="21"/>
                <w:lang w:bidi="zh-CN"/>
              </w:rPr>
              <w:t>资产评估委托方</w:t>
            </w:r>
          </w:p>
        </w:tc>
        <w:tc>
          <w:tcPr>
            <w:tcW w:w="3909" w:type="pct"/>
            <w:gridSpan w:val="11"/>
            <w:vAlign w:val="center"/>
          </w:tcPr>
          <w:p w14:paraId="2A4C289F" w14:textId="77777777" w:rsidR="00466685" w:rsidRPr="00466685" w:rsidRDefault="00466685" w:rsidP="00466685">
            <w:pPr>
              <w:pStyle w:val="13"/>
              <w:ind w:firstLineChars="0" w:firstLine="0"/>
              <w:rPr>
                <w:sz w:val="21"/>
                <w:szCs w:val="21"/>
                <w:lang w:bidi="zh-CN"/>
              </w:rPr>
            </w:pPr>
          </w:p>
        </w:tc>
      </w:tr>
      <w:tr w:rsidR="00466685" w:rsidRPr="00466685" w14:paraId="2816CA9D" w14:textId="77777777" w:rsidTr="00466685">
        <w:trPr>
          <w:trHeight w:val="444"/>
          <w:jc w:val="center"/>
        </w:trPr>
        <w:tc>
          <w:tcPr>
            <w:tcW w:w="1917" w:type="pct"/>
            <w:gridSpan w:val="4"/>
            <w:vAlign w:val="center"/>
          </w:tcPr>
          <w:p w14:paraId="2EDD191D" w14:textId="77777777" w:rsidR="00466685" w:rsidRPr="00466685" w:rsidRDefault="00466685" w:rsidP="00466685">
            <w:pPr>
              <w:pStyle w:val="13"/>
              <w:ind w:firstLineChars="0" w:firstLine="0"/>
              <w:rPr>
                <w:sz w:val="21"/>
                <w:szCs w:val="21"/>
                <w:lang w:bidi="zh-CN"/>
              </w:rPr>
            </w:pPr>
            <w:r w:rsidRPr="00466685">
              <w:rPr>
                <w:sz w:val="21"/>
                <w:szCs w:val="21"/>
                <w:lang w:bidi="zh-CN"/>
              </w:rPr>
              <w:t>省属企业（省直有关部门、单位）</w:t>
            </w:r>
          </w:p>
        </w:tc>
        <w:tc>
          <w:tcPr>
            <w:tcW w:w="3083" w:type="pct"/>
            <w:gridSpan w:val="9"/>
          </w:tcPr>
          <w:p w14:paraId="73192E6C" w14:textId="77777777" w:rsidR="00466685" w:rsidRPr="00466685" w:rsidRDefault="00466685" w:rsidP="00466685">
            <w:pPr>
              <w:pStyle w:val="13"/>
              <w:ind w:firstLineChars="0" w:firstLine="0"/>
              <w:rPr>
                <w:sz w:val="21"/>
                <w:szCs w:val="21"/>
                <w:lang w:bidi="zh-CN"/>
              </w:rPr>
            </w:pPr>
          </w:p>
        </w:tc>
      </w:tr>
      <w:tr w:rsidR="00466685" w:rsidRPr="00466685" w14:paraId="2C53CFF7" w14:textId="77777777" w:rsidTr="00466685">
        <w:trPr>
          <w:trHeight w:val="2419"/>
          <w:jc w:val="center"/>
        </w:trPr>
        <w:tc>
          <w:tcPr>
            <w:tcW w:w="334" w:type="pct"/>
            <w:textDirection w:val="tbRlV"/>
            <w:vAlign w:val="center"/>
          </w:tcPr>
          <w:p w14:paraId="0D67B9BD" w14:textId="77777777" w:rsidR="00466685" w:rsidRPr="00466685" w:rsidRDefault="00466685" w:rsidP="00466685">
            <w:pPr>
              <w:pStyle w:val="13"/>
              <w:ind w:firstLineChars="0" w:firstLine="0"/>
              <w:jc w:val="center"/>
              <w:rPr>
                <w:sz w:val="21"/>
                <w:szCs w:val="21"/>
                <w:lang w:bidi="zh-CN"/>
              </w:rPr>
            </w:pPr>
            <w:r w:rsidRPr="00466685">
              <w:rPr>
                <w:sz w:val="21"/>
                <w:szCs w:val="21"/>
                <w:lang w:bidi="zh-CN"/>
              </w:rPr>
              <w:t>经 济 行 为 类 型</w:t>
            </w:r>
          </w:p>
        </w:tc>
        <w:tc>
          <w:tcPr>
            <w:tcW w:w="4666" w:type="pct"/>
            <w:gridSpan w:val="12"/>
            <w:vAlign w:val="center"/>
          </w:tcPr>
          <w:p w14:paraId="5F4D2CD3" w14:textId="77777777" w:rsidR="00466685" w:rsidRPr="00466685" w:rsidRDefault="00466685" w:rsidP="00466685">
            <w:pPr>
              <w:pStyle w:val="13"/>
              <w:ind w:firstLineChars="0" w:firstLine="0"/>
              <w:rPr>
                <w:sz w:val="21"/>
                <w:szCs w:val="21"/>
                <w:lang w:bidi="zh-CN"/>
              </w:rPr>
            </w:pPr>
            <w:r w:rsidRPr="00466685">
              <w:rPr>
                <w:sz w:val="21"/>
                <w:szCs w:val="21"/>
                <w:lang w:bidi="zh-CN"/>
              </w:rPr>
              <w:t>□ 整体或者部分改建为有限责任公司或者股份有限公司 □以非货币资产对外出资</w:t>
            </w:r>
          </w:p>
          <w:p w14:paraId="2EBD7817" w14:textId="77777777" w:rsidR="00466685" w:rsidRPr="00466685" w:rsidRDefault="00466685" w:rsidP="00466685">
            <w:pPr>
              <w:pStyle w:val="13"/>
              <w:ind w:firstLineChars="0" w:firstLine="0"/>
              <w:rPr>
                <w:sz w:val="21"/>
                <w:szCs w:val="21"/>
                <w:lang w:bidi="zh-CN"/>
              </w:rPr>
            </w:pPr>
          </w:p>
          <w:p w14:paraId="35B4D13D" w14:textId="77777777" w:rsidR="00466685" w:rsidRPr="00466685" w:rsidRDefault="00466685" w:rsidP="00466685">
            <w:pPr>
              <w:pStyle w:val="13"/>
              <w:ind w:firstLineChars="0" w:firstLine="0"/>
              <w:rPr>
                <w:sz w:val="21"/>
                <w:szCs w:val="21"/>
                <w:lang w:bidi="zh-CN"/>
              </w:rPr>
            </w:pPr>
            <w:r w:rsidRPr="00466685">
              <w:rPr>
                <w:sz w:val="21"/>
                <w:szCs w:val="21"/>
                <w:lang w:bidi="zh-CN"/>
              </w:rPr>
              <w:t>□ 合并、分立、破产、解散 □ 非上市公司国有股东股权比例变动</w:t>
            </w:r>
          </w:p>
          <w:p w14:paraId="74CBE48D" w14:textId="77777777" w:rsidR="00466685" w:rsidRPr="00466685" w:rsidRDefault="00466685" w:rsidP="00466685">
            <w:pPr>
              <w:pStyle w:val="13"/>
              <w:ind w:firstLineChars="0" w:firstLine="0"/>
              <w:rPr>
                <w:sz w:val="21"/>
                <w:szCs w:val="21"/>
                <w:lang w:bidi="zh-CN"/>
              </w:rPr>
            </w:pPr>
          </w:p>
          <w:p w14:paraId="4D0BFBCB" w14:textId="77777777" w:rsidR="00466685" w:rsidRPr="00466685" w:rsidRDefault="00466685" w:rsidP="00466685">
            <w:pPr>
              <w:pStyle w:val="13"/>
              <w:ind w:firstLineChars="0" w:firstLine="0"/>
              <w:rPr>
                <w:sz w:val="21"/>
                <w:szCs w:val="21"/>
                <w:lang w:bidi="zh-CN"/>
              </w:rPr>
            </w:pPr>
            <w:r w:rsidRPr="00466685">
              <w:rPr>
                <w:sz w:val="21"/>
                <w:szCs w:val="21"/>
                <w:lang w:bidi="zh-CN"/>
              </w:rPr>
              <w:t>□ 产权转让  □ 资产转让、置换 □ 整体资产或者部分资产租赁给非国有单位</w:t>
            </w:r>
          </w:p>
          <w:p w14:paraId="5FC77D46" w14:textId="77777777" w:rsidR="00466685" w:rsidRPr="00466685" w:rsidRDefault="00466685" w:rsidP="00466685">
            <w:pPr>
              <w:pStyle w:val="13"/>
              <w:ind w:firstLineChars="0" w:firstLine="0"/>
              <w:rPr>
                <w:sz w:val="21"/>
                <w:szCs w:val="21"/>
                <w:lang w:bidi="zh-CN"/>
              </w:rPr>
            </w:pPr>
          </w:p>
          <w:p w14:paraId="031DE12B" w14:textId="77777777" w:rsidR="00466685" w:rsidRPr="00466685" w:rsidRDefault="00466685" w:rsidP="00466685">
            <w:pPr>
              <w:pStyle w:val="13"/>
              <w:ind w:firstLineChars="0" w:firstLine="0"/>
              <w:rPr>
                <w:sz w:val="21"/>
                <w:szCs w:val="21"/>
                <w:lang w:bidi="zh-CN"/>
              </w:rPr>
            </w:pPr>
            <w:r w:rsidRPr="00466685">
              <w:rPr>
                <w:sz w:val="21"/>
                <w:szCs w:val="21"/>
                <w:lang w:bidi="zh-CN"/>
              </w:rPr>
              <w:t>□ 以非货币资产偿还债务 □ 资产涉讼 □ 其他</w:t>
            </w:r>
          </w:p>
        </w:tc>
      </w:tr>
      <w:tr w:rsidR="00466685" w:rsidRPr="00466685" w14:paraId="0AE59C8B" w14:textId="77777777" w:rsidTr="00466685">
        <w:trPr>
          <w:trHeight w:val="633"/>
          <w:jc w:val="center"/>
        </w:trPr>
        <w:tc>
          <w:tcPr>
            <w:tcW w:w="1091" w:type="pct"/>
            <w:gridSpan w:val="2"/>
            <w:vAlign w:val="center"/>
          </w:tcPr>
          <w:p w14:paraId="265E0A0E" w14:textId="77777777" w:rsidR="00466685" w:rsidRPr="00466685" w:rsidRDefault="00466685" w:rsidP="00466685">
            <w:pPr>
              <w:pStyle w:val="13"/>
              <w:ind w:firstLineChars="0" w:firstLine="0"/>
              <w:rPr>
                <w:sz w:val="21"/>
                <w:szCs w:val="21"/>
                <w:lang w:bidi="zh-CN"/>
              </w:rPr>
            </w:pPr>
            <w:r w:rsidRPr="00466685">
              <w:rPr>
                <w:sz w:val="21"/>
                <w:szCs w:val="21"/>
                <w:lang w:bidi="zh-CN"/>
              </w:rPr>
              <w:t>评估报告编号</w:t>
            </w:r>
          </w:p>
        </w:tc>
        <w:tc>
          <w:tcPr>
            <w:tcW w:w="1887" w:type="pct"/>
            <w:gridSpan w:val="5"/>
          </w:tcPr>
          <w:p w14:paraId="00B484F8" w14:textId="77777777" w:rsidR="00466685" w:rsidRPr="00466685" w:rsidRDefault="00466685" w:rsidP="00466685">
            <w:pPr>
              <w:pStyle w:val="13"/>
              <w:ind w:firstLineChars="0" w:firstLine="0"/>
              <w:rPr>
                <w:sz w:val="21"/>
                <w:szCs w:val="21"/>
                <w:lang w:bidi="zh-CN"/>
              </w:rPr>
            </w:pPr>
          </w:p>
        </w:tc>
        <w:tc>
          <w:tcPr>
            <w:tcW w:w="1070" w:type="pct"/>
            <w:gridSpan w:val="3"/>
            <w:vAlign w:val="center"/>
          </w:tcPr>
          <w:p w14:paraId="285DD551" w14:textId="77777777" w:rsidR="00466685" w:rsidRPr="00466685" w:rsidRDefault="00466685" w:rsidP="00466685">
            <w:pPr>
              <w:pStyle w:val="13"/>
              <w:ind w:firstLineChars="0" w:firstLine="0"/>
              <w:rPr>
                <w:sz w:val="21"/>
                <w:szCs w:val="21"/>
                <w:lang w:bidi="zh-CN"/>
              </w:rPr>
            </w:pPr>
            <w:r w:rsidRPr="00466685">
              <w:rPr>
                <w:sz w:val="21"/>
                <w:szCs w:val="21"/>
                <w:lang w:bidi="zh-CN"/>
              </w:rPr>
              <w:t>主要评估方法</w:t>
            </w:r>
          </w:p>
        </w:tc>
        <w:tc>
          <w:tcPr>
            <w:tcW w:w="953" w:type="pct"/>
            <w:gridSpan w:val="3"/>
          </w:tcPr>
          <w:p w14:paraId="32CD593F" w14:textId="77777777" w:rsidR="00466685" w:rsidRPr="00466685" w:rsidRDefault="00466685" w:rsidP="00466685">
            <w:pPr>
              <w:pStyle w:val="13"/>
              <w:ind w:firstLineChars="0" w:firstLine="0"/>
              <w:rPr>
                <w:sz w:val="21"/>
                <w:szCs w:val="21"/>
                <w:lang w:bidi="zh-CN"/>
              </w:rPr>
            </w:pPr>
          </w:p>
        </w:tc>
      </w:tr>
      <w:tr w:rsidR="00466685" w:rsidRPr="00466685" w14:paraId="5AADE0BD" w14:textId="77777777" w:rsidTr="00466685">
        <w:trPr>
          <w:trHeight w:val="589"/>
          <w:jc w:val="center"/>
        </w:trPr>
        <w:tc>
          <w:tcPr>
            <w:tcW w:w="1091" w:type="pct"/>
            <w:gridSpan w:val="2"/>
            <w:vAlign w:val="center"/>
          </w:tcPr>
          <w:p w14:paraId="25B349BE" w14:textId="77777777" w:rsidR="00466685" w:rsidRPr="00466685" w:rsidRDefault="00466685" w:rsidP="00466685">
            <w:pPr>
              <w:pStyle w:val="13"/>
              <w:ind w:firstLineChars="0" w:firstLine="0"/>
              <w:rPr>
                <w:sz w:val="21"/>
                <w:szCs w:val="21"/>
                <w:lang w:bidi="zh-CN"/>
              </w:rPr>
            </w:pPr>
            <w:r w:rsidRPr="00466685">
              <w:rPr>
                <w:sz w:val="21"/>
                <w:szCs w:val="21"/>
                <w:lang w:bidi="zh-CN"/>
              </w:rPr>
              <w:t>评估机构名称</w:t>
            </w:r>
          </w:p>
        </w:tc>
        <w:tc>
          <w:tcPr>
            <w:tcW w:w="1887" w:type="pct"/>
            <w:gridSpan w:val="5"/>
          </w:tcPr>
          <w:p w14:paraId="6A20B38F" w14:textId="77777777" w:rsidR="00466685" w:rsidRPr="00466685" w:rsidRDefault="00466685" w:rsidP="00466685">
            <w:pPr>
              <w:pStyle w:val="13"/>
              <w:ind w:firstLineChars="0" w:firstLine="0"/>
              <w:rPr>
                <w:sz w:val="21"/>
                <w:szCs w:val="21"/>
                <w:lang w:bidi="zh-CN"/>
              </w:rPr>
            </w:pPr>
          </w:p>
        </w:tc>
        <w:tc>
          <w:tcPr>
            <w:tcW w:w="1070" w:type="pct"/>
            <w:gridSpan w:val="3"/>
            <w:vAlign w:val="center"/>
          </w:tcPr>
          <w:p w14:paraId="0395599F" w14:textId="77777777" w:rsidR="00466685" w:rsidRPr="00466685" w:rsidRDefault="00466685" w:rsidP="00466685">
            <w:pPr>
              <w:pStyle w:val="13"/>
              <w:ind w:firstLineChars="0" w:firstLine="0"/>
              <w:rPr>
                <w:sz w:val="21"/>
                <w:szCs w:val="21"/>
                <w:lang w:bidi="zh-CN"/>
              </w:rPr>
            </w:pPr>
            <w:r w:rsidRPr="00466685">
              <w:rPr>
                <w:sz w:val="21"/>
                <w:szCs w:val="21"/>
                <w:lang w:bidi="zh-CN"/>
              </w:rPr>
              <w:t>资质证书编号</w:t>
            </w:r>
          </w:p>
        </w:tc>
        <w:tc>
          <w:tcPr>
            <w:tcW w:w="953" w:type="pct"/>
            <w:gridSpan w:val="3"/>
          </w:tcPr>
          <w:p w14:paraId="139BCA55" w14:textId="77777777" w:rsidR="00466685" w:rsidRPr="00466685" w:rsidRDefault="00466685" w:rsidP="00466685">
            <w:pPr>
              <w:pStyle w:val="13"/>
              <w:ind w:firstLineChars="0" w:firstLine="0"/>
              <w:rPr>
                <w:sz w:val="21"/>
                <w:szCs w:val="21"/>
                <w:lang w:bidi="zh-CN"/>
              </w:rPr>
            </w:pPr>
          </w:p>
        </w:tc>
      </w:tr>
      <w:tr w:rsidR="00466685" w:rsidRPr="00466685" w14:paraId="7A5E351A" w14:textId="77777777" w:rsidTr="00466685">
        <w:trPr>
          <w:trHeight w:val="611"/>
          <w:jc w:val="center"/>
        </w:trPr>
        <w:tc>
          <w:tcPr>
            <w:tcW w:w="1091" w:type="pct"/>
            <w:gridSpan w:val="2"/>
            <w:vAlign w:val="center"/>
          </w:tcPr>
          <w:p w14:paraId="5B93A5E6" w14:textId="77777777" w:rsidR="00466685" w:rsidRPr="00466685" w:rsidRDefault="00466685" w:rsidP="00466685">
            <w:pPr>
              <w:pStyle w:val="13"/>
              <w:ind w:firstLineChars="0" w:firstLine="0"/>
              <w:rPr>
                <w:sz w:val="21"/>
                <w:szCs w:val="21"/>
                <w:lang w:bidi="zh-CN"/>
              </w:rPr>
            </w:pPr>
            <w:r w:rsidRPr="00466685">
              <w:rPr>
                <w:sz w:val="21"/>
                <w:szCs w:val="21"/>
                <w:lang w:bidi="zh-CN"/>
              </w:rPr>
              <w:t>资产评估师姓名</w:t>
            </w:r>
          </w:p>
        </w:tc>
        <w:tc>
          <w:tcPr>
            <w:tcW w:w="894" w:type="pct"/>
            <w:gridSpan w:val="3"/>
          </w:tcPr>
          <w:p w14:paraId="4A505054" w14:textId="77777777" w:rsidR="00466685" w:rsidRPr="00466685" w:rsidRDefault="00466685" w:rsidP="00466685">
            <w:pPr>
              <w:pStyle w:val="13"/>
              <w:ind w:firstLineChars="0" w:firstLine="0"/>
              <w:rPr>
                <w:sz w:val="21"/>
                <w:szCs w:val="21"/>
                <w:lang w:bidi="zh-CN"/>
              </w:rPr>
            </w:pPr>
          </w:p>
        </w:tc>
        <w:tc>
          <w:tcPr>
            <w:tcW w:w="993" w:type="pct"/>
            <w:gridSpan w:val="2"/>
          </w:tcPr>
          <w:p w14:paraId="06269650" w14:textId="77777777" w:rsidR="00466685" w:rsidRPr="00466685" w:rsidRDefault="00466685" w:rsidP="00466685">
            <w:pPr>
              <w:pStyle w:val="13"/>
              <w:ind w:firstLineChars="0" w:firstLine="0"/>
              <w:rPr>
                <w:sz w:val="21"/>
                <w:szCs w:val="21"/>
                <w:lang w:bidi="zh-CN"/>
              </w:rPr>
            </w:pPr>
          </w:p>
        </w:tc>
        <w:tc>
          <w:tcPr>
            <w:tcW w:w="1070" w:type="pct"/>
            <w:gridSpan w:val="3"/>
            <w:vAlign w:val="center"/>
          </w:tcPr>
          <w:p w14:paraId="11612ED7" w14:textId="77777777" w:rsidR="00466685" w:rsidRPr="00466685" w:rsidRDefault="00466685" w:rsidP="00466685">
            <w:pPr>
              <w:pStyle w:val="13"/>
              <w:ind w:firstLineChars="0" w:firstLine="0"/>
              <w:rPr>
                <w:sz w:val="21"/>
                <w:szCs w:val="21"/>
                <w:lang w:bidi="zh-CN"/>
              </w:rPr>
            </w:pPr>
            <w:r w:rsidRPr="00466685">
              <w:rPr>
                <w:sz w:val="21"/>
                <w:szCs w:val="21"/>
                <w:lang w:bidi="zh-CN"/>
              </w:rPr>
              <w:t>资产评估师编号</w:t>
            </w:r>
          </w:p>
        </w:tc>
        <w:tc>
          <w:tcPr>
            <w:tcW w:w="761" w:type="pct"/>
            <w:gridSpan w:val="2"/>
          </w:tcPr>
          <w:p w14:paraId="584EB549" w14:textId="77777777" w:rsidR="00466685" w:rsidRPr="00466685" w:rsidRDefault="00466685" w:rsidP="00466685">
            <w:pPr>
              <w:pStyle w:val="13"/>
              <w:ind w:firstLineChars="0" w:firstLine="0"/>
              <w:rPr>
                <w:sz w:val="21"/>
                <w:szCs w:val="21"/>
                <w:lang w:bidi="zh-CN"/>
              </w:rPr>
            </w:pPr>
          </w:p>
        </w:tc>
        <w:tc>
          <w:tcPr>
            <w:tcW w:w="191" w:type="pct"/>
          </w:tcPr>
          <w:p w14:paraId="5E8DA0C9" w14:textId="77777777" w:rsidR="00466685" w:rsidRPr="00466685" w:rsidRDefault="00466685" w:rsidP="00466685">
            <w:pPr>
              <w:pStyle w:val="13"/>
              <w:ind w:firstLineChars="0" w:firstLine="0"/>
              <w:rPr>
                <w:sz w:val="21"/>
                <w:szCs w:val="21"/>
                <w:lang w:bidi="zh-CN"/>
              </w:rPr>
            </w:pPr>
          </w:p>
        </w:tc>
      </w:tr>
      <w:tr w:rsidR="00466685" w:rsidRPr="00466685" w14:paraId="6C9130B8" w14:textId="77777777" w:rsidTr="00466685">
        <w:trPr>
          <w:trHeight w:val="639"/>
          <w:jc w:val="center"/>
        </w:trPr>
        <w:tc>
          <w:tcPr>
            <w:tcW w:w="1091" w:type="pct"/>
            <w:gridSpan w:val="2"/>
            <w:vAlign w:val="center"/>
          </w:tcPr>
          <w:p w14:paraId="0B2830D7" w14:textId="77777777" w:rsidR="00466685" w:rsidRPr="00466685" w:rsidRDefault="00466685" w:rsidP="00466685">
            <w:pPr>
              <w:pStyle w:val="13"/>
              <w:ind w:firstLineChars="0" w:firstLine="0"/>
              <w:rPr>
                <w:sz w:val="21"/>
                <w:szCs w:val="21"/>
                <w:lang w:bidi="zh-CN"/>
              </w:rPr>
            </w:pPr>
            <w:r w:rsidRPr="00466685">
              <w:rPr>
                <w:sz w:val="21"/>
                <w:szCs w:val="21"/>
                <w:lang w:bidi="zh-CN"/>
              </w:rPr>
              <w:t>产权持有单位</w:t>
            </w:r>
          </w:p>
          <w:p w14:paraId="1FE66E77" w14:textId="77777777" w:rsidR="00466685" w:rsidRPr="00466685" w:rsidRDefault="00466685" w:rsidP="00466685">
            <w:pPr>
              <w:pStyle w:val="13"/>
              <w:ind w:firstLineChars="0" w:firstLine="0"/>
              <w:rPr>
                <w:sz w:val="21"/>
                <w:szCs w:val="21"/>
                <w:lang w:bidi="zh-CN"/>
              </w:rPr>
            </w:pPr>
            <w:r w:rsidRPr="00466685">
              <w:rPr>
                <w:sz w:val="21"/>
                <w:szCs w:val="21"/>
                <w:lang w:bidi="zh-CN"/>
              </w:rPr>
              <w:t>联系人</w:t>
            </w:r>
          </w:p>
        </w:tc>
        <w:tc>
          <w:tcPr>
            <w:tcW w:w="596" w:type="pct"/>
          </w:tcPr>
          <w:p w14:paraId="66289435" w14:textId="77777777" w:rsidR="00466685" w:rsidRPr="00466685" w:rsidRDefault="00466685" w:rsidP="00466685">
            <w:pPr>
              <w:pStyle w:val="13"/>
              <w:ind w:firstLineChars="0" w:firstLine="0"/>
              <w:rPr>
                <w:sz w:val="21"/>
                <w:szCs w:val="21"/>
                <w:lang w:bidi="zh-CN"/>
              </w:rPr>
            </w:pPr>
          </w:p>
        </w:tc>
        <w:tc>
          <w:tcPr>
            <w:tcW w:w="689" w:type="pct"/>
            <w:gridSpan w:val="3"/>
            <w:vAlign w:val="center"/>
          </w:tcPr>
          <w:p w14:paraId="3DCAB24F" w14:textId="77777777" w:rsidR="00466685" w:rsidRPr="00466685" w:rsidRDefault="00466685" w:rsidP="00466685">
            <w:pPr>
              <w:pStyle w:val="13"/>
              <w:ind w:firstLineChars="0" w:firstLine="0"/>
              <w:jc w:val="center"/>
              <w:rPr>
                <w:sz w:val="21"/>
                <w:szCs w:val="21"/>
                <w:lang w:bidi="zh-CN"/>
              </w:rPr>
            </w:pPr>
            <w:r w:rsidRPr="00466685">
              <w:rPr>
                <w:sz w:val="21"/>
                <w:szCs w:val="21"/>
                <w:lang w:bidi="zh-CN"/>
              </w:rPr>
              <w:t>电  话</w:t>
            </w:r>
          </w:p>
        </w:tc>
        <w:tc>
          <w:tcPr>
            <w:tcW w:w="1098" w:type="pct"/>
            <w:gridSpan w:val="2"/>
          </w:tcPr>
          <w:p w14:paraId="2427609C" w14:textId="77777777" w:rsidR="00466685" w:rsidRPr="00466685" w:rsidRDefault="00466685" w:rsidP="00466685">
            <w:pPr>
              <w:pStyle w:val="13"/>
              <w:ind w:firstLineChars="0" w:firstLine="0"/>
              <w:rPr>
                <w:sz w:val="21"/>
                <w:szCs w:val="21"/>
                <w:lang w:bidi="zh-CN"/>
              </w:rPr>
            </w:pPr>
          </w:p>
        </w:tc>
        <w:tc>
          <w:tcPr>
            <w:tcW w:w="573" w:type="pct"/>
            <w:gridSpan w:val="2"/>
            <w:vAlign w:val="center"/>
          </w:tcPr>
          <w:p w14:paraId="15B20755" w14:textId="77777777" w:rsidR="00466685" w:rsidRPr="00466685" w:rsidRDefault="00466685" w:rsidP="00466685">
            <w:pPr>
              <w:pStyle w:val="13"/>
              <w:ind w:firstLineChars="0" w:firstLine="0"/>
              <w:jc w:val="center"/>
              <w:rPr>
                <w:sz w:val="21"/>
                <w:szCs w:val="21"/>
                <w:lang w:bidi="zh-CN"/>
              </w:rPr>
            </w:pPr>
            <w:r w:rsidRPr="00466685">
              <w:rPr>
                <w:sz w:val="21"/>
                <w:szCs w:val="21"/>
                <w:lang w:bidi="zh-CN"/>
              </w:rPr>
              <w:t>通  讯 地  址</w:t>
            </w:r>
          </w:p>
        </w:tc>
        <w:tc>
          <w:tcPr>
            <w:tcW w:w="953" w:type="pct"/>
            <w:gridSpan w:val="3"/>
          </w:tcPr>
          <w:p w14:paraId="69D0065E" w14:textId="77777777" w:rsidR="00466685" w:rsidRPr="00466685" w:rsidRDefault="00466685" w:rsidP="00466685">
            <w:pPr>
              <w:pStyle w:val="13"/>
              <w:ind w:firstLineChars="0" w:firstLine="0"/>
              <w:rPr>
                <w:sz w:val="21"/>
                <w:szCs w:val="21"/>
                <w:lang w:bidi="zh-CN"/>
              </w:rPr>
            </w:pPr>
          </w:p>
        </w:tc>
      </w:tr>
      <w:tr w:rsidR="00466685" w:rsidRPr="00466685" w14:paraId="14FCAA25" w14:textId="77777777" w:rsidTr="00466685">
        <w:trPr>
          <w:trHeight w:val="956"/>
          <w:jc w:val="center"/>
        </w:trPr>
        <w:tc>
          <w:tcPr>
            <w:tcW w:w="1091" w:type="pct"/>
            <w:gridSpan w:val="2"/>
            <w:vAlign w:val="center"/>
          </w:tcPr>
          <w:p w14:paraId="1906E441" w14:textId="77777777" w:rsidR="00466685" w:rsidRPr="00466685" w:rsidRDefault="00466685" w:rsidP="00466685">
            <w:pPr>
              <w:pStyle w:val="13"/>
              <w:ind w:firstLineChars="0" w:firstLine="0"/>
              <w:rPr>
                <w:sz w:val="21"/>
                <w:szCs w:val="21"/>
                <w:lang w:bidi="zh-CN"/>
              </w:rPr>
            </w:pPr>
            <w:r w:rsidRPr="00466685">
              <w:rPr>
                <w:sz w:val="21"/>
                <w:szCs w:val="21"/>
                <w:lang w:bidi="zh-CN"/>
              </w:rPr>
              <w:t>省属企业(省直</w:t>
            </w:r>
          </w:p>
          <w:p w14:paraId="386F4A2F" w14:textId="77777777" w:rsidR="00466685" w:rsidRPr="00466685" w:rsidRDefault="00466685" w:rsidP="00466685">
            <w:pPr>
              <w:pStyle w:val="13"/>
              <w:ind w:firstLineChars="0" w:firstLine="0"/>
              <w:rPr>
                <w:sz w:val="21"/>
                <w:szCs w:val="21"/>
                <w:lang w:bidi="zh-CN"/>
              </w:rPr>
            </w:pPr>
            <w:r w:rsidRPr="00466685">
              <w:rPr>
                <w:sz w:val="21"/>
                <w:szCs w:val="21"/>
                <w:lang w:bidi="zh-CN"/>
              </w:rPr>
              <w:t>有关部门、单位)</w:t>
            </w:r>
          </w:p>
          <w:p w14:paraId="207DCC3C" w14:textId="77777777" w:rsidR="00466685" w:rsidRPr="00466685" w:rsidRDefault="00466685" w:rsidP="00466685">
            <w:pPr>
              <w:pStyle w:val="13"/>
              <w:ind w:firstLineChars="0" w:firstLine="0"/>
              <w:rPr>
                <w:sz w:val="21"/>
                <w:szCs w:val="21"/>
                <w:lang w:bidi="zh-CN"/>
              </w:rPr>
            </w:pPr>
            <w:r w:rsidRPr="00466685">
              <w:rPr>
                <w:sz w:val="21"/>
                <w:szCs w:val="21"/>
                <w:lang w:bidi="zh-CN"/>
              </w:rPr>
              <w:t>联系人</w:t>
            </w:r>
          </w:p>
        </w:tc>
        <w:tc>
          <w:tcPr>
            <w:tcW w:w="596" w:type="pct"/>
          </w:tcPr>
          <w:p w14:paraId="1510E780" w14:textId="77777777" w:rsidR="00466685" w:rsidRPr="00466685" w:rsidRDefault="00466685" w:rsidP="00466685">
            <w:pPr>
              <w:pStyle w:val="13"/>
              <w:ind w:firstLineChars="0" w:firstLine="0"/>
              <w:rPr>
                <w:sz w:val="21"/>
                <w:szCs w:val="21"/>
                <w:lang w:bidi="zh-CN"/>
              </w:rPr>
            </w:pPr>
          </w:p>
        </w:tc>
        <w:tc>
          <w:tcPr>
            <w:tcW w:w="689" w:type="pct"/>
            <w:gridSpan w:val="3"/>
            <w:vAlign w:val="center"/>
          </w:tcPr>
          <w:p w14:paraId="11112C92" w14:textId="77777777" w:rsidR="00466685" w:rsidRPr="00466685" w:rsidRDefault="00466685" w:rsidP="00466685">
            <w:pPr>
              <w:pStyle w:val="13"/>
              <w:ind w:firstLineChars="0" w:firstLine="0"/>
              <w:jc w:val="center"/>
              <w:rPr>
                <w:sz w:val="21"/>
                <w:szCs w:val="21"/>
                <w:lang w:bidi="zh-CN"/>
              </w:rPr>
            </w:pPr>
            <w:r w:rsidRPr="00466685">
              <w:rPr>
                <w:sz w:val="21"/>
                <w:szCs w:val="21"/>
                <w:lang w:bidi="zh-CN"/>
              </w:rPr>
              <w:t>电  话</w:t>
            </w:r>
          </w:p>
        </w:tc>
        <w:tc>
          <w:tcPr>
            <w:tcW w:w="1098" w:type="pct"/>
            <w:gridSpan w:val="2"/>
          </w:tcPr>
          <w:p w14:paraId="5AE794EF" w14:textId="77777777" w:rsidR="00466685" w:rsidRPr="00466685" w:rsidRDefault="00466685" w:rsidP="00466685">
            <w:pPr>
              <w:pStyle w:val="13"/>
              <w:ind w:firstLineChars="0" w:firstLine="0"/>
              <w:rPr>
                <w:sz w:val="21"/>
                <w:szCs w:val="21"/>
                <w:lang w:bidi="zh-CN"/>
              </w:rPr>
            </w:pPr>
          </w:p>
        </w:tc>
        <w:tc>
          <w:tcPr>
            <w:tcW w:w="573" w:type="pct"/>
            <w:gridSpan w:val="2"/>
            <w:vAlign w:val="center"/>
          </w:tcPr>
          <w:p w14:paraId="01498200" w14:textId="77777777" w:rsidR="00466685" w:rsidRPr="00466685" w:rsidRDefault="00466685" w:rsidP="00466685">
            <w:pPr>
              <w:pStyle w:val="13"/>
              <w:ind w:firstLineChars="0" w:firstLine="0"/>
              <w:jc w:val="center"/>
              <w:rPr>
                <w:sz w:val="21"/>
                <w:szCs w:val="21"/>
                <w:lang w:bidi="zh-CN"/>
              </w:rPr>
            </w:pPr>
            <w:r w:rsidRPr="00466685">
              <w:rPr>
                <w:sz w:val="21"/>
                <w:szCs w:val="21"/>
                <w:lang w:bidi="zh-CN"/>
              </w:rPr>
              <w:t>通  讯 地  址</w:t>
            </w:r>
          </w:p>
        </w:tc>
        <w:tc>
          <w:tcPr>
            <w:tcW w:w="953" w:type="pct"/>
            <w:gridSpan w:val="3"/>
          </w:tcPr>
          <w:p w14:paraId="7C0CE00F" w14:textId="77777777" w:rsidR="00466685" w:rsidRPr="00466685" w:rsidRDefault="00466685" w:rsidP="00466685">
            <w:pPr>
              <w:pStyle w:val="13"/>
              <w:ind w:firstLineChars="0" w:firstLine="0"/>
              <w:rPr>
                <w:sz w:val="21"/>
                <w:szCs w:val="21"/>
                <w:lang w:bidi="zh-CN"/>
              </w:rPr>
            </w:pPr>
          </w:p>
        </w:tc>
      </w:tr>
      <w:tr w:rsidR="00466685" w:rsidRPr="00466685" w14:paraId="4FD60CC5" w14:textId="77777777" w:rsidTr="00466685">
        <w:trPr>
          <w:trHeight w:val="3401"/>
          <w:jc w:val="center"/>
        </w:trPr>
        <w:tc>
          <w:tcPr>
            <w:tcW w:w="1687" w:type="pct"/>
            <w:gridSpan w:val="3"/>
            <w:vAlign w:val="bottom"/>
          </w:tcPr>
          <w:p w14:paraId="3C1814D9" w14:textId="77777777" w:rsidR="00466685" w:rsidRPr="00466685" w:rsidRDefault="00466685" w:rsidP="00466685">
            <w:pPr>
              <w:pStyle w:val="13"/>
              <w:ind w:firstLineChars="0" w:firstLine="0"/>
              <w:rPr>
                <w:sz w:val="21"/>
                <w:szCs w:val="21"/>
                <w:lang w:bidi="zh-CN"/>
              </w:rPr>
            </w:pPr>
          </w:p>
          <w:p w14:paraId="02E4A6A5" w14:textId="77777777" w:rsidR="00466685" w:rsidRPr="00466685" w:rsidRDefault="00466685" w:rsidP="00466685">
            <w:pPr>
              <w:pStyle w:val="13"/>
              <w:ind w:firstLineChars="0" w:firstLine="0"/>
              <w:rPr>
                <w:sz w:val="21"/>
                <w:szCs w:val="21"/>
                <w:lang w:bidi="zh-CN"/>
              </w:rPr>
            </w:pPr>
          </w:p>
          <w:p w14:paraId="18D9CB4E" w14:textId="77777777" w:rsidR="00466685" w:rsidRPr="00466685" w:rsidRDefault="00466685" w:rsidP="00466685">
            <w:pPr>
              <w:pStyle w:val="13"/>
              <w:ind w:firstLineChars="0" w:firstLine="0"/>
              <w:rPr>
                <w:sz w:val="21"/>
                <w:szCs w:val="21"/>
                <w:lang w:bidi="zh-CN"/>
              </w:rPr>
            </w:pPr>
          </w:p>
          <w:p w14:paraId="76592E20" w14:textId="77777777" w:rsidR="00466685" w:rsidRPr="00466685" w:rsidRDefault="00466685" w:rsidP="00466685">
            <w:pPr>
              <w:pStyle w:val="13"/>
              <w:ind w:firstLineChars="0" w:firstLine="0"/>
              <w:rPr>
                <w:sz w:val="21"/>
                <w:szCs w:val="21"/>
                <w:lang w:bidi="zh-CN"/>
              </w:rPr>
            </w:pPr>
          </w:p>
          <w:p w14:paraId="564B7AB5" w14:textId="77777777" w:rsidR="00466685" w:rsidRPr="00466685" w:rsidRDefault="00466685" w:rsidP="00466685">
            <w:pPr>
              <w:pStyle w:val="13"/>
              <w:ind w:firstLineChars="0" w:firstLine="0"/>
              <w:jc w:val="center"/>
              <w:rPr>
                <w:sz w:val="21"/>
                <w:szCs w:val="21"/>
                <w:lang w:bidi="zh-CN"/>
              </w:rPr>
            </w:pPr>
            <w:r w:rsidRPr="00466685">
              <w:rPr>
                <w:sz w:val="21"/>
                <w:szCs w:val="21"/>
                <w:lang w:bidi="zh-CN"/>
              </w:rPr>
              <w:t>产权持有单位盖章</w:t>
            </w:r>
          </w:p>
          <w:p w14:paraId="28AF5FFA" w14:textId="77777777" w:rsidR="00466685" w:rsidRPr="00466685" w:rsidRDefault="00466685" w:rsidP="00466685">
            <w:pPr>
              <w:pStyle w:val="13"/>
              <w:ind w:firstLineChars="0" w:firstLine="0"/>
              <w:rPr>
                <w:sz w:val="21"/>
                <w:szCs w:val="21"/>
                <w:lang w:bidi="zh-CN"/>
              </w:rPr>
            </w:pPr>
          </w:p>
          <w:p w14:paraId="6B01B4B6" w14:textId="77777777" w:rsidR="00466685" w:rsidRPr="00466685" w:rsidRDefault="00466685" w:rsidP="00466685">
            <w:pPr>
              <w:pStyle w:val="13"/>
              <w:ind w:firstLineChars="0" w:firstLine="0"/>
              <w:rPr>
                <w:sz w:val="21"/>
                <w:szCs w:val="21"/>
                <w:lang w:bidi="zh-CN"/>
              </w:rPr>
            </w:pPr>
          </w:p>
          <w:p w14:paraId="3B7EA17B" w14:textId="77777777" w:rsidR="00466685" w:rsidRPr="00466685" w:rsidRDefault="00466685" w:rsidP="00466685">
            <w:pPr>
              <w:pStyle w:val="13"/>
              <w:ind w:firstLineChars="0" w:firstLine="0"/>
              <w:rPr>
                <w:sz w:val="21"/>
                <w:szCs w:val="21"/>
                <w:lang w:bidi="zh-CN"/>
              </w:rPr>
            </w:pPr>
            <w:r w:rsidRPr="00466685">
              <w:rPr>
                <w:sz w:val="21"/>
                <w:szCs w:val="21"/>
                <w:lang w:bidi="zh-CN"/>
              </w:rPr>
              <w:t>法定代表人签字：</w:t>
            </w:r>
          </w:p>
          <w:p w14:paraId="0405ACCD" w14:textId="77777777" w:rsidR="00466685" w:rsidRPr="00466685" w:rsidRDefault="00466685" w:rsidP="00466685">
            <w:pPr>
              <w:pStyle w:val="13"/>
              <w:ind w:firstLineChars="0" w:firstLine="0"/>
              <w:rPr>
                <w:sz w:val="21"/>
                <w:szCs w:val="21"/>
                <w:lang w:bidi="zh-CN"/>
              </w:rPr>
            </w:pPr>
          </w:p>
          <w:p w14:paraId="68C2E207" w14:textId="663864BB" w:rsidR="00466685" w:rsidRPr="00466685" w:rsidRDefault="00466685" w:rsidP="00466685">
            <w:pPr>
              <w:pStyle w:val="13"/>
              <w:ind w:firstLineChars="0" w:firstLine="0"/>
              <w:rPr>
                <w:sz w:val="21"/>
                <w:szCs w:val="21"/>
                <w:lang w:bidi="zh-CN"/>
              </w:rPr>
            </w:pPr>
            <w:r w:rsidRPr="00466685">
              <w:rPr>
                <w:sz w:val="21"/>
                <w:szCs w:val="21"/>
                <w:lang w:bidi="zh-CN"/>
              </w:rPr>
              <w:t xml:space="preserve">年 </w:t>
            </w:r>
            <w:r w:rsidR="003068F8">
              <w:rPr>
                <w:sz w:val="21"/>
                <w:szCs w:val="21"/>
                <w:lang w:bidi="zh-CN"/>
              </w:rPr>
              <w:t>月日</w:t>
            </w:r>
          </w:p>
        </w:tc>
        <w:tc>
          <w:tcPr>
            <w:tcW w:w="1787" w:type="pct"/>
            <w:gridSpan w:val="5"/>
            <w:vAlign w:val="bottom"/>
          </w:tcPr>
          <w:p w14:paraId="1766112B" w14:textId="77777777" w:rsidR="00466685" w:rsidRPr="00466685" w:rsidRDefault="00466685" w:rsidP="00466685">
            <w:pPr>
              <w:pStyle w:val="13"/>
              <w:ind w:firstLineChars="0" w:firstLine="0"/>
              <w:rPr>
                <w:sz w:val="21"/>
                <w:szCs w:val="21"/>
                <w:lang w:bidi="zh-CN"/>
              </w:rPr>
            </w:pPr>
          </w:p>
          <w:p w14:paraId="41AD644E" w14:textId="77777777" w:rsidR="00466685" w:rsidRPr="00466685" w:rsidRDefault="00466685" w:rsidP="00466685">
            <w:pPr>
              <w:pStyle w:val="13"/>
              <w:ind w:firstLineChars="0" w:firstLine="0"/>
              <w:rPr>
                <w:sz w:val="21"/>
                <w:szCs w:val="21"/>
                <w:lang w:bidi="zh-CN"/>
              </w:rPr>
            </w:pPr>
          </w:p>
          <w:p w14:paraId="33EDDB54" w14:textId="77777777" w:rsidR="00466685" w:rsidRPr="00466685" w:rsidRDefault="00466685" w:rsidP="00466685">
            <w:pPr>
              <w:pStyle w:val="13"/>
              <w:ind w:firstLineChars="0" w:firstLine="0"/>
              <w:rPr>
                <w:sz w:val="21"/>
                <w:szCs w:val="21"/>
                <w:lang w:bidi="zh-CN"/>
              </w:rPr>
            </w:pPr>
          </w:p>
          <w:p w14:paraId="4703FAEF" w14:textId="77777777" w:rsidR="00466685" w:rsidRPr="00466685" w:rsidRDefault="00466685" w:rsidP="00466685">
            <w:pPr>
              <w:pStyle w:val="13"/>
              <w:ind w:firstLineChars="0" w:firstLine="0"/>
              <w:rPr>
                <w:sz w:val="21"/>
                <w:szCs w:val="21"/>
                <w:lang w:bidi="zh-CN"/>
              </w:rPr>
            </w:pPr>
          </w:p>
          <w:p w14:paraId="7EBE7F5B" w14:textId="77777777" w:rsidR="00466685" w:rsidRPr="00466685" w:rsidRDefault="00466685" w:rsidP="00466685">
            <w:pPr>
              <w:pStyle w:val="13"/>
              <w:ind w:firstLineChars="0" w:firstLine="0"/>
              <w:jc w:val="center"/>
              <w:rPr>
                <w:sz w:val="21"/>
                <w:szCs w:val="21"/>
                <w:lang w:bidi="zh-CN"/>
              </w:rPr>
            </w:pPr>
            <w:r w:rsidRPr="00466685">
              <w:rPr>
                <w:sz w:val="21"/>
                <w:szCs w:val="21"/>
                <w:lang w:bidi="zh-CN"/>
              </w:rPr>
              <w:t>上级单位盖章</w:t>
            </w:r>
          </w:p>
          <w:p w14:paraId="6D28D2C6" w14:textId="77777777" w:rsidR="00466685" w:rsidRPr="00466685" w:rsidRDefault="00466685" w:rsidP="00466685">
            <w:pPr>
              <w:pStyle w:val="13"/>
              <w:ind w:firstLineChars="0" w:firstLine="0"/>
              <w:rPr>
                <w:sz w:val="21"/>
                <w:szCs w:val="21"/>
                <w:lang w:bidi="zh-CN"/>
              </w:rPr>
            </w:pPr>
          </w:p>
          <w:p w14:paraId="522AD490" w14:textId="77777777" w:rsidR="00466685" w:rsidRPr="00466685" w:rsidRDefault="00466685" w:rsidP="00466685">
            <w:pPr>
              <w:pStyle w:val="13"/>
              <w:ind w:firstLineChars="0" w:firstLine="0"/>
              <w:rPr>
                <w:sz w:val="21"/>
                <w:szCs w:val="21"/>
                <w:lang w:bidi="zh-CN"/>
              </w:rPr>
            </w:pPr>
          </w:p>
          <w:p w14:paraId="50298209" w14:textId="77777777" w:rsidR="00466685" w:rsidRPr="00466685" w:rsidRDefault="00466685" w:rsidP="00466685">
            <w:pPr>
              <w:pStyle w:val="13"/>
              <w:ind w:firstLineChars="0" w:firstLine="0"/>
              <w:rPr>
                <w:sz w:val="21"/>
                <w:szCs w:val="21"/>
                <w:lang w:bidi="zh-CN"/>
              </w:rPr>
            </w:pPr>
            <w:r w:rsidRPr="00466685">
              <w:rPr>
                <w:sz w:val="21"/>
                <w:szCs w:val="21"/>
                <w:lang w:bidi="zh-CN"/>
              </w:rPr>
              <w:t>单位领导签字：</w:t>
            </w:r>
          </w:p>
          <w:p w14:paraId="636E786C" w14:textId="77777777" w:rsidR="00466685" w:rsidRPr="00466685" w:rsidRDefault="00466685" w:rsidP="00466685">
            <w:pPr>
              <w:pStyle w:val="13"/>
              <w:ind w:firstLineChars="0" w:firstLine="0"/>
              <w:rPr>
                <w:sz w:val="21"/>
                <w:szCs w:val="21"/>
                <w:lang w:bidi="zh-CN"/>
              </w:rPr>
            </w:pPr>
          </w:p>
          <w:p w14:paraId="200EA951" w14:textId="0C6B6B42" w:rsidR="00466685" w:rsidRPr="00466685" w:rsidRDefault="00466685" w:rsidP="00466685">
            <w:pPr>
              <w:pStyle w:val="13"/>
              <w:ind w:firstLineChars="0" w:firstLine="0"/>
              <w:rPr>
                <w:sz w:val="21"/>
                <w:szCs w:val="21"/>
                <w:lang w:bidi="zh-CN"/>
              </w:rPr>
            </w:pPr>
            <w:r w:rsidRPr="00466685">
              <w:rPr>
                <w:sz w:val="21"/>
                <w:szCs w:val="21"/>
                <w:lang w:bidi="zh-CN"/>
              </w:rPr>
              <w:t xml:space="preserve">年 </w:t>
            </w:r>
            <w:r w:rsidR="003068F8">
              <w:rPr>
                <w:sz w:val="21"/>
                <w:szCs w:val="21"/>
                <w:lang w:bidi="zh-CN"/>
              </w:rPr>
              <w:t>月日</w:t>
            </w:r>
          </w:p>
        </w:tc>
        <w:tc>
          <w:tcPr>
            <w:tcW w:w="1526" w:type="pct"/>
            <w:gridSpan w:val="5"/>
            <w:vAlign w:val="bottom"/>
          </w:tcPr>
          <w:p w14:paraId="6D825959" w14:textId="77777777" w:rsidR="00466685" w:rsidRPr="00466685" w:rsidRDefault="00466685" w:rsidP="00466685">
            <w:pPr>
              <w:pStyle w:val="13"/>
              <w:ind w:firstLineChars="0" w:firstLine="0"/>
              <w:jc w:val="right"/>
              <w:rPr>
                <w:sz w:val="21"/>
                <w:szCs w:val="21"/>
                <w:lang w:bidi="zh-CN"/>
              </w:rPr>
            </w:pPr>
          </w:p>
          <w:p w14:paraId="3CAA8BC4" w14:textId="77777777" w:rsidR="00466685" w:rsidRPr="00466685" w:rsidRDefault="00466685" w:rsidP="00466685">
            <w:pPr>
              <w:pStyle w:val="13"/>
              <w:ind w:firstLineChars="0" w:firstLine="0"/>
              <w:jc w:val="right"/>
              <w:rPr>
                <w:sz w:val="21"/>
                <w:szCs w:val="21"/>
                <w:lang w:bidi="zh-CN"/>
              </w:rPr>
            </w:pPr>
          </w:p>
          <w:p w14:paraId="75C0AF59" w14:textId="77777777" w:rsidR="00466685" w:rsidRPr="00466685" w:rsidRDefault="00466685" w:rsidP="00466685">
            <w:pPr>
              <w:pStyle w:val="13"/>
              <w:ind w:firstLineChars="0" w:firstLine="0"/>
              <w:jc w:val="right"/>
              <w:rPr>
                <w:sz w:val="21"/>
                <w:szCs w:val="21"/>
                <w:lang w:bidi="zh-CN"/>
              </w:rPr>
            </w:pPr>
          </w:p>
          <w:p w14:paraId="7C13DEAB" w14:textId="77777777" w:rsidR="00466685" w:rsidRPr="00466685" w:rsidRDefault="00466685" w:rsidP="00466685">
            <w:pPr>
              <w:pStyle w:val="13"/>
              <w:ind w:firstLineChars="0" w:firstLine="0"/>
              <w:jc w:val="right"/>
              <w:rPr>
                <w:sz w:val="21"/>
                <w:szCs w:val="21"/>
                <w:lang w:bidi="zh-CN"/>
              </w:rPr>
            </w:pPr>
          </w:p>
          <w:p w14:paraId="21523158" w14:textId="77777777" w:rsidR="00466685" w:rsidRPr="00466685" w:rsidRDefault="00466685" w:rsidP="00466685">
            <w:pPr>
              <w:pStyle w:val="13"/>
              <w:ind w:firstLineChars="0" w:firstLine="0"/>
              <w:jc w:val="right"/>
              <w:rPr>
                <w:sz w:val="21"/>
                <w:szCs w:val="21"/>
                <w:lang w:bidi="zh-CN"/>
              </w:rPr>
            </w:pPr>
          </w:p>
          <w:p w14:paraId="693BD41C" w14:textId="77777777" w:rsidR="00466685" w:rsidRPr="00466685" w:rsidRDefault="00466685" w:rsidP="00466685">
            <w:pPr>
              <w:pStyle w:val="13"/>
              <w:ind w:firstLineChars="0" w:firstLine="0"/>
              <w:jc w:val="right"/>
              <w:rPr>
                <w:sz w:val="21"/>
                <w:szCs w:val="21"/>
                <w:lang w:bidi="zh-CN"/>
              </w:rPr>
            </w:pPr>
          </w:p>
          <w:p w14:paraId="37451987" w14:textId="77777777" w:rsidR="00466685" w:rsidRPr="00466685" w:rsidRDefault="00466685" w:rsidP="00466685">
            <w:pPr>
              <w:pStyle w:val="13"/>
              <w:ind w:firstLineChars="0" w:firstLine="0"/>
              <w:jc w:val="right"/>
              <w:rPr>
                <w:sz w:val="21"/>
                <w:szCs w:val="21"/>
                <w:lang w:bidi="zh-CN"/>
              </w:rPr>
            </w:pPr>
          </w:p>
          <w:p w14:paraId="70F12456" w14:textId="77777777" w:rsidR="00466685" w:rsidRPr="00466685" w:rsidRDefault="00466685" w:rsidP="00466685">
            <w:pPr>
              <w:pStyle w:val="13"/>
              <w:ind w:firstLineChars="0" w:firstLine="0"/>
              <w:jc w:val="right"/>
              <w:rPr>
                <w:sz w:val="21"/>
                <w:szCs w:val="21"/>
                <w:lang w:bidi="zh-CN"/>
              </w:rPr>
            </w:pPr>
          </w:p>
          <w:p w14:paraId="6E0BDE57" w14:textId="77777777" w:rsidR="00466685" w:rsidRPr="00466685" w:rsidRDefault="00466685" w:rsidP="00466685">
            <w:pPr>
              <w:pStyle w:val="13"/>
              <w:ind w:firstLineChars="0" w:firstLine="0"/>
              <w:jc w:val="right"/>
              <w:rPr>
                <w:sz w:val="21"/>
                <w:szCs w:val="21"/>
                <w:lang w:bidi="zh-CN"/>
              </w:rPr>
            </w:pPr>
            <w:r w:rsidRPr="00466685">
              <w:rPr>
                <w:sz w:val="21"/>
                <w:szCs w:val="21"/>
                <w:lang w:bidi="zh-CN"/>
              </w:rPr>
              <w:t>备案单位盖章</w:t>
            </w:r>
          </w:p>
          <w:p w14:paraId="585DAD69" w14:textId="77777777" w:rsidR="00466685" w:rsidRPr="00466685" w:rsidRDefault="00466685" w:rsidP="00466685">
            <w:pPr>
              <w:pStyle w:val="13"/>
              <w:ind w:firstLineChars="0" w:firstLine="0"/>
              <w:jc w:val="right"/>
              <w:rPr>
                <w:sz w:val="21"/>
                <w:szCs w:val="21"/>
                <w:lang w:bidi="zh-CN"/>
              </w:rPr>
            </w:pPr>
          </w:p>
          <w:p w14:paraId="1CD26E16" w14:textId="2FB15636" w:rsidR="00466685" w:rsidRPr="00466685" w:rsidRDefault="00466685" w:rsidP="00466685">
            <w:pPr>
              <w:pStyle w:val="13"/>
              <w:ind w:firstLineChars="0" w:firstLine="0"/>
              <w:jc w:val="right"/>
              <w:rPr>
                <w:sz w:val="21"/>
                <w:szCs w:val="21"/>
                <w:lang w:bidi="zh-CN"/>
              </w:rPr>
            </w:pPr>
            <w:r w:rsidRPr="00466685">
              <w:rPr>
                <w:sz w:val="21"/>
                <w:szCs w:val="21"/>
                <w:lang w:bidi="zh-CN"/>
              </w:rPr>
              <w:t xml:space="preserve">年 </w:t>
            </w:r>
            <w:r w:rsidR="003068F8">
              <w:rPr>
                <w:sz w:val="21"/>
                <w:szCs w:val="21"/>
                <w:lang w:bidi="zh-CN"/>
              </w:rPr>
              <w:t>月日</w:t>
            </w:r>
          </w:p>
        </w:tc>
      </w:tr>
    </w:tbl>
    <w:p w14:paraId="5F747182" w14:textId="77777777" w:rsidR="00FA0363" w:rsidRDefault="00FA0363" w:rsidP="00466685">
      <w:pPr>
        <w:pStyle w:val="13"/>
        <w:ind w:firstLineChars="0" w:firstLine="0"/>
      </w:pPr>
      <w:r>
        <w:br w:type="page"/>
      </w:r>
    </w:p>
    <w:p w14:paraId="11337F97" w14:textId="77777777" w:rsidR="00FA0363" w:rsidRDefault="00FA0363" w:rsidP="00AF7342">
      <w:pPr>
        <w:pStyle w:val="a9"/>
        <w:spacing w:before="62" w:after="62"/>
      </w:pPr>
      <w:r>
        <w:rPr>
          <w:rFonts w:hint="eastAsia"/>
        </w:rPr>
        <w:lastRenderedPageBreak/>
        <w:t>资产评估结果</w:t>
      </w:r>
    </w:p>
    <w:p w14:paraId="7FB284E4" w14:textId="142984FA" w:rsidR="00FA0363" w:rsidRDefault="00FA0363" w:rsidP="00FA0363">
      <w:pPr>
        <w:pStyle w:val="13"/>
      </w:pPr>
      <w:r>
        <w:rPr>
          <w:rFonts w:hint="eastAsia"/>
        </w:rPr>
        <w:t>评</w:t>
      </w:r>
      <w:r>
        <w:t>估基准日：</w:t>
      </w:r>
      <w:r>
        <w:rPr>
          <w:rFonts w:hint="eastAsia"/>
        </w:rPr>
        <w:t xml:space="preserve"> </w:t>
      </w:r>
      <w:r>
        <w:t xml:space="preserve">  </w:t>
      </w:r>
      <w:r w:rsidR="003068F8">
        <w:t>年月日</w:t>
      </w:r>
    </w:p>
    <w:p w14:paraId="7EA11224" w14:textId="4F8BB504" w:rsidR="00FA0363" w:rsidRDefault="00FA0363" w:rsidP="00FA0363">
      <w:pPr>
        <w:pStyle w:val="13"/>
        <w:ind w:firstLineChars="0"/>
      </w:pPr>
      <w:r>
        <w:rPr>
          <w:rFonts w:hint="eastAsia"/>
        </w:rPr>
        <w:t>评估结果使用有效期至：</w:t>
      </w:r>
      <w:r>
        <w:t>年月日</w:t>
      </w:r>
      <w:r w:rsidR="00466685">
        <w:rPr>
          <w:rFonts w:hint="eastAsia"/>
        </w:rPr>
        <w:t xml:space="preserve"> </w:t>
      </w:r>
      <w:r w:rsidR="00466685">
        <w:t xml:space="preserve">              </w:t>
      </w:r>
      <w:r>
        <w:t>金额单位：人民币万元</w:t>
      </w:r>
    </w:p>
    <w:tbl>
      <w:tblPr>
        <w:tblW w:w="884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89"/>
        <w:gridCol w:w="1513"/>
        <w:gridCol w:w="1672"/>
        <w:gridCol w:w="1512"/>
        <w:gridCol w:w="1462"/>
      </w:tblGrid>
      <w:tr w:rsidR="00466685" w:rsidRPr="00466685" w14:paraId="508D3A72" w14:textId="77777777" w:rsidTr="00466685">
        <w:trPr>
          <w:trHeight w:val="403"/>
          <w:jc w:val="center"/>
        </w:trPr>
        <w:tc>
          <w:tcPr>
            <w:tcW w:w="2689" w:type="dxa"/>
            <w:vAlign w:val="center"/>
          </w:tcPr>
          <w:p w14:paraId="0E010468" w14:textId="77777777" w:rsidR="00466685" w:rsidRPr="00466685" w:rsidRDefault="00466685" w:rsidP="00466685">
            <w:pPr>
              <w:pStyle w:val="13"/>
              <w:ind w:firstLineChars="0" w:firstLine="0"/>
              <w:rPr>
                <w:sz w:val="21"/>
                <w:szCs w:val="21"/>
                <w:lang w:bidi="zh-CN"/>
              </w:rPr>
            </w:pPr>
            <w:r w:rsidRPr="00466685">
              <w:rPr>
                <w:sz w:val="21"/>
                <w:szCs w:val="21"/>
                <w:lang w:bidi="zh-CN"/>
              </w:rPr>
              <w:t>项  目</w:t>
            </w:r>
          </w:p>
        </w:tc>
        <w:tc>
          <w:tcPr>
            <w:tcW w:w="1513" w:type="dxa"/>
            <w:vAlign w:val="center"/>
          </w:tcPr>
          <w:p w14:paraId="5812B277" w14:textId="77777777" w:rsidR="00466685" w:rsidRPr="00466685" w:rsidRDefault="00466685" w:rsidP="00466685">
            <w:pPr>
              <w:pStyle w:val="13"/>
              <w:ind w:firstLineChars="0" w:firstLine="0"/>
              <w:rPr>
                <w:sz w:val="21"/>
                <w:szCs w:val="21"/>
                <w:lang w:bidi="zh-CN"/>
              </w:rPr>
            </w:pPr>
            <w:r w:rsidRPr="00466685">
              <w:rPr>
                <w:sz w:val="21"/>
                <w:szCs w:val="21"/>
                <w:lang w:bidi="zh-CN"/>
              </w:rPr>
              <w:t>账面价值</w:t>
            </w:r>
          </w:p>
        </w:tc>
        <w:tc>
          <w:tcPr>
            <w:tcW w:w="1672" w:type="dxa"/>
            <w:vAlign w:val="center"/>
          </w:tcPr>
          <w:p w14:paraId="60557145" w14:textId="77777777" w:rsidR="00466685" w:rsidRPr="00466685" w:rsidRDefault="00466685" w:rsidP="00466685">
            <w:pPr>
              <w:pStyle w:val="13"/>
              <w:ind w:firstLineChars="0" w:firstLine="0"/>
              <w:rPr>
                <w:sz w:val="21"/>
                <w:szCs w:val="21"/>
                <w:lang w:bidi="zh-CN"/>
              </w:rPr>
            </w:pPr>
            <w:r w:rsidRPr="00466685">
              <w:rPr>
                <w:sz w:val="21"/>
                <w:szCs w:val="21"/>
                <w:lang w:bidi="zh-CN"/>
              </w:rPr>
              <w:t>评估价值</w:t>
            </w:r>
          </w:p>
        </w:tc>
        <w:tc>
          <w:tcPr>
            <w:tcW w:w="1512" w:type="dxa"/>
            <w:vAlign w:val="center"/>
          </w:tcPr>
          <w:p w14:paraId="48E74F70" w14:textId="77777777" w:rsidR="00466685" w:rsidRPr="00466685" w:rsidRDefault="00466685" w:rsidP="00466685">
            <w:pPr>
              <w:pStyle w:val="13"/>
              <w:ind w:firstLineChars="0" w:firstLine="0"/>
              <w:rPr>
                <w:sz w:val="21"/>
                <w:szCs w:val="21"/>
                <w:lang w:bidi="zh-CN"/>
              </w:rPr>
            </w:pPr>
            <w:r w:rsidRPr="00466685">
              <w:rPr>
                <w:sz w:val="21"/>
                <w:szCs w:val="21"/>
                <w:lang w:bidi="zh-CN"/>
              </w:rPr>
              <w:t>增减值</w:t>
            </w:r>
          </w:p>
        </w:tc>
        <w:tc>
          <w:tcPr>
            <w:tcW w:w="1462" w:type="dxa"/>
            <w:vAlign w:val="center"/>
          </w:tcPr>
          <w:p w14:paraId="6CDF60B0" w14:textId="77777777" w:rsidR="00466685" w:rsidRPr="00466685" w:rsidRDefault="00466685" w:rsidP="00466685">
            <w:pPr>
              <w:pStyle w:val="13"/>
              <w:ind w:firstLineChars="0" w:firstLine="0"/>
              <w:rPr>
                <w:sz w:val="21"/>
                <w:szCs w:val="21"/>
                <w:lang w:bidi="zh-CN"/>
              </w:rPr>
            </w:pPr>
            <w:r w:rsidRPr="00466685">
              <w:rPr>
                <w:sz w:val="21"/>
                <w:szCs w:val="21"/>
                <w:lang w:bidi="zh-CN"/>
              </w:rPr>
              <w:t>增减率</w:t>
            </w:r>
          </w:p>
        </w:tc>
      </w:tr>
      <w:tr w:rsidR="00466685" w:rsidRPr="00466685" w14:paraId="0EACC2EF" w14:textId="77777777" w:rsidTr="00466685">
        <w:trPr>
          <w:trHeight w:val="403"/>
          <w:jc w:val="center"/>
        </w:trPr>
        <w:tc>
          <w:tcPr>
            <w:tcW w:w="2689" w:type="dxa"/>
            <w:vAlign w:val="center"/>
          </w:tcPr>
          <w:p w14:paraId="550800A7" w14:textId="77777777" w:rsidR="00466685" w:rsidRPr="00466685" w:rsidRDefault="00466685" w:rsidP="00466685">
            <w:pPr>
              <w:pStyle w:val="13"/>
              <w:ind w:firstLineChars="0" w:firstLine="0"/>
              <w:rPr>
                <w:sz w:val="21"/>
                <w:szCs w:val="21"/>
                <w:lang w:bidi="zh-CN"/>
              </w:rPr>
            </w:pPr>
            <w:r w:rsidRPr="00466685">
              <w:rPr>
                <w:sz w:val="21"/>
                <w:szCs w:val="21"/>
                <w:lang w:bidi="zh-CN"/>
              </w:rPr>
              <w:t>流动资产</w:t>
            </w:r>
          </w:p>
        </w:tc>
        <w:tc>
          <w:tcPr>
            <w:tcW w:w="1513" w:type="dxa"/>
            <w:vAlign w:val="center"/>
          </w:tcPr>
          <w:p w14:paraId="2F0DED52" w14:textId="77777777" w:rsidR="00466685" w:rsidRPr="00466685" w:rsidRDefault="00466685" w:rsidP="00466685">
            <w:pPr>
              <w:pStyle w:val="13"/>
              <w:ind w:firstLineChars="0" w:firstLine="0"/>
              <w:rPr>
                <w:sz w:val="21"/>
                <w:szCs w:val="21"/>
                <w:lang w:bidi="zh-CN"/>
              </w:rPr>
            </w:pPr>
          </w:p>
        </w:tc>
        <w:tc>
          <w:tcPr>
            <w:tcW w:w="1672" w:type="dxa"/>
            <w:vAlign w:val="center"/>
          </w:tcPr>
          <w:p w14:paraId="445636C9" w14:textId="77777777" w:rsidR="00466685" w:rsidRPr="00466685" w:rsidRDefault="00466685" w:rsidP="00466685">
            <w:pPr>
              <w:pStyle w:val="13"/>
              <w:ind w:firstLineChars="0" w:firstLine="0"/>
              <w:rPr>
                <w:sz w:val="21"/>
                <w:szCs w:val="21"/>
                <w:lang w:bidi="zh-CN"/>
              </w:rPr>
            </w:pPr>
          </w:p>
        </w:tc>
        <w:tc>
          <w:tcPr>
            <w:tcW w:w="1512" w:type="dxa"/>
            <w:vAlign w:val="center"/>
          </w:tcPr>
          <w:p w14:paraId="3A808840" w14:textId="77777777" w:rsidR="00466685" w:rsidRPr="00466685" w:rsidRDefault="00466685" w:rsidP="00466685">
            <w:pPr>
              <w:pStyle w:val="13"/>
              <w:ind w:firstLineChars="0" w:firstLine="0"/>
              <w:rPr>
                <w:sz w:val="21"/>
                <w:szCs w:val="21"/>
                <w:lang w:bidi="zh-CN"/>
              </w:rPr>
            </w:pPr>
          </w:p>
        </w:tc>
        <w:tc>
          <w:tcPr>
            <w:tcW w:w="1462" w:type="dxa"/>
            <w:vAlign w:val="center"/>
          </w:tcPr>
          <w:p w14:paraId="6FF7C0CF" w14:textId="77777777" w:rsidR="00466685" w:rsidRPr="00466685" w:rsidRDefault="00466685" w:rsidP="00466685">
            <w:pPr>
              <w:pStyle w:val="13"/>
              <w:ind w:firstLineChars="0" w:firstLine="0"/>
              <w:rPr>
                <w:sz w:val="21"/>
                <w:szCs w:val="21"/>
                <w:lang w:bidi="zh-CN"/>
              </w:rPr>
            </w:pPr>
            <w:r w:rsidRPr="00466685">
              <w:rPr>
                <w:sz w:val="21"/>
                <w:szCs w:val="21"/>
                <w:lang w:bidi="zh-CN"/>
              </w:rPr>
              <w:t>（%）</w:t>
            </w:r>
          </w:p>
        </w:tc>
      </w:tr>
      <w:tr w:rsidR="00466685" w:rsidRPr="00466685" w14:paraId="3EFF29E9" w14:textId="77777777" w:rsidTr="00466685">
        <w:trPr>
          <w:trHeight w:val="401"/>
          <w:jc w:val="center"/>
        </w:trPr>
        <w:tc>
          <w:tcPr>
            <w:tcW w:w="2689" w:type="dxa"/>
            <w:vAlign w:val="center"/>
          </w:tcPr>
          <w:p w14:paraId="14BEF683" w14:textId="77777777" w:rsidR="00466685" w:rsidRPr="00466685" w:rsidRDefault="00466685" w:rsidP="00466685">
            <w:pPr>
              <w:pStyle w:val="13"/>
              <w:ind w:firstLineChars="0" w:firstLine="0"/>
              <w:rPr>
                <w:sz w:val="21"/>
                <w:szCs w:val="21"/>
                <w:lang w:bidi="zh-CN"/>
              </w:rPr>
            </w:pPr>
            <w:r w:rsidRPr="00466685">
              <w:rPr>
                <w:sz w:val="21"/>
                <w:szCs w:val="21"/>
                <w:lang w:bidi="zh-CN"/>
              </w:rPr>
              <w:t>非流动资产</w:t>
            </w:r>
          </w:p>
        </w:tc>
        <w:tc>
          <w:tcPr>
            <w:tcW w:w="1513" w:type="dxa"/>
            <w:vAlign w:val="center"/>
          </w:tcPr>
          <w:p w14:paraId="7D03AF17" w14:textId="77777777" w:rsidR="00466685" w:rsidRPr="00466685" w:rsidRDefault="00466685" w:rsidP="00466685">
            <w:pPr>
              <w:pStyle w:val="13"/>
              <w:ind w:firstLineChars="0" w:firstLine="0"/>
              <w:rPr>
                <w:sz w:val="21"/>
                <w:szCs w:val="21"/>
                <w:lang w:bidi="zh-CN"/>
              </w:rPr>
            </w:pPr>
          </w:p>
        </w:tc>
        <w:tc>
          <w:tcPr>
            <w:tcW w:w="1672" w:type="dxa"/>
            <w:vAlign w:val="center"/>
          </w:tcPr>
          <w:p w14:paraId="11610BB4" w14:textId="77777777" w:rsidR="00466685" w:rsidRPr="00466685" w:rsidRDefault="00466685" w:rsidP="00466685">
            <w:pPr>
              <w:pStyle w:val="13"/>
              <w:ind w:firstLineChars="0" w:firstLine="0"/>
              <w:rPr>
                <w:sz w:val="21"/>
                <w:szCs w:val="21"/>
                <w:lang w:bidi="zh-CN"/>
              </w:rPr>
            </w:pPr>
          </w:p>
        </w:tc>
        <w:tc>
          <w:tcPr>
            <w:tcW w:w="1512" w:type="dxa"/>
            <w:vAlign w:val="center"/>
          </w:tcPr>
          <w:p w14:paraId="530AC617" w14:textId="77777777" w:rsidR="00466685" w:rsidRPr="00466685" w:rsidRDefault="00466685" w:rsidP="00466685">
            <w:pPr>
              <w:pStyle w:val="13"/>
              <w:ind w:firstLineChars="0" w:firstLine="0"/>
              <w:rPr>
                <w:sz w:val="21"/>
                <w:szCs w:val="21"/>
                <w:lang w:bidi="zh-CN"/>
              </w:rPr>
            </w:pPr>
          </w:p>
        </w:tc>
        <w:tc>
          <w:tcPr>
            <w:tcW w:w="1462" w:type="dxa"/>
            <w:vAlign w:val="center"/>
          </w:tcPr>
          <w:p w14:paraId="5F5E480E" w14:textId="77777777" w:rsidR="00466685" w:rsidRPr="00466685" w:rsidRDefault="00466685" w:rsidP="00466685">
            <w:pPr>
              <w:pStyle w:val="13"/>
              <w:ind w:firstLineChars="0" w:firstLine="0"/>
              <w:rPr>
                <w:sz w:val="21"/>
                <w:szCs w:val="21"/>
                <w:lang w:bidi="zh-CN"/>
              </w:rPr>
            </w:pPr>
          </w:p>
        </w:tc>
      </w:tr>
      <w:tr w:rsidR="00466685" w:rsidRPr="00466685" w14:paraId="1D66D0A8" w14:textId="77777777" w:rsidTr="00466685">
        <w:trPr>
          <w:trHeight w:val="403"/>
          <w:jc w:val="center"/>
        </w:trPr>
        <w:tc>
          <w:tcPr>
            <w:tcW w:w="2689" w:type="dxa"/>
            <w:vAlign w:val="center"/>
          </w:tcPr>
          <w:p w14:paraId="5DF7ADE7" w14:textId="77777777" w:rsidR="00466685" w:rsidRPr="00466685" w:rsidRDefault="00466685" w:rsidP="00466685">
            <w:pPr>
              <w:pStyle w:val="13"/>
              <w:ind w:firstLineChars="0" w:firstLine="0"/>
              <w:rPr>
                <w:sz w:val="21"/>
                <w:szCs w:val="21"/>
                <w:lang w:bidi="zh-CN"/>
              </w:rPr>
            </w:pPr>
            <w:r w:rsidRPr="00466685">
              <w:rPr>
                <w:sz w:val="21"/>
                <w:szCs w:val="21"/>
                <w:lang w:bidi="zh-CN"/>
              </w:rPr>
              <w:t>其中：长期股权投资</w:t>
            </w:r>
          </w:p>
        </w:tc>
        <w:tc>
          <w:tcPr>
            <w:tcW w:w="1513" w:type="dxa"/>
            <w:vAlign w:val="center"/>
          </w:tcPr>
          <w:p w14:paraId="01D76418" w14:textId="77777777" w:rsidR="00466685" w:rsidRPr="00466685" w:rsidRDefault="00466685" w:rsidP="00466685">
            <w:pPr>
              <w:pStyle w:val="13"/>
              <w:ind w:firstLineChars="0" w:firstLine="0"/>
              <w:rPr>
                <w:sz w:val="21"/>
                <w:szCs w:val="21"/>
                <w:lang w:bidi="zh-CN"/>
              </w:rPr>
            </w:pPr>
          </w:p>
        </w:tc>
        <w:tc>
          <w:tcPr>
            <w:tcW w:w="1672" w:type="dxa"/>
            <w:vAlign w:val="center"/>
          </w:tcPr>
          <w:p w14:paraId="3F2792C8" w14:textId="77777777" w:rsidR="00466685" w:rsidRPr="00466685" w:rsidRDefault="00466685" w:rsidP="00466685">
            <w:pPr>
              <w:pStyle w:val="13"/>
              <w:ind w:firstLineChars="0" w:firstLine="0"/>
              <w:rPr>
                <w:sz w:val="21"/>
                <w:szCs w:val="21"/>
                <w:lang w:bidi="zh-CN"/>
              </w:rPr>
            </w:pPr>
          </w:p>
        </w:tc>
        <w:tc>
          <w:tcPr>
            <w:tcW w:w="1512" w:type="dxa"/>
            <w:vAlign w:val="center"/>
          </w:tcPr>
          <w:p w14:paraId="6C36E6FC" w14:textId="77777777" w:rsidR="00466685" w:rsidRPr="00466685" w:rsidRDefault="00466685" w:rsidP="00466685">
            <w:pPr>
              <w:pStyle w:val="13"/>
              <w:ind w:firstLineChars="0" w:firstLine="0"/>
              <w:rPr>
                <w:sz w:val="21"/>
                <w:szCs w:val="21"/>
                <w:lang w:bidi="zh-CN"/>
              </w:rPr>
            </w:pPr>
          </w:p>
        </w:tc>
        <w:tc>
          <w:tcPr>
            <w:tcW w:w="1462" w:type="dxa"/>
            <w:vAlign w:val="center"/>
          </w:tcPr>
          <w:p w14:paraId="11484AB6" w14:textId="77777777" w:rsidR="00466685" w:rsidRPr="00466685" w:rsidRDefault="00466685" w:rsidP="00466685">
            <w:pPr>
              <w:pStyle w:val="13"/>
              <w:ind w:firstLineChars="0" w:firstLine="0"/>
              <w:rPr>
                <w:sz w:val="21"/>
                <w:szCs w:val="21"/>
                <w:lang w:bidi="zh-CN"/>
              </w:rPr>
            </w:pPr>
          </w:p>
        </w:tc>
      </w:tr>
      <w:tr w:rsidR="00466685" w:rsidRPr="00466685" w14:paraId="216C6F01" w14:textId="77777777" w:rsidTr="00466685">
        <w:trPr>
          <w:trHeight w:val="403"/>
          <w:jc w:val="center"/>
        </w:trPr>
        <w:tc>
          <w:tcPr>
            <w:tcW w:w="2689" w:type="dxa"/>
            <w:vAlign w:val="center"/>
          </w:tcPr>
          <w:p w14:paraId="0C5F7AC7" w14:textId="77777777" w:rsidR="00466685" w:rsidRPr="00466685" w:rsidRDefault="00466685" w:rsidP="00466685">
            <w:pPr>
              <w:pStyle w:val="13"/>
              <w:ind w:firstLineChars="300" w:firstLine="630"/>
              <w:rPr>
                <w:sz w:val="21"/>
                <w:szCs w:val="21"/>
                <w:lang w:bidi="zh-CN"/>
              </w:rPr>
            </w:pPr>
            <w:r w:rsidRPr="00466685">
              <w:rPr>
                <w:sz w:val="21"/>
                <w:szCs w:val="21"/>
                <w:lang w:bidi="zh-CN"/>
              </w:rPr>
              <w:t>投资性房地产</w:t>
            </w:r>
          </w:p>
        </w:tc>
        <w:tc>
          <w:tcPr>
            <w:tcW w:w="1513" w:type="dxa"/>
            <w:vAlign w:val="center"/>
          </w:tcPr>
          <w:p w14:paraId="45F5CB2E" w14:textId="77777777" w:rsidR="00466685" w:rsidRPr="00466685" w:rsidRDefault="00466685" w:rsidP="00466685">
            <w:pPr>
              <w:pStyle w:val="13"/>
              <w:ind w:firstLineChars="0" w:firstLine="0"/>
              <w:rPr>
                <w:sz w:val="21"/>
                <w:szCs w:val="21"/>
                <w:lang w:bidi="zh-CN"/>
              </w:rPr>
            </w:pPr>
          </w:p>
        </w:tc>
        <w:tc>
          <w:tcPr>
            <w:tcW w:w="1672" w:type="dxa"/>
            <w:vAlign w:val="center"/>
          </w:tcPr>
          <w:p w14:paraId="018087F8" w14:textId="77777777" w:rsidR="00466685" w:rsidRPr="00466685" w:rsidRDefault="00466685" w:rsidP="00466685">
            <w:pPr>
              <w:pStyle w:val="13"/>
              <w:ind w:firstLineChars="0" w:firstLine="0"/>
              <w:rPr>
                <w:sz w:val="21"/>
                <w:szCs w:val="21"/>
                <w:lang w:bidi="zh-CN"/>
              </w:rPr>
            </w:pPr>
          </w:p>
        </w:tc>
        <w:tc>
          <w:tcPr>
            <w:tcW w:w="1512" w:type="dxa"/>
            <w:vAlign w:val="center"/>
          </w:tcPr>
          <w:p w14:paraId="3AECE9EB" w14:textId="77777777" w:rsidR="00466685" w:rsidRPr="00466685" w:rsidRDefault="00466685" w:rsidP="00466685">
            <w:pPr>
              <w:pStyle w:val="13"/>
              <w:ind w:firstLineChars="0" w:firstLine="0"/>
              <w:rPr>
                <w:sz w:val="21"/>
                <w:szCs w:val="21"/>
                <w:lang w:bidi="zh-CN"/>
              </w:rPr>
            </w:pPr>
          </w:p>
        </w:tc>
        <w:tc>
          <w:tcPr>
            <w:tcW w:w="1462" w:type="dxa"/>
            <w:vAlign w:val="center"/>
          </w:tcPr>
          <w:p w14:paraId="2DD6B863" w14:textId="77777777" w:rsidR="00466685" w:rsidRPr="00466685" w:rsidRDefault="00466685" w:rsidP="00466685">
            <w:pPr>
              <w:pStyle w:val="13"/>
              <w:ind w:firstLineChars="0" w:firstLine="0"/>
              <w:rPr>
                <w:sz w:val="21"/>
                <w:szCs w:val="21"/>
                <w:lang w:bidi="zh-CN"/>
              </w:rPr>
            </w:pPr>
          </w:p>
        </w:tc>
      </w:tr>
      <w:tr w:rsidR="00466685" w:rsidRPr="00466685" w14:paraId="1E3BA221" w14:textId="77777777" w:rsidTr="00466685">
        <w:trPr>
          <w:trHeight w:val="401"/>
          <w:jc w:val="center"/>
        </w:trPr>
        <w:tc>
          <w:tcPr>
            <w:tcW w:w="2689" w:type="dxa"/>
            <w:vAlign w:val="center"/>
          </w:tcPr>
          <w:p w14:paraId="57EB4650" w14:textId="77777777" w:rsidR="00466685" w:rsidRPr="00466685" w:rsidRDefault="00466685" w:rsidP="00466685">
            <w:pPr>
              <w:pStyle w:val="13"/>
              <w:ind w:firstLineChars="300" w:firstLine="630"/>
              <w:rPr>
                <w:sz w:val="21"/>
                <w:szCs w:val="21"/>
                <w:lang w:bidi="zh-CN"/>
              </w:rPr>
            </w:pPr>
            <w:r w:rsidRPr="00466685">
              <w:rPr>
                <w:sz w:val="21"/>
                <w:szCs w:val="21"/>
                <w:lang w:bidi="zh-CN"/>
              </w:rPr>
              <w:t>固定资产</w:t>
            </w:r>
          </w:p>
        </w:tc>
        <w:tc>
          <w:tcPr>
            <w:tcW w:w="1513" w:type="dxa"/>
            <w:vAlign w:val="center"/>
          </w:tcPr>
          <w:p w14:paraId="77F559CE" w14:textId="77777777" w:rsidR="00466685" w:rsidRPr="00466685" w:rsidRDefault="00466685" w:rsidP="00466685">
            <w:pPr>
              <w:pStyle w:val="13"/>
              <w:ind w:firstLineChars="0" w:firstLine="0"/>
              <w:rPr>
                <w:sz w:val="21"/>
                <w:szCs w:val="21"/>
                <w:lang w:bidi="zh-CN"/>
              </w:rPr>
            </w:pPr>
          </w:p>
        </w:tc>
        <w:tc>
          <w:tcPr>
            <w:tcW w:w="1672" w:type="dxa"/>
            <w:vAlign w:val="center"/>
          </w:tcPr>
          <w:p w14:paraId="1A831F83" w14:textId="77777777" w:rsidR="00466685" w:rsidRPr="00466685" w:rsidRDefault="00466685" w:rsidP="00466685">
            <w:pPr>
              <w:pStyle w:val="13"/>
              <w:ind w:firstLineChars="0" w:firstLine="0"/>
              <w:rPr>
                <w:sz w:val="21"/>
                <w:szCs w:val="21"/>
                <w:lang w:bidi="zh-CN"/>
              </w:rPr>
            </w:pPr>
          </w:p>
        </w:tc>
        <w:tc>
          <w:tcPr>
            <w:tcW w:w="1512" w:type="dxa"/>
            <w:vAlign w:val="center"/>
          </w:tcPr>
          <w:p w14:paraId="335C98D1" w14:textId="77777777" w:rsidR="00466685" w:rsidRPr="00466685" w:rsidRDefault="00466685" w:rsidP="00466685">
            <w:pPr>
              <w:pStyle w:val="13"/>
              <w:ind w:firstLineChars="0" w:firstLine="0"/>
              <w:rPr>
                <w:sz w:val="21"/>
                <w:szCs w:val="21"/>
                <w:lang w:bidi="zh-CN"/>
              </w:rPr>
            </w:pPr>
          </w:p>
        </w:tc>
        <w:tc>
          <w:tcPr>
            <w:tcW w:w="1462" w:type="dxa"/>
            <w:vAlign w:val="center"/>
          </w:tcPr>
          <w:p w14:paraId="025F548F" w14:textId="77777777" w:rsidR="00466685" w:rsidRPr="00466685" w:rsidRDefault="00466685" w:rsidP="00466685">
            <w:pPr>
              <w:pStyle w:val="13"/>
              <w:ind w:firstLineChars="0" w:firstLine="0"/>
              <w:rPr>
                <w:sz w:val="21"/>
                <w:szCs w:val="21"/>
                <w:lang w:bidi="zh-CN"/>
              </w:rPr>
            </w:pPr>
          </w:p>
        </w:tc>
      </w:tr>
      <w:tr w:rsidR="00466685" w:rsidRPr="00466685" w14:paraId="2F06BF1E" w14:textId="77777777" w:rsidTr="00466685">
        <w:trPr>
          <w:trHeight w:val="403"/>
          <w:jc w:val="center"/>
        </w:trPr>
        <w:tc>
          <w:tcPr>
            <w:tcW w:w="2689" w:type="dxa"/>
            <w:vAlign w:val="center"/>
          </w:tcPr>
          <w:p w14:paraId="70C79DF6" w14:textId="77777777" w:rsidR="00466685" w:rsidRPr="00466685" w:rsidRDefault="00466685" w:rsidP="00466685">
            <w:pPr>
              <w:pStyle w:val="13"/>
              <w:ind w:firstLineChars="300" w:firstLine="630"/>
              <w:rPr>
                <w:sz w:val="21"/>
                <w:szCs w:val="21"/>
                <w:lang w:bidi="zh-CN"/>
              </w:rPr>
            </w:pPr>
            <w:r w:rsidRPr="00466685">
              <w:rPr>
                <w:sz w:val="21"/>
                <w:szCs w:val="21"/>
                <w:lang w:bidi="zh-CN"/>
              </w:rPr>
              <w:t>在建工程</w:t>
            </w:r>
          </w:p>
        </w:tc>
        <w:tc>
          <w:tcPr>
            <w:tcW w:w="1513" w:type="dxa"/>
            <w:vAlign w:val="center"/>
          </w:tcPr>
          <w:p w14:paraId="3503CC45" w14:textId="77777777" w:rsidR="00466685" w:rsidRPr="00466685" w:rsidRDefault="00466685" w:rsidP="00466685">
            <w:pPr>
              <w:pStyle w:val="13"/>
              <w:ind w:firstLineChars="0" w:firstLine="0"/>
              <w:rPr>
                <w:sz w:val="21"/>
                <w:szCs w:val="21"/>
                <w:lang w:bidi="zh-CN"/>
              </w:rPr>
            </w:pPr>
          </w:p>
        </w:tc>
        <w:tc>
          <w:tcPr>
            <w:tcW w:w="1672" w:type="dxa"/>
            <w:vAlign w:val="center"/>
          </w:tcPr>
          <w:p w14:paraId="6DC04E1A" w14:textId="77777777" w:rsidR="00466685" w:rsidRPr="00466685" w:rsidRDefault="00466685" w:rsidP="00466685">
            <w:pPr>
              <w:pStyle w:val="13"/>
              <w:ind w:firstLineChars="0" w:firstLine="0"/>
              <w:rPr>
                <w:sz w:val="21"/>
                <w:szCs w:val="21"/>
                <w:lang w:bidi="zh-CN"/>
              </w:rPr>
            </w:pPr>
          </w:p>
        </w:tc>
        <w:tc>
          <w:tcPr>
            <w:tcW w:w="1512" w:type="dxa"/>
            <w:vAlign w:val="center"/>
          </w:tcPr>
          <w:p w14:paraId="05812FE3" w14:textId="77777777" w:rsidR="00466685" w:rsidRPr="00466685" w:rsidRDefault="00466685" w:rsidP="00466685">
            <w:pPr>
              <w:pStyle w:val="13"/>
              <w:ind w:firstLineChars="0" w:firstLine="0"/>
              <w:rPr>
                <w:sz w:val="21"/>
                <w:szCs w:val="21"/>
                <w:lang w:bidi="zh-CN"/>
              </w:rPr>
            </w:pPr>
          </w:p>
        </w:tc>
        <w:tc>
          <w:tcPr>
            <w:tcW w:w="1462" w:type="dxa"/>
            <w:vAlign w:val="center"/>
          </w:tcPr>
          <w:p w14:paraId="4816D56E" w14:textId="77777777" w:rsidR="00466685" w:rsidRPr="00466685" w:rsidRDefault="00466685" w:rsidP="00466685">
            <w:pPr>
              <w:pStyle w:val="13"/>
              <w:ind w:firstLineChars="0" w:firstLine="0"/>
              <w:rPr>
                <w:sz w:val="21"/>
                <w:szCs w:val="21"/>
                <w:lang w:bidi="zh-CN"/>
              </w:rPr>
            </w:pPr>
          </w:p>
        </w:tc>
      </w:tr>
      <w:tr w:rsidR="00466685" w:rsidRPr="00466685" w14:paraId="58C82D4D" w14:textId="77777777" w:rsidTr="00466685">
        <w:trPr>
          <w:trHeight w:val="403"/>
          <w:jc w:val="center"/>
        </w:trPr>
        <w:tc>
          <w:tcPr>
            <w:tcW w:w="2689" w:type="dxa"/>
            <w:vAlign w:val="center"/>
          </w:tcPr>
          <w:p w14:paraId="30DEB9CA" w14:textId="77777777" w:rsidR="00466685" w:rsidRPr="00466685" w:rsidRDefault="00466685" w:rsidP="00466685">
            <w:pPr>
              <w:pStyle w:val="13"/>
              <w:ind w:firstLineChars="300" w:firstLine="630"/>
              <w:rPr>
                <w:sz w:val="21"/>
                <w:szCs w:val="21"/>
                <w:lang w:bidi="zh-CN"/>
              </w:rPr>
            </w:pPr>
            <w:r w:rsidRPr="00466685">
              <w:rPr>
                <w:sz w:val="21"/>
                <w:szCs w:val="21"/>
                <w:lang w:bidi="zh-CN"/>
              </w:rPr>
              <w:t>无形资产</w:t>
            </w:r>
          </w:p>
        </w:tc>
        <w:tc>
          <w:tcPr>
            <w:tcW w:w="1513" w:type="dxa"/>
            <w:vAlign w:val="center"/>
          </w:tcPr>
          <w:p w14:paraId="6B8A56B1" w14:textId="77777777" w:rsidR="00466685" w:rsidRPr="00466685" w:rsidRDefault="00466685" w:rsidP="00466685">
            <w:pPr>
              <w:pStyle w:val="13"/>
              <w:ind w:firstLineChars="0" w:firstLine="0"/>
              <w:rPr>
                <w:sz w:val="21"/>
                <w:szCs w:val="21"/>
                <w:lang w:bidi="zh-CN"/>
              </w:rPr>
            </w:pPr>
          </w:p>
        </w:tc>
        <w:tc>
          <w:tcPr>
            <w:tcW w:w="1672" w:type="dxa"/>
            <w:vAlign w:val="center"/>
          </w:tcPr>
          <w:p w14:paraId="352CBC1D" w14:textId="77777777" w:rsidR="00466685" w:rsidRPr="00466685" w:rsidRDefault="00466685" w:rsidP="00466685">
            <w:pPr>
              <w:pStyle w:val="13"/>
              <w:ind w:firstLineChars="0" w:firstLine="0"/>
              <w:rPr>
                <w:sz w:val="21"/>
                <w:szCs w:val="21"/>
                <w:lang w:bidi="zh-CN"/>
              </w:rPr>
            </w:pPr>
          </w:p>
        </w:tc>
        <w:tc>
          <w:tcPr>
            <w:tcW w:w="1512" w:type="dxa"/>
            <w:vAlign w:val="center"/>
          </w:tcPr>
          <w:p w14:paraId="10396919" w14:textId="77777777" w:rsidR="00466685" w:rsidRPr="00466685" w:rsidRDefault="00466685" w:rsidP="00466685">
            <w:pPr>
              <w:pStyle w:val="13"/>
              <w:ind w:firstLineChars="0" w:firstLine="0"/>
              <w:rPr>
                <w:sz w:val="21"/>
                <w:szCs w:val="21"/>
                <w:lang w:bidi="zh-CN"/>
              </w:rPr>
            </w:pPr>
          </w:p>
        </w:tc>
        <w:tc>
          <w:tcPr>
            <w:tcW w:w="1462" w:type="dxa"/>
            <w:vAlign w:val="center"/>
          </w:tcPr>
          <w:p w14:paraId="05819F47" w14:textId="77777777" w:rsidR="00466685" w:rsidRPr="00466685" w:rsidRDefault="00466685" w:rsidP="00466685">
            <w:pPr>
              <w:pStyle w:val="13"/>
              <w:ind w:firstLineChars="0" w:firstLine="0"/>
              <w:rPr>
                <w:sz w:val="21"/>
                <w:szCs w:val="21"/>
                <w:lang w:bidi="zh-CN"/>
              </w:rPr>
            </w:pPr>
          </w:p>
        </w:tc>
      </w:tr>
      <w:tr w:rsidR="00466685" w:rsidRPr="00466685" w14:paraId="2D255038" w14:textId="77777777" w:rsidTr="00466685">
        <w:trPr>
          <w:trHeight w:val="401"/>
          <w:jc w:val="center"/>
        </w:trPr>
        <w:tc>
          <w:tcPr>
            <w:tcW w:w="2689" w:type="dxa"/>
            <w:vAlign w:val="center"/>
          </w:tcPr>
          <w:p w14:paraId="127EB9E5" w14:textId="77777777" w:rsidR="00466685" w:rsidRPr="00466685" w:rsidRDefault="00466685" w:rsidP="00466685">
            <w:pPr>
              <w:pStyle w:val="13"/>
              <w:ind w:firstLineChars="300" w:firstLine="630"/>
              <w:rPr>
                <w:sz w:val="21"/>
                <w:szCs w:val="21"/>
                <w:lang w:bidi="zh-CN"/>
              </w:rPr>
            </w:pPr>
            <w:r w:rsidRPr="00466685">
              <w:rPr>
                <w:sz w:val="21"/>
                <w:szCs w:val="21"/>
                <w:lang w:bidi="zh-CN"/>
              </w:rPr>
              <w:t>其中：土地使用权</w:t>
            </w:r>
          </w:p>
        </w:tc>
        <w:tc>
          <w:tcPr>
            <w:tcW w:w="1513" w:type="dxa"/>
            <w:vAlign w:val="center"/>
          </w:tcPr>
          <w:p w14:paraId="22AE2E48" w14:textId="77777777" w:rsidR="00466685" w:rsidRPr="00466685" w:rsidRDefault="00466685" w:rsidP="00466685">
            <w:pPr>
              <w:pStyle w:val="13"/>
              <w:ind w:firstLineChars="0" w:firstLine="0"/>
              <w:rPr>
                <w:sz w:val="21"/>
                <w:szCs w:val="21"/>
                <w:lang w:bidi="zh-CN"/>
              </w:rPr>
            </w:pPr>
          </w:p>
        </w:tc>
        <w:tc>
          <w:tcPr>
            <w:tcW w:w="1672" w:type="dxa"/>
            <w:vAlign w:val="center"/>
          </w:tcPr>
          <w:p w14:paraId="0F323A74" w14:textId="77777777" w:rsidR="00466685" w:rsidRPr="00466685" w:rsidRDefault="00466685" w:rsidP="00466685">
            <w:pPr>
              <w:pStyle w:val="13"/>
              <w:ind w:firstLineChars="0" w:firstLine="0"/>
              <w:rPr>
                <w:sz w:val="21"/>
                <w:szCs w:val="21"/>
                <w:lang w:bidi="zh-CN"/>
              </w:rPr>
            </w:pPr>
          </w:p>
        </w:tc>
        <w:tc>
          <w:tcPr>
            <w:tcW w:w="1512" w:type="dxa"/>
            <w:vAlign w:val="center"/>
          </w:tcPr>
          <w:p w14:paraId="14F933C2" w14:textId="77777777" w:rsidR="00466685" w:rsidRPr="00466685" w:rsidRDefault="00466685" w:rsidP="00466685">
            <w:pPr>
              <w:pStyle w:val="13"/>
              <w:ind w:firstLineChars="0" w:firstLine="0"/>
              <w:rPr>
                <w:sz w:val="21"/>
                <w:szCs w:val="21"/>
                <w:lang w:bidi="zh-CN"/>
              </w:rPr>
            </w:pPr>
          </w:p>
        </w:tc>
        <w:tc>
          <w:tcPr>
            <w:tcW w:w="1462" w:type="dxa"/>
            <w:vAlign w:val="center"/>
          </w:tcPr>
          <w:p w14:paraId="3743551F" w14:textId="77777777" w:rsidR="00466685" w:rsidRPr="00466685" w:rsidRDefault="00466685" w:rsidP="00466685">
            <w:pPr>
              <w:pStyle w:val="13"/>
              <w:ind w:firstLineChars="0" w:firstLine="0"/>
              <w:rPr>
                <w:sz w:val="21"/>
                <w:szCs w:val="21"/>
                <w:lang w:bidi="zh-CN"/>
              </w:rPr>
            </w:pPr>
          </w:p>
        </w:tc>
      </w:tr>
      <w:tr w:rsidR="00466685" w:rsidRPr="00466685" w14:paraId="2AE16A0B" w14:textId="77777777" w:rsidTr="00466685">
        <w:trPr>
          <w:trHeight w:val="403"/>
          <w:jc w:val="center"/>
        </w:trPr>
        <w:tc>
          <w:tcPr>
            <w:tcW w:w="2689" w:type="dxa"/>
            <w:vAlign w:val="center"/>
          </w:tcPr>
          <w:p w14:paraId="0B83328A" w14:textId="77777777" w:rsidR="00466685" w:rsidRPr="00466685" w:rsidRDefault="00466685" w:rsidP="00466685">
            <w:pPr>
              <w:pStyle w:val="13"/>
              <w:ind w:firstLineChars="400" w:firstLine="840"/>
              <w:rPr>
                <w:sz w:val="21"/>
                <w:szCs w:val="21"/>
                <w:lang w:bidi="zh-CN"/>
              </w:rPr>
            </w:pPr>
            <w:r w:rsidRPr="00466685">
              <w:rPr>
                <w:sz w:val="21"/>
                <w:szCs w:val="21"/>
                <w:lang w:bidi="zh-CN"/>
              </w:rPr>
              <w:t>其他非流动资产</w:t>
            </w:r>
          </w:p>
        </w:tc>
        <w:tc>
          <w:tcPr>
            <w:tcW w:w="1513" w:type="dxa"/>
            <w:vAlign w:val="center"/>
          </w:tcPr>
          <w:p w14:paraId="43368278" w14:textId="77777777" w:rsidR="00466685" w:rsidRPr="00466685" w:rsidRDefault="00466685" w:rsidP="00466685">
            <w:pPr>
              <w:pStyle w:val="13"/>
              <w:ind w:firstLineChars="0" w:firstLine="0"/>
              <w:rPr>
                <w:sz w:val="21"/>
                <w:szCs w:val="21"/>
                <w:lang w:bidi="zh-CN"/>
              </w:rPr>
            </w:pPr>
          </w:p>
        </w:tc>
        <w:tc>
          <w:tcPr>
            <w:tcW w:w="1672" w:type="dxa"/>
            <w:vAlign w:val="center"/>
          </w:tcPr>
          <w:p w14:paraId="1D380120" w14:textId="77777777" w:rsidR="00466685" w:rsidRPr="00466685" w:rsidRDefault="00466685" w:rsidP="00466685">
            <w:pPr>
              <w:pStyle w:val="13"/>
              <w:ind w:firstLineChars="0" w:firstLine="0"/>
              <w:rPr>
                <w:sz w:val="21"/>
                <w:szCs w:val="21"/>
                <w:lang w:bidi="zh-CN"/>
              </w:rPr>
            </w:pPr>
          </w:p>
        </w:tc>
        <w:tc>
          <w:tcPr>
            <w:tcW w:w="1512" w:type="dxa"/>
            <w:vAlign w:val="center"/>
          </w:tcPr>
          <w:p w14:paraId="088FDFB3" w14:textId="77777777" w:rsidR="00466685" w:rsidRPr="00466685" w:rsidRDefault="00466685" w:rsidP="00466685">
            <w:pPr>
              <w:pStyle w:val="13"/>
              <w:ind w:firstLineChars="0" w:firstLine="0"/>
              <w:rPr>
                <w:sz w:val="21"/>
                <w:szCs w:val="21"/>
                <w:lang w:bidi="zh-CN"/>
              </w:rPr>
            </w:pPr>
          </w:p>
        </w:tc>
        <w:tc>
          <w:tcPr>
            <w:tcW w:w="1462" w:type="dxa"/>
            <w:vAlign w:val="center"/>
          </w:tcPr>
          <w:p w14:paraId="12859CEA" w14:textId="77777777" w:rsidR="00466685" w:rsidRPr="00466685" w:rsidRDefault="00466685" w:rsidP="00466685">
            <w:pPr>
              <w:pStyle w:val="13"/>
              <w:ind w:firstLineChars="0" w:firstLine="0"/>
              <w:rPr>
                <w:sz w:val="21"/>
                <w:szCs w:val="21"/>
                <w:lang w:bidi="zh-CN"/>
              </w:rPr>
            </w:pPr>
          </w:p>
        </w:tc>
      </w:tr>
      <w:tr w:rsidR="00466685" w:rsidRPr="00466685" w14:paraId="6EAF3712" w14:textId="77777777" w:rsidTr="00466685">
        <w:trPr>
          <w:trHeight w:val="403"/>
          <w:jc w:val="center"/>
        </w:trPr>
        <w:tc>
          <w:tcPr>
            <w:tcW w:w="2689" w:type="dxa"/>
            <w:vAlign w:val="center"/>
          </w:tcPr>
          <w:p w14:paraId="24ADE1D8" w14:textId="77777777" w:rsidR="00466685" w:rsidRPr="00466685" w:rsidRDefault="00466685" w:rsidP="00466685">
            <w:pPr>
              <w:pStyle w:val="13"/>
              <w:ind w:firstLineChars="300" w:firstLine="630"/>
              <w:rPr>
                <w:sz w:val="21"/>
                <w:szCs w:val="21"/>
                <w:lang w:bidi="zh-CN"/>
              </w:rPr>
            </w:pPr>
            <w:r w:rsidRPr="00466685">
              <w:rPr>
                <w:sz w:val="21"/>
                <w:szCs w:val="21"/>
                <w:lang w:bidi="zh-CN"/>
              </w:rPr>
              <w:t>资产总计</w:t>
            </w:r>
          </w:p>
        </w:tc>
        <w:tc>
          <w:tcPr>
            <w:tcW w:w="1513" w:type="dxa"/>
            <w:vAlign w:val="center"/>
          </w:tcPr>
          <w:p w14:paraId="3DBDD7A3" w14:textId="77777777" w:rsidR="00466685" w:rsidRPr="00466685" w:rsidRDefault="00466685" w:rsidP="00466685">
            <w:pPr>
              <w:pStyle w:val="13"/>
              <w:ind w:firstLineChars="0" w:firstLine="0"/>
              <w:rPr>
                <w:sz w:val="21"/>
                <w:szCs w:val="21"/>
                <w:lang w:bidi="zh-CN"/>
              </w:rPr>
            </w:pPr>
          </w:p>
        </w:tc>
        <w:tc>
          <w:tcPr>
            <w:tcW w:w="1672" w:type="dxa"/>
            <w:vAlign w:val="center"/>
          </w:tcPr>
          <w:p w14:paraId="37065C96" w14:textId="77777777" w:rsidR="00466685" w:rsidRPr="00466685" w:rsidRDefault="00466685" w:rsidP="00466685">
            <w:pPr>
              <w:pStyle w:val="13"/>
              <w:ind w:firstLineChars="0" w:firstLine="0"/>
              <w:rPr>
                <w:sz w:val="21"/>
                <w:szCs w:val="21"/>
                <w:lang w:bidi="zh-CN"/>
              </w:rPr>
            </w:pPr>
          </w:p>
        </w:tc>
        <w:tc>
          <w:tcPr>
            <w:tcW w:w="1512" w:type="dxa"/>
            <w:vAlign w:val="center"/>
          </w:tcPr>
          <w:p w14:paraId="0A1AAE34" w14:textId="77777777" w:rsidR="00466685" w:rsidRPr="00466685" w:rsidRDefault="00466685" w:rsidP="00466685">
            <w:pPr>
              <w:pStyle w:val="13"/>
              <w:ind w:firstLineChars="0" w:firstLine="0"/>
              <w:rPr>
                <w:sz w:val="21"/>
                <w:szCs w:val="21"/>
                <w:lang w:bidi="zh-CN"/>
              </w:rPr>
            </w:pPr>
          </w:p>
        </w:tc>
        <w:tc>
          <w:tcPr>
            <w:tcW w:w="1462" w:type="dxa"/>
            <w:vAlign w:val="center"/>
          </w:tcPr>
          <w:p w14:paraId="3C99ADD9" w14:textId="77777777" w:rsidR="00466685" w:rsidRPr="00466685" w:rsidRDefault="00466685" w:rsidP="00466685">
            <w:pPr>
              <w:pStyle w:val="13"/>
              <w:ind w:firstLineChars="0" w:firstLine="0"/>
              <w:rPr>
                <w:sz w:val="21"/>
                <w:szCs w:val="21"/>
                <w:lang w:bidi="zh-CN"/>
              </w:rPr>
            </w:pPr>
          </w:p>
        </w:tc>
      </w:tr>
      <w:tr w:rsidR="00466685" w:rsidRPr="00466685" w14:paraId="0922E58C" w14:textId="77777777" w:rsidTr="00466685">
        <w:trPr>
          <w:trHeight w:val="401"/>
          <w:jc w:val="center"/>
        </w:trPr>
        <w:tc>
          <w:tcPr>
            <w:tcW w:w="2689" w:type="dxa"/>
            <w:vAlign w:val="center"/>
          </w:tcPr>
          <w:p w14:paraId="52E09431" w14:textId="77777777" w:rsidR="00466685" w:rsidRPr="00466685" w:rsidRDefault="00466685" w:rsidP="00466685">
            <w:pPr>
              <w:pStyle w:val="13"/>
              <w:ind w:firstLineChars="0" w:firstLine="0"/>
              <w:rPr>
                <w:sz w:val="21"/>
                <w:szCs w:val="21"/>
                <w:lang w:bidi="zh-CN"/>
              </w:rPr>
            </w:pPr>
            <w:r w:rsidRPr="00466685">
              <w:rPr>
                <w:sz w:val="21"/>
                <w:szCs w:val="21"/>
                <w:lang w:bidi="zh-CN"/>
              </w:rPr>
              <w:t>流动负债</w:t>
            </w:r>
          </w:p>
        </w:tc>
        <w:tc>
          <w:tcPr>
            <w:tcW w:w="1513" w:type="dxa"/>
            <w:vAlign w:val="center"/>
          </w:tcPr>
          <w:p w14:paraId="0CA1EFF3" w14:textId="77777777" w:rsidR="00466685" w:rsidRPr="00466685" w:rsidRDefault="00466685" w:rsidP="00466685">
            <w:pPr>
              <w:pStyle w:val="13"/>
              <w:ind w:firstLineChars="0" w:firstLine="0"/>
              <w:rPr>
                <w:sz w:val="21"/>
                <w:szCs w:val="21"/>
                <w:lang w:bidi="zh-CN"/>
              </w:rPr>
            </w:pPr>
          </w:p>
        </w:tc>
        <w:tc>
          <w:tcPr>
            <w:tcW w:w="1672" w:type="dxa"/>
            <w:vAlign w:val="center"/>
          </w:tcPr>
          <w:p w14:paraId="3B7EF014" w14:textId="77777777" w:rsidR="00466685" w:rsidRPr="00466685" w:rsidRDefault="00466685" w:rsidP="00466685">
            <w:pPr>
              <w:pStyle w:val="13"/>
              <w:ind w:firstLineChars="0" w:firstLine="0"/>
              <w:rPr>
                <w:sz w:val="21"/>
                <w:szCs w:val="21"/>
                <w:lang w:bidi="zh-CN"/>
              </w:rPr>
            </w:pPr>
          </w:p>
        </w:tc>
        <w:tc>
          <w:tcPr>
            <w:tcW w:w="1512" w:type="dxa"/>
            <w:vAlign w:val="center"/>
          </w:tcPr>
          <w:p w14:paraId="0FCD0EF4" w14:textId="77777777" w:rsidR="00466685" w:rsidRPr="00466685" w:rsidRDefault="00466685" w:rsidP="00466685">
            <w:pPr>
              <w:pStyle w:val="13"/>
              <w:ind w:firstLineChars="0" w:firstLine="0"/>
              <w:rPr>
                <w:sz w:val="21"/>
                <w:szCs w:val="21"/>
                <w:lang w:bidi="zh-CN"/>
              </w:rPr>
            </w:pPr>
          </w:p>
        </w:tc>
        <w:tc>
          <w:tcPr>
            <w:tcW w:w="1462" w:type="dxa"/>
            <w:vAlign w:val="center"/>
          </w:tcPr>
          <w:p w14:paraId="48C35865" w14:textId="77777777" w:rsidR="00466685" w:rsidRPr="00466685" w:rsidRDefault="00466685" w:rsidP="00466685">
            <w:pPr>
              <w:pStyle w:val="13"/>
              <w:ind w:firstLineChars="0" w:firstLine="0"/>
              <w:rPr>
                <w:sz w:val="21"/>
                <w:szCs w:val="21"/>
                <w:lang w:bidi="zh-CN"/>
              </w:rPr>
            </w:pPr>
          </w:p>
        </w:tc>
      </w:tr>
      <w:tr w:rsidR="00466685" w:rsidRPr="00466685" w14:paraId="395D4AA3" w14:textId="77777777" w:rsidTr="00466685">
        <w:trPr>
          <w:trHeight w:val="403"/>
          <w:jc w:val="center"/>
        </w:trPr>
        <w:tc>
          <w:tcPr>
            <w:tcW w:w="2689" w:type="dxa"/>
            <w:vAlign w:val="center"/>
          </w:tcPr>
          <w:p w14:paraId="1ACCF0F2" w14:textId="77777777" w:rsidR="00466685" w:rsidRPr="00466685" w:rsidRDefault="00466685" w:rsidP="00466685">
            <w:pPr>
              <w:pStyle w:val="13"/>
              <w:ind w:firstLineChars="0" w:firstLine="0"/>
              <w:rPr>
                <w:sz w:val="21"/>
                <w:szCs w:val="21"/>
                <w:lang w:bidi="zh-CN"/>
              </w:rPr>
            </w:pPr>
            <w:r w:rsidRPr="00466685">
              <w:rPr>
                <w:sz w:val="21"/>
                <w:szCs w:val="21"/>
                <w:lang w:bidi="zh-CN"/>
              </w:rPr>
              <w:t>非流动负债</w:t>
            </w:r>
          </w:p>
        </w:tc>
        <w:tc>
          <w:tcPr>
            <w:tcW w:w="1513" w:type="dxa"/>
            <w:vAlign w:val="center"/>
          </w:tcPr>
          <w:p w14:paraId="43443986" w14:textId="77777777" w:rsidR="00466685" w:rsidRPr="00466685" w:rsidRDefault="00466685" w:rsidP="00466685">
            <w:pPr>
              <w:pStyle w:val="13"/>
              <w:ind w:firstLineChars="0" w:firstLine="0"/>
              <w:rPr>
                <w:sz w:val="21"/>
                <w:szCs w:val="21"/>
                <w:lang w:bidi="zh-CN"/>
              </w:rPr>
            </w:pPr>
          </w:p>
        </w:tc>
        <w:tc>
          <w:tcPr>
            <w:tcW w:w="1672" w:type="dxa"/>
            <w:vAlign w:val="center"/>
          </w:tcPr>
          <w:p w14:paraId="2B5F99B4" w14:textId="77777777" w:rsidR="00466685" w:rsidRPr="00466685" w:rsidRDefault="00466685" w:rsidP="00466685">
            <w:pPr>
              <w:pStyle w:val="13"/>
              <w:ind w:firstLineChars="0" w:firstLine="0"/>
              <w:rPr>
                <w:sz w:val="21"/>
                <w:szCs w:val="21"/>
                <w:lang w:bidi="zh-CN"/>
              </w:rPr>
            </w:pPr>
          </w:p>
        </w:tc>
        <w:tc>
          <w:tcPr>
            <w:tcW w:w="1512" w:type="dxa"/>
            <w:vAlign w:val="center"/>
          </w:tcPr>
          <w:p w14:paraId="0D9867EF" w14:textId="77777777" w:rsidR="00466685" w:rsidRPr="00466685" w:rsidRDefault="00466685" w:rsidP="00466685">
            <w:pPr>
              <w:pStyle w:val="13"/>
              <w:ind w:firstLineChars="0" w:firstLine="0"/>
              <w:rPr>
                <w:sz w:val="21"/>
                <w:szCs w:val="21"/>
                <w:lang w:bidi="zh-CN"/>
              </w:rPr>
            </w:pPr>
          </w:p>
        </w:tc>
        <w:tc>
          <w:tcPr>
            <w:tcW w:w="1462" w:type="dxa"/>
            <w:vAlign w:val="center"/>
          </w:tcPr>
          <w:p w14:paraId="2AD7F1A0" w14:textId="77777777" w:rsidR="00466685" w:rsidRPr="00466685" w:rsidRDefault="00466685" w:rsidP="00466685">
            <w:pPr>
              <w:pStyle w:val="13"/>
              <w:ind w:firstLineChars="0" w:firstLine="0"/>
              <w:rPr>
                <w:sz w:val="21"/>
                <w:szCs w:val="21"/>
                <w:lang w:bidi="zh-CN"/>
              </w:rPr>
            </w:pPr>
          </w:p>
        </w:tc>
      </w:tr>
      <w:tr w:rsidR="00466685" w:rsidRPr="00466685" w14:paraId="12E58257" w14:textId="77777777" w:rsidTr="00466685">
        <w:trPr>
          <w:trHeight w:val="403"/>
          <w:jc w:val="center"/>
        </w:trPr>
        <w:tc>
          <w:tcPr>
            <w:tcW w:w="2689" w:type="dxa"/>
            <w:vAlign w:val="center"/>
          </w:tcPr>
          <w:p w14:paraId="4B051BF1" w14:textId="77777777" w:rsidR="00466685" w:rsidRPr="00466685" w:rsidRDefault="00466685" w:rsidP="00466685">
            <w:pPr>
              <w:pStyle w:val="13"/>
              <w:ind w:firstLineChars="300" w:firstLine="630"/>
              <w:rPr>
                <w:sz w:val="21"/>
                <w:szCs w:val="21"/>
                <w:lang w:bidi="zh-CN"/>
              </w:rPr>
            </w:pPr>
            <w:r w:rsidRPr="00466685">
              <w:rPr>
                <w:sz w:val="21"/>
                <w:szCs w:val="21"/>
                <w:lang w:bidi="zh-CN"/>
              </w:rPr>
              <w:t>负债总计</w:t>
            </w:r>
          </w:p>
        </w:tc>
        <w:tc>
          <w:tcPr>
            <w:tcW w:w="1513" w:type="dxa"/>
            <w:vAlign w:val="center"/>
          </w:tcPr>
          <w:p w14:paraId="1E0DC664" w14:textId="77777777" w:rsidR="00466685" w:rsidRPr="00466685" w:rsidRDefault="00466685" w:rsidP="00466685">
            <w:pPr>
              <w:pStyle w:val="13"/>
              <w:ind w:firstLineChars="0" w:firstLine="0"/>
              <w:rPr>
                <w:sz w:val="21"/>
                <w:szCs w:val="21"/>
                <w:lang w:bidi="zh-CN"/>
              </w:rPr>
            </w:pPr>
          </w:p>
        </w:tc>
        <w:tc>
          <w:tcPr>
            <w:tcW w:w="1672" w:type="dxa"/>
            <w:vAlign w:val="center"/>
          </w:tcPr>
          <w:p w14:paraId="1180BC01" w14:textId="77777777" w:rsidR="00466685" w:rsidRPr="00466685" w:rsidRDefault="00466685" w:rsidP="00466685">
            <w:pPr>
              <w:pStyle w:val="13"/>
              <w:ind w:firstLineChars="0" w:firstLine="0"/>
              <w:rPr>
                <w:sz w:val="21"/>
                <w:szCs w:val="21"/>
                <w:lang w:bidi="zh-CN"/>
              </w:rPr>
            </w:pPr>
          </w:p>
        </w:tc>
        <w:tc>
          <w:tcPr>
            <w:tcW w:w="1512" w:type="dxa"/>
            <w:vAlign w:val="center"/>
          </w:tcPr>
          <w:p w14:paraId="12B92564" w14:textId="77777777" w:rsidR="00466685" w:rsidRPr="00466685" w:rsidRDefault="00466685" w:rsidP="00466685">
            <w:pPr>
              <w:pStyle w:val="13"/>
              <w:ind w:firstLineChars="0" w:firstLine="0"/>
              <w:rPr>
                <w:sz w:val="21"/>
                <w:szCs w:val="21"/>
                <w:lang w:bidi="zh-CN"/>
              </w:rPr>
            </w:pPr>
          </w:p>
        </w:tc>
        <w:tc>
          <w:tcPr>
            <w:tcW w:w="1462" w:type="dxa"/>
            <w:vAlign w:val="center"/>
          </w:tcPr>
          <w:p w14:paraId="63DC3B8D" w14:textId="77777777" w:rsidR="00466685" w:rsidRPr="00466685" w:rsidRDefault="00466685" w:rsidP="00466685">
            <w:pPr>
              <w:pStyle w:val="13"/>
              <w:ind w:firstLineChars="0" w:firstLine="0"/>
              <w:rPr>
                <w:sz w:val="21"/>
                <w:szCs w:val="21"/>
                <w:lang w:bidi="zh-CN"/>
              </w:rPr>
            </w:pPr>
          </w:p>
        </w:tc>
      </w:tr>
      <w:tr w:rsidR="00466685" w:rsidRPr="00466685" w14:paraId="0AFA95DB" w14:textId="77777777" w:rsidTr="00466685">
        <w:trPr>
          <w:trHeight w:val="403"/>
          <w:jc w:val="center"/>
        </w:trPr>
        <w:tc>
          <w:tcPr>
            <w:tcW w:w="2689" w:type="dxa"/>
            <w:vAlign w:val="center"/>
          </w:tcPr>
          <w:p w14:paraId="09C60F96" w14:textId="77777777" w:rsidR="00466685" w:rsidRPr="00466685" w:rsidRDefault="00466685" w:rsidP="00466685">
            <w:pPr>
              <w:pStyle w:val="13"/>
              <w:ind w:firstLineChars="300" w:firstLine="630"/>
              <w:rPr>
                <w:sz w:val="21"/>
                <w:szCs w:val="21"/>
                <w:lang w:bidi="zh-CN"/>
              </w:rPr>
            </w:pPr>
            <w:r w:rsidRPr="00466685">
              <w:rPr>
                <w:sz w:val="21"/>
                <w:szCs w:val="21"/>
                <w:lang w:bidi="zh-CN"/>
              </w:rPr>
              <w:t>净 资 产</w:t>
            </w:r>
          </w:p>
        </w:tc>
        <w:tc>
          <w:tcPr>
            <w:tcW w:w="1513" w:type="dxa"/>
            <w:vAlign w:val="center"/>
          </w:tcPr>
          <w:p w14:paraId="0E50A804" w14:textId="77777777" w:rsidR="00466685" w:rsidRPr="00466685" w:rsidRDefault="00466685" w:rsidP="00466685">
            <w:pPr>
              <w:pStyle w:val="13"/>
              <w:ind w:firstLineChars="0" w:firstLine="0"/>
              <w:rPr>
                <w:sz w:val="21"/>
                <w:szCs w:val="21"/>
                <w:lang w:bidi="zh-CN"/>
              </w:rPr>
            </w:pPr>
          </w:p>
        </w:tc>
        <w:tc>
          <w:tcPr>
            <w:tcW w:w="1672" w:type="dxa"/>
            <w:vAlign w:val="center"/>
          </w:tcPr>
          <w:p w14:paraId="474A4F9C" w14:textId="77777777" w:rsidR="00466685" w:rsidRPr="00466685" w:rsidRDefault="00466685" w:rsidP="00466685">
            <w:pPr>
              <w:pStyle w:val="13"/>
              <w:ind w:firstLineChars="0" w:firstLine="0"/>
              <w:rPr>
                <w:sz w:val="21"/>
                <w:szCs w:val="21"/>
                <w:lang w:bidi="zh-CN"/>
              </w:rPr>
            </w:pPr>
          </w:p>
        </w:tc>
        <w:tc>
          <w:tcPr>
            <w:tcW w:w="1512" w:type="dxa"/>
            <w:vAlign w:val="center"/>
          </w:tcPr>
          <w:p w14:paraId="08DCE952" w14:textId="77777777" w:rsidR="00466685" w:rsidRPr="00466685" w:rsidRDefault="00466685" w:rsidP="00466685">
            <w:pPr>
              <w:pStyle w:val="13"/>
              <w:ind w:firstLineChars="0" w:firstLine="0"/>
              <w:rPr>
                <w:sz w:val="21"/>
                <w:szCs w:val="21"/>
                <w:lang w:bidi="zh-CN"/>
              </w:rPr>
            </w:pPr>
          </w:p>
        </w:tc>
        <w:tc>
          <w:tcPr>
            <w:tcW w:w="1462" w:type="dxa"/>
            <w:vAlign w:val="center"/>
          </w:tcPr>
          <w:p w14:paraId="1DEF9382" w14:textId="77777777" w:rsidR="00466685" w:rsidRPr="00466685" w:rsidRDefault="00466685" w:rsidP="00466685">
            <w:pPr>
              <w:pStyle w:val="13"/>
              <w:ind w:firstLineChars="0" w:firstLine="0"/>
              <w:rPr>
                <w:sz w:val="21"/>
                <w:szCs w:val="21"/>
                <w:lang w:bidi="zh-CN"/>
              </w:rPr>
            </w:pPr>
          </w:p>
        </w:tc>
      </w:tr>
    </w:tbl>
    <w:p w14:paraId="5A131ADD" w14:textId="59F7A0A0" w:rsidR="00466685" w:rsidRPr="00466685" w:rsidRDefault="00466685" w:rsidP="00466685">
      <w:pPr>
        <w:pStyle w:val="13"/>
        <w:ind w:firstLineChars="0"/>
        <w:jc w:val="right"/>
        <w:rPr>
          <w:sz w:val="21"/>
          <w:szCs w:val="21"/>
        </w:rPr>
      </w:pPr>
      <w:r w:rsidRPr="00466685">
        <w:rPr>
          <w:rFonts w:hint="eastAsia"/>
          <w:sz w:val="21"/>
          <w:szCs w:val="21"/>
        </w:rPr>
        <w:t>（保留两位小数点）</w:t>
      </w:r>
    </w:p>
    <w:tbl>
      <w:tblPr>
        <w:tblStyle w:val="TableNormal1"/>
        <w:tblW w:w="5000" w:type="pct"/>
        <w:jc w:val="center"/>
        <w:tblInd w:w="0" w:type="dxa"/>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8724"/>
      </w:tblGrid>
      <w:tr w:rsidR="00466685" w14:paraId="4FB96D76" w14:textId="77777777" w:rsidTr="00466685">
        <w:trPr>
          <w:trHeight w:val="3182"/>
          <w:jc w:val="center"/>
        </w:trPr>
        <w:tc>
          <w:tcPr>
            <w:tcW w:w="5000" w:type="pct"/>
          </w:tcPr>
          <w:p w14:paraId="37E594D0" w14:textId="77777777" w:rsidR="00466685" w:rsidRDefault="00466685" w:rsidP="00E00A7F"/>
          <w:p w14:paraId="7D8AC521" w14:textId="77777777" w:rsidR="00466685" w:rsidRDefault="00466685" w:rsidP="00E00A7F">
            <w:pPr>
              <w:spacing w:before="118" w:line="204" w:lineRule="auto"/>
              <w:ind w:firstLine="117"/>
              <w:rPr>
                <w:sz w:val="24"/>
                <w:szCs w:val="24"/>
              </w:rPr>
            </w:pPr>
            <w:r>
              <w:rPr>
                <w:spacing w:val="-2"/>
                <w:sz w:val="24"/>
                <w:szCs w:val="24"/>
              </w:rPr>
              <w:t>备案意见：</w:t>
            </w:r>
          </w:p>
        </w:tc>
      </w:tr>
    </w:tbl>
    <w:p w14:paraId="665076BC" w14:textId="77777777" w:rsidR="00FA0363" w:rsidRDefault="00FA0363" w:rsidP="00FA0363">
      <w:pPr>
        <w:pStyle w:val="13"/>
      </w:pPr>
      <w:r>
        <w:rPr>
          <w:rFonts w:hint="eastAsia"/>
        </w:rPr>
        <w:t>备注：</w:t>
      </w:r>
    </w:p>
    <w:p w14:paraId="37E7EF73" w14:textId="77777777" w:rsidR="00FA0363" w:rsidRDefault="00FA0363" w:rsidP="00FA0363">
      <w:pPr>
        <w:pStyle w:val="13"/>
      </w:pPr>
      <w:r>
        <w:t>1．本备案表应与资产评估报告书同时使用,评估报告的使用各方应关注评估报告书中所揭示的特别事项和评估报告的法律效力等内容,合理使用评估结果。</w:t>
      </w:r>
    </w:p>
    <w:p w14:paraId="57D9F0DB" w14:textId="77777777" w:rsidR="00FA0363" w:rsidRDefault="00FA0363" w:rsidP="00FA0363">
      <w:pPr>
        <w:pStyle w:val="13"/>
      </w:pPr>
      <w:r>
        <w:t>2．本项目所出具的资产评估报告的法律责任由受托评估机构和在评估报告中签字的具有相应执业资格的评估人员共同承担，不因本备案而转移其法律责任。</w:t>
      </w:r>
    </w:p>
    <w:p w14:paraId="5EF9F8D8" w14:textId="77777777" w:rsidR="00FA0363" w:rsidRDefault="00FA0363" w:rsidP="00FA0363">
      <w:pPr>
        <w:pStyle w:val="13"/>
        <w:ind w:firstLineChars="0"/>
      </w:pPr>
      <w:r>
        <w:t>3．本表一式三份。</w:t>
      </w:r>
    </w:p>
    <w:p w14:paraId="36CC56E7" w14:textId="3E8BB214" w:rsidR="00FA0363" w:rsidRDefault="00FA0363" w:rsidP="00CC466D">
      <w:pPr>
        <w:pStyle w:val="13"/>
        <w:jc w:val="right"/>
      </w:pPr>
      <w:r>
        <w:br w:type="page"/>
      </w:r>
      <w:r>
        <w:lastRenderedPageBreak/>
        <w:t>备案编号：</w:t>
      </w:r>
    </w:p>
    <w:p w14:paraId="582EACFD" w14:textId="77777777" w:rsidR="00FA0363" w:rsidRDefault="00FA0363" w:rsidP="00FA0363"/>
    <w:p w14:paraId="11AF5448" w14:textId="77777777" w:rsidR="00FA0363" w:rsidRDefault="00FA0363" w:rsidP="00FA0363"/>
    <w:p w14:paraId="0E4116FD" w14:textId="77777777" w:rsidR="00FA0363" w:rsidRDefault="00FA0363" w:rsidP="00FA0363"/>
    <w:p w14:paraId="721BB0AA" w14:textId="77777777" w:rsidR="00FA0363" w:rsidRDefault="00FA0363" w:rsidP="00FA0363"/>
    <w:p w14:paraId="2B5551E9" w14:textId="77777777" w:rsidR="00FA0363" w:rsidRDefault="00FA0363" w:rsidP="00FA0363"/>
    <w:p w14:paraId="03341DB5" w14:textId="77777777" w:rsidR="00FA0363" w:rsidRDefault="00FA0363" w:rsidP="00FA0363"/>
    <w:p w14:paraId="016455DD" w14:textId="77777777" w:rsidR="00FA0363" w:rsidRDefault="00FA0363" w:rsidP="00FA0363"/>
    <w:p w14:paraId="013EC01B" w14:textId="77777777" w:rsidR="00FA0363" w:rsidRDefault="00FA0363" w:rsidP="00FA0363"/>
    <w:p w14:paraId="5F5C747D" w14:textId="77777777" w:rsidR="00FA0363" w:rsidRPr="000C7174" w:rsidRDefault="00FA0363" w:rsidP="00FA0363">
      <w:pPr>
        <w:spacing w:before="240" w:line="204" w:lineRule="auto"/>
        <w:rPr>
          <w:sz w:val="48"/>
          <w:szCs w:val="48"/>
        </w:rPr>
      </w:pPr>
      <w:r w:rsidRPr="000C7174">
        <w:rPr>
          <w:spacing w:val="56"/>
          <w:sz w:val="48"/>
          <w:szCs w:val="48"/>
        </w:rPr>
        <w:t>接受非国有资产评估项目备案表</w:t>
      </w:r>
    </w:p>
    <w:p w14:paraId="78EDBE53" w14:textId="77777777" w:rsidR="00FA0363" w:rsidRDefault="00FA0363" w:rsidP="00FA0363"/>
    <w:p w14:paraId="53AB5D2E" w14:textId="77777777" w:rsidR="00FA0363" w:rsidRDefault="00FA0363" w:rsidP="00FA0363"/>
    <w:p w14:paraId="70227E42" w14:textId="77777777" w:rsidR="00FA0363" w:rsidRDefault="00FA0363" w:rsidP="00FA0363"/>
    <w:p w14:paraId="76528DEE" w14:textId="77777777" w:rsidR="00FA0363" w:rsidRDefault="00FA0363" w:rsidP="00FA0363"/>
    <w:p w14:paraId="581BC94A" w14:textId="77777777" w:rsidR="00FA0363" w:rsidRDefault="00FA0363" w:rsidP="00FA0363"/>
    <w:p w14:paraId="3D05F007" w14:textId="77777777" w:rsidR="00FA0363" w:rsidRDefault="00FA0363" w:rsidP="00FA0363"/>
    <w:p w14:paraId="27D615B6" w14:textId="77777777" w:rsidR="00FA0363" w:rsidRDefault="00FA0363" w:rsidP="00FA0363"/>
    <w:p w14:paraId="5B0BA070" w14:textId="77777777" w:rsidR="00FA0363" w:rsidRDefault="00FA0363" w:rsidP="00FA0363"/>
    <w:p w14:paraId="6816C0CD" w14:textId="77777777" w:rsidR="00FA0363" w:rsidRDefault="00FA0363" w:rsidP="00FA0363">
      <w:pPr>
        <w:spacing w:before="206" w:line="204" w:lineRule="auto"/>
        <w:ind w:firstLine="1404"/>
        <w:rPr>
          <w:sz w:val="32"/>
          <w:szCs w:val="32"/>
        </w:rPr>
      </w:pPr>
      <w:r>
        <w:rPr>
          <w:spacing w:val="-8"/>
          <w:sz w:val="32"/>
          <w:szCs w:val="32"/>
        </w:rPr>
        <w:t>申报单位（盖章</w:t>
      </w:r>
      <w:r>
        <w:rPr>
          <w:spacing w:val="-1"/>
          <w:sz w:val="32"/>
          <w:szCs w:val="32"/>
        </w:rPr>
        <w:t>）：</w:t>
      </w:r>
    </w:p>
    <w:p w14:paraId="4BEF69B0" w14:textId="77777777" w:rsidR="00FA0363" w:rsidRDefault="00FA0363" w:rsidP="00FA0363"/>
    <w:p w14:paraId="3AB67063" w14:textId="77777777" w:rsidR="00FA0363" w:rsidRDefault="00FA0363" w:rsidP="00FA0363"/>
    <w:p w14:paraId="04024B94" w14:textId="77777777" w:rsidR="00FA0363" w:rsidRDefault="00FA0363" w:rsidP="00FA0363"/>
    <w:p w14:paraId="671A166C" w14:textId="77777777" w:rsidR="00FA0363" w:rsidRDefault="00FA0363" w:rsidP="00FA0363">
      <w:pPr>
        <w:spacing w:before="193" w:line="204" w:lineRule="auto"/>
        <w:ind w:firstLine="1357"/>
        <w:rPr>
          <w:sz w:val="32"/>
          <w:szCs w:val="32"/>
        </w:rPr>
      </w:pPr>
      <w:r>
        <w:rPr>
          <w:spacing w:val="-2"/>
          <w:sz w:val="32"/>
          <w:szCs w:val="32"/>
        </w:rPr>
        <w:t>单位领导（签字</w:t>
      </w:r>
      <w:r>
        <w:rPr>
          <w:sz w:val="32"/>
          <w:szCs w:val="32"/>
        </w:rPr>
        <w:t>）：</w:t>
      </w:r>
    </w:p>
    <w:p w14:paraId="6EDB2D22" w14:textId="77777777" w:rsidR="00FA0363" w:rsidRDefault="00FA0363" w:rsidP="00FA0363"/>
    <w:p w14:paraId="695F73E0" w14:textId="77777777" w:rsidR="00FA0363" w:rsidRDefault="00FA0363" w:rsidP="00FA0363"/>
    <w:p w14:paraId="0DED4267" w14:textId="77777777" w:rsidR="00FA0363" w:rsidRDefault="00FA0363" w:rsidP="00FA0363"/>
    <w:p w14:paraId="62191DB7" w14:textId="77777777" w:rsidR="00FA0363" w:rsidRDefault="00FA0363" w:rsidP="00FA0363">
      <w:pPr>
        <w:spacing w:before="193" w:line="204" w:lineRule="auto"/>
        <w:ind w:firstLine="1357"/>
        <w:rPr>
          <w:sz w:val="32"/>
          <w:szCs w:val="32"/>
        </w:rPr>
      </w:pPr>
      <w:r>
        <w:rPr>
          <w:spacing w:val="-22"/>
          <w:sz w:val="32"/>
          <w:szCs w:val="32"/>
        </w:rPr>
        <w:t>填报日期：</w:t>
      </w:r>
    </w:p>
    <w:p w14:paraId="7895ED70" w14:textId="77777777" w:rsidR="00FA0363" w:rsidRDefault="00FA0363" w:rsidP="00FA0363"/>
    <w:p w14:paraId="2AC2DA79" w14:textId="77777777" w:rsidR="00FA0363" w:rsidRDefault="00FA0363" w:rsidP="00FA0363"/>
    <w:p w14:paraId="1044264E" w14:textId="77777777" w:rsidR="00FA0363" w:rsidRDefault="00FA0363" w:rsidP="00FA0363"/>
    <w:p w14:paraId="217E49B7" w14:textId="77777777" w:rsidR="00FA0363" w:rsidRDefault="00FA0363" w:rsidP="00FA0363"/>
    <w:p w14:paraId="04DEC0FC" w14:textId="77777777" w:rsidR="00FA0363" w:rsidRDefault="00FA0363" w:rsidP="00FA0363"/>
    <w:p w14:paraId="709E2C4E" w14:textId="77777777" w:rsidR="00FA0363" w:rsidRDefault="00FA0363" w:rsidP="00FA0363"/>
    <w:p w14:paraId="7F16A557" w14:textId="77777777" w:rsidR="00FA0363" w:rsidRDefault="00FA0363" w:rsidP="00FA0363"/>
    <w:p w14:paraId="22D2084C" w14:textId="37629601" w:rsidR="00CC466D" w:rsidRDefault="00FA0363" w:rsidP="00CC466D">
      <w:pPr>
        <w:pStyle w:val="13"/>
        <w:jc w:val="center"/>
      </w:pPr>
      <w:r>
        <w:t>国务院国有资产监督管理委员会制</w:t>
      </w:r>
    </w:p>
    <w:p w14:paraId="5C2181DF" w14:textId="77777777" w:rsidR="00CC466D" w:rsidRDefault="00CC466D">
      <w:pPr>
        <w:widowControl/>
        <w:jc w:val="left"/>
        <w:rPr>
          <w:rFonts w:ascii="宋体" w:hAnsi="宋体"/>
          <w:sz w:val="24"/>
          <w:szCs w:val="24"/>
        </w:rPr>
      </w:pPr>
      <w:r>
        <w:br w:type="page"/>
      </w:r>
    </w:p>
    <w:p w14:paraId="6E9511AA" w14:textId="17F6C990" w:rsidR="00FA0363" w:rsidRDefault="00FA0363" w:rsidP="00FA0363">
      <w:pPr>
        <w:spacing w:before="200" w:line="204" w:lineRule="auto"/>
        <w:jc w:val="center"/>
        <w:rPr>
          <w:b/>
          <w:bCs/>
          <w:spacing w:val="46"/>
          <w:w w:val="101"/>
          <w:sz w:val="32"/>
          <w:szCs w:val="32"/>
        </w:rPr>
      </w:pPr>
      <w:r>
        <w:rPr>
          <w:b/>
          <w:bCs/>
          <w:spacing w:val="46"/>
          <w:w w:val="101"/>
          <w:sz w:val="32"/>
          <w:szCs w:val="32"/>
        </w:rPr>
        <w:lastRenderedPageBreak/>
        <w:t>资产评估项目基本情况</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9"/>
        <w:gridCol w:w="1317"/>
        <w:gridCol w:w="1036"/>
        <w:gridCol w:w="397"/>
        <w:gridCol w:w="115"/>
        <w:gridCol w:w="678"/>
        <w:gridCol w:w="1046"/>
        <w:gridCol w:w="861"/>
        <w:gridCol w:w="184"/>
        <w:gridCol w:w="809"/>
        <w:gridCol w:w="901"/>
        <w:gridCol w:w="421"/>
        <w:gridCol w:w="330"/>
      </w:tblGrid>
      <w:tr w:rsidR="00CC466D" w:rsidRPr="00466685" w14:paraId="1B602B9F" w14:textId="77777777" w:rsidTr="00E00A7F">
        <w:trPr>
          <w:trHeight w:val="460"/>
          <w:jc w:val="center"/>
        </w:trPr>
        <w:tc>
          <w:tcPr>
            <w:tcW w:w="1091" w:type="pct"/>
            <w:gridSpan w:val="2"/>
            <w:vAlign w:val="center"/>
          </w:tcPr>
          <w:p w14:paraId="3903902A" w14:textId="77777777" w:rsidR="00CC466D" w:rsidRPr="00466685" w:rsidRDefault="00CC466D" w:rsidP="00E00A7F">
            <w:pPr>
              <w:pStyle w:val="13"/>
              <w:ind w:firstLineChars="0" w:firstLine="0"/>
              <w:rPr>
                <w:sz w:val="21"/>
                <w:szCs w:val="21"/>
                <w:lang w:bidi="zh-CN"/>
              </w:rPr>
            </w:pPr>
            <w:r w:rsidRPr="00466685">
              <w:rPr>
                <w:sz w:val="21"/>
                <w:szCs w:val="21"/>
                <w:lang w:bidi="zh-CN"/>
              </w:rPr>
              <w:t xml:space="preserve">评  </w:t>
            </w:r>
            <w:proofErr w:type="gramStart"/>
            <w:r w:rsidRPr="00466685">
              <w:rPr>
                <w:sz w:val="21"/>
                <w:szCs w:val="21"/>
                <w:lang w:bidi="zh-CN"/>
              </w:rPr>
              <w:t>估</w:t>
            </w:r>
            <w:proofErr w:type="gramEnd"/>
            <w:r w:rsidRPr="00466685">
              <w:rPr>
                <w:sz w:val="21"/>
                <w:szCs w:val="21"/>
                <w:lang w:bidi="zh-CN"/>
              </w:rPr>
              <w:t xml:space="preserve">  对  </w:t>
            </w:r>
            <w:proofErr w:type="gramStart"/>
            <w:r w:rsidRPr="00466685">
              <w:rPr>
                <w:sz w:val="21"/>
                <w:szCs w:val="21"/>
                <w:lang w:bidi="zh-CN"/>
              </w:rPr>
              <w:t>象</w:t>
            </w:r>
            <w:proofErr w:type="gramEnd"/>
          </w:p>
        </w:tc>
        <w:tc>
          <w:tcPr>
            <w:tcW w:w="3909" w:type="pct"/>
            <w:gridSpan w:val="11"/>
            <w:vAlign w:val="center"/>
          </w:tcPr>
          <w:p w14:paraId="58BE661C" w14:textId="77777777" w:rsidR="00CC466D" w:rsidRPr="00466685" w:rsidRDefault="00CC466D" w:rsidP="00E00A7F">
            <w:pPr>
              <w:pStyle w:val="13"/>
              <w:ind w:firstLineChars="0" w:firstLine="0"/>
              <w:rPr>
                <w:sz w:val="21"/>
                <w:szCs w:val="21"/>
                <w:lang w:bidi="zh-CN"/>
              </w:rPr>
            </w:pPr>
          </w:p>
        </w:tc>
      </w:tr>
      <w:tr w:rsidR="00CC466D" w:rsidRPr="00466685" w14:paraId="2F5A88AB" w14:textId="77777777" w:rsidTr="00E00A7F">
        <w:trPr>
          <w:trHeight w:val="440"/>
          <w:jc w:val="center"/>
        </w:trPr>
        <w:tc>
          <w:tcPr>
            <w:tcW w:w="1091" w:type="pct"/>
            <w:gridSpan w:val="2"/>
            <w:vAlign w:val="center"/>
          </w:tcPr>
          <w:p w14:paraId="5376385F" w14:textId="093E0004" w:rsidR="00CC466D" w:rsidRPr="00466685" w:rsidRDefault="00CC466D" w:rsidP="00CC466D">
            <w:pPr>
              <w:pStyle w:val="13"/>
              <w:ind w:firstLineChars="0" w:firstLine="0"/>
              <w:rPr>
                <w:sz w:val="21"/>
                <w:szCs w:val="21"/>
                <w:lang w:bidi="zh-CN"/>
              </w:rPr>
            </w:pPr>
            <w:r w:rsidRPr="00CC466D">
              <w:rPr>
                <w:rFonts w:hint="eastAsia"/>
                <w:sz w:val="21"/>
                <w:szCs w:val="21"/>
                <w:lang w:bidi="zh-CN"/>
              </w:rPr>
              <w:t>接受非国有资产的企业</w:t>
            </w:r>
          </w:p>
        </w:tc>
        <w:tc>
          <w:tcPr>
            <w:tcW w:w="2491" w:type="pct"/>
            <w:gridSpan w:val="7"/>
            <w:vAlign w:val="center"/>
          </w:tcPr>
          <w:p w14:paraId="795D6488" w14:textId="77777777" w:rsidR="00CC466D" w:rsidRPr="00466685" w:rsidRDefault="00CC466D" w:rsidP="00E00A7F">
            <w:pPr>
              <w:pStyle w:val="13"/>
              <w:ind w:firstLineChars="0" w:firstLine="0"/>
              <w:rPr>
                <w:sz w:val="21"/>
                <w:szCs w:val="21"/>
                <w:lang w:bidi="zh-CN"/>
              </w:rPr>
            </w:pPr>
          </w:p>
        </w:tc>
        <w:tc>
          <w:tcPr>
            <w:tcW w:w="984" w:type="pct"/>
            <w:gridSpan w:val="2"/>
            <w:vAlign w:val="center"/>
          </w:tcPr>
          <w:p w14:paraId="0EE6B550" w14:textId="77777777" w:rsidR="00CC466D" w:rsidRPr="00466685" w:rsidRDefault="00CC466D" w:rsidP="00E00A7F">
            <w:pPr>
              <w:pStyle w:val="13"/>
              <w:ind w:firstLineChars="0" w:firstLine="0"/>
              <w:rPr>
                <w:sz w:val="21"/>
                <w:szCs w:val="21"/>
                <w:lang w:bidi="zh-CN"/>
              </w:rPr>
            </w:pPr>
            <w:r w:rsidRPr="00466685">
              <w:rPr>
                <w:sz w:val="21"/>
                <w:szCs w:val="21"/>
                <w:lang w:bidi="zh-CN"/>
              </w:rPr>
              <w:t>企业管理级次</w:t>
            </w:r>
          </w:p>
        </w:tc>
        <w:tc>
          <w:tcPr>
            <w:tcW w:w="435" w:type="pct"/>
            <w:gridSpan w:val="2"/>
            <w:vAlign w:val="center"/>
          </w:tcPr>
          <w:p w14:paraId="43C673F0" w14:textId="77777777" w:rsidR="00CC466D" w:rsidRPr="00466685" w:rsidRDefault="00CC466D" w:rsidP="00E00A7F">
            <w:pPr>
              <w:pStyle w:val="13"/>
              <w:ind w:firstLineChars="0" w:firstLine="0"/>
              <w:rPr>
                <w:sz w:val="21"/>
                <w:szCs w:val="21"/>
                <w:lang w:bidi="zh-CN"/>
              </w:rPr>
            </w:pPr>
          </w:p>
        </w:tc>
      </w:tr>
      <w:tr w:rsidR="00CC466D" w:rsidRPr="00466685" w14:paraId="0760722C" w14:textId="77777777" w:rsidTr="00E00A7F">
        <w:trPr>
          <w:trHeight w:val="443"/>
          <w:jc w:val="center"/>
        </w:trPr>
        <w:tc>
          <w:tcPr>
            <w:tcW w:w="1091" w:type="pct"/>
            <w:gridSpan w:val="2"/>
            <w:vAlign w:val="center"/>
          </w:tcPr>
          <w:p w14:paraId="3F39D0BA" w14:textId="77777777" w:rsidR="00CC466D" w:rsidRPr="00466685" w:rsidRDefault="00CC466D" w:rsidP="00E00A7F">
            <w:pPr>
              <w:pStyle w:val="13"/>
              <w:ind w:firstLineChars="0" w:firstLine="0"/>
              <w:rPr>
                <w:sz w:val="21"/>
                <w:szCs w:val="21"/>
                <w:lang w:bidi="zh-CN"/>
              </w:rPr>
            </w:pPr>
            <w:r w:rsidRPr="00466685">
              <w:rPr>
                <w:sz w:val="21"/>
                <w:szCs w:val="21"/>
                <w:lang w:bidi="zh-CN"/>
              </w:rPr>
              <w:t>资产评估委托方</w:t>
            </w:r>
          </w:p>
        </w:tc>
        <w:tc>
          <w:tcPr>
            <w:tcW w:w="3909" w:type="pct"/>
            <w:gridSpan w:val="11"/>
            <w:vAlign w:val="center"/>
          </w:tcPr>
          <w:p w14:paraId="280949C9" w14:textId="77777777" w:rsidR="00CC466D" w:rsidRPr="00466685" w:rsidRDefault="00CC466D" w:rsidP="00E00A7F">
            <w:pPr>
              <w:pStyle w:val="13"/>
              <w:ind w:firstLineChars="0" w:firstLine="0"/>
              <w:rPr>
                <w:sz w:val="21"/>
                <w:szCs w:val="21"/>
                <w:lang w:bidi="zh-CN"/>
              </w:rPr>
            </w:pPr>
          </w:p>
        </w:tc>
      </w:tr>
      <w:tr w:rsidR="00CC466D" w:rsidRPr="00466685" w14:paraId="6736B143" w14:textId="77777777" w:rsidTr="00E00A7F">
        <w:trPr>
          <w:trHeight w:val="444"/>
          <w:jc w:val="center"/>
        </w:trPr>
        <w:tc>
          <w:tcPr>
            <w:tcW w:w="1917" w:type="pct"/>
            <w:gridSpan w:val="4"/>
            <w:vAlign w:val="center"/>
          </w:tcPr>
          <w:p w14:paraId="1A08C6C5" w14:textId="77777777" w:rsidR="00CC466D" w:rsidRPr="00466685" w:rsidRDefault="00CC466D" w:rsidP="00E00A7F">
            <w:pPr>
              <w:pStyle w:val="13"/>
              <w:ind w:firstLineChars="0" w:firstLine="0"/>
              <w:rPr>
                <w:sz w:val="21"/>
                <w:szCs w:val="21"/>
                <w:lang w:bidi="zh-CN"/>
              </w:rPr>
            </w:pPr>
            <w:r w:rsidRPr="00466685">
              <w:rPr>
                <w:sz w:val="21"/>
                <w:szCs w:val="21"/>
                <w:lang w:bidi="zh-CN"/>
              </w:rPr>
              <w:t>省属企业（省直有关部门、单位）</w:t>
            </w:r>
          </w:p>
        </w:tc>
        <w:tc>
          <w:tcPr>
            <w:tcW w:w="3083" w:type="pct"/>
            <w:gridSpan w:val="9"/>
          </w:tcPr>
          <w:p w14:paraId="5DBE43AA" w14:textId="77777777" w:rsidR="00CC466D" w:rsidRPr="00466685" w:rsidRDefault="00CC466D" w:rsidP="00E00A7F">
            <w:pPr>
              <w:pStyle w:val="13"/>
              <w:ind w:firstLineChars="0" w:firstLine="0"/>
              <w:rPr>
                <w:sz w:val="21"/>
                <w:szCs w:val="21"/>
                <w:lang w:bidi="zh-CN"/>
              </w:rPr>
            </w:pPr>
          </w:p>
        </w:tc>
      </w:tr>
      <w:tr w:rsidR="00CC466D" w:rsidRPr="00466685" w14:paraId="58D7A6B2" w14:textId="77777777" w:rsidTr="00E00A7F">
        <w:trPr>
          <w:trHeight w:val="2419"/>
          <w:jc w:val="center"/>
        </w:trPr>
        <w:tc>
          <w:tcPr>
            <w:tcW w:w="334" w:type="pct"/>
            <w:textDirection w:val="tbRlV"/>
            <w:vAlign w:val="center"/>
          </w:tcPr>
          <w:p w14:paraId="383B55BF" w14:textId="77777777" w:rsidR="00CC466D" w:rsidRPr="00466685" w:rsidRDefault="00CC466D" w:rsidP="00E00A7F">
            <w:pPr>
              <w:pStyle w:val="13"/>
              <w:ind w:firstLineChars="0" w:firstLine="0"/>
              <w:jc w:val="center"/>
              <w:rPr>
                <w:sz w:val="21"/>
                <w:szCs w:val="21"/>
                <w:lang w:bidi="zh-CN"/>
              </w:rPr>
            </w:pPr>
            <w:r w:rsidRPr="00466685">
              <w:rPr>
                <w:sz w:val="21"/>
                <w:szCs w:val="21"/>
                <w:lang w:bidi="zh-CN"/>
              </w:rPr>
              <w:t>经 济 行 为 类 型</w:t>
            </w:r>
          </w:p>
        </w:tc>
        <w:tc>
          <w:tcPr>
            <w:tcW w:w="4666" w:type="pct"/>
            <w:gridSpan w:val="12"/>
            <w:vAlign w:val="center"/>
          </w:tcPr>
          <w:p w14:paraId="650761B7" w14:textId="77777777" w:rsidR="00CC466D" w:rsidRPr="00CC466D" w:rsidRDefault="00CC466D" w:rsidP="00CC466D">
            <w:pPr>
              <w:pStyle w:val="13"/>
              <w:ind w:firstLineChars="0" w:firstLine="0"/>
              <w:rPr>
                <w:sz w:val="21"/>
                <w:szCs w:val="21"/>
                <w:lang w:bidi="zh-CN"/>
              </w:rPr>
            </w:pPr>
            <w:r w:rsidRPr="00CC466D">
              <w:rPr>
                <w:rFonts w:hint="eastAsia"/>
                <w:sz w:val="21"/>
                <w:szCs w:val="21"/>
                <w:lang w:bidi="zh-CN"/>
              </w:rPr>
              <w:t>□</w:t>
            </w:r>
            <w:r w:rsidRPr="00CC466D">
              <w:rPr>
                <w:sz w:val="21"/>
                <w:szCs w:val="21"/>
                <w:lang w:bidi="zh-CN"/>
              </w:rPr>
              <w:t xml:space="preserve"> 收购非国有单位的资产</w:t>
            </w:r>
          </w:p>
          <w:p w14:paraId="673C924E" w14:textId="77777777" w:rsidR="00CC466D" w:rsidRPr="00CC466D" w:rsidRDefault="00CC466D" w:rsidP="00CC466D">
            <w:pPr>
              <w:pStyle w:val="13"/>
              <w:ind w:firstLine="420"/>
              <w:rPr>
                <w:sz w:val="21"/>
                <w:szCs w:val="21"/>
                <w:lang w:bidi="zh-CN"/>
              </w:rPr>
            </w:pPr>
          </w:p>
          <w:p w14:paraId="19C59899" w14:textId="77777777" w:rsidR="00CC466D" w:rsidRPr="00CC466D" w:rsidRDefault="00CC466D" w:rsidP="00CC466D">
            <w:pPr>
              <w:pStyle w:val="13"/>
              <w:ind w:firstLineChars="0" w:firstLine="0"/>
              <w:rPr>
                <w:sz w:val="21"/>
                <w:szCs w:val="21"/>
                <w:lang w:bidi="zh-CN"/>
              </w:rPr>
            </w:pPr>
            <w:r w:rsidRPr="00CC466D">
              <w:rPr>
                <w:rFonts w:hint="eastAsia"/>
                <w:sz w:val="21"/>
                <w:szCs w:val="21"/>
                <w:lang w:bidi="zh-CN"/>
              </w:rPr>
              <w:t>□</w:t>
            </w:r>
            <w:r w:rsidRPr="00CC466D">
              <w:rPr>
                <w:sz w:val="21"/>
                <w:szCs w:val="21"/>
                <w:lang w:bidi="zh-CN"/>
              </w:rPr>
              <w:t xml:space="preserve"> 接受非国有单位以非货币资产出资</w:t>
            </w:r>
          </w:p>
          <w:p w14:paraId="4C7BEC64" w14:textId="77777777" w:rsidR="00CC466D" w:rsidRPr="00CC466D" w:rsidRDefault="00CC466D" w:rsidP="00CC466D">
            <w:pPr>
              <w:pStyle w:val="13"/>
              <w:ind w:firstLine="420"/>
              <w:rPr>
                <w:sz w:val="21"/>
                <w:szCs w:val="21"/>
                <w:lang w:bidi="zh-CN"/>
              </w:rPr>
            </w:pPr>
          </w:p>
          <w:p w14:paraId="492884C1" w14:textId="77777777" w:rsidR="00CC466D" w:rsidRPr="00CC466D" w:rsidRDefault="00CC466D" w:rsidP="00CC466D">
            <w:pPr>
              <w:pStyle w:val="13"/>
              <w:ind w:firstLineChars="0" w:firstLine="0"/>
              <w:rPr>
                <w:sz w:val="21"/>
                <w:szCs w:val="21"/>
                <w:lang w:bidi="zh-CN"/>
              </w:rPr>
            </w:pPr>
            <w:r w:rsidRPr="00CC466D">
              <w:rPr>
                <w:rFonts w:hint="eastAsia"/>
                <w:sz w:val="21"/>
                <w:szCs w:val="21"/>
                <w:lang w:bidi="zh-CN"/>
              </w:rPr>
              <w:t>□</w:t>
            </w:r>
            <w:r w:rsidRPr="00CC466D">
              <w:rPr>
                <w:sz w:val="21"/>
                <w:szCs w:val="21"/>
                <w:lang w:bidi="zh-CN"/>
              </w:rPr>
              <w:t xml:space="preserve"> 接受非国有单位以非货币资产抵债</w:t>
            </w:r>
          </w:p>
          <w:p w14:paraId="3279C472" w14:textId="77777777" w:rsidR="00CC466D" w:rsidRPr="00CC466D" w:rsidRDefault="00CC466D" w:rsidP="00CC466D">
            <w:pPr>
              <w:pStyle w:val="13"/>
              <w:ind w:firstLine="420"/>
              <w:rPr>
                <w:sz w:val="21"/>
                <w:szCs w:val="21"/>
                <w:lang w:bidi="zh-CN"/>
              </w:rPr>
            </w:pPr>
          </w:p>
          <w:p w14:paraId="45DA0AA8" w14:textId="04720536" w:rsidR="00CC466D" w:rsidRPr="00466685" w:rsidRDefault="00CC466D" w:rsidP="00CC466D">
            <w:pPr>
              <w:pStyle w:val="13"/>
              <w:ind w:firstLineChars="0" w:firstLine="0"/>
              <w:rPr>
                <w:sz w:val="21"/>
                <w:szCs w:val="21"/>
                <w:lang w:bidi="zh-CN"/>
              </w:rPr>
            </w:pPr>
            <w:r w:rsidRPr="00CC466D">
              <w:rPr>
                <w:rFonts w:hint="eastAsia"/>
                <w:sz w:val="21"/>
                <w:szCs w:val="21"/>
                <w:lang w:bidi="zh-CN"/>
              </w:rPr>
              <w:t>□</w:t>
            </w:r>
            <w:r w:rsidRPr="00CC466D">
              <w:rPr>
                <w:sz w:val="21"/>
                <w:szCs w:val="21"/>
                <w:lang w:bidi="zh-CN"/>
              </w:rPr>
              <w:t xml:space="preserve"> 其他</w:t>
            </w:r>
          </w:p>
        </w:tc>
      </w:tr>
      <w:tr w:rsidR="00CC466D" w:rsidRPr="00466685" w14:paraId="30037B2B" w14:textId="77777777" w:rsidTr="00E00A7F">
        <w:trPr>
          <w:trHeight w:val="633"/>
          <w:jc w:val="center"/>
        </w:trPr>
        <w:tc>
          <w:tcPr>
            <w:tcW w:w="1091" w:type="pct"/>
            <w:gridSpan w:val="2"/>
            <w:vAlign w:val="center"/>
          </w:tcPr>
          <w:p w14:paraId="6422E86F" w14:textId="77777777" w:rsidR="00CC466D" w:rsidRPr="00466685" w:rsidRDefault="00CC466D" w:rsidP="00E00A7F">
            <w:pPr>
              <w:pStyle w:val="13"/>
              <w:ind w:firstLineChars="0" w:firstLine="0"/>
              <w:rPr>
                <w:sz w:val="21"/>
                <w:szCs w:val="21"/>
                <w:lang w:bidi="zh-CN"/>
              </w:rPr>
            </w:pPr>
            <w:r w:rsidRPr="00466685">
              <w:rPr>
                <w:sz w:val="21"/>
                <w:szCs w:val="21"/>
                <w:lang w:bidi="zh-CN"/>
              </w:rPr>
              <w:t>评估报告编号</w:t>
            </w:r>
          </w:p>
        </w:tc>
        <w:tc>
          <w:tcPr>
            <w:tcW w:w="1887" w:type="pct"/>
            <w:gridSpan w:val="5"/>
          </w:tcPr>
          <w:p w14:paraId="2A3BC823" w14:textId="77777777" w:rsidR="00CC466D" w:rsidRPr="00466685" w:rsidRDefault="00CC466D" w:rsidP="00E00A7F">
            <w:pPr>
              <w:pStyle w:val="13"/>
              <w:ind w:firstLineChars="0" w:firstLine="0"/>
              <w:rPr>
                <w:sz w:val="21"/>
                <w:szCs w:val="21"/>
                <w:lang w:bidi="zh-CN"/>
              </w:rPr>
            </w:pPr>
          </w:p>
        </w:tc>
        <w:tc>
          <w:tcPr>
            <w:tcW w:w="1070" w:type="pct"/>
            <w:gridSpan w:val="3"/>
            <w:vAlign w:val="center"/>
          </w:tcPr>
          <w:p w14:paraId="5279AA13" w14:textId="77777777" w:rsidR="00CC466D" w:rsidRPr="00466685" w:rsidRDefault="00CC466D" w:rsidP="00E00A7F">
            <w:pPr>
              <w:pStyle w:val="13"/>
              <w:ind w:firstLineChars="0" w:firstLine="0"/>
              <w:rPr>
                <w:sz w:val="21"/>
                <w:szCs w:val="21"/>
                <w:lang w:bidi="zh-CN"/>
              </w:rPr>
            </w:pPr>
            <w:r w:rsidRPr="00466685">
              <w:rPr>
                <w:sz w:val="21"/>
                <w:szCs w:val="21"/>
                <w:lang w:bidi="zh-CN"/>
              </w:rPr>
              <w:t>主要评估方法</w:t>
            </w:r>
          </w:p>
        </w:tc>
        <w:tc>
          <w:tcPr>
            <w:tcW w:w="953" w:type="pct"/>
            <w:gridSpan w:val="3"/>
          </w:tcPr>
          <w:p w14:paraId="207E800F" w14:textId="77777777" w:rsidR="00CC466D" w:rsidRPr="00466685" w:rsidRDefault="00CC466D" w:rsidP="00E00A7F">
            <w:pPr>
              <w:pStyle w:val="13"/>
              <w:ind w:firstLineChars="0" w:firstLine="0"/>
              <w:rPr>
                <w:sz w:val="21"/>
                <w:szCs w:val="21"/>
                <w:lang w:bidi="zh-CN"/>
              </w:rPr>
            </w:pPr>
          </w:p>
        </w:tc>
      </w:tr>
      <w:tr w:rsidR="00CC466D" w:rsidRPr="00466685" w14:paraId="3EFA2620" w14:textId="77777777" w:rsidTr="00E00A7F">
        <w:trPr>
          <w:trHeight w:val="589"/>
          <w:jc w:val="center"/>
        </w:trPr>
        <w:tc>
          <w:tcPr>
            <w:tcW w:w="1091" w:type="pct"/>
            <w:gridSpan w:val="2"/>
            <w:vAlign w:val="center"/>
          </w:tcPr>
          <w:p w14:paraId="1098F18C" w14:textId="77777777" w:rsidR="00CC466D" w:rsidRPr="00466685" w:rsidRDefault="00CC466D" w:rsidP="00E00A7F">
            <w:pPr>
              <w:pStyle w:val="13"/>
              <w:ind w:firstLineChars="0" w:firstLine="0"/>
              <w:rPr>
                <w:sz w:val="21"/>
                <w:szCs w:val="21"/>
                <w:lang w:bidi="zh-CN"/>
              </w:rPr>
            </w:pPr>
            <w:r w:rsidRPr="00466685">
              <w:rPr>
                <w:sz w:val="21"/>
                <w:szCs w:val="21"/>
                <w:lang w:bidi="zh-CN"/>
              </w:rPr>
              <w:t>评估机构名称</w:t>
            </w:r>
          </w:p>
        </w:tc>
        <w:tc>
          <w:tcPr>
            <w:tcW w:w="1887" w:type="pct"/>
            <w:gridSpan w:val="5"/>
          </w:tcPr>
          <w:p w14:paraId="567741EE" w14:textId="77777777" w:rsidR="00CC466D" w:rsidRPr="00466685" w:rsidRDefault="00CC466D" w:rsidP="00E00A7F">
            <w:pPr>
              <w:pStyle w:val="13"/>
              <w:ind w:firstLineChars="0" w:firstLine="0"/>
              <w:rPr>
                <w:sz w:val="21"/>
                <w:szCs w:val="21"/>
                <w:lang w:bidi="zh-CN"/>
              </w:rPr>
            </w:pPr>
          </w:p>
        </w:tc>
        <w:tc>
          <w:tcPr>
            <w:tcW w:w="1070" w:type="pct"/>
            <w:gridSpan w:val="3"/>
            <w:vAlign w:val="center"/>
          </w:tcPr>
          <w:p w14:paraId="38291889" w14:textId="77777777" w:rsidR="00CC466D" w:rsidRPr="00466685" w:rsidRDefault="00CC466D" w:rsidP="00E00A7F">
            <w:pPr>
              <w:pStyle w:val="13"/>
              <w:ind w:firstLineChars="0" w:firstLine="0"/>
              <w:rPr>
                <w:sz w:val="21"/>
                <w:szCs w:val="21"/>
                <w:lang w:bidi="zh-CN"/>
              </w:rPr>
            </w:pPr>
            <w:r w:rsidRPr="00466685">
              <w:rPr>
                <w:sz w:val="21"/>
                <w:szCs w:val="21"/>
                <w:lang w:bidi="zh-CN"/>
              </w:rPr>
              <w:t>资质证书编号</w:t>
            </w:r>
          </w:p>
        </w:tc>
        <w:tc>
          <w:tcPr>
            <w:tcW w:w="953" w:type="pct"/>
            <w:gridSpan w:val="3"/>
          </w:tcPr>
          <w:p w14:paraId="1B9F07C7" w14:textId="77777777" w:rsidR="00CC466D" w:rsidRPr="00466685" w:rsidRDefault="00CC466D" w:rsidP="00E00A7F">
            <w:pPr>
              <w:pStyle w:val="13"/>
              <w:ind w:firstLineChars="0" w:firstLine="0"/>
              <w:rPr>
                <w:sz w:val="21"/>
                <w:szCs w:val="21"/>
                <w:lang w:bidi="zh-CN"/>
              </w:rPr>
            </w:pPr>
          </w:p>
        </w:tc>
      </w:tr>
      <w:tr w:rsidR="00CC466D" w:rsidRPr="00466685" w14:paraId="2F96BB86" w14:textId="77777777" w:rsidTr="00E00A7F">
        <w:trPr>
          <w:trHeight w:val="611"/>
          <w:jc w:val="center"/>
        </w:trPr>
        <w:tc>
          <w:tcPr>
            <w:tcW w:w="1091" w:type="pct"/>
            <w:gridSpan w:val="2"/>
            <w:vAlign w:val="center"/>
          </w:tcPr>
          <w:p w14:paraId="1D956262" w14:textId="77777777" w:rsidR="00CC466D" w:rsidRPr="00466685" w:rsidRDefault="00CC466D" w:rsidP="00E00A7F">
            <w:pPr>
              <w:pStyle w:val="13"/>
              <w:ind w:firstLineChars="0" w:firstLine="0"/>
              <w:rPr>
                <w:sz w:val="21"/>
                <w:szCs w:val="21"/>
                <w:lang w:bidi="zh-CN"/>
              </w:rPr>
            </w:pPr>
            <w:r w:rsidRPr="00466685">
              <w:rPr>
                <w:sz w:val="21"/>
                <w:szCs w:val="21"/>
                <w:lang w:bidi="zh-CN"/>
              </w:rPr>
              <w:t>资产评估师姓名</w:t>
            </w:r>
          </w:p>
        </w:tc>
        <w:tc>
          <w:tcPr>
            <w:tcW w:w="894" w:type="pct"/>
            <w:gridSpan w:val="3"/>
          </w:tcPr>
          <w:p w14:paraId="06EC0B64" w14:textId="77777777" w:rsidR="00CC466D" w:rsidRPr="00466685" w:rsidRDefault="00CC466D" w:rsidP="00E00A7F">
            <w:pPr>
              <w:pStyle w:val="13"/>
              <w:ind w:firstLineChars="0" w:firstLine="0"/>
              <w:rPr>
                <w:sz w:val="21"/>
                <w:szCs w:val="21"/>
                <w:lang w:bidi="zh-CN"/>
              </w:rPr>
            </w:pPr>
          </w:p>
        </w:tc>
        <w:tc>
          <w:tcPr>
            <w:tcW w:w="993" w:type="pct"/>
            <w:gridSpan w:val="2"/>
          </w:tcPr>
          <w:p w14:paraId="287DC13D" w14:textId="77777777" w:rsidR="00CC466D" w:rsidRPr="00466685" w:rsidRDefault="00CC466D" w:rsidP="00E00A7F">
            <w:pPr>
              <w:pStyle w:val="13"/>
              <w:ind w:firstLineChars="0" w:firstLine="0"/>
              <w:rPr>
                <w:sz w:val="21"/>
                <w:szCs w:val="21"/>
                <w:lang w:bidi="zh-CN"/>
              </w:rPr>
            </w:pPr>
          </w:p>
        </w:tc>
        <w:tc>
          <w:tcPr>
            <w:tcW w:w="1070" w:type="pct"/>
            <w:gridSpan w:val="3"/>
            <w:vAlign w:val="center"/>
          </w:tcPr>
          <w:p w14:paraId="7B6B06B1" w14:textId="77777777" w:rsidR="00CC466D" w:rsidRPr="00466685" w:rsidRDefault="00CC466D" w:rsidP="00E00A7F">
            <w:pPr>
              <w:pStyle w:val="13"/>
              <w:ind w:firstLineChars="0" w:firstLine="0"/>
              <w:rPr>
                <w:sz w:val="21"/>
                <w:szCs w:val="21"/>
                <w:lang w:bidi="zh-CN"/>
              </w:rPr>
            </w:pPr>
            <w:r w:rsidRPr="00466685">
              <w:rPr>
                <w:sz w:val="21"/>
                <w:szCs w:val="21"/>
                <w:lang w:bidi="zh-CN"/>
              </w:rPr>
              <w:t>资产评估师编号</w:t>
            </w:r>
          </w:p>
        </w:tc>
        <w:tc>
          <w:tcPr>
            <w:tcW w:w="761" w:type="pct"/>
            <w:gridSpan w:val="2"/>
          </w:tcPr>
          <w:p w14:paraId="53ECA3B8" w14:textId="77777777" w:rsidR="00CC466D" w:rsidRPr="00466685" w:rsidRDefault="00CC466D" w:rsidP="00E00A7F">
            <w:pPr>
              <w:pStyle w:val="13"/>
              <w:ind w:firstLineChars="0" w:firstLine="0"/>
              <w:rPr>
                <w:sz w:val="21"/>
                <w:szCs w:val="21"/>
                <w:lang w:bidi="zh-CN"/>
              </w:rPr>
            </w:pPr>
          </w:p>
        </w:tc>
        <w:tc>
          <w:tcPr>
            <w:tcW w:w="191" w:type="pct"/>
          </w:tcPr>
          <w:p w14:paraId="3851A794" w14:textId="77777777" w:rsidR="00CC466D" w:rsidRPr="00466685" w:rsidRDefault="00CC466D" w:rsidP="00E00A7F">
            <w:pPr>
              <w:pStyle w:val="13"/>
              <w:ind w:firstLineChars="0" w:firstLine="0"/>
              <w:rPr>
                <w:sz w:val="21"/>
                <w:szCs w:val="21"/>
                <w:lang w:bidi="zh-CN"/>
              </w:rPr>
            </w:pPr>
          </w:p>
        </w:tc>
      </w:tr>
      <w:tr w:rsidR="00CC466D" w:rsidRPr="00466685" w14:paraId="739FCA7A" w14:textId="77777777" w:rsidTr="00E00A7F">
        <w:trPr>
          <w:trHeight w:val="639"/>
          <w:jc w:val="center"/>
        </w:trPr>
        <w:tc>
          <w:tcPr>
            <w:tcW w:w="1091" w:type="pct"/>
            <w:gridSpan w:val="2"/>
            <w:vAlign w:val="center"/>
          </w:tcPr>
          <w:p w14:paraId="00637091" w14:textId="080E6DD7" w:rsidR="00CC466D" w:rsidRPr="00466685" w:rsidRDefault="00CC466D" w:rsidP="00CC466D">
            <w:pPr>
              <w:pStyle w:val="13"/>
              <w:ind w:firstLineChars="0" w:firstLine="0"/>
              <w:rPr>
                <w:sz w:val="21"/>
                <w:szCs w:val="21"/>
                <w:lang w:bidi="zh-CN"/>
              </w:rPr>
            </w:pPr>
            <w:r w:rsidRPr="00CC466D">
              <w:rPr>
                <w:rFonts w:hint="eastAsia"/>
                <w:sz w:val="21"/>
                <w:szCs w:val="21"/>
                <w:lang w:bidi="zh-CN"/>
              </w:rPr>
              <w:t>接受非国有资产的企业联系人</w:t>
            </w:r>
          </w:p>
        </w:tc>
        <w:tc>
          <w:tcPr>
            <w:tcW w:w="596" w:type="pct"/>
          </w:tcPr>
          <w:p w14:paraId="01E218C3" w14:textId="77777777" w:rsidR="00CC466D" w:rsidRPr="00466685" w:rsidRDefault="00CC466D" w:rsidP="00E00A7F">
            <w:pPr>
              <w:pStyle w:val="13"/>
              <w:ind w:firstLineChars="0" w:firstLine="0"/>
              <w:rPr>
                <w:sz w:val="21"/>
                <w:szCs w:val="21"/>
                <w:lang w:bidi="zh-CN"/>
              </w:rPr>
            </w:pPr>
          </w:p>
        </w:tc>
        <w:tc>
          <w:tcPr>
            <w:tcW w:w="689" w:type="pct"/>
            <w:gridSpan w:val="3"/>
            <w:vAlign w:val="center"/>
          </w:tcPr>
          <w:p w14:paraId="59DC9927" w14:textId="77777777" w:rsidR="00CC466D" w:rsidRPr="00466685" w:rsidRDefault="00CC466D" w:rsidP="00E00A7F">
            <w:pPr>
              <w:pStyle w:val="13"/>
              <w:ind w:firstLineChars="0" w:firstLine="0"/>
              <w:jc w:val="center"/>
              <w:rPr>
                <w:sz w:val="21"/>
                <w:szCs w:val="21"/>
                <w:lang w:bidi="zh-CN"/>
              </w:rPr>
            </w:pPr>
            <w:r w:rsidRPr="00466685">
              <w:rPr>
                <w:sz w:val="21"/>
                <w:szCs w:val="21"/>
                <w:lang w:bidi="zh-CN"/>
              </w:rPr>
              <w:t>电  话</w:t>
            </w:r>
          </w:p>
        </w:tc>
        <w:tc>
          <w:tcPr>
            <w:tcW w:w="1098" w:type="pct"/>
            <w:gridSpan w:val="2"/>
          </w:tcPr>
          <w:p w14:paraId="7EEC4ABD" w14:textId="77777777" w:rsidR="00CC466D" w:rsidRPr="00466685" w:rsidRDefault="00CC466D" w:rsidP="00E00A7F">
            <w:pPr>
              <w:pStyle w:val="13"/>
              <w:ind w:firstLineChars="0" w:firstLine="0"/>
              <w:rPr>
                <w:sz w:val="21"/>
                <w:szCs w:val="21"/>
                <w:lang w:bidi="zh-CN"/>
              </w:rPr>
            </w:pPr>
          </w:p>
        </w:tc>
        <w:tc>
          <w:tcPr>
            <w:tcW w:w="573" w:type="pct"/>
            <w:gridSpan w:val="2"/>
            <w:vAlign w:val="center"/>
          </w:tcPr>
          <w:p w14:paraId="49FC2FEB" w14:textId="77777777" w:rsidR="00CC466D" w:rsidRPr="00466685" w:rsidRDefault="00CC466D" w:rsidP="00E00A7F">
            <w:pPr>
              <w:pStyle w:val="13"/>
              <w:ind w:firstLineChars="0" w:firstLine="0"/>
              <w:jc w:val="center"/>
              <w:rPr>
                <w:sz w:val="21"/>
                <w:szCs w:val="21"/>
                <w:lang w:bidi="zh-CN"/>
              </w:rPr>
            </w:pPr>
            <w:r w:rsidRPr="00466685">
              <w:rPr>
                <w:sz w:val="21"/>
                <w:szCs w:val="21"/>
                <w:lang w:bidi="zh-CN"/>
              </w:rPr>
              <w:t>通  讯 地  址</w:t>
            </w:r>
          </w:p>
        </w:tc>
        <w:tc>
          <w:tcPr>
            <w:tcW w:w="953" w:type="pct"/>
            <w:gridSpan w:val="3"/>
          </w:tcPr>
          <w:p w14:paraId="6AC71C91" w14:textId="77777777" w:rsidR="00CC466D" w:rsidRPr="00466685" w:rsidRDefault="00CC466D" w:rsidP="00E00A7F">
            <w:pPr>
              <w:pStyle w:val="13"/>
              <w:ind w:firstLineChars="0" w:firstLine="0"/>
              <w:rPr>
                <w:sz w:val="21"/>
                <w:szCs w:val="21"/>
                <w:lang w:bidi="zh-CN"/>
              </w:rPr>
            </w:pPr>
          </w:p>
        </w:tc>
      </w:tr>
      <w:tr w:rsidR="00CC466D" w:rsidRPr="00466685" w14:paraId="7CFE5485" w14:textId="77777777" w:rsidTr="00E00A7F">
        <w:trPr>
          <w:trHeight w:val="956"/>
          <w:jc w:val="center"/>
        </w:trPr>
        <w:tc>
          <w:tcPr>
            <w:tcW w:w="1091" w:type="pct"/>
            <w:gridSpan w:val="2"/>
            <w:vAlign w:val="center"/>
          </w:tcPr>
          <w:p w14:paraId="5427A86C" w14:textId="77777777" w:rsidR="00CC466D" w:rsidRPr="00466685" w:rsidRDefault="00CC466D" w:rsidP="00E00A7F">
            <w:pPr>
              <w:pStyle w:val="13"/>
              <w:ind w:firstLineChars="0" w:firstLine="0"/>
              <w:rPr>
                <w:sz w:val="21"/>
                <w:szCs w:val="21"/>
                <w:lang w:bidi="zh-CN"/>
              </w:rPr>
            </w:pPr>
            <w:r w:rsidRPr="00466685">
              <w:rPr>
                <w:sz w:val="21"/>
                <w:szCs w:val="21"/>
                <w:lang w:bidi="zh-CN"/>
              </w:rPr>
              <w:t>省属企业(省直</w:t>
            </w:r>
          </w:p>
          <w:p w14:paraId="10752C0D" w14:textId="77777777" w:rsidR="00CC466D" w:rsidRPr="00466685" w:rsidRDefault="00CC466D" w:rsidP="00E00A7F">
            <w:pPr>
              <w:pStyle w:val="13"/>
              <w:ind w:firstLineChars="0" w:firstLine="0"/>
              <w:rPr>
                <w:sz w:val="21"/>
                <w:szCs w:val="21"/>
                <w:lang w:bidi="zh-CN"/>
              </w:rPr>
            </w:pPr>
            <w:r w:rsidRPr="00466685">
              <w:rPr>
                <w:sz w:val="21"/>
                <w:szCs w:val="21"/>
                <w:lang w:bidi="zh-CN"/>
              </w:rPr>
              <w:t>有关部门、单位)</w:t>
            </w:r>
          </w:p>
          <w:p w14:paraId="7A27A903" w14:textId="77777777" w:rsidR="00CC466D" w:rsidRPr="00466685" w:rsidRDefault="00CC466D" w:rsidP="00E00A7F">
            <w:pPr>
              <w:pStyle w:val="13"/>
              <w:ind w:firstLineChars="0" w:firstLine="0"/>
              <w:rPr>
                <w:sz w:val="21"/>
                <w:szCs w:val="21"/>
                <w:lang w:bidi="zh-CN"/>
              </w:rPr>
            </w:pPr>
            <w:r w:rsidRPr="00466685">
              <w:rPr>
                <w:sz w:val="21"/>
                <w:szCs w:val="21"/>
                <w:lang w:bidi="zh-CN"/>
              </w:rPr>
              <w:t>联系人</w:t>
            </w:r>
          </w:p>
        </w:tc>
        <w:tc>
          <w:tcPr>
            <w:tcW w:w="596" w:type="pct"/>
          </w:tcPr>
          <w:p w14:paraId="5E8BE46E" w14:textId="77777777" w:rsidR="00CC466D" w:rsidRPr="00466685" w:rsidRDefault="00CC466D" w:rsidP="00E00A7F">
            <w:pPr>
              <w:pStyle w:val="13"/>
              <w:ind w:firstLineChars="0" w:firstLine="0"/>
              <w:rPr>
                <w:sz w:val="21"/>
                <w:szCs w:val="21"/>
                <w:lang w:bidi="zh-CN"/>
              </w:rPr>
            </w:pPr>
          </w:p>
        </w:tc>
        <w:tc>
          <w:tcPr>
            <w:tcW w:w="689" w:type="pct"/>
            <w:gridSpan w:val="3"/>
            <w:vAlign w:val="center"/>
          </w:tcPr>
          <w:p w14:paraId="37C7320B" w14:textId="77777777" w:rsidR="00CC466D" w:rsidRPr="00466685" w:rsidRDefault="00CC466D" w:rsidP="00E00A7F">
            <w:pPr>
              <w:pStyle w:val="13"/>
              <w:ind w:firstLineChars="0" w:firstLine="0"/>
              <w:jc w:val="center"/>
              <w:rPr>
                <w:sz w:val="21"/>
                <w:szCs w:val="21"/>
                <w:lang w:bidi="zh-CN"/>
              </w:rPr>
            </w:pPr>
            <w:r w:rsidRPr="00466685">
              <w:rPr>
                <w:sz w:val="21"/>
                <w:szCs w:val="21"/>
                <w:lang w:bidi="zh-CN"/>
              </w:rPr>
              <w:t>电  话</w:t>
            </w:r>
          </w:p>
        </w:tc>
        <w:tc>
          <w:tcPr>
            <w:tcW w:w="1098" w:type="pct"/>
            <w:gridSpan w:val="2"/>
          </w:tcPr>
          <w:p w14:paraId="6FD7A0EB" w14:textId="77777777" w:rsidR="00CC466D" w:rsidRPr="00466685" w:rsidRDefault="00CC466D" w:rsidP="00E00A7F">
            <w:pPr>
              <w:pStyle w:val="13"/>
              <w:ind w:firstLineChars="0" w:firstLine="0"/>
              <w:rPr>
                <w:sz w:val="21"/>
                <w:szCs w:val="21"/>
                <w:lang w:bidi="zh-CN"/>
              </w:rPr>
            </w:pPr>
          </w:p>
        </w:tc>
        <w:tc>
          <w:tcPr>
            <w:tcW w:w="573" w:type="pct"/>
            <w:gridSpan w:val="2"/>
            <w:vAlign w:val="center"/>
          </w:tcPr>
          <w:p w14:paraId="3E4537CE" w14:textId="77777777" w:rsidR="00CC466D" w:rsidRPr="00466685" w:rsidRDefault="00CC466D" w:rsidP="00E00A7F">
            <w:pPr>
              <w:pStyle w:val="13"/>
              <w:ind w:firstLineChars="0" w:firstLine="0"/>
              <w:jc w:val="center"/>
              <w:rPr>
                <w:sz w:val="21"/>
                <w:szCs w:val="21"/>
                <w:lang w:bidi="zh-CN"/>
              </w:rPr>
            </w:pPr>
            <w:r w:rsidRPr="00466685">
              <w:rPr>
                <w:sz w:val="21"/>
                <w:szCs w:val="21"/>
                <w:lang w:bidi="zh-CN"/>
              </w:rPr>
              <w:t>通  讯 地  址</w:t>
            </w:r>
          </w:p>
        </w:tc>
        <w:tc>
          <w:tcPr>
            <w:tcW w:w="953" w:type="pct"/>
            <w:gridSpan w:val="3"/>
          </w:tcPr>
          <w:p w14:paraId="007AAAFD" w14:textId="77777777" w:rsidR="00CC466D" w:rsidRPr="00466685" w:rsidRDefault="00CC466D" w:rsidP="00E00A7F">
            <w:pPr>
              <w:pStyle w:val="13"/>
              <w:ind w:firstLineChars="0" w:firstLine="0"/>
              <w:rPr>
                <w:sz w:val="21"/>
                <w:szCs w:val="21"/>
                <w:lang w:bidi="zh-CN"/>
              </w:rPr>
            </w:pPr>
          </w:p>
        </w:tc>
      </w:tr>
      <w:tr w:rsidR="00CC466D" w:rsidRPr="00466685" w14:paraId="72B7B674" w14:textId="77777777" w:rsidTr="00CC466D">
        <w:trPr>
          <w:trHeight w:val="20"/>
          <w:jc w:val="center"/>
        </w:trPr>
        <w:tc>
          <w:tcPr>
            <w:tcW w:w="1687" w:type="pct"/>
            <w:gridSpan w:val="3"/>
            <w:vAlign w:val="bottom"/>
          </w:tcPr>
          <w:p w14:paraId="67C78F16" w14:textId="77777777" w:rsidR="00CC466D" w:rsidRPr="00466685" w:rsidRDefault="00CC466D" w:rsidP="00E00A7F">
            <w:pPr>
              <w:pStyle w:val="13"/>
              <w:ind w:firstLineChars="0" w:firstLine="0"/>
              <w:rPr>
                <w:sz w:val="21"/>
                <w:szCs w:val="21"/>
                <w:lang w:bidi="zh-CN"/>
              </w:rPr>
            </w:pPr>
          </w:p>
          <w:p w14:paraId="6DC92411" w14:textId="77777777" w:rsidR="00CC466D" w:rsidRPr="00466685" w:rsidRDefault="00CC466D" w:rsidP="00E00A7F">
            <w:pPr>
              <w:pStyle w:val="13"/>
              <w:ind w:firstLineChars="0" w:firstLine="0"/>
              <w:rPr>
                <w:sz w:val="21"/>
                <w:szCs w:val="21"/>
                <w:lang w:bidi="zh-CN"/>
              </w:rPr>
            </w:pPr>
          </w:p>
          <w:p w14:paraId="5879A1A7" w14:textId="77777777" w:rsidR="00CC466D" w:rsidRPr="00466685" w:rsidRDefault="00CC466D" w:rsidP="00E00A7F">
            <w:pPr>
              <w:pStyle w:val="13"/>
              <w:ind w:firstLineChars="0" w:firstLine="0"/>
              <w:jc w:val="center"/>
              <w:rPr>
                <w:sz w:val="21"/>
                <w:szCs w:val="21"/>
                <w:lang w:bidi="zh-CN"/>
              </w:rPr>
            </w:pPr>
            <w:r w:rsidRPr="00466685">
              <w:rPr>
                <w:sz w:val="21"/>
                <w:szCs w:val="21"/>
                <w:lang w:bidi="zh-CN"/>
              </w:rPr>
              <w:t>产权持有单位盖章</w:t>
            </w:r>
          </w:p>
          <w:p w14:paraId="4D3B58B6" w14:textId="77777777" w:rsidR="00CC466D" w:rsidRPr="00466685" w:rsidRDefault="00CC466D" w:rsidP="00E00A7F">
            <w:pPr>
              <w:pStyle w:val="13"/>
              <w:ind w:firstLineChars="0" w:firstLine="0"/>
              <w:rPr>
                <w:sz w:val="21"/>
                <w:szCs w:val="21"/>
                <w:lang w:bidi="zh-CN"/>
              </w:rPr>
            </w:pPr>
          </w:p>
          <w:p w14:paraId="78C71E2C" w14:textId="77777777" w:rsidR="00CC466D" w:rsidRPr="00466685" w:rsidRDefault="00CC466D" w:rsidP="00E00A7F">
            <w:pPr>
              <w:pStyle w:val="13"/>
              <w:ind w:firstLineChars="0" w:firstLine="0"/>
              <w:rPr>
                <w:sz w:val="21"/>
                <w:szCs w:val="21"/>
                <w:lang w:bidi="zh-CN"/>
              </w:rPr>
            </w:pPr>
          </w:p>
          <w:p w14:paraId="09DD78F2" w14:textId="77777777" w:rsidR="00CC466D" w:rsidRPr="00466685" w:rsidRDefault="00CC466D" w:rsidP="00E00A7F">
            <w:pPr>
              <w:pStyle w:val="13"/>
              <w:ind w:firstLineChars="0" w:firstLine="0"/>
              <w:rPr>
                <w:sz w:val="21"/>
                <w:szCs w:val="21"/>
                <w:lang w:bidi="zh-CN"/>
              </w:rPr>
            </w:pPr>
            <w:r w:rsidRPr="00466685">
              <w:rPr>
                <w:sz w:val="21"/>
                <w:szCs w:val="21"/>
                <w:lang w:bidi="zh-CN"/>
              </w:rPr>
              <w:t>法定代表人签字：</w:t>
            </w:r>
          </w:p>
          <w:p w14:paraId="1075923E" w14:textId="77777777" w:rsidR="00CC466D" w:rsidRPr="00466685" w:rsidRDefault="00CC466D" w:rsidP="00E00A7F">
            <w:pPr>
              <w:pStyle w:val="13"/>
              <w:ind w:firstLineChars="0" w:firstLine="0"/>
              <w:rPr>
                <w:sz w:val="21"/>
                <w:szCs w:val="21"/>
                <w:lang w:bidi="zh-CN"/>
              </w:rPr>
            </w:pPr>
          </w:p>
          <w:p w14:paraId="0977FC17" w14:textId="642FEB93" w:rsidR="00CC466D" w:rsidRPr="00466685" w:rsidRDefault="00CC466D" w:rsidP="00E00A7F">
            <w:pPr>
              <w:pStyle w:val="13"/>
              <w:ind w:firstLineChars="0" w:firstLine="0"/>
              <w:rPr>
                <w:sz w:val="21"/>
                <w:szCs w:val="21"/>
                <w:lang w:bidi="zh-CN"/>
              </w:rPr>
            </w:pPr>
            <w:r w:rsidRPr="00466685">
              <w:rPr>
                <w:sz w:val="21"/>
                <w:szCs w:val="21"/>
                <w:lang w:bidi="zh-CN"/>
              </w:rPr>
              <w:t xml:space="preserve">年 </w:t>
            </w:r>
            <w:r w:rsidR="003068F8">
              <w:rPr>
                <w:sz w:val="21"/>
                <w:szCs w:val="21"/>
                <w:lang w:bidi="zh-CN"/>
              </w:rPr>
              <w:t>月日</w:t>
            </w:r>
          </w:p>
        </w:tc>
        <w:tc>
          <w:tcPr>
            <w:tcW w:w="1787" w:type="pct"/>
            <w:gridSpan w:val="5"/>
            <w:vAlign w:val="bottom"/>
          </w:tcPr>
          <w:p w14:paraId="575F935C" w14:textId="77777777" w:rsidR="00CC466D" w:rsidRPr="00466685" w:rsidRDefault="00CC466D" w:rsidP="00E00A7F">
            <w:pPr>
              <w:pStyle w:val="13"/>
              <w:ind w:firstLineChars="0" w:firstLine="0"/>
              <w:rPr>
                <w:sz w:val="21"/>
                <w:szCs w:val="21"/>
                <w:lang w:bidi="zh-CN"/>
              </w:rPr>
            </w:pPr>
          </w:p>
          <w:p w14:paraId="08A51308" w14:textId="77777777" w:rsidR="00CC466D" w:rsidRPr="00466685" w:rsidRDefault="00CC466D" w:rsidP="00E00A7F">
            <w:pPr>
              <w:pStyle w:val="13"/>
              <w:ind w:firstLineChars="0" w:firstLine="0"/>
              <w:rPr>
                <w:sz w:val="21"/>
                <w:szCs w:val="21"/>
                <w:lang w:bidi="zh-CN"/>
              </w:rPr>
            </w:pPr>
          </w:p>
          <w:p w14:paraId="3FD7CEE2" w14:textId="77777777" w:rsidR="00CC466D" w:rsidRPr="00466685" w:rsidRDefault="00CC466D" w:rsidP="00E00A7F">
            <w:pPr>
              <w:pStyle w:val="13"/>
              <w:ind w:firstLineChars="0" w:firstLine="0"/>
              <w:jc w:val="center"/>
              <w:rPr>
                <w:sz w:val="21"/>
                <w:szCs w:val="21"/>
                <w:lang w:bidi="zh-CN"/>
              </w:rPr>
            </w:pPr>
            <w:r w:rsidRPr="00466685">
              <w:rPr>
                <w:sz w:val="21"/>
                <w:szCs w:val="21"/>
                <w:lang w:bidi="zh-CN"/>
              </w:rPr>
              <w:t>上级单位盖章</w:t>
            </w:r>
          </w:p>
          <w:p w14:paraId="552877B0" w14:textId="77777777" w:rsidR="00CC466D" w:rsidRPr="00466685" w:rsidRDefault="00CC466D" w:rsidP="00E00A7F">
            <w:pPr>
              <w:pStyle w:val="13"/>
              <w:ind w:firstLineChars="0" w:firstLine="0"/>
              <w:rPr>
                <w:sz w:val="21"/>
                <w:szCs w:val="21"/>
                <w:lang w:bidi="zh-CN"/>
              </w:rPr>
            </w:pPr>
          </w:p>
          <w:p w14:paraId="0C846EA3" w14:textId="77777777" w:rsidR="00CC466D" w:rsidRPr="00466685" w:rsidRDefault="00CC466D" w:rsidP="00E00A7F">
            <w:pPr>
              <w:pStyle w:val="13"/>
              <w:ind w:firstLineChars="0" w:firstLine="0"/>
              <w:rPr>
                <w:sz w:val="21"/>
                <w:szCs w:val="21"/>
                <w:lang w:bidi="zh-CN"/>
              </w:rPr>
            </w:pPr>
          </w:p>
          <w:p w14:paraId="4F951292" w14:textId="77777777" w:rsidR="00CC466D" w:rsidRPr="00466685" w:rsidRDefault="00CC466D" w:rsidP="00E00A7F">
            <w:pPr>
              <w:pStyle w:val="13"/>
              <w:ind w:firstLineChars="0" w:firstLine="0"/>
              <w:rPr>
                <w:sz w:val="21"/>
                <w:szCs w:val="21"/>
                <w:lang w:bidi="zh-CN"/>
              </w:rPr>
            </w:pPr>
            <w:r w:rsidRPr="00466685">
              <w:rPr>
                <w:sz w:val="21"/>
                <w:szCs w:val="21"/>
                <w:lang w:bidi="zh-CN"/>
              </w:rPr>
              <w:t>单位领导签字：</w:t>
            </w:r>
          </w:p>
          <w:p w14:paraId="24F63D16" w14:textId="77777777" w:rsidR="00CC466D" w:rsidRPr="00466685" w:rsidRDefault="00CC466D" w:rsidP="00E00A7F">
            <w:pPr>
              <w:pStyle w:val="13"/>
              <w:ind w:firstLineChars="0" w:firstLine="0"/>
              <w:rPr>
                <w:sz w:val="21"/>
                <w:szCs w:val="21"/>
                <w:lang w:bidi="zh-CN"/>
              </w:rPr>
            </w:pPr>
          </w:p>
          <w:p w14:paraId="15924ADD" w14:textId="0648B98A" w:rsidR="00CC466D" w:rsidRPr="00466685" w:rsidRDefault="00CC466D" w:rsidP="00E00A7F">
            <w:pPr>
              <w:pStyle w:val="13"/>
              <w:ind w:firstLineChars="0" w:firstLine="0"/>
              <w:rPr>
                <w:sz w:val="21"/>
                <w:szCs w:val="21"/>
                <w:lang w:bidi="zh-CN"/>
              </w:rPr>
            </w:pPr>
            <w:r w:rsidRPr="00466685">
              <w:rPr>
                <w:sz w:val="21"/>
                <w:szCs w:val="21"/>
                <w:lang w:bidi="zh-CN"/>
              </w:rPr>
              <w:t xml:space="preserve">年 </w:t>
            </w:r>
            <w:r w:rsidR="003068F8">
              <w:rPr>
                <w:sz w:val="21"/>
                <w:szCs w:val="21"/>
                <w:lang w:bidi="zh-CN"/>
              </w:rPr>
              <w:t>月日</w:t>
            </w:r>
          </w:p>
        </w:tc>
        <w:tc>
          <w:tcPr>
            <w:tcW w:w="1526" w:type="pct"/>
            <w:gridSpan w:val="5"/>
            <w:vAlign w:val="bottom"/>
          </w:tcPr>
          <w:p w14:paraId="284EB9E8" w14:textId="77777777" w:rsidR="00CC466D" w:rsidRPr="00466685" w:rsidRDefault="00CC466D" w:rsidP="00E00A7F">
            <w:pPr>
              <w:pStyle w:val="13"/>
              <w:ind w:firstLineChars="0" w:firstLine="0"/>
              <w:jc w:val="right"/>
              <w:rPr>
                <w:sz w:val="21"/>
                <w:szCs w:val="21"/>
                <w:lang w:bidi="zh-CN"/>
              </w:rPr>
            </w:pPr>
          </w:p>
          <w:p w14:paraId="74506206" w14:textId="77777777" w:rsidR="00CC466D" w:rsidRPr="00466685" w:rsidRDefault="00CC466D" w:rsidP="00E00A7F">
            <w:pPr>
              <w:pStyle w:val="13"/>
              <w:ind w:firstLineChars="0" w:firstLine="0"/>
              <w:jc w:val="right"/>
              <w:rPr>
                <w:sz w:val="21"/>
                <w:szCs w:val="21"/>
                <w:lang w:bidi="zh-CN"/>
              </w:rPr>
            </w:pPr>
          </w:p>
          <w:p w14:paraId="4ACD6CE6" w14:textId="77777777" w:rsidR="00CC466D" w:rsidRPr="00466685" w:rsidRDefault="00CC466D" w:rsidP="00E00A7F">
            <w:pPr>
              <w:pStyle w:val="13"/>
              <w:ind w:firstLineChars="0" w:firstLine="0"/>
              <w:jc w:val="right"/>
              <w:rPr>
                <w:sz w:val="21"/>
                <w:szCs w:val="21"/>
                <w:lang w:bidi="zh-CN"/>
              </w:rPr>
            </w:pPr>
          </w:p>
          <w:p w14:paraId="45D7A2F9" w14:textId="77777777" w:rsidR="00CC466D" w:rsidRPr="00466685" w:rsidRDefault="00CC466D" w:rsidP="00E00A7F">
            <w:pPr>
              <w:pStyle w:val="13"/>
              <w:ind w:firstLineChars="0" w:firstLine="0"/>
              <w:jc w:val="right"/>
              <w:rPr>
                <w:sz w:val="21"/>
                <w:szCs w:val="21"/>
                <w:lang w:bidi="zh-CN"/>
              </w:rPr>
            </w:pPr>
          </w:p>
          <w:p w14:paraId="7C94081D" w14:textId="77777777" w:rsidR="00CC466D" w:rsidRPr="00466685" w:rsidRDefault="00CC466D" w:rsidP="00E00A7F">
            <w:pPr>
              <w:pStyle w:val="13"/>
              <w:ind w:firstLineChars="0" w:firstLine="0"/>
              <w:jc w:val="right"/>
              <w:rPr>
                <w:sz w:val="21"/>
                <w:szCs w:val="21"/>
                <w:lang w:bidi="zh-CN"/>
              </w:rPr>
            </w:pPr>
          </w:p>
          <w:p w14:paraId="560842AF" w14:textId="77777777" w:rsidR="00CC466D" w:rsidRPr="00466685" w:rsidRDefault="00CC466D" w:rsidP="00E00A7F">
            <w:pPr>
              <w:pStyle w:val="13"/>
              <w:ind w:firstLineChars="0" w:firstLine="0"/>
              <w:jc w:val="right"/>
              <w:rPr>
                <w:sz w:val="21"/>
                <w:szCs w:val="21"/>
                <w:lang w:bidi="zh-CN"/>
              </w:rPr>
            </w:pPr>
            <w:r w:rsidRPr="00466685">
              <w:rPr>
                <w:sz w:val="21"/>
                <w:szCs w:val="21"/>
                <w:lang w:bidi="zh-CN"/>
              </w:rPr>
              <w:t>备案单位盖章</w:t>
            </w:r>
          </w:p>
          <w:p w14:paraId="15F3210C" w14:textId="77777777" w:rsidR="00CC466D" w:rsidRPr="00466685" w:rsidRDefault="00CC466D" w:rsidP="00E00A7F">
            <w:pPr>
              <w:pStyle w:val="13"/>
              <w:ind w:firstLineChars="0" w:firstLine="0"/>
              <w:jc w:val="right"/>
              <w:rPr>
                <w:sz w:val="21"/>
                <w:szCs w:val="21"/>
                <w:lang w:bidi="zh-CN"/>
              </w:rPr>
            </w:pPr>
          </w:p>
          <w:p w14:paraId="2B478B4C" w14:textId="127DE328" w:rsidR="00CC466D" w:rsidRPr="00466685" w:rsidRDefault="00CC466D" w:rsidP="00E00A7F">
            <w:pPr>
              <w:pStyle w:val="13"/>
              <w:ind w:firstLineChars="0" w:firstLine="0"/>
              <w:jc w:val="right"/>
              <w:rPr>
                <w:sz w:val="21"/>
                <w:szCs w:val="21"/>
                <w:lang w:bidi="zh-CN"/>
              </w:rPr>
            </w:pPr>
            <w:r w:rsidRPr="00466685">
              <w:rPr>
                <w:sz w:val="21"/>
                <w:szCs w:val="21"/>
                <w:lang w:bidi="zh-CN"/>
              </w:rPr>
              <w:t xml:space="preserve">年 </w:t>
            </w:r>
            <w:r w:rsidR="003068F8">
              <w:rPr>
                <w:sz w:val="21"/>
                <w:szCs w:val="21"/>
                <w:lang w:bidi="zh-CN"/>
              </w:rPr>
              <w:t>月日</w:t>
            </w:r>
          </w:p>
        </w:tc>
      </w:tr>
    </w:tbl>
    <w:p w14:paraId="719F62E4" w14:textId="11B8D73C" w:rsidR="00CC466D" w:rsidRDefault="00CC466D" w:rsidP="00CC466D">
      <w:pPr>
        <w:pStyle w:val="13"/>
        <w:ind w:firstLine="484"/>
        <w:rPr>
          <w:w w:val="101"/>
        </w:rPr>
      </w:pPr>
    </w:p>
    <w:p w14:paraId="7B25DD5A" w14:textId="77777777" w:rsidR="00CC466D" w:rsidRDefault="00CC466D" w:rsidP="00CC466D">
      <w:pPr>
        <w:pStyle w:val="13"/>
        <w:ind w:firstLine="484"/>
        <w:rPr>
          <w:w w:val="101"/>
        </w:rPr>
      </w:pPr>
    </w:p>
    <w:p w14:paraId="7772FF4B" w14:textId="77777777" w:rsidR="00CC466D" w:rsidRDefault="00CC466D" w:rsidP="00CC466D">
      <w:pPr>
        <w:pStyle w:val="13"/>
        <w:ind w:firstLine="484"/>
        <w:rPr>
          <w:w w:val="101"/>
        </w:rPr>
      </w:pPr>
    </w:p>
    <w:p w14:paraId="7BB7334D" w14:textId="77777777" w:rsidR="00FA0363" w:rsidRDefault="00FA0363" w:rsidP="00AF7342">
      <w:pPr>
        <w:pStyle w:val="a9"/>
        <w:spacing w:before="62" w:after="62"/>
      </w:pPr>
      <w:r>
        <w:lastRenderedPageBreak/>
        <w:t>资产评估结果</w:t>
      </w:r>
    </w:p>
    <w:p w14:paraId="3E38173F" w14:textId="77777777" w:rsidR="00FA0363" w:rsidRPr="000C7174" w:rsidRDefault="00FA0363" w:rsidP="00FA0363">
      <w:pPr>
        <w:pStyle w:val="13"/>
        <w:ind w:firstLine="484"/>
        <w:rPr>
          <w:w w:val="101"/>
        </w:rPr>
      </w:pPr>
      <w:r w:rsidRPr="000C7174">
        <w:rPr>
          <w:rFonts w:hint="eastAsia"/>
          <w:w w:val="101"/>
        </w:rPr>
        <w:t>评</w:t>
      </w:r>
      <w:r w:rsidRPr="000C7174">
        <w:rPr>
          <w:w w:val="101"/>
        </w:rPr>
        <w:t>估基准日：年月日</w:t>
      </w:r>
    </w:p>
    <w:p w14:paraId="579419A1" w14:textId="77777777" w:rsidR="00CC466D" w:rsidRDefault="00CC466D" w:rsidP="00CC466D">
      <w:pPr>
        <w:pStyle w:val="13"/>
        <w:ind w:firstLineChars="0"/>
      </w:pPr>
      <w:r>
        <w:rPr>
          <w:rFonts w:hint="eastAsia"/>
        </w:rPr>
        <w:t>评估结果使用有效期至：</w:t>
      </w:r>
      <w:r>
        <w:t>年月日</w:t>
      </w:r>
      <w:r>
        <w:rPr>
          <w:rFonts w:hint="eastAsia"/>
        </w:rPr>
        <w:t xml:space="preserve"> </w:t>
      </w:r>
      <w:r>
        <w:t xml:space="preserve">              金额单位：人民币万元</w:t>
      </w:r>
    </w:p>
    <w:tbl>
      <w:tblPr>
        <w:tblW w:w="884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89"/>
        <w:gridCol w:w="1513"/>
        <w:gridCol w:w="1672"/>
        <w:gridCol w:w="1512"/>
        <w:gridCol w:w="1462"/>
      </w:tblGrid>
      <w:tr w:rsidR="00CC466D" w:rsidRPr="00466685" w14:paraId="5F86F040" w14:textId="77777777" w:rsidTr="00E00A7F">
        <w:trPr>
          <w:trHeight w:val="403"/>
          <w:jc w:val="center"/>
        </w:trPr>
        <w:tc>
          <w:tcPr>
            <w:tcW w:w="2689" w:type="dxa"/>
            <w:vAlign w:val="center"/>
          </w:tcPr>
          <w:p w14:paraId="67A80B0E" w14:textId="77777777" w:rsidR="00CC466D" w:rsidRPr="00466685" w:rsidRDefault="00CC466D" w:rsidP="00E00A7F">
            <w:pPr>
              <w:pStyle w:val="13"/>
              <w:ind w:firstLineChars="0" w:firstLine="0"/>
              <w:rPr>
                <w:sz w:val="21"/>
                <w:szCs w:val="21"/>
                <w:lang w:bidi="zh-CN"/>
              </w:rPr>
            </w:pPr>
            <w:r w:rsidRPr="00466685">
              <w:rPr>
                <w:sz w:val="21"/>
                <w:szCs w:val="21"/>
                <w:lang w:bidi="zh-CN"/>
              </w:rPr>
              <w:t>项  目</w:t>
            </w:r>
          </w:p>
        </w:tc>
        <w:tc>
          <w:tcPr>
            <w:tcW w:w="1513" w:type="dxa"/>
            <w:vAlign w:val="center"/>
          </w:tcPr>
          <w:p w14:paraId="34BD028F" w14:textId="77777777" w:rsidR="00CC466D" w:rsidRPr="00466685" w:rsidRDefault="00CC466D" w:rsidP="00E00A7F">
            <w:pPr>
              <w:pStyle w:val="13"/>
              <w:ind w:firstLineChars="0" w:firstLine="0"/>
              <w:rPr>
                <w:sz w:val="21"/>
                <w:szCs w:val="21"/>
                <w:lang w:bidi="zh-CN"/>
              </w:rPr>
            </w:pPr>
            <w:r w:rsidRPr="00466685">
              <w:rPr>
                <w:sz w:val="21"/>
                <w:szCs w:val="21"/>
                <w:lang w:bidi="zh-CN"/>
              </w:rPr>
              <w:t>账面价值</w:t>
            </w:r>
          </w:p>
        </w:tc>
        <w:tc>
          <w:tcPr>
            <w:tcW w:w="1672" w:type="dxa"/>
            <w:vAlign w:val="center"/>
          </w:tcPr>
          <w:p w14:paraId="5218060F" w14:textId="77777777" w:rsidR="00CC466D" w:rsidRPr="00466685" w:rsidRDefault="00CC466D" w:rsidP="00E00A7F">
            <w:pPr>
              <w:pStyle w:val="13"/>
              <w:ind w:firstLineChars="0" w:firstLine="0"/>
              <w:rPr>
                <w:sz w:val="21"/>
                <w:szCs w:val="21"/>
                <w:lang w:bidi="zh-CN"/>
              </w:rPr>
            </w:pPr>
            <w:r w:rsidRPr="00466685">
              <w:rPr>
                <w:sz w:val="21"/>
                <w:szCs w:val="21"/>
                <w:lang w:bidi="zh-CN"/>
              </w:rPr>
              <w:t>评估价值</w:t>
            </w:r>
          </w:p>
        </w:tc>
        <w:tc>
          <w:tcPr>
            <w:tcW w:w="1512" w:type="dxa"/>
            <w:vAlign w:val="center"/>
          </w:tcPr>
          <w:p w14:paraId="7EAD4CAE" w14:textId="77777777" w:rsidR="00CC466D" w:rsidRPr="00466685" w:rsidRDefault="00CC466D" w:rsidP="00E00A7F">
            <w:pPr>
              <w:pStyle w:val="13"/>
              <w:ind w:firstLineChars="0" w:firstLine="0"/>
              <w:rPr>
                <w:sz w:val="21"/>
                <w:szCs w:val="21"/>
                <w:lang w:bidi="zh-CN"/>
              </w:rPr>
            </w:pPr>
            <w:r w:rsidRPr="00466685">
              <w:rPr>
                <w:sz w:val="21"/>
                <w:szCs w:val="21"/>
                <w:lang w:bidi="zh-CN"/>
              </w:rPr>
              <w:t>增减值</w:t>
            </w:r>
          </w:p>
        </w:tc>
        <w:tc>
          <w:tcPr>
            <w:tcW w:w="1462" w:type="dxa"/>
            <w:vAlign w:val="center"/>
          </w:tcPr>
          <w:p w14:paraId="5963AA3E" w14:textId="77777777" w:rsidR="00CC466D" w:rsidRPr="00466685" w:rsidRDefault="00CC466D" w:rsidP="00E00A7F">
            <w:pPr>
              <w:pStyle w:val="13"/>
              <w:ind w:firstLineChars="0" w:firstLine="0"/>
              <w:rPr>
                <w:sz w:val="21"/>
                <w:szCs w:val="21"/>
                <w:lang w:bidi="zh-CN"/>
              </w:rPr>
            </w:pPr>
            <w:r w:rsidRPr="00466685">
              <w:rPr>
                <w:sz w:val="21"/>
                <w:szCs w:val="21"/>
                <w:lang w:bidi="zh-CN"/>
              </w:rPr>
              <w:t>增减率</w:t>
            </w:r>
          </w:p>
        </w:tc>
      </w:tr>
      <w:tr w:rsidR="00CC466D" w:rsidRPr="00466685" w14:paraId="5C2F2BB7" w14:textId="77777777" w:rsidTr="00E00A7F">
        <w:trPr>
          <w:trHeight w:val="403"/>
          <w:jc w:val="center"/>
        </w:trPr>
        <w:tc>
          <w:tcPr>
            <w:tcW w:w="2689" w:type="dxa"/>
            <w:vAlign w:val="center"/>
          </w:tcPr>
          <w:p w14:paraId="56BBBE63" w14:textId="77777777" w:rsidR="00CC466D" w:rsidRPr="00466685" w:rsidRDefault="00CC466D" w:rsidP="00E00A7F">
            <w:pPr>
              <w:pStyle w:val="13"/>
              <w:ind w:firstLineChars="0" w:firstLine="0"/>
              <w:rPr>
                <w:sz w:val="21"/>
                <w:szCs w:val="21"/>
                <w:lang w:bidi="zh-CN"/>
              </w:rPr>
            </w:pPr>
            <w:r w:rsidRPr="00466685">
              <w:rPr>
                <w:sz w:val="21"/>
                <w:szCs w:val="21"/>
                <w:lang w:bidi="zh-CN"/>
              </w:rPr>
              <w:t>流动资产</w:t>
            </w:r>
          </w:p>
        </w:tc>
        <w:tc>
          <w:tcPr>
            <w:tcW w:w="1513" w:type="dxa"/>
            <w:vAlign w:val="center"/>
          </w:tcPr>
          <w:p w14:paraId="7B83AE75" w14:textId="77777777" w:rsidR="00CC466D" w:rsidRPr="00466685" w:rsidRDefault="00CC466D" w:rsidP="00E00A7F">
            <w:pPr>
              <w:pStyle w:val="13"/>
              <w:ind w:firstLineChars="0" w:firstLine="0"/>
              <w:rPr>
                <w:sz w:val="21"/>
                <w:szCs w:val="21"/>
                <w:lang w:bidi="zh-CN"/>
              </w:rPr>
            </w:pPr>
          </w:p>
        </w:tc>
        <w:tc>
          <w:tcPr>
            <w:tcW w:w="1672" w:type="dxa"/>
            <w:vAlign w:val="center"/>
          </w:tcPr>
          <w:p w14:paraId="05C8BE30" w14:textId="77777777" w:rsidR="00CC466D" w:rsidRPr="00466685" w:rsidRDefault="00CC466D" w:rsidP="00E00A7F">
            <w:pPr>
              <w:pStyle w:val="13"/>
              <w:ind w:firstLineChars="0" w:firstLine="0"/>
              <w:rPr>
                <w:sz w:val="21"/>
                <w:szCs w:val="21"/>
                <w:lang w:bidi="zh-CN"/>
              </w:rPr>
            </w:pPr>
          </w:p>
        </w:tc>
        <w:tc>
          <w:tcPr>
            <w:tcW w:w="1512" w:type="dxa"/>
            <w:vAlign w:val="center"/>
          </w:tcPr>
          <w:p w14:paraId="0134D856" w14:textId="77777777" w:rsidR="00CC466D" w:rsidRPr="00466685" w:rsidRDefault="00CC466D" w:rsidP="00E00A7F">
            <w:pPr>
              <w:pStyle w:val="13"/>
              <w:ind w:firstLineChars="0" w:firstLine="0"/>
              <w:rPr>
                <w:sz w:val="21"/>
                <w:szCs w:val="21"/>
                <w:lang w:bidi="zh-CN"/>
              </w:rPr>
            </w:pPr>
          </w:p>
        </w:tc>
        <w:tc>
          <w:tcPr>
            <w:tcW w:w="1462" w:type="dxa"/>
            <w:vAlign w:val="center"/>
          </w:tcPr>
          <w:p w14:paraId="635C04C0" w14:textId="77777777" w:rsidR="00CC466D" w:rsidRPr="00466685" w:rsidRDefault="00CC466D" w:rsidP="00E00A7F">
            <w:pPr>
              <w:pStyle w:val="13"/>
              <w:ind w:firstLineChars="0" w:firstLine="0"/>
              <w:rPr>
                <w:sz w:val="21"/>
                <w:szCs w:val="21"/>
                <w:lang w:bidi="zh-CN"/>
              </w:rPr>
            </w:pPr>
            <w:r w:rsidRPr="00466685">
              <w:rPr>
                <w:sz w:val="21"/>
                <w:szCs w:val="21"/>
                <w:lang w:bidi="zh-CN"/>
              </w:rPr>
              <w:t>（%）</w:t>
            </w:r>
          </w:p>
        </w:tc>
      </w:tr>
      <w:tr w:rsidR="00CC466D" w:rsidRPr="00466685" w14:paraId="0301506B" w14:textId="77777777" w:rsidTr="00E00A7F">
        <w:trPr>
          <w:trHeight w:val="401"/>
          <w:jc w:val="center"/>
        </w:trPr>
        <w:tc>
          <w:tcPr>
            <w:tcW w:w="2689" w:type="dxa"/>
            <w:vAlign w:val="center"/>
          </w:tcPr>
          <w:p w14:paraId="18ACFB5A" w14:textId="77777777" w:rsidR="00CC466D" w:rsidRPr="00466685" w:rsidRDefault="00CC466D" w:rsidP="00E00A7F">
            <w:pPr>
              <w:pStyle w:val="13"/>
              <w:ind w:firstLineChars="0" w:firstLine="0"/>
              <w:rPr>
                <w:sz w:val="21"/>
                <w:szCs w:val="21"/>
                <w:lang w:bidi="zh-CN"/>
              </w:rPr>
            </w:pPr>
            <w:r w:rsidRPr="00466685">
              <w:rPr>
                <w:sz w:val="21"/>
                <w:szCs w:val="21"/>
                <w:lang w:bidi="zh-CN"/>
              </w:rPr>
              <w:t>非流动资产</w:t>
            </w:r>
          </w:p>
        </w:tc>
        <w:tc>
          <w:tcPr>
            <w:tcW w:w="1513" w:type="dxa"/>
            <w:vAlign w:val="center"/>
          </w:tcPr>
          <w:p w14:paraId="3F336671" w14:textId="77777777" w:rsidR="00CC466D" w:rsidRPr="00466685" w:rsidRDefault="00CC466D" w:rsidP="00E00A7F">
            <w:pPr>
              <w:pStyle w:val="13"/>
              <w:ind w:firstLineChars="0" w:firstLine="0"/>
              <w:rPr>
                <w:sz w:val="21"/>
                <w:szCs w:val="21"/>
                <w:lang w:bidi="zh-CN"/>
              </w:rPr>
            </w:pPr>
          </w:p>
        </w:tc>
        <w:tc>
          <w:tcPr>
            <w:tcW w:w="1672" w:type="dxa"/>
            <w:vAlign w:val="center"/>
          </w:tcPr>
          <w:p w14:paraId="31EDC01D" w14:textId="77777777" w:rsidR="00CC466D" w:rsidRPr="00466685" w:rsidRDefault="00CC466D" w:rsidP="00E00A7F">
            <w:pPr>
              <w:pStyle w:val="13"/>
              <w:ind w:firstLineChars="0" w:firstLine="0"/>
              <w:rPr>
                <w:sz w:val="21"/>
                <w:szCs w:val="21"/>
                <w:lang w:bidi="zh-CN"/>
              </w:rPr>
            </w:pPr>
          </w:p>
        </w:tc>
        <w:tc>
          <w:tcPr>
            <w:tcW w:w="1512" w:type="dxa"/>
            <w:vAlign w:val="center"/>
          </w:tcPr>
          <w:p w14:paraId="08EFE1D2" w14:textId="77777777" w:rsidR="00CC466D" w:rsidRPr="00466685" w:rsidRDefault="00CC466D" w:rsidP="00E00A7F">
            <w:pPr>
              <w:pStyle w:val="13"/>
              <w:ind w:firstLineChars="0" w:firstLine="0"/>
              <w:rPr>
                <w:sz w:val="21"/>
                <w:szCs w:val="21"/>
                <w:lang w:bidi="zh-CN"/>
              </w:rPr>
            </w:pPr>
          </w:p>
        </w:tc>
        <w:tc>
          <w:tcPr>
            <w:tcW w:w="1462" w:type="dxa"/>
            <w:vAlign w:val="center"/>
          </w:tcPr>
          <w:p w14:paraId="75B6DB20" w14:textId="77777777" w:rsidR="00CC466D" w:rsidRPr="00466685" w:rsidRDefault="00CC466D" w:rsidP="00E00A7F">
            <w:pPr>
              <w:pStyle w:val="13"/>
              <w:ind w:firstLineChars="0" w:firstLine="0"/>
              <w:rPr>
                <w:sz w:val="21"/>
                <w:szCs w:val="21"/>
                <w:lang w:bidi="zh-CN"/>
              </w:rPr>
            </w:pPr>
          </w:p>
        </w:tc>
      </w:tr>
      <w:tr w:rsidR="00CC466D" w:rsidRPr="00466685" w14:paraId="5127DF99" w14:textId="77777777" w:rsidTr="00E00A7F">
        <w:trPr>
          <w:trHeight w:val="403"/>
          <w:jc w:val="center"/>
        </w:trPr>
        <w:tc>
          <w:tcPr>
            <w:tcW w:w="2689" w:type="dxa"/>
            <w:vAlign w:val="center"/>
          </w:tcPr>
          <w:p w14:paraId="6476BAA9" w14:textId="77777777" w:rsidR="00CC466D" w:rsidRPr="00466685" w:rsidRDefault="00CC466D" w:rsidP="00E00A7F">
            <w:pPr>
              <w:pStyle w:val="13"/>
              <w:ind w:firstLineChars="0" w:firstLine="0"/>
              <w:rPr>
                <w:sz w:val="21"/>
                <w:szCs w:val="21"/>
                <w:lang w:bidi="zh-CN"/>
              </w:rPr>
            </w:pPr>
            <w:r w:rsidRPr="00466685">
              <w:rPr>
                <w:sz w:val="21"/>
                <w:szCs w:val="21"/>
                <w:lang w:bidi="zh-CN"/>
              </w:rPr>
              <w:t>其中：长期股权投资</w:t>
            </w:r>
          </w:p>
        </w:tc>
        <w:tc>
          <w:tcPr>
            <w:tcW w:w="1513" w:type="dxa"/>
            <w:vAlign w:val="center"/>
          </w:tcPr>
          <w:p w14:paraId="39E3E287" w14:textId="77777777" w:rsidR="00CC466D" w:rsidRPr="00466685" w:rsidRDefault="00CC466D" w:rsidP="00E00A7F">
            <w:pPr>
              <w:pStyle w:val="13"/>
              <w:ind w:firstLineChars="0" w:firstLine="0"/>
              <w:rPr>
                <w:sz w:val="21"/>
                <w:szCs w:val="21"/>
                <w:lang w:bidi="zh-CN"/>
              </w:rPr>
            </w:pPr>
          </w:p>
        </w:tc>
        <w:tc>
          <w:tcPr>
            <w:tcW w:w="1672" w:type="dxa"/>
            <w:vAlign w:val="center"/>
          </w:tcPr>
          <w:p w14:paraId="76762C8E" w14:textId="77777777" w:rsidR="00CC466D" w:rsidRPr="00466685" w:rsidRDefault="00CC466D" w:rsidP="00E00A7F">
            <w:pPr>
              <w:pStyle w:val="13"/>
              <w:ind w:firstLineChars="0" w:firstLine="0"/>
              <w:rPr>
                <w:sz w:val="21"/>
                <w:szCs w:val="21"/>
                <w:lang w:bidi="zh-CN"/>
              </w:rPr>
            </w:pPr>
          </w:p>
        </w:tc>
        <w:tc>
          <w:tcPr>
            <w:tcW w:w="1512" w:type="dxa"/>
            <w:vAlign w:val="center"/>
          </w:tcPr>
          <w:p w14:paraId="2E9849C9" w14:textId="77777777" w:rsidR="00CC466D" w:rsidRPr="00466685" w:rsidRDefault="00CC466D" w:rsidP="00E00A7F">
            <w:pPr>
              <w:pStyle w:val="13"/>
              <w:ind w:firstLineChars="0" w:firstLine="0"/>
              <w:rPr>
                <w:sz w:val="21"/>
                <w:szCs w:val="21"/>
                <w:lang w:bidi="zh-CN"/>
              </w:rPr>
            </w:pPr>
          </w:p>
        </w:tc>
        <w:tc>
          <w:tcPr>
            <w:tcW w:w="1462" w:type="dxa"/>
            <w:vAlign w:val="center"/>
          </w:tcPr>
          <w:p w14:paraId="235363C9" w14:textId="77777777" w:rsidR="00CC466D" w:rsidRPr="00466685" w:rsidRDefault="00CC466D" w:rsidP="00E00A7F">
            <w:pPr>
              <w:pStyle w:val="13"/>
              <w:ind w:firstLineChars="0" w:firstLine="0"/>
              <w:rPr>
                <w:sz w:val="21"/>
                <w:szCs w:val="21"/>
                <w:lang w:bidi="zh-CN"/>
              </w:rPr>
            </w:pPr>
          </w:p>
        </w:tc>
      </w:tr>
      <w:tr w:rsidR="00CC466D" w:rsidRPr="00466685" w14:paraId="62C24FA5" w14:textId="77777777" w:rsidTr="00E00A7F">
        <w:trPr>
          <w:trHeight w:val="403"/>
          <w:jc w:val="center"/>
        </w:trPr>
        <w:tc>
          <w:tcPr>
            <w:tcW w:w="2689" w:type="dxa"/>
            <w:vAlign w:val="center"/>
          </w:tcPr>
          <w:p w14:paraId="01B9D8A9" w14:textId="77777777" w:rsidR="00CC466D" w:rsidRPr="00466685" w:rsidRDefault="00CC466D" w:rsidP="00E00A7F">
            <w:pPr>
              <w:pStyle w:val="13"/>
              <w:ind w:firstLineChars="300" w:firstLine="630"/>
              <w:rPr>
                <w:sz w:val="21"/>
                <w:szCs w:val="21"/>
                <w:lang w:bidi="zh-CN"/>
              </w:rPr>
            </w:pPr>
            <w:r w:rsidRPr="00466685">
              <w:rPr>
                <w:sz w:val="21"/>
                <w:szCs w:val="21"/>
                <w:lang w:bidi="zh-CN"/>
              </w:rPr>
              <w:t>投资性房地产</w:t>
            </w:r>
          </w:p>
        </w:tc>
        <w:tc>
          <w:tcPr>
            <w:tcW w:w="1513" w:type="dxa"/>
            <w:vAlign w:val="center"/>
          </w:tcPr>
          <w:p w14:paraId="51B98A55" w14:textId="77777777" w:rsidR="00CC466D" w:rsidRPr="00466685" w:rsidRDefault="00CC466D" w:rsidP="00E00A7F">
            <w:pPr>
              <w:pStyle w:val="13"/>
              <w:ind w:firstLineChars="0" w:firstLine="0"/>
              <w:rPr>
                <w:sz w:val="21"/>
                <w:szCs w:val="21"/>
                <w:lang w:bidi="zh-CN"/>
              </w:rPr>
            </w:pPr>
          </w:p>
        </w:tc>
        <w:tc>
          <w:tcPr>
            <w:tcW w:w="1672" w:type="dxa"/>
            <w:vAlign w:val="center"/>
          </w:tcPr>
          <w:p w14:paraId="55FCCEE6" w14:textId="77777777" w:rsidR="00CC466D" w:rsidRPr="00466685" w:rsidRDefault="00CC466D" w:rsidP="00E00A7F">
            <w:pPr>
              <w:pStyle w:val="13"/>
              <w:ind w:firstLineChars="0" w:firstLine="0"/>
              <w:rPr>
                <w:sz w:val="21"/>
                <w:szCs w:val="21"/>
                <w:lang w:bidi="zh-CN"/>
              </w:rPr>
            </w:pPr>
          </w:p>
        </w:tc>
        <w:tc>
          <w:tcPr>
            <w:tcW w:w="1512" w:type="dxa"/>
            <w:vAlign w:val="center"/>
          </w:tcPr>
          <w:p w14:paraId="5E9A2D3D" w14:textId="77777777" w:rsidR="00CC466D" w:rsidRPr="00466685" w:rsidRDefault="00CC466D" w:rsidP="00E00A7F">
            <w:pPr>
              <w:pStyle w:val="13"/>
              <w:ind w:firstLineChars="0" w:firstLine="0"/>
              <w:rPr>
                <w:sz w:val="21"/>
                <w:szCs w:val="21"/>
                <w:lang w:bidi="zh-CN"/>
              </w:rPr>
            </w:pPr>
          </w:p>
        </w:tc>
        <w:tc>
          <w:tcPr>
            <w:tcW w:w="1462" w:type="dxa"/>
            <w:vAlign w:val="center"/>
          </w:tcPr>
          <w:p w14:paraId="5BC65546" w14:textId="77777777" w:rsidR="00CC466D" w:rsidRPr="00466685" w:rsidRDefault="00CC466D" w:rsidP="00E00A7F">
            <w:pPr>
              <w:pStyle w:val="13"/>
              <w:ind w:firstLineChars="0" w:firstLine="0"/>
              <w:rPr>
                <w:sz w:val="21"/>
                <w:szCs w:val="21"/>
                <w:lang w:bidi="zh-CN"/>
              </w:rPr>
            </w:pPr>
          </w:p>
        </w:tc>
      </w:tr>
      <w:tr w:rsidR="00CC466D" w:rsidRPr="00466685" w14:paraId="57A5C72C" w14:textId="77777777" w:rsidTr="00E00A7F">
        <w:trPr>
          <w:trHeight w:val="401"/>
          <w:jc w:val="center"/>
        </w:trPr>
        <w:tc>
          <w:tcPr>
            <w:tcW w:w="2689" w:type="dxa"/>
            <w:vAlign w:val="center"/>
          </w:tcPr>
          <w:p w14:paraId="53765863" w14:textId="77777777" w:rsidR="00CC466D" w:rsidRPr="00466685" w:rsidRDefault="00CC466D" w:rsidP="00E00A7F">
            <w:pPr>
              <w:pStyle w:val="13"/>
              <w:ind w:firstLineChars="300" w:firstLine="630"/>
              <w:rPr>
                <w:sz w:val="21"/>
                <w:szCs w:val="21"/>
                <w:lang w:bidi="zh-CN"/>
              </w:rPr>
            </w:pPr>
            <w:r w:rsidRPr="00466685">
              <w:rPr>
                <w:sz w:val="21"/>
                <w:szCs w:val="21"/>
                <w:lang w:bidi="zh-CN"/>
              </w:rPr>
              <w:t>固定资产</w:t>
            </w:r>
          </w:p>
        </w:tc>
        <w:tc>
          <w:tcPr>
            <w:tcW w:w="1513" w:type="dxa"/>
            <w:vAlign w:val="center"/>
          </w:tcPr>
          <w:p w14:paraId="7E29B9EF" w14:textId="77777777" w:rsidR="00CC466D" w:rsidRPr="00466685" w:rsidRDefault="00CC466D" w:rsidP="00E00A7F">
            <w:pPr>
              <w:pStyle w:val="13"/>
              <w:ind w:firstLineChars="0" w:firstLine="0"/>
              <w:rPr>
                <w:sz w:val="21"/>
                <w:szCs w:val="21"/>
                <w:lang w:bidi="zh-CN"/>
              </w:rPr>
            </w:pPr>
          </w:p>
        </w:tc>
        <w:tc>
          <w:tcPr>
            <w:tcW w:w="1672" w:type="dxa"/>
            <w:vAlign w:val="center"/>
          </w:tcPr>
          <w:p w14:paraId="21CEFC37" w14:textId="77777777" w:rsidR="00CC466D" w:rsidRPr="00466685" w:rsidRDefault="00CC466D" w:rsidP="00E00A7F">
            <w:pPr>
              <w:pStyle w:val="13"/>
              <w:ind w:firstLineChars="0" w:firstLine="0"/>
              <w:rPr>
                <w:sz w:val="21"/>
                <w:szCs w:val="21"/>
                <w:lang w:bidi="zh-CN"/>
              </w:rPr>
            </w:pPr>
          </w:p>
        </w:tc>
        <w:tc>
          <w:tcPr>
            <w:tcW w:w="1512" w:type="dxa"/>
            <w:vAlign w:val="center"/>
          </w:tcPr>
          <w:p w14:paraId="1CAE7D29" w14:textId="77777777" w:rsidR="00CC466D" w:rsidRPr="00466685" w:rsidRDefault="00CC466D" w:rsidP="00E00A7F">
            <w:pPr>
              <w:pStyle w:val="13"/>
              <w:ind w:firstLineChars="0" w:firstLine="0"/>
              <w:rPr>
                <w:sz w:val="21"/>
                <w:szCs w:val="21"/>
                <w:lang w:bidi="zh-CN"/>
              </w:rPr>
            </w:pPr>
          </w:p>
        </w:tc>
        <w:tc>
          <w:tcPr>
            <w:tcW w:w="1462" w:type="dxa"/>
            <w:vAlign w:val="center"/>
          </w:tcPr>
          <w:p w14:paraId="6D0443B1" w14:textId="77777777" w:rsidR="00CC466D" w:rsidRPr="00466685" w:rsidRDefault="00CC466D" w:rsidP="00E00A7F">
            <w:pPr>
              <w:pStyle w:val="13"/>
              <w:ind w:firstLineChars="0" w:firstLine="0"/>
              <w:rPr>
                <w:sz w:val="21"/>
                <w:szCs w:val="21"/>
                <w:lang w:bidi="zh-CN"/>
              </w:rPr>
            </w:pPr>
          </w:p>
        </w:tc>
      </w:tr>
      <w:tr w:rsidR="00CC466D" w:rsidRPr="00466685" w14:paraId="61420EB8" w14:textId="77777777" w:rsidTr="00E00A7F">
        <w:trPr>
          <w:trHeight w:val="403"/>
          <w:jc w:val="center"/>
        </w:trPr>
        <w:tc>
          <w:tcPr>
            <w:tcW w:w="2689" w:type="dxa"/>
            <w:vAlign w:val="center"/>
          </w:tcPr>
          <w:p w14:paraId="0DD6D627" w14:textId="77777777" w:rsidR="00CC466D" w:rsidRPr="00466685" w:rsidRDefault="00CC466D" w:rsidP="00E00A7F">
            <w:pPr>
              <w:pStyle w:val="13"/>
              <w:ind w:firstLineChars="300" w:firstLine="630"/>
              <w:rPr>
                <w:sz w:val="21"/>
                <w:szCs w:val="21"/>
                <w:lang w:bidi="zh-CN"/>
              </w:rPr>
            </w:pPr>
            <w:r w:rsidRPr="00466685">
              <w:rPr>
                <w:sz w:val="21"/>
                <w:szCs w:val="21"/>
                <w:lang w:bidi="zh-CN"/>
              </w:rPr>
              <w:t>在建工程</w:t>
            </w:r>
          </w:p>
        </w:tc>
        <w:tc>
          <w:tcPr>
            <w:tcW w:w="1513" w:type="dxa"/>
            <w:vAlign w:val="center"/>
          </w:tcPr>
          <w:p w14:paraId="05E2509E" w14:textId="77777777" w:rsidR="00CC466D" w:rsidRPr="00466685" w:rsidRDefault="00CC466D" w:rsidP="00E00A7F">
            <w:pPr>
              <w:pStyle w:val="13"/>
              <w:ind w:firstLineChars="0" w:firstLine="0"/>
              <w:rPr>
                <w:sz w:val="21"/>
                <w:szCs w:val="21"/>
                <w:lang w:bidi="zh-CN"/>
              </w:rPr>
            </w:pPr>
          </w:p>
        </w:tc>
        <w:tc>
          <w:tcPr>
            <w:tcW w:w="1672" w:type="dxa"/>
            <w:vAlign w:val="center"/>
          </w:tcPr>
          <w:p w14:paraId="563B6496" w14:textId="77777777" w:rsidR="00CC466D" w:rsidRPr="00466685" w:rsidRDefault="00CC466D" w:rsidP="00E00A7F">
            <w:pPr>
              <w:pStyle w:val="13"/>
              <w:ind w:firstLineChars="0" w:firstLine="0"/>
              <w:rPr>
                <w:sz w:val="21"/>
                <w:szCs w:val="21"/>
                <w:lang w:bidi="zh-CN"/>
              </w:rPr>
            </w:pPr>
          </w:p>
        </w:tc>
        <w:tc>
          <w:tcPr>
            <w:tcW w:w="1512" w:type="dxa"/>
            <w:vAlign w:val="center"/>
          </w:tcPr>
          <w:p w14:paraId="3F8EA842" w14:textId="77777777" w:rsidR="00CC466D" w:rsidRPr="00466685" w:rsidRDefault="00CC466D" w:rsidP="00E00A7F">
            <w:pPr>
              <w:pStyle w:val="13"/>
              <w:ind w:firstLineChars="0" w:firstLine="0"/>
              <w:rPr>
                <w:sz w:val="21"/>
                <w:szCs w:val="21"/>
                <w:lang w:bidi="zh-CN"/>
              </w:rPr>
            </w:pPr>
          </w:p>
        </w:tc>
        <w:tc>
          <w:tcPr>
            <w:tcW w:w="1462" w:type="dxa"/>
            <w:vAlign w:val="center"/>
          </w:tcPr>
          <w:p w14:paraId="5ED9B6AE" w14:textId="77777777" w:rsidR="00CC466D" w:rsidRPr="00466685" w:rsidRDefault="00CC466D" w:rsidP="00E00A7F">
            <w:pPr>
              <w:pStyle w:val="13"/>
              <w:ind w:firstLineChars="0" w:firstLine="0"/>
              <w:rPr>
                <w:sz w:val="21"/>
                <w:szCs w:val="21"/>
                <w:lang w:bidi="zh-CN"/>
              </w:rPr>
            </w:pPr>
          </w:p>
        </w:tc>
      </w:tr>
      <w:tr w:rsidR="00CC466D" w:rsidRPr="00466685" w14:paraId="7CFA7428" w14:textId="77777777" w:rsidTr="00E00A7F">
        <w:trPr>
          <w:trHeight w:val="403"/>
          <w:jc w:val="center"/>
        </w:trPr>
        <w:tc>
          <w:tcPr>
            <w:tcW w:w="2689" w:type="dxa"/>
            <w:vAlign w:val="center"/>
          </w:tcPr>
          <w:p w14:paraId="3E3B9D0F" w14:textId="77777777" w:rsidR="00CC466D" w:rsidRPr="00466685" w:rsidRDefault="00CC466D" w:rsidP="00E00A7F">
            <w:pPr>
              <w:pStyle w:val="13"/>
              <w:ind w:firstLineChars="300" w:firstLine="630"/>
              <w:rPr>
                <w:sz w:val="21"/>
                <w:szCs w:val="21"/>
                <w:lang w:bidi="zh-CN"/>
              </w:rPr>
            </w:pPr>
            <w:r w:rsidRPr="00466685">
              <w:rPr>
                <w:sz w:val="21"/>
                <w:szCs w:val="21"/>
                <w:lang w:bidi="zh-CN"/>
              </w:rPr>
              <w:t>无形资产</w:t>
            </w:r>
          </w:p>
        </w:tc>
        <w:tc>
          <w:tcPr>
            <w:tcW w:w="1513" w:type="dxa"/>
            <w:vAlign w:val="center"/>
          </w:tcPr>
          <w:p w14:paraId="100517BA" w14:textId="77777777" w:rsidR="00CC466D" w:rsidRPr="00466685" w:rsidRDefault="00CC466D" w:rsidP="00E00A7F">
            <w:pPr>
              <w:pStyle w:val="13"/>
              <w:ind w:firstLineChars="0" w:firstLine="0"/>
              <w:rPr>
                <w:sz w:val="21"/>
                <w:szCs w:val="21"/>
                <w:lang w:bidi="zh-CN"/>
              </w:rPr>
            </w:pPr>
          </w:p>
        </w:tc>
        <w:tc>
          <w:tcPr>
            <w:tcW w:w="1672" w:type="dxa"/>
            <w:vAlign w:val="center"/>
          </w:tcPr>
          <w:p w14:paraId="2E6BF4CA" w14:textId="77777777" w:rsidR="00CC466D" w:rsidRPr="00466685" w:rsidRDefault="00CC466D" w:rsidP="00E00A7F">
            <w:pPr>
              <w:pStyle w:val="13"/>
              <w:ind w:firstLineChars="0" w:firstLine="0"/>
              <w:rPr>
                <w:sz w:val="21"/>
                <w:szCs w:val="21"/>
                <w:lang w:bidi="zh-CN"/>
              </w:rPr>
            </w:pPr>
          </w:p>
        </w:tc>
        <w:tc>
          <w:tcPr>
            <w:tcW w:w="1512" w:type="dxa"/>
            <w:vAlign w:val="center"/>
          </w:tcPr>
          <w:p w14:paraId="7E9AC863" w14:textId="77777777" w:rsidR="00CC466D" w:rsidRPr="00466685" w:rsidRDefault="00CC466D" w:rsidP="00E00A7F">
            <w:pPr>
              <w:pStyle w:val="13"/>
              <w:ind w:firstLineChars="0" w:firstLine="0"/>
              <w:rPr>
                <w:sz w:val="21"/>
                <w:szCs w:val="21"/>
                <w:lang w:bidi="zh-CN"/>
              </w:rPr>
            </w:pPr>
          </w:p>
        </w:tc>
        <w:tc>
          <w:tcPr>
            <w:tcW w:w="1462" w:type="dxa"/>
            <w:vAlign w:val="center"/>
          </w:tcPr>
          <w:p w14:paraId="13068A75" w14:textId="77777777" w:rsidR="00CC466D" w:rsidRPr="00466685" w:rsidRDefault="00CC466D" w:rsidP="00E00A7F">
            <w:pPr>
              <w:pStyle w:val="13"/>
              <w:ind w:firstLineChars="0" w:firstLine="0"/>
              <w:rPr>
                <w:sz w:val="21"/>
                <w:szCs w:val="21"/>
                <w:lang w:bidi="zh-CN"/>
              </w:rPr>
            </w:pPr>
          </w:p>
        </w:tc>
      </w:tr>
      <w:tr w:rsidR="00CC466D" w:rsidRPr="00466685" w14:paraId="01490238" w14:textId="77777777" w:rsidTr="00E00A7F">
        <w:trPr>
          <w:trHeight w:val="401"/>
          <w:jc w:val="center"/>
        </w:trPr>
        <w:tc>
          <w:tcPr>
            <w:tcW w:w="2689" w:type="dxa"/>
            <w:vAlign w:val="center"/>
          </w:tcPr>
          <w:p w14:paraId="2F471194" w14:textId="77777777" w:rsidR="00CC466D" w:rsidRPr="00466685" w:rsidRDefault="00CC466D" w:rsidP="00E00A7F">
            <w:pPr>
              <w:pStyle w:val="13"/>
              <w:ind w:firstLineChars="300" w:firstLine="630"/>
              <w:rPr>
                <w:sz w:val="21"/>
                <w:szCs w:val="21"/>
                <w:lang w:bidi="zh-CN"/>
              </w:rPr>
            </w:pPr>
            <w:r w:rsidRPr="00466685">
              <w:rPr>
                <w:sz w:val="21"/>
                <w:szCs w:val="21"/>
                <w:lang w:bidi="zh-CN"/>
              </w:rPr>
              <w:t>其中：土地使用权</w:t>
            </w:r>
          </w:p>
        </w:tc>
        <w:tc>
          <w:tcPr>
            <w:tcW w:w="1513" w:type="dxa"/>
            <w:vAlign w:val="center"/>
          </w:tcPr>
          <w:p w14:paraId="547A15BC" w14:textId="77777777" w:rsidR="00CC466D" w:rsidRPr="00466685" w:rsidRDefault="00CC466D" w:rsidP="00E00A7F">
            <w:pPr>
              <w:pStyle w:val="13"/>
              <w:ind w:firstLineChars="0" w:firstLine="0"/>
              <w:rPr>
                <w:sz w:val="21"/>
                <w:szCs w:val="21"/>
                <w:lang w:bidi="zh-CN"/>
              </w:rPr>
            </w:pPr>
          </w:p>
        </w:tc>
        <w:tc>
          <w:tcPr>
            <w:tcW w:w="1672" w:type="dxa"/>
            <w:vAlign w:val="center"/>
          </w:tcPr>
          <w:p w14:paraId="6AA0A543" w14:textId="77777777" w:rsidR="00CC466D" w:rsidRPr="00466685" w:rsidRDefault="00CC466D" w:rsidP="00E00A7F">
            <w:pPr>
              <w:pStyle w:val="13"/>
              <w:ind w:firstLineChars="0" w:firstLine="0"/>
              <w:rPr>
                <w:sz w:val="21"/>
                <w:szCs w:val="21"/>
                <w:lang w:bidi="zh-CN"/>
              </w:rPr>
            </w:pPr>
          </w:p>
        </w:tc>
        <w:tc>
          <w:tcPr>
            <w:tcW w:w="1512" w:type="dxa"/>
            <w:vAlign w:val="center"/>
          </w:tcPr>
          <w:p w14:paraId="2FF0DE9F" w14:textId="77777777" w:rsidR="00CC466D" w:rsidRPr="00466685" w:rsidRDefault="00CC466D" w:rsidP="00E00A7F">
            <w:pPr>
              <w:pStyle w:val="13"/>
              <w:ind w:firstLineChars="0" w:firstLine="0"/>
              <w:rPr>
                <w:sz w:val="21"/>
                <w:szCs w:val="21"/>
                <w:lang w:bidi="zh-CN"/>
              </w:rPr>
            </w:pPr>
          </w:p>
        </w:tc>
        <w:tc>
          <w:tcPr>
            <w:tcW w:w="1462" w:type="dxa"/>
            <w:vAlign w:val="center"/>
          </w:tcPr>
          <w:p w14:paraId="46994716" w14:textId="77777777" w:rsidR="00CC466D" w:rsidRPr="00466685" w:rsidRDefault="00CC466D" w:rsidP="00E00A7F">
            <w:pPr>
              <w:pStyle w:val="13"/>
              <w:ind w:firstLineChars="0" w:firstLine="0"/>
              <w:rPr>
                <w:sz w:val="21"/>
                <w:szCs w:val="21"/>
                <w:lang w:bidi="zh-CN"/>
              </w:rPr>
            </w:pPr>
          </w:p>
        </w:tc>
      </w:tr>
      <w:tr w:rsidR="00CC466D" w:rsidRPr="00466685" w14:paraId="5BF919CB" w14:textId="77777777" w:rsidTr="00E00A7F">
        <w:trPr>
          <w:trHeight w:val="403"/>
          <w:jc w:val="center"/>
        </w:trPr>
        <w:tc>
          <w:tcPr>
            <w:tcW w:w="2689" w:type="dxa"/>
            <w:vAlign w:val="center"/>
          </w:tcPr>
          <w:p w14:paraId="68E6CF0C" w14:textId="77777777" w:rsidR="00CC466D" w:rsidRPr="00466685" w:rsidRDefault="00CC466D" w:rsidP="00E00A7F">
            <w:pPr>
              <w:pStyle w:val="13"/>
              <w:ind w:firstLineChars="400" w:firstLine="840"/>
              <w:rPr>
                <w:sz w:val="21"/>
                <w:szCs w:val="21"/>
                <w:lang w:bidi="zh-CN"/>
              </w:rPr>
            </w:pPr>
            <w:r w:rsidRPr="00466685">
              <w:rPr>
                <w:sz w:val="21"/>
                <w:szCs w:val="21"/>
                <w:lang w:bidi="zh-CN"/>
              </w:rPr>
              <w:t>其他非流动资产</w:t>
            </w:r>
          </w:p>
        </w:tc>
        <w:tc>
          <w:tcPr>
            <w:tcW w:w="1513" w:type="dxa"/>
            <w:vAlign w:val="center"/>
          </w:tcPr>
          <w:p w14:paraId="79A1DBBE" w14:textId="77777777" w:rsidR="00CC466D" w:rsidRPr="00466685" w:rsidRDefault="00CC466D" w:rsidP="00E00A7F">
            <w:pPr>
              <w:pStyle w:val="13"/>
              <w:ind w:firstLineChars="0" w:firstLine="0"/>
              <w:rPr>
                <w:sz w:val="21"/>
                <w:szCs w:val="21"/>
                <w:lang w:bidi="zh-CN"/>
              </w:rPr>
            </w:pPr>
          </w:p>
        </w:tc>
        <w:tc>
          <w:tcPr>
            <w:tcW w:w="1672" w:type="dxa"/>
            <w:vAlign w:val="center"/>
          </w:tcPr>
          <w:p w14:paraId="51781244" w14:textId="77777777" w:rsidR="00CC466D" w:rsidRPr="00466685" w:rsidRDefault="00CC466D" w:rsidP="00E00A7F">
            <w:pPr>
              <w:pStyle w:val="13"/>
              <w:ind w:firstLineChars="0" w:firstLine="0"/>
              <w:rPr>
                <w:sz w:val="21"/>
                <w:szCs w:val="21"/>
                <w:lang w:bidi="zh-CN"/>
              </w:rPr>
            </w:pPr>
          </w:p>
        </w:tc>
        <w:tc>
          <w:tcPr>
            <w:tcW w:w="1512" w:type="dxa"/>
            <w:vAlign w:val="center"/>
          </w:tcPr>
          <w:p w14:paraId="0661997E" w14:textId="77777777" w:rsidR="00CC466D" w:rsidRPr="00466685" w:rsidRDefault="00CC466D" w:rsidP="00E00A7F">
            <w:pPr>
              <w:pStyle w:val="13"/>
              <w:ind w:firstLineChars="0" w:firstLine="0"/>
              <w:rPr>
                <w:sz w:val="21"/>
                <w:szCs w:val="21"/>
                <w:lang w:bidi="zh-CN"/>
              </w:rPr>
            </w:pPr>
          </w:p>
        </w:tc>
        <w:tc>
          <w:tcPr>
            <w:tcW w:w="1462" w:type="dxa"/>
            <w:vAlign w:val="center"/>
          </w:tcPr>
          <w:p w14:paraId="694A21A1" w14:textId="77777777" w:rsidR="00CC466D" w:rsidRPr="00466685" w:rsidRDefault="00CC466D" w:rsidP="00E00A7F">
            <w:pPr>
              <w:pStyle w:val="13"/>
              <w:ind w:firstLineChars="0" w:firstLine="0"/>
              <w:rPr>
                <w:sz w:val="21"/>
                <w:szCs w:val="21"/>
                <w:lang w:bidi="zh-CN"/>
              </w:rPr>
            </w:pPr>
          </w:p>
        </w:tc>
      </w:tr>
      <w:tr w:rsidR="00CC466D" w:rsidRPr="00466685" w14:paraId="0B5106B5" w14:textId="77777777" w:rsidTr="00E00A7F">
        <w:trPr>
          <w:trHeight w:val="403"/>
          <w:jc w:val="center"/>
        </w:trPr>
        <w:tc>
          <w:tcPr>
            <w:tcW w:w="2689" w:type="dxa"/>
            <w:vAlign w:val="center"/>
          </w:tcPr>
          <w:p w14:paraId="7E5F67B2" w14:textId="77777777" w:rsidR="00CC466D" w:rsidRPr="00466685" w:rsidRDefault="00CC466D" w:rsidP="00E00A7F">
            <w:pPr>
              <w:pStyle w:val="13"/>
              <w:ind w:firstLineChars="300" w:firstLine="630"/>
              <w:rPr>
                <w:sz w:val="21"/>
                <w:szCs w:val="21"/>
                <w:lang w:bidi="zh-CN"/>
              </w:rPr>
            </w:pPr>
            <w:r w:rsidRPr="00466685">
              <w:rPr>
                <w:sz w:val="21"/>
                <w:szCs w:val="21"/>
                <w:lang w:bidi="zh-CN"/>
              </w:rPr>
              <w:t>资产总计</w:t>
            </w:r>
          </w:p>
        </w:tc>
        <w:tc>
          <w:tcPr>
            <w:tcW w:w="1513" w:type="dxa"/>
            <w:vAlign w:val="center"/>
          </w:tcPr>
          <w:p w14:paraId="2D1A0789" w14:textId="77777777" w:rsidR="00CC466D" w:rsidRPr="00466685" w:rsidRDefault="00CC466D" w:rsidP="00E00A7F">
            <w:pPr>
              <w:pStyle w:val="13"/>
              <w:ind w:firstLineChars="0" w:firstLine="0"/>
              <w:rPr>
                <w:sz w:val="21"/>
                <w:szCs w:val="21"/>
                <w:lang w:bidi="zh-CN"/>
              </w:rPr>
            </w:pPr>
          </w:p>
        </w:tc>
        <w:tc>
          <w:tcPr>
            <w:tcW w:w="1672" w:type="dxa"/>
            <w:vAlign w:val="center"/>
          </w:tcPr>
          <w:p w14:paraId="5A9FCD96" w14:textId="77777777" w:rsidR="00CC466D" w:rsidRPr="00466685" w:rsidRDefault="00CC466D" w:rsidP="00E00A7F">
            <w:pPr>
              <w:pStyle w:val="13"/>
              <w:ind w:firstLineChars="0" w:firstLine="0"/>
              <w:rPr>
                <w:sz w:val="21"/>
                <w:szCs w:val="21"/>
                <w:lang w:bidi="zh-CN"/>
              </w:rPr>
            </w:pPr>
          </w:p>
        </w:tc>
        <w:tc>
          <w:tcPr>
            <w:tcW w:w="1512" w:type="dxa"/>
            <w:vAlign w:val="center"/>
          </w:tcPr>
          <w:p w14:paraId="3F9EE3E3" w14:textId="77777777" w:rsidR="00CC466D" w:rsidRPr="00466685" w:rsidRDefault="00CC466D" w:rsidP="00E00A7F">
            <w:pPr>
              <w:pStyle w:val="13"/>
              <w:ind w:firstLineChars="0" w:firstLine="0"/>
              <w:rPr>
                <w:sz w:val="21"/>
                <w:szCs w:val="21"/>
                <w:lang w:bidi="zh-CN"/>
              </w:rPr>
            </w:pPr>
          </w:p>
        </w:tc>
        <w:tc>
          <w:tcPr>
            <w:tcW w:w="1462" w:type="dxa"/>
            <w:vAlign w:val="center"/>
          </w:tcPr>
          <w:p w14:paraId="4D9940A0" w14:textId="77777777" w:rsidR="00CC466D" w:rsidRPr="00466685" w:rsidRDefault="00CC466D" w:rsidP="00E00A7F">
            <w:pPr>
              <w:pStyle w:val="13"/>
              <w:ind w:firstLineChars="0" w:firstLine="0"/>
              <w:rPr>
                <w:sz w:val="21"/>
                <w:szCs w:val="21"/>
                <w:lang w:bidi="zh-CN"/>
              </w:rPr>
            </w:pPr>
          </w:p>
        </w:tc>
      </w:tr>
      <w:tr w:rsidR="00CC466D" w:rsidRPr="00466685" w14:paraId="40F0D007" w14:textId="77777777" w:rsidTr="00E00A7F">
        <w:trPr>
          <w:trHeight w:val="401"/>
          <w:jc w:val="center"/>
        </w:trPr>
        <w:tc>
          <w:tcPr>
            <w:tcW w:w="2689" w:type="dxa"/>
            <w:vAlign w:val="center"/>
          </w:tcPr>
          <w:p w14:paraId="3E7AF34B" w14:textId="77777777" w:rsidR="00CC466D" w:rsidRPr="00466685" w:rsidRDefault="00CC466D" w:rsidP="00E00A7F">
            <w:pPr>
              <w:pStyle w:val="13"/>
              <w:ind w:firstLineChars="0" w:firstLine="0"/>
              <w:rPr>
                <w:sz w:val="21"/>
                <w:szCs w:val="21"/>
                <w:lang w:bidi="zh-CN"/>
              </w:rPr>
            </w:pPr>
            <w:r w:rsidRPr="00466685">
              <w:rPr>
                <w:sz w:val="21"/>
                <w:szCs w:val="21"/>
                <w:lang w:bidi="zh-CN"/>
              </w:rPr>
              <w:t>流动负债</w:t>
            </w:r>
          </w:p>
        </w:tc>
        <w:tc>
          <w:tcPr>
            <w:tcW w:w="1513" w:type="dxa"/>
            <w:vAlign w:val="center"/>
          </w:tcPr>
          <w:p w14:paraId="0DD45E2A" w14:textId="77777777" w:rsidR="00CC466D" w:rsidRPr="00466685" w:rsidRDefault="00CC466D" w:rsidP="00E00A7F">
            <w:pPr>
              <w:pStyle w:val="13"/>
              <w:ind w:firstLineChars="0" w:firstLine="0"/>
              <w:rPr>
                <w:sz w:val="21"/>
                <w:szCs w:val="21"/>
                <w:lang w:bidi="zh-CN"/>
              </w:rPr>
            </w:pPr>
          </w:p>
        </w:tc>
        <w:tc>
          <w:tcPr>
            <w:tcW w:w="1672" w:type="dxa"/>
            <w:vAlign w:val="center"/>
          </w:tcPr>
          <w:p w14:paraId="272D2389" w14:textId="77777777" w:rsidR="00CC466D" w:rsidRPr="00466685" w:rsidRDefault="00CC466D" w:rsidP="00E00A7F">
            <w:pPr>
              <w:pStyle w:val="13"/>
              <w:ind w:firstLineChars="0" w:firstLine="0"/>
              <w:rPr>
                <w:sz w:val="21"/>
                <w:szCs w:val="21"/>
                <w:lang w:bidi="zh-CN"/>
              </w:rPr>
            </w:pPr>
          </w:p>
        </w:tc>
        <w:tc>
          <w:tcPr>
            <w:tcW w:w="1512" w:type="dxa"/>
            <w:vAlign w:val="center"/>
          </w:tcPr>
          <w:p w14:paraId="09B9140B" w14:textId="77777777" w:rsidR="00CC466D" w:rsidRPr="00466685" w:rsidRDefault="00CC466D" w:rsidP="00E00A7F">
            <w:pPr>
              <w:pStyle w:val="13"/>
              <w:ind w:firstLineChars="0" w:firstLine="0"/>
              <w:rPr>
                <w:sz w:val="21"/>
                <w:szCs w:val="21"/>
                <w:lang w:bidi="zh-CN"/>
              </w:rPr>
            </w:pPr>
          </w:p>
        </w:tc>
        <w:tc>
          <w:tcPr>
            <w:tcW w:w="1462" w:type="dxa"/>
            <w:vAlign w:val="center"/>
          </w:tcPr>
          <w:p w14:paraId="1C42923C" w14:textId="77777777" w:rsidR="00CC466D" w:rsidRPr="00466685" w:rsidRDefault="00CC466D" w:rsidP="00E00A7F">
            <w:pPr>
              <w:pStyle w:val="13"/>
              <w:ind w:firstLineChars="0" w:firstLine="0"/>
              <w:rPr>
                <w:sz w:val="21"/>
                <w:szCs w:val="21"/>
                <w:lang w:bidi="zh-CN"/>
              </w:rPr>
            </w:pPr>
          </w:p>
        </w:tc>
      </w:tr>
      <w:tr w:rsidR="00CC466D" w:rsidRPr="00466685" w14:paraId="512F2729" w14:textId="77777777" w:rsidTr="00E00A7F">
        <w:trPr>
          <w:trHeight w:val="403"/>
          <w:jc w:val="center"/>
        </w:trPr>
        <w:tc>
          <w:tcPr>
            <w:tcW w:w="2689" w:type="dxa"/>
            <w:vAlign w:val="center"/>
          </w:tcPr>
          <w:p w14:paraId="71697A47" w14:textId="77777777" w:rsidR="00CC466D" w:rsidRPr="00466685" w:rsidRDefault="00CC466D" w:rsidP="00E00A7F">
            <w:pPr>
              <w:pStyle w:val="13"/>
              <w:ind w:firstLineChars="0" w:firstLine="0"/>
              <w:rPr>
                <w:sz w:val="21"/>
                <w:szCs w:val="21"/>
                <w:lang w:bidi="zh-CN"/>
              </w:rPr>
            </w:pPr>
            <w:r w:rsidRPr="00466685">
              <w:rPr>
                <w:sz w:val="21"/>
                <w:szCs w:val="21"/>
                <w:lang w:bidi="zh-CN"/>
              </w:rPr>
              <w:t>非流动负债</w:t>
            </w:r>
          </w:p>
        </w:tc>
        <w:tc>
          <w:tcPr>
            <w:tcW w:w="1513" w:type="dxa"/>
            <w:vAlign w:val="center"/>
          </w:tcPr>
          <w:p w14:paraId="7684D88C" w14:textId="77777777" w:rsidR="00CC466D" w:rsidRPr="00466685" w:rsidRDefault="00CC466D" w:rsidP="00E00A7F">
            <w:pPr>
              <w:pStyle w:val="13"/>
              <w:ind w:firstLineChars="0" w:firstLine="0"/>
              <w:rPr>
                <w:sz w:val="21"/>
                <w:szCs w:val="21"/>
                <w:lang w:bidi="zh-CN"/>
              </w:rPr>
            </w:pPr>
          </w:p>
        </w:tc>
        <w:tc>
          <w:tcPr>
            <w:tcW w:w="1672" w:type="dxa"/>
            <w:vAlign w:val="center"/>
          </w:tcPr>
          <w:p w14:paraId="61745C48" w14:textId="77777777" w:rsidR="00CC466D" w:rsidRPr="00466685" w:rsidRDefault="00CC466D" w:rsidP="00E00A7F">
            <w:pPr>
              <w:pStyle w:val="13"/>
              <w:ind w:firstLineChars="0" w:firstLine="0"/>
              <w:rPr>
                <w:sz w:val="21"/>
                <w:szCs w:val="21"/>
                <w:lang w:bidi="zh-CN"/>
              </w:rPr>
            </w:pPr>
          </w:p>
        </w:tc>
        <w:tc>
          <w:tcPr>
            <w:tcW w:w="1512" w:type="dxa"/>
            <w:vAlign w:val="center"/>
          </w:tcPr>
          <w:p w14:paraId="480525E0" w14:textId="77777777" w:rsidR="00CC466D" w:rsidRPr="00466685" w:rsidRDefault="00CC466D" w:rsidP="00E00A7F">
            <w:pPr>
              <w:pStyle w:val="13"/>
              <w:ind w:firstLineChars="0" w:firstLine="0"/>
              <w:rPr>
                <w:sz w:val="21"/>
                <w:szCs w:val="21"/>
                <w:lang w:bidi="zh-CN"/>
              </w:rPr>
            </w:pPr>
          </w:p>
        </w:tc>
        <w:tc>
          <w:tcPr>
            <w:tcW w:w="1462" w:type="dxa"/>
            <w:vAlign w:val="center"/>
          </w:tcPr>
          <w:p w14:paraId="088AD58D" w14:textId="77777777" w:rsidR="00CC466D" w:rsidRPr="00466685" w:rsidRDefault="00CC466D" w:rsidP="00E00A7F">
            <w:pPr>
              <w:pStyle w:val="13"/>
              <w:ind w:firstLineChars="0" w:firstLine="0"/>
              <w:rPr>
                <w:sz w:val="21"/>
                <w:szCs w:val="21"/>
                <w:lang w:bidi="zh-CN"/>
              </w:rPr>
            </w:pPr>
          </w:p>
        </w:tc>
      </w:tr>
      <w:tr w:rsidR="00CC466D" w:rsidRPr="00466685" w14:paraId="15E5CC6B" w14:textId="77777777" w:rsidTr="00E00A7F">
        <w:trPr>
          <w:trHeight w:val="403"/>
          <w:jc w:val="center"/>
        </w:trPr>
        <w:tc>
          <w:tcPr>
            <w:tcW w:w="2689" w:type="dxa"/>
            <w:vAlign w:val="center"/>
          </w:tcPr>
          <w:p w14:paraId="18FE3ECB" w14:textId="77777777" w:rsidR="00CC466D" w:rsidRPr="00466685" w:rsidRDefault="00CC466D" w:rsidP="00E00A7F">
            <w:pPr>
              <w:pStyle w:val="13"/>
              <w:ind w:firstLineChars="300" w:firstLine="630"/>
              <w:rPr>
                <w:sz w:val="21"/>
                <w:szCs w:val="21"/>
                <w:lang w:bidi="zh-CN"/>
              </w:rPr>
            </w:pPr>
            <w:r w:rsidRPr="00466685">
              <w:rPr>
                <w:sz w:val="21"/>
                <w:szCs w:val="21"/>
                <w:lang w:bidi="zh-CN"/>
              </w:rPr>
              <w:t>负债总计</w:t>
            </w:r>
          </w:p>
        </w:tc>
        <w:tc>
          <w:tcPr>
            <w:tcW w:w="1513" w:type="dxa"/>
            <w:vAlign w:val="center"/>
          </w:tcPr>
          <w:p w14:paraId="6CBB9EA0" w14:textId="77777777" w:rsidR="00CC466D" w:rsidRPr="00466685" w:rsidRDefault="00CC466D" w:rsidP="00E00A7F">
            <w:pPr>
              <w:pStyle w:val="13"/>
              <w:ind w:firstLineChars="0" w:firstLine="0"/>
              <w:rPr>
                <w:sz w:val="21"/>
                <w:szCs w:val="21"/>
                <w:lang w:bidi="zh-CN"/>
              </w:rPr>
            </w:pPr>
          </w:p>
        </w:tc>
        <w:tc>
          <w:tcPr>
            <w:tcW w:w="1672" w:type="dxa"/>
            <w:vAlign w:val="center"/>
          </w:tcPr>
          <w:p w14:paraId="74C158C2" w14:textId="77777777" w:rsidR="00CC466D" w:rsidRPr="00466685" w:rsidRDefault="00CC466D" w:rsidP="00E00A7F">
            <w:pPr>
              <w:pStyle w:val="13"/>
              <w:ind w:firstLineChars="0" w:firstLine="0"/>
              <w:rPr>
                <w:sz w:val="21"/>
                <w:szCs w:val="21"/>
                <w:lang w:bidi="zh-CN"/>
              </w:rPr>
            </w:pPr>
          </w:p>
        </w:tc>
        <w:tc>
          <w:tcPr>
            <w:tcW w:w="1512" w:type="dxa"/>
            <w:vAlign w:val="center"/>
          </w:tcPr>
          <w:p w14:paraId="3876F566" w14:textId="77777777" w:rsidR="00CC466D" w:rsidRPr="00466685" w:rsidRDefault="00CC466D" w:rsidP="00E00A7F">
            <w:pPr>
              <w:pStyle w:val="13"/>
              <w:ind w:firstLineChars="0" w:firstLine="0"/>
              <w:rPr>
                <w:sz w:val="21"/>
                <w:szCs w:val="21"/>
                <w:lang w:bidi="zh-CN"/>
              </w:rPr>
            </w:pPr>
          </w:p>
        </w:tc>
        <w:tc>
          <w:tcPr>
            <w:tcW w:w="1462" w:type="dxa"/>
            <w:vAlign w:val="center"/>
          </w:tcPr>
          <w:p w14:paraId="46B12BB0" w14:textId="77777777" w:rsidR="00CC466D" w:rsidRPr="00466685" w:rsidRDefault="00CC466D" w:rsidP="00E00A7F">
            <w:pPr>
              <w:pStyle w:val="13"/>
              <w:ind w:firstLineChars="0" w:firstLine="0"/>
              <w:rPr>
                <w:sz w:val="21"/>
                <w:szCs w:val="21"/>
                <w:lang w:bidi="zh-CN"/>
              </w:rPr>
            </w:pPr>
          </w:p>
        </w:tc>
      </w:tr>
      <w:tr w:rsidR="00CC466D" w:rsidRPr="00466685" w14:paraId="6E6A0A31" w14:textId="77777777" w:rsidTr="00E00A7F">
        <w:trPr>
          <w:trHeight w:val="403"/>
          <w:jc w:val="center"/>
        </w:trPr>
        <w:tc>
          <w:tcPr>
            <w:tcW w:w="2689" w:type="dxa"/>
            <w:vAlign w:val="center"/>
          </w:tcPr>
          <w:p w14:paraId="2BDFD14E" w14:textId="77777777" w:rsidR="00CC466D" w:rsidRPr="00466685" w:rsidRDefault="00CC466D" w:rsidP="00E00A7F">
            <w:pPr>
              <w:pStyle w:val="13"/>
              <w:ind w:firstLineChars="300" w:firstLine="630"/>
              <w:rPr>
                <w:sz w:val="21"/>
                <w:szCs w:val="21"/>
                <w:lang w:bidi="zh-CN"/>
              </w:rPr>
            </w:pPr>
            <w:r w:rsidRPr="00466685">
              <w:rPr>
                <w:sz w:val="21"/>
                <w:szCs w:val="21"/>
                <w:lang w:bidi="zh-CN"/>
              </w:rPr>
              <w:t>净 资 产</w:t>
            </w:r>
          </w:p>
        </w:tc>
        <w:tc>
          <w:tcPr>
            <w:tcW w:w="1513" w:type="dxa"/>
            <w:vAlign w:val="center"/>
          </w:tcPr>
          <w:p w14:paraId="446D6C29" w14:textId="77777777" w:rsidR="00CC466D" w:rsidRPr="00466685" w:rsidRDefault="00CC466D" w:rsidP="00E00A7F">
            <w:pPr>
              <w:pStyle w:val="13"/>
              <w:ind w:firstLineChars="0" w:firstLine="0"/>
              <w:rPr>
                <w:sz w:val="21"/>
                <w:szCs w:val="21"/>
                <w:lang w:bidi="zh-CN"/>
              </w:rPr>
            </w:pPr>
          </w:p>
        </w:tc>
        <w:tc>
          <w:tcPr>
            <w:tcW w:w="1672" w:type="dxa"/>
            <w:vAlign w:val="center"/>
          </w:tcPr>
          <w:p w14:paraId="34DB3E08" w14:textId="77777777" w:rsidR="00CC466D" w:rsidRPr="00466685" w:rsidRDefault="00CC466D" w:rsidP="00E00A7F">
            <w:pPr>
              <w:pStyle w:val="13"/>
              <w:ind w:firstLineChars="0" w:firstLine="0"/>
              <w:rPr>
                <w:sz w:val="21"/>
                <w:szCs w:val="21"/>
                <w:lang w:bidi="zh-CN"/>
              </w:rPr>
            </w:pPr>
          </w:p>
        </w:tc>
        <w:tc>
          <w:tcPr>
            <w:tcW w:w="1512" w:type="dxa"/>
            <w:vAlign w:val="center"/>
          </w:tcPr>
          <w:p w14:paraId="59E78A47" w14:textId="77777777" w:rsidR="00CC466D" w:rsidRPr="00466685" w:rsidRDefault="00CC466D" w:rsidP="00E00A7F">
            <w:pPr>
              <w:pStyle w:val="13"/>
              <w:ind w:firstLineChars="0" w:firstLine="0"/>
              <w:rPr>
                <w:sz w:val="21"/>
                <w:szCs w:val="21"/>
                <w:lang w:bidi="zh-CN"/>
              </w:rPr>
            </w:pPr>
          </w:p>
        </w:tc>
        <w:tc>
          <w:tcPr>
            <w:tcW w:w="1462" w:type="dxa"/>
            <w:vAlign w:val="center"/>
          </w:tcPr>
          <w:p w14:paraId="22B0A9AD" w14:textId="77777777" w:rsidR="00CC466D" w:rsidRPr="00466685" w:rsidRDefault="00CC466D" w:rsidP="00E00A7F">
            <w:pPr>
              <w:pStyle w:val="13"/>
              <w:ind w:firstLineChars="0" w:firstLine="0"/>
              <w:rPr>
                <w:sz w:val="21"/>
                <w:szCs w:val="21"/>
                <w:lang w:bidi="zh-CN"/>
              </w:rPr>
            </w:pPr>
          </w:p>
        </w:tc>
      </w:tr>
    </w:tbl>
    <w:p w14:paraId="7515EA6A" w14:textId="77777777" w:rsidR="00CC466D" w:rsidRPr="00466685" w:rsidRDefault="00CC466D" w:rsidP="00CC466D">
      <w:pPr>
        <w:pStyle w:val="13"/>
        <w:ind w:firstLineChars="0"/>
        <w:jc w:val="right"/>
        <w:rPr>
          <w:sz w:val="21"/>
          <w:szCs w:val="21"/>
        </w:rPr>
      </w:pPr>
      <w:r w:rsidRPr="00466685">
        <w:rPr>
          <w:rFonts w:hint="eastAsia"/>
          <w:sz w:val="21"/>
          <w:szCs w:val="21"/>
        </w:rPr>
        <w:t>（保留两位小数点）</w:t>
      </w:r>
    </w:p>
    <w:tbl>
      <w:tblPr>
        <w:tblStyle w:val="TableNormal1"/>
        <w:tblW w:w="5000" w:type="pct"/>
        <w:jc w:val="center"/>
        <w:tblInd w:w="0" w:type="dxa"/>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8724"/>
      </w:tblGrid>
      <w:tr w:rsidR="00CC466D" w14:paraId="26070535" w14:textId="77777777" w:rsidTr="00E00A7F">
        <w:trPr>
          <w:trHeight w:val="3182"/>
          <w:jc w:val="center"/>
        </w:trPr>
        <w:tc>
          <w:tcPr>
            <w:tcW w:w="5000" w:type="pct"/>
          </w:tcPr>
          <w:p w14:paraId="64CEE502" w14:textId="77777777" w:rsidR="00CC466D" w:rsidRDefault="00CC466D" w:rsidP="00E00A7F"/>
          <w:p w14:paraId="70346B58" w14:textId="77777777" w:rsidR="00CC466D" w:rsidRDefault="00CC466D" w:rsidP="00E00A7F">
            <w:pPr>
              <w:spacing w:before="118" w:line="204" w:lineRule="auto"/>
              <w:ind w:firstLine="117"/>
              <w:rPr>
                <w:sz w:val="24"/>
                <w:szCs w:val="24"/>
              </w:rPr>
            </w:pPr>
            <w:r>
              <w:rPr>
                <w:spacing w:val="-2"/>
                <w:sz w:val="24"/>
                <w:szCs w:val="24"/>
              </w:rPr>
              <w:t>备案意见：</w:t>
            </w:r>
          </w:p>
        </w:tc>
      </w:tr>
    </w:tbl>
    <w:p w14:paraId="0442757E" w14:textId="4F56106C" w:rsidR="00FA0363" w:rsidRDefault="00FA0363" w:rsidP="00CC466D">
      <w:pPr>
        <w:spacing w:before="54" w:line="204" w:lineRule="auto"/>
        <w:jc w:val="right"/>
      </w:pPr>
    </w:p>
    <w:p w14:paraId="39CE27A5" w14:textId="77777777" w:rsidR="00FA0363" w:rsidRDefault="00FA0363" w:rsidP="00FA0363">
      <w:pPr>
        <w:pStyle w:val="13"/>
      </w:pPr>
      <w:r>
        <w:rPr>
          <w:rFonts w:hint="eastAsia"/>
        </w:rPr>
        <w:t>备注：</w:t>
      </w:r>
    </w:p>
    <w:p w14:paraId="34D3AF59" w14:textId="77777777" w:rsidR="00FA0363" w:rsidRDefault="00FA0363" w:rsidP="00FA0363">
      <w:pPr>
        <w:pStyle w:val="13"/>
      </w:pPr>
      <w:r>
        <w:t>1．本备案表应与资产评估报告书同时使用,评估报告的使用各方应关注评估报告书中所揭示的特别事项和评估报告的法律效力等内容,合理使用评估结果。</w:t>
      </w:r>
    </w:p>
    <w:p w14:paraId="37FAAAF8" w14:textId="77777777" w:rsidR="00FA0363" w:rsidRDefault="00FA0363" w:rsidP="00FA0363">
      <w:pPr>
        <w:pStyle w:val="13"/>
      </w:pPr>
      <w:r>
        <w:t>2．本项目所出具的资产评估报告的法律责任由受托评估机构和在评估报告中签字的具有相应执业资格的评估人员共同承担，不因本备案而转移其法律责任。</w:t>
      </w:r>
    </w:p>
    <w:p w14:paraId="267DCA6E" w14:textId="77777777" w:rsidR="00FA0363" w:rsidRPr="000C7174" w:rsidRDefault="00FA0363" w:rsidP="00FA0363">
      <w:pPr>
        <w:pStyle w:val="13"/>
        <w:ind w:firstLineChars="0"/>
      </w:pPr>
      <w:r>
        <w:t>3．本表一式三份。</w:t>
      </w:r>
    </w:p>
    <w:p w14:paraId="42CBABBD" w14:textId="77777777" w:rsidR="00FA0363" w:rsidRPr="00AF7342" w:rsidRDefault="00FA0363" w:rsidP="00AF7342">
      <w:pPr>
        <w:pStyle w:val="a9"/>
        <w:spacing w:before="62" w:after="62"/>
      </w:pPr>
      <w:r w:rsidRPr="00AF7342">
        <w:rPr>
          <w:rFonts w:hint="eastAsia"/>
        </w:rPr>
        <w:lastRenderedPageBreak/>
        <w:t>《国有资产评估项目备案表》、</w:t>
      </w:r>
    </w:p>
    <w:p w14:paraId="1A8839F8" w14:textId="77777777" w:rsidR="00FA0363" w:rsidRPr="00AF7342" w:rsidRDefault="00FA0363" w:rsidP="00AF7342">
      <w:pPr>
        <w:pStyle w:val="a9"/>
        <w:spacing w:before="62" w:after="62"/>
      </w:pPr>
      <w:r w:rsidRPr="00AF7342">
        <w:rPr>
          <w:rFonts w:hint="eastAsia"/>
        </w:rPr>
        <w:t>《接受非国有资产评估项目备案表》填报说明</w:t>
      </w:r>
    </w:p>
    <w:p w14:paraId="77249D6E" w14:textId="77777777" w:rsidR="00FA0363" w:rsidRDefault="00FA0363" w:rsidP="00FA0363">
      <w:pPr>
        <w:pStyle w:val="ab"/>
        <w:spacing w:before="62" w:after="62"/>
        <w:ind w:firstLine="482"/>
      </w:pPr>
      <w:r>
        <w:rPr>
          <w:rFonts w:hint="eastAsia"/>
        </w:rPr>
        <w:t>一、如何下载、填写、打印、上报</w:t>
      </w:r>
    </w:p>
    <w:p w14:paraId="52B889F5" w14:textId="77777777" w:rsidR="00FA0363" w:rsidRDefault="00FA0363" w:rsidP="00FA0363">
      <w:pPr>
        <w:pStyle w:val="13"/>
      </w:pPr>
      <w:r>
        <w:rPr>
          <w:rFonts w:hint="eastAsia"/>
        </w:rPr>
        <w:t>（一）下载：按统一的固定格式下载，不能修改表式和有关项目。</w:t>
      </w:r>
    </w:p>
    <w:p w14:paraId="0C9165BB" w14:textId="77777777" w:rsidR="00FA0363" w:rsidRDefault="00FA0363" w:rsidP="00FA0363">
      <w:pPr>
        <w:pStyle w:val="13"/>
      </w:pPr>
      <w:r>
        <w:rPr>
          <w:rFonts w:hint="eastAsia"/>
        </w:rPr>
        <w:t>（二）填写：填写《国有资产评估项目备案表》、《接受非国有资产评估项目备案表》时，必须通过计算机输入，</w:t>
      </w:r>
      <w:proofErr w:type="gramStart"/>
      <w:r>
        <w:rPr>
          <w:rFonts w:hint="eastAsia"/>
        </w:rPr>
        <w:t>不</w:t>
      </w:r>
      <w:proofErr w:type="gramEnd"/>
      <w:r>
        <w:rPr>
          <w:rFonts w:hint="eastAsia"/>
        </w:rPr>
        <w:t>得用手工填写。要严格按规定的项目和内容如实填写，填写内容要准确、齐全、清晰，不得漏项、涂改。填报的评估数据以万元为单位，保留两位小数。</w:t>
      </w:r>
    </w:p>
    <w:p w14:paraId="40F875B9" w14:textId="77777777" w:rsidR="00FA0363" w:rsidRDefault="00FA0363" w:rsidP="00FA0363">
      <w:pPr>
        <w:pStyle w:val="13"/>
      </w:pPr>
      <w:r>
        <w:rPr>
          <w:rFonts w:hint="eastAsia"/>
        </w:rPr>
        <w:t>（三）打印：按印制的固定输出格式，用</w:t>
      </w:r>
      <w:r>
        <w:t>A3纸双面打印，不得分页。</w:t>
      </w:r>
    </w:p>
    <w:p w14:paraId="16C91C4A" w14:textId="77777777" w:rsidR="00FA0363" w:rsidRDefault="00FA0363" w:rsidP="00FA0363">
      <w:pPr>
        <w:pStyle w:val="13"/>
      </w:pPr>
      <w:r>
        <w:rPr>
          <w:rFonts w:hint="eastAsia"/>
        </w:rPr>
        <w:t>（四）上报：省国资委网站刊登的《国有资产评估项目备案表》、《接受非国有资产评估项目备案表》供下载填报用，填写好的备案表按规定加盖公章并签字后上报。</w:t>
      </w:r>
    </w:p>
    <w:p w14:paraId="3C4F13CE" w14:textId="77777777" w:rsidR="00FA0363" w:rsidRDefault="00FA0363" w:rsidP="00FA0363">
      <w:pPr>
        <w:pStyle w:val="ab"/>
        <w:spacing w:before="62" w:after="62"/>
        <w:ind w:firstLine="482"/>
      </w:pPr>
      <w:r>
        <w:rPr>
          <w:rFonts w:hint="eastAsia"/>
        </w:rPr>
        <w:t>二、如何填写《国有资产评估项目备案表》、《接受非国有资产评估项目备案表》</w:t>
      </w:r>
    </w:p>
    <w:p w14:paraId="40B7A645" w14:textId="77777777" w:rsidR="00FA0363" w:rsidRDefault="00FA0363" w:rsidP="00FA0363">
      <w:pPr>
        <w:pStyle w:val="13"/>
      </w:pPr>
      <w:r>
        <w:rPr>
          <w:rFonts w:hint="eastAsia"/>
        </w:rPr>
        <w:t>当企业进行资产评估时评估对象为国有资产，评估备案时需填写《国有资产评估项目备案表》；当评估对象为非国有资产，评估备案时需填写《接受非国有资产评估项目备案表》。</w:t>
      </w:r>
    </w:p>
    <w:p w14:paraId="60727623" w14:textId="77777777" w:rsidR="00FA0363" w:rsidRDefault="00FA0363" w:rsidP="00FA0363">
      <w:pPr>
        <w:pStyle w:val="ab"/>
        <w:spacing w:before="62" w:after="62"/>
        <w:ind w:firstLine="482"/>
      </w:pPr>
      <w:r>
        <w:rPr>
          <w:rFonts w:hint="eastAsia"/>
        </w:rPr>
        <w:t>（一）《国有资产评估项目备案表》</w:t>
      </w:r>
    </w:p>
    <w:p w14:paraId="222B0B16" w14:textId="77777777" w:rsidR="00FA0363" w:rsidRDefault="00FA0363" w:rsidP="00FA0363">
      <w:pPr>
        <w:pStyle w:val="13"/>
      </w:pPr>
      <w:r>
        <w:rPr>
          <w:rFonts w:hint="eastAsia"/>
        </w:rPr>
        <w:t>《国有资产评估项目备案表》应由产权持有单位填写，上级单位核实无异议后，逐级签章转报省国资委或省属企业。</w:t>
      </w:r>
    </w:p>
    <w:p w14:paraId="685513D2" w14:textId="77777777" w:rsidR="00FA0363" w:rsidRDefault="00FA0363" w:rsidP="00FA0363">
      <w:pPr>
        <w:pStyle w:val="13"/>
      </w:pPr>
      <w:r>
        <w:rPr>
          <w:rFonts w:hint="eastAsia"/>
        </w:rPr>
        <w:t>《国有资产评估项目备案表》共五部分，分别为“国有资产评估项目备案表封面”、“资产评估项目基本情况”、“资产评估结果”、“备案意见”、“备注”。</w:t>
      </w:r>
    </w:p>
    <w:p w14:paraId="22E64E69" w14:textId="77777777" w:rsidR="00FA0363" w:rsidRDefault="00FA0363" w:rsidP="00FA0363">
      <w:pPr>
        <w:pStyle w:val="13"/>
      </w:pPr>
      <w:r>
        <w:t>1.国有资产评估项目备案表封面</w:t>
      </w:r>
    </w:p>
    <w:p w14:paraId="785AD3EE" w14:textId="77777777" w:rsidR="00FA0363" w:rsidRDefault="00FA0363" w:rsidP="00FA0363">
      <w:pPr>
        <w:pStyle w:val="13"/>
      </w:pPr>
      <w:r>
        <w:rPr>
          <w:rFonts w:hint="eastAsia"/>
        </w:rPr>
        <w:t>（</w:t>
      </w:r>
      <w:r>
        <w:t>1）备案编号：由受理备案的省国资委或省属企业存档时填写统一编号。</w:t>
      </w:r>
    </w:p>
    <w:p w14:paraId="4F813DBB" w14:textId="77777777" w:rsidR="00FA0363" w:rsidRDefault="00FA0363" w:rsidP="00FA0363">
      <w:pPr>
        <w:pStyle w:val="13"/>
      </w:pPr>
      <w:r>
        <w:rPr>
          <w:rFonts w:hint="eastAsia"/>
        </w:rPr>
        <w:t>（</w:t>
      </w:r>
      <w:r>
        <w:t>2）申报单位（盖章）：由申报单位填写单位全称并盖章。报请省国资委备案的评估项目，申报单位指省属企业或省直有关部门、单位。报请省属企业备案的评估项目，申报单位指省属企业直接下属的子企业。省属企业负责备案的本企业资产评估项目，可不填写申报单位。</w:t>
      </w:r>
    </w:p>
    <w:p w14:paraId="2C2A1AE8" w14:textId="77777777" w:rsidR="00FA0363" w:rsidRDefault="00FA0363" w:rsidP="00FA0363">
      <w:pPr>
        <w:pStyle w:val="13"/>
      </w:pPr>
      <w:r>
        <w:rPr>
          <w:rFonts w:hint="eastAsia"/>
        </w:rPr>
        <w:t>（</w:t>
      </w:r>
      <w:r>
        <w:t>3）单位领导（签字）：由申报单位主要负责人或分管负责人亲笔签名。</w:t>
      </w:r>
    </w:p>
    <w:p w14:paraId="6657064D" w14:textId="77777777" w:rsidR="00FA0363" w:rsidRDefault="00FA0363" w:rsidP="00FA0363">
      <w:pPr>
        <w:pStyle w:val="13"/>
      </w:pPr>
      <w:r>
        <w:rPr>
          <w:rFonts w:hint="eastAsia"/>
        </w:rPr>
        <w:t>（</w:t>
      </w:r>
      <w:r>
        <w:t>4）填报日期：填写填报《国有资产评估项目备案表》的具体时间，如“2018年01月01日”。</w:t>
      </w:r>
    </w:p>
    <w:p w14:paraId="3399B7E0" w14:textId="77777777" w:rsidR="00FA0363" w:rsidRDefault="00FA0363" w:rsidP="00FA0363">
      <w:pPr>
        <w:pStyle w:val="13"/>
      </w:pPr>
      <w:r>
        <w:t>2.资产评估项目基本情况</w:t>
      </w:r>
    </w:p>
    <w:p w14:paraId="2B2FE88A" w14:textId="77777777" w:rsidR="00FA0363" w:rsidRDefault="00FA0363" w:rsidP="00FA0363">
      <w:pPr>
        <w:pStyle w:val="13"/>
      </w:pPr>
      <w:r>
        <w:rPr>
          <w:rFonts w:hint="eastAsia"/>
        </w:rPr>
        <w:t>（</w:t>
      </w:r>
      <w:r>
        <w:t>1）评估对象：如果评估对象为企业法人财产权范围内的资产，则填写“被评估企业的单位全称+相应资产名称”，如:XXX有限责任公司流动资产、固定资产、无</w:t>
      </w:r>
      <w:r>
        <w:lastRenderedPageBreak/>
        <w:t>形资产等；如果评估对象为企业所持产权（股权），则填写“被评估企业的单位全称+股东全部权益或部分权益”，如：XXX有限责任公司股东全部权益等。</w:t>
      </w:r>
    </w:p>
    <w:p w14:paraId="67F8B9A4" w14:textId="77777777" w:rsidR="00FA0363" w:rsidRDefault="00FA0363" w:rsidP="00FA0363">
      <w:pPr>
        <w:pStyle w:val="13"/>
      </w:pPr>
      <w:r>
        <w:rPr>
          <w:rFonts w:hint="eastAsia"/>
        </w:rPr>
        <w:t>（</w:t>
      </w:r>
      <w:r>
        <w:t>2）产权持有单位：由评估对象的产权持有单位填写单位全称。</w:t>
      </w:r>
    </w:p>
    <w:p w14:paraId="4BF6BBAB" w14:textId="77777777" w:rsidR="00FA0363" w:rsidRDefault="00FA0363" w:rsidP="00FA0363">
      <w:pPr>
        <w:pStyle w:val="13"/>
      </w:pPr>
      <w:r>
        <w:rPr>
          <w:rFonts w:hint="eastAsia"/>
        </w:rPr>
        <w:t>（</w:t>
      </w:r>
      <w:r>
        <w:t>3）企业管理级次：填写产权持有单位在省属企业或有关部门中的产权隶属级次。</w:t>
      </w:r>
    </w:p>
    <w:p w14:paraId="538A68F6" w14:textId="77777777" w:rsidR="00FA0363" w:rsidRDefault="00FA0363" w:rsidP="00FA0363">
      <w:pPr>
        <w:pStyle w:val="13"/>
      </w:pPr>
      <w:r>
        <w:rPr>
          <w:rFonts w:hint="eastAsia"/>
        </w:rPr>
        <w:t>（</w:t>
      </w:r>
      <w:r>
        <w:t>4）资产评估委托方：填写进行本次资产评估的委托方单位全称。</w:t>
      </w:r>
    </w:p>
    <w:p w14:paraId="7FE97709" w14:textId="77777777" w:rsidR="00FA0363" w:rsidRDefault="00FA0363" w:rsidP="00FA0363">
      <w:pPr>
        <w:pStyle w:val="13"/>
      </w:pPr>
      <w:r>
        <w:rPr>
          <w:rFonts w:hint="eastAsia"/>
        </w:rPr>
        <w:t>（</w:t>
      </w:r>
      <w:r>
        <w:t>5）省属企业（省直有关部门、单位）：填写产权持有单位所属省属企业或有关部门的单位全称。</w:t>
      </w:r>
    </w:p>
    <w:p w14:paraId="3A889406" w14:textId="77777777" w:rsidR="00FA0363" w:rsidRDefault="00FA0363" w:rsidP="00FA0363">
      <w:pPr>
        <w:pStyle w:val="13"/>
      </w:pPr>
      <w:r>
        <w:rPr>
          <w:rFonts w:hint="eastAsia"/>
        </w:rPr>
        <w:t>（</w:t>
      </w:r>
      <w:r>
        <w:t>6）经济行为类型：根据与评估目的一致的经济行为，对照所列类型“手工”打勾，不得多选。例如，“转让所持企业产权”应在备案表中“产权转让”类型“手工”打勾。对《指引》第五条所列“增资、减资”经济行为，对应列入《国有资产评估项目备案表》中“非上市公司国有股东股权比例变动”经济行为。若经济行为未包括在所列类型中，可在“其他”项下“手工”打勾并通过计算机明确输入经济行为类型。</w:t>
      </w:r>
    </w:p>
    <w:p w14:paraId="24A3787B" w14:textId="77777777" w:rsidR="00FA0363" w:rsidRDefault="00FA0363" w:rsidP="00FA0363">
      <w:pPr>
        <w:pStyle w:val="13"/>
      </w:pPr>
      <w:r>
        <w:rPr>
          <w:rFonts w:hint="eastAsia"/>
        </w:rPr>
        <w:t>（</w:t>
      </w:r>
      <w:r>
        <w:t>7）评估报告编号：填写所待备案的资产评估报告书编号。</w:t>
      </w:r>
    </w:p>
    <w:p w14:paraId="2E51D968" w14:textId="77777777" w:rsidR="00FA0363" w:rsidRDefault="00FA0363" w:rsidP="00FA0363">
      <w:pPr>
        <w:pStyle w:val="13"/>
      </w:pPr>
      <w:r>
        <w:rPr>
          <w:rFonts w:hint="eastAsia"/>
        </w:rPr>
        <w:t>（</w:t>
      </w:r>
      <w:r>
        <w:t>8）主要评估方法：根据评估的具体方法填写，最多可填写两种主要方法。</w:t>
      </w:r>
    </w:p>
    <w:p w14:paraId="150E32A4" w14:textId="77777777" w:rsidR="00FA0363" w:rsidRDefault="00FA0363" w:rsidP="00FA0363">
      <w:pPr>
        <w:pStyle w:val="13"/>
      </w:pPr>
      <w:r>
        <w:rPr>
          <w:rFonts w:hint="eastAsia"/>
        </w:rPr>
        <w:t>（</w:t>
      </w:r>
      <w:r>
        <w:t>9）评估机构名称：填写委托的资产评估机构的单位全称。委托两家以上资产评估机构的，只填写出具总体报告、负主要责任的资产评估机构单位全称。</w:t>
      </w:r>
    </w:p>
    <w:p w14:paraId="5CB97878" w14:textId="77777777" w:rsidR="00FA0363" w:rsidRDefault="00FA0363" w:rsidP="00FA0363">
      <w:pPr>
        <w:pStyle w:val="13"/>
      </w:pPr>
      <w:r>
        <w:rPr>
          <w:rFonts w:hint="eastAsia"/>
        </w:rPr>
        <w:t>（</w:t>
      </w:r>
      <w:r>
        <w:t>10）资质证书编号：填写资产评估机构的资产评估资格证书编号。</w:t>
      </w:r>
    </w:p>
    <w:p w14:paraId="524F8AF4" w14:textId="77777777" w:rsidR="00FA0363" w:rsidRDefault="00FA0363" w:rsidP="00FA0363">
      <w:pPr>
        <w:pStyle w:val="13"/>
      </w:pPr>
      <w:r>
        <w:rPr>
          <w:rFonts w:hint="eastAsia"/>
        </w:rPr>
        <w:t>（</w:t>
      </w:r>
      <w:r>
        <w:t>11）资产评估师姓名/资产评估师编号：填写评估报告中两位签字资产评估师姓名、资产评估师资质证书编号。</w:t>
      </w:r>
    </w:p>
    <w:p w14:paraId="50929A0A" w14:textId="77777777" w:rsidR="00FA0363" w:rsidRDefault="00FA0363" w:rsidP="00FA0363">
      <w:pPr>
        <w:pStyle w:val="13"/>
      </w:pPr>
      <w:r>
        <w:rPr>
          <w:rFonts w:hint="eastAsia"/>
        </w:rPr>
        <w:t>（</w:t>
      </w:r>
      <w:r>
        <w:t>12）产权持有单位联系人/电话/通讯地址：填写产权持有单位具体负责评估工作人员的姓名、联系电话、通讯地址和邮编。</w:t>
      </w:r>
    </w:p>
    <w:p w14:paraId="232C64F3" w14:textId="77777777" w:rsidR="00FA0363" w:rsidRDefault="00FA0363" w:rsidP="00FA0363">
      <w:pPr>
        <w:pStyle w:val="13"/>
      </w:pPr>
      <w:r>
        <w:rPr>
          <w:rFonts w:hint="eastAsia"/>
        </w:rPr>
        <w:t>（</w:t>
      </w:r>
      <w:r>
        <w:t>13）省属企业(省直有关部门、单位)联系人/电话/通讯地址：填写省属企业或有关部门具体负责评估工作人员的姓名、联系电话、通讯地址和邮编。</w:t>
      </w:r>
    </w:p>
    <w:p w14:paraId="792986A8" w14:textId="77777777" w:rsidR="00FA0363" w:rsidRDefault="00FA0363" w:rsidP="00FA0363">
      <w:pPr>
        <w:pStyle w:val="13"/>
      </w:pPr>
      <w:r>
        <w:rPr>
          <w:rFonts w:hint="eastAsia"/>
        </w:rPr>
        <w:t>（</w:t>
      </w:r>
      <w:r>
        <w:t>14）产权持有单位&lt;签章处&gt;：由产权持有单位填写申报备案日期，由法定代表人亲笔签名并加盖单位公章。</w:t>
      </w:r>
    </w:p>
    <w:p w14:paraId="491FC6B4" w14:textId="77777777" w:rsidR="00FA0363" w:rsidRDefault="00FA0363" w:rsidP="00FA0363">
      <w:pPr>
        <w:pStyle w:val="13"/>
      </w:pPr>
      <w:r>
        <w:rPr>
          <w:rFonts w:hint="eastAsia"/>
        </w:rPr>
        <w:t>（</w:t>
      </w:r>
      <w:r>
        <w:t>15）上级单位&lt;签章处&gt;：由产权持有单位的各上级单位填写同意转报备案日期，加盖单位公章，并由各上级单位法定代表人或资产评估分管负责人亲笔签名。</w:t>
      </w:r>
    </w:p>
    <w:p w14:paraId="6316C1FA" w14:textId="77777777" w:rsidR="00FA0363" w:rsidRDefault="00FA0363" w:rsidP="00FA0363">
      <w:pPr>
        <w:pStyle w:val="13"/>
      </w:pPr>
      <w:r>
        <w:rPr>
          <w:rFonts w:hint="eastAsia"/>
        </w:rPr>
        <w:t>（</w:t>
      </w:r>
      <w:r>
        <w:t>16）备案&lt;签章处&gt;：由受理备案的省国资委或省属企业填写备案日期、盖章。</w:t>
      </w:r>
    </w:p>
    <w:p w14:paraId="7B1C84CF" w14:textId="77777777" w:rsidR="00FA0363" w:rsidRDefault="00FA0363" w:rsidP="00FA0363">
      <w:pPr>
        <w:pStyle w:val="13"/>
      </w:pPr>
      <w:r>
        <w:t>3.资产评估结果</w:t>
      </w:r>
    </w:p>
    <w:p w14:paraId="101FF61C" w14:textId="77777777" w:rsidR="00FA0363" w:rsidRDefault="00FA0363" w:rsidP="00FA0363">
      <w:pPr>
        <w:pStyle w:val="13"/>
      </w:pPr>
      <w:r>
        <w:rPr>
          <w:rFonts w:hint="eastAsia"/>
        </w:rPr>
        <w:t>（</w:t>
      </w:r>
      <w:r>
        <w:t>1）评估基准日/评估结果使用有效期：根据资产评估报告的评估基准日和使用有效期填写。</w:t>
      </w:r>
    </w:p>
    <w:p w14:paraId="35313BDB" w14:textId="77777777" w:rsidR="00FA0363" w:rsidRDefault="00FA0363" w:rsidP="00FA0363">
      <w:pPr>
        <w:pStyle w:val="13"/>
      </w:pPr>
      <w:r>
        <w:rPr>
          <w:rFonts w:hint="eastAsia"/>
        </w:rPr>
        <w:t>（</w:t>
      </w:r>
      <w:r>
        <w:t>2）资产评估结果：根据资产评估报告书中的资产评估结果汇总表填写，单位</w:t>
      </w:r>
      <w:r>
        <w:lastRenderedPageBreak/>
        <w:t>为万元，保留两位小数。</w:t>
      </w:r>
    </w:p>
    <w:p w14:paraId="3CD2166D" w14:textId="77777777" w:rsidR="00FA0363" w:rsidRDefault="00FA0363" w:rsidP="00FA0363">
      <w:pPr>
        <w:pStyle w:val="13"/>
      </w:pPr>
      <w:r>
        <w:rPr>
          <w:rFonts w:hint="eastAsia"/>
        </w:rPr>
        <w:t>账面价值：当评估对象为企业产权（股权）时，账面价值应为审计后账面值；当评估对象为部分资产时，账面价值一般为企业账簿记载的账面价值；</w:t>
      </w:r>
    </w:p>
    <w:p w14:paraId="62B33394" w14:textId="77777777" w:rsidR="00FA0363" w:rsidRDefault="00FA0363" w:rsidP="00FA0363">
      <w:pPr>
        <w:pStyle w:val="13"/>
      </w:pPr>
      <w:r>
        <w:rPr>
          <w:rFonts w:hint="eastAsia"/>
        </w:rPr>
        <w:t>评估价值：按照资产评估机构出具的资产评估报告的评估结果汇总表填写。评估对象为企业产权（股权）时，选用成本法评估值作为评估结果的，流动资产至净资产的评估价值要逐项填写；选用收益法或市场法评估值作为评估结果的，只填写净资产的评估价值；</w:t>
      </w:r>
    </w:p>
    <w:p w14:paraId="0FCEA8C2" w14:textId="77777777" w:rsidR="00FA0363" w:rsidRDefault="00FA0363" w:rsidP="00FA0363">
      <w:pPr>
        <w:pStyle w:val="13"/>
      </w:pPr>
      <w:r>
        <w:rPr>
          <w:rFonts w:hint="eastAsia"/>
        </w:rPr>
        <w:t>增减值：增减值为评估价值与账面价值的差额；</w:t>
      </w:r>
    </w:p>
    <w:p w14:paraId="062CD4D9" w14:textId="77777777" w:rsidR="00FA0363" w:rsidRDefault="00FA0363" w:rsidP="00FA0363">
      <w:pPr>
        <w:pStyle w:val="13"/>
      </w:pPr>
      <w:r>
        <w:rPr>
          <w:rFonts w:hint="eastAsia"/>
        </w:rPr>
        <w:t>增减率：增减率为增减值与账面价值的比率。</w:t>
      </w:r>
    </w:p>
    <w:p w14:paraId="00EE4F6B" w14:textId="77777777" w:rsidR="00FA0363" w:rsidRDefault="00FA0363" w:rsidP="00FA0363">
      <w:pPr>
        <w:pStyle w:val="13"/>
      </w:pPr>
      <w:r>
        <w:t>4.备案意见</w:t>
      </w:r>
    </w:p>
    <w:p w14:paraId="51697364" w14:textId="77777777" w:rsidR="00FA0363" w:rsidRDefault="00FA0363" w:rsidP="00FA0363">
      <w:pPr>
        <w:pStyle w:val="13"/>
      </w:pPr>
      <w:r>
        <w:rPr>
          <w:rFonts w:hint="eastAsia"/>
        </w:rPr>
        <w:t>根据资产评估项目实际情况，在必要时，由受理备案的省国资委或省属企业填写要求相关企业注意或落实有关问题的意见建议。</w:t>
      </w:r>
    </w:p>
    <w:p w14:paraId="557CB405" w14:textId="77777777" w:rsidR="00FA0363" w:rsidRDefault="00FA0363" w:rsidP="00FA0363">
      <w:pPr>
        <w:pStyle w:val="ab"/>
        <w:spacing w:before="62" w:after="62"/>
        <w:ind w:firstLine="482"/>
      </w:pPr>
      <w:r>
        <w:rPr>
          <w:rFonts w:hint="eastAsia"/>
        </w:rPr>
        <w:t>（二）接受非国有资产评估项目备案表</w:t>
      </w:r>
    </w:p>
    <w:p w14:paraId="2C131050" w14:textId="77777777" w:rsidR="00FA0363" w:rsidRDefault="00FA0363" w:rsidP="00FA0363">
      <w:pPr>
        <w:pStyle w:val="13"/>
      </w:pPr>
      <w:r>
        <w:rPr>
          <w:rFonts w:hint="eastAsia"/>
        </w:rPr>
        <w:t>《接受非国有资产评估项目备案表》应由接受非国有资产的企业填写，上级单位核实无异议后，逐级签章转报省国资委或省属企业。</w:t>
      </w:r>
    </w:p>
    <w:p w14:paraId="7265A780" w14:textId="77777777" w:rsidR="00FA0363" w:rsidRDefault="00FA0363" w:rsidP="00FA0363">
      <w:pPr>
        <w:pStyle w:val="13"/>
      </w:pPr>
      <w:r>
        <w:rPr>
          <w:rFonts w:hint="eastAsia"/>
        </w:rPr>
        <w:t>《接受非国有资产评估项目备案表》共五部分，分别为“接受非国有资产评估项目备案表封面”、“资产评估项目基本情况”、“资产评估详细结果”、“备案意见”、“备注”。</w:t>
      </w:r>
    </w:p>
    <w:p w14:paraId="40D7BC8E" w14:textId="77777777" w:rsidR="00FA0363" w:rsidRDefault="00FA0363" w:rsidP="00FA0363">
      <w:pPr>
        <w:pStyle w:val="13"/>
      </w:pPr>
      <w:r>
        <w:t>1.接受非国有资产评估项目备案表封面</w:t>
      </w:r>
    </w:p>
    <w:p w14:paraId="2F697285" w14:textId="77777777" w:rsidR="00FA0363" w:rsidRDefault="00FA0363" w:rsidP="00FA0363">
      <w:pPr>
        <w:pStyle w:val="13"/>
      </w:pPr>
      <w:r>
        <w:rPr>
          <w:rFonts w:hint="eastAsia"/>
        </w:rPr>
        <w:t>（</w:t>
      </w:r>
      <w:r>
        <w:t>1）备案编号：由受理备案的省国资委或省属企业存档时填写统一编号。</w:t>
      </w:r>
    </w:p>
    <w:p w14:paraId="7B5B3779" w14:textId="77777777" w:rsidR="00FA0363" w:rsidRDefault="00FA0363" w:rsidP="00FA0363">
      <w:pPr>
        <w:pStyle w:val="13"/>
      </w:pPr>
      <w:r>
        <w:rPr>
          <w:rFonts w:hint="eastAsia"/>
        </w:rPr>
        <w:t>（</w:t>
      </w:r>
      <w:r>
        <w:t>2）申报单位（盖章）：由申报单位填写单位全称并盖章。报请省国资委备案的评估项目，申报单位指省属企业或省直有关部门、单位。报请省属企业备案的评估项目，</w:t>
      </w:r>
      <w:r>
        <w:rPr>
          <w:rFonts w:hint="eastAsia"/>
        </w:rPr>
        <w:t>申报单位指省属企业直接下属的子企业。省属企业负责备案的本企业资产评估项目，可不填写申报单位。</w:t>
      </w:r>
    </w:p>
    <w:p w14:paraId="756C1105" w14:textId="77777777" w:rsidR="00FA0363" w:rsidRDefault="00FA0363" w:rsidP="00FA0363">
      <w:pPr>
        <w:pStyle w:val="13"/>
      </w:pPr>
      <w:r>
        <w:rPr>
          <w:rFonts w:hint="eastAsia"/>
        </w:rPr>
        <w:t>（</w:t>
      </w:r>
      <w:r>
        <w:t>3）单位领导（签字）：由申报单位主要负责人或分管负责人亲笔签名；</w:t>
      </w:r>
    </w:p>
    <w:p w14:paraId="4DD5D497" w14:textId="77777777" w:rsidR="00FA0363" w:rsidRDefault="00FA0363" w:rsidP="00FA0363">
      <w:pPr>
        <w:pStyle w:val="13"/>
      </w:pPr>
      <w:r>
        <w:rPr>
          <w:rFonts w:hint="eastAsia"/>
        </w:rPr>
        <w:t>（</w:t>
      </w:r>
      <w:r>
        <w:t>4）填报日期：填写填报《接受非国有资产评估项目备案表》的具体时间，如“2018年01月01日”。</w:t>
      </w:r>
    </w:p>
    <w:p w14:paraId="1F4994BA" w14:textId="77777777" w:rsidR="00FA0363" w:rsidRDefault="00FA0363" w:rsidP="00FA0363">
      <w:pPr>
        <w:pStyle w:val="13"/>
      </w:pPr>
      <w:r>
        <w:t>2.资产评估项目基本情况</w:t>
      </w:r>
    </w:p>
    <w:p w14:paraId="64DB5E50" w14:textId="77777777" w:rsidR="00FA0363" w:rsidRDefault="00FA0363" w:rsidP="00FA0363">
      <w:pPr>
        <w:pStyle w:val="13"/>
      </w:pPr>
      <w:r>
        <w:rPr>
          <w:rFonts w:hint="eastAsia"/>
        </w:rPr>
        <w:t>（</w:t>
      </w:r>
      <w:r>
        <w:t>1）评估对象：如果评估对象为企业法人财产权范围内的资产，则</w:t>
      </w:r>
    </w:p>
    <w:p w14:paraId="4EBE0C7C" w14:textId="77777777" w:rsidR="00FA0363" w:rsidRDefault="00FA0363" w:rsidP="00FA0363">
      <w:pPr>
        <w:pStyle w:val="13"/>
      </w:pPr>
      <w:r>
        <w:rPr>
          <w:rFonts w:hint="eastAsia"/>
        </w:rPr>
        <w:t>填写“被评估企业的单位全称</w:t>
      </w:r>
      <w:r>
        <w:t>+相应资产名称”，如:XXX有限责任公司流动资产、固定资产、无形资产等；如果评估对象为自然人拥有的非货币资产，则填写“自然人姓名+相应资产名称”，如：XXX拥有的专利权；如果评估对象为企业所持产权（股权），则填写“被评估企业的单位全称+股东全部权益或部分权益”，如：XXX有限责任公司股东全部权益等。</w:t>
      </w:r>
    </w:p>
    <w:p w14:paraId="6BF1E0B0" w14:textId="77777777" w:rsidR="00FA0363" w:rsidRDefault="00FA0363" w:rsidP="00FA0363">
      <w:pPr>
        <w:pStyle w:val="13"/>
      </w:pPr>
      <w:r>
        <w:rPr>
          <w:rFonts w:hint="eastAsia"/>
        </w:rPr>
        <w:lastRenderedPageBreak/>
        <w:t>（</w:t>
      </w:r>
      <w:r>
        <w:t>2）接受非国有资产的企业：由接受非国有资产的企业填写单位全称。</w:t>
      </w:r>
    </w:p>
    <w:p w14:paraId="3945B281" w14:textId="77777777" w:rsidR="00FA0363" w:rsidRDefault="00FA0363" w:rsidP="00FA0363">
      <w:pPr>
        <w:pStyle w:val="13"/>
      </w:pPr>
      <w:r>
        <w:rPr>
          <w:rFonts w:hint="eastAsia"/>
        </w:rPr>
        <w:t>（</w:t>
      </w:r>
      <w:r>
        <w:t>3）企业管理级次：填写接受非国有资产的企业在省属企业或有关部门中的产权隶属级次。</w:t>
      </w:r>
    </w:p>
    <w:p w14:paraId="41DDCE5D" w14:textId="77777777" w:rsidR="00FA0363" w:rsidRDefault="00FA0363" w:rsidP="00FA0363">
      <w:pPr>
        <w:pStyle w:val="13"/>
      </w:pPr>
      <w:r>
        <w:rPr>
          <w:rFonts w:hint="eastAsia"/>
        </w:rPr>
        <w:t>（</w:t>
      </w:r>
      <w:r>
        <w:t>4）资产评估委托方：填写进行本次资产评估的委托方单位全称。</w:t>
      </w:r>
    </w:p>
    <w:p w14:paraId="754294E8" w14:textId="77777777" w:rsidR="00FA0363" w:rsidRDefault="00FA0363" w:rsidP="00FA0363">
      <w:pPr>
        <w:pStyle w:val="13"/>
      </w:pPr>
      <w:r>
        <w:rPr>
          <w:rFonts w:hint="eastAsia"/>
        </w:rPr>
        <w:t>（</w:t>
      </w:r>
      <w:r>
        <w:t>5）省属企业（省直有关部门、单位）：填写接受非国有资产的企业所属省属企业或有关部门单位全称。</w:t>
      </w:r>
    </w:p>
    <w:p w14:paraId="1657814B" w14:textId="77777777" w:rsidR="00FA0363" w:rsidRDefault="00FA0363" w:rsidP="00FA0363">
      <w:pPr>
        <w:pStyle w:val="13"/>
      </w:pPr>
      <w:r>
        <w:rPr>
          <w:rFonts w:hint="eastAsia"/>
        </w:rPr>
        <w:t>（</w:t>
      </w:r>
      <w:r>
        <w:t>6）经济行为类型：根据与评估目的一致的经济行为，对照所列类型“手工”打勾，不得多选。例如，对《指引》第五条所列“收购其他企业产权、对其他企业增资、收购非货币资产”经济行为，对应列入《接受非国有资产评估项目备案表》中“收购非国有单位的资产”经济行为。若经济行为未包括在所列类型中，可在“其他”项下“手工”打勾并通过计算机明确输入经济行为类型。</w:t>
      </w:r>
    </w:p>
    <w:p w14:paraId="3607DB36" w14:textId="77777777" w:rsidR="00FA0363" w:rsidRDefault="00FA0363" w:rsidP="00FA0363">
      <w:pPr>
        <w:pStyle w:val="13"/>
      </w:pPr>
      <w:r>
        <w:rPr>
          <w:rFonts w:hint="eastAsia"/>
        </w:rPr>
        <w:t>（</w:t>
      </w:r>
      <w:r>
        <w:t>7）评估报告编号：填写所待备案的资产评估报告书编号。</w:t>
      </w:r>
    </w:p>
    <w:p w14:paraId="66716C99" w14:textId="77777777" w:rsidR="00FA0363" w:rsidRDefault="00FA0363" w:rsidP="00FA0363">
      <w:pPr>
        <w:pStyle w:val="13"/>
      </w:pPr>
      <w:r>
        <w:rPr>
          <w:rFonts w:hint="eastAsia"/>
        </w:rPr>
        <w:t>（</w:t>
      </w:r>
      <w:r>
        <w:t>8）主要评估方法：根据评估的具体方法填写，最多可填写两种主要方法。</w:t>
      </w:r>
    </w:p>
    <w:p w14:paraId="28601C73" w14:textId="77777777" w:rsidR="00FA0363" w:rsidRDefault="00FA0363" w:rsidP="00FA0363">
      <w:pPr>
        <w:pStyle w:val="13"/>
      </w:pPr>
      <w:r>
        <w:rPr>
          <w:rFonts w:hint="eastAsia"/>
        </w:rPr>
        <w:t>（</w:t>
      </w:r>
      <w:r>
        <w:t>9）评估机构名称：填写委托的资产评估机构的单位全称。委托两家以上资产评估机构的，只填写出具总体报告、负主要责任的资产评估机构单位全称。</w:t>
      </w:r>
    </w:p>
    <w:p w14:paraId="0A302CB7" w14:textId="77777777" w:rsidR="00FA0363" w:rsidRDefault="00FA0363" w:rsidP="00FA0363">
      <w:pPr>
        <w:pStyle w:val="13"/>
      </w:pPr>
      <w:r>
        <w:rPr>
          <w:rFonts w:hint="eastAsia"/>
        </w:rPr>
        <w:t>（</w:t>
      </w:r>
      <w:r>
        <w:t>10）资质证书编号：填写资产评估机构的资产评估资格证书编号。</w:t>
      </w:r>
    </w:p>
    <w:p w14:paraId="75302026" w14:textId="77777777" w:rsidR="00FA0363" w:rsidRDefault="00FA0363" w:rsidP="00FA0363">
      <w:pPr>
        <w:pStyle w:val="13"/>
      </w:pPr>
      <w:r>
        <w:rPr>
          <w:rFonts w:hint="eastAsia"/>
        </w:rPr>
        <w:t>（</w:t>
      </w:r>
      <w:r>
        <w:t>11）资产评估师姓名/资产评估师编号：填写评估报告中两位签字资产评估师姓</w:t>
      </w:r>
      <w:r>
        <w:rPr>
          <w:rFonts w:hint="eastAsia"/>
        </w:rPr>
        <w:t>名、资产评估师资质证书编号。</w:t>
      </w:r>
    </w:p>
    <w:p w14:paraId="524E506F" w14:textId="77777777" w:rsidR="00FA0363" w:rsidRDefault="00FA0363" w:rsidP="00FA0363">
      <w:pPr>
        <w:pStyle w:val="13"/>
      </w:pPr>
      <w:r>
        <w:rPr>
          <w:rFonts w:hint="eastAsia"/>
        </w:rPr>
        <w:t>（</w:t>
      </w:r>
      <w:r>
        <w:t>12）接受非国有资产的企业联系人/电话/通讯地址：填写接受非国有资产的企业的具体负责评估工作人员的姓名、联系电话、通讯地址和邮编。</w:t>
      </w:r>
    </w:p>
    <w:p w14:paraId="21708B44" w14:textId="77777777" w:rsidR="00FA0363" w:rsidRDefault="00FA0363" w:rsidP="00FA0363">
      <w:pPr>
        <w:pStyle w:val="13"/>
      </w:pPr>
      <w:r>
        <w:rPr>
          <w:rFonts w:hint="eastAsia"/>
        </w:rPr>
        <w:t>（</w:t>
      </w:r>
      <w:r>
        <w:t>13）省属企业（省直有关部门、单位）联系人/电话/通讯地址：填写接受非国有资产企业所在的省属企业或有关部门具体负责评估工作人员</w:t>
      </w:r>
    </w:p>
    <w:p w14:paraId="759B7A7B" w14:textId="77777777" w:rsidR="00FA0363" w:rsidRDefault="00FA0363" w:rsidP="00FA0363">
      <w:pPr>
        <w:pStyle w:val="13"/>
      </w:pPr>
      <w:r>
        <w:rPr>
          <w:rFonts w:hint="eastAsia"/>
        </w:rPr>
        <w:t>的姓名、联系电话、通讯地址和邮编；</w:t>
      </w:r>
    </w:p>
    <w:p w14:paraId="68B6A529" w14:textId="77777777" w:rsidR="00FA0363" w:rsidRDefault="00FA0363" w:rsidP="00FA0363">
      <w:pPr>
        <w:pStyle w:val="13"/>
      </w:pPr>
      <w:r>
        <w:rPr>
          <w:rFonts w:hint="eastAsia"/>
        </w:rPr>
        <w:t>（</w:t>
      </w:r>
      <w:r>
        <w:t>14）接受非国有资产的企业&lt;签章处&gt;：由接受非国有资产的企业填写申报备案日期，由法定代表人亲笔签名并加盖单位公章；</w:t>
      </w:r>
    </w:p>
    <w:p w14:paraId="41EB0610" w14:textId="77777777" w:rsidR="00FA0363" w:rsidRDefault="00FA0363" w:rsidP="00FA0363">
      <w:pPr>
        <w:pStyle w:val="13"/>
      </w:pPr>
      <w:r>
        <w:rPr>
          <w:rFonts w:hint="eastAsia"/>
        </w:rPr>
        <w:t>（</w:t>
      </w:r>
      <w:r>
        <w:t>15）上级单位&lt;签章处&gt;：由接受非国有资产的企业各上级单位填写同意转报备案日期，加盖单位公章，并由上级单位法定代表人或资产评估分管负责人亲笔签名。</w:t>
      </w:r>
    </w:p>
    <w:p w14:paraId="70546A6D" w14:textId="77777777" w:rsidR="00FA0363" w:rsidRDefault="00FA0363" w:rsidP="00FA0363">
      <w:pPr>
        <w:pStyle w:val="13"/>
      </w:pPr>
      <w:r>
        <w:rPr>
          <w:rFonts w:hint="eastAsia"/>
        </w:rPr>
        <w:t>（</w:t>
      </w:r>
      <w:r>
        <w:t>16）备案单位&lt;签章处&gt;：由受理备案的省国资委或省属企业填写备案日期、盖章。</w:t>
      </w:r>
    </w:p>
    <w:p w14:paraId="7183D6E6" w14:textId="77777777" w:rsidR="00FA0363" w:rsidRDefault="00FA0363" w:rsidP="00FA0363">
      <w:pPr>
        <w:pStyle w:val="13"/>
      </w:pPr>
      <w:r>
        <w:t>3.资产评估结果</w:t>
      </w:r>
    </w:p>
    <w:p w14:paraId="69D826C5" w14:textId="77777777" w:rsidR="00FA0363" w:rsidRDefault="00FA0363" w:rsidP="00FA0363">
      <w:pPr>
        <w:pStyle w:val="13"/>
      </w:pPr>
      <w:r>
        <w:rPr>
          <w:rFonts w:hint="eastAsia"/>
        </w:rPr>
        <w:t>（</w:t>
      </w:r>
      <w:r>
        <w:t>1）评估基准日/评估结果使用有效期：根据资产评估报告的评估基准日和使用有效期填写。</w:t>
      </w:r>
    </w:p>
    <w:p w14:paraId="24543F17" w14:textId="77777777" w:rsidR="00FA0363" w:rsidRDefault="00FA0363" w:rsidP="00FA0363">
      <w:pPr>
        <w:pStyle w:val="13"/>
      </w:pPr>
      <w:r>
        <w:rPr>
          <w:rFonts w:hint="eastAsia"/>
        </w:rPr>
        <w:t>（</w:t>
      </w:r>
      <w:r>
        <w:t>2）资产评估结果：根据资产评估报告书中的资产评估结果汇总表填写，单位为万元，保留两位小数。</w:t>
      </w:r>
    </w:p>
    <w:p w14:paraId="4F0521EE" w14:textId="77777777" w:rsidR="00FA0363" w:rsidRDefault="00FA0363" w:rsidP="00FA0363">
      <w:pPr>
        <w:pStyle w:val="13"/>
      </w:pPr>
      <w:r>
        <w:rPr>
          <w:rFonts w:hint="eastAsia"/>
        </w:rPr>
        <w:lastRenderedPageBreak/>
        <w:t>账面价值：当评估对象为企业产权（股权）时，账面价值应为审计后账面值；当评估对象为部分资产时，账面价值一般为企业账簿记载的账面价值；</w:t>
      </w:r>
    </w:p>
    <w:p w14:paraId="12F399BB" w14:textId="77777777" w:rsidR="00FA0363" w:rsidRDefault="00FA0363" w:rsidP="00FA0363">
      <w:pPr>
        <w:pStyle w:val="13"/>
      </w:pPr>
      <w:r>
        <w:rPr>
          <w:rFonts w:hint="eastAsia"/>
        </w:rPr>
        <w:t>评估价值：按照资产评估机构出具的资产评估报告的评估结果汇总表填写。评估对象为企业产权（股权）时，选用成本法评估值作为评估结果的，流动资产至净资产的评估价值要逐项填写；选用收益法或市场法评估值作为评估结果的，只填写净资产的评估价值；</w:t>
      </w:r>
    </w:p>
    <w:p w14:paraId="265D4E7C" w14:textId="77777777" w:rsidR="00FA0363" w:rsidRDefault="00FA0363" w:rsidP="00FA0363">
      <w:pPr>
        <w:pStyle w:val="13"/>
      </w:pPr>
      <w:r>
        <w:rPr>
          <w:rFonts w:hint="eastAsia"/>
        </w:rPr>
        <w:t>增减值：增减值为评估价值与账面价值的差额；</w:t>
      </w:r>
    </w:p>
    <w:p w14:paraId="6498C3AF" w14:textId="77777777" w:rsidR="00FA0363" w:rsidRDefault="00FA0363" w:rsidP="00FA0363">
      <w:pPr>
        <w:pStyle w:val="13"/>
      </w:pPr>
      <w:r>
        <w:rPr>
          <w:rFonts w:hint="eastAsia"/>
        </w:rPr>
        <w:t>增减率：增减率为增减值与账面价值的比率。</w:t>
      </w:r>
    </w:p>
    <w:p w14:paraId="53980C34" w14:textId="77777777" w:rsidR="00FA0363" w:rsidRDefault="00FA0363" w:rsidP="00FA0363">
      <w:pPr>
        <w:pStyle w:val="13"/>
      </w:pPr>
      <w:r>
        <w:t>4.备案意见</w:t>
      </w:r>
    </w:p>
    <w:p w14:paraId="0B191BDB" w14:textId="77777777" w:rsidR="00FA0363" w:rsidRDefault="00FA0363" w:rsidP="00FA0363">
      <w:pPr>
        <w:pStyle w:val="13"/>
      </w:pPr>
      <w:r>
        <w:rPr>
          <w:rFonts w:hint="eastAsia"/>
        </w:rPr>
        <w:t>根据资产评估项目实际情况，在必要时，由受理备案的省国资委或省属企业填写要求相关企业注意或落实有关问题的意见建议。</w:t>
      </w:r>
    </w:p>
    <w:p w14:paraId="5D4E68CA" w14:textId="77777777" w:rsidR="00FA0363" w:rsidRDefault="00FA0363" w:rsidP="00FA0363">
      <w:pPr>
        <w:pStyle w:val="13"/>
        <w:ind w:firstLineChars="0"/>
      </w:pPr>
      <w:r>
        <w:rPr>
          <w:rFonts w:hint="eastAsia"/>
        </w:rPr>
        <w:t>信息公开属性：主动公开</w:t>
      </w:r>
    </w:p>
    <w:p w14:paraId="5DDAF316" w14:textId="35CE1941" w:rsidR="00FA0363" w:rsidRDefault="00FA0363" w:rsidP="00FA0363">
      <w:pPr>
        <w:pStyle w:val="13"/>
        <w:ind w:firstLineChars="0"/>
        <w:jc w:val="right"/>
      </w:pPr>
      <w:r w:rsidRPr="00FA0363">
        <w:rPr>
          <w:rFonts w:hint="eastAsia"/>
        </w:rPr>
        <w:t>抄送：省发展改革委，省教育厅，省财政厅，省司法厅，省监狱管理局。</w:t>
      </w:r>
    </w:p>
    <w:p w14:paraId="33AC6D0F" w14:textId="799CFB25" w:rsidR="00FA0363" w:rsidRDefault="00FA0363" w:rsidP="00FA0363">
      <w:pPr>
        <w:pStyle w:val="13"/>
        <w:ind w:firstLineChars="0"/>
        <w:jc w:val="right"/>
      </w:pPr>
      <w:r w:rsidRPr="00FA0363">
        <w:rPr>
          <w:rFonts w:hint="eastAsia"/>
        </w:rPr>
        <w:t>山东省国资委办公室</w:t>
      </w:r>
      <w:r>
        <w:t xml:space="preserve">         </w:t>
      </w:r>
      <w:r w:rsidRPr="00FA0363">
        <w:t>2018年4月4日印发</w:t>
      </w:r>
    </w:p>
    <w:p w14:paraId="4084535F" w14:textId="17AEC336" w:rsidR="00FA0363" w:rsidRDefault="00FA0363" w:rsidP="00FA0363">
      <w:pPr>
        <w:pStyle w:val="31"/>
        <w:spacing w:before="156" w:after="62"/>
      </w:pPr>
      <w:bookmarkStart w:id="258" w:name="_Toc81833491"/>
      <w:r>
        <w:rPr>
          <w:rFonts w:hint="eastAsia"/>
        </w:rPr>
        <w:t>《济南市市属国有企业实物资产出租管理办法》（</w:t>
      </w:r>
      <w:r w:rsidRPr="00FA0363">
        <w:rPr>
          <w:rFonts w:hint="eastAsia"/>
        </w:rPr>
        <w:t>济</w:t>
      </w:r>
      <w:proofErr w:type="gramStart"/>
      <w:r w:rsidRPr="00FA0363">
        <w:rPr>
          <w:rFonts w:hint="eastAsia"/>
        </w:rPr>
        <w:t>国资发〔</w:t>
      </w:r>
      <w:r w:rsidRPr="00FA0363">
        <w:t>2018〕</w:t>
      </w:r>
      <w:proofErr w:type="gramEnd"/>
      <w:r w:rsidRPr="00FA0363">
        <w:t>3号</w:t>
      </w:r>
      <w:r>
        <w:rPr>
          <w:rFonts w:hint="eastAsia"/>
        </w:rPr>
        <w:t>）</w:t>
      </w:r>
      <w:bookmarkEnd w:id="258"/>
    </w:p>
    <w:p w14:paraId="260011F2" w14:textId="77777777" w:rsidR="008A2152" w:rsidRDefault="008A2152" w:rsidP="008A2152">
      <w:pPr>
        <w:pStyle w:val="13"/>
        <w:ind w:firstLineChars="0" w:firstLine="0"/>
      </w:pPr>
      <w:r>
        <w:rPr>
          <w:rFonts w:hint="eastAsia"/>
        </w:rPr>
        <w:t>直有关部门，各市属国有企业：</w:t>
      </w:r>
    </w:p>
    <w:p w14:paraId="534C34F0" w14:textId="2A4481C0" w:rsidR="008A2152" w:rsidRDefault="008A2152" w:rsidP="008A2152">
      <w:pPr>
        <w:pStyle w:val="13"/>
      </w:pPr>
      <w:r>
        <w:rPr>
          <w:rFonts w:hint="eastAsia"/>
        </w:rPr>
        <w:t>《济南市市属国有企业实物资产出租管理暂行办法》已经市国资委</w:t>
      </w:r>
      <w:r>
        <w:t>2018年第3次主任办公会研究通过，并报市法制办审核备案，现予以印发，请遵照执行。</w:t>
      </w:r>
    </w:p>
    <w:p w14:paraId="30D795E8" w14:textId="2132710D" w:rsidR="008A2152" w:rsidRDefault="008A2152" w:rsidP="008A2152">
      <w:pPr>
        <w:pStyle w:val="13"/>
        <w:jc w:val="right"/>
      </w:pPr>
      <w:r>
        <w:rPr>
          <w:rFonts w:hint="eastAsia"/>
        </w:rPr>
        <w:t>济南市人民政府国有资产监督管理委员会</w:t>
      </w:r>
    </w:p>
    <w:p w14:paraId="2683BECB" w14:textId="2727D272" w:rsidR="00FA0363" w:rsidRDefault="008A2152" w:rsidP="008A2152">
      <w:pPr>
        <w:pStyle w:val="13"/>
        <w:jc w:val="right"/>
      </w:pPr>
      <w:r>
        <w:t>2018年6月7日</w:t>
      </w:r>
    </w:p>
    <w:p w14:paraId="78E098A9" w14:textId="559E99EF" w:rsidR="00FA0363" w:rsidRPr="00AF7342" w:rsidRDefault="00FA0363" w:rsidP="00AF7342">
      <w:pPr>
        <w:pStyle w:val="a9"/>
        <w:spacing w:before="62" w:after="62"/>
      </w:pPr>
      <w:r w:rsidRPr="00AF7342">
        <w:rPr>
          <w:rFonts w:hint="eastAsia"/>
        </w:rPr>
        <w:t>济南市市属国有企业实物资产出租管理办法</w:t>
      </w:r>
    </w:p>
    <w:p w14:paraId="5B4D7EC8" w14:textId="33C0E1B1" w:rsidR="00FA0363" w:rsidRPr="00AF7342" w:rsidRDefault="00FA0363" w:rsidP="00AF7342">
      <w:pPr>
        <w:pStyle w:val="a9"/>
        <w:spacing w:before="62" w:after="62"/>
      </w:pPr>
      <w:r w:rsidRPr="00AF7342">
        <w:rPr>
          <w:rFonts w:hint="eastAsia"/>
        </w:rPr>
        <w:t>第一章</w:t>
      </w:r>
      <w:r w:rsidR="00CC466D" w:rsidRPr="00AF7342">
        <w:rPr>
          <w:rFonts w:hint="eastAsia"/>
        </w:rPr>
        <w:t xml:space="preserve"> </w:t>
      </w:r>
      <w:r w:rsidRPr="00AF7342">
        <w:t>总则</w:t>
      </w:r>
    </w:p>
    <w:p w14:paraId="4705B45E" w14:textId="6D94014F" w:rsidR="00FA0363" w:rsidRDefault="004E3EBB" w:rsidP="00FA0363">
      <w:pPr>
        <w:pStyle w:val="13"/>
        <w:ind w:firstLine="482"/>
      </w:pPr>
      <w:r w:rsidRPr="004E3EBB">
        <w:rPr>
          <w:rFonts w:hint="eastAsia"/>
          <w:b/>
          <w:bCs/>
        </w:rPr>
        <w:t xml:space="preserve">第一条 </w:t>
      </w:r>
      <w:r w:rsidR="00FA0363">
        <w:t>为依法规范济南市市属国有企业实物资产出租行为，促进国有资产保值增值，根据《中华人民共和国企业国有资产法》《企业国有资产交易监督管理办法》（国务院国资委、财政部令第32号）《中共济南市委济南市人民政府关于进一步完善产权保护制度依法保护产权的实施意见》（</w:t>
      </w:r>
      <w:proofErr w:type="gramStart"/>
      <w:r w:rsidR="00FA0363">
        <w:t>济发</w:t>
      </w:r>
      <w:proofErr w:type="gramEnd"/>
      <w:r w:rsidR="00FA0363">
        <w:t>[2018]13号）等有关法律、法规和政策规定，制定本办法。</w:t>
      </w:r>
    </w:p>
    <w:p w14:paraId="40E561B3" w14:textId="678FFF7A" w:rsidR="00FA0363" w:rsidRDefault="004E3EBB" w:rsidP="00FA0363">
      <w:pPr>
        <w:pStyle w:val="13"/>
        <w:ind w:firstLine="482"/>
      </w:pPr>
      <w:r w:rsidRPr="004E3EBB">
        <w:rPr>
          <w:rFonts w:hint="eastAsia"/>
          <w:b/>
          <w:bCs/>
        </w:rPr>
        <w:t xml:space="preserve">第二条 </w:t>
      </w:r>
      <w:r w:rsidR="00FA0363">
        <w:t>本办法适用于济南市人民政府国有资产监督管理委员会(以下简称济南市国资委)履行出资人职责的国有及国有控股企业、国有实际控制企业,上述企业主体在本办法中统称为企业。</w:t>
      </w:r>
    </w:p>
    <w:p w14:paraId="3AE1EAEA" w14:textId="293BF377" w:rsidR="00FA0363" w:rsidRDefault="004E3EBB" w:rsidP="00FA0363">
      <w:pPr>
        <w:pStyle w:val="13"/>
        <w:ind w:firstLine="482"/>
      </w:pPr>
      <w:r w:rsidRPr="004E3EBB">
        <w:rPr>
          <w:rFonts w:hint="eastAsia"/>
          <w:b/>
          <w:bCs/>
        </w:rPr>
        <w:t xml:space="preserve">第三条 </w:t>
      </w:r>
      <w:r w:rsidR="00FA0363">
        <w:t>本办法所称实物资产包括企业房产（含地下建构筑物）、土地及其附着物、机器设备等实物资产。</w:t>
      </w:r>
    </w:p>
    <w:p w14:paraId="07FDF983" w14:textId="49C93943" w:rsidR="00FA0363" w:rsidRDefault="004E3EBB" w:rsidP="00FA0363">
      <w:pPr>
        <w:pStyle w:val="13"/>
        <w:ind w:firstLine="482"/>
      </w:pPr>
      <w:r w:rsidRPr="004E3EBB">
        <w:rPr>
          <w:rFonts w:hint="eastAsia"/>
          <w:b/>
          <w:bCs/>
        </w:rPr>
        <w:t xml:space="preserve">第四条 </w:t>
      </w:r>
      <w:r w:rsidR="00FA0363">
        <w:t>本办法所称实物资产出租是指企业作为出租人，将本企业拥有产权或实</w:t>
      </w:r>
      <w:r w:rsidR="00FA0363">
        <w:lastRenderedPageBreak/>
        <w:t>际控制权的实物资产部分或者全部租赁给自然人、法人或者其他组织（以下简称承租人）使用，并由承租人支付租金或使用费的行为。企业的存量住宅分配给本企业职工租住的情形除外。</w:t>
      </w:r>
    </w:p>
    <w:p w14:paraId="3559DCA6" w14:textId="25D3B2FD" w:rsidR="00FA0363" w:rsidRDefault="004E3EBB" w:rsidP="00FA0363">
      <w:pPr>
        <w:pStyle w:val="13"/>
        <w:ind w:firstLine="482"/>
      </w:pPr>
      <w:r w:rsidRPr="004E3EBB">
        <w:rPr>
          <w:rFonts w:hint="eastAsia"/>
          <w:b/>
          <w:bCs/>
        </w:rPr>
        <w:t xml:space="preserve">第五条 </w:t>
      </w:r>
      <w:r w:rsidR="00FA0363">
        <w:t>本办法所称的公开招租是指企业通过公共资源交易平台（国有产权）、济南市国资委官方网站、企业官方网站等公开渠道发布招租公告，采取现场（网络）竞拍、竞争性谈判、公开（邀请）招标等方式，广泛公开征集承租人的活动。</w:t>
      </w:r>
    </w:p>
    <w:p w14:paraId="53729FC6" w14:textId="099F10B5" w:rsidR="00FA0363" w:rsidRDefault="00FA0363" w:rsidP="00AF7342">
      <w:pPr>
        <w:pStyle w:val="a9"/>
        <w:spacing w:before="62" w:after="62"/>
      </w:pPr>
      <w:r>
        <w:rPr>
          <w:rFonts w:hint="eastAsia"/>
        </w:rPr>
        <w:t>第二章</w:t>
      </w:r>
      <w:r w:rsidR="00CC466D">
        <w:rPr>
          <w:rFonts w:hint="eastAsia"/>
        </w:rPr>
        <w:t xml:space="preserve"> </w:t>
      </w:r>
      <w:r>
        <w:t>管理规定</w:t>
      </w:r>
    </w:p>
    <w:p w14:paraId="6F68561A" w14:textId="62826110" w:rsidR="00FA0363" w:rsidRDefault="004E3EBB" w:rsidP="00FA0363">
      <w:pPr>
        <w:pStyle w:val="13"/>
        <w:ind w:firstLine="482"/>
      </w:pPr>
      <w:r w:rsidRPr="004E3EBB">
        <w:rPr>
          <w:rFonts w:hint="eastAsia"/>
          <w:b/>
          <w:bCs/>
        </w:rPr>
        <w:t xml:space="preserve">第六条 </w:t>
      </w:r>
      <w:r w:rsidR="00FA0363">
        <w:t>企业实物资产出租应当遵循公开透明、公正公平、诚实信用原则；坚持依法规范与市场化运作相结合、经济效益与社会效益相统一，</w:t>
      </w:r>
      <w:proofErr w:type="gramStart"/>
      <w:r w:rsidR="00FA0363">
        <w:t>践行</w:t>
      </w:r>
      <w:proofErr w:type="gramEnd"/>
      <w:r w:rsidR="00FA0363">
        <w:t>实物资产出租效益最大化，防止国有资产流失。</w:t>
      </w:r>
    </w:p>
    <w:p w14:paraId="10BC2839" w14:textId="08712B62" w:rsidR="00FA0363" w:rsidRDefault="004E3EBB" w:rsidP="00FA0363">
      <w:pPr>
        <w:pStyle w:val="13"/>
        <w:ind w:firstLine="482"/>
      </w:pPr>
      <w:r w:rsidRPr="004E3EBB">
        <w:rPr>
          <w:rFonts w:hint="eastAsia"/>
          <w:b/>
          <w:bCs/>
        </w:rPr>
        <w:t xml:space="preserve">第七条 </w:t>
      </w:r>
      <w:r w:rsidR="00FA0363">
        <w:t>企业应保证对用于出租的实物资产拥有合法的产权或实际控制权，保证用</w:t>
      </w:r>
      <w:r w:rsidR="00FA0363">
        <w:rPr>
          <w:rFonts w:hint="eastAsia"/>
        </w:rPr>
        <w:t>于出租的实物资产无使用争议，方可对外进行出租。</w:t>
      </w:r>
    </w:p>
    <w:p w14:paraId="1D5FC117" w14:textId="0604ACB4" w:rsidR="00FA0363" w:rsidRDefault="004E3EBB" w:rsidP="00FA0363">
      <w:pPr>
        <w:pStyle w:val="13"/>
        <w:ind w:firstLine="482"/>
      </w:pPr>
      <w:r w:rsidRPr="004E3EBB">
        <w:rPr>
          <w:rFonts w:hint="eastAsia"/>
          <w:b/>
          <w:bCs/>
        </w:rPr>
        <w:t xml:space="preserve">第八条 </w:t>
      </w:r>
      <w:r w:rsidR="00FA0363">
        <w:t>企业应当依照本办法制定本企业实物资产出租管理制度，明确企业实物资产出租决策程序、出租方式及工作流程等事项。</w:t>
      </w:r>
    </w:p>
    <w:p w14:paraId="7D7F5389" w14:textId="193C0846" w:rsidR="00FA0363" w:rsidRDefault="00E05BDA" w:rsidP="00FA0363">
      <w:pPr>
        <w:pStyle w:val="13"/>
        <w:ind w:firstLine="482"/>
      </w:pPr>
      <w:r w:rsidRPr="00E05BDA">
        <w:rPr>
          <w:rFonts w:hint="eastAsia"/>
          <w:b/>
          <w:bCs/>
        </w:rPr>
        <w:t xml:space="preserve">第九条 </w:t>
      </w:r>
      <w:r w:rsidR="00FA0363">
        <w:t>企业应当加强实物资产出租管理，明确管理部门和人员，设立实物资产</w:t>
      </w:r>
      <w:proofErr w:type="gramStart"/>
      <w:r w:rsidR="00FA0363">
        <w:t>出租台</w:t>
      </w:r>
      <w:proofErr w:type="gramEnd"/>
      <w:r w:rsidR="00FA0363">
        <w:t>账，登记实物资产出租相关信息，依法规范出租合同、出租期限及租金收取等行为事项。</w:t>
      </w:r>
    </w:p>
    <w:p w14:paraId="18B4BA37" w14:textId="53A689EE" w:rsidR="00FA0363" w:rsidRDefault="00E05BDA" w:rsidP="00FA0363">
      <w:pPr>
        <w:pStyle w:val="13"/>
        <w:ind w:firstLine="482"/>
      </w:pPr>
      <w:r w:rsidRPr="00E05BDA">
        <w:rPr>
          <w:rFonts w:hint="eastAsia"/>
          <w:b/>
          <w:bCs/>
        </w:rPr>
        <w:t xml:space="preserve">第十条 </w:t>
      </w:r>
      <w:r w:rsidR="00FA0363">
        <w:t>企业实物资产出租应当制定出租方案，出租方案包括以下内容：</w:t>
      </w:r>
    </w:p>
    <w:p w14:paraId="685884CE" w14:textId="77777777" w:rsidR="00FA0363" w:rsidRDefault="00FA0363" w:rsidP="00FA0363">
      <w:pPr>
        <w:pStyle w:val="13"/>
      </w:pPr>
      <w:r>
        <w:t>1．出租实物资产的基本情况及出租的必要性；</w:t>
      </w:r>
    </w:p>
    <w:p w14:paraId="26EBAEDA" w14:textId="77777777" w:rsidR="00FA0363" w:rsidRDefault="00FA0363" w:rsidP="00FA0363">
      <w:pPr>
        <w:pStyle w:val="13"/>
      </w:pPr>
      <w:r>
        <w:t>2．拟出租期限、租金标准；</w:t>
      </w:r>
    </w:p>
    <w:p w14:paraId="3A9F96C5" w14:textId="77777777" w:rsidR="00FA0363" w:rsidRDefault="00FA0363" w:rsidP="00FA0363">
      <w:pPr>
        <w:pStyle w:val="13"/>
      </w:pPr>
      <w:r>
        <w:t>3．出租用途、租金支付方式及出租合同文本；</w:t>
      </w:r>
    </w:p>
    <w:p w14:paraId="1767D88A" w14:textId="77777777" w:rsidR="00FA0363" w:rsidRDefault="00FA0363" w:rsidP="00FA0363">
      <w:pPr>
        <w:pStyle w:val="13"/>
      </w:pPr>
      <w:r>
        <w:t>4.承租人条件、招租底价（底价确定依据）、招租方式、确定最终承租人的方式；</w:t>
      </w:r>
    </w:p>
    <w:p w14:paraId="05EAD8DD" w14:textId="77777777" w:rsidR="00FA0363" w:rsidRDefault="00FA0363" w:rsidP="00FA0363">
      <w:pPr>
        <w:pStyle w:val="13"/>
      </w:pPr>
      <w:r>
        <w:t>5.承租人对出租资产的管理、保护、保险措施等事项。</w:t>
      </w:r>
    </w:p>
    <w:p w14:paraId="1D8E48A4" w14:textId="71F02F04" w:rsidR="00FA0363" w:rsidRDefault="00E05BDA" w:rsidP="00FA0363">
      <w:pPr>
        <w:pStyle w:val="13"/>
        <w:ind w:firstLine="482"/>
      </w:pPr>
      <w:r w:rsidRPr="00E05BDA">
        <w:rPr>
          <w:rFonts w:hint="eastAsia"/>
          <w:b/>
          <w:bCs/>
        </w:rPr>
        <w:t xml:space="preserve">第十一条 </w:t>
      </w:r>
      <w:r w:rsidR="00FA0363">
        <w:t>企业实物资产出租合同单次出租的期限原则上不超过6年，年租金参照年度CPI指数的变动适当调整。因政府产业引导、扶持政策或其他原因延长租期的，经企业充分论证规范决策，单次出租期限最长不超过12年。</w:t>
      </w:r>
    </w:p>
    <w:p w14:paraId="76857173" w14:textId="4A8F7B3F" w:rsidR="00FA0363" w:rsidRDefault="00E05BDA" w:rsidP="00FA0363">
      <w:pPr>
        <w:pStyle w:val="13"/>
        <w:ind w:firstLine="482"/>
      </w:pPr>
      <w:r w:rsidRPr="00E05BDA">
        <w:rPr>
          <w:rFonts w:hint="eastAsia"/>
          <w:b/>
          <w:bCs/>
        </w:rPr>
        <w:t xml:space="preserve">第十二条 </w:t>
      </w:r>
      <w:r w:rsidR="00FA0363">
        <w:t>企业出租实物资产除用于各类专业市场、商场和法律法规另有规定的情形外，原则上不允许承租人转租。确因特殊情况需要转租的，应当由承租人提出书面申请，在不改变经营性质、明确管理责任前提下，经企业同意后方可转租。</w:t>
      </w:r>
    </w:p>
    <w:p w14:paraId="785E399E" w14:textId="09415FCC" w:rsidR="00FA0363" w:rsidRDefault="00E05BDA" w:rsidP="00FA0363">
      <w:pPr>
        <w:pStyle w:val="13"/>
        <w:ind w:firstLine="482"/>
      </w:pPr>
      <w:r w:rsidRPr="00E05BDA">
        <w:rPr>
          <w:rFonts w:hint="eastAsia"/>
          <w:b/>
          <w:bCs/>
        </w:rPr>
        <w:t xml:space="preserve">第十三条 </w:t>
      </w:r>
      <w:r w:rsidR="00FA0363">
        <w:t>企业实物资产出租应遵循以下程序：</w:t>
      </w:r>
    </w:p>
    <w:p w14:paraId="51D55184" w14:textId="77777777" w:rsidR="00FA0363" w:rsidRDefault="00FA0363" w:rsidP="00FA0363">
      <w:pPr>
        <w:pStyle w:val="13"/>
      </w:pPr>
      <w:r>
        <w:t>1．制定实物资产出租方案；</w:t>
      </w:r>
    </w:p>
    <w:p w14:paraId="7FA51D2D" w14:textId="77777777" w:rsidR="00FA0363" w:rsidRDefault="00FA0363" w:rsidP="00FA0363">
      <w:pPr>
        <w:pStyle w:val="13"/>
      </w:pPr>
      <w:r>
        <w:t>2．由企业法</w:t>
      </w:r>
      <w:proofErr w:type="gramStart"/>
      <w:r>
        <w:t>务</w:t>
      </w:r>
      <w:proofErr w:type="gramEnd"/>
      <w:r>
        <w:t>部门或外聘律师提出意见和建议；</w:t>
      </w:r>
    </w:p>
    <w:p w14:paraId="7C5D3A96" w14:textId="77777777" w:rsidR="00FA0363" w:rsidRDefault="00FA0363" w:rsidP="00FA0363">
      <w:pPr>
        <w:pStyle w:val="13"/>
      </w:pPr>
      <w:r>
        <w:t>3．严格执行企业内部决策程序；</w:t>
      </w:r>
    </w:p>
    <w:p w14:paraId="1F9D746C" w14:textId="77777777" w:rsidR="00FA0363" w:rsidRDefault="00FA0363" w:rsidP="00FA0363">
      <w:pPr>
        <w:pStyle w:val="13"/>
      </w:pPr>
      <w:r>
        <w:t>4.按照企业管理要求及时公开并接受企业职工监督。</w:t>
      </w:r>
    </w:p>
    <w:p w14:paraId="7688044F" w14:textId="407D6675" w:rsidR="00FA0363" w:rsidRDefault="00E05BDA" w:rsidP="00FA0363">
      <w:pPr>
        <w:pStyle w:val="13"/>
        <w:ind w:firstLine="482"/>
      </w:pPr>
      <w:r w:rsidRPr="00E05BDA">
        <w:rPr>
          <w:rFonts w:hint="eastAsia"/>
          <w:b/>
          <w:bCs/>
        </w:rPr>
        <w:lastRenderedPageBreak/>
        <w:t xml:space="preserve">第十四条 </w:t>
      </w:r>
      <w:r w:rsidR="00FA0363">
        <w:t>企业实物资产出租需要进行改建、扩建的应当履行企业内部决策程序，通过后由企业或承租人按规定报有关部门审批或核准，禁止违规进行建设；改建、扩建部分需经验收后方可使用。</w:t>
      </w:r>
    </w:p>
    <w:p w14:paraId="5B1A49ED" w14:textId="1A4A6D84" w:rsidR="00FA0363" w:rsidRDefault="00E05BDA" w:rsidP="00FA0363">
      <w:pPr>
        <w:pStyle w:val="13"/>
        <w:ind w:firstLine="482"/>
      </w:pPr>
      <w:r w:rsidRPr="00E05BDA">
        <w:rPr>
          <w:rFonts w:hint="eastAsia"/>
          <w:b/>
          <w:bCs/>
        </w:rPr>
        <w:t xml:space="preserve">第十五条 </w:t>
      </w:r>
      <w:r w:rsidR="00FA0363">
        <w:t>企业实物资产出租应当进行充分研究论证，认真执行对承租人的资信尽职调查，</w:t>
      </w:r>
      <w:proofErr w:type="gramStart"/>
      <w:r w:rsidR="00FA0363">
        <w:t>证载登记</w:t>
      </w:r>
      <w:proofErr w:type="gramEnd"/>
      <w:r w:rsidR="00FA0363">
        <w:t>为工业、仓储类的实物资产出租，要严格限定承租人条件。</w:t>
      </w:r>
    </w:p>
    <w:p w14:paraId="1A92F36C" w14:textId="19389782" w:rsidR="00FA0363" w:rsidRDefault="00E05BDA" w:rsidP="00FA0363">
      <w:pPr>
        <w:pStyle w:val="13"/>
        <w:ind w:firstLine="482"/>
      </w:pPr>
      <w:r w:rsidRPr="00E05BDA">
        <w:rPr>
          <w:rFonts w:hint="eastAsia"/>
          <w:b/>
          <w:bCs/>
        </w:rPr>
        <w:t xml:space="preserve">第十六条 </w:t>
      </w:r>
      <w:r w:rsidR="00FA0363">
        <w:t>企业实物资产对外出租，应当对相关资产进行评估。出租底价的确定，一般采取市场比较方式，可根据市场询价及供求情况确定，以周边相同地段、功能和</w:t>
      </w:r>
      <w:r w:rsidR="00FA0363">
        <w:rPr>
          <w:rFonts w:hint="eastAsia"/>
        </w:rPr>
        <w:t>用途类似的实物资产市场出租价格作为参考依据；亦可采取社会中介机构第三方评估方式确定出租底价。</w:t>
      </w:r>
    </w:p>
    <w:p w14:paraId="12914669" w14:textId="36509538" w:rsidR="00FA0363" w:rsidRDefault="00FA0363" w:rsidP="00AF7342">
      <w:pPr>
        <w:pStyle w:val="a9"/>
        <w:spacing w:before="62" w:after="62"/>
      </w:pPr>
      <w:r>
        <w:rPr>
          <w:rFonts w:hint="eastAsia"/>
        </w:rPr>
        <w:t>第三章</w:t>
      </w:r>
      <w:r w:rsidR="00CC466D">
        <w:rPr>
          <w:rFonts w:hint="eastAsia"/>
        </w:rPr>
        <w:t xml:space="preserve"> </w:t>
      </w:r>
      <w:r>
        <w:t>招租方式</w:t>
      </w:r>
    </w:p>
    <w:p w14:paraId="6A46EB41" w14:textId="74F0F698" w:rsidR="00FA0363" w:rsidRDefault="00E05BDA" w:rsidP="00FA0363">
      <w:pPr>
        <w:pStyle w:val="13"/>
        <w:ind w:firstLine="482"/>
      </w:pPr>
      <w:r w:rsidRPr="00E05BDA">
        <w:rPr>
          <w:rFonts w:hint="eastAsia"/>
          <w:b/>
          <w:bCs/>
        </w:rPr>
        <w:t xml:space="preserve">第十七条 </w:t>
      </w:r>
      <w:r w:rsidR="00FA0363">
        <w:t>企业实物资产出租采取公开招租方式，临近合同期满或提前终止合同应当重新公开招租，原承租人在同等条件下可优先承租。</w:t>
      </w:r>
    </w:p>
    <w:p w14:paraId="3DBC16E6" w14:textId="77777777" w:rsidR="00FA0363" w:rsidRDefault="00FA0363" w:rsidP="00FA0363">
      <w:pPr>
        <w:pStyle w:val="13"/>
      </w:pPr>
      <w:r>
        <w:rPr>
          <w:rFonts w:hint="eastAsia"/>
        </w:rPr>
        <w:t>（一）出租房产、土地性质的实物资产有下列情形之一的，原则上应当通过公共资源交易平台（国有产权）进行公开招租：</w:t>
      </w:r>
    </w:p>
    <w:p w14:paraId="73C739D0" w14:textId="77777777" w:rsidR="00FA0363" w:rsidRDefault="00FA0363" w:rsidP="00FA0363">
      <w:pPr>
        <w:pStyle w:val="13"/>
      </w:pPr>
      <w:r>
        <w:t>1．位于济南市市中区、历下区、天桥区、槐荫区、历城区、高新区内的房产（含地下建构筑物）超过500平方米或土地超过1000平方米的实物资产；</w:t>
      </w:r>
    </w:p>
    <w:p w14:paraId="3D01CC9C" w14:textId="77777777" w:rsidR="00FA0363" w:rsidRDefault="00FA0363" w:rsidP="00FA0363">
      <w:pPr>
        <w:pStyle w:val="13"/>
      </w:pPr>
      <w:r>
        <w:t>2．位于济南市上述区域以外的房产（含地下建构筑物）超过1000平方米或土地超过2000平方米的实物资产。</w:t>
      </w:r>
    </w:p>
    <w:p w14:paraId="091353D1" w14:textId="77777777" w:rsidR="00FA0363" w:rsidRDefault="00FA0363" w:rsidP="00FA0363">
      <w:pPr>
        <w:pStyle w:val="13"/>
      </w:pPr>
      <w:r>
        <w:rPr>
          <w:rFonts w:hint="eastAsia"/>
        </w:rPr>
        <w:t>除上述两种情形以外的实物资产出租，企业可以通过其他方式自行组织公开招租。招租公告时间一般不少于</w:t>
      </w:r>
      <w:r>
        <w:t>5个工作日。</w:t>
      </w:r>
    </w:p>
    <w:p w14:paraId="458335EB" w14:textId="77777777" w:rsidR="00FA0363" w:rsidRDefault="00FA0363" w:rsidP="00FA0363">
      <w:pPr>
        <w:pStyle w:val="13"/>
      </w:pPr>
      <w:r>
        <w:rPr>
          <w:rFonts w:hint="eastAsia"/>
        </w:rPr>
        <w:t>（二）出租机器、设备等其他性质的实物资产有下列情形之一的，原则上应当通过公共资源交易平台（国有产权）进行公开招租：</w:t>
      </w:r>
    </w:p>
    <w:p w14:paraId="55B84CAA" w14:textId="77777777" w:rsidR="00FA0363" w:rsidRDefault="00FA0363" w:rsidP="00FA0363">
      <w:pPr>
        <w:pStyle w:val="13"/>
      </w:pPr>
      <w:r>
        <w:t>1．位于济南市市中区、历下区、天桥区、槐荫区、历城区、高新区内的价值超过500万元的实物资产；</w:t>
      </w:r>
    </w:p>
    <w:p w14:paraId="1A61FCDD" w14:textId="77777777" w:rsidR="00FA0363" w:rsidRDefault="00FA0363" w:rsidP="00FA0363">
      <w:pPr>
        <w:pStyle w:val="13"/>
      </w:pPr>
      <w:r>
        <w:t>2．位于济南市上述区域以外的价值超过200万元的实物资产。</w:t>
      </w:r>
    </w:p>
    <w:p w14:paraId="3C2E5B5D" w14:textId="77777777" w:rsidR="00FA0363" w:rsidRDefault="00FA0363" w:rsidP="00FA0363">
      <w:pPr>
        <w:pStyle w:val="13"/>
      </w:pPr>
      <w:r>
        <w:rPr>
          <w:rFonts w:hint="eastAsia"/>
        </w:rPr>
        <w:t>除上述两种情形以外的实物资产出租，企业可以通过其他方式自行组织公开招租。招租公告时间一般不少于</w:t>
      </w:r>
      <w:r>
        <w:t>5个工作日。</w:t>
      </w:r>
    </w:p>
    <w:p w14:paraId="5973D7A6" w14:textId="77777777" w:rsidR="00FA0363" w:rsidRDefault="00FA0363" w:rsidP="00FA0363">
      <w:pPr>
        <w:pStyle w:val="13"/>
      </w:pPr>
      <w:r>
        <w:rPr>
          <w:rFonts w:hint="eastAsia"/>
        </w:rPr>
        <w:t>招租公告不得含有排它性内容。</w:t>
      </w:r>
    </w:p>
    <w:p w14:paraId="4C24E57A" w14:textId="52AC825C" w:rsidR="00FA0363" w:rsidRDefault="00E05BDA" w:rsidP="00FA0363">
      <w:pPr>
        <w:pStyle w:val="13"/>
        <w:ind w:firstLine="482"/>
      </w:pPr>
      <w:r w:rsidRPr="00E05BDA">
        <w:rPr>
          <w:rFonts w:hint="eastAsia"/>
          <w:b/>
          <w:bCs/>
        </w:rPr>
        <w:t xml:space="preserve">第十八条 </w:t>
      </w:r>
      <w:r w:rsidR="00FA0363">
        <w:t>出租实物资产有下列情形之一的，可以采取直接协议的方式进行，由企业按照公司章程及实物资产出租管理制度的规定决定：</w:t>
      </w:r>
    </w:p>
    <w:p w14:paraId="3E8461EC" w14:textId="77777777" w:rsidR="00FA0363" w:rsidRDefault="00FA0363" w:rsidP="00FA0363">
      <w:pPr>
        <w:pStyle w:val="13"/>
      </w:pPr>
      <w:r>
        <w:t>1．涉及国计民生、文物保护等特殊要求的实物资产；</w:t>
      </w:r>
    </w:p>
    <w:p w14:paraId="77AD6416" w14:textId="77777777" w:rsidR="00FA0363" w:rsidRDefault="00FA0363" w:rsidP="00FA0363">
      <w:pPr>
        <w:pStyle w:val="13"/>
      </w:pPr>
      <w:r>
        <w:t>2．市属国有全资企业、国有控股企业、国有实际控制企业之间的实物资产出租；</w:t>
      </w:r>
    </w:p>
    <w:p w14:paraId="51E59986" w14:textId="77777777" w:rsidR="00FA0363" w:rsidRDefault="00FA0363" w:rsidP="00FA0363">
      <w:pPr>
        <w:pStyle w:val="13"/>
      </w:pPr>
      <w:r>
        <w:t>3.经公开招租只有一个符合承租人条件的；</w:t>
      </w:r>
    </w:p>
    <w:p w14:paraId="703F9B7E" w14:textId="77777777" w:rsidR="00FA0363" w:rsidRDefault="00FA0363" w:rsidP="00FA0363">
      <w:pPr>
        <w:pStyle w:val="13"/>
      </w:pPr>
      <w:r>
        <w:t>4.坐落位置较偏僻、面积小、年租金金额小、租期较短的房地产，确实不宜采取</w:t>
      </w:r>
      <w:r>
        <w:lastRenderedPageBreak/>
        <w:t>公开招租方式出租的零星资产、特殊设施设备；</w:t>
      </w:r>
    </w:p>
    <w:p w14:paraId="533D2D9A" w14:textId="77777777" w:rsidR="00FA0363" w:rsidRDefault="00FA0363" w:rsidP="00FA0363">
      <w:pPr>
        <w:pStyle w:val="13"/>
      </w:pPr>
      <w:r>
        <w:t>5.承租人为各级党政机关、事业单位和公办或普惠制幼儿园、养老机构等公益性组织的；</w:t>
      </w:r>
    </w:p>
    <w:p w14:paraId="6D0B5E76" w14:textId="77777777" w:rsidR="00FA0363" w:rsidRDefault="00FA0363" w:rsidP="00FA0363">
      <w:pPr>
        <w:pStyle w:val="13"/>
      </w:pPr>
      <w:r>
        <w:t>6.企业自行开发的园区、商业综合体在培育期内的招商引资项目；</w:t>
      </w:r>
    </w:p>
    <w:p w14:paraId="6833B5D3" w14:textId="77777777" w:rsidR="00FA0363" w:rsidRDefault="00FA0363" w:rsidP="00FA0363">
      <w:pPr>
        <w:pStyle w:val="13"/>
      </w:pPr>
      <w:r>
        <w:t>7.其他按照规定不宜公开招租的情况。</w:t>
      </w:r>
    </w:p>
    <w:p w14:paraId="22D33B4B" w14:textId="08E3E5C1" w:rsidR="00FA0363" w:rsidRDefault="00E05BDA" w:rsidP="00FA0363">
      <w:pPr>
        <w:pStyle w:val="13"/>
        <w:ind w:firstLine="482"/>
      </w:pPr>
      <w:r w:rsidRPr="00E05BDA">
        <w:rPr>
          <w:rFonts w:hint="eastAsia"/>
          <w:b/>
          <w:bCs/>
        </w:rPr>
        <w:t xml:space="preserve">第十九条 </w:t>
      </w:r>
      <w:r w:rsidR="00FA0363">
        <w:t>企业按照本办法规定，确定实物资产承租人后，应当以适当形式进行公示，公示期不少于5个工作日。</w:t>
      </w:r>
    </w:p>
    <w:p w14:paraId="1C966558" w14:textId="325BA41B" w:rsidR="00FA0363" w:rsidRDefault="00E05BDA" w:rsidP="00FA0363">
      <w:pPr>
        <w:pStyle w:val="13"/>
        <w:ind w:firstLine="482"/>
      </w:pPr>
      <w:r w:rsidRPr="00E05BDA">
        <w:rPr>
          <w:rFonts w:hint="eastAsia"/>
          <w:b/>
          <w:bCs/>
        </w:rPr>
        <w:t xml:space="preserve">第二十条 </w:t>
      </w:r>
      <w:r w:rsidR="00FA0363">
        <w:t>经公示无异议后，应当依据《中华人民共和国合同法》的相关规定订立书面出租合同。</w:t>
      </w:r>
    </w:p>
    <w:p w14:paraId="50BAA42E" w14:textId="77777777" w:rsidR="00FA0363" w:rsidRDefault="00FA0363" w:rsidP="00FA0363">
      <w:pPr>
        <w:pStyle w:val="13"/>
      </w:pPr>
      <w:r>
        <w:rPr>
          <w:rFonts w:hint="eastAsia"/>
        </w:rPr>
        <w:t>实物资产出租合同的内容包括但不限于下列条款：</w:t>
      </w:r>
    </w:p>
    <w:p w14:paraId="23394FEE" w14:textId="77777777" w:rsidR="00FA0363" w:rsidRDefault="00FA0363" w:rsidP="00FA0363">
      <w:pPr>
        <w:pStyle w:val="13"/>
      </w:pPr>
      <w:r>
        <w:t>1．租赁当事人姓名或者名称、住所及联系方式；</w:t>
      </w:r>
    </w:p>
    <w:p w14:paraId="68BC216B" w14:textId="77777777" w:rsidR="00FA0363" w:rsidRDefault="00FA0363" w:rsidP="00FA0363">
      <w:pPr>
        <w:pStyle w:val="13"/>
      </w:pPr>
      <w:r>
        <w:t>2．实物资产权属情况、</w:t>
      </w:r>
      <w:proofErr w:type="gramStart"/>
      <w:r>
        <w:t>座落</w:t>
      </w:r>
      <w:proofErr w:type="gramEnd"/>
      <w:r>
        <w:t>、面积、结构、装修，附属设施、设备状况；</w:t>
      </w:r>
    </w:p>
    <w:p w14:paraId="145AFC69" w14:textId="77777777" w:rsidR="00FA0363" w:rsidRDefault="00FA0363" w:rsidP="00FA0363">
      <w:pPr>
        <w:pStyle w:val="13"/>
      </w:pPr>
      <w:r>
        <w:t>3．租赁用途、期限；</w:t>
      </w:r>
    </w:p>
    <w:p w14:paraId="01920943" w14:textId="77777777" w:rsidR="00FA0363" w:rsidRDefault="00FA0363" w:rsidP="00FA0363">
      <w:pPr>
        <w:pStyle w:val="13"/>
      </w:pPr>
      <w:r>
        <w:t>4．租金标准和租金调整的时间、幅度以及租金的支付时间和方式；</w:t>
      </w:r>
    </w:p>
    <w:p w14:paraId="5A79FCE5" w14:textId="77777777" w:rsidR="00FA0363" w:rsidRDefault="00FA0363" w:rsidP="00FA0363">
      <w:pPr>
        <w:pStyle w:val="13"/>
      </w:pPr>
      <w:r>
        <w:t>5．实物资产交付日期；</w:t>
      </w:r>
    </w:p>
    <w:p w14:paraId="14E7C7D2" w14:textId="77777777" w:rsidR="00FA0363" w:rsidRDefault="00FA0363" w:rsidP="00FA0363">
      <w:pPr>
        <w:pStyle w:val="13"/>
      </w:pPr>
      <w:r>
        <w:t>6．实物资产使用要求和修缮责任；</w:t>
      </w:r>
    </w:p>
    <w:p w14:paraId="1AE96E13" w14:textId="77777777" w:rsidR="00FA0363" w:rsidRDefault="00FA0363" w:rsidP="00FA0363">
      <w:pPr>
        <w:pStyle w:val="13"/>
      </w:pPr>
      <w:r>
        <w:t>7．实物资产安全管理工作内容及责任；</w:t>
      </w:r>
    </w:p>
    <w:p w14:paraId="08309DE1" w14:textId="77777777" w:rsidR="00FA0363" w:rsidRDefault="00FA0363" w:rsidP="00FA0363">
      <w:pPr>
        <w:pStyle w:val="13"/>
      </w:pPr>
      <w:r>
        <w:t>8．转租的约定；</w:t>
      </w:r>
    </w:p>
    <w:p w14:paraId="4C258572" w14:textId="77777777" w:rsidR="00FA0363" w:rsidRDefault="00FA0363" w:rsidP="00FA0363">
      <w:pPr>
        <w:pStyle w:val="13"/>
      </w:pPr>
      <w:r>
        <w:t>9．出租资产返还时状态要求和改扩建（装修）部分、附属设施设备以及其他添置物、遗留物的处置；</w:t>
      </w:r>
    </w:p>
    <w:p w14:paraId="567D55E8" w14:textId="77777777" w:rsidR="00FA0363" w:rsidRDefault="00FA0363" w:rsidP="00FA0363">
      <w:pPr>
        <w:pStyle w:val="13"/>
      </w:pPr>
      <w:r>
        <w:t>10．变更、解除合同的条件；</w:t>
      </w:r>
    </w:p>
    <w:p w14:paraId="215589EA" w14:textId="77777777" w:rsidR="00FA0363" w:rsidRDefault="00FA0363" w:rsidP="00FA0363">
      <w:pPr>
        <w:pStyle w:val="13"/>
      </w:pPr>
      <w:r>
        <w:t>11．违约责任；</w:t>
      </w:r>
    </w:p>
    <w:p w14:paraId="6998874F" w14:textId="77777777" w:rsidR="00FA0363" w:rsidRDefault="00FA0363" w:rsidP="00FA0363">
      <w:pPr>
        <w:pStyle w:val="13"/>
      </w:pPr>
      <w:r>
        <w:t>12．争议解决办法；</w:t>
      </w:r>
    </w:p>
    <w:p w14:paraId="1B8BCF79" w14:textId="77777777" w:rsidR="00FA0363" w:rsidRDefault="00FA0363" w:rsidP="00FA0363">
      <w:pPr>
        <w:pStyle w:val="13"/>
      </w:pPr>
      <w:r>
        <w:t>13．需特别约定的其他条款。</w:t>
      </w:r>
    </w:p>
    <w:p w14:paraId="5DA30C67" w14:textId="4C79584A" w:rsidR="00FA0363" w:rsidRDefault="00FA0363" w:rsidP="00AF7342">
      <w:pPr>
        <w:pStyle w:val="a9"/>
        <w:spacing w:before="62" w:after="62"/>
      </w:pPr>
      <w:r>
        <w:rPr>
          <w:rFonts w:hint="eastAsia"/>
        </w:rPr>
        <w:t>第四章</w:t>
      </w:r>
      <w:r w:rsidR="00CC466D">
        <w:rPr>
          <w:rFonts w:hint="eastAsia"/>
        </w:rPr>
        <w:t xml:space="preserve"> </w:t>
      </w:r>
      <w:r>
        <w:t>监督管理</w:t>
      </w:r>
    </w:p>
    <w:p w14:paraId="531FB524" w14:textId="44654AEC" w:rsidR="00FA0363" w:rsidRDefault="00E05BDA" w:rsidP="00FA0363">
      <w:pPr>
        <w:pStyle w:val="13"/>
        <w:ind w:firstLine="482"/>
      </w:pPr>
      <w:r w:rsidRPr="00E05BDA">
        <w:rPr>
          <w:rFonts w:hint="eastAsia"/>
          <w:b/>
          <w:bCs/>
        </w:rPr>
        <w:t xml:space="preserve">第二十一条 </w:t>
      </w:r>
      <w:r w:rsidR="00FA0363">
        <w:t xml:space="preserve">济南市国资委应加强对企业实物资产出租工作进行监督，通过不定期检查等方式，对企业实物资产出租进行监督，对发现的问题，及时提出意见并督促落实。　　</w:t>
      </w:r>
    </w:p>
    <w:p w14:paraId="02750B3C" w14:textId="429A808C" w:rsidR="00FA0363" w:rsidRDefault="00E05BDA" w:rsidP="00FA0363">
      <w:pPr>
        <w:pStyle w:val="13"/>
        <w:ind w:firstLine="482"/>
      </w:pPr>
      <w:r w:rsidRPr="00E05BDA">
        <w:rPr>
          <w:rFonts w:hint="eastAsia"/>
          <w:b/>
          <w:bCs/>
        </w:rPr>
        <w:t xml:space="preserve">第二十二条 </w:t>
      </w:r>
      <w:r w:rsidR="00FA0363">
        <w:t>企业是实物资产出租的责任主体，应当根据本办法规范实物资产出租工作。企业纪检、审计等有关部门应对本企业实物资产出租工作进行实时监督，及时纠正存在的问题，确保出租管理工作规范有序。</w:t>
      </w:r>
    </w:p>
    <w:p w14:paraId="5F3CB883" w14:textId="2E6CC4AC" w:rsidR="00FA0363" w:rsidRDefault="00E05BDA" w:rsidP="00FA0363">
      <w:pPr>
        <w:pStyle w:val="13"/>
        <w:ind w:firstLine="482"/>
      </w:pPr>
      <w:r w:rsidRPr="00E05BDA">
        <w:rPr>
          <w:rFonts w:hint="eastAsia"/>
          <w:b/>
          <w:bCs/>
        </w:rPr>
        <w:t xml:space="preserve">第二十三条 </w:t>
      </w:r>
      <w:r w:rsidR="00FA0363">
        <w:t>在承租人未履行或者未完全履行出租合同约定义务的情况下，企业应当按照合同约定及时采取合法、有效措施，保障实物资产安全，维护企业合法利益。</w:t>
      </w:r>
    </w:p>
    <w:p w14:paraId="377F70E1" w14:textId="14A6B033" w:rsidR="00FA0363" w:rsidRDefault="00E05BDA" w:rsidP="00FA0363">
      <w:pPr>
        <w:pStyle w:val="13"/>
        <w:ind w:firstLine="482"/>
      </w:pPr>
      <w:r w:rsidRPr="00E05BDA">
        <w:rPr>
          <w:rFonts w:hint="eastAsia"/>
          <w:b/>
          <w:bCs/>
        </w:rPr>
        <w:t xml:space="preserve">第二十四条 </w:t>
      </w:r>
      <w:r w:rsidR="00FA0363">
        <w:t>企业在实物资产出租过程中违反相关法律、法规、规章及出租管理</w:t>
      </w:r>
      <w:r w:rsidR="00FA0363">
        <w:lastRenderedPageBreak/>
        <w:t>制度，造成国有资产损失的，按照有关规定追究责任；涉嫌违法犯罪的，依法移交相关部门追究刑事责任。</w:t>
      </w:r>
    </w:p>
    <w:p w14:paraId="2F1A38D0" w14:textId="663CEBA4" w:rsidR="00FA0363" w:rsidRPr="00AF7342" w:rsidRDefault="00FA0363" w:rsidP="00AF7342">
      <w:pPr>
        <w:pStyle w:val="a9"/>
        <w:spacing w:before="62" w:after="62"/>
      </w:pPr>
      <w:r w:rsidRPr="00AF7342">
        <w:rPr>
          <w:rFonts w:hint="eastAsia"/>
        </w:rPr>
        <w:t>第五章</w:t>
      </w:r>
      <w:r w:rsidR="00CC466D" w:rsidRPr="00AF7342">
        <w:rPr>
          <w:rFonts w:hint="eastAsia"/>
        </w:rPr>
        <w:t xml:space="preserve"> </w:t>
      </w:r>
      <w:r w:rsidRPr="00AF7342">
        <w:t>附则</w:t>
      </w:r>
    </w:p>
    <w:p w14:paraId="1C024B92" w14:textId="0254EF68" w:rsidR="00FA0363" w:rsidRDefault="00E05BDA" w:rsidP="00FA0363">
      <w:pPr>
        <w:pStyle w:val="13"/>
        <w:ind w:firstLine="482"/>
      </w:pPr>
      <w:r w:rsidRPr="00E05BDA">
        <w:rPr>
          <w:rFonts w:hint="eastAsia"/>
          <w:b/>
          <w:bCs/>
        </w:rPr>
        <w:t xml:space="preserve">第二十五条 </w:t>
      </w:r>
      <w:r w:rsidR="00FA0363">
        <w:t>本办法施行之日前已经出租的本办法所规定范围内的实物资产，合同到期后按本办法规定执行。</w:t>
      </w:r>
    </w:p>
    <w:p w14:paraId="1F19E8DF" w14:textId="4C015D10" w:rsidR="00FA0363" w:rsidRDefault="00E05BDA" w:rsidP="00FA0363">
      <w:pPr>
        <w:pStyle w:val="13"/>
        <w:ind w:firstLine="482"/>
      </w:pPr>
      <w:r w:rsidRPr="00E05BDA">
        <w:rPr>
          <w:rFonts w:hint="eastAsia"/>
          <w:b/>
          <w:bCs/>
        </w:rPr>
        <w:t xml:space="preserve">第二十六条 </w:t>
      </w:r>
      <w:r w:rsidR="00FA0363">
        <w:t>市国资委监管企业代管的事业单位的经营性实物资产出租行为，参照本办法执行。</w:t>
      </w:r>
    </w:p>
    <w:p w14:paraId="40077BC4" w14:textId="4F043ED7" w:rsidR="00FA0363" w:rsidRDefault="00E05BDA" w:rsidP="00FA0363">
      <w:pPr>
        <w:pStyle w:val="13"/>
        <w:ind w:firstLine="482"/>
      </w:pPr>
      <w:r w:rsidRPr="00E05BDA">
        <w:rPr>
          <w:rFonts w:hint="eastAsia"/>
          <w:b/>
          <w:bCs/>
        </w:rPr>
        <w:t xml:space="preserve">第二十七条 </w:t>
      </w:r>
      <w:r w:rsidR="00FA0363">
        <w:t>实行承包经营的企业，其与承包方签订承包经营协议，涉及移交实物资产管理的，应参照本办法执行。</w:t>
      </w:r>
    </w:p>
    <w:p w14:paraId="7A23F65A" w14:textId="4474F86E" w:rsidR="00FA0363" w:rsidRDefault="00E05BDA" w:rsidP="00FA0363">
      <w:pPr>
        <w:pStyle w:val="13"/>
        <w:ind w:firstLine="482"/>
      </w:pPr>
      <w:r w:rsidRPr="00E05BDA">
        <w:rPr>
          <w:rFonts w:hint="eastAsia"/>
          <w:b/>
          <w:bCs/>
        </w:rPr>
        <w:t xml:space="preserve">第二十八条 </w:t>
      </w:r>
      <w:r w:rsidR="00FA0363">
        <w:rPr>
          <w:rFonts w:hint="eastAsia"/>
        </w:rPr>
        <w:t>企业应当参照本办法，指导权属企业建立健全相应的实物资产出租管理制度。</w:t>
      </w:r>
    </w:p>
    <w:p w14:paraId="50AEC6F7" w14:textId="23C57798" w:rsidR="00FA0363" w:rsidRDefault="00E05BDA" w:rsidP="00FA0363">
      <w:pPr>
        <w:pStyle w:val="13"/>
        <w:ind w:firstLine="482"/>
      </w:pPr>
      <w:r w:rsidRPr="00E05BDA">
        <w:rPr>
          <w:rFonts w:hint="eastAsia"/>
          <w:b/>
          <w:bCs/>
        </w:rPr>
        <w:t xml:space="preserve">第二十九条 </w:t>
      </w:r>
      <w:r w:rsidR="00FA0363">
        <w:t>本办法自2021年2月1日起施行，有效期至2026年1月31日止。</w:t>
      </w:r>
    </w:p>
    <w:p w14:paraId="7A99DDD2" w14:textId="77777777" w:rsidR="00FA0363" w:rsidRDefault="00FA0363" w:rsidP="00FA0363">
      <w:pPr>
        <w:pStyle w:val="21"/>
        <w:spacing w:before="156" w:after="93"/>
      </w:pPr>
      <w:bookmarkStart w:id="259" w:name="_Toc81833492"/>
      <w:r>
        <w:rPr>
          <w:rFonts w:hint="eastAsia"/>
        </w:rPr>
        <w:t>浙江省国资委</w:t>
      </w:r>
      <w:bookmarkEnd w:id="259"/>
    </w:p>
    <w:p w14:paraId="7BDFBEB7" w14:textId="77777777" w:rsidR="00FA0363" w:rsidRDefault="00FA0363" w:rsidP="00FA0363">
      <w:pPr>
        <w:pStyle w:val="31"/>
        <w:spacing w:before="156" w:after="62"/>
      </w:pPr>
      <w:bookmarkStart w:id="260" w:name="_Toc81833493"/>
      <w:r>
        <w:rPr>
          <w:rFonts w:hint="eastAsia"/>
        </w:rPr>
        <w:t>《浙江省企业国有资产监督管理办法》（浙江省人民政府令第</w:t>
      </w:r>
      <w:r>
        <w:t>311号）</w:t>
      </w:r>
      <w:bookmarkEnd w:id="260"/>
    </w:p>
    <w:p w14:paraId="51A47561" w14:textId="75A3B394" w:rsidR="00FA0363" w:rsidRDefault="00FA0363" w:rsidP="00AF7342">
      <w:pPr>
        <w:pStyle w:val="a9"/>
        <w:spacing w:before="62" w:after="62"/>
      </w:pPr>
      <w:r>
        <w:rPr>
          <w:rFonts w:hint="eastAsia"/>
        </w:rPr>
        <w:t>第一章</w:t>
      </w:r>
      <w:r w:rsidR="00CC466D">
        <w:rPr>
          <w:rFonts w:hint="eastAsia"/>
        </w:rPr>
        <w:t xml:space="preserve"> </w:t>
      </w:r>
      <w:r>
        <w:t>总则</w:t>
      </w:r>
    </w:p>
    <w:p w14:paraId="2D37F0AB" w14:textId="3A281CAE" w:rsidR="00FA0363" w:rsidRDefault="004E3EBB" w:rsidP="00FA0363">
      <w:pPr>
        <w:pStyle w:val="13"/>
        <w:ind w:firstLine="482"/>
      </w:pPr>
      <w:r w:rsidRPr="004E3EBB">
        <w:rPr>
          <w:rFonts w:hint="eastAsia"/>
          <w:b/>
          <w:bCs/>
        </w:rPr>
        <w:t xml:space="preserve">第一条 </w:t>
      </w:r>
      <w:r w:rsidR="00FA0363">
        <w:t>为了完善企业国有资产监督管理制度，保护企业国有资产安全，实现企业国有资产保值增值，根据《中华人民共和国企业国有资产法》、《中华人民共和国公司法》、《企业国有资产监督管理暂行条例》等有关法律、法规的规定，结合本省实际，制定本办法。</w:t>
      </w:r>
    </w:p>
    <w:p w14:paraId="56188F36" w14:textId="3E36F5FE" w:rsidR="00FA0363" w:rsidRDefault="004E3EBB" w:rsidP="00FA0363">
      <w:pPr>
        <w:pStyle w:val="13"/>
        <w:ind w:firstLine="482"/>
      </w:pPr>
      <w:r w:rsidRPr="004E3EBB">
        <w:rPr>
          <w:rFonts w:hint="eastAsia"/>
          <w:b/>
          <w:bCs/>
        </w:rPr>
        <w:t xml:space="preserve">第二条 </w:t>
      </w:r>
      <w:r w:rsidR="00FA0363">
        <w:t>本省企业国有资产的监督管理，适用本办法。</w:t>
      </w:r>
    </w:p>
    <w:p w14:paraId="073AE236" w14:textId="77777777" w:rsidR="00FA0363" w:rsidRDefault="00FA0363" w:rsidP="00FA0363">
      <w:pPr>
        <w:pStyle w:val="13"/>
      </w:pPr>
      <w:r>
        <w:rPr>
          <w:rFonts w:hint="eastAsia"/>
        </w:rPr>
        <w:t>本办法所称的企业国有资产，是指本省县级以上人民政府对企业各种形式的出资所形成的权益，包括国家出资企业及其独资、控股和参股企业的国有资产。</w:t>
      </w:r>
    </w:p>
    <w:p w14:paraId="7904F20D" w14:textId="77777777" w:rsidR="00FA0363" w:rsidRDefault="00FA0363" w:rsidP="00FA0363">
      <w:pPr>
        <w:pStyle w:val="13"/>
      </w:pPr>
      <w:r>
        <w:rPr>
          <w:rFonts w:hint="eastAsia"/>
        </w:rPr>
        <w:t>本办法所称的国家出资企业，是指本省县级以上人民政府出资的国有独资企业、国有独资公司、国有资本控股公司和国有资本参股公司。</w:t>
      </w:r>
    </w:p>
    <w:p w14:paraId="4DC6E504" w14:textId="76C32A01" w:rsidR="00FA0363" w:rsidRDefault="004E3EBB" w:rsidP="00FA0363">
      <w:pPr>
        <w:pStyle w:val="13"/>
        <w:ind w:firstLine="482"/>
      </w:pPr>
      <w:r w:rsidRPr="004E3EBB">
        <w:rPr>
          <w:rFonts w:hint="eastAsia"/>
          <w:b/>
          <w:bCs/>
        </w:rPr>
        <w:t xml:space="preserve">第三条 </w:t>
      </w:r>
      <w:r w:rsidR="00FA0363">
        <w:t>企业国有资产由县级以上人民政府分级管理，实行政企分开、社会公共管理职能与国有资产出资人职能分开、所有权与经营权分离和不干预企业依法自主经营的管理原则。</w:t>
      </w:r>
    </w:p>
    <w:p w14:paraId="624CB3E0" w14:textId="47A54A27" w:rsidR="00FA0363" w:rsidRDefault="004E3EBB" w:rsidP="00FA0363">
      <w:pPr>
        <w:pStyle w:val="13"/>
        <w:ind w:firstLine="482"/>
      </w:pPr>
      <w:r w:rsidRPr="004E3EBB">
        <w:rPr>
          <w:rFonts w:hint="eastAsia"/>
          <w:b/>
          <w:bCs/>
        </w:rPr>
        <w:t xml:space="preserve">第四条 </w:t>
      </w:r>
      <w:r w:rsidR="00FA0363">
        <w:t>县级以上人民政府应当加强对企业国有资产监督管理工作的领导，建立并完善企业国有资产管理与监督体制、企业国有资产基础管理制度、企业国有资产保值增值考核和责任追究等制度，创新国有资产监督管理方式，落实企业国有资产保值增值责任，提高国有经济的整体质量。</w:t>
      </w:r>
    </w:p>
    <w:p w14:paraId="339D8805" w14:textId="65ED6A07" w:rsidR="00FA0363" w:rsidRDefault="004E3EBB" w:rsidP="00FA0363">
      <w:pPr>
        <w:pStyle w:val="13"/>
        <w:ind w:firstLine="482"/>
      </w:pPr>
      <w:r w:rsidRPr="004E3EBB">
        <w:rPr>
          <w:rFonts w:hint="eastAsia"/>
          <w:b/>
          <w:bCs/>
        </w:rPr>
        <w:t xml:space="preserve">第五条 </w:t>
      </w:r>
      <w:r w:rsidR="00FA0363">
        <w:t>省、设区的市人民政府设立的国有资产监督管理机构和县级人民政府确</w:t>
      </w:r>
      <w:r w:rsidR="00FA0363">
        <w:lastRenderedPageBreak/>
        <w:t>定的部门或者机构（以下统称国有资产监督管理机构），对国家出资企业及其独资、控股和参股企业的国有资产实施监督管理。</w:t>
      </w:r>
    </w:p>
    <w:p w14:paraId="3D77F405" w14:textId="77777777" w:rsidR="00FA0363" w:rsidRDefault="00FA0363" w:rsidP="00FA0363">
      <w:pPr>
        <w:pStyle w:val="13"/>
      </w:pPr>
      <w:r>
        <w:rPr>
          <w:rFonts w:hint="eastAsia"/>
        </w:rPr>
        <w:t>县级以上人民政府财政、监察、审计等有关部门、机关按照职责，做好企业国有资产的有关监督管理工作。</w:t>
      </w:r>
    </w:p>
    <w:p w14:paraId="3DD9333E" w14:textId="624339BD" w:rsidR="00FA0363" w:rsidRDefault="004E3EBB" w:rsidP="00FA0363">
      <w:pPr>
        <w:pStyle w:val="13"/>
        <w:ind w:firstLine="482"/>
      </w:pPr>
      <w:r w:rsidRPr="004E3EBB">
        <w:rPr>
          <w:rFonts w:hint="eastAsia"/>
          <w:b/>
          <w:bCs/>
        </w:rPr>
        <w:t xml:space="preserve">第六条 </w:t>
      </w:r>
      <w:r w:rsidR="00FA0363">
        <w:t>县级以上人民政府应当采取措施，推进国有资本向重要行业和关键领域集中，优化国有经济布局和结构，推动技术创新和进步，增强国有经济的控制力、影响力。</w:t>
      </w:r>
    </w:p>
    <w:p w14:paraId="508F99AE" w14:textId="2CF7C9D6" w:rsidR="00FA0363" w:rsidRDefault="004E3EBB" w:rsidP="00FA0363">
      <w:pPr>
        <w:pStyle w:val="13"/>
        <w:ind w:firstLine="482"/>
      </w:pPr>
      <w:r w:rsidRPr="004E3EBB">
        <w:rPr>
          <w:rFonts w:hint="eastAsia"/>
          <w:b/>
          <w:bCs/>
        </w:rPr>
        <w:t xml:space="preserve">第七条 </w:t>
      </w:r>
      <w:r w:rsidR="00FA0363">
        <w:t>县级以上人民政府应当建立国有资本经营预算制度，对国有资本收入及其支出实行预算管理。</w:t>
      </w:r>
    </w:p>
    <w:p w14:paraId="30077EFB" w14:textId="77777777" w:rsidR="00FA0363" w:rsidRDefault="00FA0363" w:rsidP="00FA0363">
      <w:pPr>
        <w:pStyle w:val="13"/>
      </w:pPr>
      <w:r>
        <w:rPr>
          <w:rFonts w:hint="eastAsia"/>
        </w:rPr>
        <w:t>国有资本经营预算应当按年度单独编制，纳入本级人民政府预算。国有资本经营预算支出按照当年预算收入安排，不列赤字。</w:t>
      </w:r>
    </w:p>
    <w:p w14:paraId="2A9F23B3" w14:textId="1221D4AB" w:rsidR="00FA0363" w:rsidRDefault="004E3EBB" w:rsidP="00FA0363">
      <w:pPr>
        <w:pStyle w:val="13"/>
        <w:ind w:firstLine="482"/>
      </w:pPr>
      <w:r w:rsidRPr="004E3EBB">
        <w:rPr>
          <w:rFonts w:hint="eastAsia"/>
          <w:b/>
          <w:bCs/>
        </w:rPr>
        <w:t xml:space="preserve">第八条 </w:t>
      </w:r>
      <w:r w:rsidR="00FA0363">
        <w:t>任何单位和个人有权对损害国家出资企业合法权益的行为进行检举和控告。</w:t>
      </w:r>
    </w:p>
    <w:p w14:paraId="36294C91" w14:textId="242D3AE4" w:rsidR="00FA0363" w:rsidRDefault="00FA0363" w:rsidP="00AF7342">
      <w:pPr>
        <w:pStyle w:val="a9"/>
        <w:spacing w:before="62" w:after="62"/>
      </w:pPr>
      <w:r>
        <w:t>第二章</w:t>
      </w:r>
      <w:r w:rsidR="00CC466D">
        <w:rPr>
          <w:rFonts w:hint="eastAsia"/>
        </w:rPr>
        <w:t xml:space="preserve"> </w:t>
      </w:r>
      <w:r>
        <w:t>履行出资人职责的机构</w:t>
      </w:r>
    </w:p>
    <w:p w14:paraId="696B158A" w14:textId="498A2B3E" w:rsidR="00FA0363" w:rsidRDefault="00E05BDA" w:rsidP="00FA0363">
      <w:pPr>
        <w:pStyle w:val="13"/>
        <w:ind w:firstLine="482"/>
      </w:pPr>
      <w:r w:rsidRPr="00E05BDA">
        <w:rPr>
          <w:rFonts w:hint="eastAsia"/>
          <w:b/>
          <w:bCs/>
        </w:rPr>
        <w:t xml:space="preserve">第九条 </w:t>
      </w:r>
      <w:r w:rsidR="00FA0363">
        <w:t>国有资产监督管理机构代表本级人民政府，对国家出资企业履行出资人职</w:t>
      </w:r>
      <w:r w:rsidR="00FA0363">
        <w:rPr>
          <w:rFonts w:hint="eastAsia"/>
        </w:rPr>
        <w:t>责。</w:t>
      </w:r>
    </w:p>
    <w:p w14:paraId="4C26382F" w14:textId="77777777" w:rsidR="00FA0363" w:rsidRDefault="00FA0363" w:rsidP="00FA0363">
      <w:pPr>
        <w:pStyle w:val="13"/>
      </w:pPr>
      <w:r>
        <w:rPr>
          <w:rFonts w:hint="eastAsia"/>
        </w:rPr>
        <w:t>县级以上人民政府根据需要，可以授权其他机构（含部门，下同）代表本级人民政府，对特定的国家出资企业履行出资人职责。</w:t>
      </w:r>
    </w:p>
    <w:p w14:paraId="71462FDF" w14:textId="77777777" w:rsidR="00FA0363" w:rsidRDefault="00FA0363" w:rsidP="00FA0363">
      <w:pPr>
        <w:pStyle w:val="13"/>
      </w:pPr>
      <w:r>
        <w:rPr>
          <w:rFonts w:hint="eastAsia"/>
        </w:rPr>
        <w:t>履行出资人职责的机构由本级人民政府向社会公布，接受社会监督。</w:t>
      </w:r>
    </w:p>
    <w:p w14:paraId="2CA7852F" w14:textId="0A78B159" w:rsidR="00FA0363" w:rsidRDefault="00E05BDA" w:rsidP="00FA0363">
      <w:pPr>
        <w:pStyle w:val="13"/>
        <w:ind w:firstLine="482"/>
      </w:pPr>
      <w:r w:rsidRPr="00E05BDA">
        <w:rPr>
          <w:rFonts w:hint="eastAsia"/>
          <w:b/>
          <w:bCs/>
        </w:rPr>
        <w:t xml:space="preserve">第十条 </w:t>
      </w:r>
      <w:r w:rsidR="00FA0363">
        <w:t>履行出资人职责的机构可以将部分出资人职责委托有关部门、机构履行。委托履行部分出资人职责的，应当签订书面协议，明确委托事项、期限和各自的</w:t>
      </w:r>
    </w:p>
    <w:p w14:paraId="31AD29A0" w14:textId="77777777" w:rsidR="00FA0363" w:rsidRDefault="00FA0363" w:rsidP="00FA0363">
      <w:pPr>
        <w:pStyle w:val="13"/>
      </w:pPr>
      <w:r>
        <w:rPr>
          <w:rFonts w:hint="eastAsia"/>
        </w:rPr>
        <w:t>权利、义务、责任，并报本级人民政府备案。</w:t>
      </w:r>
    </w:p>
    <w:p w14:paraId="5B22B8E3" w14:textId="5FD9278E" w:rsidR="00FA0363" w:rsidRDefault="00E05BDA" w:rsidP="00FA0363">
      <w:pPr>
        <w:pStyle w:val="13"/>
        <w:ind w:firstLine="482"/>
      </w:pPr>
      <w:r w:rsidRPr="00E05BDA">
        <w:rPr>
          <w:rFonts w:hint="eastAsia"/>
          <w:b/>
          <w:bCs/>
        </w:rPr>
        <w:t xml:space="preserve">第十一条 </w:t>
      </w:r>
      <w:r w:rsidR="00FA0363">
        <w:t>履行出资人职责的机构代表本级人民政府，对国家出资企业依法享有资产收益、参与重大决策和选择管理者等出资人权利。</w:t>
      </w:r>
    </w:p>
    <w:p w14:paraId="5E1BCD88" w14:textId="77777777" w:rsidR="00FA0363" w:rsidRDefault="00FA0363" w:rsidP="00FA0363">
      <w:pPr>
        <w:pStyle w:val="13"/>
      </w:pPr>
      <w:r>
        <w:rPr>
          <w:rFonts w:hint="eastAsia"/>
        </w:rPr>
        <w:t>履行出资人职责的机构应当维护国家出资企业的市场主体地位和经营自主权，除依法履行出资人职责外，不得干预企业经营活动，不得向企业摊派费用和索要财物，</w:t>
      </w:r>
      <w:r>
        <w:t>不得利用股东地位滥用权利以及损害国有控股公司和中小股东合法权益。</w:t>
      </w:r>
    </w:p>
    <w:p w14:paraId="6BA8B7EA" w14:textId="1065A9A6" w:rsidR="00FA0363" w:rsidRDefault="00E05BDA" w:rsidP="00FA0363">
      <w:pPr>
        <w:pStyle w:val="13"/>
        <w:ind w:firstLine="482"/>
      </w:pPr>
      <w:r w:rsidRPr="00E05BDA">
        <w:rPr>
          <w:rFonts w:hint="eastAsia"/>
          <w:b/>
          <w:bCs/>
        </w:rPr>
        <w:t xml:space="preserve">第十二条 </w:t>
      </w:r>
      <w:r w:rsidR="00FA0363">
        <w:t>履行出资人职责的机构应当依法制定修改或者参与制</w:t>
      </w:r>
      <w:proofErr w:type="gramStart"/>
      <w:r w:rsidR="00FA0363">
        <w:t>定修改</w:t>
      </w:r>
      <w:proofErr w:type="gramEnd"/>
      <w:r w:rsidR="00FA0363">
        <w:t>国家出资企业的章程，并将有关章程报送本级人民政府备案。</w:t>
      </w:r>
    </w:p>
    <w:p w14:paraId="42A48039" w14:textId="5C1E039A" w:rsidR="00FA0363" w:rsidRDefault="00E05BDA" w:rsidP="00FA0363">
      <w:pPr>
        <w:pStyle w:val="13"/>
        <w:ind w:firstLine="482"/>
      </w:pPr>
      <w:r w:rsidRPr="00E05BDA">
        <w:rPr>
          <w:rFonts w:hint="eastAsia"/>
          <w:b/>
          <w:bCs/>
        </w:rPr>
        <w:t xml:space="preserve">第十三条 </w:t>
      </w:r>
      <w:r w:rsidR="00FA0363">
        <w:t>履行出资人职责的机构应当加强对国有独资企业、国有独资公司和国有</w:t>
      </w:r>
      <w:r w:rsidR="00FA0363">
        <w:rPr>
          <w:rFonts w:hint="eastAsia"/>
        </w:rPr>
        <w:t>资本控股公司的财产转让、投资、负债、担保、捐赠等活动的监督管理，建立健全相关制度，防止国有资产损失。</w:t>
      </w:r>
    </w:p>
    <w:p w14:paraId="3BD7DA0F" w14:textId="77777777" w:rsidR="00FA0363" w:rsidRDefault="00FA0363" w:rsidP="00FA0363">
      <w:pPr>
        <w:pStyle w:val="13"/>
      </w:pPr>
      <w:r>
        <w:rPr>
          <w:rFonts w:hint="eastAsia"/>
        </w:rPr>
        <w:t>县级以上人民政府、履行出资人职责的机构</w:t>
      </w:r>
      <w:proofErr w:type="gramStart"/>
      <w:r>
        <w:rPr>
          <w:rFonts w:hint="eastAsia"/>
        </w:rPr>
        <w:t>及其受</w:t>
      </w:r>
      <w:proofErr w:type="gramEnd"/>
      <w:r>
        <w:rPr>
          <w:rFonts w:hint="eastAsia"/>
        </w:rPr>
        <w:t>委托履行部分出资人职责的部门、机构不得指定国家出资企业对外提供担保或者捐赠。</w:t>
      </w:r>
    </w:p>
    <w:p w14:paraId="62D532A3" w14:textId="05B222D6" w:rsidR="00FA0363" w:rsidRDefault="00E05BDA" w:rsidP="00FA0363">
      <w:pPr>
        <w:pStyle w:val="13"/>
        <w:ind w:firstLine="482"/>
      </w:pPr>
      <w:r w:rsidRPr="00E05BDA">
        <w:rPr>
          <w:rFonts w:hint="eastAsia"/>
          <w:b/>
          <w:bCs/>
        </w:rPr>
        <w:lastRenderedPageBreak/>
        <w:t xml:space="preserve">第十四条 </w:t>
      </w:r>
      <w:r w:rsidR="00FA0363">
        <w:t>履行出资人职责的机构应当加强对国有独资企业、国有独资公司和国有资本控股公司的职工薪酬的监督管理，合理调节收入分配关系。</w:t>
      </w:r>
    </w:p>
    <w:p w14:paraId="2804721B" w14:textId="2A2F206C" w:rsidR="00FA0363" w:rsidRDefault="00E05BDA" w:rsidP="00FA0363">
      <w:pPr>
        <w:pStyle w:val="13"/>
        <w:ind w:firstLine="482"/>
      </w:pPr>
      <w:r w:rsidRPr="00E05BDA">
        <w:rPr>
          <w:rFonts w:hint="eastAsia"/>
          <w:b/>
          <w:bCs/>
        </w:rPr>
        <w:t xml:space="preserve">第十五条 </w:t>
      </w:r>
      <w:r w:rsidR="00FA0363">
        <w:t>履行出资人职责的机构制定的规范性文件，应当自文件公布之日起30日内报本级人民政府备案。</w:t>
      </w:r>
    </w:p>
    <w:p w14:paraId="4D9A35F2" w14:textId="039BA148" w:rsidR="00FA0363" w:rsidRDefault="00E05BDA" w:rsidP="00FA0363">
      <w:pPr>
        <w:pStyle w:val="13"/>
        <w:ind w:firstLine="482"/>
      </w:pPr>
      <w:r w:rsidRPr="00E05BDA">
        <w:rPr>
          <w:rFonts w:hint="eastAsia"/>
          <w:b/>
          <w:bCs/>
        </w:rPr>
        <w:t xml:space="preserve">第十六条 </w:t>
      </w:r>
      <w:r w:rsidR="00FA0363">
        <w:t>履行出资人职责的机构应当每年向本级人民政府报告履行出资人职责的情况，接受本级人民政府的监督与考核。</w:t>
      </w:r>
    </w:p>
    <w:p w14:paraId="30147156" w14:textId="7638F5B2" w:rsidR="00FA0363" w:rsidRDefault="00FA0363" w:rsidP="00AF7342">
      <w:pPr>
        <w:pStyle w:val="a9"/>
        <w:spacing w:before="62" w:after="62"/>
      </w:pPr>
      <w:r>
        <w:rPr>
          <w:rFonts w:hint="eastAsia"/>
        </w:rPr>
        <w:t>第三章</w:t>
      </w:r>
      <w:r w:rsidR="00CC466D">
        <w:rPr>
          <w:rFonts w:hint="eastAsia"/>
        </w:rPr>
        <w:t xml:space="preserve"> </w:t>
      </w:r>
      <w:r>
        <w:t>国家出资企业</w:t>
      </w:r>
    </w:p>
    <w:p w14:paraId="1B4CC3B7" w14:textId="4333C717" w:rsidR="00FA0363" w:rsidRDefault="00E05BDA" w:rsidP="00FA0363">
      <w:pPr>
        <w:pStyle w:val="13"/>
        <w:ind w:firstLine="482"/>
      </w:pPr>
      <w:r w:rsidRPr="00E05BDA">
        <w:rPr>
          <w:rFonts w:hint="eastAsia"/>
          <w:b/>
          <w:bCs/>
        </w:rPr>
        <w:t xml:space="preserve">第十七条 </w:t>
      </w:r>
      <w:r w:rsidR="00FA0363">
        <w:t>国家出资企业由各级人民政府确定和公布，并报上一级人民政府及其国有资产监督管理机构备案。</w:t>
      </w:r>
    </w:p>
    <w:p w14:paraId="6AFD044B" w14:textId="1C65C721" w:rsidR="00FA0363" w:rsidRDefault="00E05BDA" w:rsidP="00FA0363">
      <w:pPr>
        <w:pStyle w:val="13"/>
        <w:ind w:firstLine="482"/>
      </w:pPr>
      <w:r w:rsidRPr="00E05BDA">
        <w:rPr>
          <w:rFonts w:hint="eastAsia"/>
          <w:b/>
          <w:bCs/>
        </w:rPr>
        <w:t xml:space="preserve">第十八条 </w:t>
      </w:r>
      <w:r w:rsidR="00FA0363">
        <w:t>国家出资企业享有以下权利：</w:t>
      </w:r>
    </w:p>
    <w:p w14:paraId="079A8FA9" w14:textId="77777777" w:rsidR="00FA0363" w:rsidRDefault="00FA0363" w:rsidP="00FA0363">
      <w:pPr>
        <w:pStyle w:val="13"/>
      </w:pPr>
      <w:r>
        <w:rPr>
          <w:rFonts w:hint="eastAsia"/>
        </w:rPr>
        <w:t>（一）对其动产、不动产和其他财产依法享有占有、使用、收益和处分的权利；</w:t>
      </w:r>
    </w:p>
    <w:p w14:paraId="4F85F4C6" w14:textId="77777777" w:rsidR="00FA0363" w:rsidRDefault="00FA0363" w:rsidP="00FA0363">
      <w:pPr>
        <w:pStyle w:val="13"/>
      </w:pPr>
      <w:r>
        <w:rPr>
          <w:rFonts w:hint="eastAsia"/>
        </w:rPr>
        <w:t>（二）经营自主权；</w:t>
      </w:r>
    </w:p>
    <w:p w14:paraId="610C3A7A" w14:textId="77777777" w:rsidR="00FA0363" w:rsidRDefault="00FA0363" w:rsidP="00FA0363">
      <w:pPr>
        <w:pStyle w:val="13"/>
      </w:pPr>
      <w:r>
        <w:rPr>
          <w:rFonts w:hint="eastAsia"/>
        </w:rPr>
        <w:t>（三）对其所出资企业依法享有资产收益、参与重大决策和选择管理者等出资人权利；</w:t>
      </w:r>
    </w:p>
    <w:p w14:paraId="2D2C3F66" w14:textId="77777777" w:rsidR="00FA0363" w:rsidRDefault="00FA0363" w:rsidP="00FA0363">
      <w:pPr>
        <w:pStyle w:val="13"/>
      </w:pPr>
      <w:r>
        <w:rPr>
          <w:rFonts w:hint="eastAsia"/>
        </w:rPr>
        <w:t>（四）依法应当享有的其他权利。</w:t>
      </w:r>
    </w:p>
    <w:p w14:paraId="1589072C" w14:textId="79BA357F" w:rsidR="00FA0363" w:rsidRDefault="00E05BDA" w:rsidP="00FA0363">
      <w:pPr>
        <w:pStyle w:val="13"/>
        <w:ind w:firstLine="482"/>
      </w:pPr>
      <w:r w:rsidRPr="00E05BDA">
        <w:rPr>
          <w:rFonts w:hint="eastAsia"/>
          <w:b/>
          <w:bCs/>
        </w:rPr>
        <w:t xml:space="preserve">第十九条 </w:t>
      </w:r>
      <w:r w:rsidR="00FA0363">
        <w:t>国家出资企业应当履行以下义务：</w:t>
      </w:r>
    </w:p>
    <w:p w14:paraId="44E4D1AA" w14:textId="77777777" w:rsidR="00FA0363" w:rsidRDefault="00FA0363" w:rsidP="00FA0363">
      <w:pPr>
        <w:pStyle w:val="13"/>
      </w:pPr>
      <w:r>
        <w:rPr>
          <w:rFonts w:hint="eastAsia"/>
        </w:rPr>
        <w:t>（一）依法经营，接受有关部门、机构的监督管理；</w:t>
      </w:r>
    </w:p>
    <w:p w14:paraId="194C46D2" w14:textId="77777777" w:rsidR="00FA0363" w:rsidRDefault="00FA0363" w:rsidP="00FA0363">
      <w:pPr>
        <w:pStyle w:val="13"/>
      </w:pPr>
      <w:r>
        <w:rPr>
          <w:rFonts w:hint="eastAsia"/>
        </w:rPr>
        <w:t>（二）建立健全企业内部管理制度；</w:t>
      </w:r>
    </w:p>
    <w:p w14:paraId="1E459486" w14:textId="77777777" w:rsidR="00FA0363" w:rsidRDefault="00FA0363" w:rsidP="00FA0363">
      <w:pPr>
        <w:pStyle w:val="13"/>
      </w:pPr>
      <w:r>
        <w:rPr>
          <w:rFonts w:hint="eastAsia"/>
        </w:rPr>
        <w:t>（三）承担社会责任；</w:t>
      </w:r>
    </w:p>
    <w:p w14:paraId="6E5F8EED" w14:textId="77777777" w:rsidR="00FA0363" w:rsidRDefault="00FA0363" w:rsidP="00FA0363">
      <w:pPr>
        <w:pStyle w:val="13"/>
      </w:pPr>
      <w:r>
        <w:rPr>
          <w:rFonts w:hint="eastAsia"/>
        </w:rPr>
        <w:t>（四）依法应当承担的其他义务。</w:t>
      </w:r>
    </w:p>
    <w:p w14:paraId="62FB076B" w14:textId="0DA3A783" w:rsidR="00FA0363" w:rsidRDefault="00E05BDA" w:rsidP="00FA0363">
      <w:pPr>
        <w:pStyle w:val="13"/>
        <w:ind w:firstLine="482"/>
      </w:pPr>
      <w:r w:rsidRPr="00E05BDA">
        <w:rPr>
          <w:rFonts w:hint="eastAsia"/>
          <w:b/>
          <w:bCs/>
        </w:rPr>
        <w:t xml:space="preserve">第二十条 </w:t>
      </w:r>
      <w:r w:rsidR="00FA0363">
        <w:t>国有独资企业、国有独资公司和国有资本控股公司应当逐步建立全面预算管理制度，编制企业年度生产经营、投资、资本运营等全部经营活动的预算报告，</w:t>
      </w:r>
      <w:proofErr w:type="gramStart"/>
      <w:r w:rsidR="00FA0363">
        <w:t>落实全</w:t>
      </w:r>
      <w:proofErr w:type="gramEnd"/>
      <w:r w:rsidR="00FA0363">
        <w:t>过程监控。</w:t>
      </w:r>
    </w:p>
    <w:p w14:paraId="53586E4F" w14:textId="429C25DE" w:rsidR="00FA0363" w:rsidRDefault="00E05BDA" w:rsidP="00FA0363">
      <w:pPr>
        <w:pStyle w:val="13"/>
        <w:ind w:firstLine="482"/>
      </w:pPr>
      <w:r w:rsidRPr="00E05BDA">
        <w:rPr>
          <w:rFonts w:hint="eastAsia"/>
          <w:b/>
          <w:bCs/>
        </w:rPr>
        <w:t xml:space="preserve">第二十一条 </w:t>
      </w:r>
      <w:r w:rsidR="00FA0363">
        <w:t>国有独资企业、国有独资公司和国有资本控股公司的重大事项，应当</w:t>
      </w:r>
      <w:r w:rsidR="00FA0363">
        <w:rPr>
          <w:rFonts w:hint="eastAsia"/>
        </w:rPr>
        <w:t>实行集体讨论、依法决策，并记录存档。</w:t>
      </w:r>
    </w:p>
    <w:p w14:paraId="028CAFC2" w14:textId="77777777" w:rsidR="00FA0363" w:rsidRDefault="00FA0363" w:rsidP="00FA0363">
      <w:pPr>
        <w:pStyle w:val="13"/>
      </w:pPr>
      <w:r>
        <w:rPr>
          <w:rFonts w:hint="eastAsia"/>
        </w:rPr>
        <w:t>前款规定的重大事项，按照国家、本级人民政府和履行出资人职责的机构的规定确定。</w:t>
      </w:r>
    </w:p>
    <w:p w14:paraId="6A3F5DE5" w14:textId="12E7730B" w:rsidR="00FA0363" w:rsidRDefault="00E05BDA" w:rsidP="00FA0363">
      <w:pPr>
        <w:pStyle w:val="13"/>
        <w:ind w:firstLine="482"/>
      </w:pPr>
      <w:r w:rsidRPr="00E05BDA">
        <w:rPr>
          <w:rFonts w:hint="eastAsia"/>
          <w:b/>
          <w:bCs/>
        </w:rPr>
        <w:t xml:space="preserve">第二十二条 </w:t>
      </w:r>
      <w:r w:rsidR="00FA0363">
        <w:t>国有独资企业、国有独资公司和国有资本控股公司应当依照国家和省有关规定，通过职工代表大会等形式，实行民主管理和企业事务公开，保障职工的知情权、参与权、表达权和监督权，维护职工的合法权益。</w:t>
      </w:r>
    </w:p>
    <w:p w14:paraId="1C0211C8" w14:textId="77777777" w:rsidR="00FA0363" w:rsidRDefault="00FA0363" w:rsidP="00FA0363">
      <w:pPr>
        <w:pStyle w:val="13"/>
      </w:pPr>
      <w:r>
        <w:rPr>
          <w:rFonts w:hint="eastAsia"/>
        </w:rPr>
        <w:t>企业的工会组织建设，依照《中华人民共和国工会法》、《中国工会章程》等有关规定执行。</w:t>
      </w:r>
    </w:p>
    <w:p w14:paraId="1670EC3E" w14:textId="572DBB99" w:rsidR="00FA0363" w:rsidRDefault="00E05BDA" w:rsidP="00FA0363">
      <w:pPr>
        <w:pStyle w:val="13"/>
        <w:ind w:firstLine="482"/>
      </w:pPr>
      <w:r w:rsidRPr="00E05BDA">
        <w:rPr>
          <w:rFonts w:hint="eastAsia"/>
          <w:b/>
          <w:bCs/>
        </w:rPr>
        <w:t xml:space="preserve">第二十三条 </w:t>
      </w:r>
      <w:r w:rsidR="00FA0363">
        <w:t>国有独资企业、国有独资公司和国有资本控股公司应当建立企业债权管理制度和年度举债计划风险评估报告制度，加强企业债权、债务管理。</w:t>
      </w:r>
    </w:p>
    <w:p w14:paraId="0523BE0D" w14:textId="26FDD1B4" w:rsidR="00FA0363" w:rsidRDefault="00E05BDA" w:rsidP="00FA0363">
      <w:pPr>
        <w:pStyle w:val="13"/>
        <w:ind w:firstLine="482"/>
      </w:pPr>
      <w:r w:rsidRPr="00E05BDA">
        <w:rPr>
          <w:rFonts w:hint="eastAsia"/>
          <w:b/>
          <w:bCs/>
        </w:rPr>
        <w:lastRenderedPageBreak/>
        <w:t xml:space="preserve">第二十四条 </w:t>
      </w:r>
      <w:r w:rsidR="00FA0363">
        <w:t>国有独资企业、国有独资公司和国有资本控股公司应当建立担保跟踪监测预警制度和捐赠报告制度，加强担保与捐赠管理。</w:t>
      </w:r>
    </w:p>
    <w:p w14:paraId="473E9CB0" w14:textId="692F78E9" w:rsidR="00FA0363" w:rsidRDefault="00E05BDA" w:rsidP="00FA0363">
      <w:pPr>
        <w:pStyle w:val="13"/>
        <w:ind w:firstLine="482"/>
      </w:pPr>
      <w:r w:rsidRPr="00E05BDA">
        <w:rPr>
          <w:rFonts w:hint="eastAsia"/>
          <w:b/>
          <w:bCs/>
        </w:rPr>
        <w:t xml:space="preserve">第二十五条 </w:t>
      </w:r>
      <w:r w:rsidR="00FA0363">
        <w:t>国有独资企业、国有独资公司和国有资本控股公司应当建立企业年度投资计划分析报告制度，组织开展投资效益分析评价和重大投资项目后评估等动态监测活动，加强投资管理。依照国家和省有关规定，应当向本级人民政府或者有关部门、机构办理相关手续的，从其规定。</w:t>
      </w:r>
    </w:p>
    <w:p w14:paraId="480DECF8" w14:textId="77777777" w:rsidR="00FA0363" w:rsidRDefault="00FA0363" w:rsidP="00FA0363">
      <w:pPr>
        <w:pStyle w:val="13"/>
      </w:pPr>
      <w:r>
        <w:rPr>
          <w:rFonts w:hint="eastAsia"/>
        </w:rPr>
        <w:t>国有独资企业、国有独资公司和国有资本控股公司开展境外（指中国大陆以外，下同）投资，应当符合下列规定：</w:t>
      </w:r>
    </w:p>
    <w:p w14:paraId="5948C88C" w14:textId="77777777" w:rsidR="00FA0363" w:rsidRDefault="00FA0363" w:rsidP="00FA0363">
      <w:pPr>
        <w:pStyle w:val="13"/>
      </w:pPr>
      <w:r>
        <w:rPr>
          <w:rFonts w:hint="eastAsia"/>
        </w:rPr>
        <w:t>（一）投资项目应当进行可行性论证，符合国家产业政策、国家和驻在国（地区）</w:t>
      </w:r>
      <w:r>
        <w:t>法律以及相关国际条约。</w:t>
      </w:r>
    </w:p>
    <w:p w14:paraId="5842969F" w14:textId="77777777" w:rsidR="00FA0363" w:rsidRDefault="00FA0363" w:rsidP="00FA0363">
      <w:pPr>
        <w:pStyle w:val="13"/>
      </w:pPr>
      <w:r>
        <w:rPr>
          <w:rFonts w:hint="eastAsia"/>
        </w:rPr>
        <w:t>（二）派驻境外企业的经营管理人员应当实行定期轮换，并不得在驻在国（地区）</w:t>
      </w:r>
      <w:r>
        <w:t>有其他投资和任职。</w:t>
      </w:r>
    </w:p>
    <w:p w14:paraId="0D9943F5" w14:textId="77777777" w:rsidR="00FA0363" w:rsidRDefault="00FA0363" w:rsidP="00FA0363">
      <w:pPr>
        <w:pStyle w:val="13"/>
      </w:pPr>
      <w:r>
        <w:rPr>
          <w:rFonts w:hint="eastAsia"/>
        </w:rPr>
        <w:t>（三）境外企业产权不得代持；确因驻在国（地区）法律规定</w:t>
      </w:r>
      <w:proofErr w:type="gramStart"/>
      <w:r>
        <w:rPr>
          <w:rFonts w:hint="eastAsia"/>
        </w:rPr>
        <w:t>需代持</w:t>
      </w:r>
      <w:proofErr w:type="gramEnd"/>
      <w:r>
        <w:rPr>
          <w:rFonts w:hint="eastAsia"/>
        </w:rPr>
        <w:t>的，应当办妥证明</w:t>
      </w:r>
      <w:proofErr w:type="gramStart"/>
      <w:r>
        <w:rPr>
          <w:rFonts w:hint="eastAsia"/>
        </w:rPr>
        <w:t>代持关系</w:t>
      </w:r>
      <w:proofErr w:type="gramEnd"/>
      <w:r>
        <w:rPr>
          <w:rFonts w:hint="eastAsia"/>
        </w:rPr>
        <w:t>的法律手续。</w:t>
      </w:r>
    </w:p>
    <w:p w14:paraId="4BD0BA96" w14:textId="77777777" w:rsidR="00FA0363" w:rsidRDefault="00FA0363" w:rsidP="00FA0363">
      <w:pPr>
        <w:pStyle w:val="13"/>
      </w:pPr>
      <w:r>
        <w:rPr>
          <w:rFonts w:hint="eastAsia"/>
        </w:rPr>
        <w:t>（四）国家和省对境外投资的其他规定。</w:t>
      </w:r>
    </w:p>
    <w:p w14:paraId="2192E941" w14:textId="2BD16551" w:rsidR="00FA0363" w:rsidRDefault="00E05BDA" w:rsidP="00FA0363">
      <w:pPr>
        <w:pStyle w:val="13"/>
        <w:ind w:firstLine="482"/>
      </w:pPr>
      <w:r w:rsidRPr="00E05BDA">
        <w:rPr>
          <w:rFonts w:hint="eastAsia"/>
          <w:b/>
          <w:bCs/>
        </w:rPr>
        <w:t xml:space="preserve">第二十六条 </w:t>
      </w:r>
      <w:r w:rsidR="00FA0363">
        <w:t>国家出资企业的改制、关联交易和国有资产转让，依照《中华人民共和国企业国有资产法》等有关法律、法规和规章的规定执行。</w:t>
      </w:r>
    </w:p>
    <w:p w14:paraId="1C0B3782" w14:textId="1ADD5452" w:rsidR="00FA0363" w:rsidRDefault="00E05BDA" w:rsidP="00FA0363">
      <w:pPr>
        <w:pStyle w:val="13"/>
        <w:ind w:firstLine="482"/>
      </w:pPr>
      <w:r w:rsidRPr="00E05BDA">
        <w:rPr>
          <w:rFonts w:hint="eastAsia"/>
          <w:b/>
          <w:bCs/>
        </w:rPr>
        <w:t xml:space="preserve">第二十七条 </w:t>
      </w:r>
      <w:r w:rsidR="00FA0363">
        <w:t>国有独资企业、国有独资公司在企业改制、资产重组、清产核资以及</w:t>
      </w:r>
      <w:r w:rsidR="00FA0363">
        <w:rPr>
          <w:rFonts w:hint="eastAsia"/>
        </w:rPr>
        <w:t>生产经营过程形成的不良资产，应当在具有资质的交易机构公开挂牌出售，或者划转国有不良资产管理公司处置，并事先报经本级人民政府或者其授权履行出资人职责的机构同意。不良资产的认定标准按照国家和省有关规定执行。</w:t>
      </w:r>
    </w:p>
    <w:p w14:paraId="755D4858" w14:textId="73ECD14B" w:rsidR="00FA0363" w:rsidRDefault="00E05BDA" w:rsidP="00FA0363">
      <w:pPr>
        <w:pStyle w:val="13"/>
        <w:ind w:firstLine="482"/>
      </w:pPr>
      <w:r w:rsidRPr="00E05BDA">
        <w:rPr>
          <w:rFonts w:hint="eastAsia"/>
          <w:b/>
          <w:bCs/>
        </w:rPr>
        <w:t xml:space="preserve">第二十八条 </w:t>
      </w:r>
      <w:r w:rsidR="00FA0363">
        <w:t>国有独资企业、国有独资公司和国有资本控股公司应当建立内部审计机构，健全相关制度，对企业经济活动和内部控制的真实性、合法性、有效性进行监督与评价。</w:t>
      </w:r>
    </w:p>
    <w:p w14:paraId="16AD5B2C" w14:textId="63513C3B" w:rsidR="00FA0363" w:rsidRDefault="00E05BDA" w:rsidP="00FA0363">
      <w:pPr>
        <w:pStyle w:val="13"/>
        <w:ind w:firstLine="482"/>
      </w:pPr>
      <w:r w:rsidRPr="00E05BDA">
        <w:rPr>
          <w:rFonts w:hint="eastAsia"/>
          <w:b/>
          <w:bCs/>
        </w:rPr>
        <w:t xml:space="preserve">第二十九条 </w:t>
      </w:r>
      <w:r w:rsidR="00FA0363">
        <w:t>国有独资企业、国有独资公司和国有资本控股公司应当建立企业法律顾问制度，保障企业法律顾问依法开展工作。</w:t>
      </w:r>
    </w:p>
    <w:p w14:paraId="138F5C90" w14:textId="77777777" w:rsidR="00FA0363" w:rsidRDefault="00FA0363" w:rsidP="00FA0363">
      <w:pPr>
        <w:pStyle w:val="13"/>
      </w:pPr>
      <w:r>
        <w:rPr>
          <w:rFonts w:hint="eastAsia"/>
        </w:rPr>
        <w:t>企业法律顾问负责处理企业经营管理和决策中的法律事务，有权对损害企业合法权益的行为提出意见和建议。</w:t>
      </w:r>
    </w:p>
    <w:p w14:paraId="7DDEAEEA" w14:textId="0236A8B3" w:rsidR="00FA0363" w:rsidRDefault="00FA0363" w:rsidP="00AF7342">
      <w:pPr>
        <w:pStyle w:val="a9"/>
        <w:spacing w:before="62" w:after="62"/>
      </w:pPr>
      <w:r>
        <w:rPr>
          <w:rFonts w:hint="eastAsia"/>
        </w:rPr>
        <w:t>第四章</w:t>
      </w:r>
      <w:r w:rsidR="00CC466D">
        <w:rPr>
          <w:rFonts w:hint="eastAsia"/>
        </w:rPr>
        <w:t xml:space="preserve"> </w:t>
      </w:r>
      <w:r>
        <w:t>国家出资企业管理者</w:t>
      </w:r>
    </w:p>
    <w:p w14:paraId="62E94676" w14:textId="66F3EF53" w:rsidR="00FA0363" w:rsidRDefault="00E05BDA" w:rsidP="00FA0363">
      <w:pPr>
        <w:pStyle w:val="13"/>
        <w:ind w:firstLine="482"/>
      </w:pPr>
      <w:r w:rsidRPr="00E05BDA">
        <w:rPr>
          <w:rFonts w:hint="eastAsia"/>
          <w:b/>
          <w:bCs/>
        </w:rPr>
        <w:t xml:space="preserve">第三十条 </w:t>
      </w:r>
      <w:r w:rsidR="00FA0363">
        <w:t>选择和考核国有独资企业、国有独资公司、国有资本控股公司的管理者，履行出资人职责的机构应当依照《中华人民共和国企业国有资产法》、《中华人民共和国公司法》等有关法律、行政法规和企业章程的规定进行。依照有关规定由人事管理部门负责选择、考核国家出资企业管理者的，从其规定。</w:t>
      </w:r>
    </w:p>
    <w:p w14:paraId="2A40F5A9" w14:textId="77777777" w:rsidR="00FA0363" w:rsidRDefault="00FA0363" w:rsidP="00FA0363">
      <w:pPr>
        <w:pStyle w:val="13"/>
      </w:pPr>
      <w:r>
        <w:rPr>
          <w:rFonts w:hint="eastAsia"/>
        </w:rPr>
        <w:t>选择和考核国有资本参股企业的管理者，应当按照该企业的章程规定执行。</w:t>
      </w:r>
    </w:p>
    <w:p w14:paraId="191D113D" w14:textId="77777777" w:rsidR="00FA0363" w:rsidRDefault="00FA0363" w:rsidP="00FA0363">
      <w:pPr>
        <w:pStyle w:val="13"/>
      </w:pPr>
      <w:r>
        <w:rPr>
          <w:rFonts w:hint="eastAsia"/>
        </w:rPr>
        <w:lastRenderedPageBreak/>
        <w:t>本办法所称的国家出资企业的管理者，是指国家出资企业的董事、监事、高级管理人员。</w:t>
      </w:r>
    </w:p>
    <w:p w14:paraId="0B2B1785" w14:textId="2FC0998A" w:rsidR="00FA0363" w:rsidRDefault="003B2FB1" w:rsidP="00FA0363">
      <w:pPr>
        <w:pStyle w:val="13"/>
        <w:ind w:firstLine="482"/>
      </w:pPr>
      <w:r w:rsidRPr="003B2FB1">
        <w:rPr>
          <w:rFonts w:hint="eastAsia"/>
          <w:b/>
          <w:bCs/>
        </w:rPr>
        <w:t xml:space="preserve">第三十一条 </w:t>
      </w:r>
      <w:r w:rsidR="00FA0363">
        <w:t>考核国有独资企业、国有独资公司和国有资本控股公司的管理者，应当按照激励与约束相结合、效益与发展相结合、效率与公平相结合、权利与责任相结合的原则，科学设置对管理者的考核指标及其权重，建立并完善对管理者的中长期激励约束机制。</w:t>
      </w:r>
    </w:p>
    <w:p w14:paraId="0F32124D" w14:textId="43C4E157" w:rsidR="00FA0363" w:rsidRDefault="003B2FB1" w:rsidP="00FA0363">
      <w:pPr>
        <w:pStyle w:val="13"/>
        <w:ind w:firstLine="482"/>
      </w:pPr>
      <w:r w:rsidRPr="003B2FB1">
        <w:rPr>
          <w:rFonts w:hint="eastAsia"/>
          <w:b/>
          <w:bCs/>
        </w:rPr>
        <w:t xml:space="preserve">第三十二条 </w:t>
      </w:r>
      <w:r w:rsidR="00FA0363">
        <w:t>国有独资企业、国有独资公司和国有资本控股公司的管理者，对企业负有忠实义务和勤勉义务，应当遵守企业章程规定，不得利用职权收受贿赂或者取得其他非法收入和不当利益，不得侵占、挪用企业资产，不得超越职权或者违反程序决定企业重大事项，不得有其他侵害企业国有资产出资人权益的行为。</w:t>
      </w:r>
    </w:p>
    <w:p w14:paraId="0EF4C44E" w14:textId="1F0651AF" w:rsidR="00FA0363" w:rsidRDefault="003B2FB1" w:rsidP="00FA0363">
      <w:pPr>
        <w:pStyle w:val="13"/>
        <w:ind w:firstLine="482"/>
      </w:pPr>
      <w:r w:rsidRPr="003B2FB1">
        <w:rPr>
          <w:rFonts w:hint="eastAsia"/>
          <w:b/>
          <w:bCs/>
        </w:rPr>
        <w:t xml:space="preserve">第三十三条 </w:t>
      </w:r>
      <w:r w:rsidR="00FA0363">
        <w:t>未经履行出资人职责的机构或者有关人事管理部门同意，国有独资企业、国有独资公司的董事、高级管理人员不得在其他企业兼职，国有独资公司的董事</w:t>
      </w:r>
      <w:r w:rsidR="00FA0363">
        <w:rPr>
          <w:rFonts w:hint="eastAsia"/>
        </w:rPr>
        <w:t>长不得兼任经理。</w:t>
      </w:r>
    </w:p>
    <w:p w14:paraId="5F1B9DE1" w14:textId="77777777" w:rsidR="00FA0363" w:rsidRDefault="00FA0363" w:rsidP="00FA0363">
      <w:pPr>
        <w:pStyle w:val="13"/>
      </w:pPr>
      <w:r>
        <w:rPr>
          <w:rFonts w:hint="eastAsia"/>
        </w:rPr>
        <w:t>未经股东会或者股东大会同意，国有资本控股公司、国有资本参股公司的董事、高级管理人员不得在其他企业兼职，国有资本控股公司的董事长不得兼任经理。</w:t>
      </w:r>
    </w:p>
    <w:p w14:paraId="4184ADC2" w14:textId="77777777" w:rsidR="00FA0363" w:rsidRDefault="00FA0363" w:rsidP="00FA0363">
      <w:pPr>
        <w:pStyle w:val="13"/>
      </w:pPr>
      <w:r>
        <w:rPr>
          <w:rFonts w:hint="eastAsia"/>
        </w:rPr>
        <w:t>董事、高级管理人员不得兼任监事。</w:t>
      </w:r>
    </w:p>
    <w:p w14:paraId="1A0AD055" w14:textId="522D8223" w:rsidR="00FA0363" w:rsidRDefault="003B2FB1" w:rsidP="00FA0363">
      <w:pPr>
        <w:pStyle w:val="13"/>
        <w:ind w:firstLine="482"/>
      </w:pPr>
      <w:r w:rsidRPr="003B2FB1">
        <w:rPr>
          <w:rFonts w:hint="eastAsia"/>
          <w:b/>
          <w:bCs/>
        </w:rPr>
        <w:t xml:space="preserve">第三十四条 </w:t>
      </w:r>
      <w:r w:rsidR="00FA0363">
        <w:t>国家出资企业实行国有产权首席代表报告制度。首席代表应当就企业产权变动事项和个人履职情况，定期或者专项</w:t>
      </w:r>
      <w:proofErr w:type="gramStart"/>
      <w:r w:rsidR="00FA0363">
        <w:t>向履行</w:t>
      </w:r>
      <w:proofErr w:type="gramEnd"/>
      <w:r w:rsidR="00FA0363">
        <w:t>出资人职责的机构报告。</w:t>
      </w:r>
    </w:p>
    <w:p w14:paraId="2BE71317" w14:textId="77777777" w:rsidR="00FA0363" w:rsidRDefault="00FA0363" w:rsidP="00FA0363">
      <w:pPr>
        <w:pStyle w:val="13"/>
      </w:pPr>
      <w:r>
        <w:rPr>
          <w:rFonts w:hint="eastAsia"/>
        </w:rPr>
        <w:t>前款所称的国有产权首席代表，是指国有独资企业、国有独资公司和国有资本控股公司的董事长（不设董事会的为经理），以及国有资本参股公司中由本级人民政府和有关部门、机构指定的人员。</w:t>
      </w:r>
    </w:p>
    <w:p w14:paraId="5AD41466" w14:textId="7B209020" w:rsidR="00FA0363" w:rsidRDefault="003B2FB1" w:rsidP="00FA0363">
      <w:pPr>
        <w:pStyle w:val="13"/>
        <w:ind w:firstLine="482"/>
      </w:pPr>
      <w:r w:rsidRPr="003B2FB1">
        <w:rPr>
          <w:rFonts w:hint="eastAsia"/>
          <w:b/>
          <w:bCs/>
        </w:rPr>
        <w:t xml:space="preserve">第三十五条 </w:t>
      </w:r>
      <w:r w:rsidR="00FA0363">
        <w:t>县级以上人民政府、履行出资人职责的机构和人事管理部门等有关部门、机构应当采取措施，逐步推行国家出资企业外派董事、监事和职业经理</w:t>
      </w:r>
      <w:proofErr w:type="gramStart"/>
      <w:r w:rsidR="00FA0363">
        <w:t>人制</w:t>
      </w:r>
      <w:proofErr w:type="gramEnd"/>
      <w:r w:rsidR="00FA0363">
        <w:t>度，完善国家出资企业法人治理结构。</w:t>
      </w:r>
    </w:p>
    <w:p w14:paraId="151F6BFE" w14:textId="05F29866" w:rsidR="00FA0363" w:rsidRDefault="00FA0363" w:rsidP="00AF7342">
      <w:pPr>
        <w:pStyle w:val="a9"/>
        <w:spacing w:before="62" w:after="62"/>
      </w:pPr>
      <w:r>
        <w:rPr>
          <w:rFonts w:hint="eastAsia"/>
        </w:rPr>
        <w:t>第五章</w:t>
      </w:r>
      <w:r w:rsidR="00CC466D">
        <w:rPr>
          <w:rFonts w:hint="eastAsia"/>
        </w:rPr>
        <w:t xml:space="preserve"> </w:t>
      </w:r>
      <w:r>
        <w:t>国有资产基础管理</w:t>
      </w:r>
    </w:p>
    <w:p w14:paraId="717EA811" w14:textId="453D6BB6" w:rsidR="00FA0363" w:rsidRDefault="003B2FB1" w:rsidP="00FA0363">
      <w:pPr>
        <w:pStyle w:val="13"/>
        <w:ind w:firstLine="482"/>
      </w:pPr>
      <w:r w:rsidRPr="003B2FB1">
        <w:rPr>
          <w:rFonts w:hint="eastAsia"/>
          <w:b/>
          <w:bCs/>
        </w:rPr>
        <w:t xml:space="preserve">第三十六条 </w:t>
      </w:r>
      <w:r w:rsidR="00FA0363">
        <w:t>国有资产监督管理机构应当依照国家、省和本级人民政府规定，指导国家出资企业做好企业国有资产的产权界定、产权登记、资产统计等基础管理工作。</w:t>
      </w:r>
    </w:p>
    <w:p w14:paraId="2302883E" w14:textId="386C3A02" w:rsidR="00FA0363" w:rsidRDefault="003B2FB1" w:rsidP="00FA0363">
      <w:pPr>
        <w:pStyle w:val="13"/>
        <w:ind w:firstLine="482"/>
      </w:pPr>
      <w:r w:rsidRPr="003B2FB1">
        <w:rPr>
          <w:rFonts w:hint="eastAsia"/>
          <w:b/>
          <w:bCs/>
        </w:rPr>
        <w:t xml:space="preserve">第三十七条 </w:t>
      </w:r>
      <w:r w:rsidR="00FA0363">
        <w:t>国有资产监督管理机构应当对国家出资企业资产分布和变动情况实施动态监测，并与财政等部门建立国家出资企业资产动态管理信息共享机制。</w:t>
      </w:r>
    </w:p>
    <w:p w14:paraId="333173F0" w14:textId="3F115BC8" w:rsidR="00FA0363" w:rsidRDefault="003B2FB1" w:rsidP="00FA0363">
      <w:pPr>
        <w:pStyle w:val="13"/>
        <w:ind w:firstLine="482"/>
      </w:pPr>
      <w:r w:rsidRPr="003B2FB1">
        <w:rPr>
          <w:rFonts w:hint="eastAsia"/>
          <w:b/>
          <w:bCs/>
        </w:rPr>
        <w:t xml:space="preserve">第三十八条 </w:t>
      </w:r>
      <w:r w:rsidR="00FA0363">
        <w:t>国有资产监督管理机构应当将国家出资企业的资产财务状况和营运情况进行统计分析，定期向本级人民政府报告统计分析结果。</w:t>
      </w:r>
    </w:p>
    <w:p w14:paraId="0B39879F" w14:textId="4EDAE227" w:rsidR="00FA0363" w:rsidRDefault="003B2FB1" w:rsidP="00FA0363">
      <w:pPr>
        <w:pStyle w:val="13"/>
        <w:ind w:firstLine="482"/>
      </w:pPr>
      <w:r w:rsidRPr="003B2FB1">
        <w:rPr>
          <w:rFonts w:hint="eastAsia"/>
          <w:b/>
          <w:bCs/>
        </w:rPr>
        <w:t xml:space="preserve">第三十九条 </w:t>
      </w:r>
      <w:r w:rsidR="00FA0363">
        <w:t>国有独资企业、国有独资公司和国有资本控股公司有下列情形之一的，应当进行资产评估：</w:t>
      </w:r>
    </w:p>
    <w:p w14:paraId="3914928A" w14:textId="77777777" w:rsidR="00FA0363" w:rsidRDefault="00FA0363" w:rsidP="00FA0363">
      <w:pPr>
        <w:pStyle w:val="13"/>
      </w:pPr>
      <w:r>
        <w:rPr>
          <w:rFonts w:hint="eastAsia"/>
        </w:rPr>
        <w:lastRenderedPageBreak/>
        <w:t>（一）企业发生合并、分立、清算；</w:t>
      </w:r>
    </w:p>
    <w:p w14:paraId="65467F50" w14:textId="77777777" w:rsidR="00FA0363" w:rsidRDefault="00FA0363" w:rsidP="00FA0363">
      <w:pPr>
        <w:pStyle w:val="13"/>
      </w:pPr>
      <w:r>
        <w:rPr>
          <w:rFonts w:hint="eastAsia"/>
        </w:rPr>
        <w:t>（二）企业改制；</w:t>
      </w:r>
    </w:p>
    <w:p w14:paraId="5C8F0F54" w14:textId="77777777" w:rsidR="00FA0363" w:rsidRDefault="00FA0363" w:rsidP="00FA0363">
      <w:pPr>
        <w:pStyle w:val="13"/>
      </w:pPr>
      <w:r>
        <w:rPr>
          <w:rFonts w:hint="eastAsia"/>
        </w:rPr>
        <w:t>（三）企业国有资产转让，或者企业国有股东股权比例发生变动（上市公司除外）；</w:t>
      </w:r>
    </w:p>
    <w:p w14:paraId="774BFF99" w14:textId="77777777" w:rsidR="00FA0363" w:rsidRDefault="00FA0363" w:rsidP="00FA0363">
      <w:pPr>
        <w:pStyle w:val="13"/>
      </w:pPr>
      <w:r>
        <w:rPr>
          <w:rFonts w:hint="eastAsia"/>
        </w:rPr>
        <w:t>（四）企业转让财产，或者企业出租资产（营业执照载明出租资产作为经营范围的企业除外）；</w:t>
      </w:r>
    </w:p>
    <w:p w14:paraId="39999AFA" w14:textId="77777777" w:rsidR="00FA0363" w:rsidRDefault="00FA0363" w:rsidP="00FA0363">
      <w:pPr>
        <w:pStyle w:val="13"/>
      </w:pPr>
      <w:r>
        <w:rPr>
          <w:rFonts w:hint="eastAsia"/>
        </w:rPr>
        <w:t>（五）以非货币财产对外投资或者偿还债务；</w:t>
      </w:r>
    </w:p>
    <w:p w14:paraId="54DB2F2D" w14:textId="77777777" w:rsidR="00FA0363" w:rsidRDefault="00FA0363" w:rsidP="00FA0363">
      <w:pPr>
        <w:pStyle w:val="13"/>
      </w:pPr>
      <w:r>
        <w:rPr>
          <w:rFonts w:hint="eastAsia"/>
        </w:rPr>
        <w:t>（六）接受其他单位以非货币财产出资或者抵债；</w:t>
      </w:r>
    </w:p>
    <w:p w14:paraId="77ADC0B0" w14:textId="77777777" w:rsidR="00FA0363" w:rsidRDefault="00FA0363" w:rsidP="00FA0363">
      <w:pPr>
        <w:pStyle w:val="13"/>
      </w:pPr>
      <w:r>
        <w:t>(</w:t>
      </w:r>
      <w:r>
        <w:rPr>
          <w:rFonts w:hint="eastAsia"/>
        </w:rPr>
        <w:t>七）收购其他单位的资产；</w:t>
      </w:r>
    </w:p>
    <w:p w14:paraId="5FC61CFE" w14:textId="77777777" w:rsidR="00FA0363" w:rsidRDefault="00FA0363" w:rsidP="00FA0363">
      <w:pPr>
        <w:pStyle w:val="13"/>
      </w:pPr>
      <w:r>
        <w:rPr>
          <w:rFonts w:hint="eastAsia"/>
        </w:rPr>
        <w:t>（八）国家、省和企业章程规定应当进行资产评估的其他情形。国有股权之间无偿划转的，可以免予评估。</w:t>
      </w:r>
    </w:p>
    <w:p w14:paraId="4E531C42" w14:textId="67CAC1D7" w:rsidR="00FA0363" w:rsidRDefault="003B2FB1" w:rsidP="00FA0363">
      <w:pPr>
        <w:pStyle w:val="13"/>
        <w:ind w:firstLine="482"/>
      </w:pPr>
      <w:r w:rsidRPr="003B2FB1">
        <w:rPr>
          <w:rFonts w:hint="eastAsia"/>
          <w:b/>
          <w:bCs/>
        </w:rPr>
        <w:t xml:space="preserve">第四十条 </w:t>
      </w:r>
      <w:r w:rsidR="00FA0363">
        <w:t>从事国有独资企业、国有独资公司和国有资本控股公司的财务审计和资产评估业务的中介机构，应当依法、客观、公正地开展业务活动，并具备以下条件：</w:t>
      </w:r>
    </w:p>
    <w:p w14:paraId="656FDD9A" w14:textId="77777777" w:rsidR="00FA0363" w:rsidRDefault="00FA0363" w:rsidP="00FA0363">
      <w:pPr>
        <w:pStyle w:val="13"/>
      </w:pPr>
      <w:r>
        <w:rPr>
          <w:rFonts w:hint="eastAsia"/>
        </w:rPr>
        <w:t>（一）具有法律、行政法规规定的机构资质条件；</w:t>
      </w:r>
    </w:p>
    <w:p w14:paraId="0F953DAE" w14:textId="77777777" w:rsidR="00FA0363" w:rsidRDefault="00FA0363" w:rsidP="00FA0363">
      <w:pPr>
        <w:pStyle w:val="13"/>
      </w:pPr>
      <w:r>
        <w:rPr>
          <w:rFonts w:hint="eastAsia"/>
        </w:rPr>
        <w:t>（二）机构设立已满三年，且近三年内无违法从业记录；</w:t>
      </w:r>
    </w:p>
    <w:p w14:paraId="6B6C02CB" w14:textId="77777777" w:rsidR="00FA0363" w:rsidRDefault="00FA0363" w:rsidP="00FA0363">
      <w:pPr>
        <w:pStyle w:val="13"/>
      </w:pPr>
      <w:r>
        <w:rPr>
          <w:rFonts w:hint="eastAsia"/>
        </w:rPr>
        <w:t>（三）国家和省规定的其他条件。</w:t>
      </w:r>
    </w:p>
    <w:p w14:paraId="29B403A2" w14:textId="77777777" w:rsidR="00FA0363" w:rsidRDefault="00FA0363" w:rsidP="00FA0363">
      <w:pPr>
        <w:pStyle w:val="13"/>
      </w:pPr>
      <w:r>
        <w:rPr>
          <w:rFonts w:hint="eastAsia"/>
        </w:rPr>
        <w:t>国有独资企业、国有独资公司和国有资本控股公司的同一经济行为的财务审计和资产评估业务，不得交由同一家中介机构承接。</w:t>
      </w:r>
    </w:p>
    <w:p w14:paraId="79FC2841" w14:textId="148EA562" w:rsidR="00FA0363" w:rsidRDefault="003B2FB1" w:rsidP="00FA0363">
      <w:pPr>
        <w:pStyle w:val="13"/>
        <w:ind w:firstLine="482"/>
      </w:pPr>
      <w:r w:rsidRPr="003B2FB1">
        <w:rPr>
          <w:rFonts w:hint="eastAsia"/>
          <w:b/>
          <w:bCs/>
        </w:rPr>
        <w:t xml:space="preserve">第四十一条 </w:t>
      </w:r>
      <w:r w:rsidR="00FA0363">
        <w:t>国家出资企业之间、国家出资企业与其他企业之间发生产权、合同等纠纷的，可以向本级人民政府或者国有资产监督管理机构申请调解。</w:t>
      </w:r>
    </w:p>
    <w:p w14:paraId="59A12D9D" w14:textId="46CD2B77" w:rsidR="00FA0363" w:rsidRDefault="00FA0363" w:rsidP="00AF7342">
      <w:pPr>
        <w:pStyle w:val="a9"/>
        <w:spacing w:before="62" w:after="62"/>
      </w:pPr>
      <w:r>
        <w:rPr>
          <w:rFonts w:hint="eastAsia"/>
        </w:rPr>
        <w:t>第六章</w:t>
      </w:r>
      <w:r w:rsidR="00CC466D">
        <w:rPr>
          <w:rFonts w:hint="eastAsia"/>
        </w:rPr>
        <w:t xml:space="preserve"> </w:t>
      </w:r>
      <w:r>
        <w:t>国有资产监督</w:t>
      </w:r>
    </w:p>
    <w:p w14:paraId="175FBE5F" w14:textId="6302AE35" w:rsidR="00FA0363" w:rsidRDefault="003B2FB1" w:rsidP="00FA0363">
      <w:pPr>
        <w:pStyle w:val="13"/>
        <w:ind w:firstLine="482"/>
      </w:pPr>
      <w:r w:rsidRPr="003B2FB1">
        <w:rPr>
          <w:rFonts w:hint="eastAsia"/>
          <w:b/>
          <w:bCs/>
        </w:rPr>
        <w:t xml:space="preserve">第四十二条 </w:t>
      </w:r>
      <w:r w:rsidR="00FA0363">
        <w:t>县级以上人民政府应当将履行出资人职责情况和国有资产监督管理情况向本级人民代表大会常务委员会报告，接受监督和质询。</w:t>
      </w:r>
    </w:p>
    <w:p w14:paraId="4F171049" w14:textId="24F09E67" w:rsidR="00FA0363" w:rsidRDefault="003B2FB1" w:rsidP="00FA0363">
      <w:pPr>
        <w:pStyle w:val="13"/>
        <w:ind w:firstLine="482"/>
      </w:pPr>
      <w:r w:rsidRPr="003B2FB1">
        <w:rPr>
          <w:rFonts w:hint="eastAsia"/>
          <w:b/>
          <w:bCs/>
        </w:rPr>
        <w:t xml:space="preserve">第四十三条 </w:t>
      </w:r>
      <w:r w:rsidR="00FA0363">
        <w:t>县级以上人民政府应当对国有资产监督管理机构和其他有关部门、机构履行出资人职责情况和国有资产监督管理情况进行监督、评价和考核。</w:t>
      </w:r>
    </w:p>
    <w:p w14:paraId="42D8AF30" w14:textId="77777777" w:rsidR="00FA0363" w:rsidRDefault="00FA0363" w:rsidP="00FA0363">
      <w:pPr>
        <w:pStyle w:val="13"/>
      </w:pPr>
      <w:r>
        <w:rPr>
          <w:rFonts w:hint="eastAsia"/>
        </w:rPr>
        <w:t>县级以上人民政府及其国有资产监督管理机构应当对下级人民政府企业国有资产监督管理工作进行指导和监督。</w:t>
      </w:r>
    </w:p>
    <w:p w14:paraId="0DC5A925" w14:textId="7CC739A5" w:rsidR="00FA0363" w:rsidRDefault="003B2FB1" w:rsidP="00FA0363">
      <w:pPr>
        <w:pStyle w:val="13"/>
        <w:ind w:firstLine="482"/>
      </w:pPr>
      <w:r w:rsidRPr="003B2FB1">
        <w:rPr>
          <w:rFonts w:hint="eastAsia"/>
          <w:b/>
          <w:bCs/>
        </w:rPr>
        <w:t xml:space="preserve">第四十四条 </w:t>
      </w:r>
      <w:r w:rsidR="00FA0363">
        <w:t>审计机关对国有独资企业、国有独资公司和国有资本控股公司的财务收支进行监督，并对主要负责人进行经济责任审计。</w:t>
      </w:r>
    </w:p>
    <w:p w14:paraId="72F6A8B6" w14:textId="15452405" w:rsidR="00FA0363" w:rsidRDefault="003B2FB1" w:rsidP="00FA0363">
      <w:pPr>
        <w:pStyle w:val="13"/>
        <w:ind w:firstLine="482"/>
      </w:pPr>
      <w:r w:rsidRPr="003B2FB1">
        <w:rPr>
          <w:rFonts w:hint="eastAsia"/>
          <w:b/>
          <w:bCs/>
        </w:rPr>
        <w:t xml:space="preserve">第四十五条 </w:t>
      </w:r>
      <w:r w:rsidR="00FA0363">
        <w:t>县级以上人民政府应当定期公布企业国有资产状况、履行出资人职责的情况和企业国有资产监督管理工作情况，接受社会公众监督。</w:t>
      </w:r>
    </w:p>
    <w:p w14:paraId="7BB337C3" w14:textId="48095DB8" w:rsidR="00FA0363" w:rsidRDefault="00FA0363" w:rsidP="00AF7342">
      <w:pPr>
        <w:pStyle w:val="a9"/>
        <w:spacing w:before="62" w:after="62"/>
      </w:pPr>
      <w:r>
        <w:rPr>
          <w:rFonts w:hint="eastAsia"/>
        </w:rPr>
        <w:t>第七章</w:t>
      </w:r>
      <w:r w:rsidR="00CC466D">
        <w:rPr>
          <w:rFonts w:hint="eastAsia"/>
        </w:rPr>
        <w:t xml:space="preserve"> </w:t>
      </w:r>
      <w:r>
        <w:t>法律责任</w:t>
      </w:r>
    </w:p>
    <w:p w14:paraId="256F388A" w14:textId="44E35DCE" w:rsidR="00FA0363" w:rsidRDefault="003B2FB1" w:rsidP="00FA0363">
      <w:pPr>
        <w:pStyle w:val="13"/>
        <w:ind w:firstLine="482"/>
      </w:pPr>
      <w:r w:rsidRPr="003B2FB1">
        <w:rPr>
          <w:rFonts w:hint="eastAsia"/>
          <w:b/>
          <w:bCs/>
        </w:rPr>
        <w:t xml:space="preserve">第四十六条 </w:t>
      </w:r>
      <w:r w:rsidR="00FA0363">
        <w:t>违反本办法规定的行为，《中华人民共和国企业国有资产法》、《中</w:t>
      </w:r>
      <w:r w:rsidR="00FA0363">
        <w:lastRenderedPageBreak/>
        <w:t>华人民共和国公司法》、《企业国有资产监督管理暂行条例》等法律、法规已有法律责任规定的，从其规定。</w:t>
      </w:r>
    </w:p>
    <w:p w14:paraId="36D8D3FC" w14:textId="04C3FECF" w:rsidR="00FA0363" w:rsidRDefault="003B2FB1" w:rsidP="00FA0363">
      <w:pPr>
        <w:pStyle w:val="13"/>
        <w:ind w:firstLine="482"/>
      </w:pPr>
      <w:r w:rsidRPr="003B2FB1">
        <w:rPr>
          <w:rFonts w:hint="eastAsia"/>
          <w:b/>
          <w:bCs/>
        </w:rPr>
        <w:t xml:space="preserve">第四十七条 </w:t>
      </w:r>
      <w:r w:rsidR="00FA0363">
        <w:t>履行出资人职责的机构、国有资产监督管理机构和其他有关监督管理</w:t>
      </w:r>
      <w:r w:rsidR="00FA0363">
        <w:rPr>
          <w:rFonts w:hint="eastAsia"/>
        </w:rPr>
        <w:t>部门、机构及其工作人员有下列行为之一的，由有权机关对直接负责的主管人员和其他直接责任人员依法给予处分：</w:t>
      </w:r>
    </w:p>
    <w:p w14:paraId="374939D2" w14:textId="77777777" w:rsidR="00FA0363" w:rsidRDefault="00FA0363" w:rsidP="00FA0363">
      <w:pPr>
        <w:pStyle w:val="13"/>
      </w:pPr>
      <w:r>
        <w:rPr>
          <w:rFonts w:hint="eastAsia"/>
        </w:rPr>
        <w:t>（一）违法干预国家出资企业经营活动的；</w:t>
      </w:r>
    </w:p>
    <w:p w14:paraId="0F3C0DE0" w14:textId="77777777" w:rsidR="00FA0363" w:rsidRDefault="00FA0363" w:rsidP="00FA0363">
      <w:pPr>
        <w:pStyle w:val="13"/>
      </w:pPr>
      <w:r>
        <w:rPr>
          <w:rFonts w:hint="eastAsia"/>
        </w:rPr>
        <w:t>（二）违法向国家出资企业摊派费用或者索要财物的；</w:t>
      </w:r>
    </w:p>
    <w:p w14:paraId="0DED0306" w14:textId="77777777" w:rsidR="00FA0363" w:rsidRDefault="00FA0363" w:rsidP="00FA0363">
      <w:pPr>
        <w:pStyle w:val="13"/>
      </w:pPr>
      <w:r>
        <w:rPr>
          <w:rFonts w:hint="eastAsia"/>
        </w:rPr>
        <w:t>（三）违法披露国家出资企业的未公开信息的；</w:t>
      </w:r>
    </w:p>
    <w:p w14:paraId="5899BCF1" w14:textId="77777777" w:rsidR="00FA0363" w:rsidRDefault="00FA0363" w:rsidP="00FA0363">
      <w:pPr>
        <w:pStyle w:val="13"/>
      </w:pPr>
      <w:r>
        <w:rPr>
          <w:rFonts w:hint="eastAsia"/>
        </w:rPr>
        <w:t>（四）利用股东地位滥用权利，损害国有控股上市公司和中小股东合法权益的；</w:t>
      </w:r>
    </w:p>
    <w:p w14:paraId="1CF2597F" w14:textId="77777777" w:rsidR="00FA0363" w:rsidRDefault="00FA0363" w:rsidP="00FA0363">
      <w:pPr>
        <w:pStyle w:val="13"/>
      </w:pPr>
      <w:r>
        <w:rPr>
          <w:rFonts w:hint="eastAsia"/>
        </w:rPr>
        <w:t>（五）有其他玩忽职守、滥用职权、徇私舞弊行为的。</w:t>
      </w:r>
    </w:p>
    <w:p w14:paraId="18601EDA" w14:textId="77777777" w:rsidR="00FA0363" w:rsidRDefault="00FA0363" w:rsidP="00FA0363">
      <w:pPr>
        <w:pStyle w:val="13"/>
        <w:ind w:firstLine="482"/>
      </w:pPr>
      <w:r w:rsidRPr="003739D0">
        <w:rPr>
          <w:rFonts w:hint="eastAsia"/>
          <w:b/>
          <w:bCs/>
        </w:rPr>
        <w:t>第四十八条</w:t>
      </w:r>
      <w:r>
        <w:rPr>
          <w:rFonts w:hint="eastAsia"/>
          <w:b/>
          <w:bCs/>
        </w:rPr>
        <w:t xml:space="preserve"> </w:t>
      </w:r>
      <w:r>
        <w:t>国家出资企业管理者滥用职权、玩忽职守，造成企业国有资产损失的，依法承担赔偿责任；属于国家工作人员的，由有权机关依法给予处分。</w:t>
      </w:r>
    </w:p>
    <w:p w14:paraId="3A8C5023" w14:textId="2A5D432C" w:rsidR="00FA0363" w:rsidRDefault="00FA0363" w:rsidP="00AF7342">
      <w:pPr>
        <w:pStyle w:val="a9"/>
        <w:spacing w:before="62" w:after="62"/>
      </w:pPr>
      <w:r>
        <w:rPr>
          <w:rFonts w:hint="eastAsia"/>
        </w:rPr>
        <w:t>第八章</w:t>
      </w:r>
      <w:r w:rsidR="00CC466D">
        <w:rPr>
          <w:rFonts w:hint="eastAsia"/>
        </w:rPr>
        <w:t xml:space="preserve"> </w:t>
      </w:r>
      <w:r>
        <w:rPr>
          <w:rFonts w:hint="eastAsia"/>
        </w:rPr>
        <w:t>附则</w:t>
      </w:r>
    </w:p>
    <w:p w14:paraId="33EB185F" w14:textId="77777777" w:rsidR="00FA0363" w:rsidRDefault="00FA0363" w:rsidP="00FA0363">
      <w:pPr>
        <w:pStyle w:val="13"/>
        <w:ind w:firstLine="482"/>
      </w:pPr>
      <w:r w:rsidRPr="003739D0">
        <w:rPr>
          <w:rFonts w:hint="eastAsia"/>
          <w:b/>
          <w:bCs/>
        </w:rPr>
        <w:t>第四十九条</w:t>
      </w:r>
      <w:r>
        <w:rPr>
          <w:rFonts w:hint="eastAsia"/>
          <w:b/>
          <w:bCs/>
        </w:rPr>
        <w:t xml:space="preserve"> </w:t>
      </w:r>
      <w:r>
        <w:t>国家出资企业及其独资、控股和参股企业以外的其他经营性国有资产的监督管理，由县级以上人民政府确定的部门或者机构参照本办法规定执行。</w:t>
      </w:r>
    </w:p>
    <w:p w14:paraId="5D12BD31" w14:textId="77777777" w:rsidR="00FA0363" w:rsidRDefault="00FA0363" w:rsidP="00FA0363">
      <w:pPr>
        <w:pStyle w:val="13"/>
      </w:pPr>
      <w:r>
        <w:rPr>
          <w:rFonts w:hint="eastAsia"/>
        </w:rPr>
        <w:t>乡镇人民政府（含街道办事处）对企业各种形式的出资所形成的国有资产的监督管理，由乡镇人民政府参照本办法规定执行。</w:t>
      </w:r>
    </w:p>
    <w:p w14:paraId="32F0E1FC" w14:textId="77777777" w:rsidR="00FA0363" w:rsidRDefault="00FA0363" w:rsidP="00FA0363">
      <w:pPr>
        <w:pStyle w:val="13"/>
      </w:pPr>
      <w:r>
        <w:rPr>
          <w:rFonts w:hint="eastAsia"/>
        </w:rPr>
        <w:t>法律、行政法规对文化、金融企业国有资产的监督管理另有规定的，从其规定。国家对上市公司国有资产监督管理另有规定的，从其规定。</w:t>
      </w:r>
    </w:p>
    <w:p w14:paraId="5E1A4A93" w14:textId="6ECF6A66" w:rsidR="00FA0363" w:rsidRDefault="00FA0363" w:rsidP="00FA0363">
      <w:pPr>
        <w:pStyle w:val="13"/>
        <w:ind w:firstLine="482"/>
      </w:pPr>
      <w:r w:rsidRPr="003739D0">
        <w:rPr>
          <w:rFonts w:hint="eastAsia"/>
          <w:b/>
          <w:bCs/>
        </w:rPr>
        <w:t>第五十条</w:t>
      </w:r>
      <w:r>
        <w:rPr>
          <w:rFonts w:hint="eastAsia"/>
          <w:b/>
          <w:bCs/>
        </w:rPr>
        <w:t xml:space="preserve"> </w:t>
      </w:r>
      <w:r>
        <w:t>本办法自2013年3月1日起施行。</w:t>
      </w:r>
    </w:p>
    <w:p w14:paraId="35707EEE" w14:textId="77777777" w:rsidR="009A21AF" w:rsidRDefault="009A21AF" w:rsidP="009A21AF">
      <w:pPr>
        <w:pStyle w:val="31"/>
        <w:spacing w:before="156" w:after="62"/>
      </w:pPr>
      <w:bookmarkStart w:id="261" w:name="_Toc81833494"/>
      <w:r>
        <w:rPr>
          <w:rFonts w:hint="eastAsia"/>
        </w:rPr>
        <w:t>《浙江省省属国有企业投资监督管理暂行办法》</w:t>
      </w:r>
      <w:r>
        <w:br w:type="textWrapping" w:clear="all"/>
      </w:r>
      <w:r>
        <w:rPr>
          <w:rFonts w:hint="eastAsia"/>
        </w:rPr>
        <w:t>（</w:t>
      </w:r>
      <w:proofErr w:type="gramStart"/>
      <w:r>
        <w:rPr>
          <w:rFonts w:hint="eastAsia"/>
        </w:rPr>
        <w:t>浙国资发</w:t>
      </w:r>
      <w:proofErr w:type="gramEnd"/>
      <w:r>
        <w:rPr>
          <w:rFonts w:hint="eastAsia"/>
        </w:rPr>
        <w:t>〔</w:t>
      </w:r>
      <w:r>
        <w:t>2010〕6号）</w:t>
      </w:r>
      <w:bookmarkEnd w:id="261"/>
    </w:p>
    <w:p w14:paraId="37C24DF9" w14:textId="77777777" w:rsidR="009A21AF" w:rsidRDefault="009A21AF" w:rsidP="009A21AF">
      <w:pPr>
        <w:pStyle w:val="13"/>
      </w:pPr>
      <w:r>
        <w:rPr>
          <w:rFonts w:hint="eastAsia"/>
        </w:rPr>
        <w:t>《浙江省省属国有企业投资监督管理暂行办法》已经委主任办公会议讨论通过，</w:t>
      </w:r>
      <w:r>
        <w:t>现印发给你们，请认真贯彻执行。</w:t>
      </w:r>
    </w:p>
    <w:p w14:paraId="3436174F" w14:textId="77777777" w:rsidR="009A21AF" w:rsidRDefault="009A21AF" w:rsidP="009A21AF">
      <w:pPr>
        <w:pStyle w:val="13"/>
      </w:pPr>
      <w:r>
        <w:rPr>
          <w:rFonts w:hint="eastAsia"/>
        </w:rPr>
        <w:t>附件：浙江省省属国有企业投资监督管理暂行办法</w:t>
      </w:r>
    </w:p>
    <w:p w14:paraId="1A2900FA" w14:textId="68DEBDBD" w:rsidR="009A21AF" w:rsidRDefault="009A21AF" w:rsidP="009A21AF">
      <w:pPr>
        <w:pStyle w:val="13"/>
        <w:jc w:val="right"/>
      </w:pPr>
      <w:r>
        <w:rPr>
          <w:rFonts w:hint="eastAsia"/>
        </w:rPr>
        <w:t>二〇一〇年七月二十日</w:t>
      </w:r>
    </w:p>
    <w:p w14:paraId="3217310A" w14:textId="77777777" w:rsidR="009A21AF" w:rsidRDefault="009A21AF" w:rsidP="009A21AF">
      <w:pPr>
        <w:pStyle w:val="a9"/>
        <w:spacing w:before="62" w:after="62"/>
      </w:pPr>
      <w:r>
        <w:rPr>
          <w:rFonts w:hint="eastAsia"/>
        </w:rPr>
        <w:t>浙江省省属国有企业投资监督管理暂行办法</w:t>
      </w:r>
    </w:p>
    <w:p w14:paraId="3EC12BA4" w14:textId="77777777" w:rsidR="009A21AF" w:rsidRDefault="009A21AF" w:rsidP="009A21AF">
      <w:pPr>
        <w:pStyle w:val="a9"/>
        <w:spacing w:before="62" w:after="62"/>
      </w:pPr>
      <w:r>
        <w:rPr>
          <w:rFonts w:hint="eastAsia"/>
        </w:rPr>
        <w:t xml:space="preserve">第一章 </w:t>
      </w:r>
      <w:r>
        <w:t>总则</w:t>
      </w:r>
    </w:p>
    <w:p w14:paraId="13B418B5" w14:textId="77777777" w:rsidR="009A21AF" w:rsidRDefault="009A21AF" w:rsidP="009A21AF">
      <w:pPr>
        <w:pStyle w:val="13"/>
        <w:ind w:firstLine="482"/>
      </w:pPr>
      <w:r w:rsidRPr="004E3EBB">
        <w:rPr>
          <w:rFonts w:hint="eastAsia"/>
          <w:b/>
          <w:bCs/>
        </w:rPr>
        <w:t xml:space="preserve">第一条 </w:t>
      </w:r>
      <w:r>
        <w:t>为依法履行出资人职责，加强省属国有企业投资管理，根据《中华人民共和国公司法》、《中华人民共和国企业国有资产法》、国务院《企业国有资产监督管理暂行条例》等有关法律、法规，制定本办法。</w:t>
      </w:r>
    </w:p>
    <w:p w14:paraId="7F24A154" w14:textId="77777777" w:rsidR="009A21AF" w:rsidRDefault="009A21AF" w:rsidP="009A21AF">
      <w:pPr>
        <w:pStyle w:val="13"/>
        <w:ind w:firstLine="482"/>
      </w:pPr>
      <w:r w:rsidRPr="004E3EBB">
        <w:rPr>
          <w:rFonts w:hint="eastAsia"/>
          <w:b/>
          <w:bCs/>
        </w:rPr>
        <w:t xml:space="preserve">第二条 </w:t>
      </w:r>
      <w:r>
        <w:t>本办法所称的投资，是指企业境内外股权投资（含新设子公司、收购兼并、合资合作、对已投资项目追加投入等）以及企业固定资产投资（含购置土地房屋、</w:t>
      </w:r>
      <w:r>
        <w:lastRenderedPageBreak/>
        <w:t>基本建设、技术改造等）、金融投资（含证券投资、外汇投资、委托理财、金融衍生业务等）等。</w:t>
      </w:r>
    </w:p>
    <w:p w14:paraId="3B4E21F4" w14:textId="77777777" w:rsidR="009A21AF" w:rsidRDefault="009A21AF" w:rsidP="009A21AF">
      <w:pPr>
        <w:pStyle w:val="13"/>
        <w:ind w:firstLine="482"/>
      </w:pPr>
      <w:r w:rsidRPr="004E3EBB">
        <w:rPr>
          <w:rFonts w:hint="eastAsia"/>
          <w:b/>
          <w:bCs/>
        </w:rPr>
        <w:t xml:space="preserve">第三条 </w:t>
      </w:r>
      <w:r>
        <w:t>本办法所称省属国有企业，是指浙江省人民政府国有资产监督管理委员会</w:t>
      </w:r>
      <w:r>
        <w:rPr>
          <w:rFonts w:hint="eastAsia"/>
        </w:rPr>
        <w:t>（以下简称省国资委）履行出资人职责的国有独资企业、国有独资公司、国有资本控股公司（以下简称省属企业本级）及其各级全资、控股或其他拥有实际控制权的企业（以下简称省属企业所属企业）。</w:t>
      </w:r>
    </w:p>
    <w:p w14:paraId="3F797305" w14:textId="77777777" w:rsidR="009A21AF" w:rsidRDefault="009A21AF" w:rsidP="009A21AF">
      <w:pPr>
        <w:pStyle w:val="13"/>
        <w:ind w:firstLine="482"/>
      </w:pPr>
      <w:r w:rsidRPr="004E3EBB">
        <w:rPr>
          <w:rFonts w:hint="eastAsia"/>
          <w:b/>
          <w:bCs/>
        </w:rPr>
        <w:t xml:space="preserve">第四条 </w:t>
      </w:r>
      <w:r>
        <w:t>省属国有企业投资活动应当遵循以下原则：</w:t>
      </w:r>
    </w:p>
    <w:p w14:paraId="313E5771" w14:textId="77777777" w:rsidR="009A21AF" w:rsidRDefault="009A21AF" w:rsidP="009A21AF">
      <w:pPr>
        <w:pStyle w:val="13"/>
      </w:pPr>
      <w:r>
        <w:rPr>
          <w:rFonts w:hint="eastAsia"/>
        </w:rPr>
        <w:t>（一）投资活动应符合国家和全省经济发展规划、产业、土地、环保等有关政策法规；</w:t>
      </w:r>
    </w:p>
    <w:p w14:paraId="3FAD4E9C" w14:textId="77777777" w:rsidR="009A21AF" w:rsidRDefault="009A21AF" w:rsidP="009A21AF">
      <w:pPr>
        <w:pStyle w:val="13"/>
      </w:pPr>
      <w:r>
        <w:rPr>
          <w:rFonts w:hint="eastAsia"/>
        </w:rPr>
        <w:t>（二）投资活动应符合省国有资本布局结构调整方向、企业发展规划和主业发展需要；</w:t>
      </w:r>
    </w:p>
    <w:p w14:paraId="76AD983A" w14:textId="77777777" w:rsidR="009A21AF" w:rsidRDefault="009A21AF" w:rsidP="009A21AF">
      <w:pPr>
        <w:pStyle w:val="13"/>
      </w:pPr>
      <w:r>
        <w:rPr>
          <w:rFonts w:hint="eastAsia"/>
        </w:rPr>
        <w:t>（三）投资活动应符合省属国有企业投资决策程序和管理制度；</w:t>
      </w:r>
    </w:p>
    <w:p w14:paraId="7CB5D5F0" w14:textId="77777777" w:rsidR="009A21AF" w:rsidRDefault="009A21AF" w:rsidP="009A21AF">
      <w:pPr>
        <w:pStyle w:val="13"/>
      </w:pPr>
      <w:r>
        <w:rPr>
          <w:rFonts w:hint="eastAsia"/>
        </w:rPr>
        <w:t>（四）投资规模应与企业资产经营规模、资产负债水平和实际筹资能力相适应；</w:t>
      </w:r>
    </w:p>
    <w:p w14:paraId="66DD558A" w14:textId="77777777" w:rsidR="009A21AF" w:rsidRDefault="009A21AF" w:rsidP="009A21AF">
      <w:pPr>
        <w:pStyle w:val="13"/>
      </w:pPr>
      <w:r>
        <w:rPr>
          <w:rFonts w:hint="eastAsia"/>
        </w:rPr>
        <w:t>（五）由新投资形成的全资、控股（</w:t>
      </w:r>
      <w:proofErr w:type="gramStart"/>
      <w:r>
        <w:rPr>
          <w:rFonts w:hint="eastAsia"/>
        </w:rPr>
        <w:t>含拥有</w:t>
      </w:r>
      <w:proofErr w:type="gramEnd"/>
      <w:r>
        <w:rPr>
          <w:rFonts w:hint="eastAsia"/>
        </w:rPr>
        <w:t>实际控制权）的企业层级，连同省属企业本级，原则上总数不超过三级；</w:t>
      </w:r>
    </w:p>
    <w:p w14:paraId="54278AFD" w14:textId="77777777" w:rsidR="009A21AF" w:rsidRDefault="009A21AF" w:rsidP="009A21AF">
      <w:pPr>
        <w:pStyle w:val="13"/>
      </w:pPr>
      <w:r>
        <w:rPr>
          <w:rFonts w:hint="eastAsia"/>
        </w:rPr>
        <w:t>（六）凡列入省重点建设的项目，按照《浙江省重点建设项目管理办法》（浙江省政府令第</w:t>
      </w:r>
      <w:r>
        <w:t>136号）有关规定执行。</w:t>
      </w:r>
    </w:p>
    <w:p w14:paraId="0C0BEF6B" w14:textId="77777777" w:rsidR="009A21AF" w:rsidRDefault="009A21AF" w:rsidP="009A21AF">
      <w:pPr>
        <w:pStyle w:val="13"/>
        <w:ind w:firstLine="482"/>
      </w:pPr>
      <w:r w:rsidRPr="003739D0">
        <w:rPr>
          <w:rFonts w:hint="eastAsia"/>
          <w:b/>
          <w:bCs/>
        </w:rPr>
        <w:t>第五条</w:t>
      </w:r>
      <w:r>
        <w:t>省国资委依法对省属国有企业的投资活动履行出资人职责，进行监督管理，其主要职责是：</w:t>
      </w:r>
    </w:p>
    <w:p w14:paraId="40EC97BD" w14:textId="77777777" w:rsidR="009A21AF" w:rsidRDefault="009A21AF" w:rsidP="009A21AF">
      <w:pPr>
        <w:pStyle w:val="13"/>
      </w:pPr>
      <w:r>
        <w:rPr>
          <w:rFonts w:hint="eastAsia"/>
        </w:rPr>
        <w:t>（一）组织研究国有资本投资导向，指导企业建立健全投资决策程序和管理制度，审核批准企业投资管理制度；</w:t>
      </w:r>
    </w:p>
    <w:p w14:paraId="4F860C85" w14:textId="77777777" w:rsidR="009A21AF" w:rsidRDefault="009A21AF" w:rsidP="009A21AF">
      <w:pPr>
        <w:pStyle w:val="13"/>
      </w:pPr>
      <w:r>
        <w:rPr>
          <w:rFonts w:hint="eastAsia"/>
        </w:rPr>
        <w:t>（二）督促企业制定、组织实施年度投资计划，建立省属国有企业投资报告、备案、核准制度；</w:t>
      </w:r>
    </w:p>
    <w:p w14:paraId="649B2281" w14:textId="77777777" w:rsidR="009A21AF" w:rsidRDefault="009A21AF" w:rsidP="009A21AF">
      <w:pPr>
        <w:pStyle w:val="13"/>
      </w:pPr>
      <w:r>
        <w:rPr>
          <w:rFonts w:hint="eastAsia"/>
        </w:rPr>
        <w:t>（三）组织开展投资效益分析评价活动，对重大投资项目组织实施稽查、审计、后评估等动态监督管理，对企业重大投资损失进行稽查，提出有关处理意见；</w:t>
      </w:r>
    </w:p>
    <w:p w14:paraId="2E87A70D" w14:textId="77777777" w:rsidR="009A21AF" w:rsidRDefault="009A21AF" w:rsidP="009A21AF">
      <w:pPr>
        <w:pStyle w:val="13"/>
      </w:pPr>
      <w:r>
        <w:rPr>
          <w:rFonts w:hint="eastAsia"/>
        </w:rPr>
        <w:t>（四）法律、法规规定的其他出资人职责。</w:t>
      </w:r>
    </w:p>
    <w:p w14:paraId="25205EB0" w14:textId="77777777" w:rsidR="009A21AF" w:rsidRDefault="009A21AF" w:rsidP="009A21AF">
      <w:pPr>
        <w:pStyle w:val="13"/>
        <w:ind w:firstLine="482"/>
      </w:pPr>
      <w:r w:rsidRPr="004E3EBB">
        <w:rPr>
          <w:rFonts w:hint="eastAsia"/>
          <w:b/>
          <w:bCs/>
        </w:rPr>
        <w:t xml:space="preserve">第六条 </w:t>
      </w:r>
      <w:r>
        <w:t>省属企业本级是省属国有企业投资的管理主体，其主要职责是：</w:t>
      </w:r>
    </w:p>
    <w:p w14:paraId="65DD4BEB" w14:textId="77777777" w:rsidR="009A21AF" w:rsidRDefault="009A21AF" w:rsidP="009A21AF">
      <w:pPr>
        <w:pStyle w:val="13"/>
      </w:pPr>
      <w:r>
        <w:rPr>
          <w:rFonts w:hint="eastAsia"/>
        </w:rPr>
        <w:t>（一）按照国家有关法律、法规开展投资活动；</w:t>
      </w:r>
    </w:p>
    <w:p w14:paraId="75B6693C" w14:textId="77777777" w:rsidR="009A21AF" w:rsidRDefault="009A21AF" w:rsidP="009A21AF">
      <w:pPr>
        <w:pStyle w:val="13"/>
      </w:pPr>
      <w:r>
        <w:rPr>
          <w:rFonts w:hint="eastAsia"/>
        </w:rPr>
        <w:t>（二）制订投资管理制度，报经省国资委批准后组织实施；</w:t>
      </w:r>
    </w:p>
    <w:p w14:paraId="71F00E17" w14:textId="77777777" w:rsidR="009A21AF" w:rsidRDefault="009A21AF" w:rsidP="009A21AF">
      <w:pPr>
        <w:pStyle w:val="13"/>
      </w:pPr>
      <w:r>
        <w:rPr>
          <w:rFonts w:hint="eastAsia"/>
        </w:rPr>
        <w:t>（三）负责投资项目的可行性研究、投资决策、风险控制、投资评价等；</w:t>
      </w:r>
    </w:p>
    <w:p w14:paraId="21598CC2" w14:textId="77777777" w:rsidR="009A21AF" w:rsidRDefault="009A21AF" w:rsidP="009A21AF">
      <w:pPr>
        <w:pStyle w:val="13"/>
      </w:pPr>
      <w:r>
        <w:rPr>
          <w:rFonts w:hint="eastAsia"/>
        </w:rPr>
        <w:t>（四）向省国资委报送投资备案和需核准项目的报告；</w:t>
      </w:r>
    </w:p>
    <w:p w14:paraId="0379A075" w14:textId="77777777" w:rsidR="009A21AF" w:rsidRDefault="009A21AF" w:rsidP="009A21AF">
      <w:pPr>
        <w:pStyle w:val="13"/>
      </w:pPr>
      <w:r>
        <w:rPr>
          <w:rFonts w:hint="eastAsia"/>
        </w:rPr>
        <w:t>（五）向省国资委报送年度投资计划和年度投资统计分析报告。</w:t>
      </w:r>
    </w:p>
    <w:p w14:paraId="6C0D61E6" w14:textId="77777777" w:rsidR="009A21AF" w:rsidRDefault="009A21AF" w:rsidP="009A21AF">
      <w:pPr>
        <w:pStyle w:val="a9"/>
        <w:spacing w:before="62" w:after="62"/>
      </w:pPr>
      <w:r>
        <w:rPr>
          <w:rFonts w:hint="eastAsia"/>
        </w:rPr>
        <w:t xml:space="preserve">第二章 </w:t>
      </w:r>
      <w:r>
        <w:t>投资管理制度</w:t>
      </w:r>
    </w:p>
    <w:p w14:paraId="587193A3" w14:textId="77777777" w:rsidR="009A21AF" w:rsidRDefault="009A21AF" w:rsidP="009A21AF">
      <w:pPr>
        <w:pStyle w:val="13"/>
        <w:ind w:firstLine="482"/>
      </w:pPr>
      <w:r w:rsidRPr="004E3EBB">
        <w:rPr>
          <w:rFonts w:hint="eastAsia"/>
          <w:b/>
          <w:bCs/>
        </w:rPr>
        <w:t xml:space="preserve">第七条 </w:t>
      </w:r>
      <w:r>
        <w:t>省属国有企业必须建立和完善投资管理制度，投资管理制度应包括但不</w:t>
      </w:r>
      <w:r>
        <w:lastRenderedPageBreak/>
        <w:t>限于下列内容：</w:t>
      </w:r>
    </w:p>
    <w:p w14:paraId="1839C163" w14:textId="77777777" w:rsidR="009A21AF" w:rsidRDefault="009A21AF" w:rsidP="009A21AF">
      <w:pPr>
        <w:pStyle w:val="13"/>
      </w:pPr>
      <w:r>
        <w:rPr>
          <w:rFonts w:hint="eastAsia"/>
        </w:rPr>
        <w:t>（一）明确董事会投资决策管理规则、权限和决策程序；</w:t>
      </w:r>
    </w:p>
    <w:p w14:paraId="7ABCBF63" w14:textId="77777777" w:rsidR="009A21AF" w:rsidRDefault="009A21AF" w:rsidP="009A21AF">
      <w:pPr>
        <w:pStyle w:val="13"/>
      </w:pPr>
      <w:r>
        <w:rPr>
          <w:rFonts w:hint="eastAsia"/>
        </w:rPr>
        <w:t>（二）明确投资管理日常工作机构的管理职责；</w:t>
      </w:r>
    </w:p>
    <w:p w14:paraId="360743A8" w14:textId="77777777" w:rsidR="009A21AF" w:rsidRDefault="009A21AF" w:rsidP="009A21AF">
      <w:pPr>
        <w:pStyle w:val="13"/>
      </w:pPr>
      <w:r>
        <w:rPr>
          <w:rFonts w:hint="eastAsia"/>
        </w:rPr>
        <w:t>（三）投资活动所遵循的基本原则和相应的资产负债率、各类投资收益率等内部控制管理指标；</w:t>
      </w:r>
    </w:p>
    <w:p w14:paraId="4FBB6643" w14:textId="77777777" w:rsidR="009A21AF" w:rsidRDefault="009A21AF" w:rsidP="009A21AF">
      <w:pPr>
        <w:pStyle w:val="13"/>
      </w:pPr>
      <w:r>
        <w:rPr>
          <w:rFonts w:hint="eastAsia"/>
        </w:rPr>
        <w:t>（四）严格控制非主业投资的原则、措施和控制指标；</w:t>
      </w:r>
    </w:p>
    <w:p w14:paraId="634EF732" w14:textId="77777777" w:rsidR="009A21AF" w:rsidRDefault="009A21AF" w:rsidP="009A21AF">
      <w:pPr>
        <w:pStyle w:val="13"/>
      </w:pPr>
      <w:r>
        <w:rPr>
          <w:rFonts w:hint="eastAsia"/>
        </w:rPr>
        <w:t>（五）项目可行性研究和论证工作的管理；</w:t>
      </w:r>
    </w:p>
    <w:p w14:paraId="676E37B7" w14:textId="77777777" w:rsidR="009A21AF" w:rsidRDefault="009A21AF" w:rsidP="009A21AF">
      <w:pPr>
        <w:pStyle w:val="13"/>
      </w:pPr>
      <w:r>
        <w:rPr>
          <w:rFonts w:hint="eastAsia"/>
        </w:rPr>
        <w:t>（六）固定资产投资项目组织实施中的招投标管理、工程建设监督管理体系与实施过程的管理；</w:t>
      </w:r>
    </w:p>
    <w:p w14:paraId="0A5C5FAB" w14:textId="77777777" w:rsidR="009A21AF" w:rsidRDefault="009A21AF" w:rsidP="009A21AF">
      <w:pPr>
        <w:pStyle w:val="13"/>
      </w:pPr>
      <w:r>
        <w:rPr>
          <w:rFonts w:hint="eastAsia"/>
        </w:rPr>
        <w:t>（七）对外股权投资和金融投资项目的实施与管理；</w:t>
      </w:r>
    </w:p>
    <w:p w14:paraId="14CEE416" w14:textId="77777777" w:rsidR="009A21AF" w:rsidRDefault="009A21AF" w:rsidP="009A21AF">
      <w:pPr>
        <w:pStyle w:val="13"/>
      </w:pPr>
      <w:r>
        <w:rPr>
          <w:rFonts w:hint="eastAsia"/>
        </w:rPr>
        <w:t>（八）重大投资项目审计和后评价工作体系建设与实施的管理；</w:t>
      </w:r>
    </w:p>
    <w:p w14:paraId="6010E5F9" w14:textId="77777777" w:rsidR="009A21AF" w:rsidRDefault="009A21AF" w:rsidP="009A21AF">
      <w:pPr>
        <w:pStyle w:val="13"/>
      </w:pPr>
      <w:r>
        <w:rPr>
          <w:rFonts w:hint="eastAsia"/>
        </w:rPr>
        <w:t>（九）投资风险管理，重点是法律、财务方面的风险防范与重大投资活动可能出现问题的处理预案；</w:t>
      </w:r>
    </w:p>
    <w:p w14:paraId="03537453" w14:textId="77777777" w:rsidR="009A21AF" w:rsidRDefault="009A21AF" w:rsidP="009A21AF">
      <w:pPr>
        <w:pStyle w:val="13"/>
      </w:pPr>
      <w:r>
        <w:rPr>
          <w:rFonts w:hint="eastAsia"/>
        </w:rPr>
        <w:t>（十）责任追究制度。</w:t>
      </w:r>
    </w:p>
    <w:p w14:paraId="33A25916" w14:textId="77777777" w:rsidR="009A21AF" w:rsidRDefault="009A21AF" w:rsidP="009A21AF">
      <w:pPr>
        <w:pStyle w:val="13"/>
        <w:ind w:firstLine="482"/>
      </w:pPr>
      <w:r w:rsidRPr="004E3EBB">
        <w:rPr>
          <w:rFonts w:hint="eastAsia"/>
          <w:b/>
          <w:bCs/>
        </w:rPr>
        <w:t xml:space="preserve">第八条 </w:t>
      </w:r>
      <w:r>
        <w:t>省属国有企业投资活动必须履行的决策程序是：</w:t>
      </w:r>
    </w:p>
    <w:p w14:paraId="76407F07" w14:textId="77777777" w:rsidR="009A21AF" w:rsidRDefault="009A21AF" w:rsidP="009A21AF">
      <w:pPr>
        <w:pStyle w:val="13"/>
      </w:pPr>
      <w:r>
        <w:rPr>
          <w:rFonts w:hint="eastAsia"/>
        </w:rPr>
        <w:t>（一）由负责投资管理的机构在科学论证的基础上提出投资初步方案，由省属企业本级总经理负责召集经营班子会议研究并提出投资方案；</w:t>
      </w:r>
    </w:p>
    <w:p w14:paraId="23561ED0" w14:textId="77777777" w:rsidR="009A21AF" w:rsidRDefault="009A21AF" w:rsidP="009A21AF">
      <w:pPr>
        <w:pStyle w:val="13"/>
      </w:pPr>
      <w:r>
        <w:rPr>
          <w:rFonts w:hint="eastAsia"/>
        </w:rPr>
        <w:t>（二）投资方案由省属企业本级董事会讨论决定，其中固定资产投资在一定限额内可授权省属企业所属企业董事会决定；董事会对投资决定做出决议，董事应当明确表态同意或不同意，并在决议上签名；</w:t>
      </w:r>
    </w:p>
    <w:p w14:paraId="39E8E15D" w14:textId="77777777" w:rsidR="009A21AF" w:rsidRDefault="009A21AF" w:rsidP="009A21AF">
      <w:pPr>
        <w:pStyle w:val="13"/>
      </w:pPr>
      <w:r>
        <w:rPr>
          <w:rFonts w:hint="eastAsia"/>
        </w:rPr>
        <w:t>（三）省属国有企业投资方案在执行过程中涉及投资额、资金来源及构成需要调整，投资对象股权结构发生变化，投资合作方违约，因不可控因素造成投资风险剧增或已存在较大潜在损失等重大变化，需要调整或终止投资方案的必须经省属企业本级董事会讨论决定；</w:t>
      </w:r>
    </w:p>
    <w:p w14:paraId="361A716C" w14:textId="77777777" w:rsidR="009A21AF" w:rsidRDefault="009A21AF" w:rsidP="009A21AF">
      <w:pPr>
        <w:pStyle w:val="13"/>
      </w:pPr>
      <w:r>
        <w:rPr>
          <w:rFonts w:hint="eastAsia"/>
        </w:rPr>
        <w:t>（四）产权多元化的省属企业所属企业，由各级产权代表按照公司章程的有关规定，负责贯彻执行省属企业本级董事会的投资决策决定；</w:t>
      </w:r>
    </w:p>
    <w:p w14:paraId="2F7DFE66" w14:textId="77777777" w:rsidR="009A21AF" w:rsidRDefault="009A21AF" w:rsidP="009A21AF">
      <w:pPr>
        <w:pStyle w:val="13"/>
      </w:pPr>
      <w:r>
        <w:rPr>
          <w:rFonts w:hint="eastAsia"/>
        </w:rPr>
        <w:t>（五）省属企业本级董事会应当定期听取、分析、检查全部投资项目执行情况。</w:t>
      </w:r>
    </w:p>
    <w:p w14:paraId="0F955172" w14:textId="77777777" w:rsidR="009A21AF" w:rsidRDefault="009A21AF" w:rsidP="009A21AF">
      <w:pPr>
        <w:pStyle w:val="a9"/>
        <w:spacing w:before="62" w:after="62"/>
      </w:pPr>
      <w:r>
        <w:rPr>
          <w:rFonts w:hint="eastAsia"/>
        </w:rPr>
        <w:t xml:space="preserve">第三章 </w:t>
      </w:r>
      <w:r>
        <w:t>投资风险防控</w:t>
      </w:r>
    </w:p>
    <w:p w14:paraId="6E623357" w14:textId="77777777" w:rsidR="009A21AF" w:rsidRDefault="009A21AF" w:rsidP="009A21AF">
      <w:pPr>
        <w:pStyle w:val="13"/>
        <w:ind w:firstLine="482"/>
      </w:pPr>
      <w:r w:rsidRPr="00E05BDA">
        <w:rPr>
          <w:rFonts w:hint="eastAsia"/>
          <w:b/>
          <w:bCs/>
        </w:rPr>
        <w:t xml:space="preserve">第九条 </w:t>
      </w:r>
      <w:r>
        <w:t>省属国有企业应当将投资风险的防控纳入企业全面风险管理体系中，要从公司治理、组织结构、内部控制系统、信息管理、企业文化等各方面，建立健全有利于风险识别、风险控制、风险化解的风险管理体系。</w:t>
      </w:r>
    </w:p>
    <w:p w14:paraId="485881E6" w14:textId="77777777" w:rsidR="009A21AF" w:rsidRDefault="009A21AF" w:rsidP="009A21AF">
      <w:pPr>
        <w:pStyle w:val="13"/>
        <w:ind w:firstLine="482"/>
      </w:pPr>
      <w:r w:rsidRPr="00E05BDA">
        <w:rPr>
          <w:rFonts w:hint="eastAsia"/>
          <w:b/>
          <w:bCs/>
        </w:rPr>
        <w:t xml:space="preserve">第十条 </w:t>
      </w:r>
      <w:r>
        <w:t>省属国有企业应当加强金融投资管理，审慎开展金融投资业务，完善和规范内部决策程序和控制体系，严密控制金融投资风险。</w:t>
      </w:r>
    </w:p>
    <w:p w14:paraId="067C209C" w14:textId="77777777" w:rsidR="009A21AF" w:rsidRDefault="009A21AF" w:rsidP="009A21AF">
      <w:pPr>
        <w:pStyle w:val="13"/>
      </w:pPr>
      <w:r>
        <w:rPr>
          <w:rFonts w:hint="eastAsia"/>
        </w:rPr>
        <w:t>（一）严格规范金融投资资金来源，不得融资进行金融投资，不得挪用专项资金</w:t>
      </w:r>
      <w:r>
        <w:rPr>
          <w:rFonts w:hint="eastAsia"/>
        </w:rPr>
        <w:lastRenderedPageBreak/>
        <w:t>进行金融投资，不得违反法律法规进行金融投资；</w:t>
      </w:r>
    </w:p>
    <w:p w14:paraId="62FBC228" w14:textId="77777777" w:rsidR="009A21AF" w:rsidRDefault="009A21AF" w:rsidP="009A21AF">
      <w:pPr>
        <w:pStyle w:val="13"/>
      </w:pPr>
      <w:r>
        <w:rPr>
          <w:rFonts w:hint="eastAsia"/>
        </w:rPr>
        <w:t>（二）企业的金融投资规模和比例应当与自身的权益和财务状况相匹配。不得影响主业正常业务所需资金，资产负债率高、经营亏损、现金</w:t>
      </w:r>
      <w:proofErr w:type="gramStart"/>
      <w:r>
        <w:rPr>
          <w:rFonts w:hint="eastAsia"/>
        </w:rPr>
        <w:t>流紧张</w:t>
      </w:r>
      <w:proofErr w:type="gramEnd"/>
      <w:r>
        <w:rPr>
          <w:rFonts w:hint="eastAsia"/>
        </w:rPr>
        <w:t>的企业不得进行金融投资；</w:t>
      </w:r>
    </w:p>
    <w:p w14:paraId="6F546F4A" w14:textId="77777777" w:rsidR="009A21AF" w:rsidRDefault="009A21AF" w:rsidP="009A21AF">
      <w:pPr>
        <w:pStyle w:val="13"/>
      </w:pPr>
      <w:r>
        <w:rPr>
          <w:rFonts w:hint="eastAsia"/>
        </w:rPr>
        <w:t>（三）企业开展金融衍生业务（包括期货、期权、远期、掉期及其他组合产品等），应严守套期保值原则，不得开展投机性质的金融衍生业务；</w:t>
      </w:r>
    </w:p>
    <w:p w14:paraId="153E6644" w14:textId="77777777" w:rsidR="009A21AF" w:rsidRDefault="009A21AF" w:rsidP="009A21AF">
      <w:pPr>
        <w:pStyle w:val="13"/>
      </w:pPr>
      <w:r>
        <w:rPr>
          <w:rFonts w:hint="eastAsia"/>
        </w:rPr>
        <w:t>（四）企业开展金融衍生业务，要对选择的金融衍生工具、确定的套期保值额</w:t>
      </w:r>
      <w:r>
        <w:t>度、交易品种、止损限额以及不同级别人员的业务权限等内容进行认真审核，并指定专门部门具体负责操作。</w:t>
      </w:r>
    </w:p>
    <w:p w14:paraId="15E60643" w14:textId="77777777" w:rsidR="009A21AF" w:rsidRDefault="009A21AF" w:rsidP="009A21AF">
      <w:pPr>
        <w:pStyle w:val="13"/>
        <w:ind w:firstLine="482"/>
      </w:pPr>
      <w:r w:rsidRPr="00E05BDA">
        <w:rPr>
          <w:rFonts w:hint="eastAsia"/>
          <w:b/>
          <w:bCs/>
        </w:rPr>
        <w:t xml:space="preserve">第十一条 </w:t>
      </w:r>
      <w:r>
        <w:t>省属国有企业应当加强对境外投资活动的管理和规范。企业应当在科学论证的基础上，客观评估自身条件、能力和东道国（地区）投资环境，稳妥开展境外投资。</w:t>
      </w:r>
    </w:p>
    <w:p w14:paraId="348AFDB9" w14:textId="77777777" w:rsidR="009A21AF" w:rsidRDefault="009A21AF" w:rsidP="009A21AF">
      <w:pPr>
        <w:pStyle w:val="a9"/>
        <w:spacing w:before="62" w:after="62"/>
      </w:pPr>
      <w:r>
        <w:rPr>
          <w:rFonts w:hint="eastAsia"/>
        </w:rPr>
        <w:t xml:space="preserve">第四章 </w:t>
      </w:r>
      <w:r>
        <w:t>投资计划管理</w:t>
      </w:r>
    </w:p>
    <w:p w14:paraId="533483B0" w14:textId="77777777" w:rsidR="009A21AF" w:rsidRDefault="009A21AF" w:rsidP="009A21AF">
      <w:pPr>
        <w:pStyle w:val="13"/>
        <w:ind w:firstLine="482"/>
      </w:pPr>
      <w:r w:rsidRPr="00E05BDA">
        <w:rPr>
          <w:rFonts w:hint="eastAsia"/>
          <w:b/>
          <w:bCs/>
        </w:rPr>
        <w:t xml:space="preserve">第十二条 </w:t>
      </w:r>
      <w:r>
        <w:t>省属国有企业应当制定年度投资计划，并填写《省属企业年度投资计划表》（见附件1）。年度投资计划的主要内容应包括但不限于：</w:t>
      </w:r>
    </w:p>
    <w:p w14:paraId="20ACDCD8" w14:textId="77777777" w:rsidR="009A21AF" w:rsidRDefault="009A21AF" w:rsidP="009A21AF">
      <w:pPr>
        <w:pStyle w:val="13"/>
      </w:pPr>
      <w:r>
        <w:rPr>
          <w:rFonts w:hint="eastAsia"/>
        </w:rPr>
        <w:t>（一）年度投资规模、资金来源与构成；</w:t>
      </w:r>
    </w:p>
    <w:p w14:paraId="22A0FF25" w14:textId="77777777" w:rsidR="009A21AF" w:rsidRDefault="009A21AF" w:rsidP="009A21AF">
      <w:pPr>
        <w:pStyle w:val="13"/>
      </w:pPr>
      <w:r>
        <w:rPr>
          <w:rFonts w:hint="eastAsia"/>
        </w:rPr>
        <w:t>（二）投资产业比重结构、投资区域分布、年度投资进度安排；</w:t>
      </w:r>
    </w:p>
    <w:p w14:paraId="1568FC85" w14:textId="77777777" w:rsidR="009A21AF" w:rsidRDefault="009A21AF" w:rsidP="009A21AF">
      <w:pPr>
        <w:pStyle w:val="13"/>
      </w:pPr>
      <w:r>
        <w:rPr>
          <w:rFonts w:hint="eastAsia"/>
        </w:rPr>
        <w:t>（三）投资项目基本情况（包括项目内容、投资额、资金构成、投资预期收益、实施年限、投资风险等）。</w:t>
      </w:r>
    </w:p>
    <w:p w14:paraId="77AC3821" w14:textId="77777777" w:rsidR="009A21AF" w:rsidRDefault="009A21AF" w:rsidP="009A21AF">
      <w:pPr>
        <w:pStyle w:val="13"/>
        <w:ind w:firstLine="482"/>
      </w:pPr>
      <w:r w:rsidRPr="00E05BDA">
        <w:rPr>
          <w:rFonts w:hint="eastAsia"/>
          <w:b/>
          <w:bCs/>
        </w:rPr>
        <w:t xml:space="preserve">第十三条 </w:t>
      </w:r>
      <w:r>
        <w:t>省国资委对省属国有企业年度投资计划实行备案管理，省属企业本级应于每年2月底前将年度投资计划报省国资委，其中上市公司遵守证券监督管理的相关规定。</w:t>
      </w:r>
    </w:p>
    <w:p w14:paraId="24F24493" w14:textId="77777777" w:rsidR="009A21AF" w:rsidRDefault="009A21AF" w:rsidP="009A21AF">
      <w:pPr>
        <w:pStyle w:val="a9"/>
        <w:spacing w:before="62" w:after="62"/>
      </w:pPr>
      <w:r>
        <w:rPr>
          <w:rFonts w:hint="eastAsia"/>
        </w:rPr>
        <w:t xml:space="preserve">第五章 </w:t>
      </w:r>
      <w:r>
        <w:t>投资项目管理</w:t>
      </w:r>
    </w:p>
    <w:p w14:paraId="7D3D752B" w14:textId="77777777" w:rsidR="009A21AF" w:rsidRDefault="009A21AF" w:rsidP="009A21AF">
      <w:pPr>
        <w:pStyle w:val="13"/>
        <w:ind w:firstLine="482"/>
      </w:pPr>
      <w:r w:rsidRPr="00E05BDA">
        <w:rPr>
          <w:rFonts w:hint="eastAsia"/>
          <w:b/>
          <w:bCs/>
        </w:rPr>
        <w:t xml:space="preserve">第十四条 </w:t>
      </w:r>
      <w:r>
        <w:t>发生下列情形的，省属国有企业应在省属企业本级董事会正式讨论决定后（一般不超过10个工作日）报送省国资委核准（国有控股上市公司按有关规定执</w:t>
      </w:r>
      <w:r>
        <w:rPr>
          <w:rFonts w:hint="eastAsia"/>
        </w:rPr>
        <w:t>行）：</w:t>
      </w:r>
    </w:p>
    <w:p w14:paraId="39C4F48C" w14:textId="77777777" w:rsidR="009A21AF" w:rsidRDefault="009A21AF" w:rsidP="009A21AF">
      <w:pPr>
        <w:pStyle w:val="13"/>
      </w:pPr>
      <w:r>
        <w:rPr>
          <w:rFonts w:hint="eastAsia"/>
        </w:rPr>
        <w:t>（一）以下由省属企业本级直接投资的非主业投资项目：</w:t>
      </w:r>
    </w:p>
    <w:p w14:paraId="53E67780" w14:textId="77777777" w:rsidR="009A21AF" w:rsidRDefault="009A21AF" w:rsidP="009A21AF">
      <w:pPr>
        <w:pStyle w:val="13"/>
      </w:pPr>
      <w:r>
        <w:t>1、上一年度净资产在80亿元以上的省属企业，投资额超过5000万元的投资项</w:t>
      </w:r>
      <w:r>
        <w:rPr>
          <w:rFonts w:hint="eastAsia"/>
        </w:rPr>
        <w:t>目；</w:t>
      </w:r>
    </w:p>
    <w:p w14:paraId="4B833EC5" w14:textId="77777777" w:rsidR="009A21AF" w:rsidRDefault="009A21AF" w:rsidP="009A21AF">
      <w:pPr>
        <w:pStyle w:val="13"/>
      </w:pPr>
      <w:r>
        <w:t>2、上一年度净资产在30亿元以上、80亿元以下的省属企业，投资额超过3000万</w:t>
      </w:r>
      <w:r>
        <w:rPr>
          <w:rFonts w:hint="eastAsia"/>
        </w:rPr>
        <w:t>元的投资项目；</w:t>
      </w:r>
    </w:p>
    <w:p w14:paraId="050BDA2C" w14:textId="77777777" w:rsidR="009A21AF" w:rsidRDefault="009A21AF" w:rsidP="009A21AF">
      <w:pPr>
        <w:pStyle w:val="13"/>
      </w:pPr>
      <w:r>
        <w:t>3、上一年度净资产在30亿元以下的省属企业，投资额超过1000万元的投资项</w:t>
      </w:r>
      <w:r>
        <w:rPr>
          <w:rFonts w:hint="eastAsia"/>
        </w:rPr>
        <w:t>目。</w:t>
      </w:r>
    </w:p>
    <w:p w14:paraId="32BD6BDA" w14:textId="77777777" w:rsidR="009A21AF" w:rsidRDefault="009A21AF" w:rsidP="009A21AF">
      <w:pPr>
        <w:pStyle w:val="13"/>
      </w:pPr>
      <w:r>
        <w:rPr>
          <w:rFonts w:hint="eastAsia"/>
        </w:rPr>
        <w:lastRenderedPageBreak/>
        <w:t>（二）境外非主业投资项目（包括设立办事机构）。</w:t>
      </w:r>
    </w:p>
    <w:p w14:paraId="27DF67EF" w14:textId="77777777" w:rsidR="009A21AF" w:rsidRDefault="009A21AF" w:rsidP="009A21AF">
      <w:pPr>
        <w:pStyle w:val="13"/>
      </w:pPr>
      <w:r>
        <w:rPr>
          <w:rFonts w:hint="eastAsia"/>
        </w:rPr>
        <w:t>省国资委自收到报告后</w:t>
      </w:r>
      <w:r>
        <w:t>20个工作日内，对企业投资项目出具核准或不予核准的书面意见。如</w:t>
      </w:r>
      <w:proofErr w:type="gramStart"/>
      <w:r>
        <w:t>遇项目</w:t>
      </w:r>
      <w:proofErr w:type="gramEnd"/>
      <w:r>
        <w:t>论证、材料补充等特殊情况，审核期限可适当延期。</w:t>
      </w:r>
    </w:p>
    <w:p w14:paraId="40A2F837" w14:textId="77777777" w:rsidR="009A21AF" w:rsidRDefault="009A21AF" w:rsidP="009A21AF">
      <w:pPr>
        <w:pStyle w:val="13"/>
        <w:ind w:firstLine="482"/>
      </w:pPr>
      <w:r w:rsidRPr="00E05BDA">
        <w:rPr>
          <w:rFonts w:hint="eastAsia"/>
          <w:b/>
          <w:bCs/>
        </w:rPr>
        <w:t xml:space="preserve">第十五条 </w:t>
      </w:r>
      <w:r>
        <w:t>省属国有企业发生下列情形的，应在省属企业本级董事会正式讨论决定后或事项发生后（一般不超过10个工作日）及时向省国资委报送备案（国有控股上市公司按有关规定执行）：</w:t>
      </w:r>
    </w:p>
    <w:p w14:paraId="47193F41" w14:textId="77777777" w:rsidR="009A21AF" w:rsidRDefault="009A21AF" w:rsidP="009A21AF">
      <w:pPr>
        <w:pStyle w:val="13"/>
      </w:pPr>
      <w:r>
        <w:rPr>
          <w:rFonts w:hint="eastAsia"/>
        </w:rPr>
        <w:t>（一）境内主业股权投资项目；</w:t>
      </w:r>
    </w:p>
    <w:p w14:paraId="2E9C8252" w14:textId="77777777" w:rsidR="009A21AF" w:rsidRDefault="009A21AF" w:rsidP="009A21AF">
      <w:pPr>
        <w:pStyle w:val="13"/>
      </w:pPr>
      <w:r>
        <w:rPr>
          <w:rFonts w:hint="eastAsia"/>
        </w:rPr>
        <w:t>（二）境内投资额超过</w:t>
      </w:r>
      <w:r>
        <w:t>5000万元的主业固定资产投资项目；</w:t>
      </w:r>
    </w:p>
    <w:p w14:paraId="4540583C" w14:textId="77777777" w:rsidR="009A21AF" w:rsidRDefault="009A21AF" w:rsidP="009A21AF">
      <w:pPr>
        <w:pStyle w:val="13"/>
      </w:pPr>
      <w:r>
        <w:rPr>
          <w:rFonts w:hint="eastAsia"/>
        </w:rPr>
        <w:t>（三）境外主业投资项目（包括设立办事机构）；</w:t>
      </w:r>
    </w:p>
    <w:p w14:paraId="5085C479" w14:textId="77777777" w:rsidR="009A21AF" w:rsidRDefault="009A21AF" w:rsidP="009A21AF">
      <w:pPr>
        <w:pStyle w:val="13"/>
      </w:pPr>
      <w:r>
        <w:rPr>
          <w:rFonts w:hint="eastAsia"/>
        </w:rPr>
        <w:t>（四）属于主业范围的金融投资项目；</w:t>
      </w:r>
    </w:p>
    <w:p w14:paraId="36CF2528" w14:textId="77777777" w:rsidR="009A21AF" w:rsidRDefault="009A21AF" w:rsidP="009A21AF">
      <w:pPr>
        <w:pStyle w:val="13"/>
      </w:pPr>
      <w:r>
        <w:rPr>
          <w:rFonts w:hint="eastAsia"/>
        </w:rPr>
        <w:t>（五）由省属企业自行审批的各类非主业投资项目；</w:t>
      </w:r>
    </w:p>
    <w:p w14:paraId="43D14925" w14:textId="77777777" w:rsidR="009A21AF" w:rsidRDefault="009A21AF" w:rsidP="009A21AF">
      <w:pPr>
        <w:pStyle w:val="13"/>
      </w:pPr>
      <w:r>
        <w:rPr>
          <w:rFonts w:hint="eastAsia"/>
        </w:rPr>
        <w:t>（六）由省属企业自行决策与审批但没有列入年初投资计划的追加投资项目；</w:t>
      </w:r>
    </w:p>
    <w:p w14:paraId="66600DCA" w14:textId="39384DF7" w:rsidR="009A21AF" w:rsidRDefault="009A21AF" w:rsidP="00E155F1">
      <w:pPr>
        <w:pStyle w:val="13"/>
      </w:pPr>
      <w:r>
        <w:rPr>
          <w:rFonts w:hint="eastAsia"/>
        </w:rPr>
        <w:t>（七）已经实施的投资项目中投资额、资金来源及构成进行重大调整的投资项目；</w:t>
      </w:r>
    </w:p>
    <w:p w14:paraId="0DFDF1DA" w14:textId="77777777" w:rsidR="009A21AF" w:rsidRDefault="009A21AF" w:rsidP="009A21AF">
      <w:pPr>
        <w:pStyle w:val="13"/>
      </w:pPr>
      <w:r>
        <w:rPr>
          <w:rFonts w:hint="eastAsia"/>
        </w:rPr>
        <w:t>（八）已经实施的投资项目中投资对象股权结构发生重大变化、导致企业控制权转移的投资项目；</w:t>
      </w:r>
    </w:p>
    <w:p w14:paraId="6233E826" w14:textId="77777777" w:rsidR="009A21AF" w:rsidRDefault="009A21AF" w:rsidP="009A21AF">
      <w:pPr>
        <w:pStyle w:val="13"/>
      </w:pPr>
      <w:r>
        <w:rPr>
          <w:rFonts w:hint="eastAsia"/>
        </w:rPr>
        <w:t>（九）</w:t>
      </w:r>
      <w:proofErr w:type="gramStart"/>
      <w:r>
        <w:rPr>
          <w:rFonts w:hint="eastAsia"/>
        </w:rPr>
        <w:t>需报告</w:t>
      </w:r>
      <w:proofErr w:type="gramEnd"/>
      <w:r>
        <w:rPr>
          <w:rFonts w:hint="eastAsia"/>
        </w:rPr>
        <w:t>的其他投资项目事项。</w:t>
      </w:r>
    </w:p>
    <w:p w14:paraId="7C5DDD3B" w14:textId="77777777" w:rsidR="009A21AF" w:rsidRDefault="009A21AF" w:rsidP="009A21AF">
      <w:pPr>
        <w:pStyle w:val="13"/>
      </w:pPr>
      <w:r>
        <w:rPr>
          <w:rFonts w:hint="eastAsia"/>
        </w:rPr>
        <w:t>省国资委对实行备案管理的企业投资项目，除对存在问题的进行提示外，一般不再回复。自收到备案的投资项目材料</w:t>
      </w:r>
      <w:r>
        <w:t>20个工作日内未予回复的视为备案通过。</w:t>
      </w:r>
    </w:p>
    <w:p w14:paraId="37FD220F" w14:textId="77777777" w:rsidR="009A21AF" w:rsidRDefault="009A21AF" w:rsidP="009A21AF">
      <w:pPr>
        <w:pStyle w:val="13"/>
        <w:ind w:firstLine="482"/>
      </w:pPr>
      <w:r w:rsidRPr="00E05BDA">
        <w:rPr>
          <w:rFonts w:hint="eastAsia"/>
          <w:b/>
          <w:bCs/>
        </w:rPr>
        <w:t xml:space="preserve">第十六条 </w:t>
      </w:r>
      <w:r>
        <w:t>省属企业受让上市公司股份、参与上市公司重组等投资行为，应当按照</w:t>
      </w:r>
      <w:r>
        <w:rPr>
          <w:rFonts w:hint="eastAsia"/>
        </w:rPr>
        <w:t>国务院国资委、中国证监会及交易所的有关规定报送省国资委核准或备案。</w:t>
      </w:r>
    </w:p>
    <w:p w14:paraId="05107C95" w14:textId="77777777" w:rsidR="009A21AF" w:rsidRDefault="009A21AF" w:rsidP="009A21AF">
      <w:pPr>
        <w:pStyle w:val="13"/>
        <w:ind w:firstLine="482"/>
      </w:pPr>
      <w:r w:rsidRPr="00E05BDA">
        <w:rPr>
          <w:rFonts w:hint="eastAsia"/>
          <w:b/>
          <w:bCs/>
        </w:rPr>
        <w:t xml:space="preserve">第十七条 </w:t>
      </w:r>
      <w:r>
        <w:t>报省国资委核准和备案的投资项目，省属企业本级应以正式文件形式上报省国资委，报送的文件主要包括：</w:t>
      </w:r>
    </w:p>
    <w:p w14:paraId="64881F84" w14:textId="77777777" w:rsidR="009A21AF" w:rsidRDefault="009A21AF" w:rsidP="009A21AF">
      <w:pPr>
        <w:pStyle w:val="13"/>
      </w:pPr>
      <w:r>
        <w:rPr>
          <w:rFonts w:hint="eastAsia"/>
        </w:rPr>
        <w:t>（一）投资申请和项目可行性研究报告；</w:t>
      </w:r>
    </w:p>
    <w:p w14:paraId="552DFE6B" w14:textId="77777777" w:rsidR="009A21AF" w:rsidRDefault="009A21AF" w:rsidP="009A21AF">
      <w:pPr>
        <w:pStyle w:val="13"/>
      </w:pPr>
      <w:r>
        <w:rPr>
          <w:rFonts w:hint="eastAsia"/>
        </w:rPr>
        <w:t>（二）决定投资的程序性文件，包括职能部门意见、专业委员会意见、省属企业本级董事会决议或被授权省属企业所属企业董事会决议等；</w:t>
      </w:r>
    </w:p>
    <w:p w14:paraId="60862530" w14:textId="77777777" w:rsidR="009A21AF" w:rsidRDefault="009A21AF" w:rsidP="009A21AF">
      <w:pPr>
        <w:pStyle w:val="13"/>
      </w:pPr>
      <w:r>
        <w:rPr>
          <w:rFonts w:hint="eastAsia"/>
        </w:rPr>
        <w:t>（三）资金来源及企业资产负债情况；</w:t>
      </w:r>
    </w:p>
    <w:p w14:paraId="154D85DF" w14:textId="77777777" w:rsidR="009A21AF" w:rsidRDefault="009A21AF" w:rsidP="009A21AF">
      <w:pPr>
        <w:pStyle w:val="13"/>
      </w:pPr>
      <w:r>
        <w:rPr>
          <w:rFonts w:hint="eastAsia"/>
        </w:rPr>
        <w:t>（四）根据需要进行咨询评估、专家论证的结论；</w:t>
      </w:r>
    </w:p>
    <w:p w14:paraId="5A1570E9" w14:textId="77777777" w:rsidR="009A21AF" w:rsidRDefault="009A21AF" w:rsidP="009A21AF">
      <w:pPr>
        <w:pStyle w:val="13"/>
      </w:pPr>
      <w:r>
        <w:rPr>
          <w:rFonts w:hint="eastAsia"/>
        </w:rPr>
        <w:t>（五）其它需报送的有关材料。</w:t>
      </w:r>
    </w:p>
    <w:p w14:paraId="03997DA1" w14:textId="77777777" w:rsidR="009A21AF" w:rsidRDefault="009A21AF" w:rsidP="009A21AF">
      <w:pPr>
        <w:pStyle w:val="a9"/>
        <w:spacing w:before="62" w:after="62"/>
      </w:pPr>
      <w:r>
        <w:rPr>
          <w:rFonts w:hint="eastAsia"/>
        </w:rPr>
        <w:t xml:space="preserve">第六章 </w:t>
      </w:r>
      <w:r>
        <w:t>投资统计分析报告管理</w:t>
      </w:r>
    </w:p>
    <w:p w14:paraId="32753AF1" w14:textId="77777777" w:rsidR="009A21AF" w:rsidRDefault="009A21AF" w:rsidP="009A21AF">
      <w:pPr>
        <w:pStyle w:val="13"/>
        <w:ind w:firstLine="482"/>
      </w:pPr>
      <w:r w:rsidRPr="00E05BDA">
        <w:rPr>
          <w:rFonts w:hint="eastAsia"/>
          <w:b/>
          <w:bCs/>
        </w:rPr>
        <w:t xml:space="preserve">第十八条 </w:t>
      </w:r>
      <w:r>
        <w:t>省属国有企业应根据年度投资计划执行情况编制年度投资统计分析报告，并填写《省属企业年度投资计划完成情况表》（见附件2）。年度投资统计分析报告的主要内容应包括但不限于：</w:t>
      </w:r>
    </w:p>
    <w:p w14:paraId="566304E5" w14:textId="77777777" w:rsidR="009A21AF" w:rsidRDefault="009A21AF" w:rsidP="009A21AF">
      <w:pPr>
        <w:pStyle w:val="13"/>
      </w:pPr>
      <w:r>
        <w:rPr>
          <w:rFonts w:hint="eastAsia"/>
        </w:rPr>
        <w:t>（一）年度投资计划执行情况；</w:t>
      </w:r>
    </w:p>
    <w:p w14:paraId="2FBF9AC3" w14:textId="77777777" w:rsidR="009A21AF" w:rsidRDefault="009A21AF" w:rsidP="009A21AF">
      <w:pPr>
        <w:pStyle w:val="13"/>
      </w:pPr>
      <w:r>
        <w:rPr>
          <w:rFonts w:hint="eastAsia"/>
        </w:rPr>
        <w:lastRenderedPageBreak/>
        <w:t>（二）投资项目具体实施情况；</w:t>
      </w:r>
    </w:p>
    <w:p w14:paraId="64A0EEF3" w14:textId="77777777" w:rsidR="009A21AF" w:rsidRDefault="009A21AF" w:rsidP="009A21AF">
      <w:pPr>
        <w:pStyle w:val="13"/>
      </w:pPr>
      <w:r>
        <w:rPr>
          <w:rFonts w:hint="eastAsia"/>
        </w:rPr>
        <w:t>（三）当年投资对促进企业结构调整、生产经营、技术进步、经济效益等方面的成效；</w:t>
      </w:r>
    </w:p>
    <w:p w14:paraId="0CFBBE64" w14:textId="77777777" w:rsidR="009A21AF" w:rsidRDefault="009A21AF" w:rsidP="009A21AF">
      <w:pPr>
        <w:pStyle w:val="13"/>
      </w:pPr>
      <w:r>
        <w:rPr>
          <w:rFonts w:hint="eastAsia"/>
        </w:rPr>
        <w:t>（四）对存在的问题、经验教训和需要进一步改进的工作进行综合分析。</w:t>
      </w:r>
    </w:p>
    <w:p w14:paraId="30C3BB33" w14:textId="77777777" w:rsidR="009A21AF" w:rsidRDefault="009A21AF" w:rsidP="009A21AF">
      <w:pPr>
        <w:pStyle w:val="13"/>
        <w:ind w:firstLine="482"/>
      </w:pPr>
      <w:r w:rsidRPr="00E05BDA">
        <w:rPr>
          <w:rFonts w:hint="eastAsia"/>
          <w:b/>
          <w:bCs/>
        </w:rPr>
        <w:t xml:space="preserve">第十九条 </w:t>
      </w:r>
      <w:r>
        <w:t>省国资委对省属国有企业年度投资统计分析报告实行备案管理。省属企业本级应于2月底前将上一年度投资统计分析报告报省国资委，其中上市公司按照中国证监会信息披露的时间要求上报。</w:t>
      </w:r>
    </w:p>
    <w:p w14:paraId="5FF16832" w14:textId="77777777" w:rsidR="009A21AF" w:rsidRDefault="009A21AF" w:rsidP="009A21AF">
      <w:pPr>
        <w:pStyle w:val="a9"/>
        <w:spacing w:before="62" w:after="62"/>
      </w:pPr>
      <w:r>
        <w:rPr>
          <w:rFonts w:hint="eastAsia"/>
        </w:rPr>
        <w:t xml:space="preserve">第七章 </w:t>
      </w:r>
      <w:r>
        <w:t>投资监督</w:t>
      </w:r>
    </w:p>
    <w:p w14:paraId="4B3729BE" w14:textId="77777777" w:rsidR="009A21AF" w:rsidRDefault="009A21AF" w:rsidP="009A21AF">
      <w:pPr>
        <w:pStyle w:val="13"/>
        <w:ind w:firstLine="482"/>
      </w:pPr>
      <w:r w:rsidRPr="00E05BDA">
        <w:rPr>
          <w:rFonts w:hint="eastAsia"/>
          <w:b/>
          <w:bCs/>
        </w:rPr>
        <w:t xml:space="preserve">第二十条 </w:t>
      </w:r>
      <w:r>
        <w:t>省属国有企业重要物资设备采购、重大工程项目等应建立招投标制度，并对项目进行全过程跟踪管理。</w:t>
      </w:r>
    </w:p>
    <w:p w14:paraId="1E49473A" w14:textId="77777777" w:rsidR="009A21AF" w:rsidRDefault="009A21AF" w:rsidP="009A21AF">
      <w:pPr>
        <w:pStyle w:val="13"/>
        <w:ind w:firstLine="482"/>
      </w:pPr>
      <w:r w:rsidRPr="00E05BDA">
        <w:rPr>
          <w:rFonts w:hint="eastAsia"/>
          <w:b/>
          <w:bCs/>
        </w:rPr>
        <w:t xml:space="preserve">第二十一条 </w:t>
      </w:r>
      <w:r>
        <w:t>省属企业本级应当建立健全内部审计制度，对重大投资项目进行全过程审计和后评估工作。重大投资项目（</w:t>
      </w:r>
      <w:proofErr w:type="gramStart"/>
      <w:r>
        <w:t>含省重点</w:t>
      </w:r>
      <w:proofErr w:type="gramEnd"/>
      <w:r>
        <w:t>项目）审计报告及后评估报告应及时上报省国资委。</w:t>
      </w:r>
    </w:p>
    <w:p w14:paraId="7C3E3071" w14:textId="77777777" w:rsidR="009A21AF" w:rsidRDefault="009A21AF" w:rsidP="009A21AF">
      <w:pPr>
        <w:pStyle w:val="13"/>
        <w:ind w:firstLine="482"/>
      </w:pPr>
      <w:r w:rsidRPr="00E05BDA">
        <w:rPr>
          <w:rFonts w:hint="eastAsia"/>
          <w:b/>
          <w:bCs/>
        </w:rPr>
        <w:t xml:space="preserve">第二十二条 </w:t>
      </w:r>
      <w:r>
        <w:t>省属企业本级应当严格控制省属企业非主业投资，不得违反本办法和</w:t>
      </w:r>
      <w:r>
        <w:rPr>
          <w:rFonts w:hint="eastAsia"/>
        </w:rPr>
        <w:t>企业投资管理制度的有关规定。</w:t>
      </w:r>
    </w:p>
    <w:p w14:paraId="78D55DFA" w14:textId="77777777" w:rsidR="009A21AF" w:rsidRDefault="009A21AF" w:rsidP="009A21AF">
      <w:pPr>
        <w:pStyle w:val="13"/>
        <w:ind w:firstLine="482"/>
      </w:pPr>
      <w:r w:rsidRPr="00E05BDA">
        <w:rPr>
          <w:rFonts w:hint="eastAsia"/>
          <w:b/>
          <w:bCs/>
        </w:rPr>
        <w:t xml:space="preserve">第二十三条 </w:t>
      </w:r>
      <w:r>
        <w:t>省属企业本级监事会或专职监事根据职责对企业投资活动进行监督检查，并向省国资委报告有关情况。</w:t>
      </w:r>
    </w:p>
    <w:p w14:paraId="2C8334A3" w14:textId="77777777" w:rsidR="009A21AF" w:rsidRDefault="009A21AF" w:rsidP="009A21AF">
      <w:pPr>
        <w:pStyle w:val="13"/>
        <w:ind w:firstLine="482"/>
      </w:pPr>
      <w:r w:rsidRPr="00E05BDA">
        <w:rPr>
          <w:rFonts w:hint="eastAsia"/>
          <w:b/>
          <w:bCs/>
        </w:rPr>
        <w:t xml:space="preserve">第二十四条 </w:t>
      </w:r>
      <w:r>
        <w:t>省国资委对省属国有企业已实施的重大投资项目，适时组织实施项目稽查、审计和后评估等监督管理。</w:t>
      </w:r>
    </w:p>
    <w:p w14:paraId="40870B96" w14:textId="77777777" w:rsidR="009A21AF" w:rsidRDefault="009A21AF" w:rsidP="009A21AF">
      <w:pPr>
        <w:pStyle w:val="13"/>
        <w:ind w:firstLine="482"/>
      </w:pPr>
      <w:r w:rsidRPr="00E05BDA">
        <w:rPr>
          <w:rFonts w:hint="eastAsia"/>
          <w:b/>
          <w:bCs/>
        </w:rPr>
        <w:t xml:space="preserve">第二十五条 </w:t>
      </w:r>
      <w:r>
        <w:t>省国资委定期披露本办法的执行情况。</w:t>
      </w:r>
    </w:p>
    <w:p w14:paraId="17D44014" w14:textId="77777777" w:rsidR="009A21AF" w:rsidRDefault="009A21AF" w:rsidP="009A21AF">
      <w:pPr>
        <w:pStyle w:val="13"/>
        <w:ind w:firstLine="482"/>
      </w:pPr>
      <w:r w:rsidRPr="00E05BDA">
        <w:rPr>
          <w:rFonts w:hint="eastAsia"/>
          <w:b/>
          <w:bCs/>
        </w:rPr>
        <w:t xml:space="preserve">第二十六条 </w:t>
      </w:r>
      <w:r>
        <w:t>省属国有企业违反本办法和投资决策程序规定的，省国资委责令其改正，并扣减企业领导人员一定比例的效益年薪；情节严重、致使企业遭受重大损失</w:t>
      </w:r>
      <w:r>
        <w:rPr>
          <w:rFonts w:hint="eastAsia"/>
        </w:rPr>
        <w:t>的，依照有关规定追究企业有关人员的责任。</w:t>
      </w:r>
    </w:p>
    <w:p w14:paraId="44AAF6CA" w14:textId="77777777" w:rsidR="009A21AF" w:rsidRDefault="009A21AF" w:rsidP="009A21AF">
      <w:pPr>
        <w:pStyle w:val="a9"/>
        <w:spacing w:before="62" w:after="62"/>
      </w:pPr>
      <w:r>
        <w:rPr>
          <w:rFonts w:hint="eastAsia"/>
        </w:rPr>
        <w:t xml:space="preserve">第八章 </w:t>
      </w:r>
      <w:r>
        <w:t>附则</w:t>
      </w:r>
    </w:p>
    <w:p w14:paraId="6DCA6DB6" w14:textId="77777777" w:rsidR="009A21AF" w:rsidRDefault="009A21AF" w:rsidP="009A21AF">
      <w:pPr>
        <w:pStyle w:val="13"/>
        <w:ind w:firstLine="482"/>
      </w:pPr>
      <w:r w:rsidRPr="00E05BDA">
        <w:rPr>
          <w:b/>
          <w:bCs/>
        </w:rPr>
        <w:t xml:space="preserve">第二十七条 </w:t>
      </w:r>
      <w:r>
        <w:t>本办法由省国资委负责解释。</w:t>
      </w:r>
    </w:p>
    <w:p w14:paraId="09DFC027" w14:textId="77777777" w:rsidR="009A21AF" w:rsidRDefault="009A21AF" w:rsidP="009A21AF">
      <w:pPr>
        <w:pStyle w:val="13"/>
        <w:ind w:firstLine="482"/>
      </w:pPr>
      <w:r w:rsidRPr="00E05BDA">
        <w:rPr>
          <w:rFonts w:hint="eastAsia"/>
          <w:b/>
          <w:bCs/>
        </w:rPr>
        <w:t xml:space="preserve">第二十八条 </w:t>
      </w:r>
      <w:r>
        <w:t>本办法自发布之日起施行，《浙江省国资委出资企业投资及对外担保监督管理暂行办法》（</w:t>
      </w:r>
      <w:proofErr w:type="gramStart"/>
      <w:r>
        <w:t>浙国资</w:t>
      </w:r>
      <w:proofErr w:type="gramEnd"/>
      <w:r>
        <w:t>企改〔2005〕9号）有关投资管理的规定不再适用。</w:t>
      </w:r>
    </w:p>
    <w:p w14:paraId="67DB5455" w14:textId="77777777" w:rsidR="009A21AF" w:rsidRDefault="009A21AF" w:rsidP="009A21AF">
      <w:pPr>
        <w:pStyle w:val="13"/>
      </w:pPr>
      <w:r>
        <w:rPr>
          <w:rFonts w:hint="eastAsia"/>
        </w:rPr>
        <w:t>附件：</w:t>
      </w:r>
      <w:r>
        <w:t>1、省属企业年度投资计划表</w:t>
      </w:r>
    </w:p>
    <w:p w14:paraId="643F3B9C" w14:textId="1EBBFE20" w:rsidR="00E155F1" w:rsidRDefault="009A21AF" w:rsidP="009A21AF">
      <w:pPr>
        <w:pStyle w:val="13"/>
        <w:ind w:firstLineChars="500" w:firstLine="1200"/>
      </w:pPr>
      <w:r>
        <w:t>2、省属企业年度投资计划完成情况表</w:t>
      </w:r>
    </w:p>
    <w:p w14:paraId="2D10C3AE" w14:textId="77777777" w:rsidR="00E155F1" w:rsidRDefault="00E155F1">
      <w:pPr>
        <w:widowControl/>
        <w:jc w:val="left"/>
        <w:rPr>
          <w:rFonts w:ascii="宋体" w:hAnsi="宋体"/>
          <w:sz w:val="24"/>
          <w:szCs w:val="24"/>
        </w:rPr>
      </w:pPr>
      <w:r>
        <w:br w:type="page"/>
      </w:r>
    </w:p>
    <w:p w14:paraId="31ABD4ED" w14:textId="77777777" w:rsidR="00FA0363" w:rsidRDefault="00FA0363" w:rsidP="00FA0363">
      <w:pPr>
        <w:pStyle w:val="31"/>
        <w:spacing w:before="156" w:after="62"/>
      </w:pPr>
      <w:bookmarkStart w:id="262" w:name="_Toc81833495"/>
      <w:r>
        <w:rPr>
          <w:rFonts w:hint="eastAsia"/>
        </w:rPr>
        <w:lastRenderedPageBreak/>
        <w:t>《浙江省国资委委托资产评估管理办法》（</w:t>
      </w:r>
      <w:proofErr w:type="gramStart"/>
      <w:r>
        <w:rPr>
          <w:rFonts w:hint="eastAsia"/>
        </w:rPr>
        <w:t>浙国资发</w:t>
      </w:r>
      <w:proofErr w:type="gramEnd"/>
      <w:r>
        <w:rPr>
          <w:rFonts w:hint="eastAsia"/>
        </w:rPr>
        <w:t>〔</w:t>
      </w:r>
      <w:r>
        <w:t>2011〕10号）</w:t>
      </w:r>
      <w:bookmarkEnd w:id="262"/>
    </w:p>
    <w:p w14:paraId="281454AD" w14:textId="77777777" w:rsidR="00FA0363" w:rsidRDefault="00FA0363" w:rsidP="00FA0363">
      <w:pPr>
        <w:pStyle w:val="13"/>
        <w:ind w:firstLineChars="0" w:firstLine="0"/>
      </w:pPr>
      <w:r>
        <w:rPr>
          <w:rFonts w:hint="eastAsia"/>
        </w:rPr>
        <w:t>各省属企业、委直属各单位：</w:t>
      </w:r>
    </w:p>
    <w:p w14:paraId="2F013CC0" w14:textId="77777777" w:rsidR="00FA0363" w:rsidRDefault="00FA0363" w:rsidP="00FA0363">
      <w:pPr>
        <w:pStyle w:val="13"/>
      </w:pPr>
      <w:r>
        <w:rPr>
          <w:rFonts w:hint="eastAsia"/>
        </w:rPr>
        <w:t>《浙江省国资委委托资产评估管理办法》已经委主任办公会议讨论通过，现印发给你们，请认真贯彻执行。</w:t>
      </w:r>
    </w:p>
    <w:p w14:paraId="5D846BAA" w14:textId="77777777" w:rsidR="00FA0363" w:rsidRDefault="00FA0363" w:rsidP="00FA0363">
      <w:pPr>
        <w:pStyle w:val="13"/>
        <w:jc w:val="right"/>
      </w:pPr>
      <w:r>
        <w:rPr>
          <w:rFonts w:hint="eastAsia"/>
        </w:rPr>
        <w:t>二〇一一年七月二十六日</w:t>
      </w:r>
    </w:p>
    <w:p w14:paraId="3C233166" w14:textId="77777777" w:rsidR="00FA0363" w:rsidRDefault="00FA0363" w:rsidP="00AF7342">
      <w:pPr>
        <w:pStyle w:val="a9"/>
        <w:spacing w:before="62" w:after="62"/>
      </w:pPr>
      <w:r>
        <w:rPr>
          <w:rFonts w:hint="eastAsia"/>
        </w:rPr>
        <w:t>浙江省国资委委托资产评估管理办法</w:t>
      </w:r>
    </w:p>
    <w:p w14:paraId="2D2AEB53" w14:textId="68C1A272" w:rsidR="00FA0363" w:rsidRDefault="004E3EBB" w:rsidP="00FA0363">
      <w:pPr>
        <w:pStyle w:val="13"/>
        <w:ind w:firstLine="482"/>
      </w:pPr>
      <w:r w:rsidRPr="004E3EBB">
        <w:rPr>
          <w:rFonts w:hint="eastAsia"/>
          <w:b/>
          <w:bCs/>
        </w:rPr>
        <w:t xml:space="preserve">第一条 </w:t>
      </w:r>
      <w:r w:rsidR="00FA0363">
        <w:t>为规范委托中介机构对省属企业实施资产评估工作，提高资产评估质量，根据《中华人民共和国企业国有资产法》等有关法律法规，制定本办法。</w:t>
      </w:r>
    </w:p>
    <w:p w14:paraId="62929DC0" w14:textId="440595AE" w:rsidR="00FA0363" w:rsidRDefault="004E3EBB" w:rsidP="00FA0363">
      <w:pPr>
        <w:pStyle w:val="13"/>
        <w:ind w:firstLine="482"/>
      </w:pPr>
      <w:r w:rsidRPr="004E3EBB">
        <w:rPr>
          <w:rFonts w:hint="eastAsia"/>
          <w:b/>
          <w:bCs/>
        </w:rPr>
        <w:t xml:space="preserve">第二条 </w:t>
      </w:r>
      <w:r w:rsidR="00FA0363">
        <w:t>本办法所称省属企业是指省政府授权省国资委履行出资人职责的企业及其下属企业。</w:t>
      </w:r>
    </w:p>
    <w:p w14:paraId="2DBABD58" w14:textId="77777777" w:rsidR="00FA0363" w:rsidRDefault="00FA0363" w:rsidP="00FA0363">
      <w:pPr>
        <w:pStyle w:val="13"/>
      </w:pPr>
      <w:r>
        <w:rPr>
          <w:rFonts w:hint="eastAsia"/>
        </w:rPr>
        <w:t>省属企业中的下列资产评估项目由省国资委统一选择确定中介机构：</w:t>
      </w:r>
    </w:p>
    <w:p w14:paraId="6FFEB6B4" w14:textId="77777777" w:rsidR="00FA0363" w:rsidRDefault="00FA0363" w:rsidP="00FA0363">
      <w:pPr>
        <w:pStyle w:val="13"/>
      </w:pPr>
      <w:r>
        <w:rPr>
          <w:rFonts w:hint="eastAsia"/>
        </w:rPr>
        <w:t>（一）须经省政府或省国资委批准的经济行为对应的资产评估项目；</w:t>
      </w:r>
    </w:p>
    <w:p w14:paraId="19B3FA26" w14:textId="77777777" w:rsidR="00FA0363" w:rsidRDefault="00FA0363" w:rsidP="00FA0363">
      <w:pPr>
        <w:pStyle w:val="13"/>
      </w:pPr>
      <w:r>
        <w:rPr>
          <w:rFonts w:hint="eastAsia"/>
        </w:rPr>
        <w:t>（二）省国资委确定的，需要统一选择中介机构的其他资产评估项目。</w:t>
      </w:r>
    </w:p>
    <w:p w14:paraId="289046DE" w14:textId="0E6F2CFB" w:rsidR="00FA0363" w:rsidRDefault="004E3EBB" w:rsidP="00FA0363">
      <w:pPr>
        <w:pStyle w:val="13"/>
        <w:ind w:firstLine="482"/>
      </w:pPr>
      <w:r w:rsidRPr="004E3EBB">
        <w:rPr>
          <w:rFonts w:hint="eastAsia"/>
          <w:b/>
          <w:bCs/>
        </w:rPr>
        <w:t xml:space="preserve">第三条 </w:t>
      </w:r>
      <w:r w:rsidR="00FA0363">
        <w:t>省国资委按照公开、公平、公正和竞争择优的原则，选择一定数量的中介机构，建立委托资产评估中介机构库。</w:t>
      </w:r>
    </w:p>
    <w:p w14:paraId="41FB7BEE" w14:textId="330960CB" w:rsidR="00FA0363" w:rsidRDefault="004E3EBB" w:rsidP="00FA0363">
      <w:pPr>
        <w:pStyle w:val="13"/>
        <w:ind w:firstLine="482"/>
      </w:pPr>
      <w:r w:rsidRPr="004E3EBB">
        <w:rPr>
          <w:rFonts w:hint="eastAsia"/>
          <w:b/>
          <w:bCs/>
        </w:rPr>
        <w:t xml:space="preserve">第四条 </w:t>
      </w:r>
      <w:r w:rsidR="00FA0363">
        <w:t>进入委托资产评估中介机构库的中介机构应当同时具备以下条件：</w:t>
      </w:r>
    </w:p>
    <w:p w14:paraId="67CE25A9" w14:textId="77777777" w:rsidR="00FA0363" w:rsidRDefault="00FA0363" w:rsidP="00FA0363">
      <w:pPr>
        <w:pStyle w:val="13"/>
      </w:pPr>
      <w:r>
        <w:rPr>
          <w:rFonts w:hint="eastAsia"/>
        </w:rPr>
        <w:t>（一）具备法定执业资格，其中从事证券期货相关业务的，应具备财政部、证监会颁发的证券期货相关业务资格。</w:t>
      </w:r>
    </w:p>
    <w:p w14:paraId="6A87BA2E" w14:textId="77777777" w:rsidR="00FA0363" w:rsidRDefault="00FA0363" w:rsidP="00FA0363">
      <w:pPr>
        <w:pStyle w:val="13"/>
      </w:pPr>
      <w:r>
        <w:rPr>
          <w:rFonts w:hint="eastAsia"/>
        </w:rPr>
        <w:t>（二）有固定的营业场所和执业人员，具有承担省属企业资产评估项目的便利条件。</w:t>
      </w:r>
    </w:p>
    <w:p w14:paraId="73FE653A" w14:textId="77777777" w:rsidR="00FA0363" w:rsidRDefault="00FA0363" w:rsidP="00FA0363">
      <w:pPr>
        <w:pStyle w:val="13"/>
      </w:pPr>
      <w:r>
        <w:rPr>
          <w:rFonts w:hint="eastAsia"/>
        </w:rPr>
        <w:t>（三）具有一定的经营规模。资产评估机构固定执业的注册资产评估师人数</w:t>
      </w:r>
      <w:r>
        <w:t>15名</w:t>
      </w:r>
      <w:r>
        <w:rPr>
          <w:rFonts w:hint="eastAsia"/>
        </w:rPr>
        <w:t>以上，上一年度业务收入</w:t>
      </w:r>
      <w:r>
        <w:t>300万元以上。</w:t>
      </w:r>
    </w:p>
    <w:p w14:paraId="017E5F34" w14:textId="77777777" w:rsidR="00FA0363" w:rsidRDefault="00FA0363" w:rsidP="00FA0363">
      <w:pPr>
        <w:pStyle w:val="13"/>
      </w:pPr>
      <w:r>
        <w:rPr>
          <w:rFonts w:hint="eastAsia"/>
        </w:rPr>
        <w:t>（四）连续经营三年以上，具有良好的信誉。近三年机构及其主要负责人无违法违规记录，所承担资产评估项目未出现重大质量问题或不良记录。</w:t>
      </w:r>
    </w:p>
    <w:p w14:paraId="68170E8D" w14:textId="77777777" w:rsidR="00FA0363" w:rsidRDefault="00FA0363" w:rsidP="00FA0363">
      <w:pPr>
        <w:pStyle w:val="13"/>
      </w:pPr>
      <w:r>
        <w:rPr>
          <w:rFonts w:hint="eastAsia"/>
        </w:rPr>
        <w:t>（五）有规范、健全的质量控制和队伍管理等内部管理制度。在约定工作期间能够调配较强力量，按照委托要求按时保质完成资产评估工作任务。</w:t>
      </w:r>
    </w:p>
    <w:p w14:paraId="57962E0F" w14:textId="66B0C9D8" w:rsidR="00FA0363" w:rsidRDefault="004E3EBB" w:rsidP="00FA0363">
      <w:pPr>
        <w:pStyle w:val="13"/>
        <w:ind w:firstLine="482"/>
      </w:pPr>
      <w:r w:rsidRPr="004E3EBB">
        <w:rPr>
          <w:rFonts w:hint="eastAsia"/>
          <w:b/>
          <w:bCs/>
        </w:rPr>
        <w:t xml:space="preserve">第五条 </w:t>
      </w:r>
      <w:r w:rsidR="00FA0363">
        <w:t>申请进入委托资产评估中介机构库，应向省国资委提出书面申请，并附送以下资料：</w:t>
      </w:r>
    </w:p>
    <w:p w14:paraId="3771DDE6" w14:textId="77777777" w:rsidR="00FA0363" w:rsidRDefault="00FA0363" w:rsidP="00FA0363">
      <w:pPr>
        <w:pStyle w:val="13"/>
      </w:pPr>
      <w:r>
        <w:rPr>
          <w:rFonts w:hint="eastAsia"/>
        </w:rPr>
        <w:t>（一）机构及其主要负责人简介；</w:t>
      </w:r>
    </w:p>
    <w:p w14:paraId="265AA257" w14:textId="77777777" w:rsidR="00FA0363" w:rsidRDefault="00FA0363" w:rsidP="00FA0363">
      <w:pPr>
        <w:pStyle w:val="13"/>
      </w:pPr>
      <w:r>
        <w:rPr>
          <w:rFonts w:hint="eastAsia"/>
        </w:rPr>
        <w:t>（二）机构执业资格证书原件及其复印件。</w:t>
      </w:r>
    </w:p>
    <w:p w14:paraId="7E1298A7" w14:textId="77777777" w:rsidR="00FA0363" w:rsidRDefault="00FA0363" w:rsidP="00FA0363">
      <w:pPr>
        <w:pStyle w:val="13"/>
      </w:pPr>
      <w:r>
        <w:rPr>
          <w:rFonts w:hint="eastAsia"/>
        </w:rPr>
        <w:t>（三）通过年检的营业执照副本及复印件；</w:t>
      </w:r>
    </w:p>
    <w:p w14:paraId="2A772F96" w14:textId="77777777" w:rsidR="00FA0363" w:rsidRDefault="00FA0363" w:rsidP="00FA0363">
      <w:pPr>
        <w:pStyle w:val="13"/>
      </w:pPr>
      <w:r>
        <w:rPr>
          <w:rFonts w:hint="eastAsia"/>
        </w:rPr>
        <w:t>（四）经审计的前三年财务报表；</w:t>
      </w:r>
    </w:p>
    <w:p w14:paraId="39695D24" w14:textId="77777777" w:rsidR="00FA0363" w:rsidRDefault="00FA0363" w:rsidP="00FA0363">
      <w:pPr>
        <w:pStyle w:val="13"/>
      </w:pPr>
      <w:r>
        <w:rPr>
          <w:rFonts w:hint="eastAsia"/>
        </w:rPr>
        <w:t>（五）通过年检的专业技术人员名单（</w:t>
      </w:r>
      <w:proofErr w:type="gramStart"/>
      <w:r>
        <w:rPr>
          <w:rFonts w:hint="eastAsia"/>
        </w:rPr>
        <w:t>需行业</w:t>
      </w:r>
      <w:proofErr w:type="gramEnd"/>
      <w:r>
        <w:rPr>
          <w:rFonts w:hint="eastAsia"/>
        </w:rPr>
        <w:t>协会盖章证明）；</w:t>
      </w:r>
    </w:p>
    <w:p w14:paraId="1A270B24" w14:textId="77777777" w:rsidR="00FA0363" w:rsidRDefault="00FA0363" w:rsidP="00FA0363">
      <w:pPr>
        <w:pStyle w:val="13"/>
      </w:pPr>
      <w:r>
        <w:rPr>
          <w:rFonts w:hint="eastAsia"/>
        </w:rPr>
        <w:t>（六）行业协会出具的近三年无违法违规记录的证明；</w:t>
      </w:r>
    </w:p>
    <w:p w14:paraId="66E32E7B" w14:textId="77777777" w:rsidR="00FA0363" w:rsidRDefault="00FA0363" w:rsidP="00FA0363">
      <w:pPr>
        <w:pStyle w:val="13"/>
      </w:pPr>
      <w:r>
        <w:rPr>
          <w:rFonts w:hint="eastAsia"/>
        </w:rPr>
        <w:lastRenderedPageBreak/>
        <w:t>（七）申请材料真实性的承诺函；</w:t>
      </w:r>
    </w:p>
    <w:p w14:paraId="347B0CAF" w14:textId="77777777" w:rsidR="00FA0363" w:rsidRDefault="00FA0363" w:rsidP="00FA0363">
      <w:pPr>
        <w:pStyle w:val="13"/>
      </w:pPr>
      <w:r>
        <w:rPr>
          <w:rFonts w:hint="eastAsia"/>
        </w:rPr>
        <w:t>（八）其它材料。</w:t>
      </w:r>
    </w:p>
    <w:p w14:paraId="6FA273E8" w14:textId="65657291" w:rsidR="00FA0363" w:rsidRDefault="004E3EBB" w:rsidP="00FA0363">
      <w:pPr>
        <w:pStyle w:val="13"/>
        <w:ind w:firstLine="482"/>
      </w:pPr>
      <w:r w:rsidRPr="004E3EBB">
        <w:rPr>
          <w:rFonts w:hint="eastAsia"/>
          <w:b/>
          <w:bCs/>
        </w:rPr>
        <w:t xml:space="preserve">第六条 </w:t>
      </w:r>
      <w:r w:rsidR="00FA0363">
        <w:t>中介机构</w:t>
      </w:r>
      <w:proofErr w:type="gramStart"/>
      <w:r w:rsidR="00FA0363">
        <w:t>库实行</w:t>
      </w:r>
      <w:proofErr w:type="gramEnd"/>
      <w:r w:rsidR="00FA0363">
        <w:t>动态管理。省国资委每年对中介机构</w:t>
      </w:r>
      <w:proofErr w:type="gramStart"/>
      <w:r w:rsidR="00FA0363">
        <w:t>库开展</w:t>
      </w:r>
      <w:proofErr w:type="gramEnd"/>
      <w:r w:rsidR="00FA0363">
        <w:t>一次更新工作，对库内中介机构是否符合本办法第四条规定条件进行审验，库内中介机构不再具备入库规定条件的，取消其在库资格。同时，接受库外中介机构的入库申请。</w:t>
      </w:r>
    </w:p>
    <w:p w14:paraId="46457F6C" w14:textId="77777777" w:rsidR="00FA0363" w:rsidRDefault="00FA0363" w:rsidP="00FA0363">
      <w:pPr>
        <w:pStyle w:val="13"/>
      </w:pPr>
      <w:r>
        <w:rPr>
          <w:rFonts w:hint="eastAsia"/>
        </w:rPr>
        <w:t>库内中介机构应于每年</w:t>
      </w:r>
      <w:r>
        <w:t>5月份将相关部门对本机构的年检情况、经审计的上一年度财务报表、通过年检的专业技术人员名单、上一年度无违法违规记录证明，以及承担省国资委项目完成情况总结等材料报送我委审验。</w:t>
      </w:r>
    </w:p>
    <w:p w14:paraId="73361AB0" w14:textId="594E410D" w:rsidR="00FA0363" w:rsidRDefault="004E3EBB" w:rsidP="00FA0363">
      <w:pPr>
        <w:pStyle w:val="13"/>
        <w:ind w:firstLine="482"/>
      </w:pPr>
      <w:r w:rsidRPr="004E3EBB">
        <w:rPr>
          <w:rFonts w:hint="eastAsia"/>
          <w:b/>
          <w:bCs/>
        </w:rPr>
        <w:t xml:space="preserve">第七条 </w:t>
      </w:r>
      <w:r w:rsidR="00FA0363">
        <w:t>省属企业申请选择确定资产评估中介机构，应在请示文件中充分说明对应经济行为的批准情况等，并填写《委托资产评估项目基本情况表》（见附件1）。</w:t>
      </w:r>
    </w:p>
    <w:p w14:paraId="7DAAC493" w14:textId="0BEB0972" w:rsidR="00FA0363" w:rsidRDefault="004E3EBB" w:rsidP="00FA0363">
      <w:pPr>
        <w:pStyle w:val="13"/>
        <w:ind w:firstLine="482"/>
      </w:pPr>
      <w:r w:rsidRPr="004E3EBB">
        <w:rPr>
          <w:rFonts w:hint="eastAsia"/>
          <w:b/>
          <w:bCs/>
        </w:rPr>
        <w:t xml:space="preserve">第八条 </w:t>
      </w:r>
      <w:r w:rsidR="00FA0363">
        <w:t>省国资委选择确定资产评估机构，原则上采取公开招投标的方式进行。招投标工作一般每月进行一次。招标文件等信息以网络公告的形式向库内中介机构发</w:t>
      </w:r>
      <w:r w:rsidR="00FA0363">
        <w:rPr>
          <w:rFonts w:hint="eastAsia"/>
        </w:rPr>
        <w:t>布。</w:t>
      </w:r>
    </w:p>
    <w:p w14:paraId="1B44384F" w14:textId="0DE40D8A" w:rsidR="00FA0363" w:rsidRDefault="00E05BDA" w:rsidP="00FA0363">
      <w:pPr>
        <w:pStyle w:val="13"/>
        <w:ind w:firstLine="482"/>
      </w:pPr>
      <w:r w:rsidRPr="00E05BDA">
        <w:rPr>
          <w:rFonts w:hint="eastAsia"/>
          <w:b/>
          <w:bCs/>
        </w:rPr>
        <w:t xml:space="preserve">第九条 </w:t>
      </w:r>
      <w:r w:rsidR="00FA0363">
        <w:t>库内中介机构应按照招标文件的要求参与投标，在投标书中载明以下内容，并提供相应证明材料：</w:t>
      </w:r>
    </w:p>
    <w:p w14:paraId="233100BF" w14:textId="77777777" w:rsidR="00FA0363" w:rsidRDefault="00FA0363" w:rsidP="00FA0363">
      <w:pPr>
        <w:pStyle w:val="13"/>
      </w:pPr>
      <w:r>
        <w:rPr>
          <w:rFonts w:hint="eastAsia"/>
        </w:rPr>
        <w:t>（一）具备招标项目要求的资质条件，愿意承担招标文件规定的全部工作任务；</w:t>
      </w:r>
    </w:p>
    <w:p w14:paraId="29F67542" w14:textId="77777777" w:rsidR="00FA0363" w:rsidRDefault="00FA0363" w:rsidP="00FA0363">
      <w:pPr>
        <w:pStyle w:val="13"/>
      </w:pPr>
      <w:r>
        <w:rPr>
          <w:rFonts w:hint="eastAsia"/>
        </w:rPr>
        <w:t>（二）机构简介，主要包括专业技术人员队伍、年度业务收入、以往承担项目情况、行业排名和荣誉等情况；</w:t>
      </w:r>
    </w:p>
    <w:p w14:paraId="6EFD1E98" w14:textId="77777777" w:rsidR="00FA0363" w:rsidRDefault="00FA0363" w:rsidP="00FA0363">
      <w:pPr>
        <w:pStyle w:val="13"/>
      </w:pPr>
      <w:r>
        <w:rPr>
          <w:rFonts w:hint="eastAsia"/>
        </w:rPr>
        <w:t>（三）资产评估工作方案，包括项目小组的组成与分工、工作方法的选择、项目的时间安排，以及质量保证措施；</w:t>
      </w:r>
    </w:p>
    <w:p w14:paraId="7F8BA134" w14:textId="77777777" w:rsidR="00FA0363" w:rsidRDefault="00FA0363" w:rsidP="00FA0363">
      <w:pPr>
        <w:pStyle w:val="13"/>
      </w:pPr>
      <w:r>
        <w:rPr>
          <w:rFonts w:hint="eastAsia"/>
        </w:rPr>
        <w:t>（四）包括人工费、差旅费等各项费用在内的项目总报价；</w:t>
      </w:r>
    </w:p>
    <w:p w14:paraId="2AB44EFD" w14:textId="77777777" w:rsidR="00FA0363" w:rsidRDefault="00FA0363" w:rsidP="00FA0363">
      <w:pPr>
        <w:pStyle w:val="13"/>
      </w:pPr>
      <w:r>
        <w:rPr>
          <w:rFonts w:hint="eastAsia"/>
        </w:rPr>
        <w:t>（五）同意省国资委依照招标文件、业务约定书和评估报告验收办法，对资产评估报告进行考核。</w:t>
      </w:r>
    </w:p>
    <w:p w14:paraId="62470691" w14:textId="77777777" w:rsidR="00FA0363" w:rsidRDefault="00FA0363" w:rsidP="00FA0363">
      <w:pPr>
        <w:pStyle w:val="13"/>
      </w:pPr>
      <w:r>
        <w:rPr>
          <w:rFonts w:hint="eastAsia"/>
        </w:rPr>
        <w:t>评估报告验收办法由省国资委另行制定并公布。</w:t>
      </w:r>
    </w:p>
    <w:p w14:paraId="59D3CD87" w14:textId="3646F3C4" w:rsidR="00FA0363" w:rsidRDefault="00E05BDA" w:rsidP="00FA0363">
      <w:pPr>
        <w:pStyle w:val="13"/>
        <w:ind w:firstLine="482"/>
      </w:pPr>
      <w:r w:rsidRPr="00E05BDA">
        <w:rPr>
          <w:rFonts w:hint="eastAsia"/>
          <w:b/>
          <w:bCs/>
        </w:rPr>
        <w:t xml:space="preserve">第十条 </w:t>
      </w:r>
      <w:r w:rsidR="00FA0363">
        <w:t>投标书有下列情况之一的，</w:t>
      </w:r>
      <w:proofErr w:type="gramStart"/>
      <w:r w:rsidR="00FA0363">
        <w:t>作为废标处理</w:t>
      </w:r>
      <w:proofErr w:type="gramEnd"/>
      <w:r w:rsidR="00FA0363">
        <w:t>：</w:t>
      </w:r>
    </w:p>
    <w:p w14:paraId="2D80A09E" w14:textId="77777777" w:rsidR="00FA0363" w:rsidRDefault="00FA0363" w:rsidP="00FA0363">
      <w:pPr>
        <w:pStyle w:val="13"/>
      </w:pPr>
      <w:r>
        <w:rPr>
          <w:rFonts w:hint="eastAsia"/>
        </w:rPr>
        <w:t>（一）超过规定时限递交的；</w:t>
      </w:r>
    </w:p>
    <w:p w14:paraId="3A9E8871" w14:textId="77777777" w:rsidR="00FA0363" w:rsidRDefault="00FA0363" w:rsidP="00FA0363">
      <w:pPr>
        <w:pStyle w:val="13"/>
      </w:pPr>
      <w:r>
        <w:rPr>
          <w:rFonts w:hint="eastAsia"/>
        </w:rPr>
        <w:t>（二）未按规定密封的；</w:t>
      </w:r>
    </w:p>
    <w:p w14:paraId="6EE535FB" w14:textId="77777777" w:rsidR="00FA0363" w:rsidRDefault="00FA0363" w:rsidP="00FA0363">
      <w:pPr>
        <w:pStyle w:val="13"/>
      </w:pPr>
      <w:r>
        <w:rPr>
          <w:rFonts w:hint="eastAsia"/>
        </w:rPr>
        <w:t>（三）以他人名义投标、串通投标或其他弄虚作假方式投标的；</w:t>
      </w:r>
    </w:p>
    <w:p w14:paraId="6A54E3B4" w14:textId="77777777" w:rsidR="00FA0363" w:rsidRDefault="00FA0363" w:rsidP="00FA0363">
      <w:pPr>
        <w:pStyle w:val="13"/>
      </w:pPr>
      <w:r>
        <w:rPr>
          <w:rFonts w:hint="eastAsia"/>
        </w:rPr>
        <w:t>（四）不能满足招标文件提出的全部实质性要求的；</w:t>
      </w:r>
    </w:p>
    <w:p w14:paraId="55B0649A" w14:textId="77777777" w:rsidR="00FA0363" w:rsidRDefault="00FA0363" w:rsidP="00FA0363">
      <w:pPr>
        <w:pStyle w:val="13"/>
      </w:pPr>
      <w:r>
        <w:rPr>
          <w:rFonts w:hint="eastAsia"/>
        </w:rPr>
        <w:t>（五）投标人不再符合本办法第四条规定条件的；</w:t>
      </w:r>
    </w:p>
    <w:p w14:paraId="6B105D95" w14:textId="77777777" w:rsidR="00FA0363" w:rsidRDefault="00FA0363" w:rsidP="00FA0363">
      <w:pPr>
        <w:pStyle w:val="13"/>
      </w:pPr>
      <w:r>
        <w:rPr>
          <w:rFonts w:hint="eastAsia"/>
        </w:rPr>
        <w:t>(六）投标人有其它违法违规情况的。</w:t>
      </w:r>
    </w:p>
    <w:p w14:paraId="6DE2FDB6" w14:textId="37B3153B" w:rsidR="00FA0363" w:rsidRDefault="00E05BDA" w:rsidP="00FA0363">
      <w:pPr>
        <w:pStyle w:val="13"/>
        <w:ind w:firstLine="482"/>
      </w:pPr>
      <w:r w:rsidRPr="00E05BDA">
        <w:rPr>
          <w:rFonts w:hint="eastAsia"/>
          <w:b/>
          <w:bCs/>
        </w:rPr>
        <w:t xml:space="preserve">第十一条 </w:t>
      </w:r>
      <w:r w:rsidR="00FA0363">
        <w:t>省国资委建立委托资产评估招标评标专家库，对省国资委组织的招标项目实施评标。</w:t>
      </w:r>
    </w:p>
    <w:p w14:paraId="382C0E34" w14:textId="77777777" w:rsidR="00FA0363" w:rsidRDefault="00FA0363" w:rsidP="00FA0363">
      <w:pPr>
        <w:pStyle w:val="13"/>
      </w:pPr>
      <w:r>
        <w:rPr>
          <w:rFonts w:hint="eastAsia"/>
        </w:rPr>
        <w:t>评标工作按照以下程序进行：</w:t>
      </w:r>
    </w:p>
    <w:p w14:paraId="0D29A7B4" w14:textId="77777777" w:rsidR="00FA0363" w:rsidRDefault="00FA0363" w:rsidP="00FA0363">
      <w:pPr>
        <w:pStyle w:val="13"/>
      </w:pPr>
      <w:r>
        <w:rPr>
          <w:rFonts w:hint="eastAsia"/>
        </w:rPr>
        <w:lastRenderedPageBreak/>
        <w:t>（一）省国资委纪检监察机构派员，从评标专家库中随机抽选</w:t>
      </w:r>
      <w:r>
        <w:t>3名以上专家（须为单数），组成评标专家组；</w:t>
      </w:r>
    </w:p>
    <w:p w14:paraId="12134A75" w14:textId="77777777" w:rsidR="00FA0363" w:rsidRDefault="00FA0363" w:rsidP="00FA0363">
      <w:pPr>
        <w:pStyle w:val="13"/>
      </w:pPr>
      <w:r>
        <w:rPr>
          <w:rFonts w:hint="eastAsia"/>
        </w:rPr>
        <w:t>（二）省国资委工作人员现场开标，纪检监察机构派员现场监督；</w:t>
      </w:r>
    </w:p>
    <w:p w14:paraId="091C2879" w14:textId="77777777" w:rsidR="00FA0363" w:rsidRDefault="00FA0363" w:rsidP="00FA0363">
      <w:pPr>
        <w:pStyle w:val="13"/>
      </w:pPr>
      <w:r>
        <w:rPr>
          <w:rFonts w:hint="eastAsia"/>
        </w:rPr>
        <w:t>（三）评标专家根据《评标细则》，利用自身专业知识，对中介机构提交的投标书进行独立评审评分；</w:t>
      </w:r>
    </w:p>
    <w:p w14:paraId="184965C1" w14:textId="77777777" w:rsidR="00FA0363" w:rsidRDefault="00FA0363" w:rsidP="00FA0363">
      <w:pPr>
        <w:pStyle w:val="13"/>
      </w:pPr>
      <w:r>
        <w:rPr>
          <w:rFonts w:hint="eastAsia"/>
        </w:rPr>
        <w:t>（四）省国资委工作人员现场统计各投标人得分，按高低顺序排出名次，经纪检监察人员复核签字后密封；</w:t>
      </w:r>
    </w:p>
    <w:p w14:paraId="52D14EA4" w14:textId="77777777" w:rsidR="00FA0363" w:rsidRDefault="00FA0363" w:rsidP="00FA0363">
      <w:pPr>
        <w:pStyle w:val="13"/>
      </w:pPr>
      <w:r>
        <w:rPr>
          <w:rFonts w:hint="eastAsia"/>
        </w:rPr>
        <w:t>（五）省国资委组织有关人员成立审标委员会，对专家评审结果进行综合评价，</w:t>
      </w:r>
      <w:r>
        <w:t>确定中标机构；</w:t>
      </w:r>
    </w:p>
    <w:p w14:paraId="42C2C5E4" w14:textId="77777777" w:rsidR="00FA0363" w:rsidRDefault="00FA0363" w:rsidP="00FA0363">
      <w:pPr>
        <w:pStyle w:val="13"/>
      </w:pPr>
      <w:r>
        <w:rPr>
          <w:rFonts w:hint="eastAsia"/>
        </w:rPr>
        <w:t>（六）网上发布中标公告，书面通知有关省属企业和中标的中介机构。</w:t>
      </w:r>
    </w:p>
    <w:p w14:paraId="452E8D46" w14:textId="104281F1" w:rsidR="00FA0363" w:rsidRDefault="00E05BDA" w:rsidP="00FA0363">
      <w:pPr>
        <w:pStyle w:val="13"/>
        <w:ind w:firstLine="482"/>
      </w:pPr>
      <w:r w:rsidRPr="00E05BDA">
        <w:rPr>
          <w:rFonts w:hint="eastAsia"/>
          <w:b/>
          <w:bCs/>
        </w:rPr>
        <w:t xml:space="preserve">第十二条 </w:t>
      </w:r>
      <w:r w:rsidR="00FA0363">
        <w:t>中标机构应于接到通知后10个工作日内，与委托单位签订业务约定书。逾期不签的，视为弃标，省国资委将根据专家评分结果，由高至低依次递补。</w:t>
      </w:r>
    </w:p>
    <w:p w14:paraId="25EEA148" w14:textId="77777777" w:rsidR="00FA0363" w:rsidRDefault="00FA0363" w:rsidP="00FA0363">
      <w:pPr>
        <w:pStyle w:val="13"/>
      </w:pPr>
      <w:r>
        <w:rPr>
          <w:rFonts w:hint="eastAsia"/>
        </w:rPr>
        <w:t>业务约定书一般应包括以下内容：</w:t>
      </w:r>
    </w:p>
    <w:p w14:paraId="4EADFB61" w14:textId="77777777" w:rsidR="00FA0363" w:rsidRDefault="00FA0363" w:rsidP="00FA0363">
      <w:pPr>
        <w:pStyle w:val="13"/>
      </w:pPr>
      <w:r>
        <w:rPr>
          <w:rFonts w:hint="eastAsia"/>
        </w:rPr>
        <w:t>（一）项目名称、业务范围、基准日和实施目的；</w:t>
      </w:r>
    </w:p>
    <w:p w14:paraId="0391A93C" w14:textId="77777777" w:rsidR="00FA0363" w:rsidRDefault="00FA0363" w:rsidP="00FA0363">
      <w:pPr>
        <w:pStyle w:val="13"/>
      </w:pPr>
      <w:r>
        <w:rPr>
          <w:rFonts w:hint="eastAsia"/>
        </w:rPr>
        <w:t>（二）项目完成时间要求；</w:t>
      </w:r>
    </w:p>
    <w:p w14:paraId="061612FB" w14:textId="77777777" w:rsidR="00FA0363" w:rsidRDefault="00FA0363" w:rsidP="00FA0363">
      <w:pPr>
        <w:pStyle w:val="13"/>
      </w:pPr>
      <w:r>
        <w:rPr>
          <w:rFonts w:hint="eastAsia"/>
        </w:rPr>
        <w:t>（三）收费标准与支付方式；</w:t>
      </w:r>
    </w:p>
    <w:p w14:paraId="17E2D2CB" w14:textId="77777777" w:rsidR="00FA0363" w:rsidRDefault="00FA0363" w:rsidP="00FA0363">
      <w:pPr>
        <w:pStyle w:val="13"/>
      </w:pPr>
      <w:r>
        <w:rPr>
          <w:rFonts w:hint="eastAsia"/>
        </w:rPr>
        <w:t>（四）双方的权利义务；</w:t>
      </w:r>
    </w:p>
    <w:p w14:paraId="73BD84A5" w14:textId="77777777" w:rsidR="00FA0363" w:rsidRDefault="00FA0363" w:rsidP="00FA0363">
      <w:pPr>
        <w:pStyle w:val="13"/>
      </w:pPr>
      <w:r>
        <w:rPr>
          <w:rFonts w:hint="eastAsia"/>
        </w:rPr>
        <w:t>（五）违约责任。</w:t>
      </w:r>
    </w:p>
    <w:p w14:paraId="4896920C" w14:textId="09CDAF6A" w:rsidR="00FA0363" w:rsidRDefault="00E05BDA" w:rsidP="00FA0363">
      <w:pPr>
        <w:pStyle w:val="13"/>
        <w:ind w:firstLine="482"/>
      </w:pPr>
      <w:r w:rsidRPr="00E05BDA">
        <w:rPr>
          <w:rFonts w:hint="eastAsia"/>
          <w:b/>
          <w:bCs/>
        </w:rPr>
        <w:t xml:space="preserve">第十三条 </w:t>
      </w:r>
      <w:r w:rsidR="00FA0363">
        <w:t>库内中介机构应当严格按照国家法律法规、行业规范和业务约定书，独立、客观、公正地开展业务工作，按时保质地出具资产评估报告，并对所出具的报告负责。</w:t>
      </w:r>
      <w:proofErr w:type="gramStart"/>
      <w:r w:rsidR="00FA0363">
        <w:t>如遇非中介</w:t>
      </w:r>
      <w:proofErr w:type="gramEnd"/>
      <w:r w:rsidR="00FA0363">
        <w:t>机构自身的客观情况，造成不能按照业务约定书约定的时间完成评估报告的，中介机构应当在约定的时间期满前的10日内，向省国资委提交经企业认可的书面报告。评估过程中，需要省国资委明确或者应该知道的事项，中介机构要及时报告省国资委。</w:t>
      </w:r>
    </w:p>
    <w:p w14:paraId="536DA39C" w14:textId="77777777" w:rsidR="00FA0363" w:rsidRDefault="00FA0363" w:rsidP="00FA0363">
      <w:pPr>
        <w:pStyle w:val="13"/>
      </w:pPr>
      <w:r>
        <w:rPr>
          <w:rFonts w:hint="eastAsia"/>
        </w:rPr>
        <w:t>资产评估报告应当主送委托单位，同时</w:t>
      </w:r>
      <w:proofErr w:type="gramStart"/>
      <w:r>
        <w:rPr>
          <w:rFonts w:hint="eastAsia"/>
        </w:rPr>
        <w:t>分送省</w:t>
      </w:r>
      <w:proofErr w:type="gramEnd"/>
      <w:r>
        <w:rPr>
          <w:rFonts w:hint="eastAsia"/>
        </w:rPr>
        <w:t>国资委。</w:t>
      </w:r>
    </w:p>
    <w:p w14:paraId="302A7BED" w14:textId="778AF029" w:rsidR="00FA0363" w:rsidRDefault="00E05BDA" w:rsidP="00FA0363">
      <w:pPr>
        <w:pStyle w:val="13"/>
        <w:ind w:firstLine="482"/>
      </w:pPr>
      <w:r w:rsidRPr="00E05BDA">
        <w:rPr>
          <w:rFonts w:hint="eastAsia"/>
          <w:b/>
          <w:bCs/>
        </w:rPr>
        <w:t xml:space="preserve">第十四条 </w:t>
      </w:r>
      <w:r w:rsidR="00FA0363">
        <w:t>省属企业应当依法提供相关资料，积极配合中介机构开展业务工作。在不干预中介机构独立执业的前提下，对中介机构依法执业和履行投标承诺情况进行监督，并填写《中介机构执业情况表》（见附件2），与报请核准或备案的资产评估报告一并报送省国资委。</w:t>
      </w:r>
    </w:p>
    <w:p w14:paraId="68E10E49" w14:textId="0DA90E8B" w:rsidR="00FA0363" w:rsidRDefault="00E05BDA" w:rsidP="00FA0363">
      <w:pPr>
        <w:pStyle w:val="13"/>
        <w:ind w:firstLine="482"/>
      </w:pPr>
      <w:r w:rsidRPr="00E05BDA">
        <w:rPr>
          <w:rFonts w:hint="eastAsia"/>
          <w:b/>
          <w:bCs/>
        </w:rPr>
        <w:t xml:space="preserve">第十五条 </w:t>
      </w:r>
      <w:r w:rsidR="00FA0363">
        <w:t>省国资委对中介机构的执业活动实施必要的跟踪指导和监督抽查。</w:t>
      </w:r>
    </w:p>
    <w:p w14:paraId="1CEDE289" w14:textId="4AD3B8CE" w:rsidR="00FA0363" w:rsidRDefault="00E05BDA" w:rsidP="00FA0363">
      <w:pPr>
        <w:pStyle w:val="13"/>
        <w:ind w:firstLine="482"/>
      </w:pPr>
      <w:r w:rsidRPr="00E05BDA">
        <w:rPr>
          <w:rFonts w:hint="eastAsia"/>
          <w:b/>
          <w:bCs/>
        </w:rPr>
        <w:t xml:space="preserve">第十六条 </w:t>
      </w:r>
      <w:r w:rsidR="00FA0363">
        <w:t>以招标形式选择确定中介机构的项目，省国资委根据中介机构依法执业和履行投标承诺情况，结合评估报告，对中标机构的工作质量进行考核评分，并根据考核评分结果</w:t>
      </w:r>
      <w:proofErr w:type="gramStart"/>
      <w:r w:rsidR="00FA0363">
        <w:t>作出</w:t>
      </w:r>
      <w:proofErr w:type="gramEnd"/>
      <w:r w:rsidR="00FA0363">
        <w:t>相应处理。</w:t>
      </w:r>
    </w:p>
    <w:p w14:paraId="6D185757" w14:textId="50281E5D" w:rsidR="00FA0363" w:rsidRDefault="00E05BDA" w:rsidP="00FA0363">
      <w:pPr>
        <w:pStyle w:val="13"/>
        <w:ind w:firstLine="482"/>
      </w:pPr>
      <w:r w:rsidRPr="00E05BDA">
        <w:rPr>
          <w:rFonts w:hint="eastAsia"/>
          <w:b/>
          <w:bCs/>
        </w:rPr>
        <w:t xml:space="preserve">第十七条 </w:t>
      </w:r>
      <w:r w:rsidR="00FA0363">
        <w:t>省国资委建立库内中介机构执业质量和诚信档案，作为以后招标项目</w:t>
      </w:r>
      <w:r w:rsidR="00FA0363">
        <w:lastRenderedPageBreak/>
        <w:t>评标的重要指标。</w:t>
      </w:r>
    </w:p>
    <w:p w14:paraId="59DB9FF0" w14:textId="78529178" w:rsidR="00FA0363" w:rsidRDefault="00E05BDA" w:rsidP="00FA0363">
      <w:pPr>
        <w:pStyle w:val="13"/>
        <w:ind w:firstLine="482"/>
      </w:pPr>
      <w:r w:rsidRPr="00E05BDA">
        <w:rPr>
          <w:rFonts w:hint="eastAsia"/>
          <w:b/>
          <w:bCs/>
        </w:rPr>
        <w:t xml:space="preserve">第十八条 </w:t>
      </w:r>
      <w:r w:rsidR="00FA0363">
        <w:t>中介机构</w:t>
      </w:r>
      <w:proofErr w:type="gramStart"/>
      <w:r w:rsidR="00FA0363">
        <w:t>库实行</w:t>
      </w:r>
      <w:proofErr w:type="gramEnd"/>
      <w:r w:rsidR="00FA0363">
        <w:t>末位淘汰制。库内各中介机构年度所有中标项目的考核平均得分排名末位的，取消其在库资格，一年内不接受其新的入库申请。因本办法第六条、第十九条规定原因被取消在库资格，以及年度内参与投标但未中标的中介机</w:t>
      </w:r>
      <w:r w:rsidR="00FA0363">
        <w:rPr>
          <w:rFonts w:hint="eastAsia"/>
        </w:rPr>
        <w:t>构，不参加末位排名。</w:t>
      </w:r>
    </w:p>
    <w:p w14:paraId="5993936D" w14:textId="77777777" w:rsidR="00FA0363" w:rsidRDefault="00FA0363" w:rsidP="00FA0363">
      <w:pPr>
        <w:pStyle w:val="13"/>
      </w:pPr>
      <w:r>
        <w:rPr>
          <w:rFonts w:hint="eastAsia"/>
        </w:rPr>
        <w:t>库内各中介机构年度所有中标项目的考核平均得分均在</w:t>
      </w:r>
      <w:r>
        <w:t>90分以上的，该年度不再实施末位淘汰。</w:t>
      </w:r>
    </w:p>
    <w:p w14:paraId="0D8BA341" w14:textId="4BEE5B0C" w:rsidR="00FA0363" w:rsidRDefault="00E05BDA" w:rsidP="00FA0363">
      <w:pPr>
        <w:pStyle w:val="13"/>
        <w:ind w:firstLine="482"/>
      </w:pPr>
      <w:r w:rsidRPr="00E05BDA">
        <w:rPr>
          <w:rFonts w:hint="eastAsia"/>
          <w:b/>
          <w:bCs/>
        </w:rPr>
        <w:t xml:space="preserve">第十九条 </w:t>
      </w:r>
      <w:r w:rsidR="00FA0363">
        <w:t>库内中介机构有下列情形之一的，省国资委取消其在库资格，3年内不接受其新的入库申请：</w:t>
      </w:r>
    </w:p>
    <w:p w14:paraId="4102A23F" w14:textId="77777777" w:rsidR="00FA0363" w:rsidRDefault="00FA0363" w:rsidP="00FA0363">
      <w:pPr>
        <w:pStyle w:val="13"/>
      </w:pPr>
      <w:r>
        <w:rPr>
          <w:rFonts w:hint="eastAsia"/>
        </w:rPr>
        <w:t>（一）在资产评估工作中存在重大过错，致使评估结果严重失实的；</w:t>
      </w:r>
    </w:p>
    <w:p w14:paraId="1D17161E" w14:textId="77777777" w:rsidR="00FA0363" w:rsidRDefault="00FA0363" w:rsidP="00FA0363">
      <w:pPr>
        <w:pStyle w:val="13"/>
      </w:pPr>
      <w:r>
        <w:rPr>
          <w:rFonts w:hint="eastAsia"/>
        </w:rPr>
        <w:t>（二）出具的评估报告存在质量问题，在省国资委组织的专家评审中，同</w:t>
      </w:r>
      <w:proofErr w:type="gramStart"/>
      <w:r>
        <w:rPr>
          <w:rFonts w:hint="eastAsia"/>
        </w:rPr>
        <w:t>一报告</w:t>
      </w:r>
      <w:proofErr w:type="gramEnd"/>
      <w:r>
        <w:rPr>
          <w:rFonts w:hint="eastAsia"/>
        </w:rPr>
        <w:t>的同一事项被评审专家集体否定</w:t>
      </w:r>
      <w:r>
        <w:t>2次以上的；</w:t>
      </w:r>
    </w:p>
    <w:p w14:paraId="19B83E77" w14:textId="77777777" w:rsidR="00FA0363" w:rsidRDefault="00FA0363" w:rsidP="00FA0363">
      <w:pPr>
        <w:pStyle w:val="13"/>
      </w:pPr>
      <w:r>
        <w:rPr>
          <w:rFonts w:hint="eastAsia"/>
        </w:rPr>
        <w:t>（三）未经省国资委书面同意，将所中标业务转包或分包的；</w:t>
      </w:r>
    </w:p>
    <w:p w14:paraId="4C410C3C" w14:textId="77777777" w:rsidR="00FA0363" w:rsidRDefault="00FA0363" w:rsidP="00FA0363">
      <w:pPr>
        <w:pStyle w:val="13"/>
      </w:pPr>
      <w:r>
        <w:rPr>
          <w:rFonts w:hint="eastAsia"/>
        </w:rPr>
        <w:t>（四）采取故意隐瞒、弄虚作假等不正当手段获得中标的；</w:t>
      </w:r>
    </w:p>
    <w:p w14:paraId="767F2BB1" w14:textId="77777777" w:rsidR="00FA0363" w:rsidRDefault="00FA0363" w:rsidP="00FA0363">
      <w:pPr>
        <w:pStyle w:val="13"/>
      </w:pPr>
      <w:r>
        <w:rPr>
          <w:rFonts w:hint="eastAsia"/>
        </w:rPr>
        <w:t>（五）不能按时完成评估报告的；</w:t>
      </w:r>
    </w:p>
    <w:p w14:paraId="07BC1399" w14:textId="77777777" w:rsidR="00FA0363" w:rsidRDefault="00FA0363" w:rsidP="00FA0363">
      <w:pPr>
        <w:pStyle w:val="13"/>
      </w:pPr>
      <w:r>
        <w:rPr>
          <w:rFonts w:hint="eastAsia"/>
        </w:rPr>
        <w:t>（六）一年内不参与省国资委招投标活动的；</w:t>
      </w:r>
    </w:p>
    <w:p w14:paraId="55489671" w14:textId="77777777" w:rsidR="00FA0363" w:rsidRDefault="00FA0363" w:rsidP="00FA0363">
      <w:pPr>
        <w:pStyle w:val="13"/>
      </w:pPr>
      <w:r>
        <w:rPr>
          <w:rFonts w:hint="eastAsia"/>
        </w:rPr>
        <w:t>（七）对省国资委依法实施的跟踪指导和监督抽查不予配合的；</w:t>
      </w:r>
    </w:p>
    <w:p w14:paraId="5CC0604A" w14:textId="77777777" w:rsidR="00FA0363" w:rsidRDefault="00FA0363" w:rsidP="00FA0363">
      <w:pPr>
        <w:pStyle w:val="13"/>
      </w:pPr>
      <w:r>
        <w:rPr>
          <w:rFonts w:hint="eastAsia"/>
        </w:rPr>
        <w:t>（八）无故弃标的；</w:t>
      </w:r>
    </w:p>
    <w:p w14:paraId="5B3ADEA8" w14:textId="77777777" w:rsidR="00FA0363" w:rsidRDefault="00FA0363" w:rsidP="00FA0363">
      <w:pPr>
        <w:pStyle w:val="13"/>
      </w:pPr>
      <w:r>
        <w:rPr>
          <w:rFonts w:hint="eastAsia"/>
        </w:rPr>
        <w:t>（九）有其他违法违规行为的。</w:t>
      </w:r>
    </w:p>
    <w:p w14:paraId="7C7CC2D2" w14:textId="77777777" w:rsidR="00FA0363" w:rsidRDefault="00FA0363" w:rsidP="00FA0363">
      <w:pPr>
        <w:pStyle w:val="13"/>
      </w:pPr>
      <w:r>
        <w:rPr>
          <w:rFonts w:hint="eastAsia"/>
        </w:rPr>
        <w:t>有前款第（一）、（二）项情形的，评估结果无效，且不支付评估费用。有前款第</w:t>
      </w:r>
    </w:p>
    <w:p w14:paraId="594AF2CA" w14:textId="77777777" w:rsidR="00FA0363" w:rsidRDefault="00FA0363" w:rsidP="00FA0363">
      <w:pPr>
        <w:pStyle w:val="13"/>
      </w:pPr>
      <w:r>
        <w:rPr>
          <w:rFonts w:hint="eastAsia"/>
        </w:rPr>
        <w:t>（三）、（四）、（五）项情形的，取消中标资格，且不支付评估费用。</w:t>
      </w:r>
    </w:p>
    <w:p w14:paraId="2B511D01" w14:textId="77777777" w:rsidR="00FA0363" w:rsidRDefault="00FA0363" w:rsidP="00FA0363">
      <w:pPr>
        <w:pStyle w:val="13"/>
      </w:pPr>
      <w:r>
        <w:rPr>
          <w:rFonts w:hint="eastAsia"/>
        </w:rPr>
        <w:t>取消中标资格的，按照该项目招标时的排名依次替补。评估结果无效的，重新选择确定评估机构，进行资产评估。</w:t>
      </w:r>
    </w:p>
    <w:p w14:paraId="61D27F3C" w14:textId="6634DB51" w:rsidR="00FA0363" w:rsidRDefault="00E05BDA" w:rsidP="00FA0363">
      <w:pPr>
        <w:pStyle w:val="13"/>
        <w:ind w:firstLine="482"/>
      </w:pPr>
      <w:r w:rsidRPr="00E05BDA">
        <w:rPr>
          <w:rFonts w:hint="eastAsia"/>
          <w:b/>
          <w:bCs/>
        </w:rPr>
        <w:t xml:space="preserve">第二十条 </w:t>
      </w:r>
      <w:r w:rsidR="00FA0363">
        <w:t>库内中介机构及其工作人员在资产评估过程中违法违规执业的，省国资委将视情通报相关部门，建议给予相应处罚；造成国有资产损失的，依法承担赔偿责任；涉嫌犯罪的，移送司法机关处理。</w:t>
      </w:r>
    </w:p>
    <w:p w14:paraId="636812C3" w14:textId="021641E6" w:rsidR="00FA0363" w:rsidRDefault="00E05BDA" w:rsidP="00FA0363">
      <w:pPr>
        <w:pStyle w:val="13"/>
        <w:ind w:firstLine="482"/>
      </w:pPr>
      <w:r w:rsidRPr="00E05BDA">
        <w:rPr>
          <w:rFonts w:hint="eastAsia"/>
          <w:b/>
          <w:bCs/>
        </w:rPr>
        <w:t xml:space="preserve">第二十一条 </w:t>
      </w:r>
      <w:r w:rsidR="00FA0363">
        <w:t>省属企业有下列情形之一的，由省国资委责令改正并通报批评，涉嫌犯罪的，移送司法机关处理：</w:t>
      </w:r>
    </w:p>
    <w:p w14:paraId="2AA4A73F" w14:textId="77777777" w:rsidR="00FA0363" w:rsidRDefault="00FA0363" w:rsidP="00FA0363">
      <w:pPr>
        <w:pStyle w:val="13"/>
      </w:pPr>
      <w:r>
        <w:rPr>
          <w:rFonts w:hint="eastAsia"/>
        </w:rPr>
        <w:t>（一）未按有关规定选聘中介机构；</w:t>
      </w:r>
    </w:p>
    <w:p w14:paraId="09B0DEA7" w14:textId="77777777" w:rsidR="00FA0363" w:rsidRDefault="00FA0363" w:rsidP="00FA0363">
      <w:pPr>
        <w:pStyle w:val="13"/>
      </w:pPr>
      <w:r>
        <w:rPr>
          <w:rFonts w:hint="eastAsia"/>
        </w:rPr>
        <w:t>（二）不按有关规定配合中介机构开展业务工作；</w:t>
      </w:r>
    </w:p>
    <w:p w14:paraId="615A5A13" w14:textId="77777777" w:rsidR="00FA0363" w:rsidRDefault="00FA0363" w:rsidP="00FA0363">
      <w:pPr>
        <w:pStyle w:val="13"/>
      </w:pPr>
      <w:r>
        <w:rPr>
          <w:rFonts w:hint="eastAsia"/>
        </w:rPr>
        <w:t>（三）向中介机构提供虚假情况和资料，或者与中介机构串通舞弊，导致报告结果失实；</w:t>
      </w:r>
    </w:p>
    <w:p w14:paraId="623E6796" w14:textId="77777777" w:rsidR="00FA0363" w:rsidRDefault="00FA0363" w:rsidP="00FA0363">
      <w:pPr>
        <w:pStyle w:val="13"/>
      </w:pPr>
      <w:r>
        <w:rPr>
          <w:rFonts w:hint="eastAsia"/>
        </w:rPr>
        <w:t>（四）干预中介机构独立执业；</w:t>
      </w:r>
    </w:p>
    <w:p w14:paraId="0F18D9C9" w14:textId="77777777" w:rsidR="00FA0363" w:rsidRDefault="00FA0363" w:rsidP="00FA0363">
      <w:pPr>
        <w:pStyle w:val="13"/>
      </w:pPr>
      <w:r>
        <w:rPr>
          <w:rFonts w:hint="eastAsia"/>
        </w:rPr>
        <w:t>（五）未按规定办理核准或备案手续；</w:t>
      </w:r>
    </w:p>
    <w:p w14:paraId="4767A3E6" w14:textId="77777777" w:rsidR="00FA0363" w:rsidRDefault="00FA0363" w:rsidP="00FA0363">
      <w:pPr>
        <w:pStyle w:val="13"/>
      </w:pPr>
      <w:r>
        <w:rPr>
          <w:rFonts w:hint="eastAsia"/>
        </w:rPr>
        <w:lastRenderedPageBreak/>
        <w:t>（六）其他违法违规行为。</w:t>
      </w:r>
    </w:p>
    <w:p w14:paraId="6E078B04" w14:textId="77777777" w:rsidR="00FA0363" w:rsidRDefault="00FA0363" w:rsidP="00FA0363">
      <w:pPr>
        <w:pStyle w:val="13"/>
      </w:pPr>
      <w:r>
        <w:rPr>
          <w:rFonts w:hint="eastAsia"/>
        </w:rPr>
        <w:t>有前款情形拒不改正的，不予办理核准或备案。已经办理的，评估结果也不得作为对应经济行为的实施依据。</w:t>
      </w:r>
    </w:p>
    <w:p w14:paraId="326CF7D7" w14:textId="18534F4B" w:rsidR="00FA0363" w:rsidRDefault="00E05BDA" w:rsidP="00FA0363">
      <w:pPr>
        <w:pStyle w:val="13"/>
        <w:ind w:firstLine="482"/>
      </w:pPr>
      <w:r w:rsidRPr="00E05BDA">
        <w:rPr>
          <w:rFonts w:hint="eastAsia"/>
          <w:b/>
          <w:bCs/>
        </w:rPr>
        <w:t xml:space="preserve">第二十二条 </w:t>
      </w:r>
      <w:r w:rsidR="00FA0363">
        <w:t>省国资委工作人员在招标投标过程中，应当严格遵守相关工作纪律、工作要求和工作程序，加强监督，强化责任。省国资委相关工作人员有违纪违规行为的，对相关人员给予处分；构成犯罪的，依法追究刑事责任。</w:t>
      </w:r>
    </w:p>
    <w:p w14:paraId="196CAF6D" w14:textId="0343ABE6" w:rsidR="00FA0363" w:rsidRDefault="00E05BDA" w:rsidP="00FA0363">
      <w:pPr>
        <w:pStyle w:val="13"/>
        <w:ind w:firstLine="482"/>
      </w:pPr>
      <w:r w:rsidRPr="00E05BDA">
        <w:rPr>
          <w:rFonts w:hint="eastAsia"/>
          <w:b/>
          <w:bCs/>
        </w:rPr>
        <w:t xml:space="preserve">第二十三条 </w:t>
      </w:r>
      <w:r w:rsidR="00FA0363">
        <w:t>参加评标工作的评标专家组成员不得与任何投标人或者与评标结果有利害关系的人进行私下接触，不得透露招标投标评审及相关工作情况。评标专家组成员有违纪违规行为的，取消评标委员会成员资格和专家</w:t>
      </w:r>
      <w:proofErr w:type="gramStart"/>
      <w:r w:rsidR="00FA0363">
        <w:t>库成员</w:t>
      </w:r>
      <w:proofErr w:type="gramEnd"/>
      <w:r w:rsidR="00FA0363">
        <w:t>资格。构成犯罪的，依法追究刑事责任。</w:t>
      </w:r>
    </w:p>
    <w:p w14:paraId="7992A489" w14:textId="50C3311F" w:rsidR="00FA0363" w:rsidRDefault="00E05BDA" w:rsidP="00FA0363">
      <w:pPr>
        <w:pStyle w:val="13"/>
        <w:ind w:firstLine="482"/>
      </w:pPr>
      <w:r w:rsidRPr="00E05BDA">
        <w:rPr>
          <w:rFonts w:hint="eastAsia"/>
          <w:b/>
          <w:bCs/>
        </w:rPr>
        <w:t xml:space="preserve">第二十四条 </w:t>
      </w:r>
      <w:r w:rsidR="00FA0363">
        <w:t>由省属企业自行选择确定中介机构的资产评估项目，应在库内中介机构中择优选择确定。</w:t>
      </w:r>
    </w:p>
    <w:p w14:paraId="09BF27F7" w14:textId="3F62D0B5" w:rsidR="00FA0363" w:rsidRDefault="00E05BDA" w:rsidP="00FA0363">
      <w:pPr>
        <w:pStyle w:val="13"/>
        <w:ind w:firstLine="482"/>
      </w:pPr>
      <w:r w:rsidRPr="00E05BDA">
        <w:rPr>
          <w:rFonts w:hint="eastAsia"/>
          <w:b/>
          <w:bCs/>
        </w:rPr>
        <w:t xml:space="preserve">第二十五条 </w:t>
      </w:r>
      <w:r w:rsidR="00FA0363">
        <w:t>上市公司、中外合资企业的中介机构选聘工作，按照国家有关规定办</w:t>
      </w:r>
      <w:r w:rsidR="00FA0363">
        <w:rPr>
          <w:rFonts w:hint="eastAsia"/>
        </w:rPr>
        <w:t>理。</w:t>
      </w:r>
    </w:p>
    <w:p w14:paraId="056CDC84" w14:textId="7E17AD65" w:rsidR="00FA0363" w:rsidRDefault="00E05BDA" w:rsidP="00FA0363">
      <w:pPr>
        <w:pStyle w:val="13"/>
        <w:ind w:firstLine="482"/>
      </w:pPr>
      <w:r w:rsidRPr="00E05BDA">
        <w:rPr>
          <w:rFonts w:hint="eastAsia"/>
          <w:b/>
          <w:bCs/>
        </w:rPr>
        <w:t xml:space="preserve">第二十六条 </w:t>
      </w:r>
      <w:r w:rsidR="00FA0363">
        <w:t>本办法由省国资委负责解释。</w:t>
      </w:r>
    </w:p>
    <w:p w14:paraId="3C5466C1" w14:textId="57D3ADB6" w:rsidR="00FA0363" w:rsidRDefault="00E05BDA" w:rsidP="00FA0363">
      <w:pPr>
        <w:pStyle w:val="13"/>
        <w:ind w:firstLine="482"/>
      </w:pPr>
      <w:r w:rsidRPr="00E05BDA">
        <w:rPr>
          <w:rFonts w:hint="eastAsia"/>
          <w:b/>
          <w:bCs/>
        </w:rPr>
        <w:t xml:space="preserve">第二十七条 </w:t>
      </w:r>
      <w:r w:rsidR="00FA0363">
        <w:t>本办法自印发之日起施行。《委托社会中介机构审计（评估）管理试行办法》（</w:t>
      </w:r>
      <w:proofErr w:type="gramStart"/>
      <w:r w:rsidR="00FA0363">
        <w:t>浙国资发</w:t>
      </w:r>
      <w:proofErr w:type="gramEnd"/>
      <w:r w:rsidR="00FA0363">
        <w:t>〔2005〕22号）中有关委托社会中介机构资产评估的规定同时废止。</w:t>
      </w:r>
    </w:p>
    <w:p w14:paraId="7EC4322D" w14:textId="77777777" w:rsidR="00FA0363" w:rsidRDefault="00FA0363" w:rsidP="00FA0363">
      <w:pPr>
        <w:pStyle w:val="31"/>
        <w:spacing w:before="156" w:after="62"/>
      </w:pPr>
      <w:bookmarkStart w:id="263" w:name="_Toc81833496"/>
      <w:r>
        <w:rPr>
          <w:rFonts w:hint="eastAsia"/>
        </w:rPr>
        <w:t>《浙江省省属企业国有资产评估管理暂行办法》（</w:t>
      </w:r>
      <w:proofErr w:type="gramStart"/>
      <w:r>
        <w:rPr>
          <w:rFonts w:hint="eastAsia"/>
        </w:rPr>
        <w:t>浙国资发</w:t>
      </w:r>
      <w:proofErr w:type="gramEnd"/>
      <w:r>
        <w:rPr>
          <w:rFonts w:hint="eastAsia"/>
        </w:rPr>
        <w:t>〔</w:t>
      </w:r>
      <w:r>
        <w:t>2011〕12号）</w:t>
      </w:r>
      <w:bookmarkEnd w:id="263"/>
    </w:p>
    <w:p w14:paraId="47C5F2BD" w14:textId="77777777" w:rsidR="00FA0363" w:rsidRDefault="00FA0363" w:rsidP="00FA0363">
      <w:pPr>
        <w:pStyle w:val="13"/>
        <w:ind w:firstLineChars="0" w:firstLine="0"/>
      </w:pPr>
      <w:r>
        <w:rPr>
          <w:rFonts w:hint="eastAsia"/>
        </w:rPr>
        <w:t>各省属企业、委直属各单位：</w:t>
      </w:r>
    </w:p>
    <w:p w14:paraId="0FFE2962" w14:textId="77777777" w:rsidR="00FA0363" w:rsidRDefault="00FA0363" w:rsidP="00FA0363">
      <w:pPr>
        <w:pStyle w:val="13"/>
      </w:pPr>
      <w:r>
        <w:rPr>
          <w:rFonts w:hint="eastAsia"/>
        </w:rPr>
        <w:t>《浙江省省属企业国有资产评估管理暂行办法》已经委主任办公会议讨论通过，现印发给你们，请认真贯彻执行。</w:t>
      </w:r>
    </w:p>
    <w:p w14:paraId="24865D95" w14:textId="77777777" w:rsidR="00FA0363" w:rsidRDefault="00FA0363" w:rsidP="00FA0363">
      <w:pPr>
        <w:pStyle w:val="13"/>
        <w:jc w:val="right"/>
      </w:pPr>
      <w:r>
        <w:rPr>
          <w:rFonts w:hint="eastAsia"/>
        </w:rPr>
        <w:t>二〇一一年九月九日</w:t>
      </w:r>
    </w:p>
    <w:p w14:paraId="51C0F3D2" w14:textId="74D238B2" w:rsidR="00FA0363" w:rsidRDefault="00FA0363" w:rsidP="00AF7342">
      <w:pPr>
        <w:pStyle w:val="a9"/>
        <w:spacing w:before="62" w:after="62"/>
      </w:pPr>
      <w:r>
        <w:rPr>
          <w:rFonts w:hint="eastAsia"/>
        </w:rPr>
        <w:t>第一章</w:t>
      </w:r>
      <w:r w:rsidR="00CC466D">
        <w:rPr>
          <w:rFonts w:hint="eastAsia"/>
        </w:rPr>
        <w:t xml:space="preserve"> </w:t>
      </w:r>
      <w:r>
        <w:t>总则</w:t>
      </w:r>
    </w:p>
    <w:p w14:paraId="72569F32" w14:textId="070566AB" w:rsidR="00FA0363" w:rsidRDefault="004E3EBB" w:rsidP="00FA0363">
      <w:pPr>
        <w:pStyle w:val="13"/>
        <w:ind w:firstLine="482"/>
      </w:pPr>
      <w:r w:rsidRPr="004E3EBB">
        <w:rPr>
          <w:rFonts w:hint="eastAsia"/>
          <w:b/>
          <w:bCs/>
        </w:rPr>
        <w:t xml:space="preserve">第一条 </w:t>
      </w:r>
      <w:r w:rsidR="00FA0363">
        <w:t>为规范省属企业国有资产评估管理工作，维护国有资产合法权益，根据《中华人民共和国企业国有资产法》、《企业国有资产监督管理暂行条例》（国务院令第378</w:t>
      </w:r>
      <w:r w:rsidR="00FA0363">
        <w:rPr>
          <w:rFonts w:hint="eastAsia"/>
        </w:rPr>
        <w:t>号）、《国有资产评估管理办法》（国务院令第</w:t>
      </w:r>
      <w:r w:rsidR="00FA0363">
        <w:t>91号）、《企业国有资产评估管理暂行办法》</w:t>
      </w:r>
      <w:r w:rsidR="00FA0363">
        <w:rPr>
          <w:rFonts w:hint="eastAsia"/>
        </w:rPr>
        <w:t>（国务院国资委令第</w:t>
      </w:r>
      <w:r w:rsidR="00FA0363">
        <w:t>12号）等法律、法规、规章和《企业国有资产评估报告指南》（</w:t>
      </w:r>
      <w:proofErr w:type="gramStart"/>
      <w:r w:rsidR="00FA0363">
        <w:t>中评协</w:t>
      </w:r>
      <w:proofErr w:type="gramEnd"/>
      <w:r w:rsidR="00FA0363">
        <w:t>〔2008〕218号），制定本办法。</w:t>
      </w:r>
    </w:p>
    <w:p w14:paraId="00262E30" w14:textId="23E161E0" w:rsidR="00FA0363" w:rsidRDefault="004E3EBB" w:rsidP="00FA0363">
      <w:pPr>
        <w:pStyle w:val="13"/>
        <w:ind w:firstLine="482"/>
      </w:pPr>
      <w:r w:rsidRPr="004E3EBB">
        <w:rPr>
          <w:rFonts w:hint="eastAsia"/>
          <w:b/>
          <w:bCs/>
        </w:rPr>
        <w:t xml:space="preserve">第二条 </w:t>
      </w:r>
      <w:r w:rsidR="00FA0363">
        <w:t>本办法所称省属企业，是指省政府授权省国资委履行出资人职责的企业（以</w:t>
      </w:r>
      <w:r w:rsidR="00FA0363">
        <w:rPr>
          <w:rFonts w:hint="eastAsia"/>
        </w:rPr>
        <w:t>下简称省属企业本级）及其下属各级子企业（以下简称下属企业）。</w:t>
      </w:r>
    </w:p>
    <w:p w14:paraId="53C6A600" w14:textId="345D24E9" w:rsidR="00FA0363" w:rsidRDefault="004E3EBB" w:rsidP="00FA0363">
      <w:pPr>
        <w:pStyle w:val="13"/>
        <w:ind w:firstLine="482"/>
      </w:pPr>
      <w:r w:rsidRPr="004E3EBB">
        <w:rPr>
          <w:rFonts w:hint="eastAsia"/>
          <w:b/>
          <w:bCs/>
        </w:rPr>
        <w:t xml:space="preserve">第三条 </w:t>
      </w:r>
      <w:r w:rsidR="00FA0363">
        <w:t>省国资委负责省属企业资产评估监管工作，具体履行下列职责：</w:t>
      </w:r>
    </w:p>
    <w:p w14:paraId="06DB418B" w14:textId="77777777" w:rsidR="00FA0363" w:rsidRDefault="00FA0363" w:rsidP="00FA0363">
      <w:pPr>
        <w:pStyle w:val="13"/>
      </w:pPr>
      <w:r>
        <w:rPr>
          <w:rFonts w:hint="eastAsia"/>
        </w:rPr>
        <w:t>（一）执行国家有关资产评估的相关规定，制定省属企业资产评估管理具体办</w:t>
      </w:r>
      <w:r>
        <w:rPr>
          <w:rFonts w:hint="eastAsia"/>
        </w:rPr>
        <w:lastRenderedPageBreak/>
        <w:t>法，</w:t>
      </w:r>
      <w:r>
        <w:t>指导和监督省属企业资产评估工作；</w:t>
      </w:r>
    </w:p>
    <w:p w14:paraId="246E36CF" w14:textId="77777777" w:rsidR="00FA0363" w:rsidRDefault="00FA0363" w:rsidP="00FA0363">
      <w:pPr>
        <w:pStyle w:val="13"/>
      </w:pPr>
      <w:r>
        <w:rPr>
          <w:rFonts w:hint="eastAsia"/>
        </w:rPr>
        <w:t>（二）依照规定权限，对省属企业资产评估项目进行核准或备案，对其中需要核准的资产评估项目组织专家评审；</w:t>
      </w:r>
    </w:p>
    <w:p w14:paraId="3339575A" w14:textId="77777777" w:rsidR="00FA0363" w:rsidRDefault="00FA0363" w:rsidP="00FA0363">
      <w:pPr>
        <w:pStyle w:val="13"/>
      </w:pPr>
      <w:r>
        <w:rPr>
          <w:rFonts w:hint="eastAsia"/>
        </w:rPr>
        <w:t>（三）对省属企业资产评估项目进行抽查监督；</w:t>
      </w:r>
    </w:p>
    <w:p w14:paraId="5A1B8CBD" w14:textId="77777777" w:rsidR="006833EE" w:rsidRDefault="00FA0363" w:rsidP="00FA0363">
      <w:pPr>
        <w:pStyle w:val="13"/>
      </w:pPr>
      <w:r>
        <w:rPr>
          <w:rFonts w:hint="eastAsia"/>
        </w:rPr>
        <w:t>（四）法律、法规、规章规定的其他职责。</w:t>
      </w:r>
    </w:p>
    <w:p w14:paraId="39D8DB5B" w14:textId="4CA01914" w:rsidR="00FA0363" w:rsidRDefault="00FA0363" w:rsidP="00FA0363">
      <w:pPr>
        <w:pStyle w:val="13"/>
        <w:ind w:firstLine="482"/>
      </w:pPr>
      <w:r w:rsidRPr="001F5A09">
        <w:rPr>
          <w:rFonts w:hint="eastAsia"/>
          <w:b/>
          <w:bCs/>
        </w:rPr>
        <w:t>第四条</w:t>
      </w:r>
      <w:r w:rsidR="001F5A09">
        <w:rPr>
          <w:rFonts w:hint="eastAsia"/>
        </w:rPr>
        <w:t xml:space="preserve"> </w:t>
      </w:r>
      <w:r>
        <w:t>省属企业本级履行以下职责：</w:t>
      </w:r>
    </w:p>
    <w:p w14:paraId="4F640CB9" w14:textId="77777777" w:rsidR="00FA0363" w:rsidRDefault="00FA0363" w:rsidP="00FA0363">
      <w:pPr>
        <w:pStyle w:val="13"/>
      </w:pPr>
      <w:r>
        <w:rPr>
          <w:rFonts w:hint="eastAsia"/>
        </w:rPr>
        <w:t>（一）根据本办法制定企业内部的资产评估管理实施办法，明确管理部门、管理人员；</w:t>
      </w:r>
    </w:p>
    <w:p w14:paraId="4C48E6CE" w14:textId="77777777" w:rsidR="00FA0363" w:rsidRDefault="00FA0363" w:rsidP="00FA0363">
      <w:pPr>
        <w:pStyle w:val="13"/>
      </w:pPr>
      <w:r>
        <w:rPr>
          <w:rFonts w:hint="eastAsia"/>
        </w:rPr>
        <w:t>（二）根据国家和省关于资产评估管理的相关规定，做好本企业的资产评估管理工作；</w:t>
      </w:r>
    </w:p>
    <w:p w14:paraId="23CB3F42" w14:textId="77777777" w:rsidR="00FA0363" w:rsidRDefault="00FA0363" w:rsidP="00FA0363">
      <w:pPr>
        <w:pStyle w:val="13"/>
      </w:pPr>
      <w:r>
        <w:rPr>
          <w:rFonts w:hint="eastAsia"/>
        </w:rPr>
        <w:t>（三）负责做好规定权限范围内的资产评估项目的备案管理工作；</w:t>
      </w:r>
    </w:p>
    <w:p w14:paraId="47469953" w14:textId="77777777" w:rsidR="00FA0363" w:rsidRDefault="00FA0363" w:rsidP="00FA0363">
      <w:pPr>
        <w:pStyle w:val="13"/>
      </w:pPr>
      <w:r>
        <w:rPr>
          <w:rFonts w:hint="eastAsia"/>
        </w:rPr>
        <w:t>（四）省国资委规定的其他职责。</w:t>
      </w:r>
    </w:p>
    <w:p w14:paraId="7A74D087" w14:textId="3FD601B8" w:rsidR="00FA0363" w:rsidRDefault="00FA0363" w:rsidP="00AF7342">
      <w:pPr>
        <w:pStyle w:val="a9"/>
        <w:spacing w:before="62" w:after="62"/>
      </w:pPr>
      <w:r>
        <w:rPr>
          <w:rFonts w:hint="eastAsia"/>
        </w:rPr>
        <w:t>第二章</w:t>
      </w:r>
      <w:r w:rsidR="00CC466D">
        <w:rPr>
          <w:rFonts w:hint="eastAsia"/>
        </w:rPr>
        <w:t xml:space="preserve"> </w:t>
      </w:r>
      <w:r>
        <w:t>资产评估范围</w:t>
      </w:r>
    </w:p>
    <w:p w14:paraId="6E70C0E7" w14:textId="521EF6C9" w:rsidR="00FA0363" w:rsidRDefault="004E3EBB" w:rsidP="00FA0363">
      <w:pPr>
        <w:pStyle w:val="13"/>
        <w:ind w:firstLine="482"/>
      </w:pPr>
      <w:r w:rsidRPr="004E3EBB">
        <w:rPr>
          <w:rFonts w:hint="eastAsia"/>
          <w:b/>
          <w:bCs/>
        </w:rPr>
        <w:t xml:space="preserve">第五条 </w:t>
      </w:r>
      <w:r w:rsidR="00FA0363">
        <w:t>省属企业有下列行为之一的，应当对所涉及的相关资产进行评估：</w:t>
      </w:r>
    </w:p>
    <w:p w14:paraId="76A5537A" w14:textId="77777777" w:rsidR="00FA0363" w:rsidRDefault="00FA0363" w:rsidP="00FA0363">
      <w:pPr>
        <w:pStyle w:val="13"/>
      </w:pPr>
      <w:r>
        <w:rPr>
          <w:rFonts w:hint="eastAsia"/>
        </w:rPr>
        <w:t>（一）整体或部分改建为有限责任公司或股份有限公司；</w:t>
      </w:r>
    </w:p>
    <w:p w14:paraId="3F806F60" w14:textId="77777777" w:rsidR="00FA0363" w:rsidRDefault="00FA0363" w:rsidP="00FA0363">
      <w:pPr>
        <w:pStyle w:val="13"/>
      </w:pPr>
      <w:r>
        <w:rPr>
          <w:rFonts w:hint="eastAsia"/>
        </w:rPr>
        <w:t>（二）以非货币资产对外投资；</w:t>
      </w:r>
    </w:p>
    <w:p w14:paraId="3D3D79B0" w14:textId="77777777" w:rsidR="00FA0363" w:rsidRDefault="00FA0363" w:rsidP="00FA0363">
      <w:pPr>
        <w:pStyle w:val="13"/>
      </w:pPr>
      <w:r>
        <w:rPr>
          <w:rFonts w:hint="eastAsia"/>
        </w:rPr>
        <w:t>（三）合并、分立、破产、解散；</w:t>
      </w:r>
    </w:p>
    <w:p w14:paraId="7A72172C" w14:textId="77777777" w:rsidR="00FA0363" w:rsidRDefault="00FA0363" w:rsidP="00FA0363">
      <w:pPr>
        <w:pStyle w:val="13"/>
      </w:pPr>
      <w:r>
        <w:rPr>
          <w:rFonts w:hint="eastAsia"/>
        </w:rPr>
        <w:t>（四）非上市公司国有股东股权比例变动；</w:t>
      </w:r>
    </w:p>
    <w:p w14:paraId="05EFE2B5" w14:textId="77777777" w:rsidR="00FA0363" w:rsidRDefault="00FA0363" w:rsidP="00FA0363">
      <w:pPr>
        <w:pStyle w:val="13"/>
      </w:pPr>
      <w:r>
        <w:rPr>
          <w:rFonts w:hint="eastAsia"/>
        </w:rPr>
        <w:t>（五）产权转让；</w:t>
      </w:r>
    </w:p>
    <w:p w14:paraId="5ED8E6A2" w14:textId="77777777" w:rsidR="00FA0363" w:rsidRDefault="00FA0363" w:rsidP="00FA0363">
      <w:pPr>
        <w:pStyle w:val="13"/>
      </w:pPr>
      <w:r>
        <w:rPr>
          <w:rFonts w:hint="eastAsia"/>
        </w:rPr>
        <w:t>（六）资产转让、置换；</w:t>
      </w:r>
    </w:p>
    <w:p w14:paraId="4214CD7C" w14:textId="77777777" w:rsidR="00FA0363" w:rsidRDefault="00FA0363" w:rsidP="00FA0363">
      <w:pPr>
        <w:pStyle w:val="13"/>
      </w:pPr>
      <w:r>
        <w:rPr>
          <w:rFonts w:hint="eastAsia"/>
        </w:rPr>
        <w:t>（七）整体资产或部分资产租赁给非国有单位；</w:t>
      </w:r>
    </w:p>
    <w:p w14:paraId="331BF8D2" w14:textId="77777777" w:rsidR="00FA0363" w:rsidRDefault="00FA0363" w:rsidP="00FA0363">
      <w:pPr>
        <w:pStyle w:val="13"/>
      </w:pPr>
      <w:r>
        <w:rPr>
          <w:rFonts w:hint="eastAsia"/>
        </w:rPr>
        <w:t>（八）以非货币资产偿还债务；</w:t>
      </w:r>
    </w:p>
    <w:p w14:paraId="532563E8" w14:textId="77777777" w:rsidR="00FA0363" w:rsidRDefault="00FA0363" w:rsidP="00FA0363">
      <w:pPr>
        <w:pStyle w:val="13"/>
      </w:pPr>
      <w:r>
        <w:rPr>
          <w:rFonts w:hint="eastAsia"/>
        </w:rPr>
        <w:t>（九）资产涉讼；</w:t>
      </w:r>
    </w:p>
    <w:p w14:paraId="5C76B065" w14:textId="77777777" w:rsidR="00FA0363" w:rsidRDefault="00FA0363" w:rsidP="00FA0363">
      <w:pPr>
        <w:pStyle w:val="13"/>
      </w:pPr>
      <w:r>
        <w:rPr>
          <w:rFonts w:hint="eastAsia"/>
        </w:rPr>
        <w:t>（十）收购非国有单位的资产；</w:t>
      </w:r>
    </w:p>
    <w:p w14:paraId="5059E8DC" w14:textId="77777777" w:rsidR="00FA0363" w:rsidRDefault="00FA0363" w:rsidP="00FA0363">
      <w:pPr>
        <w:pStyle w:val="13"/>
      </w:pPr>
      <w:r>
        <w:rPr>
          <w:rFonts w:hint="eastAsia"/>
        </w:rPr>
        <w:t>（十一）接受非国有单位以非货币资产出资；</w:t>
      </w:r>
    </w:p>
    <w:p w14:paraId="2447156B" w14:textId="77777777" w:rsidR="00FA0363" w:rsidRDefault="00FA0363" w:rsidP="00FA0363">
      <w:pPr>
        <w:pStyle w:val="13"/>
      </w:pPr>
      <w:r>
        <w:rPr>
          <w:rFonts w:hint="eastAsia"/>
        </w:rPr>
        <w:t>（十二）接受非国有单位以非货币资产抵债；</w:t>
      </w:r>
    </w:p>
    <w:p w14:paraId="560D6703" w14:textId="77777777" w:rsidR="00FA0363" w:rsidRDefault="00FA0363" w:rsidP="00FA0363">
      <w:pPr>
        <w:pStyle w:val="13"/>
      </w:pPr>
      <w:r>
        <w:rPr>
          <w:rFonts w:hint="eastAsia"/>
        </w:rPr>
        <w:t>（十三）法律、行政法规、公司章程规定的其他需要进行资产评估的事项。</w:t>
      </w:r>
    </w:p>
    <w:p w14:paraId="5B35C052" w14:textId="02CFE694" w:rsidR="00FA0363" w:rsidRDefault="004E3EBB" w:rsidP="00FA0363">
      <w:pPr>
        <w:pStyle w:val="13"/>
        <w:ind w:firstLine="482"/>
      </w:pPr>
      <w:r w:rsidRPr="004E3EBB">
        <w:rPr>
          <w:rFonts w:hint="eastAsia"/>
          <w:b/>
          <w:bCs/>
        </w:rPr>
        <w:t xml:space="preserve">第六条 </w:t>
      </w:r>
      <w:r w:rsidR="00FA0363">
        <w:t>省属企业的下列经济行为，可以不进行资产评估：</w:t>
      </w:r>
    </w:p>
    <w:p w14:paraId="381FE8A6" w14:textId="77777777" w:rsidR="00FA0363" w:rsidRDefault="00FA0363" w:rsidP="00FA0363">
      <w:pPr>
        <w:pStyle w:val="13"/>
      </w:pPr>
      <w:r>
        <w:rPr>
          <w:rFonts w:hint="eastAsia"/>
        </w:rPr>
        <w:t>（一）经批准对企业整体或部分产权、资产实施无偿划转；</w:t>
      </w:r>
    </w:p>
    <w:p w14:paraId="3B2D007F" w14:textId="77777777" w:rsidR="00FA0363" w:rsidRDefault="00FA0363" w:rsidP="00FA0363">
      <w:pPr>
        <w:pStyle w:val="13"/>
      </w:pPr>
      <w:r>
        <w:rPr>
          <w:rFonts w:hint="eastAsia"/>
        </w:rPr>
        <w:t>（二）国有独资企业（公司）之间、国有独资企业（公司）与下属全资子企业之间，</w:t>
      </w:r>
      <w:r>
        <w:t>以及国有独资企业（公司）下属全资子企业之间的合并、产权（资产）转让（置换）；</w:t>
      </w:r>
    </w:p>
    <w:p w14:paraId="4878D9F5" w14:textId="77777777" w:rsidR="00FA0363" w:rsidRDefault="00FA0363" w:rsidP="00FA0363">
      <w:pPr>
        <w:pStyle w:val="13"/>
      </w:pPr>
      <w:r>
        <w:rPr>
          <w:rFonts w:hint="eastAsia"/>
        </w:rPr>
        <w:t>（三）有两个以上股东，但国有权益为</w:t>
      </w:r>
      <w:r>
        <w:t>100%的公司之间不涉及国有权益变化的经济行为。</w:t>
      </w:r>
    </w:p>
    <w:p w14:paraId="5F4E7354" w14:textId="100CCFD5" w:rsidR="00FA0363" w:rsidRDefault="00FA0363" w:rsidP="00AF7342">
      <w:pPr>
        <w:pStyle w:val="a9"/>
        <w:spacing w:before="62" w:after="62"/>
      </w:pPr>
      <w:r>
        <w:rPr>
          <w:rFonts w:hint="eastAsia"/>
        </w:rPr>
        <w:lastRenderedPageBreak/>
        <w:t>第三章</w:t>
      </w:r>
      <w:r w:rsidR="00CC466D">
        <w:rPr>
          <w:rFonts w:hint="eastAsia"/>
        </w:rPr>
        <w:t xml:space="preserve"> </w:t>
      </w:r>
      <w:r>
        <w:t>资产评估工作要求</w:t>
      </w:r>
    </w:p>
    <w:p w14:paraId="5FAB49DC" w14:textId="00FB5E17" w:rsidR="00FA0363" w:rsidRDefault="004E3EBB" w:rsidP="00FA0363">
      <w:pPr>
        <w:pStyle w:val="13"/>
        <w:ind w:firstLine="482"/>
      </w:pPr>
      <w:r w:rsidRPr="004E3EBB">
        <w:rPr>
          <w:b/>
          <w:bCs/>
        </w:rPr>
        <w:t xml:space="preserve">第七条 </w:t>
      </w:r>
      <w:r w:rsidR="00FA0363">
        <w:t>开展资产评估工作，应当具备下列前提条件：</w:t>
      </w:r>
    </w:p>
    <w:p w14:paraId="493D6FC9" w14:textId="77777777" w:rsidR="00FA0363" w:rsidRDefault="00FA0363" w:rsidP="00FA0363">
      <w:pPr>
        <w:pStyle w:val="13"/>
      </w:pPr>
      <w:r>
        <w:rPr>
          <w:rFonts w:hint="eastAsia"/>
        </w:rPr>
        <w:t>（一）资产评估对应的经济行为已经批准，并取得相应的合法书面依据，包括批准文件、股东会决议、董事会决议、合同等；</w:t>
      </w:r>
    </w:p>
    <w:p w14:paraId="54F65D51" w14:textId="77777777" w:rsidR="00FA0363" w:rsidRDefault="00FA0363" w:rsidP="00FA0363">
      <w:pPr>
        <w:pStyle w:val="13"/>
      </w:pPr>
      <w:r>
        <w:rPr>
          <w:rFonts w:hint="eastAsia"/>
        </w:rPr>
        <w:t>（二）资产占有单位已开展资产清查，确认纳入评估范围的资产权属明晰；</w:t>
      </w:r>
    </w:p>
    <w:p w14:paraId="0A66CA77" w14:textId="77777777" w:rsidR="00FA0363" w:rsidRDefault="00FA0363" w:rsidP="00FA0363">
      <w:pPr>
        <w:pStyle w:val="13"/>
      </w:pPr>
      <w:r>
        <w:rPr>
          <w:rFonts w:hint="eastAsia"/>
        </w:rPr>
        <w:t>（三）涉及企业价值评估的，已按规定开展专项审计。涉及土地、房产、珠宝、探矿权、采矿权等资产的评估项目，需委托具有相应资质的评估机构进行评估，并按照规定办理相应的手续。</w:t>
      </w:r>
    </w:p>
    <w:p w14:paraId="2471E922" w14:textId="79B5638F" w:rsidR="00FA0363" w:rsidRDefault="004E3EBB" w:rsidP="00FA0363">
      <w:pPr>
        <w:pStyle w:val="13"/>
        <w:ind w:firstLine="482"/>
      </w:pPr>
      <w:r w:rsidRPr="004E3EBB">
        <w:rPr>
          <w:rFonts w:hint="eastAsia"/>
          <w:b/>
          <w:bCs/>
        </w:rPr>
        <w:t xml:space="preserve">第八条 </w:t>
      </w:r>
      <w:r w:rsidR="00FA0363">
        <w:t>资产评估的委托主体为产权持有人或资产占有单位。其中，省属企业本级的资产评估项目由省属企业本级负责委托。</w:t>
      </w:r>
    </w:p>
    <w:p w14:paraId="41099624" w14:textId="37178FD1" w:rsidR="00FA0363" w:rsidRDefault="00E05BDA" w:rsidP="00FA0363">
      <w:pPr>
        <w:pStyle w:val="13"/>
        <w:ind w:firstLine="482"/>
      </w:pPr>
      <w:r w:rsidRPr="00E05BDA">
        <w:rPr>
          <w:rFonts w:hint="eastAsia"/>
          <w:b/>
          <w:bCs/>
        </w:rPr>
        <w:t xml:space="preserve">第九条 </w:t>
      </w:r>
      <w:r w:rsidR="00FA0363">
        <w:t>资产评估基准日由经济行为批准单位根据企业实际情况合理确定，原则上要求在经济行为批准前的3个月内；如有特殊情况，经批准可适当调整，但最长为经济</w:t>
      </w:r>
      <w:r w:rsidR="00FA0363">
        <w:rPr>
          <w:rFonts w:hint="eastAsia"/>
        </w:rPr>
        <w:t>行为批准前的</w:t>
      </w:r>
      <w:r w:rsidR="00FA0363">
        <w:t>6个月内。</w:t>
      </w:r>
    </w:p>
    <w:p w14:paraId="27D1C649" w14:textId="3E393EB1" w:rsidR="00FA0363" w:rsidRDefault="00E05BDA" w:rsidP="00FA0363">
      <w:pPr>
        <w:pStyle w:val="13"/>
        <w:ind w:firstLine="482"/>
      </w:pPr>
      <w:r w:rsidRPr="00E05BDA">
        <w:rPr>
          <w:rFonts w:hint="eastAsia"/>
          <w:b/>
          <w:bCs/>
        </w:rPr>
        <w:t xml:space="preserve">第十条 </w:t>
      </w:r>
      <w:r w:rsidR="00FA0363">
        <w:t>资产评估机构的选聘应当按照下列要求进行：</w:t>
      </w:r>
    </w:p>
    <w:p w14:paraId="35B0A4E1" w14:textId="77777777" w:rsidR="00FA0363" w:rsidRDefault="00FA0363" w:rsidP="00FA0363">
      <w:pPr>
        <w:pStyle w:val="13"/>
      </w:pPr>
      <w:r>
        <w:rPr>
          <w:rFonts w:hint="eastAsia"/>
        </w:rPr>
        <w:t>（一）省国资委按照公开、公平、公正和竞争择优的原则，选择一定数量的资产评估机构，建立省属企业委托资产评估中介机构库。中介机构</w:t>
      </w:r>
      <w:proofErr w:type="gramStart"/>
      <w:r>
        <w:rPr>
          <w:rFonts w:hint="eastAsia"/>
        </w:rPr>
        <w:t>库实行</w:t>
      </w:r>
      <w:proofErr w:type="gramEnd"/>
      <w:r>
        <w:rPr>
          <w:rFonts w:hint="eastAsia"/>
        </w:rPr>
        <w:t>动态管理，每年更新一次。</w:t>
      </w:r>
    </w:p>
    <w:p w14:paraId="54B214B8" w14:textId="77777777" w:rsidR="00FA0363" w:rsidRDefault="00FA0363" w:rsidP="00FA0363">
      <w:pPr>
        <w:pStyle w:val="13"/>
      </w:pPr>
      <w:r>
        <w:rPr>
          <w:rFonts w:hint="eastAsia"/>
        </w:rPr>
        <w:t>（二）由省国资委核准或备案的资产评估项目，资产评估机构原则上采取公开招标的方式进行确定。</w:t>
      </w:r>
    </w:p>
    <w:p w14:paraId="4ED1AD89" w14:textId="77777777" w:rsidR="00FA0363" w:rsidRDefault="00FA0363" w:rsidP="00FA0363">
      <w:pPr>
        <w:pStyle w:val="13"/>
      </w:pPr>
      <w:r>
        <w:rPr>
          <w:rFonts w:hint="eastAsia"/>
        </w:rPr>
        <w:t>（三）省国资委建立委托资产评估招标评标专家库，对省国资委组织的资产评估招标项目实施评标。省国资委对评标结果进行综合评价，确定中标的资产评估机构。</w:t>
      </w:r>
    </w:p>
    <w:p w14:paraId="5CFB40AD" w14:textId="77777777" w:rsidR="00FA0363" w:rsidRDefault="00FA0363" w:rsidP="00FA0363">
      <w:pPr>
        <w:pStyle w:val="13"/>
      </w:pPr>
      <w:r>
        <w:rPr>
          <w:rFonts w:hint="eastAsia"/>
        </w:rPr>
        <w:t>（四）由省属企业本级备案的资产评估项目，省属企业须按照资产评估管理的有关规定，采取合适的方式，在省属企业委托资产评估中介机构库中招聘确定资产评估机构。</w:t>
      </w:r>
    </w:p>
    <w:p w14:paraId="2DED19DF" w14:textId="77777777" w:rsidR="00FA0363" w:rsidRDefault="00FA0363" w:rsidP="00FA0363">
      <w:pPr>
        <w:pStyle w:val="13"/>
      </w:pPr>
      <w:r>
        <w:rPr>
          <w:rFonts w:hint="eastAsia"/>
        </w:rPr>
        <w:t>（五）涉及上市或拟上市企业的资产评估项目，须委托具备证券业务资格的评估机构。</w:t>
      </w:r>
    </w:p>
    <w:p w14:paraId="7C063E80" w14:textId="77777777" w:rsidR="00FA0363" w:rsidRDefault="00FA0363" w:rsidP="00FA0363">
      <w:pPr>
        <w:pStyle w:val="13"/>
      </w:pPr>
      <w:r>
        <w:rPr>
          <w:rFonts w:hint="eastAsia"/>
        </w:rPr>
        <w:t>（六）资产评估机构不得与审计、清产核资的审计机构为同一家中介机构，或者是有关联关系的中介机构。</w:t>
      </w:r>
    </w:p>
    <w:p w14:paraId="1698A113" w14:textId="2EB0CC9C" w:rsidR="00FA0363" w:rsidRDefault="00E05BDA" w:rsidP="00FA0363">
      <w:pPr>
        <w:pStyle w:val="13"/>
        <w:ind w:firstLine="482"/>
      </w:pPr>
      <w:r w:rsidRPr="00E05BDA">
        <w:rPr>
          <w:rFonts w:hint="eastAsia"/>
          <w:b/>
          <w:bCs/>
        </w:rPr>
        <w:t xml:space="preserve">第十一条 </w:t>
      </w:r>
      <w:r w:rsidR="00FA0363">
        <w:t>资产评估机构确定后，委托主体应当与资产评估机构签订资产评估业务约定书，明确双方的权利义务。</w:t>
      </w:r>
    </w:p>
    <w:p w14:paraId="78681105" w14:textId="2B0CEEE2" w:rsidR="00FA0363" w:rsidRDefault="00E05BDA" w:rsidP="00FA0363">
      <w:pPr>
        <w:pStyle w:val="13"/>
        <w:ind w:firstLine="482"/>
      </w:pPr>
      <w:r w:rsidRPr="00E05BDA">
        <w:rPr>
          <w:rFonts w:hint="eastAsia"/>
          <w:b/>
          <w:bCs/>
        </w:rPr>
        <w:t xml:space="preserve">第十二条 </w:t>
      </w:r>
      <w:r w:rsidR="00FA0363">
        <w:t>产权持有人和资产占有单位应如实提供资产权属证明文件、财务会计资料及生产经营管理资料等评估资料，确保资料真实、完整、有效，并按照资产评估准则和《企业国有资产评估报告指南》的要求，做好《企业关于进行资产评估有关事项的说明》的编写和相关的承诺工作。</w:t>
      </w:r>
    </w:p>
    <w:p w14:paraId="4B61D2B8" w14:textId="7CCEAC89" w:rsidR="00FA0363" w:rsidRDefault="00E05BDA" w:rsidP="00FA0363">
      <w:pPr>
        <w:pStyle w:val="13"/>
        <w:ind w:firstLine="482"/>
      </w:pPr>
      <w:r w:rsidRPr="00E05BDA">
        <w:rPr>
          <w:rFonts w:hint="eastAsia"/>
          <w:b/>
          <w:bCs/>
        </w:rPr>
        <w:lastRenderedPageBreak/>
        <w:t xml:space="preserve">第十三条 </w:t>
      </w:r>
      <w:r w:rsidR="00FA0363">
        <w:t>省属企业改制项目，以及省国资委认为需要公示的其他资产评估项目，产权持有人和资产占有单位应当对资产评估结果进行公示。</w:t>
      </w:r>
    </w:p>
    <w:p w14:paraId="02DDB7E3" w14:textId="5BC50760" w:rsidR="00FA0363" w:rsidRDefault="00E05BDA" w:rsidP="00FA0363">
      <w:pPr>
        <w:pStyle w:val="13"/>
        <w:ind w:firstLine="482"/>
      </w:pPr>
      <w:r w:rsidRPr="00E05BDA">
        <w:rPr>
          <w:rFonts w:hint="eastAsia"/>
          <w:b/>
          <w:bCs/>
        </w:rPr>
        <w:t xml:space="preserve">第十四条 </w:t>
      </w:r>
      <w:r w:rsidR="00FA0363">
        <w:t>资产评估结果公示的主要内容：</w:t>
      </w:r>
    </w:p>
    <w:p w14:paraId="0EE4272E" w14:textId="77777777" w:rsidR="00FA0363" w:rsidRDefault="00FA0363" w:rsidP="00FA0363">
      <w:pPr>
        <w:pStyle w:val="13"/>
      </w:pPr>
      <w:r>
        <w:rPr>
          <w:rFonts w:hint="eastAsia"/>
        </w:rPr>
        <w:t>（一）资产评估对应的经济行为的批准情况；</w:t>
      </w:r>
    </w:p>
    <w:p w14:paraId="61BFCD87" w14:textId="77777777" w:rsidR="00FA0363" w:rsidRDefault="00FA0363" w:rsidP="00FA0363">
      <w:pPr>
        <w:pStyle w:val="13"/>
      </w:pPr>
      <w:r>
        <w:rPr>
          <w:rFonts w:hint="eastAsia"/>
        </w:rPr>
        <w:t>（二）选聘评估机构情况；</w:t>
      </w:r>
    </w:p>
    <w:p w14:paraId="163C9F45" w14:textId="77777777" w:rsidR="00FA0363" w:rsidRDefault="00FA0363" w:rsidP="00FA0363">
      <w:pPr>
        <w:pStyle w:val="13"/>
      </w:pPr>
      <w:r>
        <w:rPr>
          <w:rFonts w:hint="eastAsia"/>
        </w:rPr>
        <w:t>（三）审计结果和评估结果摘要；</w:t>
      </w:r>
    </w:p>
    <w:p w14:paraId="2EB6CAC5" w14:textId="77777777" w:rsidR="00FA0363" w:rsidRDefault="00FA0363" w:rsidP="00FA0363">
      <w:pPr>
        <w:pStyle w:val="13"/>
      </w:pPr>
      <w:r>
        <w:rPr>
          <w:rFonts w:hint="eastAsia"/>
        </w:rPr>
        <w:t>（四）应纳入资产评估范围的实物资产明细表（含账面值）；采取成本法评估的，还需列示实物资产明细项目评估值；</w:t>
      </w:r>
    </w:p>
    <w:p w14:paraId="358DC3F4" w14:textId="77777777" w:rsidR="00FA0363" w:rsidRDefault="00FA0363" w:rsidP="00FA0363">
      <w:pPr>
        <w:pStyle w:val="13"/>
      </w:pPr>
      <w:r>
        <w:rPr>
          <w:rFonts w:hint="eastAsia"/>
        </w:rPr>
        <w:t>（五）其他需要公示的内容。</w:t>
      </w:r>
    </w:p>
    <w:p w14:paraId="1AA3400F" w14:textId="1A362754" w:rsidR="00FA0363" w:rsidRDefault="00E05BDA" w:rsidP="00FA0363">
      <w:pPr>
        <w:pStyle w:val="13"/>
        <w:ind w:firstLine="482"/>
      </w:pPr>
      <w:r w:rsidRPr="00E05BDA">
        <w:rPr>
          <w:rFonts w:hint="eastAsia"/>
          <w:b/>
          <w:bCs/>
        </w:rPr>
        <w:t xml:space="preserve">第十五条 </w:t>
      </w:r>
      <w:r w:rsidR="00FA0363">
        <w:t>评估结果公示期不少于7个工作日。评估报告应作为公示的备查文件。</w:t>
      </w:r>
    </w:p>
    <w:p w14:paraId="03DD3FD1" w14:textId="6936C329" w:rsidR="00FA0363" w:rsidRDefault="00E05BDA" w:rsidP="00FA0363">
      <w:pPr>
        <w:pStyle w:val="13"/>
        <w:ind w:firstLine="482"/>
      </w:pPr>
      <w:r w:rsidRPr="00E05BDA">
        <w:rPr>
          <w:b/>
          <w:bCs/>
        </w:rPr>
        <w:t xml:space="preserve">第十六条 </w:t>
      </w:r>
      <w:r w:rsidR="00FA0363">
        <w:t>公示方式是将本办法第十四条规定的公示内容和资产评估报告在产权</w:t>
      </w:r>
      <w:r w:rsidR="00FA0363">
        <w:rPr>
          <w:rFonts w:hint="eastAsia"/>
        </w:rPr>
        <w:t>持有人和资产占有单位的公共场所张贴，并以书面形式送达企业监事会、纪检监察、财务审计等部门。</w:t>
      </w:r>
    </w:p>
    <w:p w14:paraId="59E5E986" w14:textId="77777777" w:rsidR="00FA0363" w:rsidRDefault="00FA0363" w:rsidP="00FA0363">
      <w:pPr>
        <w:pStyle w:val="13"/>
      </w:pPr>
      <w:r>
        <w:rPr>
          <w:rFonts w:hint="eastAsia"/>
        </w:rPr>
        <w:t>相关主体对资产评估结果有意见的，应当在公示期或者公示期满后</w:t>
      </w:r>
      <w:r>
        <w:t>5个工作日内以书面形式提出。</w:t>
      </w:r>
    </w:p>
    <w:p w14:paraId="643CA726" w14:textId="2FD02F6C" w:rsidR="00FA0363" w:rsidRDefault="00E05BDA" w:rsidP="00FA0363">
      <w:pPr>
        <w:pStyle w:val="13"/>
        <w:ind w:firstLine="482"/>
      </w:pPr>
      <w:r w:rsidRPr="00E05BDA">
        <w:rPr>
          <w:rFonts w:hint="eastAsia"/>
          <w:b/>
          <w:bCs/>
        </w:rPr>
        <w:t xml:space="preserve">第十七条 </w:t>
      </w:r>
      <w:r w:rsidR="00FA0363">
        <w:t>产权持有人、资产占有单位和评估机构应当及时妥善地对公示中发现的问题予以处理。公示收集到的意见应当作为资产评估项目申请核准或备案的附件资料。</w:t>
      </w:r>
    </w:p>
    <w:p w14:paraId="05E5451C" w14:textId="39C55B22" w:rsidR="00FA0363" w:rsidRDefault="00E05BDA" w:rsidP="00FA0363">
      <w:pPr>
        <w:pStyle w:val="13"/>
        <w:ind w:firstLine="482"/>
      </w:pPr>
      <w:r w:rsidRPr="00E05BDA">
        <w:rPr>
          <w:rFonts w:hint="eastAsia"/>
          <w:b/>
          <w:bCs/>
        </w:rPr>
        <w:t xml:space="preserve">第十八条 </w:t>
      </w:r>
      <w:r w:rsidR="00FA0363">
        <w:t>资产评估机构需按照投标承诺或业务约定书的要求开展资产评估业务，并按时提交资产评估报告。评估过程中，需省国资委明确或应该知道的事项，评估机构需及时报告省国资委。除遇特殊情况，并按管理权限以书面形式报经省国资委或省属企业同意外，资产评估机构延迟提交资产评估报告的将被视为违约行为。</w:t>
      </w:r>
    </w:p>
    <w:p w14:paraId="4798F0A7" w14:textId="568DC5A4" w:rsidR="00FA0363" w:rsidRDefault="00FA0363" w:rsidP="00AF7342">
      <w:pPr>
        <w:pStyle w:val="a9"/>
        <w:spacing w:before="62" w:after="62"/>
      </w:pPr>
      <w:r>
        <w:rPr>
          <w:rFonts w:hint="eastAsia"/>
        </w:rPr>
        <w:t>第四章</w:t>
      </w:r>
      <w:r w:rsidR="00CC466D">
        <w:rPr>
          <w:rFonts w:hint="eastAsia"/>
        </w:rPr>
        <w:t xml:space="preserve"> </w:t>
      </w:r>
      <w:r>
        <w:t>资产评估项目的核准和备案</w:t>
      </w:r>
    </w:p>
    <w:p w14:paraId="51551A52" w14:textId="7220F51D" w:rsidR="00FA0363" w:rsidRDefault="00E05BDA" w:rsidP="00FA0363">
      <w:pPr>
        <w:pStyle w:val="13"/>
        <w:ind w:firstLine="482"/>
      </w:pPr>
      <w:r w:rsidRPr="00E05BDA">
        <w:rPr>
          <w:rFonts w:hint="eastAsia"/>
          <w:b/>
          <w:bCs/>
        </w:rPr>
        <w:t xml:space="preserve">第十九条 </w:t>
      </w:r>
      <w:r w:rsidR="00FA0363">
        <w:t>有下列情形之一的重大资产评估项目，应当报省国资委核准：</w:t>
      </w:r>
    </w:p>
    <w:p w14:paraId="48DFABF5" w14:textId="77777777" w:rsidR="00FA0363" w:rsidRDefault="00FA0363" w:rsidP="00FA0363">
      <w:pPr>
        <w:pStyle w:val="13"/>
      </w:pPr>
      <w:r>
        <w:rPr>
          <w:rFonts w:hint="eastAsia"/>
        </w:rPr>
        <w:t>（一）经省人民政府批准的经济行为涉及的资产评估项目；</w:t>
      </w:r>
    </w:p>
    <w:p w14:paraId="47D4AC9F" w14:textId="77777777" w:rsidR="00FA0363" w:rsidRDefault="00FA0363" w:rsidP="00FA0363">
      <w:pPr>
        <w:pStyle w:val="13"/>
      </w:pPr>
      <w:r>
        <w:rPr>
          <w:rFonts w:hint="eastAsia"/>
        </w:rPr>
        <w:t>（二）省属企业总体改制涉及的资产评估项目；</w:t>
      </w:r>
    </w:p>
    <w:p w14:paraId="44EF28B4" w14:textId="77777777" w:rsidR="00FA0363" w:rsidRDefault="00FA0363" w:rsidP="00FA0363">
      <w:pPr>
        <w:pStyle w:val="13"/>
      </w:pPr>
      <w:r>
        <w:rPr>
          <w:rFonts w:hint="eastAsia"/>
        </w:rPr>
        <w:t>（三）其他需要核准的重要资产评估项目。</w:t>
      </w:r>
    </w:p>
    <w:p w14:paraId="25F94C2C" w14:textId="6DA448C3" w:rsidR="00FA0363" w:rsidRDefault="00E05BDA" w:rsidP="00FA0363">
      <w:pPr>
        <w:pStyle w:val="13"/>
        <w:ind w:firstLine="482"/>
      </w:pPr>
      <w:r w:rsidRPr="00E05BDA">
        <w:rPr>
          <w:rFonts w:hint="eastAsia"/>
          <w:b/>
          <w:bCs/>
        </w:rPr>
        <w:t xml:space="preserve">第二十条 </w:t>
      </w:r>
      <w:r w:rsidR="00FA0363">
        <w:t>重大资产评估项目，企业应及时报告资产评估项目的工作进展情况。必要时，省国资委可对该项目进行跟踪了解、指导和检查。</w:t>
      </w:r>
    </w:p>
    <w:p w14:paraId="67EBF219" w14:textId="01926757" w:rsidR="00FA0363" w:rsidRDefault="00E05BDA" w:rsidP="00FA0363">
      <w:pPr>
        <w:pStyle w:val="13"/>
        <w:ind w:firstLine="482"/>
      </w:pPr>
      <w:r w:rsidRPr="00E05BDA">
        <w:rPr>
          <w:rFonts w:hint="eastAsia"/>
          <w:b/>
          <w:bCs/>
        </w:rPr>
        <w:t xml:space="preserve">第二十一条 </w:t>
      </w:r>
      <w:r w:rsidR="00FA0363">
        <w:t>重大资产评估项目实行专家评审制度。专家一致的评审意见是予以核准的必备依据。</w:t>
      </w:r>
    </w:p>
    <w:p w14:paraId="61B3992C" w14:textId="77777777" w:rsidR="00FA0363" w:rsidRDefault="00FA0363" w:rsidP="00FA0363">
      <w:pPr>
        <w:pStyle w:val="13"/>
      </w:pPr>
      <w:r>
        <w:rPr>
          <w:rFonts w:hint="eastAsia"/>
        </w:rPr>
        <w:t>重大资产评估项目专家评审制度由省国资委另行制定。</w:t>
      </w:r>
    </w:p>
    <w:p w14:paraId="420822FF" w14:textId="19E151BD" w:rsidR="00FA0363" w:rsidRDefault="00E05BDA" w:rsidP="00FA0363">
      <w:pPr>
        <w:pStyle w:val="13"/>
        <w:ind w:firstLine="482"/>
      </w:pPr>
      <w:r w:rsidRPr="00E05BDA">
        <w:rPr>
          <w:rFonts w:hint="eastAsia"/>
          <w:b/>
          <w:bCs/>
        </w:rPr>
        <w:t xml:space="preserve">第二十二条 </w:t>
      </w:r>
      <w:r w:rsidR="00FA0363">
        <w:t>资产评估项目核准工作按照下列程序进行：</w:t>
      </w:r>
    </w:p>
    <w:p w14:paraId="4D336DB2" w14:textId="77777777" w:rsidR="00FA0363" w:rsidRDefault="00FA0363" w:rsidP="00FA0363">
      <w:pPr>
        <w:pStyle w:val="13"/>
      </w:pPr>
      <w:r>
        <w:rPr>
          <w:rFonts w:hint="eastAsia"/>
        </w:rPr>
        <w:t>（一）企业收到资产评估机构出具的评估报告后，自评估基准日起</w:t>
      </w:r>
      <w:r>
        <w:t>8个月内，按</w:t>
      </w:r>
      <w:r>
        <w:lastRenderedPageBreak/>
        <w:t>规定程序报省国资委核准。</w:t>
      </w:r>
    </w:p>
    <w:p w14:paraId="4904366E" w14:textId="77777777" w:rsidR="00FA0363" w:rsidRDefault="00FA0363" w:rsidP="00FA0363">
      <w:pPr>
        <w:pStyle w:val="13"/>
      </w:pPr>
      <w:r>
        <w:rPr>
          <w:rFonts w:hint="eastAsia"/>
        </w:rPr>
        <w:t>（二）省国资委收到上报的申请材料后，组织专家对评估结果进行评审。符合要求的，在</w:t>
      </w:r>
      <w:r>
        <w:t>20个工作日内（不包括专家评审时间）</w:t>
      </w:r>
      <w:proofErr w:type="gramStart"/>
      <w:r>
        <w:t>作出</w:t>
      </w:r>
      <w:proofErr w:type="gramEnd"/>
      <w:r>
        <w:t>核准批复；不符合要求的，予以退回。</w:t>
      </w:r>
    </w:p>
    <w:p w14:paraId="41A901F6" w14:textId="23E90A89" w:rsidR="00FA0363" w:rsidRDefault="00E05BDA" w:rsidP="00FA0363">
      <w:pPr>
        <w:pStyle w:val="13"/>
        <w:ind w:firstLine="482"/>
      </w:pPr>
      <w:r w:rsidRPr="00E05BDA">
        <w:rPr>
          <w:rFonts w:hint="eastAsia"/>
          <w:b/>
          <w:bCs/>
        </w:rPr>
        <w:t xml:space="preserve">第二十三条 </w:t>
      </w:r>
      <w:r w:rsidR="00FA0363">
        <w:t>核准工作主要审核以下内容：</w:t>
      </w:r>
    </w:p>
    <w:p w14:paraId="0BBD18B5" w14:textId="77777777" w:rsidR="00FA0363" w:rsidRDefault="00FA0363" w:rsidP="00FA0363">
      <w:pPr>
        <w:pStyle w:val="13"/>
      </w:pPr>
      <w:r>
        <w:rPr>
          <w:rFonts w:hint="eastAsia"/>
        </w:rPr>
        <w:t>（一）资产评估项目所涉及的经济行为是否获得批准；</w:t>
      </w:r>
    </w:p>
    <w:p w14:paraId="70697F2A" w14:textId="77777777" w:rsidR="00FA0363" w:rsidRDefault="00FA0363" w:rsidP="00FA0363">
      <w:pPr>
        <w:pStyle w:val="13"/>
      </w:pPr>
      <w:r>
        <w:rPr>
          <w:rFonts w:hint="eastAsia"/>
        </w:rPr>
        <w:t>（二）资产评估机构是否具备相应的资质，机构选聘是否符合要求；</w:t>
      </w:r>
    </w:p>
    <w:p w14:paraId="1A405CEE" w14:textId="77777777" w:rsidR="00FA0363" w:rsidRDefault="00FA0363" w:rsidP="00FA0363">
      <w:pPr>
        <w:pStyle w:val="13"/>
      </w:pPr>
      <w:r>
        <w:rPr>
          <w:rFonts w:hint="eastAsia"/>
        </w:rPr>
        <w:t>（三）评估工作人员是否具备相应执业资格；</w:t>
      </w:r>
    </w:p>
    <w:p w14:paraId="3239D4E1" w14:textId="77777777" w:rsidR="00FA0363" w:rsidRDefault="00FA0363" w:rsidP="00FA0363">
      <w:pPr>
        <w:pStyle w:val="13"/>
      </w:pPr>
      <w:r>
        <w:rPr>
          <w:rFonts w:hint="eastAsia"/>
        </w:rPr>
        <w:t>（四）评估基准日的选择是否适当，评估结果的使用有效期是否明示；</w:t>
      </w:r>
    </w:p>
    <w:p w14:paraId="6FA87AFA" w14:textId="77777777" w:rsidR="00FA0363" w:rsidRDefault="00FA0363" w:rsidP="00FA0363">
      <w:pPr>
        <w:pStyle w:val="13"/>
      </w:pPr>
      <w:r>
        <w:rPr>
          <w:rFonts w:hint="eastAsia"/>
        </w:rPr>
        <w:t>（五）资产评估范围与经济行为批准文件确定的资产范围是否一致；</w:t>
      </w:r>
    </w:p>
    <w:p w14:paraId="2D82AE59" w14:textId="77777777" w:rsidR="00FA0363" w:rsidRDefault="00FA0363" w:rsidP="00FA0363">
      <w:pPr>
        <w:pStyle w:val="13"/>
      </w:pPr>
      <w:r>
        <w:rPr>
          <w:rFonts w:hint="eastAsia"/>
        </w:rPr>
        <w:t>（六）评估依据是否适当；</w:t>
      </w:r>
    </w:p>
    <w:p w14:paraId="09676AF8" w14:textId="77777777" w:rsidR="00FA0363" w:rsidRDefault="00FA0363" w:rsidP="00FA0363">
      <w:pPr>
        <w:pStyle w:val="13"/>
      </w:pPr>
      <w:r>
        <w:rPr>
          <w:rFonts w:hint="eastAsia"/>
        </w:rPr>
        <w:t>（七）企业是否就所提供的评估资料的真实性、合法性和完整性</w:t>
      </w:r>
      <w:proofErr w:type="gramStart"/>
      <w:r>
        <w:rPr>
          <w:rFonts w:hint="eastAsia"/>
        </w:rPr>
        <w:t>作出</w:t>
      </w:r>
      <w:proofErr w:type="gramEnd"/>
      <w:r>
        <w:rPr>
          <w:rFonts w:hint="eastAsia"/>
        </w:rPr>
        <w:t>承诺；</w:t>
      </w:r>
    </w:p>
    <w:p w14:paraId="5F7F6F61" w14:textId="77777777" w:rsidR="00FA0363" w:rsidRDefault="00FA0363" w:rsidP="00FA0363">
      <w:pPr>
        <w:pStyle w:val="13"/>
      </w:pPr>
      <w:r>
        <w:rPr>
          <w:rFonts w:hint="eastAsia"/>
        </w:rPr>
        <w:t>（八）评估过程是否符合相关评估准则的规定，评估结果是否按相关规定公示；</w:t>
      </w:r>
    </w:p>
    <w:p w14:paraId="36E0BA6D" w14:textId="77777777" w:rsidR="00FA0363" w:rsidRDefault="00FA0363" w:rsidP="00FA0363">
      <w:pPr>
        <w:pStyle w:val="13"/>
      </w:pPr>
      <w:r>
        <w:rPr>
          <w:rFonts w:hint="eastAsia"/>
        </w:rPr>
        <w:t>（九）评估机构是否按照投标书和业务约定书承诺与规定的要求开展资产评估工作；</w:t>
      </w:r>
    </w:p>
    <w:p w14:paraId="665CA76F" w14:textId="77777777" w:rsidR="00FA0363" w:rsidRDefault="00FA0363" w:rsidP="00FA0363">
      <w:pPr>
        <w:pStyle w:val="13"/>
      </w:pPr>
      <w:r>
        <w:rPr>
          <w:rFonts w:hint="eastAsia"/>
        </w:rPr>
        <w:t>（十）参与审核的专家是否达成一致意见。</w:t>
      </w:r>
    </w:p>
    <w:p w14:paraId="0B90443D" w14:textId="624ECB2A" w:rsidR="00FA0363" w:rsidRDefault="00E05BDA" w:rsidP="00FA0363">
      <w:pPr>
        <w:pStyle w:val="13"/>
        <w:ind w:firstLine="482"/>
      </w:pPr>
      <w:r w:rsidRPr="00E05BDA">
        <w:rPr>
          <w:rFonts w:hint="eastAsia"/>
          <w:b/>
          <w:bCs/>
        </w:rPr>
        <w:t xml:space="preserve">第二十四条 </w:t>
      </w:r>
      <w:r w:rsidR="00FA0363">
        <w:t>本办法第十九条规定的核准项目之外的资产评估项目实行备案管理。</w:t>
      </w:r>
    </w:p>
    <w:p w14:paraId="389695C1" w14:textId="35596032" w:rsidR="00FA0363" w:rsidRDefault="00E05BDA" w:rsidP="00FA0363">
      <w:pPr>
        <w:pStyle w:val="13"/>
        <w:ind w:firstLine="482"/>
      </w:pPr>
      <w:r w:rsidRPr="00E05BDA">
        <w:rPr>
          <w:b/>
          <w:bCs/>
        </w:rPr>
        <w:t xml:space="preserve">第二十五条 </w:t>
      </w:r>
      <w:r w:rsidR="00FA0363">
        <w:t>备案工作实行分级管理。经济行为由省国资委批准的，资产评估项目</w:t>
      </w:r>
      <w:r w:rsidR="00FA0363">
        <w:rPr>
          <w:rFonts w:hint="eastAsia"/>
        </w:rPr>
        <w:t>报省国资委备案；其他资产评估项目由省属企业本级备案。</w:t>
      </w:r>
    </w:p>
    <w:p w14:paraId="03FBCC6F" w14:textId="77777777" w:rsidR="00FA0363" w:rsidRDefault="00FA0363" w:rsidP="00FA0363">
      <w:pPr>
        <w:pStyle w:val="13"/>
      </w:pPr>
      <w:r>
        <w:rPr>
          <w:rFonts w:hint="eastAsia"/>
        </w:rPr>
        <w:t>省属企业本级受让非国有资产（股权）、接受非国有单位非货币资产出资涉及的资产评估项目，报省国资委备案。</w:t>
      </w:r>
    </w:p>
    <w:p w14:paraId="6DDE5E17" w14:textId="12B95C15" w:rsidR="00FA0363" w:rsidRDefault="00E05BDA" w:rsidP="00FA0363">
      <w:pPr>
        <w:pStyle w:val="13"/>
        <w:ind w:firstLine="482"/>
      </w:pPr>
      <w:r w:rsidRPr="00E05BDA">
        <w:rPr>
          <w:rFonts w:hint="eastAsia"/>
          <w:b/>
          <w:bCs/>
        </w:rPr>
        <w:t xml:space="preserve">第二十六条 </w:t>
      </w:r>
      <w:r w:rsidR="00FA0363">
        <w:t>备案工作应当按照下列程序进行：</w:t>
      </w:r>
    </w:p>
    <w:p w14:paraId="06CC9929" w14:textId="77777777" w:rsidR="00FA0363" w:rsidRDefault="00FA0363" w:rsidP="00FA0363">
      <w:pPr>
        <w:pStyle w:val="13"/>
      </w:pPr>
      <w:r>
        <w:rPr>
          <w:rFonts w:hint="eastAsia"/>
        </w:rPr>
        <w:t>（一）企业收到资产评估机构出具的评估报告后，自评估基准日起</w:t>
      </w:r>
      <w:r>
        <w:t>9个月内，按本办法第二十五条规定的管理权限报请备案；</w:t>
      </w:r>
    </w:p>
    <w:p w14:paraId="721C76A9" w14:textId="77777777" w:rsidR="00FA0363" w:rsidRDefault="00FA0363" w:rsidP="00FA0363">
      <w:pPr>
        <w:pStyle w:val="13"/>
      </w:pPr>
      <w:r>
        <w:rPr>
          <w:rFonts w:hint="eastAsia"/>
        </w:rPr>
        <w:t>（二）符合条</w:t>
      </w:r>
      <w:r>
        <w:t>件的，应当在20个工作日内办理备案手续。不符合条件的，予以退回。</w:t>
      </w:r>
    </w:p>
    <w:p w14:paraId="49011726" w14:textId="66F5ED07" w:rsidR="00FA0363" w:rsidRDefault="00E05BDA" w:rsidP="00FA0363">
      <w:pPr>
        <w:pStyle w:val="13"/>
        <w:ind w:firstLine="482"/>
      </w:pPr>
      <w:r w:rsidRPr="00E05BDA">
        <w:rPr>
          <w:rFonts w:hint="eastAsia"/>
          <w:b/>
          <w:bCs/>
        </w:rPr>
        <w:t xml:space="preserve">第二十七条 </w:t>
      </w:r>
      <w:r w:rsidR="00FA0363">
        <w:t>备案工作主要审核以下内容：</w:t>
      </w:r>
    </w:p>
    <w:p w14:paraId="49E1DA0E" w14:textId="77777777" w:rsidR="00FA0363" w:rsidRDefault="00FA0363" w:rsidP="00FA0363">
      <w:pPr>
        <w:pStyle w:val="13"/>
      </w:pPr>
      <w:r>
        <w:rPr>
          <w:rFonts w:hint="eastAsia"/>
        </w:rPr>
        <w:t>（一）资产评估项目所涉及的经济行为是否获得批准；</w:t>
      </w:r>
    </w:p>
    <w:p w14:paraId="78772F56" w14:textId="77777777" w:rsidR="00FA0363" w:rsidRDefault="00FA0363" w:rsidP="00FA0363">
      <w:pPr>
        <w:pStyle w:val="13"/>
      </w:pPr>
      <w:r>
        <w:rPr>
          <w:rFonts w:hint="eastAsia"/>
        </w:rPr>
        <w:t>（二）资产评估机构是否具备相应资质，机构选聘是否符合要求，评估工作人员是否具备相应执业资格；</w:t>
      </w:r>
    </w:p>
    <w:p w14:paraId="0F5FF7CC" w14:textId="77777777" w:rsidR="00FA0363" w:rsidRDefault="00FA0363" w:rsidP="00FA0363">
      <w:pPr>
        <w:pStyle w:val="13"/>
      </w:pPr>
      <w:r>
        <w:rPr>
          <w:rFonts w:hint="eastAsia"/>
        </w:rPr>
        <w:t>（三）评估基准日的选择是否适当，评估结果的使用有效期是否明示；</w:t>
      </w:r>
    </w:p>
    <w:p w14:paraId="6FB202D5" w14:textId="77777777" w:rsidR="00FA0363" w:rsidRDefault="00FA0363" w:rsidP="00FA0363">
      <w:pPr>
        <w:pStyle w:val="13"/>
      </w:pPr>
      <w:r>
        <w:rPr>
          <w:rFonts w:hint="eastAsia"/>
        </w:rPr>
        <w:t>（四）资产评估范围与经济行为批准文件确定的资产范围是否一致；</w:t>
      </w:r>
    </w:p>
    <w:p w14:paraId="1B238849" w14:textId="77777777" w:rsidR="00FA0363" w:rsidRDefault="00FA0363" w:rsidP="00FA0363">
      <w:pPr>
        <w:pStyle w:val="13"/>
      </w:pPr>
      <w:r>
        <w:rPr>
          <w:rFonts w:hint="eastAsia"/>
        </w:rPr>
        <w:t>（五）企业是否就所提供的评估资料的真实性、合法性和完整性</w:t>
      </w:r>
      <w:proofErr w:type="gramStart"/>
      <w:r>
        <w:rPr>
          <w:rFonts w:hint="eastAsia"/>
        </w:rPr>
        <w:t>作出</w:t>
      </w:r>
      <w:proofErr w:type="gramEnd"/>
      <w:r>
        <w:rPr>
          <w:rFonts w:hint="eastAsia"/>
        </w:rPr>
        <w:t>承诺；</w:t>
      </w:r>
    </w:p>
    <w:p w14:paraId="3D30295E" w14:textId="77777777" w:rsidR="00FA0363" w:rsidRDefault="00FA0363" w:rsidP="00FA0363">
      <w:pPr>
        <w:pStyle w:val="13"/>
      </w:pPr>
      <w:r>
        <w:rPr>
          <w:rFonts w:hint="eastAsia"/>
        </w:rPr>
        <w:lastRenderedPageBreak/>
        <w:t>（六）评估机构是否按照投标书和业务约定书承诺与规定的要求开展资产评估工作；</w:t>
      </w:r>
    </w:p>
    <w:p w14:paraId="1B6C8D70" w14:textId="77777777" w:rsidR="006833EE" w:rsidRDefault="00FA0363" w:rsidP="00FA0363">
      <w:pPr>
        <w:pStyle w:val="13"/>
      </w:pPr>
      <w:r>
        <w:rPr>
          <w:rFonts w:hint="eastAsia"/>
        </w:rPr>
        <w:t>（七）评估程序是否符合相关评估准则的规定，评估结果是否按相关规定公示。</w:t>
      </w:r>
    </w:p>
    <w:p w14:paraId="7BAFD49C" w14:textId="2E7ABFA8" w:rsidR="00FA0363" w:rsidRDefault="00FA0363" w:rsidP="00FA0363">
      <w:pPr>
        <w:pStyle w:val="13"/>
        <w:ind w:firstLine="482"/>
      </w:pPr>
      <w:r w:rsidRPr="006833EE">
        <w:rPr>
          <w:rFonts w:hint="eastAsia"/>
          <w:b/>
          <w:bCs/>
        </w:rPr>
        <w:t>第二十八条</w:t>
      </w:r>
      <w:r w:rsidR="006833EE">
        <w:rPr>
          <w:rFonts w:hint="eastAsia"/>
        </w:rPr>
        <w:t xml:space="preserve"> </w:t>
      </w:r>
      <w:r>
        <w:t>申请核准或备案，应当报送下列材料：</w:t>
      </w:r>
    </w:p>
    <w:p w14:paraId="237C603B" w14:textId="77777777" w:rsidR="00FA0363" w:rsidRDefault="00FA0363" w:rsidP="00FA0363">
      <w:pPr>
        <w:pStyle w:val="13"/>
      </w:pPr>
      <w:r>
        <w:rPr>
          <w:rFonts w:hint="eastAsia"/>
        </w:rPr>
        <w:t>（一）资产评估项目核准申请文件或《国有资产评估项目备案表》；</w:t>
      </w:r>
    </w:p>
    <w:p w14:paraId="75847F23" w14:textId="77777777" w:rsidR="00FA0363" w:rsidRDefault="00FA0363" w:rsidP="00FA0363">
      <w:pPr>
        <w:pStyle w:val="13"/>
      </w:pPr>
      <w:r>
        <w:rPr>
          <w:rFonts w:hint="eastAsia"/>
        </w:rPr>
        <w:t>（二）资产评估机构提交的资产评估报告（含土地、房产等资产的评估报告），包括评估报告书、附件、评估明细表、评估说明及其电子文档；</w:t>
      </w:r>
    </w:p>
    <w:p w14:paraId="770E5B65" w14:textId="77777777" w:rsidR="00FA0363" w:rsidRDefault="00FA0363" w:rsidP="00FA0363">
      <w:pPr>
        <w:pStyle w:val="13"/>
      </w:pPr>
      <w:r>
        <w:rPr>
          <w:rFonts w:hint="eastAsia"/>
        </w:rPr>
        <w:t>（三）对应经济行为的批准文件及其资产重组方案、改制方案、发起人协议等材料；</w:t>
      </w:r>
    </w:p>
    <w:p w14:paraId="7CD5314A" w14:textId="77777777" w:rsidR="00FA0363" w:rsidRDefault="00FA0363" w:rsidP="00FA0363">
      <w:pPr>
        <w:pStyle w:val="13"/>
      </w:pPr>
      <w:r>
        <w:rPr>
          <w:rFonts w:hint="eastAsia"/>
        </w:rPr>
        <w:t>（四）经济行为对应的审计报告；</w:t>
      </w:r>
    </w:p>
    <w:p w14:paraId="19D0F0FA" w14:textId="77777777" w:rsidR="00FA0363" w:rsidRDefault="00FA0363" w:rsidP="00FA0363">
      <w:pPr>
        <w:pStyle w:val="13"/>
      </w:pPr>
      <w:r>
        <w:rPr>
          <w:rFonts w:hint="eastAsia"/>
        </w:rPr>
        <w:t>（五）资产评估各方当事人的相关承诺函；</w:t>
      </w:r>
    </w:p>
    <w:p w14:paraId="7FB95B7E" w14:textId="77777777" w:rsidR="00FA0363" w:rsidRDefault="00FA0363" w:rsidP="00FA0363">
      <w:pPr>
        <w:pStyle w:val="13"/>
      </w:pPr>
      <w:r>
        <w:rPr>
          <w:rFonts w:hint="eastAsia"/>
        </w:rPr>
        <w:t>（六）评估报告公示中收到的意见及其相关资料；</w:t>
      </w:r>
    </w:p>
    <w:p w14:paraId="04F7E537" w14:textId="77777777" w:rsidR="00FA0363" w:rsidRDefault="00FA0363" w:rsidP="00FA0363">
      <w:pPr>
        <w:pStyle w:val="13"/>
      </w:pPr>
      <w:r>
        <w:rPr>
          <w:rFonts w:hint="eastAsia"/>
        </w:rPr>
        <w:t>（七）核准或备案单位认为需要报送的其他有关资料。</w:t>
      </w:r>
    </w:p>
    <w:p w14:paraId="35212CF2" w14:textId="64AE5CF1" w:rsidR="00FA0363" w:rsidRDefault="00E05BDA" w:rsidP="00FA0363">
      <w:pPr>
        <w:pStyle w:val="13"/>
        <w:ind w:firstLine="482"/>
      </w:pPr>
      <w:r w:rsidRPr="00E05BDA">
        <w:rPr>
          <w:rFonts w:hint="eastAsia"/>
          <w:b/>
          <w:bCs/>
        </w:rPr>
        <w:t xml:space="preserve">第二十九条 </w:t>
      </w:r>
      <w:r w:rsidR="00FA0363">
        <w:t>评估报告中存在下列特别事项的，核准或备案单位应要求申报企业妥善解决相关问题后，方予受理：</w:t>
      </w:r>
    </w:p>
    <w:p w14:paraId="54C62212" w14:textId="77777777" w:rsidR="00FA0363" w:rsidRDefault="00FA0363" w:rsidP="00FA0363">
      <w:pPr>
        <w:pStyle w:val="13"/>
      </w:pPr>
      <w:r>
        <w:rPr>
          <w:rFonts w:hint="eastAsia"/>
        </w:rPr>
        <w:t>（一）权属资料不全或者存在瑕疵的；</w:t>
      </w:r>
    </w:p>
    <w:p w14:paraId="5015E46E" w14:textId="77777777" w:rsidR="00FA0363" w:rsidRDefault="00FA0363" w:rsidP="00FA0363">
      <w:pPr>
        <w:pStyle w:val="13"/>
      </w:pPr>
      <w:r>
        <w:rPr>
          <w:rFonts w:hint="eastAsia"/>
        </w:rPr>
        <w:t>（二）评估程序受到限制的；</w:t>
      </w:r>
    </w:p>
    <w:p w14:paraId="72E92C45" w14:textId="77777777" w:rsidR="00FA0363" w:rsidRDefault="00FA0363" w:rsidP="00FA0363">
      <w:pPr>
        <w:pStyle w:val="13"/>
        <w:ind w:firstLineChars="0" w:firstLine="0"/>
      </w:pPr>
      <w:r>
        <w:rPr>
          <w:rFonts w:hint="eastAsia"/>
        </w:rPr>
        <w:t>（三）资产评估对应的经济行为中，存在可能对评估结论产生重大影响的瑕疵。</w:t>
      </w:r>
    </w:p>
    <w:p w14:paraId="76544AE0" w14:textId="75BE6513" w:rsidR="00FA0363" w:rsidRPr="00B736F0" w:rsidRDefault="00E05BDA" w:rsidP="00FA0363">
      <w:pPr>
        <w:pStyle w:val="13"/>
        <w:ind w:firstLine="482"/>
      </w:pPr>
      <w:r w:rsidRPr="00E05BDA">
        <w:rPr>
          <w:rFonts w:hint="eastAsia"/>
          <w:b/>
          <w:bCs/>
        </w:rPr>
        <w:t xml:space="preserve">第三十条 </w:t>
      </w:r>
      <w:r w:rsidR="00FA0363" w:rsidRPr="00B736F0">
        <w:t>涉及企业价值的资产评估项目，以持续经营为前提进行评估时，原则上</w:t>
      </w:r>
      <w:r w:rsidR="00FA0363" w:rsidRPr="00B736F0">
        <w:rPr>
          <w:rFonts w:hint="eastAsia"/>
        </w:rPr>
        <w:t>应用两种以上方法进行评估，并在评估报告中列示，依据实际状况充分、全面分析后，</w:t>
      </w:r>
      <w:r w:rsidR="00FA0363" w:rsidRPr="00B736F0">
        <w:t>确定其中一个评估结果作为评估报告使用结果。</w:t>
      </w:r>
    </w:p>
    <w:p w14:paraId="1AC95E4D" w14:textId="77777777" w:rsidR="00FA0363" w:rsidRDefault="00FA0363" w:rsidP="00FA0363">
      <w:pPr>
        <w:pStyle w:val="13"/>
      </w:pPr>
      <w:r>
        <w:rPr>
          <w:rFonts w:hint="eastAsia"/>
        </w:rPr>
        <w:t>对采用收益法为资产评估结果的，评估报告中有关收益法说明部分一般应包括下列参数、依据及测算过程：</w:t>
      </w:r>
    </w:p>
    <w:p w14:paraId="3A336B3E" w14:textId="77777777" w:rsidR="00FA0363" w:rsidRDefault="00FA0363" w:rsidP="00FA0363">
      <w:pPr>
        <w:pStyle w:val="13"/>
      </w:pPr>
      <w:r>
        <w:rPr>
          <w:rFonts w:hint="eastAsia"/>
        </w:rPr>
        <w:t>（一）收入预测表及说明；</w:t>
      </w:r>
    </w:p>
    <w:p w14:paraId="61A5F6FF" w14:textId="77777777" w:rsidR="00FA0363" w:rsidRDefault="00FA0363" w:rsidP="00FA0363">
      <w:pPr>
        <w:pStyle w:val="13"/>
      </w:pPr>
      <w:r>
        <w:rPr>
          <w:rFonts w:hint="eastAsia"/>
        </w:rPr>
        <w:t>（二）成本及费用预测表及说明；</w:t>
      </w:r>
    </w:p>
    <w:p w14:paraId="37018DCC" w14:textId="77777777" w:rsidR="00FA0363" w:rsidRDefault="00FA0363" w:rsidP="00FA0363">
      <w:pPr>
        <w:pStyle w:val="13"/>
      </w:pPr>
      <w:r>
        <w:rPr>
          <w:rFonts w:hint="eastAsia"/>
        </w:rPr>
        <w:t>（三）折旧和摊销预测表及说明；</w:t>
      </w:r>
    </w:p>
    <w:p w14:paraId="51A999EF" w14:textId="77777777" w:rsidR="00FA0363" w:rsidRDefault="00FA0363" w:rsidP="00FA0363">
      <w:pPr>
        <w:pStyle w:val="13"/>
      </w:pPr>
      <w:r>
        <w:rPr>
          <w:rFonts w:hint="eastAsia"/>
        </w:rPr>
        <w:t>（四）营运资金预测表及说明；</w:t>
      </w:r>
    </w:p>
    <w:p w14:paraId="728342F5" w14:textId="77777777" w:rsidR="00FA0363" w:rsidRDefault="00FA0363" w:rsidP="00FA0363">
      <w:pPr>
        <w:pStyle w:val="13"/>
      </w:pPr>
      <w:r>
        <w:rPr>
          <w:rFonts w:hint="eastAsia"/>
        </w:rPr>
        <w:t>（五）资本性支出预测表及说明；</w:t>
      </w:r>
    </w:p>
    <w:p w14:paraId="30ACA8BE" w14:textId="77777777" w:rsidR="00FA0363" w:rsidRDefault="00FA0363" w:rsidP="00FA0363">
      <w:pPr>
        <w:pStyle w:val="13"/>
      </w:pPr>
      <w:r>
        <w:rPr>
          <w:rFonts w:hint="eastAsia"/>
        </w:rPr>
        <w:t>（六）折现率选取、计算、分析及说明；</w:t>
      </w:r>
    </w:p>
    <w:p w14:paraId="6AD23EB0" w14:textId="77777777" w:rsidR="00FA0363" w:rsidRDefault="00FA0363" w:rsidP="00FA0363">
      <w:pPr>
        <w:pStyle w:val="13"/>
      </w:pPr>
      <w:r>
        <w:rPr>
          <w:rFonts w:hint="eastAsia"/>
        </w:rPr>
        <w:t>（七）负债预测表及说明；</w:t>
      </w:r>
    </w:p>
    <w:p w14:paraId="1EBBD296" w14:textId="77777777" w:rsidR="00FA0363" w:rsidRDefault="00FA0363" w:rsidP="00FA0363">
      <w:pPr>
        <w:pStyle w:val="13"/>
      </w:pPr>
      <w:r>
        <w:rPr>
          <w:rFonts w:hint="eastAsia"/>
        </w:rPr>
        <w:t>（八）溢</w:t>
      </w:r>
      <w:proofErr w:type="gramStart"/>
      <w:r>
        <w:rPr>
          <w:rFonts w:hint="eastAsia"/>
        </w:rPr>
        <w:t>余资产</w:t>
      </w:r>
      <w:proofErr w:type="gramEnd"/>
      <w:r>
        <w:rPr>
          <w:rFonts w:hint="eastAsia"/>
        </w:rPr>
        <w:t>分析及说明；</w:t>
      </w:r>
    </w:p>
    <w:p w14:paraId="268A86A8" w14:textId="77777777" w:rsidR="00FA0363" w:rsidRDefault="00FA0363" w:rsidP="00FA0363">
      <w:pPr>
        <w:pStyle w:val="13"/>
      </w:pPr>
      <w:r>
        <w:rPr>
          <w:rFonts w:hint="eastAsia"/>
        </w:rPr>
        <w:t>（九）非经营性资产分析及说明；</w:t>
      </w:r>
    </w:p>
    <w:p w14:paraId="2B5C9D6B" w14:textId="77777777" w:rsidR="00FA0363" w:rsidRDefault="00FA0363" w:rsidP="00FA0363">
      <w:pPr>
        <w:pStyle w:val="13"/>
      </w:pPr>
      <w:r>
        <w:rPr>
          <w:rFonts w:hint="eastAsia"/>
        </w:rPr>
        <w:t>（十）其他需要说明的情况。</w:t>
      </w:r>
    </w:p>
    <w:p w14:paraId="1B0FE92A" w14:textId="4394F0CA" w:rsidR="00FA0363" w:rsidRDefault="003B2FB1" w:rsidP="00FA0363">
      <w:pPr>
        <w:pStyle w:val="13"/>
        <w:ind w:firstLine="482"/>
      </w:pPr>
      <w:r w:rsidRPr="003B2FB1">
        <w:rPr>
          <w:rFonts w:hint="eastAsia"/>
          <w:b/>
          <w:bCs/>
        </w:rPr>
        <w:t xml:space="preserve">第三十一条 </w:t>
      </w:r>
      <w:r w:rsidR="00FA0363">
        <w:t>有多个国有股东的企业的资产评估项目，经协商一致，可由国有第</w:t>
      </w:r>
      <w:r w:rsidR="00FA0363">
        <w:lastRenderedPageBreak/>
        <w:t>一大股东依照其产权隶属关系办理核准或备案手续。</w:t>
      </w:r>
    </w:p>
    <w:p w14:paraId="4C70BB30" w14:textId="77777777" w:rsidR="00FA0363" w:rsidRDefault="00FA0363" w:rsidP="00FA0363">
      <w:pPr>
        <w:pStyle w:val="13"/>
      </w:pPr>
      <w:r>
        <w:rPr>
          <w:rFonts w:hint="eastAsia"/>
        </w:rPr>
        <w:t>国有股东持股比例相等的，经协商一致，可由其中一方依照其产权隶属关系办理核准或备案手续。其中国有股东均为省属企业且其中有省属企业本级的，该资产评估项目报省国资委核准或备案。</w:t>
      </w:r>
    </w:p>
    <w:p w14:paraId="1BC9EC7E" w14:textId="3C16ADFF" w:rsidR="00FA0363" w:rsidRDefault="003B2FB1" w:rsidP="00FA0363">
      <w:pPr>
        <w:pStyle w:val="13"/>
        <w:ind w:firstLine="482"/>
      </w:pPr>
      <w:r w:rsidRPr="003B2FB1">
        <w:rPr>
          <w:rFonts w:hint="eastAsia"/>
          <w:b/>
          <w:bCs/>
        </w:rPr>
        <w:t xml:space="preserve">第三十二条 </w:t>
      </w:r>
      <w:r w:rsidR="00FA0363">
        <w:t>省国资委和省属企业本级按照《企业国有资产评估管理暂行办法》（国务院国资委令第12号）和本办法的有关规定，对需要核准或备案的资产评估报告进行审核，并对资产评估报告的合</w:t>
      </w:r>
      <w:proofErr w:type="gramStart"/>
      <w:r w:rsidR="00FA0363">
        <w:t>规</w:t>
      </w:r>
      <w:proofErr w:type="gramEnd"/>
      <w:r w:rsidR="00FA0363">
        <w:t>性承担审核责任。</w:t>
      </w:r>
    </w:p>
    <w:p w14:paraId="2C825F43" w14:textId="383CA731" w:rsidR="00FA0363" w:rsidRDefault="003B2FB1" w:rsidP="00FA0363">
      <w:pPr>
        <w:pStyle w:val="13"/>
        <w:ind w:firstLine="482"/>
      </w:pPr>
      <w:r w:rsidRPr="003B2FB1">
        <w:rPr>
          <w:rFonts w:hint="eastAsia"/>
          <w:b/>
          <w:bCs/>
        </w:rPr>
        <w:t xml:space="preserve">第三十三条 </w:t>
      </w:r>
      <w:r w:rsidR="00FA0363">
        <w:t>产权持有人和资产占有单位负责如实提供相关评估资料（省属企业本级资产评估项目涉及的评估资料由省属企业本级负责提供），并对资料的真实性、完整性和有效性承担相应的法律责任。</w:t>
      </w:r>
    </w:p>
    <w:p w14:paraId="208D5DBD" w14:textId="3D10E239" w:rsidR="00FA0363" w:rsidRDefault="003B2FB1" w:rsidP="00FA0363">
      <w:pPr>
        <w:pStyle w:val="13"/>
        <w:ind w:firstLine="482"/>
      </w:pPr>
      <w:r w:rsidRPr="003B2FB1">
        <w:rPr>
          <w:rFonts w:hint="eastAsia"/>
          <w:b/>
          <w:bCs/>
        </w:rPr>
        <w:t xml:space="preserve">第三十四条 </w:t>
      </w:r>
      <w:r w:rsidR="00FA0363">
        <w:t>资产评估机构和注册资产评估师对评估结果承担相应的法律责任。资产评估机构和注册资产评估师对评估资料不全导致无法合理评估的，应当以书面</w:t>
      </w:r>
    </w:p>
    <w:p w14:paraId="6A51F1AD" w14:textId="77777777" w:rsidR="00FA0363" w:rsidRDefault="00FA0363" w:rsidP="00FA0363">
      <w:pPr>
        <w:pStyle w:val="13"/>
      </w:pPr>
      <w:r>
        <w:rPr>
          <w:rFonts w:hint="eastAsia"/>
        </w:rPr>
        <w:t>形式要求产权持有人和资产占有单位提供或说明，未要求提供的（或</w:t>
      </w:r>
      <w:proofErr w:type="gramStart"/>
      <w:r>
        <w:rPr>
          <w:rFonts w:hint="eastAsia"/>
        </w:rPr>
        <w:t>虽要求</w:t>
      </w:r>
      <w:proofErr w:type="gramEnd"/>
      <w:r>
        <w:rPr>
          <w:rFonts w:hint="eastAsia"/>
        </w:rPr>
        <w:t>提供，但企业未提供，资产评估报告中也未说明的），由此导致评估失实或引起相应的法律纠纷的，</w:t>
      </w:r>
      <w:r>
        <w:t>由资产评估机构和注册资产评估师承担相应的法律责任。</w:t>
      </w:r>
    </w:p>
    <w:p w14:paraId="337571CF" w14:textId="77777777" w:rsidR="006833EE" w:rsidRDefault="003B2FB1" w:rsidP="00FA0363">
      <w:pPr>
        <w:pStyle w:val="13"/>
        <w:ind w:firstLine="482"/>
      </w:pPr>
      <w:r w:rsidRPr="003B2FB1">
        <w:rPr>
          <w:rFonts w:hint="eastAsia"/>
          <w:b/>
          <w:bCs/>
        </w:rPr>
        <w:t xml:space="preserve">第三十五条 </w:t>
      </w:r>
      <w:r w:rsidR="00FA0363">
        <w:t>经核准或备案的资产评估结果使用有效期为自评估基准日起一年。</w:t>
      </w:r>
    </w:p>
    <w:p w14:paraId="64B167C4" w14:textId="36C4B58B" w:rsidR="00FA0363" w:rsidRDefault="00FA0363" w:rsidP="00FA0363">
      <w:pPr>
        <w:pStyle w:val="13"/>
        <w:ind w:firstLine="482"/>
      </w:pPr>
      <w:r w:rsidRPr="006833EE">
        <w:rPr>
          <w:b/>
          <w:bCs/>
        </w:rPr>
        <w:t>第三十六条</w:t>
      </w:r>
      <w:r w:rsidR="006833EE">
        <w:rPr>
          <w:rFonts w:hint="eastAsia"/>
        </w:rPr>
        <w:t xml:space="preserve"> </w:t>
      </w:r>
      <w:r>
        <w:t>资产评估项目核准文件或资产评估项目备案表是实施对应经济行为的</w:t>
      </w:r>
      <w:r>
        <w:rPr>
          <w:rFonts w:hint="eastAsia"/>
        </w:rPr>
        <w:t>必备文件。</w:t>
      </w:r>
    </w:p>
    <w:p w14:paraId="04E6B5F4" w14:textId="17E40550" w:rsidR="00FA0363" w:rsidRDefault="00FA0363" w:rsidP="00AF7342">
      <w:pPr>
        <w:pStyle w:val="a9"/>
        <w:spacing w:before="62" w:after="62"/>
      </w:pPr>
      <w:r>
        <w:rPr>
          <w:rFonts w:hint="eastAsia"/>
        </w:rPr>
        <w:t>第五章</w:t>
      </w:r>
      <w:r w:rsidR="00CC466D">
        <w:rPr>
          <w:rFonts w:hint="eastAsia"/>
        </w:rPr>
        <w:t xml:space="preserve"> </w:t>
      </w:r>
      <w:r>
        <w:t>资产评估工作的监管</w:t>
      </w:r>
    </w:p>
    <w:p w14:paraId="21DF0CC3" w14:textId="5B842DEB" w:rsidR="00FA0363" w:rsidRDefault="003B2FB1" w:rsidP="00FA0363">
      <w:pPr>
        <w:pStyle w:val="13"/>
        <w:ind w:firstLine="482"/>
      </w:pPr>
      <w:r w:rsidRPr="003B2FB1">
        <w:rPr>
          <w:rFonts w:hint="eastAsia"/>
          <w:b/>
          <w:bCs/>
        </w:rPr>
        <w:t xml:space="preserve">第三十七条 </w:t>
      </w:r>
      <w:r w:rsidR="00FA0363">
        <w:t>省国资委建立资产评估工作监督检查制度，每年对省属企业资产评估工作进行一次全面统计检查，对评估工作中存在的普遍性、政策性问题等进行分析，提出解决措施和办法。</w:t>
      </w:r>
    </w:p>
    <w:p w14:paraId="04F95462" w14:textId="0EBDB5E8" w:rsidR="00FA0363" w:rsidRDefault="003B2FB1" w:rsidP="00FA0363">
      <w:pPr>
        <w:pStyle w:val="13"/>
        <w:ind w:firstLine="482"/>
      </w:pPr>
      <w:r w:rsidRPr="003B2FB1">
        <w:rPr>
          <w:rFonts w:hint="eastAsia"/>
          <w:b/>
          <w:bCs/>
        </w:rPr>
        <w:t xml:space="preserve">第三十八条 </w:t>
      </w:r>
      <w:r w:rsidR="00FA0363">
        <w:t>省国资委定期或不定期对省属企业资产评估项目进行抽查，并通报抽查结果。</w:t>
      </w:r>
    </w:p>
    <w:p w14:paraId="6C26E846" w14:textId="5A57BF1C" w:rsidR="00FA0363" w:rsidRDefault="003B2FB1" w:rsidP="00FA0363">
      <w:pPr>
        <w:pStyle w:val="13"/>
        <w:ind w:firstLine="482"/>
      </w:pPr>
      <w:r w:rsidRPr="003B2FB1">
        <w:rPr>
          <w:rFonts w:hint="eastAsia"/>
          <w:b/>
          <w:bCs/>
        </w:rPr>
        <w:t xml:space="preserve">第三十九条 </w:t>
      </w:r>
      <w:r w:rsidR="00FA0363">
        <w:t>抽查工作重点检查下列内容：</w:t>
      </w:r>
    </w:p>
    <w:p w14:paraId="2BA9B9DF" w14:textId="77777777" w:rsidR="00FA0363" w:rsidRDefault="00FA0363" w:rsidP="00FA0363">
      <w:pPr>
        <w:pStyle w:val="13"/>
      </w:pPr>
      <w:r>
        <w:rPr>
          <w:rFonts w:hint="eastAsia"/>
        </w:rPr>
        <w:t>（一）企业经济行为的合</w:t>
      </w:r>
      <w:proofErr w:type="gramStart"/>
      <w:r>
        <w:rPr>
          <w:rFonts w:hint="eastAsia"/>
        </w:rPr>
        <w:t>规</w:t>
      </w:r>
      <w:proofErr w:type="gramEnd"/>
      <w:r>
        <w:rPr>
          <w:rFonts w:hint="eastAsia"/>
        </w:rPr>
        <w:t>性；</w:t>
      </w:r>
    </w:p>
    <w:p w14:paraId="294C5DFB" w14:textId="77777777" w:rsidR="00FA0363" w:rsidRDefault="00FA0363" w:rsidP="00FA0363">
      <w:pPr>
        <w:pStyle w:val="13"/>
      </w:pPr>
      <w:r>
        <w:rPr>
          <w:rFonts w:hint="eastAsia"/>
        </w:rPr>
        <w:t>（二）资产评估机构选聘的合</w:t>
      </w:r>
      <w:proofErr w:type="gramStart"/>
      <w:r>
        <w:rPr>
          <w:rFonts w:hint="eastAsia"/>
        </w:rPr>
        <w:t>规</w:t>
      </w:r>
      <w:proofErr w:type="gramEnd"/>
      <w:r>
        <w:rPr>
          <w:rFonts w:hint="eastAsia"/>
        </w:rPr>
        <w:t>性；</w:t>
      </w:r>
    </w:p>
    <w:p w14:paraId="71BE21F9" w14:textId="77777777" w:rsidR="00FA0363" w:rsidRDefault="00FA0363" w:rsidP="00FA0363">
      <w:pPr>
        <w:pStyle w:val="13"/>
      </w:pPr>
      <w:r>
        <w:rPr>
          <w:rFonts w:hint="eastAsia"/>
        </w:rPr>
        <w:t>（三）评估的资产范围与对应经济行为所涉及的资产范围是否一致；</w:t>
      </w:r>
    </w:p>
    <w:p w14:paraId="262A4BB7" w14:textId="77777777" w:rsidR="00FA0363" w:rsidRDefault="00FA0363" w:rsidP="00FA0363">
      <w:pPr>
        <w:pStyle w:val="13"/>
      </w:pPr>
      <w:r>
        <w:rPr>
          <w:rFonts w:hint="eastAsia"/>
        </w:rPr>
        <w:t>（四）企业提供的资产权属证明、财务会计资料及生产经营管理资料的真实性、合法性和完整性；</w:t>
      </w:r>
    </w:p>
    <w:p w14:paraId="3FA76181" w14:textId="77777777" w:rsidR="00FA0363" w:rsidRDefault="00FA0363" w:rsidP="00FA0363">
      <w:pPr>
        <w:pStyle w:val="13"/>
      </w:pPr>
      <w:r>
        <w:rPr>
          <w:rFonts w:hint="eastAsia"/>
        </w:rPr>
        <w:t>（五）资产评估机构的执业资质和评估人员的执业资格；</w:t>
      </w:r>
    </w:p>
    <w:p w14:paraId="13546A48" w14:textId="77777777" w:rsidR="00FA0363" w:rsidRDefault="00FA0363" w:rsidP="00FA0363">
      <w:pPr>
        <w:pStyle w:val="13"/>
      </w:pPr>
      <w:r>
        <w:rPr>
          <w:rFonts w:hint="eastAsia"/>
        </w:rPr>
        <w:t>（六）资产账面价值与评估结果的差异；</w:t>
      </w:r>
    </w:p>
    <w:p w14:paraId="287E0C85" w14:textId="77777777" w:rsidR="00FA0363" w:rsidRDefault="00FA0363" w:rsidP="00FA0363">
      <w:pPr>
        <w:pStyle w:val="13"/>
      </w:pPr>
      <w:r>
        <w:rPr>
          <w:rFonts w:hint="eastAsia"/>
        </w:rPr>
        <w:t>（七）经济行为的实际成交价与评估结果的差异；</w:t>
      </w:r>
    </w:p>
    <w:p w14:paraId="06B32548" w14:textId="77777777" w:rsidR="00FA0363" w:rsidRDefault="00FA0363" w:rsidP="00FA0363">
      <w:pPr>
        <w:pStyle w:val="13"/>
      </w:pPr>
      <w:r>
        <w:rPr>
          <w:rFonts w:hint="eastAsia"/>
        </w:rPr>
        <w:t>（八）评估工作底稿；</w:t>
      </w:r>
    </w:p>
    <w:p w14:paraId="21AA0244" w14:textId="77777777" w:rsidR="00FA0363" w:rsidRDefault="00FA0363" w:rsidP="00FA0363">
      <w:pPr>
        <w:pStyle w:val="13"/>
      </w:pPr>
      <w:r>
        <w:rPr>
          <w:rFonts w:hint="eastAsia"/>
        </w:rPr>
        <w:lastRenderedPageBreak/>
        <w:t>（九）评估依据的合理性；</w:t>
      </w:r>
    </w:p>
    <w:p w14:paraId="1225ACA5" w14:textId="77777777" w:rsidR="00FA0363" w:rsidRDefault="00FA0363" w:rsidP="00FA0363">
      <w:pPr>
        <w:pStyle w:val="13"/>
      </w:pPr>
      <w:r>
        <w:rPr>
          <w:rFonts w:hint="eastAsia"/>
        </w:rPr>
        <w:t>（十）评估报告对重大事项及其对评估结果影响的披露程度，以及该披露与实际情况的差异；</w:t>
      </w:r>
    </w:p>
    <w:p w14:paraId="4A5CE36C" w14:textId="77777777" w:rsidR="00FA0363" w:rsidRDefault="00FA0363" w:rsidP="00FA0363">
      <w:pPr>
        <w:pStyle w:val="13"/>
      </w:pPr>
      <w:r>
        <w:rPr>
          <w:rFonts w:hint="eastAsia"/>
        </w:rPr>
        <w:t>（十一）省国资委认为需要检查的其他有关情况。</w:t>
      </w:r>
    </w:p>
    <w:p w14:paraId="688D89E3" w14:textId="5ACD142D" w:rsidR="00FA0363" w:rsidRDefault="003B2FB1" w:rsidP="00FA0363">
      <w:pPr>
        <w:pStyle w:val="13"/>
        <w:ind w:firstLine="482"/>
      </w:pPr>
      <w:r w:rsidRPr="003B2FB1">
        <w:rPr>
          <w:rFonts w:hint="eastAsia"/>
          <w:b/>
          <w:bCs/>
        </w:rPr>
        <w:t xml:space="preserve">第四十条 </w:t>
      </w:r>
      <w:r w:rsidR="00FA0363">
        <w:t>省国资委建立省属企业委托资产评估中介机构库执业质量和诚信档案制度，对资产评估机构的评估报告质量、项目完成时间等执业情况和履行投标承诺情况进行考核。考核情况作为资产评估项目评标的重要指标。</w:t>
      </w:r>
    </w:p>
    <w:p w14:paraId="18EFB9A3" w14:textId="77777777" w:rsidR="00FA0363" w:rsidRDefault="00FA0363" w:rsidP="00FA0363">
      <w:pPr>
        <w:pStyle w:val="13"/>
      </w:pPr>
      <w:r>
        <w:rPr>
          <w:rFonts w:hint="eastAsia"/>
        </w:rPr>
        <w:t>省属企业应当配合省国资委做好对资产评估机构依法执业和履行投标承诺情况的现场监督。</w:t>
      </w:r>
    </w:p>
    <w:p w14:paraId="3FB15278" w14:textId="21AC94A6" w:rsidR="00FA0363" w:rsidRDefault="00FA0363" w:rsidP="00AF7342">
      <w:pPr>
        <w:pStyle w:val="a9"/>
        <w:spacing w:before="62" w:after="62"/>
      </w:pPr>
      <w:r>
        <w:rPr>
          <w:rFonts w:hint="eastAsia"/>
        </w:rPr>
        <w:t>第六章</w:t>
      </w:r>
      <w:r w:rsidR="00CC466D">
        <w:rPr>
          <w:rFonts w:hint="eastAsia"/>
        </w:rPr>
        <w:t xml:space="preserve"> </w:t>
      </w:r>
      <w:r>
        <w:t>资产评估工作的责任追究</w:t>
      </w:r>
    </w:p>
    <w:p w14:paraId="10B59E89" w14:textId="131539FC" w:rsidR="00FA0363" w:rsidRDefault="003B2FB1" w:rsidP="00FA0363">
      <w:pPr>
        <w:pStyle w:val="13"/>
        <w:ind w:firstLine="482"/>
      </w:pPr>
      <w:r w:rsidRPr="003B2FB1">
        <w:rPr>
          <w:rFonts w:hint="eastAsia"/>
          <w:b/>
          <w:bCs/>
        </w:rPr>
        <w:t xml:space="preserve">第四十一条 </w:t>
      </w:r>
      <w:r w:rsidR="00FA0363">
        <w:t>产权持有单位或资产占有单位有下列情形之一的，不予办理核准或备案手续；已经办理的，该评估结果也不得作为对应经济行为的实施依据；评估工作尚未完成的，应当中止：</w:t>
      </w:r>
    </w:p>
    <w:p w14:paraId="228FB88D" w14:textId="77777777" w:rsidR="00FA0363" w:rsidRDefault="00FA0363" w:rsidP="00FA0363">
      <w:pPr>
        <w:pStyle w:val="13"/>
      </w:pPr>
      <w:r>
        <w:rPr>
          <w:rFonts w:hint="eastAsia"/>
        </w:rPr>
        <w:t>（一）应当进行资产评估而未进行评估；</w:t>
      </w:r>
    </w:p>
    <w:p w14:paraId="7EA7B756" w14:textId="77777777" w:rsidR="00FA0363" w:rsidRDefault="00FA0363" w:rsidP="00FA0363">
      <w:pPr>
        <w:pStyle w:val="13"/>
      </w:pPr>
      <w:r>
        <w:rPr>
          <w:rFonts w:hint="eastAsia"/>
        </w:rPr>
        <w:t>（二）未按有关规定选聘资产评估机构，或者聘请的资产评估机构不符合相应资质条</w:t>
      </w:r>
      <w:r>
        <w:t>件；</w:t>
      </w:r>
    </w:p>
    <w:p w14:paraId="03314E57" w14:textId="77777777" w:rsidR="00FA0363" w:rsidRDefault="00FA0363" w:rsidP="00FA0363">
      <w:pPr>
        <w:pStyle w:val="13"/>
      </w:pPr>
      <w:r>
        <w:rPr>
          <w:rFonts w:hint="eastAsia"/>
        </w:rPr>
        <w:t>（三）未按规定向资产评估机构提供相关的评估资料，导致评估失实或引起相应的法律责任；</w:t>
      </w:r>
    </w:p>
    <w:p w14:paraId="159708E5" w14:textId="77777777" w:rsidR="00FA0363" w:rsidRDefault="00FA0363" w:rsidP="00FA0363">
      <w:pPr>
        <w:pStyle w:val="13"/>
      </w:pPr>
      <w:r>
        <w:rPr>
          <w:rFonts w:hint="eastAsia"/>
        </w:rPr>
        <w:t>（四）向资产评估机构提供虚假情况和资料，或者与评估机构串通作弊，导致评估结果失实；</w:t>
      </w:r>
    </w:p>
    <w:p w14:paraId="5E3CEFE4" w14:textId="77777777" w:rsidR="00FA0363" w:rsidRDefault="00FA0363" w:rsidP="00FA0363">
      <w:pPr>
        <w:pStyle w:val="13"/>
      </w:pPr>
      <w:r>
        <w:rPr>
          <w:rFonts w:hint="eastAsia"/>
        </w:rPr>
        <w:t>（五）未按规定公示资产评估结果；</w:t>
      </w:r>
    </w:p>
    <w:p w14:paraId="62CBDF3C" w14:textId="77777777" w:rsidR="00FA0363" w:rsidRDefault="00FA0363" w:rsidP="00FA0363">
      <w:pPr>
        <w:pStyle w:val="13"/>
      </w:pPr>
      <w:r>
        <w:rPr>
          <w:rFonts w:hint="eastAsia"/>
        </w:rPr>
        <w:t>（六）未按规定办理核准或备案手续；</w:t>
      </w:r>
    </w:p>
    <w:p w14:paraId="423FDFBB" w14:textId="77777777" w:rsidR="00FA0363" w:rsidRDefault="00FA0363" w:rsidP="00FA0363">
      <w:pPr>
        <w:pStyle w:val="13"/>
      </w:pPr>
      <w:r>
        <w:rPr>
          <w:rFonts w:hint="eastAsia"/>
        </w:rPr>
        <w:t>（七）违反本办法的其他行为。</w:t>
      </w:r>
    </w:p>
    <w:p w14:paraId="2776E818" w14:textId="77777777" w:rsidR="00FA0363" w:rsidRDefault="00FA0363" w:rsidP="00FA0363">
      <w:pPr>
        <w:pStyle w:val="13"/>
      </w:pPr>
      <w:r>
        <w:rPr>
          <w:rFonts w:hint="eastAsia"/>
        </w:rPr>
        <w:t>有前款情形之一的，省国资委责令改正并通报批评，属于国家工作人员的，依法给予处分；造成国有资产损失的，依法承担赔偿责任；造成国有资产重大损失的，依法予以免职或提出免职建议；涉嫌犯罪的，依法移送司法机关处理。</w:t>
      </w:r>
    </w:p>
    <w:p w14:paraId="17B2AE6C" w14:textId="14F13D9F" w:rsidR="00FA0363" w:rsidRDefault="003B2FB1" w:rsidP="00FA0363">
      <w:pPr>
        <w:pStyle w:val="13"/>
        <w:ind w:firstLine="482"/>
      </w:pPr>
      <w:r w:rsidRPr="003B2FB1">
        <w:rPr>
          <w:rFonts w:hint="eastAsia"/>
          <w:b/>
          <w:bCs/>
        </w:rPr>
        <w:t xml:space="preserve">第四十二条 </w:t>
      </w:r>
      <w:r w:rsidR="00FA0363">
        <w:t>资产评估机构及其注册资产评估师有下列情形之一的，省国资委将视情况给予警告、通报、</w:t>
      </w:r>
      <w:proofErr w:type="gramStart"/>
      <w:r w:rsidR="00FA0363">
        <w:t>暂停国</w:t>
      </w:r>
      <w:proofErr w:type="gramEnd"/>
      <w:r w:rsidR="00FA0363">
        <w:t>资项目业务以及淘汰出浙江省国资委委托资产评估机构库：</w:t>
      </w:r>
    </w:p>
    <w:p w14:paraId="3CDA2693" w14:textId="77777777" w:rsidR="00FA0363" w:rsidRDefault="00FA0363" w:rsidP="00FA0363">
      <w:pPr>
        <w:pStyle w:val="13"/>
      </w:pPr>
      <w:r>
        <w:rPr>
          <w:rFonts w:hint="eastAsia"/>
        </w:rPr>
        <w:t>（一）在评估操作上存在重大过错，致使资产评估结果失实的；</w:t>
      </w:r>
    </w:p>
    <w:p w14:paraId="180697DE" w14:textId="77777777" w:rsidR="00FA0363" w:rsidRDefault="00FA0363" w:rsidP="00FA0363">
      <w:pPr>
        <w:pStyle w:val="13"/>
      </w:pPr>
      <w:r>
        <w:rPr>
          <w:rFonts w:hint="eastAsia"/>
        </w:rPr>
        <w:t>（二）专家评审会对评估报告提出修改意见，但修改后仍被专家评审会否决两次以上的；</w:t>
      </w:r>
    </w:p>
    <w:p w14:paraId="4FFCD78B" w14:textId="77777777" w:rsidR="00FA0363" w:rsidRDefault="00FA0363" w:rsidP="00FA0363">
      <w:pPr>
        <w:pStyle w:val="13"/>
      </w:pPr>
      <w:r>
        <w:rPr>
          <w:rFonts w:hint="eastAsia"/>
        </w:rPr>
        <w:t>（三）未按投标承诺和业务约定书规定的要求完成评估并按时出具资产评估报告的；</w:t>
      </w:r>
    </w:p>
    <w:p w14:paraId="31E5DCAB" w14:textId="77777777" w:rsidR="00FA0363" w:rsidRDefault="00FA0363" w:rsidP="00FA0363">
      <w:pPr>
        <w:pStyle w:val="13"/>
      </w:pPr>
      <w:r>
        <w:rPr>
          <w:rFonts w:hint="eastAsia"/>
        </w:rPr>
        <w:lastRenderedPageBreak/>
        <w:t>（四）对资产评估项目抽查不予配合的；</w:t>
      </w:r>
    </w:p>
    <w:p w14:paraId="5A4F588C" w14:textId="77777777" w:rsidR="00FA0363" w:rsidRDefault="00FA0363" w:rsidP="00FA0363">
      <w:pPr>
        <w:pStyle w:val="13"/>
      </w:pPr>
      <w:r>
        <w:rPr>
          <w:rFonts w:hint="eastAsia"/>
        </w:rPr>
        <w:t>（五）核准、备案或抽查过程中，发现评估报告存在重大问题，经核实属评估机构原因造成的；</w:t>
      </w:r>
    </w:p>
    <w:p w14:paraId="66791BCA" w14:textId="77777777" w:rsidR="006833EE" w:rsidRDefault="00FA0363" w:rsidP="00FA0363">
      <w:pPr>
        <w:pStyle w:val="13"/>
      </w:pPr>
      <w:r>
        <w:rPr>
          <w:rFonts w:hint="eastAsia"/>
        </w:rPr>
        <w:t>（六）资产评估机构及其签字的注册资产评估师有违法、违规行为的。</w:t>
      </w:r>
    </w:p>
    <w:p w14:paraId="21C02E99" w14:textId="637B9115" w:rsidR="00FA0363" w:rsidRPr="006833EE" w:rsidRDefault="00FA0363" w:rsidP="006833EE">
      <w:pPr>
        <w:pStyle w:val="13"/>
        <w:ind w:firstLine="482"/>
        <w:rPr>
          <w:b/>
          <w:bCs/>
        </w:rPr>
      </w:pPr>
      <w:r w:rsidRPr="006833EE">
        <w:rPr>
          <w:rFonts w:hint="eastAsia"/>
          <w:b/>
          <w:bCs/>
        </w:rPr>
        <w:t>第四十三条</w:t>
      </w:r>
      <w:r w:rsidR="006833EE">
        <w:rPr>
          <w:rFonts w:hint="eastAsia"/>
          <w:b/>
          <w:bCs/>
        </w:rPr>
        <w:t xml:space="preserve"> </w:t>
      </w:r>
      <w:r>
        <w:rPr>
          <w:rFonts w:hint="eastAsia"/>
        </w:rPr>
        <w:t>资产评估机构及其注册资产评估师在资产评估过程中违法违规执业的，省国资委将有关情况通报其行业主管部门，建议给予相应处罚；造成国有资产损失的，依法承担赔偿责任；涉嫌犯罪的，依法移送司法机关处理。</w:t>
      </w:r>
    </w:p>
    <w:p w14:paraId="64C8551C" w14:textId="235A0D6B" w:rsidR="00FA0363" w:rsidRDefault="003B2FB1" w:rsidP="00FA0363">
      <w:pPr>
        <w:pStyle w:val="13"/>
        <w:ind w:firstLine="482"/>
      </w:pPr>
      <w:r w:rsidRPr="003B2FB1">
        <w:rPr>
          <w:rFonts w:hint="eastAsia"/>
          <w:b/>
          <w:bCs/>
        </w:rPr>
        <w:t xml:space="preserve">第四十四条 </w:t>
      </w:r>
      <w:r w:rsidR="00FA0363">
        <w:t>省国资委工作人员违反国有资产评估的有关规定，造成国有资产损失的，依法给予处分；涉嫌犯罪的，依法移送司法机关处理。</w:t>
      </w:r>
    </w:p>
    <w:p w14:paraId="7475EF7B" w14:textId="74CF5BD3" w:rsidR="00FA0363" w:rsidRDefault="00FA0363" w:rsidP="00AF7342">
      <w:pPr>
        <w:pStyle w:val="a9"/>
        <w:spacing w:before="62" w:after="62"/>
      </w:pPr>
      <w:r>
        <w:rPr>
          <w:rFonts w:hint="eastAsia"/>
        </w:rPr>
        <w:t>第七章</w:t>
      </w:r>
      <w:r w:rsidR="00CC466D">
        <w:rPr>
          <w:rFonts w:hint="eastAsia"/>
        </w:rPr>
        <w:t xml:space="preserve"> </w:t>
      </w:r>
      <w:r>
        <w:t>附则</w:t>
      </w:r>
    </w:p>
    <w:p w14:paraId="6B71397E" w14:textId="09F84DC4" w:rsidR="00FA0363" w:rsidRDefault="003B2FB1" w:rsidP="00FA0363">
      <w:pPr>
        <w:pStyle w:val="13"/>
        <w:ind w:firstLine="482"/>
      </w:pPr>
      <w:r w:rsidRPr="003B2FB1">
        <w:rPr>
          <w:rFonts w:hint="eastAsia"/>
          <w:b/>
          <w:bCs/>
        </w:rPr>
        <w:t xml:space="preserve">第四十五条 </w:t>
      </w:r>
      <w:r w:rsidR="00FA0363">
        <w:t>国家对上市公司资产评估管理另有规定的，从其规定。</w:t>
      </w:r>
    </w:p>
    <w:p w14:paraId="71B781B2" w14:textId="4F14FE08" w:rsidR="00FA0363" w:rsidRDefault="003B2FB1" w:rsidP="00FA0363">
      <w:pPr>
        <w:pStyle w:val="13"/>
        <w:ind w:firstLine="482"/>
      </w:pPr>
      <w:r w:rsidRPr="003B2FB1">
        <w:rPr>
          <w:rFonts w:hint="eastAsia"/>
          <w:b/>
          <w:bCs/>
        </w:rPr>
        <w:t xml:space="preserve">第四十六条 </w:t>
      </w:r>
      <w:r w:rsidR="00FA0363">
        <w:t>省属企业中的事业单位的资产评估管理，参照本办法执行。</w:t>
      </w:r>
    </w:p>
    <w:p w14:paraId="27F76B4C" w14:textId="697EE77E" w:rsidR="00FA0363" w:rsidRDefault="003B2FB1" w:rsidP="00FA0363">
      <w:pPr>
        <w:pStyle w:val="13"/>
        <w:ind w:firstLine="482"/>
      </w:pPr>
      <w:r w:rsidRPr="003B2FB1">
        <w:rPr>
          <w:rFonts w:hint="eastAsia"/>
          <w:b/>
          <w:bCs/>
        </w:rPr>
        <w:t xml:space="preserve">第四十七条 </w:t>
      </w:r>
      <w:r w:rsidR="00FA0363">
        <w:t>各市、县（市、区）国资监管机构可参照本办法，制定所出资企业资产评估管理的具体办法。</w:t>
      </w:r>
    </w:p>
    <w:p w14:paraId="59DC1029" w14:textId="77777777" w:rsidR="00FA0363" w:rsidRDefault="00FA0363" w:rsidP="00FA0363">
      <w:pPr>
        <w:pStyle w:val="13"/>
        <w:ind w:firstLine="482"/>
      </w:pPr>
      <w:r w:rsidRPr="00B736F0">
        <w:rPr>
          <w:rFonts w:hint="eastAsia"/>
          <w:b/>
          <w:bCs/>
        </w:rPr>
        <w:t>第四十八条</w:t>
      </w:r>
      <w:r>
        <w:rPr>
          <w:rFonts w:hint="eastAsia"/>
          <w:b/>
          <w:bCs/>
        </w:rPr>
        <w:t xml:space="preserve"> </w:t>
      </w:r>
      <w:r>
        <w:t>对在资产评估管理工作中取得优秀成绩的单位和个人，由省国资委给予表彰。</w:t>
      </w:r>
    </w:p>
    <w:p w14:paraId="4E4B06CE" w14:textId="77777777" w:rsidR="001F5A09" w:rsidRDefault="00FA0363" w:rsidP="00FA0363">
      <w:pPr>
        <w:pStyle w:val="13"/>
        <w:ind w:firstLine="482"/>
      </w:pPr>
      <w:r w:rsidRPr="00B736F0">
        <w:rPr>
          <w:rFonts w:hint="eastAsia"/>
          <w:b/>
          <w:bCs/>
        </w:rPr>
        <w:t>第四十九条</w:t>
      </w:r>
      <w:r>
        <w:rPr>
          <w:rFonts w:hint="eastAsia"/>
          <w:b/>
          <w:bCs/>
        </w:rPr>
        <w:t xml:space="preserve"> </w:t>
      </w:r>
      <w:r>
        <w:t>本办法由省国资委负责解释。</w:t>
      </w:r>
    </w:p>
    <w:p w14:paraId="6A64CEA8" w14:textId="2F50F85C" w:rsidR="00FA0363" w:rsidRDefault="00FA0363" w:rsidP="00FA0363">
      <w:pPr>
        <w:pStyle w:val="13"/>
        <w:ind w:firstLine="482"/>
      </w:pPr>
      <w:r w:rsidRPr="001F5A09">
        <w:rPr>
          <w:b/>
          <w:bCs/>
        </w:rPr>
        <w:t>第五十条</w:t>
      </w:r>
      <w:r w:rsidR="001F5A09">
        <w:rPr>
          <w:rFonts w:hint="eastAsia"/>
        </w:rPr>
        <w:t xml:space="preserve"> </w:t>
      </w:r>
      <w:r>
        <w:t>本办法自十一月一日起施行。</w:t>
      </w:r>
    </w:p>
    <w:p w14:paraId="3858F419" w14:textId="77777777" w:rsidR="00FA0363" w:rsidRDefault="00FA0363" w:rsidP="00FA0363">
      <w:pPr>
        <w:pStyle w:val="13"/>
        <w:jc w:val="right"/>
      </w:pPr>
      <w:r>
        <w:rPr>
          <w:rFonts w:hint="eastAsia"/>
        </w:rPr>
        <w:t>省国资委办公室</w:t>
      </w:r>
    </w:p>
    <w:p w14:paraId="47994098" w14:textId="77777777" w:rsidR="00FA0363" w:rsidRDefault="00FA0363" w:rsidP="00FA0363">
      <w:pPr>
        <w:pStyle w:val="13"/>
        <w:jc w:val="right"/>
      </w:pPr>
      <w:r>
        <w:t>2011年9月9日印发</w:t>
      </w:r>
    </w:p>
    <w:p w14:paraId="5D4FD511" w14:textId="52029E58" w:rsidR="00FA0363" w:rsidRDefault="00FA0363" w:rsidP="00FA0363">
      <w:pPr>
        <w:pStyle w:val="31"/>
        <w:spacing w:before="156" w:after="62"/>
      </w:pPr>
      <w:bookmarkStart w:id="264" w:name="_Toc81833497"/>
      <w:r>
        <w:rPr>
          <w:rFonts w:hint="eastAsia"/>
        </w:rPr>
        <w:t>《浙江省省属企业重大国有资产评估项目专家评审试行办法》</w:t>
      </w:r>
      <w:r w:rsidR="00CC466D">
        <w:br/>
      </w:r>
      <w:r>
        <w:rPr>
          <w:rFonts w:hint="eastAsia"/>
        </w:rPr>
        <w:t>（</w:t>
      </w:r>
      <w:proofErr w:type="gramStart"/>
      <w:r>
        <w:rPr>
          <w:rFonts w:hint="eastAsia"/>
        </w:rPr>
        <w:t>浙国资发</w:t>
      </w:r>
      <w:proofErr w:type="gramEnd"/>
      <w:r>
        <w:rPr>
          <w:rFonts w:hint="eastAsia"/>
        </w:rPr>
        <w:t>〔</w:t>
      </w:r>
      <w:r>
        <w:t>2011〕13号）</w:t>
      </w:r>
      <w:bookmarkEnd w:id="264"/>
    </w:p>
    <w:p w14:paraId="5AADE2D0" w14:textId="77777777" w:rsidR="00FA0363" w:rsidRDefault="00FA0363" w:rsidP="00FA0363">
      <w:pPr>
        <w:pStyle w:val="13"/>
        <w:ind w:firstLineChars="0" w:firstLine="0"/>
      </w:pPr>
      <w:r>
        <w:rPr>
          <w:rFonts w:hint="eastAsia"/>
        </w:rPr>
        <w:t>各省属企业、委直属各单位：</w:t>
      </w:r>
    </w:p>
    <w:p w14:paraId="5BE32625" w14:textId="77777777" w:rsidR="00FA0363" w:rsidRDefault="00FA0363" w:rsidP="00FA0363">
      <w:pPr>
        <w:pStyle w:val="13"/>
      </w:pPr>
      <w:r>
        <w:rPr>
          <w:rFonts w:hint="eastAsia"/>
        </w:rPr>
        <w:t>《浙江省省属企业重大国有资产评估项目专家评审试行办法》已经委主任办公会议讨论通过，现印发给你们，请认真贯彻执行。</w:t>
      </w:r>
    </w:p>
    <w:p w14:paraId="343B3874" w14:textId="77777777" w:rsidR="00FA0363" w:rsidRDefault="00FA0363" w:rsidP="00FA0363">
      <w:pPr>
        <w:pStyle w:val="13"/>
        <w:jc w:val="right"/>
      </w:pPr>
      <w:r>
        <w:rPr>
          <w:rFonts w:hint="eastAsia"/>
        </w:rPr>
        <w:t>二〇一一年九月九日</w:t>
      </w:r>
    </w:p>
    <w:p w14:paraId="5EF179E7" w14:textId="77777777" w:rsidR="00FA0363" w:rsidRDefault="00FA0363" w:rsidP="00E155F1">
      <w:pPr>
        <w:pStyle w:val="a9"/>
        <w:spacing w:before="62" w:after="62"/>
      </w:pPr>
      <w:r>
        <w:rPr>
          <w:rFonts w:hint="eastAsia"/>
        </w:rPr>
        <w:t>浙江省省属企业重大国有资产评估项目专家评审试行办法</w:t>
      </w:r>
    </w:p>
    <w:p w14:paraId="70DE82DC" w14:textId="419F5FBF" w:rsidR="00FA0363" w:rsidRDefault="004E3EBB" w:rsidP="00FA0363">
      <w:pPr>
        <w:pStyle w:val="13"/>
        <w:ind w:firstLine="482"/>
      </w:pPr>
      <w:r w:rsidRPr="004E3EBB">
        <w:rPr>
          <w:rFonts w:hint="eastAsia"/>
          <w:b/>
          <w:bCs/>
        </w:rPr>
        <w:t xml:space="preserve">第一条 </w:t>
      </w:r>
      <w:r w:rsidR="00FA0363">
        <w:t>为规范资产评估行为，保证省属企业国有资产评估质量，根据《中华人民共和国企业国有资产法》、《企业国有资产监督管理暂行条例》（国务院令第378</w:t>
      </w:r>
      <w:r w:rsidR="00FA0363">
        <w:rPr>
          <w:rFonts w:hint="eastAsia"/>
        </w:rPr>
        <w:t>号）、《国有资产评估管理办法》（国务院令第</w:t>
      </w:r>
      <w:r w:rsidR="00FA0363">
        <w:t>91号）、《企业国有资产评估管理暂</w:t>
      </w:r>
      <w:r w:rsidR="00FA0363">
        <w:rPr>
          <w:rFonts w:hint="eastAsia"/>
        </w:rPr>
        <w:t>行办法》（国务院国资委令第</w:t>
      </w:r>
      <w:r w:rsidR="00FA0363">
        <w:t>12号）和《企业国有产权转让管理暂行办法》（国务院</w:t>
      </w:r>
      <w:r w:rsidR="00FA0363">
        <w:rPr>
          <w:rFonts w:hint="eastAsia"/>
        </w:rPr>
        <w:t>国资委令第</w:t>
      </w:r>
      <w:r w:rsidR="00FA0363">
        <w:t>3号），制定本办法。</w:t>
      </w:r>
    </w:p>
    <w:p w14:paraId="234F1A00" w14:textId="4DF03CF4" w:rsidR="00FA0363" w:rsidRDefault="004E3EBB" w:rsidP="00FA0363">
      <w:pPr>
        <w:pStyle w:val="13"/>
        <w:ind w:firstLine="482"/>
      </w:pPr>
      <w:r w:rsidRPr="004E3EBB">
        <w:rPr>
          <w:rFonts w:hint="eastAsia"/>
          <w:b/>
          <w:bCs/>
        </w:rPr>
        <w:t xml:space="preserve">第二条 </w:t>
      </w:r>
      <w:r w:rsidR="00FA0363">
        <w:t>本办法所称省属企业，是指省政府授权省国资委履行出资人职责的企业</w:t>
      </w:r>
    </w:p>
    <w:p w14:paraId="2CA53104" w14:textId="77777777" w:rsidR="00FA0363" w:rsidRDefault="00FA0363" w:rsidP="00FA0363">
      <w:pPr>
        <w:pStyle w:val="13"/>
      </w:pPr>
      <w:r>
        <w:rPr>
          <w:rFonts w:hint="eastAsia"/>
        </w:rPr>
        <w:lastRenderedPageBreak/>
        <w:t>（以下简称省属企业本级）及其下属各级子企业（以下简称下属企业）。</w:t>
      </w:r>
    </w:p>
    <w:p w14:paraId="58563713" w14:textId="4F18E0CA" w:rsidR="00FA0363" w:rsidRDefault="004E3EBB" w:rsidP="00FA0363">
      <w:pPr>
        <w:pStyle w:val="13"/>
        <w:ind w:firstLine="482"/>
      </w:pPr>
      <w:r w:rsidRPr="004E3EBB">
        <w:rPr>
          <w:rFonts w:hint="eastAsia"/>
          <w:b/>
          <w:bCs/>
        </w:rPr>
        <w:t xml:space="preserve">第三条 </w:t>
      </w:r>
      <w:r w:rsidR="00FA0363">
        <w:t>省属企业重大国有资产评估项目专家评审遵循独立性、客观性、公正性、科学性和可行性原则。</w:t>
      </w:r>
    </w:p>
    <w:p w14:paraId="7E8BBED2" w14:textId="6F2507D7" w:rsidR="00FA0363" w:rsidRDefault="004E3EBB" w:rsidP="00FA0363">
      <w:pPr>
        <w:pStyle w:val="13"/>
        <w:ind w:firstLine="482"/>
      </w:pPr>
      <w:r w:rsidRPr="004E3EBB">
        <w:rPr>
          <w:rFonts w:hint="eastAsia"/>
          <w:b/>
          <w:bCs/>
        </w:rPr>
        <w:t xml:space="preserve">第四条 </w:t>
      </w:r>
      <w:r w:rsidR="00FA0363">
        <w:t>下列项目为重大国有资产评估项目：</w:t>
      </w:r>
    </w:p>
    <w:p w14:paraId="52248635" w14:textId="77777777" w:rsidR="00FA0363" w:rsidRDefault="00FA0363" w:rsidP="00FA0363">
      <w:pPr>
        <w:pStyle w:val="13"/>
      </w:pPr>
      <w:r>
        <w:rPr>
          <w:rFonts w:hint="eastAsia"/>
        </w:rPr>
        <w:t>（一）经省人民政府批准的经济行为涉及的资产评估项目；</w:t>
      </w:r>
    </w:p>
    <w:p w14:paraId="5E3D8C46" w14:textId="77777777" w:rsidR="00FA0363" w:rsidRDefault="00FA0363" w:rsidP="00FA0363">
      <w:pPr>
        <w:pStyle w:val="13"/>
      </w:pPr>
      <w:r>
        <w:rPr>
          <w:rFonts w:hint="eastAsia"/>
        </w:rPr>
        <w:t>（二）省属企业总体改制涉及的资产评估项目；</w:t>
      </w:r>
    </w:p>
    <w:p w14:paraId="7A3B3E48" w14:textId="77777777" w:rsidR="00FA0363" w:rsidRDefault="00FA0363" w:rsidP="00FA0363">
      <w:pPr>
        <w:pStyle w:val="13"/>
      </w:pPr>
      <w:r>
        <w:rPr>
          <w:rFonts w:hint="eastAsia"/>
        </w:rPr>
        <w:t>（三）其他需要核准的重要资产评估项目。</w:t>
      </w:r>
    </w:p>
    <w:p w14:paraId="4DD13CBA" w14:textId="3C6711FF" w:rsidR="00FA0363" w:rsidRDefault="004E3EBB" w:rsidP="00FA0363">
      <w:pPr>
        <w:pStyle w:val="13"/>
        <w:ind w:firstLine="482"/>
      </w:pPr>
      <w:r w:rsidRPr="004E3EBB">
        <w:rPr>
          <w:rFonts w:hint="eastAsia"/>
          <w:b/>
          <w:bCs/>
        </w:rPr>
        <w:t xml:space="preserve">第五条 </w:t>
      </w:r>
      <w:r w:rsidR="00FA0363">
        <w:t>省国资委建立重大资产评估项目评审专家库。专家</w:t>
      </w:r>
      <w:proofErr w:type="gramStart"/>
      <w:r w:rsidR="00FA0363">
        <w:t>库成员</w:t>
      </w:r>
      <w:proofErr w:type="gramEnd"/>
      <w:r w:rsidR="00FA0363">
        <w:t>从政府专业部门、省属企业、中介机构、行业主管部门和省属企业专职监管人员中产生，人数30名。专家</w:t>
      </w:r>
      <w:proofErr w:type="gramStart"/>
      <w:r w:rsidR="00FA0363">
        <w:t>库成员</w:t>
      </w:r>
      <w:proofErr w:type="gramEnd"/>
      <w:r w:rsidR="00FA0363">
        <w:t>实行动态管理。</w:t>
      </w:r>
    </w:p>
    <w:p w14:paraId="6F138D0D" w14:textId="77777777" w:rsidR="00FA0363" w:rsidRDefault="00FA0363" w:rsidP="00FA0363">
      <w:pPr>
        <w:pStyle w:val="13"/>
      </w:pPr>
      <w:r>
        <w:rPr>
          <w:rFonts w:hint="eastAsia"/>
        </w:rPr>
        <w:t>担任省国资委重大资产评估项目评审专家应具备以下条件：</w:t>
      </w:r>
    </w:p>
    <w:p w14:paraId="5C1711A0" w14:textId="77777777" w:rsidR="00FA0363" w:rsidRDefault="00FA0363" w:rsidP="00FA0363">
      <w:pPr>
        <w:pStyle w:val="13"/>
      </w:pPr>
      <w:r>
        <w:rPr>
          <w:rFonts w:hint="eastAsia"/>
        </w:rPr>
        <w:t>（一）具有较高的政治素质和良好的职业道德，坚持原则、客观公正、责任心强；</w:t>
      </w:r>
    </w:p>
    <w:p w14:paraId="7C0C0229" w14:textId="77777777" w:rsidR="00FA0363" w:rsidRDefault="00FA0363" w:rsidP="00FA0363">
      <w:pPr>
        <w:pStyle w:val="13"/>
      </w:pPr>
      <w:r>
        <w:rPr>
          <w:rFonts w:hint="eastAsia"/>
        </w:rPr>
        <w:t>（二）熟悉资产评估政策法规、行业准则和相关业务知识，在资产评估或相关专业技术领域具有丰富的实践经验；</w:t>
      </w:r>
    </w:p>
    <w:p w14:paraId="73BBD355" w14:textId="77777777" w:rsidR="00FA0363" w:rsidRDefault="00FA0363" w:rsidP="00FA0363">
      <w:pPr>
        <w:pStyle w:val="13"/>
      </w:pPr>
      <w:r>
        <w:rPr>
          <w:rFonts w:hint="eastAsia"/>
        </w:rPr>
        <w:t>（三）具有经济类高级技术职称并从事财务、审计、评估等相关行业工作满</w:t>
      </w:r>
      <w:r>
        <w:t>10</w:t>
      </w:r>
      <w:r>
        <w:rPr>
          <w:rFonts w:hint="eastAsia"/>
        </w:rPr>
        <w:t>年，或具有注册资产评估师等相关专业执业资格并执业满</w:t>
      </w:r>
      <w:r>
        <w:t>8年；</w:t>
      </w:r>
    </w:p>
    <w:p w14:paraId="07A74836" w14:textId="77777777" w:rsidR="00FA0363" w:rsidRDefault="00FA0363" w:rsidP="00FA0363">
      <w:pPr>
        <w:pStyle w:val="13"/>
      </w:pPr>
      <w:r>
        <w:rPr>
          <w:rFonts w:hint="eastAsia"/>
        </w:rPr>
        <w:t>（四）能认真履行专家评审工作职责，在身体条件和时间安排上胜任评审工作；</w:t>
      </w:r>
    </w:p>
    <w:p w14:paraId="3789FB7C" w14:textId="77777777" w:rsidR="00FA0363" w:rsidRDefault="00FA0363" w:rsidP="00FA0363">
      <w:pPr>
        <w:pStyle w:val="13"/>
      </w:pPr>
      <w:r>
        <w:rPr>
          <w:rFonts w:hint="eastAsia"/>
        </w:rPr>
        <w:t>（五）在以往的执业、工作过程中无违规、违纪或其他不良记录。</w:t>
      </w:r>
    </w:p>
    <w:p w14:paraId="4381A2E8" w14:textId="70093101" w:rsidR="00FA0363" w:rsidRDefault="004E3EBB" w:rsidP="00FA0363">
      <w:pPr>
        <w:pStyle w:val="13"/>
        <w:ind w:firstLine="482"/>
      </w:pPr>
      <w:r w:rsidRPr="004E3EBB">
        <w:rPr>
          <w:rFonts w:hint="eastAsia"/>
          <w:b/>
          <w:bCs/>
        </w:rPr>
        <w:t xml:space="preserve">第六条 </w:t>
      </w:r>
      <w:r w:rsidR="00FA0363">
        <w:t>评审专家可根据评审需要查阅相关文件资料。评审专家对资产评估报告提出独立的评审意见，不受任何单位和个人的干涉。</w:t>
      </w:r>
    </w:p>
    <w:p w14:paraId="5F537678" w14:textId="50EC2052" w:rsidR="00FA0363" w:rsidRDefault="004E3EBB" w:rsidP="00FA0363">
      <w:pPr>
        <w:pStyle w:val="13"/>
        <w:ind w:firstLine="482"/>
      </w:pPr>
      <w:r w:rsidRPr="004E3EBB">
        <w:rPr>
          <w:rFonts w:hint="eastAsia"/>
          <w:b/>
          <w:bCs/>
        </w:rPr>
        <w:t xml:space="preserve">第七条 </w:t>
      </w:r>
      <w:r w:rsidR="00FA0363">
        <w:t>评审专家对评审工作负有忠实义务，应严格按照国家有关规定和省国资委的相关要求，客观、公正地开展评审工作。</w:t>
      </w:r>
    </w:p>
    <w:p w14:paraId="1FF4D1C8" w14:textId="67C3CDD9" w:rsidR="00FA0363" w:rsidRDefault="004E3EBB" w:rsidP="00FA0363">
      <w:pPr>
        <w:pStyle w:val="13"/>
        <w:ind w:firstLine="482"/>
      </w:pPr>
      <w:r w:rsidRPr="004E3EBB">
        <w:rPr>
          <w:rFonts w:hint="eastAsia"/>
          <w:b/>
          <w:bCs/>
        </w:rPr>
        <w:t xml:space="preserve">第八条 </w:t>
      </w:r>
      <w:r w:rsidR="00FA0363">
        <w:t>评审专家对评审工作中知悉的有关情况负有保密义务，并与省国资委签订保密协议。</w:t>
      </w:r>
    </w:p>
    <w:p w14:paraId="0E20A69F" w14:textId="5FC115D7" w:rsidR="00FA0363" w:rsidRDefault="00E05BDA" w:rsidP="00FA0363">
      <w:pPr>
        <w:pStyle w:val="13"/>
        <w:ind w:firstLine="482"/>
      </w:pPr>
      <w:r w:rsidRPr="00E05BDA">
        <w:rPr>
          <w:rFonts w:hint="eastAsia"/>
          <w:b/>
          <w:bCs/>
        </w:rPr>
        <w:t xml:space="preserve">第九条 </w:t>
      </w:r>
      <w:r w:rsidR="00FA0363">
        <w:t>省属企业重大国有资产评估项目的评审专家从专家库中随机产生，人数不少于3人。与评审项目涉及的企业或评估机构有利害关系的专家，应当回避。</w:t>
      </w:r>
    </w:p>
    <w:p w14:paraId="15A4E7BF" w14:textId="77777777" w:rsidR="00FA0363" w:rsidRDefault="00FA0363" w:rsidP="00FA0363">
      <w:pPr>
        <w:pStyle w:val="13"/>
      </w:pPr>
      <w:r>
        <w:rPr>
          <w:rFonts w:hint="eastAsia"/>
        </w:rPr>
        <w:t>项目评审专家组设组长一名，负责项目评审中的工作分工、落实要求、组织讨论、形成意见等工作。专家组组长由省国资委确定。</w:t>
      </w:r>
    </w:p>
    <w:p w14:paraId="725B56E3" w14:textId="2E8619B4" w:rsidR="00FA0363" w:rsidRDefault="00E05BDA" w:rsidP="00FA0363">
      <w:pPr>
        <w:pStyle w:val="13"/>
        <w:ind w:firstLine="482"/>
      </w:pPr>
      <w:r w:rsidRPr="00E05BDA">
        <w:rPr>
          <w:rFonts w:hint="eastAsia"/>
          <w:b/>
          <w:bCs/>
        </w:rPr>
        <w:t xml:space="preserve">第十条 </w:t>
      </w:r>
      <w:r w:rsidR="00FA0363">
        <w:t>专家评审的主要内容：</w:t>
      </w:r>
    </w:p>
    <w:p w14:paraId="35212DC3" w14:textId="77777777" w:rsidR="00FA0363" w:rsidRDefault="00FA0363" w:rsidP="00FA0363">
      <w:pPr>
        <w:pStyle w:val="13"/>
      </w:pPr>
      <w:r>
        <w:rPr>
          <w:rFonts w:hint="eastAsia"/>
        </w:rPr>
        <w:t>（一）资产评估范围与经济行为批准文件确定的资产范围是否一致；</w:t>
      </w:r>
    </w:p>
    <w:p w14:paraId="54E56FE0" w14:textId="77777777" w:rsidR="00FA0363" w:rsidRDefault="00FA0363" w:rsidP="00FA0363">
      <w:pPr>
        <w:pStyle w:val="13"/>
      </w:pPr>
      <w:r>
        <w:rPr>
          <w:rFonts w:hint="eastAsia"/>
        </w:rPr>
        <w:t>（二）评估方法运用是否合理。重点审核评估方法是否符合相关评估准则的规定要求，评估方法及技术参数选取是否合理等；</w:t>
      </w:r>
    </w:p>
    <w:p w14:paraId="0101BCA5" w14:textId="77777777" w:rsidR="00FA0363" w:rsidRDefault="00FA0363" w:rsidP="00FA0363">
      <w:pPr>
        <w:pStyle w:val="13"/>
      </w:pPr>
      <w:r>
        <w:rPr>
          <w:rFonts w:hint="eastAsia"/>
        </w:rPr>
        <w:t>（三）评估依据是否适当。重点审核评估工作过程中所引用的法律法规和技术参数资料等是否适当；</w:t>
      </w:r>
    </w:p>
    <w:p w14:paraId="3AAEB85E" w14:textId="77777777" w:rsidR="00FA0363" w:rsidRDefault="00FA0363" w:rsidP="00FA0363">
      <w:pPr>
        <w:pStyle w:val="13"/>
      </w:pPr>
      <w:r>
        <w:rPr>
          <w:rFonts w:hint="eastAsia"/>
        </w:rPr>
        <w:lastRenderedPageBreak/>
        <w:t>（四）评估过程是否符合相关评估准则的规定。重点审核评估机构在评估过程中是否履行了必要评估程序，评估过程是否完整，是否存在未履行评估准则规定的必要评估步骤等；</w:t>
      </w:r>
    </w:p>
    <w:p w14:paraId="5BE3D15A" w14:textId="77777777" w:rsidR="00FA0363" w:rsidRDefault="00FA0363" w:rsidP="00FA0363">
      <w:pPr>
        <w:pStyle w:val="13"/>
      </w:pPr>
      <w:r>
        <w:rPr>
          <w:rFonts w:hint="eastAsia"/>
        </w:rPr>
        <w:t>（五）评估报告是否符合《企业国有资产评估报告指南》规定要求；</w:t>
      </w:r>
    </w:p>
    <w:p w14:paraId="4DE361E1" w14:textId="77777777" w:rsidR="00FA0363" w:rsidRDefault="00FA0363" w:rsidP="00FA0363">
      <w:pPr>
        <w:pStyle w:val="13"/>
      </w:pPr>
      <w:r>
        <w:rPr>
          <w:rFonts w:hint="eastAsia"/>
        </w:rPr>
        <w:t>（六）企业是否就所提供的资产权属证明文件、财务会计资料及生产经营管理资料的真实性、合法性和完整性</w:t>
      </w:r>
      <w:proofErr w:type="gramStart"/>
      <w:r>
        <w:rPr>
          <w:rFonts w:hint="eastAsia"/>
        </w:rPr>
        <w:t>作出</w:t>
      </w:r>
      <w:proofErr w:type="gramEnd"/>
      <w:r>
        <w:rPr>
          <w:rFonts w:hint="eastAsia"/>
        </w:rPr>
        <w:t>承诺；</w:t>
      </w:r>
    </w:p>
    <w:p w14:paraId="272EDC11" w14:textId="77777777" w:rsidR="00FA0363" w:rsidRDefault="00FA0363" w:rsidP="00FA0363">
      <w:pPr>
        <w:pStyle w:val="13"/>
      </w:pPr>
      <w:r>
        <w:rPr>
          <w:rFonts w:hint="eastAsia"/>
        </w:rPr>
        <w:t>（七）评估机构是否按照投标书和业务约定书承诺与规定的要求开展资产评估工作。</w:t>
      </w:r>
    </w:p>
    <w:p w14:paraId="4BBD3E29" w14:textId="38D38DF9" w:rsidR="00FA0363" w:rsidRDefault="00E05BDA" w:rsidP="00FA0363">
      <w:pPr>
        <w:pStyle w:val="13"/>
        <w:ind w:firstLine="482"/>
      </w:pPr>
      <w:r w:rsidRPr="00E05BDA">
        <w:rPr>
          <w:rFonts w:hint="eastAsia"/>
          <w:b/>
          <w:bCs/>
        </w:rPr>
        <w:t xml:space="preserve">第十一条 </w:t>
      </w:r>
      <w:r w:rsidR="00FA0363">
        <w:t>专家评审分为初审和质询审定两个阶段。质询审定以会议形式进行，根据需要不定期召开。</w:t>
      </w:r>
    </w:p>
    <w:p w14:paraId="36067766" w14:textId="51565495" w:rsidR="00FA0363" w:rsidRDefault="00E05BDA" w:rsidP="00FA0363">
      <w:pPr>
        <w:pStyle w:val="13"/>
        <w:ind w:firstLine="482"/>
      </w:pPr>
      <w:r w:rsidRPr="00E05BDA">
        <w:rPr>
          <w:rFonts w:hint="eastAsia"/>
          <w:b/>
          <w:bCs/>
        </w:rPr>
        <w:t xml:space="preserve">第十二条 </w:t>
      </w:r>
      <w:r w:rsidR="00FA0363">
        <w:t>初审按照以下程序进行：</w:t>
      </w:r>
    </w:p>
    <w:p w14:paraId="311F48FD" w14:textId="77777777" w:rsidR="00FA0363" w:rsidRDefault="00FA0363" w:rsidP="00FA0363">
      <w:pPr>
        <w:pStyle w:val="13"/>
      </w:pPr>
      <w:r>
        <w:rPr>
          <w:rFonts w:hint="eastAsia"/>
        </w:rPr>
        <w:t>（一）评审专家组成员分别审议，出具评审意见；</w:t>
      </w:r>
    </w:p>
    <w:p w14:paraId="183FEFF3" w14:textId="77777777" w:rsidR="00FA0363" w:rsidRDefault="00FA0363" w:rsidP="00FA0363">
      <w:pPr>
        <w:pStyle w:val="13"/>
      </w:pPr>
      <w:r>
        <w:rPr>
          <w:rFonts w:hint="eastAsia"/>
        </w:rPr>
        <w:t>（二）评审专家组组长将各成员的评审意见汇总后，提交省国资委；</w:t>
      </w:r>
    </w:p>
    <w:p w14:paraId="67E4EF2D" w14:textId="77777777" w:rsidR="00FA0363" w:rsidRDefault="00FA0363" w:rsidP="00FA0363">
      <w:pPr>
        <w:pStyle w:val="13"/>
      </w:pPr>
      <w:r>
        <w:rPr>
          <w:rFonts w:hint="eastAsia"/>
        </w:rPr>
        <w:t>（三）省国资委将汇总评审意见反馈给资产评估机构。</w:t>
      </w:r>
    </w:p>
    <w:p w14:paraId="54B89080" w14:textId="77777777" w:rsidR="00FA0363" w:rsidRDefault="00FA0363" w:rsidP="00FA0363">
      <w:pPr>
        <w:pStyle w:val="13"/>
      </w:pPr>
      <w:r>
        <w:rPr>
          <w:rFonts w:hint="eastAsia"/>
        </w:rPr>
        <w:t>专家组成员出具评审意见，应当具体说明理由并签名。资产评估机构应当采取书面解释、补充有关材料、修正评估报告或重新评估等措施，对评审意见</w:t>
      </w:r>
      <w:proofErr w:type="gramStart"/>
      <w:r>
        <w:rPr>
          <w:rFonts w:hint="eastAsia"/>
        </w:rPr>
        <w:t>作出</w:t>
      </w:r>
      <w:proofErr w:type="gramEnd"/>
      <w:r>
        <w:rPr>
          <w:rFonts w:hint="eastAsia"/>
        </w:rPr>
        <w:t>回应和处理。</w:t>
      </w:r>
    </w:p>
    <w:p w14:paraId="478C61B4" w14:textId="5965E549" w:rsidR="00FA0363" w:rsidRDefault="00E05BDA" w:rsidP="00FA0363">
      <w:pPr>
        <w:pStyle w:val="13"/>
        <w:ind w:firstLine="482"/>
      </w:pPr>
      <w:r w:rsidRPr="00E05BDA">
        <w:rPr>
          <w:rFonts w:hint="eastAsia"/>
          <w:b/>
          <w:bCs/>
        </w:rPr>
        <w:t xml:space="preserve">第十三条 </w:t>
      </w:r>
      <w:r w:rsidR="00FA0363">
        <w:t>质询审定由省国资委组织，参加人员包括评审专家组成员、企业负责人和资产评估机构负责人及其相关人员。</w:t>
      </w:r>
    </w:p>
    <w:p w14:paraId="6F8D231C" w14:textId="77777777" w:rsidR="00FA0363" w:rsidRDefault="00FA0363" w:rsidP="00FA0363">
      <w:pPr>
        <w:pStyle w:val="13"/>
      </w:pPr>
      <w:r>
        <w:rPr>
          <w:rFonts w:hint="eastAsia"/>
        </w:rPr>
        <w:t>质询审定会议一般按照以下程序进行：</w:t>
      </w:r>
    </w:p>
    <w:p w14:paraId="1488D885" w14:textId="77777777" w:rsidR="00FA0363" w:rsidRDefault="00FA0363" w:rsidP="00FA0363">
      <w:pPr>
        <w:pStyle w:val="13"/>
      </w:pPr>
      <w:r>
        <w:rPr>
          <w:rFonts w:hint="eastAsia"/>
        </w:rPr>
        <w:t>（一）评估机构介绍评估报告及其有关重大事项；</w:t>
      </w:r>
    </w:p>
    <w:p w14:paraId="60E716CB" w14:textId="77777777" w:rsidR="00FA0363" w:rsidRDefault="00FA0363" w:rsidP="00FA0363">
      <w:pPr>
        <w:pStyle w:val="13"/>
      </w:pPr>
      <w:r>
        <w:rPr>
          <w:rFonts w:hint="eastAsia"/>
        </w:rPr>
        <w:t>（二）评审专家组成员对评估报告提出质询意见，评估机构对质询意见进行答复；</w:t>
      </w:r>
    </w:p>
    <w:p w14:paraId="1C625798" w14:textId="77777777" w:rsidR="00FA0363" w:rsidRDefault="00FA0363" w:rsidP="00FA0363">
      <w:pPr>
        <w:pStyle w:val="13"/>
      </w:pPr>
      <w:r>
        <w:rPr>
          <w:rFonts w:hint="eastAsia"/>
        </w:rPr>
        <w:t>（三）评审专家组进行审议，表决形成书面评审报告，提交省国资委。</w:t>
      </w:r>
    </w:p>
    <w:p w14:paraId="03C720A3" w14:textId="3E7BCA81" w:rsidR="00FA0363" w:rsidRDefault="00E05BDA" w:rsidP="00FA0363">
      <w:pPr>
        <w:pStyle w:val="13"/>
        <w:ind w:firstLine="482"/>
      </w:pPr>
      <w:r w:rsidRPr="00E05BDA">
        <w:rPr>
          <w:rFonts w:hint="eastAsia"/>
          <w:b/>
          <w:bCs/>
        </w:rPr>
        <w:t xml:space="preserve">第十四条 </w:t>
      </w:r>
      <w:r w:rsidR="00FA0363">
        <w:t>评审专家组成员应当在评审报告上签名，对评审报告负责。</w:t>
      </w:r>
    </w:p>
    <w:p w14:paraId="093BCC75" w14:textId="77777777" w:rsidR="00FA0363" w:rsidRDefault="00FA0363" w:rsidP="00FA0363">
      <w:pPr>
        <w:pStyle w:val="13"/>
      </w:pPr>
      <w:r>
        <w:rPr>
          <w:rFonts w:hint="eastAsia"/>
        </w:rPr>
        <w:t>达成一致意见的评审报告是省国资委对重大国有资产评估项目进行核准的必备依据。</w:t>
      </w:r>
    </w:p>
    <w:p w14:paraId="561F63AB" w14:textId="5FD2400D" w:rsidR="00FA0363" w:rsidRDefault="00E05BDA" w:rsidP="00FA0363">
      <w:pPr>
        <w:pStyle w:val="13"/>
        <w:ind w:firstLine="482"/>
      </w:pPr>
      <w:r w:rsidRPr="00E05BDA">
        <w:rPr>
          <w:rFonts w:hint="eastAsia"/>
          <w:b/>
          <w:bCs/>
        </w:rPr>
        <w:t xml:space="preserve">第十五条 </w:t>
      </w:r>
      <w:r w:rsidR="00FA0363">
        <w:t>本办法由省国资委负责解释。</w:t>
      </w:r>
    </w:p>
    <w:p w14:paraId="569276E4" w14:textId="4EBE5C2A" w:rsidR="00FA0363" w:rsidRDefault="00E05BDA" w:rsidP="00FA0363">
      <w:pPr>
        <w:pStyle w:val="13"/>
        <w:ind w:firstLine="482"/>
      </w:pPr>
      <w:r w:rsidRPr="00E05BDA">
        <w:rPr>
          <w:rFonts w:hint="eastAsia"/>
          <w:b/>
          <w:bCs/>
        </w:rPr>
        <w:t xml:space="preserve">第十六条 </w:t>
      </w:r>
      <w:r w:rsidR="00FA0363">
        <w:t>本办法自十一月一日起施行。</w:t>
      </w:r>
    </w:p>
    <w:p w14:paraId="4BE7EB22" w14:textId="77777777" w:rsidR="00FA0363" w:rsidRDefault="00FA0363" w:rsidP="00FA0363">
      <w:pPr>
        <w:pStyle w:val="13"/>
        <w:jc w:val="right"/>
      </w:pPr>
      <w:r>
        <w:rPr>
          <w:rFonts w:hint="eastAsia"/>
        </w:rPr>
        <w:t>省国资委办公室</w:t>
      </w:r>
      <w:r>
        <w:t>2011年9月9日印发</w:t>
      </w:r>
    </w:p>
    <w:p w14:paraId="1B345D2F" w14:textId="77777777" w:rsidR="00FA0363" w:rsidRDefault="00FA0363" w:rsidP="00FA0363">
      <w:pPr>
        <w:pStyle w:val="13"/>
      </w:pPr>
    </w:p>
    <w:p w14:paraId="42E781C8" w14:textId="77777777" w:rsidR="00FA0363" w:rsidRDefault="00FA0363" w:rsidP="00FA0363">
      <w:pPr>
        <w:pStyle w:val="31"/>
        <w:spacing w:before="156" w:after="62"/>
      </w:pPr>
      <w:bookmarkStart w:id="265" w:name="_Toc81833498"/>
      <w:r>
        <w:rPr>
          <w:rFonts w:hint="eastAsia"/>
        </w:rPr>
        <w:lastRenderedPageBreak/>
        <w:t>《浙江省省属国有企业并购监督管理暂行办法》（</w:t>
      </w:r>
      <w:proofErr w:type="gramStart"/>
      <w:r>
        <w:rPr>
          <w:rFonts w:hint="eastAsia"/>
        </w:rPr>
        <w:t>浙国资发</w:t>
      </w:r>
      <w:proofErr w:type="gramEnd"/>
      <w:r>
        <w:rPr>
          <w:rFonts w:hint="eastAsia"/>
        </w:rPr>
        <w:t>〔</w:t>
      </w:r>
      <w:r>
        <w:t>2012〕14号）</w:t>
      </w:r>
      <w:bookmarkEnd w:id="265"/>
    </w:p>
    <w:p w14:paraId="466AA7DA" w14:textId="49817700" w:rsidR="00FA0363" w:rsidRDefault="00FA0363" w:rsidP="00AF7342">
      <w:pPr>
        <w:pStyle w:val="a9"/>
        <w:spacing w:before="62" w:after="62"/>
      </w:pPr>
      <w:r>
        <w:rPr>
          <w:rFonts w:hint="eastAsia"/>
        </w:rPr>
        <w:t>第一章</w:t>
      </w:r>
      <w:r w:rsidR="00CC466D">
        <w:rPr>
          <w:rFonts w:hint="eastAsia"/>
        </w:rPr>
        <w:t xml:space="preserve"> </w:t>
      </w:r>
      <w:r>
        <w:t>总则</w:t>
      </w:r>
    </w:p>
    <w:p w14:paraId="04B63A01" w14:textId="30C015FC" w:rsidR="00FA0363" w:rsidRDefault="004E3EBB" w:rsidP="00FA0363">
      <w:pPr>
        <w:pStyle w:val="13"/>
        <w:ind w:firstLine="482"/>
      </w:pPr>
      <w:r w:rsidRPr="004E3EBB">
        <w:rPr>
          <w:rFonts w:hint="eastAsia"/>
          <w:b/>
          <w:bCs/>
        </w:rPr>
        <w:t xml:space="preserve">第一条 </w:t>
      </w:r>
      <w:r w:rsidR="00FA0363">
        <w:rPr>
          <w:rFonts w:hint="eastAsia"/>
        </w:rPr>
        <w:t>为依法履行出资人职责，加强省属国有企业并购监管，根据《中华人民共和国公司法》、《中华人民共和国企业国有资产法》、《企业国有资产监督管理暂行条例》等法律、法规、规章等规范性文件，制定本办法。</w:t>
      </w:r>
    </w:p>
    <w:p w14:paraId="5DDBE9BD" w14:textId="25FBA45D" w:rsidR="00FA0363" w:rsidRDefault="004E3EBB" w:rsidP="00FA0363">
      <w:pPr>
        <w:pStyle w:val="13"/>
        <w:ind w:firstLine="482"/>
      </w:pPr>
      <w:r w:rsidRPr="004E3EBB">
        <w:rPr>
          <w:rFonts w:hint="eastAsia"/>
          <w:b/>
          <w:bCs/>
        </w:rPr>
        <w:t xml:space="preserve">第二条 </w:t>
      </w:r>
      <w:r w:rsidR="00FA0363">
        <w:rPr>
          <w:rFonts w:hint="eastAsia"/>
        </w:rPr>
        <w:t>本办法所称省属国有企业，是指浙江省人民政府国有资产监督管理委员会（以下简称省国资委）履行出资人职责的国有独资企业、国有独资公司、国有资本控股公司（以下简称省属企业本级）及其各级全资、控股或其他拥有实际控制权的企业（以下简称省属企业所属企业）。</w:t>
      </w:r>
    </w:p>
    <w:p w14:paraId="58A2EC66" w14:textId="06BF1D76" w:rsidR="00FA0363" w:rsidRDefault="00FA0363" w:rsidP="00AF7342">
      <w:pPr>
        <w:pStyle w:val="a9"/>
        <w:spacing w:before="62" w:after="62"/>
      </w:pPr>
      <w:r>
        <w:rPr>
          <w:rFonts w:hint="eastAsia"/>
        </w:rPr>
        <w:t>第二章</w:t>
      </w:r>
      <w:r w:rsidR="00CC466D">
        <w:rPr>
          <w:rFonts w:hint="eastAsia"/>
        </w:rPr>
        <w:t xml:space="preserve"> </w:t>
      </w:r>
      <w:r>
        <w:t>并购行为监督管理范围</w:t>
      </w:r>
    </w:p>
    <w:p w14:paraId="7D53DEBE" w14:textId="76981284" w:rsidR="00FA0363" w:rsidRDefault="004E3EBB" w:rsidP="00FA0363">
      <w:pPr>
        <w:pStyle w:val="13"/>
        <w:ind w:firstLine="482"/>
      </w:pPr>
      <w:r w:rsidRPr="004E3EBB">
        <w:rPr>
          <w:rFonts w:hint="eastAsia"/>
          <w:b/>
          <w:bCs/>
        </w:rPr>
        <w:t xml:space="preserve">第三条 </w:t>
      </w:r>
      <w:r w:rsidR="00FA0363">
        <w:rPr>
          <w:rFonts w:hint="eastAsia"/>
        </w:rPr>
        <w:t>本办法所称的并购行为，是指省属国有企业对外通过股权受让、增资扩</w:t>
      </w:r>
      <w:r w:rsidR="00FA0363">
        <w:t>股、合并重组等方式取得并购标的企业控制权或实际控制权的行为。省属国有企业其他投资行为按《浙江省省属国有企业投资监督管理暂行办法》执行。</w:t>
      </w:r>
    </w:p>
    <w:p w14:paraId="15950920" w14:textId="77777777" w:rsidR="00FA0363" w:rsidRDefault="00FA0363" w:rsidP="00FA0363">
      <w:pPr>
        <w:pStyle w:val="13"/>
      </w:pPr>
      <w:r>
        <w:rPr>
          <w:rFonts w:hint="eastAsia"/>
        </w:rPr>
        <w:t>省属企业本级及其所属企业之间（即省属企业集团内部）的并购行为不适用本办法。</w:t>
      </w:r>
    </w:p>
    <w:p w14:paraId="118BCBE5" w14:textId="77777777" w:rsidR="00FA0363" w:rsidRDefault="00FA0363" w:rsidP="00FA0363">
      <w:pPr>
        <w:pStyle w:val="13"/>
      </w:pPr>
      <w:r>
        <w:rPr>
          <w:rFonts w:hint="eastAsia"/>
        </w:rPr>
        <w:t>省属企业中的中外合资、合作经营企业并购行为，应当依照《中华人民共和国中外合资经营企业法》、《中华人民共和国中外合作经营企业法》等有关规定执行。</w:t>
      </w:r>
    </w:p>
    <w:p w14:paraId="3B19DDAB" w14:textId="026732CB" w:rsidR="00FA0363" w:rsidRDefault="004E3EBB" w:rsidP="00FA0363">
      <w:pPr>
        <w:pStyle w:val="13"/>
        <w:ind w:firstLine="482"/>
      </w:pPr>
      <w:r w:rsidRPr="004E3EBB">
        <w:rPr>
          <w:rFonts w:hint="eastAsia"/>
          <w:b/>
          <w:bCs/>
        </w:rPr>
        <w:t xml:space="preserve">第四条 </w:t>
      </w:r>
      <w:r w:rsidR="00FA0363">
        <w:rPr>
          <w:rFonts w:hint="eastAsia"/>
        </w:rPr>
        <w:t>本办法所称拥有控制权的企业是指省属国有企业直接或者间接绝对控股的企业。</w:t>
      </w:r>
    </w:p>
    <w:p w14:paraId="6A59BBEA" w14:textId="77777777" w:rsidR="00FA0363" w:rsidRDefault="00FA0363" w:rsidP="00FA0363">
      <w:pPr>
        <w:pStyle w:val="13"/>
      </w:pPr>
      <w:r>
        <w:rPr>
          <w:rFonts w:hint="eastAsia"/>
        </w:rPr>
        <w:t>本办法所称拥有实际控制权的企业，是指省属国有企业虽未直接或者间接绝对控股，但为第一大股东并通过章程、董事会或者其他安排能够实际支配，且其他股东不构成一致行动人的企业。</w:t>
      </w:r>
    </w:p>
    <w:p w14:paraId="0F8AF533" w14:textId="6CD9DEE7" w:rsidR="00FA0363" w:rsidRDefault="00FA0363" w:rsidP="00AF7342">
      <w:pPr>
        <w:pStyle w:val="a9"/>
        <w:spacing w:before="62" w:after="62"/>
      </w:pPr>
      <w:r>
        <w:rPr>
          <w:rFonts w:hint="eastAsia"/>
        </w:rPr>
        <w:t>第三章</w:t>
      </w:r>
      <w:r w:rsidR="00CC466D">
        <w:rPr>
          <w:rFonts w:hint="eastAsia"/>
        </w:rPr>
        <w:t xml:space="preserve"> </w:t>
      </w:r>
      <w:r>
        <w:t>并购行为的要求</w:t>
      </w:r>
    </w:p>
    <w:p w14:paraId="60ED5C4C" w14:textId="44CD1FC2" w:rsidR="00FA0363" w:rsidRDefault="004E3EBB" w:rsidP="00FA0363">
      <w:pPr>
        <w:pStyle w:val="13"/>
        <w:ind w:firstLine="482"/>
      </w:pPr>
      <w:r w:rsidRPr="004E3EBB">
        <w:rPr>
          <w:rFonts w:hint="eastAsia"/>
          <w:b/>
          <w:bCs/>
        </w:rPr>
        <w:t xml:space="preserve">第五条 </w:t>
      </w:r>
      <w:r w:rsidR="00FA0363">
        <w:rPr>
          <w:rFonts w:hint="eastAsia"/>
        </w:rPr>
        <w:t>省属国有企业开展并购行为应按照法律、法规、规章、《浙江省省属国有企业投资监督管理暂行办法》等规范性文件、公司章程以及内部《投资管理办法》等相关规定履行内部决策程序。</w:t>
      </w:r>
    </w:p>
    <w:p w14:paraId="0CFAC759" w14:textId="327BCD37" w:rsidR="00FA0363" w:rsidRDefault="004E3EBB" w:rsidP="00FA0363">
      <w:pPr>
        <w:pStyle w:val="13"/>
        <w:ind w:firstLine="482"/>
      </w:pPr>
      <w:r w:rsidRPr="004E3EBB">
        <w:rPr>
          <w:rFonts w:hint="eastAsia"/>
          <w:b/>
          <w:bCs/>
        </w:rPr>
        <w:t xml:space="preserve">第六条 </w:t>
      </w:r>
      <w:r w:rsidR="00FA0363">
        <w:rPr>
          <w:rFonts w:hint="eastAsia"/>
        </w:rPr>
        <w:t>省属国有企业开展并购行为应当编制并购方案，做好可行性研究分析，其内容主要包括但不限于：</w:t>
      </w:r>
    </w:p>
    <w:p w14:paraId="0BBE5EDA" w14:textId="77777777" w:rsidR="00FA0363" w:rsidRDefault="00FA0363" w:rsidP="00FA0363">
      <w:pPr>
        <w:pStyle w:val="13"/>
      </w:pPr>
      <w:r>
        <w:rPr>
          <w:rFonts w:hint="eastAsia"/>
        </w:rPr>
        <w:t>（一）并购主体包括并购方、出让方和并购对象的基本情况以及其他重要股东情况；</w:t>
      </w:r>
    </w:p>
    <w:p w14:paraId="2149898B" w14:textId="77777777" w:rsidR="00FA0363" w:rsidRDefault="00FA0363" w:rsidP="00FA0363">
      <w:pPr>
        <w:pStyle w:val="13"/>
      </w:pPr>
      <w:r>
        <w:rPr>
          <w:rFonts w:hint="eastAsia"/>
        </w:rPr>
        <w:t>（二）并购目的及理由分析；</w:t>
      </w:r>
    </w:p>
    <w:p w14:paraId="1D2E63C1" w14:textId="77777777" w:rsidR="00FA0363" w:rsidRDefault="00FA0363" w:rsidP="00FA0363">
      <w:pPr>
        <w:pStyle w:val="13"/>
      </w:pPr>
      <w:r>
        <w:rPr>
          <w:rFonts w:hint="eastAsia"/>
        </w:rPr>
        <w:t>（三）并购方式和程序；</w:t>
      </w:r>
    </w:p>
    <w:p w14:paraId="17B596D1" w14:textId="77777777" w:rsidR="00FA0363" w:rsidRDefault="00FA0363" w:rsidP="00FA0363">
      <w:pPr>
        <w:pStyle w:val="13"/>
      </w:pPr>
      <w:r>
        <w:rPr>
          <w:rFonts w:hint="eastAsia"/>
        </w:rPr>
        <w:t>（四）并购价格和定价原则、方法；</w:t>
      </w:r>
    </w:p>
    <w:p w14:paraId="2C679024" w14:textId="77777777" w:rsidR="00FA0363" w:rsidRDefault="00FA0363" w:rsidP="00FA0363">
      <w:pPr>
        <w:pStyle w:val="13"/>
      </w:pPr>
      <w:r>
        <w:rPr>
          <w:rFonts w:hint="eastAsia"/>
        </w:rPr>
        <w:lastRenderedPageBreak/>
        <w:t>（五）涉及的债权、债务和担保抵押等情况及处理办法；</w:t>
      </w:r>
    </w:p>
    <w:p w14:paraId="1C11821B" w14:textId="77777777" w:rsidR="00FA0363" w:rsidRDefault="00FA0363" w:rsidP="00FA0363">
      <w:pPr>
        <w:pStyle w:val="13"/>
      </w:pPr>
      <w:r>
        <w:rPr>
          <w:rFonts w:hint="eastAsia"/>
        </w:rPr>
        <w:t>（六）涉及的职工安置、劳动关系处置等情况及处理办法；</w:t>
      </w:r>
    </w:p>
    <w:p w14:paraId="66B91528" w14:textId="77777777" w:rsidR="00FA0363" w:rsidRDefault="00FA0363" w:rsidP="00FA0363">
      <w:pPr>
        <w:pStyle w:val="13"/>
      </w:pPr>
      <w:r>
        <w:rPr>
          <w:rFonts w:hint="eastAsia"/>
        </w:rPr>
        <w:t>（七）涉及的重要法律纠纷、诉讼等情况及处理办法；</w:t>
      </w:r>
    </w:p>
    <w:p w14:paraId="656D8715" w14:textId="77777777" w:rsidR="00FA0363" w:rsidRDefault="00FA0363" w:rsidP="00FA0363">
      <w:pPr>
        <w:pStyle w:val="13"/>
      </w:pPr>
      <w:r>
        <w:rPr>
          <w:rFonts w:hint="eastAsia"/>
        </w:rPr>
        <w:t>（八）涉及的特许经营权、矿业权、土地使用权等需要行政主管部门审批处置事项的情况及处理办法；</w:t>
      </w:r>
    </w:p>
    <w:p w14:paraId="35E40B85" w14:textId="77777777" w:rsidR="00FA0363" w:rsidRDefault="00FA0363" w:rsidP="00FA0363">
      <w:pPr>
        <w:pStyle w:val="13"/>
      </w:pPr>
      <w:r>
        <w:rPr>
          <w:rFonts w:hint="eastAsia"/>
        </w:rPr>
        <w:t>（九）并购资金来源，如需筹集资金应当说明并购资金筹集及偿还等安排；</w:t>
      </w:r>
    </w:p>
    <w:p w14:paraId="089AAD75" w14:textId="77777777" w:rsidR="00FA0363" w:rsidRDefault="00FA0363" w:rsidP="00FA0363">
      <w:pPr>
        <w:pStyle w:val="13"/>
      </w:pPr>
      <w:r>
        <w:rPr>
          <w:rFonts w:hint="eastAsia"/>
        </w:rPr>
        <w:t>（十）对于并购行为的合法性分析；</w:t>
      </w:r>
    </w:p>
    <w:p w14:paraId="30FD2790" w14:textId="77777777" w:rsidR="00FA0363" w:rsidRDefault="00FA0363" w:rsidP="00FA0363">
      <w:pPr>
        <w:pStyle w:val="13"/>
      </w:pPr>
      <w:r>
        <w:rPr>
          <w:rFonts w:hint="eastAsia"/>
        </w:rPr>
        <w:t>（十一）对于并购行为的投资收益预测及财务分析；</w:t>
      </w:r>
    </w:p>
    <w:p w14:paraId="7AE392C8" w14:textId="77777777" w:rsidR="00FA0363" w:rsidRDefault="00FA0363" w:rsidP="00FA0363">
      <w:pPr>
        <w:pStyle w:val="13"/>
      </w:pPr>
      <w:r>
        <w:rPr>
          <w:rFonts w:hint="eastAsia"/>
        </w:rPr>
        <w:t>（十二）并购过程中包括并购完成后存在的风险分析及防范措施；</w:t>
      </w:r>
    </w:p>
    <w:p w14:paraId="0782E9D6" w14:textId="77777777" w:rsidR="00FA0363" w:rsidRDefault="00FA0363" w:rsidP="00FA0363">
      <w:pPr>
        <w:pStyle w:val="13"/>
      </w:pPr>
      <w:r>
        <w:rPr>
          <w:rFonts w:hint="eastAsia"/>
        </w:rPr>
        <w:t>（十三）并购完成后对于并购对象的战略规划或资产重组计划。</w:t>
      </w:r>
      <w:r>
        <w:t>并购方案是报送董事会、股东会审议或省国资委审核的必备文件。</w:t>
      </w:r>
    </w:p>
    <w:p w14:paraId="44516EDD" w14:textId="6A869448" w:rsidR="00FA0363" w:rsidRDefault="004E3EBB" w:rsidP="00FA0363">
      <w:pPr>
        <w:pStyle w:val="13"/>
        <w:ind w:firstLine="482"/>
      </w:pPr>
      <w:r w:rsidRPr="004E3EBB">
        <w:rPr>
          <w:rFonts w:hint="eastAsia"/>
          <w:b/>
          <w:bCs/>
        </w:rPr>
        <w:t xml:space="preserve">第七条 </w:t>
      </w:r>
      <w:r w:rsidR="00FA0363">
        <w:rPr>
          <w:rFonts w:hint="eastAsia"/>
        </w:rPr>
        <w:t>需要省国资委核准的并购行为，省属国有企业应当事先编制总体方案，报省国资委预核准，其内容主要包括但不限于：</w:t>
      </w:r>
    </w:p>
    <w:p w14:paraId="0316F000" w14:textId="77777777" w:rsidR="00FA0363" w:rsidRDefault="00FA0363" w:rsidP="00FA0363">
      <w:pPr>
        <w:pStyle w:val="13"/>
      </w:pPr>
      <w:r>
        <w:rPr>
          <w:rFonts w:hint="eastAsia"/>
        </w:rPr>
        <w:t>（一）并购主体包括并购方、出让方和并购对象的基本情况以及其他重要股东的基本情况；</w:t>
      </w:r>
    </w:p>
    <w:p w14:paraId="2201F011" w14:textId="77777777" w:rsidR="00FA0363" w:rsidRDefault="00FA0363" w:rsidP="00FA0363">
      <w:pPr>
        <w:pStyle w:val="13"/>
      </w:pPr>
      <w:r>
        <w:rPr>
          <w:rFonts w:hint="eastAsia"/>
        </w:rPr>
        <w:t>（二）并购目的及理由的基本分析；</w:t>
      </w:r>
    </w:p>
    <w:p w14:paraId="3F637B45" w14:textId="77777777" w:rsidR="00FA0363" w:rsidRDefault="00FA0363" w:rsidP="00FA0363">
      <w:pPr>
        <w:pStyle w:val="13"/>
      </w:pPr>
      <w:r>
        <w:rPr>
          <w:rFonts w:hint="eastAsia"/>
        </w:rPr>
        <w:t>（三）并购方式和程序的基本设想；</w:t>
      </w:r>
    </w:p>
    <w:p w14:paraId="667CCE4C" w14:textId="77777777" w:rsidR="00FA0363" w:rsidRDefault="00FA0363" w:rsidP="00FA0363">
      <w:pPr>
        <w:pStyle w:val="13"/>
      </w:pPr>
      <w:r>
        <w:rPr>
          <w:rFonts w:hint="eastAsia"/>
        </w:rPr>
        <w:t>（四）并购价格和定价原则、方法的基本考虑。</w:t>
      </w:r>
    </w:p>
    <w:p w14:paraId="5D031758" w14:textId="35259F8E" w:rsidR="00FA0363" w:rsidRDefault="004E3EBB" w:rsidP="00FA0363">
      <w:pPr>
        <w:pStyle w:val="13"/>
        <w:ind w:firstLine="482"/>
      </w:pPr>
      <w:r w:rsidRPr="004E3EBB">
        <w:rPr>
          <w:rFonts w:hint="eastAsia"/>
          <w:b/>
          <w:bCs/>
        </w:rPr>
        <w:t xml:space="preserve">第八条 </w:t>
      </w:r>
      <w:r w:rsidR="00FA0363">
        <w:rPr>
          <w:rFonts w:hint="eastAsia"/>
        </w:rPr>
        <w:t>省属国有企业并购行为中涉及资产评估事项的，按照《浙江省省属企业国有资产评估管理暂行办法》的要求进行资产评估。</w:t>
      </w:r>
    </w:p>
    <w:p w14:paraId="5AA36DB9" w14:textId="77777777" w:rsidR="00FA0363" w:rsidRDefault="00FA0363" w:rsidP="00FA0363">
      <w:pPr>
        <w:pStyle w:val="13"/>
      </w:pPr>
      <w:r>
        <w:rPr>
          <w:rFonts w:hint="eastAsia"/>
        </w:rPr>
        <w:t>省属国有企业应当委托具备资质的资产评估机构对并购标的企业进行资产评估。评估报告经核准或备案后，作为省属国有企业受让价格的参考依据。鼓励省属国有企业通过公开挂牌交易或其他公开交易方式进行并购，通过公开交易方式进行并购的，</w:t>
      </w:r>
      <w:r>
        <w:t>并不免除本章对并购行为要求的规定。</w:t>
      </w:r>
    </w:p>
    <w:p w14:paraId="4AB53B7B" w14:textId="77777777" w:rsidR="00FA0363" w:rsidRDefault="00FA0363" w:rsidP="00FA0363">
      <w:pPr>
        <w:pStyle w:val="13"/>
      </w:pPr>
      <w:r>
        <w:rPr>
          <w:rFonts w:hint="eastAsia"/>
        </w:rPr>
        <w:t>标的企业为境外企业的，应当聘请具有相应资质、信誉良好并与经济行为相适应的境内外专业机构对标的物进行评估或估值；其中并购行为发生在港澳地区的，应当聘请境内评估机构进行评估。</w:t>
      </w:r>
    </w:p>
    <w:p w14:paraId="25B7BF64" w14:textId="11EE770E" w:rsidR="00FA0363" w:rsidRDefault="00E05BDA" w:rsidP="00FA0363">
      <w:pPr>
        <w:pStyle w:val="13"/>
        <w:ind w:firstLine="482"/>
      </w:pPr>
      <w:r w:rsidRPr="00E05BDA">
        <w:rPr>
          <w:rFonts w:hint="eastAsia"/>
          <w:b/>
          <w:bCs/>
        </w:rPr>
        <w:t xml:space="preserve">第九条 </w:t>
      </w:r>
      <w:r w:rsidR="00FA0363">
        <w:rPr>
          <w:rFonts w:hint="eastAsia"/>
        </w:rPr>
        <w:t>需省国资委核准的省属国有企业的并购行为，省属国有企业应当聘请在境内注册的专业机构担任财务顾问，对并购标的企业进行尽职调查，出具尽职调查报</w:t>
      </w:r>
      <w:r w:rsidR="00FA0363">
        <w:t>告。</w:t>
      </w:r>
    </w:p>
    <w:p w14:paraId="153633C6" w14:textId="0D1D1975" w:rsidR="00FA0363" w:rsidRDefault="00E05BDA" w:rsidP="00FA0363">
      <w:pPr>
        <w:pStyle w:val="13"/>
        <w:ind w:firstLine="482"/>
      </w:pPr>
      <w:r w:rsidRPr="00E05BDA">
        <w:rPr>
          <w:rFonts w:hint="eastAsia"/>
          <w:b/>
          <w:bCs/>
        </w:rPr>
        <w:t xml:space="preserve">第十条 </w:t>
      </w:r>
      <w:r w:rsidR="00FA0363">
        <w:rPr>
          <w:rFonts w:hint="eastAsia"/>
        </w:rPr>
        <w:t>财务顾问机构应该具备如下条件：</w:t>
      </w:r>
    </w:p>
    <w:p w14:paraId="5B6D019A" w14:textId="77777777" w:rsidR="00FA0363" w:rsidRDefault="00FA0363" w:rsidP="00FA0363">
      <w:pPr>
        <w:pStyle w:val="13"/>
      </w:pPr>
      <w:r>
        <w:rPr>
          <w:rFonts w:hint="eastAsia"/>
        </w:rPr>
        <w:t>（一）实缴注册资本和净资产不低于人民币</w:t>
      </w:r>
      <w:r>
        <w:t>500万元；</w:t>
      </w:r>
    </w:p>
    <w:p w14:paraId="7FE36681" w14:textId="77777777" w:rsidR="00FA0363" w:rsidRDefault="00FA0363" w:rsidP="00FA0363">
      <w:pPr>
        <w:pStyle w:val="13"/>
      </w:pPr>
      <w:r>
        <w:rPr>
          <w:rFonts w:hint="eastAsia"/>
        </w:rPr>
        <w:t>（二）具有健全且运行良好的内部控制机制和管理制度，严格执行风险控制和内部隔离制度；</w:t>
      </w:r>
    </w:p>
    <w:p w14:paraId="51E062D7" w14:textId="77777777" w:rsidR="00FA0363" w:rsidRDefault="00FA0363" w:rsidP="00FA0363">
      <w:pPr>
        <w:pStyle w:val="13"/>
      </w:pPr>
      <w:r>
        <w:rPr>
          <w:rFonts w:hint="eastAsia"/>
        </w:rPr>
        <w:lastRenderedPageBreak/>
        <w:t>（三）公司财务会计信息真实、准确、完整；</w:t>
      </w:r>
    </w:p>
    <w:p w14:paraId="283CB53D" w14:textId="77777777" w:rsidR="00FA0363" w:rsidRDefault="00FA0363" w:rsidP="00FA0363">
      <w:pPr>
        <w:pStyle w:val="13"/>
      </w:pPr>
      <w:r>
        <w:rPr>
          <w:rFonts w:hint="eastAsia"/>
        </w:rPr>
        <w:t>（四）控股股东、实际控制人在公司申请从事上市公司并购重组财务顾问业务资格前一年未发生变化，信誉良好且最近</w:t>
      </w:r>
      <w:r>
        <w:t>3年无重大违法违规记录；</w:t>
      </w:r>
    </w:p>
    <w:p w14:paraId="3C01A48D" w14:textId="77777777" w:rsidR="00FA0363" w:rsidRDefault="00FA0363" w:rsidP="00FA0363">
      <w:pPr>
        <w:pStyle w:val="13"/>
      </w:pPr>
      <w:r>
        <w:rPr>
          <w:rFonts w:hint="eastAsia"/>
        </w:rPr>
        <w:t>（五）具有</w:t>
      </w:r>
      <w:r>
        <w:t>2年以上从事公司并购重组财务顾问业务活动的执业经历，且最近2</w:t>
      </w:r>
      <w:r>
        <w:rPr>
          <w:rFonts w:hint="eastAsia"/>
        </w:rPr>
        <w:t>年每年财务顾问业务收入不低于</w:t>
      </w:r>
      <w:r>
        <w:t>100万元；</w:t>
      </w:r>
    </w:p>
    <w:p w14:paraId="26128253" w14:textId="77777777" w:rsidR="00FA0363" w:rsidRDefault="00FA0363" w:rsidP="00FA0363">
      <w:pPr>
        <w:pStyle w:val="13"/>
      </w:pPr>
      <w:r>
        <w:rPr>
          <w:rFonts w:hint="eastAsia"/>
        </w:rPr>
        <w:t>（六）财务顾问主办人不少于</w:t>
      </w:r>
      <w:r>
        <w:t>5人；</w:t>
      </w:r>
    </w:p>
    <w:p w14:paraId="2F1E8079" w14:textId="77777777" w:rsidR="00FA0363" w:rsidRDefault="00FA0363" w:rsidP="00FA0363">
      <w:pPr>
        <w:pStyle w:val="13"/>
      </w:pPr>
      <w:r>
        <w:rPr>
          <w:rFonts w:hint="eastAsia"/>
        </w:rPr>
        <w:t>（七）涉及上市或拟上市企业的财务顾问项目，须委托具备证券业务资格的财务顾问机构；</w:t>
      </w:r>
    </w:p>
    <w:p w14:paraId="40335F06" w14:textId="77777777" w:rsidR="00FA0363" w:rsidRDefault="00FA0363" w:rsidP="00FA0363">
      <w:pPr>
        <w:pStyle w:val="13"/>
      </w:pPr>
      <w:r>
        <w:rPr>
          <w:rFonts w:hint="eastAsia"/>
        </w:rPr>
        <w:t>（八）同一经济行为聘请的财务顾问机构不得与审计、资产评估的审计机构为同一家中介机构，或者是有关联关系的中介机构。</w:t>
      </w:r>
    </w:p>
    <w:p w14:paraId="0DD14472" w14:textId="6DCEB724" w:rsidR="00FA0363" w:rsidRDefault="00E05BDA" w:rsidP="00FA0363">
      <w:pPr>
        <w:pStyle w:val="13"/>
        <w:ind w:firstLine="482"/>
      </w:pPr>
      <w:r w:rsidRPr="00E05BDA">
        <w:rPr>
          <w:rFonts w:hint="eastAsia"/>
          <w:b/>
          <w:bCs/>
        </w:rPr>
        <w:t xml:space="preserve">第十一条 </w:t>
      </w:r>
      <w:r w:rsidR="00FA0363">
        <w:rPr>
          <w:rFonts w:hint="eastAsia"/>
        </w:rPr>
        <w:t>省属国有企业应当聘请在境内注册、具备资质的律师事务所对并购标的企业进行尽职调查，并出具法律意见书。</w:t>
      </w:r>
    </w:p>
    <w:p w14:paraId="303B8608" w14:textId="737EF3C1" w:rsidR="00FA0363" w:rsidRDefault="00E05BDA" w:rsidP="00FA0363">
      <w:pPr>
        <w:pStyle w:val="13"/>
        <w:ind w:firstLine="482"/>
      </w:pPr>
      <w:r w:rsidRPr="00E05BDA">
        <w:rPr>
          <w:rFonts w:hint="eastAsia"/>
          <w:b/>
          <w:bCs/>
        </w:rPr>
        <w:t xml:space="preserve">第十二条 </w:t>
      </w:r>
      <w:r w:rsidR="00FA0363">
        <w:t>并购行为中涉及的评估机构、财务顾问以及律师事务所等统称为中介机构。在中介机构确定后，委托主体应当与中介机构签订业务约定书，明确双方的权利义务。</w:t>
      </w:r>
    </w:p>
    <w:p w14:paraId="7691B8B8" w14:textId="44678095" w:rsidR="00FA0363" w:rsidRDefault="00E05BDA" w:rsidP="00FA0363">
      <w:pPr>
        <w:pStyle w:val="13"/>
        <w:ind w:firstLine="482"/>
      </w:pPr>
      <w:r w:rsidRPr="00E05BDA">
        <w:rPr>
          <w:rFonts w:hint="eastAsia"/>
          <w:b/>
          <w:bCs/>
        </w:rPr>
        <w:t xml:space="preserve">第十三条 </w:t>
      </w:r>
      <w:r w:rsidR="00FA0363">
        <w:t>中介机构需按照投标承诺或业务约定书的要求开展业务，并按时报告。业务开展过程中，需省国资委明确或应该知道的事项，中介机构需及时报告省国资</w:t>
      </w:r>
      <w:r w:rsidR="00FA0363">
        <w:rPr>
          <w:rFonts w:hint="eastAsia"/>
        </w:rPr>
        <w:t>委。除遇特殊情况，并按管理权限以书面形式报经省国资委或省属企业同意外，中介机构延迟提交报告的将被视为违约行为。</w:t>
      </w:r>
    </w:p>
    <w:p w14:paraId="4F68668D" w14:textId="7D49361B" w:rsidR="00FA0363" w:rsidRDefault="00FA0363" w:rsidP="00AF7342">
      <w:pPr>
        <w:pStyle w:val="a9"/>
        <w:spacing w:before="62" w:after="62"/>
      </w:pPr>
      <w:r>
        <w:rPr>
          <w:rFonts w:hint="eastAsia"/>
        </w:rPr>
        <w:t>第四章</w:t>
      </w:r>
      <w:r w:rsidR="00CC466D">
        <w:rPr>
          <w:rFonts w:hint="eastAsia"/>
        </w:rPr>
        <w:t xml:space="preserve"> </w:t>
      </w:r>
      <w:r>
        <w:t>并购行为的核准、备案和报告</w:t>
      </w:r>
    </w:p>
    <w:p w14:paraId="733304DD" w14:textId="634B5A3A" w:rsidR="00FA0363" w:rsidRDefault="00E05BDA" w:rsidP="00FA0363">
      <w:pPr>
        <w:pStyle w:val="13"/>
        <w:ind w:firstLine="482"/>
      </w:pPr>
      <w:r w:rsidRPr="00E05BDA">
        <w:rPr>
          <w:rFonts w:hint="eastAsia"/>
          <w:b/>
          <w:bCs/>
        </w:rPr>
        <w:t xml:space="preserve">第十四条 </w:t>
      </w:r>
      <w:r w:rsidR="00FA0363">
        <w:rPr>
          <w:rFonts w:hint="eastAsia"/>
        </w:rPr>
        <w:t>省国资委对省属国有企业开展并购行为按层级和并购标的</w:t>
      </w:r>
      <w:proofErr w:type="gramStart"/>
      <w:r w:rsidR="00FA0363">
        <w:rPr>
          <w:rFonts w:hint="eastAsia"/>
        </w:rPr>
        <w:t>的</w:t>
      </w:r>
      <w:proofErr w:type="gramEnd"/>
      <w:r w:rsidR="00FA0363">
        <w:rPr>
          <w:rFonts w:hint="eastAsia"/>
        </w:rPr>
        <w:t>类型分别实行核准、备案和报告制度。</w:t>
      </w:r>
    </w:p>
    <w:p w14:paraId="074E83BB" w14:textId="77777777" w:rsidR="00FA0363" w:rsidRDefault="00FA0363" w:rsidP="00FA0363">
      <w:pPr>
        <w:pStyle w:val="13"/>
      </w:pPr>
      <w:r>
        <w:rPr>
          <w:rFonts w:hint="eastAsia"/>
        </w:rPr>
        <w:t>（一）实行核准制的并购行为有：</w:t>
      </w:r>
    </w:p>
    <w:p w14:paraId="6A2050B5" w14:textId="77777777" w:rsidR="00FA0363" w:rsidRDefault="00FA0363" w:rsidP="00FA0363">
      <w:pPr>
        <w:pStyle w:val="13"/>
      </w:pPr>
      <w:r>
        <w:t>1、省属企业本级的并购行为；</w:t>
      </w:r>
    </w:p>
    <w:p w14:paraId="74C51D4C" w14:textId="77777777" w:rsidR="00FA0363" w:rsidRDefault="00FA0363" w:rsidP="00FA0363">
      <w:pPr>
        <w:pStyle w:val="13"/>
      </w:pPr>
      <w:r>
        <w:t>2、省属企业及所属企业并购标的企业为上市公司的并购行为；</w:t>
      </w:r>
    </w:p>
    <w:p w14:paraId="4901DBE1" w14:textId="77777777" w:rsidR="00FA0363" w:rsidRDefault="00FA0363" w:rsidP="00FA0363">
      <w:pPr>
        <w:pStyle w:val="13"/>
      </w:pPr>
      <w:r>
        <w:t>3、省属企业本级及所属企业并购标的企业为境外企业；</w:t>
      </w:r>
    </w:p>
    <w:p w14:paraId="675D1689" w14:textId="77777777" w:rsidR="00FA0363" w:rsidRDefault="00FA0363" w:rsidP="00FA0363">
      <w:pPr>
        <w:pStyle w:val="13"/>
      </w:pPr>
      <w:r>
        <w:t>4、省属企业本级及所属企业并购标的企业为非上市公司，但其控股上市公司或其他对上市公司拥有实际控制权的并购行为；</w:t>
      </w:r>
    </w:p>
    <w:p w14:paraId="793670C4" w14:textId="77777777" w:rsidR="00FA0363" w:rsidRDefault="00FA0363" w:rsidP="00FA0363">
      <w:pPr>
        <w:pStyle w:val="13"/>
      </w:pPr>
      <w:r>
        <w:t>5、省属企业本级及所属企业并购标的企业的经营范围不在省国资委核定的省属国有企业主业经营范围之内的并购行为。</w:t>
      </w:r>
    </w:p>
    <w:p w14:paraId="3890F7BB" w14:textId="77777777" w:rsidR="00FA0363" w:rsidRDefault="00FA0363" w:rsidP="00FA0363">
      <w:pPr>
        <w:pStyle w:val="13"/>
      </w:pPr>
      <w:r>
        <w:rPr>
          <w:rFonts w:hint="eastAsia"/>
        </w:rPr>
        <w:t>需要核准的并购行为应先由省国资委进行预核准，预核准通过后，方可开展下一步并购事宜。</w:t>
      </w:r>
    </w:p>
    <w:p w14:paraId="2C7C8366" w14:textId="77777777" w:rsidR="00FA0363" w:rsidRDefault="00FA0363" w:rsidP="00FA0363">
      <w:pPr>
        <w:pStyle w:val="13"/>
      </w:pPr>
      <w:r>
        <w:rPr>
          <w:rFonts w:hint="eastAsia"/>
        </w:rPr>
        <w:t>（二）省属企业本级全资、控股或其他拥有实际控制权的一级子企业的并购行为中并购标的企业的经营范围在省国资委核定的省属国有企业主业经营范围之内的并</w:t>
      </w:r>
      <w:r>
        <w:rPr>
          <w:rFonts w:hint="eastAsia"/>
        </w:rPr>
        <w:lastRenderedPageBreak/>
        <w:t>购行为实行备案制。</w:t>
      </w:r>
    </w:p>
    <w:p w14:paraId="3FC997F4" w14:textId="77777777" w:rsidR="00FA0363" w:rsidRDefault="00FA0363" w:rsidP="00FA0363">
      <w:pPr>
        <w:pStyle w:val="13"/>
      </w:pPr>
      <w:r>
        <w:rPr>
          <w:rFonts w:hint="eastAsia"/>
        </w:rPr>
        <w:t>（三）不属于（一）和（二）规定的并购行为实行报告制度。报告制的并购行为在并购完成后</w:t>
      </w:r>
      <w:r>
        <w:t>3个工作日内（节假日顺延）由省属企业本级报告我委。</w:t>
      </w:r>
    </w:p>
    <w:p w14:paraId="33D73273" w14:textId="77777777" w:rsidR="00FA0363" w:rsidRDefault="00FA0363" w:rsidP="00FA0363">
      <w:pPr>
        <w:pStyle w:val="13"/>
      </w:pPr>
      <w:r>
        <w:rPr>
          <w:rFonts w:hint="eastAsia"/>
        </w:rPr>
        <w:t>（四）实行核准和备案制的并购行为，应在省属企业有权决策机构形成立项意见后</w:t>
      </w:r>
      <w:r>
        <w:t>3个工作日内（节假日顺延）由省属企业本级报告我委。</w:t>
      </w:r>
    </w:p>
    <w:p w14:paraId="61B73234" w14:textId="77777777" w:rsidR="00FA0363" w:rsidRDefault="00FA0363" w:rsidP="00FA0363">
      <w:pPr>
        <w:pStyle w:val="13"/>
      </w:pPr>
      <w:r>
        <w:rPr>
          <w:rFonts w:hint="eastAsia"/>
        </w:rPr>
        <w:t>（五）国有产权首席代表在省属国有企业并购行为决策前应向我委专项报告并购意向和计划，具体按《浙江省省属企业国有产权首先代表报告制度》要求报告。</w:t>
      </w:r>
    </w:p>
    <w:p w14:paraId="4C0DD938" w14:textId="5A12BFF8" w:rsidR="00FA0363" w:rsidRDefault="00E05BDA" w:rsidP="00FA0363">
      <w:pPr>
        <w:pStyle w:val="13"/>
        <w:ind w:firstLine="482"/>
      </w:pPr>
      <w:r w:rsidRPr="00E05BDA">
        <w:rPr>
          <w:rFonts w:hint="eastAsia"/>
          <w:b/>
          <w:bCs/>
        </w:rPr>
        <w:t xml:space="preserve">第十五条 </w:t>
      </w:r>
      <w:r w:rsidR="00FA0363">
        <w:rPr>
          <w:rFonts w:hint="eastAsia"/>
        </w:rPr>
        <w:t>省属国有企业开展并购行为需报省国资委核准或备案的，需同时报送下列材料：</w:t>
      </w:r>
    </w:p>
    <w:p w14:paraId="4A531B80" w14:textId="77777777" w:rsidR="00FA0363" w:rsidRDefault="00FA0363" w:rsidP="00FA0363">
      <w:pPr>
        <w:pStyle w:val="13"/>
      </w:pPr>
      <w:r>
        <w:rPr>
          <w:rFonts w:hint="eastAsia"/>
        </w:rPr>
        <w:t>（一）关于并购行为的请示和并购方案；</w:t>
      </w:r>
    </w:p>
    <w:p w14:paraId="7152D563" w14:textId="77777777" w:rsidR="00FA0363" w:rsidRDefault="00FA0363" w:rsidP="00FA0363">
      <w:pPr>
        <w:pStyle w:val="13"/>
      </w:pPr>
      <w:r>
        <w:rPr>
          <w:rFonts w:hint="eastAsia"/>
        </w:rPr>
        <w:t>（二）关于并购行为的内部决议文件；</w:t>
      </w:r>
    </w:p>
    <w:p w14:paraId="11D139A5" w14:textId="77777777" w:rsidR="00FA0363" w:rsidRDefault="00FA0363" w:rsidP="00FA0363">
      <w:pPr>
        <w:pStyle w:val="13"/>
      </w:pPr>
      <w:r>
        <w:rPr>
          <w:rFonts w:hint="eastAsia"/>
        </w:rPr>
        <w:t>（三）关于并购价格的专项说明；</w:t>
      </w:r>
    </w:p>
    <w:p w14:paraId="229D1A07" w14:textId="77777777" w:rsidR="00FA0363" w:rsidRDefault="00FA0363" w:rsidP="00FA0363">
      <w:pPr>
        <w:pStyle w:val="13"/>
      </w:pPr>
      <w:r>
        <w:rPr>
          <w:rFonts w:hint="eastAsia"/>
        </w:rPr>
        <w:t>（四）相关方草签的并购协议；</w:t>
      </w:r>
    </w:p>
    <w:p w14:paraId="7FFC4306" w14:textId="77777777" w:rsidR="00FA0363" w:rsidRDefault="00FA0363" w:rsidP="00FA0363">
      <w:pPr>
        <w:pStyle w:val="13"/>
      </w:pPr>
      <w:r>
        <w:rPr>
          <w:rFonts w:hint="eastAsia"/>
        </w:rPr>
        <w:t>（五）省属国有企业基本情况、上一年经审计的财务审计报告；</w:t>
      </w:r>
    </w:p>
    <w:p w14:paraId="0BA43E23" w14:textId="77777777" w:rsidR="00FA0363" w:rsidRDefault="00FA0363" w:rsidP="00FA0363">
      <w:pPr>
        <w:pStyle w:val="13"/>
      </w:pPr>
      <w:r>
        <w:rPr>
          <w:rFonts w:hint="eastAsia"/>
        </w:rPr>
        <w:t>（六）并购对象基本情况、上一年经审计的财务审计报告；</w:t>
      </w:r>
    </w:p>
    <w:p w14:paraId="36F0690E" w14:textId="77777777" w:rsidR="00FA0363" w:rsidRDefault="00FA0363" w:rsidP="00FA0363">
      <w:pPr>
        <w:pStyle w:val="13"/>
      </w:pPr>
      <w:r>
        <w:rPr>
          <w:rFonts w:hint="eastAsia"/>
        </w:rPr>
        <w:t>（七）涉及的资产评估报告及核准或备案文件；</w:t>
      </w:r>
    </w:p>
    <w:p w14:paraId="3FFB1B99" w14:textId="77777777" w:rsidR="00FA0363" w:rsidRDefault="00FA0363" w:rsidP="00FA0363">
      <w:pPr>
        <w:pStyle w:val="13"/>
      </w:pPr>
      <w:r>
        <w:rPr>
          <w:rFonts w:hint="eastAsia"/>
        </w:rPr>
        <w:t>（八）律师事务所出具的法律意见书；</w:t>
      </w:r>
    </w:p>
    <w:p w14:paraId="1F5E8A6F" w14:textId="77777777" w:rsidR="00FA0363" w:rsidRDefault="00FA0363" w:rsidP="00FA0363">
      <w:pPr>
        <w:pStyle w:val="13"/>
      </w:pPr>
      <w:r>
        <w:rPr>
          <w:rFonts w:hint="eastAsia"/>
        </w:rPr>
        <w:t>（九）省国资委要求的其他材料。</w:t>
      </w:r>
    </w:p>
    <w:p w14:paraId="08F1939A" w14:textId="77777777" w:rsidR="00FA0363" w:rsidRDefault="00FA0363" w:rsidP="00FA0363">
      <w:pPr>
        <w:pStyle w:val="13"/>
      </w:pPr>
      <w:r>
        <w:rPr>
          <w:rFonts w:hint="eastAsia"/>
        </w:rPr>
        <w:t>其中，需省国资委核准的并购行为还需提供财务顾问出具的尽职调查报告。</w:t>
      </w:r>
    </w:p>
    <w:p w14:paraId="36B8352A" w14:textId="485E4F58" w:rsidR="00FA0363" w:rsidRDefault="00E05BDA" w:rsidP="00FA0363">
      <w:pPr>
        <w:pStyle w:val="13"/>
        <w:ind w:firstLine="482"/>
      </w:pPr>
      <w:r w:rsidRPr="00E05BDA">
        <w:rPr>
          <w:rFonts w:hint="eastAsia"/>
          <w:b/>
          <w:bCs/>
        </w:rPr>
        <w:t xml:space="preserve">第十六条 </w:t>
      </w:r>
      <w:r w:rsidR="00FA0363">
        <w:rPr>
          <w:rFonts w:hint="eastAsia"/>
        </w:rPr>
        <w:t>省属企业本级董事会审议省属国有企业并购事项时，应当及时通知监事会列席会议，监事会成员可以对并购事项提出质询或者建议。</w:t>
      </w:r>
    </w:p>
    <w:p w14:paraId="53DC6B44" w14:textId="77777777" w:rsidR="00FA0363" w:rsidRDefault="00FA0363" w:rsidP="00FA0363">
      <w:pPr>
        <w:pStyle w:val="13"/>
      </w:pPr>
      <w:r>
        <w:rPr>
          <w:rFonts w:hint="eastAsia"/>
        </w:rPr>
        <w:t>省国资委在核准、备案省属国有企业并购事项时，根据需要可征询所在省属企业本级监事会的意见，监事会应以书面形式答复意见。</w:t>
      </w:r>
    </w:p>
    <w:p w14:paraId="4A0BF5D5" w14:textId="1103031F" w:rsidR="00FA0363" w:rsidRDefault="00E05BDA" w:rsidP="00FA0363">
      <w:pPr>
        <w:pStyle w:val="13"/>
        <w:ind w:firstLine="482"/>
      </w:pPr>
      <w:r w:rsidRPr="00E05BDA">
        <w:rPr>
          <w:rFonts w:hint="eastAsia"/>
          <w:b/>
          <w:bCs/>
        </w:rPr>
        <w:t xml:space="preserve">第十七条 </w:t>
      </w:r>
      <w:r w:rsidR="00FA0363">
        <w:t>省属国有企业并购行为的预核准工作按下列程序进行：</w:t>
      </w:r>
    </w:p>
    <w:p w14:paraId="47E2B5F5" w14:textId="77777777" w:rsidR="00FA0363" w:rsidRDefault="00FA0363" w:rsidP="00FA0363">
      <w:pPr>
        <w:pStyle w:val="13"/>
      </w:pPr>
      <w:r>
        <w:rPr>
          <w:rFonts w:hint="eastAsia"/>
        </w:rPr>
        <w:t>（一）省属企业在有权决策部门动议形成后</w:t>
      </w:r>
      <w:r>
        <w:t>10个工作日内，按规定程序报省国资委预核准；</w:t>
      </w:r>
    </w:p>
    <w:p w14:paraId="5F6B6014" w14:textId="77777777" w:rsidR="00FA0363" w:rsidRDefault="00FA0363" w:rsidP="00FA0363">
      <w:pPr>
        <w:pStyle w:val="13"/>
      </w:pPr>
      <w:r>
        <w:rPr>
          <w:rFonts w:hint="eastAsia"/>
        </w:rPr>
        <w:t>（二）省国资委收到上报的申请材料后，在</w:t>
      </w:r>
      <w:r>
        <w:t>10个工作日内</w:t>
      </w:r>
      <w:proofErr w:type="gramStart"/>
      <w:r>
        <w:t>作出</w:t>
      </w:r>
      <w:proofErr w:type="gramEnd"/>
      <w:r>
        <w:t>预核准批复；</w:t>
      </w:r>
    </w:p>
    <w:p w14:paraId="3551C492" w14:textId="77777777" w:rsidR="00FA0363" w:rsidRDefault="00FA0363" w:rsidP="00FA0363">
      <w:pPr>
        <w:pStyle w:val="13"/>
      </w:pPr>
      <w:r>
        <w:rPr>
          <w:rFonts w:hint="eastAsia"/>
        </w:rPr>
        <w:t>（三）需要补充材料的，省国资委中止预核准，由省属企业按要求补充材料；补充材料到再次上报的时间</w:t>
      </w:r>
      <w:proofErr w:type="gramStart"/>
      <w:r>
        <w:rPr>
          <w:rFonts w:hint="eastAsia"/>
        </w:rPr>
        <w:t>不计入预核准</w:t>
      </w:r>
      <w:proofErr w:type="gramEnd"/>
      <w:r>
        <w:rPr>
          <w:rFonts w:hint="eastAsia"/>
        </w:rPr>
        <w:t>所需工作时间。</w:t>
      </w:r>
    </w:p>
    <w:p w14:paraId="1CEEDEB2" w14:textId="110FD64F" w:rsidR="00FA0363" w:rsidRDefault="00E05BDA" w:rsidP="00FA0363">
      <w:pPr>
        <w:pStyle w:val="13"/>
        <w:ind w:firstLine="482"/>
      </w:pPr>
      <w:r w:rsidRPr="00E05BDA">
        <w:rPr>
          <w:rFonts w:hint="eastAsia"/>
          <w:b/>
          <w:bCs/>
        </w:rPr>
        <w:t xml:space="preserve">第十八条 </w:t>
      </w:r>
      <w:r w:rsidR="00FA0363">
        <w:t>省属国有企业并购行为的核准工作按下列程序进行：</w:t>
      </w:r>
    </w:p>
    <w:p w14:paraId="12E21B59" w14:textId="77777777" w:rsidR="00FA0363" w:rsidRDefault="00FA0363" w:rsidP="00FA0363">
      <w:pPr>
        <w:pStyle w:val="13"/>
      </w:pPr>
      <w:r>
        <w:rPr>
          <w:rFonts w:hint="eastAsia"/>
        </w:rPr>
        <w:t>（一）省属企业在董事会等有权决策部门决议形成后</w:t>
      </w:r>
      <w:r>
        <w:t>5个工作日内，按规定程序报省国资委核准；</w:t>
      </w:r>
    </w:p>
    <w:p w14:paraId="073FE028" w14:textId="77777777" w:rsidR="00FA0363" w:rsidRDefault="00FA0363" w:rsidP="00FA0363">
      <w:pPr>
        <w:pStyle w:val="13"/>
      </w:pPr>
      <w:r>
        <w:rPr>
          <w:rFonts w:hint="eastAsia"/>
        </w:rPr>
        <w:t>（二）省国资委收到上报的申请材料后，在</w:t>
      </w:r>
      <w:r>
        <w:t>10个工作日内</w:t>
      </w:r>
      <w:proofErr w:type="gramStart"/>
      <w:r>
        <w:t>作出</w:t>
      </w:r>
      <w:proofErr w:type="gramEnd"/>
      <w:r>
        <w:t>核准批复；</w:t>
      </w:r>
    </w:p>
    <w:p w14:paraId="38870233" w14:textId="77777777" w:rsidR="00FA0363" w:rsidRDefault="00FA0363" w:rsidP="00FA0363">
      <w:pPr>
        <w:pStyle w:val="13"/>
      </w:pPr>
      <w:r>
        <w:rPr>
          <w:rFonts w:hint="eastAsia"/>
        </w:rPr>
        <w:t>（三）需要补充材料的，省国资委中止核准，由省属企业按要求补充材料；补充</w:t>
      </w:r>
      <w:r>
        <w:rPr>
          <w:rFonts w:hint="eastAsia"/>
        </w:rPr>
        <w:lastRenderedPageBreak/>
        <w:t>材料到再次上报的时间不计入核准所需工作时间。</w:t>
      </w:r>
    </w:p>
    <w:p w14:paraId="2E6C23B0" w14:textId="3F307A71" w:rsidR="00FA0363" w:rsidRDefault="00E05BDA" w:rsidP="00FA0363">
      <w:pPr>
        <w:pStyle w:val="13"/>
        <w:ind w:firstLine="482"/>
      </w:pPr>
      <w:r w:rsidRPr="00E05BDA">
        <w:rPr>
          <w:rFonts w:hint="eastAsia"/>
          <w:b/>
          <w:bCs/>
        </w:rPr>
        <w:t xml:space="preserve">第十九条 </w:t>
      </w:r>
      <w:r w:rsidR="00FA0363">
        <w:t>预核准工作主要审核如下内容：</w:t>
      </w:r>
    </w:p>
    <w:p w14:paraId="05A1E385" w14:textId="77777777" w:rsidR="00FA0363" w:rsidRDefault="00FA0363" w:rsidP="00FA0363">
      <w:pPr>
        <w:pStyle w:val="13"/>
      </w:pPr>
      <w:r>
        <w:rPr>
          <w:rFonts w:hint="eastAsia"/>
        </w:rPr>
        <w:t>（一）并购行为是否符合国家和全省经济发展规划、产业、土地、环保等有关政策法规；</w:t>
      </w:r>
    </w:p>
    <w:p w14:paraId="2EA20ADB" w14:textId="77777777" w:rsidR="00FA0363" w:rsidRDefault="00FA0363" w:rsidP="00FA0363">
      <w:pPr>
        <w:pStyle w:val="13"/>
      </w:pPr>
      <w:r>
        <w:rPr>
          <w:rFonts w:hint="eastAsia"/>
        </w:rPr>
        <w:t>（二）并购行为是否符合省国有资本布局结构调整方向、企业发展规划和主业发展需要；</w:t>
      </w:r>
    </w:p>
    <w:p w14:paraId="19874D7A" w14:textId="77777777" w:rsidR="00FA0363" w:rsidRDefault="00FA0363" w:rsidP="00FA0363">
      <w:pPr>
        <w:pStyle w:val="13"/>
      </w:pPr>
      <w:r>
        <w:rPr>
          <w:rFonts w:hint="eastAsia"/>
        </w:rPr>
        <w:t>（三）并购行为是否符合经审批通过的省属企业发展规划；</w:t>
      </w:r>
    </w:p>
    <w:p w14:paraId="76B3F398" w14:textId="77777777" w:rsidR="00FA0363" w:rsidRDefault="00FA0363" w:rsidP="00FA0363">
      <w:pPr>
        <w:pStyle w:val="13"/>
      </w:pPr>
      <w:r>
        <w:rPr>
          <w:rFonts w:hint="eastAsia"/>
        </w:rPr>
        <w:t>（四）由并购而形成的全资、控股（包括拥有实际控制权）的企业层级是否符合省国资委要求；</w:t>
      </w:r>
    </w:p>
    <w:p w14:paraId="709509D9" w14:textId="77777777" w:rsidR="00FA0363" w:rsidRDefault="00FA0363" w:rsidP="00FA0363">
      <w:pPr>
        <w:pStyle w:val="13"/>
      </w:pPr>
      <w:r>
        <w:rPr>
          <w:rFonts w:hint="eastAsia"/>
        </w:rPr>
        <w:t>（五）价格确定原则、方法是否合理。</w:t>
      </w:r>
    </w:p>
    <w:p w14:paraId="20A7BEF2" w14:textId="5084C845" w:rsidR="00FA0363" w:rsidRDefault="00E05BDA" w:rsidP="00FA0363">
      <w:pPr>
        <w:pStyle w:val="13"/>
        <w:ind w:firstLine="482"/>
      </w:pPr>
      <w:r w:rsidRPr="00E05BDA">
        <w:rPr>
          <w:rFonts w:hint="eastAsia"/>
          <w:b/>
          <w:bCs/>
        </w:rPr>
        <w:t xml:space="preserve">第二十条 </w:t>
      </w:r>
      <w:r w:rsidR="00FA0363">
        <w:t>核准工作主要审核如下内容：</w:t>
      </w:r>
    </w:p>
    <w:p w14:paraId="5E552028" w14:textId="77777777" w:rsidR="00FA0363" w:rsidRDefault="00FA0363" w:rsidP="00FA0363">
      <w:pPr>
        <w:pStyle w:val="13"/>
      </w:pPr>
      <w:r>
        <w:rPr>
          <w:rFonts w:hint="eastAsia"/>
        </w:rPr>
        <w:t>（一）资料是否完备；</w:t>
      </w:r>
    </w:p>
    <w:p w14:paraId="02BF7AFF" w14:textId="77777777" w:rsidR="00FA0363" w:rsidRDefault="00FA0363" w:rsidP="00FA0363">
      <w:pPr>
        <w:pStyle w:val="13"/>
      </w:pPr>
      <w:r>
        <w:rPr>
          <w:rFonts w:hint="eastAsia"/>
        </w:rPr>
        <w:t>（二）预核准批复；</w:t>
      </w:r>
    </w:p>
    <w:p w14:paraId="06DE41A9" w14:textId="77777777" w:rsidR="00FA0363" w:rsidRDefault="00FA0363" w:rsidP="00FA0363">
      <w:pPr>
        <w:pStyle w:val="13"/>
      </w:pPr>
      <w:r>
        <w:rPr>
          <w:rFonts w:hint="eastAsia"/>
        </w:rPr>
        <w:t>（三）并购行为与企业资产经营规模、资产负债水平和实际筹资能力是否相适应；</w:t>
      </w:r>
    </w:p>
    <w:p w14:paraId="1789ACA4" w14:textId="77777777" w:rsidR="00FA0363" w:rsidRDefault="00FA0363" w:rsidP="00FA0363">
      <w:pPr>
        <w:pStyle w:val="13"/>
      </w:pPr>
      <w:r>
        <w:rPr>
          <w:rFonts w:hint="eastAsia"/>
        </w:rPr>
        <w:t>（四）财务顾问出具的尽职调查报告是否支持并购行为；</w:t>
      </w:r>
    </w:p>
    <w:p w14:paraId="17B0DB8D" w14:textId="77777777" w:rsidR="00FA0363" w:rsidRDefault="00FA0363" w:rsidP="00FA0363">
      <w:pPr>
        <w:pStyle w:val="13"/>
      </w:pPr>
      <w:r>
        <w:rPr>
          <w:rFonts w:hint="eastAsia"/>
        </w:rPr>
        <w:t>（五）律师法律意见书中是否存在法律纠纷事项；</w:t>
      </w:r>
    </w:p>
    <w:p w14:paraId="76E35B7E" w14:textId="77777777" w:rsidR="00FA0363" w:rsidRDefault="00FA0363" w:rsidP="00FA0363">
      <w:pPr>
        <w:pStyle w:val="13"/>
      </w:pPr>
      <w:r>
        <w:rPr>
          <w:rFonts w:hint="eastAsia"/>
        </w:rPr>
        <w:t>（六）并购完成后对并购对象的战略规划或资产重组计划是否清晰；</w:t>
      </w:r>
    </w:p>
    <w:p w14:paraId="0B39D9DD" w14:textId="77777777" w:rsidR="00FA0363" w:rsidRDefault="00FA0363" w:rsidP="00FA0363">
      <w:pPr>
        <w:pStyle w:val="13"/>
      </w:pPr>
      <w:r>
        <w:rPr>
          <w:rFonts w:hint="eastAsia"/>
        </w:rPr>
        <w:t>（七）财务顾问机构是否适合符合第九条规定；</w:t>
      </w:r>
    </w:p>
    <w:p w14:paraId="4567B080" w14:textId="77777777" w:rsidR="00FA0363" w:rsidRDefault="00FA0363" w:rsidP="00FA0363">
      <w:pPr>
        <w:pStyle w:val="13"/>
      </w:pPr>
      <w:r>
        <w:rPr>
          <w:rFonts w:hint="eastAsia"/>
        </w:rPr>
        <w:t>（八）其他省国资委需要核准的事项。</w:t>
      </w:r>
    </w:p>
    <w:p w14:paraId="35EB07B3" w14:textId="6DB53EFC" w:rsidR="00FA0363" w:rsidRDefault="00E05BDA" w:rsidP="00FA0363">
      <w:pPr>
        <w:pStyle w:val="13"/>
        <w:ind w:firstLine="482"/>
      </w:pPr>
      <w:r w:rsidRPr="00E05BDA">
        <w:rPr>
          <w:rFonts w:hint="eastAsia"/>
          <w:b/>
          <w:bCs/>
        </w:rPr>
        <w:t xml:space="preserve">第二十一条 </w:t>
      </w:r>
      <w:r w:rsidR="00FA0363">
        <w:t>省属企业并购行为的备案工作应当按照下列程序进行：</w:t>
      </w:r>
    </w:p>
    <w:p w14:paraId="149338C5" w14:textId="77777777" w:rsidR="00FA0363" w:rsidRDefault="00FA0363" w:rsidP="00FA0363">
      <w:pPr>
        <w:pStyle w:val="13"/>
      </w:pPr>
      <w:r>
        <w:rPr>
          <w:rFonts w:hint="eastAsia"/>
        </w:rPr>
        <w:t>（一）省属企业在董事会等有权决策部门决议形成后</w:t>
      </w:r>
      <w:r>
        <w:t>5日内，按规定程序报省国资委备案；</w:t>
      </w:r>
    </w:p>
    <w:p w14:paraId="6EF58FC4" w14:textId="77777777" w:rsidR="00FA0363" w:rsidRDefault="00FA0363" w:rsidP="00FA0363">
      <w:pPr>
        <w:pStyle w:val="13"/>
      </w:pPr>
      <w:r>
        <w:rPr>
          <w:rFonts w:hint="eastAsia"/>
        </w:rPr>
        <w:t>（二）省国资委收到上报的申请材料后，在</w:t>
      </w:r>
      <w:r>
        <w:t>5个工作日内</w:t>
      </w:r>
      <w:proofErr w:type="gramStart"/>
      <w:r>
        <w:t>作出</w:t>
      </w:r>
      <w:proofErr w:type="gramEnd"/>
      <w:r>
        <w:t>是否同意备案的批</w:t>
      </w:r>
      <w:r>
        <w:rPr>
          <w:rFonts w:hint="eastAsia"/>
        </w:rPr>
        <w:t>复，超过</w:t>
      </w:r>
      <w:r>
        <w:t>5个工作日未批复视同自动备案；</w:t>
      </w:r>
    </w:p>
    <w:p w14:paraId="5D9946DD" w14:textId="77777777" w:rsidR="00FA0363" w:rsidRDefault="00FA0363" w:rsidP="00FA0363">
      <w:pPr>
        <w:pStyle w:val="13"/>
      </w:pPr>
      <w:r>
        <w:rPr>
          <w:rFonts w:hint="eastAsia"/>
        </w:rPr>
        <w:t>（三）需要补充材料的，省国资委中止备案，由省属企业按要求补充材料，齐备后重新报备。</w:t>
      </w:r>
    </w:p>
    <w:p w14:paraId="5C408571" w14:textId="2905FDBA" w:rsidR="00FA0363" w:rsidRDefault="00E05BDA" w:rsidP="00FA0363">
      <w:pPr>
        <w:pStyle w:val="13"/>
        <w:ind w:firstLine="482"/>
      </w:pPr>
      <w:r w:rsidRPr="00E05BDA">
        <w:rPr>
          <w:rFonts w:hint="eastAsia"/>
          <w:b/>
          <w:bCs/>
        </w:rPr>
        <w:t xml:space="preserve">第二十二条 </w:t>
      </w:r>
      <w:r w:rsidR="00FA0363">
        <w:t>备案工作主要审核如下内容：</w:t>
      </w:r>
    </w:p>
    <w:p w14:paraId="324C353D" w14:textId="77777777" w:rsidR="00FA0363" w:rsidRDefault="00FA0363" w:rsidP="00FA0363">
      <w:pPr>
        <w:pStyle w:val="13"/>
      </w:pPr>
      <w:r>
        <w:rPr>
          <w:rFonts w:hint="eastAsia"/>
        </w:rPr>
        <w:t>（一）资料是否完备；</w:t>
      </w:r>
    </w:p>
    <w:p w14:paraId="30A3424C" w14:textId="77777777" w:rsidR="00FA0363" w:rsidRDefault="00FA0363" w:rsidP="00FA0363">
      <w:pPr>
        <w:pStyle w:val="13"/>
      </w:pPr>
      <w:r>
        <w:rPr>
          <w:rFonts w:hint="eastAsia"/>
        </w:rPr>
        <w:t>（二）并购行为是否符合国家和全省经济发展规划、产业、土地、环保等有关政策法规；</w:t>
      </w:r>
    </w:p>
    <w:p w14:paraId="02332EFC" w14:textId="77777777" w:rsidR="00FA0363" w:rsidRDefault="00FA0363" w:rsidP="00FA0363">
      <w:pPr>
        <w:pStyle w:val="13"/>
      </w:pPr>
      <w:r>
        <w:rPr>
          <w:rFonts w:hint="eastAsia"/>
        </w:rPr>
        <w:t>（三）并购行为是否符合省国有资本布局结构调整方向、企业发展规划和主业发展需要；</w:t>
      </w:r>
    </w:p>
    <w:p w14:paraId="009E3711" w14:textId="77777777" w:rsidR="00FA0363" w:rsidRDefault="00FA0363" w:rsidP="00FA0363">
      <w:pPr>
        <w:pStyle w:val="13"/>
      </w:pPr>
      <w:r>
        <w:rPr>
          <w:rFonts w:hint="eastAsia"/>
        </w:rPr>
        <w:t>（四）并购行为应符合省属国有企业投资决策程序和管理制度；</w:t>
      </w:r>
    </w:p>
    <w:p w14:paraId="50B33F86" w14:textId="77777777" w:rsidR="00FA0363" w:rsidRDefault="00FA0363" w:rsidP="00FA0363">
      <w:pPr>
        <w:pStyle w:val="13"/>
      </w:pPr>
      <w:r>
        <w:rPr>
          <w:rFonts w:hint="eastAsia"/>
        </w:rPr>
        <w:lastRenderedPageBreak/>
        <w:t>（五）并购行为与企业资产经营规模、资产负债水平和实际筹资能力是否相适应；</w:t>
      </w:r>
    </w:p>
    <w:p w14:paraId="0798D8EF" w14:textId="77777777" w:rsidR="00FA0363" w:rsidRDefault="00FA0363" w:rsidP="00FA0363">
      <w:pPr>
        <w:pStyle w:val="13"/>
      </w:pPr>
      <w:r>
        <w:rPr>
          <w:rFonts w:hint="eastAsia"/>
        </w:rPr>
        <w:t>（六）由并购而形成的全资、控股（包括拥有实际控制权）的企业层级是否符合省国资委要求。</w:t>
      </w:r>
    </w:p>
    <w:p w14:paraId="0DC706B8" w14:textId="1B78F237" w:rsidR="00FA0363" w:rsidRDefault="00E05BDA" w:rsidP="00FA0363">
      <w:pPr>
        <w:pStyle w:val="13"/>
        <w:ind w:firstLine="482"/>
      </w:pPr>
      <w:r w:rsidRPr="00E05BDA">
        <w:rPr>
          <w:rFonts w:hint="eastAsia"/>
          <w:b/>
          <w:bCs/>
        </w:rPr>
        <w:t xml:space="preserve">第二十三条 </w:t>
      </w:r>
      <w:r w:rsidR="00FA0363">
        <w:t>省属国有企业并购上市公司以及省属国有控股上市公司采用非公开发行股票方式并购其他企业的，应当同时遵照有关上市公司国有股权管理政策规定及时报告省国资委，做好预审核、预沟通，并按照中国证监会及证券交易所有关规定，认真做好内幕信息管理、信息披露等工作。</w:t>
      </w:r>
    </w:p>
    <w:p w14:paraId="275975AC" w14:textId="1EA8E66C" w:rsidR="00FA0363" w:rsidRDefault="00E05BDA" w:rsidP="00FA0363">
      <w:pPr>
        <w:pStyle w:val="13"/>
        <w:ind w:firstLine="482"/>
      </w:pPr>
      <w:r w:rsidRPr="00E05BDA">
        <w:rPr>
          <w:rFonts w:hint="eastAsia"/>
          <w:b/>
          <w:bCs/>
        </w:rPr>
        <w:t xml:space="preserve">第二十四条 </w:t>
      </w:r>
      <w:r w:rsidR="00FA0363">
        <w:t>省属国有企业要加强对并购行为的风险防控。在并购过程中发生或发现对并购行为产生较大影响的事件，应当认真分析研究，并提出具体的应对意见，及时报告并购行为的批准或备案单位。</w:t>
      </w:r>
    </w:p>
    <w:p w14:paraId="2E03FD22" w14:textId="7CADA31D" w:rsidR="00FA0363" w:rsidRDefault="00FA0363" w:rsidP="00AF7342">
      <w:pPr>
        <w:pStyle w:val="a9"/>
        <w:spacing w:before="62" w:after="62"/>
      </w:pPr>
      <w:r>
        <w:rPr>
          <w:rFonts w:hint="eastAsia"/>
        </w:rPr>
        <w:t>第五章</w:t>
      </w:r>
      <w:r w:rsidR="00CC466D">
        <w:rPr>
          <w:rFonts w:hint="eastAsia"/>
        </w:rPr>
        <w:t xml:space="preserve"> </w:t>
      </w:r>
      <w:r>
        <w:t>并购行为的后评价</w:t>
      </w:r>
    </w:p>
    <w:p w14:paraId="6A12DD49" w14:textId="75B2AE5A" w:rsidR="00FA0363" w:rsidRDefault="00E05BDA" w:rsidP="00FA0363">
      <w:pPr>
        <w:pStyle w:val="13"/>
        <w:ind w:firstLine="482"/>
      </w:pPr>
      <w:r w:rsidRPr="00E05BDA">
        <w:rPr>
          <w:rFonts w:hint="eastAsia"/>
          <w:b/>
          <w:bCs/>
        </w:rPr>
        <w:t xml:space="preserve">第二十五条 </w:t>
      </w:r>
      <w:r w:rsidR="00FA0363">
        <w:t>省属国有企业应当在并购行为完成后10个工作日内，以书面形式向并购行为的批准或备案单位报告本次并购行为总体情况、并购方案落实情况及总结评价意见等。并购行为的完成以完成工商变更登记为标志。</w:t>
      </w:r>
    </w:p>
    <w:p w14:paraId="70C034D9" w14:textId="7ADFAA15" w:rsidR="00FA0363" w:rsidRDefault="00E05BDA" w:rsidP="00FA0363">
      <w:pPr>
        <w:pStyle w:val="13"/>
        <w:ind w:firstLine="482"/>
      </w:pPr>
      <w:r w:rsidRPr="00E05BDA">
        <w:rPr>
          <w:rFonts w:hint="eastAsia"/>
          <w:b/>
          <w:bCs/>
        </w:rPr>
        <w:t xml:space="preserve">第二十六条 </w:t>
      </w:r>
      <w:r w:rsidR="00FA0363">
        <w:t>省属国有企业要跟踪开展后评价工作，对经省国资委批准的并购项目，在并购完成之后的1个完整会计年度之内，至少向省国资委报送1期后评价报告。省国资委根据相关规定对并购行为后评价工作开展情况进行监督检查。</w:t>
      </w:r>
    </w:p>
    <w:p w14:paraId="18B8684A" w14:textId="3EBA2675" w:rsidR="00FA0363" w:rsidRDefault="00E05BDA" w:rsidP="00FA0363">
      <w:pPr>
        <w:pStyle w:val="13"/>
        <w:ind w:firstLine="482"/>
      </w:pPr>
      <w:r w:rsidRPr="00E05BDA">
        <w:rPr>
          <w:rFonts w:hint="eastAsia"/>
          <w:b/>
          <w:bCs/>
        </w:rPr>
        <w:t xml:space="preserve">第二十七条 </w:t>
      </w:r>
      <w:r w:rsidR="00FA0363">
        <w:t>省国资委对省属国有企业并购行为进行考核，考核结果纳入省属国有企业年度考评等级制度范畴。省属国有企业报送的后评价报告重点分析以下内容：</w:t>
      </w:r>
    </w:p>
    <w:p w14:paraId="7585914E" w14:textId="77777777" w:rsidR="00FA0363" w:rsidRDefault="00FA0363" w:rsidP="00FA0363">
      <w:pPr>
        <w:pStyle w:val="13"/>
      </w:pPr>
      <w:r>
        <w:rPr>
          <w:rFonts w:hint="eastAsia"/>
        </w:rPr>
        <w:t>（一）原并购方案和现实运营情况的比较分析；</w:t>
      </w:r>
    </w:p>
    <w:p w14:paraId="202466E8" w14:textId="77777777" w:rsidR="00FA0363" w:rsidRDefault="00FA0363" w:rsidP="00FA0363">
      <w:pPr>
        <w:pStyle w:val="13"/>
      </w:pPr>
      <w:r>
        <w:rPr>
          <w:rFonts w:hint="eastAsia"/>
        </w:rPr>
        <w:t>（二）并购后重组情况的分析；</w:t>
      </w:r>
    </w:p>
    <w:p w14:paraId="2F8C98A4" w14:textId="77777777" w:rsidR="00FA0363" w:rsidRDefault="00FA0363" w:rsidP="00FA0363">
      <w:pPr>
        <w:pStyle w:val="13"/>
      </w:pPr>
      <w:r>
        <w:rPr>
          <w:rFonts w:hint="eastAsia"/>
        </w:rPr>
        <w:t>（三）投资收益预测中各假设情况的实现情况；</w:t>
      </w:r>
    </w:p>
    <w:p w14:paraId="3FC8948F" w14:textId="77777777" w:rsidR="00FA0363" w:rsidRDefault="00FA0363" w:rsidP="00FA0363">
      <w:pPr>
        <w:pStyle w:val="13"/>
      </w:pPr>
      <w:r>
        <w:rPr>
          <w:rFonts w:hint="eastAsia"/>
        </w:rPr>
        <w:t>（四）风险防范措施落实情况；</w:t>
      </w:r>
    </w:p>
    <w:p w14:paraId="0CF808A5" w14:textId="77777777" w:rsidR="00FA0363" w:rsidRDefault="00FA0363" w:rsidP="00FA0363">
      <w:pPr>
        <w:pStyle w:val="13"/>
      </w:pPr>
      <w:r>
        <w:rPr>
          <w:rFonts w:hint="eastAsia"/>
        </w:rPr>
        <w:t>（五）新风险点和防范措施。</w:t>
      </w:r>
    </w:p>
    <w:p w14:paraId="22705B7D" w14:textId="672FA2C4" w:rsidR="00FA0363" w:rsidRDefault="00E05BDA" w:rsidP="00FA0363">
      <w:pPr>
        <w:pStyle w:val="13"/>
        <w:ind w:firstLine="482"/>
      </w:pPr>
      <w:r w:rsidRPr="00E05BDA">
        <w:rPr>
          <w:rFonts w:hint="eastAsia"/>
          <w:b/>
          <w:bCs/>
        </w:rPr>
        <w:t xml:space="preserve">第二十八条 </w:t>
      </w:r>
      <w:r w:rsidR="00FA0363">
        <w:t>省国资委根据中介机构在省属国有企业并购活动中体现的专业水平、服务态度、操作规范、职业道德等方面情况，对中介机构进行综合评价，并根据综合评价结果对省属国有企业选聘中介机构承接并购项目给予适当建议。</w:t>
      </w:r>
    </w:p>
    <w:p w14:paraId="4B729111" w14:textId="2C5792BC" w:rsidR="00FA0363" w:rsidRDefault="00FA0363" w:rsidP="00AF7342">
      <w:pPr>
        <w:pStyle w:val="a9"/>
        <w:spacing w:before="62" w:after="62"/>
      </w:pPr>
      <w:r>
        <w:rPr>
          <w:rFonts w:hint="eastAsia"/>
        </w:rPr>
        <w:t>第六章</w:t>
      </w:r>
      <w:r w:rsidR="00CC466D">
        <w:rPr>
          <w:rFonts w:hint="eastAsia"/>
        </w:rPr>
        <w:t xml:space="preserve"> </w:t>
      </w:r>
      <w:r>
        <w:t>法律责任</w:t>
      </w:r>
    </w:p>
    <w:p w14:paraId="05341E08" w14:textId="2DDA288D" w:rsidR="00FA0363" w:rsidRDefault="00E05BDA" w:rsidP="00FA0363">
      <w:pPr>
        <w:pStyle w:val="13"/>
        <w:ind w:firstLine="482"/>
      </w:pPr>
      <w:r w:rsidRPr="00E05BDA">
        <w:rPr>
          <w:rFonts w:hint="eastAsia"/>
          <w:b/>
          <w:bCs/>
        </w:rPr>
        <w:t xml:space="preserve">第二十九条 </w:t>
      </w:r>
      <w:r w:rsidR="00FA0363">
        <w:t>省属企业本级是并购行为的责任主体，对所提交的材料的真实性、完整性负有责任；各中介机构按照业务委托约定书的要求，明确其权利、义务和责任。</w:t>
      </w:r>
    </w:p>
    <w:p w14:paraId="3B70DF1D" w14:textId="28563CB6" w:rsidR="00FA0363" w:rsidRDefault="00E05BDA" w:rsidP="00FA0363">
      <w:pPr>
        <w:pStyle w:val="13"/>
        <w:ind w:firstLine="482"/>
      </w:pPr>
      <w:r w:rsidRPr="00E05BDA">
        <w:rPr>
          <w:rFonts w:hint="eastAsia"/>
          <w:b/>
          <w:bCs/>
        </w:rPr>
        <w:t xml:space="preserve">第三十条 </w:t>
      </w:r>
      <w:r w:rsidR="00FA0363">
        <w:t>省属国有企业违反本办法规定进行并购行为的，省国资委责令其改正，并在年度考评等级制度中予以体现；情节严重、致使企业遭受重大损失的，依照有关</w:t>
      </w:r>
      <w:r w:rsidR="00FA0363">
        <w:lastRenderedPageBreak/>
        <w:t>规定追究企业有关人员的责任。</w:t>
      </w:r>
    </w:p>
    <w:p w14:paraId="742C3CF0" w14:textId="36A5123C" w:rsidR="00FA0363" w:rsidRDefault="00FA0363" w:rsidP="00AF7342">
      <w:pPr>
        <w:pStyle w:val="a9"/>
        <w:spacing w:before="62" w:after="62"/>
      </w:pPr>
      <w:r>
        <w:rPr>
          <w:rFonts w:hint="eastAsia"/>
        </w:rPr>
        <w:t>第七章</w:t>
      </w:r>
      <w:r w:rsidR="00CC466D">
        <w:rPr>
          <w:rFonts w:hint="eastAsia"/>
        </w:rPr>
        <w:t xml:space="preserve"> </w:t>
      </w:r>
      <w:r>
        <w:t>附则</w:t>
      </w:r>
    </w:p>
    <w:p w14:paraId="602AC87C" w14:textId="74325E1F" w:rsidR="00FA0363" w:rsidRDefault="003B2FB1" w:rsidP="00FA0363">
      <w:pPr>
        <w:pStyle w:val="13"/>
        <w:ind w:firstLine="482"/>
      </w:pPr>
      <w:r w:rsidRPr="003B2FB1">
        <w:rPr>
          <w:rFonts w:hint="eastAsia"/>
          <w:b/>
          <w:bCs/>
        </w:rPr>
        <w:t xml:space="preserve">第三十一条 </w:t>
      </w:r>
      <w:r w:rsidR="00FA0363">
        <w:t>各市、县（市、区）国资监管机构可参照本办法，制定所出资企业并购监管的具体办法。</w:t>
      </w:r>
    </w:p>
    <w:p w14:paraId="645A1C47" w14:textId="106D352B" w:rsidR="00FA0363" w:rsidRDefault="003B2FB1" w:rsidP="00FA0363">
      <w:pPr>
        <w:pStyle w:val="13"/>
        <w:ind w:firstLine="482"/>
      </w:pPr>
      <w:r w:rsidRPr="003B2FB1">
        <w:rPr>
          <w:rFonts w:hint="eastAsia"/>
          <w:b/>
          <w:bCs/>
        </w:rPr>
        <w:t xml:space="preserve">第三十二条 </w:t>
      </w:r>
      <w:r w:rsidR="00FA0363">
        <w:t>本办法由省国资委负责解释。</w:t>
      </w:r>
    </w:p>
    <w:p w14:paraId="6FFBCAD3" w14:textId="77667FDC" w:rsidR="00FA0363" w:rsidRDefault="003B2FB1" w:rsidP="00FA0363">
      <w:pPr>
        <w:pStyle w:val="13"/>
        <w:ind w:firstLine="482"/>
      </w:pPr>
      <w:r w:rsidRPr="003B2FB1">
        <w:rPr>
          <w:b/>
          <w:bCs/>
        </w:rPr>
        <w:t xml:space="preserve">第三十三条 </w:t>
      </w:r>
      <w:r w:rsidR="00FA0363">
        <w:t>本办法自发布之日起施行。</w:t>
      </w:r>
    </w:p>
    <w:p w14:paraId="29A0E43C" w14:textId="77777777" w:rsidR="00FA0363" w:rsidRDefault="00FA0363" w:rsidP="00FA0363">
      <w:pPr>
        <w:pStyle w:val="31"/>
        <w:spacing w:before="156" w:after="62"/>
      </w:pPr>
      <w:bookmarkStart w:id="266" w:name="_Toc81833499"/>
      <w:r>
        <w:rPr>
          <w:rFonts w:hint="eastAsia"/>
        </w:rPr>
        <w:t>《浙江省省属国有企业重大资产处置监督管理暂行办法》</w:t>
      </w:r>
      <w:r>
        <w:br w:type="textWrapping" w:clear="all"/>
      </w:r>
      <w:r>
        <w:rPr>
          <w:rFonts w:hint="eastAsia"/>
        </w:rPr>
        <w:t>（</w:t>
      </w:r>
      <w:proofErr w:type="gramStart"/>
      <w:r>
        <w:rPr>
          <w:rFonts w:hint="eastAsia"/>
        </w:rPr>
        <w:t>浙国资发</w:t>
      </w:r>
      <w:proofErr w:type="gramEnd"/>
      <w:r>
        <w:rPr>
          <w:rFonts w:hint="eastAsia"/>
        </w:rPr>
        <w:t>〔</w:t>
      </w:r>
      <w:r>
        <w:t>2013〕7号）</w:t>
      </w:r>
      <w:bookmarkEnd w:id="266"/>
    </w:p>
    <w:p w14:paraId="1C6094B6" w14:textId="77777777" w:rsidR="00FA0363" w:rsidRDefault="00FA0363" w:rsidP="00FA0363">
      <w:pPr>
        <w:pStyle w:val="13"/>
        <w:ind w:firstLineChars="0" w:firstLine="0"/>
      </w:pPr>
      <w:r>
        <w:rPr>
          <w:rFonts w:hint="eastAsia"/>
        </w:rPr>
        <w:t>各省属企业、委直属各单位：</w:t>
      </w:r>
    </w:p>
    <w:p w14:paraId="4035C576" w14:textId="77777777" w:rsidR="00FA0363" w:rsidRDefault="00FA0363" w:rsidP="00FA0363">
      <w:pPr>
        <w:pStyle w:val="13"/>
      </w:pPr>
      <w:r>
        <w:rPr>
          <w:rFonts w:hint="eastAsia"/>
        </w:rPr>
        <w:t>《浙江省省属国有企业重大资产处置监督管理暂行办法》已经委主任办公会议审议通过，现印发给你们，请认真贯彻执行。</w:t>
      </w:r>
    </w:p>
    <w:p w14:paraId="51ED94DC" w14:textId="77777777" w:rsidR="00FA0363" w:rsidRDefault="00FA0363" w:rsidP="00FA0363">
      <w:pPr>
        <w:pStyle w:val="13"/>
        <w:jc w:val="right"/>
      </w:pPr>
      <w:r>
        <w:rPr>
          <w:rFonts w:hint="eastAsia"/>
        </w:rPr>
        <w:t>浙江省国资委</w:t>
      </w:r>
    </w:p>
    <w:p w14:paraId="2274958A" w14:textId="77777777" w:rsidR="00FA0363" w:rsidRDefault="00FA0363" w:rsidP="00FA0363">
      <w:pPr>
        <w:pStyle w:val="13"/>
        <w:jc w:val="right"/>
      </w:pPr>
      <w:r>
        <w:t>2013年9月4日</w:t>
      </w:r>
    </w:p>
    <w:p w14:paraId="6D998BE6" w14:textId="77777777" w:rsidR="00FA0363" w:rsidRDefault="00FA0363" w:rsidP="00AF7342">
      <w:pPr>
        <w:pStyle w:val="a9"/>
        <w:spacing w:before="62" w:after="62"/>
      </w:pPr>
      <w:r>
        <w:rPr>
          <w:rFonts w:hint="eastAsia"/>
        </w:rPr>
        <w:t>浙江省省属国有企业重大资产处置监督管理暂行办法</w:t>
      </w:r>
    </w:p>
    <w:p w14:paraId="3698DC4F" w14:textId="75B95CC3" w:rsidR="00FA0363" w:rsidRDefault="00FA0363" w:rsidP="00AF7342">
      <w:pPr>
        <w:pStyle w:val="a9"/>
        <w:spacing w:before="62" w:after="62"/>
      </w:pPr>
      <w:r>
        <w:rPr>
          <w:rFonts w:hint="eastAsia"/>
        </w:rPr>
        <w:t>第一章</w:t>
      </w:r>
      <w:r w:rsidR="00CC466D">
        <w:rPr>
          <w:rFonts w:hint="eastAsia"/>
        </w:rPr>
        <w:t xml:space="preserve"> </w:t>
      </w:r>
      <w:r>
        <w:t>总则</w:t>
      </w:r>
    </w:p>
    <w:p w14:paraId="21488FF4" w14:textId="4123ED61" w:rsidR="00FA0363" w:rsidRDefault="004E3EBB" w:rsidP="00FA0363">
      <w:pPr>
        <w:pStyle w:val="13"/>
        <w:ind w:firstLine="482"/>
      </w:pPr>
      <w:r w:rsidRPr="004E3EBB">
        <w:rPr>
          <w:rFonts w:hint="eastAsia"/>
          <w:b/>
          <w:bCs/>
        </w:rPr>
        <w:t xml:space="preserve">第一条 </w:t>
      </w:r>
      <w:r w:rsidR="00FA0363">
        <w:t>为了进一步规范省属国有企业重大资产处置行为，促进国有资产保值增值，根据《中华人民共和国公司法》、《中华人民共和国企业国有资产法》、《企业国有资产监督管理暂行条例》和《浙江省企业国有资产监督管理办法》等法律、法规、规章的有关规定，制定本办法。</w:t>
      </w:r>
    </w:p>
    <w:p w14:paraId="77C74187" w14:textId="60E55CC2" w:rsidR="00FA0363" w:rsidRDefault="004E3EBB" w:rsidP="00FA0363">
      <w:pPr>
        <w:pStyle w:val="13"/>
        <w:ind w:firstLine="482"/>
      </w:pPr>
      <w:r w:rsidRPr="004E3EBB">
        <w:rPr>
          <w:rFonts w:hint="eastAsia"/>
          <w:b/>
          <w:bCs/>
        </w:rPr>
        <w:t xml:space="preserve">第二条 </w:t>
      </w:r>
      <w:r w:rsidR="00FA0363">
        <w:t>本办法所称省属国有企业，是指浙江省人民政府国有资产监督管理委员会</w:t>
      </w:r>
      <w:r w:rsidR="00FA0363">
        <w:rPr>
          <w:rFonts w:hint="eastAsia"/>
        </w:rPr>
        <w:t>（以下简称省国资委）履行出资人职责的国有独资企业、国有独资公司、国有资本控股公司（以下简称省属国有企业本级）及其各级全资、控股或其他拥有实际控制权的企业。</w:t>
      </w:r>
    </w:p>
    <w:p w14:paraId="3229D998" w14:textId="23B4E1C8" w:rsidR="00FA0363" w:rsidRDefault="004E3EBB" w:rsidP="00FA0363">
      <w:pPr>
        <w:pStyle w:val="13"/>
        <w:ind w:firstLine="482"/>
      </w:pPr>
      <w:r w:rsidRPr="004E3EBB">
        <w:rPr>
          <w:rFonts w:hint="eastAsia"/>
          <w:b/>
          <w:bCs/>
        </w:rPr>
        <w:t xml:space="preserve">第三条 </w:t>
      </w:r>
      <w:r w:rsidR="00FA0363">
        <w:t>上市公司、中外合资企业、中外合作企业、外商独资企业等重大资产</w:t>
      </w:r>
      <w:proofErr w:type="gramStart"/>
      <w:r w:rsidR="00FA0363">
        <w:t>处置按</w:t>
      </w:r>
      <w:proofErr w:type="gramEnd"/>
      <w:r w:rsidR="00FA0363">
        <w:rPr>
          <w:rFonts w:hint="eastAsia"/>
        </w:rPr>
        <w:t>相关法律、法规执行，没有规定的参照本办法执行。</w:t>
      </w:r>
    </w:p>
    <w:p w14:paraId="0A8D784F" w14:textId="77777777" w:rsidR="00FA0363" w:rsidRDefault="00FA0363" w:rsidP="00FA0363">
      <w:pPr>
        <w:pStyle w:val="13"/>
      </w:pPr>
      <w:r>
        <w:rPr>
          <w:rFonts w:hint="eastAsia"/>
        </w:rPr>
        <w:t>持有金融许可证的省属国有企业，其金融资产处置按照相关法律、法规执行。</w:t>
      </w:r>
    </w:p>
    <w:p w14:paraId="704D2B3D" w14:textId="6328A44B" w:rsidR="00FA0363" w:rsidRDefault="00FA0363" w:rsidP="00AF7342">
      <w:pPr>
        <w:pStyle w:val="a9"/>
        <w:spacing w:before="62" w:after="62"/>
      </w:pPr>
      <w:r>
        <w:rPr>
          <w:rFonts w:hint="eastAsia"/>
        </w:rPr>
        <w:t>第二章</w:t>
      </w:r>
      <w:r w:rsidR="00CC466D">
        <w:rPr>
          <w:rFonts w:hint="eastAsia"/>
        </w:rPr>
        <w:t xml:space="preserve"> </w:t>
      </w:r>
      <w:r>
        <w:t>重大资产监督管理范围</w:t>
      </w:r>
    </w:p>
    <w:p w14:paraId="5B80BA5F" w14:textId="435AC996" w:rsidR="00FA0363" w:rsidRDefault="004E3EBB" w:rsidP="00FA0363">
      <w:pPr>
        <w:pStyle w:val="13"/>
        <w:ind w:firstLine="482"/>
      </w:pPr>
      <w:r w:rsidRPr="004E3EBB">
        <w:rPr>
          <w:rFonts w:hint="eastAsia"/>
          <w:b/>
          <w:bCs/>
        </w:rPr>
        <w:t xml:space="preserve">第四条 </w:t>
      </w:r>
      <w:r w:rsidR="00FA0363">
        <w:t>本办法所称的重大资产包括：</w:t>
      </w:r>
    </w:p>
    <w:p w14:paraId="747AA80C" w14:textId="77777777" w:rsidR="00FA0363" w:rsidRDefault="00FA0363" w:rsidP="00FA0363">
      <w:pPr>
        <w:pStyle w:val="13"/>
      </w:pPr>
      <w:r>
        <w:rPr>
          <w:rFonts w:hint="eastAsia"/>
        </w:rPr>
        <w:t>（一）资产账面原值在</w:t>
      </w:r>
      <w:r>
        <w:t>100万元人民币及以上或占企业全部净资产20%及以上的土地、地面建筑物、构筑物及其附属设施；</w:t>
      </w:r>
    </w:p>
    <w:p w14:paraId="208DD6E3" w14:textId="77777777" w:rsidR="00FA0363" w:rsidRDefault="00FA0363" w:rsidP="00FA0363">
      <w:pPr>
        <w:pStyle w:val="13"/>
      </w:pPr>
      <w:r>
        <w:rPr>
          <w:rFonts w:hint="eastAsia"/>
        </w:rPr>
        <w:t>（二）资产账面原值在</w:t>
      </w:r>
      <w:r>
        <w:t>100万元人民币及以上或占企业全部固定资产原值20%及以上的生产线、机器设备、交通工具等其他资产；</w:t>
      </w:r>
    </w:p>
    <w:p w14:paraId="7C79861F" w14:textId="77777777" w:rsidR="00FA0363" w:rsidRDefault="00FA0363" w:rsidP="00FA0363">
      <w:pPr>
        <w:pStyle w:val="13"/>
      </w:pPr>
      <w:r>
        <w:rPr>
          <w:rFonts w:hint="eastAsia"/>
        </w:rPr>
        <w:lastRenderedPageBreak/>
        <w:t>（三）商标专用权、专利权及著作权等知识产权。</w:t>
      </w:r>
    </w:p>
    <w:p w14:paraId="5D1B5449" w14:textId="4A09940D" w:rsidR="00FA0363" w:rsidRDefault="004E3EBB" w:rsidP="00FA0363">
      <w:pPr>
        <w:pStyle w:val="13"/>
        <w:ind w:firstLine="482"/>
      </w:pPr>
      <w:r w:rsidRPr="004E3EBB">
        <w:rPr>
          <w:rFonts w:hint="eastAsia"/>
          <w:b/>
          <w:bCs/>
        </w:rPr>
        <w:t xml:space="preserve">第五条 </w:t>
      </w:r>
      <w:r w:rsidR="00FA0363">
        <w:t>企业正常销售的产成品、半成品、商品和副产品不属于本办法所称的重大资产。</w:t>
      </w:r>
    </w:p>
    <w:p w14:paraId="7C7D6CA0" w14:textId="0FE0B90F" w:rsidR="00FA0363" w:rsidRDefault="004E3EBB" w:rsidP="00FA0363">
      <w:pPr>
        <w:pStyle w:val="13"/>
        <w:ind w:firstLine="482"/>
      </w:pPr>
      <w:r w:rsidRPr="004E3EBB">
        <w:rPr>
          <w:rFonts w:hint="eastAsia"/>
          <w:b/>
          <w:bCs/>
        </w:rPr>
        <w:t xml:space="preserve">第六条 </w:t>
      </w:r>
      <w:r w:rsidR="00FA0363">
        <w:t>本办法所指的处置包括转让所有权或出租等有偿让渡资产使用权的行为。</w:t>
      </w:r>
    </w:p>
    <w:p w14:paraId="72BD3CD8" w14:textId="2933AA0A" w:rsidR="00FA0363" w:rsidRDefault="00FA0363" w:rsidP="00AF7342">
      <w:pPr>
        <w:pStyle w:val="a9"/>
        <w:spacing w:before="62" w:after="62"/>
      </w:pPr>
      <w:r>
        <w:rPr>
          <w:rFonts w:hint="eastAsia"/>
        </w:rPr>
        <w:t>第三章</w:t>
      </w:r>
      <w:r w:rsidR="00CC466D">
        <w:rPr>
          <w:rFonts w:hint="eastAsia"/>
        </w:rPr>
        <w:t xml:space="preserve"> </w:t>
      </w:r>
      <w:r>
        <w:t>重大资产处置要求</w:t>
      </w:r>
    </w:p>
    <w:p w14:paraId="60D41B16" w14:textId="6136E44E" w:rsidR="00FA0363" w:rsidRDefault="004E3EBB" w:rsidP="00FA0363">
      <w:pPr>
        <w:pStyle w:val="13"/>
        <w:ind w:firstLine="482"/>
      </w:pPr>
      <w:r w:rsidRPr="004E3EBB">
        <w:rPr>
          <w:rFonts w:hint="eastAsia"/>
          <w:b/>
          <w:bCs/>
        </w:rPr>
        <w:t xml:space="preserve">第七条 </w:t>
      </w:r>
      <w:r w:rsidR="00FA0363">
        <w:t>省属国有企业处置资产应遵守国家法律、行政法规和政策规定。处置的资产权属应当清晰，权属关系不明确或者存在权属纠纷的资产不得进行处置。</w:t>
      </w:r>
    </w:p>
    <w:p w14:paraId="441FF522" w14:textId="2A10D2DD" w:rsidR="00FA0363" w:rsidRDefault="004E3EBB" w:rsidP="00FA0363">
      <w:pPr>
        <w:pStyle w:val="13"/>
        <w:ind w:firstLine="482"/>
      </w:pPr>
      <w:r w:rsidRPr="004E3EBB">
        <w:rPr>
          <w:rFonts w:hint="eastAsia"/>
          <w:b/>
          <w:bCs/>
        </w:rPr>
        <w:t xml:space="preserve">第八条 </w:t>
      </w:r>
      <w:r w:rsidR="00FA0363">
        <w:t>本办法监管范围的重大资产处置原则上应当在浙江产权交易所公开进行。</w:t>
      </w:r>
    </w:p>
    <w:p w14:paraId="190BE089" w14:textId="0C4B77B6" w:rsidR="00FA0363" w:rsidRDefault="00E05BDA" w:rsidP="00FA0363">
      <w:pPr>
        <w:pStyle w:val="13"/>
        <w:ind w:firstLine="482"/>
      </w:pPr>
      <w:r w:rsidRPr="00E05BDA">
        <w:rPr>
          <w:b/>
          <w:bCs/>
        </w:rPr>
        <w:t xml:space="preserve">第九条 </w:t>
      </w:r>
      <w:r w:rsidR="00FA0363">
        <w:t>省属国有企业本级应当依据有关法律法规以及本办法的规定，制定本企业</w:t>
      </w:r>
      <w:r w:rsidR="00FA0363">
        <w:rPr>
          <w:rFonts w:hint="eastAsia"/>
        </w:rPr>
        <w:t>的资产管理制度，规范企业重大资产处置行为，并报省国资委备案。</w:t>
      </w:r>
    </w:p>
    <w:p w14:paraId="77B1B0AC" w14:textId="63231D7D" w:rsidR="00FA0363" w:rsidRDefault="00E05BDA" w:rsidP="00FA0363">
      <w:pPr>
        <w:pStyle w:val="13"/>
        <w:ind w:firstLine="482"/>
      </w:pPr>
      <w:r w:rsidRPr="00E05BDA">
        <w:rPr>
          <w:rFonts w:hint="eastAsia"/>
          <w:b/>
          <w:bCs/>
        </w:rPr>
        <w:t xml:space="preserve">第十条 </w:t>
      </w:r>
      <w:r w:rsidR="00FA0363">
        <w:t>省属国有企业重大资产处置原则上不允许协议转让，确需在省属国有企业内部有偿调配进行协议转让的，转让方和受让方应为国有全资、绝对控股企业。</w:t>
      </w:r>
    </w:p>
    <w:p w14:paraId="76D3AC91" w14:textId="77777777" w:rsidR="00FA0363" w:rsidRDefault="00FA0363" w:rsidP="00FA0363">
      <w:pPr>
        <w:pStyle w:val="13"/>
      </w:pPr>
      <w:r>
        <w:rPr>
          <w:rFonts w:hint="eastAsia"/>
        </w:rPr>
        <w:t>其中，国有全资企业之间的协议转让，可由省属国有企业自行决策，并按照重大资产处置</w:t>
      </w:r>
      <w:proofErr w:type="gramStart"/>
      <w:r>
        <w:rPr>
          <w:rFonts w:hint="eastAsia"/>
        </w:rPr>
        <w:t>事先或</w:t>
      </w:r>
      <w:proofErr w:type="gramEnd"/>
      <w:r>
        <w:rPr>
          <w:rFonts w:hint="eastAsia"/>
        </w:rPr>
        <w:t>事后备案程序报省国资委备案。其他协议转让行为均需报省国资委批准同意，相关程序参照股权协议转让程序执行。</w:t>
      </w:r>
    </w:p>
    <w:p w14:paraId="31904112" w14:textId="3E0EFE7A" w:rsidR="00FA0363" w:rsidRDefault="00FA0363" w:rsidP="00AF7342">
      <w:pPr>
        <w:pStyle w:val="a9"/>
        <w:spacing w:before="62" w:after="62"/>
      </w:pPr>
      <w:r>
        <w:rPr>
          <w:rFonts w:hint="eastAsia"/>
        </w:rPr>
        <w:t>第四章</w:t>
      </w:r>
      <w:r w:rsidR="00CC466D">
        <w:rPr>
          <w:rFonts w:hint="eastAsia"/>
        </w:rPr>
        <w:t xml:space="preserve"> </w:t>
      </w:r>
      <w:r>
        <w:t>重大资产处置程序</w:t>
      </w:r>
    </w:p>
    <w:p w14:paraId="061D15E7" w14:textId="093E3B21" w:rsidR="00FA0363" w:rsidRDefault="00E05BDA" w:rsidP="00FA0363">
      <w:pPr>
        <w:pStyle w:val="13"/>
        <w:ind w:firstLine="482"/>
      </w:pPr>
      <w:r w:rsidRPr="00E05BDA">
        <w:rPr>
          <w:rFonts w:hint="eastAsia"/>
          <w:b/>
          <w:bCs/>
        </w:rPr>
        <w:t xml:space="preserve">第十一条 </w:t>
      </w:r>
      <w:r w:rsidR="00FA0363">
        <w:t>省属国有企业重大资产转让行为应遵循下述基本程序：</w:t>
      </w:r>
    </w:p>
    <w:p w14:paraId="24DDE189" w14:textId="77777777" w:rsidR="00FA0363" w:rsidRDefault="00FA0363" w:rsidP="00FA0363">
      <w:pPr>
        <w:pStyle w:val="13"/>
      </w:pPr>
      <w:r>
        <w:rPr>
          <w:rFonts w:hint="eastAsia"/>
        </w:rPr>
        <w:t>（一）内部决策。应当根据内部资产管理制度做好资产处置的可行性研究，按照内部决策程序进行审议，并形成书面决议。其中，报省国资委核准的资产处置项目须由省属国有企业本级董事会审议通过。</w:t>
      </w:r>
    </w:p>
    <w:p w14:paraId="6F221B76" w14:textId="77777777" w:rsidR="00FA0363" w:rsidRDefault="00FA0363" w:rsidP="00FA0363">
      <w:pPr>
        <w:pStyle w:val="13"/>
      </w:pPr>
      <w:r>
        <w:rPr>
          <w:rFonts w:hint="eastAsia"/>
        </w:rPr>
        <w:t>（二）资产评估。应当依照省国资委相关规定对资产进行评估。其中，涉及土地、房产、珠宝、探矿权、采矿权等资产的评估项目，需委托具有相应资质的评估机构进行评估。</w:t>
      </w:r>
    </w:p>
    <w:p w14:paraId="0A845DC7" w14:textId="77777777" w:rsidR="00FA0363" w:rsidRDefault="00FA0363" w:rsidP="00FA0363">
      <w:pPr>
        <w:pStyle w:val="13"/>
      </w:pPr>
      <w:r>
        <w:rPr>
          <w:rFonts w:hint="eastAsia"/>
        </w:rPr>
        <w:t>（三）制定转让方案。应当按照转让标的实际情况，制定转让方案。除法律、法规另有规定外，资产转让不得对受让方资格设置不合理的限制性条件。浙江产权交易所对决策及审批文件进行审核，符合规定的予以受理，并将相关信息及时报送省国资委。</w:t>
      </w:r>
    </w:p>
    <w:p w14:paraId="130E61F4" w14:textId="77777777" w:rsidR="00FA0363" w:rsidRDefault="00FA0363" w:rsidP="00FA0363">
      <w:pPr>
        <w:pStyle w:val="13"/>
      </w:pPr>
      <w:r>
        <w:rPr>
          <w:rFonts w:hint="eastAsia"/>
        </w:rPr>
        <w:t>（四）发布转让信息。应当将资产转让信息公告委托浙江产权交易所刊登在省级以</w:t>
      </w:r>
      <w:r>
        <w:t>上公开发行的经济或者金融类报刊和产权交易机构网站上，公开披露有关资产转让信息，广泛</w:t>
      </w:r>
      <w:proofErr w:type="gramStart"/>
      <w:r>
        <w:t>征集受</w:t>
      </w:r>
      <w:proofErr w:type="gramEnd"/>
      <w:r>
        <w:t>让方。资产转让公告期不得少于20个工作日，转让公告期自公开发布信息之日起计算。</w:t>
      </w:r>
    </w:p>
    <w:p w14:paraId="29D08C22" w14:textId="77777777" w:rsidR="00FA0363" w:rsidRDefault="00FA0363" w:rsidP="00FA0363">
      <w:pPr>
        <w:pStyle w:val="13"/>
      </w:pPr>
      <w:r>
        <w:rPr>
          <w:rFonts w:hint="eastAsia"/>
        </w:rPr>
        <w:lastRenderedPageBreak/>
        <w:t>资产转让首次信息公告时的挂牌价，不得低于转让标的</w:t>
      </w:r>
      <w:proofErr w:type="gramStart"/>
      <w:r>
        <w:rPr>
          <w:rFonts w:hint="eastAsia"/>
        </w:rPr>
        <w:t>的</w:t>
      </w:r>
      <w:proofErr w:type="gramEnd"/>
      <w:r>
        <w:rPr>
          <w:rFonts w:hint="eastAsia"/>
        </w:rPr>
        <w:t>资产评估值。如在规定的信息公告期内未征集到意向受让方，设置新的挂牌价格低于评估结果的</w:t>
      </w:r>
      <w:r>
        <w:t>90%时，资产处置方应当在重新获得资产处置批准机构批准后，再发布资产处置信息公告。</w:t>
      </w:r>
    </w:p>
    <w:p w14:paraId="409CBA8F" w14:textId="77777777" w:rsidR="00FA0363" w:rsidRDefault="00FA0363" w:rsidP="00FA0363">
      <w:pPr>
        <w:pStyle w:val="13"/>
      </w:pPr>
      <w:r>
        <w:rPr>
          <w:rFonts w:hint="eastAsia"/>
        </w:rPr>
        <w:t>（五）确定受让方。浙江产权交易所按照交易规则确定最终受让方，并组织交易双方签署资产交易合同。经公开征集产生两个以上意向受让方时，应采取电子竞价、拍卖、招投标方式以及符合法律法规规定的其他竞价方式组织实施资产交易。</w:t>
      </w:r>
    </w:p>
    <w:p w14:paraId="57ADE15B" w14:textId="77777777" w:rsidR="00FA0363" w:rsidRDefault="00FA0363" w:rsidP="00FA0363">
      <w:pPr>
        <w:pStyle w:val="13"/>
      </w:pPr>
      <w:r>
        <w:rPr>
          <w:rFonts w:hint="eastAsia"/>
        </w:rPr>
        <w:t>（六）结算交易资金。受让方应当在资产交易合同约定的期限内，将资产价款支付到产权交易机构的结算账户。</w:t>
      </w:r>
    </w:p>
    <w:p w14:paraId="44AB3EFE" w14:textId="77777777" w:rsidR="00FA0363" w:rsidRDefault="00FA0363" w:rsidP="00FA0363">
      <w:pPr>
        <w:pStyle w:val="13"/>
      </w:pPr>
      <w:r>
        <w:rPr>
          <w:rFonts w:hint="eastAsia"/>
        </w:rPr>
        <w:t>（七）出具交易凭证。交易资金结算完成后，产权交易机构应当出具资产交易凭证。</w:t>
      </w:r>
    </w:p>
    <w:p w14:paraId="789C756E" w14:textId="6821B427" w:rsidR="00FA0363" w:rsidRDefault="00E05BDA" w:rsidP="00FA0363">
      <w:pPr>
        <w:pStyle w:val="13"/>
        <w:ind w:firstLine="482"/>
      </w:pPr>
      <w:r w:rsidRPr="00E05BDA">
        <w:rPr>
          <w:rFonts w:hint="eastAsia"/>
          <w:b/>
          <w:bCs/>
        </w:rPr>
        <w:t xml:space="preserve">第十二条 </w:t>
      </w:r>
      <w:r w:rsidR="00FA0363">
        <w:t>省属国有企业重大资产出租行为应遵循下述基本程序：</w:t>
      </w:r>
    </w:p>
    <w:p w14:paraId="2551F107" w14:textId="77777777" w:rsidR="00FA0363" w:rsidRDefault="00FA0363" w:rsidP="00FA0363">
      <w:pPr>
        <w:pStyle w:val="13"/>
      </w:pPr>
      <w:r>
        <w:rPr>
          <w:rFonts w:hint="eastAsia"/>
        </w:rPr>
        <w:t>（一）内部决策。应当根据内部资产管理制度做好重大资产出租的市场调研，按照内部决策程序进行审议，并形成书面决议。</w:t>
      </w:r>
    </w:p>
    <w:p w14:paraId="53985AF4" w14:textId="77777777" w:rsidR="00FA0363" w:rsidRDefault="00FA0363" w:rsidP="00FA0363">
      <w:pPr>
        <w:pStyle w:val="13"/>
      </w:pPr>
      <w:r>
        <w:rPr>
          <w:rFonts w:hint="eastAsia"/>
        </w:rPr>
        <w:t>（二）制定出租方案。应当按照出租标的实际情况，制定出租方案。除法律、法规另有规定外，出租不得对承租</w:t>
      </w:r>
      <w:proofErr w:type="gramStart"/>
      <w:r>
        <w:rPr>
          <w:rFonts w:hint="eastAsia"/>
        </w:rPr>
        <w:t>方资格</w:t>
      </w:r>
      <w:proofErr w:type="gramEnd"/>
      <w:r>
        <w:rPr>
          <w:rFonts w:hint="eastAsia"/>
        </w:rPr>
        <w:t>设置不合理的限制性条件。</w:t>
      </w:r>
    </w:p>
    <w:p w14:paraId="16E63270" w14:textId="77777777" w:rsidR="00FA0363" w:rsidRDefault="00FA0363" w:rsidP="00FA0363">
      <w:pPr>
        <w:pStyle w:val="13"/>
      </w:pPr>
      <w:r>
        <w:rPr>
          <w:rFonts w:hint="eastAsia"/>
        </w:rPr>
        <w:t>（三）发布出租信息。应当将重大资产出租信息在浙江产权交易所网站和其他专业媒介上发布，广泛征集承租方。资产出租公告期不得少于</w:t>
      </w:r>
      <w:r>
        <w:t>10个工作日，出租公告期自公开发布信息之日起计算。</w:t>
      </w:r>
    </w:p>
    <w:p w14:paraId="1829A677" w14:textId="77777777" w:rsidR="00FA0363" w:rsidRDefault="00FA0363" w:rsidP="00FA0363">
      <w:pPr>
        <w:pStyle w:val="13"/>
      </w:pPr>
      <w:r>
        <w:rPr>
          <w:rFonts w:hint="eastAsia"/>
        </w:rPr>
        <w:t>（四）确定承租方。企业应根据价格优先原则，确定合适的承租方。经公开征集产生两个以上意向承租方时，应通过竞价、招标或拍卖等方式择优选择承租方。</w:t>
      </w:r>
    </w:p>
    <w:p w14:paraId="10E3EA6A" w14:textId="77777777" w:rsidR="00FA0363" w:rsidRDefault="00FA0363" w:rsidP="00FA0363">
      <w:pPr>
        <w:pStyle w:val="13"/>
      </w:pPr>
      <w:r>
        <w:rPr>
          <w:rFonts w:hint="eastAsia"/>
        </w:rPr>
        <w:t>出租合同期限延长以及租金向下调整等合同变更情况应重新签订出租合同，并按照前款要求执行。</w:t>
      </w:r>
    </w:p>
    <w:p w14:paraId="12A4AD6B" w14:textId="4B93957C" w:rsidR="00FA0363" w:rsidRDefault="00E05BDA" w:rsidP="00FA0363">
      <w:pPr>
        <w:pStyle w:val="13"/>
        <w:ind w:firstLine="482"/>
      </w:pPr>
      <w:r w:rsidRPr="00E05BDA">
        <w:rPr>
          <w:rFonts w:hint="eastAsia"/>
          <w:b/>
          <w:bCs/>
        </w:rPr>
        <w:t xml:space="preserve">第十三条 </w:t>
      </w:r>
      <w:r w:rsidR="00FA0363">
        <w:t>省属国有企业重大资产通过其他方式让渡资产使用权的，参照本办法第十一条、第十二条规定执行。</w:t>
      </w:r>
    </w:p>
    <w:p w14:paraId="529D8B3B" w14:textId="604554AD" w:rsidR="00FA0363" w:rsidRDefault="00FA0363" w:rsidP="00AF7342">
      <w:pPr>
        <w:pStyle w:val="a9"/>
        <w:spacing w:before="62" w:after="62"/>
      </w:pPr>
      <w:r>
        <w:rPr>
          <w:rFonts w:hint="eastAsia"/>
        </w:rPr>
        <w:t>第五章</w:t>
      </w:r>
      <w:r w:rsidR="00CC466D">
        <w:rPr>
          <w:rFonts w:hint="eastAsia"/>
        </w:rPr>
        <w:t xml:space="preserve"> </w:t>
      </w:r>
      <w:r>
        <w:t>核准、备案事项</w:t>
      </w:r>
    </w:p>
    <w:p w14:paraId="00F33A78" w14:textId="67252E3F" w:rsidR="00FA0363" w:rsidRDefault="00E05BDA" w:rsidP="00FA0363">
      <w:pPr>
        <w:pStyle w:val="13"/>
        <w:ind w:firstLine="482"/>
      </w:pPr>
      <w:r w:rsidRPr="00E05BDA">
        <w:rPr>
          <w:rFonts w:hint="eastAsia"/>
          <w:b/>
          <w:bCs/>
        </w:rPr>
        <w:t xml:space="preserve">第十四条 </w:t>
      </w:r>
      <w:r w:rsidR="00FA0363">
        <w:t>省国资委对省属国有企业重大资产处置行为实行核准、事先备案及事后备案制。</w:t>
      </w:r>
    </w:p>
    <w:p w14:paraId="0E16AD84" w14:textId="77777777" w:rsidR="00FA0363" w:rsidRDefault="00FA0363" w:rsidP="00FA0363">
      <w:pPr>
        <w:pStyle w:val="13"/>
      </w:pPr>
      <w:r>
        <w:rPr>
          <w:rFonts w:hint="eastAsia"/>
        </w:rPr>
        <w:t>（一）非国有全资企业间的重大资产协议转让实行核准制；</w:t>
      </w:r>
    </w:p>
    <w:p w14:paraId="170B62F8" w14:textId="77777777" w:rsidR="00FA0363" w:rsidRDefault="00FA0363" w:rsidP="00FA0363">
      <w:pPr>
        <w:pStyle w:val="13"/>
      </w:pPr>
      <w:r>
        <w:rPr>
          <w:rFonts w:hint="eastAsia"/>
        </w:rPr>
        <w:t>（二）本办法第四条第一项中的重大资产处置行为实行事先备案制；</w:t>
      </w:r>
    </w:p>
    <w:p w14:paraId="2AE0840C" w14:textId="77777777" w:rsidR="00FA0363" w:rsidRDefault="00FA0363" w:rsidP="00FA0363">
      <w:pPr>
        <w:pStyle w:val="13"/>
      </w:pPr>
      <w:r>
        <w:rPr>
          <w:rFonts w:hint="eastAsia"/>
        </w:rPr>
        <w:t>（三）其他重大资产处置行为实行事后备案制。</w:t>
      </w:r>
    </w:p>
    <w:p w14:paraId="0236882F" w14:textId="7DC45FBD" w:rsidR="00FA0363" w:rsidRDefault="00E05BDA" w:rsidP="00FA0363">
      <w:pPr>
        <w:pStyle w:val="13"/>
        <w:ind w:firstLine="482"/>
      </w:pPr>
      <w:r w:rsidRPr="00E05BDA">
        <w:rPr>
          <w:rFonts w:hint="eastAsia"/>
          <w:b/>
          <w:bCs/>
        </w:rPr>
        <w:t xml:space="preserve">第十五条 </w:t>
      </w:r>
      <w:r w:rsidR="00FA0363">
        <w:t>省属国有企业重大资产处置行为需报省国资委核准或备案的，应同时报送下列材料：</w:t>
      </w:r>
    </w:p>
    <w:p w14:paraId="0113174E" w14:textId="77777777" w:rsidR="00FA0363" w:rsidRDefault="00FA0363" w:rsidP="00FA0363">
      <w:pPr>
        <w:pStyle w:val="13"/>
      </w:pPr>
      <w:r>
        <w:rPr>
          <w:rFonts w:hint="eastAsia"/>
        </w:rPr>
        <w:t>（一）关于重大资产处置行为的请示或备案表；</w:t>
      </w:r>
    </w:p>
    <w:p w14:paraId="5471CB37" w14:textId="77777777" w:rsidR="00FA0363" w:rsidRDefault="00FA0363" w:rsidP="00FA0363">
      <w:pPr>
        <w:pStyle w:val="13"/>
      </w:pPr>
      <w:r>
        <w:rPr>
          <w:rFonts w:hint="eastAsia"/>
        </w:rPr>
        <w:t>（二）企业内部相关决策文件；</w:t>
      </w:r>
    </w:p>
    <w:p w14:paraId="2C8DD4D4" w14:textId="77777777" w:rsidR="00FA0363" w:rsidRDefault="00FA0363" w:rsidP="00FA0363">
      <w:pPr>
        <w:pStyle w:val="13"/>
      </w:pPr>
      <w:r>
        <w:rPr>
          <w:rFonts w:hint="eastAsia"/>
        </w:rPr>
        <w:lastRenderedPageBreak/>
        <w:t>（三）转让资产评估报告；</w:t>
      </w:r>
    </w:p>
    <w:p w14:paraId="582AA1E1" w14:textId="77777777" w:rsidR="00FA0363" w:rsidRDefault="00FA0363" w:rsidP="00FA0363">
      <w:pPr>
        <w:pStyle w:val="13"/>
      </w:pPr>
      <w:r>
        <w:rPr>
          <w:rFonts w:hint="eastAsia"/>
        </w:rPr>
        <w:t>（四）转让标的资产未有他项权利的声明文件；</w:t>
      </w:r>
    </w:p>
    <w:p w14:paraId="76911EE9" w14:textId="77777777" w:rsidR="00FA0363" w:rsidRDefault="00FA0363" w:rsidP="00FA0363">
      <w:pPr>
        <w:pStyle w:val="13"/>
      </w:pPr>
      <w:r>
        <w:rPr>
          <w:rFonts w:hint="eastAsia"/>
        </w:rPr>
        <w:t>（五）转让方案的可行性研究报告；</w:t>
      </w:r>
    </w:p>
    <w:p w14:paraId="385BB93F" w14:textId="77777777" w:rsidR="00FA0363" w:rsidRDefault="00FA0363" w:rsidP="00FA0363">
      <w:pPr>
        <w:pStyle w:val="13"/>
      </w:pPr>
      <w:r>
        <w:rPr>
          <w:rFonts w:hint="eastAsia"/>
        </w:rPr>
        <w:t>（六）省国资委要求的其他材料。</w:t>
      </w:r>
    </w:p>
    <w:p w14:paraId="31DE6F3E" w14:textId="320BBD41" w:rsidR="00FA0363" w:rsidRDefault="00E05BDA" w:rsidP="00FA0363">
      <w:pPr>
        <w:pStyle w:val="13"/>
        <w:ind w:firstLine="482"/>
      </w:pPr>
      <w:r w:rsidRPr="00E05BDA">
        <w:rPr>
          <w:rFonts w:hint="eastAsia"/>
          <w:b/>
          <w:bCs/>
        </w:rPr>
        <w:t xml:space="preserve">第十六条 </w:t>
      </w:r>
      <w:r w:rsidR="00FA0363">
        <w:t>省属国有企业重大资产协议转让行为的核准工作按下列程序进行：</w:t>
      </w:r>
    </w:p>
    <w:p w14:paraId="3D5E70B2" w14:textId="77777777" w:rsidR="00FA0363" w:rsidRDefault="00FA0363" w:rsidP="00FA0363">
      <w:pPr>
        <w:pStyle w:val="13"/>
      </w:pPr>
      <w:r>
        <w:rPr>
          <w:rFonts w:hint="eastAsia"/>
        </w:rPr>
        <w:t>（一）省属国有企业在董事会等有权决策部门决议形成后</w:t>
      </w:r>
      <w:r>
        <w:t>5个工作日及以内，按规定程序报省国资委核准；</w:t>
      </w:r>
    </w:p>
    <w:p w14:paraId="6B1627F7" w14:textId="77777777" w:rsidR="00FA0363" w:rsidRDefault="00FA0363" w:rsidP="00FA0363">
      <w:pPr>
        <w:pStyle w:val="13"/>
      </w:pPr>
      <w:r>
        <w:rPr>
          <w:rFonts w:hint="eastAsia"/>
        </w:rPr>
        <w:t>（二）省国资委收到上报的申请材料后，在</w:t>
      </w:r>
      <w:r>
        <w:t>15个工作日及以内</w:t>
      </w:r>
      <w:proofErr w:type="gramStart"/>
      <w:r>
        <w:t>作出</w:t>
      </w:r>
      <w:proofErr w:type="gramEnd"/>
      <w:r>
        <w:t>是否同意核准的批复；</w:t>
      </w:r>
    </w:p>
    <w:p w14:paraId="4C081DA0" w14:textId="77777777" w:rsidR="00FA0363" w:rsidRDefault="00FA0363" w:rsidP="00FA0363">
      <w:pPr>
        <w:pStyle w:val="13"/>
      </w:pPr>
      <w:r>
        <w:rPr>
          <w:rFonts w:hint="eastAsia"/>
        </w:rPr>
        <w:t>（三）需要补充材料的，省国资委中止核准，由省属国有企业按要求补充材料，补充材料到再次上报的时间不计入核准所需工作时间。</w:t>
      </w:r>
    </w:p>
    <w:p w14:paraId="6E65565E" w14:textId="57733C4D" w:rsidR="00FA0363" w:rsidRDefault="00E05BDA" w:rsidP="00FA0363">
      <w:pPr>
        <w:pStyle w:val="13"/>
        <w:ind w:firstLine="482"/>
      </w:pPr>
      <w:r w:rsidRPr="00E05BDA">
        <w:rPr>
          <w:rFonts w:hint="eastAsia"/>
          <w:b/>
          <w:bCs/>
        </w:rPr>
        <w:t xml:space="preserve">第十七条 </w:t>
      </w:r>
      <w:r w:rsidR="00FA0363">
        <w:t>核准工作主要审核如下内容：</w:t>
      </w:r>
    </w:p>
    <w:p w14:paraId="40AF4CC9" w14:textId="77777777" w:rsidR="00FA0363" w:rsidRDefault="00FA0363" w:rsidP="00FA0363">
      <w:pPr>
        <w:pStyle w:val="13"/>
      </w:pPr>
      <w:r>
        <w:rPr>
          <w:rFonts w:hint="eastAsia"/>
        </w:rPr>
        <w:t>（一）所需资料是否完备；</w:t>
      </w:r>
    </w:p>
    <w:p w14:paraId="20217F95" w14:textId="77777777" w:rsidR="00FA0363" w:rsidRDefault="00FA0363" w:rsidP="00FA0363">
      <w:pPr>
        <w:pStyle w:val="13"/>
      </w:pPr>
      <w:r>
        <w:rPr>
          <w:rFonts w:hint="eastAsia"/>
        </w:rPr>
        <w:t>（二）内部决策程序是否到位；</w:t>
      </w:r>
    </w:p>
    <w:p w14:paraId="40283253" w14:textId="77777777" w:rsidR="00FA0363" w:rsidRDefault="00FA0363" w:rsidP="00FA0363">
      <w:pPr>
        <w:pStyle w:val="13"/>
      </w:pPr>
      <w:r>
        <w:rPr>
          <w:rFonts w:hint="eastAsia"/>
        </w:rPr>
        <w:t>（三）处置方案是否符合企业发展需要；</w:t>
      </w:r>
    </w:p>
    <w:p w14:paraId="611F60A8" w14:textId="77777777" w:rsidR="00FA0363" w:rsidRDefault="00FA0363" w:rsidP="00FA0363">
      <w:pPr>
        <w:pStyle w:val="13"/>
      </w:pPr>
      <w:r>
        <w:rPr>
          <w:rFonts w:hint="eastAsia"/>
        </w:rPr>
        <w:t>（四）评估机构是否具有相应资质，评估报告是否已</w:t>
      </w:r>
      <w:proofErr w:type="gramStart"/>
      <w:r>
        <w:rPr>
          <w:rFonts w:hint="eastAsia"/>
        </w:rPr>
        <w:t>予备</w:t>
      </w:r>
      <w:proofErr w:type="gramEnd"/>
      <w:r>
        <w:rPr>
          <w:rFonts w:hint="eastAsia"/>
        </w:rPr>
        <w:t>案；</w:t>
      </w:r>
    </w:p>
    <w:p w14:paraId="0BCC0A51" w14:textId="77777777" w:rsidR="00FA0363" w:rsidRDefault="00FA0363" w:rsidP="00FA0363">
      <w:pPr>
        <w:pStyle w:val="13"/>
      </w:pPr>
      <w:r>
        <w:rPr>
          <w:rFonts w:hint="eastAsia"/>
        </w:rPr>
        <w:t>（五）其他省国资委要求核准的事项。</w:t>
      </w:r>
    </w:p>
    <w:p w14:paraId="2DB46D84" w14:textId="5B1FB2E7" w:rsidR="00FA0363" w:rsidRDefault="00E05BDA" w:rsidP="00FA0363">
      <w:pPr>
        <w:pStyle w:val="13"/>
        <w:ind w:firstLine="482"/>
      </w:pPr>
      <w:r w:rsidRPr="00E05BDA">
        <w:rPr>
          <w:rFonts w:hint="eastAsia"/>
          <w:b/>
          <w:bCs/>
        </w:rPr>
        <w:t xml:space="preserve">第十八条 </w:t>
      </w:r>
      <w:r w:rsidR="00FA0363">
        <w:t>省属国有企业重大资产处置行为的备案工作按下列程序进行：</w:t>
      </w:r>
    </w:p>
    <w:p w14:paraId="7DDA1B3E" w14:textId="77777777" w:rsidR="00FA0363" w:rsidRDefault="00FA0363" w:rsidP="00FA0363">
      <w:pPr>
        <w:pStyle w:val="13"/>
      </w:pPr>
      <w:r>
        <w:rPr>
          <w:rFonts w:hint="eastAsia"/>
        </w:rPr>
        <w:t>（一）对于事先备案的重大资产处置行为，省属国有企业在董事会等有权决策部门决议形成后</w:t>
      </w:r>
      <w:r>
        <w:t>5日</w:t>
      </w:r>
      <w:proofErr w:type="gramStart"/>
      <w:r>
        <w:t>个</w:t>
      </w:r>
      <w:proofErr w:type="gramEnd"/>
      <w:r>
        <w:t>工作日及以内，报省国资委备案；省国资委在收到上报材料后，在15个工作日及以内明确是否同意备案；</w:t>
      </w:r>
    </w:p>
    <w:p w14:paraId="335425DD" w14:textId="77777777" w:rsidR="00FA0363" w:rsidRDefault="00FA0363" w:rsidP="00FA0363">
      <w:pPr>
        <w:pStyle w:val="13"/>
      </w:pPr>
      <w:r>
        <w:rPr>
          <w:rFonts w:hint="eastAsia"/>
        </w:rPr>
        <w:t>（二）对于事后备案的重大资产处置行为，省属国有企业在处置完成后</w:t>
      </w:r>
      <w:r>
        <w:t>15个工作</w:t>
      </w:r>
      <w:r>
        <w:rPr>
          <w:rFonts w:hint="eastAsia"/>
        </w:rPr>
        <w:t>日及以内，报省国资委备案；省国资委收到上报材料后，在</w:t>
      </w:r>
      <w:r>
        <w:t>5个工作日及以内明确是否</w:t>
      </w:r>
      <w:r>
        <w:rPr>
          <w:rFonts w:hint="eastAsia"/>
        </w:rPr>
        <w:t>同意备案，超过</w:t>
      </w:r>
      <w:r>
        <w:t>5个工作日未提出疑义的视同自动备案；</w:t>
      </w:r>
    </w:p>
    <w:p w14:paraId="3E3D715E" w14:textId="77777777" w:rsidR="00FA0363" w:rsidRDefault="00FA0363" w:rsidP="00FA0363">
      <w:pPr>
        <w:pStyle w:val="13"/>
      </w:pPr>
      <w:r>
        <w:rPr>
          <w:rFonts w:hint="eastAsia"/>
        </w:rPr>
        <w:t>（三）需要补充材料的，省国资委中止备案，由省属国有企业按要求补充材料，补充材料到再次上报的时间不计入备案所需工作时间。</w:t>
      </w:r>
    </w:p>
    <w:p w14:paraId="5632F412" w14:textId="4E006C6E" w:rsidR="00FA0363" w:rsidRDefault="00E05BDA" w:rsidP="00FA0363">
      <w:pPr>
        <w:pStyle w:val="13"/>
        <w:ind w:firstLine="482"/>
      </w:pPr>
      <w:r w:rsidRPr="00E05BDA">
        <w:rPr>
          <w:rFonts w:hint="eastAsia"/>
          <w:b/>
          <w:bCs/>
        </w:rPr>
        <w:t xml:space="preserve">第十九条 </w:t>
      </w:r>
      <w:r w:rsidR="00FA0363">
        <w:rPr>
          <w:rFonts w:hint="eastAsia"/>
        </w:rPr>
        <w:t>备案工作主要审核如下内容：</w:t>
      </w:r>
    </w:p>
    <w:p w14:paraId="7BCA36F8" w14:textId="77777777" w:rsidR="00FA0363" w:rsidRDefault="00FA0363" w:rsidP="00FA0363">
      <w:pPr>
        <w:pStyle w:val="13"/>
      </w:pPr>
      <w:r>
        <w:rPr>
          <w:rFonts w:hint="eastAsia"/>
        </w:rPr>
        <w:t>（一）所需资料是否完备；</w:t>
      </w:r>
    </w:p>
    <w:p w14:paraId="17ABBF88" w14:textId="77777777" w:rsidR="00FA0363" w:rsidRDefault="00FA0363" w:rsidP="00FA0363">
      <w:pPr>
        <w:pStyle w:val="13"/>
      </w:pPr>
      <w:r>
        <w:rPr>
          <w:rFonts w:hint="eastAsia"/>
        </w:rPr>
        <w:t>（二）内部决策程序是否到位；</w:t>
      </w:r>
    </w:p>
    <w:p w14:paraId="32DF8C90" w14:textId="77777777" w:rsidR="00FA0363" w:rsidRDefault="00FA0363" w:rsidP="00FA0363">
      <w:pPr>
        <w:pStyle w:val="13"/>
      </w:pPr>
      <w:r>
        <w:rPr>
          <w:rFonts w:hint="eastAsia"/>
        </w:rPr>
        <w:t>（三）处置方案是否符合企业发展需要；</w:t>
      </w:r>
    </w:p>
    <w:p w14:paraId="45204714" w14:textId="77777777" w:rsidR="00FA0363" w:rsidRDefault="00FA0363" w:rsidP="00FA0363">
      <w:pPr>
        <w:pStyle w:val="13"/>
      </w:pPr>
      <w:r>
        <w:rPr>
          <w:rFonts w:hint="eastAsia"/>
        </w:rPr>
        <w:t>（三）评估机构是否具有相应资质，评估报告是否符合相关要求；</w:t>
      </w:r>
    </w:p>
    <w:p w14:paraId="0253B125" w14:textId="77777777" w:rsidR="00FA0363" w:rsidRDefault="00FA0363" w:rsidP="00FA0363">
      <w:pPr>
        <w:pStyle w:val="13"/>
      </w:pPr>
      <w:r>
        <w:rPr>
          <w:rFonts w:hint="eastAsia"/>
        </w:rPr>
        <w:t>（五）其他省国资委要求备案的事项。</w:t>
      </w:r>
    </w:p>
    <w:p w14:paraId="5FBF9AFA" w14:textId="5ECE6031" w:rsidR="00FA0363" w:rsidRDefault="00FA0363" w:rsidP="00AF7342">
      <w:pPr>
        <w:pStyle w:val="a9"/>
        <w:spacing w:before="62" w:after="62"/>
      </w:pPr>
      <w:r>
        <w:rPr>
          <w:rFonts w:hint="eastAsia"/>
        </w:rPr>
        <w:t>第六章</w:t>
      </w:r>
      <w:r w:rsidR="00CC466D">
        <w:rPr>
          <w:rFonts w:hint="eastAsia"/>
        </w:rPr>
        <w:t xml:space="preserve"> </w:t>
      </w:r>
      <w:r>
        <w:t>监督检查</w:t>
      </w:r>
    </w:p>
    <w:p w14:paraId="54A94E0D" w14:textId="5AC7B7E9" w:rsidR="00FA0363" w:rsidRDefault="00E05BDA" w:rsidP="00FA0363">
      <w:pPr>
        <w:pStyle w:val="13"/>
        <w:ind w:firstLine="482"/>
      </w:pPr>
      <w:r w:rsidRPr="00E05BDA">
        <w:rPr>
          <w:rFonts w:hint="eastAsia"/>
          <w:b/>
          <w:bCs/>
        </w:rPr>
        <w:t xml:space="preserve">第二十条 </w:t>
      </w:r>
      <w:r w:rsidR="00FA0363">
        <w:t>省国资委对省属国有企业重大资产处置工作进行监督检查，对浙江产</w:t>
      </w:r>
      <w:r w:rsidR="00FA0363">
        <w:lastRenderedPageBreak/>
        <w:t>权交易所有关资产处置的制度建立、系统建设、流程设计、交易行为、重大问题报告等进行指导监督。</w:t>
      </w:r>
    </w:p>
    <w:p w14:paraId="7E242269" w14:textId="375B769F" w:rsidR="00FA0363" w:rsidRDefault="00E05BDA" w:rsidP="00FA0363">
      <w:pPr>
        <w:pStyle w:val="13"/>
        <w:ind w:firstLine="482"/>
      </w:pPr>
      <w:r w:rsidRPr="00E05BDA">
        <w:rPr>
          <w:rFonts w:hint="eastAsia"/>
          <w:b/>
          <w:bCs/>
        </w:rPr>
        <w:t xml:space="preserve">第二十一条 </w:t>
      </w:r>
      <w:r w:rsidR="00FA0363">
        <w:t>省属国有企业本级应建立相应的资产管理制度，规范资产处置行为，</w:t>
      </w:r>
      <w:r w:rsidR="00FA0363">
        <w:rPr>
          <w:rFonts w:hint="eastAsia"/>
        </w:rPr>
        <w:t>对所属各级企业资产处置工作进行监督检查。</w:t>
      </w:r>
    </w:p>
    <w:p w14:paraId="4B49003E" w14:textId="64905938" w:rsidR="00FA0363" w:rsidRDefault="00E05BDA" w:rsidP="00FA0363">
      <w:pPr>
        <w:pStyle w:val="13"/>
        <w:ind w:firstLine="482"/>
      </w:pPr>
      <w:r w:rsidRPr="00E05BDA">
        <w:rPr>
          <w:rFonts w:hint="eastAsia"/>
          <w:b/>
          <w:bCs/>
        </w:rPr>
        <w:t xml:space="preserve">第二十二条 </w:t>
      </w:r>
      <w:r w:rsidR="00FA0363">
        <w:t>省属国有企业本级应将上年度各级企业的重大资产处置情况纳入每年的国有产权转让专项检查报告中，并上报省国资委。</w:t>
      </w:r>
    </w:p>
    <w:p w14:paraId="4A9B2C28" w14:textId="77BE2D92" w:rsidR="00FA0363" w:rsidRDefault="00E05BDA" w:rsidP="00FA0363">
      <w:pPr>
        <w:pStyle w:val="13"/>
        <w:ind w:firstLine="482"/>
      </w:pPr>
      <w:r w:rsidRPr="00E05BDA">
        <w:rPr>
          <w:rFonts w:hint="eastAsia"/>
          <w:b/>
          <w:bCs/>
        </w:rPr>
        <w:t xml:space="preserve">第二十三条 </w:t>
      </w:r>
      <w:r w:rsidR="00FA0363">
        <w:t>浙江产权交易所应将每月挂牌的国有重大资产处置情况上报省国资委。</w:t>
      </w:r>
    </w:p>
    <w:p w14:paraId="3DF9C802" w14:textId="1DD339D3" w:rsidR="00FA0363" w:rsidRDefault="00E05BDA" w:rsidP="00FA0363">
      <w:pPr>
        <w:pStyle w:val="13"/>
        <w:ind w:firstLine="482"/>
      </w:pPr>
      <w:r w:rsidRPr="00E05BDA">
        <w:rPr>
          <w:b/>
          <w:bCs/>
        </w:rPr>
        <w:t xml:space="preserve">第二十四条 </w:t>
      </w:r>
      <w:r w:rsidR="00FA0363">
        <w:t>省属国有企业本级是资产处置行为的责任主体，对所提交的材料的真</w:t>
      </w:r>
      <w:r w:rsidR="00FA0363">
        <w:rPr>
          <w:rFonts w:hint="eastAsia"/>
        </w:rPr>
        <w:t>实性、完整性负责；各中介机构按照业务委托约定书的要求，履行其权利、义务和责任。</w:t>
      </w:r>
    </w:p>
    <w:p w14:paraId="327AC786" w14:textId="059E2E69" w:rsidR="00FA0363" w:rsidRDefault="00E05BDA" w:rsidP="00FA0363">
      <w:pPr>
        <w:pStyle w:val="13"/>
        <w:ind w:firstLine="482"/>
      </w:pPr>
      <w:r w:rsidRPr="00E05BDA">
        <w:rPr>
          <w:rFonts w:hint="eastAsia"/>
          <w:b/>
          <w:bCs/>
        </w:rPr>
        <w:t xml:space="preserve">第二十五条 </w:t>
      </w:r>
      <w:r w:rsidR="00FA0363">
        <w:t>省属国有企业违反本办法规定进行资产处置的，省国资委责令其纠正，</w:t>
      </w:r>
      <w:r w:rsidR="00FA0363">
        <w:rPr>
          <w:rFonts w:hint="eastAsia"/>
        </w:rPr>
        <w:t>并予以通报批评；情节严重、致使企业遭受重大损失的，依照有关规定追究企业相关人员的责任。</w:t>
      </w:r>
    </w:p>
    <w:p w14:paraId="2B452E81" w14:textId="2E4D0E7F" w:rsidR="00FA0363" w:rsidRDefault="00FA0363" w:rsidP="00AF7342">
      <w:pPr>
        <w:pStyle w:val="a9"/>
        <w:spacing w:before="62" w:after="62"/>
      </w:pPr>
      <w:r>
        <w:rPr>
          <w:rFonts w:hint="eastAsia"/>
        </w:rPr>
        <w:t>第七章</w:t>
      </w:r>
      <w:r w:rsidR="00CC466D">
        <w:rPr>
          <w:rFonts w:hint="eastAsia"/>
        </w:rPr>
        <w:t xml:space="preserve"> </w:t>
      </w:r>
      <w:r>
        <w:t>附则</w:t>
      </w:r>
    </w:p>
    <w:p w14:paraId="1815E800" w14:textId="41D55419" w:rsidR="00FA0363" w:rsidRDefault="00E05BDA" w:rsidP="00FA0363">
      <w:pPr>
        <w:pStyle w:val="13"/>
        <w:ind w:firstLine="482"/>
      </w:pPr>
      <w:r w:rsidRPr="00E05BDA">
        <w:rPr>
          <w:rFonts w:hint="eastAsia"/>
          <w:b/>
          <w:bCs/>
        </w:rPr>
        <w:t xml:space="preserve">第二十六条 </w:t>
      </w:r>
      <w:r w:rsidR="00FA0363">
        <w:t>本办法未涉及事项，按国家和省相关规定执行。</w:t>
      </w:r>
    </w:p>
    <w:p w14:paraId="1B721960" w14:textId="7DD4896F" w:rsidR="00FA0363" w:rsidRDefault="00E05BDA" w:rsidP="00FA0363">
      <w:pPr>
        <w:pStyle w:val="13"/>
        <w:ind w:firstLine="482"/>
      </w:pPr>
      <w:r w:rsidRPr="00E05BDA">
        <w:rPr>
          <w:rFonts w:hint="eastAsia"/>
          <w:b/>
          <w:bCs/>
        </w:rPr>
        <w:t xml:space="preserve">第二十七条 </w:t>
      </w:r>
      <w:r w:rsidR="00FA0363">
        <w:t>各市、县（市、区）国资监管机构可参照本办法，制定所出资企业重大资产处置监管的具体办法。</w:t>
      </w:r>
    </w:p>
    <w:p w14:paraId="03443565" w14:textId="503680FB" w:rsidR="00FA0363" w:rsidRDefault="00E05BDA" w:rsidP="00FA0363">
      <w:pPr>
        <w:pStyle w:val="13"/>
        <w:ind w:firstLine="482"/>
      </w:pPr>
      <w:r w:rsidRPr="00E05BDA">
        <w:rPr>
          <w:rFonts w:hint="eastAsia"/>
          <w:b/>
          <w:bCs/>
        </w:rPr>
        <w:t xml:space="preserve">第二十八条 </w:t>
      </w:r>
      <w:r w:rsidR="00FA0363">
        <w:t>本办法由省国资委负责解释。</w:t>
      </w:r>
    </w:p>
    <w:p w14:paraId="6AC11C09" w14:textId="65C63929" w:rsidR="00FA0363" w:rsidRDefault="00E05BDA" w:rsidP="00FA0363">
      <w:pPr>
        <w:pStyle w:val="13"/>
        <w:ind w:firstLine="482"/>
      </w:pPr>
      <w:r w:rsidRPr="00E05BDA">
        <w:rPr>
          <w:rFonts w:hint="eastAsia"/>
          <w:b/>
          <w:bCs/>
        </w:rPr>
        <w:t xml:space="preserve">第二十九条 </w:t>
      </w:r>
      <w:r w:rsidR="00FA0363">
        <w:t>本办法自发布之日起30日后施行。</w:t>
      </w:r>
    </w:p>
    <w:p w14:paraId="4D89CD87" w14:textId="77777777" w:rsidR="009A21AF" w:rsidRDefault="009A21AF" w:rsidP="009A21AF">
      <w:pPr>
        <w:pStyle w:val="31"/>
        <w:spacing w:before="156" w:after="62"/>
      </w:pPr>
      <w:bookmarkStart w:id="267" w:name="_Toc81833500"/>
      <w:r>
        <w:rPr>
          <w:rFonts w:hint="eastAsia"/>
        </w:rPr>
        <w:t>《浙江省国资委关于规范省属企业上市工作中介机构选择与管理的意见》</w:t>
      </w:r>
      <w:r>
        <w:br w:type="textWrapping" w:clear="all"/>
      </w:r>
      <w:r>
        <w:rPr>
          <w:rFonts w:hint="eastAsia"/>
        </w:rPr>
        <w:t>（</w:t>
      </w:r>
      <w:proofErr w:type="gramStart"/>
      <w:r>
        <w:rPr>
          <w:rFonts w:hint="eastAsia"/>
        </w:rPr>
        <w:t>浙国资</w:t>
      </w:r>
      <w:proofErr w:type="gramEnd"/>
      <w:r>
        <w:rPr>
          <w:rFonts w:hint="eastAsia"/>
        </w:rPr>
        <w:t>发（</w:t>
      </w:r>
      <w:r>
        <w:t>2016）8号）</w:t>
      </w:r>
      <w:bookmarkEnd w:id="267"/>
    </w:p>
    <w:p w14:paraId="3A9E8D82" w14:textId="77777777" w:rsidR="009A21AF" w:rsidRDefault="009A21AF" w:rsidP="009A21AF">
      <w:pPr>
        <w:pStyle w:val="13"/>
        <w:ind w:firstLineChars="0" w:firstLine="0"/>
      </w:pPr>
      <w:r>
        <w:rPr>
          <w:rFonts w:hint="eastAsia"/>
        </w:rPr>
        <w:t>各省属企业、委直属各单位：</w:t>
      </w:r>
    </w:p>
    <w:p w14:paraId="6FA7896B" w14:textId="77777777" w:rsidR="009A21AF" w:rsidRDefault="009A21AF" w:rsidP="009A21AF">
      <w:pPr>
        <w:pStyle w:val="13"/>
      </w:pPr>
      <w:r>
        <w:rPr>
          <w:rFonts w:hint="eastAsia"/>
        </w:rPr>
        <w:t>加快推进省属国有资产证券化，利用资本市场上市融资发展壮大省属企业，是落实省委、省政府决策部署，深化国资国企改革发展的一项重要工作。企业上市工作系统性强、专业性要求高，按照《公司法》、《证券法》等有关法律规定，需选择有业务资质的中介机构提供专业服务。企业上市能否成功、进程快慢，与中介机构的专业能力和服务质量密切相关。近年来，省属企业在推进上市工作中，对中介机构选择与管理总体较好，但也存在程序不规范、质量参差不齐、管理考核不严格等问题。为规范省属企业上市工作中介机构选择与管理，提高中介机构服务质量，加快推进省属企业资产证券化工作，</w:t>
      </w:r>
      <w:r>
        <w:t>经省国资委主任办公会议审议同意，现就有关事项提出如下意见：</w:t>
      </w:r>
    </w:p>
    <w:p w14:paraId="094FBBDF" w14:textId="77777777" w:rsidR="009A21AF" w:rsidRDefault="009A21AF" w:rsidP="009A21AF">
      <w:pPr>
        <w:pStyle w:val="13"/>
        <w:ind w:firstLine="482"/>
      </w:pPr>
      <w:r w:rsidRPr="00A513DC">
        <w:rPr>
          <w:rFonts w:hint="eastAsia"/>
          <w:b/>
          <w:bCs/>
        </w:rPr>
        <w:t>一、</w:t>
      </w:r>
      <w:r>
        <w:rPr>
          <w:rFonts w:hint="eastAsia"/>
        </w:rPr>
        <w:t>本意见所称省属企业，是指省政府授权省国资委履行出资人职责的国有及国有控股企业、固有实际控制企业（以下简称省属企业本级）及其所属各级全资、控股</w:t>
      </w:r>
      <w:r>
        <w:rPr>
          <w:rFonts w:hint="eastAsia"/>
        </w:rPr>
        <w:lastRenderedPageBreak/>
        <w:t>及实际控制企业。</w:t>
      </w:r>
    </w:p>
    <w:p w14:paraId="52E70000" w14:textId="77777777" w:rsidR="009A21AF" w:rsidRPr="00D251CA" w:rsidRDefault="009A21AF" w:rsidP="009A21AF">
      <w:pPr>
        <w:pStyle w:val="13"/>
        <w:ind w:firstLine="482"/>
      </w:pPr>
      <w:r w:rsidRPr="00A513DC">
        <w:rPr>
          <w:rFonts w:hint="eastAsia"/>
          <w:b/>
          <w:bCs/>
        </w:rPr>
        <w:t>二、</w:t>
      </w:r>
      <w:r>
        <w:rPr>
          <w:rFonts w:hint="eastAsia"/>
        </w:rPr>
        <w:t>本意见所称上市工作，是指为上市（含新三板）而进行的改制重组，首次公开发</w:t>
      </w:r>
      <w:r w:rsidRPr="00D251CA">
        <w:rPr>
          <w:rFonts w:hint="eastAsia"/>
        </w:rPr>
        <w:t>行股票及上市，上市公司发行证券、收购、重大资产重组及股份回购、实行股权激励计划，境内企业直接或间接到境外发行证券、将证券在境外上市交易，直接或间接收购上市公司或吸收合并上市公司，发行债券等资产证券化工作。</w:t>
      </w:r>
    </w:p>
    <w:p w14:paraId="02F7DD5D" w14:textId="77777777" w:rsidR="009A21AF" w:rsidRPr="00D251CA" w:rsidRDefault="009A21AF" w:rsidP="009A21AF">
      <w:pPr>
        <w:pStyle w:val="13"/>
      </w:pPr>
      <w:r w:rsidRPr="00D251CA">
        <w:rPr>
          <w:rFonts w:hint="eastAsia"/>
        </w:rPr>
        <w:t>三、本意见所称中介机构，是指上市工作涉及的保荐机构及财务顾问机构、律师事务所、会计师事务所、资产评估机构、税务师事务所等证券服务机构。</w:t>
      </w:r>
    </w:p>
    <w:p w14:paraId="79F3F8B2" w14:textId="77777777" w:rsidR="009A21AF" w:rsidRPr="00D251CA" w:rsidRDefault="009A21AF" w:rsidP="009A21AF">
      <w:pPr>
        <w:pStyle w:val="13"/>
      </w:pPr>
      <w:r w:rsidRPr="00D251CA">
        <w:rPr>
          <w:rFonts w:hint="eastAsia"/>
        </w:rPr>
        <w:t>四、省属企业本级是本集团上市工作中介机构选择与管理的责任主体，应指定具体部门负责日常管理工作。按照确保质量、强化监管、公开竞争、权责对等原则，对照企业上市工作各阶段目标任务，制定中介机构选择与管理方案，明确中介机构的条件、选择方法和程序、招标信息发布形式、投标书内容、考核评价以及管理措施等。</w:t>
      </w:r>
    </w:p>
    <w:p w14:paraId="1F98C28C" w14:textId="77777777" w:rsidR="009A21AF" w:rsidRPr="00D251CA" w:rsidRDefault="009A21AF" w:rsidP="009A21AF">
      <w:pPr>
        <w:pStyle w:val="13"/>
      </w:pPr>
      <w:r w:rsidRPr="00D251CA">
        <w:rPr>
          <w:rFonts w:hint="eastAsia"/>
        </w:rPr>
        <w:t>五、上市工作中介机构的选择，原则上通过公开招投标方式进行。审计和资产评估中介机构，应在省国资委公布的中介机构库内公开选择确定。招标文件等信息，通过浙江产权交易所和其他适当的平台对外发布。采取邀请招标、竞争性谈判、询价比选等方式的，原则上应邀请至少</w:t>
      </w:r>
      <w:r w:rsidRPr="00D251CA">
        <w:t>3家单位进行比选。</w:t>
      </w:r>
    </w:p>
    <w:p w14:paraId="426C4568" w14:textId="77777777" w:rsidR="009A21AF" w:rsidRPr="00D251CA" w:rsidRDefault="009A21AF" w:rsidP="009A21AF">
      <w:pPr>
        <w:pStyle w:val="13"/>
      </w:pPr>
      <w:r w:rsidRPr="00D251CA">
        <w:rPr>
          <w:rFonts w:hint="eastAsia"/>
        </w:rPr>
        <w:t>六、对于同一业务事项的后续服务或有密切关联的业务项目，在对原中介机构考核满意的情况下，可简化程序继续委托原中介机构提供服务。</w:t>
      </w:r>
    </w:p>
    <w:p w14:paraId="4EAF8ABC" w14:textId="77777777" w:rsidR="009A21AF" w:rsidRPr="00D251CA" w:rsidRDefault="009A21AF" w:rsidP="009A21AF">
      <w:pPr>
        <w:pStyle w:val="13"/>
      </w:pPr>
      <w:r w:rsidRPr="00D251CA">
        <w:rPr>
          <w:rFonts w:hint="eastAsia"/>
        </w:rPr>
        <w:t>七、省属企业本级负责组织对应聘中介机构的评选，评选内容包括服务费用、机构信誉、工作方案、项目团队力量、服务经验、质量保障等，综合考虑各方面因素确定评选结果。评选结果应经省属企业本级董事会审议，并在</w:t>
      </w:r>
      <w:r w:rsidRPr="00D251CA">
        <w:t>10个工作日内将选择结果、工作方案和企业内部决策文件报省国资委备案。</w:t>
      </w:r>
    </w:p>
    <w:p w14:paraId="3F6A33FA" w14:textId="77777777" w:rsidR="009A21AF" w:rsidRPr="00D251CA" w:rsidRDefault="009A21AF" w:rsidP="009A21AF">
      <w:pPr>
        <w:pStyle w:val="13"/>
      </w:pPr>
      <w:r w:rsidRPr="00D251CA">
        <w:rPr>
          <w:rFonts w:hint="eastAsia"/>
        </w:rPr>
        <w:t>八、中介机构选定后，由项目单位与中介机构签订业务约定书，明确工作范围和要求、时间节点、人员配备、工作质量、工作进度、考核要求、收费标准及违约责任等主要内容。</w:t>
      </w:r>
    </w:p>
    <w:p w14:paraId="6858C3F3" w14:textId="77777777" w:rsidR="009A21AF" w:rsidRPr="00D251CA" w:rsidRDefault="009A21AF" w:rsidP="009A21AF">
      <w:pPr>
        <w:pStyle w:val="13"/>
      </w:pPr>
      <w:r w:rsidRPr="00D251CA">
        <w:rPr>
          <w:rFonts w:hint="eastAsia"/>
        </w:rPr>
        <w:t>九、省属企业要确保中介机构依法公正独立开展业务活动，对其工作能力、工作质量、工作进度、履约情况、服务态度、工作成效和职业操守等执业情况进行考核评价，</w:t>
      </w:r>
      <w:r w:rsidRPr="00D251CA">
        <w:t>考核结果与收费标准挂钩。省属企业要在项目完成后2个月内，完成对中介机构的考核评价，并将结果报省国资委备案。</w:t>
      </w:r>
    </w:p>
    <w:p w14:paraId="30624215" w14:textId="77777777" w:rsidR="009A21AF" w:rsidRPr="00D251CA" w:rsidRDefault="009A21AF" w:rsidP="009A21AF">
      <w:pPr>
        <w:pStyle w:val="13"/>
      </w:pPr>
      <w:r w:rsidRPr="00D251CA">
        <w:rPr>
          <w:rFonts w:hint="eastAsia"/>
        </w:rPr>
        <w:t>十、省国资委每年对省属企业上市工作中介机构执业情况进行综合汇总评价，建立中介机构执业情况信息库，指导省属企业选择上市工作中介机构。</w:t>
      </w:r>
    </w:p>
    <w:p w14:paraId="448DDC52" w14:textId="77777777" w:rsidR="009A21AF" w:rsidRPr="00D251CA" w:rsidRDefault="009A21AF" w:rsidP="009A21AF">
      <w:pPr>
        <w:pStyle w:val="13"/>
      </w:pPr>
      <w:r w:rsidRPr="00D251CA">
        <w:rPr>
          <w:rFonts w:hint="eastAsia"/>
        </w:rPr>
        <w:t>十一、省属企业发现中介机构存在以下行为之一的，要及时停止其业务工作开展并报告省国资委，省国资委可要求省属企业不得再委托其开展相关业务；情节严重的，省国资委可将有关情况通报其行业主管部门，建议给予其相应处罚：</w:t>
      </w:r>
    </w:p>
    <w:p w14:paraId="114A1494" w14:textId="77777777" w:rsidR="009A21AF" w:rsidRPr="00D251CA" w:rsidRDefault="009A21AF" w:rsidP="009A21AF">
      <w:pPr>
        <w:pStyle w:val="13"/>
      </w:pPr>
      <w:r w:rsidRPr="00D251CA">
        <w:rPr>
          <w:rFonts w:hint="eastAsia"/>
        </w:rPr>
        <w:t>（一）在投标中有弄虚作假、恶意串通、将中标业务转包或分包、中标后不履行</w:t>
      </w:r>
      <w:r w:rsidRPr="00D251CA">
        <w:rPr>
          <w:rFonts w:hint="eastAsia"/>
        </w:rPr>
        <w:lastRenderedPageBreak/>
        <w:t>投标承诺或</w:t>
      </w:r>
      <w:proofErr w:type="gramStart"/>
      <w:r w:rsidRPr="00D251CA">
        <w:rPr>
          <w:rFonts w:hint="eastAsia"/>
        </w:rPr>
        <w:t>无故弃标等</w:t>
      </w:r>
      <w:proofErr w:type="gramEnd"/>
      <w:r w:rsidRPr="00D251CA">
        <w:rPr>
          <w:rFonts w:hint="eastAsia"/>
        </w:rPr>
        <w:t>行为；</w:t>
      </w:r>
    </w:p>
    <w:p w14:paraId="62041C9F" w14:textId="77777777" w:rsidR="009A21AF" w:rsidRPr="00D251CA" w:rsidRDefault="009A21AF" w:rsidP="009A21AF">
      <w:pPr>
        <w:pStyle w:val="13"/>
      </w:pPr>
      <w:r w:rsidRPr="00D251CA">
        <w:rPr>
          <w:rFonts w:hint="eastAsia"/>
        </w:rPr>
        <w:t>（二）在执业中存在过失，</w:t>
      </w:r>
      <w:proofErr w:type="gramStart"/>
      <w:r w:rsidRPr="00D251CA">
        <w:rPr>
          <w:rFonts w:hint="eastAsia"/>
        </w:rPr>
        <w:t>致使尽调结果</w:t>
      </w:r>
      <w:proofErr w:type="gramEnd"/>
      <w:r w:rsidRPr="00D251CA">
        <w:rPr>
          <w:rFonts w:hint="eastAsia"/>
        </w:rPr>
        <w:t>、文本等严重失实；</w:t>
      </w:r>
    </w:p>
    <w:p w14:paraId="52CAFC11" w14:textId="77777777" w:rsidR="009A21AF" w:rsidRPr="00D251CA" w:rsidRDefault="009A21AF" w:rsidP="009A21AF">
      <w:pPr>
        <w:pStyle w:val="13"/>
      </w:pPr>
      <w:r w:rsidRPr="00D251CA">
        <w:rPr>
          <w:rFonts w:hint="eastAsia"/>
        </w:rPr>
        <w:t>（三）出具文件、报告存在重大质量问题；（四）泄露企业商业秘密；</w:t>
      </w:r>
    </w:p>
    <w:p w14:paraId="5034FF20" w14:textId="77777777" w:rsidR="009A21AF" w:rsidRPr="00D251CA" w:rsidRDefault="009A21AF" w:rsidP="009A21AF">
      <w:pPr>
        <w:pStyle w:val="13"/>
      </w:pPr>
      <w:r w:rsidRPr="00D251CA">
        <w:rPr>
          <w:rFonts w:hint="eastAsia"/>
        </w:rPr>
        <w:t>（五）因工作过失造成项目单位或省属企业重大损失；</w:t>
      </w:r>
    </w:p>
    <w:p w14:paraId="1C2C5E7F" w14:textId="77777777" w:rsidR="009A21AF" w:rsidRPr="00D251CA" w:rsidRDefault="009A21AF" w:rsidP="009A21AF">
      <w:pPr>
        <w:pStyle w:val="13"/>
      </w:pPr>
      <w:r w:rsidRPr="00D251CA">
        <w:rPr>
          <w:rFonts w:hint="eastAsia"/>
        </w:rPr>
        <w:t>（六）对监督抽查不予配合、考核不合格；</w:t>
      </w:r>
    </w:p>
    <w:p w14:paraId="6D31E8E1" w14:textId="77777777" w:rsidR="009A21AF" w:rsidRPr="00D251CA" w:rsidRDefault="009A21AF" w:rsidP="009A21AF">
      <w:pPr>
        <w:pStyle w:val="13"/>
      </w:pPr>
      <w:r w:rsidRPr="00D251CA">
        <w:rPr>
          <w:rFonts w:hint="eastAsia"/>
        </w:rPr>
        <w:t>（七）其他严重影响上市工作的行为。</w:t>
      </w:r>
    </w:p>
    <w:p w14:paraId="2EBFE92A" w14:textId="77777777" w:rsidR="009A21AF" w:rsidRPr="00D251CA" w:rsidRDefault="009A21AF" w:rsidP="009A21AF">
      <w:pPr>
        <w:pStyle w:val="13"/>
      </w:pPr>
      <w:r w:rsidRPr="00D251CA">
        <w:rPr>
          <w:rFonts w:hint="eastAsia"/>
        </w:rPr>
        <w:t>十二、省属企业有以下行为之一的，由省国资委责令改正并通报批评：</w:t>
      </w:r>
    </w:p>
    <w:p w14:paraId="1360B99E" w14:textId="77777777" w:rsidR="009A21AF" w:rsidRPr="00D251CA" w:rsidRDefault="009A21AF" w:rsidP="009A21AF">
      <w:pPr>
        <w:pStyle w:val="13"/>
      </w:pPr>
      <w:r w:rsidRPr="00D251CA">
        <w:rPr>
          <w:rFonts w:hint="eastAsia"/>
        </w:rPr>
        <w:t>（一）未按有关规定选择中介机构；</w:t>
      </w:r>
    </w:p>
    <w:p w14:paraId="00BD8F36" w14:textId="77777777" w:rsidR="009A21AF" w:rsidRPr="00D251CA" w:rsidRDefault="009A21AF" w:rsidP="009A21AF">
      <w:pPr>
        <w:pStyle w:val="13"/>
      </w:pPr>
      <w:r w:rsidRPr="00D251CA">
        <w:rPr>
          <w:rFonts w:hint="eastAsia"/>
        </w:rPr>
        <w:t>（二）在选择中介机构过程</w:t>
      </w:r>
      <w:proofErr w:type="gramStart"/>
      <w:r w:rsidRPr="00D251CA">
        <w:rPr>
          <w:rFonts w:hint="eastAsia"/>
        </w:rPr>
        <w:t>中衔私舞弊</w:t>
      </w:r>
      <w:proofErr w:type="gramEnd"/>
      <w:r w:rsidRPr="00D251CA">
        <w:rPr>
          <w:rFonts w:hint="eastAsia"/>
        </w:rPr>
        <w:t>、串通中介机构弄虚作假；</w:t>
      </w:r>
    </w:p>
    <w:p w14:paraId="032BAF90" w14:textId="77777777" w:rsidR="009A21AF" w:rsidRPr="00D251CA" w:rsidRDefault="009A21AF" w:rsidP="009A21AF">
      <w:pPr>
        <w:pStyle w:val="13"/>
      </w:pPr>
      <w:r w:rsidRPr="00D251CA">
        <w:rPr>
          <w:rFonts w:hint="eastAsia"/>
        </w:rPr>
        <w:t>（三）未按有关规定配合中介机构开展业务工作，导致工作进度受到严重影响或带来不良影响；</w:t>
      </w:r>
    </w:p>
    <w:p w14:paraId="3DFAC97B" w14:textId="77777777" w:rsidR="009A21AF" w:rsidRPr="00D251CA" w:rsidRDefault="009A21AF" w:rsidP="009A21AF">
      <w:pPr>
        <w:pStyle w:val="13"/>
      </w:pPr>
      <w:r w:rsidRPr="00D251CA">
        <w:rPr>
          <w:rFonts w:hint="eastAsia"/>
        </w:rPr>
        <w:t>（四）向中介机构提供虚假情况和资料；</w:t>
      </w:r>
    </w:p>
    <w:p w14:paraId="5910526D" w14:textId="77777777" w:rsidR="009A21AF" w:rsidRPr="00D251CA" w:rsidRDefault="009A21AF" w:rsidP="009A21AF">
      <w:pPr>
        <w:pStyle w:val="13"/>
      </w:pPr>
      <w:r w:rsidRPr="00D251CA">
        <w:rPr>
          <w:rFonts w:hint="eastAsia"/>
        </w:rPr>
        <w:t>（五）与中介机构串通舞弊，导致结果失实；</w:t>
      </w:r>
    </w:p>
    <w:p w14:paraId="62370FEA" w14:textId="77777777" w:rsidR="009A21AF" w:rsidRPr="00D251CA" w:rsidRDefault="009A21AF" w:rsidP="009A21AF">
      <w:pPr>
        <w:pStyle w:val="13"/>
      </w:pPr>
      <w:r w:rsidRPr="00D251CA">
        <w:rPr>
          <w:rFonts w:hint="eastAsia"/>
        </w:rPr>
        <w:t>（六）干预中介机构独立执业；</w:t>
      </w:r>
    </w:p>
    <w:p w14:paraId="756A688F" w14:textId="77777777" w:rsidR="009A21AF" w:rsidRPr="00D251CA" w:rsidRDefault="009A21AF" w:rsidP="009A21AF">
      <w:pPr>
        <w:pStyle w:val="13"/>
      </w:pPr>
      <w:r w:rsidRPr="00D251CA">
        <w:rPr>
          <w:rFonts w:hint="eastAsia"/>
        </w:rPr>
        <w:t>（七）接受中介机构可能影响公正结果的宴请和财物；</w:t>
      </w:r>
    </w:p>
    <w:p w14:paraId="0E3A2D03" w14:textId="77777777" w:rsidR="009A21AF" w:rsidRPr="00D251CA" w:rsidRDefault="009A21AF" w:rsidP="009A21AF">
      <w:pPr>
        <w:pStyle w:val="13"/>
      </w:pPr>
      <w:r w:rsidRPr="00D251CA">
        <w:rPr>
          <w:rFonts w:hint="eastAsia"/>
        </w:rPr>
        <w:t>（八）其他省国资委认为需要纠正的行为。</w:t>
      </w:r>
    </w:p>
    <w:p w14:paraId="68DD97B1" w14:textId="77777777" w:rsidR="009A21AF" w:rsidRPr="00D251CA" w:rsidRDefault="009A21AF" w:rsidP="009A21AF">
      <w:pPr>
        <w:pStyle w:val="13"/>
      </w:pPr>
      <w:r w:rsidRPr="00D251CA">
        <w:rPr>
          <w:rFonts w:hint="eastAsia"/>
        </w:rPr>
        <w:t>有上述情形并致使省属企业国有资产、权益受到损失的，依据《浙江省省属企业经营技资资产损失责任追究暂行办法》追究责任；涉嫌犯罪的，移送司法机关依法处理。</w:t>
      </w:r>
    </w:p>
    <w:p w14:paraId="181145B5" w14:textId="77777777" w:rsidR="009A21AF" w:rsidRPr="00D251CA" w:rsidRDefault="009A21AF" w:rsidP="009A21AF">
      <w:pPr>
        <w:pStyle w:val="13"/>
      </w:pPr>
      <w:r w:rsidRPr="00D251CA">
        <w:rPr>
          <w:rFonts w:hint="eastAsia"/>
        </w:rPr>
        <w:t>十三、根据有关规定，由省国资委公开选择的审计、资产评估机构，仍按现行规定执行。省属企业对其执业质量考核评价结果，纳入省国资委中介机构质量和诚信档案。</w:t>
      </w:r>
    </w:p>
    <w:p w14:paraId="69ABF383" w14:textId="77777777" w:rsidR="009A21AF" w:rsidRPr="00D251CA" w:rsidRDefault="009A21AF" w:rsidP="009A21AF">
      <w:pPr>
        <w:pStyle w:val="13"/>
      </w:pPr>
      <w:r w:rsidRPr="00D251CA">
        <w:rPr>
          <w:rFonts w:hint="eastAsia"/>
        </w:rPr>
        <w:t>十四、投资咨询机构、资信评级机构、财经顾问（公关）公司等中介机构的选择与管理，可参照本意见执行。</w:t>
      </w:r>
    </w:p>
    <w:p w14:paraId="04A9E2BA" w14:textId="77777777" w:rsidR="009A21AF" w:rsidRDefault="009A21AF" w:rsidP="009A21AF">
      <w:pPr>
        <w:pStyle w:val="13"/>
        <w:ind w:firstLineChars="0"/>
      </w:pPr>
      <w:r w:rsidRPr="00D251CA">
        <w:rPr>
          <w:rFonts w:hint="eastAsia"/>
        </w:rPr>
        <w:t>十五、</w:t>
      </w:r>
      <w:proofErr w:type="gramStart"/>
      <w:r w:rsidRPr="00D251CA">
        <w:rPr>
          <w:rFonts w:hint="eastAsia"/>
        </w:rPr>
        <w:t>本意见自</w:t>
      </w:r>
      <w:r w:rsidRPr="00D251CA">
        <w:t>2017年2月1日起</w:t>
      </w:r>
      <w:proofErr w:type="gramEnd"/>
      <w:r>
        <w:t>施行</w:t>
      </w:r>
    </w:p>
    <w:p w14:paraId="55807688" w14:textId="77777777" w:rsidR="00FA0363" w:rsidRDefault="00FA0363" w:rsidP="00FA0363">
      <w:pPr>
        <w:pStyle w:val="31"/>
        <w:spacing w:before="156" w:after="62"/>
      </w:pPr>
      <w:bookmarkStart w:id="268" w:name="_Toc81833501"/>
      <w:r>
        <w:rPr>
          <w:rFonts w:hint="eastAsia"/>
        </w:rPr>
        <w:t>《浙江省国资委关于加强省属企业上市公司管理有关事项的通知》</w:t>
      </w:r>
      <w:r>
        <w:br w:type="textWrapping" w:clear="all"/>
      </w:r>
      <w:r>
        <w:rPr>
          <w:rFonts w:hint="eastAsia"/>
        </w:rPr>
        <w:t>（</w:t>
      </w:r>
      <w:proofErr w:type="gramStart"/>
      <w:r>
        <w:rPr>
          <w:rFonts w:hint="eastAsia"/>
        </w:rPr>
        <w:t>浙国资</w:t>
      </w:r>
      <w:proofErr w:type="gramEnd"/>
      <w:r>
        <w:rPr>
          <w:rFonts w:hint="eastAsia"/>
        </w:rPr>
        <w:t>产权〔</w:t>
      </w:r>
      <w:r>
        <w:t>2016〕12号）</w:t>
      </w:r>
      <w:bookmarkEnd w:id="268"/>
    </w:p>
    <w:p w14:paraId="3C501CEB" w14:textId="77777777" w:rsidR="00FA0363" w:rsidRDefault="00FA0363" w:rsidP="00FA0363">
      <w:pPr>
        <w:pStyle w:val="13"/>
        <w:ind w:firstLineChars="0" w:firstLine="0"/>
      </w:pPr>
      <w:r>
        <w:rPr>
          <w:rFonts w:hint="eastAsia"/>
        </w:rPr>
        <w:t>各省属企业、委直属各单位：</w:t>
      </w:r>
    </w:p>
    <w:p w14:paraId="68723138" w14:textId="77777777" w:rsidR="00FA0363" w:rsidRDefault="00FA0363" w:rsidP="00FA0363">
      <w:pPr>
        <w:pStyle w:val="13"/>
      </w:pPr>
      <w:r>
        <w:rPr>
          <w:rFonts w:hint="eastAsia"/>
        </w:rPr>
        <w:t>为贯彻落实省委、省政府《关于进一步深化国有企业改革的意见》（</w:t>
      </w:r>
      <w:proofErr w:type="gramStart"/>
      <w:r>
        <w:rPr>
          <w:rFonts w:hint="eastAsia"/>
        </w:rPr>
        <w:t>浙委发</w:t>
      </w:r>
      <w:proofErr w:type="gramEnd"/>
      <w:r>
        <w:rPr>
          <w:rFonts w:hint="eastAsia"/>
        </w:rPr>
        <w:t>〔</w:t>
      </w:r>
      <w:r>
        <w:t>2014〕24号）和省政府办公厅《转发省国资委关于加快推进省属国有资产证券化工作实施意见的通知》（浙政办发〔2015〕48号）精神，及时了解掌握上市公司（含国有控股上市公司、拟上市公司，下同）情况，加快推进省属国有资产证券化步伐，推动企业上市和发展，现就加强省属企业上市公司管理有关事项通知以下：</w:t>
      </w:r>
    </w:p>
    <w:p w14:paraId="7FD726FA" w14:textId="77777777" w:rsidR="00FA0363" w:rsidRDefault="00FA0363" w:rsidP="00FA0363">
      <w:pPr>
        <w:pStyle w:val="13"/>
        <w:ind w:firstLine="482"/>
      </w:pPr>
      <w:r w:rsidRPr="00A513DC">
        <w:rPr>
          <w:rFonts w:hint="eastAsia"/>
          <w:b/>
          <w:bCs/>
        </w:rPr>
        <w:lastRenderedPageBreak/>
        <w:t>一、</w:t>
      </w:r>
      <w:r>
        <w:rPr>
          <w:rFonts w:hint="eastAsia"/>
        </w:rPr>
        <w:t>建立上市公司信息沟通机制。上市公司遇有重大决策、资本运作、重要信息发布和非市场因素停牌等重大事项时，需及时向省属企业报告，并通过省属企业及时与省国资委沟通。特别是对后期按规定须报经省国资委审核审批的事项，要与省国资委进行预沟通，确保工作规范有序推进。对暂不宜公开需保密的信息，严格控制参与沟通人员范围，并做好内幕信息知情人登记工作。上市公司董事长负责信息沟通工作，董事会秘书承担相关具体工作，自觉接受省国资委与省属企业的指导。必要时，省属企业董事长应向省国资委作专题报告。</w:t>
      </w:r>
    </w:p>
    <w:p w14:paraId="7BFF4BC3" w14:textId="77777777" w:rsidR="00FA0363" w:rsidRDefault="00FA0363" w:rsidP="00FA0363">
      <w:pPr>
        <w:pStyle w:val="13"/>
        <w:ind w:firstLine="482"/>
      </w:pPr>
      <w:r w:rsidRPr="00A513DC">
        <w:rPr>
          <w:rFonts w:hint="eastAsia"/>
          <w:b/>
          <w:bCs/>
        </w:rPr>
        <w:t>二、</w:t>
      </w:r>
      <w:r>
        <w:rPr>
          <w:rFonts w:hint="eastAsia"/>
        </w:rPr>
        <w:t>加强和规范中介机构选择管理工作。经省政府或省国资委批准的经济行为对应的审计与评估项目，必须由省国资委统一公开招标选择确定中介机构，企业不得自行聘请，否则按规定追究企业及相关责任人责任。根据规定或经授权可以由省属企业选择中介机构的，应在省国资委公布的中介机构库中按照规定程序公开选择。券商（</w:t>
      </w:r>
      <w:proofErr w:type="gramStart"/>
      <w:r>
        <w:rPr>
          <w:rFonts w:hint="eastAsia"/>
        </w:rPr>
        <w:t>含独立</w:t>
      </w:r>
      <w:proofErr w:type="gramEnd"/>
      <w:r>
        <w:rPr>
          <w:rFonts w:hint="eastAsia"/>
        </w:rPr>
        <w:t>财务顾问）、律师等应通过公开择优方式选择。省属企业应建立中介机构执业质量评价工作机制，并及时将执业质量评价情况报省国资委。省国资委根据上市中介机构从业情况，</w:t>
      </w:r>
      <w:r>
        <w:t>结合有关部门监管信息，指导企业选择中介机构。</w:t>
      </w:r>
    </w:p>
    <w:p w14:paraId="0C0A7D4A" w14:textId="77777777" w:rsidR="00FA0363" w:rsidRDefault="00FA0363" w:rsidP="00FA0363">
      <w:pPr>
        <w:pStyle w:val="13"/>
        <w:ind w:firstLine="482"/>
      </w:pPr>
      <w:r w:rsidRPr="00A513DC">
        <w:rPr>
          <w:rFonts w:hint="eastAsia"/>
          <w:b/>
          <w:bCs/>
        </w:rPr>
        <w:t>三、</w:t>
      </w:r>
      <w:r>
        <w:rPr>
          <w:rFonts w:hint="eastAsia"/>
        </w:rPr>
        <w:t>加强上市公司股权变动管理。省属企业要加强上市公司股权变动管理，对涉及国有股权变动的事项，及时按照有关规定办理审批手续，并由省属企业在变动行为发生后</w:t>
      </w:r>
      <w:r>
        <w:t>5个工作日内登录“上市公司国有股权管理信息系统”进行填报。</w:t>
      </w:r>
    </w:p>
    <w:p w14:paraId="097546B2" w14:textId="77777777" w:rsidR="00FA0363" w:rsidRDefault="00FA0363" w:rsidP="00FA0363">
      <w:pPr>
        <w:pStyle w:val="13"/>
        <w:ind w:firstLine="482"/>
      </w:pPr>
      <w:r w:rsidRPr="00A513DC">
        <w:rPr>
          <w:rFonts w:hint="eastAsia"/>
          <w:b/>
          <w:bCs/>
        </w:rPr>
        <w:t>四、</w:t>
      </w:r>
      <w:r>
        <w:rPr>
          <w:rFonts w:hint="eastAsia"/>
        </w:rPr>
        <w:t>建立上市公司专题例会制度。为及时交流资产证券化工作经验，沟通分享相关政策信息，探讨省属企业上市和运行过程中的问题，提高省属企业上市工作水平和资本运作能力，省国资委建立上市公司专题例会制度，参加对象以省属企业相关部门和上市公司相关负责人为主。</w:t>
      </w:r>
    </w:p>
    <w:p w14:paraId="7325C0BA" w14:textId="77777777" w:rsidR="00FA0363" w:rsidRDefault="00FA0363" w:rsidP="00FA0363">
      <w:pPr>
        <w:pStyle w:val="13"/>
        <w:ind w:firstLine="482"/>
      </w:pPr>
      <w:r w:rsidRPr="00A513DC">
        <w:rPr>
          <w:rFonts w:hint="eastAsia"/>
          <w:b/>
          <w:bCs/>
        </w:rPr>
        <w:t>五、</w:t>
      </w:r>
      <w:r>
        <w:rPr>
          <w:rFonts w:hint="eastAsia"/>
        </w:rPr>
        <w:t>建立完善上市后备资源培育机制。省属企业要积极培育上市后备资源，加强优势板块和新兴板块整合，排出一批上市资源进行重点培育，不断充实上市梯队，及时调整工作计划，并及时将新增后备培育资源报省国资委。省国资委对发展前景好、资产质量优、市场竞争能力强的重点企业进行动态跟踪，建立上市企业项目库，规范推进股份制改造，做好重点培育。</w:t>
      </w:r>
    </w:p>
    <w:p w14:paraId="0A5F83E7" w14:textId="77777777" w:rsidR="00FA0363" w:rsidRDefault="00FA0363" w:rsidP="00FA0363">
      <w:pPr>
        <w:pStyle w:val="13"/>
        <w:ind w:firstLine="482"/>
      </w:pPr>
      <w:r w:rsidRPr="00A513DC">
        <w:rPr>
          <w:rFonts w:hint="eastAsia"/>
          <w:b/>
          <w:bCs/>
        </w:rPr>
        <w:t>六、</w:t>
      </w:r>
      <w:r>
        <w:rPr>
          <w:rFonts w:hint="eastAsia"/>
        </w:rPr>
        <w:t>加强考核落实责任。省国资委将省属企业资产证券化和上市公司管理工作纳入经营业绩考核，落实工作责任。对工作业绩突出，取得重大进展的企业，适当进行加分奖励；对违反有关规定或未落实本通知要求的，责令其改正，情节严重、致使企业遭受重大损失的，依法依规追究有关人员责任。</w:t>
      </w:r>
    </w:p>
    <w:p w14:paraId="0D53F0CA" w14:textId="77777777" w:rsidR="00FA0363" w:rsidRDefault="00FA0363" w:rsidP="00FA0363">
      <w:pPr>
        <w:pStyle w:val="13"/>
        <w:jc w:val="right"/>
      </w:pPr>
      <w:r>
        <w:rPr>
          <w:rFonts w:hint="eastAsia"/>
        </w:rPr>
        <w:t>浙江省国资委</w:t>
      </w:r>
    </w:p>
    <w:p w14:paraId="68492DE0" w14:textId="77777777" w:rsidR="00FA0363" w:rsidRDefault="00FA0363" w:rsidP="00FA0363">
      <w:pPr>
        <w:pStyle w:val="13"/>
        <w:jc w:val="right"/>
      </w:pPr>
      <w:r>
        <w:t>2016年3月1日</w:t>
      </w:r>
    </w:p>
    <w:p w14:paraId="55BBD8BA" w14:textId="77777777" w:rsidR="00FA0363" w:rsidRDefault="00FA0363" w:rsidP="00FA0363">
      <w:pPr>
        <w:pStyle w:val="21"/>
        <w:spacing w:before="156" w:after="93"/>
      </w:pPr>
      <w:bookmarkStart w:id="269" w:name="_Toc81833502"/>
      <w:r>
        <w:rPr>
          <w:rFonts w:hint="eastAsia"/>
        </w:rPr>
        <w:lastRenderedPageBreak/>
        <w:t>证券类业务</w:t>
      </w:r>
      <w:bookmarkEnd w:id="269"/>
    </w:p>
    <w:p w14:paraId="14371407" w14:textId="77777777" w:rsidR="00FA0363" w:rsidRDefault="00FA0363" w:rsidP="00FA0363">
      <w:pPr>
        <w:pStyle w:val="31"/>
        <w:spacing w:before="156" w:after="62"/>
      </w:pPr>
      <w:bookmarkStart w:id="270" w:name="_Toc81833503"/>
      <w:r>
        <w:rPr>
          <w:rFonts w:hint="eastAsia"/>
        </w:rPr>
        <w:t>《上市公司证券发行管理办法》（证监会令第</w:t>
      </w:r>
      <w:r>
        <w:t>30号）</w:t>
      </w:r>
      <w:bookmarkEnd w:id="270"/>
    </w:p>
    <w:p w14:paraId="2008024C" w14:textId="55F99884" w:rsidR="00FA0363" w:rsidRDefault="00E05BDA" w:rsidP="00FA0363">
      <w:pPr>
        <w:pStyle w:val="13"/>
        <w:ind w:firstLine="482"/>
      </w:pPr>
      <w:r w:rsidRPr="00E05BDA">
        <w:rPr>
          <w:rFonts w:hint="eastAsia"/>
          <w:b/>
          <w:bCs/>
        </w:rPr>
        <w:t xml:space="preserve">第二十条 </w:t>
      </w:r>
      <w:r w:rsidR="00FA0363">
        <w:t>公开发行可转换公司债</w:t>
      </w:r>
      <w:proofErr w:type="gramStart"/>
      <w:r w:rsidR="00FA0363">
        <w:t>券</w:t>
      </w:r>
      <w:proofErr w:type="gramEnd"/>
      <w:r w:rsidR="00FA0363">
        <w:t>，应当提供担保，但最近</w:t>
      </w:r>
      <w:proofErr w:type="gramStart"/>
      <w:r w:rsidR="00FA0363">
        <w:t>一</w:t>
      </w:r>
      <w:proofErr w:type="gramEnd"/>
      <w:r w:rsidR="00FA0363">
        <w:t>期末经审计的净资产不低于人民币十五亿元的公司除外。</w:t>
      </w:r>
    </w:p>
    <w:p w14:paraId="6E4CE876" w14:textId="77777777" w:rsidR="00FA0363" w:rsidRDefault="00FA0363" w:rsidP="00FA0363">
      <w:pPr>
        <w:pStyle w:val="13"/>
      </w:pPr>
      <w:r>
        <w:rPr>
          <w:rFonts w:hint="eastAsia"/>
        </w:rPr>
        <w:t>提供担保的，应当为全额担保，担保范围包括债券的本金及利息、违约金、损害赔偿金和实现债权的费用。</w:t>
      </w:r>
    </w:p>
    <w:p w14:paraId="177EE251" w14:textId="77777777" w:rsidR="00FA0363" w:rsidRDefault="00FA0363" w:rsidP="00FA0363">
      <w:pPr>
        <w:pStyle w:val="13"/>
      </w:pPr>
      <w:r>
        <w:rPr>
          <w:rFonts w:hint="eastAsia"/>
        </w:rPr>
        <w:t>以保证方式提供担保的，应当为连带责任担保，且保证人最近一期经审计的净资产</w:t>
      </w:r>
      <w:r>
        <w:t>额应不低于其累计对外担保的金额。证券公司或上市公司不得作为发行可转债的担保人，但上市商业银行除外。</w:t>
      </w:r>
    </w:p>
    <w:p w14:paraId="79BD032E" w14:textId="77777777" w:rsidR="00FA0363" w:rsidRDefault="00FA0363" w:rsidP="00FA0363">
      <w:pPr>
        <w:pStyle w:val="13"/>
      </w:pPr>
      <w:r>
        <w:rPr>
          <w:rFonts w:hint="eastAsia"/>
        </w:rPr>
        <w:t>设定抵押或质押的，抵押或质押财产的估值应不低于担保金额。估值应经有资格的资产评估机构评估。</w:t>
      </w:r>
    </w:p>
    <w:p w14:paraId="63300008" w14:textId="77777777" w:rsidR="00FA0363" w:rsidRDefault="00FA0363" w:rsidP="00FA0363">
      <w:pPr>
        <w:pStyle w:val="13"/>
        <w:ind w:firstLine="482"/>
      </w:pPr>
      <w:r w:rsidRPr="00501D48">
        <w:rPr>
          <w:rFonts w:hint="eastAsia"/>
          <w:b/>
          <w:bCs/>
        </w:rPr>
        <w:t>第五十八条</w:t>
      </w:r>
      <w:r>
        <w:rPr>
          <w:rFonts w:hint="eastAsia"/>
          <w:b/>
          <w:bCs/>
        </w:rPr>
        <w:t xml:space="preserve"> </w:t>
      </w:r>
      <w:r>
        <w:t>为证券发行出具专项文件的注册会计师、资产评估人员、资信评级人员、律师及其所在机构，应当按照本行业公认的业务标准和道德规范出具文件，并声明对所出具文件的真实性、准确性和完整性承担责任。</w:t>
      </w:r>
    </w:p>
    <w:p w14:paraId="437E2AB7" w14:textId="77777777" w:rsidR="00FA0363" w:rsidRDefault="00FA0363" w:rsidP="00FA0363">
      <w:pPr>
        <w:pStyle w:val="13"/>
        <w:ind w:firstLine="482"/>
      </w:pPr>
      <w:r w:rsidRPr="00501D48">
        <w:rPr>
          <w:rFonts w:hint="eastAsia"/>
          <w:b/>
          <w:bCs/>
        </w:rPr>
        <w:t>第五十九条</w:t>
      </w:r>
      <w:r>
        <w:rPr>
          <w:rFonts w:hint="eastAsia"/>
          <w:b/>
          <w:bCs/>
        </w:rPr>
        <w:t xml:space="preserve"> </w:t>
      </w:r>
      <w:r>
        <w:t>公开募集证券说明书所引用的审计报告、盈利预测审核报告、资产评</w:t>
      </w:r>
      <w:r>
        <w:rPr>
          <w:rFonts w:hint="eastAsia"/>
        </w:rPr>
        <w:t>估报告、资信评级报告，应当由有资格的证券服务机构出具，并由至少二名有从业资格的人员签署。</w:t>
      </w:r>
    </w:p>
    <w:p w14:paraId="5A399954" w14:textId="77777777" w:rsidR="00FA0363" w:rsidRDefault="00FA0363" w:rsidP="00FA0363">
      <w:pPr>
        <w:pStyle w:val="13"/>
      </w:pPr>
      <w:r>
        <w:rPr>
          <w:rFonts w:hint="eastAsia"/>
        </w:rPr>
        <w:t>公开募集证券说明书所引用的法律意见书，应当由律师事务所出具，并由至少二名经办律师签署。</w:t>
      </w:r>
    </w:p>
    <w:p w14:paraId="6EBC061A" w14:textId="77777777" w:rsidR="00FA0363" w:rsidRDefault="00FA0363" w:rsidP="00FA0363">
      <w:pPr>
        <w:pStyle w:val="13"/>
        <w:ind w:firstLine="482"/>
      </w:pPr>
      <w:r w:rsidRPr="00501D48">
        <w:rPr>
          <w:rFonts w:hint="eastAsia"/>
          <w:b/>
          <w:bCs/>
        </w:rPr>
        <w:t>第六十条</w:t>
      </w:r>
      <w:r>
        <w:rPr>
          <w:rFonts w:hint="eastAsia"/>
          <w:b/>
          <w:bCs/>
        </w:rPr>
        <w:t xml:space="preserve"> </w:t>
      </w:r>
      <w:r>
        <w:t>公开募集证券说明书自最后签署之日起六个月内有效。</w:t>
      </w:r>
    </w:p>
    <w:p w14:paraId="3E430470" w14:textId="77777777" w:rsidR="00FA0363" w:rsidRDefault="00FA0363" w:rsidP="00FA0363">
      <w:pPr>
        <w:pStyle w:val="13"/>
      </w:pPr>
      <w:r>
        <w:rPr>
          <w:rFonts w:hint="eastAsia"/>
        </w:rPr>
        <w:t>公开募集证券说明书不得使用超过有效期的资产评估报告或者资信评级报告。</w:t>
      </w:r>
    </w:p>
    <w:p w14:paraId="2C0E133B" w14:textId="77777777" w:rsidR="00FA0363" w:rsidRDefault="00FA0363" w:rsidP="00FA0363">
      <w:pPr>
        <w:pStyle w:val="13"/>
        <w:ind w:firstLine="482"/>
      </w:pPr>
      <w:r w:rsidRPr="00501D48">
        <w:rPr>
          <w:rFonts w:hint="eastAsia"/>
          <w:b/>
          <w:bCs/>
        </w:rPr>
        <w:t>第六十九条</w:t>
      </w:r>
      <w:r>
        <w:rPr>
          <w:rFonts w:hint="eastAsia"/>
          <w:b/>
          <w:bCs/>
        </w:rPr>
        <w:t xml:space="preserve"> </w:t>
      </w:r>
      <w:r>
        <w:t>为证券发行出具审计报告、法律意见、资产评估报告、资信评级报告及其他专项文件的证券服务机构和人员，在其出具的专项文件中存在虚假记载、误导性陈述或重大遗漏的，除承担证券法规定的法律责任外，中国证监会十二个月内不接受相关机构出具的证券发行专项文件，三十六个月内不接受相关人员出具的证券发行专项文件。</w:t>
      </w:r>
    </w:p>
    <w:p w14:paraId="33049068" w14:textId="77777777" w:rsidR="00FA0363" w:rsidRDefault="00FA0363" w:rsidP="00FA0363">
      <w:pPr>
        <w:pStyle w:val="31"/>
        <w:spacing w:before="156" w:after="62"/>
      </w:pPr>
      <w:bookmarkStart w:id="271" w:name="_Toc81833504"/>
      <w:r>
        <w:rPr>
          <w:rFonts w:hint="eastAsia"/>
        </w:rPr>
        <w:t>《首次公开发行股票并上市管理办法》（证监会令第</w:t>
      </w:r>
      <w:r>
        <w:t>32号）</w:t>
      </w:r>
      <w:bookmarkEnd w:id="271"/>
    </w:p>
    <w:p w14:paraId="5124B4AE" w14:textId="709013C3" w:rsidR="00FA0363" w:rsidRDefault="004E3EBB" w:rsidP="00FA0363">
      <w:pPr>
        <w:pStyle w:val="13"/>
        <w:ind w:firstLine="482"/>
      </w:pPr>
      <w:r w:rsidRPr="004E3EBB">
        <w:rPr>
          <w:rFonts w:hint="eastAsia"/>
          <w:b/>
          <w:bCs/>
        </w:rPr>
        <w:t xml:space="preserve">第六条 </w:t>
      </w:r>
      <w:r w:rsidR="00FA0363">
        <w:t>为证券发行出具有关文件的证券服务机构和人员，应当按照本行业公认的业务标准和道德规范，严格履行法定职责，并对其所出具文件的真实性、准确性和完整性负责。</w:t>
      </w:r>
    </w:p>
    <w:p w14:paraId="08345B52" w14:textId="77777777" w:rsidR="00FA0363" w:rsidRDefault="00FA0363" w:rsidP="00FA0363">
      <w:pPr>
        <w:pStyle w:val="13"/>
        <w:ind w:firstLine="482"/>
      </w:pPr>
      <w:r w:rsidRPr="00501D48">
        <w:rPr>
          <w:rFonts w:hint="eastAsia"/>
          <w:b/>
          <w:bCs/>
        </w:rPr>
        <w:t>第六十二条</w:t>
      </w:r>
      <w:r>
        <w:rPr>
          <w:rFonts w:hint="eastAsia"/>
          <w:b/>
          <w:bCs/>
        </w:rPr>
        <w:t xml:space="preserve"> </w:t>
      </w:r>
      <w:r>
        <w:t>保荐人出具的发行保荐书、证券服务机构出具的有关文件应当作为招股说明书的备查文件，在中国证监会指定的网站上披露，并置备于发行人住所、拟</w:t>
      </w:r>
      <w:r>
        <w:lastRenderedPageBreak/>
        <w:t>上市证券交易所、保荐人、主承销商和其他承销机构的住所，以备公众查阅。</w:t>
      </w:r>
    </w:p>
    <w:p w14:paraId="5B9FFFAD" w14:textId="77777777" w:rsidR="00FA0363" w:rsidRDefault="00FA0363" w:rsidP="00FA0363">
      <w:pPr>
        <w:pStyle w:val="13"/>
        <w:ind w:firstLine="482"/>
      </w:pPr>
      <w:r w:rsidRPr="00501D48">
        <w:rPr>
          <w:rFonts w:hint="eastAsia"/>
          <w:b/>
          <w:bCs/>
        </w:rPr>
        <w:t>第六十七条</w:t>
      </w:r>
      <w:r>
        <w:rPr>
          <w:rFonts w:hint="eastAsia"/>
          <w:b/>
          <w:bCs/>
        </w:rPr>
        <w:t xml:space="preserve"> </w:t>
      </w:r>
      <w:r>
        <w:t>发行人、保荐人或证券服务机构制作或者出具的文件不符合要求，擅自改动已提交的文件，或者拒绝答复中国证监会审核中提出的相关问题的，中国证监会将视情节轻重，对相关机构和责任人员采取监管谈话、责令改正等监管措施，记入诚信档案并公布；情节特别严重的，给予警告。</w:t>
      </w:r>
    </w:p>
    <w:p w14:paraId="2420741B" w14:textId="77777777" w:rsidR="00FA0363" w:rsidRDefault="00FA0363" w:rsidP="00FA0363">
      <w:pPr>
        <w:pStyle w:val="13"/>
        <w:ind w:firstLine="482"/>
      </w:pPr>
      <w:r w:rsidRPr="00501D48">
        <w:rPr>
          <w:rFonts w:hint="eastAsia"/>
          <w:b/>
          <w:bCs/>
        </w:rPr>
        <w:t>第六十八条</w:t>
      </w:r>
      <w:r>
        <w:rPr>
          <w:rFonts w:hint="eastAsia"/>
          <w:b/>
          <w:bCs/>
        </w:rPr>
        <w:t xml:space="preserve"> </w:t>
      </w:r>
      <w:r>
        <w:t>发行人披露盈利预测的，利润实现数如未达到盈利预测的80％，除因不可抗力外，其法定代表人、盈利预测审核报告签字注册会计师应当在股东大会及中国证监会指定报刊上公开</w:t>
      </w:r>
      <w:proofErr w:type="gramStart"/>
      <w:r>
        <w:t>作出</w:t>
      </w:r>
      <w:proofErr w:type="gramEnd"/>
      <w:r>
        <w:t>解释并道歉；中国证监会可以对法定代表人处以警告。</w:t>
      </w:r>
    </w:p>
    <w:p w14:paraId="0C12E4A3" w14:textId="77777777" w:rsidR="00FA0363" w:rsidRDefault="00FA0363" w:rsidP="00FA0363">
      <w:pPr>
        <w:pStyle w:val="13"/>
      </w:pPr>
      <w:r>
        <w:rPr>
          <w:rFonts w:hint="eastAsia"/>
        </w:rPr>
        <w:t>利润</w:t>
      </w:r>
      <w:proofErr w:type="gramStart"/>
      <w:r>
        <w:rPr>
          <w:rFonts w:hint="eastAsia"/>
        </w:rPr>
        <w:t>实现数未达到</w:t>
      </w:r>
      <w:proofErr w:type="gramEnd"/>
      <w:r>
        <w:rPr>
          <w:rFonts w:hint="eastAsia"/>
        </w:rPr>
        <w:t>盈利预测的</w:t>
      </w:r>
      <w:r>
        <w:t>50％的，除因不可抗力外，中国证监会在36个月内不受理该公司的公开发行证券申请。</w:t>
      </w:r>
    </w:p>
    <w:p w14:paraId="4BD9F6DD" w14:textId="2FB3C612" w:rsidR="00FA0363" w:rsidRDefault="00FA0363" w:rsidP="00FA0363">
      <w:pPr>
        <w:pStyle w:val="31"/>
        <w:spacing w:before="156" w:after="62"/>
      </w:pPr>
      <w:bookmarkStart w:id="272" w:name="_Toc81833505"/>
      <w:r>
        <w:rPr>
          <w:rFonts w:hint="eastAsia"/>
        </w:rPr>
        <w:t>《关于从事证券期货相关业务的资产评估机构有关管理问题的通知》</w:t>
      </w:r>
      <w:r>
        <w:br w:type="textWrapping" w:clear="all"/>
      </w:r>
      <w:r w:rsidR="0052367A">
        <w:rPr>
          <w:rFonts w:hint="eastAsia"/>
        </w:rPr>
        <w:t>（财企〔</w:t>
      </w:r>
      <w:r w:rsidR="0052367A">
        <w:t>2008〕81号</w:t>
      </w:r>
      <w:r w:rsidR="0052367A">
        <w:rPr>
          <w:rFonts w:hint="eastAsia"/>
        </w:rPr>
        <w:t>）</w:t>
      </w:r>
      <w:bookmarkEnd w:id="272"/>
    </w:p>
    <w:p w14:paraId="03E0583A" w14:textId="77777777" w:rsidR="00FA0363" w:rsidRDefault="00FA0363" w:rsidP="00FA0363">
      <w:pPr>
        <w:pStyle w:val="13"/>
      </w:pPr>
      <w:r>
        <w:rPr>
          <w:rFonts w:hint="eastAsia"/>
        </w:rPr>
        <w:t>各省、自治区、直辖市财政厅（局），证监会各省、自治区、直辖市、计划单列市监管局：</w:t>
      </w:r>
      <w:r>
        <w:t>为了加强对从事证券、期货相关业务（以下简称证券业务）资产评估机构的管</w:t>
      </w:r>
      <w:r>
        <w:rPr>
          <w:rFonts w:hint="eastAsia"/>
        </w:rPr>
        <w:t>理，维护证券市场秩序，保护投资者和社会公众的合法权益，现对从事证券业务的资产评估机构有关管理问题补充通知如下：</w:t>
      </w:r>
    </w:p>
    <w:p w14:paraId="50A557AD" w14:textId="77777777" w:rsidR="00FA0363" w:rsidRDefault="00FA0363" w:rsidP="00FA0363">
      <w:pPr>
        <w:pStyle w:val="ab"/>
        <w:spacing w:before="62" w:after="62"/>
        <w:ind w:firstLine="482"/>
      </w:pPr>
      <w:r>
        <w:rPr>
          <w:rFonts w:hint="eastAsia"/>
        </w:rPr>
        <w:t>一、关于证券业务评估资格的申请条件</w:t>
      </w:r>
    </w:p>
    <w:p w14:paraId="722160EF" w14:textId="77777777" w:rsidR="00FA0363" w:rsidRDefault="00FA0363" w:rsidP="00FA0363">
      <w:pPr>
        <w:pStyle w:val="13"/>
      </w:pPr>
      <w:r>
        <w:rPr>
          <w:rFonts w:hint="eastAsia"/>
        </w:rPr>
        <w:t>（一）资产评估机构从事证券业务，应当按照本通知规定取得证券、期货相关业务评估资格（以下简称证券评估资格）。</w:t>
      </w:r>
    </w:p>
    <w:p w14:paraId="0590AFE8" w14:textId="77777777" w:rsidR="00FA0363" w:rsidRDefault="00FA0363" w:rsidP="00FA0363">
      <w:pPr>
        <w:pStyle w:val="13"/>
      </w:pPr>
      <w:r>
        <w:rPr>
          <w:rFonts w:hint="eastAsia"/>
        </w:rPr>
        <w:t>（二）资产评估机构申请证券评估资格，应当符合下列条件：</w:t>
      </w:r>
    </w:p>
    <w:p w14:paraId="1AB90D28" w14:textId="61CBCC0F" w:rsidR="00FA0363" w:rsidRDefault="00FA0363" w:rsidP="00FA0363">
      <w:pPr>
        <w:pStyle w:val="13"/>
      </w:pPr>
      <w:r>
        <w:t>1.</w:t>
      </w:r>
      <w:r w:rsidR="002451CD">
        <w:t xml:space="preserve"> </w:t>
      </w:r>
      <w:r>
        <w:t>资产评估机构依法设立并取得资产评估资格3年以上，发生过吸收合并的，还应</w:t>
      </w:r>
      <w:r>
        <w:rPr>
          <w:rFonts w:hint="eastAsia"/>
        </w:rPr>
        <w:t>当自完成工商变更登记之日起满</w:t>
      </w:r>
      <w:r>
        <w:t>1年；</w:t>
      </w:r>
    </w:p>
    <w:p w14:paraId="483A8203" w14:textId="22840B8E" w:rsidR="00FA0363" w:rsidRDefault="00FA0363" w:rsidP="00FA0363">
      <w:pPr>
        <w:pStyle w:val="13"/>
      </w:pPr>
      <w:r>
        <w:t>2.</w:t>
      </w:r>
      <w:r w:rsidR="002451CD">
        <w:t xml:space="preserve"> </w:t>
      </w:r>
      <w:r>
        <w:t>质量控制制度和其他内部管理制度健全并有效执行，执业质量和职业道德良好；</w:t>
      </w:r>
    </w:p>
    <w:p w14:paraId="079A75B3" w14:textId="4CD6C516" w:rsidR="00FA0363" w:rsidRDefault="00FA0363" w:rsidP="00FA0363">
      <w:pPr>
        <w:pStyle w:val="13"/>
      </w:pPr>
      <w:r>
        <w:t>3.</w:t>
      </w:r>
      <w:r w:rsidR="002451CD">
        <w:t xml:space="preserve"> </w:t>
      </w:r>
      <w:r>
        <w:t>具有不少于30名注册资产评估师，其中最近3年持有注册资产评估师证书且连</w:t>
      </w:r>
      <w:r>
        <w:rPr>
          <w:rFonts w:hint="eastAsia"/>
        </w:rPr>
        <w:t>续执业的不少于</w:t>
      </w:r>
      <w:r>
        <w:t>20人；</w:t>
      </w:r>
    </w:p>
    <w:p w14:paraId="4BA207E1" w14:textId="368844CF" w:rsidR="00FA0363" w:rsidRDefault="00FA0363" w:rsidP="00FA0363">
      <w:pPr>
        <w:pStyle w:val="13"/>
      </w:pPr>
      <w:r>
        <w:t>4.</w:t>
      </w:r>
      <w:r w:rsidR="002451CD">
        <w:t xml:space="preserve"> </w:t>
      </w:r>
      <w:r>
        <w:t>净资产不少于200万元；</w:t>
      </w:r>
    </w:p>
    <w:p w14:paraId="221510E4" w14:textId="217B18A3" w:rsidR="00FA0363" w:rsidRDefault="00FA0363" w:rsidP="00FA0363">
      <w:pPr>
        <w:pStyle w:val="13"/>
      </w:pPr>
      <w:r>
        <w:t>5.</w:t>
      </w:r>
      <w:r w:rsidR="002451CD">
        <w:t xml:space="preserve"> </w:t>
      </w:r>
      <w:r>
        <w:t>按规定购买职业责任保险或者提取职业风险基金；</w:t>
      </w:r>
    </w:p>
    <w:p w14:paraId="1D35BF9D" w14:textId="119B981B" w:rsidR="00FA0363" w:rsidRDefault="00FA0363" w:rsidP="00FA0363">
      <w:pPr>
        <w:pStyle w:val="13"/>
      </w:pPr>
      <w:r>
        <w:t>6.</w:t>
      </w:r>
      <w:r w:rsidR="002451CD">
        <w:t xml:space="preserve"> </w:t>
      </w:r>
      <w:r>
        <w:t>半数以上合伙人或者持有不少于50%股权的股东最近在本机构连续执业3年以</w:t>
      </w:r>
      <w:r>
        <w:rPr>
          <w:rFonts w:hint="eastAsia"/>
        </w:rPr>
        <w:t>上；</w:t>
      </w:r>
    </w:p>
    <w:p w14:paraId="3204BA22" w14:textId="0A4216A8" w:rsidR="00FA0363" w:rsidRDefault="00FA0363" w:rsidP="00FA0363">
      <w:pPr>
        <w:pStyle w:val="13"/>
      </w:pPr>
      <w:r>
        <w:t>7.</w:t>
      </w:r>
      <w:r w:rsidR="002451CD">
        <w:t xml:space="preserve"> </w:t>
      </w:r>
      <w:r>
        <w:t>最近3年评估业务收入合计不少于2000万元，且每年不少于500万元。</w:t>
      </w:r>
    </w:p>
    <w:p w14:paraId="7A658ADB" w14:textId="77777777" w:rsidR="00FA0363" w:rsidRDefault="00FA0363" w:rsidP="00FA0363">
      <w:pPr>
        <w:pStyle w:val="13"/>
      </w:pPr>
      <w:r>
        <w:rPr>
          <w:rFonts w:hint="eastAsia"/>
        </w:rPr>
        <w:t>（三）资产评估机构申请证券评估资格，应当不存在下列情形之一：</w:t>
      </w:r>
    </w:p>
    <w:p w14:paraId="248CF1F7" w14:textId="59217473" w:rsidR="00FA0363" w:rsidRDefault="00FA0363" w:rsidP="00FA0363">
      <w:pPr>
        <w:pStyle w:val="13"/>
      </w:pPr>
      <w:r>
        <w:lastRenderedPageBreak/>
        <w:t>1.</w:t>
      </w:r>
      <w:r w:rsidR="002451CD">
        <w:t xml:space="preserve"> </w:t>
      </w:r>
      <w:r>
        <w:t>在执业活动中受到刑事处罚、行政处罚，自处罚决定执行完毕之日起</w:t>
      </w:r>
      <w:proofErr w:type="gramStart"/>
      <w:r>
        <w:t>至提出</w:t>
      </w:r>
      <w:proofErr w:type="gramEnd"/>
      <w:r>
        <w:t>申请</w:t>
      </w:r>
      <w:r>
        <w:rPr>
          <w:rFonts w:hint="eastAsia"/>
        </w:rPr>
        <w:t>之日止未满</w:t>
      </w:r>
      <w:r>
        <w:t>3年；</w:t>
      </w:r>
    </w:p>
    <w:p w14:paraId="4E2B54B1" w14:textId="27B061B5" w:rsidR="00FA0363" w:rsidRDefault="00FA0363" w:rsidP="00FA0363">
      <w:pPr>
        <w:pStyle w:val="13"/>
      </w:pPr>
      <w:r>
        <w:t>2.</w:t>
      </w:r>
      <w:r w:rsidR="002451CD">
        <w:t xml:space="preserve"> </w:t>
      </w:r>
      <w:r>
        <w:t>因以欺骗等不正当手段取得证券评估资格而被撤销该资格，自撤销之日起</w:t>
      </w:r>
      <w:proofErr w:type="gramStart"/>
      <w:r>
        <w:t>至提出</w:t>
      </w:r>
      <w:proofErr w:type="gramEnd"/>
      <w:r>
        <w:t>申请之日止未满3年；</w:t>
      </w:r>
    </w:p>
    <w:p w14:paraId="6F5CDA79" w14:textId="2631487B" w:rsidR="00FA0363" w:rsidRDefault="00FA0363" w:rsidP="00FA0363">
      <w:pPr>
        <w:pStyle w:val="13"/>
      </w:pPr>
      <w:r>
        <w:t>3.</w:t>
      </w:r>
      <w:r w:rsidR="002451CD">
        <w:t xml:space="preserve"> </w:t>
      </w:r>
      <w:r>
        <w:t>申请证券评估资格过程中，因隐瞒有关情况或者提供虚假材料被不予受理或者不予批准的，自被出具不予受理凭证或者不予批准决定之日起</w:t>
      </w:r>
      <w:proofErr w:type="gramStart"/>
      <w:r>
        <w:t>至提出</w:t>
      </w:r>
      <w:proofErr w:type="gramEnd"/>
      <w:r>
        <w:t>申请之日止未满3年。</w:t>
      </w:r>
    </w:p>
    <w:p w14:paraId="58363B6F" w14:textId="77777777" w:rsidR="00FA0363" w:rsidRDefault="00FA0363" w:rsidP="00FA0363">
      <w:pPr>
        <w:pStyle w:val="ab"/>
        <w:spacing w:before="62" w:after="62"/>
        <w:ind w:firstLine="482"/>
      </w:pPr>
      <w:r>
        <w:rPr>
          <w:rFonts w:hint="eastAsia"/>
        </w:rPr>
        <w:t>二、关于证券评估资格的申请材料</w:t>
      </w:r>
    </w:p>
    <w:p w14:paraId="3392E552" w14:textId="77777777" w:rsidR="00FA0363" w:rsidRDefault="00FA0363" w:rsidP="00FA0363">
      <w:pPr>
        <w:pStyle w:val="13"/>
      </w:pPr>
      <w:r>
        <w:rPr>
          <w:rFonts w:hint="eastAsia"/>
        </w:rPr>
        <w:t>（一）资产评估机构申请证券评估资格，应当按一式三份提交下列材料：</w:t>
      </w:r>
    </w:p>
    <w:p w14:paraId="25744605" w14:textId="2EB770FE" w:rsidR="00FA0363" w:rsidRDefault="00FA0363" w:rsidP="00FA0363">
      <w:pPr>
        <w:pStyle w:val="13"/>
      </w:pPr>
      <w:r>
        <w:t>1.</w:t>
      </w:r>
      <w:r w:rsidR="002451CD">
        <w:t xml:space="preserve"> </w:t>
      </w:r>
      <w:r>
        <w:t>资产评估机构关于申请证券评估资格的报告（附件1）及执业情况总结；</w:t>
      </w:r>
    </w:p>
    <w:p w14:paraId="78AEEF60" w14:textId="37AF9473" w:rsidR="00FA0363" w:rsidRDefault="00FA0363" w:rsidP="00FA0363">
      <w:pPr>
        <w:pStyle w:val="13"/>
      </w:pPr>
      <w:r>
        <w:t>2.</w:t>
      </w:r>
      <w:r w:rsidR="002451CD">
        <w:t xml:space="preserve"> </w:t>
      </w:r>
      <w:r>
        <w:t>资产评估机构基本情况表（附件2）；</w:t>
      </w:r>
    </w:p>
    <w:p w14:paraId="6A22339A" w14:textId="2EAEB255" w:rsidR="00FA0363" w:rsidRDefault="00FA0363" w:rsidP="00FA0363">
      <w:pPr>
        <w:pStyle w:val="13"/>
      </w:pPr>
      <w:r>
        <w:t>3.</w:t>
      </w:r>
      <w:r w:rsidR="002451CD">
        <w:t xml:space="preserve"> </w:t>
      </w:r>
      <w:r>
        <w:t>资产评估机构质量控制制度和其他内部管理制度及执行情况说明；</w:t>
      </w:r>
    </w:p>
    <w:p w14:paraId="3D22935B" w14:textId="2F039C3D" w:rsidR="00FA0363" w:rsidRDefault="00FA0363" w:rsidP="00FA0363">
      <w:pPr>
        <w:pStyle w:val="13"/>
      </w:pPr>
      <w:r>
        <w:t>4.</w:t>
      </w:r>
      <w:r w:rsidR="002451CD">
        <w:t xml:space="preserve"> </w:t>
      </w:r>
      <w:r>
        <w:t>经中国资产评估协会核实的提出申请前上月末注册资产评估</w:t>
      </w:r>
      <w:proofErr w:type="gramStart"/>
      <w:r>
        <w:t>师注册</w:t>
      </w:r>
      <w:proofErr w:type="gramEnd"/>
      <w:r>
        <w:t>情况一览表</w:t>
      </w:r>
      <w:r>
        <w:rPr>
          <w:rFonts w:hint="eastAsia"/>
        </w:rPr>
        <w:t>（附件</w:t>
      </w:r>
      <w:r>
        <w:t>3）；</w:t>
      </w:r>
    </w:p>
    <w:p w14:paraId="727BDFEC" w14:textId="2E6C0BEA" w:rsidR="00FA0363" w:rsidRDefault="00FA0363" w:rsidP="00FA0363">
      <w:pPr>
        <w:pStyle w:val="13"/>
      </w:pPr>
      <w:r>
        <w:t>5.</w:t>
      </w:r>
      <w:r w:rsidR="002451CD">
        <w:t xml:space="preserve"> </w:t>
      </w:r>
      <w:r>
        <w:t>由具有证券业务资格的会计师事务所出具的最近3年会计报表的审计报告，审计报告应当披露总收入中的评估收入单项说明；</w:t>
      </w:r>
    </w:p>
    <w:p w14:paraId="154A6715" w14:textId="01A459C5" w:rsidR="00FA0363" w:rsidRDefault="00FA0363" w:rsidP="00FA0363">
      <w:pPr>
        <w:pStyle w:val="13"/>
      </w:pPr>
      <w:r>
        <w:t>6.</w:t>
      </w:r>
      <w:r w:rsidR="002451CD">
        <w:t xml:space="preserve"> </w:t>
      </w:r>
      <w:r>
        <w:t>资产评估机构最近3年评估业务和收入汇总表（附件4）；</w:t>
      </w:r>
    </w:p>
    <w:p w14:paraId="62615E54" w14:textId="45521C63" w:rsidR="00FA0363" w:rsidRDefault="00FA0363" w:rsidP="00FA0363">
      <w:pPr>
        <w:pStyle w:val="13"/>
      </w:pPr>
      <w:r>
        <w:t>7.</w:t>
      </w:r>
      <w:r w:rsidR="002451CD">
        <w:t xml:space="preserve"> </w:t>
      </w:r>
      <w:r>
        <w:t>职业责任保险保单复印件或者累计职业风险基金证明材料；</w:t>
      </w:r>
    </w:p>
    <w:p w14:paraId="4C6CA437" w14:textId="02852E79" w:rsidR="00FA0363" w:rsidRDefault="00FA0363" w:rsidP="00FA0363">
      <w:pPr>
        <w:pStyle w:val="13"/>
      </w:pPr>
      <w:r>
        <w:t>8.</w:t>
      </w:r>
      <w:r w:rsidR="002451CD">
        <w:t xml:space="preserve"> </w:t>
      </w:r>
      <w:r>
        <w:t>资产评估资格证书副本、营业执照副本复印件。</w:t>
      </w:r>
    </w:p>
    <w:p w14:paraId="7EE4BACD" w14:textId="77777777" w:rsidR="00FA0363" w:rsidRDefault="00FA0363" w:rsidP="00FA0363">
      <w:pPr>
        <w:pStyle w:val="13"/>
      </w:pPr>
      <w:r>
        <w:rPr>
          <w:rFonts w:hint="eastAsia"/>
        </w:rPr>
        <w:t>（二）最近</w:t>
      </w:r>
      <w:r>
        <w:t>3年内发生过合并行为的资产评估机构，除以上规定材料外，还应当提交下列材料：</w:t>
      </w:r>
    </w:p>
    <w:p w14:paraId="27DF4F19" w14:textId="29BDA442" w:rsidR="00FA0363" w:rsidRDefault="00FA0363" w:rsidP="00FA0363">
      <w:pPr>
        <w:pStyle w:val="13"/>
      </w:pPr>
      <w:r>
        <w:t>1.</w:t>
      </w:r>
      <w:r w:rsidR="002451CD">
        <w:t xml:space="preserve"> </w:t>
      </w:r>
      <w:r>
        <w:t>合并协议复印件；</w:t>
      </w:r>
    </w:p>
    <w:p w14:paraId="3CEA390A" w14:textId="72ADDC2D" w:rsidR="00FA0363" w:rsidRDefault="00FA0363" w:rsidP="00FA0363">
      <w:pPr>
        <w:pStyle w:val="13"/>
      </w:pPr>
      <w:r>
        <w:t>2.</w:t>
      </w:r>
      <w:r w:rsidR="002451CD">
        <w:t xml:space="preserve"> </w:t>
      </w:r>
      <w:r>
        <w:t>由具有证券业务资格的会计师事务所出具的合并各方最近3年年度会计报表的审计报告，审计报告应当披露总收入中的评估收入单项说明；</w:t>
      </w:r>
    </w:p>
    <w:p w14:paraId="009B0F00" w14:textId="6A89684B" w:rsidR="00FA0363" w:rsidRDefault="00FA0363" w:rsidP="00FA0363">
      <w:pPr>
        <w:pStyle w:val="13"/>
      </w:pPr>
      <w:r>
        <w:t>3.</w:t>
      </w:r>
      <w:r w:rsidR="002451CD">
        <w:t xml:space="preserve"> </w:t>
      </w:r>
      <w:r>
        <w:t>经中国资产评估协会核实的工商变更登记日合并各方注册资产评估</w:t>
      </w:r>
      <w:proofErr w:type="gramStart"/>
      <w:r>
        <w:t>师注册</w:t>
      </w:r>
      <w:proofErr w:type="gramEnd"/>
      <w:r>
        <w:t>情况一览表（附件3）；</w:t>
      </w:r>
    </w:p>
    <w:p w14:paraId="579B28B9" w14:textId="3996D61E" w:rsidR="00FA0363" w:rsidRDefault="00FA0363" w:rsidP="00FA0363">
      <w:pPr>
        <w:pStyle w:val="13"/>
      </w:pPr>
      <w:r>
        <w:t>4.</w:t>
      </w:r>
      <w:r w:rsidR="002451CD">
        <w:t xml:space="preserve"> </w:t>
      </w:r>
      <w:r>
        <w:t>自发生合并行为上年末至合并基准日上月末净资产、职业风险基金变动情况说</w:t>
      </w:r>
      <w:r>
        <w:rPr>
          <w:rFonts w:hint="eastAsia"/>
        </w:rPr>
        <w:t>明；</w:t>
      </w:r>
    </w:p>
    <w:p w14:paraId="7676241C" w14:textId="3EE9D9BE" w:rsidR="00FA0363" w:rsidRDefault="00FA0363" w:rsidP="00FA0363">
      <w:pPr>
        <w:pStyle w:val="13"/>
      </w:pPr>
      <w:r>
        <w:t>5.</w:t>
      </w:r>
      <w:r w:rsidR="002451CD">
        <w:t xml:space="preserve"> </w:t>
      </w:r>
      <w:r>
        <w:t>合并各方最近3年评估业务和收入汇总表（附件4）；</w:t>
      </w:r>
    </w:p>
    <w:p w14:paraId="2D5448D9" w14:textId="09E8A098" w:rsidR="00FA0363" w:rsidRDefault="00FA0363" w:rsidP="00FA0363">
      <w:pPr>
        <w:pStyle w:val="13"/>
      </w:pPr>
      <w:r>
        <w:t>6.</w:t>
      </w:r>
      <w:r w:rsidR="002451CD">
        <w:t xml:space="preserve"> </w:t>
      </w:r>
      <w:r>
        <w:t>合并前各方职业责任保险保单复印件或者累计职业风险基金证明材料。</w:t>
      </w:r>
    </w:p>
    <w:p w14:paraId="157B7E48" w14:textId="77777777" w:rsidR="00FA0363" w:rsidRDefault="00FA0363" w:rsidP="00FA0363">
      <w:pPr>
        <w:pStyle w:val="ab"/>
        <w:spacing w:before="62" w:after="62"/>
        <w:ind w:firstLine="482"/>
      </w:pPr>
      <w:r>
        <w:t>三、关于资产评估分支机构的设立</w:t>
      </w:r>
    </w:p>
    <w:p w14:paraId="3DA854A4" w14:textId="77777777" w:rsidR="00FA0363" w:rsidRDefault="00FA0363" w:rsidP="00FA0363">
      <w:pPr>
        <w:pStyle w:val="13"/>
      </w:pPr>
      <w:r>
        <w:rPr>
          <w:rFonts w:hint="eastAsia"/>
        </w:rPr>
        <w:t>具有证券评估资格的资产评估机构设立分支机构，应当自分支机构工商注册登记之日起</w:t>
      </w:r>
      <w:r>
        <w:t>5个工作日内，按一式三份报送下列备案材料：</w:t>
      </w:r>
    </w:p>
    <w:p w14:paraId="7DC3F22A" w14:textId="77777777" w:rsidR="00FA0363" w:rsidRDefault="00FA0363" w:rsidP="00FA0363">
      <w:pPr>
        <w:pStyle w:val="13"/>
      </w:pPr>
      <w:r>
        <w:rPr>
          <w:rFonts w:hint="eastAsia"/>
        </w:rPr>
        <w:lastRenderedPageBreak/>
        <w:t>（一）资产评估机构基本情况表（附件</w:t>
      </w:r>
      <w:r>
        <w:t>2）；</w:t>
      </w:r>
    </w:p>
    <w:p w14:paraId="612E263F" w14:textId="77777777" w:rsidR="00FA0363" w:rsidRDefault="00FA0363" w:rsidP="00FA0363">
      <w:pPr>
        <w:pStyle w:val="13"/>
      </w:pPr>
      <w:r>
        <w:rPr>
          <w:rFonts w:hint="eastAsia"/>
        </w:rPr>
        <w:t>（二）经中国资产评估协会核实的分支机构工商注册登记</w:t>
      </w:r>
      <w:proofErr w:type="gramStart"/>
      <w:r>
        <w:rPr>
          <w:rFonts w:hint="eastAsia"/>
        </w:rPr>
        <w:t>日资产</w:t>
      </w:r>
      <w:proofErr w:type="gramEnd"/>
      <w:r>
        <w:rPr>
          <w:rFonts w:hint="eastAsia"/>
        </w:rPr>
        <w:t>评估机构和所有分支机构的注册资产评估</w:t>
      </w:r>
      <w:proofErr w:type="gramStart"/>
      <w:r>
        <w:rPr>
          <w:rFonts w:hint="eastAsia"/>
        </w:rPr>
        <w:t>师注册</w:t>
      </w:r>
      <w:proofErr w:type="gramEnd"/>
      <w:r>
        <w:rPr>
          <w:rFonts w:hint="eastAsia"/>
        </w:rPr>
        <w:t>情况一览表（附件</w:t>
      </w:r>
      <w:r>
        <w:t>3）；</w:t>
      </w:r>
    </w:p>
    <w:p w14:paraId="427E3BCB" w14:textId="77777777" w:rsidR="00FA0363" w:rsidRDefault="00FA0363" w:rsidP="00FA0363">
      <w:pPr>
        <w:pStyle w:val="13"/>
      </w:pPr>
      <w:r>
        <w:rPr>
          <w:rFonts w:hint="eastAsia"/>
        </w:rPr>
        <w:t>（三）对分支机构的授权书和分支机构管理制度。</w:t>
      </w:r>
    </w:p>
    <w:p w14:paraId="7FC8ACB7" w14:textId="77777777" w:rsidR="00FA0363" w:rsidRDefault="00FA0363" w:rsidP="00FA0363">
      <w:pPr>
        <w:pStyle w:val="ab"/>
        <w:spacing w:before="62" w:after="62"/>
        <w:ind w:firstLine="482"/>
      </w:pPr>
      <w:r>
        <w:rPr>
          <w:rFonts w:hint="eastAsia"/>
        </w:rPr>
        <w:t>四、关于资产评估机构的合并、分立</w:t>
      </w:r>
    </w:p>
    <w:p w14:paraId="5096DDBE" w14:textId="77777777" w:rsidR="00FA0363" w:rsidRDefault="00FA0363" w:rsidP="00FA0363">
      <w:pPr>
        <w:pStyle w:val="13"/>
      </w:pPr>
      <w:r>
        <w:rPr>
          <w:rFonts w:hint="eastAsia"/>
        </w:rPr>
        <w:t>（一）具有证券评估资格的资产评估机构合并或者分立后仍然</w:t>
      </w:r>
      <w:proofErr w:type="gramStart"/>
      <w:r>
        <w:rPr>
          <w:rFonts w:hint="eastAsia"/>
        </w:rPr>
        <w:t>存续且</w:t>
      </w:r>
      <w:proofErr w:type="gramEnd"/>
      <w:r>
        <w:rPr>
          <w:rFonts w:hint="eastAsia"/>
        </w:rPr>
        <w:t>具备本通知第一条第（二）款第</w:t>
      </w:r>
      <w:r>
        <w:t>2项至第7项规定条件的，其证券评估资格继续有效，并应当自</w:t>
      </w:r>
      <w:r>
        <w:rPr>
          <w:rFonts w:hint="eastAsia"/>
        </w:rPr>
        <w:t>工商变更登记之日起</w:t>
      </w:r>
      <w:r>
        <w:t>5个工作日内，按一式三份报送下列备案材料：</w:t>
      </w:r>
    </w:p>
    <w:p w14:paraId="46C5A634" w14:textId="22597FEA" w:rsidR="00FA0363" w:rsidRDefault="00FA0363" w:rsidP="00FA0363">
      <w:pPr>
        <w:pStyle w:val="13"/>
      </w:pPr>
      <w:r>
        <w:t>1.</w:t>
      </w:r>
      <w:r w:rsidR="002451CD">
        <w:t xml:space="preserve"> </w:t>
      </w:r>
      <w:r>
        <w:t>资产评估机构变更事项备案表（附件5）；</w:t>
      </w:r>
    </w:p>
    <w:p w14:paraId="2785ED1D" w14:textId="60961AD4" w:rsidR="00FA0363" w:rsidRDefault="00FA0363" w:rsidP="00FA0363">
      <w:pPr>
        <w:pStyle w:val="13"/>
      </w:pPr>
      <w:r>
        <w:t>2.</w:t>
      </w:r>
      <w:r w:rsidR="002451CD">
        <w:t xml:space="preserve"> </w:t>
      </w:r>
      <w:r>
        <w:t>资产评估机构基本情况表（附件2）；</w:t>
      </w:r>
    </w:p>
    <w:p w14:paraId="57E62B4E" w14:textId="26BE14EA" w:rsidR="00FA0363" w:rsidRDefault="00FA0363" w:rsidP="00FA0363">
      <w:pPr>
        <w:pStyle w:val="13"/>
      </w:pPr>
      <w:r>
        <w:t>3.</w:t>
      </w:r>
      <w:r w:rsidR="002451CD">
        <w:t xml:space="preserve"> </w:t>
      </w:r>
      <w:r>
        <w:t>合并或者分立协议复印件；</w:t>
      </w:r>
    </w:p>
    <w:p w14:paraId="34182AE6" w14:textId="40CC751D" w:rsidR="00FA0363" w:rsidRDefault="00FA0363" w:rsidP="00FA0363">
      <w:pPr>
        <w:pStyle w:val="13"/>
      </w:pPr>
      <w:r>
        <w:t>4.</w:t>
      </w:r>
      <w:r w:rsidR="002451CD">
        <w:t xml:space="preserve"> </w:t>
      </w:r>
      <w:r>
        <w:t>合并或者分立后资产评估机构营业执照副本复印件；</w:t>
      </w:r>
    </w:p>
    <w:p w14:paraId="1E32920C" w14:textId="1A114E2C" w:rsidR="00FA0363" w:rsidRDefault="00FA0363" w:rsidP="00FA0363">
      <w:pPr>
        <w:pStyle w:val="13"/>
      </w:pPr>
      <w:r>
        <w:t>5.</w:t>
      </w:r>
      <w:r w:rsidR="002451CD">
        <w:t xml:space="preserve"> </w:t>
      </w:r>
      <w:r>
        <w:t>经中国资产评估协会核实的合并或者分立后工商变更登记</w:t>
      </w:r>
      <w:proofErr w:type="gramStart"/>
      <w:r>
        <w:t>日注册</w:t>
      </w:r>
      <w:proofErr w:type="gramEnd"/>
      <w:r>
        <w:t>资产评估</w:t>
      </w:r>
      <w:proofErr w:type="gramStart"/>
      <w:r>
        <w:t>师注册</w:t>
      </w:r>
      <w:proofErr w:type="gramEnd"/>
      <w:r>
        <w:t>情况一览表（附件3）；</w:t>
      </w:r>
    </w:p>
    <w:p w14:paraId="15199DB2" w14:textId="41155F05" w:rsidR="00FA0363" w:rsidRDefault="00FA0363" w:rsidP="00FA0363">
      <w:pPr>
        <w:pStyle w:val="13"/>
      </w:pPr>
      <w:r>
        <w:t>6.</w:t>
      </w:r>
      <w:r w:rsidR="002451CD">
        <w:t xml:space="preserve"> </w:t>
      </w:r>
      <w:r>
        <w:t>合并或者分立后职业责任保险保单复印件或者累计职业风险基金证明材料；</w:t>
      </w:r>
    </w:p>
    <w:p w14:paraId="12C36625" w14:textId="33A082C2" w:rsidR="00FA0363" w:rsidRDefault="00FA0363" w:rsidP="00FA0363">
      <w:pPr>
        <w:pStyle w:val="13"/>
      </w:pPr>
      <w:r>
        <w:t>7.</w:t>
      </w:r>
      <w:r w:rsidR="002451CD">
        <w:t xml:space="preserve"> </w:t>
      </w:r>
      <w:r>
        <w:t>由具有证券业务资格的会计师事务所出具的合并或者分立基准日上月末会计报表的审计报告，审计报告应当披露总收入中的评估收入单项说明；</w:t>
      </w:r>
    </w:p>
    <w:p w14:paraId="6D3260EC" w14:textId="392DC52B" w:rsidR="00FA0363" w:rsidRDefault="00FA0363" w:rsidP="00FA0363">
      <w:pPr>
        <w:pStyle w:val="13"/>
      </w:pPr>
      <w:r>
        <w:t>8.</w:t>
      </w:r>
      <w:r w:rsidR="002451CD">
        <w:t xml:space="preserve"> </w:t>
      </w:r>
      <w:r>
        <w:t>资产评估机构质量控制制度和其他内部管理制度及执行情况说明。</w:t>
      </w:r>
    </w:p>
    <w:p w14:paraId="40BD2283" w14:textId="77777777" w:rsidR="00FA0363" w:rsidRDefault="00FA0363" w:rsidP="00FA0363">
      <w:pPr>
        <w:pStyle w:val="13"/>
      </w:pPr>
      <w:r>
        <w:rPr>
          <w:rFonts w:hint="eastAsia"/>
        </w:rPr>
        <w:t>（二）具有证券评估资格的资产评估机构合并或者分立后新设的资产评估机构，</w:t>
      </w:r>
      <w:r>
        <w:t>符合本通知第一条第（二）、（三）款规定的，可以申请证券评估资格。</w:t>
      </w:r>
    </w:p>
    <w:p w14:paraId="32E1E145" w14:textId="77777777" w:rsidR="00FA0363" w:rsidRDefault="00FA0363" w:rsidP="00FA0363">
      <w:pPr>
        <w:pStyle w:val="ab"/>
        <w:spacing w:before="62" w:after="62"/>
        <w:ind w:firstLine="482"/>
      </w:pPr>
      <w:r>
        <w:rPr>
          <w:rFonts w:hint="eastAsia"/>
        </w:rPr>
        <w:t>五、关于资产评估机构重大事项报备</w:t>
      </w:r>
    </w:p>
    <w:p w14:paraId="1E8BDA34" w14:textId="77777777" w:rsidR="00FA0363" w:rsidRDefault="00FA0363" w:rsidP="00FA0363">
      <w:pPr>
        <w:pStyle w:val="13"/>
      </w:pPr>
      <w:r>
        <w:rPr>
          <w:rFonts w:hint="eastAsia"/>
        </w:rPr>
        <w:t>（一）取得证券评估资格的资产评估机构，其名称、地址、股东或者合伙人、法定代表人或者首席合伙人发生变更的，应当自工商变更登记之日起</w:t>
      </w:r>
      <w:r>
        <w:t>5个工作日内，按一式三份报送下列备案材料：</w:t>
      </w:r>
    </w:p>
    <w:p w14:paraId="763EB0F6" w14:textId="76F43FEF" w:rsidR="00FA0363" w:rsidRDefault="00FA0363" w:rsidP="00FA0363">
      <w:pPr>
        <w:pStyle w:val="13"/>
      </w:pPr>
      <w:r>
        <w:t>1.</w:t>
      </w:r>
      <w:r w:rsidR="002451CD">
        <w:t xml:space="preserve"> </w:t>
      </w:r>
      <w:r>
        <w:t>资产评估机构变更事项备案表（附件5）；</w:t>
      </w:r>
    </w:p>
    <w:p w14:paraId="5E17D6C9" w14:textId="74ADBB90" w:rsidR="00FA0363" w:rsidRDefault="00FA0363" w:rsidP="00FA0363">
      <w:pPr>
        <w:pStyle w:val="13"/>
      </w:pPr>
      <w:r>
        <w:t>2.</w:t>
      </w:r>
      <w:r w:rsidR="002451CD">
        <w:t xml:space="preserve"> </w:t>
      </w:r>
      <w:r>
        <w:t>资产评估资格证书、营业执照副本复印件。</w:t>
      </w:r>
    </w:p>
    <w:p w14:paraId="5397BBF4" w14:textId="77777777" w:rsidR="00FA0363" w:rsidRDefault="00FA0363" w:rsidP="00FA0363">
      <w:pPr>
        <w:pStyle w:val="13"/>
      </w:pPr>
      <w:r>
        <w:rPr>
          <w:rFonts w:hint="eastAsia"/>
        </w:rPr>
        <w:t>（二）具有证券评估资格的资产评估机构变更名称的，财政部、证监会应当自收到材料和证券评估资格证书后换发新的证券评估资格证书，并予以公告。</w:t>
      </w:r>
    </w:p>
    <w:p w14:paraId="7F125ECC" w14:textId="77777777" w:rsidR="00FA0363" w:rsidRDefault="00FA0363" w:rsidP="00FA0363">
      <w:pPr>
        <w:pStyle w:val="ab"/>
        <w:spacing w:before="62" w:after="62"/>
        <w:ind w:firstLine="482"/>
      </w:pPr>
      <w:r>
        <w:rPr>
          <w:rFonts w:hint="eastAsia"/>
        </w:rPr>
        <w:t>六、关于资产评估机构年度报备</w:t>
      </w:r>
    </w:p>
    <w:p w14:paraId="7ECBAC2B" w14:textId="77777777" w:rsidR="00FA0363" w:rsidRDefault="00FA0363" w:rsidP="00FA0363">
      <w:pPr>
        <w:pStyle w:val="13"/>
      </w:pPr>
      <w:r>
        <w:rPr>
          <w:rFonts w:hint="eastAsia"/>
        </w:rPr>
        <w:t>具有证券评估资格的资产评估机构应当于每年</w:t>
      </w:r>
      <w:r>
        <w:t>3月31日之前，按一式三份报送下</w:t>
      </w:r>
      <w:r>
        <w:rPr>
          <w:rFonts w:hint="eastAsia"/>
        </w:rPr>
        <w:t>列备案材料：</w:t>
      </w:r>
    </w:p>
    <w:p w14:paraId="6698FBC2" w14:textId="77777777" w:rsidR="00FA0363" w:rsidRDefault="00FA0363" w:rsidP="00FA0363">
      <w:pPr>
        <w:pStyle w:val="13"/>
      </w:pPr>
      <w:r>
        <w:rPr>
          <w:rFonts w:hint="eastAsia"/>
        </w:rPr>
        <w:t>（一）资产评估机构基本情况表（附件</w:t>
      </w:r>
      <w:r>
        <w:t>2）；</w:t>
      </w:r>
    </w:p>
    <w:p w14:paraId="15FF3159" w14:textId="77777777" w:rsidR="00FA0363" w:rsidRDefault="00FA0363" w:rsidP="00FA0363">
      <w:pPr>
        <w:pStyle w:val="13"/>
      </w:pPr>
      <w:r>
        <w:rPr>
          <w:rFonts w:hint="eastAsia"/>
        </w:rPr>
        <w:t>（二）经中国资产评估协会核实的上年</w:t>
      </w:r>
      <w:proofErr w:type="gramStart"/>
      <w:r>
        <w:rPr>
          <w:rFonts w:hint="eastAsia"/>
        </w:rPr>
        <w:t>末注册</w:t>
      </w:r>
      <w:proofErr w:type="gramEnd"/>
      <w:r>
        <w:rPr>
          <w:rFonts w:hint="eastAsia"/>
        </w:rPr>
        <w:t>资产评估</w:t>
      </w:r>
      <w:proofErr w:type="gramStart"/>
      <w:r>
        <w:rPr>
          <w:rFonts w:hint="eastAsia"/>
        </w:rPr>
        <w:t>师注册</w:t>
      </w:r>
      <w:proofErr w:type="gramEnd"/>
      <w:r>
        <w:rPr>
          <w:rFonts w:hint="eastAsia"/>
        </w:rPr>
        <w:t>情况一览表（附件</w:t>
      </w:r>
      <w:r>
        <w:lastRenderedPageBreak/>
        <w:t>3）；</w:t>
      </w:r>
    </w:p>
    <w:p w14:paraId="7A14DE13" w14:textId="77777777" w:rsidR="00FA0363" w:rsidRDefault="00FA0363" w:rsidP="00FA0363">
      <w:pPr>
        <w:pStyle w:val="13"/>
      </w:pPr>
      <w:r>
        <w:rPr>
          <w:rFonts w:hint="eastAsia"/>
        </w:rPr>
        <w:t>（三）由具有证券业务资格的会计师事务所出具的上年度会计报表的审计报告，审计报告应当披露总收入中的评估收入单项说明；</w:t>
      </w:r>
    </w:p>
    <w:p w14:paraId="0D986854" w14:textId="77777777" w:rsidR="00FA0363" w:rsidRDefault="00FA0363" w:rsidP="00FA0363">
      <w:pPr>
        <w:pStyle w:val="13"/>
      </w:pPr>
      <w:r>
        <w:rPr>
          <w:rFonts w:hint="eastAsia"/>
        </w:rPr>
        <w:t>（四）上年度评估业务和收入汇总表（附件</w:t>
      </w:r>
      <w:r>
        <w:t>4）；</w:t>
      </w:r>
    </w:p>
    <w:p w14:paraId="2AE727DF" w14:textId="77777777" w:rsidR="00FA0363" w:rsidRDefault="00FA0363" w:rsidP="00FA0363">
      <w:pPr>
        <w:pStyle w:val="13"/>
      </w:pPr>
      <w:r>
        <w:rPr>
          <w:rFonts w:hint="eastAsia"/>
        </w:rPr>
        <w:t>（五）职业责任保险保单复印件或者累计职业风险基金证明材料；</w:t>
      </w:r>
    </w:p>
    <w:p w14:paraId="00F16930" w14:textId="77777777" w:rsidR="00FA0363" w:rsidRDefault="00FA0363" w:rsidP="00FA0363">
      <w:pPr>
        <w:pStyle w:val="13"/>
      </w:pPr>
      <w:r>
        <w:rPr>
          <w:rFonts w:hint="eastAsia"/>
        </w:rPr>
        <w:t>（六）资产评估机构质量控制制度、对分支机构管理制度和其他内部管理制度的执行情况及其变动情况的说明。</w:t>
      </w:r>
    </w:p>
    <w:p w14:paraId="485CFB61" w14:textId="77777777" w:rsidR="00FA0363" w:rsidRDefault="00FA0363" w:rsidP="00FA0363">
      <w:pPr>
        <w:pStyle w:val="ab"/>
        <w:spacing w:before="62" w:after="62"/>
        <w:ind w:firstLine="482"/>
      </w:pPr>
      <w:r>
        <w:rPr>
          <w:rFonts w:hint="eastAsia"/>
        </w:rPr>
        <w:t>七、关于资产评估机构的日常管理</w:t>
      </w:r>
    </w:p>
    <w:p w14:paraId="322480C5" w14:textId="77777777" w:rsidR="00FA0363" w:rsidRDefault="00FA0363" w:rsidP="00FA0363">
      <w:pPr>
        <w:pStyle w:val="13"/>
      </w:pPr>
      <w:r>
        <w:rPr>
          <w:rFonts w:hint="eastAsia"/>
        </w:rPr>
        <w:t>（一）具有证券评估资格的资产评估机构存在下列情形之一的，财政部、证监会将给予特别关注：</w:t>
      </w:r>
    </w:p>
    <w:p w14:paraId="3D6CE447" w14:textId="7ABAEC51" w:rsidR="00FA0363" w:rsidRDefault="00FA0363" w:rsidP="00FA0363">
      <w:pPr>
        <w:pStyle w:val="13"/>
      </w:pPr>
      <w:r>
        <w:t>1.</w:t>
      </w:r>
      <w:r w:rsidR="002451CD">
        <w:t xml:space="preserve"> </w:t>
      </w:r>
      <w:r>
        <w:t>被举报的；</w:t>
      </w:r>
    </w:p>
    <w:p w14:paraId="157E420D" w14:textId="20CE05EC" w:rsidR="00FA0363" w:rsidRDefault="00FA0363" w:rsidP="00FA0363">
      <w:pPr>
        <w:pStyle w:val="13"/>
      </w:pPr>
      <w:r>
        <w:t>2.</w:t>
      </w:r>
      <w:r w:rsidR="002451CD">
        <w:t xml:space="preserve"> </w:t>
      </w:r>
      <w:r>
        <w:t>受到公众质疑，被有关媒体披露的；</w:t>
      </w:r>
    </w:p>
    <w:p w14:paraId="27B8A06D" w14:textId="37CB5D87" w:rsidR="00FA0363" w:rsidRDefault="00FA0363" w:rsidP="00FA0363">
      <w:pPr>
        <w:pStyle w:val="13"/>
      </w:pPr>
      <w:r>
        <w:t>3.</w:t>
      </w:r>
      <w:r w:rsidR="002451CD">
        <w:t xml:space="preserve"> </w:t>
      </w:r>
      <w:r>
        <w:t>首次承接证券业务的；</w:t>
      </w:r>
    </w:p>
    <w:p w14:paraId="70EF35CF" w14:textId="325251DD" w:rsidR="00FA0363" w:rsidRDefault="00FA0363" w:rsidP="00FA0363">
      <w:pPr>
        <w:pStyle w:val="13"/>
      </w:pPr>
      <w:r>
        <w:t>4.</w:t>
      </w:r>
      <w:r w:rsidR="002451CD">
        <w:t xml:space="preserve"> </w:t>
      </w:r>
      <w:r>
        <w:t>注册资产评估师流动过于频繁，或者最近1年内未从事证券业务的；</w:t>
      </w:r>
    </w:p>
    <w:p w14:paraId="23F03997" w14:textId="040659AE" w:rsidR="00FA0363" w:rsidRDefault="00FA0363" w:rsidP="00FA0363">
      <w:pPr>
        <w:pStyle w:val="13"/>
      </w:pPr>
      <w:r>
        <w:t>5.</w:t>
      </w:r>
      <w:r w:rsidR="002451CD">
        <w:t xml:space="preserve"> </w:t>
      </w:r>
      <w:r>
        <w:t>股东（合伙人）之间关系极不协调，可能对执业质量造成影响的；</w:t>
      </w:r>
    </w:p>
    <w:p w14:paraId="51DE2534" w14:textId="7BDBA361" w:rsidR="00FA0363" w:rsidRDefault="00FA0363" w:rsidP="00FA0363">
      <w:pPr>
        <w:pStyle w:val="13"/>
      </w:pPr>
      <w:r>
        <w:t>6.</w:t>
      </w:r>
      <w:r w:rsidR="002451CD">
        <w:t xml:space="preserve"> </w:t>
      </w:r>
      <w:r>
        <w:t>股东（合伙人）发生重大变动的；</w:t>
      </w:r>
    </w:p>
    <w:p w14:paraId="52462371" w14:textId="0C952ADF" w:rsidR="00FA0363" w:rsidRDefault="00FA0363" w:rsidP="00FA0363">
      <w:pPr>
        <w:pStyle w:val="13"/>
      </w:pPr>
      <w:r>
        <w:t>7.</w:t>
      </w:r>
      <w:r w:rsidR="002451CD">
        <w:t xml:space="preserve"> </w:t>
      </w:r>
      <w:r>
        <w:t>收费异常的；</w:t>
      </w:r>
    </w:p>
    <w:p w14:paraId="67CA80F0" w14:textId="2871E43C" w:rsidR="00FA0363" w:rsidRDefault="00FA0363" w:rsidP="00FA0363">
      <w:pPr>
        <w:pStyle w:val="13"/>
      </w:pPr>
      <w:r>
        <w:t>8.</w:t>
      </w:r>
      <w:r w:rsidR="002451CD">
        <w:t xml:space="preserve"> </w:t>
      </w:r>
      <w:r>
        <w:t>客户数量、规模与资产评估机构的执业能力、承担风险能力不相称的；</w:t>
      </w:r>
    </w:p>
    <w:p w14:paraId="5EC15DB0" w14:textId="1E3DB1C0" w:rsidR="00FA0363" w:rsidRDefault="00FA0363" w:rsidP="00FA0363">
      <w:pPr>
        <w:pStyle w:val="13"/>
      </w:pPr>
      <w:r>
        <w:t>9.</w:t>
      </w:r>
      <w:r w:rsidR="002451CD">
        <w:t xml:space="preserve"> </w:t>
      </w:r>
      <w:r>
        <w:t>发生合并、分立的；</w:t>
      </w:r>
    </w:p>
    <w:p w14:paraId="3B34155C" w14:textId="77777777" w:rsidR="00FA0363" w:rsidRDefault="00FA0363" w:rsidP="00FA0363">
      <w:pPr>
        <w:pStyle w:val="13"/>
      </w:pPr>
      <w:r>
        <w:t>10.受到刑事处罚、行政处罚或者行业自律惩戒的；</w:t>
      </w:r>
    </w:p>
    <w:p w14:paraId="58243DE4" w14:textId="77777777" w:rsidR="00FA0363" w:rsidRDefault="00FA0363" w:rsidP="00FA0363">
      <w:pPr>
        <w:pStyle w:val="13"/>
      </w:pPr>
      <w:r>
        <w:t>11.不按本通知规定进行报备的；</w:t>
      </w:r>
    </w:p>
    <w:p w14:paraId="01673B02" w14:textId="77777777" w:rsidR="00FA0363" w:rsidRDefault="00FA0363" w:rsidP="00FA0363">
      <w:pPr>
        <w:pStyle w:val="13"/>
      </w:pPr>
      <w:r>
        <w:t>12.财政部、证监会认为需要给予特别关注的其他情形。</w:t>
      </w:r>
    </w:p>
    <w:p w14:paraId="704F73C5" w14:textId="77777777" w:rsidR="00FA0363" w:rsidRDefault="00FA0363" w:rsidP="00FA0363">
      <w:pPr>
        <w:pStyle w:val="13"/>
      </w:pPr>
      <w:r>
        <w:rPr>
          <w:rFonts w:hint="eastAsia"/>
        </w:rPr>
        <w:t>（二）财政部、证监会依法对资产评估机构从事证券业务的情况进行监督检查，</w:t>
      </w:r>
      <w:r>
        <w:t>资产评估机构及其注册资产评估</w:t>
      </w:r>
      <w:proofErr w:type="gramStart"/>
      <w:r>
        <w:t>师应当</w:t>
      </w:r>
      <w:proofErr w:type="gramEnd"/>
      <w:r>
        <w:t>予以配合。</w:t>
      </w:r>
    </w:p>
    <w:p w14:paraId="331947AD" w14:textId="77777777" w:rsidR="00FA0363" w:rsidRDefault="00FA0363" w:rsidP="00FA0363">
      <w:pPr>
        <w:pStyle w:val="13"/>
      </w:pPr>
      <w:r>
        <w:rPr>
          <w:rFonts w:hint="eastAsia"/>
        </w:rPr>
        <w:t>（三）财政部、证监会应当建立资产评估机构从事证券业务诚信档案。对具有证券评估资格的资产评估机构从事证券业务违反规定的，财政部、证监会可以采取出具警示函并责令其整改等措施；对资产评估机构负责人、直接负责的主管人员和其他直接责任人员，可以实行监管谈话、出具警示函等措施，对情节严重的，可以给予一定期限不适宜从事证券业务的惩戒，同时记入诚信档案，并予以公告。</w:t>
      </w:r>
    </w:p>
    <w:p w14:paraId="6BDF87A5" w14:textId="77777777" w:rsidR="00FA0363" w:rsidRDefault="00FA0363" w:rsidP="00FA0363">
      <w:pPr>
        <w:pStyle w:val="ab"/>
        <w:spacing w:before="62" w:after="62"/>
        <w:ind w:firstLine="482"/>
      </w:pPr>
      <w:r>
        <w:rPr>
          <w:rFonts w:hint="eastAsia"/>
        </w:rPr>
        <w:t>八、关于证券评估资格的撤回</w:t>
      </w:r>
    </w:p>
    <w:p w14:paraId="7963AFF0" w14:textId="77777777" w:rsidR="00FA0363" w:rsidRDefault="00FA0363" w:rsidP="00FA0363">
      <w:pPr>
        <w:pStyle w:val="13"/>
      </w:pPr>
      <w:r>
        <w:rPr>
          <w:rFonts w:hint="eastAsia"/>
        </w:rPr>
        <w:t>（一）具有证券评估资格的资产评估机构，应当持续具备本通知第一条第（二）</w:t>
      </w:r>
      <w:r>
        <w:t>款第2项至第7项规定的条件。</w:t>
      </w:r>
    </w:p>
    <w:p w14:paraId="006172B7" w14:textId="77777777" w:rsidR="00FA0363" w:rsidRDefault="00FA0363" w:rsidP="00FA0363">
      <w:pPr>
        <w:pStyle w:val="13"/>
      </w:pPr>
      <w:r>
        <w:rPr>
          <w:rFonts w:hint="eastAsia"/>
        </w:rPr>
        <w:t>（二）具有证券评估资格的资产评估机构，发生不具备本通知第一条第（二）款</w:t>
      </w:r>
      <w:r>
        <w:rPr>
          <w:rFonts w:hint="eastAsia"/>
        </w:rPr>
        <w:lastRenderedPageBreak/>
        <w:t>第</w:t>
      </w:r>
      <w:r>
        <w:t>2项至第5项条件之一情形的，应当在5个工作日内，向财政部和证监会报告，并</w:t>
      </w:r>
      <w:r>
        <w:rPr>
          <w:rFonts w:hint="eastAsia"/>
        </w:rPr>
        <w:t>应当自出现上述情形之日起</w:t>
      </w:r>
      <w:r>
        <w:t>90日内进行整改，整改期间不得承接证券业务。整改结束</w:t>
      </w:r>
      <w:r>
        <w:rPr>
          <w:rFonts w:hint="eastAsia"/>
        </w:rPr>
        <w:t>后，应当在</w:t>
      </w:r>
      <w:r>
        <w:t>5个工作日内报送整改情况说明。</w:t>
      </w:r>
    </w:p>
    <w:p w14:paraId="357A98F1" w14:textId="77777777" w:rsidR="00FA0363" w:rsidRDefault="00FA0363" w:rsidP="00FA0363">
      <w:pPr>
        <w:pStyle w:val="13"/>
      </w:pPr>
      <w:r>
        <w:rPr>
          <w:rFonts w:hint="eastAsia"/>
        </w:rPr>
        <w:t>（三）具有证券评估资格的资产评估机构发生以下情形之一的，财政部、证监会撤回其证券评估资格：</w:t>
      </w:r>
    </w:p>
    <w:p w14:paraId="3B4A33D0" w14:textId="7A984C79" w:rsidR="00FA0363" w:rsidRDefault="00FA0363" w:rsidP="00FA0363">
      <w:pPr>
        <w:pStyle w:val="13"/>
      </w:pPr>
      <w:r>
        <w:t>1.</w:t>
      </w:r>
      <w:r w:rsidR="002451CD">
        <w:t xml:space="preserve"> </w:t>
      </w:r>
      <w:r>
        <w:t>发生本条第（二）款情形逾期未报告，未经整改或者整改后仍未达到本通知第一条第（二）款第2项至第5项规定条件的；</w:t>
      </w:r>
    </w:p>
    <w:p w14:paraId="28B287C2" w14:textId="76EAC192" w:rsidR="00FA0363" w:rsidRDefault="00FA0363" w:rsidP="00FA0363">
      <w:pPr>
        <w:pStyle w:val="13"/>
      </w:pPr>
      <w:r>
        <w:t>2.</w:t>
      </w:r>
      <w:r w:rsidR="002451CD">
        <w:t xml:space="preserve"> </w:t>
      </w:r>
      <w:r>
        <w:t>情况变化导致不具备本通知第一条第（二）款第6项和第7项规定条件的。</w:t>
      </w:r>
    </w:p>
    <w:p w14:paraId="640EE51B" w14:textId="77777777" w:rsidR="00FA0363" w:rsidRDefault="00FA0363" w:rsidP="00FA0363">
      <w:pPr>
        <w:pStyle w:val="13"/>
      </w:pPr>
      <w:r>
        <w:rPr>
          <w:rFonts w:hint="eastAsia"/>
        </w:rPr>
        <w:t>（四）具有证券评估资格的资产评估机构终止的，证券评估资格失效，其证券评估资格证书应当在工商注销登记之前交回。</w:t>
      </w:r>
    </w:p>
    <w:p w14:paraId="2A782F87" w14:textId="77777777" w:rsidR="00FA0363" w:rsidRDefault="00FA0363" w:rsidP="00FA0363">
      <w:pPr>
        <w:pStyle w:val="13"/>
      </w:pPr>
      <w:r>
        <w:rPr>
          <w:rFonts w:hint="eastAsia"/>
        </w:rPr>
        <w:t>（五）具有证券评估资格的资产评估机构，除被依法撤销、撤回证券评估资格</w:t>
      </w:r>
      <w:r>
        <w:t>外，不再从事证券业务的，应当交回证券评估资格证书，并按一式三份提交资产评估机构终止证券业务情况说明表（附件6）。</w:t>
      </w:r>
    </w:p>
    <w:p w14:paraId="5FC4050A" w14:textId="77777777" w:rsidR="00FA0363" w:rsidRDefault="00FA0363" w:rsidP="00FA0363">
      <w:pPr>
        <w:pStyle w:val="13"/>
      </w:pPr>
      <w:r>
        <w:rPr>
          <w:rFonts w:hint="eastAsia"/>
        </w:rPr>
        <w:t>（六）财政部、证监会应当对被依法撤销、撤回证券评估资格或者交回证券评估资格证书的资产评估机构予以公告。</w:t>
      </w:r>
    </w:p>
    <w:p w14:paraId="7E0236E8" w14:textId="77777777" w:rsidR="00FA0363" w:rsidRDefault="00FA0363" w:rsidP="00FA0363">
      <w:pPr>
        <w:pStyle w:val="ab"/>
        <w:spacing w:before="62" w:after="62"/>
        <w:ind w:firstLine="482"/>
      </w:pPr>
      <w:r>
        <w:rPr>
          <w:rFonts w:hint="eastAsia"/>
        </w:rPr>
        <w:t>九、其他事项</w:t>
      </w:r>
    </w:p>
    <w:p w14:paraId="36016029" w14:textId="77777777" w:rsidR="00FA0363" w:rsidRDefault="00FA0363" w:rsidP="00FA0363">
      <w:pPr>
        <w:pStyle w:val="13"/>
      </w:pPr>
      <w:r>
        <w:rPr>
          <w:rFonts w:hint="eastAsia"/>
        </w:rPr>
        <w:t>（一）中国资产评估协会协助财政部、证监会对具有证券评估资格的资产评估机构进行管理。</w:t>
      </w:r>
    </w:p>
    <w:p w14:paraId="6DD2E4BA" w14:textId="77777777" w:rsidR="00FA0363" w:rsidRDefault="00FA0363" w:rsidP="00FA0363">
      <w:pPr>
        <w:pStyle w:val="13"/>
      </w:pPr>
      <w:r>
        <w:rPr>
          <w:rFonts w:hint="eastAsia"/>
        </w:rPr>
        <w:t>（二）本通知所称证券业务，是指涉及各类已发行或者拟发行证券的企业的各类资产评估业务，以及涉及证券及期货经营机构、证券及期货交易所、证券投资基金及其管理公司、证券登记结算机构等的资产评估业务。</w:t>
      </w:r>
    </w:p>
    <w:p w14:paraId="4E9D999F" w14:textId="77777777" w:rsidR="00FA0363" w:rsidRDefault="00FA0363" w:rsidP="00FA0363">
      <w:pPr>
        <w:pStyle w:val="13"/>
      </w:pPr>
      <w:r>
        <w:rPr>
          <w:rFonts w:hint="eastAsia"/>
        </w:rPr>
        <w:t>（三）本通知所称“以上”包括本数。</w:t>
      </w:r>
    </w:p>
    <w:p w14:paraId="0F1B51E4" w14:textId="77777777" w:rsidR="00FA0363" w:rsidRDefault="00FA0363" w:rsidP="00FA0363">
      <w:pPr>
        <w:pStyle w:val="13"/>
      </w:pPr>
      <w:r>
        <w:rPr>
          <w:rFonts w:hint="eastAsia"/>
        </w:rPr>
        <w:t>（四）资产评估机构按照本通知规定提交的有关附件和审计报告，应当同时报送电子文档；提交的有关材料为复印件的，应当加盖单位公章。</w:t>
      </w:r>
    </w:p>
    <w:p w14:paraId="2621453D" w14:textId="77777777" w:rsidR="00FA0363" w:rsidRDefault="00FA0363" w:rsidP="00FA0363">
      <w:pPr>
        <w:pStyle w:val="13"/>
      </w:pPr>
      <w:r>
        <w:rPr>
          <w:rFonts w:hint="eastAsia"/>
        </w:rPr>
        <w:t>（五）本通知自</w:t>
      </w:r>
      <w:r>
        <w:t>2008年7月1日起施行。持有原国家国有资产管理局和证监会联</w:t>
      </w:r>
      <w:r>
        <w:rPr>
          <w:rFonts w:hint="eastAsia"/>
        </w:rPr>
        <w:t>合颁发的证券业务资产评估许可证的合法的资产评估机构，在本通知施行之日起</w:t>
      </w:r>
      <w:r>
        <w:t>60日内报送《资产评估机构基本情况表》（附件2）和证券业务资产评估许可证沿革说明的，其证券评估资格在2008年12月31日之前继续有效。</w:t>
      </w:r>
    </w:p>
    <w:p w14:paraId="6569EB7B" w14:textId="77777777" w:rsidR="00FA0363" w:rsidRDefault="00FA0363" w:rsidP="00FA0363">
      <w:pPr>
        <w:pStyle w:val="13"/>
      </w:pPr>
      <w:r>
        <w:rPr>
          <w:rFonts w:hint="eastAsia"/>
        </w:rPr>
        <w:t>附件：</w:t>
      </w:r>
    </w:p>
    <w:p w14:paraId="2B7BC1F9" w14:textId="77777777" w:rsidR="00FA0363" w:rsidRDefault="00FA0363" w:rsidP="00FA0363">
      <w:pPr>
        <w:pStyle w:val="13"/>
      </w:pPr>
      <w:r>
        <w:t>1关于申请证券评估资格的报告</w:t>
      </w:r>
    </w:p>
    <w:p w14:paraId="45CD43B3" w14:textId="51C5848B" w:rsidR="00FA0363" w:rsidRDefault="00FA0363" w:rsidP="00FA0363">
      <w:pPr>
        <w:pStyle w:val="13"/>
      </w:pPr>
      <w:r>
        <w:t>2.</w:t>
      </w:r>
      <w:r w:rsidR="002451CD">
        <w:t xml:space="preserve"> </w:t>
      </w:r>
      <w:r>
        <w:t>资产评估机构基本情况表</w:t>
      </w:r>
    </w:p>
    <w:p w14:paraId="6EAB067D" w14:textId="79B82324" w:rsidR="00FA0363" w:rsidRDefault="00FA0363" w:rsidP="00FA0363">
      <w:pPr>
        <w:pStyle w:val="13"/>
      </w:pPr>
      <w:r>
        <w:t>3.</w:t>
      </w:r>
      <w:r w:rsidR="002451CD">
        <w:t xml:space="preserve"> </w:t>
      </w:r>
      <w:r>
        <w:t>注册资产评估</w:t>
      </w:r>
      <w:proofErr w:type="gramStart"/>
      <w:r>
        <w:t>师注册</w:t>
      </w:r>
      <w:proofErr w:type="gramEnd"/>
      <w:r>
        <w:t>情况一览表</w:t>
      </w:r>
    </w:p>
    <w:p w14:paraId="3224C8CC" w14:textId="4D6819BB" w:rsidR="00FA0363" w:rsidRDefault="00FA0363" w:rsidP="00FA0363">
      <w:pPr>
        <w:pStyle w:val="13"/>
      </w:pPr>
      <w:r>
        <w:t>4.</w:t>
      </w:r>
      <w:r w:rsidR="002451CD">
        <w:t xml:space="preserve"> </w:t>
      </w:r>
      <w:r>
        <w:t>年度评估业务和收入汇总表</w:t>
      </w:r>
    </w:p>
    <w:p w14:paraId="4837F66D" w14:textId="53E92F1B" w:rsidR="00FA0363" w:rsidRDefault="00FA0363" w:rsidP="00FA0363">
      <w:pPr>
        <w:pStyle w:val="13"/>
      </w:pPr>
      <w:r>
        <w:t>5.</w:t>
      </w:r>
      <w:r w:rsidR="002451CD">
        <w:t xml:space="preserve"> </w:t>
      </w:r>
      <w:r>
        <w:t>资产评估机构变更事项备案表</w:t>
      </w:r>
    </w:p>
    <w:p w14:paraId="25F595E8" w14:textId="10AA8077" w:rsidR="00FA0363" w:rsidRDefault="00FA0363" w:rsidP="00FA0363">
      <w:pPr>
        <w:pStyle w:val="13"/>
      </w:pPr>
      <w:r>
        <w:lastRenderedPageBreak/>
        <w:t>6.</w:t>
      </w:r>
      <w:r w:rsidR="002451CD">
        <w:t xml:space="preserve"> </w:t>
      </w:r>
      <w:r>
        <w:t>资产评估机构终止证券业务情况说明表</w:t>
      </w:r>
    </w:p>
    <w:p w14:paraId="5984A4BF" w14:textId="77777777" w:rsidR="00FA0363" w:rsidRDefault="00FA0363" w:rsidP="00FA0363">
      <w:pPr>
        <w:pStyle w:val="13"/>
        <w:jc w:val="right"/>
      </w:pPr>
      <w:r>
        <w:rPr>
          <w:rFonts w:hint="eastAsia"/>
        </w:rPr>
        <w:t>二〇〇八年四月二十九日</w:t>
      </w:r>
    </w:p>
    <w:p w14:paraId="50B10775" w14:textId="77777777" w:rsidR="00FA0363" w:rsidRDefault="00FA0363" w:rsidP="00FA0363">
      <w:pPr>
        <w:pStyle w:val="31"/>
        <w:spacing w:before="156" w:after="62"/>
      </w:pPr>
      <w:bookmarkStart w:id="273" w:name="_Toc81833506"/>
      <w:r>
        <w:rPr>
          <w:rFonts w:hint="eastAsia"/>
        </w:rPr>
        <w:t>《关于加强证券评估机构后续管理有关问题的通知》（财企〔</w:t>
      </w:r>
      <w:r>
        <w:t>2009〕235号）</w:t>
      </w:r>
      <w:bookmarkEnd w:id="273"/>
    </w:p>
    <w:p w14:paraId="3277E5B4" w14:textId="77777777" w:rsidR="00FA0363" w:rsidRDefault="00FA0363" w:rsidP="00FA0363">
      <w:pPr>
        <w:pStyle w:val="13"/>
        <w:ind w:firstLineChars="0" w:firstLine="0"/>
      </w:pPr>
      <w:r>
        <w:rPr>
          <w:rFonts w:hint="eastAsia"/>
        </w:rPr>
        <w:t>各省、自治区、直辖市财政厅（局），证监会各省、自治区、直辖市、计划单列市监管局：</w:t>
      </w:r>
    </w:p>
    <w:p w14:paraId="3CB3E7D5" w14:textId="77777777" w:rsidR="00FA0363" w:rsidRDefault="00FA0363" w:rsidP="00FA0363">
      <w:pPr>
        <w:pStyle w:val="13"/>
      </w:pPr>
      <w:r>
        <w:rPr>
          <w:rFonts w:hint="eastAsia"/>
        </w:rPr>
        <w:t>为加强具备证券期货相关业务评估资格的资产评估机构（以下简称证券评估机</w:t>
      </w:r>
      <w:r>
        <w:t>构）的动态管理，根据《财政部证监会关于从事证券期货相关业务的资产评估机构有关管理问题的通知》（财企〔2008〕81号）有关规定，现对证券评估机构有关后续管理问题通知如下：</w:t>
      </w:r>
    </w:p>
    <w:p w14:paraId="5CD1AE1E" w14:textId="77777777" w:rsidR="00FA0363" w:rsidRDefault="00FA0363" w:rsidP="00FA0363">
      <w:pPr>
        <w:pStyle w:val="ab"/>
        <w:spacing w:before="62" w:after="62"/>
        <w:ind w:firstLine="482"/>
      </w:pPr>
      <w:r>
        <w:rPr>
          <w:rFonts w:hint="eastAsia"/>
        </w:rPr>
        <w:t>一、关于证券评估机构年度备案管理问题</w:t>
      </w:r>
    </w:p>
    <w:p w14:paraId="7311A9A2" w14:textId="77777777" w:rsidR="00FA0363" w:rsidRDefault="00FA0363" w:rsidP="00FA0363">
      <w:pPr>
        <w:pStyle w:val="13"/>
      </w:pPr>
      <w:r>
        <w:rPr>
          <w:rFonts w:hint="eastAsia"/>
        </w:rPr>
        <w:t>（一）年度报备是证券评估机构动态管理的一项重要内容，各证券评估机构应当建立健全相关备案管理制度，并指派专门人员负责。</w:t>
      </w:r>
    </w:p>
    <w:p w14:paraId="07A5ABE8" w14:textId="77777777" w:rsidR="00FA0363" w:rsidRDefault="00FA0363" w:rsidP="00FA0363">
      <w:pPr>
        <w:pStyle w:val="13"/>
      </w:pPr>
      <w:r>
        <w:rPr>
          <w:rFonts w:hint="eastAsia"/>
        </w:rPr>
        <w:t>（二）证券评估机构应当委托与本机构不存在关联关系且具有证券资格的会计师事务所审计年度财务会计报告。审计报告应当披露评估业务收入金额以及其中证券业务和非证券业务的收入金额、各类应收应付款主要构成、股东借款情况、职业风险基金提取和使用情况。</w:t>
      </w:r>
    </w:p>
    <w:p w14:paraId="79C0A717" w14:textId="77777777" w:rsidR="00FA0363" w:rsidRDefault="00FA0363" w:rsidP="00FA0363">
      <w:pPr>
        <w:pStyle w:val="13"/>
      </w:pPr>
      <w:r>
        <w:rPr>
          <w:rFonts w:hint="eastAsia"/>
        </w:rPr>
        <w:t>（三）年度报备的上年度评估业务和收入汇总表，所列业务和收入应当按照本通知第二条的规定进行统计。</w:t>
      </w:r>
    </w:p>
    <w:p w14:paraId="6ED705F4" w14:textId="77777777" w:rsidR="00FA0363" w:rsidRDefault="00FA0363" w:rsidP="00FA0363">
      <w:pPr>
        <w:pStyle w:val="13"/>
      </w:pPr>
      <w:r>
        <w:rPr>
          <w:rFonts w:hint="eastAsia"/>
        </w:rPr>
        <w:t>（四）证券评估机构应当履行行业和社会责任，并据实填报履行行业和社会责任情况表（附件</w:t>
      </w:r>
      <w:r>
        <w:t>1）。</w:t>
      </w:r>
    </w:p>
    <w:p w14:paraId="4A0C515C" w14:textId="77777777" w:rsidR="00FA0363" w:rsidRDefault="00FA0363" w:rsidP="00FA0363">
      <w:pPr>
        <w:pStyle w:val="13"/>
      </w:pPr>
      <w:r>
        <w:rPr>
          <w:rFonts w:hint="eastAsia"/>
        </w:rPr>
        <w:t>（五）证券评估机构将年度报备书面材料和电子文本分别报送财政部、证监会和中国资产评估协会。对证券评估机构年度备案材料中涉及财企〔</w:t>
      </w:r>
      <w:r>
        <w:t>2008〕81号文件规定条件的主要内容，财政部、证监会、中国资产评估协会将向社会公示。</w:t>
      </w:r>
    </w:p>
    <w:p w14:paraId="559A09AB" w14:textId="77777777" w:rsidR="00FA0363" w:rsidRDefault="00FA0363" w:rsidP="00FA0363">
      <w:pPr>
        <w:pStyle w:val="13"/>
      </w:pPr>
      <w:r>
        <w:rPr>
          <w:rFonts w:hint="eastAsia"/>
        </w:rPr>
        <w:t>未按规定时间、内容进行报备的证券评估机构，财政部、证监会、中国资产评估协会将予以通报批评。</w:t>
      </w:r>
    </w:p>
    <w:p w14:paraId="1171B765" w14:textId="77777777" w:rsidR="00FA0363" w:rsidRDefault="00FA0363" w:rsidP="00FA0363">
      <w:pPr>
        <w:pStyle w:val="ab"/>
        <w:spacing w:before="62" w:after="62"/>
        <w:ind w:firstLine="482"/>
      </w:pPr>
      <w:r>
        <w:rPr>
          <w:rFonts w:hint="eastAsia"/>
        </w:rPr>
        <w:t>二、关于评估业务收入计算问题</w:t>
      </w:r>
    </w:p>
    <w:p w14:paraId="5295621A" w14:textId="77777777" w:rsidR="00FA0363" w:rsidRDefault="00FA0363" w:rsidP="00FA0363">
      <w:pPr>
        <w:pStyle w:val="13"/>
      </w:pPr>
      <w:r>
        <w:rPr>
          <w:rFonts w:hint="eastAsia"/>
        </w:rPr>
        <w:t>（一）证券评估机构评估业务收入，区分为“直接委托的评估业务收入”和“非直接委托的评估业务收入”。在证券评估资格管理中，对财企〔</w:t>
      </w:r>
      <w:r>
        <w:t>2008〕81号文件第一条第（二）款第7项规定的“最近3年每年不少于500万元，合计不少于2000万元的评估业务收入”，是指证券评估机构不改变会计核算原则并经审计核实的“直接委托的评估业务收入”，其发生的“非直接委托的评估业务收入”仍按原有规定核算和管理，但不予计算。</w:t>
      </w:r>
    </w:p>
    <w:p w14:paraId="47E15311" w14:textId="77777777" w:rsidR="00FA0363" w:rsidRDefault="00FA0363" w:rsidP="00FA0363">
      <w:pPr>
        <w:pStyle w:val="13"/>
      </w:pPr>
      <w:r>
        <w:rPr>
          <w:rFonts w:hint="eastAsia"/>
        </w:rPr>
        <w:t>（二）证券评估机构接受评估（咨询）报告使用者委托并签订业务约定书，履行</w:t>
      </w:r>
      <w:r>
        <w:rPr>
          <w:rFonts w:hint="eastAsia"/>
        </w:rPr>
        <w:lastRenderedPageBreak/>
        <w:t>了评估准则规定的相关程序，编制了评估工作底稿，向委托方开具了发票，取得了收款的权利，并同时具备下列情形之一的，计算为“直接委托的评估业务收入”：</w:t>
      </w:r>
    </w:p>
    <w:p w14:paraId="2A3C81ED" w14:textId="77777777" w:rsidR="00FA0363" w:rsidRDefault="00FA0363" w:rsidP="00FA0363">
      <w:pPr>
        <w:pStyle w:val="13"/>
      </w:pPr>
      <w:r>
        <w:t>1、对单项资产或企业整体资产的价值向委托方出具了评估报告；</w:t>
      </w:r>
    </w:p>
    <w:p w14:paraId="6E513743" w14:textId="77777777" w:rsidR="00FA0363" w:rsidRDefault="00FA0363" w:rsidP="00FA0363">
      <w:pPr>
        <w:pStyle w:val="13"/>
      </w:pPr>
      <w:r>
        <w:t>2、在对单项资产或企业整体资产的价值判断基础上，向委托方出具了书面评估咨询意见；</w:t>
      </w:r>
    </w:p>
    <w:p w14:paraId="3CC20132" w14:textId="77777777" w:rsidR="00FA0363" w:rsidRDefault="00FA0363" w:rsidP="00FA0363">
      <w:pPr>
        <w:pStyle w:val="13"/>
      </w:pPr>
      <w:r>
        <w:t>3、因委托方原因终止评估项目未出具评估报告或评估咨询意见的，应当具备评估项目终止协议或者评估项目相关经济行为终止的证明文件；</w:t>
      </w:r>
    </w:p>
    <w:p w14:paraId="79B4BEBE" w14:textId="77777777" w:rsidR="00FA0363" w:rsidRDefault="00FA0363" w:rsidP="00FA0363">
      <w:pPr>
        <w:pStyle w:val="13"/>
      </w:pPr>
      <w:r>
        <w:t>4、因证券评估机构主动终止评估项目未出具评估报告或评估咨询意见的，应当具备证券评估对终止原因的合理说明。</w:t>
      </w:r>
    </w:p>
    <w:p w14:paraId="2606683A" w14:textId="77777777" w:rsidR="00FA0363" w:rsidRDefault="00FA0363" w:rsidP="00FA0363">
      <w:pPr>
        <w:pStyle w:val="13"/>
      </w:pPr>
      <w:r>
        <w:rPr>
          <w:rFonts w:hint="eastAsia"/>
        </w:rPr>
        <w:t>（三）证券评估机构与其他评估机构合并的，合并前各方取得的评估业务收入不再合并计算。</w:t>
      </w:r>
    </w:p>
    <w:p w14:paraId="5ED92D72" w14:textId="77777777" w:rsidR="00FA0363" w:rsidRDefault="00FA0363" w:rsidP="00FA0363">
      <w:pPr>
        <w:pStyle w:val="ab"/>
        <w:spacing w:before="62" w:after="62"/>
        <w:ind w:firstLine="482"/>
      </w:pPr>
      <w:r>
        <w:rPr>
          <w:rFonts w:hint="eastAsia"/>
        </w:rPr>
        <w:t>三、关于内部管理问题</w:t>
      </w:r>
    </w:p>
    <w:p w14:paraId="4CB146FB" w14:textId="77777777" w:rsidR="00FA0363" w:rsidRDefault="00FA0363" w:rsidP="00FA0363">
      <w:pPr>
        <w:pStyle w:val="13"/>
      </w:pPr>
      <w:r>
        <w:rPr>
          <w:rFonts w:hint="eastAsia"/>
        </w:rPr>
        <w:t>（一）证券评估机构应当建立健全质量控制制度，采取有效的防护措施，合理保证本机构及其人员的独立性，避免利益冲突。</w:t>
      </w:r>
    </w:p>
    <w:p w14:paraId="47FCD97C" w14:textId="77777777" w:rsidR="00FA0363" w:rsidRDefault="00FA0363" w:rsidP="00FA0363">
      <w:pPr>
        <w:pStyle w:val="13"/>
      </w:pPr>
      <w:r>
        <w:rPr>
          <w:rFonts w:hint="eastAsia"/>
        </w:rPr>
        <w:t>（二）证券评估机构应当按照《企业财务通则》（财政部令第</w:t>
      </w:r>
      <w:r>
        <w:t>41号）要求，完善内部财务制度，加强财务管理，规范财务行为，防范财务风险。</w:t>
      </w:r>
    </w:p>
    <w:p w14:paraId="4A303CC4" w14:textId="77777777" w:rsidR="00FA0363" w:rsidRDefault="00FA0363" w:rsidP="00FA0363">
      <w:pPr>
        <w:pStyle w:val="13"/>
      </w:pPr>
      <w:r>
        <w:rPr>
          <w:rFonts w:hint="eastAsia"/>
        </w:rPr>
        <w:t>（三）除了执行业务所需的周转金以外，证券评估机构一般不得长期借款给股东及其他个人。证券评估机构借款给股东的，不得导致净资产扣减股东借款后低于</w:t>
      </w:r>
      <w:r>
        <w:t>200万元。由于不可抗力原因需要的个人借款，应当说明事由、金额、还款承诺，并经过股东会决议。</w:t>
      </w:r>
    </w:p>
    <w:p w14:paraId="3798196C" w14:textId="77777777" w:rsidR="00FA0363" w:rsidRDefault="00FA0363" w:rsidP="00FA0363">
      <w:pPr>
        <w:pStyle w:val="13"/>
      </w:pPr>
      <w:r>
        <w:rPr>
          <w:rFonts w:hint="eastAsia"/>
        </w:rPr>
        <w:t>（四）证券评估机构开展资产营运管理，应当为评估业务和机构可持续发展提供财务保障，并不得从事股权投资。</w:t>
      </w:r>
    </w:p>
    <w:p w14:paraId="6114257D" w14:textId="77777777" w:rsidR="00FA0363" w:rsidRDefault="00FA0363" w:rsidP="00FA0363">
      <w:pPr>
        <w:pStyle w:val="13"/>
      </w:pPr>
      <w:r>
        <w:rPr>
          <w:rFonts w:hint="eastAsia"/>
        </w:rPr>
        <w:t>（五）证券评估机构应当严格遵守国家有关现金管理、银行结算、发票管理等规定。大额现金收付和机构之间的款项往来，应当通过银行转账，开具或者取得合法凭证。</w:t>
      </w:r>
    </w:p>
    <w:p w14:paraId="5CEF23C5" w14:textId="77777777" w:rsidR="00FA0363" w:rsidRDefault="00FA0363" w:rsidP="00FA0363">
      <w:pPr>
        <w:pStyle w:val="13"/>
      </w:pPr>
      <w:r>
        <w:rPr>
          <w:rFonts w:hint="eastAsia"/>
        </w:rPr>
        <w:t>（六）证券评估机构评估业务收入的确认原则应当符合《企业会计准则》的规</w:t>
      </w:r>
      <w:r>
        <w:t>定，并保持一贯性。对于已出具评估报告但未确认评估收入，或者因终止评估项目未出具评估报告但已确认评估收入的情况，在年度备案时应当予以说明。</w:t>
      </w:r>
    </w:p>
    <w:p w14:paraId="5D3C23F7" w14:textId="77777777" w:rsidR="00FA0363" w:rsidRDefault="00FA0363" w:rsidP="00FA0363">
      <w:pPr>
        <w:pStyle w:val="ab"/>
        <w:spacing w:before="62" w:after="62"/>
        <w:ind w:firstLine="482"/>
      </w:pPr>
      <w:r>
        <w:rPr>
          <w:rFonts w:hint="eastAsia"/>
        </w:rPr>
        <w:t>四、关于监督检查问题</w:t>
      </w:r>
    </w:p>
    <w:p w14:paraId="673CAE0B" w14:textId="77777777" w:rsidR="00FA0363" w:rsidRDefault="00FA0363" w:rsidP="00FA0363">
      <w:pPr>
        <w:pStyle w:val="13"/>
      </w:pPr>
      <w:r>
        <w:rPr>
          <w:rFonts w:hint="eastAsia"/>
        </w:rPr>
        <w:t>（一）财政部、证监会依法对证券评估机构进行监督。证券评估机构涉及证券评估资格管理的以下事项，应当由财政部、证监会、中国资产评估协会组成联合检查组进行实地检查：</w:t>
      </w:r>
    </w:p>
    <w:p w14:paraId="1DEDCABE" w14:textId="77777777" w:rsidR="00FA0363" w:rsidRDefault="00FA0363" w:rsidP="00FA0363">
      <w:pPr>
        <w:pStyle w:val="13"/>
      </w:pPr>
      <w:r>
        <w:t>1、符合财企〔2008〕81号文件第一条第（二）款第2项至第5项条件的情况；</w:t>
      </w:r>
    </w:p>
    <w:p w14:paraId="4687A055" w14:textId="77777777" w:rsidR="00FA0363" w:rsidRDefault="00FA0363" w:rsidP="00FA0363">
      <w:pPr>
        <w:pStyle w:val="13"/>
      </w:pPr>
      <w:r>
        <w:lastRenderedPageBreak/>
        <w:t>2、发生财企〔2008〕81号文件第七条第（一）款应予特别关注的情形；</w:t>
      </w:r>
    </w:p>
    <w:p w14:paraId="5C1EB764" w14:textId="77777777" w:rsidR="00FA0363" w:rsidRDefault="00FA0363" w:rsidP="00FA0363">
      <w:pPr>
        <w:pStyle w:val="13"/>
      </w:pPr>
      <w:r>
        <w:t>3、备案材料与实际情况不符的。</w:t>
      </w:r>
    </w:p>
    <w:p w14:paraId="216E615B" w14:textId="77777777" w:rsidR="00FA0363" w:rsidRDefault="00FA0363" w:rsidP="00FA0363">
      <w:pPr>
        <w:pStyle w:val="13"/>
      </w:pPr>
      <w:r>
        <w:rPr>
          <w:rFonts w:hint="eastAsia"/>
        </w:rPr>
        <w:t>（二）联合检查组进行实地检查，提前</w:t>
      </w:r>
      <w:r>
        <w:t>5个工作日通知证券评估机构，按照证券评估资格审批工作规则进行。证券评估机构及其注册资产评估师对实地检查应当予以配合。</w:t>
      </w:r>
    </w:p>
    <w:p w14:paraId="2299945C" w14:textId="77777777" w:rsidR="00FA0363" w:rsidRDefault="00FA0363" w:rsidP="00FA0363">
      <w:pPr>
        <w:pStyle w:val="13"/>
      </w:pPr>
      <w:r>
        <w:rPr>
          <w:rFonts w:hint="eastAsia"/>
        </w:rPr>
        <w:t>联合检查组经过实地检查后，应当形成检查报告，提出处理意见。</w:t>
      </w:r>
    </w:p>
    <w:p w14:paraId="78DD5F04" w14:textId="77777777" w:rsidR="00FA0363" w:rsidRDefault="00FA0363" w:rsidP="00FA0363">
      <w:pPr>
        <w:pStyle w:val="13"/>
      </w:pPr>
      <w:r>
        <w:rPr>
          <w:rFonts w:hint="eastAsia"/>
        </w:rPr>
        <w:t>（三）财政部、证监会根据财企〔</w:t>
      </w:r>
      <w:r>
        <w:t>2008〕81号文件第七条第（三）款的规定，采取出具警示函（附件2）、责令整改（附件3）等措施，列明证券评估机构不符合财企</w:t>
      </w:r>
      <w:r>
        <w:rPr>
          <w:rFonts w:hint="eastAsia"/>
        </w:rPr>
        <w:t>〔</w:t>
      </w:r>
      <w:r>
        <w:t>2008〕81号文件规定的情形以及监管措施的具体要求，并予公告。</w:t>
      </w:r>
    </w:p>
    <w:p w14:paraId="5F93153C" w14:textId="77777777" w:rsidR="00FA0363" w:rsidRDefault="00FA0363" w:rsidP="00FA0363">
      <w:pPr>
        <w:pStyle w:val="13"/>
      </w:pPr>
      <w:r>
        <w:rPr>
          <w:rFonts w:hint="eastAsia"/>
        </w:rPr>
        <w:t>（四）证券评估机构整改后仍未达到财企〔</w:t>
      </w:r>
      <w:r>
        <w:t>2008〕81号文件第一条第（二）款规定条件的，财政部、证监会将依法撤回其证券评估资格。</w:t>
      </w:r>
    </w:p>
    <w:p w14:paraId="28A29782" w14:textId="77777777" w:rsidR="00FA0363" w:rsidRDefault="00FA0363" w:rsidP="00FA0363">
      <w:pPr>
        <w:pStyle w:val="ab"/>
        <w:spacing w:before="62" w:after="62"/>
        <w:ind w:firstLine="482"/>
      </w:pPr>
      <w:r>
        <w:rPr>
          <w:rFonts w:hint="eastAsia"/>
        </w:rPr>
        <w:t>五、关于建立诚信档案问题</w:t>
      </w:r>
    </w:p>
    <w:p w14:paraId="009B219C" w14:textId="77777777" w:rsidR="00FA0363" w:rsidRDefault="00FA0363" w:rsidP="00FA0363">
      <w:pPr>
        <w:pStyle w:val="13"/>
      </w:pPr>
      <w:r>
        <w:rPr>
          <w:rFonts w:hint="eastAsia"/>
        </w:rPr>
        <w:t>（一）财政部、证监会、中国资产评估协会逐步建立统一的证券评估机构诚信档案。</w:t>
      </w:r>
    </w:p>
    <w:p w14:paraId="5A6506CE" w14:textId="77777777" w:rsidR="00FA0363" w:rsidRDefault="00FA0363" w:rsidP="00FA0363">
      <w:pPr>
        <w:pStyle w:val="13"/>
      </w:pPr>
      <w:r>
        <w:rPr>
          <w:rFonts w:hint="eastAsia"/>
        </w:rPr>
        <w:t>（二）证券评估机构发生的以下情形，将被记入诚信档案：</w:t>
      </w:r>
    </w:p>
    <w:p w14:paraId="70C30252" w14:textId="76B657ED" w:rsidR="00FA0363" w:rsidRDefault="00FA0363" w:rsidP="00FA0363">
      <w:pPr>
        <w:pStyle w:val="13"/>
      </w:pPr>
      <w:r>
        <w:t>1.</w:t>
      </w:r>
      <w:r w:rsidR="002451CD">
        <w:t xml:space="preserve"> </w:t>
      </w:r>
      <w:r>
        <w:t>不按规定进行报备的；</w:t>
      </w:r>
    </w:p>
    <w:p w14:paraId="043D0844" w14:textId="6CACD398" w:rsidR="00FA0363" w:rsidRDefault="00FA0363" w:rsidP="00FA0363">
      <w:pPr>
        <w:pStyle w:val="13"/>
      </w:pPr>
      <w:r>
        <w:t>2.</w:t>
      </w:r>
      <w:r w:rsidR="002451CD">
        <w:t xml:space="preserve"> </w:t>
      </w:r>
      <w:r>
        <w:t>报备材料与事实不符的；</w:t>
      </w:r>
    </w:p>
    <w:p w14:paraId="3472D193" w14:textId="1EBA5B6F" w:rsidR="00FA0363" w:rsidRDefault="00FA0363" w:rsidP="00FA0363">
      <w:pPr>
        <w:pStyle w:val="13"/>
      </w:pPr>
      <w:r>
        <w:t>3.</w:t>
      </w:r>
      <w:r w:rsidR="002451CD">
        <w:t xml:space="preserve"> </w:t>
      </w:r>
      <w:r>
        <w:t>不配合财政部、证监会进行监督管理的；</w:t>
      </w:r>
    </w:p>
    <w:p w14:paraId="33DEC913" w14:textId="6E3ECC9C" w:rsidR="00FA0363" w:rsidRDefault="00FA0363" w:rsidP="00FA0363">
      <w:pPr>
        <w:pStyle w:val="13"/>
      </w:pPr>
      <w:r>
        <w:t>4.</w:t>
      </w:r>
      <w:r w:rsidR="002451CD">
        <w:t xml:space="preserve"> </w:t>
      </w:r>
      <w:r>
        <w:t>因不符合财企〔2008〕81号文件规定条件而被责令整改期间承接证券评估业务的；</w:t>
      </w:r>
    </w:p>
    <w:p w14:paraId="04D49B1F" w14:textId="7CAF3935" w:rsidR="00FA0363" w:rsidRDefault="00FA0363" w:rsidP="00FA0363">
      <w:pPr>
        <w:pStyle w:val="13"/>
      </w:pPr>
      <w:r>
        <w:t>5.</w:t>
      </w:r>
      <w:r w:rsidR="002451CD">
        <w:t xml:space="preserve"> </w:t>
      </w:r>
      <w:r>
        <w:t>因执行证券业务受到刑事处罚、行政处罚或行业自律惩戒的；</w:t>
      </w:r>
    </w:p>
    <w:p w14:paraId="6B4FB718" w14:textId="549385FF" w:rsidR="00FA0363" w:rsidRDefault="00FA0363" w:rsidP="00FA0363">
      <w:pPr>
        <w:pStyle w:val="13"/>
      </w:pPr>
      <w:r>
        <w:t>6.</w:t>
      </w:r>
      <w:r w:rsidR="002451CD">
        <w:t xml:space="preserve"> </w:t>
      </w:r>
      <w:r>
        <w:t>其他影响证券评估机构诚信记录的情形。</w:t>
      </w:r>
    </w:p>
    <w:p w14:paraId="6C3014D1" w14:textId="77777777" w:rsidR="00FA0363" w:rsidRDefault="00FA0363" w:rsidP="00FA0363">
      <w:pPr>
        <w:pStyle w:val="13"/>
      </w:pPr>
      <w:r>
        <w:rPr>
          <w:rFonts w:hint="eastAsia"/>
        </w:rPr>
        <w:t>（三）财政部、证监会、中国资产评估协会定期将证券评估机构诚信记录向社会公布。</w:t>
      </w:r>
    </w:p>
    <w:p w14:paraId="0B9B94EF" w14:textId="77777777" w:rsidR="00FA0363" w:rsidRDefault="00FA0363" w:rsidP="00FA0363">
      <w:pPr>
        <w:pStyle w:val="ab"/>
        <w:spacing w:before="62" w:after="62"/>
        <w:ind w:firstLine="482"/>
      </w:pPr>
      <w:r>
        <w:rPr>
          <w:rFonts w:hint="eastAsia"/>
        </w:rPr>
        <w:t>六、其他事项</w:t>
      </w:r>
    </w:p>
    <w:p w14:paraId="6AAD43CD" w14:textId="77777777" w:rsidR="00FA0363" w:rsidRDefault="00FA0363" w:rsidP="00FA0363">
      <w:pPr>
        <w:pStyle w:val="13"/>
        <w:ind w:firstLineChars="0"/>
      </w:pPr>
      <w:r>
        <w:rPr>
          <w:rFonts w:hint="eastAsia"/>
        </w:rPr>
        <w:t>（一）中国资产评估协会要加强行业自律管理，指导、监督证券评估机构按照资产评估准则的规定规范执业，协助财政部、证监会开展监管工作，不断完善证券评估监管信息系统。</w:t>
      </w:r>
    </w:p>
    <w:p w14:paraId="140F0B68" w14:textId="77777777" w:rsidR="00FA0363" w:rsidRDefault="00FA0363" w:rsidP="00FA0363">
      <w:pPr>
        <w:pStyle w:val="13"/>
      </w:pPr>
      <w:r>
        <w:rPr>
          <w:rFonts w:hint="eastAsia"/>
        </w:rPr>
        <w:t>（二）本通知自下发之日起执行。</w:t>
      </w:r>
    </w:p>
    <w:p w14:paraId="203558E5" w14:textId="77777777" w:rsidR="00FA0363" w:rsidRPr="007B7378" w:rsidRDefault="00FA0363" w:rsidP="00FA0363">
      <w:pPr>
        <w:pStyle w:val="13"/>
      </w:pPr>
      <w:r w:rsidRPr="007B7378">
        <w:rPr>
          <w:rFonts w:hint="eastAsia"/>
        </w:rPr>
        <w:t>附件：</w:t>
      </w:r>
      <w:r w:rsidRPr="007B7378">
        <w:t>1、年度履行行业和社会责任情况表</w:t>
      </w:r>
    </w:p>
    <w:p w14:paraId="39A000F0" w14:textId="1C5B3F24" w:rsidR="00FA0363" w:rsidRPr="007B7378" w:rsidRDefault="00FA0363" w:rsidP="00E155F1">
      <w:pPr>
        <w:pStyle w:val="13"/>
        <w:ind w:firstLineChars="500" w:firstLine="1200"/>
      </w:pPr>
      <w:r w:rsidRPr="007B7378">
        <w:t>2、财政部证监会关于对</w:t>
      </w:r>
      <w:r w:rsidR="002451CD">
        <w:rPr>
          <w:u w:val="single"/>
        </w:rPr>
        <w:t xml:space="preserve"> </w:t>
      </w:r>
      <w:r w:rsidRPr="007B7378">
        <w:t>公司采取出具警示</w:t>
      </w:r>
      <w:proofErr w:type="gramStart"/>
      <w:r w:rsidRPr="007B7378">
        <w:t>函措施</w:t>
      </w:r>
      <w:proofErr w:type="gramEnd"/>
      <w:r w:rsidRPr="007B7378">
        <w:t>的决定</w:t>
      </w:r>
    </w:p>
    <w:p w14:paraId="4A50D66C" w14:textId="46C4B635" w:rsidR="00FA0363" w:rsidRDefault="00FA0363" w:rsidP="00FA0363">
      <w:pPr>
        <w:pStyle w:val="13"/>
        <w:ind w:firstLineChars="500" w:firstLine="1200"/>
      </w:pPr>
      <w:r w:rsidRPr="007B7378">
        <w:t>3、财政部证监会关于对</w:t>
      </w:r>
      <w:r w:rsidR="002451CD">
        <w:rPr>
          <w:u w:val="single"/>
        </w:rPr>
        <w:t xml:space="preserve"> </w:t>
      </w:r>
      <w:r w:rsidRPr="007B7378">
        <w:t>公司采取责令改正措施的决定</w:t>
      </w:r>
    </w:p>
    <w:p w14:paraId="74A19E7F" w14:textId="77777777" w:rsidR="00FA0363" w:rsidRDefault="00FA0363" w:rsidP="00FA0363">
      <w:pPr>
        <w:pStyle w:val="13"/>
        <w:jc w:val="right"/>
      </w:pPr>
      <w:r>
        <w:rPr>
          <w:rFonts w:hint="eastAsia"/>
        </w:rPr>
        <w:t>财政部</w:t>
      </w:r>
      <w:r>
        <w:t>证监会</w:t>
      </w:r>
    </w:p>
    <w:p w14:paraId="774A5755" w14:textId="77777777" w:rsidR="00FA0363" w:rsidRDefault="00FA0363" w:rsidP="00E155F1">
      <w:pPr>
        <w:pStyle w:val="13"/>
        <w:spacing w:line="240" w:lineRule="auto"/>
        <w:jc w:val="right"/>
      </w:pPr>
      <w:r>
        <w:rPr>
          <w:rFonts w:hint="eastAsia"/>
        </w:rPr>
        <w:t>二〇〇九年十一月六日</w:t>
      </w:r>
    </w:p>
    <w:p w14:paraId="3A336DD3" w14:textId="77777777" w:rsidR="00FA0363" w:rsidRDefault="00FA0363" w:rsidP="00FA0363">
      <w:pPr>
        <w:pStyle w:val="63"/>
        <w:jc w:val="left"/>
      </w:pPr>
      <w:r>
        <w:rPr>
          <w:rFonts w:hint="eastAsia"/>
        </w:rPr>
        <w:lastRenderedPageBreak/>
        <w:t>附件</w:t>
      </w:r>
      <w:r>
        <w:t>1</w:t>
      </w:r>
    </w:p>
    <w:p w14:paraId="62090CFE" w14:textId="77777777" w:rsidR="00FA0363" w:rsidRDefault="00FA0363" w:rsidP="00FA0363">
      <w:pPr>
        <w:pStyle w:val="13"/>
        <w:jc w:val="center"/>
      </w:pPr>
      <w:r>
        <w:t>年度履行行业和社会责任情况表</w:t>
      </w:r>
    </w:p>
    <w:p w14:paraId="10446835" w14:textId="254D4076" w:rsidR="00FA0363" w:rsidRDefault="00FA0363" w:rsidP="00FA0363">
      <w:pPr>
        <w:pStyle w:val="13"/>
      </w:pPr>
      <w:r>
        <w:rPr>
          <w:rFonts w:hint="eastAsia"/>
        </w:rPr>
        <w:t>资产评估机构名称：</w:t>
      </w:r>
      <w:r w:rsidR="00D251CA">
        <w:rPr>
          <w:rFonts w:hint="eastAsia"/>
        </w:rPr>
        <w:t xml:space="preserve"> </w:t>
      </w:r>
      <w:r w:rsidR="00D251CA">
        <w:t xml:space="preserve">            </w:t>
      </w:r>
      <w:r>
        <w:t>评估机构代码：</w:t>
      </w:r>
    </w:p>
    <w:tbl>
      <w:tblPr>
        <w:tblStyle w:val="TableNormal"/>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3"/>
        <w:gridCol w:w="6089"/>
      </w:tblGrid>
      <w:tr w:rsidR="00FA0363" w:rsidRPr="00D251CA" w14:paraId="00D2CE6E" w14:textId="77777777" w:rsidTr="00D251CA">
        <w:trPr>
          <w:trHeight w:val="449"/>
          <w:tblHeader/>
          <w:jc w:val="center"/>
        </w:trPr>
        <w:tc>
          <w:tcPr>
            <w:tcW w:w="2973" w:type="dxa"/>
            <w:vAlign w:val="center"/>
          </w:tcPr>
          <w:p w14:paraId="2B5E7D5E" w14:textId="77777777" w:rsidR="00FA0363" w:rsidRPr="00D251CA" w:rsidRDefault="00FA0363" w:rsidP="00D251CA">
            <w:pPr>
              <w:pStyle w:val="TableParagraph"/>
              <w:spacing w:before="9"/>
              <w:ind w:left="765"/>
              <w:jc w:val="both"/>
              <w:rPr>
                <w:sz w:val="21"/>
                <w:szCs w:val="21"/>
              </w:rPr>
            </w:pPr>
            <w:r w:rsidRPr="00D251CA">
              <w:rPr>
                <w:sz w:val="21"/>
                <w:szCs w:val="21"/>
              </w:rPr>
              <w:t>参与活动类别</w:t>
            </w:r>
          </w:p>
        </w:tc>
        <w:tc>
          <w:tcPr>
            <w:tcW w:w="6089" w:type="dxa"/>
            <w:vAlign w:val="center"/>
          </w:tcPr>
          <w:p w14:paraId="62FC36E5" w14:textId="77777777" w:rsidR="00FA0363" w:rsidRPr="00D251CA" w:rsidRDefault="00FA0363" w:rsidP="00D251CA">
            <w:pPr>
              <w:pStyle w:val="TableParagraph"/>
              <w:spacing w:before="9"/>
              <w:ind w:left="2542" w:right="2537"/>
              <w:jc w:val="both"/>
              <w:rPr>
                <w:sz w:val="21"/>
                <w:szCs w:val="21"/>
              </w:rPr>
            </w:pPr>
            <w:r w:rsidRPr="00D251CA">
              <w:rPr>
                <w:sz w:val="21"/>
                <w:szCs w:val="21"/>
              </w:rPr>
              <w:t>具体情况</w:t>
            </w:r>
          </w:p>
        </w:tc>
      </w:tr>
      <w:tr w:rsidR="00FA0363" w:rsidRPr="00D251CA" w14:paraId="066802DC" w14:textId="77777777" w:rsidTr="00D251CA">
        <w:trPr>
          <w:trHeight w:val="449"/>
          <w:jc w:val="center"/>
        </w:trPr>
        <w:tc>
          <w:tcPr>
            <w:tcW w:w="2973" w:type="dxa"/>
            <w:vMerge w:val="restart"/>
            <w:vAlign w:val="center"/>
          </w:tcPr>
          <w:p w14:paraId="32460045" w14:textId="77777777" w:rsidR="00FA0363" w:rsidRPr="00D251CA" w:rsidRDefault="00FA0363" w:rsidP="00D251CA">
            <w:pPr>
              <w:pStyle w:val="TableParagraph"/>
              <w:spacing w:before="9" w:line="254" w:lineRule="auto"/>
              <w:ind w:left="108" w:right="97"/>
              <w:jc w:val="both"/>
              <w:rPr>
                <w:sz w:val="21"/>
                <w:szCs w:val="21"/>
              </w:rPr>
            </w:pPr>
            <w:r w:rsidRPr="00D251CA">
              <w:rPr>
                <w:sz w:val="21"/>
                <w:szCs w:val="21"/>
              </w:rPr>
              <w:t>财政部、证监会组织的行业检查</w:t>
            </w:r>
          </w:p>
        </w:tc>
        <w:tc>
          <w:tcPr>
            <w:tcW w:w="6089" w:type="dxa"/>
            <w:vAlign w:val="center"/>
          </w:tcPr>
          <w:p w14:paraId="42851449"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1.</w:t>
            </w:r>
          </w:p>
        </w:tc>
      </w:tr>
      <w:tr w:rsidR="00FA0363" w:rsidRPr="00D251CA" w14:paraId="75DC1753" w14:textId="77777777" w:rsidTr="00D251CA">
        <w:trPr>
          <w:trHeight w:val="425"/>
          <w:jc w:val="center"/>
        </w:trPr>
        <w:tc>
          <w:tcPr>
            <w:tcW w:w="2973" w:type="dxa"/>
            <w:vMerge/>
            <w:tcBorders>
              <w:top w:val="nil"/>
              <w:bottom w:val="single" w:sz="4" w:space="0" w:color="auto"/>
            </w:tcBorders>
            <w:vAlign w:val="center"/>
          </w:tcPr>
          <w:p w14:paraId="5F4274E8" w14:textId="77777777" w:rsidR="00FA0363" w:rsidRPr="00D251CA" w:rsidRDefault="00FA0363" w:rsidP="00D251CA">
            <w:pPr>
              <w:rPr>
                <w:sz w:val="21"/>
                <w:szCs w:val="21"/>
              </w:rPr>
            </w:pPr>
          </w:p>
        </w:tc>
        <w:tc>
          <w:tcPr>
            <w:tcW w:w="6089" w:type="dxa"/>
            <w:vAlign w:val="center"/>
          </w:tcPr>
          <w:p w14:paraId="138BD0F6" w14:textId="77777777" w:rsidR="00FA0363" w:rsidRPr="00D251CA" w:rsidRDefault="00FA0363" w:rsidP="00D251CA">
            <w:pPr>
              <w:pStyle w:val="TableParagraph"/>
              <w:spacing w:before="26"/>
              <w:ind w:left="106"/>
              <w:jc w:val="both"/>
              <w:rPr>
                <w:rFonts w:ascii="Times New Roman"/>
                <w:sz w:val="21"/>
                <w:szCs w:val="21"/>
              </w:rPr>
            </w:pPr>
            <w:r w:rsidRPr="00D251CA">
              <w:rPr>
                <w:rFonts w:ascii="Times New Roman"/>
                <w:sz w:val="21"/>
                <w:szCs w:val="21"/>
              </w:rPr>
              <w:t>2.</w:t>
            </w:r>
          </w:p>
        </w:tc>
      </w:tr>
      <w:tr w:rsidR="00FA0363" w:rsidRPr="00D251CA" w14:paraId="2C51B5F1" w14:textId="77777777" w:rsidTr="00D251CA">
        <w:trPr>
          <w:trHeight w:val="449"/>
          <w:jc w:val="center"/>
        </w:trPr>
        <w:tc>
          <w:tcPr>
            <w:tcW w:w="2973" w:type="dxa"/>
            <w:vMerge w:val="restart"/>
            <w:tcBorders>
              <w:top w:val="single" w:sz="4" w:space="0" w:color="auto"/>
              <w:left w:val="single" w:sz="4" w:space="0" w:color="auto"/>
              <w:bottom w:val="single" w:sz="4" w:space="0" w:color="auto"/>
              <w:right w:val="single" w:sz="4" w:space="0" w:color="auto"/>
            </w:tcBorders>
            <w:vAlign w:val="center"/>
          </w:tcPr>
          <w:p w14:paraId="1777C091" w14:textId="77777777" w:rsidR="00FA0363" w:rsidRPr="00D251CA" w:rsidRDefault="00FA0363" w:rsidP="00D251CA">
            <w:pPr>
              <w:pStyle w:val="TableParagraph"/>
              <w:spacing w:before="9" w:line="254" w:lineRule="auto"/>
              <w:ind w:left="108" w:right="97"/>
              <w:jc w:val="both"/>
              <w:rPr>
                <w:sz w:val="21"/>
                <w:szCs w:val="21"/>
              </w:rPr>
            </w:pPr>
            <w:r w:rsidRPr="00D251CA">
              <w:rPr>
                <w:sz w:val="21"/>
                <w:szCs w:val="21"/>
              </w:rPr>
              <w:t>财政部、证监会组织的行业调查研究</w:t>
            </w:r>
          </w:p>
        </w:tc>
        <w:tc>
          <w:tcPr>
            <w:tcW w:w="6089" w:type="dxa"/>
            <w:tcBorders>
              <w:left w:val="single" w:sz="4" w:space="0" w:color="auto"/>
            </w:tcBorders>
            <w:vAlign w:val="center"/>
          </w:tcPr>
          <w:p w14:paraId="6823466D"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1.</w:t>
            </w:r>
          </w:p>
        </w:tc>
      </w:tr>
      <w:tr w:rsidR="00FA0363" w:rsidRPr="00D251CA" w14:paraId="308F4118" w14:textId="77777777" w:rsidTr="00D251CA">
        <w:trPr>
          <w:trHeight w:val="560"/>
          <w:jc w:val="center"/>
        </w:trPr>
        <w:tc>
          <w:tcPr>
            <w:tcW w:w="2973" w:type="dxa"/>
            <w:vMerge/>
            <w:tcBorders>
              <w:top w:val="single" w:sz="4" w:space="0" w:color="auto"/>
              <w:left w:val="single" w:sz="4" w:space="0" w:color="auto"/>
              <w:bottom w:val="single" w:sz="4" w:space="0" w:color="auto"/>
              <w:right w:val="single" w:sz="4" w:space="0" w:color="auto"/>
            </w:tcBorders>
            <w:vAlign w:val="center"/>
          </w:tcPr>
          <w:p w14:paraId="55BD9912" w14:textId="77777777" w:rsidR="00FA0363" w:rsidRPr="00D251CA" w:rsidRDefault="00FA0363" w:rsidP="00D251CA">
            <w:pPr>
              <w:rPr>
                <w:sz w:val="21"/>
                <w:szCs w:val="21"/>
              </w:rPr>
            </w:pPr>
          </w:p>
        </w:tc>
        <w:tc>
          <w:tcPr>
            <w:tcW w:w="6089" w:type="dxa"/>
            <w:tcBorders>
              <w:left w:val="single" w:sz="4" w:space="0" w:color="auto"/>
            </w:tcBorders>
            <w:vAlign w:val="center"/>
          </w:tcPr>
          <w:p w14:paraId="65A61C0E"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2.</w:t>
            </w:r>
          </w:p>
        </w:tc>
      </w:tr>
      <w:tr w:rsidR="00FA0363" w:rsidRPr="00D251CA" w14:paraId="1267DAB2" w14:textId="77777777" w:rsidTr="00D251CA">
        <w:trPr>
          <w:trHeight w:val="449"/>
          <w:jc w:val="center"/>
        </w:trPr>
        <w:tc>
          <w:tcPr>
            <w:tcW w:w="2973" w:type="dxa"/>
            <w:vMerge w:val="restart"/>
            <w:tcBorders>
              <w:top w:val="single" w:sz="4" w:space="0" w:color="auto"/>
            </w:tcBorders>
            <w:vAlign w:val="center"/>
          </w:tcPr>
          <w:p w14:paraId="02C100CD" w14:textId="77777777" w:rsidR="00FA0363" w:rsidRPr="00D251CA" w:rsidRDefault="00FA0363" w:rsidP="00D251CA">
            <w:pPr>
              <w:pStyle w:val="TableParagraph"/>
              <w:spacing w:before="9" w:line="254" w:lineRule="auto"/>
              <w:ind w:left="108" w:right="97"/>
              <w:jc w:val="both"/>
              <w:rPr>
                <w:sz w:val="21"/>
                <w:szCs w:val="21"/>
              </w:rPr>
            </w:pPr>
            <w:r w:rsidRPr="00D251CA">
              <w:rPr>
                <w:sz w:val="21"/>
                <w:szCs w:val="21"/>
              </w:rPr>
              <w:t>资产评估法制及准则体系建设</w:t>
            </w:r>
          </w:p>
        </w:tc>
        <w:tc>
          <w:tcPr>
            <w:tcW w:w="6089" w:type="dxa"/>
            <w:vAlign w:val="center"/>
          </w:tcPr>
          <w:p w14:paraId="41486C19"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1.</w:t>
            </w:r>
          </w:p>
        </w:tc>
      </w:tr>
      <w:tr w:rsidR="00FA0363" w:rsidRPr="00D251CA" w14:paraId="1B75E042" w14:textId="77777777" w:rsidTr="00D251CA">
        <w:trPr>
          <w:trHeight w:val="393"/>
          <w:jc w:val="center"/>
        </w:trPr>
        <w:tc>
          <w:tcPr>
            <w:tcW w:w="2973" w:type="dxa"/>
            <w:vMerge/>
            <w:tcBorders>
              <w:top w:val="nil"/>
            </w:tcBorders>
            <w:vAlign w:val="center"/>
          </w:tcPr>
          <w:p w14:paraId="353DA074" w14:textId="77777777" w:rsidR="00FA0363" w:rsidRPr="00D251CA" w:rsidRDefault="00FA0363" w:rsidP="00D251CA">
            <w:pPr>
              <w:rPr>
                <w:sz w:val="21"/>
                <w:szCs w:val="21"/>
              </w:rPr>
            </w:pPr>
          </w:p>
        </w:tc>
        <w:tc>
          <w:tcPr>
            <w:tcW w:w="6089" w:type="dxa"/>
            <w:vAlign w:val="center"/>
          </w:tcPr>
          <w:p w14:paraId="1841480D" w14:textId="77777777" w:rsidR="00FA0363" w:rsidRPr="00D251CA" w:rsidRDefault="00FA0363" w:rsidP="00D251CA">
            <w:pPr>
              <w:pStyle w:val="TableParagraph"/>
              <w:spacing w:before="27"/>
              <w:ind w:left="106"/>
              <w:jc w:val="both"/>
              <w:rPr>
                <w:rFonts w:ascii="Times New Roman"/>
                <w:sz w:val="21"/>
                <w:szCs w:val="21"/>
              </w:rPr>
            </w:pPr>
            <w:r w:rsidRPr="00D251CA">
              <w:rPr>
                <w:rFonts w:ascii="Times New Roman"/>
                <w:sz w:val="21"/>
                <w:szCs w:val="21"/>
              </w:rPr>
              <w:t>2.</w:t>
            </w:r>
          </w:p>
        </w:tc>
      </w:tr>
      <w:tr w:rsidR="00FA0363" w:rsidRPr="00D251CA" w14:paraId="5B729B76" w14:textId="77777777" w:rsidTr="00D251CA">
        <w:trPr>
          <w:trHeight w:val="450"/>
          <w:jc w:val="center"/>
        </w:trPr>
        <w:tc>
          <w:tcPr>
            <w:tcW w:w="2973" w:type="dxa"/>
            <w:vMerge w:val="restart"/>
            <w:vAlign w:val="center"/>
          </w:tcPr>
          <w:p w14:paraId="14290D09" w14:textId="77777777" w:rsidR="00FA0363" w:rsidRPr="00D251CA" w:rsidRDefault="00FA0363" w:rsidP="00D251CA">
            <w:pPr>
              <w:pStyle w:val="TableParagraph"/>
              <w:spacing w:before="10" w:line="254" w:lineRule="auto"/>
              <w:ind w:left="108" w:right="97"/>
              <w:jc w:val="both"/>
              <w:rPr>
                <w:sz w:val="21"/>
                <w:szCs w:val="21"/>
              </w:rPr>
            </w:pPr>
            <w:r w:rsidRPr="00D251CA">
              <w:rPr>
                <w:sz w:val="21"/>
                <w:szCs w:val="21"/>
              </w:rPr>
              <w:t>中国资产评估协会组织的行业检查</w:t>
            </w:r>
          </w:p>
        </w:tc>
        <w:tc>
          <w:tcPr>
            <w:tcW w:w="6089" w:type="dxa"/>
            <w:vAlign w:val="center"/>
          </w:tcPr>
          <w:p w14:paraId="05E5C992" w14:textId="77777777" w:rsidR="00FA0363" w:rsidRPr="00D251CA" w:rsidRDefault="00FA0363" w:rsidP="00D251CA">
            <w:pPr>
              <w:pStyle w:val="TableParagraph"/>
              <w:spacing w:before="26"/>
              <w:ind w:left="106"/>
              <w:jc w:val="both"/>
              <w:rPr>
                <w:rFonts w:ascii="Times New Roman"/>
                <w:sz w:val="21"/>
                <w:szCs w:val="21"/>
              </w:rPr>
            </w:pPr>
            <w:r w:rsidRPr="00D251CA">
              <w:rPr>
                <w:rFonts w:ascii="Times New Roman"/>
                <w:sz w:val="21"/>
                <w:szCs w:val="21"/>
              </w:rPr>
              <w:t>1.</w:t>
            </w:r>
          </w:p>
        </w:tc>
      </w:tr>
      <w:tr w:rsidR="00FA0363" w:rsidRPr="00D251CA" w14:paraId="34E58074" w14:textId="77777777" w:rsidTr="00D251CA">
        <w:trPr>
          <w:trHeight w:val="326"/>
          <w:jc w:val="center"/>
        </w:trPr>
        <w:tc>
          <w:tcPr>
            <w:tcW w:w="2973" w:type="dxa"/>
            <w:vMerge/>
            <w:tcBorders>
              <w:top w:val="nil"/>
            </w:tcBorders>
            <w:vAlign w:val="center"/>
          </w:tcPr>
          <w:p w14:paraId="56C2EB43" w14:textId="77777777" w:rsidR="00FA0363" w:rsidRPr="00D251CA" w:rsidRDefault="00FA0363" w:rsidP="00D251CA">
            <w:pPr>
              <w:rPr>
                <w:sz w:val="21"/>
                <w:szCs w:val="21"/>
              </w:rPr>
            </w:pPr>
          </w:p>
        </w:tc>
        <w:tc>
          <w:tcPr>
            <w:tcW w:w="6089" w:type="dxa"/>
            <w:vAlign w:val="center"/>
          </w:tcPr>
          <w:p w14:paraId="0EC84AAD"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2.</w:t>
            </w:r>
          </w:p>
        </w:tc>
      </w:tr>
      <w:tr w:rsidR="00FA0363" w:rsidRPr="00D251CA" w14:paraId="286ECA27" w14:textId="77777777" w:rsidTr="00D251CA">
        <w:trPr>
          <w:trHeight w:val="449"/>
          <w:jc w:val="center"/>
        </w:trPr>
        <w:tc>
          <w:tcPr>
            <w:tcW w:w="2973" w:type="dxa"/>
            <w:vMerge w:val="restart"/>
            <w:vAlign w:val="center"/>
          </w:tcPr>
          <w:p w14:paraId="637D9F0E" w14:textId="77777777" w:rsidR="00FA0363" w:rsidRPr="00D251CA" w:rsidRDefault="00FA0363" w:rsidP="00D251CA">
            <w:pPr>
              <w:pStyle w:val="TableParagraph"/>
              <w:spacing w:before="9" w:line="254" w:lineRule="auto"/>
              <w:ind w:left="108" w:right="97"/>
              <w:jc w:val="both"/>
              <w:rPr>
                <w:sz w:val="21"/>
                <w:szCs w:val="21"/>
              </w:rPr>
            </w:pPr>
            <w:r w:rsidRPr="00D251CA">
              <w:rPr>
                <w:sz w:val="21"/>
                <w:szCs w:val="21"/>
              </w:rPr>
              <w:t>中国资产评估协会组织的行业调查研究</w:t>
            </w:r>
          </w:p>
        </w:tc>
        <w:tc>
          <w:tcPr>
            <w:tcW w:w="6089" w:type="dxa"/>
            <w:vAlign w:val="center"/>
          </w:tcPr>
          <w:p w14:paraId="654BCFC6"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1.</w:t>
            </w:r>
          </w:p>
        </w:tc>
      </w:tr>
      <w:tr w:rsidR="00FA0363" w:rsidRPr="00D251CA" w14:paraId="24386E7E" w14:textId="77777777" w:rsidTr="00D251CA">
        <w:trPr>
          <w:trHeight w:val="576"/>
          <w:jc w:val="center"/>
        </w:trPr>
        <w:tc>
          <w:tcPr>
            <w:tcW w:w="2973" w:type="dxa"/>
            <w:vMerge/>
            <w:tcBorders>
              <w:top w:val="nil"/>
            </w:tcBorders>
            <w:vAlign w:val="center"/>
          </w:tcPr>
          <w:p w14:paraId="3D4E113C" w14:textId="77777777" w:rsidR="00FA0363" w:rsidRPr="00D251CA" w:rsidRDefault="00FA0363" w:rsidP="00D251CA">
            <w:pPr>
              <w:rPr>
                <w:sz w:val="21"/>
                <w:szCs w:val="21"/>
              </w:rPr>
            </w:pPr>
          </w:p>
        </w:tc>
        <w:tc>
          <w:tcPr>
            <w:tcW w:w="6089" w:type="dxa"/>
            <w:vAlign w:val="center"/>
          </w:tcPr>
          <w:p w14:paraId="76F8072E"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2.</w:t>
            </w:r>
          </w:p>
        </w:tc>
      </w:tr>
      <w:tr w:rsidR="00FA0363" w:rsidRPr="00D251CA" w14:paraId="19EA4752" w14:textId="77777777" w:rsidTr="00D251CA">
        <w:trPr>
          <w:trHeight w:val="449"/>
          <w:jc w:val="center"/>
        </w:trPr>
        <w:tc>
          <w:tcPr>
            <w:tcW w:w="2973" w:type="dxa"/>
            <w:vMerge w:val="restart"/>
            <w:vAlign w:val="center"/>
          </w:tcPr>
          <w:p w14:paraId="23F39824" w14:textId="77777777" w:rsidR="00FA0363" w:rsidRPr="00D251CA" w:rsidRDefault="00FA0363" w:rsidP="00D251CA">
            <w:pPr>
              <w:pStyle w:val="TableParagraph"/>
              <w:spacing w:before="9" w:line="254" w:lineRule="auto"/>
              <w:ind w:left="108" w:right="97"/>
              <w:jc w:val="both"/>
              <w:rPr>
                <w:sz w:val="21"/>
                <w:szCs w:val="21"/>
              </w:rPr>
            </w:pPr>
            <w:r w:rsidRPr="00D251CA">
              <w:rPr>
                <w:sz w:val="21"/>
                <w:szCs w:val="21"/>
              </w:rPr>
              <w:t>担任、参与的重要社会职务和活动</w:t>
            </w:r>
          </w:p>
        </w:tc>
        <w:tc>
          <w:tcPr>
            <w:tcW w:w="6089" w:type="dxa"/>
            <w:vAlign w:val="center"/>
          </w:tcPr>
          <w:p w14:paraId="532051AD"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1.</w:t>
            </w:r>
          </w:p>
        </w:tc>
      </w:tr>
      <w:tr w:rsidR="00FA0363" w:rsidRPr="00D251CA" w14:paraId="0A4BD32B" w14:textId="77777777" w:rsidTr="00D251CA">
        <w:trPr>
          <w:trHeight w:val="577"/>
          <w:jc w:val="center"/>
        </w:trPr>
        <w:tc>
          <w:tcPr>
            <w:tcW w:w="2973" w:type="dxa"/>
            <w:vMerge/>
            <w:tcBorders>
              <w:top w:val="nil"/>
            </w:tcBorders>
            <w:vAlign w:val="center"/>
          </w:tcPr>
          <w:p w14:paraId="4BBED6BA" w14:textId="77777777" w:rsidR="00FA0363" w:rsidRPr="00D251CA" w:rsidRDefault="00FA0363" w:rsidP="00D251CA">
            <w:pPr>
              <w:rPr>
                <w:sz w:val="21"/>
                <w:szCs w:val="21"/>
              </w:rPr>
            </w:pPr>
          </w:p>
        </w:tc>
        <w:tc>
          <w:tcPr>
            <w:tcW w:w="6089" w:type="dxa"/>
            <w:vAlign w:val="center"/>
          </w:tcPr>
          <w:p w14:paraId="7340716A" w14:textId="77777777" w:rsidR="00FA0363" w:rsidRPr="00D251CA" w:rsidRDefault="00FA0363" w:rsidP="00D251CA">
            <w:pPr>
              <w:pStyle w:val="TableParagraph"/>
              <w:spacing w:before="26"/>
              <w:ind w:left="106"/>
              <w:jc w:val="both"/>
              <w:rPr>
                <w:rFonts w:ascii="Times New Roman"/>
                <w:sz w:val="21"/>
                <w:szCs w:val="21"/>
              </w:rPr>
            </w:pPr>
            <w:r w:rsidRPr="00D251CA">
              <w:rPr>
                <w:rFonts w:ascii="Times New Roman"/>
                <w:sz w:val="21"/>
                <w:szCs w:val="21"/>
              </w:rPr>
              <w:t>2.</w:t>
            </w:r>
          </w:p>
        </w:tc>
      </w:tr>
      <w:tr w:rsidR="00FA0363" w:rsidRPr="00D251CA" w14:paraId="6BEA90AE" w14:textId="77777777" w:rsidTr="00D251CA">
        <w:trPr>
          <w:trHeight w:val="458"/>
          <w:jc w:val="center"/>
        </w:trPr>
        <w:tc>
          <w:tcPr>
            <w:tcW w:w="2973" w:type="dxa"/>
            <w:vMerge w:val="restart"/>
            <w:vAlign w:val="center"/>
          </w:tcPr>
          <w:p w14:paraId="19F0BC37" w14:textId="77777777" w:rsidR="00FA0363" w:rsidRPr="00D251CA" w:rsidRDefault="00FA0363" w:rsidP="00D251CA">
            <w:pPr>
              <w:pStyle w:val="TableParagraph"/>
              <w:spacing w:before="9"/>
              <w:ind w:left="108"/>
              <w:jc w:val="both"/>
              <w:rPr>
                <w:sz w:val="21"/>
                <w:szCs w:val="21"/>
              </w:rPr>
            </w:pPr>
            <w:r w:rsidRPr="00D251CA">
              <w:rPr>
                <w:sz w:val="21"/>
                <w:szCs w:val="21"/>
              </w:rPr>
              <w:t>公益捐赠</w:t>
            </w:r>
          </w:p>
        </w:tc>
        <w:tc>
          <w:tcPr>
            <w:tcW w:w="6089" w:type="dxa"/>
            <w:vAlign w:val="center"/>
          </w:tcPr>
          <w:p w14:paraId="4371482C"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1.</w:t>
            </w:r>
          </w:p>
        </w:tc>
      </w:tr>
      <w:tr w:rsidR="00FA0363" w:rsidRPr="00D251CA" w14:paraId="5479DBFC" w14:textId="77777777" w:rsidTr="00D251CA">
        <w:trPr>
          <w:trHeight w:val="325"/>
          <w:jc w:val="center"/>
        </w:trPr>
        <w:tc>
          <w:tcPr>
            <w:tcW w:w="2973" w:type="dxa"/>
            <w:vMerge/>
            <w:tcBorders>
              <w:top w:val="nil"/>
            </w:tcBorders>
            <w:vAlign w:val="center"/>
          </w:tcPr>
          <w:p w14:paraId="20BD551B" w14:textId="77777777" w:rsidR="00FA0363" w:rsidRPr="00D251CA" w:rsidRDefault="00FA0363" w:rsidP="00D251CA">
            <w:pPr>
              <w:rPr>
                <w:sz w:val="21"/>
                <w:szCs w:val="21"/>
              </w:rPr>
            </w:pPr>
          </w:p>
        </w:tc>
        <w:tc>
          <w:tcPr>
            <w:tcW w:w="6089" w:type="dxa"/>
            <w:vAlign w:val="center"/>
          </w:tcPr>
          <w:p w14:paraId="1A76A3E2" w14:textId="77777777" w:rsidR="00FA0363" w:rsidRPr="00D251CA" w:rsidRDefault="00FA0363" w:rsidP="00D251CA">
            <w:pPr>
              <w:pStyle w:val="TableParagraph"/>
              <w:spacing w:before="26"/>
              <w:ind w:left="106"/>
              <w:jc w:val="both"/>
              <w:rPr>
                <w:rFonts w:ascii="Times New Roman"/>
                <w:sz w:val="21"/>
                <w:szCs w:val="21"/>
              </w:rPr>
            </w:pPr>
            <w:r w:rsidRPr="00D251CA">
              <w:rPr>
                <w:rFonts w:ascii="Times New Roman"/>
                <w:sz w:val="21"/>
                <w:szCs w:val="21"/>
              </w:rPr>
              <w:t>2.</w:t>
            </w:r>
          </w:p>
        </w:tc>
      </w:tr>
      <w:tr w:rsidR="00FA0363" w:rsidRPr="00D251CA" w14:paraId="3972EB02" w14:textId="77777777" w:rsidTr="00D251CA">
        <w:trPr>
          <w:trHeight w:val="450"/>
          <w:jc w:val="center"/>
        </w:trPr>
        <w:tc>
          <w:tcPr>
            <w:tcW w:w="2973" w:type="dxa"/>
            <w:vMerge w:val="restart"/>
            <w:vAlign w:val="center"/>
          </w:tcPr>
          <w:p w14:paraId="61F925F1" w14:textId="77777777" w:rsidR="00FA0363" w:rsidRPr="00D251CA" w:rsidRDefault="00FA0363" w:rsidP="00D251CA">
            <w:pPr>
              <w:pStyle w:val="TableParagraph"/>
              <w:spacing w:before="10"/>
              <w:ind w:left="108"/>
              <w:jc w:val="both"/>
              <w:rPr>
                <w:sz w:val="21"/>
                <w:szCs w:val="21"/>
              </w:rPr>
            </w:pPr>
            <w:r w:rsidRPr="00D251CA">
              <w:rPr>
                <w:sz w:val="21"/>
                <w:szCs w:val="21"/>
              </w:rPr>
              <w:t>其他（请说明）</w:t>
            </w:r>
          </w:p>
        </w:tc>
        <w:tc>
          <w:tcPr>
            <w:tcW w:w="6089" w:type="dxa"/>
            <w:vAlign w:val="center"/>
          </w:tcPr>
          <w:p w14:paraId="2E316EC3" w14:textId="77777777" w:rsidR="00FA0363" w:rsidRPr="00D251CA" w:rsidRDefault="00FA0363" w:rsidP="00D251CA">
            <w:pPr>
              <w:pStyle w:val="TableParagraph"/>
              <w:spacing w:before="26"/>
              <w:ind w:left="106"/>
              <w:jc w:val="both"/>
              <w:rPr>
                <w:rFonts w:ascii="Times New Roman"/>
                <w:sz w:val="21"/>
                <w:szCs w:val="21"/>
              </w:rPr>
            </w:pPr>
            <w:r w:rsidRPr="00D251CA">
              <w:rPr>
                <w:rFonts w:ascii="Times New Roman"/>
                <w:sz w:val="21"/>
                <w:szCs w:val="21"/>
              </w:rPr>
              <w:t>1.</w:t>
            </w:r>
          </w:p>
        </w:tc>
      </w:tr>
      <w:tr w:rsidR="00FA0363" w:rsidRPr="00D251CA" w14:paraId="099246B5" w14:textId="77777777" w:rsidTr="00D251CA">
        <w:trPr>
          <w:trHeight w:val="326"/>
          <w:jc w:val="center"/>
        </w:trPr>
        <w:tc>
          <w:tcPr>
            <w:tcW w:w="2973" w:type="dxa"/>
            <w:vMerge/>
            <w:tcBorders>
              <w:top w:val="nil"/>
            </w:tcBorders>
            <w:vAlign w:val="center"/>
          </w:tcPr>
          <w:p w14:paraId="08AE8019" w14:textId="77777777" w:rsidR="00FA0363" w:rsidRPr="00D251CA" w:rsidRDefault="00FA0363" w:rsidP="00D251CA">
            <w:pPr>
              <w:rPr>
                <w:sz w:val="21"/>
                <w:szCs w:val="21"/>
              </w:rPr>
            </w:pPr>
          </w:p>
        </w:tc>
        <w:tc>
          <w:tcPr>
            <w:tcW w:w="6089" w:type="dxa"/>
            <w:vAlign w:val="center"/>
          </w:tcPr>
          <w:p w14:paraId="297506CA" w14:textId="77777777" w:rsidR="00FA0363" w:rsidRPr="00D251CA" w:rsidRDefault="00FA0363" w:rsidP="00D251CA">
            <w:pPr>
              <w:pStyle w:val="TableParagraph"/>
              <w:spacing w:before="25"/>
              <w:ind w:left="106"/>
              <w:jc w:val="both"/>
              <w:rPr>
                <w:rFonts w:ascii="Times New Roman"/>
                <w:sz w:val="21"/>
                <w:szCs w:val="21"/>
              </w:rPr>
            </w:pPr>
            <w:r w:rsidRPr="00D251CA">
              <w:rPr>
                <w:rFonts w:ascii="Times New Roman"/>
                <w:sz w:val="21"/>
                <w:szCs w:val="21"/>
              </w:rPr>
              <w:t>2.</w:t>
            </w:r>
          </w:p>
        </w:tc>
      </w:tr>
    </w:tbl>
    <w:p w14:paraId="4BAF40A1" w14:textId="77777777" w:rsidR="00FA0363" w:rsidRDefault="00FA0363" w:rsidP="00FA0363">
      <w:pPr>
        <w:pStyle w:val="13"/>
      </w:pPr>
      <w:r>
        <w:rPr>
          <w:rFonts w:hint="eastAsia"/>
        </w:rPr>
        <w:t>注：</w:t>
      </w:r>
      <w:r>
        <w:t>1.“具体情况”一</w:t>
      </w:r>
      <w:proofErr w:type="gramStart"/>
      <w:r>
        <w:t>栏用于</w:t>
      </w:r>
      <w:proofErr w:type="gramEnd"/>
      <w:r>
        <w:t>说明参与的项目、人数、时间等详细情况；</w:t>
      </w:r>
    </w:p>
    <w:p w14:paraId="1D4F4724" w14:textId="77777777" w:rsidR="00FA0363" w:rsidRDefault="00FA0363" w:rsidP="00FA0363">
      <w:pPr>
        <w:pStyle w:val="13"/>
      </w:pPr>
      <w:r>
        <w:t>2.凡参与其它有利于行业建设、行业形象的活动，均可自行添加项目。</w:t>
      </w:r>
    </w:p>
    <w:p w14:paraId="05690414" w14:textId="77777777" w:rsidR="00FA0363" w:rsidRDefault="00FA0363" w:rsidP="00FA0363">
      <w:pPr>
        <w:pStyle w:val="63"/>
        <w:jc w:val="left"/>
      </w:pPr>
      <w:r>
        <w:rPr>
          <w:rFonts w:hint="eastAsia"/>
        </w:rPr>
        <w:t>附件</w:t>
      </w:r>
      <w:r>
        <w:t>2</w:t>
      </w:r>
    </w:p>
    <w:p w14:paraId="28CE1822" w14:textId="1EF833B8" w:rsidR="00FA0363" w:rsidRDefault="00FA0363" w:rsidP="00AF7342">
      <w:pPr>
        <w:pStyle w:val="a9"/>
        <w:spacing w:before="62" w:after="62"/>
      </w:pPr>
      <w:r>
        <w:rPr>
          <w:rFonts w:hint="eastAsia"/>
        </w:rPr>
        <w:t>财政部</w:t>
      </w:r>
      <w:r>
        <w:t>证监会关于对</w:t>
      </w:r>
      <w:r w:rsidR="002451CD">
        <w:rPr>
          <w:u w:val="single"/>
        </w:rPr>
        <w:t xml:space="preserve"> </w:t>
      </w:r>
      <w:r>
        <w:t>公司</w:t>
      </w:r>
    </w:p>
    <w:p w14:paraId="058091EB" w14:textId="77777777" w:rsidR="00FA0363" w:rsidRDefault="00FA0363" w:rsidP="00AF7342">
      <w:pPr>
        <w:pStyle w:val="a9"/>
        <w:spacing w:before="62" w:after="62"/>
      </w:pPr>
      <w:r>
        <w:t>采取出具警示</w:t>
      </w:r>
      <w:proofErr w:type="gramStart"/>
      <w:r>
        <w:t>函措施</w:t>
      </w:r>
      <w:proofErr w:type="gramEnd"/>
      <w:r>
        <w:t>的决定</w:t>
      </w:r>
    </w:p>
    <w:p w14:paraId="306A9560" w14:textId="0EA59477" w:rsidR="00FA0363" w:rsidRDefault="00FA0363" w:rsidP="00FA0363">
      <w:pPr>
        <w:pStyle w:val="13"/>
        <w:jc w:val="right"/>
      </w:pPr>
      <w:r>
        <w:rPr>
          <w:rFonts w:hint="eastAsia"/>
        </w:rPr>
        <w:t>〔</w:t>
      </w:r>
      <w:r w:rsidR="002451CD">
        <w:t xml:space="preserve"> </w:t>
      </w:r>
      <w:r>
        <w:t>〕号</w:t>
      </w:r>
    </w:p>
    <w:p w14:paraId="03F155C7" w14:textId="27A34E34" w:rsidR="00FA0363" w:rsidRDefault="002451CD" w:rsidP="00FA0363">
      <w:pPr>
        <w:pStyle w:val="13"/>
      </w:pPr>
      <w:r>
        <w:rPr>
          <w:u w:val="single"/>
        </w:rPr>
        <w:t xml:space="preserve"> </w:t>
      </w:r>
      <w:r w:rsidR="00FA0363">
        <w:rPr>
          <w:u w:val="single"/>
        </w:rPr>
        <w:t xml:space="preserve">   </w:t>
      </w:r>
      <w:r w:rsidR="00FA0363">
        <w:t>公司：</w:t>
      </w:r>
    </w:p>
    <w:p w14:paraId="5C7454DC" w14:textId="77777777" w:rsidR="00FA0363" w:rsidRDefault="00FA0363" w:rsidP="00FA0363">
      <w:pPr>
        <w:pStyle w:val="13"/>
      </w:pPr>
      <w:r>
        <w:rPr>
          <w:rFonts w:hint="eastAsia"/>
        </w:rPr>
        <w:t>经查，你公司</w:t>
      </w:r>
      <w:r w:rsidRPr="00E05E89">
        <w:rPr>
          <w:rFonts w:hint="eastAsia"/>
          <w:u w:val="single"/>
        </w:rPr>
        <w:t xml:space="preserve"> </w:t>
      </w:r>
      <w:r w:rsidRPr="00E05E89">
        <w:rPr>
          <w:u w:val="single"/>
        </w:rPr>
        <w:t xml:space="preserve">           </w:t>
      </w:r>
      <w:r>
        <w:t>。</w:t>
      </w:r>
    </w:p>
    <w:p w14:paraId="75E86425" w14:textId="5B25E900" w:rsidR="00FA0363" w:rsidRDefault="00FA0363" w:rsidP="00FA0363">
      <w:pPr>
        <w:pStyle w:val="13"/>
      </w:pPr>
      <w:r>
        <w:rPr>
          <w:rFonts w:hint="eastAsia"/>
        </w:rPr>
        <w:t>上述行为违反了《财政部</w:t>
      </w:r>
      <w:r>
        <w:t>证监会关于从事证券期货相关业务的资产评估机构有关管理问题的通知》（财企〔2008〕81号）的规定。按照《财政部证监会关于从事证券期货相关业务的资产评估机构有关管理问题的通知》（财企〔2008〕81号）的规定，现提醒你公司关注以下事项：</w:t>
      </w:r>
      <w:r w:rsidRPr="00E05E89">
        <w:rPr>
          <w:rFonts w:hint="eastAsia"/>
          <w:u w:val="single"/>
        </w:rPr>
        <w:t xml:space="preserve"> </w:t>
      </w:r>
      <w:r>
        <w:rPr>
          <w:u w:val="single"/>
        </w:rPr>
        <w:t xml:space="preserve">       </w:t>
      </w:r>
      <w:r>
        <w:t>，并及时采取</w:t>
      </w:r>
      <w:r>
        <w:rPr>
          <w:u w:val="single"/>
        </w:rPr>
        <w:t xml:space="preserve">            </w:t>
      </w:r>
      <w:r>
        <w:t>等措施。</w:t>
      </w:r>
    </w:p>
    <w:p w14:paraId="6F56D2AE" w14:textId="77777777" w:rsidR="00FA0363" w:rsidRDefault="00FA0363" w:rsidP="00FA0363">
      <w:pPr>
        <w:pStyle w:val="13"/>
      </w:pPr>
      <w:r>
        <w:rPr>
          <w:rFonts w:hint="eastAsia"/>
        </w:rPr>
        <w:lastRenderedPageBreak/>
        <w:t>你公司应当在</w:t>
      </w:r>
      <w:r>
        <w:t>年月日前向财政部、证监会提交书面报告，财政部、证监会将组织检查验收。</w:t>
      </w:r>
    </w:p>
    <w:p w14:paraId="70DD4522" w14:textId="77777777" w:rsidR="00FA0363" w:rsidRDefault="00FA0363" w:rsidP="00FA0363">
      <w:pPr>
        <w:pStyle w:val="13"/>
      </w:pPr>
      <w:r>
        <w:rPr>
          <w:rFonts w:hint="eastAsia"/>
        </w:rPr>
        <w:t>如果对</w:t>
      </w:r>
      <w:proofErr w:type="gramStart"/>
      <w:r>
        <w:rPr>
          <w:rFonts w:hint="eastAsia"/>
        </w:rPr>
        <w:t>本监督</w:t>
      </w:r>
      <w:proofErr w:type="gramEnd"/>
      <w:r>
        <w:rPr>
          <w:rFonts w:hint="eastAsia"/>
        </w:rPr>
        <w:t>管理措施不服，你公司可以在收到本决定书之日起</w:t>
      </w:r>
      <w:r>
        <w:t>60日内向财政部、</w:t>
      </w:r>
      <w:r>
        <w:rPr>
          <w:rFonts w:hint="eastAsia"/>
        </w:rPr>
        <w:t>证监会提出行政复议申请，也可以在收到本决定书之日起</w:t>
      </w:r>
      <w:r>
        <w:t>3个月内向有管辖权的人民法院提起诉讼。复议与诉讼期间，上述监督管理措施不停止执行。</w:t>
      </w:r>
    </w:p>
    <w:p w14:paraId="14950279" w14:textId="77777777" w:rsidR="00FA0363" w:rsidRDefault="00FA0363" w:rsidP="00FA0363">
      <w:pPr>
        <w:pStyle w:val="a7"/>
        <w:spacing w:before="1"/>
        <w:ind w:left="0"/>
        <w:jc w:val="right"/>
      </w:pPr>
      <w:r>
        <w:t>年月日</w:t>
      </w:r>
    </w:p>
    <w:p w14:paraId="338CA6D0" w14:textId="77777777" w:rsidR="00FA0363" w:rsidRDefault="00FA0363" w:rsidP="00FA0363">
      <w:pPr>
        <w:pStyle w:val="13"/>
        <w:ind w:firstLineChars="0"/>
      </w:pPr>
    </w:p>
    <w:p w14:paraId="35E83EA6" w14:textId="77777777" w:rsidR="00FA0363" w:rsidRDefault="00FA0363" w:rsidP="00AF7342">
      <w:pPr>
        <w:pStyle w:val="a9"/>
        <w:spacing w:before="62" w:after="62"/>
        <w:jc w:val="left"/>
      </w:pPr>
      <w:r>
        <w:rPr>
          <w:rFonts w:hint="eastAsia"/>
        </w:rPr>
        <w:t>附件</w:t>
      </w:r>
      <w:r>
        <w:t>3</w:t>
      </w:r>
    </w:p>
    <w:p w14:paraId="29B82BEA" w14:textId="61B24D6B" w:rsidR="00FA0363" w:rsidRDefault="00FA0363" w:rsidP="00AF7342">
      <w:pPr>
        <w:pStyle w:val="a9"/>
        <w:spacing w:before="62" w:after="62"/>
      </w:pPr>
      <w:r>
        <w:rPr>
          <w:rFonts w:hint="eastAsia"/>
        </w:rPr>
        <w:t>财政部</w:t>
      </w:r>
      <w:r>
        <w:t>证监会关于对</w:t>
      </w:r>
      <w:r w:rsidR="002451CD">
        <w:rPr>
          <w:u w:val="single"/>
        </w:rPr>
        <w:t xml:space="preserve"> </w:t>
      </w:r>
      <w:r>
        <w:t>公司</w:t>
      </w:r>
    </w:p>
    <w:p w14:paraId="19798009" w14:textId="77777777" w:rsidR="00FA0363" w:rsidRDefault="00FA0363" w:rsidP="00AF7342">
      <w:pPr>
        <w:pStyle w:val="a9"/>
        <w:spacing w:before="62" w:after="62"/>
      </w:pPr>
      <w:r>
        <w:t>采取责令改正措施的决定</w:t>
      </w:r>
    </w:p>
    <w:p w14:paraId="38E5CD94" w14:textId="0C48616B" w:rsidR="00FA0363" w:rsidRDefault="00FA0363" w:rsidP="00FA0363">
      <w:pPr>
        <w:pStyle w:val="13"/>
        <w:ind w:firstLineChars="0"/>
        <w:jc w:val="right"/>
      </w:pPr>
      <w:r>
        <w:rPr>
          <w:rFonts w:hint="eastAsia"/>
        </w:rPr>
        <w:t>〔</w:t>
      </w:r>
      <w:r w:rsidR="002451CD">
        <w:t xml:space="preserve"> </w:t>
      </w:r>
      <w:r>
        <w:t>〕号</w:t>
      </w:r>
    </w:p>
    <w:p w14:paraId="630C6A46" w14:textId="2B9040C2" w:rsidR="00FA0363" w:rsidRDefault="002451CD" w:rsidP="00FA0363">
      <w:pPr>
        <w:pStyle w:val="13"/>
      </w:pPr>
      <w:r>
        <w:rPr>
          <w:u w:val="single"/>
        </w:rPr>
        <w:t xml:space="preserve"> </w:t>
      </w:r>
      <w:r w:rsidR="00FA0363">
        <w:rPr>
          <w:u w:val="single"/>
        </w:rPr>
        <w:t xml:space="preserve">             </w:t>
      </w:r>
      <w:r w:rsidR="00FA0363">
        <w:t>公司：</w:t>
      </w:r>
    </w:p>
    <w:p w14:paraId="6E55F284" w14:textId="20B68C76" w:rsidR="00FA0363" w:rsidRDefault="00FA0363" w:rsidP="00FA0363">
      <w:pPr>
        <w:pStyle w:val="13"/>
      </w:pPr>
      <w:r>
        <w:rPr>
          <w:rFonts w:hint="eastAsia"/>
        </w:rPr>
        <w:t>经查，你公司</w:t>
      </w:r>
      <w:r w:rsidR="002451CD">
        <w:rPr>
          <w:u w:val="single"/>
        </w:rPr>
        <w:t xml:space="preserve"> </w:t>
      </w:r>
      <w:r w:rsidRPr="00E05E89">
        <w:rPr>
          <w:rFonts w:hint="eastAsia"/>
          <w:u w:val="single"/>
        </w:rPr>
        <w:t xml:space="preserve"> </w:t>
      </w:r>
      <w:r w:rsidRPr="00E05E89">
        <w:rPr>
          <w:u w:val="single"/>
        </w:rPr>
        <w:t xml:space="preserve">           </w:t>
      </w:r>
      <w:r>
        <w:t>。</w:t>
      </w:r>
    </w:p>
    <w:p w14:paraId="7245B227" w14:textId="6211941C" w:rsidR="00FA0363" w:rsidRDefault="00FA0363" w:rsidP="00FA0363">
      <w:pPr>
        <w:pStyle w:val="13"/>
      </w:pPr>
      <w:r>
        <w:rPr>
          <w:rFonts w:hint="eastAsia"/>
        </w:rPr>
        <w:t>上述行为违反了《财政部</w:t>
      </w:r>
      <w:r>
        <w:t>证监会关于从事证券期货相关业务的资产评估机构有关管理问题的通知》（财企〔2008〕81号）的规定。按照《财政部证监会关于从事证券期货相关业务的资产评估机构有关管理问题的通知》（财企〔2008〕81号）的规定，现要求你公司立即停止上述行为，并在年月日前予以改正，并达到如下要求：</w:t>
      </w:r>
      <w:r w:rsidR="002451CD">
        <w:rPr>
          <w:u w:val="single"/>
        </w:rPr>
        <w:t xml:space="preserve"> </w:t>
      </w:r>
      <w:r>
        <w:t>。</w:t>
      </w:r>
    </w:p>
    <w:p w14:paraId="76D07A46" w14:textId="628181EF" w:rsidR="00FA0363" w:rsidRDefault="00FA0363" w:rsidP="00FA0363">
      <w:pPr>
        <w:pStyle w:val="13"/>
      </w:pPr>
      <w:r>
        <w:rPr>
          <w:rFonts w:hint="eastAsia"/>
        </w:rPr>
        <w:t>你公司应当在</w:t>
      </w:r>
      <w:r w:rsidR="002451CD">
        <w:rPr>
          <w:u w:val="single"/>
        </w:rPr>
        <w:t xml:space="preserve"> </w:t>
      </w:r>
      <w:r>
        <w:t>年月日前向财政部、证监会提交书面报告，财政部、证监会</w:t>
      </w:r>
      <w:r>
        <w:rPr>
          <w:rFonts w:hint="eastAsia"/>
        </w:rPr>
        <w:t>将组织检查验收。</w:t>
      </w:r>
    </w:p>
    <w:p w14:paraId="36EFD63A" w14:textId="77777777" w:rsidR="00FA0363" w:rsidRDefault="00FA0363" w:rsidP="00FA0363">
      <w:pPr>
        <w:pStyle w:val="13"/>
      </w:pPr>
      <w:r>
        <w:rPr>
          <w:rFonts w:hint="eastAsia"/>
        </w:rPr>
        <w:t>如果对</w:t>
      </w:r>
      <w:proofErr w:type="gramStart"/>
      <w:r>
        <w:rPr>
          <w:rFonts w:hint="eastAsia"/>
        </w:rPr>
        <w:t>本监督</w:t>
      </w:r>
      <w:proofErr w:type="gramEnd"/>
      <w:r>
        <w:rPr>
          <w:rFonts w:hint="eastAsia"/>
        </w:rPr>
        <w:t>管理措施不服，你公司可以在收到本决定书之日起</w:t>
      </w:r>
      <w:r>
        <w:t>60日内向财政部、</w:t>
      </w:r>
      <w:r>
        <w:rPr>
          <w:rFonts w:hint="eastAsia"/>
        </w:rPr>
        <w:t>证监会提出行政复议申请，也可以在收到本决定书之日起</w:t>
      </w:r>
      <w:r>
        <w:t>3个月内向有管辖权的人民法院提起诉讼。复议与诉讼期间，上述监督管理措施不停止执行。</w:t>
      </w:r>
    </w:p>
    <w:p w14:paraId="29FA4038" w14:textId="77777777" w:rsidR="00FA0363" w:rsidRPr="00D063AE" w:rsidRDefault="00FA0363" w:rsidP="00FA0363">
      <w:pPr>
        <w:pStyle w:val="13"/>
        <w:ind w:firstLineChars="0"/>
        <w:jc w:val="right"/>
      </w:pPr>
      <w:r w:rsidRPr="00D063AE">
        <w:rPr>
          <w:rFonts w:hint="eastAsia"/>
        </w:rPr>
        <w:t>年</w:t>
      </w:r>
      <w:r w:rsidRPr="00D063AE">
        <w:t>月日</w:t>
      </w:r>
    </w:p>
    <w:p w14:paraId="2CB884D1" w14:textId="77777777" w:rsidR="00E155F1" w:rsidRDefault="00E155F1" w:rsidP="00E155F1">
      <w:pPr>
        <w:pStyle w:val="31"/>
        <w:spacing w:before="156" w:after="62"/>
      </w:pPr>
      <w:bookmarkStart w:id="274" w:name="_Toc81833507"/>
      <w:r>
        <w:rPr>
          <w:rFonts w:hint="eastAsia"/>
        </w:rPr>
        <w:t>《证券法（</w:t>
      </w:r>
      <w:r>
        <w:t>2019年修订）》有关资产评估的规定</w:t>
      </w:r>
      <w:bookmarkEnd w:id="274"/>
    </w:p>
    <w:p w14:paraId="3DCC1666" w14:textId="77777777" w:rsidR="00E155F1" w:rsidRDefault="00E155F1" w:rsidP="00E155F1">
      <w:pPr>
        <w:pStyle w:val="a9"/>
        <w:spacing w:before="62" w:after="62"/>
      </w:pPr>
      <w:r>
        <w:rPr>
          <w:rFonts w:hint="eastAsia"/>
        </w:rPr>
        <w:t xml:space="preserve">第二章 </w:t>
      </w:r>
      <w:r>
        <w:t>证券发行</w:t>
      </w:r>
    </w:p>
    <w:p w14:paraId="5984240A" w14:textId="77777777" w:rsidR="00E155F1" w:rsidRDefault="00E155F1" w:rsidP="00E155F1">
      <w:pPr>
        <w:pStyle w:val="13"/>
        <w:ind w:firstLine="482"/>
      </w:pPr>
      <w:r w:rsidRPr="00E05BDA">
        <w:rPr>
          <w:rFonts w:hint="eastAsia"/>
          <w:b/>
          <w:bCs/>
        </w:rPr>
        <w:t xml:space="preserve">第十九条 </w:t>
      </w:r>
      <w:r>
        <w:t>发行人报送的证券发行申请文件，应当充分披露投资者</w:t>
      </w:r>
      <w:proofErr w:type="gramStart"/>
      <w:r>
        <w:t>作出</w:t>
      </w:r>
      <w:proofErr w:type="gramEnd"/>
      <w:r>
        <w:t>价值判断和投资决策所必需的信息，内容应当真实、准确、完整。</w:t>
      </w:r>
    </w:p>
    <w:p w14:paraId="3D677D6F" w14:textId="77777777" w:rsidR="00E155F1" w:rsidRDefault="00E155F1" w:rsidP="00E155F1">
      <w:pPr>
        <w:pStyle w:val="13"/>
      </w:pPr>
      <w:r>
        <w:rPr>
          <w:rFonts w:hint="eastAsia"/>
        </w:rPr>
        <w:t>为证券发行出具有关文件的证券服务机构和人员，必须严格履行法定职责，保证所出具文件的真实性、准确性和完整性。</w:t>
      </w:r>
    </w:p>
    <w:p w14:paraId="4643D115" w14:textId="77777777" w:rsidR="00E155F1" w:rsidRDefault="00E155F1" w:rsidP="00E155F1">
      <w:pPr>
        <w:pStyle w:val="a9"/>
        <w:spacing w:before="62" w:after="62"/>
      </w:pPr>
      <w:r>
        <w:rPr>
          <w:rFonts w:hint="eastAsia"/>
        </w:rPr>
        <w:t xml:space="preserve">第三章 </w:t>
      </w:r>
      <w:r>
        <w:t>证券交易</w:t>
      </w:r>
    </w:p>
    <w:p w14:paraId="32B8F097" w14:textId="77777777" w:rsidR="00E155F1" w:rsidRDefault="00E155F1" w:rsidP="00E155F1">
      <w:pPr>
        <w:pStyle w:val="13"/>
        <w:ind w:firstLine="482"/>
      </w:pPr>
      <w:r w:rsidRPr="003B2FB1">
        <w:rPr>
          <w:rFonts w:hint="eastAsia"/>
          <w:b/>
          <w:bCs/>
        </w:rPr>
        <w:t xml:space="preserve">第四十一条 </w:t>
      </w:r>
      <w:r>
        <w:t>证券交易场所、证券公司、证券登记结算机构、证券服务机构及其工作人员应当依法为投资者的信息保密，不得非法买卖、提供或者公开投资者的信息。</w:t>
      </w:r>
      <w:r>
        <w:rPr>
          <w:rFonts w:hint="eastAsia"/>
        </w:rPr>
        <w:t>证券交易场所、证券公司、证券登记结算机构、证券服务机构及其工作人员不得</w:t>
      </w:r>
      <w:r>
        <w:rPr>
          <w:rFonts w:hint="eastAsia"/>
        </w:rPr>
        <w:lastRenderedPageBreak/>
        <w:t>泄露所知悉的商业秘密。</w:t>
      </w:r>
    </w:p>
    <w:p w14:paraId="7BF2A226" w14:textId="77777777" w:rsidR="00E155F1" w:rsidRDefault="00E155F1" w:rsidP="00E155F1">
      <w:pPr>
        <w:pStyle w:val="13"/>
        <w:ind w:firstLine="482"/>
      </w:pPr>
      <w:r w:rsidRPr="003B2FB1">
        <w:rPr>
          <w:rFonts w:hint="eastAsia"/>
          <w:b/>
          <w:bCs/>
        </w:rPr>
        <w:t xml:space="preserve">第四十二条 </w:t>
      </w:r>
      <w:r>
        <w:t>为证券发行出具审计报告或者法律意见书等文件的证券服务机构和人员，在该证券承销期内和期满后六个月内，不得买卖该证券。</w:t>
      </w:r>
    </w:p>
    <w:p w14:paraId="26438F15" w14:textId="77777777" w:rsidR="00E155F1" w:rsidRDefault="00E155F1" w:rsidP="00E155F1">
      <w:pPr>
        <w:pStyle w:val="13"/>
      </w:pPr>
      <w:r>
        <w:rPr>
          <w:rFonts w:hint="eastAsia"/>
        </w:rPr>
        <w:t>除前款规定外，为发行人及其控股股东、实际控制人，或者收购人、重大资产交易方出具审计报告或者法律意见书等文件的证券服务机构和人员，自接受委托之日起至上述文件公开后五日内，不得买卖该证券。实际开展上述有关工作之日早于接受委托之日的，自实际开展上述有关工作之日起至上述文件公开后五日内，不得买卖该证券。</w:t>
      </w:r>
    </w:p>
    <w:p w14:paraId="08D4D51A" w14:textId="77777777" w:rsidR="00E155F1" w:rsidRDefault="00E155F1" w:rsidP="00E155F1">
      <w:pPr>
        <w:pStyle w:val="13"/>
        <w:ind w:firstLine="482"/>
      </w:pPr>
      <w:r w:rsidRPr="0099490F">
        <w:rPr>
          <w:rFonts w:hint="eastAsia"/>
          <w:b/>
          <w:bCs/>
        </w:rPr>
        <w:t>第五十条</w:t>
      </w:r>
      <w:r>
        <w:rPr>
          <w:rFonts w:hint="eastAsia"/>
          <w:b/>
          <w:bCs/>
        </w:rPr>
        <w:t xml:space="preserve"> </w:t>
      </w:r>
      <w:r>
        <w:t>禁止证券交易内幕信息的知情人和非法获取内幕信息的人利用内幕信息从事证券交易活动。</w:t>
      </w:r>
    </w:p>
    <w:p w14:paraId="67FFE9F6" w14:textId="77777777" w:rsidR="00E155F1" w:rsidRDefault="00E155F1" w:rsidP="00E155F1">
      <w:pPr>
        <w:pStyle w:val="13"/>
        <w:ind w:firstLine="482"/>
      </w:pPr>
      <w:r w:rsidRPr="0099490F">
        <w:rPr>
          <w:rFonts w:hint="eastAsia"/>
          <w:b/>
          <w:bCs/>
        </w:rPr>
        <w:t>第五十一条</w:t>
      </w:r>
      <w:r>
        <w:rPr>
          <w:rFonts w:hint="eastAsia"/>
          <w:b/>
          <w:bCs/>
        </w:rPr>
        <w:t xml:space="preserve"> </w:t>
      </w:r>
      <w:r>
        <w:t>证券交易内幕信息的知情人包括：</w:t>
      </w:r>
    </w:p>
    <w:p w14:paraId="5FBF5FF3" w14:textId="77777777" w:rsidR="00E155F1" w:rsidRDefault="00E155F1" w:rsidP="00E155F1">
      <w:pPr>
        <w:pStyle w:val="13"/>
      </w:pPr>
      <w:r>
        <w:rPr>
          <w:rFonts w:hint="eastAsia"/>
        </w:rPr>
        <w:t>（一）发行人及其董事、监事、高级管理人员；</w:t>
      </w:r>
    </w:p>
    <w:p w14:paraId="4BD0E876" w14:textId="77777777" w:rsidR="00E155F1" w:rsidRDefault="00E155F1" w:rsidP="00E155F1">
      <w:pPr>
        <w:pStyle w:val="13"/>
      </w:pPr>
      <w:r>
        <w:rPr>
          <w:rFonts w:hint="eastAsia"/>
        </w:rPr>
        <w:t>（二）持有公司百分之五以上股份的股东及其董事、监事、高级管理人员，公司的实际控制人及其董事、监事、高级管理人员；</w:t>
      </w:r>
    </w:p>
    <w:p w14:paraId="2872C206" w14:textId="77777777" w:rsidR="00E155F1" w:rsidRDefault="00E155F1" w:rsidP="00E155F1">
      <w:pPr>
        <w:pStyle w:val="13"/>
      </w:pPr>
      <w:r>
        <w:rPr>
          <w:rFonts w:hint="eastAsia"/>
        </w:rPr>
        <w:t>（三）发行人控股或者实际控制的公司及其董事、监事、高级管理人员；</w:t>
      </w:r>
    </w:p>
    <w:p w14:paraId="558A1AC6" w14:textId="77777777" w:rsidR="00E155F1" w:rsidRDefault="00E155F1" w:rsidP="00E155F1">
      <w:pPr>
        <w:pStyle w:val="13"/>
      </w:pPr>
      <w:r>
        <w:rPr>
          <w:rFonts w:hint="eastAsia"/>
        </w:rPr>
        <w:t>（四）由于所任公司职务或者因与公司业务往来可以获取公司有关内幕信息的人员；</w:t>
      </w:r>
    </w:p>
    <w:p w14:paraId="2E31F96B" w14:textId="77777777" w:rsidR="00E155F1" w:rsidRDefault="00E155F1" w:rsidP="00E155F1">
      <w:pPr>
        <w:pStyle w:val="13"/>
      </w:pPr>
      <w:r>
        <w:rPr>
          <w:rFonts w:hint="eastAsia"/>
        </w:rPr>
        <w:t>（五）上市公司收购人或者重大资产交易方及其控股股东、实际控制人、董事、监事和高级管理人员；</w:t>
      </w:r>
    </w:p>
    <w:p w14:paraId="4E3A4F64" w14:textId="77777777" w:rsidR="00E155F1" w:rsidRDefault="00E155F1" w:rsidP="00E155F1">
      <w:pPr>
        <w:pStyle w:val="13"/>
      </w:pPr>
      <w:r>
        <w:rPr>
          <w:rFonts w:hint="eastAsia"/>
        </w:rPr>
        <w:t>（六）因职务、工作可以获取内幕信息的证券交易场所、证券公司、证券登记结算机构、证券服务机构的有关人员；</w:t>
      </w:r>
    </w:p>
    <w:p w14:paraId="2E04A125" w14:textId="77777777" w:rsidR="00E155F1" w:rsidRDefault="00E155F1" w:rsidP="00E155F1">
      <w:pPr>
        <w:pStyle w:val="13"/>
      </w:pPr>
      <w:r>
        <w:rPr>
          <w:rFonts w:hint="eastAsia"/>
        </w:rPr>
        <w:t>（七）因职责、工作可以获取内幕信息的证券监督管理机构工作人员；</w:t>
      </w:r>
    </w:p>
    <w:p w14:paraId="02A6DEEA" w14:textId="77777777" w:rsidR="00E155F1" w:rsidRDefault="00E155F1" w:rsidP="00E155F1">
      <w:pPr>
        <w:pStyle w:val="13"/>
      </w:pPr>
      <w:r>
        <w:rPr>
          <w:rFonts w:hint="eastAsia"/>
        </w:rPr>
        <w:t>（八）因法定职责对证券的发行、交易或者对上市公司及其收购、重大资产交易进行管理可以获取内幕信息的有关主管部门、监管机构的工作人员；</w:t>
      </w:r>
    </w:p>
    <w:p w14:paraId="56C25BA6" w14:textId="77777777" w:rsidR="00E155F1" w:rsidRDefault="00E155F1" w:rsidP="00E155F1">
      <w:pPr>
        <w:pStyle w:val="13"/>
      </w:pPr>
      <w:r>
        <w:rPr>
          <w:rFonts w:hint="eastAsia"/>
        </w:rPr>
        <w:t>（九）国务院证券监督管理机构规定的可以获取内幕信息的其他人员。</w:t>
      </w:r>
    </w:p>
    <w:p w14:paraId="7942C253" w14:textId="77777777" w:rsidR="00E155F1" w:rsidRDefault="00E155F1" w:rsidP="00E155F1">
      <w:pPr>
        <w:pStyle w:val="13"/>
        <w:ind w:firstLine="482"/>
      </w:pPr>
      <w:r w:rsidRPr="0099490F">
        <w:rPr>
          <w:rFonts w:hint="eastAsia"/>
          <w:b/>
          <w:bCs/>
        </w:rPr>
        <w:t>第五十二条</w:t>
      </w:r>
      <w:r>
        <w:rPr>
          <w:rFonts w:hint="eastAsia"/>
          <w:b/>
          <w:bCs/>
        </w:rPr>
        <w:t xml:space="preserve"> </w:t>
      </w:r>
      <w:r>
        <w:t>证券交易活动中，涉及发行人的经营、财务或者对该发行人证券的市场价格有重大影响的尚未公开的信息，为内幕信息。</w:t>
      </w:r>
    </w:p>
    <w:p w14:paraId="1125E4E3" w14:textId="77777777" w:rsidR="00E155F1" w:rsidRDefault="00E155F1" w:rsidP="00E155F1">
      <w:pPr>
        <w:pStyle w:val="13"/>
      </w:pPr>
      <w:r>
        <w:rPr>
          <w:rFonts w:hint="eastAsia"/>
        </w:rPr>
        <w:t>本法第八十条第二款、第八十一条第二款所列重大事件属于内幕信息。</w:t>
      </w:r>
    </w:p>
    <w:p w14:paraId="75CAA051" w14:textId="77777777" w:rsidR="00E155F1" w:rsidRDefault="00E155F1" w:rsidP="00E155F1">
      <w:pPr>
        <w:pStyle w:val="13"/>
        <w:ind w:firstLine="482"/>
      </w:pPr>
      <w:r w:rsidRPr="0099490F">
        <w:rPr>
          <w:rFonts w:hint="eastAsia"/>
          <w:b/>
          <w:bCs/>
        </w:rPr>
        <w:t>第五十三条</w:t>
      </w:r>
      <w:r>
        <w:rPr>
          <w:rFonts w:hint="eastAsia"/>
          <w:b/>
          <w:bCs/>
        </w:rPr>
        <w:t xml:space="preserve"> </w:t>
      </w:r>
      <w:r>
        <w:t>证券交易内幕信息的知情人和非法获取内幕信息的人，在内幕信息公开前，不得买卖该公司的证券，或者泄露该信息，或者建议他人买卖该证券。</w:t>
      </w:r>
    </w:p>
    <w:p w14:paraId="79754B0B" w14:textId="77777777" w:rsidR="00E155F1" w:rsidRDefault="00E155F1" w:rsidP="00E155F1">
      <w:pPr>
        <w:pStyle w:val="13"/>
      </w:pPr>
      <w:r>
        <w:rPr>
          <w:rFonts w:hint="eastAsia"/>
        </w:rPr>
        <w:t>持有或者通过协议、其他安排与他人共同持有公司百分之五以上股份的自然人、法人、非法人组织收购上市公司的股份，本法另有规定的，适用其规定。</w:t>
      </w:r>
    </w:p>
    <w:p w14:paraId="23CCDC82" w14:textId="77777777" w:rsidR="00E155F1" w:rsidRDefault="00E155F1" w:rsidP="00E155F1">
      <w:pPr>
        <w:pStyle w:val="13"/>
      </w:pPr>
      <w:r>
        <w:rPr>
          <w:rFonts w:hint="eastAsia"/>
        </w:rPr>
        <w:t>内幕交易行为给投资者造成损失的，应当依法承担赔偿责任。</w:t>
      </w:r>
    </w:p>
    <w:p w14:paraId="05343648" w14:textId="77777777" w:rsidR="00E155F1" w:rsidRDefault="00E155F1" w:rsidP="00E155F1">
      <w:pPr>
        <w:pStyle w:val="13"/>
        <w:ind w:firstLine="482"/>
      </w:pPr>
      <w:r w:rsidRPr="0099490F">
        <w:rPr>
          <w:rFonts w:hint="eastAsia"/>
          <w:b/>
          <w:bCs/>
        </w:rPr>
        <w:t>第五十四条</w:t>
      </w:r>
      <w:r>
        <w:rPr>
          <w:rFonts w:hint="eastAsia"/>
          <w:b/>
          <w:bCs/>
        </w:rPr>
        <w:t xml:space="preserve"> </w:t>
      </w:r>
      <w:r>
        <w:t>禁止证券交易场所、证券公司、证券登记结算机构、证券服务机构</w:t>
      </w:r>
      <w:r>
        <w:lastRenderedPageBreak/>
        <w:t>和其他金融机构的从业人员、有关监管部门或者行业协会的工作人员，</w:t>
      </w:r>
      <w:proofErr w:type="gramStart"/>
      <w:r>
        <w:t>利用因</w:t>
      </w:r>
      <w:proofErr w:type="gramEnd"/>
      <w:r>
        <w:t>职务便利获取的内幕信息以外的其他未公开的信息，违反规定，从事与该信息相关的证券交易活动，或者明示、暗示他人从事相关交易活动。</w:t>
      </w:r>
    </w:p>
    <w:p w14:paraId="3F130D79" w14:textId="77777777" w:rsidR="00E155F1" w:rsidRDefault="00E155F1" w:rsidP="00E155F1">
      <w:pPr>
        <w:pStyle w:val="13"/>
      </w:pPr>
      <w:r>
        <w:rPr>
          <w:rFonts w:hint="eastAsia"/>
        </w:rPr>
        <w:t>利用未公开信息进行交易给投资者造成损失的，应当依法承担赔偿责任。</w:t>
      </w:r>
    </w:p>
    <w:p w14:paraId="58F89FF7" w14:textId="77777777" w:rsidR="00E155F1" w:rsidRDefault="00E155F1" w:rsidP="00E155F1">
      <w:pPr>
        <w:pStyle w:val="13"/>
        <w:ind w:firstLine="482"/>
      </w:pPr>
      <w:r w:rsidRPr="0099490F">
        <w:rPr>
          <w:rFonts w:hint="eastAsia"/>
          <w:b/>
          <w:bCs/>
        </w:rPr>
        <w:t>第五十六条</w:t>
      </w:r>
      <w:r>
        <w:rPr>
          <w:rFonts w:hint="eastAsia"/>
          <w:b/>
          <w:bCs/>
        </w:rPr>
        <w:t xml:space="preserve"> </w:t>
      </w:r>
      <w:r>
        <w:t>禁止任何单位和个人编造、传播虚假信息或者误导性信息，扰乱证券市场。</w:t>
      </w:r>
      <w:r>
        <w:rPr>
          <w:rFonts w:hint="eastAsia"/>
        </w:rPr>
        <w:t>禁止证券交易场所、证券公司、证券登记结算机构、证券服务机构及其从业人员，</w:t>
      </w:r>
      <w:r>
        <w:t>证券业协会、证券监督管理机构及其工作人员，在证券交易活动中</w:t>
      </w:r>
      <w:proofErr w:type="gramStart"/>
      <w:r>
        <w:t>作出</w:t>
      </w:r>
      <w:proofErr w:type="gramEnd"/>
      <w:r>
        <w:t>虚假陈述或者信息误导。</w:t>
      </w:r>
    </w:p>
    <w:p w14:paraId="551DABBC" w14:textId="77777777" w:rsidR="00E155F1" w:rsidRDefault="00E155F1" w:rsidP="00E155F1">
      <w:pPr>
        <w:pStyle w:val="13"/>
      </w:pPr>
      <w:r>
        <w:rPr>
          <w:rFonts w:hint="eastAsia"/>
        </w:rPr>
        <w:t>各种传播媒介传播证券市场信息必须真实、客观，禁止误导。传播媒介及其从事证券市场信息报道的工作人员不得从事与其工作职责发生利益冲突的证券买卖。</w:t>
      </w:r>
    </w:p>
    <w:p w14:paraId="6E521F70" w14:textId="77777777" w:rsidR="00E155F1" w:rsidRDefault="00E155F1" w:rsidP="00E155F1">
      <w:pPr>
        <w:pStyle w:val="13"/>
      </w:pPr>
      <w:r>
        <w:rPr>
          <w:rFonts w:hint="eastAsia"/>
        </w:rPr>
        <w:t>编造、传播虚假信息或者误导性信息，扰乱证券市场，给投资者造成损失的，应当依法承担赔偿责任。</w:t>
      </w:r>
    </w:p>
    <w:p w14:paraId="5F8D0B37" w14:textId="77777777" w:rsidR="00E155F1" w:rsidRDefault="00E155F1" w:rsidP="00E155F1">
      <w:pPr>
        <w:pStyle w:val="13"/>
        <w:ind w:firstLine="482"/>
      </w:pPr>
      <w:r w:rsidRPr="0099490F">
        <w:rPr>
          <w:rFonts w:hint="eastAsia"/>
          <w:b/>
          <w:bCs/>
        </w:rPr>
        <w:t>第六十一条</w:t>
      </w:r>
      <w:r>
        <w:rPr>
          <w:rFonts w:hint="eastAsia"/>
          <w:b/>
          <w:bCs/>
        </w:rPr>
        <w:t xml:space="preserve"> </w:t>
      </w:r>
      <w:r>
        <w:t>证券交易场所、证券公司、证券登记结算机构、证券服务机构及其从业人员对证券交易中发现的禁止的交易行为，应当及时向证券监督管理机构报告。</w:t>
      </w:r>
    </w:p>
    <w:p w14:paraId="40F41CD0" w14:textId="77777777" w:rsidR="00E155F1" w:rsidRDefault="00E155F1" w:rsidP="00E155F1">
      <w:pPr>
        <w:pStyle w:val="a9"/>
        <w:spacing w:before="62" w:after="62"/>
      </w:pPr>
      <w:r>
        <w:rPr>
          <w:rFonts w:hint="eastAsia"/>
        </w:rPr>
        <w:t xml:space="preserve">第七章 </w:t>
      </w:r>
      <w:r>
        <w:t>证券交易场所</w:t>
      </w:r>
    </w:p>
    <w:p w14:paraId="70023D9D" w14:textId="77777777" w:rsidR="00E155F1" w:rsidRDefault="00E155F1" w:rsidP="00E155F1">
      <w:pPr>
        <w:pStyle w:val="13"/>
        <w:ind w:firstLine="482"/>
      </w:pPr>
      <w:r w:rsidRPr="0099490F">
        <w:rPr>
          <w:rFonts w:hint="eastAsia"/>
          <w:b/>
          <w:bCs/>
        </w:rPr>
        <w:t>第一百零三条</w:t>
      </w:r>
      <w:r>
        <w:rPr>
          <w:rFonts w:hint="eastAsia"/>
          <w:b/>
          <w:bCs/>
        </w:rPr>
        <w:t xml:space="preserve"> </w:t>
      </w:r>
      <w:r>
        <w:t>有《中华人民共和国公司法》第一百四十六条规定的情形或者下列情形之一的，不得担任证券交易所的负责人：</w:t>
      </w:r>
    </w:p>
    <w:p w14:paraId="21029903" w14:textId="77777777" w:rsidR="00E155F1" w:rsidRDefault="00E155F1" w:rsidP="00E155F1">
      <w:pPr>
        <w:pStyle w:val="13"/>
      </w:pPr>
      <w:r>
        <w:rPr>
          <w:rFonts w:hint="eastAsia"/>
        </w:rPr>
        <w:t>（一）因违法行为或者违纪行为被解除职务的证券交易场所、证券登记结算机构的负责人或者证券公司的董事、监事、高级管理人员，自被解除职务之日起未逾五年；</w:t>
      </w:r>
    </w:p>
    <w:p w14:paraId="7BB4CDFF" w14:textId="77777777" w:rsidR="00E155F1" w:rsidRDefault="00E155F1" w:rsidP="00E155F1">
      <w:pPr>
        <w:pStyle w:val="13"/>
      </w:pPr>
      <w:r>
        <w:rPr>
          <w:rFonts w:hint="eastAsia"/>
        </w:rPr>
        <w:t>（二）因违法行为或者违纪行为被吊销执业证书或者被取消资格的律师、注册会计师或者其他证券服务机构的专业人员，自被吊销执业证书或者被取消资格之日起未逾五年。</w:t>
      </w:r>
    </w:p>
    <w:p w14:paraId="624F9B88" w14:textId="77777777" w:rsidR="00E155F1" w:rsidRDefault="00E155F1" w:rsidP="00E155F1">
      <w:pPr>
        <w:pStyle w:val="13"/>
        <w:ind w:firstLine="482"/>
      </w:pPr>
      <w:r w:rsidRPr="0099490F">
        <w:rPr>
          <w:rFonts w:hint="eastAsia"/>
          <w:b/>
          <w:bCs/>
        </w:rPr>
        <w:t>第一百零四条</w:t>
      </w:r>
      <w:r>
        <w:rPr>
          <w:rFonts w:hint="eastAsia"/>
          <w:b/>
          <w:bCs/>
        </w:rPr>
        <w:t xml:space="preserve"> </w:t>
      </w:r>
      <w:r>
        <w:t>因违法行为或者违纪行为被开除的证券交易场所、证券公司、证券登记结算机构、证券服务机构的从业人员和被开除的国家机关工作人员，不得招聘为证券交易所的从业人员。</w:t>
      </w:r>
    </w:p>
    <w:p w14:paraId="230E9FD4" w14:textId="77777777" w:rsidR="00E155F1" w:rsidRDefault="00E155F1" w:rsidP="00E155F1">
      <w:pPr>
        <w:pStyle w:val="a9"/>
        <w:spacing w:before="62" w:after="62"/>
      </w:pPr>
      <w:r>
        <w:rPr>
          <w:rFonts w:hint="eastAsia"/>
        </w:rPr>
        <w:t xml:space="preserve">第八章 </w:t>
      </w:r>
      <w:r>
        <w:t>证券公司</w:t>
      </w:r>
    </w:p>
    <w:p w14:paraId="03163F51" w14:textId="77777777" w:rsidR="00E155F1" w:rsidRDefault="00E155F1" w:rsidP="00E155F1">
      <w:pPr>
        <w:pStyle w:val="13"/>
        <w:ind w:firstLine="482"/>
      </w:pPr>
      <w:r w:rsidRPr="0099490F">
        <w:rPr>
          <w:rFonts w:hint="eastAsia"/>
          <w:b/>
          <w:bCs/>
        </w:rPr>
        <w:t>第一百二十四条</w:t>
      </w:r>
      <w:r>
        <w:rPr>
          <w:rFonts w:hint="eastAsia"/>
          <w:b/>
          <w:bCs/>
        </w:rPr>
        <w:t xml:space="preserve"> </w:t>
      </w:r>
      <w:r>
        <w:t>证券公司的董事、监事、高级管理人员，应当正直诚实、品行良好，熟悉证券法律、行政法规，具有履行职责所需的经营管理能力。证券公司任免董事、监事、高级管理人员，应当报国务院证券监督管理机构备案。</w:t>
      </w:r>
    </w:p>
    <w:p w14:paraId="0787BBDA" w14:textId="77777777" w:rsidR="00E155F1" w:rsidRDefault="00E155F1" w:rsidP="00E155F1">
      <w:pPr>
        <w:pStyle w:val="13"/>
      </w:pPr>
      <w:r>
        <w:rPr>
          <w:rFonts w:hint="eastAsia"/>
        </w:rPr>
        <w:t>有《中华人民共和国公司法》第一百四十六条规定的情形或者下列情形之一的，不得担任证券公司的董事、监事、高级管理人员：</w:t>
      </w:r>
    </w:p>
    <w:p w14:paraId="7D3E613A" w14:textId="77777777" w:rsidR="00E155F1" w:rsidRDefault="00E155F1" w:rsidP="00E155F1">
      <w:pPr>
        <w:pStyle w:val="13"/>
      </w:pPr>
      <w:r>
        <w:rPr>
          <w:rFonts w:hint="eastAsia"/>
        </w:rPr>
        <w:t>（一）因违法行为或者违纪行为被解除职务的证券交易场所、证券登记结算机构的负责人或者证券公司的董事、监事、高级管理人员，自被解除职务之日起未逾五年；</w:t>
      </w:r>
    </w:p>
    <w:p w14:paraId="5D24E665" w14:textId="77777777" w:rsidR="00E155F1" w:rsidRDefault="00E155F1" w:rsidP="00E155F1">
      <w:pPr>
        <w:pStyle w:val="13"/>
      </w:pPr>
      <w:r>
        <w:rPr>
          <w:rFonts w:hint="eastAsia"/>
        </w:rPr>
        <w:lastRenderedPageBreak/>
        <w:t>（二）因违法行为或者违纪行为被吊销执业证书或者被取消资格的律师、注册会计师或者其他证券服务机构的专业人员，自被吊销执业证书或者被取消资格之日起未逾五年。</w:t>
      </w:r>
    </w:p>
    <w:p w14:paraId="6BA796D1" w14:textId="77777777" w:rsidR="00E155F1" w:rsidRDefault="00E155F1" w:rsidP="00E155F1">
      <w:pPr>
        <w:pStyle w:val="13"/>
        <w:ind w:firstLine="482"/>
      </w:pPr>
      <w:r w:rsidRPr="00501D48">
        <w:rPr>
          <w:rFonts w:hint="eastAsia"/>
          <w:b/>
          <w:bCs/>
        </w:rPr>
        <w:t>第一百二十五条</w:t>
      </w:r>
      <w:r>
        <w:rPr>
          <w:rFonts w:hint="eastAsia"/>
          <w:b/>
          <w:bCs/>
        </w:rPr>
        <w:t xml:space="preserve"> </w:t>
      </w:r>
      <w:r>
        <w:t>证券公司从事证券业务的人员应当品行良好，具备从事证券业务所需的专业能力。</w:t>
      </w:r>
    </w:p>
    <w:p w14:paraId="1751BFDF" w14:textId="77777777" w:rsidR="00E155F1" w:rsidRDefault="00E155F1" w:rsidP="00E155F1">
      <w:pPr>
        <w:pStyle w:val="13"/>
      </w:pPr>
      <w:r>
        <w:rPr>
          <w:rFonts w:hint="eastAsia"/>
        </w:rPr>
        <w:t>因违法行为或者违纪行为被开除的证券交易场所、证券公司、证券登记结算机构、证券服务机构的从业人员和被开除的国家机关工作人员，不得招聘为证券公司的从业人员。</w:t>
      </w:r>
    </w:p>
    <w:p w14:paraId="363A8FE0" w14:textId="77777777" w:rsidR="00E155F1" w:rsidRDefault="00E155F1" w:rsidP="00E155F1">
      <w:pPr>
        <w:pStyle w:val="13"/>
      </w:pPr>
      <w:r>
        <w:rPr>
          <w:rFonts w:hint="eastAsia"/>
        </w:rPr>
        <w:t>国家机关工作人员和法律、行政法规规定的禁止在公司中兼职的其他人员，不得在证券公司中兼任职务。</w:t>
      </w:r>
    </w:p>
    <w:p w14:paraId="7FAE513F" w14:textId="77777777" w:rsidR="00E155F1" w:rsidRDefault="00E155F1" w:rsidP="00E155F1">
      <w:pPr>
        <w:pStyle w:val="13"/>
        <w:ind w:firstLine="482"/>
      </w:pPr>
      <w:r w:rsidRPr="00501D48">
        <w:rPr>
          <w:rFonts w:hint="eastAsia"/>
          <w:b/>
          <w:bCs/>
        </w:rPr>
        <w:t>第一百三十九条</w:t>
      </w:r>
      <w:r>
        <w:rPr>
          <w:rFonts w:hint="eastAsia"/>
          <w:b/>
          <w:bCs/>
        </w:rPr>
        <w:t xml:space="preserve"> </w:t>
      </w:r>
      <w:r>
        <w:t>国务院证券监督管理机构认为有必要时，可以委托会计师事务所、资产评估机构对证券公司的财务状况、内部控制状况、资产价值进行审计或者评估。具体办法由国务院证券监督管理机构会同有关主管部门制定。</w:t>
      </w:r>
    </w:p>
    <w:p w14:paraId="5D6FEC06" w14:textId="77777777" w:rsidR="00E155F1" w:rsidRDefault="00E155F1" w:rsidP="00E155F1">
      <w:pPr>
        <w:pStyle w:val="a9"/>
        <w:spacing w:before="62" w:after="62"/>
      </w:pPr>
      <w:r>
        <w:rPr>
          <w:rFonts w:hint="eastAsia"/>
        </w:rPr>
        <w:t xml:space="preserve">第十章 </w:t>
      </w:r>
      <w:r>
        <w:t>证券服务机构</w:t>
      </w:r>
    </w:p>
    <w:p w14:paraId="29BE920D" w14:textId="77777777" w:rsidR="00E155F1" w:rsidRDefault="00E155F1" w:rsidP="00E155F1">
      <w:pPr>
        <w:pStyle w:val="13"/>
        <w:ind w:firstLine="482"/>
      </w:pPr>
      <w:r w:rsidRPr="00501D48">
        <w:rPr>
          <w:rFonts w:hint="eastAsia"/>
          <w:b/>
          <w:bCs/>
        </w:rPr>
        <w:t>第一百六十条</w:t>
      </w:r>
      <w:r>
        <w:rPr>
          <w:rFonts w:hint="eastAsia"/>
          <w:b/>
          <w:bCs/>
        </w:rPr>
        <w:t xml:space="preserve"> </w:t>
      </w:r>
      <w:r>
        <w:t>会计师事务所、律师事务所以及从事证券投资咨询、资产评估、资信评级、财务顾问、信息技术系统服务的证券服务机构，应当勤勉尽责、恪尽职守，按照相关业务规则为证券的交易及相关活动提供服务。</w:t>
      </w:r>
    </w:p>
    <w:p w14:paraId="0EF5B778" w14:textId="77777777" w:rsidR="00E155F1" w:rsidRDefault="00E155F1" w:rsidP="00E155F1">
      <w:pPr>
        <w:pStyle w:val="13"/>
      </w:pPr>
      <w:r>
        <w:rPr>
          <w:rFonts w:hint="eastAsia"/>
        </w:rPr>
        <w:t>从事证券投资咨询服务业务，应当经国务院证券监督管理机构核准；未经核准，不得为证券的交易及相关活动提供服务。从事其他证券服务业务，应当报国务院证券监督管理机构和国务院有关主管部门备案。</w:t>
      </w:r>
    </w:p>
    <w:p w14:paraId="038C39A9" w14:textId="77777777" w:rsidR="00E155F1" w:rsidRDefault="00E155F1" w:rsidP="00E155F1">
      <w:pPr>
        <w:pStyle w:val="13"/>
        <w:ind w:firstLine="482"/>
      </w:pPr>
      <w:r w:rsidRPr="00501D48">
        <w:rPr>
          <w:rFonts w:hint="eastAsia"/>
          <w:b/>
          <w:bCs/>
        </w:rPr>
        <w:t>第一百六十一条</w:t>
      </w:r>
      <w:r>
        <w:rPr>
          <w:rFonts w:hint="eastAsia"/>
          <w:b/>
          <w:bCs/>
        </w:rPr>
        <w:t xml:space="preserve"> </w:t>
      </w:r>
      <w:r>
        <w:t>证券投资咨询机构及其从业人员从事证券服务业务不得有下列行</w:t>
      </w:r>
      <w:r>
        <w:rPr>
          <w:rFonts w:hint="eastAsia"/>
        </w:rPr>
        <w:t>为：</w:t>
      </w:r>
    </w:p>
    <w:p w14:paraId="358CAB50" w14:textId="77777777" w:rsidR="00E155F1" w:rsidRDefault="00E155F1" w:rsidP="00E155F1">
      <w:pPr>
        <w:pStyle w:val="13"/>
      </w:pPr>
      <w:r>
        <w:rPr>
          <w:rFonts w:hint="eastAsia"/>
        </w:rPr>
        <w:t>（一）代理委托人从事证券投资；</w:t>
      </w:r>
    </w:p>
    <w:p w14:paraId="7094E843" w14:textId="77777777" w:rsidR="00E155F1" w:rsidRDefault="00E155F1" w:rsidP="00E155F1">
      <w:pPr>
        <w:pStyle w:val="13"/>
      </w:pPr>
      <w:r>
        <w:rPr>
          <w:rFonts w:hint="eastAsia"/>
        </w:rPr>
        <w:t>（二）与委托人约定分享证券投资收益或者分担证券投资损失；</w:t>
      </w:r>
    </w:p>
    <w:p w14:paraId="1B9F4821" w14:textId="77777777" w:rsidR="00E155F1" w:rsidRDefault="00E155F1" w:rsidP="00E155F1">
      <w:pPr>
        <w:pStyle w:val="13"/>
      </w:pPr>
      <w:r>
        <w:rPr>
          <w:rFonts w:hint="eastAsia"/>
        </w:rPr>
        <w:t>（三）买卖本证券投资咨询机构提供服务的证券；</w:t>
      </w:r>
    </w:p>
    <w:p w14:paraId="489EE225" w14:textId="77777777" w:rsidR="00E155F1" w:rsidRDefault="00E155F1" w:rsidP="00E155F1">
      <w:pPr>
        <w:pStyle w:val="13"/>
      </w:pPr>
      <w:r>
        <w:rPr>
          <w:rFonts w:hint="eastAsia"/>
        </w:rPr>
        <w:t>（四）法律、行政法规禁止的其他行为。</w:t>
      </w:r>
    </w:p>
    <w:p w14:paraId="12567C36" w14:textId="77777777" w:rsidR="00E155F1" w:rsidRDefault="00E155F1" w:rsidP="00E155F1">
      <w:pPr>
        <w:pStyle w:val="13"/>
      </w:pPr>
      <w:r>
        <w:rPr>
          <w:rFonts w:hint="eastAsia"/>
        </w:rPr>
        <w:t>有前款所</w:t>
      </w:r>
      <w:proofErr w:type="gramStart"/>
      <w:r>
        <w:rPr>
          <w:rFonts w:hint="eastAsia"/>
        </w:rPr>
        <w:t>列行</w:t>
      </w:r>
      <w:proofErr w:type="gramEnd"/>
      <w:r>
        <w:rPr>
          <w:rFonts w:hint="eastAsia"/>
        </w:rPr>
        <w:t>为之一，给投资者造成损失的，应当依法承担赔偿责任。</w:t>
      </w:r>
    </w:p>
    <w:p w14:paraId="1AE7E422" w14:textId="77777777" w:rsidR="00E155F1" w:rsidRDefault="00E155F1" w:rsidP="00E155F1">
      <w:pPr>
        <w:pStyle w:val="13"/>
        <w:ind w:firstLine="482"/>
      </w:pPr>
      <w:r w:rsidRPr="00501D48">
        <w:rPr>
          <w:rFonts w:hint="eastAsia"/>
          <w:b/>
          <w:bCs/>
        </w:rPr>
        <w:t>第一百六十二条</w:t>
      </w:r>
      <w:r>
        <w:rPr>
          <w:rFonts w:hint="eastAsia"/>
          <w:b/>
          <w:bCs/>
        </w:rPr>
        <w:t xml:space="preserve"> </w:t>
      </w:r>
      <w:r>
        <w:t>证券服务机构应当妥善保存客户委托文件、核查和验证资料、工</w:t>
      </w:r>
      <w:r>
        <w:rPr>
          <w:rFonts w:hint="eastAsia"/>
        </w:rPr>
        <w:t>作底稿以及与质量控制、内部管理、业务经营有关的信息和资料，任何人不得泄露、隐匿、伪造、篡改或者毁损。上述信息和资料的保存期限不得少于十年，自业务委托结束之日起算。</w:t>
      </w:r>
    </w:p>
    <w:p w14:paraId="4D27AEE3" w14:textId="77777777" w:rsidR="00E155F1" w:rsidRDefault="00E155F1" w:rsidP="00E155F1">
      <w:pPr>
        <w:pStyle w:val="13"/>
        <w:ind w:firstLine="482"/>
      </w:pPr>
      <w:r w:rsidRPr="00501D48">
        <w:rPr>
          <w:rFonts w:hint="eastAsia"/>
          <w:b/>
          <w:bCs/>
        </w:rPr>
        <w:t>第一百六十三条</w:t>
      </w:r>
      <w:r>
        <w:rPr>
          <w:rFonts w:hint="eastAsia"/>
          <w:b/>
          <w:bCs/>
        </w:rPr>
        <w:t xml:space="preserve"> </w:t>
      </w:r>
      <w:r>
        <w:t>证券服务机构为证券的发行、上市、交易等证券业务活动制作、出具审计报告及其他</w:t>
      </w:r>
      <w:proofErr w:type="gramStart"/>
      <w:r>
        <w:t>鉴证</w:t>
      </w:r>
      <w:proofErr w:type="gramEnd"/>
      <w:r>
        <w:t>报告、资产评估报告、财务顾问报告、资信评级报告或者法律意见书等文件，应当勤勉尽责，对所依据的文件资料内容的真实性、准确性、完整</w:t>
      </w:r>
      <w:r>
        <w:lastRenderedPageBreak/>
        <w:t>性进行核查和验证。其制作、出具的文件有虚假记载、误导性陈述或者重大遗漏，给他人造成损失的，应当与委托人承担连带赔偿责任，但是能够证明自己没有过错的除外。</w:t>
      </w:r>
    </w:p>
    <w:p w14:paraId="066D1FB2" w14:textId="77777777" w:rsidR="00E155F1" w:rsidRDefault="00E155F1" w:rsidP="00E155F1">
      <w:pPr>
        <w:pStyle w:val="a9"/>
        <w:spacing w:before="62" w:after="62"/>
      </w:pPr>
      <w:r>
        <w:rPr>
          <w:rFonts w:hint="eastAsia"/>
        </w:rPr>
        <w:t xml:space="preserve">第十二章 </w:t>
      </w:r>
      <w:r>
        <w:t>证券监督管理机构</w:t>
      </w:r>
    </w:p>
    <w:p w14:paraId="2365B25A" w14:textId="77777777" w:rsidR="00E155F1" w:rsidRDefault="00E155F1" w:rsidP="00E155F1">
      <w:pPr>
        <w:pStyle w:val="13"/>
        <w:ind w:firstLine="482"/>
      </w:pPr>
      <w:r w:rsidRPr="00501D48">
        <w:rPr>
          <w:rFonts w:hint="eastAsia"/>
          <w:b/>
          <w:bCs/>
        </w:rPr>
        <w:t>第一百六十九条</w:t>
      </w:r>
      <w:r>
        <w:rPr>
          <w:rFonts w:hint="eastAsia"/>
          <w:b/>
          <w:bCs/>
        </w:rPr>
        <w:t xml:space="preserve"> </w:t>
      </w:r>
      <w:r>
        <w:t>国务院证券监督管理机构在对证券市场实施监督管理中履行下列职责：</w:t>
      </w:r>
    </w:p>
    <w:p w14:paraId="0F77F380" w14:textId="77777777" w:rsidR="00E155F1" w:rsidRDefault="00E155F1" w:rsidP="00E155F1">
      <w:pPr>
        <w:pStyle w:val="13"/>
      </w:pPr>
      <w:r>
        <w:rPr>
          <w:rFonts w:hint="eastAsia"/>
        </w:rPr>
        <w:t>（一）依法制定有关证券市场监督管理的规章、规则，并依法进行审批、核准、注册，办理备案；</w:t>
      </w:r>
    </w:p>
    <w:p w14:paraId="07C52FF3" w14:textId="77777777" w:rsidR="00E155F1" w:rsidRDefault="00E155F1" w:rsidP="00E155F1">
      <w:pPr>
        <w:pStyle w:val="13"/>
      </w:pPr>
      <w:r>
        <w:rPr>
          <w:rFonts w:hint="eastAsia"/>
        </w:rPr>
        <w:t>（二）依法对证券的发行、上市、交易、登记、存管、结算等行为，进行监督管理；</w:t>
      </w:r>
    </w:p>
    <w:p w14:paraId="32CD2477" w14:textId="77777777" w:rsidR="00E155F1" w:rsidRDefault="00E155F1" w:rsidP="00E155F1">
      <w:pPr>
        <w:pStyle w:val="13"/>
      </w:pPr>
      <w:r>
        <w:rPr>
          <w:rFonts w:hint="eastAsia"/>
        </w:rPr>
        <w:t>（三）依法对证券发行人、证券公司、证券服务机构、证券交易场所、证券登记结算机构的证券业务活动，进行监督管理；</w:t>
      </w:r>
    </w:p>
    <w:p w14:paraId="02FCC300" w14:textId="77777777" w:rsidR="00E155F1" w:rsidRDefault="00E155F1" w:rsidP="00E155F1">
      <w:pPr>
        <w:pStyle w:val="13"/>
      </w:pPr>
      <w:r>
        <w:rPr>
          <w:rFonts w:hint="eastAsia"/>
        </w:rPr>
        <w:t>（四）依法制定从事证券业务人员的行为准则，并监督实施；</w:t>
      </w:r>
    </w:p>
    <w:p w14:paraId="35D17B57" w14:textId="77777777" w:rsidR="00E155F1" w:rsidRDefault="00E155F1" w:rsidP="00E155F1">
      <w:pPr>
        <w:pStyle w:val="13"/>
      </w:pPr>
      <w:r>
        <w:rPr>
          <w:rFonts w:hint="eastAsia"/>
        </w:rPr>
        <w:t>（五）依法监督检查证券发行、上市、交易的信息披露；</w:t>
      </w:r>
    </w:p>
    <w:p w14:paraId="4075961E" w14:textId="77777777" w:rsidR="00E155F1" w:rsidRDefault="00E155F1" w:rsidP="00E155F1">
      <w:pPr>
        <w:pStyle w:val="13"/>
      </w:pPr>
      <w:r>
        <w:rPr>
          <w:rFonts w:hint="eastAsia"/>
        </w:rPr>
        <w:t>（六）依法对证券业协会的自律管理活动进行指导和监督；</w:t>
      </w:r>
    </w:p>
    <w:p w14:paraId="7A0CE1C0" w14:textId="77777777" w:rsidR="00E155F1" w:rsidRDefault="00E155F1" w:rsidP="00E155F1">
      <w:pPr>
        <w:pStyle w:val="13"/>
      </w:pPr>
      <w:r>
        <w:rPr>
          <w:rFonts w:hint="eastAsia"/>
        </w:rPr>
        <w:t>（七）依法监测并防范、处置证券市场风险；</w:t>
      </w:r>
    </w:p>
    <w:p w14:paraId="5B3D6F52" w14:textId="77777777" w:rsidR="00E155F1" w:rsidRDefault="00E155F1" w:rsidP="00E155F1">
      <w:pPr>
        <w:pStyle w:val="13"/>
      </w:pPr>
      <w:r>
        <w:rPr>
          <w:rFonts w:hint="eastAsia"/>
        </w:rPr>
        <w:t>（八）依法开展投资者教育；</w:t>
      </w:r>
    </w:p>
    <w:p w14:paraId="5EE47E45" w14:textId="77777777" w:rsidR="00E155F1" w:rsidRDefault="00E155F1" w:rsidP="00E155F1">
      <w:pPr>
        <w:pStyle w:val="13"/>
      </w:pPr>
      <w:r>
        <w:rPr>
          <w:rFonts w:hint="eastAsia"/>
        </w:rPr>
        <w:t>（九）依法对证券违法行为进行查处；</w:t>
      </w:r>
    </w:p>
    <w:p w14:paraId="7ECD02F7" w14:textId="77777777" w:rsidR="00E155F1" w:rsidRDefault="00E155F1" w:rsidP="00E155F1">
      <w:pPr>
        <w:pStyle w:val="13"/>
      </w:pPr>
      <w:r>
        <w:rPr>
          <w:rFonts w:hint="eastAsia"/>
        </w:rPr>
        <w:t>（十）法律、行政法规规定的其他职责。</w:t>
      </w:r>
    </w:p>
    <w:p w14:paraId="19F7BF22" w14:textId="77777777" w:rsidR="00E155F1" w:rsidRDefault="00E155F1" w:rsidP="00E155F1">
      <w:pPr>
        <w:pStyle w:val="13"/>
        <w:ind w:firstLine="482"/>
      </w:pPr>
      <w:r w:rsidRPr="00501D48">
        <w:rPr>
          <w:rFonts w:hint="eastAsia"/>
          <w:b/>
          <w:bCs/>
        </w:rPr>
        <w:t>第一百七十条</w:t>
      </w:r>
      <w:r>
        <w:rPr>
          <w:rFonts w:hint="eastAsia"/>
          <w:b/>
          <w:bCs/>
        </w:rPr>
        <w:t xml:space="preserve"> </w:t>
      </w:r>
      <w:r>
        <w:t>国务院证券监督管理机构依法履行职责，有权采取下列措施：</w:t>
      </w:r>
    </w:p>
    <w:p w14:paraId="506C4980" w14:textId="77777777" w:rsidR="00E155F1" w:rsidRDefault="00E155F1" w:rsidP="00E155F1">
      <w:pPr>
        <w:pStyle w:val="13"/>
      </w:pPr>
      <w:r>
        <w:rPr>
          <w:rFonts w:hint="eastAsia"/>
        </w:rPr>
        <w:t>（一）对证券发行人、证券公司、证券服务机构、证券交易场所、证券登记结算机构进行现场检查；</w:t>
      </w:r>
    </w:p>
    <w:p w14:paraId="654C9EA5" w14:textId="77777777" w:rsidR="00E155F1" w:rsidRDefault="00E155F1" w:rsidP="00E155F1">
      <w:pPr>
        <w:pStyle w:val="13"/>
      </w:pPr>
      <w:r>
        <w:rPr>
          <w:rFonts w:hint="eastAsia"/>
        </w:rPr>
        <w:t>（二）进入涉嫌违法行为发生场所调查取证；</w:t>
      </w:r>
    </w:p>
    <w:p w14:paraId="476F1667" w14:textId="77777777" w:rsidR="00E155F1" w:rsidRDefault="00E155F1" w:rsidP="00E155F1">
      <w:pPr>
        <w:pStyle w:val="13"/>
      </w:pPr>
      <w:r>
        <w:rPr>
          <w:rFonts w:hint="eastAsia"/>
        </w:rPr>
        <w:t>（三）询问当事人和与被调查事件有关的单位和个人，要求其对与被调查事件有关的事项</w:t>
      </w:r>
      <w:proofErr w:type="gramStart"/>
      <w:r>
        <w:rPr>
          <w:rFonts w:hint="eastAsia"/>
        </w:rPr>
        <w:t>作出</w:t>
      </w:r>
      <w:proofErr w:type="gramEnd"/>
      <w:r>
        <w:rPr>
          <w:rFonts w:hint="eastAsia"/>
        </w:rPr>
        <w:t>说明；或者要求其按照指定的方式报送与被调查事件有关的文件和资料；</w:t>
      </w:r>
    </w:p>
    <w:p w14:paraId="0BBB4DEE" w14:textId="77777777" w:rsidR="00E155F1" w:rsidRDefault="00E155F1" w:rsidP="00E155F1">
      <w:pPr>
        <w:pStyle w:val="13"/>
      </w:pPr>
      <w:r>
        <w:rPr>
          <w:rFonts w:hint="eastAsia"/>
        </w:rPr>
        <w:t>（四）查阅、复制与被调查事件有关的财产权登记、通讯记录等文件和资料；</w:t>
      </w:r>
    </w:p>
    <w:p w14:paraId="2BA95524" w14:textId="77777777" w:rsidR="00E155F1" w:rsidRDefault="00E155F1" w:rsidP="00E155F1">
      <w:pPr>
        <w:pStyle w:val="13"/>
      </w:pPr>
      <w:r>
        <w:rPr>
          <w:rFonts w:hint="eastAsia"/>
        </w:rPr>
        <w:t>（五）查阅、复制当事人和与被调查事件有关的单位和个人的证券交易记录、登记过户记录、财务会计资料及其他相关文件和资料；对可能被转移、隐匿或者毁损的文件和资料，可以予以封存、扣押；</w:t>
      </w:r>
    </w:p>
    <w:p w14:paraId="1A3409F7" w14:textId="77777777" w:rsidR="00E155F1" w:rsidRDefault="00E155F1" w:rsidP="00E155F1">
      <w:pPr>
        <w:pStyle w:val="13"/>
      </w:pPr>
      <w:r>
        <w:rPr>
          <w:rFonts w:hint="eastAsia"/>
        </w:rPr>
        <w:t>（六）查询当事人和与被调查事件有关的单位和个人的资金账户、证券账户、银行账户以及其他具有支付、托管、结算等功能的账户信息，可以对有关文件和资料进行复制；对有证据证明已经或者可能转移或者隐匿违法资金、证券等涉案财产或者隐匿、伪造、毁损重要证据的，经国务院证券监督管理机构主要负责人或者其授权的其</w:t>
      </w:r>
      <w:r>
        <w:rPr>
          <w:rFonts w:hint="eastAsia"/>
        </w:rPr>
        <w:lastRenderedPageBreak/>
        <w:t>他负责人批准，可以冻结或者查封，期限为六个月；因特殊原因需要延长的，每次延长期限不得超过三个月，冻结、查封期限最长不得超过二年；</w:t>
      </w:r>
    </w:p>
    <w:p w14:paraId="596F11EF" w14:textId="77777777" w:rsidR="00E155F1" w:rsidRDefault="00E155F1" w:rsidP="00E155F1">
      <w:pPr>
        <w:pStyle w:val="13"/>
      </w:pPr>
      <w:r>
        <w:rPr>
          <w:rFonts w:hint="eastAsia"/>
        </w:rPr>
        <w:t>（七）在调查操纵证券市场、内幕交易等重大证券违法行为时，经国务院证券监督管理机构主要负责人或者其授权的其他负责人批准，可以限制被调查的当事人的证券买卖，但限制的期限不得超过三个月；案情复杂的，可以延长三个月；</w:t>
      </w:r>
    </w:p>
    <w:p w14:paraId="150FE96D" w14:textId="77777777" w:rsidR="00E155F1" w:rsidRDefault="00E155F1" w:rsidP="00E155F1">
      <w:pPr>
        <w:pStyle w:val="13"/>
      </w:pPr>
      <w:r>
        <w:rPr>
          <w:rFonts w:hint="eastAsia"/>
        </w:rPr>
        <w:t>（八）通知出境入境管理机关依法阻止涉嫌违法人员、涉嫌违法单位的主管人员和其他直接责任人员出境。</w:t>
      </w:r>
    </w:p>
    <w:p w14:paraId="1E7AA7C8" w14:textId="77777777" w:rsidR="00E155F1" w:rsidRDefault="00E155F1" w:rsidP="00E155F1">
      <w:pPr>
        <w:pStyle w:val="13"/>
      </w:pPr>
      <w:r>
        <w:rPr>
          <w:rFonts w:hint="eastAsia"/>
        </w:rPr>
        <w:t>为防范证券市场风险，维护市场秩序，国务院证券监督管理机构可以采取责令改正、监管谈话、出具警示函等措施。</w:t>
      </w:r>
    </w:p>
    <w:p w14:paraId="62836B70" w14:textId="77777777" w:rsidR="00E155F1" w:rsidRDefault="00E155F1" w:rsidP="00E155F1">
      <w:pPr>
        <w:pStyle w:val="a9"/>
        <w:spacing w:before="62" w:after="62"/>
      </w:pPr>
      <w:r>
        <w:rPr>
          <w:rFonts w:hint="eastAsia"/>
        </w:rPr>
        <w:t xml:space="preserve">第十三章 </w:t>
      </w:r>
      <w:r>
        <w:t>法律责任</w:t>
      </w:r>
    </w:p>
    <w:p w14:paraId="66BD81F9" w14:textId="77777777" w:rsidR="00E155F1" w:rsidRDefault="00E155F1" w:rsidP="00E155F1">
      <w:pPr>
        <w:pStyle w:val="13"/>
        <w:ind w:firstLine="482"/>
      </w:pPr>
      <w:r w:rsidRPr="00501D48">
        <w:rPr>
          <w:rFonts w:hint="eastAsia"/>
          <w:b/>
          <w:bCs/>
        </w:rPr>
        <w:t>第一百八十八条</w:t>
      </w:r>
      <w:r>
        <w:rPr>
          <w:rFonts w:hint="eastAsia"/>
          <w:b/>
          <w:bCs/>
        </w:rPr>
        <w:t xml:space="preserve"> </w:t>
      </w:r>
      <w:r>
        <w:t>证券服务机构及其从业人员，违反本法第四十二条的规定买卖证券的，责令依法处理非法持有的证券，没收违法所得，并处以买卖证券等值以下的罚款。</w:t>
      </w:r>
    </w:p>
    <w:p w14:paraId="0F3028F1" w14:textId="77777777" w:rsidR="00E155F1" w:rsidRDefault="00E155F1" w:rsidP="00E155F1">
      <w:pPr>
        <w:pStyle w:val="13"/>
        <w:ind w:firstLine="482"/>
      </w:pPr>
      <w:r w:rsidRPr="00501D48">
        <w:rPr>
          <w:b/>
          <w:bCs/>
        </w:rPr>
        <w:t>第二百一十三条</w:t>
      </w:r>
      <w:r>
        <w:rPr>
          <w:rFonts w:hint="eastAsia"/>
          <w:b/>
          <w:bCs/>
        </w:rPr>
        <w:t xml:space="preserve"> </w:t>
      </w:r>
      <w:r>
        <w:t>证券投资咨询机构违反本法第一百六十条第二款的规定擅自从事</w:t>
      </w:r>
      <w:r>
        <w:rPr>
          <w:rFonts w:hint="eastAsia"/>
        </w:rPr>
        <w:t>证券服务业务，或者从事证券服务业务有本法第一百六十一条规定行为的，责令改正，</w:t>
      </w:r>
      <w:r>
        <w:t>没收违法所得，并处以违法所得一倍以上十倍以下的罚款；没有违法所得或者违法所得不足五十万元的，处以五十万元以上五百万元以下的罚款。对直接负责的主管人员和其他直接责任人员，给予警告，并处以二十万元以上二百万元以下的罚款。</w:t>
      </w:r>
    </w:p>
    <w:p w14:paraId="459F6637" w14:textId="77777777" w:rsidR="00E155F1" w:rsidRDefault="00E155F1" w:rsidP="00E155F1">
      <w:pPr>
        <w:pStyle w:val="13"/>
      </w:pPr>
      <w:r>
        <w:rPr>
          <w:rFonts w:hint="eastAsia"/>
        </w:rPr>
        <w:t>会计师事务所、律师事务所以及从事资产评估、资信评级、财务顾问、信息技术系统服务的机构违反本法第一百六十条第二款的规定，从事证券服务业务未报备案的，责令改正，可以处二十万元以下的罚款。</w:t>
      </w:r>
    </w:p>
    <w:p w14:paraId="0F211C75" w14:textId="77777777" w:rsidR="00E155F1" w:rsidRDefault="00E155F1" w:rsidP="00E155F1">
      <w:pPr>
        <w:pStyle w:val="13"/>
      </w:pPr>
      <w:r>
        <w:rPr>
          <w:rFonts w:hint="eastAsia"/>
        </w:rPr>
        <w:t>证券服务机构违反本法第一百六十三条的规定，未勤勉尽责，所制作、出具的文件有虚假记载、误导性陈述或者重大遗漏的，责令改正，没收业务收入，并处以业务收入一倍以上十倍以下的罚款，没有业务收入或者业务收入不足五十万元的，处以五十万元以上五百万元以下的罚款；情节严重的，并处暂停或者禁止从事证券服务业务。对直接负责的主管人员和其他直接责任人员给予警告，并处以二十万元以上二百万元以下的罚款。</w:t>
      </w:r>
    </w:p>
    <w:p w14:paraId="044D6B21" w14:textId="77777777" w:rsidR="00E155F1" w:rsidRDefault="00E155F1" w:rsidP="00E155F1">
      <w:pPr>
        <w:pStyle w:val="13"/>
        <w:ind w:firstLine="482"/>
      </w:pPr>
      <w:r w:rsidRPr="00501D48">
        <w:rPr>
          <w:rFonts w:hint="eastAsia"/>
          <w:b/>
          <w:bCs/>
        </w:rPr>
        <w:t>第二百一十四条</w:t>
      </w:r>
      <w:r>
        <w:rPr>
          <w:rFonts w:hint="eastAsia"/>
          <w:b/>
          <w:bCs/>
        </w:rPr>
        <w:t xml:space="preserve"> </w:t>
      </w:r>
      <w:r>
        <w:t>发行人、证券登记结算机构、证券公司、证券服务机构未按照规定保存有关文件和资料的，责令改正，给予警告，并处以十万元以上一百万元以下的罚款；泄露、隐匿、伪造、篡改或者毁损有关文件和资料的，给予警告，并处以二十万元以上二百万元以下的罚款；情节严重的，处以五十万元以上五百万元以下的罚款，并处暂停、撤销相关业务许可或者禁止从事相关业务。对直接负责的主管人员和其他直接责任人员给予警告，并处以十万元以上一百万元以下的罚款。</w:t>
      </w:r>
    </w:p>
    <w:p w14:paraId="0E1AD580" w14:textId="77777777" w:rsidR="00FA0363" w:rsidRDefault="00FA0363" w:rsidP="00FA0363">
      <w:pPr>
        <w:pStyle w:val="21"/>
        <w:spacing w:before="156" w:after="93"/>
      </w:pPr>
      <w:bookmarkStart w:id="275" w:name="_Toc81833508"/>
      <w:r>
        <w:rPr>
          <w:rFonts w:hint="eastAsia"/>
        </w:rPr>
        <w:lastRenderedPageBreak/>
        <w:t>重大资产重组</w:t>
      </w:r>
      <w:bookmarkEnd w:id="275"/>
    </w:p>
    <w:p w14:paraId="367D58A2" w14:textId="77777777" w:rsidR="00FA0363" w:rsidRDefault="00FA0363" w:rsidP="00FA0363">
      <w:pPr>
        <w:pStyle w:val="31"/>
        <w:spacing w:before="156" w:after="62"/>
      </w:pPr>
      <w:bookmarkStart w:id="276" w:name="_Toc81833509"/>
      <w:r>
        <w:rPr>
          <w:rFonts w:hint="eastAsia"/>
        </w:rPr>
        <w:t>《上市公司并购重组财务顾问业务管理办法》（证监会令第</w:t>
      </w:r>
      <w:r>
        <w:t>54号）</w:t>
      </w:r>
      <w:bookmarkEnd w:id="276"/>
    </w:p>
    <w:p w14:paraId="01BE089F" w14:textId="25A059B0" w:rsidR="00FA0363" w:rsidRDefault="003B2FB1" w:rsidP="00FA0363">
      <w:pPr>
        <w:pStyle w:val="13"/>
        <w:ind w:firstLine="482"/>
      </w:pPr>
      <w:r w:rsidRPr="003B2FB1">
        <w:rPr>
          <w:rFonts w:hint="eastAsia"/>
          <w:b/>
          <w:bCs/>
        </w:rPr>
        <w:t xml:space="preserve">第四十条 </w:t>
      </w:r>
      <w:r w:rsidR="00FA0363">
        <w:t>上市公司就并购重组事项出具盈利预测报告的，在相关并购重组活动完成后，凡不属于上市公司管理层事前无法</w:t>
      </w:r>
      <w:proofErr w:type="gramStart"/>
      <w:r w:rsidR="00FA0363">
        <w:t>获知且</w:t>
      </w:r>
      <w:proofErr w:type="gramEnd"/>
      <w:r w:rsidR="00FA0363">
        <w:t>事后无法控制的原因，上市公司或者购买资产实现的利润未达到盈利预测报告或者资产评估报告预测金额80%的，中国证监会责令财务顾问及其财务顾问主办人在股东大会及中国证监会指定报刊上公开说明未实现盈利预测的原因并向股东和社会公众投资者道歉；利润</w:t>
      </w:r>
      <w:proofErr w:type="gramStart"/>
      <w:r w:rsidR="00FA0363">
        <w:t>实现数未达到</w:t>
      </w:r>
      <w:proofErr w:type="gramEnd"/>
      <w:r w:rsidR="00FA0363">
        <w:t>盈利预测50%的，中国证监会可以同时对财务顾问及其财务顾问主办人采取监管谈话、出具警示函、责令定期报告等监管措施。</w:t>
      </w:r>
    </w:p>
    <w:p w14:paraId="474C54F8" w14:textId="77777777" w:rsidR="00E155F1" w:rsidRDefault="00E155F1" w:rsidP="00E155F1">
      <w:pPr>
        <w:pStyle w:val="31"/>
        <w:spacing w:before="156" w:after="62"/>
      </w:pPr>
      <w:bookmarkStart w:id="277" w:name="_Toc81833510"/>
      <w:r>
        <w:rPr>
          <w:rFonts w:hint="eastAsia"/>
        </w:rPr>
        <w:t>上市公司重大资产重组房地产业</w:t>
      </w:r>
      <w:proofErr w:type="gramStart"/>
      <w:r>
        <w:rPr>
          <w:rFonts w:hint="eastAsia"/>
        </w:rPr>
        <w:t>务</w:t>
      </w:r>
      <w:proofErr w:type="gramEnd"/>
      <w:r>
        <w:rPr>
          <w:rFonts w:hint="eastAsia"/>
        </w:rPr>
        <w:t>评估审核要点指引</w:t>
      </w:r>
      <w:bookmarkEnd w:id="277"/>
    </w:p>
    <w:p w14:paraId="56649AAA" w14:textId="77777777" w:rsidR="00E155F1" w:rsidRDefault="00E155F1" w:rsidP="00E155F1">
      <w:pPr>
        <w:pStyle w:val="13"/>
        <w:ind w:firstLine="482"/>
      </w:pPr>
      <w:r w:rsidRPr="004E3EBB">
        <w:rPr>
          <w:rFonts w:hint="eastAsia"/>
          <w:b/>
          <w:bCs/>
        </w:rPr>
        <w:t xml:space="preserve">第一条 </w:t>
      </w:r>
      <w:r>
        <w:t>为规范上市公司重大资产重组的评估行为，保护投资者合法权益，因上市公司重大资产重组评估审核工作需要，根据《公司法》、《证券法》等法律、法规和我会的有关规定，结合涉及房地产开发业务和企业相关评估法规准则和规范，制定本指引。</w:t>
      </w:r>
    </w:p>
    <w:p w14:paraId="6C8E4D2A" w14:textId="77777777" w:rsidR="00E155F1" w:rsidRDefault="00E155F1" w:rsidP="00E155F1">
      <w:pPr>
        <w:pStyle w:val="13"/>
        <w:ind w:firstLine="482"/>
      </w:pPr>
      <w:r w:rsidRPr="004E3EBB">
        <w:rPr>
          <w:rFonts w:hint="eastAsia"/>
          <w:b/>
          <w:bCs/>
        </w:rPr>
        <w:t xml:space="preserve">第二条 </w:t>
      </w:r>
      <w:r>
        <w:t>本指引是对重大资产重组房地产企业评估事项进行审核的基本要求。本指引可能难以涵盖房地产企业重组过程中的所有评估问题，审核中应根据实际情况，按照上市公司发行证券的一般要求，以及资产评估规范进行审核。</w:t>
      </w:r>
    </w:p>
    <w:p w14:paraId="2A332332" w14:textId="77777777" w:rsidR="00E155F1" w:rsidRDefault="00E155F1" w:rsidP="00E155F1">
      <w:pPr>
        <w:pStyle w:val="13"/>
        <w:ind w:firstLine="482"/>
      </w:pPr>
      <w:r w:rsidRPr="004E3EBB">
        <w:rPr>
          <w:rFonts w:hint="eastAsia"/>
          <w:b/>
          <w:bCs/>
        </w:rPr>
        <w:t xml:space="preserve">第三条 </w:t>
      </w:r>
      <w:r>
        <w:t>本指引所称房地产企业的评估是指房地产的价值单独或将其作为房地产企业资产的组成部分、以及企业价值的组成内容根据交易的不同结构，对单项资产或企业价值进行分析、估算并发表专业意见的行为和过程。</w:t>
      </w:r>
    </w:p>
    <w:p w14:paraId="06D9EE0A" w14:textId="77777777" w:rsidR="00E155F1" w:rsidRDefault="00E155F1" w:rsidP="00E155F1">
      <w:pPr>
        <w:pStyle w:val="13"/>
        <w:ind w:firstLine="482"/>
      </w:pPr>
      <w:r w:rsidRPr="004E3EBB">
        <w:rPr>
          <w:rFonts w:hint="eastAsia"/>
          <w:b/>
          <w:bCs/>
        </w:rPr>
        <w:t xml:space="preserve">第四条 </w:t>
      </w:r>
      <w:r>
        <w:t>本指引所称房地产是指房地产企业分别在固定资产、在建工程、存货以及无形资产等科目中核算的土地、房屋建筑物及房地产开发项目。包括企业自用的房地产、投资性物业、以出售为目的的在建及竣工的房地产（开发项目）以及房地产开发经营相应环节的合同权益。</w:t>
      </w:r>
    </w:p>
    <w:p w14:paraId="718DA3F0" w14:textId="77777777" w:rsidR="00E155F1" w:rsidRDefault="00E155F1" w:rsidP="00E155F1">
      <w:pPr>
        <w:pStyle w:val="13"/>
        <w:ind w:firstLine="482"/>
      </w:pPr>
      <w:r w:rsidRPr="004E3EBB">
        <w:rPr>
          <w:rFonts w:hint="eastAsia"/>
          <w:b/>
          <w:bCs/>
        </w:rPr>
        <w:t xml:space="preserve">第五条 </w:t>
      </w:r>
      <w:r>
        <w:t>房地产评估应依据相关法律、法规和评估准则及规范。根据房地产的产权状况、企业会计核算的要求以及房地产的实际使用等情况，判断对房地产采用房地分开单独评估，还是采用房地一体整体评估。根据交易结构，确定是对房地产单项资产评估，还是进行整体企业价值评估。</w:t>
      </w:r>
    </w:p>
    <w:p w14:paraId="61D711C4" w14:textId="77777777" w:rsidR="00E155F1" w:rsidRDefault="00E155F1" w:rsidP="00E155F1">
      <w:pPr>
        <w:pStyle w:val="13"/>
        <w:ind w:firstLine="482"/>
      </w:pPr>
      <w:r w:rsidRPr="004E3EBB">
        <w:rPr>
          <w:rFonts w:hint="eastAsia"/>
          <w:b/>
          <w:bCs/>
        </w:rPr>
        <w:t xml:space="preserve">第六条 </w:t>
      </w:r>
      <w:r>
        <w:t>房地产企业并购重组资产评估审核的一般要求：</w:t>
      </w:r>
    </w:p>
    <w:p w14:paraId="12D1757B" w14:textId="77777777" w:rsidR="00E155F1" w:rsidRDefault="00E155F1" w:rsidP="00E155F1">
      <w:pPr>
        <w:pStyle w:val="13"/>
      </w:pPr>
      <w:r>
        <w:rPr>
          <w:rFonts w:hint="eastAsia"/>
        </w:rPr>
        <w:t>（一）应当关注评估机构是否具有证券相关业务资产评估执业资格，评估师是否具备房地产的相关专业知识及相应的评估经验，具备从事企业估值的专业胜任能力。</w:t>
      </w:r>
    </w:p>
    <w:p w14:paraId="0894AB08" w14:textId="77777777" w:rsidR="00E155F1" w:rsidRDefault="00E155F1" w:rsidP="00E155F1">
      <w:pPr>
        <w:pStyle w:val="13"/>
      </w:pPr>
      <w:r>
        <w:rPr>
          <w:rFonts w:hint="eastAsia"/>
        </w:rPr>
        <w:t>（二）应当关注评估对象是否明确，评估</w:t>
      </w:r>
      <w:proofErr w:type="gramStart"/>
      <w:r>
        <w:rPr>
          <w:rFonts w:hint="eastAsia"/>
        </w:rPr>
        <w:t>师执行</w:t>
      </w:r>
      <w:proofErr w:type="gramEnd"/>
      <w:r>
        <w:rPr>
          <w:rFonts w:hint="eastAsia"/>
        </w:rPr>
        <w:t>评估业务过程中是否根据评估目</w:t>
      </w:r>
      <w:r>
        <w:rPr>
          <w:rFonts w:hint="eastAsia"/>
        </w:rPr>
        <w:lastRenderedPageBreak/>
        <w:t>的等相关条件选择适当的价值类型，获得充分信息，恰当运用评估方法，形成合理的评估结论。</w:t>
      </w:r>
    </w:p>
    <w:p w14:paraId="4A71FFFD" w14:textId="77777777" w:rsidR="00E155F1" w:rsidRDefault="00E155F1" w:rsidP="00E155F1">
      <w:pPr>
        <w:pStyle w:val="13"/>
      </w:pPr>
      <w:r>
        <w:rPr>
          <w:rFonts w:hint="eastAsia"/>
        </w:rPr>
        <w:t>（三）引用的数据是否有充分、客观的依据，并注明资料来源。</w:t>
      </w:r>
    </w:p>
    <w:p w14:paraId="12765B97" w14:textId="77777777" w:rsidR="00E155F1" w:rsidRDefault="00E155F1" w:rsidP="00E155F1">
      <w:pPr>
        <w:pStyle w:val="13"/>
      </w:pPr>
      <w:r>
        <w:rPr>
          <w:rFonts w:hint="eastAsia"/>
        </w:rPr>
        <w:t>（四）房地产评估应以评估对象权益合法为前提。评估中应适当关注其权属证明文件。对于房地产企业资产的权利类型和归属，应当以其权属证明文件、权属档案以及相关合同等合法权属证明文件为依据。</w:t>
      </w:r>
    </w:p>
    <w:p w14:paraId="61A458B1" w14:textId="77777777" w:rsidR="00E155F1" w:rsidRDefault="00E155F1" w:rsidP="00E155F1">
      <w:pPr>
        <w:pStyle w:val="13"/>
      </w:pPr>
      <w:r>
        <w:rPr>
          <w:rFonts w:hint="eastAsia"/>
        </w:rPr>
        <w:t>评估对象的权利、用途等相关条件应当满足评估目的所对应国家法律、法规、政策等的规定或要求。</w:t>
      </w:r>
    </w:p>
    <w:p w14:paraId="78EB57E9" w14:textId="77777777" w:rsidR="00E155F1" w:rsidRDefault="00E155F1" w:rsidP="00E155F1">
      <w:pPr>
        <w:pStyle w:val="13"/>
      </w:pPr>
      <w:r>
        <w:rPr>
          <w:rFonts w:hint="eastAsia"/>
        </w:rPr>
        <w:t>（五）审核中应当关注房地产评估是否在合法、合</w:t>
      </w:r>
      <w:proofErr w:type="gramStart"/>
      <w:r>
        <w:rPr>
          <w:rFonts w:hint="eastAsia"/>
        </w:rPr>
        <w:t>规</w:t>
      </w:r>
      <w:proofErr w:type="gramEnd"/>
      <w:r>
        <w:rPr>
          <w:rFonts w:hint="eastAsia"/>
        </w:rPr>
        <w:t>的前提下，全面体现市场公平交易的基本原则。可以根据评估目的和房地产项目的成熟度进行合理假设，但假设不能违背政府规划、用途管制等限制条件。对于房地产的限制条件，应当以国家有关部门依法规定和批准的用途、面积、高度、建筑密度、容积率、年限等技术指标为依据。尚未获批准的，应对假设的合理性有令人信服的论证，若主要风险和不确定因素未充分考虑和计量，则假设不具有合理性。</w:t>
      </w:r>
    </w:p>
    <w:p w14:paraId="77988F23" w14:textId="77777777" w:rsidR="00E155F1" w:rsidRDefault="00E155F1" w:rsidP="00E155F1">
      <w:pPr>
        <w:pStyle w:val="13"/>
      </w:pPr>
      <w:r>
        <w:rPr>
          <w:rFonts w:hint="eastAsia"/>
        </w:rPr>
        <w:t>（六）审核中应当关注房地产评估选用的评估方法是否合理、恰当。对于房地产企业的整体评估，评估方法不宜采用市盈率法。对于尚未开发的土地使用权评估应遵照执行“土地估价规程”。</w:t>
      </w:r>
    </w:p>
    <w:p w14:paraId="32B8178B" w14:textId="77777777" w:rsidR="00E155F1" w:rsidRDefault="00E155F1" w:rsidP="00E155F1">
      <w:pPr>
        <w:pStyle w:val="13"/>
      </w:pPr>
      <w:r>
        <w:rPr>
          <w:rFonts w:hint="eastAsia"/>
        </w:rPr>
        <w:t>（七）审核中应当关注各种评估方法是否充分考虑了各项税费因素，包括销售税金、土地增值税、所得税因素。土地增值税是否按照国家税务总局</w:t>
      </w:r>
      <w:r>
        <w:t>2007年1月中旬发布的《关于房地产开发企业土地增值税清算管理有关问题的通知》精神足额计提。对于项目已完成的已实现部分销售的地产项目，已销售部分是否也足够计提了土地增值税。所得税是否按整个地产项目的预计利润足额计提。</w:t>
      </w:r>
    </w:p>
    <w:p w14:paraId="5B6C03A4" w14:textId="77777777" w:rsidR="00E155F1" w:rsidRDefault="00E155F1" w:rsidP="00E155F1">
      <w:pPr>
        <w:pStyle w:val="13"/>
      </w:pPr>
      <w:r>
        <w:rPr>
          <w:rFonts w:hint="eastAsia"/>
        </w:rPr>
        <w:t>（八）审核中应当关注对于已完工存货是否充分考虑了合理利润因素。</w:t>
      </w:r>
    </w:p>
    <w:p w14:paraId="59D483BE" w14:textId="77777777" w:rsidR="00E155F1" w:rsidRDefault="00E155F1" w:rsidP="00E155F1">
      <w:pPr>
        <w:pStyle w:val="13"/>
      </w:pPr>
      <w:r>
        <w:rPr>
          <w:rFonts w:hint="eastAsia"/>
        </w:rPr>
        <w:t>（九）审核中应当关注对于以假设开发法评估的在建项目，是否充分了考虑了开发资金成本和地产行业合理的开发利润及时间的折现率。对于已预售的房屋，市场单价取值是否按合同实际价格取值。未预售部分，是否按预计售价取值。</w:t>
      </w:r>
    </w:p>
    <w:p w14:paraId="48CEEFB5" w14:textId="77777777" w:rsidR="00E155F1" w:rsidRDefault="00E155F1" w:rsidP="00E155F1">
      <w:pPr>
        <w:pStyle w:val="13"/>
      </w:pPr>
      <w:r>
        <w:rPr>
          <w:rFonts w:hint="eastAsia"/>
        </w:rPr>
        <w:t>（十）审核中应当关注对于以假设开发法、剩余法评估的地产项目，应要求公司、评估机构提供地产项目评估基准日周边相近楼盘市场价格，以验证价格的公允性。</w:t>
      </w:r>
    </w:p>
    <w:p w14:paraId="45CECADF" w14:textId="77777777" w:rsidR="00E155F1" w:rsidRDefault="00E155F1" w:rsidP="00E155F1">
      <w:pPr>
        <w:pStyle w:val="13"/>
        <w:ind w:firstLine="482"/>
      </w:pPr>
      <w:r w:rsidRPr="004E3EBB">
        <w:rPr>
          <w:rFonts w:hint="eastAsia"/>
          <w:b/>
          <w:bCs/>
        </w:rPr>
        <w:t xml:space="preserve">第七条 </w:t>
      </w:r>
      <w:r>
        <w:t>审核中应充分关注房地产企业的规模，包括公司的房地产开发资质等级、当年房屋开工及竣工面积、当年房屋销售收入、土地保有数量、房地产开发的地域分布、在全国或当地市场占有率等。房地产企业未来预期应该与当前状况高度相关。</w:t>
      </w:r>
    </w:p>
    <w:p w14:paraId="294997DE" w14:textId="77777777" w:rsidR="00E155F1" w:rsidRDefault="00E155F1" w:rsidP="00E155F1">
      <w:pPr>
        <w:pStyle w:val="13"/>
        <w:ind w:firstLine="482"/>
      </w:pPr>
      <w:r w:rsidRPr="004E3EBB">
        <w:rPr>
          <w:rFonts w:hint="eastAsia"/>
          <w:b/>
          <w:bCs/>
        </w:rPr>
        <w:t xml:space="preserve">第八条 </w:t>
      </w:r>
      <w:r>
        <w:t>审核中应关注评估机构和评估师是否了解房地产业税收法规、房地产企业财务、会计制度、会计准则及其他财务会计法规对房地产后续计量模式的要求，并在此基础上合理确定房地产评估的计量要素和价值类型。</w:t>
      </w:r>
    </w:p>
    <w:p w14:paraId="0753E4BC" w14:textId="77777777" w:rsidR="00E155F1" w:rsidRDefault="00E155F1" w:rsidP="00E155F1">
      <w:pPr>
        <w:pStyle w:val="13"/>
        <w:ind w:firstLine="482"/>
      </w:pPr>
      <w:r w:rsidRPr="00E05BDA">
        <w:rPr>
          <w:rFonts w:hint="eastAsia"/>
          <w:b/>
          <w:bCs/>
        </w:rPr>
        <w:lastRenderedPageBreak/>
        <w:t xml:space="preserve">第九条 </w:t>
      </w:r>
      <w:r>
        <w:t>评估中运用</w:t>
      </w:r>
      <w:proofErr w:type="gramStart"/>
      <w:r>
        <w:t>最佳利用</w:t>
      </w:r>
      <w:proofErr w:type="gramEnd"/>
      <w:r>
        <w:t>原则，应当充分考虑企业经营方式及房地产实际使用方式对房地产价值的影响，并且均衡考虑替代原则等企业估值的原则，特别是等量资本等量报酬的投资市场公平交易的原则。</w:t>
      </w:r>
    </w:p>
    <w:p w14:paraId="387AC5E8" w14:textId="77777777" w:rsidR="00E155F1" w:rsidRDefault="00E155F1" w:rsidP="00E155F1">
      <w:pPr>
        <w:pStyle w:val="13"/>
        <w:ind w:firstLine="482"/>
      </w:pPr>
      <w:r w:rsidRPr="00E05BDA">
        <w:rPr>
          <w:rFonts w:hint="eastAsia"/>
          <w:b/>
          <w:bCs/>
        </w:rPr>
        <w:t xml:space="preserve">第十条 </w:t>
      </w:r>
      <w:r>
        <w:t>审核中应当特别关注房地产物质实体价值或权利价值与权益价值，房地产物质实体价值或权利价值、权益价值与所对应的企业价值，房地产物质实体价值或权利价值、权益价值与其衍生的其他无形资产价值之间的联系和区别及其相互关系。在</w:t>
      </w:r>
      <w:r>
        <w:rPr>
          <w:rFonts w:hint="eastAsia"/>
        </w:rPr>
        <w:t>并购重组中房地产实体价值或权利价值与权益价值往往具有重大区别。</w:t>
      </w:r>
    </w:p>
    <w:p w14:paraId="5907254E" w14:textId="77777777" w:rsidR="00E155F1" w:rsidRDefault="00E155F1" w:rsidP="00E155F1">
      <w:pPr>
        <w:pStyle w:val="13"/>
        <w:ind w:firstLine="482"/>
      </w:pPr>
      <w:r w:rsidRPr="00E05BDA">
        <w:rPr>
          <w:rFonts w:hint="eastAsia"/>
          <w:b/>
          <w:bCs/>
        </w:rPr>
        <w:t xml:space="preserve">第十一条 </w:t>
      </w:r>
      <w:r>
        <w:t>审核中应当注意评估师是否正确区分了整幢房地产评估价值与分单元房地产评估价值的不同。</w:t>
      </w:r>
    </w:p>
    <w:p w14:paraId="022EFAE1" w14:textId="77777777" w:rsidR="00E155F1" w:rsidRDefault="00E155F1" w:rsidP="00E155F1">
      <w:pPr>
        <w:pStyle w:val="13"/>
        <w:ind w:firstLine="482"/>
      </w:pPr>
      <w:r w:rsidRPr="00E05BDA">
        <w:rPr>
          <w:rFonts w:hint="eastAsia"/>
          <w:b/>
          <w:bCs/>
        </w:rPr>
        <w:t xml:space="preserve">第十二条 </w:t>
      </w:r>
      <w:r>
        <w:t>审核中应当关注评估反映在不同会计科目中的不同资产形态下的房地产价值所考虑的因素、采用的评估方法及参数可能是不同的。</w:t>
      </w:r>
    </w:p>
    <w:p w14:paraId="5F5B3F89" w14:textId="77777777" w:rsidR="00E155F1" w:rsidRDefault="00E155F1" w:rsidP="00E155F1">
      <w:pPr>
        <w:pStyle w:val="13"/>
      </w:pPr>
      <w:r>
        <w:rPr>
          <w:rFonts w:hint="eastAsia"/>
        </w:rPr>
        <w:t>在存货（在建开发产品、开发产品）科目中核算的房地产，评估时应考虑开发完成后的房地价值、销售费用、销售税金及附加、土地增值税、所得税、管理费用、财务费用、应付未付工程款、后续投资、占用资本分摊利润和风险回报等因素。</w:t>
      </w:r>
    </w:p>
    <w:p w14:paraId="4AA154A5" w14:textId="77777777" w:rsidR="00E155F1" w:rsidRDefault="00E155F1" w:rsidP="00E155F1">
      <w:pPr>
        <w:pStyle w:val="13"/>
      </w:pPr>
      <w:r>
        <w:rPr>
          <w:rFonts w:hint="eastAsia"/>
        </w:rPr>
        <w:t>其中：开发完成后的房地价值，已预售收款（但尚未结转收入）的可以直接</w:t>
      </w:r>
      <w:proofErr w:type="gramStart"/>
      <w:r>
        <w:rPr>
          <w:rFonts w:hint="eastAsia"/>
        </w:rPr>
        <w:t>取合同</w:t>
      </w:r>
      <w:proofErr w:type="gramEnd"/>
      <w:r>
        <w:rPr>
          <w:rFonts w:hint="eastAsia"/>
        </w:rPr>
        <w:t>售价；预售尚未收款应考虑时间和风险折扣；尚未售出的可以通过市场比较法估算比准价格。</w:t>
      </w:r>
    </w:p>
    <w:p w14:paraId="2A3921AC" w14:textId="77777777" w:rsidR="00E155F1" w:rsidRDefault="00E155F1" w:rsidP="00E155F1">
      <w:pPr>
        <w:pStyle w:val="13"/>
      </w:pPr>
      <w:r>
        <w:rPr>
          <w:rFonts w:hint="eastAsia"/>
        </w:rPr>
        <w:t>应付未付工程款应根据最新工程总概算减去实际已付的工程款确定。</w:t>
      </w:r>
    </w:p>
    <w:p w14:paraId="6CCD9441" w14:textId="77777777" w:rsidR="00E155F1" w:rsidRDefault="00E155F1" w:rsidP="00E155F1">
      <w:pPr>
        <w:pStyle w:val="13"/>
      </w:pPr>
      <w:r>
        <w:rPr>
          <w:rFonts w:hint="eastAsia"/>
        </w:rPr>
        <w:t>后续投资、占用资本分摊利润和风险回报应按照“等量资本获得等量收益”的原则，根据项目开发程度、实际已付的工程款和销售等情况合理确定。</w:t>
      </w:r>
    </w:p>
    <w:p w14:paraId="25BD7A79" w14:textId="77777777" w:rsidR="00E155F1" w:rsidRDefault="00E155F1" w:rsidP="00E155F1">
      <w:pPr>
        <w:pStyle w:val="13"/>
      </w:pPr>
      <w:r>
        <w:rPr>
          <w:rFonts w:hint="eastAsia"/>
        </w:rPr>
        <w:t>在存货—开发产品和在建工程科目核算的房地产项目，评估时一般不宜将分别土建工程与设备安装工程分开独立评估，而应将在建工程作为一个整体，综合考虑工程总造价、工程建设进度和在相关往来科目中核算的实际已付及应付未付的工程款项（特别注意未在账内核算的成本费用）以及适当的税后利润。适当利润应依据等量资本获得等量收益的原则。但在具体测算时可以分别土建工程和设备安装工程计算成本费用。</w:t>
      </w:r>
    </w:p>
    <w:p w14:paraId="71104D58" w14:textId="77777777" w:rsidR="00E155F1" w:rsidRDefault="00E155F1" w:rsidP="00E155F1">
      <w:pPr>
        <w:pStyle w:val="13"/>
        <w:ind w:firstLine="482"/>
      </w:pPr>
      <w:r w:rsidRPr="00E05BDA">
        <w:rPr>
          <w:rFonts w:hint="eastAsia"/>
          <w:b/>
          <w:bCs/>
        </w:rPr>
        <w:t xml:space="preserve">第十三条 </w:t>
      </w:r>
      <w:r>
        <w:t>收益法评估企业价值时，对涉及的溢余房地产价值一般应采用重置成本法进行评估。若采用市场法评估，应全面考虑房地产的持有目的、收益状况和实现交易的可能性，谨慎确定市场价值。</w:t>
      </w:r>
    </w:p>
    <w:p w14:paraId="19741D8F" w14:textId="77777777" w:rsidR="00E155F1" w:rsidRDefault="00E155F1" w:rsidP="00E155F1">
      <w:pPr>
        <w:pStyle w:val="13"/>
        <w:ind w:firstLine="482"/>
      </w:pPr>
      <w:r w:rsidRPr="00E05BDA">
        <w:rPr>
          <w:rFonts w:hint="eastAsia"/>
          <w:b/>
          <w:bCs/>
        </w:rPr>
        <w:t xml:space="preserve">第十四条 </w:t>
      </w:r>
      <w:r>
        <w:t>审核中应当关注是否分析了房地产开发项目在企业财务核算的方式以及是否存在未结合同和尚未支付款项，并且能够明确房地产的评估价值内涵与实际的支出、尚未发生的支出之间的关系，避免重复计算或遗漏。</w:t>
      </w:r>
    </w:p>
    <w:p w14:paraId="169EC2B4" w14:textId="77777777" w:rsidR="00E155F1" w:rsidRDefault="00E155F1" w:rsidP="00E155F1">
      <w:pPr>
        <w:pStyle w:val="13"/>
        <w:ind w:firstLine="482"/>
      </w:pPr>
      <w:r w:rsidRPr="00E05BDA">
        <w:rPr>
          <w:rFonts w:hint="eastAsia"/>
          <w:b/>
          <w:bCs/>
        </w:rPr>
        <w:t xml:space="preserve">第十五条 </w:t>
      </w:r>
      <w:r>
        <w:t>应当关注房地产的相邻关系、租约限制和与房地产相关联的动产，关注相邻关系、租约限制和动产对房地产价值的影响。</w:t>
      </w:r>
    </w:p>
    <w:p w14:paraId="63A03F5E" w14:textId="77777777" w:rsidR="00E155F1" w:rsidRDefault="00E155F1" w:rsidP="00E155F1">
      <w:pPr>
        <w:pStyle w:val="13"/>
        <w:ind w:firstLine="482"/>
      </w:pPr>
      <w:r w:rsidRPr="00E05BDA">
        <w:rPr>
          <w:rFonts w:hint="eastAsia"/>
          <w:b/>
          <w:bCs/>
        </w:rPr>
        <w:lastRenderedPageBreak/>
        <w:t xml:space="preserve">第十六条 </w:t>
      </w:r>
      <w:r>
        <w:t>应当关注相关税费对评估结果影响。交易环节的税赋一般不应构成房地产评估价值的组成部分。应特别注意土地增值税、所得税在不同评估目的和不同评估方法中的合理性。</w:t>
      </w:r>
    </w:p>
    <w:p w14:paraId="15ABDA09" w14:textId="77777777" w:rsidR="00E155F1" w:rsidRDefault="00E155F1" w:rsidP="00E155F1">
      <w:pPr>
        <w:pStyle w:val="13"/>
        <w:ind w:firstLine="482"/>
      </w:pPr>
      <w:r w:rsidRPr="00E05BDA">
        <w:rPr>
          <w:rFonts w:hint="eastAsia"/>
          <w:b/>
          <w:bCs/>
        </w:rPr>
        <w:t xml:space="preserve">第十七条 </w:t>
      </w:r>
      <w:r>
        <w:t>应当关注房地产市场景气周期对评估价值的影响。应特别注意房地产高景气阶段的风险是否在估值上作了合理、谨慎的考虑。</w:t>
      </w:r>
    </w:p>
    <w:p w14:paraId="7CD8396C" w14:textId="77777777" w:rsidR="00E155F1" w:rsidRDefault="00E155F1" w:rsidP="00E155F1">
      <w:pPr>
        <w:pStyle w:val="13"/>
        <w:ind w:firstLine="482"/>
      </w:pPr>
      <w:r w:rsidRPr="00E05BDA">
        <w:rPr>
          <w:rFonts w:hint="eastAsia"/>
          <w:b/>
          <w:bCs/>
        </w:rPr>
        <w:t xml:space="preserve">第十八条 </w:t>
      </w:r>
      <w:r>
        <w:t>评估报告中应对以下内容和信息进行真实、客观、全面的披露：</w:t>
      </w:r>
    </w:p>
    <w:p w14:paraId="0E1FE03E" w14:textId="77777777" w:rsidR="00E155F1" w:rsidRDefault="00E155F1" w:rsidP="00E155F1">
      <w:pPr>
        <w:pStyle w:val="13"/>
      </w:pPr>
      <w:r>
        <w:rPr>
          <w:rFonts w:hint="eastAsia"/>
        </w:rPr>
        <w:t>（一）房地产企业的基本情况。包括：公司的股权架构；房地产开发资质等级；</w:t>
      </w:r>
      <w:r>
        <w:t>开发项目的数量、地域分布；当年房屋开工及竣工面积，当年房屋销售收入；土地保有数量、公司在全国或当地市场占有率；公司近三年主要财务指标；本次重组涉及的关联交易，历次股权变动或资产交易的定价情况等。</w:t>
      </w:r>
    </w:p>
    <w:p w14:paraId="77EA75AC" w14:textId="77777777" w:rsidR="00E155F1" w:rsidRDefault="00E155F1" w:rsidP="00E155F1">
      <w:pPr>
        <w:pStyle w:val="13"/>
      </w:pPr>
      <w:r>
        <w:rPr>
          <w:rFonts w:hint="eastAsia"/>
        </w:rPr>
        <w:t>（二）企业主要开发项目的进展情况。包括：项目审批情况，项目规划情况，项目效益分析，项目进展情况，项目销售情况，项目核算情况等。</w:t>
      </w:r>
    </w:p>
    <w:p w14:paraId="78B14ECD" w14:textId="77777777" w:rsidR="00E155F1" w:rsidRDefault="00E155F1" w:rsidP="00E155F1">
      <w:pPr>
        <w:pStyle w:val="13"/>
      </w:pPr>
      <w:r>
        <w:rPr>
          <w:rFonts w:hint="eastAsia"/>
        </w:rPr>
        <w:t>（三）评估对象房地产的基本情况及登记状况描述。包括：名称、位置、四至、面积、用途、容积率、使用者、建筑结构、建筑年代、建筑高度、楼层、层高、外</w:t>
      </w:r>
      <w:r>
        <w:t>观、内部装修、设施设备等；实地踏勘情况：实景照片、位置图、平面图、周围环境、景观、基础设施及公共配套设施完备程度、土地平整程度、地势、土壤状况、规划限制条件、利用现状、交通条件、维护、保养、使用情况、结构性缺损情况等。</w:t>
      </w:r>
    </w:p>
    <w:p w14:paraId="45291079" w14:textId="77777777" w:rsidR="00E155F1" w:rsidRDefault="00E155F1" w:rsidP="00E155F1">
      <w:pPr>
        <w:pStyle w:val="13"/>
      </w:pPr>
      <w:r>
        <w:rPr>
          <w:rFonts w:hint="eastAsia"/>
        </w:rPr>
        <w:t>（四）房地产的产权状况：包括产权人、产权性质、合法使用年限、已使用年</w:t>
      </w:r>
      <w:r>
        <w:t>限、合法权属取得来源、他项权利及其登记情况、有关权证取得情况、有关合同协议及政府批文、法院判决裁定结果、存在的产权瑕疵等；</w:t>
      </w:r>
    </w:p>
    <w:p w14:paraId="5369D17D" w14:textId="77777777" w:rsidR="00E155F1" w:rsidRDefault="00E155F1" w:rsidP="00E155F1">
      <w:pPr>
        <w:pStyle w:val="13"/>
      </w:pPr>
      <w:r>
        <w:rPr>
          <w:rFonts w:hint="eastAsia"/>
        </w:rPr>
        <w:t>（五）评估假设前提和条件。当房地产设定条件与现实状况不同时，房地产评估报告应当对由此导致的评估结论与房地产现实状况价值的差异进行说明。</w:t>
      </w:r>
    </w:p>
    <w:p w14:paraId="1D9698F4" w14:textId="77777777" w:rsidR="00E155F1" w:rsidRDefault="00E155F1" w:rsidP="00E155F1">
      <w:pPr>
        <w:pStyle w:val="13"/>
      </w:pPr>
      <w:r>
        <w:rPr>
          <w:rFonts w:hint="eastAsia"/>
        </w:rPr>
        <w:t>（六）房地产评估报告应当对利用其他专业机构的技术报告、其他评估机构的评估结论情况进行说明。</w:t>
      </w:r>
    </w:p>
    <w:p w14:paraId="35769BBD" w14:textId="77777777" w:rsidR="00E155F1" w:rsidRDefault="00E155F1" w:rsidP="00E155F1">
      <w:pPr>
        <w:pStyle w:val="13"/>
      </w:pPr>
      <w:r>
        <w:rPr>
          <w:rFonts w:hint="eastAsia"/>
        </w:rPr>
        <w:t>（七）比较案例的基本情况：名称、位置、四至、面积、用途、容积率、使用</w:t>
      </w:r>
      <w:r>
        <w:t>者、建筑结构、建筑年代、建筑高度、楼层、层高、外观、内部装修、设施设备、产权人、产权性质、合法使用年限、实景照片、位置图、周围环境、基础设施及公共配套设施完备程度等。</w:t>
      </w:r>
    </w:p>
    <w:p w14:paraId="224165FF" w14:textId="02F2BA59" w:rsidR="00E155F1" w:rsidRDefault="00E155F1" w:rsidP="00E155F1">
      <w:pPr>
        <w:pStyle w:val="13"/>
        <w:ind w:firstLine="482"/>
      </w:pPr>
      <w:r w:rsidRPr="00E05BDA">
        <w:rPr>
          <w:rFonts w:hint="eastAsia"/>
          <w:b/>
          <w:bCs/>
        </w:rPr>
        <w:t xml:space="preserve">第十九条 </w:t>
      </w:r>
      <w:r>
        <w:t>本指引自发布之日起施行。</w:t>
      </w:r>
    </w:p>
    <w:p w14:paraId="1B5020B4" w14:textId="77777777" w:rsidR="00E155F1" w:rsidRDefault="00E155F1" w:rsidP="00E155F1">
      <w:pPr>
        <w:pStyle w:val="31"/>
        <w:spacing w:before="156" w:after="62"/>
      </w:pPr>
      <w:bookmarkStart w:id="278" w:name="_Toc81833511"/>
      <w:r>
        <w:rPr>
          <w:rFonts w:hint="eastAsia"/>
        </w:rPr>
        <w:t>中小企业</w:t>
      </w:r>
      <w:proofErr w:type="gramStart"/>
      <w:r>
        <w:rPr>
          <w:rFonts w:hint="eastAsia"/>
        </w:rPr>
        <w:t>板信息</w:t>
      </w:r>
      <w:proofErr w:type="gramEnd"/>
      <w:r>
        <w:rPr>
          <w:rFonts w:hint="eastAsia"/>
        </w:rPr>
        <w:t>披露业务备忘录第</w:t>
      </w:r>
      <w:r>
        <w:t>22号：</w:t>
      </w:r>
      <w:r>
        <w:br w:type="textWrapping" w:clear="all"/>
        <w:t>重大资产重组（五）—资产评估相关信息披露</w:t>
      </w:r>
      <w:bookmarkEnd w:id="278"/>
    </w:p>
    <w:p w14:paraId="6C035807" w14:textId="77777777" w:rsidR="00E155F1" w:rsidRDefault="00E155F1" w:rsidP="00E155F1">
      <w:pPr>
        <w:pStyle w:val="13"/>
        <w:jc w:val="center"/>
      </w:pPr>
      <w:r>
        <w:t>2008年12月23日 深交所中小板公司管理部</w:t>
      </w:r>
    </w:p>
    <w:p w14:paraId="5754FF0D" w14:textId="77777777" w:rsidR="00E155F1" w:rsidRDefault="00E155F1" w:rsidP="00E155F1">
      <w:pPr>
        <w:pStyle w:val="13"/>
      </w:pPr>
      <w:r>
        <w:rPr>
          <w:rFonts w:hint="eastAsia"/>
        </w:rPr>
        <w:t>为规范中小企业板上市公司资产评估事项相关信息披露行为，根据《公司法》、</w:t>
      </w:r>
      <w:r>
        <w:rPr>
          <w:rFonts w:hint="eastAsia"/>
        </w:rPr>
        <w:lastRenderedPageBreak/>
        <w:t>《证券法》、《上市公司重大资产重组管理办法》、《上市公司并购重组财务顾问业务管理办法》、《上市公司重大资产重组财务顾问业务指引（试行）》、《资产评估准则》、《深圳证券交易所股票上市规则》（以下简称《上市规则》）的有关规定，制定本备忘录。</w:t>
      </w:r>
    </w:p>
    <w:p w14:paraId="72C96EF6" w14:textId="77777777" w:rsidR="00E155F1" w:rsidRDefault="00E155F1" w:rsidP="00E155F1">
      <w:pPr>
        <w:pStyle w:val="ab"/>
        <w:spacing w:before="62" w:after="62"/>
        <w:ind w:firstLine="482"/>
      </w:pPr>
      <w:r>
        <w:rPr>
          <w:rFonts w:hint="eastAsia"/>
        </w:rPr>
        <w:t>一、资产评估相关信息披露基本原则</w:t>
      </w:r>
    </w:p>
    <w:p w14:paraId="34B2BA05" w14:textId="77777777" w:rsidR="00E155F1" w:rsidRDefault="00E155F1" w:rsidP="00E155F1">
      <w:pPr>
        <w:pStyle w:val="13"/>
      </w:pPr>
      <w:r>
        <w:t>1、本备忘录所称资产评估相关信息，是指上市公司发生重大资产重组或其他交易行为时，根据有关法律法规、部门规章、《上市规则》等规定聘请具有执行证券、期货相关业务资格的评估机构（以下简称“评估机构”）对相关标的资产进行评估形成的、须予以披露的资产评估结论等信息。</w:t>
      </w:r>
    </w:p>
    <w:p w14:paraId="479725F6" w14:textId="77777777" w:rsidR="00E155F1" w:rsidRDefault="00E155F1" w:rsidP="00E155F1">
      <w:pPr>
        <w:pStyle w:val="13"/>
      </w:pPr>
      <w:r>
        <w:t>2、上市公司披露资产评估相关信息时，应当完整、恰当引用评估报告（含预评估结果、矿业权评估咨询报告，下同）的结论，使用通俗易懂的语言，对相关专业术语</w:t>
      </w:r>
      <w:proofErr w:type="gramStart"/>
      <w:r>
        <w:t>作出</w:t>
      </w:r>
      <w:proofErr w:type="gramEnd"/>
      <w:r>
        <w:t>明确的解释，使投资者能够</w:t>
      </w:r>
      <w:proofErr w:type="gramStart"/>
      <w:r>
        <w:t>合理理解</w:t>
      </w:r>
      <w:proofErr w:type="gramEnd"/>
      <w:r>
        <w:t>评估结论，不得使用误导性的表述。</w:t>
      </w:r>
    </w:p>
    <w:p w14:paraId="0C982789" w14:textId="77777777" w:rsidR="00E155F1" w:rsidRDefault="00E155F1" w:rsidP="00E155F1">
      <w:pPr>
        <w:pStyle w:val="13"/>
      </w:pPr>
      <w:r>
        <w:t>3、上市公司披露资产评估相关信息的，其所对应的经济行为应当与评估报告用途、评估目的保持一致。</w:t>
      </w:r>
    </w:p>
    <w:p w14:paraId="44316C17" w14:textId="77777777" w:rsidR="00E155F1" w:rsidRDefault="00E155F1" w:rsidP="00E155F1">
      <w:pPr>
        <w:pStyle w:val="13"/>
      </w:pPr>
      <w:r>
        <w:t>4、上市公司不得要求评估机构出具不实的资产评估报告。评估机构为上市公司提供资产评估服务时，应恪守职业道德，严格按照评估准则出具评估报告。</w:t>
      </w:r>
    </w:p>
    <w:p w14:paraId="370C8679" w14:textId="77777777" w:rsidR="00E155F1" w:rsidRDefault="00E155F1" w:rsidP="00E155F1">
      <w:pPr>
        <w:pStyle w:val="ab"/>
        <w:spacing w:before="62" w:after="62"/>
        <w:ind w:firstLine="482"/>
      </w:pPr>
      <w:r>
        <w:rPr>
          <w:rFonts w:hint="eastAsia"/>
        </w:rPr>
        <w:t>二、资产评估事项相关程序性要求</w:t>
      </w:r>
    </w:p>
    <w:p w14:paraId="768F9ACF" w14:textId="77777777" w:rsidR="00E155F1" w:rsidRDefault="00E155F1" w:rsidP="00E155F1">
      <w:pPr>
        <w:pStyle w:val="13"/>
      </w:pPr>
      <w:r>
        <w:t>1、上市公司涉及资产评估事项的，董事会应当对评估机构的选聘、评估机构的独立性、评估假设和评估结论的合理性发表明确意见。独立董事和独立财务顾问应当对选聘评估机构的程序、评估机构的胜任能力、评估机构的独立性、评估假设和评估结论的合理性发表明确意见。</w:t>
      </w:r>
    </w:p>
    <w:p w14:paraId="7E32E2A5" w14:textId="77777777" w:rsidR="00E155F1" w:rsidRDefault="00E155F1" w:rsidP="00E155F1">
      <w:pPr>
        <w:pStyle w:val="13"/>
      </w:pPr>
      <w:r>
        <w:t>2、评估机构使用收益法、假设开发法等基于未来收益预期的估值方法对相关资产进行评估的，上市公司董事会应当对评估价值分析原理、计算模型及采用的折现率等重要评估参数，预期各年度收益或现金流量等重要评估依据及评估结论的合理性发表意见。</w:t>
      </w:r>
    </w:p>
    <w:p w14:paraId="012DC011" w14:textId="77777777" w:rsidR="00E155F1" w:rsidRDefault="00E155F1" w:rsidP="00E155F1">
      <w:pPr>
        <w:pStyle w:val="13"/>
      </w:pPr>
      <w:r>
        <w:t>3、评估机构应对评估对象所涉及交易、收入、支出、投资等业务的合法性、未来预测的可靠性取得充分证据，充分考虑未来各种可能性发生的概率及其影响，不得根据不切实际的各种简单假设进行随意评估。</w:t>
      </w:r>
    </w:p>
    <w:p w14:paraId="532E03D9" w14:textId="77777777" w:rsidR="00E155F1" w:rsidRDefault="00E155F1" w:rsidP="00E155F1">
      <w:pPr>
        <w:pStyle w:val="ab"/>
        <w:spacing w:before="62" w:after="62"/>
        <w:ind w:firstLine="482"/>
      </w:pPr>
      <w:r>
        <w:rPr>
          <w:rFonts w:hint="eastAsia"/>
        </w:rPr>
        <w:t>三、资产评估相关信息披露要求</w:t>
      </w:r>
    </w:p>
    <w:p w14:paraId="2756741A" w14:textId="77777777" w:rsidR="00E155F1" w:rsidRDefault="00E155F1" w:rsidP="00E155F1">
      <w:pPr>
        <w:pStyle w:val="13"/>
      </w:pPr>
      <w:r>
        <w:t>1、上市公司涉及资产评估事项的，应当在资产重组报告书或其他相关公告中详细披露评估机构名称以及是否具有执行证券期货业务资格、评估基准日、评估方法，并以评估前后对照的方式列示评估结果。</w:t>
      </w:r>
    </w:p>
    <w:p w14:paraId="3AB0C756" w14:textId="77777777" w:rsidR="00E155F1" w:rsidRDefault="00E155F1" w:rsidP="00E155F1">
      <w:pPr>
        <w:pStyle w:val="13"/>
      </w:pPr>
      <w:r>
        <w:rPr>
          <w:rFonts w:hint="eastAsia"/>
        </w:rPr>
        <w:t>评估报告利用其他机构报告的，上市公司应当参照前款规定披露其他机构报告的上述信息。</w:t>
      </w:r>
    </w:p>
    <w:p w14:paraId="2ADC096E" w14:textId="77777777" w:rsidR="00E155F1" w:rsidRDefault="00E155F1" w:rsidP="00E155F1">
      <w:pPr>
        <w:pStyle w:val="13"/>
      </w:pPr>
      <w:r>
        <w:lastRenderedPageBreak/>
        <w:t>2、评估报告显示评估值与账面值存在较大增值或减值，或与过去三年内历史交易价格存在较大差异的，上市公司应当视所采用的不同评估方法分别按照以下第3、4、5、6条的要求详细披露其原因及评估结果的推算过程。上市公司董事会或本所认为必要的，独立财务顾问应当采用同行业市盈率法、</w:t>
      </w:r>
      <w:proofErr w:type="gramStart"/>
      <w:r>
        <w:t>市净率</w:t>
      </w:r>
      <w:proofErr w:type="gramEnd"/>
      <w:r>
        <w:t>法等其他估值方法对评估结论进行验证，出具核查意见，并予以披露。</w:t>
      </w:r>
    </w:p>
    <w:p w14:paraId="56629CF9" w14:textId="77777777" w:rsidR="00E155F1" w:rsidRDefault="00E155F1" w:rsidP="00E155F1">
      <w:pPr>
        <w:pStyle w:val="13"/>
      </w:pPr>
      <w:r>
        <w:t>3、采用收益法进行评估的，上市公司应当详细披露价值分析原理、计算模型及采用的折现率等重要评估参数，预期各年度收益或现金流量等重要评估依据，充分说明有关参数、评估依据确定的理由。</w:t>
      </w:r>
    </w:p>
    <w:p w14:paraId="202CD865" w14:textId="77777777" w:rsidR="00E155F1" w:rsidRDefault="00E155F1" w:rsidP="00E155F1">
      <w:pPr>
        <w:pStyle w:val="13"/>
      </w:pPr>
      <w:r>
        <w:rPr>
          <w:rFonts w:hint="eastAsia"/>
        </w:rPr>
        <w:t>评估报告所采用的预期产品产销量、销售价格、收益或现金流量等评估依据与评估标的已实现的历史数据存在重大差异或与有关变动趋势相背离的，上市公司应当详细解释该评估依据的合理性，提供相关证明材料，并予以披露。</w:t>
      </w:r>
    </w:p>
    <w:p w14:paraId="73766FA8" w14:textId="77777777" w:rsidR="00E155F1" w:rsidRDefault="00E155F1" w:rsidP="00E155F1">
      <w:pPr>
        <w:pStyle w:val="13"/>
      </w:pPr>
      <w:r>
        <w:rPr>
          <w:rFonts w:hint="eastAsia"/>
        </w:rPr>
        <w:t>相关资产在后续经营过程中，可能受到国家法律、法规更加严格的规制，或受到自然因素、经济因素、技术因素的严重制约，导致相关评估标的在未来年度能否实现预期收入、收益或现金流量存在重大不确定性的，上市公司应当详细披露相应解决措施，并充分提示相关风险。</w:t>
      </w:r>
    </w:p>
    <w:p w14:paraId="21A67F7D" w14:textId="77777777" w:rsidR="00E155F1" w:rsidRDefault="00E155F1" w:rsidP="00E155F1">
      <w:pPr>
        <w:pStyle w:val="13"/>
      </w:pPr>
      <w:r>
        <w:rPr>
          <w:rFonts w:hint="eastAsia"/>
        </w:rPr>
        <w:t>评估标的为矿业权，且其矿产资源资源储量报告或矿产资源开发利用方案未经有权部门审核备案，或尚未取得相关探矿权、采矿权许可证的，上市公司董事会应当详细披露原因、解决措施，</w:t>
      </w:r>
      <w:proofErr w:type="gramStart"/>
      <w:r>
        <w:rPr>
          <w:rFonts w:hint="eastAsia"/>
        </w:rPr>
        <w:t>作出</w:t>
      </w:r>
      <w:proofErr w:type="gramEnd"/>
      <w:r>
        <w:rPr>
          <w:rFonts w:hint="eastAsia"/>
        </w:rPr>
        <w:t>相关承诺，分析后续支出对评估结论的影响（如适用），并充分提示相关风险。独立董事应当对该等措施的合理性出具独立意见。</w:t>
      </w:r>
    </w:p>
    <w:p w14:paraId="0B7590D7" w14:textId="77777777" w:rsidR="00E155F1" w:rsidRDefault="00E155F1" w:rsidP="00E155F1">
      <w:pPr>
        <w:pStyle w:val="13"/>
      </w:pPr>
      <w:r>
        <w:t>4、采用市场法进行评估的，上市公司应当明确说明评估标的存在活跃的市场、相似的参照物、以及可比量化的指标和技术经济参数的情况，详细披露具有合理比较基础的可比交易案例，根据宏观经济条件、交易条件、行业状况的变化，以及评估标的收益能力、竞争能力、技术水平、地理位置、时间因素等情况对可比交易案例进行的调整，从而得出评估结论的过程。</w:t>
      </w:r>
    </w:p>
    <w:p w14:paraId="384244F3" w14:textId="77777777" w:rsidR="00E155F1" w:rsidRDefault="00E155F1" w:rsidP="00E155F1">
      <w:pPr>
        <w:pStyle w:val="13"/>
      </w:pPr>
      <w:r>
        <w:t>5、采用成本法进行评估的，上市公司应当充分披露重置成本中重大成本项目的构成情况，现行价格、费用标准与原始成本存在重大差异的，还应当详细解释其原因。</w:t>
      </w:r>
    </w:p>
    <w:p w14:paraId="615BE4A2" w14:textId="77777777" w:rsidR="00E155F1" w:rsidRDefault="00E155F1" w:rsidP="00E155F1">
      <w:pPr>
        <w:pStyle w:val="13"/>
      </w:pPr>
      <w:r>
        <w:t>6、采用多种评估方法进行评估，并按照一定的价值分析原理或计算模型等方法综合确定标的资产评估值的，上市公司还应当充分披露该等方法的合理性及其理由。</w:t>
      </w:r>
    </w:p>
    <w:p w14:paraId="1D5F0A33" w14:textId="77777777" w:rsidR="00E155F1" w:rsidRDefault="00E155F1" w:rsidP="00E155F1">
      <w:pPr>
        <w:pStyle w:val="13"/>
      </w:pPr>
      <w:r>
        <w:t>7、评估基准日至相关评估结果披露日期间，发生可能对评估结论产生重大影响的事项的，上市公司应当充分披露相关事项对评估结论的影响程度，必要时上市公司应当聘请评估机构就此出具专业意见。</w:t>
      </w:r>
    </w:p>
    <w:p w14:paraId="6216F6DB" w14:textId="77777777" w:rsidR="00E155F1" w:rsidRDefault="00E155F1" w:rsidP="00E155F1">
      <w:pPr>
        <w:pStyle w:val="13"/>
      </w:pPr>
      <w:r>
        <w:t>8、上市公司应当根据上述具体情况，结合资产评估报告书“特别事项说明”相关事项，在重大资产重组报告书或其他相关公告中充分提示资产评估事项的风险。</w:t>
      </w:r>
    </w:p>
    <w:p w14:paraId="26090F78" w14:textId="77777777" w:rsidR="00E155F1" w:rsidRDefault="00E155F1" w:rsidP="00E155F1">
      <w:pPr>
        <w:pStyle w:val="13"/>
      </w:pPr>
      <w:r>
        <w:t>9、上市公司在重大资产重组、收购资产或其他交易过程中，评估报告使用收益</w:t>
      </w:r>
      <w:r>
        <w:lastRenderedPageBreak/>
        <w:t>法的，应当在该交易完成后连续三个会计年度（</w:t>
      </w:r>
      <w:proofErr w:type="gramStart"/>
      <w:r>
        <w:t>含完成</w:t>
      </w:r>
      <w:proofErr w:type="gramEnd"/>
      <w:r>
        <w:t>当年）的年度报告中以对</w:t>
      </w:r>
      <w:proofErr w:type="gramStart"/>
      <w:r>
        <w:t>比列</w:t>
      </w:r>
      <w:proofErr w:type="gramEnd"/>
      <w:r>
        <w:t>示的方式披露相关标的资产的利润或现金流量预测数和实现数，</w:t>
      </w:r>
      <w:proofErr w:type="gramStart"/>
      <w:r>
        <w:t>凡相关</w:t>
      </w:r>
      <w:proofErr w:type="gramEnd"/>
      <w:r>
        <w:t>标的资产利润或现金流量实现数低于预测数10%—20%的，公司及其聘请的评估</w:t>
      </w:r>
      <w:proofErr w:type="gramStart"/>
      <w:r>
        <w:t>师应当</w:t>
      </w:r>
      <w:proofErr w:type="gramEnd"/>
      <w:r>
        <w:t>在股东大会及指定报刊上</w:t>
      </w:r>
      <w:proofErr w:type="gramStart"/>
      <w:r>
        <w:t>作出</w:t>
      </w:r>
      <w:proofErr w:type="gramEnd"/>
      <w:r>
        <w:t>解释，并向投资者公开道歉；</w:t>
      </w:r>
      <w:proofErr w:type="gramStart"/>
      <w:r>
        <w:t>凡未来</w:t>
      </w:r>
      <w:proofErr w:type="gramEnd"/>
      <w:r>
        <w:t>年度报告利润或现金流量实现数低于预测数20%以上的，公司及</w:t>
      </w:r>
      <w:proofErr w:type="gramStart"/>
      <w:r>
        <w:t>评估师除公开</w:t>
      </w:r>
      <w:proofErr w:type="gramEnd"/>
      <w:r>
        <w:t>解释并道歉以外，我部将视年度报告事后审查情况，根据本所《股票上市规则》的规定对公司董事会或评估</w:t>
      </w:r>
      <w:r>
        <w:rPr>
          <w:rFonts w:hint="eastAsia"/>
        </w:rPr>
        <w:t>机构及相关人员采取监管措施；对有意提供虚假资料，出具虚假评估报告，误导投资者的，我</w:t>
      </w:r>
      <w:proofErr w:type="gramStart"/>
      <w:r>
        <w:rPr>
          <w:rFonts w:hint="eastAsia"/>
        </w:rPr>
        <w:t>部将报</w:t>
      </w:r>
      <w:proofErr w:type="gramEnd"/>
      <w:r>
        <w:rPr>
          <w:rFonts w:hint="eastAsia"/>
        </w:rPr>
        <w:t>中国证监会查处。</w:t>
      </w:r>
    </w:p>
    <w:p w14:paraId="44A33540" w14:textId="77777777" w:rsidR="00E155F1" w:rsidRDefault="00E155F1" w:rsidP="00E155F1">
      <w:pPr>
        <w:pStyle w:val="31"/>
        <w:spacing w:before="156" w:after="62"/>
      </w:pPr>
      <w:bookmarkStart w:id="279" w:name="_Toc81833512"/>
      <w:r>
        <w:rPr>
          <w:rFonts w:hint="eastAsia"/>
        </w:rPr>
        <w:t>重大资产重组的关注要点（证监会）</w:t>
      </w:r>
      <w:bookmarkEnd w:id="279"/>
    </w:p>
    <w:p w14:paraId="443EBD1B" w14:textId="77777777" w:rsidR="00E155F1" w:rsidRDefault="00E155F1" w:rsidP="00E155F1">
      <w:pPr>
        <w:pStyle w:val="ab"/>
        <w:spacing w:before="62" w:after="62"/>
        <w:ind w:firstLine="482"/>
      </w:pPr>
      <w:r>
        <w:rPr>
          <w:rFonts w:hint="eastAsia"/>
        </w:rPr>
        <w:t>关注</w:t>
      </w:r>
      <w:proofErr w:type="gramStart"/>
      <w:r>
        <w:rPr>
          <w:rFonts w:hint="eastAsia"/>
        </w:rPr>
        <w:t>一</w:t>
      </w:r>
      <w:proofErr w:type="gramEnd"/>
      <w:r>
        <w:rPr>
          <w:rFonts w:hint="eastAsia"/>
        </w:rPr>
        <w:t>：交易价格公允性</w:t>
      </w:r>
    </w:p>
    <w:p w14:paraId="35E97B04" w14:textId="77777777" w:rsidR="00E155F1" w:rsidRDefault="00E155F1" w:rsidP="00E155F1">
      <w:pPr>
        <w:pStyle w:val="ab"/>
        <w:spacing w:before="62" w:after="62"/>
        <w:ind w:firstLine="482"/>
      </w:pPr>
      <w:r>
        <w:rPr>
          <w:rFonts w:hint="eastAsia"/>
        </w:rPr>
        <w:t>一、交易价格以法定评估报告为依据的交易项目</w:t>
      </w:r>
    </w:p>
    <w:p w14:paraId="592129DC" w14:textId="77777777" w:rsidR="00E155F1" w:rsidRDefault="00E155F1" w:rsidP="00E155F1">
      <w:pPr>
        <w:pStyle w:val="13"/>
      </w:pPr>
      <w:r>
        <w:rPr>
          <w:rFonts w:hint="eastAsia"/>
        </w:rPr>
        <w:t>（一）普遍关注点</w:t>
      </w:r>
    </w:p>
    <w:p w14:paraId="684FBBDB" w14:textId="77777777" w:rsidR="00E155F1" w:rsidRDefault="00E155F1" w:rsidP="00E155F1">
      <w:pPr>
        <w:pStyle w:val="13"/>
      </w:pPr>
      <w:r>
        <w:rPr>
          <w:rFonts w:hint="eastAsia"/>
        </w:rPr>
        <w:t>上市公司是否提供标的资产的评估报告和评估技术说明（重点关注“特别事项说明部分”）</w:t>
      </w:r>
    </w:p>
    <w:p w14:paraId="55E69FB7" w14:textId="77777777" w:rsidR="00E155F1" w:rsidRDefault="00E155F1" w:rsidP="00E155F1">
      <w:pPr>
        <w:pStyle w:val="13"/>
      </w:pPr>
      <w:r>
        <w:rPr>
          <w:rFonts w:hint="eastAsia"/>
        </w:rPr>
        <w:t>评估报告与盈利预测报告、公司管理</w:t>
      </w:r>
      <w:proofErr w:type="gramStart"/>
      <w:r>
        <w:rPr>
          <w:rFonts w:hint="eastAsia"/>
        </w:rPr>
        <w:t>层讨论</w:t>
      </w:r>
      <w:proofErr w:type="gramEnd"/>
      <w:r>
        <w:rPr>
          <w:rFonts w:hint="eastAsia"/>
        </w:rPr>
        <w:t>与分析之间是否存在重大矛盾，例如对未来销售单价、销售数量、费用种类、费用金额等的测算是否存在重大差异</w:t>
      </w:r>
    </w:p>
    <w:p w14:paraId="0B8A238C" w14:textId="77777777" w:rsidR="00E155F1" w:rsidRDefault="00E155F1" w:rsidP="00E155F1">
      <w:pPr>
        <w:pStyle w:val="13"/>
      </w:pPr>
      <w:r>
        <w:rPr>
          <w:rFonts w:hint="eastAsia"/>
        </w:rPr>
        <w:t>评估基准日的选择是否合理，基准日后至审核期间是否发生了重大变化，导致评估结果与资产当前公允价值已存在重大偏差，在此情况下，评估机构是否已视情况重新出具评估报告标的资产在拟注入上市公司之前三年内是否进行过评估，两次评估值之间是否存在较大差异，如存在，是否已详细说明评估差异的合理性关联交易问题</w:t>
      </w:r>
    </w:p>
    <w:p w14:paraId="4D827332" w14:textId="77777777" w:rsidR="00E155F1" w:rsidRDefault="00E155F1" w:rsidP="00E155F1">
      <w:pPr>
        <w:pStyle w:val="13"/>
      </w:pPr>
      <w:r>
        <w:rPr>
          <w:rFonts w:hint="eastAsia"/>
        </w:rPr>
        <w:t>（二）评估方法与参数</w:t>
      </w:r>
    </w:p>
    <w:p w14:paraId="208A2DFE" w14:textId="77777777" w:rsidR="00E155F1" w:rsidRDefault="00E155F1" w:rsidP="00E155F1">
      <w:pPr>
        <w:pStyle w:val="13"/>
      </w:pPr>
      <w:r>
        <w:t>1、基本原则</w:t>
      </w:r>
    </w:p>
    <w:p w14:paraId="7013212B" w14:textId="77777777" w:rsidR="00E155F1" w:rsidRDefault="00E155F1" w:rsidP="00E155F1">
      <w:pPr>
        <w:pStyle w:val="13"/>
      </w:pPr>
      <w:r>
        <w:rPr>
          <w:rFonts w:hint="eastAsia"/>
        </w:rPr>
        <w:t>评估方法选择是否得当</w:t>
      </w:r>
    </w:p>
    <w:p w14:paraId="28EC5BCB" w14:textId="77777777" w:rsidR="00E155F1" w:rsidRDefault="00E155F1" w:rsidP="00E155F1">
      <w:pPr>
        <w:pStyle w:val="13"/>
      </w:pPr>
      <w:r>
        <w:rPr>
          <w:rFonts w:hint="eastAsia"/>
        </w:rPr>
        <w:t>是否采用两种以上评估方法评估参数选择是否得当</w:t>
      </w:r>
    </w:p>
    <w:p w14:paraId="0E8A4740" w14:textId="77777777" w:rsidR="00E155F1" w:rsidRDefault="00E155F1" w:rsidP="00E155F1">
      <w:pPr>
        <w:pStyle w:val="13"/>
      </w:pPr>
      <w:r>
        <w:rPr>
          <w:rFonts w:hint="eastAsia"/>
        </w:rPr>
        <w:t>不同评估方法下评估参数取值等是否存在重大矛盾</w:t>
      </w:r>
    </w:p>
    <w:p w14:paraId="69DC272F" w14:textId="77777777" w:rsidR="00E155F1" w:rsidRDefault="00E155F1" w:rsidP="00E155F1">
      <w:pPr>
        <w:pStyle w:val="13"/>
      </w:pPr>
      <w:r>
        <w:t>2、收益现值法</w:t>
      </w:r>
    </w:p>
    <w:p w14:paraId="3DD8141C" w14:textId="77777777" w:rsidR="00E155F1" w:rsidRDefault="00E155F1" w:rsidP="00E155F1">
      <w:pPr>
        <w:pStyle w:val="13"/>
      </w:pPr>
      <w:r>
        <w:rPr>
          <w:rFonts w:hint="eastAsia"/>
        </w:rPr>
        <w:t>评估的假设前提是否具有可靠性和合理性</w:t>
      </w:r>
    </w:p>
    <w:p w14:paraId="25884E70" w14:textId="77777777" w:rsidR="00E155F1" w:rsidRDefault="00E155F1" w:rsidP="00E155F1">
      <w:pPr>
        <w:pStyle w:val="13"/>
      </w:pPr>
      <w:r>
        <w:rPr>
          <w:rFonts w:hint="eastAsia"/>
        </w:rPr>
        <w:t>对未来收益的预测是否有充分、合理的依据，包括但不限于是否对细分行业、细分市场的历史、现状及未来进行严谨分析，所作预测是否符合产品生命周期曲线、是否符合超额收益率等通常规律（例如，特定公司或产品在较长周期后难以再获取超额收益）；未来收入是否包含非经常性项目；未来收入增长是否与费用增长相匹配等</w:t>
      </w:r>
    </w:p>
    <w:p w14:paraId="7935F779" w14:textId="77777777" w:rsidR="00E155F1" w:rsidRDefault="00E155F1" w:rsidP="00E155F1">
      <w:pPr>
        <w:pStyle w:val="13"/>
      </w:pPr>
      <w:r>
        <w:rPr>
          <w:rFonts w:hint="eastAsia"/>
        </w:rPr>
        <w:t>折现率的计算是否在无风险安全利率（通常取无风险长期国债利率）的基础上考虑了行业风险（以方差或其他形式求出）及公司个别风险并进行调整</w:t>
      </w:r>
    </w:p>
    <w:p w14:paraId="2663E687" w14:textId="77777777" w:rsidR="00E155F1" w:rsidRDefault="00E155F1" w:rsidP="00E155F1">
      <w:pPr>
        <w:pStyle w:val="13"/>
      </w:pPr>
      <w:r>
        <w:lastRenderedPageBreak/>
        <w:t>3、成本法</w:t>
      </w:r>
    </w:p>
    <w:p w14:paraId="618F8F66" w14:textId="77777777" w:rsidR="00E155F1" w:rsidRDefault="00E155F1" w:rsidP="00E155F1">
      <w:pPr>
        <w:pStyle w:val="13"/>
      </w:pPr>
      <w:r>
        <w:rPr>
          <w:rFonts w:hint="eastAsia"/>
        </w:rPr>
        <w:t>重置成本的确定是否有充分、合理的依据，取值是否符合有关部门最新颁布的标</w:t>
      </w:r>
    </w:p>
    <w:p w14:paraId="5B7D2B66" w14:textId="77777777" w:rsidR="00E155F1" w:rsidRDefault="00E155F1" w:rsidP="00E155F1">
      <w:pPr>
        <w:pStyle w:val="13"/>
      </w:pPr>
      <w:r>
        <w:rPr>
          <w:rFonts w:hint="eastAsia"/>
        </w:rPr>
        <w:t>准</w:t>
      </w:r>
    </w:p>
    <w:p w14:paraId="6BF6BEBF" w14:textId="77777777" w:rsidR="00E155F1" w:rsidRDefault="00E155F1" w:rsidP="00E155F1">
      <w:pPr>
        <w:pStyle w:val="13"/>
      </w:pPr>
      <w:r>
        <w:rPr>
          <w:rFonts w:hint="eastAsia"/>
        </w:rPr>
        <w:t>成新率的计算是否符合实际，而不是主要依赖使用年限法，是否对建筑物、设备进行必要的实地测量、物理测验；寿命期的测算是否通过对大量实际数据的统计分析</w:t>
      </w:r>
    </w:p>
    <w:p w14:paraId="7400854B" w14:textId="77777777" w:rsidR="00E155F1" w:rsidRDefault="00E155F1" w:rsidP="00E155F1">
      <w:pPr>
        <w:pStyle w:val="13"/>
      </w:pPr>
      <w:r>
        <w:rPr>
          <w:rFonts w:hint="eastAsia"/>
        </w:rPr>
        <w:t>得出。</w:t>
      </w:r>
    </w:p>
    <w:p w14:paraId="53067B44" w14:textId="77777777" w:rsidR="00E155F1" w:rsidRDefault="00E155F1" w:rsidP="00E155F1">
      <w:pPr>
        <w:pStyle w:val="13"/>
      </w:pPr>
      <w:r>
        <w:t>4、市价法</w:t>
      </w:r>
    </w:p>
    <w:p w14:paraId="3AB3C4A2" w14:textId="77777777" w:rsidR="00E155F1" w:rsidRDefault="00E155F1" w:rsidP="00E155F1">
      <w:pPr>
        <w:pStyle w:val="13"/>
      </w:pPr>
      <w:r>
        <w:rPr>
          <w:rFonts w:hint="eastAsia"/>
        </w:rPr>
        <w:t>参照对象与评估标的是否具有较强的可比性，是否针对有关差异进行了全面、适当的调整。例如，是否充分考虑参照对象与评估标的在资产负债结构、流动性、股权比例等方面的差异成新率的计算是否符合实际，而不是主要依赖使用年限法，是否对建筑物、设备进行必要的实地测量、物理测验；寿命期的测算是否通过对大量实际数据的统计分析得出。</w:t>
      </w:r>
    </w:p>
    <w:p w14:paraId="1D8B4808" w14:textId="77777777" w:rsidR="00E155F1" w:rsidRDefault="00E155F1" w:rsidP="00E155F1">
      <w:pPr>
        <w:pStyle w:val="13"/>
      </w:pPr>
      <w:r>
        <w:rPr>
          <w:rFonts w:hint="eastAsia"/>
        </w:rPr>
        <w:t>（三）评估机构</w:t>
      </w:r>
    </w:p>
    <w:p w14:paraId="035711D5" w14:textId="77777777" w:rsidR="00E155F1" w:rsidRDefault="00E155F1" w:rsidP="00E155F1">
      <w:pPr>
        <w:pStyle w:val="13"/>
      </w:pPr>
      <w:r>
        <w:rPr>
          <w:rFonts w:hint="eastAsia"/>
        </w:rPr>
        <w:t>资产评估机构是否具备证券期货从业资格</w:t>
      </w:r>
    </w:p>
    <w:p w14:paraId="3E53D153" w14:textId="77777777" w:rsidR="00E155F1" w:rsidRDefault="00E155F1" w:rsidP="00E155F1">
      <w:pPr>
        <w:pStyle w:val="13"/>
      </w:pPr>
      <w:r>
        <w:rPr>
          <w:rFonts w:hint="eastAsia"/>
        </w:rPr>
        <w:t>以土地使用权为评估对象的，评估机构是否同时执行国土资源部制定的《城镇土地估价规程》，土地估价机构是否具备全国范围内执业资格</w:t>
      </w:r>
    </w:p>
    <w:p w14:paraId="309238CA" w14:textId="77777777" w:rsidR="00E155F1" w:rsidRDefault="00E155F1" w:rsidP="00E155F1">
      <w:pPr>
        <w:pStyle w:val="13"/>
      </w:pPr>
      <w:r>
        <w:rPr>
          <w:rFonts w:hint="eastAsia"/>
        </w:rPr>
        <w:t>上市公司聘请的资产评估机构与审计机构之间是否存在影响其独立性的因素</w:t>
      </w:r>
    </w:p>
    <w:p w14:paraId="74997CD7" w14:textId="77777777" w:rsidR="00E155F1" w:rsidRDefault="00E155F1" w:rsidP="00E155F1">
      <w:pPr>
        <w:pStyle w:val="13"/>
      </w:pPr>
      <w:r>
        <w:rPr>
          <w:rFonts w:hint="eastAsia"/>
        </w:rPr>
        <w:t>上市公司与评估机构签订聘用合同后，是否更换了评估机构；如更换，是否说明具体原因及评估机构的陈述意见</w:t>
      </w:r>
    </w:p>
    <w:p w14:paraId="3F572DAE" w14:textId="77777777" w:rsidR="00E155F1" w:rsidRDefault="00E155F1" w:rsidP="00E155F1">
      <w:pPr>
        <w:pStyle w:val="13"/>
      </w:pPr>
      <w:r>
        <w:rPr>
          <w:rFonts w:hint="eastAsia"/>
        </w:rPr>
        <w:t>上市公司在涉及珠宝类相关资产的交易活动中，是否聘请专门的机构进行评估。从事上市公司珠宝类相关资产评估业务的机构是否具备相关条件。已取得证券期货相关业务资格的资产评估机构执行证券业务时如涉及珠宝类相关资产，是否引用了符合上述要求的珠宝类资产评估机构出具的评估报告中的结论</w:t>
      </w:r>
    </w:p>
    <w:p w14:paraId="0E804381" w14:textId="77777777" w:rsidR="00E155F1" w:rsidRDefault="00E155F1" w:rsidP="00E155F1">
      <w:pPr>
        <w:pStyle w:val="13"/>
      </w:pPr>
      <w:r>
        <w:rPr>
          <w:rFonts w:hint="eastAsia"/>
        </w:rPr>
        <w:t>（四）特别资产类型</w:t>
      </w:r>
    </w:p>
    <w:p w14:paraId="69AA76CA" w14:textId="77777777" w:rsidR="00E155F1" w:rsidRDefault="00E155F1" w:rsidP="00E155F1">
      <w:pPr>
        <w:pStyle w:val="13"/>
      </w:pPr>
      <w:r>
        <w:t>1、企业股权价值</w:t>
      </w:r>
    </w:p>
    <w:p w14:paraId="4B9C15CC" w14:textId="77777777" w:rsidR="00E155F1" w:rsidRDefault="00E155F1" w:rsidP="00E155F1">
      <w:pPr>
        <w:pStyle w:val="13"/>
      </w:pPr>
      <w:r>
        <w:rPr>
          <w:rFonts w:hint="eastAsia"/>
        </w:rPr>
        <w:t>对未来收益指标进行预测时是否考虑多种因素，包括行业发展趋势、行业地位、市场需求、市场竞争、对企业未来收入、利润的影响等，与此同时，对主要产品市场价格敏感性的分析是否充分</w:t>
      </w:r>
    </w:p>
    <w:p w14:paraId="3DFD1AF6" w14:textId="77777777" w:rsidR="00E155F1" w:rsidRDefault="00E155F1" w:rsidP="00E155F1">
      <w:pPr>
        <w:pStyle w:val="13"/>
      </w:pPr>
      <w:r>
        <w:t>2、流动资产</w:t>
      </w:r>
    </w:p>
    <w:p w14:paraId="32001FC4" w14:textId="77777777" w:rsidR="00E155F1" w:rsidRDefault="00E155F1" w:rsidP="00E155F1">
      <w:pPr>
        <w:pStyle w:val="13"/>
      </w:pPr>
      <w:r>
        <w:rPr>
          <w:rFonts w:hint="eastAsia"/>
        </w:rPr>
        <w:t>坏帐准备、减值准备的冲回是否有足够依据</w:t>
      </w:r>
    </w:p>
    <w:p w14:paraId="49CF7838" w14:textId="77777777" w:rsidR="00E155F1" w:rsidRDefault="00E155F1" w:rsidP="00E155F1">
      <w:pPr>
        <w:pStyle w:val="13"/>
      </w:pPr>
      <w:r>
        <w:t>3、开发性房地产</w:t>
      </w:r>
    </w:p>
    <w:p w14:paraId="3743EA44" w14:textId="77777777" w:rsidR="00E155F1" w:rsidRDefault="00E155F1" w:rsidP="00E155F1">
      <w:pPr>
        <w:pStyle w:val="13"/>
      </w:pPr>
      <w:r>
        <w:rPr>
          <w:rFonts w:hint="eastAsia"/>
        </w:rPr>
        <w:t>土地使用权性质（依据相关权属证明认定是划拨地还是出让地，商业用地、工业用地还是综合用地等）是否与土地实际用途相符合；土地使用是否符合规划（包括容积率、绿化率等）；是否在确定评估参数（包括但不限于开发面积、土地成本、可比</w:t>
      </w:r>
      <w:r>
        <w:rPr>
          <w:rFonts w:hint="eastAsia"/>
        </w:rPr>
        <w:lastRenderedPageBreak/>
        <w:t>售价、预计售价等）时结合了目前房地产行业的政策环境、市场环境和标的公司的实际情况；是否考虑批量折扣、再次转让的税费等因素。对采用市价法进行评估的，是否已关注标的土地的地段、具体位置、规模、形状等与参照对象的可比性</w:t>
      </w:r>
    </w:p>
    <w:p w14:paraId="437EF816" w14:textId="77777777" w:rsidR="00E155F1" w:rsidRDefault="00E155F1" w:rsidP="00E155F1">
      <w:pPr>
        <w:pStyle w:val="13"/>
      </w:pPr>
      <w:r>
        <w:t>4、土地使用权与投资性房地产</w:t>
      </w:r>
    </w:p>
    <w:p w14:paraId="79004579" w14:textId="77777777" w:rsidR="00E155F1" w:rsidRDefault="00E155F1" w:rsidP="00E155F1">
      <w:pPr>
        <w:pStyle w:val="13"/>
      </w:pPr>
      <w:r>
        <w:rPr>
          <w:rFonts w:hint="eastAsia"/>
        </w:rPr>
        <w:t>是否充分说明评估所需各类参数的选取原因、选取过程，是否提供与标的土地使用权相类似的其他交易案例的评估参考数据；在对投资性房地产采用收益现值法进行评估中，折现率的选取是否充分考虑了持有物业出租与开发房屋出售的区别</w:t>
      </w:r>
    </w:p>
    <w:p w14:paraId="1A7618DD" w14:textId="77777777" w:rsidR="00E155F1" w:rsidRDefault="00E155F1" w:rsidP="00E155F1">
      <w:pPr>
        <w:pStyle w:val="13"/>
      </w:pPr>
      <w:r>
        <w:t>5、知识产权</w:t>
      </w:r>
    </w:p>
    <w:p w14:paraId="3FA48AF6" w14:textId="77777777" w:rsidR="00E155F1" w:rsidRDefault="00E155F1" w:rsidP="00E155F1">
      <w:pPr>
        <w:pStyle w:val="13"/>
      </w:pPr>
      <w:r>
        <w:rPr>
          <w:rFonts w:hint="eastAsia"/>
        </w:rPr>
        <w:t>关注权属是否清晰、完整，评估假设的依据是否充分；实用新型专利（包括包</w:t>
      </w:r>
      <w:r>
        <w:t>装、外观等）、商标、专有技术等无形资产，其评估价值是否与实际价值匹配；在测算该等无形资产对收益的贡献率时，是否已较全面剔除广告开支等其他影响因素；是否存在重复计算的问题</w:t>
      </w:r>
    </w:p>
    <w:p w14:paraId="2673CD72" w14:textId="77777777" w:rsidR="00E155F1" w:rsidRDefault="00E155F1" w:rsidP="00E155F1">
      <w:pPr>
        <w:pStyle w:val="13"/>
      </w:pPr>
      <w:r>
        <w:t>6、采矿权</w:t>
      </w:r>
    </w:p>
    <w:p w14:paraId="439D4C3B" w14:textId="77777777" w:rsidR="00E155F1" w:rsidRDefault="00E155F1" w:rsidP="00E155F1">
      <w:pPr>
        <w:pStyle w:val="13"/>
      </w:pPr>
      <w:r>
        <w:rPr>
          <w:rFonts w:hint="eastAsia"/>
        </w:rPr>
        <w:t>重组交易对方是否已取得国土资源部评审备案的储量报告，评估方法是否符合矿业权评估技术基本准则、矿业权评估参数确定指导意见和收益途经评估方法等行业规范，是否对比同类、同地区资源</w:t>
      </w:r>
      <w:proofErr w:type="gramStart"/>
      <w:r>
        <w:rPr>
          <w:rFonts w:hint="eastAsia"/>
        </w:rPr>
        <w:t>量价格</w:t>
      </w:r>
      <w:proofErr w:type="gramEnd"/>
      <w:r>
        <w:rPr>
          <w:rFonts w:hint="eastAsia"/>
        </w:rPr>
        <w:t>和同类采矿权交易评估案例</w:t>
      </w:r>
    </w:p>
    <w:p w14:paraId="048247A8" w14:textId="77777777" w:rsidR="00E155F1" w:rsidRDefault="00E155F1" w:rsidP="00E155F1">
      <w:pPr>
        <w:pStyle w:val="ab"/>
        <w:spacing w:before="62" w:after="62"/>
        <w:ind w:firstLine="482"/>
      </w:pPr>
      <w:r>
        <w:rPr>
          <w:rFonts w:hint="eastAsia"/>
        </w:rPr>
        <w:t>二、交易价格不以法定评估报告为依据的交易项目</w:t>
      </w:r>
    </w:p>
    <w:p w14:paraId="1503B1CE" w14:textId="77777777" w:rsidR="00E155F1" w:rsidRDefault="00E155F1" w:rsidP="00E155F1">
      <w:pPr>
        <w:pStyle w:val="13"/>
      </w:pPr>
      <w:r>
        <w:rPr>
          <w:rFonts w:hint="eastAsia"/>
        </w:rPr>
        <w:t>上市公司吸收合并其他上市公司的交易价格以双方股票市价、独立财务顾问估值、净资产账面值等为定价依据，关注以下内容：</w:t>
      </w:r>
    </w:p>
    <w:p w14:paraId="49C8E109" w14:textId="77777777" w:rsidR="00E155F1" w:rsidRDefault="00E155F1" w:rsidP="00E155F1">
      <w:pPr>
        <w:pStyle w:val="13"/>
      </w:pPr>
      <w:r>
        <w:rPr>
          <w:rFonts w:hint="eastAsia"/>
        </w:rPr>
        <w:t>申请人是否提供独立财务顾问对交易定价的意见</w:t>
      </w:r>
    </w:p>
    <w:p w14:paraId="3A6DEEC3" w14:textId="77777777" w:rsidR="00E155F1" w:rsidRDefault="00E155F1" w:rsidP="00E155F1">
      <w:pPr>
        <w:pStyle w:val="13"/>
      </w:pPr>
      <w:r>
        <w:rPr>
          <w:rFonts w:hint="eastAsia"/>
        </w:rPr>
        <w:t>交易价格是否充分考虑合并双方的股票市价、公司估值（资产和盈利能力）、盈利预测以及隐含资产价值（土地、无形资产）等因素</w:t>
      </w:r>
    </w:p>
    <w:p w14:paraId="266D762C" w14:textId="77777777" w:rsidR="00E155F1" w:rsidRDefault="00E155F1" w:rsidP="00E155F1">
      <w:pPr>
        <w:pStyle w:val="13"/>
      </w:pPr>
      <w:r>
        <w:rPr>
          <w:rFonts w:hint="eastAsia"/>
        </w:rPr>
        <w:t>是否充分考虑市盈率、</w:t>
      </w:r>
      <w:proofErr w:type="gramStart"/>
      <w:r>
        <w:rPr>
          <w:rFonts w:hint="eastAsia"/>
        </w:rPr>
        <w:t>市净率</w:t>
      </w:r>
      <w:proofErr w:type="gramEnd"/>
      <w:r>
        <w:rPr>
          <w:rFonts w:hint="eastAsia"/>
        </w:rPr>
        <w:t>的市场平均值等参数</w:t>
      </w:r>
    </w:p>
    <w:p w14:paraId="505B4CD3" w14:textId="77777777" w:rsidR="00E155F1" w:rsidRDefault="00E155F1" w:rsidP="00E155F1">
      <w:pPr>
        <w:pStyle w:val="13"/>
      </w:pPr>
      <w:r>
        <w:rPr>
          <w:rFonts w:hint="eastAsia"/>
        </w:rPr>
        <w:t>是否充分揭示交易价格的影响和风险并确保投资者在知悉该风险的情况下，严格履行法定表决程序</w:t>
      </w:r>
    </w:p>
    <w:p w14:paraId="599F287F" w14:textId="77777777" w:rsidR="00E155F1" w:rsidRDefault="00E155F1" w:rsidP="00E155F1">
      <w:pPr>
        <w:pStyle w:val="ab"/>
        <w:spacing w:before="62" w:after="62"/>
        <w:ind w:firstLine="482"/>
      </w:pPr>
      <w:r>
        <w:rPr>
          <w:rFonts w:hint="eastAsia"/>
        </w:rPr>
        <w:t>关注二：盈利能力与预测</w:t>
      </w:r>
    </w:p>
    <w:p w14:paraId="49E174EA" w14:textId="77777777" w:rsidR="00E155F1" w:rsidRDefault="00E155F1" w:rsidP="00E155F1">
      <w:pPr>
        <w:pStyle w:val="ab"/>
        <w:spacing w:before="62" w:after="62"/>
        <w:ind w:firstLine="482"/>
      </w:pPr>
      <w:r>
        <w:rPr>
          <w:rFonts w:hint="eastAsia"/>
        </w:rPr>
        <w:t>一、审计报告关注事项</w:t>
      </w:r>
    </w:p>
    <w:p w14:paraId="694F1A9C" w14:textId="77777777" w:rsidR="00E155F1" w:rsidRDefault="00E155F1" w:rsidP="00E155F1">
      <w:pPr>
        <w:pStyle w:val="13"/>
      </w:pPr>
      <w:r>
        <w:rPr>
          <w:rFonts w:hint="eastAsia"/>
        </w:rPr>
        <w:t>标的资产是否提供最近两年经审计的标的资产财务报告。</w:t>
      </w:r>
    </w:p>
    <w:p w14:paraId="1ABCB834" w14:textId="77777777" w:rsidR="00E155F1" w:rsidRDefault="00E155F1" w:rsidP="00E155F1">
      <w:pPr>
        <w:pStyle w:val="13"/>
      </w:pPr>
      <w:r>
        <w:rPr>
          <w:rFonts w:hint="eastAsia"/>
        </w:rPr>
        <w:t>审计机构是否具备证券期货从业资格。</w:t>
      </w:r>
    </w:p>
    <w:p w14:paraId="54F35B16" w14:textId="77777777" w:rsidR="00E155F1" w:rsidRDefault="00E155F1" w:rsidP="00E155F1">
      <w:pPr>
        <w:pStyle w:val="13"/>
      </w:pPr>
      <w:r>
        <w:rPr>
          <w:rFonts w:hint="eastAsia"/>
        </w:rPr>
        <w:t>非标准审计报告：对于有保留意见的审计报告，关注保留事项所造成的影响是否已消除；对以</w:t>
      </w:r>
      <w:proofErr w:type="gramStart"/>
      <w:r>
        <w:rPr>
          <w:rFonts w:hint="eastAsia"/>
        </w:rPr>
        <w:t>带强调</w:t>
      </w:r>
      <w:proofErr w:type="gramEnd"/>
      <w:r>
        <w:rPr>
          <w:rFonts w:hint="eastAsia"/>
        </w:rPr>
        <w:t>事项段的无保留意见的审计报告，关注强调事项可能给上市公司带来的影响。</w:t>
      </w:r>
    </w:p>
    <w:p w14:paraId="16FA3DAD" w14:textId="77777777" w:rsidR="00E155F1" w:rsidRDefault="00E155F1" w:rsidP="00E155F1">
      <w:pPr>
        <w:pStyle w:val="ab"/>
        <w:spacing w:before="62" w:after="62"/>
        <w:ind w:firstLine="482"/>
      </w:pPr>
      <w:r>
        <w:rPr>
          <w:rFonts w:hint="eastAsia"/>
        </w:rPr>
        <w:lastRenderedPageBreak/>
        <w:t>二、利润表关注事项</w:t>
      </w:r>
    </w:p>
    <w:p w14:paraId="191CD1CB" w14:textId="77777777" w:rsidR="00E155F1" w:rsidRDefault="00E155F1" w:rsidP="00E155F1">
      <w:pPr>
        <w:pStyle w:val="13"/>
      </w:pPr>
      <w:r>
        <w:rPr>
          <w:rFonts w:hint="eastAsia"/>
        </w:rPr>
        <w:t>是否对标的资产最近两年收入的稳定性</w:t>
      </w:r>
      <w:proofErr w:type="gramStart"/>
      <w:r>
        <w:rPr>
          <w:rFonts w:hint="eastAsia"/>
        </w:rPr>
        <w:t>作出</w:t>
      </w:r>
      <w:proofErr w:type="gramEnd"/>
      <w:r>
        <w:rPr>
          <w:rFonts w:hint="eastAsia"/>
        </w:rPr>
        <w:t>说明。</w:t>
      </w:r>
    </w:p>
    <w:p w14:paraId="01A91837" w14:textId="77777777" w:rsidR="00E155F1" w:rsidRDefault="00E155F1" w:rsidP="00E155F1">
      <w:pPr>
        <w:pStyle w:val="13"/>
      </w:pPr>
      <w:r>
        <w:rPr>
          <w:rFonts w:hint="eastAsia"/>
        </w:rPr>
        <w:t>是否对标的资产最近两年盈利的稳定性</w:t>
      </w:r>
      <w:proofErr w:type="gramStart"/>
      <w:r>
        <w:rPr>
          <w:rFonts w:hint="eastAsia"/>
        </w:rPr>
        <w:t>作出</w:t>
      </w:r>
      <w:proofErr w:type="gramEnd"/>
      <w:r>
        <w:rPr>
          <w:rFonts w:hint="eastAsia"/>
        </w:rPr>
        <w:t>说明；主营业务税金及所得税项目是否与收入或利润匹配。</w:t>
      </w:r>
    </w:p>
    <w:p w14:paraId="4F12A3B0" w14:textId="77777777" w:rsidR="00E155F1" w:rsidRDefault="00E155F1" w:rsidP="00E155F1">
      <w:pPr>
        <w:pStyle w:val="13"/>
      </w:pPr>
      <w:r>
        <w:rPr>
          <w:rFonts w:hint="eastAsia"/>
        </w:rPr>
        <w:t>标的资产最近两年净利润是否主要依赖非经常性损益；如存在非经常性损益的，</w:t>
      </w:r>
      <w:r>
        <w:t>是否对扣除非经常性损益后净利润的稳定性</w:t>
      </w:r>
      <w:proofErr w:type="gramStart"/>
      <w:r>
        <w:t>作出</w:t>
      </w:r>
      <w:proofErr w:type="gramEnd"/>
      <w:r>
        <w:t>说明、该非经常性损益项目（如财政补贴）是否具备持续性和可实现性</w:t>
      </w:r>
      <w:r>
        <w:rPr>
          <w:rFonts w:hint="eastAsia"/>
        </w:rPr>
        <w:t>。</w:t>
      </w:r>
    </w:p>
    <w:p w14:paraId="191E6923" w14:textId="77777777" w:rsidR="00E155F1" w:rsidRDefault="00E155F1" w:rsidP="00E155F1">
      <w:pPr>
        <w:pStyle w:val="13"/>
      </w:pPr>
      <w:r>
        <w:rPr>
          <w:rFonts w:hint="eastAsia"/>
        </w:rPr>
        <w:t>标的资产最近两年的毛利率与同行业相比是否存在异常；如存在异常，是否</w:t>
      </w:r>
      <w:proofErr w:type="gramStart"/>
      <w:r>
        <w:rPr>
          <w:rFonts w:hint="eastAsia"/>
        </w:rPr>
        <w:t>作出</w:t>
      </w:r>
      <w:proofErr w:type="gramEnd"/>
      <w:r>
        <w:rPr>
          <w:rFonts w:hint="eastAsia"/>
        </w:rPr>
        <w:t>合理解释。</w:t>
      </w:r>
    </w:p>
    <w:p w14:paraId="3EB42C9F" w14:textId="77777777" w:rsidR="00E155F1" w:rsidRDefault="00E155F1" w:rsidP="00E155F1">
      <w:pPr>
        <w:pStyle w:val="13"/>
      </w:pPr>
      <w:r>
        <w:rPr>
          <w:rFonts w:hint="eastAsia"/>
        </w:rPr>
        <w:t>标的资产的产品销售是否严重依赖于重组方或其他关联方；产品销售严重依赖于关联方的，是否对该产品销售价格的合理性</w:t>
      </w:r>
      <w:proofErr w:type="gramStart"/>
      <w:r>
        <w:rPr>
          <w:rFonts w:hint="eastAsia"/>
        </w:rPr>
        <w:t>作出</w:t>
      </w:r>
      <w:proofErr w:type="gramEnd"/>
      <w:r>
        <w:rPr>
          <w:rFonts w:hint="eastAsia"/>
        </w:rPr>
        <w:t>充分论证和说明。</w:t>
      </w:r>
    </w:p>
    <w:p w14:paraId="21209F7D" w14:textId="77777777" w:rsidR="00E155F1" w:rsidRDefault="00E155F1" w:rsidP="00E155F1">
      <w:pPr>
        <w:pStyle w:val="ab"/>
        <w:spacing w:before="62" w:after="62"/>
        <w:ind w:firstLine="482"/>
      </w:pPr>
      <w:r>
        <w:rPr>
          <w:rFonts w:hint="eastAsia"/>
        </w:rPr>
        <w:t>三、资产负债表关注事项</w:t>
      </w:r>
    </w:p>
    <w:p w14:paraId="7B933C13" w14:textId="77777777" w:rsidR="00E155F1" w:rsidRDefault="00E155F1" w:rsidP="00E155F1">
      <w:pPr>
        <w:pStyle w:val="13"/>
      </w:pPr>
      <w:r>
        <w:rPr>
          <w:rFonts w:hint="eastAsia"/>
        </w:rPr>
        <w:t>巨额应收或预付款项是否存在关联方占款情形。</w:t>
      </w:r>
    </w:p>
    <w:p w14:paraId="5A74918C" w14:textId="77777777" w:rsidR="00E155F1" w:rsidRDefault="00E155F1" w:rsidP="00E155F1">
      <w:pPr>
        <w:pStyle w:val="13"/>
      </w:pPr>
      <w:r>
        <w:rPr>
          <w:rFonts w:hint="eastAsia"/>
        </w:rPr>
        <w:t>标的资产是否存在固定资产折旧、坏账准备少提、资产减值少计等情形；如存在，是否对标的资产历史经营业绩造成的影响</w:t>
      </w:r>
      <w:proofErr w:type="gramStart"/>
      <w:r>
        <w:rPr>
          <w:rFonts w:hint="eastAsia"/>
        </w:rPr>
        <w:t>作出</w:t>
      </w:r>
      <w:proofErr w:type="gramEnd"/>
      <w:r>
        <w:rPr>
          <w:rFonts w:hint="eastAsia"/>
        </w:rPr>
        <w:t>说明。</w:t>
      </w:r>
    </w:p>
    <w:p w14:paraId="45009062" w14:textId="77777777" w:rsidR="00E155F1" w:rsidRDefault="00E155F1" w:rsidP="00E155F1">
      <w:pPr>
        <w:pStyle w:val="13"/>
      </w:pPr>
      <w:r>
        <w:rPr>
          <w:rFonts w:hint="eastAsia"/>
        </w:rPr>
        <w:t>短期借款项目是否存在大额到期借款</w:t>
      </w:r>
      <w:proofErr w:type="gramStart"/>
      <w:r>
        <w:rPr>
          <w:rFonts w:hint="eastAsia"/>
        </w:rPr>
        <w:t>未偿</w:t>
      </w:r>
      <w:proofErr w:type="gramEnd"/>
      <w:r>
        <w:rPr>
          <w:rFonts w:hint="eastAsia"/>
        </w:rPr>
        <w:t>还情形，是否导致上市公司面临财务风险。</w:t>
      </w:r>
    </w:p>
    <w:p w14:paraId="41AFE85A" w14:textId="77777777" w:rsidR="00E155F1" w:rsidRDefault="00E155F1" w:rsidP="00E155F1">
      <w:pPr>
        <w:pStyle w:val="ab"/>
        <w:spacing w:before="62" w:after="62"/>
        <w:ind w:firstLine="482"/>
      </w:pPr>
      <w:r>
        <w:rPr>
          <w:rFonts w:hint="eastAsia"/>
        </w:rPr>
        <w:t>四、盈利预测报告关注事项</w:t>
      </w:r>
    </w:p>
    <w:p w14:paraId="14719BFD" w14:textId="77777777" w:rsidR="00E155F1" w:rsidRDefault="00E155F1" w:rsidP="00E155F1">
      <w:pPr>
        <w:pStyle w:val="13"/>
      </w:pPr>
      <w:r>
        <w:rPr>
          <w:rFonts w:hint="eastAsia"/>
        </w:rPr>
        <w:t>假设前提是否合理，是否难以实现预测利润是否包括非经常性损益。</w:t>
      </w:r>
    </w:p>
    <w:p w14:paraId="657A03D6" w14:textId="77777777" w:rsidR="00E155F1" w:rsidRDefault="00E155F1" w:rsidP="00E155F1">
      <w:pPr>
        <w:pStyle w:val="13"/>
      </w:pPr>
      <w:r>
        <w:rPr>
          <w:rFonts w:hint="eastAsia"/>
        </w:rPr>
        <w:t>对未来收入、成本费用的预测是否有充分、合理的分析和依据。</w:t>
      </w:r>
    </w:p>
    <w:p w14:paraId="14F21B29" w14:textId="77777777" w:rsidR="00E155F1" w:rsidRDefault="00E155F1" w:rsidP="00E155F1">
      <w:pPr>
        <w:pStyle w:val="13"/>
      </w:pPr>
      <w:r>
        <w:rPr>
          <w:rFonts w:hint="eastAsia"/>
        </w:rPr>
        <w:t>盈利预测报告中是否存在预测数据与历史经营记录差异较大的情形盈利预测数据与历史经营记录差异较大的，相关解释是否合理。</w:t>
      </w:r>
    </w:p>
    <w:p w14:paraId="2708B562" w14:textId="77777777" w:rsidR="00E155F1" w:rsidRDefault="00E155F1" w:rsidP="00E155F1">
      <w:pPr>
        <w:pStyle w:val="13"/>
      </w:pPr>
      <w:r>
        <w:rPr>
          <w:rFonts w:hint="eastAsia"/>
        </w:rPr>
        <w:t>盈利预测报告中的预测盈利数据与评估报告中（收益法评估）的预测盈利数据及管理</w:t>
      </w:r>
      <w:proofErr w:type="gramStart"/>
      <w:r>
        <w:rPr>
          <w:rFonts w:hint="eastAsia"/>
        </w:rPr>
        <w:t>层讨论</w:t>
      </w:r>
      <w:proofErr w:type="gramEnd"/>
      <w:r>
        <w:rPr>
          <w:rFonts w:hint="eastAsia"/>
        </w:rPr>
        <w:t>与分析中涉及的预测数据是否相符。</w:t>
      </w:r>
    </w:p>
    <w:p w14:paraId="14234101" w14:textId="77777777" w:rsidR="00E155F1" w:rsidRDefault="00E155F1" w:rsidP="00E155F1">
      <w:pPr>
        <w:pStyle w:val="13"/>
      </w:pPr>
      <w:r>
        <w:rPr>
          <w:rFonts w:hint="eastAsia"/>
        </w:rPr>
        <w:t>盈利预测报告、评估报告及管理</w:t>
      </w:r>
      <w:proofErr w:type="gramStart"/>
      <w:r>
        <w:rPr>
          <w:rFonts w:hint="eastAsia"/>
        </w:rPr>
        <w:t>层讨论</w:t>
      </w:r>
      <w:proofErr w:type="gramEnd"/>
      <w:r>
        <w:rPr>
          <w:rFonts w:hint="eastAsia"/>
        </w:rPr>
        <w:t>与分析中对未来的各项假设如不相符，相关解释是否合理。</w:t>
      </w:r>
    </w:p>
    <w:p w14:paraId="27817305" w14:textId="77777777" w:rsidR="00E155F1" w:rsidRDefault="00E155F1" w:rsidP="00E155F1">
      <w:pPr>
        <w:pStyle w:val="ab"/>
        <w:spacing w:before="62" w:after="62"/>
        <w:ind w:firstLine="482"/>
      </w:pPr>
      <w:r>
        <w:rPr>
          <w:rFonts w:hint="eastAsia"/>
        </w:rPr>
        <w:t>五、</w:t>
      </w:r>
      <w:proofErr w:type="gramStart"/>
      <w:r>
        <w:rPr>
          <w:rFonts w:hint="eastAsia"/>
        </w:rPr>
        <w:t>其他关注</w:t>
      </w:r>
      <w:proofErr w:type="gramEnd"/>
      <w:r>
        <w:rPr>
          <w:rFonts w:hint="eastAsia"/>
        </w:rPr>
        <w:t>事项</w:t>
      </w:r>
    </w:p>
    <w:p w14:paraId="2C264E60" w14:textId="77777777" w:rsidR="00E155F1" w:rsidRDefault="00E155F1" w:rsidP="00E155F1">
      <w:pPr>
        <w:pStyle w:val="13"/>
      </w:pPr>
      <w:r>
        <w:rPr>
          <w:rFonts w:hint="eastAsia"/>
        </w:rPr>
        <w:t>资产负债表与损益</w:t>
      </w:r>
      <w:proofErr w:type="gramStart"/>
      <w:r>
        <w:rPr>
          <w:rFonts w:hint="eastAsia"/>
        </w:rPr>
        <w:t>表相关</w:t>
      </w:r>
      <w:proofErr w:type="gramEnd"/>
      <w:r>
        <w:rPr>
          <w:rFonts w:hint="eastAsia"/>
        </w:rPr>
        <w:t>项目及现金流量表之间的勾</w:t>
      </w:r>
      <w:proofErr w:type="gramStart"/>
      <w:r>
        <w:rPr>
          <w:rFonts w:hint="eastAsia"/>
        </w:rPr>
        <w:t>稽</w:t>
      </w:r>
      <w:proofErr w:type="gramEnd"/>
      <w:r>
        <w:rPr>
          <w:rFonts w:hint="eastAsia"/>
        </w:rPr>
        <w:t>关系是否对应；</w:t>
      </w:r>
    </w:p>
    <w:p w14:paraId="54997E42" w14:textId="77777777" w:rsidR="00E155F1" w:rsidRDefault="00E155F1" w:rsidP="00E155F1">
      <w:pPr>
        <w:pStyle w:val="13"/>
      </w:pPr>
      <w:r>
        <w:rPr>
          <w:rFonts w:hint="eastAsia"/>
        </w:rPr>
        <w:t>标的资产涉及的产品交易是否存在公开市场且能够实现正常销售；</w:t>
      </w:r>
    </w:p>
    <w:p w14:paraId="1F8D8B76" w14:textId="77777777" w:rsidR="00E155F1" w:rsidRDefault="00E155F1" w:rsidP="00E155F1">
      <w:pPr>
        <w:pStyle w:val="13"/>
      </w:pPr>
      <w:r>
        <w:rPr>
          <w:rFonts w:hint="eastAsia"/>
        </w:rPr>
        <w:t>标的资产涉及的产品或业务是否受到合同、协议或相关安排约束，如特许经营权、特种行业经营许可等，具有不确定性；</w:t>
      </w:r>
    </w:p>
    <w:p w14:paraId="142BED69" w14:textId="77777777" w:rsidR="00E155F1" w:rsidRDefault="00E155F1" w:rsidP="00E155F1">
      <w:pPr>
        <w:pStyle w:val="13"/>
      </w:pPr>
      <w:r>
        <w:rPr>
          <w:rFonts w:hint="eastAsia"/>
        </w:rPr>
        <w:t>会计政策与会计估计是否与上市公司一致；标的资产是否存在重组前调整会计政策、变更会计估计或者更正前期差错情形；如存在，相关调整、变更或者更正是否</w:t>
      </w:r>
      <w:r>
        <w:rPr>
          <w:rFonts w:hint="eastAsia"/>
        </w:rPr>
        <w:lastRenderedPageBreak/>
        <w:t>符合《企业会计准则》第</w:t>
      </w:r>
      <w:r>
        <w:t>28号的规定，</w:t>
      </w:r>
      <w:proofErr w:type="gramStart"/>
      <w:r>
        <w:t>且是否</w:t>
      </w:r>
      <w:proofErr w:type="gramEnd"/>
      <w:r>
        <w:t>对标的资产历史经营业绩产生的影响</w:t>
      </w:r>
      <w:proofErr w:type="gramStart"/>
      <w:r>
        <w:t>作出</w:t>
      </w:r>
      <w:proofErr w:type="gramEnd"/>
      <w:r>
        <w:t>说明</w:t>
      </w:r>
      <w:r>
        <w:rPr>
          <w:rFonts w:hint="eastAsia"/>
        </w:rPr>
        <w:t>；</w:t>
      </w:r>
    </w:p>
    <w:p w14:paraId="743F89D1" w14:textId="77777777" w:rsidR="00E155F1" w:rsidRDefault="00E155F1" w:rsidP="00E155F1">
      <w:pPr>
        <w:pStyle w:val="13"/>
      </w:pPr>
      <w:r>
        <w:rPr>
          <w:rFonts w:hint="eastAsia"/>
        </w:rPr>
        <w:t>该项资产或业务是否在同一管理层下运营两年以上；该项资产或业务注入上市公司后，上市公司是否能够对其进行有效管理；</w:t>
      </w:r>
    </w:p>
    <w:p w14:paraId="44970B5D" w14:textId="77777777" w:rsidR="00E155F1" w:rsidRDefault="00E155F1" w:rsidP="00E155F1">
      <w:pPr>
        <w:pStyle w:val="13"/>
      </w:pPr>
      <w:r>
        <w:rPr>
          <w:rFonts w:hint="eastAsia"/>
        </w:rPr>
        <w:t>标的资产在过去两年内是否曾进行剥离改制；如存在，是否对标的资产的业务剥离、资产与负债剥离以及收入与成本剥离的合理性</w:t>
      </w:r>
      <w:proofErr w:type="gramStart"/>
      <w:r>
        <w:rPr>
          <w:rFonts w:hint="eastAsia"/>
        </w:rPr>
        <w:t>作出</w:t>
      </w:r>
      <w:proofErr w:type="gramEnd"/>
      <w:r>
        <w:rPr>
          <w:rFonts w:hint="eastAsia"/>
        </w:rPr>
        <w:t>论证和说明；</w:t>
      </w:r>
    </w:p>
    <w:p w14:paraId="719BD31D" w14:textId="77777777" w:rsidR="00E155F1" w:rsidRDefault="00E155F1" w:rsidP="00E155F1">
      <w:pPr>
        <w:pStyle w:val="13"/>
      </w:pPr>
      <w:r>
        <w:rPr>
          <w:rFonts w:hint="eastAsia"/>
        </w:rPr>
        <w:t>补偿措施是否合理可行：</w:t>
      </w:r>
    </w:p>
    <w:p w14:paraId="01FEE1B2" w14:textId="77777777" w:rsidR="00E155F1" w:rsidRDefault="00E155F1" w:rsidP="00E155F1">
      <w:pPr>
        <w:pStyle w:val="13"/>
      </w:pPr>
      <w:r>
        <w:t>a. 是否已根据《上市公司重大资产重组管理办法》的要求签订了切实可行的补偿协议，补偿方式是否符合要求（现金补偿方式或股份补偿方式）</w:t>
      </w:r>
      <w:r>
        <w:rPr>
          <w:rFonts w:hint="eastAsia"/>
        </w:rPr>
        <w:t>。</w:t>
      </w:r>
    </w:p>
    <w:p w14:paraId="2A251B58" w14:textId="77777777" w:rsidR="00E155F1" w:rsidRDefault="00E155F1" w:rsidP="00E155F1">
      <w:pPr>
        <w:pStyle w:val="13"/>
      </w:pPr>
      <w:r>
        <w:t>b. 股份补偿协议是否包含了资产减值测试的相关内容，包括减值测试的具体方式是否可行，以及补偿金额计算是否准确等</w:t>
      </w:r>
      <w:r>
        <w:rPr>
          <w:rFonts w:hint="eastAsia"/>
        </w:rPr>
        <w:t>。</w:t>
      </w:r>
    </w:p>
    <w:p w14:paraId="6C96C2DB" w14:textId="77777777" w:rsidR="00E155F1" w:rsidRDefault="00E155F1" w:rsidP="00E155F1">
      <w:pPr>
        <w:pStyle w:val="ab"/>
        <w:spacing w:before="62" w:after="62"/>
        <w:ind w:firstLine="482"/>
      </w:pPr>
      <w:r>
        <w:rPr>
          <w:rFonts w:hint="eastAsia"/>
        </w:rPr>
        <w:t>关注三：资产权属及完整性</w:t>
      </w:r>
    </w:p>
    <w:p w14:paraId="6EBE2BC4" w14:textId="77777777" w:rsidR="00E155F1" w:rsidRDefault="00E155F1" w:rsidP="00E155F1">
      <w:pPr>
        <w:pStyle w:val="ab"/>
        <w:spacing w:before="62" w:after="62"/>
        <w:ind w:firstLine="482"/>
      </w:pPr>
      <w:r>
        <w:rPr>
          <w:rFonts w:hint="eastAsia"/>
        </w:rPr>
        <w:t>一、标的资产是否已取得相应权证</w:t>
      </w:r>
    </w:p>
    <w:p w14:paraId="10A1E0BD" w14:textId="77777777" w:rsidR="00E155F1" w:rsidRDefault="00E155F1" w:rsidP="00E155F1">
      <w:pPr>
        <w:pStyle w:val="13"/>
      </w:pPr>
      <w:r>
        <w:rPr>
          <w:rFonts w:hint="eastAsia"/>
        </w:rPr>
        <w:t>（一）标的资产的权证办理情况是否已分类详细披露</w:t>
      </w:r>
    </w:p>
    <w:p w14:paraId="2D3760BE" w14:textId="77777777" w:rsidR="00E155F1" w:rsidRDefault="00E155F1" w:rsidP="00E155F1">
      <w:pPr>
        <w:pStyle w:val="13"/>
      </w:pPr>
      <w:r>
        <w:rPr>
          <w:rFonts w:hint="eastAsia"/>
        </w:rPr>
        <w:t>（二）对于采矿权证、探矿权证、特许经营许可证、药品食品注册证、商标权</w:t>
      </w:r>
      <w:r>
        <w:t>证、专利权证等其他相应权属或资质证书的办理情况，比照土地使用权、房屋建筑物权证的关注要点把握</w:t>
      </w:r>
    </w:p>
    <w:p w14:paraId="408727B3" w14:textId="77777777" w:rsidR="00E155F1" w:rsidRDefault="00E155F1" w:rsidP="00E155F1">
      <w:pPr>
        <w:pStyle w:val="13"/>
      </w:pPr>
      <w:r>
        <w:rPr>
          <w:rFonts w:hint="eastAsia"/>
        </w:rPr>
        <w:t>（三）对于土地使用权、房屋建筑物未取得相应权证的，关注以下事项</w:t>
      </w:r>
    </w:p>
    <w:p w14:paraId="1C0ACD3B" w14:textId="77777777" w:rsidR="00E155F1" w:rsidRDefault="00E155F1" w:rsidP="00E155F1">
      <w:pPr>
        <w:pStyle w:val="13"/>
      </w:pPr>
      <w:r>
        <w:rPr>
          <w:rFonts w:hint="eastAsia"/>
        </w:rPr>
        <w:t>申请人是否补充披露尚未取得相应权证资产对应的面积、评估价值、分类比例，</w:t>
      </w:r>
      <w:r>
        <w:t>相应权证办理的进展情况，预计办毕期限，相关费用承担方式，以及对本次交易和上市公司的具体影响等</w:t>
      </w:r>
      <w:r>
        <w:rPr>
          <w:rFonts w:hint="eastAsia"/>
        </w:rPr>
        <w:t>；</w:t>
      </w:r>
    </w:p>
    <w:p w14:paraId="657003AF" w14:textId="77777777" w:rsidR="00E155F1" w:rsidRDefault="00E155F1" w:rsidP="00E155F1">
      <w:pPr>
        <w:pStyle w:val="13"/>
      </w:pPr>
      <w:r>
        <w:rPr>
          <w:rFonts w:hint="eastAsia"/>
        </w:rPr>
        <w:t>在明确办理权证的计划安排和时间表的基础上，关注是否提供了相应层级土地、房屋管理部门出具的办理权证无障碍的证明。如办理权证存在法律障碍或存在不能如期办毕的风险，是否提出相应切实可行的解决措施（例如，由重组交易对方承诺，如到期未办毕，则以现金方式向上市公司补偿相应的评估价值，或者对上市公司进行赔偿，赔偿范围包括但不限于上市公司因该等事项承担任何民事、行政及刑事责任而引起的全部经济损失）；</w:t>
      </w:r>
    </w:p>
    <w:p w14:paraId="154A33B5" w14:textId="77777777" w:rsidR="00E155F1" w:rsidRDefault="00E155F1" w:rsidP="00E155F1">
      <w:pPr>
        <w:pStyle w:val="13"/>
      </w:pPr>
      <w:r>
        <w:rPr>
          <w:rFonts w:hint="eastAsia"/>
        </w:rPr>
        <w:t>本次交易标的资产评估及作价是否已充分考虑前述瑕疵情况，如未考虑，是否已提出切实可行的价值保障措施；</w:t>
      </w:r>
    </w:p>
    <w:p w14:paraId="5AAE6624" w14:textId="77777777" w:rsidR="00E155F1" w:rsidRDefault="00E155F1" w:rsidP="00E155F1">
      <w:pPr>
        <w:pStyle w:val="13"/>
      </w:pPr>
      <w:r>
        <w:rPr>
          <w:rFonts w:hint="eastAsia"/>
        </w:rPr>
        <w:t>律师和独立财务顾问是否对前述问题进行核查并</w:t>
      </w:r>
      <w:proofErr w:type="gramStart"/>
      <w:r>
        <w:rPr>
          <w:rFonts w:hint="eastAsia"/>
        </w:rPr>
        <w:t>明确发表</w:t>
      </w:r>
      <w:proofErr w:type="gramEnd"/>
      <w:r>
        <w:rPr>
          <w:rFonts w:hint="eastAsia"/>
        </w:rPr>
        <w:t>专业意见，包括但不限于该等情形是否对本次交易作价产生重大影响，是否对交易进展构成障碍、申请人提出的解决措施是否有效可行。</w:t>
      </w:r>
    </w:p>
    <w:p w14:paraId="6F91668A" w14:textId="77777777" w:rsidR="00E155F1" w:rsidRDefault="00E155F1" w:rsidP="00E155F1">
      <w:pPr>
        <w:pStyle w:val="ab"/>
        <w:spacing w:before="62" w:after="62"/>
        <w:ind w:firstLine="482"/>
      </w:pPr>
      <w:r>
        <w:rPr>
          <w:rFonts w:hint="eastAsia"/>
        </w:rPr>
        <w:lastRenderedPageBreak/>
        <w:t>二、标的资产是否存在争议或限制</w:t>
      </w:r>
    </w:p>
    <w:p w14:paraId="3817B8D0" w14:textId="77777777" w:rsidR="00E155F1" w:rsidRDefault="00E155F1" w:rsidP="00E155F1">
      <w:pPr>
        <w:pStyle w:val="13"/>
      </w:pPr>
      <w:r>
        <w:t>1、标的资产（包括标的公司股权及标的公司持有的主要资产）权属存在抵押、质押等担保权利限制或相关权利人未放弃优先购买权等情形的，申请人是否逐项披露标的资产消除权利限制状态等或放弃优先购买权等办理进展情况及预计办毕期限，是否列明担保责任到期及解除的日期和具体方式。针对不能按期办妥的风险，是否已充分说明其影响，</w:t>
      </w:r>
      <w:proofErr w:type="gramStart"/>
      <w:r>
        <w:t>作出</w:t>
      </w:r>
      <w:proofErr w:type="gramEnd"/>
      <w:r>
        <w:t>充分的风险提示，提出切实可行的解决措施。标的资产作为担保物对应的债务金额较大的，关注是否已充分分析说明相关债务人的偿债能力，证明其具有较强的偿债能力和良好的债务履行记录，不会因为担保事项导致上市公司重组</w:t>
      </w:r>
      <w:r>
        <w:rPr>
          <w:rFonts w:hint="eastAsia"/>
        </w:rPr>
        <w:t>后的资产权属存在重大不确定性。独立财务顾问和律师是否对此进行充分核查并发表明确的专业意见。</w:t>
      </w:r>
    </w:p>
    <w:p w14:paraId="0119E6FF" w14:textId="77777777" w:rsidR="00E155F1" w:rsidRDefault="00E155F1" w:rsidP="00E155F1">
      <w:pPr>
        <w:pStyle w:val="13"/>
      </w:pPr>
      <w:r>
        <w:t>2、标的资产涉及被行政处罚的，应披露处罚的具体事由、处罚进展或结果，分析其对上市公司的影响。律师和独立财务顾问是否就该等处罚对本次交易的影响发表明确意见。涉及诉讼、仲裁、司法强制执行或其他争议的，比照办理</w:t>
      </w:r>
      <w:r>
        <w:rPr>
          <w:rFonts w:hint="eastAsia"/>
        </w:rPr>
        <w:t>。</w:t>
      </w:r>
    </w:p>
    <w:p w14:paraId="59BF7989" w14:textId="77777777" w:rsidR="00E155F1" w:rsidRDefault="00E155F1" w:rsidP="00E155F1">
      <w:pPr>
        <w:pStyle w:val="ab"/>
        <w:spacing w:before="62" w:after="62"/>
        <w:ind w:firstLine="482"/>
      </w:pPr>
      <w:r>
        <w:rPr>
          <w:rFonts w:hint="eastAsia"/>
        </w:rPr>
        <w:t>三、标的资产的完整性情况是否充分披露</w:t>
      </w:r>
    </w:p>
    <w:p w14:paraId="21A65FC1" w14:textId="77777777" w:rsidR="00E155F1" w:rsidRDefault="00E155F1" w:rsidP="00E155F1">
      <w:pPr>
        <w:pStyle w:val="13"/>
      </w:pPr>
      <w:r>
        <w:t>1、上市公司拟购买（或出售）的资产涉及完整经营实体的，关注相关资产是否将整体注入（或置出）上市公司。除有形资产外，相关资产是否包括生产经营所需的商标权、专利权、非专利技术、特许经营权等无形资产。如包括，是否详细披露权属变动的具体安排和风险；如未包括，是否需要向关联方支付（或收取）无形资产使用</w:t>
      </w:r>
      <w:r>
        <w:rPr>
          <w:rFonts w:hint="eastAsia"/>
        </w:rPr>
        <w:t>费，如何确定金额和支付方式。</w:t>
      </w:r>
    </w:p>
    <w:p w14:paraId="06B42C09" w14:textId="77777777" w:rsidR="00E155F1" w:rsidRDefault="00E155F1" w:rsidP="00E155F1">
      <w:pPr>
        <w:pStyle w:val="13"/>
      </w:pPr>
      <w:r>
        <w:t>2、涉及完整经营实体中部分资产注入上市公司的，关注重组完成后上市公司能否</w:t>
      </w:r>
      <w:r>
        <w:rPr>
          <w:rFonts w:hint="eastAsia"/>
        </w:rPr>
        <w:t>（如何）实际控制标的资产，相关资产在研发、采购、生产、销售和知识产权等方面能否保持必要的独立性。</w:t>
      </w:r>
    </w:p>
    <w:p w14:paraId="4909FC3B" w14:textId="77777777" w:rsidR="00E155F1" w:rsidRDefault="00E155F1" w:rsidP="00E155F1">
      <w:pPr>
        <w:pStyle w:val="13"/>
      </w:pPr>
      <w:r>
        <w:t>3、标的资产涉及使用他人商标、专利或专有技术的，关注是否已披露相关许可协议的主要内容，是否充分说明本次重组对上述许可协议效力的影响，该等商标、专利及技术对上市公司持续经营影响。关注是否结合许可协议的具体内容以及商标、专利和技术使用的实际情况，就许可的范围、使用的稳定性、协议安排的合理性等进行说明。如果商标权有效期已经或临近届满，关注是否说明期限届满后的权利延展安排以及对标的资产可能产生的不利影响</w:t>
      </w:r>
      <w:r>
        <w:rPr>
          <w:rFonts w:hint="eastAsia"/>
        </w:rPr>
        <w:t>。</w:t>
      </w:r>
    </w:p>
    <w:p w14:paraId="1F1E4EA9" w14:textId="77777777" w:rsidR="00E155F1" w:rsidRDefault="00E155F1" w:rsidP="00E155F1">
      <w:pPr>
        <w:pStyle w:val="13"/>
      </w:pPr>
      <w:r>
        <w:t>4、独立财务顾问和律师是否已审慎核查上述问题，并发表明确的专业意见四、其他问题</w:t>
      </w:r>
      <w:r>
        <w:rPr>
          <w:rFonts w:hint="eastAsia"/>
        </w:rPr>
        <w:t>。</w:t>
      </w:r>
    </w:p>
    <w:p w14:paraId="68BC5A19" w14:textId="77777777" w:rsidR="00E155F1" w:rsidRDefault="00E155F1" w:rsidP="00E155F1">
      <w:pPr>
        <w:pStyle w:val="13"/>
      </w:pPr>
      <w:r>
        <w:rPr>
          <w:rFonts w:hint="eastAsia"/>
        </w:rPr>
        <w:t>（一）土地使用权问题</w:t>
      </w:r>
    </w:p>
    <w:p w14:paraId="1CD94D79" w14:textId="77777777" w:rsidR="00E155F1" w:rsidRDefault="00E155F1" w:rsidP="00E155F1">
      <w:pPr>
        <w:pStyle w:val="13"/>
      </w:pPr>
      <w:r>
        <w:rPr>
          <w:rFonts w:hint="eastAsia"/>
        </w:rPr>
        <w:t>拟注入上市公司的标的资产是否涉及现行法规或政策限制或禁止交易的划拨用地或农业用地（标的公司为特殊农业公司的除外）。极特殊情况</w:t>
      </w:r>
      <w:proofErr w:type="gramStart"/>
      <w:r>
        <w:rPr>
          <w:rFonts w:hint="eastAsia"/>
        </w:rPr>
        <w:t>下涉及</w:t>
      </w:r>
      <w:proofErr w:type="gramEnd"/>
      <w:r>
        <w:rPr>
          <w:rFonts w:hint="eastAsia"/>
        </w:rPr>
        <w:t>划拨用地注入上市公司的，关注申请人是否已结合《国务院关于促进节约集约用地的通知》（国发</w:t>
      </w:r>
      <w:r>
        <w:rPr>
          <w:rFonts w:hint="eastAsia"/>
        </w:rPr>
        <w:lastRenderedPageBreak/>
        <w:t>〔</w:t>
      </w:r>
      <w:r>
        <w:t>2008〕3号）及其他划拨用地政策，明确说明拟采取划拨方式取得国有土地使用权的相关资产注入上市公司是否违反相关规定；如涉嫌违反，是否已采取必要措施进行纠正，并说明由此形成的相关费用的承担方式及对评估值的影响</w:t>
      </w:r>
      <w:r>
        <w:rPr>
          <w:rFonts w:hint="eastAsia"/>
        </w:rPr>
        <w:t>。</w:t>
      </w:r>
    </w:p>
    <w:p w14:paraId="577DCD02" w14:textId="77777777" w:rsidR="00E155F1" w:rsidRDefault="00E155F1" w:rsidP="00E155F1">
      <w:pPr>
        <w:pStyle w:val="13"/>
      </w:pPr>
      <w:r>
        <w:rPr>
          <w:rFonts w:hint="eastAsia"/>
        </w:rPr>
        <w:t>拟注入标的资产涉及农用地转用征收的，是否说明征用农地已取得了相关有权部门的批准，相关程序是否完备有效，相关补偿费用是否已经依法支付，是否存在重大争议及未决事项。同时，对于农业用地的后续审批申请，是否充分说明政策风险和其他重大不确定性因素，是否已采取切实可行的措施避免前述风险影响重组后上市公司的正常生产经营。</w:t>
      </w:r>
    </w:p>
    <w:p w14:paraId="102EAC75" w14:textId="77777777" w:rsidR="00E155F1" w:rsidRDefault="00E155F1" w:rsidP="00E155F1">
      <w:pPr>
        <w:pStyle w:val="13"/>
      </w:pPr>
      <w:r>
        <w:rPr>
          <w:rFonts w:hint="eastAsia"/>
        </w:rPr>
        <w:t>拟注入标的资产涉及土地授权经营的，是否已提供有权土地管理部门对授权经营土地的授权或批准文件，以及对本次交易相关的土地处置方案的批准文件；如尚未取得有关权利或批准文件，是否充分披露该等情况对本次交易及上市公司的影响。</w:t>
      </w:r>
    </w:p>
    <w:p w14:paraId="699AB91A" w14:textId="77777777" w:rsidR="00E155F1" w:rsidRDefault="00E155F1" w:rsidP="00E155F1">
      <w:pPr>
        <w:pStyle w:val="13"/>
      </w:pPr>
      <w:r>
        <w:rPr>
          <w:rFonts w:hint="eastAsia"/>
        </w:rPr>
        <w:t>拟注入标的资产涉及的土地可能涉及规划调整或变更的，关注是否已明确披露存在变更土地用途的规划或可能性，是否已明确由此产生的土地收益或相关费用的归属或承担方式。</w:t>
      </w:r>
    </w:p>
    <w:p w14:paraId="6FBC07EA" w14:textId="77777777" w:rsidR="00E155F1" w:rsidRDefault="00E155F1" w:rsidP="00E155F1">
      <w:pPr>
        <w:pStyle w:val="13"/>
      </w:pPr>
      <w:r>
        <w:rPr>
          <w:rFonts w:hint="eastAsia"/>
        </w:rPr>
        <w:t>（二）标的资产涉及项目审批或特许经营的</w:t>
      </w:r>
    </w:p>
    <w:p w14:paraId="1B88844F" w14:textId="77777777" w:rsidR="00E155F1" w:rsidRDefault="00E155F1" w:rsidP="00E155F1">
      <w:pPr>
        <w:pStyle w:val="13"/>
      </w:pPr>
      <w:r>
        <w:rPr>
          <w:rFonts w:hint="eastAsia"/>
        </w:rPr>
        <w:t>拟注入上市公司的标的资产（项目公司本身）涉及立项、环保、用地、规划、施工建设、行业准入、外资管理、反垄断等有关报批事项的，是否已充分披露办理的许可证书或相关主管部门的批复文件。</w:t>
      </w:r>
    </w:p>
    <w:p w14:paraId="5F489E8B" w14:textId="77777777" w:rsidR="00E155F1" w:rsidRDefault="00E155F1" w:rsidP="00E155F1">
      <w:pPr>
        <w:pStyle w:val="13"/>
      </w:pPr>
      <w:r>
        <w:rPr>
          <w:rFonts w:hint="eastAsia"/>
        </w:rPr>
        <w:t>标的资产业务涉及特许经营的，关注是否充分说明特许经营授权具有的排他性、不可撤销性等特殊属性，是否充分解释特许协议约定的相关计算公式、相关参数的变更方式及其具体影响等。特许经营事项需要相关主管部门确认或批准的，关注是否已提供相应的确认或批准意见。特许经营事项已有经营记录的，关注以往开展经营是否获得了相关主管部门批准的经营许可资质，是否已履行了必要的登记或备案等法律手续，是否按期足额缴纳各种资费等（提供相应证明文件）。独立财务顾问和律师是否核查上述问题并发表明确的专业意见。</w:t>
      </w:r>
    </w:p>
    <w:p w14:paraId="7FF71E26" w14:textId="77777777" w:rsidR="00E155F1" w:rsidRDefault="00E155F1" w:rsidP="00E155F1">
      <w:pPr>
        <w:pStyle w:val="13"/>
      </w:pPr>
      <w:r>
        <w:rPr>
          <w:rFonts w:hint="eastAsia"/>
        </w:rPr>
        <w:t>（三）标的资产涉及税务事项的</w:t>
      </w:r>
    </w:p>
    <w:p w14:paraId="464C87F9" w14:textId="77777777" w:rsidR="00E155F1" w:rsidRDefault="00E155F1" w:rsidP="00E155F1">
      <w:pPr>
        <w:pStyle w:val="13"/>
      </w:pPr>
      <w:r>
        <w:rPr>
          <w:rFonts w:hint="eastAsia"/>
        </w:rPr>
        <w:t>对拟注入上市公司的标的公司及标的资产，关注律师和独立财务顾问是否已充分核查其以往合理期间内的纳税合</w:t>
      </w:r>
      <w:proofErr w:type="gramStart"/>
      <w:r>
        <w:rPr>
          <w:rFonts w:hint="eastAsia"/>
        </w:rPr>
        <w:t>规</w:t>
      </w:r>
      <w:proofErr w:type="gramEnd"/>
      <w:r>
        <w:rPr>
          <w:rFonts w:hint="eastAsia"/>
        </w:rPr>
        <w:t>情况并发表明确专业意见，是否已提供相关税务部门关于公司纳税合</w:t>
      </w:r>
      <w:proofErr w:type="gramStart"/>
      <w:r>
        <w:rPr>
          <w:rFonts w:hint="eastAsia"/>
        </w:rPr>
        <w:t>规</w:t>
      </w:r>
      <w:proofErr w:type="gramEnd"/>
      <w:r>
        <w:rPr>
          <w:rFonts w:hint="eastAsia"/>
        </w:rPr>
        <w:t>情况的证明文件。</w:t>
      </w:r>
    </w:p>
    <w:p w14:paraId="01093227" w14:textId="77777777" w:rsidR="00E155F1" w:rsidRDefault="00E155F1" w:rsidP="00E155F1">
      <w:pPr>
        <w:pStyle w:val="13"/>
      </w:pPr>
      <w:r>
        <w:rPr>
          <w:rFonts w:hint="eastAsia"/>
        </w:rPr>
        <w:t>拟注入上市公司的资产存在盈利严重依赖税收返还、税收优惠情况的，关注是否充分说明相关税收返还或优惠的依据以及税收政策的持续性和影响。</w:t>
      </w:r>
    </w:p>
    <w:p w14:paraId="58D5BBB6" w14:textId="77777777" w:rsidR="00E155F1" w:rsidRDefault="00E155F1" w:rsidP="00E155F1">
      <w:pPr>
        <w:pStyle w:val="13"/>
      </w:pPr>
      <w:r>
        <w:rPr>
          <w:rFonts w:hint="eastAsia"/>
        </w:rPr>
        <w:t>对于拟注入上市公司的土地使用权，关注是否说明已按国家现行标准足额缴纳土地出让税费。</w:t>
      </w:r>
    </w:p>
    <w:p w14:paraId="1A8F2224" w14:textId="77777777" w:rsidR="00E155F1" w:rsidRDefault="00E155F1" w:rsidP="00E155F1">
      <w:pPr>
        <w:pStyle w:val="13"/>
        <w:ind w:firstLineChars="300" w:firstLine="720"/>
      </w:pPr>
      <w:r>
        <w:rPr>
          <w:rFonts w:hint="eastAsia"/>
        </w:rPr>
        <w:t>拟注入资产为资源类企业股权的，关注是否充分说明资源税政策对标的资产</w:t>
      </w:r>
      <w:r>
        <w:rPr>
          <w:rFonts w:hint="eastAsia"/>
        </w:rPr>
        <w:lastRenderedPageBreak/>
        <w:t>未来盈利能力及评估作价的影响。</w:t>
      </w:r>
    </w:p>
    <w:p w14:paraId="001D8909" w14:textId="77777777" w:rsidR="00E155F1" w:rsidRDefault="00E155F1" w:rsidP="00E155F1">
      <w:pPr>
        <w:pStyle w:val="13"/>
      </w:pPr>
      <w:r>
        <w:rPr>
          <w:rFonts w:hint="eastAsia"/>
        </w:rPr>
        <w:t>资产交易产生较大税负的，关注是否说明相关税负的具体金额、交易各方如何分担，以及对上市公司未来业绩的影响。</w:t>
      </w:r>
    </w:p>
    <w:p w14:paraId="081EDC77" w14:textId="77777777" w:rsidR="00E155F1" w:rsidRDefault="00E155F1" w:rsidP="00E155F1">
      <w:pPr>
        <w:pStyle w:val="ab"/>
        <w:spacing w:before="62" w:after="62"/>
        <w:ind w:firstLine="482"/>
      </w:pPr>
      <w:r>
        <w:rPr>
          <w:rFonts w:hint="eastAsia"/>
        </w:rPr>
        <w:t>关注四：同业竞争</w:t>
      </w:r>
    </w:p>
    <w:p w14:paraId="22FC6B92" w14:textId="77777777" w:rsidR="00E155F1" w:rsidRDefault="00E155F1" w:rsidP="00E155F1">
      <w:pPr>
        <w:pStyle w:val="ab"/>
        <w:spacing w:before="62" w:after="62"/>
        <w:ind w:firstLine="482"/>
      </w:pPr>
      <w:r>
        <w:rPr>
          <w:rFonts w:hint="eastAsia"/>
        </w:rPr>
        <w:t>一、竞争性业务的披露范围</w:t>
      </w:r>
    </w:p>
    <w:p w14:paraId="48B77395" w14:textId="77777777" w:rsidR="00E155F1" w:rsidRDefault="00E155F1" w:rsidP="00E155F1">
      <w:pPr>
        <w:pStyle w:val="13"/>
      </w:pPr>
      <w:r>
        <w:t>1、是否已详细披露收购交易中的收购人（包括豁免要约收购申请人）、收购人的实际控制人及该实际控制人的下属企业（或重组交易中的交易对方、交易对方的实际控制人及该实际控制人的下属企业）</w:t>
      </w:r>
      <w:r>
        <w:rPr>
          <w:rFonts w:hint="eastAsia"/>
        </w:rPr>
        <w:t>。</w:t>
      </w:r>
    </w:p>
    <w:p w14:paraId="40D9E485" w14:textId="77777777" w:rsidR="00E155F1" w:rsidRDefault="00E155F1" w:rsidP="00E155F1">
      <w:pPr>
        <w:pStyle w:val="13"/>
      </w:pPr>
      <w:r>
        <w:t>2、是否已结合上述企业的财务报告及主营业务构成等相关数据，详细披露其与上市公司的经营和业务关系，并就是否存在现实或潜在的同业竞争（包括但不限于双方在可触及的市场区域内生产或销售同类或可替代的商品，或者提供同类或可替代的服务，或者争夺同类的商业机会、客户对象和其他生产经营核心资源）进行说明和确认</w:t>
      </w:r>
      <w:r>
        <w:rPr>
          <w:rFonts w:hint="eastAsia"/>
        </w:rPr>
        <w:t>。</w:t>
      </w:r>
    </w:p>
    <w:p w14:paraId="0220AC1F" w14:textId="77777777" w:rsidR="00E155F1" w:rsidRPr="00E75AF8" w:rsidRDefault="00E155F1" w:rsidP="00E155F1">
      <w:pPr>
        <w:pStyle w:val="13"/>
      </w:pPr>
      <w:r w:rsidRPr="00E75AF8">
        <w:t>3、独立财务顾问和律师是否对上述问题进行核查并发表清晰、明确的专业意见。</w:t>
      </w:r>
    </w:p>
    <w:p w14:paraId="3A77C0A8" w14:textId="77777777" w:rsidR="00E155F1" w:rsidRPr="00E75AF8" w:rsidRDefault="00E155F1" w:rsidP="00E155F1">
      <w:pPr>
        <w:pStyle w:val="ab"/>
        <w:spacing w:before="62" w:after="62"/>
        <w:ind w:firstLine="482"/>
      </w:pPr>
      <w:r w:rsidRPr="00E75AF8">
        <w:rPr>
          <w:rStyle w:val="ac"/>
          <w:b/>
          <w:bCs/>
        </w:rPr>
        <w:t>二、报告书披露不存在现实同业竞争的</w:t>
      </w:r>
    </w:p>
    <w:p w14:paraId="1F26CAFF" w14:textId="77777777" w:rsidR="00E155F1" w:rsidRDefault="00E155F1" w:rsidP="00E155F1">
      <w:pPr>
        <w:pStyle w:val="13"/>
      </w:pPr>
      <w:r>
        <w:t>1、经披露或核查确认不存在现实同业竞争的，关注收购人或重组交易对方及其实际控制人是否进一步对避免潜在的同业竞争</w:t>
      </w:r>
      <w:proofErr w:type="gramStart"/>
      <w:r>
        <w:t>作出</w:t>
      </w:r>
      <w:proofErr w:type="gramEnd"/>
      <w:r>
        <w:t>明确承诺，承诺交易完成后收购人、收购人的实际控制人及该实际控制人的下属企业（或重组交易对方、交易对方的实际控制人及该实际控制人的下属企业）与上市公司不存在同业竞争情形，并放弃将来可能与上市公司产生同业竞争及利益冲突的业务或活动。重点关注对不存在现实或潜在同业竞争（利益冲突）关系的解释说明是否充分、确切，普通投资者能否据此判断相关企业与上市公司在业务发展方面的划分定位、判断相关承诺是否限制上市公司</w:t>
      </w:r>
      <w:r>
        <w:rPr>
          <w:rFonts w:hint="eastAsia"/>
        </w:rPr>
        <w:t>的正常商业机会</w:t>
      </w:r>
    </w:p>
    <w:p w14:paraId="2E465A93" w14:textId="77777777" w:rsidR="00E155F1" w:rsidRDefault="00E155F1" w:rsidP="00E155F1">
      <w:pPr>
        <w:pStyle w:val="13"/>
      </w:pPr>
      <w:r>
        <w:t>2、独立财务顾问和律师是否对上述问题进行核查并发表清晰、明确的专业意见</w:t>
      </w:r>
      <w:r>
        <w:rPr>
          <w:rFonts w:hint="eastAsia"/>
        </w:rPr>
        <w:t>。</w:t>
      </w:r>
    </w:p>
    <w:p w14:paraId="5C0D8D3F" w14:textId="77777777" w:rsidR="00E155F1" w:rsidRDefault="00E155F1" w:rsidP="00E155F1">
      <w:pPr>
        <w:pStyle w:val="ab"/>
        <w:spacing w:before="62" w:after="62"/>
        <w:ind w:firstLine="482"/>
      </w:pPr>
      <w:r>
        <w:t>三、报告书披露存在同业竞争的</w:t>
      </w:r>
    </w:p>
    <w:p w14:paraId="0EF08D8B" w14:textId="77777777" w:rsidR="00E155F1" w:rsidRDefault="00E155F1" w:rsidP="00E155F1">
      <w:pPr>
        <w:pStyle w:val="13"/>
      </w:pPr>
      <w:r>
        <w:t>1、经披露或核查确认存在现实的同业竞争的，关注相关各方是否就解决现实的同业竞争及避免潜在同业竞争问题</w:t>
      </w:r>
      <w:proofErr w:type="gramStart"/>
      <w:r>
        <w:t>作出</w:t>
      </w:r>
      <w:proofErr w:type="gramEnd"/>
      <w:r>
        <w:t>明确承诺和安排，包括但不限于解决同业竞争的具体措施、时限、进度与保障，是否对此进行了及时披露。重点关注解决同业竞争的时间进度安排是否妥当、采取特定措施的理由是否充分，具体措施是否详尽、具有操</w:t>
      </w:r>
      <w:r>
        <w:rPr>
          <w:rFonts w:hint="eastAsia"/>
        </w:rPr>
        <w:t>作性。</w:t>
      </w:r>
    </w:p>
    <w:p w14:paraId="3D72D74D" w14:textId="77777777" w:rsidR="00E155F1" w:rsidRDefault="00E155F1" w:rsidP="00E155F1">
      <w:pPr>
        <w:pStyle w:val="13"/>
      </w:pPr>
      <w:r>
        <w:t>2、相关各方为消除现实或潜在同业竞争采取的措施是否切实可行，通常关注具体</w:t>
      </w:r>
      <w:r>
        <w:rPr>
          <w:rFonts w:hint="eastAsia"/>
        </w:rPr>
        <w:t>措施是否包括（但不限于）限期将竞争性资产</w:t>
      </w:r>
      <w:r>
        <w:t>/股权注入上市公司、限期将竞争性业务转让给非关联第三方、在彻底解决同业竞争之前将竞争性业务托管给上市公司</w:t>
      </w:r>
      <w:r>
        <w:lastRenderedPageBreak/>
        <w:t>等；对于该等承诺和措施，重点关注其后续执行是否仍存在重大不确定性，可能导致损害上</w:t>
      </w:r>
      <w:r>
        <w:rPr>
          <w:rFonts w:hint="eastAsia"/>
        </w:rPr>
        <w:t>市公司和公众股东的利益；重点关注上市公司和公众股东在后续执行过程中是否具有主动权、优先权和主导性的决策权。涉及竞争性业务委托经营或托管的，关注委托或托管的相关安排对上市公司财务状况的影响是否已充分分析和披露，有关对</w:t>
      </w:r>
      <w:proofErr w:type="gramStart"/>
      <w:r>
        <w:rPr>
          <w:rFonts w:hint="eastAsia"/>
        </w:rPr>
        <w:t>价安排</w:t>
      </w:r>
      <w:proofErr w:type="gramEnd"/>
      <w:r>
        <w:rPr>
          <w:rFonts w:hint="eastAsia"/>
        </w:rPr>
        <w:t>对上市公司是否公允，如可能存在负面影响，申请人是否就消除负面影响</w:t>
      </w:r>
      <w:proofErr w:type="gramStart"/>
      <w:r>
        <w:rPr>
          <w:rFonts w:hint="eastAsia"/>
        </w:rPr>
        <w:t>作出</w:t>
      </w:r>
      <w:proofErr w:type="gramEnd"/>
      <w:r>
        <w:rPr>
          <w:rFonts w:hint="eastAsia"/>
        </w:rPr>
        <w:t>了切实有效的安排。</w:t>
      </w:r>
    </w:p>
    <w:p w14:paraId="79BA7B96" w14:textId="77777777" w:rsidR="00E155F1" w:rsidRDefault="00E155F1" w:rsidP="00E155F1">
      <w:pPr>
        <w:pStyle w:val="13"/>
      </w:pPr>
      <w:r>
        <w:t>3、独立财务顾问和律师是否本着勤勉尽职的原则进行核查，并对承诺安排是否切实可行发表明确专业意见</w:t>
      </w:r>
    </w:p>
    <w:p w14:paraId="022428CD" w14:textId="77777777" w:rsidR="00E155F1" w:rsidRDefault="00E155F1" w:rsidP="00E155F1">
      <w:pPr>
        <w:pStyle w:val="ab"/>
        <w:spacing w:before="62" w:after="62"/>
        <w:ind w:firstLine="482"/>
      </w:pPr>
      <w:r>
        <w:rPr>
          <w:rFonts w:hint="eastAsia"/>
        </w:rPr>
        <w:t>关注五：关联交易</w:t>
      </w:r>
    </w:p>
    <w:p w14:paraId="403DE4F7" w14:textId="77777777" w:rsidR="00E155F1" w:rsidRDefault="00E155F1" w:rsidP="00E155F1">
      <w:pPr>
        <w:pStyle w:val="ab"/>
        <w:spacing w:before="62" w:after="62"/>
        <w:ind w:firstLine="482"/>
      </w:pPr>
      <w:r>
        <w:rPr>
          <w:rFonts w:hint="eastAsia"/>
        </w:rPr>
        <w:t>一、重大资产重组行为是否构成关联交易</w:t>
      </w:r>
    </w:p>
    <w:p w14:paraId="21859CD2" w14:textId="77777777" w:rsidR="00E155F1" w:rsidRDefault="00E155F1" w:rsidP="00E155F1">
      <w:pPr>
        <w:pStyle w:val="13"/>
      </w:pPr>
      <w:r>
        <w:rPr>
          <w:rFonts w:hint="eastAsia"/>
        </w:rPr>
        <w:t>上市公司首次董事会会议是否就本次重组是否构成关联交易</w:t>
      </w:r>
      <w:proofErr w:type="gramStart"/>
      <w:r>
        <w:rPr>
          <w:rFonts w:hint="eastAsia"/>
        </w:rPr>
        <w:t>作出</w:t>
      </w:r>
      <w:proofErr w:type="gramEnd"/>
      <w:r>
        <w:rPr>
          <w:rFonts w:hint="eastAsia"/>
        </w:rPr>
        <w:t>明确判断，并作为董事会决议事项予以披露；存在关联关系的董事、股东是否依照法律法规和章程规定，在相关董事会、股东大会会议上回避表决。</w:t>
      </w:r>
    </w:p>
    <w:p w14:paraId="1DDDDA8A" w14:textId="77777777" w:rsidR="00E155F1" w:rsidRDefault="00E155F1" w:rsidP="00E155F1">
      <w:pPr>
        <w:pStyle w:val="13"/>
      </w:pPr>
      <w:r>
        <w:rPr>
          <w:rFonts w:hint="eastAsia"/>
        </w:rPr>
        <w:t>重组交易对方是否已经与上市公司控股股东就受让上市公司股权或者向上市公司推荐董事达成协议或者默契，可能导致上市公司的实际控制权发生变化；该等股东是否回避表决。</w:t>
      </w:r>
    </w:p>
    <w:p w14:paraId="6315A717" w14:textId="77777777" w:rsidR="00E155F1" w:rsidRDefault="00E155F1" w:rsidP="00E155F1">
      <w:pPr>
        <w:pStyle w:val="13"/>
      </w:pPr>
      <w:r>
        <w:rPr>
          <w:rFonts w:hint="eastAsia"/>
        </w:rPr>
        <w:t>独立财务顾问和律师事务所是否已审慎核查本次重组是否构成关联交易，并依据核查确认的相关事实发表明确意见。</w:t>
      </w:r>
    </w:p>
    <w:p w14:paraId="50B7F7B8" w14:textId="77777777" w:rsidR="00E155F1" w:rsidRDefault="00E155F1" w:rsidP="00E155F1">
      <w:pPr>
        <w:pStyle w:val="13"/>
      </w:pPr>
      <w:r>
        <w:rPr>
          <w:rFonts w:hint="eastAsia"/>
        </w:rPr>
        <w:t>中介机构经核查确认本次重组涉及关联交易的，独立财务顾问是否就本次重组对上市公司非关联股东的影响发表明确意见。</w:t>
      </w:r>
    </w:p>
    <w:p w14:paraId="3CA729EE" w14:textId="77777777" w:rsidR="00E155F1" w:rsidRDefault="00E155F1" w:rsidP="00E155F1">
      <w:pPr>
        <w:pStyle w:val="13"/>
      </w:pPr>
      <w:r>
        <w:rPr>
          <w:rFonts w:hint="eastAsia"/>
        </w:rPr>
        <w:t>上市公司董事会或中介机构确认本次重组涉及关联交易的，独立董事是否另行聘请独立财务顾问就本次重组对上市公司非关联股东的影响发表意见。</w:t>
      </w:r>
    </w:p>
    <w:p w14:paraId="7400725D" w14:textId="77777777" w:rsidR="00E155F1" w:rsidRDefault="00E155F1" w:rsidP="00E155F1">
      <w:pPr>
        <w:pStyle w:val="ab"/>
        <w:spacing w:before="62" w:after="62"/>
        <w:ind w:firstLine="482"/>
      </w:pPr>
      <w:r>
        <w:rPr>
          <w:rFonts w:hint="eastAsia"/>
        </w:rPr>
        <w:t>二、重大资产重组对关联交易状况的影响</w:t>
      </w:r>
    </w:p>
    <w:p w14:paraId="503050FF" w14:textId="77777777" w:rsidR="00E155F1" w:rsidRDefault="00E155F1" w:rsidP="00E155F1">
      <w:pPr>
        <w:pStyle w:val="13"/>
      </w:pPr>
      <w:r>
        <w:rPr>
          <w:rFonts w:hint="eastAsia"/>
        </w:rPr>
        <w:t>（一）原则关注要点</w:t>
      </w:r>
    </w:p>
    <w:p w14:paraId="68A0202D" w14:textId="77777777" w:rsidR="00E155F1" w:rsidRDefault="00E155F1" w:rsidP="00E155F1">
      <w:pPr>
        <w:pStyle w:val="13"/>
      </w:pPr>
      <w:r>
        <w:rPr>
          <w:rFonts w:hint="eastAsia"/>
        </w:rPr>
        <w:t>重组报告书是否充分披露本次重组前后的关联交易变化情况；重组是否有利于上市公司增强经营独立性，减少和规范关联交易；重组方案是否严格限制因重组而新增可能损害上市公司独立性的持续性关联交易；对于重组完成后无法避免或可能新增的关联交易，是否采取切实有效措施加以规范，相关各方是否</w:t>
      </w:r>
      <w:proofErr w:type="gramStart"/>
      <w:r>
        <w:rPr>
          <w:rFonts w:hint="eastAsia"/>
        </w:rPr>
        <w:t>作出</w:t>
      </w:r>
      <w:proofErr w:type="gramEnd"/>
      <w:r>
        <w:rPr>
          <w:rFonts w:hint="eastAsia"/>
        </w:rPr>
        <w:t>了明确具体的承诺或签订了完备的协议，以提高关联交易的决策透明度和信息披露质量，促进定价公允性。</w:t>
      </w:r>
    </w:p>
    <w:p w14:paraId="61FF3A82" w14:textId="77777777" w:rsidR="00E155F1" w:rsidRDefault="00E155F1" w:rsidP="00E155F1">
      <w:pPr>
        <w:pStyle w:val="13"/>
      </w:pPr>
      <w:r>
        <w:rPr>
          <w:rFonts w:hint="eastAsia"/>
        </w:rPr>
        <w:t>（二）</w:t>
      </w:r>
      <w:proofErr w:type="gramStart"/>
      <w:r>
        <w:rPr>
          <w:rFonts w:hint="eastAsia"/>
        </w:rPr>
        <w:t>具体关注</w:t>
      </w:r>
      <w:proofErr w:type="gramEnd"/>
      <w:r>
        <w:rPr>
          <w:rFonts w:hint="eastAsia"/>
        </w:rPr>
        <w:t>要点</w:t>
      </w:r>
    </w:p>
    <w:p w14:paraId="1774771A" w14:textId="77777777" w:rsidR="00E155F1" w:rsidRDefault="00E155F1" w:rsidP="00E155F1">
      <w:pPr>
        <w:pStyle w:val="13"/>
      </w:pPr>
      <w:r>
        <w:rPr>
          <w:rFonts w:hint="eastAsia"/>
        </w:rPr>
        <w:t>是否充分披露关联方和关联人员。是否以列表等有效方式，充分披露交易对方及其实际控制人按产业类别划分的下属企业名录，并注明各企业在本次重组后与上市</w:t>
      </w:r>
      <w:r>
        <w:rPr>
          <w:rFonts w:hint="eastAsia"/>
        </w:rPr>
        <w:lastRenderedPageBreak/>
        <w:t>公司的关联关系性质或其他特殊联系；是否充分披露交易对方的实际控制人及其关联方向上市公司（或其控股或控制的公司）推荐或委派董事、高级管理人员及核心技术人员的情况。</w:t>
      </w:r>
    </w:p>
    <w:p w14:paraId="6A09ED2B" w14:textId="77777777" w:rsidR="00E155F1" w:rsidRDefault="00E155F1" w:rsidP="00E155F1">
      <w:pPr>
        <w:pStyle w:val="13"/>
      </w:pPr>
      <w:r>
        <w:rPr>
          <w:rFonts w:hint="eastAsia"/>
        </w:rPr>
        <w:t>是否充分披露关联交易在重组前后的变化及其原因和影响。否以分类列表等有效方式，区分销售商品、提供劳务、采购商品、接受劳务、提供担保、接受担保、许可或接受许可使用无形资产等交易类型，充分披露本次交易前后的关联交易及变化情</w:t>
      </w:r>
      <w:r>
        <w:t>况，披露内容包括但不限于具体的关联方、关联方与上市公司的关系性质（例如母子</w:t>
      </w:r>
      <w:r>
        <w:rPr>
          <w:rFonts w:hint="eastAsia"/>
        </w:rPr>
        <w:t>公司、同一方控制等）、交易事项内容、交易金额、主要定价方式、占上市公司同类</w:t>
      </w:r>
      <w:r>
        <w:t>/同期营业收入（或营业成本、利润等核心量化指标）的比重等，同时，是否说明各类交易是属于经常性关联交易或偶发性关联交易；是否充分披露上市公司重组完成后（备考）关联销售收入占营业收入、关联采购额占采购总额、关联交易利润占利润总额等比例，相关比例较高的（例如接近或超过30%），是否充分说明对上市公司经营独立性和业绩稳定性的影响；如重组前后相关数据指标存在较大变动或波动，是否充分说明其真实性和具体原因，并提出必要的应对解决措施</w:t>
      </w:r>
      <w:r>
        <w:rPr>
          <w:rFonts w:hint="eastAsia"/>
        </w:rPr>
        <w:t>。</w:t>
      </w:r>
    </w:p>
    <w:p w14:paraId="19DC8AD3" w14:textId="77777777" w:rsidR="00E155F1" w:rsidRDefault="00E155F1" w:rsidP="00E155F1">
      <w:pPr>
        <w:pStyle w:val="13"/>
      </w:pPr>
      <w:r>
        <w:rPr>
          <w:rFonts w:hint="eastAsia"/>
        </w:rPr>
        <w:t>是否充分披露关联交易定价依据，以及是否详细分析交易定价公允性。是否对照市场交易价格或</w:t>
      </w:r>
      <w:proofErr w:type="gramStart"/>
      <w:r>
        <w:rPr>
          <w:rFonts w:hint="eastAsia"/>
        </w:rPr>
        <w:t>独立第三方价格</w:t>
      </w:r>
      <w:proofErr w:type="gramEnd"/>
      <w:r>
        <w:rPr>
          <w:rFonts w:hint="eastAsia"/>
        </w:rPr>
        <w:t>进行充分分析说明，对于关联交易定价与市场交易价格或</w:t>
      </w:r>
      <w:proofErr w:type="gramStart"/>
      <w:r>
        <w:rPr>
          <w:rFonts w:hint="eastAsia"/>
        </w:rPr>
        <w:t>独立第三方价格</w:t>
      </w:r>
      <w:proofErr w:type="gramEnd"/>
      <w:r>
        <w:rPr>
          <w:rFonts w:hint="eastAsia"/>
        </w:rPr>
        <w:t>存在较大差异，或者不具有可比的市场价格或</w:t>
      </w:r>
      <w:proofErr w:type="gramStart"/>
      <w:r>
        <w:rPr>
          <w:rFonts w:hint="eastAsia"/>
        </w:rPr>
        <w:t>独立第三方价格</w:t>
      </w:r>
      <w:proofErr w:type="gramEnd"/>
      <w:r>
        <w:t>的，是否充分说明其原因，是否存在导致单方获利性交易或者导致显失公允的情形</w:t>
      </w:r>
      <w:r>
        <w:rPr>
          <w:rFonts w:hint="eastAsia"/>
        </w:rPr>
        <w:t>。</w:t>
      </w:r>
    </w:p>
    <w:p w14:paraId="3CC69253" w14:textId="77777777" w:rsidR="00E155F1" w:rsidRDefault="00E155F1" w:rsidP="00E155F1">
      <w:pPr>
        <w:pStyle w:val="13"/>
      </w:pPr>
      <w:r>
        <w:rPr>
          <w:rFonts w:hint="eastAsia"/>
        </w:rPr>
        <w:t>对于交易对方或其实际控制人与交易标的之间存在特定债权债务关系的，结合关联方应收款项余额占比及其可收回性的分析情况，重点关注是否可能导致重组完成后出现上市公司违规对外担保、资金资源被违规占用，是否涉及对关联财务公司的规范整改，对此类问题能否在确定最终重组方案前予以彻底规范和解决。</w:t>
      </w:r>
    </w:p>
    <w:p w14:paraId="28E8538B" w14:textId="77777777" w:rsidR="00E155F1" w:rsidRDefault="00E155F1" w:rsidP="00E155F1">
      <w:pPr>
        <w:pStyle w:val="13"/>
      </w:pPr>
      <w:r>
        <w:rPr>
          <w:rFonts w:hint="eastAsia"/>
        </w:rPr>
        <w:t>特殊情况</w:t>
      </w:r>
      <w:proofErr w:type="gramStart"/>
      <w:r>
        <w:rPr>
          <w:rFonts w:hint="eastAsia"/>
        </w:rPr>
        <w:t>下涉及</w:t>
      </w:r>
      <w:proofErr w:type="gramEnd"/>
      <w:r>
        <w:rPr>
          <w:rFonts w:hint="eastAsia"/>
        </w:rPr>
        <w:t>重组方将其产业链的中间业务注入上市公司，重组后的持续关联交易难以避免的，是否已考虑采取有效措施（督促上市公司）建立对持续性关联交易的长效独立审议机制、细化信息披露内容和格式，并适当提高披露频率。</w:t>
      </w:r>
    </w:p>
    <w:p w14:paraId="73D9C9B8" w14:textId="77777777" w:rsidR="00E155F1" w:rsidRDefault="00E155F1" w:rsidP="00E155F1">
      <w:pPr>
        <w:pStyle w:val="13"/>
      </w:pPr>
      <w:r>
        <w:rPr>
          <w:rFonts w:hint="eastAsia"/>
        </w:rPr>
        <w:t>是否存在控股股东、实际控制人及其关联方通过本次重组占用上市公司资金、资源或增加上市公司风险的其他情形，相关影响和解决措施是否已充分披露。</w:t>
      </w:r>
    </w:p>
    <w:p w14:paraId="051C89F7" w14:textId="27A01201" w:rsidR="00E155F1" w:rsidRDefault="00E155F1" w:rsidP="00E155F1">
      <w:pPr>
        <w:pStyle w:val="13"/>
      </w:pPr>
      <w:r>
        <w:rPr>
          <w:rFonts w:hint="eastAsia"/>
        </w:rPr>
        <w:t>独立财务顾问是否充分核查关联交易的具体构成及其（积极和消极）变化和影</w:t>
      </w:r>
      <w:r>
        <w:t>响，是否已充分分析说明关联交易的发生原因、必要性和定价公允性，是否已审慎核实减少和规范关联交易的承诺和措施，是否</w:t>
      </w:r>
      <w:proofErr w:type="gramStart"/>
      <w:r>
        <w:t>明确发表</w:t>
      </w:r>
      <w:proofErr w:type="gramEnd"/>
      <w:r>
        <w:t>专业意见</w:t>
      </w:r>
      <w:r>
        <w:rPr>
          <w:rFonts w:hint="eastAsia"/>
        </w:rPr>
        <w:t>。</w:t>
      </w:r>
    </w:p>
    <w:p w14:paraId="32E56E6C" w14:textId="77777777" w:rsidR="00E155F1" w:rsidRDefault="00E155F1" w:rsidP="00E155F1">
      <w:pPr>
        <w:pStyle w:val="ab"/>
        <w:keepNext w:val="0"/>
        <w:spacing w:before="62" w:after="62"/>
        <w:ind w:firstLine="482"/>
      </w:pPr>
      <w:r>
        <w:rPr>
          <w:rFonts w:hint="eastAsia"/>
        </w:rPr>
        <w:t>三、收购和豁免要约收购义务的行政许可事项，按照相关信息披露准则的要求，</w:t>
      </w:r>
      <w:r>
        <w:t>比照重大资产重组的上述审核要点予以关注</w:t>
      </w:r>
    </w:p>
    <w:p w14:paraId="26C9E6B9" w14:textId="77777777" w:rsidR="00E155F1" w:rsidRDefault="00E155F1" w:rsidP="00E155F1">
      <w:pPr>
        <w:pStyle w:val="ab"/>
        <w:spacing w:before="62" w:after="62"/>
        <w:ind w:firstLine="482"/>
      </w:pPr>
      <w:r>
        <w:rPr>
          <w:rFonts w:hint="eastAsia"/>
        </w:rPr>
        <w:lastRenderedPageBreak/>
        <w:t>关注十四：矿业权的信息披露与评估</w:t>
      </w:r>
    </w:p>
    <w:p w14:paraId="2AA5179B" w14:textId="77777777" w:rsidR="00E155F1" w:rsidRDefault="00E155F1" w:rsidP="00E155F1">
      <w:pPr>
        <w:pStyle w:val="ab"/>
        <w:spacing w:before="62" w:after="62"/>
        <w:ind w:firstLine="482"/>
      </w:pPr>
      <w:r>
        <w:rPr>
          <w:rFonts w:hint="eastAsia"/>
        </w:rPr>
        <w:t>一、矿业</w:t>
      </w:r>
      <w:proofErr w:type="gramStart"/>
      <w:r>
        <w:rPr>
          <w:rFonts w:hint="eastAsia"/>
        </w:rPr>
        <w:t>权信息</w:t>
      </w:r>
      <w:proofErr w:type="gramEnd"/>
      <w:r>
        <w:rPr>
          <w:rFonts w:hint="eastAsia"/>
        </w:rPr>
        <w:t>披露的关注点</w:t>
      </w:r>
    </w:p>
    <w:p w14:paraId="1A876B54" w14:textId="77777777" w:rsidR="00E155F1" w:rsidRDefault="00E155F1" w:rsidP="00E155F1">
      <w:pPr>
        <w:pStyle w:val="13"/>
        <w:ind w:firstLineChars="0" w:firstLine="0"/>
      </w:pPr>
      <w:r>
        <w:rPr>
          <w:rFonts w:hint="eastAsia"/>
        </w:rPr>
        <w:t>标的资产涉及矿业权的，关注重组报告书是否充分披露标的资产的有关情况，包括：</w:t>
      </w:r>
    </w:p>
    <w:p w14:paraId="582D3D12" w14:textId="77777777" w:rsidR="00E155F1" w:rsidRDefault="00E155F1" w:rsidP="00E155F1">
      <w:pPr>
        <w:pStyle w:val="13"/>
      </w:pPr>
      <w:r>
        <w:rPr>
          <w:rFonts w:hint="eastAsia"/>
        </w:rPr>
        <w:t>矿业权证（勘察许可证或采矿许可证）情况，取得时间、有效期、开采矿种、开采方式、矿区面积、开采深度、生产规模等，如矿业权是出让取得，披露矿业权出让的合同号、批准文件和</w:t>
      </w:r>
      <w:proofErr w:type="gramStart"/>
      <w:r>
        <w:rPr>
          <w:rFonts w:hint="eastAsia"/>
        </w:rPr>
        <w:t>文号</w:t>
      </w:r>
      <w:proofErr w:type="gramEnd"/>
      <w:r>
        <w:rPr>
          <w:rFonts w:hint="eastAsia"/>
        </w:rPr>
        <w:t>、矿业权价款已缴及欠缴情况；如矿业权是转让取得，披露矿业权交易价格及依据；矿业权人出资勘察形成的矿业权，披露目前勘察及其投入情况。生产许可证书取得的情况，最近三年是否存在超能力生产和重大安全事故，如果实际生产能力与矿业权证书登记的生产能力有差异，提供证明实际生产能力经过合法审批的文件。生产是否符合环保法规、政策要求，最近三年是否曾经受到环保部门处罚，环境恢复治理方案审批及落实情况等。其他相关许可资质证书齐备情况，如黄金开采许可证、煤炭生产许可证、尾矿经营许可证等。</w:t>
      </w:r>
    </w:p>
    <w:p w14:paraId="5A8CC749" w14:textId="77777777" w:rsidR="00E155F1" w:rsidRDefault="00E155F1" w:rsidP="00E155F1">
      <w:pPr>
        <w:pStyle w:val="13"/>
      </w:pPr>
      <w:r>
        <w:rPr>
          <w:rFonts w:hint="eastAsia"/>
        </w:rPr>
        <w:t>资源储量情况，国土资源部门出具的矿产资源储量评审及备案证明的时间和</w:t>
      </w:r>
      <w:proofErr w:type="gramStart"/>
      <w:r>
        <w:rPr>
          <w:rFonts w:hint="eastAsia"/>
        </w:rPr>
        <w:t>文号</w:t>
      </w:r>
      <w:proofErr w:type="gramEnd"/>
      <w:r>
        <w:rPr>
          <w:rFonts w:hint="eastAsia"/>
        </w:rPr>
        <w:t>。</w:t>
      </w:r>
    </w:p>
    <w:p w14:paraId="65C61D00" w14:textId="77777777" w:rsidR="00E155F1" w:rsidRDefault="00E155F1" w:rsidP="00E155F1">
      <w:pPr>
        <w:pStyle w:val="13"/>
      </w:pPr>
      <w:r>
        <w:rPr>
          <w:rFonts w:hint="eastAsia"/>
        </w:rPr>
        <w:t>矿业权评估的基本情况，包括评估对象和范围、评估机构、评估委托人、评估目的、评估基准日、评估方法及评估价值等。评估选取的主要技术经济指标参数，包括可采储量、生产规模、矿山服务年限及评估计算服务年限、产品方案、评估采用的销售价格及基准日的市场价格、固定资产投资、单位总成本费用、折现率等。矿业权评估增减值的原因及合理分析。</w:t>
      </w:r>
    </w:p>
    <w:p w14:paraId="7C536EE6" w14:textId="77777777" w:rsidR="00E155F1" w:rsidRDefault="00E155F1" w:rsidP="00E155F1">
      <w:pPr>
        <w:pStyle w:val="13"/>
      </w:pPr>
      <w:r>
        <w:rPr>
          <w:rFonts w:hint="eastAsia"/>
        </w:rPr>
        <w:t>对应处置矿业权价款而未进行处置的，披露价款未来支付相关框架协议或意向，</w:t>
      </w:r>
      <w:r>
        <w:t>在对价中是否充分考虑该因素。</w:t>
      </w:r>
    </w:p>
    <w:p w14:paraId="27D26EF5" w14:textId="77777777" w:rsidR="00E155F1" w:rsidRDefault="00E155F1" w:rsidP="00E155F1">
      <w:pPr>
        <w:pStyle w:val="13"/>
      </w:pPr>
      <w:r>
        <w:rPr>
          <w:rFonts w:hint="eastAsia"/>
        </w:rPr>
        <w:t>在重组报告书中提示投资者关注评估报告全文，例如，注明“××内容摘自××</w:t>
      </w:r>
      <w:r>
        <w:t>公司采（探）矿权评估报告书，欲了解采（探）矿权评估报告书的详细情况，请阅读该采（探）矿权评估报告书全文。”</w:t>
      </w:r>
    </w:p>
    <w:p w14:paraId="4EF77B27" w14:textId="77777777" w:rsidR="00E155F1" w:rsidRDefault="00E155F1" w:rsidP="00E155F1">
      <w:pPr>
        <w:pStyle w:val="ab"/>
        <w:spacing w:before="62" w:after="62"/>
        <w:ind w:firstLine="482"/>
      </w:pPr>
      <w:r>
        <w:rPr>
          <w:rFonts w:hint="eastAsia"/>
        </w:rPr>
        <w:t>二、矿业</w:t>
      </w:r>
      <w:proofErr w:type="gramStart"/>
      <w:r>
        <w:rPr>
          <w:rFonts w:hint="eastAsia"/>
        </w:rPr>
        <w:t>权资产</w:t>
      </w:r>
      <w:proofErr w:type="gramEnd"/>
      <w:r>
        <w:rPr>
          <w:rFonts w:hint="eastAsia"/>
        </w:rPr>
        <w:t>评估的关注点</w:t>
      </w:r>
    </w:p>
    <w:p w14:paraId="073C7252" w14:textId="77777777" w:rsidR="00E155F1" w:rsidRDefault="00E155F1" w:rsidP="00E155F1">
      <w:pPr>
        <w:pStyle w:val="13"/>
      </w:pPr>
      <w:r>
        <w:rPr>
          <w:rFonts w:hint="eastAsia"/>
        </w:rPr>
        <w:t>标的资产涉及矿业权的，对资产评估关注以下事项：</w:t>
      </w:r>
      <w:r>
        <w:t>矿业权的有效期。</w:t>
      </w:r>
    </w:p>
    <w:p w14:paraId="34FA5D86" w14:textId="77777777" w:rsidR="00E155F1" w:rsidRDefault="00E155F1" w:rsidP="00E155F1">
      <w:pPr>
        <w:pStyle w:val="13"/>
      </w:pPr>
      <w:r>
        <w:rPr>
          <w:rFonts w:hint="eastAsia"/>
        </w:rPr>
        <w:t>有偿取得探矿权、采矿权时价款缴纳的情况。价款实际缴纳情况与矿业权出让协议约定是否相符。如果是上市公司购买拥有矿业权的公司的股权，是否已将应分期支付的款项足额记为负债。最近三年进行过储量评审的，提供由具有相应地质勘查资质的单位编制的地质勘查报告或《矿产资源储量核实报告》、《矿产资源储量评审意见书》、《矿产资源储量评审备案证明》。对于本次交易和最近一次历史储量核实报告存在差异的，披露差异的合理性。</w:t>
      </w:r>
    </w:p>
    <w:p w14:paraId="03E2BE31" w14:textId="77777777" w:rsidR="00E155F1" w:rsidRDefault="00E155F1" w:rsidP="00E155F1">
      <w:pPr>
        <w:pStyle w:val="13"/>
      </w:pPr>
      <w:r>
        <w:rPr>
          <w:rFonts w:hint="eastAsia"/>
        </w:rPr>
        <w:t>对于煤矿开采企业，关注安全生产问题。在煤炭生产许可证上登记的生产能力，</w:t>
      </w:r>
      <w:r>
        <w:lastRenderedPageBreak/>
        <w:t>是否超过由煤矿安全生产管理部门核定的生产能力。对于国家进行产品总量宏观调控的矿种，评估中生产规模的确定不超过按管理部门下达的生产指标。</w:t>
      </w:r>
    </w:p>
    <w:p w14:paraId="2CA70F7B" w14:textId="77777777" w:rsidR="00E155F1" w:rsidRDefault="00E155F1" w:rsidP="00E155F1">
      <w:pPr>
        <w:pStyle w:val="13"/>
      </w:pPr>
      <w:r>
        <w:rPr>
          <w:rFonts w:hint="eastAsia"/>
        </w:rPr>
        <w:t>评估参数的合理性。</w:t>
      </w:r>
    </w:p>
    <w:p w14:paraId="2009A592" w14:textId="77777777" w:rsidR="00E155F1" w:rsidRDefault="00E155F1" w:rsidP="00E155F1">
      <w:pPr>
        <w:pStyle w:val="13"/>
      </w:pPr>
      <w:r>
        <w:rPr>
          <w:rFonts w:hint="eastAsia"/>
        </w:rPr>
        <w:t>对于资源储量大、服务年限长、一次性缴纳采矿价款确有困难的矿山企业的评估，评估范围是否与有偿出让的范围一致；可开采年限是否合理。</w:t>
      </w:r>
    </w:p>
    <w:p w14:paraId="2D219B3F" w14:textId="77777777" w:rsidR="00E155F1" w:rsidRDefault="00E155F1" w:rsidP="00E155F1">
      <w:pPr>
        <w:pStyle w:val="13"/>
      </w:pPr>
      <w:r>
        <w:rPr>
          <w:rFonts w:hint="eastAsia"/>
        </w:rPr>
        <w:t>采用现金流量法等方法评估时是否充分考虑审批时间的影响。</w:t>
      </w:r>
    </w:p>
    <w:p w14:paraId="7D4D851E" w14:textId="77777777" w:rsidR="00E155F1" w:rsidRDefault="00E155F1" w:rsidP="00E155F1">
      <w:pPr>
        <w:pStyle w:val="ab"/>
        <w:spacing w:before="62" w:after="62"/>
        <w:ind w:firstLine="482"/>
      </w:pPr>
      <w:r>
        <w:rPr>
          <w:rFonts w:hint="eastAsia"/>
        </w:rPr>
        <w:t>关注十五：审计机构与评估机构独立性</w:t>
      </w:r>
    </w:p>
    <w:p w14:paraId="21F8C9CF" w14:textId="77777777" w:rsidR="00E155F1" w:rsidRDefault="00E155F1" w:rsidP="00E155F1">
      <w:pPr>
        <w:pStyle w:val="13"/>
      </w:pPr>
      <w:r>
        <w:rPr>
          <w:rFonts w:hint="eastAsia"/>
        </w:rPr>
        <w:t>在上市公司重大资产重组中，关注为上市公司重大资产重组活动提供服务的审计机构、人员与评估机构、人员是否能够保持独立性，包括：</w:t>
      </w:r>
    </w:p>
    <w:p w14:paraId="6062D20E" w14:textId="77777777" w:rsidR="00E155F1" w:rsidRDefault="00E155F1" w:rsidP="00E155F1">
      <w:pPr>
        <w:pStyle w:val="13"/>
      </w:pPr>
      <w:r>
        <w:rPr>
          <w:rFonts w:hint="eastAsia"/>
        </w:rPr>
        <w:t>公司聘请的对标的资产进行审计的审计机构与对资产进行评估的评估机构是否存在主要股东相同、主要经营管理人员双重任职、受同一实际控制人控制等情形。</w:t>
      </w:r>
    </w:p>
    <w:p w14:paraId="4A214458" w14:textId="77777777" w:rsidR="00E155F1" w:rsidRDefault="00E155F1" w:rsidP="00E155F1">
      <w:pPr>
        <w:pStyle w:val="13"/>
      </w:pPr>
      <w:r>
        <w:rPr>
          <w:rFonts w:hint="eastAsia"/>
        </w:rPr>
        <w:t>是否</w:t>
      </w:r>
      <w:proofErr w:type="gramStart"/>
      <w:r>
        <w:rPr>
          <w:rFonts w:hint="eastAsia"/>
        </w:rPr>
        <w:t>由同时</w:t>
      </w:r>
      <w:proofErr w:type="gramEnd"/>
      <w:r>
        <w:rPr>
          <w:rFonts w:hint="eastAsia"/>
        </w:rPr>
        <w:t>具备注册会计师及注册资产评估师的人员对同一标的资产既执行审计业务又执行评估业务。</w:t>
      </w:r>
    </w:p>
    <w:p w14:paraId="7947B4F7" w14:textId="77777777" w:rsidR="00E155F1" w:rsidRDefault="00E155F1" w:rsidP="00E155F1">
      <w:pPr>
        <w:pStyle w:val="31"/>
        <w:spacing w:before="156" w:after="62"/>
      </w:pPr>
      <w:bookmarkStart w:id="280" w:name="_Toc81833513"/>
      <w:r>
        <w:rPr>
          <w:rFonts w:hint="eastAsia"/>
        </w:rPr>
        <w:t>证监会关于收购和重大资产重组常见问题解答（摘编）</w:t>
      </w:r>
      <w:bookmarkEnd w:id="280"/>
    </w:p>
    <w:p w14:paraId="4EF64F22" w14:textId="77777777" w:rsidR="00E155F1" w:rsidRDefault="00E155F1" w:rsidP="00E155F1">
      <w:pPr>
        <w:pStyle w:val="ab"/>
        <w:spacing w:before="62" w:after="62"/>
        <w:ind w:firstLine="482"/>
      </w:pPr>
      <w:r>
        <w:rPr>
          <w:rFonts w:hint="eastAsia"/>
        </w:rPr>
        <w:t>上市公司在涉及珠宝类相关资产的交易活动中，是否需要聘请专门的评估机构进</w:t>
      </w:r>
      <w:r>
        <w:t>行评估？对评估机构有何特殊要求？</w:t>
      </w:r>
    </w:p>
    <w:p w14:paraId="5A46984D" w14:textId="77777777" w:rsidR="00E155F1" w:rsidRDefault="00E155F1" w:rsidP="00E155F1">
      <w:pPr>
        <w:pStyle w:val="13"/>
      </w:pPr>
      <w:r>
        <w:rPr>
          <w:rFonts w:hint="eastAsia"/>
        </w:rPr>
        <w:t>（时间：</w:t>
      </w:r>
      <w:r>
        <w:t>2009年12月02日）</w:t>
      </w:r>
    </w:p>
    <w:p w14:paraId="614DB0B7" w14:textId="77777777" w:rsidR="00E155F1" w:rsidRDefault="00E155F1" w:rsidP="00E155F1">
      <w:pPr>
        <w:pStyle w:val="13"/>
      </w:pPr>
      <w:r>
        <w:rPr>
          <w:rFonts w:hint="eastAsia"/>
        </w:rPr>
        <w:t>根据《财政部关于规范珠宝首饰艺术品管理有关问题的通知》（财企【</w:t>
      </w:r>
      <w:r>
        <w:t>2007】141号）等文件及我会有关规定，上市公司、拟上市公司在涉及珠宝类相关资产的交易活动中，应当聘请专门的机构进行评估。从事上市公司珠宝类相关资产评估业务的机构需要具备以下条件：</w:t>
      </w:r>
    </w:p>
    <w:p w14:paraId="7C814826" w14:textId="77777777" w:rsidR="00E155F1" w:rsidRDefault="00E155F1" w:rsidP="00E155F1">
      <w:pPr>
        <w:pStyle w:val="13"/>
      </w:pPr>
      <w:r>
        <w:rPr>
          <w:rFonts w:hint="eastAsia"/>
        </w:rPr>
        <w:t>（一）从事珠宝首饰艺术品评估业务的机构，应当取得财政部门颁发的“珠宝首饰艺术品评估”的资格证书</w:t>
      </w:r>
      <w:r>
        <w:t>3年以上，发生过吸收合并的，还应当自完成工商变更登</w:t>
      </w:r>
      <w:r>
        <w:rPr>
          <w:rFonts w:hint="eastAsia"/>
        </w:rPr>
        <w:t>记之日起满</w:t>
      </w:r>
      <w:r>
        <w:t>1年。</w:t>
      </w:r>
    </w:p>
    <w:p w14:paraId="06B9DAAF" w14:textId="77777777" w:rsidR="00E155F1" w:rsidRDefault="00E155F1" w:rsidP="00E155F1">
      <w:pPr>
        <w:pStyle w:val="13"/>
      </w:pPr>
      <w:r>
        <w:rPr>
          <w:rFonts w:hint="eastAsia"/>
        </w:rPr>
        <w:t>（二）质量控制制度和其他内部管理制度健全并有效执行，执业质量和职业道德良好。</w:t>
      </w:r>
    </w:p>
    <w:p w14:paraId="23072F3D" w14:textId="77777777" w:rsidR="00E155F1" w:rsidRDefault="00E155F1" w:rsidP="00E155F1">
      <w:pPr>
        <w:pStyle w:val="13"/>
      </w:pPr>
      <w:r>
        <w:rPr>
          <w:rFonts w:hint="eastAsia"/>
        </w:rPr>
        <w:t>（三）具有不少于</w:t>
      </w:r>
      <w:r>
        <w:t>20名注册资产评估师（珠宝），其中最近3年持有注册资产评</w:t>
      </w:r>
      <w:r>
        <w:rPr>
          <w:rFonts w:hint="eastAsia"/>
        </w:rPr>
        <w:t>估师（珠宝）证书且连续执业的不少于</w:t>
      </w:r>
      <w:r>
        <w:t>10人。</w:t>
      </w:r>
    </w:p>
    <w:p w14:paraId="65ABEB75" w14:textId="77777777" w:rsidR="00E155F1" w:rsidRDefault="00E155F1" w:rsidP="00E155F1">
      <w:pPr>
        <w:pStyle w:val="13"/>
      </w:pPr>
      <w:r>
        <w:rPr>
          <w:rFonts w:hint="eastAsia"/>
        </w:rPr>
        <w:t>已取得证券期货相关业务资格的资产评估机构执行证券业务时如涉及珠宝类相关资产，应当引用符合上述要求的珠宝类资产评估机构出具的评估报告中的结论。</w:t>
      </w:r>
    </w:p>
    <w:p w14:paraId="0F74DF78" w14:textId="77777777" w:rsidR="00E155F1" w:rsidRDefault="00E155F1" w:rsidP="00E155F1">
      <w:pPr>
        <w:pStyle w:val="ab"/>
        <w:spacing w:before="62" w:after="62"/>
        <w:ind w:firstLine="482"/>
      </w:pPr>
      <w:r>
        <w:rPr>
          <w:rFonts w:hint="eastAsia"/>
        </w:rPr>
        <w:t>在涉及上市公司收购的相关法律法规中，有哪些关于应当提供财务报告、评估报告或估值报告的规定？</w:t>
      </w:r>
    </w:p>
    <w:p w14:paraId="11ADAAA8" w14:textId="77777777" w:rsidR="00E155F1" w:rsidRDefault="00E155F1" w:rsidP="00E155F1">
      <w:pPr>
        <w:pStyle w:val="13"/>
      </w:pPr>
      <w:r>
        <w:rPr>
          <w:rFonts w:hint="eastAsia"/>
        </w:rPr>
        <w:t>（时间：</w:t>
      </w:r>
      <w:r>
        <w:t>2010年08月02日）</w:t>
      </w:r>
    </w:p>
    <w:p w14:paraId="4E789B03" w14:textId="77777777" w:rsidR="00E155F1" w:rsidRDefault="00E155F1" w:rsidP="00E155F1">
      <w:pPr>
        <w:pStyle w:val="13"/>
      </w:pPr>
      <w:r>
        <w:rPr>
          <w:rFonts w:hint="eastAsia"/>
        </w:rPr>
        <w:lastRenderedPageBreak/>
        <w:t>答：中国证监会颁布的《上市公司收购管理办法》（以下简称《收购办法》）、《公开发行证券的公司信息披露内容与格式准则第</w:t>
      </w:r>
      <w:r>
        <w:t>16号—上市公司收购报告书》（以下</w:t>
      </w:r>
    </w:p>
    <w:p w14:paraId="03DFB3D6" w14:textId="77777777" w:rsidR="00E155F1" w:rsidRDefault="00E155F1" w:rsidP="00E155F1">
      <w:pPr>
        <w:pStyle w:val="13"/>
      </w:pPr>
      <w:r>
        <w:rPr>
          <w:rFonts w:hint="eastAsia"/>
        </w:rPr>
        <w:t>简称《第</w:t>
      </w:r>
      <w:r>
        <w:t>16号准则》）、《公开发行证券的公司信息披露内容与格式准则第17号—要</w:t>
      </w:r>
      <w:r>
        <w:rPr>
          <w:rFonts w:hint="eastAsia"/>
        </w:rPr>
        <w:t>约收购报告书》（以下简称《第</w:t>
      </w:r>
      <w:r>
        <w:t>17号准则》）等规范上市公司收购的相关法规中，涉及有关财务报告、评估报告或估值报告的要求，归纳如下：</w:t>
      </w:r>
    </w:p>
    <w:p w14:paraId="3802C1E1" w14:textId="77777777" w:rsidR="00E155F1" w:rsidRDefault="00E155F1" w:rsidP="00E155F1">
      <w:pPr>
        <w:pStyle w:val="ab"/>
        <w:spacing w:before="62" w:after="62"/>
        <w:ind w:firstLine="482"/>
      </w:pPr>
      <w:r>
        <w:rPr>
          <w:rFonts w:hint="eastAsia"/>
        </w:rPr>
        <w:t>一、收购人财务报告一般要求</w:t>
      </w:r>
    </w:p>
    <w:p w14:paraId="5CD4A3DC" w14:textId="77777777" w:rsidR="00E155F1" w:rsidRDefault="00E155F1" w:rsidP="00E155F1">
      <w:pPr>
        <w:pStyle w:val="13"/>
      </w:pPr>
      <w:r>
        <w:rPr>
          <w:rFonts w:hint="eastAsia"/>
        </w:rPr>
        <w:t>《第</w:t>
      </w:r>
      <w:r>
        <w:t>16号准则》第三十九条及《第17号准则》第三十九条规定：</w:t>
      </w:r>
    </w:p>
    <w:p w14:paraId="649F27EE" w14:textId="77777777" w:rsidR="00E155F1" w:rsidRDefault="00E155F1" w:rsidP="00E155F1">
      <w:pPr>
        <w:pStyle w:val="13"/>
      </w:pPr>
      <w:r>
        <w:rPr>
          <w:rFonts w:hint="eastAsia"/>
        </w:rPr>
        <w:t>收购人为法人或者其他组织的，收购人应当披露最近</w:t>
      </w:r>
      <w:r>
        <w:t>3年财务会计报表，并提供最近一个会计年度经具有证券、期货从业资格的会计师事务所审计的财务会计报告，注明审计意见的主要内容及采用的会计制度及主要会计政策、主要科目的注释等。会计师应当说明公司前两年所采用的会计制度及主要会计政策与最近一年是否一致，如不一致，应做出相应的调整。</w:t>
      </w:r>
    </w:p>
    <w:p w14:paraId="48CBBCB6" w14:textId="77777777" w:rsidR="00E155F1" w:rsidRDefault="00E155F1" w:rsidP="00E155F1">
      <w:pPr>
        <w:pStyle w:val="13"/>
      </w:pPr>
      <w:r>
        <w:rPr>
          <w:rFonts w:hint="eastAsia"/>
        </w:rPr>
        <w:t>如截止收购报告书摘要或要约收购报告书摘要公告之日，收购人的财务状况</w:t>
      </w:r>
      <w:proofErr w:type="gramStart"/>
      <w:r>
        <w:rPr>
          <w:rFonts w:hint="eastAsia"/>
        </w:rPr>
        <w:t>较最近</w:t>
      </w:r>
      <w:proofErr w:type="gramEnd"/>
      <w:r>
        <w:rPr>
          <w:rFonts w:hint="eastAsia"/>
        </w:rPr>
        <w:t>一个会计年度的财务会计报告有重大变动的，收购人应提供最近一期财务会计报告并予以说明。</w:t>
      </w:r>
    </w:p>
    <w:p w14:paraId="4B13777F" w14:textId="77777777" w:rsidR="00E155F1" w:rsidRDefault="00E155F1" w:rsidP="00E155F1">
      <w:pPr>
        <w:pStyle w:val="13"/>
      </w:pPr>
      <w:r>
        <w:rPr>
          <w:rFonts w:hint="eastAsia"/>
        </w:rPr>
        <w:t>如果该法人或其他组织成立不足一年或者是专为本次收购而设立的，则应当比照前款披露其实际控制人或者控股公司的财务资料。</w:t>
      </w:r>
    </w:p>
    <w:p w14:paraId="44DC13C2" w14:textId="77777777" w:rsidR="00E155F1" w:rsidRDefault="00E155F1" w:rsidP="00E155F1">
      <w:pPr>
        <w:pStyle w:val="13"/>
      </w:pPr>
      <w:r>
        <w:rPr>
          <w:rFonts w:hint="eastAsia"/>
        </w:rPr>
        <w:t>收购人为境内上市公司的，可以免于披露最近</w:t>
      </w:r>
      <w:r>
        <w:t>3年财务会计报表，但应当说明刊登其年报的报刊名称及时间。</w:t>
      </w:r>
    </w:p>
    <w:p w14:paraId="49EEE466" w14:textId="77777777" w:rsidR="00E155F1" w:rsidRDefault="00E155F1" w:rsidP="00E155F1">
      <w:pPr>
        <w:pStyle w:val="13"/>
      </w:pPr>
      <w:r>
        <w:rPr>
          <w:rFonts w:hint="eastAsia"/>
        </w:rPr>
        <w:t>收购人为境外投资者的，应当提供依据中国会计准则或国际会计准则编制的财务会计报告。</w:t>
      </w:r>
    </w:p>
    <w:p w14:paraId="6CBCFE9C" w14:textId="77777777" w:rsidR="00E155F1" w:rsidRDefault="00E155F1" w:rsidP="00E155F1">
      <w:pPr>
        <w:pStyle w:val="13"/>
      </w:pPr>
      <w:r>
        <w:rPr>
          <w:rFonts w:hint="eastAsia"/>
        </w:rPr>
        <w:t>收购人因业务规模巨大、下属子公司繁多等原因，难以按照前述要求提供相关财务资料的，须请财务顾问就其具体情况进行核查，在所出具的核查意见中说明收购人无法按规定提供财务资料的原因、收购人具备收购上市公司的实力、且没有规避信息披露义务的意图。</w:t>
      </w:r>
    </w:p>
    <w:p w14:paraId="2980938B" w14:textId="77777777" w:rsidR="00E155F1" w:rsidRDefault="00E155F1" w:rsidP="00E155F1">
      <w:pPr>
        <w:pStyle w:val="ab"/>
        <w:spacing w:before="62" w:after="62"/>
        <w:ind w:firstLine="482"/>
      </w:pPr>
      <w:r>
        <w:rPr>
          <w:rFonts w:hint="eastAsia"/>
        </w:rPr>
        <w:t>二、要约收购中的特别要求</w:t>
      </w:r>
    </w:p>
    <w:p w14:paraId="44A9127D" w14:textId="77777777" w:rsidR="00E155F1" w:rsidRDefault="00E155F1" w:rsidP="00E155F1">
      <w:pPr>
        <w:pStyle w:val="13"/>
      </w:pPr>
      <w:r>
        <w:rPr>
          <w:rFonts w:hint="eastAsia"/>
        </w:rPr>
        <w:t>《收购办法》第三十六条规定：在要约收购中，“收购人以证券支付收购价款的，应当提供该证券的发行人最近</w:t>
      </w:r>
      <w:r>
        <w:t>3年经审计的财务会计报告、证券估值报告”。</w:t>
      </w:r>
    </w:p>
    <w:p w14:paraId="25371AD5" w14:textId="77777777" w:rsidR="00E155F1" w:rsidRDefault="00E155F1" w:rsidP="00E155F1">
      <w:pPr>
        <w:pStyle w:val="ab"/>
        <w:spacing w:before="62" w:after="62"/>
        <w:ind w:firstLine="482"/>
      </w:pPr>
      <w:r>
        <w:rPr>
          <w:rFonts w:hint="eastAsia"/>
        </w:rPr>
        <w:t>三、管理</w:t>
      </w:r>
      <w:proofErr w:type="gramStart"/>
      <w:r>
        <w:rPr>
          <w:rFonts w:hint="eastAsia"/>
        </w:rPr>
        <w:t>层收购</w:t>
      </w:r>
      <w:proofErr w:type="gramEnd"/>
      <w:r>
        <w:rPr>
          <w:rFonts w:hint="eastAsia"/>
        </w:rPr>
        <w:t>的特别要求</w:t>
      </w:r>
    </w:p>
    <w:p w14:paraId="4E0D138D" w14:textId="77777777" w:rsidR="00E155F1" w:rsidRDefault="00E155F1" w:rsidP="00E155F1">
      <w:pPr>
        <w:pStyle w:val="13"/>
      </w:pPr>
      <w:r>
        <w:rPr>
          <w:rFonts w:hint="eastAsia"/>
        </w:rPr>
        <w:t>《收购办法》第五十一条规定：在上市公司管理</w:t>
      </w:r>
      <w:proofErr w:type="gramStart"/>
      <w:r>
        <w:rPr>
          <w:rFonts w:hint="eastAsia"/>
        </w:rPr>
        <w:t>层收购</w:t>
      </w:r>
      <w:proofErr w:type="gramEnd"/>
      <w:r>
        <w:rPr>
          <w:rFonts w:hint="eastAsia"/>
        </w:rPr>
        <w:t>中，上市公司“应当聘请具有证券、期货从业资格的资产评估机构提供公司评估报告”。</w:t>
      </w:r>
    </w:p>
    <w:p w14:paraId="66B3EE93" w14:textId="77777777" w:rsidR="00E155F1" w:rsidRDefault="00E155F1" w:rsidP="00E155F1">
      <w:pPr>
        <w:pStyle w:val="ab"/>
        <w:spacing w:before="62" w:after="62"/>
        <w:ind w:firstLine="482"/>
      </w:pPr>
      <w:r>
        <w:rPr>
          <w:rFonts w:hint="eastAsia"/>
        </w:rPr>
        <w:t>四、定向发行方式收购的特别要求</w:t>
      </w:r>
    </w:p>
    <w:p w14:paraId="1FD45BE4" w14:textId="77777777" w:rsidR="00E155F1" w:rsidRDefault="00E155F1" w:rsidP="00E155F1">
      <w:pPr>
        <w:pStyle w:val="13"/>
      </w:pPr>
      <w:r>
        <w:rPr>
          <w:rFonts w:hint="eastAsia"/>
        </w:rPr>
        <w:t>《第</w:t>
      </w:r>
      <w:r>
        <w:t>16号准则》第二十八条规定：“收购人拟取得上市公司向其发行的新股而</w:t>
      </w:r>
      <w:r>
        <w:lastRenderedPageBreak/>
        <w:t>导致其拥有权益的股份超过上市公司股本总额30%……收购人以其非现金资产认购上市公司发行的新股的，还应当披露非现金资产最近两年经具有证券、期货从业资格的会计师事务所审计的财务会计报告，或经具有证券、期货从业资格的评估机构出具的有效期内的资产评估报告”。</w:t>
      </w:r>
    </w:p>
    <w:p w14:paraId="30D5EF2E" w14:textId="77777777" w:rsidR="00E155F1" w:rsidRDefault="00E155F1" w:rsidP="00E155F1">
      <w:pPr>
        <w:pStyle w:val="ab"/>
        <w:spacing w:before="62" w:after="62"/>
        <w:ind w:firstLine="482"/>
      </w:pPr>
      <w:r>
        <w:rPr>
          <w:rFonts w:hint="eastAsia"/>
        </w:rPr>
        <w:t>在涉及上市公司重大资产重组的相关规范中，对财务报告、评估报告的有效期有什么要求？</w:t>
      </w:r>
    </w:p>
    <w:p w14:paraId="1A4577C7" w14:textId="77777777" w:rsidR="00E155F1" w:rsidRDefault="00E155F1" w:rsidP="00E155F1">
      <w:pPr>
        <w:pStyle w:val="13"/>
      </w:pPr>
      <w:r>
        <w:rPr>
          <w:rFonts w:hint="eastAsia"/>
        </w:rPr>
        <w:t>（时间：</w:t>
      </w:r>
      <w:r>
        <w:t>2010年08月02日）</w:t>
      </w:r>
    </w:p>
    <w:p w14:paraId="7610CC61" w14:textId="77777777" w:rsidR="00E155F1" w:rsidRDefault="00E155F1" w:rsidP="00E155F1">
      <w:pPr>
        <w:pStyle w:val="13"/>
      </w:pPr>
      <w:r>
        <w:rPr>
          <w:rFonts w:hint="eastAsia"/>
        </w:rPr>
        <w:t>答：</w:t>
      </w:r>
      <w:proofErr w:type="gramStart"/>
      <w:r>
        <w:rPr>
          <w:rFonts w:hint="eastAsia"/>
        </w:rPr>
        <w:t>《</w:t>
      </w:r>
      <w:proofErr w:type="gramEnd"/>
      <w:r>
        <w:rPr>
          <w:rFonts w:hint="eastAsia"/>
        </w:rPr>
        <w:t>公开发行证券的公司信息披露内容与格式准则第</w:t>
      </w:r>
      <w:r>
        <w:t>26号—上市公司重大资</w:t>
      </w:r>
    </w:p>
    <w:p w14:paraId="7D7DA330" w14:textId="77777777" w:rsidR="00E155F1" w:rsidRDefault="00E155F1" w:rsidP="00E155F1">
      <w:pPr>
        <w:pStyle w:val="13"/>
      </w:pPr>
      <w:r>
        <w:rPr>
          <w:rFonts w:hint="eastAsia"/>
        </w:rPr>
        <w:t>产重组申请文件</w:t>
      </w:r>
      <w:proofErr w:type="gramStart"/>
      <w:r>
        <w:rPr>
          <w:rFonts w:hint="eastAsia"/>
        </w:rPr>
        <w:t>》</w:t>
      </w:r>
      <w:proofErr w:type="gramEnd"/>
      <w:r>
        <w:rPr>
          <w:rFonts w:hint="eastAsia"/>
        </w:rPr>
        <w:t>（以下简称《第</w:t>
      </w:r>
      <w:r>
        <w:t>26号准则》）、《资产评估准则-评估报告》中涉及有关财务报告、评估报告有效期的要求，归纳如下：</w:t>
      </w:r>
    </w:p>
    <w:p w14:paraId="57EA75AD" w14:textId="77777777" w:rsidR="00E155F1" w:rsidRDefault="00E155F1" w:rsidP="00E155F1">
      <w:pPr>
        <w:pStyle w:val="13"/>
      </w:pPr>
      <w:r>
        <w:rPr>
          <w:rFonts w:hint="eastAsia"/>
        </w:rPr>
        <w:t>一、《第</w:t>
      </w:r>
      <w:r>
        <w:t>26号准则》第六条规定：上市公司披露的重大资产重组报告书中引用的</w:t>
      </w:r>
      <w:r>
        <w:rPr>
          <w:rFonts w:hint="eastAsia"/>
        </w:rPr>
        <w:t>经审计的最近一期财务资料在财务报告截止日后</w:t>
      </w:r>
      <w:r>
        <w:t>6个月内有效；特别情况下可申请适</w:t>
      </w:r>
      <w:r>
        <w:rPr>
          <w:rFonts w:hint="eastAsia"/>
        </w:rPr>
        <w:t>当延长，但延长时间至多不超过</w:t>
      </w:r>
      <w:r>
        <w:t>1个月。交易标的资产的财务资料虽处于有效期内，但截至重组报告书披露之日，该等资产的财务状况和经营成果发生重大变动的，应当补充披露最近一期的相关财务资料（包括该等资产的财务报告、备考财务资料等）。</w:t>
      </w:r>
    </w:p>
    <w:p w14:paraId="58B156D2" w14:textId="77777777" w:rsidR="00E155F1" w:rsidRDefault="00E155F1" w:rsidP="00E155F1">
      <w:pPr>
        <w:pStyle w:val="13"/>
      </w:pPr>
      <w:r>
        <w:rPr>
          <w:rFonts w:hint="eastAsia"/>
        </w:rPr>
        <w:t>二、《资产评估准则</w:t>
      </w:r>
      <w:r>
        <w:t>-评估报告》规定：“通常当评估基准日与经济行为实现日相距不超过一年时，才可以使用评估报告。”例如，资产评估基准日为2009年7月1</w:t>
      </w:r>
      <w:r>
        <w:rPr>
          <w:rFonts w:hint="eastAsia"/>
        </w:rPr>
        <w:t>日，通常应当在</w:t>
      </w:r>
      <w:r>
        <w:t>2010年6月30日前取得证监会的批准文件。</w:t>
      </w:r>
    </w:p>
    <w:p w14:paraId="265CA27D" w14:textId="77777777" w:rsidR="00E155F1" w:rsidRDefault="00E155F1" w:rsidP="00E155F1">
      <w:pPr>
        <w:pStyle w:val="ab"/>
        <w:spacing w:before="62" w:after="62"/>
        <w:ind w:firstLine="482"/>
      </w:pPr>
      <w:r>
        <w:rPr>
          <w:rFonts w:hint="eastAsia"/>
        </w:rPr>
        <w:t>在涉及上市公司重大资产重组的相关法律法规中，有哪些关于应当提供盈利预测的规定？</w:t>
      </w:r>
    </w:p>
    <w:p w14:paraId="4AD253FA" w14:textId="77777777" w:rsidR="00E155F1" w:rsidRDefault="00E155F1" w:rsidP="00E155F1">
      <w:pPr>
        <w:pStyle w:val="13"/>
      </w:pPr>
      <w:r>
        <w:rPr>
          <w:rFonts w:hint="eastAsia"/>
        </w:rPr>
        <w:t>（时间：</w:t>
      </w:r>
      <w:r>
        <w:t>2010年08月02日）</w:t>
      </w:r>
    </w:p>
    <w:p w14:paraId="01EC6B00" w14:textId="77777777" w:rsidR="00E155F1" w:rsidRDefault="00E155F1" w:rsidP="00E155F1">
      <w:pPr>
        <w:pStyle w:val="13"/>
      </w:pPr>
      <w:r>
        <w:rPr>
          <w:rFonts w:hint="eastAsia"/>
        </w:rPr>
        <w:t>答：《上市公司重大资产重组管理办法》（以下简称《重组办法》）及《公开发行证券的公司信息披露内容与格式准则第</w:t>
      </w:r>
      <w:r>
        <w:t>26号—上市公司重大资产重组申请文件》（以</w:t>
      </w:r>
    </w:p>
    <w:p w14:paraId="65D195EC" w14:textId="77777777" w:rsidR="00E155F1" w:rsidRDefault="00E155F1" w:rsidP="00E155F1">
      <w:pPr>
        <w:pStyle w:val="13"/>
      </w:pPr>
      <w:r>
        <w:rPr>
          <w:rFonts w:hint="eastAsia"/>
        </w:rPr>
        <w:t>下简称《第</w:t>
      </w:r>
      <w:r>
        <w:t>26号准则》）等规范上市公司重大资产重组的相关法规中，涉及有关应当</w:t>
      </w:r>
      <w:r>
        <w:rPr>
          <w:rFonts w:hint="eastAsia"/>
        </w:rPr>
        <w:t>提供标的资产及上市公司盈利预测等要求，归纳如下：</w:t>
      </w:r>
    </w:p>
    <w:p w14:paraId="34715E0C" w14:textId="77777777" w:rsidR="00E155F1" w:rsidRDefault="00E155F1" w:rsidP="00E155F1">
      <w:pPr>
        <w:pStyle w:val="13"/>
      </w:pPr>
      <w:r>
        <w:rPr>
          <w:rFonts w:hint="eastAsia"/>
        </w:rPr>
        <w:t>一、《重组办法》第十七条规定：“上市公司购买资产的，应当提供拟购买资产的盈利预测报告。上市公司拟进行本办法第二十七条第一款第（一）、（二）项规定的重大资产重组以及发行股份购买资产的，还应当提供上市公司的盈利预测报告。盈利预测报告应当经具有相关证券业务资格的会计师事务所审核。</w:t>
      </w:r>
    </w:p>
    <w:p w14:paraId="7C31BEA2" w14:textId="77777777" w:rsidR="00E155F1" w:rsidRDefault="00E155F1" w:rsidP="00E155F1">
      <w:pPr>
        <w:pStyle w:val="13"/>
      </w:pPr>
      <w:r>
        <w:rPr>
          <w:rFonts w:hint="eastAsia"/>
        </w:rPr>
        <w:t>上市公司确有充分理由无法提供上述盈利预测报告的，应当说明原因，在上市公司重大资产重组报告书（或者发行股份购买资产报告书，下同）中</w:t>
      </w:r>
      <w:proofErr w:type="gramStart"/>
      <w:r>
        <w:rPr>
          <w:rFonts w:hint="eastAsia"/>
        </w:rPr>
        <w:t>作出</w:t>
      </w:r>
      <w:proofErr w:type="gramEnd"/>
      <w:r>
        <w:rPr>
          <w:rFonts w:hint="eastAsia"/>
        </w:rPr>
        <w:t>特别风险提</w:t>
      </w:r>
      <w:r>
        <w:t>示，并在管理</w:t>
      </w:r>
      <w:proofErr w:type="gramStart"/>
      <w:r>
        <w:t>层讨论</w:t>
      </w:r>
      <w:proofErr w:type="gramEnd"/>
      <w:r>
        <w:t>与分析部分就本次重组对上市公司持续经营能力和未来发展前景的</w:t>
      </w:r>
      <w:r>
        <w:lastRenderedPageBreak/>
        <w:t>影响进行详细分析。”</w:t>
      </w:r>
    </w:p>
    <w:p w14:paraId="1B6B499C" w14:textId="77777777" w:rsidR="00E155F1" w:rsidRDefault="00E155F1" w:rsidP="00E155F1">
      <w:pPr>
        <w:pStyle w:val="13"/>
      </w:pPr>
      <w:r>
        <w:rPr>
          <w:rFonts w:hint="eastAsia"/>
        </w:rPr>
        <w:t>在拟购买资产采用收益法进行评估作价的情况下，由于评估机构对拟购买资产未来收入、费用作了定量分析估算，且已获得上市公司及交易对方认可，在此情况下，</w:t>
      </w:r>
      <w:r>
        <w:t>若不能提供盈利预测，则存在采用收益法评估作价是否合理的问题。据此，拟购买资产若采用收益法评估作价，通常应当提供拟购买资产的盈利预测报告。</w:t>
      </w:r>
    </w:p>
    <w:p w14:paraId="7DF3A9C7" w14:textId="77777777" w:rsidR="00E155F1" w:rsidRDefault="00E155F1" w:rsidP="00E155F1">
      <w:pPr>
        <w:pStyle w:val="13"/>
      </w:pPr>
      <w:r>
        <w:rPr>
          <w:rFonts w:hint="eastAsia"/>
        </w:rPr>
        <w:t>二、《第</w:t>
      </w:r>
      <w:r>
        <w:t>26号准则》第十五条规定：“根据《重组办法》第十七条规定提供盈利预测报告的，如上市公司上半年报送申请文件，应当提供交易当年的盈利预测报告；如下半年报送，应当提供交易当年及次年的盈利预测报告。</w:t>
      </w:r>
    </w:p>
    <w:p w14:paraId="07C53BC5" w14:textId="77777777" w:rsidR="00E155F1" w:rsidRDefault="00E155F1" w:rsidP="00E155F1">
      <w:pPr>
        <w:pStyle w:val="13"/>
      </w:pPr>
      <w:r>
        <w:rPr>
          <w:rFonts w:hint="eastAsia"/>
        </w:rPr>
        <w:t>上市公司确实无法提供上述文件的，应当说明原因，</w:t>
      </w:r>
      <w:proofErr w:type="gramStart"/>
      <w:r>
        <w:rPr>
          <w:rFonts w:hint="eastAsia"/>
        </w:rPr>
        <w:t>作出</w:t>
      </w:r>
      <w:proofErr w:type="gramEnd"/>
      <w:r>
        <w:rPr>
          <w:rFonts w:hint="eastAsia"/>
        </w:rPr>
        <w:t>特别风险提示，并在董事会讨论与分析部分就本次交易对上市公司持续发展能力的影响进行详细分析。”</w:t>
      </w:r>
    </w:p>
    <w:p w14:paraId="3492AD70" w14:textId="77777777" w:rsidR="00E155F1" w:rsidRDefault="00E155F1" w:rsidP="00E155F1">
      <w:pPr>
        <w:pStyle w:val="ab"/>
        <w:spacing w:before="62" w:after="62"/>
        <w:ind w:firstLine="482"/>
      </w:pPr>
      <w:r>
        <w:rPr>
          <w:rFonts w:hint="eastAsia"/>
        </w:rPr>
        <w:t>重组方以股份方式对上市公司进行业绩补偿，通常如何计算补偿股份的数量？补偿的期限一般是几年？</w:t>
      </w:r>
    </w:p>
    <w:p w14:paraId="7A14765A" w14:textId="77777777" w:rsidR="00E155F1" w:rsidRDefault="00E155F1" w:rsidP="00E155F1">
      <w:pPr>
        <w:pStyle w:val="13"/>
      </w:pPr>
      <w:r>
        <w:rPr>
          <w:rFonts w:hint="eastAsia"/>
        </w:rPr>
        <w:t>（时间：</w:t>
      </w:r>
      <w:r>
        <w:t>2010年08月02日）</w:t>
      </w:r>
    </w:p>
    <w:p w14:paraId="7E0D64A3" w14:textId="77777777" w:rsidR="00E155F1" w:rsidRDefault="00E155F1" w:rsidP="00E155F1">
      <w:pPr>
        <w:pStyle w:val="13"/>
      </w:pPr>
      <w:r>
        <w:rPr>
          <w:rFonts w:hint="eastAsia"/>
        </w:rPr>
        <w:t>答：《上市公司重大资产重组管理办法》第三十三条规定：“资产评估机构采取收益现值法、假设开发法等基于未来收益预期的估值方法对拟购买资产进行评估并作为定价参考依据的，上市公司应当在重大资产重组实施完毕后三年内的年度报告中单独披露相关资产的实际盈利数与评估报告中利润预测数的差异情况，并由会计师事务所对此出具专项审核意见；交易对方应当与上市公司就相关资产实际盈利数不足利润预测数的情况签订明确可行的补偿协议”。实务中，在交易对方以股份方式进行业绩补偿的情况下，通常按照下列原则确定应当补偿股份的数量及期限：</w:t>
      </w:r>
    </w:p>
    <w:p w14:paraId="62DAAA7D" w14:textId="77777777" w:rsidR="00E155F1" w:rsidRDefault="00E155F1" w:rsidP="00E155F1">
      <w:pPr>
        <w:pStyle w:val="ab"/>
        <w:spacing w:before="62" w:after="62"/>
        <w:ind w:firstLine="482"/>
      </w:pPr>
      <w:r>
        <w:t>一、补偿股份数量的计算</w:t>
      </w:r>
    </w:p>
    <w:p w14:paraId="79CB5F30" w14:textId="77777777" w:rsidR="00E155F1" w:rsidRDefault="00E155F1" w:rsidP="00E155F1">
      <w:pPr>
        <w:pStyle w:val="13"/>
      </w:pPr>
      <w:r>
        <w:rPr>
          <w:rFonts w:hint="eastAsia"/>
        </w:rPr>
        <w:t>（一）基本公式</w:t>
      </w:r>
    </w:p>
    <w:p w14:paraId="0A0FB638" w14:textId="77777777" w:rsidR="00E155F1" w:rsidRDefault="00E155F1" w:rsidP="00E155F1">
      <w:pPr>
        <w:pStyle w:val="13"/>
      </w:pPr>
      <w:r>
        <w:t>1、以收益现值法、假设开发法等基于未来收益预期的估值方法对标的资产进行评估的，每年补偿的股份数量为：</w:t>
      </w:r>
    </w:p>
    <w:p w14:paraId="17CE2689" w14:textId="77777777" w:rsidR="00E155F1" w:rsidRDefault="00E155F1" w:rsidP="00E155F1">
      <w:pPr>
        <w:pStyle w:val="13"/>
      </w:pPr>
      <w:r>
        <w:rPr>
          <w:rFonts w:hint="eastAsia"/>
        </w:rPr>
        <w:t>（截至当期期末累积预测净利润数－截至当期期末累积</w:t>
      </w:r>
      <w:proofErr w:type="gramStart"/>
      <w:r>
        <w:rPr>
          <w:rFonts w:hint="eastAsia"/>
        </w:rPr>
        <w:t>实际净</w:t>
      </w:r>
      <w:proofErr w:type="gramEnd"/>
      <w:r>
        <w:rPr>
          <w:rFonts w:hint="eastAsia"/>
        </w:rPr>
        <w:t>利润数）×认购股份总数÷补偿期限内各年的预测净利润数总和－已补偿股份数量</w:t>
      </w:r>
    </w:p>
    <w:p w14:paraId="5AA92558" w14:textId="77777777" w:rsidR="00E155F1" w:rsidRDefault="00E155F1" w:rsidP="00E155F1">
      <w:pPr>
        <w:pStyle w:val="13"/>
      </w:pPr>
      <w:r>
        <w:rPr>
          <w:rFonts w:hint="eastAsia"/>
        </w:rPr>
        <w:t>采用现金流量法对标的资产进行评估的，重组</w:t>
      </w:r>
      <w:proofErr w:type="gramStart"/>
      <w:r>
        <w:rPr>
          <w:rFonts w:hint="eastAsia"/>
        </w:rPr>
        <w:t>方计算</w:t>
      </w:r>
      <w:proofErr w:type="gramEnd"/>
      <w:r>
        <w:rPr>
          <w:rFonts w:hint="eastAsia"/>
        </w:rPr>
        <w:t>出现金流量对应的税后净利润数，并据此计算补偿股份数量。</w:t>
      </w:r>
    </w:p>
    <w:p w14:paraId="260A7710" w14:textId="77777777" w:rsidR="00E155F1" w:rsidRDefault="00E155F1" w:rsidP="00E155F1">
      <w:pPr>
        <w:pStyle w:val="13"/>
      </w:pPr>
      <w:r>
        <w:rPr>
          <w:rFonts w:hint="eastAsia"/>
        </w:rPr>
        <w:t>此外，在补偿期限届满时，上市公司对标的资产进行减值测试，如：期末减值额</w:t>
      </w:r>
      <w:r>
        <w:t>/标的资产作价&gt;补偿期限内已补偿股份总数/认购股份总数</w:t>
      </w:r>
    </w:p>
    <w:p w14:paraId="7A866F56" w14:textId="77777777" w:rsidR="00E155F1" w:rsidRDefault="00E155F1" w:rsidP="00E155F1">
      <w:pPr>
        <w:pStyle w:val="13"/>
      </w:pPr>
      <w:r>
        <w:rPr>
          <w:rFonts w:hint="eastAsia"/>
        </w:rPr>
        <w:t>则重组方将另行补偿股份。另需补偿的股份数量为：</w:t>
      </w:r>
      <w:r>
        <w:t>期末减值额/每股发行价格－补偿期限内已补偿股份总数</w:t>
      </w:r>
    </w:p>
    <w:p w14:paraId="126A1DDF" w14:textId="77777777" w:rsidR="00E155F1" w:rsidRDefault="00E155F1" w:rsidP="00E155F1">
      <w:pPr>
        <w:pStyle w:val="13"/>
      </w:pPr>
      <w:r>
        <w:t>2、以市场法对标的资产进行评估的，每年补偿的股份数量为：期末减值额/每股</w:t>
      </w:r>
      <w:r>
        <w:lastRenderedPageBreak/>
        <w:t>发行价格－已补偿股份数量</w:t>
      </w:r>
    </w:p>
    <w:p w14:paraId="0C08AF95" w14:textId="77777777" w:rsidR="00E155F1" w:rsidRDefault="00E155F1" w:rsidP="00E155F1">
      <w:pPr>
        <w:pStyle w:val="13"/>
      </w:pPr>
      <w:r>
        <w:rPr>
          <w:rFonts w:hint="eastAsia"/>
        </w:rPr>
        <w:t>（二）其他事项</w:t>
      </w:r>
    </w:p>
    <w:p w14:paraId="4444AA1D" w14:textId="77777777" w:rsidR="00E155F1" w:rsidRDefault="00E155F1" w:rsidP="00E155F1">
      <w:pPr>
        <w:pStyle w:val="13"/>
      </w:pPr>
      <w:r>
        <w:rPr>
          <w:rFonts w:hint="eastAsia"/>
        </w:rPr>
        <w:t>按照前述第</w:t>
      </w:r>
      <w:r>
        <w:t>1、2项的公式计算补偿股份数量时，遵照下列原则：</w:t>
      </w:r>
    </w:p>
    <w:p w14:paraId="193F0336" w14:textId="77777777" w:rsidR="00E155F1" w:rsidRDefault="00E155F1" w:rsidP="00E155F1">
      <w:pPr>
        <w:pStyle w:val="13"/>
      </w:pPr>
      <w:r>
        <w:rPr>
          <w:rFonts w:hint="eastAsia"/>
        </w:rPr>
        <w:t>前述净利润数均应当以标的资产扣除非经常性损益后的利润数确定。</w:t>
      </w:r>
    </w:p>
    <w:p w14:paraId="216AFEF1" w14:textId="77777777" w:rsidR="00E155F1" w:rsidRDefault="00E155F1" w:rsidP="00E155F1">
      <w:pPr>
        <w:pStyle w:val="13"/>
      </w:pPr>
      <w:r>
        <w:rPr>
          <w:rFonts w:hint="eastAsia"/>
        </w:rPr>
        <w:t>前述减值额为标的资产作价减去期末标的资产的评估值并扣除补偿期限内标的资产股东增资、减资、接受赠与以及利润分配的影响。会计师对减值测试出具专项审核意见，上市公司董事会及独立董事对此发表意见。</w:t>
      </w:r>
    </w:p>
    <w:p w14:paraId="20C3329A" w14:textId="77777777" w:rsidR="00E155F1" w:rsidRDefault="00E155F1" w:rsidP="00E155F1">
      <w:pPr>
        <w:pStyle w:val="13"/>
      </w:pPr>
      <w:r>
        <w:rPr>
          <w:rFonts w:hint="eastAsia"/>
        </w:rPr>
        <w:t>补偿股份数量不超过认购股份的总量。在逐年补偿的情况下，在各年计算的补偿股份数量小于</w:t>
      </w:r>
      <w:r>
        <w:t>0时，按0取值，即已经补偿的股份不冲回。</w:t>
      </w:r>
    </w:p>
    <w:p w14:paraId="7B79099F" w14:textId="77777777" w:rsidR="00E155F1" w:rsidRDefault="00E155F1" w:rsidP="00E155F1">
      <w:pPr>
        <w:pStyle w:val="13"/>
      </w:pPr>
      <w:r>
        <w:rPr>
          <w:rFonts w:hint="eastAsia"/>
        </w:rPr>
        <w:t>标的资产为非股权资产的，补偿股份数量比照前述原则处理。</w:t>
      </w:r>
    </w:p>
    <w:p w14:paraId="6D730422" w14:textId="77777777" w:rsidR="00E155F1" w:rsidRDefault="00E155F1" w:rsidP="00E155F1">
      <w:pPr>
        <w:pStyle w:val="13"/>
      </w:pPr>
      <w:r>
        <w:rPr>
          <w:rFonts w:hint="eastAsia"/>
        </w:rPr>
        <w:t>（三）上市公司董事会及独立董事关注标的资产折现率、预测期收益分布等其他评估参数取值的合理性，防止重组方利用降低折现率、调整预测期收益分布等方式减轻股份补偿义务，并对此发表意见。独立财务顾问进行核查并发表意见。</w:t>
      </w:r>
    </w:p>
    <w:p w14:paraId="7072716D" w14:textId="77777777" w:rsidR="00E155F1" w:rsidRDefault="00E155F1" w:rsidP="00E155F1">
      <w:pPr>
        <w:pStyle w:val="ab"/>
        <w:spacing w:before="62" w:after="62"/>
        <w:ind w:firstLine="482"/>
      </w:pPr>
      <w:r>
        <w:rPr>
          <w:rFonts w:hint="eastAsia"/>
        </w:rPr>
        <w:t>二、补偿期限</w:t>
      </w:r>
    </w:p>
    <w:p w14:paraId="71766425" w14:textId="77777777" w:rsidR="00E155F1" w:rsidRDefault="00E155F1" w:rsidP="00E155F1">
      <w:pPr>
        <w:pStyle w:val="13"/>
      </w:pPr>
      <w:r>
        <w:rPr>
          <w:rFonts w:hint="eastAsia"/>
        </w:rPr>
        <w:t>业绩补偿期限一般为重组实施完毕后的三年，对于标的资产作价较</w:t>
      </w:r>
      <w:proofErr w:type="gramStart"/>
      <w:r>
        <w:rPr>
          <w:rFonts w:hint="eastAsia"/>
        </w:rPr>
        <w:t>帐面</w:t>
      </w:r>
      <w:proofErr w:type="gramEnd"/>
      <w:r>
        <w:rPr>
          <w:rFonts w:hint="eastAsia"/>
        </w:rPr>
        <w:t>值溢价过高的，视情况延长业绩补偿期限。</w:t>
      </w:r>
    </w:p>
    <w:p w14:paraId="65ECE1E4" w14:textId="77777777" w:rsidR="00E155F1" w:rsidRDefault="00E155F1" w:rsidP="00E155F1">
      <w:pPr>
        <w:pStyle w:val="ab"/>
        <w:spacing w:before="62" w:after="62"/>
        <w:ind w:firstLine="482"/>
      </w:pPr>
      <w:r>
        <w:rPr>
          <w:rFonts w:hint="eastAsia"/>
        </w:rPr>
        <w:t>在上市公司重大资产重组报告书中通常应当披露哪些资产评估信息？</w:t>
      </w:r>
    </w:p>
    <w:p w14:paraId="4BA2CACF" w14:textId="77777777" w:rsidR="00E155F1" w:rsidRDefault="00E155F1" w:rsidP="00E155F1">
      <w:pPr>
        <w:pStyle w:val="13"/>
      </w:pPr>
      <w:r>
        <w:rPr>
          <w:rFonts w:hint="eastAsia"/>
        </w:rPr>
        <w:t>（时间：</w:t>
      </w:r>
      <w:r>
        <w:t>2011年10月11日）</w:t>
      </w:r>
    </w:p>
    <w:p w14:paraId="3F4B3F04" w14:textId="77777777" w:rsidR="00E155F1" w:rsidRDefault="00E155F1" w:rsidP="00E155F1">
      <w:pPr>
        <w:pStyle w:val="13"/>
      </w:pPr>
      <w:r>
        <w:rPr>
          <w:rFonts w:hint="eastAsia"/>
        </w:rPr>
        <w:t>答：《公开发行证券的公司信息披露内容与格式准则第</w:t>
      </w:r>
      <w:r>
        <w:t>26号—上市公司重大资产重组申请文件》规定，资产交易根据资产评估结果定价的，应当在重组报告书中“交易标的”部分披露相关资产评估信息。根据审核实践，通常应当披露以下信息：</w:t>
      </w:r>
    </w:p>
    <w:p w14:paraId="44BD51CC" w14:textId="77777777" w:rsidR="00E155F1" w:rsidRDefault="00E155F1" w:rsidP="00E155F1">
      <w:pPr>
        <w:pStyle w:val="ab"/>
        <w:spacing w:before="62" w:after="62"/>
        <w:ind w:firstLine="482"/>
      </w:pPr>
      <w:r>
        <w:rPr>
          <w:rFonts w:hint="eastAsia"/>
        </w:rPr>
        <w:t>一、资产评估机构及人员</w:t>
      </w:r>
    </w:p>
    <w:p w14:paraId="2DF7D4AE" w14:textId="77777777" w:rsidR="00E155F1" w:rsidRDefault="00E155F1" w:rsidP="00E155F1">
      <w:pPr>
        <w:pStyle w:val="13"/>
      </w:pPr>
      <w:r>
        <w:rPr>
          <w:rFonts w:hint="eastAsia"/>
        </w:rPr>
        <w:t>参与本次重组的资产评估机构、业务资质及签字注册资产评估师。</w:t>
      </w:r>
    </w:p>
    <w:p w14:paraId="17A6DB53" w14:textId="77777777" w:rsidR="00E155F1" w:rsidRDefault="00E155F1" w:rsidP="00E155F1">
      <w:pPr>
        <w:pStyle w:val="ab"/>
        <w:spacing w:before="62" w:after="62"/>
        <w:ind w:firstLine="482"/>
      </w:pPr>
      <w:r>
        <w:rPr>
          <w:rFonts w:hint="eastAsia"/>
        </w:rPr>
        <w:t>二、评估对象与评估范围</w:t>
      </w:r>
    </w:p>
    <w:p w14:paraId="7738B6E5" w14:textId="77777777" w:rsidR="00E155F1" w:rsidRDefault="00E155F1" w:rsidP="00E155F1">
      <w:pPr>
        <w:pStyle w:val="13"/>
      </w:pPr>
      <w:r>
        <w:rPr>
          <w:rFonts w:hint="eastAsia"/>
        </w:rPr>
        <w:t>资产评估的评估对象、评估范围、对应各评估基准日被评估企业主要资产的情况介绍及评估基准日至重组报告</w:t>
      </w:r>
      <w:proofErr w:type="gramStart"/>
      <w:r>
        <w:rPr>
          <w:rFonts w:hint="eastAsia"/>
        </w:rPr>
        <w:t>日主要</w:t>
      </w:r>
      <w:proofErr w:type="gramEnd"/>
      <w:r>
        <w:rPr>
          <w:rFonts w:hint="eastAsia"/>
        </w:rPr>
        <w:t>资产的重要变化事项（如有）。</w:t>
      </w:r>
    </w:p>
    <w:p w14:paraId="55CD74CA" w14:textId="77777777" w:rsidR="00E155F1" w:rsidRDefault="00E155F1" w:rsidP="00E155F1">
      <w:pPr>
        <w:pStyle w:val="ab"/>
        <w:spacing w:before="62" w:after="62"/>
        <w:ind w:firstLine="482"/>
      </w:pPr>
      <w:r>
        <w:rPr>
          <w:rFonts w:hint="eastAsia"/>
        </w:rPr>
        <w:t>三、重要假设</w:t>
      </w:r>
    </w:p>
    <w:p w14:paraId="46063E20" w14:textId="77777777" w:rsidR="00E155F1" w:rsidRDefault="00E155F1" w:rsidP="00E155F1">
      <w:pPr>
        <w:pStyle w:val="13"/>
      </w:pPr>
      <w:r>
        <w:rPr>
          <w:rFonts w:hint="eastAsia"/>
        </w:rPr>
        <w:t>对评估结论有重要影响的评估假设，如宏观和外部环境假设及根据被评估企业自身状况所采用的特定假设等。</w:t>
      </w:r>
    </w:p>
    <w:p w14:paraId="788A3C2B" w14:textId="77777777" w:rsidR="00E155F1" w:rsidRDefault="00E155F1" w:rsidP="00E155F1">
      <w:pPr>
        <w:pStyle w:val="ab"/>
        <w:spacing w:before="62" w:after="62"/>
        <w:ind w:firstLine="482"/>
      </w:pPr>
      <w:r>
        <w:rPr>
          <w:rFonts w:hint="eastAsia"/>
        </w:rPr>
        <w:t>四、评估方法及重要评估参数</w:t>
      </w:r>
    </w:p>
    <w:p w14:paraId="6A33490F" w14:textId="77777777" w:rsidR="00E155F1" w:rsidRDefault="00E155F1" w:rsidP="00E155F1">
      <w:pPr>
        <w:pStyle w:val="13"/>
      </w:pPr>
      <w:r>
        <w:rPr>
          <w:rFonts w:hint="eastAsia"/>
        </w:rPr>
        <w:t>选用的评估方法和重要评估参数，以及相关依据。具体如下：</w:t>
      </w:r>
    </w:p>
    <w:p w14:paraId="4C86C600" w14:textId="77777777" w:rsidR="00E155F1" w:rsidRDefault="00E155F1" w:rsidP="00E155F1">
      <w:pPr>
        <w:pStyle w:val="13"/>
      </w:pPr>
      <w:r>
        <w:rPr>
          <w:rFonts w:hint="eastAsia"/>
        </w:rPr>
        <w:t>（一）收益法：收益</w:t>
      </w:r>
      <w:proofErr w:type="gramStart"/>
      <w:r>
        <w:rPr>
          <w:rFonts w:hint="eastAsia"/>
        </w:rPr>
        <w:t>法具体</w:t>
      </w:r>
      <w:proofErr w:type="gramEnd"/>
      <w:r>
        <w:rPr>
          <w:rFonts w:hint="eastAsia"/>
        </w:rPr>
        <w:t>模型、经营现金流、折现率确定方法、评估值测算过</w:t>
      </w:r>
      <w:r>
        <w:rPr>
          <w:rFonts w:hint="eastAsia"/>
        </w:rPr>
        <w:lastRenderedPageBreak/>
        <w:t>程、非经营性和</w:t>
      </w:r>
      <w:proofErr w:type="gramStart"/>
      <w:r>
        <w:rPr>
          <w:rFonts w:hint="eastAsia"/>
        </w:rPr>
        <w:t>溢余</w:t>
      </w:r>
      <w:proofErr w:type="gramEnd"/>
      <w:r>
        <w:rPr>
          <w:rFonts w:hint="eastAsia"/>
        </w:rPr>
        <w:t>资产的分析与确认等。</w:t>
      </w:r>
    </w:p>
    <w:p w14:paraId="6966CA02" w14:textId="77777777" w:rsidR="00E155F1" w:rsidRDefault="00E155F1" w:rsidP="00E155F1">
      <w:pPr>
        <w:pStyle w:val="13"/>
      </w:pPr>
      <w:r>
        <w:rPr>
          <w:rFonts w:hint="eastAsia"/>
        </w:rPr>
        <w:t>（二）市场法：市场</w:t>
      </w:r>
      <w:proofErr w:type="gramStart"/>
      <w:r>
        <w:rPr>
          <w:rFonts w:hint="eastAsia"/>
        </w:rPr>
        <w:t>法具体</w:t>
      </w:r>
      <w:proofErr w:type="gramEnd"/>
      <w:r>
        <w:rPr>
          <w:rFonts w:hint="eastAsia"/>
        </w:rPr>
        <w:t>模型、比较乘数的选取及理由、可比对象或可比案例的选取原则、调整因素和流动性折扣的考虑测算等。</w:t>
      </w:r>
    </w:p>
    <w:p w14:paraId="2760B107" w14:textId="77777777" w:rsidR="00E155F1" w:rsidRDefault="00E155F1" w:rsidP="00E155F1">
      <w:pPr>
        <w:pStyle w:val="13"/>
      </w:pPr>
      <w:r>
        <w:rPr>
          <w:rFonts w:hint="eastAsia"/>
        </w:rPr>
        <w:t>（三）资产基础法：主要资产的评估方法及评估结果等，如：房地产企业的存</w:t>
      </w:r>
      <w:r>
        <w:t>货、矿产资源类企业的矿业权、生产型企业的主要房屋和关键设备等固定资产、科技创新企业的核心技术等无形资产、投资型企业的长期股权投资、主要资产为土地使用权的企业的相关土地使用权等。</w:t>
      </w:r>
    </w:p>
    <w:p w14:paraId="43742E83" w14:textId="77777777" w:rsidR="00E155F1" w:rsidRDefault="00E155F1" w:rsidP="00E155F1">
      <w:pPr>
        <w:pStyle w:val="13"/>
      </w:pPr>
      <w:r>
        <w:rPr>
          <w:rFonts w:hint="eastAsia"/>
        </w:rPr>
        <w:t>（四）涉及引用其他</w:t>
      </w:r>
      <w:r>
        <w:t>评估机构报告内容（如矿业权评估报告、土地估价报告等）、特殊类别资产（如珠宝、林权、生物资产等）相关第三</w:t>
      </w:r>
      <w:proofErr w:type="gramStart"/>
      <w:r>
        <w:t>方专业</w:t>
      </w:r>
      <w:proofErr w:type="gramEnd"/>
      <w:r>
        <w:t>鉴定等估值资料</w:t>
      </w:r>
      <w:r>
        <w:rPr>
          <w:rFonts w:hint="eastAsia"/>
        </w:rPr>
        <w:t>的，应对其相关专业机构、业务资质、签字评估师或鉴定师、估值情况及结果进行必要披露。</w:t>
      </w:r>
    </w:p>
    <w:p w14:paraId="5B2930AE" w14:textId="77777777" w:rsidR="00E155F1" w:rsidRDefault="00E155F1" w:rsidP="00E155F1">
      <w:pPr>
        <w:pStyle w:val="13"/>
      </w:pPr>
      <w:r>
        <w:rPr>
          <w:rFonts w:hint="eastAsia"/>
        </w:rPr>
        <w:t>（五）标的资产涉及多家企业，或长期股权投资数量较多的情况，应分别披露或列表说明。</w:t>
      </w:r>
    </w:p>
    <w:p w14:paraId="563D5BED" w14:textId="77777777" w:rsidR="00E155F1" w:rsidRDefault="00E155F1" w:rsidP="00E155F1">
      <w:pPr>
        <w:pStyle w:val="ab"/>
        <w:spacing w:before="62" w:after="62"/>
        <w:ind w:firstLine="482"/>
      </w:pPr>
      <w:r>
        <w:rPr>
          <w:rFonts w:hint="eastAsia"/>
        </w:rPr>
        <w:t>五、评估结论</w:t>
      </w:r>
    </w:p>
    <w:p w14:paraId="0AFC6F57" w14:textId="77777777" w:rsidR="00E155F1" w:rsidRDefault="00E155F1" w:rsidP="00E155F1">
      <w:pPr>
        <w:pStyle w:val="13"/>
      </w:pPr>
      <w:r>
        <w:rPr>
          <w:rFonts w:hint="eastAsia"/>
        </w:rPr>
        <w:t>标的资产的账面价值、所采用的评估方法、评估结果、增减值幅度、增减</w:t>
      </w:r>
      <w:proofErr w:type="gramStart"/>
      <w:r>
        <w:rPr>
          <w:rFonts w:hint="eastAsia"/>
        </w:rPr>
        <w:t>值主要</w:t>
      </w:r>
      <w:proofErr w:type="gramEnd"/>
      <w:r>
        <w:rPr>
          <w:rFonts w:hint="eastAsia"/>
        </w:rPr>
        <w:t>原因、不同评估方法评估结果的差异及其原因、最终确定评估结论的理由。</w:t>
      </w:r>
    </w:p>
    <w:p w14:paraId="114800B9" w14:textId="77777777" w:rsidR="00E155F1" w:rsidRDefault="00E155F1" w:rsidP="00E155F1">
      <w:pPr>
        <w:pStyle w:val="ab"/>
        <w:spacing w:before="62" w:after="62"/>
        <w:ind w:firstLine="482"/>
      </w:pPr>
      <w:r>
        <w:rPr>
          <w:rFonts w:hint="eastAsia"/>
        </w:rPr>
        <w:t>六、影响评估结论的其他重要因素</w:t>
      </w:r>
    </w:p>
    <w:p w14:paraId="125081D1" w14:textId="77777777" w:rsidR="00E155F1" w:rsidRDefault="00E155F1" w:rsidP="00E155F1">
      <w:pPr>
        <w:pStyle w:val="13"/>
      </w:pPr>
      <w:r>
        <w:rPr>
          <w:rFonts w:hint="eastAsia"/>
        </w:rPr>
        <w:t>存在评估特殊处理、评估结论瑕疵等特别事项及期后事项的，应当进行说明并分析其对评估结论的影响；存在前述情况或因评估程序受限造成评估报告使用受限的，</w:t>
      </w:r>
      <w:r>
        <w:t>应提请报告使用者关注。</w:t>
      </w:r>
    </w:p>
    <w:p w14:paraId="41033BE6" w14:textId="77777777" w:rsidR="00FA0363" w:rsidRDefault="00FA0363" w:rsidP="00FA0363">
      <w:pPr>
        <w:pStyle w:val="31"/>
        <w:spacing w:before="156" w:after="62"/>
      </w:pPr>
      <w:bookmarkStart w:id="281" w:name="_Toc81833514"/>
      <w:r>
        <w:rPr>
          <w:rFonts w:hint="eastAsia"/>
        </w:rPr>
        <w:t>《关于企业重组有关职工安置费用财务管理问题的通知》（财企〔</w:t>
      </w:r>
      <w:r>
        <w:t>2009〕117号）</w:t>
      </w:r>
      <w:bookmarkEnd w:id="281"/>
    </w:p>
    <w:p w14:paraId="341DBAC6" w14:textId="3FF50A03" w:rsidR="00FA0363" w:rsidRDefault="00FA0363" w:rsidP="00FA0363">
      <w:pPr>
        <w:pStyle w:val="13"/>
      </w:pPr>
      <w:r>
        <w:rPr>
          <w:rFonts w:hint="eastAsia"/>
        </w:rPr>
        <w:t>七、企业重组涉及产权转让的，按照本通知第一条、第二条规定应当支付、缴付或者预提的各项职工安置费用，在资产评估之前不得从拟转让的净资产中扣除，也不得从转让价款中直接抵扣，应当从产权转让收入中优先支付。对已经按照《企业会计准则》预提的职工安置费用余额，在资产评估之前应当调增拟转让的净资产。</w:t>
      </w:r>
    </w:p>
    <w:p w14:paraId="0342D7FD" w14:textId="77777777" w:rsidR="00E155F1" w:rsidRDefault="00E155F1" w:rsidP="00E155F1">
      <w:pPr>
        <w:pStyle w:val="31"/>
        <w:spacing w:before="156" w:after="62"/>
      </w:pPr>
      <w:bookmarkStart w:id="282" w:name="_Toc81833515"/>
      <w:r>
        <w:rPr>
          <w:rFonts w:hint="eastAsia"/>
        </w:rPr>
        <w:t>《国务院关于促进企业兼并重组的意见》（国发〔</w:t>
      </w:r>
      <w:r>
        <w:t>2010〕27号）</w:t>
      </w:r>
      <w:bookmarkEnd w:id="282"/>
    </w:p>
    <w:p w14:paraId="3664A821" w14:textId="77777777" w:rsidR="00E155F1" w:rsidRDefault="00E155F1" w:rsidP="00E155F1">
      <w:pPr>
        <w:pStyle w:val="13"/>
      </w:pPr>
      <w:r>
        <w:rPr>
          <w:rFonts w:hint="eastAsia"/>
        </w:rPr>
        <w:t>四、加强对企业兼并重组的引导和政策扶持</w:t>
      </w:r>
    </w:p>
    <w:p w14:paraId="4E92BBB4" w14:textId="6E37BE55" w:rsidR="00E155F1" w:rsidRDefault="00E155F1" w:rsidP="00E155F1">
      <w:pPr>
        <w:pStyle w:val="13"/>
      </w:pPr>
      <w:r>
        <w:rPr>
          <w:rFonts w:hint="eastAsia"/>
        </w:rPr>
        <w:t>（一）落实税收优惠政策。研究完善支持企业兼并重组的财税政策。对企业兼并重组涉及的资产评估增值、债务重组收益、土地房屋权属转移等给予税收优惠，具体按照财政部、税务总局《关于企业兼并重组业务企业所得税处理若干问题的通知》（财税〔</w:t>
      </w:r>
      <w:r>
        <w:t>2009〕59号）、《关于企业改制重组若干契税政策的通知》（财税〔2008〕175号）等规定执行。</w:t>
      </w:r>
    </w:p>
    <w:p w14:paraId="6B8DA9D4" w14:textId="77777777" w:rsidR="00E155F1" w:rsidRDefault="00E155F1" w:rsidP="00E155F1">
      <w:pPr>
        <w:pStyle w:val="13"/>
      </w:pPr>
    </w:p>
    <w:p w14:paraId="1F1D51F2" w14:textId="77777777" w:rsidR="00E155F1" w:rsidRDefault="00E155F1" w:rsidP="00E155F1">
      <w:pPr>
        <w:pStyle w:val="31"/>
        <w:spacing w:before="156" w:after="62"/>
      </w:pPr>
      <w:bookmarkStart w:id="283" w:name="_Toc81833516"/>
      <w:r>
        <w:rPr>
          <w:rFonts w:hint="eastAsia"/>
        </w:rPr>
        <w:lastRenderedPageBreak/>
        <w:t>上交所：上市公司重大资产重组信息披露工作备忘录（第六号）：</w:t>
      </w:r>
      <w:r>
        <w:br w:type="textWrapping" w:clear="all"/>
      </w:r>
      <w:r>
        <w:rPr>
          <w:rFonts w:hint="eastAsia"/>
        </w:rPr>
        <w:t>资产评估相关信息披露（</w:t>
      </w:r>
      <w:r>
        <w:t>2012年8月修订）</w:t>
      </w:r>
      <w:bookmarkEnd w:id="283"/>
    </w:p>
    <w:p w14:paraId="42DD7553" w14:textId="77777777" w:rsidR="00E155F1" w:rsidRDefault="00E155F1" w:rsidP="00E155F1">
      <w:pPr>
        <w:pStyle w:val="13"/>
      </w:pPr>
      <w:r>
        <w:rPr>
          <w:rFonts w:hint="eastAsia"/>
        </w:rPr>
        <w:t>上市公司根据《上市公司重大资产重组管理办法》等规定聘请具有执行证券、期货相关业务资格的评估机构（以下简称“评估机构”）对相关标的资产进行评估，并披露的资产评估结论等信息的，应当按照以下原则履行信息披露义务：</w:t>
      </w:r>
    </w:p>
    <w:p w14:paraId="44EAC4C6" w14:textId="77777777" w:rsidR="00E155F1" w:rsidRDefault="00E155F1" w:rsidP="00E155F1">
      <w:pPr>
        <w:pStyle w:val="ab"/>
        <w:spacing w:before="62" w:after="62"/>
        <w:ind w:firstLine="482"/>
      </w:pPr>
      <w:r>
        <w:rPr>
          <w:rFonts w:hint="eastAsia"/>
        </w:rPr>
        <w:t>一、资产评估事项相关程序性要求</w:t>
      </w:r>
    </w:p>
    <w:p w14:paraId="7D8BAEAD" w14:textId="77777777" w:rsidR="00E155F1" w:rsidRDefault="00E155F1" w:rsidP="00E155F1">
      <w:pPr>
        <w:pStyle w:val="13"/>
      </w:pPr>
      <w:r>
        <w:t>1、上市公司重大资产重组涉及资产评估事项的，董事会在审议重大资产重组报告书时，应当对评估机构的独立性、评估假设前提的合理性、评估方法选取与评估目的及评估资产状况的相关性以及评估定价的公允</w:t>
      </w:r>
      <w:proofErr w:type="gramStart"/>
      <w:r>
        <w:t>性发表</w:t>
      </w:r>
      <w:proofErr w:type="gramEnd"/>
      <w:r>
        <w:t>明确意见。上市公司独立董事应当对评估机构的独立性、评估假设前提的合理性和评估定价的公允</w:t>
      </w:r>
      <w:proofErr w:type="gramStart"/>
      <w:r>
        <w:t>性发表</w:t>
      </w:r>
      <w:proofErr w:type="gramEnd"/>
      <w:r>
        <w:t>独立意见。</w:t>
      </w:r>
    </w:p>
    <w:p w14:paraId="72B91F60" w14:textId="77777777" w:rsidR="00E155F1" w:rsidRDefault="00E155F1" w:rsidP="00E155F1">
      <w:pPr>
        <w:pStyle w:val="13"/>
      </w:pPr>
      <w:r>
        <w:t>2、评估机构使用收益法等基于未来收益预期的估值方法（含假设开发法）对相关资产进行评估的，上市公司董事会应当对预期未来各年度收益或现金流量等重要评估依据，计算模型所采用的折现率等重要评估参数及评估结论的合理性发表意见。</w:t>
      </w:r>
    </w:p>
    <w:p w14:paraId="42F5A1E2" w14:textId="77777777" w:rsidR="00E155F1" w:rsidRDefault="00E155F1" w:rsidP="00E155F1">
      <w:pPr>
        <w:pStyle w:val="13"/>
      </w:pPr>
      <w:r>
        <w:t>3、评估机构应对评估对象所涉及交易、收入、支出、投资等业务的合法性、未来预测的可靠性取得充分证据，充分考虑未来各种可能性发生的概率及其影响，不得根据不切实际的各种简单假设进行随意评估。</w:t>
      </w:r>
    </w:p>
    <w:p w14:paraId="64502641" w14:textId="77777777" w:rsidR="00E155F1" w:rsidRDefault="00E155F1" w:rsidP="00E155F1">
      <w:pPr>
        <w:pStyle w:val="ab"/>
        <w:spacing w:before="62" w:after="62"/>
        <w:ind w:firstLine="482"/>
      </w:pPr>
      <w:r>
        <w:rPr>
          <w:rFonts w:hint="eastAsia"/>
        </w:rPr>
        <w:t>二、资产评估相关信息披露要求</w:t>
      </w:r>
    </w:p>
    <w:p w14:paraId="71D86C91" w14:textId="77777777" w:rsidR="00E155F1" w:rsidRDefault="00E155F1" w:rsidP="00E155F1">
      <w:pPr>
        <w:pStyle w:val="13"/>
      </w:pPr>
      <w:r>
        <w:t>1、上市公司重大资产重组涉及资产评估事项的，应当在重大资产重组报告书中详细披露评估机构名称以及是否具有执行证券、期货业务资格、评估基准日、评估方法，并以评估前后对照的方式列示评估结果。</w:t>
      </w:r>
    </w:p>
    <w:p w14:paraId="16C9F888" w14:textId="77777777" w:rsidR="00E155F1" w:rsidRDefault="00E155F1" w:rsidP="00E155F1">
      <w:pPr>
        <w:pStyle w:val="13"/>
      </w:pPr>
      <w:r>
        <w:rPr>
          <w:rFonts w:hint="eastAsia"/>
        </w:rPr>
        <w:t>评估报告利用或参考其他机构报告结论的，上市公司应当参照前款规定披露其他机构报告的上述信息。</w:t>
      </w:r>
    </w:p>
    <w:p w14:paraId="5D5024A3" w14:textId="77777777" w:rsidR="00E155F1" w:rsidRDefault="00E155F1" w:rsidP="00E155F1">
      <w:pPr>
        <w:pStyle w:val="13"/>
      </w:pPr>
      <w:r>
        <w:t>2、上市公司披露资产评估相关信息时，应当完整、恰当引用评估报告的相关内容，使用通俗易懂的语言，对相关专业术语</w:t>
      </w:r>
      <w:proofErr w:type="gramStart"/>
      <w:r>
        <w:t>作出</w:t>
      </w:r>
      <w:proofErr w:type="gramEnd"/>
      <w:r>
        <w:t>明确的解释，使投资者能够</w:t>
      </w:r>
      <w:proofErr w:type="gramStart"/>
      <w:r>
        <w:t>合理理解</w:t>
      </w:r>
      <w:proofErr w:type="gramEnd"/>
      <w:r>
        <w:t>评估结</w:t>
      </w:r>
      <w:r>
        <w:rPr>
          <w:rFonts w:hint="eastAsia"/>
        </w:rPr>
        <w:t>论，不得使用误导性的表述。</w:t>
      </w:r>
    </w:p>
    <w:p w14:paraId="669A79FF" w14:textId="77777777" w:rsidR="00E155F1" w:rsidRDefault="00E155F1" w:rsidP="00E155F1">
      <w:pPr>
        <w:pStyle w:val="13"/>
      </w:pPr>
      <w:r>
        <w:t>3、评估报告显示标的资产净额或标的资产中</w:t>
      </w:r>
      <w:proofErr w:type="gramStart"/>
      <w:r>
        <w:t>占比较</w:t>
      </w:r>
      <w:proofErr w:type="gramEnd"/>
      <w:r>
        <w:t>大的某一类（项）资产的评估值与账面值存在较大增值或减值（超过50%），或标的资产整体评估值与其过去三年内历史交易价格存在较大差异（超过50%）的，上市公司应当视所采用的不同评估方法分别按照以下第4、5、6、7条的要求详细披露其原因及评估结果的推算过程。上市公司董事会或本所认为必要的，财务顾问应当采用同行业市盈率法、</w:t>
      </w:r>
      <w:proofErr w:type="gramStart"/>
      <w:r>
        <w:t>市净率</w:t>
      </w:r>
      <w:proofErr w:type="gramEnd"/>
      <w:r>
        <w:t>法等其他估值方法对评估结论进行验证，出具核查意见，并予以披露。</w:t>
      </w:r>
    </w:p>
    <w:p w14:paraId="4F472458" w14:textId="77777777" w:rsidR="00E155F1" w:rsidRDefault="00E155F1" w:rsidP="00E155F1">
      <w:pPr>
        <w:pStyle w:val="13"/>
      </w:pPr>
      <w:r>
        <w:t>4、采用收益法等基于未来收益预期的方法进行评估（含假设开发法）的，上市</w:t>
      </w:r>
      <w:r>
        <w:lastRenderedPageBreak/>
        <w:t>公司应当根据标的资产特点详细披露预期未来各年度收益或现金流量等重要评估依据，包括预期产品产销量或开发销售面积、销售价格、采购成本、费用预算等。同时，上市公司还应当披露计算模型所采用的折现率、预期未来各年度收益或现金流量增长率、销售毛利率等重要评估参数，充分说明有关评估依据和参数确定的理由。</w:t>
      </w:r>
    </w:p>
    <w:p w14:paraId="774A35B5" w14:textId="77777777" w:rsidR="00E155F1" w:rsidRDefault="00E155F1" w:rsidP="00E155F1">
      <w:pPr>
        <w:pStyle w:val="13"/>
      </w:pPr>
      <w:r>
        <w:rPr>
          <w:rFonts w:hint="eastAsia"/>
        </w:rPr>
        <w:t>评估报告所采用的预期产品产销量、销售价格、收益或现金流量等评估依据与评估标的已实现的历史数据存在重大差异或与有关变动趋势相背离的，上市公司应当详细解释该评估依据的合理性，提供相关证明材料，并予以披露。</w:t>
      </w:r>
    </w:p>
    <w:p w14:paraId="74FB569D" w14:textId="77777777" w:rsidR="00E155F1" w:rsidRDefault="00E155F1" w:rsidP="00E155F1">
      <w:pPr>
        <w:pStyle w:val="13"/>
      </w:pPr>
      <w:r>
        <w:rPr>
          <w:rFonts w:hint="eastAsia"/>
        </w:rPr>
        <w:t>相关资产在后续经营过程中，可能受到国家法律、法规更加严格的规制，或受到自然因素、经济因素、技术因素的严重制约，导致相关评估标的在未来年度能否实现预期收入、收益或现金流量存在重大不确定性的，上市公司应当详细披露相应解决措施，并充分提示相关风险。</w:t>
      </w:r>
    </w:p>
    <w:p w14:paraId="6936BA98" w14:textId="77777777" w:rsidR="00E155F1" w:rsidRDefault="00E155F1" w:rsidP="00E155F1">
      <w:pPr>
        <w:pStyle w:val="13"/>
      </w:pPr>
      <w:r>
        <w:rPr>
          <w:rFonts w:hint="eastAsia"/>
        </w:rPr>
        <w:t>评估标的为矿业权，且其矿产资源资源储量报告或矿产资源开发利用方案未经有权部门审核备案，或尚未取得相关探矿权、采矿权许可证的，上市公司董事会应当详细披露原因、解决措施，</w:t>
      </w:r>
      <w:proofErr w:type="gramStart"/>
      <w:r>
        <w:rPr>
          <w:rFonts w:hint="eastAsia"/>
        </w:rPr>
        <w:t>作出</w:t>
      </w:r>
      <w:proofErr w:type="gramEnd"/>
      <w:r>
        <w:rPr>
          <w:rFonts w:hint="eastAsia"/>
        </w:rPr>
        <w:t>相关承诺，分析后续支出对评估结论的影响（如适用），并充分提示相关风险。独立董事应当对该等措施的合理性出具独立意见。</w:t>
      </w:r>
    </w:p>
    <w:p w14:paraId="73A15945" w14:textId="77777777" w:rsidR="00E155F1" w:rsidRDefault="00E155F1" w:rsidP="00E155F1">
      <w:pPr>
        <w:pStyle w:val="13"/>
      </w:pPr>
      <w:r>
        <w:t>5、采用市场法进行评估的，上市公司应当明确说明评估标的存在活跃的市场、相似的参照物、以及可比量化的指标和技术经济参数的情况，详细披露具有合理比较基础的可比交易案例，根据宏观经济条件、交易条件、行业状况的变化，以及评估标的收益能力、竞争能力、技术水平、地理位置、时间因素等情况对可比交易案例进行的调整，从而得出评估结论的过程。</w:t>
      </w:r>
    </w:p>
    <w:p w14:paraId="0FEA962B" w14:textId="77777777" w:rsidR="00E155F1" w:rsidRDefault="00E155F1" w:rsidP="00E155F1">
      <w:pPr>
        <w:pStyle w:val="13"/>
      </w:pPr>
      <w:r>
        <w:t>6、采用成本法进行评估的，上市公司应当充分披露重置成本中重大成本项目的构成情况，现行价格、费用标准与原始成本存在重大差异的，还应当详细解释其原因。</w:t>
      </w:r>
    </w:p>
    <w:p w14:paraId="358FAAE4" w14:textId="77777777" w:rsidR="00E155F1" w:rsidRDefault="00E155F1" w:rsidP="00E155F1">
      <w:pPr>
        <w:pStyle w:val="13"/>
      </w:pPr>
      <w:r>
        <w:t>7、采用多种评估方法进行评估，并按照一定的价值分析原理或计算模型等方法综合确定标的资产评估值的，上市公司还应当充分披露该等方法合理性及其理由。</w:t>
      </w:r>
    </w:p>
    <w:p w14:paraId="639BBA4D" w14:textId="77777777" w:rsidR="00E155F1" w:rsidRDefault="00E155F1" w:rsidP="00E155F1">
      <w:pPr>
        <w:pStyle w:val="13"/>
      </w:pPr>
      <w:r>
        <w:t>8、评估基准日至相关评估结果披露日期间，发生可能对评估结论产生重大影响的事项的，上市公司应当充分披露相关事项对评估结论的影响程度，必要时上市公司应当聘请评估机构就此出具专业意见。</w:t>
      </w:r>
    </w:p>
    <w:p w14:paraId="68471521" w14:textId="77777777" w:rsidR="00E155F1" w:rsidRDefault="00E155F1" w:rsidP="00E155F1">
      <w:pPr>
        <w:pStyle w:val="13"/>
      </w:pPr>
      <w:r>
        <w:t>9、上市公司应当根据上述具体情况，结合资产评估报告书“特别事项说明”相关事项，在重大资产重组报告书中充分提示资产评估事项的风险。</w:t>
      </w:r>
    </w:p>
    <w:p w14:paraId="0A02882E" w14:textId="77777777" w:rsidR="00E155F1" w:rsidRDefault="00E155F1" w:rsidP="00E155F1">
      <w:pPr>
        <w:pStyle w:val="13"/>
      </w:pPr>
      <w:r>
        <w:t>10、上市公司在重大资产重组过程中，评估报告使用收益法等基于未来收益预期的方法（含假设开发法）的，应当在重大资产重组完成后连续三个会计年度（</w:t>
      </w:r>
      <w:proofErr w:type="gramStart"/>
      <w:r>
        <w:t>含完成</w:t>
      </w:r>
      <w:proofErr w:type="gramEnd"/>
      <w:r>
        <w:t>当年）的年度报告中以对</w:t>
      </w:r>
      <w:proofErr w:type="gramStart"/>
      <w:r>
        <w:t>比列</w:t>
      </w:r>
      <w:proofErr w:type="gramEnd"/>
      <w:r>
        <w:t>示的方式披露相关标的资产利润的原预测数和实际实现数。凡不属于公司管理层事前无法预测且事后无法控制的原因，相关标的资产利润</w:t>
      </w:r>
      <w:proofErr w:type="gramStart"/>
      <w:r>
        <w:t>实现数未达到</w:t>
      </w:r>
      <w:proofErr w:type="gramEnd"/>
      <w:r>
        <w:t>原预测数90%的，公司董事会及其聘请的评估</w:t>
      </w:r>
      <w:proofErr w:type="gramStart"/>
      <w:r>
        <w:t>师应当</w:t>
      </w:r>
      <w:proofErr w:type="gramEnd"/>
      <w:r>
        <w:t>在股东大会及指定</w:t>
      </w:r>
      <w:r>
        <w:lastRenderedPageBreak/>
        <w:t>报刊上</w:t>
      </w:r>
      <w:proofErr w:type="gramStart"/>
      <w:r>
        <w:t>作出</w:t>
      </w:r>
      <w:proofErr w:type="gramEnd"/>
      <w:r>
        <w:t>解释，并向投资者公开道歉；未达到原预测数80%的，公司董事会及</w:t>
      </w:r>
      <w:proofErr w:type="gramStart"/>
      <w:r>
        <w:t>评估师除公开</w:t>
      </w:r>
      <w:proofErr w:type="gramEnd"/>
      <w:r>
        <w:t>解释并道歉以外，本所公司管理部将视年度报告事后审查</w:t>
      </w:r>
      <w:r>
        <w:rPr>
          <w:rFonts w:hint="eastAsia"/>
        </w:rPr>
        <w:t>情况，根据本所《股票上市规则》的规定</w:t>
      </w:r>
      <w:r>
        <w:t>对公司董事会或评估机构及人员采取监管措施；对有意提供虚假资料，出具虚假评估报告，误导投资者的，本所公司管理</w:t>
      </w:r>
      <w:proofErr w:type="gramStart"/>
      <w:r>
        <w:t>部将报</w:t>
      </w:r>
      <w:proofErr w:type="gramEnd"/>
      <w:r>
        <w:t>中国证监会查处。</w:t>
      </w:r>
    </w:p>
    <w:p w14:paraId="1E2F037C" w14:textId="7EF6B57E" w:rsidR="00E155F1" w:rsidRDefault="00E155F1" w:rsidP="00E155F1">
      <w:pPr>
        <w:pStyle w:val="13"/>
        <w:jc w:val="right"/>
      </w:pPr>
      <w:r>
        <w:rPr>
          <w:rFonts w:hint="eastAsia"/>
        </w:rPr>
        <w:t>二〇一二年八月三日</w:t>
      </w:r>
    </w:p>
    <w:p w14:paraId="11ACE989" w14:textId="77777777" w:rsidR="00E155F1" w:rsidRDefault="00E155F1" w:rsidP="00E155F1">
      <w:pPr>
        <w:pStyle w:val="31"/>
        <w:spacing w:before="156" w:after="62"/>
      </w:pPr>
      <w:bookmarkStart w:id="284" w:name="_Toc81833517"/>
      <w:r>
        <w:rPr>
          <w:rFonts w:hint="eastAsia"/>
        </w:rPr>
        <w:t>《上市公司收购管理办法》（证监会令第</w:t>
      </w:r>
      <w:r>
        <w:t>108号2014年修订）</w:t>
      </w:r>
      <w:bookmarkEnd w:id="284"/>
    </w:p>
    <w:p w14:paraId="3187EA10" w14:textId="77777777" w:rsidR="00E155F1" w:rsidRDefault="00E155F1" w:rsidP="00E155F1">
      <w:pPr>
        <w:pStyle w:val="13"/>
        <w:ind w:firstLine="482"/>
      </w:pPr>
      <w:r w:rsidRPr="00EC725A">
        <w:rPr>
          <w:rFonts w:hint="eastAsia"/>
          <w:b/>
          <w:bCs/>
        </w:rPr>
        <w:t>第五十一条</w:t>
      </w:r>
      <w:r>
        <w:rPr>
          <w:b/>
          <w:bCs/>
        </w:rPr>
        <w:t xml:space="preserve"> </w:t>
      </w:r>
      <w:r>
        <w:t>上市公司董事、监事、高级管理人员、员工或者其所控制或者委托的法人或者其他组织，拟对本公司进行收购或者通过本办法第五章规定的方式取得本公司控制权（以下简称管理层收购）的，该上市公司应当具备健全且运行良好的组织机构以及有效的内部控制制度，公司董事会成员中独立董事的比例应当达到或者超过1/2。公司应当聘请具有证券、期货从业资格的资产评估机构提供公司资产评估报告，</w:t>
      </w:r>
    </w:p>
    <w:p w14:paraId="462B319E" w14:textId="77777777" w:rsidR="00E155F1" w:rsidRDefault="00E155F1" w:rsidP="00E155F1">
      <w:pPr>
        <w:pStyle w:val="13"/>
      </w:pPr>
      <w:r>
        <w:rPr>
          <w:rFonts w:hint="eastAsia"/>
        </w:rPr>
        <w:t>本次收购应当经董事会非关联董事</w:t>
      </w:r>
      <w:proofErr w:type="gramStart"/>
      <w:r>
        <w:rPr>
          <w:rFonts w:hint="eastAsia"/>
        </w:rPr>
        <w:t>作出</w:t>
      </w:r>
      <w:proofErr w:type="gramEnd"/>
      <w:r>
        <w:rPr>
          <w:rFonts w:hint="eastAsia"/>
        </w:rPr>
        <w:t>决议，且取得</w:t>
      </w:r>
      <w:r>
        <w:t>2/3以上的独立董事同意后，提交公司股东大会审议，经出席股东大会的非关联股东所持表决权过半数通过。独立董事发表意见前，应当聘请独立财务顾问就本次收购出具专业意见，独立董事及独立财务顾问的意见应当一并予以公告。</w:t>
      </w:r>
    </w:p>
    <w:p w14:paraId="021B5105" w14:textId="77777777" w:rsidR="00E155F1" w:rsidRDefault="00E155F1" w:rsidP="00E155F1">
      <w:pPr>
        <w:pStyle w:val="13"/>
      </w:pPr>
      <w:r>
        <w:rPr>
          <w:rFonts w:hint="eastAsia"/>
        </w:rPr>
        <w:t>上市公司董事、监事、高级管理人员存在《公司法》第一百四十八条规定情形，</w:t>
      </w:r>
      <w:r>
        <w:t>或者最近3年有证券市场不良诚信记录的，不得收购本公司。</w:t>
      </w:r>
    </w:p>
    <w:p w14:paraId="6CFFDF64" w14:textId="77777777" w:rsidR="00E155F1" w:rsidRDefault="00E155F1" w:rsidP="00E155F1">
      <w:pPr>
        <w:pStyle w:val="13"/>
        <w:ind w:firstLine="482"/>
      </w:pPr>
      <w:r w:rsidRPr="00EC725A">
        <w:rPr>
          <w:rFonts w:hint="eastAsia"/>
          <w:b/>
          <w:bCs/>
        </w:rPr>
        <w:t>第八十一条</w:t>
      </w:r>
      <w:r>
        <w:rPr>
          <w:rFonts w:hint="eastAsia"/>
          <w:b/>
          <w:bCs/>
        </w:rPr>
        <w:t xml:space="preserve"> </w:t>
      </w:r>
      <w:r>
        <w:t>为上市公司收购出具资产评估报告、审计报告、法律意见书和财务顾问报告的证券服务机构或者证券公司及其专业人员，未依法履行职责的，中国证监会责令改正，采取监管谈话、出具警示函等监管措施。</w:t>
      </w:r>
    </w:p>
    <w:p w14:paraId="2F29F079" w14:textId="77777777" w:rsidR="00E155F1" w:rsidRDefault="00E155F1" w:rsidP="00E155F1">
      <w:pPr>
        <w:pStyle w:val="13"/>
      </w:pPr>
      <w:r>
        <w:rPr>
          <w:rFonts w:hint="eastAsia"/>
        </w:rPr>
        <w:t>前款规定的证券服务机构及其从业人员被责令改正的，在改正前，不得接受新的上市公司并购重组业务。</w:t>
      </w:r>
    </w:p>
    <w:p w14:paraId="73931E0F" w14:textId="77777777" w:rsidR="00FA0363" w:rsidRDefault="00FA0363" w:rsidP="00FA0363">
      <w:pPr>
        <w:pStyle w:val="31"/>
        <w:spacing w:before="156" w:after="62"/>
      </w:pPr>
      <w:bookmarkStart w:id="285" w:name="_Toc81833518"/>
      <w:r>
        <w:rPr>
          <w:rFonts w:hint="eastAsia"/>
        </w:rPr>
        <w:t>《公开发行证券的公司信息披露内容与格式准则第</w:t>
      </w:r>
      <w:r>
        <w:t>26号—上市公司重大资产重组申请文件》（证监会公告〔2018〕36号）</w:t>
      </w:r>
      <w:bookmarkEnd w:id="285"/>
    </w:p>
    <w:p w14:paraId="6DF5275F" w14:textId="76BAD139" w:rsidR="00FA0363" w:rsidRDefault="004E3EBB" w:rsidP="00FA0363">
      <w:pPr>
        <w:pStyle w:val="ab"/>
        <w:spacing w:before="62" w:after="62"/>
        <w:ind w:firstLine="482"/>
      </w:pPr>
      <w:r w:rsidRPr="004E3EBB">
        <w:rPr>
          <w:rFonts w:hint="eastAsia"/>
        </w:rPr>
        <w:t xml:space="preserve">第七条 </w:t>
      </w:r>
      <w:r w:rsidR="00FA0363">
        <w:t>上市公司编制的重组预案应当至少包括以下内容：</w:t>
      </w:r>
    </w:p>
    <w:p w14:paraId="70F46683" w14:textId="77777777" w:rsidR="00FA0363" w:rsidRDefault="00FA0363" w:rsidP="00FA0363">
      <w:pPr>
        <w:pStyle w:val="13"/>
      </w:pPr>
      <w:r>
        <w:rPr>
          <w:rFonts w:hint="eastAsia"/>
        </w:rPr>
        <w:t>（六）交易标的基本情况，包括报告期（本准则所述报告期指最近两年及一期，</w:t>
      </w:r>
      <w:r>
        <w:t>如初步估算为重组上市的情形，报告期指最近三年及一期）主营业务（主要产品或服务、盈利模式、核心竞争力等概要情况）、主要财务指标（可为未审计数）、预估值及拟定价（如有）等。未披露预估值及拟定价的，应当说明原因及影响。</w:t>
      </w:r>
    </w:p>
    <w:p w14:paraId="6B0DAB4B" w14:textId="77777777" w:rsidR="00FA0363" w:rsidRDefault="00FA0363" w:rsidP="00FA0363">
      <w:pPr>
        <w:pStyle w:val="13"/>
      </w:pPr>
      <w:r>
        <w:rPr>
          <w:rFonts w:hint="eastAsia"/>
        </w:rPr>
        <w:t>相关证券服务机构未完成审计、评估或估值、盈利预测审核（如涉及）的，上市公司应当</w:t>
      </w:r>
      <w:proofErr w:type="gramStart"/>
      <w:r>
        <w:rPr>
          <w:rFonts w:hint="eastAsia"/>
        </w:rPr>
        <w:t>作出</w:t>
      </w:r>
      <w:proofErr w:type="gramEnd"/>
      <w:r>
        <w:rPr>
          <w:rFonts w:hint="eastAsia"/>
        </w:rPr>
        <w:t>“相关资产经审计的财务数据、评估或估值结果、以及经审核的盈利预测数据（如涉及）将在重大资产重组报告书中予以披露”的特别提示以及“相关资产</w:t>
      </w:r>
      <w:r>
        <w:rPr>
          <w:rFonts w:hint="eastAsia"/>
        </w:rPr>
        <w:lastRenderedPageBreak/>
        <w:t>经审计的财务数据、评估或估值最终结果可能与预案披露情况存在较大差异”的风险揭示。</w:t>
      </w:r>
    </w:p>
    <w:p w14:paraId="06715842" w14:textId="3E3F3262" w:rsidR="00FA0363" w:rsidRDefault="00FA0363" w:rsidP="00AF7342">
      <w:pPr>
        <w:pStyle w:val="a9"/>
        <w:spacing w:before="62" w:after="62"/>
      </w:pPr>
      <w:r>
        <w:rPr>
          <w:rFonts w:hint="eastAsia"/>
        </w:rPr>
        <w:t>第三章</w:t>
      </w:r>
      <w:r w:rsidR="00032B5A">
        <w:rPr>
          <w:rFonts w:hint="eastAsia"/>
        </w:rPr>
        <w:t xml:space="preserve"> </w:t>
      </w:r>
      <w:r>
        <w:t>重组报告书</w:t>
      </w:r>
    </w:p>
    <w:p w14:paraId="455380C4" w14:textId="584573BA" w:rsidR="00FA0363" w:rsidRDefault="00E05BDA" w:rsidP="00FA0363">
      <w:pPr>
        <w:pStyle w:val="13"/>
        <w:ind w:firstLine="482"/>
      </w:pPr>
      <w:r w:rsidRPr="00E05BDA">
        <w:rPr>
          <w:rFonts w:hint="eastAsia"/>
          <w:b/>
          <w:bCs/>
        </w:rPr>
        <w:t xml:space="preserve">第十六条 </w:t>
      </w:r>
      <w:r w:rsidR="00FA0363">
        <w:t>交易标的为完整经营性资产的（包括股权或其他构成可独立核算会计主体的经营性资产），应当披露：</w:t>
      </w:r>
    </w:p>
    <w:p w14:paraId="2F7FC029" w14:textId="77777777" w:rsidR="00FA0363" w:rsidRDefault="00FA0363" w:rsidP="00FA0363">
      <w:pPr>
        <w:pStyle w:val="13"/>
      </w:pPr>
      <w:r>
        <w:rPr>
          <w:rFonts w:hint="eastAsia"/>
        </w:rPr>
        <w:t>（八）该经营性资产的权益最近三年曾进行与交易、增资或改制相关的评估或估值的，应当披露相关评估或估值的方法、评估或估值结果及其与账面值的增减情况，</w:t>
      </w:r>
      <w:r>
        <w:t>交易价格、交易对方和增资改制的情况，并列表说明该经营性资产最近三年评估或估值情况与本次重组评估或估值情况的差异原因。</w:t>
      </w:r>
    </w:p>
    <w:p w14:paraId="52FBC062" w14:textId="3D46B24B" w:rsidR="00FA0363" w:rsidRDefault="00E05BDA" w:rsidP="00FA0363">
      <w:pPr>
        <w:pStyle w:val="13"/>
        <w:ind w:firstLine="482"/>
      </w:pPr>
      <w:r w:rsidRPr="00E05BDA">
        <w:rPr>
          <w:rFonts w:hint="eastAsia"/>
          <w:b/>
          <w:bCs/>
        </w:rPr>
        <w:t xml:space="preserve">第十七条 </w:t>
      </w:r>
      <w:r w:rsidR="00FA0363">
        <w:t>交易标的不构成完整经营性资产的，应当披露：</w:t>
      </w:r>
    </w:p>
    <w:p w14:paraId="1F104120" w14:textId="77777777" w:rsidR="00FA0363" w:rsidRDefault="00FA0363" w:rsidP="00FA0363">
      <w:pPr>
        <w:pStyle w:val="13"/>
      </w:pPr>
      <w:r>
        <w:rPr>
          <w:rFonts w:hint="eastAsia"/>
        </w:rPr>
        <w:t>（四）相关资产在最近三年曾进行评估、估值或者交易的，应当披露评估或估值结果、交易价格、交易对方等情况，并列表说明相关资产最近三年评估或估值情况与本次重组评估或估值情况的差异原因。</w:t>
      </w:r>
    </w:p>
    <w:p w14:paraId="4D9F3414" w14:textId="3F9124D7" w:rsidR="00FA0363" w:rsidRDefault="00FA0363" w:rsidP="00AF7342">
      <w:pPr>
        <w:pStyle w:val="a9"/>
        <w:spacing w:before="62" w:after="62"/>
      </w:pPr>
      <w:r>
        <w:rPr>
          <w:rFonts w:hint="eastAsia"/>
        </w:rPr>
        <w:t>第七节</w:t>
      </w:r>
      <w:r w:rsidR="00032B5A">
        <w:rPr>
          <w:rFonts w:hint="eastAsia"/>
        </w:rPr>
        <w:t xml:space="preserve"> </w:t>
      </w:r>
      <w:r>
        <w:t>交易标的评估或估值</w:t>
      </w:r>
    </w:p>
    <w:p w14:paraId="6F9DB9BB" w14:textId="737D750D" w:rsidR="00FA0363" w:rsidRDefault="00E05BDA" w:rsidP="00FA0363">
      <w:pPr>
        <w:pStyle w:val="13"/>
        <w:ind w:firstLine="482"/>
      </w:pPr>
      <w:r w:rsidRPr="00E05BDA">
        <w:rPr>
          <w:rFonts w:hint="eastAsia"/>
          <w:b/>
          <w:bCs/>
        </w:rPr>
        <w:t xml:space="preserve">第二十四条 </w:t>
      </w:r>
      <w:r w:rsidR="00FA0363">
        <w:t>重大资产重组中相关资产以资产评估结果或估值报告结果作为定价依据的，应当至少披露以下信息：</w:t>
      </w:r>
    </w:p>
    <w:p w14:paraId="10EB2C4E" w14:textId="77777777" w:rsidR="00FA0363" w:rsidRDefault="00FA0363" w:rsidP="00FA0363">
      <w:pPr>
        <w:pStyle w:val="13"/>
      </w:pPr>
      <w:r>
        <w:rPr>
          <w:rFonts w:hint="eastAsia"/>
        </w:rPr>
        <w:t>（一）评估或估值的基本情况（包括账面价值、所采用的评估或估值方法、评估或估值结果、增减值幅度，下同），分析评估或估值增减</w:t>
      </w:r>
      <w:proofErr w:type="gramStart"/>
      <w:r>
        <w:rPr>
          <w:rFonts w:hint="eastAsia"/>
        </w:rPr>
        <w:t>值主要</w:t>
      </w:r>
      <w:proofErr w:type="gramEnd"/>
      <w:r>
        <w:rPr>
          <w:rFonts w:hint="eastAsia"/>
        </w:rPr>
        <w:t>原因、不同评估或估值方法的评估或估值结果的差异及其原因、最终确定评估或估值结论的理由。</w:t>
      </w:r>
    </w:p>
    <w:p w14:paraId="290F5912" w14:textId="77777777" w:rsidR="00FA0363" w:rsidRDefault="00FA0363" w:rsidP="00FA0363">
      <w:pPr>
        <w:pStyle w:val="13"/>
      </w:pPr>
      <w:r>
        <w:rPr>
          <w:rFonts w:hint="eastAsia"/>
        </w:rPr>
        <w:t>（二）对评估或估值结论有重要影响的评估或估值假设，如宏观和外部环境假设及根据交易标的自身状况所采用的特定假设等。</w:t>
      </w:r>
    </w:p>
    <w:p w14:paraId="4CD8CBE0" w14:textId="77777777" w:rsidR="00FA0363" w:rsidRDefault="00FA0363" w:rsidP="00FA0363">
      <w:pPr>
        <w:pStyle w:val="13"/>
      </w:pPr>
      <w:r>
        <w:rPr>
          <w:rFonts w:hint="eastAsia"/>
        </w:rPr>
        <w:t>（三）选用的评估或估值方法和重要评估或估值参数以及相关依据。具体如下：</w:t>
      </w:r>
    </w:p>
    <w:p w14:paraId="34121D07" w14:textId="77777777" w:rsidR="00FA0363" w:rsidRDefault="00FA0363" w:rsidP="00FA0363">
      <w:pPr>
        <w:pStyle w:val="13"/>
      </w:pPr>
      <w:r>
        <w:t>1、收益法：具体模型、未来预期收益现金流、折现率确定方法、评估或估值测算过程、非经营性和</w:t>
      </w:r>
      <w:proofErr w:type="gramStart"/>
      <w:r>
        <w:t>溢余</w:t>
      </w:r>
      <w:proofErr w:type="gramEnd"/>
      <w:r>
        <w:t>资产的分析与确认等。</w:t>
      </w:r>
    </w:p>
    <w:p w14:paraId="35F0686A" w14:textId="77777777" w:rsidR="00FA0363" w:rsidRDefault="00FA0363" w:rsidP="00FA0363">
      <w:pPr>
        <w:pStyle w:val="13"/>
      </w:pPr>
      <w:r>
        <w:t>2、市场法：具体模型、价值比率的选取及理由、可比对象或可比案例的选取原则、调整因素和流动性折扣的考虑测算等。</w:t>
      </w:r>
    </w:p>
    <w:p w14:paraId="62E2804D" w14:textId="77777777" w:rsidR="00FA0363" w:rsidRDefault="00FA0363" w:rsidP="00FA0363">
      <w:pPr>
        <w:pStyle w:val="13"/>
      </w:pPr>
      <w:r>
        <w:t>3、资产基础法：主要资产的评估或估值方法及选择理由、评估或估值结果等，如：房地产企业的存货、矿产资源类企业的矿业权、生产型企业的主要房屋和关键设备等固定资产以及对未来经营存在重大影响的在建工程、科技创新企业的核心技术等无形资产、持股型企业的长期股权投资等。主要资产采用收益法、市场法评估或估值的，应参照上述收益法或市场法的相关要求进行披露。</w:t>
      </w:r>
    </w:p>
    <w:p w14:paraId="2660E2FD" w14:textId="77777777" w:rsidR="00FA0363" w:rsidRDefault="00FA0363" w:rsidP="00FA0363">
      <w:pPr>
        <w:pStyle w:val="13"/>
      </w:pPr>
      <w:r>
        <w:rPr>
          <w:rFonts w:hint="eastAsia"/>
        </w:rPr>
        <w:t>（四）引用其他评估机构或估值机构报告内容（如矿业权评估报告、土地估价报告等）、特殊类别资产（如珠宝、林权、生物资产等）相关第三</w:t>
      </w:r>
      <w:proofErr w:type="gramStart"/>
      <w:r>
        <w:rPr>
          <w:rFonts w:hint="eastAsia"/>
        </w:rPr>
        <w:t>方专业</w:t>
      </w:r>
      <w:proofErr w:type="gramEnd"/>
      <w:r>
        <w:rPr>
          <w:rFonts w:hint="eastAsia"/>
        </w:rPr>
        <w:t>鉴定等资料的，</w:t>
      </w:r>
      <w:r>
        <w:lastRenderedPageBreak/>
        <w:t>应对其相关专业机构、业务资质、签字评估师或鉴定师、评估或估值情况进行必要披露。</w:t>
      </w:r>
    </w:p>
    <w:p w14:paraId="6DF0D5A8" w14:textId="77777777" w:rsidR="00FA0363" w:rsidRDefault="00FA0363" w:rsidP="00FA0363">
      <w:pPr>
        <w:pStyle w:val="13"/>
      </w:pPr>
      <w:r>
        <w:rPr>
          <w:rFonts w:hint="eastAsia"/>
        </w:rPr>
        <w:t>（五）存在评估或估值特殊处理、对评估或估值结论有重大影响事项，应当进行说明并分析其对评估或估值结论的影响；存在前述情况或因评估或估值程序受限造成评估报告或估值报告使用受限的，应提请报告使用者关注。</w:t>
      </w:r>
    </w:p>
    <w:p w14:paraId="4B416E64" w14:textId="77777777" w:rsidR="00FA0363" w:rsidRDefault="00FA0363" w:rsidP="00FA0363">
      <w:pPr>
        <w:pStyle w:val="13"/>
      </w:pPr>
      <w:r>
        <w:rPr>
          <w:rFonts w:hint="eastAsia"/>
        </w:rPr>
        <w:t>（六）评估或估值基准日至重组报告书签署日的重要变化事项及其对评估或估值结果的影响。</w:t>
      </w:r>
    </w:p>
    <w:p w14:paraId="2834BC95" w14:textId="77777777" w:rsidR="00FA0363" w:rsidRDefault="00FA0363" w:rsidP="00FA0363">
      <w:pPr>
        <w:pStyle w:val="13"/>
      </w:pPr>
      <w:r>
        <w:rPr>
          <w:rFonts w:hint="eastAsia"/>
        </w:rPr>
        <w:t>（七）该交易标的</w:t>
      </w:r>
      <w:proofErr w:type="gramStart"/>
      <w:r>
        <w:rPr>
          <w:rFonts w:hint="eastAsia"/>
        </w:rPr>
        <w:t>的</w:t>
      </w:r>
      <w:proofErr w:type="gramEnd"/>
      <w:r>
        <w:rPr>
          <w:rFonts w:hint="eastAsia"/>
        </w:rPr>
        <w:t>下属企业构成该交易标的最近一期经审计的资产总额、营业收入、净资产额或净利润来源</w:t>
      </w:r>
      <w:r>
        <w:t>20%以上且有重大影响的，应参照上述要求披露。交易标的涉及其他长期股权投资的，应当列表披露评估或估值的基本情况。</w:t>
      </w:r>
    </w:p>
    <w:p w14:paraId="0A337A32" w14:textId="2EF8C37F" w:rsidR="00FA0363" w:rsidRDefault="00E05BDA" w:rsidP="00FA0363">
      <w:pPr>
        <w:pStyle w:val="13"/>
        <w:ind w:firstLine="482"/>
      </w:pPr>
      <w:r w:rsidRPr="00E05BDA">
        <w:rPr>
          <w:rFonts w:hint="eastAsia"/>
          <w:b/>
          <w:bCs/>
        </w:rPr>
        <w:t xml:space="preserve">第二十五条 </w:t>
      </w:r>
      <w:r w:rsidR="00FA0363">
        <w:t>上市公司董事会应当对本次交易标的评估或估值的合理性以及定价的公允性做出分析。包括但不限于：</w:t>
      </w:r>
    </w:p>
    <w:p w14:paraId="73E39060" w14:textId="77777777" w:rsidR="00FA0363" w:rsidRDefault="00FA0363" w:rsidP="00FA0363">
      <w:pPr>
        <w:pStyle w:val="13"/>
      </w:pPr>
      <w:r>
        <w:rPr>
          <w:rFonts w:hint="eastAsia"/>
        </w:rPr>
        <w:t>（一）对资产评估机构或估值机构的独立性、假设前提的合理性、评估或估值方法与目的的相关性发表意见。</w:t>
      </w:r>
    </w:p>
    <w:p w14:paraId="7C26A643" w14:textId="77777777" w:rsidR="00FA0363" w:rsidRDefault="00FA0363" w:rsidP="00FA0363">
      <w:pPr>
        <w:pStyle w:val="13"/>
      </w:pPr>
      <w:r>
        <w:rPr>
          <w:rFonts w:hint="eastAsia"/>
        </w:rPr>
        <w:t>（二）结合报告期及未来财务预测的相关情况（包括各产品产销量、销售价格、毛利率、净利润等）、所处行业地位、行业发展趋势、行业竞争及经营情况等，详细说明评估或估值依据的合理性。如果未来预测与报告期财务情况差异较大的，应当分析说明差异的原因及其合理性。</w:t>
      </w:r>
    </w:p>
    <w:p w14:paraId="71C54E0D" w14:textId="77777777" w:rsidR="00FA0363" w:rsidRDefault="00FA0363" w:rsidP="00FA0363">
      <w:pPr>
        <w:pStyle w:val="13"/>
      </w:pPr>
      <w:r>
        <w:rPr>
          <w:rFonts w:hint="eastAsia"/>
        </w:rPr>
        <w:t>（三）分析交易标的后续经营过程中政策、宏观环境、技术、行业、重大合作协议、经营许可、技术许可、税收优惠等方面的变化趋势、董事会拟采取的应对措施及其对评估或估值的影响。</w:t>
      </w:r>
    </w:p>
    <w:p w14:paraId="39503059" w14:textId="77777777" w:rsidR="00FA0363" w:rsidRDefault="00FA0363" w:rsidP="00FA0363">
      <w:pPr>
        <w:pStyle w:val="13"/>
      </w:pPr>
      <w:r>
        <w:rPr>
          <w:rFonts w:hint="eastAsia"/>
        </w:rPr>
        <w:t>（四）结合交易标的经营模式，分析报告期变动频繁且影响较大的指标（如成本、价格、销量、毛利率等方面）对评估或估值的影响，并进行敏感性分析。</w:t>
      </w:r>
    </w:p>
    <w:p w14:paraId="545BA843" w14:textId="77777777" w:rsidR="00FA0363" w:rsidRDefault="00FA0363" w:rsidP="00FA0363">
      <w:pPr>
        <w:pStyle w:val="13"/>
      </w:pPr>
      <w:r>
        <w:rPr>
          <w:rFonts w:hint="eastAsia"/>
        </w:rPr>
        <w:t>（五）分析说明交易标的与上市公司现有业务是否存在显著可量化的协同效应；</w:t>
      </w:r>
      <w:r>
        <w:t>如有，说明对未来上市公司业绩的影响；交易定价中是否考虑了上述协同效应。</w:t>
      </w:r>
    </w:p>
    <w:p w14:paraId="5B52FBB0" w14:textId="77777777" w:rsidR="00FA0363" w:rsidRDefault="00FA0363" w:rsidP="00FA0363">
      <w:pPr>
        <w:pStyle w:val="13"/>
      </w:pPr>
      <w:r>
        <w:rPr>
          <w:rFonts w:hint="eastAsia"/>
        </w:rPr>
        <w:t>（六）结合交易标的</w:t>
      </w:r>
      <w:proofErr w:type="gramStart"/>
      <w:r>
        <w:rPr>
          <w:rFonts w:hint="eastAsia"/>
        </w:rPr>
        <w:t>的</w:t>
      </w:r>
      <w:proofErr w:type="gramEnd"/>
      <w:r>
        <w:rPr>
          <w:rFonts w:hint="eastAsia"/>
        </w:rPr>
        <w:t>市场可比交易价格、同行业上市公司的市盈率或者</w:t>
      </w:r>
      <w:proofErr w:type="gramStart"/>
      <w:r>
        <w:rPr>
          <w:rFonts w:hint="eastAsia"/>
        </w:rPr>
        <w:t>市净率</w:t>
      </w:r>
      <w:proofErr w:type="gramEnd"/>
      <w:r>
        <w:rPr>
          <w:rFonts w:hint="eastAsia"/>
        </w:rPr>
        <w:t>等指标，分析交易定价的公允性。</w:t>
      </w:r>
    </w:p>
    <w:p w14:paraId="198E779D" w14:textId="77777777" w:rsidR="00FA0363" w:rsidRDefault="00FA0363" w:rsidP="00FA0363">
      <w:pPr>
        <w:pStyle w:val="13"/>
      </w:pPr>
      <w:r>
        <w:rPr>
          <w:rFonts w:hint="eastAsia"/>
        </w:rPr>
        <w:t>（七）说明评估或估值基准日至重组报告书披露日交易标的发生的重要变化事项，分析其对交易作价的影响。</w:t>
      </w:r>
    </w:p>
    <w:p w14:paraId="098F925D" w14:textId="77777777" w:rsidR="00FA0363" w:rsidRDefault="00FA0363" w:rsidP="00FA0363">
      <w:pPr>
        <w:pStyle w:val="13"/>
      </w:pPr>
      <w:r>
        <w:rPr>
          <w:rFonts w:hint="eastAsia"/>
        </w:rPr>
        <w:t>（八）如交易定价与评估或估值结果存在较大差异，分析说明差异的原因及其合理性。</w:t>
      </w:r>
    </w:p>
    <w:p w14:paraId="63EEA278" w14:textId="4089EF95" w:rsidR="00FA0363" w:rsidRDefault="00E05BDA" w:rsidP="00FA0363">
      <w:pPr>
        <w:pStyle w:val="13"/>
        <w:ind w:firstLine="482"/>
      </w:pPr>
      <w:r w:rsidRPr="00E05BDA">
        <w:rPr>
          <w:rFonts w:hint="eastAsia"/>
          <w:b/>
          <w:bCs/>
        </w:rPr>
        <w:t xml:space="preserve">第二十六条 </w:t>
      </w:r>
      <w:r w:rsidR="00FA0363">
        <w:rPr>
          <w:rFonts w:hint="eastAsia"/>
        </w:rPr>
        <w:t>上市公司独立董事对评估机构或者估值机构的独立性、评估或者估值假设前提的合理性和交易定价的公允</w:t>
      </w:r>
      <w:proofErr w:type="gramStart"/>
      <w:r w:rsidR="00FA0363">
        <w:rPr>
          <w:rFonts w:hint="eastAsia"/>
        </w:rPr>
        <w:t>性发表</w:t>
      </w:r>
      <w:proofErr w:type="gramEnd"/>
      <w:r w:rsidR="00FA0363">
        <w:rPr>
          <w:rFonts w:hint="eastAsia"/>
        </w:rPr>
        <w:t>的独立意见。</w:t>
      </w:r>
    </w:p>
    <w:p w14:paraId="54DBC7A2" w14:textId="197CB11F" w:rsidR="00FA0363" w:rsidRDefault="00FA0363" w:rsidP="00AF7342">
      <w:pPr>
        <w:pStyle w:val="a9"/>
        <w:spacing w:before="62" w:after="62"/>
      </w:pPr>
      <w:r>
        <w:rPr>
          <w:rFonts w:hint="eastAsia"/>
        </w:rPr>
        <w:lastRenderedPageBreak/>
        <w:t>第四章</w:t>
      </w:r>
      <w:r w:rsidR="00032B5A">
        <w:rPr>
          <w:rFonts w:hint="eastAsia"/>
        </w:rPr>
        <w:t xml:space="preserve"> </w:t>
      </w:r>
      <w:r>
        <w:t>证券服务机构报告</w:t>
      </w:r>
    </w:p>
    <w:p w14:paraId="0E867D3A" w14:textId="77777777" w:rsidR="00FA0363" w:rsidRDefault="00FA0363" w:rsidP="00FA0363">
      <w:pPr>
        <w:pStyle w:val="13"/>
        <w:ind w:firstLine="482"/>
      </w:pPr>
      <w:r w:rsidRPr="00D46396">
        <w:rPr>
          <w:rFonts w:hint="eastAsia"/>
          <w:b/>
          <w:bCs/>
        </w:rPr>
        <w:t>第六十一条</w:t>
      </w:r>
      <w:r>
        <w:rPr>
          <w:rFonts w:hint="eastAsia"/>
          <w:b/>
          <w:bCs/>
        </w:rPr>
        <w:t xml:space="preserve"> </w:t>
      </w:r>
      <w:r>
        <w:t>上市公司应当披露由证券经营机构按照本准则及有关业务准则的规定出具的独立财务顾问报告。独立财务顾问应当至少就以下事项发表明确的结论性意</w:t>
      </w:r>
      <w:r>
        <w:rPr>
          <w:rFonts w:hint="eastAsia"/>
        </w:rPr>
        <w:t>见：</w:t>
      </w:r>
    </w:p>
    <w:p w14:paraId="587ED8B6" w14:textId="77777777" w:rsidR="00FA0363" w:rsidRDefault="00FA0363" w:rsidP="00FA0363">
      <w:pPr>
        <w:pStyle w:val="13"/>
      </w:pPr>
      <w:r>
        <w:rPr>
          <w:rFonts w:hint="eastAsia"/>
        </w:rPr>
        <w:t>（三）对本次交易所涉及的资产定价和股份定价（如涉及）进行全面分析，说明定价是否合理。</w:t>
      </w:r>
    </w:p>
    <w:p w14:paraId="154C9244" w14:textId="77777777" w:rsidR="00FA0363" w:rsidRDefault="00FA0363" w:rsidP="00FA0363">
      <w:pPr>
        <w:pStyle w:val="13"/>
      </w:pPr>
      <w:r>
        <w:rPr>
          <w:rFonts w:hint="eastAsia"/>
        </w:rPr>
        <w:t>（四）本次交易根据资产评估结果定价，应当对所选取的评估方法的适当性、评估假设前提的合理性、重要评估参数取值的合理性发表明确意见；本次交易不以资产评估结果作为定价依据的，应当对相关资产的估值方法、参数选择的合理性及其他影响估值结果的指标和因素发表明确意见。</w:t>
      </w:r>
    </w:p>
    <w:p w14:paraId="3593ED81" w14:textId="5FA3ABBB" w:rsidR="00FA0363" w:rsidRDefault="00FA0363" w:rsidP="00AF7342">
      <w:pPr>
        <w:pStyle w:val="a9"/>
        <w:spacing w:before="62" w:after="62"/>
      </w:pPr>
      <w:r>
        <w:rPr>
          <w:rFonts w:hint="eastAsia"/>
        </w:rPr>
        <w:t>第四节</w:t>
      </w:r>
      <w:r w:rsidR="00032B5A">
        <w:rPr>
          <w:rFonts w:hint="eastAsia"/>
        </w:rPr>
        <w:t xml:space="preserve"> </w:t>
      </w:r>
      <w:r>
        <w:t>资产评估报告及估值报告</w:t>
      </w:r>
    </w:p>
    <w:p w14:paraId="070B4D8D" w14:textId="77777777" w:rsidR="00FA0363" w:rsidRDefault="00FA0363" w:rsidP="00FA0363">
      <w:pPr>
        <w:pStyle w:val="13"/>
        <w:ind w:firstLine="482"/>
      </w:pPr>
      <w:r w:rsidRPr="00D46396">
        <w:rPr>
          <w:rFonts w:hint="eastAsia"/>
          <w:b/>
          <w:bCs/>
        </w:rPr>
        <w:t>第六十五条</w:t>
      </w:r>
      <w:r>
        <w:rPr>
          <w:rFonts w:hint="eastAsia"/>
          <w:b/>
          <w:bCs/>
        </w:rPr>
        <w:t xml:space="preserve"> </w:t>
      </w:r>
      <w:r>
        <w:t>上市公司重大资产重组以评估值为交易标的定价依据的，应当披露相关资产的资产评估报告。</w:t>
      </w:r>
    </w:p>
    <w:p w14:paraId="57AACBF9" w14:textId="77777777" w:rsidR="00FA0363" w:rsidRDefault="00FA0363" w:rsidP="00FA0363">
      <w:pPr>
        <w:pStyle w:val="13"/>
      </w:pPr>
      <w:r>
        <w:rPr>
          <w:rFonts w:hint="eastAsia"/>
        </w:rPr>
        <w:t>上市公司重大资产重组不以资产评估结果作为定价依据的，应当披露相关资产的估值报告；估值报告中应包括但不限于以下内容：估值目的、估值对象和估值范围、价值类型、估值基准日、估值假设、估值依据、估值方法、估值参数及其他影响估值结果的指标和因素、估值结论、特别事项说明、估值报告日等；估值人员需在估值报告上签字并由所属机构加盖公章。</w:t>
      </w:r>
    </w:p>
    <w:p w14:paraId="4E6000AC" w14:textId="477EE452" w:rsidR="00FA0363" w:rsidRDefault="00FA0363" w:rsidP="00FA0363">
      <w:pPr>
        <w:pStyle w:val="13"/>
      </w:pPr>
      <w:r>
        <w:rPr>
          <w:rFonts w:hint="eastAsia"/>
        </w:rPr>
        <w:t>资产评估机构或估值机构为本次重组而出具的评估或估值资料中应明确声明在评估或估值基准日后××月内（最长十二个月）有效。</w:t>
      </w:r>
    </w:p>
    <w:p w14:paraId="18BBCC33" w14:textId="77777777" w:rsidR="00E155F1" w:rsidRDefault="00E155F1" w:rsidP="00E155F1">
      <w:pPr>
        <w:pStyle w:val="31"/>
        <w:spacing w:before="156" w:after="62"/>
      </w:pPr>
      <w:bookmarkStart w:id="286" w:name="_Toc81833519"/>
      <w:r>
        <w:rPr>
          <w:rFonts w:hint="eastAsia"/>
        </w:rPr>
        <w:t>《上市公司重大资产重组管理办法》（证监会令第</w:t>
      </w:r>
      <w:r>
        <w:t>127号2019年修订）</w:t>
      </w:r>
      <w:bookmarkEnd w:id="286"/>
    </w:p>
    <w:p w14:paraId="77959186" w14:textId="77777777" w:rsidR="00E155F1" w:rsidRDefault="00E155F1" w:rsidP="00E155F1">
      <w:pPr>
        <w:pStyle w:val="13"/>
        <w:ind w:firstLine="482"/>
      </w:pPr>
      <w:r w:rsidRPr="00E05BDA">
        <w:rPr>
          <w:rFonts w:hint="eastAsia"/>
          <w:b/>
          <w:bCs/>
        </w:rPr>
        <w:t xml:space="preserve">第十七条 </w:t>
      </w:r>
      <w:r>
        <w:t>上市公司应当聘请独立财务顾问、律师事务所以及具有相关证券业务资格的会计师事务所等证券服务机构就重大资产重组出具意见。</w:t>
      </w:r>
    </w:p>
    <w:p w14:paraId="3FFCA915" w14:textId="77777777" w:rsidR="00E155F1" w:rsidRDefault="00E155F1" w:rsidP="00E155F1">
      <w:pPr>
        <w:pStyle w:val="13"/>
      </w:pPr>
      <w:r>
        <w:rPr>
          <w:rFonts w:hint="eastAsia"/>
        </w:rPr>
        <w:t>独立财务顾问和律师事务所应当审慎核查重大资产重组是否构成关联交易，并依据核查确认的相关事实发表明确意见。重大资产重组涉及关联交易的，独立财务顾问应当就本次重组对上市公司非关联股东的影响发表明确意见。</w:t>
      </w:r>
    </w:p>
    <w:p w14:paraId="5AEF5794" w14:textId="77777777" w:rsidR="00E155F1" w:rsidRDefault="00E155F1" w:rsidP="00E155F1">
      <w:pPr>
        <w:pStyle w:val="13"/>
      </w:pPr>
      <w:r>
        <w:rPr>
          <w:rFonts w:hint="eastAsia"/>
        </w:rPr>
        <w:t>资产交易定价以资产评估结果为依据的，上市公司应当聘请具有相关证券业务资格的资产评估机构出具资产评估报告。</w:t>
      </w:r>
    </w:p>
    <w:p w14:paraId="2AFFB783" w14:textId="77777777" w:rsidR="00E155F1" w:rsidRDefault="00E155F1" w:rsidP="00E155F1">
      <w:pPr>
        <w:pStyle w:val="13"/>
      </w:pPr>
      <w:r>
        <w:rPr>
          <w:rFonts w:hint="eastAsia"/>
        </w:rPr>
        <w:t>证券服务机构在其出具的意见中采用其他证券服务机构或者人员的专业意见的，</w:t>
      </w:r>
      <w:r>
        <w:t>仍然应当进行尽职调查，审慎核查其采用的专业意见的内容，并对利用其他证券服务机构或者人员的专业意见所形成的结论负责。</w:t>
      </w:r>
    </w:p>
    <w:p w14:paraId="2F2FE1E6" w14:textId="77777777" w:rsidR="00E155F1" w:rsidRDefault="00E155F1" w:rsidP="00E155F1">
      <w:pPr>
        <w:pStyle w:val="13"/>
        <w:ind w:firstLine="482"/>
      </w:pPr>
      <w:r w:rsidRPr="00E05BDA">
        <w:rPr>
          <w:rFonts w:hint="eastAsia"/>
          <w:b/>
          <w:bCs/>
        </w:rPr>
        <w:t xml:space="preserve">第二十条 </w:t>
      </w:r>
      <w:r>
        <w:t>重大资产重组中相关资产以资产评估结果作为定价依据的，资产评估机</w:t>
      </w:r>
      <w:r>
        <w:rPr>
          <w:rFonts w:hint="eastAsia"/>
        </w:rPr>
        <w:t>构应当按照资产评估相关准则和规范开展执业活动；上市公司董事会应当对评估</w:t>
      </w:r>
      <w:r>
        <w:rPr>
          <w:rFonts w:hint="eastAsia"/>
        </w:rPr>
        <w:lastRenderedPageBreak/>
        <w:t>机构的独立性、评估假设前提的合理性、评估方法与评估目的的相关性以及评估定价的公允</w:t>
      </w:r>
      <w:proofErr w:type="gramStart"/>
      <w:r>
        <w:rPr>
          <w:rFonts w:hint="eastAsia"/>
        </w:rPr>
        <w:t>性发表</w:t>
      </w:r>
      <w:proofErr w:type="gramEnd"/>
      <w:r>
        <w:rPr>
          <w:rFonts w:hint="eastAsia"/>
        </w:rPr>
        <w:t>明确意见。相关资产不以资产评估结果作为定价依据的，上市公司应当在重大资产重组报告书中详细分析说明相关资产的估值方法、参数及其他影响估值结果的指标和因素。上市公司董事会应当对估值机构的独立性、估值假设前提的合理性、估值方法与估值目的的相关性发表明确意见，并结合相关资产的市场可比交易价格、同行业上市公司的市盈率或者</w:t>
      </w:r>
      <w:proofErr w:type="gramStart"/>
      <w:r>
        <w:rPr>
          <w:rFonts w:hint="eastAsia"/>
        </w:rPr>
        <w:t>市净率</w:t>
      </w:r>
      <w:proofErr w:type="gramEnd"/>
      <w:r>
        <w:rPr>
          <w:rFonts w:hint="eastAsia"/>
        </w:rPr>
        <w:t>等通行指标，在重大资产重组报告书中详细分析本次交易定价的公允性。</w:t>
      </w:r>
    </w:p>
    <w:p w14:paraId="5AFA0F11" w14:textId="77777777" w:rsidR="00E155F1" w:rsidRDefault="00E155F1" w:rsidP="00E155F1">
      <w:pPr>
        <w:pStyle w:val="13"/>
      </w:pPr>
      <w:r>
        <w:rPr>
          <w:rFonts w:hint="eastAsia"/>
        </w:rPr>
        <w:t>前二款情形中，评估机构、估值机构原则上应当采取两种以上的方法进行评估或者估值；上市公司独立董事应当出席董事会会议，对评估机构或者估值机构的独立</w:t>
      </w:r>
      <w:r>
        <w:t>性、评估或者估值假设前提的合理性和交易定价的公允</w:t>
      </w:r>
      <w:proofErr w:type="gramStart"/>
      <w:r>
        <w:t>性发表</w:t>
      </w:r>
      <w:proofErr w:type="gramEnd"/>
      <w:r>
        <w:t>独立意见，并单独予以披露。</w:t>
      </w:r>
    </w:p>
    <w:p w14:paraId="4620E933" w14:textId="77777777" w:rsidR="00E155F1" w:rsidRDefault="00E155F1" w:rsidP="00E155F1">
      <w:pPr>
        <w:pStyle w:val="13"/>
        <w:ind w:firstLine="482"/>
      </w:pPr>
      <w:r w:rsidRPr="00E05BDA">
        <w:rPr>
          <w:rFonts w:hint="eastAsia"/>
          <w:b/>
          <w:bCs/>
        </w:rPr>
        <w:t xml:space="preserve">第二十二条 </w:t>
      </w:r>
      <w:r>
        <w:t>上市公司应当在董事会</w:t>
      </w:r>
      <w:proofErr w:type="gramStart"/>
      <w:r>
        <w:t>作出</w:t>
      </w:r>
      <w:proofErr w:type="gramEnd"/>
      <w:r>
        <w:t>重大资产重组决议后的次</w:t>
      </w:r>
      <w:proofErr w:type="gramStart"/>
      <w:r>
        <w:t>一</w:t>
      </w:r>
      <w:proofErr w:type="gramEnd"/>
      <w:r>
        <w:t>工作日至少披露下列文件：</w:t>
      </w:r>
    </w:p>
    <w:p w14:paraId="779F2430" w14:textId="77777777" w:rsidR="00E155F1" w:rsidRDefault="00E155F1" w:rsidP="00E155F1">
      <w:pPr>
        <w:pStyle w:val="13"/>
      </w:pPr>
      <w:r>
        <w:rPr>
          <w:rFonts w:hint="eastAsia"/>
        </w:rPr>
        <w:t>（一）董事会决议及独立董事的意见；</w:t>
      </w:r>
    </w:p>
    <w:p w14:paraId="2F3C3D66" w14:textId="77777777" w:rsidR="00E155F1" w:rsidRDefault="00E155F1" w:rsidP="00E155F1">
      <w:pPr>
        <w:pStyle w:val="13"/>
      </w:pPr>
      <w:r>
        <w:rPr>
          <w:rFonts w:hint="eastAsia"/>
        </w:rPr>
        <w:t>（二）上市公司重大资产重组预案。</w:t>
      </w:r>
    </w:p>
    <w:p w14:paraId="350C448D" w14:textId="77777777" w:rsidR="00E155F1" w:rsidRDefault="00E155F1" w:rsidP="00E155F1">
      <w:pPr>
        <w:pStyle w:val="13"/>
      </w:pPr>
      <w:r>
        <w:rPr>
          <w:rFonts w:hint="eastAsia"/>
        </w:rPr>
        <w:t>本次重组的重大资产重组报告书、独立财务顾问报告、法律意见书以及重组涉及的审计报告、资产评估报告或者估值报告至迟应当</w:t>
      </w:r>
      <w:proofErr w:type="gramStart"/>
      <w:r>
        <w:rPr>
          <w:rFonts w:hint="eastAsia"/>
        </w:rPr>
        <w:t>与召开</w:t>
      </w:r>
      <w:proofErr w:type="gramEnd"/>
      <w:r>
        <w:rPr>
          <w:rFonts w:hint="eastAsia"/>
        </w:rPr>
        <w:t>股东大会的通知同时公告。上市公司自愿披露盈利预测报告的，该报告应当经具有相关证券业务资格的会计师事务所审核，与重大资产重组报告书同时公告。</w:t>
      </w:r>
    </w:p>
    <w:p w14:paraId="32AEAE8A" w14:textId="77777777" w:rsidR="00E155F1" w:rsidRDefault="00E155F1" w:rsidP="00E155F1">
      <w:pPr>
        <w:pStyle w:val="13"/>
      </w:pPr>
      <w:r>
        <w:rPr>
          <w:rFonts w:hint="eastAsia"/>
        </w:rPr>
        <w:t>本条第一款第（二）项及第二款规定的信息披露文件的内容与格式另行规定。</w:t>
      </w:r>
      <w:r>
        <w:t>上市公司应当在至少一种中国证监会指定的报刊公告董事会决议、独立董事的意</w:t>
      </w:r>
    </w:p>
    <w:p w14:paraId="726AAB63" w14:textId="77777777" w:rsidR="00E155F1" w:rsidRDefault="00E155F1" w:rsidP="00E155F1">
      <w:pPr>
        <w:pStyle w:val="13"/>
      </w:pPr>
      <w:r>
        <w:rPr>
          <w:rFonts w:hint="eastAsia"/>
        </w:rPr>
        <w:t>见，并应当在证券交易所网站全文披露重大资产重组报告书及其摘要、相关证券服务机构的报告或者意见。</w:t>
      </w:r>
    </w:p>
    <w:p w14:paraId="013DEB35" w14:textId="77777777" w:rsidR="00E155F1" w:rsidRDefault="00E155F1" w:rsidP="00E155F1">
      <w:pPr>
        <w:pStyle w:val="13"/>
        <w:ind w:firstLine="482"/>
      </w:pPr>
      <w:r w:rsidRPr="003B2FB1">
        <w:rPr>
          <w:rFonts w:hint="eastAsia"/>
          <w:b/>
          <w:bCs/>
        </w:rPr>
        <w:t xml:space="preserve">第三十五条 </w:t>
      </w:r>
      <w:r>
        <w:t>采取收益现值法、假设开发法等基于未来收益预期的方法对拟购买资产进行评估或者估值并作为定价参考依据的，上市公司应当在重大资产重组实施完毕后3年内的年度报告中单独披露相关资产的实际盈利数与利润预测数的差异情况，并由会计师事务所对此出具专项审核意见；交易对方应当与上市公司就相关资产实际盈</w:t>
      </w:r>
      <w:r>
        <w:rPr>
          <w:rFonts w:hint="eastAsia"/>
        </w:rPr>
        <w:t>利数不足利润预测数的情况签订明确可行的补偿协议。</w:t>
      </w:r>
    </w:p>
    <w:p w14:paraId="3F74F5A5" w14:textId="77777777" w:rsidR="00E155F1" w:rsidRDefault="00E155F1" w:rsidP="00E155F1">
      <w:pPr>
        <w:pStyle w:val="13"/>
      </w:pPr>
      <w:r>
        <w:rPr>
          <w:rFonts w:hint="eastAsia"/>
        </w:rPr>
        <w:t>预计本次重大资产重组将摊</w:t>
      </w:r>
      <w:proofErr w:type="gramStart"/>
      <w:r>
        <w:rPr>
          <w:rFonts w:hint="eastAsia"/>
        </w:rPr>
        <w:t>薄上市</w:t>
      </w:r>
      <w:proofErr w:type="gramEnd"/>
      <w:r>
        <w:rPr>
          <w:rFonts w:hint="eastAsia"/>
        </w:rPr>
        <w:t>公司当年每股收益的，上市公司应当提出填补每股收益的具体措施，并将相关议案提交董事会和股东大会进行表决。负责落实该等具体措施的相关责任主体应当公开承诺，保证切实履行其义务和责任。</w:t>
      </w:r>
    </w:p>
    <w:p w14:paraId="050086EC" w14:textId="77777777" w:rsidR="00E155F1" w:rsidRDefault="00E155F1" w:rsidP="00E155F1">
      <w:pPr>
        <w:pStyle w:val="13"/>
      </w:pPr>
      <w:r>
        <w:rPr>
          <w:rFonts w:hint="eastAsia"/>
        </w:rPr>
        <w:t>上市公司向控股股东、实际控制人或者其控制的关联人之外的特定对象购买资产且未导致控制权发生变更的，不适用本条前二款规定，上市公司与交易对方可以根据市场化原则，自主协商是否采取业绩补偿和每股收益填补措施及相关具体安排。</w:t>
      </w:r>
    </w:p>
    <w:p w14:paraId="0044D1B9" w14:textId="77777777" w:rsidR="00E155F1" w:rsidRDefault="00E155F1" w:rsidP="00E155F1">
      <w:pPr>
        <w:pStyle w:val="13"/>
        <w:ind w:firstLine="482"/>
      </w:pPr>
      <w:r w:rsidRPr="00EC725A">
        <w:rPr>
          <w:rFonts w:hint="eastAsia"/>
          <w:b/>
          <w:bCs/>
        </w:rPr>
        <w:lastRenderedPageBreak/>
        <w:t>第五十八条</w:t>
      </w:r>
      <w:r>
        <w:rPr>
          <w:rFonts w:hint="eastAsia"/>
          <w:b/>
          <w:bCs/>
        </w:rPr>
        <w:t xml:space="preserve"> </w:t>
      </w:r>
      <w:r>
        <w:t>为重大资产重组出具财务顾问报告、审计报告、法律意见、资产评估报告、估值报告及其他专业文件的证券服务机构及其从业人员未履行诚实守信、勤勉尽责义务，违反行业规范、业务规则，或者未依法履行报告和公告义务、持续督导义务的，由中国证监会责令改正，并可以采取监管谈话、出具警示函、责令公开说明、责令参加培训、责令定期报告、认定为不适当人选等监管措施；情节严重的，依照</w:t>
      </w:r>
      <w:r>
        <w:rPr>
          <w:rFonts w:hint="eastAsia"/>
        </w:rPr>
        <w:t>《证券法》第二百二十六条予以处罚。</w:t>
      </w:r>
    </w:p>
    <w:p w14:paraId="6B2E4C58" w14:textId="77777777" w:rsidR="00E155F1" w:rsidRDefault="00E155F1" w:rsidP="00E155F1">
      <w:pPr>
        <w:pStyle w:val="13"/>
      </w:pPr>
      <w:r>
        <w:rPr>
          <w:rFonts w:hint="eastAsia"/>
        </w:rPr>
        <w:t>前款规定的证券服务机构及其从业人员所制作、出具的文件存在虚假记载、误导性陈述或者重大遗漏的，由中国证监会责令改正，依照《证券法》第二百二十三条予以处罚；情节严重的，可以采取市场禁入的措施；涉嫌犯罪的，依法移送司法机关追究刑事责任。存在前二款规定情形的，在按照中国证监会的要求完成整改之前，不得接受新的上市公司并购重组业务。</w:t>
      </w:r>
    </w:p>
    <w:p w14:paraId="6A33B744" w14:textId="77777777" w:rsidR="00E155F1" w:rsidRDefault="00E155F1" w:rsidP="00E155F1">
      <w:pPr>
        <w:pStyle w:val="13"/>
        <w:ind w:firstLine="482"/>
      </w:pPr>
      <w:r w:rsidRPr="00EC725A">
        <w:rPr>
          <w:rFonts w:hint="eastAsia"/>
          <w:b/>
          <w:bCs/>
        </w:rPr>
        <w:t>第五十九条</w:t>
      </w:r>
      <w:r>
        <w:rPr>
          <w:rFonts w:hint="eastAsia"/>
          <w:b/>
          <w:bCs/>
        </w:rPr>
        <w:t xml:space="preserve"> </w:t>
      </w:r>
      <w:r>
        <w:t>重大资产重组实施完毕后，凡因不属于上市公司管理层事前无法</w:t>
      </w:r>
      <w:proofErr w:type="gramStart"/>
      <w:r>
        <w:t>获知且</w:t>
      </w:r>
      <w:proofErr w:type="gramEnd"/>
      <w:r>
        <w:t>事后无法控制的原因，上市公司所购买资产实现的利润未达到资产评估报告或者估值报告预测金额的80%，或者实际运营情况与重大资产重组报告书中管理</w:t>
      </w:r>
      <w:proofErr w:type="gramStart"/>
      <w:r>
        <w:t>层讨论</w:t>
      </w:r>
      <w:proofErr w:type="gramEnd"/>
      <w:r>
        <w:t>与分析部分存在较大差距的，上市公司的董事长、总经理以及对此承担相应责任的会计师事务所、财务顾问、资产评估机构、估值机构及其从业人员应当在上市公司披露年度报告的同时，在同一报刊上</w:t>
      </w:r>
      <w:proofErr w:type="gramStart"/>
      <w:r>
        <w:t>作出</w:t>
      </w:r>
      <w:proofErr w:type="gramEnd"/>
      <w:r>
        <w:t>解释，并向投资者公开道歉；实现利润未达到预测金额50%的，中国证监会可以对上市公司、相关机构及其责任人员采取监</w:t>
      </w:r>
      <w:r>
        <w:rPr>
          <w:rFonts w:hint="eastAsia"/>
        </w:rPr>
        <w:t>管谈话、出具警示函、责令定期报告等监管措施。</w:t>
      </w:r>
    </w:p>
    <w:p w14:paraId="5D0A981F" w14:textId="77777777" w:rsidR="00E155F1" w:rsidRDefault="00E155F1" w:rsidP="00E155F1">
      <w:pPr>
        <w:pStyle w:val="13"/>
        <w:ind w:firstLine="482"/>
      </w:pPr>
      <w:r w:rsidRPr="00EC725A">
        <w:rPr>
          <w:rFonts w:hint="eastAsia"/>
          <w:b/>
          <w:bCs/>
        </w:rPr>
        <w:t>第六十条</w:t>
      </w:r>
      <w:r>
        <w:rPr>
          <w:rFonts w:hint="eastAsia"/>
          <w:b/>
          <w:bCs/>
        </w:rPr>
        <w:t xml:space="preserve"> </w:t>
      </w:r>
      <w:r>
        <w:t>任何知悉重大资产重组信息的人员在相关信息依法公开前，泄露该信息、买卖或者建议他人买卖相关上市公司证券、利用重大资产重组散布虚假信息、操</w:t>
      </w:r>
      <w:r>
        <w:rPr>
          <w:rFonts w:hint="eastAsia"/>
        </w:rPr>
        <w:t>纵证券市场或者进行欺诈活动的，中国证监会依照《证券法》第二百零二条、第二百零三条、第二百零七条予以处罚；涉嫌犯罪的，依法移送司法机关追究刑事责任。</w:t>
      </w:r>
    </w:p>
    <w:p w14:paraId="45549352" w14:textId="259A0D3E" w:rsidR="00FA0363" w:rsidRDefault="00FA0363" w:rsidP="00FA0363">
      <w:pPr>
        <w:pStyle w:val="21"/>
        <w:spacing w:before="156" w:after="93"/>
      </w:pPr>
      <w:bookmarkStart w:id="287" w:name="_Toc81833520"/>
      <w:r>
        <w:rPr>
          <w:rFonts w:hint="eastAsia"/>
        </w:rPr>
        <w:t>不良资产业务</w:t>
      </w:r>
      <w:bookmarkEnd w:id="287"/>
    </w:p>
    <w:p w14:paraId="73C9F99A" w14:textId="77777777" w:rsidR="00EB5139" w:rsidRDefault="00EB5139" w:rsidP="00EB5139">
      <w:pPr>
        <w:pStyle w:val="31"/>
        <w:spacing w:before="156" w:after="62"/>
      </w:pPr>
      <w:bookmarkStart w:id="288" w:name="_Toc81833521"/>
      <w:r>
        <w:rPr>
          <w:rFonts w:hint="eastAsia"/>
        </w:rPr>
        <w:t>《财政部关于不良资产评估有关问题的函》（财金函〔</w:t>
      </w:r>
      <w:r>
        <w:t>2002〕23号）</w:t>
      </w:r>
      <w:bookmarkEnd w:id="288"/>
    </w:p>
    <w:p w14:paraId="26798627" w14:textId="77777777" w:rsidR="00EB5139" w:rsidRDefault="00EB5139" w:rsidP="00EB5139">
      <w:pPr>
        <w:pStyle w:val="13"/>
      </w:pPr>
      <w:r>
        <w:rPr>
          <w:rFonts w:hint="eastAsia"/>
        </w:rPr>
        <w:t>中国长城资产管理公司《关于不良资产评估中有关问题的请示》（</w:t>
      </w:r>
      <w:proofErr w:type="gramStart"/>
      <w:r>
        <w:rPr>
          <w:rFonts w:hint="eastAsia"/>
        </w:rPr>
        <w:t>中长资报〔</w:t>
      </w:r>
      <w:r>
        <w:t>2001〕</w:t>
      </w:r>
      <w:proofErr w:type="gramEnd"/>
      <w:r>
        <w:t>59号）收悉。经研究，函复如下：</w:t>
      </w:r>
    </w:p>
    <w:p w14:paraId="1F1C4DBA" w14:textId="77777777" w:rsidR="00EB5139" w:rsidRDefault="00EB5139" w:rsidP="00EB5139">
      <w:pPr>
        <w:pStyle w:val="13"/>
        <w:ind w:firstLine="482"/>
      </w:pPr>
      <w:r w:rsidRPr="00D13405">
        <w:rPr>
          <w:rFonts w:hint="eastAsia"/>
          <w:b/>
          <w:bCs/>
        </w:rPr>
        <w:t>一、</w:t>
      </w:r>
      <w:r>
        <w:rPr>
          <w:rFonts w:hint="eastAsia"/>
        </w:rPr>
        <w:t>金融资产管理公司（以下简称资产公司）在资产处置过程中，对每一个资产处置项目是否进行评估，是进行内部评估还是聘请中介机构评估，要根据处置项目的具体情况，按照公正合理原则和成本效益原则来确定。</w:t>
      </w:r>
    </w:p>
    <w:p w14:paraId="1BDE9DF5" w14:textId="77777777" w:rsidR="00EB5139" w:rsidRDefault="00EB5139" w:rsidP="00EB5139">
      <w:pPr>
        <w:pStyle w:val="13"/>
        <w:ind w:firstLine="482"/>
      </w:pPr>
      <w:r w:rsidRPr="00D13405">
        <w:rPr>
          <w:rFonts w:hint="eastAsia"/>
          <w:b/>
          <w:bCs/>
        </w:rPr>
        <w:t>二、</w:t>
      </w:r>
      <w:r>
        <w:rPr>
          <w:rFonts w:hint="eastAsia"/>
        </w:rPr>
        <w:t>资产公司加强资产评估管理，建立相应的内容控制制度，认真落实资产评估与资产处置分离的原则。对不进行评估、采用内部评估和中介机构评估的适用条件，不进行评估项目的定价方式、程序，内部评估的方法、程序，评估机构的选择等，要</w:t>
      </w:r>
      <w:r>
        <w:rPr>
          <w:rFonts w:hint="eastAsia"/>
        </w:rPr>
        <w:lastRenderedPageBreak/>
        <w:t>制定具体规定，合理确定处置资产的价格，减少资产处置中的人为因素，防范道德风险，从而达到回收资产价值最大化、损失最小化的目标。</w:t>
      </w:r>
    </w:p>
    <w:p w14:paraId="465E7B1F" w14:textId="03D34FCF" w:rsidR="00EB5139" w:rsidRDefault="00EB5139" w:rsidP="00EB5139">
      <w:pPr>
        <w:pStyle w:val="13"/>
        <w:ind w:firstLine="482"/>
      </w:pPr>
      <w:r w:rsidRPr="00D13405">
        <w:rPr>
          <w:rFonts w:hint="eastAsia"/>
          <w:b/>
          <w:bCs/>
        </w:rPr>
        <w:t>三、</w:t>
      </w:r>
      <w:r>
        <w:rPr>
          <w:rFonts w:hint="eastAsia"/>
        </w:rPr>
        <w:t>对你公司请示的有关评估的具体问题，请按上述原则完善内部规章制度，并严格执行。</w:t>
      </w:r>
    </w:p>
    <w:p w14:paraId="6B8EB244" w14:textId="77777777" w:rsidR="00EB5139" w:rsidRDefault="00EB5139" w:rsidP="00EB5139">
      <w:pPr>
        <w:pStyle w:val="31"/>
        <w:spacing w:before="156" w:after="62"/>
      </w:pPr>
      <w:bookmarkStart w:id="289" w:name="_Toc81833522"/>
      <w:r>
        <w:rPr>
          <w:rFonts w:hint="eastAsia"/>
        </w:rPr>
        <w:t>《关于规范资产管理公司不良资产处置中资产评估工作的通知》</w:t>
      </w:r>
      <w:r>
        <w:br w:type="textWrapping" w:clear="all"/>
      </w:r>
      <w:r>
        <w:rPr>
          <w:rFonts w:hint="eastAsia"/>
        </w:rPr>
        <w:t>（财企〔</w:t>
      </w:r>
      <w:r>
        <w:t>2005〕89号）</w:t>
      </w:r>
      <w:bookmarkEnd w:id="289"/>
    </w:p>
    <w:p w14:paraId="5C59CD31" w14:textId="77777777" w:rsidR="00EB5139" w:rsidRDefault="00EB5139" w:rsidP="00EB5139">
      <w:pPr>
        <w:pStyle w:val="13"/>
        <w:ind w:firstLineChars="0" w:firstLine="0"/>
      </w:pPr>
      <w:r>
        <w:rPr>
          <w:rFonts w:hint="eastAsia"/>
        </w:rPr>
        <w:t>各省、自治区、直辖市财政厅（局）、银监局，各金融资产管理公司：</w:t>
      </w:r>
    </w:p>
    <w:p w14:paraId="7C21BF9E" w14:textId="77777777" w:rsidR="00EB5139" w:rsidRDefault="00EB5139" w:rsidP="00EB5139">
      <w:pPr>
        <w:pStyle w:val="13"/>
      </w:pPr>
      <w:r>
        <w:rPr>
          <w:rFonts w:hint="eastAsia"/>
        </w:rPr>
        <w:t>为了规范资产管理公司、资产评估机构和注册资产评估师在处置不良资产过程中的行为，进一步明确资产管理公司、资产评估机构和注册资产评估师的职责和作用，</w:t>
      </w:r>
      <w:r>
        <w:t>促进不良资产处置工作有序进行，现就不良资产处置中有关资产评估的问题通知如下：</w:t>
      </w:r>
    </w:p>
    <w:p w14:paraId="35C1030A" w14:textId="77777777" w:rsidR="00EB5139" w:rsidRDefault="00EB5139" w:rsidP="00EB5139">
      <w:pPr>
        <w:pStyle w:val="ab"/>
        <w:spacing w:before="62" w:after="62"/>
        <w:ind w:firstLine="482"/>
      </w:pPr>
      <w:r>
        <w:rPr>
          <w:rFonts w:hint="eastAsia"/>
        </w:rPr>
        <w:t>一、资产管理公司在不良资产处置中的要求</w:t>
      </w:r>
    </w:p>
    <w:p w14:paraId="489E6D2D" w14:textId="77777777" w:rsidR="00EB5139" w:rsidRDefault="00EB5139" w:rsidP="00EB5139">
      <w:pPr>
        <w:pStyle w:val="13"/>
      </w:pPr>
      <w:r>
        <w:rPr>
          <w:rFonts w:hint="eastAsia"/>
        </w:rPr>
        <w:t>资产管理公司在不良资产处置中，要加强制度建设和内部控制建设，强化不良资产处置中资产评估和评估报告使用环节的管理，充分发挥评估机构在不良资产处置中的积极作用。</w:t>
      </w:r>
    </w:p>
    <w:p w14:paraId="00CF2953" w14:textId="77777777" w:rsidR="00EB5139" w:rsidRDefault="00EB5139" w:rsidP="00EB5139">
      <w:pPr>
        <w:pStyle w:val="13"/>
      </w:pPr>
      <w:r>
        <w:t>1、资产管理公司应当把资产评估作为不良资产处置的重要环节，根据各类不良资产项目的具体情况，严格按照有关法律法规的规定，对拟处置的不良资产委托资产评估机构进行评估。要严格执行先评估后处置的程序，不得逆程序操作。</w:t>
      </w:r>
    </w:p>
    <w:p w14:paraId="2670FDB1" w14:textId="77777777" w:rsidR="00EB5139" w:rsidRDefault="00EB5139" w:rsidP="00EB5139">
      <w:pPr>
        <w:pStyle w:val="13"/>
      </w:pPr>
      <w:r>
        <w:t>2、资产管理公司应当进一步完善资产评估机构择优聘用制度，在不良资产处置中应当严格按照行业资质要求，选择具有资产评估资格证书的评估机构进行评估。要把竞争机制引入资产评估机构选聘过程，优先选聘信誉好、资质优、职业道德良好的资产评估机构，不仅以评估服务收费孰</w:t>
      </w:r>
      <w:proofErr w:type="gramStart"/>
      <w:r>
        <w:t>低作为</w:t>
      </w:r>
      <w:proofErr w:type="gramEnd"/>
      <w:r>
        <w:t>选择评估机构的惟一依据。</w:t>
      </w:r>
    </w:p>
    <w:p w14:paraId="57C12D0B" w14:textId="77777777" w:rsidR="00EB5139" w:rsidRDefault="00EB5139" w:rsidP="00EB5139">
      <w:pPr>
        <w:pStyle w:val="13"/>
      </w:pPr>
      <w:r>
        <w:t>3、资产管理公司应当维护评估机构的独立性，积极配合评估机构执行评估业务，不得干预评估机构正常执业，不得授意评估机构和注册资产评估师出具不实或虚假评估报告。</w:t>
      </w:r>
    </w:p>
    <w:p w14:paraId="28E9D7C0" w14:textId="77777777" w:rsidR="00EB5139" w:rsidRDefault="00EB5139" w:rsidP="00EB5139">
      <w:pPr>
        <w:pStyle w:val="13"/>
      </w:pPr>
      <w:r>
        <w:t>4、资产管理公司应当合理、恰当使用评估机构出具的价值评估结论或价值分析结论，不得恶意使用。</w:t>
      </w:r>
    </w:p>
    <w:p w14:paraId="2E06AD54" w14:textId="77777777" w:rsidR="00EB5139" w:rsidRDefault="00EB5139" w:rsidP="00EB5139">
      <w:pPr>
        <w:pStyle w:val="ab"/>
        <w:spacing w:before="62" w:after="62"/>
        <w:ind w:firstLine="482"/>
      </w:pPr>
      <w:r>
        <w:rPr>
          <w:rFonts w:hint="eastAsia"/>
        </w:rPr>
        <w:t>二、评估机构和注册资产评估师在不良资产处置中的要求</w:t>
      </w:r>
    </w:p>
    <w:p w14:paraId="51343B6B" w14:textId="77777777" w:rsidR="00EB5139" w:rsidRDefault="00EB5139" w:rsidP="00EB5139">
      <w:pPr>
        <w:pStyle w:val="13"/>
      </w:pPr>
      <w:r>
        <w:rPr>
          <w:rFonts w:hint="eastAsia"/>
        </w:rPr>
        <w:t>资产评估机构和注册资产评估师在执行不良资产处置业务中，要严格依法执业，</w:t>
      </w:r>
      <w:r>
        <w:t>按照有关评估准则和规范的要求，保证执业的独立、客观、公正，维护社会公共利益和资产评估各方当事人合法权益。</w:t>
      </w:r>
    </w:p>
    <w:p w14:paraId="5BD851C9" w14:textId="77777777" w:rsidR="00EB5139" w:rsidRDefault="00EB5139" w:rsidP="00EB5139">
      <w:pPr>
        <w:pStyle w:val="13"/>
      </w:pPr>
      <w:r>
        <w:t>1、资产评估机构和注册资产评估师要严格按照有关法律、法规和资产评估准则执业，恪守职业道德，勤勉尽职。要严格按规定履行必要的资产评估程序，所采用的</w:t>
      </w:r>
      <w:r>
        <w:lastRenderedPageBreak/>
        <w:t>评估方法和出具的评估报告、价值分析报告，要符合相关法律法规和资产评估准则的有</w:t>
      </w:r>
      <w:r>
        <w:rPr>
          <w:rFonts w:hint="eastAsia"/>
        </w:rPr>
        <w:t>关规定和要求，不得删减必要的资产评估程序，不得迎合委托方或利害关系人的不正当要求，严禁出具不实或虚假评估报告。</w:t>
      </w:r>
    </w:p>
    <w:p w14:paraId="14C664AA" w14:textId="77777777" w:rsidR="00EB5139" w:rsidRDefault="00EB5139" w:rsidP="00EB5139">
      <w:pPr>
        <w:pStyle w:val="13"/>
      </w:pPr>
      <w:r>
        <w:t>2、资产评估机构和注册资产评估师在执行不良资产评估业务过程中，要严格遵守中国资产评估协会发布的《金融不良资产评估指导意见》（</w:t>
      </w:r>
      <w:proofErr w:type="gramStart"/>
      <w:r>
        <w:t>中评协</w:t>
      </w:r>
      <w:proofErr w:type="gramEnd"/>
      <w:r>
        <w:t>〔2005〕37号），规范不良资产评估执业行为。</w:t>
      </w:r>
    </w:p>
    <w:p w14:paraId="1A107CAA" w14:textId="77777777" w:rsidR="00EB5139" w:rsidRDefault="00EB5139" w:rsidP="00EB5139">
      <w:pPr>
        <w:pStyle w:val="13"/>
      </w:pPr>
      <w:r>
        <w:t>3、评估机构要选派具有专业胜任能力的注册资产评估</w:t>
      </w:r>
      <w:proofErr w:type="gramStart"/>
      <w:r>
        <w:t>师执行</w:t>
      </w:r>
      <w:proofErr w:type="gramEnd"/>
      <w:r>
        <w:t>不良资产评估业务，强化执业质量控制，严格履行评估机构内部逐级复核程序，落实复核责任，切实保证不良资产评估质量，维护资产评估当事人的合法权益。</w:t>
      </w:r>
    </w:p>
    <w:p w14:paraId="058B545D" w14:textId="77777777" w:rsidR="00EB5139" w:rsidRDefault="00EB5139" w:rsidP="00EB5139">
      <w:pPr>
        <w:pStyle w:val="ab"/>
        <w:spacing w:before="62" w:after="62"/>
        <w:ind w:firstLine="482"/>
      </w:pPr>
      <w:r>
        <w:rPr>
          <w:rFonts w:hint="eastAsia"/>
        </w:rPr>
        <w:t>三、不良资产评估业务的监管要求</w:t>
      </w:r>
    </w:p>
    <w:p w14:paraId="4D3015A7" w14:textId="77777777" w:rsidR="00EB5139" w:rsidRDefault="00EB5139" w:rsidP="00EB5139">
      <w:pPr>
        <w:pStyle w:val="13"/>
      </w:pPr>
      <w:r>
        <w:rPr>
          <w:rFonts w:hint="eastAsia"/>
        </w:rPr>
        <w:t>财政部和中</w:t>
      </w:r>
      <w:proofErr w:type="gramStart"/>
      <w:r>
        <w:rPr>
          <w:rFonts w:hint="eastAsia"/>
        </w:rPr>
        <w:t>评协应加强</w:t>
      </w:r>
      <w:proofErr w:type="gramEnd"/>
      <w:r>
        <w:rPr>
          <w:rFonts w:hint="eastAsia"/>
        </w:rPr>
        <w:t>对不良资产处置中的资产评估业务的监管，各省、自治</w:t>
      </w:r>
      <w:r>
        <w:t>区、直辖市财政部门和行业协会要进一步强化对不良资产处置中资产评估业务的监管，加强对不良资产处置中资产评估执业质量检查，促进不良资产处置中资产评估执业质量提高，使资产评估更好地服务于不良资产处置工作。</w:t>
      </w:r>
    </w:p>
    <w:p w14:paraId="48BB8567" w14:textId="77777777" w:rsidR="00EB5139" w:rsidRDefault="00EB5139" w:rsidP="00EB5139">
      <w:pPr>
        <w:pStyle w:val="13"/>
      </w:pPr>
      <w:r>
        <w:rPr>
          <w:rFonts w:hint="eastAsia"/>
        </w:rPr>
        <w:t>资产评估机构和注册资产评估师与委托方或有关利益方串通作弊、故意出具不实或虚假报告的，一经发现，由财政部门依法吊销评估机构评估资格证书，由中国资产评估协会依法吊销注册资产评估师证书。</w:t>
      </w:r>
    </w:p>
    <w:p w14:paraId="5CF9A32C" w14:textId="77777777" w:rsidR="00EB5139" w:rsidRDefault="00EB5139" w:rsidP="00EB5139">
      <w:pPr>
        <w:pStyle w:val="13"/>
      </w:pPr>
      <w:r>
        <w:rPr>
          <w:rFonts w:hint="eastAsia"/>
        </w:rPr>
        <w:t>中国银行业监督管理委员会应依法加强对资产管理公司不良资产处置评估委托和使用环节的监管，有效发挥资产评估在不良资产处置过程中的积极作用。</w:t>
      </w:r>
    </w:p>
    <w:p w14:paraId="6FF5B842" w14:textId="77777777" w:rsidR="00EB5139" w:rsidRDefault="00EB5139" w:rsidP="00EB5139">
      <w:pPr>
        <w:pStyle w:val="13"/>
      </w:pPr>
      <w:r>
        <w:rPr>
          <w:rFonts w:hint="eastAsia"/>
        </w:rPr>
        <w:t>资产管理公司要严格遵守不良资产处置的有关规定，切实做好不良资产处置工</w:t>
      </w:r>
      <w:r>
        <w:t>作，对于授意或串通评估机构、注册评估师出具不实或虚假评估报告、恶意使用评估报告的，一经发现，依法追究有关机构和相关责任人的责任。</w:t>
      </w:r>
    </w:p>
    <w:p w14:paraId="58A482AF" w14:textId="77777777" w:rsidR="00FA0363" w:rsidRDefault="00FA0363" w:rsidP="00FA0363">
      <w:pPr>
        <w:pStyle w:val="31"/>
        <w:spacing w:before="156" w:after="62"/>
      </w:pPr>
      <w:bookmarkStart w:id="290" w:name="_Toc81833523"/>
      <w:r>
        <w:rPr>
          <w:rFonts w:hint="eastAsia"/>
        </w:rPr>
        <w:t>《金融资产管理公司资产处置管理办法（修订）》（财金〔</w:t>
      </w:r>
      <w:r>
        <w:t>2008〕85号）</w:t>
      </w:r>
      <w:bookmarkEnd w:id="290"/>
    </w:p>
    <w:p w14:paraId="3A3661DF" w14:textId="77777777" w:rsidR="00FA0363" w:rsidRDefault="00FA0363" w:rsidP="00FA0363">
      <w:pPr>
        <w:pStyle w:val="13"/>
        <w:ind w:firstLineChars="0" w:firstLine="0"/>
      </w:pPr>
      <w:r>
        <w:rPr>
          <w:rFonts w:hint="eastAsia"/>
        </w:rPr>
        <w:t>中国华融资</w:t>
      </w:r>
      <w:proofErr w:type="gramStart"/>
      <w:r>
        <w:rPr>
          <w:rFonts w:hint="eastAsia"/>
        </w:rPr>
        <w:t>产管理</w:t>
      </w:r>
      <w:proofErr w:type="gramEnd"/>
      <w:r>
        <w:rPr>
          <w:rFonts w:hint="eastAsia"/>
        </w:rPr>
        <w:t>公司、中国长城资产管理公司、中国东方资产管理公司、中国信达资产管理公司：</w:t>
      </w:r>
    </w:p>
    <w:p w14:paraId="535569DF" w14:textId="77777777" w:rsidR="00FA0363" w:rsidRDefault="00FA0363" w:rsidP="00FA0363">
      <w:pPr>
        <w:pStyle w:val="13"/>
      </w:pPr>
      <w:r>
        <w:rPr>
          <w:rFonts w:hint="eastAsia"/>
        </w:rPr>
        <w:t>为适应金融资产管理公司商业化转型的需要，规范过渡阶段资产处置行为，确保资产处置收益最大化，防范道德风险，现将《金融资产管理公司资产处置管理办法（修订）》印发给你们，请遵照执行。</w:t>
      </w:r>
    </w:p>
    <w:p w14:paraId="0ECB8341" w14:textId="77777777" w:rsidR="00FA0363" w:rsidRDefault="00FA0363" w:rsidP="00FA0363">
      <w:pPr>
        <w:pStyle w:val="13"/>
      </w:pPr>
      <w:r>
        <w:rPr>
          <w:rFonts w:hint="eastAsia"/>
        </w:rPr>
        <w:t>附件：金融资产管理公司资产处置管理办法（修订）</w:t>
      </w:r>
    </w:p>
    <w:p w14:paraId="30771607" w14:textId="77777777" w:rsidR="00FA0363" w:rsidRDefault="00FA0363" w:rsidP="00FA0363">
      <w:pPr>
        <w:pStyle w:val="13"/>
        <w:jc w:val="right"/>
      </w:pPr>
      <w:r>
        <w:rPr>
          <w:rFonts w:hint="eastAsia"/>
        </w:rPr>
        <w:t>二〇〇八年七月九日</w:t>
      </w:r>
    </w:p>
    <w:p w14:paraId="6394D3F9" w14:textId="3B9E8D28" w:rsidR="00FA0363" w:rsidRDefault="00E05BDA" w:rsidP="00FA0363">
      <w:pPr>
        <w:pStyle w:val="13"/>
        <w:ind w:firstLine="482"/>
      </w:pPr>
      <w:r w:rsidRPr="00E05BDA">
        <w:rPr>
          <w:rFonts w:hint="eastAsia"/>
          <w:b/>
          <w:bCs/>
        </w:rPr>
        <w:t xml:space="preserve">第十条 </w:t>
      </w:r>
      <w:r w:rsidR="00FA0363">
        <w:t>审查依据和审查重点。</w:t>
      </w:r>
    </w:p>
    <w:p w14:paraId="5F94D198" w14:textId="77777777" w:rsidR="00FA0363" w:rsidRDefault="00FA0363" w:rsidP="00FA0363">
      <w:pPr>
        <w:pStyle w:val="13"/>
      </w:pPr>
      <w:r>
        <w:rPr>
          <w:rFonts w:hint="eastAsia"/>
        </w:rPr>
        <w:t>（一）资产处置方案的审查依据是资产收购成本、评估价值、尽职调查和估值结果、同类资产的市价和国家有关资产管理、资产处置、资产评估、价值认证及商品（产</w:t>
      </w:r>
      <w:r>
        <w:rPr>
          <w:rFonts w:hint="eastAsia"/>
        </w:rPr>
        <w:lastRenderedPageBreak/>
        <w:t>权）交易等方面的法律法规。</w:t>
      </w:r>
    </w:p>
    <w:p w14:paraId="6B39A1C3" w14:textId="77777777" w:rsidR="00FA0363" w:rsidRDefault="00FA0363" w:rsidP="00FA0363">
      <w:pPr>
        <w:pStyle w:val="13"/>
      </w:pPr>
      <w:r>
        <w:rPr>
          <w:rFonts w:hint="eastAsia"/>
        </w:rPr>
        <w:t>（二）资产处置方案的审查重点是处置方案的成本效益性、必要性及可行性、风险的可控性、评估方法的合</w:t>
      </w:r>
      <w:proofErr w:type="gramStart"/>
      <w:r>
        <w:rPr>
          <w:rFonts w:hint="eastAsia"/>
        </w:rPr>
        <w:t>规</w:t>
      </w:r>
      <w:proofErr w:type="gramEnd"/>
      <w:r>
        <w:rPr>
          <w:rFonts w:hint="eastAsia"/>
        </w:rPr>
        <w:t>性、资产定价和处置费用的合理性、处置行为和程序的公开性和合</w:t>
      </w:r>
      <w:proofErr w:type="gramStart"/>
      <w:r>
        <w:rPr>
          <w:rFonts w:hint="eastAsia"/>
        </w:rPr>
        <w:t>规</w:t>
      </w:r>
      <w:proofErr w:type="gramEnd"/>
      <w:r>
        <w:rPr>
          <w:rFonts w:hint="eastAsia"/>
        </w:rPr>
        <w:t>性。</w:t>
      </w:r>
    </w:p>
    <w:p w14:paraId="1CFFA51C" w14:textId="3133D4D1" w:rsidR="00FA0363" w:rsidRDefault="00E05BDA" w:rsidP="00FA0363">
      <w:pPr>
        <w:pStyle w:val="13"/>
        <w:ind w:firstLine="482"/>
      </w:pPr>
      <w:r w:rsidRPr="00E05BDA">
        <w:rPr>
          <w:rFonts w:hint="eastAsia"/>
          <w:b/>
          <w:bCs/>
        </w:rPr>
        <w:t xml:space="preserve">第十八条 </w:t>
      </w:r>
      <w:r w:rsidR="00FA0363">
        <w:t>资产公司在资产处置过程中，根据每一个资产处置项目的具体情况，按照公正合理原则、成本效益原则和效率原则确定是否评估和具体评估方式。</w:t>
      </w:r>
    </w:p>
    <w:p w14:paraId="166DF2F9" w14:textId="77777777" w:rsidR="00FA0363" w:rsidRDefault="00FA0363" w:rsidP="00FA0363">
      <w:pPr>
        <w:pStyle w:val="13"/>
      </w:pPr>
      <w:r>
        <w:rPr>
          <w:rFonts w:hint="eastAsia"/>
        </w:rPr>
        <w:t>资产公司对债权资产进行处置时，可由外部独立评估机构进行偿债能力分析，或采取尽职调查、内部估值方式确定资产价值，不需向财政部办理资产评估的备案手</w:t>
      </w:r>
      <w:r>
        <w:t>续。</w:t>
      </w:r>
    </w:p>
    <w:p w14:paraId="130EFF18" w14:textId="77777777" w:rsidR="00FA0363" w:rsidRDefault="00FA0363" w:rsidP="00FA0363">
      <w:pPr>
        <w:pStyle w:val="13"/>
      </w:pPr>
      <w:r>
        <w:rPr>
          <w:rFonts w:hint="eastAsia"/>
        </w:rPr>
        <w:t>资产公司以债转股、出售股权资产（含国务院批准的债转</w:t>
      </w:r>
      <w:proofErr w:type="gramStart"/>
      <w:r>
        <w:rPr>
          <w:rFonts w:hint="eastAsia"/>
        </w:rPr>
        <w:t>股项目</w:t>
      </w:r>
      <w:proofErr w:type="gramEnd"/>
      <w:r>
        <w:rPr>
          <w:rFonts w:hint="eastAsia"/>
        </w:rPr>
        <w:t>股权资产，下</w:t>
      </w:r>
      <w:r>
        <w:t>同）或出售不动产的方式处置资产时，除上市公司可流通股权资产外，均应由外部独立评估机构对资产进行评估。国务院批准的债转</w:t>
      </w:r>
      <w:proofErr w:type="gramStart"/>
      <w:r>
        <w:t>股项目</w:t>
      </w:r>
      <w:proofErr w:type="gramEnd"/>
      <w:r>
        <w:t>股权资产，按照国家国有资产评估项目管理的有关规定进行备案；其他股权资产和不动产处置项目不需报财政部备案，由资产公司办理内部备案手续。</w:t>
      </w:r>
    </w:p>
    <w:p w14:paraId="415CFDE1" w14:textId="77777777" w:rsidR="00FA0363" w:rsidRDefault="00FA0363" w:rsidP="00FA0363">
      <w:pPr>
        <w:pStyle w:val="13"/>
      </w:pPr>
      <w:r>
        <w:rPr>
          <w:rFonts w:hint="eastAsia"/>
        </w:rPr>
        <w:t>资产公司应参照评估价值或内部估值确定拟处置资产的折股价或底价。</w:t>
      </w:r>
    </w:p>
    <w:p w14:paraId="2784897D" w14:textId="602495F3" w:rsidR="00FA0363" w:rsidRDefault="00E05BDA" w:rsidP="00FA0363">
      <w:pPr>
        <w:pStyle w:val="13"/>
        <w:ind w:firstLine="482"/>
      </w:pPr>
      <w:r w:rsidRPr="00E05BDA">
        <w:rPr>
          <w:rFonts w:hint="eastAsia"/>
          <w:b/>
          <w:bCs/>
        </w:rPr>
        <w:t xml:space="preserve">第二十二条 </w:t>
      </w:r>
      <w:r w:rsidR="00FA0363">
        <w:t>资产公司直接协议</w:t>
      </w:r>
      <w:proofErr w:type="gramStart"/>
      <w:r w:rsidR="00FA0363">
        <w:t>转让非</w:t>
      </w:r>
      <w:proofErr w:type="gramEnd"/>
      <w:r w:rsidR="00FA0363">
        <w:t>上市公司股权资产的，除以下情形外，转让价格不得低于资产评估结果：</w:t>
      </w:r>
    </w:p>
    <w:p w14:paraId="229B57B4" w14:textId="77777777" w:rsidR="00FA0363" w:rsidRDefault="00FA0363" w:rsidP="00FA0363">
      <w:pPr>
        <w:pStyle w:val="13"/>
      </w:pPr>
      <w:r>
        <w:rPr>
          <w:rFonts w:hint="eastAsia"/>
        </w:rPr>
        <w:t>（一）资产公司向国务院批准的债转</w:t>
      </w:r>
      <w:proofErr w:type="gramStart"/>
      <w:r>
        <w:rPr>
          <w:rFonts w:hint="eastAsia"/>
        </w:rPr>
        <w:t>股项目</w:t>
      </w:r>
      <w:proofErr w:type="gramEnd"/>
      <w:r>
        <w:rPr>
          <w:rFonts w:hint="eastAsia"/>
        </w:rPr>
        <w:t>原国有出资人转让股权的，经财政部商国资委审核后，可不进行资产评估，以审计的每股资产净值为基础，由双方依商业原则协商确定收购价格，不得低于最近一期经审计的资产净值。</w:t>
      </w:r>
    </w:p>
    <w:p w14:paraId="3C805F52" w14:textId="77777777" w:rsidR="00FA0363" w:rsidRDefault="00FA0363" w:rsidP="00FA0363">
      <w:pPr>
        <w:pStyle w:val="13"/>
      </w:pPr>
      <w:r>
        <w:rPr>
          <w:rFonts w:hint="eastAsia"/>
        </w:rPr>
        <w:t>（二）国务院批准的债转</w:t>
      </w:r>
      <w:proofErr w:type="gramStart"/>
      <w:r>
        <w:rPr>
          <w:rFonts w:hint="eastAsia"/>
        </w:rPr>
        <w:t>股项目</w:t>
      </w:r>
      <w:proofErr w:type="gramEnd"/>
      <w:r>
        <w:rPr>
          <w:rFonts w:hint="eastAsia"/>
        </w:rPr>
        <w:t>原</w:t>
      </w:r>
      <w:proofErr w:type="gramStart"/>
      <w:r>
        <w:rPr>
          <w:rFonts w:hint="eastAsia"/>
        </w:rPr>
        <w:t>股东用债转</w:t>
      </w:r>
      <w:proofErr w:type="gramEnd"/>
      <w:r>
        <w:rPr>
          <w:rFonts w:hint="eastAsia"/>
        </w:rPr>
        <w:t>股企业所得税返还购买资产公司持有的债转股企业股权，无须经过处置公告和资产评估，双方应根据企业经审计的每股净资产在协商的基础上确定转让价格，不得低于最近一期经审计的资产净值。</w:t>
      </w:r>
    </w:p>
    <w:p w14:paraId="23D598D8" w14:textId="232FE97E" w:rsidR="00FA0363" w:rsidRDefault="00E05BDA" w:rsidP="00FA0363">
      <w:pPr>
        <w:pStyle w:val="13"/>
        <w:ind w:firstLine="482"/>
      </w:pPr>
      <w:r w:rsidRPr="00E05BDA">
        <w:rPr>
          <w:rFonts w:hint="eastAsia"/>
          <w:b/>
          <w:bCs/>
        </w:rPr>
        <w:t xml:space="preserve">第二十三条 </w:t>
      </w:r>
      <w:r w:rsidR="00FA0363">
        <w:t>资产公司以出售方式处置股权资产时，除本办法第二十一条、第二十二条规定的情形外，国务院批准的债转</w:t>
      </w:r>
      <w:proofErr w:type="gramStart"/>
      <w:r w:rsidR="00FA0363">
        <w:t>股项目</w:t>
      </w:r>
      <w:proofErr w:type="gramEnd"/>
      <w:r w:rsidR="00FA0363">
        <w:t>股权资产及评估价值在1000万元以上的其他非上市公司股权资产的转让均应按照国家有关规定的程序，在依法设立的省级以上产权交易市场公开进行。首次挂牌价格不得低于资产评估结果。当交易价格低于评估结果的90％时，应当暂停交易，重新履行资产公司内部处置审批程序。</w:t>
      </w:r>
    </w:p>
    <w:p w14:paraId="007DCAD1" w14:textId="3E5DEABF" w:rsidR="00EB5139" w:rsidRDefault="00EB5139" w:rsidP="00EB5139">
      <w:pPr>
        <w:pStyle w:val="31"/>
        <w:spacing w:before="156" w:after="62"/>
      </w:pPr>
      <w:bookmarkStart w:id="291" w:name="_Toc81833524"/>
      <w:r>
        <w:rPr>
          <w:rFonts w:hint="eastAsia"/>
        </w:rPr>
        <w:t>《关于在民事审判和执行工作中依法保护金融债权防止国有资产流失问题的通知》（法〔</w:t>
      </w:r>
      <w:r>
        <w:t>2005〕32号）</w:t>
      </w:r>
      <w:bookmarkEnd w:id="291"/>
    </w:p>
    <w:p w14:paraId="74DA6873" w14:textId="77777777" w:rsidR="00EB5139" w:rsidRDefault="00EB5139" w:rsidP="00EB5139">
      <w:pPr>
        <w:pStyle w:val="13"/>
      </w:pPr>
      <w:r>
        <w:rPr>
          <w:rFonts w:hint="eastAsia"/>
        </w:rPr>
        <w:t>四、在审理和执行上述案件时，需要对金融不良债权和相关财产进行评估、审计的，要严格依照法律规定委托有相应资质并信誉良好的中介机构进行，要对评估、审计程序和结果进行严格审查。对被执行人的财产进行变价时，要尽可能采取由拍卖机</w:t>
      </w:r>
      <w:r>
        <w:rPr>
          <w:rFonts w:hint="eastAsia"/>
        </w:rPr>
        <w:lastRenderedPageBreak/>
        <w:t>构公开拍卖的方式，最大限度回收金融债权。</w:t>
      </w:r>
    </w:p>
    <w:p w14:paraId="1AE21665" w14:textId="05C6244C" w:rsidR="00FA0363" w:rsidRDefault="00FA0363" w:rsidP="00FA0363">
      <w:pPr>
        <w:pStyle w:val="31"/>
        <w:spacing w:before="156" w:after="62"/>
      </w:pPr>
      <w:bookmarkStart w:id="292" w:name="_Toc81833525"/>
      <w:r>
        <w:rPr>
          <w:rFonts w:hint="eastAsia"/>
        </w:rPr>
        <w:t>《关于审理涉及金融不良债权转让案件工作座谈会纪要》（法发〔</w:t>
      </w:r>
      <w:r>
        <w:t>2009〕19号）</w:t>
      </w:r>
      <w:bookmarkEnd w:id="292"/>
    </w:p>
    <w:p w14:paraId="6E81D70D" w14:textId="77777777" w:rsidR="00FA0363" w:rsidRDefault="00FA0363" w:rsidP="00FA0363">
      <w:pPr>
        <w:pStyle w:val="ab"/>
        <w:spacing w:before="62" w:after="62"/>
        <w:ind w:firstLine="482"/>
      </w:pPr>
      <w:r>
        <w:rPr>
          <w:rFonts w:hint="eastAsia"/>
        </w:rPr>
        <w:t>六、关于不良债权转让合同无效和</w:t>
      </w:r>
      <w:proofErr w:type="gramStart"/>
      <w:r>
        <w:rPr>
          <w:rFonts w:hint="eastAsia"/>
        </w:rPr>
        <w:t>可</w:t>
      </w:r>
      <w:proofErr w:type="gramEnd"/>
      <w:r>
        <w:rPr>
          <w:rFonts w:hint="eastAsia"/>
        </w:rPr>
        <w:t>撤销事由的认定</w:t>
      </w:r>
    </w:p>
    <w:p w14:paraId="0623F251" w14:textId="77777777" w:rsidR="00FA0363" w:rsidRDefault="00FA0363" w:rsidP="00FA0363">
      <w:pPr>
        <w:pStyle w:val="13"/>
      </w:pPr>
      <w:r>
        <w:rPr>
          <w:rFonts w:hint="eastAsia"/>
        </w:rPr>
        <w:t>会议认为，在审理不良债权转让合同效力的诉讼中，人民法院应当根据合同法和《金融资产管理公司条例》等法律法规，并参照国家相关政策规定，重点审查不良债权的可转让性、受让人的</w:t>
      </w:r>
      <w:proofErr w:type="gramStart"/>
      <w:r>
        <w:rPr>
          <w:rFonts w:hint="eastAsia"/>
        </w:rPr>
        <w:t>适格性</w:t>
      </w:r>
      <w:proofErr w:type="gramEnd"/>
      <w:r>
        <w:rPr>
          <w:rFonts w:hint="eastAsia"/>
        </w:rPr>
        <w:t>以及转让程序的公正性和合法性。金融资产管理公司转让不良债权存在下列情形的，人民法院应当认定转让合同损害国家利益或社会公共利益或者违反法律、行政法规强制性规定而无效。</w:t>
      </w:r>
    </w:p>
    <w:p w14:paraId="2C13CE8A" w14:textId="77777777" w:rsidR="00FA0363" w:rsidRDefault="00FA0363" w:rsidP="00FA0363">
      <w:pPr>
        <w:pStyle w:val="13"/>
      </w:pPr>
      <w:r>
        <w:rPr>
          <w:rFonts w:hint="eastAsia"/>
        </w:rPr>
        <w:t>（九）受让人为国家公务员、金融监管机构工作人员、政法干警、金融资产管理公司工作人员、国有企业债务人管理人员、参与资产处置工作的律师、会计师、评估师等中介机构等关联人或者上述关联人参与的非金融机构法人的；</w:t>
      </w:r>
    </w:p>
    <w:p w14:paraId="0EE7580E" w14:textId="51D940F9" w:rsidR="00FA0363" w:rsidRDefault="00FA0363" w:rsidP="00FA0363">
      <w:pPr>
        <w:pStyle w:val="31"/>
        <w:spacing w:before="156" w:after="62"/>
      </w:pPr>
      <w:bookmarkStart w:id="293" w:name="_Toc81833526"/>
      <w:r>
        <w:rPr>
          <w:rFonts w:hint="eastAsia"/>
        </w:rPr>
        <w:t>《全国法院破产审判工作会议纪要》（法〔</w:t>
      </w:r>
      <w:r>
        <w:t>2018〕53号）</w:t>
      </w:r>
      <w:bookmarkEnd w:id="293"/>
    </w:p>
    <w:p w14:paraId="5C29D558" w14:textId="77777777" w:rsidR="00FA0363" w:rsidRDefault="00FA0363" w:rsidP="00FA0363">
      <w:pPr>
        <w:pStyle w:val="13"/>
      </w:pPr>
      <w:r>
        <w:t>23.破产宣告的条件。人民法院受理破产清算申请后，第一次债权人会议上无人提出重整或和解申请的，管理人应当在债权审核确认和必要的审计、资产评估后，及时向人民法院提出宣告破产的申请。人民法院受理破产和解或重整申请后，债务人出现应当宣告破产的法定原因时，人民法院应当依法宣告债务人破产。</w:t>
      </w:r>
    </w:p>
    <w:p w14:paraId="4BEA7D04" w14:textId="77777777" w:rsidR="00FA0363" w:rsidRDefault="00FA0363" w:rsidP="00FA0363">
      <w:pPr>
        <w:pStyle w:val="13"/>
      </w:pPr>
      <w:r>
        <w:t>26.破产财产的处置。破产财产处置应当以价值最大化为原则，兼顾处置效率。人民法院要积极探索更为有效的破产财产处置方式和渠道，最大限度提升破产财产变价率。采用拍卖方式进行处置的，拍卖所得预计不足以支付评估拍卖费用，或者拍卖不成的，</w:t>
      </w:r>
      <w:r>
        <w:rPr>
          <w:rFonts w:hint="eastAsia"/>
        </w:rPr>
        <w:t>经债权人会议决议，可以采取作价变卖或实物分配方式。变卖或实物分配的方案经债权人会议两次表决仍未通过的，由人民法院裁定处理。</w:t>
      </w:r>
    </w:p>
    <w:p w14:paraId="4AEDE280" w14:textId="77777777" w:rsidR="00032B5A" w:rsidRDefault="00032B5A">
      <w:pPr>
        <w:widowControl/>
        <w:jc w:val="left"/>
        <w:rPr>
          <w:rFonts w:ascii="宋体" w:hAnsi="宋体"/>
          <w:sz w:val="24"/>
          <w:szCs w:val="24"/>
        </w:rPr>
      </w:pPr>
      <w:r>
        <w:br w:type="page"/>
      </w:r>
    </w:p>
    <w:p w14:paraId="53402AEA" w14:textId="1DEA1EFA" w:rsidR="00FA0363" w:rsidRDefault="00FA0363" w:rsidP="00FA0363">
      <w:pPr>
        <w:pStyle w:val="21"/>
        <w:spacing w:before="156" w:after="93"/>
      </w:pPr>
      <w:bookmarkStart w:id="294" w:name="_Toc81833527"/>
      <w:proofErr w:type="gramStart"/>
      <w:r>
        <w:rPr>
          <w:rFonts w:hint="eastAsia"/>
        </w:rPr>
        <w:lastRenderedPageBreak/>
        <w:t>法拍业务</w:t>
      </w:r>
      <w:bookmarkEnd w:id="294"/>
      <w:proofErr w:type="gramEnd"/>
    </w:p>
    <w:p w14:paraId="5F17F39A" w14:textId="77777777" w:rsidR="00EB5139" w:rsidRDefault="00EB5139" w:rsidP="00EB5139">
      <w:pPr>
        <w:pStyle w:val="31"/>
        <w:spacing w:before="156" w:after="62"/>
      </w:pPr>
      <w:bookmarkStart w:id="295" w:name="_Toc81833528"/>
      <w:r>
        <w:rPr>
          <w:rFonts w:hint="eastAsia"/>
        </w:rPr>
        <w:t>《人民法院委托评估工作规范》（法办〔</w:t>
      </w:r>
      <w:r>
        <w:t>2018〕273号）</w:t>
      </w:r>
      <w:bookmarkEnd w:id="295"/>
    </w:p>
    <w:p w14:paraId="34E94605" w14:textId="77777777" w:rsidR="00EB5139" w:rsidRDefault="00EB5139" w:rsidP="00EB5139">
      <w:pPr>
        <w:pStyle w:val="13"/>
      </w:pPr>
      <w:r>
        <w:rPr>
          <w:rFonts w:hint="eastAsia"/>
        </w:rPr>
        <w:t>各省、自治区、直辖市高级人民法院，解放军军事法院，新疆维吾尔自治区高级人民法院生产建设兵团分院；各全国性评估行业协会、地方性评估行业协会；各有关评估机构：为全面落实《最高人民法院关于人民法院确定财产处置参考价若干问题的规定》（以下简称参考价规定）（法释〔</w:t>
      </w:r>
      <w:r>
        <w:t>2018〕15号），依法规范人民法院委托评估工作，提高委托评估工作效率，保护当事人、利害关系人的合法权益，最高人民法院与中国资产评估协会、中国土地估价师与土地登记代理人协会、中国房地产估价师与房地产经纪人学会、中国矿业权评估师协会、中国珠宝玉石首饰行业协会联合研究制定了《人民法院委托评估工作规范》，现予印发，请遵照执行。</w:t>
      </w:r>
    </w:p>
    <w:p w14:paraId="742FF6F2" w14:textId="77777777" w:rsidR="00EB5139" w:rsidRDefault="00EB5139" w:rsidP="00EB5139">
      <w:pPr>
        <w:pStyle w:val="13"/>
        <w:jc w:val="right"/>
      </w:pPr>
      <w:r>
        <w:rPr>
          <w:rFonts w:hint="eastAsia"/>
        </w:rPr>
        <w:t>最高人民法院办公厅</w:t>
      </w:r>
    </w:p>
    <w:p w14:paraId="6F21868A" w14:textId="77777777" w:rsidR="00EB5139" w:rsidRDefault="00EB5139" w:rsidP="00EB5139">
      <w:pPr>
        <w:pStyle w:val="13"/>
        <w:jc w:val="right"/>
      </w:pPr>
      <w:r>
        <w:rPr>
          <w:rFonts w:hint="eastAsia"/>
        </w:rPr>
        <w:t>中国资产评估协会</w:t>
      </w:r>
    </w:p>
    <w:p w14:paraId="74335A3C" w14:textId="77777777" w:rsidR="00EB5139" w:rsidRDefault="00EB5139" w:rsidP="00EB5139">
      <w:pPr>
        <w:pStyle w:val="13"/>
        <w:ind w:firstLineChars="0"/>
        <w:jc w:val="right"/>
      </w:pPr>
      <w:r>
        <w:rPr>
          <w:rFonts w:hint="eastAsia"/>
        </w:rPr>
        <w:t>中国土地估价师与土地登记代理人协会</w:t>
      </w:r>
    </w:p>
    <w:p w14:paraId="7119A49B" w14:textId="77777777" w:rsidR="00EB5139" w:rsidRDefault="00EB5139" w:rsidP="00EB5139">
      <w:pPr>
        <w:pStyle w:val="13"/>
        <w:ind w:firstLineChars="0"/>
        <w:jc w:val="right"/>
      </w:pPr>
      <w:r>
        <w:rPr>
          <w:rFonts w:hint="eastAsia"/>
        </w:rPr>
        <w:t>中国房地产估价师与房地产经纪人学会</w:t>
      </w:r>
    </w:p>
    <w:p w14:paraId="7FCCD567" w14:textId="77777777" w:rsidR="00EB5139" w:rsidRDefault="00EB5139" w:rsidP="00EB5139">
      <w:pPr>
        <w:pStyle w:val="13"/>
        <w:jc w:val="right"/>
      </w:pPr>
      <w:r>
        <w:rPr>
          <w:rFonts w:hint="eastAsia"/>
        </w:rPr>
        <w:t>中国矿业权评估师协会</w:t>
      </w:r>
    </w:p>
    <w:p w14:paraId="7023BD70" w14:textId="77777777" w:rsidR="00EB5139" w:rsidRDefault="00EB5139" w:rsidP="00EB5139">
      <w:pPr>
        <w:pStyle w:val="13"/>
        <w:jc w:val="right"/>
      </w:pPr>
      <w:r>
        <w:rPr>
          <w:rFonts w:hint="eastAsia"/>
        </w:rPr>
        <w:t>中国珠宝玉石首饰行业协会</w:t>
      </w:r>
    </w:p>
    <w:p w14:paraId="2627569E" w14:textId="77777777" w:rsidR="00EB5139" w:rsidRDefault="00EB5139" w:rsidP="00EB5139">
      <w:pPr>
        <w:pStyle w:val="13"/>
        <w:ind w:firstLineChars="0"/>
        <w:jc w:val="right"/>
      </w:pPr>
      <w:r>
        <w:t>2018年12月10日</w:t>
      </w:r>
    </w:p>
    <w:p w14:paraId="4E32B8A6" w14:textId="77777777" w:rsidR="00EB5139" w:rsidRDefault="00EB5139" w:rsidP="00EB5139">
      <w:pPr>
        <w:pStyle w:val="13"/>
        <w:ind w:firstLineChars="0" w:firstLine="0"/>
      </w:pPr>
      <w:r>
        <w:rPr>
          <w:rFonts w:hint="eastAsia"/>
        </w:rPr>
        <w:t>附件：《人民法院委托评估工作规范》</w:t>
      </w:r>
    </w:p>
    <w:p w14:paraId="0AE29C90" w14:textId="77777777" w:rsidR="00EB5139" w:rsidRDefault="00EB5139" w:rsidP="00EB5139">
      <w:pPr>
        <w:pStyle w:val="a9"/>
        <w:spacing w:before="62" w:after="62"/>
      </w:pPr>
      <w:r>
        <w:rPr>
          <w:rFonts w:hint="eastAsia"/>
        </w:rPr>
        <w:t>人民法院委托评估工作规范</w:t>
      </w:r>
    </w:p>
    <w:p w14:paraId="329CF523" w14:textId="77777777" w:rsidR="00EB5139" w:rsidRDefault="00EB5139" w:rsidP="00EB5139">
      <w:pPr>
        <w:pStyle w:val="13"/>
      </w:pPr>
      <w:r>
        <w:rPr>
          <w:rFonts w:hint="eastAsia"/>
        </w:rPr>
        <w:t>为依法规范人民法院委托评估工作，提高委托评估工作的效率，保护当事人、利害关系人的合法权益，根据《最高人民法院关于人民法院确定财产处置参考价若干问题的规定》（以下简称参考价规定）的规定，制定本规范。</w:t>
      </w:r>
    </w:p>
    <w:p w14:paraId="4A751BBA" w14:textId="77777777" w:rsidR="00EB5139" w:rsidRDefault="00EB5139" w:rsidP="00EB5139">
      <w:pPr>
        <w:pStyle w:val="13"/>
        <w:ind w:firstLine="482"/>
      </w:pPr>
      <w:r w:rsidRPr="00136E9E">
        <w:rPr>
          <w:rFonts w:hint="eastAsia"/>
          <w:b/>
          <w:bCs/>
        </w:rPr>
        <w:t>一、</w:t>
      </w:r>
      <w:r>
        <w:rPr>
          <w:rFonts w:hint="eastAsia"/>
        </w:rPr>
        <w:t>最高人民法院根据中国资产评估协会、中国土地估价师与土地登记代理人协会、中国房地产估价师与房地产经纪人学会、中国矿业权评估师协会、中国珠宝玉石首饰行业协会等全国性评估行业协会推荐的评估机构名单建立人民法院</w:t>
      </w:r>
      <w:proofErr w:type="gramStart"/>
      <w:r>
        <w:rPr>
          <w:rFonts w:hint="eastAsia"/>
        </w:rPr>
        <w:t>涉执财产</w:t>
      </w:r>
      <w:proofErr w:type="gramEnd"/>
      <w:r>
        <w:rPr>
          <w:rFonts w:hint="eastAsia"/>
        </w:rPr>
        <w:t>处置司法评估机构名单库。</w:t>
      </w:r>
    </w:p>
    <w:p w14:paraId="09B58A83" w14:textId="77777777" w:rsidR="00EB5139" w:rsidRDefault="00EB5139" w:rsidP="00EB5139">
      <w:pPr>
        <w:pStyle w:val="13"/>
      </w:pPr>
      <w:r>
        <w:rPr>
          <w:rFonts w:hint="eastAsia"/>
        </w:rPr>
        <w:t>按评估专业领域和评估机构的执业范围在名单库下设资产、土地、房地产、矿业权、珠宝玉石首饰等名单分库；在分库下根据行政区划设省、市两级名单子库；市级行政区划内的评估机构满三家的，设市级名单子库；除青海、西藏两地省级行政区划内的评估机构满五家即设省级名单子库外，其他省级行政区划内的评估机构满十家</w:t>
      </w:r>
      <w:r>
        <w:t>的，设省级名单子库。</w:t>
      </w:r>
    </w:p>
    <w:p w14:paraId="148F7233" w14:textId="77777777" w:rsidR="00EB5139" w:rsidRDefault="00EB5139" w:rsidP="00EB5139">
      <w:pPr>
        <w:pStyle w:val="13"/>
        <w:ind w:firstLine="482"/>
      </w:pPr>
      <w:r w:rsidRPr="00136E9E">
        <w:rPr>
          <w:rFonts w:hint="eastAsia"/>
          <w:b/>
          <w:bCs/>
        </w:rPr>
        <w:t>二、</w:t>
      </w:r>
      <w:r>
        <w:rPr>
          <w:rFonts w:hint="eastAsia"/>
        </w:rPr>
        <w:t>中国资产评估协会、中国土地估价师与土地登记代理人协会、中国房地产估价师与房地产经纪人学会、中国矿业权评估师协会、中国珠宝玉石首饰行业协会等全</w:t>
      </w:r>
      <w:r>
        <w:rPr>
          <w:rFonts w:hint="eastAsia"/>
        </w:rPr>
        <w:lastRenderedPageBreak/>
        <w:t>国性评估行业协会自行制定本行业推荐入选名单库的标准。</w:t>
      </w:r>
    </w:p>
    <w:p w14:paraId="5E1CC141" w14:textId="77777777" w:rsidR="00EB5139" w:rsidRDefault="00EB5139" w:rsidP="00EB5139">
      <w:pPr>
        <w:pStyle w:val="13"/>
      </w:pPr>
      <w:r>
        <w:rPr>
          <w:rFonts w:hint="eastAsia"/>
        </w:rPr>
        <w:t>因违反资产评估</w:t>
      </w:r>
      <w:proofErr w:type="gramStart"/>
      <w:r>
        <w:rPr>
          <w:rFonts w:hint="eastAsia"/>
        </w:rPr>
        <w:t>法或者</w:t>
      </w:r>
      <w:proofErr w:type="gramEnd"/>
      <w:r>
        <w:rPr>
          <w:rFonts w:hint="eastAsia"/>
        </w:rPr>
        <w:t>评估行业监督管理办法被有关部门处罚的评估机构，五年内不得推荐入选名单库。</w:t>
      </w:r>
    </w:p>
    <w:p w14:paraId="102EB355" w14:textId="77777777" w:rsidR="00EB5139" w:rsidRDefault="00EB5139" w:rsidP="00EB5139">
      <w:pPr>
        <w:pStyle w:val="13"/>
      </w:pPr>
      <w:r>
        <w:rPr>
          <w:rFonts w:hint="eastAsia"/>
        </w:rPr>
        <w:t>评估机构的收费标准高于所属全国性评估行业协会各评估机构平均收费标准</w:t>
      </w:r>
      <w:r>
        <w:t>10%</w:t>
      </w:r>
      <w:r>
        <w:rPr>
          <w:rFonts w:hint="eastAsia"/>
        </w:rPr>
        <w:t>的，不得推荐入选名单库。</w:t>
      </w:r>
    </w:p>
    <w:p w14:paraId="6AA279C0" w14:textId="77777777" w:rsidR="00EB5139" w:rsidRDefault="00EB5139" w:rsidP="00EB5139">
      <w:pPr>
        <w:pStyle w:val="13"/>
        <w:ind w:firstLine="482"/>
      </w:pPr>
      <w:r w:rsidRPr="00136E9E">
        <w:rPr>
          <w:rFonts w:hint="eastAsia"/>
          <w:b/>
          <w:bCs/>
        </w:rPr>
        <w:t>三、</w:t>
      </w:r>
      <w:r>
        <w:rPr>
          <w:rFonts w:hint="eastAsia"/>
        </w:rPr>
        <w:t>最高人民法院应当将入选名单库的评估机构及其评估专业人员的基本信息，</w:t>
      </w:r>
      <w:r>
        <w:t>以及评估机构在其所属全国性评估行业协会报备的收费标准，在中国执行信息公开网上进行公示。</w:t>
      </w:r>
    </w:p>
    <w:p w14:paraId="7625AB97" w14:textId="77777777" w:rsidR="00EB5139" w:rsidRDefault="00EB5139" w:rsidP="00EB5139">
      <w:pPr>
        <w:pStyle w:val="13"/>
      </w:pPr>
      <w:r>
        <w:rPr>
          <w:rFonts w:hint="eastAsia"/>
        </w:rPr>
        <w:t>已入选名单库的评估机构变更名称、法定代表人、注册地址、联系人、联系电话、评估专业人员的，该评估机构所属全国性评估行业协会应当及时函告最高人民法院。</w:t>
      </w:r>
    </w:p>
    <w:p w14:paraId="1E34AED4" w14:textId="77777777" w:rsidR="00EB5139" w:rsidRDefault="00EB5139" w:rsidP="00EB5139">
      <w:pPr>
        <w:pStyle w:val="13"/>
      </w:pPr>
      <w:r>
        <w:rPr>
          <w:rFonts w:hint="eastAsia"/>
        </w:rPr>
        <w:t>最高人民法院应当及时更新中国执行信息公开网上公示的相关信息。</w:t>
      </w:r>
    </w:p>
    <w:p w14:paraId="6623AEF0" w14:textId="77777777" w:rsidR="00EB5139" w:rsidRPr="00032B5A" w:rsidRDefault="00EB5139" w:rsidP="00EB5139">
      <w:pPr>
        <w:pStyle w:val="13"/>
      </w:pPr>
      <w:r w:rsidRPr="00032B5A">
        <w:rPr>
          <w:rFonts w:hint="eastAsia"/>
        </w:rPr>
        <w:t>四、已入选名单库的评估机构具有下列情形之一的，该评估机构所属全国性评估行业协会应当及时函告最高人民法院，将其除名：</w:t>
      </w:r>
    </w:p>
    <w:p w14:paraId="01FB28AC" w14:textId="77777777" w:rsidR="00EB5139" w:rsidRPr="00032B5A" w:rsidRDefault="00EB5139" w:rsidP="00EB5139">
      <w:pPr>
        <w:pStyle w:val="13"/>
      </w:pPr>
      <w:r w:rsidRPr="00032B5A">
        <w:rPr>
          <w:rFonts w:hint="eastAsia"/>
        </w:rPr>
        <w:t>（一）被纳入失信被执行人名单的；</w:t>
      </w:r>
    </w:p>
    <w:p w14:paraId="1B540F26" w14:textId="77777777" w:rsidR="00EB5139" w:rsidRPr="00032B5A" w:rsidRDefault="00EB5139" w:rsidP="00EB5139">
      <w:pPr>
        <w:pStyle w:val="13"/>
      </w:pPr>
      <w:r w:rsidRPr="00032B5A">
        <w:rPr>
          <w:rFonts w:hint="eastAsia"/>
        </w:rPr>
        <w:t>（二）因违反资产评估</w:t>
      </w:r>
      <w:proofErr w:type="gramStart"/>
      <w:r w:rsidRPr="00032B5A">
        <w:rPr>
          <w:rFonts w:hint="eastAsia"/>
        </w:rPr>
        <w:t>法或者</w:t>
      </w:r>
      <w:proofErr w:type="gramEnd"/>
      <w:r w:rsidRPr="00032B5A">
        <w:rPr>
          <w:rFonts w:hint="eastAsia"/>
        </w:rPr>
        <w:t>评估行业监督管理办法被有关部门处罚的；</w:t>
      </w:r>
    </w:p>
    <w:p w14:paraId="02D5F549" w14:textId="77777777" w:rsidR="00EB5139" w:rsidRPr="00032B5A" w:rsidRDefault="00EB5139" w:rsidP="00EB5139">
      <w:pPr>
        <w:pStyle w:val="13"/>
      </w:pPr>
      <w:r w:rsidRPr="00032B5A">
        <w:rPr>
          <w:rFonts w:hint="eastAsia"/>
        </w:rPr>
        <w:t>（三）已办理企业注销登记的；</w:t>
      </w:r>
    </w:p>
    <w:p w14:paraId="652F98C8" w14:textId="77777777" w:rsidR="00EB5139" w:rsidRPr="00032B5A" w:rsidRDefault="00EB5139" w:rsidP="00EB5139">
      <w:pPr>
        <w:pStyle w:val="13"/>
      </w:pPr>
      <w:r w:rsidRPr="00032B5A">
        <w:rPr>
          <w:rFonts w:hint="eastAsia"/>
        </w:rPr>
        <w:t>（四）已被市场监管部门吊销营业执照的；</w:t>
      </w:r>
    </w:p>
    <w:p w14:paraId="6E051163" w14:textId="77777777" w:rsidR="00EB5139" w:rsidRPr="00032B5A" w:rsidRDefault="00EB5139" w:rsidP="00EB5139">
      <w:pPr>
        <w:pStyle w:val="13"/>
      </w:pPr>
      <w:r w:rsidRPr="00032B5A">
        <w:rPr>
          <w:rFonts w:hint="eastAsia"/>
        </w:rPr>
        <w:t>（五）违反所属行业协会自律管理规定，受到严重惩戒的。</w:t>
      </w:r>
    </w:p>
    <w:p w14:paraId="537906EA" w14:textId="77777777" w:rsidR="00EB5139" w:rsidRPr="00032B5A" w:rsidRDefault="00EB5139" w:rsidP="00EB5139">
      <w:pPr>
        <w:pStyle w:val="13"/>
      </w:pPr>
      <w:r w:rsidRPr="00032B5A">
        <w:rPr>
          <w:rFonts w:hint="eastAsia"/>
        </w:rPr>
        <w:t>最高人民法院应当根据各全国性评估行业协会的建议，将相关评估机构从名单库中除名，并函告全国性评估行业协会，同时建议全国性评估行业协会五年内不得再推荐该评估机构入选名单库。</w:t>
      </w:r>
    </w:p>
    <w:p w14:paraId="650B13E6" w14:textId="77777777" w:rsidR="00EB5139" w:rsidRPr="00032B5A" w:rsidRDefault="00EB5139" w:rsidP="00EB5139">
      <w:pPr>
        <w:pStyle w:val="13"/>
      </w:pPr>
      <w:r w:rsidRPr="00032B5A">
        <w:rPr>
          <w:rFonts w:hint="eastAsia"/>
        </w:rPr>
        <w:t>五、已入选名单库的评估机构具有下列情形之一的，最高人民法院应当函告该评估机构所属的全国性评估行业协会，将其除名，五年内不得再推荐该评估机构入选名单库：</w:t>
      </w:r>
    </w:p>
    <w:p w14:paraId="75075709" w14:textId="77777777" w:rsidR="00EB5139" w:rsidRPr="00032B5A" w:rsidRDefault="00EB5139" w:rsidP="00EB5139">
      <w:pPr>
        <w:pStyle w:val="13"/>
      </w:pPr>
      <w:r w:rsidRPr="00032B5A">
        <w:rPr>
          <w:rFonts w:hint="eastAsia"/>
        </w:rPr>
        <w:t>（一）无正当理由拒绝进行司法评估的；</w:t>
      </w:r>
    </w:p>
    <w:p w14:paraId="35A2F778" w14:textId="77777777" w:rsidR="00EB5139" w:rsidRPr="00032B5A" w:rsidRDefault="00EB5139" w:rsidP="00EB5139">
      <w:pPr>
        <w:pStyle w:val="13"/>
      </w:pPr>
      <w:r w:rsidRPr="00032B5A">
        <w:rPr>
          <w:rFonts w:hint="eastAsia"/>
        </w:rPr>
        <w:t>（二）存在弄虚作假情形的；</w:t>
      </w:r>
    </w:p>
    <w:p w14:paraId="47FC9288" w14:textId="77777777" w:rsidR="00EB5139" w:rsidRPr="00032B5A" w:rsidRDefault="00EB5139" w:rsidP="00EB5139">
      <w:pPr>
        <w:pStyle w:val="13"/>
      </w:pPr>
      <w:r w:rsidRPr="00032B5A">
        <w:rPr>
          <w:rFonts w:hint="eastAsia"/>
        </w:rPr>
        <w:t>（三）具有第四条第一款规定情形之一，但全国性评估行业协会未函告最高人民法院的；</w:t>
      </w:r>
    </w:p>
    <w:p w14:paraId="3F8E4060" w14:textId="77777777" w:rsidR="00EB5139" w:rsidRPr="00032B5A" w:rsidRDefault="00EB5139" w:rsidP="00EB5139">
      <w:pPr>
        <w:pStyle w:val="13"/>
      </w:pPr>
      <w:r w:rsidRPr="00032B5A">
        <w:rPr>
          <w:rFonts w:hint="eastAsia"/>
        </w:rPr>
        <w:t>（四）未按照在所属全国性评估行业协会报备的收费标准计算评估费用的。全国性评估行业协会应当及时回复意见，最高人民法院根据全国性评估行业协会的回复意见，将相关评估机构从名单库中除名，并函告全国性评估行业协会。</w:t>
      </w:r>
    </w:p>
    <w:p w14:paraId="4F487BF7" w14:textId="77777777" w:rsidR="00EB5139" w:rsidRPr="00032B5A" w:rsidRDefault="00EB5139" w:rsidP="00EB5139">
      <w:pPr>
        <w:pStyle w:val="13"/>
      </w:pPr>
      <w:r w:rsidRPr="00032B5A">
        <w:rPr>
          <w:rFonts w:hint="eastAsia"/>
        </w:rPr>
        <w:t>六、最高人民法院应当将除名的评估机构名单在中国执行信息公开网上进行公示。</w:t>
      </w:r>
    </w:p>
    <w:p w14:paraId="2AC88B72" w14:textId="77777777" w:rsidR="00EB5139" w:rsidRPr="00032B5A" w:rsidRDefault="00EB5139" w:rsidP="00EB5139">
      <w:pPr>
        <w:pStyle w:val="13"/>
      </w:pPr>
      <w:r w:rsidRPr="00032B5A">
        <w:rPr>
          <w:rFonts w:hint="eastAsia"/>
        </w:rPr>
        <w:t>七、最高人民法院每年将名单库中评估机构的评估工作情况向其所属的全国性</w:t>
      </w:r>
      <w:r w:rsidRPr="00032B5A">
        <w:rPr>
          <w:rFonts w:hint="eastAsia"/>
        </w:rPr>
        <w:lastRenderedPageBreak/>
        <w:t>评估行业协会通报一次。</w:t>
      </w:r>
    </w:p>
    <w:p w14:paraId="6A9A70A6" w14:textId="77777777" w:rsidR="00EB5139" w:rsidRPr="00032B5A" w:rsidRDefault="00EB5139" w:rsidP="00EB5139">
      <w:pPr>
        <w:pStyle w:val="13"/>
      </w:pPr>
      <w:r w:rsidRPr="00032B5A">
        <w:rPr>
          <w:rFonts w:hint="eastAsia"/>
        </w:rPr>
        <w:t>各全国性评估行业协会每年根据最高人民法院通报的已入选名单库和新申请加入名单库的评估机构的情况，重新向最高人民法院推荐入选名单库的评估机构名单。</w:t>
      </w:r>
    </w:p>
    <w:p w14:paraId="41E08126" w14:textId="77777777" w:rsidR="00EB5139" w:rsidRPr="00032B5A" w:rsidRDefault="00EB5139" w:rsidP="00EB5139">
      <w:pPr>
        <w:pStyle w:val="13"/>
      </w:pPr>
      <w:r w:rsidRPr="00032B5A">
        <w:rPr>
          <w:rFonts w:hint="eastAsia"/>
        </w:rPr>
        <w:t>八、最高人民法院建设全国法院询价评估系统（以下简称询价评估系统），各全国性评估行业协会建设本协会全国司法评估管理系统</w:t>
      </w:r>
      <w:r w:rsidRPr="00032B5A">
        <w:t>/平台（以下简称评估管理系统/平台），询价评估系统与评估管理系统/平台，通过最高人民法院与各全国性评估行业协会之间专线进行对接，实现对推荐入选名单库的评估机构及其评估专业人员和收费标准的信息共享，以及最高人民法院与各全国性评估行业协会、人民法院与评估机构之间委托评估数据和相关材料的传输。</w:t>
      </w:r>
    </w:p>
    <w:p w14:paraId="5CC75769" w14:textId="77777777" w:rsidR="00EB5139" w:rsidRPr="00032B5A" w:rsidRDefault="00EB5139" w:rsidP="00EB5139">
      <w:pPr>
        <w:pStyle w:val="13"/>
      </w:pPr>
      <w:r w:rsidRPr="00032B5A">
        <w:rPr>
          <w:rFonts w:hint="eastAsia"/>
        </w:rPr>
        <w:t>九、具有下列情形之一，人民法院应当委托评估机构进行评估：</w:t>
      </w:r>
    </w:p>
    <w:p w14:paraId="6671315B" w14:textId="77777777" w:rsidR="00EB5139" w:rsidRPr="00032B5A" w:rsidRDefault="00EB5139" w:rsidP="00EB5139">
      <w:pPr>
        <w:pStyle w:val="13"/>
      </w:pPr>
      <w:r w:rsidRPr="00032B5A">
        <w:rPr>
          <w:rFonts w:hint="eastAsia"/>
        </w:rPr>
        <w:t>（一）涉及国有资产或者公共利益等事项的；</w:t>
      </w:r>
    </w:p>
    <w:p w14:paraId="1F7F6493" w14:textId="77777777" w:rsidR="00EB5139" w:rsidRPr="00032B5A" w:rsidRDefault="00EB5139" w:rsidP="00EB5139">
      <w:pPr>
        <w:pStyle w:val="13"/>
      </w:pPr>
      <w:r w:rsidRPr="00032B5A">
        <w:rPr>
          <w:rFonts w:hint="eastAsia"/>
        </w:rPr>
        <w:t>（二）企业国有资产法、公司法、合伙企业法、证券法、拍卖法、公路法等法律、行政法规规定必须委托评估的；</w:t>
      </w:r>
    </w:p>
    <w:p w14:paraId="7542202F" w14:textId="77777777" w:rsidR="00EB5139" w:rsidRPr="00032B5A" w:rsidRDefault="00EB5139" w:rsidP="00EB5139">
      <w:pPr>
        <w:pStyle w:val="13"/>
      </w:pPr>
      <w:r w:rsidRPr="00032B5A">
        <w:rPr>
          <w:rFonts w:hint="eastAsia"/>
        </w:rPr>
        <w:t>（三）双方当事人要求委托评估的；</w:t>
      </w:r>
    </w:p>
    <w:p w14:paraId="04D9A18A" w14:textId="77777777" w:rsidR="00EB5139" w:rsidRPr="00032B5A" w:rsidRDefault="00EB5139" w:rsidP="00EB5139">
      <w:pPr>
        <w:pStyle w:val="13"/>
      </w:pPr>
      <w:r w:rsidRPr="00032B5A">
        <w:rPr>
          <w:rFonts w:hint="eastAsia"/>
        </w:rPr>
        <w:t>（四）司法网络询价平台不能或者在期限内均未出具网络询价结果的；</w:t>
      </w:r>
    </w:p>
    <w:p w14:paraId="2C16E55B" w14:textId="77777777" w:rsidR="00EB5139" w:rsidRPr="00032B5A" w:rsidRDefault="00EB5139" w:rsidP="00EB5139">
      <w:pPr>
        <w:pStyle w:val="13"/>
      </w:pPr>
      <w:r w:rsidRPr="00032B5A">
        <w:rPr>
          <w:rFonts w:hint="eastAsia"/>
        </w:rPr>
        <w:t>（五）法律、法规有明确规定的。</w:t>
      </w:r>
    </w:p>
    <w:p w14:paraId="05698CB5" w14:textId="77777777" w:rsidR="00EB5139" w:rsidRPr="00032B5A" w:rsidRDefault="00EB5139" w:rsidP="00EB5139">
      <w:pPr>
        <w:pStyle w:val="13"/>
      </w:pPr>
      <w:r w:rsidRPr="00032B5A">
        <w:rPr>
          <w:rFonts w:hint="eastAsia"/>
        </w:rPr>
        <w:t>十、委托评估的，人民法院应当通知双方当事人在指定期间内从人民法院指定的名单分库中协商确定三家评估机构及顺序。</w:t>
      </w:r>
    </w:p>
    <w:p w14:paraId="3D47BB85" w14:textId="77777777" w:rsidR="00EB5139" w:rsidRPr="00032B5A" w:rsidRDefault="00EB5139" w:rsidP="00EB5139">
      <w:pPr>
        <w:pStyle w:val="13"/>
      </w:pPr>
      <w:r w:rsidRPr="00032B5A">
        <w:rPr>
          <w:rFonts w:hint="eastAsia"/>
        </w:rPr>
        <w:t>双方当事人未在人民法院指定的期间内，在名单分库中一致确定三家评估机构及顺序，或者因一方当事人下落不明无法进行协商的，人民法院应当及时在询价评估系统中采取摇号方式随机确定三家评估机构及顺序。财产所在地设有市级名单子库的，</w:t>
      </w:r>
      <w:r w:rsidRPr="00032B5A">
        <w:t>应当在市级名单子库中随机确定；财产所在地未设市级名单子库，但设有省级名单子库的，应当在省级名单子库中随机确定；财产所在地未设名单子库的，应当根据财产类型，在名单分库中随机确定。</w:t>
      </w:r>
    </w:p>
    <w:p w14:paraId="03F1A6E6" w14:textId="77777777" w:rsidR="00EB5139" w:rsidRPr="00032B5A" w:rsidRDefault="00EB5139" w:rsidP="00EB5139">
      <w:pPr>
        <w:pStyle w:val="13"/>
      </w:pPr>
      <w:r w:rsidRPr="00032B5A">
        <w:rPr>
          <w:rFonts w:hint="eastAsia"/>
        </w:rPr>
        <w:t>十一、最高人民法院应当将当事人协商或者通过摇号方式确定的评估机构名称在中国执行信息公开网上进行公示。</w:t>
      </w:r>
    </w:p>
    <w:p w14:paraId="689C8744" w14:textId="77777777" w:rsidR="00EB5139" w:rsidRPr="00032B5A" w:rsidRDefault="00EB5139" w:rsidP="00EB5139">
      <w:pPr>
        <w:pStyle w:val="13"/>
      </w:pPr>
      <w:r w:rsidRPr="00032B5A">
        <w:rPr>
          <w:rFonts w:hint="eastAsia"/>
        </w:rPr>
        <w:t>十二、评估机构确定后，人民法院应当及时通过询价评估系统向顺序在先的评估机构发送评估委托书，评估委托书应当附财产清单。</w:t>
      </w:r>
    </w:p>
    <w:p w14:paraId="57FE2101" w14:textId="77777777" w:rsidR="00EB5139" w:rsidRPr="00032B5A" w:rsidRDefault="00EB5139" w:rsidP="00EB5139">
      <w:pPr>
        <w:pStyle w:val="13"/>
      </w:pPr>
      <w:r w:rsidRPr="00032B5A">
        <w:rPr>
          <w:rFonts w:hint="eastAsia"/>
        </w:rPr>
        <w:t>人民法院应当按照本规范附件中列明的各项评估需要提供的材料清单，将查明的材料扫描上传至询价评估系统。本规范附件评估材料清单中列明的委托评估必须提供的材料，人民法院未能调取到或实际不存在的，应当在评估委托书中注明。图纸、账册等无法扫描的，人民法院应当在评估委托书中注明。</w:t>
      </w:r>
    </w:p>
    <w:p w14:paraId="4B451361" w14:textId="77777777" w:rsidR="00EB5139" w:rsidRPr="00032B5A" w:rsidRDefault="00EB5139" w:rsidP="00EB5139">
      <w:pPr>
        <w:pStyle w:val="13"/>
      </w:pPr>
      <w:r w:rsidRPr="00032B5A">
        <w:rPr>
          <w:rFonts w:hint="eastAsia"/>
        </w:rPr>
        <w:t>十三、评估机构应当及时通过系统接收人民法院的评估委托书。</w:t>
      </w:r>
    </w:p>
    <w:p w14:paraId="34055F48" w14:textId="77777777" w:rsidR="00EB5139" w:rsidRPr="00032B5A" w:rsidRDefault="00EB5139" w:rsidP="00EB5139">
      <w:pPr>
        <w:pStyle w:val="13"/>
      </w:pPr>
      <w:r w:rsidRPr="00032B5A">
        <w:rPr>
          <w:rFonts w:hint="eastAsia"/>
        </w:rPr>
        <w:t>人民法院通过询价评估系统向评估机构成功发出评估委托书后，评估机构三个</w:t>
      </w:r>
      <w:r w:rsidRPr="00032B5A">
        <w:rPr>
          <w:rFonts w:hint="eastAsia"/>
        </w:rPr>
        <w:lastRenderedPageBreak/>
        <w:t>工作日内未接收的，人民法院应当通知评估机构接收，全国性评估行业协会应当督促评估机构接收。评估机构接到通知后三个工作日内仍未接收的，人民法院应当撤回对该评估机构的委托，并另行委托下一顺序的评估机构重新进行评估。</w:t>
      </w:r>
    </w:p>
    <w:p w14:paraId="4D252E56" w14:textId="77777777" w:rsidR="00EB5139" w:rsidRPr="00032B5A" w:rsidRDefault="00EB5139" w:rsidP="00EB5139">
      <w:pPr>
        <w:pStyle w:val="13"/>
      </w:pPr>
      <w:r w:rsidRPr="00032B5A">
        <w:rPr>
          <w:rFonts w:hint="eastAsia"/>
        </w:rPr>
        <w:t>十四、评估机构接收人民法院评估委托书后，认为有下列情形之一的，应当在三个工作日内向人民法院说明情况，提出不承接委托评估申请：</w:t>
      </w:r>
    </w:p>
    <w:p w14:paraId="266F89A3" w14:textId="77777777" w:rsidR="00EB5139" w:rsidRPr="00032B5A" w:rsidRDefault="00EB5139" w:rsidP="00EB5139">
      <w:pPr>
        <w:pStyle w:val="13"/>
      </w:pPr>
      <w:r w:rsidRPr="00032B5A">
        <w:rPr>
          <w:rFonts w:hint="eastAsia"/>
        </w:rPr>
        <w:t>（一）其与当事人或者评估财产有利害关系；</w:t>
      </w:r>
    </w:p>
    <w:p w14:paraId="1FFFF760" w14:textId="77777777" w:rsidR="00EB5139" w:rsidRPr="00032B5A" w:rsidRDefault="00EB5139" w:rsidP="00EB5139">
      <w:pPr>
        <w:pStyle w:val="13"/>
      </w:pPr>
      <w:r w:rsidRPr="00032B5A">
        <w:rPr>
          <w:rFonts w:hint="eastAsia"/>
        </w:rPr>
        <w:t>（二）已办理注销登记或者被市场监管部门吊销营业执照；</w:t>
      </w:r>
    </w:p>
    <w:p w14:paraId="39C1EA74" w14:textId="77777777" w:rsidR="00EB5139" w:rsidRPr="00032B5A" w:rsidRDefault="00EB5139" w:rsidP="00EB5139">
      <w:pPr>
        <w:pStyle w:val="13"/>
      </w:pPr>
      <w:r w:rsidRPr="00032B5A">
        <w:rPr>
          <w:rFonts w:hint="eastAsia"/>
        </w:rPr>
        <w:t>（三）依法不能进行评估的其他情形。</w:t>
      </w:r>
    </w:p>
    <w:p w14:paraId="5F4C300B" w14:textId="77777777" w:rsidR="00EB5139" w:rsidRPr="00032B5A" w:rsidRDefault="00EB5139" w:rsidP="00EB5139">
      <w:pPr>
        <w:pStyle w:val="13"/>
      </w:pPr>
      <w:r w:rsidRPr="00032B5A">
        <w:rPr>
          <w:rFonts w:hint="eastAsia"/>
        </w:rPr>
        <w:t>人民法院经审查，认为评估机构申请不承接委托评估的理由成立的，应当在三日内撤回对该评估机构的委托，并另行委托下一顺序的评估机构重新进行评估；认为评估机构申请不承接委托评估的理由不成立的，应当在三日内通知评估机构。</w:t>
      </w:r>
    </w:p>
    <w:p w14:paraId="08DBEFEA" w14:textId="77777777" w:rsidR="00EB5139" w:rsidRPr="00032B5A" w:rsidRDefault="00EB5139" w:rsidP="00EB5139">
      <w:pPr>
        <w:pStyle w:val="13"/>
      </w:pPr>
      <w:r w:rsidRPr="00032B5A">
        <w:rPr>
          <w:rFonts w:hint="eastAsia"/>
        </w:rPr>
        <w:t>评估机构未在规定期限内向人民法院提出不承接委托评估申请的，视为接受委托。</w:t>
      </w:r>
    </w:p>
    <w:p w14:paraId="788F9648" w14:textId="77777777" w:rsidR="00EB5139" w:rsidRPr="00032B5A" w:rsidRDefault="00EB5139" w:rsidP="00EB5139">
      <w:pPr>
        <w:pStyle w:val="13"/>
      </w:pPr>
      <w:r w:rsidRPr="00032B5A">
        <w:rPr>
          <w:rFonts w:hint="eastAsia"/>
        </w:rPr>
        <w:t>十五、最高人民法院应当将评估机构不承接委托评估的理由进行公开。</w:t>
      </w:r>
    </w:p>
    <w:p w14:paraId="378543CA" w14:textId="77777777" w:rsidR="00EB5139" w:rsidRPr="00032B5A" w:rsidRDefault="00EB5139" w:rsidP="00EB5139">
      <w:pPr>
        <w:pStyle w:val="13"/>
      </w:pPr>
      <w:r w:rsidRPr="00032B5A">
        <w:rPr>
          <w:rFonts w:hint="eastAsia"/>
        </w:rPr>
        <w:t>当事人协商或者通过摇号方式确定的三家评估机构不承接委托评估的理由均成立的，人民法院应当通过原方式重新确定评估机构；当事人不能协商确定三家评估机构的，人民法院应当通过摇号方式确定。</w:t>
      </w:r>
    </w:p>
    <w:p w14:paraId="0E866B23" w14:textId="77777777" w:rsidR="00EB5139" w:rsidRPr="00032B5A" w:rsidRDefault="00EB5139" w:rsidP="00EB5139">
      <w:pPr>
        <w:pStyle w:val="13"/>
      </w:pPr>
      <w:r w:rsidRPr="00032B5A">
        <w:rPr>
          <w:rFonts w:hint="eastAsia"/>
        </w:rPr>
        <w:t>十六、评估机构接受委托或者其不承接委托评估的理由不成立的，人民法院应当将扫描上传至询价评估系统的材料发送给评估机构；图纸、账册等材料无法扫描的，</w:t>
      </w:r>
      <w:r w:rsidRPr="00032B5A">
        <w:t>应当及时邮寄或者直接交付给评估机构。</w:t>
      </w:r>
    </w:p>
    <w:p w14:paraId="55C8CD85" w14:textId="77777777" w:rsidR="00EB5139" w:rsidRPr="00032B5A" w:rsidRDefault="00EB5139" w:rsidP="00EB5139">
      <w:pPr>
        <w:pStyle w:val="13"/>
      </w:pPr>
      <w:r w:rsidRPr="00032B5A">
        <w:rPr>
          <w:rFonts w:hint="eastAsia"/>
        </w:rPr>
        <w:t>十七、评估机构收到评估委托书和相关材料后，应当及时确定评估专业人员，并通过系统将评估专业人员的信息发送给人民法院。</w:t>
      </w:r>
    </w:p>
    <w:p w14:paraId="13813CD0" w14:textId="77777777" w:rsidR="00EB5139" w:rsidRPr="00032B5A" w:rsidRDefault="00EB5139" w:rsidP="00EB5139">
      <w:pPr>
        <w:pStyle w:val="13"/>
      </w:pPr>
      <w:r w:rsidRPr="00032B5A">
        <w:rPr>
          <w:rFonts w:hint="eastAsia"/>
        </w:rPr>
        <w:t>因违反资产评估</w:t>
      </w:r>
      <w:proofErr w:type="gramStart"/>
      <w:r w:rsidRPr="00032B5A">
        <w:rPr>
          <w:rFonts w:hint="eastAsia"/>
        </w:rPr>
        <w:t>法或者</w:t>
      </w:r>
      <w:proofErr w:type="gramEnd"/>
      <w:r w:rsidRPr="00032B5A">
        <w:rPr>
          <w:rFonts w:hint="eastAsia"/>
        </w:rPr>
        <w:t>评估行业监督管理办法被有关部门处罚不满一年，以及与当事人或者评估财产有利害关系的评估专业人员，不得参与司法委托评估工作。</w:t>
      </w:r>
    </w:p>
    <w:p w14:paraId="6006B4B4" w14:textId="77777777" w:rsidR="00EB5139" w:rsidRPr="00032B5A" w:rsidRDefault="00EB5139" w:rsidP="00EB5139">
      <w:pPr>
        <w:pStyle w:val="13"/>
      </w:pPr>
      <w:r w:rsidRPr="00032B5A">
        <w:rPr>
          <w:rFonts w:hint="eastAsia"/>
        </w:rPr>
        <w:t>十八、评估机构确定评估专业人员后，应当及时开展评估工作。需要现场勘验的，评估机构应当及时通知人民法院组织进行。</w:t>
      </w:r>
    </w:p>
    <w:p w14:paraId="7C4F3F9E" w14:textId="77777777" w:rsidR="00EB5139" w:rsidRPr="00032B5A" w:rsidRDefault="00EB5139" w:rsidP="00EB5139">
      <w:pPr>
        <w:pStyle w:val="13"/>
      </w:pPr>
      <w:r w:rsidRPr="00032B5A">
        <w:rPr>
          <w:rFonts w:hint="eastAsia"/>
        </w:rPr>
        <w:t>十九、人民法院未按本规范附件中列明的委托评估需要提供的材料清单提供全部材料，评估机构认为无法进行评估或者影响评估结果的，应当及时告知人民法院。人民法院应当告知当事人，并要求当事人提供材料或材料线索。</w:t>
      </w:r>
    </w:p>
    <w:p w14:paraId="074895A0" w14:textId="77777777" w:rsidR="00EB5139" w:rsidRPr="00032B5A" w:rsidRDefault="00EB5139" w:rsidP="00EB5139">
      <w:pPr>
        <w:pStyle w:val="13"/>
      </w:pPr>
      <w:r w:rsidRPr="00032B5A">
        <w:rPr>
          <w:rFonts w:hint="eastAsia"/>
        </w:rPr>
        <w:t>当事人不提供或未能提供，以及根据当事人提供的材料线索无法提取到相关材料的，人民法院应当通知评估机构根据现有材料进行评估，并告知当事人因缺乏材料可能影响评估结果的风险。</w:t>
      </w:r>
    </w:p>
    <w:p w14:paraId="06A0CD1B" w14:textId="77777777" w:rsidR="00EB5139" w:rsidRPr="00032B5A" w:rsidRDefault="00EB5139" w:rsidP="00EB5139">
      <w:pPr>
        <w:pStyle w:val="13"/>
      </w:pPr>
      <w:r w:rsidRPr="00032B5A">
        <w:rPr>
          <w:rFonts w:hint="eastAsia"/>
        </w:rPr>
        <w:t>二十、评估机构应在收到评估委托书和相关材料后三十日内出具评估报告，并通过系统发送给人民法院。人民法院通过询价评估系统发送委托评估材料的，询价评估</w:t>
      </w:r>
      <w:r w:rsidRPr="00032B5A">
        <w:rPr>
          <w:rFonts w:hint="eastAsia"/>
        </w:rPr>
        <w:lastRenderedPageBreak/>
        <w:t>系统提示成功发送的时间为评估机构收到的时间；人民法院邮寄或者直接交付委托评估材料的，以评估机构签收的时间为收到时间。</w:t>
      </w:r>
    </w:p>
    <w:p w14:paraId="61E93E34" w14:textId="77777777" w:rsidR="00EB5139" w:rsidRPr="00032B5A" w:rsidRDefault="00EB5139" w:rsidP="00EB5139">
      <w:pPr>
        <w:pStyle w:val="13"/>
      </w:pPr>
      <w:r w:rsidRPr="00032B5A">
        <w:rPr>
          <w:rFonts w:hint="eastAsia"/>
        </w:rPr>
        <w:t>二十一、评估机构认为不能在期限内出具评估报告的，应当在期限届满五日前通过系统向人民法院发送书面的延期申请。申请书中应当说明不能按期完成评估的原</w:t>
      </w:r>
      <w:r w:rsidRPr="00032B5A">
        <w:t>因，以及申请延长的期限，但期限不得超过十五日。</w:t>
      </w:r>
    </w:p>
    <w:p w14:paraId="4C042FF9" w14:textId="77777777" w:rsidR="00EB5139" w:rsidRPr="00032B5A" w:rsidRDefault="00EB5139" w:rsidP="00EB5139">
      <w:pPr>
        <w:pStyle w:val="13"/>
      </w:pPr>
      <w:r w:rsidRPr="00032B5A">
        <w:rPr>
          <w:rFonts w:hint="eastAsia"/>
        </w:rPr>
        <w:t>人民法院收到评估机构的延期申请后，应当在三日内决定是否延期，并通过系统通知评估机构。决定延期的，应当确定延长的期限；决定不延期的，应当说明理由。评估机构在人民法院确定的延长期限内，仍不能出具评估报告的，应当按照第一</w:t>
      </w:r>
    </w:p>
    <w:p w14:paraId="57B1508D" w14:textId="77777777" w:rsidR="00EB5139" w:rsidRPr="00032B5A" w:rsidRDefault="00EB5139" w:rsidP="00EB5139">
      <w:pPr>
        <w:pStyle w:val="13"/>
      </w:pPr>
      <w:r w:rsidRPr="00032B5A">
        <w:rPr>
          <w:rFonts w:hint="eastAsia"/>
        </w:rPr>
        <w:t>款的要求向人民法院再次提出一次延期申请。对于评估机构的延期申请，人民法院应当按照第二款的要求办理。</w:t>
      </w:r>
    </w:p>
    <w:p w14:paraId="486C1D0B" w14:textId="77777777" w:rsidR="00EB5139" w:rsidRPr="00032B5A" w:rsidRDefault="00EB5139" w:rsidP="00EB5139">
      <w:pPr>
        <w:pStyle w:val="13"/>
      </w:pPr>
      <w:r w:rsidRPr="00032B5A">
        <w:rPr>
          <w:rFonts w:hint="eastAsia"/>
        </w:rPr>
        <w:t>二十二、评估机构未在收到评估委托书和相关材料后三十日内或者未在人民法院确定的第一次延长期限内出具评估报告，亦不向人民法院申请延期的，人民法院应当撤回对该评估机构的委托，告知其在三日内退回委托评估的材料，并另行委托下一顺序的评估机构重新进行评估。</w:t>
      </w:r>
    </w:p>
    <w:p w14:paraId="76A31771" w14:textId="77777777" w:rsidR="00EB5139" w:rsidRPr="00032B5A" w:rsidRDefault="00EB5139" w:rsidP="00EB5139">
      <w:pPr>
        <w:pStyle w:val="13"/>
      </w:pPr>
      <w:r w:rsidRPr="00032B5A">
        <w:rPr>
          <w:rFonts w:hint="eastAsia"/>
        </w:rPr>
        <w:t>二十三、人民法院认为评估报告具有参考价规定第二十条规定的情形之一的，应当通过系统向评估机构发出通知书，要求评估机构在三日内予以说明或者补正。通知书应当载明评估报告存在的问题，需要说明或者补正的事项。</w:t>
      </w:r>
    </w:p>
    <w:p w14:paraId="69C75231" w14:textId="77777777" w:rsidR="00EB5139" w:rsidRPr="00032B5A" w:rsidRDefault="00EB5139" w:rsidP="00EB5139">
      <w:pPr>
        <w:pStyle w:val="13"/>
      </w:pPr>
      <w:r w:rsidRPr="00032B5A">
        <w:rPr>
          <w:rFonts w:hint="eastAsia"/>
        </w:rPr>
        <w:t>评估机构未在期限内按照人民法院的要求进行说明或者补正的，人民法院应当通知该评估机构在三日内退回委托评估的材料，并另行委托下一顺序的评估机构重新进行评估。</w:t>
      </w:r>
    </w:p>
    <w:p w14:paraId="1EA923A7" w14:textId="77777777" w:rsidR="00EB5139" w:rsidRPr="00032B5A" w:rsidRDefault="00EB5139" w:rsidP="00EB5139">
      <w:pPr>
        <w:pStyle w:val="13"/>
      </w:pPr>
      <w:r w:rsidRPr="00032B5A">
        <w:rPr>
          <w:rFonts w:hint="eastAsia"/>
        </w:rPr>
        <w:t>二十四、人民法院应当在收到评估报告或者书面说明、补正材料后，按照参考价规定第二十一条的规定向当事人、利害关系人发送。</w:t>
      </w:r>
    </w:p>
    <w:p w14:paraId="59C98F30" w14:textId="77777777" w:rsidR="00EB5139" w:rsidRPr="00032B5A" w:rsidRDefault="00EB5139" w:rsidP="00EB5139">
      <w:pPr>
        <w:pStyle w:val="13"/>
      </w:pPr>
      <w:r w:rsidRPr="00032B5A">
        <w:rPr>
          <w:rFonts w:hint="eastAsia"/>
        </w:rPr>
        <w:t>二十五、当事人、利害关系人认为评估报告存在参考价的规定第二十二条第一款第一、二项情形，在收到评估报告后五日内提出书面异议，人民法院经审查，裁定异议成立的，人民法院应当在三日内交评估机构予以书面说明或者补正。</w:t>
      </w:r>
    </w:p>
    <w:p w14:paraId="24871641" w14:textId="77777777" w:rsidR="00EB5139" w:rsidRPr="00032B5A" w:rsidRDefault="00EB5139" w:rsidP="00EB5139">
      <w:pPr>
        <w:pStyle w:val="13"/>
      </w:pPr>
      <w:r w:rsidRPr="00032B5A">
        <w:rPr>
          <w:rFonts w:hint="eastAsia"/>
        </w:rPr>
        <w:t>评估机构在五日内未作说明或者补正的，人民法院应当撤回对该评估机构的委</w:t>
      </w:r>
      <w:r w:rsidRPr="00032B5A">
        <w:t>托，告知其在三日内退回委托评估的材料，并另行委托下一顺序的评估机构重新进行评估。</w:t>
      </w:r>
    </w:p>
    <w:p w14:paraId="6D6D9214" w14:textId="77777777" w:rsidR="00EB5139" w:rsidRPr="00032B5A" w:rsidRDefault="00EB5139" w:rsidP="00EB5139">
      <w:pPr>
        <w:pStyle w:val="13"/>
      </w:pPr>
      <w:r w:rsidRPr="00032B5A">
        <w:rPr>
          <w:rFonts w:hint="eastAsia"/>
        </w:rPr>
        <w:t>二十六、当事人、利害关系人认为评估报告存在参考价规定第二十二条第一款第三、四项情形，在收到评估报告后五日内提出书面异议，人民法院经审查，裁定异议成立的，人民法院应当通知该评估机构在三日内退回委托评估的材料，并另行委托下一顺序的评估机构进行评估。</w:t>
      </w:r>
    </w:p>
    <w:p w14:paraId="1F89FAA2" w14:textId="77777777" w:rsidR="00EB5139" w:rsidRPr="00032B5A" w:rsidRDefault="00EB5139" w:rsidP="00EB5139">
      <w:pPr>
        <w:pStyle w:val="13"/>
      </w:pPr>
      <w:r w:rsidRPr="00032B5A">
        <w:rPr>
          <w:rFonts w:hint="eastAsia"/>
        </w:rPr>
        <w:t>二十七、当事人、利害关系人收到评估报告后五日内对评估报告的参照标准、计算方法或者评估结果等提出书面异议的，人民法院应当在三日内交评估机构予以书</w:t>
      </w:r>
      <w:r w:rsidRPr="00032B5A">
        <w:rPr>
          <w:rFonts w:hint="eastAsia"/>
        </w:rPr>
        <w:lastRenderedPageBreak/>
        <w:t>面说明。评估机构在五日内未作说明或者当事人、利害关系人对</w:t>
      </w:r>
      <w:proofErr w:type="gramStart"/>
      <w:r w:rsidRPr="00032B5A">
        <w:rPr>
          <w:rFonts w:hint="eastAsia"/>
        </w:rPr>
        <w:t>作出</w:t>
      </w:r>
      <w:proofErr w:type="gramEnd"/>
      <w:r w:rsidRPr="00032B5A">
        <w:rPr>
          <w:rFonts w:hint="eastAsia"/>
        </w:rPr>
        <w:t>的说明仍有异议</w:t>
      </w:r>
      <w:r w:rsidRPr="00032B5A">
        <w:t>的，人民法院</w:t>
      </w:r>
      <w:proofErr w:type="gramStart"/>
      <w:r w:rsidRPr="00032B5A">
        <w:t>应当交该评估</w:t>
      </w:r>
      <w:proofErr w:type="gramEnd"/>
      <w:r w:rsidRPr="00032B5A">
        <w:t>机构所属全国性评估行业协会组织进行专业技术评审。全国性评估行业协会可以根据实际情况，指定省级评估行业协会进行专业技术评审。</w:t>
      </w:r>
    </w:p>
    <w:p w14:paraId="0B60EBF3" w14:textId="77777777" w:rsidR="00EB5139" w:rsidRPr="00032B5A" w:rsidRDefault="00EB5139" w:rsidP="00EB5139">
      <w:pPr>
        <w:pStyle w:val="13"/>
      </w:pPr>
      <w:r w:rsidRPr="00032B5A">
        <w:rPr>
          <w:rFonts w:hint="eastAsia"/>
        </w:rPr>
        <w:t>省级评估行业协会或者全国性行业协会应当在人民法院指定的期限内出具评审意见。</w:t>
      </w:r>
    </w:p>
    <w:p w14:paraId="20488D9D" w14:textId="77777777" w:rsidR="00EB5139" w:rsidRPr="00032B5A" w:rsidRDefault="00EB5139" w:rsidP="00EB5139">
      <w:pPr>
        <w:pStyle w:val="13"/>
      </w:pPr>
      <w:r w:rsidRPr="00032B5A">
        <w:rPr>
          <w:rFonts w:hint="eastAsia"/>
        </w:rPr>
        <w:t>二十八、人民法院依据参考价规定第二十八条决定暂缓委托评估的，应当通过系统向评估机构发送暂缓委托评估通知书。</w:t>
      </w:r>
    </w:p>
    <w:p w14:paraId="1A6D8CB0" w14:textId="77777777" w:rsidR="00EB5139" w:rsidRPr="00032B5A" w:rsidRDefault="00EB5139" w:rsidP="00EB5139">
      <w:pPr>
        <w:pStyle w:val="13"/>
      </w:pPr>
      <w:r w:rsidRPr="00032B5A">
        <w:rPr>
          <w:rFonts w:hint="eastAsia"/>
        </w:rPr>
        <w:t>暂缓情形消失后，人民法院应当及时通过系统向评估机构发送恢复委托评估通知书。</w:t>
      </w:r>
    </w:p>
    <w:p w14:paraId="77BB0ECE" w14:textId="77777777" w:rsidR="00EB5139" w:rsidRPr="00032B5A" w:rsidRDefault="00EB5139" w:rsidP="00EB5139">
      <w:pPr>
        <w:pStyle w:val="13"/>
      </w:pPr>
      <w:r w:rsidRPr="00032B5A">
        <w:rPr>
          <w:rFonts w:hint="eastAsia"/>
        </w:rPr>
        <w:t>二十九、人民法院依据参考价规定第二十九条撤回委托评估的，应当通过系统及时向评估机构发送撤回委托评估通知书。通知书应当载明撤回委托评估的原因，以及指定期限要求评估机构出具因评估已实际支出费用的说明，并附相关凭证。</w:t>
      </w:r>
    </w:p>
    <w:p w14:paraId="5E33F0FE" w14:textId="77777777" w:rsidR="00EB5139" w:rsidRPr="00032B5A" w:rsidRDefault="00EB5139" w:rsidP="00EB5139">
      <w:pPr>
        <w:pStyle w:val="13"/>
      </w:pPr>
      <w:r w:rsidRPr="00032B5A">
        <w:rPr>
          <w:rFonts w:hint="eastAsia"/>
        </w:rPr>
        <w:t>三十、评估机构应当按照其在所属全国性评估行业协会报备的收费标准，并依据参考价规定第三十二条的规定收取委托评估费用。</w:t>
      </w:r>
    </w:p>
    <w:p w14:paraId="09B1195E" w14:textId="77777777" w:rsidR="00EB5139" w:rsidRPr="00032B5A" w:rsidRDefault="00EB5139" w:rsidP="00EB5139">
      <w:pPr>
        <w:pStyle w:val="13"/>
      </w:pPr>
      <w:r w:rsidRPr="00032B5A">
        <w:rPr>
          <w:rFonts w:hint="eastAsia"/>
        </w:rPr>
        <w:t>三十一、评估机构应当根据评估报告中的评估价和在所属全国性评估行业协会报备的收费标准计算预估评估费，并出具预估评估费交纳通知书与评估报告一并提交给人民法院。人民法院应当按照预估评估费用的</w:t>
      </w:r>
      <w:r w:rsidRPr="00032B5A">
        <w:t>50%通知申请执行人垫付。</w:t>
      </w:r>
    </w:p>
    <w:p w14:paraId="6A26DD7F" w14:textId="77777777" w:rsidR="00EB5139" w:rsidRPr="00032B5A" w:rsidRDefault="00EB5139" w:rsidP="00EB5139">
      <w:pPr>
        <w:pStyle w:val="13"/>
      </w:pPr>
      <w:r w:rsidRPr="00032B5A">
        <w:rPr>
          <w:rFonts w:hint="eastAsia"/>
        </w:rPr>
        <w:t>人民法院应当将申请执行人交纳的评估费支付给评估机构，并注明实际评估费用按照参考价规定第三十二条的规定计算，多退少补。申请执行人以签订保险合同的方式垫付评估费的，人民法院应当告知评估机构。</w:t>
      </w:r>
    </w:p>
    <w:p w14:paraId="700C53BC" w14:textId="77777777" w:rsidR="00EB5139" w:rsidRPr="00032B5A" w:rsidRDefault="00EB5139" w:rsidP="00EB5139">
      <w:pPr>
        <w:pStyle w:val="13"/>
      </w:pPr>
      <w:r w:rsidRPr="00032B5A">
        <w:rPr>
          <w:rFonts w:hint="eastAsia"/>
        </w:rPr>
        <w:t>三十二、人民法院通过系统向评估机构成功发送退回委托评估材料的通知，即视为终止委托评估。</w:t>
      </w:r>
    </w:p>
    <w:p w14:paraId="23F54424" w14:textId="77777777" w:rsidR="00EB5139" w:rsidRPr="00032B5A" w:rsidRDefault="00EB5139" w:rsidP="00EB5139">
      <w:pPr>
        <w:pStyle w:val="13"/>
      </w:pPr>
      <w:r w:rsidRPr="00032B5A">
        <w:rPr>
          <w:rFonts w:hint="eastAsia"/>
        </w:rPr>
        <w:t>评估机构是否接收前款规定的通知，以及是否退回委托评估的材料，不影响人民法院另行委托评估机构重新进行评估。</w:t>
      </w:r>
    </w:p>
    <w:p w14:paraId="1343E1D6" w14:textId="77777777" w:rsidR="00EB5139" w:rsidRPr="00032B5A" w:rsidRDefault="00EB5139" w:rsidP="00EB5139">
      <w:pPr>
        <w:pStyle w:val="13"/>
      </w:pPr>
      <w:r w:rsidRPr="00032B5A">
        <w:rPr>
          <w:rFonts w:hint="eastAsia"/>
        </w:rPr>
        <w:t>人民法院通过线下发送给评估机构的评估材料，评估机构未在期限内退回的，人民法院可以强制提取。对妨碍强制提取的，人民法院可以参照民事诉讼法第一百一十一条、第一百一十四条的规定处理。</w:t>
      </w:r>
    </w:p>
    <w:p w14:paraId="2E3B9088" w14:textId="77777777" w:rsidR="00EB5139" w:rsidRPr="00032B5A" w:rsidRDefault="00EB5139" w:rsidP="00EB5139">
      <w:pPr>
        <w:pStyle w:val="13"/>
      </w:pPr>
      <w:r w:rsidRPr="00032B5A">
        <w:rPr>
          <w:rFonts w:hint="eastAsia"/>
        </w:rPr>
        <w:t>三十三、最高人民法院与各全国性评估行业协会建立司法委托评估工作协调和处理机制工作小组，负责名单库的推荐与除名，以及解决人民法院与评估机构间因委托评估发生的相关事宜。</w:t>
      </w:r>
    </w:p>
    <w:p w14:paraId="3E247751" w14:textId="77777777" w:rsidR="00EB5139" w:rsidRDefault="00EB5139" w:rsidP="00EB5139">
      <w:pPr>
        <w:pStyle w:val="13"/>
      </w:pPr>
      <w:r w:rsidRPr="00032B5A">
        <w:rPr>
          <w:rFonts w:hint="eastAsia"/>
        </w:rPr>
        <w:t>三十四、最高人民法院与各全国性评估行业协会协商确定的《人民法院委托评估需要提供的材料清单》</w:t>
      </w:r>
      <w:r>
        <w:rPr>
          <w:rFonts w:hint="eastAsia"/>
        </w:rPr>
        <w:t>作为本规范附件。</w:t>
      </w:r>
    </w:p>
    <w:p w14:paraId="180223F6" w14:textId="77777777" w:rsidR="00EB5139" w:rsidRDefault="00EB5139" w:rsidP="00EB5139">
      <w:pPr>
        <w:pStyle w:val="13"/>
      </w:pPr>
      <w:r>
        <w:rPr>
          <w:rFonts w:hint="eastAsia"/>
        </w:rPr>
        <w:t>附件：人民法院委托评估需要提供的材料清单</w:t>
      </w:r>
    </w:p>
    <w:p w14:paraId="252A5D6D" w14:textId="77777777" w:rsidR="00EB5139" w:rsidRDefault="00EB5139" w:rsidP="00EB5139">
      <w:pPr>
        <w:pStyle w:val="ab"/>
        <w:spacing w:before="62" w:after="62"/>
        <w:ind w:firstLine="482"/>
      </w:pPr>
      <w:r>
        <w:rPr>
          <w:rFonts w:hint="eastAsia"/>
        </w:rPr>
        <w:lastRenderedPageBreak/>
        <w:t>一、房地产类</w:t>
      </w:r>
    </w:p>
    <w:p w14:paraId="654ED5E5" w14:textId="77777777" w:rsidR="00EB5139" w:rsidRDefault="00EB5139" w:rsidP="00EB5139">
      <w:pPr>
        <w:pStyle w:val="ab"/>
        <w:spacing w:before="62" w:after="62"/>
        <w:ind w:firstLine="482"/>
      </w:pPr>
      <w:r>
        <w:rPr>
          <w:rFonts w:hint="eastAsia"/>
        </w:rPr>
        <w:t>（一）必需材料</w:t>
      </w:r>
    </w:p>
    <w:p w14:paraId="1C708DFB" w14:textId="77777777" w:rsidR="00EB5139" w:rsidRDefault="00EB5139" w:rsidP="00EB5139">
      <w:pPr>
        <w:pStyle w:val="13"/>
      </w:pPr>
      <w:r>
        <w:t>1、权属证明（已办理权属登记的），包括：《不动产权证书》或《房地产权证》</w:t>
      </w:r>
    </w:p>
    <w:p w14:paraId="25039D38" w14:textId="77777777" w:rsidR="00EB5139" w:rsidRDefault="00EB5139" w:rsidP="00EB5139">
      <w:pPr>
        <w:pStyle w:val="13"/>
      </w:pPr>
      <w:r>
        <w:rPr>
          <w:rFonts w:hint="eastAsia"/>
        </w:rPr>
        <w:t>《房屋所有权证》《国有土地使用证》，《国有建设用地使用证》《集体土地所有权证》《集体建设用地使用证》《集体土地承包权证》；</w:t>
      </w:r>
    </w:p>
    <w:p w14:paraId="16B32851" w14:textId="77777777" w:rsidR="00EB5139" w:rsidRDefault="00EB5139" w:rsidP="00EB5139">
      <w:pPr>
        <w:pStyle w:val="13"/>
      </w:pPr>
      <w:r>
        <w:t>2、合法来源证明（未办理权属登记的），包括：房地产买卖合同、继承证明（公证书、判决或调解书等）、相关批文、契税发票、测绘成果等；</w:t>
      </w:r>
    </w:p>
    <w:p w14:paraId="721E5D07" w14:textId="77777777" w:rsidR="00EB5139" w:rsidRDefault="00EB5139" w:rsidP="00EB5139">
      <w:pPr>
        <w:pStyle w:val="13"/>
      </w:pPr>
      <w:r>
        <w:t>3、抵押等他项权证明，已出租房地产的租赁合同；</w:t>
      </w:r>
    </w:p>
    <w:p w14:paraId="11E3B8D3" w14:textId="77777777" w:rsidR="00EB5139" w:rsidRDefault="00EB5139" w:rsidP="00EB5139">
      <w:pPr>
        <w:pStyle w:val="13"/>
      </w:pPr>
      <w:r>
        <w:t>4、法院查明的财产权属、质量瑕疵等材料，以及关于财产的特殊情况说明。</w:t>
      </w:r>
    </w:p>
    <w:p w14:paraId="6836440D" w14:textId="77777777" w:rsidR="00EB5139" w:rsidRDefault="00EB5139" w:rsidP="00EB5139">
      <w:pPr>
        <w:pStyle w:val="ab"/>
        <w:spacing w:before="62" w:after="62"/>
        <w:ind w:firstLine="482"/>
      </w:pPr>
      <w:r>
        <w:rPr>
          <w:rFonts w:hint="eastAsia"/>
        </w:rPr>
        <w:t>（二）一般材料</w:t>
      </w:r>
    </w:p>
    <w:p w14:paraId="04DD98EB" w14:textId="77777777" w:rsidR="00EB5139" w:rsidRDefault="00EB5139" w:rsidP="00EB5139">
      <w:pPr>
        <w:pStyle w:val="13"/>
      </w:pPr>
      <w:r>
        <w:t>1、房地产状况相关材料，包括：相关工程建设、图纸、房屋交付等资料，房屋装修情况，房屋占用和维护情况，自营性房地产（如宾馆、餐饮、娱乐场所等）的收益及相应的成本费用资料。</w:t>
      </w:r>
    </w:p>
    <w:p w14:paraId="44401BF4" w14:textId="77777777" w:rsidR="00EB5139" w:rsidRDefault="00EB5139" w:rsidP="00EB5139">
      <w:pPr>
        <w:pStyle w:val="13"/>
      </w:pPr>
      <w:r>
        <w:t>2、在建工程相关材料，包括：建设项目可行性研究资料及立项批准文件、《国有建设地使用权出让合同》（或《国有土地划拨决定书》）《建设用地规划许可证》《建设工程规划许可证》《建筑工程施工许可证》《商品房预售许可证》《商品房预售合同》、规划总平面图、建筑设计平面图、施工总承包合同、工程预算资料、征收及市政配套协议、房屋设计说明及设计交付时间、施工进度安排及实际进度、隐蔽工程图纸、测绘报告或分层分部位建筑面积明细表、地价付款凭证、工程付款凭证、主要机电设备安装规划及实际安装与付款凭证、实际装修与付款凭证、房屋预售部分</w:t>
      </w:r>
      <w:r>
        <w:rPr>
          <w:rFonts w:hint="eastAsia"/>
        </w:rPr>
        <w:t>清单及反映房地产收益的资料等。</w:t>
      </w:r>
    </w:p>
    <w:p w14:paraId="6A7D3C66" w14:textId="77777777" w:rsidR="00EB5139" w:rsidRDefault="00EB5139" w:rsidP="00EB5139">
      <w:pPr>
        <w:pStyle w:val="ab"/>
        <w:spacing w:before="62" w:after="62"/>
        <w:ind w:firstLine="482"/>
      </w:pPr>
      <w:r>
        <w:rPr>
          <w:rFonts w:hint="eastAsia"/>
        </w:rPr>
        <w:t>二、土地类</w:t>
      </w:r>
    </w:p>
    <w:p w14:paraId="6183104F" w14:textId="77777777" w:rsidR="00EB5139" w:rsidRDefault="00EB5139" w:rsidP="00EB5139">
      <w:pPr>
        <w:pStyle w:val="ab"/>
        <w:spacing w:before="62" w:after="62"/>
        <w:ind w:firstLine="482"/>
      </w:pPr>
      <w:r>
        <w:rPr>
          <w:rFonts w:hint="eastAsia"/>
        </w:rPr>
        <w:t>（一）必需材料</w:t>
      </w:r>
    </w:p>
    <w:p w14:paraId="7C159F2E" w14:textId="77777777" w:rsidR="00EB5139" w:rsidRDefault="00EB5139" w:rsidP="00EB5139">
      <w:pPr>
        <w:pStyle w:val="13"/>
      </w:pPr>
      <w:r>
        <w:t>1、权属证明（已办理权属登记的），包括：《不动产权证书》或《房地产权证》</w:t>
      </w:r>
    </w:p>
    <w:p w14:paraId="6488AAE9" w14:textId="77777777" w:rsidR="00EB5139" w:rsidRDefault="00EB5139" w:rsidP="00EB5139">
      <w:pPr>
        <w:pStyle w:val="13"/>
      </w:pPr>
      <w:r>
        <w:rPr>
          <w:rFonts w:hint="eastAsia"/>
        </w:rPr>
        <w:t>《国有土地使用证》《国有建设用地使用证》《集体土地所有权证》《集体建设用地使用证》《国有土地使用权证》《集体土地使用权证》《集体土地承包权证》；</w:t>
      </w:r>
    </w:p>
    <w:p w14:paraId="6A118894" w14:textId="77777777" w:rsidR="00EB5139" w:rsidRDefault="00EB5139" w:rsidP="00EB5139">
      <w:pPr>
        <w:pStyle w:val="13"/>
      </w:pPr>
      <w:r>
        <w:t>2、合法来源证明，包括：《国有建设用地使用权出让合同》或《转让合同》《置换集体土地上的土地承包合同》、出让金及契税发票、规划条件函等规划批复文件；</w:t>
      </w:r>
    </w:p>
    <w:p w14:paraId="3DB19119" w14:textId="77777777" w:rsidR="00EB5139" w:rsidRDefault="00EB5139" w:rsidP="00EB5139">
      <w:pPr>
        <w:pStyle w:val="13"/>
      </w:pPr>
      <w:r>
        <w:t>3、抵押等他项权证明；</w:t>
      </w:r>
    </w:p>
    <w:p w14:paraId="6018452C" w14:textId="77777777" w:rsidR="00EB5139" w:rsidRDefault="00EB5139" w:rsidP="00EB5139">
      <w:pPr>
        <w:pStyle w:val="13"/>
      </w:pPr>
      <w:r>
        <w:t>4、法院查明的财产权属、质量瑕疵等材料，以及关于财产的特殊情况说明。</w:t>
      </w:r>
    </w:p>
    <w:p w14:paraId="1E2281B4" w14:textId="77777777" w:rsidR="00EB5139" w:rsidRDefault="00EB5139" w:rsidP="00EB5139">
      <w:pPr>
        <w:pStyle w:val="ab"/>
        <w:spacing w:before="62" w:after="62"/>
        <w:ind w:firstLine="482"/>
      </w:pPr>
      <w:r>
        <w:rPr>
          <w:rFonts w:hint="eastAsia"/>
        </w:rPr>
        <w:t>（二）一般材料</w:t>
      </w:r>
    </w:p>
    <w:p w14:paraId="2CD68C44" w14:textId="77777777" w:rsidR="00EB5139" w:rsidRDefault="00EB5139" w:rsidP="00EB5139">
      <w:pPr>
        <w:pStyle w:val="13"/>
      </w:pPr>
      <w:r>
        <w:t>1、地上建筑物材料（有权属登记的），包括：《不动产权证书》或《房屋所有权证》；</w:t>
      </w:r>
    </w:p>
    <w:p w14:paraId="3DCFD72F" w14:textId="77777777" w:rsidR="00EB5139" w:rsidRDefault="00EB5139" w:rsidP="00EB5139">
      <w:pPr>
        <w:pStyle w:val="13"/>
      </w:pPr>
      <w:r>
        <w:lastRenderedPageBreak/>
        <w:t>2、在建工程材料，包括：《建设用地规划许可证》《建设工程规划许可证》《建筑工程施工许可证》《工程竣工验收备案表》等；</w:t>
      </w:r>
    </w:p>
    <w:p w14:paraId="697EEEAD" w14:textId="77777777" w:rsidR="00EB5139" w:rsidRDefault="00EB5139" w:rsidP="00EB5139">
      <w:pPr>
        <w:pStyle w:val="13"/>
      </w:pPr>
      <w:r>
        <w:t>3、租赁情况材料，包括《土地租赁合同》《房屋租赁合同》《土地承包经营合同》。</w:t>
      </w:r>
    </w:p>
    <w:p w14:paraId="4597636D" w14:textId="77777777" w:rsidR="00EB5139" w:rsidRDefault="00EB5139" w:rsidP="00EB5139">
      <w:pPr>
        <w:pStyle w:val="ab"/>
        <w:spacing w:before="62" w:after="62"/>
        <w:ind w:firstLine="482"/>
      </w:pPr>
      <w:r>
        <w:rPr>
          <w:rFonts w:hint="eastAsia"/>
        </w:rPr>
        <w:t>三、矿业权类</w:t>
      </w:r>
    </w:p>
    <w:p w14:paraId="5BCE1ABF" w14:textId="77777777" w:rsidR="00EB5139" w:rsidRDefault="00EB5139" w:rsidP="00EB5139">
      <w:pPr>
        <w:pStyle w:val="ab"/>
        <w:spacing w:before="62" w:after="62"/>
        <w:ind w:firstLine="482"/>
      </w:pPr>
      <w:r>
        <w:rPr>
          <w:rFonts w:hint="eastAsia"/>
        </w:rPr>
        <w:t>（一）探矿权类评估</w:t>
      </w:r>
    </w:p>
    <w:p w14:paraId="0CE4FC8A" w14:textId="77777777" w:rsidR="00EB5139" w:rsidRDefault="00EB5139" w:rsidP="00EB5139">
      <w:pPr>
        <w:pStyle w:val="13"/>
      </w:pPr>
      <w:r>
        <w:t>1、必需材料</w:t>
      </w:r>
    </w:p>
    <w:p w14:paraId="47B8E3DE" w14:textId="77777777" w:rsidR="00EB5139" w:rsidRDefault="00EB5139" w:rsidP="00EB5139">
      <w:pPr>
        <w:pStyle w:val="13"/>
      </w:pPr>
      <w:r>
        <w:rPr>
          <w:rFonts w:hint="eastAsia"/>
        </w:rPr>
        <w:t>（</w:t>
      </w:r>
      <w:r>
        <w:t>1）权属材料，包括：勘查许可证及其批准的区块范围图、探矿权出让收益（价款）缴纳情况说明及相关材料、探矿权人营业执照或事业单位法人证书；</w:t>
      </w:r>
    </w:p>
    <w:p w14:paraId="1B0A9C29" w14:textId="77777777" w:rsidR="00EB5139" w:rsidRDefault="00EB5139" w:rsidP="00EB5139">
      <w:pPr>
        <w:pStyle w:val="13"/>
      </w:pPr>
      <w:r>
        <w:rPr>
          <w:rFonts w:hint="eastAsia"/>
        </w:rPr>
        <w:t>（</w:t>
      </w:r>
      <w:r>
        <w:t>2）地质、储量及采矿、选矿类技术类材料，包括：地质</w:t>
      </w:r>
      <w:proofErr w:type="gramStart"/>
      <w:r>
        <w:t>勘查全</w:t>
      </w:r>
      <w:proofErr w:type="gramEnd"/>
      <w:r>
        <w:t>过程所取得各种地勘成果（历次地质勘查报告及有关资料以及相关评审意见书与评审备案证明）、综合性地质矿产平面图（标注</w:t>
      </w:r>
      <w:proofErr w:type="gramStart"/>
      <w:r>
        <w:t>勘查区</w:t>
      </w:r>
      <w:proofErr w:type="gramEnd"/>
      <w:r>
        <w:t>范围的地形地质图）、矿区勘查工程布置图、典型剖面图（包括孔、坑道等内容）、物化</w:t>
      </w:r>
      <w:proofErr w:type="gramStart"/>
      <w:r>
        <w:t>探成果</w:t>
      </w:r>
      <w:proofErr w:type="gramEnd"/>
      <w:r>
        <w:t>图、主要矿体（层）储量计算图、矿山建设可行性研究报告或初步设计或开发利用方案；</w:t>
      </w:r>
    </w:p>
    <w:p w14:paraId="01158293" w14:textId="77777777" w:rsidR="00EB5139" w:rsidRDefault="00EB5139" w:rsidP="00EB5139">
      <w:pPr>
        <w:pStyle w:val="13"/>
      </w:pPr>
      <w:r>
        <w:rPr>
          <w:rFonts w:hint="eastAsia"/>
        </w:rPr>
        <w:t>（</w:t>
      </w:r>
      <w:r>
        <w:t>3）财务统计类材料，包括：地质勘查工作期间的历年投入的地勘费统计报表、地质勘查工作期间主要、大额的地勘费发票、历年完成的勘查实物工作量统计（包括地形地质测量物探、化探、钻探、坑探、浅井、槽探工程等）；</w:t>
      </w:r>
    </w:p>
    <w:p w14:paraId="313F054A" w14:textId="77777777" w:rsidR="00EB5139" w:rsidRDefault="00EB5139" w:rsidP="00EB5139">
      <w:pPr>
        <w:pStyle w:val="13"/>
      </w:pPr>
      <w:r>
        <w:rPr>
          <w:rFonts w:hint="eastAsia"/>
        </w:rPr>
        <w:t>（</w:t>
      </w:r>
      <w:r>
        <w:t>4）抵押等他项权证明；</w:t>
      </w:r>
    </w:p>
    <w:p w14:paraId="59BAB116" w14:textId="77777777" w:rsidR="00EB5139" w:rsidRDefault="00EB5139" w:rsidP="00EB5139">
      <w:pPr>
        <w:pStyle w:val="13"/>
      </w:pPr>
      <w:r>
        <w:rPr>
          <w:rFonts w:hint="eastAsia"/>
        </w:rPr>
        <w:t>（</w:t>
      </w:r>
      <w:r>
        <w:t>5）法院查明的财产权属、质量瑕疵等材料，以及关于财产的特殊情况说明。</w:t>
      </w:r>
    </w:p>
    <w:p w14:paraId="6A289017" w14:textId="77777777" w:rsidR="00EB5139" w:rsidRDefault="00EB5139" w:rsidP="00EB5139">
      <w:pPr>
        <w:pStyle w:val="13"/>
      </w:pPr>
      <w:r>
        <w:t>2、一般材料</w:t>
      </w:r>
    </w:p>
    <w:p w14:paraId="312CA483" w14:textId="77777777" w:rsidR="00EB5139" w:rsidRDefault="00EB5139" w:rsidP="00EB5139">
      <w:pPr>
        <w:pStyle w:val="13"/>
      </w:pPr>
      <w:r>
        <w:rPr>
          <w:rFonts w:hint="eastAsia"/>
        </w:rPr>
        <w:t>（</w:t>
      </w:r>
      <w:r>
        <w:t>1）综合材料，包括：勘查许可证的历史沿革（含最初设立、延续及变更、变更原因等）、以往矿业权评估史（包括评估时间、目的、范围、评估机构和评估结果）、探矿权人简介（包括历史沿革、人员构成、生产经营现状、企业发展过程中的重大事件、内部机构设置及隶属关系、资产等经营管理核算模式）；</w:t>
      </w:r>
    </w:p>
    <w:p w14:paraId="18B00D7C" w14:textId="77777777" w:rsidR="00EB5139" w:rsidRDefault="00EB5139" w:rsidP="00EB5139">
      <w:pPr>
        <w:pStyle w:val="13"/>
      </w:pPr>
      <w:r>
        <w:rPr>
          <w:rFonts w:hint="eastAsia"/>
        </w:rPr>
        <w:t>（</w:t>
      </w:r>
      <w:r>
        <w:t>2）财务统计类材料，包括：地质勘查工作“出资证明”等。</w:t>
      </w:r>
    </w:p>
    <w:p w14:paraId="350203FF" w14:textId="77777777" w:rsidR="00EB5139" w:rsidRDefault="00EB5139" w:rsidP="00EB5139">
      <w:pPr>
        <w:pStyle w:val="ab"/>
        <w:spacing w:before="62" w:after="62"/>
        <w:ind w:firstLine="482"/>
      </w:pPr>
      <w:r>
        <w:rPr>
          <w:rFonts w:hint="eastAsia"/>
        </w:rPr>
        <w:t>（二）采矿权类评估</w:t>
      </w:r>
    </w:p>
    <w:p w14:paraId="29601F16" w14:textId="77777777" w:rsidR="00EB5139" w:rsidRDefault="00EB5139" w:rsidP="00EB5139">
      <w:pPr>
        <w:pStyle w:val="13"/>
      </w:pPr>
      <w:r>
        <w:t>1、必需材料</w:t>
      </w:r>
    </w:p>
    <w:p w14:paraId="67955379" w14:textId="77777777" w:rsidR="00EB5139" w:rsidRDefault="00EB5139" w:rsidP="00EB5139">
      <w:pPr>
        <w:pStyle w:val="13"/>
      </w:pPr>
      <w:r>
        <w:rPr>
          <w:rFonts w:hint="eastAsia"/>
        </w:rPr>
        <w:t>（</w:t>
      </w:r>
      <w:r>
        <w:t>1）权属材料，包括：采矿权人及矿山法人营业执照、采矿许可证副本或划定矿区范围批复、采矿权出让收益（价款）缴纳情况说明及相关文件材料；</w:t>
      </w:r>
    </w:p>
    <w:p w14:paraId="66B049E8" w14:textId="77777777" w:rsidR="00EB5139" w:rsidRDefault="00EB5139" w:rsidP="00EB5139">
      <w:pPr>
        <w:pStyle w:val="13"/>
      </w:pPr>
      <w:r>
        <w:rPr>
          <w:rFonts w:hint="eastAsia"/>
        </w:rPr>
        <w:t>（</w:t>
      </w:r>
      <w:r>
        <w:t>2）地质材料，包括：与本次评估基准日最接近的矿产资源储量报告及其储量评</w:t>
      </w:r>
      <w:r>
        <w:rPr>
          <w:rFonts w:hint="eastAsia"/>
        </w:rPr>
        <w:t>审意见及备案证明、储量核实基准日至评估基准日各年储量动态报表、矿区范围地质图、典型剖面图、主要矿体（层）储量计算图；</w:t>
      </w:r>
    </w:p>
    <w:p w14:paraId="14103A47" w14:textId="77777777" w:rsidR="00EB5139" w:rsidRDefault="00EB5139" w:rsidP="00EB5139">
      <w:pPr>
        <w:pStyle w:val="13"/>
      </w:pPr>
      <w:r>
        <w:rPr>
          <w:rFonts w:hint="eastAsia"/>
        </w:rPr>
        <w:t>（</w:t>
      </w:r>
      <w:r>
        <w:t>3）采、选材料，包括：矿山开发利用方案或可行性研究报告或初步设计及其审查意见、矿山近三年来生产报表或主要技术经济指标统计表（包括设计损失、采矿</w:t>
      </w:r>
      <w:r>
        <w:lastRenderedPageBreak/>
        <w:t>损失率及矿石贫化率、采选冶原矿矿石量及原矿品位、选矿回收率、冶炼回收率、精矿品位、产品方案及产量与销量）、开拓系统平面示意图、采选工艺流程图；</w:t>
      </w:r>
    </w:p>
    <w:p w14:paraId="4D9865F9" w14:textId="77777777" w:rsidR="00EB5139" w:rsidRDefault="00EB5139" w:rsidP="00EB5139">
      <w:pPr>
        <w:pStyle w:val="13"/>
      </w:pPr>
      <w:r>
        <w:rPr>
          <w:rFonts w:hint="eastAsia"/>
        </w:rPr>
        <w:t>（</w:t>
      </w:r>
      <w:r>
        <w:t>4）财务统计类材料，包括：按矿山采、选（冶）分列的近</w:t>
      </w:r>
      <w:proofErr w:type="gramStart"/>
      <w:r>
        <w:t>三</w:t>
      </w:r>
      <w:proofErr w:type="gramEnd"/>
      <w:r>
        <w:t>年度财务决算报告和评估基准日会计表（含辅助报表）、近</w:t>
      </w:r>
      <w:proofErr w:type="gramStart"/>
      <w:r>
        <w:t>五</w:t>
      </w:r>
      <w:proofErr w:type="gramEnd"/>
      <w:r>
        <w:t>年度和评估基准</w:t>
      </w:r>
      <w:proofErr w:type="gramStart"/>
      <w:r>
        <w:t>日当年</w:t>
      </w:r>
      <w:proofErr w:type="gramEnd"/>
      <w:r>
        <w:t>产品销售统计（含年度主要产品的销售数量、价格、收入等）、近</w:t>
      </w:r>
      <w:proofErr w:type="gramStart"/>
      <w:r>
        <w:t>五</w:t>
      </w:r>
      <w:proofErr w:type="gramEnd"/>
      <w:r>
        <w:t>年度和评估基准</w:t>
      </w:r>
      <w:proofErr w:type="gramStart"/>
      <w:r>
        <w:t>日当年</w:t>
      </w:r>
      <w:proofErr w:type="gramEnd"/>
      <w:r>
        <w:t>有代表性的销售合同增值税发票复印件（按不同产品、不同年度分别提供）、截止评估基准日经营性固定资产分类汇总表（按单位或部门分别提供或汇总提供）；</w:t>
      </w:r>
    </w:p>
    <w:p w14:paraId="6A8CD36D" w14:textId="77777777" w:rsidR="00EB5139" w:rsidRDefault="00EB5139" w:rsidP="00EB5139">
      <w:pPr>
        <w:pStyle w:val="13"/>
      </w:pPr>
      <w:r>
        <w:rPr>
          <w:rFonts w:hint="eastAsia"/>
        </w:rPr>
        <w:t>（</w:t>
      </w:r>
      <w:r>
        <w:t>5）抵押等他项权证明；</w:t>
      </w:r>
    </w:p>
    <w:p w14:paraId="3797F1DC" w14:textId="77777777" w:rsidR="00EB5139" w:rsidRDefault="00EB5139" w:rsidP="00EB5139">
      <w:pPr>
        <w:pStyle w:val="13"/>
      </w:pPr>
      <w:r>
        <w:rPr>
          <w:rFonts w:hint="eastAsia"/>
        </w:rPr>
        <w:t>（</w:t>
      </w:r>
      <w:r>
        <w:t>6）法院查明的财产权属、质量瑕疵等材料，以及关于财产的特殊情况说明。</w:t>
      </w:r>
    </w:p>
    <w:p w14:paraId="5B266906" w14:textId="77777777" w:rsidR="00EB5139" w:rsidRDefault="00EB5139" w:rsidP="00EB5139">
      <w:pPr>
        <w:pStyle w:val="13"/>
      </w:pPr>
      <w:r>
        <w:t>2、一般性材料</w:t>
      </w:r>
    </w:p>
    <w:p w14:paraId="6B97FECB" w14:textId="77777777" w:rsidR="00EB5139" w:rsidRDefault="00EB5139" w:rsidP="00EB5139">
      <w:pPr>
        <w:pStyle w:val="13"/>
      </w:pPr>
      <w:r>
        <w:rPr>
          <w:rFonts w:hint="eastAsia"/>
        </w:rPr>
        <w:t>（</w:t>
      </w:r>
      <w:r>
        <w:t>1）综合材料，包括：以往矿业权评估史（含评估时间、目的、范围、评估机构和评估结果）、产品销售说明等、采矿权人及矿山简介（历史沿革、人员构成、生产经营现状、企业发展过程中的重大事件、企业内部机构设置及隶属关系、采、选、冶、加工、运输、销售、资产等经营、管理、核算模式）；</w:t>
      </w:r>
    </w:p>
    <w:p w14:paraId="41169600" w14:textId="77777777" w:rsidR="00EB5139" w:rsidRDefault="00EB5139" w:rsidP="00EB5139">
      <w:pPr>
        <w:pStyle w:val="13"/>
      </w:pPr>
      <w:r>
        <w:rPr>
          <w:rFonts w:hint="eastAsia"/>
        </w:rPr>
        <w:t>（</w:t>
      </w:r>
      <w:r>
        <w:t>2）地质材料，包括：矿区开发现状、矿产资源开采情况、下一步开采计划等；</w:t>
      </w:r>
    </w:p>
    <w:p w14:paraId="1A855957" w14:textId="77777777" w:rsidR="00EB5139" w:rsidRDefault="00EB5139" w:rsidP="00EB5139">
      <w:pPr>
        <w:pStyle w:val="13"/>
      </w:pPr>
      <w:r>
        <w:rPr>
          <w:rFonts w:hint="eastAsia"/>
        </w:rPr>
        <w:t>（</w:t>
      </w:r>
      <w:r>
        <w:t>3）财务统计类材料，包括：企业缴纳的税（费）种、税费率及免税事项说明及相关文件、土地使用权证或土地租赁协议等。</w:t>
      </w:r>
    </w:p>
    <w:p w14:paraId="08C12232" w14:textId="77777777" w:rsidR="00EB5139" w:rsidRDefault="00EB5139" w:rsidP="00EB5139">
      <w:pPr>
        <w:pStyle w:val="ab"/>
        <w:spacing w:before="62" w:after="62"/>
        <w:ind w:firstLine="482"/>
      </w:pPr>
      <w:r>
        <w:rPr>
          <w:rFonts w:hint="eastAsia"/>
        </w:rPr>
        <w:t>四、珠宝玉石首饰类</w:t>
      </w:r>
    </w:p>
    <w:p w14:paraId="7449857E" w14:textId="77777777" w:rsidR="00EB5139" w:rsidRDefault="00EB5139" w:rsidP="00EB5139">
      <w:pPr>
        <w:pStyle w:val="ab"/>
        <w:spacing w:before="62" w:after="62"/>
        <w:ind w:firstLine="482"/>
      </w:pPr>
      <w:r>
        <w:rPr>
          <w:rFonts w:hint="eastAsia"/>
        </w:rPr>
        <w:t>（一）必需材料</w:t>
      </w:r>
    </w:p>
    <w:p w14:paraId="43932EDB" w14:textId="77777777" w:rsidR="00EB5139" w:rsidRDefault="00EB5139" w:rsidP="00EB5139">
      <w:pPr>
        <w:pStyle w:val="13"/>
      </w:pPr>
      <w:r>
        <w:t>1、存货清单，项目包括种类（主石种类）、数量、规格（尺寸、总量、主石重）、账面价值、物理状况等；</w:t>
      </w:r>
    </w:p>
    <w:p w14:paraId="0079599C" w14:textId="77777777" w:rsidR="00EB5139" w:rsidRDefault="00EB5139" w:rsidP="00EB5139">
      <w:pPr>
        <w:pStyle w:val="13"/>
      </w:pPr>
      <w:r>
        <w:t>2、照片，可为有代表性的部分存货照片；</w:t>
      </w:r>
    </w:p>
    <w:p w14:paraId="4A6F652D" w14:textId="77777777" w:rsidR="00EB5139" w:rsidRDefault="00EB5139" w:rsidP="00EB5139">
      <w:pPr>
        <w:pStyle w:val="13"/>
      </w:pPr>
      <w:r>
        <w:t>3、权属证明、购买或证明其初始价值的票据复印件（查阅原件）、往来账款凭证</w:t>
      </w:r>
      <w:r>
        <w:rPr>
          <w:rFonts w:hint="eastAsia"/>
        </w:rPr>
        <w:t>等；</w:t>
      </w:r>
    </w:p>
    <w:p w14:paraId="2E894F55" w14:textId="77777777" w:rsidR="00EB5139" w:rsidRDefault="00EB5139" w:rsidP="00EB5139">
      <w:pPr>
        <w:pStyle w:val="13"/>
      </w:pPr>
      <w:r>
        <w:t>4、质押等他项权利证明；</w:t>
      </w:r>
    </w:p>
    <w:p w14:paraId="64B548F7" w14:textId="77777777" w:rsidR="00EB5139" w:rsidRDefault="00EB5139" w:rsidP="00EB5139">
      <w:pPr>
        <w:pStyle w:val="13"/>
      </w:pPr>
      <w:r>
        <w:t>5、法院扣押、查明财产情况等材料，以及关于财产的特殊情况说明。</w:t>
      </w:r>
    </w:p>
    <w:p w14:paraId="19BD2AD0" w14:textId="77777777" w:rsidR="00EB5139" w:rsidRDefault="00EB5139" w:rsidP="00EB5139">
      <w:pPr>
        <w:pStyle w:val="ab"/>
        <w:spacing w:before="62" w:after="62"/>
        <w:ind w:firstLine="482"/>
      </w:pPr>
      <w:r>
        <w:rPr>
          <w:rFonts w:hint="eastAsia"/>
        </w:rPr>
        <w:t>（二）一般材料</w:t>
      </w:r>
    </w:p>
    <w:p w14:paraId="09202371" w14:textId="77777777" w:rsidR="00EB5139" w:rsidRDefault="00EB5139" w:rsidP="00EB5139">
      <w:pPr>
        <w:pStyle w:val="13"/>
      </w:pPr>
      <w:r>
        <w:t>1、详细清单资料，包括：分类清单（按照原材料、成品等类别分类）、存货其他详细信息（包括存放地点、货品名称、品名、条码号、售价、数量、规格、总重、金重、主石类型、主石重量、主石数量、净度级别、颜色级别、</w:t>
      </w:r>
      <w:proofErr w:type="gramStart"/>
      <w:r>
        <w:t>辅石名称</w:t>
      </w:r>
      <w:proofErr w:type="gramEnd"/>
      <w:r>
        <w:t>、</w:t>
      </w:r>
      <w:proofErr w:type="gramStart"/>
      <w:r>
        <w:t>辅石重量</w:t>
      </w:r>
      <w:proofErr w:type="gramEnd"/>
      <w:r>
        <w:t>、</w:t>
      </w:r>
      <w:proofErr w:type="gramStart"/>
      <w:r>
        <w:t>辅石数量</w:t>
      </w:r>
      <w:proofErr w:type="gramEnd"/>
      <w:r>
        <w:t>、金成本、主石成本、</w:t>
      </w:r>
      <w:proofErr w:type="gramStart"/>
      <w:r>
        <w:t>辅石成本</w:t>
      </w:r>
      <w:proofErr w:type="gramEnd"/>
      <w:r>
        <w:t>、工费、成本等）；</w:t>
      </w:r>
    </w:p>
    <w:p w14:paraId="30FC4A2B" w14:textId="77777777" w:rsidR="00EB5139" w:rsidRDefault="00EB5139" w:rsidP="00EB5139">
      <w:pPr>
        <w:pStyle w:val="13"/>
      </w:pPr>
      <w:r>
        <w:t>2、其他相关材料，包括：鉴定证书、以往评估报告。</w:t>
      </w:r>
    </w:p>
    <w:p w14:paraId="59B61C3A" w14:textId="77777777" w:rsidR="00EB5139" w:rsidRDefault="00EB5139" w:rsidP="00EB5139">
      <w:pPr>
        <w:pStyle w:val="ab"/>
        <w:spacing w:before="62" w:after="62"/>
        <w:ind w:firstLine="482"/>
      </w:pPr>
      <w:r>
        <w:lastRenderedPageBreak/>
        <w:t>五、资产类</w:t>
      </w:r>
    </w:p>
    <w:p w14:paraId="3A65B749" w14:textId="77777777" w:rsidR="00EB5139" w:rsidRDefault="00EB5139" w:rsidP="00EB5139">
      <w:pPr>
        <w:pStyle w:val="ab"/>
        <w:spacing w:before="62" w:after="62"/>
        <w:ind w:firstLine="482"/>
      </w:pPr>
      <w:r>
        <w:rPr>
          <w:rFonts w:hint="eastAsia"/>
        </w:rPr>
        <w:t>（一）无形资产评估</w:t>
      </w:r>
    </w:p>
    <w:p w14:paraId="6B3539AB" w14:textId="77777777" w:rsidR="00EB5139" w:rsidRDefault="00EB5139" w:rsidP="00EB5139">
      <w:pPr>
        <w:pStyle w:val="13"/>
      </w:pPr>
      <w:r>
        <w:rPr>
          <w:rFonts w:hint="eastAsia"/>
        </w:rPr>
        <w:t>包括专利权、商标权、著作权、专有技术、特许经营权、商誉等无形资产。</w:t>
      </w:r>
    </w:p>
    <w:p w14:paraId="73F24044" w14:textId="77777777" w:rsidR="00EB5139" w:rsidRDefault="00EB5139" w:rsidP="00EB5139">
      <w:pPr>
        <w:pStyle w:val="13"/>
      </w:pPr>
      <w:r>
        <w:t>1、必需材料</w:t>
      </w:r>
    </w:p>
    <w:p w14:paraId="2F986751" w14:textId="77777777" w:rsidR="00EB5139" w:rsidRDefault="00EB5139" w:rsidP="00EB5139">
      <w:pPr>
        <w:pStyle w:val="13"/>
      </w:pPr>
      <w:r>
        <w:rPr>
          <w:rFonts w:hint="eastAsia"/>
        </w:rPr>
        <w:t>（</w:t>
      </w:r>
      <w:r>
        <w:t>1）权属证明，包括：各项无形资产的法律权属文件，专利还需提供专利登记簿副本、专利说明书，技术类的无形资产应当尽量提供相关的《科学技术成果鉴定证</w:t>
      </w:r>
      <w:r>
        <w:rPr>
          <w:rFonts w:hint="eastAsia"/>
        </w:rPr>
        <w:t>书》或《鉴定报告》；</w:t>
      </w:r>
    </w:p>
    <w:p w14:paraId="04C05696" w14:textId="77777777" w:rsidR="00EB5139" w:rsidRDefault="00EB5139" w:rsidP="00EB5139">
      <w:pPr>
        <w:pStyle w:val="13"/>
      </w:pPr>
      <w:r>
        <w:rPr>
          <w:rFonts w:hint="eastAsia"/>
        </w:rPr>
        <w:t>（</w:t>
      </w:r>
      <w:r>
        <w:t>2）产品发展情况，包括：与无形资产相关的产品项目销售合同、产品项目建议书、合资合作意向书，可行性研究报告或技术改造方案、专利查新报告，评估基准</w:t>
      </w:r>
      <w:proofErr w:type="gramStart"/>
      <w:r>
        <w:t>日后企业</w:t>
      </w:r>
      <w:proofErr w:type="gramEnd"/>
      <w:r>
        <w:t>未来五年与无形资产相关的发展规划、追加投资计划和收益预测；</w:t>
      </w:r>
    </w:p>
    <w:p w14:paraId="61C668E5" w14:textId="77777777" w:rsidR="00EB5139" w:rsidRDefault="00EB5139" w:rsidP="00EB5139">
      <w:pPr>
        <w:pStyle w:val="13"/>
      </w:pPr>
      <w:r>
        <w:rPr>
          <w:rFonts w:hint="eastAsia"/>
        </w:rPr>
        <w:t>（</w:t>
      </w:r>
      <w:r>
        <w:t>3）他项权利情况，包括：委托评估无形资产使用许可情况说明、他项权利（抵押、质押）说明、涉及他项权利的协议及相关财务数据；</w:t>
      </w:r>
    </w:p>
    <w:p w14:paraId="13B30012" w14:textId="77777777" w:rsidR="00EB5139" w:rsidRDefault="00EB5139" w:rsidP="00EB5139">
      <w:pPr>
        <w:pStyle w:val="13"/>
      </w:pPr>
      <w:r>
        <w:rPr>
          <w:rFonts w:hint="eastAsia"/>
        </w:rPr>
        <w:t>（</w:t>
      </w:r>
      <w:r>
        <w:t>4）法院查明的财产权属、质量瑕疵等材料，以及关于财产的特殊情况说明。</w:t>
      </w:r>
    </w:p>
    <w:p w14:paraId="55167513" w14:textId="77777777" w:rsidR="00EB5139" w:rsidRDefault="00EB5139" w:rsidP="00EB5139">
      <w:pPr>
        <w:pStyle w:val="13"/>
      </w:pPr>
      <w:r>
        <w:t>2、一般材料</w:t>
      </w:r>
    </w:p>
    <w:p w14:paraId="59963F21" w14:textId="77777777" w:rsidR="00EB5139" w:rsidRDefault="00EB5139" w:rsidP="00EB5139">
      <w:pPr>
        <w:pStyle w:val="13"/>
      </w:pPr>
      <w:r>
        <w:rPr>
          <w:rFonts w:hint="eastAsia"/>
        </w:rPr>
        <w:t>（</w:t>
      </w:r>
      <w:r>
        <w:t>1）其他具体材料，包括：专利检索报告、企业专利或专有技术有偿（无偿）转让或买卖的合同复印件及最近一年缴纳年费的资料，无形资产研发或购置的历史取得成本相关财务资料，无形资产相关产品近三年生产经营统计资料及收益情况统计资</w:t>
      </w:r>
      <w:r>
        <w:rPr>
          <w:rFonts w:hint="eastAsia"/>
        </w:rPr>
        <w:t>料；企业近三年（含评估基准日）财务报表及年度审计报告；评估基准</w:t>
      </w:r>
      <w:proofErr w:type="gramStart"/>
      <w:r>
        <w:rPr>
          <w:rFonts w:hint="eastAsia"/>
        </w:rPr>
        <w:t>日后企业</w:t>
      </w:r>
      <w:proofErr w:type="gramEnd"/>
      <w:r>
        <w:rPr>
          <w:rFonts w:hint="eastAsia"/>
        </w:rPr>
        <w:t>未来五年与无形资产相关的发展规划，追加投资计划，收益预测；与无形资产相关的产品项目建议书，合资合作意向书，可行性研究报告或技术改造方案。</w:t>
      </w:r>
    </w:p>
    <w:p w14:paraId="7400BE09" w14:textId="77777777" w:rsidR="00EB5139" w:rsidRDefault="00EB5139" w:rsidP="00EB5139">
      <w:pPr>
        <w:pStyle w:val="ab"/>
        <w:spacing w:before="62" w:after="62"/>
        <w:ind w:firstLine="482"/>
      </w:pPr>
      <w:r>
        <w:rPr>
          <w:rFonts w:hint="eastAsia"/>
        </w:rPr>
        <w:t>（二）机器设备及车辆评估</w:t>
      </w:r>
    </w:p>
    <w:p w14:paraId="5B87526F" w14:textId="77777777" w:rsidR="00EB5139" w:rsidRDefault="00EB5139" w:rsidP="00EB5139">
      <w:pPr>
        <w:pStyle w:val="13"/>
      </w:pPr>
      <w:r>
        <w:t>1、必需材料</w:t>
      </w:r>
    </w:p>
    <w:p w14:paraId="71724D34" w14:textId="77777777" w:rsidR="00EB5139" w:rsidRDefault="00EB5139" w:rsidP="00EB5139">
      <w:pPr>
        <w:pStyle w:val="13"/>
      </w:pPr>
      <w:r>
        <w:rPr>
          <w:rFonts w:hint="eastAsia"/>
        </w:rPr>
        <w:t>包括：设备、车辆资产清单，国产设备的购货发票、合同，进口设备的合同、报关单、装箱单，车辆行驶证、车辆注册登记证书、车辆购置发票，机器设备及车辆抵押、担保、诉讼的协议、证明或书面声明文件等；法院查明的财产权属、质量瑕疵等材料，以及关于财产的特殊情况说明。</w:t>
      </w:r>
    </w:p>
    <w:p w14:paraId="4908BEC6" w14:textId="77777777" w:rsidR="00EB5139" w:rsidRDefault="00EB5139" w:rsidP="00EB5139">
      <w:pPr>
        <w:pStyle w:val="13"/>
      </w:pPr>
      <w:r>
        <w:t>2、一般材料</w:t>
      </w:r>
    </w:p>
    <w:p w14:paraId="6F8B8792" w14:textId="77777777" w:rsidR="00EB5139" w:rsidRDefault="00EB5139" w:rsidP="00EB5139">
      <w:pPr>
        <w:pStyle w:val="13"/>
      </w:pPr>
      <w:r>
        <w:rPr>
          <w:rFonts w:hint="eastAsia"/>
        </w:rPr>
        <w:t>包括：机器设备及车辆当前所在地以及事实占有、保管、仓储等情况，机器设备账面价值组成说明（原始购置价值、清产核资入账价值、前次评估入账价值），企业生产工艺流程图及相关技术文件说明、设备档案（包括设备日常管理制度、运行记录、事故记录、维修保养情况），精密、大型、价值量大的设备应提供有关技术检测资料，车辆行驶里程数、历年的维修记录、由车管所出具的车辆查询登记表，重要设备的运行状况和大修理技术改造情况的历史记录和详细说明，需要年检的设备（电梯、行车、</w:t>
      </w:r>
      <w:r>
        <w:rPr>
          <w:rFonts w:hint="eastAsia"/>
        </w:rPr>
        <w:lastRenderedPageBreak/>
        <w:t>压力容器、锅炉等）的年检合格证书。</w:t>
      </w:r>
    </w:p>
    <w:p w14:paraId="56DCDD7B" w14:textId="77777777" w:rsidR="00EB5139" w:rsidRDefault="00EB5139" w:rsidP="00EB5139">
      <w:pPr>
        <w:pStyle w:val="ab"/>
        <w:spacing w:before="62" w:after="62"/>
        <w:ind w:firstLine="482"/>
      </w:pPr>
      <w:r>
        <w:rPr>
          <w:rFonts w:hint="eastAsia"/>
        </w:rPr>
        <w:t>（三）流动资产、递延资产和其他资产评估</w:t>
      </w:r>
    </w:p>
    <w:p w14:paraId="722991D2" w14:textId="77777777" w:rsidR="00EB5139" w:rsidRDefault="00EB5139" w:rsidP="00EB5139">
      <w:pPr>
        <w:pStyle w:val="13"/>
      </w:pPr>
      <w:r>
        <w:t>1、必需材料</w:t>
      </w:r>
    </w:p>
    <w:p w14:paraId="3FCC12D6" w14:textId="77777777" w:rsidR="00EB5139" w:rsidRDefault="00EB5139" w:rsidP="00EB5139">
      <w:pPr>
        <w:pStyle w:val="13"/>
      </w:pPr>
      <w:r>
        <w:rPr>
          <w:rFonts w:hint="eastAsia"/>
        </w:rPr>
        <w:t>包括：企业会计政策、财务账册、记账凭证等财务会计资料，银行对账单复印</w:t>
      </w:r>
      <w:r>
        <w:t>件、余额调节表、定期存款存单复印件，存货资产清单，递延资产的入账依据、会计处理的依据等；法院查明的财产权属、质量瑕疵等材料，以及关于财产的特殊情况说</w:t>
      </w:r>
      <w:r>
        <w:rPr>
          <w:rFonts w:hint="eastAsia"/>
        </w:rPr>
        <w:t>明。</w:t>
      </w:r>
    </w:p>
    <w:p w14:paraId="12FB64CD" w14:textId="77777777" w:rsidR="00EB5139" w:rsidRDefault="00EB5139" w:rsidP="00EB5139">
      <w:pPr>
        <w:pStyle w:val="13"/>
      </w:pPr>
      <w:r>
        <w:t>2、一般材料</w:t>
      </w:r>
    </w:p>
    <w:p w14:paraId="5156C3C5" w14:textId="77777777" w:rsidR="00EB5139" w:rsidRDefault="00EB5139" w:rsidP="00EB5139">
      <w:pPr>
        <w:pStyle w:val="13"/>
      </w:pPr>
      <w:r>
        <w:rPr>
          <w:rFonts w:hint="eastAsia"/>
        </w:rPr>
        <w:t>包括：存货管理制度、存货管理流程图（或简要文字描述），原材料、产成品、库存商品、在用低值易耗品数量市场参考价格资料（如存货近期的采购及销售合同等），库存现金盘点表、银行</w:t>
      </w:r>
      <w:proofErr w:type="gramStart"/>
      <w:r>
        <w:rPr>
          <w:rFonts w:hint="eastAsia"/>
        </w:rPr>
        <w:t>询</w:t>
      </w:r>
      <w:proofErr w:type="gramEnd"/>
      <w:r>
        <w:rPr>
          <w:rFonts w:hint="eastAsia"/>
        </w:rPr>
        <w:t>证函，存货盘点表，存货的质量状况说明（是否有积压、残次、报废的情况，如有不良存货，应提供企业不良存货的明细及形成原因说明），大额往来合同协议、往来款</w:t>
      </w:r>
      <w:proofErr w:type="gramStart"/>
      <w:r>
        <w:rPr>
          <w:rFonts w:hint="eastAsia"/>
        </w:rPr>
        <w:t>询</w:t>
      </w:r>
      <w:proofErr w:type="gramEnd"/>
      <w:r>
        <w:rPr>
          <w:rFonts w:hint="eastAsia"/>
        </w:rPr>
        <w:t>证函，生鲜、药品等特殊存货，应当提供保质期证明材料、产品合格证、出厂证明、报关单、存放地点、抽样检测报告等文件，特殊资产需要提供检测、检验报告。</w:t>
      </w:r>
    </w:p>
    <w:p w14:paraId="08A1385B" w14:textId="77777777" w:rsidR="00EB5139" w:rsidRDefault="00EB5139" w:rsidP="00EB5139">
      <w:pPr>
        <w:pStyle w:val="ab"/>
        <w:spacing w:before="62" w:after="62"/>
        <w:ind w:firstLine="482"/>
      </w:pPr>
      <w:r>
        <w:rPr>
          <w:rFonts w:hint="eastAsia"/>
        </w:rPr>
        <w:t>（四）长期股权投资评估</w:t>
      </w:r>
    </w:p>
    <w:p w14:paraId="2BFBC218" w14:textId="77777777" w:rsidR="00EB5139" w:rsidRDefault="00EB5139" w:rsidP="00EB5139">
      <w:pPr>
        <w:pStyle w:val="13"/>
      </w:pPr>
      <w:r>
        <w:t>1、必需材料</w:t>
      </w:r>
    </w:p>
    <w:p w14:paraId="7451CDAF" w14:textId="77777777" w:rsidR="00EB5139" w:rsidRDefault="00EB5139" w:rsidP="00EB5139">
      <w:pPr>
        <w:pStyle w:val="13"/>
      </w:pPr>
      <w:r>
        <w:rPr>
          <w:rFonts w:hint="eastAsia"/>
        </w:rPr>
        <w:t>包括：投资协议、被投资企业营业执照、公司章程，被评估单位具有实际控制权或有重大影响的长期股权投资单位，需单独提供本清单中企业价值评估所需资料等；</w:t>
      </w:r>
      <w:r>
        <w:t>法院查明的财产权属、质量瑕疵等材料，以及关于财产的特殊情况说明。</w:t>
      </w:r>
    </w:p>
    <w:p w14:paraId="014CB0E8" w14:textId="77777777" w:rsidR="00EB5139" w:rsidRDefault="00EB5139" w:rsidP="00EB5139">
      <w:pPr>
        <w:pStyle w:val="13"/>
      </w:pPr>
      <w:r>
        <w:t>2、一般材料</w:t>
      </w:r>
    </w:p>
    <w:p w14:paraId="762B7158" w14:textId="77777777" w:rsidR="00EB5139" w:rsidRDefault="00EB5139" w:rsidP="00EB5139">
      <w:pPr>
        <w:pStyle w:val="13"/>
      </w:pPr>
      <w:r>
        <w:rPr>
          <w:rFonts w:hint="eastAsia"/>
        </w:rPr>
        <w:t>包括：被投资企业评估基准日及前三年的审计报告及会计报表，</w:t>
      </w:r>
      <w:proofErr w:type="gramStart"/>
      <w:r>
        <w:rPr>
          <w:rFonts w:hint="eastAsia"/>
        </w:rPr>
        <w:t>电子账套及</w:t>
      </w:r>
      <w:proofErr w:type="gramEnd"/>
      <w:r>
        <w:rPr>
          <w:rFonts w:hint="eastAsia"/>
        </w:rPr>
        <w:t>记账凭证、账册，被投资企业近三年的利润分配情况等。</w:t>
      </w:r>
    </w:p>
    <w:p w14:paraId="7BA83E98" w14:textId="77777777" w:rsidR="00EB5139" w:rsidRDefault="00EB5139" w:rsidP="00EB5139">
      <w:pPr>
        <w:pStyle w:val="ab"/>
        <w:spacing w:before="62" w:after="62"/>
        <w:ind w:firstLine="482"/>
      </w:pPr>
      <w:r>
        <w:rPr>
          <w:rFonts w:hint="eastAsia"/>
        </w:rPr>
        <w:t>（五）负债类资产评估</w:t>
      </w:r>
    </w:p>
    <w:p w14:paraId="00763BBE" w14:textId="77777777" w:rsidR="00EB5139" w:rsidRDefault="00EB5139" w:rsidP="00EB5139">
      <w:pPr>
        <w:pStyle w:val="13"/>
      </w:pPr>
      <w:r>
        <w:t>1、必需材料</w:t>
      </w:r>
    </w:p>
    <w:p w14:paraId="52DE9880" w14:textId="77777777" w:rsidR="00EB5139" w:rsidRDefault="00EB5139" w:rsidP="00EB5139">
      <w:pPr>
        <w:pStyle w:val="13"/>
      </w:pPr>
      <w:r>
        <w:rPr>
          <w:rFonts w:hint="eastAsia"/>
        </w:rPr>
        <w:t>包括：企业财务账册、记账凭证等财务会计资料，长短期借款合同、保证（抵押、质押、担保）合同及他项权利证明、贷款卡信息查询（企业信用报告），各往来单位</w:t>
      </w:r>
      <w:proofErr w:type="gramStart"/>
      <w:r>
        <w:rPr>
          <w:rFonts w:hint="eastAsia"/>
        </w:rPr>
        <w:t>询</w:t>
      </w:r>
      <w:proofErr w:type="gramEnd"/>
      <w:r>
        <w:rPr>
          <w:rFonts w:hint="eastAsia"/>
        </w:rPr>
        <w:t>证函，大额债权债务合同协议等，专项应付款等其他负债的相关文件、合同、协议、入账凭证、合同或协议执行情况说明，应交税费种类、税费率，纳税（费）申报表及缴纳凭证等；法院查明的财产权属、质量瑕疵等材料，以及关于财产的特殊情况说明。</w:t>
      </w:r>
    </w:p>
    <w:p w14:paraId="408D5459" w14:textId="77777777" w:rsidR="00EB5139" w:rsidRDefault="00EB5139" w:rsidP="00EB5139">
      <w:pPr>
        <w:pStyle w:val="13"/>
      </w:pPr>
      <w:r>
        <w:t>2、一般材料</w:t>
      </w:r>
    </w:p>
    <w:p w14:paraId="08E9A437" w14:textId="77777777" w:rsidR="00EB5139" w:rsidRDefault="00EB5139" w:rsidP="00EB5139">
      <w:pPr>
        <w:pStyle w:val="13"/>
      </w:pPr>
      <w:r>
        <w:rPr>
          <w:rFonts w:hint="eastAsia"/>
        </w:rPr>
        <w:t>包括：</w:t>
      </w:r>
      <w:proofErr w:type="gramStart"/>
      <w:r>
        <w:rPr>
          <w:rFonts w:hint="eastAsia"/>
        </w:rPr>
        <w:t>询</w:t>
      </w:r>
      <w:proofErr w:type="gramEnd"/>
      <w:r>
        <w:rPr>
          <w:rFonts w:hint="eastAsia"/>
        </w:rPr>
        <w:t>证函，为其他企业担保情况说明，涉</w:t>
      </w:r>
      <w:proofErr w:type="gramStart"/>
      <w:r>
        <w:rPr>
          <w:rFonts w:hint="eastAsia"/>
        </w:rPr>
        <w:t>诉情况</w:t>
      </w:r>
      <w:proofErr w:type="gramEnd"/>
      <w:r>
        <w:rPr>
          <w:rFonts w:hint="eastAsia"/>
        </w:rPr>
        <w:t>说明；</w:t>
      </w:r>
    </w:p>
    <w:p w14:paraId="064D8935" w14:textId="77777777" w:rsidR="00EB5139" w:rsidRDefault="00EB5139" w:rsidP="00EB5139">
      <w:pPr>
        <w:pStyle w:val="ab"/>
        <w:spacing w:before="62" w:after="62"/>
        <w:ind w:firstLine="482"/>
      </w:pPr>
      <w:r>
        <w:rPr>
          <w:rFonts w:hint="eastAsia"/>
        </w:rPr>
        <w:t>（六）其他权益类评估（营运损失、停产停业损失、经营场地遭受人为破坏引</w:t>
      </w:r>
      <w:r>
        <w:rPr>
          <w:rFonts w:hint="eastAsia"/>
        </w:rPr>
        <w:lastRenderedPageBreak/>
        <w:t>起的财产损失或其他损失）</w:t>
      </w:r>
    </w:p>
    <w:p w14:paraId="679564B5" w14:textId="77777777" w:rsidR="00EB5139" w:rsidRDefault="00EB5139" w:rsidP="00EB5139">
      <w:pPr>
        <w:pStyle w:val="13"/>
      </w:pPr>
      <w:r>
        <w:rPr>
          <w:rFonts w:hint="eastAsia"/>
        </w:rPr>
        <w:t>此类业务主要收集：产权人资料，损失所对应的具体资料，正常经营期间的各种财务数据等。</w:t>
      </w:r>
    </w:p>
    <w:p w14:paraId="69456545" w14:textId="77777777" w:rsidR="00EB5139" w:rsidRDefault="00EB5139" w:rsidP="00EB5139">
      <w:pPr>
        <w:pStyle w:val="ab"/>
        <w:spacing w:before="62" w:after="62"/>
        <w:ind w:firstLine="482"/>
      </w:pPr>
      <w:r>
        <w:rPr>
          <w:rFonts w:hint="eastAsia"/>
        </w:rPr>
        <w:t>（七）森林资源资产评估</w:t>
      </w:r>
    </w:p>
    <w:p w14:paraId="264AE907" w14:textId="77777777" w:rsidR="00EB5139" w:rsidRDefault="00EB5139" w:rsidP="00EB5139">
      <w:pPr>
        <w:pStyle w:val="13"/>
      </w:pPr>
      <w:r>
        <w:t>1、权属证明，包括：林权证（或不动产权证）、租地协议、林地流转合同、承包合同等；</w:t>
      </w:r>
    </w:p>
    <w:p w14:paraId="22DA66AB" w14:textId="77777777" w:rsidR="00EB5139" w:rsidRDefault="00EB5139" w:rsidP="00EB5139">
      <w:pPr>
        <w:pStyle w:val="13"/>
      </w:pPr>
      <w:r>
        <w:t>2、资产清单，包括：森林资源资产清单或经林业调查机构出具的森林资源专项调查报告（含图表），含面积、林种、树种、林龄、林组（产期）、株数、树高、胸径、蓄积量等相关林况因子；</w:t>
      </w:r>
    </w:p>
    <w:p w14:paraId="2FA17FA5" w14:textId="77777777" w:rsidR="00EB5139" w:rsidRDefault="00EB5139" w:rsidP="00EB5139">
      <w:pPr>
        <w:pStyle w:val="13"/>
      </w:pPr>
      <w:r>
        <w:t>3、图面资料，包括：涉案森林资源资产的地理位置、地形、林业区划（林班、小班等）、林况、行政区划、地理坐标等相关信息；</w:t>
      </w:r>
    </w:p>
    <w:p w14:paraId="61AAA864" w14:textId="77777777" w:rsidR="00EB5139" w:rsidRDefault="00EB5139" w:rsidP="00EB5139">
      <w:pPr>
        <w:pStyle w:val="13"/>
      </w:pPr>
      <w:r>
        <w:t>4、抵押等他项权利情况；</w:t>
      </w:r>
    </w:p>
    <w:p w14:paraId="6B0B0128" w14:textId="77777777" w:rsidR="00EB5139" w:rsidRDefault="00EB5139" w:rsidP="00EB5139">
      <w:pPr>
        <w:pStyle w:val="13"/>
      </w:pPr>
      <w:r>
        <w:t>5、法院查明的财产权属、质量瑕疵等材料，以及关于财产的特殊情况说明。</w:t>
      </w:r>
    </w:p>
    <w:p w14:paraId="20384CE6" w14:textId="77777777" w:rsidR="00EB5139" w:rsidRDefault="00EB5139" w:rsidP="00EB5139">
      <w:pPr>
        <w:pStyle w:val="ab"/>
        <w:spacing w:before="62" w:after="62"/>
        <w:ind w:firstLine="482"/>
      </w:pPr>
      <w:r>
        <w:rPr>
          <w:rFonts w:hint="eastAsia"/>
        </w:rPr>
        <w:t>（八）企业价值评估其他必需材料</w:t>
      </w:r>
    </w:p>
    <w:p w14:paraId="2AEAE6A7" w14:textId="77777777" w:rsidR="00EB5139" w:rsidRDefault="00EB5139" w:rsidP="00EB5139">
      <w:pPr>
        <w:pStyle w:val="13"/>
      </w:pPr>
      <w:r>
        <w:t>1、企业近三年（含评估基准日）财务报表和年度审计报告、</w:t>
      </w:r>
      <w:proofErr w:type="gramStart"/>
      <w:r>
        <w:t>电子账套及</w:t>
      </w:r>
      <w:proofErr w:type="gramEnd"/>
      <w:r>
        <w:t>记账凭证、账册，企业中长期发展规划，国有资产产权登记表。</w:t>
      </w:r>
    </w:p>
    <w:p w14:paraId="109F5901" w14:textId="77777777" w:rsidR="00EB5139" w:rsidRDefault="00EB5139" w:rsidP="00EB5139">
      <w:pPr>
        <w:pStyle w:val="13"/>
      </w:pPr>
      <w:r>
        <w:t>2、企业价值评估中，如涉及流动资产、递延资产和其他资产，长期股权投资，机器设备及车辆，投资性房地产，房屋建筑物、构筑物及其他辅助设施、管道及沟槽、在建工程，土地使用权，其他无形资产，负债时，则需要按照本资料清单中相应类别资产所列示清单收集相关材料。</w:t>
      </w:r>
    </w:p>
    <w:p w14:paraId="4C264804" w14:textId="77777777" w:rsidR="00EB5139" w:rsidRDefault="00EB5139" w:rsidP="00EB5139">
      <w:pPr>
        <w:pStyle w:val="13"/>
      </w:pPr>
      <w:r>
        <w:t>3、企业价值评估中，使用收益法评估的，则还需收集如下资料：企业近五年大型项目可行性研究报告、竣工验收报告，未来五年发展规划与设想，投资项目计划、项目审批情况、资金到位情况、计划可实现程度、企业面临的市场竞争分析及其他优劣势分析。企业适用税种、税率及税收优惠，今后五年各年新增固定资产、无形资产投资、企业未来市场开发计划；工资发放政策、福利政策（含社保）等。</w:t>
      </w:r>
    </w:p>
    <w:p w14:paraId="73A59452" w14:textId="77777777" w:rsidR="00EB5139" w:rsidRDefault="00EB5139" w:rsidP="00EB5139">
      <w:pPr>
        <w:pStyle w:val="ab"/>
        <w:spacing w:before="62" w:after="62"/>
        <w:ind w:firstLine="482"/>
      </w:pPr>
      <w:r>
        <w:rPr>
          <w:rFonts w:hint="eastAsia"/>
        </w:rPr>
        <w:t>（九）其他一般动产评估</w:t>
      </w:r>
    </w:p>
    <w:p w14:paraId="323809F2" w14:textId="77777777" w:rsidR="00EB5139" w:rsidRDefault="00EB5139" w:rsidP="00EB5139">
      <w:pPr>
        <w:pStyle w:val="13"/>
      </w:pPr>
      <w:r>
        <w:t>1、必需材料</w:t>
      </w:r>
    </w:p>
    <w:p w14:paraId="2AE26201" w14:textId="77777777" w:rsidR="00EB5139" w:rsidRDefault="00EB5139" w:rsidP="00EB5139">
      <w:pPr>
        <w:pStyle w:val="13"/>
      </w:pPr>
      <w:r>
        <w:rPr>
          <w:rFonts w:hint="eastAsia"/>
        </w:rPr>
        <w:t>法院查明的财产权属、质量瑕疵等材料，以及关于财产的特殊情况说明。</w:t>
      </w:r>
    </w:p>
    <w:p w14:paraId="49D69914" w14:textId="77777777" w:rsidR="00EB5139" w:rsidRDefault="00EB5139" w:rsidP="00EB5139">
      <w:pPr>
        <w:pStyle w:val="13"/>
      </w:pPr>
      <w:r>
        <w:t>2、一般材料</w:t>
      </w:r>
    </w:p>
    <w:p w14:paraId="48BB7081" w14:textId="77777777" w:rsidR="00EB5139" w:rsidRDefault="00EB5139" w:rsidP="00EB5139">
      <w:pPr>
        <w:pStyle w:val="13"/>
      </w:pPr>
      <w:r>
        <w:rPr>
          <w:rFonts w:hint="eastAsia"/>
        </w:rPr>
        <w:t>财产的购置凭证，如发票或者合同。</w:t>
      </w:r>
    </w:p>
    <w:p w14:paraId="5FBB395C" w14:textId="72C62997" w:rsidR="00FA0363" w:rsidRDefault="00FA0363" w:rsidP="00FA0363">
      <w:pPr>
        <w:pStyle w:val="31"/>
        <w:spacing w:before="156" w:after="62"/>
      </w:pPr>
      <w:bookmarkStart w:id="296" w:name="_Toc81833529"/>
      <w:r>
        <w:rPr>
          <w:rFonts w:hint="eastAsia"/>
        </w:rPr>
        <w:t>《人民法院委托司法执行财产处置资产评估指导意见》（</w:t>
      </w:r>
      <w:proofErr w:type="gramStart"/>
      <w:r>
        <w:rPr>
          <w:rFonts w:hint="eastAsia"/>
        </w:rPr>
        <w:t>中评协</w:t>
      </w:r>
      <w:proofErr w:type="gramEnd"/>
      <w:r>
        <w:rPr>
          <w:rFonts w:hint="eastAsia"/>
        </w:rPr>
        <w:t>〔</w:t>
      </w:r>
      <w:r>
        <w:t>2019〕14号）</w:t>
      </w:r>
      <w:bookmarkEnd w:id="296"/>
    </w:p>
    <w:p w14:paraId="2C945CE8" w14:textId="77777777" w:rsidR="00FA0363" w:rsidRDefault="00FA0363" w:rsidP="00FA0363">
      <w:pPr>
        <w:pStyle w:val="13"/>
        <w:ind w:firstLineChars="0" w:firstLine="0"/>
      </w:pPr>
      <w:r>
        <w:rPr>
          <w:rFonts w:hint="eastAsia"/>
        </w:rPr>
        <w:t>各省、自治区、直辖市、计划单列市资产评估协会（注册会计师协会）：</w:t>
      </w:r>
    </w:p>
    <w:p w14:paraId="52BD0BFE" w14:textId="77777777" w:rsidR="00FA0363" w:rsidRDefault="00FA0363" w:rsidP="00FA0363">
      <w:pPr>
        <w:pStyle w:val="13"/>
      </w:pPr>
      <w:r>
        <w:rPr>
          <w:rFonts w:hint="eastAsia"/>
        </w:rPr>
        <w:lastRenderedPageBreak/>
        <w:t>为规范资产评估机构及其资产评估</w:t>
      </w:r>
      <w:proofErr w:type="gramStart"/>
      <w:r>
        <w:rPr>
          <w:rFonts w:hint="eastAsia"/>
        </w:rPr>
        <w:t>师执行</w:t>
      </w:r>
      <w:proofErr w:type="gramEnd"/>
      <w:r>
        <w:rPr>
          <w:rFonts w:hint="eastAsia"/>
        </w:rPr>
        <w:t>人民法院委托司法执行财产处置资产评</w:t>
      </w:r>
      <w:r>
        <w:t>估业务，根据《中华人民共和国资产评估法》《最高人民法院关于人民法院确定财产处置参考价若干问题的规定》《资产评估基本准则》《人民法院委托评估工作规范》等有关规定，中国资产评估协会制定了《人民法院委托司法执行财产处置资产评估指导意见》，现予以发布，自2019年7月1日起施行。2018年9月1日起出具的司法执行财产处置资产评估报告，可以参照本指导意见对其进行判断。</w:t>
      </w:r>
    </w:p>
    <w:p w14:paraId="3981F5B3" w14:textId="77777777" w:rsidR="00FA0363" w:rsidRDefault="00FA0363" w:rsidP="00FA0363">
      <w:pPr>
        <w:pStyle w:val="13"/>
      </w:pPr>
      <w:r>
        <w:rPr>
          <w:rFonts w:hint="eastAsia"/>
        </w:rPr>
        <w:t>请各地</w:t>
      </w:r>
      <w:proofErr w:type="gramStart"/>
      <w:r>
        <w:rPr>
          <w:rFonts w:hint="eastAsia"/>
        </w:rPr>
        <w:t>方协会</w:t>
      </w:r>
      <w:proofErr w:type="gramEnd"/>
      <w:r>
        <w:rPr>
          <w:rFonts w:hint="eastAsia"/>
        </w:rPr>
        <w:t>将《人民法院委托司法执行财产处置资产评估指导意见》及时转发资产评估机构，组织资产评估机构和资产评估专业人员进行学习和培训，并将执行过程中发现的问题及时上报中国资产评估协会。</w:t>
      </w:r>
    </w:p>
    <w:p w14:paraId="49BBB97B" w14:textId="37368576" w:rsidR="00FA0363" w:rsidRDefault="00FA0363" w:rsidP="00FA0363">
      <w:pPr>
        <w:pStyle w:val="13"/>
      </w:pPr>
      <w:r>
        <w:rPr>
          <w:rFonts w:hint="eastAsia"/>
        </w:rPr>
        <w:t>附件：人民法院委托司法执行财产处置资产评估指导意见</w:t>
      </w:r>
    </w:p>
    <w:p w14:paraId="254E69B7" w14:textId="77777777" w:rsidR="00032B5A" w:rsidRDefault="00032B5A" w:rsidP="00032B5A">
      <w:pPr>
        <w:pStyle w:val="13"/>
        <w:jc w:val="right"/>
      </w:pPr>
      <w:r>
        <w:rPr>
          <w:rFonts w:hint="eastAsia"/>
        </w:rPr>
        <w:t>中国资产评估协会</w:t>
      </w:r>
    </w:p>
    <w:p w14:paraId="41AAC03B" w14:textId="77B86005" w:rsidR="00032B5A" w:rsidRDefault="00032B5A" w:rsidP="00032B5A">
      <w:pPr>
        <w:pStyle w:val="13"/>
        <w:jc w:val="right"/>
      </w:pPr>
      <w:r>
        <w:t>2019年5月6日</w:t>
      </w:r>
    </w:p>
    <w:p w14:paraId="41C77B46" w14:textId="77777777" w:rsidR="00FA0363" w:rsidRDefault="00FA0363" w:rsidP="00AF7342">
      <w:pPr>
        <w:pStyle w:val="a9"/>
        <w:spacing w:before="62" w:after="62"/>
      </w:pPr>
      <w:r>
        <w:rPr>
          <w:rFonts w:hint="eastAsia"/>
        </w:rPr>
        <w:t>人民法院委托司法执行财产处置资产评估指导意见</w:t>
      </w:r>
    </w:p>
    <w:p w14:paraId="1CD1133C" w14:textId="23171BE6" w:rsidR="00FA0363" w:rsidRDefault="00FA0363" w:rsidP="00AF7342">
      <w:pPr>
        <w:pStyle w:val="a9"/>
        <w:spacing w:before="62" w:after="62"/>
      </w:pPr>
      <w:r>
        <w:rPr>
          <w:rFonts w:hint="eastAsia"/>
        </w:rPr>
        <w:t>第一章</w:t>
      </w:r>
      <w:r w:rsidR="00032B5A">
        <w:rPr>
          <w:rFonts w:hint="eastAsia"/>
        </w:rPr>
        <w:t xml:space="preserve"> </w:t>
      </w:r>
      <w:r>
        <w:t>总则</w:t>
      </w:r>
    </w:p>
    <w:p w14:paraId="1BDBA05E" w14:textId="5F84FE96" w:rsidR="00FA0363" w:rsidRDefault="004E3EBB" w:rsidP="00FA0363">
      <w:pPr>
        <w:pStyle w:val="13"/>
        <w:ind w:firstLine="482"/>
      </w:pPr>
      <w:r w:rsidRPr="004E3EBB">
        <w:rPr>
          <w:rFonts w:hint="eastAsia"/>
          <w:b/>
          <w:bCs/>
        </w:rPr>
        <w:t xml:space="preserve">第一条 </w:t>
      </w:r>
      <w:r w:rsidR="00FA0363">
        <w:t>为规范资产评估机构及其资产评估</w:t>
      </w:r>
      <w:proofErr w:type="gramStart"/>
      <w:r w:rsidR="00FA0363">
        <w:t>师执行</w:t>
      </w:r>
      <w:proofErr w:type="gramEnd"/>
      <w:r w:rsidR="00FA0363">
        <w:t>人民法院委托司法执行财产处置资产评估业务，根据《中华人民共和国资产评估法》《最高人民法院关于人民法院确定</w:t>
      </w:r>
      <w:r w:rsidR="00FA0363">
        <w:rPr>
          <w:rFonts w:hint="eastAsia"/>
        </w:rPr>
        <w:t>财产处置参考价若干问题的规定》《资产评估基本准则》《人民法院委托评估工作规范》等有关规定制定本指导意见。</w:t>
      </w:r>
    </w:p>
    <w:p w14:paraId="53A3F922" w14:textId="67146229" w:rsidR="00FA0363" w:rsidRDefault="004E3EBB" w:rsidP="00FA0363">
      <w:pPr>
        <w:pStyle w:val="13"/>
        <w:ind w:firstLine="482"/>
      </w:pPr>
      <w:r w:rsidRPr="004E3EBB">
        <w:rPr>
          <w:rFonts w:hint="eastAsia"/>
          <w:b/>
          <w:bCs/>
        </w:rPr>
        <w:t xml:space="preserve">第二条 </w:t>
      </w:r>
      <w:r w:rsidR="00FA0363">
        <w:t>本指导意见所称人民法院委托司法执行财产处置资产评估是指资产评估机构及其资产评估师，根据人民法院委托，为确定财产处置参考价，对相关资产价值进行评定和估算，并出具资产评估报告的专业服务行为。</w:t>
      </w:r>
    </w:p>
    <w:p w14:paraId="54997607" w14:textId="77777777" w:rsidR="00FA0363" w:rsidRDefault="00FA0363" w:rsidP="00FA0363">
      <w:pPr>
        <w:pStyle w:val="13"/>
      </w:pPr>
      <w:r>
        <w:rPr>
          <w:rFonts w:hint="eastAsia"/>
        </w:rPr>
        <w:t>本指导意见所称资产评估报告是为人民法院确定财产处置参考</w:t>
      </w:r>
      <w:proofErr w:type="gramStart"/>
      <w:r>
        <w:rPr>
          <w:rFonts w:hint="eastAsia"/>
        </w:rPr>
        <w:t>价提供</w:t>
      </w:r>
      <w:proofErr w:type="gramEnd"/>
      <w:r>
        <w:rPr>
          <w:rFonts w:hint="eastAsia"/>
        </w:rPr>
        <w:t>服务的报告，</w:t>
      </w:r>
      <w:r>
        <w:t>资产评估报告封面应注明“人民法院委托司法执行财产处置参考价目的资产评估报告”。</w:t>
      </w:r>
    </w:p>
    <w:p w14:paraId="1E51BADE" w14:textId="510C2581" w:rsidR="00FA0363" w:rsidRDefault="004E3EBB" w:rsidP="00FA0363">
      <w:pPr>
        <w:pStyle w:val="13"/>
        <w:ind w:firstLine="482"/>
      </w:pPr>
      <w:r w:rsidRPr="004E3EBB">
        <w:rPr>
          <w:rFonts w:hint="eastAsia"/>
          <w:b/>
          <w:bCs/>
        </w:rPr>
        <w:t xml:space="preserve">第三条 </w:t>
      </w:r>
      <w:r w:rsidR="00FA0363">
        <w:t>资产评估机构及其资产评估</w:t>
      </w:r>
      <w:proofErr w:type="gramStart"/>
      <w:r w:rsidR="00FA0363">
        <w:t>师执行</w:t>
      </w:r>
      <w:proofErr w:type="gramEnd"/>
      <w:r w:rsidR="00FA0363">
        <w:t>人民法院委托司法执行财产处置资产评估业务，应当遵守本指导意见。</w:t>
      </w:r>
    </w:p>
    <w:p w14:paraId="407AA5B3" w14:textId="774890F5" w:rsidR="00FA0363" w:rsidRDefault="00FA0363" w:rsidP="00AF7342">
      <w:pPr>
        <w:pStyle w:val="a9"/>
        <w:spacing w:before="62" w:after="62"/>
      </w:pPr>
      <w:r>
        <w:rPr>
          <w:rFonts w:hint="eastAsia"/>
        </w:rPr>
        <w:t>第二章</w:t>
      </w:r>
      <w:r w:rsidR="00032B5A">
        <w:rPr>
          <w:rFonts w:hint="eastAsia"/>
        </w:rPr>
        <w:t xml:space="preserve"> </w:t>
      </w:r>
      <w:r>
        <w:t>基本遵循</w:t>
      </w:r>
    </w:p>
    <w:p w14:paraId="3C338FB5" w14:textId="5D994C35" w:rsidR="00FA0363" w:rsidRDefault="004E3EBB" w:rsidP="00FA0363">
      <w:pPr>
        <w:pStyle w:val="13"/>
        <w:ind w:firstLine="482"/>
      </w:pPr>
      <w:r w:rsidRPr="004E3EBB">
        <w:rPr>
          <w:rFonts w:hint="eastAsia"/>
          <w:b/>
          <w:bCs/>
        </w:rPr>
        <w:t xml:space="preserve">第四条 </w:t>
      </w:r>
      <w:r w:rsidR="00FA0363">
        <w:t>资产评估机构及其资产评估</w:t>
      </w:r>
      <w:proofErr w:type="gramStart"/>
      <w:r w:rsidR="00FA0363">
        <w:t>师执行</w:t>
      </w:r>
      <w:proofErr w:type="gramEnd"/>
      <w:r w:rsidR="00FA0363">
        <w:t>人民法院委托司法执行财产处置资产评估业务，应当遵守法律、行政法规、司法解释、资产评估准则的规定，坚持独立、客观、公正的原则，诚实守信，勤勉尽责，谨慎从业，遵守职业道德，自觉维护职业形象，不得从事损害职业形象的活动。</w:t>
      </w:r>
    </w:p>
    <w:p w14:paraId="211CD7C4" w14:textId="39C01156" w:rsidR="00FA0363" w:rsidRDefault="004E3EBB" w:rsidP="00FA0363">
      <w:pPr>
        <w:pStyle w:val="13"/>
        <w:ind w:firstLine="482"/>
      </w:pPr>
      <w:r w:rsidRPr="004E3EBB">
        <w:rPr>
          <w:rFonts w:hint="eastAsia"/>
          <w:b/>
          <w:bCs/>
        </w:rPr>
        <w:t xml:space="preserve">第五条 </w:t>
      </w:r>
      <w:r w:rsidR="00FA0363">
        <w:t>资产评估机构及其资产评估</w:t>
      </w:r>
      <w:proofErr w:type="gramStart"/>
      <w:r w:rsidR="00FA0363">
        <w:t>师执行</w:t>
      </w:r>
      <w:proofErr w:type="gramEnd"/>
      <w:r w:rsidR="00FA0363">
        <w:t>人民法院委托司法执行财产处置资产评估业务，应当根据评估目的，结合评估资产的特点，合理使用评估假设和限制条</w:t>
      </w:r>
      <w:r w:rsidR="00FA0363">
        <w:lastRenderedPageBreak/>
        <w:t>件。</w:t>
      </w:r>
    </w:p>
    <w:p w14:paraId="6A8E38D7" w14:textId="70090CA2" w:rsidR="00FA0363" w:rsidRDefault="004E3EBB" w:rsidP="00FA0363">
      <w:pPr>
        <w:pStyle w:val="13"/>
        <w:ind w:firstLine="482"/>
      </w:pPr>
      <w:r w:rsidRPr="004E3EBB">
        <w:rPr>
          <w:rFonts w:hint="eastAsia"/>
          <w:b/>
          <w:bCs/>
        </w:rPr>
        <w:t xml:space="preserve">第六条 </w:t>
      </w:r>
      <w:r w:rsidR="00FA0363">
        <w:t>资产评估机构及其资产评估</w:t>
      </w:r>
      <w:proofErr w:type="gramStart"/>
      <w:r w:rsidR="00FA0363">
        <w:t>师执行</w:t>
      </w:r>
      <w:proofErr w:type="gramEnd"/>
      <w:r w:rsidR="00FA0363">
        <w:t>人民法院委托司法执行财产处置资产评估业务，由于客观条件限制导致评估程序履行或者评估资料收集受限的，应当在资产评估报告中进行披露。</w:t>
      </w:r>
    </w:p>
    <w:p w14:paraId="6D278A9C" w14:textId="41CE7519" w:rsidR="00FA0363" w:rsidRDefault="004E3EBB" w:rsidP="00FA0363">
      <w:pPr>
        <w:pStyle w:val="13"/>
        <w:ind w:firstLine="482"/>
      </w:pPr>
      <w:r w:rsidRPr="004E3EBB">
        <w:rPr>
          <w:rFonts w:hint="eastAsia"/>
          <w:b/>
          <w:bCs/>
        </w:rPr>
        <w:t xml:space="preserve">第七条 </w:t>
      </w:r>
      <w:r w:rsidR="00FA0363">
        <w:t>入选人民法院司法执行财产处置司法评估机构名单库的资产评估机构，应当在开展人民法院委托司法执行财产处置资产评估业务前，向中国资产评估协会报备相关业务收费标准。</w:t>
      </w:r>
    </w:p>
    <w:p w14:paraId="20FD8234" w14:textId="7F062224" w:rsidR="00FA0363" w:rsidRDefault="004E3EBB" w:rsidP="00FA0363">
      <w:pPr>
        <w:pStyle w:val="13"/>
        <w:ind w:firstLine="482"/>
      </w:pPr>
      <w:r w:rsidRPr="004E3EBB">
        <w:rPr>
          <w:rFonts w:hint="eastAsia"/>
          <w:b/>
          <w:bCs/>
        </w:rPr>
        <w:t xml:space="preserve">第八条 </w:t>
      </w:r>
      <w:r w:rsidR="00FA0363">
        <w:t>本指导意见未作规定的事项，资产评估机构及其资产评估</w:t>
      </w:r>
      <w:proofErr w:type="gramStart"/>
      <w:r w:rsidR="00FA0363">
        <w:t>师应当</w:t>
      </w:r>
      <w:proofErr w:type="gramEnd"/>
      <w:r w:rsidR="00FA0363">
        <w:t>按照《最高人民法院关于人民法院确定财产处置参考价若干问题的规定》《人民法院委托评估工作规范》以及其他资产评估准则的有关规定执行。</w:t>
      </w:r>
    </w:p>
    <w:p w14:paraId="3878BE5D" w14:textId="35EDEBA2" w:rsidR="00FA0363" w:rsidRDefault="00FA0363" w:rsidP="00AF7342">
      <w:pPr>
        <w:pStyle w:val="a9"/>
        <w:spacing w:before="62" w:after="62"/>
      </w:pPr>
      <w:r>
        <w:rPr>
          <w:rFonts w:hint="eastAsia"/>
        </w:rPr>
        <w:t>第三章</w:t>
      </w:r>
      <w:r w:rsidR="00032B5A">
        <w:rPr>
          <w:rFonts w:hint="eastAsia"/>
        </w:rPr>
        <w:t xml:space="preserve"> </w:t>
      </w:r>
      <w:r>
        <w:t>评估委托</w:t>
      </w:r>
    </w:p>
    <w:p w14:paraId="0B2BB57A" w14:textId="16791C39" w:rsidR="00FA0363" w:rsidRDefault="00E05BDA" w:rsidP="00FA0363">
      <w:pPr>
        <w:pStyle w:val="13"/>
        <w:ind w:firstLine="482"/>
      </w:pPr>
      <w:r w:rsidRPr="00E05BDA">
        <w:rPr>
          <w:rFonts w:hint="eastAsia"/>
          <w:b/>
          <w:bCs/>
        </w:rPr>
        <w:t xml:space="preserve">第九条 </w:t>
      </w:r>
      <w:r w:rsidR="00FA0363">
        <w:t>资产评估机构应当及时通过专用系统接收人民法院的评估委托书，并根据</w:t>
      </w:r>
      <w:r w:rsidR="00FA0363">
        <w:rPr>
          <w:rFonts w:hint="eastAsia"/>
        </w:rPr>
        <w:t>评估委托书、财产清单，以及人民法院查明的财产的权属、权利负担、占有使用、欠缴税费、质量瑕疵等相关资料，与人民法院明确评估对象和评估范围、评估基准日、价值类型等评估基本事项。</w:t>
      </w:r>
    </w:p>
    <w:p w14:paraId="26DDCBEF" w14:textId="4DB5F9E4" w:rsidR="00FA0363" w:rsidRDefault="00E05BDA" w:rsidP="00FA0363">
      <w:pPr>
        <w:pStyle w:val="13"/>
        <w:ind w:firstLine="482"/>
      </w:pPr>
      <w:r w:rsidRPr="00E05BDA">
        <w:rPr>
          <w:rFonts w:hint="eastAsia"/>
          <w:b/>
          <w:bCs/>
        </w:rPr>
        <w:t xml:space="preserve">第十条 </w:t>
      </w:r>
      <w:r w:rsidR="00FA0363">
        <w:t>人民法院委托司法执行财产处置资产评估的价值类型一般为市场价值。</w:t>
      </w:r>
    </w:p>
    <w:p w14:paraId="25E555A9" w14:textId="418F9901" w:rsidR="00FA0363" w:rsidRDefault="00E05BDA" w:rsidP="00FA0363">
      <w:pPr>
        <w:pStyle w:val="13"/>
        <w:ind w:firstLine="482"/>
      </w:pPr>
      <w:r w:rsidRPr="00E05BDA">
        <w:rPr>
          <w:b/>
          <w:bCs/>
        </w:rPr>
        <w:t xml:space="preserve">第十一条 </w:t>
      </w:r>
      <w:r w:rsidR="00FA0363">
        <w:t>资产评估机构接收人民法院评估委托书后，认为有下列情形之一的，应</w:t>
      </w:r>
      <w:r w:rsidR="00FA0363">
        <w:rPr>
          <w:rFonts w:hint="eastAsia"/>
        </w:rPr>
        <w:t>当在三个工作日内向人民法院说明情况，提出不承接委托评估申请：</w:t>
      </w:r>
    </w:p>
    <w:p w14:paraId="6A13F2F5" w14:textId="77777777" w:rsidR="00FA0363" w:rsidRDefault="00FA0363" w:rsidP="00FA0363">
      <w:pPr>
        <w:pStyle w:val="13"/>
      </w:pPr>
      <w:r>
        <w:rPr>
          <w:rFonts w:hint="eastAsia"/>
        </w:rPr>
        <w:t>（一）资产评估机构及其资产评估师与当事人或者评估财产有利害关系；</w:t>
      </w:r>
    </w:p>
    <w:p w14:paraId="1A5C948C" w14:textId="77777777" w:rsidR="00FA0363" w:rsidRDefault="00FA0363" w:rsidP="00FA0363">
      <w:pPr>
        <w:pStyle w:val="13"/>
      </w:pPr>
      <w:r>
        <w:rPr>
          <w:rFonts w:hint="eastAsia"/>
        </w:rPr>
        <w:t>（二）资产评估机构已办理注销登记或者被市场监管部门吊销营业执照；</w:t>
      </w:r>
    </w:p>
    <w:p w14:paraId="6CBB75C8" w14:textId="77777777" w:rsidR="00FA0363" w:rsidRDefault="00FA0363" w:rsidP="00FA0363">
      <w:pPr>
        <w:pStyle w:val="13"/>
      </w:pPr>
      <w:r>
        <w:rPr>
          <w:rFonts w:hint="eastAsia"/>
        </w:rPr>
        <w:t>（三）依法不能进行评估的其他情形。</w:t>
      </w:r>
    </w:p>
    <w:p w14:paraId="6EA258F6" w14:textId="77777777" w:rsidR="00FA0363" w:rsidRDefault="00FA0363" w:rsidP="00FA0363">
      <w:pPr>
        <w:pStyle w:val="13"/>
      </w:pPr>
      <w:r>
        <w:rPr>
          <w:rFonts w:hint="eastAsia"/>
        </w:rPr>
        <w:t>根据《人民法院委托评估工作规范》第十六条的规定，人民法院认为资产评估机构申请不承接委托评估的理由不成立的，应当在三日内通知评估机构；资产评估机构未在规定期限内向人民法院提出不承接委托评估申请的，视为接受委托。</w:t>
      </w:r>
    </w:p>
    <w:p w14:paraId="653BD75E" w14:textId="0CD953A5" w:rsidR="00FA0363" w:rsidRDefault="00E05BDA" w:rsidP="00FA0363">
      <w:pPr>
        <w:pStyle w:val="13"/>
        <w:ind w:firstLine="482"/>
      </w:pPr>
      <w:r w:rsidRPr="00E05BDA">
        <w:rPr>
          <w:rFonts w:hint="eastAsia"/>
          <w:b/>
          <w:bCs/>
        </w:rPr>
        <w:t xml:space="preserve">第十二条 </w:t>
      </w:r>
      <w:r w:rsidR="00FA0363">
        <w:t>资产评估机构及其资产评估师发现评估基本事项与评估委托书载明的事项存在差异，或者评估委托书遗漏需要明确的评估基本事项的，应当与人民法院进行沟通，并在三日内以书面形式对差异事项或者遗漏事项予以反馈,由人民法院予以处理。</w:t>
      </w:r>
    </w:p>
    <w:p w14:paraId="43C210AF" w14:textId="03757D99" w:rsidR="00FA0363" w:rsidRDefault="00FA0363" w:rsidP="00AF7342">
      <w:pPr>
        <w:pStyle w:val="a9"/>
        <w:spacing w:before="62" w:after="62"/>
      </w:pPr>
      <w:r>
        <w:rPr>
          <w:rFonts w:hint="eastAsia"/>
        </w:rPr>
        <w:t>第四章</w:t>
      </w:r>
      <w:r w:rsidR="00032B5A">
        <w:rPr>
          <w:rFonts w:hint="eastAsia"/>
        </w:rPr>
        <w:t xml:space="preserve"> </w:t>
      </w:r>
      <w:r>
        <w:t>评估操作要求</w:t>
      </w:r>
    </w:p>
    <w:p w14:paraId="0706D3C2" w14:textId="50E86568" w:rsidR="00FA0363" w:rsidRDefault="00E05BDA" w:rsidP="00FA0363">
      <w:pPr>
        <w:pStyle w:val="13"/>
        <w:ind w:firstLine="482"/>
      </w:pPr>
      <w:r w:rsidRPr="00E05BDA">
        <w:rPr>
          <w:rFonts w:hint="eastAsia"/>
          <w:b/>
          <w:bCs/>
        </w:rPr>
        <w:t xml:space="preserve">第十三条 </w:t>
      </w:r>
      <w:r w:rsidR="00FA0363">
        <w:t>资产评估机构承接人民法院委托司法执行财产处置资产评估业务后，应当及时确定资产评估师，并通过专用系统将资产评估师的信息发送给人民法院。</w:t>
      </w:r>
    </w:p>
    <w:p w14:paraId="2BF66636" w14:textId="74E45E24" w:rsidR="00FA0363" w:rsidRDefault="00E05BDA" w:rsidP="00FA0363">
      <w:pPr>
        <w:pStyle w:val="13"/>
        <w:ind w:firstLine="482"/>
      </w:pPr>
      <w:r w:rsidRPr="00E05BDA">
        <w:rPr>
          <w:rFonts w:hint="eastAsia"/>
          <w:b/>
          <w:bCs/>
        </w:rPr>
        <w:t xml:space="preserve">第十四条 </w:t>
      </w:r>
      <w:r w:rsidR="00FA0363">
        <w:t>资产评估机构执行人民法院委托司法执行财产处置资产评估业务，应当及时接收人民法院提供的资产评估相关材料，包括扫描上传至专用系统的电子材</w:t>
      </w:r>
      <w:r w:rsidR="00FA0363">
        <w:lastRenderedPageBreak/>
        <w:t>料以及图纸、账册等无法扫描的其他材料。</w:t>
      </w:r>
    </w:p>
    <w:p w14:paraId="26BBE9F4" w14:textId="3B5706F6" w:rsidR="00FA0363" w:rsidRDefault="00E05BDA" w:rsidP="00FA0363">
      <w:pPr>
        <w:pStyle w:val="13"/>
        <w:ind w:firstLine="482"/>
      </w:pPr>
      <w:r w:rsidRPr="00E05BDA">
        <w:rPr>
          <w:rFonts w:hint="eastAsia"/>
          <w:b/>
          <w:bCs/>
        </w:rPr>
        <w:t xml:space="preserve">第十五条 </w:t>
      </w:r>
      <w:r w:rsidR="00FA0363">
        <w:t>资产评估机构执行人民法院委托司法执行财产处置资产评估业务，应当及时与人民法院协商现场调查事宜。</w:t>
      </w:r>
    </w:p>
    <w:p w14:paraId="120B024C" w14:textId="77777777" w:rsidR="00FA0363" w:rsidRDefault="00FA0363" w:rsidP="00FA0363">
      <w:pPr>
        <w:pStyle w:val="13"/>
      </w:pPr>
      <w:r>
        <w:rPr>
          <w:rFonts w:hint="eastAsia"/>
        </w:rPr>
        <w:t>根据《最高人民法院关于人民法院确定财产处置参考价若干问题的规定》第十八条的规定，现场调查由人民法院通知当事人到场；当事人不到场的，不影响现场调查的</w:t>
      </w:r>
      <w:r>
        <w:t>进行，但资产评估机构应当与人民法院沟通见证人见证事宜。现场调查需要当事人、协助义务人配合的，由人民法院责令其配合；不予配合的，由人民法院依法强制执行。</w:t>
      </w:r>
    </w:p>
    <w:p w14:paraId="4B63CA1E" w14:textId="4CEFDCEA" w:rsidR="00FA0363" w:rsidRDefault="00E05BDA" w:rsidP="00FA0363">
      <w:pPr>
        <w:pStyle w:val="13"/>
        <w:ind w:firstLine="482"/>
      </w:pPr>
      <w:r w:rsidRPr="00E05BDA">
        <w:rPr>
          <w:rFonts w:hint="eastAsia"/>
          <w:b/>
          <w:bCs/>
        </w:rPr>
        <w:t xml:space="preserve">第十六条 </w:t>
      </w:r>
      <w:r w:rsidR="00FA0363">
        <w:t>资产评估机构及其资产评估</w:t>
      </w:r>
      <w:proofErr w:type="gramStart"/>
      <w:r w:rsidR="00FA0363">
        <w:t>师执行</w:t>
      </w:r>
      <w:proofErr w:type="gramEnd"/>
      <w:r w:rsidR="00FA0363">
        <w:t>人民法院委托司法执行财产处置资产</w:t>
      </w:r>
      <w:r w:rsidR="00FA0363">
        <w:rPr>
          <w:rFonts w:hint="eastAsia"/>
        </w:rPr>
        <w:t>评估业务，应当保留现场调查的文字、照片等资料</w:t>
      </w:r>
      <w:r w:rsidR="00FA0363">
        <w:t>,以书面形式记录现场调查的时间、地点、过程、结果等，并要求当事人或者见证人予以确认，当事人或者见证人拒绝确认的，资产评估机构应当告知人民法院，并在评估报告中对此事项予以披露。</w:t>
      </w:r>
    </w:p>
    <w:p w14:paraId="4E4DB6B1" w14:textId="52134E3A" w:rsidR="00FA0363" w:rsidRDefault="00E05BDA" w:rsidP="00FA0363">
      <w:pPr>
        <w:pStyle w:val="13"/>
        <w:ind w:firstLine="482"/>
      </w:pPr>
      <w:r w:rsidRPr="00E05BDA">
        <w:rPr>
          <w:rFonts w:hint="eastAsia"/>
          <w:b/>
          <w:bCs/>
        </w:rPr>
        <w:t xml:space="preserve">第十七条 </w:t>
      </w:r>
      <w:r w:rsidR="00FA0363">
        <w:t>资产评估机构及其资产评估</w:t>
      </w:r>
      <w:proofErr w:type="gramStart"/>
      <w:r w:rsidR="00FA0363">
        <w:t>师执行</w:t>
      </w:r>
      <w:proofErr w:type="gramEnd"/>
      <w:r w:rsidR="00FA0363">
        <w:t>人民法院委托司法执行财产处置资产评估业务，不应当考虑评估对象被查封以及原有的担保物权和其他优先受偿</w:t>
      </w:r>
      <w:proofErr w:type="gramStart"/>
      <w:r w:rsidR="00FA0363">
        <w:t>权情况</w:t>
      </w:r>
      <w:proofErr w:type="gramEnd"/>
      <w:r w:rsidR="00FA0363">
        <w:t>对评估结论的影响，应当视为没有查封、未设立担保物权和其他优先受偿权的财产进行评估，并在资产评估报告的评估假设中予以说明。</w:t>
      </w:r>
    </w:p>
    <w:p w14:paraId="16667D52" w14:textId="152FF009" w:rsidR="00FA0363" w:rsidRDefault="00E05BDA" w:rsidP="00FA0363">
      <w:pPr>
        <w:pStyle w:val="13"/>
        <w:ind w:firstLine="482"/>
      </w:pPr>
      <w:r w:rsidRPr="00E05BDA">
        <w:rPr>
          <w:rFonts w:hint="eastAsia"/>
          <w:b/>
          <w:bCs/>
        </w:rPr>
        <w:t xml:space="preserve">第十八条 </w:t>
      </w:r>
      <w:r w:rsidR="00FA0363">
        <w:t>执行人民法院委托司法执行财产处置资产评估业务，资产评估师在评定估算形成评估结论的过程中一般不考虑评估费、拍卖费、诉讼费、律师费以及交易税费等财产处置费用对评估结论的影响。</w:t>
      </w:r>
    </w:p>
    <w:p w14:paraId="74E25E2B" w14:textId="3E69A9EF" w:rsidR="00FA0363" w:rsidRDefault="00E05BDA" w:rsidP="00FA0363">
      <w:pPr>
        <w:pStyle w:val="13"/>
        <w:ind w:firstLine="482"/>
      </w:pPr>
      <w:r w:rsidRPr="00E05BDA">
        <w:rPr>
          <w:rFonts w:hint="eastAsia"/>
          <w:b/>
          <w:bCs/>
        </w:rPr>
        <w:t xml:space="preserve">第十九条 </w:t>
      </w:r>
      <w:r w:rsidR="00FA0363">
        <w:t>执行人民法院委托司法执行财产处置资产评估业务，资产评估机构认为评估程序受限、评估资料不完整等客观条件限制导致无法进行评估或者影响评估结论的，应当及时告知人民法院，由人民法院按照《人民法院委托评估工作规范》第十九条的规定处理。如果人民法院通知资产评估机构根据现有材料进行评估，评估报告中应当对相关事项予以披露。</w:t>
      </w:r>
    </w:p>
    <w:p w14:paraId="2B439E58" w14:textId="77798D5B" w:rsidR="00FA0363" w:rsidRDefault="00E05BDA" w:rsidP="00FA0363">
      <w:pPr>
        <w:pStyle w:val="13"/>
        <w:ind w:firstLine="482"/>
      </w:pPr>
      <w:r w:rsidRPr="00E05BDA">
        <w:rPr>
          <w:rFonts w:hint="eastAsia"/>
          <w:b/>
          <w:bCs/>
        </w:rPr>
        <w:t xml:space="preserve">第二十条 </w:t>
      </w:r>
      <w:r w:rsidR="00FA0363">
        <w:t>资产评估机构及其资产评估</w:t>
      </w:r>
      <w:proofErr w:type="gramStart"/>
      <w:r w:rsidR="00FA0363">
        <w:t>师执行</w:t>
      </w:r>
      <w:proofErr w:type="gramEnd"/>
      <w:r w:rsidR="00FA0363">
        <w:t>人民法院委托司法执行财产处置资产评估业务，应当根据评估财产的特点、可获得的评估资料等因素，选择一种适当的评估方法，或者条件允许时选择多种评估方法，并在资产评估报告中披露评估方法选择的理由。</w:t>
      </w:r>
    </w:p>
    <w:p w14:paraId="5C1E6039" w14:textId="6F51CD48" w:rsidR="00FA0363" w:rsidRDefault="00E05BDA" w:rsidP="00FA0363">
      <w:pPr>
        <w:pStyle w:val="13"/>
        <w:ind w:firstLine="482"/>
      </w:pPr>
      <w:r w:rsidRPr="00E05BDA">
        <w:rPr>
          <w:rFonts w:hint="eastAsia"/>
          <w:b/>
          <w:bCs/>
        </w:rPr>
        <w:t xml:space="preserve">第二十一条 </w:t>
      </w:r>
      <w:r w:rsidR="00FA0363">
        <w:t>资产评估机构执行人民法院委托司法执行财产处置资产评估业务，应当在规定的期限内出具资产评估报告，并与预估评估费交纳通知书一并通过专用系统发送给人民法院。</w:t>
      </w:r>
    </w:p>
    <w:p w14:paraId="145E44C6" w14:textId="77777777" w:rsidR="00FA0363" w:rsidRDefault="00FA0363" w:rsidP="00FA0363">
      <w:pPr>
        <w:pStyle w:val="13"/>
      </w:pPr>
      <w:r>
        <w:rPr>
          <w:rFonts w:hint="eastAsia"/>
        </w:rPr>
        <w:t>资产评估机构出具资产评估报告的期限为收到评估委托书和相关材料后的三十日内。从专用系统收取材料的，以专用系统提示成功发送的时间为起始日；线下收取材料的，以资产评估机构签收的时间为起始日。分批收取材料的，以专用系统最后一</w:t>
      </w:r>
      <w:r>
        <w:rPr>
          <w:rFonts w:hint="eastAsia"/>
        </w:rPr>
        <w:lastRenderedPageBreak/>
        <w:t>次提示成功发送或者资产评估机构最后一次签收的时间为起始日。</w:t>
      </w:r>
    </w:p>
    <w:p w14:paraId="7F812024" w14:textId="77777777" w:rsidR="00FA0363" w:rsidRDefault="00FA0363" w:rsidP="00FA0363">
      <w:pPr>
        <w:pStyle w:val="13"/>
      </w:pPr>
      <w:r>
        <w:rPr>
          <w:rFonts w:hint="eastAsia"/>
        </w:rPr>
        <w:t>人民法院决定暂缓或者裁定中止执行的期间，应当从前述期限中扣除。</w:t>
      </w:r>
    </w:p>
    <w:p w14:paraId="17BAF878" w14:textId="77777777" w:rsidR="00FA0363" w:rsidRDefault="00FA0363" w:rsidP="00FA0363">
      <w:pPr>
        <w:pStyle w:val="13"/>
      </w:pPr>
      <w:r>
        <w:rPr>
          <w:rFonts w:hint="eastAsia"/>
        </w:rPr>
        <w:t>预估评估费应当根据资产评估报告的评估结论以及评估机构向中国资产评估协会报备的收费标准计算。</w:t>
      </w:r>
    </w:p>
    <w:p w14:paraId="7ADAE2F1" w14:textId="78D6DE64" w:rsidR="00FA0363" w:rsidRDefault="00E05BDA" w:rsidP="00FA0363">
      <w:pPr>
        <w:pStyle w:val="13"/>
        <w:ind w:firstLine="482"/>
      </w:pPr>
      <w:r w:rsidRPr="00E05BDA">
        <w:rPr>
          <w:rFonts w:hint="eastAsia"/>
          <w:b/>
          <w:bCs/>
        </w:rPr>
        <w:t xml:space="preserve">第二十二条 </w:t>
      </w:r>
      <w:r w:rsidR="00FA0363">
        <w:t>资产评估机构认为不能在规定期限内出具资产评估报告的，应当在期限届满五日前通过专用系统发送书面的延期申请。申请中应该说明不能按期完成评估的原因，以及申请延长的期限，最长不得超过十五日。</w:t>
      </w:r>
    </w:p>
    <w:p w14:paraId="3A411F1A" w14:textId="77777777" w:rsidR="00FA0363" w:rsidRDefault="00FA0363" w:rsidP="00FA0363">
      <w:pPr>
        <w:pStyle w:val="13"/>
      </w:pPr>
      <w:r>
        <w:rPr>
          <w:rFonts w:hint="eastAsia"/>
        </w:rPr>
        <w:t>在人民法院确定的延长期限内，资产评估机构仍不能出具资产评估报告的，应当再次提出延期申请，最长不得超过十五日。</w:t>
      </w:r>
    </w:p>
    <w:p w14:paraId="6F53037B" w14:textId="77777777" w:rsidR="00FA0363" w:rsidRDefault="00FA0363" w:rsidP="00FA0363">
      <w:pPr>
        <w:pStyle w:val="13"/>
      </w:pPr>
      <w:r>
        <w:rPr>
          <w:rFonts w:hint="eastAsia"/>
        </w:rPr>
        <w:t>对于司法执行财产情况复杂、区域分布广泛、评估工作量较大的项目，资产评估机构可以与人民法院另行协商确定资产评估报告出具期限。</w:t>
      </w:r>
    </w:p>
    <w:p w14:paraId="5EB97A1F" w14:textId="21B89365" w:rsidR="00FA0363" w:rsidRDefault="00E05BDA" w:rsidP="00FA0363">
      <w:pPr>
        <w:pStyle w:val="13"/>
        <w:ind w:firstLine="482"/>
      </w:pPr>
      <w:r w:rsidRPr="00E05BDA">
        <w:rPr>
          <w:rFonts w:hint="eastAsia"/>
          <w:b/>
          <w:bCs/>
        </w:rPr>
        <w:t xml:space="preserve">第二十三条 </w:t>
      </w:r>
      <w:r w:rsidR="00FA0363">
        <w:t>资产评估机构未能根据第二十二条的规定如期出具资产评估报告的，应当根据人民法院的要求退回委托评估的材料。人民法院另行委托下一顺序的评估机构进行评估。</w:t>
      </w:r>
    </w:p>
    <w:p w14:paraId="0C8EDB98" w14:textId="3DCE2F78" w:rsidR="00FA0363" w:rsidRDefault="00E05BDA" w:rsidP="00FA0363">
      <w:pPr>
        <w:pStyle w:val="13"/>
        <w:ind w:firstLine="482"/>
      </w:pPr>
      <w:r w:rsidRPr="00E05BDA">
        <w:rPr>
          <w:rFonts w:hint="eastAsia"/>
          <w:b/>
          <w:bCs/>
        </w:rPr>
        <w:t xml:space="preserve">第二十四条 </w:t>
      </w:r>
      <w:r w:rsidR="00FA0363">
        <w:t>执行人民法院委托司法执行财产处置资产评估业务，资产评估机构及其资产评估</w:t>
      </w:r>
      <w:proofErr w:type="gramStart"/>
      <w:r w:rsidR="00FA0363">
        <w:t>师应当</w:t>
      </w:r>
      <w:proofErr w:type="gramEnd"/>
      <w:r w:rsidR="00FA0363">
        <w:t>根据评估财产的类型、评估程序履行的情况，以及所选用的评估方法等因素，将从人民法院接收的材料、现场调查的资料以及资产评估报告等整理形成评估工作底稿。</w:t>
      </w:r>
    </w:p>
    <w:p w14:paraId="5F8B1203" w14:textId="4D5FFE98" w:rsidR="00FA0363" w:rsidRDefault="00FA0363" w:rsidP="00AF7342">
      <w:pPr>
        <w:pStyle w:val="a9"/>
        <w:spacing w:before="62" w:after="62"/>
      </w:pPr>
      <w:r>
        <w:rPr>
          <w:rFonts w:hint="eastAsia"/>
        </w:rPr>
        <w:t>第五章</w:t>
      </w:r>
      <w:r w:rsidR="00032B5A">
        <w:rPr>
          <w:rFonts w:hint="eastAsia"/>
        </w:rPr>
        <w:t xml:space="preserve"> </w:t>
      </w:r>
      <w:r>
        <w:t>披露要求</w:t>
      </w:r>
    </w:p>
    <w:p w14:paraId="753ED4FA" w14:textId="36868B3A" w:rsidR="00FA0363" w:rsidRDefault="00E05BDA" w:rsidP="00FA0363">
      <w:pPr>
        <w:pStyle w:val="13"/>
        <w:ind w:firstLine="482"/>
      </w:pPr>
      <w:r w:rsidRPr="00E05BDA">
        <w:rPr>
          <w:rFonts w:hint="eastAsia"/>
          <w:b/>
          <w:bCs/>
        </w:rPr>
        <w:t xml:space="preserve">第二十五条 </w:t>
      </w:r>
      <w:r w:rsidR="00FA0363">
        <w:t>资产评估报告应当载明评估目的是为人民法院确定财产处置参考</w:t>
      </w:r>
      <w:proofErr w:type="gramStart"/>
      <w:r w:rsidR="00FA0363">
        <w:t>价提供</w:t>
      </w:r>
      <w:proofErr w:type="gramEnd"/>
      <w:r w:rsidR="00FA0363">
        <w:t>服务。</w:t>
      </w:r>
    </w:p>
    <w:p w14:paraId="067D7D80" w14:textId="00F14C95" w:rsidR="00FA0363" w:rsidRDefault="00E05BDA" w:rsidP="00FA0363">
      <w:pPr>
        <w:pStyle w:val="13"/>
        <w:ind w:firstLine="482"/>
      </w:pPr>
      <w:r w:rsidRPr="00E05BDA">
        <w:rPr>
          <w:rFonts w:hint="eastAsia"/>
          <w:b/>
          <w:bCs/>
        </w:rPr>
        <w:t xml:space="preserve">第二十六条 </w:t>
      </w:r>
      <w:r w:rsidR="00FA0363">
        <w:t>资产评估报告声明中应当说明“本资产评估报告是根据人民法院及相关当事人提供的资料和信息出具，资料和信息的真实性、完整性、合法性对评估结论构成影响，依据同一标的资产的其他资料或者信息可能得出与本报告不一致的评估结论”。</w:t>
      </w:r>
    </w:p>
    <w:p w14:paraId="17444296" w14:textId="458B4816" w:rsidR="00FA0363" w:rsidRDefault="00E05BDA" w:rsidP="00FA0363">
      <w:pPr>
        <w:pStyle w:val="13"/>
        <w:ind w:firstLine="482"/>
      </w:pPr>
      <w:r w:rsidRPr="00E05BDA">
        <w:rPr>
          <w:rFonts w:hint="eastAsia"/>
          <w:b/>
          <w:bCs/>
        </w:rPr>
        <w:t xml:space="preserve">第二十七条 </w:t>
      </w:r>
      <w:r w:rsidR="00FA0363">
        <w:t>资产评估报告应当披露以下重要事项并提醒委托人及其他资产评估报告使用人予以关注，包括：</w:t>
      </w:r>
    </w:p>
    <w:p w14:paraId="30BB38FA" w14:textId="77777777" w:rsidR="00FA0363" w:rsidRDefault="00FA0363" w:rsidP="00FA0363">
      <w:pPr>
        <w:pStyle w:val="13"/>
      </w:pPr>
      <w:r>
        <w:rPr>
          <w:rFonts w:hint="eastAsia"/>
        </w:rPr>
        <w:t>（一）评估基本事项与评估委托书载明事项存在差异的情形以及相关处理方法；</w:t>
      </w:r>
    </w:p>
    <w:p w14:paraId="1985A969" w14:textId="77777777" w:rsidR="00FA0363" w:rsidRDefault="00FA0363" w:rsidP="00FA0363">
      <w:pPr>
        <w:pStyle w:val="13"/>
      </w:pPr>
      <w:r>
        <w:rPr>
          <w:rFonts w:hint="eastAsia"/>
        </w:rPr>
        <w:t>（二）是否进行现场调查，以及现场调查过程中相关当事人的配合情况；</w:t>
      </w:r>
    </w:p>
    <w:p w14:paraId="37C0EBC6" w14:textId="77777777" w:rsidR="00FA0363" w:rsidRDefault="00FA0363" w:rsidP="00FA0363">
      <w:pPr>
        <w:pStyle w:val="13"/>
      </w:pPr>
      <w:r>
        <w:rPr>
          <w:rFonts w:hint="eastAsia"/>
        </w:rPr>
        <w:t>（三）人民法院提供材料的欠缺情况，以及评估资料缺失对资产评估机构及其资产评估</w:t>
      </w:r>
      <w:proofErr w:type="gramStart"/>
      <w:r>
        <w:rPr>
          <w:rFonts w:hint="eastAsia"/>
        </w:rPr>
        <w:t>师形成</w:t>
      </w:r>
      <w:proofErr w:type="gramEnd"/>
      <w:r>
        <w:rPr>
          <w:rFonts w:hint="eastAsia"/>
        </w:rPr>
        <w:t>评估结论的影响；</w:t>
      </w:r>
    </w:p>
    <w:p w14:paraId="7F21E178" w14:textId="77777777" w:rsidR="00FA0363" w:rsidRDefault="00FA0363" w:rsidP="00FA0363">
      <w:pPr>
        <w:pStyle w:val="13"/>
      </w:pPr>
      <w:r>
        <w:rPr>
          <w:rFonts w:hint="eastAsia"/>
        </w:rPr>
        <w:t>（四）评估财产涉及的当事人欠缴与评估财产相关的税费等事项，以及评估结论是否予以考虑；未掌握相关情况的，应当予以说明；</w:t>
      </w:r>
    </w:p>
    <w:p w14:paraId="51D3B0EE" w14:textId="77777777" w:rsidR="00FA0363" w:rsidRDefault="00FA0363" w:rsidP="00FA0363">
      <w:pPr>
        <w:pStyle w:val="13"/>
      </w:pPr>
      <w:r>
        <w:rPr>
          <w:rFonts w:hint="eastAsia"/>
        </w:rPr>
        <w:t>（五）可能影响评估结论形成、资产评估报告使用，以及其他需要披露的重要事</w:t>
      </w:r>
      <w:r>
        <w:rPr>
          <w:rFonts w:hint="eastAsia"/>
        </w:rPr>
        <w:lastRenderedPageBreak/>
        <w:t>项。</w:t>
      </w:r>
    </w:p>
    <w:p w14:paraId="41376983" w14:textId="2FE4A389" w:rsidR="00FA0363" w:rsidRDefault="00E05BDA" w:rsidP="00FA0363">
      <w:pPr>
        <w:pStyle w:val="13"/>
        <w:ind w:firstLine="482"/>
      </w:pPr>
      <w:r w:rsidRPr="00E05BDA">
        <w:rPr>
          <w:rFonts w:hint="eastAsia"/>
          <w:b/>
          <w:bCs/>
        </w:rPr>
        <w:t xml:space="preserve">第二十八条 </w:t>
      </w:r>
      <w:r w:rsidR="00FA0363">
        <w:t>资产评估报告应当提醒资产评估报告使用人正确理解和使用评估结论，</w:t>
      </w:r>
      <w:r w:rsidR="00FA0363">
        <w:rPr>
          <w:rFonts w:hint="eastAsia"/>
        </w:rPr>
        <w:t>评估结论不等同于评估对象可实现价格，评估结论不应当被认为是对评估对象可实现价格的保证。</w:t>
      </w:r>
    </w:p>
    <w:p w14:paraId="05D79245" w14:textId="0CFEE801" w:rsidR="00FA0363" w:rsidRDefault="00E05BDA" w:rsidP="00FA0363">
      <w:pPr>
        <w:pStyle w:val="13"/>
        <w:ind w:firstLine="482"/>
      </w:pPr>
      <w:r w:rsidRPr="00E05BDA">
        <w:rPr>
          <w:rFonts w:hint="eastAsia"/>
          <w:b/>
          <w:bCs/>
        </w:rPr>
        <w:t xml:space="preserve">第二十九条 </w:t>
      </w:r>
      <w:r w:rsidR="00FA0363">
        <w:t>资产评估机构及其资产评估</w:t>
      </w:r>
      <w:proofErr w:type="gramStart"/>
      <w:r w:rsidR="00FA0363">
        <w:t>师执行</w:t>
      </w:r>
      <w:proofErr w:type="gramEnd"/>
      <w:r w:rsidR="00FA0363">
        <w:t>人民法院委托司法执行财产处置资产评估业务，应当将以下材料作为资产评估报告的附件：</w:t>
      </w:r>
    </w:p>
    <w:p w14:paraId="3A132613" w14:textId="77777777" w:rsidR="00FA0363" w:rsidRDefault="00FA0363" w:rsidP="00FA0363">
      <w:pPr>
        <w:pStyle w:val="13"/>
      </w:pPr>
      <w:r>
        <w:rPr>
          <w:rFonts w:hint="eastAsia"/>
        </w:rPr>
        <w:t>（一）评估委托书和评估财产清单；</w:t>
      </w:r>
    </w:p>
    <w:p w14:paraId="0BA88BE9" w14:textId="77777777" w:rsidR="00FA0363" w:rsidRDefault="00FA0363" w:rsidP="00FA0363">
      <w:pPr>
        <w:pStyle w:val="13"/>
      </w:pPr>
      <w:r>
        <w:rPr>
          <w:rFonts w:hint="eastAsia"/>
        </w:rPr>
        <w:t>（二）评估对象所涉及的主要权属证明资料；</w:t>
      </w:r>
    </w:p>
    <w:p w14:paraId="5C0C176D" w14:textId="77777777" w:rsidR="00FA0363" w:rsidRDefault="00FA0363" w:rsidP="00FA0363">
      <w:pPr>
        <w:pStyle w:val="13"/>
      </w:pPr>
      <w:r>
        <w:rPr>
          <w:rFonts w:hint="eastAsia"/>
        </w:rPr>
        <w:t>（三）资产评估机构和签名资产评估师的备案文件或者资格证明文件。</w:t>
      </w:r>
    </w:p>
    <w:p w14:paraId="56EB89C3" w14:textId="77777777" w:rsidR="00FA0363" w:rsidRDefault="00FA0363" w:rsidP="00FA0363">
      <w:pPr>
        <w:pStyle w:val="13"/>
      </w:pPr>
      <w:r>
        <w:rPr>
          <w:rFonts w:hint="eastAsia"/>
        </w:rPr>
        <w:t>根据《资产评估执业准则—资产评估报告》对资产评估报告附件的要求，资产评估师已经收集到的其他材料也应当作为资产评估报告的附件。</w:t>
      </w:r>
    </w:p>
    <w:p w14:paraId="2510DD86" w14:textId="0643547C" w:rsidR="00FA0363" w:rsidRDefault="00E05BDA" w:rsidP="00FA0363">
      <w:pPr>
        <w:pStyle w:val="13"/>
        <w:ind w:firstLine="482"/>
      </w:pPr>
      <w:r w:rsidRPr="00E05BDA">
        <w:rPr>
          <w:rFonts w:hint="eastAsia"/>
          <w:b/>
          <w:bCs/>
        </w:rPr>
        <w:t xml:space="preserve">第三十条 </w:t>
      </w:r>
      <w:r w:rsidR="00FA0363">
        <w:t>资产评估机构及其资产评估师可以根据具体评估项目的复杂程度和实施情况，合理确定资产评估报告的格式和详略程度。</w:t>
      </w:r>
    </w:p>
    <w:p w14:paraId="130F35CC" w14:textId="76B6E6E8" w:rsidR="00FA0363" w:rsidRDefault="00FA0363" w:rsidP="00AF7342">
      <w:pPr>
        <w:pStyle w:val="a9"/>
        <w:spacing w:before="62" w:after="62"/>
      </w:pPr>
      <w:r>
        <w:rPr>
          <w:rFonts w:hint="eastAsia"/>
        </w:rPr>
        <w:t>第六章</w:t>
      </w:r>
      <w:r w:rsidR="00032B5A">
        <w:rPr>
          <w:rFonts w:hint="eastAsia"/>
        </w:rPr>
        <w:t xml:space="preserve"> </w:t>
      </w:r>
      <w:r>
        <w:t>附则</w:t>
      </w:r>
    </w:p>
    <w:p w14:paraId="498F9DF6" w14:textId="179098AD" w:rsidR="00FA0363" w:rsidRDefault="003B2FB1" w:rsidP="00FA0363">
      <w:pPr>
        <w:pStyle w:val="13"/>
        <w:ind w:firstLineChars="0"/>
      </w:pPr>
      <w:r w:rsidRPr="003B2FB1">
        <w:rPr>
          <w:rFonts w:hint="eastAsia"/>
          <w:b/>
          <w:bCs/>
        </w:rPr>
        <w:t xml:space="preserve">第三十一条 </w:t>
      </w:r>
      <w:r w:rsidR="00FA0363">
        <w:rPr>
          <w:rFonts w:hint="eastAsia"/>
        </w:rPr>
        <w:t>本指导意见自</w:t>
      </w:r>
      <w:r w:rsidR="00FA0363">
        <w:t>2019年7月1日起施行。</w:t>
      </w:r>
    </w:p>
    <w:p w14:paraId="25ABD1D1" w14:textId="592BB1AB" w:rsidR="00FA0363" w:rsidRDefault="00FA0363" w:rsidP="00032B5A">
      <w:pPr>
        <w:pStyle w:val="ab"/>
        <w:spacing w:before="62" w:after="62"/>
        <w:ind w:firstLine="482"/>
      </w:pPr>
      <w:r>
        <w:t>附：资产评估报告封面参考样式</w:t>
      </w:r>
    </w:p>
    <w:p w14:paraId="7C4BD1F9" w14:textId="77777777" w:rsidR="00032B5A" w:rsidRDefault="00032B5A" w:rsidP="00032B5A">
      <w:pPr>
        <w:pStyle w:val="13"/>
      </w:pPr>
    </w:p>
    <w:p w14:paraId="185CD971" w14:textId="77777777" w:rsidR="00032B5A" w:rsidRDefault="00032B5A" w:rsidP="00032B5A">
      <w:pPr>
        <w:pStyle w:val="13"/>
      </w:pPr>
      <w:r>
        <w:rPr>
          <w:rFonts w:hint="eastAsia"/>
        </w:rPr>
        <w:t>本报告依据中国资产评估准则编制</w:t>
      </w:r>
    </w:p>
    <w:p w14:paraId="3D0E83F7" w14:textId="2BEB74C3" w:rsidR="00032B5A" w:rsidRDefault="00032B5A" w:rsidP="00032B5A">
      <w:pPr>
        <w:pStyle w:val="13"/>
      </w:pPr>
      <w:r>
        <w:rPr>
          <w:rFonts w:hint="eastAsia"/>
        </w:rPr>
        <w:t>人民法院委托司法执行财产处置参考价目的资产评估报告</w:t>
      </w:r>
    </w:p>
    <w:p w14:paraId="02EB2B72" w14:textId="12EE5649" w:rsidR="00032B5A" w:rsidRDefault="00032B5A" w:rsidP="00032B5A">
      <w:pPr>
        <w:pStyle w:val="13"/>
      </w:pPr>
    </w:p>
    <w:p w14:paraId="5C70E5E4" w14:textId="77777777" w:rsidR="00032B5A" w:rsidRDefault="00032B5A" w:rsidP="00032B5A">
      <w:pPr>
        <w:pStyle w:val="13"/>
      </w:pPr>
    </w:p>
    <w:p w14:paraId="70E9723E" w14:textId="77777777" w:rsidR="00032B5A" w:rsidRDefault="00032B5A" w:rsidP="00032B5A">
      <w:pPr>
        <w:pStyle w:val="13"/>
        <w:jc w:val="center"/>
      </w:pPr>
      <w:r>
        <w:t>A 人民法院拟 xx 涉及的 xx</w:t>
      </w:r>
    </w:p>
    <w:p w14:paraId="46D0BAB8" w14:textId="77777777" w:rsidR="00032B5A" w:rsidRDefault="00032B5A" w:rsidP="00032B5A">
      <w:pPr>
        <w:pStyle w:val="13"/>
        <w:jc w:val="center"/>
      </w:pPr>
      <w:r>
        <w:rPr>
          <w:rFonts w:hint="eastAsia"/>
        </w:rPr>
        <w:t>资产评估报告</w:t>
      </w:r>
    </w:p>
    <w:p w14:paraId="50980AF8" w14:textId="77777777" w:rsidR="00032B5A" w:rsidRDefault="00032B5A" w:rsidP="00032B5A">
      <w:pPr>
        <w:pStyle w:val="13"/>
        <w:jc w:val="center"/>
      </w:pPr>
      <w:r>
        <w:t xml:space="preserve">xx 评报字（20xx）第 </w:t>
      </w:r>
      <w:proofErr w:type="spellStart"/>
      <w:r>
        <w:t>xxxx</w:t>
      </w:r>
      <w:proofErr w:type="spellEnd"/>
      <w:r>
        <w:t xml:space="preserve"> 号</w:t>
      </w:r>
    </w:p>
    <w:p w14:paraId="73E9BC09" w14:textId="72305595" w:rsidR="00032B5A" w:rsidRDefault="00032B5A" w:rsidP="00032B5A">
      <w:pPr>
        <w:pStyle w:val="13"/>
        <w:jc w:val="center"/>
      </w:pPr>
      <w:r>
        <w:rPr>
          <w:rFonts w:hint="eastAsia"/>
        </w:rPr>
        <w:t>（共</w:t>
      </w:r>
      <w:r>
        <w:t xml:space="preserve"> x 册，第 1 册）</w:t>
      </w:r>
    </w:p>
    <w:p w14:paraId="43503BB3" w14:textId="780F248E" w:rsidR="00032B5A" w:rsidRDefault="00032B5A" w:rsidP="00032B5A">
      <w:pPr>
        <w:pStyle w:val="13"/>
        <w:jc w:val="center"/>
      </w:pPr>
    </w:p>
    <w:p w14:paraId="77FA5651" w14:textId="59CE4FA5" w:rsidR="00032B5A" w:rsidRDefault="00032B5A" w:rsidP="00032B5A">
      <w:pPr>
        <w:pStyle w:val="13"/>
        <w:jc w:val="center"/>
      </w:pPr>
    </w:p>
    <w:p w14:paraId="5AD24E46" w14:textId="77777777" w:rsidR="00032B5A" w:rsidRDefault="00032B5A" w:rsidP="00032B5A">
      <w:pPr>
        <w:pStyle w:val="13"/>
        <w:jc w:val="center"/>
      </w:pPr>
    </w:p>
    <w:p w14:paraId="68DF8D58" w14:textId="77777777" w:rsidR="00032B5A" w:rsidRDefault="00032B5A" w:rsidP="00032B5A">
      <w:pPr>
        <w:pStyle w:val="13"/>
        <w:jc w:val="center"/>
      </w:pPr>
      <w:proofErr w:type="spellStart"/>
      <w:r>
        <w:t>xxxx</w:t>
      </w:r>
      <w:proofErr w:type="spellEnd"/>
      <w:r>
        <w:t xml:space="preserve"> 资产评估有限公司</w:t>
      </w:r>
    </w:p>
    <w:p w14:paraId="4B9D0489" w14:textId="09E00155" w:rsidR="00FA0363" w:rsidRDefault="00032B5A" w:rsidP="00032B5A">
      <w:pPr>
        <w:pStyle w:val="13"/>
        <w:ind w:firstLineChars="0"/>
        <w:jc w:val="center"/>
      </w:pPr>
      <w:r>
        <w:t>20xx</w:t>
      </w:r>
      <w:r w:rsidR="003068F8">
        <w:t>年</w:t>
      </w:r>
      <w:r>
        <w:t>x</w:t>
      </w:r>
      <w:r w:rsidR="003068F8">
        <w:t>月</w:t>
      </w:r>
      <w:r>
        <w:t>x</w:t>
      </w:r>
      <w:r w:rsidR="003068F8">
        <w:t>日</w:t>
      </w:r>
    </w:p>
    <w:p w14:paraId="61C3CBCB" w14:textId="251F46DD" w:rsidR="00032B5A" w:rsidRDefault="00032B5A">
      <w:pPr>
        <w:widowControl/>
        <w:jc w:val="left"/>
      </w:pPr>
      <w:r>
        <w:br w:type="page"/>
      </w:r>
    </w:p>
    <w:p w14:paraId="0192AE28" w14:textId="77777777" w:rsidR="00EB5139" w:rsidRDefault="00EB5139" w:rsidP="00EB5139">
      <w:pPr>
        <w:pStyle w:val="31"/>
        <w:spacing w:before="156" w:after="62"/>
      </w:pPr>
      <w:bookmarkStart w:id="297" w:name="_Toc81833530"/>
      <w:r>
        <w:rPr>
          <w:rFonts w:hint="eastAsia"/>
        </w:rPr>
        <w:lastRenderedPageBreak/>
        <w:t>《关于民事、行政诉讼中司法赔偿若干问题的解释》（法释〔</w:t>
      </w:r>
      <w:r>
        <w:t>2000〕27号）</w:t>
      </w:r>
      <w:bookmarkEnd w:id="297"/>
    </w:p>
    <w:p w14:paraId="732FF1E5" w14:textId="77777777" w:rsidR="00EB5139" w:rsidRDefault="00EB5139" w:rsidP="00EB5139">
      <w:pPr>
        <w:pStyle w:val="13"/>
        <w:ind w:firstLine="482"/>
      </w:pPr>
      <w:r w:rsidRPr="004E3EBB">
        <w:rPr>
          <w:rFonts w:hint="eastAsia"/>
          <w:b/>
          <w:bCs/>
        </w:rPr>
        <w:t xml:space="preserve">第三条 </w:t>
      </w:r>
      <w:r>
        <w:t>违法采取保全措施，是指人民法院依职权采取的下列行为：</w:t>
      </w:r>
    </w:p>
    <w:p w14:paraId="115FD555" w14:textId="77777777" w:rsidR="00EB5139" w:rsidRDefault="00EB5139" w:rsidP="00EB5139">
      <w:pPr>
        <w:pStyle w:val="13"/>
      </w:pPr>
      <w:r>
        <w:rPr>
          <w:rFonts w:hint="eastAsia"/>
        </w:rPr>
        <w:t>（一）依法不应当采取保全措施而采取保全措施或者依法不应当解除保全措施而解除保全措施的；</w:t>
      </w:r>
    </w:p>
    <w:p w14:paraId="2487D58D" w14:textId="77777777" w:rsidR="00EB5139" w:rsidRDefault="00EB5139" w:rsidP="00EB5139">
      <w:pPr>
        <w:pStyle w:val="13"/>
      </w:pPr>
      <w:r>
        <w:rPr>
          <w:rFonts w:hint="eastAsia"/>
        </w:rPr>
        <w:t>（二）保全案外人财产的，</w:t>
      </w:r>
      <w:proofErr w:type="gramStart"/>
      <w:r>
        <w:rPr>
          <w:rFonts w:hint="eastAsia"/>
        </w:rPr>
        <w:t>但案外人</w:t>
      </w:r>
      <w:proofErr w:type="gramEnd"/>
      <w:r>
        <w:rPr>
          <w:rFonts w:hint="eastAsia"/>
        </w:rPr>
        <w:t>对案件当事人负有到期债务的情形除外；</w:t>
      </w:r>
    </w:p>
    <w:p w14:paraId="0A185A7E" w14:textId="77777777" w:rsidR="00EB5139" w:rsidRDefault="00EB5139" w:rsidP="00EB5139">
      <w:pPr>
        <w:pStyle w:val="13"/>
      </w:pPr>
      <w:r>
        <w:rPr>
          <w:rFonts w:hint="eastAsia"/>
        </w:rPr>
        <w:t>（三）明显超过申请人申请保全数额或者保全范围的；</w:t>
      </w:r>
    </w:p>
    <w:p w14:paraId="63544633" w14:textId="77777777" w:rsidR="00EB5139" w:rsidRDefault="00EB5139" w:rsidP="00EB5139">
      <w:pPr>
        <w:pStyle w:val="13"/>
      </w:pPr>
      <w:r>
        <w:rPr>
          <w:rFonts w:hint="eastAsia"/>
        </w:rPr>
        <w:t>（四）对查封、扣押的财物不履行监管职责，严重不负责任，造成毁损、灭失的，但依法交由有关单位、个人负责保管的情形除外；</w:t>
      </w:r>
    </w:p>
    <w:p w14:paraId="3315F5BC" w14:textId="77777777" w:rsidR="00EB5139" w:rsidRDefault="00EB5139" w:rsidP="00EB5139">
      <w:pPr>
        <w:pStyle w:val="13"/>
      </w:pPr>
      <w:r>
        <w:rPr>
          <w:rFonts w:hint="eastAsia"/>
        </w:rPr>
        <w:t>（五）变卖财产未由合法评估机构估价，或者应当拍卖而未依法拍卖，强行将财物变卖给他人的；</w:t>
      </w:r>
    </w:p>
    <w:p w14:paraId="6C80F3A7" w14:textId="77777777" w:rsidR="00EB5139" w:rsidRDefault="00EB5139" w:rsidP="00EB5139">
      <w:pPr>
        <w:pStyle w:val="13"/>
      </w:pPr>
      <w:r>
        <w:rPr>
          <w:rFonts w:hint="eastAsia"/>
        </w:rPr>
        <w:t>（六）违反法律规定的其他情形。</w:t>
      </w:r>
    </w:p>
    <w:p w14:paraId="2A103D03" w14:textId="77777777" w:rsidR="00EB5139" w:rsidRDefault="00EB5139" w:rsidP="00EB5139">
      <w:pPr>
        <w:pStyle w:val="13"/>
        <w:ind w:firstLine="482"/>
      </w:pPr>
      <w:r w:rsidRPr="004E3EBB">
        <w:rPr>
          <w:rFonts w:hint="eastAsia"/>
          <w:b/>
          <w:bCs/>
        </w:rPr>
        <w:t xml:space="preserve">第四条 </w:t>
      </w:r>
      <w:r>
        <w:t>对判决、裁定及其他生效法律文书执行错误，是指对已经发生法律效力的判决、裁定、民事制裁决定、调解、支付令、仲裁裁决、具有强制执行效力的公证债权文书以及行政处罚、处理决定等执行错误。包括下列行为：</w:t>
      </w:r>
    </w:p>
    <w:p w14:paraId="4C0172EE" w14:textId="77777777" w:rsidR="00EB5139" w:rsidRDefault="00EB5139" w:rsidP="00EB5139">
      <w:pPr>
        <w:pStyle w:val="13"/>
      </w:pPr>
      <w:r>
        <w:rPr>
          <w:rFonts w:hint="eastAsia"/>
        </w:rPr>
        <w:t>（一）执行尚未发生法律效力的判决、裁定、民事制裁决定等法律文书的；</w:t>
      </w:r>
    </w:p>
    <w:p w14:paraId="6EA3024E" w14:textId="77777777" w:rsidR="00EB5139" w:rsidRDefault="00EB5139" w:rsidP="00EB5139">
      <w:pPr>
        <w:pStyle w:val="13"/>
      </w:pPr>
      <w:r>
        <w:rPr>
          <w:rFonts w:hint="eastAsia"/>
        </w:rPr>
        <w:t>（二）违反法律规定先予执行的；</w:t>
      </w:r>
    </w:p>
    <w:p w14:paraId="7E9C4F1C" w14:textId="77777777" w:rsidR="00EB5139" w:rsidRDefault="00EB5139" w:rsidP="00EB5139">
      <w:pPr>
        <w:pStyle w:val="13"/>
      </w:pPr>
      <w:r>
        <w:rPr>
          <w:rFonts w:hint="eastAsia"/>
        </w:rPr>
        <w:t>（三）违法执行案外人财产且无法执行回转的；</w:t>
      </w:r>
    </w:p>
    <w:p w14:paraId="4D93F136" w14:textId="77777777" w:rsidR="00EB5139" w:rsidRDefault="00EB5139" w:rsidP="00EB5139">
      <w:pPr>
        <w:pStyle w:val="13"/>
      </w:pPr>
      <w:r>
        <w:rPr>
          <w:rFonts w:hint="eastAsia"/>
        </w:rPr>
        <w:t>（四）明显超过申请数额、范围执行且无法执行回转的；</w:t>
      </w:r>
    </w:p>
    <w:p w14:paraId="3F999130" w14:textId="77777777" w:rsidR="00EB5139" w:rsidRDefault="00EB5139" w:rsidP="00EB5139">
      <w:pPr>
        <w:pStyle w:val="13"/>
      </w:pPr>
      <w:r>
        <w:rPr>
          <w:rFonts w:hint="eastAsia"/>
        </w:rPr>
        <w:t>（五）执行过程中，对查封、扣押的财产不履行监管职责，严重不负责任，造成财物毁损、灭失的；</w:t>
      </w:r>
    </w:p>
    <w:p w14:paraId="0163BFD9" w14:textId="77777777" w:rsidR="00EB5139" w:rsidRDefault="00EB5139" w:rsidP="00EB5139">
      <w:pPr>
        <w:pStyle w:val="13"/>
      </w:pPr>
      <w:r>
        <w:rPr>
          <w:rFonts w:hint="eastAsia"/>
        </w:rPr>
        <w:t>（六）执行过程中，变卖财物未由合法评估机构估价，或者应当拍卖而未依法拍卖，强行将财物变卖给他人的；</w:t>
      </w:r>
    </w:p>
    <w:p w14:paraId="6AC3A067" w14:textId="77777777" w:rsidR="00EB5139" w:rsidRDefault="00EB5139" w:rsidP="00EB5139">
      <w:pPr>
        <w:pStyle w:val="13"/>
      </w:pPr>
      <w:r>
        <w:rPr>
          <w:rFonts w:hint="eastAsia"/>
        </w:rPr>
        <w:t>（七）违反法律规定的其他情形。</w:t>
      </w:r>
    </w:p>
    <w:p w14:paraId="6DED6E93" w14:textId="77777777" w:rsidR="00EB5139" w:rsidRDefault="00EB5139" w:rsidP="00EB5139">
      <w:pPr>
        <w:pStyle w:val="13"/>
        <w:ind w:firstLine="482"/>
      </w:pPr>
      <w:r w:rsidRPr="00D12405">
        <w:rPr>
          <w:rFonts w:hint="eastAsia"/>
          <w:b/>
          <w:bCs/>
        </w:rPr>
        <w:t>十一条</w:t>
      </w:r>
      <w:r>
        <w:rPr>
          <w:rFonts w:hint="eastAsia"/>
          <w:b/>
          <w:bCs/>
        </w:rPr>
        <w:t xml:space="preserve"> </w:t>
      </w:r>
      <w:r>
        <w:t>民事、行政诉讼中司法赔偿的赔偿方式主要为支付赔偿金。包括：支付侵犯人身自由权、生命健康权的赔偿金；财产损坏的，赔偿修复所需费用；财产灭失</w:t>
      </w:r>
      <w:r>
        <w:rPr>
          <w:rFonts w:hint="eastAsia"/>
        </w:rPr>
        <w:t>的，按侵权行为发生时当地市场价格予以赔偿；财产已拍卖的，给付拍卖所得的价</w:t>
      </w:r>
      <w:r>
        <w:t>款；财产已变卖的，按合法评估机构的估价赔偿；造成其他损害的，赔偿直接损失。</w:t>
      </w:r>
    </w:p>
    <w:p w14:paraId="48B7FCEE" w14:textId="77777777" w:rsidR="00EB5139" w:rsidRDefault="00EB5139" w:rsidP="00EB5139">
      <w:pPr>
        <w:pStyle w:val="13"/>
      </w:pPr>
      <w:r>
        <w:rPr>
          <w:rFonts w:hint="eastAsia"/>
        </w:rPr>
        <w:t>能够返还财产或者恢复原状的，予以返还财产或者恢复原状。包括：解除查封、扣押、冻结；返还财产、恢复原状；退还罚款、罚没财物</w:t>
      </w:r>
    </w:p>
    <w:p w14:paraId="32CEE977" w14:textId="77777777" w:rsidR="00EB5139" w:rsidRDefault="00EB5139" w:rsidP="00EB5139">
      <w:pPr>
        <w:pStyle w:val="31"/>
        <w:spacing w:before="156" w:after="62"/>
      </w:pPr>
      <w:bookmarkStart w:id="298" w:name="_Toc81833531"/>
      <w:r>
        <w:rPr>
          <w:rFonts w:hint="eastAsia"/>
        </w:rPr>
        <w:t>《关于冻结、拍卖上市公司国有股和社会法人股若干问题的规定》</w:t>
      </w:r>
      <w:r>
        <w:br/>
      </w:r>
      <w:r>
        <w:rPr>
          <w:rFonts w:hint="eastAsia"/>
        </w:rPr>
        <w:t>（法释〔</w:t>
      </w:r>
      <w:r>
        <w:t>2001〕28号）</w:t>
      </w:r>
      <w:bookmarkEnd w:id="298"/>
    </w:p>
    <w:p w14:paraId="46DF5AAA" w14:textId="77777777" w:rsidR="00EB5139" w:rsidRDefault="00EB5139" w:rsidP="00EB5139">
      <w:pPr>
        <w:pStyle w:val="13"/>
      </w:pPr>
      <w:r>
        <w:rPr>
          <w:rFonts w:hint="eastAsia"/>
        </w:rPr>
        <w:t>为了保护债权人以及其他当事人的合法权益，维护证券市场的正常交易秩序，根据《中华人民共和国证券法》、《中华人民共和国公司法》、《中华人民共和国民事诉讼</w:t>
      </w:r>
      <w:r>
        <w:rPr>
          <w:rFonts w:hint="eastAsia"/>
        </w:rPr>
        <w:lastRenderedPageBreak/>
        <w:t>法》，参照《中华人民共和国拍卖法》等法律的有关规定，对人民法院在财产保全和执行过程中，冻结、拍卖上市公司国有股和社会法人股（以下均简称股权）等有关问题，作如下规定：</w:t>
      </w:r>
    </w:p>
    <w:p w14:paraId="01A5FCD6" w14:textId="77777777" w:rsidR="00EB5139" w:rsidRDefault="00EB5139" w:rsidP="00EB5139">
      <w:pPr>
        <w:pStyle w:val="13"/>
        <w:ind w:firstLine="482"/>
      </w:pPr>
      <w:r w:rsidRPr="004E3EBB">
        <w:rPr>
          <w:rFonts w:hint="eastAsia"/>
          <w:b/>
          <w:bCs/>
        </w:rPr>
        <w:t xml:space="preserve">第一条 </w:t>
      </w:r>
      <w:r>
        <w:t>人民法院在审理民事纠纷案件过程中，对股权采取冻结、评估、拍卖和办理股权过户等财产保全和执行措施，适用本规定。</w:t>
      </w:r>
    </w:p>
    <w:p w14:paraId="57E13F62" w14:textId="77777777" w:rsidR="00EB5139" w:rsidRDefault="00EB5139" w:rsidP="00EB5139">
      <w:pPr>
        <w:pStyle w:val="13"/>
        <w:ind w:firstLine="482"/>
      </w:pPr>
      <w:r w:rsidRPr="004E3EBB">
        <w:rPr>
          <w:rFonts w:hint="eastAsia"/>
          <w:b/>
          <w:bCs/>
        </w:rPr>
        <w:t xml:space="preserve">第七条 </w:t>
      </w:r>
      <w:r>
        <w:t>人民法院采取保全措施，所冻结的股权价值不得超过股权持有人或者所有权人的债务总额。股权价值应当按照上市公司最近期报表每股资产净值计算。</w:t>
      </w:r>
    </w:p>
    <w:p w14:paraId="774981CB" w14:textId="77777777" w:rsidR="00EB5139" w:rsidRDefault="00EB5139" w:rsidP="00EB5139">
      <w:pPr>
        <w:pStyle w:val="13"/>
      </w:pPr>
      <w:r>
        <w:rPr>
          <w:rFonts w:hint="eastAsia"/>
        </w:rPr>
        <w:t>股权冻结的效力及于股权产生的股息以及红利、红股等</w:t>
      </w:r>
      <w:proofErr w:type="gramStart"/>
      <w:r>
        <w:rPr>
          <w:rFonts w:hint="eastAsia"/>
        </w:rPr>
        <w:t>孳</w:t>
      </w:r>
      <w:proofErr w:type="gramEnd"/>
      <w:r>
        <w:rPr>
          <w:rFonts w:hint="eastAsia"/>
        </w:rPr>
        <w:t>息，但股权持有人或者所有权人仍可享有因上市公司增发、配售新股而产生的权利。</w:t>
      </w:r>
    </w:p>
    <w:p w14:paraId="5A054354" w14:textId="77777777" w:rsidR="00EB5139" w:rsidRDefault="00EB5139" w:rsidP="00EB5139">
      <w:pPr>
        <w:pStyle w:val="13"/>
        <w:ind w:firstLine="482"/>
      </w:pPr>
      <w:r w:rsidRPr="00E05BDA">
        <w:rPr>
          <w:rFonts w:hint="eastAsia"/>
          <w:b/>
          <w:bCs/>
        </w:rPr>
        <w:t xml:space="preserve">第九条 </w:t>
      </w:r>
      <w:r>
        <w:t>拍卖股权之前，人民法院应当委托具有证券从业资格的资产评估机构对股</w:t>
      </w:r>
      <w:r>
        <w:rPr>
          <w:rFonts w:hint="eastAsia"/>
        </w:rPr>
        <w:t>权价值进行评估。资产评估机构由债权人和债务人协商选定。不能达成一致意见的，</w:t>
      </w:r>
      <w:r>
        <w:t>由人民法院召集债权人和债务人提出候选评估机构，以抽签方式决定。</w:t>
      </w:r>
    </w:p>
    <w:p w14:paraId="16F4CDA7" w14:textId="77777777" w:rsidR="00EB5139" w:rsidRDefault="00EB5139" w:rsidP="00EB5139">
      <w:pPr>
        <w:pStyle w:val="13"/>
        <w:ind w:firstLine="482"/>
      </w:pPr>
      <w:r w:rsidRPr="00E05BDA">
        <w:rPr>
          <w:rFonts w:hint="eastAsia"/>
          <w:b/>
          <w:bCs/>
        </w:rPr>
        <w:t xml:space="preserve">第十条 </w:t>
      </w:r>
      <w:r>
        <w:t>人民法院委托资产评估机构评估时，应当要求资产评估机构严格依照国家规定的标准、程序和方法对股权价值进行评估，并说明其应当对所</w:t>
      </w:r>
      <w:proofErr w:type="gramStart"/>
      <w:r>
        <w:t>作出</w:t>
      </w:r>
      <w:proofErr w:type="gramEnd"/>
      <w:r>
        <w:t>的评估报告依法承担相应责任。</w:t>
      </w:r>
    </w:p>
    <w:p w14:paraId="488234DE" w14:textId="77777777" w:rsidR="00EB5139" w:rsidRDefault="00EB5139" w:rsidP="00EB5139">
      <w:pPr>
        <w:pStyle w:val="13"/>
      </w:pPr>
      <w:r>
        <w:rPr>
          <w:rFonts w:hint="eastAsia"/>
        </w:rPr>
        <w:t>人民法院还应当要求上市公司向接受人民法院委托的资产评估机构如实提供有关情况和资料；要求资产评估机构对上市公司提供的情况和资料保守秘密。</w:t>
      </w:r>
    </w:p>
    <w:p w14:paraId="46330124" w14:textId="77777777" w:rsidR="00EB5139" w:rsidRDefault="00EB5139" w:rsidP="00EB5139">
      <w:pPr>
        <w:pStyle w:val="13"/>
        <w:ind w:firstLine="482"/>
      </w:pPr>
      <w:r w:rsidRPr="00E05BDA">
        <w:rPr>
          <w:rFonts w:hint="eastAsia"/>
          <w:b/>
          <w:bCs/>
        </w:rPr>
        <w:t xml:space="preserve">第十一条 </w:t>
      </w:r>
      <w:r>
        <w:t>人民法院收到资产评估机构</w:t>
      </w:r>
      <w:proofErr w:type="gramStart"/>
      <w:r>
        <w:t>作出</w:t>
      </w:r>
      <w:proofErr w:type="gramEnd"/>
      <w:r>
        <w:t>的评估报告后，须将评估报告分别送达债权人和债务人以及上市公司。债权人和债务人以及上市公司对评估报告有异议的，应当在收到评估报告后7日内书面提出。人民法院应当将异议书交资产评估机构，要</w:t>
      </w:r>
      <w:r>
        <w:rPr>
          <w:rFonts w:hint="eastAsia"/>
        </w:rPr>
        <w:t>求该机构在</w:t>
      </w:r>
      <w:r>
        <w:t>10日之内</w:t>
      </w:r>
      <w:proofErr w:type="gramStart"/>
      <w:r>
        <w:t>作出</w:t>
      </w:r>
      <w:proofErr w:type="gramEnd"/>
      <w:r>
        <w:t>说明或者补正。</w:t>
      </w:r>
    </w:p>
    <w:p w14:paraId="2DBF8969" w14:textId="77777777" w:rsidR="00EB5139" w:rsidRDefault="00EB5139" w:rsidP="00EB5139">
      <w:pPr>
        <w:pStyle w:val="13"/>
        <w:ind w:firstLine="482"/>
      </w:pPr>
      <w:r w:rsidRPr="00E05BDA">
        <w:rPr>
          <w:rFonts w:hint="eastAsia"/>
          <w:b/>
          <w:bCs/>
        </w:rPr>
        <w:t xml:space="preserve">第十二条 </w:t>
      </w:r>
      <w:r>
        <w:t>对股权拍卖，人民法院应当委托依法成立的拍卖机构进行。拍卖机构的选定，参照本规定第九条规定的方法进行。</w:t>
      </w:r>
    </w:p>
    <w:p w14:paraId="280757FD" w14:textId="77777777" w:rsidR="00EB5139" w:rsidRDefault="00EB5139" w:rsidP="00EB5139">
      <w:pPr>
        <w:pStyle w:val="13"/>
        <w:ind w:firstLine="482"/>
      </w:pPr>
      <w:r w:rsidRPr="00E05BDA">
        <w:rPr>
          <w:rFonts w:hint="eastAsia"/>
          <w:b/>
          <w:bCs/>
        </w:rPr>
        <w:t xml:space="preserve">第十三条 </w:t>
      </w:r>
      <w:r>
        <w:t>股权拍卖保留价，应当按照评估值确定。</w:t>
      </w:r>
    </w:p>
    <w:p w14:paraId="3CC74C64" w14:textId="77777777" w:rsidR="00EB5139" w:rsidRDefault="00EB5139" w:rsidP="00EB5139">
      <w:pPr>
        <w:pStyle w:val="13"/>
      </w:pPr>
      <w:r>
        <w:rPr>
          <w:rFonts w:hint="eastAsia"/>
        </w:rPr>
        <w:t>第一次拍卖最高应价未达到保留价时，应当继续进行拍卖，每次拍卖的保留价应当不低于前次保留价的</w:t>
      </w:r>
      <w:r>
        <w:t>90％。经三次</w:t>
      </w:r>
      <w:proofErr w:type="gramStart"/>
      <w:r>
        <w:t>拍卖仍</w:t>
      </w:r>
      <w:proofErr w:type="gramEnd"/>
      <w:r>
        <w:t>不能成交时，人民法院应当将所拍卖的股权按第三次拍卖的保留价折价抵偿给债权人。</w:t>
      </w:r>
    </w:p>
    <w:p w14:paraId="44CA7D1B" w14:textId="77777777" w:rsidR="00EB5139" w:rsidRDefault="00EB5139" w:rsidP="00EB5139">
      <w:pPr>
        <w:pStyle w:val="13"/>
      </w:pPr>
      <w:r>
        <w:rPr>
          <w:rFonts w:hint="eastAsia"/>
        </w:rPr>
        <w:t>人民法院可以在每次拍卖未成交后主持调解，将所拍卖的股权参照该次拍卖保留价折价抵偿给债权人。</w:t>
      </w:r>
    </w:p>
    <w:p w14:paraId="59B75E55" w14:textId="77777777" w:rsidR="00EB5139" w:rsidRDefault="00EB5139" w:rsidP="00EB5139">
      <w:pPr>
        <w:pStyle w:val="31"/>
        <w:spacing w:before="156" w:after="62"/>
      </w:pPr>
      <w:bookmarkStart w:id="299" w:name="_Toc81833532"/>
      <w:r>
        <w:rPr>
          <w:rFonts w:hint="eastAsia"/>
        </w:rPr>
        <w:t>《关于人民法院民事执行中拍卖、变卖财产的规定》（法释〔</w:t>
      </w:r>
      <w:r>
        <w:t>2004〕16号）</w:t>
      </w:r>
      <w:bookmarkEnd w:id="299"/>
    </w:p>
    <w:p w14:paraId="6AAAD6B7" w14:textId="77777777" w:rsidR="00EB5139" w:rsidRDefault="00EB5139" w:rsidP="00EB5139">
      <w:pPr>
        <w:pStyle w:val="13"/>
        <w:ind w:firstLine="482"/>
      </w:pPr>
      <w:r w:rsidRPr="004E3EBB">
        <w:rPr>
          <w:rFonts w:hint="eastAsia"/>
          <w:b/>
          <w:bCs/>
        </w:rPr>
        <w:t xml:space="preserve">第四条 </w:t>
      </w:r>
      <w:r>
        <w:rPr>
          <w:rFonts w:hint="eastAsia"/>
        </w:rPr>
        <w:t>对拟拍卖的财产，人民法院应当委托具有相应资质的评估机构进行价格评估。对于财产价值较低或者价格依照通常方法容易确定的，可以不进行评估。当事人双方及其他执行债权人申请不进行评估的，人民法院应当准许。</w:t>
      </w:r>
    </w:p>
    <w:p w14:paraId="36FC23A4" w14:textId="77777777" w:rsidR="00EB5139" w:rsidRDefault="00EB5139" w:rsidP="00EB5139">
      <w:pPr>
        <w:pStyle w:val="13"/>
      </w:pPr>
      <w:r>
        <w:rPr>
          <w:rFonts w:hint="eastAsia"/>
        </w:rPr>
        <w:lastRenderedPageBreak/>
        <w:t>对被执行人的股权进行评估时，人民法院可以责令有关企业提供会计报表等资料；有关企业拒不提供的，可以强制提取。</w:t>
      </w:r>
    </w:p>
    <w:p w14:paraId="01F01968" w14:textId="77777777" w:rsidR="00EB5139" w:rsidRDefault="00EB5139" w:rsidP="00EB5139">
      <w:pPr>
        <w:pStyle w:val="13"/>
        <w:ind w:firstLine="482"/>
      </w:pPr>
      <w:r w:rsidRPr="004E3EBB">
        <w:rPr>
          <w:rFonts w:hint="eastAsia"/>
          <w:b/>
          <w:bCs/>
        </w:rPr>
        <w:t xml:space="preserve">第五条 </w:t>
      </w:r>
      <w:r>
        <w:rPr>
          <w:rFonts w:hint="eastAsia"/>
        </w:rPr>
        <w:t>评估机构由当事人协商一致后经人民法院审查确定；协商不成的，从负责执行的人民法院或者被执行人财产所在地的人民法院确定的评估机构名册中，采取随机的方式确定；当事人双方申请通过公开招标方式确定评估机构的，人民法院应当准许。</w:t>
      </w:r>
    </w:p>
    <w:p w14:paraId="730B618D" w14:textId="77777777" w:rsidR="00EB5139" w:rsidRDefault="00EB5139" w:rsidP="00EB5139">
      <w:pPr>
        <w:pStyle w:val="13"/>
        <w:ind w:firstLine="482"/>
      </w:pPr>
      <w:r w:rsidRPr="004E3EBB">
        <w:rPr>
          <w:rFonts w:hint="eastAsia"/>
          <w:b/>
          <w:bCs/>
        </w:rPr>
        <w:t xml:space="preserve">第六条 </w:t>
      </w:r>
      <w:r>
        <w:rPr>
          <w:rFonts w:hint="eastAsia"/>
        </w:rPr>
        <w:t>人民法院收到评估机构</w:t>
      </w:r>
      <w:proofErr w:type="gramStart"/>
      <w:r>
        <w:rPr>
          <w:rFonts w:hint="eastAsia"/>
        </w:rPr>
        <w:t>作出</w:t>
      </w:r>
      <w:proofErr w:type="gramEnd"/>
      <w:r>
        <w:rPr>
          <w:rFonts w:hint="eastAsia"/>
        </w:rPr>
        <w:t>的评估报告后，应当在五日内将评估报告发送当事人及其他利害关系人。当事人或者其他利害关系人对评估报告有异议的，可以在收到评估报告后十日内以书面形式向人民法院提出。</w:t>
      </w:r>
    </w:p>
    <w:p w14:paraId="16AA55F7" w14:textId="77777777" w:rsidR="00EB5139" w:rsidRDefault="00EB5139" w:rsidP="00EB5139">
      <w:pPr>
        <w:pStyle w:val="13"/>
        <w:ind w:firstLine="482"/>
      </w:pPr>
      <w:r w:rsidRPr="004E3EBB">
        <w:rPr>
          <w:rFonts w:hint="eastAsia"/>
          <w:b/>
          <w:bCs/>
        </w:rPr>
        <w:t xml:space="preserve">第八条 </w:t>
      </w:r>
      <w:r>
        <w:rPr>
          <w:rFonts w:hint="eastAsia"/>
        </w:rPr>
        <w:t>拍卖应当确定保留价。</w:t>
      </w:r>
    </w:p>
    <w:p w14:paraId="1FB092F7" w14:textId="77777777" w:rsidR="00EB5139" w:rsidRDefault="00EB5139" w:rsidP="00EB5139">
      <w:pPr>
        <w:pStyle w:val="13"/>
      </w:pPr>
      <w:r>
        <w:rPr>
          <w:rFonts w:hint="eastAsia"/>
        </w:rPr>
        <w:t>拍卖保留价由人民法院参照评估价确定；未作评估的，参照市价确定，并应当征询有关当事人的意见。</w:t>
      </w:r>
    </w:p>
    <w:p w14:paraId="5402C3FA" w14:textId="77777777" w:rsidR="00EB5139" w:rsidRDefault="00EB5139" w:rsidP="00EB5139">
      <w:pPr>
        <w:pStyle w:val="13"/>
      </w:pPr>
      <w:r>
        <w:rPr>
          <w:rFonts w:hint="eastAsia"/>
        </w:rPr>
        <w:t>人民法院确定的保留价，第一次拍卖时，不得低于评估价或者市价的百分之八</w:t>
      </w:r>
      <w:r>
        <w:t>十；如果出现流拍，再行拍卖时，可以酌情降低保留价，但每次降低的数额不得超过前次保留价的百分之二十。</w:t>
      </w:r>
    </w:p>
    <w:p w14:paraId="09253B25" w14:textId="77777777" w:rsidR="00EB5139" w:rsidRDefault="00EB5139" w:rsidP="00EB5139">
      <w:pPr>
        <w:pStyle w:val="13"/>
        <w:ind w:firstLine="482"/>
      </w:pPr>
      <w:r w:rsidRPr="003B2FB1">
        <w:rPr>
          <w:rFonts w:hint="eastAsia"/>
          <w:b/>
          <w:bCs/>
        </w:rPr>
        <w:t xml:space="preserve">第三十五条 </w:t>
      </w:r>
      <w:r>
        <w:rPr>
          <w:rFonts w:hint="eastAsia"/>
        </w:rPr>
        <w:t>当事人双方及有关权利人对变卖财产的价格有约定的，按照其约定价格变卖；无约定价格但有市价的，变卖价格不得低于市价；无市价但价值较大、价格不易确定的，应当委托评估机构进行评估，并按照评估价格进行变卖。</w:t>
      </w:r>
    </w:p>
    <w:p w14:paraId="745AAE70" w14:textId="77777777" w:rsidR="00EB5139" w:rsidRDefault="00EB5139" w:rsidP="00EB5139">
      <w:pPr>
        <w:pStyle w:val="13"/>
      </w:pPr>
      <w:r>
        <w:rPr>
          <w:rFonts w:hint="eastAsia"/>
        </w:rPr>
        <w:t>按照评估价格变卖不成的，可以降低价格变卖，但最低的变卖价不得低于评估价的二分之一。</w:t>
      </w:r>
    </w:p>
    <w:p w14:paraId="55E30123" w14:textId="77777777" w:rsidR="00EB5139" w:rsidRDefault="00EB5139" w:rsidP="00EB5139">
      <w:pPr>
        <w:pStyle w:val="13"/>
      </w:pPr>
      <w:r>
        <w:rPr>
          <w:rFonts w:hint="eastAsia"/>
        </w:rPr>
        <w:t>变卖的财产无人应买的，适用本规定第十九条的规定将该财产交申请执行人或者其他执行债权人抵债；申请执行人或者其他执行债权人拒绝接受或者依法不能交付其抵债的，人民法院应当解除查封、扣押，并将该财产退还被执行人。</w:t>
      </w:r>
    </w:p>
    <w:p w14:paraId="7E440D97" w14:textId="77777777" w:rsidR="00EB5139" w:rsidRDefault="00EB5139" w:rsidP="00EB5139">
      <w:pPr>
        <w:pStyle w:val="31"/>
        <w:spacing w:before="156" w:after="62"/>
      </w:pPr>
      <w:bookmarkStart w:id="300" w:name="_Toc81833533"/>
      <w:r>
        <w:rPr>
          <w:rFonts w:hint="eastAsia"/>
        </w:rPr>
        <w:t>《关于人民法院委托评估、拍卖工作的若干规定》（法释〔</w:t>
      </w:r>
      <w:r>
        <w:t>2011〕21号）</w:t>
      </w:r>
      <w:bookmarkEnd w:id="300"/>
    </w:p>
    <w:p w14:paraId="13CA586A" w14:textId="77777777" w:rsidR="00EB5139" w:rsidRDefault="00EB5139" w:rsidP="00EB5139">
      <w:pPr>
        <w:pStyle w:val="13"/>
      </w:pPr>
      <w:r>
        <w:rPr>
          <w:rFonts w:hint="eastAsia"/>
        </w:rPr>
        <w:t>《最高人民法院关于人民法院委托评估、拍卖工作的若干规定》已于</w:t>
      </w:r>
      <w:r>
        <w:t>2010年8月16日由最高人民法院审判委员会第1492次会议通过，现予公布，自2012年1月1日起施行。</w:t>
      </w:r>
    </w:p>
    <w:p w14:paraId="54AE860A" w14:textId="77777777" w:rsidR="00EB5139" w:rsidRDefault="00EB5139" w:rsidP="00EB5139">
      <w:pPr>
        <w:pStyle w:val="13"/>
        <w:jc w:val="right"/>
      </w:pPr>
      <w:r>
        <w:rPr>
          <w:rFonts w:hint="eastAsia"/>
        </w:rPr>
        <w:t>二○一一年九月七日</w:t>
      </w:r>
    </w:p>
    <w:p w14:paraId="46591BED" w14:textId="77777777" w:rsidR="00EB5139" w:rsidRDefault="00EB5139" w:rsidP="00EB5139">
      <w:pPr>
        <w:pStyle w:val="a9"/>
        <w:spacing w:before="62" w:after="62"/>
      </w:pPr>
      <w:r>
        <w:rPr>
          <w:rFonts w:hint="eastAsia"/>
        </w:rPr>
        <w:t>关于人民法院委托评估、拍卖工作的若干规定</w:t>
      </w:r>
    </w:p>
    <w:p w14:paraId="63913B52" w14:textId="77777777" w:rsidR="00EB5139" w:rsidRDefault="00EB5139" w:rsidP="00EB5139">
      <w:pPr>
        <w:pStyle w:val="13"/>
      </w:pPr>
      <w:r>
        <w:rPr>
          <w:rFonts w:hint="eastAsia"/>
        </w:rPr>
        <w:t>为进一步规范人民法院委托评估、拍卖工作，促进审判执行工作公正、廉洁、高效，维护当事人的合法权益，根据《中华人民共和国民事诉讼法》等有关法律规定，结合人民法院工作实际，制定本规定。</w:t>
      </w:r>
    </w:p>
    <w:p w14:paraId="559DAC07" w14:textId="77777777" w:rsidR="00EB5139" w:rsidRDefault="00EB5139" w:rsidP="00EB5139">
      <w:pPr>
        <w:pStyle w:val="13"/>
        <w:ind w:firstLine="482"/>
      </w:pPr>
      <w:r w:rsidRPr="004E3EBB">
        <w:rPr>
          <w:rFonts w:hint="eastAsia"/>
          <w:b/>
          <w:bCs/>
        </w:rPr>
        <w:t xml:space="preserve">第一条 </w:t>
      </w:r>
      <w:r>
        <w:t>人民法院司法辅助部门负责统一管理和协调司法委托评估、拍卖工作。</w:t>
      </w:r>
    </w:p>
    <w:p w14:paraId="1CDD7052" w14:textId="77777777" w:rsidR="00EB5139" w:rsidRDefault="00EB5139" w:rsidP="00EB5139">
      <w:pPr>
        <w:pStyle w:val="13"/>
        <w:ind w:firstLine="482"/>
      </w:pPr>
      <w:r w:rsidRPr="004E3EBB">
        <w:rPr>
          <w:b/>
          <w:bCs/>
        </w:rPr>
        <w:lastRenderedPageBreak/>
        <w:t xml:space="preserve">第二条 </w:t>
      </w:r>
      <w:r>
        <w:t>取得政府管理部门行政许可并达到一定资质等级的评估、拍卖机构，可以</w:t>
      </w:r>
      <w:r>
        <w:rPr>
          <w:rFonts w:hint="eastAsia"/>
        </w:rPr>
        <w:t>自愿报名参加人民法院委托的评估、拍卖活动。</w:t>
      </w:r>
      <w:r>
        <w:t>人民法院不再编制委托评估、拍卖机构名册。</w:t>
      </w:r>
    </w:p>
    <w:p w14:paraId="762AC337" w14:textId="77777777" w:rsidR="00EB5139" w:rsidRDefault="00EB5139" w:rsidP="00EB5139">
      <w:pPr>
        <w:pStyle w:val="13"/>
        <w:ind w:firstLine="482"/>
      </w:pPr>
      <w:r w:rsidRPr="004E3EBB">
        <w:rPr>
          <w:rFonts w:hint="eastAsia"/>
          <w:b/>
          <w:bCs/>
        </w:rPr>
        <w:t xml:space="preserve">第三条 </w:t>
      </w:r>
      <w:r>
        <w:t>人民法院采用随机方式确定评估、拍卖机构。高级人民法院或者中级人民法院可以根据本地实际情况统一实施对外委托。</w:t>
      </w:r>
    </w:p>
    <w:p w14:paraId="6190157B" w14:textId="77777777" w:rsidR="00EB5139" w:rsidRDefault="00EB5139" w:rsidP="00EB5139">
      <w:pPr>
        <w:pStyle w:val="13"/>
        <w:ind w:firstLine="482"/>
      </w:pPr>
      <w:r w:rsidRPr="004E3EBB">
        <w:rPr>
          <w:rFonts w:hint="eastAsia"/>
          <w:b/>
          <w:bCs/>
        </w:rPr>
        <w:t xml:space="preserve">第四条 </w:t>
      </w:r>
      <w:r>
        <w:t>人民法院委托的拍卖活动应在有关管理部门确定的统一交易场所或网络平台上进行，另有规定的除外。</w:t>
      </w:r>
    </w:p>
    <w:p w14:paraId="6F94FD4D" w14:textId="77777777" w:rsidR="00EB5139" w:rsidRDefault="00EB5139" w:rsidP="00EB5139">
      <w:pPr>
        <w:pStyle w:val="13"/>
        <w:ind w:firstLine="482"/>
      </w:pPr>
      <w:r w:rsidRPr="004E3EBB">
        <w:rPr>
          <w:rFonts w:hint="eastAsia"/>
          <w:b/>
          <w:bCs/>
        </w:rPr>
        <w:t xml:space="preserve">第五条 </w:t>
      </w:r>
      <w:r>
        <w:t>受委托的拍卖机构应通过管理部门的信息平台发布拍卖信息，公示评估、拍卖结果。</w:t>
      </w:r>
    </w:p>
    <w:p w14:paraId="41C66936" w14:textId="77777777" w:rsidR="00EB5139" w:rsidRDefault="00EB5139" w:rsidP="00EB5139">
      <w:pPr>
        <w:pStyle w:val="13"/>
        <w:ind w:firstLine="482"/>
      </w:pPr>
      <w:r w:rsidRPr="004E3EBB">
        <w:rPr>
          <w:rFonts w:hint="eastAsia"/>
          <w:b/>
          <w:bCs/>
        </w:rPr>
        <w:t xml:space="preserve">第六条 </w:t>
      </w:r>
      <w:proofErr w:type="gramStart"/>
      <w:r>
        <w:t>涉国有</w:t>
      </w:r>
      <w:proofErr w:type="gramEnd"/>
      <w:r>
        <w:t>资产的司法委托拍卖由省级以上国有产权交易机构实施，拍卖机构负责拍卖环节相关工作，并依照相关监管部门制定的实施细则进行。</w:t>
      </w:r>
    </w:p>
    <w:p w14:paraId="73BF085E" w14:textId="77777777" w:rsidR="00EB5139" w:rsidRDefault="00EB5139" w:rsidP="00EB5139">
      <w:pPr>
        <w:pStyle w:val="13"/>
        <w:ind w:firstLine="482"/>
      </w:pPr>
      <w:r w:rsidRPr="004E3EBB">
        <w:rPr>
          <w:rFonts w:hint="eastAsia"/>
          <w:b/>
          <w:bCs/>
        </w:rPr>
        <w:t xml:space="preserve">第七条 </w:t>
      </w:r>
      <w:r>
        <w:t>《中华人民共和国证券法》规定应当在证券交易所上市交易或转让的证券资产的司法委托拍卖，通过证券交易所实施，拍卖机构负责拍卖环节相关工作；其他</w:t>
      </w:r>
      <w:r>
        <w:rPr>
          <w:rFonts w:hint="eastAsia"/>
        </w:rPr>
        <w:t>证券类资产的司法委托拍卖由拍卖机构实施，并依照相关监管部门制定的实施细则进行。</w:t>
      </w:r>
    </w:p>
    <w:p w14:paraId="02B0F07E" w14:textId="77777777" w:rsidR="00EB5139" w:rsidRDefault="00EB5139" w:rsidP="00EB5139">
      <w:pPr>
        <w:pStyle w:val="13"/>
        <w:ind w:firstLine="482"/>
      </w:pPr>
      <w:r w:rsidRPr="004E3EBB">
        <w:rPr>
          <w:rFonts w:hint="eastAsia"/>
          <w:b/>
          <w:bCs/>
        </w:rPr>
        <w:t xml:space="preserve">第八条 </w:t>
      </w:r>
      <w:r>
        <w:t>人民法院对其委托的评估、拍卖活动实行监督。出现下列情形之一，影响评估、拍卖结果，侵害当事人合法利益的，人民法院将不再委托其从事委托评估、拍卖工作。涉及违反法律法规的，依据有关规定处理：</w:t>
      </w:r>
    </w:p>
    <w:p w14:paraId="5906CC71" w14:textId="77777777" w:rsidR="00EB5139" w:rsidRDefault="00EB5139" w:rsidP="00EB5139">
      <w:pPr>
        <w:pStyle w:val="13"/>
      </w:pPr>
      <w:r>
        <w:rPr>
          <w:rFonts w:hint="eastAsia"/>
        </w:rPr>
        <w:t>（</w:t>
      </w:r>
      <w:r>
        <w:t>1）评估结果明显失实；</w:t>
      </w:r>
    </w:p>
    <w:p w14:paraId="74DDED82" w14:textId="77777777" w:rsidR="00EB5139" w:rsidRDefault="00EB5139" w:rsidP="00EB5139">
      <w:pPr>
        <w:pStyle w:val="13"/>
      </w:pPr>
      <w:r>
        <w:rPr>
          <w:rFonts w:hint="eastAsia"/>
        </w:rPr>
        <w:t>（</w:t>
      </w:r>
      <w:r>
        <w:t>2）拍卖过程中弄虚作假、存在瑕疵；</w:t>
      </w:r>
    </w:p>
    <w:p w14:paraId="00ED78A2" w14:textId="77777777" w:rsidR="00EB5139" w:rsidRDefault="00EB5139" w:rsidP="00EB5139">
      <w:pPr>
        <w:pStyle w:val="13"/>
      </w:pPr>
      <w:r>
        <w:rPr>
          <w:rFonts w:hint="eastAsia"/>
        </w:rPr>
        <w:t>（</w:t>
      </w:r>
      <w:r>
        <w:t>3）随机选定后无正当理由不能按时完成评估拍卖工作；</w:t>
      </w:r>
    </w:p>
    <w:p w14:paraId="3139A19D" w14:textId="77777777" w:rsidR="00EB5139" w:rsidRDefault="00EB5139" w:rsidP="00EB5139">
      <w:pPr>
        <w:pStyle w:val="13"/>
      </w:pPr>
      <w:r>
        <w:rPr>
          <w:rFonts w:hint="eastAsia"/>
        </w:rPr>
        <w:t>（</w:t>
      </w:r>
      <w:r>
        <w:t>4）其他有关情形。</w:t>
      </w:r>
    </w:p>
    <w:p w14:paraId="0AF9D7CF" w14:textId="77777777" w:rsidR="00EB5139" w:rsidRDefault="00EB5139" w:rsidP="00EB5139">
      <w:pPr>
        <w:pStyle w:val="13"/>
        <w:ind w:firstLine="482"/>
      </w:pPr>
      <w:r w:rsidRPr="00E05BDA">
        <w:rPr>
          <w:rFonts w:hint="eastAsia"/>
          <w:b/>
          <w:bCs/>
        </w:rPr>
        <w:t xml:space="preserve">第九条 </w:t>
      </w:r>
      <w:r>
        <w:t>各高级人民法院可参照本规定，结合各地实际情况，制定实施细则，报最高人民法院备案。</w:t>
      </w:r>
    </w:p>
    <w:p w14:paraId="2DD8E206" w14:textId="77777777" w:rsidR="00EB5139" w:rsidRDefault="00EB5139" w:rsidP="00EB5139">
      <w:pPr>
        <w:pStyle w:val="13"/>
        <w:ind w:firstLine="482"/>
      </w:pPr>
      <w:r w:rsidRPr="00E05BDA">
        <w:rPr>
          <w:rFonts w:hint="eastAsia"/>
          <w:b/>
          <w:bCs/>
        </w:rPr>
        <w:t xml:space="preserve">第十条 </w:t>
      </w:r>
      <w:r>
        <w:t>本规定自2012年1月1日起施行。此前的司法解释和有关规定，与本规定相抵触的，以本规定为准。</w:t>
      </w:r>
    </w:p>
    <w:p w14:paraId="769896AB" w14:textId="77777777" w:rsidR="00EB5139" w:rsidRDefault="00EB5139" w:rsidP="00EB5139">
      <w:pPr>
        <w:pStyle w:val="31"/>
        <w:spacing w:before="156" w:after="62"/>
      </w:pPr>
      <w:bookmarkStart w:id="301" w:name="_Toc81833534"/>
      <w:r>
        <w:rPr>
          <w:rFonts w:hint="eastAsia"/>
        </w:rPr>
        <w:t>《关于人民法院网络司法拍卖若干问题的规定》（法释〔</w:t>
      </w:r>
      <w:r>
        <w:t>2016〕18号）</w:t>
      </w:r>
      <w:bookmarkEnd w:id="301"/>
    </w:p>
    <w:p w14:paraId="56D90D9D" w14:textId="77777777" w:rsidR="00EB5139" w:rsidRDefault="00EB5139" w:rsidP="00EB5139">
      <w:pPr>
        <w:pStyle w:val="13"/>
      </w:pPr>
      <w:r>
        <w:rPr>
          <w:rFonts w:hint="eastAsia"/>
        </w:rPr>
        <w:t>为了规范网络司法拍卖行为，保障网络司法拍卖公开、公平、公正、安全、高效，维护当事人的合法权益，根据《中华人民共和国民事诉讼法》等法律的规定，结合人民法院执行工作的实际，制定本规定。</w:t>
      </w:r>
    </w:p>
    <w:p w14:paraId="5FEC24AA" w14:textId="77777777" w:rsidR="00EB5139" w:rsidRDefault="00EB5139" w:rsidP="00EB5139">
      <w:pPr>
        <w:pStyle w:val="13"/>
        <w:ind w:firstLine="482"/>
      </w:pPr>
      <w:r w:rsidRPr="004E3EBB">
        <w:rPr>
          <w:rFonts w:hint="eastAsia"/>
          <w:b/>
          <w:bCs/>
        </w:rPr>
        <w:t xml:space="preserve">第一条 </w:t>
      </w:r>
      <w:r>
        <w:t>本规定所称的网络司法拍卖，是指人民法院依法通过互联网拍卖平台，以网络电子竞价方式公开处置财产的行为。</w:t>
      </w:r>
    </w:p>
    <w:p w14:paraId="0147656E" w14:textId="77777777" w:rsidR="00EB5139" w:rsidRDefault="00EB5139" w:rsidP="00EB5139">
      <w:pPr>
        <w:pStyle w:val="13"/>
        <w:ind w:firstLine="482"/>
      </w:pPr>
      <w:r w:rsidRPr="004E3EBB">
        <w:rPr>
          <w:rFonts w:hint="eastAsia"/>
          <w:b/>
          <w:bCs/>
        </w:rPr>
        <w:t xml:space="preserve">第二条 </w:t>
      </w:r>
      <w:r>
        <w:t>人民法院以拍卖方式处置财产的，应当采取网络司法拍卖方式，但法律、</w:t>
      </w:r>
      <w:r>
        <w:lastRenderedPageBreak/>
        <w:t>行政法规和司法解释规定必须通过其他途径处置，或者不宜采用网络拍卖方式处置的除外。</w:t>
      </w:r>
    </w:p>
    <w:p w14:paraId="2B0ACE02" w14:textId="77777777" w:rsidR="00EB5139" w:rsidRDefault="00EB5139" w:rsidP="00EB5139">
      <w:pPr>
        <w:pStyle w:val="13"/>
        <w:ind w:firstLine="482"/>
      </w:pPr>
      <w:r w:rsidRPr="004E3EBB">
        <w:rPr>
          <w:rFonts w:hint="eastAsia"/>
          <w:b/>
          <w:bCs/>
        </w:rPr>
        <w:t xml:space="preserve">第三条 </w:t>
      </w:r>
      <w:r>
        <w:t>网络司法拍卖应当在互联网拍卖平台上向社会全程公开，接受社会监督。</w:t>
      </w:r>
    </w:p>
    <w:p w14:paraId="588DDA2C" w14:textId="77777777" w:rsidR="00EB5139" w:rsidRDefault="00EB5139" w:rsidP="00EB5139">
      <w:pPr>
        <w:pStyle w:val="13"/>
        <w:ind w:firstLine="482"/>
      </w:pPr>
      <w:r w:rsidRPr="004E3EBB">
        <w:rPr>
          <w:b/>
          <w:bCs/>
        </w:rPr>
        <w:t xml:space="preserve">第四条 </w:t>
      </w:r>
      <w:r>
        <w:t>最高人民法院建立全国性网络服务提供者名单库。网络服务提供者申请纳</w:t>
      </w:r>
      <w:r>
        <w:rPr>
          <w:rFonts w:hint="eastAsia"/>
        </w:rPr>
        <w:t>入名单库的，其提供的网络司法拍卖平台应当符合下列条件：</w:t>
      </w:r>
    </w:p>
    <w:p w14:paraId="54F7BF35" w14:textId="77777777" w:rsidR="00EB5139" w:rsidRDefault="00EB5139" w:rsidP="00EB5139">
      <w:pPr>
        <w:pStyle w:val="13"/>
      </w:pPr>
      <w:r>
        <w:rPr>
          <w:rFonts w:hint="eastAsia"/>
        </w:rPr>
        <w:t>（一）具备全面展示司法拍卖信息的界面；</w:t>
      </w:r>
    </w:p>
    <w:p w14:paraId="3F6F4818" w14:textId="77777777" w:rsidR="00EB5139" w:rsidRDefault="00EB5139" w:rsidP="00EB5139">
      <w:pPr>
        <w:pStyle w:val="13"/>
      </w:pPr>
      <w:r>
        <w:rPr>
          <w:rFonts w:hint="eastAsia"/>
        </w:rPr>
        <w:t>（二）具备本规定要求的信息公示、网上报名、竞价、结算等功能；</w:t>
      </w:r>
    </w:p>
    <w:p w14:paraId="2B2D9384" w14:textId="77777777" w:rsidR="00EB5139" w:rsidRDefault="00EB5139" w:rsidP="00EB5139">
      <w:pPr>
        <w:pStyle w:val="13"/>
      </w:pPr>
      <w:r>
        <w:rPr>
          <w:rFonts w:hint="eastAsia"/>
        </w:rPr>
        <w:t>（三）具有信息共享、功能齐全、技术拓展等功能的独立系统；</w:t>
      </w:r>
    </w:p>
    <w:p w14:paraId="0E80FDC8" w14:textId="77777777" w:rsidR="00EB5139" w:rsidRDefault="00EB5139" w:rsidP="00EB5139">
      <w:pPr>
        <w:pStyle w:val="13"/>
      </w:pPr>
      <w:r>
        <w:rPr>
          <w:rFonts w:hint="eastAsia"/>
        </w:rPr>
        <w:t>（四）程序运作规范、系统安全高效、服务优质价廉；</w:t>
      </w:r>
    </w:p>
    <w:p w14:paraId="0594986F" w14:textId="77777777" w:rsidR="00EB5139" w:rsidRDefault="00EB5139" w:rsidP="00EB5139">
      <w:pPr>
        <w:pStyle w:val="13"/>
      </w:pPr>
      <w:r>
        <w:rPr>
          <w:rFonts w:hint="eastAsia"/>
        </w:rPr>
        <w:t>（五）在全国具有较高的知名度和广泛的社会参与度。</w:t>
      </w:r>
    </w:p>
    <w:p w14:paraId="30A88556" w14:textId="77777777" w:rsidR="00EB5139" w:rsidRDefault="00EB5139" w:rsidP="00EB5139">
      <w:pPr>
        <w:pStyle w:val="13"/>
      </w:pPr>
      <w:r>
        <w:rPr>
          <w:rFonts w:hint="eastAsia"/>
        </w:rPr>
        <w:t>最高人民法院组成专门的评审委员会，负责网络服务提供者的选定、评审和除名。最高人民法院每年引入第三方评估机构对已纳入和新申请纳入名单库的网络服务提供者予以评审并公布结果。</w:t>
      </w:r>
    </w:p>
    <w:p w14:paraId="4C0FF1C2" w14:textId="77777777" w:rsidR="00EB5139" w:rsidRDefault="00EB5139" w:rsidP="00EB5139">
      <w:pPr>
        <w:pStyle w:val="13"/>
        <w:ind w:firstLine="482"/>
      </w:pPr>
      <w:r w:rsidRPr="004E3EBB">
        <w:rPr>
          <w:rFonts w:hint="eastAsia"/>
          <w:b/>
          <w:bCs/>
        </w:rPr>
        <w:t xml:space="preserve">第五条 </w:t>
      </w:r>
      <w:r>
        <w:t>网络服务提供者由申请执行人从名单库中选择；未选择或者多个申请执行人的选择不一致的，由人民法院指定。</w:t>
      </w:r>
    </w:p>
    <w:p w14:paraId="1ABA7E30" w14:textId="77777777" w:rsidR="00EB5139" w:rsidRDefault="00EB5139" w:rsidP="00EB5139">
      <w:pPr>
        <w:pStyle w:val="13"/>
        <w:ind w:firstLine="482"/>
      </w:pPr>
      <w:r w:rsidRPr="004E3EBB">
        <w:rPr>
          <w:rFonts w:hint="eastAsia"/>
          <w:b/>
          <w:bCs/>
        </w:rPr>
        <w:t xml:space="preserve">第六条 </w:t>
      </w:r>
      <w:r>
        <w:t>实施网络司法拍卖的，人民法院应当履行下列职责：</w:t>
      </w:r>
    </w:p>
    <w:p w14:paraId="7F87C1B0" w14:textId="77777777" w:rsidR="00EB5139" w:rsidRDefault="00EB5139" w:rsidP="00EB5139">
      <w:pPr>
        <w:pStyle w:val="13"/>
      </w:pPr>
      <w:r>
        <w:rPr>
          <w:rFonts w:hint="eastAsia"/>
        </w:rPr>
        <w:t>（一）制作、发布拍卖公告；</w:t>
      </w:r>
    </w:p>
    <w:p w14:paraId="161E7D5E" w14:textId="77777777" w:rsidR="00EB5139" w:rsidRDefault="00EB5139" w:rsidP="00EB5139">
      <w:pPr>
        <w:pStyle w:val="13"/>
      </w:pPr>
      <w:r>
        <w:rPr>
          <w:rFonts w:hint="eastAsia"/>
        </w:rPr>
        <w:t>（二）查明拍卖财产现状、权利负担等内容，并予以说明；</w:t>
      </w:r>
    </w:p>
    <w:p w14:paraId="2ABC3F83" w14:textId="77777777" w:rsidR="00EB5139" w:rsidRDefault="00EB5139" w:rsidP="00EB5139">
      <w:pPr>
        <w:pStyle w:val="13"/>
      </w:pPr>
      <w:r>
        <w:rPr>
          <w:rFonts w:hint="eastAsia"/>
        </w:rPr>
        <w:t>（三）确定拍卖保留价、保证金的数额、税费负担等；</w:t>
      </w:r>
    </w:p>
    <w:p w14:paraId="12DD5F8E" w14:textId="77777777" w:rsidR="00EB5139" w:rsidRDefault="00EB5139" w:rsidP="00EB5139">
      <w:pPr>
        <w:pStyle w:val="13"/>
      </w:pPr>
      <w:r>
        <w:rPr>
          <w:rFonts w:hint="eastAsia"/>
        </w:rPr>
        <w:t>（四）确定保证金、拍卖款项等支付方式；</w:t>
      </w:r>
    </w:p>
    <w:p w14:paraId="51A791B1" w14:textId="77777777" w:rsidR="00EB5139" w:rsidRDefault="00EB5139" w:rsidP="00EB5139">
      <w:pPr>
        <w:pStyle w:val="13"/>
      </w:pPr>
      <w:r>
        <w:rPr>
          <w:rFonts w:hint="eastAsia"/>
        </w:rPr>
        <w:t>（五）通知当事人和优先购买权人；</w:t>
      </w:r>
    </w:p>
    <w:p w14:paraId="248D1B9A" w14:textId="77777777" w:rsidR="00EB5139" w:rsidRDefault="00EB5139" w:rsidP="00EB5139">
      <w:pPr>
        <w:pStyle w:val="13"/>
      </w:pPr>
      <w:r>
        <w:rPr>
          <w:rFonts w:hint="eastAsia"/>
        </w:rPr>
        <w:t>（六）制作拍卖成交裁定；</w:t>
      </w:r>
    </w:p>
    <w:p w14:paraId="5468B6CA" w14:textId="77777777" w:rsidR="00EB5139" w:rsidRDefault="00EB5139" w:rsidP="00EB5139">
      <w:pPr>
        <w:pStyle w:val="13"/>
      </w:pPr>
      <w:r>
        <w:rPr>
          <w:rFonts w:hint="eastAsia"/>
        </w:rPr>
        <w:t>（七）办理财产交付和出具财产权证照转移协助执行通知书；</w:t>
      </w:r>
    </w:p>
    <w:p w14:paraId="50394709" w14:textId="77777777" w:rsidR="00EB5139" w:rsidRDefault="00EB5139" w:rsidP="00EB5139">
      <w:pPr>
        <w:pStyle w:val="13"/>
      </w:pPr>
      <w:r>
        <w:rPr>
          <w:rFonts w:hint="eastAsia"/>
        </w:rPr>
        <w:t>（八）开设网络司法拍卖专用账户；</w:t>
      </w:r>
    </w:p>
    <w:p w14:paraId="40671470" w14:textId="77777777" w:rsidR="00EB5139" w:rsidRDefault="00EB5139" w:rsidP="00EB5139">
      <w:pPr>
        <w:pStyle w:val="13"/>
      </w:pPr>
      <w:r>
        <w:rPr>
          <w:rFonts w:hint="eastAsia"/>
        </w:rPr>
        <w:t>（九）其他依法由人民法院履行的职责。</w:t>
      </w:r>
    </w:p>
    <w:p w14:paraId="4D87E34E" w14:textId="77777777" w:rsidR="00EB5139" w:rsidRDefault="00EB5139" w:rsidP="00EB5139">
      <w:pPr>
        <w:pStyle w:val="13"/>
        <w:ind w:firstLine="482"/>
      </w:pPr>
      <w:r w:rsidRPr="004E3EBB">
        <w:rPr>
          <w:rFonts w:hint="eastAsia"/>
          <w:b/>
          <w:bCs/>
        </w:rPr>
        <w:t xml:space="preserve">第七条 </w:t>
      </w:r>
      <w:r>
        <w:t>实施网络司法拍卖的，人民法院可以将下列拍卖辅助工作委托社会机构或者组织承担：</w:t>
      </w:r>
    </w:p>
    <w:p w14:paraId="71280046" w14:textId="77777777" w:rsidR="00EB5139" w:rsidRDefault="00EB5139" w:rsidP="00EB5139">
      <w:pPr>
        <w:pStyle w:val="13"/>
      </w:pPr>
      <w:r>
        <w:rPr>
          <w:rFonts w:hint="eastAsia"/>
        </w:rPr>
        <w:t>（一）制作拍卖财产的文字说明及视频或者照片等资料；</w:t>
      </w:r>
    </w:p>
    <w:p w14:paraId="269F6E93" w14:textId="77777777" w:rsidR="00EB5139" w:rsidRDefault="00EB5139" w:rsidP="00EB5139">
      <w:pPr>
        <w:pStyle w:val="13"/>
      </w:pPr>
      <w:r>
        <w:rPr>
          <w:rFonts w:hint="eastAsia"/>
        </w:rPr>
        <w:t>（二）展示拍卖财产，接受咨询，引领查看，封存样品等；</w:t>
      </w:r>
    </w:p>
    <w:p w14:paraId="4D61BBAB" w14:textId="77777777" w:rsidR="00EB5139" w:rsidRDefault="00EB5139" w:rsidP="00EB5139">
      <w:pPr>
        <w:pStyle w:val="13"/>
      </w:pPr>
      <w:r>
        <w:rPr>
          <w:rFonts w:hint="eastAsia"/>
        </w:rPr>
        <w:t>（三）拍卖财产的鉴定、检验、评估、审计、仓储、保管、运输等；</w:t>
      </w:r>
    </w:p>
    <w:p w14:paraId="396966CA" w14:textId="77777777" w:rsidR="00EB5139" w:rsidRDefault="00EB5139" w:rsidP="00EB5139">
      <w:pPr>
        <w:pStyle w:val="13"/>
      </w:pPr>
      <w:r>
        <w:rPr>
          <w:rFonts w:hint="eastAsia"/>
        </w:rPr>
        <w:t>（四）其他可以委托的拍卖辅助工作。</w:t>
      </w:r>
    </w:p>
    <w:p w14:paraId="1B991ACB" w14:textId="77777777" w:rsidR="00EB5139" w:rsidRDefault="00EB5139" w:rsidP="00EB5139">
      <w:pPr>
        <w:pStyle w:val="13"/>
      </w:pPr>
      <w:r>
        <w:rPr>
          <w:rFonts w:hint="eastAsia"/>
        </w:rPr>
        <w:t>社会机构或者组织承担网络司法拍卖辅助工作所支出的必要费用由被执行人承担。</w:t>
      </w:r>
    </w:p>
    <w:p w14:paraId="5BA59531" w14:textId="77777777" w:rsidR="00EB5139" w:rsidRDefault="00EB5139" w:rsidP="00EB5139">
      <w:pPr>
        <w:pStyle w:val="13"/>
        <w:ind w:firstLine="482"/>
      </w:pPr>
      <w:r w:rsidRPr="004E3EBB">
        <w:rPr>
          <w:rFonts w:hint="eastAsia"/>
          <w:b/>
          <w:bCs/>
        </w:rPr>
        <w:t xml:space="preserve">第八条 </w:t>
      </w:r>
      <w:r>
        <w:t>实施网络司法拍卖的，下列事项应当由网络服务提供者承担：</w:t>
      </w:r>
    </w:p>
    <w:p w14:paraId="7A596285" w14:textId="77777777" w:rsidR="00EB5139" w:rsidRDefault="00EB5139" w:rsidP="00EB5139">
      <w:pPr>
        <w:pStyle w:val="13"/>
      </w:pPr>
      <w:r>
        <w:rPr>
          <w:rFonts w:hint="eastAsia"/>
        </w:rPr>
        <w:lastRenderedPageBreak/>
        <w:t>（一）提供符合法律、行政法规和司法解释规定的网络司法拍卖平台，并保障安全正常运行；</w:t>
      </w:r>
    </w:p>
    <w:p w14:paraId="522593D5" w14:textId="77777777" w:rsidR="00EB5139" w:rsidRDefault="00EB5139" w:rsidP="00EB5139">
      <w:pPr>
        <w:pStyle w:val="13"/>
      </w:pPr>
      <w:r>
        <w:rPr>
          <w:rFonts w:hint="eastAsia"/>
        </w:rPr>
        <w:t>（二）提供安全便捷配套的电子支付对接系统；</w:t>
      </w:r>
    </w:p>
    <w:p w14:paraId="06A5349D" w14:textId="77777777" w:rsidR="00EB5139" w:rsidRDefault="00EB5139" w:rsidP="00EB5139">
      <w:pPr>
        <w:pStyle w:val="13"/>
      </w:pPr>
      <w:r>
        <w:rPr>
          <w:rFonts w:hint="eastAsia"/>
        </w:rPr>
        <w:t>（三）全面、及时展示人民法院及其委托的社会机构或者组织提供的拍卖信息；</w:t>
      </w:r>
    </w:p>
    <w:p w14:paraId="0AE02389" w14:textId="77777777" w:rsidR="00EB5139" w:rsidRDefault="00EB5139" w:rsidP="00EB5139">
      <w:pPr>
        <w:pStyle w:val="13"/>
      </w:pPr>
      <w:r>
        <w:rPr>
          <w:rFonts w:hint="eastAsia"/>
        </w:rPr>
        <w:t>（四）保证拍卖全程的信息数据真实、准确、完整和安全；</w:t>
      </w:r>
    </w:p>
    <w:p w14:paraId="53BFF099" w14:textId="77777777" w:rsidR="00EB5139" w:rsidRDefault="00EB5139" w:rsidP="00EB5139">
      <w:pPr>
        <w:pStyle w:val="13"/>
      </w:pPr>
      <w:r>
        <w:rPr>
          <w:rFonts w:hint="eastAsia"/>
        </w:rPr>
        <w:t>（五）其他应当由网络服务提供者承担的工作。</w:t>
      </w:r>
    </w:p>
    <w:p w14:paraId="057DEF68" w14:textId="77777777" w:rsidR="00EB5139" w:rsidRDefault="00EB5139" w:rsidP="00EB5139">
      <w:pPr>
        <w:pStyle w:val="13"/>
      </w:pPr>
      <w:r>
        <w:rPr>
          <w:rFonts w:hint="eastAsia"/>
        </w:rPr>
        <w:t>网络服务提供者不得在拍卖程序中设置</w:t>
      </w:r>
      <w:proofErr w:type="gramStart"/>
      <w:r>
        <w:rPr>
          <w:rFonts w:hint="eastAsia"/>
        </w:rPr>
        <w:t>阻碍适格竞买</w:t>
      </w:r>
      <w:proofErr w:type="gramEnd"/>
      <w:r>
        <w:rPr>
          <w:rFonts w:hint="eastAsia"/>
        </w:rPr>
        <w:t>人报名、参拍、竞价以及监视竞买人信息等后台操控功能。</w:t>
      </w:r>
    </w:p>
    <w:p w14:paraId="4B5629BE" w14:textId="77777777" w:rsidR="00EB5139" w:rsidRDefault="00EB5139" w:rsidP="00EB5139">
      <w:pPr>
        <w:pStyle w:val="13"/>
      </w:pPr>
      <w:r>
        <w:rPr>
          <w:rFonts w:hint="eastAsia"/>
        </w:rPr>
        <w:t>网络服务提供者提供的服务无正当理由不得中断。</w:t>
      </w:r>
    </w:p>
    <w:p w14:paraId="438C4A5F" w14:textId="77777777" w:rsidR="00EB5139" w:rsidRDefault="00EB5139" w:rsidP="00EB5139">
      <w:pPr>
        <w:pStyle w:val="13"/>
        <w:ind w:firstLine="482"/>
      </w:pPr>
      <w:r w:rsidRPr="00E05BDA">
        <w:rPr>
          <w:rFonts w:hint="eastAsia"/>
          <w:b/>
          <w:bCs/>
        </w:rPr>
        <w:t xml:space="preserve">第九条 </w:t>
      </w:r>
      <w:r>
        <w:t>网络司法拍卖服务提供者从事与网络司法拍卖相关的行为，应当接受人民法院的管理、监督和指导。</w:t>
      </w:r>
    </w:p>
    <w:p w14:paraId="780DEB03" w14:textId="77777777" w:rsidR="00EB5139" w:rsidRDefault="00EB5139" w:rsidP="00EB5139">
      <w:pPr>
        <w:pStyle w:val="13"/>
        <w:ind w:firstLine="482"/>
      </w:pPr>
      <w:r w:rsidRPr="00E05BDA">
        <w:rPr>
          <w:rFonts w:hint="eastAsia"/>
          <w:b/>
          <w:bCs/>
        </w:rPr>
        <w:t xml:space="preserve">第十条 </w:t>
      </w:r>
      <w:r>
        <w:t>网络司法拍卖应当确定保留价，拍卖保留价即为起拍价。</w:t>
      </w:r>
    </w:p>
    <w:p w14:paraId="48FDBD63" w14:textId="77777777" w:rsidR="00EB5139" w:rsidRDefault="00EB5139" w:rsidP="00EB5139">
      <w:pPr>
        <w:pStyle w:val="13"/>
      </w:pPr>
      <w:r>
        <w:rPr>
          <w:rFonts w:hint="eastAsia"/>
        </w:rPr>
        <w:t>起拍价由人民法院参照评估价确定；未作评估的，参照市价确定，并征询当事人意见。起拍价不得低于评估价或者市价的百分之七十。</w:t>
      </w:r>
    </w:p>
    <w:p w14:paraId="49575D00" w14:textId="77777777" w:rsidR="00EB5139" w:rsidRDefault="00EB5139" w:rsidP="00EB5139">
      <w:pPr>
        <w:pStyle w:val="13"/>
        <w:ind w:firstLine="482"/>
      </w:pPr>
      <w:r w:rsidRPr="00E05BDA">
        <w:rPr>
          <w:rFonts w:hint="eastAsia"/>
          <w:b/>
          <w:bCs/>
        </w:rPr>
        <w:t xml:space="preserve">第十一条 </w:t>
      </w:r>
      <w:r>
        <w:t>网络司法拍卖不限制竞买人数量。一人参与竞拍，出价不低于起拍价的，拍卖成交。</w:t>
      </w:r>
    </w:p>
    <w:p w14:paraId="3797A144" w14:textId="77777777" w:rsidR="00EB5139" w:rsidRDefault="00EB5139" w:rsidP="00EB5139">
      <w:pPr>
        <w:pStyle w:val="13"/>
        <w:ind w:firstLine="482"/>
      </w:pPr>
      <w:r w:rsidRPr="00E05BDA">
        <w:rPr>
          <w:rFonts w:hint="eastAsia"/>
          <w:b/>
          <w:bCs/>
        </w:rPr>
        <w:t xml:space="preserve">第十二条 </w:t>
      </w:r>
      <w:r>
        <w:t>网络司法拍卖应当先期公告，拍卖公告除通过法定途径发布外，还应同时在网络司法拍卖平台发布。拍卖动产的，应当在拍卖十五日前公告；拍卖不动产或者其他财产权的，应当在拍卖三十日前公告。</w:t>
      </w:r>
    </w:p>
    <w:p w14:paraId="4F12867E" w14:textId="77777777" w:rsidR="00EB5139" w:rsidRDefault="00EB5139" w:rsidP="00EB5139">
      <w:pPr>
        <w:pStyle w:val="13"/>
      </w:pPr>
      <w:r>
        <w:rPr>
          <w:rFonts w:hint="eastAsia"/>
        </w:rPr>
        <w:t>拍卖公告应当包括拍卖财产、价格、保证金、竞买人条件、拍卖财产已知瑕疵、相关权利义务、法律责任、拍卖时间、网络平台和拍卖法院等信息。</w:t>
      </w:r>
    </w:p>
    <w:p w14:paraId="14BE72FB" w14:textId="77777777" w:rsidR="00EB5139" w:rsidRDefault="00EB5139" w:rsidP="00EB5139">
      <w:pPr>
        <w:pStyle w:val="13"/>
        <w:ind w:firstLine="482"/>
      </w:pPr>
      <w:r w:rsidRPr="00E05BDA">
        <w:rPr>
          <w:rFonts w:hint="eastAsia"/>
          <w:b/>
          <w:bCs/>
        </w:rPr>
        <w:t xml:space="preserve">第十三条 </w:t>
      </w:r>
      <w:r>
        <w:t>实施网络司法拍卖的，人民法院应当在拍卖公告发布当日通过网络司法拍卖平台公示下列信息：</w:t>
      </w:r>
    </w:p>
    <w:p w14:paraId="694DCD8A" w14:textId="77777777" w:rsidR="00EB5139" w:rsidRDefault="00EB5139" w:rsidP="00EB5139">
      <w:pPr>
        <w:pStyle w:val="13"/>
      </w:pPr>
      <w:r>
        <w:rPr>
          <w:rFonts w:hint="eastAsia"/>
        </w:rPr>
        <w:t>（一）拍卖公告；</w:t>
      </w:r>
    </w:p>
    <w:p w14:paraId="68D31679" w14:textId="77777777" w:rsidR="00EB5139" w:rsidRDefault="00EB5139" w:rsidP="00EB5139">
      <w:pPr>
        <w:pStyle w:val="13"/>
      </w:pPr>
      <w:r>
        <w:rPr>
          <w:rFonts w:hint="eastAsia"/>
        </w:rPr>
        <w:t>（二）执行所依据的法律文书，但法律规定不得公开的除外；</w:t>
      </w:r>
    </w:p>
    <w:p w14:paraId="05121D04" w14:textId="77777777" w:rsidR="00EB5139" w:rsidRDefault="00EB5139" w:rsidP="00EB5139">
      <w:pPr>
        <w:pStyle w:val="13"/>
      </w:pPr>
      <w:r>
        <w:rPr>
          <w:rFonts w:hint="eastAsia"/>
        </w:rPr>
        <w:t>（三）评估报告副本，或者未经评估的定价依据；</w:t>
      </w:r>
    </w:p>
    <w:p w14:paraId="22EFDC00" w14:textId="77777777" w:rsidR="00EB5139" w:rsidRDefault="00EB5139" w:rsidP="00EB5139">
      <w:pPr>
        <w:pStyle w:val="13"/>
      </w:pPr>
      <w:r>
        <w:rPr>
          <w:rFonts w:hint="eastAsia"/>
        </w:rPr>
        <w:t>（四）拍卖时间、起拍价以及竞价规则；</w:t>
      </w:r>
    </w:p>
    <w:p w14:paraId="66D7B2A8" w14:textId="77777777" w:rsidR="00EB5139" w:rsidRDefault="00EB5139" w:rsidP="00EB5139">
      <w:pPr>
        <w:pStyle w:val="13"/>
      </w:pPr>
      <w:r>
        <w:rPr>
          <w:rFonts w:hint="eastAsia"/>
        </w:rPr>
        <w:t>（五）拍卖财产权属、占有使用、附随义务等现状的文字说明、视频或者照片等；</w:t>
      </w:r>
    </w:p>
    <w:p w14:paraId="7BEDBBE2" w14:textId="77777777" w:rsidR="00EB5139" w:rsidRDefault="00EB5139" w:rsidP="00EB5139">
      <w:pPr>
        <w:pStyle w:val="13"/>
      </w:pPr>
      <w:r>
        <w:rPr>
          <w:rFonts w:hint="eastAsia"/>
        </w:rPr>
        <w:t>（六）优先购买权主体以及权利性质；</w:t>
      </w:r>
    </w:p>
    <w:p w14:paraId="6A4DB9AC" w14:textId="77777777" w:rsidR="00EB5139" w:rsidRDefault="00EB5139" w:rsidP="00EB5139">
      <w:pPr>
        <w:pStyle w:val="13"/>
      </w:pPr>
      <w:r>
        <w:rPr>
          <w:rFonts w:hint="eastAsia"/>
        </w:rPr>
        <w:t>（七）通知或者无法通知当事人、已知优先购买权人的情况；</w:t>
      </w:r>
    </w:p>
    <w:p w14:paraId="42D8DCF7" w14:textId="77777777" w:rsidR="00EB5139" w:rsidRDefault="00EB5139" w:rsidP="00EB5139">
      <w:pPr>
        <w:pStyle w:val="13"/>
      </w:pPr>
      <w:r>
        <w:rPr>
          <w:rFonts w:hint="eastAsia"/>
        </w:rPr>
        <w:t>（八）拍卖保证金、拍卖款项支付方式和账户；</w:t>
      </w:r>
    </w:p>
    <w:p w14:paraId="14A1D5A3" w14:textId="77777777" w:rsidR="00EB5139" w:rsidRDefault="00EB5139" w:rsidP="00EB5139">
      <w:pPr>
        <w:pStyle w:val="13"/>
      </w:pPr>
      <w:r>
        <w:rPr>
          <w:rFonts w:hint="eastAsia"/>
        </w:rPr>
        <w:t>（九）拍卖财产产权转移可能产生的税费及承担方式；</w:t>
      </w:r>
    </w:p>
    <w:p w14:paraId="1F8D82E4" w14:textId="77777777" w:rsidR="00EB5139" w:rsidRDefault="00EB5139" w:rsidP="00EB5139">
      <w:pPr>
        <w:pStyle w:val="13"/>
      </w:pPr>
      <w:r>
        <w:rPr>
          <w:rFonts w:hint="eastAsia"/>
        </w:rPr>
        <w:t>（十）执行法院名称，联系、监督方式等；</w:t>
      </w:r>
    </w:p>
    <w:p w14:paraId="12E332E8" w14:textId="77777777" w:rsidR="00EB5139" w:rsidRDefault="00EB5139" w:rsidP="00EB5139">
      <w:pPr>
        <w:pStyle w:val="13"/>
      </w:pPr>
      <w:r>
        <w:rPr>
          <w:rFonts w:hint="eastAsia"/>
        </w:rPr>
        <w:t>（十一）其他应当公示的信息。</w:t>
      </w:r>
    </w:p>
    <w:p w14:paraId="3124AC19" w14:textId="77777777" w:rsidR="00EB5139" w:rsidRDefault="00EB5139" w:rsidP="00EB5139">
      <w:pPr>
        <w:pStyle w:val="13"/>
        <w:ind w:firstLine="482"/>
      </w:pPr>
      <w:r w:rsidRPr="00E05BDA">
        <w:rPr>
          <w:rFonts w:hint="eastAsia"/>
          <w:b/>
          <w:bCs/>
        </w:rPr>
        <w:lastRenderedPageBreak/>
        <w:t xml:space="preserve">第十四条 </w:t>
      </w:r>
      <w:r>
        <w:t>实施网络司法拍卖的，人民法院应当在拍卖公告发布当日通过网络司法拍卖平台对下列事项予以特别提示：</w:t>
      </w:r>
    </w:p>
    <w:p w14:paraId="66EB0F4D" w14:textId="77777777" w:rsidR="00EB5139" w:rsidRDefault="00EB5139" w:rsidP="00EB5139">
      <w:pPr>
        <w:pStyle w:val="13"/>
      </w:pPr>
      <w:r>
        <w:rPr>
          <w:rFonts w:hint="eastAsia"/>
        </w:rPr>
        <w:t>（一）竞买人应当具备完全民事行为能力，法律、行政法规和司法解释对买受人资格或者条件有特殊规定的，竞买人应当具备规定的资格或者条件；</w:t>
      </w:r>
    </w:p>
    <w:p w14:paraId="62B6DD1B" w14:textId="77777777" w:rsidR="00EB5139" w:rsidRDefault="00EB5139" w:rsidP="00EB5139">
      <w:pPr>
        <w:pStyle w:val="13"/>
      </w:pPr>
      <w:r>
        <w:rPr>
          <w:rFonts w:hint="eastAsia"/>
        </w:rPr>
        <w:t>（二）委托他人代为竞买的，应当在竞价程序开始前经人民法院确认，并通知网络服务提供者；</w:t>
      </w:r>
    </w:p>
    <w:p w14:paraId="1C4D3060" w14:textId="77777777" w:rsidR="00EB5139" w:rsidRDefault="00EB5139" w:rsidP="00EB5139">
      <w:pPr>
        <w:pStyle w:val="13"/>
      </w:pPr>
      <w:r>
        <w:rPr>
          <w:rFonts w:hint="eastAsia"/>
        </w:rPr>
        <w:t>（三）拍卖财产已知瑕疵和权利负担；</w:t>
      </w:r>
    </w:p>
    <w:p w14:paraId="58458500" w14:textId="77777777" w:rsidR="00EB5139" w:rsidRDefault="00EB5139" w:rsidP="00EB5139">
      <w:pPr>
        <w:pStyle w:val="13"/>
      </w:pPr>
      <w:r>
        <w:rPr>
          <w:rFonts w:hint="eastAsia"/>
        </w:rPr>
        <w:t>（四）拍卖财产以实物现状为准，竞买人可以申请实地看样；</w:t>
      </w:r>
    </w:p>
    <w:p w14:paraId="7E0C3EB1" w14:textId="77777777" w:rsidR="00EB5139" w:rsidRDefault="00EB5139" w:rsidP="00EB5139">
      <w:pPr>
        <w:pStyle w:val="13"/>
      </w:pPr>
      <w:r>
        <w:rPr>
          <w:rFonts w:hint="eastAsia"/>
        </w:rPr>
        <w:t>（五）竞买人决定参与竞买的，视为对拍卖财产完全了解，并接受拍卖财产一切已知和未知瑕疵；</w:t>
      </w:r>
    </w:p>
    <w:p w14:paraId="36CE0982" w14:textId="77777777" w:rsidR="00EB5139" w:rsidRDefault="00EB5139" w:rsidP="00EB5139">
      <w:pPr>
        <w:pStyle w:val="13"/>
      </w:pPr>
      <w:r>
        <w:rPr>
          <w:rFonts w:hint="eastAsia"/>
        </w:rPr>
        <w:t>（六）载明买受人真实身份的拍卖成交确认书在网络司法拍卖平台上公示；</w:t>
      </w:r>
    </w:p>
    <w:p w14:paraId="194F87C9" w14:textId="77777777" w:rsidR="00EB5139" w:rsidRDefault="00EB5139" w:rsidP="00EB5139">
      <w:pPr>
        <w:pStyle w:val="13"/>
      </w:pPr>
      <w:r>
        <w:rPr>
          <w:rFonts w:hint="eastAsia"/>
        </w:rPr>
        <w:t>（七）买</w:t>
      </w:r>
      <w:proofErr w:type="gramStart"/>
      <w:r>
        <w:rPr>
          <w:rFonts w:hint="eastAsia"/>
        </w:rPr>
        <w:t>受人悔拍后</w:t>
      </w:r>
      <w:proofErr w:type="gramEnd"/>
      <w:r>
        <w:rPr>
          <w:rFonts w:hint="eastAsia"/>
        </w:rPr>
        <w:t>保证金不予退还。</w:t>
      </w:r>
    </w:p>
    <w:p w14:paraId="1B18EF68" w14:textId="77777777" w:rsidR="00EB5139" w:rsidRDefault="00EB5139" w:rsidP="00EB5139">
      <w:pPr>
        <w:pStyle w:val="13"/>
        <w:ind w:firstLine="482"/>
      </w:pPr>
      <w:r w:rsidRPr="00E05BDA">
        <w:rPr>
          <w:rFonts w:hint="eastAsia"/>
          <w:b/>
          <w:bCs/>
        </w:rPr>
        <w:t xml:space="preserve">第十五条 </w:t>
      </w:r>
      <w:r>
        <w:t>被执行人应当提供拍卖财产品质的有关资料和说明。</w:t>
      </w:r>
    </w:p>
    <w:p w14:paraId="26A523E7" w14:textId="77777777" w:rsidR="00EB5139" w:rsidRDefault="00EB5139" w:rsidP="00EB5139">
      <w:pPr>
        <w:pStyle w:val="13"/>
      </w:pPr>
      <w:r>
        <w:rPr>
          <w:rFonts w:hint="eastAsia"/>
        </w:rPr>
        <w:t>人民法院已按本规定第十三条、第十四条的要求予以公示和特别提示，且在拍卖公告中声明不能保证拍卖财产真伪或者品质的，不承担瑕疵担保责任。</w:t>
      </w:r>
    </w:p>
    <w:p w14:paraId="285F1475" w14:textId="77777777" w:rsidR="00EB5139" w:rsidRDefault="00EB5139" w:rsidP="00EB5139">
      <w:pPr>
        <w:pStyle w:val="13"/>
        <w:ind w:firstLine="482"/>
      </w:pPr>
      <w:r w:rsidRPr="00E05BDA">
        <w:rPr>
          <w:rFonts w:hint="eastAsia"/>
          <w:b/>
          <w:bCs/>
        </w:rPr>
        <w:t xml:space="preserve">第十六条 </w:t>
      </w:r>
      <w:r>
        <w:t>网络司法拍卖的事项应当在拍卖公告发布三日前以书面或者其他能够确认收悉的合理方式，通知当事人、已知优先购买权人。权利人书面明确放弃权利的，可以不通知。无法通知的，应当在网络司法拍卖平台公示并说明无法通知的理由，公示满五日视为已经通知。</w:t>
      </w:r>
    </w:p>
    <w:p w14:paraId="62A0A78A" w14:textId="77777777" w:rsidR="00EB5139" w:rsidRDefault="00EB5139" w:rsidP="00EB5139">
      <w:pPr>
        <w:pStyle w:val="13"/>
      </w:pPr>
      <w:r>
        <w:rPr>
          <w:rFonts w:hint="eastAsia"/>
        </w:rPr>
        <w:t>优先购买权人经通知未参与竞买的，视为放弃优先购买权。</w:t>
      </w:r>
    </w:p>
    <w:p w14:paraId="48484D92" w14:textId="77777777" w:rsidR="00EB5139" w:rsidRDefault="00EB5139" w:rsidP="00EB5139">
      <w:pPr>
        <w:pStyle w:val="13"/>
        <w:ind w:firstLine="482"/>
      </w:pPr>
      <w:r w:rsidRPr="00E05BDA">
        <w:rPr>
          <w:rFonts w:hint="eastAsia"/>
          <w:b/>
          <w:bCs/>
        </w:rPr>
        <w:t xml:space="preserve">第十七条 </w:t>
      </w:r>
      <w:r>
        <w:t>保证金数额由人民法院在起拍价的百分之五至百分之二十范围内确定。竞买人应当在参加拍卖前以实名交纳保证金，未交纳的，不得参加竞买。申请执行</w:t>
      </w:r>
      <w:r>
        <w:rPr>
          <w:rFonts w:hint="eastAsia"/>
        </w:rPr>
        <w:t>人参加竞买的，可以不交保证金；但债权数额小于保证金数额的按差额部分交纳。</w:t>
      </w:r>
    </w:p>
    <w:p w14:paraId="18D4BE39" w14:textId="77777777" w:rsidR="00EB5139" w:rsidRDefault="00EB5139" w:rsidP="00EB5139">
      <w:pPr>
        <w:pStyle w:val="13"/>
      </w:pPr>
      <w:r>
        <w:rPr>
          <w:rFonts w:hint="eastAsia"/>
        </w:rPr>
        <w:t>交纳保证金，竞买人可以向人民法院指定的账户交纳，也可以由网络服务提供者在其提供的支付系统中对竞买人的相应款项予以冻结。</w:t>
      </w:r>
    </w:p>
    <w:p w14:paraId="34923E90" w14:textId="77777777" w:rsidR="00EB5139" w:rsidRDefault="00EB5139" w:rsidP="00EB5139">
      <w:pPr>
        <w:pStyle w:val="13"/>
        <w:ind w:firstLine="482"/>
      </w:pPr>
      <w:r w:rsidRPr="00E05BDA">
        <w:rPr>
          <w:rFonts w:hint="eastAsia"/>
          <w:b/>
          <w:bCs/>
        </w:rPr>
        <w:t xml:space="preserve">第十八条 </w:t>
      </w:r>
      <w:r>
        <w:t>竞买人在拍卖竞价程序结束前交纳保证金经人民法院或者网络服务提供者确认后，取得竞买资格。网络服务提供者应当向取得资格的竞买人赋予竞买代码、参拍密码；竞买人以该代码参与竞买。</w:t>
      </w:r>
    </w:p>
    <w:p w14:paraId="6976FA71" w14:textId="77777777" w:rsidR="00EB5139" w:rsidRDefault="00EB5139" w:rsidP="00EB5139">
      <w:pPr>
        <w:pStyle w:val="13"/>
      </w:pPr>
      <w:r>
        <w:rPr>
          <w:rFonts w:hint="eastAsia"/>
        </w:rPr>
        <w:t>网络司法拍卖竞价程序结束前，人民法院及网络服务提供者对竞买人以及其他能够确认竞买人真实身份的信息、密码等，应当予以保密。</w:t>
      </w:r>
    </w:p>
    <w:p w14:paraId="1472C2FB" w14:textId="77777777" w:rsidR="00EB5139" w:rsidRDefault="00EB5139" w:rsidP="00EB5139">
      <w:pPr>
        <w:pStyle w:val="13"/>
        <w:ind w:firstLine="482"/>
      </w:pPr>
      <w:r w:rsidRPr="00E05BDA">
        <w:rPr>
          <w:rFonts w:hint="eastAsia"/>
          <w:b/>
          <w:bCs/>
        </w:rPr>
        <w:t xml:space="preserve">第十九条 </w:t>
      </w:r>
      <w:r>
        <w:t>优先购买权人经人民法院确认后，取得优先竞买资格以及优先竞买代码、参拍密码，并以优先竞买代码参与竞买；未经确认的，不得以优先购买权人身份参与竞买。</w:t>
      </w:r>
    </w:p>
    <w:p w14:paraId="11AEC950" w14:textId="77777777" w:rsidR="00EB5139" w:rsidRDefault="00EB5139" w:rsidP="00EB5139">
      <w:pPr>
        <w:pStyle w:val="13"/>
      </w:pPr>
      <w:r>
        <w:rPr>
          <w:rFonts w:hint="eastAsia"/>
        </w:rPr>
        <w:t>顺序不同的优先购买权人申请参与竞买的，人民法院应当确认其顺序，赋予不同</w:t>
      </w:r>
      <w:r>
        <w:rPr>
          <w:rFonts w:hint="eastAsia"/>
        </w:rPr>
        <w:lastRenderedPageBreak/>
        <w:t>顺序的优先竞买代码。</w:t>
      </w:r>
    </w:p>
    <w:p w14:paraId="796DC964" w14:textId="77777777" w:rsidR="00EB5139" w:rsidRDefault="00EB5139" w:rsidP="00EB5139">
      <w:pPr>
        <w:pStyle w:val="13"/>
        <w:ind w:firstLine="482"/>
      </w:pPr>
      <w:r w:rsidRPr="00E05BDA">
        <w:rPr>
          <w:rFonts w:hint="eastAsia"/>
          <w:b/>
          <w:bCs/>
        </w:rPr>
        <w:t xml:space="preserve">第二十条 </w:t>
      </w:r>
      <w:r>
        <w:t>网络司法拍卖从起拍价开始以递增出价方式竞价，增价幅度由人民法院确定。竞买人以低于起拍价出价的无效。</w:t>
      </w:r>
    </w:p>
    <w:p w14:paraId="03D3FE8A" w14:textId="77777777" w:rsidR="00EB5139" w:rsidRDefault="00EB5139" w:rsidP="00EB5139">
      <w:pPr>
        <w:pStyle w:val="13"/>
      </w:pPr>
      <w:r>
        <w:rPr>
          <w:rFonts w:hint="eastAsia"/>
        </w:rPr>
        <w:t>网络司法拍卖的竞价时间应当不少于二十四小时。竞价程序结束前五分钟内无人出价的，最后出价即为成交价；有出价的，竞价时间自该出价时点顺延五分钟。竞买人的出价时间以进入网络司法拍卖平台服务系统的时间为准。竞买代码及其出价信息应当在网络竞买页面实时显示，并储存、显示竞价全程。</w:t>
      </w:r>
    </w:p>
    <w:p w14:paraId="76D89553" w14:textId="77777777" w:rsidR="00EB5139" w:rsidRDefault="00EB5139" w:rsidP="00EB5139">
      <w:pPr>
        <w:pStyle w:val="13"/>
        <w:ind w:firstLine="482"/>
      </w:pPr>
      <w:r w:rsidRPr="00E05BDA">
        <w:rPr>
          <w:rFonts w:hint="eastAsia"/>
          <w:b/>
          <w:bCs/>
        </w:rPr>
        <w:t xml:space="preserve">第二十一条 </w:t>
      </w:r>
      <w:r>
        <w:t>优先购买权人参与竞买的，可以与其他竞买人以相同的价格出价，没有更高出价的，拍卖财产由优先购买权人竞得。</w:t>
      </w:r>
    </w:p>
    <w:p w14:paraId="6DE57CE6" w14:textId="77777777" w:rsidR="00EB5139" w:rsidRDefault="00EB5139" w:rsidP="00EB5139">
      <w:pPr>
        <w:pStyle w:val="13"/>
      </w:pPr>
      <w:r>
        <w:rPr>
          <w:rFonts w:hint="eastAsia"/>
        </w:rPr>
        <w:t>顺序不同的优先购买权人以相同价格出价的，拍卖财产由顺序在先的优先购买权人竞得。</w:t>
      </w:r>
    </w:p>
    <w:p w14:paraId="17F56530" w14:textId="77777777" w:rsidR="00EB5139" w:rsidRDefault="00EB5139" w:rsidP="00EB5139">
      <w:pPr>
        <w:pStyle w:val="13"/>
      </w:pPr>
      <w:r>
        <w:rPr>
          <w:rFonts w:hint="eastAsia"/>
        </w:rPr>
        <w:t>顺序相同的优先购买权人以相同价格出价的，拍卖财产由出价在先的优先购买权人竞得。</w:t>
      </w:r>
    </w:p>
    <w:p w14:paraId="3C37AFFD" w14:textId="77777777" w:rsidR="00EB5139" w:rsidRDefault="00EB5139" w:rsidP="00EB5139">
      <w:pPr>
        <w:pStyle w:val="13"/>
        <w:ind w:firstLine="482"/>
      </w:pPr>
      <w:r w:rsidRPr="00E05BDA">
        <w:rPr>
          <w:rFonts w:hint="eastAsia"/>
          <w:b/>
          <w:bCs/>
        </w:rPr>
        <w:t xml:space="preserve">第二十二条 </w:t>
      </w:r>
      <w:r>
        <w:t>网络司法拍卖成交的，由网络司法拍卖平台以买受人的真实身份自动生成确认书并公示。</w:t>
      </w:r>
    </w:p>
    <w:p w14:paraId="3F6756AD" w14:textId="77777777" w:rsidR="00EB5139" w:rsidRDefault="00EB5139" w:rsidP="00EB5139">
      <w:pPr>
        <w:pStyle w:val="13"/>
      </w:pPr>
      <w:r>
        <w:rPr>
          <w:rFonts w:hint="eastAsia"/>
        </w:rPr>
        <w:t>拍卖财产所有权自拍卖成交裁定送达买受人时转移。</w:t>
      </w:r>
    </w:p>
    <w:p w14:paraId="7A74F58C" w14:textId="77777777" w:rsidR="00EB5139" w:rsidRDefault="00EB5139" w:rsidP="00EB5139">
      <w:pPr>
        <w:pStyle w:val="13"/>
        <w:ind w:firstLine="482"/>
      </w:pPr>
      <w:r w:rsidRPr="00E05BDA">
        <w:rPr>
          <w:rFonts w:hint="eastAsia"/>
          <w:b/>
          <w:bCs/>
        </w:rPr>
        <w:t xml:space="preserve">第二十三条 </w:t>
      </w:r>
      <w:r>
        <w:t>拍卖成交后，买受人交纳的保证金可以充抵价款；其他竞买人交纳的保证金应当在竞价程序结束后二十四小时内退还或者解冻。拍卖未成交的，竞买人交纳的保证金应当在竞价程序结束后二十四小时内退还或者解冻。</w:t>
      </w:r>
    </w:p>
    <w:p w14:paraId="73FCFFBB" w14:textId="77777777" w:rsidR="00EB5139" w:rsidRDefault="00EB5139" w:rsidP="00EB5139">
      <w:pPr>
        <w:pStyle w:val="13"/>
        <w:ind w:firstLine="482"/>
      </w:pPr>
      <w:r w:rsidRPr="00E05BDA">
        <w:rPr>
          <w:rFonts w:hint="eastAsia"/>
          <w:b/>
          <w:bCs/>
        </w:rPr>
        <w:t xml:space="preserve">第二十四条 </w:t>
      </w:r>
      <w:r>
        <w:t>拍卖成交后买受</w:t>
      </w:r>
      <w:proofErr w:type="gramStart"/>
      <w:r>
        <w:t>人悔拍</w:t>
      </w:r>
      <w:proofErr w:type="gramEnd"/>
      <w:r>
        <w:t>的，交纳的保证金不予退还，依次用于支付拍卖产生的费用损失、弥补重新拍卖价款低于原拍卖价款的差价、冲抵本案被执行人的债务以及与拍卖财产相关的被执行人的债务。</w:t>
      </w:r>
    </w:p>
    <w:p w14:paraId="4BEB9D26" w14:textId="77777777" w:rsidR="00EB5139" w:rsidRDefault="00EB5139" w:rsidP="00EB5139">
      <w:pPr>
        <w:pStyle w:val="13"/>
      </w:pPr>
      <w:proofErr w:type="gramStart"/>
      <w:r>
        <w:rPr>
          <w:rFonts w:hint="eastAsia"/>
        </w:rPr>
        <w:t>悔</w:t>
      </w:r>
      <w:proofErr w:type="gramEnd"/>
      <w:r>
        <w:rPr>
          <w:rFonts w:hint="eastAsia"/>
        </w:rPr>
        <w:t>拍后重新拍卖的，原买受人不得参加竞买。</w:t>
      </w:r>
    </w:p>
    <w:p w14:paraId="28F88A28" w14:textId="77777777" w:rsidR="00EB5139" w:rsidRDefault="00EB5139" w:rsidP="00EB5139">
      <w:pPr>
        <w:pStyle w:val="13"/>
        <w:ind w:firstLine="482"/>
      </w:pPr>
      <w:r w:rsidRPr="00E05BDA">
        <w:rPr>
          <w:rFonts w:hint="eastAsia"/>
          <w:b/>
          <w:bCs/>
        </w:rPr>
        <w:t xml:space="preserve">第二十五条 </w:t>
      </w:r>
      <w:r>
        <w:t>拍卖成交后，买受人应当在拍卖公告确定的期限内将剩余价款交付人民法院指定账户。拍卖成交后二十四小时内，网络服务提供者应当将冻结的买受人交纳的保证金划入人民法院指定账户。</w:t>
      </w:r>
    </w:p>
    <w:p w14:paraId="61D8E1B8" w14:textId="77777777" w:rsidR="00EB5139" w:rsidRDefault="00EB5139" w:rsidP="00EB5139">
      <w:pPr>
        <w:pStyle w:val="13"/>
        <w:ind w:firstLine="482"/>
      </w:pPr>
      <w:r w:rsidRPr="00E05BDA">
        <w:rPr>
          <w:rFonts w:hint="eastAsia"/>
          <w:b/>
          <w:bCs/>
        </w:rPr>
        <w:t xml:space="preserve">第二十六条 </w:t>
      </w:r>
      <w:r>
        <w:t>网络司法拍卖竞价期间无人出价的，本次拍卖流拍。流拍后应当在三十日内在同一网络司法拍卖平台再次拍卖，拍卖动产的应当在拍卖七日前公告；拍卖不动产或者其他财产权的应当在拍卖十五日前公告。再次拍卖的起拍价降价幅度不得超过</w:t>
      </w:r>
      <w:proofErr w:type="gramStart"/>
      <w:r>
        <w:t>前次起</w:t>
      </w:r>
      <w:proofErr w:type="gramEnd"/>
      <w:r>
        <w:t>拍价的百分之二十。</w:t>
      </w:r>
    </w:p>
    <w:p w14:paraId="58582ABB" w14:textId="77777777" w:rsidR="00EB5139" w:rsidRDefault="00EB5139" w:rsidP="00EB5139">
      <w:pPr>
        <w:pStyle w:val="13"/>
      </w:pPr>
      <w:r>
        <w:rPr>
          <w:rFonts w:hint="eastAsia"/>
        </w:rPr>
        <w:t>再次拍卖流拍的，可以依法在同一网络司法拍卖平台变卖。</w:t>
      </w:r>
    </w:p>
    <w:p w14:paraId="496C2E6F" w14:textId="77777777" w:rsidR="00EB5139" w:rsidRDefault="00EB5139" w:rsidP="00EB5139">
      <w:pPr>
        <w:pStyle w:val="13"/>
        <w:ind w:firstLine="482"/>
      </w:pPr>
      <w:r w:rsidRPr="00E05BDA">
        <w:rPr>
          <w:rFonts w:hint="eastAsia"/>
          <w:b/>
          <w:bCs/>
        </w:rPr>
        <w:t xml:space="preserve">第二十七条 </w:t>
      </w:r>
      <w:r>
        <w:t>起拍价及其降价幅度、竞价增价幅度、保证金数额和优先购买权人竞买资格及其顺序等事项，应当由人民法院依法组成合议庭评议确定。</w:t>
      </w:r>
    </w:p>
    <w:p w14:paraId="563E44BF" w14:textId="77777777" w:rsidR="00EB5139" w:rsidRDefault="00EB5139" w:rsidP="00EB5139">
      <w:pPr>
        <w:pStyle w:val="13"/>
        <w:ind w:firstLine="482"/>
      </w:pPr>
      <w:r w:rsidRPr="00E05BDA">
        <w:rPr>
          <w:rFonts w:hint="eastAsia"/>
          <w:b/>
          <w:bCs/>
        </w:rPr>
        <w:t xml:space="preserve">第二十八条 </w:t>
      </w:r>
      <w:r>
        <w:t>网络司法拍卖竞价程序中，有依法应当暂缓、中止执行等情形的，</w:t>
      </w:r>
      <w:r>
        <w:lastRenderedPageBreak/>
        <w:t>人民法院应当决定暂缓或者裁定中止拍卖；人民法院可以自行或者通知网络服务提供者停止拍卖。</w:t>
      </w:r>
    </w:p>
    <w:p w14:paraId="2DE026DC" w14:textId="77777777" w:rsidR="00EB5139" w:rsidRDefault="00EB5139" w:rsidP="00EB5139">
      <w:pPr>
        <w:pStyle w:val="13"/>
      </w:pPr>
      <w:r>
        <w:rPr>
          <w:rFonts w:hint="eastAsia"/>
        </w:rPr>
        <w:t>网络服务提供者发现系统故障、安全隐患等紧急情况的，可以先行暂缓拍卖，并立即报告人民法院。</w:t>
      </w:r>
    </w:p>
    <w:p w14:paraId="0B3F86BD" w14:textId="77777777" w:rsidR="00EB5139" w:rsidRDefault="00EB5139" w:rsidP="00EB5139">
      <w:pPr>
        <w:pStyle w:val="13"/>
      </w:pPr>
      <w:r>
        <w:rPr>
          <w:rFonts w:hint="eastAsia"/>
        </w:rPr>
        <w:t>暂缓或者中止拍卖的，应当及时在网络司法拍卖平台公告原因或者理由。</w:t>
      </w:r>
    </w:p>
    <w:p w14:paraId="1F20B8B5" w14:textId="77777777" w:rsidR="00EB5139" w:rsidRDefault="00EB5139" w:rsidP="00EB5139">
      <w:pPr>
        <w:pStyle w:val="13"/>
      </w:pPr>
      <w:r>
        <w:rPr>
          <w:rFonts w:hint="eastAsia"/>
        </w:rPr>
        <w:t>暂缓拍卖期限届满或者中止拍卖的事由消失后，需要继续拍卖的，应当在五日内恢复拍卖。</w:t>
      </w:r>
    </w:p>
    <w:p w14:paraId="455ACC7F" w14:textId="77777777" w:rsidR="00EB5139" w:rsidRDefault="00EB5139" w:rsidP="00EB5139">
      <w:pPr>
        <w:pStyle w:val="13"/>
        <w:ind w:firstLine="482"/>
      </w:pPr>
      <w:r w:rsidRPr="00E05BDA">
        <w:rPr>
          <w:rFonts w:hint="eastAsia"/>
          <w:b/>
          <w:bCs/>
        </w:rPr>
        <w:t xml:space="preserve">第二十九条 </w:t>
      </w:r>
      <w:r>
        <w:t>网络服务提供者对拍卖形成的电子数据，应当完整保存不少于十年，但法律、行政法规另有规定的除外。</w:t>
      </w:r>
    </w:p>
    <w:p w14:paraId="47640EAF" w14:textId="77777777" w:rsidR="00EB5139" w:rsidRDefault="00EB5139" w:rsidP="00EB5139">
      <w:pPr>
        <w:pStyle w:val="13"/>
        <w:ind w:firstLine="482"/>
      </w:pPr>
      <w:r w:rsidRPr="00E05BDA">
        <w:rPr>
          <w:rFonts w:hint="eastAsia"/>
          <w:b/>
          <w:bCs/>
        </w:rPr>
        <w:t xml:space="preserve">第三十条 </w:t>
      </w:r>
      <w:r>
        <w:t>因网络司法拍卖本身形成的税费，应当依照相关法律、行政法规的规定，由相应主体承担；没有规定或者规定不明的，人民法院可以根据法律原则和案件实际情况确定税费承担的相关主体、数额。</w:t>
      </w:r>
    </w:p>
    <w:p w14:paraId="649434A7" w14:textId="77777777" w:rsidR="00EB5139" w:rsidRDefault="00EB5139" w:rsidP="00EB5139">
      <w:pPr>
        <w:pStyle w:val="13"/>
        <w:ind w:firstLine="482"/>
      </w:pPr>
      <w:r w:rsidRPr="0080166F">
        <w:rPr>
          <w:rFonts w:hint="eastAsia"/>
          <w:b/>
          <w:bCs/>
        </w:rPr>
        <w:t>第三十一条</w:t>
      </w:r>
      <w:r>
        <w:t>当事人、利害关系人提出异议请求撤销网络司法拍卖，符合下列情形</w:t>
      </w:r>
      <w:r>
        <w:rPr>
          <w:rFonts w:hint="eastAsia"/>
        </w:rPr>
        <w:t>之一的，人民法院应当支持：</w:t>
      </w:r>
    </w:p>
    <w:p w14:paraId="24B4C5C8" w14:textId="77777777" w:rsidR="00EB5139" w:rsidRDefault="00EB5139" w:rsidP="00EB5139">
      <w:pPr>
        <w:pStyle w:val="13"/>
      </w:pPr>
      <w:r>
        <w:rPr>
          <w:rFonts w:hint="eastAsia"/>
        </w:rPr>
        <w:t>（一）由于拍卖财产的文字说明、视频或者照片展示以及瑕疵说明严重失实，致使买受人产生重大误解，购买目的无法实现的，但拍卖时的技术水平不能发现或者已经就相关瑕疵以及责任承担予以公示说明的除外；</w:t>
      </w:r>
    </w:p>
    <w:p w14:paraId="46145EB3" w14:textId="77777777" w:rsidR="00EB5139" w:rsidRDefault="00EB5139" w:rsidP="00EB5139">
      <w:pPr>
        <w:pStyle w:val="13"/>
      </w:pPr>
      <w:r>
        <w:rPr>
          <w:rFonts w:hint="eastAsia"/>
        </w:rPr>
        <w:t>（二）由于系统故障、病毒入侵、黑客攻击、数据错误等原因致使拍卖结果错误，</w:t>
      </w:r>
      <w:r>
        <w:t>严重损害当事人或者其他竞买人利益的；</w:t>
      </w:r>
    </w:p>
    <w:p w14:paraId="1681D917" w14:textId="77777777" w:rsidR="00EB5139" w:rsidRDefault="00EB5139" w:rsidP="00EB5139">
      <w:pPr>
        <w:pStyle w:val="13"/>
      </w:pPr>
      <w:r>
        <w:rPr>
          <w:rFonts w:hint="eastAsia"/>
        </w:rPr>
        <w:t>（三）竞买人之间，竞买人与网络司法拍卖服务提供者之间恶意串通，损害当事人或者其他竞买人利益的；</w:t>
      </w:r>
    </w:p>
    <w:p w14:paraId="0E71F597" w14:textId="77777777" w:rsidR="00EB5139" w:rsidRDefault="00EB5139" w:rsidP="00EB5139">
      <w:pPr>
        <w:pStyle w:val="13"/>
      </w:pPr>
      <w:r>
        <w:rPr>
          <w:rFonts w:hint="eastAsia"/>
        </w:rPr>
        <w:t>（四）买受人不具备法律、行政法规和司法解释规定的竞买资格的；</w:t>
      </w:r>
    </w:p>
    <w:p w14:paraId="44E7581B" w14:textId="77777777" w:rsidR="00EB5139" w:rsidRDefault="00EB5139" w:rsidP="00EB5139">
      <w:pPr>
        <w:pStyle w:val="13"/>
      </w:pPr>
      <w:r>
        <w:rPr>
          <w:rFonts w:hint="eastAsia"/>
        </w:rPr>
        <w:t>（五）违法限制竞买人参加竞买或者对享有同等权利的竞买人规定不同竞买条件的；</w:t>
      </w:r>
    </w:p>
    <w:p w14:paraId="7A2BCAC3" w14:textId="77777777" w:rsidR="00EB5139" w:rsidRDefault="00EB5139" w:rsidP="00EB5139">
      <w:pPr>
        <w:pStyle w:val="13"/>
      </w:pPr>
      <w:r>
        <w:rPr>
          <w:rFonts w:hint="eastAsia"/>
        </w:rPr>
        <w:t>（六）其他严重违反网络司法拍卖程序且损害当事人或者竞买人利益的情形。</w:t>
      </w:r>
    </w:p>
    <w:p w14:paraId="7D0E9B90" w14:textId="77777777" w:rsidR="00EB5139" w:rsidRDefault="00EB5139" w:rsidP="00EB5139">
      <w:pPr>
        <w:pStyle w:val="13"/>
        <w:ind w:firstLine="482"/>
      </w:pPr>
      <w:r w:rsidRPr="003B2FB1">
        <w:rPr>
          <w:rFonts w:hint="eastAsia"/>
          <w:b/>
          <w:bCs/>
        </w:rPr>
        <w:t xml:space="preserve">第三十二条 </w:t>
      </w:r>
      <w:r>
        <w:t>网络司法拍卖被人民法院撤销，当事人、利害关系人、案外人认为人民法院的拍卖行为违法致使其合法权益遭受损害的，可以依法申请国家赔偿；认为其他主体的行为违法致使其合法权益遭受损害的，可以另行提起诉讼。</w:t>
      </w:r>
    </w:p>
    <w:p w14:paraId="3472E5EA" w14:textId="77777777" w:rsidR="00EB5139" w:rsidRDefault="00EB5139" w:rsidP="00EB5139">
      <w:pPr>
        <w:pStyle w:val="13"/>
        <w:ind w:firstLine="482"/>
      </w:pPr>
      <w:r w:rsidRPr="003B2FB1">
        <w:rPr>
          <w:rFonts w:hint="eastAsia"/>
          <w:b/>
          <w:bCs/>
        </w:rPr>
        <w:t xml:space="preserve">第三十三条 </w:t>
      </w:r>
      <w:r>
        <w:t>当事人、利害关系人、案外人认为网络司法拍卖服务提供者的行为违法致使其合法权益遭受损害的，可以另行提起诉讼；理由成立的，人民法院应当支持，但具有法定免责事由的除外。</w:t>
      </w:r>
    </w:p>
    <w:p w14:paraId="36EB0C90" w14:textId="77777777" w:rsidR="00EB5139" w:rsidRDefault="00EB5139" w:rsidP="00EB5139">
      <w:pPr>
        <w:pStyle w:val="13"/>
        <w:ind w:firstLine="482"/>
      </w:pPr>
      <w:r w:rsidRPr="003B2FB1">
        <w:rPr>
          <w:rFonts w:hint="eastAsia"/>
          <w:b/>
          <w:bCs/>
        </w:rPr>
        <w:t xml:space="preserve">第三十四条 </w:t>
      </w:r>
      <w:r>
        <w:t>实施网络司法拍卖的，下列机构和人员不得竞买并不得委托他人代为竞买与其行为相关的拍卖财产：</w:t>
      </w:r>
    </w:p>
    <w:p w14:paraId="724DBFE2" w14:textId="77777777" w:rsidR="00EB5139" w:rsidRDefault="00EB5139" w:rsidP="00EB5139">
      <w:pPr>
        <w:pStyle w:val="13"/>
      </w:pPr>
      <w:r>
        <w:rPr>
          <w:rFonts w:hint="eastAsia"/>
        </w:rPr>
        <w:t>（一）负责执行的人民法院；</w:t>
      </w:r>
    </w:p>
    <w:p w14:paraId="2BC73D8F" w14:textId="77777777" w:rsidR="00EB5139" w:rsidRDefault="00EB5139" w:rsidP="00EB5139">
      <w:pPr>
        <w:pStyle w:val="13"/>
      </w:pPr>
      <w:r>
        <w:rPr>
          <w:rFonts w:hint="eastAsia"/>
        </w:rPr>
        <w:lastRenderedPageBreak/>
        <w:t>（二）网络服务提供者；</w:t>
      </w:r>
    </w:p>
    <w:p w14:paraId="1591658D" w14:textId="77777777" w:rsidR="00EB5139" w:rsidRDefault="00EB5139" w:rsidP="00EB5139">
      <w:pPr>
        <w:pStyle w:val="13"/>
      </w:pPr>
      <w:r>
        <w:rPr>
          <w:rFonts w:hint="eastAsia"/>
        </w:rPr>
        <w:t>（三）承担拍卖辅助工作的社会机构或者组织；</w:t>
      </w:r>
    </w:p>
    <w:p w14:paraId="05F19A75" w14:textId="77777777" w:rsidR="00EB5139" w:rsidRDefault="00EB5139" w:rsidP="00EB5139">
      <w:pPr>
        <w:pStyle w:val="13"/>
      </w:pPr>
      <w:r>
        <w:rPr>
          <w:rFonts w:hint="eastAsia"/>
        </w:rPr>
        <w:t>（四）第（一）至（三）项规定主体的工作人员及其近亲属。</w:t>
      </w:r>
    </w:p>
    <w:p w14:paraId="20BF31E1" w14:textId="77777777" w:rsidR="00EB5139" w:rsidRDefault="00EB5139" w:rsidP="00EB5139">
      <w:pPr>
        <w:pStyle w:val="13"/>
        <w:ind w:firstLine="482"/>
      </w:pPr>
      <w:r w:rsidRPr="003B2FB1">
        <w:rPr>
          <w:rFonts w:hint="eastAsia"/>
          <w:b/>
          <w:bCs/>
        </w:rPr>
        <w:t xml:space="preserve">第三十五条 </w:t>
      </w:r>
      <w:r>
        <w:t>网络服务提供者有下列情形之一的，应当将其从名单库中除名:</w:t>
      </w:r>
    </w:p>
    <w:p w14:paraId="61E94121" w14:textId="77777777" w:rsidR="00EB5139" w:rsidRDefault="00EB5139" w:rsidP="00EB5139">
      <w:pPr>
        <w:pStyle w:val="13"/>
      </w:pPr>
      <w:r>
        <w:rPr>
          <w:rFonts w:hint="eastAsia"/>
        </w:rPr>
        <w:t>（一）存在违反本规定第八条第二款规定操控拍卖程序、修改拍卖信息等行为的；</w:t>
      </w:r>
    </w:p>
    <w:p w14:paraId="4C747843" w14:textId="77777777" w:rsidR="00EB5139" w:rsidRDefault="00EB5139" w:rsidP="00EB5139">
      <w:pPr>
        <w:pStyle w:val="13"/>
      </w:pPr>
      <w:r>
        <w:rPr>
          <w:rFonts w:hint="eastAsia"/>
        </w:rPr>
        <w:t>（二）存在恶意串通、弄虚作假、泄漏保密信息等行为的；</w:t>
      </w:r>
    </w:p>
    <w:p w14:paraId="2B36840C" w14:textId="77777777" w:rsidR="00EB5139" w:rsidRDefault="00EB5139" w:rsidP="00EB5139">
      <w:pPr>
        <w:pStyle w:val="13"/>
      </w:pPr>
      <w:r>
        <w:rPr>
          <w:rFonts w:hint="eastAsia"/>
        </w:rPr>
        <w:t>（三）因违反法律、行政法规和司法解释等规定受到处罚，不适于继续从事网络司法拍卖的；</w:t>
      </w:r>
    </w:p>
    <w:p w14:paraId="657494CD" w14:textId="77777777" w:rsidR="00EB5139" w:rsidRDefault="00EB5139" w:rsidP="00EB5139">
      <w:pPr>
        <w:pStyle w:val="13"/>
      </w:pPr>
      <w:r>
        <w:rPr>
          <w:rFonts w:hint="eastAsia"/>
        </w:rPr>
        <w:t>（四）存在违反本规定第三十四条规定行为的；</w:t>
      </w:r>
    </w:p>
    <w:p w14:paraId="447D7183" w14:textId="77777777" w:rsidR="00EB5139" w:rsidRDefault="00EB5139" w:rsidP="00EB5139">
      <w:pPr>
        <w:pStyle w:val="13"/>
      </w:pPr>
      <w:r>
        <w:rPr>
          <w:rFonts w:hint="eastAsia"/>
        </w:rPr>
        <w:t>（五）其他应当除名的情形。</w:t>
      </w:r>
    </w:p>
    <w:p w14:paraId="1B787DCB" w14:textId="77777777" w:rsidR="00EB5139" w:rsidRDefault="00EB5139" w:rsidP="00EB5139">
      <w:pPr>
        <w:pStyle w:val="13"/>
      </w:pPr>
      <w:r>
        <w:rPr>
          <w:rFonts w:hint="eastAsia"/>
        </w:rPr>
        <w:t>网络服务提供者有前款规定情形之一，人民法院可以依照《中华人民共和国民事诉讼法》的相关规定予以处理。</w:t>
      </w:r>
    </w:p>
    <w:p w14:paraId="787E87FE" w14:textId="77777777" w:rsidR="00EB5139" w:rsidRDefault="00EB5139" w:rsidP="00EB5139">
      <w:pPr>
        <w:pStyle w:val="13"/>
        <w:ind w:firstLine="482"/>
      </w:pPr>
      <w:r w:rsidRPr="003B2FB1">
        <w:rPr>
          <w:rFonts w:hint="eastAsia"/>
          <w:b/>
          <w:bCs/>
        </w:rPr>
        <w:t xml:space="preserve">第三十六条 </w:t>
      </w:r>
      <w:r>
        <w:t>当事人、利害关系人认为网络司法拍卖行为违法侵害其合法权益的，可以提出执行异议。异议、复议期间，人民法院可以决定暂缓或者裁定中止拍卖。</w:t>
      </w:r>
      <w:r>
        <w:rPr>
          <w:rFonts w:hint="eastAsia"/>
        </w:rPr>
        <w:t>案外人对网络司法拍卖的标的提出异议的，人民法院应当依据《中华人民共和国民事诉讼法》第二百二十七条及相关司法解释的规定处理，并决定暂缓或者裁定中止拍卖。</w:t>
      </w:r>
    </w:p>
    <w:p w14:paraId="293424C5" w14:textId="77777777" w:rsidR="00EB5139" w:rsidRDefault="00EB5139" w:rsidP="00EB5139">
      <w:pPr>
        <w:pStyle w:val="13"/>
        <w:ind w:firstLine="482"/>
      </w:pPr>
      <w:r w:rsidRPr="003B2FB1">
        <w:rPr>
          <w:rFonts w:hint="eastAsia"/>
          <w:b/>
          <w:bCs/>
        </w:rPr>
        <w:t xml:space="preserve">第三十七条 </w:t>
      </w:r>
      <w:r>
        <w:t>人民法院通过互联网平台以变卖方式处置财产的，参照本规定执行。执行程序中委托拍卖机构通过互联网平台实施网络拍卖的，参照本规定执行。</w:t>
      </w:r>
    </w:p>
    <w:p w14:paraId="50735908" w14:textId="77777777" w:rsidR="00EB5139" w:rsidRDefault="00EB5139" w:rsidP="00EB5139">
      <w:pPr>
        <w:pStyle w:val="13"/>
      </w:pPr>
      <w:r>
        <w:rPr>
          <w:rFonts w:hint="eastAsia"/>
        </w:rPr>
        <w:t>本规定对网络司法拍卖行为没有规定的，适用其他有关司法拍卖的规定。</w:t>
      </w:r>
    </w:p>
    <w:p w14:paraId="742B5BF9" w14:textId="77777777" w:rsidR="00EB5139" w:rsidRDefault="00EB5139" w:rsidP="00EB5139">
      <w:pPr>
        <w:pStyle w:val="13"/>
        <w:ind w:firstLine="482"/>
      </w:pPr>
      <w:r w:rsidRPr="003B2FB1">
        <w:rPr>
          <w:rFonts w:hint="eastAsia"/>
          <w:b/>
          <w:bCs/>
        </w:rPr>
        <w:t xml:space="preserve">第三十八条 </w:t>
      </w:r>
      <w:r>
        <w:t>本规定自2017年1月1日起施行。施行前最高人民法院公布的司法解释和规范性文件与本规定不一致的，以本规定为准。</w:t>
      </w:r>
    </w:p>
    <w:p w14:paraId="10617556" w14:textId="77777777" w:rsidR="00EB5139" w:rsidRDefault="00EB5139" w:rsidP="00EB5139">
      <w:pPr>
        <w:pStyle w:val="31"/>
        <w:spacing w:before="156" w:after="62"/>
      </w:pPr>
      <w:bookmarkStart w:id="302" w:name="_Toc81833535"/>
      <w:r>
        <w:rPr>
          <w:rFonts w:hint="eastAsia"/>
        </w:rPr>
        <w:t>《关于审理民事、行政诉讼中司法赔偿案件适用法律若干问题的解释》</w:t>
      </w:r>
      <w:r>
        <w:br/>
      </w:r>
      <w:r>
        <w:rPr>
          <w:rFonts w:hint="eastAsia"/>
        </w:rPr>
        <w:t>（法释〔</w:t>
      </w:r>
      <w:r>
        <w:t>2016〕20号）</w:t>
      </w:r>
      <w:bookmarkEnd w:id="302"/>
    </w:p>
    <w:p w14:paraId="05DF1C98" w14:textId="77777777" w:rsidR="00EB5139" w:rsidRDefault="00EB5139" w:rsidP="00EB5139">
      <w:pPr>
        <w:pStyle w:val="13"/>
        <w:ind w:firstLine="482"/>
      </w:pPr>
      <w:r w:rsidRPr="004E3EBB">
        <w:rPr>
          <w:rFonts w:hint="eastAsia"/>
          <w:b/>
          <w:bCs/>
        </w:rPr>
        <w:t xml:space="preserve">第五条 </w:t>
      </w:r>
      <w:r>
        <w:t>对判决、裁定及其他生效法律文书执行错误，包括以下情形：</w:t>
      </w:r>
    </w:p>
    <w:p w14:paraId="5B58971C" w14:textId="77777777" w:rsidR="00EB5139" w:rsidRDefault="00EB5139" w:rsidP="00EB5139">
      <w:pPr>
        <w:pStyle w:val="13"/>
      </w:pPr>
      <w:r>
        <w:rPr>
          <w:rFonts w:hint="eastAsia"/>
        </w:rPr>
        <w:t>（一）执行未生效法律文书的；</w:t>
      </w:r>
    </w:p>
    <w:p w14:paraId="70A9E73C" w14:textId="77777777" w:rsidR="00EB5139" w:rsidRDefault="00EB5139" w:rsidP="00EB5139">
      <w:pPr>
        <w:pStyle w:val="13"/>
      </w:pPr>
      <w:r>
        <w:rPr>
          <w:rFonts w:hint="eastAsia"/>
        </w:rPr>
        <w:t>（二）超出生效法律文书确定的数额和范围执行的；</w:t>
      </w:r>
    </w:p>
    <w:p w14:paraId="4118CF60" w14:textId="77777777" w:rsidR="00EB5139" w:rsidRDefault="00EB5139" w:rsidP="00EB5139">
      <w:pPr>
        <w:pStyle w:val="13"/>
      </w:pPr>
      <w:r>
        <w:rPr>
          <w:rFonts w:hint="eastAsia"/>
        </w:rPr>
        <w:t>（三）对已经发现的被执行人的财产，故意拖延执行或者不执行，导致被执行财产流失的；</w:t>
      </w:r>
    </w:p>
    <w:p w14:paraId="6FD862F9" w14:textId="77777777" w:rsidR="00EB5139" w:rsidRDefault="00EB5139" w:rsidP="00EB5139">
      <w:pPr>
        <w:pStyle w:val="13"/>
      </w:pPr>
      <w:r>
        <w:rPr>
          <w:rFonts w:hint="eastAsia"/>
        </w:rPr>
        <w:t>（四）应当恢复执行而不恢复，导致被执行财产流失的；</w:t>
      </w:r>
    </w:p>
    <w:p w14:paraId="5B59E723" w14:textId="77777777" w:rsidR="00EB5139" w:rsidRDefault="00EB5139" w:rsidP="00EB5139">
      <w:pPr>
        <w:pStyle w:val="13"/>
      </w:pPr>
      <w:r>
        <w:rPr>
          <w:rFonts w:hint="eastAsia"/>
        </w:rPr>
        <w:t>（五）违法执行案外人财产的；</w:t>
      </w:r>
    </w:p>
    <w:p w14:paraId="23050D26" w14:textId="77777777" w:rsidR="00EB5139" w:rsidRDefault="00EB5139" w:rsidP="00EB5139">
      <w:pPr>
        <w:pStyle w:val="13"/>
      </w:pPr>
      <w:r>
        <w:rPr>
          <w:rFonts w:hint="eastAsia"/>
        </w:rPr>
        <w:t>（六）违法将案件执行款物执行给其他当事人或者案外人的；</w:t>
      </w:r>
    </w:p>
    <w:p w14:paraId="13D61FB5" w14:textId="77777777" w:rsidR="00EB5139" w:rsidRDefault="00EB5139" w:rsidP="00EB5139">
      <w:pPr>
        <w:pStyle w:val="13"/>
      </w:pPr>
      <w:r>
        <w:rPr>
          <w:rFonts w:hint="eastAsia"/>
        </w:rPr>
        <w:t>（七）违法对抵押物、质物或者留置物采取执行措施，致使抵押权人、质权人或</w:t>
      </w:r>
      <w:r>
        <w:rPr>
          <w:rFonts w:hint="eastAsia"/>
        </w:rPr>
        <w:lastRenderedPageBreak/>
        <w:t>者留置权人的优先受偿</w:t>
      </w:r>
      <w:proofErr w:type="gramStart"/>
      <w:r>
        <w:rPr>
          <w:rFonts w:hint="eastAsia"/>
        </w:rPr>
        <w:t>权无法</w:t>
      </w:r>
      <w:proofErr w:type="gramEnd"/>
      <w:r>
        <w:rPr>
          <w:rFonts w:hint="eastAsia"/>
        </w:rPr>
        <w:t>实现的；</w:t>
      </w:r>
    </w:p>
    <w:p w14:paraId="188B1F60" w14:textId="77777777" w:rsidR="00EB5139" w:rsidRDefault="00EB5139" w:rsidP="00EB5139">
      <w:pPr>
        <w:pStyle w:val="13"/>
      </w:pPr>
      <w:r>
        <w:rPr>
          <w:rFonts w:hint="eastAsia"/>
        </w:rPr>
        <w:t>（八）对执行中查封、扣押、冻结的财产不履行监管职责，造成财产毁损、灭失的；</w:t>
      </w:r>
    </w:p>
    <w:p w14:paraId="2C3F5754" w14:textId="77777777" w:rsidR="00EB5139" w:rsidRDefault="00EB5139" w:rsidP="00EB5139">
      <w:pPr>
        <w:pStyle w:val="13"/>
      </w:pPr>
      <w:r>
        <w:rPr>
          <w:rFonts w:hint="eastAsia"/>
        </w:rPr>
        <w:t>（九）对季节性商品或者鲜活、易腐烂变质以及其他不宜长期保存的物品采取执行措施，未及时处理或者违法处理，造成物品毁损或者严重贬值的；</w:t>
      </w:r>
    </w:p>
    <w:p w14:paraId="150606DD" w14:textId="77777777" w:rsidR="00EB5139" w:rsidRDefault="00EB5139" w:rsidP="00EB5139">
      <w:pPr>
        <w:pStyle w:val="13"/>
      </w:pPr>
      <w:r>
        <w:rPr>
          <w:rFonts w:hint="eastAsia"/>
        </w:rPr>
        <w:t>（十）对执行财产应当拍卖而未依法拍卖的，或者应当由资产评估机构评估而未依法评估，违法变卖或者以物抵债的；</w:t>
      </w:r>
    </w:p>
    <w:p w14:paraId="2341FB7E" w14:textId="77777777" w:rsidR="00EB5139" w:rsidRDefault="00EB5139" w:rsidP="00EB5139">
      <w:pPr>
        <w:pStyle w:val="13"/>
      </w:pPr>
      <w:r>
        <w:rPr>
          <w:rFonts w:hint="eastAsia"/>
        </w:rPr>
        <w:t>（十一）其他错误情形。</w:t>
      </w:r>
    </w:p>
    <w:p w14:paraId="4876DA29" w14:textId="37AFF005" w:rsidR="00FA0363" w:rsidRDefault="00FA0363" w:rsidP="00FA0363">
      <w:pPr>
        <w:pStyle w:val="31"/>
        <w:spacing w:before="156" w:after="62"/>
      </w:pPr>
      <w:bookmarkStart w:id="303" w:name="_Toc81833536"/>
      <w:r>
        <w:rPr>
          <w:rFonts w:hint="eastAsia"/>
        </w:rPr>
        <w:t>《关于人民法院确定财产处置参考价若干问题的规定》（法释〔</w:t>
      </w:r>
      <w:r>
        <w:t>2018〕15号）</w:t>
      </w:r>
      <w:bookmarkEnd w:id="303"/>
    </w:p>
    <w:p w14:paraId="129C2E6A" w14:textId="77777777" w:rsidR="00FA0363" w:rsidRDefault="00FA0363" w:rsidP="00FA0363">
      <w:pPr>
        <w:pStyle w:val="13"/>
      </w:pPr>
      <w:r>
        <w:rPr>
          <w:rFonts w:hint="eastAsia"/>
        </w:rPr>
        <w:t>《最高人民法院关于人民法院确定财产处置参考价若干问题的规定》已于</w:t>
      </w:r>
      <w:r>
        <w:t>2018年6月4日由最高人民法院审判委员会第1741次会议通过，现予公布，自2018年9月1</w:t>
      </w:r>
      <w:r>
        <w:rPr>
          <w:rFonts w:hint="eastAsia"/>
        </w:rPr>
        <w:t>日起施行。</w:t>
      </w:r>
    </w:p>
    <w:p w14:paraId="0CAD51FB" w14:textId="77777777" w:rsidR="00FA0363" w:rsidRDefault="00FA0363" w:rsidP="00FA0363">
      <w:pPr>
        <w:pStyle w:val="13"/>
        <w:jc w:val="right"/>
      </w:pPr>
      <w:r>
        <w:rPr>
          <w:rFonts w:hint="eastAsia"/>
        </w:rPr>
        <w:t>最高人民法院</w:t>
      </w:r>
    </w:p>
    <w:p w14:paraId="702EC9DF" w14:textId="77777777" w:rsidR="00FA0363" w:rsidRDefault="00FA0363" w:rsidP="00FA0363">
      <w:pPr>
        <w:pStyle w:val="13"/>
        <w:jc w:val="right"/>
      </w:pPr>
      <w:r>
        <w:t>2018年8月28日</w:t>
      </w:r>
    </w:p>
    <w:p w14:paraId="4E0358FC" w14:textId="77777777" w:rsidR="00FA0363" w:rsidRDefault="00FA0363" w:rsidP="00AF7342">
      <w:pPr>
        <w:pStyle w:val="a9"/>
        <w:spacing w:before="62" w:after="62"/>
      </w:pPr>
      <w:r>
        <w:rPr>
          <w:rFonts w:hint="eastAsia"/>
        </w:rPr>
        <w:t>关于人民法院确定财产处置参考价若干问题的规定</w:t>
      </w:r>
    </w:p>
    <w:p w14:paraId="7179A7D1" w14:textId="77777777" w:rsidR="00FA0363" w:rsidRDefault="00FA0363" w:rsidP="00FA0363">
      <w:pPr>
        <w:pStyle w:val="13"/>
      </w:pPr>
      <w:r>
        <w:rPr>
          <w:rFonts w:hint="eastAsia"/>
        </w:rPr>
        <w:t>为公平、公正、高效确定财产处置参考价，维护当事人、利害关系人的合法权</w:t>
      </w:r>
      <w:r>
        <w:t>益，根据《中华人民共和国民事诉讼法》等法律规定，结合人民法院工作实际，制定本规定。</w:t>
      </w:r>
    </w:p>
    <w:p w14:paraId="6327E8D2" w14:textId="66D41AFD" w:rsidR="00FA0363" w:rsidRDefault="004E3EBB" w:rsidP="00FA0363">
      <w:pPr>
        <w:pStyle w:val="13"/>
        <w:ind w:firstLine="482"/>
      </w:pPr>
      <w:r w:rsidRPr="004E3EBB">
        <w:rPr>
          <w:rFonts w:hint="eastAsia"/>
          <w:b/>
          <w:bCs/>
        </w:rPr>
        <w:t xml:space="preserve">第一条 </w:t>
      </w:r>
      <w:r w:rsidR="00FA0363">
        <w:t>人民法院查封、扣押、冻结财产后，对需要拍卖、变卖的财产，应当在三十日内启动确定财产处置参考价程序。</w:t>
      </w:r>
    </w:p>
    <w:p w14:paraId="0D1BAFB6" w14:textId="5FAA8D1A" w:rsidR="00FA0363" w:rsidRDefault="004E3EBB" w:rsidP="00FA0363">
      <w:pPr>
        <w:pStyle w:val="13"/>
        <w:ind w:firstLine="482"/>
      </w:pPr>
      <w:r w:rsidRPr="004E3EBB">
        <w:rPr>
          <w:rFonts w:hint="eastAsia"/>
          <w:b/>
          <w:bCs/>
        </w:rPr>
        <w:t xml:space="preserve">第二条 </w:t>
      </w:r>
      <w:r w:rsidR="00FA0363">
        <w:t>人民法院确定财产处置参考价，可以采取当事人议价、定向询价、网络询价、委托评估等方式。</w:t>
      </w:r>
    </w:p>
    <w:p w14:paraId="7A309069" w14:textId="721C0756" w:rsidR="00FA0363" w:rsidRDefault="004E3EBB" w:rsidP="00FA0363">
      <w:pPr>
        <w:pStyle w:val="13"/>
        <w:ind w:firstLine="482"/>
      </w:pPr>
      <w:r w:rsidRPr="004E3EBB">
        <w:rPr>
          <w:rFonts w:hint="eastAsia"/>
          <w:b/>
          <w:bCs/>
        </w:rPr>
        <w:t xml:space="preserve">第三条 </w:t>
      </w:r>
      <w:r w:rsidR="00FA0363">
        <w:t>人民法院确定参考价前，应当查明财产的权属、权利负担、占有使用、欠缴税费、质量瑕疵等事项。</w:t>
      </w:r>
    </w:p>
    <w:p w14:paraId="34210E4C" w14:textId="77777777" w:rsidR="00FA0363" w:rsidRDefault="00FA0363" w:rsidP="00FA0363">
      <w:pPr>
        <w:pStyle w:val="13"/>
      </w:pPr>
      <w:r>
        <w:rPr>
          <w:rFonts w:hint="eastAsia"/>
        </w:rPr>
        <w:t>人民法院查明前款规定事项需要当事人、有关单位或者个人提供相关资料的，可以通知其提交；拒不提交的，可以强制提取；对妨碍强制提取的，参照民事诉讼法第一百一十一条、第一百一十四条的规定处理。</w:t>
      </w:r>
    </w:p>
    <w:p w14:paraId="732E40B7" w14:textId="77777777" w:rsidR="00FA0363" w:rsidRDefault="00FA0363" w:rsidP="00FA0363">
      <w:pPr>
        <w:pStyle w:val="13"/>
      </w:pPr>
      <w:r>
        <w:rPr>
          <w:rFonts w:hint="eastAsia"/>
        </w:rPr>
        <w:t>查明本条第一款规定事项需要审计、鉴定的，人民法院可以先行审计、鉴定。</w:t>
      </w:r>
    </w:p>
    <w:p w14:paraId="507594C8" w14:textId="6A7D243F" w:rsidR="00FA0363" w:rsidRDefault="004E3EBB" w:rsidP="00FA0363">
      <w:pPr>
        <w:pStyle w:val="13"/>
        <w:ind w:firstLine="482"/>
      </w:pPr>
      <w:r w:rsidRPr="004E3EBB">
        <w:rPr>
          <w:rFonts w:hint="eastAsia"/>
          <w:b/>
          <w:bCs/>
        </w:rPr>
        <w:t xml:space="preserve">第四条 </w:t>
      </w:r>
      <w:r w:rsidR="00FA0363">
        <w:t>采取当事人议价方式确定参考价的，除一方当事人拒绝议价或者下落不明外，人民法院应当以适当的方式通知或者组织当事人进行协商，当事人应当在指定期限内提交议价结果。</w:t>
      </w:r>
    </w:p>
    <w:p w14:paraId="49D99080" w14:textId="77777777" w:rsidR="00FA0363" w:rsidRDefault="00FA0363" w:rsidP="00FA0363">
      <w:pPr>
        <w:pStyle w:val="13"/>
      </w:pPr>
      <w:r>
        <w:rPr>
          <w:rFonts w:hint="eastAsia"/>
        </w:rPr>
        <w:t>双方当事人提交的议价结果一致，且不损害他人合法权益的，议价结果为参考价。</w:t>
      </w:r>
    </w:p>
    <w:p w14:paraId="3A896228" w14:textId="162B97D3" w:rsidR="00FA0363" w:rsidRDefault="004E3EBB" w:rsidP="00FA0363">
      <w:pPr>
        <w:pStyle w:val="13"/>
        <w:ind w:firstLine="482"/>
      </w:pPr>
      <w:r w:rsidRPr="004E3EBB">
        <w:rPr>
          <w:rFonts w:hint="eastAsia"/>
          <w:b/>
          <w:bCs/>
        </w:rPr>
        <w:lastRenderedPageBreak/>
        <w:t xml:space="preserve">第五条 </w:t>
      </w:r>
      <w:r w:rsidR="00FA0363">
        <w:t>当事人议价不能或者不成，</w:t>
      </w:r>
      <w:proofErr w:type="gramStart"/>
      <w:r w:rsidR="00FA0363">
        <w:t>且财产</w:t>
      </w:r>
      <w:proofErr w:type="gramEnd"/>
      <w:r w:rsidR="00FA0363">
        <w:t>有计税基准价、政府定价或者政府指导价的，人民法院应当向确定参考价时财产所在地的有关机构进行定向询价。</w:t>
      </w:r>
    </w:p>
    <w:p w14:paraId="43876256" w14:textId="77777777" w:rsidR="00FA0363" w:rsidRDefault="00FA0363" w:rsidP="00FA0363">
      <w:pPr>
        <w:pStyle w:val="13"/>
      </w:pPr>
      <w:r>
        <w:rPr>
          <w:rFonts w:hint="eastAsia"/>
        </w:rPr>
        <w:t>双方当事人一致要求直接进行定向询价，</w:t>
      </w:r>
      <w:proofErr w:type="gramStart"/>
      <w:r>
        <w:rPr>
          <w:rFonts w:hint="eastAsia"/>
        </w:rPr>
        <w:t>且财产</w:t>
      </w:r>
      <w:proofErr w:type="gramEnd"/>
      <w:r>
        <w:rPr>
          <w:rFonts w:hint="eastAsia"/>
        </w:rPr>
        <w:t>有计税基准价、政府定价或者政府指导价的，人民法院应当准许。</w:t>
      </w:r>
    </w:p>
    <w:p w14:paraId="3BD453DC" w14:textId="18484B5A" w:rsidR="00FA0363" w:rsidRDefault="004E3EBB" w:rsidP="00FA0363">
      <w:pPr>
        <w:pStyle w:val="13"/>
        <w:ind w:firstLine="482"/>
      </w:pPr>
      <w:r w:rsidRPr="004E3EBB">
        <w:rPr>
          <w:rFonts w:hint="eastAsia"/>
          <w:b/>
          <w:bCs/>
        </w:rPr>
        <w:t xml:space="preserve">第六条 </w:t>
      </w:r>
      <w:r w:rsidR="00FA0363">
        <w:t>采取定向询价方式确定参考价的，人民法院应当向有关机构出具询价函，询价</w:t>
      </w:r>
      <w:proofErr w:type="gramStart"/>
      <w:r w:rsidR="00FA0363">
        <w:t>函应当</w:t>
      </w:r>
      <w:proofErr w:type="gramEnd"/>
      <w:r w:rsidR="00FA0363">
        <w:t>载明询价要求、完成期限等内容。</w:t>
      </w:r>
    </w:p>
    <w:p w14:paraId="5BA1F7DC" w14:textId="77777777" w:rsidR="00FA0363" w:rsidRDefault="00FA0363" w:rsidP="00FA0363">
      <w:pPr>
        <w:pStyle w:val="13"/>
      </w:pPr>
      <w:r>
        <w:rPr>
          <w:rFonts w:hint="eastAsia"/>
        </w:rPr>
        <w:t>接受定向询价的机构在指定期限内出具的询价结果为参考价。</w:t>
      </w:r>
    </w:p>
    <w:p w14:paraId="6FAEA410" w14:textId="4781D895" w:rsidR="00FA0363" w:rsidRDefault="004E3EBB" w:rsidP="00FA0363">
      <w:pPr>
        <w:pStyle w:val="13"/>
        <w:ind w:firstLine="482"/>
      </w:pPr>
      <w:r w:rsidRPr="004E3EBB">
        <w:rPr>
          <w:rFonts w:hint="eastAsia"/>
          <w:b/>
          <w:bCs/>
        </w:rPr>
        <w:t xml:space="preserve">第七条 </w:t>
      </w:r>
      <w:r w:rsidR="00FA0363">
        <w:t>定向询价不能或者不成，财产无需由专业人员现场勘验或者鉴定，且具备</w:t>
      </w:r>
      <w:r w:rsidR="00FA0363">
        <w:rPr>
          <w:rFonts w:hint="eastAsia"/>
        </w:rPr>
        <w:t>网络询价条件的，人民法院应当通过司法网络询价平台进行网络询价。</w:t>
      </w:r>
    </w:p>
    <w:p w14:paraId="19D8DE4B" w14:textId="77777777" w:rsidR="00FA0363" w:rsidRDefault="00FA0363" w:rsidP="00FA0363">
      <w:pPr>
        <w:pStyle w:val="13"/>
      </w:pPr>
      <w:r>
        <w:rPr>
          <w:rFonts w:hint="eastAsia"/>
        </w:rPr>
        <w:t>双方当事人一致要求或者同意直接进行网络询价，财产无需由专业人员现场勘验或者鉴定，且具备网络询价条件的，人民法院应当准许。</w:t>
      </w:r>
    </w:p>
    <w:p w14:paraId="2FD4AD0D" w14:textId="4EEB053E" w:rsidR="00FA0363" w:rsidRDefault="004E3EBB" w:rsidP="00FA0363">
      <w:pPr>
        <w:pStyle w:val="13"/>
        <w:ind w:firstLine="482"/>
      </w:pPr>
      <w:r w:rsidRPr="004E3EBB">
        <w:rPr>
          <w:rFonts w:hint="eastAsia"/>
          <w:b/>
          <w:bCs/>
        </w:rPr>
        <w:t xml:space="preserve">第八条 </w:t>
      </w:r>
      <w:r w:rsidR="00FA0363">
        <w:t>最高人民法院建立全国性司法网络询价平台名单库。司法网络询价平台应当同时符合下列条件：</w:t>
      </w:r>
    </w:p>
    <w:p w14:paraId="0CFFA258" w14:textId="77777777" w:rsidR="00FA0363" w:rsidRDefault="00FA0363" w:rsidP="00FA0363">
      <w:pPr>
        <w:pStyle w:val="13"/>
      </w:pPr>
      <w:r>
        <w:rPr>
          <w:rFonts w:hint="eastAsia"/>
        </w:rPr>
        <w:t>（一）具备能够依法开展互联网信息服务工作的资质；</w:t>
      </w:r>
    </w:p>
    <w:p w14:paraId="4603BC8C" w14:textId="77777777" w:rsidR="00FA0363" w:rsidRDefault="00FA0363" w:rsidP="00FA0363">
      <w:pPr>
        <w:pStyle w:val="13"/>
      </w:pPr>
      <w:r>
        <w:rPr>
          <w:rFonts w:hint="eastAsia"/>
        </w:rPr>
        <w:t>（二）能够合法获取并整合全国各地区同种类财产一定时期的既往成交价、政府定价、政府指导价或者市场公开交易价等不少于三类价格数据，并保证数据真实、准确；</w:t>
      </w:r>
    </w:p>
    <w:p w14:paraId="186511A4" w14:textId="77777777" w:rsidR="00FA0363" w:rsidRDefault="00FA0363" w:rsidP="00FA0363">
      <w:pPr>
        <w:pStyle w:val="13"/>
      </w:pPr>
      <w:r>
        <w:rPr>
          <w:rFonts w:hint="eastAsia"/>
        </w:rPr>
        <w:t>（三）能够根据数据</w:t>
      </w:r>
      <w:proofErr w:type="gramStart"/>
      <w:r>
        <w:rPr>
          <w:rFonts w:hint="eastAsia"/>
        </w:rPr>
        <w:t>化财产</w:t>
      </w:r>
      <w:proofErr w:type="gramEnd"/>
      <w:r>
        <w:rPr>
          <w:rFonts w:hint="eastAsia"/>
        </w:rPr>
        <w:t>特征，运用一定的运算规则对市场既往交易价格、交易趋势予以分析；</w:t>
      </w:r>
    </w:p>
    <w:p w14:paraId="78627EB1" w14:textId="77777777" w:rsidR="00FA0363" w:rsidRDefault="00FA0363" w:rsidP="00FA0363">
      <w:pPr>
        <w:pStyle w:val="13"/>
      </w:pPr>
      <w:r>
        <w:rPr>
          <w:rFonts w:hint="eastAsia"/>
        </w:rPr>
        <w:t>（四）程序运行规范、系统安全高效、服务质优价廉；</w:t>
      </w:r>
    </w:p>
    <w:p w14:paraId="75A33C64" w14:textId="77777777" w:rsidR="00FA0363" w:rsidRDefault="00FA0363" w:rsidP="00FA0363">
      <w:pPr>
        <w:pStyle w:val="13"/>
      </w:pPr>
      <w:r>
        <w:rPr>
          <w:rFonts w:hint="eastAsia"/>
        </w:rPr>
        <w:t>（五）能够全程记载数据的分析过程，将形成的电子数据完整保存不少于十年，</w:t>
      </w:r>
      <w:r>
        <w:t>但法律、行政法规、司法解释另有规定的除外。</w:t>
      </w:r>
    </w:p>
    <w:p w14:paraId="1250BE58" w14:textId="77777777" w:rsidR="00FA0363" w:rsidRDefault="00FA0363" w:rsidP="00FA0363">
      <w:pPr>
        <w:pStyle w:val="13"/>
      </w:pPr>
      <w:r>
        <w:rPr>
          <w:rFonts w:hint="eastAsia"/>
        </w:rPr>
        <w:t>第九条</w:t>
      </w:r>
      <w:r>
        <w:t>最高人民法院组成专门的评审委员会，负责司法网络询价平台的选定、评审和除名。每年引入权威第三方对已纳入和新申请纳入名单库的司法网络询价平台予以评审并公布结果。</w:t>
      </w:r>
    </w:p>
    <w:p w14:paraId="3EA2ECBE" w14:textId="77777777" w:rsidR="00FA0363" w:rsidRDefault="00FA0363" w:rsidP="00FA0363">
      <w:pPr>
        <w:pStyle w:val="13"/>
      </w:pPr>
      <w:r>
        <w:rPr>
          <w:rFonts w:hint="eastAsia"/>
        </w:rPr>
        <w:t>司法网络询价平台具有下列情形之一的，应当将其从名单库中除名：</w:t>
      </w:r>
    </w:p>
    <w:p w14:paraId="0B610666" w14:textId="77777777" w:rsidR="00FA0363" w:rsidRDefault="00FA0363" w:rsidP="00FA0363">
      <w:pPr>
        <w:pStyle w:val="13"/>
      </w:pPr>
      <w:r>
        <w:rPr>
          <w:rFonts w:hint="eastAsia"/>
        </w:rPr>
        <w:t>（一）无正当理由拒绝进行网络询价；</w:t>
      </w:r>
    </w:p>
    <w:p w14:paraId="243F3493" w14:textId="77777777" w:rsidR="00FA0363" w:rsidRDefault="00FA0363" w:rsidP="00FA0363">
      <w:pPr>
        <w:pStyle w:val="13"/>
      </w:pPr>
      <w:r>
        <w:rPr>
          <w:rFonts w:hint="eastAsia"/>
        </w:rPr>
        <w:t>（二）无正当理由一年内累计五次未按期完成网络询价；</w:t>
      </w:r>
    </w:p>
    <w:p w14:paraId="27D0A3C0" w14:textId="77777777" w:rsidR="00FA0363" w:rsidRDefault="00FA0363" w:rsidP="00FA0363">
      <w:pPr>
        <w:pStyle w:val="13"/>
      </w:pPr>
      <w:r>
        <w:rPr>
          <w:rFonts w:hint="eastAsia"/>
        </w:rPr>
        <w:t>（三）存在恶意串通、弄虚作假、泄露保密信息等行为；</w:t>
      </w:r>
    </w:p>
    <w:p w14:paraId="0A26C702" w14:textId="77777777" w:rsidR="00FA0363" w:rsidRDefault="00FA0363" w:rsidP="00FA0363">
      <w:pPr>
        <w:pStyle w:val="13"/>
      </w:pPr>
      <w:r>
        <w:rPr>
          <w:rFonts w:hint="eastAsia"/>
        </w:rPr>
        <w:t>（四）经权威第三方评审认定不符合提供网络询价服务条件；</w:t>
      </w:r>
    </w:p>
    <w:p w14:paraId="0CAD4B6E" w14:textId="77777777" w:rsidR="00FA0363" w:rsidRDefault="00FA0363" w:rsidP="00FA0363">
      <w:pPr>
        <w:pStyle w:val="13"/>
      </w:pPr>
      <w:r>
        <w:rPr>
          <w:rFonts w:hint="eastAsia"/>
        </w:rPr>
        <w:t>（五）存在其他违反询价规则以及法律、行政法规、司法解释规定的情形。司法网络询价平台被除名后，五年内不得被纳入名单库。</w:t>
      </w:r>
    </w:p>
    <w:p w14:paraId="6F337B2C" w14:textId="1909EC7C" w:rsidR="00FA0363" w:rsidRDefault="00E05BDA" w:rsidP="00FA0363">
      <w:pPr>
        <w:pStyle w:val="13"/>
        <w:ind w:firstLine="482"/>
      </w:pPr>
      <w:r w:rsidRPr="00E05BDA">
        <w:rPr>
          <w:rFonts w:hint="eastAsia"/>
          <w:b/>
          <w:bCs/>
        </w:rPr>
        <w:t xml:space="preserve">第十条 </w:t>
      </w:r>
      <w:r w:rsidR="00FA0363">
        <w:t>采取网络询价方式确定参考价的，人民法院应当同时向名单库中的全部司法网络询价平台发出网络询价委托书。网络询价委托书应当载明财产名称、物理特</w:t>
      </w:r>
      <w:r w:rsidR="00FA0363">
        <w:rPr>
          <w:rFonts w:hint="eastAsia"/>
        </w:rPr>
        <w:lastRenderedPageBreak/>
        <w:t>征、规格数量、目的要求、完成期限以及其他需要明确的内容等。</w:t>
      </w:r>
    </w:p>
    <w:p w14:paraId="25093A60" w14:textId="0356487D" w:rsidR="00FA0363" w:rsidRDefault="00E05BDA" w:rsidP="00FA0363">
      <w:pPr>
        <w:pStyle w:val="13"/>
        <w:ind w:firstLine="482"/>
      </w:pPr>
      <w:r w:rsidRPr="00E05BDA">
        <w:rPr>
          <w:rFonts w:hint="eastAsia"/>
          <w:b/>
          <w:bCs/>
        </w:rPr>
        <w:t xml:space="preserve">第十一条 </w:t>
      </w:r>
      <w:r w:rsidR="00FA0363">
        <w:t>司法网络询价平台应当在收到人民法院网络询价委托书之日起三日内出</w:t>
      </w:r>
      <w:r w:rsidR="00FA0363">
        <w:rPr>
          <w:rFonts w:hint="eastAsia"/>
        </w:rPr>
        <w:t>具网络询价报告。网络询价报告应当载明财产的基本情况、参照样本、计算方法、询价结果及有效期等内容。</w:t>
      </w:r>
    </w:p>
    <w:p w14:paraId="6E114439" w14:textId="77777777" w:rsidR="00FA0363" w:rsidRDefault="00FA0363" w:rsidP="00FA0363">
      <w:pPr>
        <w:pStyle w:val="13"/>
      </w:pPr>
      <w:r>
        <w:rPr>
          <w:rFonts w:hint="eastAsia"/>
        </w:rPr>
        <w:t>司法网络询价平台不能在期限内完成询价的，应当在期限届满前申请延长期限。全部司法网络询价平台均未能在期限内出具询价结果的，人民法院应当根据各司法网络询价平台的延期申请延期三日；部分司法网络询价平台在期限内出具网络询价结果的，人民法院对其他司法网络询价平台的延期申请不予准许。</w:t>
      </w:r>
    </w:p>
    <w:p w14:paraId="27732643" w14:textId="77777777" w:rsidR="00FA0363" w:rsidRDefault="00FA0363" w:rsidP="00FA0363">
      <w:pPr>
        <w:pStyle w:val="13"/>
      </w:pPr>
      <w:r>
        <w:rPr>
          <w:rFonts w:hint="eastAsia"/>
        </w:rPr>
        <w:t>全部司法网络询价平台均未在期限内出具或者补正网络询价报告，且未按照规定申请延长期限的，人民法院应当委托评估机构进行评估。</w:t>
      </w:r>
    </w:p>
    <w:p w14:paraId="078F8D05" w14:textId="77777777" w:rsidR="00FA0363" w:rsidRDefault="00FA0363" w:rsidP="00FA0363">
      <w:pPr>
        <w:pStyle w:val="13"/>
      </w:pPr>
      <w:r>
        <w:rPr>
          <w:rFonts w:hint="eastAsia"/>
        </w:rPr>
        <w:t>人民法院未在网络询价结果有效期内发布一拍拍卖公告或者直接进入变卖程序的，应当通知司法网络询价平台在三日内重新出具网络询价报告。</w:t>
      </w:r>
    </w:p>
    <w:p w14:paraId="2921A088" w14:textId="7ADB2967" w:rsidR="00FA0363" w:rsidRDefault="00E05BDA" w:rsidP="00FA0363">
      <w:pPr>
        <w:pStyle w:val="13"/>
        <w:ind w:firstLine="482"/>
      </w:pPr>
      <w:r w:rsidRPr="00E05BDA">
        <w:rPr>
          <w:rFonts w:hint="eastAsia"/>
          <w:b/>
          <w:bCs/>
        </w:rPr>
        <w:t xml:space="preserve">第十二条 </w:t>
      </w:r>
      <w:r w:rsidR="00FA0363">
        <w:t>人民法院应当对网络询价报告进行审查。网络询价报告均存在财产基本信息错误、超出财产范围或者遗漏财产等情形的，应当通知司法网络询价平台在三日内予以补正；部分网络询价报告不存在上述情形的，无需通知其他司法网络询价平台补正。</w:t>
      </w:r>
    </w:p>
    <w:p w14:paraId="0A183F3A" w14:textId="225FB566" w:rsidR="00FA0363" w:rsidRDefault="00E05BDA" w:rsidP="00FA0363">
      <w:pPr>
        <w:pStyle w:val="13"/>
        <w:ind w:firstLine="482"/>
      </w:pPr>
      <w:r w:rsidRPr="00E05BDA">
        <w:rPr>
          <w:rFonts w:hint="eastAsia"/>
          <w:b/>
          <w:bCs/>
        </w:rPr>
        <w:t xml:space="preserve">第十三条 </w:t>
      </w:r>
      <w:r w:rsidR="00FA0363">
        <w:t>全部司法网络询价平台均在期限内出具询价结果或者补正结果的，人民法院应当以全部司法网络询价平台出具结果的平均值为参考价；部分司法网络询价平台在期限内出具询价结果或者补正结果的，人民法院应当以该部分司法网络询价平台出具结果的平均值为参考价。</w:t>
      </w:r>
    </w:p>
    <w:p w14:paraId="5F3E41ED" w14:textId="77777777" w:rsidR="00FA0363" w:rsidRDefault="00FA0363" w:rsidP="00FA0363">
      <w:pPr>
        <w:pStyle w:val="13"/>
      </w:pPr>
      <w:r>
        <w:rPr>
          <w:rFonts w:hint="eastAsia"/>
        </w:rPr>
        <w:t>当事人、利害关系人依据本规定第二十二条的规定对全部网络询价报告均提出异议，且所提异议被驳回或者司法网络询价平台已</w:t>
      </w:r>
      <w:proofErr w:type="gramStart"/>
      <w:r>
        <w:rPr>
          <w:rFonts w:hint="eastAsia"/>
        </w:rPr>
        <w:t>作出</w:t>
      </w:r>
      <w:proofErr w:type="gramEnd"/>
      <w:r>
        <w:rPr>
          <w:rFonts w:hint="eastAsia"/>
        </w:rPr>
        <w:t>补正的，人民法院应当以异议被驳回或者已</w:t>
      </w:r>
      <w:proofErr w:type="gramStart"/>
      <w:r>
        <w:rPr>
          <w:rFonts w:hint="eastAsia"/>
        </w:rPr>
        <w:t>作出</w:t>
      </w:r>
      <w:proofErr w:type="gramEnd"/>
      <w:r>
        <w:rPr>
          <w:rFonts w:hint="eastAsia"/>
        </w:rPr>
        <w:t>补正的各司法网络询价平台出具结果的平均值为参考价；对部分网络询价报告提出异议的，人民法院应当以网络询价报告未被提出异议的各司法网络询价平台出具结果的平均值为参考价。</w:t>
      </w:r>
    </w:p>
    <w:p w14:paraId="7274013A" w14:textId="2B47BFA2" w:rsidR="00FA0363" w:rsidRDefault="00E05BDA" w:rsidP="00FA0363">
      <w:pPr>
        <w:pStyle w:val="13"/>
        <w:ind w:firstLine="482"/>
      </w:pPr>
      <w:r w:rsidRPr="00E05BDA">
        <w:rPr>
          <w:rFonts w:hint="eastAsia"/>
          <w:b/>
          <w:bCs/>
        </w:rPr>
        <w:t xml:space="preserve">第十四条 </w:t>
      </w:r>
      <w:r w:rsidR="00FA0363">
        <w:t>法律、行政法规规定必须委托评估、双方当事人要求委托评估或者网络询价不能或不成的，人民法院应当委托评估机构进行评估。</w:t>
      </w:r>
    </w:p>
    <w:p w14:paraId="67600FFE" w14:textId="2FA261D2" w:rsidR="00FA0363" w:rsidRDefault="00E05BDA" w:rsidP="00FA0363">
      <w:pPr>
        <w:pStyle w:val="13"/>
        <w:ind w:firstLine="482"/>
      </w:pPr>
      <w:r w:rsidRPr="00E05BDA">
        <w:rPr>
          <w:rFonts w:hint="eastAsia"/>
          <w:b/>
          <w:bCs/>
        </w:rPr>
        <w:t xml:space="preserve">第十五条 </w:t>
      </w:r>
      <w:r w:rsidR="00FA0363">
        <w:t>最高人民法院根据全国性评估行业协会推荐的评估机构名单建立人民法院司法评估机构名单库。按评估专业领域和评估机构的执业范围建立名单分库，在分库下根据行政区划设省、市两级名单子库。</w:t>
      </w:r>
    </w:p>
    <w:p w14:paraId="6B528246" w14:textId="77777777" w:rsidR="00FA0363" w:rsidRDefault="00FA0363" w:rsidP="00FA0363">
      <w:pPr>
        <w:pStyle w:val="13"/>
      </w:pPr>
      <w:r>
        <w:rPr>
          <w:rFonts w:hint="eastAsia"/>
        </w:rPr>
        <w:t>评估机构无正当理由拒绝进行司法评估或者存在弄虚作假等情形的，最高人民法院可以商全国性评估行业协会将其从名单库中除名；除名后五年内不得被纳入名单</w:t>
      </w:r>
      <w:r>
        <w:t>库。</w:t>
      </w:r>
    </w:p>
    <w:p w14:paraId="575CB30F" w14:textId="38BDE3C4" w:rsidR="00FA0363" w:rsidRDefault="00E05BDA" w:rsidP="00FA0363">
      <w:pPr>
        <w:pStyle w:val="13"/>
        <w:ind w:firstLine="482"/>
      </w:pPr>
      <w:r w:rsidRPr="00E05BDA">
        <w:rPr>
          <w:rFonts w:hint="eastAsia"/>
          <w:b/>
          <w:bCs/>
        </w:rPr>
        <w:t xml:space="preserve">第十六条 </w:t>
      </w:r>
      <w:r w:rsidR="00FA0363">
        <w:t>采取委托评估方式确定参考价的，人民法院应当通知双方当事人在指</w:t>
      </w:r>
      <w:r w:rsidR="00FA0363">
        <w:lastRenderedPageBreak/>
        <w:t>定期限内从名单分库中协商确定三家评估机构以及顺序；双方当事人在指定期限内协商不成或者一方当事人下落不明的，采取摇号方式在名单分库或者财产所在地的名单子库中随机确定三家评估机构以及顺序。双方当事人一致要求在同一名单子库中随机确定的，人民法院应当准许。</w:t>
      </w:r>
    </w:p>
    <w:p w14:paraId="1A4E3B91" w14:textId="0A9E80E7" w:rsidR="00FA0363" w:rsidRDefault="00E05BDA" w:rsidP="00FA0363">
      <w:pPr>
        <w:pStyle w:val="13"/>
        <w:ind w:firstLine="482"/>
      </w:pPr>
      <w:r w:rsidRPr="00E05BDA">
        <w:rPr>
          <w:rFonts w:hint="eastAsia"/>
          <w:b/>
          <w:bCs/>
        </w:rPr>
        <w:t xml:space="preserve">第十七条 </w:t>
      </w:r>
      <w:r w:rsidR="00FA0363">
        <w:t>人民法院应当向顺序在先的评估机构出具评估委托书，评估委托书应当载明财产名称、物理特征、规格数量、目的要求、完成期限以及其他需要明确的内容等，同时应当将查明的财产情况及相关材料一并移交给评估机构。</w:t>
      </w:r>
    </w:p>
    <w:p w14:paraId="464FD97B" w14:textId="77777777" w:rsidR="00FA0363" w:rsidRDefault="00FA0363" w:rsidP="00FA0363">
      <w:pPr>
        <w:pStyle w:val="13"/>
      </w:pPr>
      <w:r>
        <w:rPr>
          <w:rFonts w:hint="eastAsia"/>
        </w:rPr>
        <w:t>评估机构应当出具评估报告，评估报告应当载明评估财产的基本情况、评估方法、评估标准、评估结果及有效期等内容。</w:t>
      </w:r>
    </w:p>
    <w:p w14:paraId="0057192E" w14:textId="1B4F8387" w:rsidR="00FA0363" w:rsidRDefault="00E05BDA" w:rsidP="00FA0363">
      <w:pPr>
        <w:pStyle w:val="13"/>
        <w:ind w:firstLine="482"/>
      </w:pPr>
      <w:r w:rsidRPr="00E05BDA">
        <w:rPr>
          <w:rFonts w:hint="eastAsia"/>
          <w:b/>
          <w:bCs/>
        </w:rPr>
        <w:t xml:space="preserve">第十八条 </w:t>
      </w:r>
      <w:r w:rsidR="00FA0363">
        <w:t>评估需要进行现场勘验的，人民法院应当通知当事人到场；当事人不到场的，不影响勘验的进行，但应当有见证人见证。现场勘验需要当事人、协助义务人配合的，人民法院依法责令其配合；不予配合的，可以依法强制进行。</w:t>
      </w:r>
    </w:p>
    <w:p w14:paraId="286DB6DB" w14:textId="4B8EE3AD" w:rsidR="00FA0363" w:rsidRDefault="00E05BDA" w:rsidP="00FA0363">
      <w:pPr>
        <w:pStyle w:val="13"/>
        <w:ind w:firstLine="482"/>
      </w:pPr>
      <w:r w:rsidRPr="00E05BDA">
        <w:rPr>
          <w:rFonts w:hint="eastAsia"/>
          <w:b/>
          <w:bCs/>
        </w:rPr>
        <w:t xml:space="preserve">第十九条 </w:t>
      </w:r>
      <w:r w:rsidR="00FA0363">
        <w:t>评估机构应当在三十日内出具评估报告。人民法院决定暂缓或者裁定中止执行的期间，应当从前述期限中扣除。</w:t>
      </w:r>
    </w:p>
    <w:p w14:paraId="140CAB6E" w14:textId="77777777" w:rsidR="00FA0363" w:rsidRDefault="00FA0363" w:rsidP="00FA0363">
      <w:pPr>
        <w:pStyle w:val="13"/>
      </w:pPr>
      <w:r>
        <w:rPr>
          <w:rFonts w:hint="eastAsia"/>
        </w:rPr>
        <w:t>评估机构不能在期限内出具评估报告的，应当在期限届满五日前书面向人民法院申请延长期限。人民法院决定延长期限的，延期次数不超过两次，每次不超过十五</w:t>
      </w:r>
      <w:r>
        <w:t>日。</w:t>
      </w:r>
    </w:p>
    <w:p w14:paraId="451961D8" w14:textId="77777777" w:rsidR="00FA0363" w:rsidRDefault="00FA0363" w:rsidP="00FA0363">
      <w:pPr>
        <w:pStyle w:val="13"/>
      </w:pPr>
      <w:r>
        <w:rPr>
          <w:rFonts w:hint="eastAsia"/>
        </w:rPr>
        <w:t>评估机构未在期限内出具评估报告、补正说明，且未按照规定申请延长期限的，</w:t>
      </w:r>
      <w:r>
        <w:t>人民法院应当通知该评估机构三日内将人民法院委托评估时移交的材料退回，另行委托下一顺序的评估机构重新进行评估。</w:t>
      </w:r>
    </w:p>
    <w:p w14:paraId="79CB6EDC" w14:textId="77777777" w:rsidR="00FA0363" w:rsidRDefault="00FA0363" w:rsidP="00FA0363">
      <w:pPr>
        <w:pStyle w:val="13"/>
      </w:pPr>
      <w:r>
        <w:rPr>
          <w:rFonts w:hint="eastAsia"/>
        </w:rPr>
        <w:t>人民法院未在评估结果有效期内发布一拍拍卖公告或者直接进入变卖程序的，应当通知原评估机构在十五日内重新出具评估报告。</w:t>
      </w:r>
    </w:p>
    <w:p w14:paraId="0C68F47F" w14:textId="26CBE631" w:rsidR="00FA0363" w:rsidRDefault="00E05BDA" w:rsidP="00FA0363">
      <w:pPr>
        <w:pStyle w:val="13"/>
        <w:ind w:firstLine="482"/>
      </w:pPr>
      <w:r w:rsidRPr="00E05BDA">
        <w:rPr>
          <w:rFonts w:hint="eastAsia"/>
          <w:b/>
          <w:bCs/>
        </w:rPr>
        <w:t xml:space="preserve">第二十条 </w:t>
      </w:r>
      <w:r w:rsidR="00FA0363">
        <w:t>人民法院应当对评估报告进行审查。具有下列情形之一的，应当责令评估机构在三日内予以书面说明或者补正：</w:t>
      </w:r>
    </w:p>
    <w:p w14:paraId="3178684E" w14:textId="77777777" w:rsidR="00FA0363" w:rsidRDefault="00FA0363" w:rsidP="00FA0363">
      <w:pPr>
        <w:pStyle w:val="13"/>
      </w:pPr>
      <w:r>
        <w:rPr>
          <w:rFonts w:hint="eastAsia"/>
        </w:rPr>
        <w:t>（一）财产基本信息错误；</w:t>
      </w:r>
    </w:p>
    <w:p w14:paraId="73464CB4" w14:textId="77777777" w:rsidR="00FA0363" w:rsidRDefault="00FA0363" w:rsidP="00FA0363">
      <w:pPr>
        <w:pStyle w:val="13"/>
      </w:pPr>
      <w:r>
        <w:rPr>
          <w:rFonts w:hint="eastAsia"/>
        </w:rPr>
        <w:t>（二）超出财产范围或者遗漏财产；</w:t>
      </w:r>
    </w:p>
    <w:p w14:paraId="6AF98375" w14:textId="77777777" w:rsidR="00FA0363" w:rsidRDefault="00FA0363" w:rsidP="00FA0363">
      <w:pPr>
        <w:pStyle w:val="13"/>
      </w:pPr>
      <w:r>
        <w:rPr>
          <w:rFonts w:hint="eastAsia"/>
        </w:rPr>
        <w:t>（三）选定的评估机构与评估报告上签章的评估机构不符；</w:t>
      </w:r>
    </w:p>
    <w:p w14:paraId="01351944" w14:textId="77777777" w:rsidR="00FA0363" w:rsidRDefault="00FA0363" w:rsidP="00FA0363">
      <w:pPr>
        <w:pStyle w:val="13"/>
      </w:pPr>
      <w:r>
        <w:rPr>
          <w:rFonts w:hint="eastAsia"/>
        </w:rPr>
        <w:t>（四）评估人员执业资格证明与评估报告上署名的人员不符；</w:t>
      </w:r>
    </w:p>
    <w:p w14:paraId="6D16FF9F" w14:textId="77777777" w:rsidR="00FA0363" w:rsidRDefault="00FA0363" w:rsidP="00FA0363">
      <w:pPr>
        <w:pStyle w:val="13"/>
      </w:pPr>
      <w:r>
        <w:rPr>
          <w:rFonts w:hint="eastAsia"/>
        </w:rPr>
        <w:t>（五）具有其他应当书面说明或者补正的情形。</w:t>
      </w:r>
    </w:p>
    <w:p w14:paraId="26596044" w14:textId="349F482C" w:rsidR="00FA0363" w:rsidRDefault="00E05BDA" w:rsidP="00FA0363">
      <w:pPr>
        <w:pStyle w:val="13"/>
        <w:ind w:firstLine="482"/>
      </w:pPr>
      <w:r w:rsidRPr="00E05BDA">
        <w:rPr>
          <w:rFonts w:hint="eastAsia"/>
          <w:b/>
          <w:bCs/>
        </w:rPr>
        <w:t xml:space="preserve">第二十一条 </w:t>
      </w:r>
      <w:r w:rsidR="00FA0363">
        <w:t>人民法院收到定向询价、网络询价、委托评估、说明补正等报告后，应当在三日内发送给当事人及利害关系人。</w:t>
      </w:r>
    </w:p>
    <w:p w14:paraId="4DCEC620" w14:textId="77777777" w:rsidR="00FA0363" w:rsidRDefault="00FA0363" w:rsidP="00FA0363">
      <w:pPr>
        <w:pStyle w:val="13"/>
      </w:pPr>
      <w:r>
        <w:rPr>
          <w:rFonts w:hint="eastAsia"/>
        </w:rPr>
        <w:t>当事人、利害关系人已提供有效送达地址的，人民法院应当将报告以直接送达、留置送达、委托送达、邮寄送达或者电子送达的方式送达；当事人、利害关系人下落不明或者无法获取其有效送达地址，人民法院无法按照前述规定送达的，应当在中国</w:t>
      </w:r>
      <w:r>
        <w:rPr>
          <w:rFonts w:hint="eastAsia"/>
        </w:rPr>
        <w:lastRenderedPageBreak/>
        <w:t>执行信息公开网上予以公示，公示满十五日即视为收到。</w:t>
      </w:r>
    </w:p>
    <w:p w14:paraId="1093A706" w14:textId="3F009C28" w:rsidR="00FA0363" w:rsidRDefault="00E05BDA" w:rsidP="00FA0363">
      <w:pPr>
        <w:pStyle w:val="13"/>
        <w:ind w:firstLine="482"/>
      </w:pPr>
      <w:r w:rsidRPr="00E05BDA">
        <w:rPr>
          <w:rFonts w:hint="eastAsia"/>
          <w:b/>
          <w:bCs/>
        </w:rPr>
        <w:t xml:space="preserve">第二十二条 </w:t>
      </w:r>
      <w:r w:rsidR="00FA0363">
        <w:t>当事人、利害关系人认为网络询价报告或者评估报告具有下列情形之一的，可以在收到报告后五日内提出书面异议：</w:t>
      </w:r>
    </w:p>
    <w:p w14:paraId="0B7B4C27" w14:textId="77777777" w:rsidR="00FA0363" w:rsidRDefault="00FA0363" w:rsidP="00FA0363">
      <w:pPr>
        <w:pStyle w:val="13"/>
      </w:pPr>
      <w:r>
        <w:rPr>
          <w:rFonts w:hint="eastAsia"/>
        </w:rPr>
        <w:t>（一）财产基本信息错误；</w:t>
      </w:r>
    </w:p>
    <w:p w14:paraId="142525C6" w14:textId="77777777" w:rsidR="00FA0363" w:rsidRDefault="00FA0363" w:rsidP="00FA0363">
      <w:pPr>
        <w:pStyle w:val="13"/>
      </w:pPr>
      <w:r>
        <w:rPr>
          <w:rFonts w:hint="eastAsia"/>
        </w:rPr>
        <w:t>（二）超出财产范围或者遗漏财产；</w:t>
      </w:r>
    </w:p>
    <w:p w14:paraId="7026D9D8" w14:textId="77777777" w:rsidR="00FA0363" w:rsidRDefault="00FA0363" w:rsidP="00FA0363">
      <w:pPr>
        <w:pStyle w:val="13"/>
      </w:pPr>
      <w:r>
        <w:rPr>
          <w:rFonts w:hint="eastAsia"/>
        </w:rPr>
        <w:t>（三）评估机构或者评估人员不具备相应评估资质；</w:t>
      </w:r>
    </w:p>
    <w:p w14:paraId="1D802729" w14:textId="77777777" w:rsidR="00FA0363" w:rsidRDefault="00FA0363" w:rsidP="00FA0363">
      <w:pPr>
        <w:pStyle w:val="13"/>
      </w:pPr>
      <w:r>
        <w:rPr>
          <w:rFonts w:hint="eastAsia"/>
        </w:rPr>
        <w:t>（四）评估程序严重违法。</w:t>
      </w:r>
    </w:p>
    <w:p w14:paraId="586B14C1" w14:textId="77777777" w:rsidR="00FA0363" w:rsidRDefault="00FA0363" w:rsidP="00FA0363">
      <w:pPr>
        <w:pStyle w:val="13"/>
      </w:pPr>
      <w:r>
        <w:rPr>
          <w:rFonts w:hint="eastAsia"/>
        </w:rPr>
        <w:t>对当事人、利害关系人依据前款规定提出的书面异议，人民法院应当参照民事诉讼法第二百二十五条的规定处理。</w:t>
      </w:r>
    </w:p>
    <w:p w14:paraId="1F08072F" w14:textId="047728FE" w:rsidR="00FA0363" w:rsidRDefault="00E05BDA" w:rsidP="00FA0363">
      <w:pPr>
        <w:pStyle w:val="13"/>
        <w:ind w:firstLine="482"/>
      </w:pPr>
      <w:r w:rsidRPr="00E05BDA">
        <w:rPr>
          <w:rFonts w:hint="eastAsia"/>
          <w:b/>
          <w:bCs/>
        </w:rPr>
        <w:t xml:space="preserve">第二十三条 </w:t>
      </w:r>
      <w:r w:rsidR="00FA0363">
        <w:t>当事人、利害关系人收到评估报告后五日内对评估报告的参照标准、计算方法或者评估结果等提出书面异议的，人民法院应当在三日内交评估机构予以书面说明。评估机构在五日内未作说明或者当事人、利害关系人对</w:t>
      </w:r>
      <w:proofErr w:type="gramStart"/>
      <w:r w:rsidR="00FA0363">
        <w:t>作出</w:t>
      </w:r>
      <w:proofErr w:type="gramEnd"/>
      <w:r w:rsidR="00FA0363">
        <w:t>的说明仍有异议的，人民法院应当交由相关行业协会在指定期限内组织专业技术评审，并根据专业技术评审出具的结论认定评估结果或者责令原评估机构予以补正。</w:t>
      </w:r>
    </w:p>
    <w:p w14:paraId="12084C1A" w14:textId="77777777" w:rsidR="00FA0363" w:rsidRDefault="00FA0363" w:rsidP="00FA0363">
      <w:pPr>
        <w:pStyle w:val="13"/>
      </w:pPr>
      <w:r>
        <w:rPr>
          <w:rFonts w:hint="eastAsia"/>
        </w:rPr>
        <w:t>当事人、利害关系人提出前款异议，同时涉及本规定第二十二条第一款第一、二项情形的，按照前款规定处理；同时涉及本规定第二十二条第一款第三、四项情形</w:t>
      </w:r>
      <w:r>
        <w:t>的，按照本规定第二十二条第二款先对第三、四项情形审查，异议成立的，应当通知评估机构三日内将人民法院委托评估时移交的材料退回，另行委托下一顺序的评估机</w:t>
      </w:r>
      <w:r>
        <w:rPr>
          <w:rFonts w:hint="eastAsia"/>
        </w:rPr>
        <w:t>构重新进行评估；异议不成立的，按照前款规定处理。</w:t>
      </w:r>
    </w:p>
    <w:p w14:paraId="635C337F" w14:textId="5770F3EC" w:rsidR="00FA0363" w:rsidRDefault="00E05BDA" w:rsidP="00FA0363">
      <w:pPr>
        <w:pStyle w:val="13"/>
        <w:ind w:firstLine="482"/>
      </w:pPr>
      <w:r w:rsidRPr="00E05BDA">
        <w:rPr>
          <w:rFonts w:hint="eastAsia"/>
          <w:b/>
          <w:bCs/>
        </w:rPr>
        <w:t xml:space="preserve">第二十四条 </w:t>
      </w:r>
      <w:r w:rsidR="00FA0363">
        <w:t>当事人、利害关系人未在本规定第二十二条、第二十三条规定的期限内提出异议或者对网络询价平台、评估机构、行业协会按照本规定第二十二条、第二十三条所作的补正说明、专业技术评审结论提出异议的，人民法院不予受理。</w:t>
      </w:r>
    </w:p>
    <w:p w14:paraId="633075DD" w14:textId="77777777" w:rsidR="00FA0363" w:rsidRDefault="00FA0363" w:rsidP="00FA0363">
      <w:pPr>
        <w:pStyle w:val="13"/>
      </w:pPr>
      <w:r>
        <w:rPr>
          <w:rFonts w:hint="eastAsia"/>
        </w:rPr>
        <w:t>当事人、利害关系人对议价或者定向询价提出异议的，人民法院不予受理。</w:t>
      </w:r>
    </w:p>
    <w:p w14:paraId="55267A3F" w14:textId="7D3427A6" w:rsidR="00FA0363" w:rsidRDefault="00E05BDA" w:rsidP="00FA0363">
      <w:pPr>
        <w:pStyle w:val="13"/>
        <w:ind w:firstLine="482"/>
      </w:pPr>
      <w:r w:rsidRPr="00E05BDA">
        <w:rPr>
          <w:rFonts w:hint="eastAsia"/>
          <w:b/>
          <w:bCs/>
        </w:rPr>
        <w:t xml:space="preserve">第二十五条 </w:t>
      </w:r>
      <w:r w:rsidR="00FA0363">
        <w:t>当事人、利害关系人有证据证明具有下列情形之一，且在发布一拍拍卖公告或者直接进入变卖程序之前提出异议的，人民法院应当按照执行监督程序进行审查处理：</w:t>
      </w:r>
    </w:p>
    <w:p w14:paraId="402CB05B" w14:textId="77777777" w:rsidR="00FA0363" w:rsidRDefault="00FA0363" w:rsidP="00FA0363">
      <w:pPr>
        <w:pStyle w:val="13"/>
      </w:pPr>
      <w:r>
        <w:rPr>
          <w:rFonts w:hint="eastAsia"/>
        </w:rPr>
        <w:t>（一）议价中存在欺诈、胁迫情形；</w:t>
      </w:r>
    </w:p>
    <w:p w14:paraId="0D767B5D" w14:textId="77777777" w:rsidR="00FA0363" w:rsidRDefault="00FA0363" w:rsidP="00FA0363">
      <w:pPr>
        <w:pStyle w:val="13"/>
      </w:pPr>
      <w:r>
        <w:rPr>
          <w:rFonts w:hint="eastAsia"/>
        </w:rPr>
        <w:t>（二）恶意串通损害第三人利益；</w:t>
      </w:r>
    </w:p>
    <w:p w14:paraId="15674C45" w14:textId="77777777" w:rsidR="00FA0363" w:rsidRDefault="00FA0363" w:rsidP="00FA0363">
      <w:pPr>
        <w:pStyle w:val="13"/>
      </w:pPr>
      <w:r>
        <w:rPr>
          <w:rFonts w:hint="eastAsia"/>
        </w:rPr>
        <w:t>（三）有关机构出具虚假定向询价结果；</w:t>
      </w:r>
    </w:p>
    <w:p w14:paraId="36E5B05C" w14:textId="77777777" w:rsidR="00FA0363" w:rsidRDefault="00FA0363" w:rsidP="00FA0363">
      <w:pPr>
        <w:pStyle w:val="13"/>
      </w:pPr>
      <w:r>
        <w:rPr>
          <w:rFonts w:hint="eastAsia"/>
        </w:rPr>
        <w:t>（四）依照本规定第二十二条、第二十三条</w:t>
      </w:r>
      <w:proofErr w:type="gramStart"/>
      <w:r>
        <w:rPr>
          <w:rFonts w:hint="eastAsia"/>
        </w:rPr>
        <w:t>作出</w:t>
      </w:r>
      <w:proofErr w:type="gramEnd"/>
      <w:r>
        <w:rPr>
          <w:rFonts w:hint="eastAsia"/>
        </w:rPr>
        <w:t>的处理结果确有错误。</w:t>
      </w:r>
    </w:p>
    <w:p w14:paraId="24AB833A" w14:textId="40334616" w:rsidR="00FA0363" w:rsidRDefault="00E05BDA" w:rsidP="00FA0363">
      <w:pPr>
        <w:pStyle w:val="13"/>
        <w:ind w:firstLine="482"/>
      </w:pPr>
      <w:r w:rsidRPr="00E05BDA">
        <w:rPr>
          <w:rFonts w:hint="eastAsia"/>
          <w:b/>
          <w:bCs/>
        </w:rPr>
        <w:t xml:space="preserve">第二十六条 </w:t>
      </w:r>
      <w:r w:rsidR="00FA0363">
        <w:t>当事人、利害关系人对评估报告未提出异议、所提异议被驳回或者评估机构已</w:t>
      </w:r>
      <w:proofErr w:type="gramStart"/>
      <w:r w:rsidR="00FA0363">
        <w:t>作出</w:t>
      </w:r>
      <w:proofErr w:type="gramEnd"/>
      <w:r w:rsidR="00FA0363">
        <w:t>补正的，人民法院应当以评估结果或者补正结果为参考价；当事人、利害关系人对评估报告提出的异议成立的，人民法院应当以评估机构</w:t>
      </w:r>
      <w:proofErr w:type="gramStart"/>
      <w:r w:rsidR="00FA0363">
        <w:t>作出</w:t>
      </w:r>
      <w:proofErr w:type="gramEnd"/>
      <w:r w:rsidR="00FA0363">
        <w:t>的补正结果或者重新</w:t>
      </w:r>
      <w:proofErr w:type="gramStart"/>
      <w:r w:rsidR="00FA0363">
        <w:t>作出</w:t>
      </w:r>
      <w:proofErr w:type="gramEnd"/>
      <w:r w:rsidR="00FA0363">
        <w:t>的评估结果为参考价。专业技术评审对评估报告未</w:t>
      </w:r>
      <w:proofErr w:type="gramStart"/>
      <w:r w:rsidR="00FA0363">
        <w:t>作出</w:t>
      </w:r>
      <w:proofErr w:type="gramEnd"/>
      <w:r w:rsidR="00FA0363">
        <w:t>否定结论的，</w:t>
      </w:r>
      <w:r w:rsidR="00FA0363">
        <w:lastRenderedPageBreak/>
        <w:t>人民法院应当以该评估结果为参考价。</w:t>
      </w:r>
    </w:p>
    <w:p w14:paraId="62D61EB0" w14:textId="7A59A993" w:rsidR="00FA0363" w:rsidRDefault="00E05BDA" w:rsidP="00FA0363">
      <w:pPr>
        <w:pStyle w:val="13"/>
        <w:ind w:firstLine="482"/>
      </w:pPr>
      <w:r w:rsidRPr="00E05BDA">
        <w:rPr>
          <w:rFonts w:hint="eastAsia"/>
          <w:b/>
          <w:bCs/>
        </w:rPr>
        <w:t xml:space="preserve">第二十七条 </w:t>
      </w:r>
      <w:r w:rsidR="00FA0363">
        <w:t>司法网络询价平台、评估机构应当确定网络询价或者委托评估结果的有效期，有效期最长不得超过一年。</w:t>
      </w:r>
    </w:p>
    <w:p w14:paraId="4B641EE1" w14:textId="77777777" w:rsidR="00FA0363" w:rsidRDefault="00FA0363" w:rsidP="00FA0363">
      <w:pPr>
        <w:pStyle w:val="13"/>
      </w:pPr>
      <w:r>
        <w:rPr>
          <w:rFonts w:hint="eastAsia"/>
        </w:rPr>
        <w:t>当事人议价的，可以自行协商确定议价结果的有效期，但不得超过前款规定的期限；定向询价结果的有效期，参照前款规定确定。</w:t>
      </w:r>
    </w:p>
    <w:p w14:paraId="5B016884" w14:textId="77777777" w:rsidR="00FA0363" w:rsidRDefault="00FA0363" w:rsidP="00FA0363">
      <w:pPr>
        <w:pStyle w:val="13"/>
      </w:pPr>
      <w:r>
        <w:rPr>
          <w:rFonts w:hint="eastAsia"/>
        </w:rPr>
        <w:t>人民法院在议价、询价、评估结果有效期内发布一拍拍卖公告或者直接进入变卖程序，拍卖、变卖时未超过有效期六个月的，无需重新确定参考价，但法律、行政法规、司法解释另有规定的除外。</w:t>
      </w:r>
    </w:p>
    <w:p w14:paraId="6013746E" w14:textId="6DA2548F" w:rsidR="00FA0363" w:rsidRDefault="00E05BDA" w:rsidP="00FA0363">
      <w:pPr>
        <w:pStyle w:val="13"/>
        <w:ind w:firstLine="482"/>
      </w:pPr>
      <w:r w:rsidRPr="00E05BDA">
        <w:rPr>
          <w:rFonts w:hint="eastAsia"/>
          <w:b/>
          <w:bCs/>
        </w:rPr>
        <w:t xml:space="preserve">第二十八条 </w:t>
      </w:r>
      <w:r w:rsidR="00FA0363">
        <w:t>具有下列情形之一的，人民法院应当决定暂缓网络询价或者委托评</w:t>
      </w:r>
      <w:r w:rsidR="00FA0363">
        <w:rPr>
          <w:rFonts w:hint="eastAsia"/>
        </w:rPr>
        <w:t>估：</w:t>
      </w:r>
    </w:p>
    <w:p w14:paraId="6566900D" w14:textId="77777777" w:rsidR="00FA0363" w:rsidRDefault="00FA0363" w:rsidP="00FA0363">
      <w:pPr>
        <w:pStyle w:val="13"/>
      </w:pPr>
      <w:r>
        <w:rPr>
          <w:rFonts w:hint="eastAsia"/>
        </w:rPr>
        <w:t>（一）案件暂缓执行或者中止执行；</w:t>
      </w:r>
    </w:p>
    <w:p w14:paraId="2AB138BD" w14:textId="77777777" w:rsidR="00FA0363" w:rsidRDefault="00FA0363" w:rsidP="00FA0363">
      <w:pPr>
        <w:pStyle w:val="13"/>
      </w:pPr>
      <w:r>
        <w:rPr>
          <w:rFonts w:hint="eastAsia"/>
        </w:rPr>
        <w:t>（二）评估材料与事实严重不符，可能影响评估结果，需要重新调查核实；</w:t>
      </w:r>
    </w:p>
    <w:p w14:paraId="6BDA615B" w14:textId="77777777" w:rsidR="00FA0363" w:rsidRDefault="00FA0363" w:rsidP="00FA0363">
      <w:pPr>
        <w:pStyle w:val="13"/>
      </w:pPr>
      <w:r>
        <w:rPr>
          <w:rFonts w:hint="eastAsia"/>
        </w:rPr>
        <w:t>（三）人民法院认为应当暂缓的其他情形。</w:t>
      </w:r>
    </w:p>
    <w:p w14:paraId="33D5D0D4" w14:textId="540CD731" w:rsidR="00FA0363" w:rsidRDefault="00E05BDA" w:rsidP="00FA0363">
      <w:pPr>
        <w:pStyle w:val="13"/>
        <w:ind w:firstLine="482"/>
      </w:pPr>
      <w:r w:rsidRPr="00E05BDA">
        <w:rPr>
          <w:rFonts w:hint="eastAsia"/>
          <w:b/>
          <w:bCs/>
        </w:rPr>
        <w:t xml:space="preserve">第二十九条 </w:t>
      </w:r>
      <w:r w:rsidR="00FA0363">
        <w:t>具有下列情形之一的，人民法院应当撤回网络询价或者委托评估：</w:t>
      </w:r>
    </w:p>
    <w:p w14:paraId="2CB916BB" w14:textId="77777777" w:rsidR="00FA0363" w:rsidRDefault="00FA0363" w:rsidP="00FA0363">
      <w:pPr>
        <w:pStyle w:val="13"/>
      </w:pPr>
      <w:r>
        <w:rPr>
          <w:rFonts w:hint="eastAsia"/>
        </w:rPr>
        <w:t>（一）申请执行人撤回执行申请；</w:t>
      </w:r>
    </w:p>
    <w:p w14:paraId="53A9C2DF" w14:textId="77777777" w:rsidR="00FA0363" w:rsidRDefault="00FA0363" w:rsidP="00FA0363">
      <w:pPr>
        <w:pStyle w:val="13"/>
      </w:pPr>
      <w:r>
        <w:rPr>
          <w:rFonts w:hint="eastAsia"/>
        </w:rPr>
        <w:t>（二）生效法律文书确定的义务已全部执行完毕；</w:t>
      </w:r>
    </w:p>
    <w:p w14:paraId="32A5D508" w14:textId="77777777" w:rsidR="00FA0363" w:rsidRDefault="00FA0363" w:rsidP="00FA0363">
      <w:pPr>
        <w:pStyle w:val="13"/>
      </w:pPr>
      <w:r>
        <w:rPr>
          <w:rFonts w:hint="eastAsia"/>
        </w:rPr>
        <w:t>（三）据以执行的生效法律文书被撤销或者被裁定不予执行；</w:t>
      </w:r>
    </w:p>
    <w:p w14:paraId="1EEA5C97" w14:textId="77777777" w:rsidR="00FA0363" w:rsidRDefault="00FA0363" w:rsidP="00FA0363">
      <w:pPr>
        <w:pStyle w:val="13"/>
      </w:pPr>
      <w:r>
        <w:rPr>
          <w:rFonts w:hint="eastAsia"/>
        </w:rPr>
        <w:t>（四）人民法院认为应当撤回的其他情形。</w:t>
      </w:r>
    </w:p>
    <w:p w14:paraId="1FEEC7AD" w14:textId="77777777" w:rsidR="00FA0363" w:rsidRDefault="00FA0363" w:rsidP="00FA0363">
      <w:pPr>
        <w:pStyle w:val="13"/>
      </w:pPr>
      <w:r>
        <w:rPr>
          <w:rFonts w:hint="eastAsia"/>
        </w:rPr>
        <w:t>人民法院决定网络询价或者委托评估后，双方当事人议价确定参考价或者协商不再对财产进行变价处理的，人民法院可以撤回网络询价或者委托评估。</w:t>
      </w:r>
    </w:p>
    <w:p w14:paraId="266F01E1" w14:textId="63E43B4F" w:rsidR="00FA0363" w:rsidRDefault="00E05BDA" w:rsidP="00FA0363">
      <w:pPr>
        <w:pStyle w:val="13"/>
        <w:ind w:firstLine="482"/>
      </w:pPr>
      <w:r w:rsidRPr="00E05BDA">
        <w:rPr>
          <w:rFonts w:hint="eastAsia"/>
          <w:b/>
          <w:bCs/>
        </w:rPr>
        <w:t xml:space="preserve">第三十条 </w:t>
      </w:r>
      <w:r w:rsidR="00FA0363">
        <w:t>人民法院应当在参考价确定后十日内启动财产变价程序。拍卖的，参照参考价确定起拍价；直接变卖的，参照参考价确定变卖价。</w:t>
      </w:r>
    </w:p>
    <w:p w14:paraId="0BA7D9E7" w14:textId="5E3BC754" w:rsidR="00FA0363" w:rsidRDefault="003B2FB1" w:rsidP="00FA0363">
      <w:pPr>
        <w:pStyle w:val="13"/>
        <w:ind w:firstLine="482"/>
      </w:pPr>
      <w:r w:rsidRPr="003B2FB1">
        <w:rPr>
          <w:rFonts w:hint="eastAsia"/>
          <w:b/>
          <w:bCs/>
        </w:rPr>
        <w:t xml:space="preserve">第三十一条 </w:t>
      </w:r>
      <w:r w:rsidR="00FA0363">
        <w:t>人民法院委托司法网络询价平台进行网络询价的，网络询价费用应当按次计付给出具网络询价结果与财产处置成交价最接近的司法网络询价平台；多家司法网络询价平台出具的网络询价结果相同或者与财产处置成交价差距相同的，网络询价费用平均分配。</w:t>
      </w:r>
    </w:p>
    <w:p w14:paraId="415F1922" w14:textId="77777777" w:rsidR="00FA0363" w:rsidRDefault="00FA0363" w:rsidP="00FA0363">
      <w:pPr>
        <w:pStyle w:val="13"/>
      </w:pPr>
      <w:r>
        <w:rPr>
          <w:rFonts w:hint="eastAsia"/>
        </w:rPr>
        <w:t>人民法院依照本规定第十一条第三款规定委托评估机构进行评估或者依照本规定第二十九条规定撤回网络询价的，对司法网络询价平台不计付费用。</w:t>
      </w:r>
    </w:p>
    <w:p w14:paraId="7853F940" w14:textId="585FEA64" w:rsidR="00FA0363" w:rsidRDefault="003B2FB1" w:rsidP="00FA0363">
      <w:pPr>
        <w:pStyle w:val="13"/>
        <w:ind w:firstLine="482"/>
      </w:pPr>
      <w:r w:rsidRPr="003B2FB1">
        <w:rPr>
          <w:rFonts w:hint="eastAsia"/>
          <w:b/>
          <w:bCs/>
        </w:rPr>
        <w:t xml:space="preserve">第三十二条 </w:t>
      </w:r>
      <w:r w:rsidR="00FA0363">
        <w:t>人民法院委托评估机构进行评估，财产处置未成交的，按照评估机构合理的实际支出计付费用；财产处置成交价高于评估价的，以评估价为基准计付费</w:t>
      </w:r>
      <w:r w:rsidR="00FA0363">
        <w:rPr>
          <w:rFonts w:hint="eastAsia"/>
        </w:rPr>
        <w:t>用；财产处置成交价低于评估价的，以财产处置成交价为基准计付费用。</w:t>
      </w:r>
    </w:p>
    <w:p w14:paraId="488E0C87" w14:textId="77777777" w:rsidR="00FA0363" w:rsidRDefault="00FA0363" w:rsidP="00FA0363">
      <w:pPr>
        <w:pStyle w:val="13"/>
      </w:pPr>
      <w:r>
        <w:rPr>
          <w:rFonts w:hint="eastAsia"/>
        </w:rPr>
        <w:t>人民法院依照本规定第二十九条规定撤回委托评估的，按照评估机构合理的实际支出计付费用；人民法院依照本规定通知原评估机构重新出具评估报告的，按照前款规定的百分之三十计付费用。</w:t>
      </w:r>
    </w:p>
    <w:p w14:paraId="0C836FB0" w14:textId="77777777" w:rsidR="00FA0363" w:rsidRDefault="00FA0363" w:rsidP="00FA0363">
      <w:pPr>
        <w:pStyle w:val="13"/>
      </w:pPr>
      <w:r>
        <w:rPr>
          <w:rFonts w:hint="eastAsia"/>
        </w:rPr>
        <w:lastRenderedPageBreak/>
        <w:t>人民法院依照本规定另行委托评估机构重新进行评估的，对原评估机构不计付费用。</w:t>
      </w:r>
    </w:p>
    <w:p w14:paraId="296061D8" w14:textId="7A8C43E3" w:rsidR="00FA0363" w:rsidRDefault="003B2FB1" w:rsidP="00FA0363">
      <w:pPr>
        <w:pStyle w:val="13"/>
        <w:ind w:firstLine="482"/>
      </w:pPr>
      <w:r w:rsidRPr="003B2FB1">
        <w:rPr>
          <w:rFonts w:hint="eastAsia"/>
          <w:b/>
          <w:bCs/>
        </w:rPr>
        <w:t xml:space="preserve">第三十三条 </w:t>
      </w:r>
      <w:r w:rsidR="00FA0363">
        <w:t>网络询价费及委托评估费由申请执行人先行垫付，由被执行人负担。申请执行人通过签订保险合同的方式垫付网络询价费或者委托评估费的，保险人</w:t>
      </w:r>
      <w:r w:rsidR="00FA0363">
        <w:rPr>
          <w:rFonts w:hint="eastAsia"/>
        </w:rPr>
        <w:t>应当向人民法院出具担保书。担保书应当载明因申请执行人未垫付网络询价费或者委托评估费由保险人支付等内容，并附相关证据材料。</w:t>
      </w:r>
    </w:p>
    <w:p w14:paraId="71966A11" w14:textId="269849FF" w:rsidR="00FA0363" w:rsidRDefault="003B2FB1" w:rsidP="00FA0363">
      <w:pPr>
        <w:pStyle w:val="13"/>
        <w:ind w:firstLine="482"/>
      </w:pPr>
      <w:r w:rsidRPr="003B2FB1">
        <w:rPr>
          <w:rFonts w:hint="eastAsia"/>
          <w:b/>
          <w:bCs/>
        </w:rPr>
        <w:t xml:space="preserve">第三十四条 </w:t>
      </w:r>
      <w:r w:rsidR="00FA0363">
        <w:t>最高人民法院建设全国法院询价评估系统。询价评估系统与定向询价机构、司法网络询价平台、全国性评估行业协会的系统对接，实现数据共享。</w:t>
      </w:r>
    </w:p>
    <w:p w14:paraId="326FFCC5" w14:textId="77777777" w:rsidR="00FA0363" w:rsidRDefault="00FA0363" w:rsidP="00FA0363">
      <w:pPr>
        <w:pStyle w:val="13"/>
      </w:pPr>
      <w:r>
        <w:rPr>
          <w:rFonts w:hint="eastAsia"/>
        </w:rPr>
        <w:t>询价评估系统应当具有记载当事人议价、定向询价、网络询价、委托评估、摇号过程等功能，并形成固化数据，长期保存、随案备查。</w:t>
      </w:r>
    </w:p>
    <w:p w14:paraId="0D40EF4E" w14:textId="228C2329" w:rsidR="00FA0363" w:rsidRDefault="003B2FB1" w:rsidP="00FA0363">
      <w:pPr>
        <w:pStyle w:val="13"/>
        <w:ind w:firstLine="482"/>
      </w:pPr>
      <w:r w:rsidRPr="003B2FB1">
        <w:rPr>
          <w:rFonts w:hint="eastAsia"/>
          <w:b/>
          <w:bCs/>
        </w:rPr>
        <w:t xml:space="preserve">第三十五条 </w:t>
      </w:r>
      <w:r w:rsidR="00FA0363">
        <w:t>本规定自2018年9月1日起施行。</w:t>
      </w:r>
    </w:p>
    <w:p w14:paraId="0F293FBB" w14:textId="1DE18160" w:rsidR="00FA0363" w:rsidRDefault="00FA0363" w:rsidP="00FA0363">
      <w:pPr>
        <w:pStyle w:val="13"/>
      </w:pPr>
      <w:r>
        <w:rPr>
          <w:rFonts w:hint="eastAsia"/>
        </w:rPr>
        <w:t>最高人民法院</w:t>
      </w:r>
      <w:proofErr w:type="gramStart"/>
      <w:r>
        <w:rPr>
          <w:rFonts w:hint="eastAsia"/>
        </w:rPr>
        <w:t>此前公布</w:t>
      </w:r>
      <w:proofErr w:type="gramEnd"/>
      <w:r>
        <w:rPr>
          <w:rFonts w:hint="eastAsia"/>
        </w:rPr>
        <w:t>的司法解释及规范性文件与本规定不一致的，以本规定为准。</w:t>
      </w:r>
    </w:p>
    <w:p w14:paraId="3C7EABD8" w14:textId="40EA9519" w:rsidR="00FA0363" w:rsidRDefault="00FA0363" w:rsidP="00FA0363">
      <w:pPr>
        <w:pStyle w:val="31"/>
        <w:spacing w:before="156" w:after="62"/>
      </w:pPr>
      <w:bookmarkStart w:id="304" w:name="_Toc81833537"/>
      <w:r>
        <w:rPr>
          <w:rFonts w:hint="eastAsia"/>
        </w:rPr>
        <w:t>《人民法院委托评估专业技术评审工作规范》（法办〔</w:t>
      </w:r>
      <w:r>
        <w:t>2019〕364号）</w:t>
      </w:r>
      <w:bookmarkEnd w:id="304"/>
    </w:p>
    <w:p w14:paraId="62935F2C" w14:textId="77777777" w:rsidR="00FA0363" w:rsidRDefault="00FA0363" w:rsidP="00FA0363">
      <w:pPr>
        <w:pStyle w:val="13"/>
      </w:pPr>
      <w:r>
        <w:rPr>
          <w:rFonts w:hint="eastAsia"/>
        </w:rPr>
        <w:t>各省、自治区、直辖市高级人民法院，解放军军事法院，新疆维吾尔自治区高级人民法院生产建设兵团分院；各全国性评估行业协会、地方性评估行业协会；各有关评估机构：</w:t>
      </w:r>
    </w:p>
    <w:p w14:paraId="4AB715CB" w14:textId="77777777" w:rsidR="00FA0363" w:rsidRDefault="00FA0363" w:rsidP="00FA0363">
      <w:pPr>
        <w:pStyle w:val="13"/>
      </w:pPr>
      <w:r>
        <w:rPr>
          <w:rFonts w:hint="eastAsia"/>
        </w:rPr>
        <w:t>为全面落实《最高人民法院关于人民法院确定财产处置参考价若干问题的规定》（以下简称参考价规定）（法释〔</w:t>
      </w:r>
      <w:r>
        <w:t>2018〕15号），依法规范人民法院委托评估专业技术评审工作，确保专业技术评审公开、公平、公正、高效，维护当事人、利害关系人的合法权益，最高人民法院与中国资产评估协会、中国土地估价师与土地登记代理人协会、中国房地产估价师与房地产经纪人学会、中国矿业权评估师协会、中国珠宝玉石首饰行业协会联合研究制定了《人民法院委托评估专业技术评审工作规范》，现予印发，请遵照执行。</w:t>
      </w:r>
    </w:p>
    <w:p w14:paraId="6CCBDB6B" w14:textId="77777777" w:rsidR="00FA0363" w:rsidRDefault="00FA0363" w:rsidP="00FA0363">
      <w:pPr>
        <w:pStyle w:val="13"/>
        <w:jc w:val="right"/>
      </w:pPr>
      <w:r>
        <w:rPr>
          <w:rFonts w:hint="eastAsia"/>
        </w:rPr>
        <w:t>最高人民法院办公厅中国资产评估协会</w:t>
      </w:r>
    </w:p>
    <w:p w14:paraId="63AD8D6F" w14:textId="77777777" w:rsidR="00FA0363" w:rsidRDefault="00FA0363" w:rsidP="00FA0363">
      <w:pPr>
        <w:pStyle w:val="13"/>
        <w:jc w:val="right"/>
      </w:pPr>
      <w:r>
        <w:rPr>
          <w:rFonts w:hint="eastAsia"/>
        </w:rPr>
        <w:t>中国土地估价师与土地登记代理人协会</w:t>
      </w:r>
    </w:p>
    <w:p w14:paraId="1417B504" w14:textId="77777777" w:rsidR="00FA0363" w:rsidRDefault="00FA0363" w:rsidP="00FA0363">
      <w:pPr>
        <w:pStyle w:val="13"/>
        <w:jc w:val="right"/>
      </w:pPr>
      <w:r>
        <w:rPr>
          <w:rFonts w:hint="eastAsia"/>
        </w:rPr>
        <w:t>中国房地产估价师与房地产经纪人学会</w:t>
      </w:r>
    </w:p>
    <w:p w14:paraId="6C881E30" w14:textId="77777777" w:rsidR="00FA0363" w:rsidRDefault="00FA0363" w:rsidP="00FA0363">
      <w:pPr>
        <w:pStyle w:val="13"/>
        <w:jc w:val="right"/>
      </w:pPr>
      <w:r>
        <w:rPr>
          <w:rFonts w:hint="eastAsia"/>
        </w:rPr>
        <w:t>中国矿业权评估师协会</w:t>
      </w:r>
    </w:p>
    <w:p w14:paraId="3CFAF912" w14:textId="77777777" w:rsidR="00FA0363" w:rsidRDefault="00FA0363" w:rsidP="00FA0363">
      <w:pPr>
        <w:pStyle w:val="13"/>
        <w:jc w:val="right"/>
      </w:pPr>
      <w:r>
        <w:rPr>
          <w:rFonts w:hint="eastAsia"/>
        </w:rPr>
        <w:t>中国珠宝玉石首饰行业协会</w:t>
      </w:r>
    </w:p>
    <w:p w14:paraId="0331F518" w14:textId="77777777" w:rsidR="00FA0363" w:rsidRDefault="00FA0363" w:rsidP="00FA0363">
      <w:pPr>
        <w:pStyle w:val="13"/>
        <w:jc w:val="right"/>
      </w:pPr>
      <w:r>
        <w:t>2019年11月22日</w:t>
      </w:r>
    </w:p>
    <w:p w14:paraId="2E944D1F" w14:textId="77777777" w:rsidR="00FA0363" w:rsidRDefault="00FA0363" w:rsidP="00AF7342">
      <w:pPr>
        <w:pStyle w:val="a9"/>
        <w:spacing w:before="62" w:after="62"/>
      </w:pPr>
      <w:r>
        <w:rPr>
          <w:rFonts w:hint="eastAsia"/>
        </w:rPr>
        <w:t>人民法院委托评估专业技术评审工作规范</w:t>
      </w:r>
    </w:p>
    <w:p w14:paraId="0A5F68F9" w14:textId="77777777" w:rsidR="00FA0363" w:rsidRDefault="00FA0363" w:rsidP="00FA0363">
      <w:pPr>
        <w:pStyle w:val="13"/>
      </w:pPr>
      <w:r>
        <w:rPr>
          <w:rFonts w:hint="eastAsia"/>
        </w:rPr>
        <w:t>为依法规范人民法院委托评估专业技术评审工作，确保专业技术评审公开、公平、公正、高效，维护当事人、利害关系人的合法权益，根据《最高人民法院关于人</w:t>
      </w:r>
      <w:r>
        <w:rPr>
          <w:rFonts w:hint="eastAsia"/>
        </w:rPr>
        <w:lastRenderedPageBreak/>
        <w:t>民法院确定财产处置参考价若干问题的规定》（以下简称参考价规定），制定本规范。</w:t>
      </w:r>
    </w:p>
    <w:p w14:paraId="094AC03F" w14:textId="77777777" w:rsidR="00FA0363" w:rsidRDefault="00FA0363" w:rsidP="00FA0363">
      <w:pPr>
        <w:pStyle w:val="13"/>
        <w:ind w:firstLine="482"/>
      </w:pPr>
      <w:r w:rsidRPr="00E74B2E">
        <w:rPr>
          <w:rFonts w:hint="eastAsia"/>
          <w:b/>
          <w:bCs/>
        </w:rPr>
        <w:t>一、</w:t>
      </w:r>
      <w:r>
        <w:rPr>
          <w:rFonts w:hint="eastAsia"/>
        </w:rPr>
        <w:t>专业技术评审由专业技术评审人员组成专家组进行；专家组成员人数应为单数。</w:t>
      </w:r>
    </w:p>
    <w:p w14:paraId="13BDF5AD" w14:textId="77777777" w:rsidR="00FA0363" w:rsidRDefault="00FA0363" w:rsidP="00FA0363">
      <w:pPr>
        <w:pStyle w:val="13"/>
        <w:ind w:firstLine="482"/>
      </w:pPr>
      <w:r w:rsidRPr="00E74B2E">
        <w:rPr>
          <w:rFonts w:hint="eastAsia"/>
          <w:b/>
          <w:bCs/>
        </w:rPr>
        <w:t>二、</w:t>
      </w:r>
      <w:r>
        <w:rPr>
          <w:rFonts w:hint="eastAsia"/>
        </w:rPr>
        <w:t>全国性评估行业协会负责对协会所属评估机构出具的评估报告进行专业技术评审的，应当建立本评估行业全国专业技术评审人员名单库。</w:t>
      </w:r>
    </w:p>
    <w:p w14:paraId="79869794" w14:textId="77777777" w:rsidR="00FA0363" w:rsidRDefault="00FA0363" w:rsidP="00FA0363">
      <w:pPr>
        <w:pStyle w:val="13"/>
      </w:pPr>
      <w:r>
        <w:rPr>
          <w:rFonts w:hint="eastAsia"/>
        </w:rPr>
        <w:t>省级评估行业协会具备专业技术评审条件的，全国性评估行业协会可以指定其负责对所属评估机构出具的评估报告进行专业技术评审；省级评估行业协会不具备专业技术评审条件的，全国性评估行业协会可以自行或指定其他具有专业技术评审条件的省级评估行业协会负责对该协会所属评估机构出具的评估报告进行专业技术评审。</w:t>
      </w:r>
    </w:p>
    <w:p w14:paraId="3B720FA3" w14:textId="77777777" w:rsidR="00FA0363" w:rsidRDefault="00FA0363" w:rsidP="00FA0363">
      <w:pPr>
        <w:pStyle w:val="13"/>
      </w:pPr>
      <w:r>
        <w:rPr>
          <w:rFonts w:hint="eastAsia"/>
        </w:rPr>
        <w:t>省级评估行业协会负责专业技术评审工作的，应当建立省级专业技术评审人员名单库。</w:t>
      </w:r>
    </w:p>
    <w:p w14:paraId="21CEB842" w14:textId="77777777" w:rsidR="00FA0363" w:rsidRDefault="00FA0363" w:rsidP="00FA0363">
      <w:pPr>
        <w:pStyle w:val="13"/>
      </w:pPr>
      <w:r>
        <w:rPr>
          <w:rFonts w:hint="eastAsia"/>
        </w:rPr>
        <w:t>专业技术评审人员名单</w:t>
      </w:r>
      <w:proofErr w:type="gramStart"/>
      <w:r>
        <w:rPr>
          <w:rFonts w:hint="eastAsia"/>
        </w:rPr>
        <w:t>库应当</w:t>
      </w:r>
      <w:proofErr w:type="gramEnd"/>
      <w:r>
        <w:rPr>
          <w:rFonts w:hint="eastAsia"/>
        </w:rPr>
        <w:t>向社会公开。</w:t>
      </w:r>
    </w:p>
    <w:p w14:paraId="127F7FDD" w14:textId="77777777" w:rsidR="00FA0363" w:rsidRPr="00032B5A" w:rsidRDefault="00FA0363" w:rsidP="00FA0363">
      <w:pPr>
        <w:pStyle w:val="13"/>
        <w:ind w:firstLine="482"/>
      </w:pPr>
      <w:r w:rsidRPr="00E74B2E">
        <w:rPr>
          <w:rFonts w:hint="eastAsia"/>
          <w:b/>
          <w:bCs/>
        </w:rPr>
        <w:t>三、</w:t>
      </w:r>
      <w:r>
        <w:rPr>
          <w:rFonts w:hint="eastAsia"/>
        </w:rPr>
        <w:t>全国性评估行业协会建立本评估行业全国专业技术评审人员名单库的，由全国性评估行业协会开展专业技术评审人员的入库和除名工作；省级评估行业协会建立本评估行业省级专业技术评审人员名单库的，由省级评估行业协会根据全国性评估</w:t>
      </w:r>
      <w:r w:rsidRPr="00032B5A">
        <w:rPr>
          <w:rFonts w:hint="eastAsia"/>
        </w:rPr>
        <w:t>行业协会制定的标准开展专业技术评审人员的入库和除名工作。</w:t>
      </w:r>
    </w:p>
    <w:p w14:paraId="40590A7E" w14:textId="77777777" w:rsidR="00FA0363" w:rsidRPr="00032B5A" w:rsidRDefault="00FA0363" w:rsidP="00FA0363">
      <w:pPr>
        <w:pStyle w:val="13"/>
      </w:pPr>
      <w:r w:rsidRPr="00032B5A">
        <w:rPr>
          <w:rFonts w:hint="eastAsia"/>
        </w:rPr>
        <w:t>四、专业技术评审人员应当从本评估行业的评估专业人员或行业专家中择优选入，</w:t>
      </w:r>
      <w:r w:rsidRPr="00032B5A">
        <w:t>具体入库标准由全国性评估行业协会自行制定，但具有下列情形之一的，不得入选专业技术评审人员名单库：</w:t>
      </w:r>
    </w:p>
    <w:p w14:paraId="32F44902" w14:textId="77777777" w:rsidR="00FA0363" w:rsidRPr="00032B5A" w:rsidRDefault="00FA0363" w:rsidP="00FA0363">
      <w:pPr>
        <w:pStyle w:val="13"/>
      </w:pPr>
      <w:r w:rsidRPr="00032B5A">
        <w:rPr>
          <w:rFonts w:hint="eastAsia"/>
        </w:rPr>
        <w:t>（一）评估专业人员连续执业不满五年的；</w:t>
      </w:r>
    </w:p>
    <w:p w14:paraId="60A1A545" w14:textId="77777777" w:rsidR="00FA0363" w:rsidRPr="00032B5A" w:rsidRDefault="00FA0363" w:rsidP="00FA0363">
      <w:pPr>
        <w:pStyle w:val="13"/>
      </w:pPr>
      <w:r w:rsidRPr="00032B5A">
        <w:rPr>
          <w:rFonts w:hint="eastAsia"/>
        </w:rPr>
        <w:t>（二）行业专家不具备高级职称或从事本行业管理、研究工作不满十年的；</w:t>
      </w:r>
    </w:p>
    <w:p w14:paraId="344E3636" w14:textId="77777777" w:rsidR="00FA0363" w:rsidRPr="00032B5A" w:rsidRDefault="00FA0363" w:rsidP="00FA0363">
      <w:pPr>
        <w:pStyle w:val="13"/>
      </w:pPr>
      <w:r w:rsidRPr="00032B5A">
        <w:rPr>
          <w:rFonts w:hint="eastAsia"/>
        </w:rPr>
        <w:t>（三）曾因违反《中华人民共和国资产评估法》等法律法规被相关行政管理部门予以警告、责令停止从业、没收违法所得，或构成犯罪，被依法追究刑事责任的；</w:t>
      </w:r>
    </w:p>
    <w:p w14:paraId="37828FE8" w14:textId="77777777" w:rsidR="00FA0363" w:rsidRPr="00032B5A" w:rsidRDefault="00FA0363" w:rsidP="00FA0363">
      <w:pPr>
        <w:pStyle w:val="13"/>
      </w:pPr>
      <w:r w:rsidRPr="00032B5A">
        <w:rPr>
          <w:rFonts w:hint="eastAsia"/>
        </w:rPr>
        <w:t>（四）曾被判处过刑罚的；</w:t>
      </w:r>
    </w:p>
    <w:p w14:paraId="26D78C67" w14:textId="77777777" w:rsidR="00FA0363" w:rsidRPr="00032B5A" w:rsidRDefault="00FA0363" w:rsidP="00FA0363">
      <w:pPr>
        <w:pStyle w:val="13"/>
      </w:pPr>
      <w:r w:rsidRPr="00032B5A">
        <w:rPr>
          <w:rFonts w:hint="eastAsia"/>
        </w:rPr>
        <w:t>（五）近五年曾因违反所属行业协会自律管理规定，受到过自律惩戒的；</w:t>
      </w:r>
    </w:p>
    <w:p w14:paraId="36320C15" w14:textId="77777777" w:rsidR="00FA0363" w:rsidRPr="00032B5A" w:rsidRDefault="00FA0363" w:rsidP="00FA0363">
      <w:pPr>
        <w:pStyle w:val="13"/>
      </w:pPr>
      <w:r w:rsidRPr="00032B5A">
        <w:rPr>
          <w:rFonts w:hint="eastAsia"/>
        </w:rPr>
        <w:t>（六）曾被人民法院依法纳入失信被执行人名单的。</w:t>
      </w:r>
    </w:p>
    <w:p w14:paraId="3906521A" w14:textId="77777777" w:rsidR="00FA0363" w:rsidRPr="00032B5A" w:rsidRDefault="00FA0363" w:rsidP="00FA0363">
      <w:pPr>
        <w:pStyle w:val="13"/>
      </w:pPr>
      <w:r w:rsidRPr="00032B5A">
        <w:rPr>
          <w:rFonts w:hint="eastAsia"/>
        </w:rPr>
        <w:t>五、专业技术评审人员有下列情形之一的，应当从专业技术评审人员名单库中除名，</w:t>
      </w:r>
      <w:r w:rsidRPr="00032B5A">
        <w:t>且五年内不得再次入库：</w:t>
      </w:r>
    </w:p>
    <w:p w14:paraId="42888C6E" w14:textId="77777777" w:rsidR="00FA0363" w:rsidRPr="00032B5A" w:rsidRDefault="00FA0363" w:rsidP="00FA0363">
      <w:pPr>
        <w:pStyle w:val="13"/>
      </w:pPr>
      <w:r w:rsidRPr="00032B5A">
        <w:rPr>
          <w:rFonts w:hint="eastAsia"/>
        </w:rPr>
        <w:t>（一）专业技术评审期间就评审事项与当事人、利害关系人、出具评估报告的评估机构或参加评估的人员不正当接触的；</w:t>
      </w:r>
    </w:p>
    <w:p w14:paraId="0B8041C3" w14:textId="77777777" w:rsidR="00FA0363" w:rsidRPr="00032B5A" w:rsidRDefault="00FA0363" w:rsidP="00FA0363">
      <w:pPr>
        <w:pStyle w:val="13"/>
      </w:pPr>
      <w:r w:rsidRPr="00032B5A">
        <w:rPr>
          <w:rFonts w:hint="eastAsia"/>
        </w:rPr>
        <w:t>（二）泄露专业技术评审意见及专业技术评审工作情况的；</w:t>
      </w:r>
    </w:p>
    <w:p w14:paraId="52679B99" w14:textId="77777777" w:rsidR="00FA0363" w:rsidRPr="00032B5A" w:rsidRDefault="00FA0363" w:rsidP="00FA0363">
      <w:pPr>
        <w:pStyle w:val="13"/>
      </w:pPr>
      <w:r w:rsidRPr="00032B5A">
        <w:rPr>
          <w:rFonts w:hint="eastAsia"/>
        </w:rPr>
        <w:t>（三）利用评审事项谋取私利或为他人谋取利益的；</w:t>
      </w:r>
    </w:p>
    <w:p w14:paraId="6BC91A8A" w14:textId="77777777" w:rsidR="00FA0363" w:rsidRPr="00032B5A" w:rsidRDefault="00FA0363" w:rsidP="00FA0363">
      <w:pPr>
        <w:pStyle w:val="13"/>
      </w:pPr>
      <w:r w:rsidRPr="00032B5A">
        <w:rPr>
          <w:rFonts w:hint="eastAsia"/>
        </w:rPr>
        <w:t>（四）串通表决或诱导表决的；</w:t>
      </w:r>
    </w:p>
    <w:p w14:paraId="1D0C17CC" w14:textId="77777777" w:rsidR="00FA0363" w:rsidRPr="00032B5A" w:rsidRDefault="00FA0363" w:rsidP="00FA0363">
      <w:pPr>
        <w:pStyle w:val="13"/>
      </w:pPr>
      <w:r w:rsidRPr="00032B5A">
        <w:rPr>
          <w:rFonts w:hint="eastAsia"/>
        </w:rPr>
        <w:lastRenderedPageBreak/>
        <w:t>（五）应当回避而未主动申请回避的；</w:t>
      </w:r>
    </w:p>
    <w:p w14:paraId="73F9A3BB" w14:textId="77777777" w:rsidR="00FA0363" w:rsidRDefault="00FA0363" w:rsidP="00FA0363">
      <w:pPr>
        <w:pStyle w:val="13"/>
      </w:pPr>
      <w:r w:rsidRPr="00032B5A">
        <w:rPr>
          <w:rFonts w:hint="eastAsia"/>
        </w:rPr>
        <w:t>（六）违反所属</w:t>
      </w:r>
      <w:r>
        <w:rPr>
          <w:rFonts w:hint="eastAsia"/>
        </w:rPr>
        <w:t>行业协会自律管理规定，受到自律惩戒的。</w:t>
      </w:r>
    </w:p>
    <w:p w14:paraId="4B0B26BB" w14:textId="77777777" w:rsidR="00FA0363" w:rsidRDefault="00FA0363" w:rsidP="00FA0363">
      <w:pPr>
        <w:pStyle w:val="13"/>
      </w:pPr>
      <w:r>
        <w:rPr>
          <w:rFonts w:hint="eastAsia"/>
        </w:rPr>
        <w:t>专业技术评审人员有下列情形之一的，应当从专业技术评审人员名单库中除名，不得再次入库：</w:t>
      </w:r>
    </w:p>
    <w:p w14:paraId="05D9C00F" w14:textId="77777777" w:rsidR="00FA0363" w:rsidRDefault="00FA0363" w:rsidP="00FA0363">
      <w:pPr>
        <w:pStyle w:val="13"/>
      </w:pPr>
      <w:r>
        <w:rPr>
          <w:rFonts w:hint="eastAsia"/>
        </w:rPr>
        <w:t>（一）因违反《中华人民共和国资产评估法》等法律法规被相关行政管理部门予以警告、责令停止从业、没收违法所得，或构成犯罪，被依法追究刑事责任的；</w:t>
      </w:r>
    </w:p>
    <w:p w14:paraId="0DA9B70D" w14:textId="77777777" w:rsidR="00FA0363" w:rsidRDefault="00FA0363" w:rsidP="00FA0363">
      <w:pPr>
        <w:pStyle w:val="13"/>
      </w:pPr>
      <w:r>
        <w:rPr>
          <w:rFonts w:hint="eastAsia"/>
        </w:rPr>
        <w:t>（二）被判处刑罚的；</w:t>
      </w:r>
    </w:p>
    <w:p w14:paraId="42E018A8" w14:textId="77777777" w:rsidR="00FA0363" w:rsidRDefault="00FA0363" w:rsidP="00FA0363">
      <w:pPr>
        <w:pStyle w:val="13"/>
      </w:pPr>
      <w:r>
        <w:rPr>
          <w:rFonts w:hint="eastAsia"/>
        </w:rPr>
        <w:t>（三）被人民法院依法纳入失信被执行人名单的。最高人民法院应当向社会公开除名情况。</w:t>
      </w:r>
    </w:p>
    <w:p w14:paraId="2A1EC1F2" w14:textId="77777777" w:rsidR="00FA0363" w:rsidRPr="00032B5A" w:rsidRDefault="00FA0363" w:rsidP="00FA0363">
      <w:pPr>
        <w:pStyle w:val="13"/>
      </w:pPr>
      <w:r w:rsidRPr="00032B5A">
        <w:rPr>
          <w:rFonts w:hint="eastAsia"/>
        </w:rPr>
        <w:t>六、当事人、利害关系人提供证据证明专家组成员具有本规范第五条第一款规定情形的，应当向人民法院书面提出申请。</w:t>
      </w:r>
    </w:p>
    <w:p w14:paraId="79031D61" w14:textId="77777777" w:rsidR="00FA0363" w:rsidRPr="00032B5A" w:rsidRDefault="00FA0363" w:rsidP="00FA0363">
      <w:pPr>
        <w:pStyle w:val="13"/>
      </w:pPr>
      <w:r w:rsidRPr="00032B5A">
        <w:rPr>
          <w:rFonts w:hint="eastAsia"/>
        </w:rPr>
        <w:t>经查证属实的，人民法院应当函告负责专业技术评审工作的行业协会更换专家组成员重新进行专业技术评审和将该人从专业技术评审人员名单库中除名。相关行业协会不予更换的，人民法院应当撤回委托评审工作，另行委托下一顺序的评估机构重新进行评估。经查证不属实的，人民法院应当书面通知申请人。</w:t>
      </w:r>
    </w:p>
    <w:p w14:paraId="078B027C" w14:textId="77777777" w:rsidR="00FA0363" w:rsidRPr="00032B5A" w:rsidRDefault="00FA0363" w:rsidP="00FA0363">
      <w:pPr>
        <w:pStyle w:val="13"/>
      </w:pPr>
      <w:r w:rsidRPr="00032B5A">
        <w:rPr>
          <w:rFonts w:hint="eastAsia"/>
        </w:rPr>
        <w:t>七、人民法院依据参考价规定第二十三条第一款规定需要进行专业技术评审的，应当通知评估机构在五个工作日内提交评估技术报告或评估工作底稿。</w:t>
      </w:r>
    </w:p>
    <w:p w14:paraId="7AEB066A" w14:textId="77777777" w:rsidR="00FA0363" w:rsidRPr="00032B5A" w:rsidRDefault="00FA0363" w:rsidP="00FA0363">
      <w:pPr>
        <w:pStyle w:val="13"/>
      </w:pPr>
      <w:r w:rsidRPr="00032B5A">
        <w:rPr>
          <w:rFonts w:hint="eastAsia"/>
        </w:rPr>
        <w:t>人民法院收到评估机构提交的评估技术报告或评估工作底稿，应当在五个工作日内制作专业技术评审委托书，连同评估报告、当事人或利害关系人的书面异议和提交的证明材料，以及委托评估时提交的相关材料、评估机构的书面说明、评估技术报告或工作底稿，交评估机构所属全国性或省级评估行业协会。</w:t>
      </w:r>
    </w:p>
    <w:p w14:paraId="256219A1" w14:textId="77777777" w:rsidR="00FA0363" w:rsidRPr="00032B5A" w:rsidRDefault="00FA0363" w:rsidP="00FA0363">
      <w:pPr>
        <w:pStyle w:val="13"/>
      </w:pPr>
      <w:r w:rsidRPr="00032B5A">
        <w:rPr>
          <w:rFonts w:hint="eastAsia"/>
        </w:rPr>
        <w:t>评估机构未按期提交评估技术报告或工作底稿的，不影响人民法院委托进行专业技术评审。</w:t>
      </w:r>
    </w:p>
    <w:p w14:paraId="3F7DF88D" w14:textId="77777777" w:rsidR="00FA0363" w:rsidRPr="00032B5A" w:rsidRDefault="00FA0363" w:rsidP="00FA0363">
      <w:pPr>
        <w:pStyle w:val="13"/>
      </w:pPr>
      <w:r w:rsidRPr="00032B5A">
        <w:rPr>
          <w:rFonts w:hint="eastAsia"/>
        </w:rPr>
        <w:t>八、人民法院未按照参考价规定第二十三条第一款和本规范规定委托专业技术评审的，全国性或省级评估行业协会可以退回委托。</w:t>
      </w:r>
    </w:p>
    <w:p w14:paraId="5EB50280" w14:textId="77777777" w:rsidR="00FA0363" w:rsidRPr="00032B5A" w:rsidRDefault="00FA0363" w:rsidP="00FA0363">
      <w:pPr>
        <w:pStyle w:val="13"/>
      </w:pPr>
      <w:r w:rsidRPr="00032B5A">
        <w:rPr>
          <w:rFonts w:hint="eastAsia"/>
        </w:rPr>
        <w:t>九、全国性或省级评估行业协会应当自收到人民法院专业技术评审委托后五个工作日内在全国或省级专业技术评审人员名单库中随机确定不少于三人组成专家组进行专业技术评审。</w:t>
      </w:r>
    </w:p>
    <w:p w14:paraId="612DDB10" w14:textId="77777777" w:rsidR="00FA0363" w:rsidRPr="00032B5A" w:rsidRDefault="00FA0363" w:rsidP="00FA0363">
      <w:pPr>
        <w:pStyle w:val="13"/>
      </w:pPr>
      <w:r w:rsidRPr="00032B5A">
        <w:rPr>
          <w:rFonts w:hint="eastAsia"/>
        </w:rPr>
        <w:t>评估机构未在期限内向人民法院提交评估技术报告或工作底稿的，全国性或省级评估行业协会应当责令其在五个工作日内提交；评估机构在期限内仍未提交的，全国性或省级评估行业协会应当将情况函复人民法院。人民法院收到复函后，应当参照参考价规定第十九条第三款规定，另行委托下一顺序的评估机构重新进行评估。</w:t>
      </w:r>
    </w:p>
    <w:p w14:paraId="3739EA9A" w14:textId="77777777" w:rsidR="00FA0363" w:rsidRPr="00032B5A" w:rsidRDefault="00FA0363" w:rsidP="00FA0363">
      <w:pPr>
        <w:pStyle w:val="13"/>
      </w:pPr>
      <w:r w:rsidRPr="00032B5A">
        <w:rPr>
          <w:rFonts w:hint="eastAsia"/>
        </w:rPr>
        <w:t>全国性评估行业协会应当对未在期限内提交评估技术报告或工作底稿的评估机构进行行业自律惩戒，同时函告最高人民法院将该评估机构从人民法院</w:t>
      </w:r>
      <w:proofErr w:type="gramStart"/>
      <w:r w:rsidRPr="00032B5A">
        <w:rPr>
          <w:rFonts w:hint="eastAsia"/>
        </w:rPr>
        <w:t>涉执财产</w:t>
      </w:r>
      <w:proofErr w:type="gramEnd"/>
      <w:r w:rsidRPr="00032B5A">
        <w:rPr>
          <w:rFonts w:hint="eastAsia"/>
        </w:rPr>
        <w:t>处</w:t>
      </w:r>
      <w:r w:rsidRPr="00032B5A">
        <w:rPr>
          <w:rFonts w:hint="eastAsia"/>
        </w:rPr>
        <w:lastRenderedPageBreak/>
        <w:t>置司法评估机构名单库中除名。</w:t>
      </w:r>
    </w:p>
    <w:p w14:paraId="43E9DE1A" w14:textId="77777777" w:rsidR="00FA0363" w:rsidRPr="00032B5A" w:rsidRDefault="00FA0363" w:rsidP="00FA0363">
      <w:pPr>
        <w:pStyle w:val="13"/>
      </w:pPr>
      <w:r w:rsidRPr="00032B5A">
        <w:rPr>
          <w:rFonts w:hint="eastAsia"/>
        </w:rPr>
        <w:t>十、专家组成员有下列情形之一的，应当回避：</w:t>
      </w:r>
    </w:p>
    <w:p w14:paraId="7DFA6235" w14:textId="77777777" w:rsidR="00FA0363" w:rsidRPr="00032B5A" w:rsidRDefault="00FA0363" w:rsidP="00FA0363">
      <w:pPr>
        <w:pStyle w:val="13"/>
      </w:pPr>
      <w:r w:rsidRPr="00032B5A">
        <w:rPr>
          <w:rFonts w:hint="eastAsia"/>
        </w:rPr>
        <w:t>（一）是本案当事人、利害关系人、诉讼代理人或当事人、利害关系人、诉讼代理人近亲属的；</w:t>
      </w:r>
    </w:p>
    <w:p w14:paraId="0996987F" w14:textId="77777777" w:rsidR="00FA0363" w:rsidRPr="00032B5A" w:rsidRDefault="00FA0363" w:rsidP="00FA0363">
      <w:pPr>
        <w:pStyle w:val="13"/>
      </w:pPr>
      <w:r w:rsidRPr="00032B5A">
        <w:rPr>
          <w:rFonts w:hint="eastAsia"/>
        </w:rPr>
        <w:t>（二）与本案当事人、利害关系人、诉讼代理人有其他关系，可能影响专业技术评审的；</w:t>
      </w:r>
    </w:p>
    <w:p w14:paraId="716502BF" w14:textId="77777777" w:rsidR="00FA0363" w:rsidRPr="00032B5A" w:rsidRDefault="00FA0363" w:rsidP="00FA0363">
      <w:pPr>
        <w:pStyle w:val="13"/>
      </w:pPr>
      <w:r w:rsidRPr="00032B5A">
        <w:rPr>
          <w:rFonts w:hint="eastAsia"/>
        </w:rPr>
        <w:t>（三）与本案有利害关系的；</w:t>
      </w:r>
    </w:p>
    <w:p w14:paraId="4B274595" w14:textId="77777777" w:rsidR="00FA0363" w:rsidRPr="00032B5A" w:rsidRDefault="00FA0363" w:rsidP="00FA0363">
      <w:pPr>
        <w:pStyle w:val="13"/>
      </w:pPr>
      <w:r w:rsidRPr="00032B5A">
        <w:rPr>
          <w:rFonts w:hint="eastAsia"/>
        </w:rPr>
        <w:t>（四）与评估对象有利害关系的；</w:t>
      </w:r>
    </w:p>
    <w:p w14:paraId="3CA54A0F" w14:textId="77777777" w:rsidR="00FA0363" w:rsidRPr="00032B5A" w:rsidRDefault="00FA0363" w:rsidP="00FA0363">
      <w:pPr>
        <w:pStyle w:val="13"/>
      </w:pPr>
      <w:r w:rsidRPr="00032B5A">
        <w:rPr>
          <w:rFonts w:hint="eastAsia"/>
        </w:rPr>
        <w:t>（五）除受行政部门委托外，近五年曾参与过对评估对象的评估工作的；</w:t>
      </w:r>
    </w:p>
    <w:p w14:paraId="2C16EEA0" w14:textId="77777777" w:rsidR="00FA0363" w:rsidRPr="00032B5A" w:rsidRDefault="00FA0363" w:rsidP="00FA0363">
      <w:pPr>
        <w:pStyle w:val="13"/>
      </w:pPr>
      <w:r w:rsidRPr="00032B5A">
        <w:rPr>
          <w:rFonts w:hint="eastAsia"/>
        </w:rPr>
        <w:t>（六）本人或所在评估机构在过去五年曾为当事人、利害关系人提供过评估服务的；</w:t>
      </w:r>
    </w:p>
    <w:p w14:paraId="06CD4D6A" w14:textId="77777777" w:rsidR="00FA0363" w:rsidRPr="00032B5A" w:rsidRDefault="00FA0363" w:rsidP="00FA0363">
      <w:pPr>
        <w:pStyle w:val="13"/>
      </w:pPr>
      <w:r w:rsidRPr="00032B5A">
        <w:rPr>
          <w:rFonts w:hint="eastAsia"/>
        </w:rPr>
        <w:t>（七）近五年曾经或现登记、注册在出具评估报告的评估机构的；</w:t>
      </w:r>
    </w:p>
    <w:p w14:paraId="0D1F9475" w14:textId="77777777" w:rsidR="00FA0363" w:rsidRPr="00032B5A" w:rsidRDefault="00FA0363" w:rsidP="00FA0363">
      <w:pPr>
        <w:pStyle w:val="13"/>
      </w:pPr>
      <w:r w:rsidRPr="00032B5A">
        <w:rPr>
          <w:rFonts w:hint="eastAsia"/>
        </w:rPr>
        <w:t>（八）与评估报告署名的评估人员有近亲属关系，或有其他关系可能影响专业技术评审的；</w:t>
      </w:r>
    </w:p>
    <w:p w14:paraId="0F8F01C8" w14:textId="77777777" w:rsidR="00FA0363" w:rsidRPr="00032B5A" w:rsidRDefault="00FA0363" w:rsidP="00FA0363">
      <w:pPr>
        <w:pStyle w:val="13"/>
      </w:pPr>
      <w:r w:rsidRPr="00032B5A">
        <w:rPr>
          <w:rFonts w:hint="eastAsia"/>
        </w:rPr>
        <w:t>（九）可能影响专业技术评审的其他情形。</w:t>
      </w:r>
    </w:p>
    <w:p w14:paraId="7C440EC0" w14:textId="77777777" w:rsidR="00FA0363" w:rsidRPr="00032B5A" w:rsidRDefault="00FA0363" w:rsidP="00FA0363">
      <w:pPr>
        <w:pStyle w:val="13"/>
      </w:pPr>
      <w:r w:rsidRPr="00032B5A">
        <w:rPr>
          <w:rFonts w:hint="eastAsia"/>
        </w:rPr>
        <w:t>当事人、利害关系人提供证据证明专家组成员具有前款规定情形的，应当向人民法院书面提出申请。人民法院应当按照本规范第六条第二款规定办理。</w:t>
      </w:r>
    </w:p>
    <w:p w14:paraId="59F6C553" w14:textId="77777777" w:rsidR="00FA0363" w:rsidRPr="00032B5A" w:rsidRDefault="00FA0363" w:rsidP="00FA0363">
      <w:pPr>
        <w:pStyle w:val="13"/>
      </w:pPr>
      <w:r w:rsidRPr="00032B5A">
        <w:rPr>
          <w:rFonts w:hint="eastAsia"/>
        </w:rPr>
        <w:t>十一、专业技术评审应通过集中评审的方式进行，实行少数服从多数的原则。</w:t>
      </w:r>
    </w:p>
    <w:p w14:paraId="6AFCD871" w14:textId="77777777" w:rsidR="00FA0363" w:rsidRPr="00032B5A" w:rsidRDefault="00FA0363" w:rsidP="00FA0363">
      <w:pPr>
        <w:pStyle w:val="13"/>
      </w:pPr>
      <w:r w:rsidRPr="00032B5A">
        <w:rPr>
          <w:rFonts w:hint="eastAsia"/>
        </w:rPr>
        <w:t>十二、专家组应当自组建的次日起十个工作日内完成专业技术评审，并出具专业技术评审报告。专业技术评审报告应当由专家组成员署名。</w:t>
      </w:r>
    </w:p>
    <w:p w14:paraId="01085859" w14:textId="77777777" w:rsidR="00FA0363" w:rsidRPr="00032B5A" w:rsidRDefault="00FA0363" w:rsidP="00FA0363">
      <w:pPr>
        <w:pStyle w:val="13"/>
      </w:pPr>
      <w:r w:rsidRPr="00032B5A">
        <w:rPr>
          <w:rFonts w:hint="eastAsia"/>
        </w:rPr>
        <w:t>专业技术评审报告应当载明：专业技术评审工作开展情况、对有关评估报告的概括性描述、对当事人和利害关系人提出的书面异议中涉及参照标准、计算方法或评估结果等问题逐一进行回复</w:t>
      </w:r>
      <w:r w:rsidRPr="00032B5A">
        <w:t>,并列</w:t>
      </w:r>
      <w:proofErr w:type="gramStart"/>
      <w:r w:rsidRPr="00032B5A">
        <w:t>示法律</w:t>
      </w:r>
      <w:proofErr w:type="gramEnd"/>
      <w:r w:rsidRPr="00032B5A">
        <w:t>法规或者相关准则依据，以及专业技术评审结论。</w:t>
      </w:r>
    </w:p>
    <w:p w14:paraId="3831F406" w14:textId="77777777" w:rsidR="00FA0363" w:rsidRPr="00032B5A" w:rsidRDefault="00FA0363" w:rsidP="00FA0363">
      <w:pPr>
        <w:pStyle w:val="13"/>
      </w:pPr>
      <w:r w:rsidRPr="00032B5A">
        <w:rPr>
          <w:rFonts w:hint="eastAsia"/>
        </w:rPr>
        <w:t>十三、专家组认为不能在指定的期限内完成评审工作的，应在期限届满前五个工作日通过所属全国性或省级评估行业协会向人民法院提出书面延期申请，说明延期理由和延长期限，延长期限不得超过十个工作日。</w:t>
      </w:r>
    </w:p>
    <w:p w14:paraId="6F6B4BAA" w14:textId="77777777" w:rsidR="00FA0363" w:rsidRPr="00032B5A" w:rsidRDefault="00FA0363" w:rsidP="00FA0363">
      <w:pPr>
        <w:pStyle w:val="13"/>
      </w:pPr>
      <w:r w:rsidRPr="00032B5A">
        <w:rPr>
          <w:rFonts w:hint="eastAsia"/>
        </w:rPr>
        <w:t>十四、专家组在评审工作中应当形成专业技术评审工作底稿，并由专家组成员签字。专业技术评审工作底稿应如实记载专业技术评审情况和专家组成员的个人评审意见，并</w:t>
      </w:r>
      <w:proofErr w:type="gramStart"/>
      <w:r w:rsidRPr="00032B5A">
        <w:rPr>
          <w:rFonts w:hint="eastAsia"/>
        </w:rPr>
        <w:t>附专业</w:t>
      </w:r>
      <w:proofErr w:type="gramEnd"/>
      <w:r w:rsidRPr="00032B5A">
        <w:rPr>
          <w:rFonts w:hint="eastAsia"/>
        </w:rPr>
        <w:t>技术评审报告及相关材料。</w:t>
      </w:r>
    </w:p>
    <w:p w14:paraId="0242BAFD" w14:textId="77777777" w:rsidR="00FA0363" w:rsidRPr="00032B5A" w:rsidRDefault="00FA0363" w:rsidP="00FA0363">
      <w:pPr>
        <w:pStyle w:val="13"/>
      </w:pPr>
      <w:r w:rsidRPr="00032B5A">
        <w:rPr>
          <w:rFonts w:hint="eastAsia"/>
        </w:rPr>
        <w:t>专业技术评审工作结束后，全国性或省级评估行业协会应当将专业技术评审报告和专业技术评审工作底稿一并提交给人民法院。</w:t>
      </w:r>
    </w:p>
    <w:p w14:paraId="550C23B2" w14:textId="77777777" w:rsidR="00FA0363" w:rsidRPr="00032B5A" w:rsidRDefault="00FA0363" w:rsidP="00FA0363">
      <w:pPr>
        <w:pStyle w:val="13"/>
      </w:pPr>
      <w:r w:rsidRPr="00032B5A">
        <w:rPr>
          <w:rFonts w:hint="eastAsia"/>
        </w:rPr>
        <w:t>十五、专业技术评审可以收取评审费用。收费标准由全国性评估行业协会自行制定，</w:t>
      </w:r>
      <w:r w:rsidRPr="00032B5A">
        <w:t>但不得违反法律、法规、规范性文件的规定。</w:t>
      </w:r>
    </w:p>
    <w:p w14:paraId="4DC24ED0" w14:textId="77777777" w:rsidR="00FA0363" w:rsidRPr="00032B5A" w:rsidRDefault="00FA0363" w:rsidP="00FA0363">
      <w:pPr>
        <w:pStyle w:val="13"/>
      </w:pPr>
      <w:r w:rsidRPr="00032B5A">
        <w:rPr>
          <w:rFonts w:hint="eastAsia"/>
        </w:rPr>
        <w:lastRenderedPageBreak/>
        <w:t>评审费用由异议人垫付。人民法院根据专业技术评审结论认定评估结果，一人提出异议的，评审费用由异议人承担；多人提出异议的，评审费用由异议人平均分担。人民法院根据专业技术评审结论责令原评估机构予以补正的，评审费用由评估机构承担，从评估费用中扣除。</w:t>
      </w:r>
    </w:p>
    <w:p w14:paraId="325668AA" w14:textId="77777777" w:rsidR="00FA0363" w:rsidRPr="00032B5A" w:rsidRDefault="00FA0363" w:rsidP="00FA0363">
      <w:pPr>
        <w:pStyle w:val="13"/>
      </w:pPr>
      <w:r w:rsidRPr="00032B5A">
        <w:rPr>
          <w:rFonts w:hint="eastAsia"/>
        </w:rPr>
        <w:t>人民法院依照本规范第八条第二款规定另行委托评估机构重新进行评估的，应当依照参考价规定第三十二条第三款规定对原评估机构不计付评估费用。</w:t>
      </w:r>
    </w:p>
    <w:p w14:paraId="37FA1933" w14:textId="77777777" w:rsidR="00FA0363" w:rsidRPr="00032B5A" w:rsidRDefault="00FA0363" w:rsidP="00FA0363">
      <w:pPr>
        <w:pStyle w:val="13"/>
      </w:pPr>
      <w:r w:rsidRPr="00032B5A">
        <w:rPr>
          <w:rFonts w:hint="eastAsia"/>
        </w:rPr>
        <w:t>当事人或利害关系人对评估报告提出书面异议，依法需要进行专业技术评审的，人民法院应当暂缓向评估机构支付预估评估费用，</w:t>
      </w:r>
      <w:proofErr w:type="gramStart"/>
      <w:r w:rsidRPr="00032B5A">
        <w:rPr>
          <w:rFonts w:hint="eastAsia"/>
        </w:rPr>
        <w:t>待专业</w:t>
      </w:r>
      <w:proofErr w:type="gramEnd"/>
      <w:r w:rsidRPr="00032B5A">
        <w:rPr>
          <w:rFonts w:hint="eastAsia"/>
        </w:rPr>
        <w:t>技术评审后，按照前两款规定计付。</w:t>
      </w:r>
    </w:p>
    <w:p w14:paraId="10A59265" w14:textId="77777777" w:rsidR="00FA0363" w:rsidRPr="00032B5A" w:rsidRDefault="00FA0363" w:rsidP="00FA0363">
      <w:pPr>
        <w:pStyle w:val="13"/>
      </w:pPr>
      <w:r w:rsidRPr="00032B5A">
        <w:rPr>
          <w:rFonts w:hint="eastAsia"/>
        </w:rPr>
        <w:t>人民法院依照本规范第六条、第十条规定，撤回委托专业技术评审的，</w:t>
      </w:r>
      <w:proofErr w:type="gramStart"/>
      <w:r w:rsidRPr="00032B5A">
        <w:rPr>
          <w:rFonts w:hint="eastAsia"/>
        </w:rPr>
        <w:t>不</w:t>
      </w:r>
      <w:proofErr w:type="gramEnd"/>
      <w:r w:rsidRPr="00032B5A">
        <w:rPr>
          <w:rFonts w:hint="eastAsia"/>
        </w:rPr>
        <w:t>得计付评审费用。</w:t>
      </w:r>
    </w:p>
    <w:p w14:paraId="3AEDF081" w14:textId="77777777" w:rsidR="00FA0363" w:rsidRPr="00032B5A" w:rsidRDefault="00FA0363" w:rsidP="00FA0363">
      <w:pPr>
        <w:pStyle w:val="13"/>
      </w:pPr>
      <w:r w:rsidRPr="00032B5A">
        <w:rPr>
          <w:rFonts w:hint="eastAsia"/>
        </w:rPr>
        <w:t>十六、本规范所述相关通知、报告等材料应当通过全国法院询价评估系统与全国性评估行业协会的系统实现数据交互；全国法院询价评估系统与全国性评估行业协会的系统未对接完毕或材料无法通过线上传输的，人民法院应当将上述材料通过邮寄或直接送达的方式交全国性或省级评估行业协会。</w:t>
      </w:r>
    </w:p>
    <w:p w14:paraId="55304719" w14:textId="77777777" w:rsidR="00FA0363" w:rsidRPr="00032B5A" w:rsidRDefault="00FA0363" w:rsidP="00FA0363">
      <w:pPr>
        <w:pStyle w:val="13"/>
      </w:pPr>
      <w:r w:rsidRPr="00032B5A">
        <w:rPr>
          <w:rFonts w:hint="eastAsia"/>
        </w:rPr>
        <w:t>十七、全国性评估行业协会可以根据本规范制定本行业专业技术评审细则。全国性评估行业协会应当将其制定的本行业专业技术评审细则向最高人民法院报备。</w:t>
      </w:r>
    </w:p>
    <w:p w14:paraId="382479CD" w14:textId="77777777" w:rsidR="00FA0363" w:rsidRPr="00032B5A" w:rsidRDefault="00FA0363" w:rsidP="00FA0363">
      <w:pPr>
        <w:pStyle w:val="13"/>
      </w:pPr>
      <w:r w:rsidRPr="00032B5A">
        <w:rPr>
          <w:rFonts w:hint="eastAsia"/>
        </w:rPr>
        <w:t>全国性评估行业协会制定的专业技术评审细则与参考价规定、《人民法院委托评估规范》（以下简称委托评估规范）和本规范规定的内容相抵触的，最高人民法院可以要求全国性评估行业协会进行修正；全国性或省级评估行业协会未按照参考价规定、委托评估规范和本规范开展专业技术评审工作的，最高人民法院可以函告该协会进行纠正。全国性评估行业协会未按照最高人民法院的要求对专业技术评审细则进行修正，以及全国性或省级评估行业协会未按照最高人民法院的要求纠正或开展专业技术评审工作，最高人民法院可以将上述情况函告相关部门或监察部门，同时将该全国性评估行业协会推荐入人民法院</w:t>
      </w:r>
      <w:proofErr w:type="gramStart"/>
      <w:r w:rsidRPr="00032B5A">
        <w:rPr>
          <w:rFonts w:hint="eastAsia"/>
        </w:rPr>
        <w:t>涉执财产</w:t>
      </w:r>
      <w:proofErr w:type="gramEnd"/>
      <w:r w:rsidRPr="00032B5A">
        <w:rPr>
          <w:rFonts w:hint="eastAsia"/>
        </w:rPr>
        <w:t>处置司法评估机构名单库的评估机构予以除名，且不再接收该全国性评估行业协会推荐的评估机构入选人民法院</w:t>
      </w:r>
      <w:proofErr w:type="gramStart"/>
      <w:r w:rsidRPr="00032B5A">
        <w:rPr>
          <w:rFonts w:hint="eastAsia"/>
        </w:rPr>
        <w:t>涉执财产</w:t>
      </w:r>
      <w:proofErr w:type="gramEnd"/>
      <w:r w:rsidRPr="00032B5A">
        <w:rPr>
          <w:rFonts w:hint="eastAsia"/>
        </w:rPr>
        <w:t>处置司法评估机构名单库。</w:t>
      </w:r>
    </w:p>
    <w:p w14:paraId="4052617C" w14:textId="77777777" w:rsidR="00FA0363" w:rsidRDefault="00FA0363" w:rsidP="00FA0363">
      <w:pPr>
        <w:pStyle w:val="21"/>
        <w:spacing w:before="156" w:after="93"/>
      </w:pPr>
      <w:bookmarkStart w:id="305" w:name="_Toc81833538"/>
      <w:r>
        <w:rPr>
          <w:rFonts w:hint="eastAsia"/>
        </w:rPr>
        <w:t>破产业务</w:t>
      </w:r>
      <w:bookmarkEnd w:id="305"/>
    </w:p>
    <w:p w14:paraId="36BF4F62" w14:textId="2E7BF4BE" w:rsidR="00FA0363" w:rsidRDefault="00FA0363" w:rsidP="00FA0363">
      <w:pPr>
        <w:pStyle w:val="31"/>
        <w:spacing w:before="156" w:after="62"/>
      </w:pPr>
      <w:bookmarkStart w:id="306" w:name="_Toc81833539"/>
      <w:r>
        <w:rPr>
          <w:rFonts w:hint="eastAsia"/>
        </w:rPr>
        <w:t>《关于审理企业破产案件若干问题的规定》（法释〔</w:t>
      </w:r>
      <w:r>
        <w:t>2002〕23号）</w:t>
      </w:r>
      <w:bookmarkEnd w:id="306"/>
    </w:p>
    <w:p w14:paraId="6455444E" w14:textId="177B4A2C" w:rsidR="00FA0363" w:rsidRDefault="003B2FB1" w:rsidP="00FA0363">
      <w:pPr>
        <w:pStyle w:val="13"/>
        <w:ind w:firstLine="482"/>
      </w:pPr>
      <w:r w:rsidRPr="003B2FB1">
        <w:rPr>
          <w:rFonts w:hint="eastAsia"/>
          <w:b/>
          <w:bCs/>
        </w:rPr>
        <w:t xml:space="preserve">第四十一条 </w:t>
      </w:r>
      <w:r w:rsidR="00FA0363">
        <w:t>第一次债权人会议由人民法院召集并主持。人民法院除完成本规定第十七条确定的工作外，还应当做好以下准备工作：</w:t>
      </w:r>
    </w:p>
    <w:p w14:paraId="362A5F25" w14:textId="77777777" w:rsidR="00FA0363" w:rsidRDefault="00FA0363" w:rsidP="00FA0363">
      <w:pPr>
        <w:pStyle w:val="13"/>
      </w:pPr>
      <w:r>
        <w:rPr>
          <w:rFonts w:hint="eastAsia"/>
        </w:rPr>
        <w:t>（一）拟订第一次债权人会议议程；</w:t>
      </w:r>
    </w:p>
    <w:p w14:paraId="1290DD1F" w14:textId="77777777" w:rsidR="00FA0363" w:rsidRDefault="00FA0363" w:rsidP="00FA0363">
      <w:pPr>
        <w:pStyle w:val="13"/>
      </w:pPr>
      <w:r>
        <w:rPr>
          <w:rFonts w:hint="eastAsia"/>
        </w:rPr>
        <w:t>（二）向债务人的法定代表人或者负责人发出通知，要求其必须到会；</w:t>
      </w:r>
    </w:p>
    <w:p w14:paraId="5A7F9719" w14:textId="77777777" w:rsidR="00FA0363" w:rsidRDefault="00FA0363" w:rsidP="00FA0363">
      <w:pPr>
        <w:pStyle w:val="13"/>
      </w:pPr>
      <w:r>
        <w:rPr>
          <w:rFonts w:hint="eastAsia"/>
        </w:rPr>
        <w:lastRenderedPageBreak/>
        <w:t>（三）向债务人的上级主管部门、开办人或者股东会议代表发出通知，要求其派员列席会议；</w:t>
      </w:r>
    </w:p>
    <w:p w14:paraId="6BD473B2" w14:textId="77777777" w:rsidR="00FA0363" w:rsidRDefault="00FA0363" w:rsidP="00FA0363">
      <w:pPr>
        <w:pStyle w:val="13"/>
      </w:pPr>
      <w:r>
        <w:rPr>
          <w:rFonts w:hint="eastAsia"/>
        </w:rPr>
        <w:t>（四）通知破产清算组成员列席会议；</w:t>
      </w:r>
    </w:p>
    <w:p w14:paraId="506756CB" w14:textId="77777777" w:rsidR="00FA0363" w:rsidRDefault="00FA0363" w:rsidP="00FA0363">
      <w:pPr>
        <w:pStyle w:val="13"/>
      </w:pPr>
      <w:r>
        <w:rPr>
          <w:rFonts w:hint="eastAsia"/>
        </w:rPr>
        <w:t>（五）通知审计、评估人员参加会议；</w:t>
      </w:r>
    </w:p>
    <w:p w14:paraId="27798F93" w14:textId="77777777" w:rsidR="00FA0363" w:rsidRDefault="00FA0363" w:rsidP="00FA0363">
      <w:pPr>
        <w:pStyle w:val="13"/>
      </w:pPr>
      <w:r>
        <w:rPr>
          <w:rFonts w:hint="eastAsia"/>
        </w:rPr>
        <w:t>（六）需要提前准备的其他工作。</w:t>
      </w:r>
    </w:p>
    <w:p w14:paraId="7D85CE78" w14:textId="77777777" w:rsidR="00FA0363" w:rsidRDefault="00FA0363" w:rsidP="00FA0363">
      <w:pPr>
        <w:pStyle w:val="13"/>
        <w:ind w:firstLine="482"/>
      </w:pPr>
      <w:r w:rsidRPr="00D12405">
        <w:rPr>
          <w:rFonts w:hint="eastAsia"/>
          <w:b/>
          <w:bCs/>
        </w:rPr>
        <w:t>第五十条</w:t>
      </w:r>
      <w:r>
        <w:rPr>
          <w:rFonts w:hint="eastAsia"/>
          <w:b/>
          <w:bCs/>
        </w:rPr>
        <w:t xml:space="preserve"> </w:t>
      </w:r>
      <w:r>
        <w:t>清算组的主要职责是：</w:t>
      </w:r>
    </w:p>
    <w:p w14:paraId="114ECA28" w14:textId="77777777" w:rsidR="00FA0363" w:rsidRDefault="00FA0363" w:rsidP="00FA0363">
      <w:pPr>
        <w:pStyle w:val="13"/>
      </w:pPr>
      <w:r>
        <w:rPr>
          <w:rFonts w:hint="eastAsia"/>
        </w:rPr>
        <w:t>（一）接管破产企业。向破产企业原法定代表人及留守人员接收原登记造册的资产明细表、有形资产清册，接管所有财产、</w:t>
      </w:r>
      <w:proofErr w:type="gramStart"/>
      <w:r>
        <w:rPr>
          <w:rFonts w:hint="eastAsia"/>
        </w:rPr>
        <w:t>帐册</w:t>
      </w:r>
      <w:proofErr w:type="gramEnd"/>
      <w:r>
        <w:rPr>
          <w:rFonts w:hint="eastAsia"/>
        </w:rPr>
        <w:t>、文书档案、印章、证照和有关资料。破产宣告前成立企业监管组的，由企业监管组和企业原法定代表人向清算组进行移交。</w:t>
      </w:r>
    </w:p>
    <w:p w14:paraId="16AE1E0D" w14:textId="77777777" w:rsidR="00FA0363" w:rsidRDefault="00FA0363" w:rsidP="00FA0363">
      <w:pPr>
        <w:pStyle w:val="13"/>
      </w:pPr>
      <w:r>
        <w:rPr>
          <w:rFonts w:hint="eastAsia"/>
        </w:rPr>
        <w:t>（二）清理破产企业财产，编制财产明细表和资产负债表，编制债权债务清册，组织破产财产的评估、拍卖、变现；</w:t>
      </w:r>
    </w:p>
    <w:p w14:paraId="30C39112" w14:textId="77777777" w:rsidR="00FA0363" w:rsidRDefault="00FA0363" w:rsidP="00FA0363">
      <w:pPr>
        <w:pStyle w:val="13"/>
      </w:pPr>
      <w:r>
        <w:rPr>
          <w:rFonts w:hint="eastAsia"/>
        </w:rPr>
        <w:t>（三）回收破产企业的财产，向破产企业的债务人、财产持有人依法行使财产权利；</w:t>
      </w:r>
    </w:p>
    <w:p w14:paraId="59A129CB" w14:textId="77777777" w:rsidR="00FA0363" w:rsidRDefault="00FA0363" w:rsidP="00FA0363">
      <w:pPr>
        <w:pStyle w:val="13"/>
      </w:pPr>
      <w:r>
        <w:rPr>
          <w:rFonts w:hint="eastAsia"/>
        </w:rPr>
        <w:t>（四）管理、处分破产财产，决定是否履行合同和在清算范围内进行经营活动。确认别除权、</w:t>
      </w:r>
      <w:proofErr w:type="gramStart"/>
      <w:r>
        <w:rPr>
          <w:rFonts w:hint="eastAsia"/>
        </w:rPr>
        <w:t>抵销</w:t>
      </w:r>
      <w:proofErr w:type="gramEnd"/>
      <w:r>
        <w:rPr>
          <w:rFonts w:hint="eastAsia"/>
        </w:rPr>
        <w:t>权、取回权；</w:t>
      </w:r>
    </w:p>
    <w:p w14:paraId="16CD2AD0" w14:textId="77777777" w:rsidR="00FA0363" w:rsidRDefault="00FA0363" w:rsidP="00FA0363">
      <w:pPr>
        <w:pStyle w:val="13"/>
      </w:pPr>
      <w:r>
        <w:rPr>
          <w:rFonts w:hint="eastAsia"/>
        </w:rPr>
        <w:t>（五）进行破产财产的委托评估、拍卖及其他变现工作；</w:t>
      </w:r>
    </w:p>
    <w:p w14:paraId="57F02DC6" w14:textId="77777777" w:rsidR="00FA0363" w:rsidRDefault="00FA0363" w:rsidP="00FA0363">
      <w:pPr>
        <w:pStyle w:val="13"/>
      </w:pPr>
      <w:r>
        <w:rPr>
          <w:rFonts w:hint="eastAsia"/>
        </w:rPr>
        <w:t>（六）依法提出并执行破产财产处理和分配方案；</w:t>
      </w:r>
    </w:p>
    <w:p w14:paraId="3418F852" w14:textId="77777777" w:rsidR="00FA0363" w:rsidRDefault="00FA0363" w:rsidP="00FA0363">
      <w:pPr>
        <w:pStyle w:val="13"/>
      </w:pPr>
      <w:r>
        <w:rPr>
          <w:rFonts w:hint="eastAsia"/>
        </w:rPr>
        <w:t>（七）提交清算报告；</w:t>
      </w:r>
    </w:p>
    <w:p w14:paraId="3CFB3123" w14:textId="77777777" w:rsidR="00FA0363" w:rsidRDefault="00FA0363" w:rsidP="00FA0363">
      <w:pPr>
        <w:pStyle w:val="13"/>
      </w:pPr>
      <w:r>
        <w:rPr>
          <w:rFonts w:hint="eastAsia"/>
        </w:rPr>
        <w:t>（八）代表破产企业参加诉讼和仲裁活动；</w:t>
      </w:r>
    </w:p>
    <w:p w14:paraId="0B98F345" w14:textId="77777777" w:rsidR="00FA0363" w:rsidRDefault="00FA0363" w:rsidP="00FA0363">
      <w:pPr>
        <w:pStyle w:val="13"/>
      </w:pPr>
      <w:r>
        <w:rPr>
          <w:rFonts w:hint="eastAsia"/>
        </w:rPr>
        <w:t>（九）办理企业注销登记等破产终结事宜；</w:t>
      </w:r>
    </w:p>
    <w:p w14:paraId="05B95298" w14:textId="77777777" w:rsidR="00FA0363" w:rsidRDefault="00FA0363" w:rsidP="00FA0363">
      <w:pPr>
        <w:pStyle w:val="13"/>
      </w:pPr>
      <w:r>
        <w:rPr>
          <w:rFonts w:hint="eastAsia"/>
        </w:rPr>
        <w:t>（十）完成人民法院依法指定的其他事项。</w:t>
      </w:r>
    </w:p>
    <w:p w14:paraId="31A2515C" w14:textId="77777777" w:rsidR="00FA0363" w:rsidRDefault="00FA0363" w:rsidP="00FA0363">
      <w:pPr>
        <w:pStyle w:val="13"/>
        <w:ind w:firstLine="482"/>
      </w:pPr>
      <w:r w:rsidRPr="00D12405">
        <w:rPr>
          <w:rFonts w:hint="eastAsia"/>
          <w:b/>
          <w:bCs/>
        </w:rPr>
        <w:t>第五十三条</w:t>
      </w:r>
      <w:r>
        <w:rPr>
          <w:rFonts w:hint="eastAsia"/>
          <w:b/>
          <w:bCs/>
        </w:rPr>
        <w:t xml:space="preserve"> </w:t>
      </w:r>
      <w:r>
        <w:t>清算组对破产财产应当及时登记、清理、审计、评估、变价。必要时，可以请求人民法院对破产企业财产进行保全。</w:t>
      </w:r>
    </w:p>
    <w:p w14:paraId="3B17FC7B" w14:textId="77777777" w:rsidR="00FA0363" w:rsidRDefault="00FA0363" w:rsidP="00FA0363">
      <w:pPr>
        <w:pStyle w:val="13"/>
        <w:ind w:firstLine="482"/>
      </w:pPr>
      <w:r w:rsidRPr="00D12405">
        <w:rPr>
          <w:rFonts w:hint="eastAsia"/>
          <w:b/>
          <w:bCs/>
        </w:rPr>
        <w:t>第八十三条</w:t>
      </w:r>
      <w:r>
        <w:rPr>
          <w:rFonts w:hint="eastAsia"/>
          <w:b/>
          <w:bCs/>
        </w:rPr>
        <w:t xml:space="preserve"> </w:t>
      </w:r>
      <w:r>
        <w:t>处理破产财产前，可以确定有相应评估资质的评估机构对破产财产进行评估，债权人会议、清算组对破产财产的评估结论、评估费用有异议的，参照最高人民法院《关于民事诉讼证据的若干规定》第二十七条的规定处理。</w:t>
      </w:r>
    </w:p>
    <w:p w14:paraId="223DCE28" w14:textId="416D1AB0" w:rsidR="00FA0363" w:rsidRDefault="00FA0363" w:rsidP="00FA0363">
      <w:pPr>
        <w:pStyle w:val="13"/>
        <w:ind w:firstLine="482"/>
      </w:pPr>
      <w:r w:rsidRPr="00D12405">
        <w:rPr>
          <w:rFonts w:hint="eastAsia"/>
          <w:b/>
          <w:bCs/>
        </w:rPr>
        <w:t>第八十四条</w:t>
      </w:r>
      <w:r>
        <w:rPr>
          <w:rFonts w:hint="eastAsia"/>
          <w:b/>
          <w:bCs/>
        </w:rPr>
        <w:t xml:space="preserve"> </w:t>
      </w:r>
      <w:r>
        <w:t>债权人会议对破产财产的市场价格无异议的，经人民法院同意后，可以不进行评估。但是国有资产除外。</w:t>
      </w:r>
    </w:p>
    <w:p w14:paraId="24915021" w14:textId="1E7CA2BD" w:rsidR="00EB5139" w:rsidRDefault="00EB5139" w:rsidP="00EB5139">
      <w:pPr>
        <w:pStyle w:val="31"/>
        <w:spacing w:before="156" w:after="62"/>
      </w:pPr>
      <w:bookmarkStart w:id="307" w:name="_Toc81833540"/>
      <w:proofErr w:type="gramStart"/>
      <w:r>
        <w:rPr>
          <w:rFonts w:hint="eastAsia"/>
        </w:rPr>
        <w:t>《</w:t>
      </w:r>
      <w:proofErr w:type="gramEnd"/>
      <w:r>
        <w:rPr>
          <w:rFonts w:hint="eastAsia"/>
        </w:rPr>
        <w:t>关于适用</w:t>
      </w:r>
      <w:proofErr w:type="gramStart"/>
      <w:r>
        <w:rPr>
          <w:rFonts w:hint="eastAsia"/>
        </w:rPr>
        <w:t>《</w:t>
      </w:r>
      <w:proofErr w:type="gramEnd"/>
      <w:r>
        <w:rPr>
          <w:rFonts w:hint="eastAsia"/>
        </w:rPr>
        <w:t>中华人民共和国企业破产法</w:t>
      </w:r>
      <w:proofErr w:type="gramStart"/>
      <w:r>
        <w:rPr>
          <w:rFonts w:hint="eastAsia"/>
        </w:rPr>
        <w:t>》</w:t>
      </w:r>
      <w:proofErr w:type="gramEnd"/>
      <w:r>
        <w:rPr>
          <w:rFonts w:hint="eastAsia"/>
        </w:rPr>
        <w:t>若干问题的规定（一）</w:t>
      </w:r>
      <w:proofErr w:type="gramStart"/>
      <w:r>
        <w:rPr>
          <w:rFonts w:hint="eastAsia"/>
        </w:rPr>
        <w:t>》</w:t>
      </w:r>
      <w:proofErr w:type="gramEnd"/>
      <w:r w:rsidR="00DA7F27">
        <w:br/>
      </w:r>
      <w:r>
        <w:rPr>
          <w:rFonts w:hint="eastAsia"/>
        </w:rPr>
        <w:t>（法释〔</w:t>
      </w:r>
      <w:r>
        <w:t>2011〕22号）</w:t>
      </w:r>
      <w:bookmarkEnd w:id="307"/>
    </w:p>
    <w:p w14:paraId="75BBCE43" w14:textId="77777777" w:rsidR="00EB5139" w:rsidRDefault="00EB5139" w:rsidP="00EB5139">
      <w:pPr>
        <w:pStyle w:val="13"/>
        <w:ind w:firstLine="482"/>
      </w:pPr>
      <w:r w:rsidRPr="004E3EBB">
        <w:rPr>
          <w:rFonts w:hint="eastAsia"/>
          <w:b/>
          <w:bCs/>
        </w:rPr>
        <w:t xml:space="preserve">第三条 </w:t>
      </w:r>
      <w:r>
        <w:t>债务人的资产负债表，或者审计报告、资产评估报告等显示其全部资产不足以偿付全部负债的，人民法院应当认定债务人资产不足以清偿全部债务，但有相</w:t>
      </w:r>
      <w:r>
        <w:lastRenderedPageBreak/>
        <w:t>反证据足以证明债务人资产能够偿付全部负债的除外。</w:t>
      </w:r>
    </w:p>
    <w:p w14:paraId="381A9558" w14:textId="77777777" w:rsidR="00FA0363" w:rsidRDefault="00FA0363" w:rsidP="00FA0363">
      <w:pPr>
        <w:pStyle w:val="21"/>
        <w:spacing w:before="156" w:after="93"/>
      </w:pPr>
      <w:bookmarkStart w:id="308" w:name="_Toc81833541"/>
      <w:r>
        <w:rPr>
          <w:rFonts w:hint="eastAsia"/>
        </w:rPr>
        <w:t>涉税业务</w:t>
      </w:r>
      <w:bookmarkEnd w:id="308"/>
    </w:p>
    <w:p w14:paraId="6EE02F60" w14:textId="77777777" w:rsidR="00FA0363" w:rsidRDefault="00FA0363" w:rsidP="00FA0363">
      <w:pPr>
        <w:pStyle w:val="31"/>
        <w:spacing w:before="156" w:after="62"/>
      </w:pPr>
      <w:bookmarkStart w:id="309" w:name="_Toc81833542"/>
      <w:r>
        <w:rPr>
          <w:rFonts w:hint="eastAsia"/>
        </w:rPr>
        <w:t>《企业财产损失所得税前扣除管理办法》（国家税务总局令〔</w:t>
      </w:r>
      <w:r>
        <w:t>2005〕13号）</w:t>
      </w:r>
      <w:bookmarkEnd w:id="309"/>
    </w:p>
    <w:p w14:paraId="298670FC" w14:textId="76333871" w:rsidR="00FA0363" w:rsidRDefault="00FA0363" w:rsidP="00AF7342">
      <w:pPr>
        <w:pStyle w:val="a9"/>
        <w:spacing w:before="62" w:after="62"/>
      </w:pPr>
      <w:r>
        <w:rPr>
          <w:rFonts w:hint="eastAsia"/>
        </w:rPr>
        <w:t>第七章</w:t>
      </w:r>
      <w:r w:rsidR="00D02880">
        <w:rPr>
          <w:rFonts w:hint="eastAsia"/>
        </w:rPr>
        <w:t xml:space="preserve"> </w:t>
      </w:r>
      <w:r>
        <w:t>资产评估损失的认定</w:t>
      </w:r>
    </w:p>
    <w:p w14:paraId="25A937CF" w14:textId="72075347" w:rsidR="00FA0363" w:rsidRDefault="003B2FB1" w:rsidP="00FA0363">
      <w:pPr>
        <w:pStyle w:val="13"/>
        <w:ind w:firstLine="482"/>
      </w:pPr>
      <w:r w:rsidRPr="003B2FB1">
        <w:rPr>
          <w:rFonts w:hint="eastAsia"/>
          <w:b/>
          <w:bCs/>
        </w:rPr>
        <w:t xml:space="preserve">第四十二条 </w:t>
      </w:r>
      <w:r w:rsidR="00FA0363">
        <w:t>企业各项资产因评估确认的损失申请税前扣除，必须符合以下条件：</w:t>
      </w:r>
    </w:p>
    <w:p w14:paraId="67CEC5E1" w14:textId="77777777" w:rsidR="00FA0363" w:rsidRDefault="00FA0363" w:rsidP="00FA0363">
      <w:pPr>
        <w:pStyle w:val="13"/>
      </w:pPr>
      <w:r>
        <w:rPr>
          <w:rFonts w:hint="eastAsia"/>
        </w:rPr>
        <w:t>（一）国家统一组织的企业清产核资中发生的资产评估损失；</w:t>
      </w:r>
    </w:p>
    <w:p w14:paraId="028A4619" w14:textId="77777777" w:rsidR="00FA0363" w:rsidRDefault="00FA0363" w:rsidP="00FA0363">
      <w:pPr>
        <w:pStyle w:val="13"/>
      </w:pPr>
      <w:r>
        <w:rPr>
          <w:rFonts w:hint="eastAsia"/>
        </w:rPr>
        <w:t>（二）企业按规定应纳税的各种类型改组中发生的评估损失；</w:t>
      </w:r>
    </w:p>
    <w:p w14:paraId="0DAFDC24" w14:textId="77777777" w:rsidR="00FA0363" w:rsidRDefault="00FA0363" w:rsidP="00FA0363">
      <w:pPr>
        <w:pStyle w:val="13"/>
      </w:pPr>
      <w:r>
        <w:rPr>
          <w:rFonts w:hint="eastAsia"/>
        </w:rPr>
        <w:t>（三）企业免税改组业务，对各类资产评估净增值或损失已进行纳税调整的。</w:t>
      </w:r>
    </w:p>
    <w:p w14:paraId="2E9D0741" w14:textId="2B5E4FD6" w:rsidR="00FA0363" w:rsidRDefault="003B2FB1" w:rsidP="00FA0363">
      <w:pPr>
        <w:pStyle w:val="13"/>
        <w:ind w:firstLine="482"/>
      </w:pPr>
      <w:r w:rsidRPr="003B2FB1">
        <w:rPr>
          <w:rFonts w:hint="eastAsia"/>
          <w:b/>
          <w:bCs/>
        </w:rPr>
        <w:t xml:space="preserve">第四十三条 </w:t>
      </w:r>
      <w:r w:rsidR="00FA0363">
        <w:t>企业的各项资产应依据下列证据确认资产评估损失：</w:t>
      </w:r>
    </w:p>
    <w:p w14:paraId="592C1F9B" w14:textId="77777777" w:rsidR="00FA0363" w:rsidRDefault="00FA0363" w:rsidP="00FA0363">
      <w:pPr>
        <w:pStyle w:val="13"/>
      </w:pPr>
      <w:r>
        <w:rPr>
          <w:rFonts w:hint="eastAsia"/>
        </w:rPr>
        <w:t>（一）国家统一组织清产核资的文件（不包括国有资产日常管理中经常化、制度化资产清查）；</w:t>
      </w:r>
    </w:p>
    <w:p w14:paraId="0CC552BB" w14:textId="77777777" w:rsidR="00FA0363" w:rsidRDefault="00FA0363" w:rsidP="00FA0363">
      <w:pPr>
        <w:pStyle w:val="13"/>
      </w:pPr>
      <w:r>
        <w:rPr>
          <w:rFonts w:hint="eastAsia"/>
        </w:rPr>
        <w:t>（二）中介机构资产评估资料；</w:t>
      </w:r>
    </w:p>
    <w:p w14:paraId="0903861C" w14:textId="77777777" w:rsidR="00FA0363" w:rsidRDefault="00FA0363" w:rsidP="00FA0363">
      <w:pPr>
        <w:pStyle w:val="13"/>
      </w:pPr>
      <w:r>
        <w:rPr>
          <w:rFonts w:hint="eastAsia"/>
        </w:rPr>
        <w:t>（三）政府部门资产评估确认文书；</w:t>
      </w:r>
    </w:p>
    <w:p w14:paraId="673CA029" w14:textId="77777777" w:rsidR="00FA0363" w:rsidRDefault="00FA0363" w:rsidP="00FA0363">
      <w:pPr>
        <w:pStyle w:val="13"/>
      </w:pPr>
      <w:r>
        <w:rPr>
          <w:rFonts w:hint="eastAsia"/>
        </w:rPr>
        <w:t>（四）应税改组业务已纳税证明资料；</w:t>
      </w:r>
    </w:p>
    <w:p w14:paraId="1BD92362" w14:textId="77777777" w:rsidR="00FA0363" w:rsidRDefault="00FA0363" w:rsidP="00FA0363">
      <w:pPr>
        <w:pStyle w:val="13"/>
      </w:pPr>
      <w:r>
        <w:rPr>
          <w:rFonts w:hint="eastAsia"/>
        </w:rPr>
        <w:t>（五）免税改组业务涉及资产评估增值或损失已纳税调整证明资料。</w:t>
      </w:r>
    </w:p>
    <w:p w14:paraId="742F1BF3" w14:textId="7A42C266" w:rsidR="00FA0363" w:rsidRDefault="00FA0363" w:rsidP="00FA0363">
      <w:pPr>
        <w:pStyle w:val="31"/>
        <w:spacing w:before="156" w:after="62"/>
      </w:pPr>
      <w:bookmarkStart w:id="310" w:name="_Toc81833543"/>
      <w:r>
        <w:rPr>
          <w:rFonts w:hint="eastAsia"/>
        </w:rPr>
        <w:t>《财政部国家税务总局关于企业重组业务企业所得税处理若干问题的通知》</w:t>
      </w:r>
      <w:r w:rsidR="00D02880">
        <w:br/>
      </w:r>
      <w:r>
        <w:rPr>
          <w:rFonts w:hint="eastAsia"/>
        </w:rPr>
        <w:t>（财税〔</w:t>
      </w:r>
      <w:r>
        <w:t>2009〕59号）</w:t>
      </w:r>
      <w:bookmarkEnd w:id="310"/>
    </w:p>
    <w:p w14:paraId="4E501FB4" w14:textId="77777777" w:rsidR="00FA0363" w:rsidRDefault="00FA0363" w:rsidP="00FA0363">
      <w:pPr>
        <w:pStyle w:val="13"/>
        <w:ind w:firstLineChars="0" w:firstLine="0"/>
      </w:pPr>
      <w:r>
        <w:rPr>
          <w:rFonts w:hint="eastAsia"/>
        </w:rPr>
        <w:t>各省、自治区、直辖市、计划单列市财政厅（局）、国家税务局、地方税务局，新疆生产建设兵团财务局：</w:t>
      </w:r>
    </w:p>
    <w:p w14:paraId="72DD21EA" w14:textId="77777777" w:rsidR="00FA0363" w:rsidRDefault="00FA0363" w:rsidP="00FA0363">
      <w:pPr>
        <w:pStyle w:val="13"/>
      </w:pPr>
      <w:r>
        <w:rPr>
          <w:rFonts w:hint="eastAsia"/>
        </w:rPr>
        <w:t>根据《中华人民共和国企业所得税法》第二十条和《中华人民共和国企业所得税法实施条例》（国务院令第</w:t>
      </w:r>
      <w:r>
        <w:t>512号）第七十五条规定，现就企业重组所涉及的企业所得税具体处理问题通知如下：</w:t>
      </w:r>
    </w:p>
    <w:p w14:paraId="286B12EF" w14:textId="77777777" w:rsidR="00FA0363" w:rsidRDefault="00FA0363" w:rsidP="00FA0363">
      <w:pPr>
        <w:pStyle w:val="13"/>
        <w:ind w:firstLine="482"/>
      </w:pPr>
      <w:r w:rsidRPr="00D12405">
        <w:rPr>
          <w:rFonts w:hint="eastAsia"/>
          <w:b/>
          <w:bCs/>
        </w:rPr>
        <w:t>一、</w:t>
      </w:r>
      <w:r>
        <w:rPr>
          <w:rFonts w:hint="eastAsia"/>
        </w:rPr>
        <w:t>本通知所称企业重组，是指企业在日常经营活动以外发生的法律结构或经济结构重大改变的交易，包括企业法律形式改变、债务重组、股权收购、资产收购、合并、分立等。</w:t>
      </w:r>
    </w:p>
    <w:p w14:paraId="2EC2174B" w14:textId="77777777" w:rsidR="00FA0363" w:rsidRDefault="00FA0363" w:rsidP="00FA0363">
      <w:pPr>
        <w:pStyle w:val="13"/>
      </w:pPr>
      <w:r>
        <w:rPr>
          <w:rFonts w:hint="eastAsia"/>
        </w:rPr>
        <w:t>（一）企业法律形式改变，是指企业注册名称、住所以及企业组织形式等的简单改变，但符合本通知规定其他重组的类型除外。</w:t>
      </w:r>
    </w:p>
    <w:p w14:paraId="67046220" w14:textId="77777777" w:rsidR="00FA0363" w:rsidRDefault="00FA0363" w:rsidP="00FA0363">
      <w:pPr>
        <w:pStyle w:val="13"/>
      </w:pPr>
      <w:r>
        <w:rPr>
          <w:rFonts w:hint="eastAsia"/>
        </w:rPr>
        <w:t>（二）债务重组，是指在债务人发生财务困难的情况下，债权人按照其与债务人达成的书面协议或者法院裁定书，就其债务人的债务</w:t>
      </w:r>
      <w:proofErr w:type="gramStart"/>
      <w:r>
        <w:rPr>
          <w:rFonts w:hint="eastAsia"/>
        </w:rPr>
        <w:t>作出</w:t>
      </w:r>
      <w:proofErr w:type="gramEnd"/>
      <w:r>
        <w:rPr>
          <w:rFonts w:hint="eastAsia"/>
        </w:rPr>
        <w:t>让步的事项。</w:t>
      </w:r>
    </w:p>
    <w:p w14:paraId="2E354336" w14:textId="77777777" w:rsidR="00FA0363" w:rsidRDefault="00FA0363" w:rsidP="00FA0363">
      <w:pPr>
        <w:pStyle w:val="13"/>
      </w:pPr>
      <w:r>
        <w:rPr>
          <w:rFonts w:hint="eastAsia"/>
        </w:rPr>
        <w:t>（三）股权收购，是指一家企业（以下称为收购企业）购买另一家企业（以下称为被收购企业）的股权，以实现对被收购企业控制的交易。收购企业支付对价的形式包括股权支付、非股权支付或两者的组合。</w:t>
      </w:r>
    </w:p>
    <w:p w14:paraId="4C604370" w14:textId="77777777" w:rsidR="00FA0363" w:rsidRDefault="00FA0363" w:rsidP="00FA0363">
      <w:pPr>
        <w:pStyle w:val="13"/>
      </w:pPr>
      <w:r>
        <w:rPr>
          <w:rFonts w:hint="eastAsia"/>
        </w:rPr>
        <w:lastRenderedPageBreak/>
        <w:t>（四）资产收购，是指一家企业（以下称为受让企业）购买另一家企业（以下称为转让企业）实质经营性资产的交易。受让企业支付对价的形式包括股权支付、非股权支付或两者的组合。</w:t>
      </w:r>
    </w:p>
    <w:p w14:paraId="2407EAD8" w14:textId="77777777" w:rsidR="00FA0363" w:rsidRDefault="00FA0363" w:rsidP="00FA0363">
      <w:pPr>
        <w:pStyle w:val="13"/>
      </w:pPr>
      <w:r>
        <w:rPr>
          <w:rFonts w:hint="eastAsia"/>
        </w:rPr>
        <w:t>（五）合并，是指一家或多家企业（以下称为被合并企业）将其全部资产和负债转让给另一家现存或新设企业（以下称为合并企业），被合并企业股东换取合并企业的股权或非股权支付，实现两个或两个以上企业的依法合并。</w:t>
      </w:r>
    </w:p>
    <w:p w14:paraId="5EC91B10" w14:textId="77777777" w:rsidR="00FA0363" w:rsidRDefault="00FA0363" w:rsidP="00FA0363">
      <w:pPr>
        <w:pStyle w:val="13"/>
      </w:pPr>
      <w:r>
        <w:rPr>
          <w:rFonts w:hint="eastAsia"/>
        </w:rPr>
        <w:t>（六）分立，是指一家企业（以下称为被分立企业）将部分或全部资产分离转让给现存或新设的企业（以下称为分立企业），被分立企业股东换取分立企业的股权或非股权支付，实现企业的依法分立。</w:t>
      </w:r>
    </w:p>
    <w:p w14:paraId="6420104C" w14:textId="77777777" w:rsidR="00FA0363" w:rsidRDefault="00FA0363" w:rsidP="00FA0363">
      <w:pPr>
        <w:pStyle w:val="13"/>
        <w:ind w:firstLine="482"/>
      </w:pPr>
      <w:r w:rsidRPr="00D12405">
        <w:rPr>
          <w:rFonts w:hint="eastAsia"/>
          <w:b/>
          <w:bCs/>
        </w:rPr>
        <w:t>二、</w:t>
      </w:r>
      <w:r>
        <w:rPr>
          <w:rFonts w:hint="eastAsia"/>
        </w:rPr>
        <w:t>本通知所称股权支付，是指企业重组中购买、换取资产的一方支付的对价</w:t>
      </w:r>
      <w:r>
        <w:t>中，以本企业或其控股企业的股权、股份作为支付的形式；所称非股权支付，是指以</w:t>
      </w:r>
    </w:p>
    <w:p w14:paraId="3D1E2B7F" w14:textId="77777777" w:rsidR="00FA0363" w:rsidRDefault="00FA0363" w:rsidP="00FA0363">
      <w:pPr>
        <w:pStyle w:val="13"/>
      </w:pPr>
      <w:r>
        <w:rPr>
          <w:rFonts w:hint="eastAsia"/>
        </w:rPr>
        <w:t>本企业的现金、银行存款、应收款项、本企业或其控股企业股权和股份以外的有价证券、存货、固定资产、其他资产以及承担债务等作为支付的形式。</w:t>
      </w:r>
    </w:p>
    <w:p w14:paraId="49777297" w14:textId="77777777" w:rsidR="00FA0363" w:rsidRDefault="00FA0363" w:rsidP="00FA0363">
      <w:pPr>
        <w:pStyle w:val="13"/>
        <w:ind w:firstLine="482"/>
      </w:pPr>
      <w:r w:rsidRPr="00D12405">
        <w:rPr>
          <w:rFonts w:hint="eastAsia"/>
          <w:b/>
          <w:bCs/>
        </w:rPr>
        <w:t>三、</w:t>
      </w:r>
      <w:r>
        <w:rPr>
          <w:rFonts w:hint="eastAsia"/>
        </w:rPr>
        <w:t>企业重组的税务处理区分不同条件分别适用一般性税务处理规定和特殊性税务处理规定。</w:t>
      </w:r>
    </w:p>
    <w:p w14:paraId="0673E154" w14:textId="77777777" w:rsidR="00FA0363" w:rsidRPr="00D02880" w:rsidRDefault="00FA0363" w:rsidP="00FA0363">
      <w:pPr>
        <w:pStyle w:val="13"/>
      </w:pPr>
      <w:r w:rsidRPr="00D02880">
        <w:rPr>
          <w:rFonts w:hint="eastAsia"/>
        </w:rPr>
        <w:t>四、企业重组，除符合本通知规定适用特殊性税务处理规定的外，按以下规定进行税务处理：</w:t>
      </w:r>
    </w:p>
    <w:p w14:paraId="2697F828" w14:textId="77777777" w:rsidR="00FA0363" w:rsidRPr="00D02880" w:rsidRDefault="00FA0363" w:rsidP="00FA0363">
      <w:pPr>
        <w:pStyle w:val="13"/>
      </w:pPr>
      <w:r w:rsidRPr="00D02880">
        <w:rPr>
          <w:rFonts w:hint="eastAsia"/>
        </w:rPr>
        <w:t>（一）企业由法人转变为个人独资企业、合伙企业等非法人组织，或将登记注册地转移至中华人民共和国境外（包括港澳台地区），应视同企业进行清算、分配，股东重新投资成立新企业。企业的全部资产以及股东投资的计税基础均应以公允价值为基础确定。</w:t>
      </w:r>
    </w:p>
    <w:p w14:paraId="2F17E98E" w14:textId="77777777" w:rsidR="00FA0363" w:rsidRPr="00D02880" w:rsidRDefault="00FA0363" w:rsidP="00FA0363">
      <w:pPr>
        <w:pStyle w:val="13"/>
      </w:pPr>
      <w:r w:rsidRPr="00D02880">
        <w:rPr>
          <w:rFonts w:hint="eastAsia"/>
        </w:rPr>
        <w:t>企业发生其他法律形式简单改变的，可直接变更税务登记，除另有规定外，有关企业所得税纳税事项（包括亏损结转、税收优惠等权益和义务）由变更后企业承继，</w:t>
      </w:r>
      <w:r w:rsidRPr="00D02880">
        <w:t>但因住所发生变化而不符合税收优惠条件的除外。</w:t>
      </w:r>
    </w:p>
    <w:p w14:paraId="4367A9F4" w14:textId="77777777" w:rsidR="00FA0363" w:rsidRPr="00D02880" w:rsidRDefault="00FA0363" w:rsidP="00FA0363">
      <w:pPr>
        <w:pStyle w:val="13"/>
      </w:pPr>
      <w:r w:rsidRPr="00D02880">
        <w:rPr>
          <w:rFonts w:hint="eastAsia"/>
        </w:rPr>
        <w:t>（二）企业债务重组，相关交易应按以下规定处理：</w:t>
      </w:r>
    </w:p>
    <w:p w14:paraId="7AEFC669" w14:textId="0B1294FC" w:rsidR="00FA0363" w:rsidRPr="00D02880" w:rsidRDefault="00FA0363" w:rsidP="00FA0363">
      <w:pPr>
        <w:pStyle w:val="13"/>
      </w:pPr>
      <w:r w:rsidRPr="00D02880">
        <w:t>1.</w:t>
      </w:r>
      <w:r w:rsidR="002451CD">
        <w:t xml:space="preserve"> </w:t>
      </w:r>
      <w:r w:rsidRPr="00D02880">
        <w:t>以非货币资产清偿债务，应当分解为转让相关非货币性资产、按非货币性资产公允价值清偿债务两项业务，确认相关资产的所得或损失。</w:t>
      </w:r>
    </w:p>
    <w:p w14:paraId="5B9BA301" w14:textId="4D2C7AC4" w:rsidR="00FA0363" w:rsidRPr="00D02880" w:rsidRDefault="00FA0363" w:rsidP="00FA0363">
      <w:pPr>
        <w:pStyle w:val="13"/>
      </w:pPr>
      <w:r w:rsidRPr="00D02880">
        <w:t>2.</w:t>
      </w:r>
      <w:r w:rsidR="002451CD">
        <w:t xml:space="preserve"> </w:t>
      </w:r>
      <w:r w:rsidRPr="00D02880">
        <w:t>发生债权转股权的，应当分解为债务清偿和股权投资两项业务，确认有关债务清偿所得或损失。</w:t>
      </w:r>
    </w:p>
    <w:p w14:paraId="7CC936C0" w14:textId="34E6D37E" w:rsidR="00FA0363" w:rsidRPr="00D02880" w:rsidRDefault="00FA0363" w:rsidP="00FA0363">
      <w:pPr>
        <w:pStyle w:val="13"/>
      </w:pPr>
      <w:r w:rsidRPr="00D02880">
        <w:t>3.</w:t>
      </w:r>
      <w:r w:rsidR="002451CD">
        <w:t xml:space="preserve"> </w:t>
      </w:r>
      <w:r w:rsidRPr="00D02880">
        <w:t>债务人应当按照支付的债务清偿额低于债务计税基础的差额，确认债务重组所得；债权人应当按照收到的债务清偿额低于债权计税基础的差额，确认债务重组</w:t>
      </w:r>
      <w:proofErr w:type="gramStart"/>
      <w:r w:rsidRPr="00D02880">
        <w:t>损</w:t>
      </w:r>
      <w:proofErr w:type="gramEnd"/>
    </w:p>
    <w:p w14:paraId="4E465856" w14:textId="77777777" w:rsidR="00FA0363" w:rsidRPr="00D02880" w:rsidRDefault="00FA0363" w:rsidP="00FA0363">
      <w:pPr>
        <w:pStyle w:val="13"/>
      </w:pPr>
      <w:r w:rsidRPr="00D02880">
        <w:rPr>
          <w:rFonts w:hint="eastAsia"/>
        </w:rPr>
        <w:t>失。</w:t>
      </w:r>
    </w:p>
    <w:p w14:paraId="7BB7CD5B" w14:textId="0A1CC1F9" w:rsidR="00FA0363" w:rsidRPr="00D02880" w:rsidRDefault="00FA0363" w:rsidP="00FA0363">
      <w:pPr>
        <w:pStyle w:val="13"/>
      </w:pPr>
      <w:r w:rsidRPr="00D02880">
        <w:t>4.</w:t>
      </w:r>
      <w:r w:rsidR="002451CD">
        <w:t xml:space="preserve"> </w:t>
      </w:r>
      <w:r w:rsidRPr="00D02880">
        <w:t>债务人的相关所得税纳税事项原则上保持不变。</w:t>
      </w:r>
    </w:p>
    <w:p w14:paraId="554E0E66" w14:textId="77777777" w:rsidR="00FA0363" w:rsidRPr="00D02880" w:rsidRDefault="00FA0363" w:rsidP="00FA0363">
      <w:pPr>
        <w:pStyle w:val="13"/>
      </w:pPr>
      <w:r w:rsidRPr="00D02880">
        <w:rPr>
          <w:rFonts w:hint="eastAsia"/>
        </w:rPr>
        <w:t>（三）企业股权收购、资产收购重组交易，相关交易应按以下规定处理：</w:t>
      </w:r>
    </w:p>
    <w:p w14:paraId="2E8B4017" w14:textId="10EFD8BE" w:rsidR="00FA0363" w:rsidRPr="00D02880" w:rsidRDefault="00FA0363" w:rsidP="00FA0363">
      <w:pPr>
        <w:pStyle w:val="13"/>
      </w:pPr>
      <w:r w:rsidRPr="00D02880">
        <w:lastRenderedPageBreak/>
        <w:t>1.</w:t>
      </w:r>
      <w:r w:rsidR="002451CD">
        <w:t xml:space="preserve"> </w:t>
      </w:r>
      <w:r w:rsidRPr="00D02880">
        <w:t>被收购方应确认股权、资产转让所得或损失。</w:t>
      </w:r>
    </w:p>
    <w:p w14:paraId="2F266E73" w14:textId="1F11B565" w:rsidR="00FA0363" w:rsidRPr="00D02880" w:rsidRDefault="00FA0363" w:rsidP="00FA0363">
      <w:pPr>
        <w:pStyle w:val="13"/>
      </w:pPr>
      <w:r w:rsidRPr="00D02880">
        <w:t>2.</w:t>
      </w:r>
      <w:r w:rsidR="002451CD">
        <w:t xml:space="preserve"> </w:t>
      </w:r>
      <w:r w:rsidRPr="00D02880">
        <w:t>收购方取得股权或资产的计税基础应以公允价值为基础确定。</w:t>
      </w:r>
    </w:p>
    <w:p w14:paraId="7067FF2D" w14:textId="1AE9025C" w:rsidR="00FA0363" w:rsidRPr="00D02880" w:rsidRDefault="00FA0363" w:rsidP="00FA0363">
      <w:pPr>
        <w:pStyle w:val="13"/>
      </w:pPr>
      <w:r w:rsidRPr="00D02880">
        <w:t>3.</w:t>
      </w:r>
      <w:r w:rsidR="002451CD">
        <w:t xml:space="preserve"> </w:t>
      </w:r>
      <w:r w:rsidRPr="00D02880">
        <w:t>被收购企业的相关所得税事项原则上保持不变。</w:t>
      </w:r>
    </w:p>
    <w:p w14:paraId="60B55389" w14:textId="77777777" w:rsidR="00FA0363" w:rsidRPr="00D02880" w:rsidRDefault="00FA0363" w:rsidP="00FA0363">
      <w:pPr>
        <w:pStyle w:val="13"/>
      </w:pPr>
      <w:r w:rsidRPr="00D02880">
        <w:rPr>
          <w:rFonts w:hint="eastAsia"/>
        </w:rPr>
        <w:t>（四）企业合并，当事各方应按下列规定处理：</w:t>
      </w:r>
    </w:p>
    <w:p w14:paraId="2752A815" w14:textId="0C26733E" w:rsidR="00FA0363" w:rsidRPr="00D02880" w:rsidRDefault="00FA0363" w:rsidP="00FA0363">
      <w:pPr>
        <w:pStyle w:val="13"/>
      </w:pPr>
      <w:r w:rsidRPr="00D02880">
        <w:t>1.</w:t>
      </w:r>
      <w:r w:rsidR="002451CD">
        <w:t xml:space="preserve"> </w:t>
      </w:r>
      <w:r w:rsidRPr="00D02880">
        <w:t>合并企业应按公允价值确定接受被合并企业各项资产和负债的计税基础。</w:t>
      </w:r>
    </w:p>
    <w:p w14:paraId="2906E407" w14:textId="6EB5EF9A" w:rsidR="00FA0363" w:rsidRPr="00D02880" w:rsidRDefault="00FA0363" w:rsidP="00FA0363">
      <w:pPr>
        <w:pStyle w:val="13"/>
      </w:pPr>
      <w:r w:rsidRPr="00D02880">
        <w:t>2.</w:t>
      </w:r>
      <w:r w:rsidR="002451CD">
        <w:t xml:space="preserve"> </w:t>
      </w:r>
      <w:r w:rsidRPr="00D02880">
        <w:t>被合并企业及其股东都应按清算进行所得税处理。</w:t>
      </w:r>
    </w:p>
    <w:p w14:paraId="0866B571" w14:textId="5FE4C066" w:rsidR="00FA0363" w:rsidRPr="00D02880" w:rsidRDefault="00FA0363" w:rsidP="00FA0363">
      <w:pPr>
        <w:pStyle w:val="13"/>
      </w:pPr>
      <w:r w:rsidRPr="00D02880">
        <w:t>3.</w:t>
      </w:r>
      <w:r w:rsidR="002451CD">
        <w:t xml:space="preserve"> </w:t>
      </w:r>
      <w:r w:rsidRPr="00D02880">
        <w:t>被合并企业的亏损不得在合并企业结转弥补。</w:t>
      </w:r>
    </w:p>
    <w:p w14:paraId="674B5BCF" w14:textId="77777777" w:rsidR="00FA0363" w:rsidRPr="00D02880" w:rsidRDefault="00FA0363" w:rsidP="00FA0363">
      <w:pPr>
        <w:pStyle w:val="13"/>
      </w:pPr>
      <w:r w:rsidRPr="00D02880">
        <w:rPr>
          <w:rFonts w:hint="eastAsia"/>
        </w:rPr>
        <w:t>（五）企业分立，当事各方应按下列规定处理：</w:t>
      </w:r>
    </w:p>
    <w:p w14:paraId="510DF109" w14:textId="0DC59D41" w:rsidR="00FA0363" w:rsidRPr="00D02880" w:rsidRDefault="00FA0363" w:rsidP="00FA0363">
      <w:pPr>
        <w:pStyle w:val="13"/>
      </w:pPr>
      <w:r w:rsidRPr="00D02880">
        <w:t>1.</w:t>
      </w:r>
      <w:r w:rsidR="002451CD">
        <w:t xml:space="preserve"> </w:t>
      </w:r>
      <w:r w:rsidRPr="00D02880">
        <w:t>被分立企业对分立出去资产应按公允价值确认资产转让所得或损失。</w:t>
      </w:r>
    </w:p>
    <w:p w14:paraId="1EE4C222" w14:textId="20D7A177" w:rsidR="00FA0363" w:rsidRPr="00D02880" w:rsidRDefault="00FA0363" w:rsidP="00FA0363">
      <w:pPr>
        <w:pStyle w:val="13"/>
      </w:pPr>
      <w:r w:rsidRPr="00D02880">
        <w:t>2.</w:t>
      </w:r>
      <w:r w:rsidR="002451CD">
        <w:t xml:space="preserve"> </w:t>
      </w:r>
      <w:r w:rsidRPr="00D02880">
        <w:t>分立企业应按公允价值确认接受资产的计税基础。</w:t>
      </w:r>
    </w:p>
    <w:p w14:paraId="48F8605A" w14:textId="1CD5462A" w:rsidR="00FA0363" w:rsidRPr="00D02880" w:rsidRDefault="00FA0363" w:rsidP="00FA0363">
      <w:pPr>
        <w:pStyle w:val="13"/>
      </w:pPr>
      <w:r w:rsidRPr="00D02880">
        <w:t>3.</w:t>
      </w:r>
      <w:r w:rsidR="002451CD">
        <w:t xml:space="preserve"> </w:t>
      </w:r>
      <w:r w:rsidRPr="00D02880">
        <w:t>被分立企业继续存在时，其股东取得的对价应视同被分立企业分配进行处理。</w:t>
      </w:r>
    </w:p>
    <w:p w14:paraId="7B9539E7" w14:textId="147DBEA1" w:rsidR="00FA0363" w:rsidRPr="00D02880" w:rsidRDefault="00FA0363" w:rsidP="00FA0363">
      <w:pPr>
        <w:pStyle w:val="13"/>
      </w:pPr>
      <w:r w:rsidRPr="00D02880">
        <w:t>4.</w:t>
      </w:r>
      <w:r w:rsidR="002451CD">
        <w:t xml:space="preserve"> </w:t>
      </w:r>
      <w:r w:rsidRPr="00D02880">
        <w:t>被分立企业不再继续存在时，被分立企业及其股东都应按清算进行所得税处理。</w:t>
      </w:r>
    </w:p>
    <w:p w14:paraId="26DB51A0" w14:textId="1C0FF3FA" w:rsidR="00FA0363" w:rsidRPr="00D02880" w:rsidRDefault="00FA0363" w:rsidP="00FA0363">
      <w:pPr>
        <w:pStyle w:val="13"/>
      </w:pPr>
      <w:r w:rsidRPr="00D02880">
        <w:t>5.</w:t>
      </w:r>
      <w:r w:rsidR="002451CD">
        <w:t xml:space="preserve"> </w:t>
      </w:r>
      <w:r w:rsidRPr="00D02880">
        <w:t>企业分立相关企业的亏损不得相互结转弥补。</w:t>
      </w:r>
    </w:p>
    <w:p w14:paraId="46D72098" w14:textId="77777777" w:rsidR="00FA0363" w:rsidRPr="00D02880" w:rsidRDefault="00FA0363" w:rsidP="00FA0363">
      <w:pPr>
        <w:pStyle w:val="13"/>
      </w:pPr>
      <w:r w:rsidRPr="00D02880">
        <w:rPr>
          <w:rFonts w:hint="eastAsia"/>
        </w:rPr>
        <w:t>五、企业重组同时符合下列条件的，适用特殊性税务处理规定：</w:t>
      </w:r>
    </w:p>
    <w:p w14:paraId="460A4D45" w14:textId="77777777" w:rsidR="00FA0363" w:rsidRPr="00D02880" w:rsidRDefault="00FA0363" w:rsidP="00FA0363">
      <w:pPr>
        <w:pStyle w:val="13"/>
      </w:pPr>
      <w:r w:rsidRPr="00D02880">
        <w:rPr>
          <w:rFonts w:hint="eastAsia"/>
        </w:rPr>
        <w:t>（一）具有合理的商业目的，且不以减少、免除或者推迟缴纳税款为主要目的。</w:t>
      </w:r>
    </w:p>
    <w:p w14:paraId="1443390B" w14:textId="77777777" w:rsidR="00FA0363" w:rsidRPr="00D02880" w:rsidRDefault="00FA0363" w:rsidP="00FA0363">
      <w:pPr>
        <w:pStyle w:val="13"/>
      </w:pPr>
      <w:r w:rsidRPr="00D02880">
        <w:rPr>
          <w:rFonts w:hint="eastAsia"/>
        </w:rPr>
        <w:t>（二）被收购、合并或分立部分的资产或股权比例符合本通知规定的比例。</w:t>
      </w:r>
    </w:p>
    <w:p w14:paraId="71F020D4" w14:textId="77777777" w:rsidR="00FA0363" w:rsidRPr="00D02880" w:rsidRDefault="00FA0363" w:rsidP="00FA0363">
      <w:pPr>
        <w:pStyle w:val="13"/>
      </w:pPr>
      <w:r w:rsidRPr="00D02880">
        <w:rPr>
          <w:rFonts w:hint="eastAsia"/>
        </w:rPr>
        <w:t>（三）企业重组后的连续</w:t>
      </w:r>
      <w:r w:rsidRPr="00D02880">
        <w:t>12个月内不改变重组资产原来的实质性经营活动。</w:t>
      </w:r>
    </w:p>
    <w:p w14:paraId="242849F2" w14:textId="77777777" w:rsidR="00FA0363" w:rsidRPr="00D02880" w:rsidRDefault="00FA0363" w:rsidP="00FA0363">
      <w:pPr>
        <w:pStyle w:val="13"/>
      </w:pPr>
      <w:r w:rsidRPr="00D02880">
        <w:rPr>
          <w:rFonts w:hint="eastAsia"/>
        </w:rPr>
        <w:t>（四）重组交易对价中涉及股权支付金额符合本通知规定比例。</w:t>
      </w:r>
    </w:p>
    <w:p w14:paraId="38A9962A" w14:textId="77777777" w:rsidR="00FA0363" w:rsidRPr="00D02880" w:rsidRDefault="00FA0363" w:rsidP="00FA0363">
      <w:pPr>
        <w:pStyle w:val="13"/>
      </w:pPr>
      <w:r w:rsidRPr="00D02880">
        <w:rPr>
          <w:rFonts w:hint="eastAsia"/>
        </w:rPr>
        <w:t>（五）企业重组中取得股权支付的原主要股东，在重组后连续</w:t>
      </w:r>
      <w:r w:rsidRPr="00D02880">
        <w:t>12个月内，不得转让所取得的股权。</w:t>
      </w:r>
    </w:p>
    <w:p w14:paraId="5CF2AD83" w14:textId="77777777" w:rsidR="00FA0363" w:rsidRPr="00D02880" w:rsidRDefault="00FA0363" w:rsidP="00FA0363">
      <w:pPr>
        <w:pStyle w:val="13"/>
      </w:pPr>
      <w:r w:rsidRPr="00D02880">
        <w:rPr>
          <w:rFonts w:hint="eastAsia"/>
        </w:rPr>
        <w:t>六、企业重组符合本通知第五条规定条件的，交易各方对其交易中的股权支付部分，可以按以下规定进行特殊性税务处理：</w:t>
      </w:r>
    </w:p>
    <w:p w14:paraId="64F755C7" w14:textId="77777777" w:rsidR="00FA0363" w:rsidRPr="00D02880" w:rsidRDefault="00FA0363" w:rsidP="00FA0363">
      <w:pPr>
        <w:pStyle w:val="13"/>
      </w:pPr>
      <w:r w:rsidRPr="00D02880">
        <w:rPr>
          <w:rFonts w:hint="eastAsia"/>
        </w:rPr>
        <w:t>（一）企业债务重组确认的应纳税所得额占该企业当年应纳税所得额</w:t>
      </w:r>
      <w:r w:rsidRPr="00D02880">
        <w:t>50%以上，可以在5个纳税年度的期间内，均匀计入各年度的应纳税所得额。</w:t>
      </w:r>
    </w:p>
    <w:p w14:paraId="7FA28F4D" w14:textId="77777777" w:rsidR="00FA0363" w:rsidRPr="00D02880" w:rsidRDefault="00FA0363" w:rsidP="00FA0363">
      <w:pPr>
        <w:pStyle w:val="13"/>
      </w:pPr>
      <w:r w:rsidRPr="00D02880">
        <w:rPr>
          <w:rFonts w:hint="eastAsia"/>
        </w:rPr>
        <w:t>企业发生债权转股权业务，对债务清偿和股权投资两项业务暂不确认有关债务清偿所得或损失，股权投资的计税基础以原债权的计税基础确定。企业的其他相关所得税事项保持不变。</w:t>
      </w:r>
    </w:p>
    <w:p w14:paraId="1A607F47" w14:textId="77777777" w:rsidR="00FA0363" w:rsidRPr="00D02880" w:rsidRDefault="00FA0363" w:rsidP="00FA0363">
      <w:pPr>
        <w:pStyle w:val="13"/>
      </w:pPr>
      <w:r w:rsidRPr="00D02880">
        <w:rPr>
          <w:rFonts w:hint="eastAsia"/>
        </w:rPr>
        <w:t>（二）股权收购，收购企业购买的股权不低于被收购企业全部股权的</w:t>
      </w:r>
      <w:r w:rsidRPr="00D02880">
        <w:t>75%，</w:t>
      </w:r>
      <w:proofErr w:type="gramStart"/>
      <w:r w:rsidRPr="00D02880">
        <w:t>且收购</w:t>
      </w:r>
      <w:proofErr w:type="gramEnd"/>
      <w:r w:rsidRPr="00D02880">
        <w:t>企业在该股权收购发生时的股权支付金额不低于其交易支付总额的85%，可以选择按以下规定处理：</w:t>
      </w:r>
    </w:p>
    <w:p w14:paraId="02FF757A" w14:textId="77777777" w:rsidR="00FA0363" w:rsidRPr="00D02880" w:rsidRDefault="00FA0363" w:rsidP="00FA0363">
      <w:pPr>
        <w:pStyle w:val="13"/>
      </w:pPr>
      <w:r w:rsidRPr="00D02880">
        <w:t>1.被收购企业的股东取得收购企业股权的计税基础，以被收购股权的原有计税基础确定。</w:t>
      </w:r>
    </w:p>
    <w:p w14:paraId="1D4A8304" w14:textId="77777777" w:rsidR="00FA0363" w:rsidRPr="00D02880" w:rsidRDefault="00FA0363" w:rsidP="00FA0363">
      <w:pPr>
        <w:pStyle w:val="13"/>
      </w:pPr>
      <w:r w:rsidRPr="00D02880">
        <w:t>2.收购企业取得被收购企业股权的计税基础，以被收购股权的原有计税基础确</w:t>
      </w:r>
      <w:r w:rsidRPr="00D02880">
        <w:lastRenderedPageBreak/>
        <w:t>定。</w:t>
      </w:r>
    </w:p>
    <w:p w14:paraId="4E91050D" w14:textId="77777777" w:rsidR="00FA0363" w:rsidRPr="00D02880" w:rsidRDefault="00FA0363" w:rsidP="00FA0363">
      <w:pPr>
        <w:pStyle w:val="13"/>
      </w:pPr>
      <w:r w:rsidRPr="00D02880">
        <w:t>3.收购企业、被收购企业的原有各项资产和负债的计税基础和其他相关所得税事项保持不变。</w:t>
      </w:r>
    </w:p>
    <w:p w14:paraId="2C7B90FA" w14:textId="77777777" w:rsidR="00FA0363" w:rsidRPr="00D02880" w:rsidRDefault="00FA0363" w:rsidP="00FA0363">
      <w:pPr>
        <w:pStyle w:val="13"/>
      </w:pPr>
      <w:r w:rsidRPr="00D02880">
        <w:rPr>
          <w:rFonts w:hint="eastAsia"/>
        </w:rPr>
        <w:t>（三）资产收购，受让企业收购的资产不低于转让企业全部资产的</w:t>
      </w:r>
      <w:r w:rsidRPr="00D02880">
        <w:t>75%，且受让企业在该资产收购发生时的股权支付金额不低于其交易支付总额的85%，可以选择按以下规定处理：</w:t>
      </w:r>
    </w:p>
    <w:p w14:paraId="1B7584B7" w14:textId="0A1E466C" w:rsidR="00FA0363" w:rsidRPr="00D02880" w:rsidRDefault="00FA0363" w:rsidP="00FA0363">
      <w:pPr>
        <w:pStyle w:val="13"/>
      </w:pPr>
      <w:r w:rsidRPr="00D02880">
        <w:t>1.</w:t>
      </w:r>
      <w:r w:rsidR="002451CD">
        <w:t xml:space="preserve"> </w:t>
      </w:r>
      <w:r w:rsidRPr="00D02880">
        <w:t>转让企业取得受让企业股权的计税基础，以被转让资产的原有计税基础确定。</w:t>
      </w:r>
    </w:p>
    <w:p w14:paraId="0671154F" w14:textId="4617CB99" w:rsidR="00FA0363" w:rsidRPr="00D02880" w:rsidRDefault="00FA0363" w:rsidP="00FA0363">
      <w:pPr>
        <w:pStyle w:val="13"/>
      </w:pPr>
      <w:r w:rsidRPr="00D02880">
        <w:t>2.</w:t>
      </w:r>
      <w:r w:rsidR="002451CD">
        <w:t xml:space="preserve"> </w:t>
      </w:r>
      <w:r w:rsidRPr="00D02880">
        <w:t>受让企业取得转让企业资产的计税基础，以被转让资产的原有计税基础确定。</w:t>
      </w:r>
    </w:p>
    <w:p w14:paraId="3B4B2D59" w14:textId="77777777" w:rsidR="00FA0363" w:rsidRPr="00D02880" w:rsidRDefault="00FA0363" w:rsidP="00FA0363">
      <w:pPr>
        <w:pStyle w:val="13"/>
      </w:pPr>
      <w:r w:rsidRPr="00D02880">
        <w:rPr>
          <w:rFonts w:hint="eastAsia"/>
        </w:rPr>
        <w:t>（四）企业合并，企业股东在该企业合并发生时取得的股权支付金额不低于其交易支付总额的</w:t>
      </w:r>
      <w:r w:rsidRPr="00D02880">
        <w:t>85%，以及同</w:t>
      </w:r>
      <w:proofErr w:type="gramStart"/>
      <w:r w:rsidRPr="00D02880">
        <w:t>一控制下且</w:t>
      </w:r>
      <w:proofErr w:type="gramEnd"/>
      <w:r w:rsidRPr="00D02880">
        <w:t>不需要支付对价的企业合并，可以选择按以下规定处理：</w:t>
      </w:r>
    </w:p>
    <w:p w14:paraId="4E178B45" w14:textId="52BB4B5B" w:rsidR="00FA0363" w:rsidRPr="00D02880" w:rsidRDefault="00FA0363" w:rsidP="00FA0363">
      <w:pPr>
        <w:pStyle w:val="13"/>
      </w:pPr>
      <w:r w:rsidRPr="00D02880">
        <w:t>1.</w:t>
      </w:r>
      <w:r w:rsidR="002451CD">
        <w:t xml:space="preserve"> </w:t>
      </w:r>
      <w:r w:rsidRPr="00D02880">
        <w:t>合并企业接受被合并企业资产和负债的计税基础，以被合并企业的原有计税基础确定。</w:t>
      </w:r>
    </w:p>
    <w:p w14:paraId="7846AB08" w14:textId="16354F1B" w:rsidR="00FA0363" w:rsidRPr="00D02880" w:rsidRDefault="00FA0363" w:rsidP="00FA0363">
      <w:pPr>
        <w:pStyle w:val="13"/>
      </w:pPr>
      <w:r w:rsidRPr="00D02880">
        <w:t>2.</w:t>
      </w:r>
      <w:r w:rsidR="002451CD">
        <w:t xml:space="preserve"> </w:t>
      </w:r>
      <w:r w:rsidRPr="00D02880">
        <w:t>被合并企业合并前的相关所得税事项由合并企业承继。</w:t>
      </w:r>
    </w:p>
    <w:p w14:paraId="4A1C515C" w14:textId="27B83793" w:rsidR="00FA0363" w:rsidRPr="00D02880" w:rsidRDefault="00FA0363" w:rsidP="00FA0363">
      <w:pPr>
        <w:pStyle w:val="13"/>
      </w:pPr>
      <w:r w:rsidRPr="00D02880">
        <w:t>3.</w:t>
      </w:r>
      <w:r w:rsidR="002451CD">
        <w:t xml:space="preserve"> </w:t>
      </w:r>
      <w:r w:rsidRPr="00D02880">
        <w:t>可由合并企业弥补的被合并企业亏损的限额=被合并企业净资产公允价值×截至合并业务发生当年年末国家发行的最长期限的国债利率。</w:t>
      </w:r>
    </w:p>
    <w:p w14:paraId="3B6A0F36" w14:textId="5A2FED2E" w:rsidR="00FA0363" w:rsidRPr="00D02880" w:rsidRDefault="00FA0363" w:rsidP="00FA0363">
      <w:pPr>
        <w:pStyle w:val="13"/>
      </w:pPr>
      <w:r w:rsidRPr="00D02880">
        <w:t>4.</w:t>
      </w:r>
      <w:r w:rsidR="002451CD">
        <w:t xml:space="preserve"> </w:t>
      </w:r>
      <w:r w:rsidRPr="00D02880">
        <w:t>被合并企业股东取得合并企业股权的计税基础，以其原持有的被合并企业股权的计税基础确定。</w:t>
      </w:r>
    </w:p>
    <w:p w14:paraId="6ED66DD2" w14:textId="77777777" w:rsidR="00FA0363" w:rsidRPr="00D02880" w:rsidRDefault="00FA0363" w:rsidP="00FA0363">
      <w:pPr>
        <w:pStyle w:val="13"/>
      </w:pPr>
      <w:r w:rsidRPr="00D02880">
        <w:rPr>
          <w:rFonts w:hint="eastAsia"/>
        </w:rPr>
        <w:t>（五）企业分立，被分立企业所有股东按原持股比例取得分立企业的股权，分立企业和被分立企业均不改变原来的实质经营活动，且被分立企业股东在该企业分立发生时取得的股权支付金额不低于其交易支付总额的</w:t>
      </w:r>
      <w:r w:rsidRPr="00D02880">
        <w:t>85%，可以选择按以下规定处理：</w:t>
      </w:r>
    </w:p>
    <w:p w14:paraId="333FFE03" w14:textId="68325ED1" w:rsidR="00FA0363" w:rsidRPr="00D02880" w:rsidRDefault="00FA0363" w:rsidP="00FA0363">
      <w:pPr>
        <w:pStyle w:val="13"/>
      </w:pPr>
      <w:r w:rsidRPr="00D02880">
        <w:t>1.</w:t>
      </w:r>
      <w:r w:rsidR="002451CD">
        <w:t xml:space="preserve"> </w:t>
      </w:r>
      <w:r w:rsidRPr="00D02880">
        <w:t>分立企业接受被分立企业资产和负债的计税基础，以被分立企业的原有计税基础确定。</w:t>
      </w:r>
    </w:p>
    <w:p w14:paraId="39008225" w14:textId="2EA862E7" w:rsidR="00FA0363" w:rsidRPr="00D02880" w:rsidRDefault="00FA0363" w:rsidP="00FA0363">
      <w:pPr>
        <w:pStyle w:val="13"/>
      </w:pPr>
      <w:r w:rsidRPr="00D02880">
        <w:t>2.</w:t>
      </w:r>
      <w:r w:rsidR="002451CD">
        <w:t xml:space="preserve"> </w:t>
      </w:r>
      <w:r w:rsidRPr="00D02880">
        <w:t>被分立企业已分立出去资产相应的所得税事项由分立企业承继。</w:t>
      </w:r>
    </w:p>
    <w:p w14:paraId="638DA31A" w14:textId="17AC90A2" w:rsidR="00FA0363" w:rsidRPr="00D02880" w:rsidRDefault="00FA0363" w:rsidP="00FA0363">
      <w:pPr>
        <w:pStyle w:val="13"/>
      </w:pPr>
      <w:r w:rsidRPr="00D02880">
        <w:t>3.</w:t>
      </w:r>
      <w:r w:rsidR="002451CD">
        <w:t xml:space="preserve"> </w:t>
      </w:r>
      <w:r w:rsidRPr="00D02880">
        <w:t>被分立企业未超过法定弥补期限的亏损额可按分立资产占全部资产的比例进行分配，由分立企业继续弥补。</w:t>
      </w:r>
    </w:p>
    <w:p w14:paraId="4BB6F83B" w14:textId="64A76533" w:rsidR="00FA0363" w:rsidRPr="00D02880" w:rsidRDefault="00FA0363" w:rsidP="00FA0363">
      <w:pPr>
        <w:pStyle w:val="13"/>
      </w:pPr>
      <w:r w:rsidRPr="00D02880">
        <w:t>4.</w:t>
      </w:r>
      <w:r w:rsidR="002451CD">
        <w:t xml:space="preserve"> </w:t>
      </w:r>
      <w:r w:rsidRPr="00D02880">
        <w:t>被分立企业的股东取得分立企业的股权（以下简称“新股”），如需部分或全部放弃原持有的被分立企业的股权（以下简称“旧股”），“新股”的计税基础应以放弃</w:t>
      </w:r>
      <w:r w:rsidRPr="00D02880">
        <w:rPr>
          <w:rFonts w:hint="eastAsia"/>
        </w:rPr>
        <w:t>“旧股”的计税基础确定。如不需放弃“旧股”，则其取得“新股”的计税基础可从以下两种方法中选择确定：直接将“新股”的计税基础确定为零；或者以被分立企业分立出去的净资产占被分立企业全部净资产的比例先调减原持有的“旧股”的计税基础，再将调减的计税基础平均分配到“新股”上。</w:t>
      </w:r>
    </w:p>
    <w:p w14:paraId="455DDCD4" w14:textId="77777777" w:rsidR="00FA0363" w:rsidRPr="00D02880" w:rsidRDefault="00FA0363" w:rsidP="00FA0363">
      <w:pPr>
        <w:pStyle w:val="13"/>
      </w:pPr>
      <w:r w:rsidRPr="00D02880">
        <w:rPr>
          <w:rFonts w:hint="eastAsia"/>
        </w:rPr>
        <w:t>（六）重组交易各方按本条（一）至（五）项规定对交易中股权支付暂不确认有</w:t>
      </w:r>
      <w:r w:rsidRPr="00D02880">
        <w:rPr>
          <w:rFonts w:hint="eastAsia"/>
        </w:rPr>
        <w:lastRenderedPageBreak/>
        <w:t>关资产的转让所得或损失的，其非股权支付仍应在交易当期确认相应的资产转让所得或损失，并调整相应资产的计税基础。</w:t>
      </w:r>
    </w:p>
    <w:p w14:paraId="3CED9259" w14:textId="77777777" w:rsidR="00FA0363" w:rsidRPr="00D02880" w:rsidRDefault="00FA0363" w:rsidP="00FA0363">
      <w:pPr>
        <w:pStyle w:val="13"/>
      </w:pPr>
      <w:r w:rsidRPr="00D02880">
        <w:rPr>
          <w:rFonts w:hint="eastAsia"/>
        </w:rPr>
        <w:t>非股权支付对应的资产转让所得或损失＝（被转让资产的公允价值－被转让资产的计税基础）×（非股权支付金额÷被转让资产的公允价值）</w:t>
      </w:r>
    </w:p>
    <w:p w14:paraId="0114384D" w14:textId="77777777" w:rsidR="00FA0363" w:rsidRPr="00D02880" w:rsidRDefault="00FA0363" w:rsidP="00FA0363">
      <w:pPr>
        <w:pStyle w:val="13"/>
      </w:pPr>
      <w:r w:rsidRPr="00D02880">
        <w:rPr>
          <w:rFonts w:hint="eastAsia"/>
        </w:rPr>
        <w:t>七、企业发生涉及中国境内与境外之间（包括港澳台地区）的股权和资产收购交易，除应符合本通知第五条规定的条件外，还应同时符合下列条件，才可选择适用特殊性税务处理规定：</w:t>
      </w:r>
    </w:p>
    <w:p w14:paraId="7FC09EE3" w14:textId="77777777" w:rsidR="00FA0363" w:rsidRPr="00D02880" w:rsidRDefault="00FA0363" w:rsidP="00FA0363">
      <w:pPr>
        <w:pStyle w:val="13"/>
      </w:pPr>
      <w:r w:rsidRPr="00D02880">
        <w:rPr>
          <w:rFonts w:hint="eastAsia"/>
        </w:rPr>
        <w:t>（一）非居民企业向其</w:t>
      </w:r>
      <w:r w:rsidRPr="00D02880">
        <w:t>100%直接控股的另一非居民企业转让其拥有的居民企业股权，没有因此造成以后该项股权转让所得预提税负担变化，且转让方非居民企业向主管税务机关书面承诺在3年（含3年）内不转让其拥有受让方非居民企业的股权；</w:t>
      </w:r>
    </w:p>
    <w:p w14:paraId="1B9C5E28" w14:textId="77777777" w:rsidR="00FA0363" w:rsidRPr="00D02880" w:rsidRDefault="00FA0363" w:rsidP="00FA0363">
      <w:pPr>
        <w:pStyle w:val="13"/>
      </w:pPr>
      <w:r w:rsidRPr="00D02880">
        <w:rPr>
          <w:rFonts w:hint="eastAsia"/>
        </w:rPr>
        <w:t>（二）非居民企业向与其具有</w:t>
      </w:r>
      <w:r w:rsidRPr="00D02880">
        <w:t>100%直接控股关系的居民企业转让其拥有的另一居民企业股权；</w:t>
      </w:r>
    </w:p>
    <w:p w14:paraId="58D4F4EE" w14:textId="77777777" w:rsidR="00FA0363" w:rsidRPr="00D02880" w:rsidRDefault="00FA0363" w:rsidP="00FA0363">
      <w:pPr>
        <w:pStyle w:val="13"/>
      </w:pPr>
      <w:r w:rsidRPr="00D02880">
        <w:rPr>
          <w:rFonts w:hint="eastAsia"/>
        </w:rPr>
        <w:t>（三）居民企业以其拥有的资产或股权向其</w:t>
      </w:r>
      <w:r w:rsidRPr="00D02880">
        <w:t>100%直接控股的非居民企业进行投</w:t>
      </w:r>
      <w:r w:rsidRPr="00D02880">
        <w:rPr>
          <w:rFonts w:hint="eastAsia"/>
        </w:rPr>
        <w:t>资；</w:t>
      </w:r>
    </w:p>
    <w:p w14:paraId="7CC5247A" w14:textId="77777777" w:rsidR="00FA0363" w:rsidRPr="00D02880" w:rsidRDefault="00FA0363" w:rsidP="00FA0363">
      <w:pPr>
        <w:pStyle w:val="13"/>
      </w:pPr>
      <w:r w:rsidRPr="00D02880">
        <w:rPr>
          <w:rFonts w:hint="eastAsia"/>
        </w:rPr>
        <w:t>（四）财政部、国家税务总局核准的其他情形。</w:t>
      </w:r>
    </w:p>
    <w:p w14:paraId="32154A3E" w14:textId="77777777" w:rsidR="00FA0363" w:rsidRPr="00D02880" w:rsidRDefault="00FA0363" w:rsidP="00FA0363">
      <w:pPr>
        <w:pStyle w:val="13"/>
      </w:pPr>
      <w:r w:rsidRPr="00D02880">
        <w:rPr>
          <w:rFonts w:hint="eastAsia"/>
        </w:rPr>
        <w:t>八、本通知第七条第（三）项所指的居民企业以其拥有的资产或股权向其</w:t>
      </w:r>
      <w:r w:rsidRPr="00D02880">
        <w:t>100%直接控股关系的非居民企业进行投资，其资产或股权转让收益如选择特殊性税务处理，可以在10个纳税年度内均匀计入各年度应纳税所得额。</w:t>
      </w:r>
    </w:p>
    <w:p w14:paraId="75CDF1FB" w14:textId="77777777" w:rsidR="00FA0363" w:rsidRPr="00D02880" w:rsidRDefault="00FA0363" w:rsidP="00FA0363">
      <w:pPr>
        <w:pStyle w:val="13"/>
      </w:pPr>
      <w:r w:rsidRPr="00D02880">
        <w:rPr>
          <w:rFonts w:hint="eastAsia"/>
        </w:rPr>
        <w:t>九、在企业吸收合并中，合并后的存续企业性质及适用税收优惠的条件未发生改变的，可以继续享受合并前该企业剩余期限的税收优惠，其优惠金额按存续企业合并前一年的应纳税所得额（亏损计为零）计算。</w:t>
      </w:r>
    </w:p>
    <w:p w14:paraId="78C912A1" w14:textId="77777777" w:rsidR="00FA0363" w:rsidRPr="00D02880" w:rsidRDefault="00FA0363" w:rsidP="00FA0363">
      <w:pPr>
        <w:pStyle w:val="13"/>
      </w:pPr>
      <w:r w:rsidRPr="00D02880">
        <w:rPr>
          <w:rFonts w:hint="eastAsia"/>
        </w:rPr>
        <w:t>在企业存续分立中，分立后的存续企业性质及适用税收优惠的条件未发生改变</w:t>
      </w:r>
      <w:r w:rsidRPr="00D02880">
        <w:t>的，可以继续享受分立前该企业剩余期限的税收优惠，其优惠金额按该企业分立前一年的应纳税所得额（亏损计为零）乘以分立后存续企业资产占分立前该企业全部资产</w:t>
      </w:r>
      <w:r w:rsidRPr="00D02880">
        <w:rPr>
          <w:rFonts w:hint="eastAsia"/>
        </w:rPr>
        <w:t>的比例计算。</w:t>
      </w:r>
    </w:p>
    <w:p w14:paraId="54DCB2C8" w14:textId="77777777" w:rsidR="00FA0363" w:rsidRPr="00D02880" w:rsidRDefault="00FA0363" w:rsidP="00FA0363">
      <w:pPr>
        <w:pStyle w:val="13"/>
      </w:pPr>
      <w:r w:rsidRPr="00D02880">
        <w:rPr>
          <w:rFonts w:hint="eastAsia"/>
        </w:rPr>
        <w:t>十、企业在重组发生前后连续</w:t>
      </w:r>
      <w:r w:rsidRPr="00D02880">
        <w:t>12个月</w:t>
      </w:r>
      <w:proofErr w:type="gramStart"/>
      <w:r w:rsidRPr="00D02880">
        <w:t>内分步对其</w:t>
      </w:r>
      <w:proofErr w:type="gramEnd"/>
      <w:r w:rsidRPr="00D02880">
        <w:t>资产、股权进行交易，应根据实质重于形式原则将上述交易作为一项企业重组交易进行处理。</w:t>
      </w:r>
    </w:p>
    <w:p w14:paraId="31C38C15" w14:textId="77777777" w:rsidR="00FA0363" w:rsidRPr="00D02880" w:rsidRDefault="00FA0363" w:rsidP="00FA0363">
      <w:pPr>
        <w:pStyle w:val="13"/>
      </w:pPr>
      <w:r w:rsidRPr="00D02880">
        <w:rPr>
          <w:rFonts w:hint="eastAsia"/>
        </w:rPr>
        <w:t>十一、企业发生符合本通知规定的特殊性重组条件并选择特殊性税务处理的，当事各方应在该重组业务完成当年企业所得税年度申报时，向主管税务机关提交书面备案资料，证明其符合各类特殊性重组规定的条件。企业未按规定书面备案的，一律不得按特殊重组业务进行税务处理。</w:t>
      </w:r>
    </w:p>
    <w:p w14:paraId="35E1CAE9" w14:textId="77777777" w:rsidR="00FA0363" w:rsidRPr="00D02880" w:rsidRDefault="00FA0363" w:rsidP="00FA0363">
      <w:pPr>
        <w:pStyle w:val="13"/>
      </w:pPr>
      <w:r w:rsidRPr="00D02880">
        <w:rPr>
          <w:rFonts w:hint="eastAsia"/>
        </w:rPr>
        <w:t>十二、对企业在重组过程中涉及的需要特别处理的企业所得税事项，由国务院财政、税务主管部门另行规定。</w:t>
      </w:r>
    </w:p>
    <w:p w14:paraId="323218D9" w14:textId="77777777" w:rsidR="00FA0363" w:rsidRPr="00D02880" w:rsidRDefault="00FA0363" w:rsidP="00FA0363">
      <w:pPr>
        <w:pStyle w:val="13"/>
      </w:pPr>
      <w:r w:rsidRPr="00D02880">
        <w:rPr>
          <w:rFonts w:hint="eastAsia"/>
        </w:rPr>
        <w:t>十三、本通知自</w:t>
      </w:r>
      <w:r w:rsidRPr="00D02880">
        <w:t>2008年1月1日起执行。</w:t>
      </w:r>
    </w:p>
    <w:p w14:paraId="46F00C42" w14:textId="77777777" w:rsidR="00FA0363" w:rsidRDefault="00FA0363" w:rsidP="00FA0363">
      <w:pPr>
        <w:pStyle w:val="31"/>
        <w:spacing w:before="156" w:after="62"/>
      </w:pPr>
      <w:bookmarkStart w:id="311" w:name="_Toc81833544"/>
      <w:r>
        <w:rPr>
          <w:rFonts w:hint="eastAsia"/>
        </w:rPr>
        <w:lastRenderedPageBreak/>
        <w:t>《关于企业清算业务企业所得税处理若干问题的通知》（财税〔</w:t>
      </w:r>
      <w:r>
        <w:t>2009〕60号）</w:t>
      </w:r>
      <w:bookmarkEnd w:id="311"/>
    </w:p>
    <w:p w14:paraId="02130823" w14:textId="77777777" w:rsidR="00FA0363" w:rsidRDefault="00FA0363" w:rsidP="00FA0363">
      <w:pPr>
        <w:pStyle w:val="13"/>
        <w:ind w:firstLineChars="0" w:firstLine="0"/>
      </w:pPr>
      <w:r>
        <w:rPr>
          <w:rFonts w:hint="eastAsia"/>
        </w:rPr>
        <w:t>各省、自治区、直辖市、计划单列市财政厅（局）、国家税务局、地方税务局，新疆生产建设兵团财务局：</w:t>
      </w:r>
    </w:p>
    <w:p w14:paraId="2F2BD71F" w14:textId="77777777" w:rsidR="00FA0363" w:rsidRDefault="00FA0363" w:rsidP="00FA0363">
      <w:pPr>
        <w:pStyle w:val="13"/>
      </w:pPr>
      <w:r>
        <w:rPr>
          <w:rFonts w:hint="eastAsia"/>
        </w:rPr>
        <w:t>根据《中华人民共和国企业所得税法》第五十三条、第五十五条和《中华人民共和国企业所得税法实施条例》（国务院令第</w:t>
      </w:r>
      <w:r>
        <w:t>512号）第十一条规定，现就企业清算有关所得税处理问题通知如下：</w:t>
      </w:r>
    </w:p>
    <w:p w14:paraId="3FE880C7" w14:textId="77777777" w:rsidR="00FA0363" w:rsidRDefault="00FA0363" w:rsidP="00FA0363">
      <w:pPr>
        <w:pStyle w:val="13"/>
        <w:ind w:firstLine="482"/>
      </w:pPr>
      <w:r w:rsidRPr="009931A9">
        <w:rPr>
          <w:rFonts w:hint="eastAsia"/>
          <w:b/>
          <w:bCs/>
        </w:rPr>
        <w:t>一、</w:t>
      </w:r>
      <w:r>
        <w:rPr>
          <w:rFonts w:hint="eastAsia"/>
        </w:rPr>
        <w:t>企业清算的所得税处理，是指企业在不再持续经营，发生结束自身业务、处置资产、偿还债务以及向所有者分配剩余财产等经济行为时，对清算所得、清算所得税、股息分配等事项的处理。</w:t>
      </w:r>
    </w:p>
    <w:p w14:paraId="55A12BD5" w14:textId="77777777" w:rsidR="00FA0363" w:rsidRDefault="00FA0363" w:rsidP="00FA0363">
      <w:pPr>
        <w:pStyle w:val="13"/>
        <w:ind w:firstLine="482"/>
      </w:pPr>
      <w:r w:rsidRPr="009931A9">
        <w:rPr>
          <w:rFonts w:hint="eastAsia"/>
          <w:b/>
          <w:bCs/>
        </w:rPr>
        <w:t>二、</w:t>
      </w:r>
      <w:r>
        <w:rPr>
          <w:rFonts w:hint="eastAsia"/>
        </w:rPr>
        <w:t>下列企业应进行清算的所得税处理：</w:t>
      </w:r>
    </w:p>
    <w:p w14:paraId="231B668B" w14:textId="77777777" w:rsidR="00FA0363" w:rsidRDefault="00FA0363" w:rsidP="00FA0363">
      <w:pPr>
        <w:pStyle w:val="13"/>
      </w:pPr>
      <w:r>
        <w:rPr>
          <w:rFonts w:hint="eastAsia"/>
        </w:rPr>
        <w:t>（一）按《公司法》、《企业破产法》等规定需要进行清算的企业；</w:t>
      </w:r>
    </w:p>
    <w:p w14:paraId="6D39A601" w14:textId="77777777" w:rsidR="00FA0363" w:rsidRDefault="00FA0363" w:rsidP="00FA0363">
      <w:pPr>
        <w:pStyle w:val="13"/>
      </w:pPr>
      <w:r>
        <w:rPr>
          <w:rFonts w:hint="eastAsia"/>
        </w:rPr>
        <w:t>（二）企业重组中需要按清算处理的企业。</w:t>
      </w:r>
    </w:p>
    <w:p w14:paraId="57A26774" w14:textId="77777777" w:rsidR="00FA0363" w:rsidRPr="009931A9" w:rsidRDefault="00FA0363" w:rsidP="00FA0363">
      <w:pPr>
        <w:pStyle w:val="13"/>
        <w:ind w:firstLine="482"/>
      </w:pPr>
      <w:r w:rsidRPr="009931A9">
        <w:rPr>
          <w:rFonts w:hint="eastAsia"/>
          <w:b/>
          <w:bCs/>
        </w:rPr>
        <w:t>三、</w:t>
      </w:r>
      <w:r w:rsidRPr="009931A9">
        <w:rPr>
          <w:rFonts w:hint="eastAsia"/>
        </w:rPr>
        <w:t>企业清算的所得税处理包括以下内容：</w:t>
      </w:r>
    </w:p>
    <w:p w14:paraId="0C67A6FC" w14:textId="77777777" w:rsidR="00FA0363" w:rsidRDefault="00FA0363" w:rsidP="00FA0363">
      <w:pPr>
        <w:pStyle w:val="13"/>
      </w:pPr>
      <w:r>
        <w:rPr>
          <w:rFonts w:hint="eastAsia"/>
        </w:rPr>
        <w:t>（一）全部资产均应按可变现价值或交易价格，确认资产转让所得或损失；</w:t>
      </w:r>
    </w:p>
    <w:p w14:paraId="7F7DBCDA" w14:textId="77777777" w:rsidR="00FA0363" w:rsidRDefault="00FA0363" w:rsidP="00FA0363">
      <w:pPr>
        <w:pStyle w:val="13"/>
      </w:pPr>
      <w:r>
        <w:rPr>
          <w:rFonts w:hint="eastAsia"/>
        </w:rPr>
        <w:t>（二）确认债权清理、债务清偿的所得或损失；</w:t>
      </w:r>
    </w:p>
    <w:p w14:paraId="15C2F6F3" w14:textId="77777777" w:rsidR="00FA0363" w:rsidRDefault="00FA0363" w:rsidP="00FA0363">
      <w:pPr>
        <w:pStyle w:val="13"/>
      </w:pPr>
      <w:r>
        <w:rPr>
          <w:rFonts w:hint="eastAsia"/>
        </w:rPr>
        <w:t>（三）改变持续经营核算原则，对预提或待摊性质的费用进行处理；</w:t>
      </w:r>
    </w:p>
    <w:p w14:paraId="73889693" w14:textId="77777777" w:rsidR="00FA0363" w:rsidRDefault="00FA0363" w:rsidP="00FA0363">
      <w:pPr>
        <w:pStyle w:val="13"/>
      </w:pPr>
      <w:r>
        <w:rPr>
          <w:rFonts w:hint="eastAsia"/>
        </w:rPr>
        <w:t>（四）依法弥补亏损，确定清算所得；</w:t>
      </w:r>
    </w:p>
    <w:p w14:paraId="5A057E7C" w14:textId="77777777" w:rsidR="00FA0363" w:rsidRDefault="00FA0363" w:rsidP="00FA0363">
      <w:pPr>
        <w:pStyle w:val="13"/>
      </w:pPr>
      <w:r>
        <w:rPr>
          <w:rFonts w:hint="eastAsia"/>
        </w:rPr>
        <w:t>（五）计算并缴纳清算所得税；</w:t>
      </w:r>
    </w:p>
    <w:p w14:paraId="1FD24945" w14:textId="77777777" w:rsidR="00FA0363" w:rsidRDefault="00FA0363" w:rsidP="00FA0363">
      <w:pPr>
        <w:pStyle w:val="13"/>
      </w:pPr>
      <w:r>
        <w:rPr>
          <w:rFonts w:hint="eastAsia"/>
        </w:rPr>
        <w:t>（六）确定可向股东分配的剩余财产、应付股息等。</w:t>
      </w:r>
    </w:p>
    <w:p w14:paraId="615196F5" w14:textId="77777777" w:rsidR="00FA0363" w:rsidRDefault="00FA0363" w:rsidP="00FA0363">
      <w:pPr>
        <w:pStyle w:val="13"/>
        <w:ind w:firstLine="482"/>
      </w:pPr>
      <w:r w:rsidRPr="009931A9">
        <w:rPr>
          <w:rFonts w:hint="eastAsia"/>
          <w:b/>
          <w:bCs/>
        </w:rPr>
        <w:t>四、</w:t>
      </w:r>
      <w:r>
        <w:rPr>
          <w:rFonts w:hint="eastAsia"/>
        </w:rPr>
        <w:t>企业的全部资产可变现价值或交易价格，减除资产的计税基础、清算费用、相关税费，加上债务清偿损益等后的余额，为清算所得。</w:t>
      </w:r>
    </w:p>
    <w:p w14:paraId="12192C5E" w14:textId="77777777" w:rsidR="00FA0363" w:rsidRDefault="00FA0363" w:rsidP="00FA0363">
      <w:pPr>
        <w:pStyle w:val="13"/>
      </w:pPr>
      <w:r>
        <w:rPr>
          <w:rFonts w:hint="eastAsia"/>
        </w:rPr>
        <w:t>企业应将整个清算期作为一个独立的纳税年度计算清算所得。</w:t>
      </w:r>
    </w:p>
    <w:p w14:paraId="6AC7D32F" w14:textId="77777777" w:rsidR="00FA0363" w:rsidRDefault="00FA0363" w:rsidP="00FA0363">
      <w:pPr>
        <w:pStyle w:val="13"/>
        <w:ind w:firstLine="482"/>
      </w:pPr>
      <w:r w:rsidRPr="009931A9">
        <w:rPr>
          <w:rFonts w:hint="eastAsia"/>
          <w:b/>
          <w:bCs/>
        </w:rPr>
        <w:t>五、</w:t>
      </w:r>
      <w:r>
        <w:rPr>
          <w:rFonts w:hint="eastAsia"/>
        </w:rPr>
        <w:t>企业全部资产的可变现价值或交易价格减除清算费用，职工的工资、社会保险费用和法定补偿金，结清清算所得税、以前年度欠税等税款，清偿企业债务，按规定计算可以向所有者分配的剩余资产。</w:t>
      </w:r>
    </w:p>
    <w:p w14:paraId="0EFDA564" w14:textId="77777777" w:rsidR="00FA0363" w:rsidRDefault="00FA0363" w:rsidP="00FA0363">
      <w:pPr>
        <w:pStyle w:val="13"/>
      </w:pPr>
      <w:r>
        <w:rPr>
          <w:rFonts w:hint="eastAsia"/>
        </w:rPr>
        <w:t>被清算企业的股东分得的剩余资产的金额，其中相当于被清算企业累计未分配利润和累计盈余公积中按该股东所占股份比例计算的部分，应确认为股息所得；剩余资产减除股息所得后的余额，超过或低于股东投资成本的部分，应确认为股东的投资转让所得或损失。</w:t>
      </w:r>
    </w:p>
    <w:p w14:paraId="33BEB5C9" w14:textId="77777777" w:rsidR="00FA0363" w:rsidRDefault="00FA0363" w:rsidP="00FA0363">
      <w:pPr>
        <w:pStyle w:val="13"/>
      </w:pPr>
      <w:r>
        <w:rPr>
          <w:rFonts w:hint="eastAsia"/>
        </w:rPr>
        <w:t>被清算企业的股东从被清算企业分得的资产应按可变现价值或实际交易价格确定计税基础。</w:t>
      </w:r>
    </w:p>
    <w:p w14:paraId="3650AC4C" w14:textId="77777777" w:rsidR="00FA0363" w:rsidRDefault="00FA0363" w:rsidP="00FA0363">
      <w:pPr>
        <w:pStyle w:val="13"/>
        <w:ind w:firstLine="482"/>
      </w:pPr>
      <w:r w:rsidRPr="009931A9">
        <w:rPr>
          <w:rFonts w:hint="eastAsia"/>
          <w:b/>
          <w:bCs/>
        </w:rPr>
        <w:t>六、</w:t>
      </w:r>
      <w:r>
        <w:rPr>
          <w:rFonts w:hint="eastAsia"/>
        </w:rPr>
        <w:t>本通知自</w:t>
      </w:r>
      <w:r>
        <w:t>2008年1月1日起执行。</w:t>
      </w:r>
    </w:p>
    <w:p w14:paraId="13C90867" w14:textId="77777777" w:rsidR="00FA0363" w:rsidRDefault="00FA0363" w:rsidP="00FA0363">
      <w:pPr>
        <w:pStyle w:val="13"/>
        <w:jc w:val="right"/>
      </w:pPr>
      <w:r>
        <w:rPr>
          <w:rFonts w:hint="eastAsia"/>
        </w:rPr>
        <w:t>财政部</w:t>
      </w:r>
      <w:r>
        <w:t>国家税务总局</w:t>
      </w:r>
    </w:p>
    <w:p w14:paraId="22540833" w14:textId="77777777" w:rsidR="00FA0363" w:rsidRDefault="00FA0363" w:rsidP="00FA0363">
      <w:pPr>
        <w:pStyle w:val="13"/>
        <w:jc w:val="right"/>
      </w:pPr>
      <w:r>
        <w:t>二</w:t>
      </w:r>
      <w:proofErr w:type="gramStart"/>
      <w:r>
        <w:t>00</w:t>
      </w:r>
      <w:proofErr w:type="gramEnd"/>
      <w:r>
        <w:t>九年四月三十日</w:t>
      </w:r>
    </w:p>
    <w:p w14:paraId="6A5812C5" w14:textId="77777777" w:rsidR="00FA0363" w:rsidRDefault="00FA0363" w:rsidP="00FA0363">
      <w:pPr>
        <w:pStyle w:val="31"/>
        <w:spacing w:before="156" w:after="62"/>
      </w:pPr>
      <w:bookmarkStart w:id="312" w:name="_Toc81833545"/>
      <w:r>
        <w:rPr>
          <w:rFonts w:hint="eastAsia"/>
        </w:rPr>
        <w:lastRenderedPageBreak/>
        <w:t>《企业重组业务企业所得税管理办法》（国家税务总局公告</w:t>
      </w:r>
      <w:r>
        <w:t>2010年第4号）</w:t>
      </w:r>
      <w:bookmarkEnd w:id="312"/>
    </w:p>
    <w:p w14:paraId="4FD50D5F" w14:textId="77777777" w:rsidR="00FA0363" w:rsidRDefault="00FA0363" w:rsidP="00D02880">
      <w:pPr>
        <w:pStyle w:val="13"/>
      </w:pPr>
      <w:r>
        <w:rPr>
          <w:rFonts w:hint="eastAsia"/>
        </w:rPr>
        <w:t>现将《企业重组业务企业所得税管理办法》予以发布，自</w:t>
      </w:r>
      <w:r>
        <w:t>2010年1月1日起施</w:t>
      </w:r>
      <w:r>
        <w:rPr>
          <w:rFonts w:hint="eastAsia"/>
        </w:rPr>
        <w:t>行。</w:t>
      </w:r>
    </w:p>
    <w:p w14:paraId="3B6ECE61" w14:textId="77777777" w:rsidR="00FA0363" w:rsidRDefault="00FA0363" w:rsidP="00FA0363">
      <w:pPr>
        <w:pStyle w:val="13"/>
      </w:pPr>
      <w:r>
        <w:rPr>
          <w:rFonts w:hint="eastAsia"/>
        </w:rPr>
        <w:t>本办法发布时企业已经完成重组业务的，如适用《财政部</w:t>
      </w:r>
      <w:r>
        <w:t>国家税务总局关于企业重组业务企业所得税处理若干问题的通知》（财税〔2009〕59号）特殊税务处理，企业没有按照本办法要求准备相关资料的，应补</w:t>
      </w:r>
      <w:proofErr w:type="gramStart"/>
      <w:r>
        <w:t>备相关</w:t>
      </w:r>
      <w:proofErr w:type="gramEnd"/>
      <w:r>
        <w:t>资料；需要税务机关确认的，按照本办法要求补充确认。2008、2009年度企业重组业务尚未进行税务处理的，可按本办法处理。</w:t>
      </w:r>
    </w:p>
    <w:p w14:paraId="24F0230D" w14:textId="77777777" w:rsidR="00FA0363" w:rsidRDefault="00FA0363" w:rsidP="00FA0363">
      <w:pPr>
        <w:pStyle w:val="13"/>
      </w:pPr>
      <w:r>
        <w:rPr>
          <w:rFonts w:hint="eastAsia"/>
        </w:rPr>
        <w:t>特此公告。</w:t>
      </w:r>
    </w:p>
    <w:p w14:paraId="2B7D6BF6" w14:textId="77777777" w:rsidR="00FA0363" w:rsidRDefault="00FA0363" w:rsidP="00FA0363">
      <w:pPr>
        <w:pStyle w:val="13"/>
        <w:jc w:val="right"/>
      </w:pPr>
      <w:r>
        <w:rPr>
          <w:rFonts w:hint="eastAsia"/>
        </w:rPr>
        <w:t>国家税务总局</w:t>
      </w:r>
    </w:p>
    <w:p w14:paraId="05A385BA" w14:textId="77777777" w:rsidR="00FA0363" w:rsidRDefault="00FA0363" w:rsidP="00FA0363">
      <w:pPr>
        <w:pStyle w:val="13"/>
        <w:jc w:val="right"/>
      </w:pPr>
      <w:r>
        <w:rPr>
          <w:rFonts w:hint="eastAsia"/>
        </w:rPr>
        <w:t>二〇一〇年七月二十六日</w:t>
      </w:r>
    </w:p>
    <w:p w14:paraId="6D4DDD60" w14:textId="77777777" w:rsidR="00FA0363" w:rsidRDefault="00FA0363" w:rsidP="00FA0363">
      <w:pPr>
        <w:pStyle w:val="13"/>
      </w:pPr>
    </w:p>
    <w:p w14:paraId="5F329D8A" w14:textId="26094130" w:rsidR="00FA0363" w:rsidRDefault="00FA0363" w:rsidP="00AF7342">
      <w:pPr>
        <w:pStyle w:val="a9"/>
        <w:spacing w:before="62" w:after="62"/>
      </w:pPr>
      <w:r>
        <w:rPr>
          <w:rFonts w:hint="eastAsia"/>
        </w:rPr>
        <w:t>第一章</w:t>
      </w:r>
      <w:r w:rsidR="00D02880">
        <w:rPr>
          <w:rFonts w:hint="eastAsia"/>
        </w:rPr>
        <w:t xml:space="preserve"> </w:t>
      </w:r>
      <w:r>
        <w:t>总则及定义</w:t>
      </w:r>
    </w:p>
    <w:p w14:paraId="33D2A61A" w14:textId="3DCFC39B" w:rsidR="00FA0363" w:rsidRDefault="004E3EBB" w:rsidP="00FA0363">
      <w:pPr>
        <w:pStyle w:val="13"/>
        <w:ind w:firstLine="482"/>
      </w:pPr>
      <w:r w:rsidRPr="004E3EBB">
        <w:rPr>
          <w:rFonts w:hint="eastAsia"/>
          <w:b/>
          <w:bCs/>
        </w:rPr>
        <w:t xml:space="preserve">第一条 </w:t>
      </w:r>
      <w:r w:rsidR="00FA0363">
        <w:t>为规范和加强对企业重组业务的企业所得税管理，根据《中华人民共和国企业所得税法》（以下简称《税法》）及其实施条例（以下简称《实施条例》）、《中华人民共和国税收征收管理法》及其实施细则（以下简称《征管法》）、《财政部国家税务总局关于企业重组业务企业所得税处理若干问题的通知》（财税〔2009〕59号）（以下简称《通知》）等有关规定，制定本办法。</w:t>
      </w:r>
    </w:p>
    <w:p w14:paraId="333B0DA9" w14:textId="28F62C88" w:rsidR="00FA0363" w:rsidRDefault="004E3EBB" w:rsidP="00FA0363">
      <w:pPr>
        <w:pStyle w:val="13"/>
        <w:ind w:firstLine="482"/>
      </w:pPr>
      <w:r w:rsidRPr="004E3EBB">
        <w:rPr>
          <w:rFonts w:hint="eastAsia"/>
          <w:b/>
          <w:bCs/>
        </w:rPr>
        <w:t xml:space="preserve">第二条 </w:t>
      </w:r>
      <w:r w:rsidR="00FA0363">
        <w:t>本办法所称企业重组业务，是指《通知》第一条所规定的企业法律形式改变、债务重组、股权收购、资产收购、合并、分立等各类重组。</w:t>
      </w:r>
    </w:p>
    <w:p w14:paraId="7B87DA8B" w14:textId="51FA6EA9" w:rsidR="00FA0363" w:rsidRDefault="004E3EBB" w:rsidP="00FA0363">
      <w:pPr>
        <w:pStyle w:val="13"/>
        <w:ind w:firstLine="482"/>
      </w:pPr>
      <w:r w:rsidRPr="004E3EBB">
        <w:rPr>
          <w:rFonts w:hint="eastAsia"/>
          <w:b/>
          <w:bCs/>
        </w:rPr>
        <w:t xml:space="preserve">第三条 </w:t>
      </w:r>
      <w:r w:rsidR="00FA0363">
        <w:t>企业发生各类重组业务，其当事各方，按重组类型，分别指以下企业：</w:t>
      </w:r>
    </w:p>
    <w:p w14:paraId="25D7F1A5" w14:textId="77777777" w:rsidR="00FA0363" w:rsidRDefault="00FA0363" w:rsidP="00FA0363">
      <w:pPr>
        <w:pStyle w:val="13"/>
      </w:pPr>
      <w:r>
        <w:rPr>
          <w:rFonts w:hint="eastAsia"/>
        </w:rPr>
        <w:t>（一）债务重组中当事各方，指债务人及债权人。</w:t>
      </w:r>
    </w:p>
    <w:p w14:paraId="685E1730" w14:textId="77777777" w:rsidR="00FA0363" w:rsidRDefault="00FA0363" w:rsidP="00FA0363">
      <w:pPr>
        <w:pStyle w:val="13"/>
      </w:pPr>
      <w:r>
        <w:rPr>
          <w:rFonts w:hint="eastAsia"/>
        </w:rPr>
        <w:t>（二）股权收购中当事各方，指收购方、转让方及被收购企业。</w:t>
      </w:r>
    </w:p>
    <w:p w14:paraId="7CAC7AE1" w14:textId="77777777" w:rsidR="00FA0363" w:rsidRDefault="00FA0363" w:rsidP="00FA0363">
      <w:pPr>
        <w:pStyle w:val="13"/>
      </w:pPr>
      <w:r>
        <w:rPr>
          <w:rFonts w:hint="eastAsia"/>
        </w:rPr>
        <w:t>（三）资产收购中当事各方，指转让方、受让方。</w:t>
      </w:r>
    </w:p>
    <w:p w14:paraId="7FF2FFE6" w14:textId="77777777" w:rsidR="00FA0363" w:rsidRDefault="00FA0363" w:rsidP="00FA0363">
      <w:pPr>
        <w:pStyle w:val="13"/>
      </w:pPr>
      <w:r>
        <w:rPr>
          <w:rFonts w:hint="eastAsia"/>
        </w:rPr>
        <w:t>（四）合并中当事各方，指合并企业、被合并企业及各方股东。</w:t>
      </w:r>
    </w:p>
    <w:p w14:paraId="285005A1" w14:textId="77777777" w:rsidR="00FA0363" w:rsidRDefault="00FA0363" w:rsidP="00FA0363">
      <w:pPr>
        <w:pStyle w:val="13"/>
      </w:pPr>
      <w:r>
        <w:rPr>
          <w:rFonts w:hint="eastAsia"/>
        </w:rPr>
        <w:t>（五）分立中当事各方，指分立企业、被分立企业及各方股东。</w:t>
      </w:r>
    </w:p>
    <w:p w14:paraId="20F4BAB2" w14:textId="01A2D073" w:rsidR="00FA0363" w:rsidRDefault="004E3EBB" w:rsidP="00FA0363">
      <w:pPr>
        <w:pStyle w:val="13"/>
        <w:ind w:firstLine="482"/>
      </w:pPr>
      <w:r w:rsidRPr="004E3EBB">
        <w:rPr>
          <w:rFonts w:hint="eastAsia"/>
          <w:b/>
          <w:bCs/>
        </w:rPr>
        <w:t xml:space="preserve">第四条 </w:t>
      </w:r>
      <w:r w:rsidR="00FA0363">
        <w:t>同一重组业务的当事各方应采取一致税务处理原则，即统一按一般性或特殊性税务处理。</w:t>
      </w:r>
    </w:p>
    <w:p w14:paraId="67AB03E5" w14:textId="465F402D" w:rsidR="00FA0363" w:rsidRDefault="004E3EBB" w:rsidP="00FA0363">
      <w:pPr>
        <w:pStyle w:val="13"/>
        <w:ind w:firstLine="482"/>
      </w:pPr>
      <w:r w:rsidRPr="004E3EBB">
        <w:rPr>
          <w:rFonts w:hint="eastAsia"/>
          <w:b/>
          <w:bCs/>
        </w:rPr>
        <w:t xml:space="preserve">第五条 </w:t>
      </w:r>
      <w:r w:rsidR="00FA0363">
        <w:t>《通知》第一条第（四）项所称实质经营性资产，是指企业用于从事生产经营活动、与产生经营收入直接相关的资产，包括经营所用各类资产、企业拥有的商业信息和技术、经营活动产生的应收款项、投资资产等。</w:t>
      </w:r>
    </w:p>
    <w:p w14:paraId="26C1621A" w14:textId="28C2BF67" w:rsidR="00FA0363" w:rsidRDefault="004E3EBB" w:rsidP="00FA0363">
      <w:pPr>
        <w:pStyle w:val="13"/>
        <w:ind w:firstLine="482"/>
      </w:pPr>
      <w:r w:rsidRPr="004E3EBB">
        <w:rPr>
          <w:rFonts w:hint="eastAsia"/>
          <w:b/>
          <w:bCs/>
        </w:rPr>
        <w:t xml:space="preserve">第六条 </w:t>
      </w:r>
      <w:r w:rsidR="00FA0363">
        <w:t>《通知》第二条所称控股企业，是指由本企业直接持有股份的企业。</w:t>
      </w:r>
    </w:p>
    <w:p w14:paraId="63DD473A" w14:textId="23F582D3" w:rsidR="00FA0363" w:rsidRDefault="004E3EBB" w:rsidP="00FA0363">
      <w:pPr>
        <w:pStyle w:val="13"/>
        <w:ind w:firstLine="482"/>
      </w:pPr>
      <w:r w:rsidRPr="004E3EBB">
        <w:rPr>
          <w:b/>
          <w:bCs/>
        </w:rPr>
        <w:t xml:space="preserve">第七条 </w:t>
      </w:r>
      <w:r w:rsidR="00FA0363">
        <w:t>《通知》中规定的企业重组，其重组日的确定，按以下规定处理：</w:t>
      </w:r>
    </w:p>
    <w:p w14:paraId="3B02565C" w14:textId="77777777" w:rsidR="00FA0363" w:rsidRDefault="00FA0363" w:rsidP="00FA0363">
      <w:pPr>
        <w:pStyle w:val="13"/>
      </w:pPr>
      <w:r>
        <w:rPr>
          <w:rFonts w:hint="eastAsia"/>
        </w:rPr>
        <w:t>（一）债务重组，以债务重组合同或协议生效日为重组日。</w:t>
      </w:r>
    </w:p>
    <w:p w14:paraId="63B7DC8A" w14:textId="77777777" w:rsidR="00FA0363" w:rsidRDefault="00FA0363" w:rsidP="00FA0363">
      <w:pPr>
        <w:pStyle w:val="13"/>
      </w:pPr>
      <w:r>
        <w:rPr>
          <w:rFonts w:hint="eastAsia"/>
        </w:rPr>
        <w:lastRenderedPageBreak/>
        <w:t>（二）股权收购，以转让协议生效且完成股权变更手续日为重组日。</w:t>
      </w:r>
    </w:p>
    <w:p w14:paraId="1F948129" w14:textId="77777777" w:rsidR="00FA0363" w:rsidRDefault="00FA0363" w:rsidP="00FA0363">
      <w:pPr>
        <w:pStyle w:val="13"/>
      </w:pPr>
      <w:r>
        <w:rPr>
          <w:rFonts w:hint="eastAsia"/>
        </w:rPr>
        <w:t>（三）资产收购，以转让协议生效且完成资产实际交割日为重组日。</w:t>
      </w:r>
    </w:p>
    <w:p w14:paraId="1F2BD25F" w14:textId="77777777" w:rsidR="00FA0363" w:rsidRDefault="00FA0363" w:rsidP="00FA0363">
      <w:pPr>
        <w:pStyle w:val="13"/>
      </w:pPr>
      <w:r>
        <w:rPr>
          <w:rFonts w:hint="eastAsia"/>
        </w:rPr>
        <w:t>（四）企业合并，以合并企业取得被合并企业资产所有权并完成工商登记变更日期为重组日。</w:t>
      </w:r>
    </w:p>
    <w:p w14:paraId="6F323D22" w14:textId="77777777" w:rsidR="00FA0363" w:rsidRDefault="00FA0363" w:rsidP="00FA0363">
      <w:pPr>
        <w:pStyle w:val="13"/>
      </w:pPr>
      <w:r>
        <w:rPr>
          <w:rFonts w:hint="eastAsia"/>
        </w:rPr>
        <w:t>（五）企业分立，以分立企业取得被分立企业资产所有权并完成工商登记变更日期为重组日。</w:t>
      </w:r>
    </w:p>
    <w:p w14:paraId="75602B26" w14:textId="33410CD1" w:rsidR="00FA0363" w:rsidRDefault="004E3EBB" w:rsidP="00FA0363">
      <w:pPr>
        <w:pStyle w:val="13"/>
        <w:ind w:firstLine="482"/>
      </w:pPr>
      <w:r w:rsidRPr="004E3EBB">
        <w:rPr>
          <w:rFonts w:hint="eastAsia"/>
          <w:b/>
          <w:bCs/>
        </w:rPr>
        <w:t xml:space="preserve">第八条 </w:t>
      </w:r>
      <w:r w:rsidR="00FA0363">
        <w:t>重组业务完成年度的确定，可以按各当事方适用的会计准则确定，具体参照各当事方经审计的年度财务报告。由于当事方适用的会计准则不同导致重组业务完成年度的判定有差异时，各当事方应协商一致，确定同一个纳税年度作为重组业务完成年度。</w:t>
      </w:r>
    </w:p>
    <w:p w14:paraId="05643CEE" w14:textId="306A6A75" w:rsidR="00FA0363" w:rsidRDefault="00E05BDA" w:rsidP="00FA0363">
      <w:pPr>
        <w:pStyle w:val="13"/>
        <w:ind w:firstLine="482"/>
      </w:pPr>
      <w:r w:rsidRPr="00E05BDA">
        <w:rPr>
          <w:rFonts w:hint="eastAsia"/>
          <w:b/>
          <w:bCs/>
        </w:rPr>
        <w:t xml:space="preserve">第九条 </w:t>
      </w:r>
      <w:r w:rsidR="00FA0363">
        <w:t>本办法所称评估机构，是指具有合法资质的中国资产评估机构。</w:t>
      </w:r>
    </w:p>
    <w:p w14:paraId="71822E21" w14:textId="785B2B7E" w:rsidR="00FA0363" w:rsidRDefault="00FA0363" w:rsidP="00AF7342">
      <w:pPr>
        <w:pStyle w:val="a9"/>
        <w:spacing w:before="62" w:after="62"/>
      </w:pPr>
      <w:r>
        <w:rPr>
          <w:rFonts w:hint="eastAsia"/>
        </w:rPr>
        <w:t>第二章</w:t>
      </w:r>
      <w:r w:rsidR="00D02880">
        <w:rPr>
          <w:rFonts w:hint="eastAsia"/>
        </w:rPr>
        <w:t xml:space="preserve"> </w:t>
      </w:r>
      <w:r>
        <w:t>企业重组一般性税务处理管理</w:t>
      </w:r>
    </w:p>
    <w:p w14:paraId="2A30A69E" w14:textId="721B988C" w:rsidR="00FA0363" w:rsidRDefault="00E05BDA" w:rsidP="00FA0363">
      <w:pPr>
        <w:pStyle w:val="13"/>
        <w:ind w:firstLine="482"/>
      </w:pPr>
      <w:r w:rsidRPr="00E05BDA">
        <w:rPr>
          <w:rFonts w:hint="eastAsia"/>
          <w:b/>
          <w:bCs/>
        </w:rPr>
        <w:t xml:space="preserve">第十条 </w:t>
      </w:r>
      <w:r w:rsidR="00FA0363">
        <w:t>企业发生《通知》第四条第（一）项规定的由法人转变为个人独资企业、合伙企业等非法人组织，或将登记注册地转移至中华人民共和国境外（包括港澳台地区），应按照《财政部国家税务总局关于企业清算业务企业所得税处理若干问题的通知》（财税〔2009〕60号）规定进行清算。</w:t>
      </w:r>
    </w:p>
    <w:p w14:paraId="2774D457" w14:textId="77777777" w:rsidR="00FA0363" w:rsidRDefault="00FA0363" w:rsidP="00FA0363">
      <w:pPr>
        <w:pStyle w:val="13"/>
      </w:pPr>
      <w:r>
        <w:rPr>
          <w:rFonts w:hint="eastAsia"/>
        </w:rPr>
        <w:t>企业在报送《企业清算所得纳税申报表》时，应附送以下资料：</w:t>
      </w:r>
    </w:p>
    <w:p w14:paraId="4802D862" w14:textId="77777777" w:rsidR="00FA0363" w:rsidRDefault="00FA0363" w:rsidP="00FA0363">
      <w:pPr>
        <w:pStyle w:val="13"/>
      </w:pPr>
      <w:r>
        <w:rPr>
          <w:rFonts w:hint="eastAsia"/>
        </w:rPr>
        <w:t>（一）企业改变法律形式的工商部门或其他政府部门的批准文件；</w:t>
      </w:r>
    </w:p>
    <w:p w14:paraId="30340C15" w14:textId="77777777" w:rsidR="00FA0363" w:rsidRDefault="00FA0363" w:rsidP="00FA0363">
      <w:pPr>
        <w:pStyle w:val="13"/>
      </w:pPr>
      <w:r>
        <w:rPr>
          <w:rFonts w:hint="eastAsia"/>
        </w:rPr>
        <w:t>（二）企业全部资产的计税基础以及评估机构出具的资产评估报告；</w:t>
      </w:r>
    </w:p>
    <w:p w14:paraId="57C04B5B" w14:textId="77777777" w:rsidR="00FA0363" w:rsidRDefault="00FA0363" w:rsidP="00FA0363">
      <w:pPr>
        <w:pStyle w:val="13"/>
      </w:pPr>
      <w:r>
        <w:rPr>
          <w:rFonts w:hint="eastAsia"/>
        </w:rPr>
        <w:t>（三）企业债权、债务处理或归属情况说明；</w:t>
      </w:r>
    </w:p>
    <w:p w14:paraId="0717D813" w14:textId="77777777" w:rsidR="00FA0363" w:rsidRDefault="00FA0363" w:rsidP="00FA0363">
      <w:pPr>
        <w:pStyle w:val="13"/>
      </w:pPr>
      <w:r>
        <w:rPr>
          <w:rFonts w:hint="eastAsia"/>
        </w:rPr>
        <w:t>（四）主管税务机关要求提供的其他资料证明。</w:t>
      </w:r>
    </w:p>
    <w:p w14:paraId="38C9079A" w14:textId="63739123" w:rsidR="00FA0363" w:rsidRDefault="00E05BDA" w:rsidP="00FA0363">
      <w:pPr>
        <w:pStyle w:val="13"/>
        <w:ind w:firstLine="482"/>
      </w:pPr>
      <w:r w:rsidRPr="00E05BDA">
        <w:rPr>
          <w:rFonts w:hint="eastAsia"/>
          <w:b/>
          <w:bCs/>
        </w:rPr>
        <w:t xml:space="preserve">第十一条 </w:t>
      </w:r>
      <w:r w:rsidR="00FA0363">
        <w:t>企业发生《通知》第四条第（二）项规定的债务重组，应准备以下相关资料，以备税务机关检查。</w:t>
      </w:r>
    </w:p>
    <w:p w14:paraId="1335695A" w14:textId="77777777" w:rsidR="00FA0363" w:rsidRDefault="00FA0363" w:rsidP="00FA0363">
      <w:pPr>
        <w:pStyle w:val="13"/>
      </w:pPr>
      <w:r>
        <w:rPr>
          <w:rFonts w:hint="eastAsia"/>
        </w:rPr>
        <w:t>（一）以非货币资产清偿债务的，应保留当事各方签订的清偿债务的协议或合同，以及非货币资产公允价格确认的合法证据等；</w:t>
      </w:r>
    </w:p>
    <w:p w14:paraId="03176356" w14:textId="77777777" w:rsidR="00FA0363" w:rsidRDefault="00FA0363" w:rsidP="00FA0363">
      <w:pPr>
        <w:pStyle w:val="13"/>
      </w:pPr>
      <w:r>
        <w:rPr>
          <w:rFonts w:hint="eastAsia"/>
        </w:rPr>
        <w:t>（二）债权转股权的，应保留当事各方签订的债权转股权协议或合同。</w:t>
      </w:r>
    </w:p>
    <w:p w14:paraId="334A9237" w14:textId="2C7A58E2" w:rsidR="00FA0363" w:rsidRDefault="00E05BDA" w:rsidP="00FA0363">
      <w:pPr>
        <w:pStyle w:val="13"/>
        <w:ind w:firstLine="482"/>
      </w:pPr>
      <w:r w:rsidRPr="00E05BDA">
        <w:rPr>
          <w:rFonts w:hint="eastAsia"/>
          <w:b/>
          <w:bCs/>
        </w:rPr>
        <w:t xml:space="preserve">第十二条 </w:t>
      </w:r>
      <w:r w:rsidR="00FA0363">
        <w:t>企业发生《通知》第四条第（三）项规定的股权收购、资产收购重组业务，应准备以下相关资料，以备税务机关检查。</w:t>
      </w:r>
    </w:p>
    <w:p w14:paraId="4ED815C2" w14:textId="77777777" w:rsidR="00FA0363" w:rsidRDefault="00FA0363" w:rsidP="00FA0363">
      <w:pPr>
        <w:pStyle w:val="13"/>
      </w:pPr>
      <w:r>
        <w:rPr>
          <w:rFonts w:hint="eastAsia"/>
        </w:rPr>
        <w:t>（一）当事各方所签订的股权收购、资产收购业务合同或协议；</w:t>
      </w:r>
    </w:p>
    <w:p w14:paraId="52C792C9" w14:textId="77777777" w:rsidR="00FA0363" w:rsidRDefault="00FA0363" w:rsidP="00FA0363">
      <w:pPr>
        <w:pStyle w:val="13"/>
      </w:pPr>
      <w:r>
        <w:rPr>
          <w:rFonts w:hint="eastAsia"/>
        </w:rPr>
        <w:t>（二）相关股权、资产公允价值的合法证据。</w:t>
      </w:r>
    </w:p>
    <w:p w14:paraId="4D5704A8" w14:textId="20FB33BB" w:rsidR="00FA0363" w:rsidRDefault="00E05BDA" w:rsidP="00FA0363">
      <w:pPr>
        <w:pStyle w:val="13"/>
        <w:ind w:firstLine="482"/>
      </w:pPr>
      <w:r w:rsidRPr="00E05BDA">
        <w:rPr>
          <w:rFonts w:hint="eastAsia"/>
          <w:b/>
          <w:bCs/>
        </w:rPr>
        <w:t xml:space="preserve">第十三条 </w:t>
      </w:r>
      <w:r w:rsidR="00FA0363">
        <w:t>企业发生《通知》第四条第（四）项规定的合并，应按照财税〔2009〕60</w:t>
      </w:r>
      <w:r w:rsidR="002451CD">
        <w:t xml:space="preserve"> </w:t>
      </w:r>
      <w:r w:rsidR="00FA0363">
        <w:t>号文件规定进行清算。</w:t>
      </w:r>
    </w:p>
    <w:p w14:paraId="1E5A807E" w14:textId="77777777" w:rsidR="00FA0363" w:rsidRDefault="00FA0363" w:rsidP="00FA0363">
      <w:pPr>
        <w:pStyle w:val="13"/>
      </w:pPr>
      <w:r>
        <w:rPr>
          <w:rFonts w:hint="eastAsia"/>
        </w:rPr>
        <w:t>被合并企业在报送《企业清算所得纳税申报表》时，应附送以下资料：</w:t>
      </w:r>
    </w:p>
    <w:p w14:paraId="110024FD" w14:textId="77777777" w:rsidR="00FA0363" w:rsidRDefault="00FA0363" w:rsidP="00FA0363">
      <w:pPr>
        <w:pStyle w:val="13"/>
      </w:pPr>
      <w:r>
        <w:rPr>
          <w:rFonts w:hint="eastAsia"/>
        </w:rPr>
        <w:t>（一）企业合并的工商部门或其他政府部门的批准文件；</w:t>
      </w:r>
    </w:p>
    <w:p w14:paraId="4D97AEC3" w14:textId="77777777" w:rsidR="00FA0363" w:rsidRDefault="00FA0363" w:rsidP="00FA0363">
      <w:pPr>
        <w:pStyle w:val="13"/>
      </w:pPr>
      <w:r>
        <w:rPr>
          <w:rFonts w:hint="eastAsia"/>
        </w:rPr>
        <w:lastRenderedPageBreak/>
        <w:t>（二）企业全部资产和负债的计税基础以及评估机构出具的资产评估报告；</w:t>
      </w:r>
    </w:p>
    <w:p w14:paraId="4F18592A" w14:textId="77777777" w:rsidR="00FA0363" w:rsidRDefault="00FA0363" w:rsidP="00FA0363">
      <w:pPr>
        <w:pStyle w:val="13"/>
      </w:pPr>
      <w:r>
        <w:rPr>
          <w:rFonts w:hint="eastAsia"/>
        </w:rPr>
        <w:t>（三）企业债务处理或归属情况说明；</w:t>
      </w:r>
    </w:p>
    <w:p w14:paraId="7421706E" w14:textId="77777777" w:rsidR="00FA0363" w:rsidRDefault="00FA0363" w:rsidP="00FA0363">
      <w:pPr>
        <w:pStyle w:val="13"/>
      </w:pPr>
      <w:r>
        <w:rPr>
          <w:rFonts w:hint="eastAsia"/>
        </w:rPr>
        <w:t>（四）主管税务机关要求提供的其他资料证明。</w:t>
      </w:r>
    </w:p>
    <w:p w14:paraId="41E31370" w14:textId="13E2749F" w:rsidR="00FA0363" w:rsidRDefault="00E05BDA" w:rsidP="00FA0363">
      <w:pPr>
        <w:pStyle w:val="13"/>
        <w:ind w:firstLine="482"/>
      </w:pPr>
      <w:r w:rsidRPr="00E05BDA">
        <w:rPr>
          <w:rFonts w:hint="eastAsia"/>
          <w:b/>
          <w:bCs/>
        </w:rPr>
        <w:t xml:space="preserve">第十四条 </w:t>
      </w:r>
      <w:r w:rsidR="00FA0363">
        <w:t>企业发生《通知》第四条第（五）项规定的分立，被分立企业不再继续存在，应按照财税〔2009〕60号文件规定进行清算。</w:t>
      </w:r>
    </w:p>
    <w:p w14:paraId="3F6D83AF" w14:textId="77777777" w:rsidR="00FA0363" w:rsidRDefault="00FA0363" w:rsidP="00FA0363">
      <w:pPr>
        <w:pStyle w:val="13"/>
      </w:pPr>
      <w:r>
        <w:rPr>
          <w:rFonts w:hint="eastAsia"/>
        </w:rPr>
        <w:t>被分立企业在报送《企业清算所得纳税申报表》时，应附送以下资料：</w:t>
      </w:r>
    </w:p>
    <w:p w14:paraId="67619BCD" w14:textId="77777777" w:rsidR="00FA0363" w:rsidRDefault="00FA0363" w:rsidP="00FA0363">
      <w:pPr>
        <w:pStyle w:val="13"/>
      </w:pPr>
      <w:r>
        <w:rPr>
          <w:rFonts w:hint="eastAsia"/>
        </w:rPr>
        <w:t>（一）企业分立的工商部门或其他政府部门的批准文件；</w:t>
      </w:r>
    </w:p>
    <w:p w14:paraId="26A2EF66" w14:textId="77777777" w:rsidR="00FA0363" w:rsidRDefault="00FA0363" w:rsidP="00FA0363">
      <w:pPr>
        <w:pStyle w:val="13"/>
      </w:pPr>
      <w:r>
        <w:rPr>
          <w:rFonts w:hint="eastAsia"/>
        </w:rPr>
        <w:t>（二）被分立企业全部资产的计税基础以及评估机构出具的资产评估报告；</w:t>
      </w:r>
    </w:p>
    <w:p w14:paraId="53C6F36C" w14:textId="77777777" w:rsidR="00FA0363" w:rsidRDefault="00FA0363" w:rsidP="00FA0363">
      <w:pPr>
        <w:pStyle w:val="13"/>
      </w:pPr>
      <w:r>
        <w:rPr>
          <w:rFonts w:hint="eastAsia"/>
        </w:rPr>
        <w:t>（三）企业债务处理或归属情况说明；</w:t>
      </w:r>
    </w:p>
    <w:p w14:paraId="12754822" w14:textId="77777777" w:rsidR="00FA0363" w:rsidRDefault="00FA0363" w:rsidP="00FA0363">
      <w:pPr>
        <w:pStyle w:val="13"/>
      </w:pPr>
      <w:r>
        <w:rPr>
          <w:rFonts w:hint="eastAsia"/>
        </w:rPr>
        <w:t>（四）主管税务机关要求提供的其他资料证明。</w:t>
      </w:r>
    </w:p>
    <w:p w14:paraId="385D0849" w14:textId="3E3FA9F9" w:rsidR="00FA0363" w:rsidRDefault="00E05BDA" w:rsidP="00FA0363">
      <w:pPr>
        <w:pStyle w:val="13"/>
        <w:ind w:firstLine="482"/>
      </w:pPr>
      <w:r w:rsidRPr="00E05BDA">
        <w:rPr>
          <w:rFonts w:hint="eastAsia"/>
          <w:b/>
          <w:bCs/>
        </w:rPr>
        <w:t xml:space="preserve">第十五条 </w:t>
      </w:r>
      <w:r w:rsidR="00FA0363">
        <w:t>企业合并或分立，合并各方企业或分立企业涉及享受《税法》第五十七条规定中就企业整体（即全部生产经营所得）享受的税收优惠过渡政策尚未期满的，仅就存续企业未享受完的税收优惠，按照《通知》第九条的规定执行；注销的被合并或被分立企业未享受完的税收优惠，不再由存续企业承继；合并或分立而新设的企业不得再承继或重新享受上述优惠。合并或分立各方企业按照《税法》的税收优惠规定和税收优惠过渡政策中就企业有关生产经营项目的所得享受的税收优惠承继问题，按照《实施条例》第八十九条规定执行。</w:t>
      </w:r>
    </w:p>
    <w:p w14:paraId="64139A61" w14:textId="77E71D47" w:rsidR="00FA0363" w:rsidRDefault="00FA0363" w:rsidP="00AF7342">
      <w:pPr>
        <w:pStyle w:val="a9"/>
        <w:spacing w:before="62" w:after="62"/>
      </w:pPr>
      <w:r>
        <w:rPr>
          <w:rFonts w:hint="eastAsia"/>
        </w:rPr>
        <w:t>第三章</w:t>
      </w:r>
      <w:r w:rsidR="00D02880">
        <w:rPr>
          <w:rFonts w:hint="eastAsia"/>
        </w:rPr>
        <w:t xml:space="preserve"> </w:t>
      </w:r>
      <w:r>
        <w:t>企业重组特殊性税务处理管理</w:t>
      </w:r>
    </w:p>
    <w:p w14:paraId="5F166E7A" w14:textId="44B760F0" w:rsidR="00FA0363" w:rsidRDefault="00E05BDA" w:rsidP="00FA0363">
      <w:pPr>
        <w:pStyle w:val="13"/>
        <w:ind w:firstLine="482"/>
      </w:pPr>
      <w:r w:rsidRPr="00E05BDA">
        <w:rPr>
          <w:rFonts w:hint="eastAsia"/>
          <w:b/>
          <w:bCs/>
        </w:rPr>
        <w:t xml:space="preserve">第十六条 </w:t>
      </w:r>
      <w:r w:rsidR="00FA0363">
        <w:t>企业重组业务，符合《通知》规定条件并选择特殊性税务处理的，应按照《通知》第十一条规定进行备案；如企业重组各方需要税务机关确认，可以选择由重组主导方向主管税务机关提出申请，</w:t>
      </w:r>
      <w:proofErr w:type="gramStart"/>
      <w:r w:rsidR="00FA0363">
        <w:t>层报省</w:t>
      </w:r>
      <w:proofErr w:type="gramEnd"/>
      <w:r w:rsidR="00FA0363">
        <w:t>税务机关给予确认。</w:t>
      </w:r>
    </w:p>
    <w:p w14:paraId="7A992618" w14:textId="77777777" w:rsidR="00FA0363" w:rsidRDefault="00FA0363" w:rsidP="00FA0363">
      <w:pPr>
        <w:pStyle w:val="13"/>
      </w:pPr>
      <w:r>
        <w:rPr>
          <w:rFonts w:hint="eastAsia"/>
        </w:rPr>
        <w:t>采取申请确认的，主导方和其他当事方不在同一省（自治区、市）的，主导方省税务机关应将确认文件抄送其他当事方所在地省税务机关。</w:t>
      </w:r>
    </w:p>
    <w:p w14:paraId="60575683" w14:textId="77777777" w:rsidR="00FA0363" w:rsidRDefault="00FA0363" w:rsidP="00FA0363">
      <w:pPr>
        <w:pStyle w:val="13"/>
      </w:pPr>
      <w:r>
        <w:rPr>
          <w:rFonts w:hint="eastAsia"/>
        </w:rPr>
        <w:t>省税务机关在收到确认申请时，原则上应在当年度企业所得税汇算清缴前完成确认。特殊情况，需要延长的，应将延长理由告知主导方。</w:t>
      </w:r>
    </w:p>
    <w:p w14:paraId="119EB9BB" w14:textId="03A0B0E2" w:rsidR="00FA0363" w:rsidRDefault="00E05BDA" w:rsidP="00FA0363">
      <w:pPr>
        <w:pStyle w:val="13"/>
        <w:ind w:firstLine="482"/>
      </w:pPr>
      <w:r w:rsidRPr="00E05BDA">
        <w:rPr>
          <w:rFonts w:hint="eastAsia"/>
          <w:b/>
          <w:bCs/>
        </w:rPr>
        <w:t xml:space="preserve">第十七条 </w:t>
      </w:r>
      <w:r w:rsidR="00FA0363">
        <w:t>企业重组主导方，按以下原则确定：</w:t>
      </w:r>
    </w:p>
    <w:p w14:paraId="1148021E" w14:textId="77777777" w:rsidR="00FA0363" w:rsidRDefault="00FA0363" w:rsidP="00FA0363">
      <w:pPr>
        <w:pStyle w:val="13"/>
      </w:pPr>
      <w:r>
        <w:rPr>
          <w:rFonts w:hint="eastAsia"/>
        </w:rPr>
        <w:t>（一）债务重组为债务人；</w:t>
      </w:r>
    </w:p>
    <w:p w14:paraId="128601CF" w14:textId="77777777" w:rsidR="00FA0363" w:rsidRDefault="00FA0363" w:rsidP="00FA0363">
      <w:pPr>
        <w:pStyle w:val="13"/>
      </w:pPr>
      <w:r>
        <w:rPr>
          <w:rFonts w:hint="eastAsia"/>
        </w:rPr>
        <w:t>（二）股权收购为股权转让方；</w:t>
      </w:r>
    </w:p>
    <w:p w14:paraId="3A000B8F" w14:textId="77777777" w:rsidR="00FA0363" w:rsidRDefault="00FA0363" w:rsidP="00FA0363">
      <w:pPr>
        <w:pStyle w:val="13"/>
      </w:pPr>
      <w:r>
        <w:rPr>
          <w:rFonts w:hint="eastAsia"/>
        </w:rPr>
        <w:t>（三）资产收购为资产转让方；</w:t>
      </w:r>
    </w:p>
    <w:p w14:paraId="2EC850FB" w14:textId="77777777" w:rsidR="00FA0363" w:rsidRDefault="00FA0363" w:rsidP="00FA0363">
      <w:pPr>
        <w:pStyle w:val="13"/>
      </w:pPr>
      <w:r>
        <w:rPr>
          <w:rFonts w:hint="eastAsia"/>
        </w:rPr>
        <w:t>（四）吸收合并为合并后拟存续的企业，新设合并为合并前资产较大的企业；</w:t>
      </w:r>
    </w:p>
    <w:p w14:paraId="55D77377" w14:textId="77777777" w:rsidR="00FA0363" w:rsidRDefault="00FA0363" w:rsidP="00FA0363">
      <w:pPr>
        <w:pStyle w:val="13"/>
      </w:pPr>
      <w:r>
        <w:rPr>
          <w:rFonts w:hint="eastAsia"/>
        </w:rPr>
        <w:t>（五）分立为被分立的企业或存续企业。</w:t>
      </w:r>
    </w:p>
    <w:p w14:paraId="4575849B" w14:textId="74416481" w:rsidR="00FA0363" w:rsidRDefault="00E05BDA" w:rsidP="00FA0363">
      <w:pPr>
        <w:pStyle w:val="13"/>
        <w:ind w:firstLine="482"/>
      </w:pPr>
      <w:r w:rsidRPr="00E05BDA">
        <w:rPr>
          <w:rFonts w:hint="eastAsia"/>
          <w:b/>
          <w:bCs/>
        </w:rPr>
        <w:t xml:space="preserve">第十八条 </w:t>
      </w:r>
      <w:r w:rsidR="00FA0363">
        <w:t>企业发生重组业务，按照《通知》第五条第（一）项要求，企业在备案或提交确认申请时，应从以下方面说明企业重组具有合理的商业目的：</w:t>
      </w:r>
    </w:p>
    <w:p w14:paraId="486D091F" w14:textId="77777777" w:rsidR="00FA0363" w:rsidRDefault="00FA0363" w:rsidP="00FA0363">
      <w:pPr>
        <w:pStyle w:val="13"/>
      </w:pPr>
      <w:r>
        <w:rPr>
          <w:rFonts w:hint="eastAsia"/>
        </w:rPr>
        <w:t>（一）重组活动的交易方式。即重组活动采取的具体形式、交易背景、交易时间、</w:t>
      </w:r>
      <w:r>
        <w:rPr>
          <w:rFonts w:hint="eastAsia"/>
        </w:rPr>
        <w:lastRenderedPageBreak/>
        <w:t>在交易之前和之后的运作方式和有关的商业常规；</w:t>
      </w:r>
    </w:p>
    <w:p w14:paraId="1A03C9CC" w14:textId="77777777" w:rsidR="00FA0363" w:rsidRDefault="00FA0363" w:rsidP="00FA0363">
      <w:pPr>
        <w:pStyle w:val="13"/>
      </w:pPr>
      <w:r>
        <w:rPr>
          <w:rFonts w:hint="eastAsia"/>
        </w:rPr>
        <w:t>（二）该项交易的形式及实质。即形式上交易所产生的法律权利和责任，也是该项交易的法律后果。另外，交易实际上或商业上产生的最终结果；</w:t>
      </w:r>
    </w:p>
    <w:p w14:paraId="1E61614A" w14:textId="77777777" w:rsidR="00FA0363" w:rsidRDefault="00FA0363" w:rsidP="00FA0363">
      <w:pPr>
        <w:pStyle w:val="13"/>
      </w:pPr>
      <w:r>
        <w:rPr>
          <w:rFonts w:hint="eastAsia"/>
        </w:rPr>
        <w:t>（三）重组活动给交易各方税务状况带来的可能变化；</w:t>
      </w:r>
    </w:p>
    <w:p w14:paraId="18DE26FB" w14:textId="77777777" w:rsidR="00FA0363" w:rsidRDefault="00FA0363" w:rsidP="00FA0363">
      <w:pPr>
        <w:pStyle w:val="13"/>
      </w:pPr>
      <w:r>
        <w:rPr>
          <w:rFonts w:hint="eastAsia"/>
        </w:rPr>
        <w:t>（四）重组各方从交易中获得的财务状况变化；</w:t>
      </w:r>
    </w:p>
    <w:p w14:paraId="1D8A2F85" w14:textId="77777777" w:rsidR="00FA0363" w:rsidRDefault="00FA0363" w:rsidP="00FA0363">
      <w:pPr>
        <w:pStyle w:val="13"/>
      </w:pPr>
      <w:r>
        <w:rPr>
          <w:rFonts w:hint="eastAsia"/>
        </w:rPr>
        <w:t>（五）重组活动是否给交易各方带来了在市场原则下不会产生的异常经济利益或潜在义务；</w:t>
      </w:r>
    </w:p>
    <w:p w14:paraId="594DCDF8" w14:textId="77777777" w:rsidR="00FA0363" w:rsidRDefault="00FA0363" w:rsidP="00FA0363">
      <w:pPr>
        <w:pStyle w:val="13"/>
      </w:pPr>
      <w:r>
        <w:rPr>
          <w:rFonts w:hint="eastAsia"/>
        </w:rPr>
        <w:t>（六）非居民企业参与重组活动的情况。</w:t>
      </w:r>
    </w:p>
    <w:p w14:paraId="18E375F8" w14:textId="4279A8BD" w:rsidR="00FA0363" w:rsidRDefault="00E05BDA" w:rsidP="00FA0363">
      <w:pPr>
        <w:pStyle w:val="13"/>
        <w:ind w:firstLine="482"/>
      </w:pPr>
      <w:r w:rsidRPr="00E05BDA">
        <w:rPr>
          <w:rFonts w:hint="eastAsia"/>
          <w:b/>
          <w:bCs/>
        </w:rPr>
        <w:t xml:space="preserve">第十九条 </w:t>
      </w:r>
      <w:r w:rsidR="00FA0363">
        <w:t>《通知》第五条第（三）和第（五）项所称“企业重组后的连续12个月内”，是指自重组日起计算的连续12个月内。</w:t>
      </w:r>
    </w:p>
    <w:p w14:paraId="69315A85" w14:textId="29649940" w:rsidR="00FA0363" w:rsidRDefault="00E05BDA" w:rsidP="00FA0363">
      <w:pPr>
        <w:pStyle w:val="13"/>
        <w:ind w:firstLine="482"/>
      </w:pPr>
      <w:r w:rsidRPr="00E05BDA">
        <w:rPr>
          <w:rFonts w:hint="eastAsia"/>
          <w:b/>
          <w:bCs/>
        </w:rPr>
        <w:t xml:space="preserve">第二十条 </w:t>
      </w:r>
      <w:r w:rsidR="00FA0363">
        <w:t>《通知》第五条第（五）项规定的原主要股东，是指原持有转让企业或被收购企业20%以上股权的股东。</w:t>
      </w:r>
    </w:p>
    <w:p w14:paraId="256A9FB2" w14:textId="46C193EE" w:rsidR="00FA0363" w:rsidRDefault="00E05BDA" w:rsidP="00FA0363">
      <w:pPr>
        <w:pStyle w:val="13"/>
        <w:ind w:firstLine="482"/>
      </w:pPr>
      <w:r w:rsidRPr="00E05BDA">
        <w:rPr>
          <w:rFonts w:hint="eastAsia"/>
          <w:b/>
          <w:bCs/>
        </w:rPr>
        <w:t xml:space="preserve">第二十一条 </w:t>
      </w:r>
      <w:r w:rsidR="00FA0363">
        <w:t>《通知》第六条第（四）项规定的同一控制，是指参与合并的企业在合并前后均受同一方或相同的多方最终控制，且</w:t>
      </w:r>
      <w:proofErr w:type="gramStart"/>
      <w:r w:rsidR="00FA0363">
        <w:t>该控制</w:t>
      </w:r>
      <w:proofErr w:type="gramEnd"/>
      <w:r w:rsidR="00FA0363">
        <w:t>并非暂时性的。能够对参与合并的企业在合并前后均实施最终控制权的相同多方，是指根据合同或协议的约定，对参与合并企业的财务和经营政策拥有决定控制权的投资者群体。在企业合并前，参与合并</w:t>
      </w:r>
      <w:proofErr w:type="gramStart"/>
      <w:r w:rsidR="00FA0363">
        <w:t>各方受最终</w:t>
      </w:r>
      <w:proofErr w:type="gramEnd"/>
      <w:r w:rsidR="00FA0363">
        <w:t>控制方的控制在12个月以上，企业合并后所形成的主体在最终控制方</w:t>
      </w:r>
      <w:r w:rsidR="00FA0363">
        <w:rPr>
          <w:rFonts w:hint="eastAsia"/>
        </w:rPr>
        <w:t>的控制时间也应达到连续</w:t>
      </w:r>
      <w:r w:rsidR="00FA0363">
        <w:t>12个月。</w:t>
      </w:r>
    </w:p>
    <w:p w14:paraId="067D416A" w14:textId="1FCED323" w:rsidR="00FA0363" w:rsidRDefault="00E05BDA" w:rsidP="00FA0363">
      <w:pPr>
        <w:pStyle w:val="13"/>
        <w:ind w:firstLine="482"/>
      </w:pPr>
      <w:r w:rsidRPr="00E05BDA">
        <w:rPr>
          <w:rFonts w:hint="eastAsia"/>
          <w:b/>
          <w:bCs/>
        </w:rPr>
        <w:t xml:space="preserve">第二十二条 </w:t>
      </w:r>
      <w:r w:rsidR="00FA0363">
        <w:t>企业发生《通知》第六条第（一）项规定的债务重组，根据不同情形，应准备以下资料：</w:t>
      </w:r>
    </w:p>
    <w:p w14:paraId="0E433981" w14:textId="77777777" w:rsidR="00FA0363" w:rsidRDefault="00FA0363" w:rsidP="00FA0363">
      <w:pPr>
        <w:pStyle w:val="13"/>
      </w:pPr>
      <w:r>
        <w:rPr>
          <w:rFonts w:hint="eastAsia"/>
        </w:rPr>
        <w:t>（一）发生债务重组所产生的应纳税所得额占该企业当年应纳税所得额</w:t>
      </w:r>
      <w:r>
        <w:t>50%以上</w:t>
      </w:r>
      <w:r>
        <w:rPr>
          <w:rFonts w:hint="eastAsia"/>
        </w:rPr>
        <w:t>的，债务重组所得要求在</w:t>
      </w:r>
      <w:r>
        <w:t>5个纳税年度的期间内，均匀计入各年度应纳税所得额的，应准备以下资料：</w:t>
      </w:r>
    </w:p>
    <w:p w14:paraId="4401D3F8" w14:textId="569E3416" w:rsidR="00FA0363" w:rsidRDefault="00FA0363" w:rsidP="00FA0363">
      <w:pPr>
        <w:pStyle w:val="13"/>
      </w:pPr>
      <w:r>
        <w:t>1.</w:t>
      </w:r>
      <w:r w:rsidR="002451CD">
        <w:t xml:space="preserve"> </w:t>
      </w:r>
      <w:r>
        <w:t>当事方的债务重组的总体情况说明（如果采取申请确认的，应为企业的申请，下同），情况说明中应包括债务重组的商业目的；</w:t>
      </w:r>
    </w:p>
    <w:p w14:paraId="152D9D39" w14:textId="720BAC10" w:rsidR="00FA0363" w:rsidRDefault="00FA0363" w:rsidP="00FA0363">
      <w:pPr>
        <w:pStyle w:val="13"/>
      </w:pPr>
      <w:r>
        <w:t>2.</w:t>
      </w:r>
      <w:r w:rsidR="002451CD">
        <w:t xml:space="preserve"> </w:t>
      </w:r>
      <w:r>
        <w:t>当事各方所签订的债务重组合同或协议；</w:t>
      </w:r>
    </w:p>
    <w:p w14:paraId="11F55C2A" w14:textId="345D174E" w:rsidR="00FA0363" w:rsidRDefault="00FA0363" w:rsidP="00FA0363">
      <w:pPr>
        <w:pStyle w:val="13"/>
      </w:pPr>
      <w:r>
        <w:t>3.</w:t>
      </w:r>
      <w:r w:rsidR="002451CD">
        <w:t xml:space="preserve"> </w:t>
      </w:r>
      <w:r>
        <w:t>债务重组所产生的应纳税所得额、企业当年应纳税所得</w:t>
      </w:r>
      <w:proofErr w:type="gramStart"/>
      <w:r>
        <w:t>额情况</w:t>
      </w:r>
      <w:proofErr w:type="gramEnd"/>
      <w:r>
        <w:t>说明；</w:t>
      </w:r>
    </w:p>
    <w:p w14:paraId="0CDD838A" w14:textId="18BF532F" w:rsidR="00FA0363" w:rsidRDefault="00FA0363" w:rsidP="00FA0363">
      <w:pPr>
        <w:pStyle w:val="13"/>
      </w:pPr>
      <w:r>
        <w:t>4.</w:t>
      </w:r>
      <w:r w:rsidR="002451CD">
        <w:t xml:space="preserve"> </w:t>
      </w:r>
      <w:r>
        <w:t>税务机关要求提供的其他资料证明。</w:t>
      </w:r>
    </w:p>
    <w:p w14:paraId="290BF52A" w14:textId="77777777" w:rsidR="00FA0363" w:rsidRDefault="00FA0363" w:rsidP="00FA0363">
      <w:pPr>
        <w:pStyle w:val="13"/>
      </w:pPr>
      <w:r>
        <w:rPr>
          <w:rFonts w:hint="eastAsia"/>
        </w:rPr>
        <w:t>（二）发生债权转股权业务，债务人对债务清偿业务暂不确认所得或损失，债权人对股权投资的计税基础以原债权的计税基础确定，应准备以下资料：</w:t>
      </w:r>
    </w:p>
    <w:p w14:paraId="4AC9104B" w14:textId="7DDB430B" w:rsidR="00FA0363" w:rsidRDefault="00FA0363" w:rsidP="00FA0363">
      <w:pPr>
        <w:pStyle w:val="13"/>
      </w:pPr>
      <w:r>
        <w:t>1.</w:t>
      </w:r>
      <w:r w:rsidR="002451CD">
        <w:t xml:space="preserve"> </w:t>
      </w:r>
      <w:r>
        <w:t>当事方的债务重组的总体情况说明。情况说明中应包括债务重组的商业目的；</w:t>
      </w:r>
    </w:p>
    <w:p w14:paraId="1E82E464" w14:textId="48F472EE" w:rsidR="00FA0363" w:rsidRDefault="00FA0363" w:rsidP="00FA0363">
      <w:pPr>
        <w:pStyle w:val="13"/>
      </w:pPr>
      <w:r>
        <w:t>2.</w:t>
      </w:r>
      <w:r w:rsidR="002451CD">
        <w:t xml:space="preserve"> </w:t>
      </w:r>
      <w:r>
        <w:t>双方所签订的债转</w:t>
      </w:r>
      <w:proofErr w:type="gramStart"/>
      <w:r>
        <w:t>股合同</w:t>
      </w:r>
      <w:proofErr w:type="gramEnd"/>
      <w:r>
        <w:t>或协议；</w:t>
      </w:r>
    </w:p>
    <w:p w14:paraId="1E808D52" w14:textId="0044D0AC" w:rsidR="00FA0363" w:rsidRDefault="00FA0363" w:rsidP="00FA0363">
      <w:pPr>
        <w:pStyle w:val="13"/>
      </w:pPr>
      <w:r>
        <w:t>3.</w:t>
      </w:r>
      <w:r w:rsidR="002451CD">
        <w:t xml:space="preserve"> </w:t>
      </w:r>
      <w:r>
        <w:t>企业所转换的股权公允价格证明；</w:t>
      </w:r>
    </w:p>
    <w:p w14:paraId="44BA5715" w14:textId="5F65EECF" w:rsidR="00FA0363" w:rsidRDefault="00FA0363" w:rsidP="00FA0363">
      <w:pPr>
        <w:pStyle w:val="13"/>
      </w:pPr>
      <w:r>
        <w:t>4.</w:t>
      </w:r>
      <w:r w:rsidR="002451CD">
        <w:t xml:space="preserve"> </w:t>
      </w:r>
      <w:r>
        <w:t>工商部门及有关部门核准相关企业股权变更事项证明材料；</w:t>
      </w:r>
    </w:p>
    <w:p w14:paraId="3BABA7BB" w14:textId="3A4B8A79" w:rsidR="00FA0363" w:rsidRDefault="00FA0363" w:rsidP="00FA0363">
      <w:pPr>
        <w:pStyle w:val="13"/>
      </w:pPr>
      <w:r>
        <w:lastRenderedPageBreak/>
        <w:t>5.</w:t>
      </w:r>
      <w:r w:rsidR="002451CD">
        <w:t xml:space="preserve"> </w:t>
      </w:r>
      <w:r>
        <w:t>税务机关要求提供的其他资料证明。</w:t>
      </w:r>
    </w:p>
    <w:p w14:paraId="434E8860" w14:textId="3A268346" w:rsidR="00FA0363" w:rsidRDefault="00E05BDA" w:rsidP="00FA0363">
      <w:pPr>
        <w:pStyle w:val="13"/>
        <w:ind w:firstLine="482"/>
      </w:pPr>
      <w:r w:rsidRPr="00E05BDA">
        <w:rPr>
          <w:rFonts w:hint="eastAsia"/>
          <w:b/>
          <w:bCs/>
        </w:rPr>
        <w:t xml:space="preserve">第二十三条 </w:t>
      </w:r>
      <w:r w:rsidR="00FA0363">
        <w:t>企业发生《通知》第六条第（二）项规定的股权收购业务，应准备以下资料：</w:t>
      </w:r>
    </w:p>
    <w:p w14:paraId="36D2A3BE" w14:textId="77777777" w:rsidR="00FA0363" w:rsidRDefault="00FA0363" w:rsidP="00FA0363">
      <w:pPr>
        <w:pStyle w:val="13"/>
      </w:pPr>
      <w:r>
        <w:rPr>
          <w:rFonts w:hint="eastAsia"/>
        </w:rPr>
        <w:t>（一）当事方的股权收购业务总体情况说明，情况说明中应包括股权收购的商业目的；</w:t>
      </w:r>
    </w:p>
    <w:p w14:paraId="49E073D5" w14:textId="77777777" w:rsidR="00FA0363" w:rsidRDefault="00FA0363" w:rsidP="00FA0363">
      <w:pPr>
        <w:pStyle w:val="13"/>
      </w:pPr>
      <w:r>
        <w:rPr>
          <w:rFonts w:hint="eastAsia"/>
        </w:rPr>
        <w:t>（二）双方或多方所签订的股权收购业务合同或协议；</w:t>
      </w:r>
    </w:p>
    <w:p w14:paraId="42C89AFB" w14:textId="77777777" w:rsidR="00FA0363" w:rsidRDefault="00FA0363" w:rsidP="00FA0363">
      <w:pPr>
        <w:pStyle w:val="13"/>
      </w:pPr>
      <w:r>
        <w:rPr>
          <w:rFonts w:hint="eastAsia"/>
        </w:rPr>
        <w:t>（三）由评估机构出具的所转让及支付的股权公允价值；</w:t>
      </w:r>
    </w:p>
    <w:p w14:paraId="24EE588A" w14:textId="77777777" w:rsidR="00FA0363" w:rsidRDefault="00FA0363" w:rsidP="00FA0363">
      <w:pPr>
        <w:pStyle w:val="13"/>
      </w:pPr>
      <w:r>
        <w:rPr>
          <w:rFonts w:hint="eastAsia"/>
        </w:rPr>
        <w:t>（四）证明重组符合特殊性税务处理条件的资料，包括股权比例，支付对价情况，以及</w:t>
      </w:r>
      <w:r>
        <w:t>12个月内不改变资产原来的实质性经营活动和原主要股东不转让所取得股权的承诺书等；</w:t>
      </w:r>
    </w:p>
    <w:p w14:paraId="66C7794D" w14:textId="77777777" w:rsidR="00FA0363" w:rsidRDefault="00FA0363" w:rsidP="00FA0363">
      <w:pPr>
        <w:pStyle w:val="13"/>
      </w:pPr>
      <w:r>
        <w:rPr>
          <w:rFonts w:hint="eastAsia"/>
        </w:rPr>
        <w:t>（五）工商等相关部门核准相关企业股权变更事项证明材料；</w:t>
      </w:r>
    </w:p>
    <w:p w14:paraId="0D8570A4" w14:textId="77777777" w:rsidR="00FA0363" w:rsidRDefault="00FA0363" w:rsidP="00FA0363">
      <w:pPr>
        <w:pStyle w:val="13"/>
      </w:pPr>
      <w:r>
        <w:rPr>
          <w:rFonts w:hint="eastAsia"/>
        </w:rPr>
        <w:t>（六）税务机关要求的其他材料。</w:t>
      </w:r>
    </w:p>
    <w:p w14:paraId="533F0C1C" w14:textId="06834E3A" w:rsidR="00FA0363" w:rsidRDefault="00E05BDA" w:rsidP="00FA0363">
      <w:pPr>
        <w:pStyle w:val="13"/>
        <w:ind w:firstLine="482"/>
      </w:pPr>
      <w:r w:rsidRPr="00E05BDA">
        <w:rPr>
          <w:rFonts w:hint="eastAsia"/>
          <w:b/>
          <w:bCs/>
        </w:rPr>
        <w:t xml:space="preserve">第二十四条 </w:t>
      </w:r>
      <w:r w:rsidR="00FA0363">
        <w:t>企业发生《通知》第六条第（三）项规定的资产收购业务，应准备以下资料：</w:t>
      </w:r>
    </w:p>
    <w:p w14:paraId="34C0616B" w14:textId="77777777" w:rsidR="00FA0363" w:rsidRDefault="00FA0363" w:rsidP="00FA0363">
      <w:pPr>
        <w:pStyle w:val="13"/>
      </w:pPr>
      <w:r>
        <w:rPr>
          <w:rFonts w:hint="eastAsia"/>
        </w:rPr>
        <w:t>（一）当事方的资产收购业务总体情况说明，情况说明中应包括资产收购的商业目的；</w:t>
      </w:r>
    </w:p>
    <w:p w14:paraId="53661824" w14:textId="77777777" w:rsidR="00FA0363" w:rsidRDefault="00FA0363" w:rsidP="00FA0363">
      <w:pPr>
        <w:pStyle w:val="13"/>
      </w:pPr>
      <w:r>
        <w:rPr>
          <w:rFonts w:hint="eastAsia"/>
        </w:rPr>
        <w:t>（二）当事各方所签订的资产收购业务合同或协议；</w:t>
      </w:r>
    </w:p>
    <w:p w14:paraId="0EB907DB" w14:textId="77777777" w:rsidR="00FA0363" w:rsidRDefault="00FA0363" w:rsidP="00FA0363">
      <w:pPr>
        <w:pStyle w:val="13"/>
      </w:pPr>
      <w:r>
        <w:rPr>
          <w:rFonts w:hint="eastAsia"/>
        </w:rPr>
        <w:t>（三）评估机构出具的资产收购所体现的资产评估报告；</w:t>
      </w:r>
    </w:p>
    <w:p w14:paraId="6B6F09D0" w14:textId="77777777" w:rsidR="00FA0363" w:rsidRDefault="00FA0363" w:rsidP="00FA0363">
      <w:pPr>
        <w:pStyle w:val="13"/>
      </w:pPr>
      <w:r>
        <w:rPr>
          <w:rFonts w:hint="eastAsia"/>
        </w:rPr>
        <w:t>（四）受让企业股权的计税基础的有效凭证；</w:t>
      </w:r>
    </w:p>
    <w:p w14:paraId="1DD865AE" w14:textId="77777777" w:rsidR="00FA0363" w:rsidRDefault="00FA0363" w:rsidP="00FA0363">
      <w:pPr>
        <w:pStyle w:val="13"/>
      </w:pPr>
      <w:r>
        <w:rPr>
          <w:rFonts w:hint="eastAsia"/>
        </w:rPr>
        <w:t>（五）证明重组符合特殊性税务处理条件的资料，包括资产收购比例，支付对价情况，以及</w:t>
      </w:r>
      <w:r>
        <w:t>12个月内不改变资产原来的实质性经营活动、原主要股东不转让所取得股权的承诺书等；</w:t>
      </w:r>
    </w:p>
    <w:p w14:paraId="11C17418" w14:textId="77777777" w:rsidR="00FA0363" w:rsidRDefault="00FA0363" w:rsidP="00FA0363">
      <w:pPr>
        <w:pStyle w:val="13"/>
      </w:pPr>
      <w:r>
        <w:rPr>
          <w:rFonts w:hint="eastAsia"/>
        </w:rPr>
        <w:t>（六）工商部门核准相关企业股权变更事项证明材料；</w:t>
      </w:r>
    </w:p>
    <w:p w14:paraId="458F72D1" w14:textId="77777777" w:rsidR="00FA0363" w:rsidRDefault="00FA0363" w:rsidP="00FA0363">
      <w:pPr>
        <w:pStyle w:val="13"/>
      </w:pPr>
      <w:r>
        <w:rPr>
          <w:rFonts w:hint="eastAsia"/>
        </w:rPr>
        <w:t>（七）税务机关要求提供的其他材料证明。</w:t>
      </w:r>
    </w:p>
    <w:p w14:paraId="2B349B50" w14:textId="552F6F4C" w:rsidR="00FA0363" w:rsidRDefault="00E05BDA" w:rsidP="00FA0363">
      <w:pPr>
        <w:pStyle w:val="13"/>
        <w:ind w:firstLine="482"/>
      </w:pPr>
      <w:r w:rsidRPr="00E05BDA">
        <w:rPr>
          <w:rFonts w:hint="eastAsia"/>
          <w:b/>
          <w:bCs/>
        </w:rPr>
        <w:t xml:space="preserve">第二十五条 </w:t>
      </w:r>
      <w:r w:rsidR="00FA0363">
        <w:t>企业发生《通知》第六条第（四）项规定的合并，应准备以下资料：</w:t>
      </w:r>
    </w:p>
    <w:p w14:paraId="1C37084F" w14:textId="77777777" w:rsidR="00FA0363" w:rsidRDefault="00FA0363" w:rsidP="00FA0363">
      <w:pPr>
        <w:pStyle w:val="13"/>
      </w:pPr>
      <w:r>
        <w:rPr>
          <w:rFonts w:hint="eastAsia"/>
        </w:rPr>
        <w:t>（一）当事方企业合并的总体情况说明。情况说明中应包括企业合并的商业目的；</w:t>
      </w:r>
    </w:p>
    <w:p w14:paraId="064673AD" w14:textId="77777777" w:rsidR="00FA0363" w:rsidRDefault="00FA0363" w:rsidP="00FA0363">
      <w:pPr>
        <w:pStyle w:val="13"/>
      </w:pPr>
      <w:r>
        <w:rPr>
          <w:rFonts w:hint="eastAsia"/>
        </w:rPr>
        <w:t>（二）企业合并的政府主管部门的批准文件；</w:t>
      </w:r>
    </w:p>
    <w:p w14:paraId="57D0776F" w14:textId="77777777" w:rsidR="00FA0363" w:rsidRDefault="00FA0363" w:rsidP="00FA0363">
      <w:pPr>
        <w:pStyle w:val="13"/>
      </w:pPr>
      <w:r>
        <w:rPr>
          <w:rFonts w:hint="eastAsia"/>
        </w:rPr>
        <w:t>（三）企业合并各方当事人的股权关系说明；</w:t>
      </w:r>
    </w:p>
    <w:p w14:paraId="7382B104" w14:textId="77777777" w:rsidR="00FA0363" w:rsidRDefault="00FA0363" w:rsidP="00FA0363">
      <w:pPr>
        <w:pStyle w:val="13"/>
      </w:pPr>
      <w:r>
        <w:rPr>
          <w:rFonts w:hint="eastAsia"/>
        </w:rPr>
        <w:t>（四）被合并企业的净资产、各单项资产和负债及其账面价值和计税基础等相关资料；</w:t>
      </w:r>
    </w:p>
    <w:p w14:paraId="77CDE288" w14:textId="77777777" w:rsidR="00FA0363" w:rsidRDefault="00FA0363" w:rsidP="00FA0363">
      <w:pPr>
        <w:pStyle w:val="13"/>
      </w:pPr>
      <w:r>
        <w:rPr>
          <w:rFonts w:hint="eastAsia"/>
        </w:rPr>
        <w:t>（五）证明重组符合特殊性税务处理条件的资料，包括合并前企业各股东取得股权支付比例情况、以及</w:t>
      </w:r>
      <w:r>
        <w:t>12个月内不改变资产原来的实质性经营活动、原主要股东不转让所取得股权的承诺书等；</w:t>
      </w:r>
    </w:p>
    <w:p w14:paraId="307873D1" w14:textId="77777777" w:rsidR="00FA0363" w:rsidRDefault="00FA0363" w:rsidP="00FA0363">
      <w:pPr>
        <w:pStyle w:val="13"/>
      </w:pPr>
      <w:r>
        <w:rPr>
          <w:rFonts w:hint="eastAsia"/>
        </w:rPr>
        <w:lastRenderedPageBreak/>
        <w:t>（六）工商部门核准相关企业股权变更事项证明材料；</w:t>
      </w:r>
    </w:p>
    <w:p w14:paraId="17FFEEDF" w14:textId="77777777" w:rsidR="00FA0363" w:rsidRDefault="00FA0363" w:rsidP="00FA0363">
      <w:pPr>
        <w:pStyle w:val="13"/>
      </w:pPr>
      <w:r>
        <w:rPr>
          <w:rFonts w:hint="eastAsia"/>
        </w:rPr>
        <w:t>（七）主管税务机关要求提供的其他资料证明。</w:t>
      </w:r>
    </w:p>
    <w:p w14:paraId="507BA199" w14:textId="0D0FE8C6" w:rsidR="00FA0363" w:rsidRDefault="00E05BDA" w:rsidP="00FA0363">
      <w:pPr>
        <w:pStyle w:val="13"/>
        <w:ind w:firstLine="482"/>
      </w:pPr>
      <w:r w:rsidRPr="00E05BDA">
        <w:rPr>
          <w:rFonts w:hint="eastAsia"/>
          <w:b/>
          <w:bCs/>
        </w:rPr>
        <w:t xml:space="preserve">第二十六条 </w:t>
      </w:r>
      <w:r w:rsidR="00FA0363">
        <w:t>《通知》第六条第（四）项所规定的可由合并企业弥补的被合并企业亏损的限额，是指按《税法》规定的剩余结转年限内，每年可由合并企业弥补的被合并企业亏损的限额。</w:t>
      </w:r>
    </w:p>
    <w:p w14:paraId="31F35A73" w14:textId="1832CC1C" w:rsidR="00FA0363" w:rsidRDefault="00E05BDA" w:rsidP="00FA0363">
      <w:pPr>
        <w:pStyle w:val="13"/>
        <w:ind w:firstLine="482"/>
      </w:pPr>
      <w:r w:rsidRPr="00E05BDA">
        <w:rPr>
          <w:rFonts w:hint="eastAsia"/>
          <w:b/>
          <w:bCs/>
        </w:rPr>
        <w:t xml:space="preserve">第二十七条 </w:t>
      </w:r>
      <w:r w:rsidR="00FA0363">
        <w:t>企业发生《通知》第六条第（五）项规定的分立，应准备以下资料：</w:t>
      </w:r>
    </w:p>
    <w:p w14:paraId="5FE1CEE2" w14:textId="77777777" w:rsidR="00FA0363" w:rsidRDefault="00FA0363" w:rsidP="00FA0363">
      <w:pPr>
        <w:pStyle w:val="13"/>
      </w:pPr>
      <w:r>
        <w:rPr>
          <w:rFonts w:hint="eastAsia"/>
        </w:rPr>
        <w:t>（一）当事方企业分立的总体情况说明。情况说明中应包括企业分立的商业目的；</w:t>
      </w:r>
    </w:p>
    <w:p w14:paraId="74CA9D86" w14:textId="77777777" w:rsidR="00FA0363" w:rsidRDefault="00FA0363" w:rsidP="00FA0363">
      <w:pPr>
        <w:pStyle w:val="13"/>
      </w:pPr>
      <w:r>
        <w:rPr>
          <w:rFonts w:hint="eastAsia"/>
        </w:rPr>
        <w:t>（二）企业分立的政府主管部门的批准文件；</w:t>
      </w:r>
    </w:p>
    <w:p w14:paraId="1C0A0D53" w14:textId="77777777" w:rsidR="00FA0363" w:rsidRDefault="00FA0363" w:rsidP="00FA0363">
      <w:pPr>
        <w:pStyle w:val="13"/>
      </w:pPr>
      <w:r>
        <w:rPr>
          <w:rFonts w:hint="eastAsia"/>
        </w:rPr>
        <w:t>（三）被分立企业的净资产、各单项资产和负债账面价值和计税基础等相关资料；</w:t>
      </w:r>
    </w:p>
    <w:p w14:paraId="48ADF581" w14:textId="77777777" w:rsidR="00FA0363" w:rsidRDefault="00FA0363" w:rsidP="00FA0363">
      <w:pPr>
        <w:pStyle w:val="13"/>
      </w:pPr>
      <w:r>
        <w:rPr>
          <w:rFonts w:hint="eastAsia"/>
        </w:rPr>
        <w:t>（四）证明重组符合特殊性税务处理条件的资料，包括分立后企业各股东取得股权支付比例情况、以及</w:t>
      </w:r>
      <w:r>
        <w:t>12个月内不改变资产原来的实质性经营活动、原主要股东不转让所取得股权的承诺书等；</w:t>
      </w:r>
    </w:p>
    <w:p w14:paraId="54B03339" w14:textId="77777777" w:rsidR="00FA0363" w:rsidRDefault="00FA0363" w:rsidP="00FA0363">
      <w:pPr>
        <w:pStyle w:val="13"/>
      </w:pPr>
      <w:r>
        <w:rPr>
          <w:rFonts w:hint="eastAsia"/>
        </w:rPr>
        <w:t>（五）工商部门认定的分立和被分立企业股东股权比例证明材料；分立后，分立和被分立企业工商营业执照复印件；分立和被分立企业分立业务账务处理复印件；</w:t>
      </w:r>
    </w:p>
    <w:p w14:paraId="06A9F7FD" w14:textId="77777777" w:rsidR="00FA0363" w:rsidRDefault="00FA0363" w:rsidP="00FA0363">
      <w:pPr>
        <w:pStyle w:val="13"/>
      </w:pPr>
      <w:r>
        <w:rPr>
          <w:rFonts w:hint="eastAsia"/>
        </w:rPr>
        <w:t>（六）税务机关要求提供的其他资料证明。</w:t>
      </w:r>
    </w:p>
    <w:p w14:paraId="419B5610" w14:textId="2DC1E1EA" w:rsidR="00FA0363" w:rsidRDefault="00E05BDA" w:rsidP="00FA0363">
      <w:pPr>
        <w:pStyle w:val="13"/>
        <w:ind w:firstLine="482"/>
      </w:pPr>
      <w:r w:rsidRPr="00E05BDA">
        <w:rPr>
          <w:rFonts w:hint="eastAsia"/>
          <w:b/>
          <w:bCs/>
        </w:rPr>
        <w:t xml:space="preserve">第二十八条 </w:t>
      </w:r>
      <w:r w:rsidR="00FA0363">
        <w:t>根据《通知》第六条第（四）项第2目规定，被合并企业合并前的相关所得税事项由合并企业承继，以及根据《通知》第六条第（五）项第2目规定，企业分立，已分立资产相应的所得税事项由分立企业承继，这些事项包括尚未确认的资产损失、分期确认收入的处理以及尚未享受期满的税收优惠政策承继处理问题等。其中，对税收优惠政策承继处理问题，凡属于依照《税法》第五十七条规定中就企业整体（即全部生产经营所得）享受税收优惠过渡政策的，合并或分立后的企业性质及适用税收优惠条件未发生改变的，可以继续享受合并前各企业或分立前被</w:t>
      </w:r>
      <w:r w:rsidR="00FA0363">
        <w:rPr>
          <w:rFonts w:hint="eastAsia"/>
        </w:rPr>
        <w:t>分立企业剩余期限的税收优惠。合并前各企业剩余的税收优惠年限不一致的，合并后企业每年度的应纳税所得额，应统一按</w:t>
      </w:r>
      <w:proofErr w:type="gramStart"/>
      <w:r w:rsidR="00FA0363">
        <w:rPr>
          <w:rFonts w:hint="eastAsia"/>
        </w:rPr>
        <w:t>合并日</w:t>
      </w:r>
      <w:proofErr w:type="gramEnd"/>
      <w:r w:rsidR="00FA0363">
        <w:rPr>
          <w:rFonts w:hint="eastAsia"/>
        </w:rPr>
        <w:t>各合并前企业资产占合并后企业总资产的比例进行划分，再分别按相应的剩余优惠计算应纳税额。合并前各企业或分立前被分立企业按照《税法》的税收优惠规定以及税收优惠过渡政策中就有关生产经营项目所得享受的税收优惠承继处理问题，按照《实施条例》第八十九条规定执行。</w:t>
      </w:r>
    </w:p>
    <w:p w14:paraId="7F4183A4" w14:textId="5A2896B0" w:rsidR="00FA0363" w:rsidRDefault="00E05BDA" w:rsidP="00FA0363">
      <w:pPr>
        <w:pStyle w:val="13"/>
        <w:ind w:firstLine="482"/>
      </w:pPr>
      <w:r w:rsidRPr="00E05BDA">
        <w:rPr>
          <w:rFonts w:hint="eastAsia"/>
          <w:b/>
          <w:bCs/>
        </w:rPr>
        <w:t xml:space="preserve">第二十九条 </w:t>
      </w:r>
      <w:r w:rsidR="00FA0363">
        <w:t>适用《通知》第五条第（三）项和第（五）项的当事各方应在完成重组业务后的下一年度的企业所得税年度申报时，向主管税务机关提交书面情况说明，以证明企业在重组后的连续12个月内，有关符合特殊性税务处理的条件未发生改变。</w:t>
      </w:r>
    </w:p>
    <w:p w14:paraId="0F6436FF" w14:textId="2363441E" w:rsidR="00FA0363" w:rsidRDefault="00E05BDA" w:rsidP="00FA0363">
      <w:pPr>
        <w:pStyle w:val="13"/>
        <w:ind w:firstLine="482"/>
      </w:pPr>
      <w:r w:rsidRPr="00E05BDA">
        <w:rPr>
          <w:rFonts w:hint="eastAsia"/>
          <w:b/>
          <w:bCs/>
        </w:rPr>
        <w:t xml:space="preserve">第三十条 </w:t>
      </w:r>
      <w:r w:rsidR="00FA0363">
        <w:t>当事方的其中一方在规定时间内发生生产经营业务、公司性质、资产</w:t>
      </w:r>
      <w:r w:rsidR="00FA0363">
        <w:lastRenderedPageBreak/>
        <w:t>或股权结构等情况变化，致使重组业务不再符合特殊性税务处理条件的，发生变化的当事方应在情况发生变化的30天内书面通知其他所有当事方。主导方在接到通知后30日内将有关变化通知其主管税务机关。</w:t>
      </w:r>
    </w:p>
    <w:p w14:paraId="129E9767" w14:textId="77777777" w:rsidR="00FA0363" w:rsidRDefault="00FA0363" w:rsidP="00FA0363">
      <w:pPr>
        <w:pStyle w:val="13"/>
      </w:pPr>
      <w:r>
        <w:rPr>
          <w:rFonts w:hint="eastAsia"/>
        </w:rPr>
        <w:t>上款所述情况发生变化后</w:t>
      </w:r>
      <w:r>
        <w:t>60日内，应按照《通知》第四条的规定调整重组业务的</w:t>
      </w:r>
      <w:r>
        <w:rPr>
          <w:rFonts w:hint="eastAsia"/>
        </w:rPr>
        <w:t>税务处理。原交易各方应各自按原交易完成时资产和负债的公允价值计算重组业务的收益或损失，调整交易完成纳税年度的应纳税所得额及相应的资产和负债的计税基</w:t>
      </w:r>
      <w:r>
        <w:t>础，并向各自主管税务机关申请调整交易完成纳税年度的企业所得税年度申报表。逾期不调整申报的，按照《征管法》的相关规定处理。</w:t>
      </w:r>
    </w:p>
    <w:p w14:paraId="6922F7D3" w14:textId="556D1A37" w:rsidR="00FA0363" w:rsidRDefault="003B2FB1" w:rsidP="00FA0363">
      <w:pPr>
        <w:pStyle w:val="13"/>
        <w:ind w:firstLine="482"/>
      </w:pPr>
      <w:r w:rsidRPr="003B2FB1">
        <w:rPr>
          <w:rFonts w:hint="eastAsia"/>
          <w:b/>
          <w:bCs/>
        </w:rPr>
        <w:t xml:space="preserve">第三十一条 </w:t>
      </w:r>
      <w:r w:rsidR="00FA0363">
        <w:t>各当事方的主管税务机关应当对企业申报或确认适用特殊性税务处理的重组业务进行跟踪监管，了解重组企业的动态变化情况。发现问题，应及时与其他当事方主管税务机关沟通联系，并按照规定给予调整。</w:t>
      </w:r>
    </w:p>
    <w:p w14:paraId="7D8A3656" w14:textId="781E104F" w:rsidR="00FA0363" w:rsidRDefault="003B2FB1" w:rsidP="00FA0363">
      <w:pPr>
        <w:pStyle w:val="13"/>
        <w:ind w:firstLine="482"/>
      </w:pPr>
      <w:r w:rsidRPr="003B2FB1">
        <w:rPr>
          <w:rFonts w:hint="eastAsia"/>
          <w:b/>
          <w:bCs/>
        </w:rPr>
        <w:t xml:space="preserve">第三十二条 </w:t>
      </w:r>
      <w:r w:rsidR="00FA0363">
        <w:t>根据《通知》第十条规定，若同一项重组业务涉及在连续12个月内分步交易，</w:t>
      </w:r>
      <w:proofErr w:type="gramStart"/>
      <w:r w:rsidR="00FA0363">
        <w:t>且跨两个</w:t>
      </w:r>
      <w:proofErr w:type="gramEnd"/>
      <w:r w:rsidR="00FA0363">
        <w:t>纳税年度，当事各方在第一步交易完成时预计整个交易可以符合特殊性税务处理条件，可以协商一致选择特殊性税务处理的，可在第一步交易完成后，适用特殊性税务处理。主管税务机关在审核有关资料后，符合条件的，可以暂认可适用特殊性税务处理。第二年进行下一步交易后，应按本办法要求，准备相关资料确认适用特殊性税务处理。</w:t>
      </w:r>
    </w:p>
    <w:p w14:paraId="3A537588" w14:textId="389B4233" w:rsidR="00FA0363" w:rsidRDefault="003B2FB1" w:rsidP="00FA0363">
      <w:pPr>
        <w:pStyle w:val="13"/>
        <w:ind w:firstLine="482"/>
      </w:pPr>
      <w:r w:rsidRPr="003B2FB1">
        <w:rPr>
          <w:rFonts w:hint="eastAsia"/>
          <w:b/>
          <w:bCs/>
        </w:rPr>
        <w:t xml:space="preserve">第三十三条 </w:t>
      </w:r>
      <w:r w:rsidR="00FA0363">
        <w:t>上述跨年度分步交易，若当事方在首个纳税年度不能预计整个交易是否符合特殊性税务处理条件，应适用一般性税务处理。在下一纳税年度全部交易完成后，适用特殊性税务处理的，可以调整上一纳税年度的企业所得税年度申报表，涉及多缴税款的，各主管税务机关应退税，或抵缴当年应纳税款。</w:t>
      </w:r>
    </w:p>
    <w:p w14:paraId="2ED0B8A6" w14:textId="4BCC2C70" w:rsidR="00FA0363" w:rsidRDefault="003B2FB1" w:rsidP="00FA0363">
      <w:pPr>
        <w:pStyle w:val="13"/>
        <w:ind w:firstLine="482"/>
      </w:pPr>
      <w:r w:rsidRPr="003B2FB1">
        <w:rPr>
          <w:rFonts w:hint="eastAsia"/>
          <w:b/>
          <w:bCs/>
        </w:rPr>
        <w:t xml:space="preserve">第三十四条 </w:t>
      </w:r>
      <w:r w:rsidR="00FA0363">
        <w:t>企业重组的当事各方应该取得并保管与该重组有关的凭证、资料，保管期限按照《征管法》的有关规定执行。</w:t>
      </w:r>
    </w:p>
    <w:p w14:paraId="184894C5" w14:textId="7511CE85" w:rsidR="00FA0363" w:rsidRDefault="00FA0363" w:rsidP="00AF7342">
      <w:pPr>
        <w:pStyle w:val="a9"/>
        <w:spacing w:before="62" w:after="62"/>
      </w:pPr>
      <w:r>
        <w:rPr>
          <w:rFonts w:hint="eastAsia"/>
        </w:rPr>
        <w:t>第四章</w:t>
      </w:r>
      <w:r w:rsidR="00D02880">
        <w:rPr>
          <w:rFonts w:hint="eastAsia"/>
        </w:rPr>
        <w:t xml:space="preserve"> </w:t>
      </w:r>
      <w:r>
        <w:t>跨境重组税收管理</w:t>
      </w:r>
    </w:p>
    <w:p w14:paraId="33800297" w14:textId="532AABB1" w:rsidR="00FA0363" w:rsidRDefault="003B2FB1" w:rsidP="00FA0363">
      <w:pPr>
        <w:pStyle w:val="13"/>
        <w:ind w:firstLine="482"/>
      </w:pPr>
      <w:r w:rsidRPr="003B2FB1">
        <w:rPr>
          <w:rFonts w:hint="eastAsia"/>
          <w:b/>
          <w:bCs/>
        </w:rPr>
        <w:t xml:space="preserve">第三十五条 </w:t>
      </w:r>
      <w:r w:rsidR="00FA0363">
        <w:t>发生《通知》第七条规定的重组，凡适用特殊性税务处理规定的，应按照本办法第三章相关规定执行。</w:t>
      </w:r>
    </w:p>
    <w:p w14:paraId="50F01719" w14:textId="389751E4" w:rsidR="00FA0363" w:rsidRDefault="003B2FB1" w:rsidP="00FA0363">
      <w:pPr>
        <w:pStyle w:val="13"/>
        <w:ind w:firstLine="482"/>
      </w:pPr>
      <w:r w:rsidRPr="003B2FB1">
        <w:rPr>
          <w:rFonts w:hint="eastAsia"/>
          <w:b/>
          <w:bCs/>
        </w:rPr>
        <w:t xml:space="preserve">第三十六条 </w:t>
      </w:r>
      <w:r w:rsidR="00FA0363">
        <w:t>发生《通知》第七条第（一）、（二）项规定的重组，适用特殊税务处理的，应按照《国家税务总局关于印发〈非居民企业所得税源泉扣缴管理暂行办法〉的通知》（国税发〔2009〕3号）和《国家税务总局关于加强非居民企业股权转让所得企业所得税管理的通知》（国税函〔2009〕698号）要求，准备资料。</w:t>
      </w:r>
    </w:p>
    <w:p w14:paraId="25B2F56C" w14:textId="3E9137E8" w:rsidR="00FA0363" w:rsidRDefault="003B2FB1" w:rsidP="00FA0363">
      <w:pPr>
        <w:pStyle w:val="13"/>
        <w:ind w:firstLine="482"/>
      </w:pPr>
      <w:r w:rsidRPr="003B2FB1">
        <w:rPr>
          <w:rFonts w:hint="eastAsia"/>
          <w:b/>
          <w:bCs/>
        </w:rPr>
        <w:t xml:space="preserve">第三十七条 </w:t>
      </w:r>
      <w:r w:rsidR="00FA0363">
        <w:t>发生《通知》第七条第（三）项规定的重组，居民企业应向其所在地主管税务机关报送以下资料：</w:t>
      </w:r>
    </w:p>
    <w:p w14:paraId="5D7DF3D1" w14:textId="0E503340" w:rsidR="00FA0363" w:rsidRDefault="00FA0363" w:rsidP="00FA0363">
      <w:pPr>
        <w:pStyle w:val="13"/>
      </w:pPr>
      <w:r>
        <w:t>1.</w:t>
      </w:r>
      <w:r w:rsidR="002451CD">
        <w:t xml:space="preserve"> </w:t>
      </w:r>
      <w:r>
        <w:t>当事方的重组情况说明，申请文件中应说明股权转让的商业目的；</w:t>
      </w:r>
    </w:p>
    <w:p w14:paraId="43FF92FC" w14:textId="42ED8672" w:rsidR="00FA0363" w:rsidRDefault="00FA0363" w:rsidP="00FA0363">
      <w:pPr>
        <w:pStyle w:val="13"/>
      </w:pPr>
      <w:r>
        <w:t>2.</w:t>
      </w:r>
      <w:r w:rsidR="002451CD">
        <w:t xml:space="preserve"> </w:t>
      </w:r>
      <w:r>
        <w:t>双方所签订的股权转让协议；</w:t>
      </w:r>
    </w:p>
    <w:p w14:paraId="3EB6A344" w14:textId="4A24498B" w:rsidR="00FA0363" w:rsidRDefault="00FA0363" w:rsidP="00FA0363">
      <w:pPr>
        <w:pStyle w:val="13"/>
      </w:pPr>
      <w:r>
        <w:lastRenderedPageBreak/>
        <w:t>3.</w:t>
      </w:r>
      <w:r w:rsidR="002451CD">
        <w:t xml:space="preserve"> </w:t>
      </w:r>
      <w:r>
        <w:t>双方控股情况说明；</w:t>
      </w:r>
    </w:p>
    <w:p w14:paraId="7FA239BF" w14:textId="6C10CCFC" w:rsidR="00FA0363" w:rsidRDefault="00FA0363" w:rsidP="00FA0363">
      <w:pPr>
        <w:pStyle w:val="13"/>
      </w:pPr>
      <w:r>
        <w:t>4.</w:t>
      </w:r>
      <w:r w:rsidR="002451CD">
        <w:t xml:space="preserve"> </w:t>
      </w:r>
      <w:r>
        <w:t>由评估机构出具的资产或股权评估报告。报告中应分别列示涉及的各单项被转让资产和负债的公允价值；</w:t>
      </w:r>
    </w:p>
    <w:p w14:paraId="0D8E509F" w14:textId="7495D154" w:rsidR="00FA0363" w:rsidRDefault="00FA0363" w:rsidP="00FA0363">
      <w:pPr>
        <w:pStyle w:val="13"/>
      </w:pPr>
      <w:r>
        <w:t>5.</w:t>
      </w:r>
      <w:r w:rsidR="002451CD">
        <w:t xml:space="preserve"> </w:t>
      </w:r>
      <w:r>
        <w:t>证明重组符合特殊性税务处理条件的资料，包括股权或资产转让比例，支付对价情况，以及12个月内不改变资产原来的实质性经营活动、不转让所取得股权的承诺书等；</w:t>
      </w:r>
    </w:p>
    <w:p w14:paraId="27B79D89" w14:textId="52052E6B" w:rsidR="00FA0363" w:rsidRDefault="00FA0363" w:rsidP="00FA0363">
      <w:pPr>
        <w:pStyle w:val="13"/>
      </w:pPr>
      <w:r>
        <w:t>6.</w:t>
      </w:r>
      <w:r w:rsidR="002451CD">
        <w:t xml:space="preserve"> </w:t>
      </w:r>
      <w:r>
        <w:t>税务机关要求的其他材料。</w:t>
      </w:r>
    </w:p>
    <w:p w14:paraId="4A2345F8" w14:textId="77777777" w:rsidR="00FA0363" w:rsidRDefault="00FA0363" w:rsidP="00FA0363">
      <w:pPr>
        <w:pStyle w:val="31"/>
        <w:spacing w:before="156" w:after="62"/>
      </w:pPr>
      <w:bookmarkStart w:id="313" w:name="_Toc81833546"/>
      <w:r>
        <w:rPr>
          <w:rFonts w:hint="eastAsia"/>
        </w:rPr>
        <w:t>《青岛国税股权转让业务企业所得税政策指南》（企业版）</w:t>
      </w:r>
      <w:bookmarkEnd w:id="313"/>
    </w:p>
    <w:p w14:paraId="46401396" w14:textId="77777777" w:rsidR="00FA0363" w:rsidRDefault="00FA0363" w:rsidP="00FA0363">
      <w:pPr>
        <w:pStyle w:val="13"/>
      </w:pPr>
      <w:r>
        <w:rPr>
          <w:rFonts w:hint="eastAsia"/>
        </w:rPr>
        <w:t>办理股权转让的股东或经授权的代办人应报送（填制）以下资料报送到主管国税机关办税大税务登记管理窗口：</w:t>
      </w:r>
    </w:p>
    <w:p w14:paraId="233C28D3" w14:textId="77777777" w:rsidR="00FA0363" w:rsidRDefault="00FA0363" w:rsidP="00FA0363">
      <w:pPr>
        <w:pStyle w:val="13"/>
      </w:pPr>
      <w:r>
        <w:t>9、具有合法资质的中国资产评估机构出具的被转让股权企业的资产评估报告（仅限符合以下条件、发生股权转让交易的企业报送）</w:t>
      </w:r>
    </w:p>
    <w:p w14:paraId="55F6FD7E" w14:textId="48CEF493" w:rsidR="00FA0363" w:rsidRDefault="00FA0363" w:rsidP="00FA0363">
      <w:pPr>
        <w:pStyle w:val="13"/>
      </w:pPr>
      <w:r>
        <w:rPr>
          <w:rFonts w:hint="eastAsia"/>
        </w:rPr>
        <w:t>（</w:t>
      </w:r>
      <w:r>
        <w:t>1）</w:t>
      </w:r>
      <w:r w:rsidR="002451CD">
        <w:t xml:space="preserve"> </w:t>
      </w:r>
      <w:r>
        <w:t>申请适用股权转让特殊性税务处理方式；</w:t>
      </w:r>
    </w:p>
    <w:p w14:paraId="7F67B89D" w14:textId="2492CFA8" w:rsidR="00FA0363" w:rsidRDefault="00FA0363" w:rsidP="00FA0363">
      <w:pPr>
        <w:pStyle w:val="13"/>
      </w:pPr>
      <w:r>
        <w:rPr>
          <w:rFonts w:hint="eastAsia"/>
        </w:rPr>
        <w:t>（</w:t>
      </w:r>
      <w:r>
        <w:t>2）</w:t>
      </w:r>
      <w:r w:rsidR="002451CD">
        <w:t xml:space="preserve"> </w:t>
      </w:r>
      <w:r>
        <w:t>股权转让方属于投资公司的；</w:t>
      </w:r>
    </w:p>
    <w:p w14:paraId="49226A2D" w14:textId="226551F6" w:rsidR="00FA0363" w:rsidRDefault="00FA0363" w:rsidP="00FA0363">
      <w:pPr>
        <w:pStyle w:val="13"/>
      </w:pPr>
      <w:r>
        <w:rPr>
          <w:rFonts w:hint="eastAsia"/>
        </w:rPr>
        <w:t>（</w:t>
      </w:r>
      <w:r>
        <w:t>3）</w:t>
      </w:r>
      <w:r w:rsidR="002451CD">
        <w:t xml:space="preserve"> </w:t>
      </w:r>
      <w:r>
        <w:t>被转让股权企业属于房地产行业；</w:t>
      </w:r>
    </w:p>
    <w:p w14:paraId="48502606" w14:textId="1712E02F" w:rsidR="00FA0363" w:rsidRDefault="00FA0363" w:rsidP="00FA0363">
      <w:pPr>
        <w:pStyle w:val="13"/>
      </w:pPr>
      <w:r>
        <w:rPr>
          <w:rFonts w:hint="eastAsia"/>
        </w:rPr>
        <w:t>（</w:t>
      </w:r>
      <w:r>
        <w:t>4）</w:t>
      </w:r>
      <w:r w:rsidR="002451CD">
        <w:t xml:space="preserve"> </w:t>
      </w:r>
      <w:r>
        <w:t>被转让股权企业拥有土地；</w:t>
      </w:r>
    </w:p>
    <w:p w14:paraId="45CFA0AD" w14:textId="0E2C67F5" w:rsidR="00FA0363" w:rsidRDefault="00FA0363" w:rsidP="00FA0363">
      <w:pPr>
        <w:pStyle w:val="13"/>
      </w:pPr>
      <w:r>
        <w:rPr>
          <w:rFonts w:hint="eastAsia"/>
        </w:rPr>
        <w:t>（</w:t>
      </w:r>
      <w:r>
        <w:t>5）</w:t>
      </w:r>
      <w:r w:rsidR="002451CD">
        <w:t xml:space="preserve"> </w:t>
      </w:r>
      <w:r>
        <w:t>被转让股权企业存在长期股权投资且投资金额总计超过300万元的；</w:t>
      </w:r>
    </w:p>
    <w:p w14:paraId="4953E749" w14:textId="133B06EB" w:rsidR="00FA0363" w:rsidRDefault="00FA0363" w:rsidP="00FA0363">
      <w:pPr>
        <w:pStyle w:val="13"/>
      </w:pPr>
      <w:r>
        <w:rPr>
          <w:rFonts w:hint="eastAsia"/>
        </w:rPr>
        <w:t>（</w:t>
      </w:r>
      <w:r>
        <w:t>6）</w:t>
      </w:r>
      <w:r w:rsidR="002451CD">
        <w:t xml:space="preserve"> </w:t>
      </w:r>
      <w:r>
        <w:t>股权转让方和股权受让方存在关联关系的。</w:t>
      </w:r>
    </w:p>
    <w:p w14:paraId="32DCBE93" w14:textId="77777777" w:rsidR="00FA0363" w:rsidRDefault="00FA0363" w:rsidP="00FA0363">
      <w:pPr>
        <w:pStyle w:val="31"/>
        <w:spacing w:before="156" w:after="62"/>
      </w:pPr>
      <w:bookmarkStart w:id="314" w:name="_Toc81833547"/>
      <w:r>
        <w:rPr>
          <w:rFonts w:hint="eastAsia"/>
        </w:rPr>
        <w:t>《丽水市地方税务局关于加强市本级自然人股权转让所得个人所得税管理的通知》</w:t>
      </w:r>
      <w:bookmarkEnd w:id="314"/>
    </w:p>
    <w:p w14:paraId="5987EC2F" w14:textId="77777777" w:rsidR="00FA0363" w:rsidRDefault="00FA0363" w:rsidP="00FA0363">
      <w:pPr>
        <w:pStyle w:val="ab"/>
        <w:spacing w:before="62" w:after="62"/>
        <w:ind w:firstLine="482"/>
      </w:pPr>
      <w:r>
        <w:rPr>
          <w:rFonts w:hint="eastAsia"/>
        </w:rPr>
        <w:t>六、审核确认</w:t>
      </w:r>
    </w:p>
    <w:p w14:paraId="4E7CBEA9" w14:textId="77777777" w:rsidR="00FA0363" w:rsidRDefault="00FA0363" w:rsidP="00FA0363">
      <w:pPr>
        <w:pStyle w:val="13"/>
      </w:pPr>
      <w:r>
        <w:rPr>
          <w:rFonts w:hint="eastAsia"/>
        </w:rPr>
        <w:t>（二）对提供的申报资料存在明显瑕疵、申报计税依据明显偏低且无正当理由</w:t>
      </w:r>
      <w:r>
        <w:t>的，以及其它不能提供确凿证据资料，证明其申报资料、申报计税依据客观真实的，应提供具有资产评估资质的评估机构（评估资质需报主管税务机关备案）出具的股权转让评估报告，采用以下办法计算征收个人所得税：</w:t>
      </w:r>
    </w:p>
    <w:p w14:paraId="22AB2F57" w14:textId="42950649" w:rsidR="00FA0363" w:rsidRDefault="00FA0363" w:rsidP="00FA0363">
      <w:pPr>
        <w:pStyle w:val="13"/>
      </w:pPr>
      <w:r>
        <w:t>1.</w:t>
      </w:r>
      <w:r w:rsidR="002451CD">
        <w:t xml:space="preserve"> </w:t>
      </w:r>
      <w:r>
        <w:t>对于股权转让当年所得税查帐征收的企业，依据按市场价格评估的股权转让评估报告、会计报表，确定企业的净资产，并按照股权比例计算转让方占净资产的份额，与股权转让协议价格进行比对，</w:t>
      </w:r>
      <w:proofErr w:type="gramStart"/>
      <w:r>
        <w:t>按孰高原</w:t>
      </w:r>
      <w:proofErr w:type="gramEnd"/>
      <w:r>
        <w:t>则确定股权转让收入，扣除股权原值及合理税费后计算征收个人所得税。</w:t>
      </w:r>
    </w:p>
    <w:p w14:paraId="1C43DD32" w14:textId="3EC0AEE6" w:rsidR="00FA0363" w:rsidRDefault="00FA0363" w:rsidP="00FA0363">
      <w:pPr>
        <w:pStyle w:val="13"/>
      </w:pPr>
      <w:r>
        <w:t>2.</w:t>
      </w:r>
      <w:r w:rsidR="002451CD">
        <w:t xml:space="preserve"> </w:t>
      </w:r>
      <w:r>
        <w:t>对于股权转让当年所得税核定征收的企业，依据提供的企业土地、房产、机器设备、商誉等资产按市场价格评估的股权转让评估报告，与股权转让协议价格进行比</w:t>
      </w:r>
      <w:r>
        <w:rPr>
          <w:rFonts w:hint="eastAsia"/>
        </w:rPr>
        <w:t>对，</w:t>
      </w:r>
      <w:proofErr w:type="gramStart"/>
      <w:r>
        <w:rPr>
          <w:rFonts w:hint="eastAsia"/>
        </w:rPr>
        <w:t>按孰高原</w:t>
      </w:r>
      <w:proofErr w:type="gramEnd"/>
      <w:r>
        <w:rPr>
          <w:rFonts w:hint="eastAsia"/>
        </w:rPr>
        <w:t>则确定股权转让收入，扣除股权原值及合理税费后计算征收个人所得税。</w:t>
      </w:r>
    </w:p>
    <w:p w14:paraId="728990AA" w14:textId="77777777" w:rsidR="00FA0363" w:rsidRDefault="00FA0363" w:rsidP="00FA0363">
      <w:pPr>
        <w:pStyle w:val="13"/>
      </w:pPr>
      <w:r>
        <w:rPr>
          <w:rFonts w:hint="eastAsia"/>
        </w:rPr>
        <w:t>申报资料存在明显瑕疵、申报计税依据明显偏低且无正当理由的，主要是指：股</w:t>
      </w:r>
      <w:r>
        <w:rPr>
          <w:rFonts w:hint="eastAsia"/>
        </w:rPr>
        <w:lastRenderedPageBreak/>
        <w:t>权转让价格低于（或等于）初始投资成本或取得该股权所支付的价款的；股权转让价格低于同一投资企业其他股东同时或大约同时相同或类似条件下股权转让价的；股权转让所得低于最近一期股权分配所得的。</w:t>
      </w:r>
    </w:p>
    <w:p w14:paraId="227FD13B" w14:textId="77777777" w:rsidR="00FA0363" w:rsidRDefault="00FA0363" w:rsidP="00FA0363">
      <w:pPr>
        <w:pStyle w:val="13"/>
      </w:pPr>
      <w:r>
        <w:rPr>
          <w:rFonts w:hint="eastAsia"/>
        </w:rPr>
        <w:t>正当理由主要是指自然人股东所投资企业最近</w:t>
      </w:r>
      <w:r>
        <w:t>3年连续亏损或迫于自身偿债等财务方面的压力而转让股权等理由。</w:t>
      </w:r>
    </w:p>
    <w:p w14:paraId="1C8A877F" w14:textId="77777777" w:rsidR="00FA0363" w:rsidRDefault="00FA0363" w:rsidP="00FA0363">
      <w:pPr>
        <w:pStyle w:val="31"/>
        <w:spacing w:before="156" w:after="62"/>
      </w:pPr>
      <w:bookmarkStart w:id="315" w:name="_Toc81833548"/>
      <w:r>
        <w:rPr>
          <w:rFonts w:hint="eastAsia"/>
        </w:rPr>
        <w:t>《关于股权转让所得个人所得税计税依据核定问题的公告》</w:t>
      </w:r>
      <w:r>
        <w:br w:type="textWrapping" w:clear="all"/>
      </w:r>
      <w:r>
        <w:rPr>
          <w:rFonts w:hint="eastAsia"/>
        </w:rPr>
        <w:t>（国家税务总局公告</w:t>
      </w:r>
      <w:r>
        <w:t>2010年第27号）</w:t>
      </w:r>
      <w:bookmarkEnd w:id="315"/>
    </w:p>
    <w:p w14:paraId="097CDC6C" w14:textId="77777777" w:rsidR="00FA0363" w:rsidRDefault="00FA0363" w:rsidP="00FA0363">
      <w:pPr>
        <w:pStyle w:val="13"/>
      </w:pPr>
      <w:r>
        <w:rPr>
          <w:rFonts w:hint="eastAsia"/>
        </w:rPr>
        <w:t>根据《中华人民共和国个人所得税法》及其实施条例、《中华人民共和国税收征收管理法》及其实施细则和《国家税务总局关于加强股权转让所得征收个人所得税管理的通知》（国税函〔</w:t>
      </w:r>
      <w:r>
        <w:t>2009〕285号）的有关规定，现将股权转让所得个人所得税计税依据核定问题公告如下：</w:t>
      </w:r>
    </w:p>
    <w:p w14:paraId="1620C113" w14:textId="77777777" w:rsidR="00FA0363" w:rsidRDefault="00FA0363" w:rsidP="00FA0363">
      <w:pPr>
        <w:pStyle w:val="ab"/>
        <w:spacing w:before="62" w:after="62"/>
        <w:ind w:firstLine="482"/>
      </w:pPr>
      <w:r>
        <w:rPr>
          <w:rFonts w:hint="eastAsia"/>
        </w:rPr>
        <w:t>一、自然人转让所投资企业股权（份）（以下简称股权转让）取得所得，按照公平交易价格计算并确定计税依据。</w:t>
      </w:r>
    </w:p>
    <w:p w14:paraId="019BC555" w14:textId="77777777" w:rsidR="00FA0363" w:rsidRDefault="00FA0363" w:rsidP="00FA0363">
      <w:pPr>
        <w:pStyle w:val="13"/>
      </w:pPr>
      <w:r>
        <w:rPr>
          <w:rFonts w:hint="eastAsia"/>
        </w:rPr>
        <w:t>计税依据明显偏低且无正当理由的，主管税务机关可采用本公告列举的方法核定。</w:t>
      </w:r>
    </w:p>
    <w:p w14:paraId="4FEDEFAC" w14:textId="77777777" w:rsidR="00FA0363" w:rsidRDefault="00FA0363" w:rsidP="00FA0363">
      <w:pPr>
        <w:pStyle w:val="ab"/>
        <w:spacing w:before="62" w:after="62"/>
        <w:ind w:firstLine="482"/>
      </w:pPr>
      <w:r>
        <w:rPr>
          <w:rFonts w:hint="eastAsia"/>
        </w:rPr>
        <w:t>二、计税依据明显偏低且无正当理由的判定方法</w:t>
      </w:r>
    </w:p>
    <w:p w14:paraId="76107040" w14:textId="77777777" w:rsidR="00FA0363" w:rsidRDefault="00FA0363" w:rsidP="00FA0363">
      <w:pPr>
        <w:pStyle w:val="13"/>
      </w:pPr>
      <w:r>
        <w:rPr>
          <w:rFonts w:hint="eastAsia"/>
        </w:rPr>
        <w:t>（一）符合下列情形之一且无正当理由的，可视为计税依据明显偏低：</w:t>
      </w:r>
    </w:p>
    <w:p w14:paraId="6FAF3997" w14:textId="598C99CD" w:rsidR="00FA0363" w:rsidRDefault="00FA0363" w:rsidP="00FA0363">
      <w:pPr>
        <w:pStyle w:val="13"/>
      </w:pPr>
      <w:r>
        <w:t>1.</w:t>
      </w:r>
      <w:r w:rsidR="002451CD">
        <w:t xml:space="preserve"> </w:t>
      </w:r>
      <w:r>
        <w:t>申报的股权转让价格低于初始投资成本或低于取得该股权所支付的价款及相关税</w:t>
      </w:r>
      <w:r>
        <w:rPr>
          <w:rFonts w:hint="eastAsia"/>
        </w:rPr>
        <w:t>费的；</w:t>
      </w:r>
    </w:p>
    <w:p w14:paraId="304136E4" w14:textId="37114CC2" w:rsidR="00FA0363" w:rsidRDefault="00FA0363" w:rsidP="00FA0363">
      <w:pPr>
        <w:pStyle w:val="13"/>
      </w:pPr>
      <w:r>
        <w:t>2.</w:t>
      </w:r>
      <w:r w:rsidR="002451CD">
        <w:t xml:space="preserve"> </w:t>
      </w:r>
      <w:r>
        <w:t>申报的股权转让价格低于对应的净资产份额的；</w:t>
      </w:r>
    </w:p>
    <w:p w14:paraId="50E384FF" w14:textId="650A16C2" w:rsidR="00FA0363" w:rsidRDefault="00FA0363" w:rsidP="00FA0363">
      <w:pPr>
        <w:pStyle w:val="13"/>
      </w:pPr>
      <w:r>
        <w:t>3.</w:t>
      </w:r>
      <w:r w:rsidR="002451CD">
        <w:t xml:space="preserve"> </w:t>
      </w:r>
      <w:r>
        <w:t>申报的股权转让价格低于相同或类似条件下同</w:t>
      </w:r>
      <w:proofErr w:type="gramStart"/>
      <w:r>
        <w:t>一</w:t>
      </w:r>
      <w:proofErr w:type="gramEnd"/>
      <w:r>
        <w:t>企业同一股东或其他股东股权转让价格的；</w:t>
      </w:r>
    </w:p>
    <w:p w14:paraId="4371FF02" w14:textId="66A13346" w:rsidR="00FA0363" w:rsidRDefault="00FA0363" w:rsidP="00FA0363">
      <w:pPr>
        <w:pStyle w:val="13"/>
      </w:pPr>
      <w:r>
        <w:t>4.</w:t>
      </w:r>
      <w:r w:rsidR="002451CD">
        <w:t xml:space="preserve"> </w:t>
      </w:r>
      <w:r>
        <w:t>申报的股权转让价格低于相同或类似条件下同类行业的企业股权转让价格的；</w:t>
      </w:r>
    </w:p>
    <w:p w14:paraId="0750B770" w14:textId="0F09DF5A" w:rsidR="00FA0363" w:rsidRDefault="00FA0363" w:rsidP="00FA0363">
      <w:pPr>
        <w:pStyle w:val="13"/>
      </w:pPr>
      <w:r>
        <w:t>5.</w:t>
      </w:r>
      <w:r w:rsidR="002451CD">
        <w:t xml:space="preserve"> </w:t>
      </w:r>
      <w:r>
        <w:t>经主管税务机关认定的其他情形。</w:t>
      </w:r>
    </w:p>
    <w:p w14:paraId="3E99F0A5" w14:textId="77777777" w:rsidR="00FA0363" w:rsidRDefault="00FA0363" w:rsidP="00FA0363">
      <w:pPr>
        <w:pStyle w:val="13"/>
      </w:pPr>
      <w:r>
        <w:rPr>
          <w:rFonts w:hint="eastAsia"/>
        </w:rPr>
        <w:t>（二）本条第一项所称正当理由，是指以下情形：</w:t>
      </w:r>
    </w:p>
    <w:p w14:paraId="32B1C32F" w14:textId="5147C314" w:rsidR="00FA0363" w:rsidRDefault="00FA0363" w:rsidP="00FA0363">
      <w:pPr>
        <w:pStyle w:val="13"/>
      </w:pPr>
      <w:r>
        <w:t>1.</w:t>
      </w:r>
      <w:r w:rsidR="002451CD">
        <w:t xml:space="preserve"> </w:t>
      </w:r>
      <w:r>
        <w:t>所投资企业连续三年以上（含三年）亏损；</w:t>
      </w:r>
    </w:p>
    <w:p w14:paraId="6899A25C" w14:textId="11AB80C1" w:rsidR="00FA0363" w:rsidRDefault="00FA0363" w:rsidP="00FA0363">
      <w:pPr>
        <w:pStyle w:val="13"/>
      </w:pPr>
      <w:r>
        <w:t>2.</w:t>
      </w:r>
      <w:r w:rsidR="002451CD">
        <w:t xml:space="preserve"> </w:t>
      </w:r>
      <w:r>
        <w:t>因国家政策调整的原因而低价转让股权；</w:t>
      </w:r>
    </w:p>
    <w:p w14:paraId="68F69DC7" w14:textId="23FB15EB" w:rsidR="00FA0363" w:rsidRDefault="00FA0363" w:rsidP="00FA0363">
      <w:pPr>
        <w:pStyle w:val="13"/>
      </w:pPr>
      <w:r>
        <w:t>3.</w:t>
      </w:r>
      <w:r w:rsidR="002451CD">
        <w:t xml:space="preserve"> </w:t>
      </w:r>
      <w:r>
        <w:t>将股权转让给配偶、父母、子女、祖父母、外祖父母、孙子女、外孙子女、兄弟姐妹以及对转让人承担直接抚养或者赡养义务的抚养人或者赡养人；</w:t>
      </w:r>
    </w:p>
    <w:p w14:paraId="580FCCE2" w14:textId="63C1C0CF" w:rsidR="00FA0363" w:rsidRDefault="00FA0363" w:rsidP="00FA0363">
      <w:pPr>
        <w:pStyle w:val="13"/>
      </w:pPr>
      <w:r>
        <w:t>4.</w:t>
      </w:r>
      <w:r w:rsidR="002451CD">
        <w:t xml:space="preserve"> </w:t>
      </w:r>
      <w:r>
        <w:t>经主管税务机关认定的其他合理情形。</w:t>
      </w:r>
    </w:p>
    <w:p w14:paraId="7133E206" w14:textId="77777777" w:rsidR="00FA0363" w:rsidRDefault="00FA0363" w:rsidP="00FA0363">
      <w:pPr>
        <w:pStyle w:val="ab"/>
        <w:spacing w:before="62" w:after="62"/>
        <w:ind w:firstLine="482"/>
      </w:pPr>
      <w:r>
        <w:rPr>
          <w:rFonts w:hint="eastAsia"/>
        </w:rPr>
        <w:t>三、对申报的计税依据明显偏低且无正当理由的，可采取以下核定方法：</w:t>
      </w:r>
    </w:p>
    <w:p w14:paraId="6E72FDE8" w14:textId="77777777" w:rsidR="00FA0363" w:rsidRDefault="00FA0363" w:rsidP="00FA0363">
      <w:pPr>
        <w:pStyle w:val="13"/>
      </w:pPr>
      <w:r>
        <w:rPr>
          <w:rFonts w:hint="eastAsia"/>
        </w:rPr>
        <w:t>（一）参照每股净资产或纳税人享有的股权比例所对应的净资产份额核定股权</w:t>
      </w:r>
      <w:r>
        <w:rPr>
          <w:rFonts w:hint="eastAsia"/>
        </w:rPr>
        <w:lastRenderedPageBreak/>
        <w:t>转让收入。</w:t>
      </w:r>
    </w:p>
    <w:p w14:paraId="4C83A5B1" w14:textId="77777777" w:rsidR="00FA0363" w:rsidRDefault="00FA0363" w:rsidP="00FA0363">
      <w:pPr>
        <w:pStyle w:val="13"/>
      </w:pPr>
      <w:r>
        <w:rPr>
          <w:rFonts w:hint="eastAsia"/>
        </w:rPr>
        <w:t>对知识产权、土地使用权、房屋、探矿权、采矿权、股权等合计占资产总额比例达</w:t>
      </w:r>
      <w:r>
        <w:t>50%以上的企业，净资产额须经中介机构评估核实。</w:t>
      </w:r>
    </w:p>
    <w:p w14:paraId="71784D3E" w14:textId="77777777" w:rsidR="00FA0363" w:rsidRDefault="00FA0363" w:rsidP="00FA0363">
      <w:pPr>
        <w:pStyle w:val="13"/>
      </w:pPr>
      <w:r>
        <w:rPr>
          <w:rFonts w:hint="eastAsia"/>
        </w:rPr>
        <w:t>（二）参照相同或类似条件下同</w:t>
      </w:r>
      <w:proofErr w:type="gramStart"/>
      <w:r>
        <w:rPr>
          <w:rFonts w:hint="eastAsia"/>
        </w:rPr>
        <w:t>一</w:t>
      </w:r>
      <w:proofErr w:type="gramEnd"/>
      <w:r>
        <w:rPr>
          <w:rFonts w:hint="eastAsia"/>
        </w:rPr>
        <w:t>企业同一股东或其他股东股权转让价格核定股权转让收入。</w:t>
      </w:r>
    </w:p>
    <w:p w14:paraId="2F382A7A" w14:textId="77777777" w:rsidR="00FA0363" w:rsidRDefault="00FA0363" w:rsidP="00FA0363">
      <w:pPr>
        <w:pStyle w:val="13"/>
      </w:pPr>
      <w:r>
        <w:rPr>
          <w:rFonts w:hint="eastAsia"/>
        </w:rPr>
        <w:t>（三）参照相同或类似条件下同类行业的企业股权转让价格核定股权转让收入。</w:t>
      </w:r>
    </w:p>
    <w:p w14:paraId="18C253FA" w14:textId="77777777" w:rsidR="00FA0363" w:rsidRDefault="00FA0363" w:rsidP="00FA0363">
      <w:pPr>
        <w:pStyle w:val="13"/>
      </w:pPr>
      <w:r>
        <w:rPr>
          <w:rFonts w:hint="eastAsia"/>
        </w:rPr>
        <w:t>（四）纳税人对主管税务机关采取的上述核定方法有异议的，应当提供相关证据，主管税务机关认定属实后，可采取其他合理的核定方法。</w:t>
      </w:r>
    </w:p>
    <w:p w14:paraId="721C667F" w14:textId="77777777" w:rsidR="00FA0363" w:rsidRDefault="00FA0363" w:rsidP="00FA0363">
      <w:pPr>
        <w:pStyle w:val="13"/>
      </w:pPr>
      <w:r>
        <w:rPr>
          <w:rFonts w:hint="eastAsia"/>
        </w:rPr>
        <w:t>四、纳税人再次转让所受让的股权的，股权转让的成本为前次转让的交易价格及买方负担的相关税费。</w:t>
      </w:r>
    </w:p>
    <w:p w14:paraId="46951DAF" w14:textId="77777777" w:rsidR="00FA0363" w:rsidRDefault="00FA0363" w:rsidP="00FA0363">
      <w:pPr>
        <w:pStyle w:val="13"/>
      </w:pPr>
      <w:r>
        <w:rPr>
          <w:rFonts w:hint="eastAsia"/>
        </w:rPr>
        <w:t>各级税务机关应切实加强股权转让所得征收个人所得税的动态税源管理，通过建立</w:t>
      </w:r>
      <w:proofErr w:type="gramStart"/>
      <w:r>
        <w:rPr>
          <w:rFonts w:hint="eastAsia"/>
        </w:rPr>
        <w:t>电子台</w:t>
      </w:r>
      <w:proofErr w:type="gramEnd"/>
      <w:r>
        <w:rPr>
          <w:rFonts w:hint="eastAsia"/>
        </w:rPr>
        <w:t>账，跟踪股权转让的交易价格和税费情况，保证股权交易链条中各环节转让收入和成本的真实性。</w:t>
      </w:r>
    </w:p>
    <w:p w14:paraId="61A08CAD" w14:textId="77777777" w:rsidR="00FA0363" w:rsidRDefault="00FA0363" w:rsidP="00FA0363">
      <w:pPr>
        <w:pStyle w:val="13"/>
      </w:pPr>
      <w:r>
        <w:rPr>
          <w:rFonts w:hint="eastAsia"/>
        </w:rPr>
        <w:t>五、本公告所称股权转让不包括上市公司股份转让。</w:t>
      </w:r>
    </w:p>
    <w:p w14:paraId="6741BB56" w14:textId="77777777" w:rsidR="00FA0363" w:rsidRDefault="00FA0363" w:rsidP="00FA0363">
      <w:pPr>
        <w:pStyle w:val="13"/>
      </w:pPr>
      <w:r>
        <w:rPr>
          <w:rFonts w:hint="eastAsia"/>
        </w:rPr>
        <w:t>六、本公告自发布之日起</w:t>
      </w:r>
      <w:r>
        <w:t>30日后施行。特此公告。</w:t>
      </w:r>
    </w:p>
    <w:p w14:paraId="5FBCC10F" w14:textId="77777777" w:rsidR="00FA0363" w:rsidRDefault="00FA0363" w:rsidP="00FA0363">
      <w:pPr>
        <w:pStyle w:val="13"/>
        <w:jc w:val="right"/>
      </w:pPr>
      <w:r>
        <w:rPr>
          <w:rFonts w:hint="eastAsia"/>
        </w:rPr>
        <w:t>国家税务总局</w:t>
      </w:r>
    </w:p>
    <w:p w14:paraId="67474F16" w14:textId="472CB456" w:rsidR="00FA0363" w:rsidRDefault="00FA0363" w:rsidP="00FA0363">
      <w:pPr>
        <w:pStyle w:val="13"/>
        <w:jc w:val="right"/>
      </w:pPr>
      <w:r>
        <w:rPr>
          <w:rFonts w:hint="eastAsia"/>
        </w:rPr>
        <w:t>二〇一〇年十二月十四日</w:t>
      </w:r>
    </w:p>
    <w:p w14:paraId="190F1000" w14:textId="77777777" w:rsidR="00D02880" w:rsidRDefault="00D02880" w:rsidP="00FA0363">
      <w:pPr>
        <w:pStyle w:val="13"/>
        <w:jc w:val="right"/>
      </w:pPr>
    </w:p>
    <w:p w14:paraId="35B1FBC0" w14:textId="77777777" w:rsidR="00FA0363" w:rsidRDefault="00FA0363" w:rsidP="00FA0363">
      <w:pPr>
        <w:pStyle w:val="21"/>
        <w:spacing w:before="156" w:after="93"/>
      </w:pPr>
      <w:bookmarkStart w:id="316" w:name="_Toc81833549"/>
      <w:r>
        <w:rPr>
          <w:rFonts w:hint="eastAsia"/>
        </w:rPr>
        <w:t>出资业务</w:t>
      </w:r>
      <w:bookmarkEnd w:id="316"/>
    </w:p>
    <w:p w14:paraId="0813B8CA" w14:textId="77777777" w:rsidR="00FA0363" w:rsidRDefault="00FA0363" w:rsidP="00FA0363">
      <w:pPr>
        <w:pStyle w:val="31"/>
        <w:spacing w:before="156" w:after="62"/>
      </w:pPr>
      <w:bookmarkStart w:id="317" w:name="_Toc81833550"/>
      <w:r>
        <w:rPr>
          <w:rFonts w:hint="eastAsia"/>
        </w:rPr>
        <w:t>《公司法》（主席令第</w:t>
      </w:r>
      <w:r>
        <w:t>15号）</w:t>
      </w:r>
      <w:bookmarkEnd w:id="317"/>
    </w:p>
    <w:p w14:paraId="77A4CE28" w14:textId="25CAFA3B" w:rsidR="00FA0363" w:rsidRDefault="00E05BDA" w:rsidP="00FA0363">
      <w:pPr>
        <w:pStyle w:val="13"/>
        <w:ind w:firstLine="482"/>
      </w:pPr>
      <w:r w:rsidRPr="00E05BDA">
        <w:rPr>
          <w:rFonts w:hint="eastAsia"/>
          <w:b/>
          <w:bCs/>
        </w:rPr>
        <w:t xml:space="preserve">第二十七条 </w:t>
      </w:r>
      <w:r w:rsidR="00FA0363">
        <w:t>股东可以用货币出资，也可以用实物、知识产权、土地使用权等可以用货币估价并可以依法转让的非货币财产作价出资；但是，法律、行政法规规定不得作为出资的财产除外。对作为出资的非货币财产应当评估作价，核实财产，不得高估或者低估作价。法律、行政法规对评估作价有规定的，从其规定。</w:t>
      </w:r>
    </w:p>
    <w:p w14:paraId="0885DE41" w14:textId="77777777" w:rsidR="00FA0363" w:rsidRDefault="00FA0363" w:rsidP="00FA0363">
      <w:pPr>
        <w:pStyle w:val="13"/>
        <w:ind w:firstLine="482"/>
      </w:pPr>
      <w:r w:rsidRPr="00D3162B">
        <w:rPr>
          <w:rFonts w:hint="eastAsia"/>
          <w:b/>
          <w:bCs/>
        </w:rPr>
        <w:t>第二百零七条</w:t>
      </w:r>
      <w:r>
        <w:rPr>
          <w:rFonts w:hint="eastAsia"/>
          <w:b/>
          <w:bCs/>
        </w:rPr>
        <w:t xml:space="preserve"> </w:t>
      </w:r>
      <w:r>
        <w:t>承担资产评估、验资或者验证的机构提供虚假材料的，由公司登记机关没收违法所得，处以违法所得一倍以上五倍以下的罚款，并可以由有关主管部门依法责令该机构停业、吊销直接责任人员的资格证书，吊销营业执照。</w:t>
      </w:r>
    </w:p>
    <w:p w14:paraId="12AC11B3" w14:textId="77777777" w:rsidR="00FA0363" w:rsidRDefault="00FA0363" w:rsidP="00FA0363">
      <w:pPr>
        <w:pStyle w:val="13"/>
      </w:pPr>
      <w:r>
        <w:rPr>
          <w:rFonts w:hint="eastAsia"/>
        </w:rPr>
        <w:t>承担资产评估、验资或者验证的机构因过失提供有重大遗漏的报告的，由公司登记机关责令改正，情节较重的，处以所得收入一倍以上五倍以下的罚款，并可以由有关主管部门依法责令该机构停业、吊销直接责任人员的资格证书，吊销营业执照。</w:t>
      </w:r>
    </w:p>
    <w:p w14:paraId="6E2FA856" w14:textId="77777777" w:rsidR="00FA0363" w:rsidRDefault="00FA0363" w:rsidP="00FA0363">
      <w:pPr>
        <w:pStyle w:val="13"/>
      </w:pPr>
      <w:r>
        <w:rPr>
          <w:rFonts w:hint="eastAsia"/>
        </w:rPr>
        <w:t>承担资产评估、验资或者验证的机构因其出具的评估结果、验资或者验证证明不实，</w:t>
      </w:r>
      <w:r>
        <w:t>给公司债权人造成损失的，除能够证明自己没有过错的外，在其评估或者证明不实的金额范围内承担赔偿责任。</w:t>
      </w:r>
    </w:p>
    <w:p w14:paraId="3559E0CE" w14:textId="77777777" w:rsidR="00FA0363" w:rsidRDefault="00FA0363" w:rsidP="00FA0363">
      <w:pPr>
        <w:pStyle w:val="31"/>
        <w:spacing w:before="156" w:after="62"/>
      </w:pPr>
      <w:bookmarkStart w:id="318" w:name="_Toc81833551"/>
      <w:r>
        <w:rPr>
          <w:rFonts w:hint="eastAsia"/>
        </w:rPr>
        <w:lastRenderedPageBreak/>
        <w:t>《中华人民共和国合伙企业法》（中华人民共和国主席令第五十五号）</w:t>
      </w:r>
      <w:bookmarkEnd w:id="318"/>
    </w:p>
    <w:p w14:paraId="54121886" w14:textId="33170F48" w:rsidR="00FA0363" w:rsidRDefault="00E05BDA" w:rsidP="00FA0363">
      <w:pPr>
        <w:pStyle w:val="13"/>
        <w:ind w:firstLine="482"/>
      </w:pPr>
      <w:r w:rsidRPr="00E05BDA">
        <w:rPr>
          <w:rFonts w:hint="eastAsia"/>
          <w:b/>
          <w:bCs/>
        </w:rPr>
        <w:t xml:space="preserve">第十六条 </w:t>
      </w:r>
      <w:r w:rsidR="00FA0363">
        <w:t>合伙人可以用货币、实物、知识产权、土地使用权或者其他财产权利出资，也可以用劳务出资。合伙人以实物、知识产权、土地使用权或者其他财产权利出资，需要评估作价的，可以由全体合伙人协商确定，也可以由全体合伙人委托法定评估机构评估。</w:t>
      </w:r>
    </w:p>
    <w:p w14:paraId="21C7D1ED" w14:textId="77777777" w:rsidR="00FA0363" w:rsidRDefault="00FA0363" w:rsidP="00FA0363">
      <w:pPr>
        <w:pStyle w:val="31"/>
        <w:spacing w:before="156" w:after="62"/>
      </w:pPr>
      <w:bookmarkStart w:id="319" w:name="_Toc81833552"/>
      <w:r>
        <w:rPr>
          <w:rFonts w:hint="eastAsia"/>
        </w:rPr>
        <w:t>《中华人民共和国中外合资经营企业法实施条例》（国务院令第</w:t>
      </w:r>
      <w:r>
        <w:t>311号）</w:t>
      </w:r>
      <w:bookmarkEnd w:id="319"/>
    </w:p>
    <w:p w14:paraId="09CD3E94" w14:textId="5D3A905B" w:rsidR="00FA0363" w:rsidRDefault="00E05BDA" w:rsidP="00FA0363">
      <w:pPr>
        <w:pStyle w:val="13"/>
        <w:ind w:firstLine="482"/>
      </w:pPr>
      <w:r w:rsidRPr="00E05BDA">
        <w:rPr>
          <w:rFonts w:hint="eastAsia"/>
          <w:b/>
          <w:bCs/>
        </w:rPr>
        <w:t xml:space="preserve">第二十二条 </w:t>
      </w:r>
      <w:r w:rsidR="00FA0363">
        <w:t>合营者可以用货币出资，也可以用建筑物、厂房、机器设备或者其他物料、工业产权、专有技术、场地使用权等作价出资。以建筑物、厂房、机器设备或者其他物料、工业产权、专有技术作为出资的，其作价由合营各方按照公平合理的原则协商确定，或者聘请合营各方同意的第三者评定</w:t>
      </w:r>
      <w:r w:rsidR="00DA7F27">
        <w:rPr>
          <w:rFonts w:hint="eastAsia"/>
        </w:rPr>
        <w:t>。</w:t>
      </w:r>
    </w:p>
    <w:p w14:paraId="2AC0C867" w14:textId="77777777" w:rsidR="00DA7F27" w:rsidRDefault="00DA7F27" w:rsidP="00DA7F27">
      <w:pPr>
        <w:pStyle w:val="31"/>
        <w:spacing w:before="156" w:after="62"/>
      </w:pPr>
      <w:bookmarkStart w:id="320" w:name="_Toc81833553"/>
      <w:r>
        <w:rPr>
          <w:rFonts w:hint="eastAsia"/>
        </w:rPr>
        <w:t>《公司注册资本登记管理规定》（国家工商行政管理总局令第</w:t>
      </w:r>
      <w:r>
        <w:t>64号）</w:t>
      </w:r>
      <w:bookmarkEnd w:id="320"/>
    </w:p>
    <w:p w14:paraId="40D4ECFD" w14:textId="77777777" w:rsidR="00DA7F27" w:rsidRDefault="00DA7F27" w:rsidP="00DA7F27">
      <w:pPr>
        <w:pStyle w:val="13"/>
        <w:ind w:firstLine="482"/>
      </w:pPr>
      <w:r w:rsidRPr="004E3EBB">
        <w:rPr>
          <w:rFonts w:hint="eastAsia"/>
          <w:b/>
          <w:bCs/>
        </w:rPr>
        <w:t xml:space="preserve">第五条 </w:t>
      </w:r>
      <w:r>
        <w:t>股东或者发起人可以用货币出资，也可以用实物、知识产权、土地使用权等可以用货币估价并可以依法转让的非货币财产作价出资。</w:t>
      </w:r>
    </w:p>
    <w:p w14:paraId="43946A05" w14:textId="77777777" w:rsidR="00DA7F27" w:rsidRDefault="00DA7F27" w:rsidP="00DA7F27">
      <w:pPr>
        <w:pStyle w:val="13"/>
      </w:pPr>
      <w:r>
        <w:rPr>
          <w:rFonts w:hint="eastAsia"/>
        </w:rPr>
        <w:t>股东或者发起人不得以劳务、信用、自然人姓名、商誉、特许经营权或者设定担保的财产等作价出资。</w:t>
      </w:r>
    </w:p>
    <w:p w14:paraId="2FB41FED" w14:textId="77777777" w:rsidR="00DA7F27" w:rsidRDefault="00DA7F27" w:rsidP="00DA7F27">
      <w:pPr>
        <w:pStyle w:val="13"/>
        <w:ind w:firstLine="482"/>
      </w:pPr>
      <w:r w:rsidRPr="004E3EBB">
        <w:rPr>
          <w:rFonts w:hint="eastAsia"/>
          <w:b/>
          <w:bCs/>
        </w:rPr>
        <w:t xml:space="preserve">第六条 </w:t>
      </w:r>
      <w:r>
        <w:t>股东或者发起人可以以其持有的在中国境内设立的公司（以下称股权所在公司）股权出资。</w:t>
      </w:r>
    </w:p>
    <w:p w14:paraId="2C39A655" w14:textId="77777777" w:rsidR="00DA7F27" w:rsidRDefault="00DA7F27" w:rsidP="00DA7F27">
      <w:pPr>
        <w:pStyle w:val="13"/>
      </w:pPr>
      <w:r>
        <w:rPr>
          <w:rFonts w:hint="eastAsia"/>
        </w:rPr>
        <w:t>以股权出资的，该股权应当权属清楚、权能完整、依法可以转让。具有下列情形的股权不得用作出资：</w:t>
      </w:r>
    </w:p>
    <w:p w14:paraId="3AAEDF8C" w14:textId="77777777" w:rsidR="00DA7F27" w:rsidRDefault="00DA7F27" w:rsidP="00DA7F27">
      <w:pPr>
        <w:pStyle w:val="13"/>
      </w:pPr>
      <w:r>
        <w:rPr>
          <w:rFonts w:hint="eastAsia"/>
        </w:rPr>
        <w:t>（一）已被设立质权；</w:t>
      </w:r>
    </w:p>
    <w:p w14:paraId="61C2E170" w14:textId="77777777" w:rsidR="00DA7F27" w:rsidRDefault="00DA7F27" w:rsidP="00DA7F27">
      <w:pPr>
        <w:pStyle w:val="13"/>
      </w:pPr>
      <w:r>
        <w:rPr>
          <w:rFonts w:hint="eastAsia"/>
        </w:rPr>
        <w:t>（二）股权所在公司章程约定不得转让；</w:t>
      </w:r>
    </w:p>
    <w:p w14:paraId="0C4F6EE4" w14:textId="77777777" w:rsidR="00DA7F27" w:rsidRDefault="00DA7F27" w:rsidP="00DA7F27">
      <w:pPr>
        <w:pStyle w:val="13"/>
      </w:pPr>
      <w:r>
        <w:rPr>
          <w:rFonts w:hint="eastAsia"/>
        </w:rPr>
        <w:t>（三）法律、行政法规或者国务院决定规定，股权所在公司股东转让股权应当报经批准而未经批准；</w:t>
      </w:r>
    </w:p>
    <w:p w14:paraId="5E5DD534" w14:textId="77777777" w:rsidR="00DA7F27" w:rsidRDefault="00DA7F27" w:rsidP="00DA7F27">
      <w:pPr>
        <w:pStyle w:val="13"/>
      </w:pPr>
      <w:r>
        <w:rPr>
          <w:rFonts w:hint="eastAsia"/>
        </w:rPr>
        <w:t>（四）法律、行政法规或者国务院决定规定不得转让的其他情形。</w:t>
      </w:r>
    </w:p>
    <w:p w14:paraId="50C90475" w14:textId="77777777" w:rsidR="00DA7F27" w:rsidRDefault="00DA7F27" w:rsidP="00DA7F27">
      <w:pPr>
        <w:pStyle w:val="13"/>
        <w:ind w:firstLine="482"/>
      </w:pPr>
      <w:r w:rsidRPr="004E3EBB">
        <w:rPr>
          <w:rFonts w:hint="eastAsia"/>
          <w:b/>
          <w:bCs/>
        </w:rPr>
        <w:t xml:space="preserve">第七条 </w:t>
      </w:r>
      <w:r>
        <w:t>债权人可以将其依法享有的对在中国境内设立的公司的债权，转为公司股</w:t>
      </w:r>
      <w:r>
        <w:rPr>
          <w:rFonts w:hint="eastAsia"/>
        </w:rPr>
        <w:t>权。</w:t>
      </w:r>
    </w:p>
    <w:p w14:paraId="4ABCCACE" w14:textId="77777777" w:rsidR="00DA7F27" w:rsidRDefault="00DA7F27" w:rsidP="00DA7F27">
      <w:pPr>
        <w:pStyle w:val="13"/>
      </w:pPr>
      <w:r>
        <w:rPr>
          <w:rFonts w:hint="eastAsia"/>
        </w:rPr>
        <w:t>转为公司股权的债权应当符合下列情形之一：</w:t>
      </w:r>
    </w:p>
    <w:p w14:paraId="47BD138E" w14:textId="77777777" w:rsidR="00DA7F27" w:rsidRDefault="00DA7F27" w:rsidP="00DA7F27">
      <w:pPr>
        <w:pStyle w:val="13"/>
      </w:pPr>
      <w:r>
        <w:rPr>
          <w:rFonts w:hint="eastAsia"/>
        </w:rPr>
        <w:t>（一）债权人已经履行债权所对应的合同义务，且不违反法律、行政法规、国务院决定或者公司章程的禁止性规定；</w:t>
      </w:r>
    </w:p>
    <w:p w14:paraId="3BA41CCE" w14:textId="77777777" w:rsidR="00DA7F27" w:rsidRDefault="00DA7F27" w:rsidP="00DA7F27">
      <w:pPr>
        <w:pStyle w:val="13"/>
      </w:pPr>
      <w:r>
        <w:rPr>
          <w:rFonts w:hint="eastAsia"/>
        </w:rPr>
        <w:t>（二）经人民法院生效裁判或者仲裁机构裁决确认；</w:t>
      </w:r>
    </w:p>
    <w:p w14:paraId="21F1EC18" w14:textId="77777777" w:rsidR="00DA7F27" w:rsidRDefault="00DA7F27" w:rsidP="00DA7F27">
      <w:pPr>
        <w:pStyle w:val="13"/>
      </w:pPr>
      <w:r>
        <w:rPr>
          <w:rFonts w:hint="eastAsia"/>
        </w:rPr>
        <w:t>（三）公司破产重整或者和解期间，列入经人民法院批准的重整计划或者裁定认可的和解协议。</w:t>
      </w:r>
    </w:p>
    <w:p w14:paraId="58FB25B7" w14:textId="77777777" w:rsidR="00DA7F27" w:rsidRDefault="00DA7F27" w:rsidP="00DA7F27">
      <w:pPr>
        <w:pStyle w:val="13"/>
      </w:pPr>
      <w:r>
        <w:rPr>
          <w:rFonts w:hint="eastAsia"/>
        </w:rPr>
        <w:t>用以转为公司股权的债权有两个以上债权人的，债权人对债权应当已经</w:t>
      </w:r>
      <w:proofErr w:type="gramStart"/>
      <w:r>
        <w:rPr>
          <w:rFonts w:hint="eastAsia"/>
        </w:rPr>
        <w:t>作出</w:t>
      </w:r>
      <w:proofErr w:type="gramEnd"/>
      <w:r>
        <w:rPr>
          <w:rFonts w:hint="eastAsia"/>
        </w:rPr>
        <w:t>分</w:t>
      </w:r>
      <w:r>
        <w:rPr>
          <w:rFonts w:hint="eastAsia"/>
        </w:rPr>
        <w:lastRenderedPageBreak/>
        <w:t>割。债权转为公司股权的，公司应当增加注册资本。</w:t>
      </w:r>
    </w:p>
    <w:p w14:paraId="35E2C4E2" w14:textId="79050C87" w:rsidR="00DA7F27" w:rsidRDefault="00DA7F27" w:rsidP="00DA7F27">
      <w:pPr>
        <w:pStyle w:val="13"/>
        <w:ind w:firstLine="482"/>
      </w:pPr>
      <w:r w:rsidRPr="00E05BDA">
        <w:rPr>
          <w:rFonts w:hint="eastAsia"/>
          <w:b/>
          <w:bCs/>
        </w:rPr>
        <w:t xml:space="preserve">第十九条 </w:t>
      </w:r>
      <w:r>
        <w:t>验资机构、资产评估机构出具虚假证明文件的，公司登记机关应当依照</w:t>
      </w:r>
      <w:r>
        <w:rPr>
          <w:rFonts w:hint="eastAsia"/>
        </w:rPr>
        <w:t>《公司登记管理条例》的相关规定予以处理。</w:t>
      </w:r>
    </w:p>
    <w:p w14:paraId="1555F950" w14:textId="77777777" w:rsidR="00DA7F27" w:rsidRDefault="00DA7F27" w:rsidP="00DA7F27">
      <w:pPr>
        <w:pStyle w:val="31"/>
        <w:spacing w:before="156" w:after="62"/>
      </w:pPr>
      <w:bookmarkStart w:id="321" w:name="_Toc81833554"/>
      <w:r>
        <w:rPr>
          <w:rFonts w:hint="eastAsia"/>
        </w:rPr>
        <w:t>《股权出资登记管理办法》（国家工商行政管理总局令第</w:t>
      </w:r>
      <w:r>
        <w:t>39号）</w:t>
      </w:r>
      <w:bookmarkEnd w:id="321"/>
    </w:p>
    <w:p w14:paraId="1E4A2B9C" w14:textId="77777777" w:rsidR="00DA7F27" w:rsidRDefault="00DA7F27" w:rsidP="00DA7F27">
      <w:pPr>
        <w:pStyle w:val="13"/>
        <w:ind w:firstLine="482"/>
      </w:pPr>
      <w:r w:rsidRPr="004E3EBB">
        <w:rPr>
          <w:rFonts w:hint="eastAsia"/>
          <w:b/>
          <w:bCs/>
        </w:rPr>
        <w:t xml:space="preserve">第五条 </w:t>
      </w:r>
      <w:r>
        <w:t>用作出资的股权应当经依法设立的评估机构评估</w:t>
      </w:r>
    </w:p>
    <w:p w14:paraId="1E77C655" w14:textId="77777777" w:rsidR="00DA7F27" w:rsidRDefault="00DA7F27" w:rsidP="00DA7F27">
      <w:pPr>
        <w:pStyle w:val="13"/>
        <w:ind w:firstLine="482"/>
      </w:pPr>
      <w:r w:rsidRPr="004E3EBB">
        <w:rPr>
          <w:rFonts w:hint="eastAsia"/>
          <w:b/>
          <w:bCs/>
        </w:rPr>
        <w:t xml:space="preserve">第八条 </w:t>
      </w:r>
      <w:r>
        <w:t>股权出资实际缴纳后，应当经依法设立的验资机构验资并出具验资证明。验资证明应当包括下列内容：</w:t>
      </w:r>
    </w:p>
    <w:p w14:paraId="7400695E" w14:textId="77777777" w:rsidR="00DA7F27" w:rsidRDefault="00DA7F27" w:rsidP="00DA7F27">
      <w:pPr>
        <w:pStyle w:val="13"/>
      </w:pPr>
      <w:r>
        <w:rPr>
          <w:rFonts w:hint="eastAsia"/>
        </w:rPr>
        <w:t>（一）以有限责任公司股权出资的，相关股权依照本办法第七条规定办理股东变更登记情况；</w:t>
      </w:r>
    </w:p>
    <w:p w14:paraId="4ED727B8" w14:textId="77777777" w:rsidR="00DA7F27" w:rsidRDefault="00DA7F27" w:rsidP="00DA7F27">
      <w:pPr>
        <w:pStyle w:val="13"/>
      </w:pPr>
      <w:r>
        <w:rPr>
          <w:rFonts w:hint="eastAsia"/>
        </w:rPr>
        <w:t>（二）以股份有限公司股权出资的，相关股权依照本办法第七条规定转让给被投资公司情况；</w:t>
      </w:r>
    </w:p>
    <w:p w14:paraId="2F1B9F54" w14:textId="77777777" w:rsidR="00DA7F27" w:rsidRDefault="00DA7F27" w:rsidP="00DA7F27">
      <w:pPr>
        <w:pStyle w:val="13"/>
      </w:pPr>
      <w:r>
        <w:rPr>
          <w:rFonts w:hint="eastAsia"/>
        </w:rPr>
        <w:t>（三）股权的评估情况，包括评估机构的名称、评估报告的文号、评估基准日、评估值等；</w:t>
      </w:r>
    </w:p>
    <w:p w14:paraId="51BC190E" w14:textId="68F63BED" w:rsidR="00DA7F27" w:rsidRDefault="00DA7F27" w:rsidP="00DA7F27">
      <w:pPr>
        <w:pStyle w:val="13"/>
      </w:pPr>
      <w:r>
        <w:rPr>
          <w:rFonts w:hint="eastAsia"/>
        </w:rPr>
        <w:t>（四）股权出资依法须经批准的，其批准情况。</w:t>
      </w:r>
    </w:p>
    <w:p w14:paraId="63C9C9F5" w14:textId="77777777" w:rsidR="00DA7F27" w:rsidRDefault="00DA7F27" w:rsidP="00DA7F27">
      <w:pPr>
        <w:pStyle w:val="31"/>
        <w:spacing w:before="156" w:after="62"/>
      </w:pPr>
      <w:bookmarkStart w:id="322" w:name="_Toc81833555"/>
      <w:r>
        <w:rPr>
          <w:rFonts w:hint="eastAsia"/>
        </w:rPr>
        <w:t>《公司债权转股权登记管理办法》（工商总局令第</w:t>
      </w:r>
      <w:r>
        <w:t>57号）</w:t>
      </w:r>
      <w:bookmarkEnd w:id="322"/>
    </w:p>
    <w:p w14:paraId="4F55AE92" w14:textId="77777777" w:rsidR="00DA7F27" w:rsidRDefault="00DA7F27" w:rsidP="00DA7F27">
      <w:pPr>
        <w:pStyle w:val="13"/>
      </w:pPr>
      <w:r>
        <w:rPr>
          <w:rFonts w:hint="eastAsia"/>
        </w:rPr>
        <w:t>《公司债权转股权登记管理办法》已经中华人民共和国国家工商行政管理总局局务会审议通过，现予公布，自</w:t>
      </w:r>
      <w:r>
        <w:t>2012年1月1日起施行。</w:t>
      </w:r>
    </w:p>
    <w:p w14:paraId="2516E677" w14:textId="77777777" w:rsidR="00DA7F27" w:rsidRDefault="00DA7F27" w:rsidP="00DA7F27">
      <w:pPr>
        <w:pStyle w:val="13"/>
        <w:jc w:val="right"/>
      </w:pPr>
      <w:r>
        <w:rPr>
          <w:rFonts w:hint="eastAsia"/>
        </w:rPr>
        <w:t>局长</w:t>
      </w:r>
      <w:r>
        <w:t>周伯华</w:t>
      </w:r>
    </w:p>
    <w:p w14:paraId="7A942B62" w14:textId="77777777" w:rsidR="00DA7F27" w:rsidRDefault="00DA7F27" w:rsidP="00DA7F27">
      <w:pPr>
        <w:pStyle w:val="13"/>
        <w:jc w:val="right"/>
      </w:pPr>
      <w:r>
        <w:t>二〇一一年十一月二十三日</w:t>
      </w:r>
    </w:p>
    <w:p w14:paraId="21514BBC" w14:textId="77777777" w:rsidR="00DA7F27" w:rsidRDefault="00DA7F27" w:rsidP="00DA7F27">
      <w:pPr>
        <w:pStyle w:val="a9"/>
        <w:spacing w:before="62" w:after="62"/>
      </w:pPr>
      <w:r>
        <w:rPr>
          <w:rFonts w:hint="eastAsia"/>
        </w:rPr>
        <w:t>公司债权转股权登记管理办法</w:t>
      </w:r>
    </w:p>
    <w:p w14:paraId="46D32BF6" w14:textId="77777777" w:rsidR="00DA7F27" w:rsidRDefault="00DA7F27" w:rsidP="00DA7F27">
      <w:pPr>
        <w:pStyle w:val="13"/>
        <w:ind w:firstLine="482"/>
      </w:pPr>
      <w:r w:rsidRPr="004E3EBB">
        <w:rPr>
          <w:rFonts w:hint="eastAsia"/>
          <w:b/>
          <w:bCs/>
        </w:rPr>
        <w:t xml:space="preserve">第一条 </w:t>
      </w:r>
      <w:r>
        <w:t>为规范公司债权转股权登记管理，根据《公司法》、《公司登记管理条例》等法律、行政法规的规定，制定本办法。</w:t>
      </w:r>
    </w:p>
    <w:p w14:paraId="2E4A4CD7" w14:textId="77777777" w:rsidR="00DA7F27" w:rsidRDefault="00DA7F27" w:rsidP="00DA7F27">
      <w:pPr>
        <w:pStyle w:val="13"/>
        <w:ind w:firstLine="482"/>
      </w:pPr>
      <w:r w:rsidRPr="004E3EBB">
        <w:rPr>
          <w:rFonts w:hint="eastAsia"/>
          <w:b/>
          <w:bCs/>
        </w:rPr>
        <w:t xml:space="preserve">第二条 </w:t>
      </w:r>
      <w:r>
        <w:t>本办法所称债权转股权，是指债权人以其依法享有的对在中国境内设立的有限责任公司或者股份有限公司（以下统称公司）的债权，转为公司股权，增加公司注册资本的行为。</w:t>
      </w:r>
    </w:p>
    <w:p w14:paraId="7372B117" w14:textId="77777777" w:rsidR="00DA7F27" w:rsidRDefault="00DA7F27" w:rsidP="00DA7F27">
      <w:pPr>
        <w:pStyle w:val="13"/>
        <w:ind w:firstLine="482"/>
      </w:pPr>
      <w:r w:rsidRPr="004E3EBB">
        <w:rPr>
          <w:rFonts w:hint="eastAsia"/>
          <w:b/>
          <w:bCs/>
        </w:rPr>
        <w:t xml:space="preserve">第三条 </w:t>
      </w:r>
      <w:r>
        <w:t>债权转股权的登记管理，属于下列情形之一的，适用本办法：</w:t>
      </w:r>
    </w:p>
    <w:p w14:paraId="1200A928" w14:textId="77777777" w:rsidR="00DA7F27" w:rsidRDefault="00DA7F27" w:rsidP="00DA7F27">
      <w:pPr>
        <w:pStyle w:val="13"/>
      </w:pPr>
      <w:r>
        <w:rPr>
          <w:rFonts w:hint="eastAsia"/>
        </w:rPr>
        <w:t>（一）公司经营中债权人与公司之间产生的合同之债转为公司股权，债权人已经履行债权所对应的合同义务，且不违反法律、行政法规、国务院决定或者公司章程的禁止性规定；</w:t>
      </w:r>
    </w:p>
    <w:p w14:paraId="3E66294A" w14:textId="77777777" w:rsidR="00DA7F27" w:rsidRDefault="00DA7F27" w:rsidP="00DA7F27">
      <w:pPr>
        <w:pStyle w:val="13"/>
      </w:pPr>
      <w:r>
        <w:rPr>
          <w:rFonts w:hint="eastAsia"/>
        </w:rPr>
        <w:t>（二）人民法院生效裁判确认的债权转为公司股权；</w:t>
      </w:r>
    </w:p>
    <w:p w14:paraId="704AD9D7" w14:textId="77777777" w:rsidR="00DA7F27" w:rsidRDefault="00DA7F27" w:rsidP="00DA7F27">
      <w:pPr>
        <w:pStyle w:val="13"/>
      </w:pPr>
      <w:r>
        <w:rPr>
          <w:rFonts w:hint="eastAsia"/>
        </w:rPr>
        <w:t>（三）公司破产重整或者和解期间，列入经人民法院批准的重整计划或者裁定认可的和解协议的债权转为公司股权。</w:t>
      </w:r>
    </w:p>
    <w:p w14:paraId="029404C5" w14:textId="77777777" w:rsidR="00DA7F27" w:rsidRDefault="00DA7F27" w:rsidP="00DA7F27">
      <w:pPr>
        <w:pStyle w:val="13"/>
        <w:ind w:firstLine="482"/>
      </w:pPr>
      <w:r w:rsidRPr="004E3EBB">
        <w:rPr>
          <w:rFonts w:hint="eastAsia"/>
          <w:b/>
          <w:bCs/>
        </w:rPr>
        <w:t xml:space="preserve">第四条 </w:t>
      </w:r>
      <w:r>
        <w:t>用以转为股权的债权有两个以上债权人的，债权人对债权应当已经</w:t>
      </w:r>
      <w:proofErr w:type="gramStart"/>
      <w:r>
        <w:t>作出</w:t>
      </w:r>
      <w:proofErr w:type="gramEnd"/>
      <w:r>
        <w:lastRenderedPageBreak/>
        <w:t>分</w:t>
      </w:r>
      <w:r>
        <w:rPr>
          <w:rFonts w:hint="eastAsia"/>
        </w:rPr>
        <w:t>割。</w:t>
      </w:r>
    </w:p>
    <w:p w14:paraId="0387B031" w14:textId="77777777" w:rsidR="00DA7F27" w:rsidRDefault="00DA7F27" w:rsidP="00DA7F27">
      <w:pPr>
        <w:pStyle w:val="13"/>
        <w:ind w:firstLine="482"/>
      </w:pPr>
      <w:r w:rsidRPr="004E3EBB">
        <w:rPr>
          <w:rFonts w:hint="eastAsia"/>
          <w:b/>
          <w:bCs/>
        </w:rPr>
        <w:t xml:space="preserve">第五条 </w:t>
      </w:r>
      <w:r>
        <w:t>法律、行政法规或者国务院决定规定债权转股权须经批准的，应当依法经过批准。</w:t>
      </w:r>
    </w:p>
    <w:p w14:paraId="077F0B3E" w14:textId="77777777" w:rsidR="00DA7F27" w:rsidRDefault="00DA7F27" w:rsidP="00DA7F27">
      <w:pPr>
        <w:pStyle w:val="13"/>
        <w:ind w:firstLine="482"/>
      </w:pPr>
      <w:r w:rsidRPr="004E3EBB">
        <w:rPr>
          <w:rFonts w:hint="eastAsia"/>
          <w:b/>
          <w:bCs/>
        </w:rPr>
        <w:t xml:space="preserve">第六条 </w:t>
      </w:r>
      <w:r>
        <w:t>债权转股权作价出资金额与其他非货币财产作价出资金额之和，不得高于公司注册资本的百分之七十。</w:t>
      </w:r>
    </w:p>
    <w:p w14:paraId="2FDEFFEA" w14:textId="77777777" w:rsidR="00DA7F27" w:rsidRDefault="00DA7F27" w:rsidP="00DA7F27">
      <w:pPr>
        <w:pStyle w:val="13"/>
        <w:ind w:firstLine="482"/>
      </w:pPr>
      <w:r w:rsidRPr="004E3EBB">
        <w:rPr>
          <w:rFonts w:hint="eastAsia"/>
          <w:b/>
          <w:bCs/>
        </w:rPr>
        <w:t xml:space="preserve">第七条 </w:t>
      </w:r>
      <w:r>
        <w:t>用以转为股权的债权，应当经依法设立的资产评估机构评估。债权转股权的作价出资金额不得高于该债权的评估值。</w:t>
      </w:r>
    </w:p>
    <w:p w14:paraId="190C79A6" w14:textId="77777777" w:rsidR="00DA7F27" w:rsidRDefault="00DA7F27" w:rsidP="00DA7F27">
      <w:pPr>
        <w:pStyle w:val="13"/>
        <w:ind w:firstLine="482"/>
      </w:pPr>
      <w:r w:rsidRPr="004E3EBB">
        <w:rPr>
          <w:rFonts w:hint="eastAsia"/>
          <w:b/>
          <w:bCs/>
        </w:rPr>
        <w:t xml:space="preserve">第八条 </w:t>
      </w:r>
      <w:r>
        <w:t>债权转股权应当经依法设立的验资机构验资并出具验资证明。验资证明应当包括下列内容：</w:t>
      </w:r>
    </w:p>
    <w:p w14:paraId="0EA38663" w14:textId="77777777" w:rsidR="00DA7F27" w:rsidRDefault="00DA7F27" w:rsidP="00DA7F27">
      <w:pPr>
        <w:pStyle w:val="13"/>
      </w:pPr>
      <w:r>
        <w:rPr>
          <w:rFonts w:hint="eastAsia"/>
        </w:rPr>
        <w:t>（一）债权的基本情况，包括债权发生时间及原因、合同当事人姓名或者名称、合同标的、债权对应义务的履行情况；</w:t>
      </w:r>
    </w:p>
    <w:p w14:paraId="32673678" w14:textId="77777777" w:rsidR="00DA7F27" w:rsidRDefault="00DA7F27" w:rsidP="00DA7F27">
      <w:pPr>
        <w:pStyle w:val="13"/>
      </w:pPr>
      <w:r>
        <w:rPr>
          <w:rFonts w:hint="eastAsia"/>
        </w:rPr>
        <w:t>（二）债权的评估情况，包括评估机构的名称、评估报告的文号、评估基准日、评估值；</w:t>
      </w:r>
    </w:p>
    <w:p w14:paraId="3CA15D68" w14:textId="77777777" w:rsidR="00DA7F27" w:rsidRDefault="00DA7F27" w:rsidP="00DA7F27">
      <w:pPr>
        <w:pStyle w:val="13"/>
      </w:pPr>
      <w:r>
        <w:rPr>
          <w:rFonts w:hint="eastAsia"/>
        </w:rPr>
        <w:t>（三）债权转股权的完成情况，包括已签订债权转股权协议、债权人免除公司对应债务、公司相关会计处理；</w:t>
      </w:r>
    </w:p>
    <w:p w14:paraId="15892105" w14:textId="77777777" w:rsidR="00DA7F27" w:rsidRDefault="00DA7F27" w:rsidP="00DA7F27">
      <w:pPr>
        <w:pStyle w:val="13"/>
      </w:pPr>
      <w:r>
        <w:rPr>
          <w:rFonts w:hint="eastAsia"/>
        </w:rPr>
        <w:t>（四）债权转股权依法须报经批准的，其批准的情况。</w:t>
      </w:r>
    </w:p>
    <w:p w14:paraId="48C4862C" w14:textId="77777777" w:rsidR="00DA7F27" w:rsidRDefault="00DA7F27" w:rsidP="00DA7F27">
      <w:pPr>
        <w:pStyle w:val="13"/>
        <w:ind w:firstLine="482"/>
      </w:pPr>
      <w:r w:rsidRPr="00E05BDA">
        <w:rPr>
          <w:rFonts w:hint="eastAsia"/>
          <w:b/>
          <w:bCs/>
        </w:rPr>
        <w:t xml:space="preserve">第九条 </w:t>
      </w:r>
      <w:r>
        <w:t>债权转为股权的，公司应当依法向公司登记机关申请办理注册资本和实收资本变更登记。涉及公司其他登记事项变更的，公司应当一并申请办理变更登记。</w:t>
      </w:r>
    </w:p>
    <w:p w14:paraId="365C1928" w14:textId="77777777" w:rsidR="00DA7F27" w:rsidRDefault="00DA7F27" w:rsidP="00DA7F27">
      <w:pPr>
        <w:pStyle w:val="13"/>
        <w:ind w:firstLine="482"/>
      </w:pPr>
      <w:r w:rsidRPr="00E05BDA">
        <w:rPr>
          <w:rFonts w:hint="eastAsia"/>
          <w:b/>
          <w:bCs/>
        </w:rPr>
        <w:t xml:space="preserve">第十条 </w:t>
      </w:r>
      <w:r>
        <w:t>公司申请变更登记，除按照《公司登记管理条例》和国家工商行政管理总局有关企业登记提交材料的规定执行外，还应当分别提交以下材料：</w:t>
      </w:r>
    </w:p>
    <w:p w14:paraId="063DDED7" w14:textId="77777777" w:rsidR="00DA7F27" w:rsidRDefault="00DA7F27" w:rsidP="00DA7F27">
      <w:pPr>
        <w:pStyle w:val="13"/>
      </w:pPr>
      <w:r>
        <w:rPr>
          <w:rFonts w:hint="eastAsia"/>
        </w:rPr>
        <w:t>（一）属于本办法第三条第（一）项规定情形的，提交债权人和公司签署的债权转股权承诺书，双方应当对用以转为股权的债权符合该项规定</w:t>
      </w:r>
      <w:proofErr w:type="gramStart"/>
      <w:r>
        <w:rPr>
          <w:rFonts w:hint="eastAsia"/>
        </w:rPr>
        <w:t>作出</w:t>
      </w:r>
      <w:proofErr w:type="gramEnd"/>
      <w:r>
        <w:rPr>
          <w:rFonts w:hint="eastAsia"/>
        </w:rPr>
        <w:t>承诺；</w:t>
      </w:r>
    </w:p>
    <w:p w14:paraId="0E9A8047" w14:textId="77777777" w:rsidR="00DA7F27" w:rsidRDefault="00DA7F27" w:rsidP="00DA7F27">
      <w:pPr>
        <w:pStyle w:val="13"/>
      </w:pPr>
      <w:r>
        <w:rPr>
          <w:rFonts w:hint="eastAsia"/>
        </w:rPr>
        <w:t>（二）属于本办法第三条第（二）项规定情形的，提交人民法院的裁判文书；</w:t>
      </w:r>
    </w:p>
    <w:p w14:paraId="5837D0AD" w14:textId="77777777" w:rsidR="00DA7F27" w:rsidRDefault="00DA7F27" w:rsidP="00DA7F27">
      <w:pPr>
        <w:pStyle w:val="13"/>
      </w:pPr>
      <w:r>
        <w:rPr>
          <w:rFonts w:hint="eastAsia"/>
        </w:rPr>
        <w:t>（三）属于本办法第三条第（三）项规定情形的，提交经人民法院批准的重整计划或者裁定认可的和解协议。</w:t>
      </w:r>
    </w:p>
    <w:p w14:paraId="704D4F1E" w14:textId="77777777" w:rsidR="00DA7F27" w:rsidRDefault="00DA7F27" w:rsidP="00DA7F27">
      <w:pPr>
        <w:pStyle w:val="13"/>
      </w:pPr>
      <w:r>
        <w:rPr>
          <w:rFonts w:hint="eastAsia"/>
        </w:rPr>
        <w:t>公司提交的股东（大）会决议应当确认债权作价出资金额并符合《公司法》和公司章程的规定。</w:t>
      </w:r>
    </w:p>
    <w:p w14:paraId="60E11CAB" w14:textId="77777777" w:rsidR="00DA7F27" w:rsidRDefault="00DA7F27" w:rsidP="00DA7F27">
      <w:pPr>
        <w:pStyle w:val="13"/>
        <w:ind w:firstLine="482"/>
      </w:pPr>
      <w:r w:rsidRPr="00E05BDA">
        <w:rPr>
          <w:rFonts w:hint="eastAsia"/>
          <w:b/>
          <w:bCs/>
        </w:rPr>
        <w:t xml:space="preserve">第十一条 </w:t>
      </w:r>
      <w:r>
        <w:t>公司登记机关应当将债权转股权对应出资的出资方式登记为“债权转股权出资”。</w:t>
      </w:r>
    </w:p>
    <w:p w14:paraId="3715C62E" w14:textId="77777777" w:rsidR="00DA7F27" w:rsidRDefault="00DA7F27" w:rsidP="00DA7F27">
      <w:pPr>
        <w:pStyle w:val="13"/>
        <w:ind w:firstLine="482"/>
      </w:pPr>
      <w:r w:rsidRPr="00E05BDA">
        <w:rPr>
          <w:rFonts w:hint="eastAsia"/>
          <w:b/>
          <w:bCs/>
        </w:rPr>
        <w:t xml:space="preserve">第十二条 </w:t>
      </w:r>
      <w:r>
        <w:t>公司登记机关及其工作人员办理债权转股权登记违反法律法规规定的，对直接负责的主管人员和其他责任人员，依照有关规定追究责任。</w:t>
      </w:r>
    </w:p>
    <w:p w14:paraId="5960A86D" w14:textId="77777777" w:rsidR="00DA7F27" w:rsidRDefault="00DA7F27" w:rsidP="00DA7F27">
      <w:pPr>
        <w:pStyle w:val="13"/>
        <w:ind w:firstLine="482"/>
      </w:pPr>
      <w:r w:rsidRPr="00E05BDA">
        <w:rPr>
          <w:rFonts w:hint="eastAsia"/>
          <w:b/>
          <w:bCs/>
        </w:rPr>
        <w:t xml:space="preserve">第十三条 </w:t>
      </w:r>
      <w:r>
        <w:t>债权人、公司以及承担评估、验资的机构违反《公司法》、《公司登记管理条例》以及本办法规定的，公司登记机关依照《公司法》、《公司登记管理条</w:t>
      </w:r>
      <w:r>
        <w:rPr>
          <w:rFonts w:hint="eastAsia"/>
        </w:rPr>
        <w:t>例》等有关规定处罚。</w:t>
      </w:r>
    </w:p>
    <w:p w14:paraId="6C2A5601" w14:textId="77777777" w:rsidR="00DA7F27" w:rsidRDefault="00DA7F27" w:rsidP="00DA7F27">
      <w:pPr>
        <w:pStyle w:val="13"/>
        <w:ind w:firstLine="482"/>
      </w:pPr>
      <w:r w:rsidRPr="00E05BDA">
        <w:rPr>
          <w:rFonts w:hint="eastAsia"/>
          <w:b/>
          <w:bCs/>
        </w:rPr>
        <w:lastRenderedPageBreak/>
        <w:t xml:space="preserve">第十四条 </w:t>
      </w:r>
      <w:r>
        <w:t>债权转股权的公司登记信息，公司登记机关依法予以公开。</w:t>
      </w:r>
    </w:p>
    <w:p w14:paraId="2F326099" w14:textId="77777777" w:rsidR="00DA7F27" w:rsidRDefault="00DA7F27" w:rsidP="00DA7F27">
      <w:pPr>
        <w:pStyle w:val="13"/>
        <w:ind w:firstLine="482"/>
      </w:pPr>
      <w:r w:rsidRPr="00E05BDA">
        <w:rPr>
          <w:rFonts w:hint="eastAsia"/>
          <w:b/>
          <w:bCs/>
        </w:rPr>
        <w:t xml:space="preserve">第十五条 </w:t>
      </w:r>
      <w:r>
        <w:t>对下列违法行为的行政处罚结果，公司登记机关应当向社会公开：</w:t>
      </w:r>
    </w:p>
    <w:p w14:paraId="3AB0875A" w14:textId="77777777" w:rsidR="00DA7F27" w:rsidRDefault="00DA7F27" w:rsidP="00DA7F27">
      <w:pPr>
        <w:pStyle w:val="13"/>
      </w:pPr>
      <w:r>
        <w:rPr>
          <w:rFonts w:hint="eastAsia"/>
        </w:rPr>
        <w:t>（一）债权人、公司债权转股权登记的违法行为；</w:t>
      </w:r>
    </w:p>
    <w:p w14:paraId="21456343" w14:textId="77777777" w:rsidR="00DA7F27" w:rsidRDefault="00DA7F27" w:rsidP="00DA7F27">
      <w:pPr>
        <w:pStyle w:val="13"/>
      </w:pPr>
      <w:r>
        <w:rPr>
          <w:rFonts w:hint="eastAsia"/>
        </w:rPr>
        <w:t>（二）承担评估、验资的机构因债权转股权登记的违法行为。</w:t>
      </w:r>
    </w:p>
    <w:p w14:paraId="7DFDB377" w14:textId="77777777" w:rsidR="00DA7F27" w:rsidRDefault="00DA7F27" w:rsidP="00DA7F27">
      <w:pPr>
        <w:pStyle w:val="13"/>
      </w:pPr>
      <w:r>
        <w:rPr>
          <w:rFonts w:hint="eastAsia"/>
        </w:rPr>
        <w:t>前款受到行政处罚的承担评估、验资的机构名单，公司登记机关予以公示。</w:t>
      </w:r>
    </w:p>
    <w:p w14:paraId="08DAC9EE" w14:textId="77777777" w:rsidR="00DA7F27" w:rsidRDefault="00DA7F27" w:rsidP="00DA7F27">
      <w:pPr>
        <w:pStyle w:val="13"/>
        <w:ind w:firstLine="482"/>
      </w:pPr>
      <w:r w:rsidRPr="00E05BDA">
        <w:rPr>
          <w:rFonts w:hint="eastAsia"/>
          <w:b/>
          <w:bCs/>
        </w:rPr>
        <w:t xml:space="preserve">第十六条 </w:t>
      </w:r>
      <w:r>
        <w:t>对涉及债权转股权违法行为的债权人、公司以及承担验资、评估的机构等，工商行政管理机关应当及时予以记录，实施企业信用分类监管。</w:t>
      </w:r>
    </w:p>
    <w:p w14:paraId="4C815FF0" w14:textId="77777777" w:rsidR="00DA7F27" w:rsidRDefault="00DA7F27" w:rsidP="00DA7F27">
      <w:pPr>
        <w:pStyle w:val="13"/>
        <w:ind w:firstLine="482"/>
      </w:pPr>
      <w:r w:rsidRPr="00E05BDA">
        <w:rPr>
          <w:rFonts w:hint="eastAsia"/>
          <w:b/>
          <w:bCs/>
        </w:rPr>
        <w:t xml:space="preserve">第十七条 </w:t>
      </w:r>
      <w:r>
        <w:t>本办法规定事项，法律、行政法规或者国务院决定另有规定的，从其规</w:t>
      </w:r>
      <w:r>
        <w:rPr>
          <w:rFonts w:hint="eastAsia"/>
        </w:rPr>
        <w:t>定。</w:t>
      </w:r>
    </w:p>
    <w:p w14:paraId="1A4A6809" w14:textId="77777777" w:rsidR="00DA7F27" w:rsidRDefault="00DA7F27" w:rsidP="00DA7F27">
      <w:pPr>
        <w:pStyle w:val="13"/>
        <w:ind w:firstLine="482"/>
      </w:pPr>
      <w:r w:rsidRPr="00E05BDA">
        <w:rPr>
          <w:rFonts w:hint="eastAsia"/>
          <w:b/>
          <w:bCs/>
        </w:rPr>
        <w:t xml:space="preserve">第十八条 </w:t>
      </w:r>
      <w:r>
        <w:t>非公司企业法人改制为公司办理变更登记，涉及债权转为股权的，参照本办法执行。涉及国有资产管理的，按照有关规定办理。</w:t>
      </w:r>
    </w:p>
    <w:p w14:paraId="3385DFB0" w14:textId="4C2ED5EA" w:rsidR="00DA7F27" w:rsidRDefault="00DA7F27" w:rsidP="00DA7F27">
      <w:pPr>
        <w:pStyle w:val="13"/>
        <w:ind w:firstLine="482"/>
      </w:pPr>
      <w:r w:rsidRPr="00E05BDA">
        <w:rPr>
          <w:rFonts w:hint="eastAsia"/>
          <w:b/>
          <w:bCs/>
        </w:rPr>
        <w:t xml:space="preserve">第十九条 </w:t>
      </w:r>
      <w:r>
        <w:t>本办法自2012年1月1日起实施。</w:t>
      </w:r>
    </w:p>
    <w:p w14:paraId="6A401402" w14:textId="77777777" w:rsidR="00DA7F27" w:rsidRDefault="00DA7F27" w:rsidP="00DA7F27">
      <w:pPr>
        <w:pStyle w:val="31"/>
        <w:spacing w:before="156" w:after="62"/>
      </w:pPr>
      <w:bookmarkStart w:id="323" w:name="_Toc81833556"/>
      <w:r>
        <w:rPr>
          <w:rFonts w:hint="eastAsia"/>
        </w:rPr>
        <w:t>《关于进一步做好债转股企业资产评估工作的通知》（财企〔</w:t>
      </w:r>
      <w:r>
        <w:t>2000〕734号）</w:t>
      </w:r>
      <w:bookmarkEnd w:id="323"/>
    </w:p>
    <w:p w14:paraId="374C70EF" w14:textId="77777777" w:rsidR="00DA7F27" w:rsidRDefault="00DA7F27" w:rsidP="00DA7F27">
      <w:pPr>
        <w:pStyle w:val="13"/>
        <w:jc w:val="center"/>
      </w:pPr>
      <w:r>
        <w:rPr>
          <w:rFonts w:hint="eastAsia"/>
        </w:rPr>
        <w:t>颁布时间：</w:t>
      </w:r>
      <w:r>
        <w:t>2000-12-12发文单位：财政部</w:t>
      </w:r>
    </w:p>
    <w:p w14:paraId="0A95635C" w14:textId="77777777" w:rsidR="00DA7F27" w:rsidRDefault="00DA7F27" w:rsidP="00DA7F27">
      <w:pPr>
        <w:pStyle w:val="13"/>
      </w:pPr>
      <w:r>
        <w:rPr>
          <w:rFonts w:hint="eastAsia"/>
        </w:rPr>
        <w:t>各省、自治区、直辖市、计划单列市财政厅（局）、国有资产管理办公室，国务院有关部委，中央企业集团，中国人民解放军总后勤部，新疆生产建设兵团：</w:t>
      </w:r>
    </w:p>
    <w:p w14:paraId="20116E6E" w14:textId="77777777" w:rsidR="00DA7F27" w:rsidRDefault="00DA7F27" w:rsidP="00DA7F27">
      <w:pPr>
        <w:pStyle w:val="13"/>
      </w:pPr>
      <w:r>
        <w:rPr>
          <w:rFonts w:hint="eastAsia"/>
        </w:rPr>
        <w:t>对部分企业实施债权转股权是党中央、国务院为推动国有企业扭亏脱困，防范和化解金融风险而采取的一项重要举措。资产评估是债转股工作中的重要环节，为进一步推动债转股工作的顺利进行，规范企业债转</w:t>
      </w:r>
      <w:proofErr w:type="gramStart"/>
      <w:r>
        <w:rPr>
          <w:rFonts w:hint="eastAsia"/>
        </w:rPr>
        <w:t>股项目</w:t>
      </w:r>
      <w:proofErr w:type="gramEnd"/>
      <w:r>
        <w:rPr>
          <w:rFonts w:hint="eastAsia"/>
        </w:rPr>
        <w:t>中的评估工作，根据国务院有关债转股工作的要求和现行资产评估的规定，现就进一步做好企业债转股评估工作通知如下：</w:t>
      </w:r>
    </w:p>
    <w:p w14:paraId="57C639AB" w14:textId="77777777" w:rsidR="00DA7F27" w:rsidRDefault="00DA7F27" w:rsidP="00DA7F27">
      <w:pPr>
        <w:pStyle w:val="ab"/>
        <w:spacing w:before="62" w:after="62"/>
        <w:ind w:firstLine="482"/>
      </w:pPr>
      <w:r>
        <w:rPr>
          <w:rFonts w:hint="eastAsia"/>
        </w:rPr>
        <w:t>一、要高度重视债转股企业的评估工作</w:t>
      </w:r>
    </w:p>
    <w:p w14:paraId="6A9F2870" w14:textId="77777777" w:rsidR="00DA7F27" w:rsidRDefault="00DA7F27" w:rsidP="00DA7F27">
      <w:pPr>
        <w:pStyle w:val="13"/>
      </w:pPr>
      <w:r>
        <w:t>1、对实施债转股的企业进行资产评估，是核实企业实有资产价值，确定出资各方出资金额和比例，依法设立公司的重要基础工作。实施债转股的企业要高度重视资产评估工作，明确评估工作范围，认真做好资产清查等各项准备工作，应及时向评估机构提供相关的工作资料；评估机构应尽早开展工作，以保证债转股工作的顺利进行。</w:t>
      </w:r>
    </w:p>
    <w:p w14:paraId="76DF504A" w14:textId="77777777" w:rsidR="00DA7F27" w:rsidRDefault="00DA7F27" w:rsidP="00DA7F27">
      <w:pPr>
        <w:pStyle w:val="13"/>
      </w:pPr>
      <w:r>
        <w:t>2、企业实施债转股并依法设立公司所涉及的部门单位较多，各相关单位应依照债转股工作的总体要求和现行资产评估的规定，妥善处理企业资产评估工作的相关问</w:t>
      </w:r>
      <w:r>
        <w:rPr>
          <w:rFonts w:hint="eastAsia"/>
        </w:rPr>
        <w:t>题，消除各种干扰，使评估机构独立、客观、公正地开展工作。</w:t>
      </w:r>
    </w:p>
    <w:p w14:paraId="70180D88" w14:textId="77777777" w:rsidR="00DA7F27" w:rsidRDefault="00DA7F27" w:rsidP="00DA7F27">
      <w:pPr>
        <w:pStyle w:val="13"/>
      </w:pPr>
      <w:r>
        <w:t>3、债转股企业评估项目时效性较强，评估机构要结合企业实施债转股的特点，制订切实可行的评估方案，组织必要的人力，抓紧时间，独立、客观、公正地开展各项工作，以确保高效、优质地完成评估工作。</w:t>
      </w:r>
    </w:p>
    <w:p w14:paraId="65CC14E9" w14:textId="77777777" w:rsidR="00DA7F27" w:rsidRDefault="00DA7F27" w:rsidP="00DA7F27">
      <w:pPr>
        <w:pStyle w:val="ab"/>
        <w:spacing w:before="62" w:after="62"/>
        <w:ind w:firstLine="482"/>
      </w:pPr>
      <w:r>
        <w:rPr>
          <w:rFonts w:hint="eastAsia"/>
        </w:rPr>
        <w:lastRenderedPageBreak/>
        <w:t>二、简化工作程序，优先受理债转股企业的评估项目</w:t>
      </w:r>
    </w:p>
    <w:p w14:paraId="614B2E3F" w14:textId="77777777" w:rsidR="00DA7F27" w:rsidRDefault="00DA7F27" w:rsidP="00DA7F27">
      <w:pPr>
        <w:pStyle w:val="13"/>
      </w:pPr>
      <w:r>
        <w:rPr>
          <w:rFonts w:hint="eastAsia"/>
        </w:rPr>
        <w:t>债转股工作是当前国家为推动国有企业脱困和发展而采取的一项重要措施，各级财政部门（国资部门，下同）</w:t>
      </w:r>
      <w:proofErr w:type="gramStart"/>
      <w:r>
        <w:rPr>
          <w:rFonts w:hint="eastAsia"/>
        </w:rPr>
        <w:t>要对债转</w:t>
      </w:r>
      <w:proofErr w:type="gramEnd"/>
      <w:r>
        <w:rPr>
          <w:rFonts w:hint="eastAsia"/>
        </w:rPr>
        <w:t>股企业的评估工作及时给予指导和帮助。要根据债转股企业评估工作的特点，进一步简化工作程序：</w:t>
      </w:r>
    </w:p>
    <w:p w14:paraId="1C3A0D8A" w14:textId="77777777" w:rsidR="00DA7F27" w:rsidRDefault="00DA7F27" w:rsidP="00DA7F27">
      <w:pPr>
        <w:pStyle w:val="13"/>
      </w:pPr>
      <w:r>
        <w:t>1、立项采取备案制。企业债转股方案经批准后按照隶属关系向同级财政部门申请立项备案，备案申报材料应包括加盖企业公章的立项申请表、债转股协议、评估基准日的资产负债表、企业法人营业执照、企业国有资产产权登记证。</w:t>
      </w:r>
    </w:p>
    <w:p w14:paraId="7A263B20" w14:textId="77777777" w:rsidR="00DA7F27" w:rsidRDefault="00DA7F27" w:rsidP="00DA7F27">
      <w:pPr>
        <w:pStyle w:val="13"/>
      </w:pPr>
      <w:r>
        <w:t>2、优先受理债转股企业评估项目。各级财政部门对企业报送的债转股评估项目要优先审核。地方企业经省级财政部门初审后报财政部审核，中央企业直接报送财政部审核。对符合现行资产评估管理规定、报告内容及格式规范的评估项目，省级财政部门和财政部应分别在15个工作日内完成审核批复工作。</w:t>
      </w:r>
    </w:p>
    <w:p w14:paraId="27B72C38" w14:textId="77777777" w:rsidR="00DA7F27" w:rsidRDefault="00DA7F27" w:rsidP="00DA7F27">
      <w:pPr>
        <w:pStyle w:val="ab"/>
        <w:spacing w:before="62" w:after="62"/>
        <w:ind w:firstLine="482"/>
      </w:pPr>
      <w:r>
        <w:rPr>
          <w:rFonts w:hint="eastAsia"/>
        </w:rPr>
        <w:t>三、债转股评估项目部分资产的评估原则</w:t>
      </w:r>
    </w:p>
    <w:p w14:paraId="392821E8" w14:textId="77777777" w:rsidR="00DA7F27" w:rsidRDefault="00DA7F27" w:rsidP="00DA7F27">
      <w:pPr>
        <w:pStyle w:val="13"/>
      </w:pPr>
      <w:r>
        <w:rPr>
          <w:rFonts w:hint="eastAsia"/>
        </w:rPr>
        <w:t>在债转股评估中，涉及股权回购、股权变动事项资产评估机构对部分资产科目可按下列原则处理：</w:t>
      </w:r>
    </w:p>
    <w:p w14:paraId="53A998A6" w14:textId="77777777" w:rsidR="00DA7F27" w:rsidRDefault="00DA7F27" w:rsidP="00DA7F27">
      <w:pPr>
        <w:pStyle w:val="13"/>
      </w:pPr>
      <w:r>
        <w:t>1、关于企业债权类资产的评估。企业与资产评估机构须对企业的应收账款、其他应收款等债权类资产进行认真的清查核实，在此基础上，评估机构可根据其账龄、性质、债务人状况等综合分析判断回收的可能性，相应确定评估值。企业在进行财务处理时应按现行财务制度执行。</w:t>
      </w:r>
    </w:p>
    <w:p w14:paraId="2C51EA34" w14:textId="77777777" w:rsidR="00DA7F27" w:rsidRDefault="00DA7F27" w:rsidP="00DA7F27">
      <w:pPr>
        <w:pStyle w:val="13"/>
      </w:pPr>
      <w:r>
        <w:t>2、企业和评估机构须对实物资产（包括存货）进行认真的盘查核对，对于盘亏盘盈和损失报废资产，企业要对具体原因、数量和价值</w:t>
      </w:r>
      <w:proofErr w:type="gramStart"/>
      <w:r>
        <w:t>作出</w:t>
      </w:r>
      <w:proofErr w:type="gramEnd"/>
      <w:r>
        <w:t>专项说明并出具有效文件，评估机构对其真实性和可靠性</w:t>
      </w:r>
      <w:proofErr w:type="gramStart"/>
      <w:r>
        <w:t>作出</w:t>
      </w:r>
      <w:proofErr w:type="gramEnd"/>
      <w:r>
        <w:t>判断后，确定评估值。</w:t>
      </w:r>
    </w:p>
    <w:p w14:paraId="5D9294D2" w14:textId="77777777" w:rsidR="00DA7F27" w:rsidRDefault="00DA7F27" w:rsidP="00DA7F27">
      <w:pPr>
        <w:pStyle w:val="13"/>
      </w:pPr>
      <w:r>
        <w:t>3、对于长期投资应逐项进行评估。评估确有难度的，应在评估前由企业征得资产管理公司同意后，由评估机构按账面值列示。涉及对上市公司的长期投资，可按评估基准日经审计的上市公司净资产值为基础计算。</w:t>
      </w:r>
    </w:p>
    <w:p w14:paraId="5B642483" w14:textId="77777777" w:rsidR="00DA7F27" w:rsidRDefault="00DA7F27" w:rsidP="00DA7F27">
      <w:pPr>
        <w:pStyle w:val="13"/>
      </w:pPr>
      <w:r>
        <w:t>4、评估机构在资产清查核实中发现的应摊未摊的待摊费用、递延资产及其它潜亏挂账或核算错误，应提请企业进行调整。对于企业已聘请审计机构对评估基准日会计报表进行审计的，评估机构应充分关注审计报告及其所发表意见的会计报表和附注的内容，并将审计报告作为评估报告的备查文件。</w:t>
      </w:r>
    </w:p>
    <w:p w14:paraId="2BD9A8D5" w14:textId="77777777" w:rsidR="00DA7F27" w:rsidRDefault="00DA7F27" w:rsidP="00DA7F27">
      <w:pPr>
        <w:pStyle w:val="13"/>
      </w:pPr>
      <w:r>
        <w:t>5、企业由于历史原因未办理房产证明的，应办理房产证，明确产权归属；不能及时办理的，应说明原因并由有关单位出具有效的证明文件。</w:t>
      </w:r>
    </w:p>
    <w:p w14:paraId="582EB4CA" w14:textId="77777777" w:rsidR="00DA7F27" w:rsidRDefault="00DA7F27" w:rsidP="00DA7F27">
      <w:pPr>
        <w:pStyle w:val="13"/>
      </w:pPr>
      <w:r>
        <w:t>6、对已出售住房周转金余额，可依据《关于企业住房制度改革有关财务处理问题的通知》（财企〔2000〕295号）处理。</w:t>
      </w:r>
    </w:p>
    <w:p w14:paraId="12DA992E" w14:textId="77777777" w:rsidR="00DA7F27" w:rsidRDefault="00DA7F27" w:rsidP="00DA7F27">
      <w:pPr>
        <w:pStyle w:val="13"/>
      </w:pPr>
      <w:r>
        <w:t>7、对上述事项的评估处理情况，评估机构应在评估报告特别事项中予以充分披</w:t>
      </w:r>
      <w:r>
        <w:rPr>
          <w:rFonts w:hint="eastAsia"/>
        </w:rPr>
        <w:t>露。</w:t>
      </w:r>
    </w:p>
    <w:p w14:paraId="67332D7C" w14:textId="6F228C1A" w:rsidR="00DA7F27" w:rsidRDefault="00DA7F27" w:rsidP="00DA7F27">
      <w:pPr>
        <w:pStyle w:val="13"/>
      </w:pPr>
      <w:r>
        <w:rPr>
          <w:rFonts w:hint="eastAsia"/>
        </w:rPr>
        <w:lastRenderedPageBreak/>
        <w:t>企业债转股评估是一项政策性很强的工作，各省级财政部门、企业和评估机构必须予以充分的重视，积极稳妥、优质高效地做好债转股评估工作。</w:t>
      </w:r>
    </w:p>
    <w:p w14:paraId="24FA4625" w14:textId="29761284" w:rsidR="00DA7F27" w:rsidRDefault="00DA7F27" w:rsidP="00DA7F27">
      <w:pPr>
        <w:pStyle w:val="31"/>
        <w:spacing w:before="156" w:after="62"/>
      </w:pPr>
      <w:bookmarkStart w:id="324" w:name="_Toc81833557"/>
      <w:r>
        <w:rPr>
          <w:rFonts w:hint="eastAsia"/>
        </w:rPr>
        <w:t>《关于规范本市内资公司股权出资登记的试行意见》（</w:t>
      </w:r>
      <w:proofErr w:type="gramStart"/>
      <w:r>
        <w:rPr>
          <w:rFonts w:hint="eastAsia"/>
        </w:rPr>
        <w:t>沪工商</w:t>
      </w:r>
      <w:proofErr w:type="gramEnd"/>
      <w:r>
        <w:rPr>
          <w:rFonts w:hint="eastAsia"/>
        </w:rPr>
        <w:t>注〔</w:t>
      </w:r>
      <w:r>
        <w:t>2007〕217号）</w:t>
      </w:r>
      <w:bookmarkEnd w:id="324"/>
    </w:p>
    <w:p w14:paraId="3061D0A9" w14:textId="77777777" w:rsidR="00DA7F27" w:rsidRDefault="00DA7F27" w:rsidP="00DA7F27">
      <w:pPr>
        <w:pStyle w:val="13"/>
        <w:ind w:firstLine="482"/>
      </w:pPr>
      <w:r w:rsidRPr="004E3EBB">
        <w:rPr>
          <w:rFonts w:hint="eastAsia"/>
          <w:b/>
          <w:bCs/>
        </w:rPr>
        <w:t xml:space="preserve">第四条 </w:t>
      </w:r>
      <w:r>
        <w:t>以股权出资的，应当符合以下条件：</w:t>
      </w:r>
    </w:p>
    <w:p w14:paraId="338EA75B" w14:textId="77777777" w:rsidR="00DA7F27" w:rsidRDefault="00DA7F27" w:rsidP="00DA7F27">
      <w:pPr>
        <w:pStyle w:val="13"/>
      </w:pPr>
      <w:r>
        <w:rPr>
          <w:rFonts w:hint="eastAsia"/>
        </w:rPr>
        <w:t>（一）投资人用于出资的股权权属清晰、权能完整，且已足额缴纳；</w:t>
      </w:r>
    </w:p>
    <w:p w14:paraId="02B71E3C" w14:textId="77777777" w:rsidR="00DA7F27" w:rsidRDefault="00DA7F27" w:rsidP="00DA7F27">
      <w:pPr>
        <w:pStyle w:val="13"/>
      </w:pPr>
      <w:r>
        <w:rPr>
          <w:rFonts w:hint="eastAsia"/>
        </w:rPr>
        <w:t>（二）用于出资的股权应当由法定的评估机构评估作价；</w:t>
      </w:r>
    </w:p>
    <w:p w14:paraId="460FA4E9" w14:textId="77777777" w:rsidR="00DA7F27" w:rsidRDefault="00DA7F27" w:rsidP="00DA7F27">
      <w:pPr>
        <w:pStyle w:val="13"/>
      </w:pPr>
      <w:r>
        <w:rPr>
          <w:rFonts w:hint="eastAsia"/>
        </w:rPr>
        <w:t>（三）股权出资额不得高于被投资公司注册资本的</w:t>
      </w:r>
      <w:r>
        <w:t>70%；</w:t>
      </w:r>
    </w:p>
    <w:p w14:paraId="61365291" w14:textId="77777777" w:rsidR="00DA7F27" w:rsidRDefault="00DA7F27" w:rsidP="00DA7F27">
      <w:pPr>
        <w:pStyle w:val="13"/>
      </w:pPr>
      <w:r>
        <w:rPr>
          <w:rFonts w:hint="eastAsia"/>
        </w:rPr>
        <w:t>（四）以有限责任公司股权出资的，应当</w:t>
      </w:r>
      <w:proofErr w:type="gramStart"/>
      <w:r>
        <w:rPr>
          <w:rFonts w:hint="eastAsia"/>
        </w:rPr>
        <w:t>经目标</w:t>
      </w:r>
      <w:proofErr w:type="gramEnd"/>
      <w:r>
        <w:rPr>
          <w:rFonts w:hint="eastAsia"/>
        </w:rPr>
        <w:t>企业的其他股东过半数同意，但公司章程另有规定的除外。</w:t>
      </w:r>
    </w:p>
    <w:p w14:paraId="7C0A5FEF" w14:textId="77777777" w:rsidR="00DA7F27" w:rsidRDefault="00DA7F27" w:rsidP="00DA7F27">
      <w:pPr>
        <w:pStyle w:val="13"/>
        <w:ind w:firstLine="482"/>
      </w:pPr>
      <w:r w:rsidRPr="00E05BDA">
        <w:rPr>
          <w:rFonts w:hint="eastAsia"/>
          <w:b/>
          <w:bCs/>
        </w:rPr>
        <w:t xml:space="preserve">第九条 </w:t>
      </w:r>
      <w:r>
        <w:t>用于出资的股权应当在投资人首次出资时由法定的评估机构进行评估作价；评估机构应当依法进行评估，并由会计师事务所在验资报告中载明。评估机构的评估报告明显不实的，应当另选评估机构重新评估作价。股权的评估值以投资人首次出资时为准，评估价值是投资人认缴注册资本的依据，投资人以股权对应的出资金额不得大于股权的评估价值。</w:t>
      </w:r>
    </w:p>
    <w:p w14:paraId="6C8AC91E" w14:textId="77777777" w:rsidR="00DA7F27" w:rsidRDefault="00DA7F27" w:rsidP="00DA7F27">
      <w:pPr>
        <w:pStyle w:val="31"/>
        <w:spacing w:before="156" w:after="62"/>
      </w:pPr>
      <w:bookmarkStart w:id="325" w:name="_Toc81833558"/>
      <w:r>
        <w:rPr>
          <w:rFonts w:hint="eastAsia"/>
        </w:rPr>
        <w:t>《关于加强以非货币财产出资的评估管理若干问题的通知》（财企〔</w:t>
      </w:r>
      <w:r>
        <w:t>2009〕46号）</w:t>
      </w:r>
      <w:bookmarkEnd w:id="325"/>
    </w:p>
    <w:p w14:paraId="2352641C" w14:textId="77777777" w:rsidR="00DA7F27" w:rsidRDefault="00DA7F27" w:rsidP="00DA7F27">
      <w:pPr>
        <w:pStyle w:val="13"/>
      </w:pPr>
      <w:r>
        <w:rPr>
          <w:rFonts w:hint="eastAsia"/>
        </w:rPr>
        <w:t>党中央有关部门，国务院各部委、各直属机构，总后勤部、武警总部，全国人大常委会办公厅，全国政协办公厅，各中央管理企业，各省、自治区、直辖市、计划单列市财政厅（局）、工商行政管理局，新疆生产建设兵团财务局、工商局：</w:t>
      </w:r>
    </w:p>
    <w:p w14:paraId="2AD74257" w14:textId="77777777" w:rsidR="00DA7F27" w:rsidRDefault="00DA7F27" w:rsidP="00DA7F27">
      <w:pPr>
        <w:pStyle w:val="13"/>
      </w:pPr>
      <w:r>
        <w:rPr>
          <w:rFonts w:hint="eastAsia"/>
        </w:rPr>
        <w:t>为了加强以实物、知识产权、土地使用权等非货币财产出资的评估管理，规范以非货币财产出资评估行为，依据《中华人民共和国公司法》、《中华人民共和国公司登记管理条例》等有关法律法规，现就以非货币财产出资评估管理有关事项通知如</w:t>
      </w:r>
      <w:r>
        <w:t>下：</w:t>
      </w:r>
    </w:p>
    <w:p w14:paraId="1F18D7FA" w14:textId="77777777" w:rsidR="00DA7F27" w:rsidRDefault="00DA7F27" w:rsidP="00DA7F27">
      <w:pPr>
        <w:pStyle w:val="13"/>
        <w:ind w:firstLine="482"/>
      </w:pPr>
      <w:r w:rsidRPr="00915B70">
        <w:rPr>
          <w:rStyle w:val="ac"/>
          <w:rFonts w:hint="eastAsia"/>
        </w:rPr>
        <w:t>一、</w:t>
      </w:r>
      <w:r>
        <w:rPr>
          <w:rFonts w:hint="eastAsia"/>
        </w:rPr>
        <w:t>有下列情形之一的，应当进行资产评估：</w:t>
      </w:r>
    </w:p>
    <w:p w14:paraId="17225988" w14:textId="77777777" w:rsidR="00DA7F27" w:rsidRDefault="00DA7F27" w:rsidP="00DA7F27">
      <w:pPr>
        <w:pStyle w:val="13"/>
      </w:pPr>
      <w:r>
        <w:rPr>
          <w:rFonts w:hint="eastAsia"/>
        </w:rPr>
        <w:t>（一）投资人以非货币财产出资的；</w:t>
      </w:r>
    </w:p>
    <w:p w14:paraId="1BD1635E" w14:textId="77777777" w:rsidR="00DA7F27" w:rsidRDefault="00DA7F27" w:rsidP="00DA7F27">
      <w:pPr>
        <w:pStyle w:val="13"/>
      </w:pPr>
      <w:r>
        <w:rPr>
          <w:rFonts w:hint="eastAsia"/>
        </w:rPr>
        <w:t>（二）在验资或申请工商登记时，验资机构或投资人发现用作出资的非货币财产与评估基准日时的资产状态、使用方式、市场环境等方面发生显著变化，或者由于评估假设已发生重大变化，可能导致资产价值发生重大变化的；</w:t>
      </w:r>
    </w:p>
    <w:p w14:paraId="4ADDC006" w14:textId="77777777" w:rsidR="00DA7F27" w:rsidRDefault="00DA7F27" w:rsidP="00DA7F27">
      <w:pPr>
        <w:pStyle w:val="13"/>
      </w:pPr>
      <w:r>
        <w:rPr>
          <w:rFonts w:hint="eastAsia"/>
        </w:rPr>
        <w:t>（三）法律、行政法规规定的其他需要进行资产评估的事项。</w:t>
      </w:r>
    </w:p>
    <w:p w14:paraId="381C8CD5" w14:textId="77777777" w:rsidR="00DA7F27" w:rsidRDefault="00DA7F27" w:rsidP="00DA7F27">
      <w:pPr>
        <w:pStyle w:val="13"/>
        <w:ind w:firstLine="482"/>
      </w:pPr>
      <w:r w:rsidRPr="00915B70">
        <w:rPr>
          <w:rStyle w:val="ac"/>
          <w:rFonts w:hint="eastAsia"/>
        </w:rPr>
        <w:t>二、</w:t>
      </w:r>
      <w:r>
        <w:rPr>
          <w:rFonts w:hint="eastAsia"/>
        </w:rPr>
        <w:t>以非货币财产出资评估，投资人应当委托依法设立的资产评估机构进行。</w:t>
      </w:r>
    </w:p>
    <w:p w14:paraId="3A539B60" w14:textId="77777777" w:rsidR="00DA7F27" w:rsidRDefault="00DA7F27" w:rsidP="00DA7F27">
      <w:pPr>
        <w:pStyle w:val="13"/>
        <w:ind w:firstLine="482"/>
      </w:pPr>
      <w:r w:rsidRPr="00915B70">
        <w:rPr>
          <w:rStyle w:val="ac"/>
          <w:rFonts w:hint="eastAsia"/>
        </w:rPr>
        <w:t>三、</w:t>
      </w:r>
      <w:r>
        <w:rPr>
          <w:rFonts w:hint="eastAsia"/>
        </w:rPr>
        <w:t>以非货币财产出资的投资人，应当对所提供的非货币财产的真实性、合法性承担责任。</w:t>
      </w:r>
    </w:p>
    <w:p w14:paraId="347C7D1B" w14:textId="77777777" w:rsidR="00DA7F27" w:rsidRPr="00D02880" w:rsidRDefault="00DA7F27" w:rsidP="00DA7F27">
      <w:pPr>
        <w:pStyle w:val="13"/>
      </w:pPr>
      <w:r w:rsidRPr="00D02880">
        <w:rPr>
          <w:rStyle w:val="ac"/>
          <w:rFonts w:hint="eastAsia"/>
          <w:b w:val="0"/>
          <w:bCs w:val="0"/>
        </w:rPr>
        <w:t>四、</w:t>
      </w:r>
      <w:r w:rsidRPr="00D02880">
        <w:rPr>
          <w:rFonts w:hint="eastAsia"/>
        </w:rPr>
        <w:t>资产评估机构从事以非货币财产出资评估业务时，应当严格遵循有关的资产评估准则和规范，并对评估结论的合理性承担法律责任。</w:t>
      </w:r>
    </w:p>
    <w:p w14:paraId="26D8365F" w14:textId="77777777" w:rsidR="00DA7F27" w:rsidRPr="00D02880" w:rsidRDefault="00DA7F27" w:rsidP="00DA7F27">
      <w:pPr>
        <w:pStyle w:val="13"/>
      </w:pPr>
      <w:r w:rsidRPr="00D02880">
        <w:rPr>
          <w:rFonts w:hint="eastAsia"/>
        </w:rPr>
        <w:t>资产评估机构在执行以非货币财产出资评估业务时，可以聘请相关专业的专家</w:t>
      </w:r>
      <w:r w:rsidRPr="00D02880">
        <w:rPr>
          <w:rFonts w:hint="eastAsia"/>
        </w:rPr>
        <w:lastRenderedPageBreak/>
        <w:t>协助工作，但不能因此减轻或免除资产评估机构及注册资产评估</w:t>
      </w:r>
      <w:proofErr w:type="gramStart"/>
      <w:r w:rsidRPr="00D02880">
        <w:rPr>
          <w:rFonts w:hint="eastAsia"/>
        </w:rPr>
        <w:t>师应当</w:t>
      </w:r>
      <w:proofErr w:type="gramEnd"/>
      <w:r w:rsidRPr="00D02880">
        <w:rPr>
          <w:rFonts w:hint="eastAsia"/>
        </w:rPr>
        <w:t>承担的法律责</w:t>
      </w:r>
      <w:r w:rsidRPr="00D02880">
        <w:t>任。</w:t>
      </w:r>
    </w:p>
    <w:p w14:paraId="4FAAB1E1" w14:textId="77777777" w:rsidR="00DA7F27" w:rsidRPr="00D02880" w:rsidRDefault="00DA7F27" w:rsidP="00DA7F27">
      <w:pPr>
        <w:pStyle w:val="13"/>
      </w:pPr>
      <w:r w:rsidRPr="00D02880">
        <w:rPr>
          <w:rStyle w:val="ac"/>
          <w:rFonts w:hint="eastAsia"/>
          <w:b w:val="0"/>
          <w:bCs w:val="0"/>
        </w:rPr>
        <w:t>五、</w:t>
      </w:r>
      <w:r w:rsidRPr="00D02880">
        <w:rPr>
          <w:rFonts w:hint="eastAsia"/>
        </w:rPr>
        <w:t>资产评估机构应当遵循独立、客观、公正的原则，不得迎合委托方要求出具虚假的评估报告，不得以给予“回扣”、恶性压价等不正当竞争方式承揽以非货币财产出资评估业务。</w:t>
      </w:r>
    </w:p>
    <w:p w14:paraId="6276D6A2" w14:textId="77777777" w:rsidR="00DA7F27" w:rsidRPr="00D02880" w:rsidRDefault="00DA7F27" w:rsidP="00DA7F27">
      <w:pPr>
        <w:pStyle w:val="13"/>
      </w:pPr>
      <w:r w:rsidRPr="00D02880">
        <w:rPr>
          <w:rStyle w:val="ac"/>
          <w:rFonts w:hint="eastAsia"/>
          <w:b w:val="0"/>
          <w:bCs w:val="0"/>
        </w:rPr>
        <w:t>六、</w:t>
      </w:r>
      <w:r w:rsidRPr="00D02880">
        <w:rPr>
          <w:rFonts w:hint="eastAsia"/>
        </w:rPr>
        <w:t>投资人及其他任何单位和个人不得干预以非货币财产出资的评估业务和评估结果，相关专业的专家在协助资产评估机构执业时，应当只对评估对象的技术状况发表专业意见，不得对评估报告及评估结果是否合理发表意见。</w:t>
      </w:r>
    </w:p>
    <w:p w14:paraId="0414F326" w14:textId="77777777" w:rsidR="00DA7F27" w:rsidRPr="00D02880" w:rsidRDefault="00DA7F27" w:rsidP="00DA7F27">
      <w:pPr>
        <w:pStyle w:val="13"/>
      </w:pPr>
      <w:r w:rsidRPr="00D02880">
        <w:rPr>
          <w:rStyle w:val="ac"/>
          <w:rFonts w:hint="eastAsia"/>
          <w:b w:val="0"/>
          <w:bCs w:val="0"/>
        </w:rPr>
        <w:t>七、</w:t>
      </w:r>
      <w:r w:rsidRPr="00D02880">
        <w:rPr>
          <w:rFonts w:hint="eastAsia"/>
        </w:rPr>
        <w:t>财政、工商管理部门应当建立信息通报机制，对以非货币财产出资的投资人和从事以非货币财产出资评估业务的资产评估机构违反上述规定的，应当按国家有关规定进行处理。</w:t>
      </w:r>
    </w:p>
    <w:p w14:paraId="32C0BAAB" w14:textId="77777777" w:rsidR="00DA7F27" w:rsidRPr="00D02880" w:rsidRDefault="00DA7F27" w:rsidP="00DA7F27">
      <w:pPr>
        <w:pStyle w:val="13"/>
      </w:pPr>
      <w:r w:rsidRPr="00D02880">
        <w:rPr>
          <w:rStyle w:val="ac"/>
          <w:rFonts w:hint="eastAsia"/>
          <w:b w:val="0"/>
          <w:bCs w:val="0"/>
        </w:rPr>
        <w:t>八、</w:t>
      </w:r>
      <w:r w:rsidRPr="00D02880">
        <w:rPr>
          <w:rFonts w:hint="eastAsia"/>
        </w:rPr>
        <w:t>中国资产评估协会应当加强行业自律和专业指导工作，建立相关专业的专家库，建立并完善相关的诚信信息档案和数据库，为以非货币财产出资评估创建必要的平台，以提高资产评估的执业质量、行业公信力和影响力。</w:t>
      </w:r>
    </w:p>
    <w:p w14:paraId="26C5FF00" w14:textId="77777777" w:rsidR="00DA7F27" w:rsidRDefault="00DA7F27" w:rsidP="00DA7F27">
      <w:pPr>
        <w:pStyle w:val="13"/>
      </w:pPr>
      <w:r w:rsidRPr="00D02880">
        <w:rPr>
          <w:rStyle w:val="ac"/>
          <w:rFonts w:hint="eastAsia"/>
          <w:b w:val="0"/>
          <w:bCs w:val="0"/>
        </w:rPr>
        <w:t>九、</w:t>
      </w:r>
      <w:r w:rsidRPr="00D02880">
        <w:rPr>
          <w:rFonts w:hint="eastAsia"/>
        </w:rPr>
        <w:t>本通知印发</w:t>
      </w:r>
      <w:r>
        <w:rPr>
          <w:rFonts w:hint="eastAsia"/>
        </w:rPr>
        <w:t>后，过去有关规定与本通知内容相抵触的，以本通知为准。</w:t>
      </w:r>
    </w:p>
    <w:p w14:paraId="14D4646A" w14:textId="77777777" w:rsidR="00DA7F27" w:rsidRDefault="00DA7F27" w:rsidP="00DA7F27">
      <w:pPr>
        <w:pStyle w:val="13"/>
        <w:jc w:val="right"/>
      </w:pPr>
      <w:r>
        <w:rPr>
          <w:rFonts w:hint="eastAsia"/>
        </w:rPr>
        <w:t>财政部</w:t>
      </w:r>
      <w:r>
        <w:t>工商总局</w:t>
      </w:r>
    </w:p>
    <w:p w14:paraId="331CFFF0" w14:textId="77777777" w:rsidR="00DA7F27" w:rsidRDefault="00DA7F27" w:rsidP="00DA7F27">
      <w:pPr>
        <w:pStyle w:val="13"/>
        <w:jc w:val="right"/>
      </w:pPr>
      <w:r>
        <w:t>二〇〇九年三月三十日</w:t>
      </w:r>
    </w:p>
    <w:p w14:paraId="06CEE33F" w14:textId="77777777" w:rsidR="00DA7F27" w:rsidRDefault="00DA7F27" w:rsidP="00DA7F27">
      <w:pPr>
        <w:pStyle w:val="31"/>
        <w:spacing w:before="156" w:after="62"/>
      </w:pPr>
      <w:bookmarkStart w:id="326" w:name="_Toc81833559"/>
      <w:r>
        <w:rPr>
          <w:rFonts w:hint="eastAsia"/>
        </w:rPr>
        <w:t>《证券公司监督管理条例》（</w:t>
      </w:r>
      <w:r>
        <w:t>2014修订）</w:t>
      </w:r>
      <w:bookmarkEnd w:id="326"/>
    </w:p>
    <w:p w14:paraId="49F094B2" w14:textId="77777777" w:rsidR="00DA7F27" w:rsidRDefault="00DA7F27" w:rsidP="00DA7F27">
      <w:pPr>
        <w:pStyle w:val="13"/>
        <w:ind w:firstLine="482"/>
      </w:pPr>
      <w:r w:rsidRPr="00E05BDA">
        <w:rPr>
          <w:rFonts w:hint="eastAsia"/>
          <w:b/>
          <w:bCs/>
        </w:rPr>
        <w:t xml:space="preserve">第九条 </w:t>
      </w:r>
      <w:r>
        <w:t>证券公司的股东应当用货币或者证券公司经营必需的非货币财产出资。证券公司股东的非货币财产出资总额不得超过证券公司注册资本的30%。</w:t>
      </w:r>
    </w:p>
    <w:p w14:paraId="2D853BF8" w14:textId="77777777" w:rsidR="00DA7F27" w:rsidRDefault="00DA7F27" w:rsidP="00DA7F27">
      <w:pPr>
        <w:pStyle w:val="13"/>
      </w:pPr>
      <w:r>
        <w:rPr>
          <w:rFonts w:hint="eastAsia"/>
        </w:rPr>
        <w:t>证券公司股东的出资，应当经具有证券、期货相关业务资格的会计师事务所验资并出具证明；出资中的非货币财产，应当经具有证券相关业务资格的资产评估机构评估。</w:t>
      </w:r>
    </w:p>
    <w:p w14:paraId="6B5A619F" w14:textId="49C8E87D" w:rsidR="00DA7F27" w:rsidRDefault="00DA7F27" w:rsidP="00DA7F27">
      <w:pPr>
        <w:pStyle w:val="13"/>
      </w:pPr>
      <w:r>
        <w:rPr>
          <w:rFonts w:hint="eastAsia"/>
        </w:rPr>
        <w:t>在证券公司经营过程中，证券公司的债权人将其债权转为证券公司股权的，不受本条第一款规定的限制。</w:t>
      </w:r>
    </w:p>
    <w:p w14:paraId="48D89EE9" w14:textId="77777777" w:rsidR="00DA7F27" w:rsidRDefault="00DA7F27" w:rsidP="00DA7F27">
      <w:pPr>
        <w:pStyle w:val="31"/>
        <w:spacing w:before="156" w:after="62"/>
      </w:pPr>
      <w:bookmarkStart w:id="327" w:name="_Toc81833560"/>
      <w:r>
        <w:rPr>
          <w:rFonts w:hint="eastAsia"/>
        </w:rPr>
        <w:t>《商务部关于涉及外商投资企业股权出资的暂行规定》</w:t>
      </w:r>
      <w:r>
        <w:br w:type="textWrapping" w:clear="all"/>
      </w:r>
      <w:r>
        <w:rPr>
          <w:rFonts w:hint="eastAsia"/>
        </w:rPr>
        <w:t>（商务部令</w:t>
      </w:r>
      <w:r>
        <w:t>2015年第2号）</w:t>
      </w:r>
      <w:bookmarkEnd w:id="327"/>
    </w:p>
    <w:p w14:paraId="395528E9" w14:textId="77777777" w:rsidR="00DA7F27" w:rsidRDefault="00DA7F27" w:rsidP="00DA7F27">
      <w:pPr>
        <w:pStyle w:val="13"/>
        <w:ind w:firstLine="482"/>
      </w:pPr>
      <w:r w:rsidRPr="004E3EBB">
        <w:rPr>
          <w:rFonts w:hint="eastAsia"/>
          <w:b/>
          <w:bCs/>
        </w:rPr>
        <w:t xml:space="preserve">第六条 </w:t>
      </w:r>
      <w:r>
        <w:t>用作出资的股权应当经依法设立的境内评估机构评估。</w:t>
      </w:r>
    </w:p>
    <w:p w14:paraId="130F4B70" w14:textId="77777777" w:rsidR="00DA7F27" w:rsidRDefault="00DA7F27" w:rsidP="00DA7F27">
      <w:pPr>
        <w:pStyle w:val="13"/>
        <w:ind w:firstLine="482"/>
      </w:pPr>
      <w:r w:rsidRPr="004E3EBB">
        <w:rPr>
          <w:rFonts w:hint="eastAsia"/>
          <w:b/>
          <w:bCs/>
        </w:rPr>
        <w:t xml:space="preserve">第七条 </w:t>
      </w:r>
      <w:r>
        <w:t>股权出资人与被投资企业的股东或其他投资者可在股权评估的基础上协商确定股权作价金额、股权出资金额。</w:t>
      </w:r>
    </w:p>
    <w:p w14:paraId="4CCDC487" w14:textId="77777777" w:rsidR="00DA7F27" w:rsidRDefault="00DA7F27" w:rsidP="00DA7F27">
      <w:pPr>
        <w:pStyle w:val="13"/>
      </w:pPr>
      <w:r>
        <w:rPr>
          <w:rFonts w:hint="eastAsia"/>
        </w:rPr>
        <w:t>股权作价金额是指以上各方在股权评估基础上共同认定的用于出资股权的交易作价，股权出资金额是指股权作价金额中计入被投资企业注册资本的部分，股权出资金额不得高于股权评估值。</w:t>
      </w:r>
    </w:p>
    <w:p w14:paraId="0CF95BC4" w14:textId="77777777" w:rsidR="00DA7F27" w:rsidRDefault="00DA7F27" w:rsidP="00DA7F27">
      <w:pPr>
        <w:pStyle w:val="13"/>
      </w:pPr>
      <w:r>
        <w:rPr>
          <w:rFonts w:hint="eastAsia"/>
        </w:rPr>
        <w:lastRenderedPageBreak/>
        <w:t>对于以股权作价认购被投资企业增资的，股权作价金额计入并购交易额。</w:t>
      </w:r>
    </w:p>
    <w:p w14:paraId="5542372F" w14:textId="77777777" w:rsidR="00DA7F27" w:rsidRDefault="00DA7F27" w:rsidP="00DA7F27">
      <w:pPr>
        <w:pStyle w:val="13"/>
        <w:ind w:firstLine="482"/>
      </w:pPr>
      <w:r w:rsidRPr="00E05BDA">
        <w:rPr>
          <w:rFonts w:hint="eastAsia"/>
          <w:b/>
          <w:bCs/>
        </w:rPr>
        <w:t xml:space="preserve">第十条 </w:t>
      </w:r>
      <w:r>
        <w:t>投资者以股权出资，应由投资者或被投资企业向审批机关提出申请，提交以下文件：</w:t>
      </w:r>
    </w:p>
    <w:p w14:paraId="684BDCC4" w14:textId="77777777" w:rsidR="00DA7F27" w:rsidRDefault="00DA7F27" w:rsidP="00DA7F27">
      <w:pPr>
        <w:pStyle w:val="13"/>
      </w:pPr>
      <w:r>
        <w:rPr>
          <w:rFonts w:hint="eastAsia"/>
        </w:rPr>
        <w:t>（一）股权出资申请及股权出资协议；</w:t>
      </w:r>
    </w:p>
    <w:p w14:paraId="41612B1D" w14:textId="77777777" w:rsidR="00DA7F27" w:rsidRDefault="00DA7F27" w:rsidP="00DA7F27">
      <w:pPr>
        <w:pStyle w:val="13"/>
      </w:pPr>
      <w:r>
        <w:rPr>
          <w:rFonts w:hint="eastAsia"/>
        </w:rPr>
        <w:t>（二）股权出资人合法持有用作出资股权的证明；</w:t>
      </w:r>
    </w:p>
    <w:p w14:paraId="47BFBE31" w14:textId="77777777" w:rsidR="00DA7F27" w:rsidRDefault="00DA7F27" w:rsidP="00DA7F27">
      <w:pPr>
        <w:pStyle w:val="13"/>
      </w:pPr>
      <w:r>
        <w:rPr>
          <w:rFonts w:hint="eastAsia"/>
        </w:rPr>
        <w:t>（三）股权企业《企业法人营业执照》（复印件）；</w:t>
      </w:r>
    </w:p>
    <w:p w14:paraId="21F042A8" w14:textId="77777777" w:rsidR="00DA7F27" w:rsidRDefault="00DA7F27" w:rsidP="00DA7F27">
      <w:pPr>
        <w:pStyle w:val="13"/>
      </w:pPr>
      <w:r>
        <w:rPr>
          <w:rFonts w:hint="eastAsia"/>
        </w:rPr>
        <w:t>（四）股权企业为外商投资企业的，应提交《外商投资企业批准证书》及复印件，通过外商投资企业联合年检的相关证明；</w:t>
      </w:r>
    </w:p>
    <w:p w14:paraId="1939ED3E" w14:textId="77777777" w:rsidR="00DA7F27" w:rsidRDefault="00DA7F27" w:rsidP="00DA7F27">
      <w:pPr>
        <w:pStyle w:val="13"/>
      </w:pPr>
      <w:r>
        <w:rPr>
          <w:rFonts w:hint="eastAsia"/>
        </w:rPr>
        <w:t>（五）评估机构的股权评估报告；</w:t>
      </w:r>
    </w:p>
    <w:p w14:paraId="5E4F1E91" w14:textId="77777777" w:rsidR="00DA7F27" w:rsidRDefault="00DA7F27" w:rsidP="00DA7F27">
      <w:pPr>
        <w:pStyle w:val="13"/>
      </w:pPr>
      <w:r>
        <w:rPr>
          <w:rFonts w:hint="eastAsia"/>
        </w:rPr>
        <w:t>（六）律师事务所及其委派的律师就本规定第四条、第五条内容出具的法律意见书；</w:t>
      </w:r>
    </w:p>
    <w:p w14:paraId="1C547F9D" w14:textId="77777777" w:rsidR="00DA7F27" w:rsidRDefault="00DA7F27" w:rsidP="00DA7F27">
      <w:pPr>
        <w:pStyle w:val="13"/>
      </w:pPr>
      <w:r>
        <w:rPr>
          <w:rFonts w:hint="eastAsia"/>
        </w:rPr>
        <w:t>（七）依照外商投资法律、行政法规和规章应当报送的其他关于外商投资企业设立或变更的文件；</w:t>
      </w:r>
    </w:p>
    <w:p w14:paraId="70B062D4" w14:textId="77777777" w:rsidR="00DA7F27" w:rsidRDefault="00DA7F27" w:rsidP="00DA7F27">
      <w:pPr>
        <w:pStyle w:val="13"/>
      </w:pPr>
      <w:r>
        <w:rPr>
          <w:rFonts w:hint="eastAsia"/>
        </w:rPr>
        <w:t>（八）法律、行政法规或者国务院决定规定股权企业股东转让股权须报经批准的，需提交相关批准文件；</w:t>
      </w:r>
    </w:p>
    <w:p w14:paraId="39CC5315" w14:textId="77777777" w:rsidR="00DA7F27" w:rsidRDefault="00DA7F27" w:rsidP="00DA7F27">
      <w:pPr>
        <w:pStyle w:val="13"/>
      </w:pPr>
      <w:r>
        <w:rPr>
          <w:rFonts w:hint="eastAsia"/>
        </w:rPr>
        <w:t>（九）审批机关要求提交的其他文件。</w:t>
      </w:r>
    </w:p>
    <w:p w14:paraId="6E9C0E0A" w14:textId="73D3856C" w:rsidR="00DA7F27" w:rsidRDefault="00DA7F27" w:rsidP="00DA7F27">
      <w:pPr>
        <w:pStyle w:val="13"/>
        <w:ind w:firstLine="482"/>
      </w:pPr>
      <w:r w:rsidRPr="00E05BDA">
        <w:rPr>
          <w:rFonts w:hint="eastAsia"/>
          <w:b/>
          <w:bCs/>
        </w:rPr>
        <w:t xml:space="preserve">第二十三条 </w:t>
      </w:r>
      <w:r>
        <w:t>外国投资者以境内企业的股权作为对价换取其他投资者持有的境内企业股权，应参照本规定关于股权出资条件、股权评估等有关规定，并遵守《外商投资企业投资者股权变更的若干规定》、《关于外国投资者并购境内企业的规定》等规</w:t>
      </w:r>
      <w:r>
        <w:rPr>
          <w:rFonts w:hint="eastAsia"/>
        </w:rPr>
        <w:t>定。</w:t>
      </w:r>
    </w:p>
    <w:p w14:paraId="21E66033" w14:textId="77777777" w:rsidR="00FA0363" w:rsidRDefault="00FA0363" w:rsidP="00FA0363">
      <w:pPr>
        <w:pStyle w:val="31"/>
        <w:spacing w:before="156" w:after="62"/>
      </w:pPr>
      <w:bookmarkStart w:id="328" w:name="_Toc81833561"/>
      <w:r>
        <w:rPr>
          <w:rFonts w:hint="eastAsia"/>
        </w:rPr>
        <w:t>《中华人民共和国中外合作经营企业法实施细则》（</w:t>
      </w:r>
      <w:r>
        <w:t>2017年修订）</w:t>
      </w:r>
      <w:bookmarkEnd w:id="328"/>
    </w:p>
    <w:p w14:paraId="1E05535B" w14:textId="6B1C53FE" w:rsidR="00FA0363" w:rsidRDefault="00E05BDA" w:rsidP="00FA0363">
      <w:pPr>
        <w:pStyle w:val="13"/>
        <w:ind w:firstLine="482"/>
      </w:pPr>
      <w:r w:rsidRPr="00E05BDA">
        <w:rPr>
          <w:rFonts w:hint="eastAsia"/>
          <w:b/>
          <w:bCs/>
        </w:rPr>
        <w:t xml:space="preserve">第十八条 </w:t>
      </w:r>
      <w:r w:rsidR="00FA0363">
        <w:t>合作各方向合作企业的投资或者提供的合作条件可货币，也可以是实物或者工业产业、专有技术、土地使用权等财产权利。</w:t>
      </w:r>
    </w:p>
    <w:p w14:paraId="4D5B80D5" w14:textId="77777777" w:rsidR="00FA0363" w:rsidRDefault="00FA0363" w:rsidP="00FA0363">
      <w:pPr>
        <w:pStyle w:val="13"/>
      </w:pPr>
      <w:r>
        <w:rPr>
          <w:rFonts w:hint="eastAsia"/>
        </w:rPr>
        <w:t>中国合作者的投资或者提供的合作条件，属于国有资产的，应当依照有关法律、行政法规的规定进行资产评估。</w:t>
      </w:r>
    </w:p>
    <w:p w14:paraId="4A6A3CC0" w14:textId="1F0199EB" w:rsidR="00FA0363" w:rsidRDefault="00FA0363" w:rsidP="00FA0363">
      <w:pPr>
        <w:pStyle w:val="13"/>
      </w:pPr>
      <w:r>
        <w:rPr>
          <w:rFonts w:hint="eastAsia"/>
        </w:rPr>
        <w:t>在依法取得中国法人资格的合作企业中，外国合作者的投资一般不低于合作企业注册资本的</w:t>
      </w:r>
      <w:r>
        <w:t>25%。在不具有法人资格的合作企业中，对合作各方向合作企业投资或者提供合作条件的具体要求，由对外贸易经济合作部规定。</w:t>
      </w:r>
    </w:p>
    <w:p w14:paraId="1B7FA16C" w14:textId="1F14DB3E" w:rsidR="00FA0363" w:rsidRDefault="00FA0363" w:rsidP="00FA0363">
      <w:pPr>
        <w:pStyle w:val="31"/>
        <w:spacing w:before="156" w:after="62"/>
      </w:pPr>
      <w:bookmarkStart w:id="329" w:name="_Toc81833562"/>
      <w:r>
        <w:rPr>
          <w:rFonts w:hint="eastAsia"/>
        </w:rPr>
        <w:t>《中央企业公司制改制工作实施方案》（国办发〔</w:t>
      </w:r>
      <w:r>
        <w:t>2017〕69号）</w:t>
      </w:r>
      <w:bookmarkEnd w:id="329"/>
    </w:p>
    <w:p w14:paraId="0A607944" w14:textId="77777777" w:rsidR="00FA0363" w:rsidRDefault="00FA0363" w:rsidP="00DA7F27">
      <w:pPr>
        <w:pStyle w:val="13"/>
        <w:spacing w:line="288" w:lineRule="auto"/>
        <w:ind w:firstLineChars="0" w:firstLine="0"/>
      </w:pPr>
      <w:r>
        <w:rPr>
          <w:rFonts w:hint="eastAsia"/>
        </w:rPr>
        <w:t>各省、自治区、直辖市人民政府，国务院各部委、各直属机构：</w:t>
      </w:r>
    </w:p>
    <w:p w14:paraId="3218CEB1" w14:textId="77777777" w:rsidR="00FA0363" w:rsidRDefault="00FA0363" w:rsidP="00DA7F27">
      <w:pPr>
        <w:pStyle w:val="13"/>
        <w:spacing w:line="288" w:lineRule="auto"/>
      </w:pPr>
      <w:r>
        <w:rPr>
          <w:rFonts w:hint="eastAsia"/>
        </w:rPr>
        <w:t>《中央企业公司制改制工作实施方案》已经国务院同意，现印发给你们，请认真贯彻执行。</w:t>
      </w:r>
    </w:p>
    <w:p w14:paraId="7CBE1D7C" w14:textId="77777777" w:rsidR="00FA0363" w:rsidRDefault="00FA0363" w:rsidP="00DA7F27">
      <w:pPr>
        <w:pStyle w:val="13"/>
        <w:spacing w:line="240" w:lineRule="auto"/>
        <w:jc w:val="right"/>
      </w:pPr>
      <w:r>
        <w:rPr>
          <w:rFonts w:hint="eastAsia"/>
        </w:rPr>
        <w:t>国务院办公厅</w:t>
      </w:r>
    </w:p>
    <w:p w14:paraId="247E1F4D" w14:textId="77777777" w:rsidR="00FA0363" w:rsidRDefault="00FA0363" w:rsidP="00DA7F27">
      <w:pPr>
        <w:pStyle w:val="13"/>
        <w:spacing w:line="240" w:lineRule="auto"/>
        <w:jc w:val="right"/>
      </w:pPr>
      <w:r>
        <w:t>2017年7月18日</w:t>
      </w:r>
    </w:p>
    <w:p w14:paraId="15838D30" w14:textId="77777777" w:rsidR="00FA0363" w:rsidRDefault="00FA0363" w:rsidP="00AF7342">
      <w:pPr>
        <w:pStyle w:val="a9"/>
        <w:spacing w:before="62" w:after="62"/>
      </w:pPr>
      <w:r>
        <w:rPr>
          <w:rFonts w:hint="eastAsia"/>
        </w:rPr>
        <w:lastRenderedPageBreak/>
        <w:t>中央企业公司制改制工作实施方案</w:t>
      </w:r>
    </w:p>
    <w:p w14:paraId="72CC3776" w14:textId="77777777" w:rsidR="00FA0363" w:rsidRDefault="00FA0363" w:rsidP="00FA0363">
      <w:pPr>
        <w:pStyle w:val="13"/>
      </w:pPr>
      <w:r>
        <w:rPr>
          <w:rFonts w:hint="eastAsia"/>
        </w:rPr>
        <w:t>公司制是现代企业制度的有效组织形式，是建立中国特色现代国有企业制度的必要条件。经过多年改革，全国国有企业公司制改制面已达到</w:t>
      </w:r>
      <w:r>
        <w:t>90%以上，有力推动了国有企业政企分开，公司法人治理结构日趋完善，企业经营管理水平逐渐提高，但仍有部分国有企业特别是部分中央企业集团层面尚未完成公司制改制。《中共中央国务院关于深化国有企业改革的指导意见》提出，到2020年在国有企业改革重要领域和关键环节取得决定性成果。中央经济工作会议和《政府工作报告》要求，2017年底前基本完成国有企业公司制改制工作。按照党中央、国务院有关部</w:t>
      </w:r>
      <w:r>
        <w:rPr>
          <w:rFonts w:hint="eastAsia"/>
        </w:rPr>
        <w:t>署要求，为加快推动中央企业完成公司制改制，制定本实施方案。</w:t>
      </w:r>
    </w:p>
    <w:p w14:paraId="1F789F95" w14:textId="77777777" w:rsidR="00FA0363" w:rsidRDefault="00FA0363" w:rsidP="00FA0363">
      <w:pPr>
        <w:pStyle w:val="ab"/>
        <w:spacing w:before="62" w:after="62"/>
        <w:ind w:firstLine="482"/>
      </w:pPr>
      <w:r>
        <w:rPr>
          <w:rFonts w:hint="eastAsia"/>
        </w:rPr>
        <w:t>一、目标任务</w:t>
      </w:r>
    </w:p>
    <w:p w14:paraId="718ED864" w14:textId="77777777" w:rsidR="00FA0363" w:rsidRDefault="00FA0363" w:rsidP="00FA0363">
      <w:pPr>
        <w:pStyle w:val="13"/>
      </w:pPr>
      <w:r>
        <w:t>2017年底前，按照《中华人民共和国全民所有制工业企业法》登记、国务院国有资产监督管理委员会监管的中央企业（不含中央金融、文化企业），全部改制为按照《中华人民共和国公司法》登记的有限责任公司或股份有限公司，加快形成有效制衡的公司法人治理结构和灵活高效的市场化经营机制。</w:t>
      </w:r>
    </w:p>
    <w:p w14:paraId="10105630" w14:textId="77777777" w:rsidR="00FA0363" w:rsidRDefault="00FA0363" w:rsidP="00FA0363">
      <w:pPr>
        <w:pStyle w:val="ab"/>
        <w:spacing w:before="62" w:after="62"/>
        <w:ind w:firstLine="482"/>
      </w:pPr>
      <w:r>
        <w:rPr>
          <w:rFonts w:hint="eastAsia"/>
        </w:rPr>
        <w:t>二、规范操作</w:t>
      </w:r>
    </w:p>
    <w:p w14:paraId="5DC72B9A" w14:textId="77777777" w:rsidR="00FA0363" w:rsidRDefault="00FA0363" w:rsidP="00FA0363">
      <w:pPr>
        <w:pStyle w:val="13"/>
      </w:pPr>
      <w:r>
        <w:rPr>
          <w:rFonts w:hint="eastAsia"/>
        </w:rPr>
        <w:t>（一）制定改制方案。中央企业推进公司制改制，要按照现代企业制度要求，结合实际制定切实可行的改制方案，明确改制方式、产权结构设置、债权债务处理、公司治理安排、劳动人事分配制度改革等事项，并按照有关规定起草或修订公司章程。</w:t>
      </w:r>
    </w:p>
    <w:p w14:paraId="3CE0ADAE" w14:textId="77777777" w:rsidR="00FA0363" w:rsidRDefault="00FA0363" w:rsidP="00FA0363">
      <w:pPr>
        <w:pStyle w:val="13"/>
      </w:pPr>
      <w:r>
        <w:rPr>
          <w:rFonts w:hint="eastAsia"/>
        </w:rPr>
        <w:t>（二）严格审批程序。中央企业集团层面改制为国有独资公司，由国务院授权履行出资人职责的机构批准；改制为股权多元化企业，由履行出资人职责的机构按程序报国务院同意后批准。中央企业所属子企业的改制，除另有规定外，按照企业内部有关规定履行审批程序。</w:t>
      </w:r>
    </w:p>
    <w:p w14:paraId="1273B3EC" w14:textId="77777777" w:rsidR="00FA0363" w:rsidRDefault="00FA0363" w:rsidP="00FA0363">
      <w:pPr>
        <w:pStyle w:val="13"/>
      </w:pPr>
      <w:r>
        <w:rPr>
          <w:rFonts w:hint="eastAsia"/>
        </w:rPr>
        <w:t>（三）确定注册资本。改制为国有独资公司或国有及国有控股企业全资子公司，可以上一年度经审计的净资产值作为工商变更登记时确定注册资本的依据，待公司章程规定的出资认缴期限届满前进行资产评估。改制为股权多元化企业，要按照有关规定履行清产核资、财务审计、资产评估、进场交易等各项程序，并以资产评估值作为认缴出资的依据。</w:t>
      </w:r>
    </w:p>
    <w:p w14:paraId="7BCA11B0" w14:textId="77777777" w:rsidR="00FA0363" w:rsidRDefault="00FA0363" w:rsidP="00FA0363">
      <w:pPr>
        <w:pStyle w:val="ab"/>
        <w:spacing w:before="62" w:after="62"/>
        <w:ind w:firstLine="482"/>
      </w:pPr>
      <w:r>
        <w:rPr>
          <w:rFonts w:hint="eastAsia"/>
        </w:rPr>
        <w:t>三、政策支持</w:t>
      </w:r>
    </w:p>
    <w:p w14:paraId="12158C8B" w14:textId="77777777" w:rsidR="00FA0363" w:rsidRDefault="00FA0363" w:rsidP="00FA0363">
      <w:pPr>
        <w:pStyle w:val="13"/>
      </w:pPr>
      <w:r>
        <w:rPr>
          <w:rFonts w:hint="eastAsia"/>
        </w:rPr>
        <w:t>（一）划拨土地处置。经省级以上人民政府批准实行授权经营或具有国家授权投资机构资格的企业，其原有划拨土地可采取国家作价出资（入股）或授权经营方式处置。全民所有制企业改制为国有独资公司或国有及国有控股企业全资子公司，其原有划拨土地可按照有关规定保留划拨土地性质。</w:t>
      </w:r>
    </w:p>
    <w:p w14:paraId="5FBD70DC" w14:textId="77777777" w:rsidR="00FA0363" w:rsidRDefault="00FA0363" w:rsidP="00FA0363">
      <w:pPr>
        <w:pStyle w:val="13"/>
      </w:pPr>
      <w:r>
        <w:rPr>
          <w:rFonts w:hint="eastAsia"/>
        </w:rPr>
        <w:t>（二）税收优惠支持。公司制改制企业按规定享受改制涉及的资产评估增值、土</w:t>
      </w:r>
      <w:r>
        <w:rPr>
          <w:rFonts w:hint="eastAsia"/>
        </w:rPr>
        <w:lastRenderedPageBreak/>
        <w:t>地变更登记和国有资产无偿划转等方面税收优惠政策。</w:t>
      </w:r>
    </w:p>
    <w:p w14:paraId="019F82E4" w14:textId="77777777" w:rsidR="00FA0363" w:rsidRDefault="00FA0363" w:rsidP="00FA0363">
      <w:pPr>
        <w:pStyle w:val="13"/>
      </w:pPr>
      <w:r>
        <w:rPr>
          <w:rFonts w:hint="eastAsia"/>
        </w:rPr>
        <w:t>（三）工商变更登记。全民所有制企业改制为国有独资公司或国有及国有控股企业全资子公司，母公司可先行改制并办理工商变更登记，其所属子企业或事业单位要限期完成改制或转</w:t>
      </w:r>
      <w:proofErr w:type="gramStart"/>
      <w:r>
        <w:rPr>
          <w:rFonts w:hint="eastAsia"/>
        </w:rPr>
        <w:t>企</w:t>
      </w:r>
      <w:proofErr w:type="gramEnd"/>
      <w:r>
        <w:rPr>
          <w:rFonts w:hint="eastAsia"/>
        </w:rPr>
        <w:t>。全民所有制企业改制为股权多元化企业，应先将其所属子企业或事业单位改制或转企，再完成母公司改制并办理工商变更登记。</w:t>
      </w:r>
    </w:p>
    <w:p w14:paraId="5F6D0592" w14:textId="77777777" w:rsidR="00FA0363" w:rsidRDefault="00FA0363" w:rsidP="00FA0363">
      <w:pPr>
        <w:pStyle w:val="13"/>
      </w:pPr>
      <w:r>
        <w:rPr>
          <w:rFonts w:hint="eastAsia"/>
        </w:rPr>
        <w:t>（四）资质资格承继。全民所有制企业改制为国有独资公司、国有及国有控股企业全资子公司或国有控股公司，其经营过程中获得的各种专业或特殊资质证照由改制后公司承继。改制企业应在工商变更登记后</w:t>
      </w:r>
      <w:r>
        <w:t>1个月内到有关部门办理变更企业名称等资质证照记载事项。</w:t>
      </w:r>
    </w:p>
    <w:p w14:paraId="747B9A56" w14:textId="77777777" w:rsidR="00FA0363" w:rsidRDefault="00FA0363" w:rsidP="00FA0363">
      <w:pPr>
        <w:pStyle w:val="13"/>
      </w:pPr>
      <w:r>
        <w:rPr>
          <w:rFonts w:hint="eastAsia"/>
        </w:rPr>
        <w:t>四、统筹推进</w:t>
      </w:r>
    </w:p>
    <w:p w14:paraId="44DCDAEA" w14:textId="77777777" w:rsidR="00FA0363" w:rsidRDefault="00FA0363" w:rsidP="00FA0363">
      <w:pPr>
        <w:pStyle w:val="13"/>
      </w:pPr>
      <w:r>
        <w:rPr>
          <w:rFonts w:hint="eastAsia"/>
        </w:rPr>
        <w:t>（一）加强党的领导。中央企业党委（党组）要切实加强对改制工作的组织领导，</w:t>
      </w:r>
      <w:r>
        <w:t>按照有关规定落实党的建设同步谋划、党的组织及工作机构同步设置、党组织负责人及党务工作人员同步配备、党的工作同步开展的“四同步”和体制对接、机制对接、制度对接、工作对接的“四对接”要求。要充分发挥企业党组织的领导核心和政治核心作用，确保党的领导、党的建设在企业改制中得到充分体现和切实加强。要依法维护职工合法权益，处理好企业改革发展稳定的关系。改制过程中的重大事项应及时报告党中央、国务院。</w:t>
      </w:r>
    </w:p>
    <w:p w14:paraId="67C71EA5" w14:textId="77777777" w:rsidR="00FA0363" w:rsidRDefault="00FA0363" w:rsidP="00FA0363">
      <w:pPr>
        <w:pStyle w:val="13"/>
      </w:pPr>
      <w:r>
        <w:rPr>
          <w:rFonts w:hint="eastAsia"/>
        </w:rPr>
        <w:t>（二）建设现代企业制度。改制企业要以推进董事会建设为重点，规范权力运行，</w:t>
      </w:r>
      <w:r>
        <w:t>实现权利和责任对等，落实和维护董事会依法行使重大决策、选人用人、薪酬分配等权利。要坚持两个“</w:t>
      </w:r>
      <w:proofErr w:type="gramStart"/>
      <w:r>
        <w:t>一</w:t>
      </w:r>
      <w:proofErr w:type="gramEnd"/>
      <w:r>
        <w:t>以贯之”，把加强党的领导和完善公司治理统一起来，处理好</w:t>
      </w:r>
      <w:r>
        <w:rPr>
          <w:rFonts w:hint="eastAsia"/>
        </w:rPr>
        <w:t>党组织和其他治理主体的关系，明确权责边界，做到无缝衔接，形成各司其职、各负其责、协调运转、有效制衡的公司治理机制。</w:t>
      </w:r>
    </w:p>
    <w:p w14:paraId="5CEF7F66" w14:textId="77777777" w:rsidR="00FA0363" w:rsidRDefault="00FA0363" w:rsidP="00FA0363">
      <w:pPr>
        <w:pStyle w:val="13"/>
      </w:pPr>
      <w:r>
        <w:rPr>
          <w:rFonts w:hint="eastAsia"/>
        </w:rPr>
        <w:t>（三）完善市场化经营机制。改制企业要不断深化劳动、人事、分配三项制度改革，</w:t>
      </w:r>
      <w:r>
        <w:t>建立健全与劳动力市场基本适应、与企业经济效益和劳动生产率挂钩的工资决定和正常增长机制，完善市场化用工制度，合理拉开收入分配差距，真正形成管理人员能上能下、员工能进能出、收入能增能减的市场化选人用人机制。</w:t>
      </w:r>
    </w:p>
    <w:p w14:paraId="6AF755A0" w14:textId="77777777" w:rsidR="00FA0363" w:rsidRDefault="00FA0363" w:rsidP="00FA0363">
      <w:pPr>
        <w:pStyle w:val="13"/>
      </w:pPr>
      <w:r>
        <w:rPr>
          <w:rFonts w:hint="eastAsia"/>
        </w:rPr>
        <w:t>（四）防止国有资产流失。公司制改制过程中，要按照法律法规和国有企业改制、国有产权管理等有关规定规范操作，严格履行决策程序。完善金融支持政策，维护利益相关方合法权益，落实金融债权。加强对</w:t>
      </w:r>
      <w:proofErr w:type="gramStart"/>
      <w:r>
        <w:rPr>
          <w:rFonts w:hint="eastAsia"/>
        </w:rPr>
        <w:t>改制全</w:t>
      </w:r>
      <w:proofErr w:type="gramEnd"/>
      <w:r>
        <w:rPr>
          <w:rFonts w:hint="eastAsia"/>
        </w:rPr>
        <w:t>流程的监管，坚持公开透明，严禁暗箱操作和利益输送。做好信息公开，加强事中事后监管，自觉接受社会监督。</w:t>
      </w:r>
    </w:p>
    <w:p w14:paraId="2D9CD8B5" w14:textId="77777777" w:rsidR="00FA0363" w:rsidRDefault="00FA0363" w:rsidP="00FA0363">
      <w:pPr>
        <w:pStyle w:val="13"/>
      </w:pPr>
      <w:r>
        <w:rPr>
          <w:rFonts w:hint="eastAsia"/>
        </w:rPr>
        <w:t>中央党政机关和事业单位所办企业的清理整顿和公司制改制工作，按照国家集中统一监管的要求，另行规定执行。各省级人民政府参照本实施方案，指导地方国有企业公司制改制工作</w:t>
      </w:r>
    </w:p>
    <w:p w14:paraId="415D3DE8" w14:textId="77777777" w:rsidR="00FA0363" w:rsidRDefault="00FA0363" w:rsidP="00FA0363">
      <w:pPr>
        <w:pStyle w:val="31"/>
        <w:spacing w:before="156" w:after="62"/>
      </w:pPr>
      <w:bookmarkStart w:id="330" w:name="_Toc81833563"/>
      <w:r>
        <w:rPr>
          <w:rFonts w:hint="eastAsia"/>
        </w:rPr>
        <w:lastRenderedPageBreak/>
        <w:t>无形资产出资问题总结</w:t>
      </w:r>
      <w:bookmarkEnd w:id="330"/>
    </w:p>
    <w:p w14:paraId="311CBD15" w14:textId="77777777" w:rsidR="00FA0363" w:rsidRDefault="00FA0363" w:rsidP="00FA0363">
      <w:pPr>
        <w:pStyle w:val="ab"/>
        <w:spacing w:before="62" w:after="62"/>
        <w:ind w:firstLine="482"/>
      </w:pPr>
      <w:r>
        <w:rPr>
          <w:rFonts w:hint="eastAsia"/>
        </w:rPr>
        <w:t>一、涉及无形资产出资的法律法规</w:t>
      </w:r>
    </w:p>
    <w:p w14:paraId="368E9344" w14:textId="77777777" w:rsidR="00FA0363" w:rsidRDefault="00FA0363" w:rsidP="00FA0363">
      <w:pPr>
        <w:pStyle w:val="13"/>
      </w:pPr>
      <w:r>
        <w:rPr>
          <w:rFonts w:hint="eastAsia"/>
        </w:rPr>
        <w:t>参见上述法规总结</w:t>
      </w:r>
    </w:p>
    <w:p w14:paraId="16B459DE" w14:textId="77777777" w:rsidR="00FA0363" w:rsidRDefault="00FA0363" w:rsidP="00FA0363">
      <w:pPr>
        <w:pStyle w:val="ab"/>
        <w:spacing w:before="62" w:after="62"/>
        <w:ind w:firstLine="482"/>
      </w:pPr>
      <w:r>
        <w:rPr>
          <w:rFonts w:hint="eastAsia"/>
        </w:rPr>
        <w:t>二、无形资产出资的程序</w:t>
      </w:r>
    </w:p>
    <w:p w14:paraId="1FE85C0A" w14:textId="77777777" w:rsidR="00FA0363" w:rsidRDefault="00FA0363" w:rsidP="00FA0363">
      <w:pPr>
        <w:pStyle w:val="13"/>
      </w:pPr>
      <w:r>
        <w:rPr>
          <w:rFonts w:hint="eastAsia"/>
        </w:rPr>
        <w:t>用于出资的无形资产需是对公司经营起到重要作用，能产生一定收益的无形资产。一般来说，无形资产出资需经过评估、所有权转移、验资几个程序。</w:t>
      </w:r>
    </w:p>
    <w:p w14:paraId="301F9C90" w14:textId="77777777" w:rsidR="00FA0363" w:rsidRDefault="00FA0363" w:rsidP="00FA0363">
      <w:pPr>
        <w:pStyle w:val="13"/>
      </w:pPr>
      <w:r>
        <w:t>1、无形资产评估</w:t>
      </w:r>
    </w:p>
    <w:p w14:paraId="47C60B3E" w14:textId="77777777" w:rsidR="00FA0363" w:rsidRDefault="00FA0363" w:rsidP="00FA0363">
      <w:pPr>
        <w:pStyle w:val="13"/>
      </w:pPr>
      <w:r>
        <w:rPr>
          <w:rFonts w:hint="eastAsia"/>
        </w:rPr>
        <w:t>无形资产出资时应需要由第三方评估机构进行价值评估。评估一般首选“收益</w:t>
      </w:r>
      <w:r>
        <w:t>法”。收益法常用指标有收益额、收益期限和折现率。收益额是指由无形资产直接带来的未来的超额收益。收益期限是指无形资产具有的实现超额收益能力的时间。</w:t>
      </w:r>
    </w:p>
    <w:p w14:paraId="13AA1594" w14:textId="77777777" w:rsidR="00FA0363" w:rsidRDefault="00FA0363" w:rsidP="00FA0363">
      <w:pPr>
        <w:pStyle w:val="13"/>
      </w:pPr>
      <w:r>
        <w:rPr>
          <w:rFonts w:hint="eastAsia"/>
        </w:rPr>
        <w:t>关于价值类型：根据</w:t>
      </w:r>
      <w:proofErr w:type="gramStart"/>
      <w:r>
        <w:rPr>
          <w:rFonts w:hint="eastAsia"/>
        </w:rPr>
        <w:t>中评协</w:t>
      </w:r>
      <w:proofErr w:type="gramEnd"/>
      <w:r>
        <w:rPr>
          <w:rFonts w:hint="eastAsia"/>
        </w:rPr>
        <w:t>《以出资为目的的评估指南（征求意见稿）》：注册资产评估</w:t>
      </w:r>
      <w:proofErr w:type="gramStart"/>
      <w:r>
        <w:rPr>
          <w:rFonts w:hint="eastAsia"/>
        </w:rPr>
        <w:t>师执行</w:t>
      </w:r>
      <w:proofErr w:type="gramEnd"/>
      <w:r>
        <w:rPr>
          <w:rFonts w:hint="eastAsia"/>
        </w:rPr>
        <w:t>以出资为目的的评估业务，应当选择市场价值作为评估结论的价值类</w:t>
      </w:r>
      <w:r>
        <w:t>型。</w:t>
      </w:r>
    </w:p>
    <w:p w14:paraId="7F0A9040" w14:textId="77777777" w:rsidR="00FA0363" w:rsidRDefault="00FA0363" w:rsidP="00FA0363">
      <w:pPr>
        <w:pStyle w:val="13"/>
      </w:pPr>
      <w:r>
        <w:rPr>
          <w:rFonts w:hint="eastAsia"/>
        </w:rPr>
        <w:t>总体来说，用收益法进行评估只是一种预测，难免带有主观偏差。因此，如涉及无形资产出资的，保荐人</w:t>
      </w:r>
      <w:proofErr w:type="gramStart"/>
      <w:r>
        <w:rPr>
          <w:rFonts w:hint="eastAsia"/>
        </w:rPr>
        <w:t>在尽调时</w:t>
      </w:r>
      <w:proofErr w:type="gramEnd"/>
      <w:r>
        <w:rPr>
          <w:rFonts w:hint="eastAsia"/>
        </w:rPr>
        <w:t>会对无形资产所涉及的收入部分进行调查，确保无形资产在评估的收益期限内实现了评估的收益价值。如需要，还会聘请具有证券及期货资格的评估机构重新复核当时的评估结果。</w:t>
      </w:r>
    </w:p>
    <w:p w14:paraId="534CDE03" w14:textId="77777777" w:rsidR="00FA0363" w:rsidRDefault="00FA0363" w:rsidP="00FA0363">
      <w:pPr>
        <w:pStyle w:val="13"/>
      </w:pPr>
      <w:r>
        <w:t>2、办理财产转移手续</w:t>
      </w:r>
    </w:p>
    <w:p w14:paraId="46EDEF2F" w14:textId="77777777" w:rsidR="00FA0363" w:rsidRDefault="00FA0363" w:rsidP="00FA0363">
      <w:pPr>
        <w:pStyle w:val="13"/>
      </w:pPr>
      <w:r>
        <w:rPr>
          <w:rFonts w:hint="eastAsia"/>
        </w:rPr>
        <w:t>对于无形资产出资，根据公司法，应办理财产转移手续，即需将无形资产所有权属由股东变更为公司。</w:t>
      </w:r>
    </w:p>
    <w:p w14:paraId="30FDAC9A" w14:textId="77777777" w:rsidR="00FA0363" w:rsidRDefault="00FA0363" w:rsidP="00FA0363">
      <w:pPr>
        <w:pStyle w:val="13"/>
      </w:pPr>
      <w:r>
        <w:t>3、验资</w:t>
      </w:r>
    </w:p>
    <w:p w14:paraId="0ED35136" w14:textId="77777777" w:rsidR="00FA0363" w:rsidRDefault="00FA0363" w:rsidP="00FA0363">
      <w:pPr>
        <w:pStyle w:val="13"/>
      </w:pPr>
      <w:r>
        <w:rPr>
          <w:rFonts w:hint="eastAsia"/>
        </w:rPr>
        <w:t>无形资产出资和货币出资、实物出资一样，须在出资完成后，由会计师验资后计入实收资本。</w:t>
      </w:r>
    </w:p>
    <w:p w14:paraId="5BDF401C" w14:textId="77777777" w:rsidR="00FA0363" w:rsidRDefault="00FA0363" w:rsidP="00FA0363">
      <w:pPr>
        <w:pStyle w:val="ab"/>
        <w:spacing w:before="62" w:after="62"/>
        <w:ind w:firstLine="482"/>
      </w:pPr>
      <w:r>
        <w:rPr>
          <w:rFonts w:hint="eastAsia"/>
        </w:rPr>
        <w:t>三、证监会在审核无形资产出资问题时所关注的要点</w:t>
      </w:r>
    </w:p>
    <w:p w14:paraId="1EAB548E" w14:textId="77777777" w:rsidR="00FA0363" w:rsidRDefault="00FA0363" w:rsidP="00FA0363">
      <w:pPr>
        <w:pStyle w:val="13"/>
      </w:pPr>
      <w:r>
        <w:rPr>
          <w:rFonts w:hint="eastAsia"/>
        </w:rPr>
        <w:t>（一）无形资产产权归属的问题</w:t>
      </w:r>
    </w:p>
    <w:p w14:paraId="2DD79205" w14:textId="77777777" w:rsidR="00FA0363" w:rsidRDefault="00FA0363" w:rsidP="00FA0363">
      <w:pPr>
        <w:pStyle w:val="13"/>
      </w:pPr>
      <w:r>
        <w:rPr>
          <w:rFonts w:hint="eastAsia"/>
        </w:rPr>
        <w:t>其中重点关注职务发明的问题</w:t>
      </w:r>
    </w:p>
    <w:p w14:paraId="420999C4" w14:textId="77777777" w:rsidR="00FA0363" w:rsidRDefault="00FA0363" w:rsidP="00FA0363">
      <w:pPr>
        <w:pStyle w:val="13"/>
      </w:pPr>
      <w:r>
        <w:rPr>
          <w:rFonts w:hint="eastAsia"/>
        </w:rPr>
        <w:t>（二）无形资产的价值问题</w:t>
      </w:r>
    </w:p>
    <w:p w14:paraId="055CC6C7" w14:textId="77777777" w:rsidR="00FA0363" w:rsidRDefault="00FA0363" w:rsidP="00FA0363">
      <w:pPr>
        <w:pStyle w:val="13"/>
      </w:pPr>
      <w:r>
        <w:rPr>
          <w:rFonts w:hint="eastAsia"/>
        </w:rPr>
        <w:t>即是否存在高估、是否导致虚假出资</w:t>
      </w:r>
    </w:p>
    <w:p w14:paraId="53427A36" w14:textId="77777777" w:rsidR="00FA0363" w:rsidRDefault="00FA0363" w:rsidP="00FA0363">
      <w:pPr>
        <w:pStyle w:val="13"/>
      </w:pPr>
      <w:r>
        <w:rPr>
          <w:rFonts w:hint="eastAsia"/>
        </w:rPr>
        <w:t>（三）无形资产出资的程序问题</w:t>
      </w:r>
    </w:p>
    <w:p w14:paraId="3857531E" w14:textId="77777777" w:rsidR="00FA0363" w:rsidRDefault="00FA0363" w:rsidP="00FA0363">
      <w:pPr>
        <w:pStyle w:val="13"/>
      </w:pPr>
      <w:r>
        <w:rPr>
          <w:rFonts w:hint="eastAsia"/>
        </w:rPr>
        <w:t>即是否经过评估和验资，中介是否具备相应资质。</w:t>
      </w:r>
    </w:p>
    <w:p w14:paraId="091C7626" w14:textId="77777777" w:rsidR="00FA0363" w:rsidRDefault="00FA0363" w:rsidP="00FA0363">
      <w:pPr>
        <w:pStyle w:val="13"/>
      </w:pPr>
      <w:r>
        <w:rPr>
          <w:rFonts w:hint="eastAsia"/>
        </w:rPr>
        <w:t>（四）无形资产占比的问题</w:t>
      </w:r>
    </w:p>
    <w:p w14:paraId="23ED57E3" w14:textId="77777777" w:rsidR="00FA0363" w:rsidRDefault="00FA0363" w:rsidP="00FA0363">
      <w:pPr>
        <w:pStyle w:val="ab"/>
        <w:spacing w:before="62" w:after="62"/>
        <w:ind w:firstLine="482"/>
      </w:pPr>
      <w:r>
        <w:rPr>
          <w:rFonts w:hint="eastAsia"/>
        </w:rPr>
        <w:t>四、由无形资产出资导致的问题及其解决方案</w:t>
      </w:r>
    </w:p>
    <w:p w14:paraId="63516F43" w14:textId="77777777" w:rsidR="00FA0363" w:rsidRDefault="00FA0363" w:rsidP="00FA0363">
      <w:pPr>
        <w:pStyle w:val="13"/>
      </w:pPr>
      <w:r>
        <w:rPr>
          <w:rFonts w:hint="eastAsia"/>
        </w:rPr>
        <w:t>（一）产权归属问题解决方案包括</w:t>
      </w:r>
    </w:p>
    <w:p w14:paraId="46264856" w14:textId="77777777" w:rsidR="00FA0363" w:rsidRDefault="00FA0363" w:rsidP="00FA0363">
      <w:pPr>
        <w:pStyle w:val="13"/>
      </w:pPr>
      <w:r>
        <w:lastRenderedPageBreak/>
        <w:t>1、在规定的期限内办理产权转移手续</w:t>
      </w:r>
    </w:p>
    <w:p w14:paraId="45B1F3C4" w14:textId="77777777" w:rsidR="00FA0363" w:rsidRDefault="00FA0363" w:rsidP="00FA0363">
      <w:pPr>
        <w:pStyle w:val="13"/>
      </w:pPr>
      <w:r>
        <w:t>2、超出期限的情况下，由公司无偿使用，需要补办产权转移手续并出具补充验资报告。</w:t>
      </w:r>
    </w:p>
    <w:p w14:paraId="56E18EF4" w14:textId="77777777" w:rsidR="00FA0363" w:rsidRDefault="00FA0363" w:rsidP="00FA0363">
      <w:pPr>
        <w:pStyle w:val="13"/>
      </w:pPr>
      <w:r>
        <w:t>3、产权转移存在重大障碍的，应以等额货币补足出资。如遇增值，</w:t>
      </w:r>
      <w:proofErr w:type="gramStart"/>
      <w:r>
        <w:t>应按拟出资</w:t>
      </w:r>
      <w:proofErr w:type="gramEnd"/>
      <w:r>
        <w:t>资产的现市值代替原始出资，应出资资产的增值部分归属公司。繁殖，</w:t>
      </w:r>
      <w:proofErr w:type="gramStart"/>
      <w:r>
        <w:t>如遇拟出资</w:t>
      </w:r>
      <w:proofErr w:type="gramEnd"/>
      <w:r>
        <w:t>资产贬值，应按原定出资额出资，有关损失由有过错的股东承担。</w:t>
      </w:r>
    </w:p>
    <w:p w14:paraId="2635FDEF" w14:textId="77777777" w:rsidR="00FA0363" w:rsidRDefault="00FA0363" w:rsidP="00FA0363">
      <w:pPr>
        <w:pStyle w:val="13"/>
      </w:pPr>
      <w:r>
        <w:t>4、职务发明问题。职务发明是比较容易引发纠纷的问题。一般的解决思路是，如果是公司用无形资产出资，就要设法证明该项无形资产属于职务发明；如果是自然人股东以无形资产出资，就要设法证明该无形资产不属于职务发明。</w:t>
      </w:r>
    </w:p>
    <w:p w14:paraId="005B84C2" w14:textId="77777777" w:rsidR="00FA0363" w:rsidRDefault="00FA0363" w:rsidP="00FA0363">
      <w:pPr>
        <w:pStyle w:val="13"/>
      </w:pPr>
      <w:r>
        <w:rPr>
          <w:rFonts w:hint="eastAsia"/>
        </w:rPr>
        <w:t>如果涉及职务发明，只能依会计差错以减资方式进行，减资公告后，注销无形资产（按照目前会计准则职务发明不是确认价值的），为弥补减资后对公司的影响，通常会采用等值货币再行增资至原来水平。</w:t>
      </w:r>
    </w:p>
    <w:p w14:paraId="5200AC2A" w14:textId="77777777" w:rsidR="00FA0363" w:rsidRDefault="00FA0363" w:rsidP="00FA0363">
      <w:pPr>
        <w:pStyle w:val="13"/>
      </w:pPr>
      <w:r>
        <w:rPr>
          <w:rFonts w:hint="eastAsia"/>
        </w:rPr>
        <w:t>（二）无形资产价值问题</w:t>
      </w:r>
    </w:p>
    <w:p w14:paraId="7ED9AF1B" w14:textId="77777777" w:rsidR="00FA0363" w:rsidRDefault="00FA0363" w:rsidP="00FA0363">
      <w:pPr>
        <w:pStyle w:val="13"/>
      </w:pPr>
      <w:r>
        <w:t>1、如果不存在产权问题，且价值评估手续完备的，则可能需要结合当时情况做具体分析，有时并不一定被认为出资不实。一般来说，在处理价值高估问题时，应在相</w:t>
      </w:r>
      <w:r>
        <w:rPr>
          <w:rFonts w:hint="eastAsia"/>
        </w:rPr>
        <w:t>关的董事会、股东会或交易文本中按以下口径说明比较好：发现技术未能发挥原来估计的作用，作价偏高，经重新评估，股东协商调低作价或者原股东补足作价偏高的部分，这样比较容易解释为价值评估或客观情况发生变化等方面的问题而非出资不实。</w:t>
      </w:r>
    </w:p>
    <w:p w14:paraId="001FA3F6" w14:textId="77777777" w:rsidR="00FA0363" w:rsidRDefault="00FA0363" w:rsidP="00FA0363">
      <w:pPr>
        <w:pStyle w:val="13"/>
      </w:pPr>
      <w:r>
        <w:t>2、一般的会计处理方式是：</w:t>
      </w:r>
    </w:p>
    <w:p w14:paraId="58E1BF4D" w14:textId="77777777" w:rsidR="00FA0363" w:rsidRDefault="00FA0363" w:rsidP="00FA0363">
      <w:pPr>
        <w:pStyle w:val="13"/>
      </w:pPr>
      <w:r>
        <w:rPr>
          <w:rFonts w:hint="eastAsia"/>
        </w:rPr>
        <w:t>如果出资资产对公司没有价值或不适用于公司经营，由出资股东将账面余额用等值货币或其他资产回购，对不实摊销的部分再以等值货币或其他资产补足。</w:t>
      </w:r>
    </w:p>
    <w:p w14:paraId="6774C9E2" w14:textId="77777777" w:rsidR="00FA0363" w:rsidRDefault="00FA0363" w:rsidP="00FA0363">
      <w:pPr>
        <w:pStyle w:val="13"/>
      </w:pPr>
      <w:r>
        <w:rPr>
          <w:rFonts w:hint="eastAsia"/>
        </w:rPr>
        <w:t>如果出资资产对公司经营非常必要，先将无形资产全部做减值处理，再由原出自股东将减值补足，计入资本公积。将不实摊销的部分再以等值货币或其他资产补足。</w:t>
      </w:r>
    </w:p>
    <w:p w14:paraId="0671D452" w14:textId="77777777" w:rsidR="00FA0363" w:rsidRDefault="00FA0363" w:rsidP="00FA0363">
      <w:pPr>
        <w:pStyle w:val="13"/>
      </w:pPr>
      <w:r>
        <w:t>3、2009年保代培训材料</w:t>
      </w:r>
    </w:p>
    <w:p w14:paraId="57EB12DF" w14:textId="77777777" w:rsidR="00FA0363" w:rsidRDefault="00FA0363" w:rsidP="00FA0363">
      <w:pPr>
        <w:pStyle w:val="13"/>
      </w:pPr>
      <w:r>
        <w:rPr>
          <w:rFonts w:hint="eastAsia"/>
        </w:rPr>
        <w:t>“对于企业历史上的出资资产质量差、评估价值较高的情况，属于会计问题，应合理计提减值。如要对评估增值过高的出资进行现金补足，不需要对出资资产的会计处理进行追溯调整，补足的现金直接计入资本公积。”</w:t>
      </w:r>
    </w:p>
    <w:p w14:paraId="703FE0FB" w14:textId="77777777" w:rsidR="00FA0363" w:rsidRDefault="00FA0363" w:rsidP="00FA0363">
      <w:pPr>
        <w:pStyle w:val="13"/>
      </w:pPr>
      <w:r>
        <w:t>4、2010年保代培训材料</w:t>
      </w:r>
    </w:p>
    <w:p w14:paraId="5DA6F392" w14:textId="77777777" w:rsidR="00FA0363" w:rsidRDefault="00FA0363" w:rsidP="00FA0363">
      <w:pPr>
        <w:pStyle w:val="13"/>
      </w:pPr>
      <w:r>
        <w:rPr>
          <w:rFonts w:hint="eastAsia"/>
        </w:rPr>
        <w:t>“如历史上确实存在出资问题，如出资不实、虚假出资、资产高估、抽逃出资</w:t>
      </w:r>
      <w:r>
        <w:t>等，应有相应的补救措施，补救后不会对现在造成不利影响，补救完后应运行一段时间，这与创业板是一致的。”</w:t>
      </w:r>
    </w:p>
    <w:p w14:paraId="68DB0194" w14:textId="77777777" w:rsidR="00FA0363" w:rsidRDefault="00FA0363" w:rsidP="00FA0363">
      <w:pPr>
        <w:pStyle w:val="13"/>
      </w:pPr>
      <w:r>
        <w:rPr>
          <w:rFonts w:hint="eastAsia"/>
        </w:rPr>
        <w:t>同时，根据保代培训显示的信息</w:t>
      </w:r>
      <w:r>
        <w:t>:</w:t>
      </w:r>
    </w:p>
    <w:p w14:paraId="34D866EE" w14:textId="77777777" w:rsidR="00FA0363" w:rsidRDefault="00FA0363" w:rsidP="00FA0363">
      <w:pPr>
        <w:pStyle w:val="13"/>
      </w:pPr>
      <w:r>
        <w:t>---出资不到位比例&gt;50%，补足并等待36个月；</w:t>
      </w:r>
    </w:p>
    <w:p w14:paraId="6CF17BF8" w14:textId="77777777" w:rsidR="00FA0363" w:rsidRDefault="00FA0363" w:rsidP="00FA0363">
      <w:pPr>
        <w:pStyle w:val="13"/>
      </w:pPr>
      <w:r>
        <w:lastRenderedPageBreak/>
        <w:t>---出资不到位30-50%之间，补足并等待1个会计年度；</w:t>
      </w:r>
    </w:p>
    <w:p w14:paraId="072DCC30" w14:textId="77777777" w:rsidR="00FA0363" w:rsidRDefault="00FA0363" w:rsidP="00FA0363">
      <w:pPr>
        <w:pStyle w:val="13"/>
      </w:pPr>
      <w:r>
        <w:t>---出资不到位&lt;30%，补足即可。一般来说，比例越大风险越高。</w:t>
      </w:r>
    </w:p>
    <w:p w14:paraId="02FF00EB" w14:textId="77777777" w:rsidR="00FA0363" w:rsidRDefault="00FA0363" w:rsidP="00FA0363">
      <w:pPr>
        <w:pStyle w:val="13"/>
      </w:pPr>
      <w:r>
        <w:t>5、2011年保代培训材料设立及出资问题：</w:t>
      </w:r>
    </w:p>
    <w:p w14:paraId="0BD2E2AF" w14:textId="77777777" w:rsidR="00FA0363" w:rsidRDefault="00FA0363" w:rsidP="00FA0363">
      <w:pPr>
        <w:pStyle w:val="13"/>
      </w:pPr>
      <w:r>
        <w:rPr>
          <w:rFonts w:hint="eastAsia"/>
        </w:rPr>
        <w:t>（</w:t>
      </w:r>
      <w:r>
        <w:t>1）案例（无验资报告，但完成了工商注册）：A、无验资报告无法确定出资是否缴足？B、省级人民政府确认，不够，在无验资报告的情况下完成工商注册，违规，需要请国家工商局确认当地工商主管单位行政行为的效力。</w:t>
      </w:r>
    </w:p>
    <w:p w14:paraId="344F069B" w14:textId="77777777" w:rsidR="00FA0363" w:rsidRDefault="00FA0363" w:rsidP="00FA0363">
      <w:pPr>
        <w:pStyle w:val="13"/>
      </w:pPr>
      <w:r>
        <w:rPr>
          <w:rFonts w:hint="eastAsia"/>
        </w:rPr>
        <w:t>（</w:t>
      </w:r>
      <w:r>
        <w:t>2）注册子公司的出资也必须缴足，出资未缴足视同出资不实。</w:t>
      </w:r>
    </w:p>
    <w:p w14:paraId="56BD272A" w14:textId="77777777" w:rsidR="00FA0363" w:rsidRDefault="00FA0363" w:rsidP="00FA0363">
      <w:pPr>
        <w:pStyle w:val="13"/>
      </w:pPr>
      <w:r>
        <w:rPr>
          <w:rFonts w:hint="eastAsia"/>
        </w:rPr>
        <w:t>（</w:t>
      </w:r>
      <w:r>
        <w:t>3）出资不实的，事后规范整改，如实信息披露，另外：欠缴出资占注册</w:t>
      </w:r>
    </w:p>
    <w:p w14:paraId="31945010" w14:textId="77777777" w:rsidR="00FA0363" w:rsidRDefault="00FA0363" w:rsidP="00FA0363">
      <w:pPr>
        <w:pStyle w:val="13"/>
      </w:pPr>
      <w:r>
        <w:rPr>
          <w:rFonts w:hint="eastAsia"/>
        </w:rPr>
        <w:t>资本</w:t>
      </w:r>
      <w:r>
        <w:t>50%以上的，规范后运行36个月，占比20%－50%的，规范后运行12个月。</w:t>
      </w:r>
    </w:p>
    <w:p w14:paraId="21D030DC" w14:textId="77777777" w:rsidR="00FA0363" w:rsidRDefault="00FA0363" w:rsidP="00FA0363">
      <w:pPr>
        <w:pStyle w:val="13"/>
      </w:pPr>
      <w:r>
        <w:rPr>
          <w:rFonts w:hint="eastAsia"/>
        </w:rPr>
        <w:t>（</w:t>
      </w:r>
      <w:r>
        <w:t>4）抽逃出资的，规范后不构成发行障碍。解决方案：工商出确认意见同时提供出资归还的充分证据材料。建议规范后运行36个月。</w:t>
      </w:r>
    </w:p>
    <w:p w14:paraId="4AEF207E" w14:textId="77777777" w:rsidR="00FA0363" w:rsidRDefault="00FA0363" w:rsidP="00FA0363">
      <w:pPr>
        <w:pStyle w:val="13"/>
      </w:pPr>
      <w:r>
        <w:rPr>
          <w:rFonts w:hint="eastAsia"/>
        </w:rPr>
        <w:t>（</w:t>
      </w:r>
      <w:r>
        <w:t>5）技术出资问题要关注是否属于职务成果。技术出资比例不宜过高，需提供技术出资的评估报告。若用于增资的技术与发行人业务相关，要详细核查是否是职务成果。重点关注：控股股东、实际控制人手里是否有与发行人业务相关的技术尚未进入发行人，所出资的无形资产存在大额未摊销时，是否已采取措施消除潜在影响。</w:t>
      </w:r>
    </w:p>
    <w:p w14:paraId="52BE60EE" w14:textId="77777777" w:rsidR="00FA0363" w:rsidRDefault="00FA0363" w:rsidP="00FA0363">
      <w:pPr>
        <w:pStyle w:val="13"/>
      </w:pPr>
      <w:r>
        <w:rPr>
          <w:rFonts w:hint="eastAsia"/>
        </w:rPr>
        <w:t>关注知识产权、专利、技术相关的法律风险、潜在纠纷，</w:t>
      </w:r>
      <w:r>
        <w:t>前期尽职调查时要充分核查。发行人的技术优势、创新性不体现在专利的数量（审核中重发明专利、轻外观及实用新型），关键在于源于核心技术的经济效益的金额及比例。</w:t>
      </w:r>
    </w:p>
    <w:p w14:paraId="6C997E86" w14:textId="77777777" w:rsidR="00FA0363" w:rsidRDefault="00FA0363" w:rsidP="00FA0363">
      <w:pPr>
        <w:pStyle w:val="13"/>
      </w:pPr>
      <w:r>
        <w:rPr>
          <w:rFonts w:hint="eastAsia"/>
        </w:rPr>
        <w:t>小结：对于无形资产价值问题的弥补措施，主要包括置换和补足，如果是无形资产的评估值远超过资产的真实值，或者专利被覆盖，也可以采取全额计提减值准备的方式，使净资产保持持续真实。</w:t>
      </w:r>
    </w:p>
    <w:p w14:paraId="5797C261" w14:textId="77777777" w:rsidR="00FA0363" w:rsidRDefault="00FA0363" w:rsidP="00FA0363">
      <w:pPr>
        <w:pStyle w:val="13"/>
      </w:pPr>
      <w:r>
        <w:rPr>
          <w:rFonts w:hint="eastAsia"/>
        </w:rPr>
        <w:t>（三）无形资产出资程序问题</w:t>
      </w:r>
    </w:p>
    <w:p w14:paraId="7408EC0F" w14:textId="77777777" w:rsidR="00FA0363" w:rsidRDefault="00FA0363" w:rsidP="00FA0363">
      <w:pPr>
        <w:pStyle w:val="13"/>
      </w:pPr>
      <w:r>
        <w:t>1、没有评估报告</w:t>
      </w:r>
    </w:p>
    <w:p w14:paraId="15550013" w14:textId="77777777" w:rsidR="00FA0363" w:rsidRDefault="00FA0363" w:rsidP="00FA0363">
      <w:pPr>
        <w:pStyle w:val="13"/>
      </w:pPr>
      <w:r>
        <w:rPr>
          <w:rFonts w:hint="eastAsia"/>
        </w:rPr>
        <w:t>由保荐人核查，并就是否存在出资不实出具意见。在不存在恶意行为、不造成出资不实，或是通过评估复核等手段予以验证，或是价值已摊销完毕并转化为经营成</w:t>
      </w:r>
      <w:r>
        <w:t>果、对未来没有影响、不存在潜在风险的情况下，不会构成上市障碍。</w:t>
      </w:r>
    </w:p>
    <w:p w14:paraId="78F09FDB" w14:textId="77777777" w:rsidR="00FA0363" w:rsidRDefault="00FA0363" w:rsidP="00FA0363">
      <w:pPr>
        <w:pStyle w:val="13"/>
      </w:pPr>
      <w:r>
        <w:t>2、验资报告存在瑕疵</w:t>
      </w:r>
    </w:p>
    <w:p w14:paraId="42319549" w14:textId="77777777" w:rsidR="00FA0363" w:rsidRDefault="00FA0363" w:rsidP="00FA0363">
      <w:pPr>
        <w:pStyle w:val="13"/>
      </w:pPr>
      <w:r>
        <w:rPr>
          <w:rFonts w:hint="eastAsia"/>
        </w:rPr>
        <w:t>由发行人的会计师进行复核，说明出资真实足额、有效、完整；由保荐人和律师出具专业意见，说明出资的真实性、合法性和充实性。</w:t>
      </w:r>
    </w:p>
    <w:p w14:paraId="0338EDC3" w14:textId="77777777" w:rsidR="00FA0363" w:rsidRDefault="00FA0363" w:rsidP="00FA0363">
      <w:pPr>
        <w:pStyle w:val="13"/>
      </w:pPr>
      <w:r>
        <w:rPr>
          <w:rFonts w:hint="eastAsia"/>
        </w:rPr>
        <w:t>另外，北京市工商局规定出资可以没有验资报告，但是也有着严格的程序：①如果是货币出资，需要全部银行入账单和审计报告以确认公司收到出资；②如果是非货币性出资，则需要评估报告和审计报告，说白了这个审计报告有点验资报告的意味。那么在这种情况下，尽管没有验资报告，只要能取得入账单或者评估报告也是可以验证股东出资的真实性和充实性的。</w:t>
      </w:r>
    </w:p>
    <w:p w14:paraId="3A05F5F5" w14:textId="77777777" w:rsidR="00FA0363" w:rsidRDefault="00FA0363" w:rsidP="00FA0363">
      <w:pPr>
        <w:pStyle w:val="13"/>
      </w:pPr>
      <w:r>
        <w:lastRenderedPageBreak/>
        <w:t>3、中介机构没有相应资质</w:t>
      </w:r>
    </w:p>
    <w:p w14:paraId="11B9809D" w14:textId="77777777" w:rsidR="00FA0363" w:rsidRDefault="00FA0363" w:rsidP="00FA0363">
      <w:pPr>
        <w:pStyle w:val="13"/>
      </w:pPr>
      <w:r>
        <w:rPr>
          <w:rFonts w:hint="eastAsia"/>
        </w:rPr>
        <w:t>执行上市业务的验资机构和评估机构必须具有证券从业资格。如果验资机构不具备相应资质，需要对其出具的报告进行复核。复核时掌握的标准如下：（</w:t>
      </w:r>
      <w:r>
        <w:t>1）申报期内的验资/评估需要复核，申报期外的可不复核。（2）资本项下的增资/出资行为需要复核，经营项下的可不复核。（3）涉及金额重大的需要复核，申报期外金额巨大的也需复核。（4）子公司非常重要的需要复核，一般子公司可不复核。</w:t>
      </w:r>
    </w:p>
    <w:p w14:paraId="1487D1E4" w14:textId="77777777" w:rsidR="00FA0363" w:rsidRDefault="00FA0363" w:rsidP="00FA0363">
      <w:pPr>
        <w:pStyle w:val="13"/>
      </w:pPr>
      <w:r>
        <w:t>4、无形资产占比过高</w:t>
      </w:r>
    </w:p>
    <w:p w14:paraId="398BDCEA" w14:textId="77777777" w:rsidR="00FA0363" w:rsidRDefault="00FA0363" w:rsidP="00FA0363">
      <w:pPr>
        <w:pStyle w:val="13"/>
      </w:pPr>
      <w:r>
        <w:rPr>
          <w:rFonts w:hint="eastAsia"/>
        </w:rPr>
        <w:t>新《公司法》实施后成立的公司一般不存在这种问题，这种情况一般出现在新《公司法》实施以前，系历史遗留问题。</w:t>
      </w:r>
    </w:p>
    <w:p w14:paraId="45A6C29E" w14:textId="77777777" w:rsidR="00FA0363" w:rsidRDefault="00FA0363" w:rsidP="00FA0363">
      <w:pPr>
        <w:pStyle w:val="13"/>
      </w:pPr>
      <w:r>
        <w:rPr>
          <w:rFonts w:hint="eastAsia"/>
        </w:rPr>
        <w:t>出现这种情况，需要如实披露，承认有不规范且瑕疵的地方；</w:t>
      </w:r>
    </w:p>
    <w:p w14:paraId="2984F76C" w14:textId="77777777" w:rsidR="00FA0363" w:rsidRDefault="00FA0363" w:rsidP="00FA0363">
      <w:pPr>
        <w:pStyle w:val="13"/>
      </w:pPr>
      <w:r>
        <w:rPr>
          <w:rFonts w:hint="eastAsia"/>
        </w:rPr>
        <w:t>说明无形资产是高新技术成果，并与发行人的主营业务高度相关，必要时需寻找相关的文件支持，如深圳市工商局、北京市工商局等对于无形资产出资都有一些相对比较灵活的政策。寻求工商等相关部门的认可。</w:t>
      </w:r>
    </w:p>
    <w:p w14:paraId="6D14C3C5" w14:textId="77777777" w:rsidR="00FA0363" w:rsidRDefault="00FA0363" w:rsidP="00FA0363">
      <w:pPr>
        <w:pStyle w:val="13"/>
      </w:pPr>
      <w:r>
        <w:rPr>
          <w:rFonts w:hint="eastAsia"/>
        </w:rPr>
        <w:t>说明不存在出资不实的问题，不会对企业的后续经营及股东利益构成实质性影响。</w:t>
      </w:r>
    </w:p>
    <w:p w14:paraId="50A75F17" w14:textId="77777777" w:rsidR="00FA0363" w:rsidRDefault="00FA0363" w:rsidP="00FA0363">
      <w:pPr>
        <w:pStyle w:val="13"/>
      </w:pPr>
      <w:r>
        <w:rPr>
          <w:rFonts w:hint="eastAsia"/>
        </w:rPr>
        <w:t>无形资产每年需要摊销，如果申报期无形资产余额比例已经低于</w:t>
      </w:r>
      <w:r>
        <w:t>20%，则属于历</w:t>
      </w:r>
      <w:r>
        <w:rPr>
          <w:rFonts w:hint="eastAsia"/>
        </w:rPr>
        <w:t>史问题一般不会成为障碍；</w:t>
      </w:r>
    </w:p>
    <w:p w14:paraId="3FF7DF61" w14:textId="77777777" w:rsidR="00FA0363" w:rsidRDefault="00FA0363" w:rsidP="00FA0363">
      <w:pPr>
        <w:pStyle w:val="13"/>
      </w:pPr>
      <w:r>
        <w:rPr>
          <w:rFonts w:hint="eastAsia"/>
        </w:rPr>
        <w:t>如果历史遗留问题对发行构成持续性影响，建议还是以等额货币置换超标无形资产。</w:t>
      </w:r>
    </w:p>
    <w:p w14:paraId="114398CC" w14:textId="77777777" w:rsidR="00FA0363" w:rsidRPr="00747537" w:rsidRDefault="00FA0363" w:rsidP="00FA0363">
      <w:pPr>
        <w:pStyle w:val="21"/>
        <w:spacing w:before="156" w:after="93"/>
      </w:pPr>
      <w:bookmarkStart w:id="331" w:name="_Toc81833564"/>
      <w:r w:rsidRPr="00747537">
        <w:rPr>
          <w:rFonts w:hint="eastAsia"/>
        </w:rPr>
        <w:t>涉外资业务</w:t>
      </w:r>
      <w:bookmarkEnd w:id="331"/>
    </w:p>
    <w:p w14:paraId="6949817B" w14:textId="77777777" w:rsidR="00FA0363" w:rsidRDefault="00FA0363" w:rsidP="00FA0363">
      <w:pPr>
        <w:pStyle w:val="31"/>
        <w:spacing w:before="156" w:after="62"/>
      </w:pPr>
      <w:bookmarkStart w:id="332" w:name="_Toc81833565"/>
      <w:r>
        <w:rPr>
          <w:rFonts w:hint="eastAsia"/>
        </w:rPr>
        <w:t>《国家外汇管理局关于授权分局办理外商投资企业转股、清算外汇业务的通知》（</w:t>
      </w:r>
      <w:proofErr w:type="gramStart"/>
      <w:r>
        <w:rPr>
          <w:rFonts w:hint="eastAsia"/>
        </w:rPr>
        <w:t>汇发〔</w:t>
      </w:r>
      <w:r>
        <w:t>1999〕</w:t>
      </w:r>
      <w:proofErr w:type="gramEnd"/>
      <w:r>
        <w:t>397号）</w:t>
      </w:r>
      <w:bookmarkEnd w:id="332"/>
    </w:p>
    <w:p w14:paraId="43F92E70" w14:textId="77777777" w:rsidR="00FA0363" w:rsidRDefault="00FA0363" w:rsidP="00FA0363">
      <w:pPr>
        <w:pStyle w:val="13"/>
      </w:pPr>
      <w:r>
        <w:rPr>
          <w:rFonts w:hint="eastAsia"/>
        </w:rPr>
        <w:t>国家外汇管理局各分局，北京、重庆外汇管理部、大连、青岛、宁波、厦门、深圳分局：</w:t>
      </w:r>
    </w:p>
    <w:p w14:paraId="497767F6" w14:textId="77777777" w:rsidR="00FA0363" w:rsidRDefault="00FA0363" w:rsidP="00FA0363">
      <w:pPr>
        <w:pStyle w:val="13"/>
      </w:pPr>
      <w:r>
        <w:t>1998年9月，根据形势的需要和资本项目一些操作环节不规范的情况，国家外汇管理局下发了《关于加强资本项目外汇管理若干问题的通知》（</w:t>
      </w:r>
      <w:proofErr w:type="gramStart"/>
      <w:r>
        <w:t>汇发〔1998〕</w:t>
      </w:r>
      <w:proofErr w:type="gramEnd"/>
      <w:r>
        <w:t>21号），其中第三条第九款规定：境内机构转让股份（股权）和境内机构依法清算后的资金，需购汇汇出的，应经国家外汇管理局批准。这一规定对于规范操作起到了很好的作用。</w:t>
      </w:r>
    </w:p>
    <w:p w14:paraId="04DC2A14" w14:textId="77777777" w:rsidR="00FA0363" w:rsidRDefault="00FA0363" w:rsidP="00FA0363">
      <w:pPr>
        <w:pStyle w:val="13"/>
      </w:pPr>
      <w:r>
        <w:rPr>
          <w:rFonts w:hint="eastAsia"/>
        </w:rPr>
        <w:t>鉴于该项业务已基本规范，为了进一步改善外商投资环境，减少公文运转时间，提高工作效率，经研究决定：</w:t>
      </w:r>
    </w:p>
    <w:p w14:paraId="0D46EF5A" w14:textId="77777777" w:rsidR="00FA0363" w:rsidRDefault="00FA0363" w:rsidP="00FA0363">
      <w:pPr>
        <w:pStyle w:val="13"/>
        <w:ind w:firstLine="482"/>
      </w:pPr>
      <w:r w:rsidRPr="000127D2">
        <w:rPr>
          <w:rStyle w:val="ac"/>
          <w:rFonts w:hint="eastAsia"/>
        </w:rPr>
        <w:t>一、</w:t>
      </w:r>
      <w:r>
        <w:rPr>
          <w:rFonts w:hint="eastAsia"/>
        </w:rPr>
        <w:t>将外商投资企业转股、清算购汇审批权限下放至国家外汇管理局各省、自治区、直辖市分局、北京、重庆外汇管理部、大连、青岛、宁波、厦门、深圳分局（以</w:t>
      </w:r>
      <w:r>
        <w:rPr>
          <w:rFonts w:hint="eastAsia"/>
        </w:rPr>
        <w:lastRenderedPageBreak/>
        <w:t>下简称外汇分局），各外汇分局审批后逐笔报国家外汇管理局资本项目管理司备案。</w:t>
      </w:r>
    </w:p>
    <w:p w14:paraId="7558F801" w14:textId="77777777" w:rsidR="00FA0363" w:rsidRDefault="00FA0363" w:rsidP="00FA0363">
      <w:pPr>
        <w:pStyle w:val="13"/>
        <w:ind w:firstLine="482"/>
      </w:pPr>
      <w:r w:rsidRPr="000127D2">
        <w:rPr>
          <w:rStyle w:val="ac"/>
          <w:rFonts w:hint="eastAsia"/>
        </w:rPr>
        <w:t>二、</w:t>
      </w:r>
      <w:r>
        <w:rPr>
          <w:rFonts w:hint="eastAsia"/>
        </w:rPr>
        <w:t>外商投资企业外方向中方转让股权，中方</w:t>
      </w:r>
      <w:r>
        <w:t>申请购付汇支付外方股权转让价款时须向所在地外汇局提供以下审核材料：</w:t>
      </w:r>
    </w:p>
    <w:p w14:paraId="712F33EC" w14:textId="77777777" w:rsidR="00FA0363" w:rsidRDefault="00FA0363" w:rsidP="00FA0363">
      <w:pPr>
        <w:pStyle w:val="13"/>
      </w:pPr>
      <w:r>
        <w:t>1、书面申请；</w:t>
      </w:r>
    </w:p>
    <w:p w14:paraId="3AE7E4CA" w14:textId="77777777" w:rsidR="00FA0363" w:rsidRDefault="00FA0363" w:rsidP="00FA0363">
      <w:pPr>
        <w:pStyle w:val="13"/>
      </w:pPr>
      <w:r>
        <w:t>2、外汇登记证；</w:t>
      </w:r>
    </w:p>
    <w:p w14:paraId="6D40DD31" w14:textId="77777777" w:rsidR="00FA0363" w:rsidRDefault="00FA0363" w:rsidP="00FA0363">
      <w:pPr>
        <w:pStyle w:val="13"/>
      </w:pPr>
      <w:r>
        <w:t>3、转股协议；</w:t>
      </w:r>
    </w:p>
    <w:p w14:paraId="6C728966" w14:textId="77777777" w:rsidR="00FA0363" w:rsidRDefault="00FA0363" w:rsidP="00FA0363">
      <w:pPr>
        <w:pStyle w:val="13"/>
      </w:pPr>
      <w:r>
        <w:t>4、外经贸部门关于所投资企业股权结构变更的批复文件；</w:t>
      </w:r>
    </w:p>
    <w:p w14:paraId="010DFDC7" w14:textId="77777777" w:rsidR="00FA0363" w:rsidRDefault="00FA0363" w:rsidP="00FA0363">
      <w:pPr>
        <w:pStyle w:val="13"/>
      </w:pPr>
      <w:r>
        <w:t>5、股权变更后企业的营业执照、批准证书、经批准生效的合资合同与章程；</w:t>
      </w:r>
    </w:p>
    <w:p w14:paraId="10CD682E" w14:textId="77777777" w:rsidR="00FA0363" w:rsidRDefault="00FA0363" w:rsidP="00FA0363">
      <w:pPr>
        <w:pStyle w:val="13"/>
      </w:pPr>
      <w:r>
        <w:t>6、原外商投资企业最近一期验资报告及审计报告或有效的资产评估报告；</w:t>
      </w:r>
    </w:p>
    <w:p w14:paraId="3322589F" w14:textId="77777777" w:rsidR="00FA0363" w:rsidRDefault="00FA0363" w:rsidP="00FA0363">
      <w:pPr>
        <w:pStyle w:val="13"/>
      </w:pPr>
      <w:r>
        <w:t>7、申请之日中方所有外汇账户对账单；</w:t>
      </w:r>
    </w:p>
    <w:p w14:paraId="47AE9BAC" w14:textId="77777777" w:rsidR="00FA0363" w:rsidRDefault="00FA0363" w:rsidP="00FA0363">
      <w:pPr>
        <w:pStyle w:val="13"/>
      </w:pPr>
      <w:r>
        <w:t>8、外方若有转股收益，中方应出具代扣代缴预提所得税完税凭证；</w:t>
      </w:r>
    </w:p>
    <w:p w14:paraId="1096F7C2" w14:textId="77777777" w:rsidR="00FA0363" w:rsidRDefault="00FA0363" w:rsidP="00FA0363">
      <w:pPr>
        <w:pStyle w:val="13"/>
      </w:pPr>
      <w:r>
        <w:t>9、视情况要求补充的其它材料。</w:t>
      </w:r>
    </w:p>
    <w:p w14:paraId="0AAB763E" w14:textId="77777777" w:rsidR="00FA0363" w:rsidRDefault="00FA0363" w:rsidP="00FA0363">
      <w:pPr>
        <w:pStyle w:val="13"/>
      </w:pPr>
      <w:r>
        <w:rPr>
          <w:rFonts w:hint="eastAsia"/>
        </w:rPr>
        <w:t>三、外商投资企业清算结业，企业申请购付汇支付外方清算所得款时须向所在地外汇局提供以下审核材料：</w:t>
      </w:r>
    </w:p>
    <w:p w14:paraId="6EE3D4CE" w14:textId="77777777" w:rsidR="00FA0363" w:rsidRDefault="00FA0363" w:rsidP="00FA0363">
      <w:pPr>
        <w:pStyle w:val="13"/>
      </w:pPr>
      <w:r>
        <w:t>1、书面申请；</w:t>
      </w:r>
    </w:p>
    <w:p w14:paraId="3567CA17" w14:textId="77777777" w:rsidR="00FA0363" w:rsidRDefault="00FA0363" w:rsidP="00FA0363">
      <w:pPr>
        <w:pStyle w:val="13"/>
      </w:pPr>
      <w:r>
        <w:t>2、外汇登记证正本；</w:t>
      </w:r>
    </w:p>
    <w:p w14:paraId="69C09385" w14:textId="77777777" w:rsidR="00FA0363" w:rsidRDefault="00FA0363" w:rsidP="00FA0363">
      <w:pPr>
        <w:pStyle w:val="13"/>
      </w:pPr>
      <w:r>
        <w:t>3、外经贸部门关于企业清算结业的批复文件；</w:t>
      </w:r>
    </w:p>
    <w:p w14:paraId="1BE833E1" w14:textId="77777777" w:rsidR="00FA0363" w:rsidRDefault="00FA0363" w:rsidP="00FA0363">
      <w:pPr>
        <w:pStyle w:val="13"/>
      </w:pPr>
      <w:r>
        <w:t>4、清算委员会的清算决议；</w:t>
      </w:r>
    </w:p>
    <w:p w14:paraId="361AFB0E" w14:textId="77777777" w:rsidR="00FA0363" w:rsidRDefault="00FA0363" w:rsidP="00FA0363">
      <w:pPr>
        <w:pStyle w:val="13"/>
      </w:pPr>
      <w:r>
        <w:t>5、验资报告；</w:t>
      </w:r>
    </w:p>
    <w:p w14:paraId="441E2A64" w14:textId="77777777" w:rsidR="00FA0363" w:rsidRDefault="00FA0363" w:rsidP="00FA0363">
      <w:pPr>
        <w:pStyle w:val="13"/>
      </w:pPr>
      <w:r>
        <w:t>6、会计师事务所出具的清算报告；</w:t>
      </w:r>
    </w:p>
    <w:p w14:paraId="544D2428" w14:textId="77777777" w:rsidR="00FA0363" w:rsidRDefault="00FA0363" w:rsidP="00FA0363">
      <w:pPr>
        <w:pStyle w:val="13"/>
      </w:pPr>
      <w:r>
        <w:t>7、现有外汇账户开户通知书；</w:t>
      </w:r>
    </w:p>
    <w:p w14:paraId="2E70E69A" w14:textId="77777777" w:rsidR="00FA0363" w:rsidRDefault="00FA0363" w:rsidP="00FA0363">
      <w:pPr>
        <w:pStyle w:val="13"/>
      </w:pPr>
      <w:r>
        <w:t>8、清算结束日外汇账户对账单；</w:t>
      </w:r>
    </w:p>
    <w:p w14:paraId="3C4B7424" w14:textId="77777777" w:rsidR="00FA0363" w:rsidRDefault="00FA0363" w:rsidP="00FA0363">
      <w:pPr>
        <w:pStyle w:val="13"/>
      </w:pPr>
      <w:r>
        <w:t>9、注销税务登记证明；</w:t>
      </w:r>
    </w:p>
    <w:p w14:paraId="35B36CE2" w14:textId="77777777" w:rsidR="00FA0363" w:rsidRDefault="00FA0363" w:rsidP="00FA0363">
      <w:pPr>
        <w:pStyle w:val="13"/>
      </w:pPr>
      <w:r>
        <w:t>10、视情况要求补充的其它材料。</w:t>
      </w:r>
    </w:p>
    <w:p w14:paraId="3F64F1D8" w14:textId="77777777" w:rsidR="00FA0363" w:rsidRDefault="00FA0363" w:rsidP="00FA0363">
      <w:pPr>
        <w:pStyle w:val="13"/>
        <w:ind w:firstLine="482"/>
      </w:pPr>
      <w:r w:rsidRPr="000127D2">
        <w:rPr>
          <w:rStyle w:val="ac"/>
          <w:rFonts w:hint="eastAsia"/>
        </w:rPr>
        <w:t>三、</w:t>
      </w:r>
      <w:proofErr w:type="gramStart"/>
      <w:r>
        <w:rPr>
          <w:rFonts w:hint="eastAsia"/>
        </w:rPr>
        <w:t>汇发〔</w:t>
      </w:r>
      <w:r>
        <w:t>1998〕</w:t>
      </w:r>
      <w:proofErr w:type="gramEnd"/>
      <w:r>
        <w:t>21号文件第三条第九款废止。特此通知。</w:t>
      </w:r>
    </w:p>
    <w:p w14:paraId="1E9EB9D9" w14:textId="77777777" w:rsidR="00FA0363" w:rsidRDefault="00FA0363" w:rsidP="00FA0363">
      <w:pPr>
        <w:pStyle w:val="ab"/>
        <w:spacing w:before="62" w:after="62"/>
        <w:ind w:firstLine="482"/>
      </w:pPr>
      <w:r>
        <w:rPr>
          <w:rFonts w:hint="eastAsia"/>
        </w:rPr>
        <w:t>附件：</w:t>
      </w:r>
    </w:p>
    <w:p w14:paraId="4A4C6D28" w14:textId="77777777" w:rsidR="00FA0363" w:rsidRDefault="00FA0363" w:rsidP="00FA0363">
      <w:pPr>
        <w:pStyle w:val="13"/>
      </w:pPr>
      <w:r>
        <w:rPr>
          <w:rFonts w:hint="eastAsia"/>
        </w:rPr>
        <w:t>一、外商投资企业股权转让外汇业务操作规程</w:t>
      </w:r>
    </w:p>
    <w:p w14:paraId="710481A1" w14:textId="77777777" w:rsidR="00FA0363" w:rsidRDefault="00FA0363" w:rsidP="00FA0363">
      <w:pPr>
        <w:pStyle w:val="13"/>
      </w:pPr>
      <w:r>
        <w:rPr>
          <w:rFonts w:hint="eastAsia"/>
        </w:rPr>
        <w:t>二、外商投资企业清算结业外汇业务操作规程</w:t>
      </w:r>
    </w:p>
    <w:p w14:paraId="54EDDF1E" w14:textId="77777777" w:rsidR="00FA0363" w:rsidRDefault="00FA0363" w:rsidP="00FA0363">
      <w:pPr>
        <w:pStyle w:val="13"/>
        <w:jc w:val="right"/>
      </w:pPr>
      <w:r>
        <w:rPr>
          <w:rFonts w:hint="eastAsia"/>
        </w:rPr>
        <w:t>一九九九年十二月二十二日</w:t>
      </w:r>
    </w:p>
    <w:p w14:paraId="07E28136" w14:textId="77777777" w:rsidR="002B5F6B" w:rsidRDefault="002B5F6B" w:rsidP="002B5F6B">
      <w:pPr>
        <w:pStyle w:val="31"/>
        <w:spacing w:before="156" w:after="62"/>
      </w:pPr>
      <w:bookmarkStart w:id="333" w:name="_Toc81833566"/>
      <w:r>
        <w:rPr>
          <w:rFonts w:hint="eastAsia"/>
        </w:rPr>
        <w:t>《关于外商投资企业对外投资资产评估增减值财务处理问题的通知》</w:t>
      </w:r>
      <w:r>
        <w:br w:type="textWrapping" w:clear="all"/>
      </w:r>
      <w:r>
        <w:rPr>
          <w:rFonts w:hint="eastAsia"/>
        </w:rPr>
        <w:t>（财企〔</w:t>
      </w:r>
      <w:r>
        <w:t>2003〕181号）</w:t>
      </w:r>
      <w:bookmarkEnd w:id="333"/>
    </w:p>
    <w:p w14:paraId="1783A3AD" w14:textId="77777777" w:rsidR="002B5F6B" w:rsidRDefault="002B5F6B" w:rsidP="002B5F6B">
      <w:pPr>
        <w:pStyle w:val="13"/>
        <w:ind w:firstLineChars="0" w:firstLine="0"/>
      </w:pPr>
      <w:r>
        <w:rPr>
          <w:rFonts w:hint="eastAsia"/>
        </w:rPr>
        <w:t>各省、自治区、直辖市、计划单列市财政厅（局）：</w:t>
      </w:r>
    </w:p>
    <w:p w14:paraId="302ADA06" w14:textId="77777777" w:rsidR="002B5F6B" w:rsidRDefault="002B5F6B" w:rsidP="002B5F6B">
      <w:pPr>
        <w:pStyle w:val="13"/>
      </w:pPr>
      <w:r>
        <w:rPr>
          <w:rFonts w:hint="eastAsia"/>
        </w:rPr>
        <w:t>为了适应加入世界贸易组织的要求，促进外商投资企业进一步发展，维护中外各</w:t>
      </w:r>
      <w:r>
        <w:rPr>
          <w:rFonts w:hint="eastAsia"/>
        </w:rPr>
        <w:lastRenderedPageBreak/>
        <w:t>方的长期利益，现就外商投资企业以实物或者无形资产对外投资评估增减值的财务处理问题通知如下：</w:t>
      </w:r>
    </w:p>
    <w:p w14:paraId="76FAD82A" w14:textId="77777777" w:rsidR="002B5F6B" w:rsidRDefault="002B5F6B" w:rsidP="002B5F6B">
      <w:pPr>
        <w:pStyle w:val="13"/>
        <w:ind w:firstLine="482"/>
      </w:pPr>
      <w:r w:rsidRPr="005D014B">
        <w:rPr>
          <w:rFonts w:hint="eastAsia"/>
          <w:b/>
          <w:bCs/>
        </w:rPr>
        <w:t>一、</w:t>
      </w:r>
      <w:r>
        <w:t>外商投资企业以实物或者无形资产对外投资，投出资产的账面价值加上应支付的相关税费（即初始投资成本，下同）大于应享有被投资单位所有者权益份额的差额，作为股权投资差额处理，并按有关规定摊销计入损益；初始投资成本小于应享有被投资单位所有者权益份额的差额，作为资本公积处理。我部1993年下发的《关于印</w:t>
      </w:r>
      <w:r>
        <w:rPr>
          <w:rFonts w:hint="eastAsia"/>
        </w:rPr>
        <w:t>发〈外商投资企业执行新企业财务制度的补充规定〉的通知》〔（</w:t>
      </w:r>
      <w:r>
        <w:t>93）财工字第474</w:t>
      </w:r>
      <w:r>
        <w:rPr>
          <w:rFonts w:hint="eastAsia"/>
        </w:rPr>
        <w:t>号〕相关规定不再执行。</w:t>
      </w:r>
    </w:p>
    <w:p w14:paraId="1043C81C" w14:textId="77777777" w:rsidR="002B5F6B" w:rsidRDefault="002B5F6B" w:rsidP="002B5F6B">
      <w:pPr>
        <w:pStyle w:val="13"/>
        <w:ind w:firstLine="482"/>
      </w:pPr>
      <w:r w:rsidRPr="005D014B">
        <w:rPr>
          <w:rFonts w:hint="eastAsia"/>
          <w:b/>
          <w:bCs/>
        </w:rPr>
        <w:t>二、</w:t>
      </w:r>
      <w:r>
        <w:t>外商投资企业原按财政部（93）财工字第474号文件规定，以实物或者无形资产对外投资评估增减值已经计入损益的，因投出资产评估增减值不产生现金流量，企业在利润分配时应充分考虑这一因素。企业按照原有财务制度规定作为利润处理尚未分配的，可用于以后年度弥补亏损或者转增资本。</w:t>
      </w:r>
    </w:p>
    <w:p w14:paraId="13608F99" w14:textId="77777777" w:rsidR="002B5F6B" w:rsidRDefault="002B5F6B" w:rsidP="002B5F6B">
      <w:pPr>
        <w:pStyle w:val="13"/>
      </w:pPr>
      <w:r>
        <w:rPr>
          <w:rFonts w:hint="eastAsia"/>
        </w:rPr>
        <w:t>财政部</w:t>
      </w:r>
      <w:r>
        <w:t>2003年7月4日颁布</w:t>
      </w:r>
    </w:p>
    <w:p w14:paraId="7A71A79C" w14:textId="1D520467" w:rsidR="002B5F6B" w:rsidRDefault="002B5F6B" w:rsidP="002B5F6B">
      <w:pPr>
        <w:pStyle w:val="31"/>
        <w:spacing w:before="156" w:after="62"/>
      </w:pPr>
      <w:bookmarkStart w:id="334" w:name="_Toc81833567"/>
      <w:r>
        <w:rPr>
          <w:rFonts w:hint="eastAsia"/>
        </w:rPr>
        <w:t>《关于外商投资企业对外投资资产评估增减值财务处理问题的补充通知》</w:t>
      </w:r>
      <w:r>
        <w:br/>
      </w:r>
      <w:r>
        <w:rPr>
          <w:rFonts w:hint="eastAsia"/>
        </w:rPr>
        <w:t>（财企〔</w:t>
      </w:r>
      <w:r>
        <w:t>2004〕134号）</w:t>
      </w:r>
      <w:bookmarkEnd w:id="334"/>
    </w:p>
    <w:p w14:paraId="7538135D" w14:textId="77777777" w:rsidR="002B5F6B" w:rsidRDefault="002B5F6B" w:rsidP="002B5F6B">
      <w:pPr>
        <w:pStyle w:val="13"/>
        <w:ind w:firstLineChars="0" w:firstLine="0"/>
      </w:pPr>
      <w:r>
        <w:rPr>
          <w:rFonts w:hint="eastAsia"/>
        </w:rPr>
        <w:t>各省、自治区、直辖市、计划单列市财政厅（局）：</w:t>
      </w:r>
    </w:p>
    <w:p w14:paraId="034BD531" w14:textId="77777777" w:rsidR="002B5F6B" w:rsidRDefault="002B5F6B" w:rsidP="002B5F6B">
      <w:pPr>
        <w:pStyle w:val="13"/>
      </w:pPr>
      <w:r>
        <w:rPr>
          <w:rFonts w:hint="eastAsia"/>
        </w:rPr>
        <w:t>《财政部关于外商投资企业对外投资资产评估增减值财务处理问题的通知》（财企〔</w:t>
      </w:r>
      <w:r>
        <w:t>2003〕181号）下发以后，有些地方、企业反映、外商投资企业对外投资资产评估增值形成的以前年度未分配利润是否可以继续用于股东分红不明确，在执行中存在较大的争议。为了有利于外商投资企业稳健发展，维护中外各方的长期利益，现进一步明确如下：</w:t>
      </w:r>
    </w:p>
    <w:p w14:paraId="0F3E7CC4" w14:textId="77777777" w:rsidR="002B5F6B" w:rsidRDefault="002B5F6B" w:rsidP="002B5F6B">
      <w:pPr>
        <w:pStyle w:val="13"/>
        <w:ind w:firstLine="482"/>
      </w:pPr>
      <w:r w:rsidRPr="005D014B">
        <w:rPr>
          <w:rFonts w:hint="eastAsia"/>
          <w:b/>
          <w:bCs/>
        </w:rPr>
        <w:t>一、</w:t>
      </w:r>
      <w:r>
        <w:rPr>
          <w:rFonts w:hint="eastAsia"/>
        </w:rPr>
        <w:t>外商投资企业对外投资资产评估增值形成的以前年度未分配利润，连同尚未摊销转入利润的资产评估增值余额，不再用于股东分红，全部转作资本公积金。</w:t>
      </w:r>
    </w:p>
    <w:p w14:paraId="6B451503" w14:textId="77777777" w:rsidR="002B5F6B" w:rsidRDefault="002B5F6B" w:rsidP="002B5F6B">
      <w:pPr>
        <w:pStyle w:val="13"/>
      </w:pPr>
      <w:r>
        <w:rPr>
          <w:rFonts w:hint="eastAsia"/>
        </w:rPr>
        <w:t>在《财政部关于外商投资企业对外投资资产评估增减值财务处理问题的通知》（财企〔</w:t>
      </w:r>
      <w:r>
        <w:t>2003〕181号）下发执行以后，外商投资企业已将以前年度对外投资资产评估增值转作利润并已分配的，不再追溯调整。</w:t>
      </w:r>
    </w:p>
    <w:p w14:paraId="54441291" w14:textId="77777777" w:rsidR="002B5F6B" w:rsidRDefault="002B5F6B" w:rsidP="002B5F6B">
      <w:pPr>
        <w:pStyle w:val="13"/>
        <w:ind w:firstLine="482"/>
      </w:pPr>
      <w:r w:rsidRPr="005D014B">
        <w:rPr>
          <w:rFonts w:hint="eastAsia"/>
          <w:b/>
          <w:bCs/>
        </w:rPr>
        <w:t>二、</w:t>
      </w:r>
      <w:r>
        <w:rPr>
          <w:rFonts w:hint="eastAsia"/>
        </w:rPr>
        <w:t>中外各方股东依法有权要求企业分配利润，但在决定企业利润分配方案时，</w:t>
      </w:r>
      <w:r>
        <w:t>应当遵循法律、行政法规和国务院财政部门的有关规定，并进行充分协商。</w:t>
      </w:r>
    </w:p>
    <w:p w14:paraId="528935E4" w14:textId="77777777" w:rsidR="002B5F6B" w:rsidRDefault="002B5F6B" w:rsidP="002B5F6B">
      <w:pPr>
        <w:pStyle w:val="13"/>
        <w:ind w:firstLine="482"/>
      </w:pPr>
      <w:r w:rsidRPr="005D014B">
        <w:rPr>
          <w:rFonts w:hint="eastAsia"/>
          <w:b/>
          <w:bCs/>
        </w:rPr>
        <w:t>三、</w:t>
      </w:r>
      <w:r>
        <w:rPr>
          <w:rFonts w:hint="eastAsia"/>
        </w:rPr>
        <w:t>本通知自发布之日起施行。</w:t>
      </w:r>
    </w:p>
    <w:p w14:paraId="74E55746" w14:textId="77777777" w:rsidR="002B5F6B" w:rsidRDefault="002B5F6B" w:rsidP="002B5F6B">
      <w:pPr>
        <w:pStyle w:val="13"/>
        <w:jc w:val="right"/>
      </w:pPr>
      <w:r>
        <w:rPr>
          <w:rFonts w:hint="eastAsia"/>
        </w:rPr>
        <w:t>二〇〇四年八月十日</w:t>
      </w:r>
    </w:p>
    <w:p w14:paraId="5147B4DB" w14:textId="77777777" w:rsidR="00FA0363" w:rsidRDefault="00FA0363" w:rsidP="00FA0363">
      <w:pPr>
        <w:pStyle w:val="31"/>
        <w:spacing w:before="156" w:after="62"/>
      </w:pPr>
      <w:bookmarkStart w:id="335" w:name="_Toc81833568"/>
      <w:r>
        <w:rPr>
          <w:rFonts w:hint="eastAsia"/>
        </w:rPr>
        <w:t>《外商投资公司审批登记管理法律适用若干问题的执行意见》</w:t>
      </w:r>
      <w:r>
        <w:br w:type="textWrapping" w:clear="all"/>
      </w:r>
      <w:r>
        <w:rPr>
          <w:rFonts w:hint="eastAsia"/>
        </w:rPr>
        <w:t>（工商外企字〔</w:t>
      </w:r>
      <w:r>
        <w:t>2006〕81号）</w:t>
      </w:r>
      <w:bookmarkEnd w:id="335"/>
    </w:p>
    <w:p w14:paraId="46F20369" w14:textId="2AD28F9D" w:rsidR="00FA0363" w:rsidRDefault="00FA0363" w:rsidP="00FA0363">
      <w:pPr>
        <w:pStyle w:val="13"/>
        <w:ind w:firstLine="482"/>
      </w:pPr>
      <w:r w:rsidRPr="005D014B">
        <w:rPr>
          <w:rFonts w:hint="eastAsia"/>
          <w:b/>
          <w:bCs/>
        </w:rPr>
        <w:t>十、</w:t>
      </w:r>
      <w:r>
        <w:rPr>
          <w:rFonts w:hint="eastAsia"/>
        </w:rPr>
        <w:t>外商投资的公司的股东的出资方式应当符合《公司法》第二十七条、《公司</w:t>
      </w:r>
      <w:r>
        <w:rPr>
          <w:rFonts w:hint="eastAsia"/>
        </w:rPr>
        <w:lastRenderedPageBreak/>
        <w:t>登记管理条例》第十四条和《公司注册资本登记管理规定》的规定。在国家工商行政管理总局会同有关部门就货币、实物、知识产权、土地使用权以外的其他财产出资</w:t>
      </w:r>
      <w:proofErr w:type="gramStart"/>
      <w:r>
        <w:rPr>
          <w:rFonts w:hint="eastAsia"/>
        </w:rPr>
        <w:t>作出</w:t>
      </w:r>
      <w:proofErr w:type="gramEnd"/>
      <w:r>
        <w:rPr>
          <w:rFonts w:hint="eastAsia"/>
        </w:rPr>
        <w:t>规定以前，股东以《公司登记管理条例》第十四条第二款所列财产以外的其他财产出资的，应当经境内依法设立的评估机构评估作价，核实财产，不得高估或者低估作价。实缴出资时还必须经境内依法设立的验资机构验资并出具验资证明</w:t>
      </w:r>
      <w:r w:rsidR="002B5F6B">
        <w:rPr>
          <w:rFonts w:hint="eastAsia"/>
        </w:rPr>
        <w:t>。</w:t>
      </w:r>
    </w:p>
    <w:p w14:paraId="6ADC41D0" w14:textId="77777777" w:rsidR="002B5F6B" w:rsidRDefault="002B5F6B" w:rsidP="002B5F6B">
      <w:pPr>
        <w:pStyle w:val="31"/>
        <w:spacing w:before="156" w:after="62"/>
      </w:pPr>
      <w:bookmarkStart w:id="336" w:name="_Toc81833569"/>
      <w:r>
        <w:rPr>
          <w:rFonts w:hint="eastAsia"/>
        </w:rPr>
        <w:t>《关于外国投资者并购境内企业的规定》（商务部令〔</w:t>
      </w:r>
      <w:r>
        <w:t>2009年〕第6号）</w:t>
      </w:r>
      <w:bookmarkEnd w:id="336"/>
    </w:p>
    <w:p w14:paraId="1ED5C937" w14:textId="77777777" w:rsidR="002B5F6B" w:rsidRDefault="002B5F6B" w:rsidP="002B5F6B">
      <w:pPr>
        <w:pStyle w:val="13"/>
      </w:pPr>
      <w:r>
        <w:rPr>
          <w:rFonts w:hint="eastAsia"/>
        </w:rPr>
        <w:t>第</w:t>
      </w:r>
      <w:r>
        <w:t>14条并购当事人应以资产评估机构对拟转让的股权价值或拟出售资产的评估结果作为确定交易价格的依据。并购当事人可以约定在中国境内依法设立的资产评估机构进行资产评估。资产评估应采用国际通行的评估方法。禁止以明显低于评估结果的价格转让股权或出售资产，变相向境外转移资本。</w:t>
      </w:r>
    </w:p>
    <w:p w14:paraId="5A538AF9" w14:textId="0F42808D" w:rsidR="002B5F6B" w:rsidRDefault="002B5F6B" w:rsidP="00FA0363">
      <w:pPr>
        <w:pStyle w:val="31"/>
        <w:spacing w:before="156" w:after="62"/>
      </w:pPr>
      <w:bookmarkStart w:id="337" w:name="_Toc81833570"/>
      <w:r>
        <w:rPr>
          <w:rFonts w:hint="eastAsia"/>
        </w:rPr>
        <w:t>《外商投资股份有限公司设立及变更许可办事指南（试行）》</w:t>
      </w:r>
      <w:bookmarkEnd w:id="337"/>
    </w:p>
    <w:p w14:paraId="4D79A26B" w14:textId="52075A88" w:rsidR="00FA0363" w:rsidRDefault="002B5F6B" w:rsidP="002B5F6B">
      <w:pPr>
        <w:pStyle w:val="ab"/>
        <w:spacing w:before="62" w:after="62"/>
        <w:ind w:firstLine="482"/>
      </w:pPr>
      <w:r>
        <w:t>申请条件：</w:t>
      </w:r>
    </w:p>
    <w:p w14:paraId="4E58C374" w14:textId="77777777" w:rsidR="00FA0363" w:rsidRDefault="00FA0363" w:rsidP="00FA0363">
      <w:pPr>
        <w:pStyle w:val="13"/>
      </w:pPr>
      <w:r>
        <w:rPr>
          <w:rFonts w:hint="eastAsia"/>
        </w:rPr>
        <w:t>符合《关于设立外商投资股份有限公司若干问题的暂行规定》要求的股份有限公司的新设申请及已设立股份有限公司的变更事项。</w:t>
      </w:r>
    </w:p>
    <w:p w14:paraId="3E4F1826" w14:textId="77777777" w:rsidR="00FA0363" w:rsidRDefault="00FA0363" w:rsidP="00FA0363">
      <w:pPr>
        <w:pStyle w:val="13"/>
      </w:pPr>
      <w:r>
        <w:rPr>
          <w:rFonts w:hint="eastAsia"/>
        </w:rPr>
        <w:t>申请材料：</w:t>
      </w:r>
    </w:p>
    <w:p w14:paraId="7B5E4FEE" w14:textId="77777777" w:rsidR="00FA0363" w:rsidRPr="00D02880" w:rsidRDefault="00FA0363" w:rsidP="00FA0363">
      <w:pPr>
        <w:pStyle w:val="13"/>
      </w:pPr>
      <w:r w:rsidRPr="00D02880">
        <w:rPr>
          <w:rFonts w:hint="eastAsia"/>
        </w:rPr>
        <w:t>三、内资股份有限公司通过发行</w:t>
      </w:r>
      <w:r w:rsidRPr="00D02880">
        <w:t>B股的方式申请变更为外商投资股份有限公司，需要提交材料：</w:t>
      </w:r>
    </w:p>
    <w:p w14:paraId="6C2D4D67" w14:textId="77777777" w:rsidR="00FA0363" w:rsidRPr="00D02880" w:rsidRDefault="00FA0363" w:rsidP="00FA0363">
      <w:pPr>
        <w:pStyle w:val="13"/>
      </w:pPr>
      <w:r w:rsidRPr="00D02880">
        <w:rPr>
          <w:rFonts w:hint="eastAsia"/>
        </w:rPr>
        <w:t>（四）原股份有限公司资产评估报告；</w:t>
      </w:r>
    </w:p>
    <w:p w14:paraId="20FF50A5" w14:textId="77777777" w:rsidR="00FA0363" w:rsidRPr="00D02880" w:rsidRDefault="00FA0363" w:rsidP="00FA0363">
      <w:pPr>
        <w:pStyle w:val="13"/>
      </w:pPr>
      <w:r w:rsidRPr="00D02880">
        <w:rPr>
          <w:rFonts w:hint="eastAsia"/>
        </w:rPr>
        <w:t>四、内资股份有限公司通过发行境外上市外资股等方式申请变更为外商投资股份有限公司，需要提交材料：</w:t>
      </w:r>
    </w:p>
    <w:p w14:paraId="7DC596E4" w14:textId="77777777" w:rsidR="00FA0363" w:rsidRPr="00D02880" w:rsidRDefault="00FA0363" w:rsidP="00FA0363">
      <w:pPr>
        <w:pStyle w:val="13"/>
      </w:pPr>
      <w:r w:rsidRPr="00D02880">
        <w:rPr>
          <w:rFonts w:hint="eastAsia"/>
        </w:rPr>
        <w:t>（三）原股份有限公司资产评估报告；</w:t>
      </w:r>
    </w:p>
    <w:p w14:paraId="203A9793" w14:textId="77777777" w:rsidR="00FA0363" w:rsidRDefault="00FA0363" w:rsidP="00FA0363">
      <w:pPr>
        <w:pStyle w:val="13"/>
      </w:pPr>
      <w:r w:rsidRPr="00D02880">
        <w:rPr>
          <w:rFonts w:hint="eastAsia"/>
        </w:rPr>
        <w:t>六、已设立中外合资经营企业、中外合作经营企业、外资企业转变为外商投资股份有限公司的申</w:t>
      </w:r>
      <w:r>
        <w:rPr>
          <w:rFonts w:hint="eastAsia"/>
        </w:rPr>
        <w:t>请事项</w:t>
      </w:r>
    </w:p>
    <w:p w14:paraId="02D5A7DD" w14:textId="77777777" w:rsidR="00FA0363" w:rsidRDefault="00FA0363" w:rsidP="00FA0363">
      <w:pPr>
        <w:pStyle w:val="13"/>
      </w:pPr>
      <w:r>
        <w:rPr>
          <w:rFonts w:hint="eastAsia"/>
        </w:rPr>
        <w:t>（五）原外商投资企业资产评估报告；</w:t>
      </w:r>
    </w:p>
    <w:p w14:paraId="6C53F9BF" w14:textId="77777777" w:rsidR="00FA0363" w:rsidRDefault="00FA0363" w:rsidP="00FA0363">
      <w:pPr>
        <w:pStyle w:val="21"/>
        <w:spacing w:before="156" w:after="93"/>
      </w:pPr>
      <w:bookmarkStart w:id="338" w:name="_Toc81833571"/>
      <w:r>
        <w:rPr>
          <w:rFonts w:hint="eastAsia"/>
        </w:rPr>
        <w:t>发债业务</w:t>
      </w:r>
      <w:bookmarkEnd w:id="338"/>
    </w:p>
    <w:p w14:paraId="6CA0F5F1" w14:textId="77777777" w:rsidR="00FA0363" w:rsidRDefault="00FA0363" w:rsidP="00FA0363">
      <w:pPr>
        <w:pStyle w:val="31"/>
        <w:spacing w:before="156" w:after="62"/>
      </w:pPr>
      <w:bookmarkStart w:id="339" w:name="_Toc81833572"/>
      <w:r>
        <w:rPr>
          <w:rFonts w:hint="eastAsia"/>
        </w:rPr>
        <w:t>《证券法》（</w:t>
      </w:r>
      <w:r>
        <w:t>2014修正）</w:t>
      </w:r>
      <w:bookmarkEnd w:id="339"/>
    </w:p>
    <w:p w14:paraId="76080B92" w14:textId="20CF928A" w:rsidR="002B5F6B" w:rsidRDefault="00FA0363" w:rsidP="00FA0363">
      <w:pPr>
        <w:pStyle w:val="13"/>
      </w:pPr>
      <w:r>
        <w:rPr>
          <w:rFonts w:hint="eastAsia"/>
        </w:rPr>
        <w:t>第</w:t>
      </w:r>
      <w:r>
        <w:t>17条申请公开发行公司债券需要报送的文件包括：公司营业执照、公司章程、公司债券募集办法、资产评估报告和验资报告以及规定的其他文件。</w:t>
      </w:r>
    </w:p>
    <w:p w14:paraId="56356F21" w14:textId="77777777" w:rsidR="002B5F6B" w:rsidRDefault="002B5F6B">
      <w:pPr>
        <w:widowControl/>
        <w:jc w:val="left"/>
        <w:rPr>
          <w:rFonts w:ascii="宋体" w:hAnsi="宋体"/>
          <w:sz w:val="24"/>
          <w:szCs w:val="24"/>
        </w:rPr>
      </w:pPr>
      <w:r>
        <w:br w:type="page"/>
      </w:r>
    </w:p>
    <w:p w14:paraId="71812B58" w14:textId="77777777" w:rsidR="00FA0363" w:rsidRDefault="00FA0363" w:rsidP="00FA0363">
      <w:pPr>
        <w:pStyle w:val="31"/>
        <w:spacing w:before="156" w:after="62"/>
      </w:pPr>
      <w:bookmarkStart w:id="340" w:name="_Toc81833573"/>
      <w:r>
        <w:rPr>
          <w:rFonts w:hint="eastAsia"/>
        </w:rPr>
        <w:lastRenderedPageBreak/>
        <w:t>《国家发展改革委办公厅关于进一步强化企业债券风险防范管理有关问题的通知》（发改办财金〔</w:t>
      </w:r>
      <w:r>
        <w:t>2012〕3451号）</w:t>
      </w:r>
      <w:bookmarkEnd w:id="340"/>
    </w:p>
    <w:p w14:paraId="0368B33A" w14:textId="77777777" w:rsidR="00FA0363" w:rsidRDefault="00FA0363" w:rsidP="00FA0363">
      <w:pPr>
        <w:pStyle w:val="ab"/>
        <w:spacing w:before="62" w:after="62"/>
        <w:ind w:firstLine="482"/>
      </w:pPr>
      <w:r>
        <w:rPr>
          <w:rFonts w:hint="eastAsia"/>
        </w:rPr>
        <w:t>五、进一步规范企业债券担保行为</w:t>
      </w:r>
    </w:p>
    <w:p w14:paraId="62B06D0B" w14:textId="77777777" w:rsidR="00FA0363" w:rsidRDefault="00FA0363" w:rsidP="00FA0363">
      <w:pPr>
        <w:pStyle w:val="13"/>
      </w:pPr>
      <w:r>
        <w:rPr>
          <w:rFonts w:hint="eastAsia"/>
        </w:rPr>
        <w:t>为了规范企业担保行为，防止担保流于形式，切实防范债券风险，要采取以下措施：</w:t>
      </w:r>
    </w:p>
    <w:p w14:paraId="255428F2" w14:textId="77777777" w:rsidR="00FA0363" w:rsidRDefault="00FA0363" w:rsidP="00FA0363">
      <w:pPr>
        <w:pStyle w:val="13"/>
      </w:pPr>
      <w:r>
        <w:rPr>
          <w:rFonts w:hint="eastAsia"/>
        </w:rPr>
        <w:t>（一）禁止发债企业互相担保或连环担保。</w:t>
      </w:r>
    </w:p>
    <w:p w14:paraId="28B39F9C" w14:textId="77777777" w:rsidR="00FA0363" w:rsidRDefault="00FA0363" w:rsidP="00FA0363">
      <w:pPr>
        <w:pStyle w:val="13"/>
      </w:pPr>
      <w:r>
        <w:rPr>
          <w:rFonts w:hint="eastAsia"/>
        </w:rPr>
        <w:t>（二）对发债企业为其他企业发债提供担保的，在考察资产负债率指标时按担保额一半计入本企业负债额。</w:t>
      </w:r>
    </w:p>
    <w:p w14:paraId="0DFEF965" w14:textId="77777777" w:rsidR="00FA0363" w:rsidRDefault="00FA0363" w:rsidP="00FA0363">
      <w:pPr>
        <w:pStyle w:val="13"/>
      </w:pPr>
      <w:r>
        <w:rPr>
          <w:rFonts w:hint="eastAsia"/>
        </w:rPr>
        <w:t>（三）政府投融资平台公司为其他企业发行债券提供担保的，按担保额的三分之一计入该平台公司已发债余额。</w:t>
      </w:r>
    </w:p>
    <w:p w14:paraId="09B24361" w14:textId="77777777" w:rsidR="00FA0363" w:rsidRDefault="00FA0363" w:rsidP="00FA0363">
      <w:pPr>
        <w:pStyle w:val="13"/>
      </w:pPr>
      <w:r>
        <w:rPr>
          <w:rFonts w:hint="eastAsia"/>
        </w:rPr>
        <w:t>（四）加强对抵质押担保行为的监管。抵质押物须经过具有证券从业资格的评估机构进行价值评估。在债券征信工作中，关注发行人是否有不良征信记录情况，发行人在综合信用承诺书中要对抵质押物没有“一物多押”进行承诺。加强对债券</w:t>
      </w:r>
      <w:proofErr w:type="gramStart"/>
      <w:r>
        <w:rPr>
          <w:rFonts w:hint="eastAsia"/>
        </w:rPr>
        <w:t>存续期抵质押</w:t>
      </w:r>
      <w:proofErr w:type="gramEnd"/>
      <w:r>
        <w:rPr>
          <w:rFonts w:hint="eastAsia"/>
        </w:rPr>
        <w:t>资产状况的监管和信息披露。</w:t>
      </w:r>
    </w:p>
    <w:p w14:paraId="16CF8FBF" w14:textId="77777777" w:rsidR="00FA0363" w:rsidRDefault="00FA0363" w:rsidP="00FA0363">
      <w:pPr>
        <w:pStyle w:val="ab"/>
        <w:spacing w:before="62" w:after="62"/>
        <w:ind w:firstLine="482"/>
      </w:pPr>
      <w:r>
        <w:rPr>
          <w:rFonts w:hint="eastAsia"/>
        </w:rPr>
        <w:t>八、加强对城投公司注入资产及重组的管理</w:t>
      </w:r>
    </w:p>
    <w:p w14:paraId="33CA4C02" w14:textId="77777777" w:rsidR="00FA0363" w:rsidRDefault="00FA0363" w:rsidP="00FA0363">
      <w:pPr>
        <w:pStyle w:val="13"/>
      </w:pPr>
      <w:r>
        <w:rPr>
          <w:rFonts w:hint="eastAsia"/>
        </w:rPr>
        <w:t>（一）注入资产必须为经营性资产。政府办公场所、公园、学校等纯公益性资产不得注入城投公司。</w:t>
      </w:r>
    </w:p>
    <w:p w14:paraId="72D2B659" w14:textId="77777777" w:rsidR="00FA0363" w:rsidRDefault="00FA0363" w:rsidP="00FA0363">
      <w:pPr>
        <w:pStyle w:val="13"/>
      </w:pPr>
      <w:r>
        <w:rPr>
          <w:rFonts w:hint="eastAsia"/>
        </w:rPr>
        <w:t>（二）注入资产必须经具有证券从业资格的资产评估机构评估，由有关主管部门办理相关权属转移登记及变更工商登记。</w:t>
      </w:r>
    </w:p>
    <w:p w14:paraId="18AA7B6E" w14:textId="77777777" w:rsidR="00FA0363" w:rsidRDefault="00FA0363" w:rsidP="00FA0363">
      <w:pPr>
        <w:pStyle w:val="13"/>
      </w:pPr>
      <w:r>
        <w:rPr>
          <w:rFonts w:hint="eastAsia"/>
        </w:rPr>
        <w:t>（三）作为企业注册资本注入的土地资产除经评估外，必须取得土地使用权证，</w:t>
      </w:r>
      <w:r>
        <w:t>属于划拨、变更土地使用权人的，应证明原土地使用证已经注销。</w:t>
      </w:r>
    </w:p>
    <w:p w14:paraId="5F4DF19E" w14:textId="77777777" w:rsidR="00FA0363" w:rsidRDefault="00FA0363" w:rsidP="00FA0363">
      <w:pPr>
        <w:pStyle w:val="13"/>
        <w:jc w:val="right"/>
      </w:pPr>
      <w:r>
        <w:rPr>
          <w:rFonts w:hint="eastAsia"/>
        </w:rPr>
        <w:t>国家发展改革委办公厅</w:t>
      </w:r>
    </w:p>
    <w:p w14:paraId="4C3B1F40" w14:textId="77777777" w:rsidR="00FA0363" w:rsidRDefault="00FA0363" w:rsidP="00FA0363">
      <w:pPr>
        <w:pStyle w:val="13"/>
        <w:jc w:val="right"/>
      </w:pPr>
      <w:r>
        <w:t>2012年12月11日</w:t>
      </w:r>
    </w:p>
    <w:p w14:paraId="4E300AD1" w14:textId="080E5B36" w:rsidR="00FA0363" w:rsidRDefault="00FA0363" w:rsidP="00FA0363">
      <w:pPr>
        <w:pStyle w:val="21"/>
        <w:spacing w:before="156" w:after="93"/>
      </w:pPr>
      <w:bookmarkStart w:id="341" w:name="_Toc81833574"/>
      <w:r>
        <w:rPr>
          <w:rFonts w:hint="eastAsia"/>
        </w:rPr>
        <w:t>资产证券化业务</w:t>
      </w:r>
      <w:bookmarkEnd w:id="341"/>
    </w:p>
    <w:p w14:paraId="65E26695" w14:textId="77777777" w:rsidR="002B5F6B" w:rsidRPr="002B5F6B" w:rsidRDefault="002B5F6B" w:rsidP="002B5F6B">
      <w:pPr>
        <w:pStyle w:val="31"/>
        <w:spacing w:before="156" w:after="62"/>
      </w:pPr>
      <w:bookmarkStart w:id="342" w:name="_Toc81833575"/>
      <w:r w:rsidRPr="002B5F6B">
        <w:rPr>
          <w:rFonts w:hint="eastAsia"/>
        </w:rPr>
        <w:t>《资产证券化业务风险控制指引》</w:t>
      </w:r>
      <w:bookmarkEnd w:id="342"/>
    </w:p>
    <w:p w14:paraId="398659CA" w14:textId="77777777" w:rsidR="002B5F6B" w:rsidRDefault="002B5F6B" w:rsidP="002B5F6B">
      <w:pPr>
        <w:pStyle w:val="13"/>
        <w:ind w:firstLine="482"/>
      </w:pPr>
      <w:r w:rsidRPr="004E3EBB">
        <w:rPr>
          <w:rFonts w:hint="eastAsia"/>
          <w:b/>
          <w:bCs/>
        </w:rPr>
        <w:t xml:space="preserve">第六条 </w:t>
      </w:r>
      <w:r>
        <w:t>对基础资产现金流的预测应当遵循合理、审慎的原则。管理人及相关中介机构在现金</w:t>
      </w:r>
      <w:proofErr w:type="gramStart"/>
      <w:r>
        <w:t>流预测</w:t>
      </w:r>
      <w:proofErr w:type="gramEnd"/>
      <w:r>
        <w:t>中应当以历史数据为基础，充分考虑影响未来现金流变化的各种因素，分析因素变化对预测结果可能产生的影响。管理人应当在专项计划相关文件中对预测的假设和依据进行说明，并在初始信息披露文件中披露各期现金</w:t>
      </w:r>
      <w:proofErr w:type="gramStart"/>
      <w:r>
        <w:t>流预测</w:t>
      </w:r>
      <w:proofErr w:type="gramEnd"/>
      <w:r>
        <w:t>结果和相应覆盖倍数。专项计划存续期间，管理人及相关中介机构应当定期检视预测结果与实际现金流情况的差异，在专项计划设立时向投资者披露专项计划存续期间现金流跟踪检查的频率，并在资产管理报告中披露及说明差异原因，并根据情况修正后</w:t>
      </w:r>
      <w:r>
        <w:lastRenderedPageBreak/>
        <w:t>续期</w:t>
      </w:r>
      <w:r>
        <w:rPr>
          <w:rFonts w:hint="eastAsia"/>
        </w:rPr>
        <w:t>限预测现金流量。</w:t>
      </w:r>
    </w:p>
    <w:p w14:paraId="722F774B" w14:textId="6A7E0841" w:rsidR="002B5F6B" w:rsidRDefault="002B5F6B" w:rsidP="002B5F6B">
      <w:pPr>
        <w:pStyle w:val="13"/>
      </w:pPr>
      <w:r>
        <w:rPr>
          <w:rFonts w:hint="eastAsia"/>
        </w:rPr>
        <w:t>对不动产等专业性较强的基础资产价值的评估，管理人应当委托符合条件的专业资产评估机构出具评估报告。基础资产为不动产的，发生收购或者处置等影响基础资产价值的重大事项时均应当进行评估。</w:t>
      </w:r>
    </w:p>
    <w:p w14:paraId="6EE6C7CF" w14:textId="04D226B0" w:rsidR="002B5F6B" w:rsidRDefault="002B5F6B" w:rsidP="002B5F6B">
      <w:pPr>
        <w:pStyle w:val="31"/>
        <w:spacing w:before="156" w:after="62"/>
      </w:pPr>
      <w:bookmarkStart w:id="343" w:name="_Toc81833576"/>
      <w:r>
        <w:rPr>
          <w:rFonts w:hint="eastAsia"/>
        </w:rPr>
        <w:t>《上海证券交易所资产证券化业务指引》（上证发〔</w:t>
      </w:r>
      <w:r>
        <w:t>2014〕80号）</w:t>
      </w:r>
      <w:bookmarkEnd w:id="343"/>
    </w:p>
    <w:p w14:paraId="268C3E46" w14:textId="77777777" w:rsidR="002B5F6B" w:rsidRDefault="002B5F6B" w:rsidP="002B5F6B">
      <w:pPr>
        <w:pStyle w:val="13"/>
        <w:ind w:firstLine="482"/>
      </w:pPr>
      <w:r w:rsidRPr="003B2FB1">
        <w:rPr>
          <w:rFonts w:hint="eastAsia"/>
          <w:b/>
          <w:bCs/>
        </w:rPr>
        <w:t xml:space="preserve">第四十一条 </w:t>
      </w:r>
      <w:r>
        <w:t>管理人应当委托符合条件的专业评估机构对不动产等专业性较强的基础资产价值进行评估，并出具评估报告。</w:t>
      </w:r>
    </w:p>
    <w:p w14:paraId="241BC899" w14:textId="0D22E16B" w:rsidR="00FA0363" w:rsidRDefault="00FA0363" w:rsidP="00FA0363">
      <w:pPr>
        <w:pStyle w:val="31"/>
        <w:spacing w:before="156" w:after="62"/>
      </w:pPr>
      <w:bookmarkStart w:id="344" w:name="_Toc81833577"/>
      <w:r>
        <w:rPr>
          <w:rFonts w:hint="eastAsia"/>
        </w:rPr>
        <w:t>《关于推进住房租赁资产证券化相关工作的通知》（证监发〔</w:t>
      </w:r>
      <w:r>
        <w:t>2018〕30号）</w:t>
      </w:r>
      <w:bookmarkEnd w:id="344"/>
    </w:p>
    <w:p w14:paraId="58EB52CC" w14:textId="77777777" w:rsidR="00FA0363" w:rsidRDefault="00FA0363" w:rsidP="00FA0363">
      <w:pPr>
        <w:pStyle w:val="13"/>
      </w:pPr>
      <w:r>
        <w:rPr>
          <w:rFonts w:hint="eastAsia"/>
        </w:rPr>
        <w:t>（十二）合理评估住房租赁资产价值。房地产估价机构对住房租赁资产证券化底层不动产物业进行评估时，应以收益法作为最主要的评估方法，严格按照房地产资产证券化物业评估有关规定出具房地产估价报告。承担房地产资产证券化物业估值的机构，应当为在住房城乡建设部门备案的专业力量强、声誉良好的房地产估价机构。资产支持证券存续期间，房地产估价机构应按照规定或约定对底层不动产物业进行定期或不定期评估，发生收购或者处置资产等重大事项的，应当重新评估。</w:t>
      </w:r>
    </w:p>
    <w:p w14:paraId="795860DA" w14:textId="77777777" w:rsidR="00FA0363" w:rsidRDefault="00FA0363" w:rsidP="00FA0363">
      <w:pPr>
        <w:pStyle w:val="21"/>
        <w:spacing w:before="156" w:after="93"/>
      </w:pPr>
      <w:bookmarkStart w:id="345" w:name="_Toc81833578"/>
      <w:r>
        <w:rPr>
          <w:rFonts w:hint="eastAsia"/>
        </w:rPr>
        <w:t>其他</w:t>
      </w:r>
      <w:bookmarkEnd w:id="345"/>
    </w:p>
    <w:p w14:paraId="4E88760B" w14:textId="77777777" w:rsidR="00FA0363" w:rsidRDefault="00FA0363" w:rsidP="00FA0363">
      <w:pPr>
        <w:pStyle w:val="31"/>
        <w:spacing w:before="156" w:after="62"/>
      </w:pPr>
      <w:bookmarkStart w:id="346" w:name="_Toc81833579"/>
      <w:r>
        <w:rPr>
          <w:rFonts w:hint="eastAsia"/>
        </w:rPr>
        <w:t>《关于加强知识产权资产评估管理工作若干问题的通知》（财企〔</w:t>
      </w:r>
      <w:r>
        <w:t>2006〕109号）</w:t>
      </w:r>
      <w:bookmarkEnd w:id="346"/>
    </w:p>
    <w:p w14:paraId="64255EBB" w14:textId="77777777" w:rsidR="00FA0363" w:rsidRDefault="00FA0363" w:rsidP="00FA0363">
      <w:pPr>
        <w:pStyle w:val="13"/>
        <w:ind w:firstLineChars="0" w:firstLine="0"/>
      </w:pPr>
      <w:r>
        <w:rPr>
          <w:rFonts w:hint="eastAsia"/>
        </w:rPr>
        <w:t>各省、自治区、直辖市、计划单列市财政厅（局）、知识产权局：</w:t>
      </w:r>
    </w:p>
    <w:p w14:paraId="08B02ADE" w14:textId="77777777" w:rsidR="00FA0363" w:rsidRDefault="00FA0363" w:rsidP="00FA0363">
      <w:pPr>
        <w:pStyle w:val="13"/>
      </w:pPr>
      <w:r>
        <w:rPr>
          <w:rFonts w:hint="eastAsia"/>
        </w:rPr>
        <w:t>为了加强知识产权资产评估管理，规范知识产权的评估行为，使知识产权资产评估更好地服务于国家创新经济建设和知识产权保护工作，依据《中华人民共和国公司法》、《中华人民共和国专利法》、《中华人民共和国商标法》、《中华人民共和国著作权法》、《中华人民共和国担保法》、《国有资产评估管理办法》等有关规定，现就知识产权资产评估管理工作的有关事项通知如下：</w:t>
      </w:r>
    </w:p>
    <w:p w14:paraId="69692E95" w14:textId="77777777" w:rsidR="00FA0363" w:rsidRDefault="00FA0363" w:rsidP="00FA0363">
      <w:pPr>
        <w:pStyle w:val="13"/>
        <w:ind w:firstLine="482"/>
      </w:pPr>
      <w:r w:rsidRPr="006E18F8">
        <w:rPr>
          <w:rStyle w:val="ac"/>
          <w:rFonts w:hint="eastAsia"/>
        </w:rPr>
        <w:t>一、</w:t>
      </w:r>
      <w:r>
        <w:rPr>
          <w:rFonts w:hint="eastAsia"/>
        </w:rPr>
        <w:t>知识产权占有单位符合下列情形之一的，应当进行资产评估：</w:t>
      </w:r>
    </w:p>
    <w:p w14:paraId="032D0338" w14:textId="77777777" w:rsidR="00FA0363" w:rsidRDefault="00FA0363" w:rsidP="00FA0363">
      <w:pPr>
        <w:pStyle w:val="13"/>
      </w:pPr>
      <w:r>
        <w:rPr>
          <w:rFonts w:hint="eastAsia"/>
        </w:rPr>
        <w:t>（一）根据《公司法》第二十七条规定，以知识产权资产作价出资成立有限责任公司或股份有限公司的；</w:t>
      </w:r>
    </w:p>
    <w:p w14:paraId="70E11CD6" w14:textId="77777777" w:rsidR="00FA0363" w:rsidRDefault="00FA0363" w:rsidP="00FA0363">
      <w:pPr>
        <w:pStyle w:val="13"/>
      </w:pPr>
      <w:r>
        <w:rPr>
          <w:rFonts w:hint="eastAsia"/>
        </w:rPr>
        <w:t>（二）以知识产权质押，市场没有参照价格，质权人要求评估的；</w:t>
      </w:r>
    </w:p>
    <w:p w14:paraId="071C1F01" w14:textId="77777777" w:rsidR="00FA0363" w:rsidRDefault="00FA0363" w:rsidP="00FA0363">
      <w:pPr>
        <w:pStyle w:val="13"/>
      </w:pPr>
      <w:r>
        <w:rPr>
          <w:rFonts w:hint="eastAsia"/>
        </w:rPr>
        <w:t>（三）行政单位拍卖、转让、置换知识产权的；</w:t>
      </w:r>
    </w:p>
    <w:p w14:paraId="5CDE2B13" w14:textId="77777777" w:rsidR="00FA0363" w:rsidRDefault="00FA0363" w:rsidP="00FA0363">
      <w:pPr>
        <w:pStyle w:val="13"/>
      </w:pPr>
      <w:r>
        <w:rPr>
          <w:rFonts w:hint="eastAsia"/>
        </w:rPr>
        <w:t>（四）国有事业单位改制、合并、分立、清算、投资、转让、置换、拍卖涉及知识产权的；</w:t>
      </w:r>
    </w:p>
    <w:p w14:paraId="52275D34" w14:textId="77777777" w:rsidR="00FA0363" w:rsidRDefault="00FA0363" w:rsidP="00FA0363">
      <w:pPr>
        <w:pStyle w:val="13"/>
      </w:pPr>
      <w:r>
        <w:rPr>
          <w:rFonts w:hint="eastAsia"/>
        </w:rPr>
        <w:t>（五）国有企业改制、上市、合并、分立、清算、投资、转让、置换、拍卖、偿还债务涉及知识产权的；</w:t>
      </w:r>
    </w:p>
    <w:p w14:paraId="4B2F83E8" w14:textId="77777777" w:rsidR="00FA0363" w:rsidRDefault="00FA0363" w:rsidP="00FA0363">
      <w:pPr>
        <w:pStyle w:val="13"/>
      </w:pPr>
      <w:r>
        <w:rPr>
          <w:rFonts w:hint="eastAsia"/>
        </w:rPr>
        <w:lastRenderedPageBreak/>
        <w:t>（六）国有企业收购或通过置换取得非国有单位的知识产权，或接受非国有单位以知识产权出资的；</w:t>
      </w:r>
    </w:p>
    <w:p w14:paraId="78E44A52" w14:textId="77777777" w:rsidR="00FA0363" w:rsidRDefault="00FA0363" w:rsidP="00FA0363">
      <w:pPr>
        <w:pStyle w:val="13"/>
      </w:pPr>
      <w:r>
        <w:rPr>
          <w:rFonts w:hint="eastAsia"/>
        </w:rPr>
        <w:t>（七）国有企业以知识产权许可外国公司、企业、其他经济组织或个人使用，市场没有参照价格的；</w:t>
      </w:r>
    </w:p>
    <w:p w14:paraId="69043355" w14:textId="77777777" w:rsidR="00FA0363" w:rsidRDefault="00FA0363" w:rsidP="00FA0363">
      <w:pPr>
        <w:pStyle w:val="13"/>
      </w:pPr>
      <w:r>
        <w:rPr>
          <w:rFonts w:hint="eastAsia"/>
        </w:rPr>
        <w:t>（八）确定涉及知识产权诉讼价值，人民法院、仲裁机关或当事人要求评估的；</w:t>
      </w:r>
    </w:p>
    <w:p w14:paraId="61323458" w14:textId="77777777" w:rsidR="00FA0363" w:rsidRDefault="00FA0363" w:rsidP="00FA0363">
      <w:pPr>
        <w:pStyle w:val="13"/>
      </w:pPr>
      <w:r>
        <w:rPr>
          <w:rFonts w:hint="eastAsia"/>
        </w:rPr>
        <w:t>（九）法律、行政法规规定的其他需要进行资产评估的事项。</w:t>
      </w:r>
    </w:p>
    <w:p w14:paraId="5E0F0675" w14:textId="77777777" w:rsidR="00FA0363" w:rsidRDefault="00FA0363" w:rsidP="00FA0363">
      <w:pPr>
        <w:pStyle w:val="13"/>
      </w:pPr>
      <w:r>
        <w:rPr>
          <w:rFonts w:hint="eastAsia"/>
        </w:rPr>
        <w:t>非国有单位发生合并、分立、清算、投资、转让、置换、偿还债务等经济行为涉及知识产权的，可以参照国有企业进行资产评估。</w:t>
      </w:r>
    </w:p>
    <w:p w14:paraId="0177A554" w14:textId="77777777" w:rsidR="00FA0363" w:rsidRDefault="00FA0363" w:rsidP="00FA0363">
      <w:pPr>
        <w:pStyle w:val="13"/>
        <w:ind w:firstLine="482"/>
      </w:pPr>
      <w:r w:rsidRPr="006E18F8">
        <w:rPr>
          <w:rStyle w:val="ac"/>
          <w:rFonts w:hint="eastAsia"/>
        </w:rPr>
        <w:t>二、</w:t>
      </w:r>
      <w:r>
        <w:rPr>
          <w:rFonts w:hint="eastAsia"/>
        </w:rPr>
        <w:t>知识产权评估应当依法委托经财政部门批准设立的资产评估机构进行评估。资产评估机构从事知识产权评估业务时，应当严格遵循有关的资产评估准则和规范。在评估过程中，要考虑知识产权的特殊性，科学、客观地分析知识产权预期收益的可行性和合理性。</w:t>
      </w:r>
    </w:p>
    <w:p w14:paraId="660E2D6D" w14:textId="77777777" w:rsidR="00FA0363" w:rsidRDefault="00FA0363" w:rsidP="00FA0363">
      <w:pPr>
        <w:pStyle w:val="13"/>
      </w:pPr>
      <w:r>
        <w:rPr>
          <w:rFonts w:hint="eastAsia"/>
        </w:rPr>
        <w:t>资产评估机构在执行知识产权评估业务时，可以聘请专利、商标、版权等知识产权方面的专家协助工作，但不能因此减轻或免除资产评估机构及注册资产评估</w:t>
      </w:r>
      <w:proofErr w:type="gramStart"/>
      <w:r>
        <w:rPr>
          <w:rFonts w:hint="eastAsia"/>
        </w:rPr>
        <w:t>师应当</w:t>
      </w:r>
      <w:proofErr w:type="gramEnd"/>
      <w:r>
        <w:rPr>
          <w:rFonts w:hint="eastAsia"/>
        </w:rPr>
        <w:t>承担的法律责任。</w:t>
      </w:r>
    </w:p>
    <w:p w14:paraId="48F1AB5B" w14:textId="77777777" w:rsidR="00FA0363" w:rsidRDefault="00FA0363" w:rsidP="00FA0363">
      <w:pPr>
        <w:pStyle w:val="13"/>
        <w:ind w:firstLine="482"/>
      </w:pPr>
      <w:r w:rsidRPr="006E18F8">
        <w:rPr>
          <w:rStyle w:val="ac"/>
          <w:rFonts w:hint="eastAsia"/>
        </w:rPr>
        <w:t>三、</w:t>
      </w:r>
      <w:r>
        <w:rPr>
          <w:rFonts w:hint="eastAsia"/>
        </w:rPr>
        <w:t>财政部和国家知识产权局共同组织知识产权评估专业培训、考核并颁发培训证书，建立并严格执行继续教育、培训考核制度，确保培训的质量，不断提高注册资产评估师及从业人员知识产权评估的专业能力和水平。</w:t>
      </w:r>
    </w:p>
    <w:p w14:paraId="7A47918E" w14:textId="77777777" w:rsidR="00FA0363" w:rsidRPr="002B5F6B" w:rsidRDefault="00FA0363" w:rsidP="00FA0363">
      <w:pPr>
        <w:pStyle w:val="13"/>
      </w:pPr>
      <w:r w:rsidRPr="002B5F6B">
        <w:rPr>
          <w:rStyle w:val="ac"/>
          <w:rFonts w:hint="eastAsia"/>
          <w:b w:val="0"/>
          <w:bCs w:val="0"/>
        </w:rPr>
        <w:t>四、</w:t>
      </w:r>
      <w:r w:rsidRPr="002B5F6B">
        <w:rPr>
          <w:rFonts w:hint="eastAsia"/>
        </w:rPr>
        <w:t>中国资产评估协会应当加强行业自律和专业指导工作，可以建立知识产权评估专家库和相关的专业委员会，建立和完善知识产权数据库，为知识产权资产评估创建必要的平台，以提高资产评估的执业质量、行业公信力和影响力。</w:t>
      </w:r>
    </w:p>
    <w:p w14:paraId="26A7EA13" w14:textId="77777777" w:rsidR="00FA0363" w:rsidRPr="002B5F6B" w:rsidRDefault="00FA0363" w:rsidP="00FA0363">
      <w:pPr>
        <w:pStyle w:val="13"/>
      </w:pPr>
      <w:r w:rsidRPr="002B5F6B">
        <w:rPr>
          <w:rStyle w:val="ac"/>
          <w:rFonts w:hint="eastAsia"/>
          <w:b w:val="0"/>
          <w:bCs w:val="0"/>
        </w:rPr>
        <w:t>五、</w:t>
      </w:r>
      <w:r w:rsidRPr="002B5F6B">
        <w:rPr>
          <w:rFonts w:hint="eastAsia"/>
        </w:rPr>
        <w:t>资产评估机构必须坚持独立、客观、公正的原则，不得以迎合委托方对评估结果高估或者低估的要求、给予“回扣”、恶性压价等不正当方式承揽知识产权评估业务。</w:t>
      </w:r>
    </w:p>
    <w:p w14:paraId="12CBAD8D" w14:textId="77777777" w:rsidR="00FA0363" w:rsidRPr="002B5F6B" w:rsidRDefault="00FA0363" w:rsidP="00FA0363">
      <w:pPr>
        <w:pStyle w:val="13"/>
      </w:pPr>
      <w:r w:rsidRPr="002B5F6B">
        <w:rPr>
          <w:rFonts w:hint="eastAsia"/>
        </w:rPr>
        <w:t>财政部和国家知识产权局定期组织对从事知识产权评估业务的资产评估机构执业质量进行监督检查。</w:t>
      </w:r>
    </w:p>
    <w:p w14:paraId="2ACDBB1D" w14:textId="77777777" w:rsidR="00FA0363" w:rsidRPr="002B5F6B" w:rsidRDefault="00FA0363" w:rsidP="00FA0363">
      <w:pPr>
        <w:pStyle w:val="13"/>
      </w:pPr>
      <w:r w:rsidRPr="002B5F6B">
        <w:rPr>
          <w:rStyle w:val="ac"/>
          <w:rFonts w:hint="eastAsia"/>
          <w:b w:val="0"/>
          <w:bCs w:val="0"/>
        </w:rPr>
        <w:t>六、</w:t>
      </w:r>
      <w:r w:rsidRPr="002B5F6B">
        <w:rPr>
          <w:rFonts w:hint="eastAsia"/>
        </w:rPr>
        <w:t>任何单位和个人不得非法干预知识产权评估业务和评估结果。</w:t>
      </w:r>
    </w:p>
    <w:p w14:paraId="3190068D" w14:textId="77777777" w:rsidR="00FA0363" w:rsidRDefault="00FA0363" w:rsidP="00FA0363">
      <w:pPr>
        <w:pStyle w:val="13"/>
      </w:pPr>
      <w:r w:rsidRPr="002B5F6B">
        <w:rPr>
          <w:rStyle w:val="ac"/>
          <w:rFonts w:hint="eastAsia"/>
          <w:b w:val="0"/>
          <w:bCs w:val="0"/>
        </w:rPr>
        <w:t>七、</w:t>
      </w:r>
      <w:r w:rsidRPr="002B5F6B">
        <w:rPr>
          <w:rFonts w:hint="eastAsia"/>
        </w:rPr>
        <w:t>占有知识产权的</w:t>
      </w:r>
      <w:r>
        <w:rPr>
          <w:rFonts w:hint="eastAsia"/>
        </w:rPr>
        <w:t>国有单位和从事知识产权评估业务的资产评估机构违反上述规定的，按国家有关规定处理。</w:t>
      </w:r>
    </w:p>
    <w:p w14:paraId="7D581FD8" w14:textId="71E2DD38" w:rsidR="00FA0363" w:rsidRDefault="00FA0363" w:rsidP="00FA0363">
      <w:pPr>
        <w:pStyle w:val="13"/>
      </w:pPr>
      <w:r>
        <w:rPr>
          <w:rFonts w:hint="eastAsia"/>
        </w:rPr>
        <w:t>本通知发布后，过去有关规定与本通知内容相抵触的，以本通知为准。</w:t>
      </w:r>
    </w:p>
    <w:p w14:paraId="6ACEA07E" w14:textId="77777777" w:rsidR="002B5F6B" w:rsidRDefault="002B5F6B" w:rsidP="002B5F6B">
      <w:pPr>
        <w:pStyle w:val="31"/>
        <w:spacing w:before="156" w:after="62"/>
      </w:pPr>
      <w:bookmarkStart w:id="347" w:name="_Toc81833580"/>
      <w:r>
        <w:rPr>
          <w:rFonts w:hint="eastAsia"/>
        </w:rPr>
        <w:t>《收费公路权益转让办法》（中华人民共和国交通运输部、国家发展和改革委员会、中华人民共和国财政部令</w:t>
      </w:r>
      <w:r>
        <w:t>2008年第11号）</w:t>
      </w:r>
      <w:bookmarkEnd w:id="347"/>
    </w:p>
    <w:p w14:paraId="13EFFBC2" w14:textId="77777777" w:rsidR="002B5F6B" w:rsidRDefault="002B5F6B" w:rsidP="002B5F6B">
      <w:pPr>
        <w:pStyle w:val="13"/>
        <w:ind w:firstLine="482"/>
      </w:pPr>
      <w:r w:rsidRPr="00E05BDA">
        <w:rPr>
          <w:rFonts w:hint="eastAsia"/>
          <w:b/>
          <w:bCs/>
        </w:rPr>
        <w:t xml:space="preserve">第十六条 </w:t>
      </w:r>
      <w:r>
        <w:t>转让下列收费公路的收费权，转让方应当委托符合条件的资产评估机</w:t>
      </w:r>
      <w:r>
        <w:lastRenderedPageBreak/>
        <w:t>构，对收费</w:t>
      </w:r>
      <w:proofErr w:type="gramStart"/>
      <w:r>
        <w:t>权价值</w:t>
      </w:r>
      <w:proofErr w:type="gramEnd"/>
      <w:r>
        <w:t>进行评估：</w:t>
      </w:r>
    </w:p>
    <w:p w14:paraId="789A1039" w14:textId="77777777" w:rsidR="002B5F6B" w:rsidRDefault="002B5F6B" w:rsidP="002B5F6B">
      <w:pPr>
        <w:pStyle w:val="13"/>
      </w:pPr>
      <w:r>
        <w:rPr>
          <w:rFonts w:hint="eastAsia"/>
        </w:rPr>
        <w:t>（一）政府还贷公路；</w:t>
      </w:r>
    </w:p>
    <w:p w14:paraId="496D573D" w14:textId="77777777" w:rsidR="002B5F6B" w:rsidRDefault="002B5F6B" w:rsidP="002B5F6B">
      <w:pPr>
        <w:pStyle w:val="13"/>
      </w:pPr>
      <w:r>
        <w:rPr>
          <w:rFonts w:hint="eastAsia"/>
        </w:rPr>
        <w:t>（二）有财政性资金投入的经营性公路；</w:t>
      </w:r>
    </w:p>
    <w:p w14:paraId="02B894CF" w14:textId="77777777" w:rsidR="002B5F6B" w:rsidRDefault="002B5F6B" w:rsidP="002B5F6B">
      <w:pPr>
        <w:pStyle w:val="13"/>
      </w:pPr>
      <w:r>
        <w:rPr>
          <w:rFonts w:hint="eastAsia"/>
        </w:rPr>
        <w:t>（三）使用国有资本金投资的公路。</w:t>
      </w:r>
    </w:p>
    <w:p w14:paraId="7E316DE9" w14:textId="77777777" w:rsidR="002B5F6B" w:rsidRDefault="002B5F6B" w:rsidP="002B5F6B">
      <w:pPr>
        <w:pStyle w:val="13"/>
      </w:pPr>
      <w:r>
        <w:rPr>
          <w:rFonts w:hint="eastAsia"/>
        </w:rPr>
        <w:t>资产评估机构出具的评估报告，是确定前款规定收费公路的收费权转让最低成交价的依据。</w:t>
      </w:r>
    </w:p>
    <w:p w14:paraId="49528400" w14:textId="77777777" w:rsidR="002B5F6B" w:rsidRDefault="002B5F6B" w:rsidP="002B5F6B">
      <w:pPr>
        <w:pStyle w:val="13"/>
      </w:pPr>
      <w:r>
        <w:rPr>
          <w:rFonts w:hint="eastAsia"/>
        </w:rPr>
        <w:t>转让方对资产评估机构出具的资产评估报告，应当按照国家有关资产评估的规定，报有关部门核准或者备案。</w:t>
      </w:r>
    </w:p>
    <w:p w14:paraId="7D9EC43F" w14:textId="77777777" w:rsidR="002B5F6B" w:rsidRDefault="002B5F6B" w:rsidP="002B5F6B">
      <w:pPr>
        <w:pStyle w:val="13"/>
        <w:ind w:firstLine="482"/>
      </w:pPr>
      <w:r w:rsidRPr="00E05BDA">
        <w:rPr>
          <w:rFonts w:hint="eastAsia"/>
          <w:b/>
          <w:bCs/>
        </w:rPr>
        <w:t xml:space="preserve">第十七条 </w:t>
      </w:r>
      <w:r>
        <w:t>转让方按照第十六条规定进行收费</w:t>
      </w:r>
      <w:proofErr w:type="gramStart"/>
      <w:r>
        <w:t>权价值</w:t>
      </w:r>
      <w:proofErr w:type="gramEnd"/>
      <w:r>
        <w:t>评估的，应当委托符合下列条件的资产评估机构：</w:t>
      </w:r>
    </w:p>
    <w:p w14:paraId="4EDB9355" w14:textId="77777777" w:rsidR="002B5F6B" w:rsidRDefault="002B5F6B" w:rsidP="002B5F6B">
      <w:pPr>
        <w:pStyle w:val="13"/>
      </w:pPr>
      <w:r>
        <w:rPr>
          <w:rFonts w:hint="eastAsia"/>
        </w:rPr>
        <w:t>（一）具有法律、行政法规规定的资产评估资质；</w:t>
      </w:r>
    </w:p>
    <w:p w14:paraId="58AFF3D4" w14:textId="77777777" w:rsidR="002B5F6B" w:rsidRDefault="002B5F6B" w:rsidP="002B5F6B">
      <w:pPr>
        <w:pStyle w:val="13"/>
      </w:pPr>
      <w:r>
        <w:rPr>
          <w:rFonts w:hint="eastAsia"/>
        </w:rPr>
        <w:t>（二）评估机构的人员具备与公路收费</w:t>
      </w:r>
      <w:proofErr w:type="gramStart"/>
      <w:r>
        <w:rPr>
          <w:rFonts w:hint="eastAsia"/>
        </w:rPr>
        <w:t>权价值</w:t>
      </w:r>
      <w:proofErr w:type="gramEnd"/>
      <w:r>
        <w:rPr>
          <w:rFonts w:hint="eastAsia"/>
        </w:rPr>
        <w:t>评估相适应的专业知识和经验；</w:t>
      </w:r>
    </w:p>
    <w:p w14:paraId="7129DE95" w14:textId="77777777" w:rsidR="002B5F6B" w:rsidRDefault="002B5F6B" w:rsidP="002B5F6B">
      <w:pPr>
        <w:pStyle w:val="13"/>
      </w:pPr>
      <w:r>
        <w:rPr>
          <w:rFonts w:hint="eastAsia"/>
        </w:rPr>
        <w:t>（三）评估机构和人员近三年未发生违规行为，未有违规不良记录。</w:t>
      </w:r>
    </w:p>
    <w:p w14:paraId="6E4D00C6" w14:textId="77777777" w:rsidR="002B5F6B" w:rsidRDefault="002B5F6B" w:rsidP="002B5F6B">
      <w:pPr>
        <w:pStyle w:val="13"/>
        <w:ind w:firstLine="482"/>
      </w:pPr>
      <w:r w:rsidRPr="00E05BDA">
        <w:rPr>
          <w:rFonts w:hint="eastAsia"/>
          <w:b/>
          <w:bCs/>
        </w:rPr>
        <w:t xml:space="preserve">第十八条 </w:t>
      </w:r>
      <w:r>
        <w:t>转让收费公路权益进行收费</w:t>
      </w:r>
      <w:proofErr w:type="gramStart"/>
      <w:r>
        <w:t>权价值</w:t>
      </w:r>
      <w:proofErr w:type="gramEnd"/>
      <w:r>
        <w:t>评估，评估方法应当采用收益现值法，所涉及的收益期限由转让方与资产评估机构在批准的收费期限内约定。</w:t>
      </w:r>
    </w:p>
    <w:p w14:paraId="1B239582" w14:textId="77777777" w:rsidR="002B5F6B" w:rsidRDefault="002B5F6B" w:rsidP="002B5F6B">
      <w:pPr>
        <w:pStyle w:val="13"/>
        <w:ind w:firstLine="482"/>
      </w:pPr>
      <w:r w:rsidRPr="00E05BDA">
        <w:rPr>
          <w:rFonts w:hint="eastAsia"/>
          <w:b/>
          <w:bCs/>
        </w:rPr>
        <w:t xml:space="preserve">第二十二条 </w:t>
      </w:r>
      <w:r>
        <w:t>转让政府还贷公路权益和有财政性资金投入以及使用国有资本金投资的经营性公路权益进行招标的，应当实行有底价招标。其中转让收费权的招标底价不得低于有关部门核准或者确认的收费</w:t>
      </w:r>
      <w:proofErr w:type="gramStart"/>
      <w:r>
        <w:t>权价值</w:t>
      </w:r>
      <w:proofErr w:type="gramEnd"/>
      <w:r>
        <w:t>评估价。</w:t>
      </w:r>
    </w:p>
    <w:p w14:paraId="3F2B4D28" w14:textId="77777777" w:rsidR="002B5F6B" w:rsidRDefault="002B5F6B" w:rsidP="002B5F6B">
      <w:pPr>
        <w:pStyle w:val="13"/>
        <w:ind w:firstLine="482"/>
      </w:pPr>
      <w:r w:rsidRPr="00E05BDA">
        <w:rPr>
          <w:rFonts w:hint="eastAsia"/>
          <w:b/>
          <w:bCs/>
        </w:rPr>
        <w:t xml:space="preserve">第二十七条 </w:t>
      </w:r>
      <w:r>
        <w:t>申请转让公路收费权的，转让方应当向审批机关提交申请文件，内容应当包括：</w:t>
      </w:r>
    </w:p>
    <w:p w14:paraId="7B3BC275" w14:textId="77777777" w:rsidR="002B5F6B" w:rsidRDefault="002B5F6B" w:rsidP="002B5F6B">
      <w:pPr>
        <w:pStyle w:val="13"/>
      </w:pPr>
      <w:r>
        <w:rPr>
          <w:rFonts w:hint="eastAsia"/>
        </w:rPr>
        <w:t>（一）提出过立项申请的，需提交转让立项审查意见；未提出过立项申请的，需提交第十四条规定的相关材料；</w:t>
      </w:r>
    </w:p>
    <w:p w14:paraId="3E9FF4EB" w14:textId="77777777" w:rsidR="002B5F6B" w:rsidRDefault="002B5F6B" w:rsidP="002B5F6B">
      <w:pPr>
        <w:pStyle w:val="13"/>
      </w:pPr>
      <w:r>
        <w:rPr>
          <w:rFonts w:hint="eastAsia"/>
        </w:rPr>
        <w:t>（二）转让前期按照规定进行收费</w:t>
      </w:r>
      <w:proofErr w:type="gramStart"/>
      <w:r>
        <w:rPr>
          <w:rFonts w:hint="eastAsia"/>
        </w:rPr>
        <w:t>权价值</w:t>
      </w:r>
      <w:proofErr w:type="gramEnd"/>
      <w:r>
        <w:rPr>
          <w:rFonts w:hint="eastAsia"/>
        </w:rPr>
        <w:t>评估的有关材料和资产评估报告的核准或者备案文件等；</w:t>
      </w:r>
    </w:p>
    <w:p w14:paraId="1983C34D" w14:textId="77777777" w:rsidR="002B5F6B" w:rsidRDefault="002B5F6B" w:rsidP="002B5F6B">
      <w:pPr>
        <w:pStyle w:val="13"/>
      </w:pPr>
      <w:r>
        <w:rPr>
          <w:rFonts w:hint="eastAsia"/>
        </w:rPr>
        <w:t>（三）转让前期招标投标情况和受让方的确定情况；</w:t>
      </w:r>
    </w:p>
    <w:p w14:paraId="6EE811F9" w14:textId="77777777" w:rsidR="002B5F6B" w:rsidRDefault="002B5F6B" w:rsidP="002B5F6B">
      <w:pPr>
        <w:pStyle w:val="13"/>
      </w:pPr>
      <w:r>
        <w:rPr>
          <w:rFonts w:hint="eastAsia"/>
        </w:rPr>
        <w:t>（四）审计部门或者会计师事务所出具的受让方上年度会计报告和受让方的法人营业执照副本；</w:t>
      </w:r>
    </w:p>
    <w:p w14:paraId="580675B7" w14:textId="77777777" w:rsidR="002B5F6B" w:rsidRDefault="002B5F6B" w:rsidP="002B5F6B">
      <w:pPr>
        <w:pStyle w:val="13"/>
      </w:pPr>
      <w:r>
        <w:rPr>
          <w:rFonts w:hint="eastAsia"/>
        </w:rPr>
        <w:t>（五）按照第十条规定办理的相关手续和书面同意意见；</w:t>
      </w:r>
    </w:p>
    <w:p w14:paraId="0ADEDBDA" w14:textId="77777777" w:rsidR="002B5F6B" w:rsidRDefault="002B5F6B" w:rsidP="002B5F6B">
      <w:pPr>
        <w:pStyle w:val="13"/>
      </w:pPr>
      <w:r>
        <w:rPr>
          <w:rFonts w:hint="eastAsia"/>
        </w:rPr>
        <w:t>（六）转让收入的具体投向；</w:t>
      </w:r>
    </w:p>
    <w:p w14:paraId="22A50307" w14:textId="77777777" w:rsidR="002B5F6B" w:rsidRDefault="002B5F6B" w:rsidP="002B5F6B">
      <w:pPr>
        <w:pStyle w:val="13"/>
      </w:pPr>
      <w:r>
        <w:rPr>
          <w:rFonts w:hint="eastAsia"/>
        </w:rPr>
        <w:t>（七）公路收费权益管理情况；</w:t>
      </w:r>
    </w:p>
    <w:p w14:paraId="2F71EC4D" w14:textId="77777777" w:rsidR="002B5F6B" w:rsidRDefault="002B5F6B" w:rsidP="002B5F6B">
      <w:pPr>
        <w:pStyle w:val="13"/>
      </w:pPr>
      <w:r>
        <w:rPr>
          <w:rFonts w:hint="eastAsia"/>
        </w:rPr>
        <w:t>（八）转让方、受让方签订的公路收费权益转让合同；</w:t>
      </w:r>
    </w:p>
    <w:p w14:paraId="408307C3" w14:textId="77777777" w:rsidR="002B5F6B" w:rsidRDefault="002B5F6B" w:rsidP="002B5F6B">
      <w:pPr>
        <w:pStyle w:val="13"/>
      </w:pPr>
      <w:r>
        <w:rPr>
          <w:rFonts w:hint="eastAsia"/>
        </w:rPr>
        <w:t>（九）审批机关认为需要提供的其他文件。</w:t>
      </w:r>
    </w:p>
    <w:p w14:paraId="4D78B9F6" w14:textId="77777777" w:rsidR="00FA0363" w:rsidRDefault="00FA0363" w:rsidP="00FA0363">
      <w:pPr>
        <w:pStyle w:val="31"/>
        <w:spacing w:before="156" w:after="62"/>
      </w:pPr>
      <w:bookmarkStart w:id="348" w:name="_Toc81833581"/>
      <w:r>
        <w:rPr>
          <w:rFonts w:hint="eastAsia"/>
        </w:rPr>
        <w:lastRenderedPageBreak/>
        <w:t>《保险法》（</w:t>
      </w:r>
      <w:r>
        <w:t>2015年修正）</w:t>
      </w:r>
      <w:bookmarkEnd w:id="348"/>
    </w:p>
    <w:p w14:paraId="2B82DFD8" w14:textId="77777777" w:rsidR="00FA0363" w:rsidRDefault="00FA0363" w:rsidP="00FA0363">
      <w:pPr>
        <w:pStyle w:val="13"/>
        <w:ind w:firstLine="482"/>
      </w:pPr>
      <w:r w:rsidRPr="006E18F8">
        <w:rPr>
          <w:rFonts w:hint="eastAsia"/>
          <w:b/>
          <w:bCs/>
        </w:rPr>
        <w:t>第八十二条</w:t>
      </w:r>
      <w:r>
        <w:rPr>
          <w:rFonts w:hint="eastAsia"/>
          <w:b/>
          <w:bCs/>
        </w:rPr>
        <w:t xml:space="preserve"> </w:t>
      </w:r>
      <w:r>
        <w:t>有《中华人民共和国公司法》第一百四十七条规定的情形或者下列情形之一的，不得担任保险公司的董事、监事、高级管理人员：</w:t>
      </w:r>
    </w:p>
    <w:p w14:paraId="56D23443" w14:textId="77777777" w:rsidR="00FA0363" w:rsidRDefault="00FA0363" w:rsidP="00FA0363">
      <w:pPr>
        <w:pStyle w:val="13"/>
      </w:pPr>
      <w:r>
        <w:rPr>
          <w:rFonts w:hint="eastAsia"/>
        </w:rPr>
        <w:t>（一）因违法行为或者违纪行为被金融监督管理机构取消任职资格的金融机构的董事、监事、高级管理人员，自被取消任职资格之日起未逾五年的；</w:t>
      </w:r>
    </w:p>
    <w:p w14:paraId="592BE387" w14:textId="77777777" w:rsidR="00FA0363" w:rsidRDefault="00FA0363" w:rsidP="00FA0363">
      <w:pPr>
        <w:pStyle w:val="13"/>
      </w:pPr>
      <w:r>
        <w:rPr>
          <w:rFonts w:hint="eastAsia"/>
        </w:rPr>
        <w:t>（二）因违法行为或者违纪行为被吊销执业资格的律师、注册会计师或者资产评估机构、验证机构等机构的专业人员，自被吊销执业资格之日起未逾五年的。</w:t>
      </w:r>
    </w:p>
    <w:p w14:paraId="03C48F2F" w14:textId="77777777" w:rsidR="00FA0363" w:rsidRDefault="00FA0363" w:rsidP="00FA0363">
      <w:pPr>
        <w:pStyle w:val="13"/>
        <w:ind w:firstLine="482"/>
      </w:pPr>
      <w:r w:rsidRPr="006E18F8">
        <w:rPr>
          <w:rFonts w:hint="eastAsia"/>
          <w:b/>
          <w:bCs/>
        </w:rPr>
        <w:t>第八十八条</w:t>
      </w:r>
      <w:r>
        <w:rPr>
          <w:rFonts w:hint="eastAsia"/>
          <w:b/>
          <w:bCs/>
        </w:rPr>
        <w:t xml:space="preserve"> </w:t>
      </w:r>
      <w:r>
        <w:t>保险公司聘请或者解聘会计师事务所、资产评估机构、资信评级机构</w:t>
      </w:r>
      <w:r>
        <w:rPr>
          <w:rFonts w:hint="eastAsia"/>
        </w:rPr>
        <w:t>等中介服务机构，应当向保险监督管理机构报告；解聘会计师事务所、资产评估机构、资信评级机构等中介服务机构，应当说明理由。</w:t>
      </w:r>
    </w:p>
    <w:p w14:paraId="26B5A916" w14:textId="77777777" w:rsidR="00FA0363" w:rsidRDefault="00FA0363" w:rsidP="00FA0363">
      <w:pPr>
        <w:pStyle w:val="31"/>
        <w:spacing w:before="156" w:after="62"/>
      </w:pPr>
      <w:bookmarkStart w:id="349" w:name="_Toc81833582"/>
      <w:r>
        <w:rPr>
          <w:rFonts w:hint="eastAsia"/>
        </w:rPr>
        <w:t>《中华人民共和国证券投资基金法》（</w:t>
      </w:r>
      <w:r>
        <w:t>2015修正）</w:t>
      </w:r>
      <w:bookmarkEnd w:id="349"/>
    </w:p>
    <w:p w14:paraId="22246E83" w14:textId="77777777" w:rsidR="00FA0363" w:rsidRDefault="00FA0363" w:rsidP="00FA0363">
      <w:pPr>
        <w:pStyle w:val="13"/>
      </w:pPr>
      <w:r>
        <w:rPr>
          <w:rFonts w:hint="eastAsia"/>
        </w:rPr>
        <w:t>第十五条</w:t>
      </w:r>
      <w:r>
        <w:t>有下列情形之一的，不得担任公开募集基金的基金管理人的董事、监事、高级管理人员和其他从业人员：</w:t>
      </w:r>
    </w:p>
    <w:p w14:paraId="6AB04FEF" w14:textId="77777777" w:rsidR="00FA0363" w:rsidRDefault="00FA0363" w:rsidP="00FA0363">
      <w:pPr>
        <w:pStyle w:val="13"/>
      </w:pPr>
      <w:r>
        <w:rPr>
          <w:rFonts w:hint="eastAsia"/>
        </w:rPr>
        <w:t>（一）因犯有贪污贿赂、渎职、侵犯财产罪或者破坏社会主义市场经济秩序罪，</w:t>
      </w:r>
      <w:r>
        <w:t>被判处刑罚的；</w:t>
      </w:r>
    </w:p>
    <w:p w14:paraId="08F77472" w14:textId="77777777" w:rsidR="00FA0363" w:rsidRDefault="00FA0363" w:rsidP="00FA0363">
      <w:pPr>
        <w:pStyle w:val="13"/>
      </w:pPr>
      <w:r>
        <w:rPr>
          <w:rFonts w:hint="eastAsia"/>
        </w:rPr>
        <w:t>（二）对所任职的公司、企业因经营不善破产清算或者因违法被吊销营业执照负有个人责任的董事、监事、厂长、高级管理人员，自该公司、企业破产清算终结或者被吊销营业执照之日起未逾五年的；</w:t>
      </w:r>
    </w:p>
    <w:p w14:paraId="183AED1E" w14:textId="77777777" w:rsidR="00FA0363" w:rsidRDefault="00FA0363" w:rsidP="00FA0363">
      <w:pPr>
        <w:pStyle w:val="13"/>
      </w:pPr>
      <w:r>
        <w:rPr>
          <w:rFonts w:hint="eastAsia"/>
        </w:rPr>
        <w:t>（三）个人所负债务数额较大，到期未清偿的；</w:t>
      </w:r>
    </w:p>
    <w:p w14:paraId="27A7581D" w14:textId="77777777" w:rsidR="00FA0363" w:rsidRDefault="00FA0363" w:rsidP="00FA0363">
      <w:pPr>
        <w:pStyle w:val="13"/>
      </w:pPr>
      <w:r>
        <w:rPr>
          <w:rFonts w:hint="eastAsia"/>
        </w:rPr>
        <w:t>（四）因违法行为被开除的基金管理人、基金托管人、证券交易所、证券公司、证券登记结算机构、期货交易所、期货公司及其他机构的从业人员和国家机关工作人员；</w:t>
      </w:r>
    </w:p>
    <w:p w14:paraId="59EC1D8F" w14:textId="77777777" w:rsidR="00FA0363" w:rsidRDefault="00FA0363" w:rsidP="00FA0363">
      <w:pPr>
        <w:pStyle w:val="13"/>
      </w:pPr>
      <w:r>
        <w:rPr>
          <w:rFonts w:hint="eastAsia"/>
        </w:rPr>
        <w:t>（五）因违法行为被吊销执业证书或者被取消资格的律师、注册会计师和资产评估机构、验证机构的从业人员、投资咨询从业人员；</w:t>
      </w:r>
    </w:p>
    <w:p w14:paraId="5236ECA9" w14:textId="77777777" w:rsidR="00FA0363" w:rsidRDefault="00FA0363" w:rsidP="00FA0363">
      <w:pPr>
        <w:pStyle w:val="13"/>
      </w:pPr>
      <w:r>
        <w:rPr>
          <w:rFonts w:hint="eastAsia"/>
        </w:rPr>
        <w:t>（六）法律、行政法规规定不得从事基金业务的其他人员。</w:t>
      </w:r>
    </w:p>
    <w:p w14:paraId="2021F6F3" w14:textId="77777777" w:rsidR="00FA0363" w:rsidRDefault="00FA0363" w:rsidP="00FA0363">
      <w:pPr>
        <w:pStyle w:val="31"/>
        <w:spacing w:before="156" w:after="62"/>
      </w:pPr>
      <w:bookmarkStart w:id="350" w:name="_Toc81833583"/>
      <w:r>
        <w:rPr>
          <w:rFonts w:hint="eastAsia"/>
        </w:rPr>
        <w:t>《拍卖法》（中华人民共和国主席令第二十三号）</w:t>
      </w:r>
      <w:bookmarkEnd w:id="350"/>
    </w:p>
    <w:p w14:paraId="520B7CCD" w14:textId="77777777" w:rsidR="00FA0363" w:rsidRDefault="00FA0363" w:rsidP="00FA0363">
      <w:pPr>
        <w:pStyle w:val="13"/>
        <w:ind w:firstLine="482"/>
      </w:pPr>
      <w:r w:rsidRPr="006E18F8">
        <w:rPr>
          <w:rFonts w:hint="eastAsia"/>
          <w:b/>
          <w:bCs/>
        </w:rPr>
        <w:t>第</w:t>
      </w:r>
      <w:r w:rsidRPr="006E18F8">
        <w:rPr>
          <w:b/>
          <w:bCs/>
        </w:rPr>
        <w:t>28条第2款</w:t>
      </w:r>
      <w:r>
        <w:rPr>
          <w:rFonts w:hint="eastAsia"/>
          <w:b/>
          <w:bCs/>
        </w:rPr>
        <w:t xml:space="preserve"> </w:t>
      </w:r>
      <w:r>
        <w:t>拍卖国有资产，依照法律或者按照国务院规定需要评估的，应当经依法设立的评估机构评估，并根据评估结果确定拍卖标的</w:t>
      </w:r>
      <w:proofErr w:type="gramStart"/>
      <w:r>
        <w:t>的</w:t>
      </w:r>
      <w:proofErr w:type="gramEnd"/>
      <w:r>
        <w:t>保留价。</w:t>
      </w:r>
    </w:p>
    <w:p w14:paraId="1DBFAAFA" w14:textId="77777777" w:rsidR="00FA0363" w:rsidRDefault="00FA0363" w:rsidP="00FA0363">
      <w:pPr>
        <w:pStyle w:val="31"/>
        <w:spacing w:before="156" w:after="62"/>
      </w:pPr>
      <w:bookmarkStart w:id="351" w:name="_Toc81833584"/>
      <w:r>
        <w:rPr>
          <w:rFonts w:hint="eastAsia"/>
        </w:rPr>
        <w:t>《公路法》（</w:t>
      </w:r>
      <w:r>
        <w:t>2017年修订）</w:t>
      </w:r>
      <w:bookmarkEnd w:id="351"/>
    </w:p>
    <w:p w14:paraId="5D0EFEE0" w14:textId="77777777" w:rsidR="00FA0363" w:rsidRDefault="00FA0363" w:rsidP="00FA0363">
      <w:pPr>
        <w:pStyle w:val="13"/>
        <w:ind w:firstLine="482"/>
      </w:pPr>
      <w:r w:rsidRPr="006E18F8">
        <w:rPr>
          <w:rFonts w:hint="eastAsia"/>
          <w:b/>
          <w:bCs/>
        </w:rPr>
        <w:t>第</w:t>
      </w:r>
      <w:r w:rsidRPr="006E18F8">
        <w:rPr>
          <w:b/>
          <w:bCs/>
        </w:rPr>
        <w:t>61条</w:t>
      </w:r>
      <w:r>
        <w:rPr>
          <w:rFonts w:hint="eastAsia"/>
          <w:b/>
          <w:bCs/>
        </w:rPr>
        <w:t xml:space="preserve"> </w:t>
      </w:r>
      <w:r>
        <w:t>前款规定的公路收费权出让的最低成交价，以国有资产评估机构评估的价值为依据确定。</w:t>
      </w:r>
    </w:p>
    <w:p w14:paraId="5E40DB69" w14:textId="77777777" w:rsidR="00FA0363" w:rsidRDefault="00FA0363" w:rsidP="00FA0363">
      <w:pPr>
        <w:pStyle w:val="31"/>
        <w:spacing w:before="156" w:after="62"/>
      </w:pPr>
      <w:bookmarkStart w:id="352" w:name="_Toc81833585"/>
      <w:r>
        <w:rPr>
          <w:rFonts w:hint="eastAsia"/>
        </w:rPr>
        <w:lastRenderedPageBreak/>
        <w:t>《金融机构撤销条例》（中华人民共和国国务院令第</w:t>
      </w:r>
      <w:r>
        <w:t>324号）</w:t>
      </w:r>
      <w:bookmarkEnd w:id="352"/>
    </w:p>
    <w:p w14:paraId="792E3697" w14:textId="77777777" w:rsidR="00FA0363" w:rsidRDefault="00FA0363" w:rsidP="00FA0363">
      <w:pPr>
        <w:pStyle w:val="13"/>
      </w:pPr>
      <w:r>
        <w:rPr>
          <w:rFonts w:hint="eastAsia"/>
        </w:rPr>
        <w:t>清算组可以依法变卖被撤销的金融机构的有效资产；拍卖被撤销的金融机构有效资产的，应当按照具有资产评估业务资格的中介机构出具的评估结果确定拍卖底价。</w:t>
      </w:r>
    </w:p>
    <w:p w14:paraId="7CF12AD3" w14:textId="77777777" w:rsidR="00FA0363" w:rsidRDefault="00FA0363" w:rsidP="00FA0363">
      <w:pPr>
        <w:pStyle w:val="31"/>
        <w:spacing w:before="156" w:after="62"/>
      </w:pPr>
      <w:bookmarkStart w:id="353" w:name="_Toc81833586"/>
      <w:r>
        <w:rPr>
          <w:rFonts w:hint="eastAsia"/>
        </w:rPr>
        <w:t>关于评估、验资复核问题的小结</w:t>
      </w:r>
      <w:bookmarkEnd w:id="353"/>
    </w:p>
    <w:p w14:paraId="4B04D71D" w14:textId="77777777" w:rsidR="00FA0363" w:rsidRDefault="00FA0363" w:rsidP="00FA0363">
      <w:pPr>
        <w:pStyle w:val="13"/>
      </w:pPr>
      <w:r>
        <w:rPr>
          <w:rFonts w:hint="eastAsia"/>
        </w:rPr>
        <w:t>关于对无证券从业资格机构的评估、验资复核一事证监会已多次提及，会</w:t>
      </w:r>
      <w:proofErr w:type="gramStart"/>
      <w:r>
        <w:rPr>
          <w:rFonts w:hint="eastAsia"/>
        </w:rPr>
        <w:t>里关注</w:t>
      </w:r>
      <w:proofErr w:type="gramEnd"/>
      <w:r>
        <w:rPr>
          <w:rFonts w:hint="eastAsia"/>
        </w:rPr>
        <w:t>是否具有证券从业资质的评估、验资问题，出发点还是在于出资资本的真实性、充足性。</w:t>
      </w:r>
    </w:p>
    <w:p w14:paraId="13BD541F" w14:textId="77777777" w:rsidR="00FA0363" w:rsidRDefault="00FA0363" w:rsidP="00FA0363">
      <w:pPr>
        <w:pStyle w:val="13"/>
      </w:pPr>
      <w:r>
        <w:rPr>
          <w:rFonts w:hint="eastAsia"/>
        </w:rPr>
        <w:t>其实早期，证监会曾发文明确要求。</w:t>
      </w:r>
      <w:r>
        <w:t>2000年9月20日，证监会发布《关于拟发行</w:t>
      </w:r>
      <w:r>
        <w:rPr>
          <w:rFonts w:hint="eastAsia"/>
        </w:rPr>
        <w:t>股票公司聘用审计机构等问题的通知》（证</w:t>
      </w:r>
      <w:proofErr w:type="gramStart"/>
      <w:r>
        <w:rPr>
          <w:rFonts w:hint="eastAsia"/>
        </w:rPr>
        <w:t>监发行字</w:t>
      </w:r>
      <w:proofErr w:type="gramEnd"/>
      <w:r>
        <w:rPr>
          <w:rFonts w:hint="eastAsia"/>
        </w:rPr>
        <w:t>〔</w:t>
      </w:r>
      <w:r>
        <w:t>2000〕131号），规定：今后拟申请发行股票的公司，设立时应聘请有证券从业资格许可证的中介机构承担验资、资产评估、审计等业务。</w:t>
      </w:r>
      <w:proofErr w:type="gramStart"/>
      <w:r>
        <w:t>若设立</w:t>
      </w:r>
      <w:proofErr w:type="gramEnd"/>
      <w:r>
        <w:t>时聘请没有证券从业资格许可证的中介机构承担上述业务的，应在股份公司运行满三年后才能提出发行申请，在申请发行股票前须另聘有证券从业资格许可证的中介机构复核并出具专业报告。2006年5月17日，中国证券监督管</w:t>
      </w:r>
    </w:p>
    <w:p w14:paraId="6150E1E8" w14:textId="77777777" w:rsidR="00FA0363" w:rsidRDefault="00FA0363" w:rsidP="00FA0363">
      <w:pPr>
        <w:pStyle w:val="13"/>
      </w:pPr>
      <w:proofErr w:type="gramStart"/>
      <w:r>
        <w:rPr>
          <w:rFonts w:hint="eastAsia"/>
        </w:rPr>
        <w:t>理委员</w:t>
      </w:r>
      <w:proofErr w:type="gramEnd"/>
      <w:r>
        <w:rPr>
          <w:rFonts w:hint="eastAsia"/>
        </w:rPr>
        <w:t>发布《首次公开发行股票并上市管理办法》并于</w:t>
      </w:r>
      <w:r>
        <w:t>2006年5月18日施行，《关于</w:t>
      </w:r>
      <w:r>
        <w:rPr>
          <w:rFonts w:hint="eastAsia"/>
        </w:rPr>
        <w:t>拟发行股票公司聘用审计机构等问题的通知》等规范文件同时废止。即</w:t>
      </w:r>
      <w:r>
        <w:t>2006年5月18日之后，拟申请发行股票的公司，设立时不再强制要求聘请有证券从业资格许可证的中介机构承担验资、资产评估、审计等业务。</w:t>
      </w:r>
    </w:p>
    <w:p w14:paraId="76F76768" w14:textId="77777777" w:rsidR="00FA0363" w:rsidRDefault="00FA0363" w:rsidP="00FA0363">
      <w:pPr>
        <w:pStyle w:val="13"/>
      </w:pPr>
      <w:r>
        <w:rPr>
          <w:rFonts w:hint="eastAsia"/>
        </w:rPr>
        <w:t>不过，强制性规范文件的调整动向，不代表证监会降低了要求；相反是以口头、培训这种更灵活的形式进一步强化。</w:t>
      </w:r>
      <w:r>
        <w:t>2010年第二期保代培训：对于评估报告、验资报</w:t>
      </w:r>
      <w:r>
        <w:rPr>
          <w:rFonts w:hint="eastAsia"/>
        </w:rPr>
        <w:t>告的复核（</w:t>
      </w:r>
      <w:r>
        <w:t>1）三年内涉及资本项目变动（增资、股权转让等）所有验资、评估都要复核；与日常业务相关的评估可以不复核，如仅购买某些生产设备；（2）三年外的，原则上可以不复核；（3）虽在三年外，但有重大影响的报告，也要复核，如涉及股份公司设立等资本变动。此外，《保荐业务通讯第三期》也指出：出具相关报告的资产评估机构或验资机构不具备证券从业资格或证券从业资格被注销以及机构被解散的：（1）</w:t>
      </w:r>
      <w:proofErr w:type="gramStart"/>
      <w:r>
        <w:t>若相关</w:t>
      </w:r>
      <w:proofErr w:type="gramEnd"/>
      <w:r>
        <w:t>资产评估在报告期内且与发行人增加注册资本相关的则需要具有证券从业资格的评估机构对上述资产评估报告进行复核，并提供复核报告。（2</w:t>
      </w:r>
      <w:r>
        <w:rPr>
          <w:rFonts w:hint="eastAsia"/>
        </w:rPr>
        <w:t>）</w:t>
      </w:r>
      <w:proofErr w:type="gramStart"/>
      <w:r>
        <w:rPr>
          <w:rFonts w:hint="eastAsia"/>
        </w:rPr>
        <w:t>若相关</w:t>
      </w:r>
      <w:proofErr w:type="gramEnd"/>
      <w:r>
        <w:rPr>
          <w:rFonts w:hint="eastAsia"/>
        </w:rPr>
        <w:t>验资在报告期内则需要具有证券从业资格的</w:t>
      </w:r>
    </w:p>
    <w:p w14:paraId="0C46F0BA" w14:textId="77777777" w:rsidR="00FA0363" w:rsidRDefault="00FA0363" w:rsidP="00FA0363">
      <w:pPr>
        <w:pStyle w:val="13"/>
      </w:pPr>
      <w:r>
        <w:rPr>
          <w:rFonts w:hint="eastAsia"/>
        </w:rPr>
        <w:t>验资机构对上述验资报告进行复核，并提供复核报告。</w:t>
      </w:r>
      <w:r>
        <w:t>2011年11月份，证监会发行部审核二处召开的IPO会计审计问题的沟通会再次提出“申报期间的验资报告如由非证券从业资格的事务所出具的，应当由申报会计师进行验资复核。申报期之外的实收资本、股本存在重大违规情形的，应当由申报会计师进行验资复核”。</w:t>
      </w:r>
    </w:p>
    <w:p w14:paraId="188DD16F" w14:textId="77777777" w:rsidR="00FA0363" w:rsidRDefault="00FA0363" w:rsidP="00FA0363">
      <w:pPr>
        <w:pStyle w:val="13"/>
      </w:pPr>
      <w:r>
        <w:rPr>
          <w:rFonts w:hint="eastAsia"/>
        </w:rPr>
        <w:lastRenderedPageBreak/>
        <w:t>可以看出，证监会的关注已不仅限于早期拟发行人设立时的验资、评估，对报告期内的涉及注册资本变动项的评估、验资均有复核要求，但从其关注出资资本的真实性、充足性这一出发点来理解，对于报告期内的与资本变动无关的评估可以不复核，</w:t>
      </w:r>
      <w:r>
        <w:t>如购买或出售土地、房屋、股权等资产。报告期外的原则上不需复核，但涉及重大资本项目变动或资本变动不规范的除外，尤其是资本变动的充足性、真实性不明朗的情况。</w:t>
      </w:r>
    </w:p>
    <w:p w14:paraId="13A85C34" w14:textId="77777777" w:rsidR="00FA0363" w:rsidRDefault="00FA0363" w:rsidP="00FA0363">
      <w:pPr>
        <w:pStyle w:val="13"/>
      </w:pPr>
      <w:r>
        <w:rPr>
          <w:rFonts w:hint="eastAsia"/>
        </w:rPr>
        <w:t>需要注意的是，股份公司整体变更设立时的审计、评估和验资机构如无证券从业资格，一般是需要复核（即使不在报告期内）。曾看到反馈的案例（搜于特），股份公司整体变更设立时的审计、评估和验资机构无证券从业资格，虽然律师发表了无规范文件要求复核的意见；但出于审慎考虑，还是请公司聘请有证券从业资格的机构进行了复核。当然，如果变更设立时间比较早（如</w:t>
      </w:r>
      <w:r>
        <w:t>2000年或之前），必要性就不大了，万一证监会反馈要求了再做也不迟，当是表下态度吧。</w:t>
      </w:r>
    </w:p>
    <w:p w14:paraId="3CE5F84E" w14:textId="77777777" w:rsidR="00FA0363" w:rsidRDefault="00FA0363" w:rsidP="00FA0363">
      <w:pPr>
        <w:pStyle w:val="13"/>
      </w:pPr>
      <w:r>
        <w:rPr>
          <w:rFonts w:hint="eastAsia"/>
        </w:rPr>
        <w:t>此外，在资本公积、盈余公积、未分配利润转增资本时，因涉及转增资本来源的账面数据的真实、可靠性问题，应由证券资格的机构进行审计、验资，如无，应复核。保代培训中要求：对于申报前</w:t>
      </w:r>
      <w:r>
        <w:t>6个月内的转增资本，必须要进行审计。（2010年第</w:t>
      </w:r>
    </w:p>
    <w:p w14:paraId="5D7391C4" w14:textId="77777777" w:rsidR="00FA0363" w:rsidRDefault="00FA0363" w:rsidP="00FA0363">
      <w:pPr>
        <w:pStyle w:val="13"/>
      </w:pPr>
      <w:r>
        <w:t>3期保代培训：申请受理前六个月内利润分配或资本金公积转增股本所形成的股份，需</w:t>
      </w:r>
      <w:r>
        <w:rPr>
          <w:rFonts w:hint="eastAsia"/>
        </w:rPr>
        <w:t>审计、验资，与原有股份锁定相同）。当然，即使会里没有要求，对于公司以资本公</w:t>
      </w:r>
      <w:r>
        <w:t>积、盈余公积、未分配利润转增资本，审计也是必须的，因为这是验资的基本要求。根据《中国注册会计师审计准则第1602号－－验资》（财会〔2006〕4号）第十四条：“以净资产折合实收资本的，或以资本公积、盈余公积、未分配利润转增注册资本及实收资本的，应当在审计的基础上按照国家有关规定审验其价值。”而且验资机构一般不会依照其他审计机构的审计数据来验资，一般要自己审了才验。实务中，办理转增时，除验资报告，工商部门一般也要求提供审计报告。总</w:t>
      </w:r>
      <w:r>
        <w:rPr>
          <w:rFonts w:hint="eastAsia"/>
        </w:rPr>
        <w:t>之，发行人以资本公积、盈余公积、未分配利润转增资本时需聘请具有证券从业资格的</w:t>
      </w:r>
      <w:proofErr w:type="gramStart"/>
      <w:r>
        <w:rPr>
          <w:rFonts w:hint="eastAsia"/>
        </w:rPr>
        <w:t>的</w:t>
      </w:r>
      <w:proofErr w:type="gramEnd"/>
      <w:r>
        <w:rPr>
          <w:rFonts w:hint="eastAsia"/>
        </w:rPr>
        <w:t>审计、验资机构；否则，如发生在报告期内，应聘请有证券从业资格的机构进行复核。</w:t>
      </w:r>
    </w:p>
    <w:p w14:paraId="35ABE658" w14:textId="77777777" w:rsidR="00FA0363" w:rsidRDefault="00FA0363" w:rsidP="00FA0363">
      <w:pPr>
        <w:pStyle w:val="13"/>
      </w:pPr>
      <w:r>
        <w:rPr>
          <w:rFonts w:hint="eastAsia"/>
        </w:rPr>
        <w:t>最后，公司以实物出资的评估和验资为同一机构，是否需要复核？这在保代培训或证监会的相关资料中没有提到。首先评估和审计</w:t>
      </w:r>
      <w:r>
        <w:t>/验资不能为同一家机构，这是保持客观独立性的要求；审计和验资同属</w:t>
      </w:r>
      <w:proofErr w:type="gramStart"/>
      <w:r>
        <w:t>鉴证</w:t>
      </w:r>
      <w:proofErr w:type="gramEnd"/>
      <w:r>
        <w:t>业务，一家亲没问题，实际上也都是一家在做。早期，审计、评估、验资和造价等基本都是混在一起的，也算是原来会计所的一条龙服务。根据2006年及前后年度的资产评估机构审批管理办法、审计准则等，相关部门也要求审计、评估等分立成为相互独立的实体；不过大家搭伙吃饭惯了，真正独立并不容易（现在有的还是同一口锅，只是用了不同的碗筷而已），不</w:t>
      </w:r>
      <w:r>
        <w:rPr>
          <w:rFonts w:hint="eastAsia"/>
        </w:rPr>
        <w:t>过应至少在形式上独立，相互监督。</w:t>
      </w:r>
      <w:r>
        <w:t>2005年，国务院办公厅转发国资委《关于进一步规范国有企业改制工作的实施意见的通知》（国办发〔2005〕60号），通知要求“加强对改</w:t>
      </w:r>
      <w:r>
        <w:lastRenderedPageBreak/>
        <w:t>制企业的财务审计和资产评估，企业实施改制必须由审批改制方案的单位确定的中介机构进行财务审计和资产评估。确定中介机构必须考察和了解其资质、信誉及能力；不得聘请改制前两年内在企业财务审计中有违法、违规记录的会计师事务所和注册会计师；不得聘请参与该企业上一次资产评估的中介机构和注册资产评估师；不得聘请同一中介机构开展财务审计与资产评估。”这仅是国资委</w:t>
      </w:r>
      <w:r>
        <w:rPr>
          <w:rFonts w:hint="eastAsia"/>
        </w:rPr>
        <w:t>对国企改制的要求，审计与评估不能同一家。此外，新的会计师审计准则和评估师的相关基本准则对评估与审计、验资的保持独立性也有相关要求。</w:t>
      </w:r>
      <w:r>
        <w:t>2010年11月26日，中国证监会上市部发布了《并购重组共性问题审核意见关注要点（二）》，其中第五项提出“审计和评估人员相互保持独立性，并关注是否由同时具备注册会计师及注册资产评估师的人员对同一标的资产既执行审计业务又执行评估业务。”为避免同一家机构进行评估和验资可能导致的风险，打消</w:t>
      </w:r>
      <w:r>
        <w:rPr>
          <w:rFonts w:hint="eastAsia"/>
        </w:rPr>
        <w:t>证监会疑虑，如发生在报告期内或者相近年度，最好请公司另聘独立的评估机构对当时的评估报告进行复核并出具复核报告。如果发生在较早之前的“大锅饭时期”，倒也无所谓；不过出于谨慎考虑，有的中介机构也建议了复核，如龙源技术（</w:t>
      </w:r>
      <w:r>
        <w:t>2010年上市）在报告期外（2000年）实物增资的评估和验资为同一机构，发行人律师虽解释了“评估机构和验资机构为同一家机构，并未违反当时任何法律、法规的规定”，但实务操作中还是对评估进行了复核。</w:t>
      </w:r>
    </w:p>
    <w:p w14:paraId="1EB08527" w14:textId="7F8352D2" w:rsidR="00FA0363" w:rsidRDefault="00FA0363" w:rsidP="00FA0363">
      <w:pPr>
        <w:pStyle w:val="21"/>
        <w:spacing w:before="156" w:after="93"/>
      </w:pPr>
      <w:bookmarkStart w:id="354" w:name="_Toc81833587"/>
      <w:r>
        <w:rPr>
          <w:rFonts w:hint="eastAsia"/>
        </w:rPr>
        <w:t>司法解释中有关资产评估的规定</w:t>
      </w:r>
      <w:bookmarkEnd w:id="354"/>
    </w:p>
    <w:p w14:paraId="6CC4766D" w14:textId="77777777" w:rsidR="002B5F6B" w:rsidRDefault="002B5F6B" w:rsidP="002B5F6B">
      <w:pPr>
        <w:pStyle w:val="31"/>
        <w:spacing w:before="156" w:after="62"/>
      </w:pPr>
      <w:bookmarkStart w:id="355" w:name="_Toc81833588"/>
      <w:r>
        <w:rPr>
          <w:rFonts w:hint="eastAsia"/>
        </w:rPr>
        <w:t>《关于审理证券市场因虚假陈述引发的民事赔偿案件的若干规定》</w:t>
      </w:r>
      <w:r>
        <w:br/>
      </w:r>
      <w:r>
        <w:rPr>
          <w:rFonts w:hint="eastAsia"/>
        </w:rPr>
        <w:t>（法释〔</w:t>
      </w:r>
      <w:r>
        <w:t>2003〕2号）</w:t>
      </w:r>
      <w:bookmarkEnd w:id="355"/>
    </w:p>
    <w:p w14:paraId="480037B2" w14:textId="77777777" w:rsidR="002B5F6B" w:rsidRDefault="002B5F6B" w:rsidP="002B5F6B">
      <w:pPr>
        <w:pStyle w:val="13"/>
        <w:ind w:firstLine="482"/>
      </w:pPr>
      <w:r w:rsidRPr="004E3EBB">
        <w:rPr>
          <w:rFonts w:hint="eastAsia"/>
          <w:b/>
          <w:bCs/>
        </w:rPr>
        <w:t xml:space="preserve">第七条 </w:t>
      </w:r>
      <w:r>
        <w:t>虚假陈述证券民事赔偿案件的被告，应当是虚假陈述行为人，包括：</w:t>
      </w:r>
    </w:p>
    <w:p w14:paraId="4B658A7E" w14:textId="77777777" w:rsidR="002B5F6B" w:rsidRDefault="002B5F6B" w:rsidP="002B5F6B">
      <w:pPr>
        <w:pStyle w:val="13"/>
      </w:pPr>
      <w:r>
        <w:rPr>
          <w:rFonts w:hint="eastAsia"/>
        </w:rPr>
        <w:t>（一）发起人、控股股东等实际控制人；</w:t>
      </w:r>
    </w:p>
    <w:p w14:paraId="117EF405" w14:textId="77777777" w:rsidR="002B5F6B" w:rsidRDefault="002B5F6B" w:rsidP="002B5F6B">
      <w:pPr>
        <w:pStyle w:val="13"/>
      </w:pPr>
      <w:r>
        <w:rPr>
          <w:rFonts w:hint="eastAsia"/>
        </w:rPr>
        <w:t>（二）发行人或者上市公司；</w:t>
      </w:r>
    </w:p>
    <w:p w14:paraId="4E641B0A" w14:textId="77777777" w:rsidR="002B5F6B" w:rsidRDefault="002B5F6B" w:rsidP="002B5F6B">
      <w:pPr>
        <w:pStyle w:val="13"/>
      </w:pPr>
      <w:r>
        <w:rPr>
          <w:rFonts w:hint="eastAsia"/>
        </w:rPr>
        <w:t>（三）证券承销商；</w:t>
      </w:r>
    </w:p>
    <w:p w14:paraId="716E2373" w14:textId="77777777" w:rsidR="002B5F6B" w:rsidRDefault="002B5F6B" w:rsidP="002B5F6B">
      <w:pPr>
        <w:pStyle w:val="13"/>
      </w:pPr>
      <w:r>
        <w:rPr>
          <w:rFonts w:hint="eastAsia"/>
        </w:rPr>
        <w:t>（四）证券上市推荐人；</w:t>
      </w:r>
    </w:p>
    <w:p w14:paraId="2952E44C" w14:textId="77777777" w:rsidR="002B5F6B" w:rsidRDefault="002B5F6B" w:rsidP="002B5F6B">
      <w:pPr>
        <w:pStyle w:val="13"/>
      </w:pPr>
      <w:r>
        <w:rPr>
          <w:rFonts w:hint="eastAsia"/>
        </w:rPr>
        <w:t>（五）会计师事务所、律师事务所、资产评估机构等专业中介服务机构；</w:t>
      </w:r>
    </w:p>
    <w:p w14:paraId="6C0CF247" w14:textId="77777777" w:rsidR="002B5F6B" w:rsidRDefault="002B5F6B" w:rsidP="002B5F6B">
      <w:pPr>
        <w:pStyle w:val="13"/>
      </w:pPr>
      <w:r>
        <w:rPr>
          <w:rFonts w:hint="eastAsia"/>
        </w:rPr>
        <w:t>（六）上述（二）、（三）、（四）项所涉单位中负有责任的董事、监事和经理等高级管理人员以及（五）项中直接责任人；</w:t>
      </w:r>
    </w:p>
    <w:p w14:paraId="47B77040" w14:textId="77777777" w:rsidR="002B5F6B" w:rsidRDefault="002B5F6B" w:rsidP="002B5F6B">
      <w:pPr>
        <w:pStyle w:val="13"/>
      </w:pPr>
      <w:r>
        <w:rPr>
          <w:rFonts w:hint="eastAsia"/>
        </w:rPr>
        <w:t>（七）其他</w:t>
      </w:r>
      <w:proofErr w:type="gramStart"/>
      <w:r>
        <w:rPr>
          <w:rFonts w:hint="eastAsia"/>
        </w:rPr>
        <w:t>作出</w:t>
      </w:r>
      <w:proofErr w:type="gramEnd"/>
      <w:r>
        <w:rPr>
          <w:rFonts w:hint="eastAsia"/>
        </w:rPr>
        <w:t>虚假陈述的机构或者自然人。</w:t>
      </w:r>
    </w:p>
    <w:p w14:paraId="635A14CD" w14:textId="11DCD63D" w:rsidR="002B5F6B" w:rsidRDefault="002B5F6B" w:rsidP="002B5F6B">
      <w:pPr>
        <w:pStyle w:val="13"/>
        <w:ind w:firstLineChars="0"/>
      </w:pPr>
      <w:r w:rsidRPr="00E05BDA">
        <w:rPr>
          <w:rFonts w:hint="eastAsia"/>
          <w:b/>
          <w:bCs/>
        </w:rPr>
        <w:t xml:space="preserve">第二十四条 </w:t>
      </w:r>
      <w:r>
        <w:t>专业中介服务机构及其直接责任人违反证券法第一百六十一条和第二百零二条的规定虚假陈述，给投资人造成损失的，就其负有责任的部分承担赔偿责任。但有证据证明无过错的，应予免责。</w:t>
      </w:r>
    </w:p>
    <w:p w14:paraId="6013ACDD" w14:textId="77777777" w:rsidR="002B5F6B" w:rsidRDefault="002B5F6B" w:rsidP="002B5F6B">
      <w:pPr>
        <w:pStyle w:val="13"/>
        <w:ind w:firstLineChars="0"/>
      </w:pPr>
    </w:p>
    <w:p w14:paraId="12830CD1" w14:textId="1F7FEA11" w:rsidR="00FA0363" w:rsidRDefault="00FA0363" w:rsidP="00FA0363">
      <w:pPr>
        <w:pStyle w:val="31"/>
        <w:spacing w:before="156" w:after="62"/>
      </w:pPr>
      <w:bookmarkStart w:id="356" w:name="_Toc81833589"/>
      <w:r>
        <w:rPr>
          <w:rFonts w:hint="eastAsia"/>
        </w:rPr>
        <w:lastRenderedPageBreak/>
        <w:t>《关于适用</w:t>
      </w:r>
      <w:r>
        <w:t>&lt;中华人民共和国婚姻法&gt;若干问题的解释（二）》</w:t>
      </w:r>
      <w:r>
        <w:br w:type="textWrapping" w:clear="all"/>
        <w:t>（法释〔2003〕19号）</w:t>
      </w:r>
      <w:bookmarkEnd w:id="356"/>
    </w:p>
    <w:p w14:paraId="488F6FF0" w14:textId="0DA563A1" w:rsidR="00FA0363" w:rsidRDefault="00E05BDA" w:rsidP="00FA0363">
      <w:pPr>
        <w:pStyle w:val="13"/>
        <w:ind w:firstLine="482"/>
      </w:pPr>
      <w:r w:rsidRPr="00E05BDA">
        <w:rPr>
          <w:rFonts w:hint="eastAsia"/>
          <w:b/>
          <w:bCs/>
        </w:rPr>
        <w:t xml:space="preserve">第十八条 </w:t>
      </w:r>
      <w:r w:rsidR="00FA0363">
        <w:t>夫妻以一方名义投资设立独资企业的，人民法院分割夫妻在该独资企业中的共同财产时，应当按照以下情形分别处理：</w:t>
      </w:r>
    </w:p>
    <w:p w14:paraId="41C62500" w14:textId="77777777" w:rsidR="00FA0363" w:rsidRDefault="00FA0363" w:rsidP="00FA0363">
      <w:pPr>
        <w:pStyle w:val="13"/>
      </w:pPr>
      <w:r>
        <w:rPr>
          <w:rFonts w:hint="eastAsia"/>
        </w:rPr>
        <w:t>（一）一方主张经营该企业的，对企业资产进行评估后，由取得企业一方给予另一方相应的补偿；</w:t>
      </w:r>
    </w:p>
    <w:p w14:paraId="69865088" w14:textId="77777777" w:rsidR="00FA0363" w:rsidRDefault="00FA0363" w:rsidP="00FA0363">
      <w:pPr>
        <w:pStyle w:val="13"/>
      </w:pPr>
      <w:r>
        <w:rPr>
          <w:rFonts w:hint="eastAsia"/>
        </w:rPr>
        <w:t>（二）双方均主张经营该企业的，在双方竞价基础上，由取得企业的一方给予另一方相应的补偿；</w:t>
      </w:r>
    </w:p>
    <w:p w14:paraId="60CC61F2" w14:textId="77777777" w:rsidR="00FA0363" w:rsidRDefault="00FA0363" w:rsidP="00FA0363">
      <w:pPr>
        <w:pStyle w:val="13"/>
      </w:pPr>
      <w:r>
        <w:rPr>
          <w:rFonts w:hint="eastAsia"/>
        </w:rPr>
        <w:t>（三）双方均不愿意经营该企业的，按照《中华人民共和国个人独资企业法》等有关规定办理。</w:t>
      </w:r>
    </w:p>
    <w:p w14:paraId="1BD67A60" w14:textId="32B4F49D" w:rsidR="00FA0363" w:rsidRDefault="00E05BDA" w:rsidP="00FA0363">
      <w:pPr>
        <w:pStyle w:val="13"/>
        <w:ind w:firstLine="482"/>
      </w:pPr>
      <w:r w:rsidRPr="00E05BDA">
        <w:rPr>
          <w:rFonts w:hint="eastAsia"/>
          <w:b/>
          <w:bCs/>
        </w:rPr>
        <w:t xml:space="preserve">第二十条 </w:t>
      </w:r>
      <w:r w:rsidR="00FA0363">
        <w:t>双方对夫妻共同财产中的房屋价值及归属无法达成协议时，人民法院按以下情形分别处理：</w:t>
      </w:r>
    </w:p>
    <w:p w14:paraId="0E217937" w14:textId="77777777" w:rsidR="00FA0363" w:rsidRDefault="00FA0363" w:rsidP="00FA0363">
      <w:pPr>
        <w:pStyle w:val="13"/>
      </w:pPr>
      <w:r>
        <w:rPr>
          <w:rFonts w:hint="eastAsia"/>
        </w:rPr>
        <w:t>（一）双方均主张房屋所有权并且同意竞价取得的，应当准许；</w:t>
      </w:r>
    </w:p>
    <w:p w14:paraId="3533D945" w14:textId="77777777" w:rsidR="00FA0363" w:rsidRDefault="00FA0363" w:rsidP="00FA0363">
      <w:pPr>
        <w:pStyle w:val="13"/>
      </w:pPr>
      <w:r>
        <w:rPr>
          <w:rFonts w:hint="eastAsia"/>
        </w:rPr>
        <w:t>（二）一方主张房屋所有权的，由评估机构按市场价格对房屋</w:t>
      </w:r>
      <w:proofErr w:type="gramStart"/>
      <w:r>
        <w:rPr>
          <w:rFonts w:hint="eastAsia"/>
        </w:rPr>
        <w:t>作出</w:t>
      </w:r>
      <w:proofErr w:type="gramEnd"/>
      <w:r>
        <w:rPr>
          <w:rFonts w:hint="eastAsia"/>
        </w:rPr>
        <w:t>评估，取得房屋所有权的一方应当给予另一方相应的补偿；</w:t>
      </w:r>
    </w:p>
    <w:p w14:paraId="2122FEF0" w14:textId="699513D7" w:rsidR="00885D4C" w:rsidRDefault="00FA0363" w:rsidP="00FA0363">
      <w:pPr>
        <w:pStyle w:val="13"/>
      </w:pPr>
      <w:r>
        <w:rPr>
          <w:rFonts w:hint="eastAsia"/>
        </w:rPr>
        <w:t>（三）双方均不主张房屋所有权的，根据当事人的申请拍卖房屋，就所得价款进行分割。</w:t>
      </w:r>
    </w:p>
    <w:p w14:paraId="24019612" w14:textId="77777777" w:rsidR="002B5F6B" w:rsidRDefault="002B5F6B" w:rsidP="002B5F6B">
      <w:pPr>
        <w:pStyle w:val="31"/>
        <w:spacing w:before="156" w:after="62"/>
      </w:pPr>
      <w:bookmarkStart w:id="357" w:name="_Toc81833590"/>
      <w:r>
        <w:rPr>
          <w:rFonts w:hint="eastAsia"/>
        </w:rPr>
        <w:t>《关于办理妨害信用卡管理刑事案件具体应用法律若干问题的解释》</w:t>
      </w:r>
      <w:r>
        <w:br/>
      </w:r>
      <w:r>
        <w:rPr>
          <w:rFonts w:hint="eastAsia"/>
        </w:rPr>
        <w:t>（法释〔</w:t>
      </w:r>
      <w:r>
        <w:t>2009〕19号）</w:t>
      </w:r>
      <w:bookmarkEnd w:id="357"/>
    </w:p>
    <w:p w14:paraId="6BE6F5C5" w14:textId="77777777" w:rsidR="002B5F6B" w:rsidRDefault="002B5F6B" w:rsidP="002B5F6B">
      <w:pPr>
        <w:pStyle w:val="13"/>
        <w:ind w:firstLine="482"/>
      </w:pPr>
      <w:r w:rsidRPr="004E3EBB">
        <w:rPr>
          <w:rFonts w:hint="eastAsia"/>
          <w:b/>
          <w:bCs/>
        </w:rPr>
        <w:t xml:space="preserve">第四条 </w:t>
      </w:r>
      <w:r>
        <w:t>承担资产评估、验资、验证、会计、审计、法律服务等职责的中介组织或其人员，为信用卡申请人提供虚假的财产状况、收入、职务等资信证明材料，应当追究刑事责任的，依照刑法第二百二十九条的规定，分别以提供虚假证明文件罪和出具证明文件重大失实罪定罪处罚。</w:t>
      </w:r>
    </w:p>
    <w:p w14:paraId="061A8386" w14:textId="42345DF5" w:rsidR="00F67FFD" w:rsidRPr="002B5F6B" w:rsidRDefault="00F67FFD" w:rsidP="00882ED4">
      <w:pPr>
        <w:pStyle w:val="13"/>
      </w:pPr>
    </w:p>
    <w:p w14:paraId="6E055545" w14:textId="5DA52D07" w:rsidR="00F67FFD" w:rsidRDefault="00F67FFD" w:rsidP="00882ED4">
      <w:pPr>
        <w:pStyle w:val="13"/>
      </w:pPr>
    </w:p>
    <w:p w14:paraId="24BD5437" w14:textId="77777777" w:rsidR="00F67FFD" w:rsidRPr="007310CC" w:rsidRDefault="00F67FFD" w:rsidP="00882ED4">
      <w:pPr>
        <w:pStyle w:val="13"/>
      </w:pPr>
    </w:p>
    <w:sectPr w:rsidR="00F67FFD" w:rsidRPr="007310CC" w:rsidSect="00184D45">
      <w:headerReference w:type="even" r:id="rId121"/>
      <w:headerReference w:type="default" r:id="rId122"/>
      <w:footerReference w:type="even" r:id="rId123"/>
      <w:footerReference w:type="default" r:id="rId124"/>
      <w:headerReference w:type="first" r:id="rId125"/>
      <w:pgSz w:w="11906" w:h="16838"/>
      <w:pgMar w:top="1440" w:right="1588" w:bottom="1440" w:left="158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4576D" w14:textId="77777777" w:rsidR="009D001D" w:rsidRDefault="009D001D" w:rsidP="00E31D97">
      <w:r>
        <w:separator/>
      </w:r>
    </w:p>
  </w:endnote>
  <w:endnote w:type="continuationSeparator" w:id="0">
    <w:p w14:paraId="65C4C4B2" w14:textId="77777777" w:rsidR="009D001D" w:rsidRDefault="009D001D" w:rsidP="00E31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9B10" w14:textId="0FED98DC" w:rsidR="005564C9" w:rsidRPr="005564C9" w:rsidRDefault="005564C9" w:rsidP="005564C9">
    <w:pPr>
      <w:pStyle w:val="a5"/>
      <w:jc w:val="right"/>
      <w:rPr>
        <w:rFonts w:ascii="宋体" w:hAnsi="宋体"/>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907F" w14:textId="77777777" w:rsidR="00055F75" w:rsidRDefault="00055F7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316D" w14:textId="77777777" w:rsidR="00055F75" w:rsidRDefault="00055F7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A97D" w14:textId="2C7C8625" w:rsidR="00FD3BB1" w:rsidRPr="004E5D2C" w:rsidRDefault="00D2770E" w:rsidP="009A1E12">
    <w:pPr>
      <w:pStyle w:val="a5"/>
      <w:pBdr>
        <w:top w:val="single" w:sz="4" w:space="1" w:color="auto"/>
      </w:pBdr>
      <w:rPr>
        <w:sz w:val="21"/>
        <w:szCs w:val="21"/>
      </w:rPr>
    </w:pPr>
    <w:r w:rsidRPr="00D2770E">
      <w:rPr>
        <w:noProof/>
      </w:rPr>
      <w:drawing>
        <wp:anchor distT="0" distB="0" distL="114300" distR="114300" simplePos="0" relativeHeight="251694080" behindDoc="0" locked="0" layoutInCell="1" allowOverlap="1" wp14:anchorId="3EA562EC" wp14:editId="4DDE324E">
          <wp:simplePos x="0" y="0"/>
          <wp:positionH relativeFrom="column">
            <wp:posOffset>4153989</wp:posOffset>
          </wp:positionH>
          <wp:positionV relativeFrom="paragraph">
            <wp:posOffset>19685</wp:posOffset>
          </wp:positionV>
          <wp:extent cx="1105988" cy="3838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988" cy="38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D2C" w:rsidRPr="004E5D2C">
      <w:rPr>
        <w:rFonts w:ascii="宋体" w:hAnsi="宋体"/>
        <w:sz w:val="21"/>
        <w:szCs w:val="21"/>
      </w:rPr>
      <w:fldChar w:fldCharType="begin"/>
    </w:r>
    <w:r w:rsidR="004E5D2C" w:rsidRPr="004E5D2C">
      <w:rPr>
        <w:rFonts w:ascii="宋体" w:hAnsi="宋体"/>
        <w:sz w:val="21"/>
        <w:szCs w:val="21"/>
      </w:rPr>
      <w:instrText>PAGE   \* MERGEFORMAT</w:instrText>
    </w:r>
    <w:r w:rsidR="004E5D2C" w:rsidRPr="004E5D2C">
      <w:rPr>
        <w:rFonts w:ascii="宋体" w:hAnsi="宋体"/>
        <w:sz w:val="21"/>
        <w:szCs w:val="21"/>
      </w:rPr>
      <w:fldChar w:fldCharType="separate"/>
    </w:r>
    <w:r w:rsidR="004E5D2C" w:rsidRPr="004E5D2C">
      <w:rPr>
        <w:rFonts w:ascii="宋体" w:hAnsi="宋体"/>
        <w:sz w:val="21"/>
        <w:szCs w:val="21"/>
        <w:lang w:val="zh-CN"/>
      </w:rPr>
      <w:t>1</w:t>
    </w:r>
    <w:r w:rsidR="004E5D2C" w:rsidRPr="004E5D2C">
      <w:rPr>
        <w:rFonts w:ascii="宋体" w:hAnsi="宋体"/>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094303"/>
      <w:docPartObj>
        <w:docPartGallery w:val="Page Numbers (Bottom of Page)"/>
        <w:docPartUnique/>
      </w:docPartObj>
    </w:sdtPr>
    <w:sdtEndPr>
      <w:rPr>
        <w:rFonts w:ascii="宋体" w:hAnsi="宋体"/>
        <w:sz w:val="20"/>
        <w:szCs w:val="20"/>
      </w:rPr>
    </w:sdtEndPr>
    <w:sdtContent>
      <w:p w14:paraId="53D362A3" w14:textId="06E43881" w:rsidR="00FD3BB1" w:rsidRPr="004E5D2C" w:rsidRDefault="00055F75" w:rsidP="009A1E12">
        <w:pPr>
          <w:pStyle w:val="a5"/>
          <w:pBdr>
            <w:top w:val="single" w:sz="4" w:space="1" w:color="auto"/>
          </w:pBdr>
          <w:jc w:val="right"/>
          <w:rPr>
            <w:rFonts w:ascii="宋体" w:hAnsi="宋体"/>
            <w:sz w:val="20"/>
            <w:szCs w:val="20"/>
          </w:rPr>
        </w:pPr>
        <w:r>
          <w:rPr>
            <w:noProof/>
          </w:rPr>
          <w:drawing>
            <wp:anchor distT="0" distB="0" distL="114300" distR="114300" simplePos="0" relativeHeight="251700224" behindDoc="0" locked="0" layoutInCell="1" allowOverlap="1" wp14:anchorId="7C585CE4" wp14:editId="39820D86">
              <wp:simplePos x="0" y="0"/>
              <wp:positionH relativeFrom="column">
                <wp:posOffset>0</wp:posOffset>
              </wp:positionH>
              <wp:positionV relativeFrom="paragraph">
                <wp:posOffset>27940</wp:posOffset>
              </wp:positionV>
              <wp:extent cx="1008529" cy="342900"/>
              <wp:effectExtent l="0" t="0" r="127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08529" cy="342900"/>
                      </a:xfrm>
                      <a:prstGeom prst="rect">
                        <a:avLst/>
                      </a:prstGeom>
                    </pic:spPr>
                  </pic:pic>
                </a:graphicData>
              </a:graphic>
              <wp14:sizeRelH relativeFrom="page">
                <wp14:pctWidth>0</wp14:pctWidth>
              </wp14:sizeRelH>
              <wp14:sizeRelV relativeFrom="page">
                <wp14:pctHeight>0</wp14:pctHeight>
              </wp14:sizeRelV>
            </wp:anchor>
          </w:drawing>
        </w:r>
        <w:r w:rsidR="00FD3BB1" w:rsidRPr="004E5D2C">
          <w:rPr>
            <w:rFonts w:ascii="宋体" w:hAnsi="宋体"/>
            <w:sz w:val="21"/>
            <w:szCs w:val="21"/>
          </w:rPr>
          <w:fldChar w:fldCharType="begin"/>
        </w:r>
        <w:r w:rsidR="00FD3BB1" w:rsidRPr="004E5D2C">
          <w:rPr>
            <w:rFonts w:ascii="宋体" w:hAnsi="宋体"/>
            <w:sz w:val="21"/>
            <w:szCs w:val="21"/>
          </w:rPr>
          <w:instrText>PAGE   \* MERGEFORMAT</w:instrText>
        </w:r>
        <w:r w:rsidR="00FD3BB1" w:rsidRPr="004E5D2C">
          <w:rPr>
            <w:rFonts w:ascii="宋体" w:hAnsi="宋体"/>
            <w:sz w:val="21"/>
            <w:szCs w:val="21"/>
          </w:rPr>
          <w:fldChar w:fldCharType="separate"/>
        </w:r>
        <w:r w:rsidR="00FD3BB1" w:rsidRPr="004E5D2C">
          <w:rPr>
            <w:rFonts w:ascii="宋体" w:hAnsi="宋体"/>
            <w:sz w:val="21"/>
            <w:szCs w:val="21"/>
            <w:lang w:val="zh-CN"/>
          </w:rPr>
          <w:t>2</w:t>
        </w:r>
        <w:r w:rsidR="00FD3BB1" w:rsidRPr="004E5D2C">
          <w:rPr>
            <w:rFonts w:ascii="宋体" w:hAnsi="宋体"/>
            <w:sz w:val="21"/>
            <w:szCs w:val="2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069005"/>
      <w:docPartObj>
        <w:docPartGallery w:val="Page Numbers (Bottom of Page)"/>
        <w:docPartUnique/>
      </w:docPartObj>
    </w:sdtPr>
    <w:sdtEndPr>
      <w:rPr>
        <w:rFonts w:ascii="宋体" w:hAnsi="宋体"/>
        <w:sz w:val="21"/>
        <w:szCs w:val="21"/>
      </w:rPr>
    </w:sdtEndPr>
    <w:sdtContent>
      <w:p w14:paraId="73E6FF13" w14:textId="22733A25" w:rsidR="00CF702F" w:rsidRPr="00E50D08" w:rsidRDefault="00D2770E" w:rsidP="009A1E12">
        <w:pPr>
          <w:pStyle w:val="a5"/>
          <w:pBdr>
            <w:top w:val="single" w:sz="4" w:space="1" w:color="auto"/>
          </w:pBdr>
          <w:rPr>
            <w:rFonts w:ascii="宋体" w:hAnsi="宋体"/>
            <w:sz w:val="21"/>
            <w:szCs w:val="21"/>
          </w:rPr>
        </w:pPr>
        <w:r w:rsidRPr="00D2770E">
          <w:rPr>
            <w:noProof/>
          </w:rPr>
          <w:drawing>
            <wp:anchor distT="0" distB="0" distL="114300" distR="114300" simplePos="0" relativeHeight="251698176" behindDoc="0" locked="0" layoutInCell="1" allowOverlap="1" wp14:anchorId="6A5A8EF3" wp14:editId="385C32C5">
              <wp:simplePos x="0" y="0"/>
              <wp:positionH relativeFrom="column">
                <wp:posOffset>4413885</wp:posOffset>
              </wp:positionH>
              <wp:positionV relativeFrom="paragraph">
                <wp:posOffset>24946</wp:posOffset>
              </wp:positionV>
              <wp:extent cx="1105988" cy="383880"/>
              <wp:effectExtent l="0" t="0" r="0" b="0"/>
              <wp:wrapNone/>
              <wp:docPr id="3294" name="图片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988" cy="38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39" w:rsidRPr="005564C9">
          <w:rPr>
            <w:rFonts w:ascii="宋体" w:hAnsi="宋体"/>
            <w:sz w:val="21"/>
            <w:szCs w:val="21"/>
          </w:rPr>
          <w:fldChar w:fldCharType="begin"/>
        </w:r>
        <w:r w:rsidR="00EB3D39" w:rsidRPr="005564C9">
          <w:rPr>
            <w:rFonts w:ascii="宋体" w:hAnsi="宋体"/>
            <w:sz w:val="21"/>
            <w:szCs w:val="21"/>
          </w:rPr>
          <w:instrText>PAGE   \* MERGEFORMAT</w:instrText>
        </w:r>
        <w:r w:rsidR="00EB3D39" w:rsidRPr="005564C9">
          <w:rPr>
            <w:rFonts w:ascii="宋体" w:hAnsi="宋体"/>
            <w:sz w:val="21"/>
            <w:szCs w:val="21"/>
          </w:rPr>
          <w:fldChar w:fldCharType="separate"/>
        </w:r>
        <w:r w:rsidR="00EB3D39" w:rsidRPr="005564C9">
          <w:rPr>
            <w:rFonts w:ascii="宋体" w:hAnsi="宋体"/>
            <w:sz w:val="21"/>
            <w:szCs w:val="21"/>
            <w:lang w:val="zh-CN"/>
          </w:rPr>
          <w:t>2</w:t>
        </w:r>
        <w:r w:rsidR="00EB3D39" w:rsidRPr="005564C9">
          <w:rPr>
            <w:rFonts w:ascii="宋体" w:hAnsi="宋体"/>
            <w:sz w:val="21"/>
            <w:szCs w:val="2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795195"/>
      <w:docPartObj>
        <w:docPartGallery w:val="Page Numbers (Bottom of Page)"/>
        <w:docPartUnique/>
      </w:docPartObj>
    </w:sdtPr>
    <w:sdtEndPr>
      <w:rPr>
        <w:rFonts w:ascii="宋体" w:hAnsi="宋体"/>
        <w:sz w:val="21"/>
        <w:szCs w:val="21"/>
      </w:rPr>
    </w:sdtEndPr>
    <w:sdtContent>
      <w:p w14:paraId="44FF5FAA" w14:textId="4EB871D5" w:rsidR="00CF702F" w:rsidRPr="004E5D2C" w:rsidRDefault="00055F75" w:rsidP="009A1E12">
        <w:pPr>
          <w:pStyle w:val="a5"/>
          <w:pBdr>
            <w:top w:val="single" w:sz="4" w:space="1" w:color="auto"/>
          </w:pBdr>
          <w:jc w:val="right"/>
          <w:rPr>
            <w:rFonts w:ascii="宋体" w:hAnsi="宋体"/>
            <w:sz w:val="21"/>
            <w:szCs w:val="21"/>
          </w:rPr>
        </w:pPr>
        <w:r>
          <w:rPr>
            <w:noProof/>
          </w:rPr>
          <w:drawing>
            <wp:anchor distT="0" distB="0" distL="114300" distR="114300" simplePos="0" relativeHeight="251702272" behindDoc="0" locked="0" layoutInCell="1" allowOverlap="1" wp14:anchorId="14F3C4CF" wp14:editId="40EC5CCA">
              <wp:simplePos x="0" y="0"/>
              <wp:positionH relativeFrom="column">
                <wp:posOffset>0</wp:posOffset>
              </wp:positionH>
              <wp:positionV relativeFrom="paragraph">
                <wp:posOffset>46990</wp:posOffset>
              </wp:positionV>
              <wp:extent cx="1008529" cy="342900"/>
              <wp:effectExtent l="0" t="0" r="1270" b="0"/>
              <wp:wrapNone/>
              <wp:docPr id="3288" name="图片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08529" cy="342900"/>
                      </a:xfrm>
                      <a:prstGeom prst="rect">
                        <a:avLst/>
                      </a:prstGeom>
                    </pic:spPr>
                  </pic:pic>
                </a:graphicData>
              </a:graphic>
              <wp14:sizeRelH relativeFrom="page">
                <wp14:pctWidth>0</wp14:pctWidth>
              </wp14:sizeRelH>
              <wp14:sizeRelV relativeFrom="page">
                <wp14:pctHeight>0</wp14:pctHeight>
              </wp14:sizeRelV>
            </wp:anchor>
          </w:drawing>
        </w:r>
        <w:r w:rsidR="005564C9" w:rsidRPr="004E5D2C">
          <w:rPr>
            <w:rFonts w:ascii="宋体" w:hAnsi="宋体"/>
            <w:sz w:val="21"/>
            <w:szCs w:val="21"/>
          </w:rPr>
          <w:fldChar w:fldCharType="begin"/>
        </w:r>
        <w:r w:rsidR="005564C9" w:rsidRPr="004E5D2C">
          <w:rPr>
            <w:rFonts w:ascii="宋体" w:hAnsi="宋体"/>
            <w:sz w:val="21"/>
            <w:szCs w:val="21"/>
          </w:rPr>
          <w:instrText>PAGE   \* MERGEFORMAT</w:instrText>
        </w:r>
        <w:r w:rsidR="005564C9" w:rsidRPr="004E5D2C">
          <w:rPr>
            <w:rFonts w:ascii="宋体" w:hAnsi="宋体"/>
            <w:sz w:val="21"/>
            <w:szCs w:val="21"/>
          </w:rPr>
          <w:fldChar w:fldCharType="separate"/>
        </w:r>
        <w:r w:rsidR="005564C9" w:rsidRPr="004E5D2C">
          <w:rPr>
            <w:rFonts w:ascii="宋体" w:hAnsi="宋体"/>
            <w:sz w:val="21"/>
            <w:szCs w:val="21"/>
            <w:lang w:val="zh-CN"/>
          </w:rPr>
          <w:t>2</w:t>
        </w:r>
        <w:r w:rsidR="005564C9" w:rsidRPr="004E5D2C">
          <w:rPr>
            <w:rFonts w:ascii="宋体" w:hAnsi="宋体"/>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36B60" w14:textId="77777777" w:rsidR="009D001D" w:rsidRDefault="009D001D" w:rsidP="00E31D97">
      <w:r>
        <w:separator/>
      </w:r>
    </w:p>
  </w:footnote>
  <w:footnote w:type="continuationSeparator" w:id="0">
    <w:p w14:paraId="1BC593D7" w14:textId="77777777" w:rsidR="009D001D" w:rsidRDefault="009D001D" w:rsidP="00E31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E78D" w14:textId="4CA6C76F" w:rsidR="005564C9" w:rsidRDefault="00055F75" w:rsidP="00885D4C">
    <w:pPr>
      <w:pStyle w:val="a3"/>
      <w:pBdr>
        <w:bottom w:val="none" w:sz="0" w:space="0" w:color="auto"/>
      </w:pBdr>
      <w:jc w:val="left"/>
    </w:pPr>
    <w:r>
      <w:rPr>
        <w:noProof/>
      </w:rPr>
      <w:pict w14:anchorId="353DD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92344" o:spid="_x0000_s1035" type="#_x0000_t75" style="position:absolute;margin-left:0;margin-top:0;width:251.1pt;height:533.7pt;z-index:-251612160;mso-position-horizontal:center;mso-position-horizontal-relative:margin;mso-position-vertical:center;mso-position-vertical-relative:margin" o:allowincell="f">
          <v:imagedata r:id="rId1" o:title="水印"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5C27" w14:textId="20E88715" w:rsidR="00495C65" w:rsidRPr="00FD3BB1" w:rsidRDefault="00055F75" w:rsidP="00885D4C">
    <w:pPr>
      <w:pStyle w:val="a3"/>
      <w:pBdr>
        <w:bottom w:val="none" w:sz="0" w:space="0" w:color="auto"/>
      </w:pBdr>
      <w:jc w:val="right"/>
    </w:pPr>
    <w:r>
      <w:rPr>
        <w:noProof/>
      </w:rPr>
      <w:pict w14:anchorId="1392F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92345" o:spid="_x0000_s1036" type="#_x0000_t75" style="position:absolute;left:0;text-align:left;margin-left:0;margin-top:0;width:251.1pt;height:533.7pt;z-index:-251611136;mso-position-horizontal:center;mso-position-horizontal-relative:margin;mso-position-vertical:center;mso-position-vertical-relative:margin" o:allowincell="f">
          <v:imagedata r:id="rId1" o:title="水印"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22AF" w14:textId="09EC837E" w:rsidR="00532A44" w:rsidRDefault="00055F75">
    <w:pPr>
      <w:pStyle w:val="a3"/>
    </w:pPr>
    <w:r>
      <w:rPr>
        <w:noProof/>
      </w:rPr>
      <w:pict w14:anchorId="517D3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92343" o:spid="_x0000_s1034" type="#_x0000_t75" style="position:absolute;left:0;text-align:left;margin-left:0;margin-top:0;width:251.1pt;height:533.7pt;z-index:-251613184;mso-position-horizontal:center;mso-position-horizontal-relative:margin;mso-position-vertical:center;mso-position-vertical-relative:margin" o:allowincell="f">
          <v:imagedata r:id="rId1" o:title="水印"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64B5" w14:textId="63D2911F" w:rsidR="00885D4C" w:rsidRPr="004E5D2C" w:rsidRDefault="00055F75" w:rsidP="00FD3BB1">
    <w:pPr>
      <w:pStyle w:val="a3"/>
      <w:jc w:val="left"/>
      <w:rPr>
        <w:sz w:val="20"/>
        <w:szCs w:val="20"/>
      </w:rPr>
    </w:pPr>
    <w:r>
      <w:rPr>
        <w:rFonts w:hint="eastAsia"/>
        <w:noProof/>
        <w:sz w:val="20"/>
        <w:szCs w:val="20"/>
      </w:rPr>
      <w:pict w14:anchorId="2016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92347" o:spid="_x0000_s1038" type="#_x0000_t75" style="position:absolute;margin-left:0;margin-top:0;width:251.1pt;height:533.7pt;z-index:-251609088;mso-position-horizontal:center;mso-position-horizontal-relative:margin;mso-position-vertical:center;mso-position-vertical-relative:margin" o:allowincell="f">
          <v:imagedata r:id="rId1" o:title="水印" gain="19661f" blacklevel="22938f"/>
        </v:shape>
      </w:pict>
    </w:r>
    <w:r w:rsidR="00885D4C" w:rsidRPr="004E5D2C">
      <w:rPr>
        <w:rFonts w:hint="eastAsia"/>
        <w:sz w:val="20"/>
        <w:szCs w:val="20"/>
      </w:rPr>
      <w:t>目录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23E9" w14:textId="11050C53" w:rsidR="00885D4C" w:rsidRPr="004E5D2C" w:rsidRDefault="00055F75" w:rsidP="00FD3BB1">
    <w:pPr>
      <w:pStyle w:val="a3"/>
      <w:pBdr>
        <w:bottom w:val="single" w:sz="4" w:space="1" w:color="auto"/>
      </w:pBdr>
      <w:jc w:val="right"/>
      <w:rPr>
        <w:sz w:val="20"/>
        <w:szCs w:val="20"/>
      </w:rPr>
    </w:pPr>
    <w:r>
      <w:rPr>
        <w:rFonts w:hint="eastAsia"/>
        <w:noProof/>
        <w:sz w:val="20"/>
        <w:szCs w:val="20"/>
      </w:rPr>
      <w:pict w14:anchorId="09B67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92348" o:spid="_x0000_s1039" type="#_x0000_t75" style="position:absolute;left:0;text-align:left;margin-left:0;margin-top:0;width:251.1pt;height:533.7pt;z-index:-251608064;mso-position-horizontal:center;mso-position-horizontal-relative:margin;mso-position-vertical:center;mso-position-vertical-relative:margin" o:allowincell="f">
          <v:imagedata r:id="rId1" o:title="水印" gain="19661f" blacklevel="22938f"/>
        </v:shape>
      </w:pict>
    </w:r>
    <w:r w:rsidR="00885D4C" w:rsidRPr="004E5D2C">
      <w:rPr>
        <w:rFonts w:hint="eastAsia"/>
        <w:sz w:val="20"/>
        <w:szCs w:val="20"/>
      </w:rPr>
      <w:t>目录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05CA5" w14:textId="095082ED" w:rsidR="00CD6AF4" w:rsidRDefault="00055F75">
    <w:pPr>
      <w:pStyle w:val="a3"/>
    </w:pPr>
    <w:r>
      <w:rPr>
        <w:noProof/>
      </w:rPr>
      <w:pict w14:anchorId="70BB7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92346" o:spid="_x0000_s1037" type="#_x0000_t75" style="position:absolute;left:0;text-align:left;margin-left:0;margin-top:0;width:251.1pt;height:533.7pt;z-index:-251610112;mso-position-horizontal:center;mso-position-horizontal-relative:margin;mso-position-vertical:center;mso-position-vertical-relative:margin" o:allowincell="f">
          <v:imagedata r:id="rId1" o:title="水印"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4ECB" w14:textId="45C84902" w:rsidR="00885D4C" w:rsidRPr="004E5D2C" w:rsidRDefault="00055F75" w:rsidP="004E5D2C">
    <w:pPr>
      <w:pStyle w:val="a3"/>
      <w:jc w:val="left"/>
      <w:rPr>
        <w:sz w:val="20"/>
        <w:szCs w:val="20"/>
      </w:rPr>
    </w:pPr>
    <w:r>
      <w:rPr>
        <w:rFonts w:hint="eastAsia"/>
        <w:noProof/>
        <w:sz w:val="20"/>
        <w:szCs w:val="20"/>
        <w:lang w:val="zh-CN"/>
      </w:rPr>
      <w:pict w14:anchorId="2FA5A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92350" o:spid="_x0000_s1041" type="#_x0000_t75" style="position:absolute;margin-left:0;margin-top:0;width:251.1pt;height:533.7pt;z-index:-251606016;mso-position-horizontal:center;mso-position-horizontal-relative:margin;mso-position-vertical:center;mso-position-vertical-relative:margin" o:allowincell="f">
          <v:imagedata r:id="rId1" o:title="水印" gain="19661f" blacklevel="22938f"/>
        </v:shape>
      </w:pict>
    </w:r>
    <w:r w:rsidR="002B5F6B" w:rsidRPr="004E5D2C">
      <w:rPr>
        <w:rFonts w:hint="eastAsia"/>
        <w:sz w:val="20"/>
        <w:szCs w:val="20"/>
      </w:rPr>
      <w:t>资产评估相关法律法规汇编</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BBD6" w14:textId="00BC8D7A" w:rsidR="00CF702F" w:rsidRPr="004E5D2C" w:rsidRDefault="00055F75" w:rsidP="004E5D2C">
    <w:pPr>
      <w:pStyle w:val="a3"/>
      <w:jc w:val="right"/>
      <w:rPr>
        <w:sz w:val="20"/>
        <w:szCs w:val="20"/>
      </w:rPr>
    </w:pPr>
    <w:r>
      <w:rPr>
        <w:rFonts w:hint="eastAsia"/>
        <w:noProof/>
        <w:sz w:val="20"/>
        <w:szCs w:val="20"/>
      </w:rPr>
      <w:pict w14:anchorId="5C8C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92351" o:spid="_x0000_s1042" type="#_x0000_t75" style="position:absolute;left:0;text-align:left;margin-left:0;margin-top:0;width:251.1pt;height:533.7pt;z-index:-251604992;mso-position-horizontal:center;mso-position-horizontal-relative:margin;mso-position-vertical:center;mso-position-vertical-relative:margin" o:allowincell="f">
          <v:imagedata r:id="rId1" o:title="水印" gain="19661f" blacklevel="22938f"/>
        </v:shape>
      </w:pict>
    </w:r>
    <w:r w:rsidR="002B5F6B" w:rsidRPr="004E5D2C">
      <w:rPr>
        <w:rFonts w:hint="eastAsia"/>
        <w:sz w:val="20"/>
        <w:szCs w:val="20"/>
      </w:rPr>
      <w:t>资产评估相关法律法规汇编</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9D48" w14:textId="37EC64F0" w:rsidR="00CD6AF4" w:rsidRDefault="00055F75">
    <w:pPr>
      <w:pStyle w:val="a3"/>
    </w:pPr>
    <w:r>
      <w:rPr>
        <w:noProof/>
      </w:rPr>
      <w:pict w14:anchorId="02E92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92349" o:spid="_x0000_s1040" type="#_x0000_t75" style="position:absolute;left:0;text-align:left;margin-left:0;margin-top:0;width:251.1pt;height:533.7pt;z-index:-251607040;mso-position-horizontal:center;mso-position-horizontal-relative:margin;mso-position-vertical:center;mso-position-vertical-relative:margin" o:allowincell="f">
          <v:imagedata r:id="rId1" o:title="水印"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C93"/>
    <w:multiLevelType w:val="hybridMultilevel"/>
    <w:tmpl w:val="27E01C80"/>
    <w:lvl w:ilvl="0" w:tplc="11625C10">
      <w:start w:val="1"/>
      <w:numFmt w:val="upperLetter"/>
      <w:lvlText w:val="%1."/>
      <w:lvlJc w:val="left"/>
      <w:pPr>
        <w:ind w:left="786"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 w15:restartNumberingAfterBreak="0">
    <w:nsid w:val="0184496C"/>
    <w:multiLevelType w:val="hybridMultilevel"/>
    <w:tmpl w:val="10EA25B2"/>
    <w:lvl w:ilvl="0" w:tplc="7E5AB70E">
      <w:start w:val="1"/>
      <w:numFmt w:val="decimal"/>
      <w:suff w:val="nothing"/>
      <w:lvlText w:val="（%1）"/>
      <w:lvlJc w:val="left"/>
      <w:pPr>
        <w:ind w:left="900" w:hanging="420"/>
      </w:pPr>
      <w:rPr>
        <w:rFonts w:hAnsi="宋体"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70A4603"/>
    <w:multiLevelType w:val="hybridMultilevel"/>
    <w:tmpl w:val="64D0FF3C"/>
    <w:lvl w:ilvl="0" w:tplc="0BB4418C">
      <w:start w:val="4"/>
      <w:numFmt w:val="decimal"/>
      <w:lvlText w:val="（%1）"/>
      <w:lvlJc w:val="left"/>
      <w:pPr>
        <w:ind w:left="926"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A85D9F"/>
    <w:multiLevelType w:val="hybridMultilevel"/>
    <w:tmpl w:val="8F7C2958"/>
    <w:lvl w:ilvl="0" w:tplc="039241E6">
      <w:start w:val="1"/>
      <w:numFmt w:val="decimalEnclosedCircle"/>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089612A6"/>
    <w:multiLevelType w:val="hybridMultilevel"/>
    <w:tmpl w:val="16C849BC"/>
    <w:lvl w:ilvl="0" w:tplc="FBDE2FD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9134CA0"/>
    <w:multiLevelType w:val="multilevel"/>
    <w:tmpl w:val="09134CA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51F6A17"/>
    <w:multiLevelType w:val="hybridMultilevel"/>
    <w:tmpl w:val="4E707D28"/>
    <w:lvl w:ilvl="0" w:tplc="1A2A17A4">
      <w:start w:val="1"/>
      <w:numFmt w:val="upperLetter"/>
      <w:lvlText w:val="%1."/>
      <w:lvlJc w:val="left"/>
      <w:pPr>
        <w:ind w:left="842" w:hanging="360"/>
      </w:pPr>
      <w:rPr>
        <w:rFonts w:ascii="Calibri" w:hAnsi="Calibri" w:hint="default"/>
        <w:b/>
        <w:sz w:val="24"/>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15:restartNumberingAfterBreak="0">
    <w:nsid w:val="17B10E71"/>
    <w:multiLevelType w:val="hybridMultilevel"/>
    <w:tmpl w:val="86EEE5A0"/>
    <w:lvl w:ilvl="0" w:tplc="F096720C">
      <w:start w:val="1"/>
      <w:numFmt w:val="decimal"/>
      <w:suff w:val="nothing"/>
      <w:lvlText w:val="（%1）"/>
      <w:lvlJc w:val="left"/>
      <w:pPr>
        <w:ind w:left="900" w:hanging="420"/>
      </w:pPr>
      <w:rPr>
        <w:rFonts w:hAnsi="宋体"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B86119C"/>
    <w:multiLevelType w:val="multilevel"/>
    <w:tmpl w:val="1B86119C"/>
    <w:lvl w:ilvl="0">
      <w:start w:val="6"/>
      <w:numFmt w:val="decimal"/>
      <w:lvlText w:val="%1"/>
      <w:lvlJc w:val="left"/>
      <w:pPr>
        <w:ind w:left="420" w:hanging="420"/>
      </w:pPr>
      <w:rPr>
        <w:rFonts w:hint="default"/>
        <w:lang w:val="zh-CN" w:eastAsia="zh-CN" w:bidi="zh-CN"/>
      </w:rPr>
    </w:lvl>
    <w:lvl w:ilvl="1">
      <w:start w:val="3"/>
      <w:numFmt w:val="decimal"/>
      <w:lvlText w:val="%1.%2"/>
      <w:lvlJc w:val="left"/>
      <w:pPr>
        <w:ind w:left="420" w:hanging="420"/>
      </w:pPr>
      <w:rPr>
        <w:rFonts w:ascii="Times New Roman" w:eastAsia="Times New Roman" w:hAnsi="Times New Roman" w:cs="Times New Roman" w:hint="default"/>
        <w:w w:val="100"/>
        <w:sz w:val="24"/>
        <w:szCs w:val="24"/>
        <w:lang w:val="zh-CN" w:eastAsia="zh-CN" w:bidi="zh-CN"/>
      </w:rPr>
    </w:lvl>
    <w:lvl w:ilvl="2">
      <w:start w:val="1"/>
      <w:numFmt w:val="decimal"/>
      <w:lvlText w:val="%1.%2.%3"/>
      <w:lvlJc w:val="left"/>
      <w:pPr>
        <w:ind w:left="600" w:hanging="600"/>
      </w:pPr>
      <w:rPr>
        <w:rFonts w:ascii="Times New Roman" w:eastAsia="Times New Roman" w:hAnsi="Times New Roman" w:cs="Times New Roman" w:hint="default"/>
        <w:w w:val="100"/>
        <w:sz w:val="24"/>
        <w:szCs w:val="24"/>
        <w:lang w:val="zh-CN" w:eastAsia="zh-CN" w:bidi="zh-CN"/>
      </w:rPr>
    </w:lvl>
    <w:lvl w:ilvl="3">
      <w:start w:val="1"/>
      <w:numFmt w:val="decimal"/>
      <w:lvlText w:val="%1.%2.%3.%4"/>
      <w:lvlJc w:val="left"/>
      <w:pPr>
        <w:ind w:left="780" w:hanging="780"/>
      </w:pPr>
      <w:rPr>
        <w:rFonts w:ascii="Times New Roman" w:eastAsia="Times New Roman" w:hAnsi="Times New Roman" w:cs="Times New Roman" w:hint="default"/>
        <w:w w:val="100"/>
        <w:sz w:val="24"/>
        <w:szCs w:val="24"/>
        <w:lang w:val="zh-CN" w:eastAsia="zh-CN" w:bidi="zh-CN"/>
      </w:rPr>
    </w:lvl>
    <w:lvl w:ilvl="4">
      <w:numFmt w:val="bullet"/>
      <w:lvlText w:val="•"/>
      <w:lvlJc w:val="left"/>
      <w:pPr>
        <w:ind w:left="2270" w:hanging="780"/>
      </w:pPr>
      <w:rPr>
        <w:rFonts w:hint="default"/>
        <w:lang w:val="zh-CN" w:eastAsia="zh-CN" w:bidi="zh-CN"/>
      </w:rPr>
    </w:lvl>
    <w:lvl w:ilvl="5">
      <w:numFmt w:val="bullet"/>
      <w:lvlText w:val="•"/>
      <w:lvlJc w:val="left"/>
      <w:pPr>
        <w:ind w:left="3015" w:hanging="780"/>
      </w:pPr>
      <w:rPr>
        <w:rFonts w:hint="default"/>
        <w:lang w:val="zh-CN" w:eastAsia="zh-CN" w:bidi="zh-CN"/>
      </w:rPr>
    </w:lvl>
    <w:lvl w:ilvl="6">
      <w:numFmt w:val="bullet"/>
      <w:lvlText w:val="•"/>
      <w:lvlJc w:val="left"/>
      <w:pPr>
        <w:ind w:left="3760" w:hanging="780"/>
      </w:pPr>
      <w:rPr>
        <w:rFonts w:hint="default"/>
        <w:lang w:val="zh-CN" w:eastAsia="zh-CN" w:bidi="zh-CN"/>
      </w:rPr>
    </w:lvl>
    <w:lvl w:ilvl="7">
      <w:numFmt w:val="bullet"/>
      <w:lvlText w:val="•"/>
      <w:lvlJc w:val="left"/>
      <w:pPr>
        <w:ind w:left="4505" w:hanging="780"/>
      </w:pPr>
      <w:rPr>
        <w:rFonts w:hint="default"/>
        <w:lang w:val="zh-CN" w:eastAsia="zh-CN" w:bidi="zh-CN"/>
      </w:rPr>
    </w:lvl>
    <w:lvl w:ilvl="8">
      <w:numFmt w:val="bullet"/>
      <w:lvlText w:val="•"/>
      <w:lvlJc w:val="left"/>
      <w:pPr>
        <w:ind w:left="5250" w:hanging="780"/>
      </w:pPr>
      <w:rPr>
        <w:rFonts w:hint="default"/>
        <w:lang w:val="zh-CN" w:eastAsia="zh-CN" w:bidi="zh-CN"/>
      </w:rPr>
    </w:lvl>
  </w:abstractNum>
  <w:abstractNum w:abstractNumId="9" w15:restartNumberingAfterBreak="0">
    <w:nsid w:val="23356292"/>
    <w:multiLevelType w:val="hybridMultilevel"/>
    <w:tmpl w:val="BC92CB1E"/>
    <w:lvl w:ilvl="0" w:tplc="365AA03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A6E02D2"/>
    <w:multiLevelType w:val="hybridMultilevel"/>
    <w:tmpl w:val="BDD8B15A"/>
    <w:lvl w:ilvl="0" w:tplc="B838F4E6">
      <w:start w:val="1"/>
      <w:numFmt w:val="decimalEnclosedCircle"/>
      <w:lvlText w:val="%1"/>
      <w:lvlJc w:val="left"/>
      <w:pPr>
        <w:ind w:left="88" w:firstLine="442"/>
      </w:pPr>
      <w:rPr>
        <w:rFonts w:ascii="宋体" w:hAnsi="宋体" w:cs="宋体"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1" w15:restartNumberingAfterBreak="0">
    <w:nsid w:val="3864035B"/>
    <w:multiLevelType w:val="hybridMultilevel"/>
    <w:tmpl w:val="E2904C0E"/>
    <w:lvl w:ilvl="0" w:tplc="CC56A936">
      <w:start w:val="1"/>
      <w:numFmt w:val="decimal"/>
      <w:lvlText w:val="（%1）"/>
      <w:lvlJc w:val="left"/>
      <w:pPr>
        <w:ind w:left="802" w:hanging="360"/>
      </w:pPr>
      <w:rPr>
        <w:rFonts w:ascii="宋体" w:hAnsi="宋体" w:cs="宋体" w:hint="default"/>
      </w:rPr>
    </w:lvl>
    <w:lvl w:ilvl="1" w:tplc="04090019" w:tentative="1">
      <w:start w:val="1"/>
      <w:numFmt w:val="lowerLetter"/>
      <w:lvlText w:val="%2)"/>
      <w:lvlJc w:val="left"/>
      <w:pPr>
        <w:ind w:left="1282" w:hanging="420"/>
      </w:pPr>
    </w:lvl>
    <w:lvl w:ilvl="2" w:tplc="0409001B" w:tentative="1">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12" w15:restartNumberingAfterBreak="0">
    <w:nsid w:val="39C867DE"/>
    <w:multiLevelType w:val="multilevel"/>
    <w:tmpl w:val="39C867DE"/>
    <w:lvl w:ilvl="0">
      <w:start w:val="6"/>
      <w:numFmt w:val="decimal"/>
      <w:lvlText w:val="%1"/>
      <w:lvlJc w:val="left"/>
      <w:pPr>
        <w:ind w:left="1080" w:hanging="600"/>
      </w:pPr>
      <w:rPr>
        <w:rFonts w:hint="default"/>
        <w:lang w:val="zh-CN" w:eastAsia="zh-CN" w:bidi="zh-CN"/>
      </w:rPr>
    </w:lvl>
    <w:lvl w:ilvl="1">
      <w:start w:val="2"/>
      <w:numFmt w:val="decimal"/>
      <w:lvlText w:val="%1.%2"/>
      <w:lvlJc w:val="left"/>
      <w:pPr>
        <w:ind w:left="1080" w:hanging="600"/>
      </w:pPr>
      <w:rPr>
        <w:rFonts w:hint="default"/>
        <w:lang w:val="zh-CN" w:eastAsia="zh-CN" w:bidi="zh-CN"/>
      </w:rPr>
    </w:lvl>
    <w:lvl w:ilvl="2">
      <w:start w:val="8"/>
      <w:numFmt w:val="decimal"/>
      <w:lvlText w:val="%1.%2.%3"/>
      <w:lvlJc w:val="left"/>
      <w:pPr>
        <w:ind w:left="1080" w:hanging="600"/>
      </w:pPr>
      <w:rPr>
        <w:rFonts w:ascii="Times New Roman" w:eastAsia="Times New Roman" w:hAnsi="Times New Roman" w:cs="Times New Roman" w:hint="default"/>
        <w:w w:val="100"/>
        <w:sz w:val="24"/>
        <w:szCs w:val="24"/>
        <w:lang w:val="zh-CN" w:eastAsia="zh-CN" w:bidi="zh-CN"/>
      </w:rPr>
    </w:lvl>
    <w:lvl w:ilvl="3">
      <w:numFmt w:val="bullet"/>
      <w:lvlText w:val="•"/>
      <w:lvlJc w:val="left"/>
      <w:pPr>
        <w:ind w:left="3483" w:hanging="600"/>
      </w:pPr>
      <w:rPr>
        <w:rFonts w:hint="default"/>
        <w:lang w:val="zh-CN" w:eastAsia="zh-CN" w:bidi="zh-CN"/>
      </w:rPr>
    </w:lvl>
    <w:lvl w:ilvl="4">
      <w:numFmt w:val="bullet"/>
      <w:lvlText w:val="•"/>
      <w:lvlJc w:val="left"/>
      <w:pPr>
        <w:ind w:left="4284" w:hanging="600"/>
      </w:pPr>
      <w:rPr>
        <w:rFonts w:hint="default"/>
        <w:lang w:val="zh-CN" w:eastAsia="zh-CN" w:bidi="zh-CN"/>
      </w:rPr>
    </w:lvl>
    <w:lvl w:ilvl="5">
      <w:numFmt w:val="bullet"/>
      <w:lvlText w:val="•"/>
      <w:lvlJc w:val="left"/>
      <w:pPr>
        <w:ind w:left="5085" w:hanging="600"/>
      </w:pPr>
      <w:rPr>
        <w:rFonts w:hint="default"/>
        <w:lang w:val="zh-CN" w:eastAsia="zh-CN" w:bidi="zh-CN"/>
      </w:rPr>
    </w:lvl>
    <w:lvl w:ilvl="6">
      <w:numFmt w:val="bullet"/>
      <w:lvlText w:val="•"/>
      <w:lvlJc w:val="left"/>
      <w:pPr>
        <w:ind w:left="5886" w:hanging="600"/>
      </w:pPr>
      <w:rPr>
        <w:rFonts w:hint="default"/>
        <w:lang w:val="zh-CN" w:eastAsia="zh-CN" w:bidi="zh-CN"/>
      </w:rPr>
    </w:lvl>
    <w:lvl w:ilvl="7">
      <w:numFmt w:val="bullet"/>
      <w:lvlText w:val="•"/>
      <w:lvlJc w:val="left"/>
      <w:pPr>
        <w:ind w:left="6687" w:hanging="600"/>
      </w:pPr>
      <w:rPr>
        <w:rFonts w:hint="default"/>
        <w:lang w:val="zh-CN" w:eastAsia="zh-CN" w:bidi="zh-CN"/>
      </w:rPr>
    </w:lvl>
    <w:lvl w:ilvl="8">
      <w:numFmt w:val="bullet"/>
      <w:lvlText w:val="•"/>
      <w:lvlJc w:val="left"/>
      <w:pPr>
        <w:ind w:left="7488" w:hanging="600"/>
      </w:pPr>
      <w:rPr>
        <w:rFonts w:hint="default"/>
        <w:lang w:val="zh-CN" w:eastAsia="zh-CN" w:bidi="zh-CN"/>
      </w:rPr>
    </w:lvl>
  </w:abstractNum>
  <w:abstractNum w:abstractNumId="13" w15:restartNumberingAfterBreak="0">
    <w:nsid w:val="44996E6E"/>
    <w:multiLevelType w:val="multilevel"/>
    <w:tmpl w:val="44996E6E"/>
    <w:lvl w:ilvl="0">
      <w:start w:val="1"/>
      <w:numFmt w:val="bullet"/>
      <w:lvlText w:val=""/>
      <w:lvlJc w:val="left"/>
      <w:pPr>
        <w:ind w:left="420" w:hanging="420"/>
      </w:pPr>
      <w:rPr>
        <w:rFonts w:ascii="Wingdings" w:hAnsi="Wingdings" w:hint="default"/>
        <w:sz w:val="11"/>
        <w:szCs w:val="11"/>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4" w15:restartNumberingAfterBreak="0">
    <w:nsid w:val="508B359A"/>
    <w:multiLevelType w:val="hybridMultilevel"/>
    <w:tmpl w:val="10EA25B2"/>
    <w:lvl w:ilvl="0" w:tplc="7E5AB70E">
      <w:start w:val="1"/>
      <w:numFmt w:val="decimal"/>
      <w:suff w:val="nothing"/>
      <w:lvlText w:val="（%1）"/>
      <w:lvlJc w:val="left"/>
      <w:pPr>
        <w:ind w:left="900" w:hanging="420"/>
      </w:pPr>
      <w:rPr>
        <w:rFonts w:hAnsi="宋体"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5104415E"/>
    <w:multiLevelType w:val="hybridMultilevel"/>
    <w:tmpl w:val="DE4CBEA8"/>
    <w:lvl w:ilvl="0" w:tplc="967EF19E">
      <w:start w:val="1"/>
      <w:numFmt w:val="upperLetter"/>
      <w:lvlText w:val="%1."/>
      <w:lvlJc w:val="left"/>
      <w:pPr>
        <w:ind w:left="802" w:hanging="360"/>
      </w:pPr>
      <w:rPr>
        <w:rFonts w:hint="default"/>
      </w:rPr>
    </w:lvl>
    <w:lvl w:ilvl="1" w:tplc="04090019" w:tentative="1">
      <w:start w:val="1"/>
      <w:numFmt w:val="lowerLetter"/>
      <w:lvlText w:val="%2)"/>
      <w:lvlJc w:val="left"/>
      <w:pPr>
        <w:ind w:left="1282" w:hanging="420"/>
      </w:pPr>
    </w:lvl>
    <w:lvl w:ilvl="2" w:tplc="0409001B" w:tentative="1">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16" w15:restartNumberingAfterBreak="0">
    <w:nsid w:val="559E5DB1"/>
    <w:multiLevelType w:val="hybridMultilevel"/>
    <w:tmpl w:val="F0D237B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15:restartNumberingAfterBreak="0">
    <w:nsid w:val="56AF3267"/>
    <w:multiLevelType w:val="hybridMultilevel"/>
    <w:tmpl w:val="CC267A80"/>
    <w:lvl w:ilvl="0" w:tplc="E7E4CA22">
      <w:start w:val="1"/>
      <w:numFmt w:val="decimal"/>
      <w:suff w:val="nothing"/>
      <w:lvlText w:val="%1."/>
      <w:lvlJc w:val="left"/>
      <w:pPr>
        <w:ind w:left="900" w:hanging="420"/>
      </w:pPr>
      <w:rPr>
        <w:rFonts w:ascii="宋体" w:eastAsia="宋体" w:hAnsi="宋体" w:hint="default"/>
        <w:b w:val="0"/>
        <w:i w:val="0"/>
        <w:color w:val="auto"/>
        <w:spacing w:val="0"/>
        <w:w w:val="100"/>
        <w:sz w:val="24"/>
        <w:u w:val="no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56EE410D"/>
    <w:multiLevelType w:val="hybridMultilevel"/>
    <w:tmpl w:val="CC267A80"/>
    <w:lvl w:ilvl="0" w:tplc="E7E4CA22">
      <w:start w:val="1"/>
      <w:numFmt w:val="decimal"/>
      <w:suff w:val="nothing"/>
      <w:lvlText w:val="%1."/>
      <w:lvlJc w:val="left"/>
      <w:pPr>
        <w:ind w:left="900" w:hanging="420"/>
      </w:pPr>
      <w:rPr>
        <w:rFonts w:ascii="宋体" w:eastAsia="宋体" w:hAnsi="宋体" w:hint="default"/>
        <w:b w:val="0"/>
        <w:i w:val="0"/>
        <w:color w:val="auto"/>
        <w:spacing w:val="0"/>
        <w:w w:val="100"/>
        <w:sz w:val="24"/>
        <w:u w:val="no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5FA7495F"/>
    <w:multiLevelType w:val="hybridMultilevel"/>
    <w:tmpl w:val="CC267A80"/>
    <w:lvl w:ilvl="0" w:tplc="E7E4CA22">
      <w:start w:val="1"/>
      <w:numFmt w:val="decimal"/>
      <w:suff w:val="nothing"/>
      <w:lvlText w:val="%1."/>
      <w:lvlJc w:val="left"/>
      <w:pPr>
        <w:ind w:left="900" w:hanging="420"/>
      </w:pPr>
      <w:rPr>
        <w:rFonts w:ascii="宋体" w:eastAsia="宋体" w:hAnsi="宋体" w:hint="default"/>
        <w:b w:val="0"/>
        <w:i w:val="0"/>
        <w:color w:val="auto"/>
        <w:spacing w:val="0"/>
        <w:w w:val="100"/>
        <w:sz w:val="24"/>
        <w:u w:val="no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6E5E5BF1"/>
    <w:multiLevelType w:val="hybridMultilevel"/>
    <w:tmpl w:val="62222956"/>
    <w:lvl w:ilvl="0" w:tplc="CC56A936">
      <w:start w:val="1"/>
      <w:numFmt w:val="decimal"/>
      <w:lvlText w:val="（%1）"/>
      <w:lvlJc w:val="left"/>
      <w:pPr>
        <w:ind w:left="926"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60324C1"/>
    <w:multiLevelType w:val="hybridMultilevel"/>
    <w:tmpl w:val="A99655F4"/>
    <w:lvl w:ilvl="0" w:tplc="14488174">
      <w:start w:val="3"/>
      <w:numFmt w:val="decimalEnclosedCircle"/>
      <w:lvlText w:val="%1"/>
      <w:lvlJc w:val="left"/>
      <w:pPr>
        <w:ind w:left="890" w:hanging="360"/>
      </w:pPr>
      <w:rPr>
        <w:rFonts w:ascii="宋体" w:hAnsi="宋体" w:cs="宋体"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22" w15:restartNumberingAfterBreak="0">
    <w:nsid w:val="7DD3580E"/>
    <w:multiLevelType w:val="hybridMultilevel"/>
    <w:tmpl w:val="10EA25B2"/>
    <w:lvl w:ilvl="0" w:tplc="7E5AB70E">
      <w:start w:val="1"/>
      <w:numFmt w:val="decimal"/>
      <w:suff w:val="nothing"/>
      <w:lvlText w:val="（%1）"/>
      <w:lvlJc w:val="left"/>
      <w:pPr>
        <w:ind w:left="900" w:hanging="420"/>
      </w:pPr>
      <w:rPr>
        <w:rFonts w:hAnsi="宋体"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7F1E7989"/>
    <w:multiLevelType w:val="hybridMultilevel"/>
    <w:tmpl w:val="FAC60128"/>
    <w:lvl w:ilvl="0" w:tplc="CC56A936">
      <w:start w:val="1"/>
      <w:numFmt w:val="decimal"/>
      <w:lvlText w:val="（%1）"/>
      <w:lvlJc w:val="left"/>
      <w:pPr>
        <w:ind w:left="1286" w:hanging="720"/>
      </w:pPr>
      <w:rPr>
        <w:rFonts w:ascii="宋体" w:hAnsi="宋体" w:cs="宋体"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4" w15:restartNumberingAfterBreak="0">
    <w:nsid w:val="7FC50D69"/>
    <w:multiLevelType w:val="multilevel"/>
    <w:tmpl w:val="7FC50D69"/>
    <w:lvl w:ilvl="0">
      <w:start w:val="1"/>
      <w:numFmt w:val="decimal"/>
      <w:lvlText w:val="%1."/>
      <w:lvlJc w:val="left"/>
      <w:pPr>
        <w:ind w:left="288" w:hanging="181"/>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950" w:hanging="181"/>
      </w:pPr>
      <w:rPr>
        <w:rFonts w:hint="default"/>
        <w:lang w:val="zh-CN" w:eastAsia="zh-CN" w:bidi="zh-CN"/>
      </w:rPr>
    </w:lvl>
    <w:lvl w:ilvl="2">
      <w:numFmt w:val="bullet"/>
      <w:lvlText w:val="•"/>
      <w:lvlJc w:val="left"/>
      <w:pPr>
        <w:ind w:left="1621" w:hanging="181"/>
      </w:pPr>
      <w:rPr>
        <w:rFonts w:hint="default"/>
        <w:lang w:val="zh-CN" w:eastAsia="zh-CN" w:bidi="zh-CN"/>
      </w:rPr>
    </w:lvl>
    <w:lvl w:ilvl="3">
      <w:numFmt w:val="bullet"/>
      <w:lvlText w:val="•"/>
      <w:lvlJc w:val="left"/>
      <w:pPr>
        <w:ind w:left="2292" w:hanging="181"/>
      </w:pPr>
      <w:rPr>
        <w:rFonts w:hint="default"/>
        <w:lang w:val="zh-CN" w:eastAsia="zh-CN" w:bidi="zh-CN"/>
      </w:rPr>
    </w:lvl>
    <w:lvl w:ilvl="4">
      <w:numFmt w:val="bullet"/>
      <w:lvlText w:val="•"/>
      <w:lvlJc w:val="left"/>
      <w:pPr>
        <w:ind w:left="2962" w:hanging="181"/>
      </w:pPr>
      <w:rPr>
        <w:rFonts w:hint="default"/>
        <w:lang w:val="zh-CN" w:eastAsia="zh-CN" w:bidi="zh-CN"/>
      </w:rPr>
    </w:lvl>
    <w:lvl w:ilvl="5">
      <w:numFmt w:val="bullet"/>
      <w:lvlText w:val="•"/>
      <w:lvlJc w:val="left"/>
      <w:pPr>
        <w:ind w:left="3633" w:hanging="181"/>
      </w:pPr>
      <w:rPr>
        <w:rFonts w:hint="default"/>
        <w:lang w:val="zh-CN" w:eastAsia="zh-CN" w:bidi="zh-CN"/>
      </w:rPr>
    </w:lvl>
    <w:lvl w:ilvl="6">
      <w:numFmt w:val="bullet"/>
      <w:lvlText w:val="•"/>
      <w:lvlJc w:val="left"/>
      <w:pPr>
        <w:ind w:left="4304" w:hanging="181"/>
      </w:pPr>
      <w:rPr>
        <w:rFonts w:hint="default"/>
        <w:lang w:val="zh-CN" w:eastAsia="zh-CN" w:bidi="zh-CN"/>
      </w:rPr>
    </w:lvl>
    <w:lvl w:ilvl="7">
      <w:numFmt w:val="bullet"/>
      <w:lvlText w:val="•"/>
      <w:lvlJc w:val="left"/>
      <w:pPr>
        <w:ind w:left="4974" w:hanging="181"/>
      </w:pPr>
      <w:rPr>
        <w:rFonts w:hint="default"/>
        <w:lang w:val="zh-CN" w:eastAsia="zh-CN" w:bidi="zh-CN"/>
      </w:rPr>
    </w:lvl>
    <w:lvl w:ilvl="8">
      <w:numFmt w:val="bullet"/>
      <w:lvlText w:val="•"/>
      <w:lvlJc w:val="left"/>
      <w:pPr>
        <w:ind w:left="5645" w:hanging="181"/>
      </w:pPr>
      <w:rPr>
        <w:rFonts w:hint="default"/>
        <w:lang w:val="zh-CN" w:eastAsia="zh-CN" w:bidi="zh-CN"/>
      </w:rPr>
    </w:lvl>
  </w:abstractNum>
  <w:num w:numId="1" w16cid:durableId="1968898258">
    <w:abstractNumId w:val="13"/>
  </w:num>
  <w:num w:numId="2" w16cid:durableId="1925407120">
    <w:abstractNumId w:val="16"/>
  </w:num>
  <w:num w:numId="3" w16cid:durableId="672489786">
    <w:abstractNumId w:val="5"/>
  </w:num>
  <w:num w:numId="4" w16cid:durableId="108933305">
    <w:abstractNumId w:val="3"/>
  </w:num>
  <w:num w:numId="5" w16cid:durableId="173694172">
    <w:abstractNumId w:val="21"/>
  </w:num>
  <w:num w:numId="6" w16cid:durableId="878083778">
    <w:abstractNumId w:val="11"/>
  </w:num>
  <w:num w:numId="7" w16cid:durableId="195892157">
    <w:abstractNumId w:val="10"/>
  </w:num>
  <w:num w:numId="8" w16cid:durableId="765148519">
    <w:abstractNumId w:val="9"/>
  </w:num>
  <w:num w:numId="9" w16cid:durableId="2130973002">
    <w:abstractNumId w:val="23"/>
  </w:num>
  <w:num w:numId="10" w16cid:durableId="1823502165">
    <w:abstractNumId w:val="20"/>
  </w:num>
  <w:num w:numId="11" w16cid:durableId="988250025">
    <w:abstractNumId w:val="2"/>
  </w:num>
  <w:num w:numId="12" w16cid:durableId="1968392171">
    <w:abstractNumId w:val="15"/>
  </w:num>
  <w:num w:numId="13" w16cid:durableId="2065442854">
    <w:abstractNumId w:val="6"/>
  </w:num>
  <w:num w:numId="14" w16cid:durableId="717320883">
    <w:abstractNumId w:val="0"/>
  </w:num>
  <w:num w:numId="15" w16cid:durableId="1514344316">
    <w:abstractNumId w:val="4"/>
  </w:num>
  <w:num w:numId="16" w16cid:durableId="940843372">
    <w:abstractNumId w:val="17"/>
  </w:num>
  <w:num w:numId="17" w16cid:durableId="1168666913">
    <w:abstractNumId w:val="14"/>
  </w:num>
  <w:num w:numId="18" w16cid:durableId="2106657351">
    <w:abstractNumId w:val="1"/>
  </w:num>
  <w:num w:numId="19" w16cid:durableId="1364476105">
    <w:abstractNumId w:val="18"/>
  </w:num>
  <w:num w:numId="20" w16cid:durableId="296765185">
    <w:abstractNumId w:val="19"/>
  </w:num>
  <w:num w:numId="21" w16cid:durableId="1997417560">
    <w:abstractNumId w:val="22"/>
  </w:num>
  <w:num w:numId="22" w16cid:durableId="1168909013">
    <w:abstractNumId w:val="7"/>
  </w:num>
  <w:num w:numId="23" w16cid:durableId="230504685">
    <w:abstractNumId w:val="24"/>
  </w:num>
  <w:num w:numId="24" w16cid:durableId="1125807977">
    <w:abstractNumId w:val="12"/>
  </w:num>
  <w:num w:numId="25" w16cid:durableId="4864761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02"/>
    <w:rsid w:val="0000055D"/>
    <w:rsid w:val="00032B5A"/>
    <w:rsid w:val="000332D5"/>
    <w:rsid w:val="000366C2"/>
    <w:rsid w:val="000400F7"/>
    <w:rsid w:val="00055F75"/>
    <w:rsid w:val="0006263B"/>
    <w:rsid w:val="000661A0"/>
    <w:rsid w:val="000857BB"/>
    <w:rsid w:val="000A4228"/>
    <w:rsid w:val="000B140D"/>
    <w:rsid w:val="000E5190"/>
    <w:rsid w:val="001131ED"/>
    <w:rsid w:val="001254EF"/>
    <w:rsid w:val="00132DE9"/>
    <w:rsid w:val="00136300"/>
    <w:rsid w:val="00137FD3"/>
    <w:rsid w:val="00154C41"/>
    <w:rsid w:val="001677E3"/>
    <w:rsid w:val="00184D45"/>
    <w:rsid w:val="00190083"/>
    <w:rsid w:val="001B139A"/>
    <w:rsid w:val="001D12FB"/>
    <w:rsid w:val="001D4EC1"/>
    <w:rsid w:val="001E1323"/>
    <w:rsid w:val="001E3DA8"/>
    <w:rsid w:val="001E7BB3"/>
    <w:rsid w:val="001F020C"/>
    <w:rsid w:val="001F5A09"/>
    <w:rsid w:val="00210244"/>
    <w:rsid w:val="00214120"/>
    <w:rsid w:val="002451CD"/>
    <w:rsid w:val="0026571B"/>
    <w:rsid w:val="00267F02"/>
    <w:rsid w:val="00281247"/>
    <w:rsid w:val="00286895"/>
    <w:rsid w:val="0029453F"/>
    <w:rsid w:val="00297371"/>
    <w:rsid w:val="002A05BE"/>
    <w:rsid w:val="002B14BC"/>
    <w:rsid w:val="002B5F6B"/>
    <w:rsid w:val="002C5718"/>
    <w:rsid w:val="002D3258"/>
    <w:rsid w:val="002D34B5"/>
    <w:rsid w:val="003068F8"/>
    <w:rsid w:val="00316A01"/>
    <w:rsid w:val="00324A0D"/>
    <w:rsid w:val="003252FA"/>
    <w:rsid w:val="003442B1"/>
    <w:rsid w:val="00360377"/>
    <w:rsid w:val="0036576E"/>
    <w:rsid w:val="003922A9"/>
    <w:rsid w:val="003926D0"/>
    <w:rsid w:val="003A4412"/>
    <w:rsid w:val="003B0D09"/>
    <w:rsid w:val="003B2FB1"/>
    <w:rsid w:val="003C1F46"/>
    <w:rsid w:val="003C3C0B"/>
    <w:rsid w:val="003C70E5"/>
    <w:rsid w:val="003D4E1B"/>
    <w:rsid w:val="003E0EAD"/>
    <w:rsid w:val="004015A0"/>
    <w:rsid w:val="00413981"/>
    <w:rsid w:val="00427B9B"/>
    <w:rsid w:val="004315CB"/>
    <w:rsid w:val="00432A72"/>
    <w:rsid w:val="00443F84"/>
    <w:rsid w:val="00444314"/>
    <w:rsid w:val="00466685"/>
    <w:rsid w:val="0047435F"/>
    <w:rsid w:val="00495C65"/>
    <w:rsid w:val="004962A7"/>
    <w:rsid w:val="004A3141"/>
    <w:rsid w:val="004A4467"/>
    <w:rsid w:val="004C5481"/>
    <w:rsid w:val="004D6D32"/>
    <w:rsid w:val="004E3EBB"/>
    <w:rsid w:val="004E5D2C"/>
    <w:rsid w:val="004F038F"/>
    <w:rsid w:val="004F6089"/>
    <w:rsid w:val="005142F5"/>
    <w:rsid w:val="00520D8E"/>
    <w:rsid w:val="0052367A"/>
    <w:rsid w:val="00532A44"/>
    <w:rsid w:val="00541643"/>
    <w:rsid w:val="005472F9"/>
    <w:rsid w:val="005564C9"/>
    <w:rsid w:val="00557811"/>
    <w:rsid w:val="00560F4A"/>
    <w:rsid w:val="00567A59"/>
    <w:rsid w:val="0057366E"/>
    <w:rsid w:val="005A514D"/>
    <w:rsid w:val="005A79E9"/>
    <w:rsid w:val="005A7F6E"/>
    <w:rsid w:val="005B7408"/>
    <w:rsid w:val="005D5A00"/>
    <w:rsid w:val="005D5D49"/>
    <w:rsid w:val="005D786E"/>
    <w:rsid w:val="005E36CD"/>
    <w:rsid w:val="005E5947"/>
    <w:rsid w:val="005F04FE"/>
    <w:rsid w:val="005F2BDC"/>
    <w:rsid w:val="005F4467"/>
    <w:rsid w:val="00612D0A"/>
    <w:rsid w:val="00630F4F"/>
    <w:rsid w:val="006361A5"/>
    <w:rsid w:val="00664F05"/>
    <w:rsid w:val="00670008"/>
    <w:rsid w:val="006833EE"/>
    <w:rsid w:val="00685D93"/>
    <w:rsid w:val="00691135"/>
    <w:rsid w:val="006A5BAB"/>
    <w:rsid w:val="006C4CF0"/>
    <w:rsid w:val="006E0597"/>
    <w:rsid w:val="006E2852"/>
    <w:rsid w:val="006F0A6A"/>
    <w:rsid w:val="00715D0F"/>
    <w:rsid w:val="007310CC"/>
    <w:rsid w:val="00741856"/>
    <w:rsid w:val="00757A15"/>
    <w:rsid w:val="007605DB"/>
    <w:rsid w:val="00777D43"/>
    <w:rsid w:val="007832D2"/>
    <w:rsid w:val="007907E9"/>
    <w:rsid w:val="00792EFC"/>
    <w:rsid w:val="00793E5D"/>
    <w:rsid w:val="00796C46"/>
    <w:rsid w:val="007A3C56"/>
    <w:rsid w:val="007B2B1A"/>
    <w:rsid w:val="007E2641"/>
    <w:rsid w:val="007E4168"/>
    <w:rsid w:val="007E4B49"/>
    <w:rsid w:val="007F2E94"/>
    <w:rsid w:val="007F34F5"/>
    <w:rsid w:val="0081336F"/>
    <w:rsid w:val="008325B2"/>
    <w:rsid w:val="00857D08"/>
    <w:rsid w:val="00864171"/>
    <w:rsid w:val="00865B2E"/>
    <w:rsid w:val="00882ED4"/>
    <w:rsid w:val="008858D9"/>
    <w:rsid w:val="00885D4C"/>
    <w:rsid w:val="008A2152"/>
    <w:rsid w:val="008B6023"/>
    <w:rsid w:val="008C1A72"/>
    <w:rsid w:val="008C40AA"/>
    <w:rsid w:val="008C59B6"/>
    <w:rsid w:val="008D37F9"/>
    <w:rsid w:val="008E060A"/>
    <w:rsid w:val="0090701D"/>
    <w:rsid w:val="00912B7E"/>
    <w:rsid w:val="0091336B"/>
    <w:rsid w:val="00930BD6"/>
    <w:rsid w:val="0093589B"/>
    <w:rsid w:val="00960E7F"/>
    <w:rsid w:val="00985033"/>
    <w:rsid w:val="00995E47"/>
    <w:rsid w:val="009A1E12"/>
    <w:rsid w:val="009A21AF"/>
    <w:rsid w:val="009B1B1F"/>
    <w:rsid w:val="009C1ACF"/>
    <w:rsid w:val="009C57BA"/>
    <w:rsid w:val="009D001D"/>
    <w:rsid w:val="009D0BA3"/>
    <w:rsid w:val="009E1543"/>
    <w:rsid w:val="009F27EE"/>
    <w:rsid w:val="00A035CF"/>
    <w:rsid w:val="00A12A68"/>
    <w:rsid w:val="00A160B9"/>
    <w:rsid w:val="00A34B89"/>
    <w:rsid w:val="00A357AF"/>
    <w:rsid w:val="00A53389"/>
    <w:rsid w:val="00A67FD1"/>
    <w:rsid w:val="00A864BD"/>
    <w:rsid w:val="00A871AA"/>
    <w:rsid w:val="00A90CD5"/>
    <w:rsid w:val="00AA68F5"/>
    <w:rsid w:val="00AB2027"/>
    <w:rsid w:val="00AB5E5D"/>
    <w:rsid w:val="00AC3047"/>
    <w:rsid w:val="00AD2E8B"/>
    <w:rsid w:val="00AF7342"/>
    <w:rsid w:val="00B034D4"/>
    <w:rsid w:val="00B03A34"/>
    <w:rsid w:val="00B17D04"/>
    <w:rsid w:val="00B25A16"/>
    <w:rsid w:val="00B3736B"/>
    <w:rsid w:val="00B57DCB"/>
    <w:rsid w:val="00B61DD6"/>
    <w:rsid w:val="00B64580"/>
    <w:rsid w:val="00B65C82"/>
    <w:rsid w:val="00B8049A"/>
    <w:rsid w:val="00B93D94"/>
    <w:rsid w:val="00B975FD"/>
    <w:rsid w:val="00BA0482"/>
    <w:rsid w:val="00BA4580"/>
    <w:rsid w:val="00BD092D"/>
    <w:rsid w:val="00BD5D02"/>
    <w:rsid w:val="00BD6068"/>
    <w:rsid w:val="00BF1AFC"/>
    <w:rsid w:val="00BF3AE2"/>
    <w:rsid w:val="00C02AD9"/>
    <w:rsid w:val="00C05E8C"/>
    <w:rsid w:val="00C220B3"/>
    <w:rsid w:val="00C34C28"/>
    <w:rsid w:val="00C52F64"/>
    <w:rsid w:val="00C762AA"/>
    <w:rsid w:val="00C862DA"/>
    <w:rsid w:val="00CC19DA"/>
    <w:rsid w:val="00CC466D"/>
    <w:rsid w:val="00CC4D74"/>
    <w:rsid w:val="00CD6AF4"/>
    <w:rsid w:val="00CE47EB"/>
    <w:rsid w:val="00CF05E3"/>
    <w:rsid w:val="00CF702F"/>
    <w:rsid w:val="00D02880"/>
    <w:rsid w:val="00D03C74"/>
    <w:rsid w:val="00D206AB"/>
    <w:rsid w:val="00D22431"/>
    <w:rsid w:val="00D24EE3"/>
    <w:rsid w:val="00D25125"/>
    <w:rsid w:val="00D251CA"/>
    <w:rsid w:val="00D269D2"/>
    <w:rsid w:val="00D2770E"/>
    <w:rsid w:val="00D935FC"/>
    <w:rsid w:val="00DA29FF"/>
    <w:rsid w:val="00DA7F27"/>
    <w:rsid w:val="00DB19FA"/>
    <w:rsid w:val="00DD5A47"/>
    <w:rsid w:val="00DD61D0"/>
    <w:rsid w:val="00DF394A"/>
    <w:rsid w:val="00E04C89"/>
    <w:rsid w:val="00E05BDA"/>
    <w:rsid w:val="00E119F9"/>
    <w:rsid w:val="00E155F1"/>
    <w:rsid w:val="00E15A6F"/>
    <w:rsid w:val="00E16412"/>
    <w:rsid w:val="00E20035"/>
    <w:rsid w:val="00E31D97"/>
    <w:rsid w:val="00E50D08"/>
    <w:rsid w:val="00E52243"/>
    <w:rsid w:val="00E56BA0"/>
    <w:rsid w:val="00E71084"/>
    <w:rsid w:val="00E714DB"/>
    <w:rsid w:val="00E71946"/>
    <w:rsid w:val="00E73797"/>
    <w:rsid w:val="00E905CE"/>
    <w:rsid w:val="00E9121A"/>
    <w:rsid w:val="00EA1B72"/>
    <w:rsid w:val="00EA7C3F"/>
    <w:rsid w:val="00EB153E"/>
    <w:rsid w:val="00EB3D39"/>
    <w:rsid w:val="00EB5139"/>
    <w:rsid w:val="00EB5C56"/>
    <w:rsid w:val="00EC071E"/>
    <w:rsid w:val="00EC0A57"/>
    <w:rsid w:val="00ED0DA7"/>
    <w:rsid w:val="00ED7434"/>
    <w:rsid w:val="00ED7EC3"/>
    <w:rsid w:val="00EE367F"/>
    <w:rsid w:val="00EF0BC2"/>
    <w:rsid w:val="00EF350A"/>
    <w:rsid w:val="00EF4A1C"/>
    <w:rsid w:val="00F00D9F"/>
    <w:rsid w:val="00F00F77"/>
    <w:rsid w:val="00F124E3"/>
    <w:rsid w:val="00F1741A"/>
    <w:rsid w:val="00F24348"/>
    <w:rsid w:val="00F25307"/>
    <w:rsid w:val="00F51B3D"/>
    <w:rsid w:val="00F54CDC"/>
    <w:rsid w:val="00F67FFD"/>
    <w:rsid w:val="00F811C3"/>
    <w:rsid w:val="00F90938"/>
    <w:rsid w:val="00FA0363"/>
    <w:rsid w:val="00FA0CA5"/>
    <w:rsid w:val="00FB3A5B"/>
    <w:rsid w:val="00FC0719"/>
    <w:rsid w:val="00FD3BB1"/>
    <w:rsid w:val="00FD5B3D"/>
    <w:rsid w:val="00FE11DC"/>
    <w:rsid w:val="00FE2C85"/>
    <w:rsid w:val="00FE5244"/>
    <w:rsid w:val="00FF1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309D7"/>
  <w15:chartTrackingRefBased/>
  <w15:docId w15:val="{94C0109D-EC87-45C4-A664-E79B8B22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413981"/>
    <w:pPr>
      <w:widowControl w:val="0"/>
      <w:jc w:val="both"/>
    </w:pPr>
    <w:rPr>
      <w:rFonts w:eastAsia="宋体"/>
    </w:rPr>
  </w:style>
  <w:style w:type="paragraph" w:styleId="1">
    <w:name w:val="heading 1"/>
    <w:basedOn w:val="a"/>
    <w:next w:val="a"/>
    <w:link w:val="10"/>
    <w:uiPriority w:val="9"/>
    <w:qFormat/>
    <w:rsid w:val="0081336F"/>
    <w:pPr>
      <w:keepNext/>
      <w:autoSpaceDE w:val="0"/>
      <w:autoSpaceDN w:val="0"/>
      <w:adjustRightInd w:val="0"/>
      <w:snapToGrid w:val="0"/>
      <w:spacing w:before="240" w:after="60" w:line="588" w:lineRule="atLeast"/>
      <w:outlineLvl w:val="0"/>
    </w:pPr>
    <w:rPr>
      <w:rFonts w:ascii="Cambria" w:hAnsi="Cambria" w:cs="黑体"/>
      <w:b/>
      <w:bCs/>
      <w:spacing w:val="6"/>
      <w:kern w:val="32"/>
      <w:sz w:val="32"/>
      <w:szCs w:val="32"/>
    </w:rPr>
  </w:style>
  <w:style w:type="paragraph" w:styleId="2">
    <w:name w:val="heading 2"/>
    <w:basedOn w:val="a"/>
    <w:next w:val="a"/>
    <w:link w:val="20"/>
    <w:uiPriority w:val="9"/>
    <w:unhideWhenUsed/>
    <w:qFormat/>
    <w:rsid w:val="0081336F"/>
    <w:pPr>
      <w:keepNext/>
      <w:autoSpaceDE w:val="0"/>
      <w:autoSpaceDN w:val="0"/>
      <w:adjustRightInd w:val="0"/>
      <w:snapToGrid w:val="0"/>
      <w:spacing w:before="240" w:after="60" w:line="588" w:lineRule="atLeast"/>
      <w:outlineLvl w:val="1"/>
    </w:pPr>
    <w:rPr>
      <w:rFonts w:ascii="Cambria" w:hAnsi="Cambria" w:cs="黑体"/>
      <w:b/>
      <w:bCs/>
      <w:i/>
      <w:iCs/>
      <w:spacing w:val="6"/>
      <w:sz w:val="28"/>
      <w:szCs w:val="28"/>
    </w:rPr>
  </w:style>
  <w:style w:type="paragraph" w:styleId="3">
    <w:name w:val="heading 3"/>
    <w:basedOn w:val="a"/>
    <w:next w:val="a"/>
    <w:link w:val="30"/>
    <w:uiPriority w:val="9"/>
    <w:unhideWhenUsed/>
    <w:qFormat/>
    <w:rsid w:val="0081336F"/>
    <w:pPr>
      <w:keepNext/>
      <w:autoSpaceDE w:val="0"/>
      <w:autoSpaceDN w:val="0"/>
      <w:adjustRightInd w:val="0"/>
      <w:snapToGrid w:val="0"/>
      <w:spacing w:before="240" w:after="60" w:line="588" w:lineRule="atLeast"/>
      <w:outlineLvl w:val="2"/>
    </w:pPr>
    <w:rPr>
      <w:rFonts w:ascii="Cambria" w:hAnsi="Cambria" w:cs="黑体"/>
      <w:b/>
      <w:bCs/>
      <w:spacing w:val="6"/>
      <w:sz w:val="26"/>
      <w:szCs w:val="26"/>
    </w:rPr>
  </w:style>
  <w:style w:type="paragraph" w:styleId="4">
    <w:name w:val="heading 4"/>
    <w:basedOn w:val="a"/>
    <w:next w:val="a"/>
    <w:link w:val="40"/>
    <w:uiPriority w:val="9"/>
    <w:unhideWhenUsed/>
    <w:qFormat/>
    <w:rsid w:val="0081336F"/>
    <w:pPr>
      <w:keepNext/>
      <w:autoSpaceDE w:val="0"/>
      <w:autoSpaceDN w:val="0"/>
      <w:adjustRightInd w:val="0"/>
      <w:snapToGrid w:val="0"/>
      <w:spacing w:before="240" w:after="60" w:line="588" w:lineRule="atLeast"/>
      <w:outlineLvl w:val="3"/>
    </w:pPr>
    <w:rPr>
      <w:rFonts w:ascii="宋体" w:eastAsia="仿宋_GB2312" w:hAnsi="宋体" w:cs="黑体"/>
      <w:b/>
      <w:bCs/>
      <w:spacing w:val="6"/>
      <w:sz w:val="28"/>
      <w:szCs w:val="28"/>
    </w:rPr>
  </w:style>
  <w:style w:type="paragraph" w:styleId="5">
    <w:name w:val="heading 5"/>
    <w:basedOn w:val="a"/>
    <w:next w:val="a"/>
    <w:link w:val="50"/>
    <w:uiPriority w:val="9"/>
    <w:unhideWhenUsed/>
    <w:qFormat/>
    <w:rsid w:val="0081336F"/>
    <w:pPr>
      <w:autoSpaceDE w:val="0"/>
      <w:autoSpaceDN w:val="0"/>
      <w:adjustRightInd w:val="0"/>
      <w:snapToGrid w:val="0"/>
      <w:spacing w:before="240" w:after="60" w:line="588" w:lineRule="atLeast"/>
      <w:outlineLvl w:val="4"/>
    </w:pPr>
    <w:rPr>
      <w:rFonts w:ascii="宋体" w:eastAsia="仿宋_GB2312" w:hAnsi="宋体" w:cs="黑体"/>
      <w:b/>
      <w:bCs/>
      <w:i/>
      <w:iCs/>
      <w:spacing w:val="6"/>
      <w:sz w:val="26"/>
      <w:szCs w:val="26"/>
    </w:rPr>
  </w:style>
  <w:style w:type="paragraph" w:styleId="6">
    <w:name w:val="heading 6"/>
    <w:basedOn w:val="a"/>
    <w:next w:val="a"/>
    <w:link w:val="60"/>
    <w:uiPriority w:val="9"/>
    <w:unhideWhenUsed/>
    <w:qFormat/>
    <w:rsid w:val="0081336F"/>
    <w:pPr>
      <w:autoSpaceDE w:val="0"/>
      <w:autoSpaceDN w:val="0"/>
      <w:adjustRightInd w:val="0"/>
      <w:snapToGrid w:val="0"/>
      <w:spacing w:before="240" w:after="60" w:line="588" w:lineRule="atLeast"/>
      <w:outlineLvl w:val="5"/>
    </w:pPr>
    <w:rPr>
      <w:rFonts w:ascii="宋体" w:eastAsia="仿宋_GB2312" w:hAnsi="宋体" w:cs="黑体"/>
      <w:b/>
      <w:bCs/>
      <w:spacing w:val="6"/>
      <w:sz w:val="22"/>
    </w:rPr>
  </w:style>
  <w:style w:type="paragraph" w:styleId="7">
    <w:name w:val="heading 7"/>
    <w:basedOn w:val="a"/>
    <w:next w:val="a"/>
    <w:link w:val="70"/>
    <w:uiPriority w:val="9"/>
    <w:unhideWhenUsed/>
    <w:qFormat/>
    <w:rsid w:val="0081336F"/>
    <w:pPr>
      <w:autoSpaceDE w:val="0"/>
      <w:autoSpaceDN w:val="0"/>
      <w:adjustRightInd w:val="0"/>
      <w:snapToGrid w:val="0"/>
      <w:spacing w:before="240" w:after="60" w:line="588" w:lineRule="atLeast"/>
      <w:outlineLvl w:val="6"/>
    </w:pPr>
    <w:rPr>
      <w:rFonts w:ascii="宋体" w:eastAsia="仿宋_GB2312" w:hAnsi="宋体" w:cs="黑体"/>
      <w:spacing w:val="6"/>
      <w:sz w:val="30"/>
      <w:szCs w:val="24"/>
    </w:rPr>
  </w:style>
  <w:style w:type="paragraph" w:styleId="8">
    <w:name w:val="heading 8"/>
    <w:basedOn w:val="a"/>
    <w:next w:val="a"/>
    <w:link w:val="80"/>
    <w:uiPriority w:val="9"/>
    <w:unhideWhenUsed/>
    <w:qFormat/>
    <w:rsid w:val="0081336F"/>
    <w:pPr>
      <w:autoSpaceDE w:val="0"/>
      <w:autoSpaceDN w:val="0"/>
      <w:adjustRightInd w:val="0"/>
      <w:snapToGrid w:val="0"/>
      <w:spacing w:before="240" w:after="60" w:line="588" w:lineRule="atLeast"/>
      <w:outlineLvl w:val="7"/>
    </w:pPr>
    <w:rPr>
      <w:rFonts w:ascii="宋体" w:eastAsia="仿宋_GB2312" w:hAnsi="宋体" w:cs="黑体"/>
      <w:i/>
      <w:iCs/>
      <w:spacing w:val="6"/>
      <w:sz w:val="30"/>
      <w:szCs w:val="24"/>
    </w:rPr>
  </w:style>
  <w:style w:type="paragraph" w:styleId="9">
    <w:name w:val="heading 9"/>
    <w:basedOn w:val="a"/>
    <w:next w:val="a"/>
    <w:link w:val="90"/>
    <w:uiPriority w:val="9"/>
    <w:unhideWhenUsed/>
    <w:qFormat/>
    <w:rsid w:val="0081336F"/>
    <w:pPr>
      <w:autoSpaceDE w:val="0"/>
      <w:autoSpaceDN w:val="0"/>
      <w:adjustRightInd w:val="0"/>
      <w:snapToGrid w:val="0"/>
      <w:spacing w:before="240" w:after="60" w:line="588" w:lineRule="atLeast"/>
      <w:outlineLvl w:val="8"/>
    </w:pPr>
    <w:rPr>
      <w:rFonts w:ascii="Cambria" w:hAnsi="Cambria" w:cs="黑体"/>
      <w:spacing w:val="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E31D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E31D97"/>
    <w:rPr>
      <w:rFonts w:eastAsia="宋体"/>
      <w:sz w:val="18"/>
      <w:szCs w:val="18"/>
    </w:rPr>
  </w:style>
  <w:style w:type="paragraph" w:styleId="a5">
    <w:name w:val="footer"/>
    <w:basedOn w:val="a"/>
    <w:link w:val="a6"/>
    <w:uiPriority w:val="99"/>
    <w:unhideWhenUsed/>
    <w:qFormat/>
    <w:rsid w:val="00E31D97"/>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E31D97"/>
    <w:rPr>
      <w:rFonts w:eastAsia="宋体"/>
      <w:sz w:val="18"/>
      <w:szCs w:val="18"/>
    </w:rPr>
  </w:style>
  <w:style w:type="paragraph" w:styleId="a7">
    <w:name w:val="Body Text"/>
    <w:basedOn w:val="a"/>
    <w:link w:val="a8"/>
    <w:uiPriority w:val="1"/>
    <w:qFormat/>
    <w:rsid w:val="00E31D97"/>
    <w:pPr>
      <w:autoSpaceDE w:val="0"/>
      <w:autoSpaceDN w:val="0"/>
      <w:ind w:left="1418"/>
      <w:jc w:val="left"/>
    </w:pPr>
    <w:rPr>
      <w:rFonts w:ascii="宋体" w:hAnsi="宋体" w:cs="宋体"/>
      <w:kern w:val="0"/>
      <w:sz w:val="24"/>
      <w:szCs w:val="24"/>
      <w:lang w:val="zh-CN" w:bidi="zh-CN"/>
    </w:rPr>
  </w:style>
  <w:style w:type="character" w:customStyle="1" w:styleId="a8">
    <w:name w:val="正文文本 字符"/>
    <w:basedOn w:val="a0"/>
    <w:link w:val="a7"/>
    <w:uiPriority w:val="1"/>
    <w:qFormat/>
    <w:rsid w:val="00E31D97"/>
    <w:rPr>
      <w:rFonts w:ascii="宋体" w:eastAsia="宋体" w:hAnsi="宋体" w:cs="宋体"/>
      <w:kern w:val="0"/>
      <w:sz w:val="24"/>
      <w:szCs w:val="24"/>
      <w:lang w:val="zh-CN" w:bidi="zh-CN"/>
    </w:rPr>
  </w:style>
  <w:style w:type="paragraph" w:customStyle="1" w:styleId="11">
    <w:name w:val="级别1"/>
    <w:basedOn w:val="a"/>
    <w:link w:val="12"/>
    <w:qFormat/>
    <w:rsid w:val="005564C9"/>
    <w:pPr>
      <w:spacing w:beforeLines="50" w:before="156" w:afterLines="50" w:after="156" w:line="360" w:lineRule="auto"/>
      <w:jc w:val="center"/>
      <w:outlineLvl w:val="0"/>
    </w:pPr>
    <w:rPr>
      <w:rFonts w:ascii="宋体" w:hAnsi="宋体"/>
      <w:b/>
      <w:bCs/>
      <w:sz w:val="32"/>
      <w:szCs w:val="32"/>
    </w:rPr>
  </w:style>
  <w:style w:type="paragraph" w:customStyle="1" w:styleId="21">
    <w:name w:val="级别2"/>
    <w:basedOn w:val="a"/>
    <w:link w:val="22"/>
    <w:qFormat/>
    <w:rsid w:val="00F25307"/>
    <w:pPr>
      <w:keepNext/>
      <w:spacing w:beforeLines="50" w:before="50" w:afterLines="30" w:after="30" w:line="312" w:lineRule="auto"/>
      <w:jc w:val="center"/>
      <w:outlineLvl w:val="1"/>
    </w:pPr>
    <w:rPr>
      <w:rFonts w:ascii="宋体" w:hAnsi="宋体"/>
      <w:b/>
      <w:bCs/>
      <w:sz w:val="28"/>
      <w:szCs w:val="24"/>
    </w:rPr>
  </w:style>
  <w:style w:type="character" w:customStyle="1" w:styleId="12">
    <w:name w:val="级别1 字符"/>
    <w:basedOn w:val="a0"/>
    <w:link w:val="11"/>
    <w:rsid w:val="005564C9"/>
    <w:rPr>
      <w:rFonts w:ascii="宋体" w:eastAsia="宋体" w:hAnsi="宋体"/>
      <w:b/>
      <w:bCs/>
      <w:sz w:val="32"/>
      <w:szCs w:val="32"/>
    </w:rPr>
  </w:style>
  <w:style w:type="character" w:customStyle="1" w:styleId="22">
    <w:name w:val="级别2 字符"/>
    <w:basedOn w:val="a0"/>
    <w:link w:val="21"/>
    <w:rsid w:val="00F25307"/>
    <w:rPr>
      <w:rFonts w:ascii="宋体" w:eastAsia="宋体" w:hAnsi="宋体"/>
      <w:b/>
      <w:bCs/>
      <w:sz w:val="28"/>
      <w:szCs w:val="24"/>
    </w:rPr>
  </w:style>
  <w:style w:type="paragraph" w:customStyle="1" w:styleId="a9">
    <w:name w:val="章节名"/>
    <w:basedOn w:val="a"/>
    <w:link w:val="aa"/>
    <w:qFormat/>
    <w:rsid w:val="006833EE"/>
    <w:pPr>
      <w:keepNext/>
      <w:spacing w:beforeLines="20" w:before="20" w:afterLines="20" w:after="20" w:line="312" w:lineRule="auto"/>
      <w:jc w:val="center"/>
    </w:pPr>
    <w:rPr>
      <w:rFonts w:ascii="宋体" w:hAnsi="宋体"/>
      <w:b/>
      <w:bCs/>
      <w:sz w:val="24"/>
      <w:szCs w:val="24"/>
    </w:rPr>
  </w:style>
  <w:style w:type="paragraph" w:customStyle="1" w:styleId="13">
    <w:name w:val="正文1"/>
    <w:basedOn w:val="a"/>
    <w:link w:val="14"/>
    <w:qFormat/>
    <w:rsid w:val="00184D45"/>
    <w:pPr>
      <w:spacing w:line="312" w:lineRule="auto"/>
      <w:ind w:firstLineChars="200" w:firstLine="480"/>
    </w:pPr>
    <w:rPr>
      <w:rFonts w:ascii="宋体" w:hAnsi="宋体"/>
      <w:sz w:val="24"/>
      <w:szCs w:val="24"/>
    </w:rPr>
  </w:style>
  <w:style w:type="character" w:customStyle="1" w:styleId="aa">
    <w:name w:val="章节名 字符"/>
    <w:basedOn w:val="a0"/>
    <w:link w:val="a9"/>
    <w:rsid w:val="006833EE"/>
    <w:rPr>
      <w:rFonts w:ascii="宋体" w:eastAsia="宋体" w:hAnsi="宋体"/>
      <w:b/>
      <w:bCs/>
      <w:sz w:val="24"/>
      <w:szCs w:val="24"/>
    </w:rPr>
  </w:style>
  <w:style w:type="paragraph" w:customStyle="1" w:styleId="31">
    <w:name w:val="级别3"/>
    <w:basedOn w:val="a"/>
    <w:link w:val="32"/>
    <w:qFormat/>
    <w:rsid w:val="00F1741A"/>
    <w:pPr>
      <w:keepNext/>
      <w:spacing w:beforeLines="50" w:before="50" w:afterLines="20" w:after="20" w:line="312" w:lineRule="auto"/>
      <w:jc w:val="center"/>
      <w:outlineLvl w:val="2"/>
    </w:pPr>
    <w:rPr>
      <w:rFonts w:ascii="宋体" w:hAnsi="宋体"/>
      <w:b/>
      <w:bCs/>
      <w:sz w:val="24"/>
      <w:szCs w:val="24"/>
    </w:rPr>
  </w:style>
  <w:style w:type="character" w:customStyle="1" w:styleId="14">
    <w:name w:val="正文1 字符"/>
    <w:basedOn w:val="a0"/>
    <w:link w:val="13"/>
    <w:rsid w:val="00184D45"/>
    <w:rPr>
      <w:rFonts w:ascii="宋体" w:eastAsia="宋体" w:hAnsi="宋体"/>
      <w:sz w:val="24"/>
      <w:szCs w:val="24"/>
    </w:rPr>
  </w:style>
  <w:style w:type="paragraph" w:customStyle="1" w:styleId="ab">
    <w:name w:val="段落标题"/>
    <w:basedOn w:val="a"/>
    <w:link w:val="ac"/>
    <w:qFormat/>
    <w:rsid w:val="00F90938"/>
    <w:pPr>
      <w:keepNext/>
      <w:spacing w:beforeLines="20" w:before="20" w:afterLines="20" w:after="20" w:line="312" w:lineRule="auto"/>
      <w:ind w:firstLineChars="200" w:firstLine="200"/>
      <w:jc w:val="left"/>
    </w:pPr>
    <w:rPr>
      <w:rFonts w:ascii="宋体" w:hAnsi="宋体"/>
      <w:b/>
      <w:bCs/>
      <w:sz w:val="24"/>
      <w:szCs w:val="24"/>
    </w:rPr>
  </w:style>
  <w:style w:type="character" w:customStyle="1" w:styleId="32">
    <w:name w:val="级别3 字符"/>
    <w:basedOn w:val="a0"/>
    <w:link w:val="31"/>
    <w:rsid w:val="00F1741A"/>
    <w:rPr>
      <w:rFonts w:ascii="宋体" w:eastAsia="宋体" w:hAnsi="宋体"/>
      <w:b/>
      <w:bCs/>
      <w:sz w:val="24"/>
      <w:szCs w:val="24"/>
    </w:rPr>
  </w:style>
  <w:style w:type="character" w:customStyle="1" w:styleId="ac">
    <w:name w:val="段落标题 字符"/>
    <w:basedOn w:val="a0"/>
    <w:link w:val="ab"/>
    <w:rsid w:val="00F90938"/>
    <w:rPr>
      <w:rFonts w:ascii="宋体" w:eastAsia="宋体" w:hAnsi="宋体"/>
      <w:b/>
      <w:bCs/>
      <w:sz w:val="24"/>
      <w:szCs w:val="24"/>
    </w:rPr>
  </w:style>
  <w:style w:type="paragraph" w:styleId="ad">
    <w:name w:val="Date"/>
    <w:basedOn w:val="a"/>
    <w:next w:val="a"/>
    <w:link w:val="ae"/>
    <w:uiPriority w:val="99"/>
    <w:semiHidden/>
    <w:unhideWhenUsed/>
    <w:rsid w:val="00EE367F"/>
    <w:pPr>
      <w:ind w:leftChars="2500" w:left="100"/>
    </w:pPr>
  </w:style>
  <w:style w:type="character" w:customStyle="1" w:styleId="ae">
    <w:name w:val="日期 字符"/>
    <w:basedOn w:val="a0"/>
    <w:link w:val="ad"/>
    <w:uiPriority w:val="99"/>
    <w:semiHidden/>
    <w:rsid w:val="00EE367F"/>
    <w:rPr>
      <w:rFonts w:eastAsia="宋体"/>
    </w:rPr>
  </w:style>
  <w:style w:type="table" w:styleId="af">
    <w:name w:val="Table Grid"/>
    <w:basedOn w:val="a1"/>
    <w:uiPriority w:val="39"/>
    <w:qFormat/>
    <w:rsid w:val="00715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81336F"/>
    <w:rPr>
      <w:rFonts w:ascii="Cambria" w:eastAsia="宋体" w:hAnsi="Cambria" w:cs="黑体"/>
      <w:b/>
      <w:bCs/>
      <w:spacing w:val="6"/>
      <w:kern w:val="32"/>
      <w:sz w:val="32"/>
      <w:szCs w:val="32"/>
    </w:rPr>
  </w:style>
  <w:style w:type="character" w:customStyle="1" w:styleId="20">
    <w:name w:val="标题 2 字符"/>
    <w:basedOn w:val="a0"/>
    <w:link w:val="2"/>
    <w:uiPriority w:val="9"/>
    <w:qFormat/>
    <w:rsid w:val="0081336F"/>
    <w:rPr>
      <w:rFonts w:ascii="Cambria" w:eastAsia="宋体" w:hAnsi="Cambria" w:cs="黑体"/>
      <w:b/>
      <w:bCs/>
      <w:i/>
      <w:iCs/>
      <w:spacing w:val="6"/>
      <w:sz w:val="28"/>
      <w:szCs w:val="28"/>
    </w:rPr>
  </w:style>
  <w:style w:type="character" w:customStyle="1" w:styleId="30">
    <w:name w:val="标题 3 字符"/>
    <w:basedOn w:val="a0"/>
    <w:link w:val="3"/>
    <w:uiPriority w:val="9"/>
    <w:qFormat/>
    <w:rsid w:val="0081336F"/>
    <w:rPr>
      <w:rFonts w:ascii="Cambria" w:eastAsia="宋体" w:hAnsi="Cambria" w:cs="黑体"/>
      <w:b/>
      <w:bCs/>
      <w:spacing w:val="6"/>
      <w:sz w:val="26"/>
      <w:szCs w:val="26"/>
    </w:rPr>
  </w:style>
  <w:style w:type="character" w:customStyle="1" w:styleId="40">
    <w:name w:val="标题 4 字符"/>
    <w:basedOn w:val="a0"/>
    <w:link w:val="4"/>
    <w:uiPriority w:val="9"/>
    <w:qFormat/>
    <w:rsid w:val="0081336F"/>
    <w:rPr>
      <w:rFonts w:ascii="宋体" w:eastAsia="仿宋_GB2312" w:hAnsi="宋体" w:cs="黑体"/>
      <w:b/>
      <w:bCs/>
      <w:spacing w:val="6"/>
      <w:sz w:val="28"/>
      <w:szCs w:val="28"/>
    </w:rPr>
  </w:style>
  <w:style w:type="character" w:customStyle="1" w:styleId="50">
    <w:name w:val="标题 5 字符"/>
    <w:basedOn w:val="a0"/>
    <w:link w:val="5"/>
    <w:uiPriority w:val="9"/>
    <w:qFormat/>
    <w:rsid w:val="0081336F"/>
    <w:rPr>
      <w:rFonts w:ascii="宋体" w:eastAsia="仿宋_GB2312" w:hAnsi="宋体" w:cs="黑体"/>
      <w:b/>
      <w:bCs/>
      <w:i/>
      <w:iCs/>
      <w:spacing w:val="6"/>
      <w:sz w:val="26"/>
      <w:szCs w:val="26"/>
    </w:rPr>
  </w:style>
  <w:style w:type="character" w:customStyle="1" w:styleId="60">
    <w:name w:val="标题 6 字符"/>
    <w:basedOn w:val="a0"/>
    <w:link w:val="6"/>
    <w:uiPriority w:val="9"/>
    <w:qFormat/>
    <w:rsid w:val="0081336F"/>
    <w:rPr>
      <w:rFonts w:ascii="宋体" w:eastAsia="仿宋_GB2312" w:hAnsi="宋体" w:cs="黑体"/>
      <w:b/>
      <w:bCs/>
      <w:spacing w:val="6"/>
      <w:sz w:val="22"/>
    </w:rPr>
  </w:style>
  <w:style w:type="character" w:customStyle="1" w:styleId="70">
    <w:name w:val="标题 7 字符"/>
    <w:basedOn w:val="a0"/>
    <w:link w:val="7"/>
    <w:uiPriority w:val="9"/>
    <w:qFormat/>
    <w:rsid w:val="0081336F"/>
    <w:rPr>
      <w:rFonts w:ascii="宋体" w:eastAsia="仿宋_GB2312" w:hAnsi="宋体" w:cs="黑体"/>
      <w:spacing w:val="6"/>
      <w:sz w:val="30"/>
      <w:szCs w:val="24"/>
    </w:rPr>
  </w:style>
  <w:style w:type="character" w:customStyle="1" w:styleId="80">
    <w:name w:val="标题 8 字符"/>
    <w:basedOn w:val="a0"/>
    <w:link w:val="8"/>
    <w:uiPriority w:val="9"/>
    <w:qFormat/>
    <w:rsid w:val="0081336F"/>
    <w:rPr>
      <w:rFonts w:ascii="宋体" w:eastAsia="仿宋_GB2312" w:hAnsi="宋体" w:cs="黑体"/>
      <w:i/>
      <w:iCs/>
      <w:spacing w:val="6"/>
      <w:sz w:val="30"/>
      <w:szCs w:val="24"/>
    </w:rPr>
  </w:style>
  <w:style w:type="character" w:customStyle="1" w:styleId="90">
    <w:name w:val="标题 9 字符"/>
    <w:basedOn w:val="a0"/>
    <w:link w:val="9"/>
    <w:uiPriority w:val="9"/>
    <w:qFormat/>
    <w:rsid w:val="0081336F"/>
    <w:rPr>
      <w:rFonts w:ascii="Cambria" w:eastAsia="宋体" w:hAnsi="Cambria" w:cs="黑体"/>
      <w:spacing w:val="6"/>
      <w:sz w:val="22"/>
    </w:rPr>
  </w:style>
  <w:style w:type="paragraph" w:styleId="af0">
    <w:name w:val="annotation text"/>
    <w:basedOn w:val="a"/>
    <w:link w:val="af1"/>
    <w:uiPriority w:val="99"/>
    <w:unhideWhenUsed/>
    <w:qFormat/>
    <w:rsid w:val="0081336F"/>
    <w:pPr>
      <w:jc w:val="left"/>
    </w:pPr>
  </w:style>
  <w:style w:type="character" w:customStyle="1" w:styleId="af1">
    <w:name w:val="批注文字 字符"/>
    <w:basedOn w:val="a0"/>
    <w:link w:val="af0"/>
    <w:uiPriority w:val="99"/>
    <w:qFormat/>
    <w:rsid w:val="0081336F"/>
    <w:rPr>
      <w:rFonts w:eastAsia="宋体"/>
    </w:rPr>
  </w:style>
  <w:style w:type="paragraph" w:styleId="af2">
    <w:name w:val="annotation subject"/>
    <w:basedOn w:val="af0"/>
    <w:next w:val="af0"/>
    <w:link w:val="af3"/>
    <w:uiPriority w:val="99"/>
    <w:unhideWhenUsed/>
    <w:qFormat/>
    <w:rsid w:val="0081336F"/>
    <w:pPr>
      <w:autoSpaceDE w:val="0"/>
      <w:autoSpaceDN w:val="0"/>
      <w:adjustRightInd w:val="0"/>
      <w:snapToGrid w:val="0"/>
      <w:spacing w:line="588" w:lineRule="atLeast"/>
    </w:pPr>
    <w:rPr>
      <w:rFonts w:ascii="宋体" w:eastAsia="仿宋_GB2312" w:hAnsi="宋体" w:cs="Times New Roman"/>
      <w:b/>
      <w:bCs/>
      <w:spacing w:val="6"/>
      <w:sz w:val="30"/>
      <w:szCs w:val="24"/>
    </w:rPr>
  </w:style>
  <w:style w:type="character" w:customStyle="1" w:styleId="af3">
    <w:name w:val="批注主题 字符"/>
    <w:basedOn w:val="af1"/>
    <w:link w:val="af2"/>
    <w:uiPriority w:val="99"/>
    <w:qFormat/>
    <w:rsid w:val="0081336F"/>
    <w:rPr>
      <w:rFonts w:ascii="宋体" w:eastAsia="仿宋_GB2312" w:hAnsi="宋体" w:cs="Times New Roman"/>
      <w:b/>
      <w:bCs/>
      <w:spacing w:val="6"/>
      <w:sz w:val="30"/>
      <w:szCs w:val="24"/>
    </w:rPr>
  </w:style>
  <w:style w:type="paragraph" w:styleId="af4">
    <w:name w:val="Document Map"/>
    <w:basedOn w:val="a"/>
    <w:link w:val="af5"/>
    <w:uiPriority w:val="99"/>
    <w:unhideWhenUsed/>
    <w:qFormat/>
    <w:rsid w:val="0081336F"/>
    <w:pPr>
      <w:autoSpaceDE w:val="0"/>
      <w:autoSpaceDN w:val="0"/>
      <w:adjustRightInd w:val="0"/>
      <w:snapToGrid w:val="0"/>
      <w:spacing w:line="588" w:lineRule="atLeast"/>
    </w:pPr>
    <w:rPr>
      <w:rFonts w:ascii="宋体" w:hAnsi="宋体" w:cs="Times New Roman"/>
      <w:spacing w:val="6"/>
      <w:sz w:val="18"/>
      <w:szCs w:val="18"/>
    </w:rPr>
  </w:style>
  <w:style w:type="character" w:customStyle="1" w:styleId="af5">
    <w:name w:val="文档结构图 字符"/>
    <w:basedOn w:val="a0"/>
    <w:link w:val="af4"/>
    <w:uiPriority w:val="99"/>
    <w:rsid w:val="0081336F"/>
    <w:rPr>
      <w:rFonts w:ascii="宋体" w:eastAsia="宋体" w:hAnsi="宋体" w:cs="Times New Roman"/>
      <w:spacing w:val="6"/>
      <w:sz w:val="18"/>
      <w:szCs w:val="18"/>
    </w:rPr>
  </w:style>
  <w:style w:type="paragraph" w:styleId="af6">
    <w:name w:val="Balloon Text"/>
    <w:basedOn w:val="a"/>
    <w:link w:val="af7"/>
    <w:uiPriority w:val="99"/>
    <w:unhideWhenUsed/>
    <w:qFormat/>
    <w:rsid w:val="0081336F"/>
    <w:pPr>
      <w:autoSpaceDE w:val="0"/>
      <w:autoSpaceDN w:val="0"/>
      <w:adjustRightInd w:val="0"/>
      <w:snapToGrid w:val="0"/>
    </w:pPr>
    <w:rPr>
      <w:rFonts w:ascii="宋体" w:eastAsia="仿宋_GB2312" w:hAnsi="宋体" w:cs="Times New Roman"/>
      <w:spacing w:val="6"/>
      <w:sz w:val="18"/>
      <w:szCs w:val="18"/>
    </w:rPr>
  </w:style>
  <w:style w:type="character" w:customStyle="1" w:styleId="af7">
    <w:name w:val="批注框文本 字符"/>
    <w:basedOn w:val="a0"/>
    <w:link w:val="af6"/>
    <w:uiPriority w:val="99"/>
    <w:qFormat/>
    <w:rsid w:val="0081336F"/>
    <w:rPr>
      <w:rFonts w:ascii="宋体" w:eastAsia="仿宋_GB2312" w:hAnsi="宋体" w:cs="Times New Roman"/>
      <w:spacing w:val="6"/>
      <w:sz w:val="18"/>
      <w:szCs w:val="18"/>
    </w:rPr>
  </w:style>
  <w:style w:type="paragraph" w:styleId="af8">
    <w:name w:val="Subtitle"/>
    <w:basedOn w:val="a"/>
    <w:next w:val="a"/>
    <w:link w:val="af9"/>
    <w:uiPriority w:val="11"/>
    <w:qFormat/>
    <w:rsid w:val="0081336F"/>
    <w:pPr>
      <w:autoSpaceDE w:val="0"/>
      <w:autoSpaceDN w:val="0"/>
      <w:adjustRightInd w:val="0"/>
      <w:snapToGrid w:val="0"/>
      <w:spacing w:after="60" w:line="588" w:lineRule="atLeast"/>
      <w:jc w:val="center"/>
      <w:outlineLvl w:val="1"/>
    </w:pPr>
    <w:rPr>
      <w:rFonts w:ascii="Cambria" w:hAnsi="Cambria" w:cs="黑体"/>
      <w:spacing w:val="6"/>
      <w:sz w:val="30"/>
      <w:szCs w:val="24"/>
    </w:rPr>
  </w:style>
  <w:style w:type="character" w:customStyle="1" w:styleId="af9">
    <w:name w:val="副标题 字符"/>
    <w:basedOn w:val="a0"/>
    <w:link w:val="af8"/>
    <w:uiPriority w:val="11"/>
    <w:qFormat/>
    <w:rsid w:val="0081336F"/>
    <w:rPr>
      <w:rFonts w:ascii="Cambria" w:eastAsia="宋体" w:hAnsi="Cambria" w:cs="黑体"/>
      <w:spacing w:val="6"/>
      <w:sz w:val="30"/>
      <w:szCs w:val="24"/>
    </w:rPr>
  </w:style>
  <w:style w:type="paragraph" w:styleId="afa">
    <w:name w:val="Title"/>
    <w:basedOn w:val="a"/>
    <w:next w:val="a"/>
    <w:link w:val="afb"/>
    <w:uiPriority w:val="10"/>
    <w:qFormat/>
    <w:rsid w:val="0081336F"/>
    <w:pPr>
      <w:autoSpaceDE w:val="0"/>
      <w:autoSpaceDN w:val="0"/>
      <w:adjustRightInd w:val="0"/>
      <w:snapToGrid w:val="0"/>
      <w:spacing w:before="240" w:after="60" w:line="588" w:lineRule="atLeast"/>
      <w:jc w:val="center"/>
      <w:outlineLvl w:val="0"/>
    </w:pPr>
    <w:rPr>
      <w:rFonts w:ascii="Cambria" w:hAnsi="Cambria" w:cs="黑体"/>
      <w:b/>
      <w:bCs/>
      <w:spacing w:val="6"/>
      <w:kern w:val="28"/>
      <w:sz w:val="32"/>
      <w:szCs w:val="32"/>
    </w:rPr>
  </w:style>
  <w:style w:type="character" w:customStyle="1" w:styleId="afb">
    <w:name w:val="标题 字符"/>
    <w:basedOn w:val="a0"/>
    <w:link w:val="afa"/>
    <w:uiPriority w:val="10"/>
    <w:qFormat/>
    <w:rsid w:val="0081336F"/>
    <w:rPr>
      <w:rFonts w:ascii="Cambria" w:eastAsia="宋体" w:hAnsi="Cambria" w:cs="黑体"/>
      <w:b/>
      <w:bCs/>
      <w:spacing w:val="6"/>
      <w:kern w:val="28"/>
      <w:sz w:val="32"/>
      <w:szCs w:val="32"/>
    </w:rPr>
  </w:style>
  <w:style w:type="character" w:styleId="afc">
    <w:name w:val="Strong"/>
    <w:uiPriority w:val="22"/>
    <w:qFormat/>
    <w:rsid w:val="0081336F"/>
    <w:rPr>
      <w:b/>
      <w:bCs/>
    </w:rPr>
  </w:style>
  <w:style w:type="character" w:styleId="afd">
    <w:name w:val="page number"/>
    <w:basedOn w:val="a0"/>
    <w:rsid w:val="0081336F"/>
  </w:style>
  <w:style w:type="character" w:styleId="afe">
    <w:name w:val="Emphasis"/>
    <w:uiPriority w:val="20"/>
    <w:qFormat/>
    <w:rsid w:val="0081336F"/>
    <w:rPr>
      <w:rFonts w:ascii="Calibri" w:hAnsi="Calibri"/>
      <w:b/>
      <w:i/>
      <w:iCs/>
    </w:rPr>
  </w:style>
  <w:style w:type="character" w:styleId="aff">
    <w:name w:val="annotation reference"/>
    <w:uiPriority w:val="99"/>
    <w:unhideWhenUsed/>
    <w:qFormat/>
    <w:rsid w:val="0081336F"/>
    <w:rPr>
      <w:sz w:val="21"/>
      <w:szCs w:val="21"/>
    </w:rPr>
  </w:style>
  <w:style w:type="paragraph" w:customStyle="1" w:styleId="15">
    <w:name w:val="列出段落1"/>
    <w:basedOn w:val="a"/>
    <w:uiPriority w:val="34"/>
    <w:qFormat/>
    <w:rsid w:val="0081336F"/>
    <w:pPr>
      <w:autoSpaceDE w:val="0"/>
      <w:autoSpaceDN w:val="0"/>
      <w:adjustRightInd w:val="0"/>
      <w:snapToGrid w:val="0"/>
      <w:spacing w:line="588" w:lineRule="atLeast"/>
      <w:ind w:left="720"/>
      <w:contextualSpacing/>
    </w:pPr>
    <w:rPr>
      <w:rFonts w:ascii="宋体" w:eastAsia="仿宋_GB2312" w:hAnsi="宋体" w:cs="Times New Roman"/>
      <w:spacing w:val="6"/>
      <w:sz w:val="30"/>
      <w:szCs w:val="24"/>
    </w:rPr>
  </w:style>
  <w:style w:type="paragraph" w:customStyle="1" w:styleId="16">
    <w:name w:val="无间隔1"/>
    <w:basedOn w:val="a"/>
    <w:uiPriority w:val="1"/>
    <w:qFormat/>
    <w:rsid w:val="0081336F"/>
    <w:pPr>
      <w:autoSpaceDE w:val="0"/>
      <w:autoSpaceDN w:val="0"/>
      <w:adjustRightInd w:val="0"/>
      <w:snapToGrid w:val="0"/>
      <w:spacing w:line="588" w:lineRule="atLeast"/>
    </w:pPr>
    <w:rPr>
      <w:rFonts w:ascii="宋体" w:eastAsia="仿宋_GB2312" w:hAnsi="宋体" w:cs="Times New Roman"/>
      <w:spacing w:val="6"/>
      <w:sz w:val="30"/>
      <w:szCs w:val="32"/>
    </w:rPr>
  </w:style>
  <w:style w:type="paragraph" w:customStyle="1" w:styleId="17">
    <w:name w:val="引用1"/>
    <w:basedOn w:val="a"/>
    <w:next w:val="a"/>
    <w:link w:val="Char"/>
    <w:uiPriority w:val="29"/>
    <w:qFormat/>
    <w:rsid w:val="0081336F"/>
    <w:pPr>
      <w:autoSpaceDE w:val="0"/>
      <w:autoSpaceDN w:val="0"/>
      <w:adjustRightInd w:val="0"/>
      <w:snapToGrid w:val="0"/>
      <w:spacing w:line="588" w:lineRule="atLeast"/>
    </w:pPr>
    <w:rPr>
      <w:rFonts w:ascii="宋体" w:eastAsia="仿宋_GB2312" w:hAnsi="宋体" w:cs="Times New Roman"/>
      <w:i/>
      <w:spacing w:val="6"/>
      <w:sz w:val="30"/>
      <w:szCs w:val="24"/>
    </w:rPr>
  </w:style>
  <w:style w:type="paragraph" w:customStyle="1" w:styleId="18">
    <w:name w:val="明显引用1"/>
    <w:basedOn w:val="a"/>
    <w:next w:val="a"/>
    <w:link w:val="Char0"/>
    <w:uiPriority w:val="30"/>
    <w:qFormat/>
    <w:rsid w:val="0081336F"/>
    <w:pPr>
      <w:autoSpaceDE w:val="0"/>
      <w:autoSpaceDN w:val="0"/>
      <w:adjustRightInd w:val="0"/>
      <w:snapToGrid w:val="0"/>
      <w:spacing w:line="588" w:lineRule="atLeast"/>
      <w:ind w:left="720" w:right="720"/>
    </w:pPr>
    <w:rPr>
      <w:rFonts w:ascii="宋体" w:eastAsia="仿宋_GB2312" w:hAnsi="宋体" w:cs="Times New Roman"/>
      <w:b/>
      <w:i/>
      <w:spacing w:val="6"/>
      <w:sz w:val="30"/>
    </w:rPr>
  </w:style>
  <w:style w:type="paragraph" w:customStyle="1" w:styleId="TOC1">
    <w:name w:val="TOC 标题1"/>
    <w:basedOn w:val="1"/>
    <w:next w:val="a"/>
    <w:uiPriority w:val="39"/>
    <w:unhideWhenUsed/>
    <w:qFormat/>
    <w:rsid w:val="0081336F"/>
    <w:pPr>
      <w:outlineLvl w:val="9"/>
    </w:pPr>
  </w:style>
  <w:style w:type="paragraph" w:customStyle="1" w:styleId="Style21">
    <w:name w:val="_Style 21"/>
    <w:basedOn w:val="a"/>
    <w:rsid w:val="0081336F"/>
    <w:pPr>
      <w:autoSpaceDE w:val="0"/>
      <w:autoSpaceDN w:val="0"/>
      <w:adjustRightInd w:val="0"/>
      <w:snapToGrid w:val="0"/>
      <w:spacing w:line="588" w:lineRule="atLeast"/>
      <w:ind w:firstLineChars="200" w:firstLine="420"/>
    </w:pPr>
    <w:rPr>
      <w:rFonts w:ascii="宋体" w:eastAsia="仿宋_GB2312" w:hAnsi="宋体" w:cs="Times New Roman"/>
      <w:spacing w:val="6"/>
      <w:sz w:val="30"/>
      <w:szCs w:val="24"/>
    </w:rPr>
  </w:style>
  <w:style w:type="paragraph" w:customStyle="1" w:styleId="19">
    <w:name w:val="修订1"/>
    <w:hidden/>
    <w:uiPriority w:val="99"/>
    <w:unhideWhenUsed/>
    <w:qFormat/>
    <w:rsid w:val="0081336F"/>
    <w:rPr>
      <w:rFonts w:ascii="宋体" w:eastAsia="仿宋_GB2312" w:hAnsi="宋体" w:cs="Times New Roman"/>
      <w:spacing w:val="6"/>
      <w:sz w:val="30"/>
      <w:szCs w:val="24"/>
    </w:rPr>
  </w:style>
  <w:style w:type="character" w:customStyle="1" w:styleId="Char">
    <w:name w:val="引用 Char"/>
    <w:link w:val="17"/>
    <w:uiPriority w:val="29"/>
    <w:rsid w:val="0081336F"/>
    <w:rPr>
      <w:rFonts w:ascii="宋体" w:eastAsia="仿宋_GB2312" w:hAnsi="宋体" w:cs="Times New Roman"/>
      <w:i/>
      <w:spacing w:val="6"/>
      <w:sz w:val="30"/>
      <w:szCs w:val="24"/>
    </w:rPr>
  </w:style>
  <w:style w:type="character" w:customStyle="1" w:styleId="Char0">
    <w:name w:val="明显引用 Char"/>
    <w:link w:val="18"/>
    <w:uiPriority w:val="30"/>
    <w:rsid w:val="0081336F"/>
    <w:rPr>
      <w:rFonts w:ascii="宋体" w:eastAsia="仿宋_GB2312" w:hAnsi="宋体" w:cs="Times New Roman"/>
      <w:b/>
      <w:i/>
      <w:spacing w:val="6"/>
      <w:sz w:val="30"/>
    </w:rPr>
  </w:style>
  <w:style w:type="character" w:customStyle="1" w:styleId="1a">
    <w:name w:val="不明显强调1"/>
    <w:uiPriority w:val="19"/>
    <w:qFormat/>
    <w:rsid w:val="0081336F"/>
    <w:rPr>
      <w:i/>
      <w:color w:val="595959"/>
    </w:rPr>
  </w:style>
  <w:style w:type="character" w:customStyle="1" w:styleId="1b">
    <w:name w:val="明显强调1"/>
    <w:uiPriority w:val="21"/>
    <w:qFormat/>
    <w:rsid w:val="0081336F"/>
    <w:rPr>
      <w:b/>
      <w:i/>
      <w:sz w:val="24"/>
      <w:szCs w:val="24"/>
      <w:u w:val="single"/>
    </w:rPr>
  </w:style>
  <w:style w:type="character" w:customStyle="1" w:styleId="1c">
    <w:name w:val="不明显参考1"/>
    <w:uiPriority w:val="31"/>
    <w:qFormat/>
    <w:rsid w:val="0081336F"/>
    <w:rPr>
      <w:sz w:val="24"/>
      <w:szCs w:val="24"/>
      <w:u w:val="single"/>
    </w:rPr>
  </w:style>
  <w:style w:type="character" w:customStyle="1" w:styleId="1d">
    <w:name w:val="明显参考1"/>
    <w:uiPriority w:val="32"/>
    <w:qFormat/>
    <w:rsid w:val="0081336F"/>
    <w:rPr>
      <w:b/>
      <w:sz w:val="24"/>
      <w:u w:val="single"/>
    </w:rPr>
  </w:style>
  <w:style w:type="character" w:customStyle="1" w:styleId="1e">
    <w:name w:val="书籍标题1"/>
    <w:uiPriority w:val="33"/>
    <w:qFormat/>
    <w:rsid w:val="0081336F"/>
    <w:rPr>
      <w:rFonts w:ascii="Cambria" w:eastAsia="宋体" w:hAnsi="Cambria"/>
      <w:b/>
      <w:i/>
      <w:sz w:val="24"/>
      <w:szCs w:val="24"/>
    </w:rPr>
  </w:style>
  <w:style w:type="character" w:styleId="aff0">
    <w:name w:val="Hyperlink"/>
    <w:basedOn w:val="a0"/>
    <w:uiPriority w:val="99"/>
    <w:unhideWhenUsed/>
    <w:qFormat/>
    <w:rsid w:val="0081336F"/>
    <w:rPr>
      <w:color w:val="0563C1" w:themeColor="hyperlink"/>
      <w:u w:val="single"/>
    </w:rPr>
  </w:style>
  <w:style w:type="character" w:styleId="aff1">
    <w:name w:val="Unresolved Mention"/>
    <w:basedOn w:val="a0"/>
    <w:uiPriority w:val="99"/>
    <w:semiHidden/>
    <w:unhideWhenUsed/>
    <w:rsid w:val="0081336F"/>
    <w:rPr>
      <w:color w:val="605E5C"/>
      <w:shd w:val="clear" w:color="auto" w:fill="E1DFDD"/>
    </w:rPr>
  </w:style>
  <w:style w:type="character" w:styleId="aff2">
    <w:name w:val="Placeholder Text"/>
    <w:basedOn w:val="a0"/>
    <w:uiPriority w:val="99"/>
    <w:semiHidden/>
    <w:rsid w:val="00ED7434"/>
    <w:rPr>
      <w:color w:val="808080"/>
    </w:rPr>
  </w:style>
  <w:style w:type="paragraph" w:styleId="aff3">
    <w:name w:val="Normal (Web)"/>
    <w:basedOn w:val="a"/>
    <w:uiPriority w:val="39"/>
    <w:unhideWhenUsed/>
    <w:rsid w:val="008C59B6"/>
    <w:rPr>
      <w:rFonts w:ascii="Times New Roman" w:hAnsi="Times New Roman" w:cs="Times New Roman"/>
      <w:sz w:val="24"/>
      <w:szCs w:val="24"/>
    </w:rPr>
  </w:style>
  <w:style w:type="table" w:customStyle="1" w:styleId="TableNormal">
    <w:name w:val="Table Normal"/>
    <w:uiPriority w:val="2"/>
    <w:semiHidden/>
    <w:unhideWhenUsed/>
    <w:qFormat/>
    <w:rsid w:val="00757A15"/>
    <w:rPr>
      <w:kern w:val="0"/>
      <w:sz w:val="20"/>
      <w:szCs w:val="20"/>
    </w:rPr>
    <w:tblPr>
      <w:tblCellMar>
        <w:top w:w="0" w:type="dxa"/>
        <w:left w:w="0" w:type="dxa"/>
        <w:bottom w:w="0" w:type="dxa"/>
        <w:right w:w="0" w:type="dxa"/>
      </w:tblCellMar>
    </w:tblPr>
  </w:style>
  <w:style w:type="paragraph" w:customStyle="1" w:styleId="TableParagraph">
    <w:name w:val="Table Paragraph"/>
    <w:basedOn w:val="a"/>
    <w:uiPriority w:val="1"/>
    <w:qFormat/>
    <w:rsid w:val="00757A15"/>
    <w:pPr>
      <w:autoSpaceDE w:val="0"/>
      <w:autoSpaceDN w:val="0"/>
      <w:jc w:val="left"/>
    </w:pPr>
    <w:rPr>
      <w:rFonts w:ascii="宋体" w:hAnsi="宋体" w:cs="宋体"/>
      <w:kern w:val="0"/>
      <w:sz w:val="22"/>
      <w:lang w:val="zh-CN" w:bidi="zh-CN"/>
    </w:rPr>
  </w:style>
  <w:style w:type="paragraph" w:styleId="TOC7">
    <w:name w:val="toc 7"/>
    <w:basedOn w:val="a"/>
    <w:next w:val="a"/>
    <w:uiPriority w:val="39"/>
    <w:unhideWhenUsed/>
    <w:qFormat/>
    <w:rsid w:val="002D3258"/>
    <w:pPr>
      <w:ind w:leftChars="1200" w:left="2520"/>
    </w:pPr>
    <w:rPr>
      <w:rFonts w:eastAsiaTheme="minorEastAsia"/>
    </w:rPr>
  </w:style>
  <w:style w:type="paragraph" w:styleId="aff4">
    <w:name w:val="Normal Indent"/>
    <w:basedOn w:val="a"/>
    <w:uiPriority w:val="99"/>
    <w:semiHidden/>
    <w:unhideWhenUsed/>
    <w:qFormat/>
    <w:rsid w:val="002D3258"/>
    <w:pPr>
      <w:widowControl/>
      <w:ind w:firstLineChars="200" w:firstLine="420"/>
      <w:jc w:val="left"/>
    </w:pPr>
    <w:rPr>
      <w:rFonts w:ascii="Calibri" w:hAnsi="Calibri" w:cs="Times New Roman"/>
      <w:kern w:val="0"/>
      <w:sz w:val="24"/>
      <w:szCs w:val="24"/>
    </w:rPr>
  </w:style>
  <w:style w:type="paragraph" w:styleId="aff5">
    <w:name w:val="caption"/>
    <w:basedOn w:val="a"/>
    <w:next w:val="a"/>
    <w:uiPriority w:val="35"/>
    <w:unhideWhenUsed/>
    <w:qFormat/>
    <w:rsid w:val="002D3258"/>
    <w:pPr>
      <w:spacing w:line="400" w:lineRule="atLeast"/>
      <w:ind w:firstLineChars="200" w:firstLine="560"/>
      <w:jc w:val="left"/>
    </w:pPr>
    <w:rPr>
      <w:rFonts w:ascii="Calibri Light" w:eastAsia="黑体" w:hAnsi="Calibri Light" w:cs="Times New Roman"/>
      <w:sz w:val="20"/>
      <w:szCs w:val="20"/>
    </w:rPr>
  </w:style>
  <w:style w:type="paragraph" w:styleId="TOC5">
    <w:name w:val="toc 5"/>
    <w:basedOn w:val="a"/>
    <w:next w:val="a"/>
    <w:uiPriority w:val="39"/>
    <w:unhideWhenUsed/>
    <w:qFormat/>
    <w:rsid w:val="002D3258"/>
    <w:pPr>
      <w:ind w:leftChars="800" w:left="1680"/>
    </w:pPr>
    <w:rPr>
      <w:rFonts w:eastAsiaTheme="minorEastAsia"/>
    </w:rPr>
  </w:style>
  <w:style w:type="paragraph" w:styleId="TOC3">
    <w:name w:val="toc 3"/>
    <w:basedOn w:val="a"/>
    <w:next w:val="a"/>
    <w:uiPriority w:val="39"/>
    <w:unhideWhenUsed/>
    <w:qFormat/>
    <w:rsid w:val="002D3258"/>
    <w:pPr>
      <w:ind w:leftChars="400" w:left="840"/>
    </w:pPr>
    <w:rPr>
      <w:rFonts w:ascii="Calibri" w:hAnsi="Calibri" w:cs="Times New Roman"/>
    </w:rPr>
  </w:style>
  <w:style w:type="paragraph" w:styleId="TOC8">
    <w:name w:val="toc 8"/>
    <w:basedOn w:val="a"/>
    <w:next w:val="a"/>
    <w:uiPriority w:val="39"/>
    <w:unhideWhenUsed/>
    <w:rsid w:val="002D3258"/>
    <w:pPr>
      <w:ind w:leftChars="1400" w:left="2940"/>
    </w:pPr>
    <w:rPr>
      <w:rFonts w:eastAsiaTheme="minorEastAsia"/>
    </w:rPr>
  </w:style>
  <w:style w:type="paragraph" w:styleId="TOC10">
    <w:name w:val="toc 1"/>
    <w:basedOn w:val="a"/>
    <w:next w:val="a"/>
    <w:uiPriority w:val="39"/>
    <w:unhideWhenUsed/>
    <w:qFormat/>
    <w:rsid w:val="002D3258"/>
    <w:rPr>
      <w:rFonts w:ascii="Times New Roman" w:hAnsi="Times New Roman" w:cs="Times New Roman"/>
      <w:szCs w:val="24"/>
    </w:rPr>
  </w:style>
  <w:style w:type="paragraph" w:styleId="TOC4">
    <w:name w:val="toc 4"/>
    <w:basedOn w:val="a"/>
    <w:next w:val="a"/>
    <w:uiPriority w:val="39"/>
    <w:unhideWhenUsed/>
    <w:rsid w:val="002D3258"/>
    <w:pPr>
      <w:ind w:leftChars="600" w:left="1260"/>
    </w:pPr>
    <w:rPr>
      <w:rFonts w:eastAsiaTheme="minorEastAsia"/>
    </w:rPr>
  </w:style>
  <w:style w:type="paragraph" w:styleId="TOC6">
    <w:name w:val="toc 6"/>
    <w:basedOn w:val="a"/>
    <w:next w:val="a"/>
    <w:uiPriority w:val="39"/>
    <w:unhideWhenUsed/>
    <w:rsid w:val="002D3258"/>
    <w:pPr>
      <w:ind w:leftChars="1000" w:left="2100"/>
    </w:pPr>
    <w:rPr>
      <w:rFonts w:eastAsiaTheme="minorEastAsia"/>
    </w:rPr>
  </w:style>
  <w:style w:type="paragraph" w:styleId="TOC2">
    <w:name w:val="toc 2"/>
    <w:basedOn w:val="a"/>
    <w:next w:val="a"/>
    <w:uiPriority w:val="39"/>
    <w:unhideWhenUsed/>
    <w:qFormat/>
    <w:rsid w:val="002D3258"/>
    <w:pPr>
      <w:ind w:leftChars="200" w:left="420"/>
    </w:pPr>
    <w:rPr>
      <w:rFonts w:ascii="Times New Roman" w:hAnsi="Times New Roman" w:cs="Times New Roman"/>
      <w:szCs w:val="24"/>
    </w:rPr>
  </w:style>
  <w:style w:type="paragraph" w:styleId="TOC9">
    <w:name w:val="toc 9"/>
    <w:basedOn w:val="a"/>
    <w:next w:val="a"/>
    <w:uiPriority w:val="39"/>
    <w:unhideWhenUsed/>
    <w:rsid w:val="002D3258"/>
    <w:pPr>
      <w:ind w:leftChars="1600" w:left="3360"/>
    </w:pPr>
    <w:rPr>
      <w:rFonts w:eastAsiaTheme="minorEastAsia"/>
    </w:rPr>
  </w:style>
  <w:style w:type="paragraph" w:customStyle="1" w:styleId="71">
    <w:name w:val="目录 71"/>
    <w:basedOn w:val="a"/>
    <w:next w:val="a"/>
    <w:uiPriority w:val="39"/>
    <w:unhideWhenUsed/>
    <w:qFormat/>
    <w:rsid w:val="002D3258"/>
    <w:pPr>
      <w:ind w:leftChars="1200" w:left="2520"/>
    </w:pPr>
    <w:rPr>
      <w:rFonts w:ascii="Calibri" w:hAnsi="Calibri" w:cs="Times New Roman"/>
    </w:rPr>
  </w:style>
  <w:style w:type="paragraph" w:customStyle="1" w:styleId="51">
    <w:name w:val="目录 51"/>
    <w:basedOn w:val="a"/>
    <w:next w:val="a"/>
    <w:uiPriority w:val="39"/>
    <w:unhideWhenUsed/>
    <w:qFormat/>
    <w:rsid w:val="002D3258"/>
    <w:pPr>
      <w:ind w:leftChars="800" w:left="1680"/>
    </w:pPr>
    <w:rPr>
      <w:rFonts w:ascii="Calibri" w:hAnsi="Calibri" w:cs="Times New Roman"/>
    </w:rPr>
  </w:style>
  <w:style w:type="paragraph" w:customStyle="1" w:styleId="310">
    <w:name w:val="目录 31"/>
    <w:basedOn w:val="a"/>
    <w:next w:val="a"/>
    <w:uiPriority w:val="39"/>
    <w:unhideWhenUsed/>
    <w:qFormat/>
    <w:rsid w:val="002D3258"/>
    <w:pPr>
      <w:widowControl/>
      <w:tabs>
        <w:tab w:val="right" w:leader="dot" w:pos="8777"/>
      </w:tabs>
      <w:spacing w:after="100" w:line="259" w:lineRule="auto"/>
      <w:ind w:left="440"/>
      <w:jc w:val="left"/>
    </w:pPr>
    <w:rPr>
      <w:rFonts w:ascii="Times New Roman" w:hAnsi="Times New Roman" w:cs="Times New Roman"/>
      <w:b/>
      <w:kern w:val="0"/>
      <w:sz w:val="24"/>
      <w:szCs w:val="24"/>
    </w:rPr>
  </w:style>
  <w:style w:type="paragraph" w:customStyle="1" w:styleId="81">
    <w:name w:val="目录 81"/>
    <w:basedOn w:val="a"/>
    <w:next w:val="a"/>
    <w:uiPriority w:val="39"/>
    <w:unhideWhenUsed/>
    <w:qFormat/>
    <w:rsid w:val="002D3258"/>
    <w:pPr>
      <w:ind w:leftChars="1400" w:left="2940"/>
    </w:pPr>
    <w:rPr>
      <w:rFonts w:ascii="Calibri" w:hAnsi="Calibri" w:cs="Times New Roman"/>
    </w:rPr>
  </w:style>
  <w:style w:type="paragraph" w:customStyle="1" w:styleId="110">
    <w:name w:val="目录 11"/>
    <w:basedOn w:val="a"/>
    <w:next w:val="a"/>
    <w:uiPriority w:val="39"/>
    <w:unhideWhenUsed/>
    <w:qFormat/>
    <w:rsid w:val="002D3258"/>
    <w:pPr>
      <w:widowControl/>
      <w:tabs>
        <w:tab w:val="right" w:leader="dot" w:pos="8777"/>
      </w:tabs>
      <w:spacing w:after="100" w:line="259" w:lineRule="auto"/>
      <w:jc w:val="left"/>
    </w:pPr>
    <w:rPr>
      <w:rFonts w:ascii="Times New Roman" w:hAnsi="Times New Roman" w:cs="Times New Roman"/>
      <w:b/>
      <w:kern w:val="0"/>
      <w:sz w:val="24"/>
      <w:szCs w:val="24"/>
    </w:rPr>
  </w:style>
  <w:style w:type="paragraph" w:customStyle="1" w:styleId="41">
    <w:name w:val="目录 41"/>
    <w:basedOn w:val="a"/>
    <w:next w:val="a"/>
    <w:uiPriority w:val="39"/>
    <w:unhideWhenUsed/>
    <w:qFormat/>
    <w:rsid w:val="002D3258"/>
    <w:pPr>
      <w:ind w:leftChars="600" w:left="1260"/>
    </w:pPr>
    <w:rPr>
      <w:rFonts w:ascii="Calibri" w:hAnsi="Calibri" w:cs="Times New Roman"/>
    </w:rPr>
  </w:style>
  <w:style w:type="paragraph" w:customStyle="1" w:styleId="61">
    <w:name w:val="目录 61"/>
    <w:basedOn w:val="a"/>
    <w:next w:val="a"/>
    <w:uiPriority w:val="39"/>
    <w:unhideWhenUsed/>
    <w:qFormat/>
    <w:rsid w:val="002D3258"/>
    <w:pPr>
      <w:ind w:leftChars="1000" w:left="2100"/>
    </w:pPr>
    <w:rPr>
      <w:rFonts w:ascii="Calibri" w:hAnsi="Calibri" w:cs="Times New Roman"/>
    </w:rPr>
  </w:style>
  <w:style w:type="paragraph" w:customStyle="1" w:styleId="210">
    <w:name w:val="目录 21"/>
    <w:basedOn w:val="a"/>
    <w:next w:val="a"/>
    <w:uiPriority w:val="39"/>
    <w:unhideWhenUsed/>
    <w:qFormat/>
    <w:rsid w:val="002D3258"/>
    <w:pPr>
      <w:widowControl/>
      <w:spacing w:after="100" w:line="259" w:lineRule="auto"/>
      <w:ind w:left="220"/>
      <w:jc w:val="left"/>
    </w:pPr>
    <w:rPr>
      <w:rFonts w:ascii="Calibri" w:hAnsi="Calibri" w:cs="Times New Roman"/>
      <w:kern w:val="0"/>
      <w:sz w:val="22"/>
    </w:rPr>
  </w:style>
  <w:style w:type="paragraph" w:customStyle="1" w:styleId="91">
    <w:name w:val="目录 91"/>
    <w:basedOn w:val="a"/>
    <w:next w:val="a"/>
    <w:uiPriority w:val="39"/>
    <w:unhideWhenUsed/>
    <w:qFormat/>
    <w:rsid w:val="002D3258"/>
    <w:pPr>
      <w:ind w:leftChars="1600" w:left="3360"/>
    </w:pPr>
    <w:rPr>
      <w:rFonts w:ascii="Calibri" w:hAnsi="Calibri" w:cs="Times New Roman"/>
    </w:rPr>
  </w:style>
  <w:style w:type="paragraph" w:customStyle="1" w:styleId="1f">
    <w:name w:val="列表段落1"/>
    <w:basedOn w:val="a"/>
    <w:link w:val="aff6"/>
    <w:uiPriority w:val="34"/>
    <w:qFormat/>
    <w:rsid w:val="002D3258"/>
    <w:pPr>
      <w:ind w:firstLineChars="200" w:firstLine="420"/>
    </w:pPr>
    <w:rPr>
      <w:rFonts w:ascii="Times New Roman" w:hAnsi="Times New Roman" w:cs="Times New Roman"/>
      <w:kern w:val="0"/>
      <w:sz w:val="20"/>
      <w:szCs w:val="24"/>
    </w:rPr>
  </w:style>
  <w:style w:type="character" w:customStyle="1" w:styleId="aff6">
    <w:name w:val="列表段落 字符"/>
    <w:link w:val="1f"/>
    <w:uiPriority w:val="34"/>
    <w:qFormat/>
    <w:rsid w:val="002D3258"/>
    <w:rPr>
      <w:rFonts w:ascii="Times New Roman" w:eastAsia="宋体" w:hAnsi="Times New Roman" w:cs="Times New Roman"/>
      <w:kern w:val="0"/>
      <w:sz w:val="20"/>
      <w:szCs w:val="24"/>
    </w:rPr>
  </w:style>
  <w:style w:type="paragraph" w:styleId="aff7">
    <w:name w:val="No Spacing"/>
    <w:next w:val="a"/>
    <w:link w:val="aff8"/>
    <w:uiPriority w:val="1"/>
    <w:qFormat/>
    <w:rsid w:val="002D3258"/>
    <w:pPr>
      <w:widowControl w:val="0"/>
      <w:spacing w:line="300" w:lineRule="auto"/>
      <w:jc w:val="both"/>
    </w:pPr>
    <w:rPr>
      <w:rFonts w:ascii="Times New Roman" w:eastAsia="宋体" w:hAnsi="Times New Roman" w:cs="Times New Roman"/>
      <w:kern w:val="0"/>
      <w:sz w:val="24"/>
      <w:szCs w:val="24"/>
    </w:rPr>
  </w:style>
  <w:style w:type="character" w:customStyle="1" w:styleId="aff8">
    <w:name w:val="无间隔 字符"/>
    <w:link w:val="aff7"/>
    <w:uiPriority w:val="1"/>
    <w:qFormat/>
    <w:rsid w:val="002D3258"/>
    <w:rPr>
      <w:rFonts w:ascii="Times New Roman" w:eastAsia="宋体" w:hAnsi="Times New Roman" w:cs="Times New Roman"/>
      <w:kern w:val="0"/>
      <w:sz w:val="24"/>
      <w:szCs w:val="24"/>
    </w:rPr>
  </w:style>
  <w:style w:type="character" w:customStyle="1" w:styleId="aff9">
    <w:name w:val="论文正文"/>
    <w:uiPriority w:val="99"/>
    <w:qFormat/>
    <w:rsid w:val="002D3258"/>
    <w:rPr>
      <w:rFonts w:ascii="宋体" w:eastAsia="宋体" w:hAnsi="宋体" w:cs="Times New Roman"/>
      <w:kern w:val="0"/>
      <w:sz w:val="21"/>
    </w:rPr>
  </w:style>
  <w:style w:type="paragraph" w:customStyle="1" w:styleId="affa">
    <w:name w:val="论文表格图形名字样式"/>
    <w:basedOn w:val="a"/>
    <w:uiPriority w:val="99"/>
    <w:qFormat/>
    <w:rsid w:val="002D3258"/>
    <w:pPr>
      <w:spacing w:line="300" w:lineRule="auto"/>
      <w:ind w:firstLineChars="200" w:firstLine="361"/>
      <w:jc w:val="center"/>
    </w:pPr>
    <w:rPr>
      <w:rFonts w:ascii="黑体" w:eastAsia="黑体" w:hAnsi="黑体" w:cs="宋体"/>
      <w:b/>
      <w:bCs/>
      <w:kern w:val="0"/>
      <w:sz w:val="18"/>
      <w:szCs w:val="20"/>
    </w:rPr>
  </w:style>
  <w:style w:type="paragraph" w:customStyle="1" w:styleId="zw">
    <w:name w:val="zw"/>
    <w:basedOn w:val="a"/>
    <w:rsid w:val="002D3258"/>
    <w:pPr>
      <w:adjustRightInd w:val="0"/>
      <w:spacing w:line="360" w:lineRule="auto"/>
      <w:ind w:firstLine="482"/>
      <w:textAlignment w:val="baseline"/>
    </w:pPr>
    <w:rPr>
      <w:rFonts w:ascii="Arial Narrow" w:eastAsia="楷体_GB2312" w:hAnsi="Arial Narrow" w:cs="Times New Roman"/>
      <w:kern w:val="0"/>
      <w:sz w:val="24"/>
      <w:szCs w:val="20"/>
    </w:rPr>
  </w:style>
  <w:style w:type="paragraph" w:customStyle="1" w:styleId="42">
    <w:name w:val="招股书4级标题"/>
    <w:next w:val="a"/>
    <w:uiPriority w:val="99"/>
    <w:qFormat/>
    <w:rsid w:val="002D3258"/>
    <w:pPr>
      <w:keepNext/>
      <w:adjustRightInd w:val="0"/>
      <w:spacing w:line="360" w:lineRule="auto"/>
      <w:ind w:firstLineChars="200" w:firstLine="200"/>
      <w:outlineLvl w:val="3"/>
    </w:pPr>
    <w:rPr>
      <w:rFonts w:ascii="Calibri" w:eastAsia="宋体" w:hAnsi="Calibri" w:cs="宋体"/>
      <w:b/>
      <w:sz w:val="24"/>
      <w:szCs w:val="24"/>
    </w:rPr>
  </w:style>
  <w:style w:type="paragraph" w:customStyle="1" w:styleId="1-6">
    <w:name w:val="1-6"/>
    <w:basedOn w:val="a"/>
    <w:uiPriority w:val="39"/>
    <w:qFormat/>
    <w:rsid w:val="002D3258"/>
    <w:pPr>
      <w:widowControl/>
      <w:adjustRightInd w:val="0"/>
      <w:snapToGrid w:val="0"/>
      <w:spacing w:line="360" w:lineRule="auto"/>
      <w:ind w:firstLineChars="200" w:firstLine="480"/>
      <w:jc w:val="left"/>
    </w:pPr>
    <w:rPr>
      <w:rFonts w:ascii="Calibri" w:hAnsi="宋体" w:cs="Times New Roman"/>
      <w:kern w:val="0"/>
      <w:sz w:val="24"/>
      <w:szCs w:val="24"/>
    </w:rPr>
  </w:style>
  <w:style w:type="paragraph" w:styleId="affb">
    <w:name w:val="Quote"/>
    <w:basedOn w:val="a"/>
    <w:next w:val="a"/>
    <w:link w:val="affc"/>
    <w:uiPriority w:val="29"/>
    <w:qFormat/>
    <w:rsid w:val="002D3258"/>
    <w:pPr>
      <w:widowControl/>
      <w:jc w:val="left"/>
    </w:pPr>
    <w:rPr>
      <w:rFonts w:ascii="Calibri" w:hAnsi="Calibri" w:cs="Times New Roman"/>
      <w:i/>
      <w:kern w:val="0"/>
      <w:sz w:val="24"/>
      <w:szCs w:val="24"/>
    </w:rPr>
  </w:style>
  <w:style w:type="character" w:customStyle="1" w:styleId="affc">
    <w:name w:val="引用 字符"/>
    <w:basedOn w:val="a0"/>
    <w:link w:val="affb"/>
    <w:uiPriority w:val="29"/>
    <w:qFormat/>
    <w:rsid w:val="002D3258"/>
    <w:rPr>
      <w:rFonts w:ascii="Calibri" w:eastAsia="宋体" w:hAnsi="Calibri" w:cs="Times New Roman"/>
      <w:i/>
      <w:kern w:val="0"/>
      <w:sz w:val="24"/>
      <w:szCs w:val="24"/>
    </w:rPr>
  </w:style>
  <w:style w:type="paragraph" w:styleId="affd">
    <w:name w:val="Intense Quote"/>
    <w:basedOn w:val="a"/>
    <w:next w:val="a"/>
    <w:link w:val="affe"/>
    <w:uiPriority w:val="30"/>
    <w:qFormat/>
    <w:rsid w:val="002D3258"/>
    <w:pPr>
      <w:widowControl/>
      <w:ind w:left="720" w:right="720"/>
      <w:jc w:val="left"/>
    </w:pPr>
    <w:rPr>
      <w:rFonts w:ascii="Calibri" w:hAnsi="Calibri" w:cs="Times New Roman"/>
      <w:b/>
      <w:i/>
      <w:kern w:val="0"/>
      <w:sz w:val="24"/>
      <w:szCs w:val="20"/>
    </w:rPr>
  </w:style>
  <w:style w:type="character" w:customStyle="1" w:styleId="affe">
    <w:name w:val="明显引用 字符"/>
    <w:basedOn w:val="a0"/>
    <w:link w:val="affd"/>
    <w:uiPriority w:val="30"/>
    <w:qFormat/>
    <w:rsid w:val="002D3258"/>
    <w:rPr>
      <w:rFonts w:ascii="Calibri" w:eastAsia="宋体" w:hAnsi="Calibri" w:cs="Times New Roman"/>
      <w:b/>
      <w:i/>
      <w:kern w:val="0"/>
      <w:sz w:val="24"/>
      <w:szCs w:val="20"/>
    </w:rPr>
  </w:style>
  <w:style w:type="paragraph" w:customStyle="1" w:styleId="23">
    <w:name w:val="修订2"/>
    <w:hidden/>
    <w:uiPriority w:val="99"/>
    <w:semiHidden/>
    <w:rsid w:val="002D3258"/>
    <w:rPr>
      <w:rFonts w:ascii="Times New Roman" w:eastAsia="宋体" w:hAnsi="Times New Roman" w:cs="Times New Roman"/>
      <w:szCs w:val="24"/>
    </w:rPr>
  </w:style>
  <w:style w:type="table" w:customStyle="1" w:styleId="1f0">
    <w:name w:val="网格型1"/>
    <w:basedOn w:val="a1"/>
    <w:uiPriority w:val="39"/>
    <w:rsid w:val="002D32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List Paragraph"/>
    <w:basedOn w:val="a"/>
    <w:link w:val="1f1"/>
    <w:uiPriority w:val="34"/>
    <w:qFormat/>
    <w:rsid w:val="002D3258"/>
    <w:pPr>
      <w:ind w:firstLineChars="200" w:firstLine="420"/>
    </w:pPr>
    <w:rPr>
      <w:rFonts w:ascii="Times New Roman" w:hAnsi="Times New Roman" w:cs="Times New Roman"/>
      <w:szCs w:val="24"/>
    </w:rPr>
  </w:style>
  <w:style w:type="character" w:customStyle="1" w:styleId="1f1">
    <w:name w:val="列表段落 字符1"/>
    <w:basedOn w:val="a0"/>
    <w:link w:val="afff"/>
    <w:uiPriority w:val="34"/>
    <w:rsid w:val="002D3258"/>
    <w:rPr>
      <w:rFonts w:ascii="Times New Roman" w:eastAsia="宋体" w:hAnsi="Times New Roman" w:cs="Times New Roman"/>
      <w:szCs w:val="24"/>
    </w:rPr>
  </w:style>
  <w:style w:type="paragraph" w:customStyle="1" w:styleId="TOC20">
    <w:name w:val="TOC 标题2"/>
    <w:basedOn w:val="1"/>
    <w:next w:val="a"/>
    <w:uiPriority w:val="39"/>
    <w:unhideWhenUsed/>
    <w:qFormat/>
    <w:rsid w:val="002D3258"/>
    <w:pPr>
      <w:keepLines/>
      <w:widowControl/>
      <w:autoSpaceDE/>
      <w:autoSpaceDN/>
      <w:adjustRightInd/>
      <w:snapToGrid/>
      <w:spacing w:after="0" w:line="259" w:lineRule="auto"/>
      <w:jc w:val="left"/>
      <w:outlineLvl w:val="9"/>
    </w:pPr>
    <w:rPr>
      <w:rFonts w:ascii="Calibri Light" w:hAnsi="Calibri Light" w:cs="Times New Roman"/>
      <w:bCs w:val="0"/>
      <w:color w:val="2E74B5"/>
      <w:spacing w:val="0"/>
      <w:kern w:val="0"/>
    </w:rPr>
  </w:style>
  <w:style w:type="paragraph" w:customStyle="1" w:styleId="220">
    <w:name w:val="目录 22"/>
    <w:basedOn w:val="a"/>
    <w:next w:val="a"/>
    <w:uiPriority w:val="39"/>
    <w:unhideWhenUsed/>
    <w:qFormat/>
    <w:rsid w:val="002D3258"/>
    <w:pPr>
      <w:widowControl/>
      <w:spacing w:after="100" w:line="259" w:lineRule="auto"/>
      <w:ind w:left="220"/>
      <w:jc w:val="left"/>
    </w:pPr>
    <w:rPr>
      <w:rFonts w:ascii="Calibri" w:hAnsi="Calibri" w:cs="Times New Roman"/>
      <w:kern w:val="0"/>
      <w:sz w:val="22"/>
    </w:rPr>
  </w:style>
  <w:style w:type="paragraph" w:customStyle="1" w:styleId="120">
    <w:name w:val="目录 12"/>
    <w:basedOn w:val="a"/>
    <w:next w:val="a"/>
    <w:uiPriority w:val="39"/>
    <w:unhideWhenUsed/>
    <w:qFormat/>
    <w:rsid w:val="002D3258"/>
    <w:pPr>
      <w:widowControl/>
      <w:tabs>
        <w:tab w:val="right" w:leader="dot" w:pos="8777"/>
      </w:tabs>
      <w:spacing w:after="100" w:line="259" w:lineRule="auto"/>
      <w:jc w:val="left"/>
    </w:pPr>
    <w:rPr>
      <w:rFonts w:ascii="Times New Roman" w:hAnsi="Times New Roman" w:cs="Times New Roman"/>
      <w:b/>
      <w:kern w:val="0"/>
      <w:sz w:val="24"/>
      <w:szCs w:val="24"/>
    </w:rPr>
  </w:style>
  <w:style w:type="paragraph" w:customStyle="1" w:styleId="320">
    <w:name w:val="目录 32"/>
    <w:basedOn w:val="a"/>
    <w:next w:val="a"/>
    <w:uiPriority w:val="39"/>
    <w:unhideWhenUsed/>
    <w:qFormat/>
    <w:rsid w:val="002D3258"/>
    <w:pPr>
      <w:widowControl/>
      <w:tabs>
        <w:tab w:val="right" w:leader="dot" w:pos="8777"/>
      </w:tabs>
      <w:spacing w:after="100" w:line="259" w:lineRule="auto"/>
      <w:ind w:left="440"/>
      <w:jc w:val="left"/>
    </w:pPr>
    <w:rPr>
      <w:rFonts w:ascii="Times New Roman" w:hAnsi="Times New Roman" w:cs="Times New Roman"/>
      <w:b/>
      <w:kern w:val="0"/>
      <w:sz w:val="24"/>
      <w:szCs w:val="24"/>
    </w:rPr>
  </w:style>
  <w:style w:type="character" w:customStyle="1" w:styleId="24">
    <w:name w:val="不明显强调2"/>
    <w:uiPriority w:val="19"/>
    <w:qFormat/>
    <w:rsid w:val="002D3258"/>
    <w:rPr>
      <w:i/>
      <w:color w:val="5A5A5A"/>
    </w:rPr>
  </w:style>
  <w:style w:type="character" w:customStyle="1" w:styleId="25">
    <w:name w:val="明显强调2"/>
    <w:basedOn w:val="a0"/>
    <w:uiPriority w:val="21"/>
    <w:qFormat/>
    <w:rsid w:val="002D3258"/>
    <w:rPr>
      <w:b/>
      <w:i/>
      <w:sz w:val="24"/>
      <w:szCs w:val="24"/>
      <w:u w:val="single"/>
    </w:rPr>
  </w:style>
  <w:style w:type="character" w:customStyle="1" w:styleId="26">
    <w:name w:val="不明显参考2"/>
    <w:basedOn w:val="a0"/>
    <w:uiPriority w:val="31"/>
    <w:qFormat/>
    <w:rsid w:val="002D3258"/>
    <w:rPr>
      <w:sz w:val="24"/>
      <w:szCs w:val="24"/>
      <w:u w:val="single"/>
    </w:rPr>
  </w:style>
  <w:style w:type="character" w:customStyle="1" w:styleId="27">
    <w:name w:val="明显参考2"/>
    <w:basedOn w:val="a0"/>
    <w:uiPriority w:val="32"/>
    <w:qFormat/>
    <w:rsid w:val="002D3258"/>
    <w:rPr>
      <w:b/>
      <w:sz w:val="24"/>
      <w:u w:val="single"/>
    </w:rPr>
  </w:style>
  <w:style w:type="character" w:customStyle="1" w:styleId="28">
    <w:name w:val="书籍标题2"/>
    <w:basedOn w:val="a0"/>
    <w:uiPriority w:val="33"/>
    <w:qFormat/>
    <w:rsid w:val="002D3258"/>
    <w:rPr>
      <w:rFonts w:ascii="Calibri Light" w:eastAsia="宋体" w:hAnsi="Calibri Light"/>
      <w:b/>
      <w:i/>
      <w:sz w:val="24"/>
      <w:szCs w:val="24"/>
    </w:rPr>
  </w:style>
  <w:style w:type="paragraph" w:customStyle="1" w:styleId="420">
    <w:name w:val="目录 42"/>
    <w:basedOn w:val="a"/>
    <w:next w:val="a"/>
    <w:uiPriority w:val="39"/>
    <w:unhideWhenUsed/>
    <w:rsid w:val="002D3258"/>
    <w:pPr>
      <w:ind w:leftChars="600" w:left="1260"/>
    </w:pPr>
    <w:rPr>
      <w:rFonts w:ascii="Calibri" w:hAnsi="Calibri" w:cs="Times New Roman"/>
    </w:rPr>
  </w:style>
  <w:style w:type="paragraph" w:customStyle="1" w:styleId="52">
    <w:name w:val="目录 52"/>
    <w:basedOn w:val="a"/>
    <w:next w:val="a"/>
    <w:uiPriority w:val="39"/>
    <w:unhideWhenUsed/>
    <w:rsid w:val="002D3258"/>
    <w:pPr>
      <w:ind w:leftChars="800" w:left="1680"/>
    </w:pPr>
    <w:rPr>
      <w:rFonts w:ascii="Calibri" w:hAnsi="Calibri" w:cs="Times New Roman"/>
    </w:rPr>
  </w:style>
  <w:style w:type="paragraph" w:customStyle="1" w:styleId="62">
    <w:name w:val="目录 62"/>
    <w:basedOn w:val="a"/>
    <w:next w:val="a"/>
    <w:uiPriority w:val="39"/>
    <w:unhideWhenUsed/>
    <w:rsid w:val="002D3258"/>
    <w:pPr>
      <w:ind w:leftChars="1000" w:left="2100"/>
    </w:pPr>
    <w:rPr>
      <w:rFonts w:ascii="Calibri" w:hAnsi="Calibri" w:cs="Times New Roman"/>
    </w:rPr>
  </w:style>
  <w:style w:type="paragraph" w:customStyle="1" w:styleId="72">
    <w:name w:val="目录 72"/>
    <w:basedOn w:val="a"/>
    <w:next w:val="a"/>
    <w:uiPriority w:val="39"/>
    <w:unhideWhenUsed/>
    <w:rsid w:val="002D3258"/>
    <w:pPr>
      <w:ind w:leftChars="1200" w:left="2520"/>
    </w:pPr>
    <w:rPr>
      <w:rFonts w:ascii="Calibri" w:hAnsi="Calibri" w:cs="Times New Roman"/>
    </w:rPr>
  </w:style>
  <w:style w:type="paragraph" w:customStyle="1" w:styleId="82">
    <w:name w:val="目录 82"/>
    <w:basedOn w:val="a"/>
    <w:next w:val="a"/>
    <w:uiPriority w:val="39"/>
    <w:unhideWhenUsed/>
    <w:rsid w:val="002D3258"/>
    <w:pPr>
      <w:ind w:leftChars="1400" w:left="2940"/>
    </w:pPr>
    <w:rPr>
      <w:rFonts w:ascii="Calibri" w:hAnsi="Calibri" w:cs="Times New Roman"/>
    </w:rPr>
  </w:style>
  <w:style w:type="paragraph" w:customStyle="1" w:styleId="92">
    <w:name w:val="目录 92"/>
    <w:basedOn w:val="a"/>
    <w:next w:val="a"/>
    <w:uiPriority w:val="39"/>
    <w:unhideWhenUsed/>
    <w:rsid w:val="002D3258"/>
    <w:pPr>
      <w:ind w:leftChars="1600" w:left="3360"/>
    </w:pPr>
    <w:rPr>
      <w:rFonts w:ascii="Calibri" w:hAnsi="Calibri" w:cs="Times New Roman"/>
    </w:rPr>
  </w:style>
  <w:style w:type="character" w:customStyle="1" w:styleId="33">
    <w:name w:val="不明显强调3"/>
    <w:basedOn w:val="a0"/>
    <w:uiPriority w:val="19"/>
    <w:qFormat/>
    <w:rsid w:val="002D3258"/>
    <w:rPr>
      <w:i/>
      <w:iCs/>
      <w:color w:val="7F7F7F" w:themeColor="text1" w:themeTint="80"/>
    </w:rPr>
  </w:style>
  <w:style w:type="character" w:customStyle="1" w:styleId="34">
    <w:name w:val="书籍标题3"/>
    <w:basedOn w:val="a0"/>
    <w:uiPriority w:val="33"/>
    <w:qFormat/>
    <w:rsid w:val="002D3258"/>
    <w:rPr>
      <w:b/>
      <w:bCs/>
      <w:smallCaps/>
      <w:spacing w:val="5"/>
    </w:rPr>
  </w:style>
  <w:style w:type="paragraph" w:customStyle="1" w:styleId="TOC30">
    <w:name w:val="TOC 标题3"/>
    <w:basedOn w:val="1"/>
    <w:next w:val="a"/>
    <w:uiPriority w:val="39"/>
    <w:unhideWhenUsed/>
    <w:qFormat/>
    <w:rsid w:val="002D3258"/>
    <w:pPr>
      <w:keepLines/>
      <w:autoSpaceDE/>
      <w:autoSpaceDN/>
      <w:adjustRightInd/>
      <w:snapToGrid/>
      <w:spacing w:before="340" w:after="330" w:line="578" w:lineRule="auto"/>
      <w:outlineLvl w:val="9"/>
    </w:pPr>
    <w:rPr>
      <w:rFonts w:ascii="Times New Roman" w:hAnsi="Times New Roman" w:cs="Times New Roman"/>
      <w:spacing w:val="0"/>
      <w:kern w:val="44"/>
      <w:sz w:val="44"/>
      <w:szCs w:val="44"/>
    </w:rPr>
  </w:style>
  <w:style w:type="character" w:customStyle="1" w:styleId="Char1">
    <w:name w:val="文档结构图 Char1"/>
    <w:basedOn w:val="a0"/>
    <w:uiPriority w:val="99"/>
    <w:semiHidden/>
    <w:rsid w:val="002D3258"/>
    <w:rPr>
      <w:rFonts w:ascii="宋体" w:hAnsi="Times New Roman"/>
      <w:kern w:val="2"/>
      <w:sz w:val="18"/>
      <w:szCs w:val="18"/>
    </w:rPr>
  </w:style>
  <w:style w:type="paragraph" w:customStyle="1" w:styleId="35">
    <w:name w:val="修订3"/>
    <w:uiPriority w:val="99"/>
    <w:semiHidden/>
    <w:rsid w:val="002D3258"/>
    <w:rPr>
      <w:rFonts w:ascii="Calibri" w:eastAsia="宋体" w:hAnsi="Calibri" w:cs="Times New Roman"/>
    </w:rPr>
  </w:style>
  <w:style w:type="character" w:styleId="afff0">
    <w:name w:val="FollowedHyperlink"/>
    <w:basedOn w:val="a0"/>
    <w:uiPriority w:val="99"/>
    <w:semiHidden/>
    <w:unhideWhenUsed/>
    <w:rsid w:val="002D3258"/>
    <w:rPr>
      <w:color w:val="800080"/>
      <w:u w:val="single"/>
    </w:rPr>
  </w:style>
  <w:style w:type="paragraph" w:customStyle="1" w:styleId="msonormal0">
    <w:name w:val="msonormal"/>
    <w:basedOn w:val="a"/>
    <w:rsid w:val="002D3258"/>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rsid w:val="002D3258"/>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2D32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18"/>
      <w:szCs w:val="18"/>
    </w:rPr>
  </w:style>
  <w:style w:type="paragraph" w:customStyle="1" w:styleId="xl64">
    <w:name w:val="xl64"/>
    <w:basedOn w:val="a"/>
    <w:rsid w:val="002D325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微软雅黑" w:eastAsia="微软雅黑" w:hAnsi="微软雅黑" w:cs="宋体"/>
      <w:kern w:val="0"/>
      <w:sz w:val="18"/>
      <w:szCs w:val="18"/>
    </w:rPr>
  </w:style>
  <w:style w:type="paragraph" w:customStyle="1" w:styleId="xl65">
    <w:name w:val="xl65"/>
    <w:basedOn w:val="a"/>
    <w:rsid w:val="002D3258"/>
    <w:pPr>
      <w:widowControl/>
      <w:spacing w:before="100" w:beforeAutospacing="1" w:after="100" w:afterAutospacing="1"/>
      <w:jc w:val="left"/>
    </w:pPr>
    <w:rPr>
      <w:rFonts w:ascii="微软雅黑" w:eastAsia="微软雅黑" w:hAnsi="微软雅黑" w:cs="宋体"/>
      <w:b/>
      <w:bCs/>
      <w:kern w:val="0"/>
      <w:sz w:val="18"/>
      <w:szCs w:val="18"/>
    </w:rPr>
  </w:style>
  <w:style w:type="paragraph" w:customStyle="1" w:styleId="xl66">
    <w:name w:val="xl66"/>
    <w:basedOn w:val="a"/>
    <w:rsid w:val="002D3258"/>
    <w:pPr>
      <w:widowControl/>
      <w:spacing w:before="100" w:beforeAutospacing="1" w:after="100" w:afterAutospacing="1"/>
      <w:jc w:val="left"/>
    </w:pPr>
    <w:rPr>
      <w:rFonts w:ascii="微软雅黑" w:eastAsia="微软雅黑" w:hAnsi="微软雅黑" w:cs="宋体"/>
      <w:kern w:val="0"/>
      <w:sz w:val="18"/>
      <w:szCs w:val="18"/>
    </w:rPr>
  </w:style>
  <w:style w:type="paragraph" w:customStyle="1" w:styleId="xl67">
    <w:name w:val="xl67"/>
    <w:basedOn w:val="a"/>
    <w:rsid w:val="002D32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xl68">
    <w:name w:val="xl68"/>
    <w:basedOn w:val="a"/>
    <w:rsid w:val="002D325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微软雅黑" w:eastAsia="微软雅黑" w:hAnsi="微软雅黑" w:cs="宋体"/>
      <w:kern w:val="0"/>
      <w:sz w:val="18"/>
      <w:szCs w:val="18"/>
    </w:rPr>
  </w:style>
  <w:style w:type="paragraph" w:customStyle="1" w:styleId="xl69">
    <w:name w:val="xl69"/>
    <w:basedOn w:val="a"/>
    <w:rsid w:val="002D325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微软雅黑" w:eastAsia="微软雅黑" w:hAnsi="微软雅黑" w:cs="宋体"/>
      <w:kern w:val="0"/>
      <w:sz w:val="18"/>
      <w:szCs w:val="18"/>
    </w:rPr>
  </w:style>
  <w:style w:type="paragraph" w:customStyle="1" w:styleId="xl70">
    <w:name w:val="xl70"/>
    <w:basedOn w:val="a"/>
    <w:rsid w:val="002D32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18"/>
      <w:szCs w:val="18"/>
    </w:rPr>
  </w:style>
  <w:style w:type="paragraph" w:customStyle="1" w:styleId="xl71">
    <w:name w:val="xl71"/>
    <w:basedOn w:val="a"/>
    <w:rsid w:val="002D32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xl72">
    <w:name w:val="xl72"/>
    <w:basedOn w:val="a"/>
    <w:rsid w:val="002D32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xl73">
    <w:name w:val="xl73"/>
    <w:basedOn w:val="a"/>
    <w:rsid w:val="002D32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xl74">
    <w:name w:val="xl74"/>
    <w:basedOn w:val="a"/>
    <w:rsid w:val="002D3258"/>
    <w:pPr>
      <w:widowControl/>
      <w:pBdr>
        <w:top w:val="single" w:sz="4" w:space="0" w:color="auto"/>
        <w:left w:val="single" w:sz="4" w:space="0" w:color="auto"/>
        <w:bottom w:val="single" w:sz="4" w:space="0" w:color="auto"/>
      </w:pBdr>
      <w:spacing w:before="100" w:beforeAutospacing="1" w:after="100" w:afterAutospacing="1"/>
      <w:jc w:val="center"/>
    </w:pPr>
    <w:rPr>
      <w:rFonts w:ascii="微软雅黑" w:eastAsia="微软雅黑" w:hAnsi="微软雅黑" w:cs="宋体"/>
      <w:b/>
      <w:bCs/>
      <w:kern w:val="0"/>
      <w:sz w:val="18"/>
      <w:szCs w:val="18"/>
    </w:rPr>
  </w:style>
  <w:style w:type="paragraph" w:customStyle="1" w:styleId="xl75">
    <w:name w:val="xl75"/>
    <w:basedOn w:val="a"/>
    <w:rsid w:val="002D3258"/>
    <w:pPr>
      <w:widowControl/>
      <w:pBdr>
        <w:top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18"/>
      <w:szCs w:val="18"/>
    </w:rPr>
  </w:style>
  <w:style w:type="paragraph" w:customStyle="1" w:styleId="xl76">
    <w:name w:val="xl76"/>
    <w:basedOn w:val="a"/>
    <w:rsid w:val="002D32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xl77">
    <w:name w:val="xl77"/>
    <w:basedOn w:val="a"/>
    <w:rsid w:val="002D32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xl78">
    <w:name w:val="xl78"/>
    <w:basedOn w:val="a"/>
    <w:rsid w:val="002D3258"/>
    <w:pPr>
      <w:widowControl/>
      <w:pBdr>
        <w:top w:val="single" w:sz="4" w:space="0" w:color="auto"/>
        <w:left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xl79">
    <w:name w:val="xl79"/>
    <w:basedOn w:val="a"/>
    <w:rsid w:val="002D3258"/>
    <w:pPr>
      <w:widowControl/>
      <w:pBdr>
        <w:left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xl80">
    <w:name w:val="xl80"/>
    <w:basedOn w:val="a"/>
    <w:rsid w:val="002D3258"/>
    <w:pPr>
      <w:widowControl/>
      <w:pBdr>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xl81">
    <w:name w:val="xl81"/>
    <w:basedOn w:val="a"/>
    <w:rsid w:val="002D3258"/>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left"/>
    </w:pPr>
    <w:rPr>
      <w:rFonts w:ascii="微软雅黑" w:eastAsia="微软雅黑" w:hAnsi="微软雅黑" w:cs="宋体"/>
      <w:kern w:val="0"/>
      <w:sz w:val="18"/>
      <w:szCs w:val="18"/>
    </w:rPr>
  </w:style>
  <w:style w:type="paragraph" w:styleId="TOC">
    <w:name w:val="TOC Heading"/>
    <w:basedOn w:val="1"/>
    <w:next w:val="a"/>
    <w:uiPriority w:val="39"/>
    <w:unhideWhenUsed/>
    <w:qFormat/>
    <w:rsid w:val="002D3258"/>
    <w:pPr>
      <w:keepLines/>
      <w:widowControl/>
      <w:autoSpaceDE/>
      <w:autoSpaceDN/>
      <w:adjustRightInd/>
      <w:snapToGrid/>
      <w:spacing w:before="480" w:after="0" w:line="276" w:lineRule="auto"/>
      <w:jc w:val="left"/>
      <w:outlineLvl w:val="9"/>
    </w:pPr>
    <w:rPr>
      <w:rFonts w:asciiTheme="majorHAnsi" w:eastAsiaTheme="majorEastAsia" w:hAnsiTheme="majorHAnsi" w:cstheme="majorBidi"/>
      <w:color w:val="2F5496" w:themeColor="accent1" w:themeShade="BF"/>
      <w:spacing w:val="0"/>
      <w:kern w:val="0"/>
      <w:sz w:val="28"/>
      <w:szCs w:val="28"/>
    </w:rPr>
  </w:style>
  <w:style w:type="paragraph" w:styleId="afff1">
    <w:name w:val="Revision"/>
    <w:hidden/>
    <w:uiPriority w:val="99"/>
    <w:semiHidden/>
    <w:rsid w:val="002D3258"/>
    <w:rPr>
      <w:rFonts w:ascii="Times New Roman" w:eastAsia="宋体" w:hAnsi="Times New Roman" w:cs="Times New Roman"/>
      <w:szCs w:val="24"/>
    </w:rPr>
  </w:style>
  <w:style w:type="table" w:customStyle="1" w:styleId="TableNormal1">
    <w:name w:val="Table Normal1"/>
    <w:uiPriority w:val="2"/>
    <w:semiHidden/>
    <w:unhideWhenUsed/>
    <w:qFormat/>
    <w:rsid w:val="00FA0363"/>
    <w:rPr>
      <w:kern w:val="0"/>
      <w:sz w:val="20"/>
      <w:szCs w:val="20"/>
    </w:rPr>
    <w:tblPr>
      <w:tblCellMar>
        <w:top w:w="0" w:type="dxa"/>
        <w:left w:w="0" w:type="dxa"/>
        <w:bottom w:w="0" w:type="dxa"/>
        <w:right w:w="0" w:type="dxa"/>
      </w:tblCellMar>
    </w:tblPr>
  </w:style>
  <w:style w:type="paragraph" w:customStyle="1" w:styleId="63">
    <w:name w:val="段前6磅标题"/>
    <w:basedOn w:val="a"/>
    <w:link w:val="64"/>
    <w:rsid w:val="00FA0363"/>
    <w:pPr>
      <w:autoSpaceDE w:val="0"/>
      <w:autoSpaceDN w:val="0"/>
      <w:spacing w:before="120"/>
      <w:jc w:val="center"/>
    </w:pPr>
    <w:rPr>
      <w:rFonts w:ascii="宋体" w:hAnsi="宋体" w:cs="宋体"/>
      <w:b/>
      <w:bCs/>
      <w:kern w:val="0"/>
      <w:sz w:val="24"/>
      <w:szCs w:val="24"/>
      <w:lang w:val="zh-CN" w:bidi="zh-CN"/>
    </w:rPr>
  </w:style>
  <w:style w:type="character" w:customStyle="1" w:styleId="64">
    <w:name w:val="段前6磅标题 字符"/>
    <w:basedOn w:val="a0"/>
    <w:link w:val="63"/>
    <w:qFormat/>
    <w:rsid w:val="00FA0363"/>
    <w:rPr>
      <w:rFonts w:ascii="宋体" w:eastAsia="宋体" w:hAnsi="宋体" w:cs="宋体"/>
      <w:b/>
      <w:bCs/>
      <w:kern w:val="0"/>
      <w:sz w:val="24"/>
      <w:szCs w:val="24"/>
      <w:lang w:val="zh-CN" w:bidi="zh-CN"/>
    </w:rPr>
  </w:style>
  <w:style w:type="table" w:customStyle="1" w:styleId="TableNormal2">
    <w:name w:val="Table Normal2"/>
    <w:uiPriority w:val="2"/>
    <w:semiHidden/>
    <w:unhideWhenUsed/>
    <w:qFormat/>
    <w:rsid w:val="00FA0363"/>
    <w:rPr>
      <w:kern w:val="0"/>
      <w:sz w:val="20"/>
      <w:szCs w:val="20"/>
    </w:rPr>
    <w:tblPr>
      <w:tblCellMar>
        <w:top w:w="0" w:type="dxa"/>
        <w:left w:w="0" w:type="dxa"/>
        <w:bottom w:w="0" w:type="dxa"/>
        <w:right w:w="0" w:type="dxa"/>
      </w:tblCellMar>
    </w:tblPr>
  </w:style>
  <w:style w:type="table" w:customStyle="1" w:styleId="TableNormal3">
    <w:name w:val="Table Normal3"/>
    <w:uiPriority w:val="2"/>
    <w:semiHidden/>
    <w:unhideWhenUsed/>
    <w:qFormat/>
    <w:rsid w:val="00FA0363"/>
    <w:rPr>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8290">
      <w:bodyDiv w:val="1"/>
      <w:marLeft w:val="0"/>
      <w:marRight w:val="0"/>
      <w:marTop w:val="0"/>
      <w:marBottom w:val="0"/>
      <w:divBdr>
        <w:top w:val="none" w:sz="0" w:space="0" w:color="auto"/>
        <w:left w:val="none" w:sz="0" w:space="0" w:color="auto"/>
        <w:bottom w:val="none" w:sz="0" w:space="0" w:color="auto"/>
        <w:right w:val="none" w:sz="0" w:space="0" w:color="auto"/>
      </w:divBdr>
    </w:div>
    <w:div w:id="91050989">
      <w:bodyDiv w:val="1"/>
      <w:marLeft w:val="0"/>
      <w:marRight w:val="0"/>
      <w:marTop w:val="0"/>
      <w:marBottom w:val="0"/>
      <w:divBdr>
        <w:top w:val="none" w:sz="0" w:space="0" w:color="auto"/>
        <w:left w:val="none" w:sz="0" w:space="0" w:color="auto"/>
        <w:bottom w:val="none" w:sz="0" w:space="0" w:color="auto"/>
        <w:right w:val="none" w:sz="0" w:space="0" w:color="auto"/>
      </w:divBdr>
    </w:div>
    <w:div w:id="94861483">
      <w:bodyDiv w:val="1"/>
      <w:marLeft w:val="0"/>
      <w:marRight w:val="0"/>
      <w:marTop w:val="0"/>
      <w:marBottom w:val="0"/>
      <w:divBdr>
        <w:top w:val="none" w:sz="0" w:space="0" w:color="auto"/>
        <w:left w:val="none" w:sz="0" w:space="0" w:color="auto"/>
        <w:bottom w:val="none" w:sz="0" w:space="0" w:color="auto"/>
        <w:right w:val="none" w:sz="0" w:space="0" w:color="auto"/>
      </w:divBdr>
    </w:div>
    <w:div w:id="348146386">
      <w:bodyDiv w:val="1"/>
      <w:marLeft w:val="0"/>
      <w:marRight w:val="0"/>
      <w:marTop w:val="0"/>
      <w:marBottom w:val="0"/>
      <w:divBdr>
        <w:top w:val="none" w:sz="0" w:space="0" w:color="auto"/>
        <w:left w:val="none" w:sz="0" w:space="0" w:color="auto"/>
        <w:bottom w:val="none" w:sz="0" w:space="0" w:color="auto"/>
        <w:right w:val="none" w:sz="0" w:space="0" w:color="auto"/>
      </w:divBdr>
    </w:div>
    <w:div w:id="349528349">
      <w:bodyDiv w:val="1"/>
      <w:marLeft w:val="0"/>
      <w:marRight w:val="0"/>
      <w:marTop w:val="0"/>
      <w:marBottom w:val="0"/>
      <w:divBdr>
        <w:top w:val="none" w:sz="0" w:space="0" w:color="auto"/>
        <w:left w:val="none" w:sz="0" w:space="0" w:color="auto"/>
        <w:bottom w:val="none" w:sz="0" w:space="0" w:color="auto"/>
        <w:right w:val="none" w:sz="0" w:space="0" w:color="auto"/>
      </w:divBdr>
      <w:divsChild>
        <w:div w:id="245573671">
          <w:marLeft w:val="0"/>
          <w:marRight w:val="0"/>
          <w:marTop w:val="0"/>
          <w:marBottom w:val="0"/>
          <w:divBdr>
            <w:top w:val="none" w:sz="0" w:space="0" w:color="auto"/>
            <w:left w:val="none" w:sz="0" w:space="0" w:color="auto"/>
            <w:bottom w:val="none" w:sz="0" w:space="0" w:color="auto"/>
            <w:right w:val="none" w:sz="0" w:space="0" w:color="auto"/>
          </w:divBdr>
        </w:div>
        <w:div w:id="1658997579">
          <w:marLeft w:val="0"/>
          <w:marRight w:val="0"/>
          <w:marTop w:val="0"/>
          <w:marBottom w:val="0"/>
          <w:divBdr>
            <w:top w:val="none" w:sz="0" w:space="0" w:color="auto"/>
            <w:left w:val="none" w:sz="0" w:space="0" w:color="auto"/>
            <w:bottom w:val="none" w:sz="0" w:space="0" w:color="auto"/>
            <w:right w:val="none" w:sz="0" w:space="0" w:color="auto"/>
          </w:divBdr>
        </w:div>
        <w:div w:id="334770123">
          <w:marLeft w:val="0"/>
          <w:marRight w:val="0"/>
          <w:marTop w:val="0"/>
          <w:marBottom w:val="0"/>
          <w:divBdr>
            <w:top w:val="none" w:sz="0" w:space="0" w:color="auto"/>
            <w:left w:val="none" w:sz="0" w:space="0" w:color="auto"/>
            <w:bottom w:val="none" w:sz="0" w:space="0" w:color="auto"/>
            <w:right w:val="none" w:sz="0" w:space="0" w:color="auto"/>
          </w:divBdr>
        </w:div>
        <w:div w:id="34163644">
          <w:marLeft w:val="0"/>
          <w:marRight w:val="0"/>
          <w:marTop w:val="0"/>
          <w:marBottom w:val="0"/>
          <w:divBdr>
            <w:top w:val="none" w:sz="0" w:space="0" w:color="auto"/>
            <w:left w:val="none" w:sz="0" w:space="0" w:color="auto"/>
            <w:bottom w:val="none" w:sz="0" w:space="0" w:color="auto"/>
            <w:right w:val="none" w:sz="0" w:space="0" w:color="auto"/>
          </w:divBdr>
        </w:div>
        <w:div w:id="38286425">
          <w:marLeft w:val="0"/>
          <w:marRight w:val="0"/>
          <w:marTop w:val="0"/>
          <w:marBottom w:val="0"/>
          <w:divBdr>
            <w:top w:val="none" w:sz="0" w:space="0" w:color="auto"/>
            <w:left w:val="none" w:sz="0" w:space="0" w:color="auto"/>
            <w:bottom w:val="none" w:sz="0" w:space="0" w:color="auto"/>
            <w:right w:val="none" w:sz="0" w:space="0" w:color="auto"/>
          </w:divBdr>
        </w:div>
        <w:div w:id="1199317625">
          <w:marLeft w:val="0"/>
          <w:marRight w:val="0"/>
          <w:marTop w:val="0"/>
          <w:marBottom w:val="0"/>
          <w:divBdr>
            <w:top w:val="none" w:sz="0" w:space="0" w:color="auto"/>
            <w:left w:val="none" w:sz="0" w:space="0" w:color="auto"/>
            <w:bottom w:val="none" w:sz="0" w:space="0" w:color="auto"/>
            <w:right w:val="none" w:sz="0" w:space="0" w:color="auto"/>
          </w:divBdr>
        </w:div>
        <w:div w:id="400523113">
          <w:marLeft w:val="0"/>
          <w:marRight w:val="0"/>
          <w:marTop w:val="0"/>
          <w:marBottom w:val="0"/>
          <w:divBdr>
            <w:top w:val="none" w:sz="0" w:space="0" w:color="auto"/>
            <w:left w:val="none" w:sz="0" w:space="0" w:color="auto"/>
            <w:bottom w:val="none" w:sz="0" w:space="0" w:color="auto"/>
            <w:right w:val="none" w:sz="0" w:space="0" w:color="auto"/>
          </w:divBdr>
        </w:div>
        <w:div w:id="338653506">
          <w:marLeft w:val="0"/>
          <w:marRight w:val="0"/>
          <w:marTop w:val="0"/>
          <w:marBottom w:val="0"/>
          <w:divBdr>
            <w:top w:val="none" w:sz="0" w:space="0" w:color="auto"/>
            <w:left w:val="none" w:sz="0" w:space="0" w:color="auto"/>
            <w:bottom w:val="none" w:sz="0" w:space="0" w:color="auto"/>
            <w:right w:val="none" w:sz="0" w:space="0" w:color="auto"/>
          </w:divBdr>
        </w:div>
        <w:div w:id="762070901">
          <w:marLeft w:val="0"/>
          <w:marRight w:val="0"/>
          <w:marTop w:val="0"/>
          <w:marBottom w:val="0"/>
          <w:divBdr>
            <w:top w:val="none" w:sz="0" w:space="0" w:color="auto"/>
            <w:left w:val="none" w:sz="0" w:space="0" w:color="auto"/>
            <w:bottom w:val="none" w:sz="0" w:space="0" w:color="auto"/>
            <w:right w:val="none" w:sz="0" w:space="0" w:color="auto"/>
          </w:divBdr>
        </w:div>
        <w:div w:id="1582568947">
          <w:marLeft w:val="0"/>
          <w:marRight w:val="0"/>
          <w:marTop w:val="0"/>
          <w:marBottom w:val="0"/>
          <w:divBdr>
            <w:top w:val="none" w:sz="0" w:space="0" w:color="auto"/>
            <w:left w:val="none" w:sz="0" w:space="0" w:color="auto"/>
            <w:bottom w:val="none" w:sz="0" w:space="0" w:color="auto"/>
            <w:right w:val="none" w:sz="0" w:space="0" w:color="auto"/>
          </w:divBdr>
        </w:div>
        <w:div w:id="138349016">
          <w:marLeft w:val="0"/>
          <w:marRight w:val="0"/>
          <w:marTop w:val="0"/>
          <w:marBottom w:val="0"/>
          <w:divBdr>
            <w:top w:val="none" w:sz="0" w:space="0" w:color="auto"/>
            <w:left w:val="none" w:sz="0" w:space="0" w:color="auto"/>
            <w:bottom w:val="none" w:sz="0" w:space="0" w:color="auto"/>
            <w:right w:val="none" w:sz="0" w:space="0" w:color="auto"/>
          </w:divBdr>
        </w:div>
        <w:div w:id="979533781">
          <w:marLeft w:val="0"/>
          <w:marRight w:val="0"/>
          <w:marTop w:val="0"/>
          <w:marBottom w:val="0"/>
          <w:divBdr>
            <w:top w:val="none" w:sz="0" w:space="0" w:color="auto"/>
            <w:left w:val="none" w:sz="0" w:space="0" w:color="auto"/>
            <w:bottom w:val="none" w:sz="0" w:space="0" w:color="auto"/>
            <w:right w:val="none" w:sz="0" w:space="0" w:color="auto"/>
          </w:divBdr>
        </w:div>
        <w:div w:id="1328360713">
          <w:marLeft w:val="0"/>
          <w:marRight w:val="0"/>
          <w:marTop w:val="0"/>
          <w:marBottom w:val="0"/>
          <w:divBdr>
            <w:top w:val="none" w:sz="0" w:space="0" w:color="auto"/>
            <w:left w:val="none" w:sz="0" w:space="0" w:color="auto"/>
            <w:bottom w:val="none" w:sz="0" w:space="0" w:color="auto"/>
            <w:right w:val="none" w:sz="0" w:space="0" w:color="auto"/>
          </w:divBdr>
        </w:div>
        <w:div w:id="1121344576">
          <w:marLeft w:val="0"/>
          <w:marRight w:val="0"/>
          <w:marTop w:val="0"/>
          <w:marBottom w:val="0"/>
          <w:divBdr>
            <w:top w:val="none" w:sz="0" w:space="0" w:color="auto"/>
            <w:left w:val="none" w:sz="0" w:space="0" w:color="auto"/>
            <w:bottom w:val="none" w:sz="0" w:space="0" w:color="auto"/>
            <w:right w:val="none" w:sz="0" w:space="0" w:color="auto"/>
          </w:divBdr>
        </w:div>
        <w:div w:id="768500474">
          <w:marLeft w:val="0"/>
          <w:marRight w:val="0"/>
          <w:marTop w:val="0"/>
          <w:marBottom w:val="0"/>
          <w:divBdr>
            <w:top w:val="none" w:sz="0" w:space="0" w:color="auto"/>
            <w:left w:val="none" w:sz="0" w:space="0" w:color="auto"/>
            <w:bottom w:val="none" w:sz="0" w:space="0" w:color="auto"/>
            <w:right w:val="none" w:sz="0" w:space="0" w:color="auto"/>
          </w:divBdr>
        </w:div>
        <w:div w:id="599920344">
          <w:marLeft w:val="0"/>
          <w:marRight w:val="0"/>
          <w:marTop w:val="0"/>
          <w:marBottom w:val="0"/>
          <w:divBdr>
            <w:top w:val="none" w:sz="0" w:space="0" w:color="auto"/>
            <w:left w:val="none" w:sz="0" w:space="0" w:color="auto"/>
            <w:bottom w:val="none" w:sz="0" w:space="0" w:color="auto"/>
            <w:right w:val="none" w:sz="0" w:space="0" w:color="auto"/>
          </w:divBdr>
        </w:div>
        <w:div w:id="84231157">
          <w:marLeft w:val="0"/>
          <w:marRight w:val="0"/>
          <w:marTop w:val="0"/>
          <w:marBottom w:val="0"/>
          <w:divBdr>
            <w:top w:val="none" w:sz="0" w:space="0" w:color="auto"/>
            <w:left w:val="none" w:sz="0" w:space="0" w:color="auto"/>
            <w:bottom w:val="none" w:sz="0" w:space="0" w:color="auto"/>
            <w:right w:val="none" w:sz="0" w:space="0" w:color="auto"/>
          </w:divBdr>
        </w:div>
        <w:div w:id="611205716">
          <w:marLeft w:val="0"/>
          <w:marRight w:val="0"/>
          <w:marTop w:val="0"/>
          <w:marBottom w:val="0"/>
          <w:divBdr>
            <w:top w:val="none" w:sz="0" w:space="0" w:color="auto"/>
            <w:left w:val="none" w:sz="0" w:space="0" w:color="auto"/>
            <w:bottom w:val="none" w:sz="0" w:space="0" w:color="auto"/>
            <w:right w:val="none" w:sz="0" w:space="0" w:color="auto"/>
          </w:divBdr>
        </w:div>
        <w:div w:id="581178388">
          <w:marLeft w:val="0"/>
          <w:marRight w:val="0"/>
          <w:marTop w:val="0"/>
          <w:marBottom w:val="0"/>
          <w:divBdr>
            <w:top w:val="none" w:sz="0" w:space="0" w:color="auto"/>
            <w:left w:val="none" w:sz="0" w:space="0" w:color="auto"/>
            <w:bottom w:val="none" w:sz="0" w:space="0" w:color="auto"/>
            <w:right w:val="none" w:sz="0" w:space="0" w:color="auto"/>
          </w:divBdr>
        </w:div>
        <w:div w:id="1178233895">
          <w:marLeft w:val="0"/>
          <w:marRight w:val="0"/>
          <w:marTop w:val="0"/>
          <w:marBottom w:val="0"/>
          <w:divBdr>
            <w:top w:val="none" w:sz="0" w:space="0" w:color="auto"/>
            <w:left w:val="none" w:sz="0" w:space="0" w:color="auto"/>
            <w:bottom w:val="none" w:sz="0" w:space="0" w:color="auto"/>
            <w:right w:val="none" w:sz="0" w:space="0" w:color="auto"/>
          </w:divBdr>
        </w:div>
        <w:div w:id="1242641328">
          <w:marLeft w:val="0"/>
          <w:marRight w:val="0"/>
          <w:marTop w:val="0"/>
          <w:marBottom w:val="0"/>
          <w:divBdr>
            <w:top w:val="none" w:sz="0" w:space="0" w:color="auto"/>
            <w:left w:val="none" w:sz="0" w:space="0" w:color="auto"/>
            <w:bottom w:val="none" w:sz="0" w:space="0" w:color="auto"/>
            <w:right w:val="none" w:sz="0" w:space="0" w:color="auto"/>
          </w:divBdr>
        </w:div>
        <w:div w:id="2059623014">
          <w:marLeft w:val="0"/>
          <w:marRight w:val="0"/>
          <w:marTop w:val="0"/>
          <w:marBottom w:val="0"/>
          <w:divBdr>
            <w:top w:val="none" w:sz="0" w:space="0" w:color="auto"/>
            <w:left w:val="none" w:sz="0" w:space="0" w:color="auto"/>
            <w:bottom w:val="none" w:sz="0" w:space="0" w:color="auto"/>
            <w:right w:val="none" w:sz="0" w:space="0" w:color="auto"/>
          </w:divBdr>
        </w:div>
      </w:divsChild>
    </w:div>
    <w:div w:id="454325812">
      <w:bodyDiv w:val="1"/>
      <w:marLeft w:val="0"/>
      <w:marRight w:val="0"/>
      <w:marTop w:val="0"/>
      <w:marBottom w:val="0"/>
      <w:divBdr>
        <w:top w:val="none" w:sz="0" w:space="0" w:color="auto"/>
        <w:left w:val="none" w:sz="0" w:space="0" w:color="auto"/>
        <w:bottom w:val="none" w:sz="0" w:space="0" w:color="auto"/>
        <w:right w:val="none" w:sz="0" w:space="0" w:color="auto"/>
      </w:divBdr>
    </w:div>
    <w:div w:id="557671326">
      <w:bodyDiv w:val="1"/>
      <w:marLeft w:val="0"/>
      <w:marRight w:val="0"/>
      <w:marTop w:val="0"/>
      <w:marBottom w:val="0"/>
      <w:divBdr>
        <w:top w:val="none" w:sz="0" w:space="0" w:color="auto"/>
        <w:left w:val="none" w:sz="0" w:space="0" w:color="auto"/>
        <w:bottom w:val="none" w:sz="0" w:space="0" w:color="auto"/>
        <w:right w:val="none" w:sz="0" w:space="0" w:color="auto"/>
      </w:divBdr>
    </w:div>
    <w:div w:id="746651738">
      <w:bodyDiv w:val="1"/>
      <w:marLeft w:val="0"/>
      <w:marRight w:val="0"/>
      <w:marTop w:val="0"/>
      <w:marBottom w:val="0"/>
      <w:divBdr>
        <w:top w:val="none" w:sz="0" w:space="0" w:color="auto"/>
        <w:left w:val="none" w:sz="0" w:space="0" w:color="auto"/>
        <w:bottom w:val="none" w:sz="0" w:space="0" w:color="auto"/>
        <w:right w:val="none" w:sz="0" w:space="0" w:color="auto"/>
      </w:divBdr>
    </w:div>
    <w:div w:id="782261098">
      <w:bodyDiv w:val="1"/>
      <w:marLeft w:val="0"/>
      <w:marRight w:val="0"/>
      <w:marTop w:val="0"/>
      <w:marBottom w:val="0"/>
      <w:divBdr>
        <w:top w:val="none" w:sz="0" w:space="0" w:color="auto"/>
        <w:left w:val="none" w:sz="0" w:space="0" w:color="auto"/>
        <w:bottom w:val="none" w:sz="0" w:space="0" w:color="auto"/>
        <w:right w:val="none" w:sz="0" w:space="0" w:color="auto"/>
      </w:divBdr>
    </w:div>
    <w:div w:id="818499497">
      <w:bodyDiv w:val="1"/>
      <w:marLeft w:val="0"/>
      <w:marRight w:val="0"/>
      <w:marTop w:val="0"/>
      <w:marBottom w:val="0"/>
      <w:divBdr>
        <w:top w:val="none" w:sz="0" w:space="0" w:color="auto"/>
        <w:left w:val="none" w:sz="0" w:space="0" w:color="auto"/>
        <w:bottom w:val="none" w:sz="0" w:space="0" w:color="auto"/>
        <w:right w:val="none" w:sz="0" w:space="0" w:color="auto"/>
      </w:divBdr>
    </w:div>
    <w:div w:id="1050959753">
      <w:bodyDiv w:val="1"/>
      <w:marLeft w:val="0"/>
      <w:marRight w:val="0"/>
      <w:marTop w:val="0"/>
      <w:marBottom w:val="0"/>
      <w:divBdr>
        <w:top w:val="none" w:sz="0" w:space="0" w:color="auto"/>
        <w:left w:val="none" w:sz="0" w:space="0" w:color="auto"/>
        <w:bottom w:val="none" w:sz="0" w:space="0" w:color="auto"/>
        <w:right w:val="none" w:sz="0" w:space="0" w:color="auto"/>
      </w:divBdr>
    </w:div>
    <w:div w:id="1096515008">
      <w:bodyDiv w:val="1"/>
      <w:marLeft w:val="0"/>
      <w:marRight w:val="0"/>
      <w:marTop w:val="0"/>
      <w:marBottom w:val="0"/>
      <w:divBdr>
        <w:top w:val="none" w:sz="0" w:space="0" w:color="auto"/>
        <w:left w:val="none" w:sz="0" w:space="0" w:color="auto"/>
        <w:bottom w:val="none" w:sz="0" w:space="0" w:color="auto"/>
        <w:right w:val="none" w:sz="0" w:space="0" w:color="auto"/>
      </w:divBdr>
    </w:div>
    <w:div w:id="1125932509">
      <w:bodyDiv w:val="1"/>
      <w:marLeft w:val="0"/>
      <w:marRight w:val="0"/>
      <w:marTop w:val="0"/>
      <w:marBottom w:val="0"/>
      <w:divBdr>
        <w:top w:val="none" w:sz="0" w:space="0" w:color="auto"/>
        <w:left w:val="none" w:sz="0" w:space="0" w:color="auto"/>
        <w:bottom w:val="none" w:sz="0" w:space="0" w:color="auto"/>
        <w:right w:val="none" w:sz="0" w:space="0" w:color="auto"/>
      </w:divBdr>
    </w:div>
    <w:div w:id="1161310374">
      <w:bodyDiv w:val="1"/>
      <w:marLeft w:val="0"/>
      <w:marRight w:val="0"/>
      <w:marTop w:val="0"/>
      <w:marBottom w:val="0"/>
      <w:divBdr>
        <w:top w:val="none" w:sz="0" w:space="0" w:color="auto"/>
        <w:left w:val="none" w:sz="0" w:space="0" w:color="auto"/>
        <w:bottom w:val="none" w:sz="0" w:space="0" w:color="auto"/>
        <w:right w:val="none" w:sz="0" w:space="0" w:color="auto"/>
      </w:divBdr>
    </w:div>
    <w:div w:id="1189828837">
      <w:bodyDiv w:val="1"/>
      <w:marLeft w:val="0"/>
      <w:marRight w:val="0"/>
      <w:marTop w:val="0"/>
      <w:marBottom w:val="0"/>
      <w:divBdr>
        <w:top w:val="none" w:sz="0" w:space="0" w:color="auto"/>
        <w:left w:val="none" w:sz="0" w:space="0" w:color="auto"/>
        <w:bottom w:val="none" w:sz="0" w:space="0" w:color="auto"/>
        <w:right w:val="none" w:sz="0" w:space="0" w:color="auto"/>
      </w:divBdr>
    </w:div>
    <w:div w:id="1201430632">
      <w:bodyDiv w:val="1"/>
      <w:marLeft w:val="0"/>
      <w:marRight w:val="0"/>
      <w:marTop w:val="0"/>
      <w:marBottom w:val="0"/>
      <w:divBdr>
        <w:top w:val="none" w:sz="0" w:space="0" w:color="auto"/>
        <w:left w:val="none" w:sz="0" w:space="0" w:color="auto"/>
        <w:bottom w:val="none" w:sz="0" w:space="0" w:color="auto"/>
        <w:right w:val="none" w:sz="0" w:space="0" w:color="auto"/>
      </w:divBdr>
    </w:div>
    <w:div w:id="1218084194">
      <w:bodyDiv w:val="1"/>
      <w:marLeft w:val="0"/>
      <w:marRight w:val="0"/>
      <w:marTop w:val="0"/>
      <w:marBottom w:val="0"/>
      <w:divBdr>
        <w:top w:val="none" w:sz="0" w:space="0" w:color="auto"/>
        <w:left w:val="none" w:sz="0" w:space="0" w:color="auto"/>
        <w:bottom w:val="none" w:sz="0" w:space="0" w:color="auto"/>
        <w:right w:val="none" w:sz="0" w:space="0" w:color="auto"/>
      </w:divBdr>
    </w:div>
    <w:div w:id="1276787682">
      <w:bodyDiv w:val="1"/>
      <w:marLeft w:val="0"/>
      <w:marRight w:val="0"/>
      <w:marTop w:val="0"/>
      <w:marBottom w:val="0"/>
      <w:divBdr>
        <w:top w:val="none" w:sz="0" w:space="0" w:color="auto"/>
        <w:left w:val="none" w:sz="0" w:space="0" w:color="auto"/>
        <w:bottom w:val="none" w:sz="0" w:space="0" w:color="auto"/>
        <w:right w:val="none" w:sz="0" w:space="0" w:color="auto"/>
      </w:divBdr>
    </w:div>
    <w:div w:id="1319117409">
      <w:bodyDiv w:val="1"/>
      <w:marLeft w:val="0"/>
      <w:marRight w:val="0"/>
      <w:marTop w:val="0"/>
      <w:marBottom w:val="0"/>
      <w:divBdr>
        <w:top w:val="none" w:sz="0" w:space="0" w:color="auto"/>
        <w:left w:val="none" w:sz="0" w:space="0" w:color="auto"/>
        <w:bottom w:val="none" w:sz="0" w:space="0" w:color="auto"/>
        <w:right w:val="none" w:sz="0" w:space="0" w:color="auto"/>
      </w:divBdr>
    </w:div>
    <w:div w:id="1448086347">
      <w:bodyDiv w:val="1"/>
      <w:marLeft w:val="0"/>
      <w:marRight w:val="0"/>
      <w:marTop w:val="0"/>
      <w:marBottom w:val="0"/>
      <w:divBdr>
        <w:top w:val="none" w:sz="0" w:space="0" w:color="auto"/>
        <w:left w:val="none" w:sz="0" w:space="0" w:color="auto"/>
        <w:bottom w:val="none" w:sz="0" w:space="0" w:color="auto"/>
        <w:right w:val="none" w:sz="0" w:space="0" w:color="auto"/>
      </w:divBdr>
    </w:div>
    <w:div w:id="1450511941">
      <w:bodyDiv w:val="1"/>
      <w:marLeft w:val="0"/>
      <w:marRight w:val="0"/>
      <w:marTop w:val="0"/>
      <w:marBottom w:val="0"/>
      <w:divBdr>
        <w:top w:val="none" w:sz="0" w:space="0" w:color="auto"/>
        <w:left w:val="none" w:sz="0" w:space="0" w:color="auto"/>
        <w:bottom w:val="none" w:sz="0" w:space="0" w:color="auto"/>
        <w:right w:val="none" w:sz="0" w:space="0" w:color="auto"/>
      </w:divBdr>
    </w:div>
    <w:div w:id="1739473904">
      <w:bodyDiv w:val="1"/>
      <w:marLeft w:val="0"/>
      <w:marRight w:val="0"/>
      <w:marTop w:val="0"/>
      <w:marBottom w:val="0"/>
      <w:divBdr>
        <w:top w:val="none" w:sz="0" w:space="0" w:color="auto"/>
        <w:left w:val="none" w:sz="0" w:space="0" w:color="auto"/>
        <w:bottom w:val="none" w:sz="0" w:space="0" w:color="auto"/>
        <w:right w:val="none" w:sz="0" w:space="0" w:color="auto"/>
      </w:divBdr>
    </w:div>
    <w:div w:id="1863324447">
      <w:bodyDiv w:val="1"/>
      <w:marLeft w:val="0"/>
      <w:marRight w:val="0"/>
      <w:marTop w:val="0"/>
      <w:marBottom w:val="0"/>
      <w:divBdr>
        <w:top w:val="none" w:sz="0" w:space="0" w:color="auto"/>
        <w:left w:val="none" w:sz="0" w:space="0" w:color="auto"/>
        <w:bottom w:val="none" w:sz="0" w:space="0" w:color="auto"/>
        <w:right w:val="none" w:sz="0" w:space="0" w:color="auto"/>
      </w:divBdr>
    </w:div>
    <w:div w:id="1908564342">
      <w:bodyDiv w:val="1"/>
      <w:marLeft w:val="0"/>
      <w:marRight w:val="0"/>
      <w:marTop w:val="0"/>
      <w:marBottom w:val="0"/>
      <w:divBdr>
        <w:top w:val="none" w:sz="0" w:space="0" w:color="auto"/>
        <w:left w:val="none" w:sz="0" w:space="0" w:color="auto"/>
        <w:bottom w:val="none" w:sz="0" w:space="0" w:color="auto"/>
        <w:right w:val="none" w:sz="0" w:space="0" w:color="auto"/>
      </w:divBdr>
    </w:div>
    <w:div w:id="1968509697">
      <w:bodyDiv w:val="1"/>
      <w:marLeft w:val="0"/>
      <w:marRight w:val="0"/>
      <w:marTop w:val="0"/>
      <w:marBottom w:val="0"/>
      <w:divBdr>
        <w:top w:val="none" w:sz="0" w:space="0" w:color="auto"/>
        <w:left w:val="none" w:sz="0" w:space="0" w:color="auto"/>
        <w:bottom w:val="none" w:sz="0" w:space="0" w:color="auto"/>
        <w:right w:val="none" w:sz="0" w:space="0" w:color="auto"/>
      </w:divBdr>
    </w:div>
    <w:div w:id="2088913034">
      <w:bodyDiv w:val="1"/>
      <w:marLeft w:val="0"/>
      <w:marRight w:val="0"/>
      <w:marTop w:val="0"/>
      <w:marBottom w:val="0"/>
      <w:divBdr>
        <w:top w:val="none" w:sz="0" w:space="0" w:color="auto"/>
        <w:left w:val="none" w:sz="0" w:space="0" w:color="auto"/>
        <w:bottom w:val="none" w:sz="0" w:space="0" w:color="auto"/>
        <w:right w:val="none" w:sz="0" w:space="0" w:color="auto"/>
      </w:divBdr>
    </w:div>
    <w:div w:id="2090075131">
      <w:bodyDiv w:val="1"/>
      <w:marLeft w:val="0"/>
      <w:marRight w:val="0"/>
      <w:marTop w:val="0"/>
      <w:marBottom w:val="0"/>
      <w:divBdr>
        <w:top w:val="none" w:sz="0" w:space="0" w:color="auto"/>
        <w:left w:val="none" w:sz="0" w:space="0" w:color="auto"/>
        <w:bottom w:val="none" w:sz="0" w:space="0" w:color="auto"/>
        <w:right w:val="none" w:sz="0" w:space="0" w:color="auto"/>
      </w:divBdr>
    </w:div>
    <w:div w:id="211486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89.jpeg"/><Relationship Id="rId21" Type="http://schemas.openxmlformats.org/officeDocument/2006/relationships/image" Target="media/image40.jpeg"/><Relationship Id="rId42" Type="http://schemas.openxmlformats.org/officeDocument/2006/relationships/image" Target="media/image23.png"/><Relationship Id="rId47" Type="http://schemas.openxmlformats.org/officeDocument/2006/relationships/image" Target="media/image28.emf"/><Relationship Id="rId63" Type="http://schemas.openxmlformats.org/officeDocument/2006/relationships/image" Target="media/image39.png"/><Relationship Id="rId68" Type="http://schemas.openxmlformats.org/officeDocument/2006/relationships/image" Target="media/image43.wmf"/><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4.png"/><Relationship Id="rId16" Type="http://schemas.openxmlformats.org/officeDocument/2006/relationships/footer" Target="footer4.xml"/><Relationship Id="rId107" Type="http://schemas.openxmlformats.org/officeDocument/2006/relationships/image" Target="media/image79.png"/><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oleObject" Target="embeddings/oleObject4.bin"/><Relationship Id="rId58" Type="http://schemas.openxmlformats.org/officeDocument/2006/relationships/image" Target="media/image35.emf"/><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50.jpeg"/><Relationship Id="rId27" Type="http://schemas.openxmlformats.org/officeDocument/2006/relationships/oleObject" Target="embeddings/oleObject1.bin"/><Relationship Id="rId43" Type="http://schemas.openxmlformats.org/officeDocument/2006/relationships/image" Target="media/image24.png"/><Relationship Id="rId48" Type="http://schemas.openxmlformats.org/officeDocument/2006/relationships/image" Target="media/image29.emf"/><Relationship Id="rId64" Type="http://schemas.openxmlformats.org/officeDocument/2006/relationships/image" Target="media/image40.png"/><Relationship Id="rId69" Type="http://schemas.openxmlformats.org/officeDocument/2006/relationships/oleObject" Target="embeddings/oleObject9.bin"/><Relationship Id="rId113" Type="http://schemas.openxmlformats.org/officeDocument/2006/relationships/image" Target="media/image85.png"/><Relationship Id="rId118" Type="http://schemas.openxmlformats.org/officeDocument/2006/relationships/image" Target="media/image90.jpeg"/><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6.emf"/><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footer" Target="footer7.xml"/><Relationship Id="rId54" Type="http://schemas.openxmlformats.org/officeDocument/2006/relationships/image" Target="media/image33.wmf"/><Relationship Id="rId70" Type="http://schemas.openxmlformats.org/officeDocument/2006/relationships/hyperlink" Target="http://wiki.mbalib.com/wiki/&#231;&#174;&#161;&#231;&#144;&#134;&#232;&#181;&#132;&#230;&#186;&#144;" TargetMode="External"/><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0.wmf"/><Relationship Id="rId49" Type="http://schemas.openxmlformats.org/officeDocument/2006/relationships/image" Target="media/image30.emf"/><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25.png"/><Relationship Id="rId60" Type="http://schemas.openxmlformats.org/officeDocument/2006/relationships/image" Target="media/image37.emf"/><Relationship Id="rId65" Type="http://schemas.openxmlformats.org/officeDocument/2006/relationships/image" Target="media/image41.png"/><Relationship Id="rId81" Type="http://schemas.openxmlformats.org/officeDocument/2006/relationships/image" Target="media/image53.png"/><Relationship Id="rId86" Type="http://schemas.openxmlformats.org/officeDocument/2006/relationships/image" Target="media/image58.png"/><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0.png"/><Relationship Id="rId109" Type="http://schemas.openxmlformats.org/officeDocument/2006/relationships/image" Target="media/image81.png"/><Relationship Id="rId34" Type="http://schemas.openxmlformats.org/officeDocument/2006/relationships/image" Target="media/image15.png"/><Relationship Id="rId50" Type="http://schemas.openxmlformats.org/officeDocument/2006/relationships/image" Target="media/image31.wmf"/><Relationship Id="rId55" Type="http://schemas.openxmlformats.org/officeDocument/2006/relationships/oleObject" Target="embeddings/oleObject5.bin"/><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6.emf"/><Relationship Id="rId66" Type="http://schemas.openxmlformats.org/officeDocument/2006/relationships/image" Target="media/image42.wmf"/><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61" Type="http://schemas.openxmlformats.org/officeDocument/2006/relationships/image" Target="media/image38.wmf"/><Relationship Id="rId82" Type="http://schemas.openxmlformats.org/officeDocument/2006/relationships/image" Target="media/image54.png"/><Relationship Id="rId19" Type="http://schemas.openxmlformats.org/officeDocument/2006/relationships/image" Target="media/image4.jpeg"/><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4.wmf"/><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3.bin"/><Relationship Id="rId72" Type="http://schemas.openxmlformats.org/officeDocument/2006/relationships/oleObject" Target="embeddings/oleObject10.bin"/><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header" Target="header7.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7.emf"/><Relationship Id="rId67" Type="http://schemas.openxmlformats.org/officeDocument/2006/relationships/oleObject" Target="embeddings/oleObject8.bin"/><Relationship Id="rId116" Type="http://schemas.openxmlformats.org/officeDocument/2006/relationships/image" Target="media/image88.png"/><Relationship Id="rId20" Type="http://schemas.openxmlformats.org/officeDocument/2006/relationships/image" Target="media/image5.jpeg"/><Relationship Id="rId41" Type="http://schemas.openxmlformats.org/officeDocument/2006/relationships/image" Target="media/image22.png"/><Relationship Id="rId62" Type="http://schemas.openxmlformats.org/officeDocument/2006/relationships/oleObject" Target="embeddings/oleObject7.bin"/><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3.png"/><Relationship Id="rId15" Type="http://schemas.openxmlformats.org/officeDocument/2006/relationships/header" Target="header5.xml"/><Relationship Id="rId36" Type="http://schemas.openxmlformats.org/officeDocument/2006/relationships/image" Target="media/image17.png"/><Relationship Id="rId57" Type="http://schemas.openxmlformats.org/officeDocument/2006/relationships/oleObject" Target="embeddings/oleObject6.bin"/><Relationship Id="rId106" Type="http://schemas.openxmlformats.org/officeDocument/2006/relationships/image" Target="media/image78.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media/image32.wmf"/><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329CE-B810-4FC5-9256-EFF96494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1558</Pages>
  <Words>209898</Words>
  <Characters>1196423</Characters>
  <Application>Microsoft Office Word</Application>
  <DocSecurity>0</DocSecurity>
  <Lines>9970</Lines>
  <Paragraphs>2807</Paragraphs>
  <ScaleCrop>false</ScaleCrop>
  <Company/>
  <LinksUpToDate>false</LinksUpToDate>
  <CharactersWithSpaces>1403514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梁 云龙</dc:creator>
  <cp:keywords/>
  <dc:description/>
  <cp:lastModifiedBy>Lenovo</cp:lastModifiedBy>
  <cp:revision>10</cp:revision>
  <cp:lastPrinted>2022-05-16T07:26:00Z</cp:lastPrinted>
  <dcterms:created xsi:type="dcterms:W3CDTF">2021-09-13T02:30:00Z</dcterms:created>
  <dcterms:modified xsi:type="dcterms:W3CDTF">2022-10-31T03:13:00Z</dcterms:modified>
</cp:coreProperties>
</file>